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0018pt;margin-top:517.099976pt;width:595.9pt;height:156.2pt;mso-position-horizontal-relative:page;mso-position-vertical-relative:page;z-index:-287680512" coordorigin="0,10342" coordsize="11918,3124">
            <v:shape style="position:absolute;left:3932;top:12093;width:716;height:380" type="#_x0000_t75" stroked="false">
              <v:imagedata r:id="rId6" o:title=""/>
            </v:shape>
            <v:shape style="position:absolute;left:4491;top:12093;width:720;height:380" type="#_x0000_t75" stroked="false">
              <v:imagedata r:id="rId7" o:title=""/>
            </v:shape>
            <v:shape style="position:absolute;left:5053;top:12093;width:716;height:380" type="#_x0000_t75" stroked="false">
              <v:imagedata r:id="rId8" o:title=""/>
            </v:shape>
            <v:shape style="position:absolute;left:5612;top:12093;width:716;height:380" type="#_x0000_t75" stroked="false">
              <v:imagedata r:id="rId9" o:title=""/>
            </v:shape>
            <v:shape style="position:absolute;left:6171;top:12093;width:716;height:380" type="#_x0000_t75" stroked="false">
              <v:imagedata r:id="rId10" o:title=""/>
            </v:shape>
            <v:shape style="position:absolute;left:6731;top:12093;width:720;height:380" type="#_x0000_t75" stroked="false">
              <v:imagedata r:id="rId11" o:title=""/>
            </v:shape>
            <v:shape style="position:absolute;left:7292;top:12093;width:716;height:380" type="#_x0000_t75" stroked="false">
              <v:imagedata r:id="rId12" o:title=""/>
            </v:shape>
            <v:shape style="position:absolute;left:7851;top:12093;width:720;height:380" type="#_x0000_t75" stroked="false">
              <v:imagedata r:id="rId13" o:title=""/>
            </v:shape>
            <v:shape style="position:absolute;left:3992;top:12590;width:4481;height:380" type="#_x0000_t75" stroked="false">
              <v:imagedata r:id="rId14" o:title=""/>
            </v:shape>
            <v:shape style="position:absolute;left:4952;top:13086;width:797;height:380" type="#_x0000_t75" stroked="false">
              <v:imagedata r:id="rId15" o:title=""/>
            </v:shape>
            <v:shape style="position:absolute;left:5590;top:13086;width:1922;height:380" type="#_x0000_t75" stroked="false">
              <v:imagedata r:id="rId16" o:title=""/>
            </v:shape>
            <v:shape style="position:absolute;left:0;top:11848;width:11907;height:1548" type="#_x0000_t75" stroked="false">
              <v:imagedata r:id="rId17" o:title=""/>
            </v:shape>
            <v:rect style="position:absolute;left:13;top:10352;width:11895;height:1500" filled="true" fillcolor="#4471c4" stroked="false">
              <v:fill type="solid"/>
            </v:rect>
            <v:rect style="position:absolute;left:13;top:10352;width:11895;height:1500" filled="false" stroked="true" strokeweight="1pt" strokecolor="#2e528f">
              <v:stroke dashstyle="solid"/>
            </v:rect>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rPr>
      </w:pPr>
    </w:p>
    <w:p>
      <w:pPr>
        <w:pStyle w:val="BodyText"/>
        <w:ind w:left="910"/>
        <w:rPr>
          <w:rFonts w:ascii="Times New Roman"/>
          <w:sz w:val="20"/>
        </w:rPr>
      </w:pPr>
      <w:r>
        <w:rPr>
          <w:rFonts w:ascii="Times New Roman"/>
          <w:sz w:val="20"/>
        </w:rPr>
        <w:drawing>
          <wp:inline distT="0" distB="0" distL="0" distR="0">
            <wp:extent cx="5265331" cy="393192"/>
            <wp:effectExtent l="0" t="0" r="0" b="0"/>
            <wp:docPr id="1" name="image13.png"/>
            <wp:cNvGraphicFramePr>
              <a:graphicFrameLocks noChangeAspect="1"/>
            </wp:cNvGraphicFramePr>
            <a:graphic>
              <a:graphicData uri="http://schemas.openxmlformats.org/drawingml/2006/picture">
                <pic:pic>
                  <pic:nvPicPr>
                    <pic:cNvPr id="2" name="image13.png"/>
                    <pic:cNvPicPr/>
                  </pic:nvPicPr>
                  <pic:blipFill>
                    <a:blip r:embed="rId18" cstate="print"/>
                    <a:stretch>
                      <a:fillRect/>
                    </a:stretch>
                  </pic:blipFill>
                  <pic:spPr>
                    <a:xfrm>
                      <a:off x="0" y="0"/>
                      <a:ext cx="5265331" cy="393192"/>
                    </a:xfrm>
                    <a:prstGeom prst="rect">
                      <a:avLst/>
                    </a:prstGeom>
                  </pic:spPr>
                </pic:pic>
              </a:graphicData>
            </a:graphic>
          </wp:inline>
        </w:drawing>
      </w:r>
      <w:r>
        <w:rPr>
          <w:rFonts w:ascii="Times New Roman"/>
          <w:sz w:val="20"/>
        </w:rPr>
      </w:r>
    </w:p>
    <w:p>
      <w:pPr>
        <w:pStyle w:val="BodyText"/>
        <w:spacing w:before="9"/>
        <w:rPr>
          <w:rFonts w:ascii="Times New Roman"/>
          <w:sz w:val="12"/>
        </w:rPr>
      </w:pPr>
      <w:r>
        <w:rPr/>
        <w:drawing>
          <wp:anchor distT="0" distB="0" distL="0" distR="0" allowOverlap="1" layoutInCell="1" locked="0" behindDoc="0" simplePos="0" relativeHeight="0">
            <wp:simplePos x="0" y="0"/>
            <wp:positionH relativeFrom="page">
              <wp:posOffset>3194939</wp:posOffset>
            </wp:positionH>
            <wp:positionV relativeFrom="paragraph">
              <wp:posOffset>118363</wp:posOffset>
            </wp:positionV>
            <wp:extent cx="1645637" cy="393192"/>
            <wp:effectExtent l="0" t="0" r="0" b="0"/>
            <wp:wrapTopAndBottom/>
            <wp:docPr id="3" name="image14.png"/>
            <wp:cNvGraphicFramePr>
              <a:graphicFrameLocks noChangeAspect="1"/>
            </wp:cNvGraphicFramePr>
            <a:graphic>
              <a:graphicData uri="http://schemas.openxmlformats.org/drawingml/2006/picture">
                <pic:pic>
                  <pic:nvPicPr>
                    <pic:cNvPr id="4" name="image14.png"/>
                    <pic:cNvPicPr/>
                  </pic:nvPicPr>
                  <pic:blipFill>
                    <a:blip r:embed="rId19" cstate="print"/>
                    <a:stretch>
                      <a:fillRect/>
                    </a:stretch>
                  </pic:blipFill>
                  <pic:spPr>
                    <a:xfrm>
                      <a:off x="0" y="0"/>
                      <a:ext cx="1645637" cy="393192"/>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0"/>
        </w:rPr>
      </w:pPr>
      <w:r>
        <w:rPr/>
        <w:pict>
          <v:group style="position:absolute;margin-left:251.570007pt;margin-top:13.732929pt;width:130.0500pt;height:31.1pt;mso-position-horizontal-relative:page;mso-position-vertical-relative:paragraph;z-index:-251657216;mso-wrap-distance-left:0;mso-wrap-distance-right:0" coordorigin="5031,275" coordsize="2601,622">
            <v:shape style="position:absolute;left:5031;top:274;width:1042;height:622" type="#_x0000_t75" stroked="false">
              <v:imagedata r:id="rId20" o:title=""/>
            </v:shape>
            <v:shape style="position:absolute;left:5552;top:274;width:1042;height:622" type="#_x0000_t75" stroked="false">
              <v:imagedata r:id="rId21" o:title=""/>
            </v:shape>
            <v:shape style="position:absolute;left:6073;top:274;width:1559;height:622" type="#_x0000_t75" stroked="false">
              <v:imagedata r:id="rId22" o:title=""/>
            </v:shape>
            <w10:wrap type="topAndBottom"/>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rPr>
      </w:pPr>
    </w:p>
    <w:p>
      <w:pPr>
        <w:spacing w:before="89"/>
        <w:ind w:left="0" w:right="2303" w:firstLine="0"/>
        <w:jc w:val="center"/>
        <w:rPr>
          <w:rFonts w:ascii="Arial"/>
          <w:sz w:val="32"/>
        </w:rPr>
      </w:pPr>
      <w:r>
        <w:rPr>
          <w:rFonts w:ascii="Arial"/>
          <w:w w:val="89"/>
          <w:sz w:val="32"/>
        </w:rPr>
        <w:t>0</w:t>
      </w:r>
    </w:p>
    <w:p>
      <w:pPr>
        <w:spacing w:after="0"/>
        <w:jc w:val="center"/>
        <w:rPr>
          <w:rFonts w:ascii="Arial"/>
          <w:sz w:val="32"/>
        </w:rPr>
        <w:sectPr>
          <w:footerReference w:type="default" r:id="rId5"/>
          <w:type w:val="continuous"/>
          <w:pgSz w:w="11910" w:h="16850"/>
          <w:pgMar w:footer="983" w:top="1600" w:bottom="1180" w:left="1260" w:right="0"/>
          <w:pgNumType w:start="1"/>
        </w:sectPr>
      </w:pPr>
    </w:p>
    <w:p>
      <w:pPr>
        <w:spacing w:line="531" w:lineRule="exact" w:before="14"/>
        <w:ind w:left="0" w:right="1025" w:firstLine="0"/>
        <w:jc w:val="center"/>
        <w:rPr>
          <w:sz w:val="44"/>
        </w:rPr>
      </w:pPr>
      <w:r>
        <w:rPr>
          <w:sz w:val="44"/>
        </w:rPr>
        <w:t>城市消防、森林消防法律法规标准文件汇编</w:t>
      </w:r>
    </w:p>
    <w:p>
      <w:pPr>
        <w:spacing w:line="531" w:lineRule="exact" w:before="0"/>
        <w:ind w:left="0" w:right="800" w:firstLine="0"/>
        <w:jc w:val="center"/>
        <w:rPr>
          <w:sz w:val="44"/>
        </w:rPr>
      </w:pPr>
      <w:r>
        <w:rPr>
          <w:sz w:val="44"/>
        </w:rPr>
        <w:t>目录 </w:t>
      </w:r>
    </w:p>
    <w:p>
      <w:pPr>
        <w:pStyle w:val="Heading3"/>
        <w:spacing w:before="338"/>
      </w:pPr>
      <w:hyperlink w:history="true" w:anchor="_bookmark0">
        <w:r>
          <w:rPr/>
          <w:t>第五部分 相关标准</w:t>
        </w:r>
      </w:hyperlink>
      <w:r>
        <w:rPr>
          <w:w w:val="99"/>
        </w:rPr>
        <w:t> </w:t>
      </w:r>
    </w:p>
    <w:p>
      <w:pPr>
        <w:pStyle w:val="BodyText"/>
        <w:spacing w:before="4"/>
        <w:rPr>
          <w:b/>
          <w:sz w:val="28"/>
        </w:rPr>
      </w:pPr>
    </w:p>
    <w:p>
      <w:pPr>
        <w:pStyle w:val="Heading4"/>
      </w:pPr>
      <w:r>
        <w:rPr/>
        <w:t>一、国家标准</w:t>
      </w:r>
      <w:r>
        <w:rPr>
          <w:w w:val="99"/>
        </w:rPr>
        <w:t> </w:t>
      </w:r>
    </w:p>
    <w:p>
      <w:pPr>
        <w:pStyle w:val="BodyText"/>
        <w:spacing w:before="1"/>
        <w:rPr>
          <w:b/>
          <w:sz w:val="19"/>
        </w:rPr>
      </w:pPr>
    </w:p>
    <w:p>
      <w:pPr>
        <w:spacing w:before="1"/>
        <w:ind w:left="418" w:right="0" w:firstLine="0"/>
        <w:jc w:val="left"/>
        <w:rPr>
          <w:b/>
          <w:sz w:val="24"/>
        </w:rPr>
      </w:pPr>
      <w:r>
        <w:rPr>
          <w:b/>
          <w:sz w:val="24"/>
        </w:rPr>
        <w:t>（一）城市消防国家标准</w:t>
      </w:r>
      <w:r>
        <w:rPr>
          <w:b/>
          <w:w w:val="99"/>
          <w:sz w:val="24"/>
        </w:rPr>
        <w:t> </w:t>
      </w:r>
    </w:p>
    <w:p>
      <w:pPr>
        <w:pStyle w:val="Heading5"/>
        <w:tabs>
          <w:tab w:pos="8821" w:val="left" w:leader="dot"/>
        </w:tabs>
        <w:spacing w:before="124"/>
      </w:pPr>
      <w:hyperlink w:history="true" w:anchor="_bookmark1">
        <w:r>
          <w:rPr/>
          <w:t>消防水枪</w:t>
        </w:r>
        <w:r>
          <w:rPr>
            <w:spacing w:val="-1"/>
          </w:rPr>
          <w:t> </w:t>
        </w:r>
        <w:r>
          <w:rPr/>
          <w:t>GB 8181-2005</w:t>
          <w:tab/>
          <w:t>781</w:t>
        </w:r>
      </w:hyperlink>
    </w:p>
    <w:p>
      <w:pPr>
        <w:tabs>
          <w:tab w:pos="8821" w:val="left" w:leader="dot"/>
        </w:tabs>
        <w:spacing w:before="180"/>
        <w:ind w:left="418" w:right="0" w:firstLine="0"/>
        <w:jc w:val="left"/>
        <w:rPr>
          <w:sz w:val="24"/>
        </w:rPr>
      </w:pPr>
      <w:hyperlink w:history="true" w:anchor="_bookmark2">
        <w:r>
          <w:rPr>
            <w:sz w:val="24"/>
          </w:rPr>
          <w:t>消防员职业健康标准 GB Z221-2009</w:t>
          <w:tab/>
          <w:t>792</w:t>
        </w:r>
      </w:hyperlink>
    </w:p>
    <w:p>
      <w:pPr>
        <w:tabs>
          <w:tab w:pos="8821" w:val="left" w:leader="dot"/>
        </w:tabs>
        <w:spacing w:before="182"/>
        <w:ind w:left="418" w:right="0" w:firstLine="0"/>
        <w:jc w:val="left"/>
        <w:rPr>
          <w:sz w:val="24"/>
        </w:rPr>
      </w:pPr>
      <w:hyperlink w:history="true" w:anchor="_bookmark3">
        <w:r>
          <w:rPr>
            <w:sz w:val="24"/>
          </w:rPr>
          <w:t>消防员方位灯</w:t>
        </w:r>
        <w:r>
          <w:rPr>
            <w:spacing w:val="-1"/>
            <w:sz w:val="24"/>
          </w:rPr>
          <w:t> </w:t>
        </w:r>
        <w:r>
          <w:rPr>
            <w:sz w:val="24"/>
          </w:rPr>
          <w:t>GB 27899-2011</w:t>
          <w:tab/>
          <w:t>824</w:t>
        </w:r>
      </w:hyperlink>
    </w:p>
    <w:p>
      <w:pPr>
        <w:tabs>
          <w:tab w:pos="8821" w:val="left" w:leader="dot"/>
        </w:tabs>
        <w:spacing w:before="180"/>
        <w:ind w:left="418" w:right="0" w:firstLine="0"/>
        <w:jc w:val="left"/>
        <w:rPr>
          <w:sz w:val="24"/>
        </w:rPr>
      </w:pPr>
      <w:hyperlink w:history="true" w:anchor="_bookmark4">
        <w:r>
          <w:rPr>
            <w:sz w:val="24"/>
          </w:rPr>
          <w:t>消防水带</w:t>
        </w:r>
        <w:r>
          <w:rPr>
            <w:spacing w:val="-1"/>
            <w:sz w:val="24"/>
          </w:rPr>
          <w:t> </w:t>
        </w:r>
        <w:r>
          <w:rPr>
            <w:sz w:val="24"/>
          </w:rPr>
          <w:t>GB 6246-2011</w:t>
          <w:tab/>
          <w:t>832</w:t>
        </w:r>
      </w:hyperlink>
    </w:p>
    <w:p>
      <w:pPr>
        <w:tabs>
          <w:tab w:pos="8821" w:val="left" w:leader="dot"/>
        </w:tabs>
        <w:spacing w:before="180"/>
        <w:ind w:left="418" w:right="0" w:firstLine="0"/>
        <w:jc w:val="left"/>
        <w:rPr>
          <w:sz w:val="24"/>
        </w:rPr>
      </w:pPr>
      <w:hyperlink w:history="true" w:anchor="_bookmark5">
        <w:r>
          <w:rPr>
            <w:sz w:val="24"/>
          </w:rPr>
          <w:t>消防员呼救器</w:t>
        </w:r>
        <w:r>
          <w:rPr>
            <w:spacing w:val="-1"/>
            <w:sz w:val="24"/>
          </w:rPr>
          <w:t> </w:t>
        </w:r>
        <w:r>
          <w:rPr>
            <w:sz w:val="24"/>
          </w:rPr>
          <w:t>GB 27900-2011</w:t>
          <w:tab/>
          <w:t>845</w:t>
        </w:r>
      </w:hyperlink>
    </w:p>
    <w:p>
      <w:pPr>
        <w:tabs>
          <w:tab w:pos="8821" w:val="left" w:leader="dot"/>
        </w:tabs>
        <w:spacing w:before="182"/>
        <w:ind w:left="418" w:right="0" w:firstLine="0"/>
        <w:jc w:val="left"/>
        <w:rPr>
          <w:sz w:val="24"/>
        </w:rPr>
      </w:pPr>
      <w:hyperlink w:history="true" w:anchor="_bookmark6">
        <w:r>
          <w:rPr>
            <w:sz w:val="24"/>
          </w:rPr>
          <w:t>消防水泵接合器</w:t>
        </w:r>
        <w:r>
          <w:rPr>
            <w:spacing w:val="-1"/>
            <w:sz w:val="24"/>
          </w:rPr>
          <w:t> </w:t>
        </w:r>
        <w:r>
          <w:rPr>
            <w:sz w:val="24"/>
          </w:rPr>
          <w:t>GB 3446-2013</w:t>
          <w:tab/>
          <w:t>857</w:t>
        </w:r>
      </w:hyperlink>
    </w:p>
    <w:p>
      <w:pPr>
        <w:tabs>
          <w:tab w:pos="8821" w:val="left" w:leader="dot"/>
        </w:tabs>
        <w:spacing w:before="180"/>
        <w:ind w:left="418" w:right="0" w:firstLine="0"/>
        <w:jc w:val="left"/>
        <w:rPr>
          <w:sz w:val="24"/>
        </w:rPr>
      </w:pPr>
      <w:hyperlink w:history="true" w:anchor="_bookmark7">
        <w:r>
          <w:rPr>
            <w:sz w:val="24"/>
          </w:rPr>
          <w:t>消防员照明灯具</w:t>
        </w:r>
        <w:r>
          <w:rPr>
            <w:spacing w:val="-1"/>
            <w:sz w:val="24"/>
          </w:rPr>
          <w:t> </w:t>
        </w:r>
        <w:r>
          <w:rPr>
            <w:sz w:val="24"/>
          </w:rPr>
          <w:t>GB 30734-2014</w:t>
          <w:tab/>
          <w:t>865</w:t>
        </w:r>
      </w:hyperlink>
    </w:p>
    <w:p>
      <w:pPr>
        <w:tabs>
          <w:tab w:pos="8821" w:val="left" w:leader="dot"/>
        </w:tabs>
        <w:spacing w:before="180"/>
        <w:ind w:left="418" w:right="0" w:firstLine="0"/>
        <w:jc w:val="left"/>
        <w:rPr>
          <w:sz w:val="24"/>
        </w:rPr>
      </w:pPr>
      <w:hyperlink w:history="true" w:anchor="_bookmark8">
        <w:r>
          <w:rPr>
            <w:sz w:val="24"/>
          </w:rPr>
          <w:t>消防车</w:t>
        </w:r>
        <w:r>
          <w:rPr>
            <w:spacing w:val="-1"/>
            <w:sz w:val="24"/>
          </w:rPr>
          <w:t> </w:t>
        </w:r>
        <w:r>
          <w:rPr>
            <w:sz w:val="24"/>
          </w:rPr>
          <w:t>第</w:t>
        </w:r>
        <w:r>
          <w:rPr>
            <w:spacing w:val="-60"/>
            <w:sz w:val="24"/>
          </w:rPr>
          <w:t> </w:t>
        </w:r>
        <w:r>
          <w:rPr>
            <w:sz w:val="24"/>
          </w:rPr>
          <w:t>1</w:t>
        </w:r>
        <w:r>
          <w:rPr>
            <w:spacing w:val="-60"/>
            <w:sz w:val="24"/>
          </w:rPr>
          <w:t> </w:t>
        </w:r>
        <w:r>
          <w:rPr>
            <w:sz w:val="24"/>
          </w:rPr>
          <w:t>部分：通用技术条件 GB 7956.1-2014</w:t>
          <w:tab/>
          <w:t>876</w:t>
        </w:r>
      </w:hyperlink>
    </w:p>
    <w:p>
      <w:pPr>
        <w:tabs>
          <w:tab w:pos="8821" w:val="left" w:leader="dot"/>
        </w:tabs>
        <w:spacing w:before="179"/>
        <w:ind w:left="418" w:right="0" w:firstLine="0"/>
        <w:jc w:val="left"/>
        <w:rPr>
          <w:sz w:val="24"/>
        </w:rPr>
      </w:pPr>
      <w:hyperlink w:history="true" w:anchor="_bookmark9">
        <w:r>
          <w:rPr>
            <w:sz w:val="24"/>
          </w:rPr>
          <w:t>消防车</w:t>
        </w:r>
        <w:r>
          <w:rPr>
            <w:spacing w:val="-1"/>
            <w:sz w:val="24"/>
          </w:rPr>
          <w:t> </w:t>
        </w:r>
        <w:r>
          <w:rPr>
            <w:sz w:val="24"/>
          </w:rPr>
          <w:t>第</w:t>
        </w:r>
        <w:r>
          <w:rPr>
            <w:spacing w:val="-60"/>
            <w:sz w:val="24"/>
          </w:rPr>
          <w:t> </w:t>
        </w:r>
        <w:r>
          <w:rPr>
            <w:sz w:val="24"/>
          </w:rPr>
          <w:t>2</w:t>
        </w:r>
        <w:r>
          <w:rPr>
            <w:spacing w:val="-60"/>
            <w:sz w:val="24"/>
          </w:rPr>
          <w:t> </w:t>
        </w:r>
        <w:r>
          <w:rPr>
            <w:sz w:val="24"/>
          </w:rPr>
          <w:t>部分：水罐消防车 GB 7956.2-2014</w:t>
          <w:tab/>
          <w:t>922</w:t>
        </w:r>
      </w:hyperlink>
    </w:p>
    <w:p>
      <w:pPr>
        <w:tabs>
          <w:tab w:pos="8821" w:val="left" w:leader="dot"/>
        </w:tabs>
        <w:spacing w:before="183"/>
        <w:ind w:left="418" w:right="0" w:firstLine="0"/>
        <w:jc w:val="left"/>
        <w:rPr>
          <w:sz w:val="24"/>
        </w:rPr>
      </w:pPr>
      <w:hyperlink w:history="true" w:anchor="_bookmark10">
        <w:r>
          <w:rPr>
            <w:sz w:val="24"/>
          </w:rPr>
          <w:t>消防车</w:t>
        </w:r>
        <w:r>
          <w:rPr>
            <w:spacing w:val="-1"/>
            <w:sz w:val="24"/>
          </w:rPr>
          <w:t> </w:t>
        </w:r>
        <w:r>
          <w:rPr>
            <w:sz w:val="24"/>
          </w:rPr>
          <w:t>第</w:t>
        </w:r>
        <w:r>
          <w:rPr>
            <w:spacing w:val="-60"/>
            <w:sz w:val="24"/>
          </w:rPr>
          <w:t> </w:t>
        </w:r>
        <w:r>
          <w:rPr>
            <w:sz w:val="24"/>
          </w:rPr>
          <w:t>3</w:t>
        </w:r>
        <w:r>
          <w:rPr>
            <w:spacing w:val="-60"/>
            <w:sz w:val="24"/>
          </w:rPr>
          <w:t> </w:t>
        </w:r>
        <w:r>
          <w:rPr>
            <w:sz w:val="24"/>
          </w:rPr>
          <w:t>部分：泡沫消防车 GB 7956.3-2014</w:t>
          <w:tab/>
          <w:t>940</w:t>
        </w:r>
      </w:hyperlink>
    </w:p>
    <w:p>
      <w:pPr>
        <w:tabs>
          <w:tab w:pos="8821" w:val="left" w:leader="dot"/>
        </w:tabs>
        <w:spacing w:before="179"/>
        <w:ind w:left="418" w:right="0" w:firstLine="0"/>
        <w:jc w:val="left"/>
        <w:rPr>
          <w:sz w:val="24"/>
        </w:rPr>
      </w:pPr>
      <w:hyperlink w:history="true" w:anchor="_bookmark11">
        <w:r>
          <w:rPr>
            <w:sz w:val="24"/>
          </w:rPr>
          <w:t>建筑设计防火规范</w:t>
        </w:r>
        <w:r>
          <w:rPr>
            <w:spacing w:val="-1"/>
            <w:sz w:val="24"/>
          </w:rPr>
          <w:t> </w:t>
        </w:r>
        <w:r>
          <w:rPr>
            <w:sz w:val="24"/>
          </w:rPr>
          <w:t>GB50016-2014</w:t>
          <w:tab/>
          <w:t>965</w:t>
        </w:r>
      </w:hyperlink>
    </w:p>
    <w:p>
      <w:pPr>
        <w:tabs>
          <w:tab w:pos="8701" w:val="left" w:leader="dot"/>
        </w:tabs>
        <w:spacing w:before="180"/>
        <w:ind w:left="418" w:right="0" w:firstLine="0"/>
        <w:jc w:val="left"/>
        <w:rPr>
          <w:sz w:val="24"/>
        </w:rPr>
      </w:pPr>
      <w:hyperlink w:history="true" w:anchor="_bookmark12">
        <w:r>
          <w:rPr>
            <w:sz w:val="24"/>
          </w:rPr>
          <w:t>消火栓箱</w:t>
        </w:r>
        <w:r>
          <w:rPr>
            <w:spacing w:val="-1"/>
            <w:sz w:val="24"/>
          </w:rPr>
          <w:t> </w:t>
        </w:r>
        <w:r>
          <w:rPr>
            <w:sz w:val="24"/>
          </w:rPr>
          <w:t>GB/T 14561-2003</w:t>
          <w:tab/>
          <w:t>1066</w:t>
        </w:r>
      </w:hyperlink>
    </w:p>
    <w:p>
      <w:pPr>
        <w:tabs>
          <w:tab w:pos="8701" w:val="left" w:leader="dot"/>
        </w:tabs>
        <w:spacing w:before="180"/>
        <w:ind w:left="418" w:right="0" w:firstLine="0"/>
        <w:jc w:val="left"/>
        <w:rPr>
          <w:sz w:val="24"/>
        </w:rPr>
      </w:pPr>
      <w:hyperlink w:history="true" w:anchor="_bookmark13">
        <w:r>
          <w:rPr>
            <w:sz w:val="24"/>
          </w:rPr>
          <w:t>建筑灭火器配置设计规范 GB 50140-2005</w:t>
          <w:tab/>
          <w:t>1090</w:t>
        </w:r>
      </w:hyperlink>
    </w:p>
    <w:p>
      <w:pPr>
        <w:tabs>
          <w:tab w:pos="8701" w:val="left" w:leader="dot"/>
        </w:tabs>
        <w:spacing w:before="182"/>
        <w:ind w:left="418" w:right="0" w:firstLine="0"/>
        <w:jc w:val="left"/>
        <w:rPr>
          <w:sz w:val="24"/>
        </w:rPr>
      </w:pPr>
      <w:hyperlink w:history="true" w:anchor="_bookmark14">
        <w:r>
          <w:rPr>
            <w:sz w:val="24"/>
          </w:rPr>
          <w:t>气体灭火系统设计规范 GB 50370-2005</w:t>
          <w:tab/>
          <w:t>1111</w:t>
        </w:r>
      </w:hyperlink>
    </w:p>
    <w:p>
      <w:pPr>
        <w:tabs>
          <w:tab w:pos="8701" w:val="left" w:leader="dot"/>
        </w:tabs>
        <w:spacing w:before="180"/>
        <w:ind w:left="418" w:right="0" w:firstLine="0"/>
        <w:jc w:val="left"/>
        <w:rPr>
          <w:sz w:val="24"/>
        </w:rPr>
      </w:pPr>
      <w:hyperlink w:history="true" w:anchor="_bookmark15">
        <w:r>
          <w:rPr>
            <w:sz w:val="24"/>
          </w:rPr>
          <w:t>城市消防远程监控系统技术规范 GB 50440-2007</w:t>
          <w:tab/>
          <w:t>1130</w:t>
        </w:r>
      </w:hyperlink>
    </w:p>
    <w:p>
      <w:pPr>
        <w:tabs>
          <w:tab w:pos="8701" w:val="left" w:leader="dot"/>
        </w:tabs>
        <w:spacing w:before="180"/>
        <w:ind w:left="418" w:right="0" w:firstLine="0"/>
        <w:jc w:val="left"/>
        <w:rPr>
          <w:sz w:val="24"/>
        </w:rPr>
      </w:pPr>
      <w:hyperlink w:history="true" w:anchor="_bookmark16">
        <w:r>
          <w:rPr>
            <w:sz w:val="24"/>
          </w:rPr>
          <w:t>防火门</w:t>
        </w:r>
        <w:r>
          <w:rPr>
            <w:spacing w:val="-1"/>
            <w:sz w:val="24"/>
          </w:rPr>
          <w:t> </w:t>
        </w:r>
        <w:r>
          <w:rPr>
            <w:sz w:val="24"/>
          </w:rPr>
          <w:t>GB 12955-2008</w:t>
          <w:tab/>
          <w:t>1144</w:t>
        </w:r>
      </w:hyperlink>
    </w:p>
    <w:p>
      <w:pPr>
        <w:tabs>
          <w:tab w:pos="8701" w:val="left" w:leader="dot"/>
        </w:tabs>
        <w:spacing w:before="182"/>
        <w:ind w:left="418" w:right="0" w:firstLine="0"/>
        <w:jc w:val="left"/>
        <w:rPr>
          <w:sz w:val="24"/>
        </w:rPr>
      </w:pPr>
      <w:hyperlink w:history="true" w:anchor="_bookmark17">
        <w:r>
          <w:rPr>
            <w:sz w:val="24"/>
          </w:rPr>
          <w:t>防火窗</w:t>
        </w:r>
        <w:r>
          <w:rPr>
            <w:spacing w:val="-1"/>
            <w:sz w:val="24"/>
          </w:rPr>
          <w:t> </w:t>
        </w:r>
        <w:r>
          <w:rPr>
            <w:sz w:val="24"/>
          </w:rPr>
          <w:t>GB 16809-2008</w:t>
          <w:tab/>
          <w:t>1171</w:t>
        </w:r>
      </w:hyperlink>
    </w:p>
    <w:p>
      <w:pPr>
        <w:tabs>
          <w:tab w:pos="8701" w:val="left" w:leader="dot"/>
        </w:tabs>
        <w:spacing w:before="180"/>
        <w:ind w:left="418" w:right="0" w:firstLine="0"/>
        <w:jc w:val="left"/>
        <w:rPr>
          <w:sz w:val="24"/>
        </w:rPr>
      </w:pPr>
      <w:hyperlink w:history="true" w:anchor="_bookmark18">
        <w:r>
          <w:rPr>
            <w:sz w:val="24"/>
          </w:rPr>
          <w:t>防火封堵材料</w:t>
        </w:r>
        <w:r>
          <w:rPr>
            <w:spacing w:val="-1"/>
            <w:sz w:val="24"/>
          </w:rPr>
          <w:t> </w:t>
        </w:r>
        <w:r>
          <w:rPr>
            <w:sz w:val="24"/>
          </w:rPr>
          <w:t>GB 23864-2009</w:t>
          <w:tab/>
          <w:t>1186</w:t>
        </w:r>
      </w:hyperlink>
    </w:p>
    <w:p>
      <w:pPr>
        <w:tabs>
          <w:tab w:pos="8701" w:val="left" w:leader="dot"/>
        </w:tabs>
        <w:spacing w:before="179"/>
        <w:ind w:left="418" w:right="0" w:firstLine="0"/>
        <w:jc w:val="left"/>
        <w:rPr>
          <w:sz w:val="24"/>
        </w:rPr>
      </w:pPr>
      <w:hyperlink w:history="true" w:anchor="_bookmark19">
        <w:r>
          <w:rPr>
            <w:sz w:val="24"/>
          </w:rPr>
          <w:t>建筑消防设施的维护管理 GB 25201-2010</w:t>
          <w:tab/>
          <w:t>1204</w:t>
        </w:r>
      </w:hyperlink>
    </w:p>
    <w:p>
      <w:pPr>
        <w:tabs>
          <w:tab w:pos="8701" w:val="left" w:leader="dot"/>
        </w:tabs>
        <w:spacing w:before="180"/>
        <w:ind w:left="418" w:right="0" w:firstLine="0"/>
        <w:jc w:val="left"/>
        <w:rPr>
          <w:sz w:val="24"/>
        </w:rPr>
      </w:pPr>
      <w:hyperlink w:history="true" w:anchor="_bookmark20">
        <w:r>
          <w:rPr>
            <w:sz w:val="24"/>
          </w:rPr>
          <w:t>农村防火规范</w:t>
        </w:r>
        <w:r>
          <w:rPr>
            <w:spacing w:val="-1"/>
            <w:sz w:val="24"/>
          </w:rPr>
          <w:t> </w:t>
        </w:r>
        <w:r>
          <w:rPr>
            <w:sz w:val="24"/>
          </w:rPr>
          <w:t>GB 50039-2010</w:t>
          <w:tab/>
          <w:t>1211</w:t>
        </w:r>
      </w:hyperlink>
    </w:p>
    <w:p>
      <w:pPr>
        <w:tabs>
          <w:tab w:pos="8701" w:val="left" w:leader="dot"/>
        </w:tabs>
        <w:spacing w:before="182"/>
        <w:ind w:left="418" w:right="0" w:firstLine="0"/>
        <w:jc w:val="left"/>
        <w:rPr>
          <w:sz w:val="24"/>
        </w:rPr>
      </w:pPr>
      <w:hyperlink w:history="true" w:anchor="_bookmark21">
        <w:r>
          <w:rPr>
            <w:sz w:val="24"/>
          </w:rPr>
          <w:t>消防监督技术装备配备 GB/T 25203-2010</w:t>
          <w:tab/>
          <w:t>1221</w:t>
        </w:r>
      </w:hyperlink>
    </w:p>
    <w:p>
      <w:pPr>
        <w:tabs>
          <w:tab w:pos="8701" w:val="left" w:leader="dot"/>
        </w:tabs>
        <w:spacing w:before="180"/>
        <w:ind w:left="418" w:right="0" w:firstLine="0"/>
        <w:jc w:val="left"/>
        <w:rPr>
          <w:sz w:val="24"/>
        </w:rPr>
      </w:pPr>
      <w:hyperlink w:history="true" w:anchor="_bookmark22">
        <w:r>
          <w:rPr>
            <w:sz w:val="24"/>
          </w:rPr>
          <w:t>建筑工程设计施工现场消防安全技术规范 GB 50720-2011</w:t>
          <w:tab/>
          <w:t>1234</w:t>
        </w:r>
      </w:hyperlink>
    </w:p>
    <w:p>
      <w:pPr>
        <w:tabs>
          <w:tab w:pos="8701" w:val="left" w:leader="dot"/>
        </w:tabs>
        <w:spacing w:before="180"/>
        <w:ind w:left="418" w:right="0" w:firstLine="0"/>
        <w:jc w:val="left"/>
        <w:rPr>
          <w:sz w:val="24"/>
        </w:rPr>
      </w:pPr>
      <w:hyperlink w:history="true" w:anchor="_bookmark23">
        <w:r>
          <w:rPr>
            <w:sz w:val="24"/>
          </w:rPr>
          <w:t>消防用开门器</w:t>
        </w:r>
        <w:r>
          <w:rPr>
            <w:spacing w:val="-1"/>
            <w:sz w:val="24"/>
          </w:rPr>
          <w:t> </w:t>
        </w:r>
        <w:r>
          <w:rPr>
            <w:sz w:val="24"/>
          </w:rPr>
          <w:t>GB 28735-2012</w:t>
          <w:tab/>
          <w:t>1249</w:t>
        </w:r>
      </w:hyperlink>
    </w:p>
    <w:p>
      <w:pPr>
        <w:spacing w:after="0"/>
        <w:jc w:val="left"/>
        <w:rPr>
          <w:sz w:val="24"/>
        </w:rPr>
        <w:sectPr>
          <w:pgSz w:w="11910" w:h="16850"/>
          <w:pgMar w:header="0" w:footer="983" w:top="1160" w:bottom="1180" w:left="1260" w:right="0"/>
        </w:sectPr>
      </w:pPr>
    </w:p>
    <w:p>
      <w:pPr>
        <w:tabs>
          <w:tab w:pos="8701" w:val="left" w:leader="dot"/>
        </w:tabs>
        <w:spacing w:before="41"/>
        <w:ind w:left="418" w:right="0" w:firstLine="0"/>
        <w:jc w:val="left"/>
        <w:rPr>
          <w:sz w:val="24"/>
        </w:rPr>
      </w:pPr>
      <w:hyperlink w:history="true" w:anchor="_bookmark24">
        <w:r>
          <w:rPr>
            <w:sz w:val="24"/>
          </w:rPr>
          <w:t>防火门监控器</w:t>
        </w:r>
        <w:r>
          <w:rPr>
            <w:spacing w:val="-1"/>
            <w:sz w:val="24"/>
          </w:rPr>
          <w:t> </w:t>
        </w:r>
        <w:r>
          <w:rPr>
            <w:sz w:val="24"/>
          </w:rPr>
          <w:t>GB 29364—2012</w:t>
          <w:tab/>
          <w:t>1256</w:t>
        </w:r>
      </w:hyperlink>
    </w:p>
    <w:p>
      <w:pPr>
        <w:tabs>
          <w:tab w:pos="8701" w:val="left" w:leader="dot"/>
        </w:tabs>
        <w:spacing w:before="183"/>
        <w:ind w:left="418" w:right="0" w:firstLine="0"/>
        <w:jc w:val="left"/>
        <w:rPr>
          <w:sz w:val="24"/>
        </w:rPr>
      </w:pPr>
      <w:hyperlink w:history="true" w:anchor="_bookmark25">
        <w:r>
          <w:rPr>
            <w:sz w:val="24"/>
          </w:rPr>
          <w:t>火灾自动报警系统设计规范 GB 50116-2013</w:t>
          <w:tab/>
          <w:t>1270</w:t>
        </w:r>
      </w:hyperlink>
    </w:p>
    <w:p>
      <w:pPr>
        <w:tabs>
          <w:tab w:pos="8701" w:val="left" w:leader="dot"/>
        </w:tabs>
        <w:spacing w:before="180"/>
        <w:ind w:left="418" w:right="0" w:firstLine="0"/>
        <w:jc w:val="left"/>
        <w:rPr>
          <w:sz w:val="24"/>
        </w:rPr>
      </w:pPr>
      <w:hyperlink w:history="true" w:anchor="_bookmark26">
        <w:r>
          <w:rPr>
            <w:sz w:val="24"/>
          </w:rPr>
          <w:t>消防给水及消火栓系统技术规范 GB 50974-2014</w:t>
          <w:tab/>
          <w:t>1303</w:t>
        </w:r>
      </w:hyperlink>
    </w:p>
    <w:p>
      <w:pPr>
        <w:tabs>
          <w:tab w:pos="8701" w:val="left" w:leader="dot"/>
        </w:tabs>
        <w:spacing w:before="179"/>
        <w:ind w:left="418" w:right="0" w:firstLine="0"/>
        <w:jc w:val="left"/>
        <w:rPr>
          <w:sz w:val="24"/>
        </w:rPr>
      </w:pPr>
      <w:hyperlink w:history="true" w:anchor="_bookmark27">
        <w:r>
          <w:rPr>
            <w:sz w:val="24"/>
          </w:rPr>
          <w:t>汽车库、修车库、停车场设计防火规范 GB 50067-2014</w:t>
          <w:tab/>
          <w:t>1395</w:t>
        </w:r>
      </w:hyperlink>
    </w:p>
    <w:p>
      <w:pPr>
        <w:tabs>
          <w:tab w:pos="8701" w:val="left" w:leader="dot"/>
        </w:tabs>
        <w:spacing w:before="182"/>
        <w:ind w:left="418" w:right="0" w:firstLine="0"/>
        <w:jc w:val="left"/>
        <w:rPr>
          <w:sz w:val="24"/>
        </w:rPr>
      </w:pPr>
      <w:hyperlink w:history="true" w:anchor="_bookmark28">
        <w:r>
          <w:rPr>
            <w:sz w:val="24"/>
          </w:rPr>
          <w:t>城市消防站设计规范 GB 51054-2014</w:t>
          <w:tab/>
          <w:t>1415</w:t>
        </w:r>
      </w:hyperlink>
    </w:p>
    <w:p>
      <w:pPr>
        <w:tabs>
          <w:tab w:pos="8701" w:val="left" w:leader="dot"/>
        </w:tabs>
        <w:spacing w:before="180"/>
        <w:ind w:left="418" w:right="0" w:firstLine="0"/>
        <w:jc w:val="left"/>
        <w:rPr>
          <w:sz w:val="24"/>
        </w:rPr>
      </w:pPr>
      <w:hyperlink w:history="true" w:anchor="_bookmark29">
        <w:r>
          <w:rPr>
            <w:sz w:val="24"/>
          </w:rPr>
          <w:t>综合医院建筑设计规范</w:t>
        </w:r>
        <w:r>
          <w:rPr>
            <w:spacing w:val="-1"/>
            <w:sz w:val="24"/>
          </w:rPr>
          <w:t> </w:t>
        </w:r>
        <w:r>
          <w:rPr>
            <w:sz w:val="24"/>
          </w:rPr>
          <w:t>GB 51039-2014</w:t>
          <w:tab/>
          <w:t>1436</w:t>
        </w:r>
      </w:hyperlink>
    </w:p>
    <w:p>
      <w:pPr>
        <w:tabs>
          <w:tab w:pos="8701" w:val="left" w:leader="dot"/>
        </w:tabs>
        <w:spacing w:before="180"/>
        <w:ind w:left="418" w:right="0" w:firstLine="0"/>
        <w:jc w:val="left"/>
        <w:rPr>
          <w:sz w:val="24"/>
        </w:rPr>
      </w:pPr>
      <w:hyperlink w:history="true" w:anchor="_bookmark30">
        <w:r>
          <w:rPr>
            <w:sz w:val="24"/>
          </w:rPr>
          <w:t>防火卷帘、防火门、防火窗施工及验收规范 GB 50877-2014</w:t>
          <w:tab/>
          <w:t>1484</w:t>
        </w:r>
      </w:hyperlink>
    </w:p>
    <w:p>
      <w:pPr>
        <w:tabs>
          <w:tab w:pos="8701" w:val="left" w:leader="dot"/>
        </w:tabs>
        <w:spacing w:before="180"/>
        <w:ind w:left="418" w:right="0" w:firstLine="0"/>
        <w:jc w:val="left"/>
        <w:rPr>
          <w:sz w:val="24"/>
        </w:rPr>
      </w:pPr>
      <w:hyperlink w:history="true" w:anchor="_bookmark31">
        <w:r>
          <w:rPr>
            <w:sz w:val="24"/>
          </w:rPr>
          <w:t>城市消防规划规范</w:t>
        </w:r>
        <w:r>
          <w:rPr>
            <w:spacing w:val="-1"/>
            <w:sz w:val="24"/>
          </w:rPr>
          <w:t> </w:t>
        </w:r>
        <w:r>
          <w:rPr>
            <w:sz w:val="24"/>
          </w:rPr>
          <w:t>GB 51080-2015</w:t>
          <w:tab/>
          <w:t>1513</w:t>
        </w:r>
      </w:hyperlink>
    </w:p>
    <w:p>
      <w:pPr>
        <w:tabs>
          <w:tab w:pos="8701" w:val="left" w:leader="dot"/>
        </w:tabs>
        <w:spacing w:before="182"/>
        <w:ind w:left="418" w:right="0" w:firstLine="0"/>
        <w:jc w:val="left"/>
        <w:rPr>
          <w:sz w:val="24"/>
        </w:rPr>
      </w:pPr>
      <w:hyperlink w:history="true" w:anchor="_bookmark32">
        <w:r>
          <w:rPr>
            <w:sz w:val="24"/>
          </w:rPr>
          <w:t>建筑防烟排烟系统技术标准</w:t>
        </w:r>
        <w:r>
          <w:rPr>
            <w:spacing w:val="-1"/>
            <w:sz w:val="24"/>
          </w:rPr>
          <w:t> </w:t>
        </w:r>
        <w:r>
          <w:rPr>
            <w:sz w:val="24"/>
          </w:rPr>
          <w:t>GB 51251-2017</w:t>
          <w:tab/>
          <w:t>1521</w:t>
        </w:r>
      </w:hyperlink>
    </w:p>
    <w:p>
      <w:pPr>
        <w:tabs>
          <w:tab w:pos="8701" w:val="left" w:leader="dot"/>
        </w:tabs>
        <w:spacing w:before="180"/>
        <w:ind w:left="418" w:right="0" w:firstLine="0"/>
        <w:jc w:val="left"/>
        <w:rPr>
          <w:sz w:val="24"/>
        </w:rPr>
      </w:pPr>
      <w:hyperlink w:history="true" w:anchor="_bookmark33">
        <w:r>
          <w:rPr>
            <w:sz w:val="24"/>
          </w:rPr>
          <w:t>建筑内部装修设计防火规范 GB 50222-2017</w:t>
          <w:tab/>
          <w:t>1561</w:t>
        </w:r>
      </w:hyperlink>
    </w:p>
    <w:p>
      <w:pPr>
        <w:tabs>
          <w:tab w:pos="8701" w:val="left" w:leader="dot"/>
        </w:tabs>
        <w:spacing w:before="180"/>
        <w:ind w:left="418" w:right="0" w:firstLine="0"/>
        <w:jc w:val="left"/>
        <w:rPr>
          <w:sz w:val="24"/>
        </w:rPr>
      </w:pPr>
      <w:hyperlink w:history="true" w:anchor="_bookmark34">
        <w:r>
          <w:rPr>
            <w:sz w:val="24"/>
          </w:rPr>
          <w:t>自动喷水灭火系统设计规范 GB 50084-2017</w:t>
          <w:tab/>
          <w:t>1572</w:t>
        </w:r>
      </w:hyperlink>
    </w:p>
    <w:p>
      <w:pPr>
        <w:tabs>
          <w:tab w:pos="8701" w:val="left" w:leader="dot"/>
        </w:tabs>
        <w:spacing w:before="182"/>
        <w:ind w:left="418" w:right="0" w:firstLine="0"/>
        <w:jc w:val="left"/>
        <w:rPr>
          <w:sz w:val="24"/>
        </w:rPr>
      </w:pPr>
      <w:hyperlink w:history="true" w:anchor="_bookmark35">
        <w:r>
          <w:rPr>
            <w:sz w:val="24"/>
          </w:rPr>
          <w:t>地铁设计防火标准</w:t>
        </w:r>
        <w:r>
          <w:rPr>
            <w:spacing w:val="-1"/>
            <w:sz w:val="24"/>
          </w:rPr>
          <w:t> </w:t>
        </w:r>
        <w:r>
          <w:rPr>
            <w:sz w:val="24"/>
          </w:rPr>
          <w:t>GB 51298 -2018</w:t>
          <w:tab/>
          <w:t>1608</w:t>
        </w:r>
      </w:hyperlink>
    </w:p>
    <w:p>
      <w:pPr>
        <w:tabs>
          <w:tab w:pos="8701" w:val="left" w:leader="dot"/>
        </w:tabs>
        <w:spacing w:before="179"/>
        <w:ind w:left="418" w:right="0" w:firstLine="0"/>
        <w:jc w:val="left"/>
        <w:rPr>
          <w:sz w:val="24"/>
        </w:rPr>
      </w:pPr>
      <w:hyperlink w:history="true" w:anchor="_bookmark36">
        <w:r>
          <w:rPr>
            <w:sz w:val="24"/>
          </w:rPr>
          <w:t>消防通信指挥系统设计规范</w:t>
        </w:r>
        <w:r>
          <w:rPr>
            <w:spacing w:val="-1"/>
            <w:sz w:val="24"/>
          </w:rPr>
          <w:t> </w:t>
        </w:r>
        <w:r>
          <w:rPr>
            <w:sz w:val="24"/>
          </w:rPr>
          <w:t>GB50313-2013</w:t>
          <w:tab/>
          <w:t>1637</w:t>
        </w:r>
      </w:hyperlink>
    </w:p>
    <w:p>
      <w:pPr>
        <w:pStyle w:val="BodyText"/>
        <w:spacing w:before="1"/>
        <w:rPr>
          <w:sz w:val="31"/>
        </w:rPr>
      </w:pPr>
    </w:p>
    <w:p>
      <w:pPr>
        <w:spacing w:before="1"/>
        <w:ind w:left="418" w:right="0" w:firstLine="0"/>
        <w:jc w:val="left"/>
        <w:rPr>
          <w:b/>
          <w:sz w:val="24"/>
        </w:rPr>
      </w:pPr>
      <w:r>
        <w:rPr>
          <w:b/>
          <w:sz w:val="24"/>
        </w:rPr>
        <w:t>（二）森林消防国家标准</w:t>
      </w:r>
      <w:r>
        <w:rPr>
          <w:b/>
          <w:w w:val="99"/>
          <w:sz w:val="24"/>
        </w:rPr>
        <w:t> </w:t>
      </w:r>
    </w:p>
    <w:p>
      <w:pPr>
        <w:pStyle w:val="BodyText"/>
        <w:rPr>
          <w:b/>
          <w:sz w:val="19"/>
        </w:rPr>
      </w:pPr>
    </w:p>
    <w:p>
      <w:pPr>
        <w:tabs>
          <w:tab w:pos="8701" w:val="left" w:leader="dot"/>
        </w:tabs>
        <w:spacing w:before="1"/>
        <w:ind w:left="418" w:right="0" w:firstLine="0"/>
        <w:jc w:val="left"/>
        <w:rPr>
          <w:sz w:val="24"/>
        </w:rPr>
      </w:pPr>
      <w:hyperlink w:history="true" w:anchor="_bookmark37">
        <w:r>
          <w:rPr>
            <w:sz w:val="24"/>
          </w:rPr>
          <w:t>便携式风力灭火机</w:t>
        </w:r>
        <w:r>
          <w:rPr>
            <w:spacing w:val="-1"/>
            <w:sz w:val="24"/>
          </w:rPr>
          <w:t> </w:t>
        </w:r>
        <w:r>
          <w:rPr>
            <w:sz w:val="24"/>
          </w:rPr>
          <w:t>通用技术条件 GB 10280-1988</w:t>
          <w:tab/>
          <w:t>1673</w:t>
        </w:r>
      </w:hyperlink>
    </w:p>
    <w:p>
      <w:pPr>
        <w:tabs>
          <w:tab w:pos="8701" w:val="left" w:leader="dot"/>
        </w:tabs>
        <w:spacing w:before="179"/>
        <w:ind w:left="418" w:right="0" w:firstLine="0"/>
        <w:jc w:val="left"/>
        <w:rPr>
          <w:sz w:val="24"/>
        </w:rPr>
      </w:pPr>
      <w:hyperlink w:history="true" w:anchor="_bookmark38">
        <w:r>
          <w:rPr>
            <w:sz w:val="24"/>
          </w:rPr>
          <w:t>便携式风力灭火机</w:t>
        </w:r>
        <w:r>
          <w:rPr>
            <w:spacing w:val="-1"/>
            <w:sz w:val="24"/>
          </w:rPr>
          <w:t> </w:t>
        </w:r>
        <w:r>
          <w:rPr>
            <w:sz w:val="24"/>
          </w:rPr>
          <w:t>台架试验方法 GB/T 10281-1999</w:t>
          <w:tab/>
          <w:t>1677</w:t>
        </w:r>
      </w:hyperlink>
    </w:p>
    <w:p>
      <w:pPr>
        <w:tabs>
          <w:tab w:pos="8701" w:val="left" w:leader="dot"/>
        </w:tabs>
        <w:spacing w:before="182"/>
        <w:ind w:left="418" w:right="0" w:firstLine="0"/>
        <w:jc w:val="left"/>
        <w:rPr>
          <w:sz w:val="24"/>
        </w:rPr>
      </w:pPr>
      <w:hyperlink w:history="true" w:anchor="_bookmark39">
        <w:r>
          <w:rPr>
            <w:sz w:val="24"/>
          </w:rPr>
          <w:t>便携式风力灭火机手感振动的测定 GB/T 10283-1999</w:t>
          <w:tab/>
          <w:t>1687</w:t>
        </w:r>
      </w:hyperlink>
    </w:p>
    <w:p>
      <w:pPr>
        <w:tabs>
          <w:tab w:pos="8701" w:val="left" w:leader="dot"/>
        </w:tabs>
        <w:spacing w:before="180"/>
        <w:ind w:left="418" w:right="0" w:firstLine="0"/>
        <w:jc w:val="left"/>
        <w:rPr>
          <w:sz w:val="24"/>
        </w:rPr>
      </w:pPr>
      <w:hyperlink w:history="true" w:anchor="_bookmark40">
        <w:r>
          <w:rPr>
            <w:sz w:val="24"/>
          </w:rPr>
          <w:t>森林火险气象预警</w:t>
        </w:r>
        <w:r>
          <w:rPr>
            <w:spacing w:val="-1"/>
            <w:sz w:val="24"/>
          </w:rPr>
          <w:t> </w:t>
        </w:r>
        <w:r>
          <w:rPr>
            <w:sz w:val="24"/>
          </w:rPr>
          <w:t>GB/T 31164-2014</w:t>
          <w:tab/>
          <w:t>1696</w:t>
        </w:r>
      </w:hyperlink>
    </w:p>
    <w:p>
      <w:pPr>
        <w:tabs>
          <w:tab w:pos="8701" w:val="left" w:leader="dot"/>
        </w:tabs>
        <w:spacing w:before="180"/>
        <w:ind w:left="418" w:right="0" w:firstLine="0"/>
        <w:jc w:val="left"/>
        <w:rPr>
          <w:sz w:val="24"/>
        </w:rPr>
      </w:pPr>
      <w:hyperlink w:history="true" w:anchor="_bookmark41">
        <w:r>
          <w:rPr>
            <w:sz w:val="24"/>
          </w:rPr>
          <w:t>防护服装</w:t>
        </w:r>
        <w:r>
          <w:rPr>
            <w:spacing w:val="119"/>
            <w:sz w:val="24"/>
          </w:rPr>
          <w:t> </w:t>
        </w:r>
        <w:r>
          <w:rPr>
            <w:sz w:val="24"/>
          </w:rPr>
          <w:t>森林防火服 GB/T 33536-2017</w:t>
          <w:tab/>
          <w:t>1698</w:t>
        </w:r>
      </w:hyperlink>
    </w:p>
    <w:p>
      <w:pPr>
        <w:spacing w:line="531" w:lineRule="exact" w:before="119"/>
        <w:ind w:left="0" w:right="798" w:firstLine="0"/>
        <w:jc w:val="center"/>
        <w:rPr>
          <w:sz w:val="44"/>
        </w:rPr>
      </w:pPr>
      <w:r>
        <w:rPr>
          <w:w w:val="99"/>
          <w:sz w:val="44"/>
        </w:rPr>
        <w:t> </w:t>
      </w:r>
    </w:p>
    <w:p>
      <w:pPr>
        <w:spacing w:line="529" w:lineRule="exact" w:before="0"/>
        <w:ind w:left="0" w:right="798" w:firstLine="0"/>
        <w:jc w:val="center"/>
        <w:rPr>
          <w:sz w:val="44"/>
        </w:rPr>
      </w:pPr>
      <w:r>
        <w:rPr>
          <w:w w:val="99"/>
          <w:sz w:val="44"/>
        </w:rPr>
        <w:t> </w:t>
      </w:r>
    </w:p>
    <w:p>
      <w:pPr>
        <w:spacing w:line="471" w:lineRule="exact" w:before="0"/>
        <w:ind w:left="418" w:right="0" w:firstLine="0"/>
        <w:jc w:val="left"/>
        <w:rPr>
          <w:sz w:val="44"/>
        </w:rPr>
      </w:pPr>
      <w:r>
        <w:rPr>
          <w:w w:val="99"/>
          <w:sz w:val="44"/>
        </w:rPr>
        <w:t> </w:t>
      </w:r>
    </w:p>
    <w:p>
      <w:pPr>
        <w:spacing w:line="500" w:lineRule="exact" w:before="0"/>
        <w:ind w:left="418" w:right="0" w:firstLine="0"/>
        <w:jc w:val="left"/>
        <w:rPr>
          <w:sz w:val="44"/>
        </w:rPr>
      </w:pPr>
      <w:r>
        <w:rPr>
          <w:w w:val="99"/>
          <w:sz w:val="44"/>
        </w:rPr>
        <w:t> </w:t>
      </w:r>
    </w:p>
    <w:p>
      <w:pPr>
        <w:spacing w:line="499" w:lineRule="exact" w:before="0"/>
        <w:ind w:left="418" w:right="0" w:firstLine="0"/>
        <w:jc w:val="left"/>
        <w:rPr>
          <w:sz w:val="44"/>
        </w:rPr>
      </w:pPr>
      <w:r>
        <w:rPr>
          <w:w w:val="99"/>
          <w:sz w:val="44"/>
        </w:rPr>
        <w:t> </w:t>
      </w:r>
    </w:p>
    <w:p>
      <w:pPr>
        <w:spacing w:line="501" w:lineRule="exact" w:before="0"/>
        <w:ind w:left="418" w:right="0" w:firstLine="0"/>
        <w:jc w:val="left"/>
        <w:rPr>
          <w:sz w:val="44"/>
        </w:rPr>
      </w:pPr>
      <w:r>
        <w:rPr>
          <w:w w:val="99"/>
          <w:sz w:val="44"/>
        </w:rPr>
        <w:t> </w:t>
      </w:r>
    </w:p>
    <w:p>
      <w:pPr>
        <w:spacing w:line="501" w:lineRule="exact" w:before="0"/>
        <w:ind w:left="418" w:right="0" w:firstLine="0"/>
        <w:jc w:val="left"/>
        <w:rPr>
          <w:sz w:val="44"/>
        </w:rPr>
      </w:pPr>
      <w:r>
        <w:rPr>
          <w:w w:val="99"/>
          <w:sz w:val="44"/>
        </w:rPr>
        <w:t> </w:t>
      </w:r>
    </w:p>
    <w:p>
      <w:pPr>
        <w:spacing w:line="499" w:lineRule="exact" w:before="0"/>
        <w:ind w:left="418" w:right="0" w:firstLine="0"/>
        <w:jc w:val="left"/>
        <w:rPr>
          <w:sz w:val="44"/>
        </w:rPr>
      </w:pPr>
      <w:r>
        <w:rPr>
          <w:w w:val="99"/>
          <w:sz w:val="44"/>
        </w:rPr>
        <w:t> </w:t>
      </w:r>
    </w:p>
    <w:p>
      <w:pPr>
        <w:spacing w:line="500" w:lineRule="exact" w:before="0"/>
        <w:ind w:left="418" w:right="0" w:firstLine="0"/>
        <w:jc w:val="left"/>
        <w:rPr>
          <w:sz w:val="44"/>
        </w:rPr>
      </w:pPr>
      <w:r>
        <w:rPr>
          <w:w w:val="99"/>
          <w:sz w:val="44"/>
        </w:rPr>
        <w:t> </w:t>
      </w:r>
    </w:p>
    <w:p>
      <w:pPr>
        <w:spacing w:line="533" w:lineRule="exact" w:before="0"/>
        <w:ind w:left="418" w:right="0" w:firstLine="0"/>
        <w:jc w:val="left"/>
        <w:rPr>
          <w:sz w:val="44"/>
        </w:rPr>
      </w:pPr>
      <w:r>
        <w:rPr>
          <w:w w:val="99"/>
          <w:sz w:val="44"/>
        </w:rPr>
        <w:t> </w:t>
      </w:r>
    </w:p>
    <w:p>
      <w:pPr>
        <w:spacing w:after="0" w:line="533" w:lineRule="exact"/>
        <w:jc w:val="left"/>
        <w:rPr>
          <w:sz w:val="44"/>
        </w:rPr>
        <w:sectPr>
          <w:pgSz w:w="11910" w:h="16850"/>
          <w:pgMar w:header="0" w:footer="983" w:top="1040" w:bottom="118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p>
    <w:p>
      <w:pPr>
        <w:spacing w:before="28"/>
        <w:ind w:left="0" w:right="758" w:firstLine="0"/>
        <w:jc w:val="center"/>
        <w:rPr>
          <w:b/>
          <w:sz w:val="52"/>
        </w:rPr>
      </w:pPr>
      <w:bookmarkStart w:name="_bookmark0" w:id="1"/>
      <w:bookmarkEnd w:id="1"/>
      <w:r>
        <w:rPr/>
      </w:r>
      <w:r>
        <w:rPr>
          <w:b/>
          <w:sz w:val="52"/>
        </w:rPr>
        <w:t>第五部分 相关标准</w:t>
      </w:r>
      <w:r>
        <w:rPr>
          <w:b/>
          <w:w w:val="99"/>
          <w:sz w:val="52"/>
        </w:rPr>
        <w:t> </w:t>
      </w:r>
    </w:p>
    <w:p>
      <w:pPr>
        <w:spacing w:after="0"/>
        <w:jc w:val="center"/>
        <w:rPr>
          <w:sz w:val="52"/>
        </w:rPr>
        <w:sectPr>
          <w:footerReference w:type="default" r:id="rId23"/>
          <w:pgSz w:w="11910" w:h="16850"/>
          <w:pgMar w:footer="1239" w:header="0" w:top="1600" w:bottom="1420" w:left="1260" w:right="0"/>
          <w:pgNumType w:start="780"/>
        </w:sectPr>
      </w:pPr>
    </w:p>
    <w:p>
      <w:pPr>
        <w:pStyle w:val="BodyText"/>
        <w:spacing w:before="5"/>
        <w:rPr>
          <w:b/>
          <w:sz w:val="13"/>
        </w:rPr>
      </w:pPr>
    </w:p>
    <w:p>
      <w:pPr>
        <w:pStyle w:val="Heading1"/>
        <w:spacing w:before="49"/>
      </w:pPr>
      <w:r>
        <w:rPr/>
        <w:t>一、国 家 标 准</w:t>
      </w:r>
      <w:r>
        <w:rPr>
          <w:w w:val="99"/>
        </w:rPr>
        <w:t> </w:t>
      </w:r>
    </w:p>
    <w:p>
      <w:pPr>
        <w:pStyle w:val="BodyText"/>
        <w:spacing w:before="2"/>
        <w:rPr>
          <w:b/>
          <w:sz w:val="30"/>
        </w:rPr>
      </w:pPr>
    </w:p>
    <w:p>
      <w:pPr>
        <w:spacing w:before="0"/>
        <w:ind w:left="418" w:right="0" w:firstLine="0"/>
        <w:jc w:val="left"/>
        <w:rPr>
          <w:b/>
          <w:sz w:val="36"/>
        </w:rPr>
      </w:pPr>
      <w:r>
        <w:rPr>
          <w:b/>
          <w:sz w:val="36"/>
        </w:rPr>
        <w:t>（一）城市消防国家标准</w:t>
      </w:r>
      <w:r>
        <w:rPr>
          <w:b/>
          <w:w w:val="99"/>
          <w:sz w:val="36"/>
        </w:rPr>
        <w:t> </w:t>
      </w:r>
    </w:p>
    <w:p>
      <w:pPr>
        <w:pStyle w:val="BodyText"/>
        <w:spacing w:before="6"/>
        <w:rPr>
          <w:b/>
          <w:sz w:val="45"/>
        </w:rPr>
      </w:pPr>
    </w:p>
    <w:p>
      <w:pPr>
        <w:pStyle w:val="Heading2"/>
        <w:spacing w:before="0"/>
        <w:ind w:right="868"/>
      </w:pPr>
      <w:bookmarkStart w:name="_bookmark1" w:id="2"/>
      <w:bookmarkEnd w:id="2"/>
      <w:r>
        <w:rPr>
          <w:b w:val="0"/>
        </w:rPr>
      </w:r>
      <w:r>
        <w:rPr/>
        <w:t>消防水枪</w:t>
      </w:r>
      <w:r>
        <w:rPr>
          <w:w w:val="99"/>
        </w:rPr>
        <w:t> </w:t>
      </w:r>
    </w:p>
    <w:p>
      <w:pPr>
        <w:pStyle w:val="BodyText"/>
        <w:spacing w:before="4"/>
        <w:rPr>
          <w:b/>
          <w:sz w:val="39"/>
        </w:rPr>
      </w:pPr>
    </w:p>
    <w:p>
      <w:pPr>
        <w:pStyle w:val="Heading4"/>
        <w:spacing w:before="1"/>
      </w:pPr>
      <w:r>
        <w:rPr/>
        <w:t>1 范围</w:t>
      </w:r>
      <w:r>
        <w:rPr>
          <w:w w:val="99"/>
        </w:rPr>
        <w:t> </w:t>
      </w:r>
    </w:p>
    <w:p>
      <w:pPr>
        <w:pStyle w:val="BodyText"/>
        <w:spacing w:before="6"/>
        <w:rPr>
          <w:b/>
          <w:sz w:val="17"/>
        </w:rPr>
      </w:pPr>
    </w:p>
    <w:p>
      <w:pPr>
        <w:pStyle w:val="BodyText"/>
        <w:spacing w:line="446" w:lineRule="auto"/>
        <w:ind w:left="838" w:right="2717"/>
      </w:pPr>
      <w:r>
        <w:rPr>
          <w:spacing w:val="-8"/>
        </w:rPr>
        <w:t>本标准适用于工作压力为 </w:t>
      </w:r>
      <w:r>
        <w:rPr/>
        <w:t>0.20～4.0 MPa</w:t>
      </w:r>
      <w:r>
        <w:rPr>
          <w:spacing w:val="-10"/>
        </w:rPr>
        <w:t>、流量不大于 </w:t>
      </w:r>
      <w:r>
        <w:rPr/>
        <w:t>16 L/s</w:t>
      </w:r>
      <w:r>
        <w:rPr>
          <w:spacing w:val="-10"/>
        </w:rPr>
        <w:t> 的消防水枪。</w:t>
      </w:r>
      <w:r>
        <w:rPr>
          <w:spacing w:val="-5"/>
        </w:rPr>
        <w:t>本标准不适用于脉冲气压喷雾水枪。</w:t>
      </w:r>
      <w:r>
        <w:rPr/>
        <w:t> </w:t>
      </w:r>
    </w:p>
    <w:p>
      <w:pPr>
        <w:pStyle w:val="Heading4"/>
        <w:spacing w:line="275" w:lineRule="exact"/>
      </w:pPr>
      <w:r>
        <w:rPr/>
        <w:t>2 规范性引用文件</w:t>
      </w:r>
      <w:r>
        <w:rPr>
          <w:w w:val="99"/>
        </w:rPr>
        <w:t> </w:t>
      </w:r>
    </w:p>
    <w:p>
      <w:pPr>
        <w:pStyle w:val="BodyText"/>
        <w:spacing w:before="6"/>
        <w:rPr>
          <w:b/>
          <w:sz w:val="17"/>
        </w:rPr>
      </w:pPr>
    </w:p>
    <w:p>
      <w:pPr>
        <w:pStyle w:val="BodyText"/>
        <w:spacing w:line="446" w:lineRule="auto"/>
        <w:ind w:left="418" w:right="1431" w:firstLine="419"/>
        <w:jc w:val="both"/>
      </w:pPr>
      <w:r>
        <w:rPr>
          <w:spacing w:val="-5"/>
        </w:rPr>
        <w:t>下列文件中的条款通过本标准的引用而成为本标准的条款。凡是注日期的引用文件，其随后</w:t>
      </w:r>
      <w:r>
        <w:rPr>
          <w:spacing w:val="-6"/>
        </w:rPr>
        <w:t>所有的修改单(不包括勘误的内容)或修订版均不适用于本标准，然而，鼓励根据本标准达成协议的各方研究是否可使用这些文件的最新版本。凡是不注日期的引用文件，其最新版本适用于本标</w:t>
      </w:r>
      <w:r>
        <w:rPr>
          <w:spacing w:val="-5"/>
        </w:rPr>
        <w:t>准。</w:t>
      </w:r>
      <w:r>
        <w:rPr/>
        <w:t> </w:t>
      </w:r>
    </w:p>
    <w:p>
      <w:pPr>
        <w:pStyle w:val="BodyText"/>
        <w:spacing w:line="446" w:lineRule="auto"/>
        <w:ind w:left="838" w:right="2348"/>
        <w:jc w:val="both"/>
      </w:pPr>
      <w:r>
        <w:rPr/>
        <w:t>GB/T 197 普通螺纹 公差与配合(GB/T 197—2003，ISO 965-1：1998，MOD) GB/T 1173 铸造铝合金 </w:t>
      </w:r>
    </w:p>
    <w:p>
      <w:pPr>
        <w:pStyle w:val="BodyText"/>
        <w:ind w:left="838"/>
        <w:jc w:val="both"/>
      </w:pPr>
      <w:r>
        <w:rPr/>
        <w:t>GB/T 1176  铸造铜合金技术条件(GB/T 176—1987，neq ISO 1338：1977) </w:t>
      </w:r>
    </w:p>
    <w:p>
      <w:pPr>
        <w:pStyle w:val="BodyText"/>
        <w:spacing w:before="10"/>
        <w:rPr>
          <w:sz w:val="17"/>
        </w:rPr>
      </w:pPr>
    </w:p>
    <w:p>
      <w:pPr>
        <w:pStyle w:val="BodyText"/>
        <w:spacing w:line="446" w:lineRule="auto"/>
        <w:ind w:left="418" w:right="1433" w:firstLine="419"/>
        <w:jc w:val="both"/>
      </w:pPr>
      <w:r>
        <w:rPr/>
        <w:t>GB</w:t>
      </w:r>
      <w:r>
        <w:rPr>
          <w:spacing w:val="58"/>
        </w:rPr>
        <w:t> </w:t>
      </w:r>
      <w:r>
        <w:rPr/>
        <w:t>3452.1</w:t>
      </w:r>
      <w:r>
        <w:rPr>
          <w:spacing w:val="10"/>
        </w:rPr>
        <w:t> 液压气动用 </w:t>
      </w:r>
      <w:r>
        <w:rPr/>
        <w:t>O</w:t>
      </w:r>
      <w:r>
        <w:rPr>
          <w:spacing w:val="6"/>
        </w:rPr>
        <w:t> 形橡胶密封圈 第 </w:t>
      </w:r>
      <w:r>
        <w:rPr/>
        <w:t>1 部分：尺寸系列及公差(GB</w:t>
      </w:r>
      <w:r>
        <w:rPr>
          <w:spacing w:val="56"/>
        </w:rPr>
        <w:t> </w:t>
      </w:r>
      <w:r>
        <w:rPr/>
        <w:t>3452.1— 2005ISO 3601-1：2002，MOD) </w:t>
      </w:r>
    </w:p>
    <w:p>
      <w:pPr>
        <w:pStyle w:val="BodyText"/>
        <w:spacing w:line="446" w:lineRule="auto" w:before="1"/>
        <w:ind w:left="838" w:right="6654"/>
        <w:jc w:val="both"/>
      </w:pPr>
      <w:r>
        <w:rPr/>
        <w:t>GB</w:t>
      </w:r>
      <w:r>
        <w:rPr>
          <w:spacing w:val="2"/>
        </w:rPr>
        <w:t> </w:t>
      </w:r>
      <w:r>
        <w:rPr/>
        <w:t>12514</w:t>
      </w:r>
      <w:r>
        <w:rPr>
          <w:spacing w:val="-3"/>
        </w:rPr>
        <w:t>(所有部分) 消防接口</w:t>
      </w:r>
      <w:r>
        <w:rPr/>
        <w:t>GB/T 15115</w:t>
      </w:r>
      <w:r>
        <w:rPr>
          <w:spacing w:val="-2"/>
        </w:rPr>
        <w:t>  压铸铝合金 </w:t>
      </w:r>
    </w:p>
    <w:p>
      <w:pPr>
        <w:pStyle w:val="BodyText"/>
        <w:spacing w:line="267" w:lineRule="exact"/>
        <w:ind w:left="838"/>
        <w:jc w:val="both"/>
      </w:pPr>
      <w:r>
        <w:rPr/>
        <w:t>GB/T</w:t>
      </w:r>
      <w:r>
        <w:rPr>
          <w:spacing w:val="1"/>
        </w:rPr>
        <w:t> </w:t>
      </w:r>
      <w:r>
        <w:rPr/>
        <w:t>15116</w:t>
      </w:r>
      <w:r>
        <w:rPr>
          <w:spacing w:val="-2"/>
        </w:rPr>
        <w:t>   压铸铜合金 </w:t>
      </w:r>
    </w:p>
    <w:p>
      <w:pPr>
        <w:pStyle w:val="BodyText"/>
        <w:spacing w:before="10"/>
        <w:rPr>
          <w:sz w:val="15"/>
        </w:rPr>
      </w:pPr>
    </w:p>
    <w:p>
      <w:pPr>
        <w:pStyle w:val="Heading4"/>
      </w:pPr>
      <w:r>
        <w:rPr/>
        <w:t>3 术语和定义</w:t>
      </w:r>
      <w:r>
        <w:rPr>
          <w:w w:val="99"/>
        </w:rPr>
        <w:t> </w:t>
      </w:r>
    </w:p>
    <w:p>
      <w:pPr>
        <w:pStyle w:val="BodyText"/>
        <w:spacing w:before="4"/>
        <w:rPr>
          <w:b/>
          <w:sz w:val="17"/>
        </w:rPr>
      </w:pPr>
    </w:p>
    <w:p>
      <w:pPr>
        <w:pStyle w:val="BodyText"/>
        <w:ind w:left="838"/>
      </w:pPr>
      <w:r>
        <w:rPr/>
        <w:t>下列术语和定义适用于本标准。 </w:t>
      </w:r>
    </w:p>
    <w:p>
      <w:pPr>
        <w:pStyle w:val="BodyText"/>
        <w:spacing w:before="12"/>
        <w:rPr>
          <w:sz w:val="17"/>
        </w:rPr>
      </w:pPr>
    </w:p>
    <w:p>
      <w:pPr>
        <w:pStyle w:val="ListParagraph"/>
        <w:numPr>
          <w:ilvl w:val="1"/>
          <w:numId w:val="1"/>
        </w:numPr>
        <w:tabs>
          <w:tab w:pos="1159" w:val="left" w:leader="none"/>
        </w:tabs>
        <w:spacing w:line="240" w:lineRule="auto" w:before="0" w:after="0"/>
        <w:ind w:left="1158" w:right="0" w:hanging="319"/>
        <w:jc w:val="left"/>
        <w:rPr>
          <w:sz w:val="21"/>
        </w:rPr>
      </w:pPr>
      <w:r>
        <w:rPr>
          <w:spacing w:val="4"/>
          <w:sz w:val="21"/>
        </w:rPr>
        <w:t>消防水枪(以下简称为水枪) </w:t>
      </w:r>
      <w:r>
        <w:rPr>
          <w:sz w:val="21"/>
        </w:rPr>
        <w:t>fire</w:t>
      </w:r>
      <w:r>
        <w:rPr>
          <w:spacing w:val="1"/>
          <w:sz w:val="21"/>
        </w:rPr>
        <w:t> </w:t>
      </w:r>
      <w:r>
        <w:rPr>
          <w:sz w:val="21"/>
        </w:rPr>
        <w:t>nozzles </w:t>
      </w:r>
    </w:p>
    <w:p>
      <w:pPr>
        <w:pStyle w:val="BodyText"/>
        <w:spacing w:before="2"/>
        <w:rPr>
          <w:sz w:val="18"/>
        </w:rPr>
      </w:pPr>
    </w:p>
    <w:p>
      <w:pPr>
        <w:pStyle w:val="BodyText"/>
        <w:spacing w:before="1"/>
        <w:ind w:left="838"/>
      </w:pPr>
      <w:r>
        <w:rPr/>
        <w:t>由单人或多人携带和操作的以水作为灭火剂的喷射管枪。 </w:t>
      </w:r>
    </w:p>
    <w:p>
      <w:pPr>
        <w:pStyle w:val="BodyText"/>
        <w:spacing w:before="12"/>
        <w:rPr>
          <w:sz w:val="17"/>
        </w:rPr>
      </w:pPr>
    </w:p>
    <w:p>
      <w:pPr>
        <w:pStyle w:val="BodyText"/>
        <w:ind w:left="838"/>
      </w:pPr>
      <w:r>
        <w:rPr/>
        <w:t>水枪通常由接口、枪体、开关和喷嘴或能形成不同形式射流的装置组成。 </w:t>
      </w:r>
    </w:p>
    <w:p>
      <w:pPr>
        <w:spacing w:after="0"/>
        <w:sectPr>
          <w:pgSz w:w="11910" w:h="16850"/>
          <w:pgMar w:header="0" w:footer="1239" w:top="1600" w:bottom="1420" w:left="1260" w:right="0"/>
        </w:sectPr>
      </w:pPr>
    </w:p>
    <w:p>
      <w:pPr>
        <w:pStyle w:val="ListParagraph"/>
        <w:numPr>
          <w:ilvl w:val="1"/>
          <w:numId w:val="1"/>
        </w:numPr>
        <w:tabs>
          <w:tab w:pos="1159" w:val="left" w:leader="none"/>
        </w:tabs>
        <w:spacing w:line="240" w:lineRule="auto" w:before="47" w:after="0"/>
        <w:ind w:left="1158" w:right="0" w:hanging="319"/>
        <w:jc w:val="left"/>
        <w:rPr>
          <w:sz w:val="21"/>
        </w:rPr>
      </w:pPr>
      <w:r>
        <w:rPr>
          <w:spacing w:val="19"/>
          <w:sz w:val="21"/>
        </w:rPr>
        <w:t>充实水流 </w:t>
      </w:r>
      <w:r>
        <w:rPr>
          <w:sz w:val="21"/>
        </w:rPr>
        <w:t>solid</w:t>
      </w:r>
      <w:r>
        <w:rPr>
          <w:spacing w:val="104"/>
          <w:sz w:val="21"/>
        </w:rPr>
        <w:t> </w:t>
      </w:r>
      <w:r>
        <w:rPr>
          <w:sz w:val="21"/>
        </w:rPr>
        <w:t>stream </w:t>
      </w:r>
    </w:p>
    <w:p>
      <w:pPr>
        <w:pStyle w:val="BodyText"/>
        <w:rPr>
          <w:sz w:val="18"/>
        </w:rPr>
      </w:pPr>
    </w:p>
    <w:p>
      <w:pPr>
        <w:pStyle w:val="BodyText"/>
        <w:ind w:left="838"/>
      </w:pPr>
      <w:r>
        <w:rPr/>
        <w:t>具有充实核心段的水射流。 </w:t>
      </w:r>
    </w:p>
    <w:p>
      <w:pPr>
        <w:pStyle w:val="BodyText"/>
        <w:rPr>
          <w:sz w:val="18"/>
        </w:rPr>
      </w:pPr>
    </w:p>
    <w:p>
      <w:pPr>
        <w:pStyle w:val="ListParagraph"/>
        <w:numPr>
          <w:ilvl w:val="1"/>
          <w:numId w:val="1"/>
        </w:numPr>
        <w:tabs>
          <w:tab w:pos="1159" w:val="left" w:leader="none"/>
        </w:tabs>
        <w:spacing w:line="240" w:lineRule="auto" w:before="0" w:after="0"/>
        <w:ind w:left="1158" w:right="0" w:hanging="319"/>
        <w:jc w:val="left"/>
        <w:rPr>
          <w:sz w:val="21"/>
        </w:rPr>
      </w:pPr>
      <w:r>
        <w:rPr>
          <w:spacing w:val="19"/>
          <w:sz w:val="21"/>
        </w:rPr>
        <w:t>雾状水流 </w:t>
      </w:r>
      <w:r>
        <w:rPr>
          <w:sz w:val="21"/>
        </w:rPr>
        <w:t>fog</w:t>
      </w:r>
      <w:r>
        <w:rPr>
          <w:spacing w:val="1"/>
          <w:sz w:val="21"/>
        </w:rPr>
        <w:t> </w:t>
      </w:r>
      <w:r>
        <w:rPr>
          <w:sz w:val="21"/>
        </w:rPr>
        <w:t>stream </w:t>
      </w:r>
    </w:p>
    <w:p>
      <w:pPr>
        <w:pStyle w:val="BodyText"/>
        <w:spacing w:before="1"/>
        <w:rPr>
          <w:sz w:val="18"/>
        </w:rPr>
      </w:pPr>
    </w:p>
    <w:p>
      <w:pPr>
        <w:pStyle w:val="BodyText"/>
        <w:spacing w:line="446" w:lineRule="auto" w:before="1"/>
        <w:ind w:left="840" w:right="1716" w:hanging="3"/>
        <w:rPr>
          <w:b/>
        </w:rPr>
      </w:pPr>
      <w:r>
        <w:rPr>
          <w:spacing w:val="-8"/>
        </w:rPr>
        <w:t>水滴平均粒径不大于 </w:t>
      </w:r>
      <w:r>
        <w:rPr/>
        <w:t>0.1 mm</w:t>
      </w:r>
      <w:r>
        <w:rPr>
          <w:spacing w:val="-8"/>
        </w:rPr>
        <w:t>，射流边缘夹角大于 </w:t>
      </w:r>
      <w:r>
        <w:rPr/>
        <w:t>0</w:t>
      </w:r>
      <w:r>
        <w:rPr>
          <w:spacing w:val="-3"/>
        </w:rPr>
        <w:t>°，且不具有充实核心段的水射流。</w:t>
      </w:r>
      <w:r>
        <w:rPr>
          <w:b/>
        </w:rPr>
        <w:t>3.4 </w:t>
      </w:r>
      <w:r>
        <w:rPr>
          <w:spacing w:val="5"/>
        </w:rPr>
        <w:t>开花水流(又称防护水幕) </w:t>
      </w:r>
      <w:r>
        <w:rPr/>
        <w:t>safeguarding</w:t>
      </w:r>
      <w:r>
        <w:rPr>
          <w:spacing w:val="102"/>
        </w:rPr>
        <w:t> </w:t>
      </w:r>
      <w:r>
        <w:rPr/>
        <w:t>water  stream</w:t>
      </w:r>
      <w:r>
        <w:rPr>
          <w:b/>
          <w:w w:val="99"/>
        </w:rPr>
        <w:t> </w:t>
      </w:r>
    </w:p>
    <w:p>
      <w:pPr>
        <w:pStyle w:val="BodyText"/>
        <w:spacing w:line="267" w:lineRule="exact"/>
        <w:ind w:left="838"/>
      </w:pPr>
      <w:r>
        <w:rPr/>
        <w:t>水滴平均粒径大于 0.1 mm，用来降低热辐射的伞形水射流。 </w:t>
      </w:r>
    </w:p>
    <w:p>
      <w:pPr>
        <w:pStyle w:val="BodyText"/>
        <w:spacing w:before="1"/>
        <w:rPr>
          <w:sz w:val="18"/>
        </w:rPr>
      </w:pPr>
    </w:p>
    <w:p>
      <w:pPr>
        <w:pStyle w:val="ListParagraph"/>
        <w:numPr>
          <w:ilvl w:val="1"/>
          <w:numId w:val="2"/>
        </w:numPr>
        <w:tabs>
          <w:tab w:pos="1159" w:val="left" w:leader="none"/>
        </w:tabs>
        <w:spacing w:line="240" w:lineRule="auto" w:before="1" w:after="0"/>
        <w:ind w:left="1158" w:right="0" w:hanging="319"/>
        <w:jc w:val="left"/>
        <w:rPr>
          <w:sz w:val="21"/>
        </w:rPr>
      </w:pPr>
      <w:r>
        <w:rPr>
          <w:spacing w:val="-3"/>
          <w:sz w:val="21"/>
        </w:rPr>
        <w:t>直流喷雾水枪 </w:t>
      </w:r>
      <w:r>
        <w:rPr>
          <w:sz w:val="21"/>
        </w:rPr>
        <w:t>combination nozzle with a</w:t>
      </w:r>
      <w:r>
        <w:rPr>
          <w:spacing w:val="-2"/>
          <w:sz w:val="21"/>
        </w:rPr>
        <w:t> </w:t>
      </w:r>
      <w:r>
        <w:rPr>
          <w:sz w:val="21"/>
        </w:rPr>
        <w:t>straight stream and</w:t>
      </w:r>
      <w:r>
        <w:rPr>
          <w:spacing w:val="1"/>
          <w:sz w:val="21"/>
        </w:rPr>
        <w:t> </w:t>
      </w:r>
      <w:r>
        <w:rPr>
          <w:sz w:val="21"/>
        </w:rPr>
        <w:t>a fog stream </w:t>
      </w:r>
    </w:p>
    <w:p>
      <w:pPr>
        <w:pStyle w:val="BodyText"/>
        <w:spacing w:before="12"/>
        <w:rPr>
          <w:sz w:val="17"/>
        </w:rPr>
      </w:pPr>
    </w:p>
    <w:p>
      <w:pPr>
        <w:pStyle w:val="BodyText"/>
        <w:ind w:left="838"/>
      </w:pPr>
      <w:r>
        <w:rPr/>
        <w:t>既能喷射充实水流，又能喷射雾状水流，并具有开启、关闭功能的水枪。 </w:t>
      </w:r>
    </w:p>
    <w:p>
      <w:pPr>
        <w:pStyle w:val="BodyText"/>
        <w:rPr>
          <w:sz w:val="18"/>
        </w:rPr>
      </w:pPr>
    </w:p>
    <w:p>
      <w:pPr>
        <w:pStyle w:val="ListParagraph"/>
        <w:numPr>
          <w:ilvl w:val="1"/>
          <w:numId w:val="2"/>
        </w:numPr>
        <w:tabs>
          <w:tab w:pos="1159" w:val="left" w:leader="none"/>
        </w:tabs>
        <w:spacing w:line="240" w:lineRule="auto" w:before="0" w:after="0"/>
        <w:ind w:left="1158" w:right="0" w:hanging="319"/>
        <w:jc w:val="left"/>
        <w:rPr>
          <w:sz w:val="21"/>
        </w:rPr>
      </w:pPr>
      <w:r>
        <w:rPr>
          <w:spacing w:val="-11"/>
          <w:sz w:val="21"/>
        </w:rPr>
        <w:t>直流开花水枪 </w:t>
      </w:r>
      <w:r>
        <w:rPr>
          <w:sz w:val="21"/>
        </w:rPr>
        <w:t>nozzle</w:t>
      </w:r>
      <w:r>
        <w:rPr>
          <w:spacing w:val="1"/>
          <w:sz w:val="21"/>
        </w:rPr>
        <w:t> </w:t>
      </w:r>
      <w:r>
        <w:rPr>
          <w:sz w:val="21"/>
        </w:rPr>
        <w:t>with</w:t>
      </w:r>
      <w:r>
        <w:rPr>
          <w:spacing w:val="-3"/>
          <w:sz w:val="21"/>
        </w:rPr>
        <w:t> </w:t>
      </w:r>
      <w:r>
        <w:rPr>
          <w:sz w:val="21"/>
        </w:rPr>
        <w:t>a</w:t>
      </w:r>
      <w:r>
        <w:rPr>
          <w:spacing w:val="1"/>
          <w:sz w:val="21"/>
        </w:rPr>
        <w:t> </w:t>
      </w:r>
      <w:r>
        <w:rPr>
          <w:sz w:val="21"/>
        </w:rPr>
        <w:t>straight stream</w:t>
      </w:r>
      <w:r>
        <w:rPr>
          <w:spacing w:val="1"/>
          <w:sz w:val="21"/>
        </w:rPr>
        <w:t> </w:t>
      </w:r>
      <w:r>
        <w:rPr>
          <w:sz w:val="21"/>
        </w:rPr>
        <w:t>and </w:t>
      </w:r>
      <w:r>
        <w:rPr>
          <w:spacing w:val="-3"/>
          <w:sz w:val="21"/>
        </w:rPr>
        <w:t>a</w:t>
      </w:r>
      <w:r>
        <w:rPr>
          <w:spacing w:val="1"/>
          <w:sz w:val="21"/>
        </w:rPr>
        <w:t> </w:t>
      </w:r>
      <w:r>
        <w:rPr>
          <w:sz w:val="21"/>
        </w:rPr>
        <w:t>safeguarding water</w:t>
      </w:r>
      <w:r>
        <w:rPr>
          <w:spacing w:val="1"/>
          <w:sz w:val="21"/>
        </w:rPr>
        <w:t> </w:t>
      </w:r>
      <w:r>
        <w:rPr>
          <w:sz w:val="21"/>
        </w:rPr>
        <w:t>stream </w:t>
      </w:r>
    </w:p>
    <w:p>
      <w:pPr>
        <w:pStyle w:val="BodyText"/>
        <w:spacing w:before="2"/>
        <w:rPr>
          <w:sz w:val="18"/>
        </w:rPr>
      </w:pPr>
    </w:p>
    <w:p>
      <w:pPr>
        <w:pStyle w:val="BodyText"/>
        <w:spacing w:line="446" w:lineRule="auto"/>
        <w:ind w:left="840" w:right="2977" w:hanging="3"/>
      </w:pPr>
      <w:r>
        <w:rPr/>
        <w:t>既能喷射充实水流，又能喷射开花水流，并具有开启、关闭功能的水枪。</w:t>
      </w:r>
      <w:r>
        <w:rPr>
          <w:b/>
        </w:rPr>
        <w:t>3.7 </w:t>
      </w:r>
      <w:r>
        <w:rPr/>
        <w:t>多用水枪 multi-purpose  nozzle </w:t>
      </w:r>
    </w:p>
    <w:p>
      <w:pPr>
        <w:pStyle w:val="BodyText"/>
        <w:spacing w:line="446" w:lineRule="auto"/>
        <w:ind w:left="418" w:right="1431" w:firstLine="419"/>
      </w:pPr>
      <w:r>
        <w:rPr>
          <w:spacing w:val="-6"/>
        </w:rPr>
        <w:t>既能喷射充实水流，又能喷射雾状水流，在喷射充实水流或喷射雾状水流的同时能喷射开花</w:t>
      </w:r>
      <w:r>
        <w:rPr>
          <w:spacing w:val="-4"/>
        </w:rPr>
        <w:t>水流，并具有开启、关闭功能的水枪。</w:t>
      </w:r>
      <w:r>
        <w:rPr/>
        <w:t> </w:t>
      </w:r>
    </w:p>
    <w:p>
      <w:pPr>
        <w:pStyle w:val="ListParagraph"/>
        <w:numPr>
          <w:ilvl w:val="1"/>
          <w:numId w:val="3"/>
        </w:numPr>
        <w:tabs>
          <w:tab w:pos="1159" w:val="left" w:leader="none"/>
        </w:tabs>
        <w:spacing w:line="240" w:lineRule="auto" w:before="0" w:after="0"/>
        <w:ind w:left="1158" w:right="0" w:hanging="319"/>
        <w:jc w:val="left"/>
        <w:rPr>
          <w:b/>
          <w:sz w:val="21"/>
        </w:rPr>
      </w:pPr>
      <w:r>
        <w:rPr>
          <w:spacing w:val="25"/>
          <w:sz w:val="21"/>
        </w:rPr>
        <w:t>射 程 </w:t>
      </w:r>
      <w:r>
        <w:rPr>
          <w:sz w:val="21"/>
        </w:rPr>
        <w:t>reach</w:t>
      </w:r>
      <w:r>
        <w:rPr>
          <w:b/>
          <w:w w:val="99"/>
          <w:sz w:val="21"/>
        </w:rPr>
        <w:t> </w:t>
      </w:r>
    </w:p>
    <w:p>
      <w:pPr>
        <w:pStyle w:val="BodyText"/>
        <w:spacing w:before="10"/>
        <w:rPr>
          <w:b/>
          <w:sz w:val="17"/>
        </w:rPr>
      </w:pPr>
    </w:p>
    <w:p>
      <w:pPr>
        <w:pStyle w:val="BodyText"/>
        <w:spacing w:line="446" w:lineRule="auto"/>
        <w:ind w:left="418" w:right="1443" w:firstLine="419"/>
      </w:pPr>
      <w:r>
        <w:rPr/>
        <w:t>水枪在喷射轴线上喷射水流连续散落最远处至喷嘴出口端中心在地面上的垂直投影点之间的距离折回 10%视为射程。 </w:t>
      </w:r>
    </w:p>
    <w:p>
      <w:pPr>
        <w:pStyle w:val="ListParagraph"/>
        <w:numPr>
          <w:ilvl w:val="1"/>
          <w:numId w:val="3"/>
        </w:numPr>
        <w:tabs>
          <w:tab w:pos="1159" w:val="left" w:leader="none"/>
        </w:tabs>
        <w:spacing w:line="240" w:lineRule="auto" w:before="0" w:after="0"/>
        <w:ind w:left="1158" w:right="0" w:hanging="319"/>
        <w:jc w:val="left"/>
        <w:rPr>
          <w:sz w:val="21"/>
        </w:rPr>
      </w:pPr>
      <w:r>
        <w:rPr>
          <w:spacing w:val="-3"/>
          <w:sz w:val="21"/>
        </w:rPr>
        <w:t>喷 雾 角 </w:t>
      </w:r>
      <w:r>
        <w:rPr>
          <w:sz w:val="21"/>
        </w:rPr>
        <w:t>spray</w:t>
      </w:r>
      <w:r>
        <w:rPr>
          <w:spacing w:val="14"/>
          <w:sz w:val="21"/>
        </w:rPr>
        <w:t> </w:t>
      </w:r>
      <w:r>
        <w:rPr>
          <w:sz w:val="21"/>
        </w:rPr>
        <w:t>angle </w:t>
      </w:r>
    </w:p>
    <w:p>
      <w:pPr>
        <w:pStyle w:val="BodyText"/>
        <w:spacing w:before="12"/>
        <w:rPr>
          <w:sz w:val="17"/>
        </w:rPr>
      </w:pPr>
    </w:p>
    <w:p>
      <w:pPr>
        <w:pStyle w:val="BodyText"/>
        <w:ind w:left="838"/>
      </w:pPr>
      <w:r>
        <w:rPr/>
        <w:t>雾状水流边缘间的夹角。 </w:t>
      </w:r>
    </w:p>
    <w:p>
      <w:pPr>
        <w:pStyle w:val="BodyText"/>
        <w:spacing w:before="2"/>
        <w:rPr>
          <w:sz w:val="18"/>
        </w:rPr>
      </w:pPr>
    </w:p>
    <w:p>
      <w:pPr>
        <w:pStyle w:val="ListParagraph"/>
        <w:numPr>
          <w:ilvl w:val="1"/>
          <w:numId w:val="3"/>
        </w:numPr>
        <w:tabs>
          <w:tab w:pos="1264" w:val="left" w:leader="none"/>
        </w:tabs>
        <w:spacing w:line="240" w:lineRule="auto" w:before="0" w:after="0"/>
        <w:ind w:left="1263" w:right="0" w:hanging="424"/>
        <w:jc w:val="left"/>
        <w:rPr>
          <w:b/>
          <w:sz w:val="21"/>
        </w:rPr>
      </w:pPr>
      <w:r>
        <w:rPr>
          <w:spacing w:val="-2"/>
          <w:sz w:val="21"/>
        </w:rPr>
        <w:t>开 花 角 </w:t>
      </w:r>
      <w:r>
        <w:rPr>
          <w:sz w:val="21"/>
        </w:rPr>
        <w:t>safeguarding water</w:t>
      </w:r>
      <w:r>
        <w:rPr>
          <w:spacing w:val="-6"/>
          <w:sz w:val="21"/>
        </w:rPr>
        <w:t> </w:t>
      </w:r>
      <w:r>
        <w:rPr>
          <w:sz w:val="21"/>
        </w:rPr>
        <w:t>stream angle</w:t>
      </w:r>
      <w:r>
        <w:rPr>
          <w:b/>
          <w:w w:val="99"/>
          <w:sz w:val="21"/>
        </w:rPr>
        <w:t> </w:t>
      </w:r>
    </w:p>
    <w:p>
      <w:pPr>
        <w:pStyle w:val="BodyText"/>
        <w:rPr>
          <w:b/>
          <w:sz w:val="18"/>
        </w:rPr>
      </w:pPr>
    </w:p>
    <w:p>
      <w:pPr>
        <w:pStyle w:val="BodyText"/>
        <w:ind w:left="838"/>
      </w:pPr>
      <w:r>
        <w:rPr/>
        <w:t>开花水流边缘间的夹角。 </w:t>
      </w:r>
    </w:p>
    <w:p>
      <w:pPr>
        <w:pStyle w:val="BodyText"/>
        <w:rPr>
          <w:sz w:val="18"/>
        </w:rPr>
      </w:pPr>
    </w:p>
    <w:p>
      <w:pPr>
        <w:pStyle w:val="ListParagraph"/>
        <w:numPr>
          <w:ilvl w:val="1"/>
          <w:numId w:val="3"/>
        </w:numPr>
        <w:tabs>
          <w:tab w:pos="1264" w:val="left" w:leader="none"/>
        </w:tabs>
        <w:spacing w:line="240" w:lineRule="auto" w:before="0" w:after="0"/>
        <w:ind w:left="1263" w:right="0" w:hanging="424"/>
        <w:jc w:val="left"/>
        <w:rPr>
          <w:sz w:val="21"/>
        </w:rPr>
      </w:pPr>
      <w:r>
        <w:rPr>
          <w:spacing w:val="12"/>
          <w:sz w:val="21"/>
        </w:rPr>
        <w:t>当量喷嘴直径 </w:t>
      </w:r>
      <w:r>
        <w:rPr>
          <w:sz w:val="21"/>
        </w:rPr>
        <w:t>calculated</w:t>
      </w:r>
      <w:r>
        <w:rPr>
          <w:spacing w:val="103"/>
          <w:sz w:val="21"/>
        </w:rPr>
        <w:t> </w:t>
      </w:r>
      <w:r>
        <w:rPr>
          <w:sz w:val="21"/>
        </w:rPr>
        <w:t>nozzle</w:t>
      </w:r>
      <w:r>
        <w:rPr>
          <w:spacing w:val="104"/>
          <w:sz w:val="21"/>
        </w:rPr>
        <w:t> </w:t>
      </w:r>
      <w:r>
        <w:rPr>
          <w:sz w:val="21"/>
        </w:rPr>
        <w:t>diameter </w:t>
      </w:r>
    </w:p>
    <w:p>
      <w:pPr>
        <w:pStyle w:val="BodyText"/>
        <w:spacing w:before="1"/>
        <w:rPr>
          <w:sz w:val="18"/>
        </w:rPr>
      </w:pPr>
    </w:p>
    <w:p>
      <w:pPr>
        <w:pStyle w:val="BodyText"/>
        <w:spacing w:line="446" w:lineRule="auto" w:before="1"/>
        <w:ind w:left="418" w:right="1431" w:firstLine="419"/>
      </w:pPr>
      <w:r>
        <w:rPr>
          <w:spacing w:val="-6"/>
        </w:rPr>
        <w:t>以水枪直流流量额定值和额定喷射压力为条件，流量系数为 </w:t>
      </w:r>
      <w:r>
        <w:rPr/>
        <w:t>1</w:t>
      </w:r>
      <w:r>
        <w:rPr>
          <w:spacing w:val="-7"/>
        </w:rPr>
        <w:t> 时计算的直流喷嘴直径的圆整</w:t>
      </w:r>
      <w:r>
        <w:rPr>
          <w:spacing w:val="-5"/>
        </w:rPr>
        <w:t>值。</w:t>
      </w:r>
      <w:r>
        <w:rPr/>
        <w:t> </w:t>
      </w:r>
    </w:p>
    <w:p>
      <w:pPr>
        <w:pStyle w:val="Heading4"/>
        <w:spacing w:line="275" w:lineRule="exact"/>
      </w:pPr>
      <w:r>
        <w:rPr/>
        <w:t>4 分类与型号</w:t>
      </w:r>
      <w:r>
        <w:rPr>
          <w:w w:val="99"/>
        </w:rPr>
        <w:t> </w:t>
      </w:r>
    </w:p>
    <w:p>
      <w:pPr>
        <w:pStyle w:val="BodyText"/>
        <w:spacing w:before="6"/>
        <w:rPr>
          <w:b/>
          <w:sz w:val="17"/>
        </w:rPr>
      </w:pPr>
    </w:p>
    <w:p>
      <w:pPr>
        <w:spacing w:before="0"/>
        <w:ind w:left="840" w:right="0" w:firstLine="0"/>
        <w:jc w:val="left"/>
        <w:rPr>
          <w:b/>
          <w:sz w:val="21"/>
        </w:rPr>
      </w:pPr>
      <w:r>
        <w:rPr>
          <w:b/>
          <w:sz w:val="21"/>
        </w:rPr>
        <w:t>4.1 </w:t>
      </w:r>
      <w:r>
        <w:rPr>
          <w:sz w:val="21"/>
        </w:rPr>
        <w:t>分 类</w:t>
      </w:r>
      <w:r>
        <w:rPr>
          <w:b/>
          <w:w w:val="99"/>
          <w:sz w:val="21"/>
        </w:rPr>
        <w:t> </w:t>
      </w:r>
    </w:p>
    <w:p>
      <w:pPr>
        <w:pStyle w:val="BodyText"/>
        <w:rPr>
          <w:b/>
          <w:sz w:val="18"/>
        </w:rPr>
      </w:pPr>
    </w:p>
    <w:p>
      <w:pPr>
        <w:pStyle w:val="ListParagraph"/>
        <w:numPr>
          <w:ilvl w:val="2"/>
          <w:numId w:val="4"/>
        </w:numPr>
        <w:tabs>
          <w:tab w:pos="1370" w:val="left" w:leader="none"/>
        </w:tabs>
        <w:spacing w:line="446" w:lineRule="auto" w:before="0" w:after="0"/>
        <w:ind w:left="838" w:right="6333" w:firstLine="2"/>
        <w:jc w:val="left"/>
        <w:rPr>
          <w:sz w:val="21"/>
        </w:rPr>
      </w:pPr>
      <w:r>
        <w:rPr>
          <w:spacing w:val="-3"/>
          <w:sz w:val="21"/>
        </w:rPr>
        <w:t>按水枪的工作压力范围分为： </w:t>
      </w:r>
      <w:r>
        <w:rPr>
          <w:sz w:val="21"/>
        </w:rPr>
        <w:t>a)</w:t>
      </w:r>
      <w:r>
        <w:rPr>
          <w:spacing w:val="15"/>
          <w:sz w:val="21"/>
        </w:rPr>
        <w:t> 低压水枪(</w:t>
      </w:r>
      <w:r>
        <w:rPr>
          <w:sz w:val="21"/>
        </w:rPr>
        <w:t>0.20～1.6 MPa)； </w:t>
      </w:r>
    </w:p>
    <w:p>
      <w:pPr>
        <w:pStyle w:val="BodyText"/>
        <w:ind w:left="838"/>
      </w:pPr>
      <w:r>
        <w:rPr/>
        <w:t>b) 中压水枪(&gt;1.6 ～2.5 MPa)； </w:t>
      </w:r>
    </w:p>
    <w:p>
      <w:pPr>
        <w:spacing w:after="0"/>
        <w:sectPr>
          <w:pgSz w:w="11910" w:h="16850"/>
          <w:pgMar w:header="0" w:footer="1239" w:top="1220" w:bottom="1420" w:left="1260" w:right="0"/>
        </w:sectPr>
      </w:pPr>
    </w:p>
    <w:p>
      <w:pPr>
        <w:pStyle w:val="BodyText"/>
        <w:spacing w:before="47"/>
        <w:ind w:left="838"/>
      </w:pPr>
      <w:r>
        <w:rPr/>
        <w:t>c) 高压水枪(&gt;2.5～4.0 MPa)。 </w:t>
      </w:r>
    </w:p>
    <w:p>
      <w:pPr>
        <w:pStyle w:val="BodyText"/>
        <w:rPr>
          <w:sz w:val="18"/>
        </w:rPr>
      </w:pPr>
    </w:p>
    <w:p>
      <w:pPr>
        <w:pStyle w:val="ListParagraph"/>
        <w:numPr>
          <w:ilvl w:val="2"/>
          <w:numId w:val="4"/>
        </w:numPr>
        <w:tabs>
          <w:tab w:pos="1371" w:val="left" w:leader="none"/>
        </w:tabs>
        <w:spacing w:line="446" w:lineRule="auto" w:before="0" w:after="0"/>
        <w:ind w:left="838" w:right="5704" w:firstLine="2"/>
        <w:jc w:val="left"/>
        <w:rPr>
          <w:sz w:val="21"/>
        </w:rPr>
      </w:pPr>
      <w:r>
        <w:rPr>
          <w:spacing w:val="-3"/>
          <w:sz w:val="21"/>
        </w:rPr>
        <w:t>按水枪喷射的灭火水流形式可分为： </w:t>
      </w:r>
      <w:r>
        <w:rPr>
          <w:sz w:val="21"/>
        </w:rPr>
        <w:t>a)</w:t>
      </w:r>
      <w:r>
        <w:rPr>
          <w:spacing w:val="14"/>
          <w:sz w:val="21"/>
        </w:rPr>
        <w:t> 直流水枪；</w:t>
      </w:r>
      <w:r>
        <w:rPr>
          <w:sz w:val="21"/>
        </w:rPr>
        <w:t> </w:t>
      </w:r>
    </w:p>
    <w:p>
      <w:pPr>
        <w:pStyle w:val="ListParagraph"/>
        <w:numPr>
          <w:ilvl w:val="0"/>
          <w:numId w:val="5"/>
        </w:numPr>
        <w:tabs>
          <w:tab w:pos="1051" w:val="left" w:leader="none"/>
        </w:tabs>
        <w:spacing w:line="240" w:lineRule="auto" w:before="0" w:after="0"/>
        <w:ind w:left="1050" w:right="0" w:hanging="213"/>
        <w:jc w:val="left"/>
        <w:rPr>
          <w:sz w:val="21"/>
        </w:rPr>
      </w:pPr>
      <w:r>
        <w:rPr>
          <w:spacing w:val="-3"/>
          <w:sz w:val="21"/>
        </w:rPr>
        <w:t>喷雾水枪；</w:t>
      </w:r>
      <w:r>
        <w:rPr>
          <w:sz w:val="21"/>
        </w:rPr>
        <w:t> </w:t>
      </w:r>
    </w:p>
    <w:p>
      <w:pPr>
        <w:pStyle w:val="BodyText"/>
        <w:spacing w:before="12"/>
        <w:rPr>
          <w:sz w:val="17"/>
        </w:rPr>
      </w:pPr>
    </w:p>
    <w:p>
      <w:pPr>
        <w:pStyle w:val="ListParagraph"/>
        <w:numPr>
          <w:ilvl w:val="0"/>
          <w:numId w:val="5"/>
        </w:numPr>
        <w:tabs>
          <w:tab w:pos="1051" w:val="left" w:leader="none"/>
        </w:tabs>
        <w:spacing w:line="446" w:lineRule="auto" w:before="0" w:after="0"/>
        <w:ind w:left="838" w:right="7705" w:firstLine="0"/>
        <w:jc w:val="left"/>
        <w:rPr>
          <w:sz w:val="21"/>
        </w:rPr>
      </w:pPr>
      <w:r>
        <w:rPr>
          <w:spacing w:val="-2"/>
          <w:sz w:val="21"/>
        </w:rPr>
        <w:t>直流喷雾水枪； </w:t>
      </w:r>
      <w:r>
        <w:rPr>
          <w:sz w:val="21"/>
        </w:rPr>
        <w:t>d) </w:t>
      </w:r>
      <w:r>
        <w:rPr>
          <w:spacing w:val="-3"/>
          <w:sz w:val="21"/>
        </w:rPr>
        <w:t>多用水枪。</w:t>
      </w:r>
      <w:r>
        <w:rPr>
          <w:sz w:val="21"/>
        </w:rPr>
        <w:t> </w:t>
      </w:r>
    </w:p>
    <w:p>
      <w:pPr>
        <w:pStyle w:val="ListParagraph"/>
        <w:numPr>
          <w:ilvl w:val="2"/>
          <w:numId w:val="4"/>
        </w:numPr>
        <w:tabs>
          <w:tab w:pos="1371" w:val="left" w:leader="none"/>
        </w:tabs>
        <w:spacing w:line="446" w:lineRule="auto" w:before="0" w:after="0"/>
        <w:ind w:left="838" w:right="4021" w:firstLine="2"/>
        <w:jc w:val="left"/>
        <w:rPr>
          <w:sz w:val="21"/>
        </w:rPr>
      </w:pPr>
      <w:r>
        <w:rPr>
          <w:spacing w:val="-5"/>
          <w:sz w:val="21"/>
        </w:rPr>
        <w:t>喷雾角可调的低压直流喷雾水枪按功能分为以下 </w:t>
      </w:r>
      <w:r>
        <w:rPr>
          <w:sz w:val="21"/>
        </w:rPr>
        <w:t>4</w:t>
      </w:r>
      <w:r>
        <w:rPr>
          <w:spacing w:val="-13"/>
          <w:sz w:val="21"/>
        </w:rPr>
        <w:t> 类： </w:t>
      </w:r>
      <w:r>
        <w:rPr>
          <w:sz w:val="21"/>
        </w:rPr>
        <w:t>a)</w:t>
      </w:r>
      <w:r>
        <w:rPr>
          <w:spacing w:val="-3"/>
          <w:sz w:val="21"/>
        </w:rPr>
        <w:t> 第Ⅰ类：喷射压力不变，流量随喷雾角的改变而变化；</w:t>
      </w:r>
      <w:r>
        <w:rPr>
          <w:sz w:val="21"/>
        </w:rPr>
        <w:t> </w:t>
      </w:r>
    </w:p>
    <w:p>
      <w:pPr>
        <w:pStyle w:val="ListParagraph"/>
        <w:numPr>
          <w:ilvl w:val="0"/>
          <w:numId w:val="6"/>
        </w:numPr>
        <w:tabs>
          <w:tab w:pos="1051" w:val="left" w:leader="none"/>
        </w:tabs>
        <w:spacing w:line="267" w:lineRule="exact" w:before="0" w:after="0"/>
        <w:ind w:left="1050" w:right="0" w:hanging="213"/>
        <w:jc w:val="left"/>
        <w:rPr>
          <w:sz w:val="21"/>
        </w:rPr>
      </w:pPr>
      <w:r>
        <w:rPr>
          <w:spacing w:val="-3"/>
          <w:sz w:val="21"/>
        </w:rPr>
        <w:t>第Ⅱ类：喷射压力不变，改变喷雾角，流量不变；</w:t>
      </w:r>
      <w:r>
        <w:rPr>
          <w:sz w:val="21"/>
        </w:rPr>
        <w:t> </w:t>
      </w:r>
    </w:p>
    <w:p>
      <w:pPr>
        <w:pStyle w:val="BodyText"/>
        <w:spacing w:before="2"/>
        <w:rPr>
          <w:sz w:val="18"/>
        </w:rPr>
      </w:pPr>
    </w:p>
    <w:p>
      <w:pPr>
        <w:pStyle w:val="ListParagraph"/>
        <w:numPr>
          <w:ilvl w:val="0"/>
          <w:numId w:val="6"/>
        </w:numPr>
        <w:tabs>
          <w:tab w:pos="1051" w:val="left" w:leader="none"/>
        </w:tabs>
        <w:spacing w:line="446" w:lineRule="auto" w:before="0" w:after="0"/>
        <w:ind w:left="418" w:right="1505" w:firstLine="419"/>
        <w:jc w:val="left"/>
        <w:rPr>
          <w:sz w:val="21"/>
        </w:rPr>
      </w:pPr>
      <w:r>
        <w:rPr>
          <w:spacing w:val="-3"/>
          <w:sz w:val="21"/>
        </w:rPr>
        <w:t>第Ⅲ类：喷射压力不变，在每个流量刻度喷射时，喷雾角变化，对应的流量刻度值不变；</w:t>
      </w:r>
      <w:r>
        <w:rPr>
          <w:sz w:val="21"/>
        </w:rPr>
        <w:t> </w:t>
      </w:r>
    </w:p>
    <w:p>
      <w:pPr>
        <w:pStyle w:val="ListParagraph"/>
        <w:numPr>
          <w:ilvl w:val="0"/>
          <w:numId w:val="6"/>
        </w:numPr>
        <w:tabs>
          <w:tab w:pos="1051" w:val="left" w:leader="none"/>
        </w:tabs>
        <w:spacing w:line="446" w:lineRule="auto" w:before="0" w:after="0"/>
        <w:ind w:left="840" w:right="3503" w:hanging="3"/>
        <w:jc w:val="left"/>
        <w:rPr>
          <w:sz w:val="21"/>
        </w:rPr>
      </w:pPr>
      <w:r>
        <w:rPr>
          <w:spacing w:val="-2"/>
          <w:sz w:val="21"/>
        </w:rPr>
        <w:t>第Ⅳ类：在一定的流量范围内，流量变化时，喷射压力恒定。 </w:t>
      </w:r>
      <w:r>
        <w:rPr>
          <w:b/>
          <w:sz w:val="21"/>
        </w:rPr>
        <w:t>4.2 </w:t>
      </w:r>
      <w:r>
        <w:rPr>
          <w:spacing w:val="-2"/>
          <w:sz w:val="21"/>
        </w:rPr>
        <w:t>型号</w:t>
      </w:r>
      <w:r>
        <w:rPr>
          <w:sz w:val="21"/>
        </w:rPr>
        <w:t> </w:t>
      </w:r>
    </w:p>
    <w:p>
      <w:pPr>
        <w:pStyle w:val="ListParagraph"/>
        <w:numPr>
          <w:ilvl w:val="2"/>
          <w:numId w:val="7"/>
        </w:numPr>
        <w:tabs>
          <w:tab w:pos="1370" w:val="left" w:leader="none"/>
        </w:tabs>
        <w:spacing w:line="240" w:lineRule="auto" w:before="0" w:after="0"/>
        <w:ind w:left="1369" w:right="0" w:hanging="530"/>
        <w:jc w:val="left"/>
        <w:rPr>
          <w:sz w:val="21"/>
        </w:rPr>
      </w:pPr>
      <w:r>
        <w:rPr>
          <w:spacing w:val="-3"/>
          <w:sz w:val="21"/>
        </w:rPr>
        <w:t>水枪的型号由类、组代号，特征代号，额定喷射压力和额定流量等组成。 </w:t>
      </w:r>
    </w:p>
    <w:p>
      <w:pPr>
        <w:pStyle w:val="BodyText"/>
        <w:spacing w:before="10"/>
        <w:rPr>
          <w:sz w:val="17"/>
        </w:rPr>
      </w:pPr>
    </w:p>
    <w:p>
      <w:pPr>
        <w:pStyle w:val="BodyText"/>
        <w:spacing w:line="446" w:lineRule="auto"/>
        <w:ind w:left="418" w:right="1608" w:firstLine="419"/>
        <w:jc w:val="both"/>
      </w:pPr>
      <w:r>
        <w:rPr/>
        <w:t>型号中的额定流量除了喷雾水枪为喷雾流量外，其余均为直流流量。对于第Ⅲ类低压直流喷雾水枪，最大流量刻度值示为额定流量；对于第Ⅳ类低压直流喷雾水枪，最大直流流量示为额定流量。 </w:t>
      </w:r>
    </w:p>
    <w:p>
      <w:pPr>
        <w:pStyle w:val="BodyText"/>
        <w:ind w:left="627"/>
        <w:rPr>
          <w:sz w:val="20"/>
        </w:rPr>
      </w:pPr>
      <w:r>
        <w:rPr>
          <w:sz w:val="20"/>
        </w:rPr>
        <w:drawing>
          <wp:inline distT="0" distB="0" distL="0" distR="0">
            <wp:extent cx="4943895" cy="1943100"/>
            <wp:effectExtent l="0" t="0" r="0" b="0"/>
            <wp:docPr id="5" name="image18.jpeg"/>
            <wp:cNvGraphicFramePr>
              <a:graphicFrameLocks noChangeAspect="1"/>
            </wp:cNvGraphicFramePr>
            <a:graphic>
              <a:graphicData uri="http://schemas.openxmlformats.org/drawingml/2006/picture">
                <pic:pic>
                  <pic:nvPicPr>
                    <pic:cNvPr id="6" name="image18.jpeg"/>
                    <pic:cNvPicPr/>
                  </pic:nvPicPr>
                  <pic:blipFill>
                    <a:blip r:embed="rId24" cstate="print"/>
                    <a:stretch>
                      <a:fillRect/>
                    </a:stretch>
                  </pic:blipFill>
                  <pic:spPr>
                    <a:xfrm>
                      <a:off x="0" y="0"/>
                      <a:ext cx="4943895" cy="1943100"/>
                    </a:xfrm>
                    <a:prstGeom prst="rect">
                      <a:avLst/>
                    </a:prstGeom>
                  </pic:spPr>
                </pic:pic>
              </a:graphicData>
            </a:graphic>
          </wp:inline>
        </w:drawing>
      </w:r>
      <w:r>
        <w:rPr>
          <w:sz w:val="20"/>
        </w:rPr>
      </w:r>
    </w:p>
    <w:p>
      <w:pPr>
        <w:spacing w:after="0"/>
        <w:rPr>
          <w:sz w:val="20"/>
        </w:rPr>
        <w:sectPr>
          <w:pgSz w:w="11910" w:h="16850"/>
          <w:pgMar w:header="0" w:footer="1239" w:top="1220" w:bottom="1420" w:left="1260" w:right="0"/>
        </w:sectPr>
      </w:pPr>
    </w:p>
    <w:p>
      <w:pPr>
        <w:pStyle w:val="ListParagraph"/>
        <w:numPr>
          <w:ilvl w:val="2"/>
          <w:numId w:val="7"/>
        </w:numPr>
        <w:tabs>
          <w:tab w:pos="1371" w:val="left" w:leader="none"/>
        </w:tabs>
        <w:spacing w:line="240" w:lineRule="auto" w:before="47" w:after="0"/>
        <w:ind w:left="1370" w:right="0" w:hanging="531"/>
        <w:jc w:val="left"/>
        <w:rPr>
          <w:sz w:val="21"/>
        </w:rPr>
      </w:pPr>
      <w:r>
        <w:rPr>
          <w:spacing w:val="-10"/>
          <w:sz w:val="21"/>
        </w:rPr>
        <w:t>水枪代号见表 </w:t>
      </w:r>
      <w:r>
        <w:rPr>
          <w:spacing w:val="-3"/>
          <w:sz w:val="21"/>
        </w:rPr>
        <w:t>1。</w:t>
      </w:r>
      <w:r>
        <w:rPr>
          <w:sz w:val="21"/>
        </w:rPr>
        <w:t> </w:t>
      </w:r>
    </w:p>
    <w:p>
      <w:pPr>
        <w:pStyle w:val="BodyText"/>
        <w:rPr>
          <w:sz w:val="18"/>
        </w:rPr>
      </w:pPr>
    </w:p>
    <w:p>
      <w:pPr>
        <w:pStyle w:val="BodyText"/>
        <w:spacing w:line="446" w:lineRule="auto"/>
        <w:ind w:left="418" w:right="2350" w:firstLine="419"/>
      </w:pPr>
      <w:r>
        <w:rPr>
          <w:spacing w:val="-17"/>
        </w:rPr>
        <w:t>示例 </w:t>
      </w:r>
      <w:r>
        <w:rPr/>
        <w:t>1</w:t>
      </w:r>
      <w:r>
        <w:rPr>
          <w:spacing w:val="-9"/>
        </w:rPr>
        <w:t>：额定喷射压力 </w:t>
      </w:r>
      <w:r>
        <w:rPr/>
        <w:t>0.35</w:t>
      </w:r>
      <w:r>
        <w:rPr>
          <w:spacing w:val="4"/>
        </w:rPr>
        <w:t> </w:t>
      </w:r>
      <w:r>
        <w:rPr/>
        <w:t>MPa</w:t>
      </w:r>
      <w:r>
        <w:rPr>
          <w:spacing w:val="-9"/>
        </w:rPr>
        <w:t>，额定直流流量 </w:t>
      </w:r>
      <w:r>
        <w:rPr/>
        <w:t>7.5</w:t>
      </w:r>
      <w:r>
        <w:rPr>
          <w:spacing w:val="4"/>
        </w:rPr>
        <w:t> </w:t>
      </w:r>
      <w:r>
        <w:rPr/>
        <w:t>L/s</w:t>
      </w:r>
      <w:r>
        <w:rPr>
          <w:spacing w:val="-9"/>
        </w:rPr>
        <w:t> 的直流开关水枪型号为QZG3.5/7.5； </w:t>
      </w:r>
    </w:p>
    <w:p>
      <w:pPr>
        <w:pStyle w:val="BodyText"/>
        <w:spacing w:line="446" w:lineRule="auto"/>
        <w:ind w:left="418" w:right="1719" w:firstLine="419"/>
      </w:pPr>
      <w:r>
        <w:rPr>
          <w:spacing w:val="-17"/>
        </w:rPr>
        <w:t>示例 </w:t>
      </w:r>
      <w:r>
        <w:rPr/>
        <w:t>2</w:t>
      </w:r>
      <w:r>
        <w:rPr>
          <w:spacing w:val="-9"/>
        </w:rPr>
        <w:t>：额定喷射压力 </w:t>
      </w:r>
      <w:r>
        <w:rPr/>
        <w:t>0.60</w:t>
      </w:r>
      <w:r>
        <w:rPr>
          <w:spacing w:val="6"/>
        </w:rPr>
        <w:t> </w:t>
      </w:r>
      <w:r>
        <w:rPr/>
        <w:t>MPa</w:t>
      </w:r>
      <w:r>
        <w:rPr>
          <w:spacing w:val="-9"/>
        </w:rPr>
        <w:t>，额定直流流量 </w:t>
      </w:r>
      <w:r>
        <w:rPr/>
        <w:t>6.5</w:t>
      </w:r>
      <w:r>
        <w:rPr>
          <w:spacing w:val="6"/>
        </w:rPr>
        <w:t> </w:t>
      </w:r>
      <w:r>
        <w:rPr/>
        <w:t>L/s</w:t>
      </w:r>
      <w:r>
        <w:rPr>
          <w:spacing w:val="-9"/>
        </w:rPr>
        <w:t> 的球阀转换式多用水枪型号为QDH6.0/6.5； </w:t>
      </w:r>
    </w:p>
    <w:p>
      <w:pPr>
        <w:pStyle w:val="BodyText"/>
        <w:spacing w:line="446" w:lineRule="auto"/>
        <w:ind w:left="418" w:right="1613" w:firstLine="419"/>
      </w:pPr>
      <w:r>
        <w:rPr>
          <w:spacing w:val="-17"/>
        </w:rPr>
        <w:t>示例 </w:t>
      </w:r>
      <w:r>
        <w:rPr/>
        <w:t>3</w:t>
      </w:r>
      <w:r>
        <w:rPr>
          <w:spacing w:val="-9"/>
        </w:rPr>
        <w:t>：额定喷射压力 </w:t>
      </w:r>
      <w:r>
        <w:rPr/>
        <w:t>0.60 MPa</w:t>
      </w:r>
      <w:r>
        <w:rPr>
          <w:spacing w:val="-9"/>
        </w:rPr>
        <w:t>，额定直流流量 </w:t>
      </w:r>
      <w:r>
        <w:rPr/>
        <w:t>6.5 L/s</w:t>
      </w:r>
      <w:r>
        <w:rPr>
          <w:spacing w:val="-9"/>
        </w:rPr>
        <w:t> 的第Ⅰ类导流式直流喷雾水枪型号为 QLD6.0/6.5I； </w:t>
      </w:r>
    </w:p>
    <w:p>
      <w:pPr>
        <w:pStyle w:val="BodyText"/>
        <w:spacing w:before="1"/>
        <w:rPr>
          <w:sz w:val="11"/>
        </w:rPr>
      </w:pPr>
      <w:r>
        <w:rPr/>
        <w:drawing>
          <wp:anchor distT="0" distB="0" distL="0" distR="0" allowOverlap="1" layoutInCell="1" locked="0" behindDoc="0" simplePos="0" relativeHeight="3">
            <wp:simplePos x="0" y="0"/>
            <wp:positionH relativeFrom="page">
              <wp:posOffset>1112519</wp:posOffset>
            </wp:positionH>
            <wp:positionV relativeFrom="paragraph">
              <wp:posOffset>115427</wp:posOffset>
            </wp:positionV>
            <wp:extent cx="5114924" cy="2181225"/>
            <wp:effectExtent l="0" t="0" r="0" b="0"/>
            <wp:wrapTopAndBottom/>
            <wp:docPr id="7" name="image19.jpeg"/>
            <wp:cNvGraphicFramePr>
              <a:graphicFrameLocks noChangeAspect="1"/>
            </wp:cNvGraphicFramePr>
            <a:graphic>
              <a:graphicData uri="http://schemas.openxmlformats.org/drawingml/2006/picture">
                <pic:pic>
                  <pic:nvPicPr>
                    <pic:cNvPr id="8" name="image19.jpeg"/>
                    <pic:cNvPicPr/>
                  </pic:nvPicPr>
                  <pic:blipFill>
                    <a:blip r:embed="rId25" cstate="print"/>
                    <a:stretch>
                      <a:fillRect/>
                    </a:stretch>
                  </pic:blipFill>
                  <pic:spPr>
                    <a:xfrm>
                      <a:off x="0" y="0"/>
                      <a:ext cx="5114924" cy="2181225"/>
                    </a:xfrm>
                    <a:prstGeom prst="rect">
                      <a:avLst/>
                    </a:prstGeom>
                  </pic:spPr>
                </pic:pic>
              </a:graphicData>
            </a:graphic>
          </wp:anchor>
        </w:drawing>
      </w:r>
    </w:p>
    <w:p>
      <w:pPr>
        <w:pStyle w:val="BodyText"/>
        <w:spacing w:line="446" w:lineRule="auto" w:before="164"/>
        <w:ind w:left="418" w:right="1613" w:firstLine="419"/>
      </w:pPr>
      <w:r>
        <w:rPr>
          <w:spacing w:val="-17"/>
        </w:rPr>
        <w:t>示例 </w:t>
      </w:r>
      <w:r>
        <w:rPr/>
        <w:t>4</w:t>
      </w:r>
      <w:r>
        <w:rPr>
          <w:spacing w:val="-9"/>
        </w:rPr>
        <w:t>：额定喷射压力 </w:t>
      </w:r>
      <w:r>
        <w:rPr/>
        <w:t>2.0 MPa</w:t>
      </w:r>
      <w:r>
        <w:rPr>
          <w:spacing w:val="-9"/>
        </w:rPr>
        <w:t>，额定直流流量 </w:t>
      </w:r>
      <w:r>
        <w:rPr/>
        <w:t>3 L/s</w:t>
      </w:r>
      <w:r>
        <w:rPr>
          <w:spacing w:val="-8"/>
        </w:rPr>
        <w:t> 的中压导流式直流喷雾水枪型号为</w:t>
      </w:r>
      <w:r>
        <w:rPr/>
        <w:t>QLD20/3</w:t>
      </w:r>
      <w:r>
        <w:rPr>
          <w:spacing w:val="-3"/>
        </w:rPr>
        <w:t>。</w:t>
      </w:r>
      <w:r>
        <w:rPr/>
        <w:t> </w:t>
      </w:r>
      <w:r>
        <w:rPr>
          <w:spacing w:val="-2"/>
        </w:rPr>
        <w:t> </w:t>
      </w:r>
      <w:r>
        <w:rPr>
          <w:w w:val="100"/>
        </w:rPr>
        <w:t> </w:t>
      </w:r>
    </w:p>
    <w:p>
      <w:pPr>
        <w:pStyle w:val="Heading4"/>
        <w:spacing w:line="275" w:lineRule="exact"/>
      </w:pPr>
      <w:r>
        <w:rPr/>
        <w:t>5 性能要求</w:t>
      </w:r>
      <w:r>
        <w:rPr>
          <w:w w:val="99"/>
        </w:rPr>
        <w:t> </w:t>
      </w:r>
    </w:p>
    <w:p>
      <w:pPr>
        <w:pStyle w:val="BodyText"/>
        <w:spacing w:before="6"/>
        <w:rPr>
          <w:b/>
          <w:sz w:val="17"/>
        </w:rPr>
      </w:pPr>
    </w:p>
    <w:p>
      <w:pPr>
        <w:pStyle w:val="ListParagraph"/>
        <w:numPr>
          <w:ilvl w:val="1"/>
          <w:numId w:val="8"/>
        </w:numPr>
        <w:tabs>
          <w:tab w:pos="1160" w:val="left" w:leader="none"/>
        </w:tabs>
        <w:spacing w:line="240" w:lineRule="auto" w:before="0" w:after="0"/>
        <w:ind w:left="1159" w:right="0" w:hanging="320"/>
        <w:jc w:val="left"/>
        <w:rPr>
          <w:b/>
          <w:sz w:val="21"/>
        </w:rPr>
      </w:pPr>
      <w:r>
        <w:rPr>
          <w:spacing w:val="-3"/>
          <w:sz w:val="21"/>
        </w:rPr>
        <w:t>基本参数</w:t>
      </w:r>
      <w:r>
        <w:rPr>
          <w:b/>
          <w:w w:val="99"/>
          <w:sz w:val="21"/>
        </w:rPr>
        <w:t> </w:t>
      </w:r>
    </w:p>
    <w:p>
      <w:pPr>
        <w:pStyle w:val="BodyText"/>
        <w:spacing w:before="12"/>
        <w:rPr>
          <w:b/>
          <w:sz w:val="17"/>
        </w:rPr>
      </w:pPr>
    </w:p>
    <w:p>
      <w:pPr>
        <w:pStyle w:val="ListParagraph"/>
        <w:numPr>
          <w:ilvl w:val="2"/>
          <w:numId w:val="8"/>
        </w:numPr>
        <w:tabs>
          <w:tab w:pos="1371" w:val="left" w:leader="none"/>
        </w:tabs>
        <w:spacing w:line="240" w:lineRule="auto" w:before="1" w:after="0"/>
        <w:ind w:left="1370" w:right="0" w:hanging="531"/>
        <w:jc w:val="left"/>
        <w:rPr>
          <w:sz w:val="21"/>
        </w:rPr>
      </w:pPr>
      <w:r>
        <w:rPr>
          <w:spacing w:val="-3"/>
          <w:sz w:val="21"/>
        </w:rPr>
        <w:t>低压水枪</w:t>
      </w:r>
      <w:r>
        <w:rPr>
          <w:sz w:val="21"/>
        </w:rPr>
        <w:t> </w:t>
      </w:r>
    </w:p>
    <w:p>
      <w:pPr>
        <w:pStyle w:val="BodyText"/>
        <w:spacing w:before="12"/>
        <w:rPr>
          <w:sz w:val="17"/>
        </w:rPr>
      </w:pPr>
    </w:p>
    <w:p>
      <w:pPr>
        <w:pStyle w:val="ListParagraph"/>
        <w:numPr>
          <w:ilvl w:val="3"/>
          <w:numId w:val="8"/>
        </w:numPr>
        <w:tabs>
          <w:tab w:pos="1576" w:val="left" w:leader="none"/>
        </w:tabs>
        <w:spacing w:line="240" w:lineRule="auto" w:before="0" w:after="0"/>
        <w:ind w:left="1575" w:right="0" w:hanging="738"/>
        <w:jc w:val="left"/>
        <w:rPr>
          <w:sz w:val="19"/>
        </w:rPr>
      </w:pPr>
      <w:r>
        <w:rPr>
          <w:spacing w:val="-5"/>
          <w:sz w:val="21"/>
        </w:rPr>
        <w:t>直流水枪在额定喷射压力时，其额定流量和射程应符合表 </w:t>
      </w:r>
      <w:r>
        <w:rPr>
          <w:sz w:val="21"/>
        </w:rPr>
        <w:t>2</w:t>
      </w:r>
      <w:r>
        <w:rPr>
          <w:spacing w:val="-12"/>
          <w:sz w:val="21"/>
        </w:rPr>
        <w:t> 的要求。 </w:t>
      </w:r>
    </w:p>
    <w:p>
      <w:pPr>
        <w:pStyle w:val="BodyText"/>
        <w:rPr>
          <w:sz w:val="20"/>
        </w:rPr>
      </w:pPr>
    </w:p>
    <w:p>
      <w:pPr>
        <w:pStyle w:val="BodyText"/>
        <w:spacing w:before="1"/>
        <w:rPr>
          <w:sz w:val="10"/>
        </w:rPr>
      </w:pPr>
      <w:r>
        <w:rPr/>
        <w:drawing>
          <wp:anchor distT="0" distB="0" distL="0" distR="0" allowOverlap="1" layoutInCell="1" locked="0" behindDoc="0" simplePos="0" relativeHeight="4">
            <wp:simplePos x="0" y="0"/>
            <wp:positionH relativeFrom="page">
              <wp:posOffset>1283969</wp:posOffset>
            </wp:positionH>
            <wp:positionV relativeFrom="paragraph">
              <wp:posOffset>106822</wp:posOffset>
            </wp:positionV>
            <wp:extent cx="5286375" cy="1857375"/>
            <wp:effectExtent l="0" t="0" r="0" b="0"/>
            <wp:wrapTopAndBottom/>
            <wp:docPr id="9" name="image20.jpeg"/>
            <wp:cNvGraphicFramePr>
              <a:graphicFrameLocks noChangeAspect="1"/>
            </wp:cNvGraphicFramePr>
            <a:graphic>
              <a:graphicData uri="http://schemas.openxmlformats.org/drawingml/2006/picture">
                <pic:pic>
                  <pic:nvPicPr>
                    <pic:cNvPr id="10" name="image20.jpeg"/>
                    <pic:cNvPicPr/>
                  </pic:nvPicPr>
                  <pic:blipFill>
                    <a:blip r:embed="rId26" cstate="print"/>
                    <a:stretch>
                      <a:fillRect/>
                    </a:stretch>
                  </pic:blipFill>
                  <pic:spPr>
                    <a:xfrm>
                      <a:off x="0" y="0"/>
                      <a:ext cx="5286375" cy="1857375"/>
                    </a:xfrm>
                    <a:prstGeom prst="rect">
                      <a:avLst/>
                    </a:prstGeom>
                  </pic:spPr>
                </pic:pic>
              </a:graphicData>
            </a:graphic>
          </wp:anchor>
        </w:drawing>
      </w:r>
    </w:p>
    <w:p>
      <w:pPr>
        <w:pStyle w:val="ListParagraph"/>
        <w:numPr>
          <w:ilvl w:val="3"/>
          <w:numId w:val="8"/>
        </w:numPr>
        <w:tabs>
          <w:tab w:pos="1576" w:val="left" w:leader="none"/>
        </w:tabs>
        <w:spacing w:line="240" w:lineRule="auto" w:before="164" w:after="0"/>
        <w:ind w:left="1575" w:right="0" w:hanging="738"/>
        <w:jc w:val="left"/>
        <w:rPr>
          <w:sz w:val="19"/>
        </w:rPr>
      </w:pPr>
      <w:r>
        <w:rPr>
          <w:spacing w:val="-5"/>
          <w:sz w:val="21"/>
        </w:rPr>
        <w:t>喷雾水枪在额定喷射压力时，其额定喷雾流量和喷雾射程应符合表 </w:t>
      </w:r>
      <w:r>
        <w:rPr>
          <w:sz w:val="21"/>
        </w:rPr>
        <w:t>3</w:t>
      </w:r>
      <w:r>
        <w:rPr>
          <w:spacing w:val="-13"/>
          <w:sz w:val="21"/>
        </w:rPr>
        <w:t> 的要求。</w:t>
      </w:r>
      <w:r>
        <w:rPr>
          <w:sz w:val="21"/>
        </w:rPr>
        <w:t> </w:t>
      </w:r>
    </w:p>
    <w:p>
      <w:pPr>
        <w:spacing w:after="0" w:line="240" w:lineRule="auto"/>
        <w:jc w:val="left"/>
        <w:rPr>
          <w:sz w:val="19"/>
        </w:rPr>
        <w:sectPr>
          <w:pgSz w:w="11910" w:h="16850"/>
          <w:pgMar w:header="0" w:footer="1239" w:top="1220" w:bottom="1420" w:left="1260" w:right="0"/>
        </w:sectPr>
      </w:pPr>
    </w:p>
    <w:p>
      <w:pPr>
        <w:pStyle w:val="BodyText"/>
        <w:ind w:left="657"/>
        <w:rPr>
          <w:sz w:val="20"/>
        </w:rPr>
      </w:pPr>
      <w:r>
        <w:rPr>
          <w:sz w:val="20"/>
        </w:rPr>
        <w:drawing>
          <wp:inline distT="0" distB="0" distL="0" distR="0">
            <wp:extent cx="5292672" cy="2095500"/>
            <wp:effectExtent l="0" t="0" r="0" b="0"/>
            <wp:docPr id="11" name="image21.jpeg"/>
            <wp:cNvGraphicFramePr>
              <a:graphicFrameLocks noChangeAspect="1"/>
            </wp:cNvGraphicFramePr>
            <a:graphic>
              <a:graphicData uri="http://schemas.openxmlformats.org/drawingml/2006/picture">
                <pic:pic>
                  <pic:nvPicPr>
                    <pic:cNvPr id="12" name="image21.jpeg"/>
                    <pic:cNvPicPr/>
                  </pic:nvPicPr>
                  <pic:blipFill>
                    <a:blip r:embed="rId27" cstate="print"/>
                    <a:stretch>
                      <a:fillRect/>
                    </a:stretch>
                  </pic:blipFill>
                  <pic:spPr>
                    <a:xfrm>
                      <a:off x="0" y="0"/>
                      <a:ext cx="5292672" cy="2095500"/>
                    </a:xfrm>
                    <a:prstGeom prst="rect">
                      <a:avLst/>
                    </a:prstGeom>
                  </pic:spPr>
                </pic:pic>
              </a:graphicData>
            </a:graphic>
          </wp:inline>
        </w:drawing>
      </w:r>
      <w:r>
        <w:rPr>
          <w:sz w:val="20"/>
        </w:rPr>
      </w:r>
    </w:p>
    <w:p>
      <w:pPr>
        <w:pStyle w:val="BodyText"/>
        <w:rPr>
          <w:sz w:val="20"/>
        </w:rPr>
      </w:pPr>
    </w:p>
    <w:p>
      <w:pPr>
        <w:pStyle w:val="BodyText"/>
        <w:spacing w:before="6"/>
        <w:rPr>
          <w:sz w:val="28"/>
        </w:rPr>
      </w:pPr>
    </w:p>
    <w:p>
      <w:pPr>
        <w:pStyle w:val="ListParagraph"/>
        <w:numPr>
          <w:ilvl w:val="3"/>
          <w:numId w:val="8"/>
        </w:numPr>
        <w:tabs>
          <w:tab w:pos="1576" w:val="left" w:leader="none"/>
        </w:tabs>
        <w:spacing w:line="240" w:lineRule="auto" w:before="72" w:after="0"/>
        <w:ind w:left="1575" w:right="0" w:hanging="738"/>
        <w:jc w:val="left"/>
        <w:rPr>
          <w:sz w:val="19"/>
        </w:rPr>
      </w:pPr>
      <w:r>
        <w:rPr>
          <w:spacing w:val="-3"/>
          <w:sz w:val="21"/>
        </w:rPr>
        <w:t>直流喷雾水枪的流量和射程及喷射压力应符合以下要求：</w:t>
      </w:r>
      <w:r>
        <w:rPr>
          <w:sz w:val="21"/>
        </w:rPr>
        <w:t> </w:t>
      </w:r>
    </w:p>
    <w:p>
      <w:pPr>
        <w:pStyle w:val="BodyText"/>
        <w:spacing w:before="12"/>
        <w:rPr>
          <w:sz w:val="17"/>
        </w:rPr>
      </w:pPr>
    </w:p>
    <w:p>
      <w:pPr>
        <w:pStyle w:val="ListParagraph"/>
        <w:numPr>
          <w:ilvl w:val="0"/>
          <w:numId w:val="9"/>
        </w:numPr>
        <w:tabs>
          <w:tab w:pos="1051" w:val="left" w:leader="none"/>
        </w:tabs>
        <w:spacing w:line="446" w:lineRule="auto" w:before="0" w:after="0"/>
        <w:ind w:left="418" w:right="1611" w:firstLine="419"/>
        <w:jc w:val="left"/>
        <w:rPr>
          <w:sz w:val="21"/>
        </w:rPr>
      </w:pPr>
      <w:r>
        <w:rPr>
          <w:spacing w:val="-3"/>
          <w:sz w:val="21"/>
        </w:rPr>
        <w:t>在额定喷射压力时，其额定流量(对于第Ⅲ类直流喷雾水枪调整到最大流量刻度值，对</w:t>
      </w:r>
      <w:r>
        <w:rPr>
          <w:spacing w:val="-5"/>
          <w:sz w:val="21"/>
        </w:rPr>
        <w:t>于第Ⅳ类直流喷雾水枪调整到最大直流流量)和直流射程应符合表 </w:t>
      </w:r>
      <w:r>
        <w:rPr>
          <w:sz w:val="21"/>
        </w:rPr>
        <w:t>4</w:t>
      </w:r>
      <w:r>
        <w:rPr>
          <w:spacing w:val="-12"/>
          <w:sz w:val="21"/>
        </w:rPr>
        <w:t> 的要求。 </w:t>
      </w:r>
    </w:p>
    <w:p>
      <w:pPr>
        <w:pStyle w:val="BodyText"/>
        <w:spacing w:before="5"/>
        <w:rPr>
          <w:sz w:val="19"/>
        </w:rPr>
      </w:pPr>
      <w:r>
        <w:rPr/>
        <w:drawing>
          <wp:anchor distT="0" distB="0" distL="0" distR="0" allowOverlap="1" layoutInCell="1" locked="0" behindDoc="0" simplePos="0" relativeHeight="5">
            <wp:simplePos x="0" y="0"/>
            <wp:positionH relativeFrom="page">
              <wp:posOffset>1151255</wp:posOffset>
            </wp:positionH>
            <wp:positionV relativeFrom="paragraph">
              <wp:posOffset>183141</wp:posOffset>
            </wp:positionV>
            <wp:extent cx="5241676" cy="2009775"/>
            <wp:effectExtent l="0" t="0" r="0" b="0"/>
            <wp:wrapTopAndBottom/>
            <wp:docPr id="13" name="image22.jpeg"/>
            <wp:cNvGraphicFramePr>
              <a:graphicFrameLocks noChangeAspect="1"/>
            </wp:cNvGraphicFramePr>
            <a:graphic>
              <a:graphicData uri="http://schemas.openxmlformats.org/drawingml/2006/picture">
                <pic:pic>
                  <pic:nvPicPr>
                    <pic:cNvPr id="14" name="image22.jpeg"/>
                    <pic:cNvPicPr/>
                  </pic:nvPicPr>
                  <pic:blipFill>
                    <a:blip r:embed="rId28" cstate="print"/>
                    <a:stretch>
                      <a:fillRect/>
                    </a:stretch>
                  </pic:blipFill>
                  <pic:spPr>
                    <a:xfrm>
                      <a:off x="0" y="0"/>
                      <a:ext cx="5241676" cy="2009775"/>
                    </a:xfrm>
                    <a:prstGeom prst="rect">
                      <a:avLst/>
                    </a:prstGeom>
                  </pic:spPr>
                </pic:pic>
              </a:graphicData>
            </a:graphic>
          </wp:anchor>
        </w:drawing>
      </w:r>
    </w:p>
    <w:p>
      <w:pPr>
        <w:pStyle w:val="BodyText"/>
        <w:rPr>
          <w:sz w:val="20"/>
        </w:rPr>
      </w:pPr>
    </w:p>
    <w:p>
      <w:pPr>
        <w:pStyle w:val="BodyText"/>
        <w:spacing w:before="3"/>
        <w:rPr>
          <w:sz w:val="26"/>
        </w:rPr>
      </w:pPr>
    </w:p>
    <w:p>
      <w:pPr>
        <w:pStyle w:val="ListParagraph"/>
        <w:numPr>
          <w:ilvl w:val="0"/>
          <w:numId w:val="9"/>
        </w:numPr>
        <w:tabs>
          <w:tab w:pos="1051" w:val="left" w:leader="none"/>
        </w:tabs>
        <w:spacing w:line="446" w:lineRule="auto" w:before="71" w:after="0"/>
        <w:ind w:left="418" w:right="1507" w:firstLine="419"/>
        <w:jc w:val="left"/>
        <w:rPr>
          <w:sz w:val="21"/>
        </w:rPr>
      </w:pPr>
      <w:r>
        <w:rPr>
          <w:spacing w:val="-5"/>
          <w:sz w:val="21"/>
        </w:rPr>
        <w:t>第Ⅰ类直流喷雾水枪在额定喷射压力时，其最大喷雾角时的流量应在表 </w:t>
      </w:r>
      <w:r>
        <w:rPr>
          <w:sz w:val="21"/>
        </w:rPr>
        <w:t>4</w:t>
      </w:r>
      <w:r>
        <w:rPr>
          <w:spacing w:val="-9"/>
          <w:sz w:val="21"/>
        </w:rPr>
        <w:t> 额定直流流量</w:t>
      </w:r>
      <w:r>
        <w:rPr>
          <w:spacing w:val="-31"/>
          <w:sz w:val="21"/>
        </w:rPr>
        <w:t>的 </w:t>
      </w:r>
      <w:r>
        <w:rPr>
          <w:sz w:val="21"/>
        </w:rPr>
        <w:t>100%～150</w:t>
      </w:r>
      <w:r>
        <w:rPr>
          <w:spacing w:val="-7"/>
          <w:sz w:val="21"/>
        </w:rPr>
        <w:t>%的范围内，流量允差为士 </w:t>
      </w:r>
      <w:r>
        <w:rPr>
          <w:sz w:val="21"/>
        </w:rPr>
        <w:t>8</w:t>
      </w:r>
      <w:r>
        <w:rPr>
          <w:spacing w:val="-2"/>
          <w:sz w:val="21"/>
        </w:rPr>
        <w:t>%。</w:t>
      </w:r>
      <w:r>
        <w:rPr>
          <w:sz w:val="21"/>
        </w:rPr>
        <w:t> </w:t>
      </w:r>
    </w:p>
    <w:p>
      <w:pPr>
        <w:pStyle w:val="ListParagraph"/>
        <w:numPr>
          <w:ilvl w:val="0"/>
          <w:numId w:val="9"/>
        </w:numPr>
        <w:tabs>
          <w:tab w:pos="1051" w:val="left" w:leader="none"/>
        </w:tabs>
        <w:spacing w:line="446" w:lineRule="auto" w:before="0" w:after="0"/>
        <w:ind w:left="418" w:right="1455" w:firstLine="419"/>
        <w:jc w:val="left"/>
        <w:rPr>
          <w:sz w:val="21"/>
        </w:rPr>
      </w:pPr>
      <w:r>
        <w:rPr>
          <w:spacing w:val="-5"/>
          <w:sz w:val="21"/>
        </w:rPr>
        <w:t>第Ⅱ类直流喷雾水枪在额定喷射压力时，其喷雾角在 </w:t>
      </w:r>
      <w:r>
        <w:rPr>
          <w:sz w:val="21"/>
        </w:rPr>
        <w:t>30°、70</w:t>
      </w:r>
      <w:r>
        <w:rPr>
          <w:spacing w:val="-3"/>
          <w:sz w:val="21"/>
        </w:rPr>
        <w:t>°及最大喷雾角时的流量</w:t>
      </w:r>
      <w:r>
        <w:rPr>
          <w:spacing w:val="-13"/>
          <w:sz w:val="21"/>
        </w:rPr>
        <w:t>均应在表 </w:t>
      </w:r>
      <w:r>
        <w:rPr>
          <w:sz w:val="21"/>
        </w:rPr>
        <w:t>4</w:t>
      </w:r>
      <w:r>
        <w:rPr>
          <w:spacing w:val="-14"/>
          <w:sz w:val="21"/>
        </w:rPr>
        <w:t> 额定直流流量的 </w:t>
      </w:r>
      <w:r>
        <w:rPr>
          <w:sz w:val="21"/>
        </w:rPr>
        <w:t>92%～108</w:t>
      </w:r>
      <w:r>
        <w:rPr>
          <w:spacing w:val="-7"/>
          <w:sz w:val="21"/>
        </w:rPr>
        <w:t>%的范围内，流量允差为士 </w:t>
      </w:r>
      <w:r>
        <w:rPr>
          <w:sz w:val="21"/>
        </w:rPr>
        <w:t>8</w:t>
      </w:r>
      <w:r>
        <w:rPr>
          <w:spacing w:val="-2"/>
          <w:sz w:val="21"/>
        </w:rPr>
        <w:t>%。</w:t>
      </w:r>
      <w:r>
        <w:rPr>
          <w:sz w:val="21"/>
        </w:rPr>
        <w:t> </w:t>
      </w:r>
    </w:p>
    <w:p>
      <w:pPr>
        <w:pStyle w:val="ListParagraph"/>
        <w:numPr>
          <w:ilvl w:val="0"/>
          <w:numId w:val="9"/>
        </w:numPr>
        <w:tabs>
          <w:tab w:pos="1051" w:val="left" w:leader="none"/>
        </w:tabs>
        <w:spacing w:line="446" w:lineRule="auto" w:before="0" w:after="0"/>
        <w:ind w:left="418" w:right="1450" w:firstLine="419"/>
        <w:jc w:val="left"/>
        <w:rPr>
          <w:sz w:val="21"/>
        </w:rPr>
      </w:pPr>
      <w:r>
        <w:rPr>
          <w:spacing w:val="-5"/>
          <w:sz w:val="21"/>
        </w:rPr>
        <w:t>第Ⅲ类直流喷雾水枪在额定喷射压力时，调整到最大流量刻度，其喷雾角在 </w:t>
      </w:r>
      <w:r>
        <w:rPr>
          <w:sz w:val="21"/>
        </w:rPr>
        <w:t>30</w:t>
      </w:r>
      <w:r>
        <w:rPr>
          <w:spacing w:val="5"/>
          <w:sz w:val="21"/>
        </w:rPr>
        <w:t>°、 </w:t>
      </w:r>
      <w:r>
        <w:rPr>
          <w:sz w:val="21"/>
        </w:rPr>
        <w:t>70° </w:t>
      </w:r>
      <w:r>
        <w:rPr>
          <w:spacing w:val="-6"/>
          <w:sz w:val="21"/>
        </w:rPr>
        <w:t>及最大喷雾角时的流量均应在表 </w:t>
      </w:r>
      <w:r>
        <w:rPr>
          <w:sz w:val="21"/>
        </w:rPr>
        <w:t>4</w:t>
      </w:r>
      <w:r>
        <w:rPr>
          <w:spacing w:val="-12"/>
          <w:sz w:val="21"/>
        </w:rPr>
        <w:t> 额定直流流量的 </w:t>
      </w:r>
      <w:r>
        <w:rPr>
          <w:sz w:val="21"/>
        </w:rPr>
        <w:t>92%～108</w:t>
      </w:r>
      <w:r>
        <w:rPr>
          <w:spacing w:val="-3"/>
          <w:sz w:val="21"/>
        </w:rPr>
        <w:t>%的范围内；然后依次调整到其余流</w:t>
      </w:r>
      <w:r>
        <w:rPr>
          <w:spacing w:val="-9"/>
          <w:sz w:val="21"/>
        </w:rPr>
        <w:t>量刻度，其喷雾角在 </w:t>
      </w:r>
      <w:r>
        <w:rPr>
          <w:sz w:val="21"/>
        </w:rPr>
        <w:t>30°</w:t>
      </w:r>
      <w:r>
        <w:rPr>
          <w:spacing w:val="-6"/>
          <w:sz w:val="21"/>
        </w:rPr>
        <w:t>时的流量均应符合其标称值，流量允差为士 </w:t>
      </w:r>
      <w:r>
        <w:rPr>
          <w:spacing w:val="-3"/>
          <w:sz w:val="21"/>
        </w:rPr>
        <w:t>8%</w:t>
      </w:r>
      <w:r>
        <w:rPr>
          <w:sz w:val="21"/>
        </w:rPr>
        <w:t>。 </w:t>
      </w:r>
    </w:p>
    <w:p>
      <w:pPr>
        <w:pStyle w:val="ListParagraph"/>
        <w:numPr>
          <w:ilvl w:val="0"/>
          <w:numId w:val="9"/>
        </w:numPr>
        <w:tabs>
          <w:tab w:pos="1051" w:val="left" w:leader="none"/>
        </w:tabs>
        <w:spacing w:line="268" w:lineRule="exact" w:before="0" w:after="0"/>
        <w:ind w:left="1050" w:right="0" w:hanging="213"/>
        <w:jc w:val="left"/>
        <w:rPr>
          <w:sz w:val="21"/>
        </w:rPr>
      </w:pPr>
      <w:r>
        <w:rPr>
          <w:spacing w:val="-5"/>
          <w:sz w:val="21"/>
        </w:rPr>
        <w:t>第Ⅳ类直流喷雾水枪在最小流量和最大流量时，分别在喷雾角为 </w:t>
      </w:r>
      <w:r>
        <w:rPr>
          <w:sz w:val="21"/>
        </w:rPr>
        <w:t>30°、70°</w:t>
      </w:r>
      <w:r>
        <w:rPr>
          <w:spacing w:val="-3"/>
          <w:sz w:val="21"/>
        </w:rPr>
        <w:t>及最大喷</w:t>
      </w:r>
    </w:p>
    <w:p>
      <w:pPr>
        <w:pStyle w:val="BodyText"/>
        <w:spacing w:before="10"/>
        <w:rPr>
          <w:sz w:val="17"/>
        </w:rPr>
      </w:pPr>
    </w:p>
    <w:p>
      <w:pPr>
        <w:pStyle w:val="BodyText"/>
        <w:ind w:left="418"/>
      </w:pPr>
      <w:r>
        <w:rPr/>
        <w:t>雾角的喷射压力应符合表 4 额定喷射压力，其允差为士 0.1MPa。 </w:t>
      </w:r>
    </w:p>
    <w:p>
      <w:pPr>
        <w:spacing w:after="0"/>
        <w:sectPr>
          <w:pgSz w:w="11910" w:h="16850"/>
          <w:pgMar w:header="0" w:footer="1239" w:top="1420" w:bottom="1420" w:left="1260" w:right="0"/>
        </w:sectPr>
      </w:pPr>
    </w:p>
    <w:p>
      <w:pPr>
        <w:pStyle w:val="ListParagraph"/>
        <w:numPr>
          <w:ilvl w:val="3"/>
          <w:numId w:val="8"/>
        </w:numPr>
        <w:tabs>
          <w:tab w:pos="1583" w:val="left" w:leader="none"/>
        </w:tabs>
        <w:spacing w:line="446" w:lineRule="auto" w:before="47" w:after="0"/>
        <w:ind w:left="418" w:right="1603" w:firstLine="422"/>
        <w:jc w:val="left"/>
        <w:rPr>
          <w:sz w:val="19"/>
        </w:rPr>
      </w:pPr>
      <w:r>
        <w:rPr>
          <w:spacing w:val="-5"/>
          <w:sz w:val="21"/>
        </w:rPr>
        <w:t>多用水枪在额定喷射压力时，其额定直流流量和直流射程应符合表 </w:t>
      </w:r>
      <w:r>
        <w:rPr>
          <w:sz w:val="21"/>
        </w:rPr>
        <w:t>4</w:t>
      </w:r>
      <w:r>
        <w:rPr>
          <w:spacing w:val="-10"/>
          <w:sz w:val="21"/>
        </w:rPr>
        <w:t> 的要求，其额定喷雾流量应在表 </w:t>
      </w:r>
      <w:r>
        <w:rPr>
          <w:sz w:val="21"/>
        </w:rPr>
        <w:t>4</w:t>
      </w:r>
      <w:r>
        <w:rPr>
          <w:spacing w:val="-14"/>
          <w:sz w:val="21"/>
        </w:rPr>
        <w:t> 额定直流流量的 </w:t>
      </w:r>
      <w:r>
        <w:rPr>
          <w:sz w:val="21"/>
        </w:rPr>
        <w:t>92%～108</w:t>
      </w:r>
      <w:r>
        <w:rPr>
          <w:spacing w:val="-8"/>
          <w:sz w:val="21"/>
        </w:rPr>
        <w:t>%范围内，流量允差为士 </w:t>
      </w:r>
      <w:r>
        <w:rPr>
          <w:spacing w:val="-3"/>
          <w:sz w:val="21"/>
        </w:rPr>
        <w:t>8%</w:t>
      </w:r>
      <w:r>
        <w:rPr>
          <w:sz w:val="21"/>
        </w:rPr>
        <w:t>。 </w:t>
      </w:r>
    </w:p>
    <w:p>
      <w:pPr>
        <w:pStyle w:val="ListParagraph"/>
        <w:numPr>
          <w:ilvl w:val="2"/>
          <w:numId w:val="8"/>
        </w:numPr>
        <w:tabs>
          <w:tab w:pos="1370" w:val="left" w:leader="none"/>
        </w:tabs>
        <w:spacing w:line="267" w:lineRule="exact" w:before="0" w:after="0"/>
        <w:ind w:left="1369" w:right="0" w:hanging="530"/>
        <w:jc w:val="left"/>
        <w:rPr>
          <w:sz w:val="21"/>
        </w:rPr>
      </w:pPr>
      <w:r>
        <w:rPr>
          <w:spacing w:val="-3"/>
          <w:sz w:val="21"/>
        </w:rPr>
        <w:t>中压水枪</w:t>
      </w:r>
      <w:r>
        <w:rPr>
          <w:sz w:val="21"/>
        </w:rPr>
        <w:t> </w:t>
      </w:r>
    </w:p>
    <w:p>
      <w:pPr>
        <w:pStyle w:val="BodyText"/>
        <w:spacing w:before="2"/>
        <w:rPr>
          <w:sz w:val="18"/>
        </w:rPr>
      </w:pPr>
    </w:p>
    <w:p>
      <w:pPr>
        <w:pStyle w:val="BodyText"/>
        <w:spacing w:line="446" w:lineRule="auto"/>
        <w:ind w:left="418" w:right="1609" w:firstLine="419"/>
      </w:pPr>
      <w:r>
        <w:rPr>
          <w:spacing w:val="-5"/>
        </w:rPr>
        <w:t>中压水枪在额定喷射压力时，其额定直流流量和直流射程应符合表 </w:t>
      </w:r>
      <w:r>
        <w:rPr/>
        <w:t>5</w:t>
      </w:r>
      <w:r>
        <w:rPr>
          <w:spacing w:val="-7"/>
        </w:rPr>
        <w:t> 的要求，其最大喷雾</w:t>
      </w:r>
      <w:r>
        <w:rPr>
          <w:spacing w:val="-11"/>
        </w:rPr>
        <w:t>角时的流量应在表 </w:t>
      </w:r>
      <w:r>
        <w:rPr/>
        <w:t>5</w:t>
      </w:r>
      <w:r>
        <w:rPr>
          <w:spacing w:val="-14"/>
        </w:rPr>
        <w:t> 额定直流流量的 </w:t>
      </w:r>
      <w:r>
        <w:rPr/>
        <w:t>100%～150</w:t>
      </w:r>
      <w:r>
        <w:rPr>
          <w:spacing w:val="-7"/>
        </w:rPr>
        <w:t>%的范围内，流量允差为士 </w:t>
      </w:r>
      <w:r>
        <w:rPr>
          <w:spacing w:val="-3"/>
        </w:rPr>
        <w:t>8%</w:t>
      </w:r>
      <w:r>
        <w:rPr/>
        <w:t>。 </w:t>
      </w:r>
    </w:p>
    <w:p>
      <w:pPr>
        <w:pStyle w:val="BodyText"/>
        <w:ind w:left="718"/>
        <w:rPr>
          <w:sz w:val="20"/>
        </w:rPr>
      </w:pPr>
      <w:r>
        <w:rPr>
          <w:sz w:val="20"/>
        </w:rPr>
        <w:drawing>
          <wp:inline distT="0" distB="0" distL="0" distR="0">
            <wp:extent cx="5181600" cy="1038225"/>
            <wp:effectExtent l="0" t="0" r="0" b="0"/>
            <wp:docPr id="15" name="image23.jpeg"/>
            <wp:cNvGraphicFramePr>
              <a:graphicFrameLocks noChangeAspect="1"/>
            </wp:cNvGraphicFramePr>
            <a:graphic>
              <a:graphicData uri="http://schemas.openxmlformats.org/drawingml/2006/picture">
                <pic:pic>
                  <pic:nvPicPr>
                    <pic:cNvPr id="16" name="image23.jpeg"/>
                    <pic:cNvPicPr/>
                  </pic:nvPicPr>
                  <pic:blipFill>
                    <a:blip r:embed="rId29" cstate="print"/>
                    <a:stretch>
                      <a:fillRect/>
                    </a:stretch>
                  </pic:blipFill>
                  <pic:spPr>
                    <a:xfrm>
                      <a:off x="0" y="0"/>
                      <a:ext cx="5181600" cy="1038225"/>
                    </a:xfrm>
                    <a:prstGeom prst="rect">
                      <a:avLst/>
                    </a:prstGeom>
                  </pic:spPr>
                </pic:pic>
              </a:graphicData>
            </a:graphic>
          </wp:inline>
        </w:drawing>
      </w:r>
      <w:r>
        <w:rPr>
          <w:sz w:val="20"/>
        </w:rPr>
      </w:r>
    </w:p>
    <w:p>
      <w:pPr>
        <w:pStyle w:val="BodyText"/>
        <w:rPr>
          <w:sz w:val="20"/>
        </w:rPr>
      </w:pPr>
    </w:p>
    <w:p>
      <w:pPr>
        <w:pStyle w:val="BodyText"/>
        <w:rPr>
          <w:sz w:val="20"/>
        </w:rPr>
      </w:pPr>
    </w:p>
    <w:p>
      <w:pPr>
        <w:pStyle w:val="ListParagraph"/>
        <w:numPr>
          <w:ilvl w:val="2"/>
          <w:numId w:val="8"/>
        </w:numPr>
        <w:tabs>
          <w:tab w:pos="1370" w:val="left" w:leader="none"/>
        </w:tabs>
        <w:spacing w:line="240" w:lineRule="auto" w:before="167" w:after="0"/>
        <w:ind w:left="1369" w:right="0" w:hanging="530"/>
        <w:jc w:val="left"/>
        <w:rPr>
          <w:sz w:val="21"/>
        </w:rPr>
      </w:pPr>
      <w:r>
        <w:rPr>
          <w:spacing w:val="-3"/>
          <w:sz w:val="21"/>
        </w:rPr>
        <w:t>高压水枪</w:t>
      </w:r>
      <w:r>
        <w:rPr>
          <w:sz w:val="21"/>
        </w:rPr>
        <w:t> </w:t>
      </w:r>
    </w:p>
    <w:p>
      <w:pPr>
        <w:pStyle w:val="BodyText"/>
        <w:spacing w:before="2"/>
        <w:rPr>
          <w:sz w:val="18"/>
        </w:rPr>
      </w:pPr>
    </w:p>
    <w:p>
      <w:pPr>
        <w:pStyle w:val="BodyText"/>
        <w:spacing w:line="446" w:lineRule="auto"/>
        <w:ind w:left="418" w:right="1609" w:firstLine="419"/>
      </w:pPr>
      <w:r>
        <w:rPr/>
        <w:drawing>
          <wp:anchor distT="0" distB="0" distL="0" distR="0" allowOverlap="1" layoutInCell="1" locked="0" behindDoc="1" simplePos="0" relativeHeight="215640064">
            <wp:simplePos x="0" y="0"/>
            <wp:positionH relativeFrom="page">
              <wp:posOffset>1198880</wp:posOffset>
            </wp:positionH>
            <wp:positionV relativeFrom="paragraph">
              <wp:posOffset>525525</wp:posOffset>
            </wp:positionV>
            <wp:extent cx="5097145" cy="1143000"/>
            <wp:effectExtent l="0" t="0" r="0" b="0"/>
            <wp:wrapNone/>
            <wp:docPr id="17" name="image24.jpeg"/>
            <wp:cNvGraphicFramePr>
              <a:graphicFrameLocks noChangeAspect="1"/>
            </wp:cNvGraphicFramePr>
            <a:graphic>
              <a:graphicData uri="http://schemas.openxmlformats.org/drawingml/2006/picture">
                <pic:pic>
                  <pic:nvPicPr>
                    <pic:cNvPr id="18" name="image24.jpeg"/>
                    <pic:cNvPicPr/>
                  </pic:nvPicPr>
                  <pic:blipFill>
                    <a:blip r:embed="rId30" cstate="print"/>
                    <a:stretch>
                      <a:fillRect/>
                    </a:stretch>
                  </pic:blipFill>
                  <pic:spPr>
                    <a:xfrm>
                      <a:off x="0" y="0"/>
                      <a:ext cx="5097145" cy="1143000"/>
                    </a:xfrm>
                    <a:prstGeom prst="rect">
                      <a:avLst/>
                    </a:prstGeom>
                  </pic:spPr>
                </pic:pic>
              </a:graphicData>
            </a:graphic>
          </wp:anchor>
        </w:drawing>
      </w:r>
      <w:r>
        <w:rPr>
          <w:spacing w:val="-5"/>
        </w:rPr>
        <w:t>高压水枪在额定喷射压力时，其额定直流流量和直流射程应符合表 </w:t>
      </w:r>
      <w:r>
        <w:rPr/>
        <w:t>6</w:t>
      </w:r>
      <w:r>
        <w:rPr>
          <w:spacing w:val="-7"/>
        </w:rPr>
        <w:t> 的要求，其最大喷雾</w:t>
      </w:r>
      <w:r>
        <w:rPr>
          <w:spacing w:val="-11"/>
        </w:rPr>
        <w:t>角时的流量应在表 </w:t>
      </w:r>
      <w:r>
        <w:rPr/>
        <w:t>6</w:t>
      </w:r>
      <w:r>
        <w:rPr>
          <w:spacing w:val="-14"/>
        </w:rPr>
        <w:t> 额定直流流量的 </w:t>
      </w:r>
      <w:r>
        <w:rPr/>
        <w:t>100%～150</w:t>
      </w:r>
      <w:r>
        <w:rPr>
          <w:spacing w:val="-7"/>
        </w:rPr>
        <w:t>%的范围内，流量允差为士 </w:t>
      </w:r>
      <w:r>
        <w:rPr>
          <w:spacing w:val="-3"/>
        </w:rPr>
        <w:t>8%</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pStyle w:val="ListParagraph"/>
        <w:numPr>
          <w:ilvl w:val="1"/>
          <w:numId w:val="8"/>
        </w:numPr>
        <w:tabs>
          <w:tab w:pos="1371" w:val="left" w:leader="none"/>
        </w:tabs>
        <w:spacing w:line="240" w:lineRule="auto" w:before="0" w:after="0"/>
        <w:ind w:left="1370" w:right="0" w:hanging="411"/>
        <w:jc w:val="left"/>
        <w:rPr>
          <w:b/>
          <w:sz w:val="21"/>
        </w:rPr>
      </w:pPr>
      <w:r>
        <w:rPr>
          <w:spacing w:val="-28"/>
          <w:sz w:val="21"/>
        </w:rPr>
        <w:t>雾 状 水 流 及 开 花 水 流 的 要 求</w:t>
      </w:r>
      <w:r>
        <w:rPr>
          <w:spacing w:val="-45"/>
          <w:sz w:val="21"/>
        </w:rPr>
        <w:t> </w:t>
      </w:r>
      <w:r>
        <w:rPr>
          <w:b/>
          <w:w w:val="99"/>
          <w:sz w:val="21"/>
        </w:rPr>
        <w:t> </w:t>
      </w:r>
    </w:p>
    <w:p>
      <w:pPr>
        <w:pStyle w:val="BodyText"/>
        <w:spacing w:before="12"/>
        <w:rPr>
          <w:b/>
          <w:sz w:val="17"/>
        </w:rPr>
      </w:pPr>
    </w:p>
    <w:p>
      <w:pPr>
        <w:pStyle w:val="ListParagraph"/>
        <w:numPr>
          <w:ilvl w:val="2"/>
          <w:numId w:val="10"/>
        </w:numPr>
        <w:tabs>
          <w:tab w:pos="1371" w:val="left" w:leader="none"/>
        </w:tabs>
        <w:spacing w:line="448" w:lineRule="auto" w:before="0" w:after="0"/>
        <w:ind w:left="418" w:right="1604" w:firstLine="422"/>
        <w:jc w:val="left"/>
        <w:rPr>
          <w:sz w:val="21"/>
        </w:rPr>
      </w:pPr>
      <w:r>
        <w:rPr>
          <w:spacing w:val="-3"/>
          <w:sz w:val="21"/>
        </w:rPr>
        <w:t>对于产生雾状水流或开花水流的水枪，其喷射的雾状水流或开花水流应无明显的不均匀。</w:t>
      </w:r>
      <w:r>
        <w:rPr>
          <w:sz w:val="21"/>
        </w:rPr>
        <w:t> </w:t>
      </w:r>
    </w:p>
    <w:p>
      <w:pPr>
        <w:pStyle w:val="ListParagraph"/>
        <w:numPr>
          <w:ilvl w:val="2"/>
          <w:numId w:val="10"/>
        </w:numPr>
        <w:tabs>
          <w:tab w:pos="1371" w:val="left" w:leader="none"/>
        </w:tabs>
        <w:spacing w:line="446" w:lineRule="auto" w:before="0" w:after="0"/>
        <w:ind w:left="418" w:right="1508" w:firstLine="422"/>
        <w:jc w:val="both"/>
        <w:rPr>
          <w:sz w:val="21"/>
        </w:rPr>
      </w:pPr>
      <w:r>
        <w:rPr>
          <w:spacing w:val="-5"/>
          <w:sz w:val="21"/>
        </w:rPr>
        <w:t>对于喷雾角连续可调的水枪，其连续可调喷雾角至少满足 </w:t>
      </w:r>
      <w:r>
        <w:rPr>
          <w:sz w:val="21"/>
        </w:rPr>
        <w:t>0°～100</w:t>
      </w:r>
      <w:r>
        <w:rPr>
          <w:spacing w:val="-2"/>
          <w:sz w:val="21"/>
        </w:rPr>
        <w:t>°可调；对于喷</w:t>
      </w:r>
      <w:r>
        <w:rPr>
          <w:spacing w:val="-6"/>
          <w:sz w:val="21"/>
        </w:rPr>
        <w:t>雾角不可调的水枪，其喷雾角应在 </w:t>
      </w:r>
      <w:r>
        <w:rPr>
          <w:sz w:val="21"/>
        </w:rPr>
        <w:t>30°～50</w:t>
      </w:r>
      <w:r>
        <w:rPr>
          <w:spacing w:val="-3"/>
          <w:sz w:val="21"/>
        </w:rPr>
        <w:t>°的范围内；对于开花角连续可调的水枪，其连续</w:t>
      </w:r>
      <w:r>
        <w:rPr>
          <w:spacing w:val="-7"/>
          <w:sz w:val="21"/>
        </w:rPr>
        <w:t>可调开花角至少满足 </w:t>
      </w:r>
      <w:r>
        <w:rPr>
          <w:sz w:val="21"/>
        </w:rPr>
        <w:t>30°～120</w:t>
      </w:r>
      <w:r>
        <w:rPr>
          <w:spacing w:val="-5"/>
          <w:sz w:val="21"/>
        </w:rPr>
        <w:t>°可调；对于开花角不可调的水枪；其开花角应在 </w:t>
      </w:r>
      <w:r>
        <w:rPr>
          <w:sz w:val="21"/>
        </w:rPr>
        <w:t>90°～120° </w:t>
      </w:r>
      <w:r>
        <w:rPr>
          <w:spacing w:val="-2"/>
          <w:sz w:val="21"/>
        </w:rPr>
        <w:t>的范围内。</w:t>
      </w:r>
      <w:r>
        <w:rPr>
          <w:sz w:val="21"/>
        </w:rPr>
        <w:t> </w:t>
      </w:r>
    </w:p>
    <w:p>
      <w:pPr>
        <w:pStyle w:val="ListParagraph"/>
        <w:numPr>
          <w:ilvl w:val="1"/>
          <w:numId w:val="8"/>
        </w:numPr>
        <w:tabs>
          <w:tab w:pos="1159" w:val="left" w:leader="none"/>
        </w:tabs>
        <w:spacing w:line="266" w:lineRule="exact" w:before="0" w:after="0"/>
        <w:ind w:left="1158" w:right="0" w:hanging="319"/>
        <w:jc w:val="left"/>
        <w:rPr>
          <w:b/>
          <w:sz w:val="21"/>
        </w:rPr>
      </w:pPr>
      <w:r>
        <w:rPr>
          <w:spacing w:val="-3"/>
          <w:sz w:val="21"/>
        </w:rPr>
        <w:t>操作结构要求</w:t>
      </w:r>
      <w:r>
        <w:rPr>
          <w:b/>
          <w:spacing w:val="-3"/>
          <w:w w:val="99"/>
          <w:sz w:val="21"/>
        </w:rPr>
        <w:t> </w:t>
      </w:r>
    </w:p>
    <w:p>
      <w:pPr>
        <w:pStyle w:val="BodyText"/>
        <w:spacing w:before="11"/>
        <w:rPr>
          <w:b/>
          <w:sz w:val="17"/>
        </w:rPr>
      </w:pPr>
    </w:p>
    <w:p>
      <w:pPr>
        <w:pStyle w:val="ListParagraph"/>
        <w:numPr>
          <w:ilvl w:val="2"/>
          <w:numId w:val="8"/>
        </w:numPr>
        <w:tabs>
          <w:tab w:pos="1371" w:val="left" w:leader="none"/>
        </w:tabs>
        <w:spacing w:line="446" w:lineRule="auto" w:before="0" w:after="0"/>
        <w:ind w:left="418" w:right="1813" w:firstLine="422"/>
        <w:jc w:val="left"/>
        <w:rPr>
          <w:sz w:val="21"/>
        </w:rPr>
      </w:pPr>
      <w:r>
        <w:rPr>
          <w:spacing w:val="-3"/>
          <w:sz w:val="21"/>
        </w:rPr>
        <w:t>对于直流开关水枪，杆式手柄指向水枪出口是“开”，杆式手柄垂直水枪轴线是“关”，并且在这两个位置有限位功能。</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
        </w:numPr>
        <w:tabs>
          <w:tab w:pos="1370" w:val="left" w:leader="none"/>
        </w:tabs>
        <w:spacing w:line="446" w:lineRule="auto" w:before="47" w:after="0"/>
        <w:ind w:left="418" w:right="1608" w:firstLine="422"/>
        <w:jc w:val="left"/>
        <w:rPr>
          <w:b/>
          <w:sz w:val="21"/>
        </w:rPr>
      </w:pPr>
      <w:r>
        <w:rPr>
          <w:spacing w:val="-2"/>
          <w:sz w:val="21"/>
        </w:rPr>
        <w:t>对于球阀转换式直流喷雾水枪、球阀转换式多用水枪，杆式手柄指向水枪出口是 “ </w:t>
      </w:r>
      <w:r>
        <w:rPr>
          <w:spacing w:val="-3"/>
          <w:sz w:val="21"/>
        </w:rPr>
        <w:t>直流”，杆式手柄指向水枪进口是“喷雾”，杆式手柄垂直水枪轴线是“关”，并且在“直流”和“喷雾”位置有限位功能。</w:t>
      </w:r>
      <w:r>
        <w:rPr>
          <w:b/>
          <w:w w:val="99"/>
          <w:sz w:val="21"/>
        </w:rPr>
        <w:t> </w:t>
      </w:r>
    </w:p>
    <w:p>
      <w:pPr>
        <w:pStyle w:val="ListParagraph"/>
        <w:numPr>
          <w:ilvl w:val="2"/>
          <w:numId w:val="8"/>
        </w:numPr>
        <w:tabs>
          <w:tab w:pos="1371" w:val="left" w:leader="none"/>
        </w:tabs>
        <w:spacing w:line="446" w:lineRule="auto" w:before="0" w:after="0"/>
        <w:ind w:left="418" w:right="1604" w:firstLine="422"/>
        <w:jc w:val="left"/>
        <w:rPr>
          <w:sz w:val="21"/>
        </w:rPr>
      </w:pPr>
      <w:r>
        <w:rPr>
          <w:spacing w:val="-3"/>
          <w:sz w:val="21"/>
        </w:rPr>
        <w:t>对于带有弓形手柄的导流式直流喷雾水枪，弓形手柄指向水枪进口是“开”，弓形手柄指向水枪出口是“关”，并且在这两个位置有限位功能。</w:t>
      </w:r>
      <w:r>
        <w:rPr>
          <w:sz w:val="21"/>
        </w:rPr>
        <w:t> </w:t>
      </w:r>
    </w:p>
    <w:p>
      <w:pPr>
        <w:pStyle w:val="ListParagraph"/>
        <w:numPr>
          <w:ilvl w:val="2"/>
          <w:numId w:val="8"/>
        </w:numPr>
        <w:tabs>
          <w:tab w:pos="1371" w:val="left" w:leader="none"/>
        </w:tabs>
        <w:spacing w:line="446" w:lineRule="auto" w:before="0" w:after="0"/>
        <w:ind w:left="418" w:right="1604" w:firstLine="422"/>
        <w:jc w:val="left"/>
        <w:rPr>
          <w:sz w:val="21"/>
        </w:rPr>
      </w:pPr>
      <w:r>
        <w:rPr>
          <w:spacing w:val="-3"/>
          <w:sz w:val="21"/>
        </w:rPr>
        <w:t>对于直流喷雾水枪、直流开花水枪，其调节喷雾角和开花角的旋转开关的关闭方向从水枪的进口看是顺时针。 </w:t>
      </w:r>
    </w:p>
    <w:p>
      <w:pPr>
        <w:pStyle w:val="ListParagraph"/>
        <w:numPr>
          <w:ilvl w:val="2"/>
          <w:numId w:val="8"/>
        </w:numPr>
        <w:tabs>
          <w:tab w:pos="1370" w:val="left" w:leader="none"/>
        </w:tabs>
        <w:spacing w:line="240" w:lineRule="auto" w:before="0" w:after="0"/>
        <w:ind w:left="1369" w:right="0" w:hanging="530"/>
        <w:jc w:val="left"/>
        <w:rPr>
          <w:sz w:val="21"/>
        </w:rPr>
      </w:pPr>
      <w:r>
        <w:rPr>
          <w:spacing w:val="-3"/>
          <w:sz w:val="21"/>
        </w:rPr>
        <w:t>对于中压水枪、高压水枪的扳机式开关，手握紧是“开”，手放松是“关”。</w:t>
      </w:r>
      <w:r>
        <w:rPr>
          <w:sz w:val="21"/>
        </w:rPr>
        <w:t> </w:t>
      </w:r>
    </w:p>
    <w:p>
      <w:pPr>
        <w:pStyle w:val="BodyText"/>
        <w:spacing w:before="9"/>
        <w:rPr>
          <w:sz w:val="17"/>
        </w:rPr>
      </w:pPr>
    </w:p>
    <w:p>
      <w:pPr>
        <w:pStyle w:val="ListParagraph"/>
        <w:numPr>
          <w:ilvl w:val="2"/>
          <w:numId w:val="8"/>
        </w:numPr>
        <w:tabs>
          <w:tab w:pos="1371" w:val="left" w:leader="none"/>
        </w:tabs>
        <w:spacing w:line="240" w:lineRule="auto" w:before="1" w:after="0"/>
        <w:ind w:left="1370" w:right="0" w:hanging="531"/>
        <w:jc w:val="left"/>
        <w:rPr>
          <w:sz w:val="21"/>
        </w:rPr>
      </w:pPr>
      <w:r>
        <w:rPr>
          <w:spacing w:val="-8"/>
          <w:sz w:val="21"/>
        </w:rPr>
        <w:t>水枪的操作力矩不大于 </w:t>
      </w:r>
      <w:r>
        <w:rPr>
          <w:sz w:val="21"/>
        </w:rPr>
        <w:t>15 N•m</w:t>
      </w:r>
      <w:r>
        <w:rPr>
          <w:spacing w:val="-3"/>
          <w:sz w:val="21"/>
        </w:rPr>
        <w:t>。</w:t>
      </w:r>
      <w:r>
        <w:rPr>
          <w:sz w:val="21"/>
        </w:rPr>
        <w:t> </w:t>
      </w:r>
      <w:r>
        <w:rPr>
          <w:spacing w:val="-2"/>
          <w:sz w:val="21"/>
        </w:rPr>
        <w:t> </w:t>
      </w:r>
      <w:r>
        <w:rPr>
          <w:w w:val="100"/>
          <w:sz w:val="21"/>
        </w:rPr>
        <w:t> </w:t>
      </w:r>
    </w:p>
    <w:p>
      <w:pPr>
        <w:pStyle w:val="BodyText"/>
        <w:spacing w:before="1"/>
        <w:rPr>
          <w:sz w:val="18"/>
        </w:rPr>
      </w:pPr>
    </w:p>
    <w:p>
      <w:pPr>
        <w:spacing w:before="1"/>
        <w:ind w:left="840" w:right="0" w:firstLine="0"/>
        <w:jc w:val="left"/>
        <w:rPr>
          <w:b/>
          <w:sz w:val="21"/>
        </w:rPr>
      </w:pPr>
      <w:r>
        <w:rPr>
          <w:b/>
          <w:sz w:val="21"/>
        </w:rPr>
        <w:t>5.4 </w:t>
      </w:r>
      <w:r>
        <w:rPr>
          <w:sz w:val="21"/>
        </w:rPr>
        <w:t>材 料</w:t>
      </w:r>
      <w:r>
        <w:rPr>
          <w:b/>
          <w:w w:val="99"/>
          <w:sz w:val="21"/>
        </w:rPr>
        <w:t> </w:t>
      </w:r>
    </w:p>
    <w:p>
      <w:pPr>
        <w:pStyle w:val="BodyText"/>
        <w:spacing w:before="12"/>
        <w:rPr>
          <w:b/>
          <w:sz w:val="17"/>
        </w:rPr>
      </w:pPr>
    </w:p>
    <w:p>
      <w:pPr>
        <w:pStyle w:val="ListParagraph"/>
        <w:numPr>
          <w:ilvl w:val="2"/>
          <w:numId w:val="11"/>
        </w:numPr>
        <w:tabs>
          <w:tab w:pos="1370" w:val="left" w:leader="none"/>
        </w:tabs>
        <w:spacing w:line="446" w:lineRule="auto" w:before="0" w:after="0"/>
        <w:ind w:left="418" w:right="1604" w:firstLine="422"/>
        <w:jc w:val="left"/>
        <w:rPr>
          <w:sz w:val="21"/>
        </w:rPr>
      </w:pPr>
      <w:r>
        <w:rPr>
          <w:spacing w:val="-3"/>
          <w:sz w:val="21"/>
        </w:rPr>
        <w:t>水枪应采用耐腐蚀或经防腐蚀处理的材料制造</w:t>
      </w:r>
      <w:r>
        <w:rPr>
          <w:b/>
          <w:sz w:val="21"/>
        </w:rPr>
        <w:t>，</w:t>
      </w:r>
      <w:r>
        <w:rPr>
          <w:spacing w:val="-3"/>
          <w:sz w:val="21"/>
        </w:rPr>
        <w:t>以满足相应使用环境和介质的防腐要求。</w:t>
      </w:r>
      <w:r>
        <w:rPr>
          <w:sz w:val="21"/>
        </w:rPr>
        <w:t> </w:t>
      </w:r>
    </w:p>
    <w:p>
      <w:pPr>
        <w:pStyle w:val="ListParagraph"/>
        <w:numPr>
          <w:ilvl w:val="2"/>
          <w:numId w:val="11"/>
        </w:numPr>
        <w:tabs>
          <w:tab w:pos="1370" w:val="left" w:leader="none"/>
        </w:tabs>
        <w:spacing w:line="240" w:lineRule="auto" w:before="0" w:after="0"/>
        <w:ind w:left="1369" w:right="0" w:hanging="530"/>
        <w:jc w:val="left"/>
        <w:rPr>
          <w:sz w:val="21"/>
        </w:rPr>
      </w:pPr>
      <w:r>
        <w:rPr>
          <w:spacing w:val="-6"/>
          <w:sz w:val="21"/>
        </w:rPr>
        <w:t>各铸件材料的化学成分及机械性能应符合 </w:t>
      </w:r>
      <w:r>
        <w:rPr>
          <w:sz w:val="21"/>
        </w:rPr>
        <w:t>GB/T</w:t>
      </w:r>
      <w:r>
        <w:rPr>
          <w:spacing w:val="1"/>
          <w:sz w:val="21"/>
        </w:rPr>
        <w:t> </w:t>
      </w:r>
      <w:r>
        <w:rPr>
          <w:sz w:val="21"/>
        </w:rPr>
        <w:t>1173、GB/T</w:t>
      </w:r>
      <w:r>
        <w:rPr>
          <w:spacing w:val="-2"/>
          <w:sz w:val="21"/>
        </w:rPr>
        <w:t> </w:t>
      </w:r>
      <w:r>
        <w:rPr>
          <w:sz w:val="21"/>
        </w:rPr>
        <w:t>1176、GB/T</w:t>
      </w:r>
      <w:r>
        <w:rPr>
          <w:spacing w:val="2"/>
          <w:sz w:val="21"/>
        </w:rPr>
        <w:t> </w:t>
      </w:r>
      <w:r>
        <w:rPr>
          <w:sz w:val="21"/>
        </w:rPr>
        <w:t>15115</w:t>
      </w:r>
      <w:r>
        <w:rPr>
          <w:spacing w:val="-27"/>
          <w:sz w:val="21"/>
        </w:rPr>
        <w:t> 和</w:t>
      </w:r>
    </w:p>
    <w:p>
      <w:pPr>
        <w:pStyle w:val="BodyText"/>
        <w:spacing w:before="12"/>
        <w:rPr>
          <w:sz w:val="17"/>
        </w:rPr>
      </w:pPr>
    </w:p>
    <w:p>
      <w:pPr>
        <w:pStyle w:val="BodyText"/>
        <w:spacing w:line="446" w:lineRule="auto"/>
        <w:ind w:left="840" w:right="7127" w:hanging="423"/>
        <w:rPr>
          <w:b/>
        </w:rPr>
      </w:pPr>
      <w:r>
        <w:rPr/>
        <w:t>GB/T 15116</w:t>
      </w:r>
      <w:r>
        <w:rPr>
          <w:spacing w:val="-8"/>
        </w:rPr>
        <w:t> 等相应标准的规定。</w:t>
      </w:r>
      <w:r>
        <w:rPr>
          <w:b/>
        </w:rPr>
        <w:t>5.5</w:t>
      </w:r>
      <w:r>
        <w:rPr>
          <w:b/>
          <w:spacing w:val="104"/>
        </w:rPr>
        <w:t> </w:t>
      </w:r>
      <w:r>
        <w:rPr>
          <w:spacing w:val="-3"/>
        </w:rPr>
        <w:t>密封件</w:t>
      </w:r>
      <w:r>
        <w:rPr>
          <w:b/>
          <w:w w:val="99"/>
        </w:rPr>
        <w:t> </w:t>
      </w:r>
    </w:p>
    <w:p>
      <w:pPr>
        <w:pStyle w:val="BodyText"/>
        <w:spacing w:line="446" w:lineRule="auto"/>
        <w:ind w:left="840" w:right="3819" w:hanging="3"/>
        <w:rPr>
          <w:b/>
        </w:rPr>
      </w:pPr>
      <w:r>
        <w:rPr/>
        <w:t>水枪各密封部位所使用的O 形密封圈应符合 GB 3452</w:t>
      </w:r>
      <w:r>
        <w:rPr>
          <w:b/>
        </w:rPr>
        <w:t>.</w:t>
      </w:r>
      <w:r>
        <w:rPr/>
        <w:t>1 的规定。</w:t>
      </w:r>
      <w:r>
        <w:rPr>
          <w:b/>
        </w:rPr>
        <w:t>5.6 </w:t>
      </w:r>
      <w:r>
        <w:rPr/>
        <w:t>螺 纹</w:t>
      </w:r>
      <w:r>
        <w:rPr>
          <w:b/>
          <w:w w:val="99"/>
        </w:rPr>
        <w:t> </w:t>
      </w:r>
    </w:p>
    <w:p>
      <w:pPr>
        <w:pStyle w:val="BodyText"/>
        <w:spacing w:line="446" w:lineRule="auto"/>
        <w:ind w:left="418" w:right="1608" w:firstLine="419"/>
      </w:pPr>
      <w:r>
        <w:rPr/>
        <w:t>水枪上的螺纹除与管牙接口连接部分使用圆柱管螺纹外，其余均应为普通螺纹。普通螺纹公差应符合 GB/T 197 中内螺纹 7H 级、外螺纹 8g 级的要求。螺纹应无缺牙，表面应光洁。 </w:t>
      </w:r>
    </w:p>
    <w:p>
      <w:pPr>
        <w:spacing w:before="0"/>
        <w:ind w:left="840" w:right="0" w:firstLine="0"/>
        <w:jc w:val="left"/>
        <w:rPr>
          <w:b/>
          <w:sz w:val="21"/>
        </w:rPr>
      </w:pPr>
      <w:r>
        <w:rPr>
          <w:b/>
          <w:sz w:val="21"/>
        </w:rPr>
        <w:t>5.7</w:t>
      </w:r>
      <w:r>
        <w:rPr>
          <w:b/>
          <w:spacing w:val="2"/>
          <w:sz w:val="21"/>
        </w:rPr>
        <w:t>  </w:t>
      </w:r>
      <w:r>
        <w:rPr>
          <w:spacing w:val="-3"/>
          <w:sz w:val="21"/>
        </w:rPr>
        <w:t>表面质量</w:t>
      </w:r>
      <w:r>
        <w:rPr>
          <w:b/>
          <w:w w:val="99"/>
          <w:sz w:val="21"/>
        </w:rPr>
        <w:t> </w:t>
      </w:r>
    </w:p>
    <w:p>
      <w:pPr>
        <w:pStyle w:val="BodyText"/>
        <w:spacing w:before="10"/>
        <w:rPr>
          <w:b/>
          <w:sz w:val="17"/>
        </w:rPr>
      </w:pPr>
    </w:p>
    <w:p>
      <w:pPr>
        <w:pStyle w:val="BodyText"/>
        <w:spacing w:line="446" w:lineRule="auto" w:before="1"/>
        <w:ind w:left="840" w:right="3606" w:hanging="3"/>
        <w:rPr>
          <w:b/>
        </w:rPr>
      </w:pPr>
      <w:r>
        <w:rPr>
          <w:spacing w:val="-3"/>
        </w:rPr>
        <w:t>铸件表面应无结疤、裂纹及孔眼。铝制件表面须作阳极氧化处理。</w:t>
      </w:r>
      <w:r>
        <w:rPr>
          <w:b/>
        </w:rPr>
        <w:t>5.8</w:t>
      </w:r>
      <w:r>
        <w:rPr>
          <w:b/>
          <w:spacing w:val="104"/>
        </w:rPr>
        <w:t> </w:t>
      </w:r>
      <w:r>
        <w:rPr>
          <w:spacing w:val="-3"/>
        </w:rPr>
        <w:t>密封性能</w:t>
      </w:r>
      <w:r>
        <w:rPr>
          <w:b/>
          <w:w w:val="99"/>
        </w:rPr>
        <w:t> </w:t>
      </w:r>
    </w:p>
    <w:p>
      <w:pPr>
        <w:pStyle w:val="BodyText"/>
        <w:spacing w:line="446" w:lineRule="auto"/>
        <w:ind w:left="840" w:right="1714" w:hanging="3"/>
        <w:rPr>
          <w:b/>
        </w:rPr>
      </w:pPr>
      <w:r>
        <w:rPr>
          <w:spacing w:val="-14"/>
        </w:rPr>
        <w:t>水枪按 </w:t>
      </w:r>
      <w:r>
        <w:rPr/>
        <w:t>6.5.2</w:t>
      </w:r>
      <w:r>
        <w:rPr>
          <w:spacing w:val="-33"/>
        </w:rPr>
        <w:t> 与 </w:t>
      </w:r>
      <w:r>
        <w:rPr/>
        <w:t>6.5.3</w:t>
      </w:r>
      <w:r>
        <w:rPr>
          <w:spacing w:val="-8"/>
        </w:rPr>
        <w:t> 规定的条件进行密封性能试验，枪体及各密封部位不允许渗漏。</w:t>
      </w:r>
      <w:r>
        <w:rPr>
          <w:b/>
        </w:rPr>
        <w:t>5.9</w:t>
      </w:r>
      <w:r>
        <w:rPr>
          <w:b/>
          <w:spacing w:val="104"/>
        </w:rPr>
        <w:t> </w:t>
      </w:r>
      <w:r>
        <w:rPr>
          <w:spacing w:val="-3"/>
        </w:rPr>
        <w:t>耐水压强度</w:t>
      </w:r>
      <w:r>
        <w:rPr>
          <w:b/>
          <w:w w:val="99"/>
        </w:rPr>
        <w:t> </w:t>
      </w:r>
    </w:p>
    <w:p>
      <w:pPr>
        <w:pStyle w:val="BodyText"/>
        <w:spacing w:line="446" w:lineRule="auto"/>
        <w:ind w:left="418" w:right="1609" w:firstLine="419"/>
      </w:pPr>
      <w:r>
        <w:rPr>
          <w:spacing w:val="-11"/>
        </w:rPr>
        <w:t>水枪按 </w:t>
      </w:r>
      <w:r>
        <w:rPr/>
        <w:t>6.5.4</w:t>
      </w:r>
      <w:r>
        <w:rPr>
          <w:spacing w:val="-7"/>
        </w:rPr>
        <w:t> 规定的条件进行耐水压强度试验，水枪不应出现裂纹、断裂或影响正常使用</w:t>
      </w:r>
      <w:r>
        <w:rPr>
          <w:spacing w:val="-5"/>
        </w:rPr>
        <w:t>的残余变形。</w:t>
      </w:r>
      <w:r>
        <w:rPr/>
        <w:t> </w:t>
      </w:r>
    </w:p>
    <w:p>
      <w:pPr>
        <w:pStyle w:val="ListParagraph"/>
        <w:numPr>
          <w:ilvl w:val="1"/>
          <w:numId w:val="12"/>
        </w:numPr>
        <w:tabs>
          <w:tab w:pos="1264" w:val="left" w:leader="none"/>
        </w:tabs>
        <w:spacing w:line="267" w:lineRule="exact" w:before="0" w:after="0"/>
        <w:ind w:left="1263" w:right="0" w:hanging="424"/>
        <w:jc w:val="left"/>
        <w:rPr>
          <w:b/>
          <w:sz w:val="21"/>
        </w:rPr>
      </w:pPr>
      <w:r>
        <w:rPr>
          <w:spacing w:val="-3"/>
          <w:sz w:val="21"/>
        </w:rPr>
        <w:t>使用环境温度</w:t>
      </w:r>
      <w:r>
        <w:rPr>
          <w:b/>
          <w:w w:val="99"/>
          <w:sz w:val="21"/>
        </w:rPr>
        <w:t>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611" w:firstLine="419"/>
      </w:pPr>
      <w:r>
        <w:rPr>
          <w:spacing w:val="-3"/>
        </w:rPr>
        <w:t>水枪的使用环境温度范围为</w:t>
      </w:r>
      <w:r>
        <w:rPr/>
        <w:t>﹣30</w:t>
      </w:r>
      <w:r>
        <w:rPr>
          <w:spacing w:val="3"/>
        </w:rPr>
        <w:t>℃ </w:t>
      </w:r>
      <w:r>
        <w:rPr/>
        <w:t>～+ 55</w:t>
      </w:r>
      <w:r>
        <w:rPr>
          <w:spacing w:val="-13"/>
        </w:rPr>
        <w:t>℃，按 </w:t>
      </w:r>
      <w:r>
        <w:rPr/>
        <w:t>6.6、6.7</w:t>
      </w:r>
      <w:r>
        <w:rPr>
          <w:spacing w:val="-9"/>
        </w:rPr>
        <w:t> 规定的条件试验后，应能正常</w:t>
      </w:r>
      <w:r>
        <w:rPr>
          <w:spacing w:val="-6"/>
        </w:rPr>
        <w:t>操作使用。</w:t>
      </w:r>
      <w:r>
        <w:rPr/>
        <w:t> </w:t>
      </w:r>
    </w:p>
    <w:p>
      <w:pPr>
        <w:pStyle w:val="ListParagraph"/>
        <w:numPr>
          <w:ilvl w:val="1"/>
          <w:numId w:val="12"/>
        </w:numPr>
        <w:tabs>
          <w:tab w:pos="1264" w:val="left" w:leader="none"/>
        </w:tabs>
        <w:spacing w:line="267" w:lineRule="exact" w:before="0" w:after="0"/>
        <w:ind w:left="1263" w:right="0" w:hanging="424"/>
        <w:jc w:val="left"/>
        <w:rPr>
          <w:sz w:val="21"/>
        </w:rPr>
      </w:pPr>
      <w:r>
        <w:rPr>
          <w:spacing w:val="-3"/>
          <w:sz w:val="21"/>
        </w:rPr>
        <w:t>抗跌落性能</w:t>
      </w:r>
      <w:r>
        <w:rPr>
          <w:sz w:val="21"/>
        </w:rPr>
        <w:t> </w:t>
      </w:r>
    </w:p>
    <w:p>
      <w:pPr>
        <w:pStyle w:val="BodyText"/>
        <w:spacing w:before="2"/>
        <w:rPr>
          <w:sz w:val="18"/>
        </w:rPr>
      </w:pPr>
    </w:p>
    <w:p>
      <w:pPr>
        <w:pStyle w:val="BodyText"/>
        <w:spacing w:line="446" w:lineRule="auto"/>
        <w:ind w:left="840" w:right="4237" w:hanging="3"/>
        <w:rPr>
          <w:b/>
        </w:rPr>
      </w:pPr>
      <w:r>
        <w:rPr/>
        <w:t>水枪按 6.8 规定的条件作跌落试验后，应能正常操作使用</w:t>
      </w:r>
      <w:r>
        <w:rPr>
          <w:b/>
        </w:rPr>
        <w:t>。5.12 </w:t>
      </w:r>
      <w:r>
        <w:rPr/>
        <w:t>耐腐蚀性能</w:t>
      </w:r>
      <w:r>
        <w:rPr>
          <w:b/>
          <w:w w:val="99"/>
        </w:rPr>
        <w:t> </w:t>
      </w:r>
    </w:p>
    <w:p>
      <w:pPr>
        <w:pStyle w:val="BodyText"/>
        <w:spacing w:line="446" w:lineRule="auto"/>
        <w:ind w:left="418" w:right="1609" w:firstLine="419"/>
      </w:pPr>
      <w:r>
        <w:rPr>
          <w:spacing w:val="-10"/>
        </w:rPr>
        <w:t>水枪经 </w:t>
      </w:r>
      <w:r>
        <w:rPr/>
        <w:t>6.9</w:t>
      </w:r>
      <w:r>
        <w:rPr>
          <w:spacing w:val="-7"/>
        </w:rPr>
        <w:t> 规定的条件试验后，应无起层、剥落或肉眼可见的点蚀凹坑，应能正常操作使</w:t>
      </w:r>
      <w:r>
        <w:rPr>
          <w:spacing w:val="-5"/>
        </w:rPr>
        <w:t>用。</w:t>
      </w:r>
      <w:r>
        <w:rPr/>
        <w:t> </w:t>
      </w:r>
    </w:p>
    <w:p>
      <w:pPr>
        <w:spacing w:before="0"/>
        <w:ind w:left="840" w:right="0" w:firstLine="0"/>
        <w:jc w:val="left"/>
        <w:rPr>
          <w:b/>
          <w:sz w:val="21"/>
        </w:rPr>
      </w:pPr>
      <w:r>
        <w:rPr>
          <w:b/>
          <w:sz w:val="21"/>
        </w:rPr>
        <w:t>5.13 </w:t>
      </w:r>
      <w:r>
        <w:rPr>
          <w:sz w:val="21"/>
        </w:rPr>
        <w:t>接口性能</w:t>
      </w:r>
      <w:r>
        <w:rPr>
          <w:b/>
          <w:w w:val="99"/>
          <w:sz w:val="21"/>
        </w:rPr>
        <w:t> </w:t>
      </w:r>
    </w:p>
    <w:p>
      <w:pPr>
        <w:pStyle w:val="BodyText"/>
        <w:spacing w:before="10"/>
        <w:rPr>
          <w:b/>
          <w:sz w:val="17"/>
        </w:rPr>
      </w:pPr>
    </w:p>
    <w:p>
      <w:pPr>
        <w:pStyle w:val="BodyText"/>
        <w:spacing w:before="1"/>
        <w:ind w:left="838"/>
        <w:rPr>
          <w:b/>
        </w:rPr>
      </w:pPr>
      <w:r>
        <w:rPr/>
        <w:t>接口应符合 GB 12514 的规定。</w:t>
      </w:r>
      <w:r>
        <w:rPr>
          <w:b/>
          <w:w w:val="99"/>
        </w:rPr>
        <w:t> </w:t>
      </w:r>
    </w:p>
    <w:p>
      <w:pPr>
        <w:pStyle w:val="BodyText"/>
        <w:spacing w:before="10"/>
        <w:rPr>
          <w:b/>
          <w:sz w:val="15"/>
        </w:rPr>
      </w:pPr>
    </w:p>
    <w:p>
      <w:pPr>
        <w:pStyle w:val="Heading4"/>
      </w:pPr>
      <w:r>
        <w:rPr/>
        <w:t>6 试验方法</w:t>
      </w:r>
      <w:r>
        <w:rPr>
          <w:w w:val="99"/>
        </w:rPr>
        <w:t> </w:t>
      </w:r>
    </w:p>
    <w:p>
      <w:pPr>
        <w:pStyle w:val="BodyText"/>
        <w:spacing w:before="4"/>
        <w:rPr>
          <w:b/>
          <w:sz w:val="17"/>
        </w:rPr>
      </w:pPr>
    </w:p>
    <w:p>
      <w:pPr>
        <w:pStyle w:val="ListParagraph"/>
        <w:numPr>
          <w:ilvl w:val="1"/>
          <w:numId w:val="13"/>
        </w:numPr>
        <w:tabs>
          <w:tab w:pos="1159" w:val="left" w:leader="none"/>
        </w:tabs>
        <w:spacing w:line="240" w:lineRule="auto" w:before="0" w:after="0"/>
        <w:ind w:left="1158" w:right="0" w:hanging="319"/>
        <w:jc w:val="left"/>
        <w:rPr>
          <w:b/>
          <w:sz w:val="21"/>
        </w:rPr>
      </w:pPr>
      <w:r>
        <w:rPr>
          <w:spacing w:val="-3"/>
          <w:sz w:val="21"/>
        </w:rPr>
        <w:t>喷射性能试验</w:t>
      </w:r>
      <w:r>
        <w:rPr>
          <w:b/>
          <w:w w:val="99"/>
          <w:sz w:val="21"/>
        </w:rPr>
        <w:t> </w:t>
      </w:r>
    </w:p>
    <w:p>
      <w:pPr>
        <w:pStyle w:val="BodyText"/>
        <w:spacing w:before="12"/>
        <w:rPr>
          <w:b/>
          <w:sz w:val="17"/>
        </w:rPr>
      </w:pPr>
    </w:p>
    <w:p>
      <w:pPr>
        <w:pStyle w:val="ListParagraph"/>
        <w:numPr>
          <w:ilvl w:val="2"/>
          <w:numId w:val="13"/>
        </w:numPr>
        <w:tabs>
          <w:tab w:pos="1370" w:val="left" w:leader="none"/>
        </w:tabs>
        <w:spacing w:line="240" w:lineRule="auto" w:before="0" w:after="0"/>
        <w:ind w:left="1369" w:right="0" w:hanging="530"/>
        <w:jc w:val="left"/>
        <w:rPr>
          <w:b/>
          <w:sz w:val="21"/>
        </w:rPr>
      </w:pPr>
      <w:r>
        <w:rPr>
          <w:spacing w:val="-3"/>
          <w:sz w:val="21"/>
        </w:rPr>
        <w:t>试验装置的要求</w:t>
      </w:r>
      <w:r>
        <w:rPr>
          <w:b/>
          <w:w w:val="99"/>
          <w:sz w:val="21"/>
        </w:rPr>
        <w:t> </w:t>
      </w:r>
    </w:p>
    <w:p>
      <w:pPr>
        <w:pStyle w:val="BodyText"/>
        <w:spacing w:before="2"/>
        <w:rPr>
          <w:b/>
          <w:sz w:val="18"/>
        </w:rPr>
      </w:pPr>
    </w:p>
    <w:p>
      <w:pPr>
        <w:pStyle w:val="BodyText"/>
        <w:spacing w:line="446" w:lineRule="auto"/>
        <w:ind w:left="418" w:right="1556" w:firstLine="419"/>
      </w:pPr>
      <w:r>
        <w:rPr>
          <w:spacing w:val="-5"/>
        </w:rPr>
        <w:t>喷射性能试验装置的允许工作压力应大于水枪最大工作压力的 </w:t>
      </w:r>
      <w:r>
        <w:rPr/>
        <w:t>1.2</w:t>
      </w:r>
      <w:r>
        <w:rPr>
          <w:spacing w:val="-12"/>
        </w:rPr>
        <w:t> 倍，稳压精度士 </w:t>
      </w:r>
      <w:r>
        <w:rPr/>
        <w:t>2%。装</w:t>
      </w:r>
      <w:r>
        <w:rPr>
          <w:spacing w:val="-7"/>
        </w:rPr>
        <w:t>置中的压力测量精度不低于 </w:t>
      </w:r>
      <w:r>
        <w:rPr/>
        <w:t>1.5</w:t>
      </w:r>
      <w:r>
        <w:rPr>
          <w:spacing w:val="-13"/>
        </w:rPr>
        <w:t> 级，流量测量精度不低于士 </w:t>
      </w:r>
      <w:r>
        <w:rPr/>
        <w:t>1</w:t>
      </w:r>
      <w:r>
        <w:rPr>
          <w:spacing w:val="-2"/>
        </w:rPr>
        <w:t>%。</w:t>
      </w:r>
      <w:r>
        <w:rPr/>
        <w:t> </w:t>
      </w:r>
    </w:p>
    <w:p>
      <w:pPr>
        <w:pStyle w:val="ListParagraph"/>
        <w:numPr>
          <w:ilvl w:val="2"/>
          <w:numId w:val="13"/>
        </w:numPr>
        <w:tabs>
          <w:tab w:pos="1370" w:val="left" w:leader="none"/>
        </w:tabs>
        <w:spacing w:line="267" w:lineRule="exact" w:before="0" w:after="0"/>
        <w:ind w:left="1369" w:right="0" w:hanging="530"/>
        <w:jc w:val="left"/>
        <w:rPr>
          <w:sz w:val="21"/>
        </w:rPr>
      </w:pPr>
      <w:r>
        <w:rPr>
          <w:spacing w:val="-3"/>
          <w:sz w:val="21"/>
        </w:rPr>
        <w:t>射程测试</w:t>
      </w:r>
      <w:r>
        <w:rPr>
          <w:sz w:val="21"/>
        </w:rPr>
        <w:t> </w:t>
      </w:r>
    </w:p>
    <w:p>
      <w:pPr>
        <w:pStyle w:val="BodyText"/>
        <w:spacing w:before="2"/>
        <w:rPr>
          <w:sz w:val="18"/>
        </w:rPr>
      </w:pPr>
    </w:p>
    <w:p>
      <w:pPr>
        <w:pStyle w:val="BodyText"/>
        <w:spacing w:line="446" w:lineRule="auto"/>
        <w:ind w:left="418" w:right="1613" w:firstLine="419"/>
        <w:jc w:val="both"/>
      </w:pPr>
      <w:r>
        <w:rPr>
          <w:spacing w:val="-5"/>
        </w:rPr>
        <w:t>将水枪置于喷射架上，顺风向布置，调整水枪轴线与水平线的夹角(仰角)至 </w:t>
      </w:r>
      <w:r>
        <w:rPr/>
        <w:t>30</w:t>
      </w:r>
      <w:r>
        <w:rPr>
          <w:spacing w:val="-13"/>
        </w:rPr>
        <w:t>°士 </w:t>
      </w:r>
      <w:r>
        <w:rPr/>
        <w:t>1°， </w:t>
      </w:r>
      <w:r>
        <w:rPr>
          <w:spacing w:val="-6"/>
        </w:rPr>
        <w:t>同时使喷嘴出口中心至地面的高度为 </w:t>
      </w:r>
      <w:r>
        <w:rPr/>
        <w:t>1 m</w:t>
      </w:r>
      <w:r>
        <w:rPr>
          <w:spacing w:val="-36"/>
        </w:rPr>
        <w:t> 士 </w:t>
      </w:r>
      <w:r>
        <w:rPr/>
        <w:t>0.01m</w:t>
      </w:r>
      <w:r>
        <w:rPr>
          <w:spacing w:val="-8"/>
        </w:rPr>
        <w:t>，外界风速应不大于 </w:t>
      </w:r>
      <w:r>
        <w:rPr/>
        <w:t>2 </w:t>
      </w:r>
      <w:r>
        <w:rPr>
          <w:spacing w:val="-3"/>
        </w:rPr>
        <w:t>m/s</w:t>
      </w:r>
      <w:r>
        <w:rPr/>
        <w:t>。 </w:t>
      </w:r>
    </w:p>
    <w:p>
      <w:pPr>
        <w:pStyle w:val="BodyText"/>
        <w:spacing w:line="446" w:lineRule="auto"/>
        <w:ind w:left="418" w:right="1608" w:firstLine="419"/>
        <w:jc w:val="both"/>
      </w:pPr>
      <w:r>
        <w:rPr/>
        <w:t>水泵启动后，使水枪进口压力达到规定的额定喷射压力值，待喷射稳定后，分别进行直流射程和喷雾射程的测量。水枪在喷射轴线上喷射水流连续散落最远处至喷嘴出口端中心在地面上的垂直投影点之间的距离折回 10%视为射程。 </w:t>
      </w:r>
    </w:p>
    <w:p>
      <w:pPr>
        <w:pStyle w:val="BodyText"/>
        <w:spacing w:line="268" w:lineRule="exact"/>
        <w:ind w:left="838"/>
        <w:jc w:val="both"/>
      </w:pPr>
      <w:r>
        <w:rPr/>
        <w:t>对喷雾角可调的喷雾水枪，喷雾射程在 30°喷雾角下测定。 </w:t>
      </w:r>
    </w:p>
    <w:p>
      <w:pPr>
        <w:pStyle w:val="BodyText"/>
        <w:spacing w:before="12"/>
        <w:rPr>
          <w:sz w:val="17"/>
        </w:rPr>
      </w:pPr>
    </w:p>
    <w:p>
      <w:pPr>
        <w:pStyle w:val="BodyText"/>
        <w:spacing w:line="446" w:lineRule="auto"/>
        <w:ind w:left="840" w:right="6340" w:hanging="3"/>
        <w:jc w:val="both"/>
      </w:pPr>
      <w:r>
        <w:rPr/>
        <w:t>射程的测量结果应符合 5.1 的规定。</w:t>
      </w:r>
      <w:r>
        <w:rPr>
          <w:b/>
        </w:rPr>
        <w:t>6.1.3 </w:t>
      </w:r>
      <w:r>
        <w:rPr/>
        <w:t>流量测试 </w:t>
      </w:r>
    </w:p>
    <w:p>
      <w:pPr>
        <w:pStyle w:val="BodyText"/>
        <w:spacing w:line="446" w:lineRule="auto"/>
        <w:ind w:left="418" w:right="1455" w:firstLine="419"/>
      </w:pPr>
      <w:r>
        <w:rPr>
          <w:spacing w:val="-3"/>
        </w:rPr>
        <w:t>根据水枪的流量选择容积计量罐，水泵启动后，使水枪喷射，待达到额定喷射压力并稳定 </w:t>
      </w:r>
      <w:r>
        <w:rPr>
          <w:spacing w:val="-6"/>
        </w:rPr>
        <w:t>后，转向计量罐内喷射，连续喷射时间不少于 </w:t>
      </w:r>
      <w:r>
        <w:rPr/>
        <w:t>30</w:t>
      </w:r>
      <w:r>
        <w:rPr>
          <w:spacing w:val="9"/>
        </w:rPr>
        <w:t> </w:t>
      </w:r>
      <w:r>
        <w:rPr/>
        <w:t>s</w:t>
      </w:r>
      <w:r>
        <w:rPr>
          <w:spacing w:val="-10"/>
        </w:rPr>
        <w:t>，水枪移开 </w:t>
      </w:r>
      <w:r>
        <w:rPr/>
        <w:t>20</w:t>
      </w:r>
      <w:r>
        <w:rPr>
          <w:spacing w:val="10"/>
        </w:rPr>
        <w:t> </w:t>
      </w:r>
      <w:r>
        <w:rPr/>
        <w:t>s</w:t>
      </w:r>
      <w:r>
        <w:rPr>
          <w:spacing w:val="-8"/>
        </w:rPr>
        <w:t> 后测出计量罐内水的体积或</w:t>
      </w:r>
      <w:r>
        <w:rPr>
          <w:spacing w:val="-5"/>
        </w:rPr>
        <w:t>质量，经计算求得水枪的流量。或用标定合格的流量计直接测量流量。以流量计测量法作为仲 </w:t>
      </w:r>
      <w:r>
        <w:rPr>
          <w:spacing w:val="-8"/>
        </w:rPr>
        <w:t>裁方法。流量的测量结果应符合 </w:t>
      </w:r>
      <w:r>
        <w:rPr/>
        <w:t>5.1</w:t>
      </w:r>
      <w:r>
        <w:rPr>
          <w:spacing w:val="-13"/>
        </w:rPr>
        <w:t> 的规定。</w:t>
      </w:r>
      <w:r>
        <w:rPr/>
        <w:t> </w:t>
      </w:r>
    </w:p>
    <w:p>
      <w:pPr>
        <w:spacing w:before="0"/>
        <w:ind w:left="840" w:right="0" w:firstLine="0"/>
        <w:jc w:val="left"/>
        <w:rPr>
          <w:sz w:val="21"/>
        </w:rPr>
      </w:pPr>
      <w:r>
        <w:rPr>
          <w:b/>
          <w:sz w:val="21"/>
        </w:rPr>
        <w:t>6.1.4 </w:t>
      </w:r>
      <w:r>
        <w:rPr>
          <w:sz w:val="21"/>
        </w:rPr>
        <w:t>喷雾角与开花角的测量 </w:t>
      </w:r>
    </w:p>
    <w:p>
      <w:pPr>
        <w:spacing w:after="0"/>
        <w:jc w:val="left"/>
        <w:rPr>
          <w:sz w:val="21"/>
        </w:rPr>
        <w:sectPr>
          <w:pgSz w:w="11910" w:h="16850"/>
          <w:pgMar w:header="0" w:footer="1239" w:top="1220" w:bottom="1420" w:left="1260" w:right="0"/>
        </w:sectPr>
      </w:pPr>
    </w:p>
    <w:p>
      <w:pPr>
        <w:pStyle w:val="BodyText"/>
        <w:spacing w:line="446" w:lineRule="auto" w:before="47"/>
        <w:ind w:left="418" w:right="1609" w:firstLine="419"/>
      </w:pPr>
      <w:r>
        <w:rPr/>
        <w:t>在水枪喷射时，将测角规的两条边分别与水枪喷嘴前的雾状水流或开花水流边缘相重，测角规两边的夹角为喷雾角或开花角。测量结果应符合 5.2.2 的规定。 </w:t>
      </w:r>
    </w:p>
    <w:p>
      <w:pPr>
        <w:pStyle w:val="ListParagraph"/>
        <w:numPr>
          <w:ilvl w:val="1"/>
          <w:numId w:val="13"/>
        </w:numPr>
        <w:tabs>
          <w:tab w:pos="1159" w:val="left" w:leader="none"/>
        </w:tabs>
        <w:spacing w:line="267" w:lineRule="exact" w:before="0" w:after="0"/>
        <w:ind w:left="1158" w:right="0" w:hanging="319"/>
        <w:jc w:val="left"/>
        <w:rPr>
          <w:sz w:val="21"/>
        </w:rPr>
      </w:pPr>
      <w:r>
        <w:rPr>
          <w:spacing w:val="-3"/>
          <w:sz w:val="21"/>
        </w:rPr>
        <w:t>操作力矩测定</w:t>
      </w:r>
      <w:r>
        <w:rPr>
          <w:sz w:val="21"/>
        </w:rPr>
        <w:t> </w:t>
      </w:r>
    </w:p>
    <w:p>
      <w:pPr>
        <w:pStyle w:val="BodyText"/>
        <w:spacing w:before="2"/>
        <w:rPr>
          <w:sz w:val="18"/>
        </w:rPr>
      </w:pPr>
    </w:p>
    <w:p>
      <w:pPr>
        <w:pStyle w:val="BodyText"/>
        <w:spacing w:line="446" w:lineRule="auto"/>
        <w:ind w:left="418" w:right="1453" w:firstLine="419"/>
      </w:pPr>
      <w:r>
        <w:rPr>
          <w:spacing w:val="-3"/>
        </w:rPr>
        <w:t>将水枪置于试验装置上，关闭水枪上的开关，对水枪加压至额定喷射压力，用三等标准测 </w:t>
      </w:r>
      <w:r>
        <w:rPr>
          <w:spacing w:val="-5"/>
        </w:rPr>
        <w:t>力计测量水枪开关从关闭至全开的最大操作力矩，允许测量误差为士 </w:t>
      </w:r>
      <w:r>
        <w:rPr/>
        <w:t>0.5</w:t>
      </w:r>
      <w:r>
        <w:rPr>
          <w:spacing w:val="25"/>
        </w:rPr>
        <w:t> </w:t>
      </w:r>
      <w:r>
        <w:rPr/>
        <w:t>N•m</w:t>
      </w:r>
      <w:r>
        <w:rPr>
          <w:spacing w:val="-3"/>
        </w:rPr>
        <w:t>。测量结果应符合</w:t>
      </w:r>
    </w:p>
    <w:p>
      <w:pPr>
        <w:pStyle w:val="BodyText"/>
        <w:spacing w:line="446" w:lineRule="auto"/>
        <w:ind w:left="840" w:right="8330" w:hanging="423"/>
      </w:pPr>
      <w:r>
        <w:rPr/>
        <w:t>5.3.6  的规定。</w:t>
      </w:r>
      <w:r>
        <w:rPr>
          <w:b/>
        </w:rPr>
        <w:t>6.3 </w:t>
      </w:r>
      <w:r>
        <w:rPr/>
        <w:t>螺纹检验 </w:t>
      </w:r>
    </w:p>
    <w:p>
      <w:pPr>
        <w:pStyle w:val="BodyText"/>
        <w:spacing w:line="446" w:lineRule="auto"/>
        <w:ind w:left="840" w:right="1508" w:hanging="3"/>
      </w:pPr>
      <w:r>
        <w:rPr>
          <w:spacing w:val="-5"/>
        </w:rPr>
        <w:t>用螺纹规或万能工具显微镜检查水枪上所使用的全部螺纹，检查结果应符合 </w:t>
      </w:r>
      <w:r>
        <w:rPr/>
        <w:t>5.6</w:t>
      </w:r>
      <w:r>
        <w:rPr>
          <w:spacing w:val="-11"/>
        </w:rPr>
        <w:t> 的要求。</w:t>
      </w:r>
      <w:r>
        <w:rPr>
          <w:b/>
        </w:rPr>
        <w:t>6.4</w:t>
      </w:r>
      <w:r>
        <w:rPr>
          <w:b/>
          <w:spacing w:val="102"/>
        </w:rPr>
        <w:t> </w:t>
      </w:r>
      <w:r>
        <w:rPr>
          <w:spacing w:val="-3"/>
        </w:rPr>
        <w:t>外表质量检验 </w:t>
      </w:r>
    </w:p>
    <w:p>
      <w:pPr>
        <w:pStyle w:val="BodyText"/>
        <w:spacing w:line="446" w:lineRule="auto"/>
        <w:ind w:left="840" w:right="5077" w:hanging="3"/>
      </w:pPr>
      <w:r>
        <w:rPr>
          <w:spacing w:val="-6"/>
        </w:rPr>
        <w:t>目察水枪外表质量，外表质量应满足 </w:t>
      </w:r>
      <w:r>
        <w:rPr/>
        <w:t>5.7</w:t>
      </w:r>
      <w:r>
        <w:rPr>
          <w:spacing w:val="-12"/>
        </w:rPr>
        <w:t> 的要求。</w:t>
      </w:r>
      <w:r>
        <w:rPr>
          <w:b/>
        </w:rPr>
        <w:t>6.5</w:t>
      </w:r>
      <w:r>
        <w:rPr>
          <w:b/>
          <w:spacing w:val="104"/>
        </w:rPr>
        <w:t> </w:t>
      </w:r>
      <w:r>
        <w:rPr>
          <w:spacing w:val="-3"/>
        </w:rPr>
        <w:t>密封性能、耐水压强度试验</w:t>
      </w:r>
      <w:r>
        <w:rPr/>
        <w:t> </w:t>
      </w:r>
    </w:p>
    <w:p>
      <w:pPr>
        <w:pStyle w:val="ListParagraph"/>
        <w:numPr>
          <w:ilvl w:val="2"/>
          <w:numId w:val="14"/>
        </w:numPr>
        <w:tabs>
          <w:tab w:pos="1371" w:val="left" w:leader="none"/>
        </w:tabs>
        <w:spacing w:line="446" w:lineRule="auto" w:before="0" w:after="0"/>
        <w:ind w:left="418" w:right="1551" w:firstLine="422"/>
        <w:jc w:val="left"/>
        <w:rPr>
          <w:sz w:val="21"/>
        </w:rPr>
      </w:pPr>
      <w:r>
        <w:rPr>
          <w:spacing w:val="-5"/>
          <w:sz w:val="21"/>
        </w:rPr>
        <w:t>试验装置允许工作压力应大于水枪最大工作压力的 </w:t>
      </w:r>
      <w:r>
        <w:rPr>
          <w:sz w:val="21"/>
        </w:rPr>
        <w:t>1.6</w:t>
      </w:r>
      <w:r>
        <w:rPr>
          <w:spacing w:val="-13"/>
          <w:sz w:val="21"/>
        </w:rPr>
        <w:t> 倍，稳压精度士 </w:t>
      </w:r>
      <w:r>
        <w:rPr>
          <w:sz w:val="21"/>
        </w:rPr>
        <w:t>2</w:t>
      </w:r>
      <w:r>
        <w:rPr>
          <w:spacing w:val="-1"/>
          <w:sz w:val="21"/>
        </w:rPr>
        <w:t>%。装置中</w:t>
      </w:r>
      <w:r>
        <w:rPr>
          <w:spacing w:val="-8"/>
          <w:sz w:val="21"/>
        </w:rPr>
        <w:t>的压力测量精度不低于 </w:t>
      </w:r>
      <w:r>
        <w:rPr>
          <w:sz w:val="21"/>
        </w:rPr>
        <w:t>1.5</w:t>
      </w:r>
      <w:r>
        <w:rPr>
          <w:spacing w:val="-19"/>
          <w:sz w:val="21"/>
        </w:rPr>
        <w:t> 级。</w:t>
      </w:r>
      <w:r>
        <w:rPr>
          <w:sz w:val="21"/>
        </w:rPr>
        <w:t> </w:t>
      </w:r>
    </w:p>
    <w:p>
      <w:pPr>
        <w:pStyle w:val="ListParagraph"/>
        <w:numPr>
          <w:ilvl w:val="2"/>
          <w:numId w:val="14"/>
        </w:numPr>
        <w:tabs>
          <w:tab w:pos="1371" w:val="left" w:leader="none"/>
        </w:tabs>
        <w:spacing w:line="446" w:lineRule="auto" w:before="0" w:after="0"/>
        <w:ind w:left="418" w:right="1604" w:firstLine="422"/>
        <w:jc w:val="left"/>
        <w:rPr>
          <w:sz w:val="21"/>
        </w:rPr>
      </w:pPr>
      <w:r>
        <w:rPr>
          <w:spacing w:val="-3"/>
          <w:sz w:val="21"/>
        </w:rPr>
        <w:t>关闭水枪的开关，水枪的进水端通过接口与试验装置相连，加压过程中必须先排除</w:t>
      </w:r>
      <w:r>
        <w:rPr>
          <w:spacing w:val="-5"/>
          <w:sz w:val="21"/>
        </w:rPr>
        <w:t>枪体内的空气，然后缓慢加压至最大工作压力，保压 </w:t>
      </w:r>
      <w:r>
        <w:rPr>
          <w:sz w:val="21"/>
        </w:rPr>
        <w:t>2min</w:t>
      </w:r>
      <w:r>
        <w:rPr>
          <w:spacing w:val="-9"/>
          <w:sz w:val="21"/>
        </w:rPr>
        <w:t>，检查结果应符合 </w:t>
      </w:r>
      <w:r>
        <w:rPr>
          <w:sz w:val="21"/>
        </w:rPr>
        <w:t>5.8</w:t>
      </w:r>
      <w:r>
        <w:rPr>
          <w:spacing w:val="-15"/>
          <w:sz w:val="21"/>
        </w:rPr>
        <w:t> 要求。</w:t>
      </w:r>
      <w:r>
        <w:rPr>
          <w:sz w:val="21"/>
        </w:rPr>
        <w:t> </w:t>
      </w:r>
    </w:p>
    <w:p>
      <w:pPr>
        <w:pStyle w:val="ListParagraph"/>
        <w:numPr>
          <w:ilvl w:val="2"/>
          <w:numId w:val="14"/>
        </w:numPr>
        <w:tabs>
          <w:tab w:pos="1371" w:val="left" w:leader="none"/>
        </w:tabs>
        <w:spacing w:line="446" w:lineRule="auto" w:before="0" w:after="0"/>
        <w:ind w:left="418" w:right="1452" w:firstLine="422"/>
        <w:jc w:val="left"/>
        <w:rPr>
          <w:sz w:val="21"/>
        </w:rPr>
      </w:pPr>
      <w:r>
        <w:rPr>
          <w:spacing w:val="-3"/>
          <w:sz w:val="21"/>
        </w:rPr>
        <w:t>打开水枪的开关，水枪的进水端通过接口与试验装置相连，封闭水枪的出水端。加压</w:t>
      </w:r>
      <w:r>
        <w:rPr>
          <w:spacing w:val="-5"/>
          <w:sz w:val="21"/>
        </w:rPr>
        <w:t>过程中必须先排除枪体内的空气，然后缓慢加压至最大工作压力，保压 </w:t>
      </w:r>
      <w:r>
        <w:rPr>
          <w:spacing w:val="-3"/>
          <w:sz w:val="21"/>
        </w:rPr>
        <w:t>2</w:t>
      </w:r>
      <w:r>
        <w:rPr>
          <w:spacing w:val="25"/>
          <w:sz w:val="21"/>
        </w:rPr>
        <w:t> </w:t>
      </w:r>
      <w:r>
        <w:rPr>
          <w:sz w:val="21"/>
        </w:rPr>
        <w:t>min</w:t>
      </w:r>
      <w:r>
        <w:rPr>
          <w:spacing w:val="-2"/>
          <w:sz w:val="21"/>
        </w:rPr>
        <w:t>，检查结果应符合5.8</w:t>
      </w:r>
      <w:r>
        <w:rPr>
          <w:spacing w:val="-16"/>
          <w:sz w:val="21"/>
        </w:rPr>
        <w:t> 要求。</w:t>
      </w:r>
      <w:r>
        <w:rPr>
          <w:sz w:val="21"/>
        </w:rPr>
        <w:t> </w:t>
      </w:r>
    </w:p>
    <w:p>
      <w:pPr>
        <w:pStyle w:val="ListParagraph"/>
        <w:numPr>
          <w:ilvl w:val="2"/>
          <w:numId w:val="14"/>
        </w:numPr>
        <w:tabs>
          <w:tab w:pos="1371" w:val="left" w:leader="none"/>
        </w:tabs>
        <w:spacing w:line="446" w:lineRule="auto" w:before="0" w:after="0"/>
        <w:ind w:left="418" w:right="1445" w:firstLine="422"/>
        <w:jc w:val="left"/>
        <w:rPr>
          <w:sz w:val="21"/>
        </w:rPr>
      </w:pPr>
      <w:r>
        <w:rPr>
          <w:spacing w:val="-10"/>
          <w:sz w:val="21"/>
        </w:rPr>
        <w:t>水枪状态同 </w:t>
      </w:r>
      <w:r>
        <w:rPr>
          <w:sz w:val="21"/>
        </w:rPr>
        <w:t>6.5.3</w:t>
      </w:r>
      <w:r>
        <w:rPr>
          <w:spacing w:val="-3"/>
          <w:sz w:val="21"/>
        </w:rPr>
        <w:t>，加压过程中必须先排除枪体内的空气，然后缓慢加压至最大工作</w:t>
      </w:r>
      <w:r>
        <w:rPr>
          <w:spacing w:val="-15"/>
          <w:sz w:val="21"/>
        </w:rPr>
        <w:t>压力的 </w:t>
      </w:r>
      <w:r>
        <w:rPr>
          <w:sz w:val="21"/>
        </w:rPr>
        <w:t>1.5</w:t>
      </w:r>
      <w:r>
        <w:rPr>
          <w:spacing w:val="-20"/>
          <w:sz w:val="21"/>
        </w:rPr>
        <w:t> 倍，保压 </w:t>
      </w:r>
      <w:r>
        <w:rPr>
          <w:sz w:val="21"/>
        </w:rPr>
        <w:t>2</w:t>
      </w:r>
      <w:r>
        <w:rPr>
          <w:spacing w:val="2"/>
          <w:sz w:val="21"/>
        </w:rPr>
        <w:t> </w:t>
      </w:r>
      <w:r>
        <w:rPr>
          <w:sz w:val="21"/>
        </w:rPr>
        <w:t>min</w:t>
      </w:r>
      <w:r>
        <w:rPr>
          <w:spacing w:val="-9"/>
          <w:sz w:val="21"/>
        </w:rPr>
        <w:t>。检查结果应符合 </w:t>
      </w:r>
      <w:r>
        <w:rPr>
          <w:sz w:val="21"/>
        </w:rPr>
        <w:t>5.9</w:t>
      </w:r>
      <w:r>
        <w:rPr>
          <w:spacing w:val="-16"/>
          <w:sz w:val="21"/>
        </w:rPr>
        <w:t> 要求。</w:t>
      </w:r>
      <w:r>
        <w:rPr>
          <w:sz w:val="21"/>
        </w:rPr>
        <w:t> </w:t>
      </w:r>
    </w:p>
    <w:p>
      <w:pPr>
        <w:spacing w:line="267" w:lineRule="exact" w:before="0"/>
        <w:ind w:left="840" w:right="0" w:firstLine="0"/>
        <w:jc w:val="left"/>
        <w:rPr>
          <w:b/>
          <w:sz w:val="21"/>
        </w:rPr>
      </w:pPr>
      <w:r>
        <w:rPr>
          <w:b/>
          <w:sz w:val="21"/>
        </w:rPr>
        <w:t>6.6</w:t>
      </w:r>
      <w:r>
        <w:rPr>
          <w:b/>
          <w:spacing w:val="102"/>
          <w:sz w:val="21"/>
        </w:rPr>
        <w:t> </w:t>
      </w:r>
      <w:r>
        <w:rPr>
          <w:spacing w:val="-3"/>
          <w:sz w:val="21"/>
        </w:rPr>
        <w:t>耐高温试验</w:t>
      </w:r>
      <w:r>
        <w:rPr>
          <w:b/>
          <w:w w:val="99"/>
          <w:sz w:val="21"/>
        </w:rPr>
        <w:t> </w:t>
      </w:r>
    </w:p>
    <w:p>
      <w:pPr>
        <w:pStyle w:val="BodyText"/>
        <w:spacing w:before="9"/>
        <w:rPr>
          <w:b/>
          <w:sz w:val="17"/>
        </w:rPr>
      </w:pPr>
    </w:p>
    <w:p>
      <w:pPr>
        <w:pStyle w:val="BodyText"/>
        <w:ind w:left="838"/>
      </w:pPr>
      <w:r>
        <w:rPr/>
        <w:t>将水枪置于高温箱内，在 55℃士 2℃下存放 24 h，取出后 30 s 内检查，检查结果应满足</w:t>
      </w:r>
    </w:p>
    <w:p>
      <w:pPr>
        <w:pStyle w:val="BodyText"/>
        <w:spacing w:before="12"/>
        <w:rPr>
          <w:sz w:val="17"/>
        </w:rPr>
      </w:pPr>
    </w:p>
    <w:p>
      <w:pPr>
        <w:pStyle w:val="BodyText"/>
        <w:ind w:left="418"/>
      </w:pPr>
      <w:r>
        <w:rPr/>
        <w:t>5.10 要求。 </w:t>
      </w:r>
    </w:p>
    <w:p>
      <w:pPr>
        <w:pStyle w:val="BodyText"/>
        <w:rPr>
          <w:sz w:val="18"/>
        </w:rPr>
      </w:pPr>
    </w:p>
    <w:p>
      <w:pPr>
        <w:pStyle w:val="ListParagraph"/>
        <w:numPr>
          <w:ilvl w:val="1"/>
          <w:numId w:val="15"/>
        </w:numPr>
        <w:tabs>
          <w:tab w:pos="1159" w:val="left" w:leader="none"/>
        </w:tabs>
        <w:spacing w:line="240" w:lineRule="auto" w:before="0" w:after="0"/>
        <w:ind w:left="1158" w:right="0" w:hanging="319"/>
        <w:jc w:val="left"/>
        <w:rPr>
          <w:b/>
          <w:sz w:val="21"/>
        </w:rPr>
      </w:pPr>
      <w:r>
        <w:rPr>
          <w:spacing w:val="-3"/>
          <w:sz w:val="21"/>
        </w:rPr>
        <w:t>耐低温试验</w:t>
      </w:r>
      <w:r>
        <w:rPr>
          <w:b/>
          <w:w w:val="99"/>
          <w:sz w:val="21"/>
        </w:rPr>
        <w:t> </w:t>
      </w:r>
    </w:p>
    <w:p>
      <w:pPr>
        <w:pStyle w:val="BodyText"/>
        <w:spacing w:before="2"/>
        <w:rPr>
          <w:b/>
          <w:sz w:val="18"/>
        </w:rPr>
      </w:pPr>
    </w:p>
    <w:p>
      <w:pPr>
        <w:pStyle w:val="BodyText"/>
        <w:spacing w:line="446" w:lineRule="auto"/>
        <w:ind w:left="418" w:right="1503" w:firstLine="419"/>
      </w:pPr>
      <w:r>
        <w:rPr>
          <w:spacing w:val="-3"/>
        </w:rPr>
        <w:t>将干燥的水枪置于低温箱内，在</w:t>
      </w:r>
      <w:r>
        <w:rPr/>
        <w:t>﹣30℃</w:t>
      </w:r>
      <w:r>
        <w:rPr>
          <w:spacing w:val="-25"/>
        </w:rPr>
        <w:t>士 </w:t>
      </w:r>
      <w:r>
        <w:rPr/>
        <w:t>2</w:t>
      </w:r>
      <w:r>
        <w:rPr>
          <w:spacing w:val="-11"/>
        </w:rPr>
        <w:t>℃下存放 </w:t>
      </w:r>
      <w:r>
        <w:rPr/>
        <w:t>24 h</w:t>
      </w:r>
      <w:r>
        <w:rPr>
          <w:spacing w:val="-11"/>
        </w:rPr>
        <w:t>，取出后 </w:t>
      </w:r>
      <w:r>
        <w:rPr/>
        <w:t>30 s</w:t>
      </w:r>
      <w:r>
        <w:rPr>
          <w:spacing w:val="-8"/>
        </w:rPr>
        <w:t> 内检查，检查结果</w:t>
      </w:r>
      <w:r>
        <w:rPr>
          <w:spacing w:val="-17"/>
        </w:rPr>
        <w:t>应满足 </w:t>
      </w:r>
      <w:r>
        <w:rPr/>
        <w:t>5.10</w:t>
      </w:r>
      <w:r>
        <w:rPr>
          <w:spacing w:val="-15"/>
        </w:rPr>
        <w:t> 要求。</w:t>
      </w:r>
      <w:r>
        <w:rPr/>
        <w:t> </w:t>
      </w:r>
    </w:p>
    <w:p>
      <w:pPr>
        <w:pStyle w:val="ListParagraph"/>
        <w:numPr>
          <w:ilvl w:val="1"/>
          <w:numId w:val="15"/>
        </w:numPr>
        <w:tabs>
          <w:tab w:pos="1160" w:val="left" w:leader="none"/>
        </w:tabs>
        <w:spacing w:line="267" w:lineRule="exact" w:before="0" w:after="0"/>
        <w:ind w:left="1159" w:right="0" w:hanging="320"/>
        <w:jc w:val="left"/>
        <w:rPr>
          <w:b/>
          <w:sz w:val="21"/>
        </w:rPr>
      </w:pPr>
      <w:r>
        <w:rPr>
          <w:spacing w:val="-3"/>
          <w:sz w:val="21"/>
        </w:rPr>
        <w:t>跌落试验</w:t>
      </w:r>
      <w:r>
        <w:rPr>
          <w:b/>
          <w:w w:val="99"/>
          <w:sz w:val="21"/>
        </w:rPr>
        <w:t>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510" w:firstLine="419"/>
      </w:pPr>
      <w:r>
        <w:rPr>
          <w:spacing w:val="-3"/>
        </w:rPr>
        <w:t>水枪以喷嘴垂直朝上、喷嘴垂直朝下(旋转开关处于关闭位置)以及水枪轴线处于水平(若有开关时，开关处于水枪水平轴线之下并处于关闭位置</w:t>
      </w:r>
      <w:r>
        <w:rPr/>
        <w:t>)3</w:t>
      </w:r>
      <w:r>
        <w:rPr>
          <w:spacing w:val="-12"/>
        </w:rPr>
        <w:t> 个位置，从离地 </w:t>
      </w:r>
      <w:r>
        <w:rPr/>
        <w:t>2.0 m</w:t>
      </w:r>
      <w:r>
        <w:rPr>
          <w:spacing w:val="-25"/>
        </w:rPr>
        <w:t> 士 </w:t>
      </w:r>
      <w:r>
        <w:rPr/>
        <w:t>0.02 m</w:t>
      </w:r>
      <w:r>
        <w:rPr>
          <w:spacing w:val="-15"/>
        </w:rPr>
        <w:t> 高处</w:t>
      </w:r>
      <w:r>
        <w:rPr>
          <w:spacing w:val="-3"/>
        </w:rPr>
        <w:t>(从水枪的最低点算起)自由落到混凝土地面上。水枪于每个位置坠落两次后检查，检查结果应</w:t>
      </w:r>
      <w:r>
        <w:rPr>
          <w:spacing w:val="-20"/>
        </w:rPr>
        <w:t>符合 </w:t>
      </w:r>
      <w:r>
        <w:rPr/>
        <w:t>5.11</w:t>
      </w:r>
      <w:r>
        <w:rPr>
          <w:spacing w:val="-16"/>
        </w:rPr>
        <w:t> 要求。</w:t>
      </w:r>
      <w:r>
        <w:rPr/>
        <w:t> </w:t>
      </w:r>
    </w:p>
    <w:p>
      <w:pPr>
        <w:pStyle w:val="ListParagraph"/>
        <w:numPr>
          <w:ilvl w:val="1"/>
          <w:numId w:val="15"/>
        </w:numPr>
        <w:tabs>
          <w:tab w:pos="1159" w:val="left" w:leader="none"/>
        </w:tabs>
        <w:spacing w:line="267" w:lineRule="exact" w:before="0" w:after="0"/>
        <w:ind w:left="1158" w:right="0" w:hanging="319"/>
        <w:jc w:val="left"/>
        <w:rPr>
          <w:sz w:val="21"/>
        </w:rPr>
      </w:pPr>
      <w:r>
        <w:rPr>
          <w:spacing w:val="-3"/>
          <w:sz w:val="21"/>
        </w:rPr>
        <w:t>盐雾腐蚀试验 </w:t>
      </w:r>
    </w:p>
    <w:p>
      <w:pPr>
        <w:pStyle w:val="BodyText"/>
        <w:rPr>
          <w:sz w:val="18"/>
        </w:rPr>
      </w:pPr>
    </w:p>
    <w:p>
      <w:pPr>
        <w:pStyle w:val="ListParagraph"/>
        <w:numPr>
          <w:ilvl w:val="2"/>
          <w:numId w:val="15"/>
        </w:numPr>
        <w:tabs>
          <w:tab w:pos="1371" w:val="left" w:leader="none"/>
        </w:tabs>
        <w:spacing w:line="446" w:lineRule="auto" w:before="0" w:after="0"/>
        <w:ind w:left="418" w:right="1608" w:firstLine="422"/>
        <w:jc w:val="left"/>
        <w:rPr>
          <w:sz w:val="21"/>
        </w:rPr>
      </w:pPr>
      <w:r>
        <w:rPr>
          <w:spacing w:val="-3"/>
          <w:sz w:val="21"/>
        </w:rPr>
        <w:t>试验前对水枪表面作仔细清洗，不得留有油腻、污物</w:t>
      </w:r>
      <w:r>
        <w:rPr>
          <w:b/>
          <w:sz w:val="21"/>
        </w:rPr>
        <w:t>。</w:t>
      </w:r>
      <w:r>
        <w:rPr>
          <w:sz w:val="21"/>
        </w:rPr>
        <w:t>清洗时不准使用磨料或溶 剂</w:t>
      </w:r>
      <w:r>
        <w:rPr>
          <w:spacing w:val="-3"/>
          <w:sz w:val="21"/>
        </w:rPr>
        <w:t>。水枪在盐雾腐蚀试验箱内应呈直立状态，枪口朝上，水枪之间不能互相接触，水枪也不能与箱壁接触。</w:t>
      </w:r>
      <w:r>
        <w:rPr>
          <w:sz w:val="21"/>
        </w:rPr>
        <w:t> </w:t>
      </w:r>
    </w:p>
    <w:p>
      <w:pPr>
        <w:pStyle w:val="ListParagraph"/>
        <w:numPr>
          <w:ilvl w:val="2"/>
          <w:numId w:val="15"/>
        </w:numPr>
        <w:tabs>
          <w:tab w:pos="1371" w:val="left" w:leader="none"/>
        </w:tabs>
        <w:spacing w:line="446" w:lineRule="auto" w:before="0" w:after="0"/>
        <w:ind w:left="418" w:right="1445" w:firstLine="422"/>
        <w:jc w:val="left"/>
        <w:rPr>
          <w:sz w:val="21"/>
        </w:rPr>
      </w:pPr>
      <w:r>
        <w:rPr>
          <w:spacing w:val="-11"/>
          <w:sz w:val="21"/>
        </w:rPr>
        <w:t>试验周期为 </w:t>
      </w:r>
      <w:r>
        <w:rPr>
          <w:sz w:val="21"/>
        </w:rPr>
        <w:t>120</w:t>
      </w:r>
      <w:r>
        <w:rPr>
          <w:spacing w:val="14"/>
          <w:sz w:val="21"/>
        </w:rPr>
        <w:t> </w:t>
      </w:r>
      <w:r>
        <w:rPr>
          <w:spacing w:val="-3"/>
          <w:sz w:val="21"/>
        </w:rPr>
        <w:t>h。试验中必须防止盐溶液直接冲击水枪表面。试件从盐雾腐蚀箱内</w:t>
      </w:r>
      <w:r>
        <w:rPr>
          <w:spacing w:val="-8"/>
          <w:sz w:val="21"/>
        </w:rPr>
        <w:t>取出后，应用不超过 </w:t>
      </w:r>
      <w:r>
        <w:rPr>
          <w:sz w:val="21"/>
        </w:rPr>
        <w:t>38</w:t>
      </w:r>
      <w:r>
        <w:rPr>
          <w:spacing w:val="-6"/>
          <w:sz w:val="21"/>
        </w:rPr>
        <w:t>℃的清水冲洗，待干燥后检查，检查结果应满足 </w:t>
      </w:r>
      <w:r>
        <w:rPr>
          <w:sz w:val="21"/>
        </w:rPr>
        <w:t>5.12</w:t>
      </w:r>
      <w:r>
        <w:rPr>
          <w:spacing w:val="-14"/>
          <w:sz w:val="21"/>
        </w:rPr>
        <w:t> 要求。 </w:t>
      </w:r>
    </w:p>
    <w:p>
      <w:pPr>
        <w:pStyle w:val="ListParagraph"/>
        <w:numPr>
          <w:ilvl w:val="2"/>
          <w:numId w:val="15"/>
        </w:numPr>
        <w:tabs>
          <w:tab w:pos="1370" w:val="left" w:leader="none"/>
        </w:tabs>
        <w:spacing w:line="446" w:lineRule="auto" w:before="0" w:after="0"/>
        <w:ind w:left="838" w:right="5072" w:firstLine="2"/>
        <w:jc w:val="left"/>
        <w:rPr>
          <w:sz w:val="21"/>
        </w:rPr>
      </w:pPr>
      <w:r>
        <w:rPr>
          <w:spacing w:val="-3"/>
          <w:sz w:val="21"/>
        </w:rPr>
        <w:t>盐雾腐蚀试验的试验条件应符合下述规定： </w:t>
      </w:r>
      <w:r>
        <w:rPr>
          <w:sz w:val="21"/>
        </w:rPr>
        <w:t>a)</w:t>
      </w:r>
      <w:r>
        <w:rPr>
          <w:spacing w:val="-9"/>
          <w:sz w:val="21"/>
        </w:rPr>
        <w:t> 氯化钠溶液浓度为 </w:t>
      </w:r>
      <w:r>
        <w:rPr>
          <w:sz w:val="21"/>
        </w:rPr>
        <w:t>50</w:t>
      </w:r>
      <w:r>
        <w:rPr>
          <w:spacing w:val="1"/>
          <w:sz w:val="21"/>
        </w:rPr>
        <w:t> </w:t>
      </w:r>
      <w:r>
        <w:rPr>
          <w:sz w:val="21"/>
        </w:rPr>
        <w:t>g/L</w:t>
      </w:r>
      <w:r>
        <w:rPr>
          <w:spacing w:val="-36"/>
          <w:sz w:val="21"/>
        </w:rPr>
        <w:t> 士 </w:t>
      </w:r>
      <w:r>
        <w:rPr>
          <w:sz w:val="21"/>
        </w:rPr>
        <w:t>1</w:t>
      </w:r>
      <w:r>
        <w:rPr>
          <w:spacing w:val="-2"/>
          <w:sz w:val="21"/>
        </w:rPr>
        <w:t> </w:t>
      </w:r>
      <w:r>
        <w:rPr>
          <w:sz w:val="21"/>
        </w:rPr>
        <w:t>g/L； </w:t>
      </w:r>
    </w:p>
    <w:p>
      <w:pPr>
        <w:pStyle w:val="BodyText"/>
        <w:ind w:left="617"/>
      </w:pPr>
      <w:r>
        <w:rPr>
          <w:w w:val="100"/>
        </w:rPr>
        <w:t> </w:t>
      </w:r>
      <w:r>
        <w:rPr/>
        <w:t> b)</w:t>
      </w:r>
      <w:r>
        <w:rPr>
          <w:spacing w:val="103"/>
        </w:rPr>
        <w:t> </w:t>
      </w:r>
      <w:r>
        <w:rPr/>
        <w:t>25</w:t>
      </w:r>
      <w:r>
        <w:rPr>
          <w:spacing w:val="-15"/>
        </w:rPr>
        <w:t>℃时的 </w:t>
      </w:r>
      <w:r>
        <w:rPr/>
        <w:t>pH</w:t>
      </w:r>
      <w:r>
        <w:rPr>
          <w:spacing w:val="-17"/>
        </w:rPr>
        <w:t> 值应保持在 </w:t>
      </w:r>
      <w:r>
        <w:rPr/>
        <w:t>6.5～7.2</w:t>
      </w:r>
      <w:r>
        <w:rPr>
          <w:spacing w:val="-13"/>
        </w:rPr>
        <w:t> 范围内；</w:t>
      </w:r>
      <w:r>
        <w:rPr/>
        <w:t> </w:t>
      </w:r>
    </w:p>
    <w:p>
      <w:pPr>
        <w:pStyle w:val="BodyText"/>
        <w:spacing w:before="11"/>
        <w:rPr>
          <w:sz w:val="17"/>
        </w:rPr>
      </w:pPr>
    </w:p>
    <w:p>
      <w:pPr>
        <w:pStyle w:val="ListParagraph"/>
        <w:numPr>
          <w:ilvl w:val="0"/>
          <w:numId w:val="16"/>
        </w:numPr>
        <w:tabs>
          <w:tab w:pos="1051" w:val="left" w:leader="none"/>
        </w:tabs>
        <w:spacing w:line="446" w:lineRule="auto" w:before="1" w:after="0"/>
        <w:ind w:left="418" w:right="1507" w:firstLine="419"/>
        <w:jc w:val="left"/>
        <w:rPr>
          <w:sz w:val="21"/>
        </w:rPr>
      </w:pPr>
      <w:r>
        <w:rPr>
          <w:spacing w:val="-11"/>
          <w:sz w:val="21"/>
        </w:rPr>
        <w:t>喷雾速率为 </w:t>
      </w:r>
      <w:r>
        <w:rPr>
          <w:sz w:val="21"/>
        </w:rPr>
        <w:t>1～2</w:t>
      </w:r>
      <w:r>
        <w:rPr>
          <w:spacing w:val="6"/>
          <w:sz w:val="21"/>
        </w:rPr>
        <w:t> </w:t>
      </w:r>
      <w:r>
        <w:rPr>
          <w:sz w:val="21"/>
        </w:rPr>
        <w:t>mL/h</w:t>
      </w:r>
      <w:r>
        <w:rPr>
          <w:spacing w:val="-11"/>
          <w:sz w:val="21"/>
        </w:rPr>
        <w:t>(有效面积为 </w:t>
      </w:r>
      <w:r>
        <w:rPr>
          <w:sz w:val="21"/>
        </w:rPr>
        <w:t>80</w:t>
      </w:r>
      <w:r>
        <w:rPr>
          <w:spacing w:val="6"/>
          <w:sz w:val="21"/>
        </w:rPr>
        <w:t> </w:t>
      </w:r>
      <w:r>
        <w:rPr>
          <w:sz w:val="21"/>
        </w:rPr>
        <w:t>cm²</w:t>
      </w:r>
      <w:r>
        <w:rPr>
          <w:spacing w:val="-7"/>
          <w:sz w:val="21"/>
        </w:rPr>
        <w:t>的收集器，放入试验箱内 </w:t>
      </w:r>
      <w:r>
        <w:rPr>
          <w:spacing w:val="-3"/>
          <w:sz w:val="21"/>
        </w:rPr>
        <w:t>24</w:t>
      </w:r>
      <w:r>
        <w:rPr>
          <w:spacing w:val="6"/>
          <w:sz w:val="21"/>
        </w:rPr>
        <w:t> </w:t>
      </w:r>
      <w:r>
        <w:rPr>
          <w:sz w:val="21"/>
        </w:rPr>
        <w:t>h</w:t>
      </w:r>
      <w:r>
        <w:rPr>
          <w:spacing w:val="-9"/>
          <w:sz w:val="21"/>
        </w:rPr>
        <w:t> 所测量的平均</w:t>
      </w:r>
      <w:r>
        <w:rPr>
          <w:spacing w:val="-4"/>
          <w:sz w:val="21"/>
        </w:rPr>
        <w:t>喷雾速率)； </w:t>
      </w:r>
    </w:p>
    <w:p>
      <w:pPr>
        <w:pStyle w:val="ListParagraph"/>
        <w:numPr>
          <w:ilvl w:val="0"/>
          <w:numId w:val="16"/>
        </w:numPr>
        <w:tabs>
          <w:tab w:pos="1051" w:val="left" w:leader="none"/>
        </w:tabs>
        <w:spacing w:line="240" w:lineRule="auto" w:before="0" w:after="0"/>
        <w:ind w:left="1050" w:right="0" w:hanging="213"/>
        <w:jc w:val="left"/>
        <w:rPr>
          <w:sz w:val="21"/>
        </w:rPr>
      </w:pPr>
      <w:r>
        <w:rPr>
          <w:spacing w:val="-8"/>
          <w:sz w:val="21"/>
        </w:rPr>
        <w:t>试验箱内的温度应保持在 </w:t>
      </w:r>
      <w:r>
        <w:rPr>
          <w:sz w:val="21"/>
        </w:rPr>
        <w:t>35</w:t>
      </w:r>
      <w:r>
        <w:rPr>
          <w:spacing w:val="-18"/>
          <w:sz w:val="21"/>
        </w:rPr>
        <w:t>℃士 </w:t>
      </w:r>
      <w:r>
        <w:rPr>
          <w:sz w:val="21"/>
        </w:rPr>
        <w:t>5℃； </w:t>
      </w:r>
    </w:p>
    <w:p>
      <w:pPr>
        <w:pStyle w:val="BodyText"/>
        <w:spacing w:before="12"/>
        <w:rPr>
          <w:sz w:val="17"/>
        </w:rPr>
      </w:pPr>
    </w:p>
    <w:p>
      <w:pPr>
        <w:pStyle w:val="ListParagraph"/>
        <w:numPr>
          <w:ilvl w:val="0"/>
          <w:numId w:val="16"/>
        </w:numPr>
        <w:tabs>
          <w:tab w:pos="1051" w:val="left" w:leader="none"/>
        </w:tabs>
        <w:spacing w:line="446" w:lineRule="auto" w:before="0" w:after="0"/>
        <w:ind w:left="418" w:right="1505" w:firstLine="419"/>
        <w:jc w:val="left"/>
        <w:rPr>
          <w:sz w:val="21"/>
        </w:rPr>
      </w:pPr>
      <w:r>
        <w:rPr>
          <w:spacing w:val="-3"/>
          <w:sz w:val="21"/>
        </w:rPr>
        <w:t>试验周期内喷雾不得中断。除了在检查或其他必要操作时才可短时打开试验箱，但不应触摸水枪表面。</w:t>
      </w:r>
      <w:r>
        <w:rPr>
          <w:sz w:val="21"/>
        </w:rPr>
        <w:t> </w:t>
      </w:r>
    </w:p>
    <w:p>
      <w:pPr>
        <w:pStyle w:val="Heading4"/>
        <w:spacing w:line="277" w:lineRule="exact"/>
      </w:pPr>
      <w:r>
        <w:rPr/>
        <w:t>7 检验规则</w:t>
      </w:r>
      <w:r>
        <w:rPr>
          <w:w w:val="99"/>
        </w:rPr>
        <w:t> </w:t>
      </w:r>
    </w:p>
    <w:p>
      <w:pPr>
        <w:pStyle w:val="BodyText"/>
        <w:spacing w:before="4"/>
        <w:rPr>
          <w:b/>
          <w:sz w:val="17"/>
        </w:rPr>
      </w:pPr>
    </w:p>
    <w:p>
      <w:pPr>
        <w:pStyle w:val="ListParagraph"/>
        <w:numPr>
          <w:ilvl w:val="1"/>
          <w:numId w:val="17"/>
        </w:numPr>
        <w:tabs>
          <w:tab w:pos="1159" w:val="left" w:leader="none"/>
        </w:tabs>
        <w:spacing w:line="240" w:lineRule="auto" w:before="0" w:after="0"/>
        <w:ind w:left="1158" w:right="0" w:hanging="319"/>
        <w:jc w:val="left"/>
        <w:rPr>
          <w:b/>
          <w:sz w:val="21"/>
        </w:rPr>
      </w:pPr>
      <w:r>
        <w:rPr>
          <w:spacing w:val="-3"/>
          <w:sz w:val="21"/>
        </w:rPr>
        <w:t>出厂检验</w:t>
      </w:r>
      <w:r>
        <w:rPr>
          <w:b/>
          <w:w w:val="99"/>
          <w:sz w:val="21"/>
        </w:rPr>
        <w:t> </w:t>
      </w:r>
    </w:p>
    <w:p>
      <w:pPr>
        <w:pStyle w:val="BodyText"/>
        <w:rPr>
          <w:b/>
          <w:sz w:val="18"/>
        </w:rPr>
      </w:pPr>
    </w:p>
    <w:p>
      <w:pPr>
        <w:pStyle w:val="ListParagraph"/>
        <w:numPr>
          <w:ilvl w:val="2"/>
          <w:numId w:val="17"/>
        </w:numPr>
        <w:tabs>
          <w:tab w:pos="1371" w:val="left" w:leader="none"/>
        </w:tabs>
        <w:spacing w:line="240" w:lineRule="auto" w:before="0" w:after="0"/>
        <w:ind w:left="1370" w:right="0" w:hanging="531"/>
        <w:jc w:val="left"/>
        <w:rPr>
          <w:sz w:val="21"/>
        </w:rPr>
      </w:pPr>
      <w:r>
        <w:rPr>
          <w:spacing w:val="-3"/>
          <w:sz w:val="21"/>
        </w:rPr>
        <w:t>水枪出厂前应进行出厂检验。</w:t>
      </w:r>
      <w:r>
        <w:rPr>
          <w:sz w:val="21"/>
        </w:rPr>
        <w:t> </w:t>
      </w:r>
    </w:p>
    <w:p>
      <w:pPr>
        <w:pStyle w:val="BodyText"/>
        <w:spacing w:before="1"/>
        <w:rPr>
          <w:sz w:val="18"/>
        </w:rPr>
      </w:pPr>
    </w:p>
    <w:p>
      <w:pPr>
        <w:pStyle w:val="ListParagraph"/>
        <w:numPr>
          <w:ilvl w:val="2"/>
          <w:numId w:val="17"/>
        </w:numPr>
        <w:tabs>
          <w:tab w:pos="1370" w:val="left" w:leader="none"/>
        </w:tabs>
        <w:spacing w:line="446" w:lineRule="auto" w:before="1" w:after="0"/>
        <w:ind w:left="418" w:right="1604" w:firstLine="422"/>
        <w:jc w:val="left"/>
        <w:rPr>
          <w:sz w:val="21"/>
        </w:rPr>
      </w:pPr>
      <w:r>
        <w:rPr>
          <w:spacing w:val="-11"/>
          <w:sz w:val="21"/>
        </w:rPr>
        <w:t>出厂检验按 </w:t>
      </w:r>
      <w:r>
        <w:rPr>
          <w:sz w:val="21"/>
        </w:rPr>
        <w:t>5.1</w:t>
      </w:r>
      <w:r>
        <w:rPr>
          <w:spacing w:val="-3"/>
          <w:sz w:val="21"/>
        </w:rPr>
        <w:t>、</w:t>
      </w:r>
      <w:r>
        <w:rPr>
          <w:sz w:val="21"/>
        </w:rPr>
        <w:t>5.2、5.3、5.7</w:t>
      </w:r>
      <w:r>
        <w:rPr>
          <w:spacing w:val="-3"/>
          <w:sz w:val="21"/>
        </w:rPr>
        <w:t>、</w:t>
      </w:r>
      <w:r>
        <w:rPr>
          <w:sz w:val="21"/>
        </w:rPr>
        <w:t>5.8</w:t>
      </w:r>
      <w:r>
        <w:rPr>
          <w:spacing w:val="-34"/>
          <w:sz w:val="21"/>
        </w:rPr>
        <w:t> 和 </w:t>
      </w:r>
      <w:r>
        <w:rPr>
          <w:sz w:val="21"/>
        </w:rPr>
        <w:t>5.9</w:t>
      </w:r>
      <w:r>
        <w:rPr>
          <w:spacing w:val="-8"/>
          <w:sz w:val="21"/>
        </w:rPr>
        <w:t> 的规定进行，其结果均应符合本标准</w:t>
      </w:r>
      <w:r>
        <w:rPr>
          <w:spacing w:val="-6"/>
          <w:sz w:val="21"/>
        </w:rPr>
        <w:t>的规定。</w:t>
      </w:r>
      <w:r>
        <w:rPr>
          <w:sz w:val="21"/>
        </w:rPr>
        <w:t> </w:t>
      </w:r>
    </w:p>
    <w:p>
      <w:pPr>
        <w:pStyle w:val="ListParagraph"/>
        <w:numPr>
          <w:ilvl w:val="1"/>
          <w:numId w:val="17"/>
        </w:numPr>
        <w:tabs>
          <w:tab w:pos="1159" w:val="left" w:leader="none"/>
        </w:tabs>
        <w:spacing w:line="267" w:lineRule="exact" w:before="0" w:after="0"/>
        <w:ind w:left="1158" w:right="0" w:hanging="319"/>
        <w:jc w:val="left"/>
        <w:rPr>
          <w:sz w:val="21"/>
        </w:rPr>
      </w:pPr>
      <w:r>
        <w:rPr>
          <w:spacing w:val="-3"/>
          <w:sz w:val="21"/>
        </w:rPr>
        <w:t>形式检验</w:t>
      </w:r>
      <w:r>
        <w:rPr>
          <w:sz w:val="21"/>
        </w:rPr>
        <w:t> </w:t>
      </w:r>
    </w:p>
    <w:p>
      <w:pPr>
        <w:pStyle w:val="BodyText"/>
        <w:spacing w:before="1"/>
        <w:rPr>
          <w:sz w:val="18"/>
        </w:rPr>
      </w:pPr>
    </w:p>
    <w:p>
      <w:pPr>
        <w:pStyle w:val="ListParagraph"/>
        <w:numPr>
          <w:ilvl w:val="2"/>
          <w:numId w:val="17"/>
        </w:numPr>
        <w:tabs>
          <w:tab w:pos="1370" w:val="left" w:leader="none"/>
        </w:tabs>
        <w:spacing w:line="446" w:lineRule="auto" w:before="1" w:after="0"/>
        <w:ind w:left="838" w:right="5493" w:firstLine="2"/>
        <w:jc w:val="left"/>
        <w:rPr>
          <w:sz w:val="21"/>
        </w:rPr>
      </w:pPr>
      <w:r>
        <w:rPr>
          <w:spacing w:val="-3"/>
          <w:sz w:val="21"/>
        </w:rPr>
        <w:t>凡属下列情况之一，应进行形式检验： </w:t>
      </w:r>
      <w:r>
        <w:rPr>
          <w:sz w:val="21"/>
        </w:rPr>
        <w:t>a)</w:t>
      </w:r>
      <w:r>
        <w:rPr>
          <w:spacing w:val="-3"/>
          <w:sz w:val="21"/>
        </w:rPr>
        <w:t> 新产品鉴定或老产品转厂；</w:t>
      </w:r>
      <w:r>
        <w:rPr>
          <w:sz w:val="21"/>
        </w:rPr>
        <w:t> </w:t>
      </w:r>
    </w:p>
    <w:p>
      <w:pPr>
        <w:pStyle w:val="ListParagraph"/>
        <w:numPr>
          <w:ilvl w:val="0"/>
          <w:numId w:val="18"/>
        </w:numPr>
        <w:tabs>
          <w:tab w:pos="1051" w:val="left" w:leader="none"/>
        </w:tabs>
        <w:spacing w:line="267" w:lineRule="exact" w:before="0" w:after="0"/>
        <w:ind w:left="1050" w:right="0" w:hanging="213"/>
        <w:jc w:val="left"/>
        <w:rPr>
          <w:sz w:val="21"/>
        </w:rPr>
      </w:pPr>
      <w:r>
        <w:rPr>
          <w:spacing w:val="-3"/>
          <w:sz w:val="21"/>
        </w:rPr>
        <w:t>正式生产后，原材料、工艺、设计有较大改动时；</w:t>
      </w:r>
      <w:r>
        <w:rPr>
          <w:sz w:val="21"/>
        </w:rPr>
        <w:t> </w:t>
      </w:r>
    </w:p>
    <w:p>
      <w:pPr>
        <w:pStyle w:val="BodyText"/>
        <w:spacing w:before="1"/>
        <w:rPr>
          <w:sz w:val="18"/>
        </w:rPr>
      </w:pPr>
    </w:p>
    <w:p>
      <w:pPr>
        <w:pStyle w:val="ListParagraph"/>
        <w:numPr>
          <w:ilvl w:val="0"/>
          <w:numId w:val="18"/>
        </w:numPr>
        <w:tabs>
          <w:tab w:pos="1051" w:val="left" w:leader="none"/>
        </w:tabs>
        <w:spacing w:line="240" w:lineRule="auto" w:before="0" w:after="0"/>
        <w:ind w:left="1050" w:right="0" w:hanging="213"/>
        <w:jc w:val="left"/>
        <w:rPr>
          <w:sz w:val="21"/>
        </w:rPr>
      </w:pPr>
      <w:r>
        <w:rPr>
          <w:spacing w:val="-19"/>
          <w:sz w:val="21"/>
        </w:rPr>
        <w:t>停产 </w:t>
      </w:r>
      <w:r>
        <w:rPr>
          <w:sz w:val="21"/>
        </w:rPr>
        <w:t>1</w:t>
      </w:r>
      <w:r>
        <w:rPr>
          <w:spacing w:val="-12"/>
          <w:sz w:val="21"/>
        </w:rPr>
        <w:t> 年后恢复生产或正常生产满 </w:t>
      </w:r>
      <w:r>
        <w:rPr>
          <w:sz w:val="21"/>
        </w:rPr>
        <w:t>2</w:t>
      </w:r>
      <w:r>
        <w:rPr>
          <w:spacing w:val="-16"/>
          <w:sz w:val="21"/>
        </w:rPr>
        <w:t> 年时；</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18"/>
        </w:numPr>
        <w:tabs>
          <w:tab w:pos="1051" w:val="left" w:leader="none"/>
        </w:tabs>
        <w:spacing w:line="240" w:lineRule="auto" w:before="47" w:after="0"/>
        <w:ind w:left="1050" w:right="0" w:hanging="213"/>
        <w:jc w:val="left"/>
        <w:rPr>
          <w:sz w:val="21"/>
        </w:rPr>
      </w:pPr>
      <w:r>
        <w:rPr>
          <w:spacing w:val="-3"/>
          <w:sz w:val="21"/>
        </w:rPr>
        <w:t>国家质量监督机构提出进行形式检验要求时。</w:t>
      </w:r>
      <w:r>
        <w:rPr>
          <w:sz w:val="21"/>
        </w:rPr>
        <w:t> </w:t>
      </w:r>
    </w:p>
    <w:p>
      <w:pPr>
        <w:pStyle w:val="BodyText"/>
        <w:rPr>
          <w:sz w:val="18"/>
        </w:rPr>
      </w:pPr>
    </w:p>
    <w:p>
      <w:pPr>
        <w:pStyle w:val="ListParagraph"/>
        <w:numPr>
          <w:ilvl w:val="2"/>
          <w:numId w:val="17"/>
        </w:numPr>
        <w:tabs>
          <w:tab w:pos="1371" w:val="left" w:leader="none"/>
        </w:tabs>
        <w:spacing w:line="240" w:lineRule="auto" w:before="0" w:after="0"/>
        <w:ind w:left="1370" w:right="0" w:hanging="531"/>
        <w:jc w:val="left"/>
        <w:rPr>
          <w:sz w:val="21"/>
        </w:rPr>
      </w:pPr>
      <w:r>
        <w:rPr>
          <w:spacing w:val="-3"/>
          <w:sz w:val="21"/>
        </w:rPr>
        <w:t>形式检验的内容为本标准规定的全部项目，检验结果均应达到标准规定。 </w:t>
      </w:r>
    </w:p>
    <w:p>
      <w:pPr>
        <w:pStyle w:val="BodyText"/>
        <w:rPr>
          <w:sz w:val="18"/>
        </w:rPr>
      </w:pPr>
    </w:p>
    <w:p>
      <w:pPr>
        <w:pStyle w:val="ListParagraph"/>
        <w:numPr>
          <w:ilvl w:val="2"/>
          <w:numId w:val="17"/>
        </w:numPr>
        <w:tabs>
          <w:tab w:pos="1371" w:val="left" w:leader="none"/>
        </w:tabs>
        <w:spacing w:line="240" w:lineRule="auto" w:before="0" w:after="0"/>
        <w:ind w:left="1370" w:right="0" w:hanging="531"/>
        <w:jc w:val="left"/>
        <w:rPr>
          <w:sz w:val="21"/>
        </w:rPr>
      </w:pPr>
      <w:r>
        <w:rPr>
          <w:spacing w:val="-8"/>
          <w:sz w:val="21"/>
        </w:rPr>
        <w:t>形式检验的样本数为 </w:t>
      </w:r>
      <w:r>
        <w:rPr>
          <w:sz w:val="21"/>
        </w:rPr>
        <w:t>3</w:t>
      </w:r>
      <w:r>
        <w:rPr>
          <w:spacing w:val="-20"/>
          <w:sz w:val="21"/>
        </w:rPr>
        <w:t> 支。</w:t>
      </w:r>
      <w:r>
        <w:rPr>
          <w:sz w:val="21"/>
        </w:rPr>
        <w:t> </w:t>
      </w:r>
    </w:p>
    <w:p>
      <w:pPr>
        <w:pStyle w:val="BodyText"/>
        <w:spacing w:before="10"/>
        <w:rPr>
          <w:sz w:val="15"/>
        </w:rPr>
      </w:pPr>
    </w:p>
    <w:p>
      <w:pPr>
        <w:pStyle w:val="Heading4"/>
        <w:ind w:left="0" w:right="7213"/>
        <w:jc w:val="right"/>
      </w:pPr>
      <w:r>
        <w:rPr/>
        <w:t>8 标志、使用说明书和包装</w:t>
      </w:r>
      <w:r>
        <w:rPr>
          <w:w w:val="99"/>
        </w:rPr>
        <w:t> </w:t>
      </w:r>
    </w:p>
    <w:p>
      <w:pPr>
        <w:pStyle w:val="BodyText"/>
        <w:spacing w:before="4"/>
        <w:rPr>
          <w:b/>
          <w:sz w:val="17"/>
        </w:rPr>
      </w:pPr>
    </w:p>
    <w:p>
      <w:pPr>
        <w:spacing w:before="0"/>
        <w:ind w:left="840" w:right="0" w:firstLine="0"/>
        <w:jc w:val="left"/>
        <w:rPr>
          <w:b/>
          <w:sz w:val="21"/>
        </w:rPr>
      </w:pPr>
      <w:r>
        <w:rPr>
          <w:b/>
          <w:sz w:val="21"/>
        </w:rPr>
        <w:t>8.1 </w:t>
      </w:r>
      <w:r>
        <w:rPr>
          <w:sz w:val="21"/>
        </w:rPr>
        <w:t>标 志</w:t>
      </w:r>
      <w:r>
        <w:rPr>
          <w:b/>
          <w:w w:val="99"/>
          <w:sz w:val="21"/>
        </w:rPr>
        <w:t> </w:t>
      </w:r>
    </w:p>
    <w:p>
      <w:pPr>
        <w:pStyle w:val="BodyText"/>
        <w:spacing w:before="12"/>
        <w:rPr>
          <w:b/>
          <w:sz w:val="17"/>
        </w:rPr>
      </w:pPr>
    </w:p>
    <w:p>
      <w:pPr>
        <w:pStyle w:val="ListParagraph"/>
        <w:numPr>
          <w:ilvl w:val="2"/>
          <w:numId w:val="19"/>
        </w:numPr>
        <w:tabs>
          <w:tab w:pos="1371" w:val="left" w:leader="none"/>
        </w:tabs>
        <w:spacing w:line="240" w:lineRule="auto" w:before="0" w:after="0"/>
        <w:ind w:left="1370" w:right="0" w:hanging="531"/>
        <w:jc w:val="left"/>
        <w:rPr>
          <w:sz w:val="21"/>
        </w:rPr>
      </w:pPr>
      <w:r>
        <w:rPr>
          <w:spacing w:val="-3"/>
          <w:sz w:val="21"/>
        </w:rPr>
        <w:t>水枪上应牢固标有型号、商标或厂名。</w:t>
      </w:r>
      <w:r>
        <w:rPr>
          <w:sz w:val="21"/>
        </w:rPr>
        <w:t> </w:t>
      </w:r>
    </w:p>
    <w:p>
      <w:pPr>
        <w:pStyle w:val="BodyText"/>
        <w:spacing w:before="2"/>
        <w:rPr>
          <w:sz w:val="18"/>
        </w:rPr>
      </w:pPr>
    </w:p>
    <w:p>
      <w:pPr>
        <w:pStyle w:val="ListParagraph"/>
        <w:numPr>
          <w:ilvl w:val="2"/>
          <w:numId w:val="19"/>
        </w:numPr>
        <w:tabs>
          <w:tab w:pos="1370" w:val="left" w:leader="none"/>
        </w:tabs>
        <w:spacing w:line="240" w:lineRule="auto" w:before="0" w:after="0"/>
        <w:ind w:left="1369" w:right="0" w:hanging="530"/>
        <w:jc w:val="left"/>
        <w:rPr>
          <w:sz w:val="21"/>
        </w:rPr>
      </w:pPr>
      <w:r>
        <w:rPr>
          <w:spacing w:val="-3"/>
          <w:sz w:val="21"/>
        </w:rPr>
        <w:t>水枪应有射流形态改变的易辨认的永久性指示标记。</w:t>
      </w:r>
      <w:r>
        <w:rPr>
          <w:sz w:val="21"/>
        </w:rPr>
        <w:t> </w:t>
      </w:r>
    </w:p>
    <w:p>
      <w:pPr>
        <w:pStyle w:val="BodyText"/>
        <w:rPr>
          <w:sz w:val="18"/>
        </w:rPr>
      </w:pPr>
    </w:p>
    <w:p>
      <w:pPr>
        <w:pStyle w:val="ListParagraph"/>
        <w:numPr>
          <w:ilvl w:val="2"/>
          <w:numId w:val="19"/>
        </w:numPr>
        <w:tabs>
          <w:tab w:pos="1371" w:val="left" w:leader="none"/>
        </w:tabs>
        <w:spacing w:line="446" w:lineRule="auto" w:before="0" w:after="0"/>
        <w:ind w:left="418" w:right="1606" w:firstLine="422"/>
        <w:jc w:val="left"/>
        <w:rPr>
          <w:sz w:val="21"/>
        </w:rPr>
      </w:pPr>
      <w:r>
        <w:rPr>
          <w:spacing w:val="-6"/>
          <w:sz w:val="21"/>
        </w:rPr>
        <w:t>第Ⅲ类直流喷雾水枪应有流量刻度值(以 </w:t>
      </w:r>
      <w:r>
        <w:rPr>
          <w:sz w:val="21"/>
        </w:rPr>
        <w:t>L/s</w:t>
      </w:r>
      <w:r>
        <w:rPr>
          <w:spacing w:val="-8"/>
          <w:sz w:val="21"/>
        </w:rPr>
        <w:t> 为单位)的永久性标记，第Ⅳ类直流喷</w:t>
      </w:r>
      <w:r>
        <w:rPr>
          <w:spacing w:val="-10"/>
          <w:sz w:val="21"/>
        </w:rPr>
        <w:t>雾水枪应有流量(以 </w:t>
      </w:r>
      <w:r>
        <w:rPr>
          <w:sz w:val="21"/>
        </w:rPr>
        <w:t>L/s</w:t>
      </w:r>
      <w:r>
        <w:rPr>
          <w:spacing w:val="-9"/>
          <w:sz w:val="21"/>
        </w:rPr>
        <w:t> 为单位)使用范围的永久性标记。</w:t>
      </w:r>
      <w:r>
        <w:rPr>
          <w:sz w:val="21"/>
        </w:rPr>
        <w:t> </w:t>
      </w:r>
    </w:p>
    <w:p>
      <w:pPr>
        <w:spacing w:before="0"/>
        <w:ind w:left="840" w:right="0" w:firstLine="0"/>
        <w:jc w:val="left"/>
        <w:rPr>
          <w:b/>
          <w:sz w:val="21"/>
        </w:rPr>
      </w:pPr>
      <w:r>
        <w:rPr>
          <w:b/>
          <w:sz w:val="21"/>
        </w:rPr>
        <w:t>8.2 </w:t>
      </w:r>
      <w:r>
        <w:rPr>
          <w:sz w:val="21"/>
        </w:rPr>
        <w:t>使用说明书</w:t>
      </w:r>
      <w:r>
        <w:rPr>
          <w:b/>
          <w:w w:val="99"/>
          <w:sz w:val="21"/>
        </w:rPr>
        <w:t> </w:t>
      </w:r>
    </w:p>
    <w:p>
      <w:pPr>
        <w:pStyle w:val="BodyText"/>
        <w:rPr>
          <w:b/>
          <w:sz w:val="18"/>
        </w:rPr>
      </w:pPr>
    </w:p>
    <w:p>
      <w:pPr>
        <w:pStyle w:val="BodyText"/>
        <w:spacing w:line="446" w:lineRule="auto"/>
        <w:ind w:left="418" w:right="1609" w:firstLine="419"/>
      </w:pPr>
      <w:r>
        <w:rPr/>
        <w:t>产品应附有使用说明书，其内容应包括基本参数、执行产品标准号、维护保养、操作程序及注意事项。 </w:t>
      </w:r>
    </w:p>
    <w:p>
      <w:pPr>
        <w:spacing w:before="0"/>
        <w:ind w:left="840" w:right="0" w:firstLine="0"/>
        <w:jc w:val="left"/>
        <w:rPr>
          <w:sz w:val="21"/>
        </w:rPr>
      </w:pPr>
      <w:r>
        <w:rPr>
          <w:b/>
          <w:sz w:val="21"/>
        </w:rPr>
        <w:t>8.3 </w:t>
      </w:r>
      <w:r>
        <w:rPr>
          <w:sz w:val="21"/>
        </w:rPr>
        <w:t>包 装 </w:t>
      </w:r>
    </w:p>
    <w:p>
      <w:pPr>
        <w:pStyle w:val="BodyText"/>
        <w:spacing w:before="12"/>
        <w:rPr>
          <w:sz w:val="17"/>
        </w:rPr>
      </w:pPr>
    </w:p>
    <w:p>
      <w:pPr>
        <w:pStyle w:val="ListParagraph"/>
        <w:numPr>
          <w:ilvl w:val="2"/>
          <w:numId w:val="20"/>
        </w:numPr>
        <w:tabs>
          <w:tab w:pos="1371" w:val="left" w:leader="none"/>
        </w:tabs>
        <w:spacing w:line="240" w:lineRule="auto" w:before="0" w:after="0"/>
        <w:ind w:left="1370" w:right="0" w:hanging="531"/>
        <w:jc w:val="left"/>
        <w:rPr>
          <w:sz w:val="21"/>
        </w:rPr>
      </w:pPr>
      <w:r>
        <w:rPr>
          <w:spacing w:val="-3"/>
          <w:sz w:val="21"/>
        </w:rPr>
        <w:t>产品包装随带的文件应齐全，包括使用说明书、合格证、装箱单等。</w:t>
      </w:r>
      <w:r>
        <w:rPr>
          <w:sz w:val="21"/>
        </w:rPr>
        <w:t> </w:t>
      </w:r>
    </w:p>
    <w:p>
      <w:pPr>
        <w:pStyle w:val="BodyText"/>
        <w:rPr>
          <w:sz w:val="18"/>
        </w:rPr>
      </w:pPr>
    </w:p>
    <w:p>
      <w:pPr>
        <w:pStyle w:val="ListParagraph"/>
        <w:numPr>
          <w:ilvl w:val="2"/>
          <w:numId w:val="20"/>
        </w:numPr>
        <w:tabs>
          <w:tab w:pos="1370" w:val="left" w:leader="none"/>
        </w:tabs>
        <w:spacing w:line="240" w:lineRule="auto" w:before="0" w:after="0"/>
        <w:ind w:left="1369" w:right="0" w:hanging="530"/>
        <w:jc w:val="left"/>
        <w:rPr>
          <w:sz w:val="21"/>
        </w:rPr>
      </w:pPr>
      <w:r>
        <w:rPr>
          <w:spacing w:val="-3"/>
          <w:sz w:val="21"/>
        </w:rPr>
        <w:t>包装采用塑料薄膜包装后，再用纸箱或木箱包装，标明注意事项。</w:t>
      </w:r>
      <w:r>
        <w:rPr>
          <w:sz w:val="21"/>
        </w:rPr>
        <w:t> </w:t>
      </w:r>
    </w:p>
    <w:p>
      <w:pPr>
        <w:pStyle w:val="BodyText"/>
        <w:spacing w:before="2"/>
        <w:rPr>
          <w:sz w:val="18"/>
        </w:rPr>
      </w:pPr>
    </w:p>
    <w:p>
      <w:pPr>
        <w:pStyle w:val="BodyText"/>
        <w:ind w:right="7240"/>
        <w:jc w:val="right"/>
      </w:pPr>
      <w:r>
        <w:rPr>
          <w:w w:val="100"/>
        </w:rPr>
        <w:t> </w:t>
      </w:r>
    </w:p>
    <w:p>
      <w:pPr>
        <w:spacing w:after="0"/>
        <w:jc w:val="right"/>
        <w:sectPr>
          <w:pgSz w:w="11910" w:h="16850"/>
          <w:pgMar w:header="0" w:footer="1239" w:top="1220" w:bottom="1420" w:left="1260" w:right="0"/>
        </w:sectPr>
      </w:pPr>
    </w:p>
    <w:p>
      <w:pPr>
        <w:pStyle w:val="Heading2"/>
        <w:ind w:left="3457"/>
        <w:jc w:val="left"/>
        <w:rPr>
          <w:sz w:val="24"/>
        </w:rPr>
      </w:pPr>
      <w:bookmarkStart w:name="_bookmark2" w:id="3"/>
      <w:bookmarkEnd w:id="3"/>
      <w:r>
        <w:rPr>
          <w:b w:val="0"/>
        </w:rPr>
      </w:r>
      <w:r>
        <w:rPr/>
        <w:t>消防员职业健康标准</w:t>
      </w:r>
      <w:r>
        <w:rPr>
          <w:w w:val="99"/>
          <w:sz w:val="24"/>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本标准规定了消防员职业健康条件、健康监护、健康管理、健康保障、健康促进及健康评估。 </w:t>
      </w:r>
    </w:p>
    <w:p>
      <w:pPr>
        <w:pStyle w:val="BodyText"/>
        <w:ind w:left="838"/>
      </w:pPr>
      <w:r>
        <w:rPr/>
        <w:t>本标准适用于消防职业活动中消防员的职业健康管理。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8" w:firstLine="419"/>
        <w:jc w:val="both"/>
      </w:pPr>
      <w:r>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 </w:t>
      </w:r>
    </w:p>
    <w:p>
      <w:pPr>
        <w:pStyle w:val="BodyText"/>
        <w:spacing w:line="269" w:lineRule="exact"/>
        <w:ind w:left="838"/>
        <w:jc w:val="both"/>
      </w:pPr>
      <w:r>
        <w:rPr/>
        <w:t>GBZ1 工业企业设计卫生标准 </w:t>
      </w:r>
    </w:p>
    <w:p>
      <w:pPr>
        <w:pStyle w:val="BodyText"/>
        <w:rPr>
          <w:sz w:val="18"/>
        </w:rPr>
      </w:pPr>
    </w:p>
    <w:p>
      <w:pPr>
        <w:pStyle w:val="BodyText"/>
        <w:spacing w:line="446" w:lineRule="auto"/>
        <w:ind w:left="838" w:right="3294"/>
      </w:pPr>
      <w:r>
        <w:rPr/>
        <w:t>GBZ 2.1</w:t>
      </w:r>
      <w:r>
        <w:rPr>
          <w:spacing w:val="-6"/>
        </w:rPr>
        <w:t>  工作场所有害因素职业接触限值 第 </w:t>
      </w:r>
      <w:r>
        <w:rPr/>
        <w:t>1</w:t>
      </w:r>
      <w:r>
        <w:rPr>
          <w:spacing w:val="-9"/>
        </w:rPr>
        <w:t> 部分：化学有害因素</w:t>
      </w:r>
      <w:r>
        <w:rPr/>
        <w:t>GBZ 2.2</w:t>
      </w:r>
      <w:r>
        <w:rPr>
          <w:spacing w:val="-6"/>
        </w:rPr>
        <w:t>   工作场所有害因素职业接触限值 第 </w:t>
      </w:r>
      <w:r>
        <w:rPr/>
        <w:t>2</w:t>
      </w:r>
      <w:r>
        <w:rPr>
          <w:spacing w:val="-9"/>
        </w:rPr>
        <w:t> 部分：物理因素</w:t>
      </w:r>
      <w:r>
        <w:rPr/>
        <w:t>GBZ49</w:t>
      </w:r>
      <w:r>
        <w:rPr>
          <w:spacing w:val="6"/>
        </w:rPr>
        <w:t> 职业性噪声聋诊断标准</w:t>
      </w:r>
      <w:r>
        <w:rPr/>
        <w:t> </w:t>
      </w:r>
    </w:p>
    <w:p>
      <w:pPr>
        <w:pStyle w:val="BodyText"/>
        <w:spacing w:line="268" w:lineRule="exact"/>
        <w:ind w:left="838"/>
      </w:pPr>
      <w:r>
        <w:rPr/>
        <w:t>GBZ188 职业健康监护技术规范 </w:t>
      </w:r>
    </w:p>
    <w:p>
      <w:pPr>
        <w:pStyle w:val="BodyText"/>
        <w:spacing w:before="12"/>
        <w:rPr>
          <w:sz w:val="17"/>
        </w:rPr>
      </w:pPr>
    </w:p>
    <w:p>
      <w:pPr>
        <w:pStyle w:val="BodyText"/>
        <w:spacing w:line="446" w:lineRule="auto"/>
        <w:ind w:left="838" w:right="5394"/>
      </w:pPr>
      <w:r>
        <w:rPr/>
        <w:t>GBZ/T205 密闭空间作业职业危害防护规范GBZ/T206 密闭空间直读式仪器气体检测规范GB2890 过滤式防毒面具通用技术条件 </w:t>
      </w:r>
    </w:p>
    <w:p>
      <w:pPr>
        <w:pStyle w:val="BodyText"/>
        <w:spacing w:line="448" w:lineRule="auto"/>
        <w:ind w:left="838" w:right="3716"/>
      </w:pPr>
      <w:r>
        <w:rPr/>
        <w:t>GB3836.3 爆炸性气体环境用电气设备 第 3 部分：增安型“e” GB4303 船用救生衣 </w:t>
      </w:r>
    </w:p>
    <w:p>
      <w:pPr>
        <w:pStyle w:val="BodyText"/>
        <w:spacing w:line="446" w:lineRule="auto"/>
        <w:ind w:left="838" w:right="6654"/>
      </w:pPr>
      <w:r>
        <w:rPr/>
        <w:t>GB6568.1 带电作业用屏蔽服装GB7000.13  手提灯安全要求GB7230 气体检测管装置 </w:t>
      </w:r>
    </w:p>
    <w:p>
      <w:pPr>
        <w:pStyle w:val="BodyText"/>
        <w:spacing w:line="446" w:lineRule="auto"/>
        <w:ind w:left="838" w:right="5183"/>
      </w:pPr>
      <w:r>
        <w:rPr/>
        <w:t>GB/T7583 声学 纯音气导听阈测定 听力保护用GB12011 电绝缘鞋通用技术条件 </w:t>
      </w:r>
    </w:p>
    <w:p>
      <w:pPr>
        <w:pStyle w:val="BodyText"/>
        <w:ind w:left="838"/>
      </w:pPr>
      <w:r>
        <w:rPr/>
        <w:t>GB15322 可燃气体探测器 </w:t>
      </w:r>
    </w:p>
    <w:p>
      <w:pPr>
        <w:pStyle w:val="BodyText"/>
        <w:spacing w:before="5"/>
        <w:rPr>
          <w:sz w:val="17"/>
        </w:rPr>
      </w:pPr>
    </w:p>
    <w:p>
      <w:pPr>
        <w:pStyle w:val="BodyText"/>
        <w:ind w:left="838"/>
      </w:pPr>
      <w:r>
        <w:rPr/>
        <w:t>GB/T16403 声学 测听方法 纯音气导和骨导听阈基本测听法 </w:t>
      </w:r>
    </w:p>
    <w:p>
      <w:pPr>
        <w:spacing w:after="0"/>
        <w:sectPr>
          <w:pgSz w:w="11910" w:h="16850"/>
          <w:pgMar w:header="0" w:footer="1239" w:top="1140" w:bottom="1420" w:left="1260" w:right="0"/>
        </w:sectPr>
      </w:pPr>
    </w:p>
    <w:p>
      <w:pPr>
        <w:pStyle w:val="BodyText"/>
        <w:spacing w:before="47"/>
        <w:ind w:left="838"/>
      </w:pPr>
      <w:r>
        <w:rPr/>
        <w:t>GB17622 带电作业用绝缘手套通用技术条件 </w:t>
      </w:r>
    </w:p>
    <w:p>
      <w:pPr>
        <w:pStyle w:val="BodyText"/>
        <w:spacing w:before="8"/>
        <w:rPr>
          <w:sz w:val="15"/>
        </w:rPr>
      </w:pPr>
    </w:p>
    <w:p>
      <w:pPr>
        <w:pStyle w:val="Heading4"/>
        <w:spacing w:before="1"/>
      </w:pPr>
      <w:r>
        <w:rPr/>
        <w:t>3 术语和定义</w:t>
      </w:r>
      <w:r>
        <w:rPr>
          <w:w w:val="99"/>
        </w:rPr>
        <w:t> </w:t>
      </w:r>
    </w:p>
    <w:p>
      <w:pPr>
        <w:pStyle w:val="BodyText"/>
        <w:spacing w:before="3"/>
        <w:rPr>
          <w:b/>
          <w:sz w:val="17"/>
        </w:rPr>
      </w:pPr>
    </w:p>
    <w:p>
      <w:pPr>
        <w:pStyle w:val="BodyText"/>
        <w:spacing w:line="446" w:lineRule="auto" w:before="1"/>
        <w:ind w:left="840" w:right="6753" w:hanging="3"/>
      </w:pPr>
      <w:r>
        <w:rPr/>
        <w:t>下列术语和定义适用于本标准。</w:t>
      </w:r>
      <w:r>
        <w:rPr>
          <w:b/>
        </w:rPr>
        <w:t>3.1 </w:t>
      </w:r>
      <w:r>
        <w:rPr/>
        <w:t>消防组织 fire department </w:t>
      </w:r>
    </w:p>
    <w:p>
      <w:pPr>
        <w:pStyle w:val="BodyText"/>
        <w:spacing w:line="446" w:lineRule="auto"/>
        <w:ind w:left="418" w:right="1609" w:firstLine="419"/>
      </w:pPr>
      <w:r>
        <w:rPr/>
        <w:t>实施灭火战斗、抢险救援、社会救助及其它相关活动的各级公安消防队、地方政府专职消防队、单位专职消防队和志愿消防队的统称。 </w:t>
      </w:r>
    </w:p>
    <w:p>
      <w:pPr>
        <w:spacing w:before="0"/>
        <w:ind w:left="840" w:right="0" w:firstLine="0"/>
        <w:jc w:val="left"/>
        <w:rPr>
          <w:b/>
          <w:sz w:val="21"/>
        </w:rPr>
      </w:pPr>
      <w:r>
        <w:rPr>
          <w:b/>
          <w:sz w:val="21"/>
        </w:rPr>
        <w:t>3.2 </w:t>
      </w:r>
      <w:r>
        <w:rPr>
          <w:sz w:val="21"/>
        </w:rPr>
        <w:t>消防员 fire fighter</w:t>
      </w:r>
      <w:r>
        <w:rPr>
          <w:b/>
          <w:w w:val="99"/>
          <w:sz w:val="21"/>
        </w:rPr>
        <w:t> </w:t>
      </w:r>
    </w:p>
    <w:p>
      <w:pPr>
        <w:pStyle w:val="BodyText"/>
        <w:spacing w:before="12"/>
        <w:rPr>
          <w:b/>
          <w:sz w:val="17"/>
        </w:rPr>
      </w:pPr>
    </w:p>
    <w:p>
      <w:pPr>
        <w:pStyle w:val="BodyText"/>
        <w:spacing w:line="446" w:lineRule="auto"/>
        <w:ind w:left="840" w:right="4657" w:hanging="3"/>
        <w:rPr>
          <w:b/>
        </w:rPr>
      </w:pPr>
      <w:r>
        <w:rPr/>
        <w:t>隶属于消防组织，履行消防组织的职责和任务的人员。</w:t>
      </w:r>
      <w:r>
        <w:rPr>
          <w:b/>
        </w:rPr>
        <w:t>3.3 </w:t>
      </w:r>
      <w:r>
        <w:rPr/>
        <w:t>消防职业活动 fire occupational operations</w:t>
      </w:r>
      <w:r>
        <w:rPr>
          <w:b/>
          <w:w w:val="99"/>
        </w:rPr>
        <w:t> </w:t>
      </w:r>
    </w:p>
    <w:p>
      <w:pPr>
        <w:pStyle w:val="BodyText"/>
        <w:spacing w:line="446" w:lineRule="auto"/>
        <w:ind w:left="418" w:right="1609" w:firstLine="419"/>
      </w:pPr>
      <w:r>
        <w:rPr/>
        <w:t>消防组织为履行职责和任务组织消防员进行的业务训练、灭火战斗、抢险救援、社会救助及其他相关活动。 </w:t>
      </w:r>
    </w:p>
    <w:p>
      <w:pPr>
        <w:spacing w:line="267" w:lineRule="exact" w:before="0"/>
        <w:ind w:left="840" w:right="0" w:firstLine="0"/>
        <w:jc w:val="left"/>
        <w:rPr>
          <w:b/>
          <w:sz w:val="21"/>
        </w:rPr>
      </w:pPr>
      <w:r>
        <w:rPr>
          <w:b/>
          <w:sz w:val="21"/>
        </w:rPr>
        <w:t>3.4 </w:t>
      </w:r>
      <w:r>
        <w:rPr>
          <w:sz w:val="21"/>
        </w:rPr>
        <w:t>体格 physique</w:t>
      </w:r>
      <w:r>
        <w:rPr>
          <w:b/>
          <w:w w:val="99"/>
          <w:sz w:val="21"/>
        </w:rPr>
        <w:t> </w:t>
      </w:r>
    </w:p>
    <w:p>
      <w:pPr>
        <w:pStyle w:val="BodyText"/>
        <w:spacing w:before="2"/>
        <w:rPr>
          <w:b/>
          <w:sz w:val="18"/>
        </w:rPr>
      </w:pPr>
    </w:p>
    <w:p>
      <w:pPr>
        <w:pStyle w:val="BodyText"/>
        <w:spacing w:line="446" w:lineRule="auto"/>
        <w:ind w:left="840" w:right="2554" w:hanging="3"/>
      </w:pPr>
      <w:r>
        <w:rPr/>
        <w:t>人体的形态和结构，包括人的生长发育水平、体型、姿态与器官组织的构造。</w:t>
      </w:r>
      <w:r>
        <w:rPr>
          <w:b/>
        </w:rPr>
        <w:t>3.5 </w:t>
      </w:r>
      <w:r>
        <w:rPr/>
        <w:t>体能 physical fitness </w:t>
      </w:r>
    </w:p>
    <w:p>
      <w:pPr>
        <w:pStyle w:val="BodyText"/>
        <w:spacing w:line="446" w:lineRule="auto"/>
        <w:ind w:left="418" w:right="1609" w:firstLine="419"/>
      </w:pPr>
      <w:r>
        <w:rPr/>
        <w:t>人体通过先天遗传和后天训练获得的在形态结构、功能与调节及物质能量的贮存与转移等方面所具有的潜在能力以及与外界环境结合所表现出来的综合运动能力。 </w:t>
      </w:r>
    </w:p>
    <w:p>
      <w:pPr>
        <w:pStyle w:val="BodyText"/>
        <w:ind w:left="840"/>
      </w:pPr>
      <w:r>
        <w:rPr>
          <w:b/>
        </w:rPr>
        <w:t>3.6 </w:t>
      </w:r>
      <w:r>
        <w:rPr/>
        <w:t>消防员职业健康 fire fighter occupational health </w:t>
      </w:r>
    </w:p>
    <w:p>
      <w:pPr>
        <w:pStyle w:val="BodyText"/>
        <w:spacing w:before="10"/>
        <w:rPr>
          <w:sz w:val="17"/>
        </w:rPr>
      </w:pPr>
    </w:p>
    <w:p>
      <w:pPr>
        <w:pStyle w:val="BodyText"/>
        <w:spacing w:line="446" w:lineRule="auto"/>
        <w:ind w:left="840" w:right="3397" w:hanging="3"/>
        <w:rPr>
          <w:b/>
        </w:rPr>
      </w:pPr>
      <w:r>
        <w:rPr/>
        <w:t>反映消防员在工作生命阶段的生理、心理及社会适应性的良好状态。</w:t>
      </w:r>
      <w:r>
        <w:rPr>
          <w:b/>
        </w:rPr>
        <w:t>3.7 </w:t>
      </w:r>
      <w:r>
        <w:rPr/>
        <w:t>职业危害因素 occupational hazard factors</w:t>
      </w:r>
      <w:r>
        <w:rPr>
          <w:b/>
          <w:w w:val="99"/>
        </w:rPr>
        <w:t> </w:t>
      </w:r>
    </w:p>
    <w:p>
      <w:pPr>
        <w:pStyle w:val="BodyText"/>
        <w:spacing w:line="446" w:lineRule="auto" w:before="1"/>
        <w:ind w:left="418" w:right="1608" w:firstLine="419"/>
      </w:pPr>
      <w:r>
        <w:rPr/>
        <w:t>消防职业活动中影响消防员健康的各种危害因素的统称，包括化学、物理、生物因素和其他有害因素。 </w:t>
      </w:r>
    </w:p>
    <w:p>
      <w:pPr>
        <w:pStyle w:val="ListParagraph"/>
        <w:numPr>
          <w:ilvl w:val="1"/>
          <w:numId w:val="21"/>
        </w:numPr>
        <w:tabs>
          <w:tab w:pos="1160" w:val="left" w:leader="none"/>
        </w:tabs>
        <w:spacing w:line="240" w:lineRule="auto" w:before="0" w:after="0"/>
        <w:ind w:left="1159" w:right="0" w:hanging="320"/>
        <w:jc w:val="left"/>
        <w:rPr>
          <w:sz w:val="21"/>
        </w:rPr>
      </w:pPr>
      <w:r>
        <w:rPr>
          <w:spacing w:val="-3"/>
          <w:sz w:val="21"/>
        </w:rPr>
        <w:t>职业健康监护 </w:t>
      </w:r>
      <w:r>
        <w:rPr>
          <w:sz w:val="21"/>
        </w:rPr>
        <w:t>occupational</w:t>
      </w:r>
      <w:r>
        <w:rPr>
          <w:spacing w:val="1"/>
          <w:sz w:val="21"/>
        </w:rPr>
        <w:t> </w:t>
      </w:r>
      <w:r>
        <w:rPr>
          <w:sz w:val="21"/>
        </w:rPr>
        <w:t>health</w:t>
      </w:r>
      <w:r>
        <w:rPr>
          <w:spacing w:val="-3"/>
          <w:sz w:val="21"/>
        </w:rPr>
        <w:t> </w:t>
      </w:r>
      <w:r>
        <w:rPr>
          <w:sz w:val="21"/>
        </w:rPr>
        <w:t>surveillance </w:t>
      </w:r>
    </w:p>
    <w:p>
      <w:pPr>
        <w:pStyle w:val="BodyText"/>
        <w:spacing w:before="12"/>
        <w:rPr>
          <w:sz w:val="17"/>
        </w:rPr>
      </w:pPr>
    </w:p>
    <w:p>
      <w:pPr>
        <w:pStyle w:val="BodyText"/>
        <w:spacing w:line="446" w:lineRule="auto"/>
        <w:ind w:left="418" w:right="1608" w:firstLine="419"/>
        <w:jc w:val="both"/>
      </w:pPr>
      <w:r>
        <w:rPr/>
        <w:t>以预防为目的，根据消防员的职业接触史，通过定期或不定期的医学健康检查和健康相关资料的收集，连续性地监测消防员的健康状况，分析消防员健康变化与所接触的职业病危害因素的关系，并及时地将健康检查资料和分析结果、健康评估报告给消防组织和消防员本人，以便及时采取干预措施，保护消防员健康。 </w:t>
      </w:r>
    </w:p>
    <w:p>
      <w:pPr>
        <w:pStyle w:val="ListParagraph"/>
        <w:numPr>
          <w:ilvl w:val="1"/>
          <w:numId w:val="21"/>
        </w:numPr>
        <w:tabs>
          <w:tab w:pos="1160" w:val="left" w:leader="none"/>
        </w:tabs>
        <w:spacing w:line="267" w:lineRule="exact" w:before="0" w:after="0"/>
        <w:ind w:left="1159" w:right="0" w:hanging="320"/>
        <w:jc w:val="left"/>
        <w:rPr>
          <w:b/>
          <w:sz w:val="21"/>
        </w:rPr>
      </w:pPr>
      <w:r>
        <w:rPr>
          <w:spacing w:val="-3"/>
          <w:sz w:val="21"/>
        </w:rPr>
        <w:t>职业危害防拍装备 </w:t>
      </w:r>
      <w:r>
        <w:rPr>
          <w:sz w:val="21"/>
        </w:rPr>
        <w:t>protective</w:t>
      </w:r>
      <w:r>
        <w:rPr>
          <w:spacing w:val="1"/>
          <w:sz w:val="21"/>
        </w:rPr>
        <w:t> </w:t>
      </w:r>
      <w:r>
        <w:rPr>
          <w:sz w:val="21"/>
        </w:rPr>
        <w:t>faci</w:t>
      </w:r>
      <w:r>
        <w:rPr>
          <w:spacing w:val="-3"/>
          <w:sz w:val="21"/>
        </w:rPr>
        <w:t> </w:t>
      </w:r>
      <w:r>
        <w:rPr>
          <w:sz w:val="21"/>
        </w:rPr>
        <w:t>I</w:t>
      </w:r>
      <w:r>
        <w:rPr>
          <w:spacing w:val="1"/>
          <w:sz w:val="21"/>
        </w:rPr>
        <w:t> </w:t>
      </w:r>
      <w:r>
        <w:rPr>
          <w:sz w:val="21"/>
        </w:rPr>
        <w:t>ities</w:t>
      </w:r>
      <w:r>
        <w:rPr>
          <w:spacing w:val="-2"/>
          <w:sz w:val="21"/>
        </w:rPr>
        <w:t> </w:t>
      </w:r>
      <w:r>
        <w:rPr>
          <w:sz w:val="21"/>
        </w:rPr>
        <w:t>for occupational</w:t>
      </w:r>
      <w:r>
        <w:rPr>
          <w:spacing w:val="1"/>
          <w:sz w:val="21"/>
        </w:rPr>
        <w:t> </w:t>
      </w:r>
      <w:r>
        <w:rPr>
          <w:sz w:val="21"/>
        </w:rPr>
        <w:t>hazard</w:t>
      </w:r>
      <w:r>
        <w:rPr>
          <w:b/>
          <w:w w:val="99"/>
          <w:sz w:val="21"/>
        </w:rPr>
        <w:t>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608" w:firstLine="419"/>
      </w:pPr>
      <w:r>
        <w:rPr/>
        <w:t>用于消除或者减少职业危害因素对消防员健康的损害或影响，达到保护消防员健康目的的装备，主要包括侦检装备、个人防护装备、洗消装备等。 </w:t>
      </w:r>
    </w:p>
    <w:p>
      <w:pPr>
        <w:pStyle w:val="ListParagraph"/>
        <w:numPr>
          <w:ilvl w:val="1"/>
          <w:numId w:val="21"/>
        </w:numPr>
        <w:tabs>
          <w:tab w:pos="1264" w:val="left" w:leader="none"/>
        </w:tabs>
        <w:spacing w:line="267" w:lineRule="exact" w:before="0" w:after="0"/>
        <w:ind w:left="1263" w:right="0" w:hanging="424"/>
        <w:jc w:val="left"/>
        <w:rPr>
          <w:sz w:val="21"/>
        </w:rPr>
      </w:pPr>
      <w:r>
        <w:rPr>
          <w:spacing w:val="-3"/>
          <w:sz w:val="21"/>
        </w:rPr>
        <w:t>接触水平 </w:t>
      </w:r>
      <w:r>
        <w:rPr>
          <w:sz w:val="21"/>
        </w:rPr>
        <w:t>exposure</w:t>
      </w:r>
      <w:r>
        <w:rPr>
          <w:spacing w:val="-2"/>
          <w:sz w:val="21"/>
        </w:rPr>
        <w:t> </w:t>
      </w:r>
      <w:r>
        <w:rPr>
          <w:sz w:val="21"/>
        </w:rPr>
        <w:t>level </w:t>
      </w:r>
    </w:p>
    <w:p>
      <w:pPr>
        <w:pStyle w:val="BodyText"/>
        <w:spacing w:before="2"/>
        <w:rPr>
          <w:sz w:val="18"/>
        </w:rPr>
      </w:pPr>
    </w:p>
    <w:p>
      <w:pPr>
        <w:pStyle w:val="BodyText"/>
        <w:spacing w:line="446" w:lineRule="auto"/>
        <w:ind w:left="840" w:right="1714" w:hanging="3"/>
        <w:rPr>
          <w:b/>
        </w:rPr>
      </w:pPr>
      <w:r>
        <w:rPr/>
        <w:t>从事消防职业活动的消防员接触某种或多种职业危害因素的浓度（强度）和接触时间。</w:t>
      </w:r>
      <w:r>
        <w:rPr>
          <w:b/>
        </w:rPr>
        <w:t>3.11 </w:t>
      </w:r>
      <w:r>
        <w:rPr/>
        <w:t>抢险救援 emergency rescue</w:t>
      </w:r>
      <w:r>
        <w:rPr>
          <w:b/>
          <w:w w:val="99"/>
        </w:rPr>
        <w:t> </w:t>
      </w:r>
    </w:p>
    <w:p>
      <w:pPr>
        <w:pStyle w:val="BodyText"/>
        <w:spacing w:line="446" w:lineRule="auto"/>
        <w:ind w:left="418" w:right="1608" w:firstLine="419"/>
        <w:jc w:val="both"/>
      </w:pPr>
      <w:r>
        <w:rPr/>
        <w:t>以抢救人员生命为主的危险化学品泄漏、道路交通事故、地震及其次生灾害、建筑坍塌、重大安全生产事故、空难、爆炸及恐怖事件和群众遇险事件的救援工作，以及参与处置水旱灾害、气象灾害、地质灾害、森林、草原火灾等自然灾害，矿山、水上事故，重大环境污染、核与辐射事故和突发公共卫生事件的活动。 </w:t>
      </w:r>
    </w:p>
    <w:p>
      <w:pPr>
        <w:spacing w:before="0"/>
        <w:ind w:left="840" w:right="0" w:firstLine="0"/>
        <w:jc w:val="both"/>
        <w:rPr>
          <w:b/>
          <w:sz w:val="21"/>
        </w:rPr>
      </w:pPr>
      <w:r>
        <w:rPr>
          <w:b/>
          <w:sz w:val="21"/>
        </w:rPr>
        <w:t>3.12 </w:t>
      </w:r>
      <w:r>
        <w:rPr>
          <w:sz w:val="21"/>
        </w:rPr>
        <w:t>风险 risk</w:t>
      </w:r>
      <w:r>
        <w:rPr>
          <w:b/>
          <w:w w:val="99"/>
          <w:sz w:val="21"/>
        </w:rPr>
        <w:t> </w:t>
      </w:r>
    </w:p>
    <w:p>
      <w:pPr>
        <w:pStyle w:val="BodyText"/>
        <w:spacing w:before="10"/>
        <w:rPr>
          <w:b/>
          <w:sz w:val="17"/>
        </w:rPr>
      </w:pPr>
    </w:p>
    <w:p>
      <w:pPr>
        <w:pStyle w:val="BodyText"/>
        <w:spacing w:line="446" w:lineRule="auto"/>
        <w:ind w:left="840" w:right="5709" w:hanging="3"/>
      </w:pPr>
      <w:r>
        <w:rPr/>
        <w:t>特定危险情况发生的可能性和后果的组合。</w:t>
      </w:r>
      <w:r>
        <w:rPr>
          <w:b/>
        </w:rPr>
        <w:t>3.13 </w:t>
      </w:r>
      <w:r>
        <w:rPr/>
        <w:t>密闭空间 confined spaces </w:t>
      </w:r>
    </w:p>
    <w:p>
      <w:pPr>
        <w:pStyle w:val="BodyText"/>
        <w:spacing w:line="446" w:lineRule="auto"/>
        <w:ind w:left="418" w:right="1609" w:firstLine="419"/>
      </w:pPr>
      <w:r>
        <w:rPr>
          <w:spacing w:val="-3"/>
        </w:rPr>
        <w:t>与外界相对隔离，进出口受限，自然通风不良，足够容纳作业人员进入井从事非常规、非连续作业的有限空间</w:t>
      </w:r>
      <w:r>
        <w:rPr/>
        <w:t>（</w:t>
      </w:r>
      <w:r>
        <w:rPr>
          <w:spacing w:val="-3"/>
        </w:rPr>
        <w:t>如炉、塔、罐、槽车以及管道、烟道、下水道、沟、坑、井、池、涵 洞、船舱、地下仓库、储藏室、地窖、谷仓等</w:t>
      </w:r>
      <w:r>
        <w:rPr/>
        <w:t>）</w:t>
      </w:r>
      <w:r>
        <w:rPr>
          <w:spacing w:val="-3"/>
        </w:rPr>
        <w:t>。</w:t>
      </w:r>
      <w:r>
        <w:rPr/>
        <w:t> </w:t>
      </w:r>
    </w:p>
    <w:p>
      <w:pPr>
        <w:pStyle w:val="ListParagraph"/>
        <w:numPr>
          <w:ilvl w:val="1"/>
          <w:numId w:val="22"/>
        </w:numPr>
        <w:tabs>
          <w:tab w:pos="1264" w:val="left" w:leader="none"/>
        </w:tabs>
        <w:spacing w:line="268" w:lineRule="exact" w:before="0" w:after="0"/>
        <w:ind w:left="1263" w:right="0" w:hanging="424"/>
        <w:jc w:val="left"/>
        <w:rPr>
          <w:sz w:val="21"/>
        </w:rPr>
      </w:pPr>
      <w:r>
        <w:rPr>
          <w:spacing w:val="-3"/>
          <w:sz w:val="21"/>
        </w:rPr>
        <w:t>辅助用室 </w:t>
      </w:r>
      <w:r>
        <w:rPr>
          <w:sz w:val="21"/>
        </w:rPr>
        <w:t>auxiliary</w:t>
      </w:r>
      <w:r>
        <w:rPr>
          <w:spacing w:val="1"/>
          <w:sz w:val="21"/>
        </w:rPr>
        <w:t> </w:t>
      </w:r>
      <w:r>
        <w:rPr>
          <w:sz w:val="21"/>
        </w:rPr>
        <w:t>room </w:t>
      </w:r>
    </w:p>
    <w:p>
      <w:pPr>
        <w:pStyle w:val="BodyText"/>
        <w:rPr>
          <w:sz w:val="18"/>
        </w:rPr>
      </w:pPr>
    </w:p>
    <w:p>
      <w:pPr>
        <w:pStyle w:val="BodyText"/>
        <w:spacing w:line="446" w:lineRule="auto"/>
        <w:ind w:left="418" w:right="1609" w:firstLine="419"/>
      </w:pPr>
      <w:r>
        <w:rPr/>
        <w:t>消防组织为保障正常工作设置的办公室、备勤室、休息室、浴室、存衣室、盥洗室、洗衣房、值班室、食堂、厕所、医务室等。 </w:t>
      </w:r>
    </w:p>
    <w:p>
      <w:pPr>
        <w:pStyle w:val="ListParagraph"/>
        <w:numPr>
          <w:ilvl w:val="1"/>
          <w:numId w:val="22"/>
        </w:numPr>
        <w:tabs>
          <w:tab w:pos="1264" w:val="left" w:leader="none"/>
        </w:tabs>
        <w:spacing w:line="240" w:lineRule="auto" w:before="0" w:after="0"/>
        <w:ind w:left="1263" w:right="0" w:hanging="424"/>
        <w:jc w:val="left"/>
        <w:rPr>
          <w:sz w:val="21"/>
        </w:rPr>
      </w:pPr>
      <w:r>
        <w:rPr>
          <w:spacing w:val="-3"/>
          <w:sz w:val="21"/>
        </w:rPr>
        <w:t>健康促进 </w:t>
      </w:r>
      <w:r>
        <w:rPr>
          <w:sz w:val="21"/>
        </w:rPr>
        <w:t>health</w:t>
      </w:r>
      <w:r>
        <w:rPr>
          <w:spacing w:val="1"/>
          <w:sz w:val="21"/>
        </w:rPr>
        <w:t> </w:t>
      </w:r>
      <w:r>
        <w:rPr>
          <w:sz w:val="21"/>
        </w:rPr>
        <w:t>promotion </w:t>
      </w:r>
    </w:p>
    <w:p>
      <w:pPr>
        <w:pStyle w:val="BodyText"/>
        <w:rPr>
          <w:sz w:val="18"/>
        </w:rPr>
      </w:pPr>
    </w:p>
    <w:p>
      <w:pPr>
        <w:pStyle w:val="BodyText"/>
        <w:spacing w:line="446" w:lineRule="auto"/>
        <w:ind w:left="418" w:right="1609" w:firstLine="419"/>
      </w:pPr>
      <w:r>
        <w:rPr/>
        <w:t>识别工作环境中存在的和潜在的健康危害因素的预防性活动，促使并帮助消防员形成有益健康的实践和生活方式。 </w:t>
      </w:r>
    </w:p>
    <w:p>
      <w:pPr>
        <w:pStyle w:val="ListParagraph"/>
        <w:numPr>
          <w:ilvl w:val="1"/>
          <w:numId w:val="22"/>
        </w:numPr>
        <w:tabs>
          <w:tab w:pos="1266" w:val="left" w:leader="none"/>
        </w:tabs>
        <w:spacing w:line="240" w:lineRule="auto" w:before="0" w:after="0"/>
        <w:ind w:left="1265" w:right="0" w:hanging="426"/>
        <w:jc w:val="left"/>
        <w:rPr>
          <w:sz w:val="21"/>
        </w:rPr>
      </w:pPr>
      <w:r>
        <w:rPr>
          <w:spacing w:val="-3"/>
          <w:sz w:val="21"/>
        </w:rPr>
        <w:t>职业健康档案 </w:t>
      </w:r>
      <w:r>
        <w:rPr>
          <w:sz w:val="21"/>
        </w:rPr>
        <w:t>occupational</w:t>
      </w:r>
      <w:r>
        <w:rPr>
          <w:spacing w:val="1"/>
          <w:sz w:val="21"/>
        </w:rPr>
        <w:t> </w:t>
      </w:r>
      <w:r>
        <w:rPr>
          <w:sz w:val="21"/>
        </w:rPr>
        <w:t>health records </w:t>
      </w:r>
    </w:p>
    <w:p>
      <w:pPr>
        <w:pStyle w:val="BodyText"/>
        <w:spacing w:before="12"/>
        <w:rPr>
          <w:sz w:val="17"/>
        </w:rPr>
      </w:pPr>
    </w:p>
    <w:p>
      <w:pPr>
        <w:pStyle w:val="BodyText"/>
        <w:spacing w:line="446" w:lineRule="auto"/>
        <w:ind w:left="418" w:right="1608" w:firstLine="419"/>
      </w:pPr>
      <w:r>
        <w:rPr/>
        <w:t>为保护消防员职业健康所开展的一切活动中形成的，能够准确、完整反映职业健康工作全过程的文字、资料、图纸、照片、报表、录音带、录像、影片、计算机数据等材料。 </w:t>
      </w:r>
    </w:p>
    <w:p>
      <w:pPr>
        <w:pStyle w:val="ListParagraph"/>
        <w:numPr>
          <w:ilvl w:val="1"/>
          <w:numId w:val="22"/>
        </w:numPr>
        <w:tabs>
          <w:tab w:pos="1266" w:val="left" w:leader="none"/>
        </w:tabs>
        <w:spacing w:line="240" w:lineRule="auto" w:before="0" w:after="0"/>
        <w:ind w:left="1265" w:right="0" w:hanging="426"/>
        <w:jc w:val="left"/>
        <w:rPr>
          <w:sz w:val="21"/>
        </w:rPr>
      </w:pPr>
      <w:r>
        <w:rPr>
          <w:spacing w:val="-3"/>
          <w:sz w:val="21"/>
        </w:rPr>
        <w:t>体重指数 </w:t>
      </w:r>
      <w:r>
        <w:rPr>
          <w:sz w:val="21"/>
        </w:rPr>
        <w:t>body</w:t>
      </w:r>
      <w:r>
        <w:rPr>
          <w:spacing w:val="-2"/>
          <w:sz w:val="21"/>
        </w:rPr>
        <w:t> </w:t>
      </w:r>
      <w:r>
        <w:rPr>
          <w:sz w:val="21"/>
        </w:rPr>
        <w:t>mass index, BMI </w:t>
      </w:r>
    </w:p>
    <w:p>
      <w:pPr>
        <w:pStyle w:val="BodyText"/>
        <w:spacing w:before="2"/>
        <w:rPr>
          <w:sz w:val="17"/>
        </w:rPr>
      </w:pPr>
    </w:p>
    <w:p>
      <w:pPr>
        <w:pStyle w:val="BodyText"/>
        <w:spacing w:before="1"/>
        <w:ind w:left="838"/>
      </w:pPr>
      <w:r>
        <w:rPr/>
        <w:t>世界卫生组织推荐的国际统一使用的肥胖分型标准，BMI=体重(kg)/身高 </w:t>
      </w:r>
      <w:r>
        <w:rPr>
          <w:position w:val="11"/>
          <w:sz w:val="11"/>
        </w:rPr>
        <w:t>2</w:t>
      </w:r>
      <w:r>
        <w:rPr>
          <w:sz w:val="11"/>
        </w:rPr>
        <w:t> </w:t>
      </w:r>
      <w:r>
        <w:rPr/>
        <w:t>(m</w:t>
      </w:r>
      <w:r>
        <w:rPr>
          <w:position w:val="11"/>
          <w:sz w:val="11"/>
        </w:rPr>
        <w:t>2</w:t>
      </w:r>
      <w:r>
        <w:rPr/>
        <w:t>)。 </w:t>
      </w:r>
    </w:p>
    <w:p>
      <w:pPr>
        <w:pStyle w:val="Heading4"/>
        <w:spacing w:before="200"/>
        <w:ind w:left="0" w:right="8001"/>
        <w:jc w:val="center"/>
      </w:pPr>
      <w:r>
        <w:rPr/>
        <w:t>4 职业健康条件</w:t>
      </w:r>
      <w:r>
        <w:rPr>
          <w:w w:val="99"/>
        </w:rPr>
        <w:t> </w:t>
      </w:r>
    </w:p>
    <w:p>
      <w:pPr>
        <w:pStyle w:val="BodyText"/>
        <w:spacing w:before="6"/>
        <w:rPr>
          <w:b/>
          <w:sz w:val="17"/>
        </w:rPr>
      </w:pPr>
    </w:p>
    <w:p>
      <w:pPr>
        <w:spacing w:before="0"/>
        <w:ind w:left="0" w:right="7910" w:firstLine="0"/>
        <w:jc w:val="center"/>
        <w:rPr>
          <w:sz w:val="21"/>
        </w:rPr>
      </w:pPr>
      <w:r>
        <w:rPr>
          <w:b/>
          <w:sz w:val="21"/>
        </w:rPr>
        <w:t>4.1 </w:t>
      </w:r>
      <w:r>
        <w:rPr>
          <w:sz w:val="21"/>
        </w:rPr>
        <w:t>体 格 </w:t>
      </w:r>
    </w:p>
    <w:p>
      <w:pPr>
        <w:spacing w:after="0"/>
        <w:jc w:val="center"/>
        <w:rPr>
          <w:sz w:val="21"/>
        </w:rPr>
        <w:sectPr>
          <w:pgSz w:w="11910" w:h="16850"/>
          <w:pgMar w:header="0" w:footer="1239" w:top="1220" w:bottom="1420" w:left="1260" w:right="0"/>
        </w:sectPr>
      </w:pPr>
    </w:p>
    <w:p>
      <w:pPr>
        <w:pStyle w:val="BodyText"/>
        <w:spacing w:line="446" w:lineRule="auto" w:before="47"/>
        <w:ind w:left="840" w:right="3606" w:hanging="3"/>
      </w:pPr>
      <w:r>
        <w:rPr/>
        <w:t>申请加入消防组织的人员在加入消防组织前首先应进行体格检查。</w:t>
      </w:r>
      <w:r>
        <w:rPr>
          <w:b/>
        </w:rPr>
        <w:t>4.1.1 </w:t>
      </w:r>
      <w:r>
        <w:rPr/>
        <w:t>消防员体格检查应符合下列标准： </w:t>
      </w:r>
    </w:p>
    <w:p>
      <w:pPr>
        <w:pStyle w:val="BodyText"/>
        <w:spacing w:line="267" w:lineRule="exact"/>
        <w:ind w:left="838"/>
      </w:pPr>
      <w:r>
        <w:rPr/>
        <w:t>4.1.1.1 外科   </w:t>
      </w:r>
      <w:r>
        <w:rPr>
          <w:w w:val="100"/>
        </w:rPr>
        <w:t>  </w:t>
      </w:r>
      <w:r>
        <w:rPr/>
        <w:t> </w:t>
      </w:r>
      <w:r>
        <w:rPr>
          <w:w w:val="100"/>
        </w:rPr>
        <w:t> </w:t>
      </w:r>
    </w:p>
    <w:p>
      <w:pPr>
        <w:pStyle w:val="BodyText"/>
        <w:spacing w:before="2"/>
        <w:rPr>
          <w:sz w:val="18"/>
        </w:rPr>
      </w:pPr>
    </w:p>
    <w:p>
      <w:pPr>
        <w:pStyle w:val="ListParagraph"/>
        <w:numPr>
          <w:ilvl w:val="0"/>
          <w:numId w:val="23"/>
        </w:numPr>
        <w:tabs>
          <w:tab w:pos="1051" w:val="left" w:leader="none"/>
        </w:tabs>
        <w:spacing w:line="240" w:lineRule="auto" w:before="0" w:after="0"/>
        <w:ind w:left="1050" w:right="0" w:hanging="213"/>
        <w:jc w:val="left"/>
        <w:rPr>
          <w:sz w:val="21"/>
        </w:rPr>
      </w:pPr>
      <w:r>
        <w:rPr>
          <w:spacing w:val="-12"/>
          <w:sz w:val="21"/>
        </w:rPr>
        <w:t>身高：男性 </w:t>
      </w:r>
      <w:r>
        <w:rPr>
          <w:sz w:val="21"/>
        </w:rPr>
        <w:t>162cm</w:t>
      </w:r>
      <w:r>
        <w:rPr>
          <w:spacing w:val="-17"/>
          <w:sz w:val="21"/>
        </w:rPr>
        <w:t> 以上，女性 </w:t>
      </w:r>
      <w:r>
        <w:rPr>
          <w:sz w:val="21"/>
        </w:rPr>
        <w:t>160cm</w:t>
      </w:r>
      <w:r>
        <w:rPr>
          <w:spacing w:val="-16"/>
          <w:sz w:val="21"/>
        </w:rPr>
        <w:t> 以上；</w:t>
      </w:r>
      <w:r>
        <w:rPr>
          <w:sz w:val="21"/>
        </w:rPr>
        <w:t> </w:t>
      </w:r>
    </w:p>
    <w:p>
      <w:pPr>
        <w:pStyle w:val="BodyText"/>
        <w:rPr>
          <w:sz w:val="18"/>
        </w:rPr>
      </w:pPr>
    </w:p>
    <w:p>
      <w:pPr>
        <w:pStyle w:val="ListParagraph"/>
        <w:numPr>
          <w:ilvl w:val="0"/>
          <w:numId w:val="23"/>
        </w:numPr>
        <w:tabs>
          <w:tab w:pos="1051" w:val="left" w:leader="none"/>
        </w:tabs>
        <w:spacing w:line="240" w:lineRule="auto" w:before="0" w:after="0"/>
        <w:ind w:left="1050" w:right="0" w:hanging="213"/>
        <w:jc w:val="left"/>
        <w:rPr>
          <w:sz w:val="21"/>
        </w:rPr>
      </w:pPr>
      <w:r>
        <w:rPr>
          <w:spacing w:val="-7"/>
          <w:sz w:val="21"/>
        </w:rPr>
        <w:t>体重：男性不超过标准体重的 </w:t>
      </w:r>
      <w:r>
        <w:rPr>
          <w:sz w:val="21"/>
        </w:rPr>
        <w:t>20</w:t>
      </w:r>
      <w:r>
        <w:rPr>
          <w:spacing w:val="-8"/>
          <w:sz w:val="21"/>
        </w:rPr>
        <w:t>%，不低于标准体重的 </w:t>
      </w:r>
      <w:r>
        <w:rPr>
          <w:sz w:val="21"/>
        </w:rPr>
        <w:t>10%， </w:t>
      </w:r>
    </w:p>
    <w:p>
      <w:pPr>
        <w:pStyle w:val="BodyText"/>
        <w:spacing w:before="12"/>
        <w:rPr>
          <w:sz w:val="17"/>
        </w:rPr>
      </w:pPr>
    </w:p>
    <w:p>
      <w:pPr>
        <w:pStyle w:val="BodyText"/>
        <w:spacing w:line="446" w:lineRule="auto"/>
        <w:ind w:left="838" w:right="1407"/>
      </w:pPr>
      <w:r>
        <w:rPr/>
        <w:t>女性不超过标准体重的 15%，不低于标准体重的 15%，标准体重（kg）=身高（cm）－110。4.1.1.2 内科 </w:t>
      </w:r>
    </w:p>
    <w:p>
      <w:pPr>
        <w:pStyle w:val="ListParagraph"/>
        <w:numPr>
          <w:ilvl w:val="0"/>
          <w:numId w:val="24"/>
        </w:numPr>
        <w:tabs>
          <w:tab w:pos="1051" w:val="left" w:leader="none"/>
        </w:tabs>
        <w:spacing w:line="240" w:lineRule="auto" w:before="1" w:after="0"/>
        <w:ind w:left="1050" w:right="0" w:hanging="213"/>
        <w:jc w:val="left"/>
        <w:rPr>
          <w:sz w:val="21"/>
        </w:rPr>
      </w:pPr>
      <w:r>
        <w:rPr>
          <w:spacing w:val="-3"/>
          <w:sz w:val="21"/>
        </w:rPr>
        <w:t>血压 收缩压：</w:t>
      </w:r>
      <w:r>
        <w:rPr>
          <w:sz w:val="21"/>
        </w:rPr>
        <w:t>90～130mmHg</w:t>
      </w:r>
      <w:r>
        <w:rPr>
          <w:spacing w:val="-3"/>
          <w:sz w:val="21"/>
        </w:rPr>
        <w:t>，舒张压：</w:t>
      </w:r>
      <w:r>
        <w:rPr>
          <w:sz w:val="21"/>
        </w:rPr>
        <w:t>60～80mmHg； </w:t>
      </w:r>
    </w:p>
    <w:p>
      <w:pPr>
        <w:pStyle w:val="BodyText"/>
        <w:spacing w:before="12"/>
        <w:rPr>
          <w:sz w:val="17"/>
        </w:rPr>
      </w:pPr>
    </w:p>
    <w:p>
      <w:pPr>
        <w:pStyle w:val="ListParagraph"/>
        <w:numPr>
          <w:ilvl w:val="0"/>
          <w:numId w:val="24"/>
        </w:numPr>
        <w:tabs>
          <w:tab w:pos="1051" w:val="left" w:leader="none"/>
        </w:tabs>
        <w:spacing w:line="240" w:lineRule="auto" w:before="0" w:after="0"/>
        <w:ind w:left="1050" w:right="0" w:hanging="213"/>
        <w:jc w:val="left"/>
        <w:rPr>
          <w:sz w:val="21"/>
        </w:rPr>
      </w:pPr>
      <w:r>
        <w:rPr>
          <w:spacing w:val="-8"/>
          <w:sz w:val="21"/>
        </w:rPr>
        <w:t>心率：安静状态下每分钟 </w:t>
      </w:r>
      <w:r>
        <w:rPr>
          <w:sz w:val="21"/>
        </w:rPr>
        <w:t>60</w:t>
      </w:r>
      <w:r>
        <w:rPr>
          <w:spacing w:val="-28"/>
          <w:sz w:val="21"/>
        </w:rPr>
        <w:t> 次至 </w:t>
      </w:r>
      <w:r>
        <w:rPr>
          <w:sz w:val="21"/>
        </w:rPr>
        <w:t>100</w:t>
      </w:r>
      <w:r>
        <w:rPr>
          <w:spacing w:val="-14"/>
          <w:sz w:val="21"/>
        </w:rPr>
        <w:t> 次之间或每分钟 </w:t>
      </w:r>
      <w:r>
        <w:rPr>
          <w:sz w:val="21"/>
        </w:rPr>
        <w:t>50</w:t>
      </w:r>
      <w:r>
        <w:rPr>
          <w:spacing w:val="-27"/>
          <w:sz w:val="21"/>
        </w:rPr>
        <w:t> 次至 </w:t>
      </w:r>
      <w:r>
        <w:rPr>
          <w:sz w:val="21"/>
        </w:rPr>
        <w:t>59</w:t>
      </w:r>
      <w:r>
        <w:rPr>
          <w:spacing w:val="-8"/>
          <w:sz w:val="21"/>
        </w:rPr>
        <w:t> 次之间的窦性心律；</w:t>
      </w:r>
      <w:r>
        <w:rPr>
          <w:sz w:val="21"/>
        </w:rPr>
        <w:t> </w:t>
      </w:r>
    </w:p>
    <w:p>
      <w:pPr>
        <w:pStyle w:val="BodyText"/>
        <w:spacing w:before="2"/>
        <w:rPr>
          <w:sz w:val="18"/>
        </w:rPr>
      </w:pPr>
    </w:p>
    <w:p>
      <w:pPr>
        <w:pStyle w:val="ListParagraph"/>
        <w:numPr>
          <w:ilvl w:val="0"/>
          <w:numId w:val="24"/>
        </w:numPr>
        <w:tabs>
          <w:tab w:pos="1051" w:val="left" w:leader="none"/>
        </w:tabs>
        <w:spacing w:line="240" w:lineRule="auto" w:before="0" w:after="0"/>
        <w:ind w:left="1050" w:right="0" w:hanging="213"/>
        <w:jc w:val="left"/>
        <w:rPr>
          <w:sz w:val="21"/>
        </w:rPr>
      </w:pPr>
      <w:r>
        <w:rPr>
          <w:spacing w:val="-3"/>
          <w:sz w:val="21"/>
        </w:rPr>
        <w:t>呼吸、循环、消化、造血、内分泌、免疫系统以及皮肤黏膜毛发等正常； </w:t>
      </w:r>
    </w:p>
    <w:p>
      <w:pPr>
        <w:pStyle w:val="BodyText"/>
        <w:spacing w:before="12"/>
        <w:rPr>
          <w:sz w:val="17"/>
        </w:rPr>
      </w:pPr>
    </w:p>
    <w:p>
      <w:pPr>
        <w:pStyle w:val="ListParagraph"/>
        <w:numPr>
          <w:ilvl w:val="0"/>
          <w:numId w:val="24"/>
        </w:numPr>
        <w:tabs>
          <w:tab w:pos="1051" w:val="left" w:leader="none"/>
        </w:tabs>
        <w:spacing w:line="240" w:lineRule="auto" w:before="0" w:after="0"/>
        <w:ind w:left="1050" w:right="0" w:hanging="213"/>
        <w:jc w:val="left"/>
        <w:rPr>
          <w:sz w:val="21"/>
        </w:rPr>
      </w:pPr>
      <w:r>
        <w:rPr>
          <w:spacing w:val="-3"/>
          <w:sz w:val="21"/>
        </w:rPr>
        <w:t>中枢神经系统及周围神经系统正常；</w:t>
      </w:r>
      <w:r>
        <w:rPr>
          <w:sz w:val="21"/>
        </w:rPr>
        <w:t> </w:t>
      </w:r>
    </w:p>
    <w:p>
      <w:pPr>
        <w:pStyle w:val="BodyText"/>
        <w:spacing w:before="12"/>
        <w:rPr>
          <w:sz w:val="17"/>
        </w:rPr>
      </w:pPr>
    </w:p>
    <w:p>
      <w:pPr>
        <w:pStyle w:val="ListParagraph"/>
        <w:numPr>
          <w:ilvl w:val="0"/>
          <w:numId w:val="24"/>
        </w:numPr>
        <w:tabs>
          <w:tab w:pos="1051" w:val="left" w:leader="none"/>
        </w:tabs>
        <w:spacing w:line="446" w:lineRule="auto" w:before="0" w:after="0"/>
        <w:ind w:left="838" w:right="6549" w:firstLine="0"/>
        <w:jc w:val="left"/>
        <w:rPr>
          <w:sz w:val="21"/>
        </w:rPr>
      </w:pPr>
      <w:r>
        <w:rPr>
          <w:spacing w:val="-3"/>
          <w:sz w:val="21"/>
        </w:rPr>
        <w:t>无代谢疾病及结缔组织疾病。</w:t>
      </w:r>
      <w:r>
        <w:rPr>
          <w:sz w:val="21"/>
        </w:rPr>
        <w:t>4.1.1.3</w:t>
      </w:r>
      <w:r>
        <w:rPr>
          <w:spacing w:val="-3"/>
          <w:sz w:val="21"/>
        </w:rPr>
        <w:t> 耳、鼻、咽喉科</w:t>
      </w:r>
      <w:r>
        <w:rPr>
          <w:sz w:val="21"/>
        </w:rPr>
        <w:t> </w:t>
      </w:r>
    </w:p>
    <w:p>
      <w:pPr>
        <w:pStyle w:val="ListParagraph"/>
        <w:numPr>
          <w:ilvl w:val="0"/>
          <w:numId w:val="25"/>
        </w:numPr>
        <w:tabs>
          <w:tab w:pos="1051" w:val="left" w:leader="none"/>
        </w:tabs>
        <w:spacing w:line="446" w:lineRule="auto" w:before="1" w:after="0"/>
        <w:ind w:left="418" w:right="1558" w:firstLine="419"/>
        <w:jc w:val="left"/>
        <w:rPr>
          <w:sz w:val="21"/>
        </w:rPr>
      </w:pPr>
      <w:r>
        <w:rPr>
          <w:spacing w:val="-4"/>
          <w:sz w:val="21"/>
        </w:rPr>
        <w:t>听觉：纯音听力检查正常，双耳高频平均听阈小于 </w:t>
      </w:r>
      <w:r>
        <w:rPr>
          <w:sz w:val="21"/>
        </w:rPr>
        <w:t>40dB(HL</w:t>
      </w:r>
      <w:r>
        <w:rPr>
          <w:spacing w:val="-3"/>
          <w:sz w:val="21"/>
        </w:rPr>
        <w:t>)，双耳语频平均听阈均小于25dB(HL)； </w:t>
      </w:r>
    </w:p>
    <w:p>
      <w:pPr>
        <w:pStyle w:val="ListParagraph"/>
        <w:numPr>
          <w:ilvl w:val="0"/>
          <w:numId w:val="25"/>
        </w:numPr>
        <w:tabs>
          <w:tab w:pos="1051" w:val="left" w:leader="none"/>
        </w:tabs>
        <w:spacing w:line="446" w:lineRule="auto" w:before="0" w:after="0"/>
        <w:ind w:left="838" w:right="5077" w:firstLine="0"/>
        <w:jc w:val="left"/>
        <w:rPr>
          <w:sz w:val="21"/>
        </w:rPr>
      </w:pPr>
      <w:r>
        <w:rPr>
          <w:spacing w:val="-3"/>
          <w:sz w:val="21"/>
        </w:rPr>
        <w:t>嗅觉：嗅觉正常，能觉察燃烧物和异常气味。</w:t>
      </w:r>
      <w:r>
        <w:rPr>
          <w:sz w:val="21"/>
        </w:rPr>
        <w:t>4.1.1.4</w:t>
      </w:r>
      <w:r>
        <w:rPr>
          <w:spacing w:val="-3"/>
          <w:sz w:val="21"/>
        </w:rPr>
        <w:t> 眼科</w:t>
      </w:r>
      <w:r>
        <w:rPr>
          <w:sz w:val="21"/>
        </w:rPr>
        <w:t> </w:t>
      </w:r>
    </w:p>
    <w:p>
      <w:pPr>
        <w:pStyle w:val="ListParagraph"/>
        <w:numPr>
          <w:ilvl w:val="0"/>
          <w:numId w:val="26"/>
        </w:numPr>
        <w:tabs>
          <w:tab w:pos="1051" w:val="left" w:leader="none"/>
        </w:tabs>
        <w:spacing w:line="446" w:lineRule="auto" w:before="0" w:after="0"/>
        <w:ind w:left="418" w:right="1450" w:firstLine="419"/>
        <w:jc w:val="left"/>
        <w:rPr>
          <w:sz w:val="21"/>
        </w:rPr>
      </w:pPr>
      <w:r>
        <w:rPr>
          <w:spacing w:val="-7"/>
          <w:sz w:val="21"/>
        </w:rPr>
        <w:t>视力：双侧裸眼视力均不低于 </w:t>
      </w:r>
      <w:r>
        <w:rPr>
          <w:sz w:val="21"/>
        </w:rPr>
        <w:t>4.8</w:t>
      </w:r>
      <w:r>
        <w:rPr>
          <w:spacing w:val="-3"/>
          <w:sz w:val="21"/>
        </w:rPr>
        <w:t>，大专以上文化程度可放宽到较差眼裸眼视力不低于4.6； </w:t>
      </w:r>
    </w:p>
    <w:p>
      <w:pPr>
        <w:pStyle w:val="ListParagraph"/>
        <w:numPr>
          <w:ilvl w:val="0"/>
          <w:numId w:val="26"/>
        </w:numPr>
        <w:tabs>
          <w:tab w:pos="1051" w:val="left" w:leader="none"/>
        </w:tabs>
        <w:spacing w:line="240" w:lineRule="auto" w:before="0" w:after="0"/>
        <w:ind w:left="1050" w:right="0" w:hanging="213"/>
        <w:jc w:val="left"/>
        <w:rPr>
          <w:sz w:val="21"/>
        </w:rPr>
      </w:pPr>
      <w:r>
        <w:rPr>
          <w:spacing w:val="-3"/>
          <w:sz w:val="21"/>
        </w:rPr>
        <w:t>色觉：辨色力正常；</w:t>
      </w:r>
      <w:r>
        <w:rPr>
          <w:sz w:val="21"/>
        </w:rPr>
        <w:t> </w:t>
      </w:r>
    </w:p>
    <w:p>
      <w:pPr>
        <w:pStyle w:val="BodyText"/>
        <w:spacing w:before="10"/>
        <w:rPr>
          <w:sz w:val="17"/>
        </w:rPr>
      </w:pPr>
    </w:p>
    <w:p>
      <w:pPr>
        <w:pStyle w:val="ListParagraph"/>
        <w:numPr>
          <w:ilvl w:val="0"/>
          <w:numId w:val="26"/>
        </w:numPr>
        <w:tabs>
          <w:tab w:pos="1051" w:val="left" w:leader="none"/>
        </w:tabs>
        <w:spacing w:line="446" w:lineRule="auto" w:before="0" w:after="0"/>
        <w:ind w:left="838" w:right="6390" w:firstLine="0"/>
        <w:jc w:val="left"/>
        <w:rPr>
          <w:sz w:val="21"/>
        </w:rPr>
      </w:pPr>
      <w:r>
        <w:rPr>
          <w:spacing w:val="-9"/>
          <w:sz w:val="21"/>
        </w:rPr>
        <w:t>视野：周围视野 </w:t>
      </w:r>
      <w:r>
        <w:rPr>
          <w:sz w:val="21"/>
        </w:rPr>
        <w:t>120</w:t>
      </w:r>
      <w:r>
        <w:rPr>
          <w:spacing w:val="-2"/>
          <w:sz w:val="21"/>
        </w:rPr>
        <w:t>°或更大。</w:t>
      </w:r>
      <w:r>
        <w:rPr>
          <w:sz w:val="21"/>
        </w:rPr>
        <w:t>4.1.1.5</w:t>
      </w:r>
      <w:r>
        <w:rPr>
          <w:spacing w:val="-3"/>
          <w:sz w:val="21"/>
        </w:rPr>
        <w:t> 其他专项检查</w:t>
      </w:r>
      <w:r>
        <w:rPr>
          <w:sz w:val="21"/>
        </w:rPr>
        <w:t> </w:t>
      </w:r>
    </w:p>
    <w:p>
      <w:pPr>
        <w:pStyle w:val="ListParagraph"/>
        <w:numPr>
          <w:ilvl w:val="0"/>
          <w:numId w:val="27"/>
        </w:numPr>
        <w:tabs>
          <w:tab w:pos="1051" w:val="left" w:leader="none"/>
        </w:tabs>
        <w:spacing w:line="240" w:lineRule="auto" w:before="0" w:after="0"/>
        <w:ind w:left="1050" w:right="0" w:hanging="213"/>
        <w:jc w:val="left"/>
        <w:rPr>
          <w:sz w:val="21"/>
        </w:rPr>
      </w:pPr>
      <w:r>
        <w:rPr>
          <w:spacing w:val="-3"/>
          <w:sz w:val="21"/>
        </w:rPr>
        <w:t>头颈部及人体外形适于穿着和有效使用个人防护装备；</w:t>
      </w:r>
      <w:r>
        <w:rPr>
          <w:sz w:val="21"/>
        </w:rPr>
        <w:t> </w:t>
      </w:r>
    </w:p>
    <w:p>
      <w:pPr>
        <w:pStyle w:val="BodyText"/>
        <w:spacing w:before="12"/>
        <w:rPr>
          <w:sz w:val="17"/>
        </w:rPr>
      </w:pPr>
    </w:p>
    <w:p>
      <w:pPr>
        <w:pStyle w:val="ListParagraph"/>
        <w:numPr>
          <w:ilvl w:val="0"/>
          <w:numId w:val="27"/>
        </w:numPr>
        <w:tabs>
          <w:tab w:pos="1051" w:val="left" w:leader="none"/>
        </w:tabs>
        <w:spacing w:line="240" w:lineRule="auto" w:before="0" w:after="0"/>
        <w:ind w:left="1050" w:right="0" w:hanging="213"/>
        <w:jc w:val="left"/>
        <w:rPr>
          <w:sz w:val="21"/>
        </w:rPr>
      </w:pPr>
      <w:r>
        <w:rPr>
          <w:spacing w:val="-3"/>
          <w:sz w:val="21"/>
        </w:rPr>
        <w:t>呼吸面罩吻合试验合格。</w:t>
      </w:r>
      <w:r>
        <w:rPr>
          <w:sz w:val="21"/>
        </w:rPr>
        <w:t> </w:t>
      </w:r>
    </w:p>
    <w:p>
      <w:pPr>
        <w:pStyle w:val="BodyText"/>
        <w:spacing w:before="2"/>
        <w:rPr>
          <w:sz w:val="18"/>
        </w:rPr>
      </w:pPr>
    </w:p>
    <w:p>
      <w:pPr>
        <w:pStyle w:val="ListParagraph"/>
        <w:numPr>
          <w:ilvl w:val="2"/>
          <w:numId w:val="28"/>
        </w:numPr>
        <w:tabs>
          <w:tab w:pos="1370" w:val="left" w:leader="none"/>
        </w:tabs>
        <w:spacing w:line="240" w:lineRule="auto" w:before="0" w:after="0"/>
        <w:ind w:left="1369" w:right="0" w:hanging="530"/>
        <w:jc w:val="left"/>
        <w:rPr>
          <w:b/>
          <w:sz w:val="21"/>
        </w:rPr>
      </w:pPr>
      <w:r>
        <w:rPr>
          <w:spacing w:val="-3"/>
          <w:sz w:val="21"/>
        </w:rPr>
        <w:t>有下列情况之一者，不应从事消防员工作。</w:t>
      </w:r>
      <w:r>
        <w:rPr>
          <w:b/>
          <w:w w:val="99"/>
          <w:sz w:val="21"/>
        </w:rPr>
        <w:t> </w:t>
      </w:r>
    </w:p>
    <w:p>
      <w:pPr>
        <w:pStyle w:val="BodyText"/>
        <w:rPr>
          <w:b/>
          <w:sz w:val="18"/>
        </w:rPr>
      </w:pPr>
    </w:p>
    <w:p>
      <w:pPr>
        <w:pStyle w:val="ListParagraph"/>
        <w:numPr>
          <w:ilvl w:val="3"/>
          <w:numId w:val="28"/>
        </w:numPr>
        <w:tabs>
          <w:tab w:pos="1576" w:val="left" w:leader="none"/>
        </w:tabs>
        <w:spacing w:line="240" w:lineRule="auto" w:before="0" w:after="0"/>
        <w:ind w:left="1575" w:right="0" w:hanging="738"/>
        <w:jc w:val="left"/>
        <w:rPr>
          <w:sz w:val="21"/>
        </w:rPr>
      </w:pPr>
      <w:r>
        <w:rPr>
          <w:spacing w:val="-3"/>
          <w:sz w:val="21"/>
        </w:rPr>
        <w:t>外科</w:t>
      </w:r>
      <w:r>
        <w:rPr>
          <w:sz w:val="21"/>
        </w:rPr>
        <w:t> </w:t>
      </w:r>
    </w:p>
    <w:p>
      <w:pPr>
        <w:pStyle w:val="BodyText"/>
        <w:spacing w:before="12"/>
        <w:rPr>
          <w:sz w:val="17"/>
        </w:rPr>
      </w:pPr>
    </w:p>
    <w:p>
      <w:pPr>
        <w:pStyle w:val="ListParagraph"/>
        <w:numPr>
          <w:ilvl w:val="0"/>
          <w:numId w:val="29"/>
        </w:numPr>
        <w:tabs>
          <w:tab w:pos="1051" w:val="left" w:leader="none"/>
        </w:tabs>
        <w:spacing w:line="446" w:lineRule="auto" w:before="0" w:after="0"/>
        <w:ind w:left="418" w:right="1609" w:firstLine="419"/>
        <w:jc w:val="left"/>
        <w:rPr>
          <w:sz w:val="21"/>
        </w:rPr>
      </w:pPr>
      <w:r>
        <w:rPr>
          <w:spacing w:val="-3"/>
          <w:sz w:val="21"/>
        </w:rPr>
        <w:t>外伤所致的颅骨缺损、骨折、凹陷等，颅脑外伤后遗症，颅骨或面部畸形，颅脑手术史；</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29"/>
        </w:numPr>
        <w:tabs>
          <w:tab w:pos="1051" w:val="left" w:leader="none"/>
        </w:tabs>
        <w:spacing w:line="446" w:lineRule="auto" w:before="47" w:after="0"/>
        <w:ind w:left="418" w:right="1609" w:firstLine="419"/>
        <w:jc w:val="left"/>
        <w:rPr>
          <w:sz w:val="21"/>
        </w:rPr>
      </w:pPr>
      <w:r>
        <w:rPr>
          <w:spacing w:val="-3"/>
          <w:sz w:val="21"/>
        </w:rPr>
        <w:t>颈强直，不能自行矫正的斜颈（可自行矫正的轻度脊柱侧弯、驼背除外</w:t>
      </w:r>
      <w:r>
        <w:rPr>
          <w:sz w:val="21"/>
        </w:rPr>
        <w:t>），</w:t>
      </w:r>
      <w:r>
        <w:rPr>
          <w:spacing w:val="-3"/>
          <w:sz w:val="21"/>
        </w:rPr>
        <w:t>三度单纯性甲状腺肿，结核性淋巴结炎；</w:t>
      </w:r>
      <w:r>
        <w:rPr>
          <w:sz w:val="21"/>
        </w:rPr>
        <w:t> </w:t>
      </w:r>
    </w:p>
    <w:p>
      <w:pPr>
        <w:pStyle w:val="ListParagraph"/>
        <w:numPr>
          <w:ilvl w:val="0"/>
          <w:numId w:val="29"/>
        </w:numPr>
        <w:tabs>
          <w:tab w:pos="1051" w:val="left" w:leader="none"/>
        </w:tabs>
        <w:spacing w:line="446" w:lineRule="auto" w:before="0" w:after="0"/>
        <w:ind w:left="418" w:right="1505" w:firstLine="419"/>
        <w:jc w:val="left"/>
        <w:rPr>
          <w:sz w:val="21"/>
        </w:rPr>
      </w:pPr>
      <w:r>
        <w:rPr>
          <w:spacing w:val="-3"/>
          <w:sz w:val="21"/>
        </w:rPr>
        <w:t>骨、关节、滑囊、腱鞘疾病或损伤及其后遗症（单纯性骨折，治愈一年后，复位良好， 无功能障碍及后遗症除外</w:t>
      </w:r>
      <w:r>
        <w:rPr>
          <w:sz w:val="21"/>
        </w:rPr>
        <w:t>），</w:t>
      </w:r>
      <w:r>
        <w:rPr>
          <w:spacing w:val="-3"/>
          <w:sz w:val="21"/>
        </w:rPr>
        <w:t>骨、关节畸形（大骨节病仅指【趾】关节粗大，无自觉症状，无功能障碍除外</w:t>
      </w:r>
      <w:r>
        <w:rPr>
          <w:sz w:val="21"/>
        </w:rPr>
        <w:t>）</w:t>
      </w:r>
      <w:r>
        <w:rPr>
          <w:spacing w:val="-3"/>
          <w:sz w:val="21"/>
        </w:rPr>
        <w:t>，习惯性脱臼，脊柱慢性疾病，慢性腰腿痛；</w:t>
      </w:r>
      <w:r>
        <w:rPr>
          <w:sz w:val="21"/>
        </w:rPr>
        <w:t> </w:t>
      </w:r>
    </w:p>
    <w:p>
      <w:pPr>
        <w:pStyle w:val="ListParagraph"/>
        <w:numPr>
          <w:ilvl w:val="0"/>
          <w:numId w:val="29"/>
        </w:numPr>
        <w:tabs>
          <w:tab w:pos="1051" w:val="left" w:leader="none"/>
        </w:tabs>
        <w:spacing w:line="446" w:lineRule="auto" w:before="0" w:after="0"/>
        <w:ind w:left="418" w:right="1510" w:firstLine="419"/>
        <w:jc w:val="left"/>
        <w:rPr>
          <w:sz w:val="21"/>
        </w:rPr>
      </w:pPr>
      <w:r>
        <w:rPr>
          <w:spacing w:val="-7"/>
          <w:sz w:val="21"/>
        </w:rPr>
        <w:t>两下肢不等长超过 </w:t>
      </w:r>
      <w:r>
        <w:rPr>
          <w:sz w:val="21"/>
        </w:rPr>
        <w:t>2cm，</w:t>
      </w:r>
      <w:r>
        <w:rPr>
          <w:spacing w:val="-5"/>
          <w:sz w:val="21"/>
        </w:rPr>
        <w:t>膝内翻股骨内髁间距离和膝外翻胫骨内踝间距离超过 </w:t>
      </w:r>
      <w:r>
        <w:rPr>
          <w:sz w:val="21"/>
        </w:rPr>
        <w:t>7cm</w:t>
      </w:r>
      <w:r>
        <w:rPr>
          <w:spacing w:val="-2"/>
          <w:sz w:val="21"/>
        </w:rPr>
        <w:t>，或虽</w:t>
      </w:r>
      <w:r>
        <w:rPr>
          <w:spacing w:val="-3"/>
          <w:sz w:val="21"/>
        </w:rPr>
        <w:t>在上述规定范围内但步态异常；</w:t>
      </w:r>
      <w:r>
        <w:rPr>
          <w:sz w:val="21"/>
        </w:rPr>
        <w:t> </w:t>
      </w:r>
    </w:p>
    <w:p>
      <w:pPr>
        <w:pStyle w:val="ListParagraph"/>
        <w:numPr>
          <w:ilvl w:val="0"/>
          <w:numId w:val="29"/>
        </w:numPr>
        <w:tabs>
          <w:tab w:pos="1051" w:val="left" w:leader="none"/>
        </w:tabs>
        <w:spacing w:line="446" w:lineRule="auto" w:before="0" w:after="0"/>
        <w:ind w:left="418" w:right="1609" w:firstLine="419"/>
        <w:jc w:val="left"/>
        <w:rPr>
          <w:sz w:val="21"/>
        </w:rPr>
      </w:pPr>
      <w:r>
        <w:rPr>
          <w:spacing w:val="-3"/>
          <w:sz w:val="21"/>
        </w:rPr>
        <w:t>影响功能的指（</w:t>
      </w:r>
      <w:r>
        <w:rPr>
          <w:sz w:val="21"/>
        </w:rPr>
        <w:t>趾</w:t>
      </w:r>
      <w:r>
        <w:rPr>
          <w:spacing w:val="-3"/>
          <w:sz w:val="21"/>
        </w:rPr>
        <w:t>）残缺、畸形、足底弓完全消失的扁平足、影响长途行走的胼胝、重度皲裂症；</w:t>
      </w:r>
      <w:r>
        <w:rPr>
          <w:sz w:val="21"/>
        </w:rPr>
        <w:t> </w:t>
      </w:r>
    </w:p>
    <w:p>
      <w:pPr>
        <w:pStyle w:val="ListParagraph"/>
        <w:numPr>
          <w:ilvl w:val="0"/>
          <w:numId w:val="29"/>
        </w:numPr>
        <w:tabs>
          <w:tab w:pos="1051" w:val="left" w:leader="none"/>
        </w:tabs>
        <w:spacing w:line="240" w:lineRule="auto" w:before="0" w:after="0"/>
        <w:ind w:left="1050" w:right="0" w:hanging="213"/>
        <w:jc w:val="left"/>
        <w:rPr>
          <w:sz w:val="21"/>
        </w:rPr>
      </w:pPr>
      <w:r>
        <w:rPr>
          <w:spacing w:val="-3"/>
          <w:sz w:val="21"/>
        </w:rPr>
        <w:t>恶性肿瘤，影响面容或功能的各部位良性肿瘤、囊肿、瘢痕、瘢痕体质； </w:t>
      </w:r>
    </w:p>
    <w:p>
      <w:pPr>
        <w:pStyle w:val="BodyText"/>
        <w:spacing w:before="9"/>
        <w:rPr>
          <w:sz w:val="17"/>
        </w:rPr>
      </w:pPr>
    </w:p>
    <w:p>
      <w:pPr>
        <w:pStyle w:val="ListParagraph"/>
        <w:numPr>
          <w:ilvl w:val="0"/>
          <w:numId w:val="29"/>
        </w:numPr>
        <w:tabs>
          <w:tab w:pos="1051" w:val="left" w:leader="none"/>
        </w:tabs>
        <w:spacing w:line="240" w:lineRule="auto" w:before="1" w:after="0"/>
        <w:ind w:left="1050" w:right="0" w:hanging="213"/>
        <w:jc w:val="left"/>
        <w:rPr>
          <w:sz w:val="21"/>
        </w:rPr>
      </w:pPr>
      <w:r>
        <w:rPr>
          <w:spacing w:val="-3"/>
          <w:sz w:val="21"/>
        </w:rPr>
        <w:t>脉管炎，动脉瘤，重度下肢静脉曲张、精索静脉曲张；</w:t>
      </w:r>
      <w:r>
        <w:rPr>
          <w:sz w:val="21"/>
        </w:rPr>
        <w:t> </w:t>
      </w:r>
    </w:p>
    <w:p>
      <w:pPr>
        <w:pStyle w:val="BodyText"/>
        <w:spacing w:before="12"/>
        <w:rPr>
          <w:sz w:val="17"/>
        </w:rPr>
      </w:pPr>
    </w:p>
    <w:p>
      <w:pPr>
        <w:pStyle w:val="ListParagraph"/>
        <w:numPr>
          <w:ilvl w:val="0"/>
          <w:numId w:val="29"/>
        </w:numPr>
        <w:tabs>
          <w:tab w:pos="1051" w:val="left" w:leader="none"/>
        </w:tabs>
        <w:spacing w:line="446" w:lineRule="auto" w:before="0" w:after="0"/>
        <w:ind w:left="418" w:right="1609" w:firstLine="419"/>
        <w:jc w:val="left"/>
        <w:rPr>
          <w:sz w:val="21"/>
        </w:rPr>
      </w:pPr>
      <w:r>
        <w:rPr>
          <w:spacing w:val="-3"/>
          <w:sz w:val="21"/>
        </w:rPr>
        <w:t>有胸、腹腔手术史（阑尾炎手术后半年以上，腹股沟疝、股疝手术后一年以上无后遗症</w:t>
      </w:r>
      <w:r>
        <w:rPr>
          <w:spacing w:val="-2"/>
          <w:sz w:val="21"/>
        </w:rPr>
        <w:t>者除外</w:t>
      </w:r>
      <w:r>
        <w:rPr>
          <w:sz w:val="21"/>
        </w:rPr>
        <w:t>）</w:t>
      </w:r>
      <w:r>
        <w:rPr>
          <w:spacing w:val="-3"/>
          <w:sz w:val="21"/>
        </w:rPr>
        <w:t>，疝，脱肛，肛痿，陈旧性肛裂，环状痔，混合痔</w:t>
      </w:r>
      <w:r>
        <w:rPr>
          <w:sz w:val="21"/>
        </w:rPr>
        <w:t>（</w:t>
      </w:r>
      <w:r>
        <w:rPr>
          <w:spacing w:val="-13"/>
          <w:sz w:val="21"/>
        </w:rPr>
        <w:t>直径大于 </w:t>
      </w:r>
      <w:r>
        <w:rPr>
          <w:sz w:val="21"/>
        </w:rPr>
        <w:t>0.5cm</w:t>
      </w:r>
      <w:r>
        <w:rPr>
          <w:spacing w:val="-12"/>
          <w:sz w:val="21"/>
        </w:rPr>
        <w:t> 或超过二</w:t>
      </w:r>
    </w:p>
    <w:p>
      <w:pPr>
        <w:pStyle w:val="BodyText"/>
        <w:ind w:left="418"/>
      </w:pPr>
      <w:r>
        <w:rPr/>
        <w:t>个），经常发炎、出血的内外痔； </w:t>
      </w:r>
    </w:p>
    <w:p>
      <w:pPr>
        <w:pStyle w:val="BodyText"/>
        <w:spacing w:before="12"/>
        <w:rPr>
          <w:sz w:val="17"/>
        </w:rPr>
      </w:pPr>
    </w:p>
    <w:p>
      <w:pPr>
        <w:pStyle w:val="ListParagraph"/>
        <w:numPr>
          <w:ilvl w:val="0"/>
          <w:numId w:val="29"/>
        </w:numPr>
        <w:tabs>
          <w:tab w:pos="1051" w:val="left" w:leader="none"/>
        </w:tabs>
        <w:spacing w:line="446" w:lineRule="auto" w:before="0" w:after="0"/>
        <w:ind w:left="418" w:right="1608" w:firstLine="419"/>
        <w:jc w:val="both"/>
        <w:rPr>
          <w:sz w:val="21"/>
        </w:rPr>
      </w:pPr>
      <w:r>
        <w:rPr>
          <w:spacing w:val="-3"/>
          <w:sz w:val="21"/>
        </w:rPr>
        <w:t>泌尿生殖系统炎症、结核、结石等疾病或损伤及其后遗症，影响功能的生殖器官畸形或发育不全，隐睾（无自觉症状的轻度非交通性精索鞘膜积液【不大于健侧睾丸】，睾丸鞘膜积液【包括睾丸在内部不大于健侧睾丸一倍】；交通性鞘膜积液，手术治愈后一年以上无复</w:t>
      </w:r>
    </w:p>
    <w:p>
      <w:pPr>
        <w:pStyle w:val="BodyText"/>
        <w:spacing w:line="446" w:lineRule="auto"/>
        <w:ind w:left="418" w:right="1450"/>
        <w:jc w:val="both"/>
      </w:pPr>
      <w:r>
        <w:rPr>
          <w:spacing w:val="-4"/>
        </w:rPr>
        <w:t>发、无后遗症；无压痛、无自觉症状的精索、副睾小结节【不超过二个，直径小于 </w:t>
      </w:r>
      <w:r>
        <w:rPr/>
        <w:t>0.5cm</w:t>
      </w:r>
      <w:r>
        <w:rPr>
          <w:spacing w:val="-2"/>
        </w:rPr>
        <w:t>】等三</w:t>
      </w:r>
      <w:r>
        <w:rPr>
          <w:spacing w:val="-3"/>
        </w:rPr>
        <w:t>种情况除外</w:t>
      </w:r>
      <w:r>
        <w:rPr/>
        <w:t>）； </w:t>
      </w:r>
    </w:p>
    <w:p>
      <w:pPr>
        <w:pStyle w:val="ListParagraph"/>
        <w:numPr>
          <w:ilvl w:val="0"/>
          <w:numId w:val="29"/>
        </w:numPr>
        <w:tabs>
          <w:tab w:pos="1051" w:val="left" w:leader="none"/>
        </w:tabs>
        <w:spacing w:line="446" w:lineRule="auto" w:before="0" w:after="0"/>
        <w:ind w:left="418" w:right="1608" w:firstLine="419"/>
        <w:jc w:val="both"/>
        <w:rPr>
          <w:sz w:val="21"/>
        </w:rPr>
      </w:pPr>
      <w:r>
        <w:rPr>
          <w:spacing w:val="-3"/>
          <w:sz w:val="21"/>
        </w:rPr>
        <w:t>腋臭、头癣，泛发性体癣，济疮，慢性湿疹，慢性寻麻疹，神经性皮炎，白癜风，银屑病，与传染性麻风病人有密切接触史（共同生活</w:t>
      </w:r>
      <w:r>
        <w:rPr>
          <w:sz w:val="21"/>
        </w:rPr>
        <w:t>）</w:t>
      </w:r>
      <w:r>
        <w:rPr>
          <w:spacing w:val="-3"/>
          <w:sz w:val="21"/>
        </w:rPr>
        <w:t>及其他有传染性或难以治愈的皮肤病，影响面容的血管痣和色素痣； </w:t>
      </w:r>
    </w:p>
    <w:p>
      <w:pPr>
        <w:pStyle w:val="ListParagraph"/>
        <w:numPr>
          <w:ilvl w:val="0"/>
          <w:numId w:val="29"/>
        </w:numPr>
        <w:tabs>
          <w:tab w:pos="1051" w:val="left" w:leader="none"/>
        </w:tabs>
        <w:spacing w:line="446" w:lineRule="auto" w:before="0" w:after="0"/>
        <w:ind w:left="418" w:right="1609" w:firstLine="419"/>
        <w:jc w:val="both"/>
        <w:rPr>
          <w:sz w:val="21"/>
        </w:rPr>
      </w:pPr>
      <w:r>
        <w:rPr>
          <w:spacing w:val="-3"/>
          <w:sz w:val="21"/>
        </w:rPr>
        <w:t>淋病，梅毒，软下疳和性病淋巴肉芽肿，非淋球菌性尿道炎，尖锐湿疣，艾滋病及病毒携带者。</w:t>
      </w:r>
      <w:r>
        <w:rPr>
          <w:sz w:val="21"/>
        </w:rPr>
        <w:t> </w:t>
      </w:r>
    </w:p>
    <w:p>
      <w:pPr>
        <w:pStyle w:val="ListParagraph"/>
        <w:numPr>
          <w:ilvl w:val="3"/>
          <w:numId w:val="28"/>
        </w:numPr>
        <w:tabs>
          <w:tab w:pos="1576" w:val="left" w:leader="none"/>
        </w:tabs>
        <w:spacing w:line="240" w:lineRule="auto" w:before="0" w:after="0"/>
        <w:ind w:left="1575" w:right="0" w:hanging="738"/>
        <w:jc w:val="left"/>
        <w:rPr>
          <w:sz w:val="21"/>
        </w:rPr>
      </w:pPr>
      <w:r>
        <w:rPr>
          <w:spacing w:val="-3"/>
          <w:sz w:val="21"/>
        </w:rPr>
        <w:t>内科</w:t>
      </w:r>
      <w:r>
        <w:rPr>
          <w:sz w:val="21"/>
        </w:rPr>
        <w:t> </w:t>
      </w:r>
    </w:p>
    <w:p>
      <w:pPr>
        <w:pStyle w:val="BodyText"/>
        <w:spacing w:before="11"/>
        <w:rPr>
          <w:sz w:val="17"/>
        </w:rPr>
      </w:pPr>
    </w:p>
    <w:p>
      <w:pPr>
        <w:pStyle w:val="ListParagraph"/>
        <w:numPr>
          <w:ilvl w:val="0"/>
          <w:numId w:val="30"/>
        </w:numPr>
        <w:tabs>
          <w:tab w:pos="1051" w:val="left" w:leader="none"/>
        </w:tabs>
        <w:spacing w:line="240" w:lineRule="auto" w:before="0" w:after="0"/>
        <w:ind w:left="1050" w:right="0" w:hanging="213"/>
        <w:jc w:val="left"/>
        <w:rPr>
          <w:sz w:val="21"/>
        </w:rPr>
      </w:pPr>
      <w:r>
        <w:rPr>
          <w:spacing w:val="-3"/>
          <w:sz w:val="21"/>
        </w:rPr>
        <w:t>器质性心脏、血管疾病；</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30"/>
        </w:numPr>
        <w:tabs>
          <w:tab w:pos="1051" w:val="left" w:leader="none"/>
        </w:tabs>
        <w:spacing w:line="446" w:lineRule="auto" w:before="47" w:after="0"/>
        <w:ind w:left="418" w:right="1609" w:firstLine="419"/>
        <w:jc w:val="both"/>
        <w:rPr>
          <w:sz w:val="21"/>
        </w:rPr>
      </w:pPr>
      <w:r>
        <w:rPr>
          <w:spacing w:val="-3"/>
          <w:sz w:val="21"/>
        </w:rPr>
        <w:t>慢性阻塞性肺疾病，支气管哮喘，咳嗽变异型哮喘、肺结核（孤立散在的钙化点，数量</w:t>
      </w:r>
      <w:r>
        <w:rPr>
          <w:spacing w:val="-24"/>
          <w:sz w:val="21"/>
        </w:rPr>
        <w:t>在 </w:t>
      </w:r>
      <w:r>
        <w:rPr>
          <w:sz w:val="21"/>
        </w:rPr>
        <w:t>3</w:t>
      </w:r>
      <w:r>
        <w:rPr>
          <w:spacing w:val="-12"/>
          <w:sz w:val="21"/>
        </w:rPr>
        <w:t> 个以下，直径不超过 </w:t>
      </w:r>
      <w:r>
        <w:rPr>
          <w:sz w:val="21"/>
        </w:rPr>
        <w:t>0.5cm</w:t>
      </w:r>
      <w:r>
        <w:rPr>
          <w:spacing w:val="-3"/>
          <w:sz w:val="21"/>
        </w:rPr>
        <w:t>，密度高，边缘清晰，周围无浸润现象除外</w:t>
      </w:r>
      <w:r>
        <w:rPr>
          <w:sz w:val="21"/>
        </w:rPr>
        <w:t>）</w:t>
      </w:r>
      <w:r>
        <w:rPr>
          <w:spacing w:val="-2"/>
          <w:sz w:val="21"/>
        </w:rPr>
        <w:t>，结核性胸膜炎</w:t>
      </w:r>
      <w:r>
        <w:rPr>
          <w:spacing w:val="-3"/>
          <w:sz w:val="21"/>
        </w:rPr>
        <w:t>，其他呼吸系统慢性疾病；</w:t>
      </w:r>
      <w:r>
        <w:rPr>
          <w:sz w:val="21"/>
        </w:rPr>
        <w:t> </w:t>
      </w:r>
    </w:p>
    <w:p>
      <w:pPr>
        <w:pStyle w:val="ListParagraph"/>
        <w:numPr>
          <w:ilvl w:val="0"/>
          <w:numId w:val="30"/>
        </w:numPr>
        <w:tabs>
          <w:tab w:pos="1051" w:val="left" w:leader="none"/>
        </w:tabs>
        <w:spacing w:line="446" w:lineRule="auto" w:before="0" w:after="0"/>
        <w:ind w:left="418" w:right="1450" w:firstLine="419"/>
        <w:jc w:val="left"/>
        <w:rPr>
          <w:sz w:val="21"/>
        </w:rPr>
      </w:pPr>
      <w:r>
        <w:rPr>
          <w:spacing w:val="-3"/>
          <w:sz w:val="21"/>
        </w:rPr>
        <w:t>胃、十二指肠、肝脏、胆囊、脾脏、胰腺疾病，细菌性痢疾，慢性肠炎，内脏下垂，腹 部包块(以下三种情况除外：①仰卧位，平静呼吸，肝上界在正常范围，右锁骨中线肋缘下肝脏</w:t>
      </w:r>
      <w:r>
        <w:rPr>
          <w:spacing w:val="-14"/>
          <w:sz w:val="21"/>
        </w:rPr>
        <w:t>不超过 </w:t>
      </w:r>
      <w:r>
        <w:rPr>
          <w:sz w:val="21"/>
        </w:rPr>
        <w:t>1.5</w:t>
      </w:r>
      <w:r>
        <w:rPr>
          <w:spacing w:val="13"/>
          <w:sz w:val="21"/>
        </w:rPr>
        <w:t> </w:t>
      </w:r>
      <w:r>
        <w:rPr>
          <w:spacing w:val="-3"/>
          <w:sz w:val="21"/>
        </w:rPr>
        <w:t>cm</w:t>
      </w:r>
      <w:r>
        <w:rPr>
          <w:spacing w:val="-9"/>
          <w:sz w:val="21"/>
        </w:rPr>
        <w:t>，剑突下不超过 </w:t>
      </w:r>
      <w:r>
        <w:rPr>
          <w:sz w:val="21"/>
        </w:rPr>
        <w:t>3cm</w:t>
      </w:r>
      <w:r>
        <w:rPr>
          <w:spacing w:val="-3"/>
          <w:sz w:val="21"/>
        </w:rPr>
        <w:t>，质软，边薄，平滑，无触痛或叩击痛，无贫血，营养状况良好者；②五年前患过甲型病毒性肝炎，治愈后未再复发，无症状和体征者；③既往曾患过疟 </w:t>
      </w:r>
      <w:r>
        <w:rPr>
          <w:spacing w:val="-4"/>
          <w:sz w:val="21"/>
        </w:rPr>
        <w:t>疾、血吸虫病或黑热病引起的脾脏肿大，在左肋缘下不超过 </w:t>
      </w:r>
      <w:r>
        <w:rPr>
          <w:sz w:val="21"/>
        </w:rPr>
        <w:t>1cm</w:t>
      </w:r>
      <w:r>
        <w:rPr>
          <w:spacing w:val="-3"/>
          <w:sz w:val="21"/>
        </w:rPr>
        <w:t>，无自觉症状，无贫血，营养状况良好者</w:t>
      </w:r>
      <w:r>
        <w:rPr>
          <w:sz w:val="21"/>
        </w:rPr>
        <w:t>）； </w:t>
      </w:r>
    </w:p>
    <w:p>
      <w:pPr>
        <w:pStyle w:val="ListParagraph"/>
        <w:numPr>
          <w:ilvl w:val="0"/>
          <w:numId w:val="30"/>
        </w:numPr>
        <w:tabs>
          <w:tab w:pos="1051" w:val="left" w:leader="none"/>
        </w:tabs>
        <w:spacing w:line="267" w:lineRule="exact" w:before="0" w:after="0"/>
        <w:ind w:left="1050" w:right="0" w:hanging="213"/>
        <w:jc w:val="left"/>
        <w:rPr>
          <w:sz w:val="21"/>
        </w:rPr>
      </w:pPr>
      <w:r>
        <w:rPr>
          <w:spacing w:val="-3"/>
          <w:sz w:val="21"/>
        </w:rPr>
        <w:t>肝功能异常；</w:t>
      </w:r>
      <w:r>
        <w:rPr>
          <w:sz w:val="21"/>
        </w:rPr>
        <w:t> </w:t>
      </w:r>
    </w:p>
    <w:p>
      <w:pPr>
        <w:pStyle w:val="BodyText"/>
        <w:spacing w:before="11"/>
        <w:rPr>
          <w:sz w:val="17"/>
        </w:rPr>
      </w:pPr>
    </w:p>
    <w:p>
      <w:pPr>
        <w:pStyle w:val="ListParagraph"/>
        <w:numPr>
          <w:ilvl w:val="0"/>
          <w:numId w:val="30"/>
        </w:numPr>
        <w:tabs>
          <w:tab w:pos="1051" w:val="left" w:leader="none"/>
        </w:tabs>
        <w:spacing w:line="240" w:lineRule="auto" w:before="1" w:after="0"/>
        <w:ind w:left="1050" w:right="0" w:hanging="213"/>
        <w:jc w:val="left"/>
        <w:rPr>
          <w:sz w:val="21"/>
        </w:rPr>
      </w:pPr>
      <w:r>
        <w:rPr>
          <w:spacing w:val="-3"/>
          <w:sz w:val="21"/>
        </w:rPr>
        <w:t>乙型肝炎表面抗原阳性； </w:t>
      </w:r>
    </w:p>
    <w:p>
      <w:pPr>
        <w:pStyle w:val="BodyText"/>
        <w:spacing w:before="12"/>
        <w:rPr>
          <w:sz w:val="17"/>
        </w:rPr>
      </w:pPr>
    </w:p>
    <w:p>
      <w:pPr>
        <w:pStyle w:val="ListParagraph"/>
        <w:numPr>
          <w:ilvl w:val="0"/>
          <w:numId w:val="30"/>
        </w:numPr>
        <w:tabs>
          <w:tab w:pos="1051" w:val="left" w:leader="none"/>
        </w:tabs>
        <w:spacing w:line="446" w:lineRule="auto" w:before="0" w:after="0"/>
        <w:ind w:left="418" w:right="1609" w:firstLine="419"/>
        <w:jc w:val="left"/>
        <w:rPr>
          <w:sz w:val="21"/>
        </w:rPr>
      </w:pPr>
      <w:r>
        <w:rPr>
          <w:spacing w:val="-3"/>
          <w:sz w:val="21"/>
        </w:rPr>
        <w:t>钩虫病</w:t>
      </w:r>
      <w:r>
        <w:rPr>
          <w:sz w:val="21"/>
        </w:rPr>
        <w:t>（</w:t>
      </w:r>
      <w:r>
        <w:rPr>
          <w:spacing w:val="-3"/>
          <w:sz w:val="21"/>
        </w:rPr>
        <w:t>伴有贫血</w:t>
      </w:r>
      <w:r>
        <w:rPr>
          <w:sz w:val="21"/>
        </w:rPr>
        <w:t>）</w:t>
      </w:r>
      <w:r>
        <w:rPr>
          <w:spacing w:val="-3"/>
          <w:sz w:val="21"/>
        </w:rPr>
        <w:t>，慢性疟疾，血吸虫病，黑热病，阿米巴痢疾，丝虫病（</w:t>
      </w:r>
      <w:r>
        <w:rPr>
          <w:spacing w:val="-2"/>
          <w:sz w:val="21"/>
        </w:rPr>
        <w:t>丝虫病治</w:t>
      </w:r>
      <w:r>
        <w:rPr>
          <w:spacing w:val="-3"/>
          <w:sz w:val="21"/>
        </w:rPr>
        <w:t>愈半年以上，疟疾、黑热病、血吸虫病、阿米巴痢疾、钩端螺旋体病治愈两年以上无后遗 症，全身情况良好，能担负重体力劳动除外)；</w:t>
      </w:r>
      <w:r>
        <w:rPr>
          <w:sz w:val="21"/>
        </w:rPr>
        <w:t> </w:t>
      </w:r>
    </w:p>
    <w:p>
      <w:pPr>
        <w:pStyle w:val="ListParagraph"/>
        <w:numPr>
          <w:ilvl w:val="0"/>
          <w:numId w:val="30"/>
        </w:numPr>
        <w:tabs>
          <w:tab w:pos="1051" w:val="left" w:leader="none"/>
        </w:tabs>
        <w:spacing w:line="446" w:lineRule="auto" w:before="0" w:after="0"/>
        <w:ind w:left="418" w:right="1503" w:firstLine="419"/>
        <w:jc w:val="left"/>
        <w:rPr>
          <w:sz w:val="21"/>
        </w:rPr>
      </w:pPr>
      <w:r>
        <w:rPr>
          <w:spacing w:val="-3"/>
          <w:sz w:val="21"/>
        </w:rPr>
        <w:t>有癫痫病、精神病（食物或药物中毒所引起的短时精神障碍，治愈后无后遗症除外)、梦游、晕厥史及神经症、智力低下、遗尿症（十三周岁后未发生过遗尿除外)； </w:t>
      </w:r>
    </w:p>
    <w:p>
      <w:pPr>
        <w:pStyle w:val="ListParagraph"/>
        <w:numPr>
          <w:ilvl w:val="0"/>
          <w:numId w:val="30"/>
        </w:numPr>
        <w:tabs>
          <w:tab w:pos="1051" w:val="left" w:leader="none"/>
        </w:tabs>
        <w:spacing w:line="446" w:lineRule="auto" w:before="0" w:after="0"/>
        <w:ind w:left="838" w:right="4866" w:firstLine="0"/>
        <w:jc w:val="left"/>
        <w:rPr>
          <w:sz w:val="21"/>
        </w:rPr>
      </w:pPr>
      <w:r>
        <w:rPr>
          <w:spacing w:val="-2"/>
          <w:sz w:val="21"/>
        </w:rPr>
        <w:t>中枢神经系统及周围神经系统疾病及其后遗症； </w:t>
      </w:r>
      <w:r>
        <w:rPr>
          <w:sz w:val="21"/>
        </w:rPr>
        <w:t>i) </w:t>
      </w:r>
      <w:r>
        <w:rPr>
          <w:spacing w:val="-3"/>
          <w:sz w:val="21"/>
        </w:rPr>
        <w:t>口吃。</w:t>
      </w:r>
      <w:r>
        <w:rPr>
          <w:sz w:val="21"/>
        </w:rPr>
        <w:t> </w:t>
      </w:r>
    </w:p>
    <w:p>
      <w:pPr>
        <w:pStyle w:val="ListParagraph"/>
        <w:numPr>
          <w:ilvl w:val="3"/>
          <w:numId w:val="28"/>
        </w:numPr>
        <w:tabs>
          <w:tab w:pos="1576" w:val="left" w:leader="none"/>
        </w:tabs>
        <w:spacing w:line="240" w:lineRule="auto" w:before="0" w:after="0"/>
        <w:ind w:left="1575" w:right="0" w:hanging="738"/>
        <w:jc w:val="left"/>
        <w:rPr>
          <w:sz w:val="21"/>
        </w:rPr>
      </w:pPr>
      <w:r>
        <w:rPr>
          <w:spacing w:val="-3"/>
          <w:sz w:val="21"/>
        </w:rPr>
        <w:t>耳、鼻、咽喉科</w:t>
      </w:r>
      <w:r>
        <w:rPr>
          <w:sz w:val="21"/>
        </w:rPr>
        <w:t> </w:t>
      </w:r>
    </w:p>
    <w:p>
      <w:pPr>
        <w:pStyle w:val="BodyText"/>
        <w:spacing w:before="12"/>
        <w:rPr>
          <w:sz w:val="17"/>
        </w:rPr>
      </w:pPr>
    </w:p>
    <w:p>
      <w:pPr>
        <w:pStyle w:val="ListParagraph"/>
        <w:numPr>
          <w:ilvl w:val="0"/>
          <w:numId w:val="31"/>
        </w:numPr>
        <w:tabs>
          <w:tab w:pos="1051" w:val="left" w:leader="none"/>
        </w:tabs>
        <w:spacing w:line="240" w:lineRule="auto" w:before="0" w:after="0"/>
        <w:ind w:left="1050" w:right="0" w:hanging="213"/>
        <w:jc w:val="left"/>
        <w:rPr>
          <w:sz w:val="21"/>
        </w:rPr>
      </w:pPr>
      <w:r>
        <w:rPr>
          <w:spacing w:val="-3"/>
          <w:sz w:val="21"/>
        </w:rPr>
        <w:t>眩晕症，重度晕车、晕船、恐高；</w:t>
      </w:r>
      <w:r>
        <w:rPr>
          <w:sz w:val="21"/>
        </w:rPr>
        <w:t> </w:t>
      </w:r>
    </w:p>
    <w:p>
      <w:pPr>
        <w:pStyle w:val="BodyText"/>
        <w:spacing w:before="12"/>
        <w:rPr>
          <w:sz w:val="17"/>
        </w:rPr>
      </w:pPr>
    </w:p>
    <w:p>
      <w:pPr>
        <w:pStyle w:val="ListParagraph"/>
        <w:numPr>
          <w:ilvl w:val="0"/>
          <w:numId w:val="31"/>
        </w:numPr>
        <w:tabs>
          <w:tab w:pos="1051" w:val="left" w:leader="none"/>
        </w:tabs>
        <w:spacing w:line="240" w:lineRule="auto" w:before="0" w:after="0"/>
        <w:ind w:left="1050" w:right="0" w:hanging="213"/>
        <w:jc w:val="left"/>
        <w:rPr>
          <w:sz w:val="21"/>
        </w:rPr>
      </w:pPr>
      <w:r>
        <w:rPr>
          <w:spacing w:val="-3"/>
          <w:sz w:val="21"/>
        </w:rPr>
        <w:t>耳廓畸形，外耳道闭锁，反复发炎的耳前瘘管，耳廓、外耳道湿疹，耳霉菌病；</w:t>
      </w:r>
      <w:r>
        <w:rPr>
          <w:sz w:val="21"/>
        </w:rPr>
        <w:t> </w:t>
      </w:r>
    </w:p>
    <w:p>
      <w:pPr>
        <w:pStyle w:val="BodyText"/>
        <w:spacing w:before="2"/>
        <w:rPr>
          <w:sz w:val="18"/>
        </w:rPr>
      </w:pPr>
    </w:p>
    <w:p>
      <w:pPr>
        <w:pStyle w:val="ListParagraph"/>
        <w:numPr>
          <w:ilvl w:val="0"/>
          <w:numId w:val="31"/>
        </w:numPr>
        <w:tabs>
          <w:tab w:pos="1051" w:val="left" w:leader="none"/>
        </w:tabs>
        <w:spacing w:line="240" w:lineRule="auto" w:before="0" w:after="0"/>
        <w:ind w:left="1050" w:right="0" w:hanging="213"/>
        <w:jc w:val="left"/>
        <w:rPr>
          <w:sz w:val="21"/>
        </w:rPr>
      </w:pPr>
      <w:r>
        <w:rPr>
          <w:spacing w:val="-3"/>
          <w:sz w:val="21"/>
        </w:rPr>
        <w:t>鼓膜穿孔，化脓性中耳炎，乳突炎及其它难以治愈的耳病；</w:t>
      </w:r>
      <w:r>
        <w:rPr>
          <w:sz w:val="21"/>
        </w:rPr>
        <w:t> </w:t>
      </w:r>
    </w:p>
    <w:p>
      <w:pPr>
        <w:pStyle w:val="BodyText"/>
        <w:spacing w:before="12"/>
        <w:rPr>
          <w:sz w:val="17"/>
        </w:rPr>
      </w:pPr>
    </w:p>
    <w:p>
      <w:pPr>
        <w:pStyle w:val="ListParagraph"/>
        <w:numPr>
          <w:ilvl w:val="0"/>
          <w:numId w:val="31"/>
        </w:numPr>
        <w:tabs>
          <w:tab w:pos="1051" w:val="left" w:leader="none"/>
        </w:tabs>
        <w:spacing w:line="446" w:lineRule="auto" w:before="0" w:after="0"/>
        <w:ind w:left="418" w:right="1609" w:firstLine="419"/>
        <w:jc w:val="left"/>
        <w:rPr>
          <w:sz w:val="21"/>
        </w:rPr>
      </w:pPr>
      <w:r>
        <w:rPr>
          <w:spacing w:val="-3"/>
          <w:sz w:val="21"/>
        </w:rPr>
        <w:t>鼻畸形，慢性副鼻窦炎，重度肥厚性鼻炎、萎缩性鼻炎，鼻息肉，中鼻甲息肉样变，变应性鼻炎，鼻腔、鼻窦囊肿，鼻腔、鼻窦肿瘤，重度鼻中隔偏曲症及其他影响鼻功能的慢性鼻病（不影响副鼻窦引流的中鼻甲肥大，中鼻道有少量粘液脓性分泌物，轻度萎缩性鼻炎除 外)； </w:t>
      </w:r>
    </w:p>
    <w:p>
      <w:pPr>
        <w:pStyle w:val="ListParagraph"/>
        <w:numPr>
          <w:ilvl w:val="0"/>
          <w:numId w:val="31"/>
        </w:numPr>
        <w:tabs>
          <w:tab w:pos="1051" w:val="left" w:leader="none"/>
        </w:tabs>
        <w:spacing w:line="446" w:lineRule="auto" w:before="0" w:after="0"/>
        <w:ind w:left="838" w:right="3606" w:firstLine="0"/>
        <w:jc w:val="left"/>
        <w:rPr>
          <w:sz w:val="21"/>
        </w:rPr>
      </w:pPr>
      <w:r>
        <w:rPr>
          <w:spacing w:val="-3"/>
          <w:sz w:val="21"/>
        </w:rPr>
        <w:t>慢性扁桃体炎，影响吞咽、发音功能难以治愈的咽、喉疾病。</w:t>
      </w:r>
      <w:r>
        <w:rPr>
          <w:sz w:val="21"/>
        </w:rPr>
        <w:t>4.1.2.4</w:t>
      </w:r>
      <w:r>
        <w:rPr>
          <w:spacing w:val="-3"/>
          <w:sz w:val="21"/>
        </w:rPr>
        <w:t> 眼科</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32"/>
        </w:numPr>
        <w:tabs>
          <w:tab w:pos="1051" w:val="left" w:leader="none"/>
        </w:tabs>
        <w:spacing w:line="240" w:lineRule="auto" w:before="47" w:after="0"/>
        <w:ind w:left="1050" w:right="0" w:hanging="213"/>
        <w:jc w:val="left"/>
        <w:rPr>
          <w:sz w:val="21"/>
        </w:rPr>
      </w:pPr>
      <w:r>
        <w:rPr>
          <w:spacing w:val="-3"/>
          <w:sz w:val="21"/>
        </w:rPr>
        <w:t>影响眼功能的眼睑、睑缘、结膜、泪器疾病；</w:t>
      </w:r>
      <w:r>
        <w:rPr>
          <w:sz w:val="21"/>
        </w:rPr>
        <w:t> </w:t>
      </w:r>
    </w:p>
    <w:p>
      <w:pPr>
        <w:pStyle w:val="BodyText"/>
        <w:rPr>
          <w:sz w:val="18"/>
        </w:rPr>
      </w:pPr>
    </w:p>
    <w:p>
      <w:pPr>
        <w:pStyle w:val="ListParagraph"/>
        <w:numPr>
          <w:ilvl w:val="0"/>
          <w:numId w:val="32"/>
        </w:numPr>
        <w:tabs>
          <w:tab w:pos="1051" w:val="left" w:leader="none"/>
        </w:tabs>
        <w:spacing w:line="240" w:lineRule="auto" w:before="0" w:after="0"/>
        <w:ind w:left="1050" w:right="0" w:hanging="213"/>
        <w:jc w:val="left"/>
        <w:rPr>
          <w:sz w:val="21"/>
        </w:rPr>
      </w:pPr>
      <w:r>
        <w:rPr>
          <w:spacing w:val="-3"/>
          <w:sz w:val="21"/>
        </w:rPr>
        <w:t>眼球突出，眼球震颤，眼肌疾病；</w:t>
      </w:r>
      <w:r>
        <w:rPr>
          <w:sz w:val="21"/>
        </w:rPr>
        <w:t> </w:t>
      </w:r>
    </w:p>
    <w:p>
      <w:pPr>
        <w:pStyle w:val="BodyText"/>
        <w:rPr>
          <w:sz w:val="18"/>
        </w:rPr>
      </w:pPr>
    </w:p>
    <w:p>
      <w:pPr>
        <w:pStyle w:val="ListParagraph"/>
        <w:numPr>
          <w:ilvl w:val="0"/>
          <w:numId w:val="32"/>
        </w:numPr>
        <w:tabs>
          <w:tab w:pos="1051" w:val="left" w:leader="none"/>
        </w:tabs>
        <w:spacing w:line="446" w:lineRule="auto" w:before="0" w:after="0"/>
        <w:ind w:left="418" w:right="1817" w:firstLine="419"/>
        <w:jc w:val="left"/>
        <w:rPr>
          <w:sz w:val="21"/>
        </w:rPr>
      </w:pPr>
      <w:r>
        <w:rPr>
          <w:spacing w:val="-3"/>
          <w:sz w:val="21"/>
        </w:rPr>
        <w:t>角膜、巩膜、虹膜睫状体疾病（不影响视力的角膜云翳除外</w:t>
      </w:r>
      <w:r>
        <w:rPr>
          <w:sz w:val="21"/>
        </w:rPr>
        <w:t>）</w:t>
      </w:r>
      <w:r>
        <w:rPr>
          <w:spacing w:val="-3"/>
          <w:sz w:val="21"/>
        </w:rPr>
        <w:t>，瞳孔变形、运动障碍；</w:t>
      </w:r>
      <w:r>
        <w:rPr>
          <w:sz w:val="21"/>
        </w:rPr>
        <w:t> </w:t>
      </w:r>
    </w:p>
    <w:p>
      <w:pPr>
        <w:pStyle w:val="ListParagraph"/>
        <w:numPr>
          <w:ilvl w:val="0"/>
          <w:numId w:val="32"/>
        </w:numPr>
        <w:tabs>
          <w:tab w:pos="1051" w:val="left" w:leader="none"/>
        </w:tabs>
        <w:spacing w:line="446" w:lineRule="auto" w:before="0" w:after="0"/>
        <w:ind w:left="418" w:right="1609" w:firstLine="419"/>
        <w:jc w:val="left"/>
        <w:rPr>
          <w:sz w:val="21"/>
        </w:rPr>
      </w:pPr>
      <w:r>
        <w:rPr>
          <w:spacing w:val="-3"/>
          <w:sz w:val="21"/>
        </w:rPr>
        <w:t>晶状体、玻璃体、脉络膜、视神经疾病（先天性少数散在的晶状体小混浊点除外</w:t>
      </w:r>
      <w:r>
        <w:rPr>
          <w:sz w:val="21"/>
        </w:rPr>
        <w:t>），青</w:t>
      </w:r>
      <w:r>
        <w:rPr>
          <w:spacing w:val="-3"/>
          <w:sz w:val="21"/>
        </w:rPr>
        <w:t>光眼。</w:t>
      </w:r>
      <w:r>
        <w:rPr>
          <w:sz w:val="21"/>
        </w:rPr>
        <w:t> </w:t>
      </w:r>
    </w:p>
    <w:p>
      <w:pPr>
        <w:pStyle w:val="ListParagraph"/>
        <w:numPr>
          <w:ilvl w:val="3"/>
          <w:numId w:val="33"/>
        </w:numPr>
        <w:tabs>
          <w:tab w:pos="1576" w:val="left" w:leader="none"/>
        </w:tabs>
        <w:spacing w:line="240" w:lineRule="auto" w:before="0" w:after="0"/>
        <w:ind w:left="1575" w:right="0" w:hanging="738"/>
        <w:jc w:val="left"/>
        <w:rPr>
          <w:sz w:val="21"/>
        </w:rPr>
      </w:pPr>
      <w:r>
        <w:rPr>
          <w:spacing w:val="-3"/>
          <w:sz w:val="21"/>
        </w:rPr>
        <w:t>口腔科</w:t>
      </w:r>
      <w:r>
        <w:rPr>
          <w:sz w:val="21"/>
        </w:rPr>
        <w:t> </w:t>
      </w:r>
    </w:p>
    <w:p>
      <w:pPr>
        <w:pStyle w:val="BodyText"/>
        <w:spacing w:before="12"/>
        <w:rPr>
          <w:sz w:val="17"/>
        </w:rPr>
      </w:pPr>
    </w:p>
    <w:p>
      <w:pPr>
        <w:pStyle w:val="ListParagraph"/>
        <w:numPr>
          <w:ilvl w:val="0"/>
          <w:numId w:val="34"/>
        </w:numPr>
        <w:tabs>
          <w:tab w:pos="1051" w:val="left" w:leader="none"/>
        </w:tabs>
        <w:spacing w:line="446" w:lineRule="auto" w:before="0" w:after="0"/>
        <w:ind w:left="418" w:right="1505" w:firstLine="419"/>
        <w:jc w:val="left"/>
        <w:rPr>
          <w:sz w:val="21"/>
        </w:rPr>
      </w:pPr>
      <w:r>
        <w:rPr>
          <w:spacing w:val="-3"/>
          <w:sz w:val="21"/>
        </w:rPr>
        <w:t>三度龋齿、齿缺失并列在一起的超过二个，不在一起的超过三个；颌关节疾病，重度牙周病及影响咀嚼功能的口腔疾病；</w:t>
      </w:r>
      <w:r>
        <w:rPr>
          <w:sz w:val="21"/>
        </w:rPr>
        <w:t> </w:t>
      </w:r>
    </w:p>
    <w:p>
      <w:pPr>
        <w:pStyle w:val="ListParagraph"/>
        <w:numPr>
          <w:ilvl w:val="0"/>
          <w:numId w:val="34"/>
        </w:numPr>
        <w:tabs>
          <w:tab w:pos="1051" w:val="left" w:leader="none"/>
        </w:tabs>
        <w:spacing w:line="240" w:lineRule="auto" w:before="0" w:after="0"/>
        <w:ind w:left="1050" w:right="0" w:hanging="213"/>
        <w:jc w:val="left"/>
        <w:rPr>
          <w:sz w:val="21"/>
        </w:rPr>
      </w:pPr>
      <w:r>
        <w:rPr>
          <w:spacing w:val="-3"/>
          <w:sz w:val="21"/>
        </w:rPr>
        <w:t>慢性腮腺炎，腮腺囊肿。</w:t>
      </w:r>
      <w:r>
        <w:rPr>
          <w:sz w:val="21"/>
        </w:rPr>
        <w:t> </w:t>
      </w:r>
    </w:p>
    <w:p>
      <w:pPr>
        <w:pStyle w:val="BodyText"/>
        <w:rPr>
          <w:sz w:val="18"/>
        </w:rPr>
      </w:pPr>
    </w:p>
    <w:p>
      <w:pPr>
        <w:pStyle w:val="ListParagraph"/>
        <w:numPr>
          <w:ilvl w:val="3"/>
          <w:numId w:val="33"/>
        </w:numPr>
        <w:tabs>
          <w:tab w:pos="1576" w:val="left" w:leader="none"/>
        </w:tabs>
        <w:spacing w:line="240" w:lineRule="auto" w:before="0" w:after="0"/>
        <w:ind w:left="1575" w:right="0" w:hanging="738"/>
        <w:jc w:val="left"/>
        <w:rPr>
          <w:sz w:val="21"/>
        </w:rPr>
      </w:pPr>
      <w:r>
        <w:rPr>
          <w:spacing w:val="-3"/>
          <w:sz w:val="21"/>
        </w:rPr>
        <w:t>影响消防员正常履行其职责的其他疾病。</w:t>
      </w:r>
      <w:r>
        <w:rPr>
          <w:sz w:val="21"/>
        </w:rPr>
        <w:t> </w:t>
      </w:r>
    </w:p>
    <w:p>
      <w:pPr>
        <w:pStyle w:val="BodyText"/>
        <w:spacing w:before="12"/>
        <w:rPr>
          <w:sz w:val="17"/>
        </w:rPr>
      </w:pPr>
    </w:p>
    <w:p>
      <w:pPr>
        <w:pStyle w:val="ListParagraph"/>
        <w:numPr>
          <w:ilvl w:val="2"/>
          <w:numId w:val="28"/>
        </w:numPr>
        <w:tabs>
          <w:tab w:pos="1370" w:val="left" w:leader="none"/>
        </w:tabs>
        <w:spacing w:line="240" w:lineRule="auto" w:before="0" w:after="0"/>
        <w:ind w:left="1369" w:right="0" w:hanging="530"/>
        <w:jc w:val="left"/>
        <w:rPr>
          <w:sz w:val="21"/>
        </w:rPr>
      </w:pPr>
      <w:r>
        <w:rPr>
          <w:spacing w:val="-3"/>
          <w:sz w:val="21"/>
        </w:rPr>
        <w:t>消防员体格检查方法：</w:t>
      </w:r>
      <w:r>
        <w:rPr>
          <w:sz w:val="21"/>
        </w:rPr>
        <w:t> </w:t>
      </w:r>
    </w:p>
    <w:p>
      <w:pPr>
        <w:pStyle w:val="BodyText"/>
        <w:spacing w:before="2"/>
        <w:rPr>
          <w:sz w:val="18"/>
        </w:rPr>
      </w:pPr>
    </w:p>
    <w:p>
      <w:pPr>
        <w:pStyle w:val="ListParagraph"/>
        <w:numPr>
          <w:ilvl w:val="0"/>
          <w:numId w:val="35"/>
        </w:numPr>
        <w:tabs>
          <w:tab w:pos="1051" w:val="left" w:leader="none"/>
        </w:tabs>
        <w:spacing w:line="446" w:lineRule="auto" w:before="0" w:after="0"/>
        <w:ind w:left="418" w:right="1613" w:firstLine="419"/>
        <w:jc w:val="left"/>
        <w:rPr>
          <w:sz w:val="21"/>
        </w:rPr>
      </w:pPr>
      <w:r>
        <w:rPr>
          <w:spacing w:val="-9"/>
          <w:sz w:val="21"/>
        </w:rPr>
        <w:t>纯音听力测试按 </w:t>
      </w:r>
      <w:r>
        <w:rPr>
          <w:sz w:val="21"/>
        </w:rPr>
        <w:t>GB/T7583</w:t>
      </w:r>
      <w:r>
        <w:rPr>
          <w:spacing w:val="-15"/>
          <w:sz w:val="21"/>
        </w:rPr>
        <w:t> 和 </w:t>
      </w:r>
      <w:r>
        <w:rPr>
          <w:sz w:val="21"/>
        </w:rPr>
        <w:t>GB/T16403</w:t>
      </w:r>
      <w:r>
        <w:rPr>
          <w:spacing w:val="-7"/>
          <w:sz w:val="21"/>
        </w:rPr>
        <w:t> 规定执行，平均听阈的计算按 </w:t>
      </w:r>
      <w:r>
        <w:rPr>
          <w:sz w:val="21"/>
        </w:rPr>
        <w:t>GBZ49</w:t>
      </w:r>
      <w:r>
        <w:rPr>
          <w:spacing w:val="-12"/>
          <w:sz w:val="21"/>
        </w:rPr>
        <w:t> 规定执行</w:t>
      </w:r>
      <w:r>
        <w:rPr>
          <w:spacing w:val="-3"/>
          <w:sz w:val="21"/>
        </w:rPr>
        <w:t>；</w:t>
      </w:r>
      <w:r>
        <w:rPr>
          <w:sz w:val="21"/>
        </w:rPr>
        <w:t> </w:t>
      </w:r>
    </w:p>
    <w:p>
      <w:pPr>
        <w:pStyle w:val="ListParagraph"/>
        <w:numPr>
          <w:ilvl w:val="0"/>
          <w:numId w:val="35"/>
        </w:numPr>
        <w:tabs>
          <w:tab w:pos="1051" w:val="left" w:leader="none"/>
        </w:tabs>
        <w:spacing w:line="267" w:lineRule="exact" w:before="0" w:after="0"/>
        <w:ind w:left="1050" w:right="0" w:hanging="213"/>
        <w:jc w:val="left"/>
        <w:rPr>
          <w:sz w:val="21"/>
        </w:rPr>
      </w:pPr>
      <w:r>
        <w:rPr>
          <w:spacing w:val="-3"/>
          <w:sz w:val="21"/>
        </w:rPr>
        <w:t>呼吸面罩吻合试验方法另行制定；</w:t>
      </w:r>
      <w:r>
        <w:rPr>
          <w:sz w:val="21"/>
        </w:rPr>
        <w:t> </w:t>
      </w:r>
    </w:p>
    <w:p>
      <w:pPr>
        <w:pStyle w:val="BodyText"/>
        <w:spacing w:before="2"/>
        <w:rPr>
          <w:sz w:val="18"/>
        </w:rPr>
      </w:pPr>
    </w:p>
    <w:p>
      <w:pPr>
        <w:pStyle w:val="ListParagraph"/>
        <w:numPr>
          <w:ilvl w:val="0"/>
          <w:numId w:val="35"/>
        </w:numPr>
        <w:tabs>
          <w:tab w:pos="1051" w:val="left" w:leader="none"/>
        </w:tabs>
        <w:spacing w:line="240" w:lineRule="auto" w:before="0" w:after="0"/>
        <w:ind w:left="1050" w:right="0" w:hanging="213"/>
        <w:jc w:val="left"/>
        <w:rPr>
          <w:sz w:val="21"/>
        </w:rPr>
      </w:pPr>
      <w:r>
        <w:rPr>
          <w:spacing w:val="-9"/>
          <w:sz w:val="21"/>
        </w:rPr>
        <w:t>其他医学检查方法按 </w:t>
      </w:r>
      <w:r>
        <w:rPr>
          <w:sz w:val="21"/>
        </w:rPr>
        <w:t>GBZ188</w:t>
      </w:r>
      <w:r>
        <w:rPr>
          <w:spacing w:val="-11"/>
          <w:sz w:val="21"/>
        </w:rPr>
        <w:t> 规定执行。</w:t>
      </w:r>
      <w:r>
        <w:rPr>
          <w:sz w:val="21"/>
        </w:rPr>
        <w:t> </w:t>
      </w:r>
    </w:p>
    <w:p>
      <w:pPr>
        <w:pStyle w:val="BodyText"/>
        <w:spacing w:before="12"/>
        <w:rPr>
          <w:sz w:val="17"/>
        </w:rPr>
      </w:pPr>
    </w:p>
    <w:p>
      <w:pPr>
        <w:pStyle w:val="ListParagraph"/>
        <w:numPr>
          <w:ilvl w:val="2"/>
          <w:numId w:val="28"/>
        </w:numPr>
        <w:tabs>
          <w:tab w:pos="1371" w:val="left" w:leader="none"/>
        </w:tabs>
        <w:spacing w:line="446" w:lineRule="auto" w:before="0" w:after="0"/>
        <w:ind w:left="418" w:right="1553" w:firstLine="422"/>
        <w:jc w:val="left"/>
        <w:rPr>
          <w:sz w:val="21"/>
        </w:rPr>
      </w:pPr>
      <w:r>
        <w:rPr>
          <w:spacing w:val="-5"/>
          <w:sz w:val="21"/>
        </w:rPr>
        <w:t>消防员体格检查结果中，如有三项以上指标处于本标准 </w:t>
      </w:r>
      <w:r>
        <w:rPr>
          <w:sz w:val="21"/>
        </w:rPr>
        <w:t>4.1.1</w:t>
      </w:r>
      <w:r>
        <w:rPr>
          <w:spacing w:val="-2"/>
          <w:sz w:val="21"/>
        </w:rPr>
        <w:t> 款规定的临界，应从</w:t>
      </w:r>
      <w:r>
        <w:rPr>
          <w:spacing w:val="-3"/>
          <w:sz w:val="21"/>
        </w:rPr>
        <w:t>严掌握；对心、肺、肝、脾、肾等重要器官的病症，传染性疾病，慢性疾病应严格把关。</w:t>
      </w:r>
      <w:r>
        <w:rPr>
          <w:sz w:val="21"/>
        </w:rPr>
        <w:t> </w:t>
      </w:r>
    </w:p>
    <w:p>
      <w:pPr>
        <w:spacing w:before="0"/>
        <w:ind w:left="840" w:right="0" w:firstLine="0"/>
        <w:jc w:val="left"/>
        <w:rPr>
          <w:b/>
          <w:sz w:val="21"/>
        </w:rPr>
      </w:pPr>
      <w:r>
        <w:rPr>
          <w:b/>
          <w:sz w:val="21"/>
        </w:rPr>
        <w:t>4.2 </w:t>
      </w:r>
      <w:r>
        <w:rPr>
          <w:sz w:val="21"/>
        </w:rPr>
        <w:t>心 理</w:t>
      </w:r>
      <w:r>
        <w:rPr>
          <w:b/>
          <w:w w:val="99"/>
          <w:sz w:val="21"/>
        </w:rPr>
        <w:t> </w:t>
      </w:r>
    </w:p>
    <w:p>
      <w:pPr>
        <w:pStyle w:val="BodyText"/>
        <w:rPr>
          <w:b/>
          <w:sz w:val="18"/>
        </w:rPr>
      </w:pPr>
    </w:p>
    <w:p>
      <w:pPr>
        <w:pStyle w:val="ListParagraph"/>
        <w:numPr>
          <w:ilvl w:val="2"/>
          <w:numId w:val="36"/>
        </w:numPr>
        <w:tabs>
          <w:tab w:pos="1371" w:val="left" w:leader="none"/>
        </w:tabs>
        <w:spacing w:line="240" w:lineRule="auto" w:before="0" w:after="0"/>
        <w:ind w:left="1370" w:right="0" w:hanging="531"/>
        <w:jc w:val="left"/>
        <w:rPr>
          <w:sz w:val="21"/>
        </w:rPr>
      </w:pPr>
      <w:r>
        <w:rPr>
          <w:spacing w:val="-3"/>
          <w:sz w:val="21"/>
        </w:rPr>
        <w:t>消防员从事的职业活动具有较高危险性，体格检查结束后应进行心理测验。 </w:t>
      </w:r>
    </w:p>
    <w:p>
      <w:pPr>
        <w:pStyle w:val="BodyText"/>
        <w:rPr>
          <w:sz w:val="18"/>
        </w:rPr>
      </w:pPr>
    </w:p>
    <w:p>
      <w:pPr>
        <w:pStyle w:val="ListParagraph"/>
        <w:numPr>
          <w:ilvl w:val="2"/>
          <w:numId w:val="36"/>
        </w:numPr>
        <w:tabs>
          <w:tab w:pos="1371" w:val="left" w:leader="none"/>
        </w:tabs>
        <w:spacing w:line="240" w:lineRule="auto" w:before="0" w:after="0"/>
        <w:ind w:left="1370" w:right="0" w:hanging="531"/>
        <w:jc w:val="left"/>
        <w:rPr>
          <w:sz w:val="21"/>
        </w:rPr>
      </w:pPr>
      <w:r>
        <w:rPr>
          <w:spacing w:val="-3"/>
          <w:sz w:val="21"/>
        </w:rPr>
        <w:t>测验方式以问卷调查为主，辅以访谈、投射测验等其他测验方式。</w:t>
      </w:r>
      <w:r>
        <w:rPr>
          <w:sz w:val="21"/>
        </w:rPr>
        <w:t> </w:t>
      </w:r>
    </w:p>
    <w:p>
      <w:pPr>
        <w:pStyle w:val="BodyText"/>
        <w:spacing w:before="2"/>
        <w:rPr>
          <w:sz w:val="18"/>
        </w:rPr>
      </w:pPr>
    </w:p>
    <w:p>
      <w:pPr>
        <w:pStyle w:val="ListParagraph"/>
        <w:numPr>
          <w:ilvl w:val="2"/>
          <w:numId w:val="36"/>
        </w:numPr>
        <w:tabs>
          <w:tab w:pos="1371" w:val="left" w:leader="none"/>
        </w:tabs>
        <w:spacing w:line="240" w:lineRule="auto" w:before="0" w:after="0"/>
        <w:ind w:left="1370" w:right="0" w:hanging="531"/>
        <w:jc w:val="left"/>
        <w:rPr>
          <w:sz w:val="21"/>
        </w:rPr>
      </w:pPr>
      <w:r>
        <w:rPr>
          <w:spacing w:val="-3"/>
          <w:sz w:val="21"/>
        </w:rPr>
        <w:t>测验结论以客观和主观相结合进行判定，只有“合格”和“不合格”。 </w:t>
      </w:r>
    </w:p>
    <w:p>
      <w:pPr>
        <w:pStyle w:val="BodyText"/>
        <w:spacing w:before="12"/>
        <w:rPr>
          <w:sz w:val="17"/>
        </w:rPr>
      </w:pPr>
    </w:p>
    <w:p>
      <w:pPr>
        <w:pStyle w:val="ListParagraph"/>
        <w:numPr>
          <w:ilvl w:val="2"/>
          <w:numId w:val="36"/>
        </w:numPr>
        <w:tabs>
          <w:tab w:pos="1371" w:val="left" w:leader="none"/>
        </w:tabs>
        <w:spacing w:line="240" w:lineRule="auto" w:before="0" w:after="0"/>
        <w:ind w:left="1370" w:right="0" w:hanging="531"/>
        <w:jc w:val="left"/>
        <w:rPr>
          <w:sz w:val="21"/>
        </w:rPr>
      </w:pPr>
      <w:r>
        <w:rPr>
          <w:spacing w:val="-3"/>
          <w:sz w:val="21"/>
        </w:rPr>
        <w:t>心理测验不合格者不应从事消防员工作。</w:t>
      </w:r>
      <w:r>
        <w:rPr>
          <w:sz w:val="21"/>
        </w:rPr>
        <w:t> </w:t>
      </w:r>
    </w:p>
    <w:p>
      <w:pPr>
        <w:pStyle w:val="BodyText"/>
        <w:spacing w:before="12"/>
        <w:rPr>
          <w:sz w:val="17"/>
        </w:rPr>
      </w:pPr>
    </w:p>
    <w:p>
      <w:pPr>
        <w:spacing w:before="0"/>
        <w:ind w:left="840" w:right="0" w:firstLine="0"/>
        <w:jc w:val="left"/>
        <w:rPr>
          <w:b/>
          <w:sz w:val="21"/>
        </w:rPr>
      </w:pPr>
      <w:r>
        <w:rPr>
          <w:b/>
          <w:sz w:val="21"/>
        </w:rPr>
        <w:t>4.3 </w:t>
      </w:r>
      <w:r>
        <w:rPr>
          <w:sz w:val="21"/>
        </w:rPr>
        <w:t>体 能</w:t>
      </w:r>
      <w:r>
        <w:rPr>
          <w:b/>
          <w:w w:val="99"/>
          <w:sz w:val="21"/>
        </w:rPr>
        <w:t> </w:t>
      </w:r>
    </w:p>
    <w:p>
      <w:pPr>
        <w:pStyle w:val="BodyText"/>
        <w:spacing w:before="2"/>
        <w:rPr>
          <w:b/>
          <w:sz w:val="18"/>
        </w:rPr>
      </w:pPr>
    </w:p>
    <w:p>
      <w:pPr>
        <w:pStyle w:val="BodyText"/>
        <w:spacing w:line="446" w:lineRule="auto"/>
        <w:ind w:left="418" w:right="1609" w:firstLine="419"/>
      </w:pPr>
      <w:r>
        <w:rPr/>
        <w:t>消防员的劳动强度较大，一般为重度和极重度体力劳动，对体能的要求较高，在体格检查和心理测验结束后应进行体能测试。 </w:t>
      </w:r>
    </w:p>
    <w:p>
      <w:pPr>
        <w:spacing w:line="267" w:lineRule="exact" w:before="0"/>
        <w:ind w:left="840" w:right="0" w:firstLine="0"/>
        <w:jc w:val="left"/>
        <w:rPr>
          <w:sz w:val="21"/>
        </w:rPr>
      </w:pPr>
      <w:r>
        <w:rPr>
          <w:b/>
          <w:sz w:val="21"/>
        </w:rPr>
        <w:t>4.3.1 </w:t>
      </w:r>
      <w:r>
        <w:rPr>
          <w:sz w:val="21"/>
        </w:rPr>
        <w:t>测试指标及标准 </w:t>
      </w:r>
    </w:p>
    <w:p>
      <w:pPr>
        <w:pStyle w:val="BodyText"/>
        <w:spacing w:before="2"/>
        <w:rPr>
          <w:sz w:val="18"/>
        </w:rPr>
      </w:pPr>
    </w:p>
    <w:p>
      <w:pPr>
        <w:pStyle w:val="ListParagraph"/>
        <w:numPr>
          <w:ilvl w:val="0"/>
          <w:numId w:val="37"/>
        </w:numPr>
        <w:tabs>
          <w:tab w:pos="1051" w:val="left" w:leader="none"/>
        </w:tabs>
        <w:spacing w:line="240" w:lineRule="auto" w:before="0" w:after="0"/>
        <w:ind w:left="1050" w:right="0" w:hanging="213"/>
        <w:jc w:val="left"/>
        <w:rPr>
          <w:sz w:val="21"/>
        </w:rPr>
      </w:pPr>
      <w:r>
        <w:rPr>
          <w:spacing w:val="-10"/>
          <w:sz w:val="21"/>
        </w:rPr>
        <w:t>肺活量：不低于 </w:t>
      </w:r>
      <w:r>
        <w:rPr>
          <w:sz w:val="21"/>
        </w:rPr>
        <w:t>4000ml； </w:t>
      </w:r>
    </w:p>
    <w:p>
      <w:pPr>
        <w:spacing w:after="0" w:line="240" w:lineRule="auto"/>
        <w:jc w:val="left"/>
        <w:rPr>
          <w:sz w:val="21"/>
        </w:rPr>
        <w:sectPr>
          <w:pgSz w:w="11910" w:h="16850"/>
          <w:pgMar w:header="0" w:footer="1239" w:top="1220" w:bottom="1420" w:left="1260" w:right="0"/>
        </w:sectPr>
      </w:pPr>
    </w:p>
    <w:p>
      <w:pPr>
        <w:pStyle w:val="ListParagraph"/>
        <w:numPr>
          <w:ilvl w:val="0"/>
          <w:numId w:val="37"/>
        </w:numPr>
        <w:tabs>
          <w:tab w:pos="1051" w:val="left" w:leader="none"/>
        </w:tabs>
        <w:spacing w:line="240" w:lineRule="auto" w:before="47" w:after="0"/>
        <w:ind w:left="1050" w:right="0" w:hanging="213"/>
        <w:jc w:val="left"/>
        <w:rPr>
          <w:sz w:val="21"/>
        </w:rPr>
      </w:pPr>
      <w:r>
        <w:rPr>
          <w:spacing w:val="-8"/>
          <w:sz w:val="21"/>
        </w:rPr>
        <w:t>台阶试验指数：不小于 </w:t>
      </w:r>
      <w:r>
        <w:rPr>
          <w:sz w:val="21"/>
        </w:rPr>
        <w:t>75； </w:t>
      </w:r>
    </w:p>
    <w:p>
      <w:pPr>
        <w:pStyle w:val="BodyText"/>
        <w:rPr>
          <w:sz w:val="18"/>
        </w:rPr>
      </w:pPr>
    </w:p>
    <w:p>
      <w:pPr>
        <w:pStyle w:val="BodyText"/>
        <w:ind w:left="838"/>
      </w:pPr>
      <w:r>
        <w:rPr/>
        <w:t>c) 体脂百分比：11.0～13.5； </w:t>
      </w:r>
    </w:p>
    <w:p>
      <w:pPr>
        <w:pStyle w:val="BodyText"/>
        <w:rPr>
          <w:sz w:val="18"/>
        </w:rPr>
      </w:pPr>
    </w:p>
    <w:p>
      <w:pPr>
        <w:pStyle w:val="ListParagraph"/>
        <w:numPr>
          <w:ilvl w:val="0"/>
          <w:numId w:val="38"/>
        </w:numPr>
        <w:tabs>
          <w:tab w:pos="1051" w:val="left" w:leader="none"/>
        </w:tabs>
        <w:spacing w:line="240" w:lineRule="auto" w:before="0" w:after="0"/>
        <w:ind w:left="1050" w:right="0" w:hanging="213"/>
        <w:jc w:val="left"/>
        <w:rPr>
          <w:sz w:val="21"/>
        </w:rPr>
      </w:pPr>
      <w:r>
        <w:rPr>
          <w:sz w:val="21"/>
        </w:rPr>
        <w:t>1</w:t>
      </w:r>
      <w:r>
        <w:rPr>
          <w:spacing w:val="-13"/>
          <w:sz w:val="21"/>
        </w:rPr>
        <w:t> 分钟仰卧起坐：不少于 </w:t>
      </w:r>
      <w:r>
        <w:rPr>
          <w:sz w:val="21"/>
        </w:rPr>
        <w:t>40</w:t>
      </w:r>
      <w:r>
        <w:rPr>
          <w:spacing w:val="-20"/>
          <w:sz w:val="21"/>
        </w:rPr>
        <w:t> 次；</w:t>
      </w:r>
      <w:r>
        <w:rPr>
          <w:sz w:val="21"/>
        </w:rPr>
        <w:t> </w:t>
      </w:r>
    </w:p>
    <w:p>
      <w:pPr>
        <w:pStyle w:val="BodyText"/>
        <w:spacing w:before="1"/>
        <w:rPr>
          <w:sz w:val="18"/>
        </w:rPr>
      </w:pPr>
    </w:p>
    <w:p>
      <w:pPr>
        <w:pStyle w:val="ListParagraph"/>
        <w:numPr>
          <w:ilvl w:val="0"/>
          <w:numId w:val="38"/>
        </w:numPr>
        <w:tabs>
          <w:tab w:pos="1051" w:val="left" w:leader="none"/>
        </w:tabs>
        <w:spacing w:line="240" w:lineRule="auto" w:before="1" w:after="0"/>
        <w:ind w:left="1050" w:right="0" w:hanging="213"/>
        <w:jc w:val="left"/>
        <w:rPr>
          <w:sz w:val="21"/>
        </w:rPr>
      </w:pPr>
      <w:r>
        <w:rPr>
          <w:spacing w:val="-9"/>
          <w:sz w:val="21"/>
        </w:rPr>
        <w:t>引体向上：不少于 </w:t>
      </w:r>
      <w:r>
        <w:rPr>
          <w:sz w:val="21"/>
        </w:rPr>
        <w:t>10</w:t>
      </w:r>
      <w:r>
        <w:rPr>
          <w:spacing w:val="-20"/>
          <w:sz w:val="21"/>
        </w:rPr>
        <w:t> 次；</w:t>
      </w:r>
      <w:r>
        <w:rPr>
          <w:sz w:val="21"/>
        </w:rPr>
        <w:t> </w:t>
      </w:r>
    </w:p>
    <w:p>
      <w:pPr>
        <w:pStyle w:val="BodyText"/>
        <w:spacing w:before="12"/>
        <w:rPr>
          <w:sz w:val="17"/>
        </w:rPr>
      </w:pPr>
    </w:p>
    <w:p>
      <w:pPr>
        <w:pStyle w:val="ListParagraph"/>
        <w:numPr>
          <w:ilvl w:val="0"/>
          <w:numId w:val="38"/>
        </w:numPr>
        <w:tabs>
          <w:tab w:pos="1051" w:val="left" w:leader="none"/>
        </w:tabs>
        <w:spacing w:line="240" w:lineRule="auto" w:before="0" w:after="0"/>
        <w:ind w:left="1050" w:right="0" w:hanging="213"/>
        <w:jc w:val="left"/>
        <w:rPr>
          <w:sz w:val="21"/>
        </w:rPr>
      </w:pPr>
      <w:r>
        <w:rPr>
          <w:spacing w:val="-10"/>
          <w:sz w:val="21"/>
        </w:rPr>
        <w:t>俯卧撑：不少于 </w:t>
      </w:r>
      <w:r>
        <w:rPr>
          <w:sz w:val="21"/>
        </w:rPr>
        <w:t>36</w:t>
      </w:r>
      <w:r>
        <w:rPr>
          <w:spacing w:val="-20"/>
          <w:sz w:val="21"/>
        </w:rPr>
        <w:t> 次； </w:t>
      </w:r>
    </w:p>
    <w:p>
      <w:pPr>
        <w:pStyle w:val="BodyText"/>
        <w:spacing w:before="12"/>
        <w:rPr>
          <w:sz w:val="17"/>
        </w:rPr>
      </w:pPr>
    </w:p>
    <w:p>
      <w:pPr>
        <w:pStyle w:val="BodyText"/>
        <w:ind w:left="838"/>
      </w:pPr>
      <w:r>
        <w:rPr/>
        <w:t>g) 100m 跑：不超过 14s； </w:t>
      </w:r>
    </w:p>
    <w:p>
      <w:pPr>
        <w:pStyle w:val="BodyText"/>
        <w:spacing w:before="2"/>
        <w:rPr>
          <w:sz w:val="18"/>
        </w:rPr>
      </w:pPr>
    </w:p>
    <w:p>
      <w:pPr>
        <w:pStyle w:val="BodyText"/>
        <w:spacing w:line="446" w:lineRule="auto"/>
        <w:ind w:left="838" w:right="6918"/>
      </w:pPr>
      <w:r>
        <w:rPr/>
        <w:t>h)</w:t>
      </w:r>
      <w:r>
        <w:rPr>
          <w:spacing w:val="1"/>
        </w:rPr>
        <w:t> </w:t>
      </w:r>
      <w:r>
        <w:rPr/>
        <w:t>3000m</w:t>
      </w:r>
      <w:r>
        <w:rPr>
          <w:spacing w:val="-10"/>
        </w:rPr>
        <w:t> 跑：不超过 </w:t>
      </w:r>
      <w:r>
        <w:rPr/>
        <w:t>14min； i)</w:t>
      </w:r>
      <w:r>
        <w:rPr>
          <w:spacing w:val="-10"/>
        </w:rPr>
        <w:t> 握力：不低于 </w:t>
      </w:r>
      <w:r>
        <w:rPr/>
        <w:t>45kg； </w:t>
      </w:r>
    </w:p>
    <w:p>
      <w:pPr>
        <w:pStyle w:val="ListParagraph"/>
        <w:numPr>
          <w:ilvl w:val="0"/>
          <w:numId w:val="39"/>
        </w:numPr>
        <w:tabs>
          <w:tab w:pos="1051" w:val="left" w:leader="none"/>
        </w:tabs>
        <w:spacing w:line="267" w:lineRule="exact" w:before="0" w:after="0"/>
        <w:ind w:left="1050" w:right="0" w:hanging="213"/>
        <w:jc w:val="left"/>
        <w:rPr>
          <w:sz w:val="21"/>
        </w:rPr>
      </w:pPr>
      <w:r>
        <w:rPr>
          <w:spacing w:val="-9"/>
          <w:sz w:val="21"/>
        </w:rPr>
        <w:t>腰背肌力：不低于 </w:t>
      </w:r>
      <w:r>
        <w:rPr>
          <w:sz w:val="21"/>
        </w:rPr>
        <w:t>116kg； </w:t>
      </w:r>
    </w:p>
    <w:p>
      <w:pPr>
        <w:pStyle w:val="BodyText"/>
        <w:spacing w:before="2"/>
        <w:rPr>
          <w:sz w:val="18"/>
        </w:rPr>
      </w:pPr>
    </w:p>
    <w:p>
      <w:pPr>
        <w:pStyle w:val="ListParagraph"/>
        <w:numPr>
          <w:ilvl w:val="0"/>
          <w:numId w:val="39"/>
        </w:numPr>
        <w:tabs>
          <w:tab w:pos="1051" w:val="left" w:leader="none"/>
        </w:tabs>
        <w:spacing w:line="446" w:lineRule="auto" w:before="0" w:after="0"/>
        <w:ind w:left="840" w:right="6597" w:hanging="3"/>
        <w:jc w:val="left"/>
        <w:rPr>
          <w:sz w:val="21"/>
        </w:rPr>
      </w:pPr>
      <w:r>
        <w:rPr>
          <w:spacing w:val="-8"/>
          <w:sz w:val="21"/>
        </w:rPr>
        <w:t>闭目单脚站立：不低于 </w:t>
      </w:r>
      <w:r>
        <w:rPr>
          <w:sz w:val="21"/>
        </w:rPr>
        <w:t>90s</w:t>
      </w:r>
      <w:r>
        <w:rPr>
          <w:spacing w:val="-3"/>
          <w:sz w:val="21"/>
        </w:rPr>
        <w:t>。</w:t>
      </w:r>
      <w:r>
        <w:rPr>
          <w:b/>
          <w:sz w:val="21"/>
        </w:rPr>
        <w:t>4.3.2</w:t>
      </w:r>
      <w:r>
        <w:rPr>
          <w:b/>
          <w:spacing w:val="5"/>
          <w:sz w:val="21"/>
        </w:rPr>
        <w:t> </w:t>
      </w:r>
      <w:r>
        <w:rPr>
          <w:spacing w:val="-8"/>
          <w:sz w:val="21"/>
        </w:rPr>
        <w:t>体能测试方法参见附录 </w:t>
      </w:r>
      <w:r>
        <w:rPr>
          <w:spacing w:val="-3"/>
          <w:sz w:val="21"/>
        </w:rPr>
        <w:t>A。</w:t>
      </w:r>
      <w:r>
        <w:rPr>
          <w:sz w:val="21"/>
        </w:rPr>
        <w:t> </w:t>
      </w:r>
    </w:p>
    <w:p>
      <w:pPr>
        <w:pStyle w:val="Heading4"/>
        <w:spacing w:line="275" w:lineRule="exact"/>
      </w:pPr>
      <w:r>
        <w:rPr/>
        <w:t>5 职业健康监护</w:t>
      </w:r>
      <w:r>
        <w:rPr>
          <w:w w:val="99"/>
        </w:rPr>
        <w:t> </w:t>
      </w:r>
    </w:p>
    <w:p>
      <w:pPr>
        <w:pStyle w:val="BodyText"/>
        <w:spacing w:before="6"/>
        <w:rPr>
          <w:b/>
          <w:sz w:val="17"/>
        </w:rPr>
      </w:pPr>
    </w:p>
    <w:p>
      <w:pPr>
        <w:pStyle w:val="BodyText"/>
        <w:spacing w:line="446" w:lineRule="auto"/>
        <w:ind w:left="418" w:right="1609" w:firstLine="419"/>
      </w:pPr>
      <w:r>
        <w:rPr/>
        <w:t>消防员职业健康监护主要包括职业健康检查、心理测验、体能测试和职业健康监护档案管理等内容。 </w:t>
      </w:r>
    </w:p>
    <w:p>
      <w:pPr>
        <w:pStyle w:val="ListParagraph"/>
        <w:numPr>
          <w:ilvl w:val="1"/>
          <w:numId w:val="40"/>
        </w:numPr>
        <w:tabs>
          <w:tab w:pos="1160" w:val="left" w:leader="none"/>
        </w:tabs>
        <w:spacing w:line="267" w:lineRule="exact" w:before="0" w:after="0"/>
        <w:ind w:left="1159" w:right="0" w:hanging="320"/>
        <w:jc w:val="left"/>
        <w:rPr>
          <w:b/>
          <w:sz w:val="21"/>
        </w:rPr>
      </w:pPr>
      <w:r>
        <w:rPr>
          <w:spacing w:val="-3"/>
          <w:sz w:val="21"/>
        </w:rPr>
        <w:t>职业健康检查</w:t>
      </w:r>
      <w:r>
        <w:rPr>
          <w:b/>
          <w:w w:val="99"/>
          <w:sz w:val="21"/>
        </w:rPr>
        <w:t> </w:t>
      </w:r>
    </w:p>
    <w:p>
      <w:pPr>
        <w:pStyle w:val="BodyText"/>
        <w:spacing w:before="2"/>
        <w:rPr>
          <w:b/>
          <w:sz w:val="18"/>
        </w:rPr>
      </w:pPr>
    </w:p>
    <w:p>
      <w:pPr>
        <w:pStyle w:val="ListParagraph"/>
        <w:numPr>
          <w:ilvl w:val="2"/>
          <w:numId w:val="40"/>
        </w:numPr>
        <w:tabs>
          <w:tab w:pos="1370" w:val="left" w:leader="none"/>
        </w:tabs>
        <w:spacing w:line="240" w:lineRule="auto" w:before="0" w:after="0"/>
        <w:ind w:left="1369" w:right="0" w:hanging="530"/>
        <w:jc w:val="left"/>
        <w:rPr>
          <w:sz w:val="21"/>
        </w:rPr>
      </w:pPr>
      <w:r>
        <w:rPr>
          <w:spacing w:val="-3"/>
          <w:sz w:val="21"/>
        </w:rPr>
        <w:t>种类</w:t>
      </w:r>
      <w:r>
        <w:rPr>
          <w:sz w:val="21"/>
        </w:rPr>
        <w:t> </w:t>
      </w:r>
    </w:p>
    <w:p>
      <w:pPr>
        <w:pStyle w:val="BodyText"/>
        <w:rPr>
          <w:sz w:val="18"/>
        </w:rPr>
      </w:pPr>
    </w:p>
    <w:p>
      <w:pPr>
        <w:pStyle w:val="BodyText"/>
        <w:ind w:left="838"/>
      </w:pPr>
      <w:r>
        <w:rPr/>
        <w:t>职业健康检查主要包括上岗前、在岗期间、离岗时和应急健康检查四类。 </w:t>
      </w:r>
    </w:p>
    <w:p>
      <w:pPr>
        <w:pStyle w:val="BodyText"/>
        <w:spacing w:before="12"/>
        <w:rPr>
          <w:sz w:val="17"/>
        </w:rPr>
      </w:pPr>
    </w:p>
    <w:p>
      <w:pPr>
        <w:pStyle w:val="ListParagraph"/>
        <w:numPr>
          <w:ilvl w:val="3"/>
          <w:numId w:val="40"/>
        </w:numPr>
        <w:tabs>
          <w:tab w:pos="1576" w:val="left" w:leader="none"/>
        </w:tabs>
        <w:spacing w:line="446" w:lineRule="auto" w:before="0" w:after="0"/>
        <w:ind w:left="418" w:right="1505" w:firstLine="419"/>
        <w:jc w:val="left"/>
        <w:rPr>
          <w:sz w:val="21"/>
        </w:rPr>
      </w:pPr>
      <w:r>
        <w:rPr>
          <w:spacing w:val="-3"/>
          <w:sz w:val="21"/>
        </w:rPr>
        <w:t>上岗前职业健康检查 消防组织对拟从事消防职业活动并可能接触职业危害因素的</w:t>
      </w:r>
      <w:r>
        <w:rPr>
          <w:spacing w:val="-6"/>
          <w:sz w:val="21"/>
        </w:rPr>
        <w:t>人员应进行上岗前职业健康检查。检查时间为上岗前 </w:t>
      </w:r>
      <w:r>
        <w:rPr>
          <w:sz w:val="21"/>
        </w:rPr>
        <w:t>30</w:t>
      </w:r>
      <w:r>
        <w:rPr>
          <w:spacing w:val="-15"/>
          <w:sz w:val="21"/>
        </w:rPr>
        <w:t> 天内。</w:t>
      </w:r>
      <w:r>
        <w:rPr>
          <w:sz w:val="21"/>
        </w:rPr>
        <w:t> </w:t>
      </w:r>
    </w:p>
    <w:p>
      <w:pPr>
        <w:pStyle w:val="ListParagraph"/>
        <w:numPr>
          <w:ilvl w:val="3"/>
          <w:numId w:val="40"/>
        </w:numPr>
        <w:tabs>
          <w:tab w:pos="1576" w:val="left" w:leader="none"/>
        </w:tabs>
        <w:spacing w:line="446" w:lineRule="auto" w:before="1" w:after="0"/>
        <w:ind w:left="418" w:right="1505" w:firstLine="419"/>
        <w:jc w:val="left"/>
        <w:rPr>
          <w:sz w:val="21"/>
        </w:rPr>
      </w:pPr>
      <w:r>
        <w:rPr>
          <w:spacing w:val="-3"/>
          <w:sz w:val="21"/>
        </w:rPr>
        <w:t>在岗期间职业健康检查 消防组织对接触职业危害因素的消防员应进行在岗期间职</w:t>
      </w:r>
      <w:r>
        <w:rPr>
          <w:spacing w:val="-6"/>
          <w:sz w:val="21"/>
        </w:rPr>
        <w:t>业健康检查。在岗期间职业健康检查的周期为 </w:t>
      </w:r>
      <w:r>
        <w:rPr>
          <w:sz w:val="21"/>
        </w:rPr>
        <w:t>1</w:t>
      </w:r>
      <w:r>
        <w:rPr>
          <w:spacing w:val="-19"/>
          <w:sz w:val="21"/>
        </w:rPr>
        <w:t> 年。 </w:t>
      </w:r>
    </w:p>
    <w:p>
      <w:pPr>
        <w:pStyle w:val="ListParagraph"/>
        <w:numPr>
          <w:ilvl w:val="3"/>
          <w:numId w:val="40"/>
        </w:numPr>
        <w:tabs>
          <w:tab w:pos="1576" w:val="left" w:leader="none"/>
        </w:tabs>
        <w:spacing w:line="446" w:lineRule="auto" w:before="0" w:after="0"/>
        <w:ind w:left="418" w:right="1714" w:firstLine="419"/>
        <w:jc w:val="left"/>
        <w:rPr>
          <w:sz w:val="21"/>
        </w:rPr>
      </w:pPr>
      <w:r>
        <w:rPr>
          <w:spacing w:val="-3"/>
          <w:sz w:val="21"/>
        </w:rPr>
        <w:t>离岗时职业健康检查 消防组织对接触职业危害因素的消防员调离所从事的岗位前，应进行离岗时职业健康检查，确定其在停止接触职业危害因素时的健康状况。</w:t>
      </w:r>
      <w:r>
        <w:rPr>
          <w:sz w:val="21"/>
        </w:rPr>
        <w:t> </w:t>
      </w:r>
    </w:p>
    <w:p>
      <w:pPr>
        <w:pStyle w:val="ListParagraph"/>
        <w:numPr>
          <w:ilvl w:val="3"/>
          <w:numId w:val="40"/>
        </w:numPr>
        <w:tabs>
          <w:tab w:pos="1576" w:val="left" w:leader="none"/>
        </w:tabs>
        <w:spacing w:line="446" w:lineRule="auto" w:before="0" w:after="0"/>
        <w:ind w:left="418" w:right="1505" w:firstLine="419"/>
        <w:jc w:val="left"/>
        <w:rPr>
          <w:sz w:val="21"/>
        </w:rPr>
      </w:pPr>
      <w:r>
        <w:rPr>
          <w:spacing w:val="-3"/>
          <w:sz w:val="21"/>
        </w:rPr>
        <w:t>应急健康检查 消防组织应对执行灭火战斗、抢险救援等任务后，遭受或者可能遭受急性职业危害的消防员，及时组织健康检查。</w:t>
      </w:r>
      <w:r>
        <w:rPr>
          <w:sz w:val="21"/>
        </w:rPr>
        <w:t> </w:t>
      </w:r>
    </w:p>
    <w:p>
      <w:pPr>
        <w:pStyle w:val="ListParagraph"/>
        <w:numPr>
          <w:ilvl w:val="2"/>
          <w:numId w:val="40"/>
        </w:numPr>
        <w:tabs>
          <w:tab w:pos="1370" w:val="left" w:leader="none"/>
        </w:tabs>
        <w:spacing w:line="240" w:lineRule="auto" w:before="0" w:after="0"/>
        <w:ind w:left="1369" w:right="0" w:hanging="530"/>
        <w:jc w:val="left"/>
        <w:rPr>
          <w:sz w:val="21"/>
        </w:rPr>
      </w:pPr>
      <w:r>
        <w:rPr>
          <w:spacing w:val="-3"/>
          <w:sz w:val="21"/>
        </w:rPr>
        <w:t>内容</w:t>
      </w:r>
      <w:r>
        <w:rPr>
          <w:sz w:val="21"/>
        </w:rPr>
        <w:t> </w:t>
      </w:r>
    </w:p>
    <w:p>
      <w:pPr>
        <w:pStyle w:val="BodyText"/>
        <w:spacing w:before="9"/>
        <w:rPr>
          <w:sz w:val="17"/>
        </w:rPr>
      </w:pPr>
    </w:p>
    <w:p>
      <w:pPr>
        <w:pStyle w:val="ListParagraph"/>
        <w:numPr>
          <w:ilvl w:val="3"/>
          <w:numId w:val="40"/>
        </w:numPr>
        <w:tabs>
          <w:tab w:pos="1576" w:val="left" w:leader="none"/>
        </w:tabs>
        <w:spacing w:line="446" w:lineRule="auto" w:before="1" w:after="0"/>
        <w:ind w:left="418" w:right="1818" w:firstLine="419"/>
        <w:jc w:val="left"/>
        <w:rPr>
          <w:sz w:val="21"/>
        </w:rPr>
      </w:pPr>
      <w:r>
        <w:rPr>
          <w:spacing w:val="-3"/>
          <w:sz w:val="21"/>
        </w:rPr>
        <w:t>上岗前、在岗期间、离岗时职业健康检查内容主要包括消防员个人基本信息资料、常规医学检查、特殊医学检查等。</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3"/>
          <w:numId w:val="40"/>
        </w:numPr>
        <w:tabs>
          <w:tab w:pos="1576" w:val="left" w:leader="none"/>
        </w:tabs>
        <w:spacing w:line="240" w:lineRule="auto" w:before="47" w:after="0"/>
        <w:ind w:left="1575" w:right="0" w:hanging="738"/>
        <w:jc w:val="both"/>
        <w:rPr>
          <w:sz w:val="21"/>
        </w:rPr>
      </w:pPr>
      <w:r>
        <w:rPr>
          <w:spacing w:val="-6"/>
          <w:sz w:val="21"/>
        </w:rPr>
        <w:t>消防员个人基本信息资料、常规医学检查内容按 </w:t>
      </w:r>
      <w:r>
        <w:rPr>
          <w:sz w:val="21"/>
        </w:rPr>
        <w:t>GBZ188</w:t>
      </w:r>
      <w:r>
        <w:rPr>
          <w:spacing w:val="-3"/>
          <w:sz w:val="21"/>
        </w:rPr>
        <w:t> 规定执行。 </w:t>
      </w:r>
    </w:p>
    <w:p>
      <w:pPr>
        <w:pStyle w:val="BodyText"/>
        <w:rPr>
          <w:sz w:val="18"/>
        </w:rPr>
      </w:pPr>
    </w:p>
    <w:p>
      <w:pPr>
        <w:pStyle w:val="ListParagraph"/>
        <w:numPr>
          <w:ilvl w:val="3"/>
          <w:numId w:val="40"/>
        </w:numPr>
        <w:tabs>
          <w:tab w:pos="1576" w:val="left" w:leader="none"/>
        </w:tabs>
        <w:spacing w:line="446" w:lineRule="auto" w:before="0" w:after="0"/>
        <w:ind w:left="418" w:right="1608" w:firstLine="419"/>
        <w:jc w:val="both"/>
        <w:rPr>
          <w:sz w:val="21"/>
        </w:rPr>
      </w:pPr>
      <w:r>
        <w:rPr>
          <w:spacing w:val="-3"/>
          <w:sz w:val="21"/>
        </w:rPr>
        <w:t>特殊医学检查：应根据消防员接触或可能接触的化学、放射性物质等情况，在上岗前、在岗期间进行医学检查；根据消防职业活动所在地疫情，选择性地进行自然疫源性疾病和地方病检查。如</w:t>
      </w:r>
      <w:r>
        <w:rPr>
          <w:sz w:val="21"/>
        </w:rPr>
        <w:t> </w:t>
      </w:r>
    </w:p>
    <w:p>
      <w:pPr>
        <w:pStyle w:val="ListParagraph"/>
        <w:numPr>
          <w:ilvl w:val="0"/>
          <w:numId w:val="41"/>
        </w:numPr>
        <w:tabs>
          <w:tab w:pos="1051" w:val="left" w:leader="none"/>
        </w:tabs>
        <w:spacing w:line="446" w:lineRule="auto" w:before="0" w:after="0"/>
        <w:ind w:left="418" w:right="1609" w:firstLine="419"/>
        <w:jc w:val="both"/>
        <w:rPr>
          <w:sz w:val="21"/>
        </w:rPr>
      </w:pPr>
      <w:r>
        <w:rPr>
          <w:spacing w:val="-3"/>
          <w:sz w:val="21"/>
        </w:rPr>
        <w:t>重金属检测：上岗前应进行铅、镉、汞等重金属的基线检测；在岗期间应根据消防员接触或可能接触的重金属确定检查项目，定期进行检测。</w:t>
      </w:r>
      <w:r>
        <w:rPr>
          <w:sz w:val="21"/>
        </w:rPr>
        <w:t> </w:t>
      </w:r>
    </w:p>
    <w:p>
      <w:pPr>
        <w:pStyle w:val="ListParagraph"/>
        <w:numPr>
          <w:ilvl w:val="0"/>
          <w:numId w:val="41"/>
        </w:numPr>
        <w:tabs>
          <w:tab w:pos="1051" w:val="left" w:leader="none"/>
        </w:tabs>
        <w:spacing w:line="269" w:lineRule="exact" w:before="0" w:after="0"/>
        <w:ind w:left="1050" w:right="0" w:hanging="213"/>
        <w:jc w:val="both"/>
        <w:rPr>
          <w:sz w:val="21"/>
        </w:rPr>
      </w:pPr>
      <w:r>
        <w:rPr/>
        <w:pict>
          <v:shape style="position:absolute;margin-left:281.570007pt;margin-top:6.230639pt;width:110.9pt;height:5.55pt;mso-position-horizontal-relative:page;mso-position-vertical-relative:paragraph;z-index:-287675392" type="#_x0000_t202" filled="false" stroked="false">
            <v:textbox inset="0,0,0,0">
              <w:txbxContent>
                <w:p>
                  <w:pPr>
                    <w:tabs>
                      <w:tab w:pos="2162" w:val="left" w:leader="none"/>
                    </w:tabs>
                    <w:spacing w:line="110" w:lineRule="exact" w:before="0"/>
                    <w:ind w:left="0" w:right="0" w:firstLine="0"/>
                    <w:jc w:val="left"/>
                    <w:rPr>
                      <w:sz w:val="11"/>
                    </w:rPr>
                  </w:pPr>
                  <w:r>
                    <w:rPr>
                      <w:sz w:val="11"/>
                    </w:rPr>
                    <w:t>3</w:t>
                    <w:tab/>
                  </w:r>
                  <w:r>
                    <w:rPr>
                      <w:spacing w:val="-20"/>
                      <w:sz w:val="11"/>
                    </w:rPr>
                    <w:t>2</w:t>
                  </w:r>
                </w:p>
              </w:txbxContent>
            </v:textbox>
            <w10:wrap type="none"/>
          </v:shape>
        </w:pict>
      </w:r>
      <w:r>
        <w:rPr>
          <w:spacing w:val="-3"/>
          <w:sz w:val="21"/>
        </w:rPr>
        <w:t>电解质</w:t>
      </w:r>
      <w:r>
        <w:rPr>
          <w:sz w:val="21"/>
        </w:rPr>
        <w:t>(Na</w:t>
      </w:r>
      <w:r>
        <w:rPr>
          <w:position w:val="11"/>
          <w:sz w:val="11"/>
        </w:rPr>
        <w:t>+</w:t>
      </w:r>
      <w:r>
        <w:rPr>
          <w:sz w:val="21"/>
        </w:rPr>
        <w:t>、K</w:t>
      </w:r>
      <w:r>
        <w:rPr>
          <w:position w:val="11"/>
          <w:sz w:val="11"/>
        </w:rPr>
        <w:t>+</w:t>
      </w:r>
      <w:r>
        <w:rPr>
          <w:sz w:val="21"/>
        </w:rPr>
        <w:t>、Cl</w:t>
      </w:r>
      <w:r>
        <w:rPr>
          <w:position w:val="11"/>
          <w:sz w:val="11"/>
        </w:rPr>
        <w:t>-</w:t>
      </w:r>
      <w:r>
        <w:rPr>
          <w:sz w:val="21"/>
        </w:rPr>
        <w:t>、Ca</w:t>
      </w:r>
      <w:r>
        <w:rPr>
          <w:position w:val="11"/>
          <w:sz w:val="11"/>
        </w:rPr>
        <w:t>2+</w:t>
      </w:r>
      <w:r>
        <w:rPr>
          <w:sz w:val="21"/>
        </w:rPr>
        <w:t>、 HC0</w:t>
      </w:r>
      <w:r>
        <w:rPr>
          <w:spacing w:val="-50"/>
          <w:sz w:val="21"/>
        </w:rPr>
        <w:t> </w:t>
      </w:r>
      <w:r>
        <w:rPr>
          <w:spacing w:val="26"/>
          <w:position w:val="11"/>
          <w:sz w:val="11"/>
        </w:rPr>
        <w:t>- </w:t>
      </w:r>
      <w:r>
        <w:rPr>
          <w:spacing w:val="-9"/>
          <w:sz w:val="21"/>
        </w:rPr>
        <w:t>或二氧化碳结合力 </w:t>
      </w:r>
      <w:r>
        <w:rPr>
          <w:sz w:val="21"/>
        </w:rPr>
        <w:t>C0</w:t>
      </w:r>
      <w:r>
        <w:rPr>
          <w:spacing w:val="-50"/>
          <w:sz w:val="21"/>
        </w:rPr>
        <w:t> </w:t>
      </w:r>
      <w:r>
        <w:rPr>
          <w:sz w:val="21"/>
        </w:rPr>
        <w:t>CP</w:t>
      </w:r>
      <w:r>
        <w:rPr>
          <w:spacing w:val="-2"/>
          <w:sz w:val="21"/>
        </w:rPr>
        <w:t>)检测。</w:t>
      </w:r>
      <w:r>
        <w:rPr>
          <w:sz w:val="21"/>
        </w:rPr>
        <w:t> </w:t>
      </w:r>
    </w:p>
    <w:p>
      <w:pPr>
        <w:pStyle w:val="BodyText"/>
        <w:spacing w:before="12"/>
        <w:rPr>
          <w:sz w:val="17"/>
        </w:rPr>
      </w:pPr>
    </w:p>
    <w:p>
      <w:pPr>
        <w:pStyle w:val="ListParagraph"/>
        <w:numPr>
          <w:ilvl w:val="0"/>
          <w:numId w:val="41"/>
        </w:numPr>
        <w:tabs>
          <w:tab w:pos="1051" w:val="left" w:leader="none"/>
        </w:tabs>
        <w:spacing w:line="240" w:lineRule="auto" w:before="0" w:after="0"/>
        <w:ind w:left="1050" w:right="0" w:hanging="213"/>
        <w:jc w:val="both"/>
        <w:rPr>
          <w:sz w:val="21"/>
        </w:rPr>
      </w:pPr>
      <w:r>
        <w:rPr>
          <w:spacing w:val="-3"/>
          <w:sz w:val="21"/>
        </w:rPr>
        <w:t>外周血淋巴细胞染色体畸变率和微核率。</w:t>
      </w:r>
      <w:r>
        <w:rPr>
          <w:sz w:val="21"/>
        </w:rPr>
        <w:t> </w:t>
      </w:r>
    </w:p>
    <w:p>
      <w:pPr>
        <w:pStyle w:val="BodyText"/>
        <w:spacing w:before="12"/>
        <w:rPr>
          <w:sz w:val="17"/>
        </w:rPr>
      </w:pPr>
    </w:p>
    <w:p>
      <w:pPr>
        <w:pStyle w:val="ListParagraph"/>
        <w:numPr>
          <w:ilvl w:val="3"/>
          <w:numId w:val="40"/>
        </w:numPr>
        <w:tabs>
          <w:tab w:pos="1576" w:val="left" w:leader="none"/>
        </w:tabs>
        <w:spacing w:line="240" w:lineRule="auto" w:before="0" w:after="0"/>
        <w:ind w:left="1575" w:right="0" w:hanging="738"/>
        <w:jc w:val="left"/>
        <w:rPr>
          <w:sz w:val="21"/>
        </w:rPr>
      </w:pPr>
      <w:r>
        <w:rPr>
          <w:spacing w:val="-6"/>
          <w:sz w:val="21"/>
        </w:rPr>
        <w:t>消防员常见急性职业危害应急健康检查内容按 </w:t>
      </w:r>
      <w:r>
        <w:rPr>
          <w:sz w:val="21"/>
        </w:rPr>
        <w:t>GBZ188</w:t>
      </w:r>
      <w:r>
        <w:rPr>
          <w:spacing w:val="-3"/>
          <w:sz w:val="21"/>
        </w:rPr>
        <w:t> 执行。</w:t>
      </w:r>
      <w:r>
        <w:rPr>
          <w:sz w:val="21"/>
        </w:rPr>
        <w:t> </w:t>
      </w:r>
    </w:p>
    <w:p>
      <w:pPr>
        <w:pStyle w:val="BodyText"/>
        <w:spacing w:before="2"/>
        <w:rPr>
          <w:sz w:val="18"/>
        </w:rPr>
      </w:pPr>
    </w:p>
    <w:p>
      <w:pPr>
        <w:pStyle w:val="ListParagraph"/>
        <w:numPr>
          <w:ilvl w:val="3"/>
          <w:numId w:val="40"/>
        </w:numPr>
        <w:tabs>
          <w:tab w:pos="1576" w:val="left" w:leader="none"/>
        </w:tabs>
        <w:spacing w:line="446" w:lineRule="auto" w:before="0" w:after="0"/>
        <w:ind w:left="418" w:right="1609" w:firstLine="419"/>
        <w:jc w:val="left"/>
        <w:rPr>
          <w:sz w:val="21"/>
        </w:rPr>
      </w:pPr>
      <w:r>
        <w:rPr>
          <w:spacing w:val="-3"/>
          <w:sz w:val="21"/>
        </w:rPr>
        <w:t>本标准规定的职业健康检查指标是最低要求，消防组织可以根据不同情况增加检查指标，但应有充分的理由。</w:t>
      </w:r>
      <w:r>
        <w:rPr>
          <w:sz w:val="21"/>
        </w:rPr>
        <w:t> </w:t>
      </w:r>
    </w:p>
    <w:p>
      <w:pPr>
        <w:pStyle w:val="ListParagraph"/>
        <w:numPr>
          <w:ilvl w:val="2"/>
          <w:numId w:val="40"/>
        </w:numPr>
        <w:tabs>
          <w:tab w:pos="1371" w:val="left" w:leader="none"/>
        </w:tabs>
        <w:spacing w:line="267" w:lineRule="exact" w:before="0" w:after="0"/>
        <w:ind w:left="1370" w:right="0" w:hanging="531"/>
        <w:jc w:val="left"/>
        <w:rPr>
          <w:sz w:val="21"/>
        </w:rPr>
      </w:pPr>
      <w:r>
        <w:rPr>
          <w:spacing w:val="-3"/>
          <w:sz w:val="21"/>
        </w:rPr>
        <w:t>检查机构</w:t>
      </w:r>
      <w:r>
        <w:rPr>
          <w:sz w:val="21"/>
        </w:rPr>
        <w:t> </w:t>
      </w:r>
    </w:p>
    <w:p>
      <w:pPr>
        <w:pStyle w:val="BodyText"/>
        <w:spacing w:before="2"/>
        <w:rPr>
          <w:sz w:val="18"/>
        </w:rPr>
      </w:pPr>
    </w:p>
    <w:p>
      <w:pPr>
        <w:pStyle w:val="BodyText"/>
        <w:spacing w:line="446" w:lineRule="auto"/>
        <w:ind w:left="418" w:right="1609" w:firstLine="419"/>
      </w:pPr>
      <w:r>
        <w:rPr/>
        <w:t>消防组织应委托由省级以上人民政府卫生行政部门批准的医疗卫生机构承担职业健康检查工作。 </w:t>
      </w:r>
    </w:p>
    <w:p>
      <w:pPr>
        <w:pStyle w:val="Heading6"/>
        <w:numPr>
          <w:ilvl w:val="1"/>
          <w:numId w:val="42"/>
        </w:numPr>
        <w:tabs>
          <w:tab w:pos="1159" w:val="left" w:leader="none"/>
        </w:tabs>
        <w:spacing w:line="267" w:lineRule="exact" w:before="0" w:after="0"/>
        <w:ind w:left="1158" w:right="0" w:hanging="319"/>
        <w:jc w:val="left"/>
      </w:pPr>
      <w:r>
        <w:rPr/>
        <w:t>心理测验</w:t>
      </w:r>
      <w:r>
        <w:rPr>
          <w:w w:val="99"/>
        </w:rPr>
        <w:t> </w:t>
      </w:r>
    </w:p>
    <w:p>
      <w:pPr>
        <w:pStyle w:val="BodyText"/>
        <w:spacing w:before="2"/>
        <w:rPr>
          <w:b/>
          <w:sz w:val="18"/>
        </w:rPr>
      </w:pPr>
    </w:p>
    <w:p>
      <w:pPr>
        <w:pStyle w:val="ListParagraph"/>
        <w:numPr>
          <w:ilvl w:val="2"/>
          <w:numId w:val="42"/>
        </w:numPr>
        <w:tabs>
          <w:tab w:pos="1370" w:val="left" w:leader="none"/>
        </w:tabs>
        <w:spacing w:line="240" w:lineRule="auto" w:before="0" w:after="0"/>
        <w:ind w:left="1369" w:right="0" w:hanging="530"/>
        <w:jc w:val="left"/>
        <w:rPr>
          <w:sz w:val="21"/>
        </w:rPr>
      </w:pPr>
      <w:r>
        <w:rPr>
          <w:spacing w:val="-3"/>
          <w:sz w:val="21"/>
        </w:rPr>
        <w:t>消防组织应定期对消防员进行心理测验。</w:t>
      </w:r>
      <w:r>
        <w:rPr>
          <w:sz w:val="21"/>
        </w:rPr>
        <w:t> </w:t>
      </w:r>
    </w:p>
    <w:p>
      <w:pPr>
        <w:pStyle w:val="BodyText"/>
        <w:spacing w:before="12"/>
        <w:rPr>
          <w:sz w:val="17"/>
        </w:rPr>
      </w:pPr>
    </w:p>
    <w:p>
      <w:pPr>
        <w:pStyle w:val="ListParagraph"/>
        <w:numPr>
          <w:ilvl w:val="2"/>
          <w:numId w:val="42"/>
        </w:numPr>
        <w:tabs>
          <w:tab w:pos="1370" w:val="left" w:leader="none"/>
        </w:tabs>
        <w:spacing w:line="240" w:lineRule="auto" w:before="0" w:after="0"/>
        <w:ind w:left="1369" w:right="0" w:hanging="530"/>
        <w:jc w:val="left"/>
        <w:rPr>
          <w:sz w:val="21"/>
        </w:rPr>
      </w:pPr>
      <w:r>
        <w:rPr>
          <w:spacing w:val="-3"/>
          <w:sz w:val="21"/>
        </w:rPr>
        <w:t>心理测验由省级消防组织设立的心理咨询服务机构组织实施。</w:t>
      </w:r>
      <w:r>
        <w:rPr>
          <w:sz w:val="21"/>
        </w:rPr>
        <w:t> </w:t>
      </w:r>
    </w:p>
    <w:p>
      <w:pPr>
        <w:pStyle w:val="BodyText"/>
        <w:spacing w:before="12"/>
        <w:rPr>
          <w:sz w:val="17"/>
        </w:rPr>
      </w:pPr>
    </w:p>
    <w:p>
      <w:pPr>
        <w:pStyle w:val="ListParagraph"/>
        <w:numPr>
          <w:ilvl w:val="2"/>
          <w:numId w:val="42"/>
        </w:numPr>
        <w:tabs>
          <w:tab w:pos="1371" w:val="left" w:leader="none"/>
        </w:tabs>
        <w:spacing w:line="240" w:lineRule="auto" w:before="0" w:after="0"/>
        <w:ind w:left="1370" w:right="0" w:hanging="531"/>
        <w:jc w:val="left"/>
        <w:rPr>
          <w:sz w:val="21"/>
        </w:rPr>
      </w:pPr>
      <w:r>
        <w:rPr>
          <w:spacing w:val="-3"/>
          <w:sz w:val="21"/>
        </w:rPr>
        <w:t>心理测验方法以问卷调查为主，辅以访谈、投射测验等其他测验方式。 </w:t>
      </w:r>
    </w:p>
    <w:p>
      <w:pPr>
        <w:pStyle w:val="BodyText"/>
        <w:spacing w:before="2"/>
        <w:rPr>
          <w:sz w:val="18"/>
        </w:rPr>
      </w:pPr>
    </w:p>
    <w:p>
      <w:pPr>
        <w:pStyle w:val="ListParagraph"/>
        <w:numPr>
          <w:ilvl w:val="2"/>
          <w:numId w:val="42"/>
        </w:numPr>
        <w:tabs>
          <w:tab w:pos="1370" w:val="left" w:leader="none"/>
        </w:tabs>
        <w:spacing w:line="446" w:lineRule="auto" w:before="0" w:after="0"/>
        <w:ind w:left="418" w:right="1604" w:firstLine="422"/>
        <w:jc w:val="both"/>
        <w:rPr>
          <w:sz w:val="21"/>
        </w:rPr>
      </w:pPr>
      <w:r>
        <w:rPr>
          <w:spacing w:val="-3"/>
          <w:sz w:val="21"/>
        </w:rPr>
        <w:t>对参与处理大规模的人员伤亡事件、涉及儿童死亡的事件、涉及消防员死亡或受伤的事件以及其他影响消防员的生理和心理健康的事件后的消防员适时进行心理疏导，对己出现心理障碍的消防员及时进行诊治。</w:t>
      </w:r>
      <w:r>
        <w:rPr>
          <w:sz w:val="21"/>
        </w:rPr>
        <w:t> </w:t>
      </w:r>
    </w:p>
    <w:p>
      <w:pPr>
        <w:pStyle w:val="ListParagraph"/>
        <w:numPr>
          <w:ilvl w:val="1"/>
          <w:numId w:val="42"/>
        </w:numPr>
        <w:tabs>
          <w:tab w:pos="1159" w:val="left" w:leader="none"/>
        </w:tabs>
        <w:spacing w:line="268" w:lineRule="exact" w:before="0" w:after="0"/>
        <w:ind w:left="1158" w:right="0" w:hanging="319"/>
        <w:jc w:val="left"/>
        <w:rPr>
          <w:b/>
          <w:sz w:val="21"/>
        </w:rPr>
      </w:pPr>
      <w:r>
        <w:rPr>
          <w:spacing w:val="-3"/>
          <w:sz w:val="21"/>
        </w:rPr>
        <w:t>体能测试</w:t>
      </w:r>
      <w:r>
        <w:rPr>
          <w:b/>
          <w:w w:val="99"/>
          <w:sz w:val="21"/>
        </w:rPr>
        <w:t> </w:t>
      </w:r>
    </w:p>
    <w:p>
      <w:pPr>
        <w:pStyle w:val="BodyText"/>
        <w:rPr>
          <w:b/>
          <w:sz w:val="18"/>
        </w:rPr>
      </w:pPr>
    </w:p>
    <w:p>
      <w:pPr>
        <w:pStyle w:val="ListParagraph"/>
        <w:numPr>
          <w:ilvl w:val="2"/>
          <w:numId w:val="42"/>
        </w:numPr>
        <w:tabs>
          <w:tab w:pos="1371" w:val="left" w:leader="none"/>
        </w:tabs>
        <w:spacing w:line="446" w:lineRule="auto" w:before="0" w:after="0"/>
        <w:ind w:left="418" w:right="1604" w:firstLine="422"/>
        <w:jc w:val="left"/>
        <w:rPr>
          <w:sz w:val="21"/>
        </w:rPr>
      </w:pPr>
      <w:r>
        <w:rPr>
          <w:spacing w:val="-3"/>
          <w:sz w:val="21"/>
        </w:rPr>
        <w:t>体能是判定消防员作业能力的重要指标，消防组织应对在岗的消防员进行体能训练和体能测试。</w:t>
      </w:r>
      <w:r>
        <w:rPr>
          <w:sz w:val="21"/>
        </w:rPr>
        <w:t> </w:t>
      </w:r>
    </w:p>
    <w:p>
      <w:pPr>
        <w:pStyle w:val="ListParagraph"/>
        <w:numPr>
          <w:ilvl w:val="2"/>
          <w:numId w:val="42"/>
        </w:numPr>
        <w:tabs>
          <w:tab w:pos="1370" w:val="left" w:leader="none"/>
        </w:tabs>
        <w:spacing w:line="240" w:lineRule="auto" w:before="0" w:after="0"/>
        <w:ind w:left="1369" w:right="0" w:hanging="530"/>
        <w:jc w:val="left"/>
        <w:rPr>
          <w:sz w:val="21"/>
        </w:rPr>
      </w:pPr>
      <w:r>
        <w:rPr>
          <w:spacing w:val="-3"/>
          <w:sz w:val="21"/>
        </w:rPr>
        <w:t>体能训练</w:t>
      </w:r>
      <w:r>
        <w:rPr>
          <w:sz w:val="21"/>
        </w:rPr>
        <w:t> </w:t>
      </w:r>
    </w:p>
    <w:p>
      <w:pPr>
        <w:pStyle w:val="BodyText"/>
        <w:rPr>
          <w:sz w:val="18"/>
        </w:rPr>
      </w:pPr>
    </w:p>
    <w:p>
      <w:pPr>
        <w:pStyle w:val="ListParagraph"/>
        <w:numPr>
          <w:ilvl w:val="3"/>
          <w:numId w:val="42"/>
        </w:numPr>
        <w:tabs>
          <w:tab w:pos="1576" w:val="left" w:leader="none"/>
        </w:tabs>
        <w:spacing w:line="240" w:lineRule="auto" w:before="0" w:after="0"/>
        <w:ind w:left="1575" w:right="0" w:hanging="738"/>
        <w:jc w:val="left"/>
        <w:rPr>
          <w:sz w:val="21"/>
        </w:rPr>
      </w:pPr>
      <w:r>
        <w:rPr>
          <w:spacing w:val="-3"/>
          <w:sz w:val="21"/>
        </w:rPr>
        <w:t>体能训练应从身体形态、机能、素质和专业体能等方面进行。</w:t>
      </w:r>
      <w:r>
        <w:rPr>
          <w:sz w:val="21"/>
        </w:rPr>
        <w:t> </w:t>
      </w:r>
    </w:p>
    <w:p>
      <w:pPr>
        <w:pStyle w:val="BodyText"/>
        <w:spacing w:before="12"/>
        <w:rPr>
          <w:sz w:val="17"/>
        </w:rPr>
      </w:pPr>
    </w:p>
    <w:p>
      <w:pPr>
        <w:pStyle w:val="ListParagraph"/>
        <w:numPr>
          <w:ilvl w:val="3"/>
          <w:numId w:val="42"/>
        </w:numPr>
        <w:tabs>
          <w:tab w:pos="1576" w:val="left" w:leader="none"/>
        </w:tabs>
        <w:spacing w:line="240" w:lineRule="auto" w:before="0" w:after="0"/>
        <w:ind w:left="1575" w:right="0" w:hanging="738"/>
        <w:jc w:val="left"/>
        <w:rPr>
          <w:sz w:val="21"/>
        </w:rPr>
      </w:pPr>
      <w:r>
        <w:rPr>
          <w:spacing w:val="-3"/>
          <w:sz w:val="21"/>
        </w:rPr>
        <w:t>体能训练应合理、科学，训练方法按国家级消防组织的规定执行。</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3"/>
          <w:numId w:val="42"/>
        </w:numPr>
        <w:tabs>
          <w:tab w:pos="1576" w:val="left" w:leader="none"/>
        </w:tabs>
        <w:spacing w:line="446" w:lineRule="auto" w:before="47" w:after="0"/>
        <w:ind w:left="418" w:right="1609" w:firstLine="419"/>
        <w:jc w:val="left"/>
        <w:rPr>
          <w:sz w:val="21"/>
        </w:rPr>
      </w:pPr>
      <w:r>
        <w:rPr>
          <w:spacing w:val="-3"/>
          <w:sz w:val="21"/>
        </w:rPr>
        <w:t>体能训练应在消防员身体条件允许的情况下进行，在训练期间，消防员应对身体状况进行自我监督，出现身体不适，应停止训练。</w:t>
      </w:r>
      <w:r>
        <w:rPr>
          <w:sz w:val="21"/>
        </w:rPr>
        <w:t> </w:t>
      </w:r>
    </w:p>
    <w:p>
      <w:pPr>
        <w:pStyle w:val="ListParagraph"/>
        <w:numPr>
          <w:ilvl w:val="2"/>
          <w:numId w:val="42"/>
        </w:numPr>
        <w:tabs>
          <w:tab w:pos="1370" w:val="left" w:leader="none"/>
        </w:tabs>
        <w:spacing w:line="267" w:lineRule="exact" w:before="0" w:after="0"/>
        <w:ind w:left="1369" w:right="0" w:hanging="530"/>
        <w:jc w:val="left"/>
        <w:rPr>
          <w:sz w:val="21"/>
        </w:rPr>
      </w:pPr>
      <w:r>
        <w:rPr>
          <w:spacing w:val="-3"/>
          <w:sz w:val="21"/>
        </w:rPr>
        <w:t>体能测试</w:t>
      </w:r>
      <w:r>
        <w:rPr>
          <w:sz w:val="21"/>
        </w:rPr>
        <w:t> </w:t>
      </w:r>
    </w:p>
    <w:p>
      <w:pPr>
        <w:pStyle w:val="BodyText"/>
        <w:spacing w:before="2"/>
        <w:rPr>
          <w:sz w:val="18"/>
        </w:rPr>
      </w:pPr>
    </w:p>
    <w:p>
      <w:pPr>
        <w:pStyle w:val="ListParagraph"/>
        <w:numPr>
          <w:ilvl w:val="3"/>
          <w:numId w:val="42"/>
        </w:numPr>
        <w:tabs>
          <w:tab w:pos="1576" w:val="left" w:leader="none"/>
        </w:tabs>
        <w:spacing w:line="240" w:lineRule="auto" w:before="0" w:after="0"/>
        <w:ind w:left="1575" w:right="0" w:hanging="738"/>
        <w:jc w:val="left"/>
        <w:rPr>
          <w:sz w:val="21"/>
        </w:rPr>
      </w:pPr>
      <w:r>
        <w:rPr>
          <w:spacing w:val="-3"/>
          <w:sz w:val="21"/>
        </w:rPr>
        <w:t>消防员应每年进行体能测试。</w:t>
      </w:r>
      <w:r>
        <w:rPr>
          <w:sz w:val="21"/>
        </w:rPr>
        <w:t> </w:t>
      </w:r>
    </w:p>
    <w:p>
      <w:pPr>
        <w:pStyle w:val="BodyText"/>
        <w:rPr>
          <w:sz w:val="18"/>
        </w:rPr>
      </w:pPr>
    </w:p>
    <w:p>
      <w:pPr>
        <w:pStyle w:val="ListParagraph"/>
        <w:numPr>
          <w:ilvl w:val="3"/>
          <w:numId w:val="42"/>
        </w:numPr>
        <w:tabs>
          <w:tab w:pos="1576" w:val="left" w:leader="none"/>
        </w:tabs>
        <w:spacing w:line="240" w:lineRule="auto" w:before="0" w:after="0"/>
        <w:ind w:left="1575" w:right="0" w:hanging="738"/>
        <w:jc w:val="left"/>
        <w:rPr>
          <w:sz w:val="21"/>
        </w:rPr>
      </w:pPr>
      <w:r>
        <w:rPr>
          <w:spacing w:val="-3"/>
          <w:sz w:val="21"/>
        </w:rPr>
        <w:t>体能测试分为基础体能测试和专业体能测试。</w:t>
      </w:r>
      <w:r>
        <w:rPr>
          <w:sz w:val="21"/>
        </w:rPr>
        <w:t> </w:t>
      </w:r>
    </w:p>
    <w:p>
      <w:pPr>
        <w:pStyle w:val="BodyText"/>
        <w:spacing w:before="12"/>
        <w:rPr>
          <w:sz w:val="17"/>
        </w:rPr>
      </w:pPr>
    </w:p>
    <w:p>
      <w:pPr>
        <w:pStyle w:val="ListParagraph"/>
        <w:numPr>
          <w:ilvl w:val="3"/>
          <w:numId w:val="42"/>
        </w:numPr>
        <w:tabs>
          <w:tab w:pos="1576" w:val="left" w:leader="none"/>
        </w:tabs>
        <w:spacing w:line="240" w:lineRule="auto" w:before="0" w:after="0"/>
        <w:ind w:left="1575" w:right="0" w:hanging="738"/>
        <w:jc w:val="left"/>
        <w:rPr>
          <w:sz w:val="21"/>
        </w:rPr>
      </w:pPr>
      <w:r>
        <w:rPr>
          <w:spacing w:val="-3"/>
          <w:sz w:val="21"/>
        </w:rPr>
        <w:t>体能测试应在医护人员的监护下进行。</w:t>
      </w:r>
      <w:r>
        <w:rPr>
          <w:sz w:val="21"/>
        </w:rPr>
        <w:t> </w:t>
      </w:r>
    </w:p>
    <w:p>
      <w:pPr>
        <w:pStyle w:val="BodyText"/>
        <w:spacing w:before="2"/>
        <w:rPr>
          <w:sz w:val="18"/>
        </w:rPr>
      </w:pPr>
    </w:p>
    <w:p>
      <w:pPr>
        <w:pStyle w:val="ListParagraph"/>
        <w:numPr>
          <w:ilvl w:val="3"/>
          <w:numId w:val="42"/>
        </w:numPr>
        <w:tabs>
          <w:tab w:pos="1576" w:val="left" w:leader="none"/>
        </w:tabs>
        <w:spacing w:line="240" w:lineRule="auto" w:before="0" w:after="0"/>
        <w:ind w:left="1575" w:right="0" w:hanging="738"/>
        <w:jc w:val="left"/>
        <w:rPr>
          <w:sz w:val="21"/>
        </w:rPr>
      </w:pPr>
      <w:r>
        <w:rPr>
          <w:spacing w:val="-3"/>
          <w:sz w:val="21"/>
        </w:rPr>
        <w:t>体能测试前应做充分的准备活动。</w:t>
      </w:r>
      <w:r>
        <w:rPr>
          <w:sz w:val="21"/>
        </w:rPr>
        <w:t> </w:t>
      </w:r>
    </w:p>
    <w:p>
      <w:pPr>
        <w:pStyle w:val="BodyText"/>
        <w:rPr>
          <w:sz w:val="18"/>
        </w:rPr>
      </w:pPr>
    </w:p>
    <w:p>
      <w:pPr>
        <w:pStyle w:val="ListParagraph"/>
        <w:numPr>
          <w:ilvl w:val="3"/>
          <w:numId w:val="42"/>
        </w:numPr>
        <w:tabs>
          <w:tab w:pos="1576" w:val="left" w:leader="none"/>
        </w:tabs>
        <w:spacing w:line="240" w:lineRule="auto" w:before="0" w:after="0"/>
        <w:ind w:left="1575" w:right="0" w:hanging="738"/>
        <w:jc w:val="left"/>
        <w:rPr>
          <w:sz w:val="21"/>
        </w:rPr>
      </w:pPr>
      <w:r>
        <w:rPr>
          <w:spacing w:val="-3"/>
          <w:sz w:val="21"/>
        </w:rPr>
        <w:t>基础体能测试包括必测指标和选测指标：</w:t>
      </w:r>
      <w:r>
        <w:rPr>
          <w:sz w:val="21"/>
        </w:rPr>
        <w:t> </w:t>
      </w:r>
    </w:p>
    <w:p>
      <w:pPr>
        <w:pStyle w:val="BodyText"/>
        <w:spacing w:before="12"/>
        <w:rPr>
          <w:sz w:val="17"/>
        </w:rPr>
      </w:pPr>
    </w:p>
    <w:p>
      <w:pPr>
        <w:pStyle w:val="ListParagraph"/>
        <w:numPr>
          <w:ilvl w:val="0"/>
          <w:numId w:val="43"/>
        </w:numPr>
        <w:tabs>
          <w:tab w:pos="1051" w:val="left" w:leader="none"/>
        </w:tabs>
        <w:spacing w:line="240" w:lineRule="auto" w:before="0" w:after="0"/>
        <w:ind w:left="1050" w:right="0" w:hanging="213"/>
        <w:jc w:val="left"/>
        <w:rPr>
          <w:sz w:val="21"/>
        </w:rPr>
      </w:pPr>
      <w:r>
        <w:rPr>
          <w:spacing w:val="-3"/>
          <w:sz w:val="21"/>
        </w:rPr>
        <w:t>必测指标：俯卧撑、仰卧起坐、引体向上、</w:t>
      </w:r>
      <w:r>
        <w:rPr>
          <w:sz w:val="21"/>
        </w:rPr>
        <w:t>100m</w:t>
      </w:r>
      <w:r>
        <w:rPr>
          <w:spacing w:val="-19"/>
          <w:sz w:val="21"/>
        </w:rPr>
        <w:t> 跑、</w:t>
      </w:r>
      <w:r>
        <w:rPr>
          <w:sz w:val="21"/>
        </w:rPr>
        <w:t>3000m</w:t>
      </w:r>
      <w:r>
        <w:rPr>
          <w:spacing w:val="-13"/>
          <w:sz w:val="21"/>
        </w:rPr>
        <w:t> 跑。各指标标准见表 </w:t>
      </w:r>
      <w:r>
        <w:rPr>
          <w:sz w:val="21"/>
        </w:rPr>
        <w:t>1</w:t>
      </w:r>
      <w:r>
        <w:rPr>
          <w:spacing w:val="-3"/>
          <w:sz w:val="21"/>
        </w:rPr>
        <w:t>。</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5"/>
        </w:rPr>
      </w:pPr>
      <w:r>
        <w:rPr/>
        <w:drawing>
          <wp:anchor distT="0" distB="0" distL="0" distR="0" allowOverlap="1" layoutInCell="1" locked="0" behindDoc="0" simplePos="0" relativeHeight="8">
            <wp:simplePos x="0" y="0"/>
            <wp:positionH relativeFrom="page">
              <wp:posOffset>1464944</wp:posOffset>
            </wp:positionH>
            <wp:positionV relativeFrom="paragraph">
              <wp:posOffset>232306</wp:posOffset>
            </wp:positionV>
            <wp:extent cx="4882308" cy="2133600"/>
            <wp:effectExtent l="0" t="0" r="0" b="0"/>
            <wp:wrapTopAndBottom/>
            <wp:docPr id="19" name="image25.jpeg"/>
            <wp:cNvGraphicFramePr>
              <a:graphicFrameLocks noChangeAspect="1"/>
            </wp:cNvGraphicFramePr>
            <a:graphic>
              <a:graphicData uri="http://schemas.openxmlformats.org/drawingml/2006/picture">
                <pic:pic>
                  <pic:nvPicPr>
                    <pic:cNvPr id="20" name="image25.jpeg"/>
                    <pic:cNvPicPr/>
                  </pic:nvPicPr>
                  <pic:blipFill>
                    <a:blip r:embed="rId31" cstate="print"/>
                    <a:stretch>
                      <a:fillRect/>
                    </a:stretch>
                  </pic:blipFill>
                  <pic:spPr>
                    <a:xfrm>
                      <a:off x="0" y="0"/>
                      <a:ext cx="4882308" cy="2133600"/>
                    </a:xfrm>
                    <a:prstGeom prst="rect">
                      <a:avLst/>
                    </a:prstGeom>
                  </pic:spPr>
                </pic:pic>
              </a:graphicData>
            </a:graphic>
          </wp:anchor>
        </w:drawing>
      </w:r>
    </w:p>
    <w:p>
      <w:pPr>
        <w:pStyle w:val="BodyText"/>
        <w:spacing w:before="5"/>
        <w:rPr>
          <w:sz w:val="8"/>
        </w:rPr>
      </w:pPr>
    </w:p>
    <w:p>
      <w:pPr>
        <w:pStyle w:val="BodyText"/>
        <w:spacing w:before="72"/>
        <w:ind w:left="418"/>
      </w:pPr>
      <w:r>
        <w:rPr>
          <w:w w:val="100"/>
        </w:rPr>
        <w:t> </w:t>
      </w:r>
    </w:p>
    <w:p>
      <w:pPr>
        <w:spacing w:after="0"/>
        <w:sectPr>
          <w:pgSz w:w="11910" w:h="16850"/>
          <w:pgMar w:header="0" w:footer="1239" w:top="1220" w:bottom="1420" w:left="1260" w:right="0"/>
        </w:sectPr>
      </w:pPr>
    </w:p>
    <w:p>
      <w:pPr>
        <w:pStyle w:val="ListParagraph"/>
        <w:numPr>
          <w:ilvl w:val="0"/>
          <w:numId w:val="43"/>
        </w:numPr>
        <w:tabs>
          <w:tab w:pos="1051" w:val="left" w:leader="none"/>
        </w:tabs>
        <w:spacing w:line="446" w:lineRule="auto" w:before="47" w:after="9"/>
        <w:ind w:left="418" w:right="1505" w:firstLine="419"/>
        <w:jc w:val="left"/>
        <w:rPr>
          <w:sz w:val="21"/>
        </w:rPr>
      </w:pPr>
      <w:r>
        <w:rPr>
          <w:spacing w:val="-3"/>
          <w:sz w:val="21"/>
        </w:rPr>
        <w:t>选测指标：包括身体形态、机能、素质三类，身体形态、机能指标中至少选择一项对消防员进行测试，身体素质指标中至少选择两项对消防员进行测试。鼓励各级消防组织根据本地</w:t>
      </w:r>
      <w:r>
        <w:rPr>
          <w:spacing w:val="-5"/>
          <w:sz w:val="21"/>
        </w:rPr>
        <w:t>的实际情况选择更多的指标进行测试。各指标标准见表 </w:t>
      </w:r>
      <w:r>
        <w:rPr>
          <w:spacing w:val="-3"/>
          <w:sz w:val="21"/>
        </w:rPr>
        <w:t>2。</w:t>
      </w:r>
      <w:r>
        <w:rPr>
          <w:sz w:val="21"/>
        </w:rPr>
        <w:t> </w:t>
      </w:r>
    </w:p>
    <w:p>
      <w:pPr>
        <w:pStyle w:val="BodyText"/>
        <w:ind w:left="823"/>
        <w:rPr>
          <w:sz w:val="20"/>
        </w:rPr>
      </w:pPr>
      <w:r>
        <w:rPr>
          <w:sz w:val="20"/>
        </w:rPr>
        <w:drawing>
          <wp:inline distT="0" distB="0" distL="0" distR="0">
            <wp:extent cx="5059887" cy="3733800"/>
            <wp:effectExtent l="0" t="0" r="0" b="0"/>
            <wp:docPr id="21" name="image26.jpeg"/>
            <wp:cNvGraphicFramePr>
              <a:graphicFrameLocks noChangeAspect="1"/>
            </wp:cNvGraphicFramePr>
            <a:graphic>
              <a:graphicData uri="http://schemas.openxmlformats.org/drawingml/2006/picture">
                <pic:pic>
                  <pic:nvPicPr>
                    <pic:cNvPr id="22" name="image26.jpeg"/>
                    <pic:cNvPicPr/>
                  </pic:nvPicPr>
                  <pic:blipFill>
                    <a:blip r:embed="rId32" cstate="print"/>
                    <a:stretch>
                      <a:fillRect/>
                    </a:stretch>
                  </pic:blipFill>
                  <pic:spPr>
                    <a:xfrm>
                      <a:off x="0" y="0"/>
                      <a:ext cx="5059887" cy="3733800"/>
                    </a:xfrm>
                    <a:prstGeom prst="rect">
                      <a:avLst/>
                    </a:prstGeom>
                  </pic:spPr>
                </pic:pic>
              </a:graphicData>
            </a:graphic>
          </wp:inline>
        </w:drawing>
      </w:r>
      <w:r>
        <w:rPr>
          <w:sz w:val="20"/>
        </w:rPr>
      </w:r>
    </w:p>
    <w:p>
      <w:pPr>
        <w:pStyle w:val="BodyText"/>
        <w:rPr>
          <w:sz w:val="20"/>
        </w:rPr>
      </w:pPr>
    </w:p>
    <w:p>
      <w:pPr>
        <w:pStyle w:val="BodyText"/>
        <w:rPr>
          <w:sz w:val="20"/>
        </w:rPr>
      </w:pPr>
    </w:p>
    <w:p>
      <w:pPr>
        <w:pStyle w:val="ListParagraph"/>
        <w:numPr>
          <w:ilvl w:val="3"/>
          <w:numId w:val="42"/>
        </w:numPr>
        <w:tabs>
          <w:tab w:pos="1576" w:val="left" w:leader="none"/>
        </w:tabs>
        <w:spacing w:line="240" w:lineRule="auto" w:before="165" w:after="0"/>
        <w:ind w:left="1575" w:right="0" w:hanging="738"/>
        <w:jc w:val="left"/>
        <w:rPr>
          <w:sz w:val="21"/>
        </w:rPr>
      </w:pPr>
      <w:r>
        <w:rPr>
          <w:spacing w:val="-3"/>
          <w:sz w:val="21"/>
        </w:rPr>
        <w:t>专业体能测试应按国家级消防组织制定的体能组合练习有关规定执行。 </w:t>
      </w:r>
    </w:p>
    <w:p>
      <w:pPr>
        <w:pStyle w:val="BodyText"/>
        <w:rPr>
          <w:sz w:val="18"/>
        </w:rPr>
      </w:pPr>
    </w:p>
    <w:p>
      <w:pPr>
        <w:pStyle w:val="ListParagraph"/>
        <w:numPr>
          <w:ilvl w:val="3"/>
          <w:numId w:val="42"/>
        </w:numPr>
        <w:tabs>
          <w:tab w:pos="1576" w:val="left" w:leader="none"/>
        </w:tabs>
        <w:spacing w:line="240" w:lineRule="auto" w:before="0" w:after="0"/>
        <w:ind w:left="1575" w:right="0" w:hanging="738"/>
        <w:jc w:val="left"/>
        <w:rPr>
          <w:sz w:val="21"/>
        </w:rPr>
      </w:pPr>
      <w:r>
        <w:rPr>
          <w:spacing w:val="-8"/>
          <w:sz w:val="21"/>
        </w:rPr>
        <w:t>体能测试方法同本标准 </w:t>
      </w:r>
      <w:r>
        <w:rPr>
          <w:sz w:val="21"/>
        </w:rPr>
        <w:t>4.3.2</w:t>
      </w:r>
      <w:r>
        <w:rPr>
          <w:spacing w:val="-3"/>
          <w:sz w:val="21"/>
        </w:rPr>
        <w:t>。</w:t>
      </w:r>
      <w:r>
        <w:rPr>
          <w:sz w:val="21"/>
        </w:rPr>
        <w:t> </w:t>
      </w:r>
    </w:p>
    <w:p>
      <w:pPr>
        <w:pStyle w:val="BodyText"/>
        <w:spacing w:before="12"/>
        <w:rPr>
          <w:sz w:val="17"/>
        </w:rPr>
      </w:pPr>
    </w:p>
    <w:p>
      <w:pPr>
        <w:pStyle w:val="ListParagraph"/>
        <w:numPr>
          <w:ilvl w:val="1"/>
          <w:numId w:val="42"/>
        </w:numPr>
        <w:tabs>
          <w:tab w:pos="1160" w:val="left" w:leader="none"/>
        </w:tabs>
        <w:spacing w:line="240" w:lineRule="auto" w:before="0" w:after="0"/>
        <w:ind w:left="1159" w:right="0" w:hanging="320"/>
        <w:jc w:val="left"/>
        <w:rPr>
          <w:b/>
          <w:sz w:val="21"/>
        </w:rPr>
      </w:pPr>
      <w:r>
        <w:rPr>
          <w:spacing w:val="-3"/>
          <w:sz w:val="21"/>
        </w:rPr>
        <w:t>职业健康监护档案</w:t>
      </w:r>
      <w:r>
        <w:rPr>
          <w:b/>
          <w:w w:val="99"/>
          <w:sz w:val="21"/>
        </w:rPr>
        <w:t> </w:t>
      </w:r>
    </w:p>
    <w:p>
      <w:pPr>
        <w:pStyle w:val="BodyText"/>
        <w:spacing w:before="3"/>
        <w:rPr>
          <w:b/>
          <w:sz w:val="18"/>
        </w:rPr>
      </w:pPr>
    </w:p>
    <w:p>
      <w:pPr>
        <w:pStyle w:val="BodyText"/>
        <w:ind w:left="838"/>
      </w:pPr>
      <w:r>
        <w:rPr/>
        <w:t>职业健康监护档案的内容及管理参见附录 B。 </w:t>
      </w:r>
    </w:p>
    <w:p>
      <w:pPr>
        <w:pStyle w:val="BodyText"/>
        <w:spacing w:before="8"/>
        <w:rPr>
          <w:sz w:val="15"/>
        </w:rPr>
      </w:pPr>
    </w:p>
    <w:p>
      <w:pPr>
        <w:pStyle w:val="Heading4"/>
      </w:pPr>
      <w:r>
        <w:rPr/>
        <w:t>6 职业健康管理</w:t>
      </w:r>
      <w:r>
        <w:rPr>
          <w:w w:val="99"/>
        </w:rPr>
        <w:t> </w:t>
      </w:r>
    </w:p>
    <w:p>
      <w:pPr>
        <w:pStyle w:val="BodyText"/>
        <w:spacing w:before="3"/>
        <w:rPr>
          <w:b/>
          <w:sz w:val="17"/>
        </w:rPr>
      </w:pPr>
    </w:p>
    <w:p>
      <w:pPr>
        <w:pStyle w:val="ListParagraph"/>
        <w:numPr>
          <w:ilvl w:val="1"/>
          <w:numId w:val="44"/>
        </w:numPr>
        <w:tabs>
          <w:tab w:pos="1160" w:val="left" w:leader="none"/>
        </w:tabs>
        <w:spacing w:line="240" w:lineRule="auto" w:before="1" w:after="0"/>
        <w:ind w:left="1159" w:right="0" w:hanging="320"/>
        <w:jc w:val="left"/>
        <w:rPr>
          <w:sz w:val="21"/>
        </w:rPr>
      </w:pPr>
      <w:r>
        <w:rPr>
          <w:spacing w:val="-3"/>
          <w:sz w:val="21"/>
        </w:rPr>
        <w:t>管理组织及职责</w:t>
      </w:r>
      <w:r>
        <w:rPr>
          <w:sz w:val="21"/>
        </w:rPr>
        <w:t> </w:t>
      </w:r>
    </w:p>
    <w:p>
      <w:pPr>
        <w:pStyle w:val="BodyText"/>
        <w:spacing w:before="1"/>
        <w:rPr>
          <w:sz w:val="18"/>
        </w:rPr>
      </w:pPr>
    </w:p>
    <w:p>
      <w:pPr>
        <w:pStyle w:val="ListParagraph"/>
        <w:numPr>
          <w:ilvl w:val="2"/>
          <w:numId w:val="44"/>
        </w:numPr>
        <w:tabs>
          <w:tab w:pos="1371" w:val="left" w:leader="none"/>
        </w:tabs>
        <w:spacing w:line="446" w:lineRule="auto" w:before="1" w:after="0"/>
        <w:ind w:left="418" w:right="1604" w:firstLine="422"/>
        <w:jc w:val="left"/>
        <w:rPr>
          <w:sz w:val="21"/>
        </w:rPr>
      </w:pPr>
      <w:r>
        <w:rPr>
          <w:spacing w:val="-3"/>
          <w:sz w:val="21"/>
        </w:rPr>
        <w:t>国家、省、市等各级消防组织应设立职业健康管理机构，消防组织的最高管理者应统一负责职业健康的管理工作，并作出承诺。</w:t>
      </w:r>
      <w:r>
        <w:rPr>
          <w:sz w:val="21"/>
        </w:rPr>
        <w:t> </w:t>
      </w:r>
    </w:p>
    <w:p>
      <w:pPr>
        <w:pStyle w:val="ListParagraph"/>
        <w:numPr>
          <w:ilvl w:val="2"/>
          <w:numId w:val="44"/>
        </w:numPr>
        <w:tabs>
          <w:tab w:pos="1371" w:val="left" w:leader="none"/>
        </w:tabs>
        <w:spacing w:line="448" w:lineRule="auto" w:before="0" w:after="0"/>
        <w:ind w:left="418" w:right="1604" w:firstLine="422"/>
        <w:jc w:val="left"/>
        <w:rPr>
          <w:sz w:val="21"/>
        </w:rPr>
      </w:pPr>
      <w:r>
        <w:rPr>
          <w:spacing w:val="-3"/>
          <w:sz w:val="21"/>
        </w:rPr>
        <w:t>消防组织应指定下属职能部门或人员具体承担职业健康的管理工作，其主要职责包括：</w:t>
      </w:r>
      <w:r>
        <w:rPr>
          <w:sz w:val="21"/>
        </w:rPr>
        <w:t> </w:t>
      </w:r>
    </w:p>
    <w:p>
      <w:pPr>
        <w:pStyle w:val="ListParagraph"/>
        <w:numPr>
          <w:ilvl w:val="0"/>
          <w:numId w:val="45"/>
        </w:numPr>
        <w:tabs>
          <w:tab w:pos="1051" w:val="left" w:leader="none"/>
        </w:tabs>
        <w:spacing w:line="446" w:lineRule="auto" w:before="0" w:after="0"/>
        <w:ind w:left="418" w:right="1609" w:firstLine="419"/>
        <w:jc w:val="left"/>
        <w:rPr>
          <w:sz w:val="21"/>
        </w:rPr>
      </w:pPr>
      <w:r>
        <w:rPr>
          <w:spacing w:val="-3"/>
          <w:sz w:val="21"/>
        </w:rPr>
        <w:t>制定和贯彻执行职业健康管理规章制度和标准化操作规程，检查和监督其实施效果，并将结果上报消防组织主管领导；</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45"/>
        </w:numPr>
        <w:tabs>
          <w:tab w:pos="1051" w:val="left" w:leader="none"/>
        </w:tabs>
        <w:spacing w:line="446" w:lineRule="auto" w:before="47" w:after="0"/>
        <w:ind w:left="418" w:right="1609" w:firstLine="419"/>
        <w:jc w:val="both"/>
        <w:rPr>
          <w:sz w:val="21"/>
        </w:rPr>
      </w:pPr>
      <w:r>
        <w:rPr>
          <w:spacing w:val="-3"/>
          <w:sz w:val="21"/>
        </w:rPr>
        <w:t>制定和实施促使消防组织达到本标准各项要求的职业健康年度工作计划，并且每年对消防组织达到本标准要求的程度进行检查和评估；</w:t>
      </w:r>
      <w:r>
        <w:rPr>
          <w:sz w:val="21"/>
        </w:rPr>
        <w:t> </w:t>
      </w:r>
    </w:p>
    <w:p>
      <w:pPr>
        <w:pStyle w:val="ListParagraph"/>
        <w:numPr>
          <w:ilvl w:val="0"/>
          <w:numId w:val="45"/>
        </w:numPr>
        <w:tabs>
          <w:tab w:pos="1051" w:val="left" w:leader="none"/>
        </w:tabs>
        <w:spacing w:line="267" w:lineRule="exact" w:before="0" w:after="0"/>
        <w:ind w:left="1050" w:right="0" w:hanging="213"/>
        <w:jc w:val="left"/>
        <w:rPr>
          <w:sz w:val="21"/>
        </w:rPr>
      </w:pPr>
      <w:r>
        <w:rPr>
          <w:spacing w:val="-3"/>
          <w:sz w:val="21"/>
        </w:rPr>
        <w:t>制定和贯彻执行管理计划，评估其有效性，并定期加以修订、完善；</w:t>
      </w:r>
      <w:r>
        <w:rPr>
          <w:sz w:val="21"/>
        </w:rPr>
        <w:t> </w:t>
      </w:r>
    </w:p>
    <w:p>
      <w:pPr>
        <w:pStyle w:val="BodyText"/>
        <w:spacing w:before="2"/>
        <w:rPr>
          <w:sz w:val="18"/>
        </w:rPr>
      </w:pPr>
    </w:p>
    <w:p>
      <w:pPr>
        <w:pStyle w:val="ListParagraph"/>
        <w:numPr>
          <w:ilvl w:val="0"/>
          <w:numId w:val="45"/>
        </w:numPr>
        <w:tabs>
          <w:tab w:pos="1051" w:val="left" w:leader="none"/>
        </w:tabs>
        <w:spacing w:line="240" w:lineRule="auto" w:before="0" w:after="0"/>
        <w:ind w:left="1050" w:right="0" w:hanging="213"/>
        <w:jc w:val="left"/>
        <w:rPr>
          <w:sz w:val="21"/>
        </w:rPr>
      </w:pPr>
      <w:r>
        <w:rPr>
          <w:spacing w:val="-3"/>
          <w:sz w:val="21"/>
        </w:rPr>
        <w:t>制定和贯彻执行标准化的职业危害事故调查与处理程序；</w:t>
      </w:r>
      <w:r>
        <w:rPr>
          <w:sz w:val="21"/>
        </w:rPr>
        <w:t> </w:t>
      </w:r>
    </w:p>
    <w:p>
      <w:pPr>
        <w:pStyle w:val="BodyText"/>
        <w:rPr>
          <w:sz w:val="18"/>
        </w:rPr>
      </w:pPr>
    </w:p>
    <w:p>
      <w:pPr>
        <w:pStyle w:val="ListParagraph"/>
        <w:numPr>
          <w:ilvl w:val="0"/>
          <w:numId w:val="45"/>
        </w:numPr>
        <w:tabs>
          <w:tab w:pos="1051" w:val="left" w:leader="none"/>
        </w:tabs>
        <w:spacing w:line="240" w:lineRule="auto" w:before="0" w:after="0"/>
        <w:ind w:left="1050" w:right="0" w:hanging="213"/>
        <w:jc w:val="left"/>
        <w:rPr>
          <w:sz w:val="21"/>
        </w:rPr>
      </w:pPr>
      <w:r>
        <w:rPr>
          <w:spacing w:val="-3"/>
          <w:sz w:val="21"/>
        </w:rPr>
        <w:t>制定和贯彻纠正及预防措施，防止消防员职业损伤事故的重复发生；</w:t>
      </w:r>
      <w:r>
        <w:rPr>
          <w:sz w:val="21"/>
        </w:rPr>
        <w:t> </w:t>
      </w:r>
    </w:p>
    <w:p>
      <w:pPr>
        <w:pStyle w:val="BodyText"/>
        <w:spacing w:before="12"/>
        <w:rPr>
          <w:sz w:val="17"/>
        </w:rPr>
      </w:pPr>
    </w:p>
    <w:p>
      <w:pPr>
        <w:pStyle w:val="ListParagraph"/>
        <w:numPr>
          <w:ilvl w:val="0"/>
          <w:numId w:val="45"/>
        </w:numPr>
        <w:tabs>
          <w:tab w:pos="1051" w:val="left" w:leader="none"/>
        </w:tabs>
        <w:spacing w:line="240" w:lineRule="auto" w:before="0" w:after="0"/>
        <w:ind w:left="1050" w:right="0" w:hanging="213"/>
        <w:jc w:val="left"/>
        <w:rPr>
          <w:sz w:val="21"/>
        </w:rPr>
      </w:pPr>
      <w:r>
        <w:rPr>
          <w:spacing w:val="-3"/>
          <w:sz w:val="21"/>
        </w:rPr>
        <w:t>向消防员提供与其所承担的职责和任务相适应的职业健康教育并进行考核； </w:t>
      </w:r>
    </w:p>
    <w:p>
      <w:pPr>
        <w:pStyle w:val="BodyText"/>
        <w:spacing w:before="2"/>
        <w:rPr>
          <w:sz w:val="18"/>
        </w:rPr>
      </w:pPr>
    </w:p>
    <w:p>
      <w:pPr>
        <w:pStyle w:val="ListParagraph"/>
        <w:numPr>
          <w:ilvl w:val="0"/>
          <w:numId w:val="45"/>
        </w:numPr>
        <w:tabs>
          <w:tab w:pos="1051" w:val="left" w:leader="none"/>
        </w:tabs>
        <w:spacing w:line="240" w:lineRule="auto" w:before="0" w:after="0"/>
        <w:ind w:left="1050" w:right="0" w:hanging="213"/>
        <w:jc w:val="left"/>
        <w:rPr>
          <w:sz w:val="21"/>
        </w:rPr>
      </w:pPr>
      <w:r>
        <w:rPr>
          <w:spacing w:val="-3"/>
          <w:sz w:val="21"/>
        </w:rPr>
        <w:t>向消防组织主管领导提交关于职业健康的建议和意见；</w:t>
      </w:r>
      <w:r>
        <w:rPr>
          <w:sz w:val="21"/>
        </w:rPr>
        <w:t> </w:t>
      </w:r>
    </w:p>
    <w:p>
      <w:pPr>
        <w:pStyle w:val="BodyText"/>
        <w:rPr>
          <w:sz w:val="18"/>
        </w:rPr>
      </w:pPr>
    </w:p>
    <w:p>
      <w:pPr>
        <w:pStyle w:val="ListParagraph"/>
        <w:numPr>
          <w:ilvl w:val="0"/>
          <w:numId w:val="45"/>
        </w:numPr>
        <w:tabs>
          <w:tab w:pos="1051" w:val="left" w:leader="none"/>
        </w:tabs>
        <w:spacing w:line="446" w:lineRule="auto" w:before="0" w:after="0"/>
        <w:ind w:left="840" w:right="3397" w:hanging="3"/>
        <w:jc w:val="left"/>
        <w:rPr>
          <w:b/>
          <w:sz w:val="21"/>
        </w:rPr>
      </w:pPr>
      <w:r>
        <w:rPr>
          <w:spacing w:val="-3"/>
          <w:sz w:val="21"/>
        </w:rPr>
        <w:t>负责与职业健康管理工作有关的通知、联络、沟通和协调事宜。 </w:t>
      </w:r>
      <w:r>
        <w:rPr>
          <w:b/>
          <w:sz w:val="21"/>
        </w:rPr>
        <w:t>6.2</w:t>
      </w:r>
      <w:r>
        <w:rPr>
          <w:b/>
          <w:spacing w:val="1"/>
          <w:sz w:val="21"/>
        </w:rPr>
        <w:t> </w:t>
      </w:r>
      <w:r>
        <w:rPr>
          <w:spacing w:val="-3"/>
          <w:sz w:val="21"/>
        </w:rPr>
        <w:t>人员及职责</w:t>
      </w:r>
      <w:r>
        <w:rPr>
          <w:b/>
          <w:w w:val="99"/>
          <w:sz w:val="21"/>
        </w:rPr>
        <w:t> </w:t>
      </w:r>
    </w:p>
    <w:p>
      <w:pPr>
        <w:spacing w:before="0"/>
        <w:ind w:left="840" w:right="0" w:firstLine="0"/>
        <w:jc w:val="left"/>
        <w:rPr>
          <w:sz w:val="21"/>
        </w:rPr>
      </w:pPr>
      <w:r>
        <w:rPr>
          <w:b/>
          <w:sz w:val="21"/>
        </w:rPr>
        <w:t>6.2.1</w:t>
      </w:r>
      <w:r>
        <w:rPr>
          <w:b/>
          <w:spacing w:val="3"/>
          <w:sz w:val="21"/>
        </w:rPr>
        <w:t> </w:t>
      </w:r>
      <w:r>
        <w:rPr>
          <w:spacing w:val="-3"/>
          <w:sz w:val="21"/>
        </w:rPr>
        <w:t>人员</w:t>
      </w:r>
      <w:r>
        <w:rPr>
          <w:sz w:val="21"/>
        </w:rPr>
        <w:t> </w:t>
      </w:r>
    </w:p>
    <w:p>
      <w:pPr>
        <w:pStyle w:val="BodyText"/>
        <w:spacing w:before="12"/>
        <w:rPr>
          <w:sz w:val="17"/>
        </w:rPr>
      </w:pPr>
    </w:p>
    <w:p>
      <w:pPr>
        <w:pStyle w:val="BodyText"/>
        <w:spacing w:line="446" w:lineRule="auto"/>
        <w:ind w:left="840" w:right="2977" w:hanging="3"/>
      </w:pPr>
      <w:r>
        <w:rPr>
          <w:spacing w:val="-3"/>
        </w:rPr>
        <w:t>消防组织的各级人员是消防员职业健康管理的具体运作者，应各司其职。</w:t>
      </w:r>
      <w:r>
        <w:rPr>
          <w:b/>
        </w:rPr>
        <w:t>6.2.2</w:t>
      </w:r>
      <w:r>
        <w:rPr>
          <w:b/>
          <w:spacing w:val="1"/>
        </w:rPr>
        <w:t> </w:t>
      </w:r>
      <w:r>
        <w:rPr>
          <w:spacing w:val="-3"/>
        </w:rPr>
        <w:t>职责</w:t>
      </w:r>
      <w:r>
        <w:rPr/>
        <w:t> </w:t>
      </w:r>
    </w:p>
    <w:p>
      <w:pPr>
        <w:pStyle w:val="ListParagraph"/>
        <w:numPr>
          <w:ilvl w:val="0"/>
          <w:numId w:val="46"/>
        </w:numPr>
        <w:tabs>
          <w:tab w:pos="1051" w:val="left" w:leader="none"/>
        </w:tabs>
        <w:spacing w:line="240" w:lineRule="auto" w:before="0" w:after="0"/>
        <w:ind w:left="1050" w:right="0" w:hanging="213"/>
        <w:jc w:val="left"/>
        <w:rPr>
          <w:sz w:val="21"/>
        </w:rPr>
      </w:pPr>
      <w:r>
        <w:rPr>
          <w:spacing w:val="-3"/>
          <w:sz w:val="21"/>
        </w:rPr>
        <w:t>最高管理者：制定职业健康管理方针；</w:t>
      </w:r>
      <w:r>
        <w:rPr>
          <w:sz w:val="21"/>
        </w:rPr>
        <w:t> </w:t>
      </w:r>
    </w:p>
    <w:p>
      <w:pPr>
        <w:pStyle w:val="BodyText"/>
        <w:rPr>
          <w:sz w:val="18"/>
        </w:rPr>
      </w:pPr>
    </w:p>
    <w:p>
      <w:pPr>
        <w:pStyle w:val="ListParagraph"/>
        <w:numPr>
          <w:ilvl w:val="0"/>
          <w:numId w:val="46"/>
        </w:numPr>
        <w:tabs>
          <w:tab w:pos="1051" w:val="left" w:leader="none"/>
        </w:tabs>
        <w:spacing w:line="240" w:lineRule="auto" w:before="0" w:after="0"/>
        <w:ind w:left="1050" w:right="0" w:hanging="213"/>
        <w:jc w:val="left"/>
        <w:rPr>
          <w:sz w:val="21"/>
        </w:rPr>
      </w:pPr>
      <w:r>
        <w:rPr>
          <w:spacing w:val="-3"/>
          <w:sz w:val="21"/>
        </w:rPr>
        <w:t>管理者代表：监督职业健康管理工作的运行；</w:t>
      </w:r>
      <w:r>
        <w:rPr>
          <w:sz w:val="21"/>
        </w:rPr>
        <w:t> </w:t>
      </w:r>
    </w:p>
    <w:p>
      <w:pPr>
        <w:pStyle w:val="BodyText"/>
        <w:spacing w:before="12"/>
        <w:rPr>
          <w:sz w:val="17"/>
        </w:rPr>
      </w:pPr>
    </w:p>
    <w:p>
      <w:pPr>
        <w:pStyle w:val="ListParagraph"/>
        <w:numPr>
          <w:ilvl w:val="0"/>
          <w:numId w:val="46"/>
        </w:numPr>
        <w:tabs>
          <w:tab w:pos="1051" w:val="left" w:leader="none"/>
        </w:tabs>
        <w:spacing w:line="240" w:lineRule="auto" w:before="0" w:after="0"/>
        <w:ind w:left="1050" w:right="0" w:hanging="213"/>
        <w:jc w:val="left"/>
        <w:rPr>
          <w:sz w:val="21"/>
        </w:rPr>
      </w:pPr>
      <w:r>
        <w:rPr>
          <w:spacing w:val="-3"/>
          <w:sz w:val="21"/>
        </w:rPr>
        <w:t>部门领导：制定职业健康管理的目标、指标和计划；</w:t>
      </w:r>
      <w:r>
        <w:rPr>
          <w:sz w:val="21"/>
        </w:rPr>
        <w:t> </w:t>
      </w:r>
    </w:p>
    <w:p>
      <w:pPr>
        <w:pStyle w:val="BodyText"/>
        <w:spacing w:before="2"/>
        <w:rPr>
          <w:sz w:val="18"/>
        </w:rPr>
      </w:pPr>
    </w:p>
    <w:p>
      <w:pPr>
        <w:pStyle w:val="ListParagraph"/>
        <w:numPr>
          <w:ilvl w:val="0"/>
          <w:numId w:val="46"/>
        </w:numPr>
        <w:tabs>
          <w:tab w:pos="1051" w:val="left" w:leader="none"/>
        </w:tabs>
        <w:spacing w:line="240" w:lineRule="auto" w:before="0" w:after="0"/>
        <w:ind w:left="1050" w:right="0" w:hanging="213"/>
        <w:jc w:val="left"/>
        <w:rPr>
          <w:sz w:val="21"/>
        </w:rPr>
      </w:pPr>
      <w:r>
        <w:rPr>
          <w:spacing w:val="-3"/>
          <w:sz w:val="21"/>
        </w:rPr>
        <w:t>高层管理人员：确保对职业健康相关法规的遵守与执行；</w:t>
      </w:r>
      <w:r>
        <w:rPr>
          <w:sz w:val="21"/>
        </w:rPr>
        <w:t> </w:t>
      </w:r>
    </w:p>
    <w:p>
      <w:pPr>
        <w:pStyle w:val="BodyText"/>
        <w:rPr>
          <w:sz w:val="18"/>
        </w:rPr>
      </w:pPr>
    </w:p>
    <w:p>
      <w:pPr>
        <w:pStyle w:val="ListParagraph"/>
        <w:numPr>
          <w:ilvl w:val="0"/>
          <w:numId w:val="46"/>
        </w:numPr>
        <w:tabs>
          <w:tab w:pos="1051" w:val="left" w:leader="none"/>
        </w:tabs>
        <w:spacing w:line="240" w:lineRule="auto" w:before="0" w:after="0"/>
        <w:ind w:left="1050" w:right="0" w:hanging="213"/>
        <w:jc w:val="left"/>
        <w:rPr>
          <w:sz w:val="21"/>
        </w:rPr>
      </w:pPr>
      <w:r>
        <w:rPr>
          <w:spacing w:val="-3"/>
          <w:sz w:val="21"/>
        </w:rPr>
        <w:t>管理人员：持续改进职业健康管理表现；</w:t>
      </w:r>
      <w:r>
        <w:rPr>
          <w:sz w:val="21"/>
        </w:rPr>
        <w:t> </w:t>
      </w:r>
    </w:p>
    <w:p>
      <w:pPr>
        <w:pStyle w:val="BodyText"/>
        <w:spacing w:before="12"/>
        <w:rPr>
          <w:sz w:val="17"/>
        </w:rPr>
      </w:pPr>
    </w:p>
    <w:p>
      <w:pPr>
        <w:pStyle w:val="ListParagraph"/>
        <w:numPr>
          <w:ilvl w:val="0"/>
          <w:numId w:val="46"/>
        </w:numPr>
        <w:tabs>
          <w:tab w:pos="1051" w:val="left" w:leader="none"/>
        </w:tabs>
        <w:spacing w:line="446" w:lineRule="auto" w:before="0" w:after="0"/>
        <w:ind w:left="840" w:right="5709" w:hanging="3"/>
        <w:jc w:val="left"/>
        <w:rPr>
          <w:b/>
          <w:sz w:val="21"/>
        </w:rPr>
      </w:pPr>
      <w:r>
        <w:rPr>
          <w:spacing w:val="-3"/>
          <w:sz w:val="21"/>
        </w:rPr>
        <w:t>消防员：遵守各项职业健康管理规定。 </w:t>
      </w:r>
      <w:r>
        <w:rPr>
          <w:b/>
          <w:sz w:val="21"/>
        </w:rPr>
        <w:t>6.3</w:t>
      </w:r>
      <w:r>
        <w:rPr>
          <w:b/>
          <w:spacing w:val="1"/>
          <w:sz w:val="21"/>
        </w:rPr>
        <w:t> </w:t>
      </w:r>
      <w:r>
        <w:rPr>
          <w:spacing w:val="-3"/>
          <w:sz w:val="21"/>
        </w:rPr>
        <w:t>管理计划</w:t>
      </w:r>
      <w:r>
        <w:rPr>
          <w:b/>
          <w:w w:val="99"/>
          <w:sz w:val="21"/>
        </w:rPr>
        <w:t> </w:t>
      </w:r>
    </w:p>
    <w:p>
      <w:pPr>
        <w:pStyle w:val="ListParagraph"/>
        <w:numPr>
          <w:ilvl w:val="2"/>
          <w:numId w:val="47"/>
        </w:numPr>
        <w:tabs>
          <w:tab w:pos="1370" w:val="left" w:leader="none"/>
        </w:tabs>
        <w:spacing w:line="446" w:lineRule="auto" w:before="1" w:after="0"/>
        <w:ind w:left="418" w:right="1604" w:firstLine="422"/>
        <w:jc w:val="both"/>
        <w:rPr>
          <w:sz w:val="21"/>
        </w:rPr>
      </w:pPr>
      <w:r>
        <w:rPr>
          <w:spacing w:val="-3"/>
          <w:sz w:val="21"/>
        </w:rPr>
        <w:t>消防组织应全面评审和确定内、外部状况及自身需求，并有针对性地设立健康管理目标和指标。制定健康管理方案，主要包括制定计划、实施计划和检查、监督、评价计划三个阶段的工作过程。</w:t>
      </w:r>
      <w:r>
        <w:rPr>
          <w:sz w:val="21"/>
        </w:rPr>
        <w:t> </w:t>
      </w:r>
    </w:p>
    <w:p>
      <w:pPr>
        <w:pStyle w:val="ListParagraph"/>
        <w:numPr>
          <w:ilvl w:val="2"/>
          <w:numId w:val="47"/>
        </w:numPr>
        <w:tabs>
          <w:tab w:pos="1370" w:val="left" w:leader="none"/>
        </w:tabs>
        <w:spacing w:line="446" w:lineRule="auto" w:before="0" w:after="0"/>
        <w:ind w:left="418" w:right="1604" w:firstLine="422"/>
        <w:jc w:val="both"/>
        <w:rPr>
          <w:sz w:val="21"/>
        </w:rPr>
      </w:pPr>
      <w:r>
        <w:rPr>
          <w:spacing w:val="-3"/>
          <w:sz w:val="21"/>
        </w:rPr>
        <w:t>各级消防组织的职业健康管理机构应组织各部门制定一个全面、可行的职业健康管理计划，开展职业健康促进，进行职业健康评估，并持续改进，以最大限度地保障消防员的职</w:t>
      </w:r>
      <w:r>
        <w:rPr>
          <w:spacing w:val="-5"/>
          <w:sz w:val="21"/>
        </w:rPr>
        <w:t>业健康。职业健康促进和职业健康评估内容分别参见附录 </w:t>
      </w:r>
      <w:r>
        <w:rPr>
          <w:sz w:val="21"/>
        </w:rPr>
        <w:t>C</w:t>
      </w:r>
      <w:r>
        <w:rPr>
          <w:spacing w:val="-23"/>
          <w:sz w:val="21"/>
        </w:rPr>
        <w:t> 和附录 </w:t>
      </w:r>
      <w:r>
        <w:rPr>
          <w:sz w:val="21"/>
        </w:rPr>
        <w:t>D</w:t>
      </w:r>
      <w:r>
        <w:rPr>
          <w:spacing w:val="-3"/>
          <w:sz w:val="21"/>
        </w:rPr>
        <w:t>。</w:t>
      </w:r>
      <w:r>
        <w:rPr>
          <w:sz w:val="21"/>
        </w:rPr>
        <w:t> </w:t>
      </w:r>
    </w:p>
    <w:p>
      <w:pPr>
        <w:pStyle w:val="ListParagraph"/>
        <w:numPr>
          <w:ilvl w:val="2"/>
          <w:numId w:val="47"/>
        </w:numPr>
        <w:tabs>
          <w:tab w:pos="1371" w:val="left" w:leader="none"/>
        </w:tabs>
        <w:spacing w:line="446" w:lineRule="auto" w:before="0" w:after="0"/>
        <w:ind w:left="838" w:right="5497" w:firstLine="2"/>
        <w:jc w:val="both"/>
        <w:rPr>
          <w:sz w:val="21"/>
        </w:rPr>
      </w:pPr>
      <w:r>
        <w:rPr>
          <w:spacing w:val="-2"/>
          <w:sz w:val="21"/>
        </w:rPr>
        <w:t>职业健康管理计划应包括以下内容： </w:t>
      </w:r>
      <w:r>
        <w:rPr>
          <w:sz w:val="21"/>
        </w:rPr>
        <w:t>a) </w:t>
      </w:r>
      <w:r>
        <w:rPr>
          <w:spacing w:val="-3"/>
          <w:sz w:val="21"/>
        </w:rPr>
        <w:t>实现健康管理目标和指标的职责和资源；</w:t>
      </w:r>
      <w:r>
        <w:rPr>
          <w:sz w:val="21"/>
        </w:rPr>
        <w:t> </w:t>
      </w:r>
    </w:p>
    <w:p>
      <w:pPr>
        <w:pStyle w:val="ListParagraph"/>
        <w:numPr>
          <w:ilvl w:val="0"/>
          <w:numId w:val="48"/>
        </w:numPr>
        <w:tabs>
          <w:tab w:pos="1051" w:val="left" w:leader="none"/>
        </w:tabs>
        <w:spacing w:line="240" w:lineRule="auto" w:before="0" w:after="0"/>
        <w:ind w:left="1050" w:right="0" w:hanging="213"/>
        <w:jc w:val="both"/>
        <w:rPr>
          <w:sz w:val="21"/>
        </w:rPr>
      </w:pPr>
      <w:r>
        <w:rPr>
          <w:spacing w:val="-3"/>
          <w:sz w:val="21"/>
        </w:rPr>
        <w:t>实现健康管理目标和指标的措施；</w:t>
      </w:r>
      <w:r>
        <w:rPr>
          <w:sz w:val="21"/>
        </w:rPr>
        <w:t> </w:t>
      </w:r>
    </w:p>
    <w:p>
      <w:pPr>
        <w:spacing w:after="0" w:line="240" w:lineRule="auto"/>
        <w:jc w:val="both"/>
        <w:rPr>
          <w:sz w:val="21"/>
        </w:rPr>
        <w:sectPr>
          <w:pgSz w:w="11910" w:h="16850"/>
          <w:pgMar w:header="0" w:footer="1239" w:top="1220" w:bottom="1420" w:left="1260" w:right="0"/>
        </w:sectPr>
      </w:pPr>
    </w:p>
    <w:p>
      <w:pPr>
        <w:pStyle w:val="ListParagraph"/>
        <w:numPr>
          <w:ilvl w:val="0"/>
          <w:numId w:val="48"/>
        </w:numPr>
        <w:tabs>
          <w:tab w:pos="1051" w:val="left" w:leader="none"/>
        </w:tabs>
        <w:spacing w:line="240" w:lineRule="auto" w:before="47" w:after="0"/>
        <w:ind w:left="1050" w:right="0" w:hanging="213"/>
        <w:jc w:val="left"/>
        <w:rPr>
          <w:sz w:val="21"/>
        </w:rPr>
      </w:pPr>
      <w:r>
        <w:rPr>
          <w:spacing w:val="-3"/>
          <w:sz w:val="21"/>
        </w:rPr>
        <w:t>实现健康管理目标和指标的时间进度；</w:t>
      </w:r>
      <w:r>
        <w:rPr>
          <w:sz w:val="21"/>
        </w:rPr>
        <w:t> </w:t>
      </w:r>
    </w:p>
    <w:p>
      <w:pPr>
        <w:pStyle w:val="BodyText"/>
        <w:rPr>
          <w:sz w:val="18"/>
        </w:rPr>
      </w:pPr>
    </w:p>
    <w:p>
      <w:pPr>
        <w:pStyle w:val="ListParagraph"/>
        <w:numPr>
          <w:ilvl w:val="0"/>
          <w:numId w:val="48"/>
        </w:numPr>
        <w:tabs>
          <w:tab w:pos="1051" w:val="left" w:leader="none"/>
        </w:tabs>
        <w:spacing w:line="446" w:lineRule="auto" w:before="0" w:after="0"/>
        <w:ind w:left="840" w:right="6129" w:hanging="3"/>
        <w:jc w:val="left"/>
        <w:rPr>
          <w:sz w:val="21"/>
        </w:rPr>
      </w:pPr>
      <w:r>
        <w:rPr>
          <w:spacing w:val="-3"/>
          <w:sz w:val="21"/>
        </w:rPr>
        <w:t>实现健康管理目标和指标的评价。 </w:t>
      </w:r>
      <w:r>
        <w:rPr>
          <w:b/>
          <w:sz w:val="21"/>
        </w:rPr>
        <w:t>6.4 </w:t>
      </w:r>
      <w:r>
        <w:rPr>
          <w:spacing w:val="-3"/>
          <w:sz w:val="21"/>
        </w:rPr>
        <w:t>管理资料</w:t>
      </w:r>
      <w:r>
        <w:rPr>
          <w:sz w:val="21"/>
        </w:rPr>
        <w:t> </w:t>
      </w:r>
    </w:p>
    <w:p>
      <w:pPr>
        <w:pStyle w:val="BodyText"/>
        <w:ind w:left="838"/>
      </w:pPr>
      <w:r>
        <w:rPr/>
        <w:t>职业健康管理的文件及相关记录应归档保存。 </w:t>
      </w:r>
    </w:p>
    <w:p>
      <w:pPr>
        <w:pStyle w:val="BodyText"/>
        <w:spacing w:before="8"/>
        <w:rPr>
          <w:sz w:val="15"/>
        </w:rPr>
      </w:pPr>
    </w:p>
    <w:p>
      <w:pPr>
        <w:pStyle w:val="Heading4"/>
      </w:pPr>
      <w:r>
        <w:rPr/>
        <w:t>7 职业健康保障</w:t>
      </w:r>
      <w:r>
        <w:rPr>
          <w:w w:val="99"/>
        </w:rPr>
        <w:t> </w:t>
      </w:r>
    </w:p>
    <w:p>
      <w:pPr>
        <w:pStyle w:val="BodyText"/>
        <w:spacing w:before="4"/>
        <w:rPr>
          <w:b/>
          <w:sz w:val="17"/>
        </w:rPr>
      </w:pPr>
    </w:p>
    <w:p>
      <w:pPr>
        <w:pStyle w:val="BodyText"/>
        <w:spacing w:line="446" w:lineRule="auto"/>
        <w:ind w:left="840" w:right="2554" w:hanging="3"/>
        <w:rPr>
          <w:b/>
        </w:rPr>
      </w:pPr>
      <w:r>
        <w:rPr/>
        <w:t>消防组织应当为消防员提供必要的职业危害防护装备和基本的医疗卫生服务。</w:t>
      </w:r>
      <w:r>
        <w:rPr>
          <w:b/>
        </w:rPr>
        <w:t>7.1 </w:t>
      </w:r>
      <w:r>
        <w:rPr/>
        <w:t>职业危害防护装备</w:t>
      </w:r>
      <w:r>
        <w:rPr>
          <w:b/>
          <w:w w:val="99"/>
        </w:rPr>
        <w:t> </w:t>
      </w:r>
    </w:p>
    <w:p>
      <w:pPr>
        <w:pStyle w:val="ListParagraph"/>
        <w:numPr>
          <w:ilvl w:val="2"/>
          <w:numId w:val="49"/>
        </w:numPr>
        <w:tabs>
          <w:tab w:pos="1370" w:val="left" w:leader="none"/>
        </w:tabs>
        <w:spacing w:line="446" w:lineRule="auto" w:before="0" w:after="0"/>
        <w:ind w:left="418" w:right="1608" w:firstLine="422"/>
        <w:jc w:val="left"/>
        <w:rPr>
          <w:sz w:val="21"/>
        </w:rPr>
      </w:pPr>
      <w:r>
        <w:rPr>
          <w:spacing w:val="-2"/>
          <w:sz w:val="21"/>
        </w:rPr>
        <w:t>消防组织应当为消防员配备合理的、符合国家标准或行业标准的职业危害防护装 备</w:t>
      </w:r>
      <w:r>
        <w:rPr>
          <w:spacing w:val="-3"/>
          <w:sz w:val="21"/>
        </w:rPr>
        <w:t>。无国家标准和行业标准的，应经过国家相关法定检验</w:t>
      </w:r>
      <w:r>
        <w:rPr>
          <w:sz w:val="21"/>
        </w:rPr>
        <w:t>（</w:t>
      </w:r>
      <w:r>
        <w:rPr>
          <w:spacing w:val="-2"/>
          <w:sz w:val="21"/>
        </w:rPr>
        <w:t>检测</w:t>
      </w:r>
      <w:r>
        <w:rPr>
          <w:spacing w:val="-3"/>
          <w:sz w:val="21"/>
        </w:rPr>
        <w:t>）机构检验</w:t>
      </w:r>
      <w:r>
        <w:rPr>
          <w:sz w:val="21"/>
        </w:rPr>
        <w:t>（</w:t>
      </w:r>
      <w:r>
        <w:rPr>
          <w:spacing w:val="-2"/>
          <w:sz w:val="21"/>
        </w:rPr>
        <w:t>检测</w:t>
      </w:r>
      <w:r>
        <w:rPr>
          <w:sz w:val="21"/>
        </w:rPr>
        <w:t>）</w:t>
      </w:r>
      <w:r>
        <w:rPr>
          <w:spacing w:val="-3"/>
          <w:sz w:val="21"/>
        </w:rPr>
        <w:t>合格。职业</w:t>
      </w:r>
      <w:r>
        <w:rPr>
          <w:spacing w:val="-7"/>
          <w:sz w:val="21"/>
        </w:rPr>
        <w:t>危害防护装备目录参见附录 </w:t>
      </w:r>
      <w:r>
        <w:rPr>
          <w:spacing w:val="-3"/>
          <w:sz w:val="21"/>
        </w:rPr>
        <w:t>E。</w:t>
      </w:r>
      <w:r>
        <w:rPr>
          <w:sz w:val="21"/>
        </w:rPr>
        <w:t> </w:t>
      </w:r>
    </w:p>
    <w:p>
      <w:pPr>
        <w:pStyle w:val="ListParagraph"/>
        <w:numPr>
          <w:ilvl w:val="2"/>
          <w:numId w:val="49"/>
        </w:numPr>
        <w:tabs>
          <w:tab w:pos="1370" w:val="left" w:leader="none"/>
        </w:tabs>
        <w:spacing w:line="268" w:lineRule="exact" w:before="0" w:after="0"/>
        <w:ind w:left="1369" w:right="0" w:hanging="530"/>
        <w:jc w:val="left"/>
        <w:rPr>
          <w:sz w:val="21"/>
        </w:rPr>
      </w:pPr>
      <w:r>
        <w:rPr>
          <w:spacing w:val="-3"/>
          <w:sz w:val="21"/>
        </w:rPr>
        <w:t>在未经现场侦检、没有个人防护的情况下，消防员不得进入灭火、救援现场。</w:t>
      </w:r>
      <w:r>
        <w:rPr>
          <w:sz w:val="21"/>
        </w:rPr>
        <w:t> </w:t>
      </w:r>
    </w:p>
    <w:p>
      <w:pPr>
        <w:pStyle w:val="BodyText"/>
        <w:rPr>
          <w:sz w:val="18"/>
        </w:rPr>
      </w:pPr>
    </w:p>
    <w:p>
      <w:pPr>
        <w:pStyle w:val="ListParagraph"/>
        <w:numPr>
          <w:ilvl w:val="2"/>
          <w:numId w:val="49"/>
        </w:numPr>
        <w:tabs>
          <w:tab w:pos="1371" w:val="left" w:leader="none"/>
        </w:tabs>
        <w:spacing w:line="446" w:lineRule="auto" w:before="0" w:after="0"/>
        <w:ind w:left="418" w:right="1604" w:firstLine="422"/>
        <w:jc w:val="both"/>
        <w:rPr>
          <w:sz w:val="21"/>
        </w:rPr>
      </w:pPr>
      <w:r>
        <w:rPr>
          <w:spacing w:val="-3"/>
          <w:sz w:val="21"/>
        </w:rPr>
        <w:t>侦检人员到达事故现场后应首先向知情人了解情况，或利用侦检设备进行定性、半定量、定量检测，对职业危害因素的种类进行识别。常见气体的直读式检测仪器选择和检测程</w:t>
      </w:r>
      <w:r>
        <w:rPr>
          <w:spacing w:val="8"/>
          <w:sz w:val="21"/>
        </w:rPr>
        <w:t>序参见附录</w:t>
      </w:r>
      <w:r>
        <w:rPr>
          <w:sz w:val="21"/>
        </w:rPr>
        <w:t>F</w:t>
      </w:r>
      <w:r>
        <w:rPr>
          <w:spacing w:val="-7"/>
          <w:sz w:val="21"/>
        </w:rPr>
        <w:t>；如进入密闭空间作业，宜按照 </w:t>
      </w:r>
      <w:r>
        <w:rPr>
          <w:sz w:val="21"/>
        </w:rPr>
        <w:t>GBZ/T205</w:t>
      </w:r>
      <w:r>
        <w:rPr>
          <w:spacing w:val="-3"/>
          <w:sz w:val="21"/>
        </w:rPr>
        <w:t> 执行。</w:t>
      </w:r>
      <w:r>
        <w:rPr>
          <w:sz w:val="21"/>
        </w:rPr>
        <w:t> </w:t>
      </w:r>
    </w:p>
    <w:p>
      <w:pPr>
        <w:pStyle w:val="ListParagraph"/>
        <w:numPr>
          <w:ilvl w:val="2"/>
          <w:numId w:val="49"/>
        </w:numPr>
        <w:tabs>
          <w:tab w:pos="1370" w:val="left" w:leader="none"/>
        </w:tabs>
        <w:spacing w:line="446" w:lineRule="auto" w:before="0" w:after="0"/>
        <w:ind w:left="418" w:right="1604" w:firstLine="422"/>
        <w:jc w:val="both"/>
        <w:rPr>
          <w:sz w:val="21"/>
        </w:rPr>
      </w:pPr>
      <w:r>
        <w:rPr>
          <w:spacing w:val="-3"/>
          <w:sz w:val="21"/>
        </w:rPr>
        <w:t>指挥员应根据侦检情况，及时对消防员接触职业危害因素的接触水平和危害程度进行预测，迅速将作业区域划分为危险区、安全区和警戒区，并根据岗位分工及所在区域，确定消防员的个人防护等级。</w:t>
      </w:r>
      <w:r>
        <w:rPr>
          <w:sz w:val="21"/>
        </w:rPr>
        <w:t> </w:t>
      </w:r>
    </w:p>
    <w:p>
      <w:pPr>
        <w:pStyle w:val="ListParagraph"/>
        <w:numPr>
          <w:ilvl w:val="2"/>
          <w:numId w:val="49"/>
        </w:numPr>
        <w:tabs>
          <w:tab w:pos="1370" w:val="left" w:leader="none"/>
        </w:tabs>
        <w:spacing w:line="446" w:lineRule="auto" w:before="0" w:after="0"/>
        <w:ind w:left="418" w:right="1604" w:firstLine="422"/>
        <w:jc w:val="left"/>
        <w:rPr>
          <w:sz w:val="21"/>
        </w:rPr>
      </w:pPr>
      <w:r>
        <w:rPr>
          <w:spacing w:val="-3"/>
          <w:sz w:val="21"/>
        </w:rPr>
        <w:t>指挥员应根据职业危害因素的种类和性质，以及个人防护装备的性能和用途，指导消防员对个人防护装备进行选择和组合，确保身体各部位免受职业危害因素的伤害。</w:t>
      </w:r>
      <w:r>
        <w:rPr>
          <w:sz w:val="21"/>
        </w:rPr>
        <w:t> </w:t>
      </w:r>
    </w:p>
    <w:p>
      <w:pPr>
        <w:pStyle w:val="ListParagraph"/>
        <w:numPr>
          <w:ilvl w:val="2"/>
          <w:numId w:val="49"/>
        </w:numPr>
        <w:tabs>
          <w:tab w:pos="1370" w:val="left" w:leader="none"/>
        </w:tabs>
        <w:spacing w:line="446" w:lineRule="auto" w:before="0" w:after="0"/>
        <w:ind w:left="418" w:right="1604" w:firstLine="422"/>
        <w:jc w:val="left"/>
        <w:rPr>
          <w:sz w:val="21"/>
        </w:rPr>
      </w:pPr>
      <w:r>
        <w:rPr>
          <w:spacing w:val="-3"/>
          <w:sz w:val="21"/>
        </w:rPr>
        <w:t>指挥员应将现场侦检贯穿于灭火救援工作的全过程，确保消防员始终得到充分的个人防护。</w:t>
      </w:r>
      <w:r>
        <w:rPr>
          <w:sz w:val="21"/>
        </w:rPr>
        <w:t> </w:t>
      </w:r>
    </w:p>
    <w:p>
      <w:pPr>
        <w:pStyle w:val="ListParagraph"/>
        <w:numPr>
          <w:ilvl w:val="2"/>
          <w:numId w:val="49"/>
        </w:numPr>
        <w:tabs>
          <w:tab w:pos="1370" w:val="left" w:leader="none"/>
        </w:tabs>
        <w:spacing w:line="446" w:lineRule="auto" w:before="0" w:after="0"/>
        <w:ind w:left="418" w:right="1604" w:firstLine="422"/>
        <w:jc w:val="left"/>
        <w:rPr>
          <w:sz w:val="21"/>
        </w:rPr>
      </w:pPr>
      <w:r>
        <w:rPr>
          <w:spacing w:val="-3"/>
          <w:sz w:val="21"/>
        </w:rPr>
        <w:t>暴露于危险化学品及核泄漏事故染毒区域内的消防员、消防器材、防护装备，应进</w:t>
      </w:r>
      <w:r>
        <w:rPr>
          <w:spacing w:val="-7"/>
          <w:sz w:val="21"/>
        </w:rPr>
        <w:t>行洗消，洗消方法参见附录 </w:t>
      </w:r>
      <w:r>
        <w:rPr>
          <w:sz w:val="21"/>
        </w:rPr>
        <w:t>G</w:t>
      </w:r>
      <w:r>
        <w:rPr>
          <w:spacing w:val="-3"/>
          <w:sz w:val="21"/>
        </w:rPr>
        <w:t>。</w:t>
      </w:r>
      <w:r>
        <w:rPr>
          <w:sz w:val="21"/>
        </w:rPr>
        <w:t> </w:t>
      </w:r>
    </w:p>
    <w:p>
      <w:pPr>
        <w:pStyle w:val="ListParagraph"/>
        <w:numPr>
          <w:ilvl w:val="2"/>
          <w:numId w:val="49"/>
        </w:numPr>
        <w:tabs>
          <w:tab w:pos="1371" w:val="left" w:leader="none"/>
        </w:tabs>
        <w:spacing w:line="267" w:lineRule="exact" w:before="0" w:after="0"/>
        <w:ind w:left="1370" w:right="0" w:hanging="531"/>
        <w:jc w:val="left"/>
        <w:rPr>
          <w:sz w:val="21"/>
        </w:rPr>
      </w:pPr>
      <w:r>
        <w:rPr>
          <w:spacing w:val="-3"/>
          <w:sz w:val="21"/>
        </w:rPr>
        <w:t>消防组织应规范职业危害防护装备的管理。</w:t>
      </w:r>
      <w:r>
        <w:rPr>
          <w:sz w:val="21"/>
        </w:rPr>
        <w:t> </w:t>
      </w:r>
    </w:p>
    <w:p>
      <w:pPr>
        <w:pStyle w:val="BodyText"/>
        <w:rPr>
          <w:sz w:val="18"/>
        </w:rPr>
      </w:pPr>
    </w:p>
    <w:p>
      <w:pPr>
        <w:pStyle w:val="ListParagraph"/>
        <w:numPr>
          <w:ilvl w:val="3"/>
          <w:numId w:val="49"/>
        </w:numPr>
        <w:tabs>
          <w:tab w:pos="1576" w:val="left" w:leader="none"/>
        </w:tabs>
        <w:spacing w:line="446" w:lineRule="auto" w:before="0" w:after="0"/>
        <w:ind w:left="418" w:right="1609" w:firstLine="419"/>
        <w:jc w:val="left"/>
        <w:rPr>
          <w:sz w:val="21"/>
        </w:rPr>
      </w:pPr>
      <w:r>
        <w:rPr>
          <w:spacing w:val="-3"/>
          <w:sz w:val="21"/>
        </w:rPr>
        <w:t>建立、健全职业危害防护装备的领用登记、清查、使用、维护、保养、报废等管理制度。</w:t>
      </w:r>
      <w:r>
        <w:rPr>
          <w:sz w:val="21"/>
        </w:rPr>
        <w:t> </w:t>
      </w:r>
    </w:p>
    <w:p>
      <w:pPr>
        <w:pStyle w:val="ListParagraph"/>
        <w:numPr>
          <w:ilvl w:val="3"/>
          <w:numId w:val="49"/>
        </w:numPr>
        <w:tabs>
          <w:tab w:pos="1576" w:val="left" w:leader="none"/>
        </w:tabs>
        <w:spacing w:line="446" w:lineRule="auto" w:before="0" w:after="0"/>
        <w:ind w:left="418" w:right="1609" w:firstLine="419"/>
        <w:jc w:val="left"/>
        <w:rPr>
          <w:sz w:val="21"/>
        </w:rPr>
      </w:pPr>
      <w:r>
        <w:rPr>
          <w:spacing w:val="-3"/>
          <w:sz w:val="21"/>
        </w:rPr>
        <w:t>加强对消防员职业危害防护装备使用、维护、保养等技能的培训与考核，确保消防员能正确、有效地发挥职业危害防护装备的功能。 </w:t>
      </w:r>
    </w:p>
    <w:p>
      <w:pPr>
        <w:spacing w:after="0" w:line="446" w:lineRule="auto"/>
        <w:jc w:val="left"/>
        <w:rPr>
          <w:sz w:val="21"/>
        </w:rPr>
        <w:sectPr>
          <w:pgSz w:w="11910" w:h="16850"/>
          <w:pgMar w:header="0" w:footer="1239" w:top="1220" w:bottom="1420" w:left="1260" w:right="0"/>
        </w:sectPr>
      </w:pPr>
    </w:p>
    <w:p>
      <w:pPr>
        <w:pStyle w:val="ListParagraph"/>
        <w:numPr>
          <w:ilvl w:val="3"/>
          <w:numId w:val="49"/>
        </w:numPr>
        <w:tabs>
          <w:tab w:pos="1576" w:val="left" w:leader="none"/>
        </w:tabs>
        <w:spacing w:line="240" w:lineRule="auto" w:before="47" w:after="0"/>
        <w:ind w:left="1575" w:right="0" w:hanging="738"/>
        <w:jc w:val="left"/>
        <w:rPr>
          <w:sz w:val="21"/>
        </w:rPr>
      </w:pPr>
      <w:r>
        <w:rPr>
          <w:spacing w:val="-3"/>
          <w:sz w:val="21"/>
        </w:rPr>
        <w:t>定期对职业危害防护装备进行性能测试，确保防护装备始终处于正常使用状态。</w:t>
      </w:r>
      <w:r>
        <w:rPr>
          <w:sz w:val="21"/>
        </w:rPr>
        <w:t> </w:t>
      </w:r>
    </w:p>
    <w:p>
      <w:pPr>
        <w:pStyle w:val="BodyText"/>
        <w:rPr>
          <w:sz w:val="18"/>
        </w:rPr>
      </w:pPr>
    </w:p>
    <w:p>
      <w:pPr>
        <w:pStyle w:val="ListParagraph"/>
        <w:numPr>
          <w:ilvl w:val="1"/>
          <w:numId w:val="50"/>
        </w:numPr>
        <w:tabs>
          <w:tab w:pos="1159" w:val="left" w:leader="none"/>
        </w:tabs>
        <w:spacing w:line="240" w:lineRule="auto" w:before="0" w:after="0"/>
        <w:ind w:left="1158" w:right="0" w:hanging="319"/>
        <w:jc w:val="left"/>
        <w:rPr>
          <w:b/>
          <w:sz w:val="21"/>
        </w:rPr>
      </w:pPr>
      <w:r>
        <w:rPr>
          <w:spacing w:val="-3"/>
          <w:sz w:val="21"/>
        </w:rPr>
        <w:t>医疗卫生服务</w:t>
      </w:r>
      <w:r>
        <w:rPr>
          <w:b/>
          <w:w w:val="99"/>
          <w:sz w:val="21"/>
        </w:rPr>
        <w:t> </w:t>
      </w:r>
    </w:p>
    <w:p>
      <w:pPr>
        <w:pStyle w:val="BodyText"/>
        <w:rPr>
          <w:b/>
          <w:sz w:val="18"/>
        </w:rPr>
      </w:pPr>
    </w:p>
    <w:p>
      <w:pPr>
        <w:pStyle w:val="ListParagraph"/>
        <w:numPr>
          <w:ilvl w:val="2"/>
          <w:numId w:val="50"/>
        </w:numPr>
        <w:tabs>
          <w:tab w:pos="1371" w:val="left" w:leader="none"/>
        </w:tabs>
        <w:spacing w:line="240" w:lineRule="auto" w:before="0" w:after="0"/>
        <w:ind w:left="1370" w:right="0" w:hanging="531"/>
        <w:jc w:val="left"/>
        <w:rPr>
          <w:sz w:val="21"/>
        </w:rPr>
      </w:pPr>
      <w:r>
        <w:rPr>
          <w:spacing w:val="-3"/>
          <w:sz w:val="21"/>
        </w:rPr>
        <w:t>服务内容</w:t>
      </w:r>
      <w:r>
        <w:rPr>
          <w:sz w:val="21"/>
        </w:rPr>
        <w:t> </w:t>
      </w:r>
    </w:p>
    <w:p>
      <w:pPr>
        <w:pStyle w:val="BodyText"/>
        <w:spacing w:before="1"/>
        <w:rPr>
          <w:sz w:val="18"/>
        </w:rPr>
      </w:pPr>
    </w:p>
    <w:p>
      <w:pPr>
        <w:pStyle w:val="ListParagraph"/>
        <w:numPr>
          <w:ilvl w:val="3"/>
          <w:numId w:val="50"/>
        </w:numPr>
        <w:tabs>
          <w:tab w:pos="1576" w:val="left" w:leader="none"/>
        </w:tabs>
        <w:spacing w:line="446" w:lineRule="auto" w:before="1" w:after="0"/>
        <w:ind w:left="418" w:right="1608" w:firstLine="419"/>
        <w:jc w:val="left"/>
        <w:rPr>
          <w:sz w:val="21"/>
        </w:rPr>
      </w:pPr>
      <w:r>
        <w:rPr>
          <w:spacing w:val="-2"/>
          <w:sz w:val="21"/>
        </w:rPr>
        <w:t>基层消防组织的卫生人员主要为本组织内的消防员提供常见病的咨询和初步治 疗</w:t>
      </w:r>
      <w:r>
        <w:rPr>
          <w:spacing w:val="-3"/>
          <w:sz w:val="21"/>
        </w:rPr>
        <w:t>，对在作战、训练时发生的急性损伤进行初步处理，并为需要进行进一步诊治的消防员联系上级医疗机构。</w:t>
      </w:r>
      <w:r>
        <w:rPr>
          <w:sz w:val="21"/>
        </w:rPr>
        <w:t> </w:t>
      </w:r>
    </w:p>
    <w:p>
      <w:pPr>
        <w:pStyle w:val="ListParagraph"/>
        <w:numPr>
          <w:ilvl w:val="3"/>
          <w:numId w:val="50"/>
        </w:numPr>
        <w:tabs>
          <w:tab w:pos="1576" w:val="left" w:leader="none"/>
        </w:tabs>
        <w:spacing w:line="446" w:lineRule="auto" w:before="0" w:after="0"/>
        <w:ind w:left="838" w:right="5288" w:firstLine="0"/>
        <w:jc w:val="left"/>
        <w:rPr>
          <w:sz w:val="21"/>
        </w:rPr>
      </w:pPr>
      <w:r>
        <w:rPr>
          <w:spacing w:val="-3"/>
          <w:sz w:val="21"/>
        </w:rPr>
        <w:t>地市级消防组织卫生所主要服务内容： </w:t>
      </w:r>
      <w:r>
        <w:rPr>
          <w:sz w:val="21"/>
        </w:rPr>
        <w:t>a)</w:t>
      </w:r>
      <w:r>
        <w:rPr>
          <w:spacing w:val="-3"/>
          <w:sz w:val="21"/>
        </w:rPr>
        <w:t> 为本组织内的消防员提供健康咨询和诊疗；</w:t>
      </w:r>
      <w:r>
        <w:rPr>
          <w:sz w:val="21"/>
        </w:rPr>
        <w:t> </w:t>
      </w:r>
    </w:p>
    <w:p>
      <w:pPr>
        <w:pStyle w:val="ListParagraph"/>
        <w:numPr>
          <w:ilvl w:val="0"/>
          <w:numId w:val="51"/>
        </w:numPr>
        <w:tabs>
          <w:tab w:pos="1051" w:val="left" w:leader="none"/>
        </w:tabs>
        <w:spacing w:line="267" w:lineRule="exact" w:before="0" w:after="0"/>
        <w:ind w:left="1050" w:right="0" w:hanging="213"/>
        <w:jc w:val="left"/>
        <w:rPr>
          <w:sz w:val="21"/>
        </w:rPr>
      </w:pPr>
      <w:r>
        <w:rPr>
          <w:spacing w:val="-3"/>
          <w:sz w:val="21"/>
        </w:rPr>
        <w:t>为处理重特大灾害事故的消防员提供现场的应急医疗服务；</w:t>
      </w:r>
      <w:r>
        <w:rPr>
          <w:sz w:val="21"/>
        </w:rPr>
        <w:t> </w:t>
      </w:r>
    </w:p>
    <w:p>
      <w:pPr>
        <w:pStyle w:val="BodyText"/>
        <w:rPr>
          <w:sz w:val="18"/>
        </w:rPr>
      </w:pPr>
    </w:p>
    <w:p>
      <w:pPr>
        <w:pStyle w:val="ListParagraph"/>
        <w:numPr>
          <w:ilvl w:val="0"/>
          <w:numId w:val="51"/>
        </w:numPr>
        <w:tabs>
          <w:tab w:pos="1051" w:val="left" w:leader="none"/>
        </w:tabs>
        <w:spacing w:line="240" w:lineRule="auto" w:before="0" w:after="0"/>
        <w:ind w:left="1050" w:right="0" w:hanging="213"/>
        <w:jc w:val="both"/>
        <w:rPr>
          <w:sz w:val="21"/>
        </w:rPr>
      </w:pPr>
      <w:r>
        <w:rPr>
          <w:spacing w:val="-3"/>
          <w:sz w:val="21"/>
        </w:rPr>
        <w:t>为需要进一步诊治的消防员联系上级医疗机构； </w:t>
      </w:r>
    </w:p>
    <w:p>
      <w:pPr>
        <w:pStyle w:val="BodyText"/>
        <w:spacing w:before="12"/>
        <w:rPr>
          <w:sz w:val="17"/>
        </w:rPr>
      </w:pPr>
    </w:p>
    <w:p>
      <w:pPr>
        <w:pStyle w:val="ListParagraph"/>
        <w:numPr>
          <w:ilvl w:val="0"/>
          <w:numId w:val="51"/>
        </w:numPr>
        <w:tabs>
          <w:tab w:pos="1051" w:val="left" w:leader="none"/>
        </w:tabs>
        <w:spacing w:line="446" w:lineRule="auto" w:before="1" w:after="0"/>
        <w:ind w:left="418" w:right="1609" w:firstLine="419"/>
        <w:jc w:val="both"/>
        <w:rPr>
          <w:sz w:val="21"/>
        </w:rPr>
      </w:pPr>
      <w:r>
        <w:rPr>
          <w:spacing w:val="-3"/>
          <w:sz w:val="21"/>
        </w:rPr>
        <w:t>为在处理已知或未知的化学品事故中可能接触有毒物质的消防员提供应急健康检查服务；</w:t>
      </w:r>
      <w:r>
        <w:rPr>
          <w:sz w:val="21"/>
        </w:rPr>
        <w:t> </w:t>
      </w:r>
    </w:p>
    <w:p>
      <w:pPr>
        <w:pStyle w:val="ListParagraph"/>
        <w:numPr>
          <w:ilvl w:val="0"/>
          <w:numId w:val="51"/>
        </w:numPr>
        <w:tabs>
          <w:tab w:pos="1051" w:val="left" w:leader="none"/>
        </w:tabs>
        <w:spacing w:line="240" w:lineRule="auto" w:before="0" w:after="0"/>
        <w:ind w:left="1050" w:right="0" w:hanging="213"/>
        <w:jc w:val="both"/>
        <w:rPr>
          <w:sz w:val="21"/>
        </w:rPr>
      </w:pPr>
      <w:r>
        <w:rPr>
          <w:spacing w:val="-3"/>
          <w:sz w:val="21"/>
        </w:rPr>
        <w:t>对消防员的免疫接种情况进行筛查，并为需要免疫接种的消防员提供服务； </w:t>
      </w:r>
    </w:p>
    <w:p>
      <w:pPr>
        <w:pStyle w:val="BodyText"/>
        <w:spacing w:before="12"/>
        <w:rPr>
          <w:sz w:val="17"/>
        </w:rPr>
      </w:pPr>
    </w:p>
    <w:p>
      <w:pPr>
        <w:pStyle w:val="ListParagraph"/>
        <w:numPr>
          <w:ilvl w:val="0"/>
          <w:numId w:val="51"/>
        </w:numPr>
        <w:tabs>
          <w:tab w:pos="1051" w:val="left" w:leader="none"/>
        </w:tabs>
        <w:spacing w:line="446" w:lineRule="auto" w:before="0" w:after="0"/>
        <w:ind w:left="418" w:right="1608" w:firstLine="419"/>
        <w:jc w:val="both"/>
        <w:rPr>
          <w:sz w:val="21"/>
        </w:rPr>
      </w:pPr>
      <w:r>
        <w:rPr>
          <w:spacing w:val="-3"/>
          <w:sz w:val="21"/>
        </w:rPr>
        <w:t>负责联系上级消防组织的心理咨询师或心理医师，为在消防员处理完大规模的人员伤亡事件、涉及儿童死亡的事件、涉及消防员死亡或受伤的事件以及其他影响消防员的生理和心理健康的事件后提供心理咨询服务。</w:t>
      </w:r>
      <w:r>
        <w:rPr>
          <w:sz w:val="21"/>
        </w:rPr>
        <w:t> </w:t>
      </w:r>
    </w:p>
    <w:p>
      <w:pPr>
        <w:pStyle w:val="ListParagraph"/>
        <w:numPr>
          <w:ilvl w:val="2"/>
          <w:numId w:val="50"/>
        </w:numPr>
        <w:tabs>
          <w:tab w:pos="1370" w:val="left" w:leader="none"/>
        </w:tabs>
        <w:spacing w:line="268" w:lineRule="exact" w:before="0" w:after="0"/>
        <w:ind w:left="1369" w:right="0" w:hanging="530"/>
        <w:jc w:val="left"/>
        <w:rPr>
          <w:b/>
          <w:sz w:val="21"/>
        </w:rPr>
      </w:pPr>
      <w:r>
        <w:rPr>
          <w:spacing w:val="-3"/>
          <w:sz w:val="21"/>
        </w:rPr>
        <w:t>环境及设施</w:t>
      </w:r>
      <w:r>
        <w:rPr>
          <w:b/>
          <w:w w:val="99"/>
          <w:sz w:val="21"/>
        </w:rPr>
        <w:t> </w:t>
      </w:r>
    </w:p>
    <w:p>
      <w:pPr>
        <w:pStyle w:val="BodyText"/>
        <w:spacing w:before="12"/>
        <w:rPr>
          <w:b/>
          <w:sz w:val="17"/>
        </w:rPr>
      </w:pPr>
    </w:p>
    <w:p>
      <w:pPr>
        <w:pStyle w:val="ListParagraph"/>
        <w:numPr>
          <w:ilvl w:val="3"/>
          <w:numId w:val="50"/>
        </w:numPr>
        <w:tabs>
          <w:tab w:pos="1576" w:val="left" w:leader="none"/>
        </w:tabs>
        <w:spacing w:line="444" w:lineRule="auto" w:before="0" w:after="0"/>
        <w:ind w:left="418" w:right="1606" w:firstLine="419"/>
        <w:jc w:val="both"/>
        <w:rPr>
          <w:sz w:val="21"/>
        </w:rPr>
      </w:pPr>
      <w:r>
        <w:rPr>
          <w:spacing w:val="-3"/>
          <w:sz w:val="21"/>
        </w:rPr>
        <w:t>基层消防组织应设有卫生室，为本组织内的消防员提供基本的医疗服务。卫生室</w:t>
      </w:r>
      <w:r>
        <w:rPr>
          <w:spacing w:val="-6"/>
          <w:sz w:val="21"/>
        </w:rPr>
        <w:t>用房面积不小于 </w:t>
      </w:r>
      <w:r>
        <w:rPr>
          <w:sz w:val="21"/>
        </w:rPr>
        <w:t>20m</w:t>
      </w:r>
      <w:r>
        <w:rPr>
          <w:position w:val="11"/>
          <w:sz w:val="11"/>
        </w:rPr>
        <w:t>2</w:t>
      </w:r>
      <w:r>
        <w:rPr>
          <w:spacing w:val="-3"/>
          <w:sz w:val="21"/>
        </w:rPr>
        <w:t>，配备基本的医疗救护设备和常用药品，包括理疗仪、检查床、血压计、体温计等。在每辆消防车上应配备应急药箱，药箱内应包括夹板、剪刀、镊子、绷带、外伤喷雾剂或同类药品、止血带、止血海绵、护创胶布、胶布、棉签、烧伤膏、碘酊、防暑药品、生理盐水、眼药水、硝酸甘油、三角巾急救包等。</w:t>
      </w:r>
      <w:r>
        <w:rPr>
          <w:sz w:val="21"/>
        </w:rPr>
        <w:t> </w:t>
      </w:r>
    </w:p>
    <w:p>
      <w:pPr>
        <w:pStyle w:val="ListParagraph"/>
        <w:numPr>
          <w:ilvl w:val="3"/>
          <w:numId w:val="50"/>
        </w:numPr>
        <w:tabs>
          <w:tab w:pos="1576" w:val="left" w:leader="none"/>
        </w:tabs>
        <w:spacing w:line="446" w:lineRule="auto" w:before="0" w:after="0"/>
        <w:ind w:left="418" w:right="1503" w:firstLine="419"/>
        <w:jc w:val="left"/>
        <w:rPr>
          <w:sz w:val="21"/>
        </w:rPr>
      </w:pPr>
      <w:r>
        <w:rPr>
          <w:spacing w:val="-5"/>
          <w:sz w:val="21"/>
        </w:rPr>
        <w:t>地市级消防组织应设有卫生所，卫生所用房面积不小于 </w:t>
      </w:r>
      <w:r>
        <w:rPr>
          <w:sz w:val="21"/>
        </w:rPr>
        <w:t>150m</w:t>
      </w:r>
      <w:r>
        <w:rPr>
          <w:position w:val="11"/>
          <w:sz w:val="11"/>
        </w:rPr>
        <w:t>2</w:t>
      </w:r>
      <w:r>
        <w:rPr>
          <w:spacing w:val="-3"/>
          <w:sz w:val="21"/>
        </w:rPr>
        <w:t>，布局合理，充分体现保护患者隐私、无障碍设计要求，并符合国家卫生学标准；配备基本的常规医疗检查、治疗设备及现场紧急救护设备，并储备一定量的药品。</w:t>
      </w:r>
      <w:r>
        <w:rPr>
          <w:sz w:val="21"/>
        </w:rPr>
        <w:t> </w:t>
      </w:r>
    </w:p>
    <w:p>
      <w:pPr>
        <w:pStyle w:val="ListParagraph"/>
        <w:numPr>
          <w:ilvl w:val="2"/>
          <w:numId w:val="50"/>
        </w:numPr>
        <w:tabs>
          <w:tab w:pos="1370" w:val="left" w:leader="none"/>
        </w:tabs>
        <w:spacing w:line="268" w:lineRule="exact" w:before="0" w:after="0"/>
        <w:ind w:left="1369" w:right="0" w:hanging="530"/>
        <w:jc w:val="left"/>
        <w:rPr>
          <w:sz w:val="21"/>
        </w:rPr>
      </w:pPr>
      <w:r>
        <w:rPr>
          <w:spacing w:val="-3"/>
          <w:sz w:val="21"/>
        </w:rPr>
        <w:t>人员</w:t>
      </w:r>
      <w:r>
        <w:rPr>
          <w:sz w:val="21"/>
        </w:rPr>
        <w:t> </w:t>
      </w:r>
    </w:p>
    <w:p>
      <w:pPr>
        <w:pStyle w:val="BodyText"/>
        <w:spacing w:before="5"/>
        <w:rPr>
          <w:sz w:val="17"/>
        </w:rPr>
      </w:pPr>
    </w:p>
    <w:p>
      <w:pPr>
        <w:pStyle w:val="ListParagraph"/>
        <w:numPr>
          <w:ilvl w:val="3"/>
          <w:numId w:val="50"/>
        </w:numPr>
        <w:tabs>
          <w:tab w:pos="1576" w:val="left" w:leader="none"/>
        </w:tabs>
        <w:spacing w:line="446" w:lineRule="auto" w:before="0" w:after="0"/>
        <w:ind w:left="418" w:right="1608" w:firstLine="419"/>
        <w:jc w:val="left"/>
        <w:rPr>
          <w:sz w:val="21"/>
        </w:rPr>
      </w:pPr>
      <w:r>
        <w:rPr>
          <w:spacing w:val="-7"/>
          <w:sz w:val="21"/>
        </w:rPr>
        <w:t>基层消防组织应配备 </w:t>
      </w:r>
      <w:r>
        <w:rPr>
          <w:sz w:val="21"/>
        </w:rPr>
        <w:t>1</w:t>
      </w:r>
      <w:r>
        <w:rPr>
          <w:spacing w:val="-8"/>
          <w:sz w:val="21"/>
        </w:rPr>
        <w:t> 名以上的卫生人员，卫生人员需高中以上文化程度，并经</w:t>
      </w:r>
      <w:r>
        <w:rPr>
          <w:spacing w:val="-5"/>
          <w:sz w:val="21"/>
        </w:rPr>
        <w:t>过专业的医疗培训，经考核合格后方可上岗。</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3"/>
          <w:numId w:val="50"/>
        </w:numPr>
        <w:tabs>
          <w:tab w:pos="1576" w:val="left" w:leader="none"/>
        </w:tabs>
        <w:spacing w:line="446" w:lineRule="auto" w:before="47" w:after="0"/>
        <w:ind w:left="418" w:right="1608" w:firstLine="419"/>
        <w:jc w:val="both"/>
        <w:rPr>
          <w:sz w:val="21"/>
        </w:rPr>
      </w:pPr>
      <w:r>
        <w:rPr>
          <w:spacing w:val="-7"/>
          <w:sz w:val="21"/>
        </w:rPr>
        <w:t>地市级消防组织应配备 </w:t>
      </w:r>
      <w:r>
        <w:rPr>
          <w:sz w:val="21"/>
        </w:rPr>
        <w:t>2</w:t>
      </w:r>
      <w:r>
        <w:rPr>
          <w:spacing w:val="-8"/>
          <w:sz w:val="21"/>
        </w:rPr>
        <w:t> 名以上医师，负责该消防组织内消防员的健康和医疗服</w:t>
      </w:r>
      <w:r>
        <w:rPr>
          <w:spacing w:val="-5"/>
          <w:sz w:val="21"/>
        </w:rPr>
        <w:t>务。医师应该是取得执业医师资格的内外科或全科医师，有能力为消防员的健康提供技术和咨</w:t>
      </w:r>
      <w:r>
        <w:rPr>
          <w:spacing w:val="-4"/>
          <w:sz w:val="21"/>
        </w:rPr>
        <w:t>询服务；同时消防组织可以聘请数名合格的执业医师随时为消防员提供医疗和咨询服务。</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4"/>
        </w:rPr>
      </w:pPr>
    </w:p>
    <w:p>
      <w:pPr>
        <w:pStyle w:val="BodyText"/>
        <w:spacing w:before="71"/>
        <w:ind w:left="3298"/>
      </w:pPr>
      <w:r>
        <w:rPr>
          <w:w w:val="100"/>
        </w:rPr>
        <w:t> </w:t>
      </w:r>
    </w:p>
    <w:p>
      <w:pPr>
        <w:spacing w:after="0"/>
        <w:sectPr>
          <w:pgSz w:w="11910" w:h="16850"/>
          <w:pgMar w:header="0" w:footer="1239" w:top="1220" w:bottom="1420" w:left="1260" w:right="0"/>
        </w:sectPr>
      </w:pPr>
    </w:p>
    <w:p>
      <w:pPr>
        <w:pStyle w:val="Heading4"/>
        <w:spacing w:before="55"/>
        <w:ind w:left="2854"/>
      </w:pPr>
      <w:r>
        <w:rPr/>
        <w:t>附录 A（资料性附录） 体能测试方法</w:t>
      </w:r>
      <w:r>
        <w:rPr>
          <w:w w:val="99"/>
        </w:rPr>
        <w:t> </w:t>
      </w:r>
    </w:p>
    <w:p>
      <w:pPr>
        <w:pStyle w:val="BodyText"/>
        <w:rPr>
          <w:b/>
          <w:sz w:val="24"/>
        </w:rPr>
      </w:pPr>
    </w:p>
    <w:p>
      <w:pPr>
        <w:spacing w:line="446" w:lineRule="auto" w:before="176"/>
        <w:ind w:left="840" w:right="7595" w:firstLine="0"/>
        <w:jc w:val="left"/>
        <w:rPr>
          <w:sz w:val="21"/>
        </w:rPr>
      </w:pPr>
      <w:r>
        <w:rPr>
          <w:b/>
          <w:sz w:val="21"/>
        </w:rPr>
        <w:t>A.1 </w:t>
      </w:r>
      <w:r>
        <w:rPr>
          <w:sz w:val="21"/>
        </w:rPr>
        <w:t>基础指标测试项目</w:t>
      </w:r>
      <w:r>
        <w:rPr>
          <w:b/>
          <w:sz w:val="21"/>
        </w:rPr>
        <w:t>A.1.1 </w:t>
      </w:r>
      <w:r>
        <w:rPr>
          <w:sz w:val="21"/>
        </w:rPr>
        <w:t>身高 </w:t>
      </w:r>
    </w:p>
    <w:p>
      <w:pPr>
        <w:pStyle w:val="ListParagraph"/>
        <w:numPr>
          <w:ilvl w:val="3"/>
          <w:numId w:val="52"/>
        </w:numPr>
        <w:tabs>
          <w:tab w:pos="1576" w:val="left" w:leader="none"/>
        </w:tabs>
        <w:spacing w:line="240" w:lineRule="auto" w:before="0" w:after="0"/>
        <w:ind w:left="1575" w:right="0" w:hanging="738"/>
        <w:jc w:val="left"/>
        <w:rPr>
          <w:sz w:val="21"/>
        </w:rPr>
      </w:pPr>
      <w:r>
        <w:rPr>
          <w:spacing w:val="-3"/>
          <w:sz w:val="21"/>
        </w:rPr>
        <w:t>使用仪器</w:t>
      </w:r>
      <w:r>
        <w:rPr>
          <w:sz w:val="21"/>
        </w:rPr>
        <w:t> </w:t>
      </w:r>
    </w:p>
    <w:p>
      <w:pPr>
        <w:pStyle w:val="BodyText"/>
        <w:spacing w:before="12"/>
        <w:rPr>
          <w:sz w:val="17"/>
        </w:rPr>
      </w:pPr>
    </w:p>
    <w:p>
      <w:pPr>
        <w:pStyle w:val="BodyText"/>
        <w:spacing w:line="446" w:lineRule="auto"/>
        <w:ind w:left="418" w:right="1609" w:firstLine="419"/>
      </w:pPr>
      <w:r>
        <w:rPr>
          <w:spacing w:val="-3"/>
        </w:rPr>
        <w:t>身高坐高计。使用前用钢尺校正测量刻度，误差不应超过</w:t>
      </w:r>
      <w:r>
        <w:rPr/>
        <w:t>±0.2</w:t>
      </w:r>
      <w:r>
        <w:rPr>
          <w:spacing w:val="-3"/>
        </w:rPr>
        <w:t>%。检查身高计的立柱是否垂直，有无晃动，水平压板是否水平。</w:t>
      </w:r>
      <w:r>
        <w:rPr/>
        <w:t> </w:t>
      </w:r>
    </w:p>
    <w:p>
      <w:pPr>
        <w:pStyle w:val="ListParagraph"/>
        <w:numPr>
          <w:ilvl w:val="3"/>
          <w:numId w:val="52"/>
        </w:numPr>
        <w:tabs>
          <w:tab w:pos="1576" w:val="left" w:leader="none"/>
        </w:tabs>
        <w:spacing w:line="240" w:lineRule="auto" w:before="1" w:after="0"/>
        <w:ind w:left="1575" w:right="0" w:hanging="738"/>
        <w:jc w:val="left"/>
        <w:rPr>
          <w:sz w:val="21"/>
        </w:rPr>
      </w:pPr>
      <w:r>
        <w:rPr>
          <w:spacing w:val="-3"/>
          <w:sz w:val="21"/>
        </w:rPr>
        <w:t>测量方法</w:t>
      </w:r>
      <w:r>
        <w:rPr>
          <w:sz w:val="21"/>
        </w:rPr>
        <w:t> </w:t>
      </w:r>
    </w:p>
    <w:p>
      <w:pPr>
        <w:pStyle w:val="BodyText"/>
        <w:spacing w:before="12"/>
        <w:rPr>
          <w:sz w:val="17"/>
        </w:rPr>
      </w:pPr>
    </w:p>
    <w:p>
      <w:pPr>
        <w:pStyle w:val="BodyText"/>
        <w:spacing w:line="446" w:lineRule="auto"/>
        <w:ind w:left="418" w:right="1558" w:firstLine="419"/>
      </w:pPr>
      <w:r>
        <w:rPr>
          <w:spacing w:val="-4"/>
        </w:rPr>
        <w:t>被测者赤足，立正姿势背靠立柱站在身高计的底板上，足跟并拢，足尖分成 </w:t>
      </w:r>
      <w:r>
        <w:rPr/>
        <w:t>60°</w:t>
      </w:r>
      <w:r>
        <w:rPr>
          <w:spacing w:val="-3"/>
        </w:rPr>
        <w:t>。足跟、骶部以及两肩胛间部与立柱相接触，躯干自然挺直，头部正直，但不许靠立柱，两眼平视前  方，保持耳眼平面。 测试人员站在被测者右侧方，将水平压板轻轻沿立柱下滑，被测者头顶点。测试人员两眼与水平压板呈水平读数。</w:t>
      </w:r>
      <w:r>
        <w:rPr/>
        <w:t> </w:t>
      </w:r>
    </w:p>
    <w:p>
      <w:pPr>
        <w:pStyle w:val="ListParagraph"/>
        <w:numPr>
          <w:ilvl w:val="2"/>
          <w:numId w:val="53"/>
        </w:numPr>
        <w:tabs>
          <w:tab w:pos="1370" w:val="left" w:leader="none"/>
        </w:tabs>
        <w:spacing w:line="446" w:lineRule="auto" w:before="0" w:after="0"/>
        <w:ind w:left="838" w:right="8020" w:firstLine="2"/>
        <w:jc w:val="left"/>
        <w:rPr>
          <w:sz w:val="21"/>
        </w:rPr>
      </w:pPr>
      <w:r>
        <w:rPr>
          <w:spacing w:val="-1"/>
          <w:sz w:val="21"/>
        </w:rPr>
        <w:t>体重 </w:t>
      </w:r>
      <w:r>
        <w:rPr>
          <w:sz w:val="21"/>
        </w:rPr>
        <w:t>A.1.2.1 </w:t>
      </w:r>
      <w:r>
        <w:rPr>
          <w:spacing w:val="-3"/>
          <w:sz w:val="21"/>
        </w:rPr>
        <w:t>使用仪器</w:t>
      </w:r>
      <w:r>
        <w:rPr>
          <w:sz w:val="21"/>
        </w:rPr>
        <w:t> </w:t>
      </w:r>
    </w:p>
    <w:p>
      <w:pPr>
        <w:pStyle w:val="BodyText"/>
        <w:spacing w:line="446" w:lineRule="auto"/>
        <w:ind w:left="838" w:right="2715"/>
      </w:pPr>
      <w:r>
        <w:rPr/>
        <w:t>杠杆秤、弹簧秤或电子秤。使用前要用标准砝码校准，误差不应超过 0.1%。A.1.2.2 测量方法 </w:t>
      </w:r>
    </w:p>
    <w:p>
      <w:pPr>
        <w:pStyle w:val="BodyText"/>
        <w:spacing w:line="446" w:lineRule="auto"/>
        <w:ind w:left="418" w:right="1609" w:firstLine="419"/>
      </w:pPr>
      <w:r>
        <w:rPr/>
        <w:t>将体重计放在平坦的地面上。被测者只着贴身短裤（女性可加乳罩），赤足自然站在踏板中央，当体重计的指针稳定后，确认体重值。 </w:t>
      </w:r>
    </w:p>
    <w:p>
      <w:pPr>
        <w:pStyle w:val="ListParagraph"/>
        <w:numPr>
          <w:ilvl w:val="2"/>
          <w:numId w:val="53"/>
        </w:numPr>
        <w:tabs>
          <w:tab w:pos="1370" w:val="left" w:leader="none"/>
        </w:tabs>
        <w:spacing w:line="240" w:lineRule="auto" w:before="0" w:after="0"/>
        <w:ind w:left="1369" w:right="0" w:hanging="530"/>
        <w:jc w:val="left"/>
        <w:rPr>
          <w:sz w:val="21"/>
        </w:rPr>
      </w:pPr>
      <w:r>
        <w:rPr>
          <w:spacing w:val="-3"/>
          <w:sz w:val="21"/>
        </w:rPr>
        <w:t>安静脉搏</w:t>
      </w:r>
      <w:r>
        <w:rPr>
          <w:sz w:val="21"/>
        </w:rPr>
        <w:t> </w:t>
      </w:r>
    </w:p>
    <w:p>
      <w:pPr>
        <w:pStyle w:val="BodyText"/>
        <w:spacing w:before="10"/>
        <w:rPr>
          <w:sz w:val="17"/>
        </w:rPr>
      </w:pPr>
    </w:p>
    <w:p>
      <w:pPr>
        <w:pStyle w:val="BodyText"/>
        <w:spacing w:line="446" w:lineRule="auto"/>
        <w:ind w:left="418" w:right="1450" w:firstLine="419"/>
      </w:pPr>
      <w:r>
        <w:rPr>
          <w:spacing w:val="-6"/>
        </w:rPr>
        <w:t>被测者保持安静状态数分钟，然后连续测量 </w:t>
      </w:r>
      <w:r>
        <w:rPr/>
        <w:t>3</w:t>
      </w:r>
      <w:r>
        <w:rPr>
          <w:spacing w:val="-32"/>
        </w:rPr>
        <w:t> 次 </w:t>
      </w:r>
      <w:r>
        <w:rPr/>
        <w:t>10</w:t>
      </w:r>
      <w:r>
        <w:rPr>
          <w:spacing w:val="-15"/>
        </w:rPr>
        <w:t> 秒的脉率。若 </w:t>
      </w:r>
      <w:r>
        <w:rPr/>
        <w:t>3</w:t>
      </w:r>
      <w:r>
        <w:rPr>
          <w:spacing w:val="-8"/>
        </w:rPr>
        <w:t> 次的测量结果相差不超</w:t>
      </w:r>
      <w:r>
        <w:rPr>
          <w:spacing w:val="-20"/>
        </w:rPr>
        <w:t>过 </w:t>
      </w:r>
      <w:r>
        <w:rPr/>
        <w:t>1</w:t>
      </w:r>
      <w:r>
        <w:rPr>
          <w:spacing w:val="-9"/>
        </w:rPr>
        <w:t> 次即为稳定脉率，否则应使被测者再休息 </w:t>
      </w:r>
      <w:r>
        <w:rPr/>
        <w:t>3～5min</w:t>
      </w:r>
      <w:r>
        <w:rPr>
          <w:spacing w:val="-3"/>
        </w:rPr>
        <w:t>，然后重复测量，直至符合上述要求为</w:t>
      </w:r>
      <w:r>
        <w:rPr>
          <w:spacing w:val="-6"/>
        </w:rPr>
        <w:t>止。待脉率稳定之后，再按规定测量 </w:t>
      </w:r>
      <w:r>
        <w:rPr/>
        <w:t>1min</w:t>
      </w:r>
      <w:r>
        <w:rPr>
          <w:spacing w:val="-3"/>
        </w:rPr>
        <w:t> 安静脉率。测定脉率用触摸法，测量（桡动脉和颈动脉)。</w:t>
      </w:r>
      <w:r>
        <w:rPr/>
        <w:t> </w:t>
      </w:r>
    </w:p>
    <w:p>
      <w:pPr>
        <w:pStyle w:val="ListParagraph"/>
        <w:numPr>
          <w:ilvl w:val="2"/>
          <w:numId w:val="53"/>
        </w:numPr>
        <w:tabs>
          <w:tab w:pos="1370" w:val="left" w:leader="none"/>
        </w:tabs>
        <w:spacing w:line="267" w:lineRule="exact" w:before="0" w:after="0"/>
        <w:ind w:left="1369" w:right="0" w:hanging="530"/>
        <w:jc w:val="left"/>
        <w:rPr>
          <w:sz w:val="21"/>
        </w:rPr>
      </w:pPr>
      <w:r>
        <w:rPr>
          <w:spacing w:val="-3"/>
          <w:sz w:val="21"/>
        </w:rPr>
        <w:t>肺活量</w:t>
      </w:r>
      <w:r>
        <w:rPr>
          <w:sz w:val="21"/>
        </w:rPr>
        <w:t> </w:t>
      </w:r>
    </w:p>
    <w:p>
      <w:pPr>
        <w:pStyle w:val="BodyText"/>
        <w:spacing w:line="500" w:lineRule="exact" w:before="42"/>
        <w:ind w:left="418" w:right="1608" w:firstLine="419"/>
        <w:jc w:val="both"/>
      </w:pPr>
      <w:r>
        <w:rPr/>
        <w:t>使用肺活量计测量。被测者取立位，先做几次扩胸运动或深呼吸。然后用力深呼吸，尽量吸气后憋住，立即将肺活量计的吹嘴紧扣于嘴上，然后以中等速度吹气，直到不能再呼为止， 此时测试员读出肺活量。共测 3 次，每次间隔 15</w:t>
      </w:r>
      <w:r>
        <w:rPr>
          <w:rFonts w:ascii="微软雅黑" w:eastAsia="微软雅黑" w:hint="eastAsia"/>
        </w:rPr>
        <w:t>〜</w:t>
      </w:r>
      <w:r>
        <w:rPr/>
        <w:t>30s，取最大值（精确到十位数)。 </w:t>
      </w:r>
    </w:p>
    <w:p>
      <w:pPr>
        <w:pStyle w:val="ListParagraph"/>
        <w:numPr>
          <w:ilvl w:val="2"/>
          <w:numId w:val="53"/>
        </w:numPr>
        <w:tabs>
          <w:tab w:pos="1370" w:val="left" w:leader="none"/>
        </w:tabs>
        <w:spacing w:line="500" w:lineRule="exact" w:before="1" w:after="0"/>
        <w:ind w:left="838" w:right="7173" w:firstLine="2"/>
        <w:jc w:val="both"/>
        <w:rPr>
          <w:sz w:val="21"/>
        </w:rPr>
      </w:pPr>
      <w:r>
        <w:rPr>
          <w:spacing w:val="-3"/>
          <w:sz w:val="21"/>
        </w:rPr>
        <w:t>室外田径场测试项目A.1.5.1 100m</w:t>
      </w:r>
      <w:r>
        <w:rPr>
          <w:spacing w:val="-29"/>
          <w:sz w:val="21"/>
        </w:rPr>
        <w:t> 跑</w:t>
      </w:r>
      <w:r>
        <w:rPr>
          <w:sz w:val="21"/>
        </w:rPr>
        <w:t> </w:t>
      </w:r>
    </w:p>
    <w:p>
      <w:pPr>
        <w:spacing w:after="0" w:line="500" w:lineRule="exact"/>
        <w:jc w:val="both"/>
        <w:rPr>
          <w:sz w:val="21"/>
        </w:rPr>
        <w:sectPr>
          <w:pgSz w:w="11910" w:h="16850"/>
          <w:pgMar w:header="0" w:footer="1239" w:top="1180" w:bottom="1420" w:left="1260" w:right="0"/>
        </w:sectPr>
      </w:pPr>
    </w:p>
    <w:p>
      <w:pPr>
        <w:pStyle w:val="BodyText"/>
        <w:spacing w:line="446" w:lineRule="auto" w:before="47"/>
        <w:ind w:left="418" w:right="1608" w:firstLine="419"/>
        <w:jc w:val="both"/>
      </w:pPr>
      <w:r>
        <w:rPr>
          <w:spacing w:val="-3"/>
        </w:rPr>
        <w:t>被测者四人一组，运动蹲距式起跑姿势。当听到发令员起跑信号后，计时员开表计时。当</w:t>
      </w:r>
      <w:r>
        <w:rPr>
          <w:spacing w:val="-5"/>
        </w:rPr>
        <w:t>被测者的胸部到达终点线垂直平面时，计时员停表，以 </w:t>
      </w:r>
      <w:r>
        <w:rPr/>
        <w:t>s</w:t>
      </w:r>
      <w:r>
        <w:rPr>
          <w:spacing w:val="-7"/>
        </w:rPr>
        <w:t> 为单位记录成绩，精确至一位小数。</w:t>
      </w:r>
      <w:r>
        <w:rPr>
          <w:spacing w:val="-5"/>
        </w:rPr>
        <w:t>被测者应穿着平底运动鞋，起跑后，不允许抢跑和串道。违例者重新测试。</w:t>
      </w:r>
      <w:r>
        <w:rPr/>
        <w:t> </w:t>
      </w:r>
    </w:p>
    <w:p>
      <w:pPr>
        <w:pStyle w:val="BodyText"/>
        <w:spacing w:line="268" w:lineRule="exact"/>
        <w:ind w:left="838"/>
        <w:jc w:val="both"/>
      </w:pPr>
      <w:r>
        <w:rPr/>
        <w:t>A.1.5.2 3000m 跑 </w:t>
      </w:r>
    </w:p>
    <w:p>
      <w:pPr>
        <w:pStyle w:val="BodyText"/>
        <w:rPr>
          <w:sz w:val="18"/>
        </w:rPr>
      </w:pPr>
    </w:p>
    <w:p>
      <w:pPr>
        <w:pStyle w:val="BodyText"/>
        <w:ind w:left="838"/>
      </w:pPr>
      <w:r>
        <w:rPr/>
        <w:t>被测者按照要求分组，每组不得超过 15 人。被测者听到起跑的信号后，在 400m 标准跑道</w:t>
      </w:r>
    </w:p>
    <w:p>
      <w:pPr>
        <w:pStyle w:val="BodyText"/>
        <w:spacing w:before="10"/>
        <w:rPr>
          <w:sz w:val="25"/>
        </w:rPr>
      </w:pPr>
      <w:r>
        <w:rPr/>
        <w:drawing>
          <wp:anchor distT="0" distB="0" distL="0" distR="0" allowOverlap="1" layoutInCell="1" locked="0" behindDoc="0" simplePos="0" relativeHeight="9">
            <wp:simplePos x="0" y="0"/>
            <wp:positionH relativeFrom="page">
              <wp:posOffset>1589405</wp:posOffset>
            </wp:positionH>
            <wp:positionV relativeFrom="paragraph">
              <wp:posOffset>234981</wp:posOffset>
            </wp:positionV>
            <wp:extent cx="323850" cy="438150"/>
            <wp:effectExtent l="0" t="0" r="0" b="0"/>
            <wp:wrapTopAndBottom/>
            <wp:docPr id="23" name="image27.jpeg"/>
            <wp:cNvGraphicFramePr>
              <a:graphicFrameLocks noChangeAspect="1"/>
            </wp:cNvGraphicFramePr>
            <a:graphic>
              <a:graphicData uri="http://schemas.openxmlformats.org/drawingml/2006/picture">
                <pic:pic>
                  <pic:nvPicPr>
                    <pic:cNvPr id="24" name="image27.jpeg"/>
                    <pic:cNvPicPr/>
                  </pic:nvPicPr>
                  <pic:blipFill>
                    <a:blip r:embed="rId33" cstate="print"/>
                    <a:stretch>
                      <a:fillRect/>
                    </a:stretch>
                  </pic:blipFill>
                  <pic:spPr>
                    <a:xfrm>
                      <a:off x="0" y="0"/>
                      <a:ext cx="323850" cy="438150"/>
                    </a:xfrm>
                    <a:prstGeom prst="rect">
                      <a:avLst/>
                    </a:prstGeom>
                  </pic:spPr>
                </pic:pic>
              </a:graphicData>
            </a:graphic>
          </wp:anchor>
        </w:drawing>
      </w:r>
    </w:p>
    <w:p>
      <w:pPr>
        <w:pStyle w:val="BodyText"/>
        <w:spacing w:line="446" w:lineRule="auto" w:before="161"/>
        <w:ind w:left="840" w:right="3870" w:hanging="423"/>
      </w:pPr>
      <w:r>
        <w:rPr/>
        <w:t>上进行     圈的全力跑。最后以 min、s 记录成绩，不计小数。</w:t>
      </w:r>
      <w:r>
        <w:rPr>
          <w:b/>
        </w:rPr>
        <w:t>A.1.6 </w:t>
      </w:r>
      <w:r>
        <w:rPr/>
        <w:t>非田径场测试项目 </w:t>
      </w:r>
    </w:p>
    <w:p>
      <w:pPr>
        <w:pStyle w:val="ListParagraph"/>
        <w:numPr>
          <w:ilvl w:val="3"/>
          <w:numId w:val="54"/>
        </w:numPr>
        <w:tabs>
          <w:tab w:pos="1576" w:val="left" w:leader="none"/>
        </w:tabs>
        <w:spacing w:line="240" w:lineRule="auto" w:before="0" w:after="0"/>
        <w:ind w:left="1575" w:right="0" w:hanging="738"/>
        <w:jc w:val="left"/>
        <w:rPr>
          <w:sz w:val="21"/>
        </w:rPr>
      </w:pPr>
      <w:r>
        <w:rPr>
          <w:spacing w:val="-3"/>
          <w:sz w:val="21"/>
        </w:rPr>
        <w:t>纵跳</w:t>
      </w:r>
      <w:r>
        <w:rPr>
          <w:sz w:val="21"/>
        </w:rPr>
        <w:t> </w:t>
      </w:r>
    </w:p>
    <w:p>
      <w:pPr>
        <w:pStyle w:val="BodyText"/>
        <w:rPr>
          <w:sz w:val="18"/>
        </w:rPr>
      </w:pPr>
    </w:p>
    <w:p>
      <w:pPr>
        <w:pStyle w:val="BodyText"/>
        <w:spacing w:line="446" w:lineRule="auto"/>
        <w:ind w:left="418" w:right="1450" w:firstLine="419"/>
      </w:pPr>
      <w:r>
        <w:rPr>
          <w:spacing w:val="-3"/>
        </w:rPr>
        <w:t>被测者手指粘些可显示指印的物质，侧向墙壁站立。此时近侧足应贴近墙根，远侧足置于 </w:t>
      </w:r>
      <w:r>
        <w:rPr>
          <w:spacing w:val="-16"/>
        </w:rPr>
        <w:t>离墙 </w:t>
      </w:r>
      <w:r>
        <w:rPr/>
        <w:t>20cm</w:t>
      </w:r>
      <w:r>
        <w:rPr>
          <w:spacing w:val="-3"/>
        </w:rPr>
        <w:t> 的白线外缘处，身体轻贴墙壁并尽量上举近侧上臂，用中指在墙上点一指印。然后在</w:t>
      </w:r>
      <w:r>
        <w:rPr>
          <w:spacing w:val="-16"/>
        </w:rPr>
        <w:t>离墙 </w:t>
      </w:r>
      <w:r>
        <w:rPr/>
        <w:t>20cm</w:t>
      </w:r>
      <w:r>
        <w:rPr>
          <w:spacing w:val="-3"/>
        </w:rPr>
        <w:t> 处用力向上跳起，在最高点又用中指点一指印，测量前后两个指印间的垂直距离，即为纵跳高度，连续测试三次，记录最好成绩。跳起和落地均用双足，不得跨步、垫步，可做预 摆动作。原地伸臂点指印时，臂要充分伸直，体侧要轻贴墙壁。</w:t>
      </w:r>
      <w:r>
        <w:rPr/>
        <w:t> </w:t>
      </w:r>
    </w:p>
    <w:p>
      <w:pPr>
        <w:pStyle w:val="ListParagraph"/>
        <w:numPr>
          <w:ilvl w:val="3"/>
          <w:numId w:val="54"/>
        </w:numPr>
        <w:tabs>
          <w:tab w:pos="1576" w:val="left" w:leader="none"/>
        </w:tabs>
        <w:spacing w:line="268" w:lineRule="exact" w:before="0" w:after="0"/>
        <w:ind w:left="1575" w:right="0" w:hanging="738"/>
        <w:jc w:val="left"/>
        <w:rPr>
          <w:sz w:val="21"/>
        </w:rPr>
      </w:pPr>
      <w:r>
        <w:rPr>
          <w:spacing w:val="-3"/>
          <w:sz w:val="21"/>
        </w:rPr>
        <w:t>台阶试验</w:t>
      </w:r>
      <w:r>
        <w:rPr>
          <w:sz w:val="21"/>
        </w:rPr>
        <w:t> </w:t>
      </w:r>
    </w:p>
    <w:p>
      <w:pPr>
        <w:pStyle w:val="BodyText"/>
        <w:spacing w:before="12"/>
        <w:rPr>
          <w:sz w:val="17"/>
        </w:rPr>
      </w:pPr>
    </w:p>
    <w:p>
      <w:pPr>
        <w:pStyle w:val="BodyText"/>
        <w:spacing w:line="446" w:lineRule="auto"/>
        <w:ind w:left="418" w:right="1558" w:firstLine="419"/>
        <w:jc w:val="both"/>
      </w:pPr>
      <w:r>
        <w:rPr>
          <w:spacing w:val="-6"/>
        </w:rPr>
        <w:t>令被测者由相对安静状态开始，以 </w:t>
      </w:r>
      <w:r>
        <w:rPr/>
        <w:t>30</w:t>
      </w:r>
      <w:r>
        <w:rPr>
          <w:spacing w:val="-24"/>
        </w:rPr>
        <w:t> 次</w:t>
      </w:r>
      <w:r>
        <w:rPr/>
        <w:t>/min</w:t>
      </w:r>
      <w:r>
        <w:rPr>
          <w:spacing w:val="-7"/>
        </w:rPr>
        <w:t> 的节律连续登台阶，共持续 </w:t>
      </w:r>
      <w:r>
        <w:rPr/>
        <w:t>3min</w:t>
      </w:r>
      <w:r>
        <w:rPr>
          <w:spacing w:val="-3"/>
        </w:rPr>
        <w:t>。若途中不能以规定的节律完成动作，应令其停止运动，并记录以完成的登台阶运动的实际时间。上下一次台阶的运动共四个动作构成：由直立姿势开始，①将一足放在台阶上面，②在台阶上成直立姿势，③一足落于地面，④还原成开始姿势。上下台阶后，必须伸直双腿，挺直躯干。定量负</w:t>
      </w:r>
      <w:r>
        <w:rPr>
          <w:spacing w:val="-5"/>
        </w:rPr>
        <w:t>荷一结束，便令被测者取坐位休息，并测定运动后第二分钟前 </w:t>
      </w:r>
      <w:r>
        <w:rPr/>
        <w:t>30s</w:t>
      </w:r>
      <w:r>
        <w:rPr>
          <w:spacing w:val="-8"/>
        </w:rPr>
        <w:t> 的脉率。测试脉率的方法和</w:t>
      </w:r>
      <w:r>
        <w:rPr>
          <w:spacing w:val="-7"/>
        </w:rPr>
        <w:t>安静脉搏的测试方法一致。根据持续运动时间和测定的脉搏数，查询表 </w:t>
      </w:r>
      <w:r>
        <w:rPr/>
        <w:t>A.1</w:t>
      </w:r>
      <w:r>
        <w:rPr>
          <w:spacing w:val="-8"/>
        </w:rPr>
        <w:t> 台阶试验指数表， </w:t>
      </w:r>
      <w:r>
        <w:rPr>
          <w:spacing w:val="-5"/>
        </w:rPr>
        <w:t>得出台阶试验指数。</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p>
    <w:p>
      <w:pPr>
        <w:pStyle w:val="BodyText"/>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spacing w:before="2"/>
        <w:rPr>
          <w:sz w:val="18"/>
        </w:rPr>
      </w:pPr>
    </w:p>
    <w:p>
      <w:pPr>
        <w:pStyle w:val="BodyText"/>
        <w:ind w:left="657"/>
        <w:rPr>
          <w:sz w:val="20"/>
        </w:rPr>
      </w:pPr>
      <w:r>
        <w:rPr>
          <w:sz w:val="20"/>
        </w:rPr>
        <w:drawing>
          <wp:inline distT="0" distB="0" distL="0" distR="0">
            <wp:extent cx="5200438" cy="2228850"/>
            <wp:effectExtent l="0" t="0" r="0" b="0"/>
            <wp:docPr id="25" name="image28.jpeg"/>
            <wp:cNvGraphicFramePr>
              <a:graphicFrameLocks noChangeAspect="1"/>
            </wp:cNvGraphicFramePr>
            <a:graphic>
              <a:graphicData uri="http://schemas.openxmlformats.org/drawingml/2006/picture">
                <pic:pic>
                  <pic:nvPicPr>
                    <pic:cNvPr id="26" name="image28.jpeg"/>
                    <pic:cNvPicPr/>
                  </pic:nvPicPr>
                  <pic:blipFill>
                    <a:blip r:embed="rId34" cstate="print"/>
                    <a:stretch>
                      <a:fillRect/>
                    </a:stretch>
                  </pic:blipFill>
                  <pic:spPr>
                    <a:xfrm>
                      <a:off x="0" y="0"/>
                      <a:ext cx="5200438" cy="2228850"/>
                    </a:xfrm>
                    <a:prstGeom prst="rect">
                      <a:avLst/>
                    </a:prstGeom>
                  </pic:spPr>
                </pic:pic>
              </a:graphicData>
            </a:graphic>
          </wp:inline>
        </w:drawing>
      </w:r>
      <w:r>
        <w:rPr>
          <w:sz w:val="20"/>
        </w:rPr>
      </w:r>
    </w:p>
    <w:p>
      <w:pPr>
        <w:pStyle w:val="BodyText"/>
        <w:spacing w:before="12"/>
        <w:rPr>
          <w:sz w:val="9"/>
        </w:rPr>
      </w:pPr>
    </w:p>
    <w:p>
      <w:pPr>
        <w:pStyle w:val="ListParagraph"/>
        <w:numPr>
          <w:ilvl w:val="3"/>
          <w:numId w:val="54"/>
        </w:numPr>
        <w:tabs>
          <w:tab w:pos="1576" w:val="left" w:leader="none"/>
        </w:tabs>
        <w:spacing w:line="240" w:lineRule="auto" w:before="71" w:after="0"/>
        <w:ind w:left="1575" w:right="0" w:hanging="738"/>
        <w:jc w:val="left"/>
        <w:rPr>
          <w:sz w:val="21"/>
        </w:rPr>
      </w:pPr>
      <w:r>
        <w:rPr>
          <w:spacing w:val="-3"/>
          <w:sz w:val="21"/>
        </w:rPr>
        <w:t>坐位体前屈 </w:t>
      </w:r>
    </w:p>
    <w:p>
      <w:pPr>
        <w:pStyle w:val="BodyText"/>
        <w:rPr>
          <w:sz w:val="18"/>
        </w:rPr>
      </w:pPr>
    </w:p>
    <w:p>
      <w:pPr>
        <w:pStyle w:val="BodyText"/>
        <w:spacing w:line="446" w:lineRule="auto"/>
        <w:ind w:left="418" w:right="1609" w:firstLine="419"/>
        <w:jc w:val="both"/>
      </w:pPr>
      <w:r>
        <w:rPr>
          <w:spacing w:val="-3"/>
        </w:rPr>
        <w:t>被测者坐在垫子上，背以及臀部紧靠在一垂直面上，两腿并拢，膝关节保持伸直状态，脚</w:t>
      </w:r>
      <w:r>
        <w:rPr>
          <w:spacing w:val="-8"/>
        </w:rPr>
        <w:t>尖向上，将一个宽 </w:t>
      </w:r>
      <w:r>
        <w:rPr/>
        <w:t>50cm</w:t>
      </w:r>
      <w:r>
        <w:rPr>
          <w:spacing w:val="-15"/>
        </w:rPr>
        <w:t>，高 </w:t>
      </w:r>
      <w:r>
        <w:rPr/>
        <w:t>30cm</w:t>
      </w:r>
      <w:r>
        <w:rPr>
          <w:spacing w:val="-3"/>
        </w:rPr>
        <w:t> 的三面箱体架在双腿上方，双手尽量伸直，以虎口握住箱体边缘；测试时，身体尽量前倾并缓慢推动箱体。</w:t>
      </w:r>
      <w:r>
        <w:rPr/>
        <w:t> </w:t>
      </w:r>
    </w:p>
    <w:p>
      <w:pPr>
        <w:pStyle w:val="ListParagraph"/>
        <w:numPr>
          <w:ilvl w:val="3"/>
          <w:numId w:val="54"/>
        </w:numPr>
        <w:tabs>
          <w:tab w:pos="1576" w:val="left" w:leader="none"/>
        </w:tabs>
        <w:spacing w:line="268" w:lineRule="exact" w:before="0" w:after="0"/>
        <w:ind w:left="1575" w:right="0" w:hanging="738"/>
        <w:jc w:val="left"/>
        <w:rPr>
          <w:sz w:val="21"/>
        </w:rPr>
      </w:pPr>
      <w:r>
        <w:rPr>
          <w:spacing w:val="-3"/>
          <w:sz w:val="21"/>
        </w:rPr>
        <w:t>握力</w:t>
      </w:r>
      <w:r>
        <w:rPr>
          <w:sz w:val="21"/>
        </w:rPr>
        <w:t> </w:t>
      </w:r>
    </w:p>
    <w:p>
      <w:pPr>
        <w:pStyle w:val="BodyText"/>
        <w:spacing w:before="2"/>
        <w:rPr>
          <w:sz w:val="18"/>
        </w:rPr>
      </w:pPr>
    </w:p>
    <w:p>
      <w:pPr>
        <w:pStyle w:val="BodyText"/>
        <w:spacing w:line="446" w:lineRule="auto"/>
        <w:ind w:left="418" w:right="1609" w:firstLine="419"/>
      </w:pPr>
      <w:r>
        <w:rPr/>
        <w:t>被测者手持握力计（指针向外），两臂自然下垂，以方便姿势站立，然后以最大力量紧握握力计一侧，并读数记录。左右手可交替各测试三次，取最大值记录。 </w:t>
      </w:r>
    </w:p>
    <w:p>
      <w:pPr>
        <w:pStyle w:val="ListParagraph"/>
        <w:numPr>
          <w:ilvl w:val="3"/>
          <w:numId w:val="54"/>
        </w:numPr>
        <w:tabs>
          <w:tab w:pos="1576" w:val="left" w:leader="none"/>
        </w:tabs>
        <w:spacing w:line="267" w:lineRule="exact" w:before="0" w:after="0"/>
        <w:ind w:left="1575" w:right="0" w:hanging="738"/>
        <w:jc w:val="left"/>
        <w:rPr>
          <w:sz w:val="21"/>
        </w:rPr>
      </w:pPr>
      <w:r>
        <w:rPr>
          <w:spacing w:val="-3"/>
          <w:sz w:val="21"/>
        </w:rPr>
        <w:t>腰背肌力</w:t>
      </w:r>
      <w:r>
        <w:rPr>
          <w:sz w:val="21"/>
        </w:rPr>
        <w:t> </w:t>
      </w:r>
    </w:p>
    <w:p>
      <w:pPr>
        <w:pStyle w:val="BodyText"/>
        <w:spacing w:before="2"/>
        <w:rPr>
          <w:sz w:val="18"/>
        </w:rPr>
      </w:pPr>
    </w:p>
    <w:p>
      <w:pPr>
        <w:pStyle w:val="BodyText"/>
        <w:spacing w:line="446" w:lineRule="auto"/>
        <w:ind w:left="418" w:right="1505" w:firstLine="419"/>
      </w:pPr>
      <w:r>
        <w:rPr>
          <w:spacing w:val="-3"/>
        </w:rPr>
        <w:t>被测者自然站立于臂力计踏板指定位置，随后将背力计握柄的高度调至恰使被测者上体前</w:t>
      </w:r>
      <w:r>
        <w:rPr>
          <w:spacing w:val="-18"/>
        </w:rPr>
        <w:t>倾 </w:t>
      </w:r>
      <w:r>
        <w:rPr/>
        <w:t>30</w:t>
      </w:r>
      <w:r>
        <w:rPr>
          <w:spacing w:val="-7"/>
        </w:rPr>
        <w:t> 度的位置，或者同膝关节齐平的位置。然后被测者双手紧握把柄，伸直双腿，用最大力量</w:t>
      </w:r>
      <w:r>
        <w:rPr>
          <w:spacing w:val="-5"/>
        </w:rPr>
        <w:t>直臂上拉背力计，测试者测试三次，取最大值记录。 </w:t>
      </w:r>
    </w:p>
    <w:p>
      <w:pPr>
        <w:pStyle w:val="ListParagraph"/>
        <w:numPr>
          <w:ilvl w:val="3"/>
          <w:numId w:val="54"/>
        </w:numPr>
        <w:tabs>
          <w:tab w:pos="1576" w:val="left" w:leader="none"/>
        </w:tabs>
        <w:spacing w:line="268" w:lineRule="exact" w:before="0" w:after="0"/>
        <w:ind w:left="1575" w:right="0" w:hanging="738"/>
        <w:jc w:val="left"/>
        <w:rPr>
          <w:sz w:val="21"/>
        </w:rPr>
      </w:pPr>
      <w:r>
        <w:rPr>
          <w:spacing w:val="-3"/>
          <w:sz w:val="21"/>
        </w:rPr>
        <w:t>俯卧撑</w:t>
      </w:r>
      <w:r>
        <w:rPr>
          <w:sz w:val="21"/>
        </w:rPr>
        <w:t> </w:t>
      </w:r>
    </w:p>
    <w:p>
      <w:pPr>
        <w:pStyle w:val="BodyText"/>
        <w:spacing w:before="12"/>
        <w:rPr>
          <w:sz w:val="17"/>
        </w:rPr>
      </w:pPr>
    </w:p>
    <w:p>
      <w:pPr>
        <w:pStyle w:val="BodyText"/>
        <w:spacing w:line="446" w:lineRule="auto"/>
        <w:ind w:left="418" w:right="1608" w:firstLine="419"/>
      </w:pPr>
      <w:r>
        <w:rPr>
          <w:spacing w:val="-3"/>
        </w:rPr>
        <w:t>被测者俯卧位于体操垫上，双脚脚尖撑地，双臂直橙于体操垫上，略宽于肩，髋关节挺 直，听到开始的信号后，然后双臂尽量弯曲，使肘部高于背部，胸部贴近于支撑面，然后用力</w:t>
      </w:r>
      <w:r>
        <w:rPr>
          <w:spacing w:val="-7"/>
        </w:rPr>
        <w:t>撑起，还原成预备姿势。测试 </w:t>
      </w:r>
      <w:r>
        <w:rPr/>
        <w:t>1min</w:t>
      </w:r>
      <w:r>
        <w:rPr>
          <w:spacing w:val="-9"/>
        </w:rPr>
        <w:t> 的完成次数，没有达到要求的动作不计数。 </w:t>
      </w:r>
    </w:p>
    <w:p>
      <w:pPr>
        <w:pStyle w:val="ListParagraph"/>
        <w:numPr>
          <w:ilvl w:val="3"/>
          <w:numId w:val="54"/>
        </w:numPr>
        <w:tabs>
          <w:tab w:pos="1576" w:val="left" w:leader="none"/>
        </w:tabs>
        <w:spacing w:line="268" w:lineRule="exact" w:before="0" w:after="0"/>
        <w:ind w:left="1575" w:right="0" w:hanging="738"/>
        <w:jc w:val="left"/>
        <w:rPr>
          <w:sz w:val="21"/>
        </w:rPr>
      </w:pPr>
      <w:r>
        <w:rPr>
          <w:spacing w:val="-3"/>
          <w:sz w:val="21"/>
        </w:rPr>
        <w:t>仰卧起坐</w:t>
      </w:r>
      <w:r>
        <w:rPr>
          <w:sz w:val="21"/>
        </w:rPr>
        <w:t> </w:t>
      </w:r>
    </w:p>
    <w:p>
      <w:pPr>
        <w:pStyle w:val="BodyText"/>
        <w:rPr>
          <w:sz w:val="18"/>
        </w:rPr>
      </w:pPr>
    </w:p>
    <w:p>
      <w:pPr>
        <w:pStyle w:val="BodyText"/>
        <w:ind w:left="418" w:firstLine="419"/>
      </w:pPr>
      <w:r>
        <w:rPr/>
        <w:t>被测者仰卧位于体操垫上，同时要求两肩胛必须触及体操垫上，听到开始的信号后，开始</w:t>
      </w:r>
    </w:p>
    <w:p>
      <w:pPr>
        <w:pStyle w:val="BodyText"/>
        <w:spacing w:line="500" w:lineRule="atLeast" w:before="2"/>
        <w:ind w:left="418" w:right="1497"/>
      </w:pPr>
      <w:r>
        <w:rPr/>
        <w:t>起坐，同时要求两肘必须触及膝部，然后恢复到原始位置。1min 结束后，记录完成次数，没有按照要求完成的动作则不计数。 </w:t>
      </w:r>
    </w:p>
    <w:p>
      <w:pPr>
        <w:spacing w:after="0" w:line="500" w:lineRule="atLeast"/>
        <w:sectPr>
          <w:pgSz w:w="11910" w:h="16850"/>
          <w:pgMar w:header="0" w:footer="1239" w:top="1600" w:bottom="1420" w:left="1260" w:right="0"/>
        </w:sectPr>
      </w:pPr>
    </w:p>
    <w:p>
      <w:pPr>
        <w:pStyle w:val="ListParagraph"/>
        <w:numPr>
          <w:ilvl w:val="3"/>
          <w:numId w:val="54"/>
        </w:numPr>
        <w:tabs>
          <w:tab w:pos="1576" w:val="left" w:leader="none"/>
        </w:tabs>
        <w:spacing w:line="240" w:lineRule="auto" w:before="47" w:after="0"/>
        <w:ind w:left="1575" w:right="0" w:hanging="738"/>
        <w:jc w:val="left"/>
        <w:rPr>
          <w:sz w:val="21"/>
        </w:rPr>
      </w:pPr>
      <w:r>
        <w:rPr>
          <w:spacing w:val="-3"/>
          <w:sz w:val="21"/>
        </w:rPr>
        <w:t>引体向上</w:t>
      </w:r>
      <w:r>
        <w:rPr>
          <w:sz w:val="21"/>
        </w:rPr>
        <w:t> </w:t>
      </w:r>
    </w:p>
    <w:p>
      <w:pPr>
        <w:pStyle w:val="BodyText"/>
        <w:rPr>
          <w:sz w:val="18"/>
        </w:rPr>
      </w:pPr>
    </w:p>
    <w:p>
      <w:pPr>
        <w:pStyle w:val="BodyText"/>
        <w:spacing w:line="446" w:lineRule="auto"/>
        <w:ind w:left="418" w:right="1608" w:firstLine="419"/>
        <w:jc w:val="both"/>
      </w:pPr>
      <w:r>
        <w:rPr/>
        <w:t>被测者位立于杠下，跳起后双手正握单杠成悬垂姿势。然后听到开始的信号后，屈臂引体至下颌超过横杠上缘，再慢慢伸直双臂，还原成悬垂姿势，即为成功一次。测试过程中，被测者不允许借助身体摆动完成动作。没有按照要求完成的不计数，记录 1min 内完成的次数。 </w:t>
      </w:r>
    </w:p>
    <w:p>
      <w:pPr>
        <w:pStyle w:val="ListParagraph"/>
        <w:numPr>
          <w:ilvl w:val="3"/>
          <w:numId w:val="54"/>
        </w:numPr>
        <w:tabs>
          <w:tab w:pos="1576" w:val="left" w:leader="none"/>
        </w:tabs>
        <w:spacing w:line="268" w:lineRule="exact" w:before="0" w:after="0"/>
        <w:ind w:left="1575" w:right="0" w:hanging="738"/>
        <w:jc w:val="left"/>
        <w:rPr>
          <w:sz w:val="21"/>
        </w:rPr>
      </w:pPr>
      <w:r>
        <w:rPr>
          <w:spacing w:val="-3"/>
          <w:sz w:val="21"/>
        </w:rPr>
        <w:t>闭目单脚站立</w:t>
      </w:r>
      <w:r>
        <w:rPr>
          <w:sz w:val="21"/>
        </w:rPr>
        <w:t> </w:t>
      </w:r>
    </w:p>
    <w:p>
      <w:pPr>
        <w:pStyle w:val="BodyText"/>
        <w:rPr>
          <w:sz w:val="18"/>
        </w:rPr>
      </w:pPr>
    </w:p>
    <w:p>
      <w:pPr>
        <w:pStyle w:val="BodyText"/>
        <w:spacing w:line="446" w:lineRule="auto"/>
        <w:ind w:left="418" w:right="1505" w:firstLine="419"/>
      </w:pPr>
      <w:r>
        <w:rPr>
          <w:spacing w:val="-3"/>
        </w:rPr>
        <w:t>使用秒表测试。测试时，受试者自然站立，闭眼，当听到“开始” 口令后，抬起任意一只脚，同时测试员开表计时。当受试者支撑脚移动或抬起脚着地时，测试员停表。测试两次，取</w:t>
      </w:r>
      <w:r>
        <w:rPr>
          <w:spacing w:val="3"/>
        </w:rPr>
        <w:t>最好成绩。记录以</w:t>
      </w:r>
      <w:r>
        <w:rPr/>
        <w:t>s</w:t>
      </w:r>
      <w:r>
        <w:rPr>
          <w:spacing w:val="-3"/>
        </w:rPr>
        <w:t>  为单位，保留小数点后一位，小数点后第二位按“非零进一”的原则进</w:t>
      </w:r>
      <w:r>
        <w:rPr>
          <w:spacing w:val="-15"/>
        </w:rPr>
        <w:t>位，如 </w:t>
      </w:r>
      <w:r>
        <w:rPr/>
        <w:t>10.11s</w:t>
      </w:r>
      <w:r>
        <w:rPr>
          <w:spacing w:val="-13"/>
        </w:rPr>
        <w:t> 记录为 </w:t>
      </w:r>
      <w:r>
        <w:rPr/>
        <w:t>10.2s</w:t>
      </w:r>
      <w:r>
        <w:rPr>
          <w:spacing w:val="-3"/>
        </w:rPr>
        <w:t>。测试时，注意安全保护。</w:t>
      </w:r>
      <w:r>
        <w:rPr/>
        <w:t> </w:t>
      </w:r>
    </w:p>
    <w:p>
      <w:pPr>
        <w:pStyle w:val="ListParagraph"/>
        <w:numPr>
          <w:ilvl w:val="0"/>
          <w:numId w:val="55"/>
        </w:numPr>
        <w:tabs>
          <w:tab w:pos="1053" w:val="left" w:leader="none"/>
        </w:tabs>
        <w:spacing w:line="240" w:lineRule="auto" w:before="0" w:after="0"/>
        <w:ind w:left="1052" w:right="0" w:hanging="213"/>
        <w:jc w:val="left"/>
        <w:rPr>
          <w:b/>
          <w:sz w:val="21"/>
        </w:rPr>
      </w:pPr>
      <w:r>
        <w:rPr>
          <w:b/>
          <w:sz w:val="21"/>
        </w:rPr>
        <w:t>2</w:t>
      </w:r>
      <w:r>
        <w:rPr>
          <w:b/>
          <w:spacing w:val="1"/>
          <w:sz w:val="21"/>
        </w:rPr>
        <w:t> </w:t>
      </w:r>
      <w:r>
        <w:rPr>
          <w:spacing w:val="-3"/>
          <w:sz w:val="21"/>
        </w:rPr>
        <w:t>体成分</w:t>
      </w:r>
      <w:r>
        <w:rPr>
          <w:b/>
          <w:w w:val="99"/>
          <w:sz w:val="21"/>
        </w:rPr>
        <w:t> </w:t>
      </w:r>
    </w:p>
    <w:p>
      <w:pPr>
        <w:pStyle w:val="BodyText"/>
        <w:spacing w:before="12"/>
        <w:rPr>
          <w:b/>
          <w:sz w:val="17"/>
        </w:rPr>
      </w:pPr>
    </w:p>
    <w:p>
      <w:pPr>
        <w:pStyle w:val="BodyText"/>
        <w:ind w:left="838"/>
      </w:pPr>
      <w:r>
        <w:rPr/>
        <w:t>使用八导联生物电阻抗体成分测试仪进行身体成分的测试。 </w:t>
      </w:r>
    </w:p>
    <w:p>
      <w:pPr>
        <w:pStyle w:val="BodyText"/>
        <w:rPr>
          <w:sz w:val="18"/>
        </w:rPr>
      </w:pPr>
    </w:p>
    <w:p>
      <w:pPr>
        <w:pStyle w:val="BodyText"/>
        <w:spacing w:line="446" w:lineRule="auto"/>
        <w:ind w:left="418" w:right="1609" w:firstLine="419"/>
      </w:pPr>
      <w:r>
        <w:rPr/>
        <w:t>体成分测试仪放在平坦的地面上。被测者只许穿短裤（女性可加乳罩），赤足自然站在测试板中央，按照测试人员的测试顺序要求进行操作。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pStyle w:val="BodyText"/>
        <w:spacing w:before="71"/>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spacing w:before="9"/>
        <w:rPr>
          <w:sz w:val="24"/>
        </w:rPr>
      </w:pPr>
    </w:p>
    <w:p>
      <w:pPr>
        <w:pStyle w:val="Heading4"/>
        <w:spacing w:before="66"/>
        <w:ind w:left="2009"/>
      </w:pPr>
      <w:r>
        <w:rPr/>
        <w:t>附录 B （资料性附录）职业健康监护档案内容及管理</w:t>
      </w:r>
      <w:r>
        <w:rPr>
          <w:w w:val="99"/>
        </w:rPr>
        <w:t> </w:t>
      </w:r>
    </w:p>
    <w:p>
      <w:pPr>
        <w:pStyle w:val="BodyText"/>
        <w:rPr>
          <w:b/>
          <w:sz w:val="24"/>
        </w:rPr>
      </w:pPr>
    </w:p>
    <w:p>
      <w:pPr>
        <w:pStyle w:val="ListParagraph"/>
        <w:numPr>
          <w:ilvl w:val="0"/>
          <w:numId w:val="55"/>
        </w:numPr>
        <w:tabs>
          <w:tab w:pos="1053" w:val="left" w:leader="none"/>
        </w:tabs>
        <w:spacing w:line="240" w:lineRule="auto" w:before="176" w:after="0"/>
        <w:ind w:left="1052" w:right="0" w:hanging="213"/>
        <w:jc w:val="left"/>
        <w:rPr>
          <w:sz w:val="21"/>
        </w:rPr>
      </w:pPr>
      <w:r>
        <w:rPr>
          <w:b/>
          <w:sz w:val="21"/>
        </w:rPr>
        <w:t>1</w:t>
      </w:r>
      <w:r>
        <w:rPr>
          <w:b/>
          <w:spacing w:val="-1"/>
          <w:sz w:val="21"/>
        </w:rPr>
        <w:t> </w:t>
      </w:r>
      <w:r>
        <w:rPr>
          <w:spacing w:val="-3"/>
          <w:sz w:val="21"/>
        </w:rPr>
        <w:t>档案内容</w:t>
      </w:r>
      <w:r>
        <w:rPr>
          <w:sz w:val="21"/>
        </w:rPr>
        <w:t> </w:t>
      </w:r>
    </w:p>
    <w:p>
      <w:pPr>
        <w:pStyle w:val="BodyText"/>
        <w:spacing w:before="2"/>
        <w:rPr>
          <w:sz w:val="18"/>
        </w:rPr>
      </w:pPr>
    </w:p>
    <w:p>
      <w:pPr>
        <w:pStyle w:val="BodyText"/>
        <w:spacing w:line="446" w:lineRule="auto"/>
        <w:ind w:left="840" w:right="1925" w:hanging="3"/>
      </w:pPr>
      <w:r>
        <w:rPr/>
        <w:t>职业健康监护档案应包括职业健康管理档案、消防员个人职业健康档案和其他档案。</w:t>
      </w:r>
      <w:r>
        <w:rPr>
          <w:b/>
        </w:rPr>
        <w:t>B.1.1 </w:t>
      </w:r>
      <w:r>
        <w:rPr/>
        <w:t>消防组织应建立职业健康管理档案，包括： </w:t>
      </w:r>
    </w:p>
    <w:p>
      <w:pPr>
        <w:pStyle w:val="ListParagraph"/>
        <w:numPr>
          <w:ilvl w:val="0"/>
          <w:numId w:val="56"/>
        </w:numPr>
        <w:tabs>
          <w:tab w:pos="1051" w:val="left" w:leader="none"/>
        </w:tabs>
        <w:spacing w:line="267" w:lineRule="exact" w:before="0" w:after="0"/>
        <w:ind w:left="1050" w:right="0" w:hanging="213"/>
        <w:jc w:val="left"/>
        <w:rPr>
          <w:sz w:val="21"/>
        </w:rPr>
      </w:pPr>
      <w:r>
        <w:rPr>
          <w:spacing w:val="-3"/>
          <w:sz w:val="21"/>
        </w:rPr>
        <w:t>国家有关职业病防治工作的法律、法规、规范、标准清单及有关文本； </w:t>
      </w:r>
    </w:p>
    <w:p>
      <w:pPr>
        <w:pStyle w:val="BodyText"/>
        <w:spacing w:before="2"/>
        <w:rPr>
          <w:sz w:val="18"/>
        </w:rPr>
      </w:pPr>
    </w:p>
    <w:p>
      <w:pPr>
        <w:pStyle w:val="ListParagraph"/>
        <w:numPr>
          <w:ilvl w:val="0"/>
          <w:numId w:val="56"/>
        </w:numPr>
        <w:tabs>
          <w:tab w:pos="1051" w:val="left" w:leader="none"/>
        </w:tabs>
        <w:spacing w:line="240" w:lineRule="auto" w:before="0" w:after="0"/>
        <w:ind w:left="1050" w:right="0" w:hanging="213"/>
        <w:jc w:val="left"/>
        <w:rPr>
          <w:sz w:val="21"/>
        </w:rPr>
      </w:pPr>
      <w:r>
        <w:rPr>
          <w:spacing w:val="-3"/>
          <w:sz w:val="21"/>
        </w:rPr>
        <w:t>职业健康管理方针、计划、目标、职业健康管理制度、工作总结等；</w:t>
      </w:r>
      <w:r>
        <w:rPr>
          <w:sz w:val="21"/>
        </w:rPr>
        <w:t> </w:t>
      </w:r>
    </w:p>
    <w:p>
      <w:pPr>
        <w:pStyle w:val="BodyText"/>
        <w:spacing w:before="12"/>
        <w:rPr>
          <w:sz w:val="17"/>
        </w:rPr>
      </w:pPr>
    </w:p>
    <w:p>
      <w:pPr>
        <w:pStyle w:val="ListParagraph"/>
        <w:numPr>
          <w:ilvl w:val="0"/>
          <w:numId w:val="56"/>
        </w:numPr>
        <w:tabs>
          <w:tab w:pos="1051" w:val="left" w:leader="none"/>
        </w:tabs>
        <w:spacing w:line="240" w:lineRule="auto" w:before="0" w:after="0"/>
        <w:ind w:left="1050" w:right="0" w:hanging="213"/>
        <w:jc w:val="left"/>
        <w:rPr>
          <w:sz w:val="21"/>
        </w:rPr>
      </w:pPr>
      <w:r>
        <w:rPr>
          <w:spacing w:val="-3"/>
          <w:sz w:val="21"/>
        </w:rPr>
        <w:t>职业健康专</w:t>
      </w:r>
      <w:r>
        <w:rPr>
          <w:sz w:val="21"/>
        </w:rPr>
        <w:t>（</w:t>
      </w:r>
      <w:r>
        <w:rPr>
          <w:spacing w:val="-3"/>
          <w:sz w:val="21"/>
        </w:rPr>
        <w:t>兼</w:t>
      </w:r>
      <w:r>
        <w:rPr>
          <w:sz w:val="21"/>
        </w:rPr>
        <w:t>）</w:t>
      </w:r>
      <w:r>
        <w:rPr>
          <w:spacing w:val="-3"/>
          <w:sz w:val="21"/>
        </w:rPr>
        <w:t>职管理组织、职能及人员分工；</w:t>
      </w:r>
      <w:r>
        <w:rPr>
          <w:sz w:val="21"/>
        </w:rPr>
        <w:t> </w:t>
      </w:r>
    </w:p>
    <w:p>
      <w:pPr>
        <w:pStyle w:val="BodyText"/>
        <w:rPr>
          <w:sz w:val="18"/>
        </w:rPr>
      </w:pPr>
    </w:p>
    <w:p>
      <w:pPr>
        <w:pStyle w:val="ListParagraph"/>
        <w:numPr>
          <w:ilvl w:val="0"/>
          <w:numId w:val="56"/>
        </w:numPr>
        <w:tabs>
          <w:tab w:pos="1051" w:val="left" w:leader="none"/>
        </w:tabs>
        <w:spacing w:line="240" w:lineRule="auto" w:before="0" w:after="0"/>
        <w:ind w:left="1050" w:right="0" w:hanging="213"/>
        <w:jc w:val="left"/>
        <w:rPr>
          <w:sz w:val="21"/>
        </w:rPr>
      </w:pPr>
      <w:r>
        <w:rPr>
          <w:spacing w:val="-3"/>
          <w:sz w:val="21"/>
        </w:rPr>
        <w:t>职业健康管理方案、程序、作业指导书和其他内部文件；</w:t>
      </w:r>
      <w:r>
        <w:rPr>
          <w:sz w:val="21"/>
        </w:rPr>
        <w:t> </w:t>
      </w:r>
    </w:p>
    <w:p>
      <w:pPr>
        <w:pStyle w:val="BodyText"/>
        <w:spacing w:before="1"/>
        <w:rPr>
          <w:sz w:val="18"/>
        </w:rPr>
      </w:pPr>
    </w:p>
    <w:p>
      <w:pPr>
        <w:pStyle w:val="ListParagraph"/>
        <w:numPr>
          <w:ilvl w:val="0"/>
          <w:numId w:val="56"/>
        </w:numPr>
        <w:tabs>
          <w:tab w:pos="1051" w:val="left" w:leader="none"/>
        </w:tabs>
        <w:spacing w:line="446" w:lineRule="auto" w:before="1" w:after="0"/>
        <w:ind w:left="418" w:right="1609" w:firstLine="419"/>
        <w:jc w:val="left"/>
        <w:rPr>
          <w:sz w:val="21"/>
        </w:rPr>
      </w:pPr>
      <w:r>
        <w:rPr>
          <w:spacing w:val="-3"/>
          <w:sz w:val="21"/>
        </w:rPr>
        <w:t>辖区内服务对象分布图及储存和使用的化学品清单，包括种类、量、使用的部位、储存的部位、毒性资料、预防策略；</w:t>
      </w:r>
      <w:r>
        <w:rPr>
          <w:sz w:val="21"/>
        </w:rPr>
        <w:t> </w:t>
      </w:r>
    </w:p>
    <w:p>
      <w:pPr>
        <w:pStyle w:val="ListParagraph"/>
        <w:numPr>
          <w:ilvl w:val="0"/>
          <w:numId w:val="56"/>
        </w:numPr>
        <w:tabs>
          <w:tab w:pos="1051" w:val="left" w:leader="none"/>
        </w:tabs>
        <w:spacing w:line="267" w:lineRule="exact" w:before="0" w:after="0"/>
        <w:ind w:left="1050" w:right="0" w:hanging="213"/>
        <w:jc w:val="left"/>
        <w:rPr>
          <w:sz w:val="21"/>
        </w:rPr>
      </w:pPr>
      <w:r>
        <w:rPr>
          <w:spacing w:val="-3"/>
          <w:sz w:val="21"/>
        </w:rPr>
        <w:t>职业危害防护装备储存、配备、使用、维修记录等；</w:t>
      </w:r>
      <w:r>
        <w:rPr>
          <w:sz w:val="21"/>
        </w:rPr>
        <w:t> </w:t>
      </w:r>
    </w:p>
    <w:p>
      <w:pPr>
        <w:pStyle w:val="BodyText"/>
        <w:spacing w:before="1"/>
        <w:rPr>
          <w:sz w:val="18"/>
        </w:rPr>
      </w:pPr>
    </w:p>
    <w:p>
      <w:pPr>
        <w:pStyle w:val="ListParagraph"/>
        <w:numPr>
          <w:ilvl w:val="0"/>
          <w:numId w:val="56"/>
        </w:numPr>
        <w:tabs>
          <w:tab w:pos="1051" w:val="left" w:leader="none"/>
        </w:tabs>
        <w:spacing w:line="446" w:lineRule="auto" w:before="1" w:after="0"/>
        <w:ind w:left="418" w:right="1609" w:firstLine="419"/>
        <w:jc w:val="left"/>
        <w:rPr>
          <w:sz w:val="21"/>
        </w:rPr>
      </w:pPr>
      <w:r>
        <w:rPr>
          <w:spacing w:val="-3"/>
          <w:sz w:val="21"/>
        </w:rPr>
        <w:t>职业健康监护资料：职业健康监护委托书、职业性健康检查人员名单、职业健康检查结果与分析报告、职业禁忌证名单及调离情况；</w:t>
      </w:r>
      <w:r>
        <w:rPr>
          <w:sz w:val="21"/>
        </w:rPr>
        <w:t> </w:t>
      </w:r>
    </w:p>
    <w:p>
      <w:pPr>
        <w:pStyle w:val="ListParagraph"/>
        <w:numPr>
          <w:ilvl w:val="0"/>
          <w:numId w:val="56"/>
        </w:numPr>
        <w:tabs>
          <w:tab w:pos="1051" w:val="left" w:leader="none"/>
        </w:tabs>
        <w:spacing w:line="446" w:lineRule="auto" w:before="0" w:after="0"/>
        <w:ind w:left="838" w:right="3817" w:firstLine="0"/>
        <w:jc w:val="left"/>
        <w:rPr>
          <w:sz w:val="21"/>
        </w:rPr>
      </w:pPr>
      <w:r>
        <w:rPr>
          <w:spacing w:val="-2"/>
          <w:sz w:val="21"/>
        </w:rPr>
        <w:t>职业健康培训教育计划、培训内容、授课记录及考核成绩； </w:t>
      </w:r>
      <w:r>
        <w:rPr>
          <w:sz w:val="21"/>
        </w:rPr>
        <w:t>i) </w:t>
      </w:r>
      <w:r>
        <w:rPr>
          <w:spacing w:val="-3"/>
          <w:sz w:val="21"/>
        </w:rPr>
        <w:t>职业病病人档案；</w:t>
      </w:r>
      <w:r>
        <w:rPr>
          <w:sz w:val="21"/>
        </w:rPr>
        <w:t> </w:t>
      </w:r>
    </w:p>
    <w:p>
      <w:pPr>
        <w:pStyle w:val="ListParagraph"/>
        <w:numPr>
          <w:ilvl w:val="0"/>
          <w:numId w:val="57"/>
        </w:numPr>
        <w:tabs>
          <w:tab w:pos="1051" w:val="left" w:leader="none"/>
        </w:tabs>
        <w:spacing w:line="240" w:lineRule="auto" w:before="0" w:after="0"/>
        <w:ind w:left="1050" w:right="0" w:hanging="213"/>
        <w:jc w:val="left"/>
        <w:rPr>
          <w:sz w:val="21"/>
        </w:rPr>
      </w:pPr>
      <w:r>
        <w:rPr>
          <w:spacing w:val="-3"/>
          <w:sz w:val="21"/>
        </w:rPr>
        <w:t>职业危害事故应急救援预案及演练有关资料；</w:t>
      </w:r>
      <w:r>
        <w:rPr>
          <w:sz w:val="21"/>
        </w:rPr>
        <w:t> </w:t>
      </w:r>
    </w:p>
    <w:p>
      <w:pPr>
        <w:pStyle w:val="BodyText"/>
        <w:spacing w:before="10"/>
        <w:rPr>
          <w:sz w:val="17"/>
        </w:rPr>
      </w:pPr>
    </w:p>
    <w:p>
      <w:pPr>
        <w:pStyle w:val="ListParagraph"/>
        <w:numPr>
          <w:ilvl w:val="0"/>
          <w:numId w:val="57"/>
        </w:numPr>
        <w:tabs>
          <w:tab w:pos="1051" w:val="left" w:leader="none"/>
        </w:tabs>
        <w:spacing w:line="446" w:lineRule="auto" w:before="0" w:after="0"/>
        <w:ind w:left="418" w:right="1609" w:firstLine="419"/>
        <w:jc w:val="left"/>
        <w:rPr>
          <w:sz w:val="21"/>
        </w:rPr>
      </w:pPr>
      <w:r>
        <w:rPr>
          <w:spacing w:val="-3"/>
          <w:sz w:val="21"/>
        </w:rPr>
        <w:t>各种汇总资料，包括：职业健康监护、职业病发病情况、职业病人处理及安置情况、培训情况、因病缺勤情况、职业有害因素接触情况等汇总资料。</w:t>
      </w:r>
      <w:r>
        <w:rPr>
          <w:sz w:val="21"/>
        </w:rPr>
        <w:t> </w:t>
      </w:r>
    </w:p>
    <w:p>
      <w:pPr>
        <w:pStyle w:val="BodyText"/>
        <w:spacing w:line="446" w:lineRule="auto"/>
        <w:ind w:left="838" w:right="5500" w:firstLine="2"/>
      </w:pPr>
      <w:r>
        <w:rPr>
          <w:b/>
        </w:rPr>
        <w:t>B.1.2 </w:t>
      </w:r>
      <w:r>
        <w:rPr/>
        <w:t>消防员个人职业健康档案，主要包括： a) 消防员上岗前职业健康检查资料； </w:t>
      </w:r>
    </w:p>
    <w:p>
      <w:pPr>
        <w:pStyle w:val="ListParagraph"/>
        <w:numPr>
          <w:ilvl w:val="0"/>
          <w:numId w:val="58"/>
        </w:numPr>
        <w:tabs>
          <w:tab w:pos="1051" w:val="left" w:leader="none"/>
        </w:tabs>
        <w:spacing w:line="240" w:lineRule="auto" w:before="0" w:after="0"/>
        <w:ind w:left="1050" w:right="0" w:hanging="213"/>
        <w:jc w:val="left"/>
        <w:rPr>
          <w:sz w:val="21"/>
        </w:rPr>
      </w:pPr>
      <w:r>
        <w:rPr>
          <w:spacing w:val="-3"/>
          <w:sz w:val="21"/>
        </w:rPr>
        <w:t>消防员定期职业健康检查和体能测试结果；</w:t>
      </w:r>
      <w:r>
        <w:rPr>
          <w:sz w:val="21"/>
        </w:rPr>
        <w:t> </w:t>
      </w:r>
    </w:p>
    <w:p>
      <w:pPr>
        <w:pStyle w:val="BodyText"/>
        <w:spacing w:before="12"/>
        <w:rPr>
          <w:sz w:val="17"/>
        </w:rPr>
      </w:pPr>
    </w:p>
    <w:p>
      <w:pPr>
        <w:pStyle w:val="ListParagraph"/>
        <w:numPr>
          <w:ilvl w:val="0"/>
          <w:numId w:val="58"/>
        </w:numPr>
        <w:tabs>
          <w:tab w:pos="1051" w:val="left" w:leader="none"/>
        </w:tabs>
        <w:spacing w:line="240" w:lineRule="auto" w:before="0" w:after="0"/>
        <w:ind w:left="1050" w:right="0" w:hanging="213"/>
        <w:jc w:val="left"/>
        <w:rPr>
          <w:sz w:val="21"/>
        </w:rPr>
      </w:pPr>
      <w:r>
        <w:rPr>
          <w:spacing w:val="-3"/>
          <w:sz w:val="21"/>
        </w:rPr>
        <w:t>患职业病和受伤史；</w:t>
      </w:r>
      <w:r>
        <w:rPr>
          <w:sz w:val="21"/>
        </w:rPr>
        <w:t> </w:t>
      </w:r>
    </w:p>
    <w:p>
      <w:pPr>
        <w:pStyle w:val="BodyText"/>
        <w:rPr>
          <w:sz w:val="18"/>
        </w:rPr>
      </w:pPr>
    </w:p>
    <w:p>
      <w:pPr>
        <w:pStyle w:val="ListParagraph"/>
        <w:numPr>
          <w:ilvl w:val="0"/>
          <w:numId w:val="58"/>
        </w:numPr>
        <w:tabs>
          <w:tab w:pos="1051" w:val="left" w:leader="none"/>
        </w:tabs>
        <w:spacing w:line="240" w:lineRule="auto" w:before="0" w:after="0"/>
        <w:ind w:left="1050" w:right="0" w:hanging="213"/>
        <w:jc w:val="left"/>
        <w:rPr>
          <w:sz w:val="21"/>
        </w:rPr>
      </w:pPr>
      <w:r>
        <w:rPr>
          <w:spacing w:val="-3"/>
          <w:sz w:val="21"/>
        </w:rPr>
        <w:t>职业病或（</w:t>
      </w:r>
      <w:r>
        <w:rPr>
          <w:sz w:val="21"/>
        </w:rPr>
        <w:t>和</w:t>
      </w:r>
      <w:r>
        <w:rPr>
          <w:spacing w:val="-3"/>
          <w:sz w:val="21"/>
        </w:rPr>
        <w:t>）受伤的诊疗资料；</w:t>
      </w:r>
      <w:r>
        <w:rPr>
          <w:sz w:val="21"/>
        </w:rPr>
        <w:t> </w:t>
      </w:r>
    </w:p>
    <w:p>
      <w:pPr>
        <w:pStyle w:val="BodyText"/>
        <w:spacing w:before="2"/>
        <w:rPr>
          <w:sz w:val="18"/>
        </w:rPr>
      </w:pPr>
    </w:p>
    <w:p>
      <w:pPr>
        <w:pStyle w:val="ListParagraph"/>
        <w:numPr>
          <w:ilvl w:val="0"/>
          <w:numId w:val="58"/>
        </w:numPr>
        <w:tabs>
          <w:tab w:pos="1051" w:val="left" w:leader="none"/>
        </w:tabs>
        <w:spacing w:line="446" w:lineRule="auto" w:before="0" w:after="0"/>
        <w:ind w:left="840" w:right="2977" w:hanging="3"/>
        <w:jc w:val="left"/>
        <w:rPr>
          <w:sz w:val="21"/>
        </w:rPr>
      </w:pPr>
      <w:r>
        <w:rPr>
          <w:spacing w:val="-3"/>
          <w:sz w:val="21"/>
        </w:rPr>
        <w:t>在消防职业活动中接触已知或未知有毒有害物质或传染病暴露史等。</w:t>
      </w:r>
      <w:r>
        <w:rPr>
          <w:b/>
          <w:sz w:val="21"/>
        </w:rPr>
        <w:t>B.1.3</w:t>
      </w:r>
      <w:r>
        <w:rPr>
          <w:b/>
          <w:spacing w:val="2"/>
          <w:sz w:val="21"/>
        </w:rPr>
        <w:t> </w:t>
      </w:r>
      <w:r>
        <w:rPr>
          <w:spacing w:val="-3"/>
          <w:sz w:val="21"/>
        </w:rPr>
        <w:t>其他档案，主要包括：</w:t>
      </w:r>
      <w:r>
        <w:rPr>
          <w:sz w:val="21"/>
        </w:rPr>
        <w:t> </w:t>
      </w:r>
    </w:p>
    <w:p>
      <w:pPr>
        <w:spacing w:after="0" w:line="446" w:lineRule="auto"/>
        <w:jc w:val="left"/>
        <w:rPr>
          <w:sz w:val="21"/>
        </w:rPr>
        <w:sectPr>
          <w:pgSz w:w="11910" w:h="16850"/>
          <w:pgMar w:header="0" w:footer="1239" w:top="1600" w:bottom="1420" w:left="1260" w:right="0"/>
        </w:sectPr>
      </w:pPr>
    </w:p>
    <w:p>
      <w:pPr>
        <w:pStyle w:val="ListParagraph"/>
        <w:numPr>
          <w:ilvl w:val="0"/>
          <w:numId w:val="59"/>
        </w:numPr>
        <w:tabs>
          <w:tab w:pos="1051" w:val="left" w:leader="none"/>
        </w:tabs>
        <w:spacing w:line="240" w:lineRule="auto" w:before="47" w:after="0"/>
        <w:ind w:left="1050" w:right="0" w:hanging="213"/>
        <w:jc w:val="left"/>
        <w:rPr>
          <w:sz w:val="21"/>
        </w:rPr>
      </w:pPr>
      <w:r>
        <w:rPr>
          <w:spacing w:val="-3"/>
          <w:sz w:val="21"/>
        </w:rPr>
        <w:t>消防员心理测验资料； </w:t>
      </w:r>
    </w:p>
    <w:p>
      <w:pPr>
        <w:pStyle w:val="BodyText"/>
        <w:rPr>
          <w:sz w:val="18"/>
        </w:rPr>
      </w:pPr>
    </w:p>
    <w:p>
      <w:pPr>
        <w:pStyle w:val="ListParagraph"/>
        <w:numPr>
          <w:ilvl w:val="0"/>
          <w:numId w:val="59"/>
        </w:numPr>
        <w:tabs>
          <w:tab w:pos="1051" w:val="left" w:leader="none"/>
        </w:tabs>
        <w:spacing w:line="240" w:lineRule="auto" w:before="0" w:after="0"/>
        <w:ind w:left="1050" w:right="0" w:hanging="213"/>
        <w:jc w:val="left"/>
        <w:rPr>
          <w:sz w:val="21"/>
        </w:rPr>
      </w:pPr>
      <w:r>
        <w:rPr>
          <w:spacing w:val="-3"/>
          <w:sz w:val="21"/>
        </w:rPr>
        <w:t>职业健康评估资料；</w:t>
      </w:r>
      <w:r>
        <w:rPr>
          <w:sz w:val="21"/>
        </w:rPr>
        <w:t> </w:t>
      </w:r>
    </w:p>
    <w:p>
      <w:pPr>
        <w:pStyle w:val="BodyText"/>
        <w:rPr>
          <w:sz w:val="18"/>
        </w:rPr>
      </w:pPr>
    </w:p>
    <w:p>
      <w:pPr>
        <w:pStyle w:val="ListParagraph"/>
        <w:numPr>
          <w:ilvl w:val="0"/>
          <w:numId w:val="59"/>
        </w:numPr>
        <w:tabs>
          <w:tab w:pos="1051" w:val="left" w:leader="none"/>
        </w:tabs>
        <w:spacing w:line="446" w:lineRule="auto" w:before="0" w:after="0"/>
        <w:ind w:left="840" w:right="6129" w:hanging="3"/>
        <w:jc w:val="left"/>
        <w:rPr>
          <w:sz w:val="21"/>
        </w:rPr>
      </w:pPr>
      <w:r>
        <w:rPr>
          <w:spacing w:val="-3"/>
          <w:sz w:val="21"/>
        </w:rPr>
        <w:t>有关消防员职业健康的其他资料。 </w:t>
      </w:r>
      <w:r>
        <w:rPr>
          <w:b/>
          <w:sz w:val="21"/>
        </w:rPr>
        <w:t>B.2</w:t>
      </w:r>
      <w:r>
        <w:rPr>
          <w:b/>
          <w:spacing w:val="1"/>
          <w:sz w:val="21"/>
        </w:rPr>
        <w:t> </w:t>
      </w:r>
      <w:r>
        <w:rPr>
          <w:spacing w:val="-3"/>
          <w:sz w:val="21"/>
        </w:rPr>
        <w:t>档案管理</w:t>
      </w:r>
      <w:r>
        <w:rPr>
          <w:sz w:val="21"/>
        </w:rPr>
        <w:t> </w:t>
      </w:r>
    </w:p>
    <w:p>
      <w:pPr>
        <w:pStyle w:val="BodyText"/>
        <w:spacing w:line="446" w:lineRule="auto"/>
        <w:ind w:left="840" w:right="2129"/>
      </w:pPr>
      <w:r>
        <w:rPr>
          <w:b/>
        </w:rPr>
        <w:t>B.2.1 </w:t>
      </w:r>
      <w:r>
        <w:rPr/>
        <w:t>各级消防组织都应当建立职业健康监护档案，并指定专（兼）职人员负责。</w:t>
      </w:r>
      <w:r>
        <w:rPr>
          <w:b/>
        </w:rPr>
        <w:t>B.2.2 </w:t>
      </w:r>
      <w:r>
        <w:rPr/>
        <w:t>职业健康监护档案要进行案卷归档工作。案卷归档前要做好以下事项： </w:t>
      </w:r>
    </w:p>
    <w:p>
      <w:pPr>
        <w:pStyle w:val="BodyText"/>
        <w:spacing w:line="446" w:lineRule="auto"/>
        <w:ind w:left="418" w:right="1609" w:firstLine="419"/>
        <w:jc w:val="both"/>
      </w:pPr>
      <w:r>
        <w:rPr/>
        <w:t>a)</w:t>
      </w:r>
      <w:r>
        <w:rPr>
          <w:spacing w:val="-3"/>
        </w:rPr>
        <w:t> 简明扼要地拟写案卷标题，包括文件制发机关、内容、文种三个部分，标题要反映案卷的内容；</w:t>
      </w:r>
      <w:r>
        <w:rPr/>
        <w:t>b)</w:t>
      </w:r>
      <w:r>
        <w:rPr>
          <w:spacing w:val="-3"/>
        </w:rPr>
        <w:t> 根据档案保管期限的规定，注明每一案卷的保管期限，职业健康监护档案一般为永久保存；</w:t>
      </w:r>
      <w:r>
        <w:rPr/>
        <w:t> </w:t>
      </w:r>
    </w:p>
    <w:p>
      <w:pPr>
        <w:pStyle w:val="ListParagraph"/>
        <w:numPr>
          <w:ilvl w:val="0"/>
          <w:numId w:val="60"/>
        </w:numPr>
        <w:tabs>
          <w:tab w:pos="1051" w:val="left" w:leader="none"/>
        </w:tabs>
        <w:spacing w:line="268" w:lineRule="exact" w:before="0" w:after="0"/>
        <w:ind w:left="1050" w:right="0" w:hanging="213"/>
        <w:jc w:val="both"/>
        <w:rPr>
          <w:sz w:val="21"/>
        </w:rPr>
      </w:pPr>
      <w:r>
        <w:rPr>
          <w:spacing w:val="-3"/>
          <w:sz w:val="21"/>
        </w:rPr>
        <w:t>填写卷内目录、备考表及案卷皮、编号，装订成卷；</w:t>
      </w:r>
      <w:r>
        <w:rPr>
          <w:sz w:val="21"/>
        </w:rPr>
        <w:t> </w:t>
      </w:r>
    </w:p>
    <w:p>
      <w:pPr>
        <w:pStyle w:val="BodyText"/>
        <w:spacing w:before="12"/>
        <w:rPr>
          <w:sz w:val="17"/>
        </w:rPr>
      </w:pPr>
    </w:p>
    <w:p>
      <w:pPr>
        <w:pStyle w:val="ListParagraph"/>
        <w:numPr>
          <w:ilvl w:val="0"/>
          <w:numId w:val="60"/>
        </w:numPr>
        <w:tabs>
          <w:tab w:pos="1051" w:val="left" w:leader="none"/>
        </w:tabs>
        <w:spacing w:line="240" w:lineRule="auto" w:before="0" w:after="0"/>
        <w:ind w:left="1050" w:right="0" w:hanging="213"/>
        <w:jc w:val="left"/>
        <w:rPr>
          <w:sz w:val="21"/>
        </w:rPr>
      </w:pPr>
      <w:r>
        <w:rPr>
          <w:spacing w:val="-3"/>
          <w:sz w:val="21"/>
        </w:rPr>
        <w:t>归档的案卷要填写移交目录。</w:t>
      </w:r>
      <w:r>
        <w:rPr>
          <w:sz w:val="21"/>
        </w:rPr>
        <w:t> </w:t>
      </w:r>
    </w:p>
    <w:p>
      <w:pPr>
        <w:pStyle w:val="BodyText"/>
        <w:spacing w:before="12"/>
        <w:rPr>
          <w:sz w:val="17"/>
        </w:rPr>
      </w:pPr>
    </w:p>
    <w:p>
      <w:pPr>
        <w:pStyle w:val="ListParagraph"/>
        <w:numPr>
          <w:ilvl w:val="2"/>
          <w:numId w:val="61"/>
        </w:numPr>
        <w:tabs>
          <w:tab w:pos="1371" w:val="left" w:leader="none"/>
        </w:tabs>
        <w:spacing w:line="446" w:lineRule="auto" w:before="0" w:after="0"/>
        <w:ind w:left="418" w:right="1604" w:firstLine="422"/>
        <w:jc w:val="left"/>
        <w:rPr>
          <w:sz w:val="21"/>
        </w:rPr>
      </w:pPr>
      <w:r>
        <w:rPr>
          <w:spacing w:val="-3"/>
          <w:sz w:val="21"/>
        </w:rPr>
        <w:t>档案室对移交来的职业健康监护档案，要认真进行质量检查，及时编号登记，入库保管。</w:t>
      </w:r>
      <w:r>
        <w:rPr>
          <w:sz w:val="21"/>
        </w:rPr>
        <w:t> </w:t>
      </w:r>
    </w:p>
    <w:p>
      <w:pPr>
        <w:pStyle w:val="ListParagraph"/>
        <w:numPr>
          <w:ilvl w:val="2"/>
          <w:numId w:val="61"/>
        </w:numPr>
        <w:tabs>
          <w:tab w:pos="1371" w:val="left" w:leader="none"/>
        </w:tabs>
        <w:spacing w:line="446" w:lineRule="auto" w:before="0" w:after="0"/>
        <w:ind w:left="418" w:right="1604" w:firstLine="422"/>
        <w:jc w:val="left"/>
        <w:rPr>
          <w:sz w:val="21"/>
        </w:rPr>
      </w:pPr>
      <w:r>
        <w:rPr>
          <w:spacing w:val="-3"/>
          <w:sz w:val="21"/>
        </w:rPr>
        <w:t>档案工作人员对档案的收进、移出、销毁、借阅利用等情况耍进行登记，责任人签字；档案工作人员调离时，必须办好交接手续。</w:t>
      </w:r>
      <w:r>
        <w:rPr>
          <w:sz w:val="21"/>
        </w:rPr>
        <w:t> </w:t>
      </w:r>
    </w:p>
    <w:p>
      <w:pPr>
        <w:pStyle w:val="ListParagraph"/>
        <w:numPr>
          <w:ilvl w:val="2"/>
          <w:numId w:val="61"/>
        </w:numPr>
        <w:tabs>
          <w:tab w:pos="1371" w:val="left" w:leader="none"/>
        </w:tabs>
        <w:spacing w:line="446" w:lineRule="auto" w:before="0" w:after="0"/>
        <w:ind w:left="418" w:right="1604" w:firstLine="422"/>
        <w:jc w:val="both"/>
        <w:rPr>
          <w:sz w:val="21"/>
        </w:rPr>
      </w:pPr>
      <w:r>
        <w:rPr>
          <w:spacing w:val="-3"/>
          <w:sz w:val="21"/>
        </w:rPr>
        <w:t>档案库房要坚固、安全，做好防盗、防火、防虫、防鼠、防高温、防潮、通风等项工作，并有应急措施。职业卫生档案库要设专人管理，定期检查清点，如发现档案破损、变质时要及时修补复制。</w:t>
      </w:r>
      <w:r>
        <w:rPr>
          <w:sz w:val="21"/>
        </w:rPr>
        <w:t> </w:t>
      </w:r>
    </w:p>
    <w:p>
      <w:pPr>
        <w:pStyle w:val="ListParagraph"/>
        <w:numPr>
          <w:ilvl w:val="2"/>
          <w:numId w:val="61"/>
        </w:numPr>
        <w:tabs>
          <w:tab w:pos="1370" w:val="left" w:leader="none"/>
        </w:tabs>
        <w:spacing w:line="446" w:lineRule="auto" w:before="0" w:after="0"/>
        <w:ind w:left="418" w:right="1604" w:firstLine="422"/>
        <w:jc w:val="left"/>
        <w:rPr>
          <w:sz w:val="21"/>
        </w:rPr>
      </w:pPr>
      <w:r>
        <w:rPr>
          <w:spacing w:val="-3"/>
          <w:sz w:val="21"/>
        </w:rPr>
        <w:t>对保管的职业健康监护档案要积极提供利用，消防员心理测验资料的管理应遵循心理工作保密原则，严格执行借阅制度。</w:t>
      </w:r>
      <w:r>
        <w:rPr>
          <w:sz w:val="21"/>
        </w:rPr>
        <w:t> </w:t>
      </w:r>
    </w:p>
    <w:p>
      <w:pPr>
        <w:pStyle w:val="ListParagraph"/>
        <w:numPr>
          <w:ilvl w:val="2"/>
          <w:numId w:val="61"/>
        </w:numPr>
        <w:tabs>
          <w:tab w:pos="1371" w:val="left" w:leader="none"/>
        </w:tabs>
        <w:spacing w:line="446" w:lineRule="auto" w:before="0" w:after="0"/>
        <w:ind w:left="418" w:right="1813" w:firstLine="422"/>
        <w:jc w:val="left"/>
        <w:rPr>
          <w:sz w:val="21"/>
        </w:rPr>
      </w:pPr>
      <w:r>
        <w:rPr>
          <w:spacing w:val="-3"/>
          <w:sz w:val="21"/>
        </w:rPr>
        <w:t>利用职业健康监护档案的人员应当爱护档案，严禁对职业健康监护档案拆卷、涂改、污损、转借和擅自翻印。</w:t>
      </w:r>
      <w:r>
        <w:rPr>
          <w:sz w:val="21"/>
        </w:rPr>
        <w:t> </w:t>
      </w:r>
    </w:p>
    <w:p>
      <w:pPr>
        <w:pStyle w:val="ListParagraph"/>
        <w:numPr>
          <w:ilvl w:val="2"/>
          <w:numId w:val="61"/>
        </w:numPr>
        <w:tabs>
          <w:tab w:pos="1371" w:val="left" w:leader="none"/>
        </w:tabs>
        <w:spacing w:line="446" w:lineRule="auto" w:before="0" w:after="0"/>
        <w:ind w:left="840" w:right="1709" w:firstLine="0"/>
        <w:jc w:val="left"/>
        <w:rPr>
          <w:sz w:val="21"/>
        </w:rPr>
      </w:pPr>
      <w:r>
        <w:rPr>
          <w:spacing w:val="-3"/>
          <w:sz w:val="21"/>
        </w:rPr>
        <w:t>职业健康检查和职业病病人档案借阅和保密还应当按病案管理的有关要求执行。</w:t>
      </w:r>
      <w:r>
        <w:rPr>
          <w:b/>
          <w:sz w:val="21"/>
        </w:rPr>
        <w:t>B.2.9</w:t>
      </w:r>
      <w:r>
        <w:rPr>
          <w:b/>
          <w:spacing w:val="2"/>
          <w:sz w:val="21"/>
        </w:rPr>
        <w:t> </w:t>
      </w:r>
      <w:r>
        <w:rPr>
          <w:spacing w:val="-3"/>
          <w:sz w:val="21"/>
        </w:rPr>
        <w:t>对职业健康监护档案的利用情况要进行登记。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6"/>
        </w:rPr>
      </w:pPr>
    </w:p>
    <w:p>
      <w:pPr>
        <w:pStyle w:val="BodyText"/>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spacing w:before="7"/>
        <w:rPr>
          <w:sz w:val="25"/>
        </w:rPr>
      </w:pPr>
    </w:p>
    <w:p>
      <w:pPr>
        <w:pStyle w:val="BodyText"/>
        <w:spacing w:before="72"/>
        <w:ind w:left="3298"/>
      </w:pPr>
      <w:r>
        <w:rPr>
          <w:w w:val="100"/>
        </w:rPr>
        <w:t> </w:t>
      </w:r>
    </w:p>
    <w:p>
      <w:pPr>
        <w:spacing w:after="0"/>
        <w:sectPr>
          <w:pgSz w:w="11910" w:h="16850"/>
          <w:pgMar w:header="0" w:footer="1239" w:top="1600" w:bottom="1420" w:left="1260" w:right="0"/>
        </w:sectPr>
      </w:pPr>
    </w:p>
    <w:p>
      <w:pPr>
        <w:pStyle w:val="Heading4"/>
        <w:spacing w:before="55"/>
        <w:ind w:left="2614"/>
      </w:pPr>
      <w:r>
        <w:rPr/>
        <w:t>附录 C（资料性附录） 职业健康促进内容</w:t>
      </w:r>
      <w:r>
        <w:rPr>
          <w:w w:val="99"/>
        </w:rPr>
        <w:t> </w:t>
      </w:r>
    </w:p>
    <w:p>
      <w:pPr>
        <w:pStyle w:val="BodyText"/>
        <w:rPr>
          <w:b/>
          <w:sz w:val="24"/>
        </w:rPr>
      </w:pPr>
    </w:p>
    <w:p>
      <w:pPr>
        <w:pStyle w:val="BodyText"/>
        <w:spacing w:line="446" w:lineRule="auto" w:before="176"/>
        <w:ind w:left="418" w:right="1608" w:firstLine="419"/>
        <w:jc w:val="both"/>
      </w:pPr>
      <w:r>
        <w:rPr/>
        <w:t>动员和组织消防员参与各种有计划有目的的健康促进活动，指导消防员消除心理、社会和环境中不利于健康的因素，改变不健康的生活习惯和方式，促进健康行为的形成，预防和控制职业病、职业伤害、传染病及常见病等的发生，促进消防员的职业健康，提高消防组织的整体素质和战斗力。 </w:t>
      </w:r>
    </w:p>
    <w:p>
      <w:pPr>
        <w:pStyle w:val="BodyText"/>
        <w:spacing w:line="446" w:lineRule="auto"/>
        <w:ind w:left="418" w:right="1609" w:firstLine="419"/>
      </w:pPr>
      <w:r>
        <w:rPr/>
        <w:t>消防员职业健康促进包括职业病与职业伤害的预防控制、传染病的预防控制、慢性非传染病的预防控制、心理与精神疾病的预防控制及休假和疗养等。 </w:t>
      </w:r>
    </w:p>
    <w:p>
      <w:pPr>
        <w:pStyle w:val="ListParagraph"/>
        <w:numPr>
          <w:ilvl w:val="0"/>
          <w:numId w:val="55"/>
        </w:numPr>
        <w:tabs>
          <w:tab w:pos="1053" w:val="left" w:leader="none"/>
        </w:tabs>
        <w:spacing w:line="267" w:lineRule="exact" w:before="0" w:after="0"/>
        <w:ind w:left="1052" w:right="0" w:hanging="213"/>
        <w:jc w:val="left"/>
        <w:rPr>
          <w:sz w:val="21"/>
        </w:rPr>
      </w:pPr>
      <w:r>
        <w:rPr>
          <w:b/>
          <w:sz w:val="21"/>
        </w:rPr>
        <w:t>1</w:t>
      </w:r>
      <w:r>
        <w:rPr>
          <w:b/>
          <w:spacing w:val="2"/>
          <w:sz w:val="21"/>
        </w:rPr>
        <w:t> </w:t>
      </w:r>
      <w:r>
        <w:rPr>
          <w:spacing w:val="-3"/>
          <w:sz w:val="21"/>
        </w:rPr>
        <w:t>职业病与职业伤害的预防控制</w:t>
      </w:r>
      <w:r>
        <w:rPr>
          <w:sz w:val="21"/>
        </w:rPr>
        <w:t> </w:t>
      </w:r>
    </w:p>
    <w:p>
      <w:pPr>
        <w:pStyle w:val="BodyText"/>
        <w:spacing w:before="2"/>
        <w:rPr>
          <w:sz w:val="18"/>
        </w:rPr>
      </w:pPr>
    </w:p>
    <w:p>
      <w:pPr>
        <w:pStyle w:val="BodyText"/>
        <w:spacing w:line="446" w:lineRule="auto"/>
        <w:ind w:left="418" w:right="1609" w:firstLine="419"/>
      </w:pPr>
      <w:r>
        <w:rPr/>
        <w:t>消防组织应定期对消防员职业活动中可能接触的职业危害因素及防护知识开展培训，提高消防员职业防护意识和能力。 </w:t>
      </w:r>
    </w:p>
    <w:p>
      <w:pPr>
        <w:spacing w:line="267" w:lineRule="exact" w:before="0"/>
        <w:ind w:left="840" w:right="0" w:firstLine="0"/>
        <w:jc w:val="left"/>
        <w:rPr>
          <w:sz w:val="21"/>
        </w:rPr>
      </w:pPr>
      <w:r>
        <w:rPr>
          <w:b/>
          <w:sz w:val="21"/>
        </w:rPr>
        <w:t>C.2 </w:t>
      </w:r>
      <w:r>
        <w:rPr>
          <w:sz w:val="21"/>
        </w:rPr>
        <w:t>传染病的预防控制 </w:t>
      </w:r>
    </w:p>
    <w:p>
      <w:pPr>
        <w:pStyle w:val="BodyText"/>
        <w:spacing w:before="2"/>
        <w:rPr>
          <w:sz w:val="18"/>
        </w:rPr>
      </w:pPr>
    </w:p>
    <w:p>
      <w:pPr>
        <w:pStyle w:val="BodyText"/>
        <w:spacing w:line="446" w:lineRule="auto"/>
        <w:ind w:left="418" w:right="1608" w:firstLine="419"/>
        <w:jc w:val="both"/>
      </w:pPr>
      <w:r>
        <w:rPr/>
        <w:t>消防组织应建立传染病预防和控制制度，积极开展传染病的预警和监测工作，识别本组织内消防员工作和生活中可能接触的传染源，从控制传染源、切断传播途径、保护易感人群三方面做好传染病的预防控制工作。 </w:t>
      </w:r>
    </w:p>
    <w:p>
      <w:pPr>
        <w:pStyle w:val="ListParagraph"/>
        <w:numPr>
          <w:ilvl w:val="0"/>
          <w:numId w:val="62"/>
        </w:numPr>
        <w:tabs>
          <w:tab w:pos="1051" w:val="left" w:leader="none"/>
        </w:tabs>
        <w:spacing w:line="446" w:lineRule="auto" w:before="0" w:after="0"/>
        <w:ind w:left="838" w:right="2765" w:firstLine="0"/>
        <w:jc w:val="both"/>
        <w:rPr>
          <w:sz w:val="21"/>
        </w:rPr>
      </w:pPr>
      <w:r>
        <w:rPr>
          <w:spacing w:val="-2"/>
          <w:sz w:val="21"/>
        </w:rPr>
        <w:t>消防组织应定期对消防员进行传染病预防知识培训和教育。主要包括： </w:t>
      </w:r>
      <w:r>
        <w:rPr>
          <w:sz w:val="21"/>
        </w:rPr>
        <w:t>1) </w:t>
      </w:r>
      <w:r>
        <w:rPr>
          <w:spacing w:val="-3"/>
          <w:sz w:val="21"/>
        </w:rPr>
        <w:t>个人防护装备的使用； </w:t>
      </w:r>
    </w:p>
    <w:p>
      <w:pPr>
        <w:pStyle w:val="ListParagraph"/>
        <w:numPr>
          <w:ilvl w:val="0"/>
          <w:numId w:val="63"/>
        </w:numPr>
        <w:tabs>
          <w:tab w:pos="1051" w:val="left" w:leader="none"/>
        </w:tabs>
        <w:spacing w:line="267" w:lineRule="exact" w:before="0" w:after="0"/>
        <w:ind w:left="1050" w:right="0" w:hanging="213"/>
        <w:jc w:val="both"/>
        <w:rPr>
          <w:sz w:val="21"/>
        </w:rPr>
      </w:pPr>
      <w:r>
        <w:rPr>
          <w:spacing w:val="-3"/>
          <w:sz w:val="21"/>
        </w:rPr>
        <w:t>传染病控制安全操作程序；</w:t>
      </w:r>
      <w:r>
        <w:rPr>
          <w:sz w:val="21"/>
        </w:rPr>
        <w:t> </w:t>
      </w:r>
    </w:p>
    <w:p>
      <w:pPr>
        <w:pStyle w:val="BodyText"/>
        <w:rPr>
          <w:sz w:val="18"/>
        </w:rPr>
      </w:pPr>
    </w:p>
    <w:p>
      <w:pPr>
        <w:pStyle w:val="ListParagraph"/>
        <w:numPr>
          <w:ilvl w:val="0"/>
          <w:numId w:val="63"/>
        </w:numPr>
        <w:tabs>
          <w:tab w:pos="1051" w:val="left" w:leader="none"/>
        </w:tabs>
        <w:spacing w:line="240" w:lineRule="auto" w:before="1" w:after="0"/>
        <w:ind w:left="1050" w:right="0" w:hanging="213"/>
        <w:jc w:val="left"/>
        <w:rPr>
          <w:sz w:val="21"/>
        </w:rPr>
      </w:pPr>
      <w:r>
        <w:rPr>
          <w:spacing w:val="-3"/>
          <w:sz w:val="21"/>
        </w:rPr>
        <w:t>污染物和医疗废弃物的处置办法；</w:t>
      </w:r>
      <w:r>
        <w:rPr>
          <w:sz w:val="21"/>
        </w:rPr>
        <w:t> </w:t>
      </w:r>
    </w:p>
    <w:p>
      <w:pPr>
        <w:pStyle w:val="BodyText"/>
        <w:spacing w:before="12"/>
        <w:rPr>
          <w:sz w:val="17"/>
        </w:rPr>
      </w:pPr>
    </w:p>
    <w:p>
      <w:pPr>
        <w:pStyle w:val="ListParagraph"/>
        <w:numPr>
          <w:ilvl w:val="0"/>
          <w:numId w:val="63"/>
        </w:numPr>
        <w:tabs>
          <w:tab w:pos="1051" w:val="left" w:leader="none"/>
        </w:tabs>
        <w:spacing w:line="240" w:lineRule="auto" w:before="0" w:after="0"/>
        <w:ind w:left="1050" w:right="0" w:hanging="213"/>
        <w:jc w:val="left"/>
        <w:rPr>
          <w:sz w:val="21"/>
        </w:rPr>
      </w:pPr>
      <w:r>
        <w:rPr>
          <w:spacing w:val="-3"/>
          <w:sz w:val="21"/>
        </w:rPr>
        <w:t>清洁和去污程序；</w:t>
      </w:r>
      <w:r>
        <w:rPr>
          <w:sz w:val="21"/>
        </w:rPr>
        <w:t> </w:t>
      </w:r>
    </w:p>
    <w:p>
      <w:pPr>
        <w:pStyle w:val="BodyText"/>
        <w:rPr>
          <w:sz w:val="18"/>
        </w:rPr>
      </w:pPr>
    </w:p>
    <w:p>
      <w:pPr>
        <w:pStyle w:val="ListParagraph"/>
        <w:numPr>
          <w:ilvl w:val="0"/>
          <w:numId w:val="63"/>
        </w:numPr>
        <w:tabs>
          <w:tab w:pos="1051" w:val="left" w:leader="none"/>
        </w:tabs>
        <w:spacing w:line="240" w:lineRule="auto" w:before="0" w:after="0"/>
        <w:ind w:left="1050" w:right="0" w:hanging="213"/>
        <w:jc w:val="left"/>
        <w:rPr>
          <w:sz w:val="21"/>
        </w:rPr>
      </w:pPr>
      <w:r>
        <w:rPr>
          <w:spacing w:val="-3"/>
          <w:sz w:val="21"/>
        </w:rPr>
        <w:t>暴露管理；</w:t>
      </w:r>
      <w:r>
        <w:rPr>
          <w:sz w:val="21"/>
        </w:rPr>
        <w:t> </w:t>
      </w:r>
    </w:p>
    <w:p>
      <w:pPr>
        <w:pStyle w:val="BodyText"/>
        <w:spacing w:before="2"/>
        <w:rPr>
          <w:sz w:val="18"/>
        </w:rPr>
      </w:pPr>
    </w:p>
    <w:p>
      <w:pPr>
        <w:pStyle w:val="ListParagraph"/>
        <w:numPr>
          <w:ilvl w:val="0"/>
          <w:numId w:val="63"/>
        </w:numPr>
        <w:tabs>
          <w:tab w:pos="1051" w:val="left" w:leader="none"/>
        </w:tabs>
        <w:spacing w:line="240" w:lineRule="auto" w:before="0" w:after="0"/>
        <w:ind w:left="1050" w:right="0" w:hanging="213"/>
        <w:jc w:val="left"/>
        <w:rPr>
          <w:sz w:val="21"/>
        </w:rPr>
      </w:pPr>
      <w:r>
        <w:rPr>
          <w:spacing w:val="-3"/>
          <w:sz w:val="21"/>
        </w:rPr>
        <w:t>主要传染病防治知识。 </w:t>
      </w:r>
    </w:p>
    <w:p>
      <w:pPr>
        <w:pStyle w:val="BodyText"/>
        <w:spacing w:before="12"/>
        <w:rPr>
          <w:sz w:val="17"/>
        </w:rPr>
      </w:pPr>
    </w:p>
    <w:p>
      <w:pPr>
        <w:pStyle w:val="ListParagraph"/>
        <w:numPr>
          <w:ilvl w:val="0"/>
          <w:numId w:val="62"/>
        </w:numPr>
        <w:tabs>
          <w:tab w:pos="1051" w:val="left" w:leader="none"/>
        </w:tabs>
        <w:spacing w:line="446" w:lineRule="auto" w:before="0" w:after="0"/>
        <w:ind w:left="838" w:right="3606" w:firstLine="0"/>
        <w:jc w:val="left"/>
        <w:rPr>
          <w:sz w:val="21"/>
        </w:rPr>
      </w:pPr>
      <w:r>
        <w:rPr>
          <w:spacing w:val="-2"/>
          <w:sz w:val="21"/>
        </w:rPr>
        <w:t>消防组织应对下列物品和场所定期或不定期进行清洁、消毒： </w:t>
      </w:r>
      <w:r>
        <w:rPr>
          <w:sz w:val="21"/>
        </w:rPr>
        <w:t>1) </w:t>
      </w:r>
      <w:r>
        <w:rPr>
          <w:spacing w:val="-3"/>
          <w:sz w:val="21"/>
        </w:rPr>
        <w:t>个人防护装备；</w:t>
      </w:r>
      <w:r>
        <w:rPr>
          <w:sz w:val="21"/>
        </w:rPr>
        <w:t> </w:t>
      </w:r>
    </w:p>
    <w:p>
      <w:pPr>
        <w:pStyle w:val="ListParagraph"/>
        <w:numPr>
          <w:ilvl w:val="0"/>
          <w:numId w:val="64"/>
        </w:numPr>
        <w:tabs>
          <w:tab w:pos="1051" w:val="left" w:leader="none"/>
        </w:tabs>
        <w:spacing w:line="240" w:lineRule="auto" w:before="0" w:after="0"/>
        <w:ind w:left="1050" w:right="0" w:hanging="213"/>
        <w:jc w:val="left"/>
        <w:rPr>
          <w:sz w:val="21"/>
        </w:rPr>
      </w:pPr>
      <w:r>
        <w:rPr>
          <w:spacing w:val="-3"/>
          <w:sz w:val="21"/>
        </w:rPr>
        <w:t>消防装备；</w:t>
      </w:r>
      <w:r>
        <w:rPr>
          <w:sz w:val="21"/>
        </w:rPr>
        <w:t> </w:t>
      </w:r>
    </w:p>
    <w:p>
      <w:pPr>
        <w:pStyle w:val="BodyText"/>
        <w:rPr>
          <w:sz w:val="18"/>
        </w:rPr>
      </w:pPr>
    </w:p>
    <w:p>
      <w:pPr>
        <w:pStyle w:val="ListParagraph"/>
        <w:numPr>
          <w:ilvl w:val="0"/>
          <w:numId w:val="64"/>
        </w:numPr>
        <w:tabs>
          <w:tab w:pos="1051" w:val="left" w:leader="none"/>
        </w:tabs>
        <w:spacing w:line="240" w:lineRule="auto" w:before="0" w:after="0"/>
        <w:ind w:left="1050" w:right="0" w:hanging="213"/>
        <w:jc w:val="left"/>
        <w:rPr>
          <w:sz w:val="21"/>
        </w:rPr>
      </w:pPr>
      <w:r>
        <w:rPr>
          <w:spacing w:val="-3"/>
          <w:sz w:val="21"/>
        </w:rPr>
        <w:t>工作制服；</w:t>
      </w:r>
      <w:r>
        <w:rPr>
          <w:sz w:val="21"/>
        </w:rPr>
        <w:t> </w:t>
      </w:r>
    </w:p>
    <w:p>
      <w:pPr>
        <w:pStyle w:val="BodyText"/>
        <w:spacing w:before="12"/>
        <w:rPr>
          <w:sz w:val="17"/>
        </w:rPr>
      </w:pPr>
    </w:p>
    <w:p>
      <w:pPr>
        <w:pStyle w:val="ListParagraph"/>
        <w:numPr>
          <w:ilvl w:val="0"/>
          <w:numId w:val="64"/>
        </w:numPr>
        <w:tabs>
          <w:tab w:pos="1051" w:val="left" w:leader="none"/>
        </w:tabs>
        <w:spacing w:line="240" w:lineRule="auto" w:before="0" w:after="0"/>
        <w:ind w:left="1050" w:right="0" w:hanging="213"/>
        <w:jc w:val="left"/>
        <w:rPr>
          <w:sz w:val="21"/>
        </w:rPr>
      </w:pPr>
      <w:r>
        <w:rPr>
          <w:spacing w:val="-3"/>
          <w:sz w:val="21"/>
        </w:rPr>
        <w:t>作为个人防护装备使用的其他衣物；</w:t>
      </w:r>
      <w:r>
        <w:rPr>
          <w:sz w:val="21"/>
        </w:rPr>
        <w:t> </w:t>
      </w:r>
    </w:p>
    <w:p>
      <w:pPr>
        <w:pStyle w:val="BodyText"/>
        <w:spacing w:before="2"/>
        <w:rPr>
          <w:sz w:val="18"/>
        </w:rPr>
      </w:pPr>
    </w:p>
    <w:p>
      <w:pPr>
        <w:pStyle w:val="ListParagraph"/>
        <w:numPr>
          <w:ilvl w:val="0"/>
          <w:numId w:val="64"/>
        </w:numPr>
        <w:tabs>
          <w:tab w:pos="1051" w:val="left" w:leader="none"/>
        </w:tabs>
        <w:spacing w:line="240" w:lineRule="auto" w:before="0" w:after="0"/>
        <w:ind w:left="1050" w:right="0" w:hanging="213"/>
        <w:jc w:val="left"/>
        <w:rPr>
          <w:sz w:val="21"/>
        </w:rPr>
      </w:pPr>
      <w:r>
        <w:rPr>
          <w:spacing w:val="-3"/>
          <w:sz w:val="21"/>
        </w:rPr>
        <w:t>紧急医疗设备；</w:t>
      </w:r>
      <w:r>
        <w:rPr>
          <w:sz w:val="21"/>
        </w:rPr>
        <w:t> </w:t>
      </w:r>
    </w:p>
    <w:p>
      <w:pPr>
        <w:pStyle w:val="BodyText"/>
        <w:rPr>
          <w:sz w:val="18"/>
        </w:rPr>
      </w:pPr>
    </w:p>
    <w:p>
      <w:pPr>
        <w:pStyle w:val="ListParagraph"/>
        <w:numPr>
          <w:ilvl w:val="0"/>
          <w:numId w:val="64"/>
        </w:numPr>
        <w:tabs>
          <w:tab w:pos="1051" w:val="left" w:leader="none"/>
        </w:tabs>
        <w:spacing w:line="240" w:lineRule="auto" w:before="0" w:after="0"/>
        <w:ind w:left="1050" w:right="0" w:hanging="213"/>
        <w:jc w:val="left"/>
        <w:rPr>
          <w:sz w:val="21"/>
        </w:rPr>
      </w:pPr>
      <w:r>
        <w:rPr>
          <w:spacing w:val="-3"/>
          <w:sz w:val="21"/>
        </w:rPr>
        <w:t>厕所、盥洗室、卫生室、餐厅、浴室、备勤室、车库等场所。</w:t>
      </w:r>
      <w:r>
        <w:rPr>
          <w:sz w:val="21"/>
        </w:rPr>
        <w:t> </w:t>
      </w:r>
    </w:p>
    <w:p>
      <w:pPr>
        <w:spacing w:after="0" w:line="240" w:lineRule="auto"/>
        <w:jc w:val="left"/>
        <w:rPr>
          <w:sz w:val="21"/>
        </w:rPr>
        <w:sectPr>
          <w:pgSz w:w="11910" w:h="16850"/>
          <w:pgMar w:header="0" w:footer="1239" w:top="1180" w:bottom="1420" w:left="1260" w:right="0"/>
        </w:sectPr>
      </w:pPr>
    </w:p>
    <w:p>
      <w:pPr>
        <w:pStyle w:val="ListParagraph"/>
        <w:numPr>
          <w:ilvl w:val="0"/>
          <w:numId w:val="62"/>
        </w:numPr>
        <w:tabs>
          <w:tab w:pos="1051" w:val="left" w:leader="none"/>
        </w:tabs>
        <w:spacing w:line="446" w:lineRule="auto" w:before="47" w:after="0"/>
        <w:ind w:left="838" w:right="5497" w:firstLine="0"/>
        <w:jc w:val="left"/>
        <w:rPr>
          <w:sz w:val="21"/>
        </w:rPr>
      </w:pPr>
      <w:r>
        <w:rPr>
          <w:spacing w:val="-2"/>
          <w:sz w:val="21"/>
        </w:rPr>
        <w:t>应定期对消防员进行传染病筛查和免疫： </w:t>
      </w:r>
      <w:r>
        <w:rPr>
          <w:sz w:val="21"/>
        </w:rPr>
        <w:t>1) </w:t>
      </w:r>
      <w:r>
        <w:rPr>
          <w:spacing w:val="-3"/>
          <w:sz w:val="21"/>
        </w:rPr>
        <w:t>结核病筛检</w:t>
      </w:r>
      <w:r>
        <w:rPr>
          <w:sz w:val="21"/>
        </w:rPr>
        <w:t>（</w:t>
      </w:r>
      <w:r>
        <w:rPr>
          <w:spacing w:val="-3"/>
          <w:sz w:val="21"/>
        </w:rPr>
        <w:t>每年一次或多次)；</w:t>
      </w:r>
      <w:r>
        <w:rPr>
          <w:sz w:val="21"/>
        </w:rPr>
        <w:t> </w:t>
      </w:r>
    </w:p>
    <w:p>
      <w:pPr>
        <w:pStyle w:val="ListParagraph"/>
        <w:numPr>
          <w:ilvl w:val="0"/>
          <w:numId w:val="65"/>
        </w:numPr>
        <w:tabs>
          <w:tab w:pos="1051" w:val="left" w:leader="none"/>
        </w:tabs>
        <w:spacing w:line="267" w:lineRule="exact" w:before="0" w:after="0"/>
        <w:ind w:left="1050" w:right="0" w:hanging="213"/>
        <w:jc w:val="left"/>
        <w:rPr>
          <w:sz w:val="21"/>
        </w:rPr>
      </w:pPr>
      <w:r>
        <w:rPr>
          <w:spacing w:val="-3"/>
          <w:sz w:val="21"/>
        </w:rPr>
        <w:t>丙型肝炎病毒筛检（基线和职业性暴露后</w:t>
      </w:r>
      <w:r>
        <w:rPr>
          <w:sz w:val="21"/>
        </w:rPr>
        <w:t>）； </w:t>
      </w:r>
    </w:p>
    <w:p>
      <w:pPr>
        <w:pStyle w:val="BodyText"/>
        <w:spacing w:before="2"/>
        <w:rPr>
          <w:sz w:val="18"/>
        </w:rPr>
      </w:pPr>
    </w:p>
    <w:p>
      <w:pPr>
        <w:pStyle w:val="ListParagraph"/>
        <w:numPr>
          <w:ilvl w:val="0"/>
          <w:numId w:val="65"/>
        </w:numPr>
        <w:tabs>
          <w:tab w:pos="1051" w:val="left" w:leader="none"/>
        </w:tabs>
        <w:spacing w:line="240" w:lineRule="auto" w:before="0" w:after="0"/>
        <w:ind w:left="1050" w:right="0" w:hanging="213"/>
        <w:jc w:val="left"/>
        <w:rPr>
          <w:sz w:val="21"/>
        </w:rPr>
      </w:pPr>
      <w:r>
        <w:rPr>
          <w:spacing w:val="-3"/>
          <w:sz w:val="21"/>
        </w:rPr>
        <w:t>乙型肝炎病毒筛检，并提供乙肝疫苗；</w:t>
      </w:r>
      <w:r>
        <w:rPr>
          <w:sz w:val="21"/>
        </w:rPr>
        <w:t> </w:t>
      </w:r>
    </w:p>
    <w:p>
      <w:pPr>
        <w:pStyle w:val="BodyText"/>
        <w:rPr>
          <w:sz w:val="18"/>
        </w:rPr>
      </w:pPr>
    </w:p>
    <w:p>
      <w:pPr>
        <w:pStyle w:val="ListParagraph"/>
        <w:numPr>
          <w:ilvl w:val="0"/>
          <w:numId w:val="65"/>
        </w:numPr>
        <w:tabs>
          <w:tab w:pos="1051" w:val="left" w:leader="none"/>
        </w:tabs>
        <w:spacing w:line="240" w:lineRule="auto" w:before="0" w:after="0"/>
        <w:ind w:left="1050" w:right="0" w:hanging="213"/>
        <w:jc w:val="left"/>
        <w:rPr>
          <w:sz w:val="21"/>
        </w:rPr>
      </w:pPr>
      <w:r>
        <w:rPr>
          <w:spacing w:val="-3"/>
          <w:sz w:val="21"/>
        </w:rPr>
        <w:t>破伤风</w:t>
      </w:r>
      <w:r>
        <w:rPr>
          <w:sz w:val="21"/>
        </w:rPr>
        <w:t>/</w:t>
      </w:r>
      <w:r>
        <w:rPr>
          <w:spacing w:val="-3"/>
          <w:sz w:val="21"/>
        </w:rPr>
        <w:t>白喉疫苗（</w:t>
      </w:r>
      <w:r>
        <w:rPr>
          <w:spacing w:val="-26"/>
          <w:sz w:val="21"/>
        </w:rPr>
        <w:t>每 </w:t>
      </w:r>
      <w:r>
        <w:rPr>
          <w:sz w:val="21"/>
        </w:rPr>
        <w:t>10</w:t>
      </w:r>
      <w:r>
        <w:rPr>
          <w:spacing w:val="-9"/>
          <w:sz w:val="21"/>
        </w:rPr>
        <w:t> 年加强一针)； </w:t>
      </w:r>
    </w:p>
    <w:p>
      <w:pPr>
        <w:pStyle w:val="BodyText"/>
        <w:spacing w:before="12"/>
        <w:rPr>
          <w:sz w:val="17"/>
        </w:rPr>
      </w:pPr>
    </w:p>
    <w:p>
      <w:pPr>
        <w:pStyle w:val="ListParagraph"/>
        <w:numPr>
          <w:ilvl w:val="0"/>
          <w:numId w:val="65"/>
        </w:numPr>
        <w:tabs>
          <w:tab w:pos="1051" w:val="left" w:leader="none"/>
        </w:tabs>
        <w:spacing w:line="240" w:lineRule="auto" w:before="0" w:after="0"/>
        <w:ind w:left="1050" w:right="0" w:hanging="213"/>
        <w:jc w:val="left"/>
        <w:rPr>
          <w:sz w:val="21"/>
        </w:rPr>
      </w:pPr>
      <w:r>
        <w:rPr>
          <w:spacing w:val="-3"/>
          <w:sz w:val="21"/>
        </w:rPr>
        <w:t>麻疹、腮腺炎、风疹疫苗；</w:t>
      </w:r>
      <w:r>
        <w:rPr>
          <w:sz w:val="21"/>
        </w:rPr>
        <w:t> </w:t>
      </w:r>
    </w:p>
    <w:p>
      <w:pPr>
        <w:pStyle w:val="BodyText"/>
        <w:spacing w:before="2"/>
        <w:rPr>
          <w:sz w:val="18"/>
        </w:rPr>
      </w:pPr>
    </w:p>
    <w:p>
      <w:pPr>
        <w:pStyle w:val="ListParagraph"/>
        <w:numPr>
          <w:ilvl w:val="0"/>
          <w:numId w:val="65"/>
        </w:numPr>
        <w:tabs>
          <w:tab w:pos="1051" w:val="left" w:leader="none"/>
        </w:tabs>
        <w:spacing w:line="240" w:lineRule="auto" w:before="0" w:after="0"/>
        <w:ind w:left="1050" w:right="0" w:hanging="213"/>
        <w:jc w:val="left"/>
        <w:rPr>
          <w:sz w:val="21"/>
        </w:rPr>
      </w:pPr>
      <w:r>
        <w:rPr>
          <w:spacing w:val="-3"/>
          <w:sz w:val="21"/>
        </w:rPr>
        <w:t>甲型肝炎疫苗：疫苗应提供给高危人群；</w:t>
      </w:r>
      <w:r>
        <w:rPr>
          <w:sz w:val="21"/>
        </w:rPr>
        <w:t> </w:t>
      </w:r>
    </w:p>
    <w:p>
      <w:pPr>
        <w:pStyle w:val="BodyText"/>
        <w:rPr>
          <w:sz w:val="18"/>
        </w:rPr>
      </w:pPr>
    </w:p>
    <w:p>
      <w:pPr>
        <w:pStyle w:val="ListParagraph"/>
        <w:numPr>
          <w:ilvl w:val="0"/>
          <w:numId w:val="65"/>
        </w:numPr>
        <w:tabs>
          <w:tab w:pos="1051" w:val="left" w:leader="none"/>
        </w:tabs>
        <w:spacing w:line="240" w:lineRule="auto" w:before="0" w:after="0"/>
        <w:ind w:left="1050" w:right="0" w:hanging="213"/>
        <w:jc w:val="left"/>
        <w:rPr>
          <w:sz w:val="21"/>
        </w:rPr>
      </w:pPr>
      <w:r>
        <w:rPr>
          <w:spacing w:val="-3"/>
          <w:sz w:val="21"/>
        </w:rPr>
        <w:t>水痘疫苗：该疫苗应提供给所有未免疫的消防员；</w:t>
      </w:r>
      <w:r>
        <w:rPr>
          <w:sz w:val="21"/>
        </w:rPr>
        <w:t> </w:t>
      </w:r>
    </w:p>
    <w:p>
      <w:pPr>
        <w:pStyle w:val="BodyText"/>
        <w:spacing w:before="12"/>
        <w:rPr>
          <w:sz w:val="17"/>
        </w:rPr>
      </w:pPr>
    </w:p>
    <w:p>
      <w:pPr>
        <w:pStyle w:val="ListParagraph"/>
        <w:numPr>
          <w:ilvl w:val="0"/>
          <w:numId w:val="65"/>
        </w:numPr>
        <w:tabs>
          <w:tab w:pos="1051" w:val="left" w:leader="none"/>
        </w:tabs>
        <w:spacing w:line="446" w:lineRule="auto" w:before="0" w:after="0"/>
        <w:ind w:left="840" w:right="2134" w:hanging="3"/>
        <w:jc w:val="left"/>
        <w:rPr>
          <w:b/>
          <w:sz w:val="21"/>
        </w:rPr>
      </w:pPr>
      <w:r>
        <w:rPr>
          <w:spacing w:val="-5"/>
          <w:sz w:val="21"/>
        </w:rPr>
        <w:t>艾滋病病毒筛检：应为所有消防员提供 </w:t>
      </w:r>
      <w:r>
        <w:rPr>
          <w:sz w:val="21"/>
        </w:rPr>
        <w:t>HIV</w:t>
      </w:r>
      <w:r>
        <w:rPr>
          <w:spacing w:val="-6"/>
          <w:sz w:val="21"/>
        </w:rPr>
        <w:t> 检测，但应建立在保密的基础上。</w:t>
      </w:r>
      <w:r>
        <w:rPr>
          <w:b/>
          <w:sz w:val="21"/>
        </w:rPr>
        <w:t>C.3 </w:t>
      </w:r>
      <w:r>
        <w:rPr>
          <w:spacing w:val="-3"/>
          <w:sz w:val="21"/>
        </w:rPr>
        <w:t>慢性非传染性疾病的预防控制</w:t>
      </w:r>
      <w:r>
        <w:rPr>
          <w:b/>
          <w:w w:val="99"/>
          <w:sz w:val="21"/>
        </w:rPr>
        <w:t> </w:t>
      </w:r>
    </w:p>
    <w:p>
      <w:pPr>
        <w:pStyle w:val="BodyText"/>
        <w:spacing w:line="446" w:lineRule="auto"/>
        <w:ind w:left="418" w:right="1609" w:firstLine="419"/>
      </w:pPr>
      <w:r>
        <w:rPr/>
        <w:t>消防组织应对消防员开展健康教育，如戒烟、限酒、合理营养，促进消防员健康行为的形成，预防和控制慢性非传染病的发生。 </w:t>
      </w:r>
    </w:p>
    <w:p>
      <w:pPr>
        <w:spacing w:before="0"/>
        <w:ind w:left="840" w:right="0" w:firstLine="0"/>
        <w:jc w:val="left"/>
        <w:rPr>
          <w:sz w:val="21"/>
        </w:rPr>
      </w:pPr>
      <w:r>
        <w:rPr>
          <w:b/>
          <w:sz w:val="21"/>
        </w:rPr>
        <w:t>C.4 </w:t>
      </w:r>
      <w:r>
        <w:rPr>
          <w:sz w:val="21"/>
        </w:rPr>
        <w:t>心理与精神疾病的预防控制 </w:t>
      </w:r>
    </w:p>
    <w:p>
      <w:pPr>
        <w:pStyle w:val="BodyText"/>
        <w:spacing w:line="350" w:lineRule="auto" w:before="164"/>
        <w:ind w:left="418" w:right="1505" w:firstLine="419"/>
      </w:pPr>
      <w:r>
        <w:rPr>
          <w:spacing w:val="-5"/>
        </w:rPr>
        <w:t>省级消防组织应设立心理咨询服务机构，配备 </w:t>
      </w:r>
      <w:r>
        <w:rPr/>
        <w:t>1</w:t>
      </w:r>
      <w:r>
        <w:rPr>
          <w:rFonts w:ascii="微软雅黑" w:eastAsia="微软雅黑" w:hint="eastAsia"/>
          <w:spacing w:val="-3"/>
        </w:rPr>
        <w:t>〜</w:t>
      </w:r>
      <w:r>
        <w:rPr/>
        <w:t>2</w:t>
      </w:r>
      <w:r>
        <w:rPr>
          <w:spacing w:val="-7"/>
        </w:rPr>
        <w:t> 名二级以上专</w:t>
      </w:r>
      <w:r>
        <w:rPr>
          <w:spacing w:val="-3"/>
        </w:rPr>
        <w:t>（</w:t>
      </w:r>
      <w:r>
        <w:rPr/>
        <w:t>兼</w:t>
      </w:r>
      <w:r>
        <w:rPr>
          <w:spacing w:val="-3"/>
        </w:rPr>
        <w:t>）职心理咨询师，每年对消防员进行心理测评、心理训练，并接受消防员心理咨询。对已有心理问题的消防员应进</w:t>
      </w:r>
    </w:p>
    <w:p>
      <w:pPr>
        <w:pStyle w:val="BodyText"/>
        <w:spacing w:line="446" w:lineRule="auto" w:before="110"/>
        <w:ind w:left="418" w:right="1608"/>
      </w:pPr>
      <w:r>
        <w:rPr/>
        <w:t>行心理疏导和诊治。基层消防组织应定期对消防员进行心理健康知识普及，并提供心理咨询和治疗服务。 </w:t>
      </w:r>
    </w:p>
    <w:p>
      <w:pPr>
        <w:spacing w:line="267" w:lineRule="exact" w:before="0"/>
        <w:ind w:left="840" w:right="0" w:firstLine="0"/>
        <w:jc w:val="left"/>
        <w:rPr>
          <w:sz w:val="21"/>
        </w:rPr>
      </w:pPr>
      <w:r>
        <w:rPr>
          <w:b/>
          <w:sz w:val="21"/>
        </w:rPr>
        <w:t>C.5 </w:t>
      </w:r>
      <w:r>
        <w:rPr>
          <w:sz w:val="21"/>
        </w:rPr>
        <w:t>休假及疗养 </w:t>
      </w:r>
    </w:p>
    <w:p>
      <w:pPr>
        <w:pStyle w:val="BodyText"/>
        <w:spacing w:before="1"/>
        <w:rPr>
          <w:sz w:val="18"/>
        </w:rPr>
      </w:pPr>
    </w:p>
    <w:p>
      <w:pPr>
        <w:pStyle w:val="ListParagraph"/>
        <w:numPr>
          <w:ilvl w:val="0"/>
          <w:numId w:val="66"/>
        </w:numPr>
        <w:tabs>
          <w:tab w:pos="1051" w:val="left" w:leader="none"/>
        </w:tabs>
        <w:spacing w:line="446" w:lineRule="auto" w:before="0" w:after="0"/>
        <w:ind w:left="418" w:right="1609" w:firstLine="419"/>
        <w:jc w:val="left"/>
        <w:rPr>
          <w:sz w:val="21"/>
        </w:rPr>
      </w:pPr>
      <w:r>
        <w:rPr>
          <w:spacing w:val="-3"/>
          <w:sz w:val="21"/>
        </w:rPr>
        <w:t>消防组织应按国家有关规定安排消防员休假，上级消防组织应监督下级消防组织严格执行休假制度；</w:t>
      </w:r>
      <w:r>
        <w:rPr>
          <w:sz w:val="21"/>
        </w:rPr>
        <w:t> </w:t>
      </w:r>
    </w:p>
    <w:p>
      <w:pPr>
        <w:pStyle w:val="ListParagraph"/>
        <w:numPr>
          <w:ilvl w:val="0"/>
          <w:numId w:val="66"/>
        </w:numPr>
        <w:tabs>
          <w:tab w:pos="1051" w:val="left" w:leader="none"/>
        </w:tabs>
        <w:spacing w:line="446" w:lineRule="auto" w:before="0" w:after="0"/>
        <w:ind w:left="418" w:right="1609" w:firstLine="419"/>
        <w:jc w:val="left"/>
        <w:rPr>
          <w:sz w:val="21"/>
        </w:rPr>
      </w:pPr>
      <w:r>
        <w:rPr>
          <w:spacing w:val="-3"/>
          <w:sz w:val="21"/>
        </w:rPr>
        <w:t>对接触职业危害因素后导致身体受到严重损伤的消防员在医疗终结后，消防组织应给予20</w:t>
      </w:r>
      <w:r>
        <w:rPr>
          <w:spacing w:val="-10"/>
          <w:sz w:val="21"/>
        </w:rPr>
        <w:t> 天以上的疗养；</w:t>
      </w:r>
      <w:r>
        <w:rPr>
          <w:sz w:val="21"/>
        </w:rPr>
        <w:t> </w:t>
      </w:r>
    </w:p>
    <w:p>
      <w:pPr>
        <w:pStyle w:val="ListParagraph"/>
        <w:numPr>
          <w:ilvl w:val="0"/>
          <w:numId w:val="66"/>
        </w:numPr>
        <w:tabs>
          <w:tab w:pos="1051" w:val="left" w:leader="none"/>
        </w:tabs>
        <w:spacing w:line="240" w:lineRule="auto" w:before="0" w:after="0"/>
        <w:ind w:left="1050" w:right="0" w:hanging="213"/>
        <w:jc w:val="left"/>
        <w:rPr>
          <w:sz w:val="21"/>
        </w:rPr>
      </w:pPr>
      <w:r>
        <w:rPr>
          <w:spacing w:val="-3"/>
          <w:sz w:val="21"/>
        </w:rPr>
        <w:t>消防组织应安排确诊患有心理性疾病的消防员接受治疗或疗养。</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spacing w:before="47"/>
        <w:ind w:left="3298"/>
      </w:pPr>
      <w:r>
        <w:rPr>
          <w:w w:val="100"/>
        </w:rPr>
        <w:t> </w:t>
      </w:r>
    </w:p>
    <w:p>
      <w:pPr>
        <w:spacing w:after="0"/>
        <w:sectPr>
          <w:pgSz w:w="11910" w:h="16850"/>
          <w:pgMar w:header="0" w:footer="1239" w:top="1220" w:bottom="1420" w:left="1260" w:right="0"/>
        </w:sectPr>
      </w:pPr>
    </w:p>
    <w:p>
      <w:pPr>
        <w:pStyle w:val="Heading4"/>
        <w:spacing w:before="55"/>
        <w:ind w:left="2614"/>
      </w:pPr>
      <w:r>
        <w:rPr/>
        <w:t>附录 D（资料性附录） 职业健康评估内容</w:t>
      </w:r>
      <w:r>
        <w:rPr>
          <w:w w:val="99"/>
        </w:rPr>
        <w:t> </w:t>
      </w:r>
    </w:p>
    <w:p>
      <w:pPr>
        <w:pStyle w:val="BodyText"/>
        <w:rPr>
          <w:b/>
          <w:sz w:val="24"/>
        </w:rPr>
      </w:pPr>
    </w:p>
    <w:p>
      <w:pPr>
        <w:pStyle w:val="BodyText"/>
        <w:spacing w:line="446" w:lineRule="auto" w:before="176"/>
        <w:ind w:left="840" w:right="4657" w:hanging="3"/>
        <w:rPr>
          <w:b/>
        </w:rPr>
      </w:pPr>
      <w:r>
        <w:rPr/>
        <w:t>职业健康评估按评估内容可分为定期评估和事故评估。</w:t>
      </w:r>
      <w:r>
        <w:rPr>
          <w:b/>
        </w:rPr>
        <w:t>D.1 </w:t>
      </w:r>
      <w:r>
        <w:rPr/>
        <w:t>定期评估</w:t>
      </w:r>
      <w:r>
        <w:rPr>
          <w:b/>
          <w:w w:val="99"/>
        </w:rPr>
        <w:t> </w:t>
      </w:r>
    </w:p>
    <w:p>
      <w:pPr>
        <w:pStyle w:val="ListParagraph"/>
        <w:numPr>
          <w:ilvl w:val="2"/>
          <w:numId w:val="67"/>
        </w:numPr>
        <w:tabs>
          <w:tab w:pos="1371" w:val="left" w:leader="none"/>
        </w:tabs>
        <w:spacing w:line="446" w:lineRule="auto" w:before="0" w:after="0"/>
        <w:ind w:left="418" w:right="1604" w:firstLine="422"/>
        <w:jc w:val="left"/>
        <w:rPr>
          <w:sz w:val="21"/>
        </w:rPr>
      </w:pPr>
      <w:r>
        <w:rPr>
          <w:spacing w:val="-3"/>
          <w:sz w:val="21"/>
        </w:rPr>
        <w:t>消防组织应定期对职业健康管理状况进行评估，以保证有关职业健康的各项工作的质量控制在单位条件所能达到的最佳质量水平。</w:t>
      </w:r>
      <w:r>
        <w:rPr>
          <w:sz w:val="21"/>
        </w:rPr>
        <w:t> </w:t>
      </w:r>
    </w:p>
    <w:p>
      <w:pPr>
        <w:pStyle w:val="ListParagraph"/>
        <w:numPr>
          <w:ilvl w:val="2"/>
          <w:numId w:val="67"/>
        </w:numPr>
        <w:tabs>
          <w:tab w:pos="1370" w:val="left" w:leader="none"/>
        </w:tabs>
        <w:spacing w:line="446" w:lineRule="auto" w:before="0" w:after="0"/>
        <w:ind w:left="840" w:right="1604" w:firstLine="0"/>
        <w:jc w:val="left"/>
        <w:rPr>
          <w:sz w:val="21"/>
        </w:rPr>
      </w:pPr>
      <w:r>
        <w:rPr>
          <w:spacing w:val="-3"/>
          <w:sz w:val="21"/>
        </w:rPr>
        <w:t>定期评估工作应委托依法取得省级以上职业卫生技术服务资质的专业机构进行。</w:t>
      </w:r>
      <w:r>
        <w:rPr>
          <w:b/>
          <w:sz w:val="21"/>
        </w:rPr>
        <w:t>D.1.3</w:t>
      </w:r>
      <w:r>
        <w:rPr>
          <w:b/>
          <w:spacing w:val="37"/>
          <w:sz w:val="21"/>
        </w:rPr>
        <w:t> </w:t>
      </w:r>
      <w:r>
        <w:rPr>
          <w:spacing w:val="-3"/>
          <w:sz w:val="21"/>
        </w:rPr>
        <w:t>消防组织每年应在最高管理者组织下，由经培训、考核合格的本组织医务人员参考</w:t>
      </w:r>
    </w:p>
    <w:p>
      <w:pPr>
        <w:pStyle w:val="BodyText"/>
        <w:spacing w:line="446" w:lineRule="auto"/>
        <w:ind w:left="418" w:right="1608"/>
      </w:pPr>
      <w:r>
        <w:rPr/>
        <w:t>定期评估的内容进行管理评估。管理评估应针对消防组织在职业健康管理方面存在的主要问题提出持续改进的建议。 </w:t>
      </w:r>
    </w:p>
    <w:p>
      <w:pPr>
        <w:pStyle w:val="ListParagraph"/>
        <w:numPr>
          <w:ilvl w:val="2"/>
          <w:numId w:val="68"/>
        </w:numPr>
        <w:tabs>
          <w:tab w:pos="1371" w:val="left" w:leader="none"/>
        </w:tabs>
        <w:spacing w:line="240" w:lineRule="auto" w:before="0" w:after="0"/>
        <w:ind w:left="1370" w:right="0" w:hanging="531"/>
        <w:jc w:val="left"/>
        <w:rPr>
          <w:sz w:val="21"/>
        </w:rPr>
      </w:pPr>
      <w:r>
        <w:rPr>
          <w:spacing w:val="-3"/>
          <w:sz w:val="21"/>
        </w:rPr>
        <w:t>定期评估至少应包括以下内容：</w:t>
      </w:r>
      <w:r>
        <w:rPr>
          <w:sz w:val="21"/>
        </w:rPr>
        <w:t> </w:t>
      </w:r>
    </w:p>
    <w:p>
      <w:pPr>
        <w:pStyle w:val="BodyText"/>
        <w:spacing w:before="10"/>
        <w:rPr>
          <w:sz w:val="17"/>
        </w:rPr>
      </w:pPr>
    </w:p>
    <w:p>
      <w:pPr>
        <w:pStyle w:val="ListParagraph"/>
        <w:numPr>
          <w:ilvl w:val="0"/>
          <w:numId w:val="69"/>
        </w:numPr>
        <w:tabs>
          <w:tab w:pos="1051" w:val="left" w:leader="none"/>
        </w:tabs>
        <w:spacing w:line="240" w:lineRule="auto" w:before="0" w:after="0"/>
        <w:ind w:left="1050" w:right="0" w:hanging="213"/>
        <w:jc w:val="left"/>
        <w:rPr>
          <w:sz w:val="21"/>
        </w:rPr>
      </w:pPr>
      <w:r>
        <w:rPr>
          <w:spacing w:val="-3"/>
          <w:sz w:val="21"/>
        </w:rPr>
        <w:t>组织概况：名称、地点、人数、主要工作任务等；</w:t>
      </w:r>
      <w:r>
        <w:rPr>
          <w:sz w:val="21"/>
        </w:rPr>
        <w:t> </w:t>
      </w:r>
    </w:p>
    <w:p>
      <w:pPr>
        <w:pStyle w:val="BodyText"/>
        <w:spacing w:before="2"/>
        <w:rPr>
          <w:sz w:val="18"/>
        </w:rPr>
      </w:pPr>
    </w:p>
    <w:p>
      <w:pPr>
        <w:pStyle w:val="ListParagraph"/>
        <w:numPr>
          <w:ilvl w:val="0"/>
          <w:numId w:val="69"/>
        </w:numPr>
        <w:tabs>
          <w:tab w:pos="1051" w:val="left" w:leader="none"/>
        </w:tabs>
        <w:spacing w:line="240" w:lineRule="auto" w:before="0" w:after="0"/>
        <w:ind w:left="1050" w:right="0" w:hanging="213"/>
        <w:jc w:val="left"/>
        <w:rPr>
          <w:sz w:val="21"/>
        </w:rPr>
      </w:pPr>
      <w:r>
        <w:rPr>
          <w:spacing w:val="-3"/>
          <w:sz w:val="21"/>
        </w:rPr>
        <w:t>总体布局调查与分析</w:t>
      </w:r>
      <w:r>
        <w:rPr>
          <w:sz w:val="21"/>
        </w:rPr>
        <w:t>（</w:t>
      </w:r>
      <w:r>
        <w:rPr>
          <w:spacing w:val="-3"/>
          <w:sz w:val="21"/>
        </w:rPr>
        <w:t>适用于首次评估)；</w:t>
      </w:r>
      <w:r>
        <w:rPr>
          <w:sz w:val="21"/>
        </w:rPr>
        <w:t> </w:t>
      </w:r>
    </w:p>
    <w:p>
      <w:pPr>
        <w:pStyle w:val="BodyText"/>
        <w:spacing w:before="12"/>
        <w:rPr>
          <w:sz w:val="17"/>
        </w:rPr>
      </w:pPr>
    </w:p>
    <w:p>
      <w:pPr>
        <w:pStyle w:val="ListParagraph"/>
        <w:numPr>
          <w:ilvl w:val="0"/>
          <w:numId w:val="69"/>
        </w:numPr>
        <w:tabs>
          <w:tab w:pos="1051" w:val="left" w:leader="none"/>
        </w:tabs>
        <w:spacing w:line="240" w:lineRule="auto" w:before="0" w:after="0"/>
        <w:ind w:left="1050" w:right="0" w:hanging="213"/>
        <w:jc w:val="left"/>
        <w:rPr>
          <w:sz w:val="21"/>
        </w:rPr>
      </w:pPr>
      <w:r>
        <w:rPr>
          <w:spacing w:val="-3"/>
          <w:sz w:val="21"/>
        </w:rPr>
        <w:t>可能接触的职业危害因素调查与分析；</w:t>
      </w:r>
      <w:r>
        <w:rPr>
          <w:sz w:val="21"/>
        </w:rPr>
        <w:t> </w:t>
      </w:r>
    </w:p>
    <w:p>
      <w:pPr>
        <w:pStyle w:val="BodyText"/>
        <w:rPr>
          <w:sz w:val="18"/>
        </w:rPr>
      </w:pPr>
    </w:p>
    <w:p>
      <w:pPr>
        <w:pStyle w:val="ListParagraph"/>
        <w:numPr>
          <w:ilvl w:val="0"/>
          <w:numId w:val="69"/>
        </w:numPr>
        <w:tabs>
          <w:tab w:pos="1051" w:val="left" w:leader="none"/>
        </w:tabs>
        <w:spacing w:line="240" w:lineRule="auto" w:before="0" w:after="0"/>
        <w:ind w:left="1050" w:right="0" w:hanging="213"/>
        <w:jc w:val="left"/>
        <w:rPr>
          <w:sz w:val="21"/>
        </w:rPr>
      </w:pPr>
      <w:r>
        <w:rPr>
          <w:spacing w:val="-3"/>
          <w:sz w:val="21"/>
        </w:rPr>
        <w:t>职业危害防护装备的调查与分析；</w:t>
      </w:r>
      <w:r>
        <w:rPr>
          <w:sz w:val="21"/>
        </w:rPr>
        <w:t> </w:t>
      </w:r>
    </w:p>
    <w:p>
      <w:pPr>
        <w:pStyle w:val="BodyText"/>
        <w:spacing w:before="2"/>
        <w:rPr>
          <w:sz w:val="18"/>
        </w:rPr>
      </w:pPr>
    </w:p>
    <w:p>
      <w:pPr>
        <w:pStyle w:val="ListParagraph"/>
        <w:numPr>
          <w:ilvl w:val="0"/>
          <w:numId w:val="69"/>
        </w:numPr>
        <w:tabs>
          <w:tab w:pos="1051" w:val="left" w:leader="none"/>
        </w:tabs>
        <w:spacing w:line="240" w:lineRule="auto" w:before="0" w:after="0"/>
        <w:ind w:left="1050" w:right="0" w:hanging="213"/>
        <w:jc w:val="both"/>
        <w:rPr>
          <w:sz w:val="21"/>
        </w:rPr>
      </w:pPr>
      <w:r>
        <w:rPr>
          <w:spacing w:val="-3"/>
          <w:sz w:val="21"/>
        </w:rPr>
        <w:t>建筑卫生学及辅助用室调查与分析；</w:t>
      </w:r>
      <w:r>
        <w:rPr>
          <w:sz w:val="21"/>
        </w:rPr>
        <w:t> </w:t>
      </w:r>
    </w:p>
    <w:p>
      <w:pPr>
        <w:pStyle w:val="BodyText"/>
        <w:rPr>
          <w:sz w:val="18"/>
        </w:rPr>
      </w:pPr>
    </w:p>
    <w:p>
      <w:pPr>
        <w:pStyle w:val="ListParagraph"/>
        <w:numPr>
          <w:ilvl w:val="0"/>
          <w:numId w:val="69"/>
        </w:numPr>
        <w:tabs>
          <w:tab w:pos="1051" w:val="left" w:leader="none"/>
        </w:tabs>
        <w:spacing w:line="446" w:lineRule="auto" w:before="0" w:after="0"/>
        <w:ind w:left="418" w:right="1608" w:firstLine="419"/>
        <w:jc w:val="both"/>
        <w:rPr>
          <w:sz w:val="21"/>
        </w:rPr>
      </w:pPr>
      <w:r>
        <w:rPr>
          <w:spacing w:val="-3"/>
          <w:sz w:val="21"/>
        </w:rPr>
        <w:t>职业健康管理情况调查与分析：组织机构及人员；职业病防治规划、实施方案及执行情况；职业健康管理制度与操作规程及执行情况；职业危害因素暴露情况；职业危害的告知情况；职业健康培训情况；职业健康监护制度；职业危害事故应急救援预案、设施及演练情况；职业健康档案管理；职业危害防治经费落实情况；</w:t>
      </w:r>
      <w:r>
        <w:rPr>
          <w:sz w:val="21"/>
        </w:rPr>
        <w:t> </w:t>
      </w:r>
    </w:p>
    <w:p>
      <w:pPr>
        <w:pStyle w:val="ListParagraph"/>
        <w:numPr>
          <w:ilvl w:val="0"/>
          <w:numId w:val="69"/>
        </w:numPr>
        <w:tabs>
          <w:tab w:pos="1051" w:val="left" w:leader="none"/>
        </w:tabs>
        <w:spacing w:line="446" w:lineRule="auto" w:before="0" w:after="0"/>
        <w:ind w:left="418" w:right="1609" w:firstLine="419"/>
        <w:jc w:val="both"/>
        <w:rPr>
          <w:sz w:val="21"/>
        </w:rPr>
      </w:pPr>
      <w:r>
        <w:rPr>
          <w:spacing w:val="-3"/>
          <w:sz w:val="21"/>
        </w:rPr>
        <w:t>职业健康监护情况分析：职业健康监护管理情况；职业健康检查结果；职业禁忌证、疑似职业病和职业病病人的处置。</w:t>
      </w:r>
      <w:r>
        <w:rPr>
          <w:sz w:val="21"/>
        </w:rPr>
        <w:t> </w:t>
      </w:r>
    </w:p>
    <w:p>
      <w:pPr>
        <w:pStyle w:val="ListParagraph"/>
        <w:numPr>
          <w:ilvl w:val="2"/>
          <w:numId w:val="68"/>
        </w:numPr>
        <w:tabs>
          <w:tab w:pos="1371" w:val="left" w:leader="none"/>
        </w:tabs>
        <w:spacing w:line="446" w:lineRule="auto" w:before="0" w:after="0"/>
        <w:ind w:left="840" w:right="2129" w:firstLine="0"/>
        <w:jc w:val="left"/>
        <w:rPr>
          <w:sz w:val="21"/>
        </w:rPr>
      </w:pPr>
      <w:r>
        <w:rPr>
          <w:spacing w:val="-3"/>
          <w:sz w:val="21"/>
        </w:rPr>
        <w:t>必要情况下，可根据实际需求对涉及消防员职业健康的内容进行专项评估。</w:t>
      </w:r>
      <w:r>
        <w:rPr>
          <w:b/>
          <w:spacing w:val="-3"/>
          <w:sz w:val="21"/>
        </w:rPr>
        <w:t>D.2</w:t>
      </w:r>
      <w:r>
        <w:rPr>
          <w:b/>
          <w:spacing w:val="1"/>
          <w:sz w:val="21"/>
        </w:rPr>
        <w:t> </w:t>
      </w:r>
      <w:r>
        <w:rPr>
          <w:spacing w:val="-3"/>
          <w:sz w:val="21"/>
        </w:rPr>
        <w:t>事故评估</w:t>
      </w:r>
      <w:r>
        <w:rPr>
          <w:sz w:val="21"/>
        </w:rPr>
        <w:t> </w:t>
      </w:r>
    </w:p>
    <w:p>
      <w:pPr>
        <w:pStyle w:val="ListParagraph"/>
        <w:numPr>
          <w:ilvl w:val="2"/>
          <w:numId w:val="70"/>
        </w:numPr>
        <w:tabs>
          <w:tab w:pos="1371" w:val="left" w:leader="none"/>
        </w:tabs>
        <w:spacing w:line="446" w:lineRule="auto" w:before="0" w:after="0"/>
        <w:ind w:left="418" w:right="1604" w:firstLine="422"/>
        <w:jc w:val="left"/>
        <w:rPr>
          <w:sz w:val="21"/>
        </w:rPr>
      </w:pPr>
      <w:r>
        <w:rPr>
          <w:spacing w:val="-3"/>
          <w:sz w:val="21"/>
        </w:rPr>
        <w:t>消防组织应对职业危害事故进行评估，以便及时有效地控制职业危害事故，减轻职业危害事故造成的损害。</w:t>
      </w:r>
      <w:r>
        <w:rPr>
          <w:sz w:val="21"/>
        </w:rPr>
        <w:t> </w:t>
      </w:r>
    </w:p>
    <w:p>
      <w:pPr>
        <w:pStyle w:val="ListParagraph"/>
        <w:numPr>
          <w:ilvl w:val="2"/>
          <w:numId w:val="70"/>
        </w:numPr>
        <w:tabs>
          <w:tab w:pos="1371" w:val="left" w:leader="none"/>
        </w:tabs>
        <w:spacing w:line="446" w:lineRule="auto" w:before="0" w:after="0"/>
        <w:ind w:left="840" w:right="1604" w:firstLine="0"/>
        <w:jc w:val="left"/>
        <w:rPr>
          <w:sz w:val="21"/>
        </w:rPr>
      </w:pPr>
      <w:r>
        <w:rPr>
          <w:spacing w:val="-3"/>
          <w:sz w:val="21"/>
        </w:rPr>
        <w:t>事故评估工作应委托依法取得省级以上职业卫生技术服务资质的专业机构进行。</w:t>
      </w:r>
      <w:r>
        <w:rPr>
          <w:b/>
          <w:sz w:val="21"/>
        </w:rPr>
        <w:t>D.2.3</w:t>
      </w:r>
      <w:r>
        <w:rPr>
          <w:b/>
          <w:spacing w:val="37"/>
          <w:sz w:val="21"/>
        </w:rPr>
        <w:t> </w:t>
      </w:r>
      <w:r>
        <w:rPr>
          <w:spacing w:val="-3"/>
          <w:sz w:val="21"/>
        </w:rPr>
        <w:t>事故分类：按一次职业危害事故所造成的消防员健康损害严重程度，将职业危害事</w:t>
      </w:r>
    </w:p>
    <w:p>
      <w:pPr>
        <w:pStyle w:val="BodyText"/>
        <w:ind w:left="418"/>
      </w:pPr>
      <w:r>
        <w:rPr/>
        <w:t>故分为一般事故（发生急性职业病 10 人以下的）、重大事故（发生急性职业病 10 人以上 50 人</w:t>
      </w:r>
    </w:p>
    <w:p>
      <w:pPr>
        <w:spacing w:after="0"/>
        <w:sectPr>
          <w:pgSz w:w="11910" w:h="16850"/>
          <w:pgMar w:header="0" w:footer="1239" w:top="1180" w:bottom="1420" w:left="1260" w:right="0"/>
        </w:sectPr>
      </w:pPr>
    </w:p>
    <w:p>
      <w:pPr>
        <w:pStyle w:val="BodyText"/>
        <w:spacing w:before="47"/>
        <w:ind w:left="418"/>
      </w:pPr>
      <w:r>
        <w:rPr/>
        <w:t>以下或者死亡 5 人以下的， 或者发生职业性炭疽 5 人以下的）、特大事故（发生急性职业病 50</w:t>
      </w:r>
    </w:p>
    <w:p>
      <w:pPr>
        <w:pStyle w:val="BodyText"/>
        <w:rPr>
          <w:sz w:val="18"/>
        </w:rPr>
      </w:pPr>
    </w:p>
    <w:p>
      <w:pPr>
        <w:pStyle w:val="BodyText"/>
        <w:spacing w:line="446" w:lineRule="auto"/>
        <w:ind w:left="840" w:right="4237" w:hanging="423"/>
      </w:pPr>
      <w:r>
        <w:rPr>
          <w:spacing w:val="-9"/>
        </w:rPr>
        <w:t>人以上或者死亡 </w:t>
      </w:r>
      <w:r>
        <w:rPr/>
        <w:t>5</w:t>
      </w:r>
      <w:r>
        <w:rPr>
          <w:spacing w:val="-11"/>
        </w:rPr>
        <w:t> 人以上，或者发生职业性炭疽 </w:t>
      </w:r>
      <w:r>
        <w:rPr/>
        <w:t>5</w:t>
      </w:r>
      <w:r>
        <w:rPr>
          <w:spacing w:val="-12"/>
        </w:rPr>
        <w:t> 人以上的</w:t>
      </w:r>
      <w:r>
        <w:rPr>
          <w:spacing w:val="-3"/>
        </w:rPr>
        <w:t>）。</w:t>
      </w:r>
      <w:r>
        <w:rPr>
          <w:b/>
        </w:rPr>
        <w:t>D.2.4 </w:t>
      </w:r>
      <w:r>
        <w:rPr>
          <w:spacing w:val="-3"/>
        </w:rPr>
        <w:t>事故评估组成员应当符合下列条件：</w:t>
      </w:r>
      <w:r>
        <w:rPr/>
        <w:t> </w:t>
      </w:r>
    </w:p>
    <w:p>
      <w:pPr>
        <w:pStyle w:val="ListParagraph"/>
        <w:numPr>
          <w:ilvl w:val="0"/>
          <w:numId w:val="71"/>
        </w:numPr>
        <w:tabs>
          <w:tab w:pos="1051" w:val="left" w:leader="none"/>
        </w:tabs>
        <w:spacing w:line="240" w:lineRule="auto" w:before="0" w:after="0"/>
        <w:ind w:left="1050" w:right="0" w:hanging="213"/>
        <w:jc w:val="left"/>
        <w:rPr>
          <w:sz w:val="21"/>
        </w:rPr>
      </w:pPr>
      <w:r>
        <w:rPr>
          <w:spacing w:val="-3"/>
          <w:sz w:val="21"/>
        </w:rPr>
        <w:t>具有事故调查所需要的专业知识和实践经验；</w:t>
      </w:r>
      <w:r>
        <w:rPr>
          <w:sz w:val="21"/>
        </w:rPr>
        <w:t> </w:t>
      </w:r>
    </w:p>
    <w:p>
      <w:pPr>
        <w:pStyle w:val="BodyText"/>
        <w:spacing w:before="12"/>
        <w:rPr>
          <w:sz w:val="17"/>
        </w:rPr>
      </w:pPr>
    </w:p>
    <w:p>
      <w:pPr>
        <w:pStyle w:val="ListParagraph"/>
        <w:numPr>
          <w:ilvl w:val="0"/>
          <w:numId w:val="71"/>
        </w:numPr>
        <w:tabs>
          <w:tab w:pos="1051" w:val="left" w:leader="none"/>
        </w:tabs>
        <w:spacing w:line="446" w:lineRule="auto" w:before="0" w:after="0"/>
        <w:ind w:left="838" w:right="6124" w:firstLine="0"/>
        <w:jc w:val="both"/>
        <w:rPr>
          <w:sz w:val="21"/>
        </w:rPr>
      </w:pPr>
      <w:r>
        <w:rPr>
          <w:spacing w:val="-3"/>
          <w:sz w:val="21"/>
        </w:rPr>
        <w:t>与所发生事故没有直接利害关系。</w:t>
      </w:r>
      <w:r>
        <w:rPr>
          <w:b/>
          <w:sz w:val="21"/>
        </w:rPr>
        <w:t>D.2.5</w:t>
      </w:r>
      <w:r>
        <w:rPr>
          <w:b/>
          <w:spacing w:val="8"/>
          <w:sz w:val="21"/>
        </w:rPr>
        <w:t> </w:t>
      </w:r>
      <w:r>
        <w:rPr>
          <w:spacing w:val="-3"/>
          <w:sz w:val="21"/>
        </w:rPr>
        <w:t>事故评估至少应包括以下内容： </w:t>
      </w:r>
      <w:r>
        <w:rPr>
          <w:sz w:val="21"/>
        </w:rPr>
        <w:t>a)</w:t>
      </w:r>
      <w:r>
        <w:rPr>
          <w:spacing w:val="-3"/>
          <w:sz w:val="21"/>
        </w:rPr>
        <w:t> 事故发生的时间、地点；</w:t>
      </w:r>
      <w:r>
        <w:rPr>
          <w:sz w:val="21"/>
        </w:rPr>
        <w:t> </w:t>
      </w:r>
    </w:p>
    <w:p>
      <w:pPr>
        <w:pStyle w:val="ListParagraph"/>
        <w:numPr>
          <w:ilvl w:val="0"/>
          <w:numId w:val="72"/>
        </w:numPr>
        <w:tabs>
          <w:tab w:pos="1051" w:val="left" w:leader="none"/>
        </w:tabs>
        <w:spacing w:line="268" w:lineRule="exact" w:before="0" w:after="0"/>
        <w:ind w:left="1050" w:right="0" w:hanging="213"/>
        <w:jc w:val="both"/>
        <w:rPr>
          <w:sz w:val="21"/>
        </w:rPr>
      </w:pPr>
      <w:r>
        <w:rPr>
          <w:spacing w:val="-3"/>
          <w:sz w:val="21"/>
        </w:rPr>
        <w:t>事故发生的经过、原因、人员伤亡情况和危害程度；</w:t>
      </w:r>
      <w:r>
        <w:rPr>
          <w:sz w:val="21"/>
        </w:rPr>
        <w:t> </w:t>
      </w:r>
    </w:p>
    <w:p>
      <w:pPr>
        <w:pStyle w:val="BodyText"/>
        <w:rPr>
          <w:sz w:val="18"/>
        </w:rPr>
      </w:pPr>
    </w:p>
    <w:p>
      <w:pPr>
        <w:pStyle w:val="ListParagraph"/>
        <w:numPr>
          <w:ilvl w:val="0"/>
          <w:numId w:val="72"/>
        </w:numPr>
        <w:tabs>
          <w:tab w:pos="1051" w:val="left" w:leader="none"/>
        </w:tabs>
        <w:spacing w:line="240" w:lineRule="auto" w:before="0" w:after="0"/>
        <w:ind w:left="1050" w:right="0" w:hanging="213"/>
        <w:jc w:val="left"/>
        <w:rPr>
          <w:sz w:val="21"/>
        </w:rPr>
      </w:pPr>
      <w:r>
        <w:rPr>
          <w:spacing w:val="-3"/>
          <w:sz w:val="21"/>
        </w:rPr>
        <w:t>己采取措施和发展趋势等：</w:t>
      </w:r>
      <w:r>
        <w:rPr>
          <w:sz w:val="21"/>
        </w:rPr>
        <w:t> </w:t>
      </w:r>
    </w:p>
    <w:p>
      <w:pPr>
        <w:pStyle w:val="BodyText"/>
        <w:spacing w:before="2"/>
        <w:rPr>
          <w:sz w:val="18"/>
        </w:rPr>
      </w:pPr>
    </w:p>
    <w:p>
      <w:pPr>
        <w:pStyle w:val="ListParagraph"/>
        <w:numPr>
          <w:ilvl w:val="0"/>
          <w:numId w:val="72"/>
        </w:numPr>
        <w:tabs>
          <w:tab w:pos="1051" w:val="left" w:leader="none"/>
        </w:tabs>
        <w:spacing w:line="446" w:lineRule="auto" w:before="0" w:after="0"/>
        <w:ind w:left="418" w:right="1609" w:firstLine="419"/>
        <w:jc w:val="left"/>
        <w:rPr>
          <w:sz w:val="21"/>
        </w:rPr>
      </w:pPr>
      <w:r>
        <w:rPr>
          <w:spacing w:val="-3"/>
          <w:sz w:val="21"/>
        </w:rPr>
        <w:t>对遭受或者可能遭受急性职业危害的消防员的医学救治、应急健康检査和医学观察落实情况；</w:t>
      </w:r>
      <w:r>
        <w:rPr>
          <w:sz w:val="21"/>
        </w:rPr>
        <w:t> </w:t>
      </w:r>
    </w:p>
    <w:p>
      <w:pPr>
        <w:pStyle w:val="ListParagraph"/>
        <w:numPr>
          <w:ilvl w:val="0"/>
          <w:numId w:val="72"/>
        </w:numPr>
        <w:tabs>
          <w:tab w:pos="1051" w:val="left" w:leader="none"/>
        </w:tabs>
        <w:spacing w:line="267" w:lineRule="exact" w:before="0" w:after="0"/>
        <w:ind w:left="1050" w:right="0" w:hanging="213"/>
        <w:jc w:val="left"/>
        <w:rPr>
          <w:sz w:val="21"/>
        </w:rPr>
      </w:pPr>
      <w:r>
        <w:rPr>
          <w:spacing w:val="-3"/>
          <w:sz w:val="21"/>
        </w:rPr>
        <w:t>分析事故责任；</w:t>
      </w:r>
      <w:r>
        <w:rPr>
          <w:sz w:val="21"/>
        </w:rPr>
        <w:t> </w:t>
      </w:r>
    </w:p>
    <w:p>
      <w:pPr>
        <w:pStyle w:val="ListParagraph"/>
        <w:numPr>
          <w:ilvl w:val="0"/>
          <w:numId w:val="72"/>
        </w:numPr>
        <w:tabs>
          <w:tab w:pos="1051" w:val="left" w:leader="none"/>
        </w:tabs>
        <w:spacing w:line="500" w:lineRule="atLeast" w:before="1" w:after="0"/>
        <w:ind w:left="840" w:right="4446" w:hanging="3"/>
        <w:jc w:val="left"/>
        <w:rPr>
          <w:sz w:val="21"/>
        </w:rPr>
      </w:pPr>
      <w:r>
        <w:rPr>
          <w:spacing w:val="-3"/>
          <w:sz w:val="21"/>
        </w:rPr>
        <w:t>提出防范事故再次发生所应采取的改进措施的意见。 </w:t>
      </w:r>
      <w:r>
        <w:rPr>
          <w:b/>
          <w:sz w:val="21"/>
        </w:rPr>
        <w:t>D.3 </w:t>
      </w:r>
      <w:r>
        <w:rPr>
          <w:spacing w:val="-3"/>
          <w:sz w:val="21"/>
        </w:rPr>
        <w:t>职业健康评估资料</w:t>
      </w:r>
      <w:r>
        <w:rPr>
          <w:sz w:val="21"/>
        </w:rPr>
        <w:t> </w:t>
      </w:r>
    </w:p>
    <w:p>
      <w:pPr>
        <w:pStyle w:val="BodyText"/>
        <w:spacing w:before="41"/>
        <w:ind w:left="838"/>
      </w:pPr>
      <w:r>
        <w:rPr/>
        <w:t>职业健康评估报告及相关记录应归档保存。 </w:t>
      </w:r>
    </w:p>
    <w:p>
      <w:pPr>
        <w:spacing w:after="0"/>
        <w:sectPr>
          <w:pgSz w:w="11910" w:h="16850"/>
          <w:pgMar w:header="0" w:footer="1239" w:top="1220" w:bottom="1420" w:left="1260" w:right="0"/>
        </w:sectPr>
      </w:pPr>
    </w:p>
    <w:p>
      <w:pPr>
        <w:pStyle w:val="BodyText"/>
        <w:spacing w:before="12"/>
        <w:rPr>
          <w:sz w:val="7"/>
        </w:rPr>
      </w:pPr>
    </w:p>
    <w:p>
      <w:pPr>
        <w:pStyle w:val="Heading4"/>
        <w:spacing w:before="66"/>
        <w:ind w:left="2251"/>
      </w:pPr>
      <w:r>
        <w:rPr/>
        <w:t>附录 E（资料性附录） 职业病危害防护装备目录</w:t>
      </w:r>
      <w:r>
        <w:rPr>
          <w:w w:val="99"/>
        </w:rPr>
        <w:t> </w:t>
      </w:r>
    </w:p>
    <w:p>
      <w:pPr>
        <w:pStyle w:val="BodyText"/>
        <w:rPr>
          <w:b/>
          <w:sz w:val="20"/>
        </w:rPr>
      </w:pPr>
    </w:p>
    <w:p>
      <w:pPr>
        <w:pStyle w:val="BodyText"/>
        <w:rPr>
          <w:b/>
          <w:sz w:val="20"/>
        </w:rPr>
      </w:pPr>
    </w:p>
    <w:p>
      <w:pPr>
        <w:pStyle w:val="BodyText"/>
        <w:spacing w:before="1"/>
        <w:rPr>
          <w:b/>
          <w:sz w:val="23"/>
        </w:rPr>
      </w:pPr>
      <w:r>
        <w:rPr/>
        <w:drawing>
          <wp:anchor distT="0" distB="0" distL="0" distR="0" allowOverlap="1" layoutInCell="1" locked="0" behindDoc="0" simplePos="0" relativeHeight="10">
            <wp:simplePos x="0" y="0"/>
            <wp:positionH relativeFrom="page">
              <wp:posOffset>1040130</wp:posOffset>
            </wp:positionH>
            <wp:positionV relativeFrom="paragraph">
              <wp:posOffset>212669</wp:posOffset>
            </wp:positionV>
            <wp:extent cx="4969012" cy="6343650"/>
            <wp:effectExtent l="0" t="0" r="0" b="0"/>
            <wp:wrapTopAndBottom/>
            <wp:docPr id="27" name="image29.jpeg"/>
            <wp:cNvGraphicFramePr>
              <a:graphicFrameLocks noChangeAspect="1"/>
            </wp:cNvGraphicFramePr>
            <a:graphic>
              <a:graphicData uri="http://schemas.openxmlformats.org/drawingml/2006/picture">
                <pic:pic>
                  <pic:nvPicPr>
                    <pic:cNvPr id="28" name="image29.jpeg"/>
                    <pic:cNvPicPr/>
                  </pic:nvPicPr>
                  <pic:blipFill>
                    <a:blip r:embed="rId35" cstate="print"/>
                    <a:stretch>
                      <a:fillRect/>
                    </a:stretch>
                  </pic:blipFill>
                  <pic:spPr>
                    <a:xfrm>
                      <a:off x="0" y="0"/>
                      <a:ext cx="4969012" cy="6343650"/>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6"/>
        </w:rPr>
      </w:pPr>
    </w:p>
    <w:p>
      <w:pPr>
        <w:pStyle w:val="BodyText"/>
        <w:spacing w:before="71"/>
        <w:ind w:right="912"/>
        <w:jc w:val="center"/>
      </w:pPr>
      <w:r>
        <w:rPr>
          <w:w w:val="100"/>
        </w:rPr>
        <w:t> </w:t>
      </w:r>
    </w:p>
    <w:p>
      <w:pPr>
        <w:spacing w:after="0"/>
        <w:jc w:val="center"/>
        <w:sectPr>
          <w:pgSz w:w="11910" w:h="16850"/>
          <w:pgMar w:header="0" w:footer="1239" w:top="1600" w:bottom="1420" w:left="1260" w:right="0"/>
        </w:sectPr>
      </w:pPr>
    </w:p>
    <w:p>
      <w:pPr>
        <w:pStyle w:val="BodyText"/>
        <w:rPr>
          <w:sz w:val="20"/>
        </w:rPr>
      </w:pPr>
    </w:p>
    <w:p>
      <w:pPr>
        <w:pStyle w:val="BodyText"/>
        <w:rPr>
          <w:sz w:val="20"/>
        </w:rPr>
      </w:pPr>
    </w:p>
    <w:p>
      <w:pPr>
        <w:pStyle w:val="BodyText"/>
        <w:spacing w:before="12"/>
        <w:rPr>
          <w:sz w:val="13"/>
        </w:rPr>
      </w:pPr>
    </w:p>
    <w:p>
      <w:pPr>
        <w:pStyle w:val="BodyText"/>
        <w:ind w:left="493"/>
        <w:rPr>
          <w:sz w:val="20"/>
        </w:rPr>
      </w:pPr>
      <w:r>
        <w:rPr>
          <w:sz w:val="20"/>
        </w:rPr>
        <w:drawing>
          <wp:inline distT="0" distB="0" distL="0" distR="0">
            <wp:extent cx="4950539" cy="6915150"/>
            <wp:effectExtent l="0" t="0" r="0" b="0"/>
            <wp:docPr id="29" name="image30.jpeg"/>
            <wp:cNvGraphicFramePr>
              <a:graphicFrameLocks noChangeAspect="1"/>
            </wp:cNvGraphicFramePr>
            <a:graphic>
              <a:graphicData uri="http://schemas.openxmlformats.org/drawingml/2006/picture">
                <pic:pic>
                  <pic:nvPicPr>
                    <pic:cNvPr id="30" name="image30.jpeg"/>
                    <pic:cNvPicPr/>
                  </pic:nvPicPr>
                  <pic:blipFill>
                    <a:blip r:embed="rId36" cstate="print"/>
                    <a:stretch>
                      <a:fillRect/>
                    </a:stretch>
                  </pic:blipFill>
                  <pic:spPr>
                    <a:xfrm>
                      <a:off x="0" y="0"/>
                      <a:ext cx="4950539" cy="691515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4"/>
        <w:rPr>
          <w:sz w:val="16"/>
        </w:rPr>
      </w:pPr>
    </w:p>
    <w:p>
      <w:pPr>
        <w:pStyle w:val="Heading6"/>
        <w:spacing w:before="1"/>
        <w:ind w:left="3298"/>
      </w:pPr>
      <w:r>
        <w:rPr>
          <w:w w:val="99"/>
        </w:rPr>
        <w:t> </w:t>
      </w:r>
    </w:p>
    <w:p>
      <w:pPr>
        <w:spacing w:after="0"/>
        <w:sectPr>
          <w:pgSz w:w="11910" w:h="16850"/>
          <w:pgMar w:header="0" w:footer="1239" w:top="1600" w:bottom="1420" w:left="1260" w:right="0"/>
        </w:sectPr>
      </w:pPr>
    </w:p>
    <w:p>
      <w:pPr>
        <w:spacing w:before="55"/>
        <w:ind w:left="1589" w:right="0" w:firstLine="0"/>
        <w:jc w:val="left"/>
        <w:rPr>
          <w:b/>
          <w:sz w:val="24"/>
        </w:rPr>
      </w:pPr>
      <w:r>
        <w:rPr>
          <w:b/>
          <w:sz w:val="24"/>
        </w:rPr>
        <w:t>附录 F（资料性附录）常见气体的直读式检测仪器和检测方法</w:t>
      </w:r>
      <w:r>
        <w:rPr>
          <w:b/>
          <w:w w:val="99"/>
          <w:sz w:val="24"/>
        </w:rPr>
        <w:t> </w:t>
      </w:r>
    </w:p>
    <w:p>
      <w:pPr>
        <w:pStyle w:val="BodyText"/>
        <w:rPr>
          <w:b/>
          <w:sz w:val="20"/>
        </w:rPr>
      </w:pPr>
    </w:p>
    <w:p>
      <w:pPr>
        <w:pStyle w:val="BodyText"/>
        <w:rPr>
          <w:b/>
          <w:sz w:val="20"/>
        </w:rPr>
      </w:pPr>
    </w:p>
    <w:p>
      <w:pPr>
        <w:pStyle w:val="BodyText"/>
        <w:rPr>
          <w:b/>
          <w:sz w:val="20"/>
        </w:rPr>
      </w:pPr>
    </w:p>
    <w:p>
      <w:pPr>
        <w:pStyle w:val="BodyText"/>
        <w:spacing w:before="11"/>
        <w:rPr>
          <w:b/>
          <w:sz w:val="16"/>
        </w:rPr>
      </w:pPr>
    </w:p>
    <w:p>
      <w:pPr>
        <w:spacing w:before="0"/>
        <w:ind w:left="840" w:right="0" w:firstLine="0"/>
        <w:jc w:val="left"/>
        <w:rPr>
          <w:sz w:val="21"/>
        </w:rPr>
      </w:pPr>
      <w:r>
        <w:rPr>
          <w:b/>
          <w:sz w:val="21"/>
        </w:rPr>
        <w:t>F.1 </w:t>
      </w:r>
      <w:r>
        <w:rPr>
          <w:sz w:val="21"/>
        </w:rPr>
        <w:t>直读式气体检测仪器的选择 </w:t>
      </w:r>
    </w:p>
    <w:p>
      <w:pPr>
        <w:pStyle w:val="BodyText"/>
        <w:rPr>
          <w:sz w:val="18"/>
        </w:rPr>
      </w:pPr>
    </w:p>
    <w:p>
      <w:pPr>
        <w:pStyle w:val="BodyText"/>
        <w:spacing w:line="446" w:lineRule="auto"/>
        <w:ind w:left="418" w:right="1609" w:firstLine="419"/>
      </w:pPr>
      <w:r>
        <w:rPr/>
        <w:drawing>
          <wp:anchor distT="0" distB="0" distL="0" distR="0" allowOverlap="1" layoutInCell="1" locked="0" behindDoc="0" simplePos="0" relativeHeight="11">
            <wp:simplePos x="0" y="0"/>
            <wp:positionH relativeFrom="page">
              <wp:posOffset>1017905</wp:posOffset>
            </wp:positionH>
            <wp:positionV relativeFrom="paragraph">
              <wp:posOffset>675640</wp:posOffset>
            </wp:positionV>
            <wp:extent cx="5543549" cy="3476625"/>
            <wp:effectExtent l="0" t="0" r="0" b="0"/>
            <wp:wrapTopAndBottom/>
            <wp:docPr id="31" name="image31.jpeg"/>
            <wp:cNvGraphicFramePr>
              <a:graphicFrameLocks noChangeAspect="1"/>
            </wp:cNvGraphicFramePr>
            <a:graphic>
              <a:graphicData uri="http://schemas.openxmlformats.org/drawingml/2006/picture">
                <pic:pic>
                  <pic:nvPicPr>
                    <pic:cNvPr id="32" name="image31.jpeg"/>
                    <pic:cNvPicPr/>
                  </pic:nvPicPr>
                  <pic:blipFill>
                    <a:blip r:embed="rId37" cstate="print"/>
                    <a:stretch>
                      <a:fillRect/>
                    </a:stretch>
                  </pic:blipFill>
                  <pic:spPr>
                    <a:xfrm>
                      <a:off x="0" y="0"/>
                      <a:ext cx="5543549" cy="3476625"/>
                    </a:xfrm>
                    <a:prstGeom prst="rect">
                      <a:avLst/>
                    </a:prstGeom>
                  </pic:spPr>
                </pic:pic>
              </a:graphicData>
            </a:graphic>
          </wp:anchor>
        </w:drawing>
      </w:r>
      <w:r>
        <w:rPr/>
        <w:t>消防员在消防职业活动中的环境各不相同，存在各种有害气体，不同气体可选择不同的直读式仪器进行快速检测，见表 F.1。 </w:t>
      </w:r>
    </w:p>
    <w:p>
      <w:pPr>
        <w:pStyle w:val="ListParagraph"/>
        <w:numPr>
          <w:ilvl w:val="0"/>
          <w:numId w:val="73"/>
        </w:numPr>
        <w:tabs>
          <w:tab w:pos="1053" w:val="left" w:leader="none"/>
        </w:tabs>
        <w:spacing w:line="240" w:lineRule="auto" w:before="162" w:after="0"/>
        <w:ind w:left="1052" w:right="0" w:hanging="213"/>
        <w:jc w:val="left"/>
        <w:rPr>
          <w:b/>
          <w:sz w:val="21"/>
        </w:rPr>
      </w:pPr>
      <w:r>
        <w:rPr>
          <w:b/>
          <w:sz w:val="21"/>
        </w:rPr>
        <w:t>2</w:t>
      </w:r>
      <w:r>
        <w:rPr>
          <w:b/>
          <w:spacing w:val="102"/>
          <w:sz w:val="21"/>
        </w:rPr>
        <w:t> </w:t>
      </w:r>
      <w:r>
        <w:rPr>
          <w:spacing w:val="-3"/>
          <w:sz w:val="21"/>
        </w:rPr>
        <w:t>检测程序</w:t>
      </w:r>
      <w:r>
        <w:rPr>
          <w:b/>
          <w:w w:val="99"/>
          <w:sz w:val="21"/>
        </w:rPr>
        <w:t> </w:t>
      </w:r>
    </w:p>
    <w:p>
      <w:pPr>
        <w:pStyle w:val="BodyText"/>
        <w:spacing w:before="2"/>
        <w:rPr>
          <w:b/>
          <w:sz w:val="18"/>
        </w:rPr>
      </w:pPr>
    </w:p>
    <w:p>
      <w:pPr>
        <w:spacing w:line="446" w:lineRule="auto" w:before="0"/>
        <w:ind w:left="840" w:right="5072" w:firstLine="0"/>
        <w:jc w:val="left"/>
        <w:rPr>
          <w:sz w:val="21"/>
        </w:rPr>
      </w:pPr>
      <w:r>
        <w:rPr>
          <w:b/>
          <w:sz w:val="21"/>
        </w:rPr>
        <w:t>F.2.1 </w:t>
      </w:r>
      <w:r>
        <w:rPr>
          <w:sz w:val="21"/>
        </w:rPr>
        <w:t>通常按测氧→测爆→测毒的顺序进行检测。</w:t>
      </w:r>
      <w:r>
        <w:rPr>
          <w:b/>
          <w:sz w:val="21"/>
        </w:rPr>
        <w:t>F.2.2 </w:t>
      </w:r>
      <w:r>
        <w:rPr>
          <w:sz w:val="21"/>
        </w:rPr>
        <w:t>对于毒性较高的可燃气体，要首先测毒。 </w:t>
      </w:r>
    </w:p>
    <w:p>
      <w:pPr>
        <w:pStyle w:val="BodyText"/>
        <w:spacing w:line="446" w:lineRule="auto"/>
        <w:ind w:left="418" w:right="1604" w:firstLine="422"/>
      </w:pPr>
      <w:r>
        <w:rPr>
          <w:b/>
        </w:rPr>
        <w:t>F.2.3 </w:t>
      </w:r>
      <w:r>
        <w:rPr/>
        <w:t>复合式仪器和便携式气相色谱仪可同时检测氧气、可燃气体和有毒气体。检测时， 按照检测仪器的说明书进行操作。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BodyText"/>
        <w:spacing w:before="72"/>
        <w:ind w:left="3298"/>
      </w:pPr>
      <w:r>
        <w:rPr>
          <w:w w:val="100"/>
        </w:rPr>
        <w:t> </w:t>
      </w:r>
    </w:p>
    <w:p>
      <w:pPr>
        <w:spacing w:after="0"/>
        <w:sectPr>
          <w:pgSz w:w="11910" w:h="16850"/>
          <w:pgMar w:header="0" w:footer="1239" w:top="1180" w:bottom="1420" w:left="1260" w:right="0"/>
        </w:sectPr>
      </w:pPr>
    </w:p>
    <w:p>
      <w:pPr>
        <w:pStyle w:val="Heading4"/>
        <w:spacing w:before="55"/>
        <w:ind w:left="1529"/>
      </w:pPr>
      <w:r>
        <w:rPr/>
        <w:t>附录 G（资料性附录） 危险化学品及核泄漏事故中的洗消方法</w:t>
      </w:r>
      <w:r>
        <w:rPr>
          <w:w w:val="99"/>
        </w:rPr>
        <w:t> </w:t>
      </w:r>
    </w:p>
    <w:p>
      <w:pPr>
        <w:pStyle w:val="BodyText"/>
        <w:rPr>
          <w:b/>
          <w:sz w:val="24"/>
        </w:rPr>
      </w:pPr>
    </w:p>
    <w:p>
      <w:pPr>
        <w:pStyle w:val="ListParagraph"/>
        <w:numPr>
          <w:ilvl w:val="0"/>
          <w:numId w:val="73"/>
        </w:numPr>
        <w:tabs>
          <w:tab w:pos="1053" w:val="left" w:leader="none"/>
        </w:tabs>
        <w:spacing w:line="240" w:lineRule="auto" w:before="176" w:after="0"/>
        <w:ind w:left="1052" w:right="0" w:hanging="213"/>
        <w:jc w:val="left"/>
        <w:rPr>
          <w:sz w:val="21"/>
        </w:rPr>
      </w:pPr>
      <w:r>
        <w:rPr>
          <w:b/>
          <w:sz w:val="21"/>
        </w:rPr>
        <w:t>1</w:t>
      </w:r>
      <w:r>
        <w:rPr>
          <w:b/>
          <w:spacing w:val="1"/>
          <w:sz w:val="21"/>
        </w:rPr>
        <w:t> </w:t>
      </w:r>
      <w:r>
        <w:rPr>
          <w:spacing w:val="-3"/>
          <w:sz w:val="21"/>
        </w:rPr>
        <w:t>洗消原则</w:t>
      </w:r>
      <w:r>
        <w:rPr>
          <w:sz w:val="21"/>
        </w:rPr>
        <w:t> </w:t>
      </w:r>
    </w:p>
    <w:p>
      <w:pPr>
        <w:pStyle w:val="BodyText"/>
        <w:spacing w:before="2"/>
        <w:rPr>
          <w:sz w:val="18"/>
        </w:rPr>
      </w:pPr>
    </w:p>
    <w:p>
      <w:pPr>
        <w:pStyle w:val="ListParagraph"/>
        <w:numPr>
          <w:ilvl w:val="2"/>
          <w:numId w:val="74"/>
        </w:numPr>
        <w:tabs>
          <w:tab w:pos="1370" w:val="left" w:leader="none"/>
        </w:tabs>
        <w:spacing w:line="240" w:lineRule="auto" w:before="0" w:after="0"/>
        <w:ind w:left="1369" w:right="0" w:hanging="530"/>
        <w:jc w:val="left"/>
        <w:rPr>
          <w:sz w:val="21"/>
        </w:rPr>
      </w:pPr>
      <w:r>
        <w:rPr>
          <w:spacing w:val="-3"/>
          <w:sz w:val="21"/>
        </w:rPr>
        <w:t>既要及时、彻底、有效，又要尽可能保护洗消对象。</w:t>
      </w:r>
      <w:r>
        <w:rPr>
          <w:sz w:val="21"/>
        </w:rPr>
        <w:t> </w:t>
      </w:r>
    </w:p>
    <w:p>
      <w:pPr>
        <w:pStyle w:val="BodyText"/>
        <w:spacing w:before="12"/>
        <w:rPr>
          <w:sz w:val="17"/>
        </w:rPr>
      </w:pPr>
    </w:p>
    <w:p>
      <w:pPr>
        <w:pStyle w:val="ListParagraph"/>
        <w:numPr>
          <w:ilvl w:val="2"/>
          <w:numId w:val="74"/>
        </w:numPr>
        <w:tabs>
          <w:tab w:pos="1371" w:val="left" w:leader="none"/>
        </w:tabs>
        <w:spacing w:line="446" w:lineRule="auto" w:before="0" w:after="0"/>
        <w:ind w:left="418" w:right="1604" w:firstLine="422"/>
        <w:jc w:val="left"/>
        <w:rPr>
          <w:sz w:val="21"/>
        </w:rPr>
      </w:pPr>
      <w:r>
        <w:rPr>
          <w:spacing w:val="-3"/>
          <w:sz w:val="21"/>
        </w:rPr>
        <w:t>根据污染物的理化性质、洗消对象的具体情况和洗消装备情况，选择相应的洗消剂和洗消方法。</w:t>
      </w:r>
      <w:r>
        <w:rPr>
          <w:sz w:val="21"/>
        </w:rPr>
        <w:t> </w:t>
      </w:r>
    </w:p>
    <w:p>
      <w:pPr>
        <w:pStyle w:val="ListParagraph"/>
        <w:numPr>
          <w:ilvl w:val="2"/>
          <w:numId w:val="74"/>
        </w:numPr>
        <w:tabs>
          <w:tab w:pos="1371" w:val="left" w:leader="none"/>
        </w:tabs>
        <w:spacing w:line="446" w:lineRule="auto" w:before="0" w:after="0"/>
        <w:ind w:left="840" w:right="2549" w:firstLine="0"/>
        <w:jc w:val="left"/>
        <w:rPr>
          <w:sz w:val="21"/>
        </w:rPr>
      </w:pPr>
      <w:r>
        <w:rPr>
          <w:spacing w:val="-3"/>
          <w:sz w:val="21"/>
        </w:rPr>
        <w:t>洗消时，应为洗消人员配备有效的个人防护装备，并监督其正确使用。</w:t>
      </w:r>
      <w:r>
        <w:rPr>
          <w:b/>
          <w:spacing w:val="-3"/>
          <w:sz w:val="21"/>
        </w:rPr>
        <w:t>G.2</w:t>
      </w:r>
      <w:r>
        <w:rPr>
          <w:b/>
          <w:spacing w:val="-1"/>
          <w:sz w:val="21"/>
        </w:rPr>
        <w:t> </w:t>
      </w:r>
      <w:r>
        <w:rPr>
          <w:spacing w:val="-3"/>
          <w:sz w:val="21"/>
        </w:rPr>
        <w:t>洗消对象</w:t>
      </w:r>
      <w:r>
        <w:rPr>
          <w:sz w:val="21"/>
        </w:rPr>
        <w:t> </w:t>
      </w:r>
    </w:p>
    <w:p>
      <w:pPr>
        <w:pStyle w:val="BodyText"/>
        <w:spacing w:line="446" w:lineRule="auto"/>
        <w:ind w:left="418" w:right="1609" w:firstLine="419"/>
      </w:pPr>
      <w:r>
        <w:rPr/>
        <w:t>在救援行动结束后，应对受污染的消防员及其佩戴的防护装备和使用的器材、仪器等进行洗消。 </w:t>
      </w:r>
    </w:p>
    <w:p>
      <w:pPr>
        <w:spacing w:line="446" w:lineRule="auto" w:before="0"/>
        <w:ind w:left="840" w:right="8013" w:firstLine="0"/>
        <w:jc w:val="left"/>
        <w:rPr>
          <w:sz w:val="21"/>
        </w:rPr>
      </w:pPr>
      <w:r>
        <w:rPr>
          <w:b/>
          <w:sz w:val="21"/>
        </w:rPr>
        <w:t>G.3 </w:t>
      </w:r>
      <w:r>
        <w:rPr>
          <w:sz w:val="21"/>
        </w:rPr>
        <w:t>洗消方法</w:t>
      </w:r>
      <w:r>
        <w:rPr>
          <w:b/>
          <w:sz w:val="21"/>
        </w:rPr>
        <w:t>G.3.1 </w:t>
      </w:r>
      <w:r>
        <w:rPr>
          <w:sz w:val="21"/>
        </w:rPr>
        <w:t>物理洗消法 </w:t>
      </w:r>
    </w:p>
    <w:p>
      <w:pPr>
        <w:pStyle w:val="BodyText"/>
        <w:spacing w:line="446" w:lineRule="auto"/>
        <w:ind w:left="418" w:right="1608" w:firstLine="419"/>
        <w:jc w:val="both"/>
      </w:pPr>
      <w:r>
        <w:rPr/>
        <w:t>利用通风、日晒、雨淋等自然条件使污染物自行蒸发、散失及被水解，使污染物逐渐降低毒性或被逐渐破坏而失去毒性；用水浸泡、蒸、煮沸、或直接用大量的水冲洗洗消对象；可利用棉纱、纱布等浸以汽油、煤油、酒精等溶剂，将表面的污染物溶解、擦洗掉；对液体及固体污染源采用封闭掩埋或将污染物移走的方法，但掩埋时必须加大量的漂白粉。 </w:t>
      </w:r>
    </w:p>
    <w:p>
      <w:pPr>
        <w:pStyle w:val="ListParagraph"/>
        <w:numPr>
          <w:ilvl w:val="2"/>
          <w:numId w:val="75"/>
        </w:numPr>
        <w:tabs>
          <w:tab w:pos="1370" w:val="left" w:leader="none"/>
        </w:tabs>
        <w:spacing w:line="267" w:lineRule="exact" w:before="0" w:after="0"/>
        <w:ind w:left="1369" w:right="0" w:hanging="530"/>
        <w:jc w:val="left"/>
        <w:rPr>
          <w:sz w:val="21"/>
        </w:rPr>
      </w:pPr>
      <w:r>
        <w:rPr>
          <w:spacing w:val="-3"/>
          <w:sz w:val="21"/>
        </w:rPr>
        <w:t>化学洗消法</w:t>
      </w:r>
      <w:r>
        <w:rPr>
          <w:sz w:val="21"/>
        </w:rPr>
        <w:t> </w:t>
      </w:r>
    </w:p>
    <w:p>
      <w:pPr>
        <w:pStyle w:val="BodyText"/>
        <w:spacing w:before="10"/>
        <w:rPr>
          <w:sz w:val="17"/>
        </w:rPr>
      </w:pPr>
    </w:p>
    <w:p>
      <w:pPr>
        <w:pStyle w:val="BodyText"/>
        <w:spacing w:line="446" w:lineRule="auto"/>
        <w:ind w:left="418" w:right="1608" w:firstLine="419"/>
      </w:pPr>
      <w:r>
        <w:rPr>
          <w:spacing w:val="-3"/>
        </w:rPr>
        <w:t>利用洗消剂与污染物发生化学反应，生成无毒或低毒的产物，但应注意避免发生次生危害事故。化学洗消法在实施中常与物理洗消法同时采用。化学洗消法主要有中和法、氧化还原 法、催化剂法等。</w:t>
      </w:r>
      <w:r>
        <w:rPr/>
        <w:t> </w:t>
      </w:r>
    </w:p>
    <w:p>
      <w:pPr>
        <w:pStyle w:val="ListParagraph"/>
        <w:numPr>
          <w:ilvl w:val="3"/>
          <w:numId w:val="75"/>
        </w:numPr>
        <w:tabs>
          <w:tab w:pos="1583" w:val="left" w:leader="none"/>
        </w:tabs>
        <w:spacing w:line="268" w:lineRule="exact" w:before="0" w:after="0"/>
        <w:ind w:left="1582" w:right="0" w:hanging="743"/>
        <w:jc w:val="left"/>
        <w:rPr>
          <w:sz w:val="21"/>
        </w:rPr>
      </w:pPr>
      <w:r>
        <w:rPr>
          <w:spacing w:val="-3"/>
          <w:sz w:val="21"/>
        </w:rPr>
        <w:t>中和法</w:t>
      </w:r>
      <w:r>
        <w:rPr>
          <w:sz w:val="21"/>
        </w:rPr>
        <w:t> </w:t>
      </w:r>
    </w:p>
    <w:p>
      <w:pPr>
        <w:pStyle w:val="BodyText"/>
        <w:spacing w:before="2"/>
        <w:rPr>
          <w:sz w:val="18"/>
        </w:rPr>
      </w:pPr>
    </w:p>
    <w:p>
      <w:pPr>
        <w:pStyle w:val="BodyText"/>
        <w:spacing w:line="367" w:lineRule="auto"/>
        <w:ind w:left="418" w:right="1469" w:firstLine="419"/>
      </w:pPr>
      <w:r>
        <w:rPr>
          <w:spacing w:val="-3"/>
          <w:position w:val="1"/>
        </w:rPr>
        <w:t>中和法是利用酸碱中和反应的原理消除化学有害因素。强酸(</w:t>
      </w:r>
      <w:r>
        <w:rPr>
          <w:position w:val="1"/>
        </w:rPr>
        <w:t>H</w:t>
      </w:r>
      <w:r>
        <w:rPr>
          <w:sz w:val="11"/>
        </w:rPr>
        <w:t>2</w:t>
      </w:r>
      <w:r>
        <w:rPr>
          <w:position w:val="1"/>
        </w:rPr>
        <w:t>SO</w:t>
      </w:r>
      <w:r>
        <w:rPr>
          <w:sz w:val="11"/>
        </w:rPr>
        <w:t>4</w:t>
      </w:r>
      <w:r>
        <w:rPr>
          <w:position w:val="1"/>
        </w:rPr>
        <w:t>、HC1、HN0</w:t>
      </w:r>
      <w:r>
        <w:rPr>
          <w:sz w:val="11"/>
        </w:rPr>
        <w:t>3</w:t>
      </w:r>
      <w:r>
        <w:rPr>
          <w:spacing w:val="-1"/>
          <w:position w:val="1"/>
        </w:rPr>
        <w:t>)大量泄漏  </w:t>
      </w:r>
      <w:r>
        <w:rPr>
          <w:spacing w:val="-9"/>
          <w:position w:val="1"/>
        </w:rPr>
        <w:t>时，可以用 </w:t>
      </w:r>
      <w:r>
        <w:rPr>
          <w:position w:val="1"/>
        </w:rPr>
        <w:t>5%</w:t>
      </w:r>
      <w:r>
        <w:rPr>
          <w:rFonts w:ascii="微软雅黑" w:eastAsia="微软雅黑" w:hint="eastAsia"/>
          <w:position w:val="1"/>
        </w:rPr>
        <w:t>〜</w:t>
      </w:r>
      <w:r>
        <w:rPr>
          <w:position w:val="1"/>
        </w:rPr>
        <w:t>10%NaOH、Na</w:t>
      </w:r>
      <w:r>
        <w:rPr>
          <w:sz w:val="11"/>
        </w:rPr>
        <w:t>2</w:t>
      </w:r>
      <w:r>
        <w:rPr>
          <w:position w:val="1"/>
        </w:rPr>
        <w:t>CO</w:t>
      </w:r>
      <w:r>
        <w:rPr>
          <w:sz w:val="11"/>
        </w:rPr>
        <w:t>3</w:t>
      </w:r>
      <w:r>
        <w:rPr>
          <w:position w:val="1"/>
        </w:rPr>
        <w:t>、Ca(OH)</w:t>
      </w:r>
      <w:r>
        <w:rPr>
          <w:sz w:val="11"/>
        </w:rPr>
        <w:t>2</w:t>
      </w:r>
      <w:r>
        <w:rPr>
          <w:spacing w:val="-21"/>
          <w:sz w:val="11"/>
        </w:rPr>
        <w:t> </w:t>
      </w:r>
      <w:r>
        <w:rPr>
          <w:spacing w:val="-3"/>
          <w:position w:val="1"/>
        </w:rPr>
        <w:t>等作为中和洗消剂；也可用氨水，但氨水本身具有刺</w:t>
      </w:r>
      <w:r>
        <w:rPr>
          <w:spacing w:val="-3"/>
        </w:rPr>
        <w:t>激性，使用时要注意浓度的控制；反之，若是大量碱性物质泄漏（如氨的泄漏</w:t>
      </w:r>
      <w:r>
        <w:rPr/>
        <w:t>）</w:t>
      </w:r>
      <w:r>
        <w:rPr>
          <w:spacing w:val="-2"/>
        </w:rPr>
        <w:t>，用酸性物质</w:t>
      </w:r>
    </w:p>
    <w:p>
      <w:pPr>
        <w:pStyle w:val="BodyText"/>
        <w:spacing w:line="446" w:lineRule="auto" w:before="85"/>
        <w:ind w:left="418" w:right="1608"/>
      </w:pPr>
      <w:r>
        <w:rPr/>
        <w:t>进行中和，但同样必须控制洗消剂溶液的浓度，避免发生次生危害事故。中和洗消完成后，对残留物仍然需要用大量水冲洗。 </w:t>
      </w:r>
    </w:p>
    <w:p>
      <w:pPr>
        <w:pStyle w:val="BodyText"/>
        <w:rPr>
          <w:sz w:val="20"/>
        </w:rPr>
      </w:pPr>
    </w:p>
    <w:p>
      <w:pPr>
        <w:pStyle w:val="BodyText"/>
        <w:rPr>
          <w:sz w:val="20"/>
        </w:rPr>
      </w:pPr>
    </w:p>
    <w:p>
      <w:pPr>
        <w:pStyle w:val="BodyText"/>
        <w:rPr>
          <w:sz w:val="20"/>
        </w:rPr>
      </w:pPr>
    </w:p>
    <w:p>
      <w:pPr>
        <w:pStyle w:val="BodyText"/>
        <w:spacing w:before="12"/>
        <w:rPr>
          <w:sz w:val="17"/>
        </w:rPr>
      </w:pPr>
    </w:p>
    <w:p>
      <w:pPr>
        <w:pStyle w:val="BodyText"/>
        <w:ind w:left="838"/>
      </w:pPr>
      <w:r>
        <w:rPr>
          <w:w w:val="100"/>
        </w:rPr>
        <w:t> </w:t>
      </w:r>
    </w:p>
    <w:p>
      <w:pPr>
        <w:spacing w:after="0"/>
        <w:sectPr>
          <w:pgSz w:w="11910" w:h="16850"/>
          <w:pgMar w:header="0" w:footer="1239" w:top="1180" w:bottom="1420" w:left="1260" w:right="0"/>
        </w:sectPr>
      </w:pPr>
    </w:p>
    <w:p>
      <w:pPr>
        <w:pStyle w:val="BodyText"/>
        <w:spacing w:before="47"/>
        <w:ind w:left="838"/>
      </w:pPr>
      <w:r>
        <w:rPr/>
        <w:t>常见毒物和中和剂见表 G.1。 </w:t>
      </w:r>
    </w:p>
    <w:p>
      <w:pPr>
        <w:pStyle w:val="BodyText"/>
        <w:spacing w:before="10"/>
        <w:rPr>
          <w:sz w:val="27"/>
        </w:rPr>
      </w:pPr>
      <w:r>
        <w:rPr/>
        <w:drawing>
          <wp:anchor distT="0" distB="0" distL="0" distR="0" allowOverlap="1" layoutInCell="1" locked="0" behindDoc="0" simplePos="0" relativeHeight="12">
            <wp:simplePos x="0" y="0"/>
            <wp:positionH relativeFrom="page">
              <wp:posOffset>1227455</wp:posOffset>
            </wp:positionH>
            <wp:positionV relativeFrom="paragraph">
              <wp:posOffset>250912</wp:posOffset>
            </wp:positionV>
            <wp:extent cx="5172075" cy="2457450"/>
            <wp:effectExtent l="0" t="0" r="0" b="0"/>
            <wp:wrapTopAndBottom/>
            <wp:docPr id="33" name="image32.jpeg"/>
            <wp:cNvGraphicFramePr>
              <a:graphicFrameLocks noChangeAspect="1"/>
            </wp:cNvGraphicFramePr>
            <a:graphic>
              <a:graphicData uri="http://schemas.openxmlformats.org/drawingml/2006/picture">
                <pic:pic>
                  <pic:nvPicPr>
                    <pic:cNvPr id="34" name="image32.jpeg"/>
                    <pic:cNvPicPr/>
                  </pic:nvPicPr>
                  <pic:blipFill>
                    <a:blip r:embed="rId38" cstate="print"/>
                    <a:stretch>
                      <a:fillRect/>
                    </a:stretch>
                  </pic:blipFill>
                  <pic:spPr>
                    <a:xfrm>
                      <a:off x="0" y="0"/>
                      <a:ext cx="5172075" cy="2457450"/>
                    </a:xfrm>
                    <a:prstGeom prst="rect">
                      <a:avLst/>
                    </a:prstGeom>
                  </pic:spPr>
                </pic:pic>
              </a:graphicData>
            </a:graphic>
          </wp:anchor>
        </w:drawing>
      </w:r>
    </w:p>
    <w:p>
      <w:pPr>
        <w:pStyle w:val="ListParagraph"/>
        <w:numPr>
          <w:ilvl w:val="3"/>
          <w:numId w:val="75"/>
        </w:numPr>
        <w:tabs>
          <w:tab w:pos="1583" w:val="left" w:leader="none"/>
        </w:tabs>
        <w:spacing w:line="240" w:lineRule="auto" w:before="164" w:after="0"/>
        <w:ind w:left="1582" w:right="0" w:hanging="743"/>
        <w:jc w:val="left"/>
        <w:rPr>
          <w:sz w:val="21"/>
        </w:rPr>
      </w:pPr>
      <w:r>
        <w:rPr>
          <w:spacing w:val="-3"/>
          <w:sz w:val="21"/>
        </w:rPr>
        <w:t>氧化还原法 </w:t>
      </w:r>
    </w:p>
    <w:p>
      <w:pPr>
        <w:pStyle w:val="BodyText"/>
        <w:spacing w:before="12"/>
        <w:rPr>
          <w:sz w:val="17"/>
        </w:rPr>
      </w:pPr>
    </w:p>
    <w:p>
      <w:pPr>
        <w:pStyle w:val="BodyText"/>
        <w:spacing w:line="446" w:lineRule="auto"/>
        <w:ind w:left="418" w:right="1608" w:firstLine="419"/>
        <w:jc w:val="both"/>
      </w:pPr>
      <w:r>
        <w:rPr/>
        <w:t>利用洗消剂与毒物发生氧化还原反应，可对毒性大且持久的油状液体毒物等进行洗消。常用洗消剂有漂白粉（有效成分是次氯酸钙）、三合二（其性质与漂白粉相似）等。也可利用燃烧来破坏毒物的毒性。 </w:t>
      </w:r>
    </w:p>
    <w:p>
      <w:pPr>
        <w:pStyle w:val="ListParagraph"/>
        <w:numPr>
          <w:ilvl w:val="3"/>
          <w:numId w:val="75"/>
        </w:numPr>
        <w:tabs>
          <w:tab w:pos="1583" w:val="left" w:leader="none"/>
        </w:tabs>
        <w:spacing w:line="268" w:lineRule="exact" w:before="0" w:after="0"/>
        <w:ind w:left="1582" w:right="0" w:hanging="743"/>
        <w:jc w:val="left"/>
        <w:rPr>
          <w:sz w:val="21"/>
        </w:rPr>
      </w:pPr>
      <w:r>
        <w:rPr>
          <w:spacing w:val="-3"/>
          <w:sz w:val="21"/>
        </w:rPr>
        <w:t>催化法</w:t>
      </w:r>
      <w:r>
        <w:rPr>
          <w:sz w:val="21"/>
        </w:rPr>
        <w:t> </w:t>
      </w:r>
    </w:p>
    <w:p>
      <w:pPr>
        <w:pStyle w:val="BodyText"/>
        <w:spacing w:before="12"/>
        <w:rPr>
          <w:sz w:val="17"/>
        </w:rPr>
      </w:pPr>
    </w:p>
    <w:p>
      <w:pPr>
        <w:pStyle w:val="BodyText"/>
        <w:spacing w:line="446" w:lineRule="auto"/>
        <w:ind w:left="418" w:right="1608" w:firstLine="419"/>
        <w:jc w:val="both"/>
      </w:pPr>
      <w:r>
        <w:rPr/>
        <w:t>利用催化剂把毒物加速转化成无毒或低毒物质。一些有毒的农药（包括毒性较大的含磷农药），其水解产物是无毒的，但反应速度很慢，加入某些催化剂可促其水解。利用农药加碱性物质可催化水解的原理，常用碱水或碱溶液对被农药、战剂等污染的对象进行洗消。 </w:t>
      </w:r>
    </w:p>
    <w:p>
      <w:pPr>
        <w:spacing w:line="268" w:lineRule="exact" w:before="0"/>
        <w:ind w:left="840" w:right="0" w:firstLine="0"/>
        <w:jc w:val="left"/>
        <w:rPr>
          <w:b/>
          <w:sz w:val="21"/>
        </w:rPr>
      </w:pPr>
      <w:r>
        <w:rPr>
          <w:b/>
          <w:sz w:val="21"/>
        </w:rPr>
        <w:t>G.4 </w:t>
      </w:r>
      <w:r>
        <w:rPr>
          <w:sz w:val="21"/>
        </w:rPr>
        <w:t>化学战剂（毒剂）洗消</w:t>
      </w:r>
      <w:r>
        <w:rPr>
          <w:b/>
          <w:w w:val="99"/>
          <w:sz w:val="21"/>
        </w:rPr>
        <w:t> </w:t>
      </w:r>
    </w:p>
    <w:p>
      <w:pPr>
        <w:pStyle w:val="BodyText"/>
        <w:spacing w:before="2"/>
        <w:rPr>
          <w:b/>
          <w:sz w:val="18"/>
        </w:rPr>
      </w:pPr>
    </w:p>
    <w:p>
      <w:pPr>
        <w:pStyle w:val="BodyText"/>
        <w:spacing w:line="446" w:lineRule="auto"/>
        <w:ind w:left="418" w:right="1404" w:firstLine="419"/>
      </w:pPr>
      <w:r>
        <w:rPr>
          <w:spacing w:val="-10"/>
        </w:rPr>
        <w:t>目前，有 </w:t>
      </w:r>
      <w:r>
        <w:rPr/>
        <w:t>3</w:t>
      </w:r>
      <w:r>
        <w:rPr>
          <w:spacing w:val="-8"/>
        </w:rPr>
        <w:t> 种化学机制被用于毒剂洗消：水或肥皂水冲洗、氧化作用和酸碱水解。芥子气(HD)和持久性神经毒剂 </w:t>
      </w:r>
      <w:r>
        <w:rPr/>
        <w:t>VX</w:t>
      </w:r>
      <w:r>
        <w:rPr>
          <w:spacing w:val="-8"/>
        </w:rPr>
        <w:t> 都含有硫原子，容易被氧化。</w:t>
      </w:r>
      <w:r>
        <w:rPr/>
        <w:t>VX</w:t>
      </w:r>
      <w:r>
        <w:rPr>
          <w:spacing w:val="-8"/>
        </w:rPr>
        <w:t> 和其它神经性毒剂</w:t>
      </w:r>
      <w:r>
        <w:rPr/>
        <w:t>(GB、GB、GD</w:t>
      </w:r>
      <w:r>
        <w:rPr>
          <w:spacing w:val="-20"/>
        </w:rPr>
        <w:t> 和GF)</w:t>
      </w:r>
      <w:r>
        <w:rPr>
          <w:spacing w:val="-3"/>
        </w:rPr>
        <w:t>都含有磷基能被水解。因此，</w:t>
      </w:r>
      <w:r>
        <w:rPr/>
        <w:t>HD</w:t>
      </w:r>
      <w:r>
        <w:rPr>
          <w:spacing w:val="-33"/>
        </w:rPr>
        <w:t> 和 </w:t>
      </w:r>
      <w:r>
        <w:rPr/>
        <w:t>VX</w:t>
      </w:r>
      <w:r>
        <w:rPr>
          <w:spacing w:val="-8"/>
        </w:rPr>
        <w:t> 的消毒一般采用氧化，</w:t>
      </w:r>
      <w:r>
        <w:rPr/>
        <w:t>VX</w:t>
      </w:r>
      <w:r>
        <w:rPr>
          <w:spacing w:val="1"/>
        </w:rPr>
        <w:t> 和</w:t>
      </w:r>
      <w:r>
        <w:rPr/>
        <w:t>G</w:t>
      </w:r>
      <w:r>
        <w:rPr>
          <w:spacing w:val="-9"/>
        </w:rPr>
        <w:t> 类毒剂一般采用水解。</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9"/>
        </w:rPr>
      </w:pPr>
    </w:p>
    <w:p>
      <w:pPr>
        <w:pStyle w:val="BodyText"/>
        <w:spacing w:before="72"/>
        <w:ind w:left="838"/>
      </w:pPr>
      <w:r>
        <w:rPr>
          <w:w w:val="100"/>
        </w:rPr>
        <w:t> </w:t>
      </w:r>
    </w:p>
    <w:p>
      <w:pPr>
        <w:spacing w:after="0"/>
        <w:sectPr>
          <w:pgSz w:w="11910" w:h="16850"/>
          <w:pgMar w:header="0" w:footer="1239" w:top="1220" w:bottom="1420" w:left="1260" w:right="0"/>
        </w:sectPr>
      </w:pPr>
    </w:p>
    <w:p>
      <w:pPr>
        <w:pStyle w:val="Heading2"/>
        <w:ind w:right="870"/>
      </w:pPr>
      <w:bookmarkStart w:name="_bookmark3" w:id="4"/>
      <w:bookmarkEnd w:id="4"/>
      <w:r>
        <w:rPr>
          <w:b w:val="0"/>
        </w:rPr>
      </w:r>
      <w:r>
        <w:rPr/>
        <w:t>消防员方位灯</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本标准规定了消防员方位灯的木语和定义、型号及基本参数、技术要求、试验方法、检验规则、标志、 包装、运输和贮存。 </w:t>
      </w:r>
    </w:p>
    <w:p>
      <w:pPr>
        <w:pStyle w:val="BodyText"/>
        <w:ind w:left="838"/>
      </w:pPr>
      <w:r>
        <w:rPr/>
        <w:t>本标准适用于消防员使用的方位灯（以下简称方位灯）。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ind w:left="838"/>
      </w:pPr>
      <w:r>
        <w:rPr/>
        <w:t>GB/T191 包装储运图示标志 </w:t>
      </w:r>
    </w:p>
    <w:p>
      <w:pPr>
        <w:pStyle w:val="BodyText"/>
        <w:rPr>
          <w:sz w:val="18"/>
        </w:rPr>
      </w:pPr>
    </w:p>
    <w:p>
      <w:pPr>
        <w:pStyle w:val="BodyText"/>
        <w:spacing w:line="446" w:lineRule="auto"/>
        <w:ind w:left="838" w:right="2820"/>
      </w:pPr>
      <w:r>
        <w:rPr/>
        <w:t>GB/T 2423.1 电工电子产品环境试验 第 2 部分：试验方法 试验A：低温GB/T 2423.2 电工电子产品环境试验 第 2 部分：试验方法 试验B：高温 </w:t>
      </w:r>
    </w:p>
    <w:p>
      <w:pPr>
        <w:pStyle w:val="BodyText"/>
        <w:spacing w:line="446" w:lineRule="auto"/>
        <w:ind w:left="838" w:right="1772"/>
      </w:pPr>
      <w:r>
        <w:rPr/>
        <w:t>GB/T 2423.3</w:t>
      </w:r>
      <w:r>
        <w:rPr>
          <w:spacing w:val="-7"/>
        </w:rPr>
        <w:t> 电工电子产品环境试验 第 </w:t>
      </w:r>
      <w:r>
        <w:rPr/>
        <w:t>2</w:t>
      </w:r>
      <w:r>
        <w:rPr>
          <w:spacing w:val="-11"/>
        </w:rPr>
        <w:t> 部分：试验方法 试验 </w:t>
      </w:r>
      <w:r>
        <w:rPr/>
        <w:t>Cab</w:t>
      </w:r>
      <w:r>
        <w:rPr>
          <w:spacing w:val="-3"/>
        </w:rPr>
        <w:t>：恒定湿热试验</w:t>
      </w:r>
      <w:r>
        <w:rPr/>
        <w:t>GB/T 2423.5</w:t>
      </w:r>
      <w:r>
        <w:rPr>
          <w:spacing w:val="-7"/>
        </w:rPr>
        <w:t>   电工电子产品环境试验 第 </w:t>
      </w:r>
      <w:r>
        <w:rPr/>
        <w:t>2</w:t>
      </w:r>
      <w:r>
        <w:rPr>
          <w:spacing w:val="-12"/>
        </w:rPr>
        <w:t> 部分：试验方法 试验 </w:t>
      </w:r>
      <w:r>
        <w:rPr/>
        <w:t>Ea</w:t>
      </w:r>
      <w:r>
        <w:rPr>
          <w:spacing w:val="-9"/>
        </w:rPr>
        <w:t> 和导测：冲击GB/T</w:t>
      </w:r>
      <w:r>
        <w:rPr>
          <w:spacing w:val="4"/>
        </w:rPr>
        <w:t> </w:t>
      </w:r>
      <w:r>
        <w:rPr/>
        <w:t>2423.10</w:t>
      </w:r>
      <w:r>
        <w:rPr>
          <w:spacing w:val="-7"/>
        </w:rPr>
        <w:t>  电工电子产品环境试验 第 </w:t>
      </w:r>
      <w:r>
        <w:rPr/>
        <w:t>2</w:t>
      </w:r>
      <w:r>
        <w:rPr>
          <w:spacing w:val="-11"/>
        </w:rPr>
        <w:t> 部分：试验方法 试验 </w:t>
      </w:r>
      <w:r>
        <w:rPr/>
        <w:t>Fc</w:t>
      </w:r>
      <w:r>
        <w:rPr>
          <w:spacing w:val="-1"/>
        </w:rPr>
        <w:t>：振动</w:t>
      </w:r>
      <w:r>
        <w:rPr/>
        <w:t>（</w:t>
      </w:r>
      <w:r>
        <w:rPr>
          <w:spacing w:val="-2"/>
        </w:rPr>
        <w:t>正弦</w:t>
      </w:r>
      <w:r>
        <w:rPr>
          <w:spacing w:val="-3"/>
        </w:rPr>
        <w:t>） </w:t>
      </w:r>
      <w:r>
        <w:rPr/>
        <w:t>GB</w:t>
      </w:r>
      <w:r>
        <w:rPr>
          <w:spacing w:val="1"/>
        </w:rPr>
        <w:t> </w:t>
      </w:r>
      <w:r>
        <w:rPr/>
        <w:t>3836.1</w:t>
      </w:r>
      <w:r>
        <w:rPr>
          <w:spacing w:val="3"/>
        </w:rPr>
        <w:t> 爆炸性环境 第 </w:t>
      </w:r>
      <w:r>
        <w:rPr/>
        <w:t>1</w:t>
      </w:r>
      <w:r>
        <w:rPr>
          <w:spacing w:val="-9"/>
        </w:rPr>
        <w:t> 部分：设备通用要求</w:t>
      </w:r>
      <w:r>
        <w:rPr/>
        <w:t> </w:t>
      </w:r>
    </w:p>
    <w:p>
      <w:pPr>
        <w:pStyle w:val="BodyText"/>
        <w:spacing w:line="267" w:lineRule="exact"/>
        <w:ind w:left="838"/>
      </w:pPr>
      <w:r>
        <w:rPr/>
        <w:t>GB 4208—2008 外壳防护等级(IP 代码） </w:t>
      </w:r>
    </w:p>
    <w:p>
      <w:pPr>
        <w:pStyle w:val="BodyText"/>
        <w:spacing w:before="10"/>
        <w:rPr>
          <w:sz w:val="15"/>
        </w:rPr>
      </w:pPr>
    </w:p>
    <w:p>
      <w:pPr>
        <w:pStyle w:val="Heading4"/>
      </w:pPr>
      <w:r>
        <w:rPr/>
        <w:t>3 术语和定义</w:t>
      </w:r>
      <w:r>
        <w:rPr>
          <w:w w:val="99"/>
        </w:rPr>
        <w:t> </w:t>
      </w:r>
    </w:p>
    <w:p>
      <w:pPr>
        <w:pStyle w:val="BodyText"/>
        <w:spacing w:before="4"/>
        <w:rPr>
          <w:b/>
          <w:sz w:val="17"/>
        </w:rPr>
      </w:pPr>
    </w:p>
    <w:p>
      <w:pPr>
        <w:pStyle w:val="BodyText"/>
        <w:ind w:left="838"/>
      </w:pPr>
      <w:r>
        <w:rPr/>
        <w:t>下列术语和定义适用于本文件。 </w:t>
      </w:r>
    </w:p>
    <w:p>
      <w:pPr>
        <w:pStyle w:val="BodyText"/>
        <w:spacing w:before="12"/>
        <w:rPr>
          <w:sz w:val="17"/>
        </w:rPr>
      </w:pPr>
    </w:p>
    <w:p>
      <w:pPr>
        <w:pStyle w:val="BodyText"/>
        <w:ind w:left="840"/>
      </w:pPr>
      <w:r>
        <w:rPr>
          <w:b/>
        </w:rPr>
        <w:t>3.1 </w:t>
      </w:r>
      <w:r>
        <w:rPr/>
        <w:t>消防员方位灯 fireman’s directional light </w:t>
      </w:r>
    </w:p>
    <w:p>
      <w:pPr>
        <w:pStyle w:val="BodyText"/>
        <w:spacing w:before="2"/>
        <w:rPr>
          <w:sz w:val="18"/>
        </w:rPr>
      </w:pPr>
    </w:p>
    <w:p>
      <w:pPr>
        <w:pStyle w:val="BodyText"/>
        <w:spacing w:line="446" w:lineRule="auto" w:before="1"/>
        <w:ind w:left="840" w:right="2765" w:hanging="3"/>
      </w:pPr>
      <w:r>
        <w:rPr/>
        <w:t>消防员在执行灭火救援任务时佩带的，具有发光指示方位功能的信号装置。</w:t>
      </w:r>
      <w:r>
        <w:rPr>
          <w:b/>
        </w:rPr>
        <w:t>3.2 </w:t>
      </w:r>
      <w:r>
        <w:rPr/>
        <w:t>闪光频率 flash frequency </w:t>
      </w:r>
    </w:p>
    <w:p>
      <w:pPr>
        <w:pStyle w:val="BodyText"/>
        <w:spacing w:line="267" w:lineRule="exact"/>
        <w:ind w:left="838"/>
      </w:pPr>
      <w:r>
        <w:rPr/>
        <w:t>方位灯发光器件单位时间内闪烁的次数。 </w:t>
      </w:r>
    </w:p>
    <w:p>
      <w:pPr>
        <w:pStyle w:val="BodyText"/>
        <w:spacing w:before="1"/>
        <w:rPr>
          <w:sz w:val="18"/>
        </w:rPr>
      </w:pPr>
    </w:p>
    <w:p>
      <w:pPr>
        <w:pStyle w:val="BodyText"/>
        <w:spacing w:before="1"/>
        <w:ind w:left="840"/>
      </w:pPr>
      <w:r>
        <w:rPr>
          <w:b/>
        </w:rPr>
        <w:t>3.3 </w:t>
      </w:r>
      <w:r>
        <w:rPr/>
        <w:t>连续工作时间 continuous working time </w:t>
      </w:r>
    </w:p>
    <w:p>
      <w:pPr>
        <w:pStyle w:val="BodyText"/>
        <w:spacing w:before="12"/>
        <w:rPr>
          <w:sz w:val="17"/>
        </w:rPr>
      </w:pPr>
    </w:p>
    <w:p>
      <w:pPr>
        <w:pStyle w:val="BodyText"/>
        <w:ind w:left="838"/>
      </w:pPr>
      <w:r>
        <w:rPr/>
        <w:t>方位灯常亮或闪光状态下的最大工作时间。 </w:t>
      </w:r>
    </w:p>
    <w:p>
      <w:pPr>
        <w:pStyle w:val="BodyText"/>
        <w:spacing w:before="8"/>
        <w:rPr>
          <w:sz w:val="15"/>
        </w:rPr>
      </w:pPr>
    </w:p>
    <w:p>
      <w:pPr>
        <w:pStyle w:val="Heading4"/>
      </w:pPr>
      <w:r>
        <w:rPr/>
        <w:t>4 型号及基本参数</w:t>
      </w:r>
      <w:r>
        <w:rPr>
          <w:w w:val="99"/>
        </w:rPr>
        <w:t> </w:t>
      </w:r>
    </w:p>
    <w:p>
      <w:pPr>
        <w:pStyle w:val="BodyText"/>
        <w:spacing w:before="6"/>
        <w:rPr>
          <w:b/>
          <w:sz w:val="17"/>
        </w:rPr>
      </w:pPr>
    </w:p>
    <w:p>
      <w:pPr>
        <w:pStyle w:val="ListParagraph"/>
        <w:numPr>
          <w:ilvl w:val="1"/>
          <w:numId w:val="76"/>
        </w:numPr>
        <w:tabs>
          <w:tab w:pos="1160" w:val="left" w:leader="none"/>
        </w:tabs>
        <w:spacing w:line="240" w:lineRule="auto" w:before="1" w:after="0"/>
        <w:ind w:left="1159" w:right="0" w:hanging="320"/>
        <w:jc w:val="left"/>
        <w:rPr>
          <w:b/>
          <w:sz w:val="21"/>
        </w:rPr>
      </w:pPr>
      <w:r>
        <w:rPr>
          <w:spacing w:val="-3"/>
          <w:sz w:val="21"/>
        </w:rPr>
        <w:t>型号</w:t>
      </w:r>
      <w:r>
        <w:rPr>
          <w:b/>
          <w:w w:val="99"/>
          <w:sz w:val="21"/>
        </w:rPr>
        <w:t> </w:t>
      </w:r>
    </w:p>
    <w:p>
      <w:pPr>
        <w:spacing w:after="0" w:line="240" w:lineRule="auto"/>
        <w:jc w:val="left"/>
        <w:rPr>
          <w:sz w:val="21"/>
        </w:rPr>
        <w:sectPr>
          <w:pgSz w:w="11910" w:h="16850"/>
          <w:pgMar w:header="0" w:footer="1239" w:top="1140" w:bottom="1420" w:left="1260" w:right="0"/>
        </w:sectPr>
      </w:pPr>
    </w:p>
    <w:p>
      <w:pPr>
        <w:pStyle w:val="BodyText"/>
        <w:spacing w:before="47"/>
        <w:ind w:left="838"/>
      </w:pPr>
      <w:r>
        <w:rPr/>
        <w:t>方位灯产品型号的编制应符合下列规定： </w:t>
      </w:r>
    </w:p>
    <w:p>
      <w:pPr>
        <w:pStyle w:val="BodyText"/>
        <w:spacing w:before="3"/>
        <w:rPr>
          <w:sz w:val="15"/>
        </w:rPr>
      </w:pPr>
      <w:r>
        <w:rPr/>
        <w:drawing>
          <wp:anchor distT="0" distB="0" distL="0" distR="0" allowOverlap="1" layoutInCell="1" locked="0" behindDoc="0" simplePos="0" relativeHeight="13">
            <wp:simplePos x="0" y="0"/>
            <wp:positionH relativeFrom="page">
              <wp:posOffset>2227579</wp:posOffset>
            </wp:positionH>
            <wp:positionV relativeFrom="paragraph">
              <wp:posOffset>149312</wp:posOffset>
            </wp:positionV>
            <wp:extent cx="2743199" cy="1066800"/>
            <wp:effectExtent l="0" t="0" r="0" b="0"/>
            <wp:wrapTopAndBottom/>
            <wp:docPr id="35" name="image33.jpeg"/>
            <wp:cNvGraphicFramePr>
              <a:graphicFrameLocks noChangeAspect="1"/>
            </wp:cNvGraphicFramePr>
            <a:graphic>
              <a:graphicData uri="http://schemas.openxmlformats.org/drawingml/2006/picture">
                <pic:pic>
                  <pic:nvPicPr>
                    <pic:cNvPr id="36" name="image33.jpeg"/>
                    <pic:cNvPicPr/>
                  </pic:nvPicPr>
                  <pic:blipFill>
                    <a:blip r:embed="rId39" cstate="print"/>
                    <a:stretch>
                      <a:fillRect/>
                    </a:stretch>
                  </pic:blipFill>
                  <pic:spPr>
                    <a:xfrm>
                      <a:off x="0" y="0"/>
                      <a:ext cx="2743199" cy="1066800"/>
                    </a:xfrm>
                    <a:prstGeom prst="rect">
                      <a:avLst/>
                    </a:prstGeom>
                  </pic:spPr>
                </pic:pic>
              </a:graphicData>
            </a:graphic>
          </wp:anchor>
        </w:drawing>
      </w:r>
    </w:p>
    <w:p>
      <w:pPr>
        <w:pStyle w:val="BodyText"/>
        <w:rPr>
          <w:sz w:val="20"/>
        </w:rPr>
      </w:pPr>
    </w:p>
    <w:p>
      <w:pPr>
        <w:pStyle w:val="BodyText"/>
        <w:rPr>
          <w:sz w:val="20"/>
        </w:rPr>
      </w:pPr>
    </w:p>
    <w:p>
      <w:pPr>
        <w:pStyle w:val="BodyText"/>
        <w:spacing w:before="5"/>
        <w:rPr>
          <w:sz w:val="16"/>
        </w:rPr>
      </w:pPr>
    </w:p>
    <w:p>
      <w:pPr>
        <w:pStyle w:val="ListParagraph"/>
        <w:numPr>
          <w:ilvl w:val="1"/>
          <w:numId w:val="76"/>
        </w:numPr>
        <w:tabs>
          <w:tab w:pos="1159" w:val="left" w:leader="none"/>
        </w:tabs>
        <w:spacing w:line="240" w:lineRule="auto" w:before="0" w:after="0"/>
        <w:ind w:left="1158" w:right="0" w:hanging="319"/>
        <w:jc w:val="left"/>
        <w:rPr>
          <w:sz w:val="21"/>
        </w:rPr>
      </w:pPr>
      <w:r>
        <w:rPr>
          <w:spacing w:val="-3"/>
          <w:sz w:val="21"/>
        </w:rPr>
        <w:t>方位灯类别代号</w:t>
      </w:r>
      <w:r>
        <w:rPr>
          <w:sz w:val="21"/>
        </w:rPr>
        <w:t> </w:t>
      </w:r>
    </w:p>
    <w:p>
      <w:pPr>
        <w:pStyle w:val="BodyText"/>
        <w:rPr>
          <w:sz w:val="18"/>
        </w:rPr>
      </w:pPr>
    </w:p>
    <w:p>
      <w:pPr>
        <w:pStyle w:val="BodyText"/>
        <w:ind w:left="838"/>
      </w:pPr>
      <w:r>
        <w:rPr/>
        <w:t>方位灯类别代号见表 1。 </w:t>
      </w:r>
    </w:p>
    <w:p>
      <w:pPr>
        <w:pStyle w:val="BodyText"/>
        <w:spacing w:before="2"/>
        <w:rPr>
          <w:sz w:val="17"/>
        </w:rPr>
      </w:pPr>
      <w:r>
        <w:rPr/>
        <w:drawing>
          <wp:anchor distT="0" distB="0" distL="0" distR="0" allowOverlap="1" layoutInCell="1" locked="0" behindDoc="0" simplePos="0" relativeHeight="14">
            <wp:simplePos x="0" y="0"/>
            <wp:positionH relativeFrom="page">
              <wp:posOffset>1227455</wp:posOffset>
            </wp:positionH>
            <wp:positionV relativeFrom="paragraph">
              <wp:posOffset>164941</wp:posOffset>
            </wp:positionV>
            <wp:extent cx="5048249" cy="1181100"/>
            <wp:effectExtent l="0" t="0" r="0" b="0"/>
            <wp:wrapTopAndBottom/>
            <wp:docPr id="37" name="image34.jpeg"/>
            <wp:cNvGraphicFramePr>
              <a:graphicFrameLocks noChangeAspect="1"/>
            </wp:cNvGraphicFramePr>
            <a:graphic>
              <a:graphicData uri="http://schemas.openxmlformats.org/drawingml/2006/picture">
                <pic:pic>
                  <pic:nvPicPr>
                    <pic:cNvPr id="38" name="image34.jpeg"/>
                    <pic:cNvPicPr/>
                  </pic:nvPicPr>
                  <pic:blipFill>
                    <a:blip r:embed="rId40" cstate="print"/>
                    <a:stretch>
                      <a:fillRect/>
                    </a:stretch>
                  </pic:blipFill>
                  <pic:spPr>
                    <a:xfrm>
                      <a:off x="0" y="0"/>
                      <a:ext cx="5048249" cy="1181100"/>
                    </a:xfrm>
                    <a:prstGeom prst="rect">
                      <a:avLst/>
                    </a:prstGeom>
                  </pic:spPr>
                </pic:pic>
              </a:graphicData>
            </a:graphic>
          </wp:anchor>
        </w:drawing>
      </w:r>
    </w:p>
    <w:p>
      <w:pPr>
        <w:pStyle w:val="BodyText"/>
        <w:spacing w:line="446" w:lineRule="auto" w:before="162"/>
        <w:ind w:left="840" w:right="5175" w:hanging="3"/>
        <w:rPr>
          <w:b/>
        </w:rPr>
      </w:pPr>
      <w:r>
        <w:rPr/>
        <w:t>示例：RFWI-S/A 表示 A 型闪光型消防员方位灯。</w:t>
      </w:r>
      <w:r>
        <w:rPr>
          <w:b/>
        </w:rPr>
        <w:t>4.3 </w:t>
      </w:r>
      <w:r>
        <w:rPr/>
        <w:t>基本参数</w:t>
      </w:r>
      <w:r>
        <w:rPr>
          <w:b/>
          <w:w w:val="99"/>
        </w:rPr>
        <w:t> </w:t>
      </w:r>
    </w:p>
    <w:p>
      <w:pPr>
        <w:pStyle w:val="BodyText"/>
        <w:spacing w:before="1"/>
        <w:ind w:left="838"/>
      </w:pPr>
      <w:r>
        <w:rPr/>
        <w:t>方位灯的基本参数如下： </w:t>
      </w:r>
    </w:p>
    <w:p>
      <w:pPr>
        <w:pStyle w:val="ListParagraph"/>
        <w:numPr>
          <w:ilvl w:val="0"/>
          <w:numId w:val="77"/>
        </w:numPr>
        <w:tabs>
          <w:tab w:pos="1051" w:val="left" w:leader="none"/>
        </w:tabs>
        <w:spacing w:line="240" w:lineRule="auto" w:before="163" w:after="0"/>
        <w:ind w:left="1050" w:right="0" w:hanging="213"/>
        <w:jc w:val="left"/>
        <w:rPr>
          <w:sz w:val="21"/>
        </w:rPr>
      </w:pPr>
      <w:r>
        <w:rPr>
          <w:spacing w:val="-3"/>
          <w:sz w:val="21"/>
        </w:rPr>
        <w:t>工作环境温度为</w:t>
      </w:r>
      <w:r>
        <w:rPr>
          <w:sz w:val="21"/>
        </w:rPr>
        <w:t>-25</w:t>
      </w:r>
      <w:r>
        <w:rPr>
          <w:rFonts w:ascii="微软雅黑" w:hAnsi="微软雅黑" w:eastAsia="微软雅黑" w:hint="eastAsia"/>
          <w:spacing w:val="-3"/>
          <w:sz w:val="21"/>
        </w:rPr>
        <w:t>〜</w:t>
      </w:r>
      <w:r>
        <w:rPr>
          <w:sz w:val="21"/>
        </w:rPr>
        <w:t>70℃； </w:t>
      </w:r>
    </w:p>
    <w:p>
      <w:pPr>
        <w:pStyle w:val="ListParagraph"/>
        <w:numPr>
          <w:ilvl w:val="0"/>
          <w:numId w:val="77"/>
        </w:numPr>
        <w:tabs>
          <w:tab w:pos="1051" w:val="left" w:leader="none"/>
        </w:tabs>
        <w:spacing w:line="240" w:lineRule="auto" w:before="112" w:after="0"/>
        <w:ind w:left="1050" w:right="0" w:hanging="213"/>
        <w:jc w:val="left"/>
        <w:rPr>
          <w:sz w:val="21"/>
        </w:rPr>
      </w:pPr>
      <w:r>
        <w:rPr>
          <w:spacing w:val="-9"/>
          <w:sz w:val="21"/>
        </w:rPr>
        <w:t>工作环境相对湿度为 </w:t>
      </w:r>
      <w:r>
        <w:rPr>
          <w:sz w:val="21"/>
        </w:rPr>
        <w:t>30%</w:t>
      </w:r>
      <w:r>
        <w:rPr>
          <w:rFonts w:ascii="微软雅黑" w:eastAsia="微软雅黑" w:hint="eastAsia"/>
          <w:sz w:val="21"/>
        </w:rPr>
        <w:t>〜</w:t>
      </w:r>
      <w:r>
        <w:rPr>
          <w:sz w:val="21"/>
        </w:rPr>
        <w:t>85%； </w:t>
      </w:r>
    </w:p>
    <w:p>
      <w:pPr>
        <w:pStyle w:val="ListParagraph"/>
        <w:numPr>
          <w:ilvl w:val="0"/>
          <w:numId w:val="77"/>
        </w:numPr>
        <w:tabs>
          <w:tab w:pos="1051" w:val="left" w:leader="none"/>
        </w:tabs>
        <w:spacing w:line="240" w:lineRule="auto" w:before="182" w:after="0"/>
        <w:ind w:left="1050" w:right="0" w:hanging="213"/>
        <w:jc w:val="left"/>
        <w:rPr>
          <w:sz w:val="21"/>
        </w:rPr>
      </w:pPr>
      <w:r>
        <w:rPr>
          <w:spacing w:val="-3"/>
          <w:sz w:val="21"/>
        </w:rPr>
        <w:t>供电电源应采用可充电电池，并应设置电池充放电保护电路。</w:t>
      </w:r>
      <w:r>
        <w:rPr>
          <w:sz w:val="21"/>
        </w:rPr>
        <w:t> </w:t>
      </w:r>
    </w:p>
    <w:p>
      <w:pPr>
        <w:pStyle w:val="BodyText"/>
        <w:spacing w:before="7"/>
        <w:rPr>
          <w:sz w:val="15"/>
        </w:rPr>
      </w:pPr>
    </w:p>
    <w:p>
      <w:pPr>
        <w:pStyle w:val="Heading4"/>
        <w:spacing w:before="1"/>
      </w:pPr>
      <w:r>
        <w:rPr/>
        <w:t>5 技术要求</w:t>
      </w:r>
      <w:r>
        <w:rPr>
          <w:w w:val="99"/>
        </w:rPr>
        <w:t> </w:t>
      </w:r>
    </w:p>
    <w:p>
      <w:pPr>
        <w:pStyle w:val="BodyText"/>
        <w:spacing w:before="4"/>
        <w:rPr>
          <w:b/>
          <w:sz w:val="17"/>
        </w:rPr>
      </w:pPr>
    </w:p>
    <w:p>
      <w:pPr>
        <w:pStyle w:val="ListParagraph"/>
        <w:numPr>
          <w:ilvl w:val="1"/>
          <w:numId w:val="78"/>
        </w:numPr>
        <w:tabs>
          <w:tab w:pos="1160" w:val="left" w:leader="none"/>
        </w:tabs>
        <w:spacing w:line="240" w:lineRule="auto" w:before="0" w:after="0"/>
        <w:ind w:left="1159" w:right="0" w:hanging="320"/>
        <w:jc w:val="left"/>
        <w:rPr>
          <w:b/>
          <w:sz w:val="21"/>
        </w:rPr>
      </w:pPr>
      <w:r>
        <w:rPr>
          <w:spacing w:val="-3"/>
          <w:sz w:val="21"/>
        </w:rPr>
        <w:t>外观与装配质量</w:t>
      </w:r>
      <w:r>
        <w:rPr>
          <w:b/>
          <w:w w:val="99"/>
          <w:sz w:val="21"/>
        </w:rPr>
        <w:t> </w:t>
      </w:r>
    </w:p>
    <w:p>
      <w:pPr>
        <w:pStyle w:val="BodyText"/>
        <w:spacing w:before="2"/>
        <w:rPr>
          <w:b/>
          <w:sz w:val="18"/>
        </w:rPr>
      </w:pPr>
    </w:p>
    <w:p>
      <w:pPr>
        <w:pStyle w:val="ListParagraph"/>
        <w:numPr>
          <w:ilvl w:val="2"/>
          <w:numId w:val="78"/>
        </w:numPr>
        <w:tabs>
          <w:tab w:pos="1371" w:val="left" w:leader="none"/>
        </w:tabs>
        <w:spacing w:line="240" w:lineRule="auto" w:before="0" w:after="0"/>
        <w:ind w:left="1370" w:right="0" w:hanging="531"/>
        <w:jc w:val="left"/>
        <w:rPr>
          <w:sz w:val="21"/>
        </w:rPr>
      </w:pPr>
      <w:r>
        <w:rPr>
          <w:spacing w:val="-3"/>
          <w:sz w:val="21"/>
        </w:rPr>
        <w:t>方位灯表面应无明显划伤、污损、裂痕、毛剌等缺陷。标志应清晰、正确、齐全。</w:t>
      </w:r>
      <w:r>
        <w:rPr>
          <w:sz w:val="21"/>
        </w:rPr>
        <w:t> </w:t>
      </w:r>
    </w:p>
    <w:p>
      <w:pPr>
        <w:pStyle w:val="BodyText"/>
        <w:spacing w:before="12"/>
        <w:rPr>
          <w:sz w:val="17"/>
        </w:rPr>
      </w:pPr>
    </w:p>
    <w:p>
      <w:pPr>
        <w:pStyle w:val="ListParagraph"/>
        <w:numPr>
          <w:ilvl w:val="2"/>
          <w:numId w:val="78"/>
        </w:numPr>
        <w:tabs>
          <w:tab w:pos="1370" w:val="left" w:leader="none"/>
        </w:tabs>
        <w:spacing w:line="446" w:lineRule="auto" w:before="0" w:after="0"/>
        <w:ind w:left="418" w:right="1604" w:firstLine="422"/>
        <w:jc w:val="left"/>
        <w:rPr>
          <w:sz w:val="21"/>
        </w:rPr>
      </w:pPr>
      <w:r>
        <w:rPr>
          <w:spacing w:val="-3"/>
          <w:sz w:val="21"/>
        </w:rPr>
        <w:t>方位灯装配应完整，紧固部位应无松动、损伤、错位、毛刺等缺陷。佩戴装置应灵活可靠。</w:t>
      </w:r>
      <w:r>
        <w:rPr>
          <w:sz w:val="21"/>
        </w:rPr>
        <w:t> </w:t>
      </w:r>
    </w:p>
    <w:p>
      <w:pPr>
        <w:pStyle w:val="ListParagraph"/>
        <w:numPr>
          <w:ilvl w:val="1"/>
          <w:numId w:val="78"/>
        </w:numPr>
        <w:tabs>
          <w:tab w:pos="1159" w:val="left" w:leader="none"/>
        </w:tabs>
        <w:spacing w:line="240" w:lineRule="auto" w:before="0" w:after="0"/>
        <w:ind w:left="1158" w:right="0" w:hanging="319"/>
        <w:jc w:val="left"/>
        <w:rPr>
          <w:sz w:val="21"/>
        </w:rPr>
      </w:pPr>
      <w:r>
        <w:rPr>
          <w:spacing w:val="-3"/>
          <w:sz w:val="21"/>
        </w:rPr>
        <w:t>发光亮度</w:t>
      </w:r>
      <w:r>
        <w:rPr>
          <w:sz w:val="21"/>
        </w:rPr>
        <w:t> </w:t>
      </w:r>
    </w:p>
    <w:p>
      <w:pPr>
        <w:pStyle w:val="BodyText"/>
        <w:spacing w:before="12"/>
        <w:rPr>
          <w:sz w:val="17"/>
        </w:rPr>
      </w:pPr>
    </w:p>
    <w:p>
      <w:pPr>
        <w:pStyle w:val="BodyText"/>
        <w:spacing w:line="446" w:lineRule="auto"/>
        <w:ind w:left="840" w:right="6287" w:hanging="3"/>
        <w:rPr>
          <w:b/>
        </w:rPr>
      </w:pPr>
      <w:r>
        <w:rPr/>
        <w:t>方位灯发光亮度应不小于 300cd/m²。</w:t>
      </w:r>
      <w:r>
        <w:rPr>
          <w:b/>
        </w:rPr>
        <w:t>5.3 </w:t>
      </w:r>
      <w:r>
        <w:rPr/>
        <w:t>闪光频率</w:t>
      </w:r>
      <w:r>
        <w:rPr>
          <w:b/>
          <w:w w:val="99"/>
        </w:rPr>
        <w:t> </w:t>
      </w:r>
    </w:p>
    <w:p>
      <w:pPr>
        <w:pStyle w:val="BodyText"/>
        <w:spacing w:line="320" w:lineRule="exact"/>
        <w:ind w:left="838"/>
      </w:pPr>
      <w:r>
        <w:rPr/>
        <w:t>闪光型方位灯闪光频率应为 1</w:t>
      </w:r>
      <w:r>
        <w:rPr>
          <w:rFonts w:ascii="微软雅黑" w:eastAsia="微软雅黑" w:hint="eastAsia"/>
        </w:rPr>
        <w:t>〜</w:t>
      </w:r>
      <w:r>
        <w:rPr/>
        <w:t>2Hz。 </w:t>
      </w:r>
    </w:p>
    <w:p>
      <w:pPr>
        <w:spacing w:before="180"/>
        <w:ind w:left="840" w:right="0" w:firstLine="0"/>
        <w:jc w:val="left"/>
        <w:rPr>
          <w:b/>
          <w:sz w:val="21"/>
        </w:rPr>
      </w:pPr>
      <w:r>
        <w:rPr>
          <w:b/>
          <w:sz w:val="21"/>
        </w:rPr>
        <w:t>5.4</w:t>
      </w:r>
      <w:r>
        <w:rPr>
          <w:b/>
          <w:spacing w:val="102"/>
          <w:sz w:val="21"/>
        </w:rPr>
        <w:t> </w:t>
      </w:r>
      <w:r>
        <w:rPr>
          <w:spacing w:val="-3"/>
          <w:sz w:val="21"/>
        </w:rPr>
        <w:t>连续工作时间</w:t>
      </w:r>
      <w:r>
        <w:rPr>
          <w:b/>
          <w:spacing w:val="-3"/>
          <w:w w:val="99"/>
          <w:sz w:val="21"/>
        </w:rPr>
        <w:t> </w:t>
      </w:r>
    </w:p>
    <w:p>
      <w:pPr>
        <w:spacing w:after="0"/>
        <w:jc w:val="left"/>
        <w:rPr>
          <w:sz w:val="21"/>
        </w:rPr>
        <w:sectPr>
          <w:pgSz w:w="11910" w:h="16850"/>
          <w:pgMar w:header="0" w:footer="1239" w:top="1220" w:bottom="1420" w:left="1260" w:right="0"/>
        </w:sectPr>
      </w:pPr>
    </w:p>
    <w:p>
      <w:pPr>
        <w:pStyle w:val="BodyText"/>
        <w:spacing w:line="446" w:lineRule="auto" w:before="47"/>
        <w:ind w:left="840" w:right="1716" w:hanging="3"/>
        <w:rPr>
          <w:b/>
        </w:rPr>
      </w:pPr>
      <w:r>
        <w:rPr/>
        <w:t>闪光型方位灯连续工作时间应不小于 100h，常亮型方位灯连续工作时间应不小于 20h。</w:t>
      </w:r>
      <w:r>
        <w:rPr>
          <w:b/>
        </w:rPr>
        <w:t>5.5 </w:t>
      </w:r>
      <w:r>
        <w:rPr/>
        <w:t>质 量</w:t>
      </w:r>
      <w:r>
        <w:rPr>
          <w:b/>
          <w:w w:val="99"/>
        </w:rPr>
        <w:t> </w:t>
      </w:r>
    </w:p>
    <w:p>
      <w:pPr>
        <w:pStyle w:val="BodyText"/>
        <w:spacing w:line="446" w:lineRule="auto"/>
        <w:ind w:left="840" w:right="6918" w:hanging="3"/>
        <w:rPr>
          <w:b/>
        </w:rPr>
      </w:pPr>
      <w:r>
        <w:rPr>
          <w:spacing w:val="-8"/>
        </w:rPr>
        <w:t>方位灯的质量应不大于 </w:t>
      </w:r>
      <w:r>
        <w:rPr/>
        <w:t>150g</w:t>
      </w:r>
      <w:r>
        <w:rPr>
          <w:spacing w:val="-3"/>
        </w:rPr>
        <w:t>。</w:t>
      </w:r>
      <w:r>
        <w:rPr>
          <w:b/>
        </w:rPr>
        <w:t>5.6</w:t>
      </w:r>
      <w:r>
        <w:rPr>
          <w:b/>
          <w:spacing w:val="103"/>
        </w:rPr>
        <w:t> </w:t>
      </w:r>
      <w:r>
        <w:rPr>
          <w:spacing w:val="-3"/>
        </w:rPr>
        <w:t>绝缘电阻</w:t>
      </w:r>
      <w:r>
        <w:rPr>
          <w:b/>
          <w:w w:val="99"/>
        </w:rPr>
        <w:t> </w:t>
      </w:r>
    </w:p>
    <w:p>
      <w:pPr>
        <w:pStyle w:val="BodyText"/>
        <w:spacing w:line="446" w:lineRule="auto"/>
        <w:ind w:left="418" w:right="1498" w:firstLine="419"/>
      </w:pPr>
      <w:r>
        <w:rPr/>
        <w:t>方位灯壳体和带电端子之间的绝缘电阻应不小千 50Ω，经湿热试验后的绝缘电阻应不小于10M</w:t>
      </w:r>
      <w:r>
        <w:rPr>
          <w:rFonts w:ascii="Times New Roman" w:hAnsi="Times New Roman" w:eastAsia="Times New Roman"/>
        </w:rPr>
        <w:t>Ω</w:t>
      </w:r>
      <w:r>
        <w:rPr/>
        <w:t>。 </w:t>
      </w:r>
    </w:p>
    <w:p>
      <w:pPr>
        <w:pStyle w:val="ListParagraph"/>
        <w:numPr>
          <w:ilvl w:val="1"/>
          <w:numId w:val="79"/>
        </w:numPr>
        <w:tabs>
          <w:tab w:pos="1159" w:val="left" w:leader="none"/>
        </w:tabs>
        <w:spacing w:line="240" w:lineRule="auto" w:before="0" w:after="0"/>
        <w:ind w:left="1158" w:right="0" w:hanging="319"/>
        <w:jc w:val="left"/>
        <w:rPr>
          <w:sz w:val="21"/>
        </w:rPr>
      </w:pPr>
      <w:r>
        <w:rPr>
          <w:spacing w:val="-3"/>
          <w:sz w:val="21"/>
        </w:rPr>
        <w:t>耐压性能</w:t>
      </w:r>
      <w:r>
        <w:rPr>
          <w:sz w:val="21"/>
        </w:rPr>
        <w:t> </w:t>
      </w:r>
    </w:p>
    <w:p>
      <w:pPr>
        <w:pStyle w:val="BodyText"/>
        <w:spacing w:before="11"/>
        <w:rPr>
          <w:sz w:val="17"/>
        </w:rPr>
      </w:pPr>
    </w:p>
    <w:p>
      <w:pPr>
        <w:pStyle w:val="BodyText"/>
        <w:spacing w:line="446" w:lineRule="auto"/>
        <w:ind w:left="418" w:right="1613" w:firstLine="419"/>
      </w:pPr>
      <w:r>
        <w:rPr>
          <w:spacing w:val="-8"/>
        </w:rPr>
        <w:t>方位灯应能耐受频率为 </w:t>
      </w:r>
      <w:r>
        <w:rPr/>
        <w:t>50Hz±0.5Hz</w:t>
      </w:r>
      <w:r>
        <w:rPr>
          <w:spacing w:val="-15"/>
        </w:rPr>
        <w:t>、电压 </w:t>
      </w:r>
      <w:r>
        <w:rPr/>
        <w:t>500V±50V</w:t>
      </w:r>
      <w:r>
        <w:rPr>
          <w:spacing w:val="-14"/>
        </w:rPr>
        <w:t>，历时 </w:t>
      </w:r>
      <w:r>
        <w:rPr/>
        <w:t>60s</w:t>
      </w:r>
      <w:r>
        <w:rPr>
          <w:spacing w:val="-34"/>
        </w:rPr>
        <w:t> 士 </w:t>
      </w:r>
      <w:r>
        <w:rPr/>
        <w:t>5s</w:t>
      </w:r>
      <w:r>
        <w:rPr>
          <w:spacing w:val="-8"/>
        </w:rPr>
        <w:t> 的耐压性能试验。</w:t>
      </w:r>
      <w:r>
        <w:rPr>
          <w:spacing w:val="-5"/>
        </w:rPr>
        <w:t>试验期间，不应发生表面飞弧和击穿现象。试验后，方位灯应能正常工作。</w:t>
      </w:r>
      <w:r>
        <w:rPr/>
        <w:t> </w:t>
      </w:r>
    </w:p>
    <w:p>
      <w:pPr>
        <w:pStyle w:val="ListParagraph"/>
        <w:numPr>
          <w:ilvl w:val="1"/>
          <w:numId w:val="79"/>
        </w:numPr>
        <w:tabs>
          <w:tab w:pos="1159" w:val="left" w:leader="none"/>
        </w:tabs>
        <w:spacing w:line="240" w:lineRule="auto" w:before="0" w:after="0"/>
        <w:ind w:left="1158" w:right="0" w:hanging="319"/>
        <w:jc w:val="left"/>
        <w:rPr>
          <w:b/>
          <w:sz w:val="21"/>
        </w:rPr>
      </w:pPr>
      <w:r>
        <w:rPr>
          <w:spacing w:val="-3"/>
          <w:sz w:val="21"/>
        </w:rPr>
        <w:t>外壳防护性能</w:t>
      </w:r>
      <w:r>
        <w:rPr>
          <w:b/>
          <w:w w:val="99"/>
          <w:sz w:val="21"/>
        </w:rPr>
        <w:t> </w:t>
      </w:r>
    </w:p>
    <w:p>
      <w:pPr>
        <w:pStyle w:val="BodyText"/>
        <w:spacing w:before="12"/>
        <w:rPr>
          <w:b/>
          <w:sz w:val="17"/>
        </w:rPr>
      </w:pPr>
    </w:p>
    <w:p>
      <w:pPr>
        <w:pStyle w:val="BodyText"/>
        <w:spacing w:line="446" w:lineRule="auto"/>
        <w:ind w:left="840" w:right="3397" w:hanging="3"/>
        <w:rPr>
          <w:b/>
        </w:rPr>
      </w:pPr>
      <w:r>
        <w:rPr>
          <w:spacing w:val="-7"/>
        </w:rPr>
        <w:t>方位灯的外壳防护性能应符合 </w:t>
      </w:r>
      <w:r>
        <w:rPr/>
        <w:t>GB 4208—200S</w:t>
      </w:r>
      <w:r>
        <w:rPr>
          <w:spacing w:val="-22"/>
        </w:rPr>
        <w:t> 规定的 </w:t>
      </w:r>
      <w:r>
        <w:rPr/>
        <w:t>IP 65</w:t>
      </w:r>
      <w:r>
        <w:rPr>
          <w:spacing w:val="-13"/>
        </w:rPr>
        <w:t> 的要求。</w:t>
      </w:r>
      <w:r>
        <w:rPr>
          <w:b/>
        </w:rPr>
        <w:t>5.9</w:t>
      </w:r>
      <w:r>
        <w:rPr>
          <w:b/>
          <w:spacing w:val="104"/>
        </w:rPr>
        <w:t> </w:t>
      </w:r>
      <w:r>
        <w:rPr>
          <w:spacing w:val="-3"/>
        </w:rPr>
        <w:t>耐气候环境性能</w:t>
      </w:r>
      <w:r>
        <w:rPr>
          <w:b/>
          <w:spacing w:val="-3"/>
          <w:w w:val="99"/>
        </w:rPr>
        <w:t> </w:t>
      </w:r>
    </w:p>
    <w:p>
      <w:pPr>
        <w:pStyle w:val="BodyText"/>
        <w:spacing w:line="446" w:lineRule="auto"/>
        <w:ind w:left="418" w:right="1608" w:firstLine="419"/>
      </w:pPr>
      <w:r>
        <w:rPr/>
        <w:drawing>
          <wp:anchor distT="0" distB="0" distL="0" distR="0" allowOverlap="1" layoutInCell="1" locked="0" behindDoc="1" simplePos="0" relativeHeight="215649280">
            <wp:simplePos x="0" y="0"/>
            <wp:positionH relativeFrom="page">
              <wp:posOffset>1389380</wp:posOffset>
            </wp:positionH>
            <wp:positionV relativeFrom="paragraph">
              <wp:posOffset>522351</wp:posOffset>
            </wp:positionV>
            <wp:extent cx="5114925" cy="1800225"/>
            <wp:effectExtent l="0" t="0" r="0" b="0"/>
            <wp:wrapNone/>
            <wp:docPr id="39" name="image35.jpeg"/>
            <wp:cNvGraphicFramePr>
              <a:graphicFrameLocks noChangeAspect="1"/>
            </wp:cNvGraphicFramePr>
            <a:graphic>
              <a:graphicData uri="http://schemas.openxmlformats.org/drawingml/2006/picture">
                <pic:pic>
                  <pic:nvPicPr>
                    <pic:cNvPr id="40" name="image35.jpeg"/>
                    <pic:cNvPicPr/>
                  </pic:nvPicPr>
                  <pic:blipFill>
                    <a:blip r:embed="rId41" cstate="print"/>
                    <a:stretch>
                      <a:fillRect/>
                    </a:stretch>
                  </pic:blipFill>
                  <pic:spPr>
                    <a:xfrm>
                      <a:off x="0" y="0"/>
                      <a:ext cx="5114925" cy="1800225"/>
                    </a:xfrm>
                    <a:prstGeom prst="rect">
                      <a:avLst/>
                    </a:prstGeom>
                  </pic:spPr>
                </pic:pic>
              </a:graphicData>
            </a:graphic>
          </wp:anchor>
        </w:drawing>
      </w:r>
      <w:r>
        <w:rPr>
          <w:spacing w:val="-7"/>
        </w:rPr>
        <w:t>方位灯应能耐受表 </w:t>
      </w:r>
      <w:r>
        <w:rPr/>
        <w:t>2</w:t>
      </w:r>
      <w:r>
        <w:rPr>
          <w:spacing w:val="-7"/>
        </w:rPr>
        <w:t> 所规定的气候环境条件下的各项试验，每项试验后，方位灯应能正常</w:t>
      </w:r>
      <w:r>
        <w:rPr>
          <w:spacing w:val="-6"/>
        </w:rPr>
        <w:t>工作。</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3"/>
        </w:rPr>
      </w:pPr>
    </w:p>
    <w:p>
      <w:pPr>
        <w:spacing w:before="0"/>
        <w:ind w:left="840" w:right="0" w:firstLine="0"/>
        <w:jc w:val="left"/>
        <w:rPr>
          <w:b/>
          <w:sz w:val="21"/>
        </w:rPr>
      </w:pPr>
      <w:r>
        <w:rPr>
          <w:b/>
          <w:sz w:val="21"/>
        </w:rPr>
        <w:t>5.10</w:t>
      </w:r>
      <w:r>
        <w:rPr>
          <w:b/>
          <w:spacing w:val="103"/>
          <w:sz w:val="21"/>
        </w:rPr>
        <w:t> </w:t>
      </w:r>
      <w:r>
        <w:rPr>
          <w:spacing w:val="-3"/>
          <w:sz w:val="21"/>
        </w:rPr>
        <w:t>耐机械环境性能</w:t>
      </w:r>
      <w:r>
        <w:rPr>
          <w:b/>
          <w:w w:val="99"/>
          <w:sz w:val="21"/>
        </w:rPr>
        <w:t> </w:t>
      </w:r>
    </w:p>
    <w:p>
      <w:pPr>
        <w:spacing w:after="0"/>
        <w:jc w:val="left"/>
        <w:rPr>
          <w:sz w:val="21"/>
        </w:rPr>
        <w:sectPr>
          <w:pgSz w:w="11910" w:h="16850"/>
          <w:pgMar w:header="0" w:footer="1239" w:top="1220" w:bottom="1420" w:left="1260" w:right="0"/>
        </w:sectPr>
      </w:pPr>
    </w:p>
    <w:p>
      <w:pPr>
        <w:pStyle w:val="BodyText"/>
        <w:spacing w:before="47"/>
        <w:ind w:left="838"/>
      </w:pPr>
      <w:r>
        <w:rPr/>
        <w:t>方位灯应能耐受表 3 所规定的机械环境条件下的试验。每项试验后，方位灯不应有机械损</w:t>
      </w:r>
    </w:p>
    <w:p>
      <w:pPr>
        <w:pStyle w:val="BodyText"/>
        <w:spacing w:before="5"/>
        <w:rPr>
          <w:sz w:val="14"/>
        </w:rPr>
      </w:pPr>
      <w:r>
        <w:rPr/>
        <w:drawing>
          <wp:anchor distT="0" distB="0" distL="0" distR="0" allowOverlap="1" layoutInCell="1" locked="0" behindDoc="0" simplePos="0" relativeHeight="16">
            <wp:simplePos x="0" y="0"/>
            <wp:positionH relativeFrom="page">
              <wp:posOffset>1456055</wp:posOffset>
            </wp:positionH>
            <wp:positionV relativeFrom="paragraph">
              <wp:posOffset>142327</wp:posOffset>
            </wp:positionV>
            <wp:extent cx="4943475" cy="1762125"/>
            <wp:effectExtent l="0" t="0" r="0" b="0"/>
            <wp:wrapTopAndBottom/>
            <wp:docPr id="41" name="image36.jpeg"/>
            <wp:cNvGraphicFramePr>
              <a:graphicFrameLocks noChangeAspect="1"/>
            </wp:cNvGraphicFramePr>
            <a:graphic>
              <a:graphicData uri="http://schemas.openxmlformats.org/drawingml/2006/picture">
                <pic:pic>
                  <pic:nvPicPr>
                    <pic:cNvPr id="42" name="image36.jpeg"/>
                    <pic:cNvPicPr/>
                  </pic:nvPicPr>
                  <pic:blipFill>
                    <a:blip r:embed="rId42" cstate="print"/>
                    <a:stretch>
                      <a:fillRect/>
                    </a:stretch>
                  </pic:blipFill>
                  <pic:spPr>
                    <a:xfrm>
                      <a:off x="0" y="0"/>
                      <a:ext cx="4943475" cy="1762125"/>
                    </a:xfrm>
                    <a:prstGeom prst="rect">
                      <a:avLst/>
                    </a:prstGeom>
                  </pic:spPr>
                </pic:pic>
              </a:graphicData>
            </a:graphic>
          </wp:anchor>
        </w:drawing>
      </w:r>
    </w:p>
    <w:p>
      <w:pPr>
        <w:spacing w:line="446" w:lineRule="auto" w:before="177"/>
        <w:ind w:left="840" w:right="6549" w:hanging="423"/>
        <w:jc w:val="left"/>
        <w:rPr>
          <w:b/>
          <w:sz w:val="21"/>
        </w:rPr>
      </w:pPr>
      <w:r>
        <w:rPr>
          <w:sz w:val="21"/>
        </w:rPr>
        <w:t>伤和紧固件松动现象，且能正常工作。</w:t>
      </w:r>
      <w:r>
        <w:rPr>
          <w:b/>
          <w:sz w:val="21"/>
        </w:rPr>
        <w:t>5.11 </w:t>
      </w:r>
      <w:r>
        <w:rPr>
          <w:sz w:val="21"/>
        </w:rPr>
        <w:t>抗跌落性能</w:t>
      </w:r>
      <w:r>
        <w:rPr>
          <w:b/>
          <w:w w:val="99"/>
          <w:sz w:val="21"/>
        </w:rPr>
        <w:t> </w:t>
      </w:r>
    </w:p>
    <w:p>
      <w:pPr>
        <w:pStyle w:val="BodyText"/>
        <w:spacing w:line="446" w:lineRule="auto"/>
        <w:ind w:left="418" w:right="1714" w:firstLine="419"/>
      </w:pPr>
      <w:r>
        <w:rPr>
          <w:spacing w:val="-8"/>
        </w:rPr>
        <w:t>方位灯应能承受 </w:t>
      </w:r>
      <w:r>
        <w:rPr/>
        <w:t>6.12</w:t>
      </w:r>
      <w:r>
        <w:rPr>
          <w:spacing w:val="-7"/>
        </w:rPr>
        <w:t> 规定的跌落试验。试验后，方位灯不得发生零部件松动、损坏的现</w:t>
      </w:r>
      <w:r>
        <w:rPr>
          <w:spacing w:val="-5"/>
        </w:rPr>
        <w:t>象，且能正常工作。</w:t>
      </w:r>
      <w:r>
        <w:rPr/>
        <w:t> </w:t>
      </w:r>
    </w:p>
    <w:p>
      <w:pPr>
        <w:spacing w:before="0"/>
        <w:ind w:left="840" w:right="0" w:firstLine="0"/>
        <w:jc w:val="left"/>
        <w:rPr>
          <w:sz w:val="21"/>
        </w:rPr>
      </w:pPr>
      <w:r>
        <w:rPr>
          <w:b/>
          <w:sz w:val="21"/>
        </w:rPr>
        <w:t>5.12 </w:t>
      </w:r>
      <w:r>
        <w:rPr>
          <w:sz w:val="21"/>
        </w:rPr>
        <w:t>防爆性能 </w:t>
      </w:r>
    </w:p>
    <w:p>
      <w:pPr>
        <w:pStyle w:val="BodyText"/>
        <w:spacing w:before="12"/>
        <w:rPr>
          <w:sz w:val="17"/>
        </w:rPr>
      </w:pPr>
    </w:p>
    <w:p>
      <w:pPr>
        <w:pStyle w:val="BodyText"/>
        <w:spacing w:line="446" w:lineRule="auto"/>
        <w:ind w:left="840" w:right="5500" w:hanging="3"/>
        <w:rPr>
          <w:b/>
        </w:rPr>
      </w:pPr>
      <w:r>
        <w:rPr/>
        <w:t>方位灯的防爆性能应符合 GB 3836.1 的规定。</w:t>
      </w:r>
      <w:r>
        <w:rPr>
          <w:b/>
        </w:rPr>
        <w:t>5.13 </w:t>
      </w:r>
      <w:r>
        <w:rPr/>
        <w:t>模拟烟雾环境方位指示性能</w:t>
      </w:r>
      <w:r>
        <w:rPr>
          <w:b/>
          <w:w w:val="99"/>
        </w:rPr>
        <w:t> </w:t>
      </w:r>
    </w:p>
    <w:p>
      <w:pPr>
        <w:pStyle w:val="BodyText"/>
        <w:ind w:left="838"/>
      </w:pPr>
      <w:r>
        <w:rPr/>
        <w:t>在浓烟环境中，应可指示方位灯的方位。 </w:t>
      </w:r>
    </w:p>
    <w:p>
      <w:pPr>
        <w:pStyle w:val="BodyText"/>
        <w:spacing w:before="8"/>
        <w:rPr>
          <w:sz w:val="15"/>
        </w:rPr>
      </w:pPr>
    </w:p>
    <w:p>
      <w:pPr>
        <w:pStyle w:val="Heading4"/>
      </w:pPr>
      <w:r>
        <w:rPr/>
        <w:t>6 试验方法</w:t>
      </w:r>
      <w:r>
        <w:rPr>
          <w:w w:val="99"/>
        </w:rPr>
        <w:t> </w:t>
      </w:r>
    </w:p>
    <w:p>
      <w:pPr>
        <w:pStyle w:val="BodyText"/>
        <w:spacing w:before="4"/>
        <w:rPr>
          <w:b/>
          <w:sz w:val="17"/>
        </w:rPr>
      </w:pPr>
    </w:p>
    <w:p>
      <w:pPr>
        <w:pStyle w:val="ListParagraph"/>
        <w:numPr>
          <w:ilvl w:val="1"/>
          <w:numId w:val="80"/>
        </w:numPr>
        <w:tabs>
          <w:tab w:pos="1159" w:val="left" w:leader="none"/>
        </w:tabs>
        <w:spacing w:line="240" w:lineRule="auto" w:before="0" w:after="0"/>
        <w:ind w:left="1158" w:right="0" w:hanging="319"/>
        <w:jc w:val="left"/>
        <w:rPr>
          <w:b/>
          <w:sz w:val="21"/>
        </w:rPr>
      </w:pPr>
      <w:r>
        <w:rPr>
          <w:spacing w:val="-3"/>
          <w:sz w:val="21"/>
        </w:rPr>
        <w:t>外观与装配质量检查</w:t>
      </w:r>
      <w:r>
        <w:rPr>
          <w:b/>
          <w:w w:val="99"/>
          <w:sz w:val="21"/>
        </w:rPr>
        <w:t> </w:t>
      </w:r>
    </w:p>
    <w:p>
      <w:pPr>
        <w:pStyle w:val="BodyText"/>
        <w:spacing w:before="2"/>
        <w:rPr>
          <w:b/>
          <w:sz w:val="18"/>
        </w:rPr>
      </w:pPr>
    </w:p>
    <w:p>
      <w:pPr>
        <w:pStyle w:val="BodyText"/>
        <w:ind w:left="838"/>
      </w:pPr>
      <w:r>
        <w:rPr/>
        <w:t>目测检查。 </w:t>
      </w:r>
    </w:p>
    <w:p>
      <w:pPr>
        <w:pStyle w:val="BodyText"/>
        <w:spacing w:before="12"/>
        <w:rPr>
          <w:sz w:val="17"/>
        </w:rPr>
      </w:pPr>
    </w:p>
    <w:p>
      <w:pPr>
        <w:pStyle w:val="ListParagraph"/>
        <w:numPr>
          <w:ilvl w:val="1"/>
          <w:numId w:val="80"/>
        </w:numPr>
        <w:tabs>
          <w:tab w:pos="1159" w:val="left" w:leader="none"/>
        </w:tabs>
        <w:spacing w:line="240" w:lineRule="auto" w:before="0" w:after="0"/>
        <w:ind w:left="1158" w:right="0" w:hanging="319"/>
        <w:jc w:val="left"/>
        <w:rPr>
          <w:sz w:val="21"/>
        </w:rPr>
      </w:pPr>
      <w:r>
        <w:rPr>
          <w:spacing w:val="-3"/>
          <w:sz w:val="21"/>
        </w:rPr>
        <w:t>发光亮度测量</w:t>
      </w:r>
      <w:r>
        <w:rPr>
          <w:sz w:val="21"/>
        </w:rPr>
        <w:t> </w:t>
      </w:r>
    </w:p>
    <w:p>
      <w:pPr>
        <w:pStyle w:val="BodyText"/>
        <w:rPr>
          <w:sz w:val="18"/>
        </w:rPr>
      </w:pPr>
    </w:p>
    <w:p>
      <w:pPr>
        <w:pStyle w:val="BodyText"/>
        <w:spacing w:line="446" w:lineRule="auto"/>
        <w:ind w:left="418" w:right="1609" w:firstLine="419"/>
      </w:pPr>
      <w:r>
        <w:rPr>
          <w:spacing w:val="-5"/>
        </w:rPr>
        <w:t>方位灯发光亮度测试点的分布按图 </w:t>
      </w:r>
      <w:r>
        <w:rPr/>
        <w:t>1</w:t>
      </w:r>
      <w:r>
        <w:rPr>
          <w:spacing w:val="-8"/>
        </w:rPr>
        <w:t> 要求，用精度不低于</w:t>
      </w:r>
      <w:r>
        <w:rPr/>
        <w:t>±5</w:t>
      </w:r>
      <w:r>
        <w:rPr>
          <w:spacing w:val="-3"/>
        </w:rPr>
        <w:t>%的亮度测量仪在方位灯发光</w:t>
      </w:r>
      <w:r>
        <w:rPr>
          <w:spacing w:val="-28"/>
        </w:rPr>
        <w:t>面 </w:t>
      </w:r>
      <w:r>
        <w:rPr/>
        <w:t>5m</w:t>
      </w:r>
      <w:r>
        <w:rPr>
          <w:spacing w:val="-12"/>
        </w:rPr>
        <w:t> 远处测量。</w:t>
      </w:r>
      <w:r>
        <w:rPr/>
        <w:t> </w:t>
      </w:r>
    </w:p>
    <w:p>
      <w:pPr>
        <w:pStyle w:val="BodyText"/>
        <w:ind w:left="4812"/>
      </w:pPr>
      <w:r>
        <w:rPr>
          <w:w w:val="100"/>
        </w:rPr>
        <w:t> </w:t>
      </w:r>
    </w:p>
    <w:p>
      <w:pPr>
        <w:spacing w:after="0"/>
        <w:sectPr>
          <w:pgSz w:w="11910" w:h="16850"/>
          <w:pgMar w:header="0" w:footer="1239" w:top="1220" w:bottom="1420" w:left="1260" w:right="0"/>
        </w:sectPr>
      </w:pPr>
    </w:p>
    <w:p>
      <w:pPr>
        <w:pStyle w:val="BodyText"/>
        <w:ind w:left="2698"/>
        <w:rPr>
          <w:sz w:val="20"/>
        </w:rPr>
      </w:pPr>
      <w:r>
        <w:rPr>
          <w:sz w:val="20"/>
        </w:rPr>
        <w:drawing>
          <wp:inline distT="0" distB="0" distL="0" distR="0">
            <wp:extent cx="2514599" cy="2590800"/>
            <wp:effectExtent l="0" t="0" r="0" b="0"/>
            <wp:docPr id="43" name="image37.jpeg"/>
            <wp:cNvGraphicFramePr>
              <a:graphicFrameLocks noChangeAspect="1"/>
            </wp:cNvGraphicFramePr>
            <a:graphic>
              <a:graphicData uri="http://schemas.openxmlformats.org/drawingml/2006/picture">
                <pic:pic>
                  <pic:nvPicPr>
                    <pic:cNvPr id="44" name="image37.jpeg"/>
                    <pic:cNvPicPr/>
                  </pic:nvPicPr>
                  <pic:blipFill>
                    <a:blip r:embed="rId43" cstate="print"/>
                    <a:stretch>
                      <a:fillRect/>
                    </a:stretch>
                  </pic:blipFill>
                  <pic:spPr>
                    <a:xfrm>
                      <a:off x="0" y="0"/>
                      <a:ext cx="2514599" cy="259080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6"/>
        </w:rPr>
      </w:pPr>
    </w:p>
    <w:p>
      <w:pPr>
        <w:pStyle w:val="ListParagraph"/>
        <w:numPr>
          <w:ilvl w:val="1"/>
          <w:numId w:val="80"/>
        </w:numPr>
        <w:tabs>
          <w:tab w:pos="1159" w:val="left" w:leader="none"/>
        </w:tabs>
        <w:spacing w:line="240" w:lineRule="auto" w:before="72" w:after="0"/>
        <w:ind w:left="1158" w:right="0" w:hanging="319"/>
        <w:jc w:val="left"/>
        <w:rPr>
          <w:b/>
          <w:sz w:val="21"/>
        </w:rPr>
      </w:pPr>
      <w:r>
        <w:rPr>
          <w:spacing w:val="-3"/>
          <w:sz w:val="21"/>
        </w:rPr>
        <w:t>闪光频率测量</w:t>
      </w:r>
      <w:r>
        <w:rPr>
          <w:b/>
          <w:w w:val="99"/>
          <w:sz w:val="21"/>
        </w:rPr>
        <w:t> </w:t>
      </w:r>
    </w:p>
    <w:p>
      <w:pPr>
        <w:pStyle w:val="BodyText"/>
        <w:spacing w:before="1"/>
        <w:rPr>
          <w:b/>
          <w:sz w:val="18"/>
        </w:rPr>
      </w:pPr>
    </w:p>
    <w:p>
      <w:pPr>
        <w:pStyle w:val="BodyText"/>
        <w:spacing w:line="446" w:lineRule="auto" w:before="1"/>
        <w:ind w:left="418" w:right="1505" w:firstLine="419"/>
      </w:pPr>
      <w:r>
        <w:rPr>
          <w:spacing w:val="-6"/>
        </w:rPr>
        <w:t>打开开关使方位灯工作。用精度不低于 </w:t>
      </w:r>
      <w:r>
        <w:rPr/>
        <w:t>0.1s</w:t>
      </w:r>
      <w:r>
        <w:rPr>
          <w:spacing w:val="-15"/>
        </w:rPr>
        <w:t> 的秒表记录 </w:t>
      </w:r>
      <w:r>
        <w:rPr/>
        <w:t>20s</w:t>
      </w:r>
      <w:r>
        <w:rPr>
          <w:spacing w:val="-8"/>
        </w:rPr>
        <w:t> 时间内方位灯发光器件闪烁次</w:t>
      </w:r>
      <w:r>
        <w:rPr>
          <w:spacing w:val="-5"/>
        </w:rPr>
        <w:t>数，计算闪光频率。</w:t>
      </w:r>
      <w:r>
        <w:rPr/>
        <w:t> </w:t>
      </w:r>
    </w:p>
    <w:p>
      <w:pPr>
        <w:pStyle w:val="ListParagraph"/>
        <w:numPr>
          <w:ilvl w:val="1"/>
          <w:numId w:val="80"/>
        </w:numPr>
        <w:tabs>
          <w:tab w:pos="1159" w:val="left" w:leader="none"/>
        </w:tabs>
        <w:spacing w:line="267" w:lineRule="exact" w:before="0" w:after="0"/>
        <w:ind w:left="1158" w:right="0" w:hanging="319"/>
        <w:jc w:val="left"/>
        <w:rPr>
          <w:b/>
          <w:sz w:val="21"/>
        </w:rPr>
      </w:pPr>
      <w:r>
        <w:rPr>
          <w:spacing w:val="-3"/>
          <w:sz w:val="21"/>
        </w:rPr>
        <w:t>连续工作时间试验</w:t>
      </w:r>
      <w:r>
        <w:rPr>
          <w:b/>
          <w:w w:val="99"/>
          <w:sz w:val="21"/>
        </w:rPr>
        <w:t> </w:t>
      </w:r>
    </w:p>
    <w:p>
      <w:pPr>
        <w:pStyle w:val="BodyText"/>
        <w:spacing w:before="1"/>
        <w:rPr>
          <w:b/>
          <w:sz w:val="18"/>
        </w:rPr>
      </w:pPr>
    </w:p>
    <w:p>
      <w:pPr>
        <w:pStyle w:val="BodyText"/>
        <w:spacing w:line="446" w:lineRule="auto" w:before="1"/>
        <w:ind w:left="840" w:right="1505" w:hanging="3"/>
      </w:pPr>
      <w:r>
        <w:rPr/>
        <w:t>打开开关使方位灯工作，同时用钟表开始计时，直到方位灯熄灭时停止计时并读取时间。</w:t>
      </w:r>
      <w:r>
        <w:rPr>
          <w:b/>
        </w:rPr>
        <w:t>6.5 </w:t>
      </w:r>
      <w:r>
        <w:rPr/>
        <w:t>质量测量 </w:t>
      </w:r>
    </w:p>
    <w:p>
      <w:pPr>
        <w:pStyle w:val="BodyText"/>
        <w:spacing w:line="446" w:lineRule="auto"/>
        <w:ind w:left="840" w:right="5605" w:hanging="3"/>
        <w:rPr>
          <w:b/>
        </w:rPr>
      </w:pPr>
      <w:r>
        <w:rPr>
          <w:spacing w:val="-9"/>
        </w:rPr>
        <w:t>用精度不低于 </w:t>
      </w:r>
      <w:r>
        <w:rPr/>
        <w:t>1g</w:t>
      </w:r>
      <w:r>
        <w:rPr>
          <w:spacing w:val="-9"/>
        </w:rPr>
        <w:t> 的电子称测量方位灯质量。</w:t>
      </w:r>
      <w:r>
        <w:rPr>
          <w:b/>
        </w:rPr>
        <w:t>6.6</w:t>
      </w:r>
      <w:r>
        <w:rPr>
          <w:b/>
          <w:spacing w:val="104"/>
        </w:rPr>
        <w:t> </w:t>
      </w:r>
      <w:r>
        <w:rPr>
          <w:spacing w:val="-3"/>
        </w:rPr>
        <w:t>绝缘电阻试验</w:t>
      </w:r>
      <w:r>
        <w:rPr>
          <w:b/>
          <w:spacing w:val="-3"/>
          <w:w w:val="99"/>
        </w:rPr>
        <w:t> </w:t>
      </w:r>
    </w:p>
    <w:p>
      <w:pPr>
        <w:pStyle w:val="BodyText"/>
        <w:spacing w:line="446" w:lineRule="auto"/>
        <w:ind w:left="418" w:right="1505" w:firstLine="419"/>
      </w:pPr>
      <w:r>
        <w:rPr>
          <w:spacing w:val="-2"/>
        </w:rPr>
        <w:t>用精度不低于±</w:t>
      </w:r>
      <w:r>
        <w:rPr/>
        <w:t>5%</w:t>
      </w:r>
      <w:r>
        <w:rPr>
          <w:spacing w:val="-7"/>
        </w:rPr>
        <w:t>的绝缘电阻测量仪在 </w:t>
      </w:r>
      <w:r>
        <w:rPr/>
        <w:t>500V</w:t>
      </w:r>
      <w:r>
        <w:rPr>
          <w:spacing w:val="-8"/>
        </w:rPr>
        <w:t> 直流电压下测量方位灯壳体和带电端子之间的</w:t>
      </w:r>
      <w:r>
        <w:rPr>
          <w:spacing w:val="-6"/>
        </w:rPr>
        <w:t>绝缘电阻。</w:t>
      </w:r>
      <w:r>
        <w:rPr/>
        <w:t> </w:t>
      </w:r>
    </w:p>
    <w:p>
      <w:pPr>
        <w:pStyle w:val="ListParagraph"/>
        <w:numPr>
          <w:ilvl w:val="1"/>
          <w:numId w:val="81"/>
        </w:numPr>
        <w:tabs>
          <w:tab w:pos="1160" w:val="left" w:leader="none"/>
        </w:tabs>
        <w:spacing w:line="240" w:lineRule="auto" w:before="0" w:after="0"/>
        <w:ind w:left="1159" w:right="0" w:hanging="320"/>
        <w:jc w:val="left"/>
        <w:rPr>
          <w:b/>
          <w:sz w:val="21"/>
        </w:rPr>
      </w:pPr>
      <w:r>
        <w:rPr>
          <w:spacing w:val="-3"/>
          <w:sz w:val="21"/>
        </w:rPr>
        <w:t>耐压性能试验</w:t>
      </w:r>
      <w:r>
        <w:rPr>
          <w:b/>
          <w:spacing w:val="-3"/>
          <w:w w:val="99"/>
          <w:sz w:val="21"/>
        </w:rPr>
        <w:t> </w:t>
      </w:r>
    </w:p>
    <w:p>
      <w:pPr>
        <w:pStyle w:val="BodyText"/>
        <w:spacing w:before="10"/>
        <w:rPr>
          <w:b/>
          <w:sz w:val="17"/>
        </w:rPr>
      </w:pPr>
    </w:p>
    <w:p>
      <w:pPr>
        <w:pStyle w:val="BodyText"/>
        <w:spacing w:line="446" w:lineRule="auto"/>
        <w:ind w:left="418" w:right="1812" w:firstLine="419"/>
      </w:pPr>
      <w:r>
        <w:rPr/>
        <w:t>用精度不低于±10%耐压试验装置在方位灯外部带电端子与壳体之间施加频率为 50Hz± 5Hz、电压 500V±50V 的交流电压，持续 60s±5s。 </w:t>
      </w:r>
    </w:p>
    <w:p>
      <w:pPr>
        <w:pStyle w:val="ListParagraph"/>
        <w:numPr>
          <w:ilvl w:val="1"/>
          <w:numId w:val="81"/>
        </w:numPr>
        <w:tabs>
          <w:tab w:pos="1159" w:val="left" w:leader="none"/>
        </w:tabs>
        <w:spacing w:line="240" w:lineRule="auto" w:before="0" w:after="0"/>
        <w:ind w:left="1158" w:right="0" w:hanging="319"/>
        <w:jc w:val="left"/>
        <w:rPr>
          <w:b/>
          <w:sz w:val="21"/>
        </w:rPr>
      </w:pPr>
      <w:r>
        <w:rPr>
          <w:spacing w:val="-3"/>
          <w:sz w:val="21"/>
        </w:rPr>
        <w:t>外売防护性能试验</w:t>
      </w:r>
      <w:r>
        <w:rPr>
          <w:b/>
          <w:w w:val="99"/>
          <w:sz w:val="21"/>
        </w:rPr>
        <w:t> </w:t>
      </w:r>
    </w:p>
    <w:p>
      <w:pPr>
        <w:pStyle w:val="BodyText"/>
        <w:spacing w:before="12"/>
        <w:rPr>
          <w:b/>
          <w:sz w:val="17"/>
        </w:rPr>
      </w:pPr>
    </w:p>
    <w:p>
      <w:pPr>
        <w:pStyle w:val="BodyText"/>
        <w:spacing w:line="446" w:lineRule="auto"/>
        <w:ind w:left="840" w:right="5917" w:hanging="3"/>
        <w:rPr>
          <w:b/>
        </w:rPr>
      </w:pPr>
      <w:r>
        <w:rPr>
          <w:spacing w:val="-26"/>
        </w:rPr>
        <w:t>按 </w:t>
      </w:r>
      <w:r>
        <w:rPr/>
        <w:t>GB 4208—2008</w:t>
      </w:r>
      <w:r>
        <w:rPr>
          <w:spacing w:val="-8"/>
        </w:rPr>
        <w:t> 规定的试验方法进行。</w:t>
      </w:r>
      <w:r>
        <w:rPr>
          <w:b/>
        </w:rPr>
        <w:t>6.9</w:t>
      </w:r>
      <w:r>
        <w:rPr>
          <w:b/>
          <w:spacing w:val="105"/>
        </w:rPr>
        <w:t> </w:t>
      </w:r>
      <w:r>
        <w:rPr>
          <w:spacing w:val="-3"/>
        </w:rPr>
        <w:t>耐气候环境性能试验</w:t>
      </w:r>
      <w:r>
        <w:rPr>
          <w:b/>
          <w:w w:val="99"/>
        </w:rPr>
        <w:t> </w:t>
      </w:r>
    </w:p>
    <w:p>
      <w:pPr>
        <w:pStyle w:val="ListParagraph"/>
        <w:numPr>
          <w:ilvl w:val="2"/>
          <w:numId w:val="82"/>
        </w:numPr>
        <w:tabs>
          <w:tab w:pos="1370" w:val="left" w:leader="none"/>
        </w:tabs>
        <w:spacing w:line="240" w:lineRule="auto" w:before="0" w:after="0"/>
        <w:ind w:left="1369" w:right="0" w:hanging="530"/>
        <w:jc w:val="left"/>
        <w:rPr>
          <w:sz w:val="21"/>
        </w:rPr>
      </w:pPr>
      <w:r>
        <w:rPr>
          <w:spacing w:val="-3"/>
          <w:sz w:val="21"/>
        </w:rPr>
        <w:t>高温试验</w:t>
      </w:r>
      <w:r>
        <w:rPr>
          <w:sz w:val="21"/>
        </w:rPr>
        <w:t> </w:t>
      </w:r>
    </w:p>
    <w:p>
      <w:pPr>
        <w:spacing w:after="0" w:line="240" w:lineRule="auto"/>
        <w:jc w:val="left"/>
        <w:rPr>
          <w:sz w:val="21"/>
        </w:rPr>
        <w:sectPr>
          <w:pgSz w:w="11910" w:h="16850"/>
          <w:pgMar w:header="0" w:footer="1239" w:top="1320" w:bottom="1420" w:left="1260" w:right="0"/>
        </w:sectPr>
      </w:pPr>
    </w:p>
    <w:p>
      <w:pPr>
        <w:pStyle w:val="BodyText"/>
        <w:spacing w:line="446" w:lineRule="auto" w:before="47"/>
        <w:ind w:left="418" w:right="1608" w:firstLine="419"/>
      </w:pPr>
      <w:r>
        <w:rPr>
          <w:spacing w:val="-5"/>
        </w:rPr>
        <w:t>将方位灯放入高温试验箱中，使其处于通电状态，将温度设定为 </w:t>
      </w:r>
      <w:r>
        <w:rPr/>
        <w:t>70℃±2</w:t>
      </w:r>
      <w:r>
        <w:rPr>
          <w:spacing w:val="-9"/>
        </w:rPr>
        <w:t>℃，保持 </w:t>
      </w:r>
      <w:r>
        <w:rPr/>
        <w:t>2h，试</w:t>
      </w:r>
      <w:r>
        <w:rPr>
          <w:spacing w:val="-18"/>
        </w:rPr>
        <w:t>验按 </w:t>
      </w:r>
      <w:r>
        <w:rPr/>
        <w:t>GB/T 2423.2</w:t>
      </w:r>
      <w:r>
        <w:rPr>
          <w:spacing w:val="-9"/>
        </w:rPr>
        <w:t> 的规定进行。 </w:t>
      </w:r>
    </w:p>
    <w:p>
      <w:pPr>
        <w:pStyle w:val="ListParagraph"/>
        <w:numPr>
          <w:ilvl w:val="2"/>
          <w:numId w:val="82"/>
        </w:numPr>
        <w:tabs>
          <w:tab w:pos="1371" w:val="left" w:leader="none"/>
        </w:tabs>
        <w:spacing w:line="267" w:lineRule="exact" w:before="0" w:after="0"/>
        <w:ind w:left="1370" w:right="0" w:hanging="531"/>
        <w:jc w:val="left"/>
        <w:rPr>
          <w:sz w:val="21"/>
        </w:rPr>
      </w:pPr>
      <w:r>
        <w:rPr>
          <w:spacing w:val="-3"/>
          <w:sz w:val="21"/>
        </w:rPr>
        <w:t>低温试验</w:t>
      </w:r>
      <w:r>
        <w:rPr>
          <w:sz w:val="21"/>
        </w:rPr>
        <w:t> </w:t>
      </w:r>
    </w:p>
    <w:p>
      <w:pPr>
        <w:pStyle w:val="BodyText"/>
        <w:spacing w:before="2"/>
        <w:rPr>
          <w:sz w:val="18"/>
        </w:rPr>
      </w:pPr>
    </w:p>
    <w:p>
      <w:pPr>
        <w:pStyle w:val="BodyText"/>
        <w:spacing w:line="446" w:lineRule="auto"/>
        <w:ind w:left="418" w:right="1497" w:firstLine="419"/>
      </w:pPr>
      <w:r>
        <w:rPr/>
        <w:t>将方位灯放入低温试验箱中，使其处于通电状态，将温度设定为-25℃±2℃，保持 2h，试验按 GB/T 2423.1 的规定进行。 </w:t>
      </w:r>
    </w:p>
    <w:p>
      <w:pPr>
        <w:pStyle w:val="ListParagraph"/>
        <w:numPr>
          <w:ilvl w:val="2"/>
          <w:numId w:val="82"/>
        </w:numPr>
        <w:tabs>
          <w:tab w:pos="1371" w:val="left" w:leader="none"/>
        </w:tabs>
        <w:spacing w:line="267" w:lineRule="exact" w:before="0" w:after="0"/>
        <w:ind w:left="1370" w:right="0" w:hanging="531"/>
        <w:jc w:val="left"/>
        <w:rPr>
          <w:sz w:val="21"/>
        </w:rPr>
      </w:pPr>
      <w:r>
        <w:rPr>
          <w:spacing w:val="-3"/>
          <w:sz w:val="21"/>
        </w:rPr>
        <w:t>恒定湿热试验</w:t>
      </w:r>
      <w:r>
        <w:rPr>
          <w:sz w:val="21"/>
        </w:rPr>
        <w:t> </w:t>
      </w:r>
    </w:p>
    <w:p>
      <w:pPr>
        <w:pStyle w:val="BodyText"/>
        <w:spacing w:before="2"/>
        <w:rPr>
          <w:sz w:val="18"/>
        </w:rPr>
      </w:pPr>
    </w:p>
    <w:p>
      <w:pPr>
        <w:pStyle w:val="BodyText"/>
        <w:spacing w:line="386" w:lineRule="auto"/>
        <w:ind w:left="418" w:right="1602" w:firstLine="419"/>
      </w:pPr>
      <w:r>
        <w:rPr/>
        <w:t>将方位灯放入恒定湿热试验箱中，使其处于通电状态。调节温度到 40℃±2℃，温度稳定后，再调节试验箱的相对湿度至 82%</w:t>
      </w:r>
      <w:r>
        <w:rPr>
          <w:rFonts w:ascii="微软雅黑" w:hAnsi="微软雅黑" w:eastAsia="微软雅黑" w:hint="eastAsia"/>
        </w:rPr>
        <w:t>〜</w:t>
      </w:r>
      <w:r>
        <w:rPr/>
        <w:t>85%，保持 2h。试验按 GB/T 2423.3 的规定进行。 </w:t>
      </w:r>
    </w:p>
    <w:p>
      <w:pPr>
        <w:spacing w:line="212" w:lineRule="exact" w:before="0"/>
        <w:ind w:left="840" w:right="0" w:firstLine="0"/>
        <w:jc w:val="left"/>
        <w:rPr>
          <w:sz w:val="21"/>
        </w:rPr>
      </w:pPr>
      <w:r>
        <w:rPr>
          <w:b/>
          <w:sz w:val="21"/>
        </w:rPr>
        <w:t>6.10</w:t>
      </w:r>
      <w:r>
        <w:rPr>
          <w:b/>
          <w:spacing w:val="4"/>
          <w:sz w:val="21"/>
        </w:rPr>
        <w:t>  </w:t>
      </w:r>
      <w:r>
        <w:rPr>
          <w:spacing w:val="-3"/>
          <w:sz w:val="21"/>
        </w:rPr>
        <w:t>耐振动性能试验</w:t>
      </w:r>
      <w:r>
        <w:rPr>
          <w:sz w:val="21"/>
        </w:rPr>
        <w:t> </w:t>
      </w:r>
    </w:p>
    <w:p>
      <w:pPr>
        <w:pStyle w:val="BodyText"/>
        <w:spacing w:before="2"/>
        <w:rPr>
          <w:sz w:val="18"/>
        </w:rPr>
      </w:pPr>
    </w:p>
    <w:p>
      <w:pPr>
        <w:pStyle w:val="BodyText"/>
        <w:spacing w:line="446" w:lineRule="auto"/>
        <w:ind w:left="840" w:right="1402" w:hanging="3"/>
        <w:rPr>
          <w:b/>
        </w:rPr>
      </w:pPr>
      <w:r>
        <w:rPr>
          <w:spacing w:val="-7"/>
        </w:rPr>
        <w:t>将方位灯固定在振动台上，按 </w:t>
      </w:r>
      <w:r>
        <w:rPr/>
        <w:t>5.10</w:t>
      </w:r>
      <w:r>
        <w:rPr>
          <w:spacing w:val="-15"/>
        </w:rPr>
        <w:t> 中振动</w:t>
      </w:r>
      <w:r>
        <w:rPr>
          <w:spacing w:val="-3"/>
        </w:rPr>
        <w:t>（</w:t>
      </w:r>
      <w:r>
        <w:rPr>
          <w:spacing w:val="-9"/>
        </w:rPr>
        <w:t>正弦)试验条件及 </w:t>
      </w:r>
      <w:r>
        <w:rPr/>
        <w:t>GB/T</w:t>
      </w:r>
      <w:r>
        <w:rPr>
          <w:spacing w:val="9"/>
        </w:rPr>
        <w:t> </w:t>
      </w:r>
      <w:r>
        <w:rPr/>
        <w:t>2423.10</w:t>
      </w:r>
      <w:r>
        <w:rPr>
          <w:spacing w:val="-10"/>
        </w:rPr>
        <w:t> 的规定进行。</w:t>
      </w:r>
      <w:r>
        <w:rPr>
          <w:b/>
        </w:rPr>
        <w:t>6.11</w:t>
      </w:r>
      <w:r>
        <w:rPr>
          <w:b/>
          <w:spacing w:val="102"/>
        </w:rPr>
        <w:t> </w:t>
      </w:r>
      <w:r>
        <w:rPr>
          <w:spacing w:val="-3"/>
        </w:rPr>
        <w:t>耐冲击性能试验</w:t>
      </w:r>
      <w:r>
        <w:rPr>
          <w:b/>
          <w:w w:val="99"/>
        </w:rPr>
        <w:t> </w:t>
      </w:r>
    </w:p>
    <w:p>
      <w:pPr>
        <w:pStyle w:val="BodyText"/>
        <w:spacing w:line="446" w:lineRule="auto"/>
        <w:ind w:left="840" w:right="2242" w:hanging="3"/>
      </w:pPr>
      <w:r>
        <w:rPr>
          <w:spacing w:val="-7"/>
        </w:rPr>
        <w:t>将方位灯固定在冲击台上，按 </w:t>
      </w:r>
      <w:r>
        <w:rPr/>
        <w:t>5.10</w:t>
      </w:r>
      <w:r>
        <w:rPr>
          <w:spacing w:val="-14"/>
        </w:rPr>
        <w:t> 中冲击试验条件及 </w:t>
      </w:r>
      <w:r>
        <w:rPr/>
        <w:t>GB/T 2423.5</w:t>
      </w:r>
      <w:r>
        <w:rPr>
          <w:spacing w:val="-10"/>
        </w:rPr>
        <w:t> 的规定进行。</w:t>
      </w:r>
      <w:r>
        <w:rPr>
          <w:b/>
          <w:spacing w:val="-10"/>
        </w:rPr>
        <w:t>6.12 </w:t>
      </w:r>
      <w:r>
        <w:rPr>
          <w:spacing w:val="-3"/>
        </w:rPr>
        <w:t>抗跌落性能试验</w:t>
      </w:r>
      <w:r>
        <w:rPr/>
        <w:t> </w:t>
      </w:r>
    </w:p>
    <w:p>
      <w:pPr>
        <w:pStyle w:val="BodyText"/>
        <w:spacing w:line="446" w:lineRule="auto"/>
        <w:ind w:left="840" w:right="3923" w:hanging="3"/>
      </w:pPr>
      <w:r>
        <w:rPr>
          <w:spacing w:val="-11"/>
        </w:rPr>
        <w:t>方位灯从 </w:t>
      </w:r>
      <w:r>
        <w:rPr/>
        <w:t>2m</w:t>
      </w:r>
      <w:r>
        <w:rPr>
          <w:spacing w:val="-10"/>
        </w:rPr>
        <w:t> 的髙度跌落到混凝土地面上，每只样品试验 </w:t>
      </w:r>
      <w:r>
        <w:rPr/>
        <w:t>3</w:t>
      </w:r>
      <w:r>
        <w:rPr>
          <w:spacing w:val="-18"/>
        </w:rPr>
        <w:t> 次。</w:t>
      </w:r>
      <w:r>
        <w:rPr>
          <w:b/>
        </w:rPr>
        <w:t>6.13 </w:t>
      </w:r>
      <w:r>
        <w:rPr>
          <w:spacing w:val="-3"/>
        </w:rPr>
        <w:t>防爆性能试验</w:t>
      </w:r>
      <w:r>
        <w:rPr/>
        <w:t> </w:t>
      </w:r>
    </w:p>
    <w:p>
      <w:pPr>
        <w:pStyle w:val="BodyText"/>
        <w:spacing w:line="446" w:lineRule="auto"/>
        <w:ind w:left="840" w:right="5288" w:hanging="3"/>
      </w:pPr>
      <w:r>
        <w:rPr/>
        <w:t>方位灯防爆性能试验应符合 GB 3836.1 的规定。</w:t>
      </w:r>
      <w:r>
        <w:rPr>
          <w:b/>
        </w:rPr>
        <w:t>6.14 </w:t>
      </w:r>
      <w:r>
        <w:rPr/>
        <w:t>模拟烟雾环境方位指示性能试验 </w:t>
      </w:r>
    </w:p>
    <w:p>
      <w:pPr>
        <w:pStyle w:val="BodyText"/>
        <w:spacing w:line="446" w:lineRule="auto"/>
        <w:ind w:left="418" w:right="1455" w:firstLine="419"/>
      </w:pPr>
      <w:r>
        <w:rPr>
          <w:spacing w:val="-7"/>
        </w:rPr>
        <w:t>试验室面积应不小于 </w:t>
      </w:r>
      <w:r>
        <w:rPr/>
        <w:t>3m×4m</w:t>
      </w:r>
      <w:r>
        <w:rPr>
          <w:spacing w:val="-6"/>
        </w:rPr>
        <w:t>。使用舞台发烟器发烟，烟气浓度以 </w:t>
      </w:r>
      <w:r>
        <w:rPr/>
        <w:t>1m</w:t>
      </w:r>
      <w:r>
        <w:rPr>
          <w:spacing w:val="-8"/>
        </w:rPr>
        <w:t> 内肉眼无法识别物体为</w:t>
      </w:r>
      <w:r>
        <w:rPr>
          <w:spacing w:val="-7"/>
        </w:rPr>
        <w:t>准，在试验室内使方位灯处于工作状态，在距离方位灯 </w:t>
      </w:r>
      <w:r>
        <w:rPr/>
        <w:t>3m</w:t>
      </w:r>
      <w:r>
        <w:rPr>
          <w:spacing w:val="-9"/>
        </w:rPr>
        <w:t> 远处观察方位灯方位。</w:t>
      </w:r>
      <w:r>
        <w:rPr/>
        <w:t> </w:t>
      </w:r>
    </w:p>
    <w:p>
      <w:pPr>
        <w:pStyle w:val="Heading4"/>
        <w:spacing w:line="278" w:lineRule="exact"/>
      </w:pPr>
      <w:r>
        <w:rPr/>
        <w:t>7 检验规则</w:t>
      </w:r>
      <w:r>
        <w:rPr>
          <w:w w:val="99"/>
        </w:rPr>
        <w:t> </w:t>
      </w:r>
    </w:p>
    <w:p>
      <w:pPr>
        <w:pStyle w:val="BodyText"/>
        <w:spacing w:before="12"/>
        <w:rPr>
          <w:b/>
          <w:sz w:val="16"/>
        </w:rPr>
      </w:pPr>
    </w:p>
    <w:p>
      <w:pPr>
        <w:pStyle w:val="ListParagraph"/>
        <w:numPr>
          <w:ilvl w:val="1"/>
          <w:numId w:val="83"/>
        </w:numPr>
        <w:tabs>
          <w:tab w:pos="1159" w:val="left" w:leader="none"/>
        </w:tabs>
        <w:spacing w:line="240" w:lineRule="auto" w:before="0" w:after="0"/>
        <w:ind w:left="1158" w:right="0" w:hanging="319"/>
        <w:jc w:val="left"/>
        <w:rPr>
          <w:b/>
          <w:sz w:val="21"/>
        </w:rPr>
      </w:pPr>
      <w:r>
        <w:rPr>
          <w:spacing w:val="-3"/>
          <w:sz w:val="21"/>
        </w:rPr>
        <w:t>形式检验</w:t>
      </w:r>
      <w:r>
        <w:rPr>
          <w:b/>
          <w:w w:val="99"/>
          <w:sz w:val="21"/>
        </w:rPr>
        <w:t> </w:t>
      </w:r>
    </w:p>
    <w:p>
      <w:pPr>
        <w:pStyle w:val="BodyText"/>
        <w:spacing w:before="2"/>
        <w:rPr>
          <w:b/>
          <w:sz w:val="18"/>
        </w:rPr>
      </w:pPr>
    </w:p>
    <w:p>
      <w:pPr>
        <w:pStyle w:val="ListParagraph"/>
        <w:numPr>
          <w:ilvl w:val="2"/>
          <w:numId w:val="83"/>
        </w:numPr>
        <w:tabs>
          <w:tab w:pos="1371" w:val="left" w:leader="none"/>
        </w:tabs>
        <w:spacing w:line="240" w:lineRule="auto" w:before="0" w:after="0"/>
        <w:ind w:left="1370" w:right="0" w:hanging="531"/>
        <w:jc w:val="left"/>
        <w:rPr>
          <w:sz w:val="21"/>
        </w:rPr>
      </w:pPr>
      <w:r>
        <w:rPr>
          <w:spacing w:val="-3"/>
          <w:sz w:val="21"/>
        </w:rPr>
        <w:t>有下列情况之一时，应进行形式检验：</w:t>
      </w:r>
      <w:r>
        <w:rPr>
          <w:sz w:val="21"/>
        </w:rPr>
        <w:t> </w:t>
      </w:r>
    </w:p>
    <w:p>
      <w:pPr>
        <w:pStyle w:val="BodyText"/>
        <w:spacing w:before="12"/>
        <w:rPr>
          <w:sz w:val="17"/>
        </w:rPr>
      </w:pPr>
    </w:p>
    <w:p>
      <w:pPr>
        <w:pStyle w:val="ListParagraph"/>
        <w:numPr>
          <w:ilvl w:val="0"/>
          <w:numId w:val="84"/>
        </w:numPr>
        <w:tabs>
          <w:tab w:pos="1051" w:val="left" w:leader="none"/>
        </w:tabs>
        <w:spacing w:line="240" w:lineRule="auto" w:before="0" w:after="0"/>
        <w:ind w:left="1050" w:right="0" w:hanging="213"/>
        <w:jc w:val="left"/>
        <w:rPr>
          <w:sz w:val="21"/>
        </w:rPr>
      </w:pPr>
      <w:r>
        <w:rPr>
          <w:spacing w:val="-3"/>
          <w:sz w:val="21"/>
        </w:rPr>
        <w:t>新产品投产或老产品转厂生产时的试制定型；</w:t>
      </w:r>
      <w:r>
        <w:rPr>
          <w:sz w:val="21"/>
        </w:rPr>
        <w:t> </w:t>
      </w:r>
    </w:p>
    <w:p>
      <w:pPr>
        <w:pStyle w:val="BodyText"/>
        <w:spacing w:before="12"/>
        <w:rPr>
          <w:sz w:val="17"/>
        </w:rPr>
      </w:pPr>
    </w:p>
    <w:p>
      <w:pPr>
        <w:pStyle w:val="ListParagraph"/>
        <w:numPr>
          <w:ilvl w:val="0"/>
          <w:numId w:val="84"/>
        </w:numPr>
        <w:tabs>
          <w:tab w:pos="1051" w:val="left" w:leader="none"/>
        </w:tabs>
        <w:spacing w:line="240" w:lineRule="auto" w:before="0" w:after="0"/>
        <w:ind w:left="1050" w:right="0" w:hanging="213"/>
        <w:jc w:val="left"/>
        <w:rPr>
          <w:sz w:val="21"/>
        </w:rPr>
      </w:pPr>
      <w:r>
        <w:rPr>
          <w:spacing w:val="-3"/>
          <w:sz w:val="21"/>
        </w:rPr>
        <w:t>投产后产品结构、主要部件、生产工艺等有较大改变，可能影响产品性能时； </w:t>
      </w:r>
    </w:p>
    <w:p>
      <w:pPr>
        <w:pStyle w:val="BodyText"/>
        <w:spacing w:before="2"/>
        <w:rPr>
          <w:sz w:val="18"/>
        </w:rPr>
      </w:pPr>
    </w:p>
    <w:p>
      <w:pPr>
        <w:pStyle w:val="ListParagraph"/>
        <w:numPr>
          <w:ilvl w:val="0"/>
          <w:numId w:val="84"/>
        </w:numPr>
        <w:tabs>
          <w:tab w:pos="1051" w:val="left" w:leader="none"/>
        </w:tabs>
        <w:spacing w:line="240" w:lineRule="auto" w:before="0" w:after="0"/>
        <w:ind w:left="1050" w:right="0" w:hanging="213"/>
        <w:jc w:val="left"/>
        <w:rPr>
          <w:sz w:val="21"/>
        </w:rPr>
      </w:pPr>
      <w:r>
        <w:rPr>
          <w:spacing w:val="-3"/>
          <w:sz w:val="21"/>
        </w:rPr>
        <w:t>投产后连续生产满三年；</w:t>
      </w:r>
      <w:r>
        <w:rPr>
          <w:sz w:val="21"/>
        </w:rPr>
        <w:t> </w:t>
      </w:r>
    </w:p>
    <w:p>
      <w:pPr>
        <w:pStyle w:val="BodyText"/>
        <w:rPr>
          <w:sz w:val="18"/>
        </w:rPr>
      </w:pPr>
    </w:p>
    <w:p>
      <w:pPr>
        <w:pStyle w:val="ListParagraph"/>
        <w:numPr>
          <w:ilvl w:val="0"/>
          <w:numId w:val="84"/>
        </w:numPr>
        <w:tabs>
          <w:tab w:pos="1051" w:val="left" w:leader="none"/>
        </w:tabs>
        <w:spacing w:line="240" w:lineRule="auto" w:before="0" w:after="0"/>
        <w:ind w:left="1050" w:right="0" w:hanging="213"/>
        <w:jc w:val="left"/>
        <w:rPr>
          <w:sz w:val="21"/>
        </w:rPr>
      </w:pPr>
      <w:r>
        <w:rPr>
          <w:spacing w:val="-3"/>
          <w:sz w:val="21"/>
        </w:rPr>
        <w:t>产品停产一年以上，恢复生产时；</w:t>
      </w:r>
      <w:r>
        <w:rPr>
          <w:sz w:val="21"/>
        </w:rPr>
        <w:t> </w:t>
      </w:r>
    </w:p>
    <w:p>
      <w:pPr>
        <w:pStyle w:val="BodyText"/>
        <w:rPr>
          <w:sz w:val="18"/>
        </w:rPr>
      </w:pPr>
    </w:p>
    <w:p>
      <w:pPr>
        <w:pStyle w:val="ListParagraph"/>
        <w:numPr>
          <w:ilvl w:val="0"/>
          <w:numId w:val="84"/>
        </w:numPr>
        <w:tabs>
          <w:tab w:pos="1051" w:val="left" w:leader="none"/>
        </w:tabs>
        <w:spacing w:line="446" w:lineRule="auto" w:before="0" w:after="0"/>
        <w:ind w:left="838" w:right="4866" w:firstLine="0"/>
        <w:jc w:val="left"/>
        <w:rPr>
          <w:sz w:val="21"/>
        </w:rPr>
      </w:pPr>
      <w:r>
        <w:rPr>
          <w:spacing w:val="-2"/>
          <w:sz w:val="21"/>
        </w:rPr>
        <w:t>出厂检验结果与上次形式检验结果差异较大时； </w:t>
      </w:r>
      <w:r>
        <w:rPr>
          <w:sz w:val="21"/>
        </w:rPr>
        <w:t>f </w:t>
      </w:r>
      <w:r>
        <w:rPr>
          <w:spacing w:val="4"/>
          <w:sz w:val="21"/>
        </w:rPr>
        <w:t>) 发生重大质量事故时； </w:t>
      </w:r>
    </w:p>
    <w:p>
      <w:pPr>
        <w:spacing w:after="0" w:line="446" w:lineRule="auto"/>
        <w:jc w:val="left"/>
        <w:rPr>
          <w:sz w:val="21"/>
        </w:rPr>
        <w:sectPr>
          <w:pgSz w:w="11910" w:h="16850"/>
          <w:pgMar w:header="0" w:footer="1239" w:top="1220" w:bottom="1420" w:left="1260" w:right="0"/>
        </w:sectPr>
      </w:pPr>
    </w:p>
    <w:p>
      <w:pPr>
        <w:pStyle w:val="BodyText"/>
        <w:spacing w:before="47"/>
        <w:ind w:left="838"/>
      </w:pPr>
      <w:r>
        <w:rPr/>
        <w:t>g) 国家质量监督机构提出要求时。 </w:t>
      </w:r>
    </w:p>
    <w:p>
      <w:pPr>
        <w:pStyle w:val="BodyText"/>
        <w:rPr>
          <w:sz w:val="18"/>
        </w:rPr>
      </w:pPr>
    </w:p>
    <w:p>
      <w:pPr>
        <w:pStyle w:val="ListParagraph"/>
        <w:numPr>
          <w:ilvl w:val="2"/>
          <w:numId w:val="83"/>
        </w:numPr>
        <w:tabs>
          <w:tab w:pos="1371" w:val="left" w:leader="none"/>
        </w:tabs>
        <w:spacing w:line="240" w:lineRule="auto" w:before="0" w:after="0"/>
        <w:ind w:left="1370" w:right="0" w:hanging="531"/>
        <w:jc w:val="left"/>
        <w:rPr>
          <w:sz w:val="21"/>
        </w:rPr>
      </w:pPr>
      <w:r>
        <w:rPr>
          <w:spacing w:val="-9"/>
          <w:sz w:val="21"/>
        </w:rPr>
        <w:t>形式检验项目按第 </w:t>
      </w:r>
      <w:r>
        <w:rPr>
          <w:sz w:val="21"/>
        </w:rPr>
        <w:t>5</w:t>
      </w:r>
      <w:r>
        <w:rPr>
          <w:spacing w:val="-28"/>
          <w:sz w:val="21"/>
        </w:rPr>
        <w:t> 章和 </w:t>
      </w:r>
      <w:r>
        <w:rPr>
          <w:sz w:val="21"/>
        </w:rPr>
        <w:t>8.1</w:t>
      </w:r>
      <w:r>
        <w:rPr>
          <w:spacing w:val="-13"/>
          <w:sz w:val="21"/>
        </w:rPr>
        <w:t> 的规定。</w:t>
      </w:r>
      <w:r>
        <w:rPr>
          <w:sz w:val="21"/>
        </w:rPr>
        <w:t> </w:t>
      </w:r>
    </w:p>
    <w:p>
      <w:pPr>
        <w:pStyle w:val="BodyText"/>
        <w:rPr>
          <w:sz w:val="18"/>
        </w:rPr>
      </w:pPr>
    </w:p>
    <w:p>
      <w:pPr>
        <w:pStyle w:val="ListParagraph"/>
        <w:numPr>
          <w:ilvl w:val="2"/>
          <w:numId w:val="83"/>
        </w:numPr>
        <w:tabs>
          <w:tab w:pos="1371" w:val="left" w:leader="none"/>
        </w:tabs>
        <w:spacing w:line="240" w:lineRule="auto" w:before="0" w:after="0"/>
        <w:ind w:left="1370" w:right="0" w:hanging="531"/>
        <w:jc w:val="left"/>
        <w:rPr>
          <w:sz w:val="21"/>
        </w:rPr>
      </w:pPr>
      <w:r>
        <w:rPr>
          <w:spacing w:val="-8"/>
          <w:sz w:val="21"/>
        </w:rPr>
        <w:t>形式检验的样本数为 </w:t>
      </w:r>
      <w:r>
        <w:rPr>
          <w:sz w:val="21"/>
        </w:rPr>
        <w:t>3</w:t>
      </w:r>
      <w:r>
        <w:rPr>
          <w:spacing w:val="-20"/>
          <w:sz w:val="21"/>
        </w:rPr>
        <w:t> 台。</w:t>
      </w:r>
      <w:r>
        <w:rPr>
          <w:sz w:val="21"/>
        </w:rPr>
        <w:t> </w:t>
      </w:r>
    </w:p>
    <w:p>
      <w:pPr>
        <w:pStyle w:val="BodyText"/>
        <w:spacing w:before="1"/>
        <w:rPr>
          <w:sz w:val="18"/>
        </w:rPr>
      </w:pPr>
    </w:p>
    <w:p>
      <w:pPr>
        <w:pStyle w:val="ListParagraph"/>
        <w:numPr>
          <w:ilvl w:val="2"/>
          <w:numId w:val="83"/>
        </w:numPr>
        <w:tabs>
          <w:tab w:pos="1371" w:val="left" w:leader="none"/>
        </w:tabs>
        <w:spacing w:line="240" w:lineRule="auto" w:before="1" w:after="0"/>
        <w:ind w:left="1370" w:right="0" w:hanging="531"/>
        <w:jc w:val="left"/>
        <w:rPr>
          <w:sz w:val="21"/>
        </w:rPr>
      </w:pPr>
      <w:r>
        <w:rPr>
          <w:spacing w:val="-8"/>
          <w:sz w:val="21"/>
        </w:rPr>
        <w:t>形式检验的试验顺序按表 </w:t>
      </w:r>
      <w:r>
        <w:rPr>
          <w:sz w:val="21"/>
        </w:rPr>
        <w:t>4</w:t>
      </w:r>
      <w:r>
        <w:rPr>
          <w:spacing w:val="-13"/>
          <w:sz w:val="21"/>
        </w:rPr>
        <w:t> 的规定。</w:t>
      </w:r>
      <w:r>
        <w:rPr>
          <w:sz w:val="21"/>
        </w:rPr>
        <w:t> </w:t>
      </w:r>
    </w:p>
    <w:p>
      <w:pPr>
        <w:pStyle w:val="BodyText"/>
        <w:spacing w:before="11"/>
        <w:rPr>
          <w:sz w:val="7"/>
        </w:rPr>
      </w:pPr>
      <w:r>
        <w:rPr/>
        <w:drawing>
          <wp:anchor distT="0" distB="0" distL="0" distR="0" allowOverlap="1" layoutInCell="1" locked="0" behindDoc="0" simplePos="0" relativeHeight="17">
            <wp:simplePos x="0" y="0"/>
            <wp:positionH relativeFrom="page">
              <wp:posOffset>1276985</wp:posOffset>
            </wp:positionH>
            <wp:positionV relativeFrom="paragraph">
              <wp:posOffset>88947</wp:posOffset>
            </wp:positionV>
            <wp:extent cx="5070967" cy="3238500"/>
            <wp:effectExtent l="0" t="0" r="0" b="0"/>
            <wp:wrapTopAndBottom/>
            <wp:docPr id="45" name="image38.jpeg"/>
            <wp:cNvGraphicFramePr>
              <a:graphicFrameLocks noChangeAspect="1"/>
            </wp:cNvGraphicFramePr>
            <a:graphic>
              <a:graphicData uri="http://schemas.openxmlformats.org/drawingml/2006/picture">
                <pic:pic>
                  <pic:nvPicPr>
                    <pic:cNvPr id="46" name="image38.jpeg"/>
                    <pic:cNvPicPr/>
                  </pic:nvPicPr>
                  <pic:blipFill>
                    <a:blip r:embed="rId44" cstate="print"/>
                    <a:stretch>
                      <a:fillRect/>
                    </a:stretch>
                  </pic:blipFill>
                  <pic:spPr>
                    <a:xfrm>
                      <a:off x="0" y="0"/>
                      <a:ext cx="5070967" cy="3238500"/>
                    </a:xfrm>
                    <a:prstGeom prst="rect">
                      <a:avLst/>
                    </a:prstGeom>
                  </pic:spPr>
                </pic:pic>
              </a:graphicData>
            </a:graphic>
          </wp:anchor>
        </w:drawing>
      </w:r>
    </w:p>
    <w:p>
      <w:pPr>
        <w:pStyle w:val="ListParagraph"/>
        <w:numPr>
          <w:ilvl w:val="2"/>
          <w:numId w:val="83"/>
        </w:numPr>
        <w:tabs>
          <w:tab w:pos="1371" w:val="left" w:leader="none"/>
        </w:tabs>
        <w:spacing w:line="240" w:lineRule="auto" w:before="174" w:after="0"/>
        <w:ind w:left="1370" w:right="0" w:hanging="531"/>
        <w:jc w:val="left"/>
        <w:rPr>
          <w:sz w:val="21"/>
        </w:rPr>
      </w:pPr>
      <w:r>
        <w:rPr>
          <w:spacing w:val="-3"/>
          <w:sz w:val="21"/>
        </w:rPr>
        <w:t>形式检验项目的结果全部符合本标准的规定，方为合格。</w:t>
      </w:r>
      <w:r>
        <w:rPr>
          <w:sz w:val="21"/>
        </w:rPr>
        <w:t> </w:t>
      </w:r>
    </w:p>
    <w:p>
      <w:pPr>
        <w:pStyle w:val="BodyText"/>
        <w:rPr>
          <w:sz w:val="18"/>
        </w:rPr>
      </w:pPr>
    </w:p>
    <w:p>
      <w:pPr>
        <w:pStyle w:val="ListParagraph"/>
        <w:numPr>
          <w:ilvl w:val="1"/>
          <w:numId w:val="83"/>
        </w:numPr>
        <w:tabs>
          <w:tab w:pos="1160" w:val="left" w:leader="none"/>
        </w:tabs>
        <w:spacing w:line="240" w:lineRule="auto" w:before="0" w:after="0"/>
        <w:ind w:left="1159" w:right="0" w:hanging="320"/>
        <w:jc w:val="left"/>
        <w:rPr>
          <w:b/>
          <w:sz w:val="21"/>
        </w:rPr>
      </w:pPr>
      <w:r>
        <w:rPr>
          <w:spacing w:val="-3"/>
          <w:sz w:val="21"/>
        </w:rPr>
        <w:t>出厂检验</w:t>
      </w:r>
      <w:r>
        <w:rPr>
          <w:b/>
          <w:w w:val="99"/>
          <w:sz w:val="21"/>
        </w:rPr>
        <w:t> </w:t>
      </w:r>
    </w:p>
    <w:p>
      <w:pPr>
        <w:pStyle w:val="BodyText"/>
        <w:spacing w:before="12"/>
        <w:rPr>
          <w:b/>
          <w:sz w:val="17"/>
        </w:rPr>
      </w:pPr>
    </w:p>
    <w:p>
      <w:pPr>
        <w:pStyle w:val="ListParagraph"/>
        <w:numPr>
          <w:ilvl w:val="2"/>
          <w:numId w:val="83"/>
        </w:numPr>
        <w:tabs>
          <w:tab w:pos="1371" w:val="left" w:leader="none"/>
        </w:tabs>
        <w:spacing w:line="240" w:lineRule="auto" w:before="0" w:after="0"/>
        <w:ind w:left="1370" w:right="0" w:hanging="531"/>
        <w:jc w:val="left"/>
        <w:rPr>
          <w:sz w:val="21"/>
        </w:rPr>
      </w:pPr>
      <w:r>
        <w:rPr>
          <w:spacing w:val="-3"/>
          <w:sz w:val="21"/>
        </w:rPr>
        <w:t>每台方位灯均应经出厂检验。</w:t>
      </w:r>
      <w:r>
        <w:rPr>
          <w:sz w:val="21"/>
        </w:rPr>
        <w:t> </w:t>
      </w:r>
    </w:p>
    <w:p>
      <w:pPr>
        <w:pStyle w:val="BodyText"/>
        <w:spacing w:before="2"/>
        <w:rPr>
          <w:sz w:val="18"/>
        </w:rPr>
      </w:pPr>
    </w:p>
    <w:p>
      <w:pPr>
        <w:pStyle w:val="ListParagraph"/>
        <w:numPr>
          <w:ilvl w:val="2"/>
          <w:numId w:val="83"/>
        </w:numPr>
        <w:tabs>
          <w:tab w:pos="1370" w:val="left" w:leader="none"/>
        </w:tabs>
        <w:spacing w:line="240" w:lineRule="auto" w:before="0" w:after="0"/>
        <w:ind w:left="1369" w:right="0" w:hanging="530"/>
        <w:jc w:val="left"/>
        <w:rPr>
          <w:sz w:val="21"/>
        </w:rPr>
      </w:pPr>
      <w:r>
        <w:rPr>
          <w:spacing w:val="-9"/>
          <w:sz w:val="21"/>
        </w:rPr>
        <w:t>出厂检验的项目按 </w:t>
      </w:r>
      <w:r>
        <w:rPr>
          <w:sz w:val="21"/>
        </w:rPr>
        <w:t>5.1、5.2</w:t>
      </w:r>
      <w:r>
        <w:rPr>
          <w:spacing w:val="-3"/>
          <w:sz w:val="21"/>
        </w:rPr>
        <w:t>、</w:t>
      </w:r>
      <w:r>
        <w:rPr>
          <w:sz w:val="21"/>
        </w:rPr>
        <w:t>5.3、5.6</w:t>
      </w:r>
      <w:r>
        <w:rPr>
          <w:spacing w:val="-10"/>
          <w:sz w:val="21"/>
        </w:rPr>
        <w:t> 的规定进行。</w:t>
      </w:r>
      <w:r>
        <w:rPr>
          <w:sz w:val="21"/>
        </w:rPr>
        <w:t> </w:t>
      </w:r>
    </w:p>
    <w:p>
      <w:pPr>
        <w:pStyle w:val="BodyText"/>
        <w:rPr>
          <w:sz w:val="18"/>
        </w:rPr>
      </w:pPr>
    </w:p>
    <w:p>
      <w:pPr>
        <w:pStyle w:val="ListParagraph"/>
        <w:numPr>
          <w:ilvl w:val="2"/>
          <w:numId w:val="83"/>
        </w:numPr>
        <w:tabs>
          <w:tab w:pos="1370" w:val="left" w:leader="none"/>
        </w:tabs>
        <w:spacing w:line="240" w:lineRule="auto" w:before="0" w:after="0"/>
        <w:ind w:left="1369" w:right="0" w:hanging="530"/>
        <w:jc w:val="left"/>
        <w:rPr>
          <w:sz w:val="21"/>
        </w:rPr>
      </w:pPr>
      <w:r>
        <w:rPr>
          <w:spacing w:val="-3"/>
          <w:sz w:val="21"/>
        </w:rPr>
        <w:t>出厂检验所检项目的结果全部符合本标准的规定，方为合格。</w:t>
      </w:r>
      <w:r>
        <w:rPr>
          <w:sz w:val="21"/>
        </w:rPr>
        <w:t> </w:t>
      </w:r>
    </w:p>
    <w:p>
      <w:pPr>
        <w:pStyle w:val="BodyText"/>
        <w:spacing w:before="8"/>
        <w:rPr>
          <w:sz w:val="15"/>
        </w:rPr>
      </w:pPr>
    </w:p>
    <w:p>
      <w:pPr>
        <w:pStyle w:val="Heading4"/>
      </w:pPr>
      <w:r>
        <w:rPr/>
        <w:t>8 标志、包装、运输和贮存</w:t>
      </w:r>
      <w:r>
        <w:rPr>
          <w:w w:val="99"/>
        </w:rPr>
        <w:t> </w:t>
      </w:r>
    </w:p>
    <w:p>
      <w:pPr>
        <w:pStyle w:val="BodyText"/>
        <w:spacing w:before="6"/>
        <w:rPr>
          <w:b/>
          <w:sz w:val="17"/>
        </w:rPr>
      </w:pPr>
    </w:p>
    <w:p>
      <w:pPr>
        <w:spacing w:before="1"/>
        <w:ind w:left="840" w:right="0" w:firstLine="0"/>
        <w:jc w:val="left"/>
        <w:rPr>
          <w:b/>
          <w:sz w:val="21"/>
        </w:rPr>
      </w:pPr>
      <w:r>
        <w:rPr>
          <w:b/>
          <w:sz w:val="21"/>
        </w:rPr>
        <w:t>8.1 </w:t>
      </w:r>
      <w:r>
        <w:rPr>
          <w:sz w:val="21"/>
        </w:rPr>
        <w:t>标志</w:t>
      </w:r>
      <w:r>
        <w:rPr>
          <w:b/>
          <w:w w:val="99"/>
          <w:sz w:val="21"/>
        </w:rPr>
        <w:t> </w:t>
      </w:r>
    </w:p>
    <w:p>
      <w:pPr>
        <w:pStyle w:val="BodyText"/>
        <w:spacing w:before="12"/>
        <w:rPr>
          <w:b/>
          <w:sz w:val="17"/>
        </w:rPr>
      </w:pPr>
    </w:p>
    <w:p>
      <w:pPr>
        <w:pStyle w:val="BodyText"/>
        <w:spacing w:line="446" w:lineRule="auto"/>
        <w:ind w:left="838" w:right="5500"/>
      </w:pPr>
      <w:r>
        <w:rPr/>
        <w:t>方位灯应有清晰耐久的标志，包括以下内容： a) 产品型号和名称； </w:t>
      </w:r>
    </w:p>
    <w:p>
      <w:pPr>
        <w:pStyle w:val="ListParagraph"/>
        <w:numPr>
          <w:ilvl w:val="0"/>
          <w:numId w:val="85"/>
        </w:numPr>
        <w:tabs>
          <w:tab w:pos="1051" w:val="left" w:leader="none"/>
        </w:tabs>
        <w:spacing w:line="240" w:lineRule="auto" w:before="0" w:after="0"/>
        <w:ind w:left="1050" w:right="0" w:hanging="213"/>
        <w:jc w:val="left"/>
        <w:rPr>
          <w:sz w:val="21"/>
        </w:rPr>
      </w:pPr>
      <w:r>
        <w:rPr>
          <w:spacing w:val="-3"/>
          <w:sz w:val="21"/>
        </w:rPr>
        <w:t>生产厂名；</w:t>
      </w:r>
      <w:r>
        <w:rPr>
          <w:sz w:val="21"/>
        </w:rPr>
        <w:t> </w:t>
      </w:r>
    </w:p>
    <w:p>
      <w:pPr>
        <w:pStyle w:val="BodyText"/>
        <w:spacing w:before="12"/>
        <w:rPr>
          <w:sz w:val="17"/>
        </w:rPr>
      </w:pPr>
    </w:p>
    <w:p>
      <w:pPr>
        <w:pStyle w:val="ListParagraph"/>
        <w:numPr>
          <w:ilvl w:val="0"/>
          <w:numId w:val="85"/>
        </w:numPr>
        <w:tabs>
          <w:tab w:pos="1051" w:val="left" w:leader="none"/>
        </w:tabs>
        <w:spacing w:line="240" w:lineRule="auto" w:before="0" w:after="0"/>
        <w:ind w:left="1050" w:right="0" w:hanging="213"/>
        <w:jc w:val="left"/>
        <w:rPr>
          <w:sz w:val="21"/>
        </w:rPr>
      </w:pPr>
      <w:r>
        <w:rPr>
          <w:spacing w:val="-3"/>
          <w:sz w:val="21"/>
        </w:rPr>
        <w:t>生产日期；</w:t>
      </w:r>
      <w:r>
        <w:rPr>
          <w:sz w:val="21"/>
        </w:rPr>
        <w:t> </w:t>
      </w:r>
    </w:p>
    <w:p>
      <w:pPr>
        <w:pStyle w:val="BodyText"/>
        <w:rPr>
          <w:sz w:val="18"/>
        </w:rPr>
      </w:pPr>
    </w:p>
    <w:p>
      <w:pPr>
        <w:pStyle w:val="ListParagraph"/>
        <w:numPr>
          <w:ilvl w:val="0"/>
          <w:numId w:val="85"/>
        </w:numPr>
        <w:tabs>
          <w:tab w:pos="1051" w:val="left" w:leader="none"/>
        </w:tabs>
        <w:spacing w:line="446" w:lineRule="auto" w:before="0" w:after="0"/>
        <w:ind w:left="840" w:right="8229" w:hanging="3"/>
        <w:jc w:val="left"/>
        <w:rPr>
          <w:b/>
          <w:sz w:val="21"/>
        </w:rPr>
      </w:pPr>
      <w:r>
        <w:rPr>
          <w:spacing w:val="-3"/>
          <w:sz w:val="21"/>
        </w:rPr>
        <w:t>防爆标志。 </w:t>
      </w:r>
      <w:r>
        <w:rPr>
          <w:b/>
          <w:sz w:val="21"/>
        </w:rPr>
        <w:t>8.2</w:t>
      </w:r>
      <w:r>
        <w:rPr>
          <w:b/>
          <w:spacing w:val="2"/>
          <w:sz w:val="21"/>
        </w:rPr>
        <w:t> </w:t>
      </w:r>
      <w:r>
        <w:rPr>
          <w:spacing w:val="-3"/>
          <w:sz w:val="21"/>
        </w:rPr>
        <w:t>包装</w:t>
      </w:r>
      <w:r>
        <w:rPr>
          <w:b/>
          <w:w w:val="99"/>
          <w:sz w:val="21"/>
        </w:rPr>
        <w:t> </w:t>
      </w:r>
    </w:p>
    <w:p>
      <w:pPr>
        <w:pStyle w:val="ListParagraph"/>
        <w:numPr>
          <w:ilvl w:val="2"/>
          <w:numId w:val="86"/>
        </w:numPr>
        <w:tabs>
          <w:tab w:pos="1371" w:val="left" w:leader="none"/>
        </w:tabs>
        <w:spacing w:line="240" w:lineRule="auto" w:before="0" w:after="0"/>
        <w:ind w:left="1370" w:right="0" w:hanging="531"/>
        <w:jc w:val="left"/>
        <w:rPr>
          <w:sz w:val="21"/>
        </w:rPr>
      </w:pPr>
      <w:r>
        <w:rPr>
          <w:spacing w:val="-7"/>
          <w:sz w:val="21"/>
        </w:rPr>
        <w:t>方位灯的包装图示标志应符合 </w:t>
      </w:r>
      <w:r>
        <w:rPr>
          <w:sz w:val="21"/>
        </w:rPr>
        <w:t>GB/T</w:t>
      </w:r>
      <w:r>
        <w:rPr>
          <w:spacing w:val="1"/>
          <w:sz w:val="21"/>
        </w:rPr>
        <w:t> </w:t>
      </w:r>
      <w:r>
        <w:rPr>
          <w:sz w:val="21"/>
        </w:rPr>
        <w:t>191</w:t>
      </w:r>
      <w:r>
        <w:rPr>
          <w:spacing w:val="-13"/>
          <w:sz w:val="21"/>
        </w:rPr>
        <w:t> 的规定。</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6"/>
        </w:numPr>
        <w:tabs>
          <w:tab w:pos="1370" w:val="left" w:leader="none"/>
        </w:tabs>
        <w:spacing w:line="240" w:lineRule="auto" w:before="47" w:after="0"/>
        <w:ind w:left="1369" w:right="0" w:hanging="530"/>
        <w:jc w:val="left"/>
        <w:rPr>
          <w:sz w:val="21"/>
        </w:rPr>
      </w:pPr>
      <w:r>
        <w:rPr>
          <w:spacing w:val="-3"/>
          <w:sz w:val="21"/>
        </w:rPr>
        <w:t>方位灯出厂时应予装箱，并有防潮、防尘措施。</w:t>
      </w:r>
      <w:r>
        <w:rPr>
          <w:sz w:val="21"/>
        </w:rPr>
        <w:t> </w:t>
      </w:r>
    </w:p>
    <w:p>
      <w:pPr>
        <w:pStyle w:val="BodyText"/>
        <w:rPr>
          <w:sz w:val="18"/>
        </w:rPr>
      </w:pPr>
    </w:p>
    <w:p>
      <w:pPr>
        <w:pStyle w:val="ListParagraph"/>
        <w:numPr>
          <w:ilvl w:val="2"/>
          <w:numId w:val="86"/>
        </w:numPr>
        <w:tabs>
          <w:tab w:pos="1371" w:val="left" w:leader="none"/>
        </w:tabs>
        <w:spacing w:line="446" w:lineRule="auto" w:before="0" w:after="0"/>
        <w:ind w:left="838" w:right="3601" w:firstLine="2"/>
        <w:jc w:val="left"/>
        <w:rPr>
          <w:sz w:val="21"/>
        </w:rPr>
      </w:pPr>
      <w:r>
        <w:rPr>
          <w:spacing w:val="-3"/>
          <w:sz w:val="21"/>
        </w:rPr>
        <w:t>包装箱外壁应有明显、耐久的文字标志，应包括以下内容： </w:t>
      </w:r>
      <w:r>
        <w:rPr>
          <w:sz w:val="21"/>
        </w:rPr>
        <w:t>a)</w:t>
      </w:r>
      <w:r>
        <w:rPr>
          <w:spacing w:val="-3"/>
          <w:sz w:val="21"/>
        </w:rPr>
        <w:t> 生产厂名；</w:t>
      </w:r>
      <w:r>
        <w:rPr>
          <w:sz w:val="21"/>
        </w:rPr>
        <w:t> </w:t>
      </w:r>
    </w:p>
    <w:p>
      <w:pPr>
        <w:pStyle w:val="ListParagraph"/>
        <w:numPr>
          <w:ilvl w:val="0"/>
          <w:numId w:val="87"/>
        </w:numPr>
        <w:tabs>
          <w:tab w:pos="1051" w:val="left" w:leader="none"/>
        </w:tabs>
        <w:spacing w:line="240" w:lineRule="auto" w:before="0" w:after="0"/>
        <w:ind w:left="1050" w:right="0" w:hanging="213"/>
        <w:jc w:val="left"/>
        <w:rPr>
          <w:sz w:val="21"/>
        </w:rPr>
      </w:pPr>
      <w:r>
        <w:rPr>
          <w:spacing w:val="-3"/>
          <w:sz w:val="21"/>
        </w:rPr>
        <w:t>产品型号和名称；</w:t>
      </w:r>
      <w:r>
        <w:rPr>
          <w:sz w:val="21"/>
        </w:rPr>
        <w:t> </w:t>
      </w:r>
    </w:p>
    <w:p>
      <w:pPr>
        <w:pStyle w:val="BodyText"/>
        <w:spacing w:before="12"/>
        <w:rPr>
          <w:sz w:val="17"/>
        </w:rPr>
      </w:pPr>
    </w:p>
    <w:p>
      <w:pPr>
        <w:pStyle w:val="ListParagraph"/>
        <w:numPr>
          <w:ilvl w:val="0"/>
          <w:numId w:val="87"/>
        </w:numPr>
        <w:tabs>
          <w:tab w:pos="1051" w:val="left" w:leader="none"/>
        </w:tabs>
        <w:spacing w:line="240" w:lineRule="auto" w:before="0" w:after="0"/>
        <w:ind w:left="1050" w:right="0" w:hanging="213"/>
        <w:jc w:val="left"/>
        <w:rPr>
          <w:sz w:val="21"/>
        </w:rPr>
      </w:pPr>
      <w:r>
        <w:rPr>
          <w:spacing w:val="-3"/>
          <w:sz w:val="21"/>
        </w:rPr>
        <w:t>生产日期；</w:t>
      </w:r>
      <w:r>
        <w:rPr>
          <w:sz w:val="21"/>
        </w:rPr>
        <w:t> </w:t>
      </w:r>
    </w:p>
    <w:p>
      <w:pPr>
        <w:pStyle w:val="BodyText"/>
        <w:rPr>
          <w:sz w:val="18"/>
        </w:rPr>
      </w:pPr>
    </w:p>
    <w:p>
      <w:pPr>
        <w:pStyle w:val="ListParagraph"/>
        <w:numPr>
          <w:ilvl w:val="0"/>
          <w:numId w:val="87"/>
        </w:numPr>
        <w:tabs>
          <w:tab w:pos="1051" w:val="left" w:leader="none"/>
        </w:tabs>
        <w:spacing w:line="446" w:lineRule="auto" w:before="0" w:after="0"/>
        <w:ind w:left="838" w:right="5493" w:firstLine="0"/>
        <w:jc w:val="left"/>
        <w:rPr>
          <w:sz w:val="21"/>
        </w:rPr>
      </w:pPr>
      <w:r>
        <w:rPr>
          <w:spacing w:val="-3"/>
          <w:sz w:val="21"/>
        </w:rPr>
        <w:t>向上、怕湿、小心轻放等文字或符号。 </w:t>
      </w:r>
      <w:r>
        <w:rPr>
          <w:b/>
          <w:sz w:val="21"/>
        </w:rPr>
        <w:t>8.2.4</w:t>
      </w:r>
      <w:r>
        <w:rPr>
          <w:b/>
          <w:spacing w:val="9"/>
          <w:sz w:val="21"/>
        </w:rPr>
        <w:t> </w:t>
      </w:r>
      <w:r>
        <w:rPr>
          <w:spacing w:val="-3"/>
          <w:sz w:val="21"/>
        </w:rPr>
        <w:t>随同产品提供的文件应包括以下内容： </w:t>
      </w:r>
      <w:r>
        <w:rPr>
          <w:sz w:val="21"/>
        </w:rPr>
        <w:t>a)</w:t>
      </w:r>
      <w:r>
        <w:rPr>
          <w:spacing w:val="-3"/>
          <w:sz w:val="21"/>
        </w:rPr>
        <w:t> 产品合格证；</w:t>
      </w:r>
      <w:r>
        <w:rPr>
          <w:sz w:val="21"/>
        </w:rPr>
        <w:t> </w:t>
      </w:r>
    </w:p>
    <w:p>
      <w:pPr>
        <w:pStyle w:val="ListParagraph"/>
        <w:numPr>
          <w:ilvl w:val="0"/>
          <w:numId w:val="88"/>
        </w:numPr>
        <w:tabs>
          <w:tab w:pos="1051" w:val="left" w:leader="none"/>
        </w:tabs>
        <w:spacing w:line="446" w:lineRule="auto" w:before="0" w:after="0"/>
        <w:ind w:left="840" w:right="7600" w:hanging="3"/>
        <w:jc w:val="left"/>
        <w:rPr>
          <w:b/>
          <w:sz w:val="21"/>
        </w:rPr>
      </w:pPr>
      <w:r>
        <w:rPr>
          <w:spacing w:val="-3"/>
          <w:sz w:val="21"/>
        </w:rPr>
        <w:t>产品使用说明书。 </w:t>
      </w:r>
      <w:r>
        <w:rPr>
          <w:b/>
          <w:sz w:val="21"/>
        </w:rPr>
        <w:t>8.3 </w:t>
      </w:r>
      <w:r>
        <w:rPr>
          <w:spacing w:val="-3"/>
          <w:sz w:val="21"/>
        </w:rPr>
        <w:t>运输</w:t>
      </w:r>
      <w:r>
        <w:rPr>
          <w:b/>
          <w:w w:val="99"/>
          <w:sz w:val="21"/>
        </w:rPr>
        <w:t> </w:t>
      </w:r>
    </w:p>
    <w:p>
      <w:pPr>
        <w:pStyle w:val="BodyText"/>
        <w:spacing w:line="446" w:lineRule="auto"/>
        <w:ind w:left="840" w:right="3606" w:hanging="3"/>
        <w:rPr>
          <w:b/>
        </w:rPr>
      </w:pPr>
      <w:r>
        <w:rPr/>
        <w:t>方位灯在运输过程中应有防雨雪侵袭的措施，应避免重压和碰撞。</w:t>
      </w:r>
      <w:r>
        <w:rPr>
          <w:b/>
        </w:rPr>
        <w:t>8.4 </w:t>
      </w:r>
      <w:r>
        <w:rPr/>
        <w:t>贮存</w:t>
      </w:r>
      <w:r>
        <w:rPr>
          <w:b/>
          <w:w w:val="99"/>
        </w:rPr>
        <w:t> </w:t>
      </w:r>
    </w:p>
    <w:p>
      <w:pPr>
        <w:pStyle w:val="BodyText"/>
        <w:tabs>
          <w:tab w:pos="3718" w:val="left" w:leader="none"/>
        </w:tabs>
        <w:spacing w:line="446" w:lineRule="auto"/>
        <w:ind w:left="418" w:right="1817" w:firstLine="419"/>
      </w:pPr>
      <w:r>
        <w:rPr/>
        <w:t>方位</w:t>
      </w:r>
      <w:r>
        <w:rPr>
          <w:spacing w:val="-3"/>
        </w:rPr>
        <w:t>灯</w:t>
      </w:r>
      <w:r>
        <w:rPr/>
        <w:t>应</w:t>
      </w:r>
      <w:r>
        <w:rPr>
          <w:spacing w:val="-3"/>
        </w:rPr>
        <w:t>存</w:t>
      </w:r>
      <w:r>
        <w:rPr/>
        <w:t>放</w:t>
      </w:r>
      <w:r>
        <w:rPr>
          <w:spacing w:val="-3"/>
        </w:rPr>
        <w:t>于</w:t>
      </w:r>
      <w:r>
        <w:rPr/>
        <w:t>通</w:t>
      </w:r>
      <w:r>
        <w:rPr>
          <w:spacing w:val="-3"/>
        </w:rPr>
        <w:t>风</w:t>
      </w:r>
      <w:r>
        <w:rPr/>
        <w:t>、</w:t>
      </w:r>
      <w:r>
        <w:rPr>
          <w:spacing w:val="-3"/>
        </w:rPr>
        <w:t>干</w:t>
      </w:r>
      <w:r>
        <w:rPr/>
        <w:t>燥及</w:t>
      </w:r>
      <w:r>
        <w:rPr>
          <w:spacing w:val="-3"/>
        </w:rPr>
        <w:t>无</w:t>
      </w:r>
      <w:r>
        <w:rPr/>
        <w:t>有</w:t>
      </w:r>
      <w:r>
        <w:rPr>
          <w:spacing w:val="-3"/>
        </w:rPr>
        <w:t>害</w:t>
      </w:r>
      <w:r>
        <w:rPr/>
        <w:t>气</w:t>
      </w:r>
      <w:r>
        <w:rPr>
          <w:spacing w:val="-3"/>
        </w:rPr>
        <w:t>体</w:t>
      </w:r>
      <w:r>
        <w:rPr/>
        <w:t>的</w:t>
      </w:r>
      <w:r>
        <w:rPr>
          <w:spacing w:val="-3"/>
        </w:rPr>
        <w:t>仓</w:t>
      </w:r>
      <w:r>
        <w:rPr/>
        <w:t>库</w:t>
      </w:r>
      <w:r>
        <w:rPr>
          <w:spacing w:val="-3"/>
        </w:rPr>
        <w:t>内</w:t>
      </w:r>
      <w:r>
        <w:rPr/>
        <w:t>，不</w:t>
      </w:r>
      <w:r>
        <w:rPr>
          <w:spacing w:val="-3"/>
        </w:rPr>
        <w:t>应</w:t>
      </w:r>
      <w:r>
        <w:rPr/>
        <w:t>与</w:t>
      </w:r>
      <w:r>
        <w:rPr>
          <w:spacing w:val="-3"/>
        </w:rPr>
        <w:t>具</w:t>
      </w:r>
      <w:r>
        <w:rPr/>
        <w:t>有</w:t>
      </w:r>
      <w:r>
        <w:rPr>
          <w:spacing w:val="-3"/>
        </w:rPr>
        <w:t>腐</w:t>
      </w:r>
      <w:r>
        <w:rPr/>
        <w:t>烛</w:t>
      </w:r>
      <w:r>
        <w:rPr>
          <w:spacing w:val="-3"/>
        </w:rPr>
        <w:t>性</w:t>
      </w:r>
      <w:r>
        <w:rPr/>
        <w:t>的</w:t>
      </w:r>
      <w:r>
        <w:rPr>
          <w:spacing w:val="-3"/>
        </w:rPr>
        <w:t>化</w:t>
      </w:r>
      <w:r>
        <w:rPr/>
        <w:t>学品</w:t>
      </w:r>
      <w:r>
        <w:rPr>
          <w:spacing w:val="-3"/>
        </w:rPr>
        <w:t>一</w:t>
      </w:r>
      <w:r>
        <w:rPr/>
        <w:t>同存放。</w:t>
        <w:tab/>
      </w:r>
      <w:r>
        <w:rPr>
          <w:w w:val="100"/>
        </w:rPr>
        <w:t> </w:t>
      </w:r>
    </w:p>
    <w:p>
      <w:pPr>
        <w:spacing w:after="0" w:line="446" w:lineRule="auto"/>
        <w:sectPr>
          <w:pgSz w:w="11910" w:h="16850"/>
          <w:pgMar w:header="0" w:footer="1239" w:top="1220" w:bottom="1420" w:left="1260" w:right="0"/>
        </w:sectPr>
      </w:pPr>
    </w:p>
    <w:p>
      <w:pPr>
        <w:pStyle w:val="Heading2"/>
        <w:ind w:right="868"/>
      </w:pPr>
      <w:bookmarkStart w:name="_bookmark4" w:id="5"/>
      <w:bookmarkEnd w:id="5"/>
      <w:r>
        <w:rPr>
          <w:b w:val="0"/>
        </w:rPr>
      </w:r>
      <w:r>
        <w:rPr/>
        <w:t>消防水带</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本标准规定了消防水带的型号规格、性能要求、试验方法、检验规则以及标志、包装、运输、使用与维护。 </w:t>
      </w:r>
    </w:p>
    <w:p>
      <w:pPr>
        <w:pStyle w:val="BodyText"/>
        <w:ind w:left="838"/>
      </w:pPr>
      <w:r>
        <w:rPr/>
        <w:t>本标准适用于有衬里消防水带、消防湿水带等消防水带。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spacing w:line="446" w:lineRule="auto"/>
        <w:ind w:left="838" w:right="4343"/>
      </w:pPr>
      <w:r>
        <w:rPr/>
        <w:t>GB/T 528 硫化橡胶或热塑性橡胶拉伸应力应变性能的测定GB/T 532 硫化橡胶或热塑性橡胶与织物黏合强度的测定GB/T 1040.1 塑料拉伸性能的测定 第 1 部分：总则 </w:t>
      </w:r>
    </w:p>
    <w:p>
      <w:pPr>
        <w:pStyle w:val="BodyText"/>
        <w:spacing w:line="446" w:lineRule="auto"/>
        <w:ind w:left="838" w:right="3291"/>
      </w:pPr>
      <w:r>
        <w:rPr/>
        <w:t>GB/T 2481.2 固结磨具用磨料粒度组成的检测和标记 第 2 部分：微粉HG/T 2369 橡胶塑料拉力试验机技术条件 </w:t>
      </w:r>
    </w:p>
    <w:p>
      <w:pPr>
        <w:pStyle w:val="BodyText"/>
        <w:spacing w:line="446" w:lineRule="auto"/>
        <w:ind w:left="838" w:right="6969"/>
      </w:pPr>
      <w:r>
        <w:rPr/>
        <w:t>JB/T 5520 干燥箱 技术条件JB/T 7444 空气热老化试验箱QB/T 2443 钢卷尺 </w:t>
      </w:r>
    </w:p>
    <w:p>
      <w:pPr>
        <w:pStyle w:val="Heading4"/>
        <w:spacing w:line="276" w:lineRule="exact"/>
      </w:pPr>
      <w:r>
        <w:rPr/>
        <w:t>3 型号规格</w:t>
      </w:r>
      <w:r>
        <w:rPr>
          <w:w w:val="99"/>
        </w:rPr>
        <w:t> </w:t>
      </w:r>
    </w:p>
    <w:p>
      <w:pPr>
        <w:pStyle w:val="BodyText"/>
        <w:spacing w:before="3"/>
        <w:rPr>
          <w:b/>
          <w:sz w:val="17"/>
        </w:rPr>
      </w:pPr>
    </w:p>
    <w:p>
      <w:pPr>
        <w:pStyle w:val="BodyText"/>
        <w:spacing w:line="446" w:lineRule="auto"/>
        <w:ind w:left="418" w:right="1503" w:firstLine="419"/>
      </w:pPr>
      <w:r>
        <w:rPr/>
        <w:t>消防水带（以下简称水带）的型号规格由设计工作压力、公称内径、长度、编织层经/纬线材质、衬里材质和外覆材料材质组成。 </w:t>
      </w:r>
    </w:p>
    <w:p>
      <w:pPr>
        <w:pStyle w:val="BodyText"/>
        <w:spacing w:line="446" w:lineRule="auto"/>
        <w:ind w:left="418" w:right="1611" w:firstLine="419"/>
        <w:jc w:val="both"/>
      </w:pPr>
      <w:r>
        <w:rPr>
          <w:spacing w:val="-16"/>
        </w:rPr>
        <w:t>示例 </w:t>
      </w:r>
      <w:r>
        <w:rPr/>
        <w:t>1</w:t>
      </w:r>
      <w:r>
        <w:rPr>
          <w:spacing w:val="-8"/>
        </w:rPr>
        <w:t>：设计工作压力为 </w:t>
      </w:r>
      <w:r>
        <w:rPr/>
        <w:t>1.0MPa</w:t>
      </w:r>
      <w:r>
        <w:rPr>
          <w:spacing w:val="-10"/>
        </w:rPr>
        <w:t>、公称内径为 </w:t>
      </w:r>
      <w:r>
        <w:rPr/>
        <w:t>65mm</w:t>
      </w:r>
      <w:r>
        <w:rPr>
          <w:spacing w:val="-10"/>
        </w:rPr>
        <w:t>、长度为 </w:t>
      </w:r>
      <w:r>
        <w:rPr/>
        <w:t>25m</w:t>
      </w:r>
      <w:r>
        <w:rPr>
          <w:spacing w:val="-3"/>
        </w:rPr>
        <w:t>、编织层经线材质为涤纶纱，纬线材质为涤纶长丝、衬里材质为橡胶的水带，其型号表示为：</w:t>
      </w:r>
      <w:r>
        <w:rPr/>
        <w:t>10-65-25-</w:t>
      </w:r>
      <w:r>
        <w:rPr>
          <w:spacing w:val="-2"/>
        </w:rPr>
        <w:t>涤纶纱</w:t>
      </w:r>
      <w:r>
        <w:rPr>
          <w:spacing w:val="-3"/>
        </w:rPr>
        <w:t>/</w:t>
      </w:r>
      <w:r>
        <w:rPr>
          <w:spacing w:val="-2"/>
        </w:rPr>
        <w:t>涤纶长</w:t>
      </w:r>
      <w:r>
        <w:rPr>
          <w:spacing w:val="-3"/>
        </w:rPr>
        <w:t>丝-橡胶。</w:t>
      </w:r>
      <w:r>
        <w:rPr/>
        <w:t> </w:t>
      </w:r>
    </w:p>
    <w:p>
      <w:pPr>
        <w:pStyle w:val="BodyText"/>
        <w:spacing w:line="446" w:lineRule="auto"/>
        <w:ind w:left="418" w:right="1611" w:firstLine="419"/>
      </w:pPr>
      <w:r>
        <w:rPr>
          <w:spacing w:val="-16"/>
        </w:rPr>
        <w:t>示例 </w:t>
      </w:r>
      <w:r>
        <w:rPr/>
        <w:t>2</w:t>
      </w:r>
      <w:r>
        <w:rPr>
          <w:spacing w:val="-8"/>
        </w:rPr>
        <w:t>：设计工作压力为 </w:t>
      </w:r>
      <w:r>
        <w:rPr/>
        <w:t>2.0MPa</w:t>
      </w:r>
      <w:r>
        <w:rPr>
          <w:spacing w:val="-10"/>
        </w:rPr>
        <w:t>、公称内径为 </w:t>
      </w:r>
      <w:r>
        <w:rPr/>
        <w:t>80mm</w:t>
      </w:r>
      <w:r>
        <w:rPr>
          <w:spacing w:val="-10"/>
        </w:rPr>
        <w:t>、长度为 </w:t>
      </w:r>
      <w:r>
        <w:rPr/>
        <w:t>40m</w:t>
      </w:r>
      <w:r>
        <w:rPr>
          <w:spacing w:val="-3"/>
        </w:rPr>
        <w:t>、编织层经线材质为涤纶长丝，纬线材质为涤纶长丝、衬里材质为聚氨酯、外覆材料材质为塑料的水带，其型号表示 为：20-80-40-涤纶长丝/涤纶长丝-聚氨酯</w:t>
      </w:r>
      <w:r>
        <w:rPr/>
        <w:t>/</w:t>
      </w:r>
      <w:r>
        <w:rPr>
          <w:spacing w:val="-3"/>
        </w:rPr>
        <w:t>塑料。</w:t>
      </w:r>
      <w:r>
        <w:rPr/>
        <w:t> </w:t>
      </w:r>
    </w:p>
    <w:p>
      <w:pPr>
        <w:pStyle w:val="BodyText"/>
        <w:rPr>
          <w:sz w:val="20"/>
        </w:rPr>
      </w:pPr>
    </w:p>
    <w:p>
      <w:pPr>
        <w:pStyle w:val="BodyText"/>
        <w:spacing w:before="10"/>
        <w:rPr>
          <w:sz w:val="18"/>
        </w:rPr>
      </w:pPr>
    </w:p>
    <w:p>
      <w:pPr>
        <w:pStyle w:val="BodyText"/>
        <w:ind w:left="838"/>
      </w:pPr>
      <w:r>
        <w:rPr>
          <w:w w:val="100"/>
        </w:rPr>
        <w:t> </w:t>
      </w:r>
    </w:p>
    <w:p>
      <w:pPr>
        <w:spacing w:after="0"/>
        <w:sectPr>
          <w:pgSz w:w="11910" w:h="16850"/>
          <w:pgMar w:header="0" w:footer="1239" w:top="1140" w:bottom="1420" w:left="1260" w:right="0"/>
        </w:sectPr>
      </w:pPr>
    </w:p>
    <w:p>
      <w:pPr>
        <w:pStyle w:val="BodyText"/>
        <w:spacing w:before="7"/>
      </w:pPr>
    </w:p>
    <w:p>
      <w:pPr>
        <w:pStyle w:val="BodyText"/>
        <w:ind w:left="673"/>
        <w:rPr>
          <w:sz w:val="20"/>
        </w:rPr>
      </w:pPr>
      <w:r>
        <w:rPr>
          <w:sz w:val="20"/>
        </w:rPr>
        <w:drawing>
          <wp:inline distT="0" distB="0" distL="0" distR="0">
            <wp:extent cx="5294570" cy="2076450"/>
            <wp:effectExtent l="0" t="0" r="0" b="0"/>
            <wp:docPr id="47" name="image39.png"/>
            <wp:cNvGraphicFramePr>
              <a:graphicFrameLocks noChangeAspect="1"/>
            </wp:cNvGraphicFramePr>
            <a:graphic>
              <a:graphicData uri="http://schemas.openxmlformats.org/drawingml/2006/picture">
                <pic:pic>
                  <pic:nvPicPr>
                    <pic:cNvPr id="48" name="image39.png"/>
                    <pic:cNvPicPr/>
                  </pic:nvPicPr>
                  <pic:blipFill>
                    <a:blip r:embed="rId45" cstate="print"/>
                    <a:stretch>
                      <a:fillRect/>
                    </a:stretch>
                  </pic:blipFill>
                  <pic:spPr>
                    <a:xfrm>
                      <a:off x="0" y="0"/>
                      <a:ext cx="5294570" cy="2076450"/>
                    </a:xfrm>
                    <a:prstGeom prst="rect">
                      <a:avLst/>
                    </a:prstGeom>
                  </pic:spPr>
                </pic:pic>
              </a:graphicData>
            </a:graphic>
          </wp:inline>
        </w:drawing>
      </w:r>
      <w:r>
        <w:rPr>
          <w:sz w:val="20"/>
        </w:rPr>
      </w:r>
    </w:p>
    <w:p>
      <w:pPr>
        <w:pStyle w:val="BodyText"/>
        <w:spacing w:before="6"/>
        <w:rPr>
          <w:sz w:val="7"/>
        </w:rPr>
      </w:pPr>
    </w:p>
    <w:p>
      <w:pPr>
        <w:pStyle w:val="Heading4"/>
        <w:spacing w:before="67"/>
        <w:rPr>
          <w:b w:val="0"/>
          <w:sz w:val="21"/>
        </w:rPr>
      </w:pPr>
      <w:r>
        <w:rPr/>
        <w:t>4 性能要求</w:t>
      </w:r>
      <w:r>
        <w:rPr>
          <w:b w:val="0"/>
          <w:w w:val="100"/>
          <w:sz w:val="21"/>
        </w:rPr>
        <w:t> </w:t>
      </w:r>
    </w:p>
    <w:p>
      <w:pPr>
        <w:pStyle w:val="BodyText"/>
        <w:spacing w:before="4"/>
        <w:rPr>
          <w:sz w:val="17"/>
        </w:rPr>
      </w:pPr>
    </w:p>
    <w:p>
      <w:pPr>
        <w:pStyle w:val="ListParagraph"/>
        <w:numPr>
          <w:ilvl w:val="1"/>
          <w:numId w:val="89"/>
        </w:numPr>
        <w:tabs>
          <w:tab w:pos="1160" w:val="left" w:leader="none"/>
        </w:tabs>
        <w:spacing w:line="240" w:lineRule="auto" w:before="0" w:after="0"/>
        <w:ind w:left="1159" w:right="0" w:hanging="320"/>
        <w:jc w:val="left"/>
        <w:rPr>
          <w:sz w:val="21"/>
        </w:rPr>
      </w:pPr>
      <w:r>
        <w:rPr>
          <w:spacing w:val="-3"/>
          <w:sz w:val="21"/>
        </w:rPr>
        <w:t>外观质量</w:t>
      </w:r>
      <w:r>
        <w:rPr>
          <w:sz w:val="21"/>
        </w:rPr>
        <w:t> </w:t>
      </w:r>
    </w:p>
    <w:p>
      <w:pPr>
        <w:pStyle w:val="BodyText"/>
        <w:spacing w:before="12"/>
        <w:rPr>
          <w:sz w:val="17"/>
        </w:rPr>
      </w:pPr>
    </w:p>
    <w:p>
      <w:pPr>
        <w:pStyle w:val="ListParagraph"/>
        <w:numPr>
          <w:ilvl w:val="2"/>
          <w:numId w:val="89"/>
        </w:numPr>
        <w:tabs>
          <w:tab w:pos="1370" w:val="left" w:leader="none"/>
        </w:tabs>
        <w:spacing w:line="240" w:lineRule="auto" w:before="0" w:after="0"/>
        <w:ind w:left="1369" w:right="0" w:hanging="530"/>
        <w:jc w:val="left"/>
        <w:rPr>
          <w:sz w:val="21"/>
        </w:rPr>
      </w:pPr>
      <w:r>
        <w:rPr>
          <w:spacing w:val="-3"/>
          <w:sz w:val="21"/>
        </w:rPr>
        <w:t>水带的织物层应编织均匀，表面整洁，无跳双经、断双经、跳纬及划伤。 </w:t>
      </w:r>
    </w:p>
    <w:p>
      <w:pPr>
        <w:pStyle w:val="BodyText"/>
        <w:spacing w:before="2"/>
        <w:rPr>
          <w:sz w:val="18"/>
        </w:rPr>
      </w:pPr>
    </w:p>
    <w:p>
      <w:pPr>
        <w:pStyle w:val="ListParagraph"/>
        <w:numPr>
          <w:ilvl w:val="2"/>
          <w:numId w:val="89"/>
        </w:numPr>
        <w:tabs>
          <w:tab w:pos="1371" w:val="left" w:leader="none"/>
        </w:tabs>
        <w:spacing w:line="240" w:lineRule="auto" w:before="0" w:after="0"/>
        <w:ind w:left="1370" w:right="0" w:hanging="531"/>
        <w:jc w:val="left"/>
        <w:rPr>
          <w:sz w:val="21"/>
        </w:rPr>
      </w:pPr>
      <w:r>
        <w:rPr>
          <w:spacing w:val="-3"/>
          <w:sz w:val="21"/>
        </w:rPr>
        <w:t>水带衬里（或外覆层</w:t>
      </w:r>
      <w:r>
        <w:rPr>
          <w:sz w:val="21"/>
        </w:rPr>
        <w:t>）</w:t>
      </w:r>
      <w:r>
        <w:rPr>
          <w:spacing w:val="-3"/>
          <w:sz w:val="21"/>
        </w:rPr>
        <w:t>的厚度应均匀，表面应光滑平整、无褶皱或其他缺陷。</w:t>
      </w:r>
      <w:r>
        <w:rPr>
          <w:sz w:val="21"/>
        </w:rPr>
        <w:t> </w:t>
      </w:r>
    </w:p>
    <w:p>
      <w:pPr>
        <w:pStyle w:val="BodyText"/>
        <w:spacing w:before="12"/>
        <w:rPr>
          <w:sz w:val="17"/>
        </w:rPr>
      </w:pPr>
    </w:p>
    <w:p>
      <w:pPr>
        <w:pStyle w:val="ListParagraph"/>
        <w:numPr>
          <w:ilvl w:val="1"/>
          <w:numId w:val="89"/>
        </w:numPr>
        <w:tabs>
          <w:tab w:pos="1160" w:val="left" w:leader="none"/>
        </w:tabs>
        <w:spacing w:line="240" w:lineRule="auto" w:before="0" w:after="0"/>
        <w:ind w:left="1159" w:right="0" w:hanging="320"/>
        <w:jc w:val="left"/>
        <w:rPr>
          <w:b/>
          <w:sz w:val="21"/>
        </w:rPr>
      </w:pPr>
      <w:r>
        <w:rPr>
          <w:spacing w:val="-3"/>
          <w:sz w:val="21"/>
        </w:rPr>
        <w:t>内径</w:t>
      </w:r>
      <w:r>
        <w:rPr>
          <w:b/>
          <w:w w:val="99"/>
          <w:sz w:val="21"/>
        </w:rPr>
        <w:t> </w:t>
      </w:r>
    </w:p>
    <w:p>
      <w:pPr>
        <w:pStyle w:val="BodyText"/>
        <w:rPr>
          <w:b/>
          <w:sz w:val="18"/>
        </w:rPr>
      </w:pPr>
    </w:p>
    <w:p>
      <w:pPr>
        <w:pStyle w:val="BodyText"/>
        <w:ind w:left="840"/>
      </w:pPr>
      <w:r>
        <w:rPr/>
        <w:t>水带内径的公称尺寸及公差应符合表 1 的规定。 </w:t>
      </w:r>
    </w:p>
    <w:p>
      <w:pPr>
        <w:pStyle w:val="BodyText"/>
        <w:spacing w:before="2"/>
        <w:rPr>
          <w:sz w:val="18"/>
        </w:rPr>
      </w:pPr>
    </w:p>
    <w:p>
      <w:pPr>
        <w:pStyle w:val="Heading6"/>
        <w:ind w:right="492"/>
        <w:jc w:val="center"/>
        <w:rPr>
          <w:b w:val="0"/>
        </w:rPr>
      </w:pPr>
      <w:r>
        <w:rPr/>
        <w:t>表 1    单位为毫米</w:t>
      </w:r>
      <w:r>
        <w:rPr>
          <w:b w:val="0"/>
          <w:w w:val="100"/>
        </w:rPr>
        <w:t> </w:t>
      </w:r>
    </w:p>
    <w:p>
      <w:pPr>
        <w:pStyle w:val="BodyText"/>
        <w:spacing w:before="6"/>
        <w:rPr>
          <w:sz w:val="10"/>
        </w:rPr>
      </w:pPr>
      <w:r>
        <w:rPr/>
        <w:drawing>
          <wp:anchor distT="0" distB="0" distL="0" distR="0" allowOverlap="1" layoutInCell="1" locked="0" behindDoc="0" simplePos="0" relativeHeight="18">
            <wp:simplePos x="0" y="0"/>
            <wp:positionH relativeFrom="page">
              <wp:posOffset>1360805</wp:posOffset>
            </wp:positionH>
            <wp:positionV relativeFrom="paragraph">
              <wp:posOffset>109934</wp:posOffset>
            </wp:positionV>
            <wp:extent cx="4774979" cy="2066925"/>
            <wp:effectExtent l="0" t="0" r="0" b="0"/>
            <wp:wrapTopAndBottom/>
            <wp:docPr id="49" name="image40.jpeg"/>
            <wp:cNvGraphicFramePr>
              <a:graphicFrameLocks noChangeAspect="1"/>
            </wp:cNvGraphicFramePr>
            <a:graphic>
              <a:graphicData uri="http://schemas.openxmlformats.org/drawingml/2006/picture">
                <pic:pic>
                  <pic:nvPicPr>
                    <pic:cNvPr id="50" name="image40.jpeg"/>
                    <pic:cNvPicPr/>
                  </pic:nvPicPr>
                  <pic:blipFill>
                    <a:blip r:embed="rId46" cstate="print"/>
                    <a:stretch>
                      <a:fillRect/>
                    </a:stretch>
                  </pic:blipFill>
                  <pic:spPr>
                    <a:xfrm>
                      <a:off x="0" y="0"/>
                      <a:ext cx="4774979" cy="2066925"/>
                    </a:xfrm>
                    <a:prstGeom prst="rect">
                      <a:avLst/>
                    </a:prstGeom>
                  </pic:spPr>
                </pic:pic>
              </a:graphicData>
            </a:graphic>
          </wp:anchor>
        </w:drawing>
      </w:r>
    </w:p>
    <w:p>
      <w:pPr>
        <w:pStyle w:val="ListParagraph"/>
        <w:numPr>
          <w:ilvl w:val="1"/>
          <w:numId w:val="89"/>
        </w:numPr>
        <w:tabs>
          <w:tab w:pos="1160" w:val="left" w:leader="none"/>
        </w:tabs>
        <w:spacing w:line="240" w:lineRule="auto" w:before="148" w:after="0"/>
        <w:ind w:left="1159" w:right="0" w:hanging="320"/>
        <w:jc w:val="left"/>
        <w:rPr>
          <w:b/>
          <w:sz w:val="21"/>
        </w:rPr>
      </w:pPr>
      <w:r>
        <w:rPr>
          <w:spacing w:val="-3"/>
          <w:sz w:val="21"/>
        </w:rPr>
        <w:t>长度</w:t>
      </w:r>
      <w:r>
        <w:rPr>
          <w:b/>
          <w:w w:val="99"/>
          <w:sz w:val="21"/>
        </w:rPr>
        <w:t> </w:t>
      </w:r>
    </w:p>
    <w:p>
      <w:pPr>
        <w:pStyle w:val="BodyText"/>
        <w:spacing w:before="2"/>
        <w:rPr>
          <w:b/>
          <w:sz w:val="18"/>
        </w:rPr>
      </w:pPr>
    </w:p>
    <w:p>
      <w:pPr>
        <w:pStyle w:val="BodyText"/>
        <w:ind w:left="838"/>
      </w:pPr>
      <w:r>
        <w:rPr/>
        <w:t>水带的长度及尺寸公差应符合表 2 的规定。 </w:t>
      </w:r>
    </w:p>
    <w:p>
      <w:pPr>
        <w:spacing w:after="0"/>
        <w:sectPr>
          <w:pgSz w:w="11910" w:h="16850"/>
          <w:pgMar w:header="0" w:footer="1239" w:top="1600" w:bottom="1420" w:left="1260" w:right="0"/>
        </w:sectPr>
      </w:pPr>
    </w:p>
    <w:p>
      <w:pPr>
        <w:pStyle w:val="Heading6"/>
        <w:spacing w:before="47"/>
        <w:ind w:right="914"/>
        <w:jc w:val="center"/>
      </w:pPr>
      <w:r>
        <w:rPr/>
        <w:drawing>
          <wp:anchor distT="0" distB="0" distL="0" distR="0" allowOverlap="1" layoutInCell="1" locked="0" behindDoc="0" simplePos="0" relativeHeight="19">
            <wp:simplePos x="0" y="0"/>
            <wp:positionH relativeFrom="page">
              <wp:posOffset>1267553</wp:posOffset>
            </wp:positionH>
            <wp:positionV relativeFrom="paragraph">
              <wp:posOffset>279780</wp:posOffset>
            </wp:positionV>
            <wp:extent cx="4933303" cy="1553527"/>
            <wp:effectExtent l="0" t="0" r="0" b="0"/>
            <wp:wrapTopAndBottom/>
            <wp:docPr id="51" name="image41.png"/>
            <wp:cNvGraphicFramePr>
              <a:graphicFrameLocks noChangeAspect="1"/>
            </wp:cNvGraphicFramePr>
            <a:graphic>
              <a:graphicData uri="http://schemas.openxmlformats.org/drawingml/2006/picture">
                <pic:pic>
                  <pic:nvPicPr>
                    <pic:cNvPr id="52" name="image41.png"/>
                    <pic:cNvPicPr/>
                  </pic:nvPicPr>
                  <pic:blipFill>
                    <a:blip r:embed="rId47" cstate="print"/>
                    <a:stretch>
                      <a:fillRect/>
                    </a:stretch>
                  </pic:blipFill>
                  <pic:spPr>
                    <a:xfrm>
                      <a:off x="0" y="0"/>
                      <a:ext cx="4933303" cy="1553527"/>
                    </a:xfrm>
                    <a:prstGeom prst="rect">
                      <a:avLst/>
                    </a:prstGeom>
                  </pic:spPr>
                </pic:pic>
              </a:graphicData>
            </a:graphic>
          </wp:anchor>
        </w:drawing>
      </w:r>
      <w:r>
        <w:rPr/>
        <w:t>表 2   单位为米</w:t>
      </w:r>
      <w:r>
        <w:rPr>
          <w:w w:val="99"/>
        </w:rPr>
        <w:t> </w:t>
      </w:r>
    </w:p>
    <w:p>
      <w:pPr>
        <w:pStyle w:val="ListParagraph"/>
        <w:numPr>
          <w:ilvl w:val="1"/>
          <w:numId w:val="89"/>
        </w:numPr>
        <w:tabs>
          <w:tab w:pos="1159" w:val="left" w:leader="none"/>
        </w:tabs>
        <w:spacing w:line="240" w:lineRule="auto" w:before="177" w:after="0"/>
        <w:ind w:left="1158" w:right="0" w:hanging="319"/>
        <w:jc w:val="left"/>
        <w:rPr>
          <w:sz w:val="21"/>
        </w:rPr>
      </w:pPr>
      <w:r>
        <w:rPr>
          <w:spacing w:val="-3"/>
          <w:sz w:val="21"/>
        </w:rPr>
        <w:t>设计工作压力、试验压力及最小爆破压力</w:t>
      </w:r>
      <w:r>
        <w:rPr>
          <w:sz w:val="21"/>
        </w:rPr>
        <w:t> </w:t>
      </w:r>
    </w:p>
    <w:p>
      <w:pPr>
        <w:pStyle w:val="BodyText"/>
        <w:rPr>
          <w:sz w:val="18"/>
        </w:rPr>
      </w:pPr>
    </w:p>
    <w:p>
      <w:pPr>
        <w:pStyle w:val="BodyText"/>
        <w:spacing w:line="446" w:lineRule="auto"/>
        <w:ind w:left="418" w:right="1608" w:firstLine="419"/>
      </w:pPr>
      <w:r>
        <w:rPr>
          <w:spacing w:val="-6"/>
        </w:rPr>
        <w:t>水带的设计工作压力、试验压力应符合表 </w:t>
      </w:r>
      <w:r>
        <w:rPr/>
        <w:t>3</w:t>
      </w:r>
      <w:r>
        <w:rPr>
          <w:spacing w:val="-10"/>
        </w:rPr>
        <w:t> 的规定，最小爆破压力应不低于表 </w:t>
      </w:r>
      <w:r>
        <w:rPr/>
        <w:t>3</w:t>
      </w:r>
      <w:r>
        <w:rPr>
          <w:spacing w:val="-11"/>
        </w:rPr>
        <w:t> 的规定。</w:t>
      </w:r>
      <w:r>
        <w:rPr>
          <w:spacing w:val="-6"/>
        </w:rPr>
        <w:t>且水带在爆破时，不应出现经线断裂的情况。</w:t>
      </w:r>
      <w:r>
        <w:rPr/>
        <w:t> </w:t>
      </w:r>
    </w:p>
    <w:p>
      <w:pPr>
        <w:pStyle w:val="Heading6"/>
        <w:ind w:left="3627"/>
      </w:pPr>
      <w:r>
        <w:rPr/>
        <w:t>表 3 单 位 为 兆 帕</w:t>
      </w:r>
      <w:r>
        <w:rPr>
          <w:w w:val="99"/>
        </w:rPr>
        <w:t> </w:t>
      </w:r>
    </w:p>
    <w:p>
      <w:pPr>
        <w:pStyle w:val="BodyText"/>
        <w:spacing w:before="10"/>
        <w:rPr>
          <w:b/>
          <w:sz w:val="8"/>
        </w:rPr>
      </w:pPr>
      <w:r>
        <w:rPr/>
        <w:drawing>
          <wp:anchor distT="0" distB="0" distL="0" distR="0" allowOverlap="1" layoutInCell="1" locked="0" behindDoc="0" simplePos="0" relativeHeight="20">
            <wp:simplePos x="0" y="0"/>
            <wp:positionH relativeFrom="page">
              <wp:posOffset>1275080</wp:posOffset>
            </wp:positionH>
            <wp:positionV relativeFrom="paragraph">
              <wp:posOffset>96416</wp:posOffset>
            </wp:positionV>
            <wp:extent cx="5071055" cy="1829371"/>
            <wp:effectExtent l="0" t="0" r="0" b="0"/>
            <wp:wrapTopAndBottom/>
            <wp:docPr id="53" name="image42.png"/>
            <wp:cNvGraphicFramePr>
              <a:graphicFrameLocks noChangeAspect="1"/>
            </wp:cNvGraphicFramePr>
            <a:graphic>
              <a:graphicData uri="http://schemas.openxmlformats.org/drawingml/2006/picture">
                <pic:pic>
                  <pic:nvPicPr>
                    <pic:cNvPr id="54" name="image42.png"/>
                    <pic:cNvPicPr/>
                  </pic:nvPicPr>
                  <pic:blipFill>
                    <a:blip r:embed="rId48" cstate="print"/>
                    <a:stretch>
                      <a:fillRect/>
                    </a:stretch>
                  </pic:blipFill>
                  <pic:spPr>
                    <a:xfrm>
                      <a:off x="0" y="0"/>
                      <a:ext cx="5071055" cy="1829371"/>
                    </a:xfrm>
                    <a:prstGeom prst="rect">
                      <a:avLst/>
                    </a:prstGeom>
                  </pic:spPr>
                </pic:pic>
              </a:graphicData>
            </a:graphic>
          </wp:anchor>
        </w:drawing>
      </w:r>
    </w:p>
    <w:p>
      <w:pPr>
        <w:pStyle w:val="ListParagraph"/>
        <w:numPr>
          <w:ilvl w:val="1"/>
          <w:numId w:val="89"/>
        </w:numPr>
        <w:tabs>
          <w:tab w:pos="1160" w:val="left" w:leader="none"/>
        </w:tabs>
        <w:spacing w:line="240" w:lineRule="auto" w:before="178" w:after="0"/>
        <w:ind w:left="1159" w:right="0" w:hanging="320"/>
        <w:jc w:val="left"/>
        <w:rPr>
          <w:sz w:val="21"/>
        </w:rPr>
      </w:pPr>
      <w:r>
        <w:rPr>
          <w:spacing w:val="-3"/>
          <w:sz w:val="21"/>
        </w:rPr>
        <w:t>湿水带渗水量</w:t>
      </w:r>
      <w:r>
        <w:rPr>
          <w:sz w:val="21"/>
        </w:rPr>
        <w:t> </w:t>
      </w:r>
    </w:p>
    <w:p>
      <w:pPr>
        <w:pStyle w:val="BodyText"/>
        <w:spacing w:before="12"/>
        <w:rPr>
          <w:sz w:val="17"/>
        </w:rPr>
      </w:pPr>
    </w:p>
    <w:p>
      <w:pPr>
        <w:pStyle w:val="ListParagraph"/>
        <w:numPr>
          <w:ilvl w:val="2"/>
          <w:numId w:val="89"/>
        </w:numPr>
        <w:tabs>
          <w:tab w:pos="1371" w:val="left" w:leader="none"/>
        </w:tabs>
        <w:spacing w:line="240" w:lineRule="auto" w:before="0" w:after="0"/>
        <w:ind w:left="1370" w:right="0" w:hanging="531"/>
        <w:jc w:val="left"/>
        <w:rPr>
          <w:sz w:val="21"/>
        </w:rPr>
      </w:pPr>
      <w:r>
        <w:rPr>
          <w:spacing w:val="-28"/>
          <w:sz w:val="21"/>
        </w:rPr>
        <w:t>在 </w:t>
      </w:r>
      <w:r>
        <w:rPr>
          <w:sz w:val="21"/>
        </w:rPr>
        <w:t>0.5MPa</w:t>
      </w:r>
      <w:r>
        <w:rPr>
          <w:spacing w:val="-11"/>
          <w:sz w:val="21"/>
        </w:rPr>
        <w:t> 水压下，湿水带表面应渗水均匀，无喷水现象，其 </w:t>
      </w:r>
      <w:r>
        <w:rPr>
          <w:sz w:val="21"/>
        </w:rPr>
        <w:t>1min</w:t>
      </w:r>
      <w:r>
        <w:rPr>
          <w:spacing w:val="-9"/>
          <w:sz w:val="21"/>
        </w:rPr>
        <w:t> 的渗水量应大于</w:t>
      </w:r>
    </w:p>
    <w:p>
      <w:pPr>
        <w:pStyle w:val="BodyText"/>
        <w:rPr>
          <w:sz w:val="18"/>
        </w:rPr>
      </w:pPr>
    </w:p>
    <w:p>
      <w:pPr>
        <w:pStyle w:val="BodyText"/>
        <w:ind w:left="418"/>
      </w:pPr>
      <w:r>
        <w:rPr/>
        <w:t>20mL/m·min。 </w:t>
      </w:r>
    </w:p>
    <w:p>
      <w:pPr>
        <w:pStyle w:val="BodyText"/>
        <w:spacing w:before="2"/>
        <w:rPr>
          <w:sz w:val="18"/>
        </w:rPr>
      </w:pPr>
    </w:p>
    <w:p>
      <w:pPr>
        <w:pStyle w:val="ListParagraph"/>
        <w:numPr>
          <w:ilvl w:val="2"/>
          <w:numId w:val="89"/>
        </w:numPr>
        <w:tabs>
          <w:tab w:pos="1371" w:val="left" w:leader="none"/>
        </w:tabs>
        <w:spacing w:line="446" w:lineRule="auto" w:before="0" w:after="0"/>
        <w:ind w:left="418" w:right="1709" w:firstLine="422"/>
        <w:jc w:val="left"/>
        <w:rPr>
          <w:sz w:val="21"/>
        </w:rPr>
      </w:pPr>
      <w:r>
        <w:rPr>
          <w:spacing w:val="-6"/>
          <w:sz w:val="21"/>
        </w:rPr>
        <w:t>湿水带在设计工作压力下，应无喷水现象，其 </w:t>
      </w:r>
      <w:r>
        <w:rPr>
          <w:sz w:val="21"/>
        </w:rPr>
        <w:t>1min</w:t>
      </w:r>
      <w:r>
        <w:rPr>
          <w:spacing w:val="-13"/>
          <w:sz w:val="21"/>
        </w:rPr>
        <w:t> 的渗水量应不大于表 </w:t>
      </w:r>
      <w:r>
        <w:rPr>
          <w:sz w:val="21"/>
        </w:rPr>
        <w:t>4</w:t>
      </w:r>
      <w:r>
        <w:rPr>
          <w:spacing w:val="-13"/>
          <w:sz w:val="21"/>
        </w:rPr>
        <w:t> 的规定</w:t>
      </w:r>
      <w:r>
        <w:rPr>
          <w:spacing w:val="-8"/>
          <w:sz w:val="21"/>
        </w:rPr>
        <w:t>值。</w:t>
      </w:r>
      <w:r>
        <w:rPr>
          <w:sz w:val="21"/>
        </w:rPr>
        <w:t> </w:t>
      </w:r>
    </w:p>
    <w:p>
      <w:pPr>
        <w:pStyle w:val="Heading6"/>
        <w:spacing w:line="267" w:lineRule="exact"/>
        <w:ind w:left="3310"/>
      </w:pPr>
      <w:r>
        <w:rPr/>
        <w:drawing>
          <wp:anchor distT="0" distB="0" distL="0" distR="0" allowOverlap="1" layoutInCell="1" locked="0" behindDoc="0" simplePos="0" relativeHeight="21">
            <wp:simplePos x="0" y="0"/>
            <wp:positionH relativeFrom="page">
              <wp:posOffset>1375179</wp:posOffset>
            </wp:positionH>
            <wp:positionV relativeFrom="paragraph">
              <wp:posOffset>216717</wp:posOffset>
            </wp:positionV>
            <wp:extent cx="5087112" cy="1498187"/>
            <wp:effectExtent l="0" t="0" r="0" b="0"/>
            <wp:wrapTopAndBottom/>
            <wp:docPr id="55" name="image43.png"/>
            <wp:cNvGraphicFramePr>
              <a:graphicFrameLocks noChangeAspect="1"/>
            </wp:cNvGraphicFramePr>
            <a:graphic>
              <a:graphicData uri="http://schemas.openxmlformats.org/drawingml/2006/picture">
                <pic:pic>
                  <pic:nvPicPr>
                    <pic:cNvPr id="56" name="image43.png"/>
                    <pic:cNvPicPr/>
                  </pic:nvPicPr>
                  <pic:blipFill>
                    <a:blip r:embed="rId49" cstate="print"/>
                    <a:stretch>
                      <a:fillRect/>
                    </a:stretch>
                  </pic:blipFill>
                  <pic:spPr>
                    <a:xfrm>
                      <a:off x="0" y="0"/>
                      <a:ext cx="5087112" cy="1498187"/>
                    </a:xfrm>
                    <a:prstGeom prst="rect">
                      <a:avLst/>
                    </a:prstGeom>
                  </pic:spPr>
                </pic:pic>
              </a:graphicData>
            </a:graphic>
          </wp:anchor>
        </w:drawing>
      </w:r>
      <w:r>
        <w:rPr/>
        <w:t>表 4 单位为毫升每米分钟</w:t>
      </w:r>
      <w:r>
        <w:rPr>
          <w:w w:val="99"/>
        </w:rPr>
        <w:t> </w:t>
      </w:r>
    </w:p>
    <w:p>
      <w:pPr>
        <w:pStyle w:val="ListParagraph"/>
        <w:numPr>
          <w:ilvl w:val="1"/>
          <w:numId w:val="89"/>
        </w:numPr>
        <w:tabs>
          <w:tab w:pos="1159" w:val="left" w:leader="none"/>
        </w:tabs>
        <w:spacing w:line="240" w:lineRule="auto" w:before="174" w:after="0"/>
        <w:ind w:left="1158" w:right="0" w:hanging="319"/>
        <w:jc w:val="left"/>
        <w:rPr>
          <w:sz w:val="21"/>
        </w:rPr>
      </w:pPr>
      <w:r>
        <w:rPr>
          <w:spacing w:val="-3"/>
          <w:sz w:val="21"/>
        </w:rPr>
        <w:t>单位长度质量</w:t>
      </w:r>
      <w:r>
        <w:rPr>
          <w:sz w:val="21"/>
        </w:rPr>
        <w:t> </w:t>
      </w:r>
    </w:p>
    <w:p>
      <w:pPr>
        <w:spacing w:after="0" w:line="240" w:lineRule="auto"/>
        <w:jc w:val="left"/>
        <w:rPr>
          <w:sz w:val="21"/>
        </w:rPr>
        <w:sectPr>
          <w:pgSz w:w="11910" w:h="16850"/>
          <w:pgMar w:header="0" w:footer="1239" w:top="1220" w:bottom="1420" w:left="1260" w:right="0"/>
        </w:sectPr>
      </w:pPr>
    </w:p>
    <w:p>
      <w:pPr>
        <w:pStyle w:val="BodyText"/>
        <w:spacing w:before="47"/>
        <w:ind w:left="838"/>
      </w:pPr>
      <w:r>
        <w:rPr/>
        <w:t>水带的单位长度质量不应超过表 5 的规定。 </w:t>
      </w:r>
    </w:p>
    <w:p>
      <w:pPr>
        <w:pStyle w:val="BodyText"/>
        <w:rPr>
          <w:sz w:val="18"/>
        </w:rPr>
      </w:pPr>
    </w:p>
    <w:p>
      <w:pPr>
        <w:pStyle w:val="Heading6"/>
        <w:ind w:right="914"/>
        <w:jc w:val="center"/>
      </w:pPr>
      <w:r>
        <w:rPr/>
        <w:t>表 5  单 位 为 克 每 米</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8"/>
        </w:rPr>
      </w:pPr>
      <w:r>
        <w:rPr/>
        <w:pict>
          <v:group style="position:absolute;margin-left:71.150002pt;margin-top:13.835pt;width:453.75pt;height:238pt;mso-position-horizontal-relative:page;mso-position-vertical-relative:paragraph;z-index:-251635712;mso-wrap-distance-left:0;mso-wrap-distance-right:0" coordorigin="1423,277" coordsize="9075,4760">
            <v:shape style="position:absolute;left:1498;top:2591;width:8865;height:2445" type="#_x0000_t75" stroked="false">
              <v:imagedata r:id="rId50" o:title=""/>
            </v:shape>
            <v:shape style="position:absolute;left:1423;top:276;width:9075;height:2310" type="#_x0000_t75" stroked="false">
              <v:imagedata r:id="rId51" o:title=""/>
            </v:shape>
            <w10:wrap type="topAndBottom"/>
          </v:group>
        </w:pict>
      </w:r>
    </w:p>
    <w:p>
      <w:pPr>
        <w:pStyle w:val="BodyText"/>
        <w:spacing w:before="4"/>
        <w:rPr>
          <w:b/>
          <w:sz w:val="8"/>
        </w:rPr>
      </w:pPr>
    </w:p>
    <w:p>
      <w:pPr>
        <w:pStyle w:val="ListParagraph"/>
        <w:numPr>
          <w:ilvl w:val="1"/>
          <w:numId w:val="89"/>
        </w:numPr>
        <w:tabs>
          <w:tab w:pos="1159" w:val="left" w:leader="none"/>
        </w:tabs>
        <w:spacing w:line="240" w:lineRule="auto" w:before="72" w:after="0"/>
        <w:ind w:left="1158" w:right="0" w:hanging="319"/>
        <w:jc w:val="left"/>
        <w:rPr>
          <w:sz w:val="21"/>
        </w:rPr>
      </w:pPr>
      <w:r>
        <w:rPr>
          <w:spacing w:val="-3"/>
          <w:sz w:val="21"/>
        </w:rPr>
        <w:t>延伸率和膨胀率及扭转方向</w:t>
      </w:r>
      <w:r>
        <w:rPr>
          <w:sz w:val="21"/>
        </w:rPr>
        <w:t> </w:t>
      </w:r>
    </w:p>
    <w:p>
      <w:pPr>
        <w:pStyle w:val="BodyText"/>
        <w:spacing w:before="12"/>
        <w:rPr>
          <w:sz w:val="17"/>
        </w:rPr>
      </w:pPr>
    </w:p>
    <w:p>
      <w:pPr>
        <w:pStyle w:val="ListParagraph"/>
        <w:numPr>
          <w:ilvl w:val="2"/>
          <w:numId w:val="89"/>
        </w:numPr>
        <w:tabs>
          <w:tab w:pos="1371" w:val="left" w:leader="none"/>
        </w:tabs>
        <w:spacing w:line="448" w:lineRule="auto" w:before="0" w:after="0"/>
        <w:ind w:left="418" w:right="1501" w:firstLine="422"/>
        <w:jc w:val="left"/>
        <w:rPr>
          <w:sz w:val="21"/>
        </w:rPr>
      </w:pPr>
      <w:r>
        <w:rPr>
          <w:spacing w:val="-9"/>
          <w:sz w:val="21"/>
        </w:rPr>
        <w:t>设计工作压力为 </w:t>
      </w:r>
      <w:r>
        <w:rPr>
          <w:sz w:val="21"/>
        </w:rPr>
        <w:t>0.8MPa</w:t>
      </w:r>
      <w:r>
        <w:rPr>
          <w:spacing w:val="-3"/>
          <w:sz w:val="21"/>
        </w:rPr>
        <w:t>、</w:t>
      </w:r>
      <w:r>
        <w:rPr>
          <w:sz w:val="21"/>
        </w:rPr>
        <w:t>1.0MPa</w:t>
      </w:r>
      <w:r>
        <w:rPr>
          <w:spacing w:val="-3"/>
          <w:sz w:val="21"/>
        </w:rPr>
        <w:t>、</w:t>
      </w:r>
      <w:r>
        <w:rPr>
          <w:sz w:val="21"/>
        </w:rPr>
        <w:t>1.3MPa</w:t>
      </w:r>
      <w:r>
        <w:rPr>
          <w:spacing w:val="-3"/>
          <w:sz w:val="21"/>
        </w:rPr>
        <w:t>、</w:t>
      </w:r>
      <w:r>
        <w:rPr>
          <w:sz w:val="21"/>
        </w:rPr>
        <w:t>1.6MPa</w:t>
      </w:r>
      <w:r>
        <w:rPr>
          <w:spacing w:val="-14"/>
          <w:sz w:val="21"/>
        </w:rPr>
        <w:t> 的水带</w:t>
      </w:r>
      <w:r>
        <w:rPr>
          <w:b/>
          <w:sz w:val="21"/>
        </w:rPr>
        <w:t>，</w:t>
      </w:r>
      <w:r>
        <w:rPr>
          <w:spacing w:val="-3"/>
          <w:sz w:val="21"/>
        </w:rPr>
        <w:t>在设计工作压力下其轴</w:t>
      </w:r>
      <w:r>
        <w:rPr>
          <w:spacing w:val="-7"/>
          <w:sz w:val="21"/>
        </w:rPr>
        <w:t>向延伸率和直径的膨胀率不应大于 </w:t>
      </w:r>
      <w:r>
        <w:rPr>
          <w:sz w:val="21"/>
        </w:rPr>
        <w:t>5</w:t>
      </w:r>
      <w:r>
        <w:rPr>
          <w:spacing w:val="-2"/>
          <w:sz w:val="21"/>
        </w:rPr>
        <w:t>％。</w:t>
      </w:r>
      <w:r>
        <w:rPr>
          <w:sz w:val="21"/>
        </w:rPr>
        <w:t> </w:t>
      </w:r>
    </w:p>
    <w:p>
      <w:pPr>
        <w:pStyle w:val="ListParagraph"/>
        <w:numPr>
          <w:ilvl w:val="2"/>
          <w:numId w:val="89"/>
        </w:numPr>
        <w:tabs>
          <w:tab w:pos="1370" w:val="left" w:leader="none"/>
        </w:tabs>
        <w:spacing w:line="446" w:lineRule="auto" w:before="0" w:after="0"/>
        <w:ind w:left="418" w:right="1501" w:firstLine="422"/>
        <w:jc w:val="left"/>
        <w:rPr>
          <w:sz w:val="21"/>
        </w:rPr>
      </w:pPr>
      <w:r>
        <w:rPr>
          <w:spacing w:val="-9"/>
          <w:sz w:val="21"/>
        </w:rPr>
        <w:t>设计工作压力为 </w:t>
      </w:r>
      <w:r>
        <w:rPr>
          <w:sz w:val="21"/>
        </w:rPr>
        <w:t>2.0MPa</w:t>
      </w:r>
      <w:r>
        <w:rPr>
          <w:spacing w:val="-3"/>
          <w:sz w:val="21"/>
        </w:rPr>
        <w:t>、</w:t>
      </w:r>
      <w:r>
        <w:rPr>
          <w:sz w:val="21"/>
        </w:rPr>
        <w:t>2.5MPa</w:t>
      </w:r>
      <w:r>
        <w:rPr>
          <w:spacing w:val="-8"/>
          <w:sz w:val="21"/>
        </w:rPr>
        <w:t> 的水带，在设计工作压力下其轴向延伸率和直径的</w:t>
      </w:r>
      <w:r>
        <w:rPr>
          <w:spacing w:val="-12"/>
          <w:sz w:val="21"/>
        </w:rPr>
        <w:t>膨胀率不应大于 </w:t>
      </w:r>
      <w:r>
        <w:rPr>
          <w:sz w:val="21"/>
        </w:rPr>
        <w:t>8</w:t>
      </w:r>
      <w:r>
        <w:rPr>
          <w:spacing w:val="-2"/>
          <w:sz w:val="21"/>
        </w:rPr>
        <w:t>％。</w:t>
      </w:r>
      <w:r>
        <w:rPr>
          <w:sz w:val="21"/>
        </w:rPr>
        <w:t> </w:t>
      </w:r>
    </w:p>
    <w:p>
      <w:pPr>
        <w:pStyle w:val="ListParagraph"/>
        <w:numPr>
          <w:ilvl w:val="2"/>
          <w:numId w:val="89"/>
        </w:numPr>
        <w:tabs>
          <w:tab w:pos="1370" w:val="left" w:leader="none"/>
        </w:tabs>
        <w:spacing w:line="240" w:lineRule="auto" w:before="0" w:after="0"/>
        <w:ind w:left="1369" w:right="0" w:hanging="530"/>
        <w:jc w:val="left"/>
        <w:rPr>
          <w:sz w:val="21"/>
        </w:rPr>
      </w:pPr>
      <w:r>
        <w:rPr>
          <w:spacing w:val="-3"/>
          <w:sz w:val="21"/>
        </w:rPr>
        <w:t>水压作用下，沿水流方向看，水带不应产生逆时针扭转。</w:t>
      </w:r>
      <w:r>
        <w:rPr>
          <w:sz w:val="21"/>
        </w:rPr>
        <w:t> </w:t>
      </w:r>
    </w:p>
    <w:p>
      <w:pPr>
        <w:pStyle w:val="BodyText"/>
        <w:spacing w:before="7"/>
        <w:rPr>
          <w:sz w:val="17"/>
        </w:rPr>
      </w:pPr>
    </w:p>
    <w:p>
      <w:pPr>
        <w:pStyle w:val="ListParagraph"/>
        <w:numPr>
          <w:ilvl w:val="1"/>
          <w:numId w:val="89"/>
        </w:numPr>
        <w:tabs>
          <w:tab w:pos="1160" w:val="left" w:leader="none"/>
        </w:tabs>
        <w:spacing w:line="240" w:lineRule="auto" w:before="0" w:after="0"/>
        <w:ind w:left="1159" w:right="0" w:hanging="320"/>
        <w:jc w:val="left"/>
        <w:rPr>
          <w:b/>
          <w:sz w:val="21"/>
        </w:rPr>
      </w:pPr>
      <w:r>
        <w:rPr>
          <w:spacing w:val="-3"/>
          <w:sz w:val="21"/>
        </w:rPr>
        <w:t>可弯曲性</w:t>
      </w:r>
      <w:r>
        <w:rPr>
          <w:b/>
          <w:w w:val="99"/>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503" w:firstLine="422"/>
      </w:pPr>
      <w:r>
        <w:rPr>
          <w:spacing w:val="-22"/>
        </w:rPr>
        <w:t>在 </w:t>
      </w:r>
      <w:r>
        <w:rPr/>
        <w:t>0.8MPa</w:t>
      </w:r>
      <w:r>
        <w:rPr>
          <w:spacing w:val="-10"/>
        </w:rPr>
        <w:t> 的水压下，将水带弯成外侧半径如表 </w:t>
      </w:r>
      <w:r>
        <w:rPr/>
        <w:t>6</w:t>
      </w:r>
      <w:r>
        <w:rPr>
          <w:spacing w:val="-8"/>
        </w:rPr>
        <w:t> 规定的圆弧，弯曲部分的内侧应无明显褶</w:t>
      </w:r>
      <w:r>
        <w:rPr>
          <w:spacing w:val="-6"/>
        </w:rPr>
        <w:t>皱。</w:t>
      </w:r>
      <w:r>
        <w:rPr/>
        <w:t> </w:t>
      </w:r>
    </w:p>
    <w:p>
      <w:pPr>
        <w:pStyle w:val="Heading6"/>
        <w:spacing w:line="267" w:lineRule="exact"/>
        <w:ind w:left="3627"/>
      </w:pPr>
      <w:r>
        <w:rPr/>
        <w:t>表 6 单 位 为 毫 米</w:t>
      </w:r>
      <w:r>
        <w:rPr>
          <w:w w:val="99"/>
        </w:rPr>
        <w:t> </w:t>
      </w:r>
    </w:p>
    <w:p>
      <w:pPr>
        <w:pStyle w:val="BodyText"/>
        <w:spacing w:before="8"/>
        <w:rPr>
          <w:b/>
          <w:sz w:val="9"/>
        </w:rPr>
      </w:pPr>
      <w:r>
        <w:rPr/>
        <w:drawing>
          <wp:anchor distT="0" distB="0" distL="0" distR="0" allowOverlap="1" layoutInCell="1" locked="0" behindDoc="0" simplePos="0" relativeHeight="23">
            <wp:simplePos x="0" y="0"/>
            <wp:positionH relativeFrom="page">
              <wp:posOffset>1205797</wp:posOffset>
            </wp:positionH>
            <wp:positionV relativeFrom="paragraph">
              <wp:posOffset>103084</wp:posOffset>
            </wp:positionV>
            <wp:extent cx="5145632" cy="2286000"/>
            <wp:effectExtent l="0" t="0" r="0" b="0"/>
            <wp:wrapTopAndBottom/>
            <wp:docPr id="57" name="image46.png"/>
            <wp:cNvGraphicFramePr>
              <a:graphicFrameLocks noChangeAspect="1"/>
            </wp:cNvGraphicFramePr>
            <a:graphic>
              <a:graphicData uri="http://schemas.openxmlformats.org/drawingml/2006/picture">
                <pic:pic>
                  <pic:nvPicPr>
                    <pic:cNvPr id="58" name="image46.png"/>
                    <pic:cNvPicPr/>
                  </pic:nvPicPr>
                  <pic:blipFill>
                    <a:blip r:embed="rId52" cstate="print"/>
                    <a:stretch>
                      <a:fillRect/>
                    </a:stretch>
                  </pic:blipFill>
                  <pic:spPr>
                    <a:xfrm>
                      <a:off x="0" y="0"/>
                      <a:ext cx="5145632" cy="2286000"/>
                    </a:xfrm>
                    <a:prstGeom prst="rect">
                      <a:avLst/>
                    </a:prstGeom>
                  </pic:spPr>
                </pic:pic>
              </a:graphicData>
            </a:graphic>
          </wp:anchor>
        </w:drawing>
      </w:r>
    </w:p>
    <w:p>
      <w:pPr>
        <w:pStyle w:val="ListParagraph"/>
        <w:numPr>
          <w:ilvl w:val="1"/>
          <w:numId w:val="89"/>
        </w:numPr>
        <w:tabs>
          <w:tab w:pos="1159" w:val="left" w:leader="none"/>
        </w:tabs>
        <w:spacing w:line="240" w:lineRule="auto" w:before="162" w:after="0"/>
        <w:ind w:left="1158" w:right="0" w:hanging="319"/>
        <w:jc w:val="left"/>
        <w:rPr>
          <w:sz w:val="21"/>
        </w:rPr>
      </w:pPr>
      <w:r>
        <w:rPr>
          <w:spacing w:val="-3"/>
          <w:sz w:val="21"/>
        </w:rPr>
        <w:t>黏附性</w:t>
      </w:r>
      <w:r>
        <w:rPr>
          <w:sz w:val="21"/>
        </w:rPr>
        <w:t> </w:t>
      </w:r>
    </w:p>
    <w:p>
      <w:pPr>
        <w:pStyle w:val="BodyText"/>
        <w:spacing w:before="2"/>
        <w:rPr>
          <w:sz w:val="18"/>
        </w:rPr>
      </w:pPr>
    </w:p>
    <w:p>
      <w:pPr>
        <w:pStyle w:val="BodyText"/>
        <w:spacing w:line="446" w:lineRule="auto"/>
        <w:ind w:left="840" w:right="3606" w:hanging="3"/>
        <w:rPr>
          <w:b/>
        </w:rPr>
      </w:pPr>
      <w:r>
        <w:rPr/>
        <w:t>按 5.9 进行黏附性试验后，衬里（或外覆层）间不应有黏附现象。</w:t>
      </w:r>
      <w:r>
        <w:rPr>
          <w:b/>
        </w:rPr>
        <w:t>4.10 </w:t>
      </w:r>
      <w:r>
        <w:rPr/>
        <w:t>耐低温性能</w:t>
      </w:r>
      <w:r>
        <w:rPr>
          <w:b/>
          <w:w w:val="99"/>
        </w:rPr>
        <w:t> </w:t>
      </w:r>
    </w:p>
    <w:p>
      <w:pPr>
        <w:pStyle w:val="ListParagraph"/>
        <w:numPr>
          <w:ilvl w:val="2"/>
          <w:numId w:val="90"/>
        </w:numPr>
        <w:tabs>
          <w:tab w:pos="1478" w:val="left" w:leader="none"/>
        </w:tabs>
        <w:spacing w:line="446" w:lineRule="auto" w:before="0" w:after="0"/>
        <w:ind w:left="418" w:right="1811" w:firstLine="422"/>
        <w:jc w:val="left"/>
        <w:rPr>
          <w:sz w:val="21"/>
        </w:rPr>
      </w:pPr>
      <w:r>
        <w:rPr>
          <w:spacing w:val="-23"/>
          <w:sz w:val="21"/>
        </w:rPr>
        <w:t>按 </w:t>
      </w:r>
      <w:r>
        <w:rPr>
          <w:sz w:val="21"/>
        </w:rPr>
        <w:t>5.10</w:t>
      </w:r>
      <w:r>
        <w:rPr>
          <w:spacing w:val="-8"/>
          <w:sz w:val="21"/>
        </w:rPr>
        <w:t> 进行耐低温性能试验后，水带应能立即展开、无卷曲现象，并能再次卷</w:t>
      </w:r>
      <w:r>
        <w:rPr>
          <w:spacing w:val="-5"/>
          <w:sz w:val="21"/>
        </w:rPr>
        <w:t>紧，且在设计工作压力下无渗漏。</w:t>
      </w:r>
      <w:r>
        <w:rPr>
          <w:sz w:val="21"/>
        </w:rPr>
        <w:t> </w:t>
      </w:r>
    </w:p>
    <w:p>
      <w:pPr>
        <w:pStyle w:val="ListParagraph"/>
        <w:numPr>
          <w:ilvl w:val="2"/>
          <w:numId w:val="90"/>
        </w:numPr>
        <w:tabs>
          <w:tab w:pos="1478" w:val="left" w:leader="none"/>
        </w:tabs>
        <w:spacing w:line="446" w:lineRule="auto" w:before="0" w:after="0"/>
        <w:ind w:left="418" w:right="1602" w:firstLine="422"/>
        <w:jc w:val="left"/>
        <w:rPr>
          <w:sz w:val="21"/>
        </w:rPr>
      </w:pPr>
      <w:r>
        <w:rPr>
          <w:spacing w:val="-22"/>
          <w:sz w:val="21"/>
        </w:rPr>
        <w:t>按 </w:t>
      </w:r>
      <w:r>
        <w:rPr>
          <w:sz w:val="21"/>
        </w:rPr>
        <w:t>5.10</w:t>
      </w:r>
      <w:r>
        <w:rPr>
          <w:spacing w:val="-8"/>
          <w:sz w:val="21"/>
        </w:rPr>
        <w:t> 进行耐低温性能试验后，湿水带应能立即展开、无卷曲现象，并能再次卷</w:t>
      </w:r>
      <w:r>
        <w:rPr>
          <w:spacing w:val="-5"/>
          <w:sz w:val="21"/>
        </w:rPr>
        <w:t>紧，且在设计工作压力下应无喷水现象。</w:t>
      </w:r>
      <w:r>
        <w:rPr>
          <w:sz w:val="21"/>
        </w:rPr>
        <w:t> </w:t>
      </w:r>
    </w:p>
    <w:p>
      <w:pPr>
        <w:pStyle w:val="ListParagraph"/>
        <w:numPr>
          <w:ilvl w:val="1"/>
          <w:numId w:val="91"/>
        </w:numPr>
        <w:tabs>
          <w:tab w:pos="1264" w:val="left" w:leader="none"/>
        </w:tabs>
        <w:spacing w:line="240" w:lineRule="auto" w:before="0" w:after="0"/>
        <w:ind w:left="1263" w:right="0" w:hanging="424"/>
        <w:jc w:val="left"/>
        <w:rPr>
          <w:sz w:val="21"/>
        </w:rPr>
      </w:pPr>
      <w:r>
        <w:rPr>
          <w:spacing w:val="-2"/>
          <w:sz w:val="21"/>
        </w:rPr>
        <w:t>衬里</w:t>
      </w:r>
      <w:r>
        <w:rPr>
          <w:spacing w:val="-3"/>
          <w:sz w:val="21"/>
        </w:rPr>
        <w:t>（或外覆层</w:t>
      </w:r>
      <w:r>
        <w:rPr>
          <w:sz w:val="21"/>
        </w:rPr>
        <w:t>）</w:t>
      </w:r>
      <w:r>
        <w:rPr>
          <w:spacing w:val="-3"/>
          <w:sz w:val="21"/>
        </w:rPr>
        <w:t>物理力学性能</w:t>
      </w:r>
      <w:r>
        <w:rPr>
          <w:sz w:val="21"/>
        </w:rPr>
        <w:t> </w:t>
      </w:r>
    </w:p>
    <w:p>
      <w:pPr>
        <w:pStyle w:val="BodyText"/>
        <w:spacing w:before="10"/>
        <w:rPr>
          <w:sz w:val="17"/>
        </w:rPr>
      </w:pPr>
    </w:p>
    <w:p>
      <w:pPr>
        <w:pStyle w:val="ListParagraph"/>
        <w:numPr>
          <w:ilvl w:val="2"/>
          <w:numId w:val="91"/>
        </w:numPr>
        <w:tabs>
          <w:tab w:pos="1478" w:val="left" w:leader="none"/>
        </w:tabs>
        <w:spacing w:line="240" w:lineRule="auto" w:before="0" w:after="0"/>
        <w:ind w:left="1477" w:right="0" w:hanging="638"/>
        <w:jc w:val="left"/>
        <w:rPr>
          <w:sz w:val="21"/>
        </w:rPr>
      </w:pPr>
      <w:r>
        <w:rPr>
          <w:spacing w:val="-3"/>
          <w:sz w:val="21"/>
        </w:rPr>
        <w:t>附着强度</w:t>
      </w:r>
      <w:r>
        <w:rPr>
          <w:sz w:val="21"/>
        </w:rPr>
        <w:t> </w:t>
      </w:r>
    </w:p>
    <w:p>
      <w:pPr>
        <w:pStyle w:val="BodyText"/>
        <w:rPr>
          <w:sz w:val="18"/>
        </w:rPr>
      </w:pPr>
    </w:p>
    <w:p>
      <w:pPr>
        <w:pStyle w:val="BodyText"/>
        <w:spacing w:line="446" w:lineRule="auto"/>
        <w:ind w:left="840" w:right="3344" w:hanging="3"/>
      </w:pPr>
      <w:r>
        <w:rPr/>
        <w:t>水带织物层与衬里（或外覆层）之间的附着强度不应低于 20N/25mm。</w:t>
      </w:r>
      <w:r>
        <w:rPr>
          <w:b/>
        </w:rPr>
        <w:t>4.11.2 </w:t>
      </w:r>
      <w:r>
        <w:rPr/>
        <w:t>扯断伸长率和扯断强度 </w:t>
      </w:r>
    </w:p>
    <w:p>
      <w:pPr>
        <w:pStyle w:val="BodyText"/>
        <w:spacing w:line="446" w:lineRule="auto"/>
        <w:ind w:left="840" w:right="3503" w:hanging="3"/>
      </w:pPr>
      <w:r>
        <w:rPr/>
        <w:t>水带衬里的扯断伸长率应不小于 280％，扯断强度应不小于 12MPa。</w:t>
      </w:r>
      <w:r>
        <w:rPr>
          <w:b/>
        </w:rPr>
        <w:t>4.11.3 </w:t>
      </w:r>
      <w:r>
        <w:rPr/>
        <w:t>热空气老化性能 </w:t>
      </w:r>
    </w:p>
    <w:p>
      <w:pPr>
        <w:pStyle w:val="BodyText"/>
        <w:spacing w:line="446" w:lineRule="auto"/>
        <w:ind w:left="418" w:right="1505" w:firstLine="419"/>
      </w:pPr>
      <w:r>
        <w:rPr>
          <w:spacing w:val="-18"/>
        </w:rPr>
        <w:t>按 </w:t>
      </w:r>
      <w:r>
        <w:rPr/>
        <w:t>5.11.3</w:t>
      </w:r>
      <w:r>
        <w:rPr>
          <w:spacing w:val="-8"/>
        </w:rPr>
        <w:t> 进行热空气老化试验后，水带的爆破压力和衬里</w:t>
      </w:r>
      <w:r>
        <w:rPr/>
        <w:t>（</w:t>
      </w:r>
      <w:r>
        <w:rPr>
          <w:spacing w:val="-3"/>
        </w:rPr>
        <w:t>或外覆层）的附着强度不应低</w:t>
      </w:r>
      <w:r>
        <w:rPr>
          <w:spacing w:val="-9"/>
        </w:rPr>
        <w:t>于老化前测定值的 </w:t>
      </w:r>
      <w:r>
        <w:rPr/>
        <w:t>75％。 </w:t>
      </w:r>
    </w:p>
    <w:p>
      <w:pPr>
        <w:pStyle w:val="ListParagraph"/>
        <w:numPr>
          <w:ilvl w:val="1"/>
          <w:numId w:val="91"/>
        </w:numPr>
        <w:tabs>
          <w:tab w:pos="1264" w:val="left" w:leader="none"/>
        </w:tabs>
        <w:spacing w:line="267" w:lineRule="exact" w:before="0" w:after="0"/>
        <w:ind w:left="1263" w:right="0" w:hanging="424"/>
        <w:jc w:val="left"/>
        <w:rPr>
          <w:sz w:val="21"/>
        </w:rPr>
      </w:pPr>
      <w:r>
        <w:rPr>
          <w:spacing w:val="-3"/>
          <w:sz w:val="21"/>
        </w:rPr>
        <w:t>耐磨性能</w:t>
      </w:r>
      <w:r>
        <w:rPr>
          <w:sz w:val="21"/>
        </w:rPr>
        <w:t> </w:t>
      </w:r>
    </w:p>
    <w:p>
      <w:pPr>
        <w:pStyle w:val="BodyText"/>
        <w:spacing w:line="500" w:lineRule="atLeast" w:before="1"/>
        <w:ind w:left="840" w:right="2242" w:hanging="3"/>
        <w:rPr>
          <w:b/>
        </w:rPr>
      </w:pPr>
      <w:r>
        <w:rPr/>
        <w:t>按 5.12 进行耐磨试验后，水带在相应的设计工作压力下，不应发生渗漏或破裂。</w:t>
      </w:r>
      <w:r>
        <w:rPr>
          <w:b/>
        </w:rPr>
        <w:t>4.13 </w:t>
      </w:r>
      <w:r>
        <w:rPr/>
        <w:t>水带与消防接口连接性能</w:t>
      </w:r>
      <w:r>
        <w:rPr>
          <w:b/>
          <w:w w:val="99"/>
        </w:rPr>
        <w:t> </w:t>
      </w:r>
    </w:p>
    <w:p>
      <w:pPr>
        <w:spacing w:after="0" w:line="500" w:lineRule="atLeast"/>
        <w:sectPr>
          <w:pgSz w:w="11910" w:h="16850"/>
          <w:pgMar w:header="0" w:footer="1239" w:top="1220" w:bottom="1420" w:left="1260" w:right="0"/>
        </w:sectPr>
      </w:pPr>
    </w:p>
    <w:p>
      <w:pPr>
        <w:pStyle w:val="BodyText"/>
        <w:spacing w:line="446" w:lineRule="auto" w:before="47"/>
        <w:ind w:left="418" w:right="1508" w:firstLine="419"/>
      </w:pPr>
      <w:r>
        <w:rPr>
          <w:spacing w:val="-7"/>
        </w:rPr>
        <w:t>水带与消防接口连接，按 </w:t>
      </w:r>
      <w:r>
        <w:rPr/>
        <w:t>5.13</w:t>
      </w:r>
      <w:r>
        <w:rPr>
          <w:spacing w:val="-12"/>
        </w:rPr>
        <w:t> 进行水压试验，在表 </w:t>
      </w:r>
      <w:r>
        <w:rPr/>
        <w:t>3</w:t>
      </w:r>
      <w:r>
        <w:rPr>
          <w:spacing w:val="-8"/>
        </w:rPr>
        <w:t> 规定的相应的试验压力下，水带与消</w:t>
      </w:r>
      <w:r>
        <w:rPr>
          <w:spacing w:val="-5"/>
        </w:rPr>
        <w:t>防接口连接处不应发生渗漏、爆破或滑脱。</w:t>
      </w:r>
      <w:r>
        <w:rPr/>
        <w:t> </w:t>
      </w:r>
    </w:p>
    <w:p>
      <w:pPr>
        <w:pStyle w:val="Heading4"/>
        <w:spacing w:line="275" w:lineRule="exact"/>
      </w:pPr>
      <w:r>
        <w:rPr/>
        <w:t>5 试验方法</w:t>
      </w:r>
      <w:r>
        <w:rPr>
          <w:w w:val="99"/>
        </w:rPr>
        <w:t> </w:t>
      </w:r>
    </w:p>
    <w:p>
      <w:pPr>
        <w:pStyle w:val="BodyText"/>
        <w:spacing w:before="6"/>
        <w:rPr>
          <w:b/>
          <w:sz w:val="17"/>
        </w:rPr>
      </w:pPr>
    </w:p>
    <w:p>
      <w:pPr>
        <w:pStyle w:val="ListParagraph"/>
        <w:numPr>
          <w:ilvl w:val="1"/>
          <w:numId w:val="92"/>
        </w:numPr>
        <w:tabs>
          <w:tab w:pos="1159" w:val="left" w:leader="none"/>
        </w:tabs>
        <w:spacing w:line="240" w:lineRule="auto" w:before="1" w:after="0"/>
        <w:ind w:left="1158" w:right="0" w:hanging="319"/>
        <w:jc w:val="left"/>
        <w:rPr>
          <w:b/>
          <w:sz w:val="21"/>
        </w:rPr>
      </w:pPr>
      <w:r>
        <w:rPr>
          <w:spacing w:val="-3"/>
          <w:sz w:val="21"/>
        </w:rPr>
        <w:t>外观质量检查</w:t>
      </w:r>
      <w:r>
        <w:rPr>
          <w:b/>
          <w:w w:val="99"/>
          <w:sz w:val="21"/>
        </w:rPr>
        <w:t> </w:t>
      </w:r>
    </w:p>
    <w:p>
      <w:pPr>
        <w:pStyle w:val="BodyText"/>
        <w:spacing w:before="12"/>
        <w:rPr>
          <w:b/>
          <w:sz w:val="17"/>
        </w:rPr>
      </w:pPr>
    </w:p>
    <w:p>
      <w:pPr>
        <w:pStyle w:val="ListParagraph"/>
        <w:numPr>
          <w:ilvl w:val="2"/>
          <w:numId w:val="92"/>
        </w:numPr>
        <w:tabs>
          <w:tab w:pos="1371" w:val="left" w:leader="none"/>
        </w:tabs>
        <w:spacing w:line="240" w:lineRule="auto" w:before="0" w:after="0"/>
        <w:ind w:left="1370" w:right="0" w:hanging="531"/>
        <w:jc w:val="left"/>
        <w:rPr>
          <w:sz w:val="21"/>
        </w:rPr>
      </w:pPr>
      <w:r>
        <w:rPr>
          <w:spacing w:val="-3"/>
          <w:sz w:val="21"/>
        </w:rPr>
        <w:t>编织层外观检查</w:t>
      </w:r>
      <w:r>
        <w:rPr>
          <w:sz w:val="21"/>
        </w:rPr>
        <w:t> </w:t>
      </w:r>
    </w:p>
    <w:p>
      <w:pPr>
        <w:pStyle w:val="BodyText"/>
        <w:spacing w:before="12"/>
        <w:rPr>
          <w:sz w:val="17"/>
        </w:rPr>
      </w:pPr>
    </w:p>
    <w:p>
      <w:pPr>
        <w:pStyle w:val="BodyText"/>
        <w:spacing w:line="446" w:lineRule="auto"/>
        <w:ind w:left="840" w:right="4239" w:hanging="3"/>
      </w:pPr>
      <w:r>
        <w:rPr/>
        <w:t>将试样展开铺平后，目测检查，判断是否符合 4.1.1 规定。</w:t>
      </w:r>
      <w:r>
        <w:rPr>
          <w:b/>
        </w:rPr>
        <w:t>5.1.2 </w:t>
      </w:r>
      <w:r>
        <w:rPr/>
        <w:t>衬里（或外覆层）质量检查 </w:t>
      </w:r>
    </w:p>
    <w:p>
      <w:pPr>
        <w:pStyle w:val="BodyText"/>
        <w:spacing w:line="446" w:lineRule="auto" w:before="1"/>
        <w:ind w:left="840" w:right="3925" w:hanging="3"/>
      </w:pPr>
      <w:r>
        <w:rPr>
          <w:spacing w:val="-11"/>
        </w:rPr>
        <w:t>任意剖开 </w:t>
      </w:r>
      <w:r>
        <w:rPr/>
        <w:t>1m</w:t>
      </w:r>
      <w:r>
        <w:rPr>
          <w:spacing w:val="-11"/>
        </w:rPr>
        <w:t> 长的试样，目测检查，判断是否符合 </w:t>
      </w:r>
      <w:r>
        <w:rPr/>
        <w:t>4.1.2</w:t>
      </w:r>
      <w:r>
        <w:rPr>
          <w:spacing w:val="-15"/>
        </w:rPr>
        <w:t> 规定。</w:t>
      </w:r>
      <w:r>
        <w:rPr>
          <w:b/>
        </w:rPr>
        <w:t>5.2 </w:t>
      </w:r>
      <w:r>
        <w:rPr>
          <w:spacing w:val="-3"/>
        </w:rPr>
        <w:t>内径测量</w:t>
      </w:r>
      <w:r>
        <w:rPr/>
        <w:t> </w:t>
      </w:r>
    </w:p>
    <w:p>
      <w:pPr>
        <w:pStyle w:val="ListParagraph"/>
        <w:numPr>
          <w:ilvl w:val="2"/>
          <w:numId w:val="93"/>
        </w:numPr>
        <w:tabs>
          <w:tab w:pos="1370" w:val="left" w:leader="none"/>
        </w:tabs>
        <w:spacing w:line="240" w:lineRule="auto" w:before="0" w:after="0"/>
        <w:ind w:left="1369" w:right="0" w:hanging="530"/>
        <w:jc w:val="left"/>
        <w:rPr>
          <w:sz w:val="21"/>
        </w:rPr>
      </w:pPr>
      <w:r>
        <w:rPr>
          <w:spacing w:val="-6"/>
          <w:sz w:val="21"/>
        </w:rPr>
        <w:t>用塞规测量试样的内径。塞规用金属制成，如图 </w:t>
      </w:r>
      <w:r>
        <w:rPr>
          <w:sz w:val="21"/>
        </w:rPr>
        <w:t>1</w:t>
      </w:r>
      <w:r>
        <w:rPr>
          <w:spacing w:val="-12"/>
          <w:sz w:val="21"/>
        </w:rPr>
        <w:t> 所示的结构，其尺寸和公差按表 </w:t>
      </w:r>
      <w:r>
        <w:rPr>
          <w:sz w:val="21"/>
        </w:rPr>
        <w:t>7</w:t>
      </w:r>
    </w:p>
    <w:p>
      <w:pPr>
        <w:pStyle w:val="BodyText"/>
        <w:spacing w:before="12"/>
        <w:rPr>
          <w:sz w:val="17"/>
        </w:rPr>
      </w:pPr>
    </w:p>
    <w:p>
      <w:pPr>
        <w:pStyle w:val="BodyText"/>
        <w:ind w:left="418"/>
      </w:pPr>
      <w:r>
        <w:rPr/>
        <w:t>规定，工作部分的表面粗糙度 Ra 为 1.60。 </w:t>
      </w:r>
    </w:p>
    <w:p>
      <w:pPr>
        <w:pStyle w:val="BodyText"/>
        <w:spacing w:before="12"/>
        <w:rPr>
          <w:sz w:val="17"/>
        </w:rPr>
      </w:pPr>
    </w:p>
    <w:p>
      <w:pPr>
        <w:pStyle w:val="ListParagraph"/>
        <w:numPr>
          <w:ilvl w:val="2"/>
          <w:numId w:val="93"/>
        </w:numPr>
        <w:tabs>
          <w:tab w:pos="1370" w:val="left" w:leader="none"/>
        </w:tabs>
        <w:spacing w:line="240" w:lineRule="auto" w:before="0" w:after="0"/>
        <w:ind w:left="1369" w:right="0" w:hanging="530"/>
        <w:jc w:val="left"/>
        <w:rPr>
          <w:sz w:val="21"/>
        </w:rPr>
      </w:pPr>
      <w:r>
        <w:rPr>
          <w:spacing w:val="-3"/>
          <w:sz w:val="21"/>
        </w:rPr>
        <w:t>测量时，先将试样两端剪切平齐，然后用塞规测其两端内径。</w:t>
      </w:r>
      <w:r>
        <w:rPr>
          <w:sz w:val="21"/>
        </w:rPr>
        <w:t> </w:t>
      </w:r>
    </w:p>
    <w:p>
      <w:pPr>
        <w:pStyle w:val="BodyText"/>
        <w:spacing w:before="2"/>
        <w:rPr>
          <w:sz w:val="18"/>
        </w:rPr>
      </w:pPr>
    </w:p>
    <w:p>
      <w:pPr>
        <w:pStyle w:val="ListParagraph"/>
        <w:numPr>
          <w:ilvl w:val="1"/>
          <w:numId w:val="94"/>
        </w:numPr>
        <w:tabs>
          <w:tab w:pos="1159" w:val="left" w:leader="none"/>
        </w:tabs>
        <w:spacing w:line="240" w:lineRule="auto" w:before="0" w:after="0"/>
        <w:ind w:left="1158" w:right="0" w:hanging="319"/>
        <w:jc w:val="left"/>
        <w:rPr>
          <w:sz w:val="21"/>
        </w:rPr>
      </w:pPr>
      <w:r>
        <w:rPr>
          <w:spacing w:val="-3"/>
          <w:sz w:val="21"/>
        </w:rPr>
        <w:t>长度测量</w:t>
      </w:r>
      <w:r>
        <w:rPr>
          <w:sz w:val="21"/>
        </w:rPr>
        <w:t> </w:t>
      </w:r>
    </w:p>
    <w:p>
      <w:pPr>
        <w:pStyle w:val="BodyText"/>
        <w:rPr>
          <w:sz w:val="18"/>
        </w:rPr>
      </w:pPr>
    </w:p>
    <w:p>
      <w:pPr>
        <w:pStyle w:val="BodyText"/>
        <w:spacing w:line="446" w:lineRule="auto"/>
        <w:ind w:left="418" w:right="1611" w:firstLine="419"/>
        <w:jc w:val="both"/>
      </w:pPr>
      <w:r>
        <w:rPr>
          <w:spacing w:val="-5"/>
        </w:rPr>
        <w:t>将试样展开铺平用钢卷尺测量。当水带长度不超过 </w:t>
      </w:r>
      <w:r>
        <w:rPr/>
        <w:t>50m</w:t>
      </w:r>
      <w:r>
        <w:rPr>
          <w:spacing w:val="-7"/>
        </w:rPr>
        <w:t> 时，钢卷尺的量程应不小于被测样</w:t>
      </w:r>
      <w:r>
        <w:rPr>
          <w:spacing w:val="-8"/>
        </w:rPr>
        <w:t>本的长度；当试样长度超过 </w:t>
      </w:r>
      <w:r>
        <w:rPr/>
        <w:t>50m</w:t>
      </w:r>
      <w:r>
        <w:rPr>
          <w:spacing w:val="-12"/>
        </w:rPr>
        <w:t> 时，可以用量程为 </w:t>
      </w:r>
      <w:r>
        <w:rPr/>
        <w:t>50m</w:t>
      </w:r>
      <w:r>
        <w:rPr>
          <w:spacing w:val="-8"/>
        </w:rPr>
        <w:t> 的钢卷尺分段测量。钢卷尺测量最小示</w:t>
      </w:r>
      <w:r>
        <w:rPr>
          <w:spacing w:val="-24"/>
        </w:rPr>
        <w:t>值为 </w:t>
      </w:r>
      <w:r>
        <w:rPr/>
        <w:t>1mm</w:t>
      </w:r>
      <w:r>
        <w:rPr>
          <w:spacing w:val="-3"/>
        </w:rPr>
        <w:t>。</w:t>
      </w:r>
      <w:r>
        <w:rPr/>
        <w:t> </w:t>
      </w:r>
    </w:p>
    <w:p>
      <w:pPr>
        <w:pStyle w:val="ListParagraph"/>
        <w:numPr>
          <w:ilvl w:val="1"/>
          <w:numId w:val="94"/>
        </w:numPr>
        <w:tabs>
          <w:tab w:pos="1159" w:val="left" w:leader="none"/>
        </w:tabs>
        <w:spacing w:line="268" w:lineRule="exact" w:before="0" w:after="0"/>
        <w:ind w:left="1158" w:right="0" w:hanging="319"/>
        <w:jc w:val="left"/>
        <w:rPr>
          <w:sz w:val="21"/>
        </w:rPr>
      </w:pPr>
      <w:r>
        <w:rPr>
          <w:spacing w:val="-3"/>
          <w:sz w:val="21"/>
        </w:rPr>
        <w:t>水压试验与爆破试验</w:t>
      </w:r>
      <w:r>
        <w:rPr>
          <w:sz w:val="21"/>
        </w:rPr>
        <w:t> </w:t>
      </w:r>
    </w:p>
    <w:p>
      <w:pPr>
        <w:pStyle w:val="BodyText"/>
        <w:spacing w:before="12"/>
        <w:rPr>
          <w:sz w:val="17"/>
        </w:rPr>
      </w:pPr>
    </w:p>
    <w:p>
      <w:pPr>
        <w:pStyle w:val="ListParagraph"/>
        <w:numPr>
          <w:ilvl w:val="2"/>
          <w:numId w:val="94"/>
        </w:numPr>
        <w:tabs>
          <w:tab w:pos="1370" w:val="left" w:leader="none"/>
        </w:tabs>
        <w:spacing w:line="446" w:lineRule="auto" w:before="0" w:after="0"/>
        <w:ind w:left="418" w:right="1505" w:firstLine="422"/>
        <w:jc w:val="left"/>
        <w:rPr>
          <w:sz w:val="19"/>
        </w:rPr>
      </w:pPr>
      <w:r>
        <w:rPr>
          <w:spacing w:val="-10"/>
          <w:sz w:val="21"/>
        </w:rPr>
        <w:t>试验时将 </w:t>
      </w:r>
      <w:r>
        <w:rPr>
          <w:sz w:val="21"/>
        </w:rPr>
        <w:t>1.20m</w:t>
      </w:r>
      <w:r>
        <w:rPr>
          <w:spacing w:val="-8"/>
          <w:sz w:val="21"/>
        </w:rPr>
        <w:t> 长的试样一端与水源相接，另一端用带有排气阀的密封装置封闭。保</w:t>
      </w:r>
      <w:r>
        <w:rPr>
          <w:spacing w:val="-6"/>
          <w:sz w:val="21"/>
        </w:rPr>
        <w:t>持试样平直，使试样灌满水并排尽其中的空气，关闭排气阀。以 </w:t>
      </w:r>
      <w:r>
        <w:rPr>
          <w:sz w:val="21"/>
        </w:rPr>
        <w:t>5.0～10.0MPa/min</w:t>
      </w:r>
      <w:r>
        <w:rPr>
          <w:spacing w:val="-9"/>
          <w:sz w:val="21"/>
        </w:rPr>
        <w:t> 的速率升压</w:t>
      </w:r>
      <w:r>
        <w:rPr>
          <w:spacing w:val="-16"/>
          <w:sz w:val="21"/>
        </w:rPr>
        <w:t>至表 </w:t>
      </w:r>
      <w:r>
        <w:rPr>
          <w:sz w:val="21"/>
        </w:rPr>
        <w:t>3</w:t>
      </w:r>
      <w:r>
        <w:rPr>
          <w:spacing w:val="-11"/>
          <w:sz w:val="21"/>
        </w:rPr>
        <w:t> 规定的试验压力，保压 </w:t>
      </w:r>
      <w:r>
        <w:rPr>
          <w:sz w:val="21"/>
        </w:rPr>
        <w:t>5min</w:t>
      </w:r>
      <w:r>
        <w:rPr>
          <w:spacing w:val="-3"/>
          <w:sz w:val="21"/>
        </w:rPr>
        <w:t>，试样不应有渗漏现象。然后以该速率升压至试样爆破，判</w:t>
      </w:r>
      <w:r>
        <w:rPr>
          <w:spacing w:val="-11"/>
          <w:sz w:val="21"/>
        </w:rPr>
        <w:t>断是否符合表 </w:t>
      </w:r>
      <w:r>
        <w:rPr>
          <w:sz w:val="21"/>
        </w:rPr>
        <w:t>3</w:t>
      </w:r>
      <w:r>
        <w:rPr>
          <w:spacing w:val="-12"/>
          <w:sz w:val="21"/>
        </w:rPr>
        <w:t> 的规定。 </w:t>
      </w:r>
    </w:p>
    <w:p>
      <w:pPr>
        <w:pStyle w:val="ListParagraph"/>
        <w:numPr>
          <w:ilvl w:val="2"/>
          <w:numId w:val="94"/>
        </w:numPr>
        <w:tabs>
          <w:tab w:pos="1371" w:val="left" w:leader="none"/>
        </w:tabs>
        <w:spacing w:line="240" w:lineRule="auto" w:before="1" w:after="0"/>
        <w:ind w:left="1370" w:right="0" w:hanging="531"/>
        <w:jc w:val="left"/>
        <w:rPr>
          <w:sz w:val="19"/>
        </w:rPr>
      </w:pPr>
      <w:r>
        <w:rPr>
          <w:spacing w:val="-3"/>
          <w:sz w:val="21"/>
        </w:rPr>
        <w:t>当织物层材料的干态与湿态强度不同时，爆破压力试验按强度低的状态进行。</w:t>
      </w:r>
      <w:r>
        <w:rPr>
          <w:sz w:val="21"/>
        </w:rPr>
        <w:t> </w:t>
      </w:r>
    </w:p>
    <w:p>
      <w:pPr>
        <w:pStyle w:val="BodyText"/>
        <w:spacing w:before="12"/>
        <w:rPr>
          <w:sz w:val="17"/>
        </w:rPr>
      </w:pPr>
    </w:p>
    <w:p>
      <w:pPr>
        <w:pStyle w:val="ListParagraph"/>
        <w:numPr>
          <w:ilvl w:val="2"/>
          <w:numId w:val="94"/>
        </w:numPr>
        <w:tabs>
          <w:tab w:pos="1370" w:val="left" w:leader="none"/>
        </w:tabs>
        <w:spacing w:line="240" w:lineRule="auto" w:before="0" w:after="0"/>
        <w:ind w:left="1369" w:right="0" w:hanging="530"/>
        <w:jc w:val="left"/>
        <w:rPr>
          <w:sz w:val="19"/>
        </w:rPr>
      </w:pPr>
      <w:r>
        <w:rPr>
          <w:spacing w:val="-3"/>
          <w:sz w:val="21"/>
        </w:rPr>
        <w:t>试验装置应符合以下规定：</w:t>
      </w:r>
      <w:r>
        <w:rPr>
          <w:sz w:val="21"/>
        </w:rPr>
        <w:t> </w:t>
      </w:r>
    </w:p>
    <w:p>
      <w:pPr>
        <w:pStyle w:val="BodyText"/>
        <w:spacing w:before="12"/>
        <w:rPr>
          <w:sz w:val="17"/>
        </w:rPr>
      </w:pPr>
    </w:p>
    <w:p>
      <w:pPr>
        <w:pStyle w:val="ListParagraph"/>
        <w:numPr>
          <w:ilvl w:val="0"/>
          <w:numId w:val="95"/>
        </w:numPr>
        <w:tabs>
          <w:tab w:pos="1156" w:val="left" w:leader="none"/>
        </w:tabs>
        <w:spacing w:line="446" w:lineRule="auto" w:before="0" w:after="0"/>
        <w:ind w:left="418" w:right="1505" w:firstLine="419"/>
        <w:jc w:val="left"/>
        <w:rPr>
          <w:sz w:val="21"/>
        </w:rPr>
      </w:pPr>
      <w:r>
        <w:rPr>
          <w:spacing w:val="-3"/>
          <w:sz w:val="21"/>
        </w:rPr>
        <w:t>耐压试验台：应能可靠地夹紧试样，一端应能纵向移动，试验过程中不应阻碍试样的自由延伸，试验台应装有排气阀；</w:t>
      </w:r>
      <w:r>
        <w:rPr>
          <w:sz w:val="21"/>
        </w:rPr>
        <w:t> </w:t>
      </w:r>
    </w:p>
    <w:p>
      <w:pPr>
        <w:pStyle w:val="ListParagraph"/>
        <w:numPr>
          <w:ilvl w:val="0"/>
          <w:numId w:val="95"/>
        </w:numPr>
        <w:tabs>
          <w:tab w:pos="1156" w:val="left" w:leader="none"/>
        </w:tabs>
        <w:spacing w:line="240" w:lineRule="auto" w:before="1" w:after="0"/>
        <w:ind w:left="1155" w:right="0" w:hanging="318"/>
        <w:jc w:val="left"/>
        <w:rPr>
          <w:sz w:val="21"/>
        </w:rPr>
      </w:pPr>
      <w:r>
        <w:rPr>
          <w:spacing w:val="-3"/>
          <w:sz w:val="21"/>
        </w:rPr>
        <w:t>水压源：应采用三缸的电动往复泵，其工作压力应不低于试样的爆破压力； </w:t>
      </w:r>
    </w:p>
    <w:p>
      <w:pPr>
        <w:pStyle w:val="BodyText"/>
        <w:spacing w:before="12"/>
        <w:rPr>
          <w:sz w:val="17"/>
        </w:rPr>
      </w:pPr>
    </w:p>
    <w:p>
      <w:pPr>
        <w:pStyle w:val="ListParagraph"/>
        <w:numPr>
          <w:ilvl w:val="0"/>
          <w:numId w:val="95"/>
        </w:numPr>
        <w:tabs>
          <w:tab w:pos="1156" w:val="left" w:leader="none"/>
        </w:tabs>
        <w:spacing w:line="446" w:lineRule="auto" w:before="0" w:after="0"/>
        <w:ind w:left="418" w:right="1508" w:firstLine="419"/>
        <w:jc w:val="left"/>
        <w:rPr>
          <w:sz w:val="21"/>
        </w:rPr>
      </w:pPr>
      <w:r>
        <w:rPr>
          <w:spacing w:val="-6"/>
          <w:sz w:val="21"/>
        </w:rPr>
        <w:t>稳压装置：当水压不高于 </w:t>
      </w:r>
      <w:r>
        <w:rPr>
          <w:sz w:val="21"/>
        </w:rPr>
        <w:t>3.0MPa</w:t>
      </w:r>
      <w:r>
        <w:rPr>
          <w:spacing w:val="-8"/>
          <w:sz w:val="21"/>
        </w:rPr>
        <w:t> 时，经过稳压后，压力波动值应不大于±</w:t>
      </w:r>
      <w:r>
        <w:rPr>
          <w:sz w:val="21"/>
        </w:rPr>
        <w:t>0.05MPa；当</w:t>
      </w:r>
      <w:r>
        <w:rPr>
          <w:spacing w:val="-12"/>
          <w:sz w:val="21"/>
        </w:rPr>
        <w:t>水压高于 </w:t>
      </w:r>
      <w:r>
        <w:rPr>
          <w:sz w:val="21"/>
        </w:rPr>
        <w:t>3.0MPa</w:t>
      </w:r>
      <w:r>
        <w:rPr>
          <w:spacing w:val="-9"/>
          <w:sz w:val="21"/>
        </w:rPr>
        <w:t> 时，经过稳压后，压力波动值应不大于±</w:t>
      </w:r>
      <w:r>
        <w:rPr>
          <w:sz w:val="21"/>
        </w:rPr>
        <w:t>0.10MPa； </w:t>
      </w:r>
    </w:p>
    <w:p>
      <w:pPr>
        <w:spacing w:after="0" w:line="446" w:lineRule="auto"/>
        <w:jc w:val="left"/>
        <w:rPr>
          <w:sz w:val="21"/>
        </w:rPr>
        <w:sectPr>
          <w:pgSz w:w="11910" w:h="16850"/>
          <w:pgMar w:header="0" w:footer="1239" w:top="1220" w:bottom="1420" w:left="1260" w:right="0"/>
        </w:sectPr>
      </w:pPr>
    </w:p>
    <w:p>
      <w:pPr>
        <w:pStyle w:val="ListParagraph"/>
        <w:numPr>
          <w:ilvl w:val="0"/>
          <w:numId w:val="95"/>
        </w:numPr>
        <w:tabs>
          <w:tab w:pos="1156" w:val="left" w:leader="none"/>
        </w:tabs>
        <w:spacing w:line="446" w:lineRule="auto" w:before="47" w:after="0"/>
        <w:ind w:left="418" w:right="1558" w:firstLine="419"/>
        <w:jc w:val="left"/>
        <w:rPr>
          <w:sz w:val="21"/>
        </w:rPr>
      </w:pPr>
      <w:r>
        <w:rPr>
          <w:spacing w:val="-7"/>
          <w:sz w:val="21"/>
        </w:rPr>
        <w:t>压力显示装置：测量下限为 </w:t>
      </w:r>
      <w:r>
        <w:rPr>
          <w:sz w:val="21"/>
        </w:rPr>
        <w:t>0</w:t>
      </w:r>
      <w:r>
        <w:rPr>
          <w:spacing w:val="-7"/>
          <w:sz w:val="21"/>
        </w:rPr>
        <w:t>，测量上限为爆破压力的 </w:t>
      </w:r>
      <w:r>
        <w:rPr>
          <w:sz w:val="21"/>
        </w:rPr>
        <w:t>1.5</w:t>
      </w:r>
      <w:r>
        <w:rPr>
          <w:spacing w:val="-25"/>
          <w:sz w:val="21"/>
        </w:rPr>
        <w:t> 倍到 </w:t>
      </w:r>
      <w:r>
        <w:rPr>
          <w:sz w:val="21"/>
        </w:rPr>
        <w:t>2.0</w:t>
      </w:r>
      <w:r>
        <w:rPr>
          <w:spacing w:val="-8"/>
          <w:sz w:val="21"/>
        </w:rPr>
        <w:t> 倍，并能记录爆破</w:t>
      </w:r>
      <w:r>
        <w:rPr>
          <w:spacing w:val="-5"/>
          <w:sz w:val="21"/>
        </w:rPr>
        <w:t>压力值，精度应不低于±</w:t>
      </w:r>
      <w:r>
        <w:rPr>
          <w:sz w:val="21"/>
        </w:rPr>
        <w:t>0.01MPa</w:t>
      </w:r>
      <w:r>
        <w:rPr>
          <w:spacing w:val="-3"/>
          <w:sz w:val="21"/>
        </w:rPr>
        <w:t>。</w:t>
      </w:r>
      <w:r>
        <w:rPr>
          <w:sz w:val="21"/>
        </w:rPr>
        <w:t> </w:t>
      </w:r>
    </w:p>
    <w:p>
      <w:pPr>
        <w:pStyle w:val="ListParagraph"/>
        <w:numPr>
          <w:ilvl w:val="1"/>
          <w:numId w:val="94"/>
        </w:numPr>
        <w:tabs>
          <w:tab w:pos="1159" w:val="left" w:leader="none"/>
        </w:tabs>
        <w:spacing w:line="267" w:lineRule="exact" w:before="0" w:after="0"/>
        <w:ind w:left="1158" w:right="0" w:hanging="319"/>
        <w:jc w:val="left"/>
        <w:rPr>
          <w:sz w:val="21"/>
        </w:rPr>
      </w:pPr>
      <w:r>
        <w:rPr>
          <w:spacing w:val="-3"/>
          <w:sz w:val="21"/>
        </w:rPr>
        <w:t>湿水带渗水量测量</w:t>
      </w:r>
      <w:r>
        <w:rPr>
          <w:sz w:val="21"/>
        </w:rPr>
        <w:t> </w:t>
      </w:r>
    </w:p>
    <w:p>
      <w:pPr>
        <w:pStyle w:val="BodyText"/>
        <w:spacing w:before="2"/>
        <w:rPr>
          <w:sz w:val="18"/>
        </w:rPr>
      </w:pPr>
    </w:p>
    <w:p>
      <w:pPr>
        <w:pStyle w:val="ListParagraph"/>
        <w:numPr>
          <w:ilvl w:val="2"/>
          <w:numId w:val="94"/>
        </w:numPr>
        <w:tabs>
          <w:tab w:pos="1370" w:val="left" w:leader="none"/>
        </w:tabs>
        <w:spacing w:line="446" w:lineRule="auto" w:before="0" w:after="0"/>
        <w:ind w:left="418" w:right="1498" w:firstLine="422"/>
        <w:jc w:val="left"/>
        <w:rPr>
          <w:sz w:val="19"/>
        </w:rPr>
      </w:pPr>
      <w:r>
        <w:rPr>
          <w:spacing w:val="-13"/>
          <w:sz w:val="21"/>
        </w:rPr>
        <w:t>任意取 </w:t>
      </w:r>
      <w:r>
        <w:rPr>
          <w:sz w:val="21"/>
        </w:rPr>
        <w:t>1.2m</w:t>
      </w:r>
      <w:r>
        <w:rPr>
          <w:spacing w:val="-8"/>
          <w:sz w:val="21"/>
        </w:rPr>
        <w:t> 长的试样，一端与水源相接，另一端用带有排气阀的密封装置封闭，保</w:t>
      </w:r>
      <w:r>
        <w:rPr>
          <w:spacing w:val="-7"/>
          <w:sz w:val="21"/>
        </w:rPr>
        <w:t>持试样平直。对试样灌水，排尽空气后，关闭排气阀。均匀升压至 </w:t>
      </w:r>
      <w:r>
        <w:rPr>
          <w:sz w:val="21"/>
        </w:rPr>
        <w:t>0.5MPa</w:t>
      </w:r>
      <w:r>
        <w:rPr>
          <w:spacing w:val="-12"/>
          <w:sz w:val="21"/>
        </w:rPr>
        <w:t>，保压 </w:t>
      </w:r>
      <w:r>
        <w:rPr>
          <w:sz w:val="21"/>
        </w:rPr>
        <w:t>5min</w:t>
      </w:r>
      <w:r>
        <w:rPr>
          <w:spacing w:val="-14"/>
          <w:sz w:val="21"/>
        </w:rPr>
        <w:t> 后，用</w:t>
      </w:r>
    </w:p>
    <w:p>
      <w:pPr>
        <w:pStyle w:val="ListParagraph"/>
        <w:numPr>
          <w:ilvl w:val="2"/>
          <w:numId w:val="94"/>
        </w:numPr>
        <w:tabs>
          <w:tab w:pos="997" w:val="left" w:leader="none"/>
        </w:tabs>
        <w:spacing w:line="446" w:lineRule="auto" w:before="0" w:after="0"/>
        <w:ind w:left="418" w:right="1503" w:firstLine="0"/>
        <w:jc w:val="both"/>
        <w:rPr>
          <w:sz w:val="21"/>
        </w:rPr>
      </w:pPr>
      <w:r>
        <w:rPr>
          <w:spacing w:val="-8"/>
          <w:sz w:val="21"/>
        </w:rPr>
        <w:t>规定的集水槽集水 </w:t>
      </w:r>
      <w:r>
        <w:rPr>
          <w:sz w:val="21"/>
        </w:rPr>
        <w:t>1min</w:t>
      </w:r>
      <w:r>
        <w:rPr>
          <w:spacing w:val="-7"/>
          <w:sz w:val="21"/>
        </w:rPr>
        <w:t>，所集得的水量为该试样 </w:t>
      </w:r>
      <w:r>
        <w:rPr>
          <w:sz w:val="21"/>
        </w:rPr>
        <w:t>0.5MPa</w:t>
      </w:r>
      <w:r>
        <w:rPr>
          <w:spacing w:val="-8"/>
          <w:sz w:val="21"/>
        </w:rPr>
        <w:t> 水压下的渗水量。同时检查水带</w:t>
      </w:r>
      <w:r>
        <w:rPr>
          <w:spacing w:val="-7"/>
          <w:sz w:val="21"/>
        </w:rPr>
        <w:t>表面渗水均匀情况，随后将水压均匀升至设计工作压力，再保压 </w:t>
      </w:r>
      <w:r>
        <w:rPr>
          <w:sz w:val="21"/>
        </w:rPr>
        <w:t>5min</w:t>
      </w:r>
      <w:r>
        <w:rPr>
          <w:spacing w:val="-20"/>
          <w:sz w:val="21"/>
        </w:rPr>
        <w:t> 后，用 </w:t>
      </w:r>
      <w:r>
        <w:rPr>
          <w:sz w:val="21"/>
        </w:rPr>
        <w:t>5.5.2</w:t>
      </w:r>
      <w:r>
        <w:rPr>
          <w:spacing w:val="-10"/>
          <w:sz w:val="21"/>
        </w:rPr>
        <w:t> 规定集水槽</w:t>
      </w:r>
      <w:r>
        <w:rPr>
          <w:spacing w:val="-16"/>
          <w:sz w:val="21"/>
        </w:rPr>
        <w:t>重新集水 </w:t>
      </w:r>
      <w:r>
        <w:rPr>
          <w:sz w:val="21"/>
        </w:rPr>
        <w:t>1min</w:t>
      </w:r>
      <w:r>
        <w:rPr>
          <w:spacing w:val="-3"/>
          <w:sz w:val="21"/>
        </w:rPr>
        <w:t>。所集得的水量即为该试样设计工作压力下的渗水量。</w:t>
      </w:r>
      <w:r>
        <w:rPr>
          <w:sz w:val="21"/>
        </w:rPr>
        <w:t> </w:t>
      </w:r>
    </w:p>
    <w:p>
      <w:pPr>
        <w:spacing w:line="268" w:lineRule="exact" w:before="0"/>
        <w:ind w:left="840" w:right="0" w:firstLine="0"/>
        <w:jc w:val="left"/>
        <w:rPr>
          <w:sz w:val="21"/>
        </w:rPr>
      </w:pPr>
      <w:r>
        <w:rPr>
          <w:b/>
          <w:sz w:val="21"/>
        </w:rPr>
        <w:t>5.5.2 </w:t>
      </w:r>
      <w:r>
        <w:rPr>
          <w:sz w:val="21"/>
        </w:rPr>
        <w:t>试验装置应符合以下规定： </w:t>
      </w:r>
    </w:p>
    <w:p>
      <w:pPr>
        <w:pStyle w:val="BodyText"/>
        <w:spacing w:before="12"/>
        <w:rPr>
          <w:sz w:val="17"/>
        </w:rPr>
      </w:pPr>
    </w:p>
    <w:p>
      <w:pPr>
        <w:pStyle w:val="ListParagraph"/>
        <w:numPr>
          <w:ilvl w:val="0"/>
          <w:numId w:val="96"/>
        </w:numPr>
        <w:tabs>
          <w:tab w:pos="1156" w:val="left" w:leader="none"/>
        </w:tabs>
        <w:spacing w:line="240" w:lineRule="auto" w:before="0" w:after="0"/>
        <w:ind w:left="1155" w:right="0" w:hanging="318"/>
        <w:jc w:val="left"/>
        <w:rPr>
          <w:sz w:val="21"/>
        </w:rPr>
      </w:pPr>
      <w:r>
        <w:rPr>
          <w:spacing w:val="-9"/>
          <w:sz w:val="21"/>
        </w:rPr>
        <w:t>耐压试验台：应符合 </w:t>
      </w:r>
      <w:r>
        <w:rPr>
          <w:sz w:val="21"/>
        </w:rPr>
        <w:t>5.4.3a）</w:t>
      </w:r>
      <w:r>
        <w:rPr>
          <w:spacing w:val="-3"/>
          <w:sz w:val="21"/>
        </w:rPr>
        <w:t>的规定；</w:t>
      </w:r>
      <w:r>
        <w:rPr>
          <w:sz w:val="21"/>
        </w:rPr>
        <w:t> </w:t>
      </w:r>
    </w:p>
    <w:p>
      <w:pPr>
        <w:pStyle w:val="BodyText"/>
        <w:rPr>
          <w:sz w:val="18"/>
        </w:rPr>
      </w:pPr>
    </w:p>
    <w:p>
      <w:pPr>
        <w:pStyle w:val="ListParagraph"/>
        <w:numPr>
          <w:ilvl w:val="0"/>
          <w:numId w:val="96"/>
        </w:numPr>
        <w:tabs>
          <w:tab w:pos="1156" w:val="left" w:leader="none"/>
        </w:tabs>
        <w:spacing w:line="446" w:lineRule="auto" w:before="0" w:after="0"/>
        <w:ind w:left="838" w:right="2086" w:firstLine="0"/>
        <w:jc w:val="left"/>
        <w:rPr>
          <w:sz w:val="21"/>
        </w:rPr>
      </w:pPr>
      <w:r>
        <w:rPr>
          <w:spacing w:val="-5"/>
          <w:sz w:val="21"/>
        </w:rPr>
        <w:t>水压源：其工作压力应不低于相应湿水带的爆破压力，流量应不低于 </w:t>
      </w:r>
      <w:r>
        <w:rPr>
          <w:sz w:val="21"/>
        </w:rPr>
        <w:t>0.55L/s； c）</w:t>
      </w:r>
      <w:r>
        <w:rPr>
          <w:spacing w:val="-9"/>
          <w:sz w:val="21"/>
        </w:rPr>
        <w:t>稳压装置：应符合 </w:t>
      </w:r>
      <w:r>
        <w:rPr>
          <w:sz w:val="21"/>
        </w:rPr>
        <w:t>5.4.3c）</w:t>
      </w:r>
      <w:r>
        <w:rPr>
          <w:spacing w:val="-3"/>
          <w:sz w:val="21"/>
        </w:rPr>
        <w:t>的规定；</w:t>
      </w:r>
      <w:r>
        <w:rPr>
          <w:sz w:val="21"/>
        </w:rPr>
        <w:t> </w:t>
      </w:r>
    </w:p>
    <w:p>
      <w:pPr>
        <w:pStyle w:val="ListParagraph"/>
        <w:numPr>
          <w:ilvl w:val="0"/>
          <w:numId w:val="97"/>
        </w:numPr>
        <w:tabs>
          <w:tab w:pos="1156" w:val="left" w:leader="none"/>
        </w:tabs>
        <w:spacing w:line="240" w:lineRule="auto" w:before="0" w:after="0"/>
        <w:ind w:left="1155" w:right="0" w:hanging="318"/>
        <w:jc w:val="left"/>
        <w:rPr>
          <w:sz w:val="21"/>
        </w:rPr>
      </w:pPr>
      <w:r>
        <w:rPr>
          <w:spacing w:val="-8"/>
          <w:sz w:val="21"/>
        </w:rPr>
        <w:t>压力显示装置：应符合 </w:t>
      </w:r>
      <w:r>
        <w:rPr>
          <w:sz w:val="21"/>
        </w:rPr>
        <w:t>5.4.3d）</w:t>
      </w:r>
      <w:r>
        <w:rPr>
          <w:spacing w:val="-3"/>
          <w:sz w:val="21"/>
        </w:rPr>
        <w:t>的规定；</w:t>
      </w:r>
      <w:r>
        <w:rPr>
          <w:sz w:val="21"/>
        </w:rPr>
        <w:t> </w:t>
      </w:r>
    </w:p>
    <w:p>
      <w:pPr>
        <w:pStyle w:val="BodyText"/>
        <w:rPr>
          <w:sz w:val="18"/>
        </w:rPr>
      </w:pPr>
    </w:p>
    <w:p>
      <w:pPr>
        <w:pStyle w:val="ListParagraph"/>
        <w:numPr>
          <w:ilvl w:val="0"/>
          <w:numId w:val="97"/>
        </w:numPr>
        <w:tabs>
          <w:tab w:pos="1156" w:val="left" w:leader="none"/>
        </w:tabs>
        <w:spacing w:line="446" w:lineRule="auto" w:before="0" w:after="0"/>
        <w:ind w:left="838" w:right="1560" w:firstLine="0"/>
        <w:jc w:val="left"/>
        <w:rPr>
          <w:sz w:val="21"/>
        </w:rPr>
      </w:pPr>
      <w:r>
        <w:rPr>
          <w:spacing w:val="-3"/>
          <w:sz w:val="21"/>
        </w:rPr>
        <w:t>集水槽：应用光滑不吸水材料制成，长</w:t>
      </w:r>
      <w:r>
        <w:rPr>
          <w:sz w:val="21"/>
        </w:rPr>
        <w:t>（1000±5）mm</w:t>
      </w:r>
      <w:r>
        <w:rPr>
          <w:spacing w:val="-7"/>
          <w:sz w:val="21"/>
        </w:rPr>
        <w:t>，宽度和深度应不小于 </w:t>
      </w:r>
      <w:r>
        <w:rPr>
          <w:sz w:val="21"/>
        </w:rPr>
        <w:t>100mm； f）</w:t>
      </w:r>
      <w:r>
        <w:rPr>
          <w:spacing w:val="-6"/>
          <w:sz w:val="21"/>
        </w:rPr>
        <w:t>玻璃量筒：精度应不低于被测渗水量的 </w:t>
      </w:r>
      <w:r>
        <w:rPr>
          <w:sz w:val="21"/>
        </w:rPr>
        <w:t>10％； </w:t>
      </w:r>
    </w:p>
    <w:p>
      <w:pPr>
        <w:pStyle w:val="BodyText"/>
        <w:spacing w:line="446" w:lineRule="auto"/>
        <w:ind w:left="840" w:right="5447" w:hanging="3"/>
        <w:rPr>
          <w:b/>
        </w:rPr>
      </w:pPr>
      <w:r>
        <w:rPr/>
        <w:t>g）秒表：准确度应不低于±1s（15min 内）。</w:t>
      </w:r>
      <w:r>
        <w:rPr>
          <w:b/>
        </w:rPr>
        <w:t>5.6 </w:t>
      </w:r>
      <w:r>
        <w:rPr/>
        <w:t>单位长度质量检查</w:t>
      </w:r>
      <w:r>
        <w:rPr>
          <w:b/>
          <w:w w:val="99"/>
        </w:rPr>
        <w:t> </w:t>
      </w:r>
    </w:p>
    <w:p>
      <w:pPr>
        <w:pStyle w:val="BodyText"/>
        <w:spacing w:line="267" w:lineRule="exact"/>
        <w:ind w:left="838"/>
      </w:pPr>
      <w:r>
        <w:rPr/>
        <w:t>试验时，称出整盘试样的质量，然后按 5.3 规定测量试样长度。 </w:t>
      </w:r>
    </w:p>
    <w:p>
      <w:pPr>
        <w:pStyle w:val="BodyText"/>
        <w:rPr>
          <w:sz w:val="20"/>
        </w:rPr>
      </w:pPr>
    </w:p>
    <w:p>
      <w:pPr>
        <w:pStyle w:val="BodyText"/>
        <w:rPr>
          <w:sz w:val="28"/>
        </w:rPr>
      </w:pPr>
      <w:r>
        <w:rPr/>
        <w:drawing>
          <wp:anchor distT="0" distB="0" distL="0" distR="0" allowOverlap="1" layoutInCell="1" locked="0" behindDoc="0" simplePos="0" relativeHeight="24">
            <wp:simplePos x="0" y="0"/>
            <wp:positionH relativeFrom="page">
              <wp:posOffset>1779904</wp:posOffset>
            </wp:positionH>
            <wp:positionV relativeFrom="paragraph">
              <wp:posOffset>252992</wp:posOffset>
            </wp:positionV>
            <wp:extent cx="4191000" cy="228600"/>
            <wp:effectExtent l="0" t="0" r="0" b="0"/>
            <wp:wrapTopAndBottom/>
            <wp:docPr id="59" name="image47.jpeg"/>
            <wp:cNvGraphicFramePr>
              <a:graphicFrameLocks noChangeAspect="1"/>
            </wp:cNvGraphicFramePr>
            <a:graphic>
              <a:graphicData uri="http://schemas.openxmlformats.org/drawingml/2006/picture">
                <pic:pic>
                  <pic:nvPicPr>
                    <pic:cNvPr id="60" name="image47.jpeg"/>
                    <pic:cNvPicPr/>
                  </pic:nvPicPr>
                  <pic:blipFill>
                    <a:blip r:embed="rId53" cstate="print"/>
                    <a:stretch>
                      <a:fillRect/>
                    </a:stretch>
                  </pic:blipFill>
                  <pic:spPr>
                    <a:xfrm>
                      <a:off x="0" y="0"/>
                      <a:ext cx="4191000" cy="228600"/>
                    </a:xfrm>
                    <a:prstGeom prst="rect">
                      <a:avLst/>
                    </a:prstGeom>
                  </pic:spPr>
                </pic:pic>
              </a:graphicData>
            </a:graphic>
          </wp:anchor>
        </w:drawing>
      </w:r>
    </w:p>
    <w:p>
      <w:pPr>
        <w:pStyle w:val="BodyText"/>
        <w:spacing w:before="5"/>
        <w:rPr>
          <w:sz w:val="17"/>
        </w:rPr>
      </w:pPr>
    </w:p>
    <w:p>
      <w:pPr>
        <w:pStyle w:val="BodyText"/>
        <w:spacing w:before="1"/>
        <w:ind w:left="838"/>
      </w:pPr>
      <w:r>
        <w:rPr/>
        <w:t>单位长度质量按式（1）计算： </w:t>
      </w:r>
    </w:p>
    <w:p>
      <w:pPr>
        <w:pStyle w:val="BodyText"/>
        <w:spacing w:before="12"/>
        <w:rPr>
          <w:sz w:val="17"/>
        </w:rPr>
      </w:pPr>
    </w:p>
    <w:p>
      <w:pPr>
        <w:pStyle w:val="BodyText"/>
        <w:spacing w:line="446" w:lineRule="auto"/>
        <w:ind w:left="838" w:right="1822"/>
      </w:pPr>
      <w:r>
        <w:rPr/>
        <w:t>式中：A</w:t>
      </w:r>
      <w:r>
        <w:rPr>
          <w:spacing w:val="-7"/>
        </w:rPr>
        <w:t> 为单位长度质量，单位为克每米</w:t>
      </w:r>
      <w:r>
        <w:rPr/>
        <w:t>（g/m）；G</w:t>
      </w:r>
      <w:r>
        <w:rPr>
          <w:spacing w:val="-7"/>
        </w:rPr>
        <w:t> 为试样的质量，单位为克</w:t>
      </w:r>
      <w:r>
        <w:rPr/>
        <w:t>（g）； L</w:t>
      </w:r>
      <w:r>
        <w:rPr>
          <w:spacing w:val="-9"/>
        </w:rPr>
        <w:t> 为试样测量的长度，单位为米</w:t>
      </w:r>
      <w:r>
        <w:rPr/>
        <w:t>（m）</w:t>
      </w:r>
      <w:r>
        <w:rPr>
          <w:spacing w:val="-3"/>
        </w:rPr>
        <w:t>。</w:t>
      </w:r>
      <w:r>
        <w:rPr/>
        <w:t> </w:t>
      </w:r>
    </w:p>
    <w:p>
      <w:pPr>
        <w:pStyle w:val="ListParagraph"/>
        <w:numPr>
          <w:ilvl w:val="1"/>
          <w:numId w:val="98"/>
        </w:numPr>
        <w:tabs>
          <w:tab w:pos="1160" w:val="left" w:leader="none"/>
        </w:tabs>
        <w:spacing w:line="240" w:lineRule="auto" w:before="0" w:after="0"/>
        <w:ind w:left="1159" w:right="0" w:hanging="320"/>
        <w:jc w:val="left"/>
        <w:rPr>
          <w:b/>
          <w:sz w:val="21"/>
        </w:rPr>
      </w:pPr>
      <w:r>
        <w:rPr>
          <w:spacing w:val="-3"/>
          <w:sz w:val="21"/>
        </w:rPr>
        <w:t>延伸率、膨胀率及扭转方向试验</w:t>
      </w:r>
      <w:r>
        <w:rPr>
          <w:b/>
          <w:w w:val="99"/>
          <w:sz w:val="21"/>
        </w:rPr>
        <w:t> </w:t>
      </w:r>
    </w:p>
    <w:p>
      <w:pPr>
        <w:pStyle w:val="BodyText"/>
        <w:spacing w:before="12"/>
        <w:rPr>
          <w:b/>
          <w:sz w:val="17"/>
        </w:rPr>
      </w:pPr>
    </w:p>
    <w:p>
      <w:pPr>
        <w:pStyle w:val="ListParagraph"/>
        <w:numPr>
          <w:ilvl w:val="2"/>
          <w:numId w:val="98"/>
        </w:numPr>
        <w:tabs>
          <w:tab w:pos="1371" w:val="left" w:leader="none"/>
        </w:tabs>
        <w:spacing w:line="446" w:lineRule="auto" w:before="0" w:after="0"/>
        <w:ind w:left="418" w:right="1448" w:firstLine="422"/>
        <w:jc w:val="left"/>
        <w:rPr>
          <w:sz w:val="21"/>
        </w:rPr>
      </w:pPr>
      <w:r>
        <w:rPr>
          <w:spacing w:val="-9"/>
          <w:sz w:val="21"/>
        </w:rPr>
        <w:t>试样长度不小于 </w:t>
      </w:r>
      <w:r>
        <w:rPr>
          <w:sz w:val="21"/>
        </w:rPr>
        <w:t>15m</w:t>
      </w:r>
      <w:r>
        <w:rPr>
          <w:spacing w:val="-3"/>
          <w:sz w:val="21"/>
        </w:rPr>
        <w:t>，一端与水压源相接，另一端固定在专用夹具上。灌水并排尽空</w:t>
      </w:r>
      <w:r>
        <w:rPr>
          <w:spacing w:val="-7"/>
          <w:sz w:val="21"/>
        </w:rPr>
        <w:t>气后关闭排气阀。升压至 </w:t>
      </w:r>
      <w:r>
        <w:rPr>
          <w:sz w:val="21"/>
        </w:rPr>
        <w:t>0.1MPa</w:t>
      </w:r>
      <w:r>
        <w:rPr>
          <w:spacing w:val="-3"/>
          <w:sz w:val="21"/>
        </w:rPr>
        <w:t>，待试样延伸稳定后，测定此时试样的长度、两端及中间共三</w:t>
      </w:r>
      <w:r>
        <w:rPr>
          <w:spacing w:val="-6"/>
          <w:sz w:val="21"/>
        </w:rPr>
        <w:t>处周长的算术平均值，然后均匀地升压至表 </w:t>
      </w:r>
      <w:r>
        <w:rPr>
          <w:sz w:val="21"/>
        </w:rPr>
        <w:t>3</w:t>
      </w:r>
      <w:r>
        <w:rPr>
          <w:spacing w:val="-8"/>
          <w:sz w:val="21"/>
        </w:rPr>
        <w:t> 规定的设计工作压力，待试样延伸稳定后，再测</w:t>
      </w:r>
      <w:r>
        <w:rPr>
          <w:spacing w:val="-5"/>
          <w:sz w:val="21"/>
        </w:rPr>
        <w:t>定此时试样长度、相应三处周长的算术平均值并观察其扭转方向。</w:t>
      </w:r>
      <w:r>
        <w:rPr>
          <w:sz w:val="21"/>
        </w:rPr>
        <w:t> </w:t>
      </w:r>
    </w:p>
    <w:p>
      <w:pPr>
        <w:spacing w:after="0" w:line="446" w:lineRule="auto"/>
        <w:jc w:val="left"/>
        <w:rPr>
          <w:sz w:val="21"/>
        </w:rPr>
        <w:sectPr>
          <w:pgSz w:w="11910" w:h="16850"/>
          <w:pgMar w:header="0" w:footer="1239" w:top="1220" w:bottom="1420" w:left="1260" w:right="0"/>
        </w:sectPr>
      </w:pPr>
    </w:p>
    <w:p>
      <w:pPr>
        <w:pStyle w:val="BodyText"/>
        <w:ind w:left="913"/>
        <w:rPr>
          <w:sz w:val="20"/>
        </w:rPr>
      </w:pPr>
      <w:r>
        <w:rPr>
          <w:sz w:val="20"/>
        </w:rPr>
        <w:drawing>
          <wp:inline distT="0" distB="0" distL="0" distR="0">
            <wp:extent cx="4648200" cy="381000"/>
            <wp:effectExtent l="0" t="0" r="0" b="0"/>
            <wp:docPr id="61" name="image48.jpeg"/>
            <wp:cNvGraphicFramePr>
              <a:graphicFrameLocks noChangeAspect="1"/>
            </wp:cNvGraphicFramePr>
            <a:graphic>
              <a:graphicData uri="http://schemas.openxmlformats.org/drawingml/2006/picture">
                <pic:pic>
                  <pic:nvPicPr>
                    <pic:cNvPr id="62" name="image48.jpeg"/>
                    <pic:cNvPicPr/>
                  </pic:nvPicPr>
                  <pic:blipFill>
                    <a:blip r:embed="rId54" cstate="print"/>
                    <a:stretch>
                      <a:fillRect/>
                    </a:stretch>
                  </pic:blipFill>
                  <pic:spPr>
                    <a:xfrm>
                      <a:off x="0" y="0"/>
                      <a:ext cx="4648200" cy="381000"/>
                    </a:xfrm>
                    <a:prstGeom prst="rect">
                      <a:avLst/>
                    </a:prstGeom>
                  </pic:spPr>
                </pic:pic>
              </a:graphicData>
            </a:graphic>
          </wp:inline>
        </w:drawing>
      </w:r>
      <w:r>
        <w:rPr>
          <w:sz w:val="20"/>
        </w:rPr>
      </w:r>
    </w:p>
    <w:p>
      <w:pPr>
        <w:pStyle w:val="BodyText"/>
        <w:spacing w:before="1"/>
        <w:rPr>
          <w:sz w:val="16"/>
        </w:rPr>
      </w:pPr>
    </w:p>
    <w:p>
      <w:pPr>
        <w:pStyle w:val="BodyText"/>
        <w:spacing w:before="71"/>
        <w:ind w:left="838"/>
      </w:pPr>
      <w:r>
        <w:rPr/>
        <w:t>延伸率、膨胀率按式（2）、式（3）计算： </w:t>
      </w:r>
    </w:p>
    <w:p>
      <w:pPr>
        <w:pStyle w:val="BodyText"/>
        <w:spacing w:before="2"/>
        <w:rPr>
          <w:sz w:val="17"/>
        </w:rPr>
      </w:pPr>
    </w:p>
    <w:p>
      <w:pPr>
        <w:pStyle w:val="BodyText"/>
        <w:ind w:left="838"/>
      </w:pPr>
      <w:r>
        <w:rPr>
          <w:position w:val="1"/>
        </w:rPr>
        <w:t>式中：△</w:t>
      </w:r>
      <w:r>
        <w:rPr>
          <w:i/>
          <w:position w:val="1"/>
          <w:sz w:val="22"/>
        </w:rPr>
        <w:t>L 为</w:t>
      </w:r>
      <w:r>
        <w:rPr>
          <w:position w:val="1"/>
        </w:rPr>
        <w:t>试样的延伸率，％；</w:t>
      </w:r>
      <w:r>
        <w:rPr>
          <w:i/>
          <w:position w:val="1"/>
          <w:sz w:val="22"/>
        </w:rPr>
        <w:t>L</w:t>
      </w:r>
      <w:r>
        <w:rPr>
          <w:sz w:val="11"/>
        </w:rPr>
        <w:t>0 </w:t>
      </w:r>
      <w:r>
        <w:rPr>
          <w:position w:val="1"/>
        </w:rPr>
        <w:t>为试样在承受 0.1MPa 压力时的长度，单位为米（m）； </w:t>
      </w:r>
    </w:p>
    <w:p>
      <w:pPr>
        <w:pStyle w:val="BodyText"/>
        <w:spacing w:before="2"/>
        <w:rPr>
          <w:sz w:val="17"/>
        </w:rPr>
      </w:pPr>
    </w:p>
    <w:p>
      <w:pPr>
        <w:pStyle w:val="BodyText"/>
        <w:ind w:left="838"/>
      </w:pPr>
      <w:r>
        <w:rPr>
          <w:i/>
          <w:position w:val="1"/>
          <w:sz w:val="22"/>
        </w:rPr>
        <w:t>L</w:t>
      </w:r>
      <w:r>
        <w:rPr>
          <w:sz w:val="11"/>
        </w:rPr>
        <w:t>1 </w:t>
      </w:r>
      <w:r>
        <w:rPr>
          <w:position w:val="1"/>
        </w:rPr>
        <w:t>为试样在承受设计工作压力时的长度，单位为米（m）。 </w:t>
      </w:r>
    </w:p>
    <w:p>
      <w:pPr>
        <w:pStyle w:val="BodyText"/>
        <w:rPr>
          <w:sz w:val="20"/>
        </w:rPr>
      </w:pPr>
    </w:p>
    <w:p>
      <w:pPr>
        <w:pStyle w:val="BodyText"/>
        <w:spacing w:before="10"/>
        <w:rPr>
          <w:sz w:val="11"/>
        </w:rPr>
      </w:pPr>
      <w:r>
        <w:rPr/>
        <w:drawing>
          <wp:anchor distT="0" distB="0" distL="0" distR="0" allowOverlap="1" layoutInCell="1" locked="0" behindDoc="0" simplePos="0" relativeHeight="25">
            <wp:simplePos x="0" y="0"/>
            <wp:positionH relativeFrom="page">
              <wp:posOffset>1532255</wp:posOffset>
            </wp:positionH>
            <wp:positionV relativeFrom="paragraph">
              <wp:posOffset>120975</wp:posOffset>
            </wp:positionV>
            <wp:extent cx="4572000" cy="381000"/>
            <wp:effectExtent l="0" t="0" r="0" b="0"/>
            <wp:wrapTopAndBottom/>
            <wp:docPr id="63" name="image49.jpeg"/>
            <wp:cNvGraphicFramePr>
              <a:graphicFrameLocks noChangeAspect="1"/>
            </wp:cNvGraphicFramePr>
            <a:graphic>
              <a:graphicData uri="http://schemas.openxmlformats.org/drawingml/2006/picture">
                <pic:pic>
                  <pic:nvPicPr>
                    <pic:cNvPr id="64" name="image49.jpeg"/>
                    <pic:cNvPicPr/>
                  </pic:nvPicPr>
                  <pic:blipFill>
                    <a:blip r:embed="rId55" cstate="print"/>
                    <a:stretch>
                      <a:fillRect/>
                    </a:stretch>
                  </pic:blipFill>
                  <pic:spPr>
                    <a:xfrm>
                      <a:off x="0" y="0"/>
                      <a:ext cx="4572000" cy="381000"/>
                    </a:xfrm>
                    <a:prstGeom prst="rect">
                      <a:avLst/>
                    </a:prstGeom>
                  </pic:spPr>
                </pic:pic>
              </a:graphicData>
            </a:graphic>
          </wp:anchor>
        </w:drawing>
      </w:r>
    </w:p>
    <w:p>
      <w:pPr>
        <w:pStyle w:val="BodyText"/>
        <w:rPr>
          <w:sz w:val="20"/>
        </w:rPr>
      </w:pPr>
    </w:p>
    <w:p>
      <w:pPr>
        <w:pStyle w:val="BodyText"/>
        <w:rPr>
          <w:sz w:val="20"/>
        </w:rPr>
      </w:pPr>
    </w:p>
    <w:p>
      <w:pPr>
        <w:pStyle w:val="BodyText"/>
        <w:spacing w:before="7"/>
        <w:rPr>
          <w:sz w:val="15"/>
        </w:rPr>
      </w:pPr>
    </w:p>
    <w:p>
      <w:pPr>
        <w:pStyle w:val="BodyText"/>
        <w:spacing w:line="424" w:lineRule="auto"/>
        <w:ind w:left="418" w:right="1580" w:firstLine="419"/>
      </w:pPr>
      <w:r>
        <w:rPr>
          <w:position w:val="1"/>
        </w:rPr>
        <w:t>式中：△</w:t>
      </w:r>
      <w:r>
        <w:rPr>
          <w:i/>
          <w:position w:val="1"/>
          <w:sz w:val="22"/>
        </w:rPr>
        <w:t>S</w:t>
      </w:r>
      <w:r>
        <w:rPr>
          <w:i/>
          <w:spacing w:val="-54"/>
          <w:position w:val="1"/>
          <w:sz w:val="22"/>
        </w:rPr>
        <w:t> </w:t>
      </w:r>
      <w:r>
        <w:rPr>
          <w:spacing w:val="-3"/>
          <w:position w:val="1"/>
        </w:rPr>
        <w:t>为试样的膨胀率，％；</w:t>
      </w:r>
      <w:r>
        <w:rPr>
          <w:i/>
          <w:position w:val="1"/>
          <w:sz w:val="22"/>
        </w:rPr>
        <w:t>S</w:t>
      </w:r>
      <w:r>
        <w:rPr>
          <w:sz w:val="11"/>
        </w:rPr>
        <w:t>0 </w:t>
      </w:r>
      <w:r>
        <w:rPr>
          <w:spacing w:val="-10"/>
          <w:position w:val="1"/>
        </w:rPr>
        <w:t>为试样在承受 </w:t>
      </w:r>
      <w:r>
        <w:rPr>
          <w:position w:val="1"/>
        </w:rPr>
        <w:t>0.1MPa</w:t>
      </w:r>
      <w:r>
        <w:rPr>
          <w:spacing w:val="-8"/>
          <w:position w:val="1"/>
        </w:rPr>
        <w:t> 压力时三处周长的算术平均值， </w:t>
      </w:r>
      <w:r>
        <w:rPr>
          <w:spacing w:val="-6"/>
          <w:position w:val="1"/>
        </w:rPr>
        <w:t>单位为毫米</w:t>
      </w:r>
      <w:r>
        <w:rPr>
          <w:position w:val="1"/>
        </w:rPr>
        <w:t>（mm）；</w:t>
      </w:r>
      <w:r>
        <w:rPr>
          <w:i/>
          <w:position w:val="1"/>
          <w:sz w:val="22"/>
        </w:rPr>
        <w:t>S</w:t>
      </w:r>
      <w:r>
        <w:rPr>
          <w:sz w:val="11"/>
        </w:rPr>
        <w:t>1 </w:t>
      </w:r>
      <w:r>
        <w:rPr>
          <w:spacing w:val="-3"/>
          <w:position w:val="1"/>
        </w:rPr>
        <w:t>为试样在承受设计工作压力时三处周长的算术平均值，单位为毫米</w:t>
      </w:r>
    </w:p>
    <w:p>
      <w:pPr>
        <w:pStyle w:val="BodyText"/>
        <w:spacing w:before="14"/>
        <w:ind w:left="418"/>
      </w:pPr>
      <w:r>
        <w:rPr/>
        <w:t>（mm）。 </w:t>
      </w:r>
    </w:p>
    <w:p>
      <w:pPr>
        <w:pStyle w:val="BodyText"/>
        <w:spacing w:before="12"/>
        <w:rPr>
          <w:sz w:val="17"/>
        </w:rPr>
      </w:pPr>
    </w:p>
    <w:p>
      <w:pPr>
        <w:pStyle w:val="ListParagraph"/>
        <w:numPr>
          <w:ilvl w:val="2"/>
          <w:numId w:val="98"/>
        </w:numPr>
        <w:tabs>
          <w:tab w:pos="1371" w:val="left" w:leader="none"/>
        </w:tabs>
        <w:spacing w:line="240" w:lineRule="auto" w:before="0" w:after="0"/>
        <w:ind w:left="1370" w:right="0" w:hanging="531"/>
        <w:jc w:val="left"/>
        <w:rPr>
          <w:sz w:val="21"/>
        </w:rPr>
      </w:pPr>
      <w:r>
        <w:rPr>
          <w:spacing w:val="-3"/>
          <w:sz w:val="21"/>
        </w:rPr>
        <w:t>试验装置应符合以下规定：</w:t>
      </w:r>
      <w:r>
        <w:rPr>
          <w:sz w:val="21"/>
        </w:rPr>
        <w:t> </w:t>
      </w:r>
    </w:p>
    <w:p>
      <w:pPr>
        <w:pStyle w:val="BodyText"/>
        <w:rPr>
          <w:sz w:val="18"/>
        </w:rPr>
      </w:pPr>
    </w:p>
    <w:p>
      <w:pPr>
        <w:pStyle w:val="ListParagraph"/>
        <w:numPr>
          <w:ilvl w:val="0"/>
          <w:numId w:val="99"/>
        </w:numPr>
        <w:tabs>
          <w:tab w:pos="1156" w:val="left" w:leader="none"/>
        </w:tabs>
        <w:spacing w:line="446" w:lineRule="auto" w:before="0" w:after="0"/>
        <w:ind w:left="418" w:right="1505" w:firstLine="419"/>
        <w:jc w:val="left"/>
        <w:rPr>
          <w:sz w:val="21"/>
        </w:rPr>
      </w:pPr>
      <w:r>
        <w:rPr>
          <w:spacing w:val="-3"/>
          <w:sz w:val="21"/>
        </w:rPr>
        <w:t>试验台：其有效长度应不小于试样长度并应采取减小试验台与水带摩擦的措施。专用夹具应能纵向移动并绕试样轴向旋转。试验台应装有排气阀；</w:t>
      </w:r>
      <w:r>
        <w:rPr>
          <w:sz w:val="21"/>
        </w:rPr>
        <w:t> </w:t>
      </w:r>
    </w:p>
    <w:p>
      <w:pPr>
        <w:pStyle w:val="ListParagraph"/>
        <w:numPr>
          <w:ilvl w:val="0"/>
          <w:numId w:val="99"/>
        </w:numPr>
        <w:tabs>
          <w:tab w:pos="1156" w:val="left" w:leader="none"/>
        </w:tabs>
        <w:spacing w:line="446" w:lineRule="auto" w:before="0" w:after="0"/>
        <w:ind w:left="418" w:right="1714" w:firstLine="419"/>
        <w:jc w:val="left"/>
        <w:rPr>
          <w:sz w:val="21"/>
        </w:rPr>
      </w:pPr>
      <w:r>
        <w:rPr>
          <w:spacing w:val="-3"/>
          <w:sz w:val="21"/>
        </w:rPr>
        <w:t>水压源：采用双缸或双缸以上的电动往复泵，其工作压力应不低于试样的设计工作压力；</w:t>
      </w:r>
      <w:r>
        <w:rPr>
          <w:sz w:val="21"/>
        </w:rPr>
        <w:t> </w:t>
      </w:r>
    </w:p>
    <w:p>
      <w:pPr>
        <w:pStyle w:val="ListParagraph"/>
        <w:numPr>
          <w:ilvl w:val="0"/>
          <w:numId w:val="99"/>
        </w:numPr>
        <w:tabs>
          <w:tab w:pos="1156" w:val="left" w:leader="none"/>
        </w:tabs>
        <w:spacing w:line="240" w:lineRule="auto" w:before="0" w:after="0"/>
        <w:ind w:left="1155" w:right="0" w:hanging="318"/>
        <w:jc w:val="left"/>
        <w:rPr>
          <w:sz w:val="21"/>
        </w:rPr>
      </w:pPr>
      <w:r>
        <w:rPr>
          <w:spacing w:val="-10"/>
          <w:sz w:val="21"/>
        </w:rPr>
        <w:t>稳压装置应符合 </w:t>
      </w:r>
      <w:r>
        <w:rPr>
          <w:sz w:val="21"/>
        </w:rPr>
        <w:t>5.4.3c）</w:t>
      </w:r>
      <w:r>
        <w:rPr>
          <w:spacing w:val="-3"/>
          <w:sz w:val="21"/>
        </w:rPr>
        <w:t>的规定；</w:t>
      </w:r>
      <w:r>
        <w:rPr>
          <w:sz w:val="21"/>
        </w:rPr>
        <w:t> </w:t>
      </w:r>
    </w:p>
    <w:p>
      <w:pPr>
        <w:pStyle w:val="BodyText"/>
        <w:spacing w:before="12"/>
        <w:rPr>
          <w:sz w:val="17"/>
        </w:rPr>
      </w:pPr>
    </w:p>
    <w:p>
      <w:pPr>
        <w:pStyle w:val="ListParagraph"/>
        <w:numPr>
          <w:ilvl w:val="0"/>
          <w:numId w:val="99"/>
        </w:numPr>
        <w:tabs>
          <w:tab w:pos="1156" w:val="left" w:leader="none"/>
        </w:tabs>
        <w:spacing w:line="446" w:lineRule="auto" w:before="0" w:after="0"/>
        <w:ind w:left="418" w:right="1560" w:firstLine="419"/>
        <w:jc w:val="left"/>
        <w:rPr>
          <w:sz w:val="21"/>
        </w:rPr>
      </w:pPr>
      <w:r>
        <w:rPr>
          <w:spacing w:val="-7"/>
          <w:sz w:val="21"/>
        </w:rPr>
        <w:t>压力显示装置：测量下限为 </w:t>
      </w:r>
      <w:r>
        <w:rPr>
          <w:sz w:val="21"/>
        </w:rPr>
        <w:t>0</w:t>
      </w:r>
      <w:r>
        <w:rPr>
          <w:spacing w:val="-6"/>
          <w:sz w:val="21"/>
        </w:rPr>
        <w:t>，测量上限为试样设计工作压力的 </w:t>
      </w:r>
      <w:r>
        <w:rPr>
          <w:sz w:val="21"/>
        </w:rPr>
        <w:t>1.5</w:t>
      </w:r>
      <w:r>
        <w:rPr>
          <w:spacing w:val="-25"/>
          <w:sz w:val="21"/>
        </w:rPr>
        <w:t> 倍到 </w:t>
      </w:r>
      <w:r>
        <w:rPr>
          <w:sz w:val="21"/>
        </w:rPr>
        <w:t>2.0</w:t>
      </w:r>
      <w:r>
        <w:rPr>
          <w:spacing w:val="-12"/>
          <w:sz w:val="21"/>
        </w:rPr>
        <w:t> 倍，精度</w:t>
      </w:r>
      <w:r>
        <w:rPr>
          <w:spacing w:val="-6"/>
          <w:sz w:val="21"/>
        </w:rPr>
        <w:t>应不低于±</w:t>
      </w:r>
      <w:r>
        <w:rPr>
          <w:sz w:val="21"/>
        </w:rPr>
        <w:t>0.03MPa； </w:t>
      </w:r>
    </w:p>
    <w:p>
      <w:pPr>
        <w:pStyle w:val="ListParagraph"/>
        <w:numPr>
          <w:ilvl w:val="0"/>
          <w:numId w:val="99"/>
        </w:numPr>
        <w:tabs>
          <w:tab w:pos="1156" w:val="left" w:leader="none"/>
        </w:tabs>
        <w:spacing w:line="446" w:lineRule="auto" w:before="0" w:after="0"/>
        <w:ind w:left="840" w:right="6237" w:hanging="3"/>
        <w:jc w:val="left"/>
        <w:rPr>
          <w:sz w:val="21"/>
        </w:rPr>
      </w:pPr>
      <w:r>
        <w:rPr>
          <w:spacing w:val="-10"/>
          <w:sz w:val="21"/>
        </w:rPr>
        <w:t>钢卷尺应符合 </w:t>
      </w:r>
      <w:r>
        <w:rPr>
          <w:sz w:val="21"/>
        </w:rPr>
        <w:t>QB/T</w:t>
      </w:r>
      <w:r>
        <w:rPr>
          <w:spacing w:val="3"/>
          <w:sz w:val="21"/>
        </w:rPr>
        <w:t> </w:t>
      </w:r>
      <w:r>
        <w:rPr>
          <w:sz w:val="21"/>
        </w:rPr>
        <w:t>2443</w:t>
      </w:r>
      <w:r>
        <w:rPr>
          <w:spacing w:val="-13"/>
          <w:sz w:val="21"/>
        </w:rPr>
        <w:t> 的规定。</w:t>
      </w:r>
      <w:r>
        <w:rPr>
          <w:b/>
          <w:sz w:val="21"/>
        </w:rPr>
        <w:t>5.8 </w:t>
      </w:r>
      <w:r>
        <w:rPr>
          <w:spacing w:val="-3"/>
          <w:sz w:val="21"/>
        </w:rPr>
        <w:t>可弯曲性试验</w:t>
      </w:r>
      <w:r>
        <w:rPr>
          <w:sz w:val="21"/>
        </w:rPr>
        <w:t> </w:t>
      </w:r>
    </w:p>
    <w:p>
      <w:pPr>
        <w:pStyle w:val="ListParagraph"/>
        <w:numPr>
          <w:ilvl w:val="2"/>
          <w:numId w:val="100"/>
        </w:numPr>
        <w:tabs>
          <w:tab w:pos="1370" w:val="left" w:leader="none"/>
        </w:tabs>
        <w:spacing w:line="446" w:lineRule="auto" w:before="0" w:after="0"/>
        <w:ind w:left="418" w:right="1813" w:firstLine="422"/>
        <w:jc w:val="left"/>
        <w:rPr>
          <w:sz w:val="21"/>
        </w:rPr>
      </w:pPr>
      <w:r>
        <w:rPr>
          <w:spacing w:val="-23"/>
          <w:sz w:val="21"/>
        </w:rPr>
        <w:t>经 </w:t>
      </w:r>
      <w:r>
        <w:rPr>
          <w:sz w:val="21"/>
        </w:rPr>
        <w:t>5.7</w:t>
      </w:r>
      <w:r>
        <w:rPr>
          <w:spacing w:val="-8"/>
          <w:sz w:val="21"/>
        </w:rPr>
        <w:t> 试验后，将试样装夹在弯曲试验装置上，灌水并排尽其中空气，关闭排气</w:t>
      </w:r>
      <w:r>
        <w:rPr>
          <w:spacing w:val="-11"/>
          <w:sz w:val="21"/>
        </w:rPr>
        <w:t>阀，均匀地调压至 </w:t>
      </w:r>
      <w:r>
        <w:rPr>
          <w:sz w:val="21"/>
        </w:rPr>
        <w:t>0.8MPa</w:t>
      </w:r>
      <w:r>
        <w:rPr>
          <w:spacing w:val="-8"/>
          <w:sz w:val="21"/>
        </w:rPr>
        <w:t>。判断试验结果是否符合 </w:t>
      </w:r>
      <w:r>
        <w:rPr>
          <w:sz w:val="21"/>
        </w:rPr>
        <w:t>4.8</w:t>
      </w:r>
      <w:r>
        <w:rPr>
          <w:spacing w:val="-13"/>
          <w:sz w:val="21"/>
        </w:rPr>
        <w:t> 的规定。</w:t>
      </w:r>
      <w:r>
        <w:rPr>
          <w:sz w:val="21"/>
        </w:rPr>
        <w:t> </w:t>
      </w:r>
    </w:p>
    <w:p>
      <w:pPr>
        <w:pStyle w:val="ListParagraph"/>
        <w:numPr>
          <w:ilvl w:val="2"/>
          <w:numId w:val="100"/>
        </w:numPr>
        <w:tabs>
          <w:tab w:pos="1370" w:val="left" w:leader="none"/>
        </w:tabs>
        <w:spacing w:line="240" w:lineRule="auto" w:before="0" w:after="0"/>
        <w:ind w:left="1369" w:right="0" w:hanging="530"/>
        <w:jc w:val="left"/>
        <w:rPr>
          <w:sz w:val="21"/>
        </w:rPr>
      </w:pPr>
      <w:r>
        <w:rPr>
          <w:spacing w:val="-3"/>
          <w:sz w:val="21"/>
        </w:rPr>
        <w:t>试验装置应符合以下规定：</w:t>
      </w:r>
      <w:r>
        <w:rPr>
          <w:sz w:val="21"/>
        </w:rPr>
        <w:t> </w:t>
      </w:r>
    </w:p>
    <w:p>
      <w:pPr>
        <w:pStyle w:val="BodyText"/>
        <w:rPr>
          <w:sz w:val="17"/>
        </w:rPr>
      </w:pPr>
    </w:p>
    <w:p>
      <w:pPr>
        <w:pStyle w:val="BodyText"/>
        <w:spacing w:line="441" w:lineRule="auto"/>
        <w:ind w:left="838" w:right="2141"/>
      </w:pPr>
      <w:r>
        <w:rPr/>
        <w:t>a）</w:t>
      </w:r>
      <w:r>
        <w:rPr>
          <w:spacing w:val="-3"/>
        </w:rPr>
        <w:t>弯曲试验架：结构尺寸如图 </w:t>
      </w:r>
      <w:r>
        <w:rPr/>
        <w:t>2 所示，图中 </w:t>
      </w:r>
      <w:r>
        <w:rPr>
          <w:i/>
          <w:sz w:val="22"/>
        </w:rPr>
        <w:t>R</w:t>
      </w:r>
      <w:r>
        <w:rPr>
          <w:i/>
          <w:spacing w:val="1"/>
          <w:sz w:val="22"/>
        </w:rPr>
        <w:t> </w:t>
      </w:r>
      <w:r>
        <w:rPr/>
        <w:t>为表 6</w:t>
      </w:r>
      <w:r>
        <w:rPr>
          <w:spacing w:val="-3"/>
        </w:rPr>
        <w:t> 规定的水带弯曲半径； </w:t>
      </w:r>
      <w:r>
        <w:rPr/>
        <w:t>b）</w:t>
      </w:r>
      <w:r>
        <w:rPr>
          <w:spacing w:val="-2"/>
        </w:rPr>
        <w:t>水压源：采用双缸或双缸以上的电动往复泵，其工作压力应不低于 </w:t>
      </w:r>
      <w:r>
        <w:rPr/>
        <w:t>0.8MPa； c）</w:t>
      </w:r>
      <w:r>
        <w:rPr>
          <w:spacing w:val="-7"/>
        </w:rPr>
        <w:t>压力显示装置：测量下限为 </w:t>
      </w:r>
      <w:r>
        <w:rPr/>
        <w:t>0</w:t>
      </w:r>
      <w:r>
        <w:rPr>
          <w:spacing w:val="-10"/>
        </w:rPr>
        <w:t>，测量上限为 </w:t>
      </w:r>
      <w:r>
        <w:rPr/>
        <w:t>1.6MPa</w:t>
      </w:r>
      <w:r>
        <w:rPr>
          <w:spacing w:val="-3"/>
        </w:rPr>
        <w:t>，精度应不低于±</w:t>
      </w:r>
      <w:r>
        <w:rPr/>
        <w:t>0.03MPa</w:t>
      </w:r>
      <w:r>
        <w:rPr>
          <w:spacing w:val="-3"/>
        </w:rPr>
        <w:t>。</w:t>
      </w:r>
      <w:r>
        <w:rPr/>
        <w:t> </w:t>
      </w:r>
    </w:p>
    <w:p>
      <w:pPr>
        <w:spacing w:after="0" w:line="441" w:lineRule="auto"/>
        <w:sectPr>
          <w:pgSz w:w="11910" w:h="16850"/>
          <w:pgMar w:header="0" w:footer="1239" w:top="1600" w:bottom="1420" w:left="1260" w:right="0"/>
        </w:sectPr>
      </w:pPr>
    </w:p>
    <w:p>
      <w:pPr>
        <w:pStyle w:val="Heading6"/>
        <w:spacing w:before="47"/>
        <w:ind w:right="914"/>
        <w:jc w:val="center"/>
      </w:pPr>
      <w:r>
        <w:rPr/>
        <w:t>图 2   单位为毫米</w:t>
      </w:r>
      <w:r>
        <w:rPr>
          <w:w w:val="99"/>
        </w:rPr>
        <w:t> </w:t>
      </w:r>
    </w:p>
    <w:p>
      <w:pPr>
        <w:pStyle w:val="BodyText"/>
        <w:spacing w:before="3"/>
        <w:rPr>
          <w:b/>
          <w:sz w:val="10"/>
        </w:rPr>
      </w:pPr>
      <w:r>
        <w:rPr/>
        <w:drawing>
          <wp:anchor distT="0" distB="0" distL="0" distR="0" allowOverlap="1" layoutInCell="1" locked="0" behindDoc="0" simplePos="0" relativeHeight="26">
            <wp:simplePos x="0" y="0"/>
            <wp:positionH relativeFrom="page">
              <wp:posOffset>1446530</wp:posOffset>
            </wp:positionH>
            <wp:positionV relativeFrom="paragraph">
              <wp:posOffset>108037</wp:posOffset>
            </wp:positionV>
            <wp:extent cx="4371975" cy="1714500"/>
            <wp:effectExtent l="0" t="0" r="0" b="0"/>
            <wp:wrapTopAndBottom/>
            <wp:docPr id="65" name="image50.png"/>
            <wp:cNvGraphicFramePr>
              <a:graphicFrameLocks noChangeAspect="1"/>
            </wp:cNvGraphicFramePr>
            <a:graphic>
              <a:graphicData uri="http://schemas.openxmlformats.org/drawingml/2006/picture">
                <pic:pic>
                  <pic:nvPicPr>
                    <pic:cNvPr id="66" name="image50.png"/>
                    <pic:cNvPicPr/>
                  </pic:nvPicPr>
                  <pic:blipFill>
                    <a:blip r:embed="rId56" cstate="print"/>
                    <a:stretch>
                      <a:fillRect/>
                    </a:stretch>
                  </pic:blipFill>
                  <pic:spPr>
                    <a:xfrm>
                      <a:off x="0" y="0"/>
                      <a:ext cx="4371975" cy="1714500"/>
                    </a:xfrm>
                    <a:prstGeom prst="rect">
                      <a:avLst/>
                    </a:prstGeom>
                  </pic:spPr>
                </pic:pic>
              </a:graphicData>
            </a:graphic>
          </wp:anchor>
        </w:drawing>
      </w:r>
    </w:p>
    <w:p>
      <w:pPr>
        <w:pStyle w:val="ListParagraph"/>
        <w:numPr>
          <w:ilvl w:val="1"/>
          <w:numId w:val="101"/>
        </w:numPr>
        <w:tabs>
          <w:tab w:pos="1159" w:val="left" w:leader="none"/>
        </w:tabs>
        <w:spacing w:line="240" w:lineRule="auto" w:before="162" w:after="0"/>
        <w:ind w:left="1158" w:right="0" w:hanging="319"/>
        <w:jc w:val="left"/>
        <w:rPr>
          <w:b/>
          <w:sz w:val="21"/>
        </w:rPr>
      </w:pPr>
      <w:r>
        <w:rPr>
          <w:spacing w:val="-3"/>
          <w:sz w:val="21"/>
        </w:rPr>
        <w:t>黏附性试验</w:t>
      </w:r>
      <w:r>
        <w:rPr>
          <w:b/>
          <w:w w:val="99"/>
          <w:sz w:val="21"/>
        </w:rPr>
        <w:t> </w:t>
      </w:r>
    </w:p>
    <w:p>
      <w:pPr>
        <w:pStyle w:val="BodyText"/>
        <w:spacing w:before="2"/>
        <w:rPr>
          <w:b/>
          <w:sz w:val="18"/>
        </w:rPr>
      </w:pPr>
    </w:p>
    <w:p>
      <w:pPr>
        <w:pStyle w:val="ListParagraph"/>
        <w:numPr>
          <w:ilvl w:val="2"/>
          <w:numId w:val="101"/>
        </w:numPr>
        <w:tabs>
          <w:tab w:pos="1370" w:val="left" w:leader="none"/>
        </w:tabs>
        <w:spacing w:line="446" w:lineRule="auto" w:before="0" w:after="0"/>
        <w:ind w:left="418" w:right="1813" w:firstLine="422"/>
        <w:jc w:val="left"/>
        <w:rPr>
          <w:sz w:val="21"/>
        </w:rPr>
      </w:pPr>
      <w:r>
        <w:rPr>
          <w:spacing w:val="-3"/>
          <w:sz w:val="21"/>
        </w:rPr>
        <w:t>试样形状及尺寸应与压块压持面的形状及尺寸相同。试验时将试样衬里</w:t>
      </w:r>
      <w:r>
        <w:rPr>
          <w:sz w:val="21"/>
        </w:rPr>
        <w:t>（</w:t>
      </w:r>
      <w:r>
        <w:rPr>
          <w:spacing w:val="-2"/>
          <w:sz w:val="21"/>
        </w:rPr>
        <w:t>或外覆层）</w:t>
      </w:r>
      <w:r>
        <w:rPr>
          <w:spacing w:val="-3"/>
          <w:sz w:val="21"/>
        </w:rPr>
        <w:t>表面冲洗干净并擦干，使两块衬里（或外覆层</w:t>
      </w:r>
      <w:r>
        <w:rPr>
          <w:sz w:val="21"/>
        </w:rPr>
        <w:t>）</w:t>
      </w:r>
      <w:r>
        <w:rPr>
          <w:spacing w:val="-3"/>
          <w:sz w:val="21"/>
        </w:rPr>
        <w:t>相向重叠，置于电热干燥箱内在</w:t>
      </w:r>
      <w:r>
        <w:rPr>
          <w:sz w:val="21"/>
        </w:rPr>
        <w:t>（55±</w:t>
      </w:r>
    </w:p>
    <w:p>
      <w:pPr>
        <w:pStyle w:val="BodyText"/>
        <w:spacing w:line="446" w:lineRule="auto"/>
        <w:ind w:left="418" w:right="1455"/>
      </w:pPr>
      <w:r>
        <w:rPr/>
        <w:t>1）</w:t>
      </w:r>
      <w:r>
        <w:rPr>
          <w:spacing w:val="-8"/>
        </w:rPr>
        <w:t>℃条件下，试样承受 </w:t>
      </w:r>
      <w:r>
        <w:rPr/>
        <w:t>0.01MPa</w:t>
      </w:r>
      <w:r>
        <w:rPr>
          <w:spacing w:val="-15"/>
        </w:rPr>
        <w:t> 的压强，保持 </w:t>
      </w:r>
      <w:r>
        <w:rPr/>
        <w:t>168h</w:t>
      </w:r>
      <w:r>
        <w:rPr>
          <w:spacing w:val="-6"/>
        </w:rPr>
        <w:t>，取出试样，判断试验结果是否符合 </w:t>
      </w:r>
      <w:r>
        <w:rPr/>
        <w:t>4.9</w:t>
      </w:r>
      <w:r>
        <w:rPr>
          <w:spacing w:val="-25"/>
        </w:rPr>
        <w:t> 规</w:t>
      </w:r>
      <w:r>
        <w:rPr>
          <w:spacing w:val="-14"/>
        </w:rPr>
        <w:t>定。</w:t>
      </w:r>
      <w:r>
        <w:rPr/>
        <w:t> </w:t>
      </w:r>
    </w:p>
    <w:p>
      <w:pPr>
        <w:pStyle w:val="ListParagraph"/>
        <w:numPr>
          <w:ilvl w:val="2"/>
          <w:numId w:val="101"/>
        </w:numPr>
        <w:tabs>
          <w:tab w:pos="1370" w:val="left" w:leader="none"/>
        </w:tabs>
        <w:spacing w:line="240" w:lineRule="auto" w:before="0" w:after="0"/>
        <w:ind w:left="1369" w:right="0" w:hanging="530"/>
        <w:jc w:val="left"/>
        <w:rPr>
          <w:sz w:val="21"/>
        </w:rPr>
      </w:pPr>
      <w:r>
        <w:rPr>
          <w:spacing w:val="-3"/>
          <w:sz w:val="21"/>
        </w:rPr>
        <w:t>试验装置应符合以下规定：</w:t>
      </w:r>
      <w:r>
        <w:rPr>
          <w:sz w:val="21"/>
        </w:rPr>
        <w:t> </w:t>
      </w:r>
    </w:p>
    <w:p>
      <w:pPr>
        <w:pStyle w:val="BodyText"/>
        <w:spacing w:before="10"/>
        <w:rPr>
          <w:sz w:val="17"/>
        </w:rPr>
      </w:pPr>
    </w:p>
    <w:p>
      <w:pPr>
        <w:pStyle w:val="BodyText"/>
        <w:spacing w:line="446" w:lineRule="auto"/>
        <w:ind w:left="838" w:right="1407"/>
      </w:pPr>
      <w:r>
        <w:rPr/>
        <w:t>a）电热干燥箱应符合 JB/T 5520 的要求。温度波动为±1℃，温度均匀性系数为±0.025； b）压块的压持面应光滑平整，其形状为圆形，直径应小于带宽。 </w:t>
      </w:r>
    </w:p>
    <w:p>
      <w:pPr>
        <w:pStyle w:val="ListParagraph"/>
        <w:numPr>
          <w:ilvl w:val="1"/>
          <w:numId w:val="101"/>
        </w:numPr>
        <w:tabs>
          <w:tab w:pos="1264" w:val="left" w:leader="none"/>
        </w:tabs>
        <w:spacing w:line="240" w:lineRule="auto" w:before="0" w:after="0"/>
        <w:ind w:left="1263" w:right="0" w:hanging="424"/>
        <w:jc w:val="left"/>
        <w:rPr>
          <w:b/>
          <w:sz w:val="21"/>
        </w:rPr>
      </w:pPr>
      <w:r>
        <w:rPr>
          <w:spacing w:val="-3"/>
          <w:sz w:val="21"/>
        </w:rPr>
        <w:t>耐低温性试验</w:t>
      </w:r>
      <w:r>
        <w:rPr>
          <w:b/>
          <w:w w:val="99"/>
          <w:sz w:val="21"/>
        </w:rPr>
        <w:t> </w:t>
      </w:r>
    </w:p>
    <w:p>
      <w:pPr>
        <w:pStyle w:val="BodyText"/>
        <w:spacing w:before="12"/>
        <w:rPr>
          <w:b/>
          <w:sz w:val="17"/>
        </w:rPr>
      </w:pPr>
    </w:p>
    <w:p>
      <w:pPr>
        <w:pStyle w:val="ListParagraph"/>
        <w:numPr>
          <w:ilvl w:val="2"/>
          <w:numId w:val="101"/>
        </w:numPr>
        <w:tabs>
          <w:tab w:pos="1478" w:val="left" w:leader="none"/>
        </w:tabs>
        <w:spacing w:line="446" w:lineRule="auto" w:before="0" w:after="0"/>
        <w:ind w:left="418" w:right="1553" w:firstLine="422"/>
        <w:jc w:val="left"/>
        <w:rPr>
          <w:sz w:val="21"/>
        </w:rPr>
      </w:pPr>
      <w:r>
        <w:rPr>
          <w:spacing w:val="-3"/>
          <w:sz w:val="21"/>
        </w:rPr>
        <w:t>试验时将带有接口的试样</w:t>
      </w:r>
      <w:r>
        <w:rPr>
          <w:sz w:val="21"/>
        </w:rPr>
        <w:t>（</w:t>
      </w:r>
      <w:r>
        <w:rPr>
          <w:spacing w:val="-13"/>
          <w:sz w:val="21"/>
        </w:rPr>
        <w:t>不小于 </w:t>
      </w:r>
      <w:r>
        <w:rPr>
          <w:sz w:val="21"/>
        </w:rPr>
        <w:t>15m）</w:t>
      </w:r>
      <w:r>
        <w:rPr>
          <w:spacing w:val="-3"/>
          <w:sz w:val="21"/>
        </w:rPr>
        <w:t>卷紧置于低温箱内，在</w:t>
      </w:r>
      <w:r>
        <w:rPr>
          <w:sz w:val="21"/>
        </w:rPr>
        <w:t>（-30±3）</w:t>
      </w:r>
      <w:r>
        <w:rPr>
          <w:spacing w:val="-2"/>
          <w:sz w:val="21"/>
        </w:rPr>
        <w:t>℃条件</w:t>
      </w:r>
      <w:r>
        <w:rPr>
          <w:spacing w:val="-15"/>
          <w:sz w:val="21"/>
        </w:rPr>
        <w:t>下存放 </w:t>
      </w:r>
      <w:r>
        <w:rPr>
          <w:sz w:val="21"/>
        </w:rPr>
        <w:t>10h</w:t>
      </w:r>
      <w:r>
        <w:rPr>
          <w:spacing w:val="-6"/>
          <w:sz w:val="21"/>
        </w:rPr>
        <w:t>。取出后试验，判断试验结果是否符合 </w:t>
      </w:r>
      <w:r>
        <w:rPr>
          <w:sz w:val="21"/>
        </w:rPr>
        <w:t>4.10</w:t>
      </w:r>
      <w:r>
        <w:rPr>
          <w:spacing w:val="-13"/>
          <w:sz w:val="21"/>
        </w:rPr>
        <w:t> 的规定。</w:t>
      </w:r>
      <w:r>
        <w:rPr>
          <w:sz w:val="21"/>
        </w:rPr>
        <w:t> </w:t>
      </w:r>
    </w:p>
    <w:p>
      <w:pPr>
        <w:pStyle w:val="ListParagraph"/>
        <w:numPr>
          <w:ilvl w:val="2"/>
          <w:numId w:val="101"/>
        </w:numPr>
        <w:tabs>
          <w:tab w:pos="1478" w:val="left" w:leader="none"/>
        </w:tabs>
        <w:spacing w:line="446" w:lineRule="auto" w:before="0" w:after="0"/>
        <w:ind w:left="418" w:right="1601" w:firstLine="422"/>
        <w:jc w:val="left"/>
        <w:rPr>
          <w:sz w:val="21"/>
        </w:rPr>
      </w:pPr>
      <w:r>
        <w:rPr>
          <w:spacing w:val="-12"/>
          <w:sz w:val="21"/>
        </w:rPr>
        <w:t>水带在按 </w:t>
      </w:r>
      <w:r>
        <w:rPr>
          <w:sz w:val="21"/>
        </w:rPr>
        <w:t>5.10.1</w:t>
      </w:r>
      <w:r>
        <w:rPr>
          <w:spacing w:val="-12"/>
          <w:sz w:val="21"/>
        </w:rPr>
        <w:t> 规定试验后，在试样内圈的一端取 </w:t>
      </w:r>
      <w:r>
        <w:rPr>
          <w:sz w:val="21"/>
        </w:rPr>
        <w:t>1.20m</w:t>
      </w:r>
      <w:r>
        <w:rPr>
          <w:spacing w:val="-8"/>
          <w:sz w:val="21"/>
        </w:rPr>
        <w:t> 长的试样，置于室温条</w:t>
      </w:r>
      <w:r>
        <w:rPr>
          <w:spacing w:val="-15"/>
          <w:sz w:val="21"/>
        </w:rPr>
        <w:t>件下存放 </w:t>
      </w:r>
      <w:r>
        <w:rPr>
          <w:sz w:val="21"/>
        </w:rPr>
        <w:t>1h</w:t>
      </w:r>
      <w:r>
        <w:rPr>
          <w:spacing w:val="-11"/>
          <w:sz w:val="21"/>
        </w:rPr>
        <w:t>，然后按 </w:t>
      </w:r>
      <w:r>
        <w:rPr>
          <w:sz w:val="21"/>
        </w:rPr>
        <w:t>5.4.1</w:t>
      </w:r>
      <w:r>
        <w:rPr>
          <w:spacing w:val="-8"/>
          <w:sz w:val="21"/>
        </w:rPr>
        <w:t> 规定加压至试样的设计工作压力。观察试样是否有渗漏现象。</w:t>
      </w:r>
      <w:r>
        <w:rPr>
          <w:sz w:val="21"/>
        </w:rPr>
        <w:t> </w:t>
      </w:r>
    </w:p>
    <w:p>
      <w:pPr>
        <w:pStyle w:val="ListParagraph"/>
        <w:numPr>
          <w:ilvl w:val="2"/>
          <w:numId w:val="101"/>
        </w:numPr>
        <w:tabs>
          <w:tab w:pos="1478" w:val="left" w:leader="none"/>
        </w:tabs>
        <w:spacing w:line="446" w:lineRule="auto" w:before="1" w:after="0"/>
        <w:ind w:left="418" w:right="1601" w:firstLine="422"/>
        <w:jc w:val="left"/>
        <w:rPr>
          <w:sz w:val="21"/>
        </w:rPr>
      </w:pPr>
      <w:r>
        <w:rPr>
          <w:spacing w:val="-12"/>
          <w:sz w:val="21"/>
        </w:rPr>
        <w:t>湿水带按 </w:t>
      </w:r>
      <w:r>
        <w:rPr>
          <w:sz w:val="21"/>
        </w:rPr>
        <w:t>5.10.1</w:t>
      </w:r>
      <w:r>
        <w:rPr>
          <w:spacing w:val="-12"/>
          <w:sz w:val="21"/>
        </w:rPr>
        <w:t> 规定试验后，在试样内圈的一端取 </w:t>
      </w:r>
      <w:r>
        <w:rPr>
          <w:sz w:val="21"/>
        </w:rPr>
        <w:t>1.20m</w:t>
      </w:r>
      <w:r>
        <w:rPr>
          <w:spacing w:val="-8"/>
          <w:sz w:val="21"/>
        </w:rPr>
        <w:t> 长的试样，置于室温条</w:t>
      </w:r>
      <w:r>
        <w:rPr>
          <w:spacing w:val="-15"/>
          <w:sz w:val="21"/>
        </w:rPr>
        <w:t>件下存放 </w:t>
      </w:r>
      <w:r>
        <w:rPr>
          <w:sz w:val="21"/>
        </w:rPr>
        <w:t>1h</w:t>
      </w:r>
      <w:r>
        <w:rPr>
          <w:spacing w:val="-11"/>
          <w:sz w:val="21"/>
        </w:rPr>
        <w:t>，然后按 </w:t>
      </w:r>
      <w:r>
        <w:rPr>
          <w:sz w:val="21"/>
        </w:rPr>
        <w:t>5.5.1</w:t>
      </w:r>
      <w:r>
        <w:rPr>
          <w:spacing w:val="-8"/>
          <w:sz w:val="21"/>
        </w:rPr>
        <w:t> 规定加压至试样的设计工作压力。判断试样是否有喷水现象。</w:t>
      </w:r>
      <w:r>
        <w:rPr>
          <w:sz w:val="21"/>
        </w:rPr>
        <w:t> </w:t>
      </w:r>
    </w:p>
    <w:p>
      <w:pPr>
        <w:pStyle w:val="ListParagraph"/>
        <w:numPr>
          <w:ilvl w:val="2"/>
          <w:numId w:val="101"/>
        </w:numPr>
        <w:tabs>
          <w:tab w:pos="1478" w:val="left" w:leader="none"/>
        </w:tabs>
        <w:spacing w:line="446" w:lineRule="auto" w:before="0" w:after="0"/>
        <w:ind w:left="418" w:right="1601" w:firstLine="422"/>
        <w:jc w:val="left"/>
        <w:rPr>
          <w:sz w:val="21"/>
        </w:rPr>
      </w:pPr>
      <w:r>
        <w:rPr>
          <w:spacing w:val="-3"/>
          <w:sz w:val="21"/>
        </w:rPr>
        <w:t>低温箱的温度波动度和温度均匀性均不超过</w:t>
      </w:r>
      <w:r>
        <w:rPr>
          <w:sz w:val="21"/>
        </w:rPr>
        <w:t>±3</w:t>
      </w:r>
      <w:r>
        <w:rPr>
          <w:spacing w:val="-3"/>
          <w:sz w:val="21"/>
        </w:rPr>
        <w:t>℃。工作室尺寸至少应能放置整盘卷好的试样一根。</w:t>
      </w:r>
      <w:r>
        <w:rPr>
          <w:sz w:val="21"/>
        </w:rPr>
        <w:t> </w:t>
      </w:r>
    </w:p>
    <w:p>
      <w:pPr>
        <w:pStyle w:val="ListParagraph"/>
        <w:numPr>
          <w:ilvl w:val="1"/>
          <w:numId w:val="101"/>
        </w:numPr>
        <w:tabs>
          <w:tab w:pos="1264" w:val="left" w:leader="none"/>
        </w:tabs>
        <w:spacing w:line="240" w:lineRule="auto" w:before="0" w:after="0"/>
        <w:ind w:left="1263" w:right="0" w:hanging="424"/>
        <w:jc w:val="left"/>
        <w:rPr>
          <w:sz w:val="21"/>
        </w:rPr>
      </w:pPr>
      <w:r>
        <w:rPr>
          <w:spacing w:val="-2"/>
          <w:sz w:val="21"/>
        </w:rPr>
        <w:t>衬里</w:t>
      </w:r>
      <w:r>
        <w:rPr>
          <w:spacing w:val="-3"/>
          <w:sz w:val="21"/>
        </w:rPr>
        <w:t>（或外覆层</w:t>
      </w:r>
      <w:r>
        <w:rPr>
          <w:sz w:val="21"/>
        </w:rPr>
        <w:t>）</w:t>
      </w:r>
      <w:r>
        <w:rPr>
          <w:spacing w:val="-3"/>
          <w:sz w:val="21"/>
        </w:rPr>
        <w:t>的物理力学性能试验</w:t>
      </w:r>
      <w:r>
        <w:rPr>
          <w:sz w:val="21"/>
        </w:rPr>
        <w:t> </w:t>
      </w:r>
    </w:p>
    <w:p>
      <w:pPr>
        <w:pStyle w:val="BodyText"/>
        <w:spacing w:before="9"/>
        <w:rPr>
          <w:sz w:val="17"/>
        </w:rPr>
      </w:pPr>
    </w:p>
    <w:p>
      <w:pPr>
        <w:pStyle w:val="ListParagraph"/>
        <w:numPr>
          <w:ilvl w:val="2"/>
          <w:numId w:val="101"/>
        </w:numPr>
        <w:tabs>
          <w:tab w:pos="1478" w:val="left" w:leader="none"/>
        </w:tabs>
        <w:spacing w:line="240" w:lineRule="auto" w:before="0" w:after="0"/>
        <w:ind w:left="1477" w:right="0" w:hanging="638"/>
        <w:jc w:val="left"/>
        <w:rPr>
          <w:sz w:val="21"/>
        </w:rPr>
      </w:pPr>
      <w:r>
        <w:rPr>
          <w:spacing w:val="-3"/>
          <w:sz w:val="21"/>
        </w:rPr>
        <w:t>附着强度试验 </w:t>
      </w:r>
    </w:p>
    <w:p>
      <w:pPr>
        <w:pStyle w:val="BodyText"/>
        <w:spacing w:before="2"/>
        <w:rPr>
          <w:sz w:val="18"/>
        </w:rPr>
      </w:pPr>
    </w:p>
    <w:p>
      <w:pPr>
        <w:pStyle w:val="BodyText"/>
        <w:spacing w:line="446" w:lineRule="auto" w:before="1"/>
        <w:ind w:left="418" w:right="1455" w:firstLine="419"/>
      </w:pPr>
      <w:r>
        <w:rPr>
          <w:spacing w:val="-24"/>
        </w:rPr>
        <w:t>按 </w:t>
      </w:r>
      <w:r>
        <w:rPr/>
        <w:t>GB/T 532</w:t>
      </w:r>
      <w:r>
        <w:rPr>
          <w:spacing w:val="-10"/>
        </w:rPr>
        <w:t> 中附着强度试验方法的规定进行，试样宽度为 </w:t>
      </w:r>
      <w:r>
        <w:rPr/>
        <w:t>25mm</w:t>
      </w:r>
      <w:r>
        <w:rPr>
          <w:spacing w:val="-3"/>
        </w:rPr>
        <w:t>。试样分别沿试样经、纬方</w:t>
      </w:r>
      <w:r>
        <w:rPr>
          <w:spacing w:val="-5"/>
        </w:rPr>
        <w:t>向各截取三块，计算六个试样检验结果的算术平均值，判断试验结果是否符合 </w:t>
      </w:r>
      <w:r>
        <w:rPr/>
        <w:t>4.11.1</w:t>
      </w:r>
      <w:r>
        <w:rPr>
          <w:spacing w:val="-15"/>
        </w:rPr>
        <w:t> 规定。</w:t>
      </w:r>
      <w:r>
        <w:rPr/>
        <w:t> </w:t>
      </w:r>
    </w:p>
    <w:p>
      <w:pPr>
        <w:spacing w:after="0" w:line="446" w:lineRule="auto"/>
        <w:sectPr>
          <w:pgSz w:w="11910" w:h="16850"/>
          <w:pgMar w:header="0" w:footer="1239" w:top="1220" w:bottom="1420" w:left="1260" w:right="0"/>
        </w:sectPr>
      </w:pPr>
    </w:p>
    <w:p>
      <w:pPr>
        <w:pStyle w:val="ListParagraph"/>
        <w:numPr>
          <w:ilvl w:val="2"/>
          <w:numId w:val="101"/>
        </w:numPr>
        <w:tabs>
          <w:tab w:pos="1478" w:val="left" w:leader="none"/>
        </w:tabs>
        <w:spacing w:line="240" w:lineRule="auto" w:before="47" w:after="0"/>
        <w:ind w:left="1477" w:right="0" w:hanging="638"/>
        <w:jc w:val="left"/>
        <w:rPr>
          <w:sz w:val="21"/>
        </w:rPr>
      </w:pPr>
      <w:r>
        <w:rPr>
          <w:spacing w:val="-3"/>
          <w:sz w:val="21"/>
        </w:rPr>
        <w:t>扯断伸长率和扯断强度</w:t>
      </w:r>
      <w:r>
        <w:rPr>
          <w:sz w:val="21"/>
        </w:rPr>
        <w:t> </w:t>
      </w:r>
    </w:p>
    <w:p>
      <w:pPr>
        <w:pStyle w:val="BodyText"/>
        <w:rPr>
          <w:sz w:val="18"/>
        </w:rPr>
      </w:pPr>
    </w:p>
    <w:p>
      <w:pPr>
        <w:pStyle w:val="ListParagraph"/>
        <w:numPr>
          <w:ilvl w:val="3"/>
          <w:numId w:val="101"/>
        </w:numPr>
        <w:tabs>
          <w:tab w:pos="1682" w:val="left" w:leader="none"/>
        </w:tabs>
        <w:spacing w:line="446" w:lineRule="auto" w:before="0" w:after="0"/>
        <w:ind w:left="418" w:right="1613" w:firstLine="419"/>
        <w:jc w:val="left"/>
        <w:rPr>
          <w:sz w:val="21"/>
        </w:rPr>
      </w:pPr>
      <w:r>
        <w:rPr>
          <w:spacing w:val="-6"/>
          <w:sz w:val="21"/>
        </w:rPr>
        <w:t>胶衬里的扯断伸长率和扯断强度试验按 </w:t>
      </w:r>
      <w:r>
        <w:rPr>
          <w:sz w:val="21"/>
        </w:rPr>
        <w:t>GB/T</w:t>
      </w:r>
      <w:r>
        <w:rPr>
          <w:spacing w:val="11"/>
          <w:sz w:val="21"/>
        </w:rPr>
        <w:t> </w:t>
      </w:r>
      <w:r>
        <w:rPr>
          <w:sz w:val="21"/>
        </w:rPr>
        <w:t>528</w:t>
      </w:r>
      <w:r>
        <w:rPr>
          <w:spacing w:val="-9"/>
          <w:sz w:val="21"/>
        </w:rPr>
        <w:t> 中的规定进行，判断试验结果</w:t>
      </w:r>
      <w:r>
        <w:rPr>
          <w:spacing w:val="-16"/>
          <w:sz w:val="21"/>
        </w:rPr>
        <w:t>是否符合 </w:t>
      </w:r>
      <w:r>
        <w:rPr>
          <w:sz w:val="21"/>
        </w:rPr>
        <w:t>4.11.2</w:t>
      </w:r>
      <w:r>
        <w:rPr>
          <w:spacing w:val="-12"/>
          <w:sz w:val="21"/>
        </w:rPr>
        <w:t> 的规定。 </w:t>
      </w:r>
    </w:p>
    <w:p>
      <w:pPr>
        <w:pStyle w:val="ListParagraph"/>
        <w:numPr>
          <w:ilvl w:val="3"/>
          <w:numId w:val="101"/>
        </w:numPr>
        <w:tabs>
          <w:tab w:pos="1682" w:val="left" w:leader="none"/>
        </w:tabs>
        <w:spacing w:line="446" w:lineRule="auto" w:before="0" w:after="0"/>
        <w:ind w:left="418" w:right="1507" w:firstLine="419"/>
        <w:jc w:val="left"/>
        <w:rPr>
          <w:sz w:val="21"/>
        </w:rPr>
      </w:pPr>
      <w:r>
        <w:rPr>
          <w:spacing w:val="-5"/>
          <w:sz w:val="21"/>
        </w:rPr>
        <w:t>塑料衬里、聚氨酯衬里的扯断伸长率和扯断强度试验按 </w:t>
      </w:r>
      <w:r>
        <w:rPr>
          <w:sz w:val="21"/>
        </w:rPr>
        <w:t>GB/T</w:t>
      </w:r>
      <w:r>
        <w:rPr>
          <w:spacing w:val="7"/>
          <w:sz w:val="21"/>
        </w:rPr>
        <w:t> </w:t>
      </w:r>
      <w:r>
        <w:rPr>
          <w:sz w:val="21"/>
        </w:rPr>
        <w:t>1040.1</w:t>
      </w:r>
      <w:r>
        <w:rPr>
          <w:spacing w:val="-10"/>
          <w:sz w:val="21"/>
        </w:rPr>
        <w:t> 中的规定进</w:t>
      </w:r>
      <w:r>
        <w:rPr>
          <w:spacing w:val="-9"/>
          <w:sz w:val="21"/>
        </w:rPr>
        <w:t>行，判断试验结果是否符合 </w:t>
      </w:r>
      <w:r>
        <w:rPr>
          <w:sz w:val="21"/>
        </w:rPr>
        <w:t>4.11.2</w:t>
      </w:r>
      <w:r>
        <w:rPr>
          <w:spacing w:val="-13"/>
          <w:sz w:val="21"/>
        </w:rPr>
        <w:t> 的规定。</w:t>
      </w:r>
      <w:r>
        <w:rPr>
          <w:sz w:val="21"/>
        </w:rPr>
        <w:t> </w:t>
      </w:r>
    </w:p>
    <w:p>
      <w:pPr>
        <w:pStyle w:val="ListParagraph"/>
        <w:numPr>
          <w:ilvl w:val="2"/>
          <w:numId w:val="101"/>
        </w:numPr>
        <w:tabs>
          <w:tab w:pos="1478" w:val="left" w:leader="none"/>
        </w:tabs>
        <w:spacing w:line="267" w:lineRule="exact" w:before="0" w:after="0"/>
        <w:ind w:left="1477" w:right="0" w:hanging="638"/>
        <w:jc w:val="left"/>
        <w:rPr>
          <w:sz w:val="21"/>
        </w:rPr>
      </w:pPr>
      <w:r>
        <w:rPr>
          <w:spacing w:val="-3"/>
          <w:sz w:val="21"/>
        </w:rPr>
        <w:t>热空气老化试验</w:t>
      </w:r>
      <w:r>
        <w:rPr>
          <w:sz w:val="21"/>
        </w:rPr>
        <w:t> </w:t>
      </w:r>
    </w:p>
    <w:p>
      <w:pPr>
        <w:pStyle w:val="BodyText"/>
        <w:spacing w:before="2"/>
        <w:rPr>
          <w:sz w:val="18"/>
        </w:rPr>
      </w:pPr>
    </w:p>
    <w:p>
      <w:pPr>
        <w:pStyle w:val="ListParagraph"/>
        <w:numPr>
          <w:ilvl w:val="3"/>
          <w:numId w:val="101"/>
        </w:numPr>
        <w:tabs>
          <w:tab w:pos="1682" w:val="left" w:leader="none"/>
        </w:tabs>
        <w:spacing w:line="446" w:lineRule="auto" w:before="0" w:after="0"/>
        <w:ind w:left="418" w:right="1452" w:firstLine="419"/>
        <w:jc w:val="both"/>
        <w:rPr>
          <w:sz w:val="21"/>
        </w:rPr>
      </w:pPr>
      <w:r>
        <w:rPr>
          <w:spacing w:val="-3"/>
          <w:sz w:val="21"/>
        </w:rPr>
        <w:t>热空气老化试验的试样同与之对比试验的试样应在试样的相邻部位截取；将试样 </w:t>
      </w:r>
      <w:r>
        <w:rPr>
          <w:spacing w:val="-4"/>
          <w:sz w:val="21"/>
        </w:rPr>
        <w:t>置于热空气老化箱内的试样架上，试样与箱壁之间的距离不应小于 </w:t>
      </w:r>
      <w:r>
        <w:rPr>
          <w:sz w:val="21"/>
        </w:rPr>
        <w:t>70mm</w:t>
      </w:r>
      <w:r>
        <w:rPr>
          <w:spacing w:val="-2"/>
          <w:sz w:val="21"/>
        </w:rPr>
        <w:t>，在</w:t>
      </w:r>
      <w:r>
        <w:rPr>
          <w:sz w:val="21"/>
        </w:rPr>
        <w:t>（70±1）</w:t>
      </w:r>
      <w:r>
        <w:rPr>
          <w:spacing w:val="-2"/>
          <w:sz w:val="21"/>
        </w:rPr>
        <w:t>℃条件下</w:t>
      </w:r>
      <w:r>
        <w:rPr>
          <w:spacing w:val="-20"/>
          <w:sz w:val="21"/>
        </w:rPr>
        <w:t>试验 </w:t>
      </w:r>
      <w:r>
        <w:rPr>
          <w:sz w:val="21"/>
        </w:rPr>
        <w:t>168h</w:t>
      </w:r>
      <w:r>
        <w:rPr>
          <w:spacing w:val="-3"/>
          <w:sz w:val="21"/>
        </w:rPr>
        <w:t>。</w:t>
      </w:r>
      <w:r>
        <w:rPr>
          <w:sz w:val="21"/>
        </w:rPr>
        <w:t> </w:t>
      </w:r>
    </w:p>
    <w:p>
      <w:pPr>
        <w:pStyle w:val="ListParagraph"/>
        <w:numPr>
          <w:ilvl w:val="3"/>
          <w:numId w:val="101"/>
        </w:numPr>
        <w:tabs>
          <w:tab w:pos="1682" w:val="left" w:leader="none"/>
        </w:tabs>
        <w:spacing w:line="268" w:lineRule="exact" w:before="0" w:after="0"/>
        <w:ind w:left="1681" w:right="0" w:hanging="844"/>
        <w:jc w:val="both"/>
        <w:rPr>
          <w:sz w:val="21"/>
        </w:rPr>
      </w:pPr>
      <w:r>
        <w:rPr>
          <w:spacing w:val="-9"/>
          <w:sz w:val="21"/>
        </w:rPr>
        <w:t>将老化后的试样按 </w:t>
      </w:r>
      <w:r>
        <w:rPr>
          <w:sz w:val="21"/>
        </w:rPr>
        <w:t>5.11.1</w:t>
      </w:r>
      <w:r>
        <w:rPr>
          <w:spacing w:val="-9"/>
          <w:sz w:val="21"/>
        </w:rPr>
        <w:t> 规定，测定其附着强度。</w:t>
      </w:r>
      <w:r>
        <w:rPr>
          <w:sz w:val="21"/>
        </w:rPr>
        <w:t> </w:t>
      </w:r>
    </w:p>
    <w:p>
      <w:pPr>
        <w:pStyle w:val="BodyText"/>
        <w:spacing w:before="12"/>
        <w:rPr>
          <w:sz w:val="17"/>
        </w:rPr>
      </w:pPr>
    </w:p>
    <w:p>
      <w:pPr>
        <w:pStyle w:val="ListParagraph"/>
        <w:numPr>
          <w:ilvl w:val="3"/>
          <w:numId w:val="101"/>
        </w:numPr>
        <w:tabs>
          <w:tab w:pos="1682" w:val="left" w:leader="none"/>
        </w:tabs>
        <w:spacing w:line="240" w:lineRule="auto" w:before="0" w:after="0"/>
        <w:ind w:left="1681" w:right="0" w:hanging="844"/>
        <w:jc w:val="left"/>
        <w:rPr>
          <w:sz w:val="21"/>
        </w:rPr>
      </w:pPr>
      <w:r>
        <w:rPr>
          <w:spacing w:val="-12"/>
          <w:sz w:val="21"/>
        </w:rPr>
        <w:t>将老化后的 </w:t>
      </w:r>
      <w:r>
        <w:rPr>
          <w:sz w:val="21"/>
        </w:rPr>
        <w:t>1.20m</w:t>
      </w:r>
      <w:r>
        <w:rPr>
          <w:spacing w:val="-19"/>
          <w:sz w:val="21"/>
        </w:rPr>
        <w:t> 长试样按 </w:t>
      </w:r>
      <w:r>
        <w:rPr>
          <w:sz w:val="21"/>
        </w:rPr>
        <w:t>5.4</w:t>
      </w:r>
      <w:r>
        <w:rPr>
          <w:spacing w:val="-9"/>
          <w:sz w:val="21"/>
        </w:rPr>
        <w:t> 规定测定其爆破压力。</w:t>
      </w:r>
      <w:r>
        <w:rPr>
          <w:sz w:val="21"/>
        </w:rPr>
        <w:t> </w:t>
      </w:r>
    </w:p>
    <w:p>
      <w:pPr>
        <w:pStyle w:val="BodyText"/>
        <w:rPr>
          <w:sz w:val="18"/>
        </w:rPr>
      </w:pPr>
    </w:p>
    <w:p>
      <w:pPr>
        <w:pStyle w:val="ListParagraph"/>
        <w:numPr>
          <w:ilvl w:val="3"/>
          <w:numId w:val="101"/>
        </w:numPr>
        <w:tabs>
          <w:tab w:pos="1682" w:val="left" w:leader="none"/>
        </w:tabs>
        <w:spacing w:line="240" w:lineRule="auto" w:before="0" w:after="0"/>
        <w:ind w:left="1681" w:right="0" w:hanging="844"/>
        <w:jc w:val="left"/>
        <w:rPr>
          <w:sz w:val="21"/>
        </w:rPr>
      </w:pPr>
      <w:r>
        <w:rPr>
          <w:spacing w:val="-3"/>
          <w:sz w:val="21"/>
        </w:rPr>
        <w:t>试验装置应符合以下规定：</w:t>
      </w:r>
      <w:r>
        <w:rPr>
          <w:sz w:val="21"/>
        </w:rPr>
        <w:t> </w:t>
      </w:r>
    </w:p>
    <w:p>
      <w:pPr>
        <w:pStyle w:val="BodyText"/>
        <w:spacing w:before="2"/>
        <w:rPr>
          <w:sz w:val="18"/>
        </w:rPr>
      </w:pPr>
    </w:p>
    <w:p>
      <w:pPr>
        <w:pStyle w:val="ListParagraph"/>
        <w:numPr>
          <w:ilvl w:val="0"/>
          <w:numId w:val="102"/>
        </w:numPr>
        <w:tabs>
          <w:tab w:pos="1156" w:val="left" w:leader="none"/>
        </w:tabs>
        <w:spacing w:line="446" w:lineRule="auto" w:before="0" w:after="0"/>
        <w:ind w:left="418" w:right="1613" w:firstLine="419"/>
        <w:jc w:val="left"/>
        <w:rPr>
          <w:sz w:val="21"/>
        </w:rPr>
      </w:pPr>
      <w:r>
        <w:rPr>
          <w:spacing w:val="2"/>
          <w:sz w:val="21"/>
        </w:rPr>
        <w:t>热空气老化箱应符合</w:t>
      </w:r>
      <w:r>
        <w:rPr>
          <w:sz w:val="21"/>
        </w:rPr>
        <w:t>JB/T</w:t>
      </w:r>
      <w:r>
        <w:rPr>
          <w:spacing w:val="18"/>
          <w:sz w:val="21"/>
        </w:rPr>
        <w:t> </w:t>
      </w:r>
      <w:r>
        <w:rPr>
          <w:sz w:val="21"/>
        </w:rPr>
        <w:t>7444</w:t>
      </w:r>
      <w:r>
        <w:rPr>
          <w:spacing w:val="-8"/>
          <w:sz w:val="21"/>
        </w:rPr>
        <w:t> 规定的要求。其温度波动度不大于±</w:t>
      </w:r>
      <w:r>
        <w:rPr>
          <w:sz w:val="21"/>
        </w:rPr>
        <w:t>1.5</w:t>
      </w:r>
      <w:r>
        <w:rPr>
          <w:spacing w:val="-1"/>
          <w:sz w:val="21"/>
        </w:rPr>
        <w:t>℃；温度均匀</w:t>
      </w:r>
      <w:r>
        <w:rPr>
          <w:spacing w:val="-3"/>
          <w:sz w:val="21"/>
        </w:rPr>
        <w:t>度不大于±1℃；</w:t>
      </w:r>
      <w:r>
        <w:rPr>
          <w:sz w:val="21"/>
        </w:rPr>
        <w:t> </w:t>
      </w:r>
    </w:p>
    <w:p>
      <w:pPr>
        <w:pStyle w:val="ListParagraph"/>
        <w:numPr>
          <w:ilvl w:val="0"/>
          <w:numId w:val="102"/>
        </w:numPr>
        <w:tabs>
          <w:tab w:pos="1156" w:val="left" w:leader="none"/>
        </w:tabs>
        <w:spacing w:line="446" w:lineRule="auto" w:before="0" w:after="0"/>
        <w:ind w:left="418" w:right="1611" w:firstLine="419"/>
        <w:jc w:val="left"/>
        <w:rPr>
          <w:sz w:val="21"/>
        </w:rPr>
      </w:pPr>
      <w:r>
        <w:rPr>
          <w:spacing w:val="-6"/>
          <w:sz w:val="21"/>
        </w:rPr>
        <w:t>测附着强度的材料试验机应符合 </w:t>
      </w:r>
      <w:r>
        <w:rPr>
          <w:sz w:val="21"/>
        </w:rPr>
        <w:t>GB/T</w:t>
      </w:r>
      <w:r>
        <w:rPr>
          <w:spacing w:val="16"/>
          <w:sz w:val="21"/>
        </w:rPr>
        <w:t> </w:t>
      </w:r>
      <w:r>
        <w:rPr>
          <w:sz w:val="21"/>
        </w:rPr>
        <w:t>532</w:t>
      </w:r>
      <w:r>
        <w:rPr>
          <w:spacing w:val="-8"/>
          <w:sz w:val="21"/>
        </w:rPr>
        <w:t> 规定，测扯断伸长率和扯断强度的拉力试验</w:t>
      </w:r>
      <w:r>
        <w:rPr>
          <w:spacing w:val="-16"/>
          <w:sz w:val="21"/>
        </w:rPr>
        <w:t>机应符合 </w:t>
      </w:r>
      <w:r>
        <w:rPr>
          <w:sz w:val="21"/>
        </w:rPr>
        <w:t>HG/T</w:t>
      </w:r>
      <w:r>
        <w:rPr>
          <w:spacing w:val="-3"/>
          <w:sz w:val="21"/>
        </w:rPr>
        <w:t> </w:t>
      </w:r>
      <w:r>
        <w:rPr>
          <w:sz w:val="21"/>
        </w:rPr>
        <w:t>2369</w:t>
      </w:r>
      <w:r>
        <w:rPr>
          <w:spacing w:val="-15"/>
          <w:sz w:val="21"/>
        </w:rPr>
        <w:t> 规定。 </w:t>
      </w:r>
    </w:p>
    <w:p>
      <w:pPr>
        <w:pStyle w:val="ListParagraph"/>
        <w:numPr>
          <w:ilvl w:val="1"/>
          <w:numId w:val="101"/>
        </w:numPr>
        <w:tabs>
          <w:tab w:pos="1264" w:val="left" w:leader="none"/>
        </w:tabs>
        <w:spacing w:line="240" w:lineRule="auto" w:before="0" w:after="0"/>
        <w:ind w:left="1263" w:right="0" w:hanging="424"/>
        <w:jc w:val="left"/>
        <w:rPr>
          <w:sz w:val="21"/>
        </w:rPr>
      </w:pPr>
      <w:r>
        <w:rPr>
          <w:spacing w:val="-3"/>
          <w:sz w:val="21"/>
        </w:rPr>
        <w:t>耐磨性能试验</w:t>
      </w:r>
      <w:r>
        <w:rPr>
          <w:sz w:val="21"/>
        </w:rPr>
        <w:t> </w:t>
      </w:r>
    </w:p>
    <w:p>
      <w:pPr>
        <w:pStyle w:val="BodyText"/>
        <w:spacing w:before="10"/>
        <w:rPr>
          <w:sz w:val="17"/>
        </w:rPr>
      </w:pPr>
    </w:p>
    <w:p>
      <w:pPr>
        <w:pStyle w:val="ListParagraph"/>
        <w:numPr>
          <w:ilvl w:val="2"/>
          <w:numId w:val="101"/>
        </w:numPr>
        <w:tabs>
          <w:tab w:pos="1478" w:val="left" w:leader="none"/>
        </w:tabs>
        <w:spacing w:line="240" w:lineRule="auto" w:before="0" w:after="0"/>
        <w:ind w:left="1477" w:right="0" w:hanging="638"/>
        <w:jc w:val="both"/>
        <w:rPr>
          <w:sz w:val="21"/>
        </w:rPr>
      </w:pPr>
      <w:r>
        <w:rPr>
          <w:spacing w:val="-6"/>
          <w:sz w:val="21"/>
        </w:rPr>
        <w:t>截取同一品种、同一规格、同一材质不小于 </w:t>
      </w:r>
      <w:r>
        <w:rPr>
          <w:sz w:val="21"/>
        </w:rPr>
        <w:t>500mm</w:t>
      </w:r>
      <w:r>
        <w:rPr>
          <w:spacing w:val="-10"/>
          <w:sz w:val="21"/>
        </w:rPr>
        <w:t> 的试样三段。</w:t>
      </w:r>
      <w:r>
        <w:rPr>
          <w:sz w:val="21"/>
        </w:rPr>
        <w:t> </w:t>
      </w:r>
    </w:p>
    <w:p>
      <w:pPr>
        <w:pStyle w:val="BodyText"/>
        <w:spacing w:before="2"/>
        <w:rPr>
          <w:sz w:val="18"/>
        </w:rPr>
      </w:pPr>
    </w:p>
    <w:p>
      <w:pPr>
        <w:pStyle w:val="ListParagraph"/>
        <w:numPr>
          <w:ilvl w:val="2"/>
          <w:numId w:val="101"/>
        </w:numPr>
        <w:tabs>
          <w:tab w:pos="1478" w:val="left" w:leader="none"/>
        </w:tabs>
        <w:spacing w:line="446" w:lineRule="auto" w:before="0" w:after="0"/>
        <w:ind w:left="418" w:right="1498" w:firstLine="422"/>
        <w:jc w:val="both"/>
        <w:rPr>
          <w:sz w:val="21"/>
        </w:rPr>
      </w:pPr>
      <w:r>
        <w:rPr>
          <w:spacing w:val="-3"/>
          <w:sz w:val="21"/>
        </w:rPr>
        <w:t>试验时将试样一端与水源相接，另一端用带有排气阀的密封装置封闭。保持试样平</w:t>
      </w:r>
      <w:r>
        <w:rPr>
          <w:spacing w:val="-5"/>
          <w:sz w:val="21"/>
        </w:rPr>
        <w:t>直，使试样灌满水并排尽其中的空气，关闭排气阀。升压至 </w:t>
      </w:r>
      <w:r>
        <w:rPr>
          <w:sz w:val="21"/>
        </w:rPr>
        <w:t>0.5MPa</w:t>
      </w:r>
      <w:r>
        <w:rPr>
          <w:spacing w:val="-11"/>
          <w:sz w:val="21"/>
        </w:rPr>
        <w:t>，水压在 </w:t>
      </w:r>
      <w:r>
        <w:rPr>
          <w:sz w:val="21"/>
        </w:rPr>
        <w:t>0.45～0.55MPa</w:t>
      </w:r>
      <w:r>
        <w:rPr>
          <w:spacing w:val="-24"/>
          <w:sz w:val="21"/>
        </w:rPr>
        <w:t> 之</w:t>
      </w:r>
      <w:r>
        <w:rPr>
          <w:spacing w:val="-8"/>
          <w:sz w:val="21"/>
        </w:rPr>
        <w:t>间变化。并使样品以</w:t>
      </w:r>
      <w:r>
        <w:rPr>
          <w:sz w:val="21"/>
        </w:rPr>
        <w:t>（27±1）r/min</w:t>
      </w:r>
      <w:r>
        <w:rPr>
          <w:spacing w:val="-9"/>
          <w:sz w:val="21"/>
        </w:rPr>
        <w:t> 的转数平稳旋转。</w:t>
      </w:r>
      <w:r>
        <w:rPr>
          <w:sz w:val="21"/>
        </w:rPr>
        <w:t> </w:t>
      </w:r>
    </w:p>
    <w:p>
      <w:pPr>
        <w:pStyle w:val="ListParagraph"/>
        <w:numPr>
          <w:ilvl w:val="2"/>
          <w:numId w:val="101"/>
        </w:numPr>
        <w:tabs>
          <w:tab w:pos="1478" w:val="left" w:leader="none"/>
        </w:tabs>
        <w:spacing w:line="446" w:lineRule="auto" w:before="0" w:after="0"/>
        <w:ind w:left="418" w:right="1654" w:firstLine="422"/>
        <w:jc w:val="left"/>
        <w:rPr>
          <w:sz w:val="21"/>
        </w:rPr>
      </w:pPr>
      <w:r>
        <w:rPr>
          <w:spacing w:val="-3"/>
          <w:sz w:val="21"/>
        </w:rPr>
        <w:t>将磨头压力调至</w:t>
      </w:r>
      <w:r>
        <w:rPr>
          <w:sz w:val="21"/>
        </w:rPr>
        <w:t>（105±5）N</w:t>
      </w:r>
      <w:r>
        <w:rPr>
          <w:spacing w:val="-12"/>
          <w:sz w:val="21"/>
        </w:rPr>
        <w:t> 的范围压在样品上，并以 </w:t>
      </w:r>
      <w:r>
        <w:rPr>
          <w:sz w:val="21"/>
        </w:rPr>
        <w:t>18～21mm/s</w:t>
      </w:r>
      <w:r>
        <w:rPr>
          <w:spacing w:val="-9"/>
          <w:sz w:val="21"/>
        </w:rPr>
        <w:t> 的速度往复运</w:t>
      </w:r>
      <w:r>
        <w:rPr>
          <w:spacing w:val="-14"/>
          <w:sz w:val="21"/>
        </w:rPr>
        <w:t>动，行程为 </w:t>
      </w:r>
      <w:r>
        <w:rPr>
          <w:sz w:val="21"/>
        </w:rPr>
        <w:t>80mm</w:t>
      </w:r>
      <w:r>
        <w:rPr>
          <w:spacing w:val="-11"/>
          <w:sz w:val="21"/>
        </w:rPr>
        <w:t>，磨头往复 </w:t>
      </w:r>
      <w:r>
        <w:rPr>
          <w:sz w:val="21"/>
        </w:rPr>
        <w:t>100</w:t>
      </w:r>
      <w:r>
        <w:rPr>
          <w:spacing w:val="-9"/>
          <w:sz w:val="21"/>
        </w:rPr>
        <w:t> 次，每次往复都应以新的砂带接触样品。</w:t>
      </w:r>
      <w:r>
        <w:rPr>
          <w:sz w:val="21"/>
        </w:rPr>
        <w:t> </w:t>
      </w:r>
    </w:p>
    <w:p>
      <w:pPr>
        <w:pStyle w:val="ListParagraph"/>
        <w:numPr>
          <w:ilvl w:val="2"/>
          <w:numId w:val="101"/>
        </w:numPr>
        <w:tabs>
          <w:tab w:pos="1530" w:val="left" w:leader="none"/>
        </w:tabs>
        <w:spacing w:line="446" w:lineRule="auto" w:before="0" w:after="0"/>
        <w:ind w:left="418" w:right="1549" w:firstLine="422"/>
        <w:jc w:val="left"/>
        <w:rPr>
          <w:sz w:val="21"/>
        </w:rPr>
      </w:pPr>
      <w:r>
        <w:rPr>
          <w:spacing w:val="-3"/>
          <w:sz w:val="21"/>
        </w:rPr>
        <w:t>上述试验结束后，除去磨头，并停止试样的旋转，继续升压至试样的相应设计工作</w:t>
      </w:r>
      <w:r>
        <w:rPr>
          <w:spacing w:val="-12"/>
          <w:sz w:val="21"/>
        </w:rPr>
        <w:t>压力，保压 </w:t>
      </w:r>
      <w:r>
        <w:rPr>
          <w:sz w:val="21"/>
        </w:rPr>
        <w:t>5min</w:t>
      </w:r>
      <w:r>
        <w:rPr>
          <w:spacing w:val="-8"/>
          <w:sz w:val="21"/>
        </w:rPr>
        <w:t>，判断试验结果是否符合 </w:t>
      </w:r>
      <w:r>
        <w:rPr>
          <w:sz w:val="21"/>
        </w:rPr>
        <w:t>4.12</w:t>
      </w:r>
      <w:r>
        <w:rPr>
          <w:spacing w:val="-13"/>
          <w:sz w:val="21"/>
        </w:rPr>
        <w:t> 的规定。</w:t>
      </w:r>
      <w:r>
        <w:rPr>
          <w:sz w:val="21"/>
        </w:rPr>
        <w:t> </w:t>
      </w:r>
    </w:p>
    <w:p>
      <w:pPr>
        <w:pStyle w:val="ListParagraph"/>
        <w:numPr>
          <w:ilvl w:val="2"/>
          <w:numId w:val="101"/>
        </w:numPr>
        <w:tabs>
          <w:tab w:pos="1478" w:val="left" w:leader="none"/>
        </w:tabs>
        <w:spacing w:line="240" w:lineRule="auto" w:before="0" w:after="0"/>
        <w:ind w:left="1477" w:right="0" w:hanging="638"/>
        <w:jc w:val="left"/>
        <w:rPr>
          <w:sz w:val="21"/>
        </w:rPr>
      </w:pPr>
      <w:r>
        <w:rPr>
          <w:spacing w:val="-3"/>
          <w:sz w:val="21"/>
        </w:rPr>
        <w:t>试验装置应符合以下规定：</w:t>
      </w:r>
      <w:r>
        <w:rPr>
          <w:sz w:val="21"/>
        </w:rPr>
        <w:t> </w:t>
      </w:r>
    </w:p>
    <w:p>
      <w:pPr>
        <w:pStyle w:val="BodyText"/>
        <w:spacing w:before="9"/>
        <w:rPr>
          <w:sz w:val="17"/>
        </w:rPr>
      </w:pPr>
    </w:p>
    <w:p>
      <w:pPr>
        <w:pStyle w:val="ListParagraph"/>
        <w:numPr>
          <w:ilvl w:val="0"/>
          <w:numId w:val="103"/>
        </w:numPr>
        <w:tabs>
          <w:tab w:pos="1156" w:val="left" w:leader="none"/>
        </w:tabs>
        <w:spacing w:line="446" w:lineRule="auto" w:before="0" w:after="0"/>
        <w:ind w:left="418" w:right="1505" w:firstLine="419"/>
        <w:jc w:val="left"/>
        <w:rPr>
          <w:sz w:val="21"/>
        </w:rPr>
      </w:pPr>
      <w:r>
        <w:rPr>
          <w:spacing w:val="-3"/>
          <w:sz w:val="21"/>
        </w:rPr>
        <w:t>水压源：应采用三缸的电动往复泵，其工作压力应不低于试样的设计工作压力。并带有稳压装置，经过稳压后，压力波动值应不大于±</w:t>
      </w:r>
      <w:r>
        <w:rPr>
          <w:sz w:val="21"/>
        </w:rPr>
        <w:t>0.05MPa； </w:t>
      </w:r>
    </w:p>
    <w:p>
      <w:pPr>
        <w:spacing w:after="0" w:line="446" w:lineRule="auto"/>
        <w:jc w:val="left"/>
        <w:rPr>
          <w:sz w:val="21"/>
        </w:rPr>
        <w:sectPr>
          <w:pgSz w:w="11910" w:h="16850"/>
          <w:pgMar w:header="0" w:footer="1239" w:top="1220" w:bottom="1420" w:left="1260" w:right="0"/>
        </w:sectPr>
      </w:pPr>
    </w:p>
    <w:p>
      <w:pPr>
        <w:pStyle w:val="ListParagraph"/>
        <w:numPr>
          <w:ilvl w:val="0"/>
          <w:numId w:val="103"/>
        </w:numPr>
        <w:tabs>
          <w:tab w:pos="1156" w:val="left" w:leader="none"/>
        </w:tabs>
        <w:spacing w:line="446" w:lineRule="auto" w:before="47" w:after="0"/>
        <w:ind w:left="838" w:right="5814" w:firstLine="0"/>
        <w:jc w:val="left"/>
        <w:rPr>
          <w:sz w:val="21"/>
        </w:rPr>
      </w:pPr>
      <w:r>
        <w:rPr>
          <w:spacing w:val="-3"/>
          <w:sz w:val="21"/>
        </w:rPr>
        <w:t>试样转速：基本转速</w:t>
      </w:r>
      <w:r>
        <w:rPr>
          <w:sz w:val="21"/>
        </w:rPr>
        <w:t>（27±1）r/min； c）</w:t>
      </w:r>
      <w:r>
        <w:rPr>
          <w:spacing w:val="-3"/>
          <w:sz w:val="21"/>
        </w:rPr>
        <w:t>磨头压重：基本压重</w:t>
      </w:r>
      <w:r>
        <w:rPr>
          <w:sz w:val="21"/>
        </w:rPr>
        <w:t>（105±5）N；  d）</w:t>
      </w:r>
      <w:r>
        <w:rPr>
          <w:spacing w:val="-3"/>
          <w:sz w:val="21"/>
        </w:rPr>
        <w:t>磨头行程：</w:t>
      </w:r>
      <w:r>
        <w:rPr>
          <w:sz w:val="21"/>
        </w:rPr>
        <w:t>（80±1）mm； </w:t>
      </w:r>
    </w:p>
    <w:p>
      <w:pPr>
        <w:pStyle w:val="ListParagraph"/>
        <w:numPr>
          <w:ilvl w:val="0"/>
          <w:numId w:val="104"/>
        </w:numPr>
        <w:tabs>
          <w:tab w:pos="1156" w:val="left" w:leader="none"/>
        </w:tabs>
        <w:spacing w:line="268" w:lineRule="exact" w:before="0" w:after="0"/>
        <w:ind w:left="1155" w:right="0" w:hanging="318"/>
        <w:jc w:val="left"/>
        <w:rPr>
          <w:sz w:val="21"/>
        </w:rPr>
      </w:pPr>
      <w:r>
        <w:rPr>
          <w:spacing w:val="-9"/>
          <w:sz w:val="21"/>
        </w:rPr>
        <w:t>磨头速度：基本速度 </w:t>
      </w:r>
      <w:r>
        <w:rPr>
          <w:sz w:val="21"/>
        </w:rPr>
        <w:t>18～21mm/s； </w:t>
      </w:r>
    </w:p>
    <w:p>
      <w:pPr>
        <w:pStyle w:val="BodyText"/>
        <w:rPr>
          <w:sz w:val="18"/>
        </w:rPr>
      </w:pPr>
    </w:p>
    <w:p>
      <w:pPr>
        <w:pStyle w:val="ListParagraph"/>
        <w:numPr>
          <w:ilvl w:val="0"/>
          <w:numId w:val="104"/>
        </w:numPr>
        <w:tabs>
          <w:tab w:pos="1156" w:val="left" w:leader="none"/>
        </w:tabs>
        <w:spacing w:line="446" w:lineRule="auto" w:before="0" w:after="0"/>
        <w:ind w:left="840" w:right="4503" w:hanging="3"/>
        <w:jc w:val="left"/>
        <w:rPr>
          <w:sz w:val="21"/>
        </w:rPr>
      </w:pPr>
      <w:r>
        <w:rPr>
          <w:spacing w:val="-10"/>
          <w:sz w:val="21"/>
        </w:rPr>
        <w:t>磨头用砂带采用 </w:t>
      </w:r>
      <w:r>
        <w:rPr>
          <w:sz w:val="21"/>
        </w:rPr>
        <w:t>GB/T</w:t>
      </w:r>
      <w:r>
        <w:rPr>
          <w:spacing w:val="2"/>
          <w:sz w:val="21"/>
        </w:rPr>
        <w:t> </w:t>
      </w:r>
      <w:r>
        <w:rPr>
          <w:sz w:val="21"/>
        </w:rPr>
        <w:t>2481.2</w:t>
      </w:r>
      <w:r>
        <w:rPr>
          <w:spacing w:val="-12"/>
          <w:sz w:val="21"/>
        </w:rPr>
        <w:t> 规定的#</w:t>
      </w:r>
      <w:r>
        <w:rPr>
          <w:sz w:val="21"/>
        </w:rPr>
        <w:t>240</w:t>
      </w:r>
      <w:r>
        <w:rPr>
          <w:spacing w:val="-11"/>
          <w:sz w:val="21"/>
        </w:rPr>
        <w:t> 磨粒砂带。</w:t>
      </w:r>
      <w:r>
        <w:rPr>
          <w:b/>
          <w:sz w:val="21"/>
        </w:rPr>
        <w:t>5.13</w:t>
      </w:r>
      <w:r>
        <w:rPr>
          <w:b/>
          <w:spacing w:val="2"/>
          <w:sz w:val="21"/>
        </w:rPr>
        <w:t> </w:t>
      </w:r>
      <w:r>
        <w:rPr>
          <w:spacing w:val="-3"/>
          <w:sz w:val="21"/>
        </w:rPr>
        <w:t>水带与消防接口连接性能试验</w:t>
      </w:r>
      <w:r>
        <w:rPr>
          <w:sz w:val="21"/>
        </w:rPr>
        <w:t> </w:t>
      </w:r>
    </w:p>
    <w:p>
      <w:pPr>
        <w:pStyle w:val="ListParagraph"/>
        <w:numPr>
          <w:ilvl w:val="2"/>
          <w:numId w:val="105"/>
        </w:numPr>
        <w:tabs>
          <w:tab w:pos="1478" w:val="left" w:leader="none"/>
        </w:tabs>
        <w:spacing w:line="446" w:lineRule="auto" w:before="0" w:after="0"/>
        <w:ind w:left="418" w:right="1448" w:firstLine="422"/>
        <w:jc w:val="left"/>
        <w:rPr>
          <w:sz w:val="21"/>
        </w:rPr>
      </w:pPr>
      <w:r>
        <w:rPr>
          <w:spacing w:val="-5"/>
          <w:sz w:val="21"/>
        </w:rPr>
        <w:t>任意取带有消防接口的试样两段，总长度为 </w:t>
      </w:r>
      <w:r>
        <w:rPr>
          <w:sz w:val="21"/>
        </w:rPr>
        <w:t>1.2m</w:t>
      </w:r>
      <w:r>
        <w:rPr>
          <w:spacing w:val="-3"/>
          <w:sz w:val="21"/>
        </w:rPr>
        <w:t>。并将消防接口相互连接，试样另两端分别与水源相接和带有排气阀的密封装置连接，保持试样平直，对试样灌水，排尽空气</w:t>
      </w:r>
    </w:p>
    <w:p>
      <w:pPr>
        <w:pStyle w:val="BodyText"/>
        <w:spacing w:line="446" w:lineRule="auto"/>
        <w:ind w:left="418" w:right="1666"/>
      </w:pPr>
      <w:r>
        <w:rPr>
          <w:spacing w:val="-5"/>
        </w:rPr>
        <w:t>后，关闭排气阀，均匀升压至相应的试验压力，保压 </w:t>
      </w:r>
      <w:r>
        <w:rPr/>
        <w:t>5min</w:t>
      </w:r>
      <w:r>
        <w:rPr>
          <w:spacing w:val="-7"/>
        </w:rPr>
        <w:t>。判断试验结果是否符合 </w:t>
      </w:r>
      <w:r>
        <w:rPr/>
        <w:t>4.13</w:t>
      </w:r>
      <w:r>
        <w:rPr>
          <w:spacing w:val="-16"/>
        </w:rPr>
        <w:t> 的规</w:t>
      </w:r>
      <w:r>
        <w:rPr>
          <w:spacing w:val="-2"/>
        </w:rPr>
        <w:t>定。</w:t>
      </w:r>
      <w:r>
        <w:rPr/>
        <w:t> </w:t>
      </w:r>
    </w:p>
    <w:p>
      <w:pPr>
        <w:pStyle w:val="ListParagraph"/>
        <w:numPr>
          <w:ilvl w:val="2"/>
          <w:numId w:val="105"/>
        </w:numPr>
        <w:tabs>
          <w:tab w:pos="1478" w:val="left" w:leader="none"/>
        </w:tabs>
        <w:spacing w:line="240" w:lineRule="auto" w:before="0" w:after="0"/>
        <w:ind w:left="1477" w:right="0" w:hanging="638"/>
        <w:jc w:val="left"/>
        <w:rPr>
          <w:sz w:val="21"/>
        </w:rPr>
      </w:pPr>
      <w:r>
        <w:rPr>
          <w:spacing w:val="-10"/>
          <w:sz w:val="21"/>
        </w:rPr>
        <w:t>试验装置应符合 </w:t>
      </w:r>
      <w:r>
        <w:rPr>
          <w:sz w:val="21"/>
        </w:rPr>
        <w:t>5.4.3</w:t>
      </w:r>
      <w:r>
        <w:rPr>
          <w:spacing w:val="-13"/>
          <w:sz w:val="21"/>
        </w:rPr>
        <w:t> 的规定。</w:t>
      </w:r>
      <w:r>
        <w:rPr>
          <w:sz w:val="21"/>
        </w:rPr>
        <w:t> </w:t>
      </w:r>
    </w:p>
    <w:p>
      <w:pPr>
        <w:pStyle w:val="BodyText"/>
        <w:spacing w:before="5"/>
        <w:rPr>
          <w:sz w:val="15"/>
        </w:rPr>
      </w:pPr>
    </w:p>
    <w:p>
      <w:pPr>
        <w:pStyle w:val="Heading4"/>
        <w:spacing w:before="1"/>
      </w:pPr>
      <w:r>
        <w:rPr/>
        <w:t>6 检验规则</w:t>
      </w:r>
      <w:r>
        <w:rPr>
          <w:w w:val="99"/>
        </w:rPr>
        <w:t> </w:t>
      </w:r>
    </w:p>
    <w:p>
      <w:pPr>
        <w:pStyle w:val="BodyText"/>
        <w:spacing w:before="6"/>
        <w:rPr>
          <w:b/>
          <w:sz w:val="17"/>
        </w:rPr>
      </w:pPr>
    </w:p>
    <w:p>
      <w:pPr>
        <w:pStyle w:val="ListParagraph"/>
        <w:numPr>
          <w:ilvl w:val="1"/>
          <w:numId w:val="106"/>
        </w:numPr>
        <w:tabs>
          <w:tab w:pos="1160" w:val="left" w:leader="none"/>
        </w:tabs>
        <w:spacing w:line="240" w:lineRule="auto" w:before="0" w:after="0"/>
        <w:ind w:left="1159" w:right="0" w:hanging="320"/>
        <w:jc w:val="left"/>
        <w:rPr>
          <w:b/>
          <w:sz w:val="21"/>
        </w:rPr>
      </w:pPr>
      <w:r>
        <w:rPr>
          <w:spacing w:val="-3"/>
          <w:sz w:val="21"/>
        </w:rPr>
        <w:t>出厂检验</w:t>
      </w:r>
      <w:r>
        <w:rPr>
          <w:b/>
          <w:w w:val="99"/>
          <w:sz w:val="21"/>
        </w:rPr>
        <w:t> </w:t>
      </w:r>
    </w:p>
    <w:p>
      <w:pPr>
        <w:pStyle w:val="BodyText"/>
        <w:rPr>
          <w:b/>
          <w:sz w:val="18"/>
        </w:rPr>
      </w:pPr>
    </w:p>
    <w:p>
      <w:pPr>
        <w:pStyle w:val="ListParagraph"/>
        <w:numPr>
          <w:ilvl w:val="2"/>
          <w:numId w:val="106"/>
        </w:numPr>
        <w:tabs>
          <w:tab w:pos="1371" w:val="left" w:leader="none"/>
        </w:tabs>
        <w:spacing w:line="240" w:lineRule="auto" w:before="0" w:after="0"/>
        <w:ind w:left="1370" w:right="0" w:hanging="531"/>
        <w:jc w:val="left"/>
        <w:rPr>
          <w:sz w:val="21"/>
        </w:rPr>
      </w:pPr>
      <w:r>
        <w:rPr>
          <w:spacing w:val="-3"/>
          <w:sz w:val="21"/>
        </w:rPr>
        <w:t>水带应经过工厂质量检验部门检验合格方能出厂。</w:t>
      </w:r>
      <w:r>
        <w:rPr>
          <w:sz w:val="21"/>
        </w:rPr>
        <w:t> </w:t>
      </w:r>
    </w:p>
    <w:p>
      <w:pPr>
        <w:pStyle w:val="BodyText"/>
        <w:spacing w:before="12"/>
        <w:rPr>
          <w:sz w:val="17"/>
        </w:rPr>
      </w:pPr>
    </w:p>
    <w:p>
      <w:pPr>
        <w:pStyle w:val="ListParagraph"/>
        <w:numPr>
          <w:ilvl w:val="2"/>
          <w:numId w:val="106"/>
        </w:numPr>
        <w:tabs>
          <w:tab w:pos="1371" w:val="left" w:leader="none"/>
        </w:tabs>
        <w:spacing w:line="446" w:lineRule="auto" w:before="0" w:after="0"/>
        <w:ind w:left="418" w:right="1604" w:firstLine="422"/>
        <w:jc w:val="left"/>
        <w:rPr>
          <w:sz w:val="21"/>
        </w:rPr>
      </w:pPr>
      <w:r>
        <w:rPr>
          <w:spacing w:val="-11"/>
          <w:sz w:val="21"/>
        </w:rPr>
        <w:t>出厂检验按 </w:t>
      </w:r>
      <w:r>
        <w:rPr>
          <w:sz w:val="21"/>
        </w:rPr>
        <w:t>4.1～4.7</w:t>
      </w:r>
      <w:r>
        <w:rPr>
          <w:spacing w:val="-33"/>
          <w:sz w:val="21"/>
        </w:rPr>
        <w:t> 和 </w:t>
      </w:r>
      <w:r>
        <w:rPr>
          <w:sz w:val="21"/>
        </w:rPr>
        <w:t>4.11.1</w:t>
      </w:r>
      <w:r>
        <w:rPr>
          <w:spacing w:val="-9"/>
          <w:sz w:val="21"/>
        </w:rPr>
        <w:t> 规定进行。以同一品种、同一规格、同一材质、同</w:t>
      </w:r>
      <w:r>
        <w:rPr>
          <w:spacing w:val="-5"/>
          <w:sz w:val="21"/>
        </w:rPr>
        <w:t>一天生产的产品为一个批次，从中任意抽取二根作为试样。</w:t>
      </w:r>
      <w:r>
        <w:rPr>
          <w:sz w:val="21"/>
        </w:rPr>
        <w:t> </w:t>
      </w:r>
    </w:p>
    <w:p>
      <w:pPr>
        <w:pStyle w:val="ListParagraph"/>
        <w:numPr>
          <w:ilvl w:val="2"/>
          <w:numId w:val="106"/>
        </w:numPr>
        <w:tabs>
          <w:tab w:pos="1370" w:val="left" w:leader="none"/>
        </w:tabs>
        <w:spacing w:line="446" w:lineRule="auto" w:before="0" w:after="0"/>
        <w:ind w:left="418" w:right="1604" w:firstLine="422"/>
        <w:jc w:val="left"/>
        <w:rPr>
          <w:sz w:val="21"/>
        </w:rPr>
      </w:pPr>
      <w:r>
        <w:rPr>
          <w:spacing w:val="-3"/>
          <w:sz w:val="21"/>
        </w:rPr>
        <w:t>出厂检验结果如有不符合本标准规定的，允许在同批产品中加倍抽样进行复验。复验合格的，判该批产品为合格；复验仍不合格的，则判该批产品为不合格。</w:t>
      </w:r>
      <w:r>
        <w:rPr>
          <w:sz w:val="21"/>
        </w:rPr>
        <w:t> </w:t>
      </w:r>
    </w:p>
    <w:p>
      <w:pPr>
        <w:pStyle w:val="ListParagraph"/>
        <w:numPr>
          <w:ilvl w:val="1"/>
          <w:numId w:val="106"/>
        </w:numPr>
        <w:tabs>
          <w:tab w:pos="1159" w:val="left" w:leader="none"/>
        </w:tabs>
        <w:spacing w:line="240" w:lineRule="auto" w:before="0" w:after="0"/>
        <w:ind w:left="1158" w:right="0" w:hanging="319"/>
        <w:jc w:val="left"/>
        <w:rPr>
          <w:sz w:val="21"/>
        </w:rPr>
      </w:pPr>
      <w:r>
        <w:rPr>
          <w:spacing w:val="-3"/>
          <w:sz w:val="21"/>
        </w:rPr>
        <w:t>形式检验</w:t>
      </w:r>
      <w:r>
        <w:rPr>
          <w:sz w:val="21"/>
        </w:rPr>
        <w:t> </w:t>
      </w:r>
    </w:p>
    <w:p>
      <w:pPr>
        <w:pStyle w:val="BodyText"/>
        <w:rPr>
          <w:sz w:val="18"/>
        </w:rPr>
      </w:pPr>
    </w:p>
    <w:p>
      <w:pPr>
        <w:pStyle w:val="ListParagraph"/>
        <w:numPr>
          <w:ilvl w:val="2"/>
          <w:numId w:val="106"/>
        </w:numPr>
        <w:tabs>
          <w:tab w:pos="1370" w:val="left" w:leader="none"/>
        </w:tabs>
        <w:spacing w:line="446" w:lineRule="auto" w:before="0" w:after="0"/>
        <w:ind w:left="838" w:right="5493" w:firstLine="2"/>
        <w:jc w:val="left"/>
        <w:rPr>
          <w:sz w:val="21"/>
        </w:rPr>
      </w:pPr>
      <w:r>
        <w:rPr>
          <w:spacing w:val="-3"/>
          <w:sz w:val="21"/>
        </w:rPr>
        <w:t>有下列情况之一时，应进行型式检验： </w:t>
      </w:r>
      <w:r>
        <w:rPr>
          <w:sz w:val="21"/>
        </w:rPr>
        <w:t>a）</w:t>
      </w:r>
      <w:r>
        <w:rPr>
          <w:spacing w:val="-3"/>
          <w:sz w:val="21"/>
        </w:rPr>
        <w:t>新产品的试制；</w:t>
      </w:r>
      <w:r>
        <w:rPr>
          <w:sz w:val="21"/>
        </w:rPr>
        <w:t> </w:t>
      </w:r>
    </w:p>
    <w:p>
      <w:pPr>
        <w:pStyle w:val="BodyText"/>
        <w:spacing w:line="446" w:lineRule="auto"/>
        <w:ind w:left="838" w:right="4501"/>
      </w:pPr>
      <w:r>
        <w:rPr/>
        <w:t>b）正式生产后，如果改变工艺、结构、材料及配方时； c）停产六个月以上再生产时； </w:t>
      </w:r>
    </w:p>
    <w:p>
      <w:pPr>
        <w:pStyle w:val="BodyText"/>
        <w:spacing w:line="446" w:lineRule="auto"/>
        <w:ind w:left="838" w:right="5185"/>
      </w:pPr>
      <w:r>
        <w:rPr/>
        <w:t>d）</w:t>
      </w:r>
      <w:r>
        <w:rPr>
          <w:spacing w:val="8"/>
        </w:rPr>
        <w:t>累计生产  </w:t>
      </w:r>
      <w:r>
        <w:rPr/>
        <w:t>500000m</w:t>
      </w:r>
      <w:r>
        <w:rPr>
          <w:spacing w:val="3"/>
        </w:rPr>
        <w:t>  或连续生产一年时； </w:t>
      </w:r>
      <w:r>
        <w:rPr/>
        <w:t>e）</w:t>
      </w:r>
      <w:r>
        <w:rPr>
          <w:spacing w:val="-3"/>
        </w:rPr>
        <w:t>国家质量监督机构提出进行型式检验要求时。</w:t>
      </w:r>
      <w:r>
        <w:rPr/>
        <w:t> </w:t>
      </w:r>
    </w:p>
    <w:p>
      <w:pPr>
        <w:pStyle w:val="ListParagraph"/>
        <w:numPr>
          <w:ilvl w:val="2"/>
          <w:numId w:val="106"/>
        </w:numPr>
        <w:tabs>
          <w:tab w:pos="1371" w:val="left" w:leader="none"/>
        </w:tabs>
        <w:spacing w:line="446" w:lineRule="auto" w:before="0" w:after="0"/>
        <w:ind w:left="418" w:right="1603" w:firstLine="422"/>
        <w:jc w:val="left"/>
        <w:rPr>
          <w:sz w:val="21"/>
        </w:rPr>
      </w:pPr>
      <w:r>
        <w:rPr>
          <w:spacing w:val="-9"/>
          <w:sz w:val="21"/>
        </w:rPr>
        <w:t>型式检验项目按第 </w:t>
      </w:r>
      <w:r>
        <w:rPr>
          <w:sz w:val="21"/>
        </w:rPr>
        <w:t>3</w:t>
      </w:r>
      <w:r>
        <w:rPr>
          <w:spacing w:val="-21"/>
          <w:sz w:val="21"/>
        </w:rPr>
        <w:t> 章、第 </w:t>
      </w:r>
      <w:r>
        <w:rPr>
          <w:sz w:val="21"/>
        </w:rPr>
        <w:t>4</w:t>
      </w:r>
      <w:r>
        <w:rPr>
          <w:spacing w:val="-26"/>
          <w:sz w:val="21"/>
        </w:rPr>
        <w:t> 章和 </w:t>
      </w:r>
      <w:r>
        <w:rPr>
          <w:sz w:val="21"/>
        </w:rPr>
        <w:t>7.1.1</w:t>
      </w:r>
      <w:r>
        <w:rPr>
          <w:spacing w:val="-8"/>
          <w:sz w:val="21"/>
        </w:rPr>
        <w:t> 进行，样本数量不应少于三根。样本应在</w:t>
      </w:r>
      <w:r>
        <w:rPr>
          <w:spacing w:val="-5"/>
          <w:sz w:val="21"/>
        </w:rPr>
        <w:t>出厂检验合格批中随机抽取。</w:t>
      </w:r>
      <w:r>
        <w:rPr>
          <w:sz w:val="21"/>
        </w:rPr>
        <w:t> </w:t>
      </w:r>
    </w:p>
    <w:p>
      <w:pPr>
        <w:pStyle w:val="ListParagraph"/>
        <w:numPr>
          <w:ilvl w:val="2"/>
          <w:numId w:val="106"/>
        </w:numPr>
        <w:tabs>
          <w:tab w:pos="1370" w:val="left" w:leader="none"/>
        </w:tabs>
        <w:spacing w:line="240" w:lineRule="auto" w:before="0" w:after="0"/>
        <w:ind w:left="1369" w:right="0" w:hanging="530"/>
        <w:jc w:val="left"/>
        <w:rPr>
          <w:sz w:val="21"/>
        </w:rPr>
      </w:pPr>
      <w:r>
        <w:rPr>
          <w:spacing w:val="-3"/>
          <w:sz w:val="21"/>
        </w:rPr>
        <w:t>形式检验的结果应符合本标准规定的全部要求。</w:t>
      </w:r>
      <w:r>
        <w:rPr>
          <w:sz w:val="21"/>
        </w:rPr>
        <w:t> </w:t>
      </w:r>
    </w:p>
    <w:p>
      <w:pPr>
        <w:spacing w:after="0" w:line="240" w:lineRule="auto"/>
        <w:jc w:val="left"/>
        <w:rPr>
          <w:sz w:val="21"/>
        </w:rPr>
        <w:sectPr>
          <w:pgSz w:w="11910" w:h="16850"/>
          <w:pgMar w:header="0" w:footer="1239" w:top="1220" w:bottom="1420" w:left="1260" w:right="0"/>
        </w:sectPr>
      </w:pPr>
    </w:p>
    <w:p>
      <w:pPr>
        <w:pStyle w:val="Heading4"/>
        <w:spacing w:before="37"/>
      </w:pPr>
      <w:r>
        <w:rPr/>
        <w:t>7 标志、包装、运输、使用与维护</w:t>
      </w:r>
      <w:r>
        <w:rPr>
          <w:w w:val="99"/>
        </w:rPr>
        <w:t> </w:t>
      </w:r>
    </w:p>
    <w:p>
      <w:pPr>
        <w:pStyle w:val="BodyText"/>
        <w:spacing w:before="4"/>
        <w:rPr>
          <w:b/>
          <w:sz w:val="17"/>
        </w:rPr>
      </w:pPr>
    </w:p>
    <w:p>
      <w:pPr>
        <w:pStyle w:val="ListParagraph"/>
        <w:numPr>
          <w:ilvl w:val="1"/>
          <w:numId w:val="107"/>
        </w:numPr>
        <w:tabs>
          <w:tab w:pos="1159" w:val="left" w:leader="none"/>
        </w:tabs>
        <w:spacing w:line="240" w:lineRule="auto" w:before="1" w:after="0"/>
        <w:ind w:left="1158" w:right="0" w:hanging="319"/>
        <w:jc w:val="left"/>
        <w:rPr>
          <w:b/>
          <w:sz w:val="21"/>
        </w:rPr>
      </w:pPr>
      <w:r>
        <w:rPr>
          <w:spacing w:val="-3"/>
          <w:sz w:val="21"/>
        </w:rPr>
        <w:t>标志</w:t>
      </w:r>
      <w:r>
        <w:rPr>
          <w:b/>
          <w:w w:val="99"/>
          <w:sz w:val="21"/>
        </w:rPr>
        <w:t> </w:t>
      </w:r>
    </w:p>
    <w:p>
      <w:pPr>
        <w:pStyle w:val="BodyText"/>
        <w:spacing w:before="12"/>
        <w:rPr>
          <w:b/>
          <w:sz w:val="17"/>
        </w:rPr>
      </w:pPr>
    </w:p>
    <w:p>
      <w:pPr>
        <w:pStyle w:val="ListParagraph"/>
        <w:numPr>
          <w:ilvl w:val="2"/>
          <w:numId w:val="107"/>
        </w:numPr>
        <w:tabs>
          <w:tab w:pos="1371" w:val="left" w:leader="none"/>
        </w:tabs>
        <w:spacing w:line="446" w:lineRule="auto" w:before="0" w:after="0"/>
        <w:ind w:left="418" w:right="1604" w:firstLine="422"/>
        <w:jc w:val="left"/>
        <w:rPr>
          <w:sz w:val="21"/>
        </w:rPr>
      </w:pPr>
      <w:r>
        <w:rPr>
          <w:spacing w:val="-3"/>
          <w:sz w:val="21"/>
        </w:rPr>
        <w:t>湿水带应以黑色线作带身中心线，其余水带应以其他有色线作带身中心线，在端部附近中心线两侧应用不易脱落的油墨，清晰地印有下列标志内容：</w:t>
      </w:r>
      <w:r>
        <w:rPr>
          <w:sz w:val="21"/>
        </w:rPr>
        <w:t> </w:t>
      </w:r>
    </w:p>
    <w:p>
      <w:pPr>
        <w:pStyle w:val="ListParagraph"/>
        <w:numPr>
          <w:ilvl w:val="0"/>
          <w:numId w:val="108"/>
        </w:numPr>
        <w:tabs>
          <w:tab w:pos="1156" w:val="left" w:leader="none"/>
        </w:tabs>
        <w:spacing w:line="446" w:lineRule="auto" w:before="0" w:after="0"/>
        <w:ind w:left="838" w:right="8335" w:firstLine="0"/>
        <w:jc w:val="both"/>
        <w:rPr>
          <w:sz w:val="21"/>
        </w:rPr>
      </w:pPr>
      <w:r>
        <w:rPr>
          <w:spacing w:val="-3"/>
          <w:sz w:val="21"/>
        </w:rPr>
        <w:t>产品名称； </w:t>
      </w:r>
      <w:r>
        <w:rPr>
          <w:sz w:val="21"/>
        </w:rPr>
        <w:t>b）</w:t>
      </w:r>
      <w:r>
        <w:rPr>
          <w:spacing w:val="-3"/>
          <w:sz w:val="21"/>
        </w:rPr>
        <w:t>规格型号； </w:t>
      </w:r>
      <w:r>
        <w:rPr>
          <w:sz w:val="21"/>
        </w:rPr>
        <w:t>c）</w:t>
      </w:r>
      <w:r>
        <w:rPr>
          <w:spacing w:val="-3"/>
          <w:sz w:val="21"/>
        </w:rPr>
        <w:t>生产厂名； </w:t>
      </w:r>
      <w:r>
        <w:rPr>
          <w:sz w:val="21"/>
        </w:rPr>
        <w:t>d）</w:t>
      </w:r>
      <w:r>
        <w:rPr>
          <w:spacing w:val="-3"/>
          <w:sz w:val="21"/>
        </w:rPr>
        <w:t>注册商标； </w:t>
      </w:r>
      <w:r>
        <w:rPr>
          <w:sz w:val="21"/>
        </w:rPr>
        <w:t>e）</w:t>
      </w:r>
      <w:r>
        <w:rPr>
          <w:spacing w:val="-3"/>
          <w:sz w:val="21"/>
        </w:rPr>
        <w:t>生产日期。</w:t>
      </w:r>
      <w:r>
        <w:rPr>
          <w:sz w:val="21"/>
        </w:rPr>
        <w:t> </w:t>
      </w:r>
    </w:p>
    <w:p>
      <w:pPr>
        <w:pStyle w:val="ListParagraph"/>
        <w:numPr>
          <w:ilvl w:val="2"/>
          <w:numId w:val="107"/>
        </w:numPr>
        <w:tabs>
          <w:tab w:pos="1371" w:val="left" w:leader="none"/>
        </w:tabs>
        <w:spacing w:line="446" w:lineRule="auto" w:before="0" w:after="0"/>
        <w:ind w:left="838" w:right="4441" w:firstLine="2"/>
        <w:jc w:val="left"/>
        <w:rPr>
          <w:sz w:val="21"/>
        </w:rPr>
      </w:pPr>
      <w:r>
        <w:rPr>
          <w:spacing w:val="-3"/>
          <w:sz w:val="21"/>
        </w:rPr>
        <w:t>每包水带应附有使用说明书。包外应有下列标志： </w:t>
      </w:r>
      <w:r>
        <w:rPr>
          <w:sz w:val="21"/>
        </w:rPr>
        <w:t>a）</w:t>
      </w:r>
      <w:r>
        <w:rPr>
          <w:spacing w:val="-3"/>
          <w:sz w:val="21"/>
        </w:rPr>
        <w:t>产品名称；</w:t>
      </w:r>
      <w:r>
        <w:rPr>
          <w:sz w:val="21"/>
        </w:rPr>
        <w:t> </w:t>
      </w:r>
    </w:p>
    <w:p>
      <w:pPr>
        <w:pStyle w:val="ListParagraph"/>
        <w:numPr>
          <w:ilvl w:val="0"/>
          <w:numId w:val="108"/>
        </w:numPr>
        <w:tabs>
          <w:tab w:pos="1156" w:val="left" w:leader="none"/>
        </w:tabs>
        <w:spacing w:line="267" w:lineRule="exact" w:before="0" w:after="0"/>
        <w:ind w:left="1155" w:right="0" w:hanging="318"/>
        <w:jc w:val="left"/>
        <w:rPr>
          <w:sz w:val="21"/>
        </w:rPr>
      </w:pPr>
      <w:r>
        <w:rPr>
          <w:spacing w:val="-3"/>
          <w:sz w:val="21"/>
        </w:rPr>
        <w:t>规格型号；</w:t>
      </w:r>
      <w:r>
        <w:rPr>
          <w:sz w:val="21"/>
        </w:rPr>
        <w:t> </w:t>
      </w:r>
    </w:p>
    <w:p>
      <w:pPr>
        <w:pStyle w:val="BodyText"/>
        <w:spacing w:before="1"/>
        <w:rPr>
          <w:sz w:val="18"/>
        </w:rPr>
      </w:pPr>
    </w:p>
    <w:p>
      <w:pPr>
        <w:pStyle w:val="ListParagraph"/>
        <w:numPr>
          <w:ilvl w:val="0"/>
          <w:numId w:val="108"/>
        </w:numPr>
        <w:tabs>
          <w:tab w:pos="1156" w:val="left" w:leader="none"/>
        </w:tabs>
        <w:spacing w:line="446" w:lineRule="auto" w:before="0" w:after="0"/>
        <w:ind w:left="838" w:right="7285" w:firstLine="0"/>
        <w:jc w:val="left"/>
        <w:rPr>
          <w:sz w:val="21"/>
        </w:rPr>
      </w:pPr>
      <w:r>
        <w:rPr>
          <w:spacing w:val="-2"/>
          <w:sz w:val="21"/>
        </w:rPr>
        <w:t>重量</w:t>
      </w:r>
      <w:r>
        <w:rPr>
          <w:spacing w:val="-3"/>
          <w:sz w:val="21"/>
        </w:rPr>
        <w:t>（净重及毛重）； </w:t>
      </w:r>
      <w:r>
        <w:rPr>
          <w:sz w:val="21"/>
        </w:rPr>
        <w:t>d）</w:t>
      </w:r>
      <w:r>
        <w:rPr>
          <w:spacing w:val="-3"/>
          <w:sz w:val="21"/>
        </w:rPr>
        <w:t>件数；</w:t>
      </w:r>
      <w:r>
        <w:rPr>
          <w:sz w:val="21"/>
        </w:rPr>
        <w:t> </w:t>
      </w:r>
    </w:p>
    <w:p>
      <w:pPr>
        <w:pStyle w:val="BodyText"/>
        <w:spacing w:line="446" w:lineRule="auto"/>
        <w:ind w:left="838" w:right="8335"/>
        <w:jc w:val="both"/>
      </w:pPr>
      <w:r>
        <w:rPr/>
        <w:t>e）生产厂名； f）注册商标； g）生产日期； h）标准编号。</w:t>
      </w:r>
      <w:r>
        <w:rPr>
          <w:b/>
        </w:rPr>
        <w:t>7.2 </w:t>
      </w:r>
      <w:r>
        <w:rPr/>
        <w:t>包 装 </w:t>
      </w:r>
    </w:p>
    <w:p>
      <w:pPr>
        <w:pStyle w:val="ListParagraph"/>
        <w:numPr>
          <w:ilvl w:val="2"/>
          <w:numId w:val="109"/>
        </w:numPr>
        <w:tabs>
          <w:tab w:pos="1370" w:val="left" w:leader="none"/>
        </w:tabs>
        <w:spacing w:line="268" w:lineRule="exact" w:before="0" w:after="0"/>
        <w:ind w:left="1369" w:right="0" w:hanging="530"/>
        <w:jc w:val="left"/>
        <w:rPr>
          <w:sz w:val="21"/>
        </w:rPr>
      </w:pPr>
      <w:r>
        <w:rPr>
          <w:spacing w:val="-3"/>
          <w:sz w:val="21"/>
        </w:rPr>
        <w:t>每根水带应卷紧成圆盘形，外用耐磨、防潮物封装。</w:t>
      </w:r>
      <w:r>
        <w:rPr>
          <w:sz w:val="21"/>
        </w:rPr>
        <w:t> </w:t>
      </w:r>
    </w:p>
    <w:p>
      <w:pPr>
        <w:pStyle w:val="BodyText"/>
        <w:spacing w:before="10"/>
        <w:rPr>
          <w:sz w:val="17"/>
        </w:rPr>
      </w:pPr>
    </w:p>
    <w:p>
      <w:pPr>
        <w:pStyle w:val="ListParagraph"/>
        <w:numPr>
          <w:ilvl w:val="2"/>
          <w:numId w:val="109"/>
        </w:numPr>
        <w:tabs>
          <w:tab w:pos="1370" w:val="left" w:leader="none"/>
        </w:tabs>
        <w:spacing w:line="240" w:lineRule="auto" w:before="0" w:after="0"/>
        <w:ind w:left="1369" w:right="0" w:hanging="530"/>
        <w:jc w:val="left"/>
        <w:rPr>
          <w:sz w:val="21"/>
        </w:rPr>
      </w:pPr>
      <w:r>
        <w:rPr>
          <w:spacing w:val="-3"/>
          <w:sz w:val="21"/>
        </w:rPr>
        <w:t>按同一设计工作压力、同一公称内径、同一材质的产品进行包装，不得混包。</w:t>
      </w:r>
      <w:r>
        <w:rPr>
          <w:sz w:val="21"/>
        </w:rPr>
        <w:t> </w:t>
      </w:r>
    </w:p>
    <w:p>
      <w:pPr>
        <w:pStyle w:val="BodyText"/>
        <w:spacing w:before="2"/>
        <w:rPr>
          <w:sz w:val="18"/>
        </w:rPr>
      </w:pPr>
    </w:p>
    <w:p>
      <w:pPr>
        <w:spacing w:before="0"/>
        <w:ind w:left="840" w:right="0" w:firstLine="0"/>
        <w:jc w:val="left"/>
        <w:rPr>
          <w:sz w:val="21"/>
        </w:rPr>
      </w:pPr>
      <w:r>
        <w:rPr>
          <w:b/>
          <w:sz w:val="21"/>
        </w:rPr>
        <w:t>7.3 </w:t>
      </w:r>
      <w:r>
        <w:rPr>
          <w:sz w:val="21"/>
        </w:rPr>
        <w:t>运 输 </w:t>
      </w:r>
    </w:p>
    <w:p>
      <w:pPr>
        <w:pStyle w:val="BodyText"/>
        <w:spacing w:before="12"/>
        <w:rPr>
          <w:sz w:val="17"/>
        </w:rPr>
      </w:pPr>
    </w:p>
    <w:p>
      <w:pPr>
        <w:pStyle w:val="BodyText"/>
        <w:spacing w:line="446" w:lineRule="auto"/>
        <w:ind w:left="840" w:right="5288" w:hanging="3"/>
      </w:pPr>
      <w:r>
        <w:rPr/>
        <w:t>运输过程应防止重压、拖拽、曝晒及雨雪淋袭。</w:t>
      </w:r>
      <w:r>
        <w:rPr>
          <w:b/>
        </w:rPr>
        <w:t>7.4 </w:t>
      </w:r>
      <w:r>
        <w:rPr/>
        <w:t>使用与维护 </w:t>
      </w:r>
    </w:p>
    <w:p>
      <w:pPr>
        <w:pStyle w:val="ListParagraph"/>
        <w:numPr>
          <w:ilvl w:val="2"/>
          <w:numId w:val="110"/>
        </w:numPr>
        <w:tabs>
          <w:tab w:pos="1370" w:val="left" w:leader="none"/>
        </w:tabs>
        <w:spacing w:line="446" w:lineRule="auto" w:before="0" w:after="0"/>
        <w:ind w:left="418" w:right="1604" w:firstLine="422"/>
        <w:jc w:val="left"/>
        <w:rPr>
          <w:sz w:val="21"/>
        </w:rPr>
      </w:pPr>
      <w:r>
        <w:rPr>
          <w:spacing w:val="-3"/>
          <w:sz w:val="21"/>
        </w:rPr>
        <w:t>应按水带上注明的设计工作压力使用，防止过高的压力造成水带破裂、损伤或缩短水带的使用寿命，并导致人身事故的危险。</w:t>
      </w:r>
      <w:r>
        <w:rPr>
          <w:sz w:val="21"/>
        </w:rPr>
        <w:t> </w:t>
      </w:r>
    </w:p>
    <w:p>
      <w:pPr>
        <w:pStyle w:val="ListParagraph"/>
        <w:numPr>
          <w:ilvl w:val="2"/>
          <w:numId w:val="110"/>
        </w:numPr>
        <w:tabs>
          <w:tab w:pos="1370" w:val="left" w:leader="none"/>
        </w:tabs>
        <w:spacing w:line="446" w:lineRule="auto" w:before="0" w:after="0"/>
        <w:ind w:left="418" w:right="1604" w:firstLine="422"/>
        <w:jc w:val="left"/>
        <w:rPr>
          <w:sz w:val="21"/>
        </w:rPr>
      </w:pPr>
      <w:r>
        <w:rPr>
          <w:spacing w:val="-3"/>
          <w:sz w:val="21"/>
        </w:rPr>
        <w:t>水带铺设时应避免骤然曲折，以防止降低耐水压的能力；还应避免扭转，以防止充水后水带转动而使内扣式水带接口脱开。</w:t>
      </w:r>
      <w:r>
        <w:rPr>
          <w:sz w:val="21"/>
        </w:rPr>
        <w:t> </w:t>
      </w:r>
    </w:p>
    <w:p>
      <w:pPr>
        <w:spacing w:after="0" w:line="446" w:lineRule="auto"/>
        <w:jc w:val="left"/>
        <w:rPr>
          <w:sz w:val="21"/>
        </w:rPr>
        <w:sectPr>
          <w:pgSz w:w="11910" w:h="16850"/>
          <w:pgMar w:header="0" w:footer="1239" w:top="1200" w:bottom="1420" w:left="1260" w:right="0"/>
        </w:sectPr>
      </w:pPr>
    </w:p>
    <w:p>
      <w:pPr>
        <w:pStyle w:val="ListParagraph"/>
        <w:numPr>
          <w:ilvl w:val="2"/>
          <w:numId w:val="110"/>
        </w:numPr>
        <w:tabs>
          <w:tab w:pos="1370" w:val="left" w:leader="none"/>
        </w:tabs>
        <w:spacing w:line="446" w:lineRule="auto" w:before="47" w:after="0"/>
        <w:ind w:left="418" w:right="1604" w:firstLine="422"/>
        <w:jc w:val="both"/>
        <w:rPr>
          <w:sz w:val="21"/>
        </w:rPr>
      </w:pPr>
      <w:r>
        <w:rPr>
          <w:spacing w:val="-6"/>
          <w:sz w:val="21"/>
        </w:rPr>
        <w:t>当水带垂直铺设时，宜在相隔 </w:t>
      </w:r>
      <w:r>
        <w:rPr>
          <w:sz w:val="21"/>
        </w:rPr>
        <w:t>10m</w:t>
      </w:r>
      <w:r>
        <w:rPr>
          <w:spacing w:val="-8"/>
          <w:sz w:val="21"/>
        </w:rPr>
        <w:t> 左右予以固定，以防止水带断裂贻误战机和砸伤</w:t>
      </w:r>
      <w:r>
        <w:rPr>
          <w:spacing w:val="-7"/>
          <w:sz w:val="21"/>
        </w:rPr>
        <w:t>人员。</w:t>
      </w:r>
      <w:r>
        <w:rPr>
          <w:sz w:val="21"/>
        </w:rPr>
        <w:t> </w:t>
      </w:r>
    </w:p>
    <w:p>
      <w:pPr>
        <w:pStyle w:val="ListParagraph"/>
        <w:numPr>
          <w:ilvl w:val="2"/>
          <w:numId w:val="110"/>
        </w:numPr>
        <w:tabs>
          <w:tab w:pos="1371" w:val="left" w:leader="none"/>
        </w:tabs>
        <w:spacing w:line="446" w:lineRule="auto" w:before="0" w:after="0"/>
        <w:ind w:left="418" w:right="1604" w:firstLine="422"/>
        <w:jc w:val="both"/>
        <w:rPr>
          <w:sz w:val="21"/>
        </w:rPr>
      </w:pPr>
      <w:r>
        <w:rPr>
          <w:spacing w:val="-3"/>
          <w:sz w:val="21"/>
        </w:rPr>
        <w:t>水带充水后应避免在地面上强行拖拉，特别需要注意避免水带与钉、玻璃片等锐器</w:t>
      </w:r>
      <w:r>
        <w:rPr>
          <w:spacing w:val="-4"/>
          <w:sz w:val="21"/>
        </w:rPr>
        <w:t>接触。需要改变位置时应抬起移动，以减少水带与地面的磨损。不应 </w:t>
      </w:r>
      <w:r>
        <w:rPr>
          <w:sz w:val="21"/>
        </w:rPr>
        <w:t>V</w:t>
      </w:r>
      <w:r>
        <w:rPr>
          <w:spacing w:val="-7"/>
          <w:sz w:val="21"/>
        </w:rPr>
        <w:t> 字形拖拉水带，避免磨</w:t>
      </w:r>
      <w:r>
        <w:rPr>
          <w:spacing w:val="-6"/>
          <w:sz w:val="21"/>
        </w:rPr>
        <w:t>破水带。</w:t>
      </w:r>
      <w:r>
        <w:rPr>
          <w:sz w:val="21"/>
        </w:rPr>
        <w:t> </w:t>
      </w:r>
    </w:p>
    <w:p>
      <w:pPr>
        <w:pStyle w:val="ListParagraph"/>
        <w:numPr>
          <w:ilvl w:val="2"/>
          <w:numId w:val="110"/>
        </w:numPr>
        <w:tabs>
          <w:tab w:pos="1370" w:val="left" w:leader="none"/>
        </w:tabs>
        <w:spacing w:line="446" w:lineRule="auto" w:before="0" w:after="0"/>
        <w:ind w:left="418" w:right="1604" w:firstLine="422"/>
        <w:jc w:val="left"/>
        <w:rPr>
          <w:sz w:val="21"/>
        </w:rPr>
      </w:pPr>
      <w:r>
        <w:rPr>
          <w:spacing w:val="-3"/>
          <w:sz w:val="21"/>
        </w:rPr>
        <w:t>水带应避免与油类、酸、碱等有腐蚀性的化学物品接触。确有需要，宜采用外覆层的水带。</w:t>
      </w:r>
      <w:r>
        <w:rPr>
          <w:sz w:val="21"/>
        </w:rPr>
        <w:t> </w:t>
      </w:r>
    </w:p>
    <w:p>
      <w:pPr>
        <w:pStyle w:val="ListParagraph"/>
        <w:numPr>
          <w:ilvl w:val="2"/>
          <w:numId w:val="110"/>
        </w:numPr>
        <w:tabs>
          <w:tab w:pos="1370" w:val="left" w:leader="none"/>
        </w:tabs>
        <w:spacing w:line="446" w:lineRule="auto" w:before="0" w:after="0"/>
        <w:ind w:left="418" w:right="1604" w:firstLine="422"/>
        <w:jc w:val="left"/>
        <w:rPr>
          <w:sz w:val="21"/>
        </w:rPr>
      </w:pPr>
      <w:r>
        <w:rPr>
          <w:spacing w:val="-3"/>
          <w:sz w:val="21"/>
        </w:rPr>
        <w:t>应避免硬的重物压在水带上，车辆需通过铺设中的水带时，应事先在通过部位安置水带护桥。</w:t>
      </w:r>
      <w:r>
        <w:rPr>
          <w:sz w:val="21"/>
        </w:rPr>
        <w:t> </w:t>
      </w:r>
    </w:p>
    <w:p>
      <w:pPr>
        <w:pStyle w:val="ListParagraph"/>
        <w:numPr>
          <w:ilvl w:val="2"/>
          <w:numId w:val="110"/>
        </w:numPr>
        <w:tabs>
          <w:tab w:pos="1370" w:val="left" w:leader="none"/>
        </w:tabs>
        <w:spacing w:line="240" w:lineRule="auto" w:before="0" w:after="0"/>
        <w:ind w:left="1369" w:right="0" w:hanging="530"/>
        <w:jc w:val="left"/>
        <w:rPr>
          <w:sz w:val="21"/>
        </w:rPr>
      </w:pPr>
      <w:r>
        <w:rPr>
          <w:spacing w:val="-3"/>
          <w:sz w:val="21"/>
        </w:rPr>
        <w:t>铺设时如通过铁路，水带应从铁轨下面通过。 </w:t>
      </w:r>
    </w:p>
    <w:p>
      <w:pPr>
        <w:pStyle w:val="BodyText"/>
        <w:spacing w:before="9"/>
        <w:rPr>
          <w:sz w:val="17"/>
        </w:rPr>
      </w:pPr>
    </w:p>
    <w:p>
      <w:pPr>
        <w:pStyle w:val="ListParagraph"/>
        <w:numPr>
          <w:ilvl w:val="2"/>
          <w:numId w:val="110"/>
        </w:numPr>
        <w:tabs>
          <w:tab w:pos="1370" w:val="left" w:leader="none"/>
        </w:tabs>
        <w:spacing w:line="240" w:lineRule="auto" w:before="1" w:after="0"/>
        <w:ind w:left="1369" w:right="0" w:hanging="530"/>
        <w:jc w:val="left"/>
        <w:rPr>
          <w:sz w:val="21"/>
        </w:rPr>
      </w:pPr>
      <w:r>
        <w:rPr>
          <w:spacing w:val="-3"/>
          <w:sz w:val="21"/>
        </w:rPr>
        <w:t>在寒冷地区建筑物外使用消防水带，应防止水带冻结。</w:t>
      </w:r>
      <w:r>
        <w:rPr>
          <w:sz w:val="21"/>
        </w:rPr>
        <w:t> </w:t>
      </w:r>
    </w:p>
    <w:p>
      <w:pPr>
        <w:pStyle w:val="BodyText"/>
        <w:spacing w:before="12"/>
        <w:rPr>
          <w:sz w:val="17"/>
        </w:rPr>
      </w:pPr>
    </w:p>
    <w:p>
      <w:pPr>
        <w:pStyle w:val="ListParagraph"/>
        <w:numPr>
          <w:ilvl w:val="2"/>
          <w:numId w:val="110"/>
        </w:numPr>
        <w:tabs>
          <w:tab w:pos="1370" w:val="left" w:leader="none"/>
        </w:tabs>
        <w:spacing w:line="240" w:lineRule="auto" w:before="0" w:after="0"/>
        <w:ind w:left="1369" w:right="0" w:hanging="530"/>
        <w:jc w:val="left"/>
        <w:rPr>
          <w:sz w:val="21"/>
        </w:rPr>
      </w:pPr>
      <w:r>
        <w:rPr>
          <w:spacing w:val="-3"/>
          <w:sz w:val="21"/>
        </w:rPr>
        <w:t>水带用毕后应洗净晾干，盘卷保存于阴凉干燥处。</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BodyText"/>
        <w:spacing w:before="71"/>
        <w:ind w:left="3298"/>
      </w:pPr>
      <w:r>
        <w:rPr>
          <w:w w:val="100"/>
        </w:rPr>
        <w:t> </w:t>
      </w:r>
    </w:p>
    <w:p>
      <w:pPr>
        <w:spacing w:after="0"/>
        <w:sectPr>
          <w:pgSz w:w="11910" w:h="16850"/>
          <w:pgMar w:header="0" w:footer="1239" w:top="1220" w:bottom="1420" w:left="1260" w:right="0"/>
        </w:sectPr>
      </w:pPr>
    </w:p>
    <w:p>
      <w:pPr>
        <w:pStyle w:val="Heading2"/>
        <w:spacing w:before="157"/>
        <w:ind w:right="800"/>
        <w:rPr>
          <w:sz w:val="44"/>
        </w:rPr>
      </w:pPr>
      <w:bookmarkStart w:name="_bookmark5" w:id="6"/>
      <w:bookmarkEnd w:id="6"/>
      <w:r>
        <w:rPr>
          <w:b w:val="0"/>
        </w:rPr>
      </w:r>
      <w:r>
        <w:rPr/>
        <w:t>消防员呼救器</w:t>
      </w:r>
      <w:r>
        <w:rPr>
          <w:w w:val="99"/>
          <w:sz w:val="44"/>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817" w:firstLine="419"/>
      </w:pPr>
      <w:r>
        <w:rPr/>
        <w:t>本标准规定了消防员呼救器的术语和定义、型号、技术要求、试验方法、检验规则、标志、包装、运输和贮存。 </w:t>
      </w:r>
    </w:p>
    <w:p>
      <w:pPr>
        <w:pStyle w:val="BodyText"/>
        <w:ind w:left="838"/>
      </w:pPr>
      <w:r>
        <w:rPr/>
        <w:t>本标准适用于消防员在灭火救援过程中随身佩带的消防员呼救器（以下简称呼救器）。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ind w:left="838"/>
      </w:pPr>
      <w:r>
        <w:rPr/>
        <w:t>GB/T 191 包装储运图示标志 </w:t>
      </w:r>
    </w:p>
    <w:p>
      <w:pPr>
        <w:pStyle w:val="BodyText"/>
        <w:rPr>
          <w:sz w:val="18"/>
        </w:rPr>
      </w:pPr>
    </w:p>
    <w:p>
      <w:pPr>
        <w:pStyle w:val="BodyText"/>
        <w:spacing w:line="446" w:lineRule="auto"/>
        <w:ind w:left="838" w:right="2969"/>
      </w:pPr>
      <w:r>
        <w:rPr/>
        <w:t>GB/T 2423.1 电工电子产品环境试验 第 2 部分：试验方法 试验 A：低温GB/T 2423.2 电工电子产品环境试验 第 2 部分：试验方法 试验 B：高温 </w:t>
      </w:r>
    </w:p>
    <w:p>
      <w:pPr>
        <w:pStyle w:val="BodyText"/>
        <w:spacing w:line="446" w:lineRule="auto"/>
        <w:ind w:left="418" w:right="1505" w:firstLine="419"/>
      </w:pPr>
      <w:r>
        <w:rPr/>
        <w:t>GB/T 2423.4</w:t>
      </w:r>
      <w:r>
        <w:rPr>
          <w:spacing w:val="-7"/>
        </w:rPr>
        <w:t> 电工电子产品环境试验 第 </w:t>
      </w:r>
      <w:r>
        <w:rPr/>
        <w:t>2</w:t>
      </w:r>
      <w:r>
        <w:rPr>
          <w:spacing w:val="-13"/>
        </w:rPr>
        <w:t> 部分：试验方法 试验 </w:t>
      </w:r>
      <w:r>
        <w:rPr/>
        <w:t>Db</w:t>
      </w:r>
      <w:r>
        <w:rPr>
          <w:spacing w:val="-3"/>
        </w:rPr>
        <w:t>：交变湿热</w:t>
      </w:r>
      <w:r>
        <w:rPr/>
        <w:t>（12h+12</w:t>
      </w:r>
      <w:r>
        <w:rPr>
          <w:spacing w:val="-25"/>
        </w:rPr>
        <w:t> 循环</w:t>
      </w:r>
      <w:r>
        <w:rPr>
          <w:spacing w:val="-3"/>
        </w:rPr>
        <w:t>）</w:t>
      </w:r>
      <w:r>
        <w:rPr/>
        <w:t> </w:t>
      </w:r>
    </w:p>
    <w:p>
      <w:pPr>
        <w:pStyle w:val="BodyText"/>
        <w:spacing w:line="446" w:lineRule="auto"/>
        <w:ind w:left="838" w:right="2194"/>
      </w:pPr>
      <w:r>
        <w:rPr/>
        <w:t>GB/T 2423.5</w:t>
      </w:r>
      <w:r>
        <w:rPr>
          <w:spacing w:val="-7"/>
        </w:rPr>
        <w:t> 电工电子产品环境试验 第 </w:t>
      </w:r>
      <w:r>
        <w:rPr/>
        <w:t>2</w:t>
      </w:r>
      <w:r>
        <w:rPr>
          <w:spacing w:val="-13"/>
        </w:rPr>
        <w:t> 部分：试验方法 试验 </w:t>
      </w:r>
      <w:r>
        <w:rPr/>
        <w:t>Ea</w:t>
      </w:r>
      <w:r>
        <w:rPr>
          <w:spacing w:val="-10"/>
        </w:rPr>
        <w:t> 和导则：冲击GB/T </w:t>
      </w:r>
      <w:r>
        <w:rPr/>
        <w:t>2423.8</w:t>
      </w:r>
      <w:r>
        <w:rPr>
          <w:spacing w:val="-7"/>
        </w:rPr>
        <w:t> 电工电子产品环境试验 第 </w:t>
      </w:r>
      <w:r>
        <w:rPr/>
        <w:t>2</w:t>
      </w:r>
      <w:r>
        <w:rPr>
          <w:spacing w:val="-12"/>
        </w:rPr>
        <w:t> 部分：试验方法 试验 </w:t>
      </w:r>
      <w:r>
        <w:rPr/>
        <w:t>Ed</w:t>
      </w:r>
      <w:r>
        <w:rPr>
          <w:spacing w:val="-3"/>
        </w:rPr>
        <w:t>：自由跌落GB/T</w:t>
      </w:r>
      <w:r>
        <w:rPr>
          <w:spacing w:val="5"/>
        </w:rPr>
        <w:t> </w:t>
      </w:r>
      <w:r>
        <w:rPr/>
        <w:t>2423.10</w:t>
      </w:r>
      <w:r>
        <w:rPr>
          <w:spacing w:val="-7"/>
        </w:rPr>
        <w:t> 电工电子产品环境试验 第 </w:t>
      </w:r>
      <w:r>
        <w:rPr/>
        <w:t>2</w:t>
      </w:r>
      <w:r>
        <w:rPr>
          <w:spacing w:val="-13"/>
        </w:rPr>
        <w:t> 部分：试验方法 试验 </w:t>
      </w:r>
      <w:r>
        <w:rPr/>
        <w:t>Fc</w:t>
      </w:r>
      <w:r>
        <w:rPr>
          <w:spacing w:val="-3"/>
        </w:rPr>
        <w:t>：振动(正弦) </w:t>
      </w:r>
      <w:r>
        <w:rPr/>
        <w:t>GB</w:t>
      </w:r>
      <w:r>
        <w:rPr>
          <w:spacing w:val="1"/>
        </w:rPr>
        <w:t> </w:t>
      </w:r>
      <w:r>
        <w:rPr/>
        <w:t>3836.1</w:t>
      </w:r>
      <w:r>
        <w:rPr>
          <w:spacing w:val="-9"/>
        </w:rPr>
        <w:t> 爆炸性环境 第 </w:t>
      </w:r>
      <w:r>
        <w:rPr/>
        <w:t>1</w:t>
      </w:r>
      <w:r>
        <w:rPr>
          <w:spacing w:val="-9"/>
        </w:rPr>
        <w:t> 部分：设备 通用要求</w:t>
      </w:r>
      <w:r>
        <w:rPr/>
        <w:t> </w:t>
      </w:r>
    </w:p>
    <w:p>
      <w:pPr>
        <w:pStyle w:val="Heading4"/>
        <w:spacing w:line="275" w:lineRule="exact"/>
      </w:pPr>
      <w:r>
        <w:rPr/>
        <w:t>3 术语和定义</w:t>
      </w:r>
      <w:r>
        <w:rPr>
          <w:w w:val="99"/>
        </w:rPr>
        <w:t> </w:t>
      </w:r>
    </w:p>
    <w:p>
      <w:pPr>
        <w:pStyle w:val="BodyText"/>
        <w:spacing w:before="4"/>
        <w:rPr>
          <w:b/>
          <w:sz w:val="17"/>
        </w:rPr>
      </w:pPr>
    </w:p>
    <w:p>
      <w:pPr>
        <w:pStyle w:val="BodyText"/>
        <w:ind w:left="838"/>
      </w:pPr>
      <w:r>
        <w:rPr/>
        <w:t>下列术语和定义适用于本文件。 </w:t>
      </w:r>
    </w:p>
    <w:p>
      <w:pPr>
        <w:pStyle w:val="BodyText"/>
        <w:spacing w:before="2"/>
        <w:rPr>
          <w:sz w:val="18"/>
        </w:rPr>
      </w:pPr>
    </w:p>
    <w:p>
      <w:pPr>
        <w:pStyle w:val="BodyText"/>
        <w:ind w:left="840"/>
        <w:rPr>
          <w:b/>
        </w:rPr>
      </w:pPr>
      <w:r>
        <w:rPr>
          <w:b/>
        </w:rPr>
        <w:t>3.1 </w:t>
      </w:r>
      <w:r>
        <w:rPr/>
        <w:t>允许静止时间 permissible static time</w:t>
      </w:r>
      <w:r>
        <w:rPr>
          <w:b/>
          <w:w w:val="99"/>
        </w:rPr>
        <w:t> </w:t>
      </w:r>
    </w:p>
    <w:p>
      <w:pPr>
        <w:pStyle w:val="BodyText"/>
        <w:rPr>
          <w:b/>
          <w:sz w:val="18"/>
        </w:rPr>
      </w:pPr>
    </w:p>
    <w:p>
      <w:pPr>
        <w:pStyle w:val="BodyText"/>
        <w:spacing w:line="446" w:lineRule="auto"/>
        <w:ind w:left="840" w:right="4026" w:hanging="3"/>
      </w:pPr>
      <w:r>
        <w:rPr/>
        <w:t>呼救器自处于静止状态起至发出预报警声响信号的预设时间。</w:t>
      </w:r>
      <w:r>
        <w:rPr>
          <w:b/>
        </w:rPr>
        <w:t>3.2 </w:t>
      </w:r>
      <w:r>
        <w:rPr/>
        <w:t>预报警时间 pre-alert time </w:t>
      </w:r>
    </w:p>
    <w:p>
      <w:pPr>
        <w:pStyle w:val="BodyText"/>
        <w:spacing w:line="446" w:lineRule="auto"/>
        <w:ind w:left="840" w:right="4237" w:hanging="3"/>
      </w:pPr>
      <w:r>
        <w:rPr/>
        <w:t>呼救器自发出预报警声响信号至发出报警声响信号的时间。</w:t>
      </w:r>
      <w:r>
        <w:rPr>
          <w:b/>
        </w:rPr>
        <w:t>3.3 </w:t>
      </w:r>
      <w:r>
        <w:rPr/>
        <w:t>连续报瞥时间 continuous alert time </w:t>
      </w:r>
    </w:p>
    <w:p>
      <w:pPr>
        <w:pStyle w:val="BodyText"/>
        <w:spacing w:line="267" w:lineRule="exact"/>
        <w:ind w:left="838"/>
      </w:pPr>
      <w:r>
        <w:rPr/>
        <w:t>呼救器发出报警声响信号的持续时间。 </w:t>
      </w:r>
    </w:p>
    <w:p>
      <w:pPr>
        <w:pStyle w:val="BodyText"/>
        <w:spacing w:before="10"/>
        <w:rPr>
          <w:sz w:val="15"/>
        </w:rPr>
      </w:pPr>
    </w:p>
    <w:p>
      <w:pPr>
        <w:pStyle w:val="Heading4"/>
      </w:pPr>
      <w:r>
        <w:rPr/>
        <w:t>4 型号</w:t>
      </w:r>
      <w:r>
        <w:rPr>
          <w:w w:val="99"/>
        </w:rPr>
        <w:t> </w:t>
      </w:r>
    </w:p>
    <w:p>
      <w:pPr>
        <w:spacing w:after="0"/>
        <w:sectPr>
          <w:pgSz w:w="11910" w:h="16850"/>
          <w:pgMar w:header="0" w:footer="1239" w:top="1020" w:bottom="1420" w:left="1260" w:right="0"/>
        </w:sectPr>
      </w:pPr>
    </w:p>
    <w:p>
      <w:pPr>
        <w:pStyle w:val="BodyText"/>
        <w:spacing w:before="47"/>
        <w:ind w:left="838"/>
      </w:pPr>
      <w:r>
        <w:rPr/>
        <w:t>呼救器产品型号的编制应符合下列规定： </w:t>
      </w:r>
    </w:p>
    <w:p>
      <w:pPr>
        <w:pStyle w:val="BodyText"/>
        <w:spacing w:before="11"/>
        <w:rPr>
          <w:sz w:val="12"/>
        </w:rPr>
      </w:pPr>
      <w:r>
        <w:rPr/>
        <w:drawing>
          <wp:anchor distT="0" distB="0" distL="0" distR="0" allowOverlap="1" layoutInCell="1" locked="0" behindDoc="0" simplePos="0" relativeHeight="27">
            <wp:simplePos x="0" y="0"/>
            <wp:positionH relativeFrom="page">
              <wp:posOffset>1734919</wp:posOffset>
            </wp:positionH>
            <wp:positionV relativeFrom="paragraph">
              <wp:posOffset>129824</wp:posOffset>
            </wp:positionV>
            <wp:extent cx="4096418" cy="1767840"/>
            <wp:effectExtent l="0" t="0" r="0" b="0"/>
            <wp:wrapTopAndBottom/>
            <wp:docPr id="67" name="image51.jpeg"/>
            <wp:cNvGraphicFramePr>
              <a:graphicFrameLocks noChangeAspect="1"/>
            </wp:cNvGraphicFramePr>
            <a:graphic>
              <a:graphicData uri="http://schemas.openxmlformats.org/drawingml/2006/picture">
                <pic:pic>
                  <pic:nvPicPr>
                    <pic:cNvPr id="68" name="image51.jpeg"/>
                    <pic:cNvPicPr/>
                  </pic:nvPicPr>
                  <pic:blipFill>
                    <a:blip r:embed="rId57" cstate="print"/>
                    <a:stretch>
                      <a:fillRect/>
                    </a:stretch>
                  </pic:blipFill>
                  <pic:spPr>
                    <a:xfrm>
                      <a:off x="0" y="0"/>
                      <a:ext cx="4096418" cy="1767840"/>
                    </a:xfrm>
                    <a:prstGeom prst="rect">
                      <a:avLst/>
                    </a:prstGeom>
                  </pic:spPr>
                </pic:pic>
              </a:graphicData>
            </a:graphic>
          </wp:anchor>
        </w:drawing>
      </w:r>
    </w:p>
    <w:p>
      <w:pPr>
        <w:pStyle w:val="BodyText"/>
      </w:pPr>
    </w:p>
    <w:p>
      <w:pPr>
        <w:pStyle w:val="BodyText"/>
        <w:ind w:left="838"/>
      </w:pPr>
      <w:r>
        <w:rPr/>
        <w:t>示例 1：RHJ300/A 表示连续报警时间为 300min 的A 型消防员呼救器。 </w:t>
      </w:r>
    </w:p>
    <w:p>
      <w:pPr>
        <w:pStyle w:val="BodyText"/>
        <w:spacing w:before="12"/>
        <w:rPr>
          <w:sz w:val="17"/>
        </w:rPr>
      </w:pPr>
    </w:p>
    <w:p>
      <w:pPr>
        <w:pStyle w:val="BodyText"/>
        <w:ind w:left="838"/>
      </w:pPr>
      <w:r>
        <w:rPr/>
        <w:t>示例 2：RHJ240T/B 表示连续报警时间为 240min 的通信型 B 型消防员呼救器。 </w:t>
      </w:r>
    </w:p>
    <w:p>
      <w:pPr>
        <w:pStyle w:val="BodyText"/>
        <w:spacing w:before="11"/>
        <w:rPr>
          <w:sz w:val="15"/>
        </w:rPr>
      </w:pPr>
    </w:p>
    <w:p>
      <w:pPr>
        <w:pStyle w:val="Heading4"/>
      </w:pPr>
      <w:r>
        <w:rPr/>
        <w:t>5 技术要求</w:t>
      </w:r>
      <w:r>
        <w:rPr>
          <w:w w:val="99"/>
        </w:rPr>
        <w:t> </w:t>
      </w:r>
    </w:p>
    <w:p>
      <w:pPr>
        <w:pStyle w:val="BodyText"/>
        <w:spacing w:before="4"/>
        <w:rPr>
          <w:b/>
          <w:sz w:val="17"/>
        </w:rPr>
      </w:pPr>
    </w:p>
    <w:p>
      <w:pPr>
        <w:pStyle w:val="ListParagraph"/>
        <w:numPr>
          <w:ilvl w:val="1"/>
          <w:numId w:val="111"/>
        </w:numPr>
        <w:tabs>
          <w:tab w:pos="1160" w:val="left" w:leader="none"/>
        </w:tabs>
        <w:spacing w:line="240" w:lineRule="auto" w:before="0" w:after="0"/>
        <w:ind w:left="1159" w:right="0" w:hanging="320"/>
        <w:jc w:val="left"/>
        <w:rPr>
          <w:b/>
          <w:sz w:val="21"/>
        </w:rPr>
      </w:pPr>
      <w:r>
        <w:rPr>
          <w:spacing w:val="-3"/>
          <w:sz w:val="21"/>
        </w:rPr>
        <w:t>—般要求</w:t>
      </w:r>
      <w:r>
        <w:rPr>
          <w:b/>
          <w:w w:val="99"/>
          <w:sz w:val="21"/>
        </w:rPr>
        <w:t> </w:t>
      </w:r>
    </w:p>
    <w:p>
      <w:pPr>
        <w:pStyle w:val="ListParagraph"/>
        <w:numPr>
          <w:ilvl w:val="2"/>
          <w:numId w:val="111"/>
        </w:numPr>
        <w:tabs>
          <w:tab w:pos="1371" w:val="left" w:leader="none"/>
        </w:tabs>
        <w:spacing w:line="502" w:lineRule="exact" w:before="38" w:after="0"/>
        <w:ind w:left="838" w:right="5283" w:firstLine="2"/>
        <w:jc w:val="left"/>
        <w:rPr>
          <w:sz w:val="21"/>
        </w:rPr>
      </w:pPr>
      <w:r>
        <w:rPr>
          <w:spacing w:val="-3"/>
          <w:sz w:val="21"/>
        </w:rPr>
        <w:t>呼救器应能在以下使用环境中正常工作： </w:t>
      </w:r>
      <w:r>
        <w:rPr>
          <w:sz w:val="21"/>
        </w:rPr>
        <w:t>a)</w:t>
      </w:r>
      <w:r>
        <w:rPr>
          <w:spacing w:val="-3"/>
          <w:sz w:val="21"/>
        </w:rPr>
        <w:t> 温度为</w:t>
      </w:r>
      <w:r>
        <w:rPr>
          <w:sz w:val="21"/>
        </w:rPr>
        <w:t>-25</w:t>
      </w:r>
      <w:r>
        <w:rPr>
          <w:rFonts w:ascii="微软雅黑" w:hAnsi="微软雅黑" w:eastAsia="微软雅黑" w:hint="eastAsia"/>
          <w:sz w:val="21"/>
        </w:rPr>
        <w:t>〜</w:t>
      </w:r>
      <w:r>
        <w:rPr>
          <w:sz w:val="21"/>
        </w:rPr>
        <w:t>70℃； </w:t>
      </w:r>
    </w:p>
    <w:p>
      <w:pPr>
        <w:pStyle w:val="BodyText"/>
        <w:spacing w:before="122"/>
        <w:ind w:left="838"/>
      </w:pPr>
      <w:r>
        <w:rPr/>
        <w:t>b) 相对湿度为 30%</w:t>
      </w:r>
      <w:r>
        <w:rPr>
          <w:rFonts w:ascii="微软雅黑" w:eastAsia="微软雅黑" w:hint="eastAsia"/>
        </w:rPr>
        <w:t>〜</w:t>
      </w:r>
      <w:r>
        <w:rPr/>
        <w:t>93%； </w:t>
      </w:r>
    </w:p>
    <w:p>
      <w:pPr>
        <w:pStyle w:val="ListParagraph"/>
        <w:numPr>
          <w:ilvl w:val="0"/>
          <w:numId w:val="88"/>
        </w:numPr>
        <w:tabs>
          <w:tab w:pos="1051" w:val="left" w:leader="none"/>
        </w:tabs>
        <w:spacing w:line="240" w:lineRule="auto" w:before="179" w:after="0"/>
        <w:ind w:left="1050" w:right="0" w:hanging="213"/>
        <w:jc w:val="left"/>
        <w:rPr>
          <w:sz w:val="21"/>
        </w:rPr>
      </w:pPr>
      <w:r>
        <w:rPr>
          <w:spacing w:val="-12"/>
          <w:sz w:val="21"/>
        </w:rPr>
        <w:t>大气压力为 </w:t>
      </w:r>
      <w:r>
        <w:rPr>
          <w:sz w:val="21"/>
        </w:rPr>
        <w:t>86～106kPa</w:t>
      </w:r>
      <w:r>
        <w:rPr>
          <w:spacing w:val="-3"/>
          <w:sz w:val="21"/>
        </w:rPr>
        <w:t>。</w:t>
      </w:r>
      <w:r>
        <w:rPr>
          <w:sz w:val="21"/>
        </w:rPr>
        <w:t> </w:t>
      </w:r>
    </w:p>
    <w:p>
      <w:pPr>
        <w:pStyle w:val="BodyText"/>
        <w:spacing w:before="2"/>
        <w:rPr>
          <w:sz w:val="18"/>
        </w:rPr>
      </w:pPr>
    </w:p>
    <w:p>
      <w:pPr>
        <w:pStyle w:val="ListParagraph"/>
        <w:numPr>
          <w:ilvl w:val="2"/>
          <w:numId w:val="111"/>
        </w:numPr>
        <w:tabs>
          <w:tab w:pos="1370" w:val="left" w:leader="none"/>
        </w:tabs>
        <w:spacing w:line="240" w:lineRule="auto" w:before="0" w:after="0"/>
        <w:ind w:left="1369" w:right="0" w:hanging="530"/>
        <w:jc w:val="left"/>
        <w:rPr>
          <w:sz w:val="21"/>
        </w:rPr>
      </w:pPr>
      <w:r>
        <w:rPr>
          <w:spacing w:val="-3"/>
          <w:sz w:val="21"/>
        </w:rPr>
        <w:t>呼救器应设有佩带装置，并能在任意工作方位时正常工作。</w:t>
      </w:r>
      <w:r>
        <w:rPr>
          <w:sz w:val="21"/>
        </w:rPr>
        <w:t> </w:t>
      </w:r>
    </w:p>
    <w:p>
      <w:pPr>
        <w:pStyle w:val="BodyText"/>
        <w:spacing w:before="12"/>
        <w:rPr>
          <w:sz w:val="17"/>
        </w:rPr>
      </w:pPr>
    </w:p>
    <w:p>
      <w:pPr>
        <w:pStyle w:val="ListParagraph"/>
        <w:numPr>
          <w:ilvl w:val="2"/>
          <w:numId w:val="111"/>
        </w:numPr>
        <w:tabs>
          <w:tab w:pos="1370" w:val="left" w:leader="none"/>
        </w:tabs>
        <w:spacing w:line="240" w:lineRule="auto" w:before="0" w:after="0"/>
        <w:ind w:left="1369" w:right="0" w:hanging="530"/>
        <w:jc w:val="left"/>
        <w:rPr>
          <w:sz w:val="21"/>
        </w:rPr>
      </w:pPr>
      <w:r>
        <w:rPr>
          <w:spacing w:val="-3"/>
          <w:sz w:val="21"/>
        </w:rPr>
        <w:t>呼救器的供电电源应采用可充电电池。</w:t>
      </w:r>
      <w:r>
        <w:rPr>
          <w:sz w:val="21"/>
        </w:rPr>
        <w:t> </w:t>
      </w:r>
    </w:p>
    <w:p>
      <w:pPr>
        <w:pStyle w:val="BodyText"/>
        <w:rPr>
          <w:sz w:val="18"/>
        </w:rPr>
      </w:pPr>
    </w:p>
    <w:p>
      <w:pPr>
        <w:pStyle w:val="ListParagraph"/>
        <w:numPr>
          <w:ilvl w:val="2"/>
          <w:numId w:val="111"/>
        </w:numPr>
        <w:tabs>
          <w:tab w:pos="1370" w:val="left" w:leader="none"/>
        </w:tabs>
        <w:spacing w:line="240" w:lineRule="auto" w:before="0" w:after="0"/>
        <w:ind w:left="1369" w:right="0" w:hanging="530"/>
        <w:jc w:val="left"/>
        <w:rPr>
          <w:sz w:val="21"/>
        </w:rPr>
      </w:pPr>
      <w:r>
        <w:rPr>
          <w:spacing w:val="-3"/>
          <w:sz w:val="21"/>
        </w:rPr>
        <w:t>呼救器应设置电池充放电保护电路。</w:t>
      </w:r>
      <w:r>
        <w:rPr>
          <w:sz w:val="21"/>
        </w:rPr>
        <w:t> </w:t>
      </w:r>
    </w:p>
    <w:p>
      <w:pPr>
        <w:pStyle w:val="BodyText"/>
        <w:spacing w:before="2"/>
        <w:rPr>
          <w:sz w:val="18"/>
        </w:rPr>
      </w:pPr>
    </w:p>
    <w:p>
      <w:pPr>
        <w:pStyle w:val="ListParagraph"/>
        <w:numPr>
          <w:ilvl w:val="1"/>
          <w:numId w:val="111"/>
        </w:numPr>
        <w:tabs>
          <w:tab w:pos="1160" w:val="left" w:leader="none"/>
        </w:tabs>
        <w:spacing w:line="240" w:lineRule="auto" w:before="0" w:after="0"/>
        <w:ind w:left="1159" w:right="0" w:hanging="320"/>
        <w:jc w:val="left"/>
        <w:rPr>
          <w:sz w:val="21"/>
        </w:rPr>
      </w:pPr>
      <w:r>
        <w:rPr>
          <w:spacing w:val="-3"/>
          <w:sz w:val="21"/>
        </w:rPr>
        <w:t>功能要求</w:t>
      </w:r>
      <w:r>
        <w:rPr>
          <w:sz w:val="21"/>
        </w:rPr>
        <w:t> </w:t>
      </w:r>
    </w:p>
    <w:p>
      <w:pPr>
        <w:pStyle w:val="BodyText"/>
        <w:rPr>
          <w:sz w:val="18"/>
        </w:rPr>
      </w:pPr>
    </w:p>
    <w:p>
      <w:pPr>
        <w:pStyle w:val="ListParagraph"/>
        <w:numPr>
          <w:ilvl w:val="2"/>
          <w:numId w:val="111"/>
        </w:numPr>
        <w:tabs>
          <w:tab w:pos="1370" w:val="left" w:leader="none"/>
        </w:tabs>
        <w:spacing w:line="240" w:lineRule="auto" w:before="0" w:after="0"/>
        <w:ind w:left="1369" w:right="0" w:hanging="530"/>
        <w:jc w:val="left"/>
        <w:rPr>
          <w:sz w:val="21"/>
        </w:rPr>
      </w:pPr>
      <w:r>
        <w:rPr>
          <w:spacing w:val="-3"/>
          <w:sz w:val="21"/>
        </w:rPr>
        <w:t>预报警功能</w:t>
      </w:r>
      <w:r>
        <w:rPr>
          <w:sz w:val="21"/>
        </w:rPr>
        <w:t> </w:t>
      </w:r>
    </w:p>
    <w:p>
      <w:pPr>
        <w:pStyle w:val="BodyText"/>
        <w:spacing w:before="12"/>
        <w:rPr>
          <w:sz w:val="17"/>
        </w:rPr>
      </w:pPr>
    </w:p>
    <w:p>
      <w:pPr>
        <w:pStyle w:val="BodyText"/>
        <w:spacing w:line="446" w:lineRule="auto"/>
        <w:ind w:left="418" w:right="1608" w:firstLine="419"/>
        <w:jc w:val="both"/>
      </w:pPr>
      <w:r>
        <w:rPr/>
        <w:t>呼救器处于自动工作状态时，应具有预报警功能。当静止时间超过允许静止时间时，应发出快速的断续预报警声响信号。在预报警期间，呼救器工作方位发生变化或呼救器作速率不小于 5m/s 的平面匀速运动时，预报警声响信号应立即解除。 </w:t>
      </w:r>
    </w:p>
    <w:p>
      <w:pPr>
        <w:pStyle w:val="ListParagraph"/>
        <w:numPr>
          <w:ilvl w:val="2"/>
          <w:numId w:val="111"/>
        </w:numPr>
        <w:tabs>
          <w:tab w:pos="1370" w:val="left" w:leader="none"/>
        </w:tabs>
        <w:spacing w:line="268" w:lineRule="exact" w:before="0" w:after="0"/>
        <w:ind w:left="1369" w:right="0" w:hanging="530"/>
        <w:jc w:val="left"/>
        <w:rPr>
          <w:sz w:val="21"/>
        </w:rPr>
      </w:pPr>
      <w:r>
        <w:rPr>
          <w:spacing w:val="-3"/>
          <w:sz w:val="21"/>
        </w:rPr>
        <w:t>自动报警功能</w:t>
      </w:r>
      <w:r>
        <w:rPr>
          <w:sz w:val="21"/>
        </w:rPr>
        <w:t> </w:t>
      </w:r>
    </w:p>
    <w:p>
      <w:pPr>
        <w:pStyle w:val="BodyText"/>
        <w:spacing w:before="2"/>
        <w:rPr>
          <w:sz w:val="18"/>
        </w:rPr>
      </w:pPr>
    </w:p>
    <w:p>
      <w:pPr>
        <w:pStyle w:val="BodyText"/>
        <w:spacing w:line="446" w:lineRule="auto"/>
        <w:ind w:left="418" w:right="1608" w:firstLine="419"/>
        <w:jc w:val="both"/>
      </w:pPr>
      <w:r>
        <w:rPr/>
        <w:t>呼救器处于自动工作状态时，当静止时间超过允许静止时间和预报警时间之和时，应发出连续报警声响信号和方位指示频闪光信号。在报警期间，报警声响信号和方位指示频闪光信号不受呼救器工作方位变化或运动速率变化的影响，并应只能手动消除。 </w:t>
      </w:r>
    </w:p>
    <w:p>
      <w:pPr>
        <w:pStyle w:val="ListParagraph"/>
        <w:numPr>
          <w:ilvl w:val="2"/>
          <w:numId w:val="111"/>
        </w:numPr>
        <w:tabs>
          <w:tab w:pos="1370" w:val="left" w:leader="none"/>
        </w:tabs>
        <w:spacing w:line="268" w:lineRule="exact" w:before="0" w:after="0"/>
        <w:ind w:left="1369" w:right="0" w:hanging="530"/>
        <w:jc w:val="left"/>
        <w:rPr>
          <w:sz w:val="21"/>
        </w:rPr>
      </w:pPr>
      <w:r>
        <w:rPr>
          <w:spacing w:val="-3"/>
          <w:sz w:val="21"/>
        </w:rPr>
        <w:t>手动报瞥功能</w:t>
      </w:r>
      <w:r>
        <w:rPr>
          <w:sz w:val="21"/>
        </w:rPr>
        <w:t> </w:t>
      </w:r>
    </w:p>
    <w:p>
      <w:pPr>
        <w:spacing w:after="0" w:line="268" w:lineRule="exact"/>
        <w:jc w:val="left"/>
        <w:rPr>
          <w:sz w:val="21"/>
        </w:rPr>
        <w:sectPr>
          <w:pgSz w:w="11910" w:h="16850"/>
          <w:pgMar w:header="0" w:footer="1239" w:top="1220" w:bottom="1420" w:left="1260" w:right="0"/>
        </w:sectPr>
      </w:pPr>
    </w:p>
    <w:p>
      <w:pPr>
        <w:pStyle w:val="BodyText"/>
        <w:spacing w:line="446" w:lineRule="auto" w:before="47"/>
        <w:ind w:left="418" w:right="1505" w:firstLine="419"/>
      </w:pPr>
      <w:r>
        <w:rPr>
          <w:spacing w:val="-3"/>
        </w:rPr>
        <w:t>呼救器处于手动工作状态时，应发出与自动报警功能相同的报警声响信号和方位指示频闪光信号。 在手动报警期间，报警声晌信号和方位指示频闪光信号应不受呼救器工作方位变化或运动速率变化的影响。</w:t>
      </w:r>
      <w:r>
        <w:rPr/>
        <w:t> </w:t>
      </w:r>
    </w:p>
    <w:p>
      <w:pPr>
        <w:pStyle w:val="ListParagraph"/>
        <w:numPr>
          <w:ilvl w:val="2"/>
          <w:numId w:val="111"/>
        </w:numPr>
        <w:tabs>
          <w:tab w:pos="1370" w:val="left" w:leader="none"/>
        </w:tabs>
        <w:spacing w:line="268" w:lineRule="exact" w:before="0" w:after="0"/>
        <w:ind w:left="1369" w:right="0" w:hanging="530"/>
        <w:jc w:val="left"/>
        <w:rPr>
          <w:sz w:val="21"/>
        </w:rPr>
      </w:pPr>
      <w:r>
        <w:rPr>
          <w:spacing w:val="-3"/>
          <w:sz w:val="21"/>
        </w:rPr>
        <w:t>低电压告警功能</w:t>
      </w:r>
      <w:r>
        <w:rPr>
          <w:sz w:val="21"/>
        </w:rPr>
        <w:t> </w:t>
      </w:r>
    </w:p>
    <w:p>
      <w:pPr>
        <w:pStyle w:val="BodyText"/>
        <w:rPr>
          <w:sz w:val="18"/>
        </w:rPr>
      </w:pPr>
    </w:p>
    <w:p>
      <w:pPr>
        <w:pStyle w:val="BodyText"/>
        <w:spacing w:line="446" w:lineRule="auto"/>
        <w:ind w:left="418" w:right="1391" w:firstLine="419"/>
      </w:pPr>
      <w:r>
        <w:rPr/>
        <w:t>当呼救器供电电池的电压低于额定电压的 80%时，应发出区别于预报警声响信号的慢速断续告警声响信号或光信号。 </w:t>
      </w:r>
    </w:p>
    <w:p>
      <w:pPr>
        <w:pStyle w:val="ListParagraph"/>
        <w:numPr>
          <w:ilvl w:val="2"/>
          <w:numId w:val="111"/>
        </w:numPr>
        <w:tabs>
          <w:tab w:pos="1371" w:val="left" w:leader="none"/>
        </w:tabs>
        <w:spacing w:line="240" w:lineRule="auto" w:before="0" w:after="0"/>
        <w:ind w:left="1370" w:right="0" w:hanging="531"/>
        <w:jc w:val="left"/>
        <w:rPr>
          <w:sz w:val="21"/>
        </w:rPr>
      </w:pPr>
      <w:r>
        <w:rPr>
          <w:spacing w:val="-3"/>
          <w:sz w:val="21"/>
        </w:rPr>
        <w:t>通信功能</w:t>
      </w:r>
      <w:r>
        <w:rPr>
          <w:sz w:val="21"/>
        </w:rPr>
        <w:t> </w:t>
      </w:r>
    </w:p>
    <w:p>
      <w:pPr>
        <w:pStyle w:val="BodyText"/>
        <w:rPr>
          <w:sz w:val="18"/>
        </w:rPr>
      </w:pPr>
    </w:p>
    <w:p>
      <w:pPr>
        <w:pStyle w:val="BodyText"/>
        <w:spacing w:line="446" w:lineRule="auto"/>
        <w:ind w:left="418" w:right="1609" w:firstLine="419"/>
      </w:pPr>
      <w:r>
        <w:rPr/>
        <w:t>通信型呼救器处于报警状态时，应发出报瞀声响信号和方位指示频闪光信号。同时，呼救器应能发射信号至接收终端予以识别，并能接收并识别来自接收终端发射的信号， </w:t>
      </w:r>
    </w:p>
    <w:p>
      <w:pPr>
        <w:pStyle w:val="ListParagraph"/>
        <w:numPr>
          <w:ilvl w:val="2"/>
          <w:numId w:val="111"/>
        </w:numPr>
        <w:tabs>
          <w:tab w:pos="1371" w:val="left" w:leader="none"/>
        </w:tabs>
        <w:spacing w:line="240" w:lineRule="auto" w:before="0" w:after="0"/>
        <w:ind w:left="1370" w:right="0" w:hanging="531"/>
        <w:jc w:val="left"/>
        <w:rPr>
          <w:sz w:val="21"/>
        </w:rPr>
      </w:pPr>
      <w:r>
        <w:rPr>
          <w:spacing w:val="-3"/>
          <w:sz w:val="21"/>
        </w:rPr>
        <w:t>转换开关</w:t>
      </w:r>
      <w:r>
        <w:rPr>
          <w:sz w:val="21"/>
        </w:rPr>
        <w:t> </w:t>
      </w:r>
    </w:p>
    <w:p>
      <w:pPr>
        <w:pStyle w:val="BodyText"/>
        <w:spacing w:before="12"/>
        <w:rPr>
          <w:sz w:val="17"/>
        </w:rPr>
      </w:pPr>
    </w:p>
    <w:p>
      <w:pPr>
        <w:pStyle w:val="BodyText"/>
        <w:spacing w:line="446" w:lineRule="auto"/>
        <w:ind w:left="418" w:right="1609" w:firstLine="419"/>
      </w:pPr>
      <w:r>
        <w:rPr/>
        <w:t>呼救器应设置“关一手动一自动”转换开关。转换开关应灵活可靠、坚固耐用，并有防误动作结构。  </w:t>
      </w:r>
      <w:r>
        <w:rPr>
          <w:w w:val="100"/>
        </w:rPr>
        <w:t> </w:t>
      </w:r>
    </w:p>
    <w:p>
      <w:pPr>
        <w:pStyle w:val="ListParagraph"/>
        <w:numPr>
          <w:ilvl w:val="1"/>
          <w:numId w:val="111"/>
        </w:numPr>
        <w:tabs>
          <w:tab w:pos="1159" w:val="left" w:leader="none"/>
        </w:tabs>
        <w:spacing w:line="240" w:lineRule="auto" w:before="0" w:after="0"/>
        <w:ind w:left="1158" w:right="0" w:hanging="319"/>
        <w:jc w:val="left"/>
        <w:rPr>
          <w:sz w:val="21"/>
        </w:rPr>
      </w:pPr>
      <w:r>
        <w:rPr>
          <w:spacing w:val="-3"/>
          <w:sz w:val="21"/>
        </w:rPr>
        <w:t>性能要求</w:t>
      </w:r>
      <w:r>
        <w:rPr>
          <w:sz w:val="21"/>
        </w:rPr>
        <w:t> </w:t>
      </w:r>
    </w:p>
    <w:p>
      <w:pPr>
        <w:pStyle w:val="BodyText"/>
        <w:rPr>
          <w:sz w:val="18"/>
        </w:rPr>
      </w:pPr>
    </w:p>
    <w:p>
      <w:pPr>
        <w:pStyle w:val="ListParagraph"/>
        <w:numPr>
          <w:ilvl w:val="2"/>
          <w:numId w:val="111"/>
        </w:numPr>
        <w:tabs>
          <w:tab w:pos="1371" w:val="left" w:leader="none"/>
        </w:tabs>
        <w:spacing w:line="240" w:lineRule="auto" w:before="0" w:after="0"/>
        <w:ind w:left="1370" w:right="0" w:hanging="531"/>
        <w:jc w:val="left"/>
        <w:rPr>
          <w:sz w:val="21"/>
        </w:rPr>
      </w:pPr>
      <w:r>
        <w:rPr>
          <w:spacing w:val="-3"/>
          <w:sz w:val="21"/>
        </w:rPr>
        <w:t>允许静止时间</w:t>
      </w:r>
      <w:r>
        <w:rPr>
          <w:sz w:val="21"/>
        </w:rPr>
        <w:t> </w:t>
      </w:r>
    </w:p>
    <w:p>
      <w:pPr>
        <w:pStyle w:val="BodyText"/>
        <w:spacing w:before="12"/>
        <w:rPr>
          <w:sz w:val="17"/>
        </w:rPr>
      </w:pPr>
    </w:p>
    <w:p>
      <w:pPr>
        <w:pStyle w:val="BodyText"/>
        <w:spacing w:line="446" w:lineRule="auto"/>
        <w:ind w:left="840" w:right="6393" w:hanging="3"/>
      </w:pPr>
      <w:r>
        <w:rPr/>
        <w:t>呼救器允许静止时间应为 30s±2s。</w:t>
      </w:r>
      <w:r>
        <w:rPr>
          <w:b/>
        </w:rPr>
        <w:t>5.3.2 </w:t>
      </w:r>
      <w:r>
        <w:rPr/>
        <w:t>预报瞥时间 </w:t>
      </w:r>
    </w:p>
    <w:p>
      <w:pPr>
        <w:pStyle w:val="BodyText"/>
        <w:spacing w:line="446" w:lineRule="auto"/>
        <w:ind w:left="840" w:right="6435" w:hanging="3"/>
      </w:pPr>
      <w:r>
        <w:rPr/>
        <w:t>呼救器预报警时间应为 15s 土 2s。</w:t>
      </w:r>
      <w:r>
        <w:rPr>
          <w:b/>
        </w:rPr>
        <w:t>5.3.3 </w:t>
      </w:r>
      <w:r>
        <w:rPr/>
        <w:t>预报瞥声级强度 </w:t>
      </w:r>
    </w:p>
    <w:p>
      <w:pPr>
        <w:pStyle w:val="BodyText"/>
        <w:spacing w:line="446" w:lineRule="auto"/>
        <w:ind w:left="840" w:right="6076" w:hanging="3"/>
      </w:pPr>
      <w:r>
        <w:rPr/>
        <w:t>呼救器预报警声级强度应不小于 80dB。</w:t>
      </w:r>
      <w:r>
        <w:rPr>
          <w:b/>
        </w:rPr>
        <w:t>5.3.4 </w:t>
      </w:r>
      <w:r>
        <w:rPr/>
        <w:t>报警声级强度 </w:t>
      </w:r>
    </w:p>
    <w:p>
      <w:pPr>
        <w:pStyle w:val="BodyText"/>
        <w:spacing w:line="446" w:lineRule="auto"/>
        <w:ind w:left="840" w:right="6181" w:hanging="3"/>
      </w:pPr>
      <w:r>
        <w:rPr/>
        <w:t>呼救器报警声级强度应不小于 100dB。</w:t>
      </w:r>
      <w:r>
        <w:rPr>
          <w:b/>
        </w:rPr>
        <w:t>5.3.5 </w:t>
      </w:r>
      <w:r>
        <w:rPr/>
        <w:t>低电压吿警声级强度 </w:t>
      </w:r>
    </w:p>
    <w:p>
      <w:pPr>
        <w:pStyle w:val="BodyText"/>
        <w:spacing w:line="446" w:lineRule="auto"/>
        <w:ind w:left="840" w:right="5656" w:hanging="3"/>
      </w:pPr>
      <w:r>
        <w:rPr/>
        <w:t>呼救器低电压告警声级强度应不小于 65dB。</w:t>
      </w:r>
      <w:r>
        <w:rPr>
          <w:b/>
        </w:rPr>
        <w:t>5.3.6 </w:t>
      </w:r>
      <w:r>
        <w:rPr/>
        <w:t>连续工作时间 </w:t>
      </w:r>
    </w:p>
    <w:p>
      <w:pPr>
        <w:pStyle w:val="BodyText"/>
        <w:spacing w:line="446" w:lineRule="auto"/>
        <w:ind w:left="838" w:right="6076"/>
      </w:pPr>
      <w:r>
        <w:rPr/>
        <w:t>呼救器连续工作时间应符合以下要求： a) 连续开机时间不小于 24h； </w:t>
      </w:r>
    </w:p>
    <w:p>
      <w:pPr>
        <w:spacing w:line="446" w:lineRule="auto" w:before="0"/>
        <w:ind w:left="840" w:right="6498" w:hanging="3"/>
        <w:jc w:val="left"/>
        <w:rPr>
          <w:sz w:val="21"/>
        </w:rPr>
      </w:pPr>
      <w:r>
        <w:rPr>
          <w:sz w:val="21"/>
        </w:rPr>
        <w:t>b) 连续报警时间不小于 240min。</w:t>
      </w:r>
      <w:r>
        <w:rPr>
          <w:b/>
          <w:sz w:val="21"/>
        </w:rPr>
        <w:t>5.3.7 </w:t>
      </w:r>
      <w:r>
        <w:rPr>
          <w:sz w:val="21"/>
        </w:rPr>
        <w:t>质量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840" w:right="5973" w:hanging="3"/>
      </w:pPr>
      <w:r>
        <w:rPr/>
        <w:t>呼救器质量应不大于 300g(包括电池）。</w:t>
      </w:r>
      <w:r>
        <w:rPr>
          <w:b/>
        </w:rPr>
        <w:t>5.3.8 </w:t>
      </w:r>
      <w:r>
        <w:rPr/>
        <w:t>外观 </w:t>
      </w:r>
    </w:p>
    <w:p>
      <w:pPr>
        <w:pStyle w:val="BodyText"/>
        <w:spacing w:line="446" w:lineRule="auto"/>
        <w:ind w:left="840" w:right="3606" w:hanging="3"/>
      </w:pPr>
      <w:r>
        <w:rPr/>
        <w:t>呼救器结构应完整，表面不应有明盘的斑点、气泡、裂纹和伤痕。</w:t>
      </w:r>
      <w:r>
        <w:rPr>
          <w:b/>
        </w:rPr>
        <w:t>5.3.9 </w:t>
      </w:r>
      <w:r>
        <w:rPr/>
        <w:t>防爆性能 </w:t>
      </w:r>
    </w:p>
    <w:p>
      <w:pPr>
        <w:pStyle w:val="BodyText"/>
        <w:spacing w:line="446" w:lineRule="auto"/>
        <w:ind w:left="840" w:right="5500" w:hanging="3"/>
      </w:pPr>
      <w:r>
        <w:rPr/>
        <w:t>呼救器的防爆性能应符合 GB 3836.1 的规定。</w:t>
      </w:r>
      <w:r>
        <w:rPr>
          <w:b/>
        </w:rPr>
        <w:t>5.3.10 </w:t>
      </w:r>
      <w:r>
        <w:rPr/>
        <w:t>绝缘性能 </w:t>
      </w:r>
    </w:p>
    <w:p>
      <w:pPr>
        <w:pStyle w:val="BodyText"/>
        <w:ind w:left="838"/>
      </w:pPr>
      <w:r>
        <w:rPr/>
        <w:t>呼救器绝缘性能应符合以下要求： </w:t>
      </w:r>
    </w:p>
    <w:p>
      <w:pPr>
        <w:pStyle w:val="BodyText"/>
        <w:spacing w:before="11"/>
        <w:rPr>
          <w:sz w:val="17"/>
        </w:rPr>
      </w:pPr>
    </w:p>
    <w:p>
      <w:pPr>
        <w:pStyle w:val="BodyText"/>
        <w:spacing w:line="446" w:lineRule="auto"/>
        <w:ind w:left="838" w:right="3078"/>
      </w:pPr>
      <w:r>
        <w:rPr/>
        <w:t>a)</w:t>
      </w:r>
      <w:r>
        <w:rPr>
          <w:spacing w:val="-5"/>
        </w:rPr>
        <w:t>  正负电极与外壳间绝缘电阻在正常使用环境条件下应不低于 </w:t>
      </w:r>
      <w:r>
        <w:rPr/>
        <w:t>50M</w:t>
      </w:r>
      <w:r>
        <w:rPr>
          <w:rFonts w:ascii="Times New Roman" w:hAnsi="Times New Roman" w:eastAsia="Times New Roman"/>
        </w:rPr>
        <w:t>Ω</w:t>
      </w:r>
      <w:r>
        <w:rPr>
          <w:spacing w:val="-3"/>
        </w:rPr>
        <w:t>。</w:t>
      </w:r>
      <w:r>
        <w:rPr/>
        <w:t>b)</w:t>
      </w:r>
      <w:r>
        <w:rPr>
          <w:spacing w:val="-5"/>
        </w:rPr>
        <w:t> 正负电极与外壳间绝缘电阻在湿热试验后应不低于 </w:t>
      </w:r>
      <w:r>
        <w:rPr/>
        <w:t>10M</w:t>
      </w:r>
      <w:r>
        <w:rPr>
          <w:rFonts w:ascii="Times New Roman" w:hAnsi="Times New Roman" w:eastAsia="Times New Roman"/>
        </w:rPr>
        <w:t>Ω</w:t>
      </w:r>
      <w:r>
        <w:rPr>
          <w:spacing w:val="-3"/>
        </w:rPr>
        <w:t>。</w:t>
      </w:r>
      <w:r>
        <w:rPr/>
        <w:t> </w:t>
      </w:r>
    </w:p>
    <w:p>
      <w:pPr>
        <w:spacing w:before="0"/>
        <w:ind w:left="840" w:right="0" w:firstLine="0"/>
        <w:jc w:val="left"/>
        <w:rPr>
          <w:sz w:val="21"/>
        </w:rPr>
      </w:pPr>
      <w:r>
        <w:rPr>
          <w:b/>
          <w:sz w:val="21"/>
        </w:rPr>
        <w:t>5.3.11 </w:t>
      </w:r>
      <w:r>
        <w:rPr>
          <w:sz w:val="21"/>
        </w:rPr>
        <w:t>防水性能 </w:t>
      </w:r>
    </w:p>
    <w:p>
      <w:pPr>
        <w:pStyle w:val="BodyText"/>
        <w:spacing w:before="12"/>
        <w:rPr>
          <w:sz w:val="17"/>
        </w:rPr>
      </w:pPr>
    </w:p>
    <w:p>
      <w:pPr>
        <w:pStyle w:val="BodyText"/>
        <w:spacing w:line="446" w:lineRule="auto"/>
        <w:ind w:left="840" w:right="1919" w:hanging="3"/>
      </w:pPr>
      <w:r>
        <w:rPr/>
        <w:t>呼救器置于水深为 1.5m 的容器内 2h，应无水渗入呼救器内，呼救器应能正常工作。</w:t>
      </w:r>
      <w:r>
        <w:rPr>
          <w:b/>
        </w:rPr>
        <w:t>5.3.12 </w:t>
      </w:r>
      <w:r>
        <w:rPr/>
        <w:t>耐气候环境性能 </w:t>
      </w:r>
    </w:p>
    <w:p>
      <w:pPr>
        <w:pStyle w:val="BodyText"/>
        <w:spacing w:line="446" w:lineRule="auto"/>
        <w:ind w:left="418" w:right="1505" w:firstLine="419"/>
      </w:pPr>
      <w:r>
        <w:rPr>
          <w:spacing w:val="-9"/>
        </w:rPr>
        <w:t>呼救器应经受表 </w:t>
      </w:r>
      <w:r>
        <w:rPr/>
        <w:t>1</w:t>
      </w:r>
      <w:r>
        <w:rPr>
          <w:spacing w:val="-10"/>
        </w:rPr>
        <w:t> 规定的各项气候环境试验，每项试验后应符合 </w:t>
      </w:r>
      <w:r>
        <w:rPr/>
        <w:t>5.3.1～5.3.4</w:t>
      </w:r>
      <w:r>
        <w:rPr>
          <w:spacing w:val="-10"/>
        </w:rPr>
        <w:t> 的要求，交变湿热后，还应满足 </w:t>
      </w:r>
      <w:r>
        <w:rPr/>
        <w:t>5.3.10b)</w:t>
      </w:r>
      <w:r>
        <w:rPr>
          <w:spacing w:val="-3"/>
        </w:rPr>
        <w:t>的要求。</w:t>
      </w:r>
      <w:r>
        <w:rPr/>
        <w:t> </w:t>
      </w:r>
    </w:p>
    <w:p>
      <w:pPr>
        <w:pStyle w:val="BodyText"/>
        <w:spacing w:before="1"/>
        <w:rPr>
          <w:sz w:val="22"/>
        </w:rPr>
      </w:pPr>
      <w:r>
        <w:rPr/>
        <w:drawing>
          <wp:anchor distT="0" distB="0" distL="0" distR="0" allowOverlap="1" layoutInCell="1" locked="0" behindDoc="0" simplePos="0" relativeHeight="28">
            <wp:simplePos x="0" y="0"/>
            <wp:positionH relativeFrom="page">
              <wp:posOffset>1236980</wp:posOffset>
            </wp:positionH>
            <wp:positionV relativeFrom="paragraph">
              <wp:posOffset>204454</wp:posOffset>
            </wp:positionV>
            <wp:extent cx="5217072" cy="2475738"/>
            <wp:effectExtent l="0" t="0" r="0" b="0"/>
            <wp:wrapTopAndBottom/>
            <wp:docPr id="69" name="image52.jpeg"/>
            <wp:cNvGraphicFramePr>
              <a:graphicFrameLocks noChangeAspect="1"/>
            </wp:cNvGraphicFramePr>
            <a:graphic>
              <a:graphicData uri="http://schemas.openxmlformats.org/drawingml/2006/picture">
                <pic:pic>
                  <pic:nvPicPr>
                    <pic:cNvPr id="70" name="image52.jpeg"/>
                    <pic:cNvPicPr/>
                  </pic:nvPicPr>
                  <pic:blipFill>
                    <a:blip r:embed="rId58" cstate="print"/>
                    <a:stretch>
                      <a:fillRect/>
                    </a:stretch>
                  </pic:blipFill>
                  <pic:spPr>
                    <a:xfrm>
                      <a:off x="0" y="0"/>
                      <a:ext cx="5217072" cy="2475738"/>
                    </a:xfrm>
                    <a:prstGeom prst="rect">
                      <a:avLst/>
                    </a:prstGeom>
                  </pic:spPr>
                </pic:pic>
              </a:graphicData>
            </a:graphic>
          </wp:anchor>
        </w:drawing>
      </w:r>
    </w:p>
    <w:p>
      <w:pPr>
        <w:pStyle w:val="BodyText"/>
        <w:rPr>
          <w:sz w:val="20"/>
        </w:rPr>
      </w:pPr>
    </w:p>
    <w:p>
      <w:pPr>
        <w:pStyle w:val="BodyText"/>
        <w:spacing w:before="7"/>
        <w:rPr>
          <w:sz w:val="27"/>
        </w:rPr>
      </w:pPr>
    </w:p>
    <w:p>
      <w:pPr>
        <w:pStyle w:val="ListParagraph"/>
        <w:numPr>
          <w:ilvl w:val="2"/>
          <w:numId w:val="112"/>
        </w:numPr>
        <w:tabs>
          <w:tab w:pos="1478" w:val="left" w:leader="none"/>
        </w:tabs>
        <w:spacing w:line="240" w:lineRule="auto" w:before="72" w:after="0"/>
        <w:ind w:left="1477" w:right="0" w:hanging="638"/>
        <w:jc w:val="left"/>
        <w:rPr>
          <w:sz w:val="21"/>
        </w:rPr>
      </w:pPr>
      <w:r>
        <w:rPr>
          <w:spacing w:val="-3"/>
          <w:sz w:val="21"/>
        </w:rPr>
        <w:t>耐机械环境性能</w:t>
      </w:r>
      <w:r>
        <w:rPr>
          <w:sz w:val="21"/>
        </w:rPr>
        <w:t> </w:t>
      </w:r>
    </w:p>
    <w:p>
      <w:pPr>
        <w:pStyle w:val="BodyText"/>
        <w:spacing w:before="12"/>
        <w:rPr>
          <w:sz w:val="17"/>
        </w:rPr>
      </w:pPr>
    </w:p>
    <w:p>
      <w:pPr>
        <w:pStyle w:val="BodyText"/>
        <w:spacing w:line="446" w:lineRule="auto"/>
        <w:ind w:left="838" w:right="3397"/>
      </w:pPr>
      <w:r>
        <w:rPr>
          <w:spacing w:val="-9"/>
        </w:rPr>
        <w:t>呼救器应经受表 </w:t>
      </w:r>
      <w:r>
        <w:rPr/>
        <w:t>2</w:t>
      </w:r>
      <w:r>
        <w:rPr>
          <w:spacing w:val="-8"/>
        </w:rPr>
        <w:t> 规定的各项机械环境试验，试验后应符合以下要求: </w:t>
      </w:r>
      <w:r>
        <w:rPr/>
        <w:t>a)</w:t>
      </w:r>
      <w:r>
        <w:rPr>
          <w:spacing w:val="-3"/>
        </w:rPr>
        <w:t> 不应有机械损伤和紧固部位松动现象；</w:t>
      </w:r>
      <w:r>
        <w:rPr/>
        <w:t> </w:t>
      </w:r>
    </w:p>
    <w:p>
      <w:pPr>
        <w:spacing w:after="0" w:line="446" w:lineRule="auto"/>
        <w:sectPr>
          <w:pgSz w:w="11910" w:h="16850"/>
          <w:pgMar w:header="0" w:footer="1239" w:top="1220" w:bottom="1420" w:left="1260" w:right="0"/>
        </w:sectPr>
      </w:pPr>
    </w:p>
    <w:p>
      <w:pPr>
        <w:pStyle w:val="BodyText"/>
        <w:spacing w:before="20"/>
        <w:ind w:left="838"/>
      </w:pPr>
      <w:r>
        <w:rPr/>
        <w:t>b) 应符合 5.3.1</w:t>
      </w:r>
      <w:r>
        <w:rPr>
          <w:rFonts w:ascii="微软雅黑" w:eastAsia="微软雅黑" w:hint="eastAsia"/>
        </w:rPr>
        <w:t>〜</w:t>
      </w:r>
      <w:r>
        <w:rPr/>
        <w:t>5.3.4 的要求。 </w:t>
      </w:r>
    </w:p>
    <w:p>
      <w:pPr>
        <w:pStyle w:val="BodyText"/>
        <w:spacing w:before="11"/>
        <w:rPr>
          <w:sz w:val="19"/>
        </w:rPr>
      </w:pPr>
      <w:r>
        <w:rPr/>
        <w:drawing>
          <wp:anchor distT="0" distB="0" distL="0" distR="0" allowOverlap="1" layoutInCell="1" locked="0" behindDoc="0" simplePos="0" relativeHeight="29">
            <wp:simplePos x="0" y="0"/>
            <wp:positionH relativeFrom="page">
              <wp:posOffset>1236980</wp:posOffset>
            </wp:positionH>
            <wp:positionV relativeFrom="paragraph">
              <wp:posOffset>186763</wp:posOffset>
            </wp:positionV>
            <wp:extent cx="4949533" cy="2910363"/>
            <wp:effectExtent l="0" t="0" r="0" b="0"/>
            <wp:wrapTopAndBottom/>
            <wp:docPr id="71" name="image53.jpeg"/>
            <wp:cNvGraphicFramePr>
              <a:graphicFrameLocks noChangeAspect="1"/>
            </wp:cNvGraphicFramePr>
            <a:graphic>
              <a:graphicData uri="http://schemas.openxmlformats.org/drawingml/2006/picture">
                <pic:pic>
                  <pic:nvPicPr>
                    <pic:cNvPr id="72" name="image53.jpeg"/>
                    <pic:cNvPicPr/>
                  </pic:nvPicPr>
                  <pic:blipFill>
                    <a:blip r:embed="rId59" cstate="print"/>
                    <a:stretch>
                      <a:fillRect/>
                    </a:stretch>
                  </pic:blipFill>
                  <pic:spPr>
                    <a:xfrm>
                      <a:off x="0" y="0"/>
                      <a:ext cx="4949533" cy="2910363"/>
                    </a:xfrm>
                    <a:prstGeom prst="rect">
                      <a:avLst/>
                    </a:prstGeom>
                  </pic:spPr>
                </pic:pic>
              </a:graphicData>
            </a:graphic>
          </wp:anchor>
        </w:drawing>
      </w:r>
    </w:p>
    <w:p>
      <w:pPr>
        <w:pStyle w:val="ListParagraph"/>
        <w:numPr>
          <w:ilvl w:val="2"/>
          <w:numId w:val="112"/>
        </w:numPr>
        <w:tabs>
          <w:tab w:pos="1478" w:val="left" w:leader="none"/>
        </w:tabs>
        <w:spacing w:line="240" w:lineRule="auto" w:before="139" w:after="0"/>
        <w:ind w:left="1477" w:right="0" w:hanging="638"/>
        <w:jc w:val="left"/>
        <w:rPr>
          <w:sz w:val="21"/>
        </w:rPr>
      </w:pPr>
      <w:r>
        <w:rPr>
          <w:spacing w:val="-3"/>
          <w:sz w:val="21"/>
        </w:rPr>
        <w:t>发射频率</w:t>
      </w:r>
      <w:r>
        <w:rPr>
          <w:sz w:val="21"/>
        </w:rPr>
        <w:t> </w:t>
      </w:r>
    </w:p>
    <w:p>
      <w:pPr>
        <w:pStyle w:val="BodyText"/>
        <w:spacing w:before="2"/>
        <w:rPr>
          <w:sz w:val="18"/>
        </w:rPr>
      </w:pPr>
    </w:p>
    <w:p>
      <w:pPr>
        <w:pStyle w:val="BodyText"/>
        <w:spacing w:line="446" w:lineRule="auto"/>
        <w:ind w:left="418" w:right="1609" w:firstLine="419"/>
      </w:pPr>
      <w:r>
        <w:rPr/>
        <w:t>通信型呼救器发射频率应符合国家无线电管理委员会指定的工作频段或频点及相关要求。发射频率误差不应大于±25kHz。 </w:t>
      </w:r>
    </w:p>
    <w:p>
      <w:pPr>
        <w:pStyle w:val="ListParagraph"/>
        <w:numPr>
          <w:ilvl w:val="2"/>
          <w:numId w:val="112"/>
        </w:numPr>
        <w:tabs>
          <w:tab w:pos="1478" w:val="left" w:leader="none"/>
        </w:tabs>
        <w:spacing w:line="267" w:lineRule="exact" w:before="0" w:after="0"/>
        <w:ind w:left="1477" w:right="0" w:hanging="638"/>
        <w:jc w:val="left"/>
        <w:rPr>
          <w:sz w:val="21"/>
        </w:rPr>
      </w:pPr>
      <w:r>
        <w:rPr>
          <w:spacing w:val="-3"/>
          <w:sz w:val="21"/>
        </w:rPr>
        <w:t>频率稳定度 </w:t>
      </w:r>
    </w:p>
    <w:p>
      <w:pPr>
        <w:pStyle w:val="BodyText"/>
        <w:spacing w:before="4"/>
        <w:rPr>
          <w:sz w:val="17"/>
        </w:rPr>
      </w:pPr>
    </w:p>
    <w:p>
      <w:pPr>
        <w:spacing w:line="446" w:lineRule="auto" w:before="0"/>
        <w:ind w:left="840" w:right="5331" w:hanging="3"/>
        <w:jc w:val="left"/>
        <w:rPr>
          <w:sz w:val="21"/>
        </w:rPr>
      </w:pPr>
      <w:r>
        <w:rPr>
          <w:sz w:val="21"/>
        </w:rPr>
        <w:t>通信型呼救器频率稳定度应不大于士 2.5×10</w:t>
      </w:r>
      <w:r>
        <w:rPr>
          <w:position w:val="11"/>
          <w:sz w:val="11"/>
        </w:rPr>
        <w:t>-6。</w:t>
      </w:r>
      <w:r>
        <w:rPr>
          <w:b/>
          <w:sz w:val="21"/>
        </w:rPr>
        <w:t>5.3.16 </w:t>
      </w:r>
      <w:r>
        <w:rPr>
          <w:sz w:val="21"/>
        </w:rPr>
        <w:t>接收灵敏度 </w:t>
      </w:r>
    </w:p>
    <w:p>
      <w:pPr>
        <w:pStyle w:val="BodyText"/>
        <w:spacing w:line="446" w:lineRule="auto"/>
        <w:ind w:left="840" w:right="4131" w:hanging="3"/>
      </w:pPr>
      <w:r>
        <w:rPr>
          <w:spacing w:val="-6"/>
        </w:rPr>
        <w:t>通信型呼救器接收灵敏度应不大于 </w:t>
      </w:r>
      <w:r>
        <w:rPr/>
        <w:t>0.5µV</w:t>
      </w:r>
      <w:r>
        <w:rPr>
          <w:spacing w:val="-8"/>
        </w:rPr>
        <w:t> (信噪比为 </w:t>
      </w:r>
      <w:r>
        <w:rPr/>
        <w:t>12dB</w:t>
      </w:r>
      <w:r>
        <w:rPr>
          <w:spacing w:val="-2"/>
        </w:rPr>
        <w:t>)。</w:t>
      </w:r>
      <w:r>
        <w:rPr>
          <w:b/>
        </w:rPr>
        <w:t>5.3.17</w:t>
      </w:r>
      <w:r>
        <w:rPr>
          <w:b/>
          <w:spacing w:val="-1"/>
        </w:rPr>
        <w:t> </w:t>
      </w:r>
      <w:r>
        <w:rPr>
          <w:spacing w:val="-3"/>
        </w:rPr>
        <w:t>通信距离</w:t>
      </w:r>
      <w:r>
        <w:rPr/>
        <w:t> </w:t>
      </w:r>
    </w:p>
    <w:p>
      <w:pPr>
        <w:pStyle w:val="BodyText"/>
        <w:spacing w:line="446" w:lineRule="auto"/>
        <w:ind w:left="840" w:right="4501" w:hanging="3"/>
      </w:pPr>
      <w:r>
        <w:rPr>
          <w:spacing w:val="-5"/>
        </w:rPr>
        <w:t>通信型呼救器有效通信距离(空旷地带)应不小于 </w:t>
      </w:r>
      <w:r>
        <w:rPr/>
        <w:t>800</w:t>
      </w:r>
      <w:r>
        <w:rPr>
          <w:spacing w:val="9"/>
        </w:rPr>
        <w:t> </w:t>
      </w:r>
      <w:r>
        <w:rPr/>
        <w:t>m</w:t>
      </w:r>
      <w:r>
        <w:rPr>
          <w:spacing w:val="-3"/>
        </w:rPr>
        <w:t>。</w:t>
      </w:r>
      <w:r>
        <w:rPr>
          <w:b/>
        </w:rPr>
        <w:t>5.3.18</w:t>
      </w:r>
      <w:r>
        <w:rPr>
          <w:b/>
          <w:spacing w:val="-1"/>
        </w:rPr>
        <w:t> </w:t>
      </w:r>
      <w:r>
        <w:rPr>
          <w:spacing w:val="-3"/>
        </w:rPr>
        <w:t>发光亮度</w:t>
      </w:r>
      <w:r>
        <w:rPr/>
        <w:t> </w:t>
      </w:r>
    </w:p>
    <w:p>
      <w:pPr>
        <w:pStyle w:val="BodyText"/>
        <w:spacing w:line="446" w:lineRule="auto"/>
        <w:ind w:left="840" w:right="6076" w:hanging="3"/>
      </w:pPr>
      <w:r>
        <w:rPr/>
        <w:t>呼救器的发光亮度应不小于 300cd/m²。</w:t>
      </w:r>
      <w:r>
        <w:rPr>
          <w:b/>
        </w:rPr>
        <w:t>5.3.19 </w:t>
      </w:r>
      <w:r>
        <w:rPr/>
        <w:t>模拟烟雾环境方位指示性能 </w:t>
      </w:r>
    </w:p>
    <w:p>
      <w:pPr>
        <w:pStyle w:val="BodyText"/>
        <w:spacing w:line="267" w:lineRule="exact"/>
        <w:ind w:left="838"/>
      </w:pPr>
      <w:r>
        <w:rPr/>
        <w:t>在浓烟环境中，应可指示呼救器方位。 </w:t>
      </w:r>
    </w:p>
    <w:p>
      <w:pPr>
        <w:pStyle w:val="BodyText"/>
        <w:spacing w:before="9"/>
        <w:rPr>
          <w:sz w:val="15"/>
        </w:rPr>
      </w:pPr>
    </w:p>
    <w:p>
      <w:pPr>
        <w:pStyle w:val="Heading4"/>
      </w:pPr>
      <w:r>
        <w:rPr/>
        <w:t>6 试验方法</w:t>
      </w:r>
      <w:r>
        <w:rPr>
          <w:w w:val="99"/>
        </w:rPr>
        <w:t> </w:t>
      </w:r>
    </w:p>
    <w:p>
      <w:pPr>
        <w:pStyle w:val="BodyText"/>
        <w:spacing w:before="3"/>
        <w:rPr>
          <w:b/>
          <w:sz w:val="17"/>
        </w:rPr>
      </w:pPr>
    </w:p>
    <w:p>
      <w:pPr>
        <w:spacing w:before="1"/>
        <w:ind w:left="840" w:right="0" w:firstLine="0"/>
        <w:jc w:val="left"/>
        <w:rPr>
          <w:b/>
          <w:sz w:val="21"/>
        </w:rPr>
      </w:pPr>
      <w:r>
        <w:rPr>
          <w:b/>
          <w:sz w:val="21"/>
        </w:rPr>
        <w:t>6.1 </w:t>
      </w:r>
      <w:r>
        <w:rPr>
          <w:sz w:val="21"/>
        </w:rPr>
        <w:t>试验环境条件</w:t>
      </w:r>
      <w:r>
        <w:rPr>
          <w:b/>
          <w:w w:val="99"/>
          <w:sz w:val="21"/>
        </w:rPr>
        <w:t> </w:t>
      </w:r>
    </w:p>
    <w:p>
      <w:pPr>
        <w:pStyle w:val="BodyText"/>
        <w:spacing w:before="12"/>
        <w:rPr>
          <w:b/>
          <w:sz w:val="17"/>
        </w:rPr>
      </w:pPr>
    </w:p>
    <w:p>
      <w:pPr>
        <w:pStyle w:val="BodyText"/>
        <w:spacing w:line="446" w:lineRule="auto"/>
        <w:ind w:left="838" w:right="3078"/>
      </w:pPr>
      <w:r>
        <w:rPr/>
        <w:t>若在有关条文中没有说明时，各项试验均应在下述正常大气条件下进行: a) 温度为 15℃~35℃； </w:t>
      </w:r>
    </w:p>
    <w:p>
      <w:pPr>
        <w:spacing w:after="0" w:line="446" w:lineRule="auto"/>
        <w:sectPr>
          <w:pgSz w:w="11910" w:h="16850"/>
          <w:pgMar w:header="0" w:footer="1239" w:top="1180" w:bottom="1420" w:left="1260" w:right="0"/>
        </w:sectPr>
      </w:pPr>
    </w:p>
    <w:p>
      <w:pPr>
        <w:pStyle w:val="BodyText"/>
        <w:spacing w:before="20"/>
        <w:ind w:left="838"/>
      </w:pPr>
      <w:r>
        <w:rPr/>
        <w:t>b) 相对湿度为 45%</w:t>
      </w:r>
      <w:r>
        <w:rPr>
          <w:rFonts w:ascii="微软雅黑" w:eastAsia="微软雅黑" w:hint="eastAsia"/>
        </w:rPr>
        <w:t>〜</w:t>
      </w:r>
      <w:r>
        <w:rPr/>
        <w:t>75%； </w:t>
      </w:r>
    </w:p>
    <w:p>
      <w:pPr>
        <w:pStyle w:val="BodyText"/>
        <w:spacing w:line="446" w:lineRule="auto" w:before="180"/>
        <w:ind w:left="840" w:right="6707" w:hanging="3"/>
        <w:rPr>
          <w:b/>
        </w:rPr>
      </w:pPr>
      <w:r>
        <w:rPr/>
        <w:t>c) 大气压力为 86kPa~106kPa。</w:t>
      </w:r>
      <w:r>
        <w:rPr>
          <w:b/>
        </w:rPr>
        <w:t>6.2 </w:t>
      </w:r>
      <w:r>
        <w:rPr/>
        <w:t>试验用仪器</w:t>
      </w:r>
      <w:r>
        <w:rPr>
          <w:b/>
          <w:w w:val="99"/>
        </w:rPr>
        <w:t> </w:t>
      </w:r>
    </w:p>
    <w:p>
      <w:pPr>
        <w:pStyle w:val="BodyText"/>
        <w:ind w:left="838"/>
      </w:pPr>
      <w:r>
        <w:rPr/>
        <w:t>试验用仪器包括： </w:t>
      </w:r>
    </w:p>
    <w:p>
      <w:pPr>
        <w:pStyle w:val="BodyText"/>
        <w:spacing w:before="12"/>
        <w:rPr>
          <w:sz w:val="17"/>
        </w:rPr>
      </w:pPr>
    </w:p>
    <w:p>
      <w:pPr>
        <w:pStyle w:val="ListParagraph"/>
        <w:numPr>
          <w:ilvl w:val="0"/>
          <w:numId w:val="113"/>
        </w:numPr>
        <w:tabs>
          <w:tab w:pos="1051" w:val="left" w:leader="none"/>
        </w:tabs>
        <w:spacing w:line="240" w:lineRule="auto" w:before="0" w:after="0"/>
        <w:ind w:left="1050" w:right="0" w:hanging="213"/>
        <w:jc w:val="left"/>
        <w:rPr>
          <w:sz w:val="21"/>
        </w:rPr>
      </w:pPr>
      <w:r>
        <w:rPr>
          <w:spacing w:val="-8"/>
          <w:sz w:val="21"/>
        </w:rPr>
        <w:t>计时秒表:精度不低于 </w:t>
      </w:r>
      <w:r>
        <w:rPr>
          <w:sz w:val="21"/>
        </w:rPr>
        <w:t>0.1s； </w:t>
      </w:r>
    </w:p>
    <w:p>
      <w:pPr>
        <w:pStyle w:val="BodyText"/>
        <w:spacing w:before="12"/>
        <w:rPr>
          <w:sz w:val="17"/>
        </w:rPr>
      </w:pPr>
    </w:p>
    <w:p>
      <w:pPr>
        <w:pStyle w:val="ListParagraph"/>
        <w:numPr>
          <w:ilvl w:val="0"/>
          <w:numId w:val="113"/>
        </w:numPr>
        <w:tabs>
          <w:tab w:pos="1051" w:val="left" w:leader="none"/>
        </w:tabs>
        <w:spacing w:line="240" w:lineRule="auto" w:before="0" w:after="0"/>
        <w:ind w:left="1050" w:right="0" w:hanging="213"/>
        <w:jc w:val="left"/>
        <w:rPr>
          <w:sz w:val="21"/>
        </w:rPr>
      </w:pPr>
      <w:r>
        <w:rPr>
          <w:spacing w:val="-8"/>
          <w:sz w:val="21"/>
        </w:rPr>
        <w:t>声级计:分辨率不低于 </w:t>
      </w:r>
      <w:r>
        <w:rPr>
          <w:sz w:val="21"/>
        </w:rPr>
        <w:t>1dB； </w:t>
      </w:r>
    </w:p>
    <w:p>
      <w:pPr>
        <w:pStyle w:val="BodyText"/>
        <w:spacing w:before="2"/>
        <w:rPr>
          <w:sz w:val="18"/>
        </w:rPr>
      </w:pPr>
    </w:p>
    <w:p>
      <w:pPr>
        <w:pStyle w:val="ListParagraph"/>
        <w:numPr>
          <w:ilvl w:val="0"/>
          <w:numId w:val="113"/>
        </w:numPr>
        <w:tabs>
          <w:tab w:pos="1051" w:val="left" w:leader="none"/>
        </w:tabs>
        <w:spacing w:line="240" w:lineRule="auto" w:before="0" w:after="0"/>
        <w:ind w:left="1050" w:right="0" w:hanging="213"/>
        <w:jc w:val="left"/>
        <w:rPr>
          <w:sz w:val="21"/>
        </w:rPr>
      </w:pPr>
      <w:r>
        <w:rPr>
          <w:spacing w:val="-8"/>
          <w:sz w:val="21"/>
        </w:rPr>
        <w:t>稳压电源:精度不低于 </w:t>
      </w:r>
      <w:r>
        <w:rPr>
          <w:sz w:val="21"/>
        </w:rPr>
        <w:t>1</w:t>
      </w:r>
      <w:r>
        <w:rPr>
          <w:b/>
          <w:sz w:val="21"/>
        </w:rPr>
        <w:t>%</w:t>
      </w:r>
      <w:r>
        <w:rPr>
          <w:sz w:val="21"/>
        </w:rPr>
        <w:t>； </w:t>
      </w:r>
    </w:p>
    <w:p>
      <w:pPr>
        <w:pStyle w:val="BodyText"/>
        <w:rPr>
          <w:sz w:val="18"/>
        </w:rPr>
      </w:pPr>
    </w:p>
    <w:p>
      <w:pPr>
        <w:pStyle w:val="ListParagraph"/>
        <w:numPr>
          <w:ilvl w:val="0"/>
          <w:numId w:val="113"/>
        </w:numPr>
        <w:tabs>
          <w:tab w:pos="1051" w:val="left" w:leader="none"/>
        </w:tabs>
        <w:spacing w:line="240" w:lineRule="auto" w:before="0" w:after="0"/>
        <w:ind w:left="1050" w:right="0" w:hanging="213"/>
        <w:jc w:val="left"/>
        <w:rPr>
          <w:sz w:val="21"/>
        </w:rPr>
      </w:pPr>
      <w:r>
        <w:rPr>
          <w:spacing w:val="-5"/>
          <w:sz w:val="21"/>
        </w:rPr>
        <w:t>摇动装置：可将呼救器固定在上面，能连续摇动一次的时间小于 </w:t>
      </w:r>
      <w:r>
        <w:rPr>
          <w:sz w:val="21"/>
        </w:rPr>
        <w:t>25s； </w:t>
      </w:r>
    </w:p>
    <w:p>
      <w:pPr>
        <w:pStyle w:val="BodyText"/>
        <w:rPr>
          <w:sz w:val="18"/>
        </w:rPr>
      </w:pPr>
    </w:p>
    <w:p>
      <w:pPr>
        <w:pStyle w:val="ListParagraph"/>
        <w:numPr>
          <w:ilvl w:val="0"/>
          <w:numId w:val="113"/>
        </w:numPr>
        <w:tabs>
          <w:tab w:pos="1051" w:val="left" w:leader="none"/>
        </w:tabs>
        <w:spacing w:line="240" w:lineRule="auto" w:before="0" w:after="0"/>
        <w:ind w:left="1050" w:right="0" w:hanging="213"/>
        <w:jc w:val="left"/>
        <w:rPr>
          <w:sz w:val="21"/>
        </w:rPr>
      </w:pPr>
      <w:r>
        <w:rPr>
          <w:spacing w:val="-5"/>
          <w:sz w:val="21"/>
        </w:rPr>
        <w:t>平面运动装置:可将呼救器固定在上面，能进行不小于 </w:t>
      </w:r>
      <w:r>
        <w:rPr>
          <w:sz w:val="21"/>
        </w:rPr>
        <w:t>5m/s</w:t>
      </w:r>
      <w:r>
        <w:rPr>
          <w:spacing w:val="-10"/>
          <w:sz w:val="21"/>
        </w:rPr>
        <w:t> 的匀速运动；</w:t>
      </w:r>
      <w:r>
        <w:rPr>
          <w:sz w:val="21"/>
        </w:rPr>
        <w:t> </w:t>
      </w:r>
    </w:p>
    <w:p>
      <w:pPr>
        <w:pStyle w:val="BodyText"/>
        <w:spacing w:before="2"/>
        <w:rPr>
          <w:sz w:val="18"/>
        </w:rPr>
      </w:pPr>
    </w:p>
    <w:p>
      <w:pPr>
        <w:pStyle w:val="ListParagraph"/>
        <w:numPr>
          <w:ilvl w:val="0"/>
          <w:numId w:val="113"/>
        </w:numPr>
        <w:tabs>
          <w:tab w:pos="1051" w:val="left" w:leader="none"/>
        </w:tabs>
        <w:spacing w:line="240" w:lineRule="auto" w:before="0" w:after="0"/>
        <w:ind w:left="1050" w:right="0" w:hanging="213"/>
        <w:jc w:val="left"/>
        <w:rPr>
          <w:sz w:val="21"/>
        </w:rPr>
      </w:pPr>
      <w:r>
        <w:rPr>
          <w:spacing w:val="-3"/>
          <w:sz w:val="21"/>
        </w:rPr>
        <w:t>全频段无线电电磁波屏蔽房；</w:t>
      </w:r>
      <w:r>
        <w:rPr>
          <w:sz w:val="21"/>
        </w:rPr>
        <w:t> </w:t>
      </w:r>
    </w:p>
    <w:p>
      <w:pPr>
        <w:pStyle w:val="BodyText"/>
        <w:spacing w:before="12"/>
        <w:rPr>
          <w:sz w:val="17"/>
        </w:rPr>
      </w:pPr>
    </w:p>
    <w:p>
      <w:pPr>
        <w:pStyle w:val="ListParagraph"/>
        <w:numPr>
          <w:ilvl w:val="0"/>
          <w:numId w:val="113"/>
        </w:numPr>
        <w:tabs>
          <w:tab w:pos="1051" w:val="left" w:leader="none"/>
        </w:tabs>
        <w:spacing w:line="240" w:lineRule="auto" w:before="0" w:after="0"/>
        <w:ind w:left="1050" w:right="0" w:hanging="213"/>
        <w:jc w:val="left"/>
        <w:rPr>
          <w:sz w:val="21"/>
        </w:rPr>
      </w:pPr>
      <w:r>
        <w:rPr>
          <w:spacing w:val="-3"/>
          <w:sz w:val="21"/>
        </w:rPr>
        <w:t>射频频率测量仪；</w:t>
      </w:r>
      <w:r>
        <w:rPr>
          <w:sz w:val="21"/>
        </w:rPr>
        <w:t> </w:t>
      </w:r>
    </w:p>
    <w:p>
      <w:pPr>
        <w:pStyle w:val="BodyText"/>
        <w:spacing w:before="12"/>
        <w:rPr>
          <w:sz w:val="17"/>
        </w:rPr>
      </w:pPr>
    </w:p>
    <w:p>
      <w:pPr>
        <w:pStyle w:val="ListParagraph"/>
        <w:numPr>
          <w:ilvl w:val="0"/>
          <w:numId w:val="113"/>
        </w:numPr>
        <w:tabs>
          <w:tab w:pos="1051" w:val="left" w:leader="none"/>
        </w:tabs>
        <w:spacing w:line="446" w:lineRule="auto" w:before="0" w:after="0"/>
        <w:ind w:left="838" w:right="7494" w:firstLine="0"/>
        <w:jc w:val="left"/>
        <w:rPr>
          <w:sz w:val="21"/>
        </w:rPr>
      </w:pPr>
      <w:r>
        <w:rPr>
          <w:sz w:val="21"/>
        </w:rPr>
        <w:t>高频信号发生器； i </w:t>
      </w:r>
      <w:r>
        <w:rPr>
          <w:spacing w:val="-3"/>
          <w:sz w:val="21"/>
        </w:rPr>
        <w:t>) 音频信号测量仪；</w:t>
      </w:r>
      <w:r>
        <w:rPr>
          <w:sz w:val="21"/>
        </w:rPr>
        <w:t> </w:t>
      </w:r>
    </w:p>
    <w:p>
      <w:pPr>
        <w:pStyle w:val="BodyText"/>
        <w:spacing w:line="446" w:lineRule="auto" w:before="1"/>
        <w:ind w:left="840" w:right="6813" w:hanging="3"/>
      </w:pPr>
      <w:r>
        <w:rPr/>
        <w:t>j ) 亮度仪：精度不低于 5%。</w:t>
      </w:r>
      <w:r>
        <w:rPr>
          <w:b/>
        </w:rPr>
        <w:t>6.3 </w:t>
      </w:r>
      <w:r>
        <w:rPr/>
        <w:t>报警功能试验 </w:t>
      </w:r>
    </w:p>
    <w:p>
      <w:pPr>
        <w:pStyle w:val="BodyText"/>
        <w:spacing w:line="446" w:lineRule="auto"/>
        <w:ind w:left="840" w:right="3817" w:hanging="3"/>
        <w:rPr>
          <w:b/>
        </w:rPr>
      </w:pPr>
      <w:r>
        <w:rPr/>
        <w:t>使呼救器分别处于自动及手动工作状态，检查呼救器报警功能。</w:t>
      </w:r>
      <w:r>
        <w:rPr>
          <w:b/>
        </w:rPr>
        <w:t>6.4 </w:t>
      </w:r>
      <w:r>
        <w:rPr/>
        <w:t>低电压告警功能试验</w:t>
      </w:r>
      <w:r>
        <w:rPr>
          <w:b/>
          <w:w w:val="99"/>
        </w:rPr>
        <w:t> </w:t>
      </w:r>
    </w:p>
    <w:p>
      <w:pPr>
        <w:pStyle w:val="BodyText"/>
        <w:spacing w:line="446" w:lineRule="auto"/>
        <w:ind w:left="418" w:right="1609" w:firstLine="419"/>
      </w:pPr>
      <w:r>
        <w:rPr/>
        <w:t>将稳压电源接入呼救器供电回路，缓慢调节稳压电源电压值直至低于呼救器电池额定电压的 80%时，检査呼救器低电压告警功能。 </w:t>
      </w:r>
    </w:p>
    <w:p>
      <w:pPr>
        <w:pStyle w:val="ListParagraph"/>
        <w:numPr>
          <w:ilvl w:val="1"/>
          <w:numId w:val="114"/>
        </w:numPr>
        <w:tabs>
          <w:tab w:pos="1159" w:val="left" w:leader="none"/>
        </w:tabs>
        <w:spacing w:line="240" w:lineRule="auto" w:before="0" w:after="0"/>
        <w:ind w:left="1158" w:right="0" w:hanging="319"/>
        <w:jc w:val="left"/>
        <w:rPr>
          <w:b/>
          <w:sz w:val="21"/>
        </w:rPr>
      </w:pPr>
      <w:r>
        <w:rPr>
          <w:spacing w:val="-3"/>
          <w:sz w:val="21"/>
        </w:rPr>
        <w:t>通信功能试验</w:t>
      </w:r>
      <w:r>
        <w:rPr>
          <w:b/>
          <w:w w:val="99"/>
          <w:sz w:val="21"/>
        </w:rPr>
        <w:t> </w:t>
      </w:r>
    </w:p>
    <w:p>
      <w:pPr>
        <w:pStyle w:val="BodyText"/>
        <w:spacing w:before="10"/>
        <w:rPr>
          <w:b/>
          <w:sz w:val="17"/>
        </w:rPr>
      </w:pPr>
    </w:p>
    <w:p>
      <w:pPr>
        <w:pStyle w:val="BodyText"/>
        <w:spacing w:line="446" w:lineRule="auto"/>
        <w:ind w:left="418" w:right="1817" w:firstLine="419"/>
      </w:pPr>
      <w:r>
        <w:rPr/>
        <w:t>使通信型呼救器处于报警状态，检査通信型呼救器发射功能。消除通信型呼救器报警状态，使其处于自动状态，接受终端发射信号，检査通信型呼救器接收功能。 </w:t>
      </w:r>
    </w:p>
    <w:p>
      <w:pPr>
        <w:pStyle w:val="ListParagraph"/>
        <w:numPr>
          <w:ilvl w:val="1"/>
          <w:numId w:val="114"/>
        </w:numPr>
        <w:tabs>
          <w:tab w:pos="1160" w:val="left" w:leader="none"/>
        </w:tabs>
        <w:spacing w:line="240" w:lineRule="auto" w:before="0" w:after="0"/>
        <w:ind w:left="1159" w:right="0" w:hanging="320"/>
        <w:jc w:val="left"/>
        <w:rPr>
          <w:b/>
          <w:sz w:val="21"/>
        </w:rPr>
      </w:pPr>
      <w:r>
        <w:rPr>
          <w:spacing w:val="-3"/>
          <w:sz w:val="21"/>
        </w:rPr>
        <w:t>转换开关检查</w:t>
      </w:r>
      <w:r>
        <w:rPr>
          <w:b/>
          <w:w w:val="99"/>
          <w:sz w:val="21"/>
        </w:rPr>
        <w:t> </w:t>
      </w:r>
    </w:p>
    <w:p>
      <w:pPr>
        <w:pStyle w:val="BodyText"/>
        <w:spacing w:before="12"/>
        <w:rPr>
          <w:b/>
          <w:sz w:val="17"/>
        </w:rPr>
      </w:pPr>
    </w:p>
    <w:p>
      <w:pPr>
        <w:pStyle w:val="BodyText"/>
        <w:spacing w:line="446" w:lineRule="auto"/>
        <w:ind w:left="840" w:right="6129" w:hanging="3"/>
      </w:pPr>
      <w:r>
        <w:rPr/>
        <w:t>检査并操作转换开关，检査转换功能。</w:t>
      </w:r>
      <w:r>
        <w:rPr>
          <w:b/>
        </w:rPr>
        <w:t>6.7 </w:t>
      </w:r>
      <w:r>
        <w:rPr/>
        <w:t>允许静止时间试验 </w:t>
      </w:r>
    </w:p>
    <w:p>
      <w:pPr>
        <w:pStyle w:val="BodyText"/>
        <w:spacing w:line="446" w:lineRule="auto"/>
        <w:ind w:left="418" w:right="1609" w:firstLine="419"/>
      </w:pPr>
      <w:r>
        <w:rPr/>
        <w:t>呼救器处于静止状态，将开关置于“自动”位置，同时启动秒表计时，至开始预报警，停止计时，记录秒表的测量值。 </w:t>
      </w:r>
    </w:p>
    <w:p>
      <w:pPr>
        <w:pStyle w:val="ListParagraph"/>
        <w:numPr>
          <w:ilvl w:val="1"/>
          <w:numId w:val="115"/>
        </w:numPr>
        <w:tabs>
          <w:tab w:pos="1160" w:val="left" w:leader="none"/>
        </w:tabs>
        <w:spacing w:line="240" w:lineRule="auto" w:before="0" w:after="0"/>
        <w:ind w:left="1159" w:right="0" w:hanging="320"/>
        <w:jc w:val="left"/>
        <w:rPr>
          <w:sz w:val="21"/>
        </w:rPr>
      </w:pPr>
      <w:r>
        <w:rPr>
          <w:spacing w:val="-3"/>
          <w:sz w:val="21"/>
        </w:rPr>
        <w:t>预报警时间试验</w:t>
      </w:r>
      <w:r>
        <w:rPr>
          <w:sz w:val="21"/>
        </w:rPr>
        <w:t> </w:t>
      </w:r>
    </w:p>
    <w:p>
      <w:pPr>
        <w:spacing w:after="0" w:line="240" w:lineRule="auto"/>
        <w:jc w:val="left"/>
        <w:rPr>
          <w:sz w:val="21"/>
        </w:rPr>
        <w:sectPr>
          <w:pgSz w:w="11910" w:h="16850"/>
          <w:pgMar w:header="0" w:footer="1239" w:top="1180" w:bottom="1420" w:left="1260" w:right="0"/>
        </w:sectPr>
      </w:pPr>
    </w:p>
    <w:p>
      <w:pPr>
        <w:pStyle w:val="BodyText"/>
        <w:spacing w:line="446" w:lineRule="auto" w:before="47"/>
        <w:ind w:left="418" w:right="1505" w:firstLine="419"/>
      </w:pPr>
      <w:r>
        <w:rPr/>
        <w:t>呼救器处于静止状态，将开关置于“自动"位置，当开始预报瞀时，启动秒表计时，至开始报警，停止计时，记录秒表的测量值。 </w:t>
      </w:r>
    </w:p>
    <w:p>
      <w:pPr>
        <w:pStyle w:val="ListParagraph"/>
        <w:numPr>
          <w:ilvl w:val="1"/>
          <w:numId w:val="115"/>
        </w:numPr>
        <w:tabs>
          <w:tab w:pos="1159" w:val="left" w:leader="none"/>
        </w:tabs>
        <w:spacing w:line="267" w:lineRule="exact" w:before="0" w:after="0"/>
        <w:ind w:left="1158" w:right="0" w:hanging="319"/>
        <w:jc w:val="left"/>
        <w:rPr>
          <w:sz w:val="21"/>
        </w:rPr>
      </w:pPr>
      <w:r>
        <w:rPr>
          <w:spacing w:val="-3"/>
          <w:sz w:val="21"/>
        </w:rPr>
        <w:t>预报警声级强度试验</w:t>
      </w:r>
      <w:r>
        <w:rPr>
          <w:sz w:val="21"/>
        </w:rPr>
        <w:t> </w:t>
      </w:r>
    </w:p>
    <w:p>
      <w:pPr>
        <w:pStyle w:val="BodyText"/>
        <w:spacing w:before="2"/>
        <w:rPr>
          <w:sz w:val="18"/>
        </w:rPr>
      </w:pPr>
    </w:p>
    <w:p>
      <w:pPr>
        <w:pStyle w:val="BodyText"/>
        <w:spacing w:line="446" w:lineRule="auto"/>
        <w:ind w:left="418" w:right="1611" w:firstLine="419"/>
      </w:pPr>
      <w:r>
        <w:rPr>
          <w:spacing w:val="-8"/>
        </w:rPr>
        <w:t>在环境噪声不大于 </w:t>
      </w:r>
      <w:r>
        <w:rPr/>
        <w:t>30dB</w:t>
      </w:r>
      <w:r>
        <w:rPr>
          <w:spacing w:val="-10"/>
        </w:rPr>
        <w:t> 的条件下，使呼救器产生预报警，在距呼救器中心水平方向 </w:t>
      </w:r>
      <w:r>
        <w:rPr/>
        <w:t>1m</w:t>
      </w:r>
      <w:r>
        <w:rPr>
          <w:spacing w:val="-23"/>
        </w:rPr>
        <w:t> 远</w:t>
      </w:r>
      <w:r>
        <w:rPr>
          <w:spacing w:val="-8"/>
        </w:rPr>
        <w:t>处正对呼救器用声级计测量，测得的最大声级强度即为预报警声级强度。</w:t>
      </w:r>
      <w:r>
        <w:rPr/>
        <w:t> </w:t>
      </w:r>
    </w:p>
    <w:p>
      <w:pPr>
        <w:pStyle w:val="ListParagraph"/>
        <w:numPr>
          <w:ilvl w:val="1"/>
          <w:numId w:val="115"/>
        </w:numPr>
        <w:tabs>
          <w:tab w:pos="1264" w:val="left" w:leader="none"/>
        </w:tabs>
        <w:spacing w:line="267" w:lineRule="exact" w:before="0" w:after="0"/>
        <w:ind w:left="1263" w:right="0" w:hanging="424"/>
        <w:jc w:val="left"/>
        <w:rPr>
          <w:b/>
          <w:sz w:val="21"/>
        </w:rPr>
      </w:pPr>
      <w:r>
        <w:rPr>
          <w:spacing w:val="-3"/>
          <w:sz w:val="21"/>
        </w:rPr>
        <w:t>报警声级强度试验</w:t>
      </w:r>
      <w:r>
        <w:rPr>
          <w:b/>
          <w:w w:val="99"/>
          <w:sz w:val="21"/>
        </w:rPr>
        <w:t> </w:t>
      </w:r>
    </w:p>
    <w:p>
      <w:pPr>
        <w:pStyle w:val="BodyText"/>
        <w:spacing w:before="2"/>
        <w:rPr>
          <w:b/>
          <w:sz w:val="18"/>
        </w:rPr>
      </w:pPr>
    </w:p>
    <w:p>
      <w:pPr>
        <w:pStyle w:val="BodyText"/>
        <w:spacing w:line="446" w:lineRule="auto"/>
        <w:ind w:left="418" w:right="1613" w:firstLine="419"/>
      </w:pPr>
      <w:r>
        <w:rPr>
          <w:spacing w:val="-8"/>
        </w:rPr>
        <w:t>在环境噪声不大于 </w:t>
      </w:r>
      <w:r>
        <w:rPr/>
        <w:t>30dB</w:t>
      </w:r>
      <w:r>
        <w:rPr>
          <w:spacing w:val="-10"/>
        </w:rPr>
        <w:t> 的条件下，便呼救器产生报警，在距呼救器中心水平方向 </w:t>
      </w:r>
      <w:r>
        <w:rPr/>
        <w:t>3m</w:t>
      </w:r>
      <w:r>
        <w:rPr>
          <w:spacing w:val="-17"/>
        </w:rPr>
        <w:t> 远处</w:t>
      </w:r>
      <w:r>
        <w:rPr>
          <w:spacing w:val="-3"/>
        </w:rPr>
        <w:t>正对呼救器用声级计测量，测得的最大声级强度即为报警声级强度。</w:t>
      </w:r>
      <w:r>
        <w:rPr/>
        <w:t> </w:t>
      </w:r>
    </w:p>
    <w:p>
      <w:pPr>
        <w:pStyle w:val="ListParagraph"/>
        <w:numPr>
          <w:ilvl w:val="1"/>
          <w:numId w:val="115"/>
        </w:numPr>
        <w:tabs>
          <w:tab w:pos="1266" w:val="left" w:leader="none"/>
        </w:tabs>
        <w:spacing w:line="267" w:lineRule="exact" w:before="0" w:after="0"/>
        <w:ind w:left="1265" w:right="0" w:hanging="426"/>
        <w:jc w:val="left"/>
        <w:rPr>
          <w:sz w:val="21"/>
        </w:rPr>
      </w:pPr>
      <w:r>
        <w:rPr>
          <w:spacing w:val="-3"/>
          <w:sz w:val="21"/>
        </w:rPr>
        <w:t>低电压告警声级强度试验</w:t>
      </w:r>
      <w:r>
        <w:rPr>
          <w:sz w:val="21"/>
        </w:rPr>
        <w:t> </w:t>
      </w:r>
    </w:p>
    <w:p>
      <w:pPr>
        <w:pStyle w:val="BodyText"/>
        <w:spacing w:before="2"/>
        <w:rPr>
          <w:sz w:val="18"/>
        </w:rPr>
      </w:pPr>
    </w:p>
    <w:p>
      <w:pPr>
        <w:pStyle w:val="BodyText"/>
        <w:ind w:left="838"/>
      </w:pPr>
      <w:r>
        <w:rPr/>
        <w:t>在环境噪声不大于 30dB 的条件下，使呼救器处于低电压犾态，在距呼救器中心水平方向 1m</w:t>
      </w:r>
    </w:p>
    <w:p>
      <w:pPr>
        <w:pStyle w:val="BodyText"/>
        <w:spacing w:before="12"/>
        <w:rPr>
          <w:sz w:val="17"/>
        </w:rPr>
      </w:pPr>
    </w:p>
    <w:p>
      <w:pPr>
        <w:pStyle w:val="BodyText"/>
        <w:spacing w:line="446" w:lineRule="auto"/>
        <w:ind w:left="840" w:right="2765" w:hanging="423"/>
        <w:rPr>
          <w:b/>
        </w:rPr>
      </w:pPr>
      <w:r>
        <w:rPr/>
        <w:t>远处正对呼救器用声级计测量，测得的最大声级强度即为低电压吿警声级强度。</w:t>
      </w:r>
      <w:r>
        <w:rPr>
          <w:b/>
        </w:rPr>
        <w:t>6.12 </w:t>
      </w:r>
      <w:r>
        <w:rPr/>
        <w:t>连续开机时间试验</w:t>
      </w:r>
      <w:r>
        <w:rPr>
          <w:b/>
          <w:w w:val="99"/>
        </w:rPr>
        <w:t> </w:t>
      </w:r>
    </w:p>
    <w:p>
      <w:pPr>
        <w:pStyle w:val="BodyText"/>
        <w:spacing w:line="446" w:lineRule="auto"/>
        <w:ind w:left="418" w:right="1503" w:firstLine="419"/>
      </w:pPr>
      <w:r>
        <w:rPr/>
        <w:t>将呼救器置于摇动装置或平面运动装置上，开关置于“自动”位置，开始计时,至呼救器发出低电压告警信号，停止计时，记录其测量值。 </w:t>
      </w:r>
    </w:p>
    <w:p>
      <w:pPr>
        <w:pStyle w:val="ListParagraph"/>
        <w:numPr>
          <w:ilvl w:val="1"/>
          <w:numId w:val="116"/>
        </w:numPr>
        <w:tabs>
          <w:tab w:pos="1264" w:val="left" w:leader="none"/>
        </w:tabs>
        <w:spacing w:line="267" w:lineRule="exact" w:before="0" w:after="0"/>
        <w:ind w:left="1263" w:right="0" w:hanging="424"/>
        <w:jc w:val="left"/>
        <w:rPr>
          <w:sz w:val="21"/>
        </w:rPr>
      </w:pPr>
      <w:r>
        <w:rPr>
          <w:spacing w:val="-3"/>
          <w:sz w:val="21"/>
        </w:rPr>
        <w:t>连续报警时间试验</w:t>
      </w:r>
      <w:r>
        <w:rPr>
          <w:sz w:val="21"/>
        </w:rPr>
        <w:t> </w:t>
      </w:r>
    </w:p>
    <w:p>
      <w:pPr>
        <w:pStyle w:val="BodyText"/>
        <w:spacing w:before="2"/>
        <w:rPr>
          <w:sz w:val="18"/>
        </w:rPr>
      </w:pPr>
    </w:p>
    <w:p>
      <w:pPr>
        <w:pStyle w:val="BodyText"/>
        <w:spacing w:line="446" w:lineRule="auto"/>
        <w:ind w:left="418" w:right="1505" w:firstLine="419"/>
      </w:pPr>
      <w:r>
        <w:rPr>
          <w:spacing w:val="-4"/>
        </w:rPr>
        <w:t>将呼救器开关置于“手动”位置，开始计时，并在距呼救器中心水平方向 </w:t>
      </w:r>
      <w:r>
        <w:rPr/>
        <w:t>3m</w:t>
      </w:r>
      <w:r>
        <w:rPr>
          <w:spacing w:val="-7"/>
        </w:rPr>
        <w:t> 远处正对呼救</w:t>
      </w:r>
      <w:r>
        <w:rPr>
          <w:spacing w:val="-8"/>
        </w:rPr>
        <w:t>器用声级计测量报警声级强度至报警声级强度低于 </w:t>
      </w:r>
      <w:r>
        <w:rPr/>
        <w:t>100dB</w:t>
      </w:r>
      <w:r>
        <w:rPr>
          <w:spacing w:val="-9"/>
        </w:rPr>
        <w:t> 时，停止计时，记录其测量值。</w:t>
      </w:r>
      <w:r>
        <w:rPr/>
        <w:t> </w:t>
      </w:r>
    </w:p>
    <w:p>
      <w:pPr>
        <w:pStyle w:val="ListParagraph"/>
        <w:numPr>
          <w:ilvl w:val="1"/>
          <w:numId w:val="116"/>
        </w:numPr>
        <w:tabs>
          <w:tab w:pos="1264" w:val="left" w:leader="none"/>
        </w:tabs>
        <w:spacing w:line="267" w:lineRule="exact" w:before="0" w:after="0"/>
        <w:ind w:left="1263" w:right="0" w:hanging="424"/>
        <w:jc w:val="left"/>
        <w:rPr>
          <w:b/>
          <w:sz w:val="21"/>
        </w:rPr>
      </w:pPr>
      <w:r>
        <w:rPr>
          <w:spacing w:val="-3"/>
          <w:sz w:val="21"/>
        </w:rPr>
        <w:t>质量试验</w:t>
      </w:r>
      <w:r>
        <w:rPr>
          <w:b/>
          <w:w w:val="99"/>
          <w:sz w:val="21"/>
        </w:rPr>
        <w:t> </w:t>
      </w:r>
    </w:p>
    <w:p>
      <w:pPr>
        <w:pStyle w:val="BodyText"/>
        <w:spacing w:before="2"/>
        <w:rPr>
          <w:b/>
          <w:sz w:val="18"/>
        </w:rPr>
      </w:pPr>
    </w:p>
    <w:p>
      <w:pPr>
        <w:pStyle w:val="BodyText"/>
        <w:spacing w:line="446" w:lineRule="auto"/>
        <w:ind w:left="840" w:right="5185" w:hanging="3"/>
        <w:rPr>
          <w:b/>
        </w:rPr>
      </w:pPr>
      <w:r>
        <w:rPr/>
        <w:t>用精度不低于 1g 的通用衡器测定呼救器的质量。</w:t>
      </w:r>
      <w:r>
        <w:rPr>
          <w:b/>
        </w:rPr>
        <w:t>6.15 </w:t>
      </w:r>
      <w:r>
        <w:rPr/>
        <w:t>外观检査</w:t>
      </w:r>
      <w:r>
        <w:rPr>
          <w:b/>
          <w:w w:val="99"/>
        </w:rPr>
        <w:t> </w:t>
      </w:r>
    </w:p>
    <w:p>
      <w:pPr>
        <w:spacing w:line="446" w:lineRule="auto" w:before="0"/>
        <w:ind w:left="840" w:right="7909" w:hanging="3"/>
        <w:jc w:val="left"/>
        <w:rPr>
          <w:sz w:val="21"/>
        </w:rPr>
      </w:pPr>
      <w:r>
        <w:rPr>
          <w:spacing w:val="-3"/>
          <w:sz w:val="21"/>
        </w:rPr>
        <w:t>目测呼救器外观。</w:t>
      </w:r>
      <w:r>
        <w:rPr>
          <w:b/>
          <w:sz w:val="21"/>
        </w:rPr>
        <w:t>6.16</w:t>
      </w:r>
      <w:r>
        <w:rPr>
          <w:b/>
          <w:spacing w:val="8"/>
          <w:sz w:val="21"/>
        </w:rPr>
        <w:t> </w:t>
      </w:r>
      <w:r>
        <w:rPr>
          <w:spacing w:val="-3"/>
          <w:sz w:val="21"/>
        </w:rPr>
        <w:t>防爆性能试验</w:t>
      </w:r>
      <w:r>
        <w:rPr>
          <w:sz w:val="21"/>
        </w:rPr>
        <w:t> </w:t>
      </w:r>
    </w:p>
    <w:p>
      <w:pPr>
        <w:pStyle w:val="BodyText"/>
        <w:spacing w:line="446" w:lineRule="auto"/>
        <w:ind w:left="840" w:right="5079" w:hanging="3"/>
      </w:pPr>
      <w:r>
        <w:rPr>
          <w:spacing w:val="-8"/>
        </w:rPr>
        <w:t>呼救器的防爆性能试验按 </w:t>
      </w:r>
      <w:r>
        <w:rPr/>
        <w:t>GB</w:t>
      </w:r>
      <w:r>
        <w:rPr>
          <w:spacing w:val="8"/>
        </w:rPr>
        <w:t> </w:t>
      </w:r>
      <w:r>
        <w:rPr/>
        <w:t>3836.1</w:t>
      </w:r>
      <w:r>
        <w:rPr>
          <w:spacing w:val="-10"/>
        </w:rPr>
        <w:t> 的规定进行。</w:t>
      </w:r>
      <w:r>
        <w:rPr>
          <w:b/>
        </w:rPr>
        <w:t>6.17 </w:t>
      </w:r>
      <w:r>
        <w:rPr>
          <w:spacing w:val="-3"/>
        </w:rPr>
        <w:t>绝缘性能试验</w:t>
      </w:r>
      <w:r>
        <w:rPr/>
        <w:t> </w:t>
      </w:r>
    </w:p>
    <w:p>
      <w:pPr>
        <w:pStyle w:val="BodyText"/>
        <w:spacing w:line="446" w:lineRule="auto"/>
        <w:ind w:left="840" w:right="2662" w:hanging="3"/>
      </w:pPr>
      <w:r>
        <w:rPr>
          <w:spacing w:val="-9"/>
        </w:rPr>
        <w:t>用兆欧表测量在 </w:t>
      </w:r>
      <w:r>
        <w:rPr/>
        <w:t>500V</w:t>
      </w:r>
      <w:r>
        <w:rPr>
          <w:spacing w:val="-8"/>
        </w:rPr>
        <w:t> 直流电压下呼救器电池正负极与外壳之间的绝缘电阻。</w:t>
      </w:r>
      <w:r>
        <w:rPr>
          <w:b/>
        </w:rPr>
        <w:t>6.18</w:t>
      </w:r>
      <w:r>
        <w:rPr>
          <w:b/>
          <w:spacing w:val="1"/>
        </w:rPr>
        <w:t> </w:t>
      </w:r>
      <w:r>
        <w:rPr>
          <w:spacing w:val="-3"/>
        </w:rPr>
        <w:t>防水性能试验</w:t>
      </w:r>
      <w:r>
        <w:rPr/>
        <w:t> </w:t>
      </w:r>
    </w:p>
    <w:p>
      <w:pPr>
        <w:pStyle w:val="BodyText"/>
        <w:spacing w:line="446" w:lineRule="auto"/>
        <w:ind w:left="418" w:right="1613" w:firstLine="419"/>
      </w:pPr>
      <w:r>
        <w:rPr>
          <w:spacing w:val="-6"/>
        </w:rPr>
        <w:t>呼救器不处于工作状态，将其至于水深为 </w:t>
      </w:r>
      <w:r>
        <w:rPr/>
        <w:t>1.5m</w:t>
      </w:r>
      <w:r>
        <w:rPr>
          <w:spacing w:val="-11"/>
        </w:rPr>
        <w:t> 的容器内，开始计时，当试验达到 </w:t>
      </w:r>
      <w:r>
        <w:rPr/>
        <w:t>2h</w:t>
      </w:r>
      <w:r>
        <w:rPr>
          <w:spacing w:val="-17"/>
        </w:rPr>
        <w:t> 后， </w:t>
      </w:r>
      <w:r>
        <w:rPr>
          <w:spacing w:val="-3"/>
        </w:rPr>
        <w:t>取出，擦干表面，打开呼救器检査。</w:t>
      </w:r>
      <w:r>
        <w:rPr/>
        <w:t> </w:t>
      </w:r>
    </w:p>
    <w:p>
      <w:pPr>
        <w:spacing w:after="0" w:line="446" w:lineRule="auto"/>
        <w:sectPr>
          <w:pgSz w:w="11910" w:h="16850"/>
          <w:pgMar w:header="0" w:footer="1239" w:top="1220" w:bottom="1420" w:left="1260" w:right="0"/>
        </w:sectPr>
      </w:pPr>
    </w:p>
    <w:p>
      <w:pPr>
        <w:spacing w:before="47"/>
        <w:ind w:left="840" w:right="0" w:firstLine="0"/>
        <w:jc w:val="left"/>
        <w:rPr>
          <w:sz w:val="21"/>
        </w:rPr>
      </w:pPr>
      <w:r>
        <w:rPr>
          <w:b/>
          <w:sz w:val="21"/>
        </w:rPr>
        <w:t>6.19</w:t>
      </w:r>
      <w:r>
        <w:rPr>
          <w:b/>
          <w:spacing w:val="5"/>
          <w:sz w:val="21"/>
        </w:rPr>
        <w:t> </w:t>
      </w:r>
      <w:r>
        <w:rPr>
          <w:spacing w:val="-3"/>
          <w:sz w:val="21"/>
        </w:rPr>
        <w:t>高温试验</w:t>
      </w:r>
      <w:r>
        <w:rPr>
          <w:sz w:val="21"/>
        </w:rPr>
        <w:t> </w:t>
      </w:r>
    </w:p>
    <w:p>
      <w:pPr>
        <w:pStyle w:val="BodyText"/>
        <w:rPr>
          <w:sz w:val="18"/>
        </w:rPr>
      </w:pPr>
    </w:p>
    <w:p>
      <w:pPr>
        <w:pStyle w:val="BodyText"/>
        <w:spacing w:line="446" w:lineRule="auto"/>
        <w:ind w:left="840" w:right="1822" w:hanging="3"/>
      </w:pPr>
      <w:r>
        <w:rPr>
          <w:spacing w:val="-7"/>
        </w:rPr>
        <w:t>将呼救器置于摇动装置上，按 </w:t>
      </w:r>
      <w:r>
        <w:rPr/>
        <w:t>5.3.12</w:t>
      </w:r>
      <w:r>
        <w:rPr>
          <w:spacing w:val="-13"/>
        </w:rPr>
        <w:t> 中髙温试验条件及 </w:t>
      </w:r>
      <w:r>
        <w:rPr/>
        <w:t>GB/T</w:t>
      </w:r>
      <w:r>
        <w:rPr>
          <w:spacing w:val="5"/>
        </w:rPr>
        <w:t> </w:t>
      </w:r>
      <w:r>
        <w:rPr/>
        <w:t>2423.2</w:t>
      </w:r>
      <w:r>
        <w:rPr>
          <w:spacing w:val="-9"/>
        </w:rPr>
        <w:t> 规定进行试验。</w:t>
      </w:r>
      <w:r>
        <w:rPr>
          <w:b/>
        </w:rPr>
        <w:t>6.20</w:t>
      </w:r>
      <w:r>
        <w:rPr>
          <w:b/>
          <w:spacing w:val="-1"/>
        </w:rPr>
        <w:t> </w:t>
      </w:r>
      <w:r>
        <w:rPr>
          <w:spacing w:val="-3"/>
        </w:rPr>
        <w:t>低温试验</w:t>
      </w:r>
      <w:r>
        <w:rPr/>
        <w:t> </w:t>
      </w:r>
    </w:p>
    <w:p>
      <w:pPr>
        <w:pStyle w:val="BodyText"/>
        <w:spacing w:line="446" w:lineRule="auto"/>
        <w:ind w:left="840" w:right="1822" w:hanging="3"/>
      </w:pPr>
      <w:r>
        <w:rPr>
          <w:spacing w:val="-7"/>
        </w:rPr>
        <w:t>将呼救器置于摇动装置上，按 </w:t>
      </w:r>
      <w:r>
        <w:rPr/>
        <w:t>5.3.12</w:t>
      </w:r>
      <w:r>
        <w:rPr>
          <w:spacing w:val="-13"/>
        </w:rPr>
        <w:t> 中低温试验条件及 </w:t>
      </w:r>
      <w:r>
        <w:rPr/>
        <w:t>GB/T</w:t>
      </w:r>
      <w:r>
        <w:rPr>
          <w:spacing w:val="5"/>
        </w:rPr>
        <w:t> </w:t>
      </w:r>
      <w:r>
        <w:rPr/>
        <w:t>2423.1</w:t>
      </w:r>
      <w:r>
        <w:rPr>
          <w:spacing w:val="-9"/>
        </w:rPr>
        <w:t> 规定进行试验。</w:t>
      </w:r>
      <w:r>
        <w:rPr>
          <w:b/>
        </w:rPr>
        <w:t>6.21</w:t>
      </w:r>
      <w:r>
        <w:rPr>
          <w:b/>
          <w:spacing w:val="-1"/>
        </w:rPr>
        <w:t> </w:t>
      </w:r>
      <w:r>
        <w:rPr>
          <w:spacing w:val="-3"/>
        </w:rPr>
        <w:t>交变湿热试验</w:t>
      </w:r>
      <w:r>
        <w:rPr/>
        <w:t> </w:t>
      </w:r>
    </w:p>
    <w:p>
      <w:pPr>
        <w:pStyle w:val="BodyText"/>
        <w:spacing w:line="446" w:lineRule="auto"/>
        <w:ind w:left="840" w:right="1822" w:hanging="3"/>
      </w:pPr>
      <w:r>
        <w:rPr>
          <w:spacing w:val="-25"/>
        </w:rPr>
        <w:t>按 </w:t>
      </w:r>
      <w:r>
        <w:rPr/>
        <w:t>5.3.12</w:t>
      </w:r>
      <w:r>
        <w:rPr>
          <w:spacing w:val="-13"/>
        </w:rPr>
        <w:t> 中交变湿热试验条件及 </w:t>
      </w:r>
      <w:r>
        <w:rPr/>
        <w:t>GB/T</w:t>
      </w:r>
      <w:r>
        <w:rPr>
          <w:spacing w:val="9"/>
        </w:rPr>
        <w:t> </w:t>
      </w:r>
      <w:r>
        <w:rPr/>
        <w:t>2423.4</w:t>
      </w:r>
      <w:r>
        <w:rPr>
          <w:spacing w:val="-9"/>
        </w:rPr>
        <w:t> 规定进行试验，试验后测试绝缘性能。</w:t>
      </w:r>
      <w:r>
        <w:rPr>
          <w:b/>
        </w:rPr>
        <w:t>6.22</w:t>
      </w:r>
      <w:r>
        <w:rPr>
          <w:b/>
          <w:spacing w:val="-1"/>
        </w:rPr>
        <w:t> </w:t>
      </w:r>
      <w:r>
        <w:rPr>
          <w:spacing w:val="-3"/>
        </w:rPr>
        <w:t>高温贮存试验</w:t>
      </w:r>
      <w:r>
        <w:rPr/>
        <w:t> </w:t>
      </w:r>
    </w:p>
    <w:p>
      <w:pPr>
        <w:pStyle w:val="BodyText"/>
        <w:spacing w:line="446" w:lineRule="auto"/>
        <w:ind w:left="840" w:right="3923" w:hanging="3"/>
      </w:pPr>
      <w:r>
        <w:rPr>
          <w:spacing w:val="-26"/>
        </w:rPr>
        <w:t>按 </w:t>
      </w:r>
      <w:r>
        <w:rPr/>
        <w:t>5.3.12</w:t>
      </w:r>
      <w:r>
        <w:rPr>
          <w:spacing w:val="-13"/>
        </w:rPr>
        <w:t> 中髙温贮存试验条件及 </w:t>
      </w:r>
      <w:r>
        <w:rPr/>
        <w:t>GB/T</w:t>
      </w:r>
      <w:r>
        <w:rPr>
          <w:spacing w:val="6"/>
        </w:rPr>
        <w:t> </w:t>
      </w:r>
      <w:r>
        <w:rPr/>
        <w:t>2423.2</w:t>
      </w:r>
      <w:r>
        <w:rPr>
          <w:spacing w:val="-10"/>
        </w:rPr>
        <w:t> 规定进行试验。</w:t>
      </w:r>
      <w:r>
        <w:rPr>
          <w:b/>
        </w:rPr>
        <w:t>6.23</w:t>
      </w:r>
      <w:r>
        <w:rPr>
          <w:b/>
          <w:spacing w:val="-1"/>
        </w:rPr>
        <w:t> </w:t>
      </w:r>
      <w:r>
        <w:rPr>
          <w:spacing w:val="-3"/>
        </w:rPr>
        <w:t>低温贮存试验</w:t>
      </w:r>
      <w:r>
        <w:rPr/>
        <w:t> </w:t>
      </w:r>
    </w:p>
    <w:p>
      <w:pPr>
        <w:pStyle w:val="BodyText"/>
        <w:spacing w:line="446" w:lineRule="auto"/>
        <w:ind w:left="840" w:right="3923" w:hanging="3"/>
      </w:pPr>
      <w:r>
        <w:rPr>
          <w:spacing w:val="-26"/>
        </w:rPr>
        <w:t>按 </w:t>
      </w:r>
      <w:r>
        <w:rPr/>
        <w:t>5.3.12</w:t>
      </w:r>
      <w:r>
        <w:rPr>
          <w:spacing w:val="-13"/>
        </w:rPr>
        <w:t> 中低温贮存试验条件及 </w:t>
      </w:r>
      <w:r>
        <w:rPr/>
        <w:t>GB/T 2423.1</w:t>
      </w:r>
      <w:r>
        <w:rPr>
          <w:spacing w:val="-10"/>
        </w:rPr>
        <w:t> 规定进行试验。</w:t>
      </w:r>
      <w:r>
        <w:rPr>
          <w:b/>
        </w:rPr>
        <w:t>6.24 </w:t>
      </w:r>
      <w:r>
        <w:rPr>
          <w:spacing w:val="-3"/>
        </w:rPr>
        <w:t>耐振动试验</w:t>
      </w:r>
      <w:r>
        <w:rPr/>
        <w:t> </w:t>
      </w:r>
    </w:p>
    <w:p>
      <w:pPr>
        <w:pStyle w:val="BodyText"/>
        <w:spacing w:line="446" w:lineRule="auto"/>
        <w:ind w:left="418" w:right="1510" w:firstLine="419"/>
      </w:pPr>
      <w:r>
        <w:rPr>
          <w:spacing w:val="-6"/>
        </w:rPr>
        <w:t>将呼救器直立固定在振动台上，按 </w:t>
      </w:r>
      <w:r>
        <w:rPr/>
        <w:t>5.3.13</w:t>
      </w:r>
      <w:r>
        <w:rPr>
          <w:spacing w:val="-15"/>
        </w:rPr>
        <w:t> 中振动</w:t>
      </w:r>
      <w:r>
        <w:rPr>
          <w:spacing w:val="-3"/>
        </w:rPr>
        <w:t>（</w:t>
      </w:r>
      <w:r>
        <w:rPr/>
        <w:t>正弦</w:t>
      </w:r>
      <w:r>
        <w:rPr>
          <w:spacing w:val="-3"/>
        </w:rPr>
        <w:t>）</w:t>
      </w:r>
      <w:r>
        <w:rPr>
          <w:spacing w:val="-11"/>
        </w:rPr>
        <w:t>试验条件及 </w:t>
      </w:r>
      <w:r>
        <w:rPr/>
        <w:t>GB/T 2423. 10</w:t>
      </w:r>
      <w:r>
        <w:rPr>
          <w:spacing w:val="-19"/>
        </w:rPr>
        <w:t> 规定</w:t>
      </w:r>
      <w:r>
        <w:rPr>
          <w:spacing w:val="-2"/>
        </w:rPr>
        <w:t>进行试验。</w:t>
      </w:r>
      <w:r>
        <w:rPr/>
        <w:t> </w:t>
      </w:r>
    </w:p>
    <w:p>
      <w:pPr>
        <w:spacing w:before="0"/>
        <w:ind w:left="840" w:right="0" w:firstLine="0"/>
        <w:jc w:val="left"/>
        <w:rPr>
          <w:sz w:val="21"/>
        </w:rPr>
      </w:pPr>
      <w:r>
        <w:rPr>
          <w:b/>
          <w:sz w:val="21"/>
        </w:rPr>
        <w:t>6.25 </w:t>
      </w:r>
      <w:r>
        <w:rPr>
          <w:sz w:val="21"/>
        </w:rPr>
        <w:t>耐冲击试验 </w:t>
      </w:r>
    </w:p>
    <w:p>
      <w:pPr>
        <w:pStyle w:val="BodyText"/>
        <w:spacing w:before="8"/>
        <w:rPr>
          <w:sz w:val="17"/>
        </w:rPr>
      </w:pPr>
    </w:p>
    <w:p>
      <w:pPr>
        <w:pStyle w:val="BodyText"/>
        <w:spacing w:line="446" w:lineRule="auto"/>
        <w:ind w:left="840" w:right="1402" w:hanging="3"/>
      </w:pPr>
      <w:r>
        <w:rPr>
          <w:spacing w:val="-6"/>
        </w:rPr>
        <w:t>将呼救器直立固定在冲击台上，按 </w:t>
      </w:r>
      <w:r>
        <w:rPr/>
        <w:t>5.3.13</w:t>
      </w:r>
      <w:r>
        <w:rPr>
          <w:spacing w:val="-13"/>
        </w:rPr>
        <w:t> 中冲击试验条件及 </w:t>
      </w:r>
      <w:r>
        <w:rPr/>
        <w:t>GB/T 2423.5</w:t>
      </w:r>
      <w:r>
        <w:rPr>
          <w:spacing w:val="-9"/>
        </w:rPr>
        <w:t> 规定进行试验。</w:t>
      </w:r>
      <w:r>
        <w:rPr>
          <w:b/>
        </w:rPr>
        <w:t>6.26 </w:t>
      </w:r>
      <w:r>
        <w:rPr>
          <w:spacing w:val="-3"/>
        </w:rPr>
        <w:t>耐自由跌落试验</w:t>
      </w:r>
      <w:r>
        <w:rPr/>
        <w:t> </w:t>
      </w:r>
    </w:p>
    <w:p>
      <w:pPr>
        <w:pStyle w:val="BodyText"/>
        <w:spacing w:line="446" w:lineRule="auto"/>
        <w:ind w:left="418" w:right="1505" w:firstLine="419"/>
      </w:pPr>
      <w:r>
        <w:rPr>
          <w:spacing w:val="-24"/>
        </w:rPr>
        <w:t>按 </w:t>
      </w:r>
      <w:r>
        <w:rPr/>
        <w:t>5.3.13</w:t>
      </w:r>
      <w:r>
        <w:rPr>
          <w:spacing w:val="-12"/>
        </w:rPr>
        <w:t> 中自由跌落试验条件及 </w:t>
      </w:r>
      <w:r>
        <w:rPr/>
        <w:t>GB/T 2423.8</w:t>
      </w:r>
      <w:r>
        <w:rPr>
          <w:spacing w:val="-9"/>
        </w:rPr>
        <w:t> 规定进行试验，试验台面为光滑平整的混凝</w:t>
      </w:r>
      <w:r>
        <w:rPr>
          <w:spacing w:val="-7"/>
        </w:rPr>
        <w:t>土台面。</w:t>
      </w:r>
      <w:r>
        <w:rPr/>
        <w:t> </w:t>
      </w:r>
    </w:p>
    <w:p>
      <w:pPr>
        <w:pStyle w:val="ListParagraph"/>
        <w:numPr>
          <w:ilvl w:val="1"/>
          <w:numId w:val="117"/>
        </w:numPr>
        <w:tabs>
          <w:tab w:pos="1264" w:val="left" w:leader="none"/>
        </w:tabs>
        <w:spacing w:line="240" w:lineRule="auto" w:before="0" w:after="0"/>
        <w:ind w:left="1263" w:right="0" w:hanging="424"/>
        <w:jc w:val="left"/>
        <w:rPr>
          <w:b/>
          <w:sz w:val="21"/>
        </w:rPr>
      </w:pPr>
      <w:r>
        <w:rPr>
          <w:spacing w:val="-3"/>
          <w:sz w:val="21"/>
        </w:rPr>
        <w:t>发射频率测量</w:t>
      </w:r>
      <w:r>
        <w:rPr>
          <w:b/>
          <w:w w:val="99"/>
          <w:sz w:val="21"/>
        </w:rPr>
        <w:t> </w:t>
      </w:r>
    </w:p>
    <w:p>
      <w:pPr>
        <w:pStyle w:val="BodyText"/>
        <w:rPr>
          <w:b/>
          <w:sz w:val="18"/>
        </w:rPr>
      </w:pPr>
    </w:p>
    <w:p>
      <w:pPr>
        <w:pStyle w:val="BodyText"/>
        <w:spacing w:line="446" w:lineRule="auto"/>
        <w:ind w:left="418" w:right="1505" w:firstLine="419"/>
      </w:pPr>
      <w:r>
        <w:rPr>
          <w:spacing w:val="-3"/>
        </w:rPr>
        <w:t>发射频率测量应在全频段无线电电磁波屏蔽房(室）</w:t>
      </w:r>
      <w:r>
        <w:rPr>
          <w:spacing w:val="-7"/>
        </w:rPr>
        <w:t>中进行。按图 </w:t>
      </w:r>
      <w:r>
        <w:rPr/>
        <w:t>1</w:t>
      </w:r>
      <w:r>
        <w:rPr>
          <w:spacing w:val="-8"/>
        </w:rPr>
        <w:t> 所示连接测量仪器，使</w:t>
      </w:r>
      <w:r>
        <w:rPr>
          <w:spacing w:val="-5"/>
        </w:rPr>
        <w:t>呼救器产生报警，测量其发射无线电波频率。</w:t>
      </w:r>
      <w:r>
        <w:rPr/>
        <w:t> </w:t>
      </w:r>
    </w:p>
    <w:p>
      <w:pPr>
        <w:pStyle w:val="BodyText"/>
        <w:rPr>
          <w:sz w:val="20"/>
        </w:rPr>
      </w:pPr>
    </w:p>
    <w:p>
      <w:pPr>
        <w:pStyle w:val="BodyText"/>
        <w:spacing w:before="10"/>
      </w:pPr>
      <w:r>
        <w:rPr/>
        <w:drawing>
          <wp:anchor distT="0" distB="0" distL="0" distR="0" allowOverlap="1" layoutInCell="1" locked="0" behindDoc="0" simplePos="0" relativeHeight="30">
            <wp:simplePos x="0" y="0"/>
            <wp:positionH relativeFrom="page">
              <wp:posOffset>1713229</wp:posOffset>
            </wp:positionH>
            <wp:positionV relativeFrom="paragraph">
              <wp:posOffset>202535</wp:posOffset>
            </wp:positionV>
            <wp:extent cx="4565364" cy="1367028"/>
            <wp:effectExtent l="0" t="0" r="0" b="0"/>
            <wp:wrapTopAndBottom/>
            <wp:docPr id="73" name="image54.jpeg"/>
            <wp:cNvGraphicFramePr>
              <a:graphicFrameLocks noChangeAspect="1"/>
            </wp:cNvGraphicFramePr>
            <a:graphic>
              <a:graphicData uri="http://schemas.openxmlformats.org/drawingml/2006/picture">
                <pic:pic>
                  <pic:nvPicPr>
                    <pic:cNvPr id="74" name="image54.jpeg"/>
                    <pic:cNvPicPr/>
                  </pic:nvPicPr>
                  <pic:blipFill>
                    <a:blip r:embed="rId60" cstate="print"/>
                    <a:stretch>
                      <a:fillRect/>
                    </a:stretch>
                  </pic:blipFill>
                  <pic:spPr>
                    <a:xfrm>
                      <a:off x="0" y="0"/>
                      <a:ext cx="4565364" cy="1367028"/>
                    </a:xfrm>
                    <a:prstGeom prst="rect">
                      <a:avLst/>
                    </a:prstGeom>
                  </pic:spPr>
                </pic:pic>
              </a:graphicData>
            </a:graphic>
          </wp:anchor>
        </w:drawing>
      </w:r>
    </w:p>
    <w:p>
      <w:pPr>
        <w:pStyle w:val="BodyText"/>
        <w:spacing w:before="7"/>
        <w:rPr>
          <w:sz w:val="16"/>
        </w:rPr>
      </w:pPr>
    </w:p>
    <w:p>
      <w:pPr>
        <w:pStyle w:val="ListParagraph"/>
        <w:numPr>
          <w:ilvl w:val="1"/>
          <w:numId w:val="117"/>
        </w:numPr>
        <w:tabs>
          <w:tab w:pos="1264" w:val="left" w:leader="none"/>
        </w:tabs>
        <w:spacing w:line="240" w:lineRule="auto" w:before="0" w:after="0"/>
        <w:ind w:left="1263" w:right="0" w:hanging="424"/>
        <w:jc w:val="left"/>
        <w:rPr>
          <w:sz w:val="21"/>
        </w:rPr>
      </w:pPr>
      <w:r>
        <w:rPr>
          <w:spacing w:val="-3"/>
          <w:sz w:val="21"/>
        </w:rPr>
        <w:t>频率稳定度测量</w:t>
      </w:r>
      <w:r>
        <w:rPr>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352" w:firstLine="419"/>
      </w:pPr>
      <w:r>
        <w:rPr>
          <w:spacing w:val="-3"/>
        </w:rPr>
        <w:t>频率稳定度测量应在全频段无线电电磁波屏蔽房(室</w:t>
      </w:r>
      <w:r>
        <w:rPr/>
        <w:t>）</w:t>
      </w:r>
      <w:r>
        <w:rPr>
          <w:spacing w:val="-9"/>
        </w:rPr>
        <w:t>中进行，按图 </w:t>
      </w:r>
      <w:r>
        <w:rPr/>
        <w:t>1</w:t>
      </w:r>
      <w:r>
        <w:rPr>
          <w:spacing w:val="-8"/>
        </w:rPr>
        <w:t> 所示连接测量仪器， </w:t>
      </w:r>
      <w:r>
        <w:rPr>
          <w:spacing w:val="-5"/>
        </w:rPr>
        <w:t>使呼救器产生报替，分别测量其在-</w:t>
      </w:r>
      <w:r>
        <w:rPr/>
        <w:t>25</w:t>
      </w:r>
      <w:r>
        <w:rPr>
          <w:spacing w:val="-17"/>
        </w:rPr>
        <w:t>℃士 </w:t>
      </w:r>
      <w:r>
        <w:rPr/>
        <w:t>2℃、25</w:t>
      </w:r>
      <w:r>
        <w:rPr>
          <w:spacing w:val="-16"/>
        </w:rPr>
        <w:t>℃士 </w:t>
      </w:r>
      <w:r>
        <w:rPr/>
        <w:t>2</w:t>
      </w:r>
      <w:r>
        <w:rPr>
          <w:spacing w:val="-2"/>
        </w:rPr>
        <w:t>℃、</w:t>
      </w:r>
      <w:r>
        <w:rPr/>
        <w:t>70</w:t>
      </w:r>
      <w:r>
        <w:rPr>
          <w:spacing w:val="-16"/>
        </w:rPr>
        <w:t>℃士 </w:t>
      </w:r>
      <w:r>
        <w:rPr/>
        <w:t>2</w:t>
      </w:r>
      <w:r>
        <w:rPr>
          <w:spacing w:val="-3"/>
        </w:rPr>
        <w:t>℃时发射无线电波频率。</w:t>
      </w:r>
      <w:r>
        <w:rPr/>
        <w:t> </w:t>
      </w:r>
    </w:p>
    <w:p>
      <w:pPr>
        <w:pStyle w:val="ListParagraph"/>
        <w:numPr>
          <w:ilvl w:val="1"/>
          <w:numId w:val="117"/>
        </w:numPr>
        <w:tabs>
          <w:tab w:pos="1266" w:val="left" w:leader="none"/>
        </w:tabs>
        <w:spacing w:line="267" w:lineRule="exact" w:before="0" w:after="0"/>
        <w:ind w:left="1265" w:right="0" w:hanging="426"/>
        <w:jc w:val="left"/>
        <w:rPr>
          <w:sz w:val="21"/>
        </w:rPr>
      </w:pPr>
      <w:r>
        <w:rPr>
          <w:spacing w:val="-3"/>
          <w:sz w:val="21"/>
        </w:rPr>
        <w:t>接收灵敏度测量</w:t>
      </w:r>
      <w:r>
        <w:rPr>
          <w:sz w:val="21"/>
        </w:rPr>
        <w:t> </w:t>
      </w:r>
    </w:p>
    <w:p>
      <w:pPr>
        <w:pStyle w:val="BodyText"/>
        <w:spacing w:before="2"/>
        <w:rPr>
          <w:sz w:val="18"/>
        </w:rPr>
      </w:pPr>
    </w:p>
    <w:p>
      <w:pPr>
        <w:pStyle w:val="BodyText"/>
        <w:spacing w:line="446" w:lineRule="auto"/>
        <w:ind w:left="418" w:right="1505" w:firstLine="419"/>
      </w:pPr>
      <w:r>
        <w:rPr>
          <w:spacing w:val="-3"/>
        </w:rPr>
        <w:t>接收灵敏度测量应在全频段无线电电磁波屏蔽房(室</w:t>
      </w:r>
      <w:r>
        <w:rPr/>
        <w:t>）</w:t>
      </w:r>
      <w:r>
        <w:rPr>
          <w:spacing w:val="-8"/>
        </w:rPr>
        <w:t>中进行，按图 </w:t>
      </w:r>
      <w:r>
        <w:rPr/>
        <w:t>2</w:t>
      </w:r>
      <w:r>
        <w:rPr>
          <w:spacing w:val="-7"/>
        </w:rPr>
        <w:t> 所示连接测量仪器。</w:t>
      </w:r>
      <w:r>
        <w:rPr>
          <w:spacing w:val="-5"/>
        </w:rPr>
        <w:t>调节高频信号发生器输出信号频率为呼救器发射频率，同时，调节输出信号幅度，当音频</w:t>
      </w:r>
      <w:r>
        <w:rPr>
          <w:spacing w:val="-3"/>
        </w:rPr>
        <w:t>（</w:t>
      </w:r>
      <w:r>
        <w:rPr/>
        <w:t>噪</w:t>
      </w:r>
      <w:r>
        <w:rPr>
          <w:spacing w:val="-7"/>
        </w:rPr>
        <w:t>声)信号测量仪测得信噪比为 </w:t>
      </w:r>
      <w:r>
        <w:rPr/>
        <w:t>12dB</w:t>
      </w:r>
      <w:r>
        <w:rPr>
          <w:spacing w:val="-9"/>
        </w:rPr>
        <w:t> 时，记录输出信号幅度。</w:t>
      </w:r>
      <w:r>
        <w:rPr/>
        <w:t> </w:t>
      </w:r>
    </w:p>
    <w:p>
      <w:pPr>
        <w:pStyle w:val="BodyText"/>
        <w:rPr>
          <w:sz w:val="20"/>
        </w:rPr>
      </w:pPr>
    </w:p>
    <w:p>
      <w:pPr>
        <w:pStyle w:val="BodyText"/>
        <w:spacing w:before="6"/>
        <w:rPr>
          <w:sz w:val="13"/>
        </w:rPr>
      </w:pPr>
      <w:r>
        <w:rPr/>
        <w:drawing>
          <wp:anchor distT="0" distB="0" distL="0" distR="0" allowOverlap="1" layoutInCell="1" locked="0" behindDoc="0" simplePos="0" relativeHeight="31">
            <wp:simplePos x="0" y="0"/>
            <wp:positionH relativeFrom="page">
              <wp:posOffset>1284605</wp:posOffset>
            </wp:positionH>
            <wp:positionV relativeFrom="paragraph">
              <wp:posOffset>134743</wp:posOffset>
            </wp:positionV>
            <wp:extent cx="4740761" cy="1600200"/>
            <wp:effectExtent l="0" t="0" r="0" b="0"/>
            <wp:wrapTopAndBottom/>
            <wp:docPr id="75" name="image55.jpeg"/>
            <wp:cNvGraphicFramePr>
              <a:graphicFrameLocks noChangeAspect="1"/>
            </wp:cNvGraphicFramePr>
            <a:graphic>
              <a:graphicData uri="http://schemas.openxmlformats.org/drawingml/2006/picture">
                <pic:pic>
                  <pic:nvPicPr>
                    <pic:cNvPr id="76" name="image55.jpeg"/>
                    <pic:cNvPicPr/>
                  </pic:nvPicPr>
                  <pic:blipFill>
                    <a:blip r:embed="rId61" cstate="print"/>
                    <a:stretch>
                      <a:fillRect/>
                    </a:stretch>
                  </pic:blipFill>
                  <pic:spPr>
                    <a:xfrm>
                      <a:off x="0" y="0"/>
                      <a:ext cx="4740761" cy="1600200"/>
                    </a:xfrm>
                    <a:prstGeom prst="rect">
                      <a:avLst/>
                    </a:prstGeom>
                  </pic:spPr>
                </pic:pic>
              </a:graphicData>
            </a:graphic>
          </wp:anchor>
        </w:drawing>
      </w:r>
    </w:p>
    <w:p>
      <w:pPr>
        <w:pStyle w:val="BodyText"/>
        <w:rPr>
          <w:sz w:val="20"/>
        </w:rPr>
      </w:pPr>
    </w:p>
    <w:p>
      <w:pPr>
        <w:pStyle w:val="BodyText"/>
        <w:rPr>
          <w:sz w:val="20"/>
        </w:rPr>
      </w:pPr>
    </w:p>
    <w:p>
      <w:pPr>
        <w:pStyle w:val="BodyText"/>
        <w:spacing w:before="7"/>
        <w:rPr>
          <w:sz w:val="18"/>
        </w:rPr>
      </w:pPr>
    </w:p>
    <w:p>
      <w:pPr>
        <w:pStyle w:val="ListParagraph"/>
        <w:numPr>
          <w:ilvl w:val="1"/>
          <w:numId w:val="117"/>
        </w:numPr>
        <w:tabs>
          <w:tab w:pos="1264" w:val="left" w:leader="none"/>
        </w:tabs>
        <w:spacing w:line="240" w:lineRule="auto" w:before="0" w:after="0"/>
        <w:ind w:left="1263" w:right="0" w:hanging="424"/>
        <w:jc w:val="left"/>
        <w:rPr>
          <w:b/>
          <w:sz w:val="21"/>
        </w:rPr>
      </w:pPr>
      <w:r>
        <w:rPr>
          <w:spacing w:val="-3"/>
          <w:sz w:val="21"/>
        </w:rPr>
        <w:t>通信距离试验</w:t>
      </w:r>
      <w:r>
        <w:rPr>
          <w:b/>
          <w:w w:val="99"/>
          <w:sz w:val="21"/>
        </w:rPr>
        <w:t> </w:t>
      </w:r>
    </w:p>
    <w:p>
      <w:pPr>
        <w:pStyle w:val="BodyText"/>
        <w:rPr>
          <w:b/>
          <w:sz w:val="18"/>
        </w:rPr>
      </w:pPr>
    </w:p>
    <w:p>
      <w:pPr>
        <w:pStyle w:val="BodyText"/>
        <w:spacing w:line="446" w:lineRule="auto"/>
        <w:ind w:left="418" w:right="1608" w:firstLine="419"/>
        <w:jc w:val="both"/>
      </w:pPr>
      <w:r>
        <w:rPr/>
        <w:t>于空旷地带进行试验，使通信型呼救器报警，记录通信型呼救器与通信接收终端正常通信的最大距离，消除通信型呼救器报瞀状态，使其处于自动状态，接受终端发射信号，记录通信型呼救器与通信接收终端正常通信的最大距离。 </w:t>
      </w:r>
    </w:p>
    <w:p>
      <w:pPr>
        <w:pStyle w:val="ListParagraph"/>
        <w:numPr>
          <w:ilvl w:val="1"/>
          <w:numId w:val="117"/>
        </w:numPr>
        <w:tabs>
          <w:tab w:pos="1264" w:val="left" w:leader="none"/>
        </w:tabs>
        <w:spacing w:line="268" w:lineRule="exact" w:before="0" w:after="0"/>
        <w:ind w:left="1263" w:right="0" w:hanging="424"/>
        <w:jc w:val="left"/>
        <w:rPr>
          <w:sz w:val="21"/>
        </w:rPr>
      </w:pPr>
      <w:r>
        <w:rPr>
          <w:spacing w:val="-3"/>
          <w:sz w:val="21"/>
        </w:rPr>
        <w:t>发光亮度測试</w:t>
      </w:r>
      <w:r>
        <w:rPr>
          <w:sz w:val="21"/>
        </w:rPr>
        <w:t> </w:t>
      </w:r>
    </w:p>
    <w:p>
      <w:pPr>
        <w:pStyle w:val="BodyText"/>
        <w:spacing w:before="12"/>
        <w:rPr>
          <w:sz w:val="17"/>
        </w:rPr>
      </w:pPr>
    </w:p>
    <w:p>
      <w:pPr>
        <w:pStyle w:val="BodyText"/>
        <w:spacing w:line="448" w:lineRule="auto"/>
        <w:ind w:left="418" w:right="1558" w:firstLine="419"/>
      </w:pPr>
      <w:r>
        <w:rPr/>
        <w:drawing>
          <wp:anchor distT="0" distB="0" distL="0" distR="0" allowOverlap="1" layoutInCell="1" locked="0" behindDoc="1" simplePos="0" relativeHeight="215666688">
            <wp:simplePos x="0" y="0"/>
            <wp:positionH relativeFrom="page">
              <wp:posOffset>2199629</wp:posOffset>
            </wp:positionH>
            <wp:positionV relativeFrom="paragraph">
              <wp:posOffset>565658</wp:posOffset>
            </wp:positionV>
            <wp:extent cx="2996159" cy="2295330"/>
            <wp:effectExtent l="0" t="0" r="0" b="0"/>
            <wp:wrapNone/>
            <wp:docPr id="77" name="image56.jpeg"/>
            <wp:cNvGraphicFramePr>
              <a:graphicFrameLocks noChangeAspect="1"/>
            </wp:cNvGraphicFramePr>
            <a:graphic>
              <a:graphicData uri="http://schemas.openxmlformats.org/drawingml/2006/picture">
                <pic:pic>
                  <pic:nvPicPr>
                    <pic:cNvPr id="78" name="image56.jpeg"/>
                    <pic:cNvPicPr/>
                  </pic:nvPicPr>
                  <pic:blipFill>
                    <a:blip r:embed="rId62" cstate="print"/>
                    <a:stretch>
                      <a:fillRect/>
                    </a:stretch>
                  </pic:blipFill>
                  <pic:spPr>
                    <a:xfrm>
                      <a:off x="0" y="0"/>
                      <a:ext cx="2996159" cy="2295330"/>
                    </a:xfrm>
                    <a:prstGeom prst="rect">
                      <a:avLst/>
                    </a:prstGeom>
                  </pic:spPr>
                </pic:pic>
              </a:graphicData>
            </a:graphic>
          </wp:anchor>
        </w:drawing>
      </w:r>
      <w:r>
        <w:rPr>
          <w:spacing w:val="-6"/>
        </w:rPr>
        <w:t>呼救器发光亮度测试点的分布按图 </w:t>
      </w:r>
      <w:r>
        <w:rPr/>
        <w:t>3</w:t>
      </w:r>
      <w:r>
        <w:rPr>
          <w:spacing w:val="-11"/>
        </w:rPr>
        <w:t> 要求，用精度不低于士 </w:t>
      </w:r>
      <w:r>
        <w:rPr/>
        <w:t>5</w:t>
      </w:r>
      <w:r>
        <w:rPr>
          <w:spacing w:val="-3"/>
        </w:rPr>
        <w:t>%的亮度测量仪在呼救器发光</w:t>
      </w:r>
      <w:r>
        <w:rPr>
          <w:spacing w:val="-28"/>
        </w:rPr>
        <w:t>面 </w:t>
      </w:r>
      <w:r>
        <w:rPr/>
        <w:t>5m</w:t>
      </w:r>
      <w:r>
        <w:rPr>
          <w:spacing w:val="-12"/>
        </w:rPr>
        <w:t> 远处测量。</w:t>
      </w:r>
      <w:r>
        <w:rPr/>
        <w:t> </w:t>
      </w:r>
    </w:p>
    <w:p>
      <w:pPr>
        <w:spacing w:after="0" w:line="448" w:lineRule="auto"/>
        <w:sectPr>
          <w:pgSz w:w="11910" w:h="16850"/>
          <w:pgMar w:header="0" w:footer="1239" w:top="1220" w:bottom="1420" w:left="1260" w:right="0"/>
        </w:sectPr>
      </w:pPr>
    </w:p>
    <w:p>
      <w:pPr>
        <w:pStyle w:val="ListParagraph"/>
        <w:numPr>
          <w:ilvl w:val="1"/>
          <w:numId w:val="117"/>
        </w:numPr>
        <w:tabs>
          <w:tab w:pos="1264" w:val="left" w:leader="none"/>
        </w:tabs>
        <w:spacing w:line="240" w:lineRule="auto" w:before="47" w:after="0"/>
        <w:ind w:left="1263" w:right="0" w:hanging="424"/>
        <w:jc w:val="left"/>
        <w:rPr>
          <w:sz w:val="21"/>
        </w:rPr>
      </w:pPr>
      <w:r>
        <w:rPr>
          <w:spacing w:val="-3"/>
          <w:sz w:val="21"/>
        </w:rPr>
        <w:t>模拟烟雾环境方位识别性能试验</w:t>
      </w:r>
      <w:r>
        <w:rPr>
          <w:sz w:val="21"/>
        </w:rPr>
        <w:t> </w:t>
      </w:r>
    </w:p>
    <w:p>
      <w:pPr>
        <w:pStyle w:val="BodyText"/>
        <w:rPr>
          <w:sz w:val="18"/>
        </w:rPr>
      </w:pPr>
    </w:p>
    <w:p>
      <w:pPr>
        <w:pStyle w:val="BodyText"/>
        <w:spacing w:line="446" w:lineRule="auto"/>
        <w:ind w:left="418" w:right="1455" w:firstLine="419"/>
      </w:pPr>
      <w:r>
        <w:rPr>
          <w:spacing w:val="-7"/>
        </w:rPr>
        <w:t>试验室面积应不小于 </w:t>
      </w:r>
      <w:r>
        <w:rPr/>
        <w:t>4m×5m，</w:t>
      </w:r>
      <w:r>
        <w:rPr>
          <w:spacing w:val="-6"/>
        </w:rPr>
        <w:t>使用发烟器发烟，烟气浓度以 </w:t>
      </w:r>
      <w:r>
        <w:rPr/>
        <w:t>1m</w:t>
      </w:r>
      <w:r>
        <w:rPr>
          <w:spacing w:val="-8"/>
        </w:rPr>
        <w:t> 内肉眼无法识别物体为准， </w:t>
      </w:r>
      <w:r>
        <w:rPr>
          <w:spacing w:val="-10"/>
        </w:rPr>
        <w:t>将呼救器放置在距观察点 </w:t>
      </w:r>
      <w:r>
        <w:rPr/>
        <w:t>3m</w:t>
      </w:r>
      <w:r>
        <w:rPr>
          <w:spacing w:val="-9"/>
        </w:rPr>
        <w:t> 远处，观察呼救器方位。 </w:t>
      </w:r>
    </w:p>
    <w:p>
      <w:pPr>
        <w:pStyle w:val="Heading4"/>
        <w:spacing w:line="277" w:lineRule="exact"/>
      </w:pPr>
      <w:r>
        <w:rPr/>
        <w:t>7 检验规则</w:t>
      </w:r>
      <w:r>
        <w:rPr>
          <w:w w:val="99"/>
        </w:rPr>
        <w:t> </w:t>
      </w:r>
    </w:p>
    <w:p>
      <w:pPr>
        <w:pStyle w:val="BodyText"/>
        <w:spacing w:before="4"/>
        <w:rPr>
          <w:b/>
          <w:sz w:val="17"/>
        </w:rPr>
      </w:pPr>
    </w:p>
    <w:p>
      <w:pPr>
        <w:pStyle w:val="ListParagraph"/>
        <w:numPr>
          <w:ilvl w:val="1"/>
          <w:numId w:val="118"/>
        </w:numPr>
        <w:tabs>
          <w:tab w:pos="1160" w:val="left" w:leader="none"/>
        </w:tabs>
        <w:spacing w:line="240" w:lineRule="auto" w:before="0" w:after="0"/>
        <w:ind w:left="1159" w:right="0" w:hanging="320"/>
        <w:jc w:val="left"/>
        <w:rPr>
          <w:b/>
          <w:sz w:val="21"/>
        </w:rPr>
      </w:pPr>
      <w:r>
        <w:rPr>
          <w:spacing w:val="-3"/>
          <w:sz w:val="21"/>
        </w:rPr>
        <w:t>形式检验</w:t>
      </w:r>
      <w:r>
        <w:rPr>
          <w:b/>
          <w:w w:val="99"/>
          <w:sz w:val="21"/>
        </w:rPr>
        <w:t> </w:t>
      </w:r>
    </w:p>
    <w:p>
      <w:pPr>
        <w:pStyle w:val="BodyText"/>
        <w:spacing w:before="12"/>
        <w:rPr>
          <w:b/>
          <w:sz w:val="17"/>
        </w:rPr>
      </w:pPr>
    </w:p>
    <w:p>
      <w:pPr>
        <w:pStyle w:val="ListParagraph"/>
        <w:numPr>
          <w:ilvl w:val="2"/>
          <w:numId w:val="118"/>
        </w:numPr>
        <w:tabs>
          <w:tab w:pos="1371" w:val="left" w:leader="none"/>
        </w:tabs>
        <w:spacing w:line="240" w:lineRule="auto" w:before="0" w:after="0"/>
        <w:ind w:left="1370" w:right="0" w:hanging="531"/>
        <w:jc w:val="left"/>
        <w:rPr>
          <w:sz w:val="21"/>
        </w:rPr>
      </w:pPr>
      <w:r>
        <w:rPr>
          <w:spacing w:val="-3"/>
          <w:sz w:val="21"/>
        </w:rPr>
        <w:t>形式检验在下列情况之一时进行：</w:t>
      </w:r>
      <w:r>
        <w:rPr>
          <w:sz w:val="21"/>
        </w:rPr>
        <w:t> </w:t>
      </w:r>
    </w:p>
    <w:p>
      <w:pPr>
        <w:pStyle w:val="BodyText"/>
        <w:spacing w:before="2"/>
        <w:rPr>
          <w:sz w:val="18"/>
        </w:rPr>
      </w:pPr>
    </w:p>
    <w:p>
      <w:pPr>
        <w:pStyle w:val="BodyText"/>
        <w:ind w:left="838"/>
      </w:pPr>
      <w:r>
        <w:rPr/>
        <w:t>——新产品试制定型时； </w:t>
      </w:r>
    </w:p>
    <w:p>
      <w:pPr>
        <w:pStyle w:val="BodyText"/>
        <w:rPr>
          <w:sz w:val="18"/>
        </w:rPr>
      </w:pPr>
    </w:p>
    <w:p>
      <w:pPr>
        <w:pStyle w:val="BodyText"/>
        <w:ind w:left="838"/>
      </w:pPr>
      <w:r>
        <w:rPr/>
        <w:t>——产品设计、材料、结构、工艺上有较大改变时； </w:t>
      </w:r>
    </w:p>
    <w:p>
      <w:pPr>
        <w:pStyle w:val="BodyText"/>
        <w:rPr>
          <w:sz w:val="18"/>
        </w:rPr>
      </w:pPr>
    </w:p>
    <w:p>
      <w:pPr>
        <w:pStyle w:val="BodyText"/>
        <w:ind w:left="838"/>
      </w:pPr>
      <w:r>
        <w:rPr/>
        <w:t>——正常生产满二年时； </w:t>
      </w:r>
    </w:p>
    <w:p>
      <w:pPr>
        <w:pStyle w:val="BodyText"/>
        <w:spacing w:before="2"/>
        <w:rPr>
          <w:sz w:val="18"/>
        </w:rPr>
      </w:pPr>
    </w:p>
    <w:p>
      <w:pPr>
        <w:pStyle w:val="BodyText"/>
        <w:ind w:left="838"/>
      </w:pPr>
      <w:r>
        <w:rPr/>
        <w:t>——停产一年恢复生产时； </w:t>
      </w:r>
    </w:p>
    <w:p>
      <w:pPr>
        <w:pStyle w:val="BodyText"/>
        <w:spacing w:before="12"/>
        <w:rPr>
          <w:sz w:val="17"/>
        </w:rPr>
      </w:pPr>
    </w:p>
    <w:p>
      <w:pPr>
        <w:pStyle w:val="BodyText"/>
        <w:ind w:left="838"/>
      </w:pPr>
      <w:r>
        <w:rPr/>
        <w:t>——国家质量监督机构提出进行型式检验要求时。 </w:t>
      </w:r>
    </w:p>
    <w:p>
      <w:pPr>
        <w:pStyle w:val="BodyText"/>
        <w:rPr>
          <w:sz w:val="18"/>
        </w:rPr>
      </w:pPr>
    </w:p>
    <w:p>
      <w:pPr>
        <w:pStyle w:val="ListParagraph"/>
        <w:numPr>
          <w:ilvl w:val="2"/>
          <w:numId w:val="118"/>
        </w:numPr>
        <w:tabs>
          <w:tab w:pos="1371" w:val="left" w:leader="none"/>
        </w:tabs>
        <w:spacing w:line="240" w:lineRule="auto" w:before="0" w:after="0"/>
        <w:ind w:left="1370" w:right="0" w:hanging="531"/>
        <w:jc w:val="left"/>
        <w:rPr>
          <w:sz w:val="21"/>
        </w:rPr>
      </w:pPr>
      <w:r>
        <w:rPr>
          <w:spacing w:val="-5"/>
          <w:sz w:val="21"/>
        </w:rPr>
        <w:t>形式检验的样品应在出厂检验合格的产品中随机抽样，样本数为 </w:t>
      </w:r>
      <w:r>
        <w:rPr>
          <w:sz w:val="21"/>
        </w:rPr>
        <w:t>9</w:t>
      </w:r>
      <w:r>
        <w:rPr>
          <w:spacing w:val="-19"/>
          <w:sz w:val="21"/>
        </w:rPr>
        <w:t> 台。 </w:t>
      </w:r>
    </w:p>
    <w:p>
      <w:pPr>
        <w:pStyle w:val="BodyText"/>
        <w:spacing w:before="1"/>
        <w:rPr>
          <w:sz w:val="18"/>
        </w:rPr>
      </w:pPr>
    </w:p>
    <w:p>
      <w:pPr>
        <w:pStyle w:val="ListParagraph"/>
        <w:numPr>
          <w:ilvl w:val="2"/>
          <w:numId w:val="118"/>
        </w:numPr>
        <w:tabs>
          <w:tab w:pos="1369" w:val="left" w:leader="none"/>
        </w:tabs>
        <w:spacing w:line="240" w:lineRule="auto" w:before="1" w:after="0"/>
        <w:ind w:left="1368" w:right="0" w:hanging="531"/>
        <w:jc w:val="left"/>
        <w:rPr>
          <w:sz w:val="21"/>
        </w:rPr>
      </w:pPr>
      <w:r>
        <w:rPr>
          <w:spacing w:val="-6"/>
          <w:sz w:val="21"/>
        </w:rPr>
        <w:t>形式检验项目、试验程序和不合格分类应按表 </w:t>
      </w:r>
      <w:r>
        <w:rPr>
          <w:sz w:val="21"/>
        </w:rPr>
        <w:t>3</w:t>
      </w:r>
      <w:r>
        <w:rPr>
          <w:spacing w:val="-15"/>
          <w:sz w:val="21"/>
        </w:rPr>
        <w:t> 进行。</w:t>
      </w:r>
      <w:r>
        <w:rPr>
          <w:sz w:val="21"/>
        </w:rPr>
        <w:t> </w:t>
      </w:r>
    </w:p>
    <w:p>
      <w:pPr>
        <w:pStyle w:val="BodyText"/>
        <w:spacing w:before="5"/>
        <w:rPr>
          <w:sz w:val="17"/>
        </w:rPr>
      </w:pPr>
      <w:r>
        <w:rPr/>
        <w:drawing>
          <wp:anchor distT="0" distB="0" distL="0" distR="0" allowOverlap="1" layoutInCell="1" locked="0" behindDoc="0" simplePos="0" relativeHeight="33">
            <wp:simplePos x="0" y="0"/>
            <wp:positionH relativeFrom="page">
              <wp:posOffset>1303655</wp:posOffset>
            </wp:positionH>
            <wp:positionV relativeFrom="paragraph">
              <wp:posOffset>166663</wp:posOffset>
            </wp:positionV>
            <wp:extent cx="4741829" cy="4152900"/>
            <wp:effectExtent l="0" t="0" r="0" b="0"/>
            <wp:wrapTopAndBottom/>
            <wp:docPr id="79" name="image57.jpeg"/>
            <wp:cNvGraphicFramePr>
              <a:graphicFrameLocks noChangeAspect="1"/>
            </wp:cNvGraphicFramePr>
            <a:graphic>
              <a:graphicData uri="http://schemas.openxmlformats.org/drawingml/2006/picture">
                <pic:pic>
                  <pic:nvPicPr>
                    <pic:cNvPr id="80" name="image57.jpeg"/>
                    <pic:cNvPicPr/>
                  </pic:nvPicPr>
                  <pic:blipFill>
                    <a:blip r:embed="rId63" cstate="print"/>
                    <a:stretch>
                      <a:fillRect/>
                    </a:stretch>
                  </pic:blipFill>
                  <pic:spPr>
                    <a:xfrm>
                      <a:off x="0" y="0"/>
                      <a:ext cx="4741829" cy="4152900"/>
                    </a:xfrm>
                    <a:prstGeom prst="rect">
                      <a:avLst/>
                    </a:prstGeom>
                  </pic:spPr>
                </pic:pic>
              </a:graphicData>
            </a:graphic>
          </wp:anchor>
        </w:drawing>
      </w:r>
    </w:p>
    <w:p>
      <w:pPr>
        <w:pStyle w:val="BodyText"/>
        <w:rPr>
          <w:sz w:val="20"/>
        </w:rPr>
      </w:pPr>
    </w:p>
    <w:p>
      <w:pPr>
        <w:pStyle w:val="BodyText"/>
        <w:rPr>
          <w:sz w:val="20"/>
        </w:rPr>
      </w:pPr>
    </w:p>
    <w:p>
      <w:pPr>
        <w:pStyle w:val="BodyText"/>
        <w:spacing w:before="169"/>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spacing w:before="7"/>
        <w:rPr>
          <w:sz w:val="25"/>
        </w:rPr>
      </w:pPr>
    </w:p>
    <w:p>
      <w:pPr>
        <w:pStyle w:val="Heading6"/>
        <w:spacing w:before="72"/>
        <w:ind w:left="840"/>
      </w:pPr>
      <w:r>
        <w:rPr/>
        <w:t>续表 3 </w:t>
      </w:r>
    </w:p>
    <w:p>
      <w:pPr>
        <w:pStyle w:val="BodyText"/>
        <w:spacing w:before="1"/>
        <w:rPr>
          <w:b/>
          <w:sz w:val="10"/>
        </w:rPr>
      </w:pPr>
      <w:r>
        <w:rPr/>
        <w:drawing>
          <wp:anchor distT="0" distB="0" distL="0" distR="0" allowOverlap="1" layoutInCell="1" locked="0" behindDoc="0" simplePos="0" relativeHeight="34">
            <wp:simplePos x="0" y="0"/>
            <wp:positionH relativeFrom="page">
              <wp:posOffset>1357630</wp:posOffset>
            </wp:positionH>
            <wp:positionV relativeFrom="paragraph">
              <wp:posOffset>107362</wp:posOffset>
            </wp:positionV>
            <wp:extent cx="4698247" cy="4032504"/>
            <wp:effectExtent l="0" t="0" r="0" b="0"/>
            <wp:wrapTopAndBottom/>
            <wp:docPr id="81" name="image58.jpeg"/>
            <wp:cNvGraphicFramePr>
              <a:graphicFrameLocks noChangeAspect="1"/>
            </wp:cNvGraphicFramePr>
            <a:graphic>
              <a:graphicData uri="http://schemas.openxmlformats.org/drawingml/2006/picture">
                <pic:pic>
                  <pic:nvPicPr>
                    <pic:cNvPr id="82" name="image58.jpeg"/>
                    <pic:cNvPicPr/>
                  </pic:nvPicPr>
                  <pic:blipFill>
                    <a:blip r:embed="rId64" cstate="print"/>
                    <a:stretch>
                      <a:fillRect/>
                    </a:stretch>
                  </pic:blipFill>
                  <pic:spPr>
                    <a:xfrm>
                      <a:off x="0" y="0"/>
                      <a:ext cx="4698247" cy="4032504"/>
                    </a:xfrm>
                    <a:prstGeom prst="rect">
                      <a:avLst/>
                    </a:prstGeom>
                  </pic:spPr>
                </pic:pic>
              </a:graphicData>
            </a:graphic>
          </wp:anchor>
        </w:drawing>
      </w:r>
    </w:p>
    <w:p>
      <w:pPr>
        <w:pStyle w:val="ListParagraph"/>
        <w:numPr>
          <w:ilvl w:val="2"/>
          <w:numId w:val="118"/>
        </w:numPr>
        <w:tabs>
          <w:tab w:pos="1371" w:val="left" w:leader="none"/>
        </w:tabs>
        <w:spacing w:line="240" w:lineRule="auto" w:before="172" w:after="0"/>
        <w:ind w:left="1370" w:right="0" w:hanging="531"/>
        <w:jc w:val="left"/>
        <w:rPr>
          <w:sz w:val="21"/>
        </w:rPr>
      </w:pPr>
      <w:r>
        <w:rPr>
          <w:spacing w:val="-3"/>
          <w:sz w:val="21"/>
        </w:rPr>
        <w:t>检验结果出现下列情况之一时即判定为不合格：</w:t>
      </w:r>
      <w:r>
        <w:rPr>
          <w:sz w:val="21"/>
        </w:rPr>
        <w:t> </w:t>
      </w:r>
    </w:p>
    <w:p>
      <w:pPr>
        <w:pStyle w:val="BodyText"/>
        <w:spacing w:before="2"/>
        <w:rPr>
          <w:sz w:val="18"/>
        </w:rPr>
      </w:pPr>
    </w:p>
    <w:p>
      <w:pPr>
        <w:pStyle w:val="BodyText"/>
        <w:ind w:left="838"/>
      </w:pPr>
      <w:r>
        <w:rPr/>
        <w:t>——出现 A 类不合格； </w:t>
      </w:r>
    </w:p>
    <w:p>
      <w:pPr>
        <w:pStyle w:val="BodyText"/>
        <w:rPr>
          <w:sz w:val="18"/>
        </w:rPr>
      </w:pPr>
    </w:p>
    <w:p>
      <w:pPr>
        <w:pStyle w:val="BodyText"/>
        <w:ind w:left="838"/>
      </w:pPr>
      <w:r>
        <w:rPr/>
        <w:t>——出现大于或等于二个B 类不合格； </w:t>
      </w:r>
    </w:p>
    <w:p>
      <w:pPr>
        <w:pStyle w:val="BodyText"/>
        <w:spacing w:before="12"/>
        <w:rPr>
          <w:sz w:val="17"/>
        </w:rPr>
      </w:pPr>
    </w:p>
    <w:p>
      <w:pPr>
        <w:pStyle w:val="BodyText"/>
        <w:spacing w:line="446" w:lineRule="auto"/>
        <w:ind w:left="840" w:right="4026" w:hanging="3"/>
        <w:rPr>
          <w:b/>
        </w:rPr>
      </w:pPr>
      <w:r>
        <w:rPr>
          <w:spacing w:val="-9"/>
        </w:rPr>
        <w:t>——出现一个 </w:t>
      </w:r>
      <w:r>
        <w:rPr/>
        <w:t>B</w:t>
      </w:r>
      <w:r>
        <w:rPr>
          <w:spacing w:val="-11"/>
        </w:rPr>
        <w:t> 类不合格，同时出现不少于二个 </w:t>
      </w:r>
      <w:r>
        <w:rPr/>
        <w:t>C</w:t>
      </w:r>
      <w:r>
        <w:rPr>
          <w:spacing w:val="-11"/>
        </w:rPr>
        <w:t> 类不合格。</w:t>
      </w:r>
      <w:r>
        <w:rPr>
          <w:b/>
        </w:rPr>
        <w:t>7.2 </w:t>
      </w:r>
      <w:r>
        <w:rPr>
          <w:spacing w:val="-3"/>
        </w:rPr>
        <w:t>出厂检验</w:t>
      </w:r>
      <w:r>
        <w:rPr>
          <w:b/>
          <w:w w:val="99"/>
        </w:rPr>
        <w:t> </w:t>
      </w:r>
    </w:p>
    <w:p>
      <w:pPr>
        <w:pStyle w:val="BodyText"/>
        <w:ind w:left="840"/>
      </w:pPr>
      <w:r>
        <w:rPr>
          <w:b/>
        </w:rPr>
        <w:t>7.2.1 </w:t>
      </w:r>
      <w:r>
        <w:rPr/>
        <w:t>每台呼救器应检验合格后方可出厂，并应附有产品合格证。 </w:t>
      </w:r>
    </w:p>
    <w:p>
      <w:pPr>
        <w:pStyle w:val="BodyText"/>
        <w:spacing w:before="12"/>
        <w:rPr>
          <w:sz w:val="17"/>
        </w:rPr>
      </w:pPr>
    </w:p>
    <w:p>
      <w:pPr>
        <w:pStyle w:val="BodyText"/>
        <w:ind w:left="840"/>
      </w:pPr>
      <w:r>
        <w:rPr>
          <w:b/>
        </w:rPr>
        <w:t>7.2.2 </w:t>
      </w:r>
      <w:r>
        <w:rPr/>
        <w:t>每台呼救器的出厂检验项目应包括 5.2、5.3.1~5.3.4、5.3.7、5.3.8、5.3.10a)、</w:t>
      </w:r>
    </w:p>
    <w:p>
      <w:pPr>
        <w:pStyle w:val="BodyText"/>
        <w:spacing w:before="2"/>
        <w:rPr>
          <w:sz w:val="18"/>
        </w:rPr>
      </w:pPr>
    </w:p>
    <w:p>
      <w:pPr>
        <w:pStyle w:val="BodyText"/>
        <w:ind w:left="418"/>
      </w:pPr>
      <w:r>
        <w:rPr/>
        <w:t>5.3.18，通信型呼救器还应包括 5.3.14~5.3.17。 </w:t>
      </w:r>
    </w:p>
    <w:p>
      <w:pPr>
        <w:pStyle w:val="BodyText"/>
        <w:rPr>
          <w:sz w:val="18"/>
        </w:rPr>
      </w:pPr>
    </w:p>
    <w:p>
      <w:pPr>
        <w:pStyle w:val="BodyText"/>
        <w:ind w:left="840"/>
      </w:pPr>
      <w:r>
        <w:rPr>
          <w:b/>
        </w:rPr>
        <w:t>7.2.3 </w:t>
      </w:r>
      <w:r>
        <w:rPr/>
        <w:t>检验结果如有一项不符合本标准规定，则该台产品出厂检验为不合格。 </w:t>
      </w:r>
    </w:p>
    <w:p>
      <w:pPr>
        <w:pStyle w:val="BodyText"/>
        <w:spacing w:before="8"/>
        <w:rPr>
          <w:sz w:val="15"/>
        </w:rPr>
      </w:pPr>
    </w:p>
    <w:p>
      <w:pPr>
        <w:pStyle w:val="Heading4"/>
      </w:pPr>
      <w:r>
        <w:rPr/>
        <w:t>8 标志、包装、运输和贮存</w:t>
      </w:r>
      <w:r>
        <w:rPr>
          <w:w w:val="99"/>
        </w:rPr>
        <w:t> </w:t>
      </w:r>
    </w:p>
    <w:p>
      <w:pPr>
        <w:pStyle w:val="BodyText"/>
        <w:spacing w:before="6"/>
        <w:rPr>
          <w:b/>
          <w:sz w:val="17"/>
        </w:rPr>
      </w:pPr>
    </w:p>
    <w:p>
      <w:pPr>
        <w:pStyle w:val="ListParagraph"/>
        <w:numPr>
          <w:ilvl w:val="1"/>
          <w:numId w:val="119"/>
        </w:numPr>
        <w:tabs>
          <w:tab w:pos="1160" w:val="left" w:leader="none"/>
        </w:tabs>
        <w:spacing w:line="240" w:lineRule="auto" w:before="1" w:after="0"/>
        <w:ind w:left="1159" w:right="0" w:hanging="320"/>
        <w:jc w:val="left"/>
        <w:rPr>
          <w:sz w:val="21"/>
        </w:rPr>
      </w:pPr>
      <w:r>
        <w:rPr>
          <w:spacing w:val="-3"/>
          <w:sz w:val="21"/>
        </w:rPr>
        <w:t>标志</w:t>
      </w:r>
      <w:r>
        <w:rPr>
          <w:sz w:val="21"/>
        </w:rPr>
        <w:t> </w:t>
      </w:r>
    </w:p>
    <w:p>
      <w:pPr>
        <w:spacing w:after="0" w:line="240" w:lineRule="auto"/>
        <w:jc w:val="left"/>
        <w:rPr>
          <w:sz w:val="21"/>
        </w:rPr>
        <w:sectPr>
          <w:pgSz w:w="11910" w:h="16850"/>
          <w:pgMar w:header="0" w:footer="1239" w:top="1600" w:bottom="1420" w:left="1260" w:right="0"/>
        </w:sectPr>
      </w:pPr>
    </w:p>
    <w:p>
      <w:pPr>
        <w:pStyle w:val="ListParagraph"/>
        <w:numPr>
          <w:ilvl w:val="2"/>
          <w:numId w:val="119"/>
        </w:numPr>
        <w:tabs>
          <w:tab w:pos="1371" w:val="left" w:leader="none"/>
        </w:tabs>
        <w:spacing w:line="240" w:lineRule="auto" w:before="47" w:after="0"/>
        <w:ind w:left="1370" w:right="0" w:hanging="531"/>
        <w:jc w:val="left"/>
        <w:rPr>
          <w:sz w:val="21"/>
        </w:rPr>
      </w:pPr>
      <w:r>
        <w:rPr>
          <w:spacing w:val="-3"/>
          <w:sz w:val="21"/>
        </w:rPr>
        <w:t>产品标志</w:t>
      </w:r>
      <w:r>
        <w:rPr>
          <w:sz w:val="21"/>
        </w:rPr>
        <w:t> </w:t>
      </w:r>
    </w:p>
    <w:p>
      <w:pPr>
        <w:pStyle w:val="BodyText"/>
        <w:rPr>
          <w:sz w:val="18"/>
        </w:rPr>
      </w:pPr>
    </w:p>
    <w:p>
      <w:pPr>
        <w:pStyle w:val="BodyText"/>
        <w:spacing w:line="446" w:lineRule="auto"/>
        <w:ind w:left="838" w:right="7595"/>
      </w:pPr>
      <w:r>
        <w:rPr>
          <w:spacing w:val="-3"/>
        </w:rPr>
        <w:t>产品上应标有如下内容: </w:t>
      </w:r>
      <w:r>
        <w:rPr/>
        <w:t>a)</w:t>
      </w:r>
      <w:r>
        <w:rPr>
          <w:spacing w:val="-2"/>
        </w:rPr>
        <w:t>  产品名称、型号； </w:t>
      </w:r>
      <w:r>
        <w:rPr/>
        <w:t>b)</w:t>
      </w:r>
      <w:r>
        <w:rPr>
          <w:spacing w:val="-3"/>
        </w:rPr>
        <w:t> 生产厂名；</w:t>
      </w:r>
      <w:r>
        <w:rPr/>
        <w:t> </w:t>
      </w:r>
    </w:p>
    <w:p>
      <w:pPr>
        <w:pStyle w:val="BodyText"/>
        <w:spacing w:line="446" w:lineRule="auto"/>
        <w:ind w:left="838" w:right="8330"/>
      </w:pPr>
      <w:r>
        <w:rPr/>
        <w:t>c)</w:t>
      </w:r>
      <w:r>
        <w:rPr>
          <w:spacing w:val="-2"/>
        </w:rPr>
        <w:t> 生产日期； </w:t>
      </w:r>
      <w:r>
        <w:rPr/>
        <w:t>d)</w:t>
      </w:r>
      <w:r>
        <w:rPr>
          <w:spacing w:val="-2"/>
        </w:rPr>
        <w:t> 防爆标志；</w:t>
      </w:r>
      <w:r>
        <w:rPr/>
        <w:t> </w:t>
      </w:r>
    </w:p>
    <w:p>
      <w:pPr>
        <w:spacing w:line="446" w:lineRule="auto" w:before="0"/>
        <w:ind w:left="840" w:right="7914" w:hanging="3"/>
        <w:jc w:val="left"/>
        <w:rPr>
          <w:sz w:val="21"/>
        </w:rPr>
      </w:pPr>
      <w:r>
        <w:rPr>
          <w:sz w:val="21"/>
        </w:rPr>
        <w:t>e) 执行标准代号。</w:t>
      </w:r>
      <w:r>
        <w:rPr>
          <w:b/>
          <w:sz w:val="21"/>
        </w:rPr>
        <w:t>8.1.2 </w:t>
      </w:r>
      <w:r>
        <w:rPr>
          <w:sz w:val="21"/>
        </w:rPr>
        <w:t>包装标志 </w:t>
      </w:r>
    </w:p>
    <w:p>
      <w:pPr>
        <w:pStyle w:val="BodyText"/>
        <w:spacing w:line="446" w:lineRule="auto"/>
        <w:ind w:left="838" w:right="7338"/>
      </w:pPr>
      <w:r>
        <w:rPr/>
        <w:t>包装上应标有如下内容： a) 生产厂名、厂址； </w:t>
      </w:r>
    </w:p>
    <w:p>
      <w:pPr>
        <w:pStyle w:val="BodyText"/>
        <w:spacing w:line="446" w:lineRule="auto"/>
        <w:ind w:left="838" w:right="6918"/>
      </w:pPr>
      <w:r>
        <w:rPr/>
        <w:t>b) 产品名称、型号、标准号； c) 生产日期； </w:t>
      </w:r>
    </w:p>
    <w:p>
      <w:pPr>
        <w:pStyle w:val="BodyText"/>
        <w:spacing w:line="446" w:lineRule="auto"/>
        <w:ind w:left="840" w:right="2451" w:hanging="3"/>
        <w:rPr>
          <w:b/>
        </w:rPr>
      </w:pPr>
      <w:r>
        <w:rPr/>
        <w:t>d)</w:t>
      </w:r>
      <w:r>
        <w:rPr>
          <w:spacing w:val="-5"/>
        </w:rPr>
        <w:t> 应标有“小心轻放”、“防止雨淋”等标志，并符合 </w:t>
      </w:r>
      <w:r>
        <w:rPr/>
        <w:t>GB/T 191</w:t>
      </w:r>
      <w:r>
        <w:rPr>
          <w:spacing w:val="-11"/>
        </w:rPr>
        <w:t> 有关规定。</w:t>
      </w:r>
      <w:r>
        <w:rPr>
          <w:b/>
          <w:spacing w:val="-11"/>
        </w:rPr>
        <w:t>8.2</w:t>
      </w:r>
      <w:r>
        <w:rPr>
          <w:b/>
          <w:spacing w:val="1"/>
        </w:rPr>
        <w:t> </w:t>
      </w:r>
      <w:r>
        <w:rPr>
          <w:spacing w:val="-3"/>
        </w:rPr>
        <w:t>包装</w:t>
      </w:r>
      <w:r>
        <w:rPr>
          <w:b/>
          <w:w w:val="99"/>
        </w:rPr>
        <w:t> </w:t>
      </w:r>
    </w:p>
    <w:p>
      <w:pPr>
        <w:pStyle w:val="BodyText"/>
        <w:spacing w:line="446" w:lineRule="auto"/>
        <w:ind w:left="840" w:right="2662" w:hanging="3"/>
      </w:pPr>
      <w:r>
        <w:rPr/>
        <w:t>每台呼救器用塑料袋封装后装入包装纸盒，并附有产品合格证和使用说明书„ </w:t>
      </w:r>
      <w:r>
        <w:rPr>
          <w:b/>
        </w:rPr>
        <w:t>8.3 </w:t>
      </w:r>
      <w:r>
        <w:rPr/>
        <w:t>运输和贮存 </w:t>
      </w:r>
    </w:p>
    <w:p>
      <w:pPr>
        <w:pStyle w:val="ListParagraph"/>
        <w:numPr>
          <w:ilvl w:val="2"/>
          <w:numId w:val="120"/>
        </w:numPr>
        <w:tabs>
          <w:tab w:pos="1371" w:val="left" w:leader="none"/>
        </w:tabs>
        <w:spacing w:line="240" w:lineRule="auto" w:before="0" w:after="0"/>
        <w:ind w:left="1370" w:right="0" w:hanging="531"/>
        <w:jc w:val="left"/>
        <w:rPr>
          <w:sz w:val="21"/>
        </w:rPr>
      </w:pPr>
      <w:r>
        <w:rPr>
          <w:spacing w:val="-3"/>
          <w:sz w:val="21"/>
        </w:rPr>
        <w:t>呼救器在运输过程中应避免重压、碰撞和雨淋。</w:t>
      </w:r>
      <w:r>
        <w:rPr>
          <w:sz w:val="21"/>
        </w:rPr>
        <w:t> </w:t>
      </w:r>
    </w:p>
    <w:p>
      <w:pPr>
        <w:pStyle w:val="BodyText"/>
        <w:spacing w:before="7"/>
        <w:rPr>
          <w:sz w:val="17"/>
        </w:rPr>
      </w:pPr>
    </w:p>
    <w:p>
      <w:pPr>
        <w:pStyle w:val="ListParagraph"/>
        <w:numPr>
          <w:ilvl w:val="2"/>
          <w:numId w:val="120"/>
        </w:numPr>
        <w:tabs>
          <w:tab w:pos="1371" w:val="left" w:leader="none"/>
        </w:tabs>
        <w:spacing w:line="240" w:lineRule="auto" w:before="0" w:after="0"/>
        <w:ind w:left="1370" w:right="0" w:hanging="531"/>
        <w:jc w:val="left"/>
        <w:rPr>
          <w:sz w:val="21"/>
        </w:rPr>
      </w:pPr>
      <w:r>
        <w:rPr>
          <w:spacing w:val="-3"/>
          <w:sz w:val="21"/>
        </w:rPr>
        <w:t>呼救器应贮存在干燥、通风、无腐蚀性化学品的场所。</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3"/>
        </w:rPr>
      </w:pPr>
    </w:p>
    <w:p>
      <w:pPr>
        <w:pStyle w:val="BodyText"/>
        <w:spacing w:before="71"/>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4"/>
        </w:rPr>
      </w:pPr>
    </w:p>
    <w:p>
      <w:pPr>
        <w:pStyle w:val="Heading2"/>
        <w:spacing w:before="58"/>
        <w:ind w:right="868"/>
      </w:pPr>
      <w:bookmarkStart w:name="_bookmark6" w:id="7"/>
      <w:bookmarkEnd w:id="7"/>
      <w:r>
        <w:rPr>
          <w:b w:val="0"/>
        </w:rPr>
      </w:r>
      <w:r>
        <w:rPr/>
        <w:t>消防水泵接合器</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本标准规定了消防水泵接合器的术语和定义、分类、技术要求、试验方法、检验规则及标志、包装。本标准适用于消防管道中的各种消防水泵接合器。 </w:t>
      </w:r>
    </w:p>
    <w:p>
      <w:pPr>
        <w:pStyle w:val="Heading4"/>
        <w:spacing w:line="277" w:lineRule="exact"/>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ind w:left="838"/>
      </w:pPr>
      <w:r>
        <w:rPr/>
        <w:t>GB/T 197-2003 普通螺纹 公差 </w:t>
      </w:r>
    </w:p>
    <w:p>
      <w:pPr>
        <w:pStyle w:val="BodyText"/>
        <w:rPr>
          <w:sz w:val="18"/>
        </w:rPr>
      </w:pPr>
    </w:p>
    <w:p>
      <w:pPr>
        <w:pStyle w:val="BodyText"/>
        <w:spacing w:line="446" w:lineRule="auto"/>
        <w:ind w:left="838" w:right="6234"/>
      </w:pPr>
      <w:r>
        <w:rPr/>
        <w:t>GB/T 1176-1987 铸造铜合金技术条件GB/T 1348-2009 球墨铸铁件 </w:t>
      </w:r>
    </w:p>
    <w:p>
      <w:pPr>
        <w:pStyle w:val="BodyText"/>
        <w:ind w:left="838"/>
      </w:pPr>
      <w:r>
        <w:rPr/>
        <w:t>GB/T 2100-2002 一般用途耐蚀钢铸件 </w:t>
      </w:r>
    </w:p>
    <w:p>
      <w:pPr>
        <w:pStyle w:val="BodyText"/>
        <w:spacing w:before="12"/>
        <w:rPr>
          <w:sz w:val="17"/>
        </w:rPr>
      </w:pPr>
    </w:p>
    <w:p>
      <w:pPr>
        <w:pStyle w:val="BodyText"/>
        <w:spacing w:line="446" w:lineRule="auto"/>
        <w:ind w:left="838" w:right="2979"/>
      </w:pPr>
      <w:r>
        <w:rPr/>
        <w:t>GB/T 7306.2-2000 55</w:t>
      </w:r>
      <w:r>
        <w:rPr>
          <w:spacing w:val="-9"/>
        </w:rPr>
        <w:t>°密封管螺纹 第 </w:t>
      </w:r>
      <w:r>
        <w:rPr/>
        <w:t>2</w:t>
      </w:r>
      <w:r>
        <w:rPr>
          <w:spacing w:val="-9"/>
        </w:rPr>
        <w:t> 部分：圆锥内螺纹和圆锥外螺纹</w:t>
      </w:r>
      <w:r>
        <w:rPr/>
        <w:t>GB/T</w:t>
      </w:r>
      <w:r>
        <w:rPr>
          <w:spacing w:val="104"/>
        </w:rPr>
        <w:t> </w:t>
      </w:r>
      <w:r>
        <w:rPr/>
        <w:t>7307 55</w:t>
      </w:r>
      <w:r>
        <w:rPr>
          <w:spacing w:val="-3"/>
        </w:rPr>
        <w:t>°非密封管螺纹</w:t>
      </w:r>
      <w:r>
        <w:rPr/>
        <w:t> </w:t>
      </w:r>
    </w:p>
    <w:p>
      <w:pPr>
        <w:pStyle w:val="BodyText"/>
        <w:spacing w:before="1"/>
        <w:ind w:left="838"/>
      </w:pPr>
      <w:r>
        <w:rPr/>
        <w:t>GB/T 9439-2010 灰铸铁件 </w:t>
      </w:r>
    </w:p>
    <w:p>
      <w:pPr>
        <w:pStyle w:val="BodyText"/>
        <w:spacing w:before="12"/>
        <w:rPr>
          <w:sz w:val="17"/>
        </w:rPr>
      </w:pPr>
    </w:p>
    <w:p>
      <w:pPr>
        <w:pStyle w:val="BodyText"/>
        <w:ind w:left="838"/>
      </w:pPr>
      <w:r>
        <w:rPr/>
        <w:t>GB 12514.1-2005 消防接口 第 1 部分：消防接口通用技术条件 </w:t>
      </w:r>
    </w:p>
    <w:p>
      <w:pPr>
        <w:pStyle w:val="BodyText"/>
        <w:spacing w:before="2"/>
        <w:rPr>
          <w:sz w:val="18"/>
        </w:rPr>
      </w:pPr>
    </w:p>
    <w:p>
      <w:pPr>
        <w:pStyle w:val="BodyText"/>
        <w:ind w:left="838"/>
      </w:pPr>
      <w:r>
        <w:rPr/>
        <w:t>GB 12514.2-2006 消防接口 第 2 部分：内扣式消防接口形式和基本参数 </w:t>
      </w:r>
    </w:p>
    <w:p>
      <w:pPr>
        <w:pStyle w:val="BodyText"/>
        <w:spacing w:before="8"/>
        <w:rPr>
          <w:sz w:val="15"/>
        </w:rPr>
      </w:pPr>
    </w:p>
    <w:p>
      <w:pPr>
        <w:pStyle w:val="Heading4"/>
      </w:pPr>
      <w:r>
        <w:rPr/>
        <w:t>3 术语和定义</w:t>
      </w:r>
      <w:r>
        <w:rPr>
          <w:w w:val="99"/>
        </w:rPr>
        <w:t> </w:t>
      </w:r>
    </w:p>
    <w:p>
      <w:pPr>
        <w:pStyle w:val="BodyText"/>
        <w:spacing w:before="4"/>
        <w:rPr>
          <w:b/>
          <w:sz w:val="17"/>
        </w:rPr>
      </w:pPr>
    </w:p>
    <w:p>
      <w:pPr>
        <w:pStyle w:val="BodyText"/>
        <w:ind w:left="838"/>
      </w:pPr>
      <w:r>
        <w:rPr/>
        <w:t>下列术语和定义适用于本文件。 </w:t>
      </w:r>
    </w:p>
    <w:p>
      <w:pPr>
        <w:pStyle w:val="BodyText"/>
        <w:spacing w:before="1"/>
        <w:rPr>
          <w:sz w:val="18"/>
        </w:rPr>
      </w:pPr>
    </w:p>
    <w:p>
      <w:pPr>
        <w:pStyle w:val="BodyText"/>
        <w:spacing w:before="1"/>
        <w:ind w:left="840"/>
      </w:pPr>
      <w:r>
        <w:rPr>
          <w:b/>
        </w:rPr>
        <w:t>3.1 </w:t>
      </w:r>
      <w:r>
        <w:rPr/>
        <w:t>消防水泵接合器 Siamese connection </w:t>
      </w:r>
    </w:p>
    <w:p>
      <w:pPr>
        <w:pStyle w:val="BodyText"/>
        <w:spacing w:before="12"/>
        <w:rPr>
          <w:sz w:val="17"/>
        </w:rPr>
      </w:pPr>
    </w:p>
    <w:p>
      <w:pPr>
        <w:pStyle w:val="BodyText"/>
        <w:spacing w:line="446" w:lineRule="auto"/>
        <w:ind w:left="418" w:right="1609" w:firstLine="419"/>
      </w:pPr>
      <w:r>
        <w:rPr/>
        <w:t>固定设置在建筑物外，用于消防车或机动泵向建筑物内消防给水系统输送消防用水和其他液体灭火剂的连接器具。 </w:t>
      </w:r>
    </w:p>
    <w:p>
      <w:pPr>
        <w:spacing w:after="0" w:line="446" w:lineRule="auto"/>
        <w:sectPr>
          <w:pgSz w:w="11910" w:h="16850"/>
          <w:pgMar w:header="0" w:footer="1239" w:top="1600" w:bottom="1420" w:left="1260" w:right="0"/>
        </w:sectPr>
      </w:pPr>
    </w:p>
    <w:p>
      <w:pPr>
        <w:pStyle w:val="Heading4"/>
        <w:spacing w:before="37"/>
      </w:pPr>
      <w:r>
        <w:rPr/>
        <w:t>4 分类</w:t>
      </w:r>
      <w:r>
        <w:rPr>
          <w:w w:val="99"/>
        </w:rPr>
        <w:t> </w:t>
      </w:r>
    </w:p>
    <w:p>
      <w:pPr>
        <w:pStyle w:val="BodyText"/>
        <w:spacing w:before="4"/>
        <w:rPr>
          <w:b/>
          <w:sz w:val="17"/>
        </w:rPr>
      </w:pPr>
    </w:p>
    <w:p>
      <w:pPr>
        <w:pStyle w:val="ListParagraph"/>
        <w:numPr>
          <w:ilvl w:val="1"/>
          <w:numId w:val="121"/>
        </w:numPr>
        <w:tabs>
          <w:tab w:pos="1159" w:val="left" w:leader="none"/>
        </w:tabs>
        <w:spacing w:line="240" w:lineRule="auto" w:before="1" w:after="0"/>
        <w:ind w:left="1158" w:right="0" w:hanging="319"/>
        <w:jc w:val="left"/>
        <w:rPr>
          <w:b/>
          <w:sz w:val="21"/>
        </w:rPr>
      </w:pPr>
      <w:r>
        <w:rPr>
          <w:spacing w:val="-3"/>
          <w:sz w:val="21"/>
        </w:rPr>
        <w:t>形式和规格</w:t>
      </w:r>
      <w:r>
        <w:rPr>
          <w:b/>
          <w:w w:val="99"/>
          <w:sz w:val="21"/>
        </w:rPr>
        <w:t> </w:t>
      </w:r>
    </w:p>
    <w:p>
      <w:pPr>
        <w:pStyle w:val="BodyText"/>
        <w:spacing w:before="12"/>
        <w:rPr>
          <w:b/>
          <w:sz w:val="17"/>
        </w:rPr>
      </w:pPr>
    </w:p>
    <w:p>
      <w:pPr>
        <w:pStyle w:val="ListParagraph"/>
        <w:numPr>
          <w:ilvl w:val="2"/>
          <w:numId w:val="121"/>
        </w:numPr>
        <w:tabs>
          <w:tab w:pos="1371" w:val="left" w:leader="none"/>
        </w:tabs>
        <w:spacing w:line="446" w:lineRule="auto" w:before="0" w:after="0"/>
        <w:ind w:left="418" w:right="1500" w:firstLine="422"/>
        <w:jc w:val="left"/>
        <w:rPr>
          <w:sz w:val="21"/>
        </w:rPr>
      </w:pPr>
      <w:r>
        <w:rPr>
          <w:spacing w:val="-3"/>
          <w:sz w:val="21"/>
        </w:rPr>
        <w:t>消防水泵接合器（以下简称“接合器”)按安装型式可分为地上式、地下式、墙壁式和多用式。</w:t>
      </w:r>
      <w:r>
        <w:rPr>
          <w:sz w:val="21"/>
        </w:rPr>
        <w:t> </w:t>
      </w:r>
    </w:p>
    <w:p>
      <w:pPr>
        <w:pStyle w:val="ListParagraph"/>
        <w:numPr>
          <w:ilvl w:val="2"/>
          <w:numId w:val="121"/>
        </w:numPr>
        <w:tabs>
          <w:tab w:pos="1371" w:val="left" w:leader="none"/>
        </w:tabs>
        <w:spacing w:line="240" w:lineRule="auto" w:before="0" w:after="0"/>
        <w:ind w:left="1370" w:right="0" w:hanging="531"/>
        <w:jc w:val="left"/>
        <w:rPr>
          <w:sz w:val="21"/>
        </w:rPr>
      </w:pPr>
      <w:r>
        <w:rPr>
          <w:spacing w:val="-7"/>
          <w:sz w:val="21"/>
        </w:rPr>
        <w:t>按接合器出口的公称通径可分为 </w:t>
      </w:r>
      <w:r>
        <w:rPr>
          <w:sz w:val="21"/>
        </w:rPr>
        <w:t>100mm</w:t>
      </w:r>
      <w:r>
        <w:rPr>
          <w:spacing w:val="-36"/>
          <w:sz w:val="21"/>
        </w:rPr>
        <w:t> 和 </w:t>
      </w:r>
      <w:r>
        <w:rPr>
          <w:sz w:val="21"/>
        </w:rPr>
        <w:t>150mm</w:t>
      </w:r>
      <w:r>
        <w:rPr>
          <w:spacing w:val="-15"/>
          <w:sz w:val="21"/>
        </w:rPr>
        <w:t> 两种。</w:t>
      </w:r>
      <w:r>
        <w:rPr>
          <w:sz w:val="21"/>
        </w:rPr>
        <w:t> </w:t>
      </w:r>
    </w:p>
    <w:p>
      <w:pPr>
        <w:pStyle w:val="BodyText"/>
        <w:spacing w:before="12"/>
        <w:rPr>
          <w:sz w:val="17"/>
        </w:rPr>
      </w:pPr>
    </w:p>
    <w:p>
      <w:pPr>
        <w:pStyle w:val="ListParagraph"/>
        <w:numPr>
          <w:ilvl w:val="2"/>
          <w:numId w:val="121"/>
        </w:numPr>
        <w:tabs>
          <w:tab w:pos="1370" w:val="left" w:leader="none"/>
        </w:tabs>
        <w:spacing w:line="240" w:lineRule="auto" w:before="0" w:after="0"/>
        <w:ind w:left="1369" w:right="0" w:hanging="530"/>
        <w:jc w:val="left"/>
        <w:rPr>
          <w:sz w:val="21"/>
        </w:rPr>
      </w:pPr>
      <w:r>
        <w:rPr>
          <w:spacing w:val="-8"/>
          <w:sz w:val="21"/>
        </w:rPr>
        <w:t>按接合器公称压力可分为 </w:t>
      </w:r>
      <w:r>
        <w:rPr>
          <w:sz w:val="21"/>
        </w:rPr>
        <w:t>1.6MPa、2.5MPa</w:t>
      </w:r>
      <w:r>
        <w:rPr>
          <w:spacing w:val="-37"/>
          <w:sz w:val="21"/>
        </w:rPr>
        <w:t> 和 </w:t>
      </w:r>
      <w:r>
        <w:rPr>
          <w:sz w:val="21"/>
        </w:rPr>
        <w:t>4.0MPa</w:t>
      </w:r>
      <w:r>
        <w:rPr>
          <w:spacing w:val="-13"/>
          <w:sz w:val="21"/>
        </w:rPr>
        <w:t> 等多种。</w:t>
      </w:r>
      <w:r>
        <w:rPr>
          <w:sz w:val="21"/>
        </w:rPr>
        <w:t> </w:t>
      </w:r>
    </w:p>
    <w:p>
      <w:pPr>
        <w:pStyle w:val="BodyText"/>
        <w:spacing w:before="2"/>
        <w:rPr>
          <w:sz w:val="18"/>
        </w:rPr>
      </w:pPr>
    </w:p>
    <w:p>
      <w:pPr>
        <w:pStyle w:val="ListParagraph"/>
        <w:numPr>
          <w:ilvl w:val="2"/>
          <w:numId w:val="121"/>
        </w:numPr>
        <w:tabs>
          <w:tab w:pos="1371" w:val="left" w:leader="none"/>
        </w:tabs>
        <w:spacing w:line="240" w:lineRule="auto" w:before="0" w:after="0"/>
        <w:ind w:left="1370" w:right="0" w:hanging="531"/>
        <w:jc w:val="left"/>
        <w:rPr>
          <w:sz w:val="21"/>
        </w:rPr>
      </w:pPr>
      <w:r>
        <w:rPr>
          <w:spacing w:val="-3"/>
          <w:sz w:val="21"/>
        </w:rPr>
        <w:t>按接合器连接方式可分为法兰式和螺纹式。</w:t>
      </w:r>
      <w:r>
        <w:rPr>
          <w:sz w:val="21"/>
        </w:rPr>
        <w:t> </w:t>
      </w:r>
    </w:p>
    <w:p>
      <w:pPr>
        <w:pStyle w:val="BodyText"/>
        <w:rPr>
          <w:sz w:val="18"/>
        </w:rPr>
      </w:pPr>
    </w:p>
    <w:p>
      <w:pPr>
        <w:pStyle w:val="ListParagraph"/>
        <w:numPr>
          <w:ilvl w:val="1"/>
          <w:numId w:val="121"/>
        </w:numPr>
        <w:tabs>
          <w:tab w:pos="1159" w:val="left" w:leader="none"/>
        </w:tabs>
        <w:spacing w:line="240" w:lineRule="auto" w:before="0" w:after="0"/>
        <w:ind w:left="1158" w:right="0" w:hanging="319"/>
        <w:jc w:val="left"/>
        <w:rPr>
          <w:sz w:val="21"/>
        </w:rPr>
      </w:pPr>
      <w:r>
        <w:rPr>
          <w:spacing w:val="-3"/>
          <w:sz w:val="21"/>
        </w:rPr>
        <w:t>型号编制</w:t>
      </w:r>
      <w:r>
        <w:rPr>
          <w:sz w:val="21"/>
        </w:rPr>
        <w:t> </w:t>
      </w:r>
    </w:p>
    <w:p>
      <w:pPr>
        <w:pStyle w:val="BodyText"/>
        <w:spacing w:before="12"/>
        <w:rPr>
          <w:sz w:val="17"/>
        </w:rPr>
      </w:pPr>
    </w:p>
    <w:p>
      <w:pPr>
        <w:pStyle w:val="BodyText"/>
        <w:ind w:left="838"/>
      </w:pPr>
      <w:r>
        <w:rPr/>
        <w:t>接合器型号编制方法如下所示： </w:t>
      </w:r>
    </w:p>
    <w:p>
      <w:pPr>
        <w:pStyle w:val="BodyText"/>
        <w:rPr>
          <w:sz w:val="20"/>
        </w:rPr>
      </w:pPr>
    </w:p>
    <w:p>
      <w:pPr>
        <w:pStyle w:val="BodyText"/>
        <w:spacing w:before="1"/>
        <w:rPr>
          <w:sz w:val="12"/>
        </w:rPr>
      </w:pPr>
      <w:r>
        <w:rPr/>
        <w:drawing>
          <wp:anchor distT="0" distB="0" distL="0" distR="0" allowOverlap="1" layoutInCell="1" locked="0" behindDoc="0" simplePos="0" relativeHeight="35">
            <wp:simplePos x="0" y="0"/>
            <wp:positionH relativeFrom="page">
              <wp:posOffset>1093966</wp:posOffset>
            </wp:positionH>
            <wp:positionV relativeFrom="paragraph">
              <wp:posOffset>123610</wp:posOffset>
            </wp:positionV>
            <wp:extent cx="5096151" cy="1752600"/>
            <wp:effectExtent l="0" t="0" r="0" b="0"/>
            <wp:wrapTopAndBottom/>
            <wp:docPr id="83" name="image59.jpeg"/>
            <wp:cNvGraphicFramePr>
              <a:graphicFrameLocks noChangeAspect="1"/>
            </wp:cNvGraphicFramePr>
            <a:graphic>
              <a:graphicData uri="http://schemas.openxmlformats.org/drawingml/2006/picture">
                <pic:pic>
                  <pic:nvPicPr>
                    <pic:cNvPr id="84" name="image59.jpeg"/>
                    <pic:cNvPicPr/>
                  </pic:nvPicPr>
                  <pic:blipFill>
                    <a:blip r:embed="rId65" cstate="print"/>
                    <a:stretch>
                      <a:fillRect/>
                    </a:stretch>
                  </pic:blipFill>
                  <pic:spPr>
                    <a:xfrm>
                      <a:off x="0" y="0"/>
                      <a:ext cx="5096151" cy="1752600"/>
                    </a:xfrm>
                    <a:prstGeom prst="rect">
                      <a:avLst/>
                    </a:prstGeom>
                  </pic:spPr>
                </pic:pic>
              </a:graphicData>
            </a:graphic>
          </wp:anchor>
        </w:drawing>
      </w:r>
    </w:p>
    <w:p>
      <w:pPr>
        <w:pStyle w:val="BodyText"/>
        <w:rPr>
          <w:sz w:val="20"/>
        </w:rPr>
      </w:pPr>
    </w:p>
    <w:p>
      <w:pPr>
        <w:pStyle w:val="BodyText"/>
        <w:spacing w:before="2"/>
        <w:rPr>
          <w:sz w:val="26"/>
        </w:rPr>
      </w:pPr>
    </w:p>
    <w:p>
      <w:pPr>
        <w:pStyle w:val="BodyText"/>
        <w:spacing w:line="446" w:lineRule="auto" w:before="72"/>
        <w:ind w:left="418" w:right="1455" w:firstLine="419"/>
      </w:pPr>
      <w:r>
        <w:rPr>
          <w:spacing w:val="-15"/>
        </w:rPr>
        <w:t>示例 </w:t>
      </w:r>
      <w:r>
        <w:rPr/>
        <w:t>1</w:t>
      </w:r>
      <w:r>
        <w:rPr>
          <w:spacing w:val="-10"/>
        </w:rPr>
        <w:t>：公称通径为 </w:t>
      </w:r>
      <w:r>
        <w:rPr/>
        <w:t>100mm</w:t>
      </w:r>
      <w:r>
        <w:rPr>
          <w:spacing w:val="-8"/>
        </w:rPr>
        <w:t>、公称压力为 </w:t>
      </w:r>
      <w:r>
        <w:rPr/>
        <w:t>1.6MPa</w:t>
      </w:r>
      <w:r>
        <w:rPr>
          <w:spacing w:val="-3"/>
        </w:rPr>
        <w:t>、法兰连接的地上式消防水泵接合器可表示为：SQS100-1.6。</w:t>
      </w:r>
      <w:r>
        <w:rPr/>
        <w:t> </w:t>
      </w:r>
    </w:p>
    <w:p>
      <w:pPr>
        <w:pStyle w:val="BodyText"/>
        <w:spacing w:line="446" w:lineRule="auto"/>
        <w:ind w:left="418" w:right="1455" w:firstLine="419"/>
      </w:pPr>
      <w:r>
        <w:rPr>
          <w:spacing w:val="-15"/>
        </w:rPr>
        <w:t>示例 </w:t>
      </w:r>
      <w:r>
        <w:rPr/>
        <w:t>2</w:t>
      </w:r>
      <w:r>
        <w:rPr>
          <w:spacing w:val="-10"/>
        </w:rPr>
        <w:t>：公称通径为 </w:t>
      </w:r>
      <w:r>
        <w:rPr/>
        <w:t>150mm</w:t>
      </w:r>
      <w:r>
        <w:rPr>
          <w:spacing w:val="-8"/>
        </w:rPr>
        <w:t>、公称压力为 </w:t>
      </w:r>
      <w:r>
        <w:rPr/>
        <w:t>2.5MPa</w:t>
      </w:r>
      <w:r>
        <w:rPr>
          <w:spacing w:val="-3"/>
        </w:rPr>
        <w:t>、螺纹连接的多用式消防水泵接合器可表示为：SQD150-2.5W。</w:t>
      </w:r>
      <w:r>
        <w:rPr/>
        <w:t> </w:t>
      </w:r>
    </w:p>
    <w:p>
      <w:pPr>
        <w:pStyle w:val="Heading4"/>
        <w:spacing w:line="276" w:lineRule="exact"/>
      </w:pPr>
      <w:r>
        <w:rPr/>
        <w:t>5 技术要求</w:t>
      </w:r>
      <w:r>
        <w:rPr>
          <w:w w:val="99"/>
        </w:rPr>
        <w:t> </w:t>
      </w:r>
    </w:p>
    <w:p>
      <w:pPr>
        <w:pStyle w:val="BodyText"/>
        <w:spacing w:before="6"/>
        <w:rPr>
          <w:b/>
          <w:sz w:val="17"/>
        </w:rPr>
      </w:pPr>
    </w:p>
    <w:p>
      <w:pPr>
        <w:pStyle w:val="ListParagraph"/>
        <w:numPr>
          <w:ilvl w:val="1"/>
          <w:numId w:val="122"/>
        </w:numPr>
        <w:tabs>
          <w:tab w:pos="1159" w:val="left" w:leader="none"/>
        </w:tabs>
        <w:spacing w:line="240" w:lineRule="auto" w:before="0" w:after="0"/>
        <w:ind w:left="1158" w:right="0" w:hanging="319"/>
        <w:jc w:val="left"/>
        <w:rPr>
          <w:b/>
          <w:sz w:val="21"/>
        </w:rPr>
      </w:pPr>
      <w:r>
        <w:rPr>
          <w:spacing w:val="-3"/>
          <w:sz w:val="21"/>
        </w:rPr>
        <w:t>结构</w:t>
      </w:r>
      <w:r>
        <w:rPr>
          <w:b/>
          <w:w w:val="99"/>
          <w:sz w:val="21"/>
        </w:rPr>
        <w:t> </w:t>
      </w:r>
    </w:p>
    <w:p>
      <w:pPr>
        <w:pStyle w:val="BodyText"/>
        <w:spacing w:before="12"/>
        <w:rPr>
          <w:b/>
          <w:sz w:val="17"/>
        </w:rPr>
      </w:pPr>
    </w:p>
    <w:p>
      <w:pPr>
        <w:pStyle w:val="BodyText"/>
        <w:spacing w:line="446" w:lineRule="auto"/>
        <w:ind w:left="418" w:right="1609" w:firstLine="419"/>
      </w:pPr>
      <w:r>
        <w:rPr/>
        <w:t>接合器一般应由本体、消防接口、安全阀和水流止回、水流截断装置等组成，结构设计应保证在使用后将消防接口到水流止回装置间的余水排尽。 </w:t>
      </w:r>
    </w:p>
    <w:p>
      <w:pPr>
        <w:pStyle w:val="ListParagraph"/>
        <w:numPr>
          <w:ilvl w:val="1"/>
          <w:numId w:val="122"/>
        </w:numPr>
        <w:tabs>
          <w:tab w:pos="1160" w:val="left" w:leader="none"/>
        </w:tabs>
        <w:spacing w:line="240" w:lineRule="auto" w:before="0" w:after="0"/>
        <w:ind w:left="1159" w:right="0" w:hanging="320"/>
        <w:jc w:val="left"/>
        <w:rPr>
          <w:b/>
          <w:sz w:val="21"/>
        </w:rPr>
      </w:pPr>
      <w:r>
        <w:rPr>
          <w:spacing w:val="-3"/>
          <w:sz w:val="21"/>
        </w:rPr>
        <w:t>材料</w:t>
      </w:r>
      <w:r>
        <w:rPr>
          <w:b/>
          <w:w w:val="99"/>
          <w:sz w:val="21"/>
        </w:rPr>
        <w:t> </w:t>
      </w:r>
    </w:p>
    <w:p>
      <w:pPr>
        <w:pStyle w:val="BodyText"/>
        <w:rPr>
          <w:b/>
          <w:sz w:val="18"/>
        </w:rPr>
      </w:pPr>
    </w:p>
    <w:p>
      <w:pPr>
        <w:pStyle w:val="ListParagraph"/>
        <w:numPr>
          <w:ilvl w:val="2"/>
          <w:numId w:val="122"/>
        </w:numPr>
        <w:tabs>
          <w:tab w:pos="1370" w:val="left" w:leader="none"/>
        </w:tabs>
        <w:spacing w:line="446" w:lineRule="auto" w:before="0" w:after="0"/>
        <w:ind w:left="418" w:right="1606" w:firstLine="422"/>
        <w:jc w:val="left"/>
        <w:rPr>
          <w:sz w:val="21"/>
        </w:rPr>
      </w:pPr>
      <w:r>
        <w:rPr>
          <w:spacing w:val="-13"/>
          <w:sz w:val="21"/>
        </w:rPr>
        <w:t>公称压力 </w:t>
      </w:r>
      <w:r>
        <w:rPr>
          <w:sz w:val="21"/>
        </w:rPr>
        <w:t>1.6MPa</w:t>
      </w:r>
      <w:r>
        <w:rPr>
          <w:spacing w:val="-13"/>
          <w:sz w:val="21"/>
        </w:rPr>
        <w:t> 的接合器本体应用符合 </w:t>
      </w:r>
      <w:r>
        <w:rPr>
          <w:sz w:val="21"/>
        </w:rPr>
        <w:t>GB/T</w:t>
      </w:r>
      <w:r>
        <w:rPr>
          <w:spacing w:val="5"/>
          <w:sz w:val="21"/>
        </w:rPr>
        <w:t> </w:t>
      </w:r>
      <w:r>
        <w:rPr>
          <w:sz w:val="21"/>
        </w:rPr>
        <w:t>9439-2010</w:t>
      </w:r>
      <w:r>
        <w:rPr>
          <w:spacing w:val="-16"/>
          <w:sz w:val="21"/>
        </w:rPr>
        <w:t> 规定的灰铸铁 </w:t>
      </w:r>
      <w:r>
        <w:rPr>
          <w:sz w:val="21"/>
        </w:rPr>
        <w:t>HT200</w:t>
      </w:r>
      <w:r>
        <w:rPr>
          <w:spacing w:val="-18"/>
          <w:sz w:val="21"/>
        </w:rPr>
        <w:t> 或机</w:t>
      </w:r>
      <w:r>
        <w:rPr>
          <w:spacing w:val="1"/>
          <w:sz w:val="21"/>
        </w:rPr>
        <w:t>械性能不低于</w:t>
      </w:r>
      <w:r>
        <w:rPr>
          <w:sz w:val="21"/>
        </w:rPr>
        <w:t>HT200</w:t>
      </w:r>
      <w:r>
        <w:rPr>
          <w:spacing w:val="-9"/>
          <w:sz w:val="21"/>
        </w:rPr>
        <w:t> 的其他金属材料制造。</w:t>
      </w:r>
      <w:r>
        <w:rPr>
          <w:sz w:val="21"/>
        </w:rPr>
        <w:t> </w:t>
      </w:r>
    </w:p>
    <w:p>
      <w:pPr>
        <w:spacing w:after="0" w:line="446" w:lineRule="auto"/>
        <w:jc w:val="left"/>
        <w:rPr>
          <w:sz w:val="21"/>
        </w:rPr>
        <w:sectPr>
          <w:pgSz w:w="11910" w:h="16850"/>
          <w:pgMar w:header="0" w:footer="1239" w:top="1200" w:bottom="1420" w:left="1260" w:right="0"/>
        </w:sectPr>
      </w:pPr>
    </w:p>
    <w:p>
      <w:pPr>
        <w:pStyle w:val="ListParagraph"/>
        <w:numPr>
          <w:ilvl w:val="2"/>
          <w:numId w:val="122"/>
        </w:numPr>
        <w:tabs>
          <w:tab w:pos="1370" w:val="left" w:leader="none"/>
        </w:tabs>
        <w:spacing w:line="446" w:lineRule="auto" w:before="47" w:after="0"/>
        <w:ind w:left="418" w:right="1606" w:firstLine="422"/>
        <w:jc w:val="left"/>
        <w:rPr>
          <w:sz w:val="21"/>
        </w:rPr>
      </w:pPr>
      <w:r>
        <w:rPr>
          <w:spacing w:val="-13"/>
          <w:sz w:val="21"/>
        </w:rPr>
        <w:t>公称压力 </w:t>
      </w:r>
      <w:r>
        <w:rPr>
          <w:sz w:val="21"/>
        </w:rPr>
        <w:t>2.5MPa</w:t>
      </w:r>
      <w:r>
        <w:rPr>
          <w:spacing w:val="-13"/>
          <w:sz w:val="21"/>
        </w:rPr>
        <w:t> 的接合器本体应用符合 </w:t>
      </w:r>
      <w:r>
        <w:rPr>
          <w:sz w:val="21"/>
        </w:rPr>
        <w:t>GB/T</w:t>
      </w:r>
      <w:r>
        <w:rPr>
          <w:spacing w:val="5"/>
          <w:sz w:val="21"/>
        </w:rPr>
        <w:t> </w:t>
      </w:r>
      <w:r>
        <w:rPr>
          <w:sz w:val="21"/>
        </w:rPr>
        <w:t>9439-2010</w:t>
      </w:r>
      <w:r>
        <w:rPr>
          <w:spacing w:val="-16"/>
          <w:sz w:val="21"/>
        </w:rPr>
        <w:t> 规定的灰铸铁 </w:t>
      </w:r>
      <w:r>
        <w:rPr>
          <w:sz w:val="21"/>
        </w:rPr>
        <w:t>HT250</w:t>
      </w:r>
      <w:r>
        <w:rPr>
          <w:spacing w:val="-18"/>
          <w:sz w:val="21"/>
        </w:rPr>
        <w:t> 或机</w:t>
      </w:r>
      <w:r>
        <w:rPr>
          <w:spacing w:val="1"/>
          <w:sz w:val="21"/>
        </w:rPr>
        <w:t>械性能不低于</w:t>
      </w:r>
      <w:r>
        <w:rPr>
          <w:sz w:val="21"/>
        </w:rPr>
        <w:t>HT250</w:t>
      </w:r>
      <w:r>
        <w:rPr>
          <w:spacing w:val="-9"/>
          <w:sz w:val="21"/>
        </w:rPr>
        <w:t> 的其他金属材料制造。</w:t>
      </w:r>
      <w:r>
        <w:rPr>
          <w:sz w:val="21"/>
        </w:rPr>
        <w:t> </w:t>
      </w:r>
    </w:p>
    <w:p>
      <w:pPr>
        <w:pStyle w:val="ListParagraph"/>
        <w:numPr>
          <w:ilvl w:val="2"/>
          <w:numId w:val="122"/>
        </w:numPr>
        <w:tabs>
          <w:tab w:pos="1370" w:val="left" w:leader="none"/>
        </w:tabs>
        <w:spacing w:line="267" w:lineRule="exact" w:before="0" w:after="0"/>
        <w:ind w:left="1369" w:right="0" w:hanging="530"/>
        <w:jc w:val="left"/>
        <w:rPr>
          <w:sz w:val="21"/>
        </w:rPr>
      </w:pPr>
      <w:r>
        <w:rPr>
          <w:spacing w:val="-13"/>
          <w:sz w:val="21"/>
        </w:rPr>
        <w:t>公称压力 </w:t>
      </w:r>
      <w:r>
        <w:rPr>
          <w:sz w:val="21"/>
        </w:rPr>
        <w:t>4.0MPa</w:t>
      </w:r>
      <w:r>
        <w:rPr>
          <w:spacing w:val="-13"/>
          <w:sz w:val="21"/>
        </w:rPr>
        <w:t> 的接合器本体应用符合 </w:t>
      </w:r>
      <w:r>
        <w:rPr>
          <w:sz w:val="21"/>
        </w:rPr>
        <w:t>GB/T</w:t>
      </w:r>
      <w:r>
        <w:rPr>
          <w:spacing w:val="1"/>
          <w:sz w:val="21"/>
        </w:rPr>
        <w:t> </w:t>
      </w:r>
      <w:r>
        <w:rPr>
          <w:sz w:val="21"/>
        </w:rPr>
        <w:t>1348-2009</w:t>
      </w:r>
      <w:r>
        <w:rPr>
          <w:spacing w:val="-14"/>
          <w:sz w:val="21"/>
        </w:rPr>
        <w:t> 规定的球墨铸铁 </w:t>
      </w:r>
      <w:r>
        <w:rPr>
          <w:sz w:val="21"/>
        </w:rPr>
        <w:t>QT450-10</w:t>
      </w:r>
    </w:p>
    <w:p>
      <w:pPr>
        <w:pStyle w:val="BodyText"/>
        <w:spacing w:before="2"/>
        <w:rPr>
          <w:sz w:val="18"/>
        </w:rPr>
      </w:pPr>
    </w:p>
    <w:p>
      <w:pPr>
        <w:pStyle w:val="BodyText"/>
        <w:ind w:left="418"/>
      </w:pPr>
      <w:r>
        <w:rPr/>
        <w:t>或机械性能不低于QT450-10 的其他金属材料制造。 </w:t>
      </w:r>
    </w:p>
    <w:p>
      <w:pPr>
        <w:pStyle w:val="BodyText"/>
        <w:rPr>
          <w:sz w:val="18"/>
        </w:rPr>
      </w:pPr>
    </w:p>
    <w:p>
      <w:pPr>
        <w:pStyle w:val="ListParagraph"/>
        <w:numPr>
          <w:ilvl w:val="2"/>
          <w:numId w:val="122"/>
        </w:numPr>
        <w:tabs>
          <w:tab w:pos="1370" w:val="left" w:leader="none"/>
        </w:tabs>
        <w:spacing w:line="446" w:lineRule="auto" w:before="0" w:after="0"/>
        <w:ind w:left="418" w:right="1502" w:firstLine="422"/>
        <w:jc w:val="left"/>
        <w:rPr>
          <w:sz w:val="21"/>
        </w:rPr>
      </w:pPr>
      <w:r>
        <w:rPr>
          <w:spacing w:val="-6"/>
          <w:sz w:val="21"/>
        </w:rPr>
        <w:t>接合器的进水口接口本体应用符合 </w:t>
      </w:r>
      <w:r>
        <w:rPr>
          <w:sz w:val="21"/>
        </w:rPr>
        <w:t>GB/T</w:t>
      </w:r>
      <w:r>
        <w:rPr>
          <w:spacing w:val="7"/>
          <w:sz w:val="21"/>
        </w:rPr>
        <w:t> </w:t>
      </w:r>
      <w:r>
        <w:rPr>
          <w:sz w:val="21"/>
        </w:rPr>
        <w:t>1176-1987</w:t>
      </w:r>
      <w:r>
        <w:rPr>
          <w:spacing w:val="-22"/>
          <w:sz w:val="21"/>
        </w:rPr>
        <w:t> 规定的 </w:t>
      </w:r>
      <w:r>
        <w:rPr>
          <w:sz w:val="21"/>
        </w:rPr>
        <w:t>ZCuZn38</w:t>
      </w:r>
      <w:r>
        <w:rPr>
          <w:spacing w:val="-9"/>
          <w:sz w:val="21"/>
        </w:rPr>
        <w:t> 铅黄铜或机械性</w:t>
      </w:r>
      <w:r>
        <w:rPr>
          <w:spacing w:val="-15"/>
          <w:sz w:val="21"/>
        </w:rPr>
        <w:t>能不低于 </w:t>
      </w:r>
      <w:r>
        <w:rPr>
          <w:sz w:val="21"/>
        </w:rPr>
        <w:t>ZCuZn38</w:t>
      </w:r>
      <w:r>
        <w:rPr>
          <w:spacing w:val="-11"/>
          <w:sz w:val="21"/>
        </w:rPr>
        <w:t> 铅黄铜的其他铜材制造；也可使用符合 </w:t>
      </w:r>
      <w:r>
        <w:rPr>
          <w:sz w:val="21"/>
        </w:rPr>
        <w:t>GB/T</w:t>
      </w:r>
      <w:r>
        <w:rPr>
          <w:spacing w:val="5"/>
          <w:sz w:val="21"/>
        </w:rPr>
        <w:t> </w:t>
      </w:r>
      <w:r>
        <w:rPr>
          <w:sz w:val="21"/>
        </w:rPr>
        <w:t>2100-2002</w:t>
      </w:r>
      <w:r>
        <w:rPr>
          <w:spacing w:val="-22"/>
          <w:sz w:val="21"/>
        </w:rPr>
        <w:t> 规定的 </w:t>
      </w:r>
      <w:r>
        <w:rPr>
          <w:sz w:val="21"/>
        </w:rPr>
        <w:t>ZG20Cr13</w:t>
      </w:r>
      <w:r>
        <w:rPr>
          <w:spacing w:val="-27"/>
          <w:sz w:val="21"/>
        </w:rPr>
        <w:t> 不</w:t>
      </w:r>
      <w:r>
        <w:rPr>
          <w:spacing w:val="-13"/>
          <w:sz w:val="21"/>
        </w:rPr>
        <w:t>锈钢或机械性能不低于 </w:t>
      </w:r>
      <w:r>
        <w:rPr>
          <w:sz w:val="21"/>
        </w:rPr>
        <w:t>ZG20Cr13</w:t>
      </w:r>
      <w:r>
        <w:rPr>
          <w:spacing w:val="-9"/>
          <w:sz w:val="21"/>
        </w:rPr>
        <w:t> 的其他不锈钢材料制造。</w:t>
      </w:r>
      <w:r>
        <w:rPr>
          <w:sz w:val="21"/>
        </w:rPr>
        <w:t> </w:t>
      </w:r>
    </w:p>
    <w:p>
      <w:pPr>
        <w:pStyle w:val="ListParagraph"/>
        <w:numPr>
          <w:ilvl w:val="1"/>
          <w:numId w:val="122"/>
        </w:numPr>
        <w:tabs>
          <w:tab w:pos="1159" w:val="left" w:leader="none"/>
        </w:tabs>
        <w:spacing w:line="268" w:lineRule="exact" w:before="0" w:after="0"/>
        <w:ind w:left="1158" w:right="0" w:hanging="319"/>
        <w:jc w:val="left"/>
        <w:rPr>
          <w:sz w:val="21"/>
        </w:rPr>
      </w:pPr>
      <w:r>
        <w:rPr>
          <w:spacing w:val="-3"/>
          <w:sz w:val="21"/>
        </w:rPr>
        <w:t>外观质量</w:t>
      </w:r>
      <w:r>
        <w:rPr>
          <w:sz w:val="21"/>
        </w:rPr>
        <w:t> </w:t>
      </w:r>
    </w:p>
    <w:p>
      <w:pPr>
        <w:pStyle w:val="BodyText"/>
        <w:spacing w:before="12"/>
        <w:rPr>
          <w:sz w:val="17"/>
        </w:rPr>
      </w:pPr>
    </w:p>
    <w:p>
      <w:pPr>
        <w:pStyle w:val="ListParagraph"/>
        <w:numPr>
          <w:ilvl w:val="2"/>
          <w:numId w:val="122"/>
        </w:numPr>
        <w:tabs>
          <w:tab w:pos="1370" w:val="left" w:leader="none"/>
        </w:tabs>
        <w:spacing w:line="446" w:lineRule="auto" w:before="0" w:after="0"/>
        <w:ind w:left="418" w:right="1604" w:firstLine="422"/>
        <w:jc w:val="left"/>
        <w:rPr>
          <w:sz w:val="21"/>
        </w:rPr>
      </w:pPr>
      <w:r>
        <w:rPr>
          <w:spacing w:val="-3"/>
          <w:sz w:val="21"/>
        </w:rPr>
        <w:t>接合器的铸铁件表面应光滑，除锈后上部外露部分应涂红色漆，漆膜色泽应均匀， 无龟裂、无明显的划痕和碰伤；接合器的铸铁件内表面应涂防锈漆或采用其他防腐处理。</w:t>
      </w:r>
      <w:r>
        <w:rPr>
          <w:sz w:val="21"/>
        </w:rPr>
        <w:t> </w:t>
      </w:r>
    </w:p>
    <w:p>
      <w:pPr>
        <w:pStyle w:val="ListParagraph"/>
        <w:numPr>
          <w:ilvl w:val="2"/>
          <w:numId w:val="122"/>
        </w:numPr>
        <w:tabs>
          <w:tab w:pos="1371" w:val="left" w:leader="none"/>
        </w:tabs>
        <w:spacing w:line="446" w:lineRule="auto" w:before="0" w:after="0"/>
        <w:ind w:left="418" w:right="1604" w:firstLine="422"/>
        <w:jc w:val="left"/>
        <w:rPr>
          <w:sz w:val="21"/>
        </w:rPr>
      </w:pPr>
      <w:r>
        <w:rPr>
          <w:spacing w:val="-3"/>
          <w:sz w:val="21"/>
        </w:rPr>
        <w:t>接合器铸铜件表面应无严重的砂眼、气孔、渣孔、缩松、氧化夹渣、裂纹、冷隔和穿透性缺陷。</w:t>
      </w:r>
      <w:r>
        <w:rPr>
          <w:sz w:val="21"/>
        </w:rPr>
        <w:t> </w:t>
      </w:r>
    </w:p>
    <w:p>
      <w:pPr>
        <w:pStyle w:val="ListParagraph"/>
        <w:numPr>
          <w:ilvl w:val="1"/>
          <w:numId w:val="122"/>
        </w:numPr>
        <w:tabs>
          <w:tab w:pos="1159" w:val="left" w:leader="none"/>
        </w:tabs>
        <w:spacing w:line="240" w:lineRule="auto" w:before="0" w:after="0"/>
        <w:ind w:left="1158" w:right="0" w:hanging="319"/>
        <w:jc w:val="left"/>
        <w:rPr>
          <w:b/>
          <w:sz w:val="21"/>
        </w:rPr>
      </w:pPr>
      <w:r>
        <w:rPr>
          <w:spacing w:val="-3"/>
          <w:sz w:val="21"/>
        </w:rPr>
        <w:t>螺纹及法兰尺寸</w:t>
      </w:r>
      <w:r>
        <w:rPr>
          <w:b/>
          <w:w w:val="99"/>
          <w:sz w:val="21"/>
        </w:rPr>
        <w:t> </w:t>
      </w:r>
    </w:p>
    <w:p>
      <w:pPr>
        <w:pStyle w:val="BodyText"/>
        <w:rPr>
          <w:b/>
          <w:sz w:val="18"/>
        </w:rPr>
      </w:pPr>
    </w:p>
    <w:p>
      <w:pPr>
        <w:pStyle w:val="ListParagraph"/>
        <w:numPr>
          <w:ilvl w:val="2"/>
          <w:numId w:val="122"/>
        </w:numPr>
        <w:tabs>
          <w:tab w:pos="1370" w:val="left" w:leader="none"/>
        </w:tabs>
        <w:spacing w:line="240" w:lineRule="auto" w:before="0" w:after="0"/>
        <w:ind w:left="1369" w:right="0" w:hanging="530"/>
        <w:jc w:val="left"/>
        <w:rPr>
          <w:sz w:val="21"/>
        </w:rPr>
      </w:pPr>
      <w:r>
        <w:rPr>
          <w:spacing w:val="-6"/>
          <w:sz w:val="21"/>
        </w:rPr>
        <w:t>接合器管螺纹的基本尺寸和公差应符合 </w:t>
      </w:r>
      <w:r>
        <w:rPr>
          <w:sz w:val="21"/>
        </w:rPr>
        <w:t>GB/T</w:t>
      </w:r>
      <w:r>
        <w:rPr>
          <w:spacing w:val="3"/>
          <w:sz w:val="21"/>
        </w:rPr>
        <w:t> </w:t>
      </w:r>
      <w:r>
        <w:rPr>
          <w:sz w:val="21"/>
        </w:rPr>
        <w:t>7307</w:t>
      </w:r>
      <w:r>
        <w:rPr>
          <w:spacing w:val="-9"/>
          <w:sz w:val="21"/>
        </w:rPr>
        <w:t> 的规定。普通螺纹的公差应符合</w:t>
      </w:r>
    </w:p>
    <w:p>
      <w:pPr>
        <w:pStyle w:val="BodyText"/>
        <w:spacing w:before="12"/>
        <w:rPr>
          <w:sz w:val="17"/>
        </w:rPr>
      </w:pPr>
    </w:p>
    <w:p>
      <w:pPr>
        <w:pStyle w:val="BodyText"/>
        <w:ind w:left="418"/>
        <w:jc w:val="both"/>
      </w:pPr>
      <w:r>
        <w:rPr/>
        <w:t>GB/T 197-2003 中内螺纹 7H 级、外螺纹 8g 级的要求。螺纹应无缺牙，表面应光洁。 </w:t>
      </w:r>
    </w:p>
    <w:p>
      <w:pPr>
        <w:pStyle w:val="BodyText"/>
        <w:spacing w:before="1"/>
        <w:rPr>
          <w:sz w:val="18"/>
        </w:rPr>
      </w:pPr>
    </w:p>
    <w:p>
      <w:pPr>
        <w:pStyle w:val="ListParagraph"/>
        <w:numPr>
          <w:ilvl w:val="2"/>
          <w:numId w:val="122"/>
        </w:numPr>
        <w:tabs>
          <w:tab w:pos="1370" w:val="left" w:leader="none"/>
        </w:tabs>
        <w:spacing w:line="446" w:lineRule="auto" w:before="1" w:after="0"/>
        <w:ind w:left="418" w:right="1553" w:firstLine="422"/>
        <w:jc w:val="both"/>
        <w:rPr>
          <w:sz w:val="21"/>
        </w:rPr>
      </w:pPr>
      <w:r>
        <w:rPr>
          <w:spacing w:val="-8"/>
          <w:position w:val="1"/>
          <w:sz w:val="21"/>
        </w:rPr>
        <w:t>螺纹式连接的公称通径 </w:t>
      </w:r>
      <w:r>
        <w:rPr>
          <w:position w:val="1"/>
          <w:sz w:val="21"/>
        </w:rPr>
        <w:t>100mm</w:t>
      </w:r>
      <w:r>
        <w:rPr>
          <w:spacing w:val="-13"/>
          <w:position w:val="1"/>
          <w:sz w:val="21"/>
        </w:rPr>
        <w:t> 的接合器应用符合 </w:t>
      </w:r>
      <w:r>
        <w:rPr>
          <w:position w:val="1"/>
          <w:sz w:val="21"/>
        </w:rPr>
        <w:t>GB/T</w:t>
      </w:r>
      <w:r>
        <w:rPr>
          <w:spacing w:val="2"/>
          <w:position w:val="1"/>
          <w:sz w:val="21"/>
        </w:rPr>
        <w:t> </w:t>
      </w:r>
      <w:r>
        <w:rPr>
          <w:position w:val="1"/>
          <w:sz w:val="21"/>
        </w:rPr>
        <w:t>7306.2-2000</w:t>
      </w:r>
      <w:r>
        <w:rPr>
          <w:spacing w:val="-22"/>
          <w:position w:val="1"/>
          <w:sz w:val="21"/>
        </w:rPr>
        <w:t> 规定的 </w:t>
      </w:r>
      <w:r>
        <w:rPr>
          <w:position w:val="1"/>
          <w:sz w:val="21"/>
        </w:rPr>
        <w:t>R</w:t>
      </w:r>
      <w:r>
        <w:rPr>
          <w:sz w:val="11"/>
        </w:rPr>
        <w:t>2</w:t>
      </w:r>
      <w:r>
        <w:rPr>
          <w:position w:val="1"/>
          <w:sz w:val="21"/>
        </w:rPr>
        <w:t>4</w:t>
      </w:r>
      <w:r>
        <w:rPr>
          <w:spacing w:val="-19"/>
          <w:position w:val="1"/>
          <w:sz w:val="21"/>
        </w:rPr>
        <w:t> 圆锥</w:t>
      </w:r>
      <w:r>
        <w:rPr>
          <w:spacing w:val="-7"/>
          <w:position w:val="1"/>
          <w:sz w:val="21"/>
        </w:rPr>
        <w:t>外螺纹；螺纹式连接的公称通径 </w:t>
      </w:r>
      <w:r>
        <w:rPr>
          <w:position w:val="1"/>
          <w:sz w:val="21"/>
        </w:rPr>
        <w:t>150mm</w:t>
      </w:r>
      <w:r>
        <w:rPr>
          <w:spacing w:val="-13"/>
          <w:position w:val="1"/>
          <w:sz w:val="21"/>
        </w:rPr>
        <w:t> 的接合器应用符合 </w:t>
      </w:r>
      <w:r>
        <w:rPr>
          <w:position w:val="1"/>
          <w:sz w:val="21"/>
        </w:rPr>
        <w:t>GB/T</w:t>
      </w:r>
      <w:r>
        <w:rPr>
          <w:spacing w:val="8"/>
          <w:position w:val="1"/>
          <w:sz w:val="21"/>
        </w:rPr>
        <w:t> </w:t>
      </w:r>
      <w:r>
        <w:rPr>
          <w:position w:val="1"/>
          <w:sz w:val="21"/>
        </w:rPr>
        <w:t>7306.2-2000</w:t>
      </w:r>
      <w:r>
        <w:rPr>
          <w:spacing w:val="-22"/>
          <w:position w:val="1"/>
          <w:sz w:val="21"/>
        </w:rPr>
        <w:t> 规定的 </w:t>
      </w:r>
      <w:r>
        <w:rPr>
          <w:position w:val="1"/>
          <w:sz w:val="21"/>
        </w:rPr>
        <w:t>R</w:t>
      </w:r>
      <w:r>
        <w:rPr>
          <w:sz w:val="11"/>
        </w:rPr>
        <w:t>2</w:t>
      </w:r>
      <w:r>
        <w:rPr>
          <w:position w:val="1"/>
          <w:sz w:val="21"/>
        </w:rPr>
        <w:t>6</w:t>
      </w:r>
      <w:r>
        <w:rPr>
          <w:spacing w:val="-15"/>
          <w:position w:val="1"/>
          <w:sz w:val="21"/>
        </w:rPr>
        <w:t> 圆锥外</w:t>
      </w:r>
      <w:r>
        <w:rPr>
          <w:spacing w:val="-11"/>
          <w:sz w:val="21"/>
        </w:rPr>
        <w:t>螺纹。</w:t>
      </w:r>
      <w:r>
        <w:rPr>
          <w:sz w:val="21"/>
        </w:rPr>
        <w:t> </w:t>
      </w:r>
    </w:p>
    <w:p>
      <w:pPr>
        <w:pStyle w:val="ListParagraph"/>
        <w:numPr>
          <w:ilvl w:val="2"/>
          <w:numId w:val="122"/>
        </w:numPr>
        <w:tabs>
          <w:tab w:pos="1370" w:val="left" w:leader="none"/>
        </w:tabs>
        <w:spacing w:line="268" w:lineRule="exact" w:before="0" w:after="0"/>
        <w:ind w:left="1369" w:right="0" w:hanging="530"/>
        <w:jc w:val="both"/>
        <w:rPr>
          <w:sz w:val="21"/>
        </w:rPr>
      </w:pPr>
      <w:r>
        <w:rPr>
          <w:spacing w:val="-6"/>
          <w:sz w:val="21"/>
        </w:rPr>
        <w:t>法兰式连接的接合器的法兰尺寸应符合图 </w:t>
      </w:r>
      <w:r>
        <w:rPr>
          <w:sz w:val="21"/>
        </w:rPr>
        <w:t>1</w:t>
      </w:r>
      <w:r>
        <w:rPr>
          <w:spacing w:val="-28"/>
          <w:sz w:val="21"/>
        </w:rPr>
        <w:t> 和表 </w:t>
      </w:r>
      <w:r>
        <w:rPr>
          <w:sz w:val="21"/>
        </w:rPr>
        <w:t>1</w:t>
      </w:r>
      <w:r>
        <w:rPr>
          <w:spacing w:val="-13"/>
          <w:sz w:val="21"/>
        </w:rPr>
        <w:t> 的规定。</w:t>
      </w:r>
      <w:r>
        <w:rPr>
          <w:sz w:val="21"/>
        </w:rPr>
        <w:t> </w:t>
      </w:r>
    </w:p>
    <w:p>
      <w:pPr>
        <w:pStyle w:val="BodyText"/>
        <w:spacing w:before="12"/>
        <w:rPr>
          <w:sz w:val="17"/>
        </w:rPr>
      </w:pPr>
    </w:p>
    <w:p>
      <w:pPr>
        <w:pStyle w:val="Heading6"/>
        <w:ind w:left="3310"/>
      </w:pPr>
      <w:r>
        <w:rPr/>
        <w:t>图 1 法兰式连接的接合器的法兰尺寸</w:t>
      </w:r>
      <w:r>
        <w:rPr>
          <w:w w:val="99"/>
        </w:rPr>
        <w:t> </w:t>
      </w:r>
    </w:p>
    <w:p>
      <w:pPr>
        <w:pStyle w:val="BodyText"/>
        <w:spacing w:before="9"/>
        <w:rPr>
          <w:b/>
          <w:sz w:val="9"/>
        </w:rPr>
      </w:pPr>
      <w:r>
        <w:rPr/>
        <w:drawing>
          <wp:anchor distT="0" distB="0" distL="0" distR="0" allowOverlap="1" layoutInCell="1" locked="0" behindDoc="0" simplePos="0" relativeHeight="36">
            <wp:simplePos x="0" y="0"/>
            <wp:positionH relativeFrom="page">
              <wp:posOffset>1696858</wp:posOffset>
            </wp:positionH>
            <wp:positionV relativeFrom="paragraph">
              <wp:posOffset>104226</wp:posOffset>
            </wp:positionV>
            <wp:extent cx="3791444" cy="2316480"/>
            <wp:effectExtent l="0" t="0" r="0" b="0"/>
            <wp:wrapTopAndBottom/>
            <wp:docPr id="85" name="image60.jpeg"/>
            <wp:cNvGraphicFramePr>
              <a:graphicFrameLocks noChangeAspect="1"/>
            </wp:cNvGraphicFramePr>
            <a:graphic>
              <a:graphicData uri="http://schemas.openxmlformats.org/drawingml/2006/picture">
                <pic:pic>
                  <pic:nvPicPr>
                    <pic:cNvPr id="86" name="image60.jpeg"/>
                    <pic:cNvPicPr/>
                  </pic:nvPicPr>
                  <pic:blipFill>
                    <a:blip r:embed="rId66" cstate="print"/>
                    <a:stretch>
                      <a:fillRect/>
                    </a:stretch>
                  </pic:blipFill>
                  <pic:spPr>
                    <a:xfrm>
                      <a:off x="0" y="0"/>
                      <a:ext cx="3791444" cy="2316480"/>
                    </a:xfrm>
                    <a:prstGeom prst="rect">
                      <a:avLst/>
                    </a:prstGeom>
                  </pic:spPr>
                </pic:pic>
              </a:graphicData>
            </a:graphic>
          </wp:anchor>
        </w:drawing>
      </w:r>
    </w:p>
    <w:p>
      <w:pPr>
        <w:spacing w:after="0"/>
        <w:rPr>
          <w:sz w:val="9"/>
        </w:rPr>
        <w:sectPr>
          <w:pgSz w:w="11910" w:h="16850"/>
          <w:pgMar w:header="0" w:footer="1239" w:top="1220" w:bottom="1420" w:left="1260" w:right="0"/>
        </w:sectPr>
      </w:pPr>
    </w:p>
    <w:p>
      <w:pPr>
        <w:spacing w:before="47"/>
        <w:ind w:left="2518" w:right="0" w:firstLine="0"/>
        <w:jc w:val="left"/>
        <w:rPr>
          <w:sz w:val="21"/>
        </w:rPr>
      </w:pPr>
      <w:r>
        <w:rPr>
          <w:b/>
          <w:sz w:val="21"/>
        </w:rPr>
        <w:t>表 1 法兰式连接的接合器的法兰尺寸 （单位为毫米）</w:t>
      </w:r>
      <w:r>
        <w:rPr>
          <w:w w:val="100"/>
          <w:sz w:val="21"/>
        </w:rPr>
        <w:t> </w:t>
      </w:r>
    </w:p>
    <w:p>
      <w:pPr>
        <w:pStyle w:val="BodyText"/>
        <w:rPr>
          <w:sz w:val="20"/>
        </w:rPr>
      </w:pPr>
    </w:p>
    <w:p>
      <w:pPr>
        <w:pStyle w:val="BodyText"/>
        <w:rPr>
          <w:sz w:val="20"/>
        </w:rPr>
      </w:pPr>
    </w:p>
    <w:p>
      <w:pPr>
        <w:pStyle w:val="BodyText"/>
        <w:rPr>
          <w:sz w:val="17"/>
        </w:rPr>
      </w:pPr>
    </w:p>
    <w:p>
      <w:pPr>
        <w:pStyle w:val="ListParagraph"/>
        <w:numPr>
          <w:ilvl w:val="1"/>
          <w:numId w:val="122"/>
        </w:numPr>
        <w:tabs>
          <w:tab w:pos="1160" w:val="left" w:leader="none"/>
        </w:tabs>
        <w:spacing w:line="240" w:lineRule="auto" w:before="0" w:after="0"/>
        <w:ind w:left="1159" w:right="0" w:hanging="320"/>
        <w:jc w:val="left"/>
        <w:rPr>
          <w:b/>
          <w:sz w:val="21"/>
        </w:rPr>
      </w:pPr>
      <w:r>
        <w:rPr>
          <w:spacing w:val="-3"/>
          <w:sz w:val="21"/>
        </w:rPr>
        <w:t>密封性能</w:t>
      </w:r>
      <w:r>
        <w:rPr>
          <w:b/>
          <w:w w:val="99"/>
          <w:sz w:val="21"/>
        </w:rPr>
        <w:t> </w:t>
      </w:r>
    </w:p>
    <w:p>
      <w:pPr>
        <w:pStyle w:val="BodyText"/>
        <w:spacing w:before="1"/>
        <w:rPr>
          <w:b/>
          <w:sz w:val="18"/>
        </w:rPr>
      </w:pPr>
    </w:p>
    <w:p>
      <w:pPr>
        <w:pStyle w:val="BodyText"/>
        <w:spacing w:line="446" w:lineRule="auto" w:before="1"/>
        <w:ind w:left="418" w:right="1609" w:firstLine="419"/>
      </w:pPr>
      <w:r>
        <w:rPr/>
        <w:t>接合器在公称压力水压下，各连接部位不应有渗漏现象。截断类阀门和排放余水阀也不应有渗漏现象。 </w:t>
      </w:r>
    </w:p>
    <w:p>
      <w:pPr>
        <w:pStyle w:val="ListParagraph"/>
        <w:numPr>
          <w:ilvl w:val="1"/>
          <w:numId w:val="122"/>
        </w:numPr>
        <w:tabs>
          <w:tab w:pos="1159" w:val="left" w:leader="none"/>
        </w:tabs>
        <w:spacing w:line="267" w:lineRule="exact" w:before="0" w:after="0"/>
        <w:ind w:left="1158" w:right="0" w:hanging="319"/>
        <w:jc w:val="left"/>
        <w:rPr>
          <w:b/>
          <w:sz w:val="21"/>
        </w:rPr>
      </w:pPr>
      <w:r>
        <w:rPr>
          <w:spacing w:val="-3"/>
          <w:sz w:val="21"/>
        </w:rPr>
        <w:t>水压强度性能</w:t>
      </w:r>
      <w:r>
        <w:rPr>
          <w:b/>
          <w:w w:val="99"/>
          <w:sz w:val="21"/>
        </w:rPr>
        <w:t> </w:t>
      </w:r>
    </w:p>
    <w:p>
      <w:pPr>
        <w:pStyle w:val="BodyText"/>
        <w:spacing w:before="1"/>
        <w:rPr>
          <w:b/>
          <w:sz w:val="18"/>
        </w:rPr>
      </w:pPr>
    </w:p>
    <w:p>
      <w:pPr>
        <w:pStyle w:val="BodyText"/>
        <w:spacing w:line="446" w:lineRule="auto" w:before="1"/>
        <w:ind w:left="840" w:right="1714" w:hanging="3"/>
        <w:rPr>
          <w:b/>
        </w:rPr>
      </w:pPr>
      <w:r>
        <w:rPr>
          <w:spacing w:val="-8"/>
        </w:rPr>
        <w:t>接合器在公称压力 </w:t>
      </w:r>
      <w:r>
        <w:rPr/>
        <w:t>1.5</w:t>
      </w:r>
      <w:r>
        <w:rPr>
          <w:spacing w:val="-8"/>
        </w:rPr>
        <w:t> 倍的水压下，所有铸件不应有渗漏现象及影响正常使用的损伤。</w:t>
      </w:r>
      <w:r>
        <w:rPr>
          <w:b/>
        </w:rPr>
        <w:t>5.7</w:t>
      </w:r>
      <w:r>
        <w:rPr>
          <w:b/>
          <w:spacing w:val="-1"/>
        </w:rPr>
        <w:t> </w:t>
      </w:r>
      <w:r>
        <w:rPr>
          <w:spacing w:val="-3"/>
        </w:rPr>
        <w:t>阀门</w:t>
      </w:r>
      <w:r>
        <w:rPr>
          <w:b/>
          <w:w w:val="99"/>
        </w:rPr>
        <w:t> </w:t>
      </w:r>
    </w:p>
    <w:p>
      <w:pPr>
        <w:pStyle w:val="ListParagraph"/>
        <w:numPr>
          <w:ilvl w:val="2"/>
          <w:numId w:val="123"/>
        </w:numPr>
        <w:tabs>
          <w:tab w:pos="1371" w:val="left" w:leader="none"/>
        </w:tabs>
        <w:spacing w:line="267" w:lineRule="exact" w:before="0" w:after="0"/>
        <w:ind w:left="1370" w:right="0" w:hanging="531"/>
        <w:jc w:val="left"/>
        <w:rPr>
          <w:sz w:val="21"/>
        </w:rPr>
      </w:pPr>
      <w:r>
        <w:rPr>
          <w:spacing w:val="-3"/>
          <w:sz w:val="21"/>
        </w:rPr>
        <w:t>各类阀门应符合相应标准的规定。</w:t>
      </w:r>
      <w:r>
        <w:rPr>
          <w:sz w:val="21"/>
        </w:rPr>
        <w:t> </w:t>
      </w:r>
    </w:p>
    <w:p>
      <w:pPr>
        <w:pStyle w:val="BodyText"/>
        <w:spacing w:before="4"/>
        <w:rPr>
          <w:sz w:val="25"/>
        </w:rPr>
      </w:pPr>
      <w:r>
        <w:rPr/>
        <w:drawing>
          <wp:anchor distT="0" distB="0" distL="0" distR="0" allowOverlap="1" layoutInCell="1" locked="0" behindDoc="0" simplePos="0" relativeHeight="37">
            <wp:simplePos x="0" y="0"/>
            <wp:positionH relativeFrom="page">
              <wp:posOffset>1377314</wp:posOffset>
            </wp:positionH>
            <wp:positionV relativeFrom="paragraph">
              <wp:posOffset>231132</wp:posOffset>
            </wp:positionV>
            <wp:extent cx="4945734" cy="1933575"/>
            <wp:effectExtent l="0" t="0" r="0" b="0"/>
            <wp:wrapTopAndBottom/>
            <wp:docPr id="87" name="image61.jpeg"/>
            <wp:cNvGraphicFramePr>
              <a:graphicFrameLocks noChangeAspect="1"/>
            </wp:cNvGraphicFramePr>
            <a:graphic>
              <a:graphicData uri="http://schemas.openxmlformats.org/drawingml/2006/picture">
                <pic:pic>
                  <pic:nvPicPr>
                    <pic:cNvPr id="88" name="image61.jpeg"/>
                    <pic:cNvPicPr/>
                  </pic:nvPicPr>
                  <pic:blipFill>
                    <a:blip r:embed="rId67" cstate="print"/>
                    <a:stretch>
                      <a:fillRect/>
                    </a:stretch>
                  </pic:blipFill>
                  <pic:spPr>
                    <a:xfrm>
                      <a:off x="0" y="0"/>
                      <a:ext cx="4945734" cy="1933575"/>
                    </a:xfrm>
                    <a:prstGeom prst="rect">
                      <a:avLst/>
                    </a:prstGeom>
                  </pic:spPr>
                </pic:pic>
              </a:graphicData>
            </a:graphic>
          </wp:anchor>
        </w:drawing>
      </w:r>
    </w:p>
    <w:p>
      <w:pPr>
        <w:pStyle w:val="ListParagraph"/>
        <w:numPr>
          <w:ilvl w:val="2"/>
          <w:numId w:val="123"/>
        </w:numPr>
        <w:tabs>
          <w:tab w:pos="1371" w:val="left" w:leader="none"/>
        </w:tabs>
        <w:spacing w:line="240" w:lineRule="auto" w:before="162" w:after="0"/>
        <w:ind w:left="1370" w:right="0" w:hanging="531"/>
        <w:jc w:val="left"/>
        <w:rPr>
          <w:sz w:val="21"/>
        </w:rPr>
      </w:pPr>
      <w:r>
        <w:rPr>
          <w:spacing w:val="-3"/>
          <w:sz w:val="21"/>
        </w:rPr>
        <w:t>各类阀门的阀座内径不应小于阀体的通径。</w:t>
      </w:r>
      <w:r>
        <w:rPr>
          <w:sz w:val="21"/>
        </w:rPr>
        <w:t> </w:t>
      </w:r>
    </w:p>
    <w:p>
      <w:pPr>
        <w:pStyle w:val="BodyText"/>
        <w:spacing w:before="12"/>
        <w:rPr>
          <w:sz w:val="17"/>
        </w:rPr>
      </w:pPr>
    </w:p>
    <w:p>
      <w:pPr>
        <w:pStyle w:val="ListParagraph"/>
        <w:numPr>
          <w:ilvl w:val="2"/>
          <w:numId w:val="123"/>
        </w:numPr>
        <w:tabs>
          <w:tab w:pos="1370" w:val="left" w:leader="none"/>
        </w:tabs>
        <w:spacing w:line="240" w:lineRule="auto" w:before="0" w:after="0"/>
        <w:ind w:left="1369" w:right="0" w:hanging="530"/>
        <w:jc w:val="both"/>
        <w:rPr>
          <w:sz w:val="21"/>
        </w:rPr>
      </w:pPr>
      <w:r>
        <w:rPr>
          <w:spacing w:val="-13"/>
          <w:sz w:val="21"/>
        </w:rPr>
        <w:t>公称压力 </w:t>
      </w:r>
      <w:r>
        <w:rPr>
          <w:sz w:val="21"/>
        </w:rPr>
        <w:t>1.6MPa</w:t>
      </w:r>
      <w:r>
        <w:rPr>
          <w:spacing w:val="-9"/>
          <w:sz w:val="21"/>
        </w:rPr>
        <w:t> 的接合器，安全阀的开启压力为</w:t>
      </w:r>
      <w:r>
        <w:rPr>
          <w:sz w:val="21"/>
        </w:rPr>
        <w:t>（1.70±0.05)MPa</w:t>
      </w:r>
      <w:r>
        <w:rPr>
          <w:spacing w:val="-1"/>
          <w:sz w:val="21"/>
        </w:rPr>
        <w:t>；公称压力</w:t>
      </w:r>
    </w:p>
    <w:p>
      <w:pPr>
        <w:pStyle w:val="BodyText"/>
        <w:spacing w:before="2"/>
        <w:rPr>
          <w:sz w:val="18"/>
        </w:rPr>
      </w:pPr>
    </w:p>
    <w:p>
      <w:pPr>
        <w:pStyle w:val="BodyText"/>
        <w:spacing w:line="446" w:lineRule="auto"/>
        <w:ind w:left="418" w:right="1455"/>
        <w:jc w:val="both"/>
      </w:pPr>
      <w:r>
        <w:rPr/>
        <w:t>2.5MPa</w:t>
      </w:r>
      <w:r>
        <w:rPr>
          <w:spacing w:val="-9"/>
        </w:rPr>
        <w:t> 的接合器，安全阀的开启压力为</w:t>
      </w:r>
      <w:r>
        <w:rPr/>
        <w:t>（2.6±0.10)MPa</w:t>
      </w:r>
      <w:r>
        <w:rPr>
          <w:spacing w:val="-10"/>
        </w:rPr>
        <w:t>；公称压力 </w:t>
      </w:r>
      <w:r>
        <w:rPr/>
        <w:t>4.0MPa</w:t>
      </w:r>
      <w:r>
        <w:rPr>
          <w:spacing w:val="-8"/>
        </w:rPr>
        <w:t> 的接合器，安全阀</w:t>
      </w:r>
      <w:r>
        <w:rPr>
          <w:spacing w:val="-5"/>
        </w:rPr>
        <w:t>的开启压力为</w:t>
      </w:r>
      <w:r>
        <w:rPr/>
        <w:t>（4.1±0.10）MPa</w:t>
      </w:r>
      <w:r>
        <w:rPr>
          <w:spacing w:val="-7"/>
        </w:rPr>
        <w:t>。安全阀的启闭压差应不大于 </w:t>
      </w:r>
      <w:r>
        <w:rPr/>
        <w:t>20</w:t>
      </w:r>
      <w:r>
        <w:rPr>
          <w:spacing w:val="-10"/>
        </w:rPr>
        <w:t>%。公称压力 </w:t>
      </w:r>
      <w:r>
        <w:rPr/>
        <w:t>1.6MPa</w:t>
      </w:r>
      <w:r>
        <w:rPr>
          <w:spacing w:val="-34"/>
        </w:rPr>
        <w:t> 和 </w:t>
      </w:r>
      <w:r>
        <w:rPr/>
        <w:t>2.5MPa </w:t>
      </w:r>
      <w:r>
        <w:rPr>
          <w:spacing w:val="-6"/>
        </w:rPr>
        <w:t>的接合器，安全阀的公称通径应不小于 </w:t>
      </w:r>
      <w:r>
        <w:rPr/>
        <w:t>20mm</w:t>
      </w:r>
      <w:r>
        <w:rPr>
          <w:spacing w:val="-10"/>
        </w:rPr>
        <w:t>；公称压力 </w:t>
      </w:r>
      <w:r>
        <w:rPr/>
        <w:t>4.0MPa</w:t>
      </w:r>
      <w:r>
        <w:rPr>
          <w:spacing w:val="-8"/>
        </w:rPr>
        <w:t> 的接合器，安全阀的公称通径应</w:t>
      </w:r>
      <w:r>
        <w:rPr>
          <w:spacing w:val="-17"/>
        </w:rPr>
        <w:t>不小于 </w:t>
      </w:r>
      <w:r>
        <w:rPr/>
        <w:t>25mm</w:t>
      </w:r>
      <w:r>
        <w:rPr>
          <w:spacing w:val="-3"/>
        </w:rPr>
        <w:t>。</w:t>
      </w:r>
      <w:r>
        <w:rPr/>
        <w:t> </w:t>
      </w:r>
    </w:p>
    <w:p>
      <w:pPr>
        <w:pStyle w:val="ListParagraph"/>
        <w:numPr>
          <w:ilvl w:val="1"/>
          <w:numId w:val="124"/>
        </w:numPr>
        <w:tabs>
          <w:tab w:pos="1159" w:val="left" w:leader="none"/>
        </w:tabs>
        <w:spacing w:line="267" w:lineRule="exact" w:before="0" w:after="0"/>
        <w:ind w:left="1158" w:right="0" w:hanging="319"/>
        <w:jc w:val="left"/>
        <w:rPr>
          <w:sz w:val="21"/>
        </w:rPr>
      </w:pPr>
      <w:r>
        <w:rPr>
          <w:spacing w:val="-3"/>
          <w:sz w:val="21"/>
        </w:rPr>
        <w:t>消防接口</w:t>
      </w:r>
      <w:r>
        <w:rPr>
          <w:sz w:val="21"/>
        </w:rPr>
        <w:t> </w:t>
      </w:r>
    </w:p>
    <w:p>
      <w:pPr>
        <w:pStyle w:val="BodyText"/>
        <w:spacing w:before="12"/>
        <w:rPr>
          <w:sz w:val="17"/>
        </w:rPr>
      </w:pPr>
    </w:p>
    <w:p>
      <w:pPr>
        <w:pStyle w:val="ListParagraph"/>
        <w:numPr>
          <w:ilvl w:val="2"/>
          <w:numId w:val="124"/>
        </w:numPr>
        <w:tabs>
          <w:tab w:pos="1370" w:val="left" w:leader="none"/>
        </w:tabs>
        <w:spacing w:line="446" w:lineRule="auto" w:before="0" w:after="0"/>
        <w:ind w:left="418" w:right="1606" w:firstLine="422"/>
        <w:jc w:val="left"/>
        <w:rPr>
          <w:sz w:val="21"/>
        </w:rPr>
      </w:pPr>
      <w:r>
        <w:rPr>
          <w:spacing w:val="-13"/>
          <w:sz w:val="21"/>
        </w:rPr>
        <w:t>公称通径 </w:t>
      </w:r>
      <w:r>
        <w:rPr>
          <w:sz w:val="21"/>
        </w:rPr>
        <w:t>100mm</w:t>
      </w:r>
      <w:r>
        <w:rPr>
          <w:spacing w:val="-3"/>
          <w:sz w:val="21"/>
        </w:rPr>
        <w:t> 的地下接合器应选用</w:t>
      </w:r>
      <w:r>
        <w:rPr>
          <w:sz w:val="21"/>
        </w:rPr>
        <w:t>GB</w:t>
      </w:r>
      <w:r>
        <w:rPr>
          <w:spacing w:val="6"/>
          <w:sz w:val="21"/>
        </w:rPr>
        <w:t> </w:t>
      </w:r>
      <w:r>
        <w:rPr>
          <w:sz w:val="21"/>
        </w:rPr>
        <w:t>12514.2-2006</w:t>
      </w:r>
      <w:r>
        <w:rPr>
          <w:spacing w:val="-22"/>
          <w:sz w:val="21"/>
        </w:rPr>
        <w:t> 规定的 </w:t>
      </w:r>
      <w:r>
        <w:rPr>
          <w:sz w:val="21"/>
        </w:rPr>
        <w:t>KWA65</w:t>
      </w:r>
      <w:r>
        <w:rPr>
          <w:spacing w:val="-10"/>
          <w:sz w:val="21"/>
        </w:rPr>
        <w:t> 型外螺纹固定</w:t>
      </w:r>
      <w:r>
        <w:rPr>
          <w:spacing w:val="-9"/>
          <w:sz w:val="21"/>
        </w:rPr>
        <w:t>接口。其他形式的接合器应选用 </w:t>
      </w:r>
      <w:r>
        <w:rPr>
          <w:sz w:val="21"/>
        </w:rPr>
        <w:t>GB 12514.2-2006</w:t>
      </w:r>
      <w:r>
        <w:rPr>
          <w:spacing w:val="-23"/>
          <w:sz w:val="21"/>
        </w:rPr>
        <w:t> 规定的 </w:t>
      </w:r>
      <w:r>
        <w:rPr>
          <w:sz w:val="21"/>
        </w:rPr>
        <w:t>KWS65</w:t>
      </w:r>
      <w:r>
        <w:rPr>
          <w:spacing w:val="-9"/>
          <w:sz w:val="21"/>
        </w:rPr>
        <w:t> 型外螺纹固定接口。</w:t>
      </w:r>
      <w:r>
        <w:rPr>
          <w:sz w:val="21"/>
        </w:rPr>
        <w:t> </w:t>
      </w:r>
    </w:p>
    <w:p>
      <w:pPr>
        <w:pStyle w:val="ListParagraph"/>
        <w:numPr>
          <w:ilvl w:val="2"/>
          <w:numId w:val="124"/>
        </w:numPr>
        <w:tabs>
          <w:tab w:pos="1370" w:val="left" w:leader="none"/>
        </w:tabs>
        <w:spacing w:line="446" w:lineRule="auto" w:before="0" w:after="0"/>
        <w:ind w:left="418" w:right="1606" w:firstLine="422"/>
        <w:jc w:val="left"/>
        <w:rPr>
          <w:sz w:val="21"/>
        </w:rPr>
      </w:pPr>
      <w:r>
        <w:rPr>
          <w:spacing w:val="-13"/>
          <w:sz w:val="21"/>
        </w:rPr>
        <w:t>公称通径 </w:t>
      </w:r>
      <w:r>
        <w:rPr>
          <w:sz w:val="21"/>
        </w:rPr>
        <w:t>150mm</w:t>
      </w:r>
      <w:r>
        <w:rPr>
          <w:spacing w:val="-3"/>
          <w:sz w:val="21"/>
        </w:rPr>
        <w:t> 的地下接合器应选用</w:t>
      </w:r>
      <w:r>
        <w:rPr>
          <w:sz w:val="21"/>
        </w:rPr>
        <w:t>GB</w:t>
      </w:r>
      <w:r>
        <w:rPr>
          <w:spacing w:val="6"/>
          <w:sz w:val="21"/>
        </w:rPr>
        <w:t> </w:t>
      </w:r>
      <w:r>
        <w:rPr>
          <w:sz w:val="21"/>
        </w:rPr>
        <w:t>12514.2-2006</w:t>
      </w:r>
      <w:r>
        <w:rPr>
          <w:spacing w:val="-22"/>
          <w:sz w:val="21"/>
        </w:rPr>
        <w:t> 规定的 </w:t>
      </w:r>
      <w:r>
        <w:rPr>
          <w:sz w:val="21"/>
        </w:rPr>
        <w:t>KWA80</w:t>
      </w:r>
      <w:r>
        <w:rPr>
          <w:spacing w:val="-10"/>
          <w:sz w:val="21"/>
        </w:rPr>
        <w:t> 型外螺纹固定</w:t>
      </w:r>
      <w:r>
        <w:rPr>
          <w:spacing w:val="-9"/>
          <w:sz w:val="21"/>
        </w:rPr>
        <w:t>接口，其他形式的接合器应选用 </w:t>
      </w:r>
      <w:r>
        <w:rPr>
          <w:sz w:val="21"/>
        </w:rPr>
        <w:t>GB 12514.2-2006</w:t>
      </w:r>
      <w:r>
        <w:rPr>
          <w:spacing w:val="-23"/>
          <w:sz w:val="21"/>
        </w:rPr>
        <w:t> 规定的 </w:t>
      </w:r>
      <w:r>
        <w:rPr>
          <w:sz w:val="21"/>
        </w:rPr>
        <w:t>KWS80</w:t>
      </w:r>
      <w:r>
        <w:rPr>
          <w:spacing w:val="-9"/>
          <w:sz w:val="21"/>
        </w:rPr>
        <w:t> 型外螺纹固定接口。</w:t>
      </w:r>
      <w:r>
        <w:rPr>
          <w:sz w:val="21"/>
        </w:rPr>
        <w:t> </w:t>
      </w:r>
    </w:p>
    <w:p>
      <w:pPr>
        <w:pStyle w:val="ListParagraph"/>
        <w:numPr>
          <w:ilvl w:val="2"/>
          <w:numId w:val="124"/>
        </w:numPr>
        <w:tabs>
          <w:tab w:pos="1370" w:val="left" w:leader="none"/>
        </w:tabs>
        <w:spacing w:line="240" w:lineRule="auto" w:before="0" w:after="0"/>
        <w:ind w:left="1369" w:right="0" w:hanging="530"/>
        <w:jc w:val="left"/>
        <w:rPr>
          <w:sz w:val="21"/>
        </w:rPr>
      </w:pPr>
      <w:r>
        <w:rPr>
          <w:spacing w:val="-7"/>
          <w:sz w:val="21"/>
        </w:rPr>
        <w:t>消防接口的性能指标应符合 </w:t>
      </w:r>
      <w:r>
        <w:rPr>
          <w:sz w:val="21"/>
        </w:rPr>
        <w:t>GB</w:t>
      </w:r>
      <w:r>
        <w:rPr>
          <w:spacing w:val="1"/>
          <w:sz w:val="21"/>
        </w:rPr>
        <w:t> </w:t>
      </w:r>
      <w:r>
        <w:rPr>
          <w:sz w:val="21"/>
        </w:rPr>
        <w:t>12514.1</w:t>
      </w:r>
      <w:r>
        <w:rPr>
          <w:spacing w:val="-13"/>
          <w:sz w:val="21"/>
        </w:rPr>
        <w:t> 的规定。</w:t>
      </w:r>
      <w:r>
        <w:rPr>
          <w:sz w:val="21"/>
        </w:rPr>
        <w:t> </w:t>
      </w:r>
    </w:p>
    <w:p>
      <w:pPr>
        <w:spacing w:after="0" w:line="240" w:lineRule="auto"/>
        <w:jc w:val="left"/>
        <w:rPr>
          <w:sz w:val="21"/>
        </w:rPr>
        <w:sectPr>
          <w:pgSz w:w="11910" w:h="16850"/>
          <w:pgMar w:header="0" w:footer="1239" w:top="1220" w:bottom="1420" w:left="1260" w:right="0"/>
        </w:sectPr>
      </w:pPr>
    </w:p>
    <w:p>
      <w:pPr>
        <w:pStyle w:val="Heading4"/>
        <w:spacing w:before="37"/>
      </w:pPr>
      <w:r>
        <w:rPr/>
        <w:t>6 试验方法</w:t>
      </w:r>
      <w:r>
        <w:rPr>
          <w:w w:val="99"/>
        </w:rPr>
        <w:t> </w:t>
      </w:r>
    </w:p>
    <w:p>
      <w:pPr>
        <w:pStyle w:val="BodyText"/>
        <w:spacing w:before="4"/>
        <w:rPr>
          <w:b/>
          <w:sz w:val="17"/>
        </w:rPr>
      </w:pPr>
    </w:p>
    <w:p>
      <w:pPr>
        <w:spacing w:before="1"/>
        <w:ind w:left="840" w:right="0" w:firstLine="0"/>
        <w:jc w:val="left"/>
        <w:rPr>
          <w:b/>
          <w:sz w:val="21"/>
        </w:rPr>
      </w:pPr>
      <w:r>
        <w:rPr>
          <w:b/>
          <w:sz w:val="21"/>
        </w:rPr>
        <w:t>6.1</w:t>
      </w:r>
      <w:r>
        <w:rPr>
          <w:b/>
          <w:spacing w:val="3"/>
          <w:sz w:val="21"/>
        </w:rPr>
        <w:t> </w:t>
      </w:r>
      <w:r>
        <w:rPr>
          <w:spacing w:val="-3"/>
          <w:sz w:val="21"/>
        </w:rPr>
        <w:t>结构</w:t>
      </w:r>
      <w:r>
        <w:rPr>
          <w:b/>
          <w:w w:val="99"/>
          <w:sz w:val="21"/>
        </w:rPr>
        <w:t> </w:t>
      </w:r>
    </w:p>
    <w:p>
      <w:pPr>
        <w:pStyle w:val="BodyText"/>
        <w:spacing w:before="12"/>
        <w:rPr>
          <w:b/>
          <w:sz w:val="17"/>
        </w:rPr>
      </w:pPr>
    </w:p>
    <w:p>
      <w:pPr>
        <w:pStyle w:val="BodyText"/>
        <w:spacing w:line="446" w:lineRule="auto"/>
        <w:ind w:left="840" w:right="4866" w:hanging="3"/>
        <w:rPr>
          <w:b/>
        </w:rPr>
      </w:pPr>
      <w:r>
        <w:rPr>
          <w:spacing w:val="-6"/>
        </w:rPr>
        <w:t>检查接合器的结构组成，判断是否符合 </w:t>
      </w:r>
      <w:r>
        <w:rPr/>
        <w:t>5.1</w:t>
      </w:r>
      <w:r>
        <w:rPr>
          <w:spacing w:val="-12"/>
        </w:rPr>
        <w:t> 的规定。</w:t>
      </w:r>
      <w:r>
        <w:rPr>
          <w:b/>
          <w:spacing w:val="-12"/>
        </w:rPr>
        <w:t>6.2</w:t>
      </w:r>
      <w:r>
        <w:rPr>
          <w:b/>
          <w:spacing w:val="-1"/>
        </w:rPr>
        <w:t> </w:t>
      </w:r>
      <w:r>
        <w:rPr>
          <w:spacing w:val="-3"/>
        </w:rPr>
        <w:t>材料</w:t>
      </w:r>
      <w:r>
        <w:rPr>
          <w:b/>
          <w:w w:val="99"/>
        </w:rPr>
        <w:t> </w:t>
      </w:r>
    </w:p>
    <w:p>
      <w:pPr>
        <w:pStyle w:val="ListParagraph"/>
        <w:numPr>
          <w:ilvl w:val="2"/>
          <w:numId w:val="125"/>
        </w:numPr>
        <w:tabs>
          <w:tab w:pos="1370" w:val="left" w:leader="none"/>
        </w:tabs>
        <w:spacing w:line="446" w:lineRule="auto" w:before="0" w:after="0"/>
        <w:ind w:left="418" w:right="1500" w:firstLine="422"/>
        <w:jc w:val="left"/>
        <w:rPr>
          <w:sz w:val="21"/>
        </w:rPr>
      </w:pPr>
      <w:r>
        <w:rPr>
          <w:spacing w:val="-7"/>
          <w:sz w:val="21"/>
        </w:rPr>
        <w:t>灰铸铁的机械性能试验应按 </w:t>
      </w:r>
      <w:r>
        <w:rPr>
          <w:sz w:val="21"/>
        </w:rPr>
        <w:t>GB/T</w:t>
      </w:r>
      <w:r>
        <w:rPr>
          <w:spacing w:val="8"/>
          <w:sz w:val="21"/>
        </w:rPr>
        <w:t> </w:t>
      </w:r>
      <w:r>
        <w:rPr>
          <w:sz w:val="21"/>
        </w:rPr>
        <w:t>9439-2010</w:t>
      </w:r>
      <w:r>
        <w:rPr>
          <w:spacing w:val="-9"/>
          <w:sz w:val="21"/>
        </w:rPr>
        <w:t> 的规定进行，其他铸铁件的机械性能试</w:t>
      </w:r>
      <w:r>
        <w:rPr>
          <w:spacing w:val="-7"/>
          <w:sz w:val="21"/>
        </w:rPr>
        <w:t>验按其相应的标准规定进行。判断试验结果是否符合 </w:t>
      </w:r>
      <w:r>
        <w:rPr>
          <w:sz w:val="21"/>
        </w:rPr>
        <w:t>5.2.1</w:t>
      </w:r>
      <w:r>
        <w:rPr>
          <w:spacing w:val="-36"/>
          <w:sz w:val="21"/>
        </w:rPr>
        <w:t> 或 </w:t>
      </w:r>
      <w:r>
        <w:rPr>
          <w:sz w:val="21"/>
        </w:rPr>
        <w:t>5.2.2</w:t>
      </w:r>
      <w:r>
        <w:rPr>
          <w:spacing w:val="-12"/>
          <w:sz w:val="21"/>
        </w:rPr>
        <w:t> 的规定。 </w:t>
      </w:r>
    </w:p>
    <w:p>
      <w:pPr>
        <w:pStyle w:val="ListParagraph"/>
        <w:numPr>
          <w:ilvl w:val="2"/>
          <w:numId w:val="125"/>
        </w:numPr>
        <w:tabs>
          <w:tab w:pos="1370" w:val="left" w:leader="none"/>
        </w:tabs>
        <w:spacing w:line="446" w:lineRule="auto" w:before="0" w:after="0"/>
        <w:ind w:left="418" w:right="1503" w:firstLine="422"/>
        <w:jc w:val="left"/>
        <w:rPr>
          <w:sz w:val="21"/>
        </w:rPr>
      </w:pPr>
      <w:r>
        <w:rPr>
          <w:spacing w:val="-7"/>
          <w:sz w:val="21"/>
        </w:rPr>
        <w:t>球墨铸铁的机械性能试验应按 </w:t>
      </w:r>
      <w:r>
        <w:rPr>
          <w:sz w:val="21"/>
        </w:rPr>
        <w:t>GB/T</w:t>
      </w:r>
      <w:r>
        <w:rPr>
          <w:spacing w:val="9"/>
          <w:sz w:val="21"/>
        </w:rPr>
        <w:t> </w:t>
      </w:r>
      <w:r>
        <w:rPr>
          <w:sz w:val="21"/>
        </w:rPr>
        <w:t>1348-2009</w:t>
      </w:r>
      <w:r>
        <w:rPr>
          <w:spacing w:val="-9"/>
          <w:sz w:val="21"/>
        </w:rPr>
        <w:t> 的规定进行，其他铸件的机械性能试</w:t>
      </w:r>
      <w:r>
        <w:rPr>
          <w:spacing w:val="-7"/>
          <w:sz w:val="21"/>
        </w:rPr>
        <w:t>验按其相应的标准规定进行。判断试验结果是否符合 </w:t>
      </w:r>
      <w:r>
        <w:rPr>
          <w:sz w:val="21"/>
        </w:rPr>
        <w:t>5.2.3</w:t>
      </w:r>
      <w:r>
        <w:rPr>
          <w:spacing w:val="-13"/>
          <w:sz w:val="21"/>
        </w:rPr>
        <w:t> 的规定。</w:t>
      </w:r>
      <w:r>
        <w:rPr>
          <w:sz w:val="21"/>
        </w:rPr>
        <w:t> </w:t>
      </w:r>
    </w:p>
    <w:p>
      <w:pPr>
        <w:pStyle w:val="ListParagraph"/>
        <w:numPr>
          <w:ilvl w:val="2"/>
          <w:numId w:val="125"/>
        </w:numPr>
        <w:tabs>
          <w:tab w:pos="1371" w:val="left" w:leader="none"/>
        </w:tabs>
        <w:spacing w:line="267" w:lineRule="exact" w:before="0" w:after="0"/>
        <w:ind w:left="1370" w:right="0" w:hanging="531"/>
        <w:jc w:val="left"/>
        <w:rPr>
          <w:sz w:val="21"/>
        </w:rPr>
      </w:pPr>
      <w:r>
        <w:rPr>
          <w:spacing w:val="-8"/>
          <w:sz w:val="21"/>
        </w:rPr>
        <w:t>铸铜件的机械性能试验按 </w:t>
      </w:r>
      <w:r>
        <w:rPr>
          <w:sz w:val="21"/>
        </w:rPr>
        <w:t>GB/T</w:t>
      </w:r>
      <w:r>
        <w:rPr>
          <w:spacing w:val="2"/>
          <w:sz w:val="21"/>
        </w:rPr>
        <w:t> </w:t>
      </w:r>
      <w:r>
        <w:rPr>
          <w:sz w:val="21"/>
        </w:rPr>
        <w:t>1176-1987</w:t>
      </w:r>
      <w:r>
        <w:rPr>
          <w:spacing w:val="-9"/>
          <w:sz w:val="21"/>
        </w:rPr>
        <w:t> 的规定进行。判断试验结果是否符合</w:t>
      </w:r>
    </w:p>
    <w:p>
      <w:pPr>
        <w:pStyle w:val="BodyText"/>
        <w:spacing w:before="1"/>
        <w:rPr>
          <w:sz w:val="18"/>
        </w:rPr>
      </w:pPr>
    </w:p>
    <w:p>
      <w:pPr>
        <w:pStyle w:val="BodyText"/>
        <w:spacing w:before="1"/>
        <w:ind w:left="418"/>
      </w:pPr>
      <w:r>
        <w:rPr/>
        <w:t>5.2.4 的规定。 </w:t>
      </w:r>
    </w:p>
    <w:p>
      <w:pPr>
        <w:pStyle w:val="BodyText"/>
        <w:spacing w:before="12"/>
        <w:rPr>
          <w:sz w:val="17"/>
        </w:rPr>
      </w:pPr>
    </w:p>
    <w:p>
      <w:pPr>
        <w:pStyle w:val="BodyText"/>
        <w:ind w:left="840"/>
      </w:pPr>
      <w:r>
        <w:rPr>
          <w:b/>
        </w:rPr>
        <w:t>6.2.4 </w:t>
      </w:r>
      <w:r>
        <w:rPr/>
        <w:t>不锈钢铸件的机械性能试验按 GB/T 2100-2002 的规定进行。判断试验结果是否符合</w:t>
      </w:r>
    </w:p>
    <w:p>
      <w:pPr>
        <w:pStyle w:val="BodyText"/>
        <w:spacing w:before="12"/>
        <w:rPr>
          <w:sz w:val="17"/>
        </w:rPr>
      </w:pPr>
    </w:p>
    <w:p>
      <w:pPr>
        <w:pStyle w:val="BodyText"/>
        <w:ind w:left="418"/>
      </w:pPr>
      <w:r>
        <w:rPr/>
        <w:t>5.2.4 的规定。 </w:t>
      </w:r>
    </w:p>
    <w:p>
      <w:pPr>
        <w:pStyle w:val="BodyText"/>
        <w:spacing w:before="2"/>
        <w:rPr>
          <w:sz w:val="18"/>
        </w:rPr>
      </w:pPr>
    </w:p>
    <w:p>
      <w:pPr>
        <w:spacing w:before="0"/>
        <w:ind w:left="840" w:right="0" w:firstLine="0"/>
        <w:jc w:val="left"/>
        <w:rPr>
          <w:sz w:val="21"/>
        </w:rPr>
      </w:pPr>
      <w:r>
        <w:rPr>
          <w:b/>
          <w:sz w:val="21"/>
        </w:rPr>
        <w:t>6.3 </w:t>
      </w:r>
      <w:r>
        <w:rPr>
          <w:sz w:val="21"/>
        </w:rPr>
        <w:t>外观质量的检查 </w:t>
      </w:r>
    </w:p>
    <w:p>
      <w:pPr>
        <w:pStyle w:val="BodyText"/>
        <w:rPr>
          <w:sz w:val="18"/>
        </w:rPr>
      </w:pPr>
    </w:p>
    <w:p>
      <w:pPr>
        <w:pStyle w:val="BodyText"/>
        <w:spacing w:line="446" w:lineRule="auto"/>
        <w:ind w:left="840" w:right="5077" w:hanging="3"/>
        <w:rPr>
          <w:b/>
        </w:rPr>
      </w:pPr>
      <w:r>
        <w:rPr/>
        <w:t>外观质量用目测检查，判断是否符合 5.3 的规定。</w:t>
      </w:r>
      <w:r>
        <w:rPr>
          <w:b/>
        </w:rPr>
        <w:t>6.4 </w:t>
      </w:r>
      <w:r>
        <w:rPr/>
        <w:t>螺纹及法兰尺寸检查</w:t>
      </w:r>
      <w:r>
        <w:rPr>
          <w:b/>
          <w:w w:val="99"/>
        </w:rPr>
        <w:t> </w:t>
      </w:r>
    </w:p>
    <w:p>
      <w:pPr>
        <w:pStyle w:val="ListParagraph"/>
        <w:numPr>
          <w:ilvl w:val="2"/>
          <w:numId w:val="126"/>
        </w:numPr>
        <w:tabs>
          <w:tab w:pos="1370" w:val="left" w:leader="none"/>
        </w:tabs>
        <w:spacing w:line="446" w:lineRule="auto" w:before="0" w:after="0"/>
        <w:ind w:left="418" w:right="1402" w:firstLine="422"/>
        <w:jc w:val="left"/>
        <w:rPr>
          <w:sz w:val="21"/>
        </w:rPr>
      </w:pPr>
      <w:r>
        <w:rPr>
          <w:spacing w:val="-5"/>
          <w:sz w:val="21"/>
        </w:rPr>
        <w:t>用螺纹环规和塞规检查螺纹尺寸，圆柱管螺纹环规和塞规的精度应不低于 </w:t>
      </w:r>
      <w:r>
        <w:rPr>
          <w:sz w:val="21"/>
        </w:rPr>
        <w:t>3</w:t>
      </w:r>
      <w:r>
        <w:rPr>
          <w:spacing w:val="-5"/>
          <w:sz w:val="21"/>
        </w:rPr>
        <w:t> 级。公 制</w:t>
      </w:r>
      <w:r>
        <w:rPr>
          <w:spacing w:val="-7"/>
          <w:sz w:val="21"/>
        </w:rPr>
        <w:t>螺纹环规和塞规的精度应不低于 </w:t>
      </w:r>
      <w:r>
        <w:rPr>
          <w:sz w:val="21"/>
        </w:rPr>
        <w:t>7H、8g</w:t>
      </w:r>
      <w:r>
        <w:rPr>
          <w:spacing w:val="-12"/>
          <w:sz w:val="21"/>
        </w:rPr>
        <w:t> 级。判断试验结果是否符合 </w:t>
      </w:r>
      <w:r>
        <w:rPr>
          <w:sz w:val="21"/>
        </w:rPr>
        <w:t>5.4.1</w:t>
      </w:r>
      <w:r>
        <w:rPr>
          <w:spacing w:val="-34"/>
          <w:sz w:val="21"/>
        </w:rPr>
        <w:t> 或 </w:t>
      </w:r>
      <w:r>
        <w:rPr>
          <w:sz w:val="21"/>
        </w:rPr>
        <w:t>5.4.2</w:t>
      </w:r>
      <w:r>
        <w:rPr>
          <w:spacing w:val="-13"/>
          <w:sz w:val="21"/>
        </w:rPr>
        <w:t> 的规定。</w:t>
      </w:r>
      <w:r>
        <w:rPr>
          <w:sz w:val="21"/>
        </w:rPr>
        <w:t> </w:t>
      </w:r>
    </w:p>
    <w:p>
      <w:pPr>
        <w:pStyle w:val="ListParagraph"/>
        <w:numPr>
          <w:ilvl w:val="2"/>
          <w:numId w:val="126"/>
        </w:numPr>
        <w:tabs>
          <w:tab w:pos="1370" w:val="left" w:leader="none"/>
        </w:tabs>
        <w:spacing w:line="446" w:lineRule="auto" w:before="0" w:after="0"/>
        <w:ind w:left="418" w:right="1604" w:firstLine="422"/>
        <w:jc w:val="left"/>
        <w:rPr>
          <w:sz w:val="21"/>
        </w:rPr>
      </w:pPr>
      <w:r>
        <w:rPr>
          <w:spacing w:val="-3"/>
          <w:sz w:val="21"/>
        </w:rPr>
        <w:t>用游标卡尺检查接合器法兰的连接尺寸，游标卡尺的测量范围应大于被测试样的最</w:t>
      </w:r>
      <w:r>
        <w:rPr>
          <w:spacing w:val="-7"/>
          <w:sz w:val="21"/>
        </w:rPr>
        <w:t>大尺寸，游标卡尺的准确度不低于 </w:t>
      </w:r>
      <w:r>
        <w:rPr>
          <w:sz w:val="21"/>
        </w:rPr>
        <w:t>0.02mm</w:t>
      </w:r>
      <w:r>
        <w:rPr>
          <w:spacing w:val="-8"/>
          <w:sz w:val="21"/>
        </w:rPr>
        <w:t>。判断试验结果是否符合 </w:t>
      </w:r>
      <w:r>
        <w:rPr>
          <w:sz w:val="21"/>
        </w:rPr>
        <w:t>5.4.3</w:t>
      </w:r>
      <w:r>
        <w:rPr>
          <w:spacing w:val="-12"/>
          <w:sz w:val="21"/>
        </w:rPr>
        <w:t> 的规定。 </w:t>
      </w:r>
    </w:p>
    <w:p>
      <w:pPr>
        <w:pStyle w:val="ListParagraph"/>
        <w:numPr>
          <w:ilvl w:val="1"/>
          <w:numId w:val="127"/>
        </w:numPr>
        <w:tabs>
          <w:tab w:pos="1159" w:val="left" w:leader="none"/>
        </w:tabs>
        <w:spacing w:line="240" w:lineRule="auto" w:before="0" w:after="0"/>
        <w:ind w:left="1158" w:right="0" w:hanging="319"/>
        <w:jc w:val="left"/>
        <w:rPr>
          <w:b/>
          <w:sz w:val="21"/>
        </w:rPr>
      </w:pPr>
      <w:r>
        <w:rPr>
          <w:spacing w:val="-3"/>
          <w:sz w:val="21"/>
        </w:rPr>
        <w:t>密封性能试验</w:t>
      </w:r>
      <w:r>
        <w:rPr>
          <w:b/>
          <w:w w:val="99"/>
          <w:sz w:val="21"/>
        </w:rPr>
        <w:t> </w:t>
      </w:r>
    </w:p>
    <w:p>
      <w:pPr>
        <w:pStyle w:val="BodyText"/>
        <w:spacing w:before="10"/>
        <w:rPr>
          <w:b/>
          <w:sz w:val="17"/>
        </w:rPr>
      </w:pPr>
    </w:p>
    <w:p>
      <w:pPr>
        <w:pStyle w:val="ListParagraph"/>
        <w:numPr>
          <w:ilvl w:val="2"/>
          <w:numId w:val="127"/>
        </w:numPr>
        <w:tabs>
          <w:tab w:pos="1370" w:val="left" w:leader="none"/>
        </w:tabs>
        <w:spacing w:line="446" w:lineRule="auto" w:before="0" w:after="0"/>
        <w:ind w:left="418" w:right="1604" w:firstLine="422"/>
        <w:jc w:val="left"/>
        <w:rPr>
          <w:sz w:val="21"/>
        </w:rPr>
      </w:pPr>
      <w:r>
        <w:rPr>
          <w:spacing w:val="-3"/>
          <w:sz w:val="21"/>
        </w:rPr>
        <w:t>试验时，将截断类阀门关闭，从进口端灌水并排除试样内的空气，缓慢而均匀地升</w:t>
      </w:r>
      <w:r>
        <w:rPr>
          <w:spacing w:val="-8"/>
          <w:sz w:val="21"/>
        </w:rPr>
        <w:t>压至公称压力，并保压 </w:t>
      </w:r>
      <w:r>
        <w:rPr>
          <w:sz w:val="21"/>
        </w:rPr>
        <w:t>2min</w:t>
      </w:r>
      <w:r>
        <w:rPr>
          <w:spacing w:val="-8"/>
          <w:sz w:val="21"/>
        </w:rPr>
        <w:t>。判断试验结果是否符合 </w:t>
      </w:r>
      <w:r>
        <w:rPr>
          <w:sz w:val="21"/>
        </w:rPr>
        <w:t>5.5</w:t>
      </w:r>
      <w:r>
        <w:rPr>
          <w:spacing w:val="-13"/>
          <w:sz w:val="21"/>
        </w:rPr>
        <w:t> 的规定。</w:t>
      </w:r>
      <w:r>
        <w:rPr>
          <w:sz w:val="21"/>
        </w:rPr>
        <w:t> </w:t>
      </w:r>
    </w:p>
    <w:p>
      <w:pPr>
        <w:pStyle w:val="ListParagraph"/>
        <w:numPr>
          <w:ilvl w:val="2"/>
          <w:numId w:val="127"/>
        </w:numPr>
        <w:tabs>
          <w:tab w:pos="1371" w:val="left" w:leader="none"/>
        </w:tabs>
        <w:spacing w:line="240" w:lineRule="auto" w:before="0" w:after="0"/>
        <w:ind w:left="1370" w:right="0" w:hanging="531"/>
        <w:jc w:val="left"/>
        <w:rPr>
          <w:sz w:val="21"/>
        </w:rPr>
      </w:pPr>
      <w:r>
        <w:rPr>
          <w:spacing w:val="-10"/>
          <w:sz w:val="21"/>
        </w:rPr>
        <w:t>试验装置应符合 </w:t>
      </w:r>
      <w:r>
        <w:rPr>
          <w:sz w:val="21"/>
        </w:rPr>
        <w:t>6.6.2</w:t>
      </w:r>
      <w:r>
        <w:rPr>
          <w:spacing w:val="-13"/>
          <w:sz w:val="21"/>
        </w:rPr>
        <w:t> 的规定。</w:t>
      </w:r>
      <w:r>
        <w:rPr>
          <w:sz w:val="21"/>
        </w:rPr>
        <w:t> </w:t>
      </w:r>
    </w:p>
    <w:p>
      <w:pPr>
        <w:pStyle w:val="BodyText"/>
        <w:spacing w:before="12"/>
        <w:rPr>
          <w:sz w:val="17"/>
        </w:rPr>
      </w:pPr>
    </w:p>
    <w:p>
      <w:pPr>
        <w:pStyle w:val="ListParagraph"/>
        <w:numPr>
          <w:ilvl w:val="1"/>
          <w:numId w:val="127"/>
        </w:numPr>
        <w:tabs>
          <w:tab w:pos="1159" w:val="left" w:leader="none"/>
        </w:tabs>
        <w:spacing w:line="240" w:lineRule="auto" w:before="0" w:after="0"/>
        <w:ind w:left="1158" w:right="0" w:hanging="319"/>
        <w:jc w:val="left"/>
        <w:rPr>
          <w:b/>
          <w:sz w:val="21"/>
        </w:rPr>
      </w:pPr>
      <w:r>
        <w:rPr>
          <w:spacing w:val="-3"/>
          <w:sz w:val="21"/>
        </w:rPr>
        <w:t>水压强度试验</w:t>
      </w:r>
      <w:r>
        <w:rPr>
          <w:b/>
          <w:w w:val="99"/>
          <w:sz w:val="21"/>
        </w:rPr>
        <w:t> </w:t>
      </w:r>
    </w:p>
    <w:p>
      <w:pPr>
        <w:pStyle w:val="BodyText"/>
        <w:spacing w:before="2"/>
        <w:rPr>
          <w:b/>
          <w:sz w:val="18"/>
        </w:rPr>
      </w:pPr>
    </w:p>
    <w:p>
      <w:pPr>
        <w:pStyle w:val="ListParagraph"/>
        <w:numPr>
          <w:ilvl w:val="2"/>
          <w:numId w:val="127"/>
        </w:numPr>
        <w:tabs>
          <w:tab w:pos="1371" w:val="left" w:leader="none"/>
        </w:tabs>
        <w:spacing w:line="240" w:lineRule="auto" w:before="0" w:after="0"/>
        <w:ind w:left="1370" w:right="0" w:hanging="531"/>
        <w:jc w:val="left"/>
        <w:rPr>
          <w:sz w:val="21"/>
        </w:rPr>
      </w:pPr>
      <w:r>
        <w:rPr>
          <w:spacing w:val="-27"/>
          <w:sz w:val="21"/>
        </w:rPr>
        <w:t>在 </w:t>
      </w:r>
      <w:r>
        <w:rPr>
          <w:sz w:val="21"/>
        </w:rPr>
        <w:t>6.5.1</w:t>
      </w:r>
      <w:r>
        <w:rPr>
          <w:spacing w:val="-9"/>
          <w:sz w:val="21"/>
        </w:rPr>
        <w:t> 试验结束后，拆除安全阀并封闭出口，再缓慢而均匀地将水压升至公称压</w:t>
      </w:r>
    </w:p>
    <w:p>
      <w:pPr>
        <w:pStyle w:val="BodyText"/>
        <w:rPr>
          <w:sz w:val="18"/>
        </w:rPr>
      </w:pPr>
    </w:p>
    <w:p>
      <w:pPr>
        <w:pStyle w:val="BodyText"/>
        <w:spacing w:line="446" w:lineRule="auto"/>
        <w:ind w:left="840" w:right="4398" w:hanging="423"/>
      </w:pPr>
      <w:r>
        <w:rPr>
          <w:spacing w:val="-17"/>
        </w:rPr>
        <w:t>力的 </w:t>
      </w:r>
      <w:r>
        <w:rPr/>
        <w:t>1.5</w:t>
      </w:r>
      <w:r>
        <w:rPr>
          <w:spacing w:val="-19"/>
        </w:rPr>
        <w:t> 倍，保压 </w:t>
      </w:r>
      <w:r>
        <w:rPr/>
        <w:t>2min</w:t>
      </w:r>
      <w:r>
        <w:rPr>
          <w:spacing w:val="-7"/>
        </w:rPr>
        <w:t>。判断试验结果是否符合 </w:t>
      </w:r>
      <w:r>
        <w:rPr/>
        <w:t>5.6</w:t>
      </w:r>
      <w:r>
        <w:rPr>
          <w:spacing w:val="-12"/>
        </w:rPr>
        <w:t> 的规定。</w:t>
      </w:r>
      <w:r>
        <w:rPr>
          <w:b/>
        </w:rPr>
        <w:t>6.6.2 </w:t>
      </w:r>
      <w:r>
        <w:rPr>
          <w:spacing w:val="-3"/>
        </w:rPr>
        <w:t>试验装置应符合下列规定：</w:t>
      </w:r>
      <w:r>
        <w:rPr/>
        <w:t> </w:t>
      </w:r>
    </w:p>
    <w:p>
      <w:pPr>
        <w:spacing w:after="0" w:line="446" w:lineRule="auto"/>
        <w:sectPr>
          <w:pgSz w:w="11910" w:h="16850"/>
          <w:pgMar w:header="0" w:footer="1239" w:top="1200" w:bottom="1420" w:left="1260" w:right="0"/>
        </w:sectPr>
      </w:pPr>
    </w:p>
    <w:p>
      <w:pPr>
        <w:pStyle w:val="ListParagraph"/>
        <w:numPr>
          <w:ilvl w:val="0"/>
          <w:numId w:val="128"/>
        </w:numPr>
        <w:tabs>
          <w:tab w:pos="1156" w:val="left" w:leader="none"/>
        </w:tabs>
        <w:spacing w:line="446" w:lineRule="auto" w:before="47" w:after="0"/>
        <w:ind w:left="418" w:right="1508" w:firstLine="419"/>
        <w:jc w:val="both"/>
        <w:rPr>
          <w:sz w:val="21"/>
        </w:rPr>
      </w:pPr>
      <w:r>
        <w:rPr>
          <w:spacing w:val="-8"/>
          <w:sz w:val="21"/>
        </w:rPr>
        <w:t>水压源：公称压力为 </w:t>
      </w:r>
      <w:r>
        <w:rPr>
          <w:sz w:val="21"/>
        </w:rPr>
        <w:t>1.6MPa、2.5MPa</w:t>
      </w:r>
      <w:r>
        <w:rPr>
          <w:spacing w:val="-32"/>
          <w:sz w:val="21"/>
        </w:rPr>
        <w:t> 和 </w:t>
      </w:r>
      <w:r>
        <w:rPr>
          <w:sz w:val="21"/>
        </w:rPr>
        <w:t>4.0MPa</w:t>
      </w:r>
      <w:r>
        <w:rPr>
          <w:spacing w:val="-9"/>
          <w:sz w:val="21"/>
        </w:rPr>
        <w:t> 的接合器，水压源的额定工作压力应分</w:t>
      </w:r>
      <w:r>
        <w:rPr>
          <w:spacing w:val="-16"/>
          <w:sz w:val="21"/>
        </w:rPr>
        <w:t>别不低于 </w:t>
      </w:r>
      <w:r>
        <w:rPr>
          <w:sz w:val="21"/>
        </w:rPr>
        <w:t>2.5MPa、4.0MPa</w:t>
      </w:r>
      <w:r>
        <w:rPr>
          <w:spacing w:val="-37"/>
          <w:sz w:val="21"/>
        </w:rPr>
        <w:t> 和 </w:t>
      </w:r>
      <w:r>
        <w:rPr>
          <w:sz w:val="21"/>
        </w:rPr>
        <w:t>6.0MPa</w:t>
      </w:r>
      <w:r>
        <w:rPr>
          <w:spacing w:val="-3"/>
          <w:sz w:val="21"/>
        </w:rPr>
        <w:t>。</w:t>
      </w:r>
      <w:r>
        <w:rPr>
          <w:sz w:val="21"/>
        </w:rPr>
        <w:t> </w:t>
      </w:r>
    </w:p>
    <w:p>
      <w:pPr>
        <w:pStyle w:val="ListParagraph"/>
        <w:numPr>
          <w:ilvl w:val="0"/>
          <w:numId w:val="128"/>
        </w:numPr>
        <w:tabs>
          <w:tab w:pos="1156" w:val="left" w:leader="none"/>
        </w:tabs>
        <w:spacing w:line="369" w:lineRule="auto" w:before="0" w:after="0"/>
        <w:ind w:left="418" w:right="1561" w:firstLine="419"/>
        <w:jc w:val="both"/>
        <w:rPr>
          <w:sz w:val="21"/>
        </w:rPr>
      </w:pPr>
      <w:r>
        <w:rPr>
          <w:spacing w:val="-5"/>
          <w:sz w:val="21"/>
        </w:rPr>
        <w:t>压力显示装置：压力显示装置的测量下限为 </w:t>
      </w:r>
      <w:r>
        <w:rPr>
          <w:sz w:val="21"/>
        </w:rPr>
        <w:t>0MPa</w:t>
      </w:r>
      <w:r>
        <w:rPr>
          <w:spacing w:val="-8"/>
          <w:sz w:val="21"/>
        </w:rPr>
        <w:t>，公称压力为 </w:t>
      </w:r>
      <w:r>
        <w:rPr>
          <w:sz w:val="21"/>
        </w:rPr>
        <w:t>1.6MPa</w:t>
      </w:r>
      <w:r>
        <w:rPr>
          <w:spacing w:val="-8"/>
          <w:sz w:val="21"/>
        </w:rPr>
        <w:t> 的接合器测量上</w:t>
      </w:r>
      <w:r>
        <w:rPr>
          <w:spacing w:val="-22"/>
          <w:sz w:val="21"/>
        </w:rPr>
        <w:t>限为 </w:t>
      </w:r>
      <w:r>
        <w:rPr>
          <w:sz w:val="21"/>
        </w:rPr>
        <w:t>4.0</w:t>
      </w:r>
      <w:r>
        <w:rPr>
          <w:rFonts w:ascii="微软雅黑" w:eastAsia="微软雅黑" w:hint="eastAsia"/>
          <w:spacing w:val="-3"/>
          <w:sz w:val="21"/>
        </w:rPr>
        <w:t>〜</w:t>
      </w:r>
      <w:r>
        <w:rPr>
          <w:sz w:val="21"/>
        </w:rPr>
        <w:t>6.0MPa</w:t>
      </w:r>
      <w:r>
        <w:rPr>
          <w:spacing w:val="-9"/>
          <w:sz w:val="21"/>
        </w:rPr>
        <w:t>，公称压力为 </w:t>
      </w:r>
      <w:r>
        <w:rPr>
          <w:sz w:val="21"/>
        </w:rPr>
        <w:t>2.5MPa</w:t>
      </w:r>
      <w:r>
        <w:rPr>
          <w:spacing w:val="-34"/>
          <w:sz w:val="21"/>
        </w:rPr>
        <w:t> 和 </w:t>
      </w:r>
      <w:r>
        <w:rPr>
          <w:sz w:val="21"/>
        </w:rPr>
        <w:t>4.0MPa</w:t>
      </w:r>
      <w:r>
        <w:rPr>
          <w:spacing w:val="-13"/>
          <w:sz w:val="21"/>
        </w:rPr>
        <w:t> 的接合器测量上限为 </w:t>
      </w:r>
      <w:r>
        <w:rPr>
          <w:sz w:val="21"/>
        </w:rPr>
        <w:t>6.0</w:t>
      </w:r>
      <w:r>
        <w:rPr>
          <w:rFonts w:ascii="微软雅黑" w:eastAsia="微软雅黑" w:hint="eastAsia"/>
          <w:sz w:val="21"/>
        </w:rPr>
        <w:t>〜</w:t>
      </w:r>
      <w:r>
        <w:rPr>
          <w:sz w:val="21"/>
        </w:rPr>
        <w:t>10.0MPa</w:t>
      </w:r>
      <w:r>
        <w:rPr>
          <w:spacing w:val="-2"/>
          <w:sz w:val="21"/>
        </w:rPr>
        <w:t>，测量精</w:t>
      </w:r>
      <w:r>
        <w:rPr>
          <w:spacing w:val="-12"/>
          <w:sz w:val="21"/>
        </w:rPr>
        <w:t>度应不低于 </w:t>
      </w:r>
      <w:r>
        <w:rPr>
          <w:sz w:val="21"/>
        </w:rPr>
        <w:t>1.6</w:t>
      </w:r>
      <w:r>
        <w:rPr>
          <w:spacing w:val="-20"/>
          <w:sz w:val="21"/>
        </w:rPr>
        <w:t> 级。</w:t>
      </w:r>
      <w:r>
        <w:rPr>
          <w:sz w:val="21"/>
        </w:rPr>
        <w:t> </w:t>
      </w:r>
    </w:p>
    <w:p>
      <w:pPr>
        <w:pStyle w:val="ListParagraph"/>
        <w:numPr>
          <w:ilvl w:val="1"/>
          <w:numId w:val="127"/>
        </w:numPr>
        <w:tabs>
          <w:tab w:pos="1159" w:val="left" w:leader="none"/>
        </w:tabs>
        <w:spacing w:line="240" w:lineRule="auto" w:before="73" w:after="0"/>
        <w:ind w:left="1158" w:right="0" w:hanging="319"/>
        <w:jc w:val="left"/>
        <w:rPr>
          <w:sz w:val="21"/>
        </w:rPr>
      </w:pPr>
      <w:r>
        <w:rPr>
          <w:spacing w:val="-3"/>
          <w:sz w:val="21"/>
        </w:rPr>
        <w:t>安全阀的开启压力和启闭压差试验</w:t>
      </w:r>
      <w:r>
        <w:rPr>
          <w:sz w:val="21"/>
        </w:rPr>
        <w:t> </w:t>
      </w:r>
    </w:p>
    <w:p>
      <w:pPr>
        <w:pStyle w:val="BodyText"/>
        <w:spacing w:before="2"/>
        <w:rPr>
          <w:sz w:val="18"/>
        </w:rPr>
      </w:pPr>
    </w:p>
    <w:p>
      <w:pPr>
        <w:pStyle w:val="ListParagraph"/>
        <w:numPr>
          <w:ilvl w:val="2"/>
          <w:numId w:val="127"/>
        </w:numPr>
        <w:tabs>
          <w:tab w:pos="1370" w:val="left" w:leader="none"/>
        </w:tabs>
        <w:spacing w:line="446" w:lineRule="auto" w:before="0" w:after="0"/>
        <w:ind w:left="418" w:right="1445" w:firstLine="422"/>
        <w:jc w:val="left"/>
        <w:rPr>
          <w:sz w:val="21"/>
        </w:rPr>
      </w:pPr>
      <w:r>
        <w:rPr>
          <w:spacing w:val="-5"/>
          <w:sz w:val="21"/>
        </w:rPr>
        <w:t>将安全阀的进水口与水压源相接，缓慢均匀地升压，升压速度应不超过 </w:t>
      </w:r>
      <w:r>
        <w:rPr>
          <w:sz w:val="21"/>
        </w:rPr>
        <w:t>0.01MPa/s， </w:t>
      </w:r>
      <w:r>
        <w:rPr>
          <w:spacing w:val="-5"/>
          <w:sz w:val="21"/>
        </w:rPr>
        <w:t>观察和记录安全阀的开启压力。判断试验结果是否符合 </w:t>
      </w:r>
      <w:r>
        <w:rPr>
          <w:sz w:val="21"/>
        </w:rPr>
        <w:t>5.7.3</w:t>
      </w:r>
      <w:r>
        <w:rPr>
          <w:spacing w:val="-13"/>
          <w:sz w:val="21"/>
        </w:rPr>
        <w:t> 的规定。</w:t>
      </w:r>
      <w:r>
        <w:rPr>
          <w:sz w:val="21"/>
        </w:rPr>
        <w:t> </w:t>
      </w:r>
    </w:p>
    <w:p>
      <w:pPr>
        <w:pStyle w:val="ListParagraph"/>
        <w:numPr>
          <w:ilvl w:val="2"/>
          <w:numId w:val="127"/>
        </w:numPr>
        <w:tabs>
          <w:tab w:pos="1371" w:val="left" w:leader="none"/>
        </w:tabs>
        <w:spacing w:line="446" w:lineRule="auto" w:before="0" w:after="0"/>
        <w:ind w:left="418" w:right="1604" w:firstLine="422"/>
        <w:jc w:val="left"/>
        <w:rPr>
          <w:sz w:val="21"/>
        </w:rPr>
      </w:pPr>
      <w:r>
        <w:rPr>
          <w:spacing w:val="-3"/>
          <w:sz w:val="21"/>
        </w:rPr>
        <w:t>继续升高压力，直到安全阀达到全开启</w:t>
      </w:r>
      <w:r>
        <w:rPr>
          <w:sz w:val="21"/>
        </w:rPr>
        <w:t>（</w:t>
      </w:r>
      <w:r>
        <w:rPr>
          <w:spacing w:val="-2"/>
          <w:sz w:val="21"/>
        </w:rPr>
        <w:t>排放</w:t>
      </w:r>
      <w:r>
        <w:rPr>
          <w:sz w:val="21"/>
        </w:rPr>
        <w:t>）</w:t>
      </w:r>
      <w:r>
        <w:rPr>
          <w:spacing w:val="-3"/>
          <w:sz w:val="21"/>
        </w:rPr>
        <w:t>状态，然后缓慢均匀地降低压力， 直到安全阀关闭，观察并记录安全阀的回座压力。</w:t>
      </w:r>
      <w:r>
        <w:rPr>
          <w:sz w:val="21"/>
        </w:rPr>
        <w:t> </w:t>
      </w:r>
    </w:p>
    <w:p>
      <w:pPr>
        <w:pStyle w:val="BodyText"/>
        <w:rPr>
          <w:sz w:val="20"/>
        </w:rPr>
      </w:pPr>
    </w:p>
    <w:p>
      <w:pPr>
        <w:pStyle w:val="BodyText"/>
        <w:rPr>
          <w:sz w:val="20"/>
        </w:rPr>
      </w:pPr>
    </w:p>
    <w:p>
      <w:pPr>
        <w:pStyle w:val="BodyText"/>
        <w:rPr>
          <w:sz w:val="20"/>
        </w:rPr>
      </w:pPr>
    </w:p>
    <w:p>
      <w:pPr>
        <w:pStyle w:val="BodyText"/>
        <w:spacing w:before="12"/>
        <w:rPr>
          <w:sz w:val="17"/>
        </w:rPr>
      </w:pPr>
    </w:p>
    <w:p>
      <w:pPr>
        <w:pStyle w:val="ListParagraph"/>
        <w:numPr>
          <w:ilvl w:val="2"/>
          <w:numId w:val="127"/>
        </w:numPr>
        <w:tabs>
          <w:tab w:pos="1367" w:val="left" w:leader="none"/>
        </w:tabs>
        <w:spacing w:line="240" w:lineRule="auto" w:before="0" w:after="0"/>
        <w:ind w:left="1367" w:right="0" w:hanging="529"/>
        <w:jc w:val="left"/>
        <w:rPr>
          <w:sz w:val="21"/>
        </w:rPr>
      </w:pPr>
      <w:r>
        <w:rPr>
          <w:spacing w:val="-3"/>
          <w:sz w:val="21"/>
        </w:rPr>
        <w:t>安全阀的启闭压差按式</w:t>
      </w:r>
      <w:r>
        <w:rPr>
          <w:sz w:val="21"/>
        </w:rPr>
        <w:t>（1）</w:t>
      </w:r>
      <w:r>
        <w:rPr>
          <w:spacing w:val="-3"/>
          <w:sz w:val="21"/>
        </w:rPr>
        <w:t>计算：</w:t>
      </w:r>
      <w:r>
        <w:rPr>
          <w:sz w:val="21"/>
        </w:rPr>
        <w:t> </w:t>
      </w:r>
    </w:p>
    <w:p>
      <w:pPr>
        <w:pStyle w:val="BodyText"/>
        <w:rPr>
          <w:sz w:val="20"/>
        </w:rPr>
      </w:pPr>
    </w:p>
    <w:p>
      <w:pPr>
        <w:pStyle w:val="BodyText"/>
        <w:rPr>
          <w:sz w:val="20"/>
        </w:rPr>
      </w:pPr>
    </w:p>
    <w:p>
      <w:pPr>
        <w:pStyle w:val="BodyText"/>
        <w:rPr>
          <w:sz w:val="15"/>
        </w:rPr>
      </w:pPr>
      <w:r>
        <w:rPr/>
        <w:drawing>
          <wp:anchor distT="0" distB="0" distL="0" distR="0" allowOverlap="1" layoutInCell="1" locked="0" behindDoc="0" simplePos="0" relativeHeight="38">
            <wp:simplePos x="0" y="0"/>
            <wp:positionH relativeFrom="page">
              <wp:posOffset>1627504</wp:posOffset>
            </wp:positionH>
            <wp:positionV relativeFrom="paragraph">
              <wp:posOffset>147209</wp:posOffset>
            </wp:positionV>
            <wp:extent cx="4191000" cy="381000"/>
            <wp:effectExtent l="0" t="0" r="0" b="0"/>
            <wp:wrapTopAndBottom/>
            <wp:docPr id="89" name="image62.jpeg"/>
            <wp:cNvGraphicFramePr>
              <a:graphicFrameLocks noChangeAspect="1"/>
            </wp:cNvGraphicFramePr>
            <a:graphic>
              <a:graphicData uri="http://schemas.openxmlformats.org/drawingml/2006/picture">
                <pic:pic>
                  <pic:nvPicPr>
                    <pic:cNvPr id="90" name="image62.jpeg"/>
                    <pic:cNvPicPr/>
                  </pic:nvPicPr>
                  <pic:blipFill>
                    <a:blip r:embed="rId68" cstate="print"/>
                    <a:stretch>
                      <a:fillRect/>
                    </a:stretch>
                  </pic:blipFill>
                  <pic:spPr>
                    <a:xfrm>
                      <a:off x="0" y="0"/>
                      <a:ext cx="4191000" cy="381000"/>
                    </a:xfrm>
                    <a:prstGeom prst="rect">
                      <a:avLst/>
                    </a:prstGeom>
                  </pic:spPr>
                </pic:pic>
              </a:graphicData>
            </a:graphic>
          </wp:anchor>
        </w:drawing>
      </w:r>
    </w:p>
    <w:p>
      <w:pPr>
        <w:pStyle w:val="BodyText"/>
        <w:spacing w:before="10"/>
        <w:rPr>
          <w:sz w:val="15"/>
        </w:rPr>
      </w:pPr>
    </w:p>
    <w:p>
      <w:pPr>
        <w:pStyle w:val="BodyText"/>
        <w:spacing w:line="434" w:lineRule="auto" w:before="71"/>
        <w:ind w:left="418" w:right="1369" w:firstLine="419"/>
      </w:pPr>
      <w:r>
        <w:rPr>
          <w:position w:val="1"/>
        </w:rPr>
        <w:t>式中：</w:t>
      </w:r>
      <w:r>
        <w:rPr>
          <w:i/>
          <w:position w:val="1"/>
          <w:sz w:val="22"/>
        </w:rPr>
        <w:t>K </w:t>
      </w:r>
      <w:r>
        <w:rPr>
          <w:position w:val="1"/>
        </w:rPr>
        <w:t>为安全阀的启闭压差，％；</w:t>
      </w:r>
      <w:r>
        <w:rPr>
          <w:i/>
          <w:position w:val="1"/>
          <w:sz w:val="22"/>
        </w:rPr>
        <w:t>P</w:t>
      </w:r>
      <w:r>
        <w:rPr>
          <w:sz w:val="11"/>
        </w:rPr>
        <w:t>K 为</w:t>
      </w:r>
      <w:r>
        <w:rPr>
          <w:position w:val="1"/>
        </w:rPr>
        <w:t>实际开启压力，单位为兆帕（MPa）；</w:t>
      </w:r>
      <w:r>
        <w:rPr>
          <w:i/>
          <w:position w:val="1"/>
          <w:sz w:val="22"/>
        </w:rPr>
        <w:t>P</w:t>
      </w:r>
      <w:r>
        <w:rPr>
          <w:sz w:val="11"/>
        </w:rPr>
        <w:t>H </w:t>
      </w:r>
      <w:r>
        <w:rPr>
          <w:position w:val="1"/>
        </w:rPr>
        <w:t>为安全阀的</w:t>
      </w:r>
      <w:r>
        <w:rPr/>
        <w:t>实际回座压力，单位为兆帕（MPa）。 </w:t>
      </w:r>
    </w:p>
    <w:p>
      <w:pPr>
        <w:pStyle w:val="ListParagraph"/>
        <w:numPr>
          <w:ilvl w:val="1"/>
          <w:numId w:val="127"/>
        </w:numPr>
        <w:tabs>
          <w:tab w:pos="1159" w:val="left" w:leader="none"/>
        </w:tabs>
        <w:spacing w:line="240" w:lineRule="auto" w:before="14" w:after="0"/>
        <w:ind w:left="1158" w:right="0" w:hanging="319"/>
        <w:jc w:val="left"/>
        <w:rPr>
          <w:sz w:val="21"/>
        </w:rPr>
      </w:pPr>
      <w:r>
        <w:rPr>
          <w:spacing w:val="-3"/>
          <w:sz w:val="21"/>
        </w:rPr>
        <w:t>消防接口的性能试验</w:t>
      </w:r>
      <w:r>
        <w:rPr>
          <w:sz w:val="21"/>
        </w:rPr>
        <w:t> </w:t>
      </w:r>
    </w:p>
    <w:p>
      <w:pPr>
        <w:pStyle w:val="BodyText"/>
        <w:rPr>
          <w:sz w:val="18"/>
        </w:rPr>
      </w:pPr>
    </w:p>
    <w:p>
      <w:pPr>
        <w:pStyle w:val="BodyText"/>
        <w:ind w:left="838"/>
      </w:pPr>
      <w:r>
        <w:rPr/>
        <w:t>消防接口的性能试验按 GB 12514.1 的规定进行。判断试验结果是否符合 5.8 的规定。 </w:t>
      </w:r>
    </w:p>
    <w:p>
      <w:pPr>
        <w:pStyle w:val="BodyText"/>
        <w:spacing w:before="8"/>
        <w:rPr>
          <w:sz w:val="15"/>
        </w:rPr>
      </w:pPr>
    </w:p>
    <w:p>
      <w:pPr>
        <w:pStyle w:val="Heading4"/>
      </w:pPr>
      <w:r>
        <w:rPr/>
        <w:t>7 检验规则</w:t>
      </w:r>
      <w:r>
        <w:rPr>
          <w:w w:val="99"/>
        </w:rPr>
        <w:t> </w:t>
      </w:r>
    </w:p>
    <w:p>
      <w:pPr>
        <w:pStyle w:val="BodyText"/>
        <w:spacing w:before="6"/>
        <w:rPr>
          <w:b/>
          <w:sz w:val="17"/>
        </w:rPr>
      </w:pPr>
    </w:p>
    <w:p>
      <w:pPr>
        <w:pStyle w:val="ListParagraph"/>
        <w:numPr>
          <w:ilvl w:val="1"/>
          <w:numId w:val="129"/>
        </w:numPr>
        <w:tabs>
          <w:tab w:pos="1159" w:val="left" w:leader="none"/>
        </w:tabs>
        <w:spacing w:line="240" w:lineRule="auto" w:before="0" w:after="0"/>
        <w:ind w:left="1158" w:right="0" w:hanging="319"/>
        <w:jc w:val="left"/>
        <w:rPr>
          <w:sz w:val="21"/>
        </w:rPr>
      </w:pPr>
      <w:r>
        <w:rPr>
          <w:spacing w:val="-3"/>
          <w:sz w:val="21"/>
        </w:rPr>
        <w:t>形式检验</w:t>
      </w:r>
      <w:r>
        <w:rPr>
          <w:sz w:val="21"/>
        </w:rPr>
        <w:t> </w:t>
      </w:r>
    </w:p>
    <w:p>
      <w:pPr>
        <w:pStyle w:val="BodyText"/>
        <w:spacing w:before="12"/>
        <w:rPr>
          <w:sz w:val="17"/>
        </w:rPr>
      </w:pPr>
    </w:p>
    <w:p>
      <w:pPr>
        <w:pStyle w:val="ListParagraph"/>
        <w:numPr>
          <w:ilvl w:val="2"/>
          <w:numId w:val="129"/>
        </w:numPr>
        <w:tabs>
          <w:tab w:pos="1371" w:val="left" w:leader="none"/>
        </w:tabs>
        <w:spacing w:line="446" w:lineRule="auto" w:before="0" w:after="0"/>
        <w:ind w:left="838" w:right="5493" w:firstLine="2"/>
        <w:jc w:val="left"/>
        <w:rPr>
          <w:sz w:val="21"/>
        </w:rPr>
      </w:pPr>
      <w:r>
        <w:rPr>
          <w:spacing w:val="-3"/>
          <w:sz w:val="21"/>
        </w:rPr>
        <w:t>有下列情况之一者，应进行形式检验： </w:t>
      </w:r>
      <w:r>
        <w:rPr>
          <w:sz w:val="21"/>
        </w:rPr>
        <w:t>a）</w:t>
      </w:r>
      <w:r>
        <w:rPr>
          <w:spacing w:val="-3"/>
          <w:sz w:val="21"/>
        </w:rPr>
        <w:t>新产品投产前；</w:t>
      </w:r>
      <w:r>
        <w:rPr>
          <w:sz w:val="21"/>
        </w:rPr>
        <w:t> </w:t>
      </w:r>
    </w:p>
    <w:p>
      <w:pPr>
        <w:pStyle w:val="BodyText"/>
        <w:spacing w:line="446" w:lineRule="auto"/>
        <w:ind w:left="838" w:right="4866"/>
      </w:pPr>
      <w:r>
        <w:rPr/>
        <w:t>b）产品的设计、结构、工艺或材料有较大改变时； c）停产一年以上再生产时； </w:t>
      </w:r>
    </w:p>
    <w:p>
      <w:pPr>
        <w:pStyle w:val="ListParagraph"/>
        <w:numPr>
          <w:ilvl w:val="0"/>
          <w:numId w:val="130"/>
        </w:numPr>
        <w:tabs>
          <w:tab w:pos="1156" w:val="left" w:leader="none"/>
        </w:tabs>
        <w:spacing w:line="267" w:lineRule="exact" w:before="0" w:after="0"/>
        <w:ind w:left="1155" w:right="0" w:hanging="318"/>
        <w:jc w:val="left"/>
        <w:rPr>
          <w:sz w:val="21"/>
        </w:rPr>
      </w:pPr>
      <w:r>
        <w:rPr>
          <w:spacing w:val="-3"/>
          <w:sz w:val="21"/>
        </w:rPr>
        <w:t>产品强制准入制度有要求时；</w:t>
      </w:r>
      <w:r>
        <w:rPr>
          <w:sz w:val="21"/>
        </w:rPr>
        <w:t> </w:t>
      </w:r>
    </w:p>
    <w:p>
      <w:pPr>
        <w:pStyle w:val="BodyText"/>
        <w:spacing w:before="2"/>
        <w:rPr>
          <w:sz w:val="18"/>
        </w:rPr>
      </w:pPr>
    </w:p>
    <w:p>
      <w:pPr>
        <w:pStyle w:val="ListParagraph"/>
        <w:numPr>
          <w:ilvl w:val="0"/>
          <w:numId w:val="130"/>
        </w:numPr>
        <w:tabs>
          <w:tab w:pos="1156" w:val="left" w:leader="none"/>
        </w:tabs>
        <w:spacing w:line="240" w:lineRule="auto" w:before="0" w:after="0"/>
        <w:ind w:left="1155" w:right="0" w:hanging="318"/>
        <w:jc w:val="left"/>
        <w:rPr>
          <w:sz w:val="21"/>
        </w:rPr>
      </w:pPr>
      <w:r>
        <w:rPr>
          <w:spacing w:val="-3"/>
          <w:sz w:val="21"/>
        </w:rPr>
        <w:t>国家质量监督机构依法提出型式检验要求时。</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29"/>
        </w:numPr>
        <w:tabs>
          <w:tab w:pos="1371" w:val="left" w:leader="none"/>
        </w:tabs>
        <w:spacing w:line="240" w:lineRule="auto" w:before="47" w:after="0"/>
        <w:ind w:left="1370" w:right="0" w:hanging="531"/>
        <w:jc w:val="left"/>
        <w:rPr>
          <w:sz w:val="21"/>
        </w:rPr>
      </w:pPr>
      <w:r>
        <w:rPr>
          <w:spacing w:val="-5"/>
          <w:sz w:val="21"/>
        </w:rPr>
        <w:t>形式检验的项目、样本数量、试验方法和判定依据按表 </w:t>
      </w:r>
      <w:r>
        <w:rPr>
          <w:sz w:val="21"/>
        </w:rPr>
        <w:t>2</w:t>
      </w:r>
      <w:r>
        <w:rPr>
          <w:spacing w:val="-13"/>
          <w:sz w:val="21"/>
        </w:rPr>
        <w:t> 的规定。</w:t>
      </w:r>
      <w:r>
        <w:rPr>
          <w:sz w:val="21"/>
        </w:rPr>
        <w:t> </w:t>
      </w:r>
    </w:p>
    <w:p>
      <w:pPr>
        <w:pStyle w:val="BodyText"/>
        <w:rPr>
          <w:sz w:val="18"/>
        </w:rPr>
      </w:pPr>
    </w:p>
    <w:p>
      <w:pPr>
        <w:pStyle w:val="ListParagraph"/>
        <w:numPr>
          <w:ilvl w:val="2"/>
          <w:numId w:val="129"/>
        </w:numPr>
        <w:tabs>
          <w:tab w:pos="1371" w:val="left" w:leader="none"/>
        </w:tabs>
        <w:spacing w:line="240" w:lineRule="auto" w:before="0" w:after="0"/>
        <w:ind w:left="1370" w:right="0" w:hanging="531"/>
        <w:jc w:val="left"/>
        <w:rPr>
          <w:sz w:val="21"/>
        </w:rPr>
      </w:pPr>
      <w:r>
        <w:rPr>
          <w:spacing w:val="-7"/>
          <w:sz w:val="21"/>
        </w:rPr>
        <w:t>形式检验的样品数不应少于 </w:t>
      </w:r>
      <w:r>
        <w:rPr>
          <w:sz w:val="21"/>
        </w:rPr>
        <w:t>3</w:t>
      </w:r>
      <w:r>
        <w:rPr>
          <w:spacing w:val="-20"/>
          <w:sz w:val="21"/>
        </w:rPr>
        <w:t> 台。</w:t>
      </w:r>
      <w:r>
        <w:rPr>
          <w:sz w:val="21"/>
        </w:rPr>
        <w:t> </w:t>
      </w:r>
    </w:p>
    <w:p>
      <w:pPr>
        <w:pStyle w:val="BodyText"/>
        <w:rPr>
          <w:sz w:val="18"/>
        </w:rPr>
      </w:pPr>
    </w:p>
    <w:p>
      <w:pPr>
        <w:pStyle w:val="ListParagraph"/>
        <w:numPr>
          <w:ilvl w:val="2"/>
          <w:numId w:val="129"/>
        </w:numPr>
        <w:tabs>
          <w:tab w:pos="1371" w:val="left" w:leader="none"/>
        </w:tabs>
        <w:spacing w:line="240" w:lineRule="auto" w:before="0" w:after="0"/>
        <w:ind w:left="1370" w:right="0" w:hanging="531"/>
        <w:jc w:val="left"/>
        <w:rPr>
          <w:sz w:val="21"/>
        </w:rPr>
      </w:pPr>
      <w:r>
        <w:rPr>
          <w:spacing w:val="-7"/>
          <w:sz w:val="21"/>
        </w:rPr>
        <w:t>形式检验的样品应在不少于 </w:t>
      </w:r>
      <w:r>
        <w:rPr>
          <w:sz w:val="21"/>
        </w:rPr>
        <w:t>20</w:t>
      </w:r>
      <w:r>
        <w:rPr>
          <w:spacing w:val="-8"/>
          <w:sz w:val="21"/>
        </w:rPr>
        <w:t> 台的基数中随机抽取。</w:t>
      </w:r>
      <w:r>
        <w:rPr>
          <w:sz w:val="21"/>
        </w:rPr>
        <w:t> </w:t>
      </w:r>
    </w:p>
    <w:p>
      <w:pPr>
        <w:pStyle w:val="BodyText"/>
        <w:spacing w:before="1"/>
        <w:rPr>
          <w:sz w:val="18"/>
        </w:rPr>
      </w:pPr>
    </w:p>
    <w:p>
      <w:pPr>
        <w:pStyle w:val="ListParagraph"/>
        <w:numPr>
          <w:ilvl w:val="2"/>
          <w:numId w:val="129"/>
        </w:numPr>
        <w:tabs>
          <w:tab w:pos="1371" w:val="left" w:leader="none"/>
        </w:tabs>
        <w:spacing w:line="240" w:lineRule="auto" w:before="1" w:after="0"/>
        <w:ind w:left="1370" w:right="0" w:hanging="531"/>
        <w:jc w:val="left"/>
        <w:rPr>
          <w:sz w:val="21"/>
        </w:rPr>
      </w:pPr>
      <w:r>
        <w:rPr>
          <w:spacing w:val="-3"/>
          <w:sz w:val="21"/>
        </w:rPr>
        <w:t>形式检验的项目应全部符合标准方为合格。</w:t>
      </w:r>
      <w:r>
        <w:rPr>
          <w:sz w:val="21"/>
        </w:rPr>
        <w:t> </w:t>
      </w:r>
    </w:p>
    <w:p>
      <w:pPr>
        <w:pStyle w:val="BodyText"/>
        <w:spacing w:before="12"/>
        <w:rPr>
          <w:sz w:val="17"/>
        </w:rPr>
      </w:pPr>
    </w:p>
    <w:p>
      <w:pPr>
        <w:pStyle w:val="ListParagraph"/>
        <w:numPr>
          <w:ilvl w:val="1"/>
          <w:numId w:val="129"/>
        </w:numPr>
        <w:tabs>
          <w:tab w:pos="1159" w:val="left" w:leader="none"/>
        </w:tabs>
        <w:spacing w:line="240" w:lineRule="auto" w:before="0" w:after="0"/>
        <w:ind w:left="1158" w:right="0" w:hanging="319"/>
        <w:jc w:val="left"/>
        <w:rPr>
          <w:b/>
          <w:sz w:val="21"/>
        </w:rPr>
      </w:pPr>
      <w:r>
        <w:rPr>
          <w:spacing w:val="-3"/>
          <w:sz w:val="21"/>
        </w:rPr>
        <w:t>逐批检验</w:t>
      </w:r>
      <w:r>
        <w:rPr>
          <w:b/>
          <w:w w:val="99"/>
          <w:sz w:val="21"/>
        </w:rPr>
        <w:t> </w:t>
      </w:r>
    </w:p>
    <w:p>
      <w:pPr>
        <w:pStyle w:val="BodyText"/>
        <w:spacing w:before="12"/>
        <w:rPr>
          <w:b/>
          <w:sz w:val="17"/>
        </w:rPr>
      </w:pPr>
    </w:p>
    <w:p>
      <w:pPr>
        <w:pStyle w:val="ListParagraph"/>
        <w:numPr>
          <w:ilvl w:val="2"/>
          <w:numId w:val="129"/>
        </w:numPr>
        <w:tabs>
          <w:tab w:pos="1370" w:val="left" w:leader="none"/>
        </w:tabs>
        <w:spacing w:line="240" w:lineRule="auto" w:before="0" w:after="0"/>
        <w:ind w:left="1369" w:right="0" w:hanging="530"/>
        <w:jc w:val="left"/>
        <w:rPr>
          <w:sz w:val="21"/>
        </w:rPr>
      </w:pPr>
      <w:r>
        <w:rPr>
          <w:spacing w:val="-3"/>
          <w:sz w:val="21"/>
        </w:rPr>
        <w:t>接合器应经逐批检验合格后方可出厂。</w:t>
      </w:r>
      <w:r>
        <w:rPr>
          <w:sz w:val="21"/>
        </w:rPr>
        <w:t> </w:t>
      </w:r>
    </w:p>
    <w:p>
      <w:pPr>
        <w:pStyle w:val="BodyText"/>
        <w:spacing w:before="2"/>
        <w:rPr>
          <w:sz w:val="18"/>
        </w:rPr>
      </w:pPr>
    </w:p>
    <w:p>
      <w:pPr>
        <w:pStyle w:val="ListParagraph"/>
        <w:numPr>
          <w:ilvl w:val="2"/>
          <w:numId w:val="129"/>
        </w:numPr>
        <w:tabs>
          <w:tab w:pos="1370" w:val="left" w:leader="none"/>
        </w:tabs>
        <w:spacing w:line="240" w:lineRule="auto" w:before="0" w:after="0"/>
        <w:ind w:left="1369" w:right="0" w:hanging="530"/>
        <w:jc w:val="left"/>
        <w:rPr>
          <w:sz w:val="21"/>
        </w:rPr>
      </w:pPr>
      <w:r>
        <w:rPr>
          <w:spacing w:val="-5"/>
          <w:sz w:val="21"/>
        </w:rPr>
        <w:t>逐批检验的项目、样本数量、试验方法和判定依据按表 </w:t>
      </w:r>
      <w:r>
        <w:rPr>
          <w:sz w:val="21"/>
        </w:rPr>
        <w:t>2</w:t>
      </w:r>
      <w:r>
        <w:rPr>
          <w:spacing w:val="-13"/>
          <w:sz w:val="21"/>
        </w:rPr>
        <w:t> 的规定。</w:t>
      </w:r>
      <w:r>
        <w:rPr>
          <w:sz w:val="21"/>
        </w:rPr>
        <w:t> </w:t>
      </w:r>
    </w:p>
    <w:p>
      <w:pPr>
        <w:pStyle w:val="BodyText"/>
        <w:rPr>
          <w:sz w:val="18"/>
        </w:rPr>
      </w:pPr>
    </w:p>
    <w:p>
      <w:pPr>
        <w:pStyle w:val="ListParagraph"/>
        <w:numPr>
          <w:ilvl w:val="2"/>
          <w:numId w:val="129"/>
        </w:numPr>
        <w:tabs>
          <w:tab w:pos="1370" w:val="left" w:leader="none"/>
        </w:tabs>
        <w:spacing w:line="240" w:lineRule="auto" w:before="0" w:after="0"/>
        <w:ind w:left="1369" w:right="0" w:hanging="530"/>
        <w:jc w:val="both"/>
        <w:rPr>
          <w:sz w:val="21"/>
        </w:rPr>
      </w:pPr>
      <w:r>
        <w:rPr>
          <w:spacing w:val="-6"/>
          <w:sz w:val="21"/>
        </w:rPr>
        <w:t>非全检项目的检验样本在基数不大于 </w:t>
      </w:r>
      <w:r>
        <w:rPr>
          <w:sz w:val="21"/>
        </w:rPr>
        <w:t>50</w:t>
      </w:r>
      <w:r>
        <w:rPr>
          <w:spacing w:val="-9"/>
          <w:sz w:val="21"/>
        </w:rPr>
        <w:t> 台的批产品中随机抽取。</w:t>
      </w:r>
      <w:r>
        <w:rPr>
          <w:sz w:val="21"/>
        </w:rPr>
        <w:t> </w:t>
      </w:r>
    </w:p>
    <w:p>
      <w:pPr>
        <w:pStyle w:val="BodyText"/>
        <w:rPr>
          <w:sz w:val="18"/>
        </w:rPr>
      </w:pPr>
    </w:p>
    <w:p>
      <w:pPr>
        <w:pStyle w:val="ListParagraph"/>
        <w:numPr>
          <w:ilvl w:val="2"/>
          <w:numId w:val="129"/>
        </w:numPr>
        <w:tabs>
          <w:tab w:pos="1370" w:val="left" w:leader="none"/>
        </w:tabs>
        <w:spacing w:line="446" w:lineRule="auto" w:before="0" w:after="0"/>
        <w:ind w:left="418" w:right="1604" w:firstLine="422"/>
        <w:jc w:val="both"/>
        <w:rPr>
          <w:sz w:val="21"/>
        </w:rPr>
      </w:pPr>
      <w:r>
        <w:rPr>
          <w:spacing w:val="-3"/>
          <w:sz w:val="21"/>
        </w:rPr>
        <w:t>若所检项目均合格，判该批产品合格；若任何所检项目中出现不合格，允许在同批</w:t>
      </w:r>
      <w:r>
        <w:rPr>
          <w:spacing w:val="-9"/>
          <w:sz w:val="21"/>
        </w:rPr>
        <w:t>产品中按表 </w:t>
      </w:r>
      <w:r>
        <w:rPr>
          <w:sz w:val="21"/>
        </w:rPr>
        <w:t>2</w:t>
      </w:r>
      <w:r>
        <w:rPr>
          <w:spacing w:val="-7"/>
          <w:sz w:val="21"/>
        </w:rPr>
        <w:t> 规定的样本数量加倍随机抽取，再次对不合格项目进行检验，若仍不合格，则判</w:t>
      </w:r>
      <w:r>
        <w:rPr>
          <w:spacing w:val="-5"/>
          <w:sz w:val="21"/>
        </w:rPr>
        <w:t>该批为不合格。</w:t>
      </w:r>
      <w:r>
        <w:rPr>
          <w:sz w:val="21"/>
        </w:rPr>
        <w:t> </w:t>
      </w:r>
    </w:p>
    <w:p>
      <w:pPr>
        <w:pStyle w:val="ListParagraph"/>
        <w:numPr>
          <w:ilvl w:val="2"/>
          <w:numId w:val="129"/>
        </w:numPr>
        <w:tabs>
          <w:tab w:pos="1371" w:val="left" w:leader="none"/>
        </w:tabs>
        <w:spacing w:line="446" w:lineRule="auto" w:before="0" w:after="0"/>
        <w:ind w:left="418" w:right="1604" w:firstLine="422"/>
        <w:jc w:val="both"/>
        <w:rPr>
          <w:sz w:val="21"/>
        </w:rPr>
      </w:pPr>
      <w:r>
        <w:rPr>
          <w:spacing w:val="-3"/>
          <w:sz w:val="21"/>
        </w:rPr>
        <w:t>被判为不合格批次的产品，可逐台返工检查，剔除不合格品后再次提交检验。样本</w:t>
      </w:r>
      <w:r>
        <w:rPr>
          <w:spacing w:val="-13"/>
          <w:sz w:val="21"/>
        </w:rPr>
        <w:t>数量按表 </w:t>
      </w:r>
      <w:r>
        <w:rPr>
          <w:sz w:val="21"/>
        </w:rPr>
        <w:t>2</w:t>
      </w:r>
      <w:r>
        <w:rPr>
          <w:spacing w:val="-10"/>
          <w:sz w:val="21"/>
        </w:rPr>
        <w:t> 的规定加倍随机抽取，试验方法和判定依据仍按表 </w:t>
      </w:r>
      <w:r>
        <w:rPr>
          <w:sz w:val="21"/>
        </w:rPr>
        <w:t>2</w:t>
      </w:r>
      <w:r>
        <w:rPr>
          <w:spacing w:val="-13"/>
          <w:sz w:val="21"/>
        </w:rPr>
        <w:t> 的规定。</w:t>
      </w:r>
      <w:r>
        <w:rPr>
          <w:sz w:val="21"/>
        </w:rPr>
        <w:t> </w:t>
      </w:r>
    </w:p>
    <w:p>
      <w:pPr>
        <w:pStyle w:val="Heading6"/>
        <w:ind w:left="1939"/>
        <w:jc w:val="both"/>
      </w:pPr>
      <w:r>
        <w:rPr/>
        <w:t>表 2 形式检验和逐批检验的项目、样本数量、试验方法和判定依据</w:t>
      </w:r>
      <w:r>
        <w:rPr>
          <w:w w:val="99"/>
        </w:rPr>
        <w:t> </w:t>
      </w:r>
    </w:p>
    <w:p>
      <w:pPr>
        <w:pStyle w:val="BodyText"/>
        <w:rPr>
          <w:b/>
          <w:sz w:val="20"/>
        </w:rPr>
      </w:pPr>
    </w:p>
    <w:p>
      <w:pPr>
        <w:pStyle w:val="BodyText"/>
        <w:spacing w:before="7"/>
        <w:rPr>
          <w:b/>
          <w:sz w:val="12"/>
        </w:rPr>
      </w:pPr>
      <w:r>
        <w:rPr/>
        <w:drawing>
          <wp:anchor distT="0" distB="0" distL="0" distR="0" allowOverlap="1" layoutInCell="1" locked="0" behindDoc="0" simplePos="0" relativeHeight="39">
            <wp:simplePos x="0" y="0"/>
            <wp:positionH relativeFrom="page">
              <wp:posOffset>982344</wp:posOffset>
            </wp:positionH>
            <wp:positionV relativeFrom="paragraph">
              <wp:posOffset>127464</wp:posOffset>
            </wp:positionV>
            <wp:extent cx="5216525" cy="2590800"/>
            <wp:effectExtent l="0" t="0" r="0" b="0"/>
            <wp:wrapTopAndBottom/>
            <wp:docPr id="91" name="image63.jpeg"/>
            <wp:cNvGraphicFramePr>
              <a:graphicFrameLocks noChangeAspect="1"/>
            </wp:cNvGraphicFramePr>
            <a:graphic>
              <a:graphicData uri="http://schemas.openxmlformats.org/drawingml/2006/picture">
                <pic:pic>
                  <pic:nvPicPr>
                    <pic:cNvPr id="92" name="image63.jpeg"/>
                    <pic:cNvPicPr/>
                  </pic:nvPicPr>
                  <pic:blipFill>
                    <a:blip r:embed="rId69" cstate="print"/>
                    <a:stretch>
                      <a:fillRect/>
                    </a:stretch>
                  </pic:blipFill>
                  <pic:spPr>
                    <a:xfrm>
                      <a:off x="0" y="0"/>
                      <a:ext cx="5216525" cy="2590800"/>
                    </a:xfrm>
                    <a:prstGeom prst="rect">
                      <a:avLst/>
                    </a:prstGeom>
                  </pic:spPr>
                </pic:pic>
              </a:graphicData>
            </a:graphic>
          </wp:anchor>
        </w:drawing>
      </w:r>
    </w:p>
    <w:p>
      <w:pPr>
        <w:spacing w:before="133"/>
        <w:ind w:left="418" w:right="0" w:firstLine="0"/>
        <w:jc w:val="left"/>
        <w:rPr>
          <w:b/>
          <w:sz w:val="24"/>
        </w:rPr>
      </w:pPr>
      <w:r>
        <w:rPr>
          <w:b/>
          <w:sz w:val="24"/>
        </w:rPr>
        <w:t>8 标志</w:t>
      </w:r>
      <w:r>
        <w:rPr>
          <w:b/>
          <w:w w:val="99"/>
          <w:sz w:val="24"/>
        </w:rPr>
        <w:t> </w:t>
      </w:r>
    </w:p>
    <w:p>
      <w:pPr>
        <w:pStyle w:val="BodyText"/>
        <w:spacing w:before="4"/>
        <w:rPr>
          <w:b/>
          <w:sz w:val="17"/>
        </w:rPr>
      </w:pPr>
    </w:p>
    <w:p>
      <w:pPr>
        <w:pStyle w:val="BodyText"/>
        <w:ind w:left="838"/>
      </w:pPr>
      <w:r>
        <w:rPr/>
        <w:t>在接合器表面醒目处应清晰地铸出型号规格、商标或厂名等永久性标志。 </w:t>
      </w:r>
    </w:p>
    <w:p>
      <w:pPr>
        <w:pStyle w:val="BodyText"/>
        <w:spacing w:before="11"/>
        <w:rPr>
          <w:sz w:val="15"/>
        </w:rPr>
      </w:pPr>
    </w:p>
    <w:p>
      <w:pPr>
        <w:pStyle w:val="Heading4"/>
      </w:pPr>
      <w:r>
        <w:rPr/>
        <w:t>9 包装</w:t>
      </w:r>
      <w:r>
        <w:rPr>
          <w:w w:val="99"/>
        </w:rPr>
        <w:t> </w:t>
      </w:r>
    </w:p>
    <w:p>
      <w:pPr>
        <w:pStyle w:val="BodyText"/>
        <w:spacing w:before="4"/>
        <w:rPr>
          <w:b/>
          <w:sz w:val="17"/>
        </w:rPr>
      </w:pPr>
    </w:p>
    <w:p>
      <w:pPr>
        <w:pStyle w:val="ListParagraph"/>
        <w:numPr>
          <w:ilvl w:val="1"/>
          <w:numId w:val="131"/>
        </w:numPr>
        <w:tabs>
          <w:tab w:pos="1160" w:val="left" w:leader="none"/>
        </w:tabs>
        <w:spacing w:line="446" w:lineRule="auto" w:before="0" w:after="0"/>
        <w:ind w:left="418" w:right="1604" w:firstLine="422"/>
        <w:jc w:val="left"/>
        <w:rPr>
          <w:sz w:val="21"/>
        </w:rPr>
      </w:pPr>
      <w:r>
        <w:rPr>
          <w:spacing w:val="-3"/>
          <w:sz w:val="21"/>
        </w:rPr>
        <w:t>产品检验合格的，应清除试验时余留在产品内部的剩水和表面的油污脏物，在非油漆表面应涂防锈油。</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1"/>
          <w:numId w:val="131"/>
        </w:numPr>
        <w:tabs>
          <w:tab w:pos="1159" w:val="left" w:leader="none"/>
        </w:tabs>
        <w:spacing w:line="240" w:lineRule="auto" w:before="47" w:after="0"/>
        <w:ind w:left="1158" w:right="0" w:hanging="319"/>
        <w:jc w:val="left"/>
        <w:rPr>
          <w:sz w:val="21"/>
        </w:rPr>
      </w:pPr>
      <w:r>
        <w:rPr>
          <w:spacing w:val="-3"/>
          <w:sz w:val="21"/>
        </w:rPr>
        <w:t>包装应牢固可靠，并应附有产品使用说明书、装箱单和产品合格证。</w:t>
      </w:r>
      <w:r>
        <w:rPr>
          <w:sz w:val="21"/>
        </w:rPr>
        <w:t> </w:t>
      </w:r>
    </w:p>
    <w:p>
      <w:pPr>
        <w:pStyle w:val="BodyText"/>
        <w:rPr>
          <w:sz w:val="18"/>
        </w:rPr>
      </w:pPr>
    </w:p>
    <w:p>
      <w:pPr>
        <w:pStyle w:val="ListParagraph"/>
        <w:numPr>
          <w:ilvl w:val="1"/>
          <w:numId w:val="131"/>
        </w:numPr>
        <w:tabs>
          <w:tab w:pos="1160" w:val="left" w:leader="none"/>
        </w:tabs>
        <w:spacing w:line="446" w:lineRule="auto" w:before="0" w:after="0"/>
        <w:ind w:left="838" w:right="6753" w:firstLine="2"/>
        <w:jc w:val="left"/>
        <w:rPr>
          <w:sz w:val="21"/>
        </w:rPr>
      </w:pPr>
      <w:r>
        <w:rPr>
          <w:spacing w:val="-3"/>
          <w:sz w:val="21"/>
        </w:rPr>
        <w:t>产品包装上应有下列内容： </w:t>
      </w:r>
      <w:r>
        <w:rPr>
          <w:sz w:val="21"/>
        </w:rPr>
        <w:t>a）</w:t>
      </w:r>
      <w:r>
        <w:rPr>
          <w:spacing w:val="-3"/>
          <w:sz w:val="21"/>
        </w:rPr>
        <w:t>产品名称；</w:t>
      </w:r>
      <w:r>
        <w:rPr>
          <w:sz w:val="21"/>
        </w:rPr>
        <w:t> </w:t>
      </w:r>
    </w:p>
    <w:p>
      <w:pPr>
        <w:pStyle w:val="ListParagraph"/>
        <w:numPr>
          <w:ilvl w:val="0"/>
          <w:numId w:val="132"/>
        </w:numPr>
        <w:tabs>
          <w:tab w:pos="1156" w:val="left" w:leader="none"/>
        </w:tabs>
        <w:spacing w:line="240" w:lineRule="auto" w:before="0" w:after="0"/>
        <w:ind w:left="1155" w:right="0" w:hanging="318"/>
        <w:jc w:val="left"/>
        <w:rPr>
          <w:sz w:val="21"/>
        </w:rPr>
      </w:pPr>
      <w:r>
        <w:rPr>
          <w:spacing w:val="-3"/>
          <w:sz w:val="21"/>
        </w:rPr>
        <w:t>型号规格；</w:t>
      </w:r>
      <w:r>
        <w:rPr>
          <w:sz w:val="21"/>
        </w:rPr>
        <w:t> </w:t>
      </w:r>
    </w:p>
    <w:p>
      <w:pPr>
        <w:pStyle w:val="BodyText"/>
        <w:spacing w:before="12"/>
        <w:rPr>
          <w:sz w:val="17"/>
        </w:rPr>
      </w:pPr>
    </w:p>
    <w:p>
      <w:pPr>
        <w:pStyle w:val="ListParagraph"/>
        <w:numPr>
          <w:ilvl w:val="0"/>
          <w:numId w:val="132"/>
        </w:numPr>
        <w:tabs>
          <w:tab w:pos="1156" w:val="left" w:leader="none"/>
        </w:tabs>
        <w:spacing w:line="446" w:lineRule="auto" w:before="0" w:after="0"/>
        <w:ind w:left="838" w:right="6865" w:firstLine="0"/>
        <w:jc w:val="left"/>
        <w:rPr>
          <w:sz w:val="21"/>
        </w:rPr>
      </w:pPr>
      <w:r>
        <w:rPr>
          <w:spacing w:val="-2"/>
          <w:sz w:val="21"/>
        </w:rPr>
        <w:t>重量</w:t>
      </w:r>
      <w:r>
        <w:rPr>
          <w:spacing w:val="-3"/>
          <w:sz w:val="21"/>
        </w:rPr>
        <w:t>（净重和毛重）；   </w:t>
      </w:r>
      <w:r>
        <w:rPr>
          <w:sz w:val="21"/>
        </w:rPr>
        <w:t>d）</w:t>
      </w:r>
      <w:r>
        <w:rPr>
          <w:spacing w:val="-3"/>
          <w:sz w:val="21"/>
        </w:rPr>
        <w:t>生产厂名（或注册商标</w:t>
      </w:r>
      <w:r>
        <w:rPr>
          <w:sz w:val="21"/>
        </w:rPr>
        <w:t>）； e）</w:t>
      </w:r>
      <w:r>
        <w:rPr>
          <w:spacing w:val="-3"/>
          <w:sz w:val="21"/>
        </w:rPr>
        <w:t>制造日期。</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p>
    <w:p>
      <w:pPr>
        <w:pStyle w:val="BodyText"/>
        <w:spacing w:before="72"/>
        <w:ind w:left="3298"/>
      </w:pPr>
      <w:r>
        <w:rPr>
          <w:w w:val="100"/>
        </w:rPr>
        <w:t> </w:t>
      </w:r>
    </w:p>
    <w:p>
      <w:pPr>
        <w:spacing w:after="0"/>
        <w:sectPr>
          <w:pgSz w:w="11910" w:h="16850"/>
          <w:pgMar w:header="0" w:footer="1239" w:top="1220" w:bottom="1420" w:left="1260" w:right="0"/>
        </w:sectPr>
      </w:pPr>
    </w:p>
    <w:p>
      <w:pPr>
        <w:pStyle w:val="Heading2"/>
        <w:ind w:right="868"/>
      </w:pPr>
      <w:bookmarkStart w:name="_bookmark7" w:id="8"/>
      <w:bookmarkEnd w:id="8"/>
      <w:r>
        <w:rPr>
          <w:b w:val="0"/>
        </w:rPr>
      </w:r>
      <w:r>
        <w:rPr/>
        <w:t>消防员照明灯具</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本标准规定了消防员照明灯具的定义、分类与型号、技术要求、试验方法、检验规则、标志、包装、运输和贮存。 </w:t>
      </w:r>
    </w:p>
    <w:p>
      <w:pPr>
        <w:pStyle w:val="BodyText"/>
        <w:ind w:left="838"/>
      </w:pPr>
      <w:r>
        <w:rPr/>
        <w:t>本标准适用于消防员在各种光线不足的场所进行灭火救援作业时单人使用的照明灯具。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ind w:left="838"/>
      </w:pPr>
      <w:r>
        <w:rPr/>
        <w:t>GB/T 191—2008 包装储运图示标志 </w:t>
      </w:r>
    </w:p>
    <w:p>
      <w:pPr>
        <w:pStyle w:val="BodyText"/>
        <w:rPr>
          <w:sz w:val="18"/>
        </w:rPr>
      </w:pPr>
    </w:p>
    <w:p>
      <w:pPr>
        <w:pStyle w:val="BodyText"/>
        <w:spacing w:line="446" w:lineRule="auto"/>
        <w:ind w:left="838" w:right="1558"/>
      </w:pPr>
      <w:r>
        <w:rPr/>
        <w:t>GB/T 2423.1—2008</w:t>
      </w:r>
      <w:r>
        <w:rPr>
          <w:spacing w:val="-6"/>
        </w:rPr>
        <w:t>   电工电子产品环境试验   第 </w:t>
      </w:r>
      <w:r>
        <w:rPr/>
        <w:t>2</w:t>
      </w:r>
      <w:r>
        <w:rPr>
          <w:spacing w:val="-12"/>
        </w:rPr>
        <w:t> 部分：试验方法   试验 </w:t>
      </w:r>
      <w:r>
        <w:rPr/>
        <w:t>A</w:t>
      </w:r>
      <w:r>
        <w:rPr>
          <w:spacing w:val="-1"/>
        </w:rPr>
        <w:t>：低温</w:t>
      </w:r>
      <w:r>
        <w:rPr/>
        <w:t>GB/T</w:t>
      </w:r>
      <w:r>
        <w:rPr>
          <w:spacing w:val="2"/>
        </w:rPr>
        <w:t> </w:t>
      </w:r>
      <w:r>
        <w:rPr/>
        <w:t>2423.2—2008</w:t>
      </w:r>
      <w:r>
        <w:rPr>
          <w:spacing w:val="-6"/>
        </w:rPr>
        <w:t>   电工电子产品环境试验   第 </w:t>
      </w:r>
      <w:r>
        <w:rPr/>
        <w:t>2</w:t>
      </w:r>
      <w:r>
        <w:rPr>
          <w:spacing w:val="-12"/>
        </w:rPr>
        <w:t> 部分：试验方法   试验 </w:t>
      </w:r>
      <w:r>
        <w:rPr/>
        <w:t>B</w:t>
      </w:r>
      <w:r>
        <w:rPr>
          <w:spacing w:val="-1"/>
        </w:rPr>
        <w:t>：高温</w:t>
      </w:r>
      <w:r>
        <w:rPr/>
        <w:t>GB/T</w:t>
      </w:r>
      <w:r>
        <w:rPr>
          <w:spacing w:val="2"/>
        </w:rPr>
        <w:t> </w:t>
      </w:r>
      <w:r>
        <w:rPr/>
        <w:t>2423.4—2008</w:t>
      </w:r>
      <w:r>
        <w:rPr>
          <w:spacing w:val="-6"/>
        </w:rPr>
        <w:t> 电工电子产品环境试验 第 </w:t>
      </w:r>
      <w:r>
        <w:rPr/>
        <w:t>2</w:t>
      </w:r>
      <w:r>
        <w:rPr>
          <w:spacing w:val="-12"/>
        </w:rPr>
        <w:t> 部分：试验方法 试验 </w:t>
      </w:r>
      <w:r>
        <w:rPr/>
        <w:t>Db</w:t>
      </w:r>
      <w:r>
        <w:rPr>
          <w:spacing w:val="-2"/>
        </w:rPr>
        <w:t>：交变湿</w:t>
      </w:r>
    </w:p>
    <w:p>
      <w:pPr>
        <w:pStyle w:val="BodyText"/>
        <w:spacing w:line="268" w:lineRule="exact"/>
        <w:ind w:left="418"/>
      </w:pPr>
      <w:r>
        <w:rPr/>
        <w:t>热（12h+12h 循环） </w:t>
      </w:r>
    </w:p>
    <w:p>
      <w:pPr>
        <w:pStyle w:val="BodyText"/>
        <w:spacing w:before="1"/>
        <w:rPr>
          <w:sz w:val="18"/>
        </w:rPr>
      </w:pPr>
    </w:p>
    <w:p>
      <w:pPr>
        <w:pStyle w:val="BodyText"/>
        <w:spacing w:before="1"/>
        <w:ind w:left="838"/>
      </w:pPr>
      <w:r>
        <w:rPr/>
        <w:t>GB/T 2423.10—2008 电工电子产品环境试验 第 2 部分：试验方法 试验 Fc：振动</w:t>
      </w:r>
    </w:p>
    <w:p>
      <w:pPr>
        <w:pStyle w:val="BodyText"/>
        <w:spacing w:before="12"/>
        <w:rPr>
          <w:sz w:val="17"/>
        </w:rPr>
      </w:pPr>
    </w:p>
    <w:p>
      <w:pPr>
        <w:pStyle w:val="BodyText"/>
        <w:ind w:left="418"/>
      </w:pPr>
      <w:r>
        <w:rPr/>
        <w:t>（正弦） </w:t>
      </w:r>
    </w:p>
    <w:p>
      <w:pPr>
        <w:pStyle w:val="BodyText"/>
        <w:spacing w:before="12"/>
        <w:rPr>
          <w:sz w:val="17"/>
        </w:rPr>
      </w:pPr>
    </w:p>
    <w:p>
      <w:pPr>
        <w:pStyle w:val="BodyText"/>
        <w:spacing w:line="446" w:lineRule="auto"/>
        <w:ind w:left="838" w:right="3492"/>
      </w:pPr>
      <w:r>
        <w:rPr/>
        <w:t>GB  3836.1—2010   爆炸性   环境第 1 部分：设备   通用要求GB 4208—2008 外壳防护等级（IP 代码） </w:t>
      </w:r>
    </w:p>
    <w:p>
      <w:pPr>
        <w:pStyle w:val="BodyText"/>
        <w:ind w:left="838"/>
      </w:pPr>
      <w:r>
        <w:rPr/>
        <w:t>GB 7000.1—2007 灯具 第 1 部分：一般要求与试验 </w:t>
      </w:r>
    </w:p>
    <w:p>
      <w:pPr>
        <w:pStyle w:val="BodyText"/>
        <w:spacing w:before="8"/>
        <w:rPr>
          <w:sz w:val="15"/>
        </w:rPr>
      </w:pPr>
    </w:p>
    <w:p>
      <w:pPr>
        <w:pStyle w:val="Heading4"/>
      </w:pPr>
      <w:r>
        <w:rPr/>
        <w:t>3 术语和定义</w:t>
      </w:r>
      <w:r>
        <w:rPr>
          <w:w w:val="99"/>
        </w:rPr>
        <w:t> </w:t>
      </w:r>
    </w:p>
    <w:p>
      <w:pPr>
        <w:pStyle w:val="BodyText"/>
        <w:spacing w:before="7"/>
        <w:rPr>
          <w:b/>
          <w:sz w:val="17"/>
        </w:rPr>
      </w:pPr>
    </w:p>
    <w:p>
      <w:pPr>
        <w:pStyle w:val="BodyText"/>
        <w:ind w:left="838"/>
      </w:pPr>
      <w:r>
        <w:rPr/>
        <w:t>下列术语和定义适用于本文件。 </w:t>
      </w:r>
    </w:p>
    <w:p>
      <w:pPr>
        <w:pStyle w:val="BodyText"/>
        <w:spacing w:before="12"/>
        <w:rPr>
          <w:sz w:val="17"/>
        </w:rPr>
      </w:pPr>
    </w:p>
    <w:p>
      <w:pPr>
        <w:pStyle w:val="ListParagraph"/>
        <w:numPr>
          <w:ilvl w:val="1"/>
          <w:numId w:val="133"/>
        </w:numPr>
        <w:tabs>
          <w:tab w:pos="1213" w:val="left" w:leader="none"/>
        </w:tabs>
        <w:spacing w:line="446" w:lineRule="auto" w:before="0" w:after="0"/>
        <w:ind w:left="838" w:right="5125" w:firstLine="2"/>
        <w:jc w:val="left"/>
        <w:rPr>
          <w:sz w:val="21"/>
        </w:rPr>
      </w:pPr>
      <w:r>
        <w:rPr>
          <w:spacing w:val="-3"/>
          <w:sz w:val="21"/>
        </w:rPr>
        <w:t>消防员照明灯具 </w:t>
      </w:r>
      <w:r>
        <w:rPr>
          <w:sz w:val="21"/>
        </w:rPr>
        <w:t>luminaire for firefighter </w:t>
      </w:r>
      <w:r>
        <w:rPr>
          <w:spacing w:val="-3"/>
          <w:sz w:val="21"/>
        </w:rPr>
        <w:t>消防员单人使用的照明灯具。</w:t>
      </w:r>
      <w:r>
        <w:rPr>
          <w:sz w:val="21"/>
        </w:rPr>
        <w:t> </w:t>
      </w:r>
    </w:p>
    <w:p>
      <w:pPr>
        <w:pStyle w:val="ListParagraph"/>
        <w:numPr>
          <w:ilvl w:val="1"/>
          <w:numId w:val="133"/>
        </w:numPr>
        <w:tabs>
          <w:tab w:pos="1160" w:val="left" w:leader="none"/>
        </w:tabs>
        <w:spacing w:line="240" w:lineRule="auto" w:before="0" w:after="0"/>
        <w:ind w:left="1159" w:right="0" w:hanging="320"/>
        <w:jc w:val="left"/>
        <w:rPr>
          <w:b/>
          <w:sz w:val="21"/>
        </w:rPr>
      </w:pPr>
      <w:r>
        <w:rPr>
          <w:spacing w:val="-3"/>
          <w:sz w:val="21"/>
        </w:rPr>
        <w:t>佩戴式消防员照明灯具 </w:t>
      </w:r>
      <w:r>
        <w:rPr>
          <w:sz w:val="21"/>
        </w:rPr>
        <w:t>wearable</w:t>
      </w:r>
      <w:r>
        <w:rPr>
          <w:spacing w:val="1"/>
          <w:sz w:val="21"/>
        </w:rPr>
        <w:t> </w:t>
      </w:r>
      <w:r>
        <w:rPr>
          <w:sz w:val="21"/>
        </w:rPr>
        <w:t>luminaire</w:t>
      </w:r>
      <w:r>
        <w:rPr>
          <w:spacing w:val="-2"/>
          <w:sz w:val="21"/>
        </w:rPr>
        <w:t> </w:t>
      </w:r>
      <w:r>
        <w:rPr>
          <w:sz w:val="21"/>
        </w:rPr>
        <w:t>for</w:t>
      </w:r>
      <w:r>
        <w:rPr>
          <w:spacing w:val="1"/>
          <w:sz w:val="21"/>
        </w:rPr>
        <w:t> </w:t>
      </w:r>
      <w:r>
        <w:rPr>
          <w:sz w:val="21"/>
        </w:rPr>
        <w:t>firefighter</w:t>
      </w:r>
      <w:r>
        <w:rPr>
          <w:b/>
          <w:w w:val="99"/>
          <w:sz w:val="21"/>
        </w:rPr>
        <w:t> </w:t>
      </w:r>
    </w:p>
    <w:p>
      <w:pPr>
        <w:pStyle w:val="BodyText"/>
        <w:rPr>
          <w:b/>
          <w:sz w:val="18"/>
        </w:rPr>
      </w:pPr>
    </w:p>
    <w:p>
      <w:pPr>
        <w:pStyle w:val="BodyText"/>
        <w:ind w:left="838"/>
      </w:pPr>
      <w:r>
        <w:rPr/>
        <w:t>使用时固定佩戴于消防员身体某一部位的消防员照明灯具。 </w:t>
      </w:r>
    </w:p>
    <w:p>
      <w:pPr>
        <w:pStyle w:val="BodyText"/>
        <w:spacing w:before="12"/>
        <w:rPr>
          <w:sz w:val="17"/>
        </w:rPr>
      </w:pPr>
    </w:p>
    <w:p>
      <w:pPr>
        <w:pStyle w:val="ListParagraph"/>
        <w:numPr>
          <w:ilvl w:val="1"/>
          <w:numId w:val="133"/>
        </w:numPr>
        <w:tabs>
          <w:tab w:pos="1159" w:val="left" w:leader="none"/>
        </w:tabs>
        <w:spacing w:line="240" w:lineRule="auto" w:before="0" w:after="0"/>
        <w:ind w:left="1158" w:right="0" w:hanging="319"/>
        <w:jc w:val="left"/>
        <w:rPr>
          <w:sz w:val="21"/>
        </w:rPr>
      </w:pPr>
      <w:r>
        <w:rPr>
          <w:spacing w:val="-3"/>
          <w:sz w:val="21"/>
        </w:rPr>
        <w:t>手提式Ⅰ型消防员照明灯具 </w:t>
      </w:r>
      <w:r>
        <w:rPr>
          <w:sz w:val="21"/>
        </w:rPr>
        <w:t>type</w:t>
      </w:r>
      <w:r>
        <w:rPr>
          <w:spacing w:val="1"/>
          <w:sz w:val="21"/>
        </w:rPr>
        <w:t> </w:t>
      </w:r>
      <w:r>
        <w:rPr>
          <w:sz w:val="21"/>
        </w:rPr>
        <w:t>I</w:t>
      </w:r>
      <w:r>
        <w:rPr>
          <w:spacing w:val="-2"/>
          <w:sz w:val="21"/>
        </w:rPr>
        <w:t> </w:t>
      </w:r>
      <w:r>
        <w:rPr>
          <w:sz w:val="21"/>
        </w:rPr>
        <w:t>handheld</w:t>
      </w:r>
      <w:r>
        <w:rPr>
          <w:spacing w:val="-2"/>
          <w:sz w:val="21"/>
        </w:rPr>
        <w:t> </w:t>
      </w:r>
      <w:r>
        <w:rPr>
          <w:sz w:val="21"/>
        </w:rPr>
        <w:t>luminaire</w:t>
      </w:r>
      <w:r>
        <w:rPr>
          <w:spacing w:val="-2"/>
          <w:sz w:val="21"/>
        </w:rPr>
        <w:t> </w:t>
      </w:r>
      <w:r>
        <w:rPr>
          <w:sz w:val="21"/>
        </w:rPr>
        <w:t>for</w:t>
      </w:r>
      <w:r>
        <w:rPr>
          <w:spacing w:val="-2"/>
          <w:sz w:val="21"/>
        </w:rPr>
        <w:t> </w:t>
      </w:r>
      <w:r>
        <w:rPr>
          <w:sz w:val="21"/>
        </w:rPr>
        <w:t>firefighter </w:t>
      </w:r>
    </w:p>
    <w:p>
      <w:pPr>
        <w:pStyle w:val="BodyText"/>
        <w:spacing w:before="2"/>
        <w:rPr>
          <w:sz w:val="18"/>
        </w:rPr>
      </w:pPr>
    </w:p>
    <w:p>
      <w:pPr>
        <w:pStyle w:val="BodyText"/>
        <w:ind w:left="838"/>
      </w:pPr>
      <w:r>
        <w:rPr/>
        <w:t>质量小于或等于 1.5kg，使用时可手握或手提的轻型消防员照明灯具。 </w:t>
      </w:r>
    </w:p>
    <w:p>
      <w:pPr>
        <w:pStyle w:val="BodyText"/>
        <w:rPr>
          <w:sz w:val="18"/>
        </w:rPr>
      </w:pPr>
    </w:p>
    <w:p>
      <w:pPr>
        <w:pStyle w:val="ListParagraph"/>
        <w:numPr>
          <w:ilvl w:val="1"/>
          <w:numId w:val="133"/>
        </w:numPr>
        <w:tabs>
          <w:tab w:pos="1213" w:val="left" w:leader="none"/>
        </w:tabs>
        <w:spacing w:line="240" w:lineRule="auto" w:before="0" w:after="0"/>
        <w:ind w:left="1212" w:right="0" w:hanging="373"/>
        <w:jc w:val="left"/>
        <w:rPr>
          <w:sz w:val="21"/>
        </w:rPr>
      </w:pPr>
      <w:r>
        <w:rPr>
          <w:spacing w:val="-3"/>
          <w:sz w:val="21"/>
        </w:rPr>
        <w:t>手提式Ⅱ型消防员照明灯具 </w:t>
      </w:r>
      <w:r>
        <w:rPr>
          <w:sz w:val="21"/>
        </w:rPr>
        <w:t>type Ⅱ handheld</w:t>
      </w:r>
      <w:r>
        <w:rPr>
          <w:spacing w:val="1"/>
          <w:sz w:val="21"/>
        </w:rPr>
        <w:t> </w:t>
      </w:r>
      <w:r>
        <w:rPr>
          <w:sz w:val="21"/>
        </w:rPr>
        <w:t>luminaire for</w:t>
      </w:r>
      <w:r>
        <w:rPr>
          <w:spacing w:val="1"/>
          <w:sz w:val="21"/>
        </w:rPr>
        <w:t> </w:t>
      </w:r>
      <w:r>
        <w:rPr>
          <w:sz w:val="21"/>
        </w:rPr>
        <w:t>firefighter </w:t>
      </w:r>
    </w:p>
    <w:p>
      <w:pPr>
        <w:spacing w:after="0" w:line="240" w:lineRule="auto"/>
        <w:jc w:val="left"/>
        <w:rPr>
          <w:sz w:val="21"/>
        </w:rPr>
        <w:sectPr>
          <w:pgSz w:w="11910" w:h="16850"/>
          <w:pgMar w:header="0" w:footer="1239" w:top="1140" w:bottom="1420" w:left="1260" w:right="0"/>
        </w:sectPr>
      </w:pPr>
    </w:p>
    <w:p>
      <w:pPr>
        <w:pStyle w:val="BodyText"/>
        <w:spacing w:line="446" w:lineRule="auto" w:before="47"/>
        <w:ind w:left="840" w:right="2242" w:hanging="3"/>
      </w:pPr>
      <w:r>
        <w:rPr>
          <w:spacing w:val="-11"/>
        </w:rPr>
        <w:t>质量大于 </w:t>
      </w:r>
      <w:r>
        <w:rPr/>
        <w:t>1.5kg</w:t>
      </w:r>
      <w:r>
        <w:rPr>
          <w:spacing w:val="-14"/>
        </w:rPr>
        <w:t> 但小于或等于 </w:t>
      </w:r>
      <w:r>
        <w:rPr/>
        <w:t>25kg</w:t>
      </w:r>
      <w:r>
        <w:rPr>
          <w:spacing w:val="-8"/>
        </w:rPr>
        <w:t> 使用时可手提或拖拽的重型消防员照明灯具。</w:t>
      </w:r>
      <w:r>
        <w:rPr>
          <w:b/>
        </w:rPr>
        <w:t>3.5 </w:t>
      </w:r>
      <w:r>
        <w:rPr>
          <w:spacing w:val="-1"/>
        </w:rPr>
        <w:t>灯头 </w:t>
      </w:r>
      <w:r>
        <w:rPr/>
        <w:t>lighting assembly </w:t>
      </w:r>
    </w:p>
    <w:p>
      <w:pPr>
        <w:pStyle w:val="BodyText"/>
        <w:spacing w:line="267" w:lineRule="exact"/>
        <w:ind w:left="838"/>
      </w:pPr>
      <w:r>
        <w:rPr/>
        <w:t>灯具的照明部分，由发光装置、反光罩、透明部件等组成。 </w:t>
      </w:r>
    </w:p>
    <w:p>
      <w:pPr>
        <w:pStyle w:val="BodyText"/>
        <w:spacing w:before="10"/>
        <w:rPr>
          <w:sz w:val="15"/>
        </w:rPr>
      </w:pPr>
    </w:p>
    <w:p>
      <w:pPr>
        <w:pStyle w:val="Heading4"/>
        <w:spacing w:before="1"/>
      </w:pPr>
      <w:r>
        <w:rPr/>
        <w:t>4 分类与型号</w:t>
      </w:r>
      <w:r>
        <w:rPr>
          <w:w w:val="99"/>
        </w:rPr>
        <w:t> </w:t>
      </w:r>
    </w:p>
    <w:p>
      <w:pPr>
        <w:pStyle w:val="BodyText"/>
        <w:spacing w:before="3"/>
        <w:rPr>
          <w:b/>
          <w:sz w:val="17"/>
        </w:rPr>
      </w:pPr>
    </w:p>
    <w:p>
      <w:pPr>
        <w:pStyle w:val="ListParagraph"/>
        <w:numPr>
          <w:ilvl w:val="1"/>
          <w:numId w:val="134"/>
        </w:numPr>
        <w:tabs>
          <w:tab w:pos="1160" w:val="left" w:leader="none"/>
        </w:tabs>
        <w:spacing w:line="240" w:lineRule="auto" w:before="1" w:after="0"/>
        <w:ind w:left="1159" w:right="0" w:hanging="320"/>
        <w:jc w:val="left"/>
        <w:rPr>
          <w:sz w:val="21"/>
        </w:rPr>
      </w:pPr>
      <w:r>
        <w:rPr>
          <w:spacing w:val="-3"/>
          <w:sz w:val="21"/>
        </w:rPr>
        <w:t>分类</w:t>
      </w:r>
      <w:r>
        <w:rPr>
          <w:sz w:val="21"/>
        </w:rPr>
        <w:t> </w:t>
      </w:r>
    </w:p>
    <w:p>
      <w:pPr>
        <w:pStyle w:val="BodyText"/>
        <w:spacing w:before="12"/>
        <w:rPr>
          <w:sz w:val="17"/>
        </w:rPr>
      </w:pPr>
    </w:p>
    <w:p>
      <w:pPr>
        <w:pStyle w:val="BodyText"/>
        <w:ind w:left="838"/>
      </w:pPr>
      <w:r>
        <w:rPr/>
        <w:t>消防员照明灯具(以下简称为灯具)按照使用方式进行分类，类别及代号见表 1。 </w:t>
      </w:r>
    </w:p>
    <w:p>
      <w:pPr>
        <w:pStyle w:val="BodyText"/>
        <w:rPr>
          <w:sz w:val="20"/>
        </w:rPr>
      </w:pPr>
    </w:p>
    <w:p>
      <w:pPr>
        <w:pStyle w:val="BodyText"/>
        <w:spacing w:before="8"/>
        <w:rPr>
          <w:sz w:val="22"/>
        </w:rPr>
      </w:pPr>
      <w:r>
        <w:rPr/>
        <w:drawing>
          <wp:anchor distT="0" distB="0" distL="0" distR="0" allowOverlap="1" layoutInCell="1" locked="0" behindDoc="0" simplePos="0" relativeHeight="40">
            <wp:simplePos x="0" y="0"/>
            <wp:positionH relativeFrom="page">
              <wp:posOffset>1142507</wp:posOffset>
            </wp:positionH>
            <wp:positionV relativeFrom="paragraph">
              <wp:posOffset>209327</wp:posOffset>
            </wp:positionV>
            <wp:extent cx="5275683" cy="1295400"/>
            <wp:effectExtent l="0" t="0" r="0" b="0"/>
            <wp:wrapTopAndBottom/>
            <wp:docPr id="93" name="image64.jpeg"/>
            <wp:cNvGraphicFramePr>
              <a:graphicFrameLocks noChangeAspect="1"/>
            </wp:cNvGraphicFramePr>
            <a:graphic>
              <a:graphicData uri="http://schemas.openxmlformats.org/drawingml/2006/picture">
                <pic:pic>
                  <pic:nvPicPr>
                    <pic:cNvPr id="94" name="image64.jpeg"/>
                    <pic:cNvPicPr/>
                  </pic:nvPicPr>
                  <pic:blipFill>
                    <a:blip r:embed="rId70" cstate="print"/>
                    <a:stretch>
                      <a:fillRect/>
                    </a:stretch>
                  </pic:blipFill>
                  <pic:spPr>
                    <a:xfrm>
                      <a:off x="0" y="0"/>
                      <a:ext cx="5275683" cy="1295400"/>
                    </a:xfrm>
                    <a:prstGeom prst="rect">
                      <a:avLst/>
                    </a:prstGeom>
                  </pic:spPr>
                </pic:pic>
              </a:graphicData>
            </a:graphic>
          </wp:anchor>
        </w:drawing>
      </w:r>
    </w:p>
    <w:p>
      <w:pPr>
        <w:pStyle w:val="BodyText"/>
        <w:spacing w:before="5"/>
        <w:rPr>
          <w:sz w:val="17"/>
        </w:rPr>
      </w:pPr>
    </w:p>
    <w:p>
      <w:pPr>
        <w:pStyle w:val="ListParagraph"/>
        <w:numPr>
          <w:ilvl w:val="1"/>
          <w:numId w:val="134"/>
        </w:numPr>
        <w:tabs>
          <w:tab w:pos="1160" w:val="left" w:leader="none"/>
        </w:tabs>
        <w:spacing w:line="240" w:lineRule="auto" w:before="0" w:after="0"/>
        <w:ind w:left="1159" w:right="0" w:hanging="320"/>
        <w:jc w:val="left"/>
        <w:rPr>
          <w:b/>
          <w:sz w:val="21"/>
        </w:rPr>
      </w:pPr>
      <w:r>
        <w:rPr>
          <w:spacing w:val="-3"/>
          <w:sz w:val="21"/>
        </w:rPr>
        <w:t>型号</w:t>
      </w:r>
      <w:r>
        <w:rPr>
          <w:b/>
          <w:w w:val="99"/>
          <w:sz w:val="21"/>
        </w:rPr>
        <w:t> </w:t>
      </w:r>
    </w:p>
    <w:p>
      <w:pPr>
        <w:pStyle w:val="BodyText"/>
        <w:spacing w:before="12"/>
        <w:rPr>
          <w:b/>
          <w:sz w:val="17"/>
        </w:rPr>
      </w:pPr>
    </w:p>
    <w:p>
      <w:pPr>
        <w:pStyle w:val="BodyText"/>
        <w:ind w:left="838"/>
      </w:pPr>
      <w:r>
        <w:rPr/>
        <w:drawing>
          <wp:anchor distT="0" distB="0" distL="0" distR="0" allowOverlap="1" layoutInCell="1" locked="0" behindDoc="0" simplePos="0" relativeHeight="41">
            <wp:simplePos x="0" y="0"/>
            <wp:positionH relativeFrom="page">
              <wp:posOffset>1121446</wp:posOffset>
            </wp:positionH>
            <wp:positionV relativeFrom="paragraph">
              <wp:posOffset>254380</wp:posOffset>
            </wp:positionV>
            <wp:extent cx="5197405" cy="2038350"/>
            <wp:effectExtent l="0" t="0" r="0" b="0"/>
            <wp:wrapTopAndBottom/>
            <wp:docPr id="95" name="image65.jpeg"/>
            <wp:cNvGraphicFramePr>
              <a:graphicFrameLocks noChangeAspect="1"/>
            </wp:cNvGraphicFramePr>
            <a:graphic>
              <a:graphicData uri="http://schemas.openxmlformats.org/drawingml/2006/picture">
                <pic:pic>
                  <pic:nvPicPr>
                    <pic:cNvPr id="96" name="image65.jpeg"/>
                    <pic:cNvPicPr/>
                  </pic:nvPicPr>
                  <pic:blipFill>
                    <a:blip r:embed="rId71" cstate="print"/>
                    <a:stretch>
                      <a:fillRect/>
                    </a:stretch>
                  </pic:blipFill>
                  <pic:spPr>
                    <a:xfrm>
                      <a:off x="0" y="0"/>
                      <a:ext cx="5197405" cy="2038350"/>
                    </a:xfrm>
                    <a:prstGeom prst="rect">
                      <a:avLst/>
                    </a:prstGeom>
                  </pic:spPr>
                </pic:pic>
              </a:graphicData>
            </a:graphic>
          </wp:anchor>
        </w:drawing>
      </w:r>
      <w:r>
        <w:rPr/>
        <w:t>灯具产品型号的编制应符合下列规定： </w:t>
      </w:r>
    </w:p>
    <w:p>
      <w:pPr>
        <w:pStyle w:val="Heading4"/>
        <w:spacing w:before="133"/>
      </w:pPr>
      <w:r>
        <w:rPr/>
        <w:t>5 技术要求</w:t>
      </w:r>
      <w:r>
        <w:rPr>
          <w:w w:val="99"/>
        </w:rPr>
        <w:t> </w:t>
      </w:r>
    </w:p>
    <w:p>
      <w:pPr>
        <w:pStyle w:val="BodyText"/>
        <w:spacing w:before="6"/>
        <w:rPr>
          <w:b/>
          <w:sz w:val="17"/>
        </w:rPr>
      </w:pPr>
    </w:p>
    <w:p>
      <w:pPr>
        <w:pStyle w:val="ListParagraph"/>
        <w:numPr>
          <w:ilvl w:val="1"/>
          <w:numId w:val="135"/>
        </w:numPr>
        <w:tabs>
          <w:tab w:pos="1159" w:val="left" w:leader="none"/>
        </w:tabs>
        <w:spacing w:line="240" w:lineRule="auto" w:before="0" w:after="0"/>
        <w:ind w:left="1158" w:right="0" w:hanging="319"/>
        <w:jc w:val="left"/>
        <w:rPr>
          <w:sz w:val="21"/>
        </w:rPr>
      </w:pPr>
      <w:r>
        <w:rPr>
          <w:spacing w:val="-3"/>
          <w:sz w:val="21"/>
        </w:rPr>
        <w:t>一般要求</w:t>
      </w:r>
      <w:r>
        <w:rPr>
          <w:sz w:val="21"/>
        </w:rPr>
        <w:t> </w:t>
      </w:r>
    </w:p>
    <w:p>
      <w:pPr>
        <w:pStyle w:val="BodyText"/>
        <w:spacing w:before="12"/>
        <w:rPr>
          <w:sz w:val="17"/>
        </w:rPr>
      </w:pPr>
    </w:p>
    <w:p>
      <w:pPr>
        <w:pStyle w:val="ListParagraph"/>
        <w:numPr>
          <w:ilvl w:val="2"/>
          <w:numId w:val="135"/>
        </w:numPr>
        <w:tabs>
          <w:tab w:pos="1370" w:val="left" w:leader="none"/>
        </w:tabs>
        <w:spacing w:line="240" w:lineRule="auto" w:before="0" w:after="0"/>
        <w:ind w:left="1369" w:right="0" w:hanging="530"/>
        <w:jc w:val="left"/>
        <w:rPr>
          <w:sz w:val="21"/>
        </w:rPr>
      </w:pPr>
      <w:r>
        <w:rPr>
          <w:spacing w:val="-3"/>
          <w:sz w:val="21"/>
        </w:rPr>
        <w:t>灯具的供电电源应采用可充电电池，电池可替换的灯具应配备独立电池充电底座。</w:t>
      </w:r>
      <w:r>
        <w:rPr>
          <w:sz w:val="21"/>
        </w:rPr>
        <w:t> </w:t>
      </w:r>
    </w:p>
    <w:p>
      <w:pPr>
        <w:pStyle w:val="BodyText"/>
        <w:rPr>
          <w:sz w:val="18"/>
        </w:rPr>
      </w:pPr>
    </w:p>
    <w:p>
      <w:pPr>
        <w:pStyle w:val="ListParagraph"/>
        <w:numPr>
          <w:ilvl w:val="2"/>
          <w:numId w:val="135"/>
        </w:numPr>
        <w:tabs>
          <w:tab w:pos="1370" w:val="left" w:leader="none"/>
        </w:tabs>
        <w:spacing w:line="446" w:lineRule="auto" w:before="0" w:after="0"/>
        <w:ind w:left="418" w:right="1604" w:firstLine="422"/>
        <w:jc w:val="left"/>
        <w:rPr>
          <w:sz w:val="21"/>
        </w:rPr>
      </w:pPr>
      <w:r>
        <w:rPr>
          <w:spacing w:val="-3"/>
          <w:sz w:val="21"/>
        </w:rPr>
        <w:t>灯具的充电器应采用插头与交直流转换器分离式结构，灯具或充电器应设置充、放电保护电路。</w:t>
      </w:r>
      <w:r>
        <w:rPr>
          <w:sz w:val="21"/>
        </w:rPr>
        <w:t> </w:t>
      </w:r>
    </w:p>
    <w:p>
      <w:pPr>
        <w:pStyle w:val="ListParagraph"/>
        <w:numPr>
          <w:ilvl w:val="2"/>
          <w:numId w:val="135"/>
        </w:numPr>
        <w:tabs>
          <w:tab w:pos="1370" w:val="left" w:leader="none"/>
        </w:tabs>
        <w:spacing w:line="240" w:lineRule="auto" w:before="0" w:after="0"/>
        <w:ind w:left="1369" w:right="0" w:hanging="530"/>
        <w:jc w:val="left"/>
        <w:rPr>
          <w:sz w:val="21"/>
        </w:rPr>
      </w:pPr>
      <w:r>
        <w:rPr>
          <w:spacing w:val="-8"/>
          <w:sz w:val="21"/>
        </w:rPr>
        <w:t>灯具的防爆性能应符合 </w:t>
      </w:r>
      <w:r>
        <w:rPr>
          <w:sz w:val="21"/>
        </w:rPr>
        <w:t>GB</w:t>
      </w:r>
      <w:r>
        <w:rPr>
          <w:spacing w:val="1"/>
          <w:sz w:val="21"/>
        </w:rPr>
        <w:t> </w:t>
      </w:r>
      <w:r>
        <w:rPr>
          <w:sz w:val="21"/>
        </w:rPr>
        <w:t>3836.1-2010</w:t>
      </w:r>
      <w:r>
        <w:rPr>
          <w:spacing w:val="-13"/>
          <w:sz w:val="21"/>
        </w:rPr>
        <w:t> 的要求。</w:t>
      </w:r>
      <w:r>
        <w:rPr>
          <w:sz w:val="21"/>
        </w:rPr>
        <w:t> </w:t>
      </w:r>
    </w:p>
    <w:p>
      <w:pPr>
        <w:pStyle w:val="BodyText"/>
        <w:spacing w:before="12"/>
        <w:rPr>
          <w:sz w:val="17"/>
        </w:rPr>
      </w:pPr>
    </w:p>
    <w:p>
      <w:pPr>
        <w:pStyle w:val="ListParagraph"/>
        <w:numPr>
          <w:ilvl w:val="2"/>
          <w:numId w:val="135"/>
        </w:numPr>
        <w:tabs>
          <w:tab w:pos="1370" w:val="left" w:leader="none"/>
        </w:tabs>
        <w:spacing w:line="240" w:lineRule="auto" w:before="0" w:after="0"/>
        <w:ind w:left="1369" w:right="0" w:hanging="530"/>
        <w:jc w:val="left"/>
        <w:rPr>
          <w:sz w:val="21"/>
        </w:rPr>
      </w:pPr>
      <w:r>
        <w:rPr>
          <w:spacing w:val="-3"/>
          <w:sz w:val="21"/>
        </w:rPr>
        <w:t>佩戴式灯具应具有与消防头盔匹配的固定连接件。</w:t>
      </w:r>
      <w:r>
        <w:rPr>
          <w:sz w:val="21"/>
        </w:rPr>
        <w:t> </w:t>
      </w:r>
    </w:p>
    <w:p>
      <w:pPr>
        <w:pStyle w:val="BodyText"/>
        <w:spacing w:before="2"/>
        <w:rPr>
          <w:sz w:val="18"/>
        </w:rPr>
      </w:pPr>
    </w:p>
    <w:p>
      <w:pPr>
        <w:pStyle w:val="ListParagraph"/>
        <w:numPr>
          <w:ilvl w:val="1"/>
          <w:numId w:val="135"/>
        </w:numPr>
        <w:tabs>
          <w:tab w:pos="1159" w:val="left" w:leader="none"/>
        </w:tabs>
        <w:spacing w:line="240" w:lineRule="auto" w:before="0" w:after="0"/>
        <w:ind w:left="1158" w:right="0" w:hanging="319"/>
        <w:jc w:val="left"/>
        <w:rPr>
          <w:b/>
          <w:sz w:val="21"/>
        </w:rPr>
      </w:pPr>
      <w:r>
        <w:rPr>
          <w:spacing w:val="-3"/>
          <w:sz w:val="21"/>
        </w:rPr>
        <w:t>功能要求</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35"/>
        </w:numPr>
        <w:tabs>
          <w:tab w:pos="1370" w:val="left" w:leader="none"/>
        </w:tabs>
        <w:spacing w:line="240" w:lineRule="auto" w:before="47" w:after="0"/>
        <w:ind w:left="1369" w:right="0" w:hanging="530"/>
        <w:jc w:val="left"/>
        <w:rPr>
          <w:sz w:val="21"/>
        </w:rPr>
      </w:pPr>
      <w:r>
        <w:rPr>
          <w:spacing w:val="-3"/>
          <w:sz w:val="21"/>
        </w:rPr>
        <w:t>灯具应具有强、弱光切换功能。</w:t>
      </w:r>
      <w:r>
        <w:rPr>
          <w:sz w:val="21"/>
        </w:rPr>
        <w:t> </w:t>
      </w:r>
    </w:p>
    <w:p>
      <w:pPr>
        <w:pStyle w:val="BodyText"/>
        <w:rPr>
          <w:sz w:val="18"/>
        </w:rPr>
      </w:pPr>
    </w:p>
    <w:p>
      <w:pPr>
        <w:pStyle w:val="ListParagraph"/>
        <w:numPr>
          <w:ilvl w:val="2"/>
          <w:numId w:val="135"/>
        </w:numPr>
        <w:tabs>
          <w:tab w:pos="1371" w:val="left" w:leader="none"/>
        </w:tabs>
        <w:spacing w:line="240" w:lineRule="auto" w:before="0" w:after="0"/>
        <w:ind w:left="1370" w:right="0" w:hanging="531"/>
        <w:jc w:val="left"/>
        <w:rPr>
          <w:sz w:val="21"/>
        </w:rPr>
      </w:pPr>
      <w:r>
        <w:rPr>
          <w:spacing w:val="-3"/>
          <w:sz w:val="21"/>
        </w:rPr>
        <w:t>灯具应具有闪烁方式的低电压告警功能。</w:t>
      </w:r>
      <w:r>
        <w:rPr>
          <w:sz w:val="21"/>
        </w:rPr>
        <w:t> </w:t>
      </w:r>
    </w:p>
    <w:p>
      <w:pPr>
        <w:pStyle w:val="BodyText"/>
        <w:rPr>
          <w:sz w:val="18"/>
        </w:rPr>
      </w:pPr>
    </w:p>
    <w:p>
      <w:pPr>
        <w:pStyle w:val="ListParagraph"/>
        <w:numPr>
          <w:ilvl w:val="1"/>
          <w:numId w:val="135"/>
        </w:numPr>
        <w:tabs>
          <w:tab w:pos="1159" w:val="left" w:leader="none"/>
        </w:tabs>
        <w:spacing w:line="240" w:lineRule="auto" w:before="0" w:after="0"/>
        <w:ind w:left="1158" w:right="0" w:hanging="319"/>
        <w:jc w:val="left"/>
        <w:rPr>
          <w:b/>
          <w:sz w:val="21"/>
        </w:rPr>
      </w:pPr>
      <w:r>
        <w:rPr>
          <w:spacing w:val="-3"/>
          <w:sz w:val="21"/>
        </w:rPr>
        <w:t>性能要求</w:t>
      </w:r>
      <w:r>
        <w:rPr>
          <w:b/>
          <w:w w:val="99"/>
          <w:sz w:val="21"/>
        </w:rPr>
        <w:t> </w:t>
      </w:r>
    </w:p>
    <w:p>
      <w:pPr>
        <w:pStyle w:val="BodyText"/>
        <w:spacing w:before="1"/>
        <w:rPr>
          <w:b/>
          <w:sz w:val="18"/>
        </w:rPr>
      </w:pPr>
    </w:p>
    <w:p>
      <w:pPr>
        <w:pStyle w:val="ListParagraph"/>
        <w:numPr>
          <w:ilvl w:val="2"/>
          <w:numId w:val="135"/>
        </w:numPr>
        <w:tabs>
          <w:tab w:pos="1370" w:val="left" w:leader="none"/>
        </w:tabs>
        <w:spacing w:line="240" w:lineRule="auto" w:before="1" w:after="0"/>
        <w:ind w:left="1369" w:right="0" w:hanging="530"/>
        <w:jc w:val="left"/>
        <w:rPr>
          <w:sz w:val="21"/>
        </w:rPr>
      </w:pPr>
      <w:r>
        <w:rPr>
          <w:spacing w:val="-3"/>
          <w:sz w:val="21"/>
        </w:rPr>
        <w:t>外观及装配</w:t>
      </w:r>
      <w:r>
        <w:rPr>
          <w:sz w:val="21"/>
        </w:rPr>
        <w:t> </w:t>
      </w:r>
    </w:p>
    <w:p>
      <w:pPr>
        <w:pStyle w:val="BodyText"/>
        <w:spacing w:before="12"/>
        <w:rPr>
          <w:sz w:val="17"/>
        </w:rPr>
      </w:pPr>
    </w:p>
    <w:p>
      <w:pPr>
        <w:pStyle w:val="ListParagraph"/>
        <w:numPr>
          <w:ilvl w:val="3"/>
          <w:numId w:val="135"/>
        </w:numPr>
        <w:tabs>
          <w:tab w:pos="1583" w:val="left" w:leader="none"/>
        </w:tabs>
        <w:spacing w:line="240" w:lineRule="auto" w:before="0" w:after="0"/>
        <w:ind w:left="1582" w:right="0" w:hanging="743"/>
        <w:jc w:val="left"/>
        <w:rPr>
          <w:sz w:val="21"/>
        </w:rPr>
      </w:pPr>
      <w:r>
        <w:rPr>
          <w:spacing w:val="-3"/>
          <w:sz w:val="21"/>
        </w:rPr>
        <w:t>灯具外观应清洁、光滑、整齐，无污损、腐烛、划伤、毛刺、裂痕、变形现象。</w:t>
      </w:r>
      <w:r>
        <w:rPr>
          <w:sz w:val="21"/>
        </w:rPr>
        <w:t> </w:t>
      </w:r>
    </w:p>
    <w:p>
      <w:pPr>
        <w:pStyle w:val="BodyText"/>
        <w:spacing w:before="12"/>
        <w:rPr>
          <w:sz w:val="17"/>
        </w:rPr>
      </w:pPr>
    </w:p>
    <w:p>
      <w:pPr>
        <w:pStyle w:val="ListParagraph"/>
        <w:numPr>
          <w:ilvl w:val="3"/>
          <w:numId w:val="135"/>
        </w:numPr>
        <w:tabs>
          <w:tab w:pos="1583" w:val="left" w:leader="none"/>
        </w:tabs>
        <w:spacing w:line="446" w:lineRule="auto" w:before="0" w:after="0"/>
        <w:ind w:left="418" w:right="1601" w:firstLine="422"/>
        <w:jc w:val="left"/>
        <w:rPr>
          <w:sz w:val="21"/>
        </w:rPr>
      </w:pPr>
      <w:r>
        <w:rPr>
          <w:spacing w:val="-3"/>
          <w:sz w:val="21"/>
        </w:rPr>
        <w:t>灯具各零部件装配应完整、精确、牢靠，无缺损、错位、松动现象，开关操作应方便、灵活、可靠。</w:t>
      </w:r>
      <w:r>
        <w:rPr>
          <w:sz w:val="21"/>
        </w:rPr>
        <w:t> </w:t>
      </w:r>
    </w:p>
    <w:p>
      <w:pPr>
        <w:pStyle w:val="ListParagraph"/>
        <w:numPr>
          <w:ilvl w:val="2"/>
          <w:numId w:val="135"/>
        </w:numPr>
        <w:tabs>
          <w:tab w:pos="1424" w:val="left" w:leader="none"/>
        </w:tabs>
        <w:spacing w:line="240" w:lineRule="auto" w:before="1" w:after="0"/>
        <w:ind w:left="1423" w:right="0" w:hanging="584"/>
        <w:jc w:val="left"/>
        <w:rPr>
          <w:sz w:val="21"/>
        </w:rPr>
      </w:pPr>
      <w:r>
        <w:rPr>
          <w:spacing w:val="-3"/>
          <w:sz w:val="21"/>
        </w:rPr>
        <w:t>质量</w:t>
      </w:r>
      <w:r>
        <w:rPr>
          <w:sz w:val="21"/>
        </w:rPr>
        <w:t> </w:t>
      </w:r>
    </w:p>
    <w:p>
      <w:pPr>
        <w:pStyle w:val="BodyText"/>
        <w:spacing w:before="12"/>
        <w:rPr>
          <w:sz w:val="17"/>
        </w:rPr>
      </w:pPr>
    </w:p>
    <w:p>
      <w:pPr>
        <w:pStyle w:val="BodyText"/>
        <w:ind w:left="838"/>
      </w:pPr>
      <w:r>
        <w:rPr/>
        <w:t>灯具的质量(含电池和附件)应符合表 2 的规定。 </w:t>
      </w:r>
    </w:p>
    <w:p>
      <w:pPr>
        <w:pStyle w:val="BodyText"/>
        <w:rPr>
          <w:sz w:val="20"/>
        </w:rPr>
      </w:pPr>
    </w:p>
    <w:p>
      <w:pPr>
        <w:pStyle w:val="BodyText"/>
        <w:spacing w:before="11"/>
        <w:rPr>
          <w:sz w:val="18"/>
        </w:rPr>
      </w:pPr>
      <w:r>
        <w:rPr/>
        <w:drawing>
          <wp:anchor distT="0" distB="0" distL="0" distR="0" allowOverlap="1" layoutInCell="1" locked="0" behindDoc="0" simplePos="0" relativeHeight="42">
            <wp:simplePos x="0" y="0"/>
            <wp:positionH relativeFrom="page">
              <wp:posOffset>1265236</wp:posOffset>
            </wp:positionH>
            <wp:positionV relativeFrom="paragraph">
              <wp:posOffset>178212</wp:posOffset>
            </wp:positionV>
            <wp:extent cx="5010508" cy="1691639"/>
            <wp:effectExtent l="0" t="0" r="0" b="0"/>
            <wp:wrapTopAndBottom/>
            <wp:docPr id="97" name="image66.jpeg"/>
            <wp:cNvGraphicFramePr>
              <a:graphicFrameLocks noChangeAspect="1"/>
            </wp:cNvGraphicFramePr>
            <a:graphic>
              <a:graphicData uri="http://schemas.openxmlformats.org/drawingml/2006/picture">
                <pic:pic>
                  <pic:nvPicPr>
                    <pic:cNvPr id="98" name="image66.jpeg"/>
                    <pic:cNvPicPr/>
                  </pic:nvPicPr>
                  <pic:blipFill>
                    <a:blip r:embed="rId72" cstate="print"/>
                    <a:stretch>
                      <a:fillRect/>
                    </a:stretch>
                  </pic:blipFill>
                  <pic:spPr>
                    <a:xfrm>
                      <a:off x="0" y="0"/>
                      <a:ext cx="5010508" cy="1691639"/>
                    </a:xfrm>
                    <a:prstGeom prst="rect">
                      <a:avLst/>
                    </a:prstGeom>
                  </pic:spPr>
                </pic:pic>
              </a:graphicData>
            </a:graphic>
          </wp:anchor>
        </w:drawing>
      </w:r>
    </w:p>
    <w:p>
      <w:pPr>
        <w:pStyle w:val="BodyText"/>
        <w:rPr>
          <w:sz w:val="20"/>
        </w:rPr>
      </w:pPr>
    </w:p>
    <w:p>
      <w:pPr>
        <w:pStyle w:val="BodyText"/>
        <w:spacing w:before="9"/>
        <w:rPr>
          <w:sz w:val="14"/>
        </w:rPr>
      </w:pPr>
    </w:p>
    <w:p>
      <w:pPr>
        <w:pStyle w:val="ListParagraph"/>
        <w:numPr>
          <w:ilvl w:val="2"/>
          <w:numId w:val="135"/>
        </w:numPr>
        <w:tabs>
          <w:tab w:pos="1370" w:val="left" w:leader="none"/>
        </w:tabs>
        <w:spacing w:line="240" w:lineRule="auto" w:before="0" w:after="0"/>
        <w:ind w:left="1369" w:right="0" w:hanging="530"/>
        <w:jc w:val="left"/>
        <w:rPr>
          <w:sz w:val="21"/>
        </w:rPr>
      </w:pPr>
      <w:r>
        <w:rPr>
          <w:spacing w:val="-3"/>
          <w:sz w:val="21"/>
        </w:rPr>
        <w:t>照度</w:t>
      </w:r>
      <w:r>
        <w:rPr>
          <w:sz w:val="21"/>
        </w:rPr>
        <w:t> </w:t>
      </w:r>
    </w:p>
    <w:p>
      <w:pPr>
        <w:pStyle w:val="BodyText"/>
        <w:spacing w:before="2"/>
        <w:rPr>
          <w:sz w:val="18"/>
        </w:rPr>
      </w:pPr>
    </w:p>
    <w:p>
      <w:pPr>
        <w:pStyle w:val="BodyText"/>
        <w:ind w:left="838"/>
      </w:pPr>
      <w:r>
        <w:rPr/>
        <w:drawing>
          <wp:anchor distT="0" distB="0" distL="0" distR="0" allowOverlap="1" layoutInCell="1" locked="0" behindDoc="0" simplePos="0" relativeHeight="43">
            <wp:simplePos x="0" y="0"/>
            <wp:positionH relativeFrom="page">
              <wp:posOffset>1046381</wp:posOffset>
            </wp:positionH>
            <wp:positionV relativeFrom="paragraph">
              <wp:posOffset>202565</wp:posOffset>
            </wp:positionV>
            <wp:extent cx="5422422" cy="2019300"/>
            <wp:effectExtent l="0" t="0" r="0" b="0"/>
            <wp:wrapTopAndBottom/>
            <wp:docPr id="99" name="image67.jpeg"/>
            <wp:cNvGraphicFramePr>
              <a:graphicFrameLocks noChangeAspect="1"/>
            </wp:cNvGraphicFramePr>
            <a:graphic>
              <a:graphicData uri="http://schemas.openxmlformats.org/drawingml/2006/picture">
                <pic:pic>
                  <pic:nvPicPr>
                    <pic:cNvPr id="100" name="image67.jpeg"/>
                    <pic:cNvPicPr/>
                  </pic:nvPicPr>
                  <pic:blipFill>
                    <a:blip r:embed="rId73" cstate="print"/>
                    <a:stretch>
                      <a:fillRect/>
                    </a:stretch>
                  </pic:blipFill>
                  <pic:spPr>
                    <a:xfrm>
                      <a:off x="0" y="0"/>
                      <a:ext cx="5422422" cy="2019300"/>
                    </a:xfrm>
                    <a:prstGeom prst="rect">
                      <a:avLst/>
                    </a:prstGeom>
                  </pic:spPr>
                </pic:pic>
              </a:graphicData>
            </a:graphic>
          </wp:anchor>
        </w:drawing>
      </w:r>
      <w:r>
        <w:rPr/>
        <w:t>在按 6.5 规定的方法进行试验时，灯具在稳定工作状态下的照度值应符合表 3 的规定。 </w:t>
      </w:r>
    </w:p>
    <w:p>
      <w:pPr>
        <w:pStyle w:val="BodyText"/>
        <w:spacing w:before="8"/>
        <w:rPr>
          <w:sz w:val="20"/>
        </w:rPr>
      </w:pPr>
    </w:p>
    <w:p>
      <w:pPr>
        <w:pStyle w:val="ListParagraph"/>
        <w:numPr>
          <w:ilvl w:val="2"/>
          <w:numId w:val="135"/>
        </w:numPr>
        <w:tabs>
          <w:tab w:pos="1371" w:val="left" w:leader="none"/>
        </w:tabs>
        <w:spacing w:line="240" w:lineRule="auto" w:before="0" w:after="0"/>
        <w:ind w:left="1370" w:right="0" w:hanging="531"/>
        <w:jc w:val="left"/>
        <w:rPr>
          <w:sz w:val="21"/>
        </w:rPr>
      </w:pPr>
      <w:r>
        <w:rPr>
          <w:spacing w:val="-3"/>
          <w:sz w:val="21"/>
        </w:rPr>
        <w:t>连续稳定工作时间</w:t>
      </w:r>
      <w:r>
        <w:rPr>
          <w:sz w:val="21"/>
        </w:rPr>
        <w:t> </w:t>
      </w:r>
    </w:p>
    <w:p>
      <w:pPr>
        <w:pStyle w:val="BodyText"/>
        <w:rPr>
          <w:sz w:val="18"/>
        </w:rPr>
      </w:pPr>
    </w:p>
    <w:p>
      <w:pPr>
        <w:pStyle w:val="BodyText"/>
        <w:spacing w:line="446" w:lineRule="auto"/>
        <w:ind w:left="840" w:right="5497" w:hanging="3"/>
      </w:pPr>
      <w:r>
        <w:rPr/>
        <w:t>灯具的连续稳定工作时间应符合表 4 的规定。</w:t>
      </w:r>
      <w:r>
        <w:rPr>
          <w:b/>
        </w:rPr>
        <w:t>5.3.5 </w:t>
      </w:r>
      <w:r>
        <w:rPr/>
        <w:t>低电压报警时间 </w:t>
      </w:r>
    </w:p>
    <w:p>
      <w:pPr>
        <w:pStyle w:val="BodyText"/>
        <w:spacing w:line="320" w:lineRule="exact"/>
        <w:ind w:left="838"/>
      </w:pPr>
      <w:r>
        <w:rPr/>
        <w:t>灯具的低电压报警时间应为 10</w:t>
      </w:r>
      <w:r>
        <w:rPr>
          <w:rFonts w:ascii="微软雅黑" w:eastAsia="微软雅黑" w:hint="eastAsia"/>
        </w:rPr>
        <w:t>〜</w:t>
      </w:r>
      <w:r>
        <w:rPr/>
        <w:t>20s。 </w:t>
      </w:r>
    </w:p>
    <w:p>
      <w:pPr>
        <w:spacing w:after="0" w:line="320" w:lineRule="exact"/>
        <w:sectPr>
          <w:pgSz w:w="11910" w:h="16850"/>
          <w:pgMar w:header="0" w:footer="1239" w:top="1220" w:bottom="1420" w:left="1260" w:right="0"/>
        </w:sectPr>
      </w:pPr>
    </w:p>
    <w:p>
      <w:pPr>
        <w:pStyle w:val="ListParagraph"/>
        <w:numPr>
          <w:ilvl w:val="2"/>
          <w:numId w:val="136"/>
        </w:numPr>
        <w:tabs>
          <w:tab w:pos="1371" w:val="left" w:leader="none"/>
        </w:tabs>
        <w:spacing w:line="240" w:lineRule="auto" w:before="47" w:after="0"/>
        <w:ind w:left="1370" w:right="0" w:hanging="531"/>
        <w:jc w:val="left"/>
        <w:rPr>
          <w:sz w:val="21"/>
        </w:rPr>
      </w:pPr>
      <w:r>
        <w:rPr>
          <w:spacing w:val="-3"/>
          <w:sz w:val="21"/>
        </w:rPr>
        <w:t>低电压状态下连续工作时间</w:t>
      </w:r>
      <w:r>
        <w:rPr>
          <w:sz w:val="21"/>
        </w:rPr>
        <w:t> </w:t>
      </w:r>
    </w:p>
    <w:p>
      <w:pPr>
        <w:pStyle w:val="BodyText"/>
        <w:rPr>
          <w:sz w:val="20"/>
        </w:rPr>
      </w:pPr>
    </w:p>
    <w:p>
      <w:pPr>
        <w:pStyle w:val="BodyText"/>
        <w:rPr>
          <w:sz w:val="20"/>
        </w:rPr>
      </w:pPr>
    </w:p>
    <w:p>
      <w:pPr>
        <w:pStyle w:val="BodyText"/>
        <w:rPr>
          <w:sz w:val="17"/>
        </w:rPr>
      </w:pPr>
    </w:p>
    <w:p>
      <w:pPr>
        <w:pStyle w:val="BodyText"/>
        <w:ind w:left="418"/>
      </w:pPr>
      <w:r>
        <w:rPr/>
        <w:t>灯具在低电压状态下连续工作时间应符合表 4 的规定。 </w:t>
      </w:r>
    </w:p>
    <w:p>
      <w:pPr>
        <w:pStyle w:val="BodyText"/>
        <w:spacing w:before="4"/>
        <w:rPr>
          <w:sz w:val="29"/>
        </w:rPr>
      </w:pPr>
      <w:r>
        <w:rPr/>
        <w:drawing>
          <wp:anchor distT="0" distB="0" distL="0" distR="0" allowOverlap="1" layoutInCell="1" locked="0" behindDoc="0" simplePos="0" relativeHeight="44">
            <wp:simplePos x="0" y="0"/>
            <wp:positionH relativeFrom="page">
              <wp:posOffset>1189221</wp:posOffset>
            </wp:positionH>
            <wp:positionV relativeFrom="paragraph">
              <wp:posOffset>263616</wp:posOffset>
            </wp:positionV>
            <wp:extent cx="5222996" cy="1697354"/>
            <wp:effectExtent l="0" t="0" r="0" b="0"/>
            <wp:wrapTopAndBottom/>
            <wp:docPr id="101" name="image68.jpeg"/>
            <wp:cNvGraphicFramePr>
              <a:graphicFrameLocks noChangeAspect="1"/>
            </wp:cNvGraphicFramePr>
            <a:graphic>
              <a:graphicData uri="http://schemas.openxmlformats.org/drawingml/2006/picture">
                <pic:pic>
                  <pic:nvPicPr>
                    <pic:cNvPr id="102" name="image68.jpeg"/>
                    <pic:cNvPicPr/>
                  </pic:nvPicPr>
                  <pic:blipFill>
                    <a:blip r:embed="rId75" cstate="print"/>
                    <a:stretch>
                      <a:fillRect/>
                    </a:stretch>
                  </pic:blipFill>
                  <pic:spPr>
                    <a:xfrm>
                      <a:off x="0" y="0"/>
                      <a:ext cx="5222996" cy="1697354"/>
                    </a:xfrm>
                    <a:prstGeom prst="rect">
                      <a:avLst/>
                    </a:prstGeom>
                  </pic:spPr>
                </pic:pic>
              </a:graphicData>
            </a:graphic>
          </wp:anchor>
        </w:drawing>
      </w:r>
    </w:p>
    <w:p>
      <w:pPr>
        <w:pStyle w:val="BodyText"/>
        <w:spacing w:before="8"/>
        <w:rPr>
          <w:sz w:val="20"/>
        </w:rPr>
      </w:pPr>
    </w:p>
    <w:p>
      <w:pPr>
        <w:pStyle w:val="ListParagraph"/>
        <w:numPr>
          <w:ilvl w:val="2"/>
          <w:numId w:val="136"/>
        </w:numPr>
        <w:tabs>
          <w:tab w:pos="1371" w:val="left" w:leader="none"/>
        </w:tabs>
        <w:spacing w:line="240" w:lineRule="auto" w:before="0" w:after="0"/>
        <w:ind w:left="1370" w:right="0" w:hanging="531"/>
        <w:jc w:val="left"/>
        <w:rPr>
          <w:sz w:val="21"/>
        </w:rPr>
      </w:pPr>
      <w:r>
        <w:rPr>
          <w:spacing w:val="-3"/>
          <w:sz w:val="21"/>
        </w:rPr>
        <w:t>绝缘性能</w:t>
      </w:r>
      <w:r>
        <w:rPr>
          <w:sz w:val="21"/>
        </w:rPr>
        <w:t> </w:t>
      </w:r>
    </w:p>
    <w:p>
      <w:pPr>
        <w:pStyle w:val="BodyText"/>
        <w:spacing w:before="2"/>
        <w:rPr>
          <w:sz w:val="18"/>
        </w:rPr>
      </w:pPr>
    </w:p>
    <w:p>
      <w:pPr>
        <w:pStyle w:val="BodyText"/>
        <w:spacing w:line="446" w:lineRule="auto"/>
        <w:ind w:left="418" w:right="1392" w:firstLine="419"/>
      </w:pPr>
      <w:r>
        <w:rPr/>
        <w:t>在常温环境下，灯具带电端子与外壳间的绝缘电阻应不小于 20MΩ，交变湿热试验后应不小于 5MΩ。 </w:t>
      </w:r>
    </w:p>
    <w:p>
      <w:pPr>
        <w:pStyle w:val="ListParagraph"/>
        <w:numPr>
          <w:ilvl w:val="2"/>
          <w:numId w:val="136"/>
        </w:numPr>
        <w:tabs>
          <w:tab w:pos="1371" w:val="left" w:leader="none"/>
        </w:tabs>
        <w:spacing w:line="267" w:lineRule="exact" w:before="0" w:after="0"/>
        <w:ind w:left="1370" w:right="0" w:hanging="531"/>
        <w:jc w:val="left"/>
        <w:rPr>
          <w:sz w:val="21"/>
        </w:rPr>
      </w:pPr>
      <w:r>
        <w:rPr>
          <w:spacing w:val="-3"/>
          <w:sz w:val="21"/>
        </w:rPr>
        <w:t>耐电压性能</w:t>
      </w:r>
      <w:r>
        <w:rPr>
          <w:sz w:val="21"/>
        </w:rPr>
        <w:t> </w:t>
      </w:r>
    </w:p>
    <w:p>
      <w:pPr>
        <w:pStyle w:val="BodyText"/>
        <w:spacing w:before="2"/>
        <w:rPr>
          <w:sz w:val="18"/>
        </w:rPr>
      </w:pPr>
    </w:p>
    <w:p>
      <w:pPr>
        <w:pStyle w:val="BodyText"/>
        <w:spacing w:line="446" w:lineRule="auto"/>
        <w:ind w:left="418" w:right="1507" w:firstLine="419"/>
      </w:pPr>
      <w:r>
        <w:rPr>
          <w:spacing w:val="-8"/>
        </w:rPr>
        <w:t>灯具应能耐受频率为 </w:t>
      </w:r>
      <w:r>
        <w:rPr/>
        <w:t>50Hz±0.5Hz</w:t>
      </w:r>
      <w:r>
        <w:rPr>
          <w:spacing w:val="-9"/>
        </w:rPr>
        <w:t>，交流电压为 </w:t>
      </w:r>
      <w:r>
        <w:rPr/>
        <w:t>500V±50V</w:t>
      </w:r>
      <w:r>
        <w:rPr>
          <w:spacing w:val="-14"/>
        </w:rPr>
        <w:t>，历时 </w:t>
      </w:r>
      <w:r>
        <w:rPr/>
        <w:t>60s±5s</w:t>
      </w:r>
      <w:r>
        <w:rPr>
          <w:spacing w:val="-8"/>
        </w:rPr>
        <w:t> 的耐电压试验。</w:t>
      </w:r>
      <w:r>
        <w:rPr>
          <w:spacing w:val="-5"/>
        </w:rPr>
        <w:t>试验过程中，灯具不应出现表面飞弧和击穿现象。试验结束后，灯具应能正常进行开、关和  </w:t>
      </w:r>
      <w:r>
        <w:rPr>
          <w:spacing w:val="-4"/>
        </w:rPr>
        <w:t>强、弱光切换。</w:t>
      </w:r>
      <w:r>
        <w:rPr/>
        <w:t> </w:t>
      </w:r>
    </w:p>
    <w:p>
      <w:pPr>
        <w:pStyle w:val="ListParagraph"/>
        <w:numPr>
          <w:ilvl w:val="2"/>
          <w:numId w:val="136"/>
        </w:numPr>
        <w:tabs>
          <w:tab w:pos="1370" w:val="left" w:leader="none"/>
        </w:tabs>
        <w:spacing w:line="268" w:lineRule="exact" w:before="0" w:after="0"/>
        <w:ind w:left="1369" w:right="0" w:hanging="530"/>
        <w:jc w:val="left"/>
        <w:rPr>
          <w:sz w:val="21"/>
        </w:rPr>
      </w:pPr>
      <w:r>
        <w:rPr>
          <w:spacing w:val="-3"/>
          <w:sz w:val="21"/>
        </w:rPr>
        <w:t>耐气候环境性能</w:t>
      </w:r>
      <w:r>
        <w:rPr>
          <w:sz w:val="21"/>
        </w:rPr>
        <w:t> </w:t>
      </w:r>
    </w:p>
    <w:p>
      <w:pPr>
        <w:pStyle w:val="BodyText"/>
        <w:rPr>
          <w:sz w:val="18"/>
        </w:rPr>
      </w:pPr>
    </w:p>
    <w:p>
      <w:pPr>
        <w:pStyle w:val="BodyText"/>
        <w:spacing w:line="446" w:lineRule="auto"/>
        <w:ind w:left="418" w:right="1609" w:firstLine="419"/>
      </w:pPr>
      <w:r>
        <w:rPr>
          <w:spacing w:val="-7"/>
        </w:rPr>
        <w:t>灯具应能耐受表 </w:t>
      </w:r>
      <w:r>
        <w:rPr/>
        <w:t>5</w:t>
      </w:r>
      <w:r>
        <w:rPr>
          <w:spacing w:val="-7"/>
        </w:rPr>
        <w:t> 所规定的气候环境条件下的各项试验。每项试验后，灯具应能正常进行</w:t>
      </w:r>
      <w:r>
        <w:rPr>
          <w:spacing w:val="-5"/>
        </w:rPr>
        <w:t>开、关和强、弱光切换。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BodyText"/>
        <w:ind w:left="838"/>
      </w:pPr>
      <w:r>
        <w:rPr>
          <w:w w:val="100"/>
        </w:rPr>
        <w:t> </w:t>
      </w:r>
    </w:p>
    <w:p>
      <w:pPr>
        <w:spacing w:after="0"/>
        <w:sectPr>
          <w:footerReference w:type="default" r:id="rId74"/>
          <w:pgSz w:w="11910" w:h="16850"/>
          <w:pgMar w:footer="3692" w:header="0" w:top="1220" w:bottom="3880" w:left="1260" w:right="0"/>
          <w:pgNumType w:start="868"/>
        </w:sectPr>
      </w:pPr>
    </w:p>
    <w:p>
      <w:pPr>
        <w:pStyle w:val="BodyText"/>
        <w:rPr>
          <w:sz w:val="20"/>
        </w:rPr>
      </w:pPr>
    </w:p>
    <w:p>
      <w:pPr>
        <w:pStyle w:val="BodyText"/>
        <w:rPr>
          <w:sz w:val="20"/>
        </w:rPr>
      </w:pPr>
    </w:p>
    <w:p>
      <w:pPr>
        <w:pStyle w:val="BodyText"/>
        <w:rPr>
          <w:sz w:val="20"/>
        </w:rPr>
      </w:pPr>
    </w:p>
    <w:p>
      <w:pPr>
        <w:pStyle w:val="BodyText"/>
        <w:spacing w:before="7"/>
        <w:rPr>
          <w:sz w:val="28"/>
        </w:rPr>
      </w:pPr>
    </w:p>
    <w:p>
      <w:pPr>
        <w:pStyle w:val="BodyText"/>
        <w:ind w:left="493"/>
        <w:rPr>
          <w:sz w:val="20"/>
        </w:rPr>
      </w:pPr>
      <w:r>
        <w:rPr>
          <w:sz w:val="20"/>
        </w:rPr>
        <w:drawing>
          <wp:inline distT="0" distB="0" distL="0" distR="0">
            <wp:extent cx="5343389" cy="5324475"/>
            <wp:effectExtent l="0" t="0" r="0" b="0"/>
            <wp:docPr id="103" name="image69.jpeg"/>
            <wp:cNvGraphicFramePr>
              <a:graphicFrameLocks noChangeAspect="1"/>
            </wp:cNvGraphicFramePr>
            <a:graphic>
              <a:graphicData uri="http://schemas.openxmlformats.org/drawingml/2006/picture">
                <pic:pic>
                  <pic:nvPicPr>
                    <pic:cNvPr id="104" name="image69.jpeg"/>
                    <pic:cNvPicPr/>
                  </pic:nvPicPr>
                  <pic:blipFill>
                    <a:blip r:embed="rId76" cstate="print"/>
                    <a:stretch>
                      <a:fillRect/>
                    </a:stretch>
                  </pic:blipFill>
                  <pic:spPr>
                    <a:xfrm>
                      <a:off x="0" y="0"/>
                      <a:ext cx="5343389" cy="5324475"/>
                    </a:xfrm>
                    <a:prstGeom prst="rect">
                      <a:avLst/>
                    </a:prstGeom>
                  </pic:spPr>
                </pic:pic>
              </a:graphicData>
            </a:graphic>
          </wp:inline>
        </w:drawing>
      </w:r>
      <w:r>
        <w:rPr>
          <w:sz w:val="20"/>
        </w:rPr>
      </w:r>
    </w:p>
    <w:p>
      <w:pPr>
        <w:pStyle w:val="BodyText"/>
        <w:spacing w:before="6"/>
        <w:rPr>
          <w:sz w:val="9"/>
        </w:rPr>
      </w:pPr>
    </w:p>
    <w:p>
      <w:pPr>
        <w:pStyle w:val="ListParagraph"/>
        <w:numPr>
          <w:ilvl w:val="2"/>
          <w:numId w:val="136"/>
        </w:numPr>
        <w:tabs>
          <w:tab w:pos="1478" w:val="left" w:leader="none"/>
        </w:tabs>
        <w:spacing w:line="240" w:lineRule="auto" w:before="72" w:after="0"/>
        <w:ind w:left="1477" w:right="0" w:hanging="638"/>
        <w:jc w:val="left"/>
        <w:rPr>
          <w:sz w:val="21"/>
        </w:rPr>
      </w:pPr>
      <w:r>
        <w:rPr>
          <w:spacing w:val="-3"/>
          <w:sz w:val="21"/>
        </w:rPr>
        <w:t>耐机械环境性能</w:t>
      </w:r>
      <w:r>
        <w:rPr>
          <w:sz w:val="21"/>
        </w:rPr>
        <w:t> </w:t>
      </w:r>
    </w:p>
    <w:p>
      <w:pPr>
        <w:pStyle w:val="BodyText"/>
        <w:spacing w:before="12"/>
        <w:rPr>
          <w:sz w:val="17"/>
        </w:rPr>
      </w:pPr>
    </w:p>
    <w:p>
      <w:pPr>
        <w:pStyle w:val="BodyText"/>
        <w:spacing w:line="446" w:lineRule="auto"/>
        <w:ind w:left="418" w:right="1608" w:firstLine="419"/>
      </w:pPr>
      <w:r>
        <w:rPr>
          <w:spacing w:val="-7"/>
        </w:rPr>
        <w:t>灯具应能耐受住表 </w:t>
      </w:r>
      <w:r>
        <w:rPr/>
        <w:t>6</w:t>
      </w:r>
      <w:r>
        <w:rPr>
          <w:spacing w:val="-7"/>
        </w:rPr>
        <w:t> 所规定的机械环境条件下各项试验。每项试验后，灯具应无机械损伤</w:t>
      </w:r>
      <w:r>
        <w:rPr>
          <w:spacing w:val="-5"/>
        </w:rPr>
        <w:t>和紧固件松动现象，且能正常进行开、关和强、弱光切换。</w:t>
      </w:r>
      <w:r>
        <w:rPr/>
        <w:t> </w:t>
      </w:r>
    </w:p>
    <w:p>
      <w:pPr>
        <w:spacing w:after="0" w:line="446" w:lineRule="auto"/>
        <w:sectPr>
          <w:pgSz w:w="11910" w:h="16850"/>
          <w:pgMar w:header="0" w:footer="3692" w:top="1600" w:bottom="3980" w:left="1260" w:right="0"/>
        </w:sectPr>
      </w:pPr>
    </w:p>
    <w:p>
      <w:pPr>
        <w:pStyle w:val="BodyText"/>
        <w:spacing w:before="9"/>
        <w:rPr>
          <w:sz w:val="24"/>
        </w:rPr>
      </w:pPr>
    </w:p>
    <w:p>
      <w:pPr>
        <w:pStyle w:val="BodyText"/>
        <w:ind w:left="844"/>
        <w:rPr>
          <w:sz w:val="20"/>
        </w:rPr>
      </w:pPr>
      <w:r>
        <w:rPr>
          <w:sz w:val="20"/>
        </w:rPr>
        <w:drawing>
          <wp:inline distT="0" distB="0" distL="0" distR="0">
            <wp:extent cx="4713303" cy="3714750"/>
            <wp:effectExtent l="0" t="0" r="0" b="0"/>
            <wp:docPr id="105" name="image70.jpeg"/>
            <wp:cNvGraphicFramePr>
              <a:graphicFrameLocks noChangeAspect="1"/>
            </wp:cNvGraphicFramePr>
            <a:graphic>
              <a:graphicData uri="http://schemas.openxmlformats.org/drawingml/2006/picture">
                <pic:pic>
                  <pic:nvPicPr>
                    <pic:cNvPr id="106" name="image70.jpeg"/>
                    <pic:cNvPicPr/>
                  </pic:nvPicPr>
                  <pic:blipFill>
                    <a:blip r:embed="rId78" cstate="print"/>
                    <a:stretch>
                      <a:fillRect/>
                    </a:stretch>
                  </pic:blipFill>
                  <pic:spPr>
                    <a:xfrm>
                      <a:off x="0" y="0"/>
                      <a:ext cx="4713303" cy="371475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4"/>
        <w:rPr>
          <w:sz w:val="16"/>
        </w:rPr>
      </w:pPr>
    </w:p>
    <w:p>
      <w:pPr>
        <w:pStyle w:val="ListParagraph"/>
        <w:numPr>
          <w:ilvl w:val="2"/>
          <w:numId w:val="136"/>
        </w:numPr>
        <w:tabs>
          <w:tab w:pos="1475" w:val="left" w:leader="none"/>
        </w:tabs>
        <w:spacing w:line="240" w:lineRule="auto" w:before="0" w:after="0"/>
        <w:ind w:left="1474" w:right="0" w:hanging="637"/>
        <w:jc w:val="left"/>
        <w:rPr>
          <w:sz w:val="21"/>
        </w:rPr>
      </w:pPr>
      <w:r>
        <w:rPr>
          <w:spacing w:val="-3"/>
          <w:sz w:val="21"/>
        </w:rPr>
        <w:t>开关可靠性 </w:t>
      </w:r>
    </w:p>
    <w:p>
      <w:pPr>
        <w:pStyle w:val="BodyText"/>
        <w:spacing w:before="12"/>
        <w:rPr>
          <w:sz w:val="17"/>
        </w:rPr>
      </w:pPr>
    </w:p>
    <w:p>
      <w:pPr>
        <w:pStyle w:val="BodyText"/>
        <w:spacing w:line="446" w:lineRule="auto"/>
        <w:ind w:left="418" w:right="1608" w:firstLine="419"/>
      </w:pPr>
      <w:r>
        <w:rPr>
          <w:spacing w:val="-7"/>
        </w:rPr>
        <w:t>灯具的开关经 </w:t>
      </w:r>
      <w:r>
        <w:rPr/>
        <w:t>50000</w:t>
      </w:r>
      <w:r>
        <w:rPr>
          <w:spacing w:val="-7"/>
        </w:rPr>
        <w:t> 次可靠性试验后应保持完好，且灯具应能正常点亮并实现强、弱光切</w:t>
      </w:r>
      <w:r>
        <w:rPr>
          <w:spacing w:val="-5"/>
        </w:rPr>
        <w:t>换。</w:t>
      </w:r>
      <w:r>
        <w:rPr/>
        <w:t> </w:t>
      </w:r>
    </w:p>
    <w:p>
      <w:pPr>
        <w:pStyle w:val="ListParagraph"/>
        <w:numPr>
          <w:ilvl w:val="2"/>
          <w:numId w:val="136"/>
        </w:numPr>
        <w:tabs>
          <w:tab w:pos="1478" w:val="left" w:leader="none"/>
        </w:tabs>
        <w:spacing w:line="240" w:lineRule="auto" w:before="0" w:after="0"/>
        <w:ind w:left="1477" w:right="0" w:hanging="638"/>
        <w:jc w:val="left"/>
        <w:rPr>
          <w:sz w:val="21"/>
        </w:rPr>
      </w:pPr>
      <w:r>
        <w:rPr>
          <w:spacing w:val="-3"/>
          <w:sz w:val="21"/>
        </w:rPr>
        <w:t>外壳防护等级 </w:t>
      </w:r>
    </w:p>
    <w:p>
      <w:pPr>
        <w:pStyle w:val="BodyText"/>
        <w:spacing w:before="12"/>
        <w:rPr>
          <w:sz w:val="17"/>
        </w:rPr>
      </w:pPr>
    </w:p>
    <w:p>
      <w:pPr>
        <w:pStyle w:val="BodyText"/>
        <w:spacing w:line="448" w:lineRule="auto"/>
        <w:ind w:left="418" w:right="1507" w:firstLine="419"/>
      </w:pPr>
      <w:r>
        <w:rPr>
          <w:spacing w:val="-8"/>
        </w:rPr>
        <w:t>灯具的外壳防护等级应为 </w:t>
      </w:r>
      <w:r>
        <w:rPr/>
        <w:t>GB/T 4208-2008</w:t>
      </w:r>
      <w:r>
        <w:rPr>
          <w:spacing w:val="-23"/>
        </w:rPr>
        <w:t> 规定的 </w:t>
      </w:r>
      <w:r>
        <w:rPr>
          <w:spacing w:val="-3"/>
        </w:rPr>
        <w:t>IP </w:t>
      </w:r>
      <w:r>
        <w:rPr/>
        <w:t>66/IP 67</w:t>
      </w:r>
      <w:r>
        <w:rPr>
          <w:spacing w:val="-36"/>
        </w:rPr>
        <w:t> 或 </w:t>
      </w:r>
      <w:r>
        <w:rPr/>
        <w:t>IP 66/IP 68</w:t>
      </w:r>
      <w:r>
        <w:rPr>
          <w:spacing w:val="-10"/>
        </w:rPr>
        <w:t> 的要求。当</w:t>
      </w:r>
      <w:r>
        <w:rPr>
          <w:spacing w:val="-14"/>
        </w:rPr>
        <w:t>防护等级为 </w:t>
      </w:r>
      <w:r>
        <w:rPr/>
        <w:t>IP 66/IP 68</w:t>
      </w:r>
      <w:r>
        <w:rPr>
          <w:spacing w:val="-9"/>
        </w:rPr>
        <w:t> 时，生产厂应标明灯具的潜水深度和持续时间。</w:t>
      </w:r>
      <w:r>
        <w:rPr/>
        <w:t> </w:t>
      </w:r>
    </w:p>
    <w:p>
      <w:pPr>
        <w:pStyle w:val="Heading4"/>
        <w:spacing w:line="273" w:lineRule="exact"/>
      </w:pPr>
      <w:r>
        <w:rPr/>
        <w:t>6 试验方法</w:t>
      </w:r>
      <w:r>
        <w:rPr>
          <w:w w:val="99"/>
        </w:rPr>
        <w:t> </w:t>
      </w:r>
    </w:p>
    <w:p>
      <w:pPr>
        <w:pStyle w:val="BodyText"/>
        <w:spacing w:before="4"/>
        <w:rPr>
          <w:b/>
          <w:sz w:val="17"/>
        </w:rPr>
      </w:pPr>
    </w:p>
    <w:p>
      <w:pPr>
        <w:spacing w:before="0"/>
        <w:ind w:left="840" w:right="0" w:firstLine="0"/>
        <w:jc w:val="left"/>
        <w:rPr>
          <w:sz w:val="21"/>
        </w:rPr>
      </w:pPr>
      <w:r>
        <w:rPr>
          <w:b/>
          <w:sz w:val="21"/>
        </w:rPr>
        <w:t>6.1 </w:t>
      </w:r>
      <w:r>
        <w:rPr>
          <w:sz w:val="21"/>
        </w:rPr>
        <w:t>试验环境 </w:t>
      </w:r>
    </w:p>
    <w:p>
      <w:pPr>
        <w:pStyle w:val="BodyText"/>
        <w:spacing w:line="500" w:lineRule="exact" w:before="43"/>
        <w:ind w:left="838" w:right="3606"/>
      </w:pPr>
      <w:r>
        <w:rPr/>
        <w:t>若相关条文中没有特殊说明，则试验均应在下述大气条件下进行： a) 温度：15</w:t>
      </w:r>
      <w:r>
        <w:rPr>
          <w:rFonts w:ascii="微软雅黑" w:hAnsi="微软雅黑" w:eastAsia="微软雅黑" w:hint="eastAsia"/>
        </w:rPr>
        <w:t>〜</w:t>
      </w:r>
      <w:r>
        <w:rPr/>
        <w:t>35℃； </w:t>
      </w:r>
    </w:p>
    <w:p>
      <w:pPr>
        <w:pStyle w:val="BodyText"/>
        <w:spacing w:line="331" w:lineRule="auto" w:before="121"/>
        <w:ind w:left="838" w:right="7074"/>
        <w:rPr>
          <w:b/>
        </w:rPr>
      </w:pPr>
      <w:r>
        <w:rPr/>
        <w:t>b)  相对湿度：45%</w:t>
      </w:r>
      <w:r>
        <w:rPr>
          <w:rFonts w:ascii="微软雅黑" w:eastAsia="微软雅黑" w:hint="eastAsia"/>
        </w:rPr>
        <w:t>〜</w:t>
      </w:r>
      <w:r>
        <w:rPr/>
        <w:t>75%； c)</w:t>
      </w:r>
      <w:r>
        <w:rPr>
          <w:spacing w:val="-2"/>
        </w:rPr>
        <w:t> 大气压力：</w:t>
      </w:r>
      <w:r>
        <w:rPr/>
        <w:t>86</w:t>
      </w:r>
      <w:r>
        <w:rPr>
          <w:rFonts w:ascii="微软雅黑" w:eastAsia="微软雅黑" w:hint="eastAsia"/>
        </w:rPr>
        <w:t>〜</w:t>
      </w:r>
      <w:r>
        <w:rPr/>
        <w:t>106kPa。</w:t>
      </w:r>
      <w:r>
        <w:rPr>
          <w:b/>
        </w:rPr>
        <w:t>6.2 </w:t>
      </w:r>
      <w:r>
        <w:rPr>
          <w:spacing w:val="-3"/>
        </w:rPr>
        <w:t>功能试验</w:t>
      </w:r>
      <w:r>
        <w:rPr>
          <w:b/>
          <w:w w:val="99"/>
        </w:rPr>
        <w:t> </w:t>
      </w:r>
    </w:p>
    <w:p>
      <w:pPr>
        <w:pStyle w:val="ListParagraph"/>
        <w:numPr>
          <w:ilvl w:val="2"/>
          <w:numId w:val="137"/>
        </w:numPr>
        <w:tabs>
          <w:tab w:pos="1370" w:val="left" w:leader="none"/>
        </w:tabs>
        <w:spacing w:line="240" w:lineRule="auto" w:before="128" w:after="0"/>
        <w:ind w:left="1369" w:right="0" w:hanging="530"/>
        <w:jc w:val="left"/>
        <w:rPr>
          <w:sz w:val="21"/>
        </w:rPr>
      </w:pPr>
      <w:r>
        <w:rPr>
          <w:spacing w:val="-3"/>
          <w:sz w:val="21"/>
        </w:rPr>
        <w:t>操作灯具开关，检查灯具的强、弱光切换功能。</w:t>
      </w:r>
      <w:r>
        <w:rPr>
          <w:sz w:val="21"/>
        </w:rPr>
        <w:t> </w:t>
      </w:r>
    </w:p>
    <w:p>
      <w:pPr>
        <w:spacing w:after="0" w:line="240" w:lineRule="auto"/>
        <w:jc w:val="left"/>
        <w:rPr>
          <w:sz w:val="21"/>
        </w:rPr>
        <w:sectPr>
          <w:footerReference w:type="default" r:id="rId77"/>
          <w:pgSz w:w="11910" w:h="16850"/>
          <w:pgMar w:footer="1239" w:header="0" w:top="1600" w:bottom="1420" w:left="1260" w:right="0"/>
          <w:pgNumType w:start="870"/>
        </w:sectPr>
      </w:pPr>
    </w:p>
    <w:p>
      <w:pPr>
        <w:pStyle w:val="ListParagraph"/>
        <w:numPr>
          <w:ilvl w:val="2"/>
          <w:numId w:val="137"/>
        </w:numPr>
        <w:tabs>
          <w:tab w:pos="1370" w:val="left" w:leader="none"/>
        </w:tabs>
        <w:spacing w:line="240" w:lineRule="auto" w:before="47" w:after="0"/>
        <w:ind w:left="1369" w:right="0" w:hanging="530"/>
        <w:jc w:val="left"/>
        <w:rPr>
          <w:sz w:val="21"/>
        </w:rPr>
      </w:pPr>
      <w:r>
        <w:rPr>
          <w:spacing w:val="-3"/>
          <w:sz w:val="21"/>
        </w:rPr>
        <w:t>将灯具处于低电压状态，通过感官检查灯具的闪烁方式及低电压报警形式。 </w:t>
      </w:r>
    </w:p>
    <w:p>
      <w:pPr>
        <w:pStyle w:val="BodyText"/>
        <w:rPr>
          <w:sz w:val="18"/>
        </w:rPr>
      </w:pPr>
    </w:p>
    <w:p>
      <w:pPr>
        <w:spacing w:before="0"/>
        <w:ind w:left="840" w:right="0" w:firstLine="0"/>
        <w:jc w:val="left"/>
        <w:rPr>
          <w:sz w:val="21"/>
        </w:rPr>
      </w:pPr>
      <w:r>
        <w:rPr>
          <w:b/>
          <w:sz w:val="21"/>
        </w:rPr>
        <w:t>6.3 </w:t>
      </w:r>
      <w:r>
        <w:rPr>
          <w:sz w:val="21"/>
        </w:rPr>
        <w:t>外观及装配检查 </w:t>
      </w:r>
    </w:p>
    <w:p>
      <w:pPr>
        <w:pStyle w:val="BodyText"/>
        <w:rPr>
          <w:sz w:val="18"/>
        </w:rPr>
      </w:pPr>
    </w:p>
    <w:p>
      <w:pPr>
        <w:pStyle w:val="BodyText"/>
        <w:spacing w:line="446" w:lineRule="auto"/>
        <w:ind w:left="840" w:right="5077" w:hanging="3"/>
        <w:rPr>
          <w:b/>
        </w:rPr>
      </w:pPr>
      <w:r>
        <w:rPr>
          <w:spacing w:val="-3"/>
        </w:rPr>
        <w:t>通过感官观察、触摸、操作进行外观及装配检查。</w:t>
      </w:r>
      <w:r>
        <w:rPr>
          <w:b/>
        </w:rPr>
        <w:t>6.4</w:t>
      </w:r>
      <w:r>
        <w:rPr>
          <w:b/>
          <w:spacing w:val="-1"/>
        </w:rPr>
        <w:t> </w:t>
      </w:r>
      <w:r>
        <w:rPr>
          <w:spacing w:val="-3"/>
        </w:rPr>
        <w:t>质量测量</w:t>
      </w:r>
      <w:r>
        <w:rPr>
          <w:b/>
          <w:w w:val="99"/>
        </w:rPr>
        <w:t> </w:t>
      </w:r>
    </w:p>
    <w:p>
      <w:pPr>
        <w:pStyle w:val="BodyText"/>
        <w:spacing w:line="446" w:lineRule="auto"/>
        <w:ind w:left="840" w:right="5605" w:hanging="3"/>
        <w:rPr>
          <w:b/>
        </w:rPr>
      </w:pPr>
      <w:r>
        <w:rPr>
          <w:spacing w:val="-9"/>
        </w:rPr>
        <w:t>用精度不低于 </w:t>
      </w:r>
      <w:r>
        <w:rPr/>
        <w:t>1g</w:t>
      </w:r>
      <w:r>
        <w:rPr>
          <w:spacing w:val="-9"/>
        </w:rPr>
        <w:t> 的电子秤测量灯具的质量。</w:t>
      </w:r>
      <w:r>
        <w:rPr>
          <w:b/>
        </w:rPr>
        <w:t>6.5 </w:t>
      </w:r>
      <w:r>
        <w:rPr>
          <w:spacing w:val="-3"/>
        </w:rPr>
        <w:t>照度测量</w:t>
      </w:r>
      <w:r>
        <w:rPr>
          <w:b/>
          <w:w w:val="99"/>
        </w:rPr>
        <w:t> </w:t>
      </w:r>
    </w:p>
    <w:p>
      <w:pPr>
        <w:pStyle w:val="BodyText"/>
        <w:spacing w:line="446" w:lineRule="auto"/>
        <w:ind w:left="418" w:right="1608" w:firstLine="419"/>
      </w:pPr>
      <w:r>
        <w:rPr>
          <w:spacing w:val="-3"/>
        </w:rPr>
        <w:t>灯具充满电后，在暗室（完全密封无光线空间</w:t>
      </w:r>
      <w:r>
        <w:rPr/>
        <w:t>）</w:t>
      </w:r>
      <w:r>
        <w:rPr>
          <w:spacing w:val="-7"/>
        </w:rPr>
        <w:t>内开启灯具开关，持续 </w:t>
      </w:r>
      <w:r>
        <w:rPr/>
        <w:t>10min</w:t>
      </w:r>
      <w:r>
        <w:rPr>
          <w:spacing w:val="-8"/>
        </w:rPr>
        <w:t> 后，将灯具分别处于强光、弱光状态，按图 </w:t>
      </w:r>
      <w:r>
        <w:rPr/>
        <w:t>1</w:t>
      </w:r>
      <w:r>
        <w:rPr>
          <w:spacing w:val="-11"/>
        </w:rPr>
        <w:t> 所示，在灯头正前方并按表 </w:t>
      </w:r>
      <w:r>
        <w:rPr/>
        <w:t>3</w:t>
      </w:r>
      <w:r>
        <w:rPr>
          <w:spacing w:val="-8"/>
        </w:rPr>
        <w:t> 规定的测试距离，沿光束直径</w:t>
      </w:r>
    </w:p>
    <w:p>
      <w:pPr>
        <w:pStyle w:val="BodyText"/>
        <w:spacing w:line="446" w:lineRule="auto"/>
        <w:ind w:left="418" w:right="1609"/>
      </w:pPr>
      <w:r>
        <w:rPr>
          <w:spacing w:val="-5"/>
        </w:rPr>
        <w:t>方向，用分布式照度计测量规定的光束直径上平均分布 </w:t>
      </w:r>
      <w:r>
        <w:rPr/>
        <w:t>5</w:t>
      </w:r>
      <w:r>
        <w:rPr>
          <w:spacing w:val="-12"/>
        </w:rPr>
        <w:t> 点的照度值。取 </w:t>
      </w:r>
      <w:r>
        <w:rPr/>
        <w:t>5</w:t>
      </w:r>
      <w:r>
        <w:rPr>
          <w:spacing w:val="-8"/>
        </w:rPr>
        <w:t> 点测量值的算术平</w:t>
      </w:r>
      <w:r>
        <w:rPr>
          <w:spacing w:val="-5"/>
        </w:rPr>
        <w:t>均值和最小值作为照度值。 </w:t>
      </w:r>
    </w:p>
    <w:p>
      <w:pPr>
        <w:pStyle w:val="ListParagraph"/>
        <w:numPr>
          <w:ilvl w:val="1"/>
          <w:numId w:val="138"/>
        </w:numPr>
        <w:tabs>
          <w:tab w:pos="1159" w:val="left" w:leader="none"/>
        </w:tabs>
        <w:spacing w:line="240" w:lineRule="auto" w:before="0" w:after="0"/>
        <w:ind w:left="1158" w:right="0" w:hanging="319"/>
        <w:jc w:val="left"/>
        <w:rPr>
          <w:sz w:val="21"/>
        </w:rPr>
      </w:pPr>
      <w:r>
        <w:rPr>
          <w:spacing w:val="-3"/>
          <w:sz w:val="21"/>
        </w:rPr>
        <w:t>连续稳定工作时间试验 </w:t>
      </w:r>
    </w:p>
    <w:p>
      <w:pPr>
        <w:pStyle w:val="BodyText"/>
        <w:spacing w:before="10"/>
        <w:rPr>
          <w:sz w:val="17"/>
        </w:rPr>
      </w:pPr>
    </w:p>
    <w:p>
      <w:pPr>
        <w:pStyle w:val="BodyText"/>
        <w:spacing w:line="446" w:lineRule="auto"/>
        <w:ind w:left="418" w:right="1609" w:firstLine="419"/>
        <w:jc w:val="both"/>
      </w:pPr>
      <w:r>
        <w:rPr>
          <w:spacing w:val="-3"/>
        </w:rPr>
        <w:t>将灯具进行放电后，再充满电，开启开关，分别使灯具处于强光、弱光状态并用计时器开</w:t>
      </w:r>
      <w:r>
        <w:rPr>
          <w:spacing w:val="-10"/>
        </w:rPr>
        <w:t>始计时，按 </w:t>
      </w:r>
      <w:r>
        <w:rPr/>
        <w:t>6.5</w:t>
      </w:r>
      <w:r>
        <w:rPr>
          <w:spacing w:val="-10"/>
        </w:rPr>
        <w:t> 的方法连续测量并记录灯具的照度值，直至其小于表 </w:t>
      </w:r>
      <w:r>
        <w:rPr/>
        <w:t>3</w:t>
      </w:r>
      <w:r>
        <w:rPr>
          <w:spacing w:val="-8"/>
        </w:rPr>
        <w:t> 规定的照度最小值或出</w:t>
      </w:r>
      <w:r>
        <w:rPr>
          <w:spacing w:val="-5"/>
        </w:rPr>
        <w:t>现低电压吿警状态时停止计时。该时间即为灯具的连续稳定工作时间。</w:t>
      </w:r>
      <w:r>
        <w:rPr/>
        <w:t> </w:t>
      </w:r>
    </w:p>
    <w:p>
      <w:pPr>
        <w:pStyle w:val="ListParagraph"/>
        <w:numPr>
          <w:ilvl w:val="1"/>
          <w:numId w:val="138"/>
        </w:numPr>
        <w:tabs>
          <w:tab w:pos="1159" w:val="left" w:leader="none"/>
        </w:tabs>
        <w:spacing w:line="268" w:lineRule="exact" w:before="0" w:after="0"/>
        <w:ind w:left="1158" w:right="0" w:hanging="319"/>
        <w:jc w:val="left"/>
        <w:rPr>
          <w:b/>
          <w:sz w:val="21"/>
        </w:rPr>
      </w:pPr>
      <w:r>
        <w:rPr>
          <w:spacing w:val="-3"/>
          <w:sz w:val="21"/>
        </w:rPr>
        <w:t>低电压报警时间试验</w:t>
      </w:r>
      <w:r>
        <w:rPr>
          <w:b/>
          <w:w w:val="99"/>
          <w:sz w:val="21"/>
        </w:rPr>
        <w:t> </w:t>
      </w:r>
    </w:p>
    <w:p>
      <w:pPr>
        <w:pStyle w:val="BodyText"/>
        <w:spacing w:before="2"/>
        <w:rPr>
          <w:b/>
          <w:sz w:val="18"/>
        </w:rPr>
      </w:pPr>
    </w:p>
    <w:p>
      <w:pPr>
        <w:pStyle w:val="BodyText"/>
        <w:spacing w:line="446" w:lineRule="auto"/>
        <w:ind w:left="418" w:right="1608" w:firstLine="419"/>
        <w:jc w:val="both"/>
      </w:pPr>
      <w:r>
        <w:rPr/>
        <w:t>将灯具进行放电后，再充满电，开启开关，分别使灯具处于强光、弱光状态，当灯具在强光、弱光状态下出现低电压告警状态消失时，用计时器开始计时，直至灯具闪烁方式的低电压告警状态消失时停止计时。该时间即为灯具的低电压告警时间。 </w:t>
      </w:r>
    </w:p>
    <w:p>
      <w:pPr>
        <w:pStyle w:val="ListParagraph"/>
        <w:numPr>
          <w:ilvl w:val="1"/>
          <w:numId w:val="138"/>
        </w:numPr>
        <w:tabs>
          <w:tab w:pos="1160" w:val="left" w:leader="none"/>
        </w:tabs>
        <w:spacing w:line="268" w:lineRule="exact" w:before="0" w:after="0"/>
        <w:ind w:left="1159" w:right="0" w:hanging="320"/>
        <w:jc w:val="left"/>
        <w:rPr>
          <w:sz w:val="21"/>
        </w:rPr>
      </w:pPr>
      <w:r>
        <w:rPr>
          <w:spacing w:val="-3"/>
          <w:sz w:val="21"/>
        </w:rPr>
        <w:t>低电压状态下连续工作时间试验</w:t>
      </w:r>
      <w:r>
        <w:rPr>
          <w:sz w:val="21"/>
        </w:rPr>
        <w:t> </w:t>
      </w:r>
    </w:p>
    <w:p>
      <w:pPr>
        <w:pStyle w:val="BodyText"/>
        <w:rPr>
          <w:sz w:val="18"/>
        </w:rPr>
      </w:pPr>
    </w:p>
    <w:p>
      <w:pPr>
        <w:pStyle w:val="BodyText"/>
        <w:ind w:left="838"/>
      </w:pPr>
      <w:r>
        <w:rPr/>
        <w:t>在连续 20 次充、放电后，将灯具充满电，开启开关，分别使灯具处于强光、弱光状态，当</w:t>
      </w:r>
    </w:p>
    <w:p>
      <w:pPr>
        <w:pStyle w:val="BodyText"/>
        <w:spacing w:before="12"/>
        <w:rPr>
          <w:sz w:val="17"/>
        </w:rPr>
      </w:pPr>
    </w:p>
    <w:p>
      <w:pPr>
        <w:pStyle w:val="BodyText"/>
        <w:ind w:left="418"/>
      </w:pPr>
      <w:r>
        <w:rPr/>
        <w:t>灯具在强光、弱光状态下的低电压告警状态消失时，用计时器开始计时，并按 6.5 的方法连续</w:t>
      </w:r>
    </w:p>
    <w:p>
      <w:pPr>
        <w:pStyle w:val="BodyText"/>
        <w:spacing w:before="2"/>
        <w:rPr>
          <w:sz w:val="18"/>
        </w:rPr>
      </w:pPr>
    </w:p>
    <w:p>
      <w:pPr>
        <w:pStyle w:val="BodyText"/>
        <w:spacing w:line="446" w:lineRule="auto"/>
        <w:ind w:left="418" w:right="1609"/>
      </w:pPr>
      <w:r>
        <w:rPr>
          <w:spacing w:val="-5"/>
        </w:rPr>
        <w:t>测量并记录灯具的照度值，直至其小于表 </w:t>
      </w:r>
      <w:r>
        <w:rPr/>
        <w:t>3</w:t>
      </w:r>
      <w:r>
        <w:rPr>
          <w:spacing w:val="-7"/>
        </w:rPr>
        <w:t> 规定的照度最小值时停止计时。该时间即为灯具的</w:t>
      </w:r>
      <w:r>
        <w:rPr>
          <w:spacing w:val="-5"/>
        </w:rPr>
        <w:t>低电压状态下连续工作时间。</w:t>
      </w:r>
      <w:r>
        <w:rPr/>
        <w:t> </w:t>
      </w:r>
    </w:p>
    <w:p>
      <w:pPr>
        <w:pStyle w:val="ListParagraph"/>
        <w:numPr>
          <w:ilvl w:val="1"/>
          <w:numId w:val="138"/>
        </w:numPr>
        <w:tabs>
          <w:tab w:pos="1159" w:val="left" w:leader="none"/>
        </w:tabs>
        <w:spacing w:line="267" w:lineRule="exact" w:before="0" w:after="0"/>
        <w:ind w:left="1158" w:right="0" w:hanging="319"/>
        <w:jc w:val="left"/>
        <w:rPr>
          <w:b/>
          <w:sz w:val="21"/>
        </w:rPr>
      </w:pPr>
      <w:r>
        <w:rPr>
          <w:spacing w:val="-3"/>
          <w:sz w:val="21"/>
        </w:rPr>
        <w:t>绝缘性能试验</w:t>
      </w:r>
      <w:r>
        <w:rPr>
          <w:b/>
          <w:w w:val="99"/>
          <w:sz w:val="21"/>
        </w:rPr>
        <w:t> </w:t>
      </w:r>
    </w:p>
    <w:p>
      <w:pPr>
        <w:pStyle w:val="BodyText"/>
        <w:spacing w:before="2"/>
        <w:rPr>
          <w:b/>
          <w:sz w:val="18"/>
        </w:rPr>
      </w:pPr>
    </w:p>
    <w:p>
      <w:pPr>
        <w:pStyle w:val="BodyText"/>
        <w:spacing w:line="446" w:lineRule="auto"/>
        <w:ind w:left="840" w:right="5605" w:hanging="3"/>
        <w:rPr>
          <w:b/>
        </w:rPr>
      </w:pPr>
      <w:r>
        <w:rPr>
          <w:spacing w:val="-26"/>
        </w:rPr>
        <w:t>按 </w:t>
      </w:r>
      <w:r>
        <w:rPr/>
        <w:t>GB 7000.1—2007</w:t>
      </w:r>
      <w:r>
        <w:rPr>
          <w:spacing w:val="-36"/>
        </w:rPr>
        <w:t> 中 </w:t>
      </w:r>
      <w:r>
        <w:rPr/>
        <w:t>10.2.1</w:t>
      </w:r>
      <w:r>
        <w:rPr>
          <w:spacing w:val="-10"/>
        </w:rPr>
        <w:t> 的规定进行。</w:t>
      </w:r>
      <w:r>
        <w:rPr>
          <w:b/>
        </w:rPr>
        <w:t>6.10 </w:t>
      </w:r>
      <w:r>
        <w:rPr>
          <w:spacing w:val="-3"/>
        </w:rPr>
        <w:t>耐电压性能试验</w:t>
      </w:r>
      <w:r>
        <w:rPr>
          <w:b/>
          <w:w w:val="99"/>
        </w:rPr>
        <w:t> </w:t>
      </w:r>
    </w:p>
    <w:p>
      <w:pPr>
        <w:pStyle w:val="BodyText"/>
        <w:spacing w:line="446" w:lineRule="auto"/>
        <w:ind w:left="840" w:right="5605" w:hanging="3"/>
        <w:rPr>
          <w:b/>
        </w:rPr>
      </w:pPr>
      <w:r>
        <w:rPr>
          <w:spacing w:val="-26"/>
        </w:rPr>
        <w:t>按 </w:t>
      </w:r>
      <w:r>
        <w:rPr/>
        <w:t>GB 7000.1—2007</w:t>
      </w:r>
      <w:r>
        <w:rPr>
          <w:spacing w:val="-36"/>
        </w:rPr>
        <w:t> 中 </w:t>
      </w:r>
      <w:r>
        <w:rPr/>
        <w:t>10.2.2</w:t>
      </w:r>
      <w:r>
        <w:rPr>
          <w:spacing w:val="-10"/>
        </w:rPr>
        <w:t> 的规定进行。</w:t>
      </w:r>
      <w:r>
        <w:rPr>
          <w:b/>
        </w:rPr>
        <w:t>6.11 </w:t>
      </w:r>
      <w:r>
        <w:rPr>
          <w:spacing w:val="-3"/>
        </w:rPr>
        <w:t>低温性能试验</w:t>
      </w:r>
      <w:r>
        <w:rPr>
          <w:b/>
          <w:w w:val="99"/>
        </w:rPr>
        <w:t> </w:t>
      </w:r>
    </w:p>
    <w:p>
      <w:pPr>
        <w:spacing w:after="0" w:line="446" w:lineRule="auto"/>
        <w:sectPr>
          <w:pgSz w:w="11910" w:h="16850"/>
          <w:pgMar w:header="0" w:footer="1239" w:top="1220" w:bottom="1420" w:left="1260" w:right="0"/>
        </w:sectPr>
      </w:pPr>
    </w:p>
    <w:p>
      <w:pPr>
        <w:pStyle w:val="BodyText"/>
        <w:spacing w:line="446" w:lineRule="auto" w:before="47"/>
        <w:ind w:left="840" w:right="3819" w:hanging="3"/>
      </w:pPr>
      <w:r>
        <w:rPr>
          <w:spacing w:val="-17"/>
        </w:rPr>
        <w:t>按表 </w:t>
      </w:r>
      <w:r>
        <w:rPr/>
        <w:t>5</w:t>
      </w:r>
      <w:r>
        <w:rPr>
          <w:spacing w:val="-14"/>
        </w:rPr>
        <w:t> 中低温试验条件及 </w:t>
      </w:r>
      <w:r>
        <w:rPr/>
        <w:t>GB/T 2423.1—2008</w:t>
      </w:r>
      <w:r>
        <w:rPr>
          <w:spacing w:val="-10"/>
        </w:rPr>
        <w:t> 的规定进行试验。</w:t>
      </w:r>
      <w:r>
        <w:rPr>
          <w:b/>
        </w:rPr>
        <w:t>6.12 </w:t>
      </w:r>
      <w:r>
        <w:rPr>
          <w:spacing w:val="-3"/>
        </w:rPr>
        <w:t>高温性能试验</w:t>
      </w:r>
      <w:r>
        <w:rPr/>
        <w:t> </w:t>
      </w:r>
    </w:p>
    <w:p>
      <w:pPr>
        <w:pStyle w:val="BodyText"/>
        <w:spacing w:line="446" w:lineRule="auto"/>
        <w:ind w:left="840" w:right="3819" w:hanging="3"/>
      </w:pPr>
      <w:r>
        <w:rPr>
          <w:spacing w:val="-17"/>
        </w:rPr>
        <w:t>按表 </w:t>
      </w:r>
      <w:r>
        <w:rPr/>
        <w:t>5</w:t>
      </w:r>
      <w:r>
        <w:rPr>
          <w:spacing w:val="-14"/>
        </w:rPr>
        <w:t> 中高温试验条件及 </w:t>
      </w:r>
      <w:r>
        <w:rPr/>
        <w:t>GB/T 2423.2—2008</w:t>
      </w:r>
      <w:r>
        <w:rPr>
          <w:spacing w:val="-10"/>
        </w:rPr>
        <w:t> 的规定进行试验。</w:t>
      </w:r>
      <w:r>
        <w:rPr>
          <w:b/>
        </w:rPr>
        <w:t>6.13 </w:t>
      </w:r>
      <w:r>
        <w:rPr>
          <w:spacing w:val="-3"/>
        </w:rPr>
        <w:t>交变湿热性能试验</w:t>
      </w:r>
      <w:r>
        <w:rPr/>
        <w:t> </w:t>
      </w:r>
    </w:p>
    <w:p>
      <w:pPr>
        <w:pStyle w:val="BodyText"/>
        <w:spacing w:line="446" w:lineRule="auto"/>
        <w:ind w:left="418" w:right="1611" w:firstLine="419"/>
      </w:pPr>
      <w:r>
        <w:rPr>
          <w:spacing w:val="-17"/>
        </w:rPr>
        <w:t>按表 </w:t>
      </w:r>
      <w:r>
        <w:rPr/>
        <w:t>5</w:t>
      </w:r>
      <w:r>
        <w:rPr>
          <w:spacing w:val="-13"/>
        </w:rPr>
        <w:t> 中交变湿热试验条件及 </w:t>
      </w:r>
      <w:r>
        <w:rPr/>
        <w:t>GB/T 2423.4—2008</w:t>
      </w:r>
      <w:r>
        <w:rPr>
          <w:spacing w:val="-12"/>
        </w:rPr>
        <w:t> 的规定进行试验，试验后再按 </w:t>
      </w:r>
      <w:r>
        <w:rPr/>
        <w:t>6.9</w:t>
      </w:r>
      <w:r>
        <w:rPr>
          <w:spacing w:val="-19"/>
        </w:rPr>
        <w:t> 的方</w:t>
      </w:r>
      <w:r>
        <w:rPr>
          <w:spacing w:val="-3"/>
        </w:rPr>
        <w:t>法进行绝缘性能试验。</w:t>
      </w:r>
      <w:r>
        <w:rPr/>
        <w:t> </w:t>
      </w:r>
    </w:p>
    <w:p>
      <w:pPr>
        <w:spacing w:before="0"/>
        <w:ind w:left="840" w:right="0" w:firstLine="0"/>
        <w:jc w:val="left"/>
        <w:rPr>
          <w:sz w:val="21"/>
        </w:rPr>
      </w:pPr>
      <w:r>
        <w:rPr>
          <w:b/>
          <w:sz w:val="21"/>
        </w:rPr>
        <w:t>6.14</w:t>
      </w:r>
      <w:r>
        <w:rPr>
          <w:b/>
          <w:spacing w:val="8"/>
          <w:sz w:val="21"/>
        </w:rPr>
        <w:t> </w:t>
      </w:r>
      <w:r>
        <w:rPr>
          <w:spacing w:val="-3"/>
          <w:sz w:val="21"/>
        </w:rPr>
        <w:t>低温贮存试验</w:t>
      </w:r>
      <w:r>
        <w:rPr>
          <w:sz w:val="21"/>
        </w:rPr>
        <w:t> </w:t>
      </w:r>
    </w:p>
    <w:p>
      <w:pPr>
        <w:pStyle w:val="BodyText"/>
        <w:spacing w:before="11"/>
        <w:rPr>
          <w:sz w:val="17"/>
        </w:rPr>
      </w:pPr>
    </w:p>
    <w:p>
      <w:pPr>
        <w:pStyle w:val="BodyText"/>
        <w:spacing w:line="446" w:lineRule="auto"/>
        <w:ind w:left="840" w:right="3397" w:hanging="3"/>
        <w:rPr>
          <w:b/>
        </w:rPr>
      </w:pPr>
      <w:r>
        <w:rPr>
          <w:spacing w:val="-17"/>
        </w:rPr>
        <w:t>按表 </w:t>
      </w:r>
      <w:r>
        <w:rPr/>
        <w:t>5</w:t>
      </w:r>
      <w:r>
        <w:rPr>
          <w:spacing w:val="-13"/>
        </w:rPr>
        <w:t> 中低温贮存试验条件及 </w:t>
      </w:r>
      <w:r>
        <w:rPr/>
        <w:t>GB/T</w:t>
      </w:r>
      <w:r>
        <w:rPr>
          <w:spacing w:val="4"/>
        </w:rPr>
        <w:t> </w:t>
      </w:r>
      <w:r>
        <w:rPr/>
        <w:t>2423.1—2008</w:t>
      </w:r>
      <w:r>
        <w:rPr>
          <w:spacing w:val="-10"/>
        </w:rPr>
        <w:t> 的规定进行试验。</w:t>
      </w:r>
      <w:r>
        <w:rPr>
          <w:b/>
        </w:rPr>
        <w:t>6.15</w:t>
      </w:r>
      <w:r>
        <w:rPr>
          <w:b/>
          <w:spacing w:val="-1"/>
        </w:rPr>
        <w:t> </w:t>
      </w:r>
      <w:r>
        <w:rPr>
          <w:spacing w:val="-3"/>
        </w:rPr>
        <w:t>高温贮存试验</w:t>
      </w:r>
      <w:r>
        <w:rPr>
          <w:b/>
          <w:w w:val="99"/>
        </w:rPr>
        <w:t> </w:t>
      </w:r>
    </w:p>
    <w:p>
      <w:pPr>
        <w:pStyle w:val="BodyText"/>
        <w:spacing w:line="446" w:lineRule="auto"/>
        <w:ind w:left="840" w:right="3397" w:hanging="3"/>
      </w:pPr>
      <w:r>
        <w:rPr>
          <w:spacing w:val="-17"/>
        </w:rPr>
        <w:t>按表 </w:t>
      </w:r>
      <w:r>
        <w:rPr/>
        <w:t>5</w:t>
      </w:r>
      <w:r>
        <w:rPr>
          <w:spacing w:val="-13"/>
        </w:rPr>
        <w:t> 中高温贮存试验条件及 </w:t>
      </w:r>
      <w:r>
        <w:rPr/>
        <w:t>GB/T</w:t>
      </w:r>
      <w:r>
        <w:rPr>
          <w:spacing w:val="4"/>
        </w:rPr>
        <w:t> </w:t>
      </w:r>
      <w:r>
        <w:rPr/>
        <w:t>2423.2—2008</w:t>
      </w:r>
      <w:r>
        <w:rPr>
          <w:spacing w:val="-10"/>
        </w:rPr>
        <w:t> 的规定进行试验。</w:t>
      </w:r>
      <w:r>
        <w:rPr>
          <w:b/>
        </w:rPr>
        <w:t>6.16 </w:t>
      </w:r>
      <w:r>
        <w:rPr>
          <w:spacing w:val="-3"/>
        </w:rPr>
        <w:t>抗振动性能试验</w:t>
      </w:r>
      <w:r>
        <w:rPr/>
        <w:t> </w:t>
      </w:r>
    </w:p>
    <w:p>
      <w:pPr>
        <w:pStyle w:val="BodyText"/>
        <w:spacing w:line="446" w:lineRule="auto"/>
        <w:ind w:left="840" w:right="2873" w:hanging="3"/>
      </w:pPr>
      <w:r>
        <w:rPr>
          <w:spacing w:val="-17"/>
        </w:rPr>
        <w:t>按表 </w:t>
      </w:r>
      <w:r>
        <w:rPr/>
        <w:t>6</w:t>
      </w:r>
      <w:r>
        <w:rPr>
          <w:spacing w:val="-15"/>
        </w:rPr>
        <w:t> 中振动</w:t>
      </w:r>
      <w:r>
        <w:rPr>
          <w:spacing w:val="-3"/>
        </w:rPr>
        <w:t>（</w:t>
      </w:r>
      <w:r>
        <w:rPr>
          <w:spacing w:val="-2"/>
        </w:rPr>
        <w:t>正弦</w:t>
      </w:r>
      <w:r>
        <w:rPr/>
        <w:t>）</w:t>
      </w:r>
      <w:r>
        <w:rPr>
          <w:spacing w:val="-11"/>
        </w:rPr>
        <w:t>试验条件及 </w:t>
      </w:r>
      <w:r>
        <w:rPr/>
        <w:t>GB/T</w:t>
      </w:r>
      <w:r>
        <w:rPr>
          <w:spacing w:val="3"/>
        </w:rPr>
        <w:t> </w:t>
      </w:r>
      <w:r>
        <w:rPr/>
        <w:t>2423.10—2008</w:t>
      </w:r>
      <w:r>
        <w:rPr>
          <w:spacing w:val="-9"/>
        </w:rPr>
        <w:t> 的规定进行试验。</w:t>
      </w:r>
      <w:r>
        <w:rPr>
          <w:b/>
        </w:rPr>
        <w:t>6.17</w:t>
      </w:r>
      <w:r>
        <w:rPr>
          <w:b/>
          <w:spacing w:val="-1"/>
        </w:rPr>
        <w:t> </w:t>
      </w:r>
      <w:r>
        <w:rPr>
          <w:spacing w:val="-3"/>
        </w:rPr>
        <w:t>抗跌落性能试验</w:t>
      </w:r>
      <w:r>
        <w:rPr/>
        <w:t> </w:t>
      </w:r>
    </w:p>
    <w:p>
      <w:pPr>
        <w:pStyle w:val="BodyText"/>
        <w:spacing w:line="446" w:lineRule="auto"/>
        <w:ind w:left="840" w:right="1925" w:hanging="3"/>
      </w:pPr>
      <w:r>
        <w:rPr>
          <w:spacing w:val="-14"/>
        </w:rPr>
        <w:t>按照表 </w:t>
      </w:r>
      <w:r>
        <w:rPr/>
        <w:t>6</w:t>
      </w:r>
      <w:r>
        <w:rPr>
          <w:spacing w:val="-12"/>
        </w:rPr>
        <w:t> 规定的试验高度，将灯具沿 </w:t>
      </w:r>
      <w:r>
        <w:rPr/>
        <w:t>X</w:t>
      </w:r>
      <w:r>
        <w:rPr>
          <w:spacing w:val="-3"/>
        </w:rPr>
        <w:t>、</w:t>
      </w:r>
      <w:r>
        <w:rPr/>
        <w:t>Y、Z</w:t>
      </w:r>
      <w:r>
        <w:rPr>
          <w:spacing w:val="-9"/>
        </w:rPr>
        <w:t> 三个轴方向各跌落到混凝土地面一次。</w:t>
      </w:r>
      <w:r>
        <w:rPr>
          <w:b/>
          <w:spacing w:val="-9"/>
        </w:rPr>
        <w:t>6.18</w:t>
      </w:r>
      <w:r>
        <w:rPr>
          <w:b/>
          <w:spacing w:val="-1"/>
        </w:rPr>
        <w:t> </w:t>
      </w:r>
      <w:r>
        <w:rPr>
          <w:spacing w:val="-3"/>
        </w:rPr>
        <w:t>开关可靠性试验</w:t>
      </w:r>
      <w:r>
        <w:rPr/>
        <w:t> </w:t>
      </w:r>
    </w:p>
    <w:p>
      <w:pPr>
        <w:pStyle w:val="BodyText"/>
        <w:spacing w:line="446" w:lineRule="auto"/>
        <w:ind w:left="840" w:right="4237" w:hanging="3"/>
      </w:pPr>
      <w:r>
        <w:rPr/>
        <w:t>在断开电源条件下，对灯具开关进行连续 50000 次的操作。</w:t>
      </w:r>
      <w:r>
        <w:rPr>
          <w:b/>
        </w:rPr>
        <w:t>6.19 </w:t>
      </w:r>
      <w:r>
        <w:rPr/>
        <w:t>外壳防护等级试验 </w:t>
      </w:r>
    </w:p>
    <w:p>
      <w:pPr>
        <w:pStyle w:val="BodyText"/>
        <w:spacing w:line="267" w:lineRule="exact"/>
        <w:ind w:left="838"/>
      </w:pPr>
      <w:r>
        <w:rPr/>
        <w:t>灯具的外壳防护试验按 GB 4208—2008 第 13 章、第 14 章规定的方法进行试验。 </w:t>
      </w:r>
    </w:p>
    <w:p>
      <w:pPr>
        <w:pStyle w:val="BodyText"/>
        <w:spacing w:before="8"/>
        <w:rPr>
          <w:sz w:val="15"/>
        </w:rPr>
      </w:pPr>
    </w:p>
    <w:p>
      <w:pPr>
        <w:pStyle w:val="Heading4"/>
      </w:pPr>
      <w:r>
        <w:rPr/>
        <w:t>7 检验规则</w:t>
      </w:r>
      <w:r>
        <w:rPr>
          <w:w w:val="99"/>
        </w:rPr>
        <w:t> </w:t>
      </w:r>
    </w:p>
    <w:p>
      <w:pPr>
        <w:pStyle w:val="BodyText"/>
        <w:spacing w:before="4"/>
        <w:rPr>
          <w:b/>
          <w:sz w:val="17"/>
        </w:rPr>
      </w:pPr>
    </w:p>
    <w:p>
      <w:pPr>
        <w:spacing w:before="0"/>
        <w:ind w:left="840" w:right="0" w:firstLine="0"/>
        <w:jc w:val="left"/>
        <w:rPr>
          <w:b/>
          <w:sz w:val="21"/>
        </w:rPr>
      </w:pPr>
      <w:r>
        <w:rPr>
          <w:b/>
          <w:sz w:val="21"/>
        </w:rPr>
        <w:t>7.1</w:t>
      </w:r>
      <w:r>
        <w:rPr>
          <w:b/>
          <w:spacing w:val="5"/>
          <w:sz w:val="21"/>
        </w:rPr>
        <w:t> </w:t>
      </w:r>
      <w:r>
        <w:rPr>
          <w:spacing w:val="-3"/>
          <w:sz w:val="21"/>
        </w:rPr>
        <w:t>检验分类</w:t>
      </w:r>
      <w:r>
        <w:rPr>
          <w:b/>
          <w:w w:val="99"/>
          <w:sz w:val="21"/>
        </w:rPr>
        <w:t> </w:t>
      </w:r>
    </w:p>
    <w:p>
      <w:pPr>
        <w:pStyle w:val="BodyText"/>
        <w:rPr>
          <w:b/>
          <w:sz w:val="18"/>
        </w:rPr>
      </w:pPr>
    </w:p>
    <w:p>
      <w:pPr>
        <w:pStyle w:val="BodyText"/>
        <w:spacing w:line="446" w:lineRule="auto"/>
        <w:ind w:left="840" w:right="6129" w:hanging="3"/>
      </w:pPr>
      <w:r>
        <w:rPr>
          <w:spacing w:val="-3"/>
        </w:rPr>
        <w:t>灯具的检验分为出厂检验和形式检验。</w:t>
      </w:r>
      <w:r>
        <w:rPr>
          <w:b/>
        </w:rPr>
        <w:t>7.2</w:t>
      </w:r>
      <w:r>
        <w:rPr>
          <w:b/>
          <w:spacing w:val="1"/>
        </w:rPr>
        <w:t> </w:t>
      </w:r>
      <w:r>
        <w:rPr>
          <w:spacing w:val="-3"/>
        </w:rPr>
        <w:t>出厂检验</w:t>
      </w:r>
      <w:r>
        <w:rPr/>
        <w:t> </w:t>
      </w:r>
    </w:p>
    <w:p>
      <w:pPr>
        <w:pStyle w:val="BodyText"/>
        <w:ind w:left="840"/>
      </w:pPr>
      <w:r>
        <w:rPr>
          <w:b/>
        </w:rPr>
        <w:t>7.2.1 </w:t>
      </w:r>
      <w:r>
        <w:rPr/>
        <w:t>出厂检验以每 100 件（套）为一批，不足 100 件（套）以实际生产量为一批，每批</w:t>
      </w:r>
    </w:p>
    <w:p>
      <w:pPr>
        <w:pStyle w:val="BodyText"/>
        <w:spacing w:before="12"/>
        <w:rPr>
          <w:sz w:val="17"/>
        </w:rPr>
      </w:pPr>
    </w:p>
    <w:p>
      <w:pPr>
        <w:pStyle w:val="BodyText"/>
        <w:ind w:left="418"/>
        <w:jc w:val="both"/>
      </w:pPr>
      <w:r>
        <w:rPr/>
        <w:t>随机抽取 2 件（套) 提交检验。 </w:t>
      </w:r>
    </w:p>
    <w:p>
      <w:pPr>
        <w:pStyle w:val="BodyText"/>
        <w:spacing w:before="2"/>
        <w:rPr>
          <w:sz w:val="18"/>
        </w:rPr>
      </w:pPr>
    </w:p>
    <w:p>
      <w:pPr>
        <w:pStyle w:val="BodyText"/>
        <w:spacing w:line="446" w:lineRule="auto"/>
        <w:ind w:left="418" w:right="1556" w:firstLine="422"/>
        <w:jc w:val="both"/>
      </w:pPr>
      <w:r>
        <w:rPr>
          <w:b/>
        </w:rPr>
        <w:t>7.2.2 </w:t>
      </w:r>
      <w:r>
        <w:rPr>
          <w:spacing w:val="-7"/>
        </w:rPr>
        <w:t>出厂检验项目应至少包括 </w:t>
      </w:r>
      <w:r>
        <w:rPr/>
        <w:t>5.3.1</w:t>
      </w:r>
      <w:r>
        <w:rPr>
          <w:spacing w:val="-3"/>
        </w:rPr>
        <w:t>、</w:t>
      </w:r>
      <w:r>
        <w:rPr/>
        <w:t>5.3.2、5.3.3、5.3.5、5.3.7、5.3.8、5.3.12。</w:t>
      </w:r>
      <w:r>
        <w:rPr>
          <w:spacing w:val="-3"/>
        </w:rPr>
        <w:t>如有一项不合格，则对不合格项进行加倍抽样检验，若仍出现不合格，则该批灯具产品出厂检验为不合格。</w:t>
      </w:r>
      <w:r>
        <w:rPr/>
        <w:t> </w:t>
      </w:r>
    </w:p>
    <w:p>
      <w:pPr>
        <w:pStyle w:val="ListParagraph"/>
        <w:numPr>
          <w:ilvl w:val="1"/>
          <w:numId w:val="139"/>
        </w:numPr>
        <w:tabs>
          <w:tab w:pos="1159" w:val="left" w:leader="none"/>
        </w:tabs>
        <w:spacing w:line="268" w:lineRule="exact" w:before="0" w:after="0"/>
        <w:ind w:left="1158" w:right="0" w:hanging="319"/>
        <w:jc w:val="left"/>
        <w:rPr>
          <w:b/>
          <w:sz w:val="21"/>
        </w:rPr>
      </w:pPr>
      <w:r>
        <w:rPr>
          <w:spacing w:val="-3"/>
          <w:sz w:val="21"/>
        </w:rPr>
        <w:t>形式检验</w:t>
      </w:r>
      <w:r>
        <w:rPr>
          <w:b/>
          <w:w w:val="99"/>
          <w:sz w:val="21"/>
        </w:rPr>
        <w:t> </w:t>
      </w:r>
    </w:p>
    <w:p>
      <w:pPr>
        <w:spacing w:after="0" w:line="268" w:lineRule="exact"/>
        <w:jc w:val="left"/>
        <w:rPr>
          <w:sz w:val="21"/>
        </w:rPr>
        <w:sectPr>
          <w:pgSz w:w="11910" w:h="16850"/>
          <w:pgMar w:header="0" w:footer="1239" w:top="1220" w:bottom="1420" w:left="1260" w:right="0"/>
        </w:sectPr>
      </w:pPr>
    </w:p>
    <w:p>
      <w:pPr>
        <w:pStyle w:val="ListParagraph"/>
        <w:numPr>
          <w:ilvl w:val="2"/>
          <w:numId w:val="139"/>
        </w:numPr>
        <w:tabs>
          <w:tab w:pos="1371" w:val="left" w:leader="none"/>
        </w:tabs>
        <w:spacing w:line="446" w:lineRule="auto" w:before="47" w:after="0"/>
        <w:ind w:left="838" w:right="5493" w:firstLine="2"/>
        <w:jc w:val="left"/>
        <w:rPr>
          <w:sz w:val="21"/>
        </w:rPr>
      </w:pPr>
      <w:r>
        <w:rPr>
          <w:spacing w:val="-3"/>
          <w:sz w:val="21"/>
        </w:rPr>
        <w:t>有下列情况之一时，应进行形式检验： </w:t>
      </w:r>
      <w:r>
        <w:rPr>
          <w:sz w:val="21"/>
        </w:rPr>
        <w:t>a)</w:t>
      </w:r>
      <w:r>
        <w:rPr>
          <w:spacing w:val="-3"/>
          <w:sz w:val="21"/>
        </w:rPr>
        <w:t> 新产品试制定型及老产品转厂生产；</w:t>
      </w:r>
      <w:r>
        <w:rPr>
          <w:sz w:val="21"/>
        </w:rPr>
        <w:t> </w:t>
      </w:r>
    </w:p>
    <w:p>
      <w:pPr>
        <w:pStyle w:val="BodyText"/>
        <w:spacing w:line="446" w:lineRule="auto"/>
        <w:ind w:left="838" w:right="2977"/>
      </w:pPr>
      <w:r>
        <w:rPr/>
        <w:t>b)</w:t>
      </w:r>
      <w:r>
        <w:rPr>
          <w:spacing w:val="-3"/>
        </w:rPr>
        <w:t> 定型产品材料、设计、结构、工艺方面有较大改变可能影响产品性能； c) 产品停产一年恢复生产； </w:t>
      </w:r>
    </w:p>
    <w:p>
      <w:pPr>
        <w:pStyle w:val="BodyText"/>
        <w:ind w:left="838"/>
      </w:pPr>
      <w:r>
        <w:rPr/>
        <w:t>d) 发生重大质量事故。 </w:t>
      </w:r>
    </w:p>
    <w:p>
      <w:pPr>
        <w:pStyle w:val="BodyText"/>
        <w:spacing w:before="10"/>
        <w:rPr>
          <w:sz w:val="17"/>
        </w:rPr>
      </w:pPr>
    </w:p>
    <w:p>
      <w:pPr>
        <w:pStyle w:val="ListParagraph"/>
        <w:numPr>
          <w:ilvl w:val="2"/>
          <w:numId w:val="139"/>
        </w:numPr>
        <w:tabs>
          <w:tab w:pos="1371" w:val="left" w:leader="none"/>
        </w:tabs>
        <w:spacing w:line="240" w:lineRule="auto" w:before="0" w:after="0"/>
        <w:ind w:left="1370" w:right="0" w:hanging="531"/>
        <w:jc w:val="left"/>
        <w:rPr>
          <w:sz w:val="21"/>
        </w:rPr>
      </w:pPr>
      <w:r>
        <w:rPr>
          <w:spacing w:val="-5"/>
          <w:sz w:val="21"/>
        </w:rPr>
        <w:t>形式检验的样品应从出厂检验合格的产品中随机抽取，抽样数量为 </w:t>
      </w:r>
      <w:r>
        <w:rPr>
          <w:sz w:val="21"/>
        </w:rPr>
        <w:t>3</w:t>
      </w:r>
      <w:r>
        <w:rPr>
          <w:spacing w:val="-27"/>
          <w:sz w:val="21"/>
        </w:rPr>
        <w:t> 件</w:t>
      </w:r>
      <w:r>
        <w:rPr>
          <w:sz w:val="21"/>
        </w:rPr>
        <w:t>（</w:t>
      </w:r>
      <w:r>
        <w:rPr>
          <w:spacing w:val="-3"/>
          <w:sz w:val="21"/>
        </w:rPr>
        <w:t>套</w:t>
      </w:r>
      <w:r>
        <w:rPr>
          <w:sz w:val="21"/>
        </w:rPr>
        <w:t>）</w:t>
      </w:r>
      <w:r>
        <w:rPr>
          <w:spacing w:val="-3"/>
          <w:sz w:val="21"/>
        </w:rPr>
        <w:t>。</w:t>
      </w:r>
      <w:r>
        <w:rPr>
          <w:sz w:val="21"/>
        </w:rPr>
        <w:t> </w:t>
      </w:r>
    </w:p>
    <w:p>
      <w:pPr>
        <w:pStyle w:val="BodyText"/>
        <w:spacing w:before="2"/>
        <w:rPr>
          <w:sz w:val="18"/>
        </w:rPr>
      </w:pPr>
    </w:p>
    <w:p>
      <w:pPr>
        <w:pStyle w:val="ListParagraph"/>
        <w:numPr>
          <w:ilvl w:val="2"/>
          <w:numId w:val="139"/>
        </w:numPr>
        <w:tabs>
          <w:tab w:pos="1371" w:val="left" w:leader="none"/>
        </w:tabs>
        <w:spacing w:line="240" w:lineRule="auto" w:before="0" w:after="0"/>
        <w:ind w:left="1370" w:right="0" w:hanging="531"/>
        <w:jc w:val="left"/>
        <w:rPr>
          <w:sz w:val="21"/>
        </w:rPr>
      </w:pPr>
      <w:r>
        <w:rPr>
          <w:spacing w:val="-7"/>
          <w:sz w:val="21"/>
        </w:rPr>
        <w:t>形式检验项目和试验程序应符合表 </w:t>
      </w:r>
      <w:r>
        <w:rPr>
          <w:sz w:val="21"/>
        </w:rPr>
        <w:t>7</w:t>
      </w:r>
      <w:r>
        <w:rPr>
          <w:spacing w:val="-12"/>
          <w:sz w:val="21"/>
        </w:rPr>
        <w:t> 的规定。 </w:t>
      </w:r>
    </w:p>
    <w:p>
      <w:pPr>
        <w:pStyle w:val="BodyText"/>
        <w:spacing w:before="8"/>
        <w:rPr>
          <w:sz w:val="8"/>
        </w:rPr>
      </w:pPr>
      <w:r>
        <w:rPr/>
        <w:pict>
          <v:group style="position:absolute;margin-left:88.150002pt;margin-top:7.4875pt;width:375.55pt;height:435.15pt;mso-position-horizontal-relative:page;mso-position-vertical-relative:paragraph;z-index:-251612160;mso-wrap-distance-left:0;mso-wrap-distance-right:0" coordorigin="1763,150" coordsize="7511,8703">
            <v:shape style="position:absolute;left:1993;top:149;width:7184;height:6870" type="#_x0000_t75" stroked="false">
              <v:imagedata r:id="rId79" o:title=""/>
            </v:shape>
            <v:shape style="position:absolute;left:1763;top:7013;width:7511;height:1839" type="#_x0000_t75" stroked="false">
              <v:imagedata r:id="rId80" o:title=""/>
            </v:shape>
            <w10:wrap type="topAndBottom"/>
          </v:group>
        </w:pict>
      </w:r>
    </w:p>
    <w:p>
      <w:pPr>
        <w:pStyle w:val="ListParagraph"/>
        <w:numPr>
          <w:ilvl w:val="2"/>
          <w:numId w:val="139"/>
        </w:numPr>
        <w:tabs>
          <w:tab w:pos="1371" w:val="left" w:leader="none"/>
        </w:tabs>
        <w:spacing w:line="240" w:lineRule="auto" w:before="163" w:after="0"/>
        <w:ind w:left="1370" w:right="0" w:hanging="531"/>
        <w:jc w:val="left"/>
        <w:rPr>
          <w:sz w:val="21"/>
        </w:rPr>
      </w:pPr>
      <w:r>
        <w:rPr>
          <w:spacing w:val="-3"/>
          <w:sz w:val="21"/>
        </w:rPr>
        <w:t>形式检验项目结果全部符合本标准规定时，判形式检验为合格。</w:t>
      </w:r>
      <w:r>
        <w:rPr>
          <w:sz w:val="21"/>
        </w:rPr>
        <w:t> </w:t>
      </w:r>
    </w:p>
    <w:p>
      <w:pPr>
        <w:pStyle w:val="BodyText"/>
        <w:spacing w:before="11"/>
        <w:rPr>
          <w:sz w:val="15"/>
        </w:rPr>
      </w:pPr>
    </w:p>
    <w:p>
      <w:pPr>
        <w:pStyle w:val="Heading4"/>
      </w:pPr>
      <w:r>
        <w:rPr/>
        <w:t>8 标志、包装、运输和贮存</w:t>
      </w:r>
      <w:r>
        <w:rPr>
          <w:w w:val="99"/>
        </w:rPr>
        <w:t> </w:t>
      </w:r>
    </w:p>
    <w:p>
      <w:pPr>
        <w:pStyle w:val="BodyText"/>
        <w:spacing w:before="4"/>
        <w:rPr>
          <w:b/>
          <w:sz w:val="17"/>
        </w:rPr>
      </w:pPr>
    </w:p>
    <w:p>
      <w:pPr>
        <w:pStyle w:val="ListParagraph"/>
        <w:numPr>
          <w:ilvl w:val="1"/>
          <w:numId w:val="140"/>
        </w:numPr>
        <w:tabs>
          <w:tab w:pos="1159" w:val="left" w:leader="none"/>
        </w:tabs>
        <w:spacing w:line="240" w:lineRule="auto" w:before="0" w:after="0"/>
        <w:ind w:left="1158" w:right="0" w:hanging="319"/>
        <w:jc w:val="left"/>
        <w:rPr>
          <w:sz w:val="21"/>
        </w:rPr>
      </w:pPr>
      <w:r>
        <w:rPr>
          <w:spacing w:val="-3"/>
          <w:sz w:val="21"/>
        </w:rPr>
        <w:t>标志</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40"/>
        </w:numPr>
        <w:tabs>
          <w:tab w:pos="1370" w:val="left" w:leader="none"/>
        </w:tabs>
        <w:spacing w:line="240" w:lineRule="auto" w:before="47" w:after="0"/>
        <w:ind w:left="1369" w:right="0" w:hanging="530"/>
        <w:jc w:val="left"/>
        <w:rPr>
          <w:sz w:val="21"/>
        </w:rPr>
      </w:pPr>
      <w:r>
        <w:rPr>
          <w:spacing w:val="-3"/>
          <w:sz w:val="21"/>
        </w:rPr>
        <w:t>灯具标志</w:t>
      </w:r>
      <w:r>
        <w:rPr>
          <w:sz w:val="21"/>
        </w:rPr>
        <w:t> </w:t>
      </w:r>
    </w:p>
    <w:p>
      <w:pPr>
        <w:pStyle w:val="BodyText"/>
        <w:rPr>
          <w:sz w:val="18"/>
        </w:rPr>
      </w:pPr>
    </w:p>
    <w:p>
      <w:pPr>
        <w:pStyle w:val="BodyText"/>
        <w:spacing w:line="446" w:lineRule="auto"/>
        <w:ind w:left="838" w:right="3397"/>
      </w:pPr>
      <w:r>
        <w:rPr/>
        <w:t>灯具的明显位置处应有清晰且与灯具为一体的标志，包括以下内容： a) 产品名称； </w:t>
      </w:r>
    </w:p>
    <w:p>
      <w:pPr>
        <w:pStyle w:val="ListParagraph"/>
        <w:numPr>
          <w:ilvl w:val="0"/>
          <w:numId w:val="141"/>
        </w:numPr>
        <w:tabs>
          <w:tab w:pos="1051" w:val="left" w:leader="none"/>
        </w:tabs>
        <w:spacing w:line="240" w:lineRule="auto" w:before="0" w:after="0"/>
        <w:ind w:left="1050" w:right="0" w:hanging="213"/>
        <w:jc w:val="left"/>
        <w:rPr>
          <w:sz w:val="21"/>
        </w:rPr>
      </w:pPr>
      <w:r>
        <w:rPr>
          <w:spacing w:val="-3"/>
          <w:sz w:val="21"/>
        </w:rPr>
        <w:t>产品型号；</w:t>
      </w:r>
      <w:r>
        <w:rPr>
          <w:sz w:val="21"/>
        </w:rPr>
        <w:t> </w:t>
      </w:r>
    </w:p>
    <w:p>
      <w:pPr>
        <w:pStyle w:val="BodyText"/>
        <w:spacing w:before="12"/>
        <w:rPr>
          <w:sz w:val="17"/>
        </w:rPr>
      </w:pPr>
    </w:p>
    <w:p>
      <w:pPr>
        <w:pStyle w:val="ListParagraph"/>
        <w:numPr>
          <w:ilvl w:val="0"/>
          <w:numId w:val="141"/>
        </w:numPr>
        <w:tabs>
          <w:tab w:pos="1051" w:val="left" w:leader="none"/>
        </w:tabs>
        <w:spacing w:line="446" w:lineRule="auto" w:before="0" w:after="0"/>
        <w:ind w:left="838" w:right="3085" w:firstLine="0"/>
        <w:jc w:val="left"/>
        <w:rPr>
          <w:sz w:val="21"/>
        </w:rPr>
      </w:pPr>
      <w:r>
        <w:rPr>
          <w:spacing w:val="-3"/>
          <w:sz w:val="21"/>
        </w:rPr>
        <w:t>防护等级（</w:t>
      </w:r>
      <w:r>
        <w:rPr>
          <w:spacing w:val="-13"/>
          <w:sz w:val="21"/>
        </w:rPr>
        <w:t>等级为 </w:t>
      </w:r>
      <w:r>
        <w:rPr>
          <w:sz w:val="21"/>
        </w:rPr>
        <w:t>IP</w:t>
      </w:r>
      <w:r>
        <w:rPr>
          <w:spacing w:val="11"/>
          <w:sz w:val="21"/>
        </w:rPr>
        <w:t> </w:t>
      </w:r>
      <w:r>
        <w:rPr>
          <w:sz w:val="21"/>
        </w:rPr>
        <w:t>66/IP</w:t>
      </w:r>
      <w:r>
        <w:rPr>
          <w:spacing w:val="10"/>
          <w:sz w:val="21"/>
        </w:rPr>
        <w:t> </w:t>
      </w:r>
      <w:r>
        <w:rPr>
          <w:sz w:val="21"/>
        </w:rPr>
        <w:t>68</w:t>
      </w:r>
      <w:r>
        <w:rPr>
          <w:spacing w:val="-8"/>
          <w:sz w:val="21"/>
        </w:rPr>
        <w:t> 时，需标注潜水深度和持续时间</w:t>
      </w:r>
      <w:r>
        <w:rPr>
          <w:sz w:val="21"/>
        </w:rPr>
        <w:t>）； d)</w:t>
      </w:r>
      <w:r>
        <w:rPr>
          <w:spacing w:val="-3"/>
          <w:sz w:val="21"/>
        </w:rPr>
        <w:t> 防爆标志；</w:t>
      </w:r>
      <w:r>
        <w:rPr>
          <w:sz w:val="21"/>
        </w:rPr>
        <w:t> </w:t>
      </w:r>
    </w:p>
    <w:p>
      <w:pPr>
        <w:pStyle w:val="BodyText"/>
        <w:spacing w:line="446" w:lineRule="auto"/>
        <w:ind w:left="838" w:right="8126"/>
      </w:pPr>
      <w:r>
        <w:rPr/>
        <w:t>e)</w:t>
      </w:r>
      <w:r>
        <w:rPr>
          <w:spacing w:val="-1"/>
        </w:rPr>
        <w:t>  生产日期； </w:t>
      </w:r>
      <w:r>
        <w:rPr/>
        <w:t>f)</w:t>
      </w:r>
      <w:r>
        <w:rPr>
          <w:spacing w:val="-2"/>
        </w:rPr>
        <w:t>  产品编号； </w:t>
      </w:r>
      <w:r>
        <w:rPr/>
        <w:t>g)</w:t>
      </w:r>
      <w:r>
        <w:rPr>
          <w:spacing w:val="-3"/>
        </w:rPr>
        <w:t> 生产厂名称。</w:t>
      </w:r>
      <w:r>
        <w:rPr/>
        <w:t> </w:t>
      </w:r>
    </w:p>
    <w:p>
      <w:pPr>
        <w:pStyle w:val="ListParagraph"/>
        <w:numPr>
          <w:ilvl w:val="2"/>
          <w:numId w:val="140"/>
        </w:numPr>
        <w:tabs>
          <w:tab w:pos="1370" w:val="left" w:leader="none"/>
        </w:tabs>
        <w:spacing w:line="268" w:lineRule="exact" w:before="0" w:after="0"/>
        <w:ind w:left="1369" w:right="0" w:hanging="530"/>
        <w:jc w:val="left"/>
        <w:rPr>
          <w:sz w:val="21"/>
        </w:rPr>
      </w:pPr>
      <w:r>
        <w:rPr>
          <w:spacing w:val="-3"/>
          <w:sz w:val="21"/>
        </w:rPr>
        <w:t>充电器标志</w:t>
      </w:r>
      <w:r>
        <w:rPr>
          <w:sz w:val="21"/>
        </w:rPr>
        <w:t> </w:t>
      </w:r>
    </w:p>
    <w:p>
      <w:pPr>
        <w:pStyle w:val="BodyText"/>
        <w:rPr>
          <w:sz w:val="18"/>
        </w:rPr>
      </w:pPr>
    </w:p>
    <w:p>
      <w:pPr>
        <w:pStyle w:val="BodyText"/>
        <w:spacing w:line="446" w:lineRule="auto"/>
        <w:ind w:left="838" w:right="4026"/>
      </w:pPr>
      <w:r>
        <w:rPr/>
        <w:t>充电器的明显位置处应有清晰、耐久的标志，包括以下内容： a) 产品名称； </w:t>
      </w:r>
    </w:p>
    <w:p>
      <w:pPr>
        <w:pStyle w:val="ListParagraph"/>
        <w:numPr>
          <w:ilvl w:val="0"/>
          <w:numId w:val="142"/>
        </w:numPr>
        <w:tabs>
          <w:tab w:pos="1051" w:val="left" w:leader="none"/>
        </w:tabs>
        <w:spacing w:line="240" w:lineRule="auto" w:before="0" w:after="0"/>
        <w:ind w:left="1050" w:right="0" w:hanging="213"/>
        <w:jc w:val="left"/>
        <w:rPr>
          <w:sz w:val="21"/>
        </w:rPr>
      </w:pPr>
      <w:r>
        <w:rPr>
          <w:spacing w:val="-3"/>
          <w:sz w:val="21"/>
        </w:rPr>
        <w:t>产品型号；</w:t>
      </w:r>
      <w:r>
        <w:rPr>
          <w:sz w:val="21"/>
        </w:rPr>
        <w:t> </w:t>
      </w:r>
    </w:p>
    <w:p>
      <w:pPr>
        <w:pStyle w:val="BodyText"/>
        <w:spacing w:before="12"/>
        <w:rPr>
          <w:sz w:val="17"/>
        </w:rPr>
      </w:pPr>
    </w:p>
    <w:p>
      <w:pPr>
        <w:pStyle w:val="ListParagraph"/>
        <w:numPr>
          <w:ilvl w:val="0"/>
          <w:numId w:val="142"/>
        </w:numPr>
        <w:tabs>
          <w:tab w:pos="1051" w:val="left" w:leader="none"/>
        </w:tabs>
        <w:spacing w:line="446" w:lineRule="auto" w:before="0" w:after="0"/>
        <w:ind w:left="838" w:right="7914" w:firstLine="0"/>
        <w:jc w:val="left"/>
        <w:rPr>
          <w:sz w:val="21"/>
        </w:rPr>
      </w:pPr>
      <w:r>
        <w:rPr>
          <w:spacing w:val="-3"/>
          <w:sz w:val="21"/>
        </w:rPr>
        <w:t>适配灯具型号； </w:t>
      </w:r>
      <w:r>
        <w:rPr>
          <w:sz w:val="21"/>
        </w:rPr>
        <w:t>d)</w:t>
      </w:r>
      <w:r>
        <w:rPr>
          <w:spacing w:val="-3"/>
          <w:sz w:val="21"/>
        </w:rPr>
        <w:t> 生产日期；</w:t>
      </w:r>
      <w:r>
        <w:rPr>
          <w:sz w:val="21"/>
        </w:rPr>
        <w:t> </w:t>
      </w:r>
    </w:p>
    <w:p>
      <w:pPr>
        <w:pStyle w:val="BodyText"/>
        <w:spacing w:line="446" w:lineRule="auto"/>
        <w:ind w:left="838" w:right="8126"/>
      </w:pPr>
      <w:r>
        <w:rPr/>
        <w:t>e)</w:t>
      </w:r>
      <w:r>
        <w:rPr>
          <w:spacing w:val="-1"/>
        </w:rPr>
        <w:t>  产品编号； </w:t>
      </w:r>
      <w:r>
        <w:rPr/>
        <w:t>f)</w:t>
      </w:r>
      <w:r>
        <w:rPr>
          <w:spacing w:val="-3"/>
        </w:rPr>
        <w:t> 生产厂名称。</w:t>
      </w:r>
      <w:r>
        <w:rPr>
          <w:b/>
        </w:rPr>
        <w:t>8.1.3</w:t>
      </w:r>
      <w:r>
        <w:rPr>
          <w:b/>
          <w:spacing w:val="3"/>
        </w:rPr>
        <w:t> </w:t>
      </w:r>
      <w:r>
        <w:rPr>
          <w:spacing w:val="-3"/>
        </w:rPr>
        <w:t>包装标志</w:t>
      </w:r>
      <w:r>
        <w:rPr/>
        <w:t> </w:t>
      </w:r>
    </w:p>
    <w:p>
      <w:pPr>
        <w:pStyle w:val="BodyText"/>
        <w:spacing w:line="446" w:lineRule="auto"/>
        <w:ind w:left="838" w:right="4026"/>
      </w:pPr>
      <w:r>
        <w:rPr/>
        <w:t>包装箱上应印明显、清晰、耐久的文字标志，包括以下内容： a) 产品名称、型号； </w:t>
      </w:r>
    </w:p>
    <w:p>
      <w:pPr>
        <w:pStyle w:val="BodyText"/>
        <w:spacing w:line="446" w:lineRule="auto"/>
        <w:ind w:left="838" w:right="8330"/>
      </w:pPr>
      <w:r>
        <w:rPr/>
        <w:t>b) 产品数量； c) 生产日期； </w:t>
      </w:r>
    </w:p>
    <w:p>
      <w:pPr>
        <w:pStyle w:val="BodyText"/>
        <w:spacing w:line="446" w:lineRule="auto"/>
        <w:ind w:left="838" w:right="7705"/>
        <w:jc w:val="both"/>
      </w:pPr>
      <w:r>
        <w:rPr/>
        <w:t>d) 生产厂名及地址； e) 外形尺寸及重量； f) 执行标准号； </w:t>
      </w:r>
    </w:p>
    <w:p>
      <w:pPr>
        <w:pStyle w:val="BodyText"/>
        <w:spacing w:line="446" w:lineRule="auto"/>
        <w:ind w:left="840" w:right="2350" w:hanging="3"/>
        <w:jc w:val="both"/>
      </w:pPr>
      <w:r>
        <w:rPr/>
        <w:t>g) 向上、防潮、小心轻放等标志，并应符合 GB/T 191—2008 有关标记的规定。</w:t>
      </w:r>
      <w:r>
        <w:rPr>
          <w:b/>
        </w:rPr>
        <w:t>8.2 </w:t>
      </w:r>
      <w:r>
        <w:rPr/>
        <w:t>包装 </w:t>
      </w:r>
    </w:p>
    <w:p>
      <w:pPr>
        <w:spacing w:after="0" w:line="446" w:lineRule="auto"/>
        <w:jc w:val="both"/>
        <w:sectPr>
          <w:pgSz w:w="11910" w:h="16850"/>
          <w:pgMar w:header="0" w:footer="1239" w:top="1220" w:bottom="1420" w:left="1260" w:right="0"/>
        </w:sectPr>
      </w:pPr>
    </w:p>
    <w:p>
      <w:pPr>
        <w:pStyle w:val="BodyText"/>
        <w:spacing w:line="446" w:lineRule="auto" w:before="47"/>
        <w:ind w:left="418" w:right="1609" w:firstLine="419"/>
      </w:pPr>
      <w:r>
        <w:rPr/>
        <w:t>灯具及附件的内包装为塑料袋包装，再用纸盒或塑料泡沫包装，并附有产品合格证和使用说明书。 </w:t>
      </w:r>
    </w:p>
    <w:p>
      <w:pPr>
        <w:spacing w:line="267" w:lineRule="exact" w:before="0"/>
        <w:ind w:left="840" w:right="0" w:firstLine="0"/>
        <w:jc w:val="left"/>
        <w:rPr>
          <w:sz w:val="21"/>
        </w:rPr>
      </w:pPr>
      <w:r>
        <w:rPr>
          <w:b/>
          <w:sz w:val="21"/>
        </w:rPr>
        <w:t>8.3</w:t>
      </w:r>
      <w:r>
        <w:rPr>
          <w:b/>
          <w:spacing w:val="3"/>
          <w:sz w:val="21"/>
        </w:rPr>
        <w:t> </w:t>
      </w:r>
      <w:r>
        <w:rPr>
          <w:spacing w:val="-3"/>
          <w:sz w:val="21"/>
        </w:rPr>
        <w:t>运输</w:t>
      </w:r>
      <w:r>
        <w:rPr>
          <w:sz w:val="21"/>
        </w:rPr>
        <w:t> </w:t>
      </w:r>
    </w:p>
    <w:p>
      <w:pPr>
        <w:pStyle w:val="BodyText"/>
        <w:spacing w:before="2"/>
        <w:rPr>
          <w:sz w:val="18"/>
        </w:rPr>
      </w:pPr>
    </w:p>
    <w:p>
      <w:pPr>
        <w:pStyle w:val="BodyText"/>
        <w:spacing w:line="446" w:lineRule="auto"/>
        <w:ind w:left="840" w:right="5288" w:hanging="3"/>
      </w:pPr>
      <w:r>
        <w:rPr>
          <w:spacing w:val="-3"/>
        </w:rPr>
        <w:t>产品在运输过程中，应避免重压、碰撞、雨淋。</w:t>
      </w:r>
      <w:r>
        <w:rPr>
          <w:b/>
        </w:rPr>
        <w:t>8.4</w:t>
      </w:r>
      <w:r>
        <w:rPr>
          <w:b/>
          <w:spacing w:val="-1"/>
        </w:rPr>
        <w:t> </w:t>
      </w:r>
      <w:r>
        <w:rPr>
          <w:spacing w:val="-3"/>
        </w:rPr>
        <w:t>贮存</w:t>
      </w:r>
      <w:r>
        <w:rPr/>
        <w:t> </w:t>
      </w:r>
    </w:p>
    <w:p>
      <w:pPr>
        <w:pStyle w:val="BodyText"/>
        <w:spacing w:line="267" w:lineRule="exact"/>
        <w:ind w:left="838"/>
      </w:pPr>
      <w:r>
        <w:rPr/>
        <w:t>灯具应存放在通风、干燥、清洁及无腐蚀性化学品的场所。 </w:t>
      </w:r>
    </w:p>
    <w:p>
      <w:pPr>
        <w:pStyle w:val="BodyText"/>
        <w:spacing w:before="2"/>
        <w:rPr>
          <w:sz w:val="18"/>
        </w:rPr>
      </w:pPr>
    </w:p>
    <w:p>
      <w:pPr>
        <w:pStyle w:val="BodyText"/>
        <w:ind w:left="838"/>
      </w:pPr>
      <w:r>
        <w:rPr>
          <w:w w:val="100"/>
        </w:rPr>
        <w:t> </w:t>
      </w:r>
    </w:p>
    <w:p>
      <w:pPr>
        <w:spacing w:after="0"/>
        <w:sectPr>
          <w:pgSz w:w="11910" w:h="16850"/>
          <w:pgMar w:header="0" w:footer="1239" w:top="1220" w:bottom="1420" w:left="1260" w:right="0"/>
        </w:sectPr>
      </w:pPr>
    </w:p>
    <w:p>
      <w:pPr>
        <w:spacing w:before="37"/>
        <w:ind w:left="2773" w:right="0" w:firstLine="0"/>
        <w:jc w:val="left"/>
        <w:rPr>
          <w:b/>
          <w:sz w:val="28"/>
        </w:rPr>
      </w:pPr>
      <w:bookmarkStart w:name="_bookmark8" w:id="9"/>
      <w:bookmarkEnd w:id="9"/>
      <w:r>
        <w:rPr/>
      </w:r>
      <w:r>
        <w:rPr>
          <w:b/>
          <w:sz w:val="28"/>
        </w:rPr>
        <w:t>消防车 第 1 部分：通用技术条件</w:t>
      </w:r>
      <w:r>
        <w:rPr>
          <w:b/>
          <w:w w:val="99"/>
          <w:sz w:val="28"/>
        </w:rPr>
        <w:t> </w:t>
      </w:r>
    </w:p>
    <w:p>
      <w:pPr>
        <w:pStyle w:val="BodyText"/>
        <w:rPr>
          <w:b/>
          <w:sz w:val="20"/>
        </w:rPr>
      </w:pPr>
    </w:p>
    <w:p>
      <w:pPr>
        <w:pStyle w:val="BodyText"/>
        <w:spacing w:before="10"/>
        <w:rPr>
          <w:b/>
          <w:sz w:val="14"/>
        </w:rPr>
      </w:pPr>
    </w:p>
    <w:p>
      <w:pPr>
        <w:pStyle w:val="Heading4"/>
        <w:spacing w:before="67"/>
      </w:pPr>
      <w:r>
        <w:rPr/>
        <w:t>1 范围</w:t>
      </w:r>
      <w:r>
        <w:rPr>
          <w:w w:val="99"/>
        </w:rPr>
        <w:t> </w:t>
      </w:r>
    </w:p>
    <w:p>
      <w:pPr>
        <w:pStyle w:val="BodyText"/>
        <w:spacing w:before="3"/>
        <w:rPr>
          <w:b/>
          <w:sz w:val="17"/>
        </w:rPr>
      </w:pPr>
    </w:p>
    <w:p>
      <w:pPr>
        <w:pStyle w:val="BodyText"/>
        <w:spacing w:line="446" w:lineRule="auto" w:before="1"/>
        <w:ind w:left="838" w:right="1558"/>
      </w:pPr>
      <w:r>
        <w:rPr/>
        <w:t>GB 7956</w:t>
      </w:r>
      <w:r>
        <w:rPr>
          <w:spacing w:val="-8"/>
        </w:rPr>
        <w:t> 的本部分规定了消防车的术语和定义、分类及型号、通用技术要求和试验方法。</w:t>
      </w:r>
      <w:r>
        <w:rPr>
          <w:spacing w:val="-3"/>
        </w:rPr>
        <w:t>本部分适用于各类消防车。 </w:t>
      </w:r>
    </w:p>
    <w:p>
      <w:pPr>
        <w:pStyle w:val="Heading4"/>
        <w:spacing w:line="277" w:lineRule="exact"/>
      </w:pPr>
      <w:r>
        <w:rPr/>
        <w:t>2 规范性引用文件</w:t>
      </w:r>
      <w:r>
        <w:rPr>
          <w:w w:val="99"/>
        </w:rPr>
        <w:t> </w:t>
      </w:r>
    </w:p>
    <w:p>
      <w:pPr>
        <w:pStyle w:val="BodyText"/>
        <w:spacing w:before="3"/>
        <w:rPr>
          <w:b/>
          <w:sz w:val="17"/>
        </w:rPr>
      </w:pPr>
    </w:p>
    <w:p>
      <w:pPr>
        <w:pStyle w:val="BodyText"/>
        <w:spacing w:line="446" w:lineRule="auto" w:before="1"/>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spacing w:line="446" w:lineRule="auto"/>
        <w:ind w:left="838" w:right="4657"/>
      </w:pPr>
      <w:r>
        <w:rPr/>
        <w:t>GB 1589—2004 道路车辆外廓尺寸、轴荷及质量限值GB/T 3181  漆膜颜色标准 </w:t>
      </w:r>
    </w:p>
    <w:p>
      <w:pPr>
        <w:pStyle w:val="BodyText"/>
        <w:spacing w:line="446" w:lineRule="auto"/>
        <w:ind w:left="838" w:right="3817"/>
      </w:pPr>
      <w:r>
        <w:rPr/>
        <w:t>GB 4785—2007   汽车及挂车外部照明和光信号装置的安装规定GB 6245 消 防 泵 </w:t>
      </w:r>
    </w:p>
    <w:p>
      <w:pPr>
        <w:pStyle w:val="BodyText"/>
        <w:spacing w:line="446" w:lineRule="auto"/>
        <w:ind w:left="838" w:right="5709"/>
      </w:pPr>
      <w:r>
        <w:rPr/>
        <w:t>CB 7258—2012   机动车运行安全技术条件GB 8108 车用电子警报器 </w:t>
      </w:r>
    </w:p>
    <w:p>
      <w:pPr>
        <w:pStyle w:val="BodyText"/>
        <w:spacing w:line="446" w:lineRule="auto"/>
        <w:ind w:left="838" w:right="4866"/>
      </w:pPr>
      <w:r>
        <w:rPr/>
        <w:t>GB/T 8170   数值修约规则与极限数值的表示和判定GB 8410 汽车内饰材料的燃烧特性 </w:t>
      </w:r>
    </w:p>
    <w:p>
      <w:pPr>
        <w:pStyle w:val="BodyText"/>
        <w:spacing w:line="267" w:lineRule="exact"/>
        <w:ind w:left="838"/>
      </w:pPr>
      <w:r>
        <w:rPr/>
        <w:t>CB 9656 汽车安全玻璃 </w:t>
      </w:r>
    </w:p>
    <w:p>
      <w:pPr>
        <w:pStyle w:val="BodyText"/>
        <w:spacing w:before="12"/>
        <w:rPr>
          <w:sz w:val="17"/>
        </w:rPr>
      </w:pPr>
    </w:p>
    <w:p>
      <w:pPr>
        <w:pStyle w:val="BodyText"/>
        <w:spacing w:line="446" w:lineRule="auto"/>
        <w:ind w:left="838" w:right="5814"/>
      </w:pPr>
      <w:r>
        <w:rPr/>
        <w:t>GB</w:t>
      </w:r>
      <w:r>
        <w:rPr>
          <w:spacing w:val="64"/>
        </w:rPr>
        <w:t> </w:t>
      </w:r>
      <w:r>
        <w:rPr/>
        <w:t>11567.1   汽车和挂车侧面防护要求GB</w:t>
      </w:r>
      <w:r>
        <w:rPr>
          <w:spacing w:val="3"/>
        </w:rPr>
        <w:t> </w:t>
      </w:r>
      <w:r>
        <w:rPr/>
        <w:t>11567.2</w:t>
      </w:r>
      <w:r>
        <w:rPr>
          <w:spacing w:val="-3"/>
        </w:rPr>
        <w:t> 汽车和挂车后下部防护要求</w:t>
      </w:r>
      <w:r>
        <w:rPr/>
        <w:t>GB/T</w:t>
      </w:r>
      <w:r>
        <w:rPr>
          <w:spacing w:val="1"/>
        </w:rPr>
        <w:t> </w:t>
      </w:r>
      <w:r>
        <w:rPr/>
        <w:t>12534</w:t>
      </w:r>
      <w:r>
        <w:rPr>
          <w:spacing w:val="-3"/>
        </w:rPr>
        <w:t> 汽车道路试验方法通则</w:t>
      </w:r>
      <w:r>
        <w:rPr/>
        <w:t> </w:t>
      </w:r>
    </w:p>
    <w:p>
      <w:pPr>
        <w:pStyle w:val="BodyText"/>
        <w:spacing w:line="446" w:lineRule="auto"/>
        <w:ind w:left="838" w:right="5291"/>
      </w:pPr>
      <w:r>
        <w:rPr/>
        <w:t>GB/T 12538  两轴道路车辆  重心位置的测定GB/T 12539 汽车爬陡坡试验方法 </w:t>
      </w:r>
    </w:p>
    <w:p>
      <w:pPr>
        <w:pStyle w:val="BodyText"/>
        <w:spacing w:line="446" w:lineRule="auto"/>
        <w:ind w:left="838" w:right="6234"/>
      </w:pPr>
      <w:r>
        <w:rPr/>
        <w:t>GB/T 12543 汽车加速性能试验方法GB/T 12673 汽车主要尺寸测量方法 </w:t>
      </w:r>
    </w:p>
    <w:p>
      <w:pPr>
        <w:pStyle w:val="BodyText"/>
        <w:ind w:left="838"/>
      </w:pPr>
      <w:r>
        <w:rPr/>
        <w:t>CB/T 12674 汽车质量（重量） 参数测定方法 </w:t>
      </w:r>
    </w:p>
    <w:p>
      <w:pPr>
        <w:pStyle w:val="BodyText"/>
        <w:spacing w:before="9"/>
        <w:rPr>
          <w:sz w:val="17"/>
        </w:rPr>
      </w:pPr>
    </w:p>
    <w:p>
      <w:pPr>
        <w:pStyle w:val="BodyText"/>
        <w:spacing w:line="448" w:lineRule="auto"/>
        <w:ind w:left="838" w:right="4239"/>
      </w:pPr>
      <w:r>
        <w:rPr/>
        <w:t>CB 12676—1999   汽车制功系统   结构、性能和试验方法GB 13057 客车座椅及其车辆固定件的强度 </w:t>
      </w:r>
    </w:p>
    <w:p>
      <w:pPr>
        <w:pStyle w:val="BodyText"/>
        <w:spacing w:line="264" w:lineRule="exact"/>
        <w:ind w:left="838"/>
      </w:pPr>
      <w:r>
        <w:rPr/>
        <w:t>GB 13954 警车、消防车、救护车、工程救险车标志灯具 </w:t>
      </w:r>
    </w:p>
    <w:p>
      <w:pPr>
        <w:spacing w:after="0" w:line="264" w:lineRule="exact"/>
        <w:sectPr>
          <w:pgSz w:w="11910" w:h="16850"/>
          <w:pgMar w:header="0" w:footer="1239" w:top="1160" w:bottom="1420" w:left="1260" w:right="0"/>
        </w:sectPr>
      </w:pPr>
    </w:p>
    <w:p>
      <w:pPr>
        <w:pStyle w:val="BodyText"/>
        <w:spacing w:before="47"/>
        <w:ind w:left="838"/>
      </w:pPr>
      <w:r>
        <w:rPr/>
        <w:t>GB/T</w:t>
      </w:r>
      <w:r>
        <w:rPr>
          <w:spacing w:val="4"/>
        </w:rPr>
        <w:t> </w:t>
      </w:r>
      <w:r>
        <w:rPr/>
        <w:t>14172</w:t>
      </w:r>
      <w:r>
        <w:rPr>
          <w:spacing w:val="-3"/>
        </w:rPr>
        <w:t>   汽车静侧翻稳定性台架试验方法 </w:t>
      </w:r>
    </w:p>
    <w:p>
      <w:pPr>
        <w:pStyle w:val="BodyText"/>
        <w:rPr>
          <w:sz w:val="18"/>
        </w:rPr>
      </w:pPr>
    </w:p>
    <w:p>
      <w:pPr>
        <w:pStyle w:val="BodyText"/>
        <w:spacing w:line="446" w:lineRule="auto"/>
        <w:ind w:left="838" w:right="4343"/>
      </w:pPr>
      <w:r>
        <w:rPr/>
        <w:t>GB</w:t>
      </w:r>
      <w:r>
        <w:rPr>
          <w:spacing w:val="2"/>
        </w:rPr>
        <w:t> </w:t>
      </w:r>
      <w:r>
        <w:rPr/>
        <w:t>15084</w:t>
      </w:r>
      <w:r>
        <w:rPr>
          <w:spacing w:val="-3"/>
        </w:rPr>
        <w:t>   机动车辆   间接视野装置   性能和安装要求</w:t>
      </w:r>
      <w:r>
        <w:rPr/>
        <w:t>GB</w:t>
      </w:r>
      <w:r>
        <w:rPr>
          <w:spacing w:val="1"/>
        </w:rPr>
        <w:t> </w:t>
      </w:r>
      <w:r>
        <w:rPr/>
        <w:t>15741</w:t>
      </w:r>
      <w:r>
        <w:rPr>
          <w:spacing w:val="-3"/>
        </w:rPr>
        <w:t> 汽车和挂车号牌板（</w:t>
      </w:r>
      <w:r>
        <w:rPr/>
        <w:t>架</w:t>
      </w:r>
      <w:r>
        <w:rPr>
          <w:spacing w:val="-3"/>
        </w:rPr>
        <w:t>）</w:t>
      </w:r>
      <w:r>
        <w:rPr>
          <w:spacing w:val="-2"/>
        </w:rPr>
        <w:t>及其位置 </w:t>
      </w:r>
    </w:p>
    <w:p>
      <w:pPr>
        <w:pStyle w:val="BodyText"/>
        <w:spacing w:line="446" w:lineRule="auto"/>
        <w:ind w:left="838" w:right="5394"/>
      </w:pPr>
      <w:r>
        <w:rPr/>
        <w:t>GB</w:t>
      </w:r>
      <w:r>
        <w:rPr>
          <w:spacing w:val="1"/>
        </w:rPr>
        <w:t> </w:t>
      </w:r>
      <w:r>
        <w:rPr/>
        <w:t>16735</w:t>
      </w:r>
      <w:r>
        <w:rPr>
          <w:spacing w:val="-3"/>
        </w:rPr>
        <w:t> 道路车辆  车辆识别代号</w:t>
      </w:r>
      <w:r>
        <w:rPr/>
        <w:t>（VIN） CB/T</w:t>
      </w:r>
      <w:r>
        <w:rPr>
          <w:spacing w:val="1"/>
        </w:rPr>
        <w:t> </w:t>
      </w:r>
      <w:r>
        <w:rPr/>
        <w:t>18411</w:t>
      </w:r>
      <w:r>
        <w:rPr>
          <w:spacing w:val="6"/>
        </w:rPr>
        <w:t> 道路车辆  产品标牌</w:t>
      </w:r>
      <w:r>
        <w:rPr/>
        <w:t> </w:t>
      </w:r>
    </w:p>
    <w:p>
      <w:pPr>
        <w:pStyle w:val="BodyText"/>
        <w:spacing w:line="267" w:lineRule="exact"/>
        <w:ind w:left="838"/>
      </w:pPr>
      <w:r>
        <w:rPr/>
        <w:t>GB 20182 商用车驾驶室外部凸出物 </w:t>
      </w:r>
    </w:p>
    <w:p>
      <w:pPr>
        <w:pStyle w:val="BodyText"/>
        <w:spacing w:before="2"/>
        <w:rPr>
          <w:sz w:val="18"/>
        </w:rPr>
      </w:pPr>
    </w:p>
    <w:p>
      <w:pPr>
        <w:pStyle w:val="BodyText"/>
        <w:spacing w:line="446" w:lineRule="auto"/>
        <w:ind w:left="838" w:right="5917"/>
      </w:pPr>
      <w:r>
        <w:rPr/>
        <w:t>GB 23254   货车及挂车   车身反光标识GB 50313 消防通信指挥系统设计规范 </w:t>
      </w:r>
    </w:p>
    <w:p>
      <w:pPr>
        <w:pStyle w:val="BodyText"/>
        <w:spacing w:line="267" w:lineRule="exact"/>
        <w:ind w:left="838"/>
      </w:pPr>
      <w:r>
        <w:rPr/>
        <w:t>JB/T 5943 工程机械 焊接件通用技术条件 </w:t>
      </w:r>
    </w:p>
    <w:p>
      <w:pPr>
        <w:pStyle w:val="BodyText"/>
        <w:spacing w:before="2"/>
        <w:rPr>
          <w:sz w:val="18"/>
        </w:rPr>
      </w:pPr>
    </w:p>
    <w:p>
      <w:pPr>
        <w:pStyle w:val="BodyText"/>
        <w:ind w:left="838"/>
      </w:pPr>
      <w:r>
        <w:rPr/>
        <w:t>汽车产品外部标识管理办法（国家发展和改革委员会[2005]第 38 号） </w:t>
      </w:r>
    </w:p>
    <w:p>
      <w:pPr>
        <w:pStyle w:val="BodyText"/>
        <w:spacing w:before="8"/>
        <w:rPr>
          <w:sz w:val="15"/>
        </w:rPr>
      </w:pPr>
    </w:p>
    <w:p>
      <w:pPr>
        <w:pStyle w:val="Heading4"/>
      </w:pPr>
      <w:r>
        <w:rPr/>
        <w:t>3 术语和定义</w:t>
      </w:r>
      <w:r>
        <w:rPr>
          <w:w w:val="99"/>
        </w:rPr>
        <w:t> </w:t>
      </w:r>
    </w:p>
    <w:p>
      <w:pPr>
        <w:pStyle w:val="BodyText"/>
        <w:spacing w:before="4"/>
        <w:rPr>
          <w:b/>
          <w:sz w:val="17"/>
        </w:rPr>
      </w:pPr>
    </w:p>
    <w:p>
      <w:pPr>
        <w:pStyle w:val="BodyText"/>
        <w:ind w:left="838"/>
      </w:pPr>
      <w:r>
        <w:rPr/>
        <w:t>下列术语和定义适用于本文件。 </w:t>
      </w:r>
    </w:p>
    <w:p>
      <w:pPr>
        <w:pStyle w:val="BodyText"/>
        <w:spacing w:before="1"/>
        <w:rPr>
          <w:sz w:val="18"/>
        </w:rPr>
      </w:pPr>
    </w:p>
    <w:p>
      <w:pPr>
        <w:pStyle w:val="ListParagraph"/>
        <w:numPr>
          <w:ilvl w:val="1"/>
          <w:numId w:val="143"/>
        </w:numPr>
        <w:tabs>
          <w:tab w:pos="1159" w:val="left" w:leader="none"/>
        </w:tabs>
        <w:spacing w:line="240" w:lineRule="auto" w:before="1" w:after="0"/>
        <w:ind w:left="1158" w:right="0" w:hanging="319"/>
        <w:jc w:val="left"/>
        <w:rPr>
          <w:sz w:val="21"/>
        </w:rPr>
      </w:pPr>
      <w:r>
        <w:rPr>
          <w:spacing w:val="12"/>
          <w:sz w:val="21"/>
        </w:rPr>
        <w:t>灭火类消防车 </w:t>
      </w:r>
      <w:r>
        <w:rPr>
          <w:sz w:val="21"/>
        </w:rPr>
        <w:t>suppression-type</w:t>
      </w:r>
      <w:r>
        <w:rPr>
          <w:spacing w:val="1"/>
          <w:sz w:val="21"/>
        </w:rPr>
        <w:t> </w:t>
      </w:r>
      <w:r>
        <w:rPr>
          <w:sz w:val="21"/>
        </w:rPr>
        <w:t>fighting</w:t>
      </w:r>
      <w:r>
        <w:rPr>
          <w:spacing w:val="-3"/>
          <w:sz w:val="21"/>
        </w:rPr>
        <w:t> </w:t>
      </w:r>
      <w:r>
        <w:rPr>
          <w:sz w:val="21"/>
        </w:rPr>
        <w:t>vehicle </w:t>
      </w:r>
    </w:p>
    <w:p>
      <w:pPr>
        <w:pStyle w:val="BodyText"/>
        <w:spacing w:before="12"/>
        <w:rPr>
          <w:sz w:val="17"/>
        </w:rPr>
      </w:pPr>
    </w:p>
    <w:p>
      <w:pPr>
        <w:pStyle w:val="BodyText"/>
        <w:ind w:left="838"/>
      </w:pPr>
      <w:r>
        <w:rPr/>
        <w:t>主要装备灭火装置，用于扑灭各类火灾的消防车。 </w:t>
      </w:r>
    </w:p>
    <w:p>
      <w:pPr>
        <w:pStyle w:val="BodyText"/>
        <w:rPr>
          <w:sz w:val="18"/>
        </w:rPr>
      </w:pPr>
    </w:p>
    <w:p>
      <w:pPr>
        <w:pStyle w:val="ListParagraph"/>
        <w:numPr>
          <w:ilvl w:val="2"/>
          <w:numId w:val="143"/>
        </w:numPr>
        <w:tabs>
          <w:tab w:pos="1424" w:val="left" w:leader="none"/>
        </w:tabs>
        <w:spacing w:line="240" w:lineRule="auto" w:before="0" w:after="0"/>
        <w:ind w:left="1423" w:right="0" w:hanging="584"/>
        <w:jc w:val="left"/>
        <w:rPr>
          <w:sz w:val="21"/>
        </w:rPr>
      </w:pPr>
      <w:r>
        <w:rPr>
          <w:spacing w:val="14"/>
          <w:sz w:val="21"/>
        </w:rPr>
        <w:t>水罐消防车 </w:t>
      </w:r>
      <w:r>
        <w:rPr>
          <w:sz w:val="21"/>
        </w:rPr>
        <w:t>water tank fire</w:t>
      </w:r>
      <w:r>
        <w:rPr>
          <w:spacing w:val="1"/>
          <w:sz w:val="21"/>
        </w:rPr>
        <w:t> </w:t>
      </w:r>
      <w:r>
        <w:rPr>
          <w:sz w:val="21"/>
        </w:rPr>
        <w:t>fighting vehicle </w:t>
      </w:r>
    </w:p>
    <w:p>
      <w:pPr>
        <w:pStyle w:val="BodyText"/>
        <w:spacing w:before="2"/>
        <w:rPr>
          <w:sz w:val="18"/>
        </w:rPr>
      </w:pPr>
    </w:p>
    <w:p>
      <w:pPr>
        <w:pStyle w:val="BodyText"/>
        <w:ind w:left="838"/>
      </w:pPr>
      <w:r>
        <w:rPr/>
        <w:t>主要装备车用消防泵和水罐，以水为主要灭火剂的消防车。 </w:t>
      </w:r>
    </w:p>
    <w:p>
      <w:pPr>
        <w:pStyle w:val="BodyText"/>
        <w:spacing w:before="12"/>
        <w:rPr>
          <w:sz w:val="17"/>
        </w:rPr>
      </w:pPr>
    </w:p>
    <w:p>
      <w:pPr>
        <w:pStyle w:val="ListParagraph"/>
        <w:numPr>
          <w:ilvl w:val="2"/>
          <w:numId w:val="143"/>
        </w:numPr>
        <w:tabs>
          <w:tab w:pos="1424" w:val="left" w:leader="none"/>
        </w:tabs>
        <w:spacing w:line="240" w:lineRule="auto" w:before="0" w:after="0"/>
        <w:ind w:left="1423" w:right="0" w:hanging="584"/>
        <w:jc w:val="left"/>
        <w:rPr>
          <w:sz w:val="21"/>
        </w:rPr>
      </w:pPr>
      <w:r>
        <w:rPr>
          <w:spacing w:val="14"/>
          <w:sz w:val="21"/>
        </w:rPr>
        <w:t>供水消防车 </w:t>
      </w:r>
      <w:r>
        <w:rPr>
          <w:sz w:val="21"/>
        </w:rPr>
        <w:t>water supply</w:t>
      </w:r>
      <w:r>
        <w:rPr>
          <w:spacing w:val="1"/>
          <w:sz w:val="21"/>
        </w:rPr>
        <w:t> </w:t>
      </w:r>
      <w:r>
        <w:rPr>
          <w:sz w:val="21"/>
        </w:rPr>
        <w:t>fire</w:t>
      </w:r>
      <w:r>
        <w:rPr>
          <w:spacing w:val="-3"/>
          <w:sz w:val="21"/>
        </w:rPr>
        <w:t> </w:t>
      </w:r>
      <w:r>
        <w:rPr>
          <w:sz w:val="21"/>
        </w:rPr>
        <w:t>fighting</w:t>
      </w:r>
      <w:r>
        <w:rPr>
          <w:spacing w:val="-2"/>
          <w:sz w:val="21"/>
        </w:rPr>
        <w:t> </w:t>
      </w:r>
      <w:r>
        <w:rPr>
          <w:sz w:val="21"/>
        </w:rPr>
        <w:t>vehicle </w:t>
      </w:r>
    </w:p>
    <w:p>
      <w:pPr>
        <w:pStyle w:val="BodyText"/>
        <w:spacing w:before="12"/>
        <w:rPr>
          <w:sz w:val="17"/>
        </w:rPr>
      </w:pPr>
    </w:p>
    <w:p>
      <w:pPr>
        <w:pStyle w:val="BodyText"/>
        <w:ind w:left="838"/>
      </w:pPr>
      <w:r>
        <w:rPr/>
        <w:t>主要装备车用消防泵和大容量水罐，用于向灾害现场供水的消防车。 </w:t>
      </w:r>
    </w:p>
    <w:p>
      <w:pPr>
        <w:pStyle w:val="BodyText"/>
        <w:spacing w:before="2"/>
        <w:rPr>
          <w:sz w:val="18"/>
        </w:rPr>
      </w:pPr>
    </w:p>
    <w:p>
      <w:pPr>
        <w:pStyle w:val="ListParagraph"/>
        <w:numPr>
          <w:ilvl w:val="2"/>
          <w:numId w:val="143"/>
        </w:numPr>
        <w:tabs>
          <w:tab w:pos="1424" w:val="left" w:leader="none"/>
        </w:tabs>
        <w:spacing w:line="240" w:lineRule="auto" w:before="0" w:after="0"/>
        <w:ind w:left="1423" w:right="0" w:hanging="584"/>
        <w:jc w:val="left"/>
        <w:rPr>
          <w:sz w:val="21"/>
        </w:rPr>
      </w:pPr>
      <w:r>
        <w:rPr>
          <w:spacing w:val="14"/>
          <w:sz w:val="21"/>
        </w:rPr>
        <w:t>泡沫消防车 </w:t>
      </w:r>
      <w:r>
        <w:rPr>
          <w:sz w:val="21"/>
        </w:rPr>
        <w:t>foam fire</w:t>
      </w:r>
      <w:r>
        <w:rPr>
          <w:spacing w:val="-2"/>
          <w:sz w:val="21"/>
        </w:rPr>
        <w:t> </w:t>
      </w:r>
      <w:r>
        <w:rPr>
          <w:sz w:val="21"/>
        </w:rPr>
        <w:t>fighting</w:t>
      </w:r>
      <w:r>
        <w:rPr>
          <w:spacing w:val="1"/>
          <w:sz w:val="21"/>
        </w:rPr>
        <w:t> </w:t>
      </w:r>
      <w:r>
        <w:rPr>
          <w:sz w:val="21"/>
        </w:rPr>
        <w:t>vehicle </w:t>
      </w:r>
    </w:p>
    <w:p>
      <w:pPr>
        <w:pStyle w:val="BodyText"/>
        <w:rPr>
          <w:sz w:val="18"/>
        </w:rPr>
      </w:pPr>
    </w:p>
    <w:p>
      <w:pPr>
        <w:pStyle w:val="BodyText"/>
        <w:spacing w:before="1"/>
        <w:ind w:left="838"/>
      </w:pPr>
      <w:r>
        <w:rPr/>
        <w:t>主要装备车用消防泵、水罐、泡沫液罐和水-泡沫液混合设备的消防车。 </w:t>
      </w:r>
    </w:p>
    <w:p>
      <w:pPr>
        <w:pStyle w:val="BodyText"/>
        <w:spacing w:before="12"/>
        <w:rPr>
          <w:sz w:val="17"/>
        </w:rPr>
      </w:pPr>
    </w:p>
    <w:p>
      <w:pPr>
        <w:pStyle w:val="ListParagraph"/>
        <w:numPr>
          <w:ilvl w:val="2"/>
          <w:numId w:val="143"/>
        </w:numPr>
        <w:tabs>
          <w:tab w:pos="1424" w:val="left" w:leader="none"/>
        </w:tabs>
        <w:spacing w:line="446" w:lineRule="auto" w:before="0" w:after="0"/>
        <w:ind w:left="838" w:right="4391" w:firstLine="2"/>
        <w:jc w:val="left"/>
        <w:rPr>
          <w:sz w:val="21"/>
        </w:rPr>
      </w:pPr>
      <w:r>
        <w:rPr>
          <w:spacing w:val="14"/>
          <w:sz w:val="21"/>
        </w:rPr>
        <w:t>干粉消防车 </w:t>
      </w:r>
      <w:r>
        <w:rPr>
          <w:sz w:val="21"/>
        </w:rPr>
        <w:t>dry</w:t>
      </w:r>
      <w:r>
        <w:rPr>
          <w:spacing w:val="-3"/>
          <w:sz w:val="21"/>
        </w:rPr>
        <w:t> </w:t>
      </w:r>
      <w:r>
        <w:rPr>
          <w:sz w:val="21"/>
        </w:rPr>
        <w:t>powder</w:t>
      </w:r>
      <w:r>
        <w:rPr>
          <w:spacing w:val="1"/>
          <w:sz w:val="21"/>
        </w:rPr>
        <w:t> </w:t>
      </w:r>
      <w:r>
        <w:rPr>
          <w:sz w:val="21"/>
        </w:rPr>
        <w:t>fire fighting vehicle </w:t>
      </w:r>
      <w:r>
        <w:rPr>
          <w:spacing w:val="-3"/>
          <w:sz w:val="21"/>
        </w:rPr>
        <w:t>主要装备干粉灭火剂罐、成套干粉喷射装置的消防车。  注：干粉灭火剂也称为干粉。</w:t>
      </w:r>
      <w:r>
        <w:rPr>
          <w:sz w:val="21"/>
        </w:rPr>
        <w:t> </w:t>
      </w:r>
    </w:p>
    <w:p>
      <w:pPr>
        <w:pStyle w:val="ListParagraph"/>
        <w:numPr>
          <w:ilvl w:val="2"/>
          <w:numId w:val="143"/>
        </w:numPr>
        <w:tabs>
          <w:tab w:pos="1424" w:val="left" w:leader="none"/>
        </w:tabs>
        <w:spacing w:line="268" w:lineRule="exact" w:before="0" w:after="0"/>
        <w:ind w:left="1423" w:right="0" w:hanging="584"/>
        <w:jc w:val="left"/>
        <w:rPr>
          <w:sz w:val="21"/>
        </w:rPr>
      </w:pPr>
      <w:r>
        <w:rPr>
          <w:spacing w:val="-3"/>
          <w:sz w:val="21"/>
        </w:rPr>
        <w:t>干粉泡沫联用消防车 </w:t>
      </w:r>
      <w:r>
        <w:rPr>
          <w:sz w:val="21"/>
        </w:rPr>
        <w:t>dry</w:t>
      </w:r>
      <w:r>
        <w:rPr>
          <w:spacing w:val="1"/>
          <w:sz w:val="21"/>
        </w:rPr>
        <w:t> </w:t>
      </w:r>
      <w:r>
        <w:rPr>
          <w:sz w:val="21"/>
        </w:rPr>
        <w:t>powder and</w:t>
      </w:r>
      <w:r>
        <w:rPr>
          <w:spacing w:val="1"/>
          <w:sz w:val="21"/>
        </w:rPr>
        <w:t> </w:t>
      </w:r>
      <w:r>
        <w:rPr>
          <w:sz w:val="21"/>
        </w:rPr>
        <w:t>foam fire</w:t>
      </w:r>
      <w:r>
        <w:rPr>
          <w:spacing w:val="1"/>
          <w:sz w:val="21"/>
        </w:rPr>
        <w:t> </w:t>
      </w:r>
      <w:r>
        <w:rPr>
          <w:sz w:val="21"/>
        </w:rPr>
        <w:t>fighting vehicle </w:t>
      </w:r>
    </w:p>
    <w:p>
      <w:pPr>
        <w:pStyle w:val="BodyText"/>
        <w:spacing w:before="2"/>
        <w:rPr>
          <w:sz w:val="18"/>
        </w:rPr>
      </w:pPr>
    </w:p>
    <w:p>
      <w:pPr>
        <w:pStyle w:val="BodyText"/>
        <w:spacing w:line="446" w:lineRule="auto"/>
        <w:ind w:left="418" w:right="1609" w:firstLine="419"/>
      </w:pPr>
      <w:r>
        <w:rPr/>
        <w:t>主要装备车用消防泵、水罐，泡沫液罐和干粉灭火剂罐，可同时或按顺序喷射干粉和泡沫灭火的消防车。 </w:t>
      </w:r>
    </w:p>
    <w:p>
      <w:pPr>
        <w:pStyle w:val="ListParagraph"/>
        <w:numPr>
          <w:ilvl w:val="2"/>
          <w:numId w:val="143"/>
        </w:numPr>
        <w:tabs>
          <w:tab w:pos="1424" w:val="left" w:leader="none"/>
        </w:tabs>
        <w:spacing w:line="267" w:lineRule="exact" w:before="0" w:after="0"/>
        <w:ind w:left="1423" w:right="0" w:hanging="584"/>
        <w:jc w:val="left"/>
        <w:rPr>
          <w:sz w:val="21"/>
        </w:rPr>
      </w:pPr>
      <w:r>
        <w:rPr>
          <w:spacing w:val="8"/>
          <w:sz w:val="21"/>
        </w:rPr>
        <w:t>干粉水联用消防车 </w:t>
      </w:r>
      <w:r>
        <w:rPr>
          <w:sz w:val="21"/>
        </w:rPr>
        <w:t>dry</w:t>
      </w:r>
      <w:r>
        <w:rPr>
          <w:spacing w:val="-2"/>
          <w:sz w:val="21"/>
        </w:rPr>
        <w:t> </w:t>
      </w:r>
      <w:r>
        <w:rPr>
          <w:sz w:val="21"/>
        </w:rPr>
        <w:t>powder</w:t>
      </w:r>
      <w:r>
        <w:rPr>
          <w:spacing w:val="1"/>
          <w:sz w:val="21"/>
        </w:rPr>
        <w:t> </w:t>
      </w:r>
      <w:r>
        <w:rPr>
          <w:sz w:val="21"/>
        </w:rPr>
        <w:t>and</w:t>
      </w:r>
      <w:r>
        <w:rPr>
          <w:spacing w:val="1"/>
          <w:sz w:val="21"/>
        </w:rPr>
        <w:t> </w:t>
      </w:r>
      <w:r>
        <w:rPr>
          <w:sz w:val="21"/>
        </w:rPr>
        <w:t>water</w:t>
      </w:r>
      <w:r>
        <w:rPr>
          <w:spacing w:val="-3"/>
          <w:sz w:val="21"/>
        </w:rPr>
        <w:t> </w:t>
      </w:r>
      <w:r>
        <w:rPr>
          <w:sz w:val="21"/>
        </w:rPr>
        <w:t>fire</w:t>
      </w:r>
      <w:r>
        <w:rPr>
          <w:spacing w:val="1"/>
          <w:sz w:val="21"/>
        </w:rPr>
        <w:t> </w:t>
      </w:r>
      <w:r>
        <w:rPr>
          <w:sz w:val="21"/>
        </w:rPr>
        <w:t>fighting</w:t>
      </w:r>
      <w:r>
        <w:rPr>
          <w:spacing w:val="-2"/>
          <w:sz w:val="21"/>
        </w:rPr>
        <w:t> </w:t>
      </w:r>
      <w:r>
        <w:rPr>
          <w:sz w:val="21"/>
        </w:rPr>
        <w:t>vehicle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817" w:firstLine="419"/>
      </w:pPr>
      <w:r>
        <w:rPr/>
        <w:t>主要装备车用消防泵、水罐和干粉灭火剂罐，可同时或按顺序喷射干粉和水灭火的消防车。 </w:t>
      </w:r>
    </w:p>
    <w:p>
      <w:pPr>
        <w:pStyle w:val="ListParagraph"/>
        <w:numPr>
          <w:ilvl w:val="2"/>
          <w:numId w:val="143"/>
        </w:numPr>
        <w:tabs>
          <w:tab w:pos="1424" w:val="left" w:leader="none"/>
        </w:tabs>
        <w:spacing w:line="267" w:lineRule="exact" w:before="0" w:after="0"/>
        <w:ind w:left="1423" w:right="0" w:hanging="584"/>
        <w:jc w:val="left"/>
        <w:rPr>
          <w:sz w:val="21"/>
        </w:rPr>
      </w:pPr>
      <w:r>
        <w:rPr>
          <w:spacing w:val="14"/>
          <w:sz w:val="21"/>
        </w:rPr>
        <w:t>气体消防车 </w:t>
      </w:r>
      <w:r>
        <w:rPr>
          <w:sz w:val="21"/>
        </w:rPr>
        <w:t>gas</w:t>
      </w:r>
      <w:r>
        <w:rPr>
          <w:spacing w:val="-2"/>
          <w:sz w:val="21"/>
        </w:rPr>
        <w:t> </w:t>
      </w:r>
      <w:r>
        <w:rPr>
          <w:sz w:val="21"/>
        </w:rPr>
        <w:t>fire fighting</w:t>
      </w:r>
      <w:r>
        <w:rPr>
          <w:spacing w:val="-2"/>
          <w:sz w:val="21"/>
        </w:rPr>
        <w:t> </w:t>
      </w:r>
      <w:r>
        <w:rPr>
          <w:sz w:val="21"/>
        </w:rPr>
        <w:t>vehicle </w:t>
      </w:r>
    </w:p>
    <w:p>
      <w:pPr>
        <w:pStyle w:val="BodyText"/>
        <w:spacing w:before="2"/>
        <w:rPr>
          <w:sz w:val="18"/>
        </w:rPr>
      </w:pPr>
    </w:p>
    <w:p>
      <w:pPr>
        <w:pStyle w:val="BodyText"/>
        <w:ind w:left="838"/>
      </w:pPr>
      <w:r>
        <w:rPr/>
        <w:t>主要装备气体灭火剂瓶，以气体为灭火剂的消防车。 </w:t>
      </w:r>
    </w:p>
    <w:p>
      <w:pPr>
        <w:pStyle w:val="BodyText"/>
        <w:rPr>
          <w:sz w:val="18"/>
        </w:rPr>
      </w:pPr>
    </w:p>
    <w:p>
      <w:pPr>
        <w:pStyle w:val="ListParagraph"/>
        <w:numPr>
          <w:ilvl w:val="2"/>
          <w:numId w:val="143"/>
        </w:numPr>
        <w:tabs>
          <w:tab w:pos="1424" w:val="left" w:leader="none"/>
        </w:tabs>
        <w:spacing w:line="240" w:lineRule="auto" w:before="0" w:after="0"/>
        <w:ind w:left="1423" w:right="0" w:hanging="584"/>
        <w:jc w:val="left"/>
        <w:rPr>
          <w:sz w:val="21"/>
        </w:rPr>
      </w:pPr>
      <w:r>
        <w:rPr>
          <w:spacing w:val="-3"/>
          <w:sz w:val="21"/>
        </w:rPr>
        <w:t>压缩空气泡沫消防车 </w:t>
      </w:r>
      <w:r>
        <w:rPr>
          <w:sz w:val="21"/>
        </w:rPr>
        <w:t>compressed air</w:t>
      </w:r>
      <w:r>
        <w:rPr>
          <w:spacing w:val="1"/>
          <w:sz w:val="21"/>
        </w:rPr>
        <w:t> </w:t>
      </w:r>
      <w:r>
        <w:rPr>
          <w:sz w:val="21"/>
        </w:rPr>
        <w:t>foam</w:t>
      </w:r>
      <w:r>
        <w:rPr>
          <w:spacing w:val="1"/>
          <w:sz w:val="21"/>
        </w:rPr>
        <w:t> </w:t>
      </w:r>
      <w:r>
        <w:rPr>
          <w:sz w:val="21"/>
        </w:rPr>
        <w:t>system fire</w:t>
      </w:r>
      <w:r>
        <w:rPr>
          <w:spacing w:val="-2"/>
          <w:sz w:val="21"/>
        </w:rPr>
        <w:t> </w:t>
      </w:r>
      <w:r>
        <w:rPr>
          <w:sz w:val="21"/>
        </w:rPr>
        <w:t>fighting</w:t>
      </w:r>
      <w:r>
        <w:rPr>
          <w:spacing w:val="-3"/>
          <w:sz w:val="21"/>
        </w:rPr>
        <w:t> </w:t>
      </w:r>
      <w:r>
        <w:rPr>
          <w:sz w:val="21"/>
        </w:rPr>
        <w:t>vehicle </w:t>
      </w:r>
    </w:p>
    <w:p>
      <w:pPr>
        <w:pStyle w:val="BodyText"/>
        <w:spacing w:before="12"/>
        <w:rPr>
          <w:sz w:val="17"/>
        </w:rPr>
      </w:pPr>
    </w:p>
    <w:p>
      <w:pPr>
        <w:pStyle w:val="BodyText"/>
        <w:ind w:left="838"/>
      </w:pPr>
      <w:r>
        <w:rPr/>
        <w:t>主要装备水罐和泡沫液罐， 通过压缩空气泡沫系统喷射泡沫灭火的消防车。 </w:t>
      </w:r>
    </w:p>
    <w:p>
      <w:pPr>
        <w:pStyle w:val="BodyText"/>
        <w:spacing w:before="2"/>
        <w:rPr>
          <w:sz w:val="18"/>
        </w:rPr>
      </w:pPr>
    </w:p>
    <w:p>
      <w:pPr>
        <w:pStyle w:val="ListParagraph"/>
        <w:numPr>
          <w:ilvl w:val="2"/>
          <w:numId w:val="143"/>
        </w:numPr>
        <w:tabs>
          <w:tab w:pos="1424" w:val="left" w:leader="none"/>
        </w:tabs>
        <w:spacing w:line="240" w:lineRule="auto" w:before="0" w:after="0"/>
        <w:ind w:left="1423" w:right="0" w:hanging="584"/>
        <w:jc w:val="left"/>
        <w:rPr>
          <w:sz w:val="21"/>
        </w:rPr>
      </w:pPr>
      <w:r>
        <w:rPr>
          <w:spacing w:val="14"/>
          <w:sz w:val="21"/>
        </w:rPr>
        <w:t>泵浦消防车 </w:t>
      </w:r>
      <w:r>
        <w:rPr>
          <w:sz w:val="21"/>
        </w:rPr>
        <w:t>pumper fire</w:t>
      </w:r>
      <w:r>
        <w:rPr>
          <w:spacing w:val="1"/>
          <w:sz w:val="21"/>
        </w:rPr>
        <w:t> </w:t>
      </w:r>
      <w:r>
        <w:rPr>
          <w:sz w:val="21"/>
        </w:rPr>
        <w:t>fighting</w:t>
      </w:r>
      <w:r>
        <w:rPr>
          <w:spacing w:val="-3"/>
          <w:sz w:val="21"/>
        </w:rPr>
        <w:t> </w:t>
      </w:r>
      <w:r>
        <w:rPr>
          <w:sz w:val="21"/>
        </w:rPr>
        <w:t>vehicle </w:t>
      </w:r>
    </w:p>
    <w:p>
      <w:pPr>
        <w:pStyle w:val="BodyText"/>
        <w:rPr>
          <w:sz w:val="18"/>
        </w:rPr>
      </w:pPr>
    </w:p>
    <w:p>
      <w:pPr>
        <w:pStyle w:val="BodyText"/>
        <w:ind w:left="838"/>
      </w:pPr>
      <w:r>
        <w:rPr/>
        <w:t>主要装备消防泵，不配备灭火剂罐，直接利用水源灭火或供水的消防车。 </w:t>
      </w:r>
    </w:p>
    <w:p>
      <w:pPr>
        <w:pStyle w:val="BodyText"/>
        <w:spacing w:before="12"/>
        <w:rPr>
          <w:sz w:val="17"/>
        </w:rPr>
      </w:pPr>
    </w:p>
    <w:p>
      <w:pPr>
        <w:pStyle w:val="ListParagraph"/>
        <w:numPr>
          <w:ilvl w:val="2"/>
          <w:numId w:val="143"/>
        </w:numPr>
        <w:tabs>
          <w:tab w:pos="1530" w:val="left" w:leader="none"/>
        </w:tabs>
        <w:spacing w:line="240" w:lineRule="auto" w:before="0" w:after="0"/>
        <w:ind w:left="1529" w:right="0" w:hanging="690"/>
        <w:jc w:val="left"/>
        <w:rPr>
          <w:sz w:val="21"/>
        </w:rPr>
      </w:pPr>
      <w:r>
        <w:rPr>
          <w:spacing w:val="10"/>
          <w:sz w:val="21"/>
        </w:rPr>
        <w:t>高倍泡沫消防车 </w:t>
      </w:r>
      <w:r>
        <w:rPr>
          <w:sz w:val="21"/>
        </w:rPr>
        <w:t>high-expansion</w:t>
      </w:r>
      <w:r>
        <w:rPr>
          <w:spacing w:val="1"/>
          <w:sz w:val="21"/>
        </w:rPr>
        <w:t> </w:t>
      </w:r>
      <w:r>
        <w:rPr>
          <w:sz w:val="21"/>
        </w:rPr>
        <w:t>foam</w:t>
      </w:r>
      <w:r>
        <w:rPr>
          <w:spacing w:val="-3"/>
          <w:sz w:val="21"/>
        </w:rPr>
        <w:t> </w:t>
      </w:r>
      <w:r>
        <w:rPr>
          <w:sz w:val="21"/>
        </w:rPr>
        <w:t>fire</w:t>
      </w:r>
      <w:r>
        <w:rPr>
          <w:spacing w:val="1"/>
          <w:sz w:val="21"/>
        </w:rPr>
        <w:t> </w:t>
      </w:r>
      <w:r>
        <w:rPr>
          <w:sz w:val="21"/>
        </w:rPr>
        <w:t>fighting</w:t>
      </w:r>
      <w:r>
        <w:rPr>
          <w:spacing w:val="104"/>
          <w:sz w:val="21"/>
        </w:rPr>
        <w:t> </w:t>
      </w:r>
      <w:r>
        <w:rPr>
          <w:sz w:val="21"/>
        </w:rPr>
        <w:t>vehicle </w:t>
      </w:r>
    </w:p>
    <w:p>
      <w:pPr>
        <w:pStyle w:val="BodyText"/>
        <w:spacing w:before="2"/>
        <w:rPr>
          <w:sz w:val="18"/>
        </w:rPr>
      </w:pPr>
    </w:p>
    <w:p>
      <w:pPr>
        <w:pStyle w:val="BodyText"/>
        <w:ind w:left="838"/>
      </w:pPr>
      <w:r>
        <w:rPr/>
        <w:t>主要装备水罐和泡沫液罐，通过高倍数泡沫发生器喷射高倍泡沫灭火的消防车。 </w:t>
      </w:r>
    </w:p>
    <w:p>
      <w:pPr>
        <w:pStyle w:val="BodyText"/>
        <w:rPr>
          <w:sz w:val="18"/>
        </w:rPr>
      </w:pPr>
    </w:p>
    <w:p>
      <w:pPr>
        <w:pStyle w:val="ListParagraph"/>
        <w:numPr>
          <w:ilvl w:val="2"/>
          <w:numId w:val="143"/>
        </w:numPr>
        <w:tabs>
          <w:tab w:pos="1530" w:val="left" w:leader="none"/>
        </w:tabs>
        <w:spacing w:line="240" w:lineRule="auto" w:before="0" w:after="0"/>
        <w:ind w:left="1529" w:right="0" w:hanging="690"/>
        <w:jc w:val="left"/>
        <w:rPr>
          <w:sz w:val="21"/>
        </w:rPr>
      </w:pPr>
      <w:r>
        <w:rPr>
          <w:spacing w:val="14"/>
          <w:sz w:val="21"/>
        </w:rPr>
        <w:t>水雾消防车 </w:t>
      </w:r>
      <w:r>
        <w:rPr>
          <w:sz w:val="21"/>
        </w:rPr>
        <w:t>water mist</w:t>
      </w:r>
      <w:r>
        <w:rPr>
          <w:spacing w:val="1"/>
          <w:sz w:val="21"/>
        </w:rPr>
        <w:t> </w:t>
      </w:r>
      <w:r>
        <w:rPr>
          <w:sz w:val="21"/>
        </w:rPr>
        <w:t>fire</w:t>
      </w:r>
      <w:r>
        <w:rPr>
          <w:spacing w:val="-2"/>
          <w:sz w:val="21"/>
        </w:rPr>
        <w:t> </w:t>
      </w:r>
      <w:r>
        <w:rPr>
          <w:sz w:val="21"/>
        </w:rPr>
        <w:t>fighting vehicle </w:t>
      </w:r>
    </w:p>
    <w:p>
      <w:pPr>
        <w:pStyle w:val="BodyText"/>
        <w:spacing w:before="12"/>
        <w:rPr>
          <w:sz w:val="17"/>
        </w:rPr>
      </w:pPr>
    </w:p>
    <w:p>
      <w:pPr>
        <w:pStyle w:val="BodyText"/>
        <w:ind w:left="838"/>
      </w:pPr>
      <w:r>
        <w:rPr/>
        <w:t>主要装备水罐和水雾灭火装置的消防车。 </w:t>
      </w:r>
    </w:p>
    <w:p>
      <w:pPr>
        <w:pStyle w:val="BodyText"/>
        <w:spacing w:before="2"/>
        <w:rPr>
          <w:sz w:val="18"/>
        </w:rPr>
      </w:pPr>
    </w:p>
    <w:p>
      <w:pPr>
        <w:pStyle w:val="ListParagraph"/>
        <w:numPr>
          <w:ilvl w:val="2"/>
          <w:numId w:val="143"/>
        </w:numPr>
        <w:tabs>
          <w:tab w:pos="1530" w:val="left" w:leader="none"/>
        </w:tabs>
        <w:spacing w:line="240" w:lineRule="auto" w:before="0" w:after="0"/>
        <w:ind w:left="1529" w:right="0" w:hanging="690"/>
        <w:jc w:val="left"/>
        <w:rPr>
          <w:sz w:val="21"/>
        </w:rPr>
      </w:pPr>
      <w:r>
        <w:rPr>
          <w:spacing w:val="10"/>
          <w:sz w:val="21"/>
        </w:rPr>
        <w:t>高压射流消防车 </w:t>
      </w:r>
      <w:r>
        <w:rPr>
          <w:sz w:val="21"/>
        </w:rPr>
        <w:t>high-pressure</w:t>
      </w:r>
      <w:r>
        <w:rPr>
          <w:spacing w:val="1"/>
          <w:sz w:val="21"/>
        </w:rPr>
        <w:t> </w:t>
      </w:r>
      <w:r>
        <w:rPr>
          <w:sz w:val="21"/>
        </w:rPr>
        <w:t>water</w:t>
      </w:r>
      <w:r>
        <w:rPr>
          <w:spacing w:val="-3"/>
          <w:sz w:val="21"/>
        </w:rPr>
        <w:t> </w:t>
      </w:r>
      <w:r>
        <w:rPr>
          <w:sz w:val="21"/>
        </w:rPr>
        <w:t>puncture</w:t>
      </w:r>
      <w:r>
        <w:rPr>
          <w:spacing w:val="1"/>
          <w:sz w:val="21"/>
        </w:rPr>
        <w:t> </w:t>
      </w:r>
      <w:r>
        <w:rPr>
          <w:sz w:val="21"/>
        </w:rPr>
        <w:t>fire</w:t>
      </w:r>
      <w:r>
        <w:rPr>
          <w:spacing w:val="-3"/>
          <w:sz w:val="21"/>
        </w:rPr>
        <w:t> </w:t>
      </w:r>
      <w:r>
        <w:rPr>
          <w:sz w:val="21"/>
        </w:rPr>
        <w:t>fighting</w:t>
      </w:r>
      <w:r>
        <w:rPr>
          <w:spacing w:val="1"/>
          <w:sz w:val="21"/>
        </w:rPr>
        <w:t> </w:t>
      </w:r>
      <w:r>
        <w:rPr>
          <w:sz w:val="21"/>
        </w:rPr>
        <w:t>vehicle </w:t>
      </w:r>
    </w:p>
    <w:p>
      <w:pPr>
        <w:pStyle w:val="BodyText"/>
        <w:rPr>
          <w:sz w:val="18"/>
        </w:rPr>
      </w:pPr>
    </w:p>
    <w:p>
      <w:pPr>
        <w:pStyle w:val="BodyText"/>
        <w:ind w:left="838"/>
      </w:pPr>
      <w:r>
        <w:rPr/>
        <w:t>主要装备水罐和高压射流装置，利用高压水流击穿或切割障碍物灭火的消防车。 </w:t>
      </w:r>
    </w:p>
    <w:p>
      <w:pPr>
        <w:pStyle w:val="BodyText"/>
        <w:spacing w:before="12"/>
        <w:rPr>
          <w:sz w:val="17"/>
        </w:rPr>
      </w:pPr>
    </w:p>
    <w:p>
      <w:pPr>
        <w:pStyle w:val="ListParagraph"/>
        <w:numPr>
          <w:ilvl w:val="2"/>
          <w:numId w:val="143"/>
        </w:numPr>
        <w:tabs>
          <w:tab w:pos="1530" w:val="left" w:leader="none"/>
        </w:tabs>
        <w:spacing w:line="240" w:lineRule="auto" w:before="0" w:after="0"/>
        <w:ind w:left="1529" w:right="0" w:hanging="690"/>
        <w:jc w:val="left"/>
        <w:rPr>
          <w:sz w:val="21"/>
        </w:rPr>
      </w:pPr>
      <w:r>
        <w:rPr>
          <w:spacing w:val="14"/>
          <w:sz w:val="21"/>
        </w:rPr>
        <w:t>机场消防车 </w:t>
      </w:r>
      <w:r>
        <w:rPr>
          <w:sz w:val="21"/>
        </w:rPr>
        <w:t>airport fire</w:t>
      </w:r>
      <w:r>
        <w:rPr>
          <w:spacing w:val="-2"/>
          <w:sz w:val="21"/>
        </w:rPr>
        <w:t> </w:t>
      </w:r>
      <w:r>
        <w:rPr>
          <w:sz w:val="21"/>
        </w:rPr>
        <w:t>fighting</w:t>
      </w:r>
      <w:r>
        <w:rPr>
          <w:spacing w:val="1"/>
          <w:sz w:val="21"/>
        </w:rPr>
        <w:t> </w:t>
      </w:r>
      <w:r>
        <w:rPr>
          <w:sz w:val="21"/>
        </w:rPr>
        <w:t>vehicle </w:t>
      </w:r>
    </w:p>
    <w:p>
      <w:pPr>
        <w:pStyle w:val="BodyText"/>
        <w:spacing w:before="2"/>
        <w:rPr>
          <w:sz w:val="18"/>
        </w:rPr>
      </w:pPr>
    </w:p>
    <w:p>
      <w:pPr>
        <w:pStyle w:val="BodyText"/>
        <w:spacing w:line="446" w:lineRule="auto"/>
        <w:ind w:left="418" w:right="1609" w:firstLine="419"/>
      </w:pPr>
      <w:r>
        <w:rPr/>
        <w:t>主要装备越野底盘、车用消防泵、水罐和泡沫液罐，具有加速快，越野性好，自动控制程度高，可在行驶中喷射灭火剂，用于扑救飞机火灾的消防车。 </w:t>
      </w:r>
    </w:p>
    <w:p>
      <w:pPr>
        <w:pStyle w:val="ListParagraph"/>
        <w:numPr>
          <w:ilvl w:val="2"/>
          <w:numId w:val="143"/>
        </w:numPr>
        <w:tabs>
          <w:tab w:pos="1530" w:val="left" w:leader="none"/>
        </w:tabs>
        <w:spacing w:line="267" w:lineRule="exact" w:before="0" w:after="0"/>
        <w:ind w:left="1529" w:right="0" w:hanging="690"/>
        <w:jc w:val="left"/>
        <w:rPr>
          <w:sz w:val="21"/>
        </w:rPr>
      </w:pPr>
      <w:r>
        <w:rPr>
          <w:spacing w:val="14"/>
          <w:sz w:val="21"/>
        </w:rPr>
        <w:t>涡喷消防车 </w:t>
      </w:r>
      <w:r>
        <w:rPr>
          <w:sz w:val="21"/>
        </w:rPr>
        <w:t>turbo-jet engine</w:t>
      </w:r>
      <w:r>
        <w:rPr>
          <w:spacing w:val="-2"/>
          <w:sz w:val="21"/>
        </w:rPr>
        <w:t> </w:t>
      </w:r>
      <w:r>
        <w:rPr>
          <w:sz w:val="21"/>
        </w:rPr>
        <w:t>fire fighting</w:t>
      </w:r>
      <w:r>
        <w:rPr>
          <w:spacing w:val="1"/>
          <w:sz w:val="21"/>
        </w:rPr>
        <w:t> </w:t>
      </w:r>
      <w:r>
        <w:rPr>
          <w:sz w:val="21"/>
        </w:rPr>
        <w:t>vehicle </w:t>
      </w:r>
    </w:p>
    <w:p>
      <w:pPr>
        <w:pStyle w:val="BodyText"/>
        <w:spacing w:before="2"/>
        <w:rPr>
          <w:sz w:val="18"/>
        </w:rPr>
      </w:pPr>
    </w:p>
    <w:p>
      <w:pPr>
        <w:spacing w:line="446" w:lineRule="auto" w:before="0"/>
        <w:ind w:left="840" w:right="1925" w:hanging="3"/>
        <w:jc w:val="left"/>
        <w:rPr>
          <w:b/>
          <w:sz w:val="21"/>
        </w:rPr>
      </w:pPr>
      <w:r>
        <w:rPr>
          <w:spacing w:val="-3"/>
          <w:sz w:val="21"/>
        </w:rPr>
        <w:t>主要装备车用消防泵、水罐、泡沫液罐，利用燃气涡轮发动机喷射灭火剂的消防车。</w:t>
      </w:r>
      <w:r>
        <w:rPr>
          <w:b/>
          <w:sz w:val="21"/>
        </w:rPr>
        <w:t>3.2</w:t>
      </w:r>
      <w:r>
        <w:rPr>
          <w:b/>
          <w:spacing w:val="12"/>
          <w:sz w:val="21"/>
        </w:rPr>
        <w:t> 举高类消防车 </w:t>
      </w:r>
      <w:r>
        <w:rPr>
          <w:b/>
          <w:sz w:val="21"/>
        </w:rPr>
        <w:t>aerial</w:t>
      </w:r>
      <w:r>
        <w:rPr>
          <w:b/>
          <w:spacing w:val="105"/>
          <w:sz w:val="21"/>
        </w:rPr>
        <w:t> </w:t>
      </w:r>
      <w:r>
        <w:rPr>
          <w:b/>
          <w:sz w:val="21"/>
        </w:rPr>
        <w:t>fire fighting  vehicle </w:t>
      </w:r>
    </w:p>
    <w:p>
      <w:pPr>
        <w:pStyle w:val="BodyText"/>
        <w:spacing w:line="446" w:lineRule="auto"/>
        <w:ind w:left="418" w:right="1609" w:firstLine="419"/>
      </w:pPr>
      <w:r>
        <w:rPr/>
        <w:t>主要装备举高臂架（梯架）、回转机构等部件，用于高空灭火救援、输送物资及消防员的消防军。 </w:t>
      </w:r>
    </w:p>
    <w:p>
      <w:pPr>
        <w:pStyle w:val="ListParagraph"/>
        <w:numPr>
          <w:ilvl w:val="2"/>
          <w:numId w:val="144"/>
        </w:numPr>
        <w:tabs>
          <w:tab w:pos="1424" w:val="left" w:leader="none"/>
        </w:tabs>
        <w:spacing w:line="240" w:lineRule="auto" w:before="0" w:after="0"/>
        <w:ind w:left="1423" w:right="0" w:hanging="584"/>
        <w:jc w:val="left"/>
        <w:rPr>
          <w:sz w:val="21"/>
        </w:rPr>
      </w:pPr>
      <w:r>
        <w:rPr>
          <w:spacing w:val="10"/>
          <w:sz w:val="21"/>
        </w:rPr>
        <w:t>登高平台消防车 </w:t>
      </w:r>
      <w:r>
        <w:rPr>
          <w:sz w:val="21"/>
        </w:rPr>
        <w:t>platform</w:t>
      </w:r>
      <w:r>
        <w:rPr>
          <w:spacing w:val="104"/>
          <w:sz w:val="21"/>
        </w:rPr>
        <w:t> </w:t>
      </w:r>
      <w:r>
        <w:rPr>
          <w:sz w:val="21"/>
        </w:rPr>
        <w:t>fire fighting</w:t>
      </w:r>
      <w:r>
        <w:rPr>
          <w:spacing w:val="1"/>
          <w:sz w:val="21"/>
        </w:rPr>
        <w:t> </w:t>
      </w:r>
      <w:r>
        <w:rPr>
          <w:sz w:val="21"/>
        </w:rPr>
        <w:t>vehicle </w:t>
      </w:r>
    </w:p>
    <w:p>
      <w:pPr>
        <w:pStyle w:val="BodyText"/>
        <w:spacing w:before="10"/>
        <w:rPr>
          <w:sz w:val="17"/>
        </w:rPr>
      </w:pPr>
    </w:p>
    <w:p>
      <w:pPr>
        <w:pStyle w:val="BodyText"/>
        <w:spacing w:line="446" w:lineRule="auto"/>
        <w:ind w:left="418" w:right="1609" w:firstLine="419"/>
      </w:pPr>
      <w:r>
        <w:rPr/>
        <w:t>主要装备曲臂、直曲臂和工作斗，可向高空输送消防人员、灭火物资、救援被困人员或喷射灭火剂的消防车。 </w:t>
      </w:r>
    </w:p>
    <w:p>
      <w:pPr>
        <w:pStyle w:val="ListParagraph"/>
        <w:numPr>
          <w:ilvl w:val="2"/>
          <w:numId w:val="144"/>
        </w:numPr>
        <w:tabs>
          <w:tab w:pos="1424" w:val="left" w:leader="none"/>
        </w:tabs>
        <w:spacing w:line="240" w:lineRule="auto" w:before="1" w:after="0"/>
        <w:ind w:left="1423" w:right="0" w:hanging="584"/>
        <w:jc w:val="left"/>
        <w:rPr>
          <w:sz w:val="21"/>
        </w:rPr>
      </w:pPr>
      <w:r>
        <w:rPr>
          <w:spacing w:val="14"/>
          <w:sz w:val="21"/>
        </w:rPr>
        <w:t>云梯消防车 </w:t>
      </w:r>
      <w:r>
        <w:rPr>
          <w:sz w:val="21"/>
        </w:rPr>
        <w:t>aerial</w:t>
      </w:r>
      <w:r>
        <w:rPr>
          <w:spacing w:val="1"/>
          <w:sz w:val="21"/>
        </w:rPr>
        <w:t> </w:t>
      </w:r>
      <w:r>
        <w:rPr>
          <w:sz w:val="21"/>
        </w:rPr>
        <w:t>ladder fire</w:t>
      </w:r>
      <w:r>
        <w:rPr>
          <w:spacing w:val="1"/>
          <w:sz w:val="21"/>
        </w:rPr>
        <w:t> </w:t>
      </w:r>
      <w:r>
        <w:rPr>
          <w:sz w:val="21"/>
        </w:rPr>
        <w:t>fighting vehicle </w:t>
      </w:r>
    </w:p>
    <w:p>
      <w:pPr>
        <w:pStyle w:val="BodyText"/>
        <w:spacing w:before="12"/>
        <w:rPr>
          <w:sz w:val="17"/>
        </w:rPr>
      </w:pPr>
    </w:p>
    <w:p>
      <w:pPr>
        <w:pStyle w:val="BodyText"/>
        <w:spacing w:line="446" w:lineRule="auto"/>
        <w:ind w:left="418" w:right="1609" w:firstLine="419"/>
      </w:pPr>
      <w:r>
        <w:rPr/>
        <w:t>主要装备伸缩云梯，可向高空输送消防人员、灭火物资、救援被困人员就喷射灭火剂的消防车。 </w:t>
      </w:r>
    </w:p>
    <w:p>
      <w:pPr>
        <w:spacing w:after="0" w:line="446" w:lineRule="auto"/>
        <w:sectPr>
          <w:pgSz w:w="11910" w:h="16850"/>
          <w:pgMar w:header="0" w:footer="1239" w:top="1220" w:bottom="1420" w:left="1260" w:right="0"/>
        </w:sectPr>
      </w:pPr>
    </w:p>
    <w:p>
      <w:pPr>
        <w:pStyle w:val="ListParagraph"/>
        <w:numPr>
          <w:ilvl w:val="2"/>
          <w:numId w:val="144"/>
        </w:numPr>
        <w:tabs>
          <w:tab w:pos="1424" w:val="left" w:leader="none"/>
        </w:tabs>
        <w:spacing w:line="240" w:lineRule="auto" w:before="47" w:after="0"/>
        <w:ind w:left="1423" w:right="0" w:hanging="584"/>
        <w:jc w:val="left"/>
        <w:rPr>
          <w:sz w:val="21"/>
        </w:rPr>
      </w:pPr>
      <w:r>
        <w:rPr>
          <w:spacing w:val="10"/>
          <w:sz w:val="21"/>
        </w:rPr>
        <w:t>举高喷射消防车 </w:t>
      </w:r>
      <w:r>
        <w:rPr>
          <w:sz w:val="21"/>
        </w:rPr>
        <w:t>water</w:t>
      </w:r>
      <w:r>
        <w:rPr>
          <w:spacing w:val="-2"/>
          <w:sz w:val="21"/>
        </w:rPr>
        <w:t> </w:t>
      </w:r>
      <w:r>
        <w:rPr>
          <w:sz w:val="21"/>
        </w:rPr>
        <w:t>tower fire</w:t>
      </w:r>
      <w:r>
        <w:rPr>
          <w:spacing w:val="-2"/>
          <w:sz w:val="21"/>
        </w:rPr>
        <w:t> </w:t>
      </w:r>
      <w:r>
        <w:rPr>
          <w:sz w:val="21"/>
        </w:rPr>
        <w:t>fighting</w:t>
      </w:r>
      <w:r>
        <w:rPr>
          <w:spacing w:val="1"/>
          <w:sz w:val="21"/>
        </w:rPr>
        <w:t> </w:t>
      </w:r>
      <w:r>
        <w:rPr>
          <w:sz w:val="21"/>
        </w:rPr>
        <w:t>vehicle </w:t>
      </w:r>
    </w:p>
    <w:p>
      <w:pPr>
        <w:pStyle w:val="BodyText"/>
        <w:rPr>
          <w:sz w:val="18"/>
        </w:rPr>
      </w:pPr>
    </w:p>
    <w:p>
      <w:pPr>
        <w:pStyle w:val="BodyText"/>
        <w:spacing w:line="446" w:lineRule="auto"/>
        <w:ind w:left="418" w:right="1609" w:firstLine="419"/>
      </w:pPr>
      <w:r>
        <w:rPr/>
        <w:t>主要装备直臂、曲臂、直曲臂及供液管路，顶端安装消防炮或破拆装置、可高空喷射灭火剂或实施破拆的消防车。 </w:t>
      </w:r>
    </w:p>
    <w:p>
      <w:pPr>
        <w:pStyle w:val="ListParagraph"/>
        <w:numPr>
          <w:ilvl w:val="1"/>
          <w:numId w:val="145"/>
        </w:numPr>
        <w:tabs>
          <w:tab w:pos="1159" w:val="left" w:leader="none"/>
        </w:tabs>
        <w:spacing w:line="240" w:lineRule="auto" w:before="0" w:after="0"/>
        <w:ind w:left="1158" w:right="0" w:hanging="319"/>
        <w:jc w:val="left"/>
        <w:rPr>
          <w:sz w:val="21"/>
        </w:rPr>
      </w:pPr>
      <w:r>
        <w:rPr>
          <w:spacing w:val="12"/>
          <w:sz w:val="21"/>
        </w:rPr>
        <w:t>专勤类消防车 </w:t>
      </w:r>
      <w:r>
        <w:rPr>
          <w:sz w:val="21"/>
        </w:rPr>
        <w:t>specialized</w:t>
      </w:r>
      <w:r>
        <w:rPr>
          <w:spacing w:val="1"/>
          <w:sz w:val="21"/>
        </w:rPr>
        <w:t> </w:t>
      </w:r>
      <w:r>
        <w:rPr>
          <w:sz w:val="21"/>
        </w:rPr>
        <w:t>fire</w:t>
      </w:r>
      <w:r>
        <w:rPr>
          <w:spacing w:val="-3"/>
          <w:sz w:val="21"/>
        </w:rPr>
        <w:t> </w:t>
      </w:r>
      <w:r>
        <w:rPr>
          <w:sz w:val="21"/>
        </w:rPr>
        <w:t>fighting</w:t>
      </w:r>
      <w:r>
        <w:rPr>
          <w:spacing w:val="1"/>
          <w:sz w:val="21"/>
        </w:rPr>
        <w:t> </w:t>
      </w:r>
      <w:r>
        <w:rPr>
          <w:sz w:val="21"/>
        </w:rPr>
        <w:t>vehicle </w:t>
      </w:r>
    </w:p>
    <w:p>
      <w:pPr>
        <w:pStyle w:val="BodyText"/>
        <w:spacing w:before="12"/>
        <w:rPr>
          <w:sz w:val="17"/>
        </w:rPr>
      </w:pPr>
    </w:p>
    <w:p>
      <w:pPr>
        <w:pStyle w:val="BodyText"/>
        <w:ind w:left="838"/>
      </w:pPr>
      <w:r>
        <w:rPr/>
        <w:t>主要装备专用消防装置，用于某专项消防技术作业的消防车。 </w:t>
      </w:r>
    </w:p>
    <w:p>
      <w:pPr>
        <w:pStyle w:val="BodyText"/>
        <w:rPr>
          <w:sz w:val="18"/>
        </w:rPr>
      </w:pPr>
    </w:p>
    <w:p>
      <w:pPr>
        <w:pStyle w:val="ListParagraph"/>
        <w:numPr>
          <w:ilvl w:val="2"/>
          <w:numId w:val="145"/>
        </w:numPr>
        <w:tabs>
          <w:tab w:pos="1424" w:val="left" w:leader="none"/>
        </w:tabs>
        <w:spacing w:line="240" w:lineRule="auto" w:before="0" w:after="0"/>
        <w:ind w:left="1423" w:right="0" w:hanging="584"/>
        <w:jc w:val="left"/>
        <w:rPr>
          <w:sz w:val="21"/>
        </w:rPr>
      </w:pPr>
      <w:r>
        <w:rPr>
          <w:spacing w:val="9"/>
          <w:sz w:val="21"/>
        </w:rPr>
        <w:t>通信指挥消防车 </w:t>
      </w:r>
      <w:r>
        <w:rPr>
          <w:sz w:val="21"/>
        </w:rPr>
        <w:t>command</w:t>
      </w:r>
      <w:r>
        <w:rPr>
          <w:spacing w:val="1"/>
          <w:sz w:val="21"/>
        </w:rPr>
        <w:t> </w:t>
      </w:r>
      <w:r>
        <w:rPr>
          <w:sz w:val="21"/>
        </w:rPr>
        <w:t>aod communication fire</w:t>
      </w:r>
      <w:r>
        <w:rPr>
          <w:spacing w:val="1"/>
          <w:sz w:val="21"/>
        </w:rPr>
        <w:t> </w:t>
      </w:r>
      <w:r>
        <w:rPr>
          <w:sz w:val="21"/>
        </w:rPr>
        <w:t>fighting</w:t>
      </w:r>
      <w:r>
        <w:rPr>
          <w:spacing w:val="1"/>
          <w:sz w:val="21"/>
        </w:rPr>
        <w:t> </w:t>
      </w:r>
      <w:r>
        <w:rPr>
          <w:sz w:val="21"/>
        </w:rPr>
        <w:t>vehicle </w:t>
      </w:r>
    </w:p>
    <w:p>
      <w:pPr>
        <w:pStyle w:val="BodyText"/>
        <w:spacing w:before="2"/>
        <w:rPr>
          <w:sz w:val="18"/>
        </w:rPr>
      </w:pPr>
    </w:p>
    <w:p>
      <w:pPr>
        <w:pStyle w:val="BodyText"/>
        <w:spacing w:line="446" w:lineRule="auto"/>
        <w:ind w:left="418" w:right="1609" w:firstLine="419"/>
      </w:pPr>
      <w:r>
        <w:rPr/>
        <w:t>主要装备无线通信、发电、照明、火场录像、扩音等设备，用于灾害现场通信联络和指挥的消防车。 </w:t>
      </w:r>
    </w:p>
    <w:p>
      <w:pPr>
        <w:pStyle w:val="ListParagraph"/>
        <w:numPr>
          <w:ilvl w:val="2"/>
          <w:numId w:val="145"/>
        </w:numPr>
        <w:tabs>
          <w:tab w:pos="1424" w:val="left" w:leader="none"/>
        </w:tabs>
        <w:spacing w:line="267" w:lineRule="exact" w:before="0" w:after="0"/>
        <w:ind w:left="1423" w:right="0" w:hanging="584"/>
        <w:jc w:val="left"/>
        <w:rPr>
          <w:sz w:val="21"/>
        </w:rPr>
      </w:pPr>
      <w:r>
        <w:rPr>
          <w:spacing w:val="10"/>
          <w:sz w:val="21"/>
        </w:rPr>
        <w:t>抢险救援消防车 </w:t>
      </w:r>
      <w:r>
        <w:rPr>
          <w:sz w:val="21"/>
        </w:rPr>
        <w:t>rescue</w:t>
      </w:r>
      <w:r>
        <w:rPr>
          <w:spacing w:val="1"/>
          <w:sz w:val="21"/>
        </w:rPr>
        <w:t> </w:t>
      </w:r>
      <w:r>
        <w:rPr>
          <w:sz w:val="21"/>
        </w:rPr>
        <w:t>fire fighting</w:t>
      </w:r>
      <w:r>
        <w:rPr>
          <w:spacing w:val="104"/>
          <w:sz w:val="21"/>
        </w:rPr>
        <w:t> </w:t>
      </w:r>
      <w:r>
        <w:rPr>
          <w:sz w:val="21"/>
        </w:rPr>
        <w:t>vehicle </w:t>
      </w:r>
    </w:p>
    <w:p>
      <w:pPr>
        <w:pStyle w:val="BodyText"/>
        <w:spacing w:before="2"/>
        <w:rPr>
          <w:sz w:val="18"/>
        </w:rPr>
      </w:pPr>
    </w:p>
    <w:p>
      <w:pPr>
        <w:pStyle w:val="BodyText"/>
        <w:spacing w:line="446" w:lineRule="auto"/>
        <w:ind w:left="418" w:right="1609" w:firstLine="419"/>
      </w:pPr>
      <w:r>
        <w:rPr/>
        <w:t>主要装备抢险救援器材、随车吊或具有起吊功能的随车叉车、绞盘和照明系统，用于在灾害现场实施抢险救援的消防车。 </w:t>
      </w:r>
    </w:p>
    <w:p>
      <w:pPr>
        <w:pStyle w:val="ListParagraph"/>
        <w:numPr>
          <w:ilvl w:val="2"/>
          <w:numId w:val="145"/>
        </w:numPr>
        <w:tabs>
          <w:tab w:pos="1424" w:val="left" w:leader="none"/>
        </w:tabs>
        <w:spacing w:line="267" w:lineRule="exact" w:before="0" w:after="0"/>
        <w:ind w:left="1423" w:right="0" w:hanging="584"/>
        <w:jc w:val="left"/>
        <w:rPr>
          <w:sz w:val="21"/>
        </w:rPr>
      </w:pPr>
      <w:r>
        <w:rPr>
          <w:spacing w:val="10"/>
          <w:sz w:val="21"/>
        </w:rPr>
        <w:t>化学救援消防车 </w:t>
      </w:r>
      <w:r>
        <w:rPr>
          <w:sz w:val="21"/>
        </w:rPr>
        <w:t>chemical accident</w:t>
      </w:r>
      <w:r>
        <w:rPr>
          <w:spacing w:val="-2"/>
          <w:sz w:val="21"/>
        </w:rPr>
        <w:t> </w:t>
      </w:r>
      <w:r>
        <w:rPr>
          <w:sz w:val="21"/>
        </w:rPr>
        <w:t>rescue</w:t>
      </w:r>
      <w:r>
        <w:rPr>
          <w:spacing w:val="1"/>
          <w:sz w:val="21"/>
        </w:rPr>
        <w:t> </w:t>
      </w:r>
      <w:r>
        <w:rPr>
          <w:sz w:val="21"/>
        </w:rPr>
        <w:t>fire fighting</w:t>
      </w:r>
      <w:r>
        <w:rPr>
          <w:spacing w:val="104"/>
          <w:sz w:val="21"/>
        </w:rPr>
        <w:t> </w:t>
      </w:r>
      <w:r>
        <w:rPr>
          <w:sz w:val="21"/>
        </w:rPr>
        <w:t>vehicle </w:t>
      </w:r>
    </w:p>
    <w:p>
      <w:pPr>
        <w:pStyle w:val="BodyText"/>
        <w:spacing w:before="1"/>
        <w:rPr>
          <w:sz w:val="18"/>
        </w:rPr>
      </w:pPr>
    </w:p>
    <w:p>
      <w:pPr>
        <w:pStyle w:val="BodyText"/>
        <w:spacing w:before="1"/>
        <w:ind w:left="838"/>
      </w:pPr>
      <w:r>
        <w:rPr/>
        <w:t>主要装备化学事故处置器材和装备，用于处置化学灾害事故的消防车。 </w:t>
      </w:r>
    </w:p>
    <w:p>
      <w:pPr>
        <w:pStyle w:val="BodyText"/>
        <w:spacing w:before="12"/>
        <w:rPr>
          <w:sz w:val="17"/>
        </w:rPr>
      </w:pPr>
    </w:p>
    <w:p>
      <w:pPr>
        <w:pStyle w:val="ListParagraph"/>
        <w:numPr>
          <w:ilvl w:val="2"/>
          <w:numId w:val="145"/>
        </w:numPr>
        <w:tabs>
          <w:tab w:pos="1424" w:val="left" w:leader="none"/>
        </w:tabs>
        <w:spacing w:line="240" w:lineRule="auto" w:before="0" w:after="0"/>
        <w:ind w:left="1423" w:right="0" w:hanging="584"/>
        <w:jc w:val="left"/>
        <w:rPr>
          <w:sz w:val="21"/>
        </w:rPr>
      </w:pPr>
      <w:r>
        <w:rPr>
          <w:spacing w:val="14"/>
          <w:sz w:val="21"/>
        </w:rPr>
        <w:t>输转消防车 </w:t>
      </w:r>
      <w:r>
        <w:rPr>
          <w:sz w:val="21"/>
        </w:rPr>
        <w:t>transport</w:t>
      </w:r>
      <w:r>
        <w:rPr>
          <w:spacing w:val="-2"/>
          <w:sz w:val="21"/>
        </w:rPr>
        <w:t> </w:t>
      </w:r>
      <w:r>
        <w:rPr>
          <w:sz w:val="21"/>
        </w:rPr>
        <w:t>and</w:t>
      </w:r>
      <w:r>
        <w:rPr>
          <w:spacing w:val="-3"/>
          <w:sz w:val="21"/>
        </w:rPr>
        <w:t> </w:t>
      </w:r>
      <w:r>
        <w:rPr>
          <w:sz w:val="21"/>
        </w:rPr>
        <w:t>return</w:t>
      </w:r>
      <w:r>
        <w:rPr>
          <w:spacing w:val="104"/>
          <w:sz w:val="21"/>
        </w:rPr>
        <w:t> </w:t>
      </w:r>
      <w:r>
        <w:rPr>
          <w:sz w:val="21"/>
        </w:rPr>
        <w:t>fire</w:t>
      </w:r>
      <w:r>
        <w:rPr>
          <w:spacing w:val="-2"/>
          <w:sz w:val="21"/>
        </w:rPr>
        <w:t> </w:t>
      </w:r>
      <w:r>
        <w:rPr>
          <w:sz w:val="21"/>
        </w:rPr>
        <w:t>fighting</w:t>
      </w:r>
      <w:r>
        <w:rPr>
          <w:spacing w:val="103"/>
          <w:sz w:val="21"/>
        </w:rPr>
        <w:t> </w:t>
      </w:r>
      <w:r>
        <w:rPr>
          <w:sz w:val="21"/>
        </w:rPr>
        <w:t>vehicle </w:t>
      </w:r>
    </w:p>
    <w:p>
      <w:pPr>
        <w:pStyle w:val="BodyText"/>
        <w:rPr>
          <w:sz w:val="18"/>
        </w:rPr>
      </w:pPr>
    </w:p>
    <w:p>
      <w:pPr>
        <w:pStyle w:val="BodyText"/>
        <w:spacing w:line="446" w:lineRule="auto"/>
        <w:ind w:left="418" w:right="1609" w:firstLine="419"/>
      </w:pPr>
      <w:r>
        <w:rPr/>
        <w:t>主要装备真空泵和储存罐，具有抽吸、排放和储存能力，用于事故现场输转危险物品的消防车。 </w:t>
      </w:r>
    </w:p>
    <w:p>
      <w:pPr>
        <w:pStyle w:val="ListParagraph"/>
        <w:numPr>
          <w:ilvl w:val="2"/>
          <w:numId w:val="145"/>
        </w:numPr>
        <w:tabs>
          <w:tab w:pos="1424" w:val="left" w:leader="none"/>
        </w:tabs>
        <w:spacing w:line="240" w:lineRule="auto" w:before="0" w:after="0"/>
        <w:ind w:left="1423" w:right="0" w:hanging="584"/>
        <w:jc w:val="left"/>
        <w:rPr>
          <w:sz w:val="21"/>
        </w:rPr>
      </w:pPr>
      <w:r>
        <w:rPr>
          <w:spacing w:val="14"/>
          <w:sz w:val="21"/>
        </w:rPr>
        <w:t>照明消防车 </w:t>
      </w:r>
      <w:r>
        <w:rPr>
          <w:sz w:val="21"/>
        </w:rPr>
        <w:t>lighting fire</w:t>
      </w:r>
      <w:r>
        <w:rPr>
          <w:spacing w:val="-2"/>
          <w:sz w:val="21"/>
        </w:rPr>
        <w:t> </w:t>
      </w:r>
      <w:r>
        <w:rPr>
          <w:sz w:val="21"/>
        </w:rPr>
        <w:t>fighting vehicle </w:t>
      </w:r>
    </w:p>
    <w:p>
      <w:pPr>
        <w:pStyle w:val="BodyText"/>
        <w:spacing w:before="12"/>
        <w:rPr>
          <w:sz w:val="17"/>
        </w:rPr>
      </w:pPr>
    </w:p>
    <w:p>
      <w:pPr>
        <w:pStyle w:val="BodyText"/>
        <w:ind w:left="838"/>
      </w:pPr>
      <w:r>
        <w:rPr/>
        <w:t>主要装备固定照明灯、移动照明灯和发电机，用于灾害现场照明的消防车。 </w:t>
      </w:r>
    </w:p>
    <w:p>
      <w:pPr>
        <w:pStyle w:val="BodyText"/>
        <w:spacing w:before="2"/>
        <w:rPr>
          <w:sz w:val="18"/>
        </w:rPr>
      </w:pPr>
    </w:p>
    <w:p>
      <w:pPr>
        <w:pStyle w:val="ListParagraph"/>
        <w:numPr>
          <w:ilvl w:val="2"/>
          <w:numId w:val="145"/>
        </w:numPr>
        <w:tabs>
          <w:tab w:pos="1424" w:val="left" w:leader="none"/>
        </w:tabs>
        <w:spacing w:line="240" w:lineRule="auto" w:before="0" w:after="0"/>
        <w:ind w:left="1423" w:right="0" w:hanging="584"/>
        <w:jc w:val="left"/>
        <w:rPr>
          <w:sz w:val="21"/>
        </w:rPr>
      </w:pPr>
      <w:r>
        <w:rPr>
          <w:spacing w:val="14"/>
          <w:sz w:val="21"/>
        </w:rPr>
        <w:t>排烟消防车 </w:t>
      </w:r>
      <w:r>
        <w:rPr>
          <w:sz w:val="21"/>
        </w:rPr>
        <w:t>smoke</w:t>
      </w:r>
      <w:r>
        <w:rPr>
          <w:spacing w:val="1"/>
          <w:sz w:val="21"/>
        </w:rPr>
        <w:t> </w:t>
      </w:r>
      <w:r>
        <w:rPr>
          <w:sz w:val="21"/>
        </w:rPr>
        <w:t>exhauster fire</w:t>
      </w:r>
      <w:r>
        <w:rPr>
          <w:spacing w:val="-2"/>
          <w:sz w:val="21"/>
        </w:rPr>
        <w:t> </w:t>
      </w:r>
      <w:r>
        <w:rPr>
          <w:sz w:val="21"/>
        </w:rPr>
        <w:t>fighting vehicle </w:t>
      </w:r>
    </w:p>
    <w:p>
      <w:pPr>
        <w:pStyle w:val="BodyText"/>
        <w:rPr>
          <w:sz w:val="18"/>
        </w:rPr>
      </w:pPr>
    </w:p>
    <w:p>
      <w:pPr>
        <w:pStyle w:val="BodyText"/>
        <w:ind w:left="838"/>
      </w:pPr>
      <w:r>
        <w:rPr/>
        <w:t>主要装备固定排烟送风装置，用于排烟、通风的消防车。 </w:t>
      </w:r>
    </w:p>
    <w:p>
      <w:pPr>
        <w:pStyle w:val="BodyText"/>
        <w:spacing w:before="12"/>
        <w:rPr>
          <w:sz w:val="17"/>
        </w:rPr>
      </w:pPr>
    </w:p>
    <w:p>
      <w:pPr>
        <w:pStyle w:val="ListParagraph"/>
        <w:numPr>
          <w:ilvl w:val="2"/>
          <w:numId w:val="145"/>
        </w:numPr>
        <w:tabs>
          <w:tab w:pos="1424" w:val="left" w:leader="none"/>
        </w:tabs>
        <w:spacing w:line="240" w:lineRule="auto" w:before="0" w:after="0"/>
        <w:ind w:left="1423" w:right="0" w:hanging="584"/>
        <w:jc w:val="left"/>
        <w:rPr>
          <w:sz w:val="21"/>
        </w:rPr>
      </w:pPr>
      <w:r>
        <w:rPr>
          <w:spacing w:val="14"/>
          <w:sz w:val="21"/>
        </w:rPr>
        <w:t>洗消消防车 </w:t>
      </w:r>
      <w:r>
        <w:rPr>
          <w:sz w:val="21"/>
        </w:rPr>
        <w:t>decontamination</w:t>
      </w:r>
      <w:r>
        <w:rPr>
          <w:spacing w:val="1"/>
          <w:sz w:val="21"/>
        </w:rPr>
        <w:t> </w:t>
      </w:r>
      <w:r>
        <w:rPr>
          <w:sz w:val="21"/>
        </w:rPr>
        <w:t>fire</w:t>
      </w:r>
      <w:r>
        <w:rPr>
          <w:spacing w:val="-1"/>
          <w:sz w:val="21"/>
        </w:rPr>
        <w:t> </w:t>
      </w:r>
      <w:r>
        <w:rPr>
          <w:sz w:val="21"/>
        </w:rPr>
        <w:t>fighting</w:t>
      </w:r>
      <w:r>
        <w:rPr>
          <w:spacing w:val="1"/>
          <w:sz w:val="21"/>
        </w:rPr>
        <w:t> </w:t>
      </w:r>
      <w:r>
        <w:rPr>
          <w:sz w:val="21"/>
        </w:rPr>
        <w:t>vehicle </w:t>
      </w:r>
    </w:p>
    <w:p>
      <w:pPr>
        <w:pStyle w:val="BodyText"/>
        <w:spacing w:before="2"/>
        <w:rPr>
          <w:sz w:val="18"/>
        </w:rPr>
      </w:pPr>
    </w:p>
    <w:p>
      <w:pPr>
        <w:pStyle w:val="BodyText"/>
        <w:spacing w:line="446" w:lineRule="auto"/>
        <w:ind w:left="418" w:right="1817" w:firstLine="419"/>
      </w:pPr>
      <w:r>
        <w:rPr/>
        <w:t>主要装备水泵、水加热装置和冲洗、中和、消毒的药剂，对被化学品、毒剂等污染的人员、地面、楼房、 设备、车辆等实施冲洗和消毒的消防车。 </w:t>
      </w:r>
    </w:p>
    <w:p>
      <w:pPr>
        <w:pStyle w:val="ListParagraph"/>
        <w:numPr>
          <w:ilvl w:val="2"/>
          <w:numId w:val="145"/>
        </w:numPr>
        <w:tabs>
          <w:tab w:pos="1424" w:val="left" w:leader="none"/>
        </w:tabs>
        <w:spacing w:line="267" w:lineRule="exact" w:before="0" w:after="0"/>
        <w:ind w:left="1423" w:right="0" w:hanging="584"/>
        <w:jc w:val="left"/>
        <w:rPr>
          <w:sz w:val="21"/>
        </w:rPr>
      </w:pPr>
      <w:r>
        <w:rPr>
          <w:spacing w:val="14"/>
          <w:sz w:val="21"/>
        </w:rPr>
        <w:t>侦检消防车 </w:t>
      </w:r>
      <w:r>
        <w:rPr>
          <w:sz w:val="21"/>
        </w:rPr>
        <w:t>reconnaissance and detection</w:t>
      </w:r>
      <w:r>
        <w:rPr>
          <w:spacing w:val="1"/>
          <w:sz w:val="21"/>
        </w:rPr>
        <w:t> </w:t>
      </w:r>
      <w:r>
        <w:rPr>
          <w:sz w:val="21"/>
        </w:rPr>
        <w:t>fire fighting vehicle </w:t>
      </w:r>
    </w:p>
    <w:p>
      <w:pPr>
        <w:pStyle w:val="BodyText"/>
        <w:spacing w:before="2"/>
        <w:rPr>
          <w:sz w:val="18"/>
        </w:rPr>
      </w:pPr>
    </w:p>
    <w:p>
      <w:pPr>
        <w:pStyle w:val="BodyText"/>
        <w:spacing w:line="446" w:lineRule="auto"/>
        <w:ind w:left="840" w:right="1925" w:hanging="3"/>
      </w:pPr>
      <w:r>
        <w:rPr/>
        <w:t>主要装备多种有害物质的侦检设备，用于检测灾害现场是否存在有害物质的消防车。</w:t>
      </w:r>
      <w:r>
        <w:rPr>
          <w:b/>
        </w:rPr>
        <w:t>3.3.9 </w:t>
      </w:r>
      <w:r>
        <w:rPr/>
        <w:t>隧道消防车 tunnel fire fighting vehicle </w:t>
      </w:r>
    </w:p>
    <w:p>
      <w:pPr>
        <w:pStyle w:val="BodyText"/>
        <w:spacing w:line="446" w:lineRule="auto"/>
        <w:ind w:left="418" w:right="1609" w:firstLine="419"/>
      </w:pPr>
      <w:r>
        <w:rPr/>
        <w:t>主要装备增压驾驶室、乘员室和发动机舱，具有双向行驶功能，用于扑救隧道火灾的消防车。 </w:t>
      </w:r>
    </w:p>
    <w:p>
      <w:pPr>
        <w:spacing w:after="0" w:line="446" w:lineRule="auto"/>
        <w:sectPr>
          <w:pgSz w:w="11910" w:h="16850"/>
          <w:pgMar w:header="0" w:footer="1239" w:top="1220" w:bottom="1420" w:left="1260" w:right="0"/>
        </w:sectPr>
      </w:pPr>
    </w:p>
    <w:p>
      <w:pPr>
        <w:pStyle w:val="ListParagraph"/>
        <w:numPr>
          <w:ilvl w:val="2"/>
          <w:numId w:val="146"/>
        </w:numPr>
        <w:tabs>
          <w:tab w:pos="1530" w:val="left" w:leader="none"/>
        </w:tabs>
        <w:spacing w:line="240" w:lineRule="auto" w:before="47" w:after="0"/>
        <w:ind w:left="1529" w:right="0" w:hanging="690"/>
        <w:jc w:val="left"/>
        <w:rPr>
          <w:sz w:val="21"/>
        </w:rPr>
      </w:pPr>
      <w:r>
        <w:rPr>
          <w:spacing w:val="14"/>
          <w:sz w:val="21"/>
        </w:rPr>
        <w:t>履带消防车 </w:t>
      </w:r>
      <w:r>
        <w:rPr>
          <w:sz w:val="21"/>
        </w:rPr>
        <w:t>crawler fire</w:t>
      </w:r>
      <w:r>
        <w:rPr>
          <w:spacing w:val="-2"/>
          <w:sz w:val="21"/>
        </w:rPr>
        <w:t> </w:t>
      </w:r>
      <w:r>
        <w:rPr>
          <w:sz w:val="21"/>
        </w:rPr>
        <w:t>fighting</w:t>
      </w:r>
      <w:r>
        <w:rPr>
          <w:spacing w:val="1"/>
          <w:sz w:val="21"/>
        </w:rPr>
        <w:t> </w:t>
      </w:r>
      <w:r>
        <w:rPr>
          <w:sz w:val="21"/>
        </w:rPr>
        <w:t>vehicle </w:t>
      </w:r>
    </w:p>
    <w:p>
      <w:pPr>
        <w:pStyle w:val="BodyText"/>
        <w:rPr>
          <w:sz w:val="18"/>
        </w:rPr>
      </w:pPr>
    </w:p>
    <w:p>
      <w:pPr>
        <w:pStyle w:val="BodyText"/>
        <w:spacing w:line="446" w:lineRule="auto"/>
        <w:ind w:left="418" w:right="1609" w:firstLine="419"/>
      </w:pPr>
      <w:r>
        <w:rPr/>
        <w:t>主要装备履带行走装置，用于在复杂地形条件下扑救火灾或向灾害现场运输人员、器材和物资的消防车。 </w:t>
      </w:r>
    </w:p>
    <w:p>
      <w:pPr>
        <w:pStyle w:val="ListParagraph"/>
        <w:numPr>
          <w:ilvl w:val="2"/>
          <w:numId w:val="146"/>
        </w:numPr>
        <w:tabs>
          <w:tab w:pos="1530" w:val="left" w:leader="none"/>
        </w:tabs>
        <w:spacing w:line="240" w:lineRule="auto" w:before="0" w:after="0"/>
        <w:ind w:left="1529" w:right="0" w:hanging="690"/>
        <w:jc w:val="left"/>
        <w:rPr>
          <w:sz w:val="21"/>
        </w:rPr>
      </w:pPr>
      <w:r>
        <w:rPr>
          <w:spacing w:val="14"/>
          <w:sz w:val="21"/>
        </w:rPr>
        <w:t>轨道消防车 </w:t>
      </w:r>
      <w:r>
        <w:rPr>
          <w:sz w:val="21"/>
        </w:rPr>
        <w:t>track fire</w:t>
      </w:r>
      <w:r>
        <w:rPr>
          <w:spacing w:val="1"/>
          <w:sz w:val="21"/>
        </w:rPr>
        <w:t> </w:t>
      </w:r>
      <w:r>
        <w:rPr>
          <w:sz w:val="21"/>
        </w:rPr>
        <w:t>fighting vehicle </w:t>
      </w:r>
    </w:p>
    <w:p>
      <w:pPr>
        <w:pStyle w:val="BodyText"/>
        <w:spacing w:before="12"/>
        <w:rPr>
          <w:sz w:val="17"/>
        </w:rPr>
      </w:pPr>
    </w:p>
    <w:p>
      <w:pPr>
        <w:pStyle w:val="BodyText"/>
        <w:ind w:left="838"/>
      </w:pPr>
      <w:r>
        <w:rPr/>
        <w:t>主要装备轨道行驶装置，用于扑救地铁或其他轨道火灾的消防车。 </w:t>
      </w:r>
    </w:p>
    <w:p>
      <w:pPr>
        <w:pStyle w:val="BodyText"/>
        <w:rPr>
          <w:sz w:val="18"/>
        </w:rPr>
      </w:pPr>
    </w:p>
    <w:p>
      <w:pPr>
        <w:pStyle w:val="ListParagraph"/>
        <w:numPr>
          <w:ilvl w:val="2"/>
          <w:numId w:val="146"/>
        </w:numPr>
        <w:tabs>
          <w:tab w:pos="1530" w:val="left" w:leader="none"/>
        </w:tabs>
        <w:spacing w:line="240" w:lineRule="auto" w:before="0" w:after="0"/>
        <w:ind w:left="1529" w:right="0" w:hanging="690"/>
        <w:jc w:val="left"/>
        <w:rPr>
          <w:sz w:val="21"/>
        </w:rPr>
      </w:pPr>
      <w:r>
        <w:rPr>
          <w:spacing w:val="10"/>
          <w:sz w:val="21"/>
        </w:rPr>
        <w:t>水陆两用消防车 </w:t>
      </w:r>
      <w:r>
        <w:rPr>
          <w:sz w:val="21"/>
        </w:rPr>
        <w:t>amphibious fire</w:t>
      </w:r>
      <w:r>
        <w:rPr>
          <w:spacing w:val="-2"/>
          <w:sz w:val="21"/>
        </w:rPr>
        <w:t> </w:t>
      </w:r>
      <w:r>
        <w:rPr>
          <w:sz w:val="21"/>
        </w:rPr>
        <w:t>fighting</w:t>
      </w:r>
      <w:r>
        <w:rPr>
          <w:spacing w:val="1"/>
          <w:sz w:val="21"/>
        </w:rPr>
        <w:t> </w:t>
      </w:r>
      <w:r>
        <w:rPr>
          <w:sz w:val="21"/>
        </w:rPr>
        <w:t>vehicle </w:t>
      </w:r>
    </w:p>
    <w:p>
      <w:pPr>
        <w:pStyle w:val="BodyText"/>
        <w:spacing w:before="2"/>
        <w:rPr>
          <w:sz w:val="18"/>
        </w:rPr>
      </w:pPr>
    </w:p>
    <w:p>
      <w:pPr>
        <w:pStyle w:val="BodyText"/>
        <w:spacing w:line="446" w:lineRule="auto"/>
        <w:ind w:left="840" w:right="1925" w:hanging="3"/>
      </w:pPr>
      <w:r>
        <w:rPr>
          <w:spacing w:val="-3"/>
        </w:rPr>
        <w:t>主要装备水陆两用驱动装置，既可以在陆地行驶，又可以在水中航行的两栖消防车。</w:t>
      </w:r>
      <w:r>
        <w:rPr>
          <w:b/>
          <w:spacing w:val="-3"/>
        </w:rPr>
        <w:t>3.4 </w:t>
      </w:r>
      <w:r>
        <w:rPr>
          <w:spacing w:val="-3"/>
        </w:rPr>
        <w:t>保障类消防车  </w:t>
      </w:r>
      <w:r>
        <w:rPr/>
        <w:t>auxiliary fire fighting</w:t>
      </w:r>
      <w:r>
        <w:rPr>
          <w:spacing w:val="104"/>
        </w:rPr>
        <w:t> </w:t>
      </w:r>
      <w:r>
        <w:rPr/>
        <w:t>vehicle </w:t>
      </w:r>
    </w:p>
    <w:p>
      <w:pPr>
        <w:pStyle w:val="BodyText"/>
        <w:spacing w:line="267" w:lineRule="exact"/>
        <w:ind w:left="838"/>
      </w:pPr>
      <w:r>
        <w:rPr/>
        <w:t>主要装备各类保障器材设备，为执行任务的消防车辆或消防员提供保障的消防车。 </w:t>
      </w:r>
    </w:p>
    <w:p>
      <w:pPr>
        <w:pStyle w:val="BodyText"/>
        <w:spacing w:before="2"/>
        <w:rPr>
          <w:sz w:val="18"/>
        </w:rPr>
      </w:pPr>
    </w:p>
    <w:p>
      <w:pPr>
        <w:pStyle w:val="ListParagraph"/>
        <w:numPr>
          <w:ilvl w:val="2"/>
          <w:numId w:val="147"/>
        </w:numPr>
        <w:tabs>
          <w:tab w:pos="1424" w:val="left" w:leader="none"/>
        </w:tabs>
        <w:spacing w:line="240" w:lineRule="auto" w:before="0" w:after="0"/>
        <w:ind w:left="1423" w:right="0" w:hanging="584"/>
        <w:jc w:val="left"/>
        <w:rPr>
          <w:sz w:val="21"/>
        </w:rPr>
      </w:pPr>
      <w:r>
        <w:rPr>
          <w:spacing w:val="14"/>
          <w:sz w:val="21"/>
        </w:rPr>
        <w:t>器材消防车 </w:t>
      </w:r>
      <w:r>
        <w:rPr>
          <w:sz w:val="21"/>
        </w:rPr>
        <w:t>equipment</w:t>
      </w:r>
      <w:r>
        <w:rPr>
          <w:spacing w:val="-3"/>
          <w:sz w:val="21"/>
        </w:rPr>
        <w:t> </w:t>
      </w:r>
      <w:r>
        <w:rPr>
          <w:sz w:val="21"/>
        </w:rPr>
        <w:t>storage</w:t>
      </w:r>
      <w:r>
        <w:rPr>
          <w:spacing w:val="-2"/>
          <w:sz w:val="21"/>
        </w:rPr>
        <w:t> </w:t>
      </w:r>
      <w:r>
        <w:rPr>
          <w:sz w:val="21"/>
        </w:rPr>
        <w:t>fire fighting</w:t>
      </w:r>
      <w:r>
        <w:rPr>
          <w:spacing w:val="1"/>
          <w:sz w:val="21"/>
        </w:rPr>
        <w:t> </w:t>
      </w:r>
      <w:r>
        <w:rPr>
          <w:sz w:val="21"/>
        </w:rPr>
        <w:t>vehicle </w:t>
      </w:r>
    </w:p>
    <w:p>
      <w:pPr>
        <w:pStyle w:val="BodyText"/>
        <w:spacing w:before="12"/>
        <w:rPr>
          <w:sz w:val="17"/>
        </w:rPr>
      </w:pPr>
    </w:p>
    <w:p>
      <w:pPr>
        <w:pStyle w:val="BodyText"/>
        <w:ind w:left="838"/>
      </w:pPr>
      <w:r>
        <w:rPr/>
        <w:t>主要装备各种消防器材并放置和固定在器材箱内，用于向灾害现场运送器材的消防车。 </w:t>
      </w:r>
    </w:p>
    <w:p>
      <w:pPr>
        <w:pStyle w:val="BodyText"/>
        <w:spacing w:before="12"/>
        <w:rPr>
          <w:sz w:val="17"/>
        </w:rPr>
      </w:pPr>
    </w:p>
    <w:p>
      <w:pPr>
        <w:pStyle w:val="ListParagraph"/>
        <w:numPr>
          <w:ilvl w:val="2"/>
          <w:numId w:val="147"/>
        </w:numPr>
        <w:tabs>
          <w:tab w:pos="1424" w:val="left" w:leader="none"/>
        </w:tabs>
        <w:spacing w:line="240" w:lineRule="auto" w:before="0" w:after="0"/>
        <w:ind w:left="1423" w:right="0" w:hanging="584"/>
        <w:jc w:val="left"/>
        <w:rPr>
          <w:sz w:val="21"/>
        </w:rPr>
      </w:pPr>
      <w:r>
        <w:rPr>
          <w:spacing w:val="14"/>
          <w:sz w:val="21"/>
        </w:rPr>
        <w:t>勘察消防车 </w:t>
      </w:r>
      <w:r>
        <w:rPr>
          <w:sz w:val="21"/>
        </w:rPr>
        <w:t>fire</w:t>
      </w:r>
      <w:r>
        <w:rPr>
          <w:spacing w:val="1"/>
          <w:sz w:val="21"/>
        </w:rPr>
        <w:t> </w:t>
      </w:r>
      <w:r>
        <w:rPr>
          <w:sz w:val="21"/>
        </w:rPr>
        <w:t>scene investigation</w:t>
      </w:r>
      <w:r>
        <w:rPr>
          <w:spacing w:val="1"/>
          <w:sz w:val="21"/>
        </w:rPr>
        <w:t> </w:t>
      </w:r>
      <w:r>
        <w:rPr>
          <w:sz w:val="21"/>
        </w:rPr>
        <w:t>vehicle </w:t>
      </w:r>
    </w:p>
    <w:p>
      <w:pPr>
        <w:pStyle w:val="BodyText"/>
        <w:spacing w:before="2"/>
        <w:rPr>
          <w:sz w:val="18"/>
        </w:rPr>
      </w:pPr>
    </w:p>
    <w:p>
      <w:pPr>
        <w:pStyle w:val="BodyText"/>
        <w:ind w:left="838"/>
      </w:pPr>
      <w:r>
        <w:rPr/>
        <w:t>主要装备各类探测、取样和分析仪器，用于勘察火灾现场的消防车。 </w:t>
      </w:r>
    </w:p>
    <w:p>
      <w:pPr>
        <w:pStyle w:val="BodyText"/>
        <w:rPr>
          <w:sz w:val="18"/>
        </w:rPr>
      </w:pPr>
    </w:p>
    <w:p>
      <w:pPr>
        <w:pStyle w:val="ListParagraph"/>
        <w:numPr>
          <w:ilvl w:val="2"/>
          <w:numId w:val="147"/>
        </w:numPr>
        <w:tabs>
          <w:tab w:pos="1424" w:val="left" w:leader="none"/>
        </w:tabs>
        <w:spacing w:line="240" w:lineRule="auto" w:before="0" w:after="0"/>
        <w:ind w:left="1423" w:right="0" w:hanging="584"/>
        <w:jc w:val="left"/>
        <w:rPr>
          <w:sz w:val="21"/>
        </w:rPr>
      </w:pPr>
      <w:r>
        <w:rPr>
          <w:spacing w:val="14"/>
          <w:sz w:val="21"/>
        </w:rPr>
        <w:t>宣传消防车 </w:t>
      </w:r>
      <w:r>
        <w:rPr>
          <w:sz w:val="21"/>
        </w:rPr>
        <w:t>fire safety</w:t>
      </w:r>
      <w:r>
        <w:rPr>
          <w:spacing w:val="1"/>
          <w:sz w:val="21"/>
        </w:rPr>
        <w:t> </w:t>
      </w:r>
      <w:r>
        <w:rPr>
          <w:sz w:val="21"/>
        </w:rPr>
        <w:t>publicity</w:t>
      </w:r>
      <w:r>
        <w:rPr>
          <w:spacing w:val="-3"/>
          <w:sz w:val="21"/>
        </w:rPr>
        <w:t> </w:t>
      </w:r>
      <w:r>
        <w:rPr>
          <w:sz w:val="21"/>
        </w:rPr>
        <w:t>vehicle </w:t>
      </w:r>
    </w:p>
    <w:p>
      <w:pPr>
        <w:pStyle w:val="BodyText"/>
        <w:rPr>
          <w:sz w:val="18"/>
        </w:rPr>
      </w:pPr>
    </w:p>
    <w:p>
      <w:pPr>
        <w:pStyle w:val="BodyText"/>
        <w:ind w:left="838"/>
      </w:pPr>
      <w:r>
        <w:rPr/>
        <w:t>主要装备各种模拟灾害现场的装置，用于向公众宣传消防知识的消防车。 </w:t>
      </w:r>
    </w:p>
    <w:p>
      <w:pPr>
        <w:pStyle w:val="BodyText"/>
        <w:spacing w:before="1"/>
        <w:rPr>
          <w:sz w:val="18"/>
        </w:rPr>
      </w:pPr>
    </w:p>
    <w:p>
      <w:pPr>
        <w:pStyle w:val="ListParagraph"/>
        <w:numPr>
          <w:ilvl w:val="2"/>
          <w:numId w:val="147"/>
        </w:numPr>
        <w:tabs>
          <w:tab w:pos="1424" w:val="left" w:leader="none"/>
        </w:tabs>
        <w:spacing w:line="240" w:lineRule="auto" w:before="1" w:after="0"/>
        <w:ind w:left="1423" w:right="0" w:hanging="584"/>
        <w:jc w:val="left"/>
        <w:rPr>
          <w:sz w:val="21"/>
        </w:rPr>
      </w:pPr>
      <w:r>
        <w:rPr>
          <w:spacing w:val="10"/>
          <w:sz w:val="21"/>
        </w:rPr>
        <w:t>水带敷设消防车 </w:t>
      </w:r>
      <w:r>
        <w:rPr>
          <w:sz w:val="21"/>
        </w:rPr>
        <w:t>hose laying</w:t>
      </w:r>
      <w:r>
        <w:rPr>
          <w:spacing w:val="1"/>
          <w:sz w:val="21"/>
        </w:rPr>
        <w:t> </w:t>
      </w:r>
      <w:r>
        <w:rPr>
          <w:sz w:val="21"/>
        </w:rPr>
        <w:t>fire</w:t>
      </w:r>
      <w:r>
        <w:rPr>
          <w:spacing w:val="1"/>
          <w:sz w:val="21"/>
        </w:rPr>
        <w:t> </w:t>
      </w:r>
      <w:r>
        <w:rPr>
          <w:sz w:val="21"/>
        </w:rPr>
        <w:t>fighting vehicle </w:t>
      </w:r>
    </w:p>
    <w:p>
      <w:pPr>
        <w:pStyle w:val="BodyText"/>
        <w:spacing w:before="12"/>
        <w:rPr>
          <w:sz w:val="17"/>
        </w:rPr>
      </w:pPr>
    </w:p>
    <w:p>
      <w:pPr>
        <w:pStyle w:val="BodyText"/>
        <w:ind w:left="838"/>
      </w:pPr>
      <w:r>
        <w:rPr/>
        <w:t>主要装备水带敷设和回收装置，用于铺设和回收直径大于或等于 100 mm 水带的消防车。 </w:t>
      </w:r>
    </w:p>
    <w:p>
      <w:pPr>
        <w:pStyle w:val="BodyText"/>
        <w:spacing w:before="12"/>
        <w:rPr>
          <w:sz w:val="17"/>
        </w:rPr>
      </w:pPr>
    </w:p>
    <w:p>
      <w:pPr>
        <w:pStyle w:val="ListParagraph"/>
        <w:numPr>
          <w:ilvl w:val="2"/>
          <w:numId w:val="147"/>
        </w:numPr>
        <w:tabs>
          <w:tab w:pos="1424" w:val="left" w:leader="none"/>
        </w:tabs>
        <w:spacing w:line="240" w:lineRule="auto" w:before="0" w:after="0"/>
        <w:ind w:left="1423" w:right="0" w:hanging="584"/>
        <w:jc w:val="left"/>
        <w:rPr>
          <w:sz w:val="21"/>
        </w:rPr>
      </w:pPr>
      <w:r>
        <w:rPr>
          <w:spacing w:val="14"/>
          <w:sz w:val="21"/>
        </w:rPr>
        <w:t>供气消防车 </w:t>
      </w:r>
      <w:r>
        <w:rPr>
          <w:sz w:val="21"/>
        </w:rPr>
        <w:t>compressed</w:t>
      </w:r>
      <w:r>
        <w:rPr>
          <w:spacing w:val="1"/>
          <w:sz w:val="21"/>
        </w:rPr>
        <w:t> </w:t>
      </w:r>
      <w:r>
        <w:rPr>
          <w:sz w:val="21"/>
        </w:rPr>
        <w:t>air support</w:t>
      </w:r>
      <w:r>
        <w:rPr>
          <w:spacing w:val="1"/>
          <w:sz w:val="21"/>
        </w:rPr>
        <w:t> </w:t>
      </w:r>
      <w:r>
        <w:rPr>
          <w:sz w:val="21"/>
        </w:rPr>
        <w:t>fire fighting</w:t>
      </w:r>
      <w:r>
        <w:rPr>
          <w:spacing w:val="-2"/>
          <w:sz w:val="21"/>
        </w:rPr>
        <w:t> </w:t>
      </w:r>
      <w:r>
        <w:rPr>
          <w:sz w:val="21"/>
        </w:rPr>
        <w:t>vehicle </w:t>
      </w:r>
    </w:p>
    <w:p>
      <w:pPr>
        <w:pStyle w:val="BodyText"/>
        <w:spacing w:before="2"/>
        <w:rPr>
          <w:sz w:val="18"/>
        </w:rPr>
      </w:pPr>
    </w:p>
    <w:p>
      <w:pPr>
        <w:pStyle w:val="BodyText"/>
        <w:spacing w:line="446" w:lineRule="auto"/>
        <w:ind w:left="418" w:right="1609" w:firstLine="419"/>
      </w:pPr>
      <w:r>
        <w:rPr/>
        <w:t>主要装备高压空气压缩机、高压储气瓶组、防爆充气箱等装置，给空气呼吸器瓶充气或给气动工具提供气源的消防车。 </w:t>
      </w:r>
    </w:p>
    <w:p>
      <w:pPr>
        <w:pStyle w:val="ListParagraph"/>
        <w:numPr>
          <w:ilvl w:val="2"/>
          <w:numId w:val="147"/>
        </w:numPr>
        <w:tabs>
          <w:tab w:pos="1424" w:val="left" w:leader="none"/>
        </w:tabs>
        <w:spacing w:line="267" w:lineRule="exact" w:before="0" w:after="0"/>
        <w:ind w:left="1423" w:right="0" w:hanging="584"/>
        <w:jc w:val="left"/>
        <w:rPr>
          <w:sz w:val="21"/>
        </w:rPr>
      </w:pPr>
      <w:r>
        <w:rPr>
          <w:spacing w:val="12"/>
          <w:sz w:val="21"/>
        </w:rPr>
        <w:t>供液消防车  </w:t>
      </w:r>
      <w:r>
        <w:rPr>
          <w:sz w:val="21"/>
        </w:rPr>
        <w:t>foam liquid supply fire</w:t>
      </w:r>
      <w:r>
        <w:rPr>
          <w:spacing w:val="1"/>
          <w:sz w:val="21"/>
        </w:rPr>
        <w:t> </w:t>
      </w:r>
      <w:r>
        <w:rPr>
          <w:sz w:val="21"/>
        </w:rPr>
        <w:t>fighting</w:t>
      </w:r>
      <w:r>
        <w:rPr>
          <w:spacing w:val="-3"/>
          <w:sz w:val="21"/>
        </w:rPr>
        <w:t> </w:t>
      </w:r>
      <w:r>
        <w:rPr>
          <w:sz w:val="21"/>
        </w:rPr>
        <w:t>vehicle </w:t>
      </w:r>
    </w:p>
    <w:p>
      <w:pPr>
        <w:pStyle w:val="BodyText"/>
        <w:spacing w:before="2"/>
        <w:rPr>
          <w:sz w:val="18"/>
        </w:rPr>
      </w:pPr>
    </w:p>
    <w:p>
      <w:pPr>
        <w:pStyle w:val="BodyText"/>
        <w:ind w:left="838"/>
      </w:pPr>
      <w:r>
        <w:rPr>
          <w:spacing w:val="-3"/>
        </w:rPr>
        <w:t>主要装备供液泵和液体灭火剂罐，用于输送除水以外的各类液体灭火剂的消防车。 </w:t>
      </w:r>
    </w:p>
    <w:p>
      <w:pPr>
        <w:pStyle w:val="BodyText"/>
        <w:spacing w:before="12"/>
        <w:rPr>
          <w:sz w:val="17"/>
        </w:rPr>
      </w:pPr>
    </w:p>
    <w:p>
      <w:pPr>
        <w:pStyle w:val="ListParagraph"/>
        <w:numPr>
          <w:ilvl w:val="2"/>
          <w:numId w:val="147"/>
        </w:numPr>
        <w:tabs>
          <w:tab w:pos="1424" w:val="left" w:leader="none"/>
        </w:tabs>
        <w:spacing w:line="240" w:lineRule="auto" w:before="0" w:after="0"/>
        <w:ind w:left="1423" w:right="0" w:hanging="584"/>
        <w:jc w:val="left"/>
        <w:rPr>
          <w:sz w:val="21"/>
        </w:rPr>
      </w:pPr>
      <w:r>
        <w:rPr>
          <w:spacing w:val="10"/>
          <w:sz w:val="21"/>
        </w:rPr>
        <w:t>自装卸式消防车 </w:t>
      </w:r>
      <w:r>
        <w:rPr>
          <w:sz w:val="21"/>
        </w:rPr>
        <w:t>self-loading</w:t>
      </w:r>
      <w:r>
        <w:rPr>
          <w:spacing w:val="104"/>
          <w:sz w:val="21"/>
        </w:rPr>
        <w:t> </w:t>
      </w:r>
      <w:r>
        <w:rPr>
          <w:sz w:val="21"/>
        </w:rPr>
        <w:t>fire fighting</w:t>
      </w:r>
      <w:r>
        <w:rPr>
          <w:spacing w:val="1"/>
          <w:sz w:val="21"/>
        </w:rPr>
        <w:t> </w:t>
      </w:r>
      <w:r>
        <w:rPr>
          <w:sz w:val="21"/>
        </w:rPr>
        <w:t>vehicle </w:t>
      </w:r>
    </w:p>
    <w:p>
      <w:pPr>
        <w:pStyle w:val="BodyText"/>
        <w:rPr>
          <w:sz w:val="18"/>
        </w:rPr>
      </w:pPr>
    </w:p>
    <w:p>
      <w:pPr>
        <w:pStyle w:val="BodyText"/>
        <w:spacing w:line="446" w:lineRule="auto"/>
        <w:ind w:left="418" w:right="1817" w:firstLine="419"/>
      </w:pPr>
      <w:r>
        <w:rPr/>
        <w:t>主要装备自装卸机构，用于将装有消防装备的模块（器材箱）快速运抵灾害现场的消防车。 </w:t>
      </w:r>
    </w:p>
    <w:p>
      <w:pPr>
        <w:pStyle w:val="Heading4"/>
        <w:spacing w:line="278" w:lineRule="exact"/>
      </w:pPr>
      <w:r>
        <w:rPr/>
        <w:t>4 分类及型号</w:t>
      </w:r>
      <w:r>
        <w:rPr>
          <w:w w:val="99"/>
        </w:rPr>
        <w:t> </w:t>
      </w:r>
    </w:p>
    <w:p>
      <w:pPr>
        <w:pStyle w:val="BodyText"/>
        <w:spacing w:before="4"/>
        <w:rPr>
          <w:b/>
          <w:sz w:val="17"/>
        </w:rPr>
      </w:pPr>
    </w:p>
    <w:p>
      <w:pPr>
        <w:pStyle w:val="ListParagraph"/>
        <w:numPr>
          <w:ilvl w:val="1"/>
          <w:numId w:val="148"/>
        </w:numPr>
        <w:tabs>
          <w:tab w:pos="1159" w:val="left" w:leader="none"/>
        </w:tabs>
        <w:spacing w:line="240" w:lineRule="auto" w:before="0" w:after="0"/>
        <w:ind w:left="1158" w:right="0" w:hanging="319"/>
        <w:jc w:val="left"/>
        <w:rPr>
          <w:sz w:val="21"/>
        </w:rPr>
      </w:pPr>
      <w:r>
        <w:rPr>
          <w:spacing w:val="-3"/>
          <w:sz w:val="21"/>
        </w:rPr>
        <w:t>分类</w:t>
      </w:r>
      <w:r>
        <w:rPr>
          <w:sz w:val="21"/>
        </w:rPr>
        <w:t> </w:t>
      </w:r>
    </w:p>
    <w:p>
      <w:pPr>
        <w:pStyle w:val="BodyText"/>
        <w:spacing w:before="2"/>
        <w:rPr>
          <w:sz w:val="18"/>
        </w:rPr>
      </w:pPr>
    </w:p>
    <w:p>
      <w:pPr>
        <w:pStyle w:val="ListParagraph"/>
        <w:numPr>
          <w:ilvl w:val="2"/>
          <w:numId w:val="148"/>
        </w:numPr>
        <w:tabs>
          <w:tab w:pos="1370" w:val="left" w:leader="none"/>
        </w:tabs>
        <w:spacing w:line="240" w:lineRule="auto" w:before="0" w:after="0"/>
        <w:ind w:left="1369" w:right="0" w:hanging="530"/>
        <w:jc w:val="left"/>
        <w:rPr>
          <w:sz w:val="21"/>
        </w:rPr>
      </w:pPr>
      <w:r>
        <w:rPr>
          <w:spacing w:val="-3"/>
          <w:sz w:val="21"/>
        </w:rPr>
        <w:t>按照功能分类</w:t>
      </w:r>
      <w:r>
        <w:rPr>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t>消防车按照使用功能分为四类：灭火类消防车、举高类消防车、专勤类消防车和保障类消防车。 </w:t>
      </w:r>
    </w:p>
    <w:p>
      <w:pPr>
        <w:pStyle w:val="ListParagraph"/>
        <w:numPr>
          <w:ilvl w:val="2"/>
          <w:numId w:val="148"/>
        </w:numPr>
        <w:tabs>
          <w:tab w:pos="1371" w:val="left" w:leader="none"/>
        </w:tabs>
        <w:spacing w:line="267" w:lineRule="exact" w:before="0" w:after="0"/>
        <w:ind w:left="1370" w:right="0" w:hanging="531"/>
        <w:jc w:val="left"/>
        <w:rPr>
          <w:sz w:val="21"/>
        </w:rPr>
      </w:pPr>
      <w:r>
        <w:rPr>
          <w:spacing w:val="-3"/>
          <w:sz w:val="21"/>
        </w:rPr>
        <w:t>按照结构分类</w:t>
      </w:r>
      <w:r>
        <w:rPr>
          <w:sz w:val="21"/>
        </w:rPr>
        <w:t> </w:t>
      </w:r>
    </w:p>
    <w:p>
      <w:pPr>
        <w:pStyle w:val="BodyText"/>
        <w:spacing w:before="2"/>
        <w:rPr>
          <w:sz w:val="18"/>
        </w:rPr>
      </w:pPr>
    </w:p>
    <w:p>
      <w:pPr>
        <w:pStyle w:val="BodyText"/>
        <w:spacing w:line="446" w:lineRule="auto"/>
        <w:ind w:left="840" w:right="2977" w:hanging="3"/>
      </w:pPr>
      <w:r>
        <w:rPr/>
        <w:t>消防车按照结构分为三类：罐类消防车、举高类消防车和特种类消防车。</w:t>
      </w:r>
      <w:r>
        <w:rPr>
          <w:b/>
        </w:rPr>
        <w:t>4.2 </w:t>
      </w:r>
      <w:r>
        <w:rPr/>
        <w:t>型号 </w:t>
      </w:r>
    </w:p>
    <w:p>
      <w:pPr>
        <w:pStyle w:val="ListParagraph"/>
        <w:numPr>
          <w:ilvl w:val="2"/>
          <w:numId w:val="149"/>
        </w:numPr>
        <w:tabs>
          <w:tab w:pos="1371" w:val="left" w:leader="none"/>
        </w:tabs>
        <w:spacing w:line="267" w:lineRule="exact" w:before="0" w:after="0"/>
        <w:ind w:left="1370" w:right="0" w:hanging="531"/>
        <w:jc w:val="left"/>
        <w:rPr>
          <w:sz w:val="21"/>
        </w:rPr>
      </w:pPr>
      <w:r>
        <w:rPr>
          <w:spacing w:val="-3"/>
          <w:sz w:val="21"/>
        </w:rPr>
        <w:t>型号构成</w:t>
      </w:r>
      <w:r>
        <w:rPr>
          <w:sz w:val="21"/>
        </w:rPr>
        <w:t> </w:t>
      </w:r>
    </w:p>
    <w:p>
      <w:pPr>
        <w:pStyle w:val="BodyText"/>
        <w:spacing w:before="2"/>
        <w:rPr>
          <w:sz w:val="18"/>
        </w:rPr>
      </w:pPr>
    </w:p>
    <w:p>
      <w:pPr>
        <w:pStyle w:val="BodyText"/>
        <w:spacing w:line="446" w:lineRule="auto"/>
        <w:ind w:left="418" w:right="1608" w:firstLine="419"/>
        <w:jc w:val="both"/>
      </w:pPr>
      <w:r>
        <w:rPr/>
        <w:drawing>
          <wp:anchor distT="0" distB="0" distL="0" distR="0" allowOverlap="1" layoutInCell="1" locked="0" behindDoc="0" simplePos="0" relativeHeight="46">
            <wp:simplePos x="0" y="0"/>
            <wp:positionH relativeFrom="page">
              <wp:posOffset>1665604</wp:posOffset>
            </wp:positionH>
            <wp:positionV relativeFrom="paragraph">
              <wp:posOffset>995806</wp:posOffset>
            </wp:positionV>
            <wp:extent cx="4419599" cy="2505075"/>
            <wp:effectExtent l="0" t="0" r="0" b="0"/>
            <wp:wrapTopAndBottom/>
            <wp:docPr id="107" name="image73.jpeg"/>
            <wp:cNvGraphicFramePr>
              <a:graphicFrameLocks noChangeAspect="1"/>
            </wp:cNvGraphicFramePr>
            <a:graphic>
              <a:graphicData uri="http://schemas.openxmlformats.org/drawingml/2006/picture">
                <pic:pic>
                  <pic:nvPicPr>
                    <pic:cNvPr id="108" name="image73.jpeg"/>
                    <pic:cNvPicPr/>
                  </pic:nvPicPr>
                  <pic:blipFill>
                    <a:blip r:embed="rId81" cstate="print"/>
                    <a:stretch>
                      <a:fillRect/>
                    </a:stretch>
                  </pic:blipFill>
                  <pic:spPr>
                    <a:xfrm>
                      <a:off x="0" y="0"/>
                      <a:ext cx="4419599" cy="2505075"/>
                    </a:xfrm>
                    <a:prstGeom prst="rect">
                      <a:avLst/>
                    </a:prstGeom>
                  </pic:spPr>
                </pic:pic>
              </a:graphicData>
            </a:graphic>
          </wp:anchor>
        </w:drawing>
      </w:r>
      <w:r>
        <w:rPr/>
        <w:t>消防车的产品型号由消防车企业名称代号、消防车类别代号、消防车主参数代号、消防车产品序号、消防车结构特征代号、消防车用途特征代号、消防车分类代号、消防装备主参数代号组成，必要时附加消防车企业自定代号。型号编制如下： </w:t>
      </w:r>
    </w:p>
    <w:p>
      <w:pPr>
        <w:pStyle w:val="BodyText"/>
        <w:rPr>
          <w:sz w:val="20"/>
        </w:rPr>
      </w:pPr>
    </w:p>
    <w:p>
      <w:pPr>
        <w:pStyle w:val="BodyText"/>
        <w:rPr>
          <w:sz w:val="20"/>
        </w:rPr>
      </w:pPr>
    </w:p>
    <w:p>
      <w:pPr>
        <w:pStyle w:val="ListParagraph"/>
        <w:numPr>
          <w:ilvl w:val="2"/>
          <w:numId w:val="149"/>
        </w:numPr>
        <w:tabs>
          <w:tab w:pos="1371" w:val="left" w:leader="none"/>
        </w:tabs>
        <w:spacing w:line="240" w:lineRule="auto" w:before="164" w:after="0"/>
        <w:ind w:left="1370" w:right="0" w:hanging="531"/>
        <w:jc w:val="left"/>
        <w:rPr>
          <w:sz w:val="21"/>
        </w:rPr>
      </w:pPr>
      <w:r>
        <w:rPr>
          <w:spacing w:val="-3"/>
          <w:sz w:val="21"/>
        </w:rPr>
        <w:t>消防车企业名称代号 </w:t>
      </w:r>
    </w:p>
    <w:p>
      <w:pPr>
        <w:pStyle w:val="BodyText"/>
        <w:spacing w:before="3"/>
        <w:rPr>
          <w:sz w:val="18"/>
        </w:rPr>
      </w:pPr>
    </w:p>
    <w:p>
      <w:pPr>
        <w:pStyle w:val="BodyText"/>
        <w:spacing w:line="446" w:lineRule="auto"/>
        <w:ind w:left="840" w:right="1505" w:hanging="3"/>
      </w:pPr>
      <w:r>
        <w:rPr/>
        <w:t>用代表企业名称的两个或三个汉语拼音字母表示，其代号由国家汽车行业主管部门给定。</w:t>
      </w:r>
      <w:r>
        <w:rPr>
          <w:b/>
        </w:rPr>
        <w:t>4.2.3 </w:t>
      </w:r>
      <w:r>
        <w:rPr/>
        <w:t>消防车类别代号 </w:t>
      </w:r>
    </w:p>
    <w:p>
      <w:pPr>
        <w:pStyle w:val="BodyText"/>
        <w:spacing w:line="446" w:lineRule="auto"/>
        <w:ind w:left="840" w:right="4866" w:hanging="3"/>
      </w:pPr>
      <w:r>
        <w:rPr>
          <w:spacing w:val="-25"/>
        </w:rPr>
        <w:t>用 </w:t>
      </w:r>
      <w:r>
        <w:rPr/>
        <w:t>5</w:t>
      </w:r>
      <w:r>
        <w:rPr>
          <w:spacing w:val="-12"/>
        </w:rPr>
        <w:t> 表示单车式消防车，或用 </w:t>
      </w:r>
      <w:r>
        <w:rPr/>
        <w:t>9</w:t>
      </w:r>
      <w:r>
        <w:rPr>
          <w:spacing w:val="-9"/>
        </w:rPr>
        <w:t> 表示半挂式消防车。</w:t>
      </w:r>
      <w:r>
        <w:rPr>
          <w:b/>
          <w:spacing w:val="-9"/>
        </w:rPr>
        <w:t>4.2.4 </w:t>
      </w:r>
      <w:r>
        <w:rPr>
          <w:spacing w:val="-3"/>
        </w:rPr>
        <w:t>消防车主参数代号</w:t>
      </w:r>
      <w:r>
        <w:rPr/>
        <w:t> </w:t>
      </w:r>
    </w:p>
    <w:p>
      <w:pPr>
        <w:pStyle w:val="BodyText"/>
        <w:spacing w:line="446" w:lineRule="auto"/>
        <w:ind w:left="840" w:right="3083" w:hanging="3"/>
      </w:pPr>
      <w:r>
        <w:rPr/>
        <w:t>用两位阿拉伯数字表示，主参数代号为车辆的总质量，单位为吨（t）。</w:t>
      </w:r>
      <w:r>
        <w:rPr>
          <w:b/>
        </w:rPr>
        <w:t>4.2.5 </w:t>
      </w:r>
      <w:r>
        <w:rPr/>
        <w:t>消防车产品序号 </w:t>
      </w:r>
    </w:p>
    <w:p>
      <w:pPr>
        <w:pStyle w:val="BodyText"/>
        <w:spacing w:line="446" w:lineRule="auto"/>
        <w:ind w:left="840" w:right="5396" w:hanging="3"/>
      </w:pPr>
      <w:r>
        <w:rPr/>
        <w:t>用一位阿拉伯数字 0，1，2，…，9 顺序使用。</w:t>
      </w:r>
      <w:r>
        <w:rPr>
          <w:b/>
        </w:rPr>
        <w:t>4.2.6 </w:t>
      </w:r>
      <w:r>
        <w:rPr/>
        <w:t>消防车结构特征代号 </w:t>
      </w:r>
    </w:p>
    <w:p>
      <w:pPr>
        <w:spacing w:after="0" w:line="446" w:lineRule="auto"/>
        <w:sectPr>
          <w:pgSz w:w="11910" w:h="16850"/>
          <w:pgMar w:header="0" w:footer="1239" w:top="1220" w:bottom="1420" w:left="1260" w:right="0"/>
        </w:sectPr>
      </w:pPr>
    </w:p>
    <w:p>
      <w:pPr>
        <w:pStyle w:val="BodyText"/>
        <w:spacing w:line="446" w:lineRule="auto" w:before="47"/>
        <w:ind w:left="418" w:right="1767" w:firstLine="419"/>
      </w:pPr>
      <w:r>
        <w:rPr>
          <w:spacing w:val="-3"/>
        </w:rPr>
        <w:t>用一个汉语拼音字母表示</w:t>
      </w:r>
      <w:r>
        <w:rPr/>
        <w:t>，G</w:t>
      </w:r>
      <w:r>
        <w:rPr>
          <w:spacing w:val="-8"/>
        </w:rPr>
        <w:t> 代表罐类消防车</w:t>
      </w:r>
      <w:r>
        <w:rPr/>
        <w:t>，J</w:t>
      </w:r>
      <w:r>
        <w:rPr>
          <w:spacing w:val="-8"/>
        </w:rPr>
        <w:t> 代表举高类消防车，</w:t>
      </w:r>
      <w:r>
        <w:rPr/>
        <w:t>T</w:t>
      </w:r>
      <w:r>
        <w:rPr>
          <w:spacing w:val="-7"/>
        </w:rPr>
        <w:t> 代表特种类消防</w:t>
      </w:r>
      <w:r>
        <w:rPr>
          <w:spacing w:val="-5"/>
        </w:rPr>
        <w:t>车。</w:t>
      </w:r>
      <w:r>
        <w:rPr/>
        <w:t> </w:t>
      </w:r>
    </w:p>
    <w:p>
      <w:pPr>
        <w:spacing w:line="267" w:lineRule="exact" w:before="0"/>
        <w:ind w:left="840" w:right="0" w:firstLine="0"/>
        <w:jc w:val="left"/>
        <w:rPr>
          <w:sz w:val="21"/>
        </w:rPr>
      </w:pPr>
      <w:r>
        <w:rPr>
          <w:b/>
          <w:sz w:val="21"/>
        </w:rPr>
        <w:t>4.2.7 </w:t>
      </w:r>
      <w:r>
        <w:rPr>
          <w:sz w:val="21"/>
        </w:rPr>
        <w:t>消防车用途特征代号 </w:t>
      </w:r>
    </w:p>
    <w:p>
      <w:pPr>
        <w:pStyle w:val="BodyText"/>
        <w:spacing w:before="2"/>
        <w:rPr>
          <w:sz w:val="18"/>
        </w:rPr>
      </w:pPr>
    </w:p>
    <w:p>
      <w:pPr>
        <w:pStyle w:val="BodyText"/>
        <w:spacing w:line="446" w:lineRule="auto"/>
        <w:ind w:left="840" w:right="6549" w:hanging="3"/>
      </w:pPr>
      <w:r>
        <w:rPr/>
        <w:t>统一用汉语拼音字母“XF”表示。</w:t>
      </w:r>
      <w:r>
        <w:rPr>
          <w:b/>
        </w:rPr>
        <w:t>4.2.8 </w:t>
      </w:r>
      <w:r>
        <w:rPr/>
        <w:t>消防车分类代号 </w:t>
      </w:r>
    </w:p>
    <w:p>
      <w:pPr>
        <w:pStyle w:val="BodyText"/>
        <w:spacing w:line="446" w:lineRule="auto"/>
        <w:ind w:left="840" w:right="5761" w:hanging="3"/>
      </w:pPr>
      <w:r>
        <w:rPr/>
        <w:t>用两个汉语拼音字母表示，其含义见表 1。</w:t>
      </w:r>
      <w:r>
        <w:rPr>
          <w:b/>
        </w:rPr>
        <w:t>4.2.9 </w:t>
      </w:r>
      <w:r>
        <w:rPr/>
        <w:t>消防装备主参数代号 </w:t>
      </w:r>
    </w:p>
    <w:p>
      <w:pPr>
        <w:pStyle w:val="BodyText"/>
        <w:ind w:left="838"/>
      </w:pPr>
      <w:r>
        <w:rPr/>
        <w:pict>
          <v:group style="position:absolute;margin-left:116.900002pt;margin-top:17.569984pt;width:392.25pt;height:512.6pt;mso-position-horizontal-relative:page;mso-position-vertical-relative:paragraph;z-index:-251610112;mso-wrap-distance-left:0;mso-wrap-distance-right:0" coordorigin="2338,351" coordsize="7845,10252">
            <v:shape style="position:absolute;left:2345;top:351;width:7732;height:5566" type="#_x0000_t75" stroked="false">
              <v:imagedata r:id="rId82" o:title=""/>
            </v:shape>
            <v:shape style="position:absolute;left:2338;top:4857;width:7845;height:5745" type="#_x0000_t75" stroked="false">
              <v:imagedata r:id="rId83" o:title=""/>
            </v:shape>
            <w10:wrap type="topAndBottom"/>
          </v:group>
        </w:pict>
      </w:r>
      <w:r>
        <w:rPr/>
        <w:t>用两位或三位阿拉伯数字表示，其构成和含义见表 1。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3"/>
        </w:rPr>
      </w:pPr>
    </w:p>
    <w:p>
      <w:pPr>
        <w:pStyle w:val="BodyText"/>
        <w:spacing w:before="72"/>
        <w:ind w:left="838"/>
      </w:pPr>
      <w:r>
        <w:rPr/>
        <w:t>示例 1： </w:t>
      </w:r>
    </w:p>
    <w:p>
      <w:pPr>
        <w:pStyle w:val="BodyText"/>
        <w:spacing w:before="1"/>
        <w:rPr>
          <w:sz w:val="18"/>
        </w:rPr>
      </w:pPr>
    </w:p>
    <w:p>
      <w:pPr>
        <w:pStyle w:val="BodyText"/>
        <w:spacing w:line="446" w:lineRule="auto" w:before="1"/>
        <w:ind w:left="418" w:right="1822" w:firstLine="419"/>
      </w:pPr>
      <w:r>
        <w:rPr>
          <w:spacing w:val="-1"/>
        </w:rPr>
        <w:t>某企业</w:t>
      </w:r>
      <w:r>
        <w:rPr/>
        <w:t>（</w:t>
      </w:r>
      <w:r>
        <w:rPr>
          <w:spacing w:val="-3"/>
        </w:rPr>
        <w:t>企业代号：</w:t>
      </w:r>
      <w:r>
        <w:rPr/>
        <w:t>SXD）</w:t>
      </w:r>
      <w:r>
        <w:rPr>
          <w:spacing w:val="-7"/>
        </w:rPr>
        <w:t>生产的泡沫消防车，总质量 </w:t>
      </w:r>
      <w:r>
        <w:rPr/>
        <w:t>14t</w:t>
      </w:r>
      <w:r>
        <w:rPr>
          <w:spacing w:val="-12"/>
        </w:rPr>
        <w:t>，载液量 </w:t>
      </w:r>
      <w:r>
        <w:rPr/>
        <w:t>5 t</w:t>
      </w:r>
      <w:r>
        <w:rPr>
          <w:spacing w:val="-3"/>
        </w:rPr>
        <w:t>，没有进行过改</w:t>
      </w:r>
      <w:r>
        <w:rPr>
          <w:spacing w:val="-6"/>
        </w:rPr>
        <w:t>动，没有企业自定义代号，其型号为 </w:t>
      </w:r>
      <w:r>
        <w:rPr/>
        <w:t>SXD5140GXFPM50</w:t>
      </w:r>
      <w:r>
        <w:rPr>
          <w:spacing w:val="-3"/>
        </w:rPr>
        <w:t>。</w:t>
      </w:r>
      <w:r>
        <w:rPr/>
        <w:t> </w:t>
      </w:r>
    </w:p>
    <w:p>
      <w:pPr>
        <w:pStyle w:val="BodyText"/>
        <w:spacing w:line="267" w:lineRule="exact"/>
        <w:ind w:left="838"/>
      </w:pPr>
      <w:r>
        <w:rPr/>
        <w:t>示例 2： </w:t>
      </w:r>
    </w:p>
    <w:p>
      <w:pPr>
        <w:pStyle w:val="BodyText"/>
        <w:spacing w:before="1"/>
        <w:rPr>
          <w:sz w:val="18"/>
        </w:rPr>
      </w:pPr>
    </w:p>
    <w:p>
      <w:pPr>
        <w:pStyle w:val="BodyText"/>
        <w:spacing w:line="446" w:lineRule="auto"/>
        <w:ind w:left="418" w:right="1616" w:firstLine="419"/>
      </w:pPr>
      <w:r>
        <w:rPr>
          <w:spacing w:val="-1"/>
        </w:rPr>
        <w:t>某企业</w:t>
      </w:r>
      <w:r>
        <w:rPr/>
        <w:t>（</w:t>
      </w:r>
      <w:r>
        <w:rPr>
          <w:spacing w:val="-3"/>
        </w:rPr>
        <w:t>企业代号：</w:t>
      </w:r>
      <w:r>
        <w:rPr/>
        <w:t>WSD）</w:t>
      </w:r>
      <w:r>
        <w:rPr>
          <w:spacing w:val="-7"/>
        </w:rPr>
        <w:t>生产的举高喷射消防车，总质量 </w:t>
      </w:r>
      <w:r>
        <w:rPr/>
        <w:t>25 t</w:t>
      </w:r>
      <w:r>
        <w:rPr>
          <w:spacing w:val="-9"/>
        </w:rPr>
        <w:t>，最大工作高度 </w:t>
      </w:r>
      <w:r>
        <w:rPr/>
        <w:t>30 m</w:t>
      </w:r>
      <w:r>
        <w:rPr>
          <w:spacing w:val="-2"/>
        </w:rPr>
        <w:t>，经</w:t>
      </w:r>
      <w:r>
        <w:rPr>
          <w:spacing w:val="-6"/>
        </w:rPr>
        <w:t>过一次改动，没有企业自定义代号，其型号为 </w:t>
      </w:r>
      <w:r>
        <w:rPr/>
        <w:t>WSD5251JXFJP30</w:t>
      </w:r>
      <w:r>
        <w:rPr>
          <w:spacing w:val="-3"/>
        </w:rPr>
        <w:t>。</w:t>
      </w:r>
      <w:r>
        <w:rPr/>
        <w:t> </w:t>
      </w:r>
    </w:p>
    <w:p>
      <w:pPr>
        <w:pStyle w:val="BodyText"/>
        <w:spacing w:line="267" w:lineRule="exact"/>
        <w:ind w:left="838"/>
      </w:pPr>
      <w:r>
        <w:rPr/>
        <w:t>示例 3： </w:t>
      </w:r>
    </w:p>
    <w:p>
      <w:pPr>
        <w:pStyle w:val="BodyText"/>
        <w:spacing w:before="2"/>
        <w:rPr>
          <w:sz w:val="18"/>
        </w:rPr>
      </w:pPr>
    </w:p>
    <w:p>
      <w:pPr>
        <w:pStyle w:val="BodyText"/>
        <w:spacing w:line="446" w:lineRule="auto"/>
        <w:ind w:left="418" w:right="1767" w:firstLine="419"/>
      </w:pPr>
      <w:r>
        <w:rPr>
          <w:spacing w:val="-1"/>
        </w:rPr>
        <w:t>某企业</w:t>
      </w:r>
      <w:r>
        <w:rPr/>
        <w:t>（</w:t>
      </w:r>
      <w:r>
        <w:rPr>
          <w:spacing w:val="-3"/>
        </w:rPr>
        <w:t>企业代号：</w:t>
      </w:r>
      <w:r>
        <w:rPr/>
        <w:t>MXF）</w:t>
      </w:r>
      <w:r>
        <w:rPr>
          <w:spacing w:val="-6"/>
        </w:rPr>
        <w:t>生产的化学救援消防车，总质量 </w:t>
      </w:r>
      <w:r>
        <w:rPr/>
        <w:t>7 t</w:t>
      </w:r>
      <w:r>
        <w:rPr>
          <w:spacing w:val="-14"/>
        </w:rPr>
        <w:t>，装载 </w:t>
      </w:r>
      <w:r>
        <w:rPr/>
        <w:t>100</w:t>
      </w:r>
      <w:r>
        <w:rPr>
          <w:spacing w:val="-9"/>
        </w:rPr>
        <w:t> 件化学救援器</w:t>
      </w:r>
      <w:r>
        <w:rPr>
          <w:spacing w:val="-7"/>
        </w:rPr>
        <w:t>材，没有进行过改动，没有企业自定义代号，其型号为 </w:t>
      </w:r>
      <w:r>
        <w:rPr/>
        <w:t>MXF5070TXFHJ100</w:t>
      </w:r>
      <w:r>
        <w:rPr>
          <w:spacing w:val="-3"/>
        </w:rPr>
        <w:t>。</w:t>
      </w:r>
      <w:r>
        <w:rPr/>
        <w:t> </w:t>
      </w:r>
    </w:p>
    <w:p>
      <w:pPr>
        <w:spacing w:line="267" w:lineRule="exact" w:before="0"/>
        <w:ind w:left="840" w:right="0" w:firstLine="0"/>
        <w:jc w:val="left"/>
        <w:rPr>
          <w:sz w:val="21"/>
        </w:rPr>
      </w:pPr>
      <w:r>
        <w:rPr>
          <w:b/>
          <w:sz w:val="21"/>
        </w:rPr>
        <w:t>4.2.10 </w:t>
      </w:r>
      <w:r>
        <w:rPr>
          <w:sz w:val="21"/>
        </w:rPr>
        <w:t>消防车企业自定代号 </w:t>
      </w:r>
    </w:p>
    <w:p>
      <w:pPr>
        <w:pStyle w:val="BodyText"/>
        <w:spacing w:before="2"/>
        <w:rPr>
          <w:sz w:val="18"/>
        </w:rPr>
      </w:pPr>
    </w:p>
    <w:p>
      <w:pPr>
        <w:pStyle w:val="BodyText"/>
        <w:spacing w:line="446" w:lineRule="auto"/>
        <w:ind w:left="840" w:right="4026" w:hanging="3"/>
      </w:pPr>
      <w:r>
        <w:rPr/>
        <w:t>以汉语拼音字母和阿拉伯数字表示，位数及含义由企业自定。</w:t>
      </w:r>
      <w:r>
        <w:rPr>
          <w:b/>
        </w:rPr>
        <w:t>4.3 </w:t>
      </w:r>
      <w:r>
        <w:rPr/>
        <w:t>消防装备主参数变化规则 </w:t>
      </w:r>
    </w:p>
    <w:p>
      <w:pPr>
        <w:pStyle w:val="ListParagraph"/>
        <w:numPr>
          <w:ilvl w:val="2"/>
          <w:numId w:val="150"/>
        </w:numPr>
        <w:tabs>
          <w:tab w:pos="1371" w:val="left" w:leader="none"/>
        </w:tabs>
        <w:spacing w:line="446" w:lineRule="auto" w:before="0" w:after="0"/>
        <w:ind w:left="418" w:right="1500" w:firstLine="422"/>
        <w:jc w:val="left"/>
        <w:rPr>
          <w:sz w:val="21"/>
        </w:rPr>
      </w:pPr>
      <w:r>
        <w:rPr>
          <w:spacing w:val="-6"/>
          <w:sz w:val="21"/>
        </w:rPr>
        <w:t>主参数变化不大于原定型设计主参数的 </w:t>
      </w:r>
      <w:r>
        <w:rPr>
          <w:sz w:val="21"/>
        </w:rPr>
        <w:t>10</w:t>
      </w:r>
      <w:r>
        <w:rPr>
          <w:spacing w:val="-7"/>
          <w:sz w:val="21"/>
        </w:rPr>
        <w:t>%时，主参数不变。超过 </w:t>
      </w:r>
      <w:r>
        <w:rPr>
          <w:sz w:val="21"/>
        </w:rPr>
        <w:t>10</w:t>
      </w:r>
      <w:r>
        <w:rPr>
          <w:spacing w:val="-2"/>
          <w:sz w:val="21"/>
        </w:rPr>
        <w:t>%时，应改变主</w:t>
      </w:r>
      <w:r>
        <w:rPr>
          <w:spacing w:val="-3"/>
          <w:sz w:val="21"/>
        </w:rPr>
        <w:t>参数代号。</w:t>
      </w:r>
      <w:r>
        <w:rPr>
          <w:sz w:val="21"/>
        </w:rPr>
        <w:t> </w:t>
      </w:r>
    </w:p>
    <w:p>
      <w:pPr>
        <w:pStyle w:val="ListParagraph"/>
        <w:numPr>
          <w:ilvl w:val="2"/>
          <w:numId w:val="150"/>
        </w:numPr>
        <w:tabs>
          <w:tab w:pos="1370" w:val="left" w:leader="none"/>
        </w:tabs>
        <w:spacing w:line="240" w:lineRule="auto" w:before="0" w:after="0"/>
        <w:ind w:left="1369" w:right="0" w:hanging="530"/>
        <w:jc w:val="left"/>
        <w:rPr>
          <w:sz w:val="21"/>
        </w:rPr>
      </w:pPr>
      <w:r>
        <w:rPr>
          <w:spacing w:val="-3"/>
          <w:sz w:val="21"/>
        </w:rPr>
        <w:t>若因数字修约而导致主参数不变时，则应改变其产品序号。</w:t>
      </w:r>
      <w:r>
        <w:rPr>
          <w:sz w:val="21"/>
        </w:rPr>
        <w:t> </w:t>
      </w:r>
    </w:p>
    <w:p>
      <w:pPr>
        <w:pStyle w:val="BodyText"/>
        <w:spacing w:before="10"/>
        <w:rPr>
          <w:sz w:val="17"/>
        </w:rPr>
      </w:pPr>
    </w:p>
    <w:p>
      <w:pPr>
        <w:pStyle w:val="ListParagraph"/>
        <w:numPr>
          <w:ilvl w:val="2"/>
          <w:numId w:val="150"/>
        </w:numPr>
        <w:tabs>
          <w:tab w:pos="1371" w:val="left" w:leader="none"/>
        </w:tabs>
        <w:spacing w:line="240" w:lineRule="auto" w:before="1" w:after="0"/>
        <w:ind w:left="1370" w:right="0" w:hanging="531"/>
        <w:jc w:val="left"/>
        <w:rPr>
          <w:sz w:val="21"/>
        </w:rPr>
      </w:pPr>
      <w:r>
        <w:rPr>
          <w:spacing w:val="-8"/>
          <w:sz w:val="21"/>
        </w:rPr>
        <w:t>主参数的数字修约应符合 </w:t>
      </w:r>
      <w:r>
        <w:rPr>
          <w:sz w:val="21"/>
        </w:rPr>
        <w:t>GB/T</w:t>
      </w:r>
      <w:r>
        <w:rPr>
          <w:spacing w:val="1"/>
          <w:sz w:val="21"/>
        </w:rPr>
        <w:t> </w:t>
      </w:r>
      <w:r>
        <w:rPr>
          <w:sz w:val="21"/>
        </w:rPr>
        <w:t>8170</w:t>
      </w:r>
      <w:r>
        <w:rPr>
          <w:spacing w:val="-12"/>
          <w:sz w:val="21"/>
        </w:rPr>
        <w:t> 的规定。 </w:t>
      </w:r>
    </w:p>
    <w:p>
      <w:pPr>
        <w:pStyle w:val="BodyText"/>
        <w:spacing w:before="10"/>
        <w:rPr>
          <w:sz w:val="15"/>
        </w:rPr>
      </w:pPr>
    </w:p>
    <w:p>
      <w:pPr>
        <w:pStyle w:val="Heading4"/>
        <w:ind w:left="0" w:right="8419"/>
        <w:jc w:val="right"/>
      </w:pPr>
      <w:r>
        <w:rPr/>
        <w:t>5</w:t>
      </w:r>
      <w:r>
        <w:rPr>
          <w:spacing w:val="-1"/>
        </w:rPr>
        <w:t> 通用技术要求</w:t>
      </w:r>
      <w:r>
        <w:rPr>
          <w:spacing w:val="-1"/>
          <w:w w:val="99"/>
        </w:rPr>
        <w:t> </w:t>
      </w:r>
    </w:p>
    <w:p>
      <w:pPr>
        <w:pStyle w:val="BodyText"/>
        <w:spacing w:before="4"/>
        <w:rPr>
          <w:b/>
          <w:sz w:val="17"/>
        </w:rPr>
      </w:pPr>
    </w:p>
    <w:p>
      <w:pPr>
        <w:pStyle w:val="ListParagraph"/>
        <w:numPr>
          <w:ilvl w:val="1"/>
          <w:numId w:val="151"/>
        </w:numPr>
        <w:tabs>
          <w:tab w:pos="320" w:val="left" w:leader="none"/>
        </w:tabs>
        <w:spacing w:line="240" w:lineRule="auto" w:before="0" w:after="0"/>
        <w:ind w:left="1159" w:right="8436" w:hanging="1160"/>
        <w:jc w:val="right"/>
        <w:rPr>
          <w:sz w:val="21"/>
        </w:rPr>
      </w:pPr>
      <w:r>
        <w:rPr>
          <w:spacing w:val="-3"/>
          <w:sz w:val="21"/>
        </w:rPr>
        <w:t>整车性能</w:t>
      </w:r>
      <w:r>
        <w:rPr>
          <w:sz w:val="21"/>
        </w:rPr>
        <w:t> </w:t>
      </w:r>
    </w:p>
    <w:p>
      <w:pPr>
        <w:pStyle w:val="BodyText"/>
        <w:spacing w:before="12"/>
        <w:rPr>
          <w:sz w:val="17"/>
        </w:rPr>
      </w:pPr>
    </w:p>
    <w:p>
      <w:pPr>
        <w:pStyle w:val="ListParagraph"/>
        <w:numPr>
          <w:ilvl w:val="2"/>
          <w:numId w:val="151"/>
        </w:numPr>
        <w:tabs>
          <w:tab w:pos="1370" w:val="left" w:leader="none"/>
        </w:tabs>
        <w:spacing w:line="240" w:lineRule="auto" w:before="0" w:after="0"/>
        <w:ind w:left="1369" w:right="0" w:hanging="530"/>
        <w:jc w:val="left"/>
        <w:rPr>
          <w:sz w:val="21"/>
        </w:rPr>
      </w:pPr>
      <w:r>
        <w:rPr>
          <w:spacing w:val="-3"/>
          <w:sz w:val="21"/>
        </w:rPr>
        <w:t>可靠性行驶性能</w:t>
      </w:r>
      <w:r>
        <w:rPr>
          <w:sz w:val="21"/>
        </w:rPr>
        <w:t> </w:t>
      </w:r>
    </w:p>
    <w:p>
      <w:pPr>
        <w:spacing w:after="0" w:line="240" w:lineRule="auto"/>
        <w:jc w:val="left"/>
        <w:rPr>
          <w:sz w:val="21"/>
        </w:rPr>
        <w:sectPr>
          <w:pgSz w:w="11910" w:h="16850"/>
          <w:pgMar w:header="0" w:footer="1239" w:top="1600" w:bottom="1420" w:left="1260" w:right="0"/>
        </w:sectPr>
      </w:pPr>
    </w:p>
    <w:p>
      <w:pPr>
        <w:pStyle w:val="BodyText"/>
        <w:spacing w:line="446" w:lineRule="auto" w:before="47" w:after="17"/>
        <w:ind w:left="418" w:right="1608" w:firstLine="419"/>
        <w:jc w:val="both"/>
      </w:pPr>
      <w:r>
        <w:rPr>
          <w:spacing w:val="-8"/>
        </w:rPr>
        <w:t>消防车应进行 </w:t>
      </w:r>
      <w:r>
        <w:rPr/>
        <w:t>5000</w:t>
      </w:r>
      <w:r>
        <w:rPr>
          <w:spacing w:val="18"/>
        </w:rPr>
        <w:t> </w:t>
      </w:r>
      <w:r>
        <w:rPr/>
        <w:t>km</w:t>
      </w:r>
      <w:r>
        <w:rPr>
          <w:spacing w:val="-8"/>
        </w:rPr>
        <w:t> 可靠性行驶试验。可靠性行驶试验应在其他试验之后进行，试验后</w:t>
      </w:r>
      <w:r>
        <w:rPr>
          <w:spacing w:val="-5"/>
        </w:rPr>
        <w:t>消防车各功能应正常，不应有部件损坏、位移、断裂、接触不良、漏油、漏水和漏气等现象， </w:t>
      </w:r>
      <w:r>
        <w:rPr>
          <w:spacing w:val="-4"/>
        </w:rPr>
        <w:t>加速性能、最高车速、制动性能、消防性能不应低于可靠性行驶试验前性能。可靠性行驶试验</w:t>
      </w:r>
      <w:r>
        <w:rPr>
          <w:spacing w:val="-10"/>
        </w:rPr>
        <w:t>的里程分配见表 </w:t>
      </w:r>
      <w:r>
        <w:rPr/>
        <w:t>2</w:t>
      </w:r>
      <w:r>
        <w:rPr>
          <w:spacing w:val="-3"/>
        </w:rPr>
        <w:t>。</w:t>
      </w:r>
      <w:r>
        <w:rPr/>
        <w:t> </w:t>
      </w:r>
    </w:p>
    <w:p>
      <w:pPr>
        <w:pStyle w:val="BodyText"/>
        <w:ind w:left="658"/>
        <w:rPr>
          <w:sz w:val="20"/>
        </w:rPr>
      </w:pPr>
      <w:r>
        <w:rPr>
          <w:sz w:val="20"/>
        </w:rPr>
        <w:pict>
          <v:group style="width:411.05pt;height:265.350pt;mso-position-horizontal-relative:char;mso-position-vertical-relative:line" coordorigin="0,0" coordsize="8221,5307">
            <v:shape style="position:absolute;left:225;top:0;width:7471;height:2504" type="#_x0000_t75" stroked="false">
              <v:imagedata r:id="rId84" o:title=""/>
            </v:shape>
            <v:shape style="position:absolute;left:0;top:986;width:8221;height:4321" type="#_x0000_t75" stroked="false">
              <v:imagedata r:id="rId85" o:title=""/>
            </v:shape>
          </v:group>
        </w:pict>
      </w:r>
      <w:r>
        <w:rPr>
          <w:sz w:val="20"/>
        </w:rPr>
      </w:r>
    </w:p>
    <w:p>
      <w:pPr>
        <w:pStyle w:val="BodyText"/>
        <w:spacing w:before="6"/>
        <w:rPr>
          <w:sz w:val="16"/>
        </w:rPr>
      </w:pPr>
    </w:p>
    <w:p>
      <w:pPr>
        <w:pStyle w:val="ListParagraph"/>
        <w:numPr>
          <w:ilvl w:val="2"/>
          <w:numId w:val="151"/>
        </w:numPr>
        <w:tabs>
          <w:tab w:pos="1367" w:val="left" w:leader="none"/>
        </w:tabs>
        <w:spacing w:line="240" w:lineRule="auto" w:before="0" w:after="0"/>
        <w:ind w:left="1367" w:right="0" w:hanging="529"/>
        <w:jc w:val="left"/>
        <w:rPr>
          <w:sz w:val="21"/>
        </w:rPr>
      </w:pPr>
      <w:r>
        <w:rPr>
          <w:spacing w:val="-3"/>
          <w:sz w:val="21"/>
        </w:rPr>
        <w:t>动力性能</w:t>
      </w:r>
      <w:r>
        <w:rPr>
          <w:sz w:val="21"/>
        </w:rPr>
        <w:t> </w:t>
      </w:r>
    </w:p>
    <w:p>
      <w:pPr>
        <w:pStyle w:val="BodyText"/>
        <w:spacing w:before="12"/>
        <w:rPr>
          <w:sz w:val="17"/>
        </w:rPr>
      </w:pPr>
    </w:p>
    <w:p>
      <w:pPr>
        <w:pStyle w:val="ListParagraph"/>
        <w:numPr>
          <w:ilvl w:val="3"/>
          <w:numId w:val="151"/>
        </w:numPr>
        <w:tabs>
          <w:tab w:pos="1583" w:val="left" w:leader="none"/>
        </w:tabs>
        <w:spacing w:line="240" w:lineRule="auto" w:before="0" w:after="0"/>
        <w:ind w:left="1582" w:right="0" w:hanging="743"/>
        <w:jc w:val="left"/>
        <w:rPr>
          <w:sz w:val="19"/>
        </w:rPr>
      </w:pPr>
      <w:r>
        <w:rPr>
          <w:spacing w:val="-10"/>
          <w:sz w:val="21"/>
        </w:rPr>
        <w:t>比功率应符合表 </w:t>
      </w:r>
      <w:r>
        <w:rPr>
          <w:sz w:val="21"/>
        </w:rPr>
        <w:t>3</w:t>
      </w:r>
      <w:r>
        <w:rPr>
          <w:spacing w:val="-13"/>
          <w:sz w:val="21"/>
        </w:rPr>
        <w:t> 的规定。</w:t>
      </w:r>
      <w:r>
        <w:rPr>
          <w:sz w:val="21"/>
        </w:rPr>
        <w:t> </w:t>
      </w:r>
    </w:p>
    <w:p>
      <w:pPr>
        <w:pStyle w:val="BodyText"/>
        <w:rPr>
          <w:sz w:val="20"/>
        </w:rPr>
      </w:pPr>
    </w:p>
    <w:p>
      <w:pPr>
        <w:pStyle w:val="BodyText"/>
        <w:rPr>
          <w:sz w:val="20"/>
        </w:rPr>
      </w:pPr>
    </w:p>
    <w:p>
      <w:pPr>
        <w:pStyle w:val="BodyText"/>
        <w:spacing w:before="2"/>
        <w:rPr>
          <w:sz w:val="17"/>
        </w:rPr>
      </w:pPr>
    </w:p>
    <w:p>
      <w:pPr>
        <w:pStyle w:val="ListParagraph"/>
        <w:numPr>
          <w:ilvl w:val="3"/>
          <w:numId w:val="151"/>
        </w:numPr>
        <w:tabs>
          <w:tab w:pos="1583" w:val="left" w:leader="none"/>
        </w:tabs>
        <w:spacing w:line="240" w:lineRule="auto" w:before="0" w:after="0"/>
        <w:ind w:left="1582" w:right="0" w:hanging="743"/>
        <w:jc w:val="left"/>
        <w:rPr>
          <w:sz w:val="19"/>
        </w:rPr>
      </w:pPr>
      <w:r>
        <w:rPr>
          <w:spacing w:val="-9"/>
          <w:sz w:val="21"/>
        </w:rPr>
        <w:t>消防车最高车速和 </w:t>
      </w:r>
      <w:r>
        <w:rPr>
          <w:sz w:val="21"/>
        </w:rPr>
        <w:t>0～60</w:t>
      </w:r>
      <w:r>
        <w:rPr>
          <w:spacing w:val="3"/>
          <w:sz w:val="21"/>
        </w:rPr>
        <w:t> </w:t>
      </w:r>
      <w:r>
        <w:rPr>
          <w:sz w:val="21"/>
        </w:rPr>
        <w:t>km/h</w:t>
      </w:r>
      <w:r>
        <w:rPr>
          <w:spacing w:val="-14"/>
          <w:sz w:val="21"/>
        </w:rPr>
        <w:t> 加速时间应符合表 </w:t>
      </w:r>
      <w:r>
        <w:rPr>
          <w:sz w:val="21"/>
        </w:rPr>
        <w:t>4</w:t>
      </w:r>
      <w:r>
        <w:rPr>
          <w:spacing w:val="-15"/>
          <w:sz w:val="21"/>
        </w:rPr>
        <w:t> 的规定</w:t>
      </w:r>
      <w:r>
        <w:rPr>
          <w:sz w:val="21"/>
        </w:rPr>
        <w:t>（</w:t>
      </w:r>
      <w:r>
        <w:rPr>
          <w:spacing w:val="-3"/>
          <w:sz w:val="21"/>
        </w:rPr>
        <w:t>机场消防车除外）。</w:t>
      </w:r>
      <w:r>
        <w:rPr>
          <w:sz w:val="21"/>
        </w:rPr>
        <w:t> </w:t>
      </w:r>
    </w:p>
    <w:p>
      <w:pPr>
        <w:pStyle w:val="BodyText"/>
        <w:rPr>
          <w:sz w:val="18"/>
        </w:rPr>
      </w:pPr>
    </w:p>
    <w:p>
      <w:pPr>
        <w:pStyle w:val="ListParagraph"/>
        <w:numPr>
          <w:ilvl w:val="3"/>
          <w:numId w:val="151"/>
        </w:numPr>
        <w:tabs>
          <w:tab w:pos="1583" w:val="left" w:leader="none"/>
        </w:tabs>
        <w:spacing w:line="240" w:lineRule="auto" w:before="0" w:after="0"/>
        <w:ind w:left="1582" w:right="0" w:hanging="743"/>
        <w:jc w:val="left"/>
        <w:rPr>
          <w:sz w:val="19"/>
        </w:rPr>
      </w:pPr>
      <w:r>
        <w:rPr>
          <w:spacing w:val="-3"/>
          <w:sz w:val="21"/>
        </w:rPr>
        <w:t>消防车的满载最大爬坡度不应小于底盘参数。</w:t>
      </w:r>
      <w:r>
        <w:rPr>
          <w:sz w:val="21"/>
        </w:rPr>
        <w:t> </w:t>
      </w:r>
    </w:p>
    <w:p>
      <w:pPr>
        <w:pStyle w:val="BodyText"/>
        <w:spacing w:before="2"/>
        <w:rPr>
          <w:sz w:val="18"/>
        </w:rPr>
      </w:pPr>
    </w:p>
    <w:p>
      <w:pPr>
        <w:pStyle w:val="ListParagraph"/>
        <w:numPr>
          <w:ilvl w:val="2"/>
          <w:numId w:val="151"/>
        </w:numPr>
        <w:tabs>
          <w:tab w:pos="1371" w:val="left" w:leader="none"/>
        </w:tabs>
        <w:spacing w:line="240" w:lineRule="auto" w:before="0" w:after="0"/>
        <w:ind w:left="1370" w:right="0" w:hanging="531"/>
        <w:jc w:val="left"/>
        <w:rPr>
          <w:sz w:val="21"/>
        </w:rPr>
      </w:pPr>
      <w:r>
        <w:rPr>
          <w:spacing w:val="-3"/>
          <w:sz w:val="21"/>
        </w:rPr>
        <w:t>通过性能</w:t>
      </w:r>
      <w:r>
        <w:rPr>
          <w:sz w:val="21"/>
        </w:rPr>
        <w:t> </w:t>
      </w:r>
    </w:p>
    <w:p>
      <w:pPr>
        <w:pStyle w:val="BodyText"/>
        <w:rPr>
          <w:sz w:val="20"/>
        </w:rPr>
      </w:pPr>
    </w:p>
    <w:p>
      <w:pPr>
        <w:pStyle w:val="BodyText"/>
        <w:rPr>
          <w:sz w:val="20"/>
        </w:rPr>
      </w:pPr>
    </w:p>
    <w:p>
      <w:pPr>
        <w:pStyle w:val="BodyText"/>
        <w:spacing w:before="5"/>
        <w:rPr>
          <w:sz w:val="12"/>
        </w:rPr>
      </w:pPr>
      <w:r>
        <w:rPr/>
        <w:drawing>
          <wp:anchor distT="0" distB="0" distL="0" distR="0" allowOverlap="1" layoutInCell="1" locked="0" behindDoc="0" simplePos="0" relativeHeight="49">
            <wp:simplePos x="0" y="0"/>
            <wp:positionH relativeFrom="page">
              <wp:posOffset>1360805</wp:posOffset>
            </wp:positionH>
            <wp:positionV relativeFrom="paragraph">
              <wp:posOffset>125852</wp:posOffset>
            </wp:positionV>
            <wp:extent cx="5029200" cy="1952625"/>
            <wp:effectExtent l="0" t="0" r="0" b="0"/>
            <wp:wrapTopAndBottom/>
            <wp:docPr id="109" name="image78.jpeg"/>
            <wp:cNvGraphicFramePr>
              <a:graphicFrameLocks noChangeAspect="1"/>
            </wp:cNvGraphicFramePr>
            <a:graphic>
              <a:graphicData uri="http://schemas.openxmlformats.org/drawingml/2006/picture">
                <pic:pic>
                  <pic:nvPicPr>
                    <pic:cNvPr id="110" name="image78.jpeg"/>
                    <pic:cNvPicPr/>
                  </pic:nvPicPr>
                  <pic:blipFill>
                    <a:blip r:embed="rId86" cstate="print"/>
                    <a:stretch>
                      <a:fillRect/>
                    </a:stretch>
                  </pic:blipFill>
                  <pic:spPr>
                    <a:xfrm>
                      <a:off x="0" y="0"/>
                      <a:ext cx="5029200" cy="1952625"/>
                    </a:xfrm>
                    <a:prstGeom prst="rect">
                      <a:avLst/>
                    </a:prstGeom>
                  </pic:spPr>
                </pic:pic>
              </a:graphicData>
            </a:graphic>
          </wp:anchor>
        </w:drawing>
      </w:r>
    </w:p>
    <w:p>
      <w:pPr>
        <w:spacing w:after="0"/>
        <w:rPr>
          <w:sz w:val="12"/>
        </w:rPr>
        <w:sectPr>
          <w:pgSz w:w="11910" w:h="16850"/>
          <w:pgMar w:header="0" w:footer="1239" w:top="1220" w:bottom="1420" w:left="1260" w:right="0"/>
        </w:sectPr>
      </w:pPr>
    </w:p>
    <w:p>
      <w:pPr>
        <w:pStyle w:val="ListParagraph"/>
        <w:numPr>
          <w:ilvl w:val="3"/>
          <w:numId w:val="151"/>
        </w:numPr>
        <w:tabs>
          <w:tab w:pos="1583" w:val="left" w:leader="none"/>
        </w:tabs>
        <w:spacing w:line="446" w:lineRule="auto" w:before="47" w:after="0"/>
        <w:ind w:left="418" w:right="1603" w:firstLine="422"/>
        <w:jc w:val="left"/>
        <w:rPr>
          <w:sz w:val="19"/>
        </w:rPr>
      </w:pPr>
      <w:r>
        <w:rPr>
          <w:spacing w:val="-6"/>
          <w:sz w:val="21"/>
        </w:rPr>
        <w:t>消防车的车辆通道圆、车辆外摆值应符合 </w:t>
      </w:r>
      <w:r>
        <w:rPr>
          <w:sz w:val="21"/>
        </w:rPr>
        <w:t>GB</w:t>
      </w:r>
      <w:r>
        <w:rPr>
          <w:spacing w:val="7"/>
          <w:sz w:val="21"/>
        </w:rPr>
        <w:t> </w:t>
      </w:r>
      <w:r>
        <w:rPr>
          <w:sz w:val="21"/>
        </w:rPr>
        <w:t>1589—2004</w:t>
      </w:r>
      <w:r>
        <w:rPr>
          <w:spacing w:val="-34"/>
          <w:sz w:val="21"/>
        </w:rPr>
        <w:t> 中 </w:t>
      </w:r>
      <w:r>
        <w:rPr>
          <w:sz w:val="21"/>
        </w:rPr>
        <w:t>4.1.2.4</w:t>
      </w:r>
      <w:r>
        <w:rPr>
          <w:spacing w:val="-10"/>
          <w:sz w:val="21"/>
        </w:rPr>
        <w:t> 的要求，后</w:t>
      </w:r>
      <w:r>
        <w:rPr>
          <w:spacing w:val="-16"/>
          <w:sz w:val="21"/>
        </w:rPr>
        <w:t>悬应符合 </w:t>
      </w:r>
      <w:r>
        <w:rPr>
          <w:sz w:val="21"/>
        </w:rPr>
        <w:t>GB 7258—2012</w:t>
      </w:r>
      <w:r>
        <w:rPr>
          <w:spacing w:val="-36"/>
          <w:sz w:val="21"/>
        </w:rPr>
        <w:t> 中 </w:t>
      </w:r>
      <w:r>
        <w:rPr>
          <w:sz w:val="21"/>
        </w:rPr>
        <w:t>4.3</w:t>
      </w:r>
      <w:r>
        <w:rPr>
          <w:spacing w:val="-13"/>
          <w:sz w:val="21"/>
        </w:rPr>
        <w:t> 的要求。</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ListParagraph"/>
        <w:numPr>
          <w:ilvl w:val="3"/>
          <w:numId w:val="151"/>
        </w:numPr>
        <w:tabs>
          <w:tab w:pos="1583" w:val="left" w:leader="none"/>
        </w:tabs>
        <w:spacing w:line="240" w:lineRule="auto" w:before="72" w:after="0"/>
        <w:ind w:left="1582" w:right="0" w:hanging="743"/>
        <w:jc w:val="left"/>
        <w:rPr>
          <w:sz w:val="19"/>
        </w:rPr>
      </w:pPr>
      <w:r>
        <w:rPr/>
        <w:drawing>
          <wp:anchor distT="0" distB="0" distL="0" distR="0" allowOverlap="1" layoutInCell="1" locked="0" behindDoc="0" simplePos="0" relativeHeight="50">
            <wp:simplePos x="0" y="0"/>
            <wp:positionH relativeFrom="page">
              <wp:posOffset>1217930</wp:posOffset>
            </wp:positionH>
            <wp:positionV relativeFrom="paragraph">
              <wp:posOffset>260603</wp:posOffset>
            </wp:positionV>
            <wp:extent cx="5053629" cy="2089975"/>
            <wp:effectExtent l="0" t="0" r="0" b="0"/>
            <wp:wrapTopAndBottom/>
            <wp:docPr id="111" name="image79.jpeg"/>
            <wp:cNvGraphicFramePr>
              <a:graphicFrameLocks noChangeAspect="1"/>
            </wp:cNvGraphicFramePr>
            <a:graphic>
              <a:graphicData uri="http://schemas.openxmlformats.org/drawingml/2006/picture">
                <pic:pic>
                  <pic:nvPicPr>
                    <pic:cNvPr id="112" name="image79.jpeg"/>
                    <pic:cNvPicPr/>
                  </pic:nvPicPr>
                  <pic:blipFill>
                    <a:blip r:embed="rId87" cstate="print"/>
                    <a:stretch>
                      <a:fillRect/>
                    </a:stretch>
                  </pic:blipFill>
                  <pic:spPr>
                    <a:xfrm>
                      <a:off x="0" y="0"/>
                      <a:ext cx="5053629" cy="2089975"/>
                    </a:xfrm>
                    <a:prstGeom prst="rect">
                      <a:avLst/>
                    </a:prstGeom>
                  </pic:spPr>
                </pic:pic>
              </a:graphicData>
            </a:graphic>
          </wp:anchor>
        </w:drawing>
      </w:r>
      <w:r>
        <w:rPr>
          <w:spacing w:val="-7"/>
          <w:sz w:val="21"/>
        </w:rPr>
        <w:t>消防车的外廓尺寸应符合表 </w:t>
      </w:r>
      <w:r>
        <w:rPr>
          <w:sz w:val="21"/>
        </w:rPr>
        <w:t>5</w:t>
      </w:r>
      <w:r>
        <w:rPr>
          <w:spacing w:val="-13"/>
          <w:sz w:val="21"/>
        </w:rPr>
        <w:t> 的规定。</w:t>
      </w:r>
      <w:r>
        <w:rPr>
          <w:sz w:val="21"/>
        </w:rPr>
        <w:t> </w:t>
      </w:r>
    </w:p>
    <w:p>
      <w:pPr>
        <w:pStyle w:val="ListParagraph"/>
        <w:numPr>
          <w:ilvl w:val="2"/>
          <w:numId w:val="151"/>
        </w:numPr>
        <w:tabs>
          <w:tab w:pos="1370" w:val="left" w:leader="none"/>
        </w:tabs>
        <w:spacing w:line="240" w:lineRule="auto" w:before="165" w:after="0"/>
        <w:ind w:left="1369" w:right="0" w:hanging="530"/>
        <w:jc w:val="left"/>
        <w:rPr>
          <w:sz w:val="21"/>
        </w:rPr>
      </w:pPr>
      <w:r>
        <w:rPr>
          <w:spacing w:val="-3"/>
          <w:sz w:val="21"/>
        </w:rPr>
        <w:t>制动性能</w:t>
      </w:r>
      <w:r>
        <w:rPr>
          <w:sz w:val="21"/>
        </w:rPr>
        <w:t> </w:t>
      </w:r>
    </w:p>
    <w:p>
      <w:pPr>
        <w:pStyle w:val="BodyText"/>
        <w:spacing w:before="1"/>
        <w:rPr>
          <w:sz w:val="18"/>
        </w:rPr>
      </w:pPr>
    </w:p>
    <w:p>
      <w:pPr>
        <w:pStyle w:val="ListParagraph"/>
        <w:numPr>
          <w:ilvl w:val="3"/>
          <w:numId w:val="151"/>
        </w:numPr>
        <w:tabs>
          <w:tab w:pos="1576" w:val="left" w:leader="none"/>
        </w:tabs>
        <w:spacing w:line="240" w:lineRule="auto" w:before="1" w:after="0"/>
        <w:ind w:left="1575" w:right="0" w:hanging="738"/>
        <w:jc w:val="left"/>
        <w:rPr>
          <w:sz w:val="19"/>
        </w:rPr>
      </w:pPr>
      <w:r>
        <w:rPr>
          <w:spacing w:val="-8"/>
          <w:sz w:val="21"/>
        </w:rPr>
        <w:t>行车制动性能应符合 </w:t>
      </w:r>
      <w:r>
        <w:rPr>
          <w:sz w:val="21"/>
        </w:rPr>
        <w:t>GB</w:t>
      </w:r>
      <w:r>
        <w:rPr>
          <w:spacing w:val="4"/>
          <w:sz w:val="21"/>
        </w:rPr>
        <w:t> </w:t>
      </w:r>
      <w:r>
        <w:rPr>
          <w:sz w:val="21"/>
        </w:rPr>
        <w:t>7258—2012</w:t>
      </w:r>
      <w:r>
        <w:rPr>
          <w:spacing w:val="-35"/>
          <w:sz w:val="21"/>
        </w:rPr>
        <w:t> 中 </w:t>
      </w:r>
      <w:r>
        <w:rPr>
          <w:sz w:val="21"/>
        </w:rPr>
        <w:t>7.2</w:t>
      </w:r>
      <w:r>
        <w:rPr>
          <w:spacing w:val="-13"/>
          <w:sz w:val="21"/>
        </w:rPr>
        <w:t> 的规定。</w:t>
      </w:r>
      <w:r>
        <w:rPr>
          <w:sz w:val="21"/>
        </w:rPr>
        <w:t> </w:t>
      </w:r>
    </w:p>
    <w:p>
      <w:pPr>
        <w:pStyle w:val="BodyText"/>
        <w:spacing w:before="12"/>
        <w:rPr>
          <w:sz w:val="17"/>
        </w:rPr>
      </w:pPr>
    </w:p>
    <w:p>
      <w:pPr>
        <w:pStyle w:val="ListParagraph"/>
        <w:numPr>
          <w:ilvl w:val="3"/>
          <w:numId w:val="151"/>
        </w:numPr>
        <w:tabs>
          <w:tab w:pos="1576" w:val="left" w:leader="none"/>
        </w:tabs>
        <w:spacing w:line="240" w:lineRule="auto" w:before="0" w:after="0"/>
        <w:ind w:left="1575" w:right="0" w:hanging="738"/>
        <w:jc w:val="left"/>
        <w:rPr>
          <w:sz w:val="19"/>
        </w:rPr>
      </w:pPr>
      <w:r>
        <w:rPr>
          <w:spacing w:val="-8"/>
          <w:sz w:val="21"/>
        </w:rPr>
        <w:t>应急制动性能应符合 </w:t>
      </w:r>
      <w:r>
        <w:rPr>
          <w:sz w:val="21"/>
        </w:rPr>
        <w:t>GB</w:t>
      </w:r>
      <w:r>
        <w:rPr>
          <w:spacing w:val="4"/>
          <w:sz w:val="21"/>
        </w:rPr>
        <w:t> </w:t>
      </w:r>
      <w:r>
        <w:rPr>
          <w:sz w:val="21"/>
        </w:rPr>
        <w:t>7258—2012</w:t>
      </w:r>
      <w:r>
        <w:rPr>
          <w:spacing w:val="-35"/>
          <w:sz w:val="21"/>
        </w:rPr>
        <w:t> 中 </w:t>
      </w:r>
      <w:r>
        <w:rPr>
          <w:sz w:val="21"/>
        </w:rPr>
        <w:t>7.3</w:t>
      </w:r>
      <w:r>
        <w:rPr>
          <w:spacing w:val="-13"/>
          <w:sz w:val="21"/>
        </w:rPr>
        <w:t> 的规定。</w:t>
      </w:r>
      <w:r>
        <w:rPr>
          <w:sz w:val="21"/>
        </w:rPr>
        <w:t> </w:t>
      </w:r>
    </w:p>
    <w:p>
      <w:pPr>
        <w:pStyle w:val="BodyText"/>
        <w:spacing w:before="12"/>
        <w:rPr>
          <w:sz w:val="17"/>
        </w:rPr>
      </w:pPr>
    </w:p>
    <w:p>
      <w:pPr>
        <w:pStyle w:val="ListParagraph"/>
        <w:numPr>
          <w:ilvl w:val="3"/>
          <w:numId w:val="151"/>
        </w:numPr>
        <w:tabs>
          <w:tab w:pos="1576" w:val="left" w:leader="none"/>
        </w:tabs>
        <w:spacing w:line="240" w:lineRule="auto" w:before="0" w:after="0"/>
        <w:ind w:left="1575" w:right="0" w:hanging="738"/>
        <w:jc w:val="left"/>
        <w:rPr>
          <w:sz w:val="19"/>
        </w:rPr>
      </w:pPr>
      <w:r>
        <w:rPr>
          <w:spacing w:val="-8"/>
          <w:sz w:val="21"/>
        </w:rPr>
        <w:t>驻车制动性能应符合 </w:t>
      </w:r>
      <w:r>
        <w:rPr>
          <w:sz w:val="21"/>
        </w:rPr>
        <w:t>GB</w:t>
      </w:r>
      <w:r>
        <w:rPr>
          <w:spacing w:val="4"/>
          <w:sz w:val="21"/>
        </w:rPr>
        <w:t> </w:t>
      </w:r>
      <w:r>
        <w:rPr>
          <w:sz w:val="21"/>
        </w:rPr>
        <w:t>7258—2012</w:t>
      </w:r>
      <w:r>
        <w:rPr>
          <w:spacing w:val="-35"/>
          <w:sz w:val="21"/>
        </w:rPr>
        <w:t> 中 </w:t>
      </w:r>
      <w:r>
        <w:rPr>
          <w:sz w:val="21"/>
        </w:rPr>
        <w:t>7.4</w:t>
      </w:r>
      <w:r>
        <w:rPr>
          <w:spacing w:val="-13"/>
          <w:sz w:val="21"/>
        </w:rPr>
        <w:t> 的规定。</w:t>
      </w:r>
      <w:r>
        <w:rPr>
          <w:sz w:val="21"/>
        </w:rPr>
        <w:t> </w:t>
      </w:r>
    </w:p>
    <w:p>
      <w:pPr>
        <w:pStyle w:val="BodyText"/>
        <w:spacing w:before="2"/>
        <w:rPr>
          <w:sz w:val="18"/>
        </w:rPr>
      </w:pPr>
    </w:p>
    <w:p>
      <w:pPr>
        <w:pStyle w:val="ListParagraph"/>
        <w:numPr>
          <w:ilvl w:val="2"/>
          <w:numId w:val="151"/>
        </w:numPr>
        <w:tabs>
          <w:tab w:pos="1370" w:val="left" w:leader="none"/>
        </w:tabs>
        <w:spacing w:line="240" w:lineRule="auto" w:before="0" w:after="0"/>
        <w:ind w:left="1369" w:right="0" w:hanging="530"/>
        <w:jc w:val="left"/>
        <w:rPr>
          <w:sz w:val="21"/>
        </w:rPr>
      </w:pPr>
      <w:r>
        <w:rPr>
          <w:spacing w:val="-3"/>
          <w:sz w:val="21"/>
        </w:rPr>
        <w:t>轴荷和质量参数</w:t>
      </w:r>
      <w:r>
        <w:rPr>
          <w:sz w:val="21"/>
        </w:rPr>
        <w:t> </w:t>
      </w:r>
    </w:p>
    <w:p>
      <w:pPr>
        <w:pStyle w:val="BodyText"/>
        <w:rPr>
          <w:sz w:val="18"/>
        </w:rPr>
      </w:pPr>
    </w:p>
    <w:p>
      <w:pPr>
        <w:pStyle w:val="ListParagraph"/>
        <w:numPr>
          <w:ilvl w:val="3"/>
          <w:numId w:val="151"/>
        </w:numPr>
        <w:tabs>
          <w:tab w:pos="1576" w:val="left" w:leader="none"/>
        </w:tabs>
        <w:spacing w:line="446" w:lineRule="auto" w:before="0" w:after="0"/>
        <w:ind w:left="418" w:right="1608" w:firstLine="419"/>
        <w:jc w:val="left"/>
        <w:rPr>
          <w:sz w:val="19"/>
        </w:rPr>
      </w:pPr>
      <w:r>
        <w:rPr>
          <w:spacing w:val="-7"/>
          <w:sz w:val="21"/>
        </w:rPr>
        <w:t>消防车轴荷应符合表 </w:t>
      </w:r>
      <w:r>
        <w:rPr>
          <w:sz w:val="21"/>
        </w:rPr>
        <w:t>6</w:t>
      </w:r>
      <w:r>
        <w:rPr>
          <w:spacing w:val="-8"/>
          <w:sz w:val="21"/>
        </w:rPr>
        <w:t> 的规定，并不应超过国家公布的底盘厂公告允许的最大轴</w:t>
      </w:r>
      <w:r>
        <w:rPr>
          <w:spacing w:val="-5"/>
          <w:sz w:val="21"/>
        </w:rPr>
        <w:t>荷。消防车轴荷分配比例应与底盘规定的轴荷分配比例相符。</w:t>
      </w:r>
      <w:r>
        <w:rPr>
          <w:sz w:val="21"/>
        </w:rPr>
        <w:t> </w:t>
      </w:r>
    </w:p>
    <w:p>
      <w:pPr>
        <w:pStyle w:val="BodyText"/>
        <w:ind w:left="748"/>
        <w:rPr>
          <w:sz w:val="20"/>
        </w:rPr>
      </w:pPr>
      <w:r>
        <w:rPr>
          <w:sz w:val="20"/>
        </w:rPr>
        <w:drawing>
          <wp:inline distT="0" distB="0" distL="0" distR="0">
            <wp:extent cx="4903942" cy="1154430"/>
            <wp:effectExtent l="0" t="0" r="0" b="0"/>
            <wp:docPr id="113" name="image80.jpeg"/>
            <wp:cNvGraphicFramePr>
              <a:graphicFrameLocks noChangeAspect="1"/>
            </wp:cNvGraphicFramePr>
            <a:graphic>
              <a:graphicData uri="http://schemas.openxmlformats.org/drawingml/2006/picture">
                <pic:pic>
                  <pic:nvPicPr>
                    <pic:cNvPr id="114" name="image80.jpeg"/>
                    <pic:cNvPicPr/>
                  </pic:nvPicPr>
                  <pic:blipFill>
                    <a:blip r:embed="rId88" cstate="print"/>
                    <a:stretch>
                      <a:fillRect/>
                    </a:stretch>
                  </pic:blipFill>
                  <pic:spPr>
                    <a:xfrm>
                      <a:off x="0" y="0"/>
                      <a:ext cx="4903942" cy="1154430"/>
                    </a:xfrm>
                    <a:prstGeom prst="rect">
                      <a:avLst/>
                    </a:prstGeom>
                  </pic:spPr>
                </pic:pic>
              </a:graphicData>
            </a:graphic>
          </wp:inline>
        </w:drawing>
      </w:r>
      <w:r>
        <w:rPr>
          <w:sz w:val="20"/>
        </w:rPr>
      </w:r>
    </w:p>
    <w:p>
      <w:pPr>
        <w:pStyle w:val="BodyText"/>
        <w:spacing w:before="177"/>
        <w:ind w:right="912"/>
        <w:jc w:val="center"/>
      </w:pPr>
      <w:r>
        <w:rPr>
          <w:w w:val="100"/>
        </w:rPr>
        <w:t> </w:t>
      </w:r>
    </w:p>
    <w:p>
      <w:pPr>
        <w:spacing w:after="0"/>
        <w:jc w:val="center"/>
        <w:sectPr>
          <w:pgSz w:w="11910" w:h="16850"/>
          <w:pgMar w:header="0" w:footer="1239" w:top="1220" w:bottom="1420" w:left="1260" w:right="0"/>
        </w:sectPr>
      </w:pPr>
    </w:p>
    <w:p>
      <w:pPr>
        <w:pStyle w:val="ListParagraph"/>
        <w:numPr>
          <w:ilvl w:val="3"/>
          <w:numId w:val="151"/>
        </w:numPr>
        <w:tabs>
          <w:tab w:pos="1576" w:val="left" w:leader="none"/>
        </w:tabs>
        <w:spacing w:line="446" w:lineRule="auto" w:before="47" w:after="0"/>
        <w:ind w:left="418" w:right="1450" w:firstLine="419"/>
        <w:jc w:val="left"/>
        <w:rPr>
          <w:sz w:val="19"/>
        </w:rPr>
      </w:pPr>
      <w:r>
        <w:rPr>
          <w:spacing w:val="-5"/>
          <w:sz w:val="21"/>
        </w:rPr>
        <w:t>消防车总质量不应大于底盘厂公告允许总质量的 </w:t>
      </w:r>
      <w:r>
        <w:rPr>
          <w:sz w:val="21"/>
        </w:rPr>
        <w:t>97</w:t>
      </w:r>
      <w:r>
        <w:rPr>
          <w:spacing w:val="-3"/>
          <w:sz w:val="21"/>
        </w:rPr>
        <w:t>%。测量消防车总质量，消防车</w:t>
      </w:r>
      <w:r>
        <w:rPr>
          <w:spacing w:val="-5"/>
          <w:sz w:val="21"/>
        </w:rPr>
        <w:t>器材箱内没有器材时， 器材箱内面积相加后按 </w:t>
      </w:r>
      <w:r>
        <w:rPr>
          <w:sz w:val="21"/>
        </w:rPr>
        <w:t>100</w:t>
      </w:r>
      <w:r>
        <w:rPr>
          <w:spacing w:val="9"/>
          <w:sz w:val="21"/>
        </w:rPr>
        <w:t> </w:t>
      </w:r>
      <w:r>
        <w:rPr>
          <w:sz w:val="21"/>
        </w:rPr>
        <w:t>kg/</w:t>
      </w:r>
      <w:r>
        <w:rPr>
          <w:color w:val="333333"/>
          <w:spacing w:val="-3"/>
          <w:sz w:val="21"/>
        </w:rPr>
        <w:t>㎡</w:t>
      </w:r>
      <w:r>
        <w:rPr>
          <w:spacing w:val="-3"/>
          <w:sz w:val="21"/>
        </w:rPr>
        <w:t>配重；实测总质量小于生产企业设计总质量时，应按生产企业设计总质量配重。</w:t>
      </w:r>
      <w:r>
        <w:rPr>
          <w:sz w:val="21"/>
        </w:rPr>
        <w:t> </w:t>
      </w:r>
    </w:p>
    <w:p>
      <w:pPr>
        <w:pStyle w:val="ListParagraph"/>
        <w:numPr>
          <w:ilvl w:val="2"/>
          <w:numId w:val="151"/>
        </w:numPr>
        <w:tabs>
          <w:tab w:pos="1370" w:val="left" w:leader="none"/>
        </w:tabs>
        <w:spacing w:line="268" w:lineRule="exact" w:before="0" w:after="0"/>
        <w:ind w:left="1369" w:right="0" w:hanging="530"/>
        <w:jc w:val="left"/>
        <w:rPr>
          <w:sz w:val="21"/>
        </w:rPr>
      </w:pPr>
      <w:r>
        <w:rPr>
          <w:spacing w:val="-3"/>
          <w:sz w:val="21"/>
        </w:rPr>
        <w:t>安全性</w:t>
      </w:r>
      <w:r>
        <w:rPr>
          <w:sz w:val="21"/>
        </w:rPr>
        <w:t> </w:t>
      </w:r>
    </w:p>
    <w:p>
      <w:pPr>
        <w:pStyle w:val="BodyText"/>
        <w:rPr>
          <w:sz w:val="18"/>
        </w:rPr>
      </w:pPr>
    </w:p>
    <w:p>
      <w:pPr>
        <w:pStyle w:val="ListParagraph"/>
        <w:numPr>
          <w:ilvl w:val="3"/>
          <w:numId w:val="151"/>
        </w:numPr>
        <w:tabs>
          <w:tab w:pos="1576" w:val="left" w:leader="none"/>
        </w:tabs>
        <w:spacing w:line="240" w:lineRule="auto" w:before="0" w:after="0"/>
        <w:ind w:left="1575" w:right="0" w:hanging="738"/>
        <w:jc w:val="left"/>
        <w:rPr>
          <w:sz w:val="19"/>
        </w:rPr>
      </w:pPr>
      <w:r>
        <w:rPr>
          <w:spacing w:val="-3"/>
          <w:sz w:val="21"/>
        </w:rPr>
        <w:t>安全防护性能</w:t>
      </w:r>
      <w:r>
        <w:rPr>
          <w:sz w:val="21"/>
        </w:rPr>
        <w:t> </w:t>
      </w:r>
    </w:p>
    <w:p>
      <w:pPr>
        <w:pStyle w:val="BodyText"/>
        <w:spacing w:before="12"/>
        <w:rPr>
          <w:sz w:val="17"/>
        </w:rPr>
      </w:pPr>
    </w:p>
    <w:p>
      <w:pPr>
        <w:pStyle w:val="ListParagraph"/>
        <w:numPr>
          <w:ilvl w:val="4"/>
          <w:numId w:val="151"/>
        </w:numPr>
        <w:tabs>
          <w:tab w:pos="1788" w:val="left" w:leader="none"/>
        </w:tabs>
        <w:spacing w:line="446" w:lineRule="auto" w:before="0" w:after="0"/>
        <w:ind w:left="418" w:right="1505" w:firstLine="419"/>
        <w:jc w:val="left"/>
        <w:rPr>
          <w:sz w:val="21"/>
        </w:rPr>
      </w:pPr>
      <w:r>
        <w:rPr>
          <w:spacing w:val="-7"/>
          <w:sz w:val="21"/>
        </w:rPr>
        <w:t>消防车的后视野应符合 </w:t>
      </w:r>
      <w:r>
        <w:rPr>
          <w:sz w:val="21"/>
        </w:rPr>
        <w:t>GB</w:t>
      </w:r>
      <w:r>
        <w:rPr>
          <w:spacing w:val="12"/>
          <w:sz w:val="21"/>
        </w:rPr>
        <w:t> </w:t>
      </w:r>
      <w:r>
        <w:rPr>
          <w:sz w:val="21"/>
        </w:rPr>
        <w:t>15084</w:t>
      </w:r>
      <w:r>
        <w:rPr>
          <w:spacing w:val="-8"/>
          <w:sz w:val="21"/>
        </w:rPr>
        <w:t> 的要求；外部照明和信号装置的安装要求应符</w:t>
      </w:r>
      <w:r>
        <w:rPr>
          <w:spacing w:val="-31"/>
          <w:sz w:val="21"/>
        </w:rPr>
        <w:t>合 </w:t>
      </w:r>
      <w:r>
        <w:rPr>
          <w:sz w:val="21"/>
        </w:rPr>
        <w:t>GB</w:t>
      </w:r>
      <w:r>
        <w:rPr>
          <w:spacing w:val="-3"/>
          <w:sz w:val="21"/>
        </w:rPr>
        <w:t> </w:t>
      </w:r>
      <w:r>
        <w:rPr>
          <w:sz w:val="21"/>
        </w:rPr>
        <w:t>4785—2007</w:t>
      </w:r>
      <w:r>
        <w:rPr>
          <w:spacing w:val="-12"/>
          <w:sz w:val="21"/>
        </w:rPr>
        <w:t> 的规定。 </w:t>
      </w:r>
    </w:p>
    <w:p>
      <w:pPr>
        <w:pStyle w:val="ListParagraph"/>
        <w:numPr>
          <w:ilvl w:val="4"/>
          <w:numId w:val="151"/>
        </w:numPr>
        <w:tabs>
          <w:tab w:pos="1788" w:val="left" w:leader="none"/>
        </w:tabs>
        <w:spacing w:line="240" w:lineRule="auto" w:before="1" w:after="0"/>
        <w:ind w:left="1787" w:right="0" w:hanging="950"/>
        <w:jc w:val="left"/>
        <w:rPr>
          <w:sz w:val="21"/>
        </w:rPr>
      </w:pPr>
      <w:r>
        <w:rPr>
          <w:spacing w:val="-7"/>
          <w:sz w:val="21"/>
        </w:rPr>
        <w:t>消防车内饰材料的燃烧特性应符合 </w:t>
      </w:r>
      <w:r>
        <w:rPr>
          <w:sz w:val="21"/>
        </w:rPr>
        <w:t>GB</w:t>
      </w:r>
      <w:r>
        <w:rPr>
          <w:spacing w:val="-2"/>
          <w:sz w:val="21"/>
        </w:rPr>
        <w:t> </w:t>
      </w:r>
      <w:r>
        <w:rPr>
          <w:sz w:val="21"/>
        </w:rPr>
        <w:t>8410</w:t>
      </w:r>
      <w:r>
        <w:rPr>
          <w:spacing w:val="-13"/>
          <w:sz w:val="21"/>
        </w:rPr>
        <w:t> 的规定。</w:t>
      </w:r>
      <w:r>
        <w:rPr>
          <w:sz w:val="21"/>
        </w:rPr>
        <w:t> </w:t>
      </w:r>
    </w:p>
    <w:p>
      <w:pPr>
        <w:pStyle w:val="BodyText"/>
        <w:spacing w:before="12"/>
        <w:rPr>
          <w:sz w:val="17"/>
        </w:rPr>
      </w:pPr>
    </w:p>
    <w:p>
      <w:pPr>
        <w:pStyle w:val="ListParagraph"/>
        <w:numPr>
          <w:ilvl w:val="4"/>
          <w:numId w:val="151"/>
        </w:numPr>
        <w:tabs>
          <w:tab w:pos="1788" w:val="left" w:leader="none"/>
        </w:tabs>
        <w:spacing w:line="240" w:lineRule="auto" w:before="0" w:after="0"/>
        <w:ind w:left="1787" w:right="0" w:hanging="950"/>
        <w:jc w:val="left"/>
        <w:rPr>
          <w:sz w:val="21"/>
        </w:rPr>
      </w:pPr>
      <w:r>
        <w:rPr>
          <w:spacing w:val="-6"/>
          <w:sz w:val="21"/>
        </w:rPr>
        <w:t>消防车燃油系统及排气管口指向应符合 </w:t>
      </w:r>
      <w:r>
        <w:rPr>
          <w:sz w:val="21"/>
        </w:rPr>
        <w:t>GB</w:t>
      </w:r>
      <w:r>
        <w:rPr>
          <w:spacing w:val="2"/>
          <w:sz w:val="21"/>
        </w:rPr>
        <w:t> </w:t>
      </w:r>
      <w:r>
        <w:rPr>
          <w:sz w:val="21"/>
        </w:rPr>
        <w:t>7258—2012</w:t>
      </w:r>
      <w:r>
        <w:rPr>
          <w:spacing w:val="-36"/>
          <w:sz w:val="21"/>
        </w:rPr>
        <w:t> 中 </w:t>
      </w:r>
      <w:r>
        <w:rPr>
          <w:sz w:val="21"/>
        </w:rPr>
        <w:t>12.5</w:t>
      </w:r>
      <w:r>
        <w:rPr>
          <w:spacing w:val="-13"/>
          <w:sz w:val="21"/>
        </w:rPr>
        <w:t> 的要求。</w:t>
      </w:r>
      <w:r>
        <w:rPr>
          <w:sz w:val="21"/>
        </w:rPr>
        <w:t> </w:t>
      </w:r>
    </w:p>
    <w:p>
      <w:pPr>
        <w:pStyle w:val="BodyText"/>
        <w:spacing w:before="2"/>
        <w:rPr>
          <w:sz w:val="18"/>
        </w:rPr>
      </w:pPr>
    </w:p>
    <w:p>
      <w:pPr>
        <w:pStyle w:val="ListParagraph"/>
        <w:numPr>
          <w:ilvl w:val="4"/>
          <w:numId w:val="151"/>
        </w:numPr>
        <w:tabs>
          <w:tab w:pos="1788" w:val="left" w:leader="none"/>
        </w:tabs>
        <w:spacing w:line="446" w:lineRule="auto" w:before="0" w:after="0"/>
        <w:ind w:left="418" w:right="1714" w:firstLine="419"/>
        <w:jc w:val="left"/>
        <w:rPr>
          <w:sz w:val="21"/>
        </w:rPr>
      </w:pPr>
      <w:r>
        <w:rPr>
          <w:spacing w:val="-8"/>
          <w:sz w:val="21"/>
        </w:rPr>
        <w:t>消防车侧面防护应符合 </w:t>
      </w:r>
      <w:r>
        <w:rPr>
          <w:sz w:val="21"/>
        </w:rPr>
        <w:t>GB</w:t>
      </w:r>
      <w:r>
        <w:rPr>
          <w:spacing w:val="11"/>
          <w:sz w:val="21"/>
        </w:rPr>
        <w:t> </w:t>
      </w:r>
      <w:r>
        <w:rPr>
          <w:sz w:val="21"/>
        </w:rPr>
        <w:t>11567.1</w:t>
      </w:r>
      <w:r>
        <w:rPr>
          <w:spacing w:val="-9"/>
          <w:sz w:val="21"/>
        </w:rPr>
        <w:t> 的规定，采用越野底盆改制的消防车不适</w:t>
      </w:r>
      <w:r>
        <w:rPr>
          <w:spacing w:val="-6"/>
          <w:sz w:val="21"/>
        </w:rPr>
        <w:t>用。</w:t>
      </w:r>
      <w:r>
        <w:rPr>
          <w:sz w:val="21"/>
        </w:rPr>
        <w:t> </w:t>
      </w:r>
    </w:p>
    <w:p>
      <w:pPr>
        <w:pStyle w:val="ListParagraph"/>
        <w:numPr>
          <w:ilvl w:val="4"/>
          <w:numId w:val="151"/>
        </w:numPr>
        <w:tabs>
          <w:tab w:pos="1788" w:val="left" w:leader="none"/>
        </w:tabs>
        <w:spacing w:line="446" w:lineRule="auto" w:before="0" w:after="0"/>
        <w:ind w:left="418" w:right="1505" w:firstLine="419"/>
        <w:jc w:val="left"/>
        <w:rPr>
          <w:sz w:val="21"/>
        </w:rPr>
      </w:pPr>
      <w:r>
        <w:rPr>
          <w:spacing w:val="-7"/>
          <w:sz w:val="21"/>
        </w:rPr>
        <w:t>消防车后下部防护应符合 </w:t>
      </w:r>
      <w:r>
        <w:rPr>
          <w:sz w:val="21"/>
        </w:rPr>
        <w:t>GB</w:t>
      </w:r>
      <w:r>
        <w:rPr>
          <w:spacing w:val="9"/>
          <w:sz w:val="21"/>
        </w:rPr>
        <w:t> </w:t>
      </w:r>
      <w:r>
        <w:rPr>
          <w:sz w:val="21"/>
        </w:rPr>
        <w:t>11567.2</w:t>
      </w:r>
      <w:r>
        <w:rPr>
          <w:spacing w:val="-8"/>
          <w:sz w:val="21"/>
        </w:rPr>
        <w:t> 的规定，采用越野底盘改制的消防车不适</w:t>
      </w:r>
      <w:r>
        <w:rPr>
          <w:spacing w:val="-6"/>
          <w:sz w:val="21"/>
        </w:rPr>
        <w:t>用。</w:t>
      </w:r>
      <w:r>
        <w:rPr>
          <w:sz w:val="21"/>
        </w:rPr>
        <w:t> </w:t>
      </w:r>
    </w:p>
    <w:p>
      <w:pPr>
        <w:pStyle w:val="ListParagraph"/>
        <w:numPr>
          <w:ilvl w:val="4"/>
          <w:numId w:val="151"/>
        </w:numPr>
        <w:tabs>
          <w:tab w:pos="1788" w:val="left" w:leader="none"/>
        </w:tabs>
        <w:spacing w:line="446" w:lineRule="auto" w:before="0" w:after="0"/>
        <w:ind w:left="418" w:right="1505" w:firstLine="419"/>
        <w:jc w:val="left"/>
        <w:rPr>
          <w:sz w:val="21"/>
        </w:rPr>
      </w:pPr>
      <w:r>
        <w:rPr>
          <w:spacing w:val="-8"/>
          <w:sz w:val="21"/>
        </w:rPr>
        <w:t>消防车外表面应符合 </w:t>
      </w:r>
      <w:r>
        <w:rPr>
          <w:sz w:val="21"/>
        </w:rPr>
        <w:t>GB</w:t>
      </w:r>
      <w:r>
        <w:rPr>
          <w:spacing w:val="9"/>
          <w:sz w:val="21"/>
        </w:rPr>
        <w:t> </w:t>
      </w:r>
      <w:r>
        <w:rPr>
          <w:sz w:val="21"/>
        </w:rPr>
        <w:t>20182</w:t>
      </w:r>
      <w:r>
        <w:rPr>
          <w:spacing w:val="-8"/>
          <w:sz w:val="21"/>
        </w:rPr>
        <w:t> 的规定并不应有尖锐突出物和锐利的边缘。消防</w:t>
      </w:r>
      <w:r>
        <w:rPr>
          <w:spacing w:val="-5"/>
          <w:sz w:val="21"/>
        </w:rPr>
        <w:t>装置操作区域周围不应有可能对操作人员造成伤害的物品、热源。</w:t>
      </w:r>
      <w:r>
        <w:rPr>
          <w:sz w:val="21"/>
        </w:rPr>
        <w:t> </w:t>
      </w:r>
    </w:p>
    <w:p>
      <w:pPr>
        <w:pStyle w:val="ListParagraph"/>
        <w:numPr>
          <w:ilvl w:val="4"/>
          <w:numId w:val="151"/>
        </w:numPr>
        <w:tabs>
          <w:tab w:pos="1788" w:val="left" w:leader="none"/>
        </w:tabs>
        <w:spacing w:line="240" w:lineRule="auto" w:before="0" w:after="0"/>
        <w:ind w:left="1787" w:right="0" w:hanging="950"/>
        <w:jc w:val="left"/>
        <w:rPr>
          <w:sz w:val="21"/>
        </w:rPr>
      </w:pPr>
      <w:r>
        <w:rPr>
          <w:spacing w:val="-8"/>
          <w:sz w:val="21"/>
        </w:rPr>
        <w:t>对人员可能触碰到的超过 </w:t>
      </w:r>
      <w:r>
        <w:rPr>
          <w:sz w:val="21"/>
        </w:rPr>
        <w:t>60</w:t>
      </w:r>
      <w:r>
        <w:rPr>
          <w:spacing w:val="-3"/>
          <w:sz w:val="21"/>
        </w:rPr>
        <w:t> ℃的热表面及高速回转物均应设有防护装置。</w:t>
      </w:r>
      <w:r>
        <w:rPr>
          <w:sz w:val="21"/>
        </w:rPr>
        <w:t> </w:t>
      </w:r>
    </w:p>
    <w:p>
      <w:pPr>
        <w:pStyle w:val="BodyText"/>
        <w:spacing w:before="10"/>
        <w:rPr>
          <w:sz w:val="17"/>
        </w:rPr>
      </w:pPr>
    </w:p>
    <w:p>
      <w:pPr>
        <w:pStyle w:val="ListParagraph"/>
        <w:numPr>
          <w:ilvl w:val="4"/>
          <w:numId w:val="151"/>
        </w:numPr>
        <w:tabs>
          <w:tab w:pos="1788" w:val="left" w:leader="none"/>
        </w:tabs>
        <w:spacing w:line="446" w:lineRule="auto" w:before="0" w:after="0"/>
        <w:ind w:left="418" w:right="1608" w:firstLine="419"/>
        <w:jc w:val="left"/>
        <w:rPr>
          <w:sz w:val="21"/>
        </w:rPr>
      </w:pPr>
      <w:r>
        <w:rPr>
          <w:spacing w:val="-8"/>
          <w:sz w:val="21"/>
        </w:rPr>
        <w:t>消防车上公称通径大于 </w:t>
      </w:r>
      <w:r>
        <w:rPr>
          <w:sz w:val="21"/>
        </w:rPr>
        <w:t>65</w:t>
      </w:r>
      <w:r>
        <w:rPr>
          <w:spacing w:val="7"/>
          <w:sz w:val="21"/>
        </w:rPr>
        <w:t> </w:t>
      </w:r>
      <w:r>
        <w:rPr>
          <w:sz w:val="21"/>
        </w:rPr>
        <w:t>mm</w:t>
      </w:r>
      <w:r>
        <w:rPr>
          <w:spacing w:val="-13"/>
          <w:sz w:val="21"/>
        </w:rPr>
        <w:t> 的水带接口和压力不小于 </w:t>
      </w:r>
      <w:r>
        <w:rPr>
          <w:sz w:val="21"/>
        </w:rPr>
        <w:t>1.8</w:t>
      </w:r>
      <w:r>
        <w:rPr>
          <w:spacing w:val="7"/>
          <w:sz w:val="21"/>
        </w:rPr>
        <w:t> </w:t>
      </w:r>
      <w:r>
        <w:rPr>
          <w:sz w:val="21"/>
        </w:rPr>
        <w:t>MPa</w:t>
      </w:r>
      <w:r>
        <w:rPr>
          <w:spacing w:val="-10"/>
          <w:sz w:val="21"/>
        </w:rPr>
        <w:t> 的管路应远离</w:t>
      </w:r>
      <w:r>
        <w:rPr>
          <w:spacing w:val="-5"/>
          <w:sz w:val="21"/>
        </w:rPr>
        <w:t>操作人员或采取防护措施，以防止对操作人员造成伤害。</w:t>
      </w:r>
      <w:r>
        <w:rPr>
          <w:sz w:val="21"/>
        </w:rPr>
        <w:t> </w:t>
      </w:r>
    </w:p>
    <w:p>
      <w:pPr>
        <w:pStyle w:val="ListParagraph"/>
        <w:numPr>
          <w:ilvl w:val="4"/>
          <w:numId w:val="151"/>
        </w:numPr>
        <w:tabs>
          <w:tab w:pos="1788" w:val="left" w:leader="none"/>
        </w:tabs>
        <w:spacing w:line="240" w:lineRule="auto" w:before="0" w:after="0"/>
        <w:ind w:left="1787" w:right="0" w:hanging="950"/>
        <w:jc w:val="left"/>
        <w:rPr>
          <w:sz w:val="21"/>
        </w:rPr>
      </w:pPr>
      <w:r>
        <w:rPr>
          <w:spacing w:val="-3"/>
          <w:sz w:val="21"/>
        </w:rPr>
        <w:t>消防车使用的压力容器应由具有相应生产资质的企业创造。</w:t>
      </w:r>
      <w:r>
        <w:rPr>
          <w:sz w:val="21"/>
        </w:rPr>
        <w:t> </w:t>
      </w:r>
    </w:p>
    <w:p>
      <w:pPr>
        <w:pStyle w:val="BodyText"/>
        <w:rPr>
          <w:sz w:val="18"/>
        </w:rPr>
      </w:pPr>
    </w:p>
    <w:p>
      <w:pPr>
        <w:pStyle w:val="ListParagraph"/>
        <w:numPr>
          <w:ilvl w:val="4"/>
          <w:numId w:val="151"/>
        </w:numPr>
        <w:tabs>
          <w:tab w:pos="1893" w:val="left" w:leader="none"/>
        </w:tabs>
        <w:spacing w:line="446" w:lineRule="auto" w:before="0" w:after="0"/>
        <w:ind w:left="418" w:right="1714" w:firstLine="419"/>
        <w:jc w:val="left"/>
        <w:rPr>
          <w:sz w:val="21"/>
        </w:rPr>
      </w:pPr>
      <w:r>
        <w:rPr>
          <w:spacing w:val="-3"/>
          <w:sz w:val="21"/>
        </w:rPr>
        <w:t>压力容器在消防车上安装时，其与硬物接触处应衬上柔软、耐腐和减震的衬物。</w:t>
      </w:r>
      <w:r>
        <w:rPr>
          <w:sz w:val="21"/>
        </w:rPr>
        <w:t> </w:t>
      </w:r>
    </w:p>
    <w:p>
      <w:pPr>
        <w:pStyle w:val="ListParagraph"/>
        <w:numPr>
          <w:ilvl w:val="3"/>
          <w:numId w:val="151"/>
        </w:numPr>
        <w:tabs>
          <w:tab w:pos="1576" w:val="left" w:leader="none"/>
        </w:tabs>
        <w:spacing w:line="240" w:lineRule="auto" w:before="0" w:after="0"/>
        <w:ind w:left="1575" w:right="0" w:hanging="738"/>
        <w:jc w:val="left"/>
        <w:rPr>
          <w:sz w:val="19"/>
        </w:rPr>
      </w:pPr>
      <w:r>
        <w:rPr>
          <w:spacing w:val="-3"/>
          <w:sz w:val="21"/>
        </w:rPr>
        <w:t>质心高度和侧倾稳定角</w:t>
      </w:r>
      <w:r>
        <w:rPr>
          <w:sz w:val="21"/>
        </w:rPr>
        <w:t> </w:t>
      </w:r>
    </w:p>
    <w:p>
      <w:pPr>
        <w:pStyle w:val="BodyText"/>
        <w:spacing w:before="12"/>
        <w:rPr>
          <w:sz w:val="17"/>
        </w:rPr>
      </w:pPr>
    </w:p>
    <w:p>
      <w:pPr>
        <w:pStyle w:val="BodyText"/>
        <w:ind w:left="838"/>
      </w:pPr>
      <w:r>
        <w:rPr/>
        <w:t>消防车满载质量时质心高度和侧倾稳定角应符合表 7 的规定。 </w:t>
      </w:r>
    </w:p>
    <w:p>
      <w:pPr>
        <w:pStyle w:val="BodyText"/>
        <w:rPr>
          <w:sz w:val="12"/>
        </w:rPr>
      </w:pPr>
      <w:r>
        <w:rPr/>
        <w:drawing>
          <wp:anchor distT="0" distB="0" distL="0" distR="0" allowOverlap="1" layoutInCell="1" locked="0" behindDoc="0" simplePos="0" relativeHeight="51">
            <wp:simplePos x="0" y="0"/>
            <wp:positionH relativeFrom="page">
              <wp:posOffset>1341755</wp:posOffset>
            </wp:positionH>
            <wp:positionV relativeFrom="paragraph">
              <wp:posOffset>122999</wp:posOffset>
            </wp:positionV>
            <wp:extent cx="4972050" cy="1428750"/>
            <wp:effectExtent l="0" t="0" r="0" b="0"/>
            <wp:wrapTopAndBottom/>
            <wp:docPr id="115" name="image81.jpeg"/>
            <wp:cNvGraphicFramePr>
              <a:graphicFrameLocks noChangeAspect="1"/>
            </wp:cNvGraphicFramePr>
            <a:graphic>
              <a:graphicData uri="http://schemas.openxmlformats.org/drawingml/2006/picture">
                <pic:pic>
                  <pic:nvPicPr>
                    <pic:cNvPr id="116" name="image81.jpeg"/>
                    <pic:cNvPicPr/>
                  </pic:nvPicPr>
                  <pic:blipFill>
                    <a:blip r:embed="rId89" cstate="print"/>
                    <a:stretch>
                      <a:fillRect/>
                    </a:stretch>
                  </pic:blipFill>
                  <pic:spPr>
                    <a:xfrm>
                      <a:off x="0" y="0"/>
                      <a:ext cx="4972050" cy="1428750"/>
                    </a:xfrm>
                    <a:prstGeom prst="rect">
                      <a:avLst/>
                    </a:prstGeom>
                  </pic:spPr>
                </pic:pic>
              </a:graphicData>
            </a:graphic>
          </wp:anchor>
        </w:drawing>
      </w:r>
    </w:p>
    <w:p>
      <w:pPr>
        <w:spacing w:after="0"/>
        <w:rPr>
          <w:sz w:val="12"/>
        </w:rPr>
        <w:sectPr>
          <w:pgSz w:w="11910" w:h="16850"/>
          <w:pgMar w:header="0" w:footer="1239" w:top="1220" w:bottom="1420" w:left="1260" w:right="0"/>
        </w:sectPr>
      </w:pPr>
    </w:p>
    <w:p>
      <w:pPr>
        <w:pStyle w:val="ListParagraph"/>
        <w:numPr>
          <w:ilvl w:val="2"/>
          <w:numId w:val="151"/>
        </w:numPr>
        <w:tabs>
          <w:tab w:pos="1370" w:val="left" w:leader="none"/>
        </w:tabs>
        <w:spacing w:line="240" w:lineRule="auto" w:before="167" w:after="0"/>
        <w:ind w:left="1369" w:right="0" w:hanging="530"/>
        <w:jc w:val="left"/>
        <w:rPr>
          <w:sz w:val="21"/>
        </w:rPr>
      </w:pPr>
      <w:r>
        <w:rPr>
          <w:spacing w:val="-3"/>
          <w:sz w:val="21"/>
        </w:rPr>
        <w:t>可维修性</w:t>
      </w:r>
      <w:r>
        <w:rPr>
          <w:sz w:val="21"/>
        </w:rPr>
        <w:t> </w:t>
      </w:r>
    </w:p>
    <w:p>
      <w:pPr>
        <w:pStyle w:val="BodyText"/>
        <w:spacing w:before="12"/>
        <w:rPr>
          <w:sz w:val="17"/>
        </w:rPr>
      </w:pPr>
    </w:p>
    <w:p>
      <w:pPr>
        <w:pStyle w:val="ListParagraph"/>
        <w:numPr>
          <w:ilvl w:val="3"/>
          <w:numId w:val="151"/>
        </w:numPr>
        <w:tabs>
          <w:tab w:pos="1576" w:val="left" w:leader="none"/>
        </w:tabs>
        <w:spacing w:line="446" w:lineRule="auto" w:before="0" w:after="0"/>
        <w:ind w:left="418" w:right="1609" w:firstLine="419"/>
        <w:jc w:val="left"/>
        <w:rPr>
          <w:sz w:val="19"/>
        </w:rPr>
      </w:pPr>
      <w:r>
        <w:rPr>
          <w:spacing w:val="-3"/>
          <w:sz w:val="21"/>
        </w:rPr>
        <w:t>消防车的设计应保证当按底盘制造厂要求检查发动机机油和冷却液液位时不需要翻转驾驶室或使用工具。</w:t>
      </w:r>
      <w:r>
        <w:rPr>
          <w:sz w:val="21"/>
        </w:rPr>
        <w:t> </w:t>
      </w:r>
    </w:p>
    <w:p>
      <w:pPr>
        <w:pStyle w:val="ListParagraph"/>
        <w:numPr>
          <w:ilvl w:val="3"/>
          <w:numId w:val="151"/>
        </w:numPr>
        <w:tabs>
          <w:tab w:pos="1576" w:val="left" w:leader="none"/>
        </w:tabs>
        <w:spacing w:line="446" w:lineRule="auto" w:before="0" w:after="0"/>
        <w:ind w:left="418" w:right="1609" w:firstLine="419"/>
        <w:jc w:val="left"/>
        <w:rPr>
          <w:sz w:val="19"/>
        </w:rPr>
      </w:pPr>
      <w:r>
        <w:rPr>
          <w:spacing w:val="-3"/>
          <w:sz w:val="21"/>
        </w:rPr>
        <w:t>对于保养、维修时需拆卸的零、部件，应使用可拆卸，可重复使用的连接件，不应采用焊接、铆接等方法故定。</w:t>
      </w:r>
      <w:r>
        <w:rPr>
          <w:sz w:val="21"/>
        </w:rPr>
        <w:t> </w:t>
      </w:r>
    </w:p>
    <w:p>
      <w:pPr>
        <w:pStyle w:val="ListParagraph"/>
        <w:numPr>
          <w:ilvl w:val="2"/>
          <w:numId w:val="151"/>
        </w:numPr>
        <w:tabs>
          <w:tab w:pos="1370" w:val="left" w:leader="none"/>
        </w:tabs>
        <w:spacing w:line="240" w:lineRule="auto" w:before="0" w:after="0"/>
        <w:ind w:left="1369" w:right="0" w:hanging="530"/>
        <w:jc w:val="left"/>
        <w:rPr>
          <w:sz w:val="21"/>
        </w:rPr>
      </w:pPr>
      <w:r>
        <w:rPr>
          <w:spacing w:val="-3"/>
          <w:sz w:val="21"/>
        </w:rPr>
        <w:t>防雨密封性能</w:t>
      </w:r>
      <w:r>
        <w:rPr>
          <w:sz w:val="21"/>
        </w:rPr>
        <w:t> </w:t>
      </w:r>
    </w:p>
    <w:p>
      <w:pPr>
        <w:pStyle w:val="BodyText"/>
        <w:rPr>
          <w:sz w:val="18"/>
        </w:rPr>
      </w:pPr>
    </w:p>
    <w:p>
      <w:pPr>
        <w:pStyle w:val="BodyText"/>
        <w:ind w:left="838"/>
      </w:pPr>
      <w:r>
        <w:rPr/>
        <w:t>消防车应有良好的防雨密封性能，驾驶室 、乘员室、放置电气设备或需防水器材的器材箱</w:t>
      </w:r>
    </w:p>
    <w:p>
      <w:pPr>
        <w:pStyle w:val="BodyText"/>
        <w:spacing w:before="12"/>
        <w:rPr>
          <w:sz w:val="17"/>
        </w:rPr>
      </w:pPr>
    </w:p>
    <w:p>
      <w:pPr>
        <w:pStyle w:val="BodyText"/>
        <w:spacing w:line="446" w:lineRule="auto"/>
        <w:ind w:left="418" w:right="1817"/>
      </w:pPr>
      <w:r>
        <w:rPr/>
        <w:t>（若无法确定器材箱内的器材类型，则此器材箱的防雨密封性应与放置防水器材的器材箱相同）和装有电气设备的泵房不应漏水，警灯和频闪灯不应进水。 </w:t>
      </w:r>
    </w:p>
    <w:p>
      <w:pPr>
        <w:pStyle w:val="ListParagraph"/>
        <w:numPr>
          <w:ilvl w:val="2"/>
          <w:numId w:val="151"/>
        </w:numPr>
        <w:tabs>
          <w:tab w:pos="1371" w:val="left" w:leader="none"/>
        </w:tabs>
        <w:spacing w:line="240" w:lineRule="auto" w:before="0" w:after="0"/>
        <w:ind w:left="1370" w:right="0" w:hanging="531"/>
        <w:jc w:val="left"/>
        <w:rPr>
          <w:sz w:val="21"/>
        </w:rPr>
      </w:pPr>
      <w:r>
        <w:rPr>
          <w:spacing w:val="-3"/>
          <w:sz w:val="21"/>
        </w:rPr>
        <w:t>低温使用要求</w:t>
      </w:r>
      <w:r>
        <w:rPr>
          <w:sz w:val="21"/>
        </w:rPr>
        <w:t> </w:t>
      </w:r>
    </w:p>
    <w:p>
      <w:pPr>
        <w:pStyle w:val="BodyText"/>
        <w:rPr>
          <w:sz w:val="18"/>
        </w:rPr>
      </w:pPr>
    </w:p>
    <w:p>
      <w:pPr>
        <w:pStyle w:val="BodyText"/>
        <w:spacing w:line="446" w:lineRule="auto"/>
        <w:ind w:left="418" w:right="1608" w:firstLine="419"/>
        <w:jc w:val="both"/>
      </w:pPr>
      <w:r>
        <w:rPr/>
        <w:t>冬季最低气温-10 ℃或以下的低温地区使用的消防车消防泵、外露阀门和管道等过水部件应有保温或加温装置以保证消防泵和阀门正常工作。保温或加温装置的启动应在消防车驾驶位置进行。 </w:t>
      </w:r>
    </w:p>
    <w:p>
      <w:pPr>
        <w:pStyle w:val="ListParagraph"/>
        <w:numPr>
          <w:ilvl w:val="1"/>
          <w:numId w:val="152"/>
        </w:numPr>
        <w:tabs>
          <w:tab w:pos="1159" w:val="left" w:leader="none"/>
        </w:tabs>
        <w:spacing w:line="268" w:lineRule="exact" w:before="0" w:after="0"/>
        <w:ind w:left="1158" w:right="0" w:hanging="319"/>
        <w:jc w:val="left"/>
        <w:rPr>
          <w:b/>
          <w:sz w:val="21"/>
        </w:rPr>
      </w:pPr>
      <w:r>
        <w:rPr>
          <w:spacing w:val="-3"/>
          <w:sz w:val="21"/>
        </w:rPr>
        <w:t>整车标志和标识</w:t>
      </w:r>
      <w:r>
        <w:rPr>
          <w:b/>
          <w:w w:val="99"/>
          <w:sz w:val="21"/>
        </w:rPr>
        <w:t> </w:t>
      </w:r>
    </w:p>
    <w:p>
      <w:pPr>
        <w:pStyle w:val="BodyText"/>
        <w:spacing w:before="2"/>
        <w:rPr>
          <w:b/>
          <w:sz w:val="18"/>
        </w:rPr>
      </w:pPr>
    </w:p>
    <w:p>
      <w:pPr>
        <w:pStyle w:val="ListParagraph"/>
        <w:numPr>
          <w:ilvl w:val="2"/>
          <w:numId w:val="152"/>
        </w:numPr>
        <w:tabs>
          <w:tab w:pos="1371" w:val="left" w:leader="none"/>
        </w:tabs>
        <w:spacing w:line="446" w:lineRule="auto" w:before="0" w:after="0"/>
        <w:ind w:left="418" w:right="1501" w:firstLine="422"/>
        <w:jc w:val="left"/>
        <w:rPr>
          <w:sz w:val="21"/>
        </w:rPr>
      </w:pPr>
      <w:r>
        <w:rPr>
          <w:spacing w:val="-3"/>
          <w:sz w:val="21"/>
        </w:rPr>
        <w:t>消防车前部应有永久保持的消防车生产企业的商标或厂标 。后部应永久保持按《汽</w:t>
      </w:r>
      <w:r>
        <w:rPr>
          <w:spacing w:val="-5"/>
          <w:sz w:val="21"/>
        </w:rPr>
        <w:t>车产品外部标识管理办法》要求的消防车商标和型号。消防车标志还应符合 </w:t>
      </w:r>
      <w:r>
        <w:rPr>
          <w:sz w:val="21"/>
        </w:rPr>
        <w:t>GB</w:t>
      </w:r>
      <w:r>
        <w:rPr>
          <w:spacing w:val="14"/>
          <w:sz w:val="21"/>
        </w:rPr>
        <w:t> </w:t>
      </w:r>
      <w:r>
        <w:rPr>
          <w:sz w:val="21"/>
        </w:rPr>
        <w:t>7258—2012</w:t>
      </w:r>
      <w:r>
        <w:rPr>
          <w:spacing w:val="-25"/>
          <w:sz w:val="21"/>
        </w:rPr>
        <w:t> 中</w:t>
      </w:r>
    </w:p>
    <w:p>
      <w:pPr>
        <w:pStyle w:val="BodyText"/>
        <w:spacing w:line="446" w:lineRule="auto"/>
        <w:ind w:left="840" w:right="1608" w:hanging="423"/>
      </w:pPr>
      <w:r>
        <w:rPr/>
        <w:t>4.1</w:t>
      </w:r>
      <w:r>
        <w:rPr>
          <w:spacing w:val="-9"/>
        </w:rPr>
        <w:t> 的要求。消防车产品标牌应符合 </w:t>
      </w:r>
      <w:r>
        <w:rPr/>
        <w:t>GB/T</w:t>
      </w:r>
      <w:r>
        <w:rPr>
          <w:spacing w:val="30"/>
        </w:rPr>
        <w:t> </w:t>
      </w:r>
      <w:r>
        <w:rPr/>
        <w:t>18411</w:t>
      </w:r>
      <w:r>
        <w:rPr>
          <w:spacing w:val="-7"/>
        </w:rPr>
        <w:t> 的规定，并注明消防车使用温度范围。</w:t>
      </w:r>
      <w:r>
        <w:rPr>
          <w:b/>
          <w:spacing w:val="-7"/>
        </w:rPr>
        <w:t>5.2.2</w:t>
      </w:r>
      <w:r>
        <w:rPr>
          <w:b/>
          <w:spacing w:val="3"/>
        </w:rPr>
        <w:t> </w:t>
      </w:r>
      <w:r>
        <w:rPr>
          <w:spacing w:val="-6"/>
        </w:rPr>
        <w:t>消防车的车辆识别代号应分别符合 </w:t>
      </w:r>
      <w:r>
        <w:rPr/>
        <w:t>GB</w:t>
      </w:r>
      <w:r>
        <w:rPr>
          <w:spacing w:val="1"/>
        </w:rPr>
        <w:t> </w:t>
      </w:r>
      <w:r>
        <w:rPr/>
        <w:t>16735</w:t>
      </w:r>
      <w:r>
        <w:rPr>
          <w:spacing w:val="-35"/>
        </w:rPr>
        <w:t> 和 </w:t>
      </w:r>
      <w:r>
        <w:rPr/>
        <w:t>GB</w:t>
      </w:r>
      <w:r>
        <w:rPr>
          <w:spacing w:val="1"/>
        </w:rPr>
        <w:t> </w:t>
      </w:r>
      <w:r>
        <w:rPr/>
        <w:t>7258—2012</w:t>
      </w:r>
      <w:r>
        <w:rPr>
          <w:spacing w:val="-35"/>
        </w:rPr>
        <w:t> 中 </w:t>
      </w:r>
      <w:r>
        <w:rPr/>
        <w:t>4.1.3</w:t>
      </w:r>
      <w:r>
        <w:rPr>
          <w:spacing w:val="-12"/>
        </w:rPr>
        <w:t> 的规定。</w:t>
      </w:r>
      <w:r>
        <w:rPr>
          <w:b/>
        </w:rPr>
        <w:t>5.2.3</w:t>
      </w:r>
      <w:r>
        <w:rPr>
          <w:b/>
          <w:spacing w:val="2"/>
        </w:rPr>
        <w:t> </w:t>
      </w:r>
      <w:r>
        <w:rPr>
          <w:spacing w:val="-8"/>
        </w:rPr>
        <w:t>消防车车身的颜色应符合 </w:t>
      </w:r>
      <w:r>
        <w:rPr/>
        <w:t>GB/T</w:t>
      </w:r>
      <w:r>
        <w:rPr>
          <w:spacing w:val="1"/>
        </w:rPr>
        <w:t> </w:t>
      </w:r>
      <w:r>
        <w:rPr/>
        <w:t>3181</w:t>
      </w:r>
      <w:r>
        <w:rPr>
          <w:spacing w:val="-19"/>
        </w:rPr>
        <w:t> 中规定的 </w:t>
      </w:r>
      <w:r>
        <w:rPr/>
        <w:t>R03</w:t>
      </w:r>
      <w:r>
        <w:rPr>
          <w:spacing w:val="-13"/>
        </w:rPr>
        <w:t> 大红色。</w:t>
      </w:r>
      <w:r>
        <w:rPr/>
        <w:t> </w:t>
      </w:r>
    </w:p>
    <w:p>
      <w:pPr>
        <w:pStyle w:val="ListParagraph"/>
        <w:numPr>
          <w:ilvl w:val="2"/>
          <w:numId w:val="153"/>
        </w:numPr>
        <w:tabs>
          <w:tab w:pos="1370" w:val="left" w:leader="none"/>
        </w:tabs>
        <w:spacing w:line="268" w:lineRule="exact" w:before="0" w:after="0"/>
        <w:ind w:left="1369" w:right="0" w:hanging="530"/>
        <w:jc w:val="left"/>
        <w:rPr>
          <w:sz w:val="21"/>
        </w:rPr>
      </w:pPr>
      <w:r>
        <w:rPr>
          <w:spacing w:val="-8"/>
          <w:sz w:val="21"/>
        </w:rPr>
        <w:t>消防车后部和两侧面应按 </w:t>
      </w:r>
      <w:r>
        <w:rPr>
          <w:sz w:val="21"/>
        </w:rPr>
        <w:t>GB</w:t>
      </w:r>
      <w:r>
        <w:rPr>
          <w:spacing w:val="-2"/>
          <w:sz w:val="21"/>
        </w:rPr>
        <w:t> </w:t>
      </w:r>
      <w:r>
        <w:rPr>
          <w:sz w:val="21"/>
        </w:rPr>
        <w:t>7258—2012</w:t>
      </w:r>
      <w:r>
        <w:rPr>
          <w:spacing w:val="-8"/>
          <w:sz w:val="21"/>
        </w:rPr>
        <w:t> 中要求粘贴反光标识。</w:t>
      </w:r>
      <w:r>
        <w:rPr>
          <w:sz w:val="21"/>
        </w:rPr>
        <w:t> </w:t>
      </w:r>
    </w:p>
    <w:p>
      <w:pPr>
        <w:pStyle w:val="BodyText"/>
        <w:spacing w:before="12"/>
        <w:rPr>
          <w:sz w:val="17"/>
        </w:rPr>
      </w:pPr>
    </w:p>
    <w:p>
      <w:pPr>
        <w:pStyle w:val="ListParagraph"/>
        <w:numPr>
          <w:ilvl w:val="2"/>
          <w:numId w:val="153"/>
        </w:numPr>
        <w:tabs>
          <w:tab w:pos="1371" w:val="left" w:leader="none"/>
        </w:tabs>
        <w:spacing w:line="240" w:lineRule="auto" w:before="0" w:after="0"/>
        <w:ind w:left="1370" w:right="0" w:hanging="531"/>
        <w:jc w:val="left"/>
        <w:rPr>
          <w:sz w:val="21"/>
        </w:rPr>
      </w:pPr>
      <w:r>
        <w:rPr>
          <w:spacing w:val="-3"/>
          <w:sz w:val="21"/>
        </w:rPr>
        <w:t>消防车号牌板（架</w:t>
      </w:r>
      <w:r>
        <w:rPr>
          <w:sz w:val="21"/>
        </w:rPr>
        <w:t>）</w:t>
      </w:r>
      <w:r>
        <w:rPr>
          <w:spacing w:val="2"/>
          <w:sz w:val="21"/>
        </w:rPr>
        <w:t>及其位置的要求应符合</w:t>
      </w:r>
      <w:r>
        <w:rPr>
          <w:sz w:val="21"/>
        </w:rPr>
        <w:t>GB</w:t>
      </w:r>
      <w:r>
        <w:rPr>
          <w:spacing w:val="1"/>
          <w:sz w:val="21"/>
        </w:rPr>
        <w:t> </w:t>
      </w:r>
      <w:r>
        <w:rPr>
          <w:sz w:val="21"/>
        </w:rPr>
        <w:t>15741</w:t>
      </w:r>
      <w:r>
        <w:rPr>
          <w:spacing w:val="-13"/>
          <w:sz w:val="21"/>
        </w:rPr>
        <w:t> 的规定。</w:t>
      </w:r>
      <w:r>
        <w:rPr>
          <w:sz w:val="21"/>
        </w:rPr>
        <w:t> </w:t>
      </w:r>
    </w:p>
    <w:p>
      <w:pPr>
        <w:pStyle w:val="BodyText"/>
        <w:spacing w:before="12"/>
        <w:rPr>
          <w:sz w:val="17"/>
        </w:rPr>
      </w:pPr>
    </w:p>
    <w:p>
      <w:pPr>
        <w:pStyle w:val="ListParagraph"/>
        <w:numPr>
          <w:ilvl w:val="2"/>
          <w:numId w:val="153"/>
        </w:numPr>
        <w:tabs>
          <w:tab w:pos="1371" w:val="left" w:leader="none"/>
        </w:tabs>
        <w:spacing w:line="436" w:lineRule="auto" w:before="0" w:after="0"/>
        <w:ind w:left="418" w:right="1500" w:firstLine="422"/>
        <w:jc w:val="left"/>
        <w:rPr>
          <w:sz w:val="21"/>
        </w:rPr>
      </w:pPr>
      <w:r>
        <w:rPr>
          <w:spacing w:val="-3"/>
          <w:sz w:val="21"/>
        </w:rPr>
        <w:t>消防车轮胎充气压力应在轮胎上方车体上标注。充气压力的单位为“</w:t>
      </w:r>
      <w:r>
        <w:rPr>
          <w:sz w:val="21"/>
        </w:rPr>
        <w:t>kPa</w:t>
      </w:r>
      <w:r>
        <w:rPr>
          <w:spacing w:val="-1"/>
          <w:sz w:val="21"/>
        </w:rPr>
        <w:t>”，在其下</w:t>
      </w:r>
      <w:r>
        <w:rPr>
          <w:spacing w:val="-3"/>
          <w:sz w:val="21"/>
        </w:rPr>
        <w:t>方可在括号内标注“</w:t>
      </w:r>
      <w:r>
        <w:rPr>
          <w:sz w:val="21"/>
        </w:rPr>
        <w:t>kg/c</w:t>
      </w:r>
      <w:r>
        <w:rPr>
          <w:color w:val="333333"/>
          <w:sz w:val="21"/>
        </w:rPr>
        <w:t>m</w:t>
      </w:r>
      <w:r>
        <w:rPr>
          <w:color w:val="333333"/>
          <w:position w:val="11"/>
          <w:sz w:val="11"/>
        </w:rPr>
        <w:t>2</w:t>
      </w:r>
      <w:r>
        <w:rPr>
          <w:spacing w:val="-3"/>
          <w:sz w:val="21"/>
        </w:rPr>
        <w:t>“，但其字体不应大于法定计量单位。</w:t>
      </w:r>
      <w:r>
        <w:rPr>
          <w:sz w:val="21"/>
        </w:rPr>
        <w:t> </w:t>
      </w:r>
    </w:p>
    <w:p>
      <w:pPr>
        <w:pStyle w:val="ListParagraph"/>
        <w:numPr>
          <w:ilvl w:val="1"/>
          <w:numId w:val="154"/>
        </w:numPr>
        <w:tabs>
          <w:tab w:pos="1160" w:val="left" w:leader="none"/>
        </w:tabs>
        <w:spacing w:line="240" w:lineRule="auto" w:before="12" w:after="0"/>
        <w:ind w:left="1159" w:right="0" w:hanging="320"/>
        <w:jc w:val="left"/>
        <w:rPr>
          <w:sz w:val="21"/>
        </w:rPr>
      </w:pPr>
      <w:r>
        <w:rPr>
          <w:spacing w:val="-3"/>
          <w:sz w:val="21"/>
        </w:rPr>
        <w:t>底盘的一般要求</w:t>
      </w:r>
      <w:r>
        <w:rPr>
          <w:sz w:val="21"/>
        </w:rPr>
        <w:t> </w:t>
      </w:r>
    </w:p>
    <w:p>
      <w:pPr>
        <w:pStyle w:val="BodyText"/>
        <w:spacing w:before="12"/>
        <w:rPr>
          <w:sz w:val="17"/>
        </w:rPr>
      </w:pPr>
    </w:p>
    <w:p>
      <w:pPr>
        <w:pStyle w:val="ListParagraph"/>
        <w:numPr>
          <w:ilvl w:val="2"/>
          <w:numId w:val="154"/>
        </w:numPr>
        <w:tabs>
          <w:tab w:pos="1371" w:val="left" w:leader="none"/>
        </w:tabs>
        <w:spacing w:line="240" w:lineRule="auto" w:before="0" w:after="0"/>
        <w:ind w:left="1370" w:right="0" w:hanging="531"/>
        <w:jc w:val="left"/>
        <w:rPr>
          <w:sz w:val="21"/>
        </w:rPr>
      </w:pPr>
      <w:r>
        <w:rPr>
          <w:spacing w:val="-3"/>
          <w:sz w:val="21"/>
        </w:rPr>
        <w:t>底盘使用的各种仪表应采用国家的法定计量单位。</w:t>
      </w:r>
      <w:r>
        <w:rPr>
          <w:sz w:val="21"/>
        </w:rPr>
        <w:t> </w:t>
      </w:r>
    </w:p>
    <w:p>
      <w:pPr>
        <w:pStyle w:val="BodyText"/>
        <w:rPr>
          <w:sz w:val="18"/>
        </w:rPr>
      </w:pPr>
    </w:p>
    <w:p>
      <w:pPr>
        <w:pStyle w:val="ListParagraph"/>
        <w:numPr>
          <w:ilvl w:val="2"/>
          <w:numId w:val="154"/>
        </w:numPr>
        <w:tabs>
          <w:tab w:pos="1370" w:val="left" w:leader="none"/>
        </w:tabs>
        <w:spacing w:line="240" w:lineRule="auto" w:before="0" w:after="0"/>
        <w:ind w:left="1369" w:right="0" w:hanging="530"/>
        <w:jc w:val="left"/>
        <w:rPr>
          <w:sz w:val="21"/>
        </w:rPr>
      </w:pPr>
      <w:r>
        <w:rPr>
          <w:spacing w:val="-8"/>
          <w:sz w:val="21"/>
        </w:rPr>
        <w:t>底盘的动力性能应符合 </w:t>
      </w:r>
      <w:r>
        <w:rPr>
          <w:sz w:val="21"/>
        </w:rPr>
        <w:t>5.1.2</w:t>
      </w:r>
      <w:r>
        <w:rPr>
          <w:spacing w:val="-13"/>
          <w:sz w:val="21"/>
        </w:rPr>
        <w:t> 的规定。</w:t>
      </w:r>
      <w:r>
        <w:rPr>
          <w:sz w:val="21"/>
        </w:rPr>
        <w:t> </w:t>
      </w:r>
    </w:p>
    <w:p>
      <w:pPr>
        <w:pStyle w:val="BodyText"/>
        <w:spacing w:before="2"/>
        <w:rPr>
          <w:sz w:val="18"/>
        </w:rPr>
      </w:pPr>
    </w:p>
    <w:p>
      <w:pPr>
        <w:pStyle w:val="ListParagraph"/>
        <w:numPr>
          <w:ilvl w:val="2"/>
          <w:numId w:val="154"/>
        </w:numPr>
        <w:tabs>
          <w:tab w:pos="1371" w:val="left" w:leader="none"/>
        </w:tabs>
        <w:spacing w:line="240" w:lineRule="auto" w:before="0" w:after="0"/>
        <w:ind w:left="1370" w:right="0" w:hanging="531"/>
        <w:jc w:val="left"/>
        <w:rPr>
          <w:sz w:val="21"/>
        </w:rPr>
      </w:pPr>
      <w:r>
        <w:rPr>
          <w:spacing w:val="-3"/>
          <w:sz w:val="21"/>
        </w:rPr>
        <w:t>如果所选发动机装有自动断油系统，该系统应带有可切断系统工作的手动开关。</w:t>
      </w:r>
      <w:r>
        <w:rPr>
          <w:sz w:val="21"/>
        </w:rPr>
        <w:t> </w:t>
      </w:r>
    </w:p>
    <w:p>
      <w:pPr>
        <w:spacing w:after="0" w:line="240" w:lineRule="auto"/>
        <w:jc w:val="left"/>
        <w:rPr>
          <w:sz w:val="21"/>
        </w:rPr>
        <w:sectPr>
          <w:pgSz w:w="11910" w:h="16850"/>
          <w:pgMar w:header="0" w:footer="1239" w:top="1600" w:bottom="1420" w:left="1260" w:right="0"/>
        </w:sectPr>
      </w:pPr>
    </w:p>
    <w:p>
      <w:pPr>
        <w:pStyle w:val="ListParagraph"/>
        <w:numPr>
          <w:ilvl w:val="2"/>
          <w:numId w:val="154"/>
        </w:numPr>
        <w:tabs>
          <w:tab w:pos="1371" w:val="left" w:leader="none"/>
        </w:tabs>
        <w:spacing w:line="446" w:lineRule="auto" w:before="47" w:after="0"/>
        <w:ind w:left="418" w:right="1604" w:firstLine="422"/>
        <w:jc w:val="left"/>
        <w:rPr>
          <w:sz w:val="21"/>
        </w:rPr>
      </w:pPr>
      <w:r>
        <w:rPr>
          <w:spacing w:val="-8"/>
          <w:sz w:val="21"/>
        </w:rPr>
        <w:t>选用进口底盘除符合 </w:t>
      </w:r>
      <w:r>
        <w:rPr>
          <w:sz w:val="21"/>
        </w:rPr>
        <w:t>5.3.1~5.3.3</w:t>
      </w:r>
      <w:r>
        <w:rPr>
          <w:spacing w:val="-8"/>
          <w:sz w:val="21"/>
        </w:rPr>
        <w:t> 的规定外，还应备有中文使用说明书、中文维修</w:t>
      </w:r>
      <w:r>
        <w:rPr>
          <w:spacing w:val="-6"/>
          <w:sz w:val="21"/>
        </w:rPr>
        <w:t>手册等资料。</w:t>
      </w:r>
      <w:r>
        <w:rPr>
          <w:sz w:val="21"/>
        </w:rPr>
        <w:t> </w:t>
      </w:r>
    </w:p>
    <w:p>
      <w:pPr>
        <w:pStyle w:val="ListParagraph"/>
        <w:numPr>
          <w:ilvl w:val="1"/>
          <w:numId w:val="154"/>
        </w:numPr>
        <w:tabs>
          <w:tab w:pos="1160" w:val="left" w:leader="none"/>
        </w:tabs>
        <w:spacing w:line="267" w:lineRule="exact" w:before="0" w:after="0"/>
        <w:ind w:left="1159" w:right="0" w:hanging="320"/>
        <w:jc w:val="left"/>
        <w:rPr>
          <w:b/>
          <w:sz w:val="21"/>
        </w:rPr>
      </w:pPr>
      <w:r>
        <w:rPr>
          <w:spacing w:val="-3"/>
          <w:sz w:val="21"/>
        </w:rPr>
        <w:t>底盘的改制要求</w:t>
      </w:r>
      <w:r>
        <w:rPr>
          <w:b/>
          <w:w w:val="99"/>
          <w:sz w:val="21"/>
        </w:rPr>
        <w:t> </w:t>
      </w:r>
    </w:p>
    <w:p>
      <w:pPr>
        <w:pStyle w:val="BodyText"/>
        <w:spacing w:before="2"/>
        <w:rPr>
          <w:b/>
          <w:sz w:val="18"/>
        </w:rPr>
      </w:pPr>
    </w:p>
    <w:p>
      <w:pPr>
        <w:pStyle w:val="ListParagraph"/>
        <w:numPr>
          <w:ilvl w:val="2"/>
          <w:numId w:val="154"/>
        </w:numPr>
        <w:tabs>
          <w:tab w:pos="1370" w:val="left" w:leader="none"/>
        </w:tabs>
        <w:spacing w:line="240" w:lineRule="auto" w:before="0" w:after="0"/>
        <w:ind w:left="1369" w:right="0" w:hanging="530"/>
        <w:jc w:val="left"/>
        <w:rPr>
          <w:sz w:val="21"/>
        </w:rPr>
      </w:pPr>
      <w:r>
        <w:rPr>
          <w:spacing w:val="-3"/>
          <w:sz w:val="21"/>
        </w:rPr>
        <w:t>底盘改制前的要求</w:t>
      </w:r>
      <w:r>
        <w:rPr>
          <w:sz w:val="21"/>
        </w:rPr>
        <w:t> </w:t>
      </w:r>
    </w:p>
    <w:p>
      <w:pPr>
        <w:pStyle w:val="BodyText"/>
        <w:rPr>
          <w:sz w:val="18"/>
        </w:rPr>
      </w:pPr>
    </w:p>
    <w:p>
      <w:pPr>
        <w:pStyle w:val="ListParagraph"/>
        <w:numPr>
          <w:ilvl w:val="3"/>
          <w:numId w:val="154"/>
        </w:numPr>
        <w:tabs>
          <w:tab w:pos="1576" w:val="left" w:leader="none"/>
        </w:tabs>
        <w:spacing w:line="240" w:lineRule="auto" w:before="0" w:after="0"/>
        <w:ind w:left="1575" w:right="0" w:hanging="738"/>
        <w:jc w:val="left"/>
        <w:rPr>
          <w:sz w:val="21"/>
        </w:rPr>
      </w:pPr>
      <w:r>
        <w:rPr>
          <w:spacing w:val="-3"/>
          <w:sz w:val="21"/>
        </w:rPr>
        <w:t>发动机的冷却</w:t>
      </w:r>
      <w:r>
        <w:rPr>
          <w:sz w:val="21"/>
        </w:rPr>
        <w:t> </w:t>
      </w:r>
    </w:p>
    <w:p>
      <w:pPr>
        <w:pStyle w:val="BodyText"/>
        <w:spacing w:before="12"/>
        <w:rPr>
          <w:sz w:val="17"/>
        </w:rPr>
      </w:pPr>
    </w:p>
    <w:p>
      <w:pPr>
        <w:pStyle w:val="BodyText"/>
        <w:spacing w:line="446" w:lineRule="auto"/>
        <w:ind w:left="418" w:right="1505" w:firstLine="419"/>
        <w:jc w:val="both"/>
      </w:pPr>
      <w:r>
        <w:rPr>
          <w:spacing w:val="-3"/>
        </w:rPr>
        <w:t>消防车用的底盆当需在停车状态驱动大功率负载时其发动机的冷却系统应加装附加冷却系统，附加冷却系统的冷却介质与发动机冷却水不能相混，并在最低处有放尽冷却介质的装置。附加冷却系统应保证在消防车设计的各种工况下都能将发动机温度控制在符合要求的范围内。</w:t>
      </w:r>
      <w:r>
        <w:rPr/>
        <w:t> </w:t>
      </w:r>
    </w:p>
    <w:p>
      <w:pPr>
        <w:pStyle w:val="ListParagraph"/>
        <w:numPr>
          <w:ilvl w:val="3"/>
          <w:numId w:val="154"/>
        </w:numPr>
        <w:tabs>
          <w:tab w:pos="1576" w:val="left" w:leader="none"/>
        </w:tabs>
        <w:spacing w:line="268" w:lineRule="exact" w:before="0" w:after="0"/>
        <w:ind w:left="1575" w:right="0" w:hanging="738"/>
        <w:jc w:val="left"/>
        <w:rPr>
          <w:sz w:val="21"/>
        </w:rPr>
      </w:pPr>
      <w:r>
        <w:rPr>
          <w:spacing w:val="-3"/>
          <w:sz w:val="21"/>
        </w:rPr>
        <w:t>功率输出装置</w:t>
      </w:r>
      <w:r>
        <w:rPr>
          <w:sz w:val="21"/>
        </w:rPr>
        <w:t> </w:t>
      </w:r>
    </w:p>
    <w:p>
      <w:pPr>
        <w:pStyle w:val="BodyText"/>
        <w:spacing w:before="2"/>
        <w:rPr>
          <w:sz w:val="18"/>
        </w:rPr>
      </w:pPr>
    </w:p>
    <w:p>
      <w:pPr>
        <w:pStyle w:val="ListParagraph"/>
        <w:numPr>
          <w:ilvl w:val="4"/>
          <w:numId w:val="154"/>
        </w:numPr>
        <w:tabs>
          <w:tab w:pos="1788" w:val="left" w:leader="none"/>
        </w:tabs>
        <w:spacing w:line="446" w:lineRule="auto" w:before="0" w:after="0"/>
        <w:ind w:left="418" w:right="1609" w:firstLine="419"/>
        <w:jc w:val="both"/>
        <w:rPr>
          <w:sz w:val="21"/>
        </w:rPr>
      </w:pPr>
      <w:r>
        <w:rPr>
          <w:spacing w:val="-3"/>
          <w:sz w:val="21"/>
        </w:rPr>
        <w:t>对需要有动力输出要求的消防车底盘应安装功率输出装置。若驱动的负载大于</w:t>
      </w:r>
      <w:r>
        <w:rPr>
          <w:spacing w:val="-8"/>
          <w:sz w:val="21"/>
        </w:rPr>
        <w:t>发动机额定输出功率的 </w:t>
      </w:r>
      <w:r>
        <w:rPr>
          <w:sz w:val="21"/>
        </w:rPr>
        <w:t>60</w:t>
      </w:r>
      <w:r>
        <w:rPr>
          <w:spacing w:val="-3"/>
          <w:sz w:val="21"/>
        </w:rPr>
        <w:t>%以上时，应安装夹心式功率输出装置或断轴式功率输出装置。</w:t>
      </w:r>
      <w:r>
        <w:rPr>
          <w:sz w:val="21"/>
        </w:rPr>
        <w:t> </w:t>
      </w:r>
    </w:p>
    <w:p>
      <w:pPr>
        <w:pStyle w:val="ListParagraph"/>
        <w:numPr>
          <w:ilvl w:val="4"/>
          <w:numId w:val="154"/>
        </w:numPr>
        <w:tabs>
          <w:tab w:pos="1788" w:val="left" w:leader="none"/>
        </w:tabs>
        <w:spacing w:line="446" w:lineRule="auto" w:before="0" w:after="0"/>
        <w:ind w:left="418" w:right="1608" w:firstLine="419"/>
        <w:jc w:val="both"/>
        <w:rPr>
          <w:sz w:val="21"/>
        </w:rPr>
      </w:pPr>
      <w:r>
        <w:rPr>
          <w:spacing w:val="-3"/>
          <w:sz w:val="21"/>
        </w:rPr>
        <w:t>夹心式功率输出装置或断轴式功率输出装置宜加装强制冷却器，强制冷却器的液体冷却介质不应与功率输出装置的润滑油相混。冷却介质的流量应能调节，并在最低处有放尽冷却介质的装置。</w:t>
      </w:r>
      <w:r>
        <w:rPr>
          <w:sz w:val="21"/>
        </w:rPr>
        <w:t> </w:t>
      </w:r>
    </w:p>
    <w:p>
      <w:pPr>
        <w:pStyle w:val="ListParagraph"/>
        <w:numPr>
          <w:ilvl w:val="4"/>
          <w:numId w:val="154"/>
        </w:numPr>
        <w:tabs>
          <w:tab w:pos="1788" w:val="left" w:leader="none"/>
        </w:tabs>
        <w:spacing w:line="446" w:lineRule="auto" w:before="0" w:after="0"/>
        <w:ind w:left="418" w:right="1609" w:firstLine="419"/>
        <w:jc w:val="left"/>
        <w:rPr>
          <w:sz w:val="21"/>
        </w:rPr>
      </w:pPr>
      <w:r>
        <w:rPr>
          <w:spacing w:val="-3"/>
          <w:sz w:val="21"/>
        </w:rPr>
        <w:t>功率输出装置的操纵按钮旁应有中文指示和工作指示灯，断轴式功率输出装置的操纵按钮在驱动消防泵的位置应有防止误操作机构。</w:t>
      </w:r>
      <w:r>
        <w:rPr>
          <w:sz w:val="21"/>
        </w:rPr>
        <w:t> </w:t>
      </w:r>
    </w:p>
    <w:p>
      <w:pPr>
        <w:pStyle w:val="ListParagraph"/>
        <w:numPr>
          <w:ilvl w:val="4"/>
          <w:numId w:val="154"/>
        </w:numPr>
        <w:tabs>
          <w:tab w:pos="1788" w:val="left" w:leader="none"/>
        </w:tabs>
        <w:spacing w:line="240" w:lineRule="auto" w:before="0" w:after="0"/>
        <w:ind w:left="1787" w:right="0" w:hanging="950"/>
        <w:jc w:val="left"/>
        <w:rPr>
          <w:sz w:val="21"/>
        </w:rPr>
      </w:pPr>
      <w:r>
        <w:rPr>
          <w:spacing w:val="-5"/>
          <w:sz w:val="21"/>
        </w:rPr>
        <w:t>功率输出装置在额定负载工况下持续工作时间不应小于 </w:t>
      </w:r>
      <w:r>
        <w:rPr>
          <w:sz w:val="21"/>
        </w:rPr>
        <w:t>6</w:t>
      </w:r>
      <w:r>
        <w:rPr>
          <w:spacing w:val="3"/>
          <w:sz w:val="21"/>
        </w:rPr>
        <w:t> </w:t>
      </w:r>
      <w:r>
        <w:rPr>
          <w:sz w:val="21"/>
        </w:rPr>
        <w:t>h</w:t>
      </w:r>
      <w:r>
        <w:rPr>
          <w:spacing w:val="-3"/>
          <w:sz w:val="21"/>
        </w:rPr>
        <w:t>，最高油温不应大于</w:t>
      </w:r>
    </w:p>
    <w:p>
      <w:pPr>
        <w:pStyle w:val="BodyText"/>
        <w:spacing w:before="9"/>
        <w:rPr>
          <w:sz w:val="17"/>
        </w:rPr>
      </w:pPr>
    </w:p>
    <w:p>
      <w:pPr>
        <w:pStyle w:val="BodyText"/>
        <w:ind w:left="418"/>
      </w:pPr>
      <w:r>
        <w:rPr/>
        <w:t>100 ℃。 </w:t>
      </w:r>
    </w:p>
    <w:p>
      <w:pPr>
        <w:pStyle w:val="BodyText"/>
        <w:spacing w:before="1"/>
        <w:rPr>
          <w:sz w:val="18"/>
        </w:rPr>
      </w:pPr>
    </w:p>
    <w:p>
      <w:pPr>
        <w:pStyle w:val="ListParagraph"/>
        <w:numPr>
          <w:ilvl w:val="3"/>
          <w:numId w:val="154"/>
        </w:numPr>
        <w:tabs>
          <w:tab w:pos="1576" w:val="left" w:leader="none"/>
        </w:tabs>
        <w:spacing w:line="240" w:lineRule="auto" w:before="1" w:after="0"/>
        <w:ind w:left="1575" w:right="0" w:hanging="738"/>
        <w:jc w:val="left"/>
        <w:rPr>
          <w:sz w:val="21"/>
        </w:rPr>
      </w:pPr>
      <w:r>
        <w:rPr>
          <w:spacing w:val="-3"/>
          <w:sz w:val="21"/>
        </w:rPr>
        <w:t>离合器</w:t>
      </w:r>
      <w:r>
        <w:rPr>
          <w:sz w:val="21"/>
        </w:rPr>
        <w:t> </w:t>
      </w:r>
    </w:p>
    <w:p>
      <w:pPr>
        <w:pStyle w:val="BodyText"/>
        <w:rPr>
          <w:sz w:val="18"/>
        </w:rPr>
      </w:pPr>
    </w:p>
    <w:p>
      <w:pPr>
        <w:pStyle w:val="BodyText"/>
        <w:spacing w:line="446" w:lineRule="auto"/>
        <w:ind w:left="418" w:right="1609" w:firstLine="419"/>
      </w:pPr>
      <w:r>
        <w:rPr/>
        <w:t>加装夹心式功率输出装置后，离合器接合应平稳，分离彻底，工作时不应有异响、抖动或不正常打滑现象。 </w:t>
      </w:r>
    </w:p>
    <w:p>
      <w:pPr>
        <w:pStyle w:val="ListParagraph"/>
        <w:numPr>
          <w:ilvl w:val="3"/>
          <w:numId w:val="154"/>
        </w:numPr>
        <w:tabs>
          <w:tab w:pos="1576" w:val="left" w:leader="none"/>
        </w:tabs>
        <w:spacing w:line="240" w:lineRule="auto" w:before="0" w:after="0"/>
        <w:ind w:left="1575" w:right="0" w:hanging="738"/>
        <w:jc w:val="left"/>
        <w:rPr>
          <w:sz w:val="21"/>
        </w:rPr>
      </w:pPr>
      <w:r>
        <w:rPr>
          <w:spacing w:val="-3"/>
          <w:sz w:val="21"/>
        </w:rPr>
        <w:t>变速器</w:t>
      </w:r>
      <w:r>
        <w:rPr>
          <w:sz w:val="21"/>
        </w:rPr>
        <w:t> </w:t>
      </w:r>
    </w:p>
    <w:p>
      <w:pPr>
        <w:pStyle w:val="BodyText"/>
        <w:spacing w:before="12"/>
        <w:rPr>
          <w:sz w:val="17"/>
        </w:rPr>
      </w:pPr>
    </w:p>
    <w:p>
      <w:pPr>
        <w:pStyle w:val="BodyText"/>
        <w:spacing w:line="446" w:lineRule="auto"/>
        <w:ind w:left="418" w:right="1609" w:firstLine="419"/>
      </w:pPr>
      <w:r>
        <w:rPr/>
        <w:t>加装夹心式功率输出装置后，变速器的操作应平稳可靠，无卡阻、跳挡、脱挡现象。运行中应无异响，换挡杆及其传动杆件不应与其他部件干涉。 </w:t>
      </w:r>
    </w:p>
    <w:p>
      <w:pPr>
        <w:pStyle w:val="ListParagraph"/>
        <w:numPr>
          <w:ilvl w:val="3"/>
          <w:numId w:val="154"/>
        </w:numPr>
        <w:tabs>
          <w:tab w:pos="1576" w:val="left" w:leader="none"/>
        </w:tabs>
        <w:spacing w:line="240" w:lineRule="auto" w:before="0" w:after="0"/>
        <w:ind w:left="1575" w:right="0" w:hanging="738"/>
        <w:jc w:val="left"/>
        <w:rPr>
          <w:sz w:val="21"/>
        </w:rPr>
      </w:pPr>
      <w:r>
        <w:rPr>
          <w:spacing w:val="-3"/>
          <w:sz w:val="21"/>
        </w:rPr>
        <w:t>传动轴</w:t>
      </w:r>
      <w:r>
        <w:rPr>
          <w:sz w:val="21"/>
        </w:rPr>
        <w:t> </w:t>
      </w:r>
    </w:p>
    <w:p>
      <w:pPr>
        <w:pStyle w:val="BodyText"/>
        <w:rPr>
          <w:sz w:val="18"/>
        </w:rPr>
      </w:pPr>
    </w:p>
    <w:p>
      <w:pPr>
        <w:pStyle w:val="ListParagraph"/>
        <w:numPr>
          <w:ilvl w:val="4"/>
          <w:numId w:val="154"/>
        </w:numPr>
        <w:tabs>
          <w:tab w:pos="1788" w:val="left" w:leader="none"/>
        </w:tabs>
        <w:spacing w:line="446" w:lineRule="auto" w:before="0" w:after="0"/>
        <w:ind w:left="418" w:right="1609" w:firstLine="419"/>
        <w:jc w:val="left"/>
        <w:rPr>
          <w:sz w:val="21"/>
        </w:rPr>
      </w:pPr>
      <w:r>
        <w:rPr>
          <w:spacing w:val="-3"/>
          <w:sz w:val="21"/>
        </w:rPr>
        <w:t>加装功率输出装置后，如对行驶驱动传动轴进行了改制，应对传动轴动平衡进行校核，校核结果符合底盘的动平衡的要求。</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154"/>
        </w:numPr>
        <w:tabs>
          <w:tab w:pos="1788" w:val="left" w:leader="none"/>
        </w:tabs>
        <w:spacing w:line="446" w:lineRule="auto" w:before="47" w:after="0"/>
        <w:ind w:left="418" w:right="1609" w:firstLine="419"/>
        <w:jc w:val="left"/>
        <w:rPr>
          <w:sz w:val="21"/>
        </w:rPr>
      </w:pPr>
      <w:r>
        <w:rPr>
          <w:spacing w:val="-3"/>
          <w:sz w:val="21"/>
        </w:rPr>
        <w:t>功率输出装置与负载相连的传动轴应校核动平衡，保证运行平稳，不发生振抖和异响。</w:t>
      </w:r>
      <w:r>
        <w:rPr>
          <w:sz w:val="21"/>
        </w:rPr>
        <w:t> </w:t>
      </w:r>
    </w:p>
    <w:p>
      <w:pPr>
        <w:pStyle w:val="ListParagraph"/>
        <w:numPr>
          <w:ilvl w:val="3"/>
          <w:numId w:val="154"/>
        </w:numPr>
        <w:tabs>
          <w:tab w:pos="1576" w:val="left" w:leader="none"/>
        </w:tabs>
        <w:spacing w:line="267" w:lineRule="exact" w:before="0" w:after="0"/>
        <w:ind w:left="1575" w:right="0" w:hanging="738"/>
        <w:jc w:val="left"/>
        <w:rPr>
          <w:sz w:val="21"/>
        </w:rPr>
      </w:pPr>
      <w:r>
        <w:rPr>
          <w:spacing w:val="-3"/>
          <w:sz w:val="21"/>
        </w:rPr>
        <w:t>排气系统</w:t>
      </w:r>
      <w:r>
        <w:rPr>
          <w:sz w:val="21"/>
        </w:rPr>
        <w:t> </w:t>
      </w:r>
    </w:p>
    <w:p>
      <w:pPr>
        <w:pStyle w:val="BodyText"/>
        <w:spacing w:before="2"/>
        <w:rPr>
          <w:sz w:val="18"/>
        </w:rPr>
      </w:pPr>
    </w:p>
    <w:p>
      <w:pPr>
        <w:pStyle w:val="ListParagraph"/>
        <w:numPr>
          <w:ilvl w:val="4"/>
          <w:numId w:val="154"/>
        </w:numPr>
        <w:tabs>
          <w:tab w:pos="1787" w:val="left" w:leader="none"/>
        </w:tabs>
        <w:spacing w:line="240" w:lineRule="auto" w:before="0" w:after="0"/>
        <w:ind w:left="1787" w:right="0" w:hanging="949"/>
        <w:jc w:val="left"/>
        <w:rPr>
          <w:sz w:val="21"/>
        </w:rPr>
      </w:pPr>
      <w:r>
        <w:rPr>
          <w:spacing w:val="-3"/>
          <w:sz w:val="21"/>
        </w:rPr>
        <w:t>排气口不应朝着操作人员或消防车右侧。 </w:t>
      </w:r>
    </w:p>
    <w:p>
      <w:pPr>
        <w:pStyle w:val="BodyText"/>
        <w:rPr>
          <w:sz w:val="18"/>
        </w:rPr>
      </w:pPr>
    </w:p>
    <w:p>
      <w:pPr>
        <w:pStyle w:val="ListParagraph"/>
        <w:numPr>
          <w:ilvl w:val="4"/>
          <w:numId w:val="154"/>
        </w:numPr>
        <w:tabs>
          <w:tab w:pos="1788" w:val="left" w:leader="none"/>
        </w:tabs>
        <w:spacing w:line="240" w:lineRule="auto" w:before="0" w:after="0"/>
        <w:ind w:left="1787" w:right="0" w:hanging="950"/>
        <w:jc w:val="left"/>
        <w:rPr>
          <w:sz w:val="21"/>
        </w:rPr>
      </w:pPr>
      <w:r>
        <w:rPr>
          <w:spacing w:val="-3"/>
          <w:sz w:val="21"/>
        </w:rPr>
        <w:t>排气管不应布置在可能导致车辆部件或消防装置过热的地方。</w:t>
      </w:r>
      <w:r>
        <w:rPr>
          <w:sz w:val="21"/>
        </w:rPr>
        <w:t> </w:t>
      </w:r>
    </w:p>
    <w:p>
      <w:pPr>
        <w:pStyle w:val="BodyText"/>
        <w:spacing w:before="12"/>
        <w:rPr>
          <w:sz w:val="17"/>
        </w:rPr>
      </w:pPr>
    </w:p>
    <w:p>
      <w:pPr>
        <w:pStyle w:val="ListParagraph"/>
        <w:numPr>
          <w:ilvl w:val="4"/>
          <w:numId w:val="154"/>
        </w:numPr>
        <w:tabs>
          <w:tab w:pos="1788" w:val="left" w:leader="none"/>
        </w:tabs>
        <w:spacing w:line="240" w:lineRule="auto" w:before="0" w:after="0"/>
        <w:ind w:left="1787" w:right="0" w:hanging="950"/>
        <w:jc w:val="left"/>
        <w:rPr>
          <w:sz w:val="21"/>
        </w:rPr>
      </w:pPr>
      <w:r>
        <w:rPr>
          <w:spacing w:val="-3"/>
          <w:sz w:val="21"/>
        </w:rPr>
        <w:t>排气管应安装消声器。</w:t>
      </w:r>
      <w:r>
        <w:rPr>
          <w:sz w:val="21"/>
        </w:rPr>
        <w:t> </w:t>
      </w:r>
    </w:p>
    <w:p>
      <w:pPr>
        <w:pStyle w:val="BodyText"/>
        <w:spacing w:before="2"/>
        <w:rPr>
          <w:sz w:val="18"/>
        </w:rPr>
      </w:pPr>
    </w:p>
    <w:p>
      <w:pPr>
        <w:pStyle w:val="ListParagraph"/>
        <w:numPr>
          <w:ilvl w:val="4"/>
          <w:numId w:val="154"/>
        </w:numPr>
        <w:tabs>
          <w:tab w:pos="1788" w:val="left" w:leader="none"/>
        </w:tabs>
        <w:spacing w:line="240" w:lineRule="auto" w:before="0" w:after="0"/>
        <w:ind w:left="1787" w:right="0" w:hanging="950"/>
        <w:jc w:val="left"/>
        <w:rPr>
          <w:sz w:val="21"/>
        </w:rPr>
      </w:pPr>
      <w:r>
        <w:rPr>
          <w:spacing w:val="-3"/>
          <w:sz w:val="21"/>
        </w:rPr>
        <w:t>在排气系统暴露的地方应设置保护装置以防止可能对操作人员带来的伤害。 </w:t>
      </w:r>
    </w:p>
    <w:p>
      <w:pPr>
        <w:pStyle w:val="BodyText"/>
        <w:rPr>
          <w:sz w:val="18"/>
        </w:rPr>
      </w:pPr>
    </w:p>
    <w:p>
      <w:pPr>
        <w:pStyle w:val="ListParagraph"/>
        <w:numPr>
          <w:ilvl w:val="3"/>
          <w:numId w:val="154"/>
        </w:numPr>
        <w:tabs>
          <w:tab w:pos="1576" w:val="left" w:leader="none"/>
        </w:tabs>
        <w:spacing w:line="240" w:lineRule="auto" w:before="0" w:after="0"/>
        <w:ind w:left="1575" w:right="0" w:hanging="738"/>
        <w:jc w:val="left"/>
        <w:rPr>
          <w:sz w:val="21"/>
        </w:rPr>
      </w:pPr>
      <w:r>
        <w:rPr>
          <w:spacing w:val="-3"/>
          <w:sz w:val="21"/>
        </w:rPr>
        <w:t>制动系统</w:t>
      </w:r>
      <w:r>
        <w:rPr>
          <w:sz w:val="21"/>
        </w:rPr>
        <w:t> </w:t>
      </w:r>
    </w:p>
    <w:p>
      <w:pPr>
        <w:pStyle w:val="BodyText"/>
        <w:spacing w:before="12"/>
        <w:rPr>
          <w:sz w:val="17"/>
        </w:rPr>
      </w:pPr>
    </w:p>
    <w:p>
      <w:pPr>
        <w:pStyle w:val="ListParagraph"/>
        <w:numPr>
          <w:ilvl w:val="4"/>
          <w:numId w:val="154"/>
        </w:numPr>
        <w:tabs>
          <w:tab w:pos="1788" w:val="left" w:leader="none"/>
        </w:tabs>
        <w:spacing w:line="240" w:lineRule="auto" w:before="0" w:after="0"/>
        <w:ind w:left="1787" w:right="0" w:hanging="950"/>
        <w:jc w:val="left"/>
        <w:rPr>
          <w:sz w:val="21"/>
        </w:rPr>
      </w:pPr>
      <w:r>
        <w:rPr>
          <w:spacing w:val="-3"/>
          <w:sz w:val="21"/>
        </w:rPr>
        <w:t>空气制动系统的压缩空气不能用于顶升气垫、气动工具等抢险救援设备。 </w:t>
      </w:r>
    </w:p>
    <w:p>
      <w:pPr>
        <w:pStyle w:val="BodyText"/>
        <w:spacing w:before="2"/>
        <w:rPr>
          <w:sz w:val="18"/>
        </w:rPr>
      </w:pPr>
    </w:p>
    <w:p>
      <w:pPr>
        <w:pStyle w:val="ListParagraph"/>
        <w:numPr>
          <w:ilvl w:val="4"/>
          <w:numId w:val="154"/>
        </w:numPr>
        <w:tabs>
          <w:tab w:pos="1788" w:val="left" w:leader="none"/>
        </w:tabs>
        <w:spacing w:line="446" w:lineRule="auto" w:before="0" w:after="0"/>
        <w:ind w:left="418" w:right="1608" w:firstLine="419"/>
        <w:jc w:val="both"/>
        <w:rPr>
          <w:sz w:val="21"/>
        </w:rPr>
      </w:pPr>
      <w:r>
        <w:rPr>
          <w:spacing w:val="-3"/>
          <w:sz w:val="21"/>
        </w:rPr>
        <w:t>当消防车使用底盘空气制动系统的压缩空气作为气动阀等部件的气源时，应从底盘制造厂规定的取气部位取气，并在取气管路中安装控制阀和过滤器，管路材料应与底盘制动系统管路相同而颜色不同。</w:t>
      </w:r>
      <w:r>
        <w:rPr>
          <w:sz w:val="21"/>
        </w:rPr>
        <w:t> </w:t>
      </w:r>
    </w:p>
    <w:p>
      <w:pPr>
        <w:pStyle w:val="ListParagraph"/>
        <w:numPr>
          <w:ilvl w:val="4"/>
          <w:numId w:val="154"/>
        </w:numPr>
        <w:tabs>
          <w:tab w:pos="1787" w:val="left" w:leader="none"/>
        </w:tabs>
        <w:spacing w:line="446" w:lineRule="auto" w:before="0" w:after="0"/>
        <w:ind w:left="418" w:right="1609" w:firstLine="419"/>
        <w:jc w:val="left"/>
        <w:rPr>
          <w:sz w:val="21"/>
        </w:rPr>
      </w:pPr>
      <w:r>
        <w:rPr>
          <w:spacing w:val="-3"/>
          <w:sz w:val="21"/>
        </w:rPr>
        <w:t>制动管路及用气部件的气管不应与车架的刃边、撑杆、螺栓头或支架等接触。若无法避免，应采取护圈、波形管或橡胶夹片等保护措施。</w:t>
      </w:r>
      <w:r>
        <w:rPr>
          <w:sz w:val="21"/>
        </w:rPr>
        <w:t> </w:t>
      </w:r>
    </w:p>
    <w:p>
      <w:pPr>
        <w:pStyle w:val="ListParagraph"/>
        <w:numPr>
          <w:ilvl w:val="4"/>
          <w:numId w:val="154"/>
        </w:numPr>
        <w:tabs>
          <w:tab w:pos="1788" w:val="left" w:leader="none"/>
        </w:tabs>
        <w:spacing w:line="446" w:lineRule="auto" w:before="0" w:after="0"/>
        <w:ind w:left="418" w:right="1609" w:firstLine="419"/>
        <w:jc w:val="left"/>
        <w:rPr>
          <w:sz w:val="21"/>
        </w:rPr>
      </w:pPr>
      <w:r>
        <w:rPr>
          <w:spacing w:val="-3"/>
          <w:sz w:val="21"/>
        </w:rPr>
        <w:t>制动管路及用气部件气管路应采用紧固措施与车架固定，紧固措施的间距不大</w:t>
      </w:r>
      <w:r>
        <w:rPr>
          <w:spacing w:val="-28"/>
          <w:sz w:val="21"/>
        </w:rPr>
        <w:t>于 </w:t>
      </w:r>
      <w:r>
        <w:rPr>
          <w:sz w:val="21"/>
        </w:rPr>
        <w:t>600 mm</w:t>
      </w:r>
      <w:r>
        <w:rPr>
          <w:spacing w:val="-3"/>
          <w:sz w:val="21"/>
        </w:rPr>
        <w:t>。</w:t>
      </w:r>
      <w:r>
        <w:rPr>
          <w:sz w:val="21"/>
        </w:rPr>
        <w:t> </w:t>
      </w:r>
    </w:p>
    <w:p>
      <w:pPr>
        <w:pStyle w:val="ListParagraph"/>
        <w:numPr>
          <w:ilvl w:val="4"/>
          <w:numId w:val="154"/>
        </w:numPr>
        <w:tabs>
          <w:tab w:pos="1788" w:val="left" w:leader="none"/>
        </w:tabs>
        <w:spacing w:line="446" w:lineRule="auto" w:before="0" w:after="0"/>
        <w:ind w:left="418" w:right="1558" w:firstLine="419"/>
        <w:jc w:val="left"/>
        <w:rPr>
          <w:sz w:val="21"/>
        </w:rPr>
      </w:pPr>
      <w:r>
        <w:rPr>
          <w:spacing w:val="-5"/>
          <w:sz w:val="21"/>
        </w:rPr>
        <w:t>制动管路及用气部件气管路与排气管等发热部件的距离若小于 </w:t>
      </w:r>
      <w:r>
        <w:rPr>
          <w:sz w:val="21"/>
        </w:rPr>
        <w:t>300</w:t>
      </w:r>
      <w:r>
        <w:rPr>
          <w:spacing w:val="12"/>
          <w:sz w:val="21"/>
        </w:rPr>
        <w:t> </w:t>
      </w:r>
      <w:r>
        <w:rPr>
          <w:sz w:val="21"/>
        </w:rPr>
        <w:t>mm</w:t>
      </w:r>
      <w:r>
        <w:rPr>
          <w:spacing w:val="-1"/>
          <w:sz w:val="21"/>
        </w:rPr>
        <w:t>，应采用</w:t>
      </w:r>
      <w:r>
        <w:rPr>
          <w:spacing w:val="-3"/>
          <w:sz w:val="21"/>
        </w:rPr>
        <w:t>隔热措施保护管路。</w:t>
      </w:r>
      <w:r>
        <w:rPr>
          <w:sz w:val="21"/>
        </w:rPr>
        <w:t> </w:t>
      </w:r>
    </w:p>
    <w:p>
      <w:pPr>
        <w:pStyle w:val="ListParagraph"/>
        <w:numPr>
          <w:ilvl w:val="4"/>
          <w:numId w:val="154"/>
        </w:numPr>
        <w:tabs>
          <w:tab w:pos="1788" w:val="left" w:leader="none"/>
        </w:tabs>
        <w:spacing w:line="446" w:lineRule="auto" w:before="0" w:after="0"/>
        <w:ind w:left="418" w:right="1609" w:firstLine="419"/>
        <w:jc w:val="left"/>
        <w:rPr>
          <w:sz w:val="21"/>
        </w:rPr>
      </w:pPr>
      <w:r>
        <w:rPr>
          <w:spacing w:val="-3"/>
          <w:sz w:val="21"/>
        </w:rPr>
        <w:t>制动管路及用气部件气管路应避免接触蓄电池酸性液体等有害液体。尼龙管路不应涂漆。</w:t>
      </w:r>
      <w:r>
        <w:rPr>
          <w:sz w:val="21"/>
        </w:rPr>
        <w:t> </w:t>
      </w:r>
    </w:p>
    <w:p>
      <w:pPr>
        <w:pStyle w:val="ListParagraph"/>
        <w:numPr>
          <w:ilvl w:val="4"/>
          <w:numId w:val="154"/>
        </w:numPr>
        <w:tabs>
          <w:tab w:pos="1788" w:val="left" w:leader="none"/>
        </w:tabs>
        <w:spacing w:line="267" w:lineRule="exact" w:before="0" w:after="0"/>
        <w:ind w:left="1787" w:right="0" w:hanging="950"/>
        <w:jc w:val="left"/>
        <w:rPr>
          <w:sz w:val="21"/>
        </w:rPr>
      </w:pPr>
      <w:r>
        <w:rPr>
          <w:spacing w:val="-3"/>
          <w:sz w:val="21"/>
        </w:rPr>
        <w:t>经改制后的空气制动系统或液压制动系统不应漏气或漏油。</w:t>
      </w:r>
      <w:r>
        <w:rPr>
          <w:sz w:val="21"/>
        </w:rPr>
        <w:t> </w:t>
      </w:r>
    </w:p>
    <w:p>
      <w:pPr>
        <w:pStyle w:val="BodyText"/>
        <w:spacing w:before="11"/>
        <w:rPr>
          <w:sz w:val="17"/>
        </w:rPr>
      </w:pPr>
    </w:p>
    <w:p>
      <w:pPr>
        <w:pStyle w:val="ListParagraph"/>
        <w:numPr>
          <w:ilvl w:val="3"/>
          <w:numId w:val="154"/>
        </w:numPr>
        <w:tabs>
          <w:tab w:pos="1576" w:val="left" w:leader="none"/>
        </w:tabs>
        <w:spacing w:line="240" w:lineRule="auto" w:before="0" w:after="0"/>
        <w:ind w:left="1575" w:right="0" w:hanging="738"/>
        <w:jc w:val="left"/>
        <w:rPr>
          <w:sz w:val="21"/>
        </w:rPr>
      </w:pPr>
      <w:r>
        <w:rPr>
          <w:spacing w:val="-2"/>
          <w:sz w:val="21"/>
        </w:rPr>
        <w:t>燃料系统 </w:t>
      </w:r>
    </w:p>
    <w:p>
      <w:pPr>
        <w:pStyle w:val="BodyText"/>
        <w:rPr>
          <w:sz w:val="18"/>
        </w:rPr>
      </w:pPr>
    </w:p>
    <w:p>
      <w:pPr>
        <w:pStyle w:val="ListParagraph"/>
        <w:numPr>
          <w:ilvl w:val="4"/>
          <w:numId w:val="154"/>
        </w:numPr>
        <w:tabs>
          <w:tab w:pos="1788" w:val="left" w:leader="none"/>
        </w:tabs>
        <w:spacing w:line="446" w:lineRule="auto" w:before="0" w:after="0"/>
        <w:ind w:left="418" w:right="1609" w:firstLine="419"/>
        <w:jc w:val="left"/>
        <w:rPr>
          <w:sz w:val="21"/>
        </w:rPr>
      </w:pPr>
      <w:r>
        <w:rPr>
          <w:spacing w:val="-3"/>
          <w:sz w:val="21"/>
        </w:rPr>
        <w:t>燃料箱及燃料管路应坚固并固定牢靠，不会因振动和冲击而发生损坏和漏油现象。</w:t>
      </w:r>
      <w:r>
        <w:rPr>
          <w:sz w:val="21"/>
        </w:rPr>
        <w:t> </w:t>
      </w:r>
    </w:p>
    <w:p>
      <w:pPr>
        <w:pStyle w:val="ListParagraph"/>
        <w:numPr>
          <w:ilvl w:val="4"/>
          <w:numId w:val="154"/>
        </w:numPr>
        <w:tabs>
          <w:tab w:pos="1788" w:val="left" w:leader="none"/>
        </w:tabs>
        <w:spacing w:line="240" w:lineRule="auto" w:before="0" w:after="0"/>
        <w:ind w:left="1787" w:right="0" w:hanging="950"/>
        <w:jc w:val="left"/>
        <w:rPr>
          <w:sz w:val="21"/>
        </w:rPr>
      </w:pPr>
      <w:r>
        <w:rPr>
          <w:spacing w:val="-3"/>
          <w:sz w:val="21"/>
        </w:rPr>
        <w:t>燃料箱的加油口及通气口应保证车辆晃动时不漏油。</w:t>
      </w:r>
      <w:r>
        <w:rPr>
          <w:sz w:val="21"/>
        </w:rPr>
        <w:t> </w:t>
      </w:r>
    </w:p>
    <w:p>
      <w:pPr>
        <w:pStyle w:val="BodyText"/>
        <w:spacing w:before="12"/>
        <w:rPr>
          <w:sz w:val="17"/>
        </w:rPr>
      </w:pPr>
    </w:p>
    <w:p>
      <w:pPr>
        <w:pStyle w:val="ListParagraph"/>
        <w:numPr>
          <w:ilvl w:val="4"/>
          <w:numId w:val="154"/>
        </w:numPr>
        <w:tabs>
          <w:tab w:pos="1788" w:val="left" w:leader="none"/>
        </w:tabs>
        <w:spacing w:line="446" w:lineRule="auto" w:before="0" w:after="0"/>
        <w:ind w:left="418" w:right="1505" w:firstLine="419"/>
        <w:jc w:val="left"/>
        <w:rPr>
          <w:sz w:val="21"/>
        </w:rPr>
      </w:pPr>
      <w:r>
        <w:rPr>
          <w:spacing w:val="-3"/>
          <w:sz w:val="21"/>
        </w:rPr>
        <w:t>燃料箱的加油口和通气口不应对着排气管的开口方向，且应距排气管的任一部位300</w:t>
      </w:r>
      <w:r>
        <w:rPr>
          <w:spacing w:val="20"/>
          <w:sz w:val="21"/>
        </w:rPr>
        <w:t> </w:t>
      </w:r>
      <w:r>
        <w:rPr>
          <w:sz w:val="21"/>
        </w:rPr>
        <w:t>mm</w:t>
      </w:r>
      <w:r>
        <w:rPr>
          <w:spacing w:val="-8"/>
          <w:sz w:val="21"/>
        </w:rPr>
        <w:t> 以上，否则应设置有效的隔热装置。燃料箱的加油口和通气口应距裸露的电气接头及外部可能产生火花的电气开关 </w:t>
      </w:r>
      <w:r>
        <w:rPr>
          <w:sz w:val="21"/>
        </w:rPr>
        <w:t>200</w:t>
      </w:r>
      <w:r>
        <w:rPr>
          <w:spacing w:val="1"/>
          <w:sz w:val="21"/>
        </w:rPr>
        <w:t> </w:t>
      </w:r>
      <w:r>
        <w:rPr>
          <w:sz w:val="21"/>
        </w:rPr>
        <w:t>mm</w:t>
      </w:r>
      <w:r>
        <w:rPr>
          <w:spacing w:val="-15"/>
          <w:sz w:val="21"/>
        </w:rPr>
        <w:t> 以上。</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154"/>
        </w:numPr>
        <w:tabs>
          <w:tab w:pos="1788" w:val="left" w:leader="none"/>
        </w:tabs>
        <w:spacing w:line="446" w:lineRule="auto" w:before="47" w:after="0"/>
        <w:ind w:left="418" w:right="1609" w:firstLine="419"/>
        <w:jc w:val="left"/>
        <w:rPr>
          <w:sz w:val="21"/>
        </w:rPr>
      </w:pPr>
      <w:r>
        <w:rPr>
          <w:spacing w:val="-3"/>
          <w:sz w:val="21"/>
        </w:rPr>
        <w:t>燃料箱的加油口和通气口不应设置在有乘员的车厢内，改装不应影响燃油箱中输油管的拆装。</w:t>
      </w:r>
      <w:r>
        <w:rPr>
          <w:sz w:val="21"/>
        </w:rPr>
        <w:t> </w:t>
      </w:r>
    </w:p>
    <w:p>
      <w:pPr>
        <w:pStyle w:val="ListParagraph"/>
        <w:numPr>
          <w:ilvl w:val="3"/>
          <w:numId w:val="154"/>
        </w:numPr>
        <w:tabs>
          <w:tab w:pos="1576" w:val="left" w:leader="none"/>
        </w:tabs>
        <w:spacing w:line="267" w:lineRule="exact" w:before="0" w:after="0"/>
        <w:ind w:left="1575" w:right="0" w:hanging="738"/>
        <w:jc w:val="left"/>
        <w:rPr>
          <w:sz w:val="21"/>
        </w:rPr>
      </w:pPr>
      <w:r>
        <w:rPr>
          <w:spacing w:val="-3"/>
          <w:sz w:val="21"/>
        </w:rPr>
        <w:t>车架</w:t>
      </w:r>
      <w:r>
        <w:rPr>
          <w:sz w:val="21"/>
        </w:rPr>
        <w:t> </w:t>
      </w:r>
    </w:p>
    <w:p>
      <w:pPr>
        <w:pStyle w:val="BodyText"/>
        <w:spacing w:before="2"/>
        <w:rPr>
          <w:sz w:val="18"/>
        </w:rPr>
      </w:pPr>
    </w:p>
    <w:p>
      <w:pPr>
        <w:pStyle w:val="ListParagraph"/>
        <w:numPr>
          <w:ilvl w:val="4"/>
          <w:numId w:val="154"/>
        </w:numPr>
        <w:tabs>
          <w:tab w:pos="1788" w:val="left" w:leader="none"/>
        </w:tabs>
        <w:spacing w:line="240" w:lineRule="auto" w:before="0" w:after="0"/>
        <w:ind w:left="1787" w:right="0" w:hanging="950"/>
        <w:jc w:val="left"/>
        <w:rPr>
          <w:sz w:val="21"/>
        </w:rPr>
      </w:pPr>
      <w:r>
        <w:rPr>
          <w:spacing w:val="-3"/>
          <w:sz w:val="21"/>
        </w:rPr>
        <w:t>当车架需要开孔时，应对所开之孔进行防腐处理。</w:t>
      </w:r>
      <w:r>
        <w:rPr>
          <w:sz w:val="21"/>
        </w:rPr>
        <w:t> </w:t>
      </w:r>
    </w:p>
    <w:p>
      <w:pPr>
        <w:pStyle w:val="BodyText"/>
        <w:rPr>
          <w:sz w:val="18"/>
        </w:rPr>
      </w:pPr>
    </w:p>
    <w:p>
      <w:pPr>
        <w:pStyle w:val="ListParagraph"/>
        <w:numPr>
          <w:ilvl w:val="4"/>
          <w:numId w:val="154"/>
        </w:numPr>
        <w:tabs>
          <w:tab w:pos="1788" w:val="left" w:leader="none"/>
        </w:tabs>
        <w:spacing w:line="240" w:lineRule="auto" w:before="0" w:after="0"/>
        <w:ind w:left="1787" w:right="0" w:hanging="950"/>
        <w:jc w:val="left"/>
        <w:rPr>
          <w:sz w:val="21"/>
        </w:rPr>
      </w:pPr>
      <w:r>
        <w:rPr>
          <w:spacing w:val="-3"/>
          <w:sz w:val="21"/>
        </w:rPr>
        <w:t>与车架联接的所有上装部件应采用铆接或螺栓连接，不应焊接。 </w:t>
      </w:r>
    </w:p>
    <w:p>
      <w:pPr>
        <w:pStyle w:val="BodyText"/>
        <w:spacing w:before="12"/>
        <w:rPr>
          <w:sz w:val="17"/>
        </w:rPr>
      </w:pPr>
    </w:p>
    <w:p>
      <w:pPr>
        <w:pStyle w:val="ListParagraph"/>
        <w:numPr>
          <w:ilvl w:val="4"/>
          <w:numId w:val="154"/>
        </w:numPr>
        <w:tabs>
          <w:tab w:pos="1788" w:val="left" w:leader="none"/>
        </w:tabs>
        <w:spacing w:line="446" w:lineRule="auto" w:before="0" w:after="0"/>
        <w:ind w:left="418" w:right="1609" w:firstLine="419"/>
        <w:jc w:val="left"/>
        <w:rPr>
          <w:sz w:val="21"/>
        </w:rPr>
      </w:pPr>
      <w:r>
        <w:rPr>
          <w:spacing w:val="-3"/>
          <w:sz w:val="21"/>
        </w:rPr>
        <w:t>底盘车架上平面如有铆钉头或螺栓头，改制时不应对铆钉头或螺栓头进行打磨或其他有损其联接强度的加工。</w:t>
      </w:r>
      <w:r>
        <w:rPr>
          <w:sz w:val="21"/>
        </w:rPr>
        <w:t> </w:t>
      </w:r>
    </w:p>
    <w:p>
      <w:pPr>
        <w:pStyle w:val="ListParagraph"/>
        <w:numPr>
          <w:ilvl w:val="4"/>
          <w:numId w:val="154"/>
        </w:numPr>
        <w:tabs>
          <w:tab w:pos="1788" w:val="left" w:leader="none"/>
        </w:tabs>
        <w:spacing w:line="446" w:lineRule="auto" w:before="1" w:after="0"/>
        <w:ind w:left="418" w:right="1450" w:firstLine="419"/>
        <w:jc w:val="left"/>
        <w:rPr>
          <w:sz w:val="21"/>
        </w:rPr>
      </w:pPr>
      <w:r>
        <w:rPr>
          <w:spacing w:val="-5"/>
          <w:sz w:val="21"/>
        </w:rPr>
        <w:t>底盘改制时可以接长后悬，但不应接长前悬。接长的后悬不应超过轴距的 </w:t>
      </w:r>
      <w:r>
        <w:rPr>
          <w:sz w:val="21"/>
        </w:rPr>
        <w:t>65%， </w:t>
      </w:r>
      <w:r>
        <w:rPr>
          <w:spacing w:val="-10"/>
          <w:sz w:val="21"/>
        </w:rPr>
        <w:t>并且不应大于 </w:t>
      </w:r>
      <w:r>
        <w:rPr>
          <w:sz w:val="21"/>
        </w:rPr>
        <w:t>3.5 </w:t>
      </w:r>
      <w:r>
        <w:rPr>
          <w:spacing w:val="-3"/>
          <w:sz w:val="21"/>
        </w:rPr>
        <w:t>m。</w:t>
      </w:r>
      <w:r>
        <w:rPr>
          <w:sz w:val="21"/>
        </w:rPr>
        <w:t> </w:t>
      </w:r>
    </w:p>
    <w:p>
      <w:pPr>
        <w:pStyle w:val="ListParagraph"/>
        <w:numPr>
          <w:ilvl w:val="3"/>
          <w:numId w:val="154"/>
        </w:numPr>
        <w:tabs>
          <w:tab w:pos="1682" w:val="left" w:leader="none"/>
        </w:tabs>
        <w:spacing w:line="240" w:lineRule="auto" w:before="0" w:after="0"/>
        <w:ind w:left="1681" w:right="0" w:hanging="844"/>
        <w:jc w:val="left"/>
        <w:rPr>
          <w:sz w:val="21"/>
        </w:rPr>
      </w:pPr>
      <w:r>
        <w:rPr>
          <w:spacing w:val="-3"/>
          <w:sz w:val="21"/>
        </w:rPr>
        <w:t>牵引钩</w:t>
      </w:r>
      <w:r>
        <w:rPr>
          <w:sz w:val="21"/>
        </w:rPr>
        <w:t> </w:t>
      </w:r>
    </w:p>
    <w:p>
      <w:pPr>
        <w:pStyle w:val="BodyText"/>
        <w:spacing w:before="12"/>
        <w:rPr>
          <w:sz w:val="17"/>
        </w:rPr>
      </w:pPr>
    </w:p>
    <w:p>
      <w:pPr>
        <w:pStyle w:val="BodyText"/>
        <w:spacing w:line="446" w:lineRule="auto"/>
        <w:ind w:left="840" w:right="5709" w:hanging="3"/>
      </w:pPr>
      <w:r>
        <w:rPr/>
        <w:t>底盘前端应设置拖钩，后端应设置牵引钩。</w:t>
      </w:r>
      <w:r>
        <w:rPr>
          <w:b/>
        </w:rPr>
        <w:t>5.4.2 </w:t>
      </w:r>
      <w:r>
        <w:rPr/>
        <w:t>底盘改制后的要求 </w:t>
      </w:r>
    </w:p>
    <w:p>
      <w:pPr>
        <w:pStyle w:val="ListParagraph"/>
        <w:numPr>
          <w:ilvl w:val="3"/>
          <w:numId w:val="155"/>
        </w:numPr>
        <w:tabs>
          <w:tab w:pos="1576" w:val="left" w:leader="none"/>
        </w:tabs>
        <w:spacing w:line="446" w:lineRule="auto" w:before="0" w:after="0"/>
        <w:ind w:left="418" w:right="1608" w:firstLine="419"/>
        <w:jc w:val="both"/>
        <w:rPr>
          <w:sz w:val="21"/>
        </w:rPr>
      </w:pPr>
      <w:r>
        <w:rPr/>
        <w:drawing>
          <wp:anchor distT="0" distB="0" distL="0" distR="0" allowOverlap="1" layoutInCell="1" locked="0" behindDoc="0" simplePos="0" relativeHeight="52">
            <wp:simplePos x="0" y="0"/>
            <wp:positionH relativeFrom="page">
              <wp:posOffset>1160780</wp:posOffset>
            </wp:positionH>
            <wp:positionV relativeFrom="paragraph">
              <wp:posOffset>1306576</wp:posOffset>
            </wp:positionV>
            <wp:extent cx="4859016" cy="1289875"/>
            <wp:effectExtent l="0" t="0" r="0" b="0"/>
            <wp:wrapTopAndBottom/>
            <wp:docPr id="117" name="image82.jpeg"/>
            <wp:cNvGraphicFramePr>
              <a:graphicFrameLocks noChangeAspect="1"/>
            </wp:cNvGraphicFramePr>
            <a:graphic>
              <a:graphicData uri="http://schemas.openxmlformats.org/drawingml/2006/picture">
                <pic:pic>
                  <pic:nvPicPr>
                    <pic:cNvPr id="118" name="image82.jpeg"/>
                    <pic:cNvPicPr/>
                  </pic:nvPicPr>
                  <pic:blipFill>
                    <a:blip r:embed="rId90" cstate="print"/>
                    <a:stretch>
                      <a:fillRect/>
                    </a:stretch>
                  </pic:blipFill>
                  <pic:spPr>
                    <a:xfrm>
                      <a:off x="0" y="0"/>
                      <a:ext cx="4859016" cy="1289875"/>
                    </a:xfrm>
                    <a:prstGeom prst="rect">
                      <a:avLst/>
                    </a:prstGeom>
                  </pic:spPr>
                </pic:pic>
              </a:graphicData>
            </a:graphic>
          </wp:anchor>
        </w:drawing>
      </w:r>
      <w:r>
        <w:rPr>
          <w:spacing w:val="-3"/>
          <w:sz w:val="21"/>
        </w:rPr>
        <w:t>对定型生产的底盘进行了一些不影响整车主要技术性能的局部改动时</w:t>
      </w:r>
      <w:r>
        <w:rPr>
          <w:sz w:val="21"/>
        </w:rPr>
        <w:t>（</w:t>
      </w:r>
      <w:r>
        <w:rPr>
          <w:spacing w:val="-3"/>
          <w:sz w:val="21"/>
        </w:rPr>
        <w:t>例如：蓄电池、储气桶移位，增加乘员室等）</w:t>
      </w:r>
      <w:r>
        <w:rPr>
          <w:spacing w:val="-13"/>
          <w:sz w:val="21"/>
        </w:rPr>
        <w:t>应进行 </w:t>
      </w:r>
      <w:r>
        <w:rPr>
          <w:sz w:val="21"/>
        </w:rPr>
        <w:t>5000</w:t>
      </w:r>
      <w:r>
        <w:rPr>
          <w:spacing w:val="16"/>
          <w:sz w:val="21"/>
        </w:rPr>
        <w:t> </w:t>
      </w:r>
      <w:r>
        <w:rPr>
          <w:sz w:val="21"/>
        </w:rPr>
        <w:t>km</w:t>
      </w:r>
      <w:r>
        <w:rPr>
          <w:spacing w:val="-8"/>
          <w:sz w:val="21"/>
        </w:rPr>
        <w:t> 可靠性行驶试验。可靠性行驶试验后底盘</w:t>
      </w:r>
      <w:r>
        <w:rPr>
          <w:spacing w:val="-5"/>
          <w:sz w:val="21"/>
        </w:rPr>
        <w:t>各功能应正常，不应有部件损坏、位移、断裂、接触不良、漏油、漏水和漏气等现象，动力性</w:t>
      </w:r>
      <w:r>
        <w:rPr>
          <w:spacing w:val="-6"/>
          <w:sz w:val="21"/>
        </w:rPr>
        <w:t>能不应低于可靠性行驶试验前性能。行驶路面的里程分配应按表 </w:t>
      </w:r>
      <w:r>
        <w:rPr>
          <w:sz w:val="21"/>
        </w:rPr>
        <w:t>8</w:t>
      </w:r>
      <w:r>
        <w:rPr>
          <w:spacing w:val="-10"/>
          <w:sz w:val="21"/>
        </w:rPr>
        <w:t> 的规定进行。 </w:t>
      </w:r>
    </w:p>
    <w:p>
      <w:pPr>
        <w:pStyle w:val="BodyText"/>
        <w:rPr>
          <w:sz w:val="20"/>
        </w:rPr>
      </w:pPr>
    </w:p>
    <w:p>
      <w:pPr>
        <w:pStyle w:val="BodyText"/>
        <w:rPr>
          <w:sz w:val="20"/>
        </w:rPr>
      </w:pPr>
    </w:p>
    <w:p>
      <w:pPr>
        <w:pStyle w:val="ListParagraph"/>
        <w:numPr>
          <w:ilvl w:val="3"/>
          <w:numId w:val="155"/>
        </w:numPr>
        <w:tabs>
          <w:tab w:pos="1576" w:val="left" w:leader="none"/>
        </w:tabs>
        <w:spacing w:line="446" w:lineRule="auto" w:before="161" w:after="0"/>
        <w:ind w:left="418" w:right="1609" w:firstLine="419"/>
        <w:jc w:val="left"/>
        <w:rPr>
          <w:sz w:val="21"/>
        </w:rPr>
      </w:pPr>
      <w:r>
        <w:rPr>
          <w:spacing w:val="-3"/>
          <w:sz w:val="21"/>
        </w:rPr>
        <w:t>对定型生产的底盘进行了影响整车主要技术性能的改动时，应进行整车基本性能</w:t>
      </w:r>
      <w:r>
        <w:rPr>
          <w:spacing w:val="-15"/>
          <w:sz w:val="21"/>
        </w:rPr>
        <w:t>试验和 </w:t>
      </w:r>
      <w:r>
        <w:rPr>
          <w:sz w:val="21"/>
        </w:rPr>
        <w:t>25000</w:t>
      </w:r>
      <w:r>
        <w:rPr>
          <w:spacing w:val="3"/>
          <w:sz w:val="21"/>
        </w:rPr>
        <w:t> </w:t>
      </w:r>
      <w:r>
        <w:rPr>
          <w:sz w:val="21"/>
        </w:rPr>
        <w:t>km</w:t>
      </w:r>
      <w:r>
        <w:rPr>
          <w:spacing w:val="-11"/>
          <w:sz w:val="21"/>
        </w:rPr>
        <w:t> 的可靠性行驶试验。试验路面的里程分配应按表 </w:t>
      </w:r>
      <w:r>
        <w:rPr>
          <w:sz w:val="21"/>
        </w:rPr>
        <w:t>9</w:t>
      </w:r>
      <w:r>
        <w:rPr>
          <w:spacing w:val="-10"/>
          <w:sz w:val="21"/>
        </w:rPr>
        <w:t> 的规定进行。 </w:t>
      </w:r>
    </w:p>
    <w:p>
      <w:pPr>
        <w:pStyle w:val="BodyText"/>
        <w:spacing w:line="267" w:lineRule="exact"/>
        <w:ind w:left="4812"/>
      </w:pPr>
      <w:r>
        <w:rPr>
          <w:w w:val="100"/>
        </w:rPr>
        <w:t> </w:t>
      </w:r>
    </w:p>
    <w:p>
      <w:pPr>
        <w:spacing w:after="0" w:line="267" w:lineRule="exact"/>
        <w:sectPr>
          <w:pgSz w:w="11910" w:h="16850"/>
          <w:pgMar w:header="0" w:footer="1239" w:top="1220" w:bottom="1420" w:left="1260" w:right="0"/>
        </w:sectPr>
      </w:pPr>
    </w:p>
    <w:p>
      <w:pPr>
        <w:pStyle w:val="BodyText"/>
        <w:ind w:left="388"/>
        <w:rPr>
          <w:sz w:val="20"/>
        </w:rPr>
      </w:pPr>
      <w:r>
        <w:rPr>
          <w:sz w:val="20"/>
        </w:rPr>
        <w:drawing>
          <wp:inline distT="0" distB="0" distL="0" distR="0">
            <wp:extent cx="5051152" cy="1549907"/>
            <wp:effectExtent l="0" t="0" r="0" b="0"/>
            <wp:docPr id="119" name="image83.jpeg"/>
            <wp:cNvGraphicFramePr>
              <a:graphicFrameLocks noChangeAspect="1"/>
            </wp:cNvGraphicFramePr>
            <a:graphic>
              <a:graphicData uri="http://schemas.openxmlformats.org/drawingml/2006/picture">
                <pic:pic>
                  <pic:nvPicPr>
                    <pic:cNvPr id="120" name="image83.jpeg"/>
                    <pic:cNvPicPr/>
                  </pic:nvPicPr>
                  <pic:blipFill>
                    <a:blip r:embed="rId91" cstate="print"/>
                    <a:stretch>
                      <a:fillRect/>
                    </a:stretch>
                  </pic:blipFill>
                  <pic:spPr>
                    <a:xfrm>
                      <a:off x="0" y="0"/>
                      <a:ext cx="5051152" cy="1549907"/>
                    </a:xfrm>
                    <a:prstGeom prst="rect">
                      <a:avLst/>
                    </a:prstGeom>
                  </pic:spPr>
                </pic:pic>
              </a:graphicData>
            </a:graphic>
          </wp:inline>
        </w:drawing>
      </w:r>
      <w:r>
        <w:rPr>
          <w:sz w:val="20"/>
        </w:rPr>
      </w:r>
    </w:p>
    <w:p>
      <w:pPr>
        <w:pStyle w:val="BodyText"/>
        <w:spacing w:before="7"/>
        <w:rPr>
          <w:sz w:val="10"/>
        </w:rPr>
      </w:pPr>
    </w:p>
    <w:p>
      <w:pPr>
        <w:pStyle w:val="ListParagraph"/>
        <w:numPr>
          <w:ilvl w:val="1"/>
          <w:numId w:val="156"/>
        </w:numPr>
        <w:tabs>
          <w:tab w:pos="1159" w:val="left" w:leader="none"/>
        </w:tabs>
        <w:spacing w:line="240" w:lineRule="auto" w:before="72" w:after="0"/>
        <w:ind w:left="1158" w:right="0" w:hanging="319"/>
        <w:jc w:val="left"/>
        <w:rPr>
          <w:b/>
          <w:sz w:val="21"/>
        </w:rPr>
      </w:pPr>
      <w:r>
        <w:rPr>
          <w:spacing w:val="-3"/>
          <w:sz w:val="21"/>
        </w:rPr>
        <w:t>驾驶室和乘员室改制技术要求</w:t>
      </w:r>
      <w:r>
        <w:rPr>
          <w:b/>
          <w:w w:val="99"/>
          <w:sz w:val="21"/>
        </w:rPr>
        <w:t> </w:t>
      </w:r>
    </w:p>
    <w:p>
      <w:pPr>
        <w:pStyle w:val="BodyText"/>
        <w:spacing w:before="12"/>
        <w:rPr>
          <w:b/>
          <w:sz w:val="17"/>
        </w:rPr>
      </w:pPr>
    </w:p>
    <w:p>
      <w:pPr>
        <w:pStyle w:val="ListParagraph"/>
        <w:numPr>
          <w:ilvl w:val="2"/>
          <w:numId w:val="156"/>
        </w:numPr>
        <w:tabs>
          <w:tab w:pos="1371" w:val="left" w:leader="none"/>
        </w:tabs>
        <w:spacing w:line="240" w:lineRule="auto" w:before="0" w:after="0"/>
        <w:ind w:left="1370" w:right="0" w:hanging="531"/>
        <w:jc w:val="left"/>
        <w:rPr>
          <w:sz w:val="21"/>
        </w:rPr>
      </w:pPr>
      <w:r>
        <w:rPr>
          <w:spacing w:val="-3"/>
          <w:sz w:val="21"/>
        </w:rPr>
        <w:t>总体要求</w:t>
      </w:r>
      <w:r>
        <w:rPr>
          <w:sz w:val="21"/>
        </w:rPr>
        <w:t> </w:t>
      </w:r>
    </w:p>
    <w:p>
      <w:pPr>
        <w:pStyle w:val="BodyText"/>
        <w:rPr>
          <w:sz w:val="18"/>
        </w:rPr>
      </w:pPr>
    </w:p>
    <w:p>
      <w:pPr>
        <w:pStyle w:val="BodyText"/>
        <w:ind w:left="838"/>
      </w:pPr>
      <w:r>
        <w:rPr/>
        <w:t>当驾驶室和乘员室（以下简称“驾乘室”）需要改制成全封闭、一体式结构时应符合</w:t>
      </w:r>
    </w:p>
    <w:p>
      <w:pPr>
        <w:pStyle w:val="BodyText"/>
        <w:spacing w:before="2"/>
        <w:rPr>
          <w:sz w:val="18"/>
        </w:rPr>
      </w:pPr>
    </w:p>
    <w:p>
      <w:pPr>
        <w:pStyle w:val="BodyText"/>
        <w:ind w:left="418"/>
      </w:pPr>
      <w:r>
        <w:rPr/>
        <w:t>5.5.2～5.5.7 的要求。 </w:t>
      </w:r>
    </w:p>
    <w:p>
      <w:pPr>
        <w:pStyle w:val="BodyText"/>
        <w:spacing w:before="12"/>
        <w:rPr>
          <w:sz w:val="17"/>
        </w:rPr>
      </w:pPr>
    </w:p>
    <w:p>
      <w:pPr>
        <w:pStyle w:val="ListParagraph"/>
        <w:numPr>
          <w:ilvl w:val="2"/>
          <w:numId w:val="156"/>
        </w:numPr>
        <w:tabs>
          <w:tab w:pos="1370" w:val="left" w:leader="none"/>
        </w:tabs>
        <w:spacing w:line="240" w:lineRule="auto" w:before="0" w:after="0"/>
        <w:ind w:left="1369" w:right="0" w:hanging="530"/>
        <w:jc w:val="left"/>
        <w:rPr>
          <w:sz w:val="21"/>
        </w:rPr>
      </w:pPr>
      <w:r>
        <w:rPr>
          <w:spacing w:val="-3"/>
          <w:sz w:val="21"/>
        </w:rPr>
        <w:t>座椅</w:t>
      </w:r>
      <w:r>
        <w:rPr>
          <w:sz w:val="21"/>
        </w:rPr>
        <w:t> </w:t>
      </w:r>
    </w:p>
    <w:p>
      <w:pPr>
        <w:pStyle w:val="BodyText"/>
        <w:rPr>
          <w:sz w:val="18"/>
        </w:rPr>
      </w:pPr>
    </w:p>
    <w:p>
      <w:pPr>
        <w:pStyle w:val="ListParagraph"/>
        <w:numPr>
          <w:ilvl w:val="3"/>
          <w:numId w:val="156"/>
        </w:numPr>
        <w:tabs>
          <w:tab w:pos="1576" w:val="left" w:leader="none"/>
        </w:tabs>
        <w:spacing w:line="446" w:lineRule="auto" w:before="0" w:after="0"/>
        <w:ind w:left="418" w:right="1558" w:firstLine="419"/>
        <w:jc w:val="left"/>
        <w:rPr>
          <w:sz w:val="21"/>
        </w:rPr>
      </w:pPr>
      <w:r>
        <w:rPr>
          <w:spacing w:val="-5"/>
          <w:sz w:val="21"/>
        </w:rPr>
        <w:t>驾驶室内座椅上平面距脚放置地板的高度不小于 </w:t>
      </w:r>
      <w:r>
        <w:rPr>
          <w:sz w:val="21"/>
        </w:rPr>
        <w:t>500</w:t>
      </w:r>
      <w:r>
        <w:rPr>
          <w:spacing w:val="14"/>
          <w:sz w:val="21"/>
        </w:rPr>
        <w:t> </w:t>
      </w:r>
      <w:r>
        <w:rPr>
          <w:sz w:val="21"/>
        </w:rPr>
        <w:t>mm</w:t>
      </w:r>
      <w:r>
        <w:rPr>
          <w:spacing w:val="-3"/>
          <w:sz w:val="21"/>
        </w:rPr>
        <w:t>。座椅靠背角度不可调整时，靠背与座椅上平面的夹角应大于 </w:t>
      </w:r>
      <w:r>
        <w:rPr>
          <w:sz w:val="21"/>
        </w:rPr>
        <w:t>90</w:t>
      </w:r>
      <w:r>
        <w:rPr>
          <w:spacing w:val="-2"/>
          <w:sz w:val="21"/>
        </w:rPr>
        <w:t>°。</w:t>
      </w:r>
      <w:r>
        <w:rPr>
          <w:sz w:val="21"/>
        </w:rPr>
        <w:t> </w:t>
      </w:r>
    </w:p>
    <w:p>
      <w:pPr>
        <w:pStyle w:val="ListParagraph"/>
        <w:numPr>
          <w:ilvl w:val="3"/>
          <w:numId w:val="156"/>
        </w:numPr>
        <w:tabs>
          <w:tab w:pos="1576" w:val="left" w:leader="none"/>
        </w:tabs>
        <w:spacing w:line="446" w:lineRule="auto" w:before="0" w:after="0"/>
        <w:ind w:left="418" w:right="1611" w:firstLine="419"/>
        <w:jc w:val="left"/>
        <w:rPr>
          <w:sz w:val="21"/>
        </w:rPr>
      </w:pPr>
      <w:r>
        <w:rPr>
          <w:spacing w:val="-5"/>
          <w:sz w:val="21"/>
        </w:rPr>
        <w:t>驾乘室内同向座椅的座间距应不小于 </w:t>
      </w:r>
      <w:r>
        <w:rPr>
          <w:sz w:val="21"/>
        </w:rPr>
        <w:t>650</w:t>
      </w:r>
      <w:r>
        <w:rPr>
          <w:spacing w:val="18"/>
          <w:sz w:val="21"/>
        </w:rPr>
        <w:t> </w:t>
      </w:r>
      <w:r>
        <w:rPr>
          <w:sz w:val="21"/>
        </w:rPr>
        <w:t>mm</w:t>
      </w:r>
      <w:r>
        <w:rPr>
          <w:spacing w:val="-6"/>
          <w:sz w:val="21"/>
        </w:rPr>
        <w:t>，相向座椅的座间距应不小于 </w:t>
      </w:r>
      <w:r>
        <w:rPr>
          <w:sz w:val="21"/>
        </w:rPr>
        <w:t>1200 mm</w:t>
      </w:r>
      <w:r>
        <w:rPr>
          <w:spacing w:val="-3"/>
          <w:sz w:val="21"/>
        </w:rPr>
        <w:t>。</w:t>
      </w:r>
      <w:r>
        <w:rPr>
          <w:sz w:val="21"/>
        </w:rPr>
        <w:t> </w:t>
      </w:r>
    </w:p>
    <w:p>
      <w:pPr>
        <w:pStyle w:val="ListParagraph"/>
        <w:numPr>
          <w:ilvl w:val="3"/>
          <w:numId w:val="156"/>
        </w:numPr>
        <w:tabs>
          <w:tab w:pos="1576" w:val="left" w:leader="none"/>
        </w:tabs>
        <w:spacing w:line="240" w:lineRule="auto" w:before="0" w:after="0"/>
        <w:ind w:left="1575" w:right="0" w:hanging="738"/>
        <w:jc w:val="left"/>
        <w:rPr>
          <w:sz w:val="21"/>
        </w:rPr>
      </w:pPr>
      <w:r>
        <w:rPr>
          <w:spacing w:val="-7"/>
          <w:sz w:val="21"/>
        </w:rPr>
        <w:t>驾乘室内座椅座垫的深度应不小于 </w:t>
      </w:r>
      <w:r>
        <w:rPr>
          <w:sz w:val="21"/>
        </w:rPr>
        <w:t>400</w:t>
      </w:r>
      <w:r>
        <w:rPr>
          <w:spacing w:val="3"/>
          <w:sz w:val="21"/>
        </w:rPr>
        <w:t> </w:t>
      </w:r>
      <w:r>
        <w:rPr>
          <w:spacing w:val="-3"/>
          <w:sz w:val="21"/>
        </w:rPr>
        <w:t>mm</w:t>
      </w:r>
      <w:r>
        <w:rPr>
          <w:spacing w:val="-7"/>
          <w:sz w:val="21"/>
        </w:rPr>
        <w:t>。每位乘员所占宽度应不小于 </w:t>
      </w:r>
      <w:r>
        <w:rPr>
          <w:sz w:val="21"/>
        </w:rPr>
        <w:t>550</w:t>
      </w:r>
      <w:r>
        <w:rPr>
          <w:spacing w:val="3"/>
          <w:sz w:val="21"/>
        </w:rPr>
        <w:t> </w:t>
      </w:r>
      <w:r>
        <w:rPr>
          <w:sz w:val="21"/>
        </w:rPr>
        <w:t>mm</w:t>
      </w:r>
      <w:r>
        <w:rPr>
          <w:spacing w:val="-3"/>
          <w:sz w:val="21"/>
        </w:rPr>
        <w:t>。</w:t>
      </w:r>
      <w:r>
        <w:rPr>
          <w:sz w:val="21"/>
        </w:rPr>
        <w:t> </w:t>
      </w:r>
    </w:p>
    <w:p>
      <w:pPr>
        <w:pStyle w:val="BodyText"/>
        <w:spacing w:before="12"/>
        <w:rPr>
          <w:sz w:val="17"/>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6"/>
          <w:sz w:val="21"/>
        </w:rPr>
        <w:t>驾乘室椅靠背顶到座椅上平面的高度应不小于 </w:t>
      </w:r>
      <w:r>
        <w:rPr>
          <w:sz w:val="21"/>
        </w:rPr>
        <w:t>450</w:t>
      </w:r>
      <w:r>
        <w:rPr>
          <w:spacing w:val="1"/>
          <w:sz w:val="21"/>
        </w:rPr>
        <w:t> </w:t>
      </w:r>
      <w:r>
        <w:rPr>
          <w:sz w:val="21"/>
        </w:rPr>
        <w:t>mm</w:t>
      </w:r>
      <w:r>
        <w:rPr>
          <w:spacing w:val="-3"/>
          <w:sz w:val="21"/>
        </w:rPr>
        <w:t>。</w:t>
      </w:r>
      <w:r>
        <w:rPr>
          <w:sz w:val="21"/>
        </w:rPr>
        <w:t> </w:t>
      </w:r>
    </w:p>
    <w:p>
      <w:pPr>
        <w:pStyle w:val="BodyText"/>
        <w:rPr>
          <w:sz w:val="18"/>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3"/>
          <w:sz w:val="21"/>
        </w:rPr>
        <w:t>驾驶员座椅的前后位置应可以调整。</w:t>
      </w:r>
      <w:r>
        <w:rPr>
          <w:sz w:val="21"/>
        </w:rPr>
        <w:t> </w:t>
      </w:r>
    </w:p>
    <w:p>
      <w:pPr>
        <w:pStyle w:val="BodyText"/>
        <w:spacing w:before="1"/>
        <w:rPr>
          <w:sz w:val="18"/>
        </w:rPr>
      </w:pPr>
    </w:p>
    <w:p>
      <w:pPr>
        <w:pStyle w:val="ListParagraph"/>
        <w:numPr>
          <w:ilvl w:val="3"/>
          <w:numId w:val="156"/>
        </w:numPr>
        <w:tabs>
          <w:tab w:pos="1576" w:val="left" w:leader="none"/>
        </w:tabs>
        <w:spacing w:line="240" w:lineRule="auto" w:before="1" w:after="0"/>
        <w:ind w:left="1575" w:right="0" w:hanging="738"/>
        <w:jc w:val="left"/>
        <w:rPr>
          <w:sz w:val="21"/>
        </w:rPr>
      </w:pPr>
      <w:r>
        <w:rPr>
          <w:spacing w:val="-5"/>
          <w:sz w:val="21"/>
        </w:rPr>
        <w:t>驾乘室内座椅应具有足够的强度和刚度，固定可靠。座椅的强度应符合 </w:t>
      </w:r>
      <w:r>
        <w:rPr>
          <w:sz w:val="21"/>
        </w:rPr>
        <w:t>GB</w:t>
      </w:r>
      <w:r>
        <w:rPr>
          <w:spacing w:val="2"/>
          <w:sz w:val="21"/>
        </w:rPr>
        <w:t> </w:t>
      </w:r>
      <w:r>
        <w:rPr>
          <w:sz w:val="21"/>
        </w:rPr>
        <w:t>13057</w:t>
      </w:r>
    </w:p>
    <w:p>
      <w:pPr>
        <w:pStyle w:val="BodyText"/>
        <w:spacing w:before="12"/>
        <w:rPr>
          <w:sz w:val="17"/>
        </w:rPr>
      </w:pPr>
    </w:p>
    <w:p>
      <w:pPr>
        <w:pStyle w:val="BodyText"/>
        <w:ind w:left="418"/>
      </w:pPr>
      <w:r>
        <w:rPr/>
        <w:t>的规定。 </w:t>
      </w:r>
    </w:p>
    <w:p>
      <w:pPr>
        <w:pStyle w:val="BodyText"/>
        <w:rPr>
          <w:sz w:val="18"/>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5"/>
          <w:sz w:val="21"/>
        </w:rPr>
        <w:t>驾乘室内座椅座垫和靠背应采用非金属软性阻燃材料，其阻燃性能应符合 </w:t>
      </w:r>
      <w:r>
        <w:rPr>
          <w:sz w:val="21"/>
        </w:rPr>
        <w:t>GB 8410</w:t>
      </w:r>
    </w:p>
    <w:p>
      <w:pPr>
        <w:pStyle w:val="BodyText"/>
        <w:spacing w:before="2"/>
        <w:rPr>
          <w:sz w:val="18"/>
        </w:rPr>
      </w:pPr>
    </w:p>
    <w:p>
      <w:pPr>
        <w:pStyle w:val="BodyText"/>
        <w:ind w:left="418"/>
      </w:pPr>
      <w:r>
        <w:rPr/>
        <w:t>的规定，并符合环保要求。 </w:t>
      </w:r>
    </w:p>
    <w:p>
      <w:pPr>
        <w:pStyle w:val="BodyText"/>
        <w:spacing w:before="12"/>
        <w:rPr>
          <w:sz w:val="17"/>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5"/>
          <w:sz w:val="21"/>
        </w:rPr>
        <w:t>驾乘室座椅后部若安装空气呼吸器，座椅坐人的区域同样应满足 </w:t>
      </w:r>
      <w:r>
        <w:rPr>
          <w:sz w:val="21"/>
        </w:rPr>
        <w:t>5.5.2.1～</w:t>
      </w:r>
    </w:p>
    <w:p>
      <w:pPr>
        <w:pStyle w:val="BodyText"/>
        <w:rPr>
          <w:sz w:val="18"/>
        </w:rPr>
      </w:pPr>
    </w:p>
    <w:p>
      <w:pPr>
        <w:pStyle w:val="BodyText"/>
        <w:ind w:left="418"/>
      </w:pPr>
      <w:r>
        <w:rPr/>
        <w:t>5.5.2.4 的要求。 </w:t>
      </w:r>
    </w:p>
    <w:p>
      <w:pPr>
        <w:pStyle w:val="BodyText"/>
        <w:spacing w:before="2"/>
        <w:rPr>
          <w:sz w:val="18"/>
        </w:rPr>
      </w:pPr>
    </w:p>
    <w:p>
      <w:pPr>
        <w:pStyle w:val="BodyText"/>
        <w:ind w:left="838"/>
      </w:pPr>
      <w:r>
        <w:rPr/>
        <w:t>5.5.2.9 驾乘员人数不应超过 12 人。 </w:t>
      </w:r>
    </w:p>
    <w:p>
      <w:pPr>
        <w:pStyle w:val="BodyText"/>
        <w:spacing w:before="12"/>
        <w:rPr>
          <w:sz w:val="17"/>
        </w:rPr>
      </w:pPr>
    </w:p>
    <w:p>
      <w:pPr>
        <w:pStyle w:val="ListParagraph"/>
        <w:numPr>
          <w:ilvl w:val="2"/>
          <w:numId w:val="156"/>
        </w:numPr>
        <w:tabs>
          <w:tab w:pos="1370" w:val="left" w:leader="none"/>
        </w:tabs>
        <w:spacing w:line="240" w:lineRule="auto" w:before="0" w:after="0"/>
        <w:ind w:left="1369" w:right="0" w:hanging="530"/>
        <w:jc w:val="left"/>
        <w:rPr>
          <w:sz w:val="21"/>
        </w:rPr>
      </w:pPr>
      <w:r>
        <w:rPr>
          <w:spacing w:val="-3"/>
          <w:sz w:val="21"/>
        </w:rPr>
        <w:t>车门</w:t>
      </w:r>
      <w:r>
        <w:rPr>
          <w:sz w:val="21"/>
        </w:rPr>
        <w:t> </w:t>
      </w:r>
    </w:p>
    <w:p>
      <w:pPr>
        <w:pStyle w:val="BodyText"/>
        <w:spacing w:before="12"/>
        <w:rPr>
          <w:sz w:val="17"/>
        </w:rPr>
      </w:pPr>
    </w:p>
    <w:p>
      <w:pPr>
        <w:pStyle w:val="ListParagraph"/>
        <w:numPr>
          <w:ilvl w:val="3"/>
          <w:numId w:val="156"/>
        </w:numPr>
        <w:tabs>
          <w:tab w:pos="1576" w:val="left" w:leader="none"/>
        </w:tabs>
        <w:spacing w:line="448" w:lineRule="auto" w:before="0" w:after="0"/>
        <w:ind w:left="418" w:right="1558" w:firstLine="419"/>
        <w:jc w:val="left"/>
        <w:rPr>
          <w:sz w:val="21"/>
        </w:rPr>
      </w:pPr>
      <w:r>
        <w:rPr>
          <w:spacing w:val="-7"/>
          <w:sz w:val="21"/>
        </w:rPr>
        <w:t>驾乘室车门的开度应不小于 </w:t>
      </w:r>
      <w:r>
        <w:rPr>
          <w:sz w:val="21"/>
        </w:rPr>
        <w:t>85°（</w:t>
      </w:r>
      <w:r>
        <w:rPr>
          <w:spacing w:val="-3"/>
          <w:sz w:val="21"/>
        </w:rPr>
        <w:t>驾破员车门除外）乘员室的车门尺寸不小于驾驶室车门的尺寸。</w:t>
      </w:r>
      <w:r>
        <w:rPr>
          <w:sz w:val="21"/>
        </w:rPr>
        <w:t> </w:t>
      </w:r>
    </w:p>
    <w:p>
      <w:pPr>
        <w:spacing w:after="0" w:line="448" w:lineRule="auto"/>
        <w:jc w:val="left"/>
        <w:rPr>
          <w:sz w:val="21"/>
        </w:rPr>
        <w:sectPr>
          <w:pgSz w:w="11910" w:h="16850"/>
          <w:pgMar w:header="0" w:footer="1239" w:top="1080" w:bottom="1420" w:left="1260" w:right="0"/>
        </w:sectPr>
      </w:pPr>
    </w:p>
    <w:p>
      <w:pPr>
        <w:pStyle w:val="ListParagraph"/>
        <w:numPr>
          <w:ilvl w:val="3"/>
          <w:numId w:val="156"/>
        </w:numPr>
        <w:tabs>
          <w:tab w:pos="1576" w:val="left" w:leader="none"/>
        </w:tabs>
        <w:spacing w:line="446" w:lineRule="auto" w:before="47" w:after="0"/>
        <w:ind w:left="418" w:right="1609" w:firstLine="419"/>
        <w:jc w:val="left"/>
        <w:rPr>
          <w:sz w:val="21"/>
        </w:rPr>
      </w:pPr>
      <w:r>
        <w:rPr>
          <w:spacing w:val="-3"/>
          <w:sz w:val="21"/>
        </w:rPr>
        <w:t>驾乘室门的启闭应灵活，门锁应保证戴防护手套可操作，在消防车行驶时车门不应自行开启。</w:t>
      </w:r>
      <w:r>
        <w:rPr>
          <w:sz w:val="21"/>
        </w:rPr>
        <w:t> </w:t>
      </w:r>
    </w:p>
    <w:p>
      <w:pPr>
        <w:pStyle w:val="ListParagraph"/>
        <w:numPr>
          <w:ilvl w:val="3"/>
          <w:numId w:val="156"/>
        </w:numPr>
        <w:tabs>
          <w:tab w:pos="1576" w:val="left" w:leader="none"/>
        </w:tabs>
        <w:spacing w:line="267" w:lineRule="exact" w:before="0" w:after="0"/>
        <w:ind w:left="1575" w:right="0" w:hanging="738"/>
        <w:jc w:val="left"/>
        <w:rPr>
          <w:sz w:val="21"/>
        </w:rPr>
      </w:pPr>
      <w:r>
        <w:rPr>
          <w:spacing w:val="-3"/>
          <w:sz w:val="21"/>
        </w:rPr>
        <w:t>驾乘室内设有两排或以上座椅时，应有四个车门</w:t>
      </w:r>
      <w:r>
        <w:rPr>
          <w:sz w:val="21"/>
        </w:rPr>
        <w:t>（</w:t>
      </w:r>
      <w:r>
        <w:rPr>
          <w:spacing w:val="-3"/>
          <w:sz w:val="21"/>
        </w:rPr>
        <w:t>机场消防车除外</w:t>
      </w:r>
      <w:r>
        <w:rPr>
          <w:sz w:val="21"/>
        </w:rPr>
        <w:t>）。 </w:t>
      </w:r>
    </w:p>
    <w:p>
      <w:pPr>
        <w:pStyle w:val="BodyText"/>
        <w:spacing w:before="2"/>
        <w:rPr>
          <w:sz w:val="18"/>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3"/>
          <w:sz w:val="21"/>
        </w:rPr>
        <w:t>车窗的启闭应灵活，不应有自行开启现象。 </w:t>
      </w:r>
    </w:p>
    <w:p>
      <w:pPr>
        <w:pStyle w:val="BodyText"/>
        <w:rPr>
          <w:sz w:val="18"/>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8"/>
          <w:sz w:val="21"/>
        </w:rPr>
        <w:t>车窗的玻璃应使用符合 </w:t>
      </w:r>
      <w:r>
        <w:rPr>
          <w:sz w:val="21"/>
        </w:rPr>
        <w:t>GB</w:t>
      </w:r>
      <w:r>
        <w:rPr>
          <w:spacing w:val="-2"/>
          <w:sz w:val="21"/>
        </w:rPr>
        <w:t> </w:t>
      </w:r>
      <w:r>
        <w:rPr>
          <w:sz w:val="21"/>
        </w:rPr>
        <w:t>9656</w:t>
      </w:r>
      <w:r>
        <w:rPr>
          <w:spacing w:val="-10"/>
          <w:sz w:val="21"/>
        </w:rPr>
        <w:t> 规定的安全玻璃。</w:t>
      </w:r>
      <w:r>
        <w:rPr>
          <w:sz w:val="21"/>
        </w:rPr>
        <w:t> </w:t>
      </w:r>
    </w:p>
    <w:p>
      <w:pPr>
        <w:pStyle w:val="BodyText"/>
        <w:spacing w:before="12"/>
        <w:rPr>
          <w:sz w:val="17"/>
        </w:rPr>
      </w:pPr>
    </w:p>
    <w:p>
      <w:pPr>
        <w:pStyle w:val="ListParagraph"/>
        <w:numPr>
          <w:ilvl w:val="2"/>
          <w:numId w:val="156"/>
        </w:numPr>
        <w:tabs>
          <w:tab w:pos="1370" w:val="left" w:leader="none"/>
        </w:tabs>
        <w:spacing w:line="240" w:lineRule="auto" w:before="0" w:after="0"/>
        <w:ind w:left="1369" w:right="0" w:hanging="530"/>
        <w:jc w:val="left"/>
        <w:rPr>
          <w:sz w:val="21"/>
        </w:rPr>
      </w:pPr>
      <w:r>
        <w:rPr>
          <w:spacing w:val="-3"/>
          <w:sz w:val="21"/>
        </w:rPr>
        <w:t>上、下车踏板</w:t>
      </w:r>
      <w:r>
        <w:rPr>
          <w:sz w:val="21"/>
        </w:rPr>
        <w:t> </w:t>
      </w:r>
    </w:p>
    <w:p>
      <w:pPr>
        <w:pStyle w:val="BodyText"/>
        <w:spacing w:before="2"/>
        <w:rPr>
          <w:sz w:val="18"/>
        </w:rPr>
      </w:pPr>
    </w:p>
    <w:p>
      <w:pPr>
        <w:pStyle w:val="BodyText"/>
        <w:spacing w:line="446" w:lineRule="auto"/>
        <w:ind w:left="418" w:right="1346" w:firstLine="419"/>
      </w:pPr>
      <w:r>
        <w:rPr>
          <w:spacing w:val="-5"/>
        </w:rPr>
        <w:t>驾乘室的上、下车踏板间距不大于 </w:t>
      </w:r>
      <w:r>
        <w:rPr/>
        <w:t>270 </w:t>
      </w:r>
      <w:r>
        <w:rPr>
          <w:spacing w:val="-3"/>
        </w:rPr>
        <w:t>mm，除驾驶员侧外，其他供乘员上、下车踏板长度</w:t>
      </w:r>
      <w:r>
        <w:rPr>
          <w:spacing w:val="-11"/>
        </w:rPr>
        <w:t>不小于 </w:t>
      </w:r>
      <w:r>
        <w:rPr/>
        <w:t>200 mm</w:t>
      </w:r>
      <w:r>
        <w:rPr>
          <w:spacing w:val="-8"/>
        </w:rPr>
        <w:t>，深度不小于 </w:t>
      </w:r>
      <w:r>
        <w:rPr/>
        <w:t>100 mm</w:t>
      </w:r>
      <w:r>
        <w:rPr>
          <w:spacing w:val="-2"/>
        </w:rPr>
        <w:t>；踏板应有照明，踏板中间的水平照度不小于 </w:t>
      </w:r>
      <w:r>
        <w:rPr>
          <w:spacing w:val="-3"/>
        </w:rPr>
        <w:t>5 </w:t>
      </w:r>
      <w:r>
        <w:rPr/>
        <w:t>lx</w:t>
      </w:r>
      <w:r>
        <w:rPr>
          <w:spacing w:val="-2"/>
        </w:rPr>
        <w:t>，踏板 </w:t>
      </w:r>
      <w:r>
        <w:rPr>
          <w:spacing w:val="-4"/>
        </w:rPr>
        <w:t>脚踏面应有防滑措施，与地面最近一级的离地距离不应大于 </w:t>
      </w:r>
      <w:r>
        <w:rPr/>
        <w:t>500 mm</w:t>
      </w:r>
      <w:r>
        <w:rPr>
          <w:spacing w:val="-3"/>
        </w:rPr>
        <w:t>。消防车体上取放器材的踏</w:t>
      </w:r>
      <w:r>
        <w:rPr>
          <w:spacing w:val="-6"/>
        </w:rPr>
        <w:t>板，人员站立面距地面高度不应大于 </w:t>
      </w:r>
      <w:r>
        <w:rPr/>
        <w:t>450 mm</w:t>
      </w:r>
      <w:r>
        <w:rPr>
          <w:spacing w:val="-8"/>
        </w:rPr>
        <w:t>，长度不应小于 </w:t>
      </w:r>
      <w:r>
        <w:rPr/>
        <w:t>300 </w:t>
      </w:r>
      <w:r>
        <w:rPr>
          <w:spacing w:val="-3"/>
        </w:rPr>
        <w:t>mm</w:t>
      </w:r>
      <w:r>
        <w:rPr>
          <w:spacing w:val="-8"/>
        </w:rPr>
        <w:t>，深度不应小于 </w:t>
      </w:r>
      <w:r>
        <w:rPr/>
        <w:t>200 mm</w:t>
      </w:r>
      <w:r>
        <w:rPr>
          <w:spacing w:val="-20"/>
        </w:rPr>
        <w:t> 并 </w:t>
      </w:r>
      <w:r>
        <w:rPr>
          <w:spacing w:val="-9"/>
        </w:rPr>
        <w:t>应有照明。踏板放下后外侧朝向消防车前和后方应有黄色警告灯闪烁。踏板应能承载 </w:t>
      </w:r>
      <w:r>
        <w:rPr/>
        <w:t>75 kg/500 mm</w:t>
      </w:r>
      <w:r>
        <w:rPr>
          <w:spacing w:val="-3"/>
        </w:rPr>
        <w:t> 的重量。当为翻转踏板，在行车位置应有锁止机构防止踏板受震动后自行翻转。翻转踏板应</w:t>
      </w:r>
      <w:r>
        <w:rPr>
          <w:spacing w:val="-15"/>
        </w:rPr>
        <w:t>能承受 </w:t>
      </w:r>
      <w:r>
        <w:rPr/>
        <w:t>10000</w:t>
      </w:r>
      <w:r>
        <w:rPr>
          <w:spacing w:val="-9"/>
        </w:rPr>
        <w:t> 次翻转，铰链和回位弹簧不失效。</w:t>
      </w:r>
      <w:r>
        <w:rPr/>
        <w:t> </w:t>
      </w:r>
    </w:p>
    <w:p>
      <w:pPr>
        <w:pStyle w:val="ListParagraph"/>
        <w:numPr>
          <w:ilvl w:val="2"/>
          <w:numId w:val="156"/>
        </w:numPr>
        <w:tabs>
          <w:tab w:pos="1370" w:val="left" w:leader="none"/>
        </w:tabs>
        <w:spacing w:line="266" w:lineRule="exact" w:before="0" w:after="0"/>
        <w:ind w:left="1369" w:right="0" w:hanging="530"/>
        <w:jc w:val="left"/>
        <w:rPr>
          <w:sz w:val="21"/>
        </w:rPr>
      </w:pPr>
      <w:r>
        <w:rPr>
          <w:spacing w:val="-3"/>
          <w:sz w:val="21"/>
        </w:rPr>
        <w:t>扶手</w:t>
      </w:r>
      <w:r>
        <w:rPr>
          <w:sz w:val="21"/>
        </w:rPr>
        <w:t> </w:t>
      </w:r>
    </w:p>
    <w:p>
      <w:pPr>
        <w:pStyle w:val="BodyText"/>
        <w:spacing w:before="12"/>
        <w:rPr>
          <w:sz w:val="17"/>
        </w:rPr>
      </w:pPr>
    </w:p>
    <w:p>
      <w:pPr>
        <w:pStyle w:val="ListParagraph"/>
        <w:numPr>
          <w:ilvl w:val="3"/>
          <w:numId w:val="156"/>
        </w:numPr>
        <w:tabs>
          <w:tab w:pos="1576" w:val="left" w:leader="none"/>
        </w:tabs>
        <w:spacing w:line="446" w:lineRule="auto" w:before="0" w:after="0"/>
        <w:ind w:left="418" w:right="1609" w:firstLine="419"/>
        <w:jc w:val="left"/>
        <w:rPr>
          <w:sz w:val="21"/>
        </w:rPr>
      </w:pPr>
      <w:r>
        <w:rPr>
          <w:spacing w:val="-3"/>
          <w:sz w:val="21"/>
        </w:rPr>
        <w:t>除驾驶员外的每个乘员都应有固定身体的扶手，扶手尺寸应保证戴防护手套仍能抓持。</w:t>
      </w:r>
      <w:r>
        <w:rPr>
          <w:sz w:val="21"/>
        </w:rPr>
        <w:t> </w:t>
      </w:r>
    </w:p>
    <w:p>
      <w:pPr>
        <w:pStyle w:val="ListParagraph"/>
        <w:numPr>
          <w:ilvl w:val="3"/>
          <w:numId w:val="156"/>
        </w:numPr>
        <w:tabs>
          <w:tab w:pos="1576" w:val="left" w:leader="none"/>
        </w:tabs>
        <w:spacing w:line="240" w:lineRule="auto" w:before="0" w:after="0"/>
        <w:ind w:left="1575" w:right="0" w:hanging="738"/>
        <w:jc w:val="left"/>
        <w:rPr>
          <w:sz w:val="21"/>
        </w:rPr>
      </w:pPr>
      <w:r>
        <w:rPr>
          <w:spacing w:val="-7"/>
          <w:sz w:val="21"/>
        </w:rPr>
        <w:t>扶手与车体应固定可靠，应能承受 </w:t>
      </w:r>
      <w:r>
        <w:rPr>
          <w:sz w:val="21"/>
        </w:rPr>
        <w:t>100</w:t>
      </w:r>
      <w:r>
        <w:rPr>
          <w:spacing w:val="2"/>
          <w:sz w:val="21"/>
        </w:rPr>
        <w:t> </w:t>
      </w:r>
      <w:r>
        <w:rPr>
          <w:sz w:val="21"/>
        </w:rPr>
        <w:t>kg</w:t>
      </w:r>
      <w:r>
        <w:rPr>
          <w:spacing w:val="-9"/>
          <w:sz w:val="21"/>
        </w:rPr>
        <w:t> 的拉为且不脱落和断裂。</w:t>
      </w:r>
      <w:r>
        <w:rPr>
          <w:sz w:val="21"/>
        </w:rPr>
        <w:t> </w:t>
      </w:r>
    </w:p>
    <w:p>
      <w:pPr>
        <w:pStyle w:val="BodyText"/>
        <w:spacing w:before="12"/>
        <w:rPr>
          <w:sz w:val="17"/>
        </w:rPr>
      </w:pPr>
    </w:p>
    <w:p>
      <w:pPr>
        <w:pStyle w:val="ListParagraph"/>
        <w:numPr>
          <w:ilvl w:val="3"/>
          <w:numId w:val="156"/>
        </w:numPr>
        <w:tabs>
          <w:tab w:pos="1576" w:val="left" w:leader="none"/>
        </w:tabs>
        <w:spacing w:line="240" w:lineRule="auto" w:before="1" w:after="0"/>
        <w:ind w:left="1575" w:right="0" w:hanging="738"/>
        <w:jc w:val="left"/>
        <w:rPr>
          <w:sz w:val="21"/>
        </w:rPr>
      </w:pPr>
      <w:r>
        <w:rPr>
          <w:spacing w:val="-3"/>
          <w:sz w:val="21"/>
        </w:rPr>
        <w:t>扶手距驾乘室地板的高度应便于乘员坐在座位上抓持。</w:t>
      </w:r>
      <w:r>
        <w:rPr>
          <w:sz w:val="21"/>
        </w:rPr>
        <w:t> </w:t>
      </w:r>
    </w:p>
    <w:p>
      <w:pPr>
        <w:pStyle w:val="BodyText"/>
        <w:spacing w:before="1"/>
        <w:rPr>
          <w:sz w:val="18"/>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3"/>
          <w:sz w:val="21"/>
        </w:rPr>
        <w:t>驾乘室应有方便上、下车的扶手，扶手应保证戴防护手套仍能抓持。 </w:t>
      </w:r>
    </w:p>
    <w:p>
      <w:pPr>
        <w:pStyle w:val="BodyText"/>
        <w:rPr>
          <w:sz w:val="18"/>
        </w:rPr>
      </w:pPr>
    </w:p>
    <w:p>
      <w:pPr>
        <w:pStyle w:val="ListParagraph"/>
        <w:numPr>
          <w:ilvl w:val="3"/>
          <w:numId w:val="156"/>
        </w:numPr>
        <w:tabs>
          <w:tab w:pos="1576" w:val="left" w:leader="none"/>
        </w:tabs>
        <w:spacing w:line="446" w:lineRule="auto" w:before="1" w:after="0"/>
        <w:ind w:left="418" w:right="1818" w:firstLine="419"/>
        <w:jc w:val="left"/>
        <w:rPr>
          <w:sz w:val="21"/>
        </w:rPr>
      </w:pPr>
      <w:r>
        <w:rPr>
          <w:spacing w:val="-3"/>
          <w:sz w:val="21"/>
        </w:rPr>
        <w:t>扶手应优先使用非金属材料制造，若采用金属材料时应在扶手外部包敷非金属层，并应有防滑花纹。</w:t>
      </w:r>
      <w:r>
        <w:rPr>
          <w:sz w:val="21"/>
        </w:rPr>
        <w:t> </w:t>
      </w:r>
    </w:p>
    <w:p>
      <w:pPr>
        <w:pStyle w:val="ListParagraph"/>
        <w:numPr>
          <w:ilvl w:val="2"/>
          <w:numId w:val="156"/>
        </w:numPr>
        <w:tabs>
          <w:tab w:pos="1370" w:val="left" w:leader="none"/>
        </w:tabs>
        <w:spacing w:line="240" w:lineRule="auto" w:before="0" w:after="0"/>
        <w:ind w:left="1369" w:right="0" w:hanging="530"/>
        <w:jc w:val="left"/>
        <w:rPr>
          <w:sz w:val="21"/>
        </w:rPr>
      </w:pPr>
      <w:r>
        <w:rPr>
          <w:spacing w:val="-3"/>
          <w:sz w:val="21"/>
        </w:rPr>
        <w:t>驾乘室的强度和刚度 </w:t>
      </w:r>
    </w:p>
    <w:p>
      <w:pPr>
        <w:pStyle w:val="BodyText"/>
        <w:spacing w:before="12"/>
        <w:rPr>
          <w:sz w:val="17"/>
        </w:rPr>
      </w:pPr>
    </w:p>
    <w:p>
      <w:pPr>
        <w:pStyle w:val="ListParagraph"/>
        <w:numPr>
          <w:ilvl w:val="3"/>
          <w:numId w:val="156"/>
        </w:numPr>
        <w:tabs>
          <w:tab w:pos="1576" w:val="left" w:leader="none"/>
        </w:tabs>
        <w:spacing w:line="446" w:lineRule="auto" w:before="0" w:after="0"/>
        <w:ind w:left="418" w:right="1505" w:firstLine="419"/>
        <w:jc w:val="left"/>
        <w:rPr>
          <w:sz w:val="21"/>
        </w:rPr>
      </w:pPr>
      <w:r>
        <w:rPr>
          <w:spacing w:val="-6"/>
          <w:sz w:val="21"/>
        </w:rPr>
        <w:t>驾乘室顶需要上人操作或维修装备时，应保证在 </w:t>
      </w:r>
      <w:r>
        <w:rPr>
          <w:sz w:val="21"/>
        </w:rPr>
        <w:t>300</w:t>
      </w:r>
      <w:r>
        <w:rPr>
          <w:spacing w:val="9"/>
          <w:sz w:val="21"/>
        </w:rPr>
        <w:t> </w:t>
      </w:r>
      <w:r>
        <w:rPr>
          <w:sz w:val="21"/>
        </w:rPr>
        <w:t>mm×200</w:t>
      </w:r>
      <w:r>
        <w:rPr>
          <w:spacing w:val="8"/>
          <w:sz w:val="21"/>
        </w:rPr>
        <w:t> </w:t>
      </w:r>
      <w:r>
        <w:rPr>
          <w:sz w:val="21"/>
        </w:rPr>
        <w:t>mm</w:t>
      </w:r>
      <w:r>
        <w:rPr>
          <w:spacing w:val="-8"/>
          <w:sz w:val="21"/>
        </w:rPr>
        <w:t> 范围能够承受质</w:t>
      </w:r>
      <w:r>
        <w:rPr>
          <w:spacing w:val="-24"/>
          <w:sz w:val="21"/>
        </w:rPr>
        <w:t>量为 </w:t>
      </w:r>
      <w:r>
        <w:rPr>
          <w:sz w:val="21"/>
        </w:rPr>
        <w:t>100</w:t>
      </w:r>
      <w:r>
        <w:rPr>
          <w:spacing w:val="1"/>
          <w:sz w:val="21"/>
        </w:rPr>
        <w:t> </w:t>
      </w:r>
      <w:r>
        <w:rPr>
          <w:sz w:val="21"/>
        </w:rPr>
        <w:t>kg</w:t>
      </w:r>
      <w:r>
        <w:rPr>
          <w:spacing w:val="-8"/>
          <w:sz w:val="21"/>
        </w:rPr>
        <w:t> 的静载荷，并且驾乘室顶应采取防滑措施。</w:t>
      </w:r>
      <w:r>
        <w:rPr>
          <w:sz w:val="21"/>
        </w:rPr>
        <w:t> </w:t>
      </w:r>
    </w:p>
    <w:p>
      <w:pPr>
        <w:pStyle w:val="ListParagraph"/>
        <w:numPr>
          <w:ilvl w:val="3"/>
          <w:numId w:val="156"/>
        </w:numPr>
        <w:tabs>
          <w:tab w:pos="1576" w:val="left" w:leader="none"/>
        </w:tabs>
        <w:spacing w:line="446" w:lineRule="auto" w:before="0" w:after="0"/>
        <w:ind w:left="418" w:right="1609" w:firstLine="419"/>
        <w:jc w:val="left"/>
        <w:rPr>
          <w:sz w:val="21"/>
        </w:rPr>
      </w:pPr>
      <w:r>
        <w:rPr>
          <w:spacing w:val="-3"/>
          <w:sz w:val="21"/>
        </w:rPr>
        <w:t>驾乘室应具有与原驾驶室相同的强度和刚度。地板、顶护面、加强筋的形状及材料的材质、厚度等均应与原驾驶室相同。</w:t>
      </w:r>
      <w:r>
        <w:rPr>
          <w:sz w:val="21"/>
        </w:rPr>
        <w:t> </w:t>
      </w:r>
    </w:p>
    <w:p>
      <w:pPr>
        <w:pStyle w:val="ListParagraph"/>
        <w:numPr>
          <w:ilvl w:val="2"/>
          <w:numId w:val="156"/>
        </w:numPr>
        <w:tabs>
          <w:tab w:pos="1370" w:val="left" w:leader="none"/>
        </w:tabs>
        <w:spacing w:line="267" w:lineRule="exact" w:before="0" w:after="0"/>
        <w:ind w:left="1369" w:right="0" w:hanging="530"/>
        <w:jc w:val="left"/>
        <w:rPr>
          <w:sz w:val="21"/>
        </w:rPr>
      </w:pPr>
      <w:r>
        <w:rPr>
          <w:spacing w:val="-3"/>
          <w:sz w:val="21"/>
        </w:rPr>
        <w:t>驾乘室内外部操作要求</w:t>
      </w:r>
      <w:r>
        <w:rPr>
          <w:sz w:val="21"/>
        </w:rPr>
        <w:t> </w:t>
      </w:r>
    </w:p>
    <w:p>
      <w:pPr>
        <w:spacing w:after="0" w:line="267" w:lineRule="exact"/>
        <w:jc w:val="left"/>
        <w:rPr>
          <w:sz w:val="21"/>
        </w:rPr>
        <w:sectPr>
          <w:pgSz w:w="11910" w:h="16850"/>
          <w:pgMar w:header="0" w:footer="1239" w:top="1220" w:bottom="1420" w:left="1260" w:right="0"/>
        </w:sectPr>
      </w:pPr>
    </w:p>
    <w:p>
      <w:pPr>
        <w:pStyle w:val="ListParagraph"/>
        <w:numPr>
          <w:ilvl w:val="3"/>
          <w:numId w:val="156"/>
        </w:numPr>
        <w:tabs>
          <w:tab w:pos="1576" w:val="left" w:leader="none"/>
        </w:tabs>
        <w:spacing w:line="446" w:lineRule="auto" w:before="47" w:after="0"/>
        <w:ind w:left="418" w:right="1818" w:firstLine="419"/>
        <w:jc w:val="left"/>
        <w:rPr>
          <w:sz w:val="21"/>
        </w:rPr>
      </w:pPr>
      <w:r>
        <w:rPr>
          <w:spacing w:val="-3"/>
          <w:sz w:val="21"/>
        </w:rPr>
        <w:t>驾乘室内部的灯开关、警灯、警报器开关、储物箱开关、抽拉板拉手、启闭车门、车窗等应保证戴防护手套仍能操作。</w:t>
      </w:r>
      <w:r>
        <w:rPr>
          <w:sz w:val="21"/>
        </w:rPr>
        <w:t> </w:t>
      </w:r>
    </w:p>
    <w:p>
      <w:pPr>
        <w:pStyle w:val="ListParagraph"/>
        <w:numPr>
          <w:ilvl w:val="3"/>
          <w:numId w:val="156"/>
        </w:numPr>
        <w:tabs>
          <w:tab w:pos="1576" w:val="left" w:leader="none"/>
        </w:tabs>
        <w:spacing w:line="446" w:lineRule="auto" w:before="0" w:after="0"/>
        <w:ind w:left="418" w:right="1609" w:firstLine="419"/>
        <w:jc w:val="left"/>
        <w:rPr>
          <w:sz w:val="21"/>
        </w:rPr>
      </w:pPr>
      <w:r>
        <w:rPr>
          <w:spacing w:val="-3"/>
          <w:sz w:val="21"/>
        </w:rPr>
        <w:t>驾乘室座椅后部若安装空气呼吸器，应有机械锁止机构将空气呼吸器锁住，机械锁止机构的解除手柄应在乘员方便接触处，手柄的大小应保证戴防护手套可操作。</w:t>
      </w:r>
      <w:r>
        <w:rPr>
          <w:sz w:val="21"/>
        </w:rPr>
        <w:t> </w:t>
      </w:r>
    </w:p>
    <w:p>
      <w:pPr>
        <w:pStyle w:val="ListParagraph"/>
        <w:numPr>
          <w:ilvl w:val="3"/>
          <w:numId w:val="156"/>
        </w:numPr>
        <w:tabs>
          <w:tab w:pos="1576" w:val="left" w:leader="none"/>
        </w:tabs>
        <w:spacing w:line="240" w:lineRule="auto" w:before="0" w:after="0"/>
        <w:ind w:left="1575" w:right="0" w:hanging="738"/>
        <w:jc w:val="left"/>
        <w:rPr>
          <w:sz w:val="21"/>
        </w:rPr>
      </w:pPr>
      <w:r>
        <w:rPr>
          <w:spacing w:val="-3"/>
          <w:sz w:val="21"/>
        </w:rPr>
        <w:t>对于可翻转式驾乘室，应采用左右能均匀受力、双向翻转机构，翻转角应不小于</w:t>
      </w:r>
    </w:p>
    <w:p>
      <w:pPr>
        <w:pStyle w:val="BodyText"/>
        <w:spacing w:before="10"/>
        <w:rPr>
          <w:sz w:val="17"/>
        </w:rPr>
      </w:pPr>
    </w:p>
    <w:p>
      <w:pPr>
        <w:pStyle w:val="BodyText"/>
        <w:spacing w:line="446" w:lineRule="auto"/>
        <w:ind w:left="418" w:right="1608"/>
        <w:jc w:val="both"/>
      </w:pPr>
      <w:r>
        <w:rPr/>
        <w:t>45°。翻转机构应操作灵活，且应安装可靠的锁止装置和保险装置，以保证驾乘室在行驶时不会自行翻起，翻起后不会自行落下，并在翻转操纵机构附近易见部位应有提醒操作人员如何正确使用该操纵机构的中文说明。 </w:t>
      </w:r>
    </w:p>
    <w:p>
      <w:pPr>
        <w:pStyle w:val="ListParagraph"/>
        <w:numPr>
          <w:ilvl w:val="2"/>
          <w:numId w:val="156"/>
        </w:numPr>
        <w:tabs>
          <w:tab w:pos="1370" w:val="left" w:leader="none"/>
        </w:tabs>
        <w:spacing w:line="268" w:lineRule="exact" w:before="0" w:after="0"/>
        <w:ind w:left="1369" w:right="0" w:hanging="530"/>
        <w:jc w:val="left"/>
        <w:rPr>
          <w:sz w:val="21"/>
        </w:rPr>
      </w:pPr>
      <w:r>
        <w:rPr>
          <w:spacing w:val="-3"/>
          <w:sz w:val="21"/>
        </w:rPr>
        <w:t>安全要求</w:t>
      </w:r>
      <w:r>
        <w:rPr>
          <w:sz w:val="21"/>
        </w:rPr>
        <w:t> </w:t>
      </w:r>
    </w:p>
    <w:p>
      <w:pPr>
        <w:pStyle w:val="BodyText"/>
        <w:spacing w:before="2"/>
        <w:rPr>
          <w:sz w:val="18"/>
        </w:rPr>
      </w:pPr>
    </w:p>
    <w:p>
      <w:pPr>
        <w:pStyle w:val="ListParagraph"/>
        <w:numPr>
          <w:ilvl w:val="3"/>
          <w:numId w:val="156"/>
        </w:numPr>
        <w:tabs>
          <w:tab w:pos="1576" w:val="left" w:leader="none"/>
        </w:tabs>
        <w:spacing w:line="446" w:lineRule="auto" w:before="0" w:after="0"/>
        <w:ind w:left="418" w:right="1609" w:firstLine="419"/>
        <w:jc w:val="left"/>
        <w:rPr>
          <w:sz w:val="21"/>
        </w:rPr>
      </w:pPr>
      <w:r>
        <w:rPr>
          <w:spacing w:val="-3"/>
          <w:sz w:val="21"/>
        </w:rPr>
        <w:t>在驾驶员可见位置处应安装声光报警装置，以警示发动机温度和润滑油位是否异常。</w:t>
      </w:r>
      <w:r>
        <w:rPr>
          <w:sz w:val="21"/>
        </w:rPr>
        <w:t> </w:t>
      </w:r>
    </w:p>
    <w:p>
      <w:pPr>
        <w:pStyle w:val="ListParagraph"/>
        <w:numPr>
          <w:ilvl w:val="3"/>
          <w:numId w:val="156"/>
        </w:numPr>
        <w:tabs>
          <w:tab w:pos="1576" w:val="left" w:leader="none"/>
        </w:tabs>
        <w:spacing w:line="267" w:lineRule="exact" w:before="0" w:after="0"/>
        <w:ind w:left="1575" w:right="0" w:hanging="738"/>
        <w:jc w:val="left"/>
        <w:rPr>
          <w:sz w:val="21"/>
        </w:rPr>
      </w:pPr>
      <w:r>
        <w:rPr>
          <w:spacing w:val="-3"/>
          <w:sz w:val="21"/>
        </w:rPr>
        <w:t>乘员室外表面不应有尖角和锐利的边缘。</w:t>
      </w:r>
      <w:r>
        <w:rPr>
          <w:sz w:val="21"/>
        </w:rPr>
        <w:t> </w:t>
      </w:r>
    </w:p>
    <w:p>
      <w:pPr>
        <w:pStyle w:val="BodyText"/>
        <w:spacing w:before="2"/>
        <w:rPr>
          <w:sz w:val="18"/>
        </w:rPr>
      </w:pPr>
    </w:p>
    <w:p>
      <w:pPr>
        <w:pStyle w:val="ListParagraph"/>
        <w:numPr>
          <w:ilvl w:val="3"/>
          <w:numId w:val="156"/>
        </w:numPr>
        <w:tabs>
          <w:tab w:pos="1576" w:val="left" w:leader="none"/>
        </w:tabs>
        <w:spacing w:line="446" w:lineRule="auto" w:before="0" w:after="0"/>
        <w:ind w:left="418" w:right="1609" w:firstLine="419"/>
        <w:jc w:val="left"/>
        <w:rPr>
          <w:sz w:val="21"/>
        </w:rPr>
      </w:pPr>
      <w:r>
        <w:rPr>
          <w:spacing w:val="-3"/>
          <w:sz w:val="21"/>
        </w:rPr>
        <w:t>功率输出装置装在驾驶室或乘员室下方时，两者之间应采用隔热效果良好的材料隔离。</w:t>
      </w:r>
      <w:r>
        <w:rPr>
          <w:sz w:val="21"/>
        </w:rPr>
        <w:t> </w:t>
      </w:r>
    </w:p>
    <w:p>
      <w:pPr>
        <w:pStyle w:val="ListParagraph"/>
        <w:numPr>
          <w:ilvl w:val="3"/>
          <w:numId w:val="156"/>
        </w:numPr>
        <w:tabs>
          <w:tab w:pos="1576" w:val="left" w:leader="none"/>
        </w:tabs>
        <w:spacing w:line="267" w:lineRule="exact" w:before="0" w:after="0"/>
        <w:ind w:left="1575" w:right="0" w:hanging="738"/>
        <w:jc w:val="left"/>
        <w:rPr>
          <w:sz w:val="21"/>
        </w:rPr>
      </w:pPr>
      <w:r>
        <w:rPr>
          <w:spacing w:val="-3"/>
          <w:sz w:val="21"/>
        </w:rPr>
        <w:t>乘员室内部不应有尖角、锐利边缘、突出物等可能对人员造成伤害的形状。 </w:t>
      </w:r>
    </w:p>
    <w:p>
      <w:pPr>
        <w:pStyle w:val="BodyText"/>
        <w:spacing w:before="2"/>
        <w:rPr>
          <w:sz w:val="18"/>
        </w:rPr>
      </w:pPr>
    </w:p>
    <w:p>
      <w:pPr>
        <w:pStyle w:val="ListParagraph"/>
        <w:numPr>
          <w:ilvl w:val="3"/>
          <w:numId w:val="156"/>
        </w:numPr>
        <w:tabs>
          <w:tab w:pos="1576" w:val="left" w:leader="none"/>
        </w:tabs>
        <w:spacing w:line="446" w:lineRule="auto" w:before="0" w:after="0"/>
        <w:ind w:left="418" w:right="1609" w:firstLine="419"/>
        <w:jc w:val="left"/>
        <w:rPr>
          <w:sz w:val="21"/>
        </w:rPr>
      </w:pPr>
      <w:r>
        <w:rPr>
          <w:spacing w:val="-3"/>
          <w:sz w:val="21"/>
        </w:rPr>
        <w:t>乘员室内部人员可能产生碰撞处应进行软化处理，软化层应选用阻燃材料，其阻</w:t>
      </w:r>
      <w:r>
        <w:rPr>
          <w:spacing w:val="6"/>
          <w:sz w:val="21"/>
        </w:rPr>
        <w:t>燃性能应符合</w:t>
      </w:r>
      <w:r>
        <w:rPr>
          <w:sz w:val="21"/>
        </w:rPr>
        <w:t>GB</w:t>
      </w:r>
      <w:r>
        <w:rPr>
          <w:spacing w:val="1"/>
          <w:sz w:val="21"/>
        </w:rPr>
        <w:t> </w:t>
      </w:r>
      <w:r>
        <w:rPr>
          <w:sz w:val="21"/>
        </w:rPr>
        <w:t>8410</w:t>
      </w:r>
      <w:r>
        <w:rPr>
          <w:spacing w:val="-9"/>
          <w:sz w:val="21"/>
        </w:rPr>
        <w:t> 的规定，并符合环保要求。</w:t>
      </w:r>
      <w:r>
        <w:rPr>
          <w:sz w:val="21"/>
        </w:rPr>
        <w:t> </w:t>
      </w:r>
    </w:p>
    <w:p>
      <w:pPr>
        <w:pStyle w:val="ListParagraph"/>
        <w:numPr>
          <w:ilvl w:val="3"/>
          <w:numId w:val="156"/>
        </w:numPr>
        <w:tabs>
          <w:tab w:pos="1576" w:val="left" w:leader="none"/>
        </w:tabs>
        <w:spacing w:line="446" w:lineRule="auto" w:before="0" w:after="0"/>
        <w:ind w:left="418" w:right="1608" w:firstLine="419"/>
        <w:jc w:val="left"/>
        <w:rPr>
          <w:sz w:val="21"/>
        </w:rPr>
      </w:pPr>
      <w:r>
        <w:rPr>
          <w:spacing w:val="-5"/>
          <w:sz w:val="21"/>
        </w:rPr>
        <w:t>地板上铺覆的软化物应选用阻燃材料，其阻燃性能应符合 </w:t>
      </w:r>
      <w:r>
        <w:rPr>
          <w:sz w:val="21"/>
        </w:rPr>
        <w:t>GB</w:t>
      </w:r>
      <w:r>
        <w:rPr>
          <w:spacing w:val="10"/>
          <w:sz w:val="21"/>
        </w:rPr>
        <w:t> </w:t>
      </w:r>
      <w:r>
        <w:rPr>
          <w:sz w:val="21"/>
        </w:rPr>
        <w:t>8410</w:t>
      </w:r>
      <w:r>
        <w:rPr>
          <w:spacing w:val="-9"/>
          <w:sz w:val="21"/>
        </w:rPr>
        <w:t> 的规定，并符</w:t>
      </w:r>
      <w:r>
        <w:rPr>
          <w:spacing w:val="-5"/>
          <w:sz w:val="21"/>
        </w:rPr>
        <w:t>合环保要求，且能减噪、防滑、并便于清洁。</w:t>
      </w:r>
      <w:r>
        <w:rPr>
          <w:sz w:val="21"/>
        </w:rPr>
        <w:t> </w:t>
      </w:r>
    </w:p>
    <w:p>
      <w:pPr>
        <w:pStyle w:val="ListParagraph"/>
        <w:numPr>
          <w:ilvl w:val="3"/>
          <w:numId w:val="156"/>
        </w:numPr>
        <w:tabs>
          <w:tab w:pos="1576" w:val="left" w:leader="none"/>
        </w:tabs>
        <w:spacing w:line="446" w:lineRule="auto" w:before="0" w:after="0"/>
        <w:ind w:left="418" w:right="1505" w:firstLine="419"/>
        <w:jc w:val="left"/>
        <w:rPr>
          <w:sz w:val="21"/>
        </w:rPr>
      </w:pPr>
      <w:r>
        <w:rPr>
          <w:spacing w:val="-5"/>
          <w:sz w:val="21"/>
        </w:rPr>
        <w:t>乘员室内若有打开或抽出时会向乘坐空间伸出超过 </w:t>
      </w:r>
      <w:r>
        <w:rPr>
          <w:sz w:val="21"/>
        </w:rPr>
        <w:t>250</w:t>
      </w:r>
      <w:r>
        <w:rPr>
          <w:spacing w:val="11"/>
          <w:sz w:val="21"/>
        </w:rPr>
        <w:t> </w:t>
      </w:r>
      <w:r>
        <w:rPr>
          <w:sz w:val="21"/>
        </w:rPr>
        <w:t>mm</w:t>
      </w:r>
      <w:r>
        <w:rPr>
          <w:spacing w:val="-8"/>
          <w:sz w:val="21"/>
        </w:rPr>
        <w:t> 的储物箱或翻板时，在</w:t>
      </w:r>
      <w:r>
        <w:rPr>
          <w:spacing w:val="-5"/>
          <w:sz w:val="21"/>
        </w:rPr>
        <w:t>打开或抽出时应有明显的指示，以避免造成人员碰伤。</w:t>
      </w:r>
      <w:r>
        <w:rPr>
          <w:sz w:val="21"/>
        </w:rPr>
        <w:t> </w:t>
      </w:r>
    </w:p>
    <w:p>
      <w:pPr>
        <w:pStyle w:val="ListParagraph"/>
        <w:numPr>
          <w:ilvl w:val="3"/>
          <w:numId w:val="156"/>
        </w:numPr>
        <w:tabs>
          <w:tab w:pos="1576" w:val="left" w:leader="none"/>
        </w:tabs>
        <w:spacing w:line="446" w:lineRule="auto" w:before="0" w:after="0"/>
        <w:ind w:left="418" w:right="1505" w:firstLine="419"/>
        <w:jc w:val="left"/>
        <w:rPr>
          <w:sz w:val="21"/>
        </w:rPr>
      </w:pPr>
      <w:r>
        <w:rPr>
          <w:spacing w:val="-7"/>
          <w:sz w:val="21"/>
        </w:rPr>
        <w:t>乘员室内距地板高度小于 </w:t>
      </w:r>
      <w:r>
        <w:rPr>
          <w:sz w:val="21"/>
        </w:rPr>
        <w:t>300</w:t>
      </w:r>
      <w:r>
        <w:rPr>
          <w:spacing w:val="12"/>
          <w:sz w:val="21"/>
        </w:rPr>
        <w:t> </w:t>
      </w:r>
      <w:r>
        <w:rPr>
          <w:sz w:val="21"/>
        </w:rPr>
        <w:t>mm</w:t>
      </w:r>
      <w:r>
        <w:rPr>
          <w:spacing w:val="-9"/>
          <w:sz w:val="21"/>
        </w:rPr>
        <w:t> 范围内若放置易损物品时，应有防磕碰、防脚踢</w:t>
      </w:r>
      <w:r>
        <w:rPr>
          <w:spacing w:val="-6"/>
          <w:sz w:val="21"/>
        </w:rPr>
        <w:t>的防护装置。</w:t>
      </w:r>
      <w:r>
        <w:rPr>
          <w:sz w:val="21"/>
        </w:rPr>
        <w:t> </w:t>
      </w:r>
    </w:p>
    <w:p>
      <w:pPr>
        <w:pStyle w:val="ListParagraph"/>
        <w:numPr>
          <w:ilvl w:val="2"/>
          <w:numId w:val="156"/>
        </w:numPr>
        <w:tabs>
          <w:tab w:pos="1371" w:val="left" w:leader="none"/>
        </w:tabs>
        <w:spacing w:line="267" w:lineRule="exact" w:before="0" w:after="0"/>
        <w:ind w:left="1370" w:right="0" w:hanging="531"/>
        <w:jc w:val="left"/>
        <w:rPr>
          <w:sz w:val="21"/>
        </w:rPr>
      </w:pPr>
      <w:r>
        <w:rPr>
          <w:spacing w:val="-3"/>
          <w:sz w:val="21"/>
        </w:rPr>
        <w:t>外观</w:t>
      </w:r>
      <w:r>
        <w:rPr>
          <w:sz w:val="21"/>
        </w:rPr>
        <w:t> </w:t>
      </w:r>
    </w:p>
    <w:p>
      <w:pPr>
        <w:pStyle w:val="BodyText"/>
        <w:rPr>
          <w:sz w:val="18"/>
        </w:rPr>
      </w:pPr>
    </w:p>
    <w:p>
      <w:pPr>
        <w:pStyle w:val="ListParagraph"/>
        <w:numPr>
          <w:ilvl w:val="3"/>
          <w:numId w:val="156"/>
        </w:numPr>
        <w:tabs>
          <w:tab w:pos="1576" w:val="left" w:leader="none"/>
        </w:tabs>
        <w:spacing w:line="446" w:lineRule="auto" w:before="0" w:after="0"/>
        <w:ind w:left="418" w:right="1452" w:firstLine="419"/>
        <w:jc w:val="left"/>
        <w:rPr>
          <w:sz w:val="21"/>
        </w:rPr>
      </w:pPr>
      <w:r>
        <w:rPr>
          <w:spacing w:val="-5"/>
          <w:sz w:val="21"/>
        </w:rPr>
        <w:t>乘员室应周正，后围左右外缘与车架中心对称位置偏差应不大于 </w:t>
      </w:r>
      <w:r>
        <w:rPr>
          <w:spacing w:val="-3"/>
          <w:sz w:val="21"/>
        </w:rPr>
        <w:t>20</w:t>
      </w:r>
      <w:r>
        <w:rPr>
          <w:spacing w:val="14"/>
          <w:sz w:val="21"/>
        </w:rPr>
        <w:t> </w:t>
      </w:r>
      <w:r>
        <w:rPr>
          <w:sz w:val="21"/>
        </w:rPr>
        <w:t>mm</w:t>
      </w:r>
      <w:r>
        <w:rPr>
          <w:spacing w:val="-1"/>
          <w:sz w:val="21"/>
        </w:rPr>
        <w:t>，与车架上</w:t>
      </w:r>
      <w:r>
        <w:rPr>
          <w:spacing w:val="-7"/>
          <w:sz w:val="21"/>
        </w:rPr>
        <w:t>平面高度对称位置偏差应不大于 </w:t>
      </w:r>
      <w:r>
        <w:rPr>
          <w:sz w:val="21"/>
        </w:rPr>
        <w:t>10</w:t>
      </w:r>
      <w:r>
        <w:rPr>
          <w:spacing w:val="-2"/>
          <w:sz w:val="21"/>
        </w:rPr>
        <w:t> </w:t>
      </w:r>
      <w:r>
        <w:rPr>
          <w:sz w:val="21"/>
        </w:rPr>
        <w:t>mm</w:t>
      </w:r>
      <w:r>
        <w:rPr>
          <w:spacing w:val="-3"/>
          <w:sz w:val="21"/>
        </w:rPr>
        <w:t>。</w:t>
      </w:r>
      <w:r>
        <w:rPr>
          <w:sz w:val="21"/>
        </w:rPr>
        <w:t> </w:t>
      </w:r>
    </w:p>
    <w:p>
      <w:pPr>
        <w:pStyle w:val="ListParagraph"/>
        <w:numPr>
          <w:ilvl w:val="3"/>
          <w:numId w:val="156"/>
        </w:numPr>
        <w:tabs>
          <w:tab w:pos="1576" w:val="left" w:leader="none"/>
        </w:tabs>
        <w:spacing w:line="267" w:lineRule="exact" w:before="0" w:after="0"/>
        <w:ind w:left="1575" w:right="0" w:hanging="738"/>
        <w:jc w:val="left"/>
        <w:rPr>
          <w:sz w:val="21"/>
        </w:rPr>
      </w:pPr>
      <w:r>
        <w:rPr>
          <w:spacing w:val="-3"/>
          <w:sz w:val="21"/>
        </w:rPr>
        <w:t>乘员室外护面应平整，圆弧过渡应平滑，车门缝隙均匀。</w:t>
      </w:r>
      <w:r>
        <w:rPr>
          <w:sz w:val="21"/>
        </w:rPr>
        <w:t> </w:t>
      </w:r>
    </w:p>
    <w:p>
      <w:pPr>
        <w:pStyle w:val="BodyText"/>
        <w:spacing w:before="2"/>
        <w:rPr>
          <w:sz w:val="18"/>
        </w:rPr>
      </w:pPr>
    </w:p>
    <w:p>
      <w:pPr>
        <w:pStyle w:val="ListParagraph"/>
        <w:numPr>
          <w:ilvl w:val="3"/>
          <w:numId w:val="156"/>
        </w:numPr>
        <w:tabs>
          <w:tab w:pos="1576" w:val="left" w:leader="none"/>
        </w:tabs>
        <w:spacing w:line="240" w:lineRule="auto" w:before="0" w:after="0"/>
        <w:ind w:left="1575" w:right="0" w:hanging="738"/>
        <w:jc w:val="left"/>
        <w:rPr>
          <w:sz w:val="21"/>
        </w:rPr>
      </w:pPr>
      <w:r>
        <w:rPr>
          <w:spacing w:val="-6"/>
          <w:sz w:val="21"/>
        </w:rPr>
        <w:t>乘员室内部所有软化层的选用，除符合 </w:t>
      </w:r>
      <w:r>
        <w:rPr>
          <w:sz w:val="21"/>
        </w:rPr>
        <w:t>5.5.8.5</w:t>
      </w:r>
      <w:r>
        <w:rPr>
          <w:spacing w:val="-9"/>
          <w:sz w:val="21"/>
        </w:rPr>
        <w:t> 的规定外还应尽可能地考虑与原</w:t>
      </w:r>
    </w:p>
    <w:p>
      <w:pPr>
        <w:spacing w:after="0" w:line="240" w:lineRule="auto"/>
        <w:jc w:val="left"/>
        <w:rPr>
          <w:sz w:val="21"/>
        </w:rPr>
        <w:sectPr>
          <w:pgSz w:w="11910" w:h="16850"/>
          <w:pgMar w:header="0" w:footer="1239" w:top="1220" w:bottom="1420" w:left="1260" w:right="0"/>
        </w:sectPr>
      </w:pPr>
    </w:p>
    <w:p>
      <w:pPr>
        <w:spacing w:line="446" w:lineRule="auto" w:before="47"/>
        <w:ind w:left="840" w:right="6757" w:hanging="423"/>
        <w:jc w:val="left"/>
        <w:rPr>
          <w:sz w:val="21"/>
        </w:rPr>
      </w:pPr>
      <w:r>
        <w:rPr>
          <w:sz w:val="21"/>
        </w:rPr>
        <w:t>底盘软化层的质地、颜色协调一致。</w:t>
      </w:r>
      <w:r>
        <w:rPr>
          <w:b/>
          <w:sz w:val="21"/>
        </w:rPr>
        <w:t>5.5.10 </w:t>
      </w:r>
      <w:r>
        <w:rPr>
          <w:sz w:val="21"/>
        </w:rPr>
        <w:t>车内噪声 </w:t>
      </w:r>
    </w:p>
    <w:p>
      <w:pPr>
        <w:pStyle w:val="BodyText"/>
        <w:spacing w:line="446" w:lineRule="auto"/>
        <w:ind w:left="840" w:right="3450" w:hanging="3"/>
        <w:rPr>
          <w:b/>
        </w:rPr>
      </w:pPr>
      <w:r>
        <w:rPr/>
        <w:t>消防车行驶时，乘员室内乘员头部位置的噪声值不超过 85dB（A）。</w:t>
      </w:r>
      <w:r>
        <w:rPr>
          <w:b/>
        </w:rPr>
        <w:t>5.6 </w:t>
      </w:r>
      <w:r>
        <w:rPr/>
        <w:t>仪表与操作系统</w:t>
      </w:r>
      <w:r>
        <w:rPr>
          <w:b/>
          <w:w w:val="99"/>
        </w:rPr>
        <w:t> </w:t>
      </w:r>
    </w:p>
    <w:p>
      <w:pPr>
        <w:pStyle w:val="ListParagraph"/>
        <w:numPr>
          <w:ilvl w:val="2"/>
          <w:numId w:val="157"/>
        </w:numPr>
        <w:tabs>
          <w:tab w:pos="1371" w:val="left" w:leader="none"/>
        </w:tabs>
        <w:spacing w:line="446" w:lineRule="auto" w:before="0" w:after="0"/>
        <w:ind w:left="418" w:right="1604" w:firstLine="422"/>
        <w:jc w:val="left"/>
        <w:rPr>
          <w:sz w:val="21"/>
        </w:rPr>
      </w:pPr>
      <w:r>
        <w:rPr>
          <w:spacing w:val="-3"/>
          <w:sz w:val="21"/>
        </w:rPr>
        <w:t>消防车仪表、操纵手柄、开关处应有指示用途的中文标牌，标牌应可靠固定，不应因震动、高温、水淋及其他原因脱落，应有保证阅读的照明。</w:t>
      </w:r>
      <w:r>
        <w:rPr>
          <w:sz w:val="21"/>
        </w:rPr>
        <w:t> </w:t>
      </w:r>
    </w:p>
    <w:p>
      <w:pPr>
        <w:pStyle w:val="ListParagraph"/>
        <w:numPr>
          <w:ilvl w:val="2"/>
          <w:numId w:val="157"/>
        </w:numPr>
        <w:tabs>
          <w:tab w:pos="1370" w:val="left" w:leader="none"/>
        </w:tabs>
        <w:spacing w:line="446" w:lineRule="auto" w:before="0" w:after="0"/>
        <w:ind w:left="418" w:right="1553" w:firstLine="422"/>
        <w:jc w:val="both"/>
        <w:rPr>
          <w:sz w:val="21"/>
        </w:rPr>
      </w:pPr>
      <w:r>
        <w:rPr>
          <w:spacing w:val="-5"/>
          <w:sz w:val="21"/>
        </w:rPr>
        <w:t>消防车用各种仪表应是耐震型，指针式仪表的字体高度不小于 </w:t>
      </w:r>
      <w:r>
        <w:rPr>
          <w:spacing w:val="-3"/>
          <w:sz w:val="21"/>
        </w:rPr>
        <w:t>4</w:t>
      </w:r>
      <w:r>
        <w:rPr>
          <w:spacing w:val="15"/>
          <w:sz w:val="21"/>
        </w:rPr>
        <w:t> </w:t>
      </w:r>
      <w:r>
        <w:rPr>
          <w:sz w:val="21"/>
        </w:rPr>
        <w:t>mm</w:t>
      </w:r>
      <w:r>
        <w:rPr>
          <w:spacing w:val="-2"/>
          <w:sz w:val="21"/>
        </w:rPr>
        <w:t>，数字式仪表的</w:t>
      </w:r>
      <w:r>
        <w:rPr>
          <w:spacing w:val="-9"/>
          <w:sz w:val="21"/>
        </w:rPr>
        <w:t>数字高度不小于 </w:t>
      </w:r>
      <w:r>
        <w:rPr>
          <w:sz w:val="21"/>
        </w:rPr>
        <w:t>6</w:t>
      </w:r>
      <w:r>
        <w:rPr>
          <w:spacing w:val="17"/>
          <w:sz w:val="21"/>
        </w:rPr>
        <w:t> </w:t>
      </w:r>
      <w:r>
        <w:rPr>
          <w:sz w:val="21"/>
        </w:rPr>
        <w:t>mm</w:t>
      </w:r>
      <w:r>
        <w:rPr>
          <w:spacing w:val="-8"/>
          <w:sz w:val="21"/>
        </w:rPr>
        <w:t>。压力表精度不低于 </w:t>
      </w:r>
      <w:r>
        <w:rPr>
          <w:sz w:val="21"/>
        </w:rPr>
        <w:t>2.5</w:t>
      </w:r>
      <w:r>
        <w:rPr>
          <w:spacing w:val="-8"/>
          <w:sz w:val="21"/>
        </w:rPr>
        <w:t> 级。若在亮度高的环境下显示模糊的数字式仪表</w:t>
      </w:r>
      <w:r>
        <w:rPr>
          <w:spacing w:val="-6"/>
          <w:sz w:val="21"/>
        </w:rPr>
        <w:t>应有遮光罩。</w:t>
      </w:r>
      <w:r>
        <w:rPr>
          <w:sz w:val="21"/>
        </w:rPr>
        <w:t> </w:t>
      </w:r>
    </w:p>
    <w:p>
      <w:pPr>
        <w:pStyle w:val="ListParagraph"/>
        <w:numPr>
          <w:ilvl w:val="2"/>
          <w:numId w:val="157"/>
        </w:numPr>
        <w:tabs>
          <w:tab w:pos="1370" w:val="left" w:leader="none"/>
        </w:tabs>
        <w:spacing w:line="268" w:lineRule="exact" w:before="0" w:after="0"/>
        <w:ind w:left="1369" w:right="0" w:hanging="530"/>
        <w:jc w:val="left"/>
        <w:rPr>
          <w:sz w:val="21"/>
        </w:rPr>
      </w:pPr>
      <w:r>
        <w:rPr>
          <w:spacing w:val="-3"/>
          <w:sz w:val="21"/>
        </w:rPr>
        <w:t>消防车所使用的计量仪表应采用中华人民共和国法定计量单位。</w:t>
      </w:r>
      <w:r>
        <w:rPr>
          <w:sz w:val="21"/>
        </w:rPr>
        <w:t> </w:t>
      </w:r>
    </w:p>
    <w:p>
      <w:pPr>
        <w:pStyle w:val="BodyText"/>
        <w:spacing w:before="10"/>
        <w:rPr>
          <w:sz w:val="17"/>
        </w:rPr>
      </w:pPr>
    </w:p>
    <w:p>
      <w:pPr>
        <w:pStyle w:val="ListParagraph"/>
        <w:numPr>
          <w:ilvl w:val="2"/>
          <w:numId w:val="157"/>
        </w:numPr>
        <w:tabs>
          <w:tab w:pos="1371" w:val="left" w:leader="none"/>
        </w:tabs>
        <w:spacing w:line="446" w:lineRule="auto" w:before="0" w:after="0"/>
        <w:ind w:left="418" w:right="1604" w:firstLine="422"/>
        <w:jc w:val="both"/>
        <w:rPr>
          <w:sz w:val="21"/>
        </w:rPr>
      </w:pPr>
      <w:r>
        <w:rPr>
          <w:spacing w:val="-10"/>
          <w:sz w:val="21"/>
        </w:rPr>
        <w:t>表盘直径小于 </w:t>
      </w:r>
      <w:r>
        <w:rPr>
          <w:sz w:val="21"/>
        </w:rPr>
        <w:t>60</w:t>
      </w:r>
      <w:r>
        <w:rPr>
          <w:spacing w:val="12"/>
          <w:sz w:val="21"/>
        </w:rPr>
        <w:t> </w:t>
      </w:r>
      <w:r>
        <w:rPr>
          <w:sz w:val="21"/>
        </w:rPr>
        <w:t>mm</w:t>
      </w:r>
      <w:r>
        <w:rPr>
          <w:spacing w:val="-8"/>
          <w:sz w:val="21"/>
        </w:rPr>
        <w:t> 的指针式仪表和数显式仪表不应使用两个或两个以上不同计量</w:t>
      </w:r>
      <w:r>
        <w:rPr>
          <w:spacing w:val="-6"/>
          <w:sz w:val="21"/>
        </w:rPr>
        <w:t>制的单位。</w:t>
      </w:r>
      <w:r>
        <w:rPr>
          <w:sz w:val="21"/>
        </w:rPr>
        <w:t> </w:t>
      </w:r>
    </w:p>
    <w:p>
      <w:pPr>
        <w:pStyle w:val="ListParagraph"/>
        <w:numPr>
          <w:ilvl w:val="2"/>
          <w:numId w:val="157"/>
        </w:numPr>
        <w:tabs>
          <w:tab w:pos="1370" w:val="left" w:leader="none"/>
        </w:tabs>
        <w:spacing w:line="446" w:lineRule="auto" w:before="0" w:after="0"/>
        <w:ind w:left="418" w:right="1604" w:firstLine="422"/>
        <w:jc w:val="both"/>
        <w:rPr>
          <w:sz w:val="21"/>
        </w:rPr>
      </w:pPr>
      <w:r>
        <w:rPr>
          <w:spacing w:val="-3"/>
          <w:sz w:val="21"/>
        </w:rPr>
        <w:t>对于误操作将引起危险后果和较复杂的操作，应在操作人员能看到处用中文文字或图解说明操作的步骤、方法及误操作可能引起的后果。文字或图形在操作位置应能清晰阅读， 对于可能引起危险的操作和由此带来的后果应使用红色字体，并比其他文字大一号。文字或图形应永久保留，不应因震动、高温、水淋及其他环境原因脱落，应有保证阅读的照明。 </w:t>
      </w:r>
    </w:p>
    <w:p>
      <w:pPr>
        <w:pStyle w:val="ListParagraph"/>
        <w:numPr>
          <w:ilvl w:val="2"/>
          <w:numId w:val="157"/>
        </w:numPr>
        <w:tabs>
          <w:tab w:pos="1370" w:val="left" w:leader="none"/>
        </w:tabs>
        <w:spacing w:line="446" w:lineRule="auto" w:before="0" w:after="0"/>
        <w:ind w:left="418" w:right="1604" w:firstLine="422"/>
        <w:jc w:val="both"/>
        <w:rPr>
          <w:sz w:val="21"/>
        </w:rPr>
      </w:pPr>
      <w:r>
        <w:rPr>
          <w:spacing w:val="-3"/>
          <w:sz w:val="21"/>
        </w:rPr>
        <w:t>消防泵的放余水开关应接到方便操作处。放水时操作人员在车边即可操作，放余水</w:t>
      </w:r>
      <w:r>
        <w:rPr>
          <w:spacing w:val="-8"/>
          <w:sz w:val="21"/>
        </w:rPr>
        <w:t>开关的大小应保证在 </w:t>
      </w:r>
      <w:r>
        <w:rPr>
          <w:sz w:val="21"/>
        </w:rPr>
        <w:t>45</w:t>
      </w:r>
      <w:r>
        <w:rPr>
          <w:spacing w:val="-2"/>
          <w:sz w:val="21"/>
        </w:rPr>
        <w:t> </w:t>
      </w:r>
      <w:r>
        <w:rPr>
          <w:sz w:val="21"/>
        </w:rPr>
        <w:t>s</w:t>
      </w:r>
      <w:r>
        <w:rPr>
          <w:spacing w:val="-10"/>
          <w:sz w:val="21"/>
        </w:rPr>
        <w:t> 内放尽泵内余水。</w:t>
      </w:r>
      <w:r>
        <w:rPr>
          <w:sz w:val="21"/>
        </w:rPr>
        <w:t> </w:t>
      </w:r>
    </w:p>
    <w:p>
      <w:pPr>
        <w:pStyle w:val="ListParagraph"/>
        <w:numPr>
          <w:ilvl w:val="2"/>
          <w:numId w:val="157"/>
        </w:numPr>
        <w:tabs>
          <w:tab w:pos="1371" w:val="left" w:leader="none"/>
        </w:tabs>
        <w:spacing w:line="446" w:lineRule="auto" w:before="0" w:after="0"/>
        <w:ind w:left="418" w:right="1445" w:firstLine="422"/>
        <w:jc w:val="both"/>
        <w:rPr>
          <w:sz w:val="21"/>
        </w:rPr>
      </w:pPr>
      <w:r>
        <w:rPr>
          <w:spacing w:val="-5"/>
          <w:sz w:val="21"/>
        </w:rPr>
        <w:t>消防车仪表中心的安装高度离操作人员脚踏平面不大于 </w:t>
      </w:r>
      <w:r>
        <w:rPr>
          <w:sz w:val="21"/>
        </w:rPr>
        <w:t>2100</w:t>
      </w:r>
      <w:r>
        <w:rPr>
          <w:spacing w:val="15"/>
          <w:sz w:val="21"/>
        </w:rPr>
        <w:t> </w:t>
      </w:r>
      <w:r>
        <w:rPr>
          <w:sz w:val="21"/>
        </w:rPr>
        <w:t>mm</w:t>
      </w:r>
      <w:r>
        <w:rPr>
          <w:spacing w:val="-3"/>
          <w:sz w:val="21"/>
        </w:rPr>
        <w:t>。若仪表中心的安装</w:t>
      </w:r>
      <w:r>
        <w:rPr>
          <w:spacing w:val="-6"/>
          <w:sz w:val="21"/>
        </w:rPr>
        <w:t>高度离操作人员脚踏平面大于 </w:t>
      </w:r>
      <w:r>
        <w:rPr>
          <w:sz w:val="21"/>
        </w:rPr>
        <w:t>1700</w:t>
      </w:r>
      <w:r>
        <w:rPr>
          <w:spacing w:val="21"/>
          <w:sz w:val="21"/>
        </w:rPr>
        <w:t> </w:t>
      </w:r>
      <w:r>
        <w:rPr>
          <w:sz w:val="21"/>
        </w:rPr>
        <w:t>mm</w:t>
      </w:r>
      <w:r>
        <w:rPr>
          <w:spacing w:val="-3"/>
          <w:sz w:val="21"/>
        </w:rPr>
        <w:t>，仪表盘应下倾以方便阅读。操纵手柄、开关的中心离操</w:t>
      </w:r>
      <w:r>
        <w:rPr>
          <w:spacing w:val="-7"/>
          <w:sz w:val="21"/>
        </w:rPr>
        <w:t>作人员脚踏平面的高度不大于 </w:t>
      </w:r>
      <w:r>
        <w:rPr>
          <w:sz w:val="21"/>
        </w:rPr>
        <w:t>1800</w:t>
      </w:r>
      <w:r>
        <w:rPr>
          <w:spacing w:val="-2"/>
          <w:sz w:val="21"/>
        </w:rPr>
        <w:t> </w:t>
      </w:r>
      <w:r>
        <w:rPr>
          <w:sz w:val="21"/>
        </w:rPr>
        <w:t>mm</w:t>
      </w:r>
      <w:r>
        <w:rPr>
          <w:spacing w:val="-3"/>
          <w:sz w:val="21"/>
        </w:rPr>
        <w:t>。</w:t>
      </w:r>
      <w:r>
        <w:rPr>
          <w:sz w:val="21"/>
        </w:rPr>
        <w:t> </w:t>
      </w:r>
    </w:p>
    <w:p>
      <w:pPr>
        <w:pStyle w:val="ListParagraph"/>
        <w:numPr>
          <w:ilvl w:val="2"/>
          <w:numId w:val="157"/>
        </w:numPr>
        <w:tabs>
          <w:tab w:pos="1370" w:val="left" w:leader="none"/>
        </w:tabs>
        <w:spacing w:line="446" w:lineRule="auto" w:before="0" w:after="0"/>
        <w:ind w:left="418" w:right="1604" w:firstLine="422"/>
        <w:jc w:val="left"/>
        <w:rPr>
          <w:sz w:val="21"/>
        </w:rPr>
      </w:pPr>
      <w:r>
        <w:rPr>
          <w:spacing w:val="-3"/>
          <w:sz w:val="21"/>
        </w:rPr>
        <w:t>消防车应选用集控制、诊断、显示、警告于一体的集中电子控制单元</w:t>
      </w:r>
      <w:r>
        <w:rPr>
          <w:sz w:val="21"/>
        </w:rPr>
        <w:t>（</w:t>
      </w:r>
      <w:r>
        <w:rPr>
          <w:spacing w:val="-3"/>
          <w:sz w:val="21"/>
        </w:rPr>
        <w:t>控制步长不</w:t>
      </w:r>
      <w:r>
        <w:rPr>
          <w:spacing w:val="-20"/>
          <w:sz w:val="21"/>
        </w:rPr>
        <w:t>大于 </w:t>
      </w:r>
      <w:r>
        <w:rPr>
          <w:sz w:val="21"/>
        </w:rPr>
        <w:t>10 r/min）</w:t>
      </w:r>
      <w:r>
        <w:rPr>
          <w:spacing w:val="-3"/>
          <w:sz w:val="21"/>
        </w:rPr>
        <w:t>。</w:t>
      </w:r>
      <w:r>
        <w:rPr>
          <w:sz w:val="21"/>
        </w:rPr>
        <w:t> </w:t>
      </w:r>
    </w:p>
    <w:p>
      <w:pPr>
        <w:pStyle w:val="ListParagraph"/>
        <w:numPr>
          <w:ilvl w:val="1"/>
          <w:numId w:val="158"/>
        </w:numPr>
        <w:tabs>
          <w:tab w:pos="1159" w:val="left" w:leader="none"/>
        </w:tabs>
        <w:spacing w:line="267" w:lineRule="exact" w:before="0" w:after="0"/>
        <w:ind w:left="1158" w:right="0" w:hanging="319"/>
        <w:jc w:val="left"/>
        <w:rPr>
          <w:sz w:val="21"/>
        </w:rPr>
      </w:pPr>
      <w:r>
        <w:rPr>
          <w:spacing w:val="-3"/>
          <w:sz w:val="21"/>
        </w:rPr>
        <w:t>电气系统和警报装置</w:t>
      </w:r>
      <w:r>
        <w:rPr>
          <w:sz w:val="21"/>
        </w:rPr>
        <w:t> </w:t>
      </w:r>
    </w:p>
    <w:p>
      <w:pPr>
        <w:pStyle w:val="BodyText"/>
        <w:spacing w:before="12"/>
        <w:rPr>
          <w:sz w:val="17"/>
        </w:rPr>
      </w:pPr>
    </w:p>
    <w:p>
      <w:pPr>
        <w:pStyle w:val="ListParagraph"/>
        <w:numPr>
          <w:ilvl w:val="2"/>
          <w:numId w:val="158"/>
        </w:numPr>
        <w:tabs>
          <w:tab w:pos="1371" w:val="left" w:leader="none"/>
        </w:tabs>
        <w:spacing w:line="240" w:lineRule="auto" w:before="0" w:after="0"/>
        <w:ind w:left="1370" w:right="0" w:hanging="531"/>
        <w:jc w:val="left"/>
        <w:rPr>
          <w:sz w:val="21"/>
        </w:rPr>
      </w:pPr>
      <w:r>
        <w:rPr>
          <w:spacing w:val="-3"/>
          <w:sz w:val="21"/>
        </w:rPr>
        <w:t>消防车电路应标识清楚，确保不会接错电极、电压和用电设备。</w:t>
      </w:r>
      <w:r>
        <w:rPr>
          <w:sz w:val="21"/>
        </w:rPr>
        <w:t> </w:t>
      </w:r>
    </w:p>
    <w:p>
      <w:pPr>
        <w:pStyle w:val="BodyText"/>
        <w:rPr>
          <w:sz w:val="18"/>
        </w:rPr>
      </w:pPr>
    </w:p>
    <w:p>
      <w:pPr>
        <w:pStyle w:val="ListParagraph"/>
        <w:numPr>
          <w:ilvl w:val="2"/>
          <w:numId w:val="158"/>
        </w:numPr>
        <w:tabs>
          <w:tab w:pos="1370" w:val="left" w:leader="none"/>
        </w:tabs>
        <w:spacing w:line="240" w:lineRule="auto" w:before="0" w:after="0"/>
        <w:ind w:left="1369" w:right="0" w:hanging="530"/>
        <w:jc w:val="left"/>
        <w:rPr>
          <w:sz w:val="21"/>
        </w:rPr>
      </w:pPr>
      <w:r>
        <w:rPr>
          <w:spacing w:val="-3"/>
          <w:sz w:val="21"/>
        </w:rPr>
        <w:t>电线应采用钢芯或铜合金芯，电线的标称通电电流应大于电线上实际通电电流的</w:t>
      </w:r>
    </w:p>
    <w:p>
      <w:pPr>
        <w:pStyle w:val="BodyText"/>
        <w:spacing w:before="12"/>
        <w:rPr>
          <w:sz w:val="17"/>
        </w:rPr>
      </w:pPr>
    </w:p>
    <w:p>
      <w:pPr>
        <w:pStyle w:val="BodyText"/>
        <w:ind w:left="418"/>
      </w:pPr>
      <w:r>
        <w:rPr/>
        <w:t>125%。 </w:t>
      </w:r>
    </w:p>
    <w:p>
      <w:pPr>
        <w:pStyle w:val="BodyText"/>
        <w:spacing w:before="2"/>
        <w:rPr>
          <w:sz w:val="18"/>
        </w:rPr>
      </w:pPr>
    </w:p>
    <w:p>
      <w:pPr>
        <w:pStyle w:val="ListParagraph"/>
        <w:numPr>
          <w:ilvl w:val="2"/>
          <w:numId w:val="158"/>
        </w:numPr>
        <w:tabs>
          <w:tab w:pos="1370" w:val="left" w:leader="none"/>
        </w:tabs>
        <w:spacing w:line="240" w:lineRule="auto" w:before="0" w:after="0"/>
        <w:ind w:left="1369" w:right="0" w:hanging="530"/>
        <w:jc w:val="left"/>
        <w:rPr>
          <w:sz w:val="21"/>
        </w:rPr>
      </w:pPr>
      <w:r>
        <w:rPr>
          <w:spacing w:val="-3"/>
          <w:sz w:val="21"/>
        </w:rPr>
        <w:t>电线芯的外面应包敷防水、防热和防腐蚀的包敷层。</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58"/>
        </w:numPr>
        <w:tabs>
          <w:tab w:pos="1371" w:val="left" w:leader="none"/>
        </w:tabs>
        <w:spacing w:line="240" w:lineRule="auto" w:before="47" w:after="0"/>
        <w:ind w:left="1370" w:right="0" w:hanging="531"/>
        <w:jc w:val="left"/>
        <w:rPr>
          <w:sz w:val="21"/>
        </w:rPr>
      </w:pPr>
      <w:r>
        <w:rPr>
          <w:spacing w:val="-6"/>
          <w:sz w:val="21"/>
        </w:rPr>
        <w:t>从电源到用电器具间导线的电压降不大于电源电压的 </w:t>
      </w:r>
      <w:r>
        <w:rPr>
          <w:sz w:val="21"/>
        </w:rPr>
        <w:t>10</w:t>
      </w:r>
      <w:r>
        <w:rPr>
          <w:spacing w:val="-2"/>
          <w:sz w:val="21"/>
        </w:rPr>
        <w:t>%。</w:t>
      </w:r>
      <w:r>
        <w:rPr>
          <w:sz w:val="21"/>
        </w:rPr>
        <w:t> </w:t>
      </w:r>
    </w:p>
    <w:p>
      <w:pPr>
        <w:pStyle w:val="BodyText"/>
        <w:rPr>
          <w:sz w:val="18"/>
        </w:rPr>
      </w:pPr>
    </w:p>
    <w:p>
      <w:pPr>
        <w:pStyle w:val="ListParagraph"/>
        <w:numPr>
          <w:ilvl w:val="2"/>
          <w:numId w:val="158"/>
        </w:numPr>
        <w:tabs>
          <w:tab w:pos="1371" w:val="left" w:leader="none"/>
        </w:tabs>
        <w:spacing w:line="446" w:lineRule="auto" w:before="0" w:after="0"/>
        <w:ind w:left="418" w:right="1813" w:firstLine="422"/>
        <w:jc w:val="left"/>
        <w:rPr>
          <w:sz w:val="21"/>
        </w:rPr>
      </w:pPr>
      <w:r>
        <w:rPr>
          <w:spacing w:val="-3"/>
          <w:sz w:val="21"/>
        </w:rPr>
        <w:t>消防车应装有电源总开关，总开关切断后，除计时器外的所有用电器具都不能工作。总开关应安装在驾驶员坐在驾驶位置能够操作的位置。</w:t>
      </w:r>
      <w:r>
        <w:rPr>
          <w:sz w:val="21"/>
        </w:rPr>
        <w:t> </w:t>
      </w:r>
    </w:p>
    <w:p>
      <w:pPr>
        <w:pStyle w:val="ListParagraph"/>
        <w:numPr>
          <w:ilvl w:val="2"/>
          <w:numId w:val="158"/>
        </w:numPr>
        <w:tabs>
          <w:tab w:pos="1370" w:val="left" w:leader="none"/>
        </w:tabs>
        <w:spacing w:line="446" w:lineRule="auto" w:before="0" w:after="0"/>
        <w:ind w:left="418" w:right="1498" w:firstLine="422"/>
        <w:jc w:val="left"/>
        <w:rPr>
          <w:sz w:val="21"/>
        </w:rPr>
      </w:pPr>
      <w:r>
        <w:rPr>
          <w:spacing w:val="-3"/>
          <w:sz w:val="21"/>
        </w:rPr>
        <w:t>总开关由切断状态转换到接合状态，应有声音提示，提示音应保证驾驶员在驾驶位置能听到。</w:t>
      </w:r>
      <w:r>
        <w:rPr>
          <w:sz w:val="21"/>
        </w:rPr>
        <w:t> </w:t>
      </w:r>
    </w:p>
    <w:p>
      <w:pPr>
        <w:pStyle w:val="ListParagraph"/>
        <w:numPr>
          <w:ilvl w:val="2"/>
          <w:numId w:val="158"/>
        </w:numPr>
        <w:tabs>
          <w:tab w:pos="1370" w:val="left" w:leader="none"/>
        </w:tabs>
        <w:spacing w:line="446" w:lineRule="auto" w:before="0" w:after="0"/>
        <w:ind w:left="418" w:right="1604" w:firstLine="422"/>
        <w:jc w:val="left"/>
        <w:rPr>
          <w:sz w:val="21"/>
        </w:rPr>
      </w:pPr>
      <w:r>
        <w:rPr>
          <w:spacing w:val="-3"/>
          <w:sz w:val="21"/>
        </w:rPr>
        <w:t>驾乘室上、下踏板的照明灯开关由车门控制：车门打开接通照明，车门关闭切断照</w:t>
      </w:r>
      <w:r>
        <w:rPr>
          <w:spacing w:val="-7"/>
          <w:sz w:val="21"/>
        </w:rPr>
        <w:t>明。驾乘室内的照度不应小于 </w:t>
      </w:r>
      <w:r>
        <w:rPr>
          <w:sz w:val="21"/>
        </w:rPr>
        <w:t>10lx</w:t>
      </w:r>
      <w:r>
        <w:rPr>
          <w:spacing w:val="-3"/>
          <w:sz w:val="21"/>
        </w:rPr>
        <w:t>。</w:t>
      </w:r>
      <w:r>
        <w:rPr>
          <w:sz w:val="21"/>
        </w:rPr>
        <w:t> </w:t>
      </w:r>
    </w:p>
    <w:p>
      <w:pPr>
        <w:pStyle w:val="ListParagraph"/>
        <w:numPr>
          <w:ilvl w:val="2"/>
          <w:numId w:val="158"/>
        </w:numPr>
        <w:tabs>
          <w:tab w:pos="1370" w:val="left" w:leader="none"/>
        </w:tabs>
        <w:spacing w:line="446" w:lineRule="auto" w:before="0" w:after="0"/>
        <w:ind w:left="418" w:right="1604" w:firstLine="422"/>
        <w:jc w:val="both"/>
        <w:rPr>
          <w:sz w:val="21"/>
        </w:rPr>
      </w:pPr>
      <w:r>
        <w:rPr>
          <w:spacing w:val="-3"/>
          <w:sz w:val="21"/>
        </w:rPr>
        <w:t>器材厢的照明开关应安装在器材厢内，开关应设置在打开器材厢门时人员可方便接触，但取、放器材又不会碰到的地方。照明光线应保证在无光条件下打开器材箱照明灯能够分辨器材箱内器材的类型。</w:t>
      </w:r>
      <w:r>
        <w:rPr>
          <w:sz w:val="21"/>
        </w:rPr>
        <w:t> </w:t>
      </w:r>
    </w:p>
    <w:p>
      <w:pPr>
        <w:pStyle w:val="ListParagraph"/>
        <w:numPr>
          <w:ilvl w:val="2"/>
          <w:numId w:val="158"/>
        </w:numPr>
        <w:tabs>
          <w:tab w:pos="1371" w:val="left" w:leader="none"/>
        </w:tabs>
        <w:spacing w:line="268" w:lineRule="exact" w:before="0" w:after="0"/>
        <w:ind w:left="1370" w:right="0" w:hanging="531"/>
        <w:jc w:val="left"/>
        <w:rPr>
          <w:sz w:val="21"/>
        </w:rPr>
      </w:pPr>
      <w:r>
        <w:rPr>
          <w:spacing w:val="-3"/>
          <w:sz w:val="21"/>
        </w:rPr>
        <w:t>电线与电线的连接应采用热融挤压法、锡焊或其他相同的连接件的方式。 </w:t>
      </w:r>
    </w:p>
    <w:p>
      <w:pPr>
        <w:pStyle w:val="BodyText"/>
        <w:spacing w:before="10"/>
        <w:rPr>
          <w:sz w:val="17"/>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电线与用电器具连接应采用接头，接头与用电器具的连接应有防松措施。 </w:t>
      </w:r>
    </w:p>
    <w:p>
      <w:pPr>
        <w:pStyle w:val="BodyText"/>
        <w:spacing w:before="2"/>
        <w:rPr>
          <w:sz w:val="18"/>
        </w:rPr>
      </w:pPr>
    </w:p>
    <w:p>
      <w:pPr>
        <w:pStyle w:val="ListParagraph"/>
        <w:numPr>
          <w:ilvl w:val="2"/>
          <w:numId w:val="158"/>
        </w:numPr>
        <w:tabs>
          <w:tab w:pos="1478" w:val="left" w:leader="none"/>
        </w:tabs>
        <w:spacing w:line="446" w:lineRule="auto" w:before="0" w:after="0"/>
        <w:ind w:left="418" w:right="1445" w:firstLine="422"/>
        <w:jc w:val="left"/>
        <w:rPr>
          <w:sz w:val="21"/>
        </w:rPr>
      </w:pPr>
      <w:r>
        <w:rPr>
          <w:spacing w:val="-3"/>
          <w:sz w:val="21"/>
        </w:rPr>
        <w:t>电线束应可靠地与底盘或车体固定，并离排气管等产生高温的部件距离不少于 </w:t>
      </w:r>
      <w:r>
        <w:rPr>
          <w:sz w:val="21"/>
        </w:rPr>
        <w:t>300 mm</w:t>
      </w:r>
      <w:r>
        <w:rPr>
          <w:spacing w:val="-3"/>
          <w:sz w:val="21"/>
        </w:rPr>
        <w:t>。</w:t>
      </w:r>
      <w:r>
        <w:rPr>
          <w:sz w:val="21"/>
        </w:rPr>
        <w:t> </w:t>
      </w:r>
    </w:p>
    <w:p>
      <w:pPr>
        <w:pStyle w:val="ListParagraph"/>
        <w:numPr>
          <w:ilvl w:val="2"/>
          <w:numId w:val="158"/>
        </w:numPr>
        <w:tabs>
          <w:tab w:pos="1478" w:val="left" w:leader="none"/>
        </w:tabs>
        <w:spacing w:line="267" w:lineRule="exact" w:before="0" w:after="0"/>
        <w:ind w:left="1477" w:right="0" w:hanging="638"/>
        <w:jc w:val="left"/>
        <w:rPr>
          <w:sz w:val="21"/>
        </w:rPr>
      </w:pPr>
      <w:r>
        <w:rPr>
          <w:spacing w:val="-3"/>
          <w:sz w:val="21"/>
        </w:rPr>
        <w:t>当电线束穿过有锐利边缘的孔时，在电线束与孔相接触处应对电线束来进行防护。</w:t>
      </w:r>
      <w:r>
        <w:rPr>
          <w:sz w:val="21"/>
        </w:rPr>
        <w:t> </w:t>
      </w:r>
    </w:p>
    <w:p>
      <w:pPr>
        <w:pStyle w:val="BodyText"/>
        <w:spacing w:before="2"/>
        <w:rPr>
          <w:sz w:val="18"/>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电线束应避开可能有油污的地方。</w:t>
      </w:r>
      <w:r>
        <w:rPr>
          <w:sz w:val="21"/>
        </w:rPr>
        <w:t> </w:t>
      </w:r>
    </w:p>
    <w:p>
      <w:pPr>
        <w:pStyle w:val="BodyText"/>
        <w:rPr>
          <w:sz w:val="18"/>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安装上装的电线束时应不破坏底盘的电线束。 </w:t>
      </w:r>
    </w:p>
    <w:p>
      <w:pPr>
        <w:pStyle w:val="BodyText"/>
        <w:spacing w:before="12"/>
        <w:rPr>
          <w:sz w:val="17"/>
        </w:rPr>
      </w:pPr>
    </w:p>
    <w:p>
      <w:pPr>
        <w:pStyle w:val="ListParagraph"/>
        <w:numPr>
          <w:ilvl w:val="2"/>
          <w:numId w:val="158"/>
        </w:numPr>
        <w:tabs>
          <w:tab w:pos="1478" w:val="left" w:leader="none"/>
        </w:tabs>
        <w:spacing w:line="446" w:lineRule="auto" w:before="0" w:after="0"/>
        <w:ind w:left="418" w:right="1445" w:firstLine="422"/>
        <w:jc w:val="left"/>
        <w:rPr>
          <w:sz w:val="21"/>
        </w:rPr>
      </w:pPr>
      <w:r>
        <w:rPr>
          <w:spacing w:val="-5"/>
          <w:sz w:val="21"/>
        </w:rPr>
        <w:t>所有电路都应有保险装置，保险装置在电流超过电路标称电流 </w:t>
      </w:r>
      <w:r>
        <w:rPr>
          <w:sz w:val="21"/>
        </w:rPr>
        <w:t>150</w:t>
      </w:r>
      <w:r>
        <w:rPr>
          <w:spacing w:val="-3"/>
          <w:sz w:val="21"/>
        </w:rPr>
        <w:t>%时，应自动切断电路。</w:t>
      </w:r>
      <w:r>
        <w:rPr>
          <w:sz w:val="21"/>
        </w:rPr>
        <w:t> </w:t>
      </w:r>
    </w:p>
    <w:p>
      <w:pPr>
        <w:pStyle w:val="ListParagraph"/>
        <w:numPr>
          <w:ilvl w:val="2"/>
          <w:numId w:val="158"/>
        </w:numPr>
        <w:tabs>
          <w:tab w:pos="1478" w:val="left" w:leader="none"/>
        </w:tabs>
        <w:spacing w:line="446" w:lineRule="auto" w:before="1" w:after="0"/>
        <w:ind w:left="418" w:right="1496" w:firstLine="422"/>
        <w:jc w:val="left"/>
        <w:rPr>
          <w:sz w:val="21"/>
        </w:rPr>
      </w:pPr>
      <w:r>
        <w:rPr>
          <w:spacing w:val="-3"/>
          <w:sz w:val="21"/>
        </w:rPr>
        <w:t>消防车上装和底盘的电路不应共用一个保险装置。功率输出装置的挂挡机构、泵操作板照明、警示灯具和电动消防炮应使用独立的保险装置。</w:t>
      </w:r>
      <w:r>
        <w:rPr>
          <w:sz w:val="21"/>
        </w:rPr>
        <w:t> </w:t>
      </w:r>
    </w:p>
    <w:p>
      <w:pPr>
        <w:pStyle w:val="ListParagraph"/>
        <w:numPr>
          <w:ilvl w:val="2"/>
          <w:numId w:val="158"/>
        </w:numPr>
        <w:tabs>
          <w:tab w:pos="1478" w:val="left" w:leader="none"/>
        </w:tabs>
        <w:spacing w:line="446" w:lineRule="auto" w:before="0" w:after="0"/>
        <w:ind w:left="418" w:right="1705" w:firstLine="422"/>
        <w:jc w:val="left"/>
        <w:rPr>
          <w:sz w:val="21"/>
        </w:rPr>
      </w:pPr>
      <w:r>
        <w:rPr>
          <w:spacing w:val="-3"/>
          <w:sz w:val="21"/>
        </w:rPr>
        <w:t>消防车所有电路保险装置应集中放置，电路保险装置应放放置在干燥、防水、防尘、避免机械振动和冲击并且维修人员易接触处。</w:t>
      </w:r>
      <w:r>
        <w:rPr>
          <w:sz w:val="21"/>
        </w:rPr>
        <w:t> </w:t>
      </w:r>
    </w:p>
    <w:p>
      <w:pPr>
        <w:pStyle w:val="ListParagraph"/>
        <w:numPr>
          <w:ilvl w:val="2"/>
          <w:numId w:val="158"/>
        </w:numPr>
        <w:tabs>
          <w:tab w:pos="1478" w:val="left" w:leader="none"/>
        </w:tabs>
        <w:spacing w:line="267" w:lineRule="exact" w:before="0" w:after="0"/>
        <w:ind w:left="1477" w:right="0" w:hanging="638"/>
        <w:jc w:val="left"/>
        <w:rPr>
          <w:sz w:val="21"/>
        </w:rPr>
      </w:pPr>
      <w:r>
        <w:rPr>
          <w:spacing w:val="-3"/>
          <w:sz w:val="21"/>
        </w:rPr>
        <w:t>消防车所用电气开关应防水、防尘。安装在车辆外部的开关应有防雨罩。 </w:t>
      </w:r>
    </w:p>
    <w:p>
      <w:pPr>
        <w:pStyle w:val="BodyText"/>
        <w:spacing w:before="1"/>
        <w:rPr>
          <w:sz w:val="18"/>
        </w:rPr>
      </w:pPr>
    </w:p>
    <w:p>
      <w:pPr>
        <w:pStyle w:val="ListParagraph"/>
        <w:numPr>
          <w:ilvl w:val="2"/>
          <w:numId w:val="158"/>
        </w:numPr>
        <w:tabs>
          <w:tab w:pos="1478" w:val="left" w:leader="none"/>
        </w:tabs>
        <w:spacing w:line="446" w:lineRule="auto" w:before="0" w:after="0"/>
        <w:ind w:left="418" w:right="1445" w:firstLine="422"/>
        <w:jc w:val="left"/>
        <w:rPr>
          <w:sz w:val="21"/>
        </w:rPr>
      </w:pPr>
      <w:r>
        <w:rPr>
          <w:spacing w:val="-5"/>
          <w:sz w:val="21"/>
        </w:rPr>
        <w:t>电气开关最大允许电流应不小于所接电路标称电流的 </w:t>
      </w:r>
      <w:r>
        <w:rPr>
          <w:sz w:val="21"/>
        </w:rPr>
        <w:t>125</w:t>
      </w:r>
      <w:r>
        <w:rPr>
          <w:spacing w:val="-3"/>
          <w:sz w:val="21"/>
        </w:rPr>
        <w:t>%。驾驶室仪表板或附近应有可安装五个以上备用按钮和相应指示灯的位置。</w:t>
      </w:r>
      <w:r>
        <w:rPr>
          <w:sz w:val="21"/>
        </w:rPr>
        <w:t> </w:t>
      </w:r>
    </w:p>
    <w:p>
      <w:pPr>
        <w:pStyle w:val="ListParagraph"/>
        <w:numPr>
          <w:ilvl w:val="2"/>
          <w:numId w:val="158"/>
        </w:numPr>
        <w:tabs>
          <w:tab w:pos="1478" w:val="left" w:leader="none"/>
        </w:tabs>
        <w:spacing w:line="446" w:lineRule="auto" w:before="0" w:after="0"/>
        <w:ind w:left="838" w:right="2864" w:firstLine="2"/>
        <w:jc w:val="left"/>
        <w:rPr>
          <w:sz w:val="21"/>
        </w:rPr>
      </w:pPr>
      <w:r>
        <w:rPr>
          <w:spacing w:val="-3"/>
          <w:sz w:val="21"/>
        </w:rPr>
        <w:t>消防车发电机的功率不应小于以下电器同时使用时的电功率之和： a）发动机和附件工作所需；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838" w:right="6865"/>
      </w:pPr>
      <w:r>
        <w:rPr/>
        <w:t>b）</w:t>
      </w:r>
      <w:r>
        <w:rPr>
          <w:spacing w:val="-3"/>
        </w:rPr>
        <w:t>警灯及警报器所需；     </w:t>
      </w:r>
      <w:r>
        <w:rPr/>
        <w:t>c）</w:t>
      </w:r>
      <w:r>
        <w:rPr>
          <w:spacing w:val="-3"/>
        </w:rPr>
        <w:t>消防车所带通讯器材所需；</w:t>
      </w:r>
      <w:r>
        <w:rPr/>
        <w:t> </w:t>
      </w:r>
    </w:p>
    <w:p>
      <w:pPr>
        <w:pStyle w:val="BodyText"/>
        <w:spacing w:line="446" w:lineRule="auto"/>
        <w:ind w:left="838" w:right="6549"/>
      </w:pPr>
      <w:r>
        <w:rPr/>
        <w:t>d）</w:t>
      </w:r>
      <w:r>
        <w:rPr>
          <w:spacing w:val="-3"/>
        </w:rPr>
        <w:t>消防车前照灯和后部灯具所需； </w:t>
      </w:r>
      <w:r>
        <w:rPr/>
        <w:t>e）</w:t>
      </w:r>
      <w:r>
        <w:rPr>
          <w:spacing w:val="-3"/>
        </w:rPr>
        <w:t>驾驶室、乘员室照明所需；</w:t>
      </w:r>
      <w:r>
        <w:rPr/>
        <w:t> </w:t>
      </w:r>
    </w:p>
    <w:p>
      <w:pPr>
        <w:pStyle w:val="BodyText"/>
        <w:spacing w:line="446" w:lineRule="auto"/>
        <w:ind w:left="838" w:right="5709"/>
      </w:pPr>
      <w:r>
        <w:rPr/>
        <w:t>f）操作消防泵、举高装置等所需的照明； g） 各踏脚板、扶手照明及警示灯具所需； h） 器材厢照明所需； </w:t>
      </w:r>
    </w:p>
    <w:p>
      <w:pPr>
        <w:pStyle w:val="BodyText"/>
        <w:spacing w:line="268" w:lineRule="exact"/>
        <w:ind w:left="838"/>
      </w:pPr>
      <w:r>
        <w:rPr/>
        <w:t>i）用户购买消防车时明示的其他用电设备。 </w:t>
      </w:r>
    </w:p>
    <w:p>
      <w:pPr>
        <w:pStyle w:val="BodyText"/>
        <w:spacing w:before="10"/>
        <w:rPr>
          <w:sz w:val="17"/>
        </w:rPr>
      </w:pPr>
    </w:p>
    <w:p>
      <w:pPr>
        <w:pStyle w:val="ListParagraph"/>
        <w:numPr>
          <w:ilvl w:val="2"/>
          <w:numId w:val="158"/>
        </w:numPr>
        <w:tabs>
          <w:tab w:pos="1478" w:val="left" w:leader="none"/>
        </w:tabs>
        <w:spacing w:line="446" w:lineRule="auto" w:before="0" w:after="0"/>
        <w:ind w:left="418" w:right="1498" w:firstLine="422"/>
        <w:jc w:val="left"/>
        <w:rPr>
          <w:sz w:val="21"/>
        </w:rPr>
      </w:pPr>
      <w:r>
        <w:rPr>
          <w:spacing w:val="-3"/>
          <w:sz w:val="21"/>
        </w:rPr>
        <w:t>发动机工作后发电机不能向蓄电池充电或发动机没工作而使用蓄电池时，应有声和光报警。报警应能使驾驶室内人员察觉。</w:t>
      </w:r>
      <w:r>
        <w:rPr>
          <w:sz w:val="21"/>
        </w:rPr>
        <w:t> </w:t>
      </w:r>
    </w:p>
    <w:p>
      <w:pPr>
        <w:pStyle w:val="ListParagraph"/>
        <w:numPr>
          <w:ilvl w:val="2"/>
          <w:numId w:val="158"/>
        </w:numPr>
        <w:tabs>
          <w:tab w:pos="1478" w:val="left" w:leader="none"/>
        </w:tabs>
        <w:spacing w:line="446" w:lineRule="auto" w:before="0" w:after="0"/>
        <w:ind w:left="418" w:right="1553" w:firstLine="422"/>
        <w:jc w:val="left"/>
        <w:rPr>
          <w:sz w:val="21"/>
        </w:rPr>
      </w:pPr>
      <w:r>
        <w:rPr>
          <w:spacing w:val="-11"/>
          <w:sz w:val="21"/>
        </w:rPr>
        <w:t>对标称电压 </w:t>
      </w:r>
      <w:r>
        <w:rPr>
          <w:sz w:val="21"/>
        </w:rPr>
        <w:t>12</w:t>
      </w:r>
      <w:r>
        <w:rPr>
          <w:spacing w:val="5"/>
          <w:sz w:val="21"/>
        </w:rPr>
        <w:t> </w:t>
      </w:r>
      <w:r>
        <w:rPr>
          <w:sz w:val="21"/>
        </w:rPr>
        <w:t>V</w:t>
      </w:r>
      <w:r>
        <w:rPr>
          <w:spacing w:val="-13"/>
          <w:sz w:val="21"/>
        </w:rPr>
        <w:t> 的车辆，当电源电压低于 </w:t>
      </w:r>
      <w:r>
        <w:rPr>
          <w:sz w:val="21"/>
        </w:rPr>
        <w:t>9.6</w:t>
      </w:r>
      <w:r>
        <w:rPr>
          <w:spacing w:val="6"/>
          <w:sz w:val="21"/>
        </w:rPr>
        <w:t> </w:t>
      </w:r>
      <w:r>
        <w:rPr>
          <w:sz w:val="21"/>
        </w:rPr>
        <w:t>V</w:t>
      </w:r>
      <w:r>
        <w:rPr>
          <w:spacing w:val="-9"/>
          <w:sz w:val="21"/>
        </w:rPr>
        <w:t>；或标称电压为 </w:t>
      </w:r>
      <w:r>
        <w:rPr>
          <w:sz w:val="21"/>
        </w:rPr>
        <w:t>24</w:t>
      </w:r>
      <w:r>
        <w:rPr>
          <w:spacing w:val="2"/>
          <w:sz w:val="21"/>
        </w:rPr>
        <w:t> </w:t>
      </w:r>
      <w:r>
        <w:rPr>
          <w:sz w:val="21"/>
        </w:rPr>
        <w:t>V</w:t>
      </w:r>
      <w:r>
        <w:rPr>
          <w:spacing w:val="-10"/>
          <w:sz w:val="21"/>
        </w:rPr>
        <w:t> 的车辆，当</w:t>
      </w:r>
      <w:r>
        <w:rPr>
          <w:spacing w:val="-12"/>
          <w:sz w:val="21"/>
        </w:rPr>
        <w:t>电源电压低于 </w:t>
      </w:r>
      <w:r>
        <w:rPr>
          <w:sz w:val="21"/>
        </w:rPr>
        <w:t>19.2V</w:t>
      </w:r>
      <w:r>
        <w:rPr>
          <w:spacing w:val="-10"/>
          <w:sz w:val="21"/>
        </w:rPr>
        <w:t>，且历时大于 </w:t>
      </w:r>
      <w:r>
        <w:rPr>
          <w:spacing w:val="-3"/>
          <w:sz w:val="21"/>
        </w:rPr>
        <w:t>2</w:t>
      </w:r>
      <w:r>
        <w:rPr>
          <w:spacing w:val="7"/>
          <w:sz w:val="21"/>
        </w:rPr>
        <w:t> </w:t>
      </w:r>
      <w:r>
        <w:rPr>
          <w:sz w:val="21"/>
        </w:rPr>
        <w:t>min</w:t>
      </w:r>
      <w:r>
        <w:rPr>
          <w:spacing w:val="-9"/>
          <w:sz w:val="21"/>
        </w:rPr>
        <w:t> 时应有声光报警。报警应能使驾驶室内人员察觉。</w:t>
      </w:r>
      <w:r>
        <w:rPr>
          <w:sz w:val="21"/>
        </w:rPr>
        <w:t> </w:t>
      </w:r>
    </w:p>
    <w:p>
      <w:pPr>
        <w:pStyle w:val="ListParagraph"/>
        <w:numPr>
          <w:ilvl w:val="2"/>
          <w:numId w:val="158"/>
        </w:numPr>
        <w:tabs>
          <w:tab w:pos="1478" w:val="left" w:leader="none"/>
        </w:tabs>
        <w:spacing w:line="446" w:lineRule="auto" w:before="0" w:after="0"/>
        <w:ind w:left="418" w:right="1604" w:firstLine="422"/>
        <w:jc w:val="left"/>
        <w:rPr>
          <w:sz w:val="21"/>
        </w:rPr>
      </w:pPr>
      <w:r>
        <w:rPr>
          <w:spacing w:val="-8"/>
          <w:sz w:val="21"/>
        </w:rPr>
        <w:t>消防车应装有使用 </w:t>
      </w:r>
      <w:r>
        <w:rPr>
          <w:sz w:val="21"/>
        </w:rPr>
        <w:t>220V</w:t>
      </w:r>
      <w:r>
        <w:rPr>
          <w:spacing w:val="-9"/>
          <w:sz w:val="21"/>
        </w:rPr>
        <w:t> 市电对蓄电池充电的充电器，消防车侧面或后部应装有充</w:t>
      </w:r>
      <w:r>
        <w:rPr>
          <w:spacing w:val="-5"/>
          <w:sz w:val="21"/>
        </w:rPr>
        <w:t>电插座。不用时防水挡板应盖住插口，当消防车启动时能使充电插头自动脱落。</w:t>
      </w:r>
      <w:r>
        <w:rPr>
          <w:sz w:val="21"/>
        </w:rPr>
        <w:t> </w:t>
      </w:r>
    </w:p>
    <w:p>
      <w:pPr>
        <w:pStyle w:val="ListParagraph"/>
        <w:numPr>
          <w:ilvl w:val="2"/>
          <w:numId w:val="158"/>
        </w:numPr>
        <w:tabs>
          <w:tab w:pos="1478" w:val="left" w:leader="none"/>
        </w:tabs>
        <w:spacing w:line="446" w:lineRule="auto" w:before="0" w:after="0"/>
        <w:ind w:left="418" w:right="1496" w:firstLine="422"/>
        <w:jc w:val="left"/>
        <w:rPr>
          <w:sz w:val="21"/>
        </w:rPr>
      </w:pPr>
      <w:r>
        <w:rPr>
          <w:spacing w:val="-3"/>
          <w:sz w:val="21"/>
        </w:rPr>
        <w:t>蓄电池应放置在通风、干燥处，放置在驾驶室内时应有盖板，放置在其他地方应远</w:t>
      </w:r>
      <w:r>
        <w:rPr>
          <w:spacing w:val="-5"/>
          <w:sz w:val="21"/>
        </w:rPr>
        <w:t>离热源并采取防护措施以免消防车行驶时遭飞溅物损伤，离电线或制动管的距离小于 </w:t>
      </w:r>
      <w:r>
        <w:rPr>
          <w:sz w:val="21"/>
        </w:rPr>
        <w:t>200mm</w:t>
      </w:r>
      <w:r>
        <w:rPr>
          <w:spacing w:val="-23"/>
          <w:sz w:val="21"/>
        </w:rPr>
        <w:t> 时</w:t>
      </w:r>
      <w:r>
        <w:rPr>
          <w:spacing w:val="-8"/>
          <w:sz w:val="21"/>
        </w:rPr>
        <w:t>也应加隔板，蓄电池放置的位置应便于维护和保养。 </w:t>
      </w:r>
    </w:p>
    <w:p>
      <w:pPr>
        <w:pStyle w:val="ListParagraph"/>
        <w:numPr>
          <w:ilvl w:val="2"/>
          <w:numId w:val="158"/>
        </w:numPr>
        <w:tabs>
          <w:tab w:pos="1478" w:val="left" w:leader="none"/>
        </w:tabs>
        <w:spacing w:line="268" w:lineRule="exact" w:before="0" w:after="0"/>
        <w:ind w:left="1477" w:right="0" w:hanging="638"/>
        <w:jc w:val="left"/>
        <w:rPr>
          <w:sz w:val="21"/>
        </w:rPr>
      </w:pPr>
      <w:r>
        <w:rPr>
          <w:spacing w:val="-6"/>
          <w:sz w:val="21"/>
        </w:rPr>
        <w:t>当发电机不工作时，蓄电池容量应能保证 </w:t>
      </w:r>
      <w:r>
        <w:rPr>
          <w:sz w:val="21"/>
        </w:rPr>
        <w:t>5.7.20</w:t>
      </w:r>
      <w:r>
        <w:rPr>
          <w:spacing w:val="-9"/>
          <w:sz w:val="21"/>
        </w:rPr>
        <w:t> 规定的全部用电设备正常工作</w:t>
      </w:r>
    </w:p>
    <w:p>
      <w:pPr>
        <w:pStyle w:val="BodyText"/>
        <w:rPr>
          <w:sz w:val="18"/>
        </w:rPr>
      </w:pPr>
    </w:p>
    <w:p>
      <w:pPr>
        <w:pStyle w:val="BodyText"/>
        <w:ind w:left="418"/>
      </w:pPr>
      <w:r>
        <w:rPr/>
        <w:t>10min 以上。 </w:t>
      </w:r>
    </w:p>
    <w:p>
      <w:pPr>
        <w:pStyle w:val="BodyText"/>
        <w:rPr>
          <w:sz w:val="18"/>
        </w:rPr>
      </w:pPr>
    </w:p>
    <w:p>
      <w:pPr>
        <w:pStyle w:val="ListParagraph"/>
        <w:numPr>
          <w:ilvl w:val="2"/>
          <w:numId w:val="158"/>
        </w:numPr>
        <w:tabs>
          <w:tab w:pos="1478" w:val="left" w:leader="none"/>
        </w:tabs>
        <w:spacing w:line="446" w:lineRule="auto" w:before="0" w:after="0"/>
        <w:ind w:left="418" w:right="1498" w:firstLine="422"/>
        <w:jc w:val="left"/>
        <w:rPr>
          <w:sz w:val="21"/>
        </w:rPr>
      </w:pPr>
      <w:r>
        <w:rPr>
          <w:spacing w:val="-3"/>
          <w:sz w:val="21"/>
        </w:rPr>
        <w:t>使用消防车蓄电池作为动力的电动引水器在蓄电池电容量下降至原容量 </w:t>
      </w:r>
      <w:r>
        <w:rPr>
          <w:sz w:val="21"/>
        </w:rPr>
        <w:t>70</w:t>
      </w:r>
      <w:r>
        <w:rPr>
          <w:spacing w:val="-1"/>
          <w:sz w:val="21"/>
        </w:rPr>
        <w:t>%时仍能</w:t>
      </w:r>
      <w:r>
        <w:rPr>
          <w:spacing w:val="-3"/>
          <w:sz w:val="21"/>
        </w:rPr>
        <w:t>达到规定的最大真空度。</w:t>
      </w:r>
      <w:r>
        <w:rPr>
          <w:sz w:val="21"/>
        </w:rPr>
        <w:t> </w:t>
      </w: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消防车所有用电器具所产生的光线电干扰不应影响消防员使用的通讯设备。 </w:t>
      </w:r>
    </w:p>
    <w:p>
      <w:pPr>
        <w:pStyle w:val="BodyText"/>
        <w:spacing w:before="12"/>
        <w:rPr>
          <w:sz w:val="17"/>
        </w:rPr>
      </w:pPr>
    </w:p>
    <w:p>
      <w:pPr>
        <w:pStyle w:val="ListParagraph"/>
        <w:numPr>
          <w:ilvl w:val="2"/>
          <w:numId w:val="158"/>
        </w:numPr>
        <w:tabs>
          <w:tab w:pos="1478" w:val="left" w:leader="none"/>
        </w:tabs>
        <w:spacing w:line="446" w:lineRule="auto" w:before="0" w:after="0"/>
        <w:ind w:left="418" w:right="1496" w:firstLine="422"/>
        <w:jc w:val="left"/>
        <w:rPr>
          <w:sz w:val="21"/>
        </w:rPr>
      </w:pPr>
      <w:r>
        <w:rPr>
          <w:spacing w:val="-3"/>
          <w:sz w:val="21"/>
        </w:rPr>
        <w:t>消防车驾驶室顶部应安装警灯。警报器应安装在驾驶室内驾驶员可操作处。警报器应能控制警灯的开、关及警报声。</w:t>
      </w:r>
      <w:r>
        <w:rPr>
          <w:sz w:val="21"/>
        </w:rPr>
        <w:t> </w:t>
      </w:r>
    </w:p>
    <w:p>
      <w:pPr>
        <w:pStyle w:val="ListParagraph"/>
        <w:numPr>
          <w:ilvl w:val="2"/>
          <w:numId w:val="158"/>
        </w:numPr>
        <w:tabs>
          <w:tab w:pos="1478" w:val="left" w:leader="none"/>
        </w:tabs>
        <w:spacing w:line="446" w:lineRule="auto" w:before="0" w:after="0"/>
        <w:ind w:left="418" w:right="1496" w:firstLine="422"/>
        <w:jc w:val="left"/>
        <w:rPr>
          <w:sz w:val="21"/>
        </w:rPr>
      </w:pPr>
      <w:r>
        <w:rPr>
          <w:spacing w:val="-3"/>
          <w:sz w:val="21"/>
        </w:rPr>
        <w:t>驾驶室顶部的警灯为长排型或圆型。若安装圆型警灯应在驾驶室顶部两侧各安装一个。若消防车后部安装警灯，应在中间安装一个圆型警灯并且与驾驶室警灯联动。</w:t>
      </w:r>
      <w:r>
        <w:rPr>
          <w:sz w:val="21"/>
        </w:rPr>
        <w:t> </w:t>
      </w:r>
    </w:p>
    <w:p>
      <w:pPr>
        <w:pStyle w:val="ListParagraph"/>
        <w:numPr>
          <w:ilvl w:val="2"/>
          <w:numId w:val="158"/>
        </w:numPr>
        <w:tabs>
          <w:tab w:pos="1478" w:val="left" w:leader="none"/>
        </w:tabs>
        <w:spacing w:line="267" w:lineRule="exact" w:before="0" w:after="0"/>
        <w:ind w:left="1477" w:right="0" w:hanging="638"/>
        <w:jc w:val="left"/>
        <w:rPr>
          <w:sz w:val="21"/>
        </w:rPr>
      </w:pPr>
      <w:r>
        <w:rPr>
          <w:spacing w:val="-8"/>
          <w:sz w:val="21"/>
        </w:rPr>
        <w:t>消防车用的警灯应符合 </w:t>
      </w:r>
      <w:r>
        <w:rPr>
          <w:sz w:val="21"/>
        </w:rPr>
        <w:t>GB</w:t>
      </w:r>
      <w:r>
        <w:rPr>
          <w:spacing w:val="1"/>
          <w:sz w:val="21"/>
        </w:rPr>
        <w:t> </w:t>
      </w:r>
      <w:r>
        <w:rPr>
          <w:sz w:val="21"/>
        </w:rPr>
        <w:t>13954</w:t>
      </w:r>
      <w:r>
        <w:rPr>
          <w:spacing w:val="-13"/>
          <w:sz w:val="21"/>
        </w:rPr>
        <w:t> 的规定。</w:t>
      </w:r>
      <w:r>
        <w:rPr>
          <w:sz w:val="21"/>
        </w:rPr>
        <w:t> </w:t>
      </w:r>
    </w:p>
    <w:p>
      <w:pPr>
        <w:pStyle w:val="BodyText"/>
        <w:spacing w:before="2"/>
        <w:rPr>
          <w:sz w:val="18"/>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8"/>
          <w:sz w:val="21"/>
        </w:rPr>
        <w:t>消防车用警报器应符合 </w:t>
      </w:r>
      <w:r>
        <w:rPr>
          <w:sz w:val="21"/>
        </w:rPr>
        <w:t>GB</w:t>
      </w:r>
      <w:r>
        <w:rPr>
          <w:spacing w:val="1"/>
          <w:sz w:val="21"/>
        </w:rPr>
        <w:t> </w:t>
      </w:r>
      <w:r>
        <w:rPr>
          <w:sz w:val="21"/>
        </w:rPr>
        <w:t>8108</w:t>
      </w:r>
      <w:r>
        <w:rPr>
          <w:spacing w:val="-13"/>
          <w:sz w:val="21"/>
        </w:rPr>
        <w:t> 的规定。</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58"/>
        </w:numPr>
        <w:tabs>
          <w:tab w:pos="1478" w:val="left" w:leader="none"/>
        </w:tabs>
        <w:spacing w:line="446" w:lineRule="auto" w:before="47" w:after="0"/>
        <w:ind w:left="418" w:right="1604" w:firstLine="422"/>
        <w:jc w:val="left"/>
        <w:rPr>
          <w:sz w:val="21"/>
        </w:rPr>
      </w:pPr>
      <w:r>
        <w:rPr>
          <w:spacing w:val="-6"/>
          <w:sz w:val="21"/>
        </w:rPr>
        <w:t>除举高消防车外，消防车长度大于 </w:t>
      </w:r>
      <w:r>
        <w:rPr>
          <w:sz w:val="21"/>
        </w:rPr>
        <w:t>6m</w:t>
      </w:r>
      <w:r>
        <w:rPr>
          <w:spacing w:val="-8"/>
          <w:sz w:val="21"/>
        </w:rPr>
        <w:t> 时消防车两侧上方应安装频闪灯，频闪灯应</w:t>
      </w:r>
      <w:r>
        <w:rPr>
          <w:spacing w:val="-7"/>
          <w:sz w:val="21"/>
        </w:rPr>
        <w:t>红、蓝相间安装。灯间的间距不大于 </w:t>
      </w:r>
      <w:r>
        <w:rPr>
          <w:sz w:val="21"/>
        </w:rPr>
        <w:t>3m</w:t>
      </w:r>
      <w:r>
        <w:rPr>
          <w:spacing w:val="-3"/>
          <w:sz w:val="21"/>
        </w:rPr>
        <w:t>。频闪灯与警灯共用一个开关。频闪灯应符合以下要求：</w:t>
      </w:r>
      <w:r>
        <w:rPr>
          <w:sz w:val="21"/>
        </w:rPr>
        <w:t> </w:t>
      </w:r>
    </w:p>
    <w:p>
      <w:pPr>
        <w:pStyle w:val="BodyText"/>
        <w:spacing w:line="446" w:lineRule="auto"/>
        <w:ind w:left="838" w:right="1611"/>
      </w:pPr>
      <w:r>
        <w:rPr/>
        <w:t>a）在环境温度 40</w:t>
      </w:r>
      <w:r>
        <w:rPr>
          <w:spacing w:val="3"/>
        </w:rPr>
        <w:t>℃，湿度 </w:t>
      </w:r>
      <w:r>
        <w:rPr/>
        <w:t>90</w:t>
      </w:r>
      <w:r>
        <w:rPr>
          <w:spacing w:val="6"/>
        </w:rPr>
        <w:t>%下 </w:t>
      </w:r>
      <w:r>
        <w:rPr/>
        <w:t>1000</w:t>
      </w:r>
      <w:r>
        <w:rPr>
          <w:spacing w:val="72"/>
        </w:rPr>
        <w:t> </w:t>
      </w:r>
      <w:r>
        <w:rPr/>
        <w:t>h</w:t>
      </w:r>
      <w:r>
        <w:rPr>
          <w:spacing w:val="-3"/>
        </w:rPr>
        <w:t> 连续闪烁试验，试验期间灯泡不应损坏； </w:t>
      </w:r>
      <w:r>
        <w:rPr/>
        <w:t>b）</w:t>
      </w:r>
      <w:r>
        <w:rPr>
          <w:spacing w:val="-11"/>
        </w:rPr>
        <w:t>在环境温度 </w:t>
      </w:r>
      <w:r>
        <w:rPr/>
        <w:t>60℃和－20℃</w:t>
      </w:r>
      <w:r>
        <w:rPr>
          <w:spacing w:val="-11"/>
        </w:rPr>
        <w:t>下分别放置 </w:t>
      </w:r>
      <w:r>
        <w:rPr/>
        <w:t>10</w:t>
      </w:r>
      <w:r>
        <w:rPr>
          <w:spacing w:val="17"/>
        </w:rPr>
        <w:t> </w:t>
      </w:r>
      <w:r>
        <w:rPr/>
        <w:t>h</w:t>
      </w:r>
      <w:r>
        <w:rPr>
          <w:spacing w:val="-3"/>
        </w:rPr>
        <w:t>，频闪灯的塑料件不应有危及使用的变形和</w:t>
      </w:r>
    </w:p>
    <w:p>
      <w:pPr>
        <w:pStyle w:val="BodyText"/>
        <w:spacing w:line="267" w:lineRule="exact"/>
        <w:ind w:left="418"/>
      </w:pPr>
      <w:r>
        <w:rPr/>
        <w:t>损坏； </w:t>
      </w:r>
    </w:p>
    <w:p>
      <w:pPr>
        <w:pStyle w:val="BodyText"/>
        <w:spacing w:before="1"/>
        <w:rPr>
          <w:sz w:val="18"/>
        </w:rPr>
      </w:pPr>
    </w:p>
    <w:p>
      <w:pPr>
        <w:pStyle w:val="BodyText"/>
        <w:spacing w:line="446" w:lineRule="auto"/>
        <w:ind w:left="418" w:right="1452" w:firstLine="419"/>
      </w:pPr>
      <w:r>
        <w:rPr/>
        <w:t>c）</w:t>
      </w:r>
      <w:r>
        <w:rPr>
          <w:spacing w:val="-15"/>
        </w:rPr>
        <w:t>在频率 </w:t>
      </w:r>
      <w:r>
        <w:rPr/>
        <w:t>0～100 Hz</w:t>
      </w:r>
      <w:r>
        <w:rPr>
          <w:spacing w:val="-14"/>
        </w:rPr>
        <w:t>，振幅 </w:t>
      </w:r>
      <w:r>
        <w:rPr/>
        <w:t>1mm</w:t>
      </w:r>
      <w:r>
        <w:rPr>
          <w:spacing w:val="-8"/>
        </w:rPr>
        <w:t> 下扫频振动，找出共振频率并在此频率下振动 </w:t>
      </w:r>
      <w:r>
        <w:rPr/>
        <w:t>6h</w:t>
      </w:r>
      <w:r>
        <w:rPr>
          <w:spacing w:val="-2"/>
        </w:rPr>
        <w:t>。若没有</w:t>
      </w:r>
      <w:r>
        <w:rPr>
          <w:spacing w:val="-8"/>
        </w:rPr>
        <w:t>共振频率，则在频率 </w:t>
      </w:r>
      <w:r>
        <w:rPr/>
        <w:t>50Hz</w:t>
      </w:r>
      <w:r>
        <w:rPr>
          <w:spacing w:val="-15"/>
        </w:rPr>
        <w:t>，振幅 </w:t>
      </w:r>
      <w:r>
        <w:rPr/>
        <w:t>1mm</w:t>
      </w:r>
      <w:r>
        <w:rPr>
          <w:spacing w:val="-23"/>
        </w:rPr>
        <w:t> 下振动 </w:t>
      </w:r>
      <w:r>
        <w:rPr/>
        <w:t>6h</w:t>
      </w:r>
      <w:r>
        <w:rPr>
          <w:spacing w:val="-3"/>
        </w:rPr>
        <w:t>。试验后频闪灯不应损坏。</w:t>
      </w:r>
      <w:r>
        <w:rPr/>
        <w:t> </w:t>
      </w:r>
    </w:p>
    <w:p>
      <w:pPr>
        <w:pStyle w:val="ListParagraph"/>
        <w:numPr>
          <w:ilvl w:val="2"/>
          <w:numId w:val="158"/>
        </w:numPr>
        <w:tabs>
          <w:tab w:pos="1478" w:val="left" w:leader="none"/>
        </w:tabs>
        <w:spacing w:line="446" w:lineRule="auto" w:before="0" w:after="0"/>
        <w:ind w:left="418" w:right="1498" w:firstLine="422"/>
        <w:jc w:val="left"/>
        <w:rPr>
          <w:sz w:val="21"/>
        </w:rPr>
      </w:pPr>
      <w:r>
        <w:rPr>
          <w:spacing w:val="-6"/>
          <w:sz w:val="21"/>
        </w:rPr>
        <w:t>安装在消防车后部的随车探照灯应能 </w:t>
      </w:r>
      <w:r>
        <w:rPr>
          <w:sz w:val="21"/>
        </w:rPr>
        <w:t>360</w:t>
      </w:r>
      <w:r>
        <w:rPr>
          <w:spacing w:val="-7"/>
          <w:sz w:val="21"/>
        </w:rPr>
        <w:t>°回转，俯角大于或等于 </w:t>
      </w:r>
      <w:r>
        <w:rPr>
          <w:sz w:val="21"/>
        </w:rPr>
        <w:t>30</w:t>
      </w:r>
      <w:r>
        <w:rPr>
          <w:spacing w:val="-2"/>
          <w:sz w:val="21"/>
        </w:rPr>
        <w:t>°，仰角大于</w:t>
      </w:r>
      <w:r>
        <w:rPr>
          <w:spacing w:val="16"/>
          <w:sz w:val="21"/>
        </w:rPr>
        <w:t>或等于 </w:t>
      </w:r>
      <w:r>
        <w:rPr>
          <w:sz w:val="21"/>
        </w:rPr>
        <w:t>70</w:t>
      </w:r>
      <w:r>
        <w:rPr>
          <w:spacing w:val="-3"/>
          <w:sz w:val="21"/>
        </w:rPr>
        <w:t>°。探照灯照度不小于消防车前照灯的照度。探照灯开关应安装在消防泵操作面板上。</w:t>
      </w:r>
      <w:r>
        <w:rPr>
          <w:sz w:val="21"/>
        </w:rPr>
        <w:t> </w:t>
      </w:r>
    </w:p>
    <w:p>
      <w:pPr>
        <w:pStyle w:val="ListParagraph"/>
        <w:numPr>
          <w:ilvl w:val="2"/>
          <w:numId w:val="158"/>
        </w:numPr>
        <w:tabs>
          <w:tab w:pos="1478" w:val="left" w:leader="none"/>
        </w:tabs>
        <w:spacing w:line="268" w:lineRule="exact" w:before="0" w:after="0"/>
        <w:ind w:left="1477" w:right="0" w:hanging="638"/>
        <w:jc w:val="left"/>
        <w:rPr>
          <w:sz w:val="21"/>
        </w:rPr>
      </w:pPr>
      <w:r>
        <w:rPr>
          <w:spacing w:val="-3"/>
          <w:sz w:val="21"/>
        </w:rPr>
        <w:t>消防车泵房应安装照明灯。</w:t>
      </w:r>
      <w:r>
        <w:rPr>
          <w:sz w:val="21"/>
        </w:rPr>
        <w:t> </w:t>
      </w:r>
    </w:p>
    <w:p>
      <w:pPr>
        <w:pStyle w:val="BodyText"/>
        <w:rPr>
          <w:sz w:val="18"/>
        </w:rPr>
      </w:pPr>
    </w:p>
    <w:p>
      <w:pPr>
        <w:pStyle w:val="ListParagraph"/>
        <w:numPr>
          <w:ilvl w:val="1"/>
          <w:numId w:val="158"/>
        </w:numPr>
        <w:tabs>
          <w:tab w:pos="1159" w:val="left" w:leader="none"/>
        </w:tabs>
        <w:spacing w:line="240" w:lineRule="auto" w:before="0" w:after="0"/>
        <w:ind w:left="1158" w:right="0" w:hanging="319"/>
        <w:jc w:val="left"/>
        <w:rPr>
          <w:b/>
          <w:sz w:val="21"/>
        </w:rPr>
      </w:pPr>
      <w:r>
        <w:rPr>
          <w:spacing w:val="-3"/>
          <w:sz w:val="21"/>
        </w:rPr>
        <w:t>使用市电的装置和系统</w:t>
      </w:r>
      <w:r>
        <w:rPr>
          <w:b/>
          <w:spacing w:val="-3"/>
          <w:w w:val="99"/>
          <w:sz w:val="21"/>
        </w:rPr>
        <w:t> </w:t>
      </w:r>
    </w:p>
    <w:p>
      <w:pPr>
        <w:pStyle w:val="BodyText"/>
        <w:rPr>
          <w:b/>
          <w:sz w:val="18"/>
        </w:rPr>
      </w:pPr>
    </w:p>
    <w:p>
      <w:pPr>
        <w:pStyle w:val="ListParagraph"/>
        <w:numPr>
          <w:ilvl w:val="2"/>
          <w:numId w:val="158"/>
        </w:numPr>
        <w:tabs>
          <w:tab w:pos="1371" w:val="left" w:leader="none"/>
        </w:tabs>
        <w:spacing w:line="240" w:lineRule="auto" w:before="0" w:after="0"/>
        <w:ind w:left="1370" w:right="0" w:hanging="531"/>
        <w:jc w:val="left"/>
        <w:rPr>
          <w:sz w:val="21"/>
        </w:rPr>
      </w:pPr>
      <w:r>
        <w:rPr>
          <w:spacing w:val="-3"/>
          <w:sz w:val="21"/>
        </w:rPr>
        <w:t>使用市电的装置应放置在器材厢干燥处，并避免热、振动和油污的影响。 </w:t>
      </w:r>
    </w:p>
    <w:p>
      <w:pPr>
        <w:pStyle w:val="BodyText"/>
        <w:spacing w:before="12"/>
        <w:rPr>
          <w:sz w:val="17"/>
        </w:rPr>
      </w:pPr>
    </w:p>
    <w:p>
      <w:pPr>
        <w:pStyle w:val="ListParagraph"/>
        <w:numPr>
          <w:ilvl w:val="2"/>
          <w:numId w:val="158"/>
        </w:numPr>
        <w:tabs>
          <w:tab w:pos="1370" w:val="left" w:leader="none"/>
        </w:tabs>
        <w:spacing w:line="240" w:lineRule="auto" w:before="0" w:after="0"/>
        <w:ind w:left="1369" w:right="0" w:hanging="530"/>
        <w:jc w:val="left"/>
        <w:rPr>
          <w:sz w:val="21"/>
        </w:rPr>
      </w:pPr>
      <w:r>
        <w:rPr>
          <w:spacing w:val="-6"/>
          <w:sz w:val="21"/>
        </w:rPr>
        <w:t>采用人力移动的用电装置的电压不超过 </w:t>
      </w:r>
      <w:r>
        <w:rPr>
          <w:sz w:val="21"/>
        </w:rPr>
        <w:t>250V。 </w:t>
      </w:r>
    </w:p>
    <w:p>
      <w:pPr>
        <w:pStyle w:val="BodyText"/>
        <w:spacing w:before="2"/>
        <w:rPr>
          <w:sz w:val="18"/>
        </w:rPr>
      </w:pPr>
    </w:p>
    <w:p>
      <w:pPr>
        <w:pStyle w:val="ListParagraph"/>
        <w:numPr>
          <w:ilvl w:val="2"/>
          <w:numId w:val="158"/>
        </w:numPr>
        <w:tabs>
          <w:tab w:pos="1371" w:val="left" w:leader="none"/>
        </w:tabs>
        <w:spacing w:line="240" w:lineRule="auto" w:before="0" w:after="0"/>
        <w:ind w:left="1370" w:right="0" w:hanging="531"/>
        <w:jc w:val="left"/>
        <w:rPr>
          <w:sz w:val="21"/>
        </w:rPr>
      </w:pPr>
      <w:r>
        <w:rPr>
          <w:spacing w:val="-13"/>
          <w:sz w:val="21"/>
        </w:rPr>
        <w:t>电压超过 </w:t>
      </w:r>
      <w:r>
        <w:rPr>
          <w:sz w:val="21"/>
        </w:rPr>
        <w:t>250</w:t>
      </w:r>
      <w:r>
        <w:rPr>
          <w:spacing w:val="1"/>
          <w:sz w:val="21"/>
        </w:rPr>
        <w:t> </w:t>
      </w:r>
      <w:r>
        <w:rPr>
          <w:sz w:val="21"/>
        </w:rPr>
        <w:t>V</w:t>
      </w:r>
      <w:r>
        <w:rPr>
          <w:spacing w:val="-9"/>
          <w:sz w:val="21"/>
        </w:rPr>
        <w:t> 的用电装置应固定在消防车上。</w:t>
      </w:r>
      <w:r>
        <w:rPr>
          <w:sz w:val="21"/>
        </w:rPr>
        <w:t> </w:t>
      </w:r>
    </w:p>
    <w:p>
      <w:pPr>
        <w:pStyle w:val="BodyText"/>
        <w:rPr>
          <w:sz w:val="18"/>
        </w:rPr>
      </w:pPr>
    </w:p>
    <w:p>
      <w:pPr>
        <w:pStyle w:val="ListParagraph"/>
        <w:numPr>
          <w:ilvl w:val="2"/>
          <w:numId w:val="158"/>
        </w:numPr>
        <w:tabs>
          <w:tab w:pos="1371" w:val="left" w:leader="none"/>
        </w:tabs>
        <w:spacing w:line="240" w:lineRule="auto" w:before="0" w:after="0"/>
        <w:ind w:left="1370" w:right="0" w:hanging="531"/>
        <w:jc w:val="left"/>
        <w:rPr>
          <w:sz w:val="21"/>
        </w:rPr>
      </w:pPr>
      <w:r>
        <w:rPr>
          <w:spacing w:val="-7"/>
          <w:sz w:val="21"/>
        </w:rPr>
        <w:t>用电装置若使用交流电，频率为 </w:t>
      </w:r>
      <w:r>
        <w:rPr>
          <w:sz w:val="21"/>
        </w:rPr>
        <w:t>50Hz。 </w:t>
      </w:r>
    </w:p>
    <w:p>
      <w:pPr>
        <w:pStyle w:val="BodyText"/>
        <w:spacing w:before="12"/>
        <w:rPr>
          <w:sz w:val="17"/>
        </w:rPr>
      </w:pPr>
    </w:p>
    <w:p>
      <w:pPr>
        <w:pStyle w:val="ListParagraph"/>
        <w:numPr>
          <w:ilvl w:val="2"/>
          <w:numId w:val="158"/>
        </w:numPr>
        <w:tabs>
          <w:tab w:pos="1371" w:val="left" w:leader="none"/>
        </w:tabs>
        <w:spacing w:line="240" w:lineRule="auto" w:before="0" w:after="0"/>
        <w:ind w:left="1370" w:right="0" w:hanging="531"/>
        <w:jc w:val="left"/>
        <w:rPr>
          <w:sz w:val="21"/>
        </w:rPr>
      </w:pPr>
      <w:r>
        <w:rPr>
          <w:spacing w:val="-3"/>
          <w:sz w:val="21"/>
        </w:rPr>
        <w:t>安装在消防车外部的市电电源插口应使用防水型产品。</w:t>
      </w:r>
      <w:r>
        <w:rPr>
          <w:sz w:val="21"/>
        </w:rPr>
        <w:t> </w:t>
      </w:r>
    </w:p>
    <w:p>
      <w:pPr>
        <w:pStyle w:val="BodyText"/>
        <w:spacing w:before="2"/>
        <w:rPr>
          <w:sz w:val="18"/>
        </w:rPr>
      </w:pPr>
    </w:p>
    <w:p>
      <w:pPr>
        <w:pStyle w:val="ListParagraph"/>
        <w:numPr>
          <w:ilvl w:val="2"/>
          <w:numId w:val="158"/>
        </w:numPr>
        <w:tabs>
          <w:tab w:pos="1371" w:val="left" w:leader="none"/>
        </w:tabs>
        <w:spacing w:line="240" w:lineRule="auto" w:before="0" w:after="0"/>
        <w:ind w:left="1370" w:right="0" w:hanging="531"/>
        <w:jc w:val="left"/>
        <w:rPr>
          <w:sz w:val="21"/>
        </w:rPr>
      </w:pPr>
      <w:r>
        <w:rPr>
          <w:spacing w:val="-3"/>
          <w:sz w:val="21"/>
        </w:rPr>
        <w:t>使用市电的装置和系统应选用防水型电器并宜安装漏电保护装置。</w:t>
      </w:r>
      <w:r>
        <w:rPr>
          <w:sz w:val="21"/>
        </w:rPr>
        <w:t> </w:t>
      </w:r>
    </w:p>
    <w:p>
      <w:pPr>
        <w:pStyle w:val="BodyText"/>
        <w:rPr>
          <w:sz w:val="18"/>
        </w:rPr>
      </w:pPr>
    </w:p>
    <w:p>
      <w:pPr>
        <w:pStyle w:val="ListParagraph"/>
        <w:numPr>
          <w:ilvl w:val="2"/>
          <w:numId w:val="158"/>
        </w:numPr>
        <w:tabs>
          <w:tab w:pos="1370" w:val="left" w:leader="none"/>
        </w:tabs>
        <w:spacing w:line="240" w:lineRule="auto" w:before="0" w:after="0"/>
        <w:ind w:left="1369" w:right="0" w:hanging="530"/>
        <w:jc w:val="left"/>
        <w:rPr>
          <w:sz w:val="21"/>
        </w:rPr>
      </w:pPr>
      <w:r>
        <w:rPr>
          <w:spacing w:val="-3"/>
          <w:sz w:val="21"/>
        </w:rPr>
        <w:t>安装在消防车上的使用市电的用电装置和系统应能可靠接地。</w:t>
      </w:r>
      <w:r>
        <w:rPr>
          <w:sz w:val="21"/>
        </w:rPr>
        <w:t> </w:t>
      </w:r>
    </w:p>
    <w:p>
      <w:pPr>
        <w:pStyle w:val="BodyText"/>
        <w:rPr>
          <w:sz w:val="18"/>
        </w:rPr>
      </w:pPr>
    </w:p>
    <w:p>
      <w:pPr>
        <w:pStyle w:val="ListParagraph"/>
        <w:numPr>
          <w:ilvl w:val="2"/>
          <w:numId w:val="158"/>
        </w:numPr>
        <w:tabs>
          <w:tab w:pos="1370" w:val="left" w:leader="none"/>
        </w:tabs>
        <w:spacing w:line="240" w:lineRule="auto" w:before="0" w:after="0"/>
        <w:ind w:left="1369" w:right="0" w:hanging="530"/>
        <w:jc w:val="left"/>
        <w:rPr>
          <w:sz w:val="21"/>
        </w:rPr>
      </w:pPr>
      <w:r>
        <w:rPr>
          <w:spacing w:val="-5"/>
          <w:sz w:val="21"/>
        </w:rPr>
        <w:t>接地线应选用导电性能良好的铜线，线径应等同于电源线且截面积不小于 </w:t>
      </w:r>
      <w:r>
        <w:rPr>
          <w:sz w:val="21"/>
        </w:rPr>
        <w:t>1.2</w:t>
      </w:r>
      <w:r>
        <w:rPr>
          <w:spacing w:val="3"/>
          <w:sz w:val="21"/>
        </w:rPr>
        <w:t> </w:t>
      </w:r>
      <w:r>
        <w:rPr>
          <w:sz w:val="21"/>
        </w:rPr>
        <w:t>m</w:t>
      </w:r>
    </w:p>
    <w:p>
      <w:pPr>
        <w:pStyle w:val="BodyText"/>
        <w:spacing w:before="1"/>
        <w:rPr>
          <w:sz w:val="18"/>
        </w:rPr>
      </w:pPr>
    </w:p>
    <w:p>
      <w:pPr>
        <w:pStyle w:val="BodyText"/>
        <w:spacing w:before="1"/>
        <w:ind w:left="418"/>
      </w:pPr>
      <w:r>
        <w:rPr>
          <w:color w:val="333333"/>
        </w:rPr>
        <w:t>㎡</w:t>
      </w:r>
      <w:r>
        <w:rPr/>
        <w:t>。 </w:t>
      </w:r>
    </w:p>
    <w:p>
      <w:pPr>
        <w:pStyle w:val="BodyText"/>
        <w:spacing w:before="12"/>
        <w:rPr>
          <w:sz w:val="17"/>
        </w:rPr>
      </w:pPr>
    </w:p>
    <w:p>
      <w:pPr>
        <w:pStyle w:val="ListParagraph"/>
        <w:numPr>
          <w:ilvl w:val="2"/>
          <w:numId w:val="158"/>
        </w:numPr>
        <w:tabs>
          <w:tab w:pos="1370" w:val="left" w:leader="none"/>
        </w:tabs>
        <w:spacing w:line="446" w:lineRule="auto" w:before="0" w:after="0"/>
        <w:ind w:left="418" w:right="1813" w:firstLine="422"/>
        <w:jc w:val="left"/>
        <w:rPr>
          <w:sz w:val="21"/>
        </w:rPr>
      </w:pPr>
      <w:r>
        <w:rPr>
          <w:spacing w:val="-3"/>
          <w:sz w:val="21"/>
        </w:rPr>
        <w:t>使用市电的装置或系统应在操作人员可见的明显位置用中文标示使用的方法、环境、条件和注意事项。</w:t>
      </w:r>
      <w:r>
        <w:rPr>
          <w:sz w:val="21"/>
        </w:rPr>
        <w:t> </w:t>
      </w: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使用市电的装置或系统的开关、按钮、手柄等应标出用途。</w:t>
      </w:r>
      <w:r>
        <w:rPr>
          <w:sz w:val="21"/>
        </w:rPr>
        <w:t> </w:t>
      </w:r>
    </w:p>
    <w:p>
      <w:pPr>
        <w:pStyle w:val="BodyText"/>
        <w:rPr>
          <w:sz w:val="18"/>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使用市电的装置或系统的电源开关应标出开和关的位置。</w:t>
      </w:r>
      <w:r>
        <w:rPr>
          <w:sz w:val="21"/>
        </w:rPr>
        <w:t> </w:t>
      </w:r>
    </w:p>
    <w:p>
      <w:pPr>
        <w:pStyle w:val="BodyText"/>
        <w:spacing w:before="12"/>
        <w:rPr>
          <w:sz w:val="17"/>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使用市电的装置或系统应在消防车上固定可靠，可移动装置取用应方便。 </w:t>
      </w:r>
    </w:p>
    <w:p>
      <w:pPr>
        <w:pStyle w:val="BodyText"/>
        <w:spacing w:before="2"/>
        <w:rPr>
          <w:sz w:val="18"/>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使用市电的装置或系统接线桩应有遮蔽措施，以免人员误触。</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58"/>
        </w:numPr>
        <w:tabs>
          <w:tab w:pos="1478" w:val="left" w:leader="none"/>
        </w:tabs>
        <w:spacing w:line="240" w:lineRule="auto" w:before="47" w:after="0"/>
        <w:ind w:left="1477" w:right="0" w:hanging="638"/>
        <w:jc w:val="left"/>
        <w:rPr>
          <w:sz w:val="21"/>
        </w:rPr>
      </w:pPr>
      <w:r>
        <w:rPr>
          <w:spacing w:val="-3"/>
          <w:sz w:val="21"/>
        </w:rPr>
        <w:t>使用市电的装置或系统的储存处温度不超过 </w:t>
      </w:r>
      <w:r>
        <w:rPr>
          <w:sz w:val="21"/>
        </w:rPr>
        <w:t>60</w:t>
      </w:r>
      <w:r>
        <w:rPr>
          <w:spacing w:val="-2"/>
          <w:sz w:val="21"/>
        </w:rPr>
        <w:t> ℃。</w:t>
      </w:r>
      <w:r>
        <w:rPr>
          <w:sz w:val="21"/>
        </w:rPr>
        <w:t> </w:t>
      </w:r>
    </w:p>
    <w:p>
      <w:pPr>
        <w:pStyle w:val="BodyText"/>
        <w:rPr>
          <w:sz w:val="18"/>
        </w:rPr>
      </w:pPr>
    </w:p>
    <w:p>
      <w:pPr>
        <w:pStyle w:val="ListParagraph"/>
        <w:numPr>
          <w:ilvl w:val="1"/>
          <w:numId w:val="158"/>
        </w:numPr>
        <w:tabs>
          <w:tab w:pos="1159" w:val="left" w:leader="none"/>
        </w:tabs>
        <w:spacing w:line="240" w:lineRule="auto" w:before="0" w:after="0"/>
        <w:ind w:left="1158" w:right="0" w:hanging="319"/>
        <w:jc w:val="left"/>
        <w:rPr>
          <w:sz w:val="21"/>
        </w:rPr>
      </w:pPr>
      <w:r>
        <w:rPr>
          <w:spacing w:val="-3"/>
          <w:sz w:val="21"/>
        </w:rPr>
        <w:t>非通信指挥消防车的通信区域及设施要求</w:t>
      </w:r>
      <w:r>
        <w:rPr>
          <w:sz w:val="21"/>
        </w:rPr>
        <w:t> </w:t>
      </w:r>
    </w:p>
    <w:p>
      <w:pPr>
        <w:pStyle w:val="BodyText"/>
        <w:rPr>
          <w:sz w:val="18"/>
        </w:rPr>
      </w:pPr>
    </w:p>
    <w:p>
      <w:pPr>
        <w:pStyle w:val="ListParagraph"/>
        <w:numPr>
          <w:ilvl w:val="2"/>
          <w:numId w:val="158"/>
        </w:numPr>
        <w:tabs>
          <w:tab w:pos="1371" w:val="left" w:leader="none"/>
        </w:tabs>
        <w:spacing w:line="240" w:lineRule="auto" w:before="0" w:after="0"/>
        <w:ind w:left="1370" w:right="0" w:hanging="531"/>
        <w:jc w:val="left"/>
        <w:rPr>
          <w:sz w:val="21"/>
        </w:rPr>
      </w:pPr>
      <w:r>
        <w:rPr>
          <w:spacing w:val="-3"/>
          <w:sz w:val="21"/>
        </w:rPr>
        <w:t>位置</w:t>
      </w:r>
      <w:r>
        <w:rPr>
          <w:sz w:val="21"/>
        </w:rPr>
        <w:t> </w:t>
      </w:r>
    </w:p>
    <w:p>
      <w:pPr>
        <w:pStyle w:val="BodyText"/>
        <w:spacing w:before="1"/>
        <w:rPr>
          <w:sz w:val="18"/>
        </w:rPr>
      </w:pPr>
    </w:p>
    <w:p>
      <w:pPr>
        <w:pStyle w:val="ListParagraph"/>
        <w:numPr>
          <w:ilvl w:val="3"/>
          <w:numId w:val="158"/>
        </w:numPr>
        <w:tabs>
          <w:tab w:pos="1576" w:val="left" w:leader="none"/>
        </w:tabs>
        <w:spacing w:line="240" w:lineRule="auto" w:before="1" w:after="0"/>
        <w:ind w:left="1575" w:right="0" w:hanging="738"/>
        <w:jc w:val="left"/>
        <w:rPr>
          <w:sz w:val="21"/>
        </w:rPr>
      </w:pPr>
      <w:r>
        <w:rPr>
          <w:spacing w:val="-3"/>
          <w:sz w:val="21"/>
        </w:rPr>
        <w:t>通信区域应位于车辆乘员区域或副驾驶区域。</w:t>
      </w:r>
      <w:r>
        <w:rPr>
          <w:sz w:val="21"/>
        </w:rPr>
        <w:t> </w:t>
      </w:r>
    </w:p>
    <w:p>
      <w:pPr>
        <w:pStyle w:val="BodyText"/>
        <w:spacing w:before="12"/>
        <w:rPr>
          <w:sz w:val="17"/>
        </w:rPr>
      </w:pPr>
    </w:p>
    <w:p>
      <w:pPr>
        <w:pStyle w:val="ListParagraph"/>
        <w:numPr>
          <w:ilvl w:val="3"/>
          <w:numId w:val="158"/>
        </w:numPr>
        <w:tabs>
          <w:tab w:pos="1576" w:val="left" w:leader="none"/>
        </w:tabs>
        <w:spacing w:line="240" w:lineRule="auto" w:before="0" w:after="0"/>
        <w:ind w:left="1575" w:right="0" w:hanging="738"/>
        <w:jc w:val="left"/>
        <w:rPr>
          <w:sz w:val="21"/>
        </w:rPr>
      </w:pPr>
      <w:r>
        <w:rPr>
          <w:spacing w:val="-3"/>
          <w:sz w:val="21"/>
        </w:rPr>
        <w:t>通信区域应有一定的专用空间。</w:t>
      </w:r>
      <w:r>
        <w:rPr>
          <w:sz w:val="21"/>
        </w:rPr>
        <w:t> </w:t>
      </w:r>
    </w:p>
    <w:p>
      <w:pPr>
        <w:pStyle w:val="BodyText"/>
        <w:spacing w:before="12"/>
        <w:rPr>
          <w:sz w:val="17"/>
        </w:rPr>
      </w:pPr>
    </w:p>
    <w:p>
      <w:pPr>
        <w:pStyle w:val="ListParagraph"/>
        <w:numPr>
          <w:ilvl w:val="2"/>
          <w:numId w:val="158"/>
        </w:numPr>
        <w:tabs>
          <w:tab w:pos="1370" w:val="left" w:leader="none"/>
        </w:tabs>
        <w:spacing w:line="240" w:lineRule="auto" w:before="0" w:after="0"/>
        <w:ind w:left="1369" w:right="0" w:hanging="530"/>
        <w:jc w:val="left"/>
        <w:rPr>
          <w:sz w:val="21"/>
        </w:rPr>
      </w:pPr>
      <w:r>
        <w:rPr>
          <w:spacing w:val="-3"/>
          <w:sz w:val="21"/>
        </w:rPr>
        <w:t>通信区域的噪音</w:t>
      </w:r>
      <w:r>
        <w:rPr>
          <w:sz w:val="21"/>
        </w:rPr>
        <w:t> </w:t>
      </w:r>
    </w:p>
    <w:p>
      <w:pPr>
        <w:pStyle w:val="BodyText"/>
        <w:spacing w:before="2"/>
        <w:rPr>
          <w:sz w:val="18"/>
        </w:rPr>
      </w:pPr>
    </w:p>
    <w:p>
      <w:pPr>
        <w:pStyle w:val="BodyText"/>
        <w:spacing w:line="446" w:lineRule="auto"/>
        <w:ind w:left="418" w:right="1609" w:firstLine="419"/>
      </w:pPr>
      <w:r>
        <w:rPr/>
        <w:t>通信区域的内饰应采用隔、吸音材料。当车辆行驶，其他消防装置处于非工作状态时，关闭警报器时通信区域的噪音应小于 85dB（A）。 </w:t>
      </w:r>
    </w:p>
    <w:p>
      <w:pPr>
        <w:pStyle w:val="ListParagraph"/>
        <w:numPr>
          <w:ilvl w:val="2"/>
          <w:numId w:val="158"/>
        </w:numPr>
        <w:tabs>
          <w:tab w:pos="1370" w:val="left" w:leader="none"/>
        </w:tabs>
        <w:spacing w:line="267" w:lineRule="exact" w:before="0" w:after="0"/>
        <w:ind w:left="1369" w:right="0" w:hanging="530"/>
        <w:jc w:val="left"/>
        <w:rPr>
          <w:sz w:val="21"/>
        </w:rPr>
      </w:pPr>
      <w:r>
        <w:rPr>
          <w:spacing w:val="-3"/>
          <w:sz w:val="21"/>
        </w:rPr>
        <w:t>通信区域照明</w:t>
      </w:r>
      <w:r>
        <w:rPr>
          <w:sz w:val="21"/>
        </w:rPr>
        <w:t> </w:t>
      </w:r>
    </w:p>
    <w:p>
      <w:pPr>
        <w:pStyle w:val="BodyText"/>
        <w:spacing w:before="2"/>
        <w:rPr>
          <w:sz w:val="18"/>
        </w:rPr>
      </w:pPr>
    </w:p>
    <w:p>
      <w:pPr>
        <w:pStyle w:val="BodyText"/>
        <w:spacing w:line="446" w:lineRule="auto"/>
        <w:ind w:left="418" w:right="1609" w:firstLine="419"/>
      </w:pPr>
      <w:r>
        <w:rPr/>
        <w:t>通信区域应设置能控制区域内照明的开关。供电系统应为消防指挥提供持续的室内照明。副驾驶区域为通信区域时应有独立照明灯的插座。 </w:t>
      </w:r>
    </w:p>
    <w:p>
      <w:pPr>
        <w:pStyle w:val="ListParagraph"/>
        <w:numPr>
          <w:ilvl w:val="2"/>
          <w:numId w:val="158"/>
        </w:numPr>
        <w:tabs>
          <w:tab w:pos="1370" w:val="left" w:leader="none"/>
        </w:tabs>
        <w:spacing w:line="267" w:lineRule="exact" w:before="0" w:after="0"/>
        <w:ind w:left="1369" w:right="0" w:hanging="530"/>
        <w:jc w:val="left"/>
        <w:rPr>
          <w:sz w:val="21"/>
        </w:rPr>
      </w:pPr>
      <w:r>
        <w:rPr>
          <w:spacing w:val="-3"/>
          <w:sz w:val="21"/>
        </w:rPr>
        <w:t>工作台</w:t>
      </w:r>
      <w:r>
        <w:rPr>
          <w:sz w:val="21"/>
        </w:rPr>
        <w:t> </w:t>
      </w:r>
    </w:p>
    <w:p>
      <w:pPr>
        <w:pStyle w:val="BodyText"/>
        <w:spacing w:before="2"/>
        <w:rPr>
          <w:sz w:val="18"/>
        </w:rPr>
      </w:pPr>
    </w:p>
    <w:p>
      <w:pPr>
        <w:pStyle w:val="BodyText"/>
        <w:spacing w:line="446" w:lineRule="auto"/>
        <w:ind w:left="840" w:right="4657" w:hanging="3"/>
      </w:pPr>
      <w:r>
        <w:rPr/>
        <w:t>通信区城有工作台时，工作台应平坦，无尖锐的边角。</w:t>
      </w:r>
      <w:r>
        <w:rPr>
          <w:b/>
        </w:rPr>
        <w:t>5.9.5 </w:t>
      </w:r>
      <w:r>
        <w:rPr/>
        <w:t>通信区域座椅 </w:t>
      </w:r>
    </w:p>
    <w:p>
      <w:pPr>
        <w:pStyle w:val="BodyText"/>
        <w:spacing w:line="446" w:lineRule="auto"/>
        <w:ind w:left="840" w:right="1505" w:hanging="3"/>
      </w:pPr>
      <w:r>
        <w:rPr/>
        <w:t>通信区域座椅可为固定式，也可为非固定式。当为非固定时，应有座椅的储存固定空间。</w:t>
      </w:r>
      <w:r>
        <w:rPr>
          <w:b/>
        </w:rPr>
        <w:t>5.9.6 </w:t>
      </w:r>
      <w:r>
        <w:rPr/>
        <w:t>设施的储存 </w:t>
      </w:r>
    </w:p>
    <w:p>
      <w:pPr>
        <w:pStyle w:val="ListParagraph"/>
        <w:numPr>
          <w:ilvl w:val="3"/>
          <w:numId w:val="159"/>
        </w:numPr>
        <w:tabs>
          <w:tab w:pos="1576" w:val="left" w:leader="none"/>
        </w:tabs>
        <w:spacing w:line="240" w:lineRule="auto" w:before="0" w:after="0"/>
        <w:ind w:left="1575" w:right="0" w:hanging="738"/>
        <w:jc w:val="left"/>
        <w:rPr>
          <w:sz w:val="21"/>
        </w:rPr>
      </w:pPr>
      <w:r>
        <w:rPr>
          <w:spacing w:val="-3"/>
          <w:sz w:val="21"/>
        </w:rPr>
        <w:t>为通信设施设置的箱柜应能合理的容纳设备，并能为设备提供保护。 </w:t>
      </w:r>
    </w:p>
    <w:p>
      <w:pPr>
        <w:pStyle w:val="BodyText"/>
        <w:spacing w:before="10"/>
        <w:rPr>
          <w:sz w:val="17"/>
        </w:rPr>
      </w:pPr>
    </w:p>
    <w:p>
      <w:pPr>
        <w:pStyle w:val="ListParagraph"/>
        <w:numPr>
          <w:ilvl w:val="3"/>
          <w:numId w:val="159"/>
        </w:numPr>
        <w:tabs>
          <w:tab w:pos="1576" w:val="left" w:leader="none"/>
        </w:tabs>
        <w:spacing w:line="240" w:lineRule="auto" w:before="0" w:after="0"/>
        <w:ind w:left="1575" w:right="0" w:hanging="738"/>
        <w:jc w:val="left"/>
        <w:rPr>
          <w:sz w:val="21"/>
        </w:rPr>
      </w:pPr>
      <w:r>
        <w:rPr>
          <w:spacing w:val="-3"/>
          <w:sz w:val="21"/>
        </w:rPr>
        <w:t>箱柜门上的锁止机构或插销装置在车辆运行或不使用设备期间应处于关闭状态。</w:t>
      </w:r>
      <w:r>
        <w:rPr>
          <w:sz w:val="21"/>
        </w:rPr>
        <w:t> </w:t>
      </w:r>
    </w:p>
    <w:p>
      <w:pPr>
        <w:pStyle w:val="BodyText"/>
        <w:spacing w:before="2"/>
        <w:rPr>
          <w:sz w:val="18"/>
        </w:rPr>
      </w:pPr>
    </w:p>
    <w:p>
      <w:pPr>
        <w:pStyle w:val="ListParagraph"/>
        <w:numPr>
          <w:ilvl w:val="2"/>
          <w:numId w:val="160"/>
        </w:numPr>
        <w:tabs>
          <w:tab w:pos="1371" w:val="left" w:leader="none"/>
        </w:tabs>
        <w:spacing w:line="240" w:lineRule="auto" w:before="0" w:after="0"/>
        <w:ind w:left="1370" w:right="0" w:hanging="531"/>
        <w:jc w:val="left"/>
        <w:rPr>
          <w:sz w:val="21"/>
        </w:rPr>
      </w:pPr>
      <w:r>
        <w:rPr>
          <w:spacing w:val="-3"/>
          <w:sz w:val="21"/>
        </w:rPr>
        <w:t>通信设备</w:t>
      </w:r>
      <w:r>
        <w:rPr>
          <w:sz w:val="21"/>
        </w:rPr>
        <w:t> </w:t>
      </w:r>
    </w:p>
    <w:p>
      <w:pPr>
        <w:pStyle w:val="BodyText"/>
        <w:rPr>
          <w:sz w:val="18"/>
        </w:rPr>
      </w:pPr>
    </w:p>
    <w:p>
      <w:pPr>
        <w:pStyle w:val="ListParagraph"/>
        <w:numPr>
          <w:ilvl w:val="3"/>
          <w:numId w:val="160"/>
        </w:numPr>
        <w:tabs>
          <w:tab w:pos="1576" w:val="left" w:leader="none"/>
        </w:tabs>
        <w:spacing w:line="240" w:lineRule="auto" w:before="0" w:after="0"/>
        <w:ind w:left="1575" w:right="0" w:hanging="738"/>
        <w:jc w:val="left"/>
        <w:rPr>
          <w:sz w:val="21"/>
        </w:rPr>
      </w:pPr>
      <w:r>
        <w:rPr>
          <w:spacing w:val="-8"/>
          <w:sz w:val="21"/>
        </w:rPr>
        <w:t>通信系统的设计应符合 </w:t>
      </w:r>
      <w:r>
        <w:rPr>
          <w:sz w:val="21"/>
        </w:rPr>
        <w:t>GB</w:t>
      </w:r>
      <w:r>
        <w:rPr>
          <w:spacing w:val="-2"/>
          <w:sz w:val="21"/>
        </w:rPr>
        <w:t> </w:t>
      </w:r>
      <w:r>
        <w:rPr>
          <w:sz w:val="21"/>
        </w:rPr>
        <w:t>50313</w:t>
      </w:r>
      <w:r>
        <w:rPr>
          <w:spacing w:val="-13"/>
          <w:sz w:val="21"/>
        </w:rPr>
        <w:t> 的要求。</w:t>
      </w:r>
      <w:r>
        <w:rPr>
          <w:sz w:val="21"/>
        </w:rPr>
        <w:t> </w:t>
      </w:r>
    </w:p>
    <w:p>
      <w:pPr>
        <w:pStyle w:val="BodyText"/>
        <w:spacing w:before="12"/>
        <w:rPr>
          <w:sz w:val="17"/>
        </w:rPr>
      </w:pPr>
    </w:p>
    <w:p>
      <w:pPr>
        <w:pStyle w:val="ListParagraph"/>
        <w:numPr>
          <w:ilvl w:val="3"/>
          <w:numId w:val="160"/>
        </w:numPr>
        <w:tabs>
          <w:tab w:pos="1576" w:val="left" w:leader="none"/>
        </w:tabs>
        <w:spacing w:line="446" w:lineRule="auto" w:before="0" w:after="0"/>
        <w:ind w:left="418" w:right="1818" w:firstLine="419"/>
        <w:jc w:val="left"/>
        <w:rPr>
          <w:sz w:val="21"/>
        </w:rPr>
      </w:pPr>
      <w:r>
        <w:rPr>
          <w:spacing w:val="-3"/>
          <w:sz w:val="21"/>
        </w:rPr>
        <w:t>当采用乘员室和驾驶室分隔设置，就指挥中心设在车身内时，应有车内通话设施。</w:t>
      </w:r>
      <w:r>
        <w:rPr>
          <w:sz w:val="21"/>
        </w:rPr>
        <w:t> </w:t>
      </w:r>
    </w:p>
    <w:p>
      <w:pPr>
        <w:pStyle w:val="ListParagraph"/>
        <w:numPr>
          <w:ilvl w:val="3"/>
          <w:numId w:val="160"/>
        </w:numPr>
        <w:tabs>
          <w:tab w:pos="1576" w:val="left" w:leader="none"/>
        </w:tabs>
        <w:spacing w:line="240" w:lineRule="auto" w:before="0" w:after="0"/>
        <w:ind w:left="1575" w:right="0" w:hanging="738"/>
        <w:jc w:val="left"/>
        <w:rPr>
          <w:sz w:val="21"/>
        </w:rPr>
      </w:pPr>
      <w:r>
        <w:rPr>
          <w:spacing w:val="-3"/>
          <w:sz w:val="21"/>
        </w:rPr>
        <w:t>配置无线通信装置或控制台时。应有防振、防撞击等安全保护措施。 </w:t>
      </w:r>
    </w:p>
    <w:p>
      <w:pPr>
        <w:pStyle w:val="BodyText"/>
        <w:rPr>
          <w:sz w:val="18"/>
        </w:rPr>
      </w:pPr>
    </w:p>
    <w:p>
      <w:pPr>
        <w:pStyle w:val="ListParagraph"/>
        <w:numPr>
          <w:ilvl w:val="2"/>
          <w:numId w:val="160"/>
        </w:numPr>
        <w:tabs>
          <w:tab w:pos="1370" w:val="left" w:leader="none"/>
        </w:tabs>
        <w:spacing w:line="240" w:lineRule="auto" w:before="0" w:after="0"/>
        <w:ind w:left="1369" w:right="0" w:hanging="530"/>
        <w:jc w:val="left"/>
        <w:rPr>
          <w:sz w:val="21"/>
        </w:rPr>
      </w:pPr>
      <w:r>
        <w:rPr>
          <w:spacing w:val="-3"/>
          <w:sz w:val="21"/>
        </w:rPr>
        <w:t>计算机和设备的安装 </w:t>
      </w:r>
    </w:p>
    <w:p>
      <w:pPr>
        <w:pStyle w:val="BodyText"/>
        <w:spacing w:before="2"/>
        <w:rPr>
          <w:sz w:val="18"/>
        </w:rPr>
      </w:pPr>
    </w:p>
    <w:p>
      <w:pPr>
        <w:pStyle w:val="ListParagraph"/>
        <w:numPr>
          <w:ilvl w:val="3"/>
          <w:numId w:val="160"/>
        </w:numPr>
        <w:tabs>
          <w:tab w:pos="1576" w:val="left" w:leader="none"/>
        </w:tabs>
        <w:spacing w:line="240" w:lineRule="auto" w:before="0" w:after="0"/>
        <w:ind w:left="1575" w:right="0" w:hanging="738"/>
        <w:jc w:val="left"/>
        <w:rPr>
          <w:sz w:val="21"/>
        </w:rPr>
      </w:pPr>
      <w:r>
        <w:rPr>
          <w:spacing w:val="-3"/>
          <w:sz w:val="21"/>
        </w:rPr>
        <w:t>车辆结构空间有限时，应选用笔记本计算机。</w:t>
      </w:r>
      <w:r>
        <w:rPr>
          <w:sz w:val="21"/>
        </w:rPr>
        <w:t> </w:t>
      </w:r>
    </w:p>
    <w:p>
      <w:pPr>
        <w:pStyle w:val="BodyText"/>
        <w:rPr>
          <w:sz w:val="18"/>
        </w:rPr>
      </w:pPr>
    </w:p>
    <w:p>
      <w:pPr>
        <w:pStyle w:val="ListParagraph"/>
        <w:numPr>
          <w:ilvl w:val="3"/>
          <w:numId w:val="160"/>
        </w:numPr>
        <w:tabs>
          <w:tab w:pos="1576" w:val="left" w:leader="none"/>
        </w:tabs>
        <w:spacing w:line="446" w:lineRule="auto" w:before="0" w:after="0"/>
        <w:ind w:left="418" w:right="1609" w:firstLine="419"/>
        <w:jc w:val="left"/>
        <w:rPr>
          <w:sz w:val="21"/>
        </w:rPr>
      </w:pPr>
      <w:r>
        <w:rPr>
          <w:spacing w:val="-3"/>
          <w:sz w:val="21"/>
        </w:rPr>
        <w:t>在为计算机设备提供的外供电源接口处应设有指示标牌，并在标牌上注明电源的电压及电流强度。</w:t>
      </w:r>
      <w:r>
        <w:rPr>
          <w:sz w:val="21"/>
        </w:rPr>
        <w:t> </w:t>
      </w:r>
    </w:p>
    <w:p>
      <w:pPr>
        <w:pStyle w:val="ListParagraph"/>
        <w:numPr>
          <w:ilvl w:val="3"/>
          <w:numId w:val="160"/>
        </w:numPr>
        <w:tabs>
          <w:tab w:pos="1576" w:val="left" w:leader="none"/>
        </w:tabs>
        <w:spacing w:line="240" w:lineRule="auto" w:before="0" w:after="0"/>
        <w:ind w:left="1575" w:right="0" w:hanging="738"/>
        <w:jc w:val="left"/>
        <w:rPr>
          <w:sz w:val="21"/>
        </w:rPr>
      </w:pPr>
      <w:r>
        <w:rPr>
          <w:spacing w:val="-3"/>
          <w:sz w:val="21"/>
        </w:rPr>
        <w:t>计算机设备安装时应有防震 、防机械损伤的措施。</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60"/>
        </w:numPr>
        <w:tabs>
          <w:tab w:pos="1370" w:val="left" w:leader="none"/>
        </w:tabs>
        <w:spacing w:line="240" w:lineRule="auto" w:before="47" w:after="0"/>
        <w:ind w:left="1369" w:right="0" w:hanging="530"/>
        <w:jc w:val="left"/>
        <w:rPr>
          <w:sz w:val="21"/>
        </w:rPr>
      </w:pPr>
      <w:r>
        <w:rPr>
          <w:spacing w:val="-3"/>
          <w:sz w:val="21"/>
        </w:rPr>
        <w:t>显示设备及安装</w:t>
      </w:r>
      <w:r>
        <w:rPr>
          <w:sz w:val="21"/>
        </w:rPr>
        <w:t> </w:t>
      </w:r>
    </w:p>
    <w:p>
      <w:pPr>
        <w:pStyle w:val="BodyText"/>
        <w:rPr>
          <w:sz w:val="18"/>
        </w:rPr>
      </w:pPr>
    </w:p>
    <w:p>
      <w:pPr>
        <w:pStyle w:val="ListParagraph"/>
        <w:numPr>
          <w:ilvl w:val="3"/>
          <w:numId w:val="160"/>
        </w:numPr>
        <w:tabs>
          <w:tab w:pos="1576" w:val="left" w:leader="none"/>
        </w:tabs>
        <w:spacing w:line="240" w:lineRule="auto" w:before="0" w:after="0"/>
        <w:ind w:left="1575" w:right="0" w:hanging="738"/>
        <w:jc w:val="left"/>
        <w:rPr>
          <w:sz w:val="21"/>
        </w:rPr>
      </w:pPr>
      <w:r>
        <w:rPr>
          <w:spacing w:val="-3"/>
          <w:sz w:val="21"/>
        </w:rPr>
        <w:t>安装在车辆上的显示设备应满足车辆的运行环境。</w:t>
      </w:r>
      <w:r>
        <w:rPr>
          <w:sz w:val="21"/>
        </w:rPr>
        <w:t> </w:t>
      </w:r>
    </w:p>
    <w:p>
      <w:pPr>
        <w:pStyle w:val="BodyText"/>
        <w:rPr>
          <w:sz w:val="18"/>
        </w:rPr>
      </w:pPr>
    </w:p>
    <w:p>
      <w:pPr>
        <w:pStyle w:val="ListParagraph"/>
        <w:numPr>
          <w:ilvl w:val="3"/>
          <w:numId w:val="160"/>
        </w:numPr>
        <w:tabs>
          <w:tab w:pos="1576" w:val="left" w:leader="none"/>
        </w:tabs>
        <w:spacing w:line="240" w:lineRule="auto" w:before="0" w:after="0"/>
        <w:ind w:left="1575" w:right="0" w:hanging="738"/>
        <w:jc w:val="left"/>
        <w:rPr>
          <w:sz w:val="21"/>
        </w:rPr>
      </w:pPr>
      <w:r>
        <w:rPr>
          <w:spacing w:val="-3"/>
          <w:sz w:val="21"/>
        </w:rPr>
        <w:t>显示设备应储存在封闭的箱柜内，柜内四周应用衬垫加以保护，防止机械损伤。</w:t>
      </w:r>
      <w:r>
        <w:rPr>
          <w:sz w:val="21"/>
        </w:rPr>
        <w:t> </w:t>
      </w:r>
    </w:p>
    <w:p>
      <w:pPr>
        <w:pStyle w:val="BodyText"/>
        <w:spacing w:before="1"/>
        <w:rPr>
          <w:sz w:val="18"/>
        </w:rPr>
      </w:pPr>
    </w:p>
    <w:p>
      <w:pPr>
        <w:pStyle w:val="ListParagraph"/>
        <w:numPr>
          <w:ilvl w:val="3"/>
          <w:numId w:val="160"/>
        </w:numPr>
        <w:tabs>
          <w:tab w:pos="1576" w:val="left" w:leader="none"/>
        </w:tabs>
        <w:spacing w:line="240" w:lineRule="auto" w:before="1" w:after="0"/>
        <w:ind w:left="1575" w:right="0" w:hanging="738"/>
        <w:jc w:val="left"/>
        <w:rPr>
          <w:sz w:val="21"/>
        </w:rPr>
      </w:pPr>
      <w:r>
        <w:rPr>
          <w:spacing w:val="-3"/>
          <w:sz w:val="21"/>
        </w:rPr>
        <w:t>配有显示监控器时，应安装于既能方便观察，又不会受到损伤的地方。 </w:t>
      </w:r>
    </w:p>
    <w:p>
      <w:pPr>
        <w:pStyle w:val="BodyText"/>
        <w:spacing w:before="12"/>
        <w:rPr>
          <w:sz w:val="17"/>
        </w:rPr>
      </w:pPr>
    </w:p>
    <w:p>
      <w:pPr>
        <w:pStyle w:val="ListParagraph"/>
        <w:numPr>
          <w:ilvl w:val="3"/>
          <w:numId w:val="160"/>
        </w:numPr>
        <w:tabs>
          <w:tab w:pos="1576" w:val="left" w:leader="none"/>
        </w:tabs>
        <w:spacing w:line="240" w:lineRule="auto" w:before="0" w:after="0"/>
        <w:ind w:left="1575" w:right="0" w:hanging="738"/>
        <w:jc w:val="left"/>
        <w:rPr>
          <w:sz w:val="21"/>
        </w:rPr>
      </w:pPr>
      <w:r>
        <w:rPr>
          <w:spacing w:val="-3"/>
          <w:sz w:val="21"/>
        </w:rPr>
        <w:t>显示设备为外部安装时，应按照显示设备外部安装要求安装固定支架。 </w:t>
      </w:r>
    </w:p>
    <w:p>
      <w:pPr>
        <w:pStyle w:val="BodyText"/>
        <w:spacing w:before="12"/>
        <w:rPr>
          <w:sz w:val="17"/>
        </w:rPr>
      </w:pPr>
    </w:p>
    <w:p>
      <w:pPr>
        <w:pStyle w:val="Heading6"/>
        <w:numPr>
          <w:ilvl w:val="1"/>
          <w:numId w:val="158"/>
        </w:numPr>
        <w:tabs>
          <w:tab w:pos="1264" w:val="left" w:leader="none"/>
        </w:tabs>
        <w:spacing w:line="240" w:lineRule="auto" w:before="0" w:after="0"/>
        <w:ind w:left="1263" w:right="0" w:hanging="424"/>
        <w:jc w:val="left"/>
      </w:pPr>
      <w:r>
        <w:rPr>
          <w:spacing w:val="-1"/>
        </w:rPr>
        <w:t>车身、器材箱</w:t>
      </w:r>
      <w:r>
        <w:rPr>
          <w:spacing w:val="-1"/>
          <w:w w:val="99"/>
        </w:rPr>
        <w:t> </w:t>
      </w:r>
    </w:p>
    <w:p>
      <w:pPr>
        <w:pStyle w:val="BodyText"/>
        <w:spacing w:before="2"/>
        <w:rPr>
          <w:b/>
          <w:sz w:val="18"/>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基本要求</w:t>
      </w:r>
      <w:r>
        <w:rPr>
          <w:sz w:val="21"/>
        </w:rPr>
        <w:t> </w:t>
      </w:r>
    </w:p>
    <w:p>
      <w:pPr>
        <w:pStyle w:val="BodyText"/>
        <w:rPr>
          <w:sz w:val="18"/>
        </w:rPr>
      </w:pPr>
    </w:p>
    <w:p>
      <w:pPr>
        <w:pStyle w:val="ListParagraph"/>
        <w:numPr>
          <w:ilvl w:val="3"/>
          <w:numId w:val="158"/>
        </w:numPr>
        <w:tabs>
          <w:tab w:pos="1682" w:val="left" w:leader="none"/>
        </w:tabs>
        <w:spacing w:line="446" w:lineRule="auto" w:before="0" w:after="0"/>
        <w:ind w:left="418" w:right="1505" w:firstLine="419"/>
        <w:jc w:val="left"/>
        <w:rPr>
          <w:sz w:val="21"/>
        </w:rPr>
      </w:pPr>
      <w:r>
        <w:rPr>
          <w:spacing w:val="-3"/>
          <w:sz w:val="21"/>
        </w:rPr>
        <w:t>在车身外部、内部和厢体，操作者可能触及的任何部件、构件等都不应有任何使人致伤的尖锐突出物或锐利边缘。</w:t>
      </w:r>
      <w:r>
        <w:rPr>
          <w:sz w:val="21"/>
        </w:rPr>
        <w:t> </w:t>
      </w:r>
    </w:p>
    <w:p>
      <w:pPr>
        <w:pStyle w:val="ListParagraph"/>
        <w:numPr>
          <w:ilvl w:val="3"/>
          <w:numId w:val="158"/>
        </w:numPr>
        <w:tabs>
          <w:tab w:pos="1682" w:val="left" w:leader="none"/>
        </w:tabs>
        <w:spacing w:line="446" w:lineRule="auto" w:before="0" w:after="0"/>
        <w:ind w:left="418" w:right="1611" w:firstLine="419"/>
        <w:jc w:val="left"/>
        <w:rPr>
          <w:sz w:val="21"/>
        </w:rPr>
      </w:pPr>
      <w:r>
        <w:rPr>
          <w:spacing w:val="-3"/>
          <w:sz w:val="21"/>
        </w:rPr>
        <w:t>车身各门、工作平台、抽屉式储物柜 、抽拉拖板、翻转架、活动踏板等物件伸</w:t>
      </w:r>
      <w:r>
        <w:rPr>
          <w:spacing w:val="-10"/>
          <w:sz w:val="21"/>
        </w:rPr>
        <w:t>出车身之外超过 </w:t>
      </w:r>
      <w:r>
        <w:rPr>
          <w:sz w:val="21"/>
        </w:rPr>
        <w:t>450mm</w:t>
      </w:r>
      <w:r>
        <w:rPr>
          <w:spacing w:val="-9"/>
          <w:sz w:val="21"/>
        </w:rPr>
        <w:t> 时，应有明显的标示。</w:t>
      </w:r>
      <w:r>
        <w:rPr>
          <w:sz w:val="21"/>
        </w:rPr>
        <w:t> </w:t>
      </w:r>
    </w:p>
    <w:p>
      <w:pPr>
        <w:pStyle w:val="ListParagraph"/>
        <w:numPr>
          <w:ilvl w:val="3"/>
          <w:numId w:val="158"/>
        </w:numPr>
        <w:tabs>
          <w:tab w:pos="1682" w:val="left" w:leader="none"/>
        </w:tabs>
        <w:spacing w:line="267" w:lineRule="exact" w:before="0" w:after="0"/>
        <w:ind w:left="1681" w:right="0" w:hanging="844"/>
        <w:jc w:val="left"/>
        <w:rPr>
          <w:sz w:val="21"/>
        </w:rPr>
      </w:pPr>
      <w:r>
        <w:rPr>
          <w:spacing w:val="-3"/>
          <w:sz w:val="21"/>
        </w:rPr>
        <w:t>随车器材应按轻、小的器材放置上面，重、大的器材放置下面的原则进行摆放。</w:t>
      </w:r>
      <w:r>
        <w:rPr>
          <w:sz w:val="21"/>
        </w:rPr>
        <w:t> </w:t>
      </w:r>
    </w:p>
    <w:p>
      <w:pPr>
        <w:pStyle w:val="BodyText"/>
        <w:spacing w:before="2"/>
        <w:rPr>
          <w:sz w:val="18"/>
        </w:rPr>
      </w:pPr>
    </w:p>
    <w:p>
      <w:pPr>
        <w:pStyle w:val="ListParagraph"/>
        <w:numPr>
          <w:ilvl w:val="3"/>
          <w:numId w:val="158"/>
        </w:numPr>
        <w:tabs>
          <w:tab w:pos="1682" w:val="left" w:leader="none"/>
        </w:tabs>
        <w:spacing w:line="240" w:lineRule="auto" w:before="0" w:after="0"/>
        <w:ind w:left="1681" w:right="0" w:hanging="844"/>
        <w:jc w:val="left"/>
        <w:rPr>
          <w:sz w:val="21"/>
        </w:rPr>
      </w:pPr>
      <w:r>
        <w:rPr>
          <w:spacing w:val="-3"/>
          <w:sz w:val="21"/>
        </w:rPr>
        <w:t>同类或相关的器材应摆放在同一器材箱内或相邻的器材箱内。</w:t>
      </w:r>
      <w:r>
        <w:rPr>
          <w:sz w:val="21"/>
        </w:rPr>
        <w:t> </w:t>
      </w:r>
    </w:p>
    <w:p>
      <w:pPr>
        <w:pStyle w:val="BodyText"/>
        <w:rPr>
          <w:sz w:val="18"/>
        </w:rPr>
      </w:pPr>
    </w:p>
    <w:p>
      <w:pPr>
        <w:pStyle w:val="ListParagraph"/>
        <w:numPr>
          <w:ilvl w:val="3"/>
          <w:numId w:val="158"/>
        </w:numPr>
        <w:tabs>
          <w:tab w:pos="1682" w:val="left" w:leader="none"/>
        </w:tabs>
        <w:spacing w:line="240" w:lineRule="auto" w:before="0" w:after="0"/>
        <w:ind w:left="1681" w:right="0" w:hanging="844"/>
        <w:jc w:val="left"/>
        <w:rPr>
          <w:sz w:val="21"/>
        </w:rPr>
      </w:pPr>
      <w:r>
        <w:rPr>
          <w:spacing w:val="-3"/>
          <w:sz w:val="21"/>
        </w:rPr>
        <w:t>随车器材应固定可靠，取用方便，器材的抽拉柜、台和旋转架的工作应可靠。 </w:t>
      </w:r>
    </w:p>
    <w:p>
      <w:pPr>
        <w:pStyle w:val="BodyText"/>
        <w:spacing w:before="12"/>
        <w:rPr>
          <w:sz w:val="17"/>
        </w:rPr>
      </w:pP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器材箱</w:t>
      </w:r>
      <w:r>
        <w:rPr>
          <w:sz w:val="21"/>
        </w:rPr>
        <w:t> </w:t>
      </w:r>
    </w:p>
    <w:p>
      <w:pPr>
        <w:pStyle w:val="BodyText"/>
        <w:spacing w:before="2"/>
        <w:rPr>
          <w:sz w:val="18"/>
        </w:rPr>
      </w:pPr>
    </w:p>
    <w:p>
      <w:pPr>
        <w:pStyle w:val="ListParagraph"/>
        <w:numPr>
          <w:ilvl w:val="3"/>
          <w:numId w:val="158"/>
        </w:numPr>
        <w:tabs>
          <w:tab w:pos="1682" w:val="left" w:leader="none"/>
        </w:tabs>
        <w:spacing w:line="240" w:lineRule="auto" w:before="0" w:after="0"/>
        <w:ind w:left="1681" w:right="0" w:hanging="844"/>
        <w:jc w:val="left"/>
        <w:rPr>
          <w:sz w:val="21"/>
        </w:rPr>
      </w:pPr>
      <w:r>
        <w:rPr>
          <w:spacing w:val="-3"/>
          <w:sz w:val="21"/>
        </w:rPr>
        <w:t>箱体应采用耐腐蚀性材料制成或表面经防腐处理。</w:t>
      </w:r>
      <w:r>
        <w:rPr>
          <w:sz w:val="21"/>
        </w:rPr>
        <w:t> </w:t>
      </w:r>
    </w:p>
    <w:p>
      <w:pPr>
        <w:pStyle w:val="BodyText"/>
        <w:rPr>
          <w:sz w:val="18"/>
        </w:rPr>
      </w:pPr>
    </w:p>
    <w:p>
      <w:pPr>
        <w:pStyle w:val="ListParagraph"/>
        <w:numPr>
          <w:ilvl w:val="3"/>
          <w:numId w:val="158"/>
        </w:numPr>
        <w:tabs>
          <w:tab w:pos="1682" w:val="left" w:leader="none"/>
        </w:tabs>
        <w:spacing w:line="446" w:lineRule="auto" w:before="0" w:after="0"/>
        <w:ind w:left="418" w:right="1505" w:firstLine="419"/>
        <w:jc w:val="left"/>
        <w:rPr>
          <w:sz w:val="21"/>
        </w:rPr>
      </w:pPr>
      <w:r>
        <w:rPr>
          <w:spacing w:val="-3"/>
          <w:sz w:val="21"/>
        </w:rPr>
        <w:t>可形成电化学腐蚀或抗电性的不同金属材料零部件或构件装在一起时，在两种材料间应采用隔离措施，以防止其发生腐蚀反应。</w:t>
      </w:r>
      <w:r>
        <w:rPr>
          <w:sz w:val="21"/>
        </w:rPr>
        <w:t> </w:t>
      </w:r>
    </w:p>
    <w:p>
      <w:pPr>
        <w:pStyle w:val="ListParagraph"/>
        <w:numPr>
          <w:ilvl w:val="3"/>
          <w:numId w:val="158"/>
        </w:numPr>
        <w:tabs>
          <w:tab w:pos="1682" w:val="left" w:leader="none"/>
        </w:tabs>
        <w:spacing w:line="240" w:lineRule="auto" w:before="0" w:after="0"/>
        <w:ind w:left="1681" w:right="0" w:hanging="844"/>
        <w:jc w:val="left"/>
        <w:rPr>
          <w:sz w:val="21"/>
        </w:rPr>
      </w:pPr>
      <w:r>
        <w:rPr>
          <w:spacing w:val="-3"/>
          <w:sz w:val="21"/>
        </w:rPr>
        <w:t>所有暴露在外的非耐腐蚀金属材料的表面均应作防腐蚀处理。</w:t>
      </w:r>
      <w:r>
        <w:rPr>
          <w:sz w:val="21"/>
        </w:rPr>
        <w:t> </w:t>
      </w:r>
    </w:p>
    <w:p>
      <w:pPr>
        <w:pStyle w:val="BodyText"/>
        <w:rPr>
          <w:sz w:val="18"/>
        </w:rPr>
      </w:pPr>
    </w:p>
    <w:p>
      <w:pPr>
        <w:pStyle w:val="ListParagraph"/>
        <w:numPr>
          <w:ilvl w:val="3"/>
          <w:numId w:val="158"/>
        </w:numPr>
        <w:tabs>
          <w:tab w:pos="1682" w:val="left" w:leader="none"/>
        </w:tabs>
        <w:spacing w:line="240" w:lineRule="auto" w:before="0" w:after="0"/>
        <w:ind w:left="1681" w:right="0" w:hanging="844"/>
        <w:jc w:val="left"/>
        <w:rPr>
          <w:sz w:val="21"/>
        </w:rPr>
      </w:pPr>
      <w:r>
        <w:rPr>
          <w:spacing w:val="-3"/>
          <w:sz w:val="21"/>
        </w:rPr>
        <w:t>任何封闭的厢体应通风、防潮且能排出厢内积水。</w:t>
      </w:r>
      <w:r>
        <w:rPr>
          <w:sz w:val="21"/>
        </w:rPr>
        <w:t> </w:t>
      </w:r>
    </w:p>
    <w:p>
      <w:pPr>
        <w:pStyle w:val="BodyText"/>
        <w:spacing w:before="12"/>
        <w:rPr>
          <w:sz w:val="17"/>
        </w:rPr>
      </w:pPr>
    </w:p>
    <w:p>
      <w:pPr>
        <w:pStyle w:val="ListParagraph"/>
        <w:numPr>
          <w:ilvl w:val="3"/>
          <w:numId w:val="158"/>
        </w:numPr>
        <w:tabs>
          <w:tab w:pos="1682" w:val="left" w:leader="none"/>
        </w:tabs>
        <w:spacing w:line="446" w:lineRule="auto" w:before="0" w:after="0"/>
        <w:ind w:left="418" w:right="1505" w:firstLine="419"/>
        <w:jc w:val="left"/>
        <w:rPr>
          <w:sz w:val="21"/>
        </w:rPr>
      </w:pPr>
      <w:r>
        <w:rPr>
          <w:spacing w:val="-3"/>
          <w:sz w:val="21"/>
        </w:rPr>
        <w:t>箱体内储存的设备、器具均应设防护设施，不应使其内安装的电气线路、照明灯具、警示装置等受到机械损害。</w:t>
      </w:r>
      <w:r>
        <w:rPr>
          <w:sz w:val="21"/>
        </w:rPr>
        <w:t> </w:t>
      </w:r>
    </w:p>
    <w:p>
      <w:pPr>
        <w:pStyle w:val="ListParagraph"/>
        <w:numPr>
          <w:ilvl w:val="2"/>
          <w:numId w:val="158"/>
        </w:numPr>
        <w:tabs>
          <w:tab w:pos="1478" w:val="left" w:leader="none"/>
        </w:tabs>
        <w:spacing w:line="240" w:lineRule="auto" w:before="0" w:after="0"/>
        <w:ind w:left="1477" w:right="0" w:hanging="638"/>
        <w:jc w:val="left"/>
        <w:rPr>
          <w:sz w:val="21"/>
        </w:rPr>
      </w:pPr>
      <w:r>
        <w:rPr>
          <w:spacing w:val="-3"/>
          <w:sz w:val="21"/>
        </w:rPr>
        <w:t>器材箱门</w:t>
      </w:r>
      <w:r>
        <w:rPr>
          <w:sz w:val="21"/>
        </w:rPr>
        <w:t> </w:t>
      </w:r>
    </w:p>
    <w:p>
      <w:pPr>
        <w:pStyle w:val="BodyText"/>
        <w:spacing w:before="12"/>
        <w:rPr>
          <w:sz w:val="17"/>
        </w:rPr>
      </w:pPr>
    </w:p>
    <w:p>
      <w:pPr>
        <w:pStyle w:val="ListParagraph"/>
        <w:numPr>
          <w:ilvl w:val="3"/>
          <w:numId w:val="158"/>
        </w:numPr>
        <w:tabs>
          <w:tab w:pos="1682" w:val="left" w:leader="none"/>
        </w:tabs>
        <w:spacing w:line="446" w:lineRule="auto" w:before="0" w:after="0"/>
        <w:ind w:left="418" w:right="1505" w:firstLine="419"/>
        <w:jc w:val="left"/>
        <w:rPr>
          <w:sz w:val="21"/>
        </w:rPr>
      </w:pPr>
      <w:r>
        <w:rPr>
          <w:spacing w:val="-3"/>
          <w:sz w:val="21"/>
        </w:rPr>
        <w:t>器材箱门应开启、关闭方便，不应有卡阻和两手用力不平衡就打不开的现象。卷</w:t>
      </w:r>
      <w:r>
        <w:rPr>
          <w:spacing w:val="-6"/>
          <w:sz w:val="21"/>
        </w:rPr>
        <w:t>帘门锁应开关方便、可靠。卷帘门和锁具承受 </w:t>
      </w:r>
      <w:r>
        <w:rPr>
          <w:sz w:val="21"/>
        </w:rPr>
        <w:t>10000</w:t>
      </w:r>
      <w:r>
        <w:rPr>
          <w:spacing w:val="-8"/>
          <w:sz w:val="21"/>
        </w:rPr>
        <w:t> 次开启、关闭和锁止后，不应失效。</w:t>
      </w:r>
      <w:r>
        <w:rPr>
          <w:sz w:val="21"/>
        </w:rPr>
        <w:t> </w:t>
      </w:r>
    </w:p>
    <w:p>
      <w:pPr>
        <w:pStyle w:val="ListParagraph"/>
        <w:numPr>
          <w:ilvl w:val="3"/>
          <w:numId w:val="158"/>
        </w:numPr>
        <w:tabs>
          <w:tab w:pos="1682" w:val="left" w:leader="none"/>
        </w:tabs>
        <w:spacing w:line="240" w:lineRule="auto" w:before="1" w:after="0"/>
        <w:ind w:left="1681" w:right="0" w:hanging="844"/>
        <w:jc w:val="left"/>
        <w:rPr>
          <w:sz w:val="21"/>
        </w:rPr>
      </w:pPr>
      <w:r>
        <w:rPr>
          <w:spacing w:val="-3"/>
          <w:sz w:val="21"/>
        </w:rPr>
        <w:t>器材箱门应由防腐蚀性材料或表面经防腐蚀处理的材料制成。</w:t>
      </w:r>
      <w:r>
        <w:rPr>
          <w:sz w:val="21"/>
        </w:rPr>
        <w:t> </w:t>
      </w:r>
    </w:p>
    <w:p>
      <w:pPr>
        <w:pStyle w:val="BodyText"/>
        <w:spacing w:before="12"/>
        <w:rPr>
          <w:sz w:val="17"/>
        </w:rPr>
      </w:pPr>
    </w:p>
    <w:p>
      <w:pPr>
        <w:pStyle w:val="ListParagraph"/>
        <w:numPr>
          <w:ilvl w:val="3"/>
          <w:numId w:val="158"/>
        </w:numPr>
        <w:tabs>
          <w:tab w:pos="1682" w:val="left" w:leader="none"/>
        </w:tabs>
        <w:spacing w:line="240" w:lineRule="auto" w:before="0" w:after="0"/>
        <w:ind w:left="1681" w:right="0" w:hanging="844"/>
        <w:jc w:val="left"/>
        <w:rPr>
          <w:sz w:val="21"/>
        </w:rPr>
      </w:pPr>
      <w:r>
        <w:rPr>
          <w:spacing w:val="-3"/>
          <w:sz w:val="21"/>
        </w:rPr>
        <w:t>器材箱门设置应利于人员操作，取放设备和器具。</w:t>
      </w:r>
      <w:r>
        <w:rPr>
          <w:sz w:val="21"/>
        </w:rPr>
        <w:t> </w:t>
      </w:r>
    </w:p>
    <w:p>
      <w:pPr>
        <w:pStyle w:val="BodyText"/>
        <w:spacing w:before="2"/>
        <w:rPr>
          <w:sz w:val="18"/>
        </w:rPr>
      </w:pPr>
    </w:p>
    <w:p>
      <w:pPr>
        <w:pStyle w:val="ListParagraph"/>
        <w:numPr>
          <w:ilvl w:val="3"/>
          <w:numId w:val="158"/>
        </w:numPr>
        <w:tabs>
          <w:tab w:pos="1682" w:val="left" w:leader="none"/>
        </w:tabs>
        <w:spacing w:line="240" w:lineRule="auto" w:before="0" w:after="0"/>
        <w:ind w:left="1681" w:right="0" w:hanging="844"/>
        <w:jc w:val="left"/>
        <w:rPr>
          <w:sz w:val="21"/>
        </w:rPr>
      </w:pPr>
      <w:r>
        <w:rPr>
          <w:spacing w:val="-3"/>
          <w:sz w:val="21"/>
        </w:rPr>
        <w:t>器材箱门应具有锁止功能，在人员需进出或取放设备、器具时能方便开启，在车</w:t>
      </w:r>
    </w:p>
    <w:p>
      <w:pPr>
        <w:spacing w:after="0" w:line="240" w:lineRule="auto"/>
        <w:jc w:val="left"/>
        <w:rPr>
          <w:sz w:val="21"/>
        </w:rPr>
        <w:sectPr>
          <w:pgSz w:w="11910" w:h="16850"/>
          <w:pgMar w:header="0" w:footer="1239" w:top="1220" w:bottom="1420" w:left="1260" w:right="0"/>
        </w:sectPr>
      </w:pPr>
    </w:p>
    <w:p>
      <w:pPr>
        <w:spacing w:line="446" w:lineRule="auto" w:before="47"/>
        <w:ind w:left="840" w:right="6969" w:hanging="423"/>
        <w:jc w:val="left"/>
        <w:rPr>
          <w:b/>
          <w:sz w:val="21"/>
        </w:rPr>
      </w:pPr>
      <w:r>
        <w:rPr>
          <w:sz w:val="21"/>
        </w:rPr>
        <w:t>辆运行和不使用时不应自行启闭。</w:t>
      </w:r>
      <w:r>
        <w:rPr>
          <w:b/>
          <w:sz w:val="21"/>
        </w:rPr>
        <w:t>5.11 </w:t>
      </w:r>
      <w:r>
        <w:rPr>
          <w:sz w:val="21"/>
        </w:rPr>
        <w:t>设备、器材的固定</w:t>
      </w:r>
      <w:r>
        <w:rPr>
          <w:b/>
          <w:w w:val="99"/>
          <w:sz w:val="21"/>
        </w:rPr>
        <w:t> </w:t>
      </w:r>
    </w:p>
    <w:p>
      <w:pPr>
        <w:pStyle w:val="ListParagraph"/>
        <w:numPr>
          <w:ilvl w:val="2"/>
          <w:numId w:val="161"/>
        </w:numPr>
        <w:tabs>
          <w:tab w:pos="1478" w:val="left" w:leader="none"/>
        </w:tabs>
        <w:spacing w:line="267" w:lineRule="exact" w:before="0" w:after="0"/>
        <w:ind w:left="1477" w:right="0" w:hanging="638"/>
        <w:jc w:val="left"/>
        <w:rPr>
          <w:sz w:val="21"/>
        </w:rPr>
      </w:pPr>
      <w:r>
        <w:rPr>
          <w:spacing w:val="-3"/>
          <w:sz w:val="21"/>
        </w:rPr>
        <w:t>应为设备、器材提供固定夹持装置和空间。</w:t>
      </w:r>
      <w:r>
        <w:rPr>
          <w:sz w:val="21"/>
        </w:rPr>
        <w:t> </w:t>
      </w:r>
    </w:p>
    <w:p>
      <w:pPr>
        <w:pStyle w:val="BodyText"/>
        <w:spacing w:before="2"/>
        <w:rPr>
          <w:sz w:val="18"/>
        </w:rPr>
      </w:pPr>
    </w:p>
    <w:p>
      <w:pPr>
        <w:pStyle w:val="ListParagraph"/>
        <w:numPr>
          <w:ilvl w:val="2"/>
          <w:numId w:val="161"/>
        </w:numPr>
        <w:tabs>
          <w:tab w:pos="1478" w:val="left" w:leader="none"/>
        </w:tabs>
        <w:spacing w:line="446" w:lineRule="auto" w:before="0" w:after="0"/>
        <w:ind w:left="418" w:right="1496" w:firstLine="422"/>
        <w:jc w:val="left"/>
        <w:rPr>
          <w:sz w:val="21"/>
        </w:rPr>
      </w:pPr>
      <w:r>
        <w:rPr>
          <w:spacing w:val="-3"/>
          <w:sz w:val="21"/>
        </w:rPr>
        <w:t>器材箱内的器材夹具应保证器材取用方便和可靠，在消防车行驶时器材不会脱离夹具。</w:t>
      </w:r>
      <w:r>
        <w:rPr>
          <w:sz w:val="21"/>
        </w:rPr>
        <w:t> </w:t>
      </w:r>
    </w:p>
    <w:p>
      <w:pPr>
        <w:pStyle w:val="ListParagraph"/>
        <w:numPr>
          <w:ilvl w:val="2"/>
          <w:numId w:val="161"/>
        </w:numPr>
        <w:tabs>
          <w:tab w:pos="1478" w:val="left" w:leader="none"/>
        </w:tabs>
        <w:spacing w:line="446" w:lineRule="auto" w:before="0" w:after="0"/>
        <w:ind w:left="418" w:right="1496" w:firstLine="422"/>
        <w:jc w:val="left"/>
        <w:rPr>
          <w:sz w:val="21"/>
        </w:rPr>
      </w:pPr>
      <w:r>
        <w:rPr>
          <w:spacing w:val="-3"/>
          <w:sz w:val="21"/>
        </w:rPr>
        <w:t>安装车载无线通信设备时，应为其提供一个安全的空间。为避免通信工作受到不应有的干扰，必要时应提供合适的屏蔽装置。</w:t>
      </w:r>
      <w:r>
        <w:rPr>
          <w:sz w:val="21"/>
        </w:rPr>
        <w:t> </w:t>
      </w:r>
    </w:p>
    <w:p>
      <w:pPr>
        <w:pStyle w:val="ListParagraph"/>
        <w:numPr>
          <w:ilvl w:val="2"/>
          <w:numId w:val="161"/>
        </w:numPr>
        <w:tabs>
          <w:tab w:pos="1478" w:val="left" w:leader="none"/>
        </w:tabs>
        <w:spacing w:line="240" w:lineRule="auto" w:before="0" w:after="0"/>
        <w:ind w:left="1477" w:right="0" w:hanging="638"/>
        <w:jc w:val="left"/>
        <w:rPr>
          <w:sz w:val="21"/>
        </w:rPr>
      </w:pPr>
      <w:r>
        <w:rPr>
          <w:spacing w:val="-3"/>
          <w:sz w:val="21"/>
        </w:rPr>
        <w:t>承重抽拉支架应满足下列要求 ：</w:t>
      </w:r>
      <w:r>
        <w:rPr>
          <w:sz w:val="21"/>
        </w:rPr>
        <w:t> </w:t>
      </w:r>
    </w:p>
    <w:p>
      <w:pPr>
        <w:pStyle w:val="BodyText"/>
        <w:spacing w:before="10"/>
        <w:rPr>
          <w:sz w:val="17"/>
        </w:rPr>
      </w:pPr>
    </w:p>
    <w:p>
      <w:pPr>
        <w:pStyle w:val="BodyText"/>
        <w:spacing w:line="446" w:lineRule="auto" w:before="1"/>
        <w:ind w:left="838" w:right="1505"/>
      </w:pPr>
      <w:r>
        <w:rPr/>
        <w:t>a）</w:t>
      </w:r>
      <w:r>
        <w:rPr>
          <w:spacing w:val="-3"/>
        </w:rPr>
        <w:t>支架应具有所承载设备、器具所需的强度和刚度，以避免造成设备、器具的损坏；  </w:t>
      </w:r>
      <w:r>
        <w:rPr/>
        <w:t>b）</w:t>
      </w:r>
      <w:r>
        <w:rPr>
          <w:spacing w:val="-3"/>
        </w:rPr>
        <w:t>支架应具有锁止功能，在车辆行驶时能可靠的锁止支架，使用时能方便的解除锁闭； </w:t>
      </w:r>
      <w:r>
        <w:rPr/>
        <w:t>c）</w:t>
      </w:r>
      <w:r>
        <w:rPr>
          <w:spacing w:val="-3"/>
        </w:rPr>
        <w:t>应在支架侧面最外端设置反光警示标识，反光警示标识的长度应大于支架伸出车身长度</w:t>
      </w:r>
    </w:p>
    <w:p>
      <w:pPr>
        <w:pStyle w:val="BodyText"/>
        <w:spacing w:line="446" w:lineRule="auto"/>
        <w:ind w:left="840" w:right="1872" w:hanging="423"/>
      </w:pPr>
      <w:r>
        <w:rPr/>
        <w:t>的 2/3，可向周围人员发出警示，以避免对人员造成伤害或支架受到外来的碰撞而损坏 。</w:t>
      </w:r>
      <w:r>
        <w:rPr>
          <w:b/>
        </w:rPr>
        <w:t>5.11.5 </w:t>
      </w:r>
      <w:r>
        <w:rPr/>
        <w:t>空气呼吸器的储存应满足下列要求 ： </w:t>
      </w:r>
    </w:p>
    <w:p>
      <w:pPr>
        <w:pStyle w:val="ListParagraph"/>
        <w:numPr>
          <w:ilvl w:val="0"/>
          <w:numId w:val="162"/>
        </w:numPr>
        <w:tabs>
          <w:tab w:pos="1156" w:val="left" w:leader="none"/>
        </w:tabs>
        <w:spacing w:line="446" w:lineRule="auto" w:before="0" w:after="0"/>
        <w:ind w:left="418" w:right="1505" w:firstLine="419"/>
        <w:jc w:val="left"/>
        <w:rPr>
          <w:sz w:val="21"/>
        </w:rPr>
      </w:pPr>
      <w:r>
        <w:rPr>
          <w:spacing w:val="-3"/>
          <w:sz w:val="21"/>
        </w:rPr>
        <w:t>应合理布置空气呼吸器和备用瓶的储存空间和位置，避免来自其他装置、构件、器具对其造成的磨损或损害；</w:t>
      </w:r>
      <w:r>
        <w:rPr>
          <w:sz w:val="21"/>
        </w:rPr>
        <w:t> </w:t>
      </w:r>
    </w:p>
    <w:p>
      <w:pPr>
        <w:pStyle w:val="ListParagraph"/>
        <w:numPr>
          <w:ilvl w:val="0"/>
          <w:numId w:val="162"/>
        </w:numPr>
        <w:tabs>
          <w:tab w:pos="1156" w:val="left" w:leader="none"/>
        </w:tabs>
        <w:spacing w:line="446" w:lineRule="auto" w:before="0" w:after="0"/>
        <w:ind w:left="418" w:right="1505" w:firstLine="419"/>
        <w:jc w:val="left"/>
        <w:rPr>
          <w:sz w:val="21"/>
        </w:rPr>
      </w:pPr>
      <w:r>
        <w:rPr>
          <w:spacing w:val="-3"/>
          <w:sz w:val="21"/>
        </w:rPr>
        <w:t>固定夹持装置不应对空气呼吸器或备用瓶造成划伤、磨损等损害，也不应对其外表面涂层或反光层造成破坏；</w:t>
      </w:r>
      <w:r>
        <w:rPr>
          <w:sz w:val="21"/>
        </w:rPr>
        <w:t> </w:t>
      </w:r>
    </w:p>
    <w:p>
      <w:pPr>
        <w:pStyle w:val="ListParagraph"/>
        <w:numPr>
          <w:ilvl w:val="0"/>
          <w:numId w:val="162"/>
        </w:numPr>
        <w:tabs>
          <w:tab w:pos="1156" w:val="left" w:leader="none"/>
        </w:tabs>
        <w:spacing w:line="446" w:lineRule="auto" w:before="0" w:after="0"/>
        <w:ind w:left="418" w:right="1505" w:firstLine="419"/>
        <w:jc w:val="left"/>
        <w:rPr>
          <w:sz w:val="21"/>
        </w:rPr>
      </w:pPr>
      <w:r>
        <w:rPr>
          <w:spacing w:val="-3"/>
          <w:sz w:val="21"/>
        </w:rPr>
        <w:t>空气呼吸器或备用瓶的储存区域，应远离热源（如消声器、排气管、发动机</w:t>
      </w:r>
      <w:r>
        <w:rPr>
          <w:sz w:val="21"/>
        </w:rPr>
        <w:t>）</w:t>
      </w:r>
      <w:r>
        <w:rPr>
          <w:spacing w:val="-3"/>
          <w:sz w:val="21"/>
        </w:rPr>
        <w:t>并通风干燥；</w:t>
      </w:r>
      <w:r>
        <w:rPr>
          <w:sz w:val="21"/>
        </w:rPr>
        <w:t> </w:t>
      </w:r>
    </w:p>
    <w:p>
      <w:pPr>
        <w:pStyle w:val="ListParagraph"/>
        <w:numPr>
          <w:ilvl w:val="0"/>
          <w:numId w:val="162"/>
        </w:numPr>
        <w:tabs>
          <w:tab w:pos="1156" w:val="left" w:leader="none"/>
        </w:tabs>
        <w:spacing w:line="446" w:lineRule="auto" w:before="0" w:after="0"/>
        <w:ind w:left="838" w:right="4554" w:firstLine="0"/>
        <w:jc w:val="left"/>
        <w:rPr>
          <w:sz w:val="21"/>
        </w:rPr>
      </w:pPr>
      <w:r>
        <w:rPr>
          <w:spacing w:val="-3"/>
          <w:sz w:val="21"/>
        </w:rPr>
        <w:t>用筒、管材料垂直方式储存空气呼吸器备用瓶；   </w:t>
      </w:r>
      <w:r>
        <w:rPr>
          <w:sz w:val="21"/>
        </w:rPr>
        <w:t>e）</w:t>
      </w:r>
      <w:r>
        <w:rPr>
          <w:spacing w:val="-3"/>
          <w:sz w:val="21"/>
        </w:rPr>
        <w:t>每个储存的备用瓶应装有阀门，且已按规定充满气；</w:t>
      </w:r>
      <w:r>
        <w:rPr>
          <w:sz w:val="21"/>
        </w:rPr>
        <w:t> </w:t>
      </w:r>
    </w:p>
    <w:p>
      <w:pPr>
        <w:pStyle w:val="ListParagraph"/>
        <w:numPr>
          <w:ilvl w:val="0"/>
          <w:numId w:val="163"/>
        </w:numPr>
        <w:tabs>
          <w:tab w:pos="1156" w:val="left" w:leader="none"/>
        </w:tabs>
        <w:spacing w:line="446" w:lineRule="auto" w:before="0" w:after="0"/>
        <w:ind w:left="418" w:right="1505" w:firstLine="419"/>
        <w:jc w:val="left"/>
        <w:rPr>
          <w:sz w:val="21"/>
        </w:rPr>
      </w:pPr>
      <w:r>
        <w:rPr>
          <w:spacing w:val="-3"/>
          <w:sz w:val="21"/>
        </w:rPr>
        <w:t>储存筒、管的基座应设置有橡胶、塑料或类似装置以避免备用瓶的磨损，并防止备用瓶意外掉入储存位置时的损坏；</w:t>
      </w:r>
      <w:r>
        <w:rPr>
          <w:sz w:val="21"/>
        </w:rPr>
        <w:t> </w:t>
      </w:r>
    </w:p>
    <w:p>
      <w:pPr>
        <w:pStyle w:val="ListParagraph"/>
        <w:numPr>
          <w:ilvl w:val="0"/>
          <w:numId w:val="163"/>
        </w:numPr>
        <w:tabs>
          <w:tab w:pos="1156" w:val="left" w:leader="none"/>
        </w:tabs>
        <w:spacing w:line="267" w:lineRule="exact" w:before="0" w:after="0"/>
        <w:ind w:left="1155" w:right="0" w:hanging="318"/>
        <w:jc w:val="left"/>
        <w:rPr>
          <w:sz w:val="21"/>
        </w:rPr>
      </w:pPr>
      <w:r>
        <w:rPr>
          <w:spacing w:val="-3"/>
          <w:sz w:val="21"/>
        </w:rPr>
        <w:t>每个储存筒、管应有排水的设计；</w:t>
      </w:r>
      <w:r>
        <w:rPr>
          <w:sz w:val="21"/>
        </w:rPr>
        <w:t> </w:t>
      </w:r>
    </w:p>
    <w:p>
      <w:pPr>
        <w:pStyle w:val="BodyText"/>
        <w:spacing w:before="11"/>
        <w:rPr>
          <w:sz w:val="17"/>
        </w:rPr>
      </w:pPr>
    </w:p>
    <w:p>
      <w:pPr>
        <w:pStyle w:val="ListParagraph"/>
        <w:numPr>
          <w:ilvl w:val="0"/>
          <w:numId w:val="163"/>
        </w:numPr>
        <w:tabs>
          <w:tab w:pos="1156" w:val="left" w:leader="none"/>
        </w:tabs>
        <w:spacing w:line="446" w:lineRule="auto" w:before="0" w:after="0"/>
        <w:ind w:left="418" w:right="1609" w:firstLine="419"/>
        <w:jc w:val="left"/>
        <w:rPr>
          <w:sz w:val="21"/>
        </w:rPr>
      </w:pPr>
      <w:r>
        <w:rPr>
          <w:spacing w:val="-3"/>
          <w:sz w:val="21"/>
        </w:rPr>
        <w:t>储存筒、管总成应合理布局，并设计成能防止空气呼吸器备用瓶从储存筒、管中意外滑出，使其在运输过程中不产生移动，避免其与厢门的碰撞或摩擦；</w:t>
      </w:r>
      <w:r>
        <w:rPr>
          <w:sz w:val="21"/>
        </w:rPr>
        <w:t> </w:t>
      </w:r>
    </w:p>
    <w:p>
      <w:pPr>
        <w:pStyle w:val="ListParagraph"/>
        <w:numPr>
          <w:ilvl w:val="0"/>
          <w:numId w:val="163"/>
        </w:numPr>
        <w:tabs>
          <w:tab w:pos="1156" w:val="left" w:leader="none"/>
        </w:tabs>
        <w:spacing w:line="446" w:lineRule="auto" w:before="0" w:after="0"/>
        <w:ind w:left="418" w:right="1714" w:firstLine="419"/>
        <w:jc w:val="left"/>
        <w:rPr>
          <w:sz w:val="21"/>
        </w:rPr>
      </w:pPr>
      <w:r>
        <w:rPr>
          <w:spacing w:val="-3"/>
          <w:sz w:val="21"/>
        </w:rPr>
        <w:t>每个储存筒、管或储存区域的后壁应有用橡胶、塑料或类似物的设施避免备用瓶的磨损。</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1"/>
          <w:numId w:val="164"/>
        </w:numPr>
        <w:tabs>
          <w:tab w:pos="1264" w:val="left" w:leader="none"/>
        </w:tabs>
        <w:spacing w:line="240" w:lineRule="auto" w:before="47" w:after="0"/>
        <w:ind w:left="1263" w:right="0" w:hanging="424"/>
        <w:jc w:val="left"/>
        <w:rPr>
          <w:b/>
          <w:sz w:val="21"/>
        </w:rPr>
      </w:pPr>
      <w:r>
        <w:rPr>
          <w:spacing w:val="-3"/>
          <w:sz w:val="21"/>
        </w:rPr>
        <w:t>爬梯</w:t>
      </w:r>
      <w:r>
        <w:rPr>
          <w:b/>
          <w:w w:val="99"/>
          <w:sz w:val="21"/>
        </w:rPr>
        <w:t> </w:t>
      </w:r>
    </w:p>
    <w:p>
      <w:pPr>
        <w:pStyle w:val="BodyText"/>
        <w:rPr>
          <w:b/>
          <w:sz w:val="18"/>
        </w:rPr>
      </w:pPr>
    </w:p>
    <w:p>
      <w:pPr>
        <w:pStyle w:val="ListParagraph"/>
        <w:numPr>
          <w:ilvl w:val="2"/>
          <w:numId w:val="164"/>
        </w:numPr>
        <w:tabs>
          <w:tab w:pos="1478" w:val="left" w:leader="none"/>
        </w:tabs>
        <w:spacing w:line="446" w:lineRule="auto" w:before="0" w:after="0"/>
        <w:ind w:left="418" w:right="1603" w:firstLine="422"/>
        <w:jc w:val="left"/>
        <w:rPr>
          <w:sz w:val="21"/>
        </w:rPr>
      </w:pPr>
      <w:r>
        <w:rPr>
          <w:spacing w:val="-7"/>
          <w:sz w:val="21"/>
        </w:rPr>
        <w:t>消防车爬梯的梯磴间距不大于 </w:t>
      </w:r>
      <w:r>
        <w:rPr>
          <w:sz w:val="21"/>
        </w:rPr>
        <w:t>300</w:t>
      </w:r>
      <w:r>
        <w:rPr>
          <w:spacing w:val="7"/>
          <w:sz w:val="21"/>
        </w:rPr>
        <w:t> </w:t>
      </w:r>
      <w:r>
        <w:rPr>
          <w:sz w:val="21"/>
        </w:rPr>
        <w:t>mm</w:t>
      </w:r>
      <w:r>
        <w:rPr>
          <w:spacing w:val="-7"/>
          <w:sz w:val="21"/>
        </w:rPr>
        <w:t>，最低梯磴距地面不大于 </w:t>
      </w:r>
      <w:r>
        <w:rPr>
          <w:sz w:val="21"/>
        </w:rPr>
        <w:t>450</w:t>
      </w:r>
      <w:r>
        <w:rPr>
          <w:spacing w:val="7"/>
          <w:sz w:val="21"/>
        </w:rPr>
        <w:t> </w:t>
      </w:r>
      <w:r>
        <w:rPr>
          <w:sz w:val="21"/>
        </w:rPr>
        <w:t>mm</w:t>
      </w:r>
      <w:r>
        <w:rPr>
          <w:spacing w:val="-1"/>
          <w:sz w:val="21"/>
        </w:rPr>
        <w:t>，深度不小</w:t>
      </w:r>
      <w:r>
        <w:rPr>
          <w:spacing w:val="-27"/>
          <w:sz w:val="21"/>
        </w:rPr>
        <w:t>于 </w:t>
      </w:r>
      <w:r>
        <w:rPr>
          <w:sz w:val="21"/>
        </w:rPr>
        <w:t>150 mm</w:t>
      </w:r>
      <w:r>
        <w:rPr>
          <w:spacing w:val="-3"/>
          <w:sz w:val="21"/>
        </w:rPr>
        <w:t>。</w:t>
      </w:r>
      <w:r>
        <w:rPr>
          <w:sz w:val="21"/>
        </w:rPr>
        <w:t> </w:t>
      </w:r>
    </w:p>
    <w:p>
      <w:pPr>
        <w:pStyle w:val="ListParagraph"/>
        <w:numPr>
          <w:ilvl w:val="2"/>
          <w:numId w:val="164"/>
        </w:numPr>
        <w:tabs>
          <w:tab w:pos="1478" w:val="left" w:leader="none"/>
        </w:tabs>
        <w:spacing w:line="446" w:lineRule="auto" w:before="0" w:after="0"/>
        <w:ind w:left="418" w:right="1392" w:firstLine="422"/>
        <w:jc w:val="left"/>
        <w:rPr>
          <w:sz w:val="21"/>
        </w:rPr>
      </w:pPr>
      <w:r>
        <w:rPr>
          <w:spacing w:val="-6"/>
          <w:sz w:val="21"/>
        </w:rPr>
        <w:t>消防车爬梯最高梯磴距车顶不大于 </w:t>
      </w:r>
      <w:r>
        <w:rPr>
          <w:sz w:val="21"/>
        </w:rPr>
        <w:t>300</w:t>
      </w:r>
      <w:r>
        <w:rPr>
          <w:spacing w:val="20"/>
          <w:sz w:val="21"/>
        </w:rPr>
        <w:t> </w:t>
      </w:r>
      <w:r>
        <w:rPr>
          <w:sz w:val="21"/>
        </w:rPr>
        <w:t>mm</w:t>
      </w:r>
      <w:r>
        <w:rPr>
          <w:spacing w:val="-5"/>
          <w:sz w:val="21"/>
        </w:rPr>
        <w:t>，扶手顶端距车顶踏脚处高度不小于 </w:t>
      </w:r>
      <w:r>
        <w:rPr>
          <w:sz w:val="21"/>
        </w:rPr>
        <w:t>300 mm</w:t>
      </w:r>
      <w:r>
        <w:rPr>
          <w:spacing w:val="-3"/>
          <w:sz w:val="21"/>
        </w:rPr>
        <w:t>。</w:t>
      </w:r>
      <w:r>
        <w:rPr>
          <w:sz w:val="21"/>
        </w:rPr>
        <w:t> </w:t>
      </w:r>
    </w:p>
    <w:p>
      <w:pPr>
        <w:pStyle w:val="ListParagraph"/>
        <w:numPr>
          <w:ilvl w:val="2"/>
          <w:numId w:val="164"/>
        </w:numPr>
        <w:tabs>
          <w:tab w:pos="1478" w:val="left" w:leader="none"/>
        </w:tabs>
        <w:spacing w:line="446" w:lineRule="auto" w:before="0" w:after="0"/>
        <w:ind w:left="418" w:right="1447" w:firstLine="422"/>
        <w:jc w:val="left"/>
        <w:rPr>
          <w:sz w:val="21"/>
        </w:rPr>
      </w:pPr>
      <w:r>
        <w:rPr>
          <w:spacing w:val="-7"/>
          <w:sz w:val="21"/>
        </w:rPr>
        <w:t>消防车爬梯的梯磴宽度不小于 </w:t>
      </w:r>
      <w:r>
        <w:rPr>
          <w:sz w:val="21"/>
        </w:rPr>
        <w:t>250</w:t>
      </w:r>
      <w:r>
        <w:rPr>
          <w:spacing w:val="6"/>
          <w:sz w:val="21"/>
        </w:rPr>
        <w:t> </w:t>
      </w:r>
      <w:r>
        <w:rPr>
          <w:sz w:val="21"/>
        </w:rPr>
        <w:t>mm</w:t>
      </w:r>
      <w:r>
        <w:rPr>
          <w:spacing w:val="-13"/>
          <w:sz w:val="21"/>
        </w:rPr>
        <w:t>，梯磴在 </w:t>
      </w:r>
      <w:r>
        <w:rPr>
          <w:sz w:val="21"/>
        </w:rPr>
        <w:t>50mm</w:t>
      </w:r>
      <w:r>
        <w:rPr>
          <w:spacing w:val="-17"/>
          <w:sz w:val="21"/>
        </w:rPr>
        <w:t> 宽度上承受 </w:t>
      </w:r>
      <w:r>
        <w:rPr>
          <w:sz w:val="21"/>
        </w:rPr>
        <w:t>300</w:t>
      </w:r>
      <w:r>
        <w:rPr>
          <w:spacing w:val="3"/>
          <w:sz w:val="21"/>
        </w:rPr>
        <w:t> </w:t>
      </w:r>
      <w:r>
        <w:rPr>
          <w:sz w:val="21"/>
        </w:rPr>
        <w:t>kg</w:t>
      </w:r>
      <w:r>
        <w:rPr>
          <w:spacing w:val="-10"/>
          <w:sz w:val="21"/>
        </w:rPr>
        <w:t> 载荷不发生</w:t>
      </w:r>
      <w:r>
        <w:rPr>
          <w:spacing w:val="-8"/>
          <w:sz w:val="21"/>
        </w:rPr>
        <w:t>断裂。</w:t>
      </w:r>
      <w:r>
        <w:rPr>
          <w:sz w:val="21"/>
        </w:rPr>
        <w:t> </w:t>
      </w:r>
    </w:p>
    <w:p>
      <w:pPr>
        <w:pStyle w:val="ListParagraph"/>
        <w:numPr>
          <w:ilvl w:val="1"/>
          <w:numId w:val="164"/>
        </w:numPr>
        <w:tabs>
          <w:tab w:pos="1264" w:val="left" w:leader="none"/>
        </w:tabs>
        <w:spacing w:line="240" w:lineRule="auto" w:before="0" w:after="0"/>
        <w:ind w:left="1263" w:right="0" w:hanging="424"/>
        <w:jc w:val="left"/>
        <w:rPr>
          <w:b/>
          <w:sz w:val="21"/>
        </w:rPr>
      </w:pPr>
      <w:r>
        <w:rPr>
          <w:spacing w:val="-3"/>
          <w:sz w:val="21"/>
        </w:rPr>
        <w:t>制动垫块</w:t>
      </w:r>
      <w:r>
        <w:rPr>
          <w:b/>
          <w:w w:val="99"/>
          <w:sz w:val="21"/>
        </w:rPr>
        <w:t> </w:t>
      </w:r>
    </w:p>
    <w:p>
      <w:pPr>
        <w:pStyle w:val="BodyText"/>
        <w:spacing w:before="10"/>
        <w:rPr>
          <w:b/>
          <w:sz w:val="17"/>
        </w:rPr>
      </w:pPr>
    </w:p>
    <w:p>
      <w:pPr>
        <w:pStyle w:val="BodyText"/>
        <w:spacing w:line="446" w:lineRule="auto"/>
        <w:ind w:left="418" w:right="1391" w:firstLine="419"/>
      </w:pPr>
      <w:r>
        <w:rPr/>
        <w:t>消防车应至少配备两个车轮制动块。消防车满载状态停留在 20%的坡道上，变速器置于空挡位置，当制动块放好并松开驻车制动时，车辆不应移动。 </w:t>
      </w:r>
    </w:p>
    <w:p>
      <w:pPr>
        <w:pStyle w:val="ListParagraph"/>
        <w:numPr>
          <w:ilvl w:val="1"/>
          <w:numId w:val="164"/>
        </w:numPr>
        <w:tabs>
          <w:tab w:pos="1266" w:val="left" w:leader="none"/>
        </w:tabs>
        <w:spacing w:line="240" w:lineRule="auto" w:before="0" w:after="0"/>
        <w:ind w:left="1265" w:right="0" w:hanging="426"/>
        <w:jc w:val="left"/>
        <w:rPr>
          <w:b/>
          <w:sz w:val="21"/>
        </w:rPr>
      </w:pPr>
      <w:r>
        <w:rPr>
          <w:spacing w:val="-3"/>
          <w:sz w:val="21"/>
        </w:rPr>
        <w:t>附加储气瓶</w:t>
      </w:r>
      <w:r>
        <w:rPr>
          <w:b/>
          <w:w w:val="99"/>
          <w:sz w:val="21"/>
        </w:rPr>
        <w:t> </w:t>
      </w:r>
    </w:p>
    <w:p>
      <w:pPr>
        <w:pStyle w:val="BodyText"/>
        <w:rPr>
          <w:b/>
          <w:sz w:val="18"/>
        </w:rPr>
      </w:pPr>
    </w:p>
    <w:p>
      <w:pPr>
        <w:pStyle w:val="BodyText"/>
        <w:spacing w:line="446" w:lineRule="auto"/>
        <w:ind w:left="418" w:right="1608" w:firstLine="419"/>
        <w:jc w:val="both"/>
      </w:pPr>
      <w:r>
        <w:rPr/>
        <w:t>消防车装有附加的储气瓶并使用底盘空气压缩机进行充气时，附加储气瓶应安装防止制动储气瓶内压缩空气向附加储气瓶流动的单向阀。当制动储气瓶内压力降至设定数值后空气压缩机应立即停止向附加储气瓶充气并向制动储气瓶充气。 </w:t>
      </w:r>
    </w:p>
    <w:p>
      <w:pPr>
        <w:pStyle w:val="ListParagraph"/>
        <w:numPr>
          <w:ilvl w:val="1"/>
          <w:numId w:val="164"/>
        </w:numPr>
        <w:tabs>
          <w:tab w:pos="1264" w:val="left" w:leader="none"/>
        </w:tabs>
        <w:spacing w:line="268" w:lineRule="exact" w:before="0" w:after="0"/>
        <w:ind w:left="1263" w:right="0" w:hanging="424"/>
        <w:jc w:val="left"/>
        <w:rPr>
          <w:b/>
          <w:sz w:val="21"/>
        </w:rPr>
      </w:pPr>
      <w:r>
        <w:rPr>
          <w:spacing w:val="-3"/>
          <w:sz w:val="21"/>
        </w:rPr>
        <w:t>随车文件</w:t>
      </w:r>
      <w:r>
        <w:rPr>
          <w:b/>
          <w:w w:val="99"/>
          <w:sz w:val="21"/>
        </w:rPr>
        <w:t> </w:t>
      </w:r>
    </w:p>
    <w:p>
      <w:pPr>
        <w:pStyle w:val="BodyText"/>
        <w:spacing w:before="2"/>
        <w:rPr>
          <w:b/>
          <w:sz w:val="18"/>
        </w:rPr>
      </w:pPr>
    </w:p>
    <w:p>
      <w:pPr>
        <w:pStyle w:val="BodyText"/>
        <w:spacing w:line="446" w:lineRule="auto"/>
        <w:ind w:left="418" w:right="1817" w:firstLine="419"/>
      </w:pPr>
      <w:r>
        <w:rPr/>
        <w:t>消防车随车文件应至少包括消防车底盘、整车和消防主要总成的合格证及中文使用说明书。 </w:t>
      </w:r>
    </w:p>
    <w:p>
      <w:pPr>
        <w:pStyle w:val="ListParagraph"/>
        <w:numPr>
          <w:ilvl w:val="1"/>
          <w:numId w:val="164"/>
        </w:numPr>
        <w:tabs>
          <w:tab w:pos="1264" w:val="left" w:leader="none"/>
        </w:tabs>
        <w:spacing w:line="267" w:lineRule="exact" w:before="0" w:after="0"/>
        <w:ind w:left="1263" w:right="0" w:hanging="424"/>
        <w:jc w:val="left"/>
        <w:rPr>
          <w:b/>
          <w:sz w:val="21"/>
        </w:rPr>
      </w:pPr>
      <w:r>
        <w:rPr>
          <w:spacing w:val="-3"/>
          <w:sz w:val="21"/>
        </w:rPr>
        <w:t>外观质量</w:t>
      </w:r>
      <w:r>
        <w:rPr>
          <w:b/>
          <w:w w:val="99"/>
          <w:sz w:val="21"/>
        </w:rPr>
        <w:t> </w:t>
      </w:r>
    </w:p>
    <w:p>
      <w:pPr>
        <w:pStyle w:val="BodyText"/>
        <w:spacing w:before="1"/>
        <w:rPr>
          <w:b/>
          <w:sz w:val="18"/>
        </w:rPr>
      </w:pPr>
    </w:p>
    <w:p>
      <w:pPr>
        <w:pStyle w:val="ListParagraph"/>
        <w:numPr>
          <w:ilvl w:val="2"/>
          <w:numId w:val="164"/>
        </w:numPr>
        <w:tabs>
          <w:tab w:pos="1478" w:val="left" w:leader="none"/>
        </w:tabs>
        <w:spacing w:line="446" w:lineRule="auto" w:before="1" w:after="0"/>
        <w:ind w:left="418" w:right="1450" w:firstLine="422"/>
        <w:jc w:val="left"/>
        <w:rPr>
          <w:sz w:val="21"/>
        </w:rPr>
      </w:pPr>
      <w:r>
        <w:rPr>
          <w:spacing w:val="-8"/>
          <w:sz w:val="21"/>
        </w:rPr>
        <w:t>消防车的外表应喷涂 </w:t>
      </w:r>
      <w:r>
        <w:rPr>
          <w:sz w:val="21"/>
        </w:rPr>
        <w:t>R03</w:t>
      </w:r>
      <w:r>
        <w:rPr>
          <w:spacing w:val="-8"/>
          <w:sz w:val="21"/>
        </w:rPr>
        <w:t> 大红色。油漆层的外观应光滑、平整、色泽均匀，不应有</w:t>
      </w:r>
      <w:r>
        <w:rPr>
          <w:spacing w:val="-7"/>
          <w:sz w:val="21"/>
        </w:rPr>
        <w:t>缺漆等缺陷，车身两侧及后平面的平面度和面轮廓度在 </w:t>
      </w:r>
      <w:r>
        <w:rPr>
          <w:sz w:val="21"/>
        </w:rPr>
        <w:t>1000mm×1000</w:t>
      </w:r>
      <w:r>
        <w:rPr>
          <w:spacing w:val="11"/>
          <w:sz w:val="21"/>
        </w:rPr>
        <w:t> </w:t>
      </w:r>
      <w:r>
        <w:rPr>
          <w:sz w:val="21"/>
        </w:rPr>
        <w:t>mm</w:t>
      </w:r>
      <w:r>
        <w:rPr>
          <w:spacing w:val="-13"/>
          <w:sz w:val="21"/>
        </w:rPr>
        <w:t> 的范围内不大于 </w:t>
      </w:r>
      <w:r>
        <w:rPr>
          <w:sz w:val="21"/>
        </w:rPr>
        <w:t>3mm。</w:t>
      </w:r>
      <w:r>
        <w:rPr>
          <w:spacing w:val="-3"/>
          <w:sz w:val="21"/>
        </w:rPr>
        <w:t>涂漆零件相互之间不应有显著的色差和光泽差。装饰表面不应有麻坑、斑点、杂色、裂痕、气 泡及明显的划伤、流痕等缺陷；非装饰表面不应有露底和明显的划伤及毛刺等缺陷。</w:t>
      </w:r>
      <w:r>
        <w:rPr>
          <w:sz w:val="21"/>
        </w:rPr>
        <w:t> </w:t>
      </w:r>
    </w:p>
    <w:p>
      <w:pPr>
        <w:pStyle w:val="ListParagraph"/>
        <w:numPr>
          <w:ilvl w:val="2"/>
          <w:numId w:val="164"/>
        </w:numPr>
        <w:tabs>
          <w:tab w:pos="1478" w:val="left" w:leader="none"/>
        </w:tabs>
        <w:spacing w:line="446" w:lineRule="auto" w:before="0" w:after="0"/>
        <w:ind w:left="418" w:right="1496" w:firstLine="422"/>
        <w:jc w:val="left"/>
        <w:rPr>
          <w:sz w:val="21"/>
        </w:rPr>
      </w:pPr>
      <w:r>
        <w:rPr>
          <w:spacing w:val="-3"/>
          <w:sz w:val="21"/>
        </w:rPr>
        <w:t>消防车的电镀层及化学处理层表面色泽应均匀，不应有烧黑、鼓泡、剥落、锈蚀、露底、明显的划伤及毛刺等缺陷。</w:t>
      </w:r>
      <w:r>
        <w:rPr>
          <w:sz w:val="21"/>
        </w:rPr>
        <w:t> </w:t>
      </w:r>
    </w:p>
    <w:p>
      <w:pPr>
        <w:pStyle w:val="ListParagraph"/>
        <w:numPr>
          <w:ilvl w:val="2"/>
          <w:numId w:val="164"/>
        </w:numPr>
        <w:tabs>
          <w:tab w:pos="1478" w:val="left" w:leader="none"/>
        </w:tabs>
        <w:spacing w:line="446" w:lineRule="auto" w:before="0" w:after="0"/>
        <w:ind w:left="418" w:right="1498" w:firstLine="422"/>
        <w:jc w:val="left"/>
        <w:rPr>
          <w:sz w:val="21"/>
        </w:rPr>
      </w:pPr>
      <w:r>
        <w:rPr>
          <w:spacing w:val="-3"/>
          <w:sz w:val="21"/>
        </w:rPr>
        <w:t>消防车的焊接件焊点、焊缝外观应平整、均匀，无明显的堆积及飞溅物，不应有漏焊、焊瘤、夹渣、裂纹、气孔、咬边、烧穿、凹坑、未焊满、塌焊等缺陷。</w:t>
      </w:r>
      <w:r>
        <w:rPr>
          <w:sz w:val="21"/>
        </w:rPr>
        <w:t> </w:t>
      </w:r>
    </w:p>
    <w:p>
      <w:pPr>
        <w:pStyle w:val="ListParagraph"/>
        <w:numPr>
          <w:ilvl w:val="2"/>
          <w:numId w:val="164"/>
        </w:numPr>
        <w:tabs>
          <w:tab w:pos="1478" w:val="left" w:leader="none"/>
        </w:tabs>
        <w:spacing w:line="267" w:lineRule="exact" w:before="0" w:after="0"/>
        <w:ind w:left="1477" w:right="0" w:hanging="638"/>
        <w:jc w:val="left"/>
        <w:rPr>
          <w:sz w:val="21"/>
        </w:rPr>
      </w:pPr>
      <w:r>
        <w:rPr>
          <w:spacing w:val="-3"/>
          <w:sz w:val="21"/>
        </w:rPr>
        <w:t>消防车的塑料件表面色泽应均匀，不应有明显的划伤、飞边、裂纹及凸凹等缺陷。</w:t>
      </w:r>
      <w:r>
        <w:rPr>
          <w:sz w:val="21"/>
        </w:rPr>
        <w:t> </w:t>
      </w:r>
    </w:p>
    <w:p>
      <w:pPr>
        <w:pStyle w:val="BodyText"/>
        <w:spacing w:before="12"/>
        <w:rPr>
          <w:sz w:val="17"/>
        </w:rPr>
      </w:pPr>
    </w:p>
    <w:p>
      <w:pPr>
        <w:pStyle w:val="ListParagraph"/>
        <w:numPr>
          <w:ilvl w:val="1"/>
          <w:numId w:val="164"/>
        </w:numPr>
        <w:tabs>
          <w:tab w:pos="1264" w:val="left" w:leader="none"/>
        </w:tabs>
        <w:spacing w:line="240" w:lineRule="auto" w:before="0" w:after="0"/>
        <w:ind w:left="1263" w:right="0" w:hanging="424"/>
        <w:jc w:val="left"/>
        <w:rPr>
          <w:b/>
          <w:sz w:val="21"/>
        </w:rPr>
      </w:pPr>
      <w:r>
        <w:rPr>
          <w:spacing w:val="-3"/>
          <w:sz w:val="21"/>
        </w:rPr>
        <w:t>装备多种消防专用装置的消防车</w:t>
      </w:r>
      <w:r>
        <w:rPr>
          <w:b/>
          <w:w w:val="99"/>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t>消防车如装备了多种消防专用装置，各装置应符合消防车系列标准中各部分的相关技术要求，并应以其主要功能定义消防车型号。 </w:t>
      </w:r>
    </w:p>
    <w:p>
      <w:pPr>
        <w:pStyle w:val="BodyText"/>
        <w:spacing w:before="9"/>
        <w:rPr>
          <w:sz w:val="17"/>
        </w:rPr>
      </w:pPr>
    </w:p>
    <w:p>
      <w:pPr>
        <w:pStyle w:val="Heading4"/>
        <w:spacing w:before="1"/>
      </w:pPr>
      <w:r>
        <w:rPr/>
        <w:t>6 试验方法</w:t>
      </w:r>
      <w:r>
        <w:rPr>
          <w:w w:val="99"/>
        </w:rPr>
        <w:t> </w:t>
      </w:r>
    </w:p>
    <w:p>
      <w:pPr>
        <w:pStyle w:val="BodyText"/>
        <w:rPr>
          <w:b/>
          <w:sz w:val="24"/>
        </w:rPr>
      </w:pPr>
    </w:p>
    <w:p>
      <w:pPr>
        <w:pStyle w:val="ListParagraph"/>
        <w:numPr>
          <w:ilvl w:val="1"/>
          <w:numId w:val="165"/>
        </w:numPr>
        <w:tabs>
          <w:tab w:pos="1159" w:val="left" w:leader="none"/>
        </w:tabs>
        <w:spacing w:line="240" w:lineRule="auto" w:before="175" w:after="0"/>
        <w:ind w:left="1158" w:right="0" w:hanging="319"/>
        <w:jc w:val="left"/>
        <w:rPr>
          <w:b/>
          <w:sz w:val="21"/>
        </w:rPr>
      </w:pPr>
      <w:r>
        <w:rPr>
          <w:spacing w:val="-3"/>
          <w:sz w:val="21"/>
        </w:rPr>
        <w:t>整车性能试验</w:t>
      </w:r>
      <w:r>
        <w:rPr>
          <w:b/>
          <w:w w:val="99"/>
          <w:sz w:val="21"/>
        </w:rPr>
        <w:t> </w:t>
      </w:r>
    </w:p>
    <w:p>
      <w:pPr>
        <w:pStyle w:val="BodyText"/>
        <w:spacing w:before="2"/>
        <w:rPr>
          <w:b/>
          <w:sz w:val="18"/>
        </w:rPr>
      </w:pPr>
    </w:p>
    <w:p>
      <w:pPr>
        <w:pStyle w:val="ListParagraph"/>
        <w:numPr>
          <w:ilvl w:val="2"/>
          <w:numId w:val="165"/>
        </w:numPr>
        <w:tabs>
          <w:tab w:pos="1370" w:val="left" w:leader="none"/>
        </w:tabs>
        <w:spacing w:line="240" w:lineRule="auto" w:before="0" w:after="0"/>
        <w:ind w:left="1369" w:right="0" w:hanging="530"/>
        <w:jc w:val="left"/>
        <w:rPr>
          <w:sz w:val="21"/>
        </w:rPr>
      </w:pPr>
      <w:r>
        <w:rPr>
          <w:spacing w:val="-3"/>
          <w:sz w:val="21"/>
        </w:rPr>
        <w:t>可靠性行驶试验</w:t>
      </w:r>
      <w:r>
        <w:rPr>
          <w:sz w:val="21"/>
        </w:rPr>
        <w:t> </w:t>
      </w:r>
    </w:p>
    <w:p>
      <w:pPr>
        <w:pStyle w:val="BodyText"/>
        <w:rPr>
          <w:sz w:val="18"/>
        </w:rPr>
      </w:pPr>
    </w:p>
    <w:p>
      <w:pPr>
        <w:pStyle w:val="BodyText"/>
        <w:spacing w:line="446" w:lineRule="auto"/>
        <w:ind w:left="418" w:right="1450" w:firstLine="419"/>
      </w:pPr>
      <w:r>
        <w:rPr/>
        <w:t>5000km</w:t>
      </w:r>
      <w:r>
        <w:rPr>
          <w:spacing w:val="-8"/>
        </w:rPr>
        <w:t> 可靠性行驶试验时消防车应满载，凹凸不平坏路和山路行驶应在国家汽车主管部门</w:t>
      </w:r>
      <w:r>
        <w:rPr>
          <w:spacing w:val="-7"/>
        </w:rPr>
        <w:t>认可的汽车试验场进行。高速路的平均行驶速度不小于 </w:t>
      </w:r>
      <w:r>
        <w:rPr/>
        <w:t>80</w:t>
      </w:r>
      <w:r>
        <w:rPr>
          <w:spacing w:val="24"/>
        </w:rPr>
        <w:t> </w:t>
      </w:r>
      <w:r>
        <w:rPr/>
        <w:t>km/h</w:t>
      </w:r>
      <w:r>
        <w:rPr>
          <w:spacing w:val="-3"/>
        </w:rPr>
        <w:t>，铺装路面的平均行驶速度不小</w:t>
      </w:r>
      <w:r>
        <w:rPr>
          <w:spacing w:val="-23"/>
        </w:rPr>
        <w:t>于 </w:t>
      </w:r>
      <w:r>
        <w:rPr/>
        <w:t>50</w:t>
      </w:r>
      <w:r>
        <w:rPr>
          <w:spacing w:val="11"/>
        </w:rPr>
        <w:t> </w:t>
      </w:r>
      <w:r>
        <w:rPr/>
        <w:t>km/h</w:t>
      </w:r>
      <w:r>
        <w:rPr>
          <w:spacing w:val="-6"/>
        </w:rPr>
        <w:t>，凹凸不平坏路的平均行驶速度不小于 </w:t>
      </w:r>
      <w:r>
        <w:rPr/>
        <w:t>30</w:t>
      </w:r>
      <w:r>
        <w:rPr>
          <w:spacing w:val="14"/>
        </w:rPr>
        <w:t> </w:t>
      </w:r>
      <w:r>
        <w:rPr/>
        <w:t>km/h</w:t>
      </w:r>
      <w:r>
        <w:rPr>
          <w:spacing w:val="-6"/>
        </w:rPr>
        <w:t>，山路的平均行驶速度不小于 </w:t>
      </w:r>
      <w:r>
        <w:rPr/>
        <w:t>20 km/h</w:t>
      </w:r>
      <w:r>
        <w:rPr>
          <w:spacing w:val="-5"/>
        </w:rPr>
        <w:t>。各种路面应有不少于此路面行驶里程 </w:t>
      </w:r>
      <w:r>
        <w:rPr/>
        <w:t>20</w:t>
      </w:r>
      <w:r>
        <w:rPr>
          <w:spacing w:val="-3"/>
        </w:rPr>
        <w:t>%的夜间行驶试验，在汽车试验场试验时应打开警灯和频闪灯。可靠性行驶试验里程不包括磨合行驶里程和其他试验的行驶里程。试验中若发生 危及安全、影响主要维能、出现试验现场不能修复的故障或消防设施故障频发（</w:t>
      </w:r>
      <w:r>
        <w:rPr>
          <w:spacing w:val="-24"/>
        </w:rPr>
        <w:t>每 </w:t>
      </w:r>
      <w:r>
        <w:rPr/>
        <w:t>1000</w:t>
      </w:r>
      <w:r>
        <w:rPr>
          <w:spacing w:val="13"/>
        </w:rPr>
        <w:t> </w:t>
      </w:r>
      <w:r>
        <w:rPr/>
        <w:t>km</w:t>
      </w:r>
      <w:r>
        <w:rPr>
          <w:spacing w:val="-25"/>
        </w:rPr>
        <w:t> 故</w:t>
      </w:r>
      <w:r>
        <w:rPr>
          <w:spacing w:val="-20"/>
        </w:rPr>
        <w:t>障数大于 </w:t>
      </w:r>
      <w:r>
        <w:rPr/>
        <w:t>2</w:t>
      </w:r>
      <w:r>
        <w:rPr>
          <w:spacing w:val="-24"/>
        </w:rPr>
        <w:t> 次</w:t>
      </w:r>
      <w:r>
        <w:rPr>
          <w:spacing w:val="-3"/>
        </w:rPr>
        <w:t>）等情况应终止试验，找出故障原因并改正后重新试验。可靠性行驶试验应记录各路面的试验里程、各路面白天、夜间试验时间和试验期间的故障情况及排除方法，判断试验 </w:t>
      </w:r>
      <w:r>
        <w:rPr>
          <w:spacing w:val="-11"/>
        </w:rPr>
        <w:t>结果是否符合 </w:t>
      </w:r>
      <w:r>
        <w:rPr/>
        <w:t>5.1.1</w:t>
      </w:r>
      <w:r>
        <w:rPr>
          <w:spacing w:val="-12"/>
        </w:rPr>
        <w:t> 的规定。 </w:t>
      </w:r>
    </w:p>
    <w:p>
      <w:pPr>
        <w:pStyle w:val="ListParagraph"/>
        <w:numPr>
          <w:ilvl w:val="2"/>
          <w:numId w:val="165"/>
        </w:numPr>
        <w:tabs>
          <w:tab w:pos="1370" w:val="left" w:leader="none"/>
        </w:tabs>
        <w:spacing w:line="266" w:lineRule="exact" w:before="0" w:after="0"/>
        <w:ind w:left="1369" w:right="0" w:hanging="530"/>
        <w:jc w:val="left"/>
        <w:rPr>
          <w:sz w:val="21"/>
        </w:rPr>
      </w:pPr>
      <w:r>
        <w:rPr>
          <w:spacing w:val="-3"/>
          <w:sz w:val="21"/>
        </w:rPr>
        <w:t>动力性能</w:t>
      </w:r>
      <w:r>
        <w:rPr>
          <w:sz w:val="21"/>
        </w:rPr>
        <w:t> </w:t>
      </w:r>
    </w:p>
    <w:p>
      <w:pPr>
        <w:pStyle w:val="BodyText"/>
        <w:spacing w:before="12"/>
        <w:rPr>
          <w:sz w:val="17"/>
        </w:rPr>
      </w:pPr>
    </w:p>
    <w:p>
      <w:pPr>
        <w:pStyle w:val="ListParagraph"/>
        <w:numPr>
          <w:ilvl w:val="3"/>
          <w:numId w:val="165"/>
        </w:numPr>
        <w:tabs>
          <w:tab w:pos="1576" w:val="left" w:leader="none"/>
        </w:tabs>
        <w:spacing w:line="240" w:lineRule="auto" w:before="0" w:after="0"/>
        <w:ind w:left="1575" w:right="0" w:hanging="738"/>
        <w:jc w:val="left"/>
        <w:rPr>
          <w:sz w:val="21"/>
        </w:rPr>
      </w:pPr>
      <w:r>
        <w:rPr>
          <w:spacing w:val="-5"/>
          <w:sz w:val="21"/>
        </w:rPr>
        <w:t>将发动机净功率除以车辆满载总质量，判断试验结果是否符合 </w:t>
      </w:r>
      <w:r>
        <w:rPr>
          <w:sz w:val="21"/>
        </w:rPr>
        <w:t>5.1.2.1</w:t>
      </w:r>
      <w:r>
        <w:rPr>
          <w:spacing w:val="-13"/>
          <w:sz w:val="21"/>
        </w:rPr>
        <w:t> 的规定。</w:t>
      </w:r>
      <w:r>
        <w:rPr>
          <w:sz w:val="21"/>
        </w:rPr>
        <w:t> </w:t>
      </w:r>
    </w:p>
    <w:p>
      <w:pPr>
        <w:pStyle w:val="BodyText"/>
        <w:spacing w:before="2"/>
        <w:rPr>
          <w:sz w:val="18"/>
        </w:rPr>
      </w:pPr>
    </w:p>
    <w:p>
      <w:pPr>
        <w:pStyle w:val="ListParagraph"/>
        <w:numPr>
          <w:ilvl w:val="3"/>
          <w:numId w:val="165"/>
        </w:numPr>
        <w:tabs>
          <w:tab w:pos="1576" w:val="left" w:leader="none"/>
        </w:tabs>
        <w:spacing w:line="446" w:lineRule="auto" w:before="0" w:after="0"/>
        <w:ind w:left="418" w:right="1505" w:firstLine="419"/>
        <w:jc w:val="left"/>
        <w:rPr>
          <w:sz w:val="21"/>
        </w:rPr>
      </w:pPr>
      <w:r>
        <w:rPr>
          <w:spacing w:val="-8"/>
          <w:sz w:val="21"/>
        </w:rPr>
        <w:t>消防车最高车速和 </w:t>
      </w:r>
      <w:r>
        <w:rPr>
          <w:sz w:val="21"/>
        </w:rPr>
        <w:t>0～60</w:t>
      </w:r>
      <w:r>
        <w:rPr>
          <w:spacing w:val="12"/>
          <w:sz w:val="21"/>
        </w:rPr>
        <w:t> </w:t>
      </w:r>
      <w:r>
        <w:rPr>
          <w:sz w:val="21"/>
        </w:rPr>
        <w:t>km/h</w:t>
      </w:r>
      <w:r>
        <w:rPr>
          <w:spacing w:val="-9"/>
          <w:sz w:val="21"/>
        </w:rPr>
        <w:t> 加速时间试验应在国家汽车主管部门认可的汽车试</w:t>
      </w:r>
      <w:r>
        <w:rPr>
          <w:spacing w:val="-7"/>
          <w:sz w:val="21"/>
        </w:rPr>
        <w:t>验场进行，试验的道路、气象条件和试验车辆准备应符合 </w:t>
      </w:r>
      <w:r>
        <w:rPr>
          <w:sz w:val="21"/>
        </w:rPr>
        <w:t>GB/T</w:t>
      </w:r>
      <w:r>
        <w:rPr>
          <w:spacing w:val="20"/>
          <w:sz w:val="21"/>
        </w:rPr>
        <w:t> </w:t>
      </w:r>
      <w:r>
        <w:rPr>
          <w:sz w:val="21"/>
        </w:rPr>
        <w:t>12534</w:t>
      </w:r>
      <w:r>
        <w:rPr>
          <w:spacing w:val="-8"/>
          <w:sz w:val="21"/>
        </w:rPr>
        <w:t> 的要求。试验时消防车应</w:t>
      </w:r>
      <w:r>
        <w:rPr>
          <w:spacing w:val="-5"/>
          <w:sz w:val="21"/>
        </w:rPr>
        <w:t>满载，燃油箱加满燃油，驾驶员和试验员外，其他乘员应使用重物按 </w:t>
      </w:r>
      <w:r>
        <w:rPr>
          <w:sz w:val="21"/>
        </w:rPr>
        <w:t>75</w:t>
      </w:r>
      <w:r>
        <w:rPr>
          <w:spacing w:val="19"/>
          <w:sz w:val="21"/>
        </w:rPr>
        <w:t> </w:t>
      </w:r>
      <w:r>
        <w:rPr>
          <w:sz w:val="21"/>
        </w:rPr>
        <w:t>kg/</w:t>
      </w:r>
      <w:r>
        <w:rPr>
          <w:spacing w:val="-3"/>
          <w:sz w:val="21"/>
        </w:rPr>
        <w:t>人加载。最高车速试验应使用速度测量仪，试验前应检查消防车轮胎气压、制动系统和转向系统是否正常，试验</w:t>
      </w:r>
      <w:r>
        <w:rPr>
          <w:spacing w:val="-1"/>
          <w:sz w:val="21"/>
        </w:rPr>
        <w:t>时应关闭车窗，打开警灯、警报器。达到最高车速应保持 </w:t>
      </w:r>
      <w:r>
        <w:rPr>
          <w:sz w:val="21"/>
        </w:rPr>
        <w:t>5s</w:t>
      </w:r>
      <w:r>
        <w:rPr>
          <w:spacing w:val="-3"/>
          <w:sz w:val="21"/>
        </w:rPr>
        <w:t>，试验应往、返各进行一次，取</w:t>
      </w:r>
      <w:r>
        <w:rPr>
          <w:spacing w:val="-5"/>
          <w:sz w:val="21"/>
        </w:rPr>
        <w:t>往、返试验的平均值为最高车速。起步换挡加速时间试验应按 </w:t>
      </w:r>
      <w:r>
        <w:rPr>
          <w:sz w:val="21"/>
        </w:rPr>
        <w:t>GB/T</w:t>
      </w:r>
      <w:r>
        <w:rPr>
          <w:spacing w:val="21"/>
          <w:sz w:val="21"/>
        </w:rPr>
        <w:t> </w:t>
      </w:r>
      <w:r>
        <w:rPr>
          <w:sz w:val="21"/>
        </w:rPr>
        <w:t>12543</w:t>
      </w:r>
      <w:r>
        <w:rPr>
          <w:spacing w:val="-8"/>
          <w:sz w:val="21"/>
        </w:rPr>
        <w:t> 进行，判断试验结果</w:t>
      </w:r>
      <w:r>
        <w:rPr>
          <w:spacing w:val="-16"/>
          <w:sz w:val="21"/>
        </w:rPr>
        <w:t>是否符合 </w:t>
      </w:r>
      <w:r>
        <w:rPr>
          <w:sz w:val="21"/>
        </w:rPr>
        <w:t>5.1.2.2</w:t>
      </w:r>
      <w:r>
        <w:rPr>
          <w:spacing w:val="-12"/>
          <w:sz w:val="21"/>
        </w:rPr>
        <w:t> 的规定。 </w:t>
      </w:r>
    </w:p>
    <w:p>
      <w:pPr>
        <w:pStyle w:val="ListParagraph"/>
        <w:numPr>
          <w:ilvl w:val="3"/>
          <w:numId w:val="165"/>
        </w:numPr>
        <w:tabs>
          <w:tab w:pos="1576" w:val="left" w:leader="none"/>
        </w:tabs>
        <w:spacing w:line="446" w:lineRule="auto" w:before="0" w:after="0"/>
        <w:ind w:left="418" w:right="1510" w:firstLine="419"/>
        <w:jc w:val="left"/>
        <w:rPr>
          <w:sz w:val="21"/>
        </w:rPr>
      </w:pPr>
      <w:r>
        <w:rPr>
          <w:spacing w:val="-7"/>
          <w:sz w:val="21"/>
        </w:rPr>
        <w:t>消防车最大爬坡度试验按 </w:t>
      </w:r>
      <w:r>
        <w:rPr>
          <w:sz w:val="21"/>
        </w:rPr>
        <w:t>GB/T</w:t>
      </w:r>
      <w:r>
        <w:rPr>
          <w:spacing w:val="5"/>
          <w:sz w:val="21"/>
        </w:rPr>
        <w:t> </w:t>
      </w:r>
      <w:r>
        <w:rPr>
          <w:sz w:val="21"/>
        </w:rPr>
        <w:t>12539</w:t>
      </w:r>
      <w:r>
        <w:rPr>
          <w:spacing w:val="-12"/>
          <w:sz w:val="21"/>
        </w:rPr>
        <w:t> 进行，判断试验结果是否符合 </w:t>
      </w:r>
      <w:r>
        <w:rPr>
          <w:sz w:val="21"/>
        </w:rPr>
        <w:t>5.1.2.3</w:t>
      </w:r>
      <w:r>
        <w:rPr>
          <w:spacing w:val="-19"/>
          <w:sz w:val="21"/>
        </w:rPr>
        <w:t> 的规</w:t>
      </w:r>
      <w:r>
        <w:rPr>
          <w:spacing w:val="-2"/>
          <w:sz w:val="21"/>
        </w:rPr>
        <w:t>定。</w:t>
      </w:r>
      <w:r>
        <w:rPr>
          <w:sz w:val="21"/>
        </w:rPr>
        <w:t> </w:t>
      </w:r>
    </w:p>
    <w:p>
      <w:pPr>
        <w:pStyle w:val="ListParagraph"/>
        <w:numPr>
          <w:ilvl w:val="2"/>
          <w:numId w:val="165"/>
        </w:numPr>
        <w:tabs>
          <w:tab w:pos="1370" w:val="left" w:leader="none"/>
        </w:tabs>
        <w:spacing w:line="240" w:lineRule="auto" w:before="0" w:after="0"/>
        <w:ind w:left="1369" w:right="0" w:hanging="530"/>
        <w:jc w:val="left"/>
        <w:rPr>
          <w:sz w:val="21"/>
        </w:rPr>
      </w:pPr>
      <w:r>
        <w:rPr>
          <w:spacing w:val="-3"/>
          <w:sz w:val="21"/>
        </w:rPr>
        <w:t>通过性</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3"/>
          <w:numId w:val="165"/>
        </w:numPr>
        <w:tabs>
          <w:tab w:pos="1576" w:val="left" w:leader="none"/>
        </w:tabs>
        <w:spacing w:line="446" w:lineRule="auto" w:before="47" w:after="0"/>
        <w:ind w:left="418" w:right="1611" w:firstLine="419"/>
        <w:jc w:val="left"/>
        <w:rPr>
          <w:sz w:val="21"/>
        </w:rPr>
      </w:pPr>
      <w:r>
        <w:rPr>
          <w:spacing w:val="-7"/>
          <w:sz w:val="21"/>
        </w:rPr>
        <w:t>消防车的通道圆、外摆值按 </w:t>
      </w:r>
      <w:r>
        <w:rPr>
          <w:sz w:val="21"/>
        </w:rPr>
        <w:t>GB</w:t>
      </w:r>
      <w:r>
        <w:rPr>
          <w:spacing w:val="6"/>
          <w:sz w:val="21"/>
        </w:rPr>
        <w:t> </w:t>
      </w:r>
      <w:r>
        <w:rPr>
          <w:sz w:val="21"/>
        </w:rPr>
        <w:t>1589—2004 附录A</w:t>
      </w:r>
      <w:r>
        <w:rPr>
          <w:spacing w:val="-9"/>
          <w:sz w:val="21"/>
        </w:rPr>
        <w:t> 进行试验，判断试验结果是否</w:t>
      </w:r>
      <w:r>
        <w:rPr>
          <w:spacing w:val="-24"/>
          <w:sz w:val="21"/>
        </w:rPr>
        <w:t>符合 </w:t>
      </w:r>
      <w:r>
        <w:rPr>
          <w:sz w:val="21"/>
        </w:rPr>
        <w:t>5.1.3.1</w:t>
      </w:r>
      <w:r>
        <w:rPr>
          <w:spacing w:val="-13"/>
          <w:sz w:val="21"/>
        </w:rPr>
        <w:t> 的规定。</w:t>
      </w:r>
      <w:r>
        <w:rPr>
          <w:sz w:val="21"/>
        </w:rPr>
        <w:t> </w:t>
      </w:r>
    </w:p>
    <w:p>
      <w:pPr>
        <w:pStyle w:val="ListParagraph"/>
        <w:numPr>
          <w:ilvl w:val="3"/>
          <w:numId w:val="165"/>
        </w:numPr>
        <w:tabs>
          <w:tab w:pos="1576" w:val="left" w:leader="none"/>
        </w:tabs>
        <w:spacing w:line="446" w:lineRule="auto" w:before="0" w:after="0"/>
        <w:ind w:left="418" w:right="1716" w:firstLine="419"/>
        <w:jc w:val="left"/>
        <w:rPr>
          <w:sz w:val="21"/>
        </w:rPr>
      </w:pPr>
      <w:r>
        <w:rPr>
          <w:spacing w:val="-9"/>
          <w:sz w:val="21"/>
        </w:rPr>
        <w:t>消防车外廓尺寸按 </w:t>
      </w:r>
      <w:r>
        <w:rPr>
          <w:sz w:val="21"/>
        </w:rPr>
        <w:t>GB/T</w:t>
      </w:r>
      <w:r>
        <w:rPr>
          <w:spacing w:val="7"/>
          <w:sz w:val="21"/>
        </w:rPr>
        <w:t> </w:t>
      </w:r>
      <w:r>
        <w:rPr>
          <w:sz w:val="21"/>
        </w:rPr>
        <w:t>12673</w:t>
      </w:r>
      <w:r>
        <w:rPr>
          <w:spacing w:val="-12"/>
          <w:sz w:val="21"/>
        </w:rPr>
        <w:t> 进行试验，判断试验结果是否符合 </w:t>
      </w:r>
      <w:r>
        <w:rPr>
          <w:sz w:val="21"/>
        </w:rPr>
        <w:t>5.1.3.2</w:t>
      </w:r>
      <w:r>
        <w:rPr>
          <w:spacing w:val="-18"/>
          <w:sz w:val="21"/>
        </w:rPr>
        <w:t> 的规</w:t>
      </w:r>
      <w:r>
        <w:rPr>
          <w:spacing w:val="-11"/>
          <w:sz w:val="21"/>
        </w:rPr>
        <w:t>定。</w:t>
      </w:r>
      <w:r>
        <w:rPr>
          <w:sz w:val="21"/>
        </w:rPr>
        <w:t> </w:t>
      </w:r>
    </w:p>
    <w:p>
      <w:pPr>
        <w:pStyle w:val="ListParagraph"/>
        <w:numPr>
          <w:ilvl w:val="2"/>
          <w:numId w:val="165"/>
        </w:numPr>
        <w:tabs>
          <w:tab w:pos="1370" w:val="left" w:leader="none"/>
        </w:tabs>
        <w:spacing w:line="240" w:lineRule="auto" w:before="0" w:after="0"/>
        <w:ind w:left="1369" w:right="0" w:hanging="530"/>
        <w:jc w:val="left"/>
        <w:rPr>
          <w:sz w:val="21"/>
        </w:rPr>
      </w:pPr>
      <w:r>
        <w:rPr>
          <w:spacing w:val="-3"/>
          <w:sz w:val="21"/>
        </w:rPr>
        <w:t>制动性能</w:t>
      </w:r>
      <w:r>
        <w:rPr>
          <w:sz w:val="21"/>
        </w:rPr>
        <w:t> </w:t>
      </w:r>
    </w:p>
    <w:p>
      <w:pPr>
        <w:pStyle w:val="BodyText"/>
        <w:spacing w:before="10"/>
        <w:rPr>
          <w:sz w:val="17"/>
        </w:rPr>
      </w:pPr>
    </w:p>
    <w:p>
      <w:pPr>
        <w:pStyle w:val="ListParagraph"/>
        <w:numPr>
          <w:ilvl w:val="3"/>
          <w:numId w:val="165"/>
        </w:numPr>
        <w:tabs>
          <w:tab w:pos="1576" w:val="left" w:leader="none"/>
        </w:tabs>
        <w:spacing w:line="446" w:lineRule="auto" w:before="0" w:after="0"/>
        <w:ind w:left="418" w:right="1503" w:firstLine="419"/>
        <w:jc w:val="left"/>
        <w:rPr>
          <w:sz w:val="21"/>
        </w:rPr>
      </w:pPr>
      <w:r>
        <w:rPr>
          <w:spacing w:val="-8"/>
          <w:sz w:val="21"/>
        </w:rPr>
        <w:t>消防车行车制动试验按 </w:t>
      </w:r>
      <w:r>
        <w:rPr>
          <w:sz w:val="21"/>
        </w:rPr>
        <w:t>GB</w:t>
      </w:r>
      <w:r>
        <w:rPr>
          <w:spacing w:val="5"/>
          <w:sz w:val="21"/>
        </w:rPr>
        <w:t> </w:t>
      </w:r>
      <w:r>
        <w:rPr>
          <w:sz w:val="21"/>
        </w:rPr>
        <w:t>12676—1999</w:t>
      </w:r>
      <w:r>
        <w:rPr>
          <w:spacing w:val="-34"/>
          <w:sz w:val="21"/>
        </w:rPr>
        <w:t> 中 </w:t>
      </w:r>
      <w:r>
        <w:rPr>
          <w:sz w:val="21"/>
        </w:rPr>
        <w:t>6.6</w:t>
      </w:r>
      <w:r>
        <w:rPr>
          <w:spacing w:val="-9"/>
          <w:sz w:val="21"/>
        </w:rPr>
        <w:t> 的要求进行，判断试验结果是否符</w:t>
      </w:r>
      <w:r>
        <w:rPr>
          <w:spacing w:val="-31"/>
          <w:sz w:val="21"/>
        </w:rPr>
        <w:t>合 </w:t>
      </w:r>
      <w:r>
        <w:rPr>
          <w:sz w:val="21"/>
        </w:rPr>
        <w:t>5.1.4.1</w:t>
      </w:r>
      <w:r>
        <w:rPr>
          <w:spacing w:val="-13"/>
          <w:sz w:val="21"/>
        </w:rPr>
        <w:t> 的规定。</w:t>
      </w:r>
      <w:r>
        <w:rPr>
          <w:sz w:val="21"/>
        </w:rPr>
        <w:t> </w:t>
      </w:r>
    </w:p>
    <w:p>
      <w:pPr>
        <w:pStyle w:val="ListParagraph"/>
        <w:numPr>
          <w:ilvl w:val="3"/>
          <w:numId w:val="165"/>
        </w:numPr>
        <w:tabs>
          <w:tab w:pos="1576" w:val="left" w:leader="none"/>
        </w:tabs>
        <w:spacing w:line="446" w:lineRule="auto" w:before="1" w:after="0"/>
        <w:ind w:left="418" w:right="1503" w:firstLine="419"/>
        <w:jc w:val="left"/>
        <w:rPr>
          <w:sz w:val="21"/>
        </w:rPr>
      </w:pPr>
      <w:r>
        <w:rPr>
          <w:spacing w:val="-8"/>
          <w:sz w:val="21"/>
        </w:rPr>
        <w:t>消防车应急制动试验按 </w:t>
      </w:r>
      <w:r>
        <w:rPr>
          <w:sz w:val="21"/>
        </w:rPr>
        <w:t>GB</w:t>
      </w:r>
      <w:r>
        <w:rPr>
          <w:spacing w:val="5"/>
          <w:sz w:val="21"/>
        </w:rPr>
        <w:t> </w:t>
      </w:r>
      <w:r>
        <w:rPr>
          <w:sz w:val="21"/>
        </w:rPr>
        <w:t>12676—1999</w:t>
      </w:r>
      <w:r>
        <w:rPr>
          <w:spacing w:val="-34"/>
          <w:sz w:val="21"/>
        </w:rPr>
        <w:t> 中 </w:t>
      </w:r>
      <w:r>
        <w:rPr>
          <w:sz w:val="21"/>
        </w:rPr>
        <w:t>6.8</w:t>
      </w:r>
      <w:r>
        <w:rPr>
          <w:spacing w:val="-9"/>
          <w:sz w:val="21"/>
        </w:rPr>
        <w:t> 的要求进行，判断试验结果是否符</w:t>
      </w:r>
      <w:r>
        <w:rPr>
          <w:spacing w:val="-31"/>
          <w:sz w:val="21"/>
        </w:rPr>
        <w:t>合 </w:t>
      </w:r>
      <w:r>
        <w:rPr>
          <w:sz w:val="21"/>
        </w:rPr>
        <w:t>5.1.4.2</w:t>
      </w:r>
      <w:r>
        <w:rPr>
          <w:spacing w:val="-13"/>
          <w:sz w:val="21"/>
        </w:rPr>
        <w:t> 的规定。</w:t>
      </w:r>
      <w:r>
        <w:rPr>
          <w:sz w:val="21"/>
        </w:rPr>
        <w:t> </w:t>
      </w:r>
    </w:p>
    <w:p>
      <w:pPr>
        <w:pStyle w:val="ListParagraph"/>
        <w:numPr>
          <w:ilvl w:val="3"/>
          <w:numId w:val="165"/>
        </w:numPr>
        <w:tabs>
          <w:tab w:pos="1576" w:val="left" w:leader="none"/>
        </w:tabs>
        <w:spacing w:line="240" w:lineRule="auto" w:before="0" w:after="0"/>
        <w:ind w:left="1575" w:right="0" w:hanging="738"/>
        <w:jc w:val="left"/>
        <w:rPr>
          <w:sz w:val="21"/>
        </w:rPr>
      </w:pPr>
      <w:r>
        <w:rPr>
          <w:spacing w:val="-9"/>
          <w:sz w:val="21"/>
        </w:rPr>
        <w:t>消防车驻车制动按 </w:t>
      </w:r>
      <w:r>
        <w:rPr>
          <w:sz w:val="21"/>
        </w:rPr>
        <w:t>GB</w:t>
      </w:r>
      <w:r>
        <w:rPr>
          <w:spacing w:val="-1"/>
          <w:sz w:val="21"/>
        </w:rPr>
        <w:t> </w:t>
      </w:r>
      <w:r>
        <w:rPr>
          <w:sz w:val="21"/>
        </w:rPr>
        <w:t>12676—1999</w:t>
      </w:r>
      <w:r>
        <w:rPr>
          <w:spacing w:val="-35"/>
          <w:sz w:val="21"/>
        </w:rPr>
        <w:t> 中 </w:t>
      </w:r>
      <w:r>
        <w:rPr>
          <w:sz w:val="21"/>
        </w:rPr>
        <w:t>6.14</w:t>
      </w:r>
      <w:r>
        <w:rPr>
          <w:spacing w:val="-9"/>
          <w:sz w:val="21"/>
        </w:rPr>
        <w:t> 的要求进行，判断试验结果是否符合</w:t>
      </w:r>
    </w:p>
    <w:p>
      <w:pPr>
        <w:pStyle w:val="BodyText"/>
        <w:spacing w:before="12"/>
        <w:rPr>
          <w:sz w:val="17"/>
        </w:rPr>
      </w:pPr>
    </w:p>
    <w:p>
      <w:pPr>
        <w:pStyle w:val="BodyText"/>
        <w:ind w:left="418"/>
      </w:pPr>
      <w:r>
        <w:rPr/>
        <w:t>5.1.4.3 的规定。 </w:t>
      </w:r>
    </w:p>
    <w:p>
      <w:pPr>
        <w:pStyle w:val="BodyText"/>
        <w:spacing w:before="12"/>
        <w:rPr>
          <w:sz w:val="17"/>
        </w:rPr>
      </w:pPr>
    </w:p>
    <w:p>
      <w:pPr>
        <w:pStyle w:val="ListParagraph"/>
        <w:numPr>
          <w:ilvl w:val="2"/>
          <w:numId w:val="165"/>
        </w:numPr>
        <w:tabs>
          <w:tab w:pos="1371" w:val="left" w:leader="none"/>
        </w:tabs>
        <w:spacing w:line="240" w:lineRule="auto" w:before="0" w:after="0"/>
        <w:ind w:left="1370" w:right="0" w:hanging="531"/>
        <w:jc w:val="left"/>
        <w:rPr>
          <w:sz w:val="21"/>
        </w:rPr>
      </w:pPr>
      <w:r>
        <w:rPr>
          <w:spacing w:val="-3"/>
          <w:sz w:val="21"/>
        </w:rPr>
        <w:t>轴荷和质量参数</w:t>
      </w:r>
      <w:r>
        <w:rPr>
          <w:sz w:val="21"/>
        </w:rPr>
        <w:t> </w:t>
      </w:r>
    </w:p>
    <w:p>
      <w:pPr>
        <w:pStyle w:val="BodyText"/>
        <w:spacing w:before="2"/>
        <w:rPr>
          <w:sz w:val="18"/>
        </w:rPr>
      </w:pPr>
    </w:p>
    <w:p>
      <w:pPr>
        <w:pStyle w:val="ListParagraph"/>
        <w:numPr>
          <w:ilvl w:val="3"/>
          <w:numId w:val="165"/>
        </w:numPr>
        <w:tabs>
          <w:tab w:pos="1576" w:val="left" w:leader="none"/>
        </w:tabs>
        <w:spacing w:line="240" w:lineRule="auto" w:before="0" w:after="0"/>
        <w:ind w:left="1575" w:right="0" w:hanging="738"/>
        <w:jc w:val="left"/>
        <w:rPr>
          <w:sz w:val="21"/>
        </w:rPr>
      </w:pPr>
      <w:r>
        <w:rPr>
          <w:spacing w:val="-3"/>
          <w:sz w:val="21"/>
        </w:rPr>
        <w:t>消防车轴荷测量按 </w:t>
      </w:r>
      <w:r>
        <w:rPr>
          <w:sz w:val="21"/>
        </w:rPr>
        <w:t>GB/T</w:t>
      </w:r>
      <w:r>
        <w:rPr>
          <w:spacing w:val="2"/>
          <w:sz w:val="21"/>
        </w:rPr>
        <w:t> </w:t>
      </w:r>
      <w:r>
        <w:rPr>
          <w:sz w:val="21"/>
        </w:rPr>
        <w:t>12674</w:t>
      </w:r>
      <w:r>
        <w:rPr>
          <w:spacing w:val="-12"/>
          <w:sz w:val="21"/>
        </w:rPr>
        <w:t> 进行，判断试验结果是否符合 </w:t>
      </w:r>
      <w:r>
        <w:rPr>
          <w:sz w:val="21"/>
        </w:rPr>
        <w:t>5.1.5.1</w:t>
      </w:r>
      <w:r>
        <w:rPr>
          <w:spacing w:val="-13"/>
          <w:sz w:val="21"/>
        </w:rPr>
        <w:t> 的规定。</w:t>
      </w:r>
      <w:r>
        <w:rPr>
          <w:sz w:val="21"/>
        </w:rPr>
        <w:t> </w:t>
      </w:r>
    </w:p>
    <w:p>
      <w:pPr>
        <w:pStyle w:val="BodyText"/>
        <w:rPr>
          <w:sz w:val="18"/>
        </w:rPr>
      </w:pPr>
    </w:p>
    <w:p>
      <w:pPr>
        <w:pStyle w:val="ListParagraph"/>
        <w:numPr>
          <w:ilvl w:val="3"/>
          <w:numId w:val="165"/>
        </w:numPr>
        <w:tabs>
          <w:tab w:pos="1576" w:val="left" w:leader="none"/>
        </w:tabs>
        <w:spacing w:line="444" w:lineRule="auto" w:before="0" w:after="0"/>
        <w:ind w:left="418" w:right="1474" w:firstLine="419"/>
        <w:jc w:val="left"/>
        <w:rPr>
          <w:sz w:val="21"/>
        </w:rPr>
      </w:pPr>
      <w:r>
        <w:rPr>
          <w:spacing w:val="-8"/>
          <w:sz w:val="21"/>
        </w:rPr>
        <w:t>消防车总质量测量按 </w:t>
      </w:r>
      <w:r>
        <w:rPr>
          <w:sz w:val="21"/>
        </w:rPr>
        <w:t>GB/T</w:t>
      </w:r>
      <w:r>
        <w:rPr>
          <w:spacing w:val="7"/>
          <w:sz w:val="21"/>
        </w:rPr>
        <w:t> </w:t>
      </w:r>
      <w:r>
        <w:rPr>
          <w:sz w:val="21"/>
        </w:rPr>
        <w:t>12674</w:t>
      </w:r>
      <w:r>
        <w:rPr>
          <w:spacing w:val="-9"/>
          <w:sz w:val="21"/>
        </w:rPr>
        <w:t> 进行，测量消防车总质量时，消防车器材箱内没</w:t>
      </w:r>
      <w:r>
        <w:rPr>
          <w:spacing w:val="-8"/>
          <w:sz w:val="21"/>
        </w:rPr>
        <w:t>有器材，器材箱内面积相加后按 </w:t>
      </w:r>
      <w:r>
        <w:rPr>
          <w:sz w:val="21"/>
        </w:rPr>
        <w:t>100</w:t>
      </w:r>
      <w:r>
        <w:rPr>
          <w:spacing w:val="22"/>
          <w:sz w:val="21"/>
        </w:rPr>
        <w:t> </w:t>
      </w:r>
      <w:r>
        <w:rPr>
          <w:sz w:val="21"/>
        </w:rPr>
        <w:t>kg/m</w:t>
      </w:r>
      <w:r>
        <w:rPr>
          <w:position w:val="11"/>
          <w:sz w:val="11"/>
        </w:rPr>
        <w:t>2</w:t>
      </w:r>
      <w:r>
        <w:rPr>
          <w:spacing w:val="-23"/>
          <w:position w:val="11"/>
          <w:sz w:val="11"/>
        </w:rPr>
        <w:t> </w:t>
      </w:r>
      <w:r>
        <w:rPr>
          <w:spacing w:val="-3"/>
          <w:sz w:val="21"/>
        </w:rPr>
        <w:t>配重；当实测总质量小于生产企业设计总质量时，可以按生产企业设计总质量配重。消防车实测总质量除以底盘厂公告允许总质量，判断试验结果</w:t>
      </w:r>
      <w:r>
        <w:rPr>
          <w:spacing w:val="-13"/>
          <w:sz w:val="21"/>
        </w:rPr>
        <w:t>是否符合 </w:t>
      </w:r>
      <w:r>
        <w:rPr>
          <w:sz w:val="21"/>
        </w:rPr>
        <w:t>5.1.5.2</w:t>
      </w:r>
      <w:r>
        <w:rPr>
          <w:spacing w:val="-12"/>
          <w:sz w:val="21"/>
        </w:rPr>
        <w:t> 的规定。 </w:t>
      </w:r>
    </w:p>
    <w:p>
      <w:pPr>
        <w:pStyle w:val="ListParagraph"/>
        <w:numPr>
          <w:ilvl w:val="2"/>
          <w:numId w:val="165"/>
        </w:numPr>
        <w:tabs>
          <w:tab w:pos="1371" w:val="left" w:leader="none"/>
        </w:tabs>
        <w:spacing w:line="267" w:lineRule="exact" w:before="0" w:after="0"/>
        <w:ind w:left="1370" w:right="0" w:hanging="531"/>
        <w:jc w:val="left"/>
        <w:rPr>
          <w:sz w:val="21"/>
        </w:rPr>
      </w:pPr>
      <w:r>
        <w:rPr>
          <w:spacing w:val="-3"/>
          <w:sz w:val="21"/>
        </w:rPr>
        <w:t>安全性试验</w:t>
      </w:r>
      <w:r>
        <w:rPr>
          <w:sz w:val="21"/>
        </w:rPr>
        <w:t> </w:t>
      </w:r>
    </w:p>
    <w:p>
      <w:pPr>
        <w:pStyle w:val="BodyText"/>
        <w:spacing w:before="2"/>
        <w:rPr>
          <w:sz w:val="18"/>
        </w:rPr>
      </w:pPr>
    </w:p>
    <w:p>
      <w:pPr>
        <w:pStyle w:val="ListParagraph"/>
        <w:numPr>
          <w:ilvl w:val="3"/>
          <w:numId w:val="165"/>
        </w:numPr>
        <w:tabs>
          <w:tab w:pos="1576" w:val="left" w:leader="none"/>
        </w:tabs>
        <w:spacing w:line="240" w:lineRule="auto" w:before="0" w:after="0"/>
        <w:ind w:left="1575" w:right="0" w:hanging="738"/>
        <w:jc w:val="left"/>
        <w:rPr>
          <w:sz w:val="21"/>
        </w:rPr>
      </w:pPr>
      <w:r>
        <w:rPr>
          <w:spacing w:val="-3"/>
          <w:sz w:val="21"/>
        </w:rPr>
        <w:t>安全防护性能</w:t>
      </w:r>
      <w:r>
        <w:rPr>
          <w:sz w:val="21"/>
        </w:rPr>
        <w:t> </w:t>
      </w:r>
    </w:p>
    <w:p>
      <w:pPr>
        <w:pStyle w:val="BodyText"/>
        <w:rPr>
          <w:sz w:val="18"/>
        </w:rPr>
      </w:pPr>
    </w:p>
    <w:p>
      <w:pPr>
        <w:pStyle w:val="ListParagraph"/>
        <w:numPr>
          <w:ilvl w:val="4"/>
          <w:numId w:val="165"/>
        </w:numPr>
        <w:tabs>
          <w:tab w:pos="1788" w:val="left" w:leader="none"/>
        </w:tabs>
        <w:spacing w:line="240" w:lineRule="auto" w:before="0" w:after="0"/>
        <w:ind w:left="1787" w:right="0" w:hanging="950"/>
        <w:jc w:val="left"/>
        <w:rPr>
          <w:sz w:val="21"/>
        </w:rPr>
      </w:pPr>
      <w:r>
        <w:rPr>
          <w:spacing w:val="-8"/>
          <w:sz w:val="21"/>
        </w:rPr>
        <w:t>消防车的后视野测量按 </w:t>
      </w:r>
      <w:r>
        <w:rPr>
          <w:sz w:val="21"/>
        </w:rPr>
        <w:t>GB</w:t>
      </w:r>
      <w:r>
        <w:rPr>
          <w:spacing w:val="3"/>
          <w:sz w:val="21"/>
        </w:rPr>
        <w:t> </w:t>
      </w:r>
      <w:r>
        <w:rPr>
          <w:sz w:val="21"/>
        </w:rPr>
        <w:t>15084</w:t>
      </w:r>
      <w:r>
        <w:rPr>
          <w:spacing w:val="-8"/>
          <w:sz w:val="21"/>
        </w:rPr>
        <w:t> 进行，外部照明和信号装置的安装要求试验按</w:t>
      </w:r>
    </w:p>
    <w:p>
      <w:pPr>
        <w:pStyle w:val="BodyText"/>
        <w:rPr>
          <w:sz w:val="18"/>
        </w:rPr>
      </w:pPr>
    </w:p>
    <w:p>
      <w:pPr>
        <w:pStyle w:val="BodyText"/>
        <w:ind w:left="418"/>
      </w:pPr>
      <w:r>
        <w:rPr/>
        <w:t>GB 4785 进行，判断试验结果是否符合 5.1.6.1.1 的规定。 </w:t>
      </w:r>
    </w:p>
    <w:p>
      <w:pPr>
        <w:pStyle w:val="BodyText"/>
        <w:spacing w:before="2"/>
        <w:rPr>
          <w:sz w:val="18"/>
        </w:rPr>
      </w:pPr>
    </w:p>
    <w:p>
      <w:pPr>
        <w:pStyle w:val="ListParagraph"/>
        <w:numPr>
          <w:ilvl w:val="4"/>
          <w:numId w:val="165"/>
        </w:numPr>
        <w:tabs>
          <w:tab w:pos="1788" w:val="left" w:leader="none"/>
        </w:tabs>
        <w:spacing w:line="240" w:lineRule="auto" w:before="0" w:after="0"/>
        <w:ind w:left="1787" w:right="0" w:hanging="950"/>
        <w:jc w:val="left"/>
        <w:rPr>
          <w:sz w:val="21"/>
        </w:rPr>
      </w:pPr>
      <w:r>
        <w:rPr>
          <w:spacing w:val="-7"/>
          <w:sz w:val="21"/>
        </w:rPr>
        <w:t>内饰材料的燃烧特性试验按 </w:t>
      </w:r>
      <w:r>
        <w:rPr>
          <w:sz w:val="21"/>
        </w:rPr>
        <w:t>GB</w:t>
      </w:r>
      <w:r>
        <w:rPr>
          <w:spacing w:val="2"/>
          <w:sz w:val="21"/>
        </w:rPr>
        <w:t> </w:t>
      </w:r>
      <w:r>
        <w:rPr>
          <w:sz w:val="21"/>
        </w:rPr>
        <w:t>8410</w:t>
      </w:r>
      <w:r>
        <w:rPr>
          <w:spacing w:val="-11"/>
          <w:sz w:val="21"/>
        </w:rPr>
        <w:t> 进行，判断试验结果是否符合 </w:t>
      </w:r>
      <w:r>
        <w:rPr>
          <w:sz w:val="21"/>
        </w:rPr>
        <w:t>5.1.6.1.2</w:t>
      </w:r>
    </w:p>
    <w:p>
      <w:pPr>
        <w:pStyle w:val="BodyText"/>
        <w:spacing w:before="12"/>
        <w:rPr>
          <w:sz w:val="17"/>
        </w:rPr>
      </w:pPr>
    </w:p>
    <w:p>
      <w:pPr>
        <w:pStyle w:val="BodyText"/>
        <w:ind w:left="418"/>
      </w:pPr>
      <w:r>
        <w:rPr/>
        <w:t>的规定。 </w:t>
      </w:r>
    </w:p>
    <w:p>
      <w:pPr>
        <w:pStyle w:val="BodyText"/>
        <w:spacing w:before="12"/>
        <w:rPr>
          <w:sz w:val="17"/>
        </w:rPr>
      </w:pPr>
    </w:p>
    <w:p>
      <w:pPr>
        <w:pStyle w:val="ListParagraph"/>
        <w:numPr>
          <w:ilvl w:val="4"/>
          <w:numId w:val="165"/>
        </w:numPr>
        <w:tabs>
          <w:tab w:pos="1788" w:val="left" w:leader="none"/>
        </w:tabs>
        <w:spacing w:line="240" w:lineRule="auto" w:before="0" w:after="0"/>
        <w:ind w:left="1787" w:right="0" w:hanging="950"/>
        <w:jc w:val="left"/>
        <w:rPr>
          <w:sz w:val="21"/>
        </w:rPr>
      </w:pPr>
      <w:r>
        <w:rPr>
          <w:spacing w:val="-7"/>
          <w:sz w:val="21"/>
        </w:rPr>
        <w:t>燃油系统及排气管口指向试验按 </w:t>
      </w:r>
      <w:r>
        <w:rPr>
          <w:sz w:val="21"/>
        </w:rPr>
        <w:t>GB</w:t>
      </w:r>
      <w:r>
        <w:rPr>
          <w:spacing w:val="2"/>
          <w:sz w:val="21"/>
        </w:rPr>
        <w:t> </w:t>
      </w:r>
      <w:r>
        <w:rPr>
          <w:sz w:val="21"/>
        </w:rPr>
        <w:t>7258</w:t>
      </w:r>
      <w:r>
        <w:rPr>
          <w:spacing w:val="-9"/>
          <w:sz w:val="21"/>
        </w:rPr>
        <w:t> 进行，判断试验结果是否符合</w:t>
      </w:r>
    </w:p>
    <w:p>
      <w:pPr>
        <w:pStyle w:val="BodyText"/>
        <w:spacing w:before="2"/>
        <w:rPr>
          <w:sz w:val="18"/>
        </w:rPr>
      </w:pPr>
    </w:p>
    <w:p>
      <w:pPr>
        <w:pStyle w:val="BodyText"/>
        <w:ind w:left="418"/>
      </w:pPr>
      <w:r>
        <w:rPr/>
        <w:t>5.1.6.1.3 的规定。 </w:t>
      </w:r>
    </w:p>
    <w:p>
      <w:pPr>
        <w:pStyle w:val="BodyText"/>
        <w:rPr>
          <w:sz w:val="18"/>
        </w:rPr>
      </w:pPr>
    </w:p>
    <w:p>
      <w:pPr>
        <w:pStyle w:val="ListParagraph"/>
        <w:numPr>
          <w:ilvl w:val="4"/>
          <w:numId w:val="166"/>
        </w:numPr>
        <w:tabs>
          <w:tab w:pos="1788" w:val="left" w:leader="none"/>
        </w:tabs>
        <w:spacing w:line="240" w:lineRule="auto" w:before="0" w:after="0"/>
        <w:ind w:left="1787" w:right="0" w:hanging="950"/>
        <w:jc w:val="left"/>
        <w:rPr>
          <w:sz w:val="21"/>
        </w:rPr>
      </w:pPr>
      <w:r>
        <w:rPr>
          <w:spacing w:val="-10"/>
          <w:sz w:val="21"/>
        </w:rPr>
        <w:t>侧面防护试验按 </w:t>
      </w:r>
      <w:r>
        <w:rPr>
          <w:sz w:val="21"/>
        </w:rPr>
        <w:t>GB</w:t>
      </w:r>
      <w:r>
        <w:rPr>
          <w:spacing w:val="-1"/>
          <w:sz w:val="21"/>
        </w:rPr>
        <w:t> </w:t>
      </w:r>
      <w:r>
        <w:rPr>
          <w:sz w:val="21"/>
        </w:rPr>
        <w:t>11567.1</w:t>
      </w:r>
      <w:r>
        <w:rPr>
          <w:spacing w:val="-12"/>
          <w:sz w:val="21"/>
        </w:rPr>
        <w:t> 进行，判断试验结果是否符合 </w:t>
      </w:r>
      <w:r>
        <w:rPr>
          <w:sz w:val="21"/>
        </w:rPr>
        <w:t>5.1.6.1.4</w:t>
      </w:r>
      <w:r>
        <w:rPr>
          <w:spacing w:val="-13"/>
          <w:sz w:val="21"/>
        </w:rPr>
        <w:t> 的规定。</w:t>
      </w:r>
      <w:r>
        <w:rPr>
          <w:sz w:val="21"/>
        </w:rPr>
        <w:t> </w:t>
      </w:r>
    </w:p>
    <w:p>
      <w:pPr>
        <w:pStyle w:val="BodyText"/>
        <w:spacing w:before="12"/>
        <w:rPr>
          <w:sz w:val="17"/>
        </w:rPr>
      </w:pPr>
    </w:p>
    <w:p>
      <w:pPr>
        <w:pStyle w:val="ListParagraph"/>
        <w:numPr>
          <w:ilvl w:val="4"/>
          <w:numId w:val="166"/>
        </w:numPr>
        <w:tabs>
          <w:tab w:pos="1788" w:val="left" w:leader="none"/>
        </w:tabs>
        <w:spacing w:line="446" w:lineRule="auto" w:before="1" w:after="0"/>
        <w:ind w:left="418" w:right="1716" w:firstLine="419"/>
        <w:jc w:val="left"/>
        <w:rPr>
          <w:sz w:val="21"/>
        </w:rPr>
      </w:pPr>
      <w:r>
        <w:rPr>
          <w:spacing w:val="-9"/>
          <w:sz w:val="21"/>
        </w:rPr>
        <w:t>后下部防护试验按 </w:t>
      </w:r>
      <w:r>
        <w:rPr>
          <w:sz w:val="21"/>
        </w:rPr>
        <w:t>GB</w:t>
      </w:r>
      <w:r>
        <w:rPr>
          <w:spacing w:val="7"/>
          <w:sz w:val="21"/>
        </w:rPr>
        <w:t> </w:t>
      </w:r>
      <w:r>
        <w:rPr>
          <w:sz w:val="21"/>
        </w:rPr>
        <w:t>11567.2</w:t>
      </w:r>
      <w:r>
        <w:rPr>
          <w:spacing w:val="-12"/>
          <w:sz w:val="21"/>
        </w:rPr>
        <w:t> 进行，判断试验结果是否符合 </w:t>
      </w:r>
      <w:r>
        <w:rPr>
          <w:sz w:val="21"/>
        </w:rPr>
        <w:t>5.1.6.1.5</w:t>
      </w:r>
      <w:r>
        <w:rPr>
          <w:spacing w:val="-18"/>
          <w:sz w:val="21"/>
        </w:rPr>
        <w:t> 的规</w:t>
      </w:r>
      <w:r>
        <w:rPr>
          <w:spacing w:val="-11"/>
          <w:sz w:val="21"/>
        </w:rPr>
        <w:t>定。</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166"/>
        </w:numPr>
        <w:tabs>
          <w:tab w:pos="1788" w:val="left" w:leader="none"/>
        </w:tabs>
        <w:spacing w:line="446" w:lineRule="auto" w:before="47" w:after="0"/>
        <w:ind w:left="418" w:right="1558" w:firstLine="419"/>
        <w:jc w:val="left"/>
        <w:rPr>
          <w:sz w:val="21"/>
        </w:rPr>
      </w:pPr>
      <w:r>
        <w:rPr>
          <w:spacing w:val="-3"/>
          <w:sz w:val="21"/>
        </w:rPr>
        <w:t>目测检查消防车外表面是否有尖锐突出物和锐利的边缘，消防装置操作区域周</w:t>
      </w:r>
      <w:r>
        <w:rPr>
          <w:spacing w:val="-4"/>
          <w:sz w:val="21"/>
        </w:rPr>
        <w:t>围是否有可能对操作人员造成伤害的物品、热源，超过 </w:t>
      </w:r>
      <w:r>
        <w:rPr>
          <w:sz w:val="21"/>
        </w:rPr>
        <w:t>60</w:t>
      </w:r>
      <w:r>
        <w:rPr>
          <w:spacing w:val="-3"/>
          <w:sz w:val="21"/>
        </w:rPr>
        <w:t>℃的热表面及高速回转物是否设置防</w:t>
      </w:r>
      <w:r>
        <w:rPr>
          <w:spacing w:val="-8"/>
          <w:sz w:val="21"/>
        </w:rPr>
        <w:t>护装置，大于 </w:t>
      </w:r>
      <w:r>
        <w:rPr>
          <w:sz w:val="21"/>
        </w:rPr>
        <w:t>65</w:t>
      </w:r>
      <w:r>
        <w:rPr>
          <w:spacing w:val="20"/>
          <w:sz w:val="21"/>
        </w:rPr>
        <w:t> </w:t>
      </w:r>
      <w:r>
        <w:rPr>
          <w:sz w:val="21"/>
        </w:rPr>
        <w:t>mm</w:t>
      </w:r>
      <w:r>
        <w:rPr>
          <w:spacing w:val="-11"/>
          <w:sz w:val="21"/>
        </w:rPr>
        <w:t> 的水带接口和压力大于 </w:t>
      </w:r>
      <w:r>
        <w:rPr>
          <w:sz w:val="21"/>
        </w:rPr>
        <w:t>1.8</w:t>
      </w:r>
      <w:r>
        <w:rPr>
          <w:spacing w:val="20"/>
          <w:sz w:val="21"/>
        </w:rPr>
        <w:t> </w:t>
      </w:r>
      <w:r>
        <w:rPr>
          <w:sz w:val="21"/>
        </w:rPr>
        <w:t>MPa</w:t>
      </w:r>
      <w:r>
        <w:rPr>
          <w:spacing w:val="-7"/>
          <w:sz w:val="21"/>
        </w:rPr>
        <w:t> 的管路是否远离操作人员或采取防护措</w:t>
      </w:r>
      <w:r>
        <w:rPr>
          <w:spacing w:val="-5"/>
          <w:sz w:val="21"/>
        </w:rPr>
        <w:t>施，检查压力容器生产资质，压力容器的安装与硬物接触处应衬上柔软、耐腐蚀和减震的衬  </w:t>
      </w:r>
      <w:r>
        <w:rPr>
          <w:spacing w:val="-8"/>
          <w:sz w:val="21"/>
        </w:rPr>
        <w:t>物，检查判断试验结果是否符合 </w:t>
      </w:r>
      <w:r>
        <w:rPr>
          <w:sz w:val="21"/>
        </w:rPr>
        <w:t>5.1.6.1.6～5.1.6.1.10</w:t>
      </w:r>
      <w:r>
        <w:rPr>
          <w:spacing w:val="-13"/>
          <w:sz w:val="21"/>
        </w:rPr>
        <w:t> 的规定。</w:t>
      </w:r>
      <w:r>
        <w:rPr>
          <w:sz w:val="21"/>
        </w:rPr>
        <w:t> </w:t>
      </w:r>
    </w:p>
    <w:p>
      <w:pPr>
        <w:pStyle w:val="ListParagraph"/>
        <w:numPr>
          <w:ilvl w:val="3"/>
          <w:numId w:val="165"/>
        </w:numPr>
        <w:tabs>
          <w:tab w:pos="1576" w:val="left" w:leader="none"/>
        </w:tabs>
        <w:spacing w:line="266" w:lineRule="exact" w:before="0" w:after="0"/>
        <w:ind w:left="1575" w:right="0" w:hanging="738"/>
        <w:jc w:val="left"/>
        <w:rPr>
          <w:sz w:val="21"/>
        </w:rPr>
      </w:pPr>
      <w:r>
        <w:rPr>
          <w:spacing w:val="-3"/>
          <w:sz w:val="21"/>
        </w:rPr>
        <w:t>质心高度和侧倾稳定角测量</w:t>
      </w:r>
      <w:r>
        <w:rPr>
          <w:sz w:val="21"/>
        </w:rPr>
        <w:t> </w:t>
      </w:r>
    </w:p>
    <w:p>
      <w:pPr>
        <w:pStyle w:val="BodyText"/>
        <w:spacing w:before="2"/>
        <w:rPr>
          <w:sz w:val="18"/>
        </w:rPr>
      </w:pPr>
    </w:p>
    <w:p>
      <w:pPr>
        <w:pStyle w:val="BodyText"/>
        <w:spacing w:line="446" w:lineRule="auto"/>
        <w:ind w:left="418" w:right="1499" w:firstLine="419"/>
      </w:pPr>
      <w:r>
        <w:rPr/>
        <w:t>消防车的质心高度测量按 GB/T 12538 进行，消防车的侧倾稳定角应在满载状态下按 GB/T 14172 的方法进行测量，判断试验结果是否符合 5.1.6.2 的规定。 </w:t>
      </w:r>
    </w:p>
    <w:p>
      <w:pPr>
        <w:pStyle w:val="ListParagraph"/>
        <w:numPr>
          <w:ilvl w:val="2"/>
          <w:numId w:val="165"/>
        </w:numPr>
        <w:tabs>
          <w:tab w:pos="1371" w:val="left" w:leader="none"/>
        </w:tabs>
        <w:spacing w:line="267" w:lineRule="exact" w:before="0" w:after="0"/>
        <w:ind w:left="1370" w:right="0" w:hanging="531"/>
        <w:jc w:val="left"/>
        <w:rPr>
          <w:sz w:val="21"/>
        </w:rPr>
      </w:pPr>
      <w:r>
        <w:rPr>
          <w:spacing w:val="-3"/>
          <w:sz w:val="21"/>
        </w:rPr>
        <w:t>可维修性检查</w:t>
      </w:r>
      <w:r>
        <w:rPr>
          <w:sz w:val="21"/>
        </w:rPr>
        <w:t> </w:t>
      </w:r>
    </w:p>
    <w:p>
      <w:pPr>
        <w:pStyle w:val="BodyText"/>
        <w:spacing w:before="2"/>
        <w:rPr>
          <w:sz w:val="18"/>
        </w:rPr>
      </w:pPr>
    </w:p>
    <w:p>
      <w:pPr>
        <w:pStyle w:val="ListParagraph"/>
        <w:numPr>
          <w:ilvl w:val="3"/>
          <w:numId w:val="165"/>
        </w:numPr>
        <w:tabs>
          <w:tab w:pos="1576" w:val="left" w:leader="none"/>
        </w:tabs>
        <w:spacing w:line="446" w:lineRule="auto" w:before="0" w:after="0"/>
        <w:ind w:left="418" w:right="1609" w:firstLine="419"/>
        <w:jc w:val="left"/>
        <w:rPr>
          <w:sz w:val="21"/>
        </w:rPr>
      </w:pPr>
      <w:r>
        <w:rPr>
          <w:spacing w:val="-3"/>
          <w:sz w:val="21"/>
        </w:rPr>
        <w:t>目测检查消防车检查发动机润滑油和冷却液液位时是否需要翻转驾驶室，判断试验结果是否符 </w:t>
      </w:r>
      <w:r>
        <w:rPr>
          <w:sz w:val="21"/>
        </w:rPr>
        <w:t>5.1.7.1</w:t>
      </w:r>
      <w:r>
        <w:rPr>
          <w:spacing w:val="-13"/>
          <w:sz w:val="21"/>
        </w:rPr>
        <w:t> 的规定。</w:t>
      </w:r>
      <w:r>
        <w:rPr>
          <w:sz w:val="21"/>
        </w:rPr>
        <w:t> </w:t>
      </w:r>
    </w:p>
    <w:p>
      <w:pPr>
        <w:pStyle w:val="ListParagraph"/>
        <w:numPr>
          <w:ilvl w:val="3"/>
          <w:numId w:val="165"/>
        </w:numPr>
        <w:tabs>
          <w:tab w:pos="1576" w:val="left" w:leader="none"/>
        </w:tabs>
        <w:spacing w:line="446" w:lineRule="auto" w:before="0" w:after="0"/>
        <w:ind w:left="418" w:right="1609" w:firstLine="419"/>
        <w:jc w:val="left"/>
        <w:rPr>
          <w:sz w:val="21"/>
        </w:rPr>
      </w:pPr>
      <w:r>
        <w:rPr>
          <w:spacing w:val="-3"/>
          <w:sz w:val="21"/>
        </w:rPr>
        <w:t>目测检查使用工具，保养、维修时需拆卸的零、部件是否采用焊接或铆接方式联</w:t>
      </w:r>
      <w:r>
        <w:rPr>
          <w:spacing w:val="-7"/>
          <w:sz w:val="21"/>
        </w:rPr>
        <w:t>接，判断试验结果是否符合 </w:t>
      </w:r>
      <w:r>
        <w:rPr>
          <w:sz w:val="21"/>
        </w:rPr>
        <w:t>5.1.7.2</w:t>
      </w:r>
      <w:r>
        <w:rPr>
          <w:spacing w:val="-13"/>
          <w:sz w:val="21"/>
        </w:rPr>
        <w:t> 的规定。</w:t>
      </w:r>
      <w:r>
        <w:rPr>
          <w:sz w:val="21"/>
        </w:rPr>
        <w:t> </w:t>
      </w:r>
    </w:p>
    <w:p>
      <w:pPr>
        <w:pStyle w:val="ListParagraph"/>
        <w:numPr>
          <w:ilvl w:val="2"/>
          <w:numId w:val="165"/>
        </w:numPr>
        <w:tabs>
          <w:tab w:pos="1370" w:val="left" w:leader="none"/>
        </w:tabs>
        <w:spacing w:line="240" w:lineRule="auto" w:before="0" w:after="0"/>
        <w:ind w:left="1369" w:right="0" w:hanging="530"/>
        <w:jc w:val="left"/>
        <w:rPr>
          <w:sz w:val="21"/>
        </w:rPr>
      </w:pPr>
      <w:r>
        <w:rPr>
          <w:spacing w:val="-3"/>
          <w:sz w:val="21"/>
        </w:rPr>
        <w:t>防雨密封试验</w:t>
      </w:r>
      <w:r>
        <w:rPr>
          <w:sz w:val="21"/>
        </w:rPr>
        <w:t> </w:t>
      </w:r>
    </w:p>
    <w:p>
      <w:pPr>
        <w:pStyle w:val="BodyText"/>
        <w:spacing w:before="10"/>
        <w:rPr>
          <w:sz w:val="17"/>
        </w:rPr>
      </w:pPr>
    </w:p>
    <w:p>
      <w:pPr>
        <w:pStyle w:val="BodyText"/>
        <w:spacing w:line="446" w:lineRule="auto"/>
        <w:ind w:left="418" w:right="1450" w:firstLine="419"/>
      </w:pPr>
      <w:r>
        <w:rPr>
          <w:spacing w:val="-5"/>
        </w:rPr>
        <w:t>防雨密封试验采用人工降雨方式进行试验，防雨密封架宽度为 </w:t>
      </w:r>
      <w:r>
        <w:rPr/>
        <w:t>3 m</w:t>
      </w:r>
      <w:r>
        <w:rPr>
          <w:spacing w:val="-3"/>
        </w:rPr>
        <w:t>，长度应大于被测消防车</w:t>
      </w:r>
      <w:r>
        <w:rPr>
          <w:spacing w:val="-4"/>
        </w:rPr>
        <w:t>长度，防雨密封架两侧装有供水管，供水管上以 </w:t>
      </w:r>
      <w:r>
        <w:rPr/>
        <w:t>250 mm</w:t>
      </w:r>
      <w:r>
        <w:rPr>
          <w:spacing w:val="-5"/>
        </w:rPr>
        <w:t> 间距安装雨水喷头，上方供水管可以 </w:t>
      </w:r>
      <w:r>
        <w:rPr>
          <w:spacing w:val="-9"/>
        </w:rPr>
        <w:t>上、下移动，喷头以 </w:t>
      </w:r>
      <w:r>
        <w:rPr/>
        <w:t>45</w:t>
      </w:r>
      <w:r>
        <w:rPr>
          <w:spacing w:val="-6"/>
        </w:rPr>
        <w:t>°方向朝向消防车，下方供水管固定，两侧以 </w:t>
      </w:r>
      <w:r>
        <w:rPr/>
        <w:t>250 mm</w:t>
      </w:r>
      <w:r>
        <w:rPr>
          <w:spacing w:val="-9"/>
        </w:rPr>
        <w:t> 间距安装朝向消防</w:t>
      </w:r>
      <w:r>
        <w:rPr>
          <w:spacing w:val="-5"/>
        </w:rPr>
        <w:t>车的雨水喷头。试验时将消防车驶入防雨密封架，调整防雨密封架上方供水管使雨水喷头距消 </w:t>
      </w:r>
      <w:r>
        <w:rPr>
          <w:spacing w:val="-10"/>
        </w:rPr>
        <w:t>防车两侧上方 </w:t>
      </w:r>
      <w:r>
        <w:rPr/>
        <w:t>300 </w:t>
      </w:r>
      <w:r>
        <w:rPr>
          <w:spacing w:val="-3"/>
        </w:rPr>
        <w:t>mm，关闭消防车门、窗和器材箱门，启动发动机并保持怠速，开启供水泵以0.12</w:t>
      </w:r>
      <w:r>
        <w:rPr>
          <w:spacing w:val="6"/>
        </w:rPr>
        <w:t> </w:t>
      </w:r>
      <w:r>
        <w:rPr/>
        <w:t>mm/s</w:t>
      </w:r>
      <w:r>
        <w:rPr>
          <w:spacing w:val="-10"/>
        </w:rPr>
        <w:t> 的降雨强度向防雨密封架供水，同时开启雨刮、警灯、频闪灯，试验时间为 </w:t>
      </w:r>
      <w:r>
        <w:rPr/>
        <w:t>15 </w:t>
      </w:r>
    </w:p>
    <w:p>
      <w:pPr>
        <w:pStyle w:val="BodyText"/>
        <w:spacing w:line="267" w:lineRule="exact"/>
        <w:ind w:left="418"/>
      </w:pPr>
      <w:r>
        <w:rPr/>
        <w:t>min。停止喷水后打开消防车门、窗和器材箱门检查是否有渗漏，判断试验结果是否符合 5.1.8</w:t>
      </w:r>
    </w:p>
    <w:p>
      <w:pPr>
        <w:pStyle w:val="BodyText"/>
        <w:spacing w:before="2"/>
        <w:rPr>
          <w:sz w:val="18"/>
        </w:rPr>
      </w:pPr>
    </w:p>
    <w:p>
      <w:pPr>
        <w:pStyle w:val="BodyText"/>
        <w:ind w:left="418"/>
      </w:pPr>
      <w:r>
        <w:rPr/>
        <w:t>的规定。 </w:t>
      </w:r>
    </w:p>
    <w:p>
      <w:pPr>
        <w:pStyle w:val="BodyText"/>
        <w:spacing w:before="12"/>
        <w:rPr>
          <w:sz w:val="17"/>
        </w:rPr>
      </w:pPr>
    </w:p>
    <w:p>
      <w:pPr>
        <w:pStyle w:val="ListParagraph"/>
        <w:numPr>
          <w:ilvl w:val="2"/>
          <w:numId w:val="165"/>
        </w:numPr>
        <w:tabs>
          <w:tab w:pos="1371" w:val="left" w:leader="none"/>
        </w:tabs>
        <w:spacing w:line="240" w:lineRule="auto" w:before="0" w:after="0"/>
        <w:ind w:left="1370" w:right="0" w:hanging="531"/>
        <w:jc w:val="left"/>
        <w:rPr>
          <w:sz w:val="21"/>
        </w:rPr>
      </w:pPr>
      <w:r>
        <w:rPr>
          <w:spacing w:val="-3"/>
          <w:sz w:val="21"/>
        </w:rPr>
        <w:t>低温使用试验</w:t>
      </w:r>
      <w:r>
        <w:rPr>
          <w:sz w:val="21"/>
        </w:rPr>
        <w:t> </w:t>
      </w:r>
    </w:p>
    <w:p>
      <w:pPr>
        <w:pStyle w:val="BodyText"/>
        <w:rPr>
          <w:sz w:val="18"/>
        </w:rPr>
      </w:pPr>
    </w:p>
    <w:p>
      <w:pPr>
        <w:pStyle w:val="BodyText"/>
        <w:spacing w:line="446" w:lineRule="auto"/>
        <w:ind w:left="418" w:right="1450" w:firstLine="419"/>
        <w:jc w:val="both"/>
      </w:pPr>
      <w:r>
        <w:rPr>
          <w:spacing w:val="-3"/>
        </w:rPr>
        <w:t>如消防车产品铭牌上标注的消防车的使用温度在-</w:t>
      </w:r>
      <w:r>
        <w:rPr/>
        <w:t>10</w:t>
      </w:r>
      <w:r>
        <w:rPr>
          <w:spacing w:val="-3"/>
        </w:rPr>
        <w:t>℃或以下，目测检查消防车的消防泵和外露阀门等过水部件是否配置保温或加温装置，在-</w:t>
      </w:r>
      <w:r>
        <w:rPr/>
        <w:t>10℃</w:t>
      </w:r>
      <w:r>
        <w:rPr>
          <w:spacing w:val="-3"/>
        </w:rPr>
        <w:t>或更低温度下消防车在管路无余水状态</w:t>
      </w:r>
      <w:r>
        <w:rPr>
          <w:spacing w:val="-12"/>
        </w:rPr>
        <w:t>下放置 </w:t>
      </w:r>
      <w:r>
        <w:rPr/>
        <w:t>1 h</w:t>
      </w:r>
      <w:r>
        <w:rPr>
          <w:spacing w:val="-3"/>
        </w:rPr>
        <w:t>，自动保温或加温装置，检查消防炮和各出水口是否工作正常，目测检查这些保温或</w:t>
      </w:r>
      <w:r>
        <w:rPr>
          <w:spacing w:val="-6"/>
        </w:rPr>
        <w:t>加湿装置的启动位置，判断试验结果是否符合 </w:t>
      </w:r>
      <w:r>
        <w:rPr/>
        <w:t>5.1.9</w:t>
      </w:r>
      <w:r>
        <w:rPr>
          <w:spacing w:val="-13"/>
        </w:rPr>
        <w:t> 的规定。</w:t>
      </w:r>
      <w:r>
        <w:rPr/>
        <w:t> </w:t>
      </w:r>
    </w:p>
    <w:p>
      <w:pPr>
        <w:pStyle w:val="ListParagraph"/>
        <w:numPr>
          <w:ilvl w:val="1"/>
          <w:numId w:val="167"/>
        </w:numPr>
        <w:tabs>
          <w:tab w:pos="1159" w:val="left" w:leader="none"/>
        </w:tabs>
        <w:spacing w:line="240" w:lineRule="auto" w:before="0" w:after="0"/>
        <w:ind w:left="1158" w:right="0" w:hanging="319"/>
        <w:jc w:val="left"/>
        <w:rPr>
          <w:b/>
          <w:sz w:val="21"/>
        </w:rPr>
      </w:pPr>
      <w:r>
        <w:rPr>
          <w:spacing w:val="-3"/>
          <w:sz w:val="21"/>
        </w:rPr>
        <w:t>整车标志和标识检查</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167"/>
        </w:numPr>
        <w:tabs>
          <w:tab w:pos="1371" w:val="left" w:leader="none"/>
        </w:tabs>
        <w:spacing w:line="240" w:lineRule="auto" w:before="47" w:after="0"/>
        <w:ind w:left="1370" w:right="0" w:hanging="531"/>
        <w:jc w:val="left"/>
        <w:rPr>
          <w:sz w:val="21"/>
        </w:rPr>
      </w:pPr>
      <w:r>
        <w:rPr>
          <w:spacing w:val="-5"/>
          <w:sz w:val="21"/>
        </w:rPr>
        <w:t>目测检查消防车的商标或厂标、产品标牌，判断试验结果是否符合 </w:t>
      </w:r>
      <w:r>
        <w:rPr>
          <w:sz w:val="21"/>
        </w:rPr>
        <w:t>5.2.1</w:t>
      </w:r>
      <w:r>
        <w:rPr>
          <w:spacing w:val="-13"/>
          <w:sz w:val="21"/>
        </w:rPr>
        <w:t> 的规定。</w:t>
      </w:r>
      <w:r>
        <w:rPr>
          <w:sz w:val="21"/>
        </w:rPr>
        <w:t> </w:t>
      </w:r>
    </w:p>
    <w:p>
      <w:pPr>
        <w:pStyle w:val="BodyText"/>
        <w:rPr>
          <w:sz w:val="18"/>
        </w:rPr>
      </w:pPr>
    </w:p>
    <w:p>
      <w:pPr>
        <w:pStyle w:val="ListParagraph"/>
        <w:numPr>
          <w:ilvl w:val="2"/>
          <w:numId w:val="167"/>
        </w:numPr>
        <w:tabs>
          <w:tab w:pos="1371" w:val="left" w:leader="none"/>
        </w:tabs>
        <w:spacing w:line="240" w:lineRule="auto" w:before="0" w:after="0"/>
        <w:ind w:left="1370" w:right="0" w:hanging="531"/>
        <w:jc w:val="left"/>
        <w:rPr>
          <w:sz w:val="21"/>
        </w:rPr>
      </w:pPr>
      <w:r>
        <w:rPr>
          <w:spacing w:val="-5"/>
          <w:sz w:val="21"/>
        </w:rPr>
        <w:t>目测检查消防车的车辆识别代号，判断试验结果是否符合 </w:t>
      </w:r>
      <w:r>
        <w:rPr>
          <w:sz w:val="21"/>
        </w:rPr>
        <w:t>5.2.2</w:t>
      </w:r>
      <w:r>
        <w:rPr>
          <w:spacing w:val="-12"/>
          <w:sz w:val="21"/>
        </w:rPr>
        <w:t> 的规定。 </w:t>
      </w:r>
    </w:p>
    <w:p>
      <w:pPr>
        <w:pStyle w:val="BodyText"/>
        <w:rPr>
          <w:sz w:val="18"/>
        </w:rPr>
      </w:pPr>
    </w:p>
    <w:p>
      <w:pPr>
        <w:pStyle w:val="ListParagraph"/>
        <w:numPr>
          <w:ilvl w:val="2"/>
          <w:numId w:val="167"/>
        </w:numPr>
        <w:tabs>
          <w:tab w:pos="1370" w:val="left" w:leader="none"/>
        </w:tabs>
        <w:spacing w:line="240" w:lineRule="auto" w:before="0" w:after="0"/>
        <w:ind w:left="1369" w:right="0" w:hanging="530"/>
        <w:jc w:val="left"/>
        <w:rPr>
          <w:sz w:val="21"/>
        </w:rPr>
      </w:pPr>
      <w:r>
        <w:rPr>
          <w:spacing w:val="-5"/>
          <w:sz w:val="21"/>
        </w:rPr>
        <w:t>目测检查消防车外表面的颜色，判断试验结果是否符合 </w:t>
      </w:r>
      <w:r>
        <w:rPr>
          <w:sz w:val="21"/>
        </w:rPr>
        <w:t>5.2.3</w:t>
      </w:r>
      <w:r>
        <w:rPr>
          <w:spacing w:val="-12"/>
          <w:sz w:val="21"/>
        </w:rPr>
        <w:t> 的规定。 </w:t>
      </w:r>
    </w:p>
    <w:p>
      <w:pPr>
        <w:pStyle w:val="BodyText"/>
        <w:spacing w:before="1"/>
        <w:rPr>
          <w:sz w:val="18"/>
        </w:rPr>
      </w:pPr>
    </w:p>
    <w:p>
      <w:pPr>
        <w:pStyle w:val="ListParagraph"/>
        <w:numPr>
          <w:ilvl w:val="2"/>
          <w:numId w:val="167"/>
        </w:numPr>
        <w:tabs>
          <w:tab w:pos="1371" w:val="left" w:leader="none"/>
        </w:tabs>
        <w:spacing w:line="446" w:lineRule="auto" w:before="1" w:after="0"/>
        <w:ind w:left="418" w:right="1604" w:firstLine="422"/>
        <w:jc w:val="left"/>
        <w:rPr>
          <w:sz w:val="21"/>
        </w:rPr>
      </w:pPr>
      <w:r>
        <w:rPr>
          <w:spacing w:val="-3"/>
          <w:sz w:val="21"/>
        </w:rPr>
        <w:t>目测检查反光标识的粘贴并采用通用量具测量车身反光标识的长度，判断试验结果</w:t>
      </w:r>
      <w:r>
        <w:rPr>
          <w:spacing w:val="-13"/>
          <w:sz w:val="21"/>
        </w:rPr>
        <w:t>是否符合 </w:t>
      </w:r>
      <w:r>
        <w:rPr>
          <w:sz w:val="21"/>
        </w:rPr>
        <w:t>5.2.4</w:t>
      </w:r>
      <w:r>
        <w:rPr>
          <w:spacing w:val="-12"/>
          <w:sz w:val="21"/>
        </w:rPr>
        <w:t> 的规定。 </w:t>
      </w:r>
    </w:p>
    <w:p>
      <w:pPr>
        <w:pStyle w:val="ListParagraph"/>
        <w:numPr>
          <w:ilvl w:val="2"/>
          <w:numId w:val="167"/>
        </w:numPr>
        <w:tabs>
          <w:tab w:pos="1370" w:val="left" w:leader="none"/>
        </w:tabs>
        <w:spacing w:line="267" w:lineRule="exact" w:before="0" w:after="0"/>
        <w:ind w:left="1369" w:right="0" w:hanging="530"/>
        <w:jc w:val="left"/>
        <w:rPr>
          <w:sz w:val="21"/>
        </w:rPr>
      </w:pPr>
      <w:r>
        <w:rPr>
          <w:spacing w:val="-5"/>
          <w:sz w:val="21"/>
        </w:rPr>
        <w:t>采用通用量具测量号牌板的高度和角度，判断试验结果是否符合 </w:t>
      </w:r>
      <w:r>
        <w:rPr>
          <w:sz w:val="21"/>
        </w:rPr>
        <w:t>5.2.5</w:t>
      </w:r>
      <w:r>
        <w:rPr>
          <w:spacing w:val="-13"/>
          <w:sz w:val="21"/>
        </w:rPr>
        <w:t> 的规定。</w:t>
      </w:r>
      <w:r>
        <w:rPr>
          <w:sz w:val="21"/>
        </w:rPr>
        <w:t> </w:t>
      </w:r>
    </w:p>
    <w:p>
      <w:pPr>
        <w:pStyle w:val="BodyText"/>
        <w:spacing w:before="1"/>
        <w:rPr>
          <w:sz w:val="18"/>
        </w:rPr>
      </w:pPr>
    </w:p>
    <w:p>
      <w:pPr>
        <w:pStyle w:val="ListParagraph"/>
        <w:numPr>
          <w:ilvl w:val="2"/>
          <w:numId w:val="167"/>
        </w:numPr>
        <w:tabs>
          <w:tab w:pos="1371" w:val="left" w:leader="none"/>
        </w:tabs>
        <w:spacing w:line="446" w:lineRule="auto" w:before="1" w:after="0"/>
        <w:ind w:left="418" w:right="1604" w:firstLine="422"/>
        <w:jc w:val="left"/>
        <w:rPr>
          <w:sz w:val="21"/>
        </w:rPr>
      </w:pPr>
      <w:r>
        <w:rPr>
          <w:spacing w:val="-5"/>
          <w:sz w:val="21"/>
        </w:rPr>
        <w:t>目测检查消防车轮胎上方车体处轮胎气压的标注。判断试验结果是否符合 </w:t>
      </w:r>
      <w:r>
        <w:rPr>
          <w:sz w:val="21"/>
        </w:rPr>
        <w:t>5.2.6</w:t>
      </w:r>
      <w:r>
        <w:rPr>
          <w:spacing w:val="-23"/>
          <w:sz w:val="21"/>
        </w:rPr>
        <w:t> 的</w:t>
      </w:r>
      <w:r>
        <w:rPr>
          <w:spacing w:val="-17"/>
          <w:sz w:val="21"/>
        </w:rPr>
        <w:t>规定。</w:t>
      </w:r>
      <w:r>
        <w:rPr>
          <w:sz w:val="21"/>
        </w:rPr>
        <w:t> </w:t>
      </w:r>
    </w:p>
    <w:p>
      <w:pPr>
        <w:pStyle w:val="ListParagraph"/>
        <w:numPr>
          <w:ilvl w:val="1"/>
          <w:numId w:val="167"/>
        </w:numPr>
        <w:tabs>
          <w:tab w:pos="1159" w:val="left" w:leader="none"/>
        </w:tabs>
        <w:spacing w:line="267" w:lineRule="exact" w:before="0" w:after="0"/>
        <w:ind w:left="1158" w:right="0" w:hanging="319"/>
        <w:jc w:val="left"/>
        <w:rPr>
          <w:sz w:val="21"/>
        </w:rPr>
      </w:pPr>
      <w:r>
        <w:rPr>
          <w:spacing w:val="-3"/>
          <w:sz w:val="21"/>
        </w:rPr>
        <w:t>底盘的一般要求检查</w:t>
      </w:r>
      <w:r>
        <w:rPr>
          <w:sz w:val="21"/>
        </w:rPr>
        <w:t> </w:t>
      </w:r>
    </w:p>
    <w:p>
      <w:pPr>
        <w:pStyle w:val="BodyText"/>
        <w:spacing w:before="1"/>
        <w:rPr>
          <w:sz w:val="18"/>
        </w:rPr>
      </w:pPr>
    </w:p>
    <w:p>
      <w:pPr>
        <w:pStyle w:val="ListParagraph"/>
        <w:numPr>
          <w:ilvl w:val="2"/>
          <w:numId w:val="167"/>
        </w:numPr>
        <w:tabs>
          <w:tab w:pos="1371" w:val="left" w:leader="none"/>
        </w:tabs>
        <w:spacing w:line="240" w:lineRule="auto" w:before="0" w:after="0"/>
        <w:ind w:left="1370" w:right="0" w:hanging="531"/>
        <w:jc w:val="left"/>
        <w:rPr>
          <w:sz w:val="21"/>
        </w:rPr>
      </w:pPr>
      <w:r>
        <w:rPr>
          <w:spacing w:val="-6"/>
          <w:sz w:val="21"/>
        </w:rPr>
        <w:t>目测检查底盘的各种仪表，判断试验结果是否符合 </w:t>
      </w:r>
      <w:r>
        <w:rPr>
          <w:sz w:val="21"/>
        </w:rPr>
        <w:t>5.3.1</w:t>
      </w:r>
      <w:r>
        <w:rPr>
          <w:spacing w:val="-13"/>
          <w:sz w:val="21"/>
        </w:rPr>
        <w:t> 的规定。</w:t>
      </w:r>
      <w:r>
        <w:rPr>
          <w:sz w:val="21"/>
        </w:rPr>
        <w:t> </w:t>
      </w:r>
    </w:p>
    <w:p>
      <w:pPr>
        <w:pStyle w:val="BodyText"/>
        <w:rPr>
          <w:sz w:val="18"/>
        </w:rPr>
      </w:pPr>
    </w:p>
    <w:p>
      <w:pPr>
        <w:pStyle w:val="ListParagraph"/>
        <w:numPr>
          <w:ilvl w:val="2"/>
          <w:numId w:val="167"/>
        </w:numPr>
        <w:tabs>
          <w:tab w:pos="1371" w:val="left" w:leader="none"/>
        </w:tabs>
        <w:spacing w:line="240" w:lineRule="auto" w:before="0" w:after="0"/>
        <w:ind w:left="1370" w:right="0" w:hanging="531"/>
        <w:jc w:val="left"/>
        <w:rPr>
          <w:sz w:val="21"/>
        </w:rPr>
      </w:pPr>
      <w:r>
        <w:rPr>
          <w:spacing w:val="-28"/>
          <w:sz w:val="21"/>
        </w:rPr>
        <w:t>按 </w:t>
      </w:r>
      <w:r>
        <w:rPr>
          <w:sz w:val="21"/>
        </w:rPr>
        <w:t>6.1.2</w:t>
      </w:r>
      <w:r>
        <w:rPr>
          <w:spacing w:val="-12"/>
          <w:sz w:val="21"/>
        </w:rPr>
        <w:t> 试验方法进行，判断试验结果是否符合 </w:t>
      </w:r>
      <w:r>
        <w:rPr>
          <w:sz w:val="21"/>
        </w:rPr>
        <w:t>5.3.2</w:t>
      </w:r>
      <w:r>
        <w:rPr>
          <w:spacing w:val="-13"/>
          <w:sz w:val="21"/>
        </w:rPr>
        <w:t> 的规定。</w:t>
      </w:r>
      <w:r>
        <w:rPr>
          <w:sz w:val="21"/>
        </w:rPr>
        <w:t> </w:t>
      </w:r>
    </w:p>
    <w:p>
      <w:pPr>
        <w:pStyle w:val="BodyText"/>
        <w:spacing w:before="12"/>
        <w:rPr>
          <w:sz w:val="17"/>
        </w:rPr>
      </w:pPr>
    </w:p>
    <w:p>
      <w:pPr>
        <w:pStyle w:val="ListParagraph"/>
        <w:numPr>
          <w:ilvl w:val="2"/>
          <w:numId w:val="167"/>
        </w:numPr>
        <w:tabs>
          <w:tab w:pos="1370" w:val="left" w:leader="none"/>
        </w:tabs>
        <w:spacing w:line="240" w:lineRule="auto" w:before="0" w:after="0"/>
        <w:ind w:left="1369" w:right="0" w:hanging="530"/>
        <w:jc w:val="left"/>
        <w:rPr>
          <w:sz w:val="21"/>
        </w:rPr>
      </w:pPr>
      <w:r>
        <w:rPr>
          <w:spacing w:val="-6"/>
          <w:sz w:val="21"/>
        </w:rPr>
        <w:t>检查发动机自动断油系统，判断试验结果是否符合 </w:t>
      </w:r>
      <w:r>
        <w:rPr>
          <w:sz w:val="21"/>
        </w:rPr>
        <w:t>5.3.3</w:t>
      </w:r>
      <w:r>
        <w:rPr>
          <w:spacing w:val="-13"/>
          <w:sz w:val="21"/>
        </w:rPr>
        <w:t> 的规定。</w:t>
      </w:r>
      <w:r>
        <w:rPr>
          <w:sz w:val="21"/>
        </w:rPr>
        <w:t> </w:t>
      </w:r>
    </w:p>
    <w:p>
      <w:pPr>
        <w:pStyle w:val="BodyText"/>
        <w:spacing w:before="2"/>
        <w:rPr>
          <w:sz w:val="18"/>
        </w:rPr>
      </w:pPr>
    </w:p>
    <w:p>
      <w:pPr>
        <w:pStyle w:val="ListParagraph"/>
        <w:numPr>
          <w:ilvl w:val="2"/>
          <w:numId w:val="167"/>
        </w:numPr>
        <w:tabs>
          <w:tab w:pos="1371" w:val="left" w:leader="none"/>
        </w:tabs>
        <w:spacing w:line="240" w:lineRule="auto" w:before="0" w:after="0"/>
        <w:ind w:left="1370" w:right="0" w:hanging="531"/>
        <w:jc w:val="left"/>
        <w:rPr>
          <w:sz w:val="21"/>
        </w:rPr>
      </w:pPr>
      <w:r>
        <w:rPr>
          <w:spacing w:val="-5"/>
          <w:sz w:val="21"/>
        </w:rPr>
        <w:t>检查进口底盘中文使用说明书、中文维修手册等资料，判断试验结果是否符合 </w:t>
      </w:r>
      <w:r>
        <w:rPr>
          <w:sz w:val="21"/>
        </w:rPr>
        <w:t>5.3.4</w:t>
      </w:r>
    </w:p>
    <w:p>
      <w:pPr>
        <w:pStyle w:val="BodyText"/>
        <w:rPr>
          <w:sz w:val="18"/>
        </w:rPr>
      </w:pPr>
    </w:p>
    <w:p>
      <w:pPr>
        <w:pStyle w:val="BodyText"/>
        <w:ind w:left="418"/>
      </w:pPr>
      <w:r>
        <w:rPr/>
        <w:t>的规定。 </w:t>
      </w:r>
    </w:p>
    <w:p>
      <w:pPr>
        <w:pStyle w:val="BodyText"/>
        <w:spacing w:before="12"/>
        <w:rPr>
          <w:sz w:val="17"/>
        </w:rPr>
      </w:pPr>
    </w:p>
    <w:p>
      <w:pPr>
        <w:pStyle w:val="ListParagraph"/>
        <w:numPr>
          <w:ilvl w:val="1"/>
          <w:numId w:val="167"/>
        </w:numPr>
        <w:tabs>
          <w:tab w:pos="1159" w:val="left" w:leader="none"/>
        </w:tabs>
        <w:spacing w:line="240" w:lineRule="auto" w:before="0" w:after="0"/>
        <w:ind w:left="1158" w:right="0" w:hanging="319"/>
        <w:jc w:val="left"/>
        <w:rPr>
          <w:sz w:val="21"/>
        </w:rPr>
      </w:pPr>
      <w:r>
        <w:rPr>
          <w:spacing w:val="-3"/>
          <w:sz w:val="21"/>
        </w:rPr>
        <w:t>底盘改制试验</w:t>
      </w:r>
      <w:r>
        <w:rPr>
          <w:sz w:val="21"/>
        </w:rPr>
        <w:t> </w:t>
      </w:r>
    </w:p>
    <w:p>
      <w:pPr>
        <w:pStyle w:val="BodyText"/>
        <w:spacing w:before="2"/>
        <w:rPr>
          <w:sz w:val="18"/>
        </w:rPr>
      </w:pPr>
    </w:p>
    <w:p>
      <w:pPr>
        <w:pStyle w:val="ListParagraph"/>
        <w:numPr>
          <w:ilvl w:val="2"/>
          <w:numId w:val="167"/>
        </w:numPr>
        <w:tabs>
          <w:tab w:pos="1370" w:val="left" w:leader="none"/>
        </w:tabs>
        <w:spacing w:line="240" w:lineRule="auto" w:before="0" w:after="0"/>
        <w:ind w:left="1369" w:right="0" w:hanging="530"/>
        <w:jc w:val="left"/>
        <w:rPr>
          <w:sz w:val="21"/>
        </w:rPr>
      </w:pPr>
      <w:r>
        <w:rPr>
          <w:spacing w:val="-3"/>
          <w:sz w:val="21"/>
        </w:rPr>
        <w:t>底盘改制前的试验</w:t>
      </w:r>
      <w:r>
        <w:rPr>
          <w:sz w:val="21"/>
        </w:rPr>
        <w:t> </w:t>
      </w:r>
    </w:p>
    <w:p>
      <w:pPr>
        <w:pStyle w:val="BodyText"/>
        <w:rPr>
          <w:sz w:val="18"/>
        </w:rPr>
      </w:pPr>
    </w:p>
    <w:p>
      <w:pPr>
        <w:pStyle w:val="ListParagraph"/>
        <w:numPr>
          <w:ilvl w:val="3"/>
          <w:numId w:val="167"/>
        </w:numPr>
        <w:tabs>
          <w:tab w:pos="1576" w:val="left" w:leader="none"/>
        </w:tabs>
        <w:spacing w:line="240" w:lineRule="auto" w:before="0" w:after="0"/>
        <w:ind w:left="1575" w:right="0" w:hanging="738"/>
        <w:jc w:val="left"/>
        <w:rPr>
          <w:sz w:val="21"/>
        </w:rPr>
      </w:pPr>
      <w:r>
        <w:rPr>
          <w:spacing w:val="-3"/>
          <w:sz w:val="21"/>
        </w:rPr>
        <w:t>发动机冷却 </w:t>
      </w:r>
    </w:p>
    <w:p>
      <w:pPr>
        <w:pStyle w:val="BodyText"/>
        <w:spacing w:before="12"/>
        <w:rPr>
          <w:sz w:val="17"/>
        </w:rPr>
      </w:pPr>
    </w:p>
    <w:p>
      <w:pPr>
        <w:pStyle w:val="BodyText"/>
        <w:spacing w:line="446" w:lineRule="auto"/>
        <w:ind w:left="418" w:right="1555" w:firstLine="419"/>
        <w:jc w:val="both"/>
      </w:pPr>
      <w:r>
        <w:rPr>
          <w:spacing w:val="-3"/>
        </w:rPr>
        <w:t>检查底盘发动机是否装有附加冷却系统，附加冷却系统的冷却介质是否与发动机冷却水相混，附加冷却系统最低处是否有放尽冷却介质的装置，将发动机驱动的额定负载机构与发动机</w:t>
      </w:r>
      <w:r>
        <w:rPr>
          <w:spacing w:val="-6"/>
        </w:rPr>
        <w:t>相连接，启动发动机并驱动额定负载连续运转 </w:t>
      </w:r>
      <w:r>
        <w:rPr/>
        <w:t>2 h</w:t>
      </w:r>
      <w:r>
        <w:rPr>
          <w:spacing w:val="-7"/>
        </w:rPr>
        <w:t>，同时打开附加冷却系统，每 </w:t>
      </w:r>
      <w:r>
        <w:rPr/>
        <w:t>15 min</w:t>
      </w:r>
      <w:r>
        <w:rPr>
          <w:spacing w:val="-14"/>
        </w:rPr>
        <w:t> 测量一</w:t>
      </w:r>
      <w:r>
        <w:rPr>
          <w:spacing w:val="-10"/>
        </w:rPr>
        <w:t>次发动机冷却水温度，判断试验结果是否符合 </w:t>
      </w:r>
      <w:r>
        <w:rPr/>
        <w:t>5.4.1.1</w:t>
      </w:r>
      <w:r>
        <w:rPr>
          <w:spacing w:val="-13"/>
        </w:rPr>
        <w:t> 的规定。</w:t>
      </w:r>
      <w:r>
        <w:rPr/>
        <w:t> </w:t>
      </w:r>
    </w:p>
    <w:p>
      <w:pPr>
        <w:pStyle w:val="ListParagraph"/>
        <w:numPr>
          <w:ilvl w:val="3"/>
          <w:numId w:val="167"/>
        </w:numPr>
        <w:tabs>
          <w:tab w:pos="1576" w:val="left" w:leader="none"/>
        </w:tabs>
        <w:spacing w:line="240" w:lineRule="auto" w:before="1" w:after="0"/>
        <w:ind w:left="1575" w:right="0" w:hanging="738"/>
        <w:jc w:val="left"/>
        <w:rPr>
          <w:sz w:val="21"/>
        </w:rPr>
      </w:pPr>
      <w:r>
        <w:rPr>
          <w:spacing w:val="-3"/>
          <w:sz w:val="21"/>
        </w:rPr>
        <w:t>功率输出装置</w:t>
      </w:r>
      <w:r>
        <w:rPr>
          <w:sz w:val="21"/>
        </w:rPr>
        <w:t> </w:t>
      </w:r>
    </w:p>
    <w:p>
      <w:pPr>
        <w:pStyle w:val="BodyText"/>
        <w:spacing w:before="12"/>
        <w:rPr>
          <w:sz w:val="17"/>
        </w:rPr>
      </w:pPr>
    </w:p>
    <w:p>
      <w:pPr>
        <w:pStyle w:val="ListParagraph"/>
        <w:numPr>
          <w:ilvl w:val="4"/>
          <w:numId w:val="167"/>
        </w:numPr>
        <w:tabs>
          <w:tab w:pos="1788" w:val="left" w:leader="none"/>
        </w:tabs>
        <w:spacing w:line="446" w:lineRule="auto" w:before="0" w:after="0"/>
        <w:ind w:left="418" w:right="1609" w:firstLine="419"/>
        <w:jc w:val="both"/>
        <w:rPr>
          <w:sz w:val="21"/>
        </w:rPr>
      </w:pPr>
      <w:r>
        <w:rPr>
          <w:spacing w:val="-3"/>
          <w:sz w:val="21"/>
        </w:rPr>
        <w:t>检查功率输出装置的形式、发动机额定功率及负载需要的功率，判断试验结果</w:t>
      </w:r>
      <w:r>
        <w:rPr>
          <w:spacing w:val="-13"/>
          <w:sz w:val="21"/>
        </w:rPr>
        <w:t>是否符合 </w:t>
      </w:r>
      <w:r>
        <w:rPr>
          <w:sz w:val="21"/>
        </w:rPr>
        <w:t>5.4.1.2.1</w:t>
      </w:r>
      <w:r>
        <w:rPr>
          <w:spacing w:val="-12"/>
          <w:sz w:val="21"/>
        </w:rPr>
        <w:t> 的规定。 </w:t>
      </w:r>
    </w:p>
    <w:p>
      <w:pPr>
        <w:pStyle w:val="ListParagraph"/>
        <w:numPr>
          <w:ilvl w:val="4"/>
          <w:numId w:val="167"/>
        </w:numPr>
        <w:tabs>
          <w:tab w:pos="1788" w:val="left" w:leader="none"/>
        </w:tabs>
        <w:spacing w:line="446" w:lineRule="auto" w:before="0" w:after="0"/>
        <w:ind w:left="418" w:right="1608" w:firstLine="419"/>
        <w:jc w:val="both"/>
        <w:rPr>
          <w:sz w:val="21"/>
        </w:rPr>
      </w:pPr>
      <w:r>
        <w:rPr>
          <w:spacing w:val="-3"/>
          <w:sz w:val="21"/>
        </w:rPr>
        <w:t>检查夹心式功率输出装置或断轴式功率输出装置的强制冷却器冷却液是否与功率输出装置的润滑油相混，冷却介质的流量是否可以调节，在最低处是否有放尽冷却介质的装</w:t>
      </w:r>
      <w:r>
        <w:rPr>
          <w:spacing w:val="-7"/>
          <w:sz w:val="21"/>
        </w:rPr>
        <w:t>置，判断试验结果是否符合 </w:t>
      </w:r>
      <w:r>
        <w:rPr>
          <w:sz w:val="21"/>
        </w:rPr>
        <w:t>5.4.1.2.2</w:t>
      </w:r>
      <w:r>
        <w:rPr>
          <w:spacing w:val="-13"/>
          <w:sz w:val="21"/>
        </w:rPr>
        <w:t> 的规定。</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4"/>
          <w:numId w:val="167"/>
        </w:numPr>
        <w:tabs>
          <w:tab w:pos="1788" w:val="left" w:leader="none"/>
        </w:tabs>
        <w:spacing w:line="446" w:lineRule="auto" w:before="47" w:after="0"/>
        <w:ind w:left="418" w:right="1609" w:firstLine="419"/>
        <w:jc w:val="both"/>
        <w:rPr>
          <w:sz w:val="21"/>
        </w:rPr>
      </w:pPr>
      <w:r>
        <w:rPr>
          <w:spacing w:val="-3"/>
          <w:sz w:val="21"/>
        </w:rPr>
        <w:t>检查功率输出装置的中文指示和工作指示灯，检查断轴式功率输出装置的防止</w:t>
      </w:r>
      <w:r>
        <w:rPr>
          <w:spacing w:val="-6"/>
          <w:sz w:val="21"/>
        </w:rPr>
        <w:t>误操作机构是否可靠工作，判断试验结果是否符合 </w:t>
      </w:r>
      <w:r>
        <w:rPr>
          <w:sz w:val="21"/>
        </w:rPr>
        <w:t>5.4.1.2.3</w:t>
      </w:r>
      <w:r>
        <w:rPr>
          <w:spacing w:val="-13"/>
          <w:sz w:val="21"/>
        </w:rPr>
        <w:t> 的规定。</w:t>
      </w:r>
      <w:r>
        <w:rPr>
          <w:sz w:val="21"/>
        </w:rPr>
        <w:t> </w:t>
      </w:r>
    </w:p>
    <w:p>
      <w:pPr>
        <w:pStyle w:val="ListParagraph"/>
        <w:numPr>
          <w:ilvl w:val="4"/>
          <w:numId w:val="167"/>
        </w:numPr>
        <w:tabs>
          <w:tab w:pos="1788" w:val="left" w:leader="none"/>
        </w:tabs>
        <w:spacing w:line="446" w:lineRule="auto" w:before="0" w:after="0"/>
        <w:ind w:left="418" w:right="1556" w:firstLine="419"/>
        <w:jc w:val="both"/>
        <w:rPr>
          <w:sz w:val="21"/>
        </w:rPr>
      </w:pPr>
      <w:r>
        <w:rPr>
          <w:spacing w:val="-3"/>
          <w:sz w:val="21"/>
        </w:rPr>
        <w:t>将与功率输出装置额定负载相匹配的负载与功率输出装置相连接，启动发动机 </w:t>
      </w:r>
      <w:r>
        <w:rPr>
          <w:spacing w:val="-6"/>
          <w:sz w:val="21"/>
        </w:rPr>
        <w:t>通过功率输出装置驱动负载连续运转 </w:t>
      </w:r>
      <w:r>
        <w:rPr>
          <w:sz w:val="21"/>
        </w:rPr>
        <w:t>6</w:t>
      </w:r>
      <w:r>
        <w:rPr>
          <w:spacing w:val="11"/>
          <w:sz w:val="21"/>
        </w:rPr>
        <w:t> </w:t>
      </w:r>
      <w:r>
        <w:rPr>
          <w:sz w:val="21"/>
        </w:rPr>
        <w:t>h</w:t>
      </w:r>
      <w:r>
        <w:rPr>
          <w:spacing w:val="-6"/>
          <w:sz w:val="21"/>
        </w:rPr>
        <w:t>，同时打开功率输出装置的强制冷却器，每 </w:t>
      </w:r>
      <w:r>
        <w:rPr>
          <w:sz w:val="21"/>
        </w:rPr>
        <w:t>15</w:t>
      </w:r>
      <w:r>
        <w:rPr>
          <w:spacing w:val="11"/>
          <w:sz w:val="21"/>
        </w:rPr>
        <w:t> </w:t>
      </w:r>
      <w:r>
        <w:rPr>
          <w:sz w:val="21"/>
        </w:rPr>
        <w:t>min</w:t>
      </w:r>
      <w:r>
        <w:rPr>
          <w:spacing w:val="-24"/>
          <w:sz w:val="21"/>
        </w:rPr>
        <w:t> 测</w:t>
      </w:r>
      <w:r>
        <w:rPr>
          <w:spacing w:val="-10"/>
          <w:sz w:val="21"/>
        </w:rPr>
        <w:t>量一次功率输出装置润滑油温度，判断试验结果是否符合 </w:t>
      </w:r>
      <w:r>
        <w:rPr>
          <w:sz w:val="21"/>
        </w:rPr>
        <w:t>5.4.1.2.4</w:t>
      </w:r>
      <w:r>
        <w:rPr>
          <w:spacing w:val="-12"/>
          <w:sz w:val="21"/>
        </w:rPr>
        <w:t> 的规定。 </w:t>
      </w:r>
    </w:p>
    <w:p>
      <w:pPr>
        <w:pStyle w:val="ListParagraph"/>
        <w:numPr>
          <w:ilvl w:val="3"/>
          <w:numId w:val="167"/>
        </w:numPr>
        <w:tabs>
          <w:tab w:pos="1576" w:val="left" w:leader="none"/>
        </w:tabs>
        <w:spacing w:line="268" w:lineRule="exact" w:before="0" w:after="0"/>
        <w:ind w:left="1575" w:right="0" w:hanging="738"/>
        <w:jc w:val="left"/>
        <w:rPr>
          <w:sz w:val="21"/>
        </w:rPr>
      </w:pPr>
      <w:r>
        <w:rPr>
          <w:spacing w:val="-3"/>
          <w:sz w:val="21"/>
        </w:rPr>
        <w:t>离合器</w:t>
      </w:r>
      <w:r>
        <w:rPr>
          <w:sz w:val="21"/>
        </w:rPr>
        <w:t> </w:t>
      </w:r>
    </w:p>
    <w:p>
      <w:pPr>
        <w:pStyle w:val="BodyText"/>
        <w:rPr>
          <w:sz w:val="18"/>
        </w:rPr>
      </w:pPr>
    </w:p>
    <w:p>
      <w:pPr>
        <w:pStyle w:val="BodyText"/>
        <w:spacing w:line="446" w:lineRule="auto"/>
        <w:ind w:left="418" w:right="1609" w:firstLine="419"/>
      </w:pPr>
      <w:r>
        <w:rPr/>
        <w:t>检查操作功率输出装置时，离合器的接合是否平稳，分离是否彻底，工作时是否有异响、抖动或不正常打滑现象，判断试验结果是否符合 5.4.1.3 的规定。 </w:t>
      </w:r>
    </w:p>
    <w:p>
      <w:pPr>
        <w:pStyle w:val="ListParagraph"/>
        <w:numPr>
          <w:ilvl w:val="3"/>
          <w:numId w:val="167"/>
        </w:numPr>
        <w:tabs>
          <w:tab w:pos="1576" w:val="left" w:leader="none"/>
        </w:tabs>
        <w:spacing w:line="267" w:lineRule="exact" w:before="0" w:after="0"/>
        <w:ind w:left="1575" w:right="0" w:hanging="738"/>
        <w:jc w:val="left"/>
        <w:rPr>
          <w:sz w:val="21"/>
        </w:rPr>
      </w:pPr>
      <w:r>
        <w:rPr>
          <w:spacing w:val="-3"/>
          <w:sz w:val="21"/>
        </w:rPr>
        <w:t>变速器</w:t>
      </w:r>
      <w:r>
        <w:rPr>
          <w:sz w:val="21"/>
        </w:rPr>
        <w:t> </w:t>
      </w:r>
    </w:p>
    <w:p>
      <w:pPr>
        <w:pStyle w:val="BodyText"/>
        <w:spacing w:before="2"/>
        <w:rPr>
          <w:sz w:val="18"/>
        </w:rPr>
      </w:pPr>
    </w:p>
    <w:p>
      <w:pPr>
        <w:pStyle w:val="BodyText"/>
        <w:spacing w:line="446" w:lineRule="auto"/>
        <w:ind w:left="418" w:right="1608" w:firstLine="419"/>
        <w:jc w:val="both"/>
      </w:pPr>
      <w:r>
        <w:rPr>
          <w:spacing w:val="-3"/>
        </w:rPr>
        <w:t>检查操作功率输出装置时，变速器的操作是否平稳可靠，有无卡阻、跳挡、脱挡现象，运</w:t>
      </w:r>
      <w:r>
        <w:rPr>
          <w:spacing w:val="-4"/>
        </w:rPr>
        <w:t>行中有无异响，换挡杆及其传动杆件是否与其他部件干涉，判断试验结果是否符合 </w:t>
      </w:r>
      <w:r>
        <w:rPr/>
        <w:t>5.4.1.4</w:t>
      </w:r>
      <w:r>
        <w:rPr>
          <w:spacing w:val="-18"/>
        </w:rPr>
        <w:t> 的</w:t>
      </w:r>
      <w:r>
        <w:rPr>
          <w:spacing w:val="-13"/>
        </w:rPr>
        <w:t>规定。</w:t>
      </w:r>
      <w:r>
        <w:rPr/>
        <w:t> </w:t>
      </w:r>
    </w:p>
    <w:p>
      <w:pPr>
        <w:pStyle w:val="ListParagraph"/>
        <w:numPr>
          <w:ilvl w:val="3"/>
          <w:numId w:val="167"/>
        </w:numPr>
        <w:tabs>
          <w:tab w:pos="1576" w:val="left" w:leader="none"/>
        </w:tabs>
        <w:spacing w:line="268" w:lineRule="exact" w:before="0" w:after="0"/>
        <w:ind w:left="1575" w:right="0" w:hanging="738"/>
        <w:jc w:val="left"/>
        <w:rPr>
          <w:sz w:val="21"/>
        </w:rPr>
      </w:pPr>
      <w:r>
        <w:rPr>
          <w:spacing w:val="-3"/>
          <w:sz w:val="21"/>
        </w:rPr>
        <w:t>传动轴</w:t>
      </w:r>
      <w:r>
        <w:rPr>
          <w:sz w:val="21"/>
        </w:rPr>
        <w:t> </w:t>
      </w:r>
    </w:p>
    <w:p>
      <w:pPr>
        <w:pStyle w:val="BodyText"/>
        <w:rPr>
          <w:sz w:val="18"/>
        </w:rPr>
      </w:pPr>
    </w:p>
    <w:p>
      <w:pPr>
        <w:pStyle w:val="ListParagraph"/>
        <w:numPr>
          <w:ilvl w:val="4"/>
          <w:numId w:val="167"/>
        </w:numPr>
        <w:tabs>
          <w:tab w:pos="1788" w:val="left" w:leader="none"/>
        </w:tabs>
        <w:spacing w:line="446" w:lineRule="auto" w:before="0" w:after="0"/>
        <w:ind w:left="418" w:right="1613" w:firstLine="419"/>
        <w:jc w:val="left"/>
        <w:rPr>
          <w:sz w:val="21"/>
        </w:rPr>
      </w:pPr>
      <w:r>
        <w:rPr>
          <w:spacing w:val="-5"/>
          <w:sz w:val="21"/>
        </w:rPr>
        <w:t>检查驱动桥传动轴的动平衡校核记录，判断试验结果是否符合 </w:t>
      </w:r>
      <w:r>
        <w:rPr>
          <w:sz w:val="21"/>
        </w:rPr>
        <w:t>5.4.1.5.1</w:t>
      </w:r>
      <w:r>
        <w:rPr>
          <w:spacing w:val="-18"/>
          <w:sz w:val="21"/>
        </w:rPr>
        <w:t> 的规</w:t>
      </w:r>
      <w:r>
        <w:rPr>
          <w:spacing w:val="-2"/>
          <w:sz w:val="21"/>
        </w:rPr>
        <w:t>定。</w:t>
      </w:r>
      <w:r>
        <w:rPr>
          <w:sz w:val="21"/>
        </w:rPr>
        <w:t> </w:t>
      </w: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检查驱动负载传动轴的动平衡校核记录，运行时是否平稳，有无振抖和异响， </w:t>
      </w:r>
      <w:r>
        <w:rPr>
          <w:spacing w:val="-8"/>
          <w:sz w:val="21"/>
        </w:rPr>
        <w:t>判断试验结果是否符合 </w:t>
      </w:r>
      <w:r>
        <w:rPr>
          <w:sz w:val="21"/>
        </w:rPr>
        <w:t>5.4.1.5.2</w:t>
      </w:r>
      <w:r>
        <w:rPr>
          <w:spacing w:val="-13"/>
          <w:sz w:val="21"/>
        </w:rPr>
        <w:t> 的规定。</w:t>
      </w:r>
      <w:r>
        <w:rPr>
          <w:sz w:val="21"/>
        </w:rPr>
        <w:t> </w:t>
      </w:r>
    </w:p>
    <w:p>
      <w:pPr>
        <w:pStyle w:val="ListParagraph"/>
        <w:numPr>
          <w:ilvl w:val="3"/>
          <w:numId w:val="167"/>
        </w:numPr>
        <w:tabs>
          <w:tab w:pos="1576" w:val="left" w:leader="none"/>
        </w:tabs>
        <w:spacing w:line="267" w:lineRule="exact" w:before="0" w:after="0"/>
        <w:ind w:left="1575" w:right="0" w:hanging="738"/>
        <w:jc w:val="left"/>
        <w:rPr>
          <w:sz w:val="21"/>
        </w:rPr>
      </w:pPr>
      <w:r>
        <w:rPr>
          <w:spacing w:val="-3"/>
          <w:sz w:val="21"/>
        </w:rPr>
        <w:t>排气系统</w:t>
      </w:r>
      <w:r>
        <w:rPr>
          <w:sz w:val="21"/>
        </w:rPr>
        <w:t> </w:t>
      </w:r>
    </w:p>
    <w:p>
      <w:pPr>
        <w:pStyle w:val="BodyText"/>
        <w:spacing w:before="2"/>
        <w:rPr>
          <w:sz w:val="18"/>
        </w:rPr>
      </w:pPr>
    </w:p>
    <w:p>
      <w:pPr>
        <w:pStyle w:val="ListParagraph"/>
        <w:numPr>
          <w:ilvl w:val="4"/>
          <w:numId w:val="167"/>
        </w:numPr>
        <w:tabs>
          <w:tab w:pos="1788" w:val="left" w:leader="none"/>
        </w:tabs>
        <w:spacing w:line="240" w:lineRule="auto" w:before="0" w:after="0"/>
        <w:ind w:left="1787" w:right="0" w:hanging="950"/>
        <w:jc w:val="left"/>
        <w:rPr>
          <w:sz w:val="21"/>
        </w:rPr>
      </w:pPr>
      <w:r>
        <w:rPr>
          <w:spacing w:val="-6"/>
          <w:sz w:val="21"/>
        </w:rPr>
        <w:t>目测检查排气管朝向，判断试验结果是否符合 </w:t>
      </w:r>
      <w:r>
        <w:rPr>
          <w:sz w:val="21"/>
        </w:rPr>
        <w:t>5.4.1.6.1</w:t>
      </w:r>
      <w:r>
        <w:rPr>
          <w:spacing w:val="-12"/>
          <w:sz w:val="21"/>
        </w:rPr>
        <w:t> 的规定。 </w:t>
      </w:r>
    </w:p>
    <w:p>
      <w:pPr>
        <w:pStyle w:val="BodyText"/>
        <w:rPr>
          <w:sz w:val="18"/>
        </w:rPr>
      </w:pP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目测检查排气管的布置位置，排气管路的防护和排气管路是否对附近电线、其</w:t>
      </w:r>
      <w:r>
        <w:rPr>
          <w:spacing w:val="-6"/>
          <w:sz w:val="21"/>
        </w:rPr>
        <w:t>他管路等造成损伤，判断试验结果是否符合 </w:t>
      </w:r>
      <w:r>
        <w:rPr>
          <w:sz w:val="21"/>
        </w:rPr>
        <w:t>5.4.1.6.2</w:t>
      </w:r>
      <w:r>
        <w:rPr>
          <w:spacing w:val="-13"/>
          <w:sz w:val="21"/>
        </w:rPr>
        <w:t> 的规定。</w:t>
      </w:r>
      <w:r>
        <w:rPr>
          <w:sz w:val="21"/>
        </w:rPr>
        <w:t> </w:t>
      </w:r>
    </w:p>
    <w:p>
      <w:pPr>
        <w:pStyle w:val="ListParagraph"/>
        <w:numPr>
          <w:ilvl w:val="4"/>
          <w:numId w:val="167"/>
        </w:numPr>
        <w:tabs>
          <w:tab w:pos="1788" w:val="left" w:leader="none"/>
        </w:tabs>
        <w:spacing w:line="240" w:lineRule="auto" w:before="0" w:after="0"/>
        <w:ind w:left="1787" w:right="0" w:hanging="950"/>
        <w:jc w:val="left"/>
        <w:rPr>
          <w:sz w:val="21"/>
        </w:rPr>
      </w:pPr>
      <w:r>
        <w:rPr>
          <w:spacing w:val="-5"/>
          <w:sz w:val="21"/>
        </w:rPr>
        <w:t>目测检查排气管是否安装消声器，判断试验结果是否符合 </w:t>
      </w:r>
      <w:r>
        <w:rPr>
          <w:sz w:val="21"/>
        </w:rPr>
        <w:t>5.4.1.6.3</w:t>
      </w:r>
      <w:r>
        <w:rPr>
          <w:spacing w:val="-11"/>
          <w:sz w:val="21"/>
        </w:rPr>
        <w:t> 的规定。</w:t>
      </w:r>
      <w:r>
        <w:rPr>
          <w:sz w:val="21"/>
        </w:rPr>
        <w:t> </w:t>
      </w:r>
    </w:p>
    <w:p>
      <w:pPr>
        <w:pStyle w:val="BodyText"/>
        <w:spacing w:before="12"/>
        <w:rPr>
          <w:sz w:val="17"/>
        </w:rPr>
      </w:pPr>
    </w:p>
    <w:p>
      <w:pPr>
        <w:pStyle w:val="ListParagraph"/>
        <w:numPr>
          <w:ilvl w:val="4"/>
          <w:numId w:val="167"/>
        </w:numPr>
        <w:tabs>
          <w:tab w:pos="1788" w:val="left" w:leader="none"/>
        </w:tabs>
        <w:spacing w:line="240" w:lineRule="auto" w:before="0" w:after="0"/>
        <w:ind w:left="1787" w:right="0" w:hanging="950"/>
        <w:jc w:val="left"/>
        <w:rPr>
          <w:sz w:val="21"/>
        </w:rPr>
      </w:pPr>
      <w:r>
        <w:rPr>
          <w:spacing w:val="-5"/>
          <w:sz w:val="21"/>
        </w:rPr>
        <w:t>目测检查排气系统暴露处的保护，判断试验结果是否符合 </w:t>
      </w:r>
      <w:r>
        <w:rPr>
          <w:sz w:val="21"/>
        </w:rPr>
        <w:t>5.4.1.6.4</w:t>
      </w:r>
      <w:r>
        <w:rPr>
          <w:spacing w:val="-11"/>
          <w:sz w:val="21"/>
        </w:rPr>
        <w:t> 的规定。</w:t>
      </w:r>
      <w:r>
        <w:rPr>
          <w:sz w:val="21"/>
        </w:rPr>
        <w:t> </w:t>
      </w:r>
    </w:p>
    <w:p>
      <w:pPr>
        <w:pStyle w:val="BodyText"/>
        <w:spacing w:before="12"/>
        <w:rPr>
          <w:sz w:val="17"/>
        </w:rPr>
      </w:pPr>
    </w:p>
    <w:p>
      <w:pPr>
        <w:pStyle w:val="ListParagraph"/>
        <w:numPr>
          <w:ilvl w:val="3"/>
          <w:numId w:val="167"/>
        </w:numPr>
        <w:tabs>
          <w:tab w:pos="1576" w:val="left" w:leader="none"/>
        </w:tabs>
        <w:spacing w:line="240" w:lineRule="auto" w:before="0" w:after="0"/>
        <w:ind w:left="1575" w:right="0" w:hanging="738"/>
        <w:jc w:val="left"/>
        <w:rPr>
          <w:sz w:val="21"/>
        </w:rPr>
      </w:pPr>
      <w:r>
        <w:rPr>
          <w:spacing w:val="-3"/>
          <w:sz w:val="21"/>
        </w:rPr>
        <w:t>制动系统</w:t>
      </w:r>
      <w:r>
        <w:rPr>
          <w:sz w:val="21"/>
        </w:rPr>
        <w:t> </w:t>
      </w:r>
    </w:p>
    <w:p>
      <w:pPr>
        <w:pStyle w:val="BodyText"/>
        <w:spacing w:before="2"/>
        <w:rPr>
          <w:sz w:val="18"/>
        </w:rPr>
      </w:pP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检查空气制动系统的压缩空气是否用于顶升气垫、气动工具等抢险救援设备， </w:t>
      </w:r>
      <w:r>
        <w:rPr>
          <w:spacing w:val="-8"/>
          <w:sz w:val="21"/>
        </w:rPr>
        <w:t>判断试验结果是否符合 </w:t>
      </w:r>
      <w:r>
        <w:rPr>
          <w:sz w:val="21"/>
        </w:rPr>
        <w:t>5.4.1.7.1</w:t>
      </w:r>
      <w:r>
        <w:rPr>
          <w:spacing w:val="-13"/>
          <w:sz w:val="21"/>
        </w:rPr>
        <w:t> 的规定。</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167"/>
        </w:numPr>
        <w:tabs>
          <w:tab w:pos="1788" w:val="left" w:leader="none"/>
        </w:tabs>
        <w:spacing w:line="446" w:lineRule="auto" w:before="47" w:after="0"/>
        <w:ind w:left="418" w:right="1608" w:firstLine="419"/>
        <w:jc w:val="left"/>
        <w:rPr>
          <w:sz w:val="21"/>
        </w:rPr>
      </w:pPr>
      <w:r>
        <w:rPr>
          <w:spacing w:val="-2"/>
          <w:sz w:val="21"/>
        </w:rPr>
        <w:t>目测检查消防车使用底盘空气制动系统的压缩空气作为气动阀等部件的气源 时</w:t>
      </w:r>
      <w:r>
        <w:rPr>
          <w:spacing w:val="-3"/>
          <w:sz w:val="21"/>
        </w:rPr>
        <w:t>，是否从底盘储气罐上取气，检查在取气端是否安装控制阀和过滤器，管路材料是否与底盘制</w:t>
      </w:r>
      <w:r>
        <w:rPr>
          <w:spacing w:val="-6"/>
          <w:sz w:val="21"/>
        </w:rPr>
        <w:t>动系统管路相同，判断试验结果是否符合 </w:t>
      </w:r>
      <w:r>
        <w:rPr>
          <w:sz w:val="21"/>
        </w:rPr>
        <w:t>5.4.1.7.2</w:t>
      </w:r>
      <w:r>
        <w:rPr>
          <w:spacing w:val="-3"/>
          <w:sz w:val="21"/>
        </w:rPr>
        <w:t> 的规定。</w:t>
      </w:r>
      <w:r>
        <w:rPr>
          <w:sz w:val="21"/>
        </w:rPr>
        <w:t> </w:t>
      </w: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目测检查制动管路及用气部件的气管是否与车架的刃边、撑杆、螺栓头或支架</w:t>
      </w:r>
      <w:r>
        <w:rPr>
          <w:spacing w:val="-6"/>
          <w:sz w:val="21"/>
        </w:rPr>
        <w:t>等接触，是否采取保护措施，判断试验结果是否符合 </w:t>
      </w:r>
      <w:r>
        <w:rPr>
          <w:sz w:val="21"/>
        </w:rPr>
        <w:t>5.4.1.7.3</w:t>
      </w:r>
      <w:r>
        <w:rPr>
          <w:spacing w:val="-13"/>
          <w:sz w:val="21"/>
        </w:rPr>
        <w:t> 的规定。</w:t>
      </w:r>
      <w:r>
        <w:rPr>
          <w:sz w:val="21"/>
        </w:rPr>
        <w:t> </w:t>
      </w:r>
    </w:p>
    <w:p>
      <w:pPr>
        <w:pStyle w:val="ListParagraph"/>
        <w:numPr>
          <w:ilvl w:val="4"/>
          <w:numId w:val="167"/>
        </w:numPr>
        <w:tabs>
          <w:tab w:pos="1788" w:val="left" w:leader="none"/>
        </w:tabs>
        <w:spacing w:line="446" w:lineRule="auto" w:before="0" w:after="0"/>
        <w:ind w:left="418" w:right="1608" w:firstLine="419"/>
        <w:jc w:val="left"/>
        <w:rPr>
          <w:sz w:val="21"/>
        </w:rPr>
      </w:pPr>
      <w:r>
        <w:rPr>
          <w:spacing w:val="-3"/>
          <w:sz w:val="21"/>
        </w:rPr>
        <w:t>目测检查制动管路及用气部件气管路是否采用紧固措施与车架固定，并用通用</w:t>
      </w:r>
      <w:r>
        <w:rPr>
          <w:spacing w:val="-6"/>
          <w:sz w:val="21"/>
        </w:rPr>
        <w:t>量具测量间距，判断试验结果是否符合 </w:t>
      </w:r>
      <w:r>
        <w:rPr>
          <w:sz w:val="21"/>
        </w:rPr>
        <w:t>5.4.1.7.4</w:t>
      </w:r>
      <w:r>
        <w:rPr>
          <w:spacing w:val="-13"/>
          <w:sz w:val="21"/>
        </w:rPr>
        <w:t> 的规定。</w:t>
      </w:r>
      <w:r>
        <w:rPr>
          <w:sz w:val="21"/>
        </w:rPr>
        <w:t> </w:t>
      </w: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采用通用量具测量制动管路及用气部件气管路与排气管等发热部件的距离，检</w:t>
      </w:r>
      <w:r>
        <w:rPr>
          <w:spacing w:val="-5"/>
          <w:sz w:val="21"/>
        </w:rPr>
        <w:t>查是否采用隔热措施保护管路，判断试验结果是否符合 </w:t>
      </w:r>
      <w:r>
        <w:rPr>
          <w:sz w:val="21"/>
        </w:rPr>
        <w:t>5.4.1.7.5</w:t>
      </w:r>
      <w:r>
        <w:rPr>
          <w:spacing w:val="-13"/>
          <w:sz w:val="21"/>
        </w:rPr>
        <w:t> 的规定。</w:t>
      </w:r>
      <w:r>
        <w:rPr>
          <w:sz w:val="21"/>
        </w:rPr>
        <w:t> </w:t>
      </w: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目测检查制动管路及用气部件气管路是否接触到蓄电池酸性液体等有害液体， </w:t>
      </w:r>
      <w:r>
        <w:rPr>
          <w:spacing w:val="-6"/>
          <w:sz w:val="21"/>
        </w:rPr>
        <w:t>是否采用尼龙管路，判断试验结果是否符合 </w:t>
      </w:r>
      <w:r>
        <w:rPr>
          <w:sz w:val="21"/>
        </w:rPr>
        <w:t>5.4.1.7.6</w:t>
      </w:r>
      <w:r>
        <w:rPr>
          <w:spacing w:val="-13"/>
          <w:sz w:val="21"/>
        </w:rPr>
        <w:t> 的规定。</w:t>
      </w:r>
      <w:r>
        <w:rPr>
          <w:sz w:val="21"/>
        </w:rPr>
        <w:t> </w:t>
      </w: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目测检查经改制后的空气制动系统或液压制动系统是否有漏气或漏油现象，判</w:t>
      </w:r>
      <w:r>
        <w:rPr>
          <w:spacing w:val="-8"/>
          <w:sz w:val="21"/>
        </w:rPr>
        <w:t>断试验结果是否符合 </w:t>
      </w:r>
      <w:r>
        <w:rPr>
          <w:sz w:val="21"/>
        </w:rPr>
        <w:t>5.4.1.7.7</w:t>
      </w:r>
      <w:r>
        <w:rPr>
          <w:spacing w:val="-13"/>
          <w:sz w:val="21"/>
        </w:rPr>
        <w:t> 的规定。</w:t>
      </w:r>
      <w:r>
        <w:rPr>
          <w:sz w:val="21"/>
        </w:rPr>
        <w:t> </w:t>
      </w:r>
    </w:p>
    <w:p>
      <w:pPr>
        <w:pStyle w:val="ListParagraph"/>
        <w:numPr>
          <w:ilvl w:val="3"/>
          <w:numId w:val="167"/>
        </w:numPr>
        <w:tabs>
          <w:tab w:pos="1576" w:val="left" w:leader="none"/>
        </w:tabs>
        <w:spacing w:line="240" w:lineRule="auto" w:before="0" w:after="0"/>
        <w:ind w:left="1575" w:right="0" w:hanging="738"/>
        <w:jc w:val="left"/>
        <w:rPr>
          <w:sz w:val="21"/>
        </w:rPr>
      </w:pPr>
      <w:r>
        <w:rPr>
          <w:spacing w:val="-3"/>
          <w:sz w:val="21"/>
        </w:rPr>
        <w:t>燃料系统</w:t>
      </w:r>
      <w:r>
        <w:rPr>
          <w:sz w:val="21"/>
        </w:rPr>
        <w:t> </w:t>
      </w:r>
    </w:p>
    <w:p>
      <w:pPr>
        <w:pStyle w:val="BodyText"/>
        <w:spacing w:before="7"/>
        <w:rPr>
          <w:sz w:val="17"/>
        </w:rPr>
      </w:pPr>
    </w:p>
    <w:p>
      <w:pPr>
        <w:pStyle w:val="ListParagraph"/>
        <w:numPr>
          <w:ilvl w:val="4"/>
          <w:numId w:val="167"/>
        </w:numPr>
        <w:tabs>
          <w:tab w:pos="1788" w:val="left" w:leader="none"/>
        </w:tabs>
        <w:spacing w:line="446" w:lineRule="auto" w:before="0" w:after="0"/>
        <w:ind w:left="418" w:right="1613" w:firstLine="419"/>
        <w:jc w:val="left"/>
        <w:rPr>
          <w:sz w:val="21"/>
        </w:rPr>
      </w:pPr>
      <w:r>
        <w:rPr>
          <w:spacing w:val="-5"/>
          <w:sz w:val="21"/>
        </w:rPr>
        <w:t>检查燃料箱及燃料管路是否固定牢靠，判断试验结果是否符合 </w:t>
      </w:r>
      <w:r>
        <w:rPr>
          <w:sz w:val="21"/>
        </w:rPr>
        <w:t>5.4.1.8.1</w:t>
      </w:r>
      <w:r>
        <w:rPr>
          <w:spacing w:val="-18"/>
          <w:sz w:val="21"/>
        </w:rPr>
        <w:t> 的规</w:t>
      </w:r>
      <w:r>
        <w:rPr>
          <w:spacing w:val="-2"/>
          <w:sz w:val="21"/>
        </w:rPr>
        <w:t>定。</w:t>
      </w:r>
      <w:r>
        <w:rPr>
          <w:sz w:val="21"/>
        </w:rPr>
        <w:t> </w:t>
      </w:r>
    </w:p>
    <w:p>
      <w:pPr>
        <w:pStyle w:val="ListParagraph"/>
        <w:numPr>
          <w:ilvl w:val="4"/>
          <w:numId w:val="167"/>
        </w:numPr>
        <w:tabs>
          <w:tab w:pos="1788" w:val="left" w:leader="none"/>
        </w:tabs>
        <w:spacing w:line="446" w:lineRule="auto" w:before="0" w:after="0"/>
        <w:ind w:left="418" w:right="1611" w:firstLine="419"/>
        <w:jc w:val="left"/>
        <w:rPr>
          <w:sz w:val="21"/>
        </w:rPr>
      </w:pPr>
      <w:r>
        <w:rPr>
          <w:spacing w:val="-5"/>
          <w:sz w:val="21"/>
        </w:rPr>
        <w:t>目测检查燃油箱加油口和通气口的位置，判断试验结果是否符合 </w:t>
      </w:r>
      <w:r>
        <w:rPr>
          <w:sz w:val="21"/>
        </w:rPr>
        <w:t>5.4.1.8.2</w:t>
      </w:r>
      <w:r>
        <w:rPr>
          <w:spacing w:val="-23"/>
          <w:sz w:val="21"/>
        </w:rPr>
        <w:t> 的</w:t>
      </w:r>
      <w:r>
        <w:rPr>
          <w:spacing w:val="-17"/>
          <w:sz w:val="21"/>
        </w:rPr>
        <w:t>规定。</w:t>
      </w:r>
      <w:r>
        <w:rPr>
          <w:sz w:val="21"/>
        </w:rPr>
        <w:t> </w:t>
      </w:r>
    </w:p>
    <w:p>
      <w:pPr>
        <w:pStyle w:val="ListParagraph"/>
        <w:numPr>
          <w:ilvl w:val="4"/>
          <w:numId w:val="167"/>
        </w:numPr>
        <w:tabs>
          <w:tab w:pos="1788" w:val="left" w:leader="none"/>
        </w:tabs>
        <w:spacing w:line="446" w:lineRule="auto" w:before="0" w:after="0"/>
        <w:ind w:left="418" w:right="1505" w:firstLine="419"/>
        <w:jc w:val="left"/>
        <w:rPr>
          <w:sz w:val="21"/>
        </w:rPr>
      </w:pPr>
      <w:r>
        <w:rPr>
          <w:spacing w:val="-3"/>
          <w:sz w:val="21"/>
        </w:rPr>
        <w:t>目测检查燃料箱加油口和通气口的位置，采用通用量具测量燃料箱的加油口和通气口与排气管以及距裸露的电气接头、外部可能产生火花的电气开关的距离，判断试验结果是</w:t>
      </w:r>
      <w:r>
        <w:rPr>
          <w:spacing w:val="-15"/>
          <w:sz w:val="21"/>
        </w:rPr>
        <w:t>否符合 </w:t>
      </w:r>
      <w:r>
        <w:rPr>
          <w:sz w:val="21"/>
        </w:rPr>
        <w:t>5.4.1.8.3</w:t>
      </w:r>
      <w:r>
        <w:rPr>
          <w:spacing w:val="-12"/>
          <w:sz w:val="21"/>
        </w:rPr>
        <w:t> 的规定。 </w:t>
      </w: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目测检查燃料箱的加油口和通气口是否设置在有乘员的车厢内，判断试验结果</w:t>
      </w:r>
      <w:r>
        <w:rPr>
          <w:spacing w:val="-13"/>
          <w:sz w:val="21"/>
        </w:rPr>
        <w:t>是否符合 </w:t>
      </w:r>
      <w:r>
        <w:rPr>
          <w:sz w:val="21"/>
        </w:rPr>
        <w:t>5.4.1.8.4</w:t>
      </w:r>
      <w:r>
        <w:rPr>
          <w:spacing w:val="-12"/>
          <w:sz w:val="21"/>
        </w:rPr>
        <w:t> 的规定。 </w:t>
      </w:r>
    </w:p>
    <w:p>
      <w:pPr>
        <w:pStyle w:val="ListParagraph"/>
        <w:numPr>
          <w:ilvl w:val="3"/>
          <w:numId w:val="167"/>
        </w:numPr>
        <w:tabs>
          <w:tab w:pos="1576" w:val="left" w:leader="none"/>
        </w:tabs>
        <w:spacing w:line="267" w:lineRule="exact" w:before="0" w:after="0"/>
        <w:ind w:left="1575" w:right="0" w:hanging="738"/>
        <w:jc w:val="left"/>
        <w:rPr>
          <w:sz w:val="21"/>
        </w:rPr>
      </w:pPr>
      <w:r>
        <w:rPr>
          <w:spacing w:val="-3"/>
          <w:sz w:val="21"/>
        </w:rPr>
        <w:t>车架</w:t>
      </w:r>
      <w:r>
        <w:rPr>
          <w:sz w:val="21"/>
        </w:rPr>
        <w:t> </w:t>
      </w:r>
    </w:p>
    <w:p>
      <w:pPr>
        <w:pStyle w:val="BodyText"/>
        <w:spacing w:before="1"/>
        <w:rPr>
          <w:sz w:val="18"/>
        </w:rPr>
      </w:pPr>
    </w:p>
    <w:p>
      <w:pPr>
        <w:pStyle w:val="ListParagraph"/>
        <w:numPr>
          <w:ilvl w:val="4"/>
          <w:numId w:val="167"/>
        </w:numPr>
        <w:tabs>
          <w:tab w:pos="1788" w:val="left" w:leader="none"/>
        </w:tabs>
        <w:spacing w:line="446" w:lineRule="auto" w:before="0" w:after="0"/>
        <w:ind w:left="418" w:right="1611" w:firstLine="419"/>
        <w:jc w:val="left"/>
        <w:rPr>
          <w:sz w:val="21"/>
        </w:rPr>
      </w:pPr>
      <w:r>
        <w:rPr>
          <w:spacing w:val="-5"/>
          <w:sz w:val="21"/>
        </w:rPr>
        <w:t>检查车架开孔尺才及所开孔的防腐措施，判断试验结果是否符合 </w:t>
      </w:r>
      <w:r>
        <w:rPr>
          <w:sz w:val="21"/>
        </w:rPr>
        <w:t>5.4.1.9.1</w:t>
      </w:r>
      <w:r>
        <w:rPr>
          <w:spacing w:val="-23"/>
          <w:sz w:val="21"/>
        </w:rPr>
        <w:t> 的</w:t>
      </w:r>
      <w:r>
        <w:rPr>
          <w:spacing w:val="-17"/>
          <w:sz w:val="21"/>
        </w:rPr>
        <w:t>规定。</w:t>
      </w:r>
      <w:r>
        <w:rPr>
          <w:sz w:val="21"/>
        </w:rPr>
        <w:t> </w:t>
      </w:r>
    </w:p>
    <w:p>
      <w:pPr>
        <w:pStyle w:val="ListParagraph"/>
        <w:numPr>
          <w:ilvl w:val="4"/>
          <w:numId w:val="167"/>
        </w:numPr>
        <w:tabs>
          <w:tab w:pos="1788" w:val="left" w:leader="none"/>
        </w:tabs>
        <w:spacing w:line="446" w:lineRule="auto" w:before="0" w:after="0"/>
        <w:ind w:left="418" w:right="1609" w:firstLine="419"/>
        <w:jc w:val="left"/>
        <w:rPr>
          <w:sz w:val="21"/>
        </w:rPr>
      </w:pPr>
      <w:r>
        <w:rPr>
          <w:spacing w:val="-3"/>
          <w:sz w:val="21"/>
        </w:rPr>
        <w:t>目测消防车上装与底盘车架的联接方式，是否采用焊接方式，判断试验结果是</w:t>
      </w:r>
      <w:r>
        <w:rPr>
          <w:spacing w:val="-15"/>
          <w:sz w:val="21"/>
        </w:rPr>
        <w:t>否符合 </w:t>
      </w:r>
      <w:r>
        <w:rPr>
          <w:sz w:val="21"/>
        </w:rPr>
        <w:t>5.4.1.9.2</w:t>
      </w:r>
      <w:r>
        <w:rPr>
          <w:spacing w:val="-12"/>
          <w:sz w:val="21"/>
        </w:rPr>
        <w:t> 的规定。 </w:t>
      </w:r>
    </w:p>
    <w:p>
      <w:pPr>
        <w:spacing w:after="0" w:line="446" w:lineRule="auto"/>
        <w:jc w:val="left"/>
        <w:rPr>
          <w:sz w:val="21"/>
        </w:rPr>
        <w:sectPr>
          <w:pgSz w:w="11910" w:h="16850"/>
          <w:pgMar w:header="0" w:footer="1239" w:top="1220" w:bottom="1420" w:left="1260" w:right="0"/>
        </w:sectPr>
      </w:pPr>
    </w:p>
    <w:p>
      <w:pPr>
        <w:pStyle w:val="ListParagraph"/>
        <w:numPr>
          <w:ilvl w:val="4"/>
          <w:numId w:val="167"/>
        </w:numPr>
        <w:tabs>
          <w:tab w:pos="1788" w:val="left" w:leader="none"/>
        </w:tabs>
        <w:spacing w:line="446" w:lineRule="auto" w:before="47" w:after="0"/>
        <w:ind w:left="418" w:right="1609" w:firstLine="419"/>
        <w:jc w:val="left"/>
        <w:rPr>
          <w:sz w:val="21"/>
        </w:rPr>
      </w:pPr>
      <w:r>
        <w:rPr>
          <w:spacing w:val="-3"/>
          <w:sz w:val="21"/>
        </w:rPr>
        <w:t>检查底盘车架上平面的铆钉头或螺栓头改制时的加工情况，判断试验结果是否</w:t>
      </w:r>
      <w:r>
        <w:rPr>
          <w:spacing w:val="-20"/>
          <w:sz w:val="21"/>
        </w:rPr>
        <w:t>符合 </w:t>
      </w:r>
      <w:r>
        <w:rPr>
          <w:sz w:val="21"/>
        </w:rPr>
        <w:t>5.4.1.9.3</w:t>
      </w:r>
      <w:r>
        <w:rPr>
          <w:spacing w:val="-12"/>
          <w:sz w:val="21"/>
        </w:rPr>
        <w:t> 的规定。 </w:t>
      </w:r>
    </w:p>
    <w:p>
      <w:pPr>
        <w:pStyle w:val="ListParagraph"/>
        <w:numPr>
          <w:ilvl w:val="4"/>
          <w:numId w:val="167"/>
        </w:numPr>
        <w:tabs>
          <w:tab w:pos="1788" w:val="left" w:leader="none"/>
        </w:tabs>
        <w:spacing w:line="267" w:lineRule="exact" w:before="0" w:after="0"/>
        <w:ind w:left="1787" w:right="0" w:hanging="950"/>
        <w:jc w:val="left"/>
        <w:rPr>
          <w:sz w:val="21"/>
        </w:rPr>
      </w:pPr>
      <w:r>
        <w:rPr>
          <w:spacing w:val="-3"/>
          <w:sz w:val="21"/>
        </w:rPr>
        <w:t>使用通用量具测量消防车的前悬、后悬和轴距，判断试验结果是否符合</w:t>
      </w:r>
    </w:p>
    <w:p>
      <w:pPr>
        <w:pStyle w:val="BodyText"/>
        <w:spacing w:before="2"/>
        <w:rPr>
          <w:sz w:val="18"/>
        </w:rPr>
      </w:pPr>
    </w:p>
    <w:p>
      <w:pPr>
        <w:pStyle w:val="BodyText"/>
        <w:spacing w:line="446" w:lineRule="auto"/>
        <w:ind w:left="838" w:right="8126" w:hanging="420"/>
      </w:pPr>
      <w:r>
        <w:rPr/>
        <w:t>5.4.1.9.4 的规定。6.4.1.10 牵引钩 </w:t>
      </w:r>
    </w:p>
    <w:p>
      <w:pPr>
        <w:pStyle w:val="BodyText"/>
        <w:spacing w:line="267" w:lineRule="exact"/>
        <w:ind w:left="838"/>
      </w:pPr>
      <w:r>
        <w:rPr/>
        <w:t>目测检查消防车底盘是否前端有拖钩，后端是否有牵引钩，判断试验结果是否符合</w:t>
      </w:r>
    </w:p>
    <w:p>
      <w:pPr>
        <w:pStyle w:val="BodyText"/>
        <w:spacing w:before="2"/>
        <w:rPr>
          <w:sz w:val="18"/>
        </w:rPr>
      </w:pPr>
    </w:p>
    <w:p>
      <w:pPr>
        <w:pStyle w:val="BodyText"/>
        <w:ind w:left="418"/>
      </w:pPr>
      <w:r>
        <w:rPr/>
        <w:t>5.4.1.10 的规定。 </w:t>
      </w:r>
    </w:p>
    <w:p>
      <w:pPr>
        <w:pStyle w:val="BodyText"/>
        <w:rPr>
          <w:sz w:val="18"/>
        </w:rPr>
      </w:pPr>
    </w:p>
    <w:p>
      <w:pPr>
        <w:pStyle w:val="ListParagraph"/>
        <w:numPr>
          <w:ilvl w:val="2"/>
          <w:numId w:val="168"/>
        </w:numPr>
        <w:tabs>
          <w:tab w:pos="1370" w:val="left" w:leader="none"/>
        </w:tabs>
        <w:spacing w:line="240" w:lineRule="auto" w:before="0" w:after="0"/>
        <w:ind w:left="1369" w:right="0" w:hanging="530"/>
        <w:jc w:val="left"/>
        <w:rPr>
          <w:sz w:val="21"/>
        </w:rPr>
      </w:pPr>
      <w:r>
        <w:rPr>
          <w:spacing w:val="-3"/>
          <w:sz w:val="21"/>
        </w:rPr>
        <w:t>底盘改制后的试验</w:t>
      </w:r>
      <w:r>
        <w:rPr>
          <w:sz w:val="21"/>
        </w:rPr>
        <w:t> </w:t>
      </w:r>
    </w:p>
    <w:p>
      <w:pPr>
        <w:pStyle w:val="BodyText"/>
        <w:rPr>
          <w:sz w:val="18"/>
        </w:rPr>
      </w:pPr>
    </w:p>
    <w:p>
      <w:pPr>
        <w:pStyle w:val="ListParagraph"/>
        <w:numPr>
          <w:ilvl w:val="3"/>
          <w:numId w:val="168"/>
        </w:numPr>
        <w:tabs>
          <w:tab w:pos="1576" w:val="left" w:leader="none"/>
        </w:tabs>
        <w:spacing w:line="446" w:lineRule="auto" w:before="0" w:after="0"/>
        <w:ind w:left="418" w:right="1450" w:firstLine="419"/>
        <w:jc w:val="left"/>
        <w:rPr>
          <w:sz w:val="21"/>
        </w:rPr>
      </w:pPr>
      <w:r>
        <w:rPr>
          <w:sz w:val="21"/>
        </w:rPr>
        <w:t>5000km</w:t>
      </w:r>
      <w:r>
        <w:rPr>
          <w:spacing w:val="-6"/>
          <w:sz w:val="21"/>
        </w:rPr>
        <w:t> 可靠性行驶试验时底盘应满载，凹凸不平坏路和山路行驶应在国家汽车主管部门认可的汽车试验场进行。铺装路面的平均行驶速度不小于 </w:t>
      </w:r>
      <w:r>
        <w:rPr>
          <w:sz w:val="21"/>
        </w:rPr>
        <w:t>50</w:t>
      </w:r>
      <w:r>
        <w:rPr>
          <w:spacing w:val="24"/>
          <w:sz w:val="21"/>
        </w:rPr>
        <w:t> </w:t>
      </w:r>
      <w:r>
        <w:rPr>
          <w:sz w:val="21"/>
        </w:rPr>
        <w:t>km/h</w:t>
      </w:r>
      <w:r>
        <w:rPr>
          <w:spacing w:val="-3"/>
          <w:sz w:val="21"/>
        </w:rPr>
        <w:t>，凹凸不平坏路的平均行</w:t>
      </w:r>
      <w:r>
        <w:rPr>
          <w:spacing w:val="-10"/>
          <w:sz w:val="21"/>
        </w:rPr>
        <w:t>驶速度不小于 </w:t>
      </w:r>
      <w:r>
        <w:rPr>
          <w:sz w:val="21"/>
        </w:rPr>
        <w:t>30</w:t>
      </w:r>
      <w:r>
        <w:rPr>
          <w:spacing w:val="8"/>
          <w:sz w:val="21"/>
        </w:rPr>
        <w:t> </w:t>
      </w:r>
      <w:r>
        <w:rPr>
          <w:sz w:val="21"/>
        </w:rPr>
        <w:t>km/h</w:t>
      </w:r>
      <w:r>
        <w:rPr>
          <w:spacing w:val="-7"/>
          <w:sz w:val="21"/>
        </w:rPr>
        <w:t>，山路的平均行驶速度不小于 </w:t>
      </w:r>
      <w:r>
        <w:rPr>
          <w:sz w:val="21"/>
        </w:rPr>
        <w:t>20</w:t>
      </w:r>
      <w:r>
        <w:rPr>
          <w:spacing w:val="11"/>
          <w:sz w:val="21"/>
        </w:rPr>
        <w:t> </w:t>
      </w:r>
      <w:r>
        <w:rPr>
          <w:sz w:val="21"/>
        </w:rPr>
        <w:t>km/h</w:t>
      </w:r>
      <w:r>
        <w:rPr>
          <w:spacing w:val="-3"/>
          <w:sz w:val="21"/>
        </w:rPr>
        <w:t>。各种路面应有不少于此路面行驶</w:t>
      </w:r>
      <w:r>
        <w:rPr>
          <w:spacing w:val="-8"/>
          <w:sz w:val="21"/>
        </w:rPr>
        <w:t>里程 </w:t>
      </w:r>
      <w:r>
        <w:rPr>
          <w:sz w:val="21"/>
        </w:rPr>
        <w:t>20</w:t>
      </w:r>
      <w:r>
        <w:rPr>
          <w:spacing w:val="-3"/>
          <w:sz w:val="21"/>
        </w:rPr>
        <w:t>%的夜间行驶试验。可靠性行驶试验里程不包括磨合行驶里程和其他试验的行驶里程。试验中若发生危及安全、危及主要功能、出现在试验现场不能修复的故障或故障频发（</w:t>
      </w:r>
      <w:r>
        <w:rPr>
          <w:spacing w:val="-20"/>
          <w:sz w:val="21"/>
        </w:rPr>
        <w:t>每 </w:t>
      </w:r>
      <w:r>
        <w:rPr>
          <w:sz w:val="21"/>
        </w:rPr>
        <w:t>1000</w:t>
      </w:r>
      <w:r>
        <w:rPr>
          <w:spacing w:val="27"/>
          <w:sz w:val="21"/>
        </w:rPr>
        <w:t> </w:t>
      </w:r>
      <w:r>
        <w:rPr>
          <w:sz w:val="21"/>
        </w:rPr>
        <w:t>km </w:t>
      </w:r>
      <w:r>
        <w:rPr>
          <w:spacing w:val="-11"/>
          <w:sz w:val="21"/>
        </w:rPr>
        <w:t>故障数大于 </w:t>
      </w:r>
      <w:r>
        <w:rPr>
          <w:sz w:val="21"/>
        </w:rPr>
        <w:t>2</w:t>
      </w:r>
      <w:r>
        <w:rPr>
          <w:spacing w:val="-23"/>
          <w:sz w:val="21"/>
        </w:rPr>
        <w:t> 次</w:t>
      </w:r>
      <w:r>
        <w:rPr>
          <w:sz w:val="21"/>
        </w:rPr>
        <w:t>）</w:t>
      </w:r>
      <w:r>
        <w:rPr>
          <w:spacing w:val="-3"/>
          <w:sz w:val="21"/>
        </w:rPr>
        <w:t>等情况应终止试验，找出故障原因并改正后重新试验。可靠性行驶试验应记录各路面的试验里程、各路面白天、夜间试验时间和试验期间的故障情况及排除方法。判断试 </w:t>
      </w:r>
      <w:r>
        <w:rPr>
          <w:spacing w:val="-10"/>
          <w:sz w:val="21"/>
        </w:rPr>
        <w:t>验结果是否符合 </w:t>
      </w:r>
      <w:r>
        <w:rPr>
          <w:sz w:val="21"/>
        </w:rPr>
        <w:t>5.4.2.1</w:t>
      </w:r>
      <w:r>
        <w:rPr>
          <w:spacing w:val="-13"/>
          <w:sz w:val="21"/>
        </w:rPr>
        <w:t> 的规定。</w:t>
      </w:r>
      <w:r>
        <w:rPr>
          <w:sz w:val="21"/>
        </w:rPr>
        <w:t> </w:t>
      </w:r>
    </w:p>
    <w:p>
      <w:pPr>
        <w:pStyle w:val="ListParagraph"/>
        <w:numPr>
          <w:ilvl w:val="3"/>
          <w:numId w:val="168"/>
        </w:numPr>
        <w:tabs>
          <w:tab w:pos="1576" w:val="left" w:leader="none"/>
        </w:tabs>
        <w:spacing w:line="446" w:lineRule="auto" w:before="0" w:after="0"/>
        <w:ind w:left="418" w:right="1450" w:firstLine="419"/>
        <w:jc w:val="left"/>
        <w:rPr>
          <w:sz w:val="21"/>
        </w:rPr>
      </w:pPr>
      <w:r>
        <w:rPr>
          <w:sz w:val="21"/>
        </w:rPr>
        <w:t>25000km</w:t>
      </w:r>
      <w:r>
        <w:rPr>
          <w:spacing w:val="-8"/>
          <w:sz w:val="21"/>
        </w:rPr>
        <w:t> 可靠性行驶试验应在国家汽车主管部门认可的汽车试验场进行。试验时底盘应满载，高速路的平均行驶速度不小于 </w:t>
      </w:r>
      <w:r>
        <w:rPr>
          <w:sz w:val="21"/>
        </w:rPr>
        <w:t>80</w:t>
      </w:r>
      <w:r>
        <w:rPr>
          <w:spacing w:val="7"/>
          <w:sz w:val="21"/>
        </w:rPr>
        <w:t> </w:t>
      </w:r>
      <w:r>
        <w:rPr>
          <w:sz w:val="21"/>
        </w:rPr>
        <w:t>km/h</w:t>
      </w:r>
      <w:r>
        <w:rPr>
          <w:spacing w:val="-6"/>
          <w:sz w:val="21"/>
        </w:rPr>
        <w:t>，铺装路面的平均行驶速度不小于 </w:t>
      </w:r>
      <w:r>
        <w:rPr>
          <w:sz w:val="21"/>
        </w:rPr>
        <w:t>50</w:t>
      </w:r>
      <w:r>
        <w:rPr>
          <w:spacing w:val="11"/>
          <w:sz w:val="21"/>
        </w:rPr>
        <w:t> </w:t>
      </w:r>
      <w:r>
        <w:rPr>
          <w:sz w:val="21"/>
        </w:rPr>
        <w:t>km/h， </w:t>
      </w:r>
      <w:r>
        <w:rPr>
          <w:spacing w:val="-6"/>
          <w:sz w:val="21"/>
        </w:rPr>
        <w:t>凹凸不平坏路的平均行驶速度不小于 </w:t>
      </w:r>
      <w:r>
        <w:rPr>
          <w:sz w:val="21"/>
        </w:rPr>
        <w:t>30</w:t>
      </w:r>
      <w:r>
        <w:rPr>
          <w:spacing w:val="9"/>
          <w:sz w:val="21"/>
        </w:rPr>
        <w:t> </w:t>
      </w:r>
      <w:r>
        <w:rPr>
          <w:sz w:val="21"/>
        </w:rPr>
        <w:t>km/h</w:t>
      </w:r>
      <w:r>
        <w:rPr>
          <w:spacing w:val="-7"/>
          <w:sz w:val="21"/>
        </w:rPr>
        <w:t>，山路的平均行驶速度不小于 </w:t>
      </w:r>
      <w:r>
        <w:rPr>
          <w:sz w:val="21"/>
        </w:rPr>
        <w:t>20</w:t>
      </w:r>
      <w:r>
        <w:rPr>
          <w:spacing w:val="13"/>
          <w:sz w:val="21"/>
        </w:rPr>
        <w:t> </w:t>
      </w:r>
      <w:r>
        <w:rPr>
          <w:sz w:val="21"/>
        </w:rPr>
        <w:t>km/h</w:t>
      </w:r>
      <w:r>
        <w:rPr>
          <w:spacing w:val="-3"/>
          <w:sz w:val="21"/>
        </w:rPr>
        <w:t>。各种路面</w:t>
      </w:r>
      <w:r>
        <w:rPr>
          <w:spacing w:val="-5"/>
          <w:sz w:val="21"/>
        </w:rPr>
        <w:t>应有不少于此路面行驶里程 </w:t>
      </w:r>
      <w:r>
        <w:rPr>
          <w:sz w:val="21"/>
        </w:rPr>
        <w:t>20</w:t>
      </w:r>
      <w:r>
        <w:rPr>
          <w:spacing w:val="-3"/>
          <w:sz w:val="21"/>
        </w:rPr>
        <w:t>%的夜间行驶试验。可靠性行驶试验里程不包括磨合行驶里程和其他试验的行驶里程。试验中若发生危及安全、危及主要功能、出现在试验现场不能修复的故障 或故障频发（</w:t>
      </w:r>
      <w:r>
        <w:rPr>
          <w:spacing w:val="-25"/>
          <w:sz w:val="21"/>
        </w:rPr>
        <w:t>每 </w:t>
      </w:r>
      <w:r>
        <w:rPr>
          <w:sz w:val="21"/>
        </w:rPr>
        <w:t>1000</w:t>
      </w:r>
      <w:r>
        <w:rPr>
          <w:spacing w:val="10"/>
          <w:sz w:val="21"/>
        </w:rPr>
        <w:t> </w:t>
      </w:r>
      <w:r>
        <w:rPr>
          <w:sz w:val="21"/>
        </w:rPr>
        <w:t>km</w:t>
      </w:r>
      <w:r>
        <w:rPr>
          <w:spacing w:val="-16"/>
          <w:sz w:val="21"/>
        </w:rPr>
        <w:t> 故障数大于 </w:t>
      </w:r>
      <w:r>
        <w:rPr>
          <w:sz w:val="21"/>
        </w:rPr>
        <w:t>2</w:t>
      </w:r>
      <w:r>
        <w:rPr>
          <w:spacing w:val="-26"/>
          <w:sz w:val="21"/>
        </w:rPr>
        <w:t> 次</w:t>
      </w:r>
      <w:r>
        <w:rPr>
          <w:sz w:val="21"/>
        </w:rPr>
        <w:t>）</w:t>
      </w:r>
      <w:r>
        <w:rPr>
          <w:spacing w:val="-3"/>
          <w:sz w:val="21"/>
        </w:rPr>
        <w:t>等情况应终止试验，找出故障原因并改正后重新试验。可靠性行驶试验应记录各路面的试验里程、各路面白天、夜间试验时间、燃料消耗量和发 动机润滑油消耗量、保养情况、试验期间的故障情况、故障次数与排除方法。判断试验结果是 </w:t>
      </w:r>
      <w:r>
        <w:rPr>
          <w:spacing w:val="-15"/>
          <w:sz w:val="21"/>
        </w:rPr>
        <w:t>否符合 </w:t>
      </w:r>
      <w:r>
        <w:rPr>
          <w:sz w:val="21"/>
        </w:rPr>
        <w:t>5.4.2.2</w:t>
      </w:r>
      <w:r>
        <w:rPr>
          <w:spacing w:val="-12"/>
          <w:sz w:val="21"/>
        </w:rPr>
        <w:t> 的规定。 </w:t>
      </w:r>
    </w:p>
    <w:p>
      <w:pPr>
        <w:pStyle w:val="ListParagraph"/>
        <w:numPr>
          <w:ilvl w:val="1"/>
          <w:numId w:val="169"/>
        </w:numPr>
        <w:tabs>
          <w:tab w:pos="1159" w:val="left" w:leader="none"/>
        </w:tabs>
        <w:spacing w:line="266" w:lineRule="exact" w:before="0" w:after="0"/>
        <w:ind w:left="1158" w:right="0" w:hanging="319"/>
        <w:jc w:val="left"/>
        <w:rPr>
          <w:sz w:val="21"/>
        </w:rPr>
      </w:pPr>
      <w:r>
        <w:rPr>
          <w:spacing w:val="-3"/>
          <w:sz w:val="21"/>
        </w:rPr>
        <w:t>驾乘室改制后试验</w:t>
      </w:r>
      <w:r>
        <w:rPr>
          <w:sz w:val="21"/>
        </w:rPr>
        <w:t> </w:t>
      </w:r>
    </w:p>
    <w:p>
      <w:pPr>
        <w:pStyle w:val="BodyText"/>
        <w:spacing w:before="9"/>
        <w:rPr>
          <w:sz w:val="17"/>
        </w:rPr>
      </w:pPr>
    </w:p>
    <w:p>
      <w:pPr>
        <w:pStyle w:val="ListParagraph"/>
        <w:numPr>
          <w:ilvl w:val="2"/>
          <w:numId w:val="169"/>
        </w:numPr>
        <w:tabs>
          <w:tab w:pos="1371" w:val="left" w:leader="none"/>
        </w:tabs>
        <w:spacing w:line="240" w:lineRule="auto" w:before="1" w:after="0"/>
        <w:ind w:left="1370" w:right="0" w:hanging="531"/>
        <w:jc w:val="left"/>
        <w:rPr>
          <w:sz w:val="21"/>
        </w:rPr>
      </w:pPr>
      <w:r>
        <w:rPr>
          <w:spacing w:val="-3"/>
          <w:sz w:val="21"/>
        </w:rPr>
        <w:t>座椅</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3"/>
          <w:numId w:val="169"/>
        </w:numPr>
        <w:tabs>
          <w:tab w:pos="1576" w:val="left" w:leader="none"/>
        </w:tabs>
        <w:spacing w:line="446" w:lineRule="auto" w:before="47" w:after="0"/>
        <w:ind w:left="418" w:right="1608" w:firstLine="419"/>
        <w:jc w:val="both"/>
        <w:rPr>
          <w:sz w:val="21"/>
        </w:rPr>
      </w:pPr>
      <w:r>
        <w:rPr>
          <w:spacing w:val="-3"/>
          <w:sz w:val="21"/>
        </w:rPr>
        <w:t>采用通用量具测量座椅与人体臀部接触面至放置脚的地板的垂直距离，测量时座椅应完整并不应压迫座椅与人体臀部接触面变形。若座椅与人体臀部接触面是斜面，应分别测量座椅与人体臀部接触面的高端和低端至放置脚的地板的垂直距离，取两个数的平均值为测量</w:t>
      </w:r>
      <w:r>
        <w:rPr>
          <w:spacing w:val="-5"/>
          <w:sz w:val="21"/>
        </w:rPr>
        <w:t>结果并采用角度仪测量靠背与座椅上平面的夹角，判断试验结果是否符合 </w:t>
      </w:r>
      <w:r>
        <w:rPr>
          <w:sz w:val="21"/>
        </w:rPr>
        <w:t>5.5.2.1</w:t>
      </w:r>
      <w:r>
        <w:rPr>
          <w:spacing w:val="-12"/>
          <w:sz w:val="21"/>
        </w:rPr>
        <w:t> 的规定。</w:t>
      </w:r>
      <w:r>
        <w:rPr>
          <w:sz w:val="21"/>
        </w:rPr>
        <w:t> </w:t>
      </w:r>
    </w:p>
    <w:p>
      <w:pPr>
        <w:pStyle w:val="ListParagraph"/>
        <w:numPr>
          <w:ilvl w:val="3"/>
          <w:numId w:val="169"/>
        </w:numPr>
        <w:tabs>
          <w:tab w:pos="1576" w:val="left" w:leader="none"/>
        </w:tabs>
        <w:spacing w:line="446" w:lineRule="auto" w:before="0" w:after="0"/>
        <w:ind w:left="418" w:right="1608" w:firstLine="419"/>
        <w:jc w:val="both"/>
        <w:rPr>
          <w:sz w:val="21"/>
        </w:rPr>
      </w:pPr>
      <w:r>
        <w:rPr>
          <w:spacing w:val="-3"/>
          <w:sz w:val="21"/>
        </w:rPr>
        <w:t>采用通用量具测量座椅与人体臀部接触面前端至前方座椅水平最近点的距离，相向座椅应测量两座椅与人体臀部接触面前端的水平距离，测量时座椅应完整并不应压迫座椅与</w:t>
      </w:r>
      <w:r>
        <w:rPr>
          <w:spacing w:val="-6"/>
          <w:sz w:val="21"/>
        </w:rPr>
        <w:t>人体臀部接触面前端变形，判断试验结果是否符合 </w:t>
      </w:r>
      <w:r>
        <w:rPr>
          <w:sz w:val="21"/>
        </w:rPr>
        <w:t>5.5.2.2</w:t>
      </w:r>
      <w:r>
        <w:rPr>
          <w:spacing w:val="-13"/>
          <w:sz w:val="21"/>
        </w:rPr>
        <w:t> 的规定。</w:t>
      </w:r>
      <w:r>
        <w:rPr>
          <w:sz w:val="21"/>
        </w:rPr>
        <w:t> </w:t>
      </w:r>
    </w:p>
    <w:p>
      <w:pPr>
        <w:pStyle w:val="ListParagraph"/>
        <w:numPr>
          <w:ilvl w:val="3"/>
          <w:numId w:val="169"/>
        </w:numPr>
        <w:tabs>
          <w:tab w:pos="1576" w:val="left" w:leader="none"/>
        </w:tabs>
        <w:spacing w:line="446" w:lineRule="auto" w:before="0" w:after="0"/>
        <w:ind w:left="418" w:right="1608" w:firstLine="419"/>
        <w:jc w:val="left"/>
        <w:rPr>
          <w:sz w:val="21"/>
        </w:rPr>
      </w:pPr>
      <w:r>
        <w:rPr>
          <w:spacing w:val="-2"/>
          <w:sz w:val="21"/>
        </w:rPr>
        <w:t>采用通用量具测量坐垫最窄处尺寸，测量座椅坐垫宽度时，将座椅坐垫水平放 置</w:t>
      </w:r>
      <w:r>
        <w:rPr>
          <w:spacing w:val="-3"/>
          <w:sz w:val="21"/>
        </w:rPr>
        <w:t>，确定每位乘员所占长度时，测量一排座椅两端的最小距离并用测量的数值除乘坐的人数，若座椅中间有高出座椅坐垫的物体，则测量数值应减去高出座椅坐垫物体的宽度，判断试验结果</w:t>
      </w:r>
      <w:r>
        <w:rPr>
          <w:spacing w:val="-13"/>
          <w:sz w:val="21"/>
        </w:rPr>
        <w:t>是否符合 </w:t>
      </w:r>
      <w:r>
        <w:rPr>
          <w:sz w:val="21"/>
        </w:rPr>
        <w:t>5.5.2.3</w:t>
      </w:r>
      <w:r>
        <w:rPr>
          <w:spacing w:val="-12"/>
          <w:sz w:val="21"/>
        </w:rPr>
        <w:t> 的要求。 </w:t>
      </w:r>
    </w:p>
    <w:p>
      <w:pPr>
        <w:pStyle w:val="ListParagraph"/>
        <w:numPr>
          <w:ilvl w:val="3"/>
          <w:numId w:val="169"/>
        </w:numPr>
        <w:tabs>
          <w:tab w:pos="1576" w:val="left" w:leader="none"/>
        </w:tabs>
        <w:spacing w:line="446" w:lineRule="auto" w:before="0" w:after="0"/>
        <w:ind w:left="418" w:right="1608" w:firstLine="419"/>
        <w:jc w:val="both"/>
        <w:rPr>
          <w:sz w:val="21"/>
        </w:rPr>
      </w:pPr>
      <w:r>
        <w:rPr>
          <w:spacing w:val="-3"/>
          <w:sz w:val="21"/>
        </w:rPr>
        <w:t>将座椅靠背调节至与水平面垂直，采用通用量具测量座椅与人体臀部接触面至座椅靠背顶端的距离，若座椅与人体臀部接触面是斜面，应分别测量座椅与人体臀部接触面的高端和低端至座椅靠背顶端的距离，取两个数的平均值为测量结果。判断试验结果是否符合</w:t>
      </w:r>
    </w:p>
    <w:p>
      <w:pPr>
        <w:pStyle w:val="BodyText"/>
        <w:spacing w:line="268" w:lineRule="exact"/>
        <w:ind w:left="418"/>
        <w:jc w:val="both"/>
      </w:pPr>
      <w:r>
        <w:rPr/>
        <w:t>5.5.2.4 的规定。 </w:t>
      </w:r>
    </w:p>
    <w:p>
      <w:pPr>
        <w:pStyle w:val="BodyText"/>
        <w:spacing w:before="9"/>
        <w:rPr>
          <w:sz w:val="17"/>
        </w:rPr>
      </w:pPr>
    </w:p>
    <w:p>
      <w:pPr>
        <w:pStyle w:val="ListParagraph"/>
        <w:numPr>
          <w:ilvl w:val="3"/>
          <w:numId w:val="170"/>
        </w:numPr>
        <w:tabs>
          <w:tab w:pos="1576" w:val="left" w:leader="none"/>
        </w:tabs>
        <w:spacing w:line="446" w:lineRule="auto" w:before="0" w:after="0"/>
        <w:ind w:left="418" w:right="1613" w:firstLine="419"/>
        <w:jc w:val="left"/>
        <w:rPr>
          <w:sz w:val="21"/>
        </w:rPr>
      </w:pPr>
      <w:r>
        <w:rPr>
          <w:spacing w:val="-5"/>
          <w:sz w:val="21"/>
        </w:rPr>
        <w:t>检查驾驶员座椅的前后位置是否可以调整，判断试验结果是否符合 </w:t>
      </w:r>
      <w:r>
        <w:rPr>
          <w:sz w:val="21"/>
        </w:rPr>
        <w:t>5.5.2.5</w:t>
      </w:r>
      <w:r>
        <w:rPr>
          <w:spacing w:val="-17"/>
          <w:sz w:val="21"/>
        </w:rPr>
        <w:t> 的规</w:t>
      </w:r>
      <w:r>
        <w:rPr>
          <w:spacing w:val="-2"/>
          <w:sz w:val="21"/>
        </w:rPr>
        <w:t>定。</w:t>
      </w:r>
      <w:r>
        <w:rPr>
          <w:sz w:val="21"/>
        </w:rPr>
        <w:t> </w:t>
      </w:r>
    </w:p>
    <w:p>
      <w:pPr>
        <w:pStyle w:val="ListParagraph"/>
        <w:numPr>
          <w:ilvl w:val="3"/>
          <w:numId w:val="170"/>
        </w:numPr>
        <w:tabs>
          <w:tab w:pos="1576" w:val="left" w:leader="none"/>
        </w:tabs>
        <w:spacing w:line="267" w:lineRule="exact" w:before="0" w:after="0"/>
        <w:ind w:left="1575" w:right="0" w:hanging="738"/>
        <w:jc w:val="left"/>
        <w:rPr>
          <w:sz w:val="21"/>
        </w:rPr>
      </w:pPr>
      <w:r>
        <w:rPr>
          <w:spacing w:val="-5"/>
          <w:sz w:val="21"/>
        </w:rPr>
        <w:t>检查驾乘室内座椅的强度和刚度，是否固定可靠，判断试验结果是否符合 </w:t>
      </w:r>
      <w:r>
        <w:rPr>
          <w:sz w:val="21"/>
        </w:rPr>
        <w:t>5.5.2.6</w:t>
      </w:r>
    </w:p>
    <w:p>
      <w:pPr>
        <w:pStyle w:val="BodyText"/>
        <w:spacing w:before="2"/>
        <w:rPr>
          <w:sz w:val="18"/>
        </w:rPr>
      </w:pPr>
    </w:p>
    <w:p>
      <w:pPr>
        <w:pStyle w:val="BodyText"/>
        <w:ind w:left="418"/>
      </w:pPr>
      <w:r>
        <w:rPr/>
        <w:t>的规定。 </w:t>
      </w:r>
    </w:p>
    <w:p>
      <w:pPr>
        <w:pStyle w:val="BodyText"/>
        <w:rPr>
          <w:sz w:val="18"/>
        </w:rPr>
      </w:pPr>
    </w:p>
    <w:p>
      <w:pPr>
        <w:pStyle w:val="ListParagraph"/>
        <w:numPr>
          <w:ilvl w:val="3"/>
          <w:numId w:val="170"/>
        </w:numPr>
        <w:tabs>
          <w:tab w:pos="1576" w:val="left" w:leader="none"/>
        </w:tabs>
        <w:spacing w:line="446" w:lineRule="auto" w:before="0" w:after="0"/>
        <w:ind w:left="418" w:right="1609" w:firstLine="419"/>
        <w:jc w:val="left"/>
        <w:rPr>
          <w:sz w:val="21"/>
        </w:rPr>
      </w:pPr>
      <w:r>
        <w:rPr>
          <w:spacing w:val="-3"/>
          <w:sz w:val="21"/>
        </w:rPr>
        <w:t>检查驾乘室内座椅座垫和靠背材料，并检查其国家级检验机构的检验报告，判断</w:t>
      </w:r>
      <w:r>
        <w:rPr>
          <w:spacing w:val="-9"/>
          <w:sz w:val="21"/>
        </w:rPr>
        <w:t>试验结果是否符合 </w:t>
      </w:r>
      <w:r>
        <w:rPr>
          <w:sz w:val="21"/>
        </w:rPr>
        <w:t>5.5.2.7</w:t>
      </w:r>
      <w:r>
        <w:rPr>
          <w:spacing w:val="-13"/>
          <w:sz w:val="21"/>
        </w:rPr>
        <w:t> 的规定。</w:t>
      </w:r>
      <w:r>
        <w:rPr>
          <w:sz w:val="21"/>
        </w:rPr>
        <w:t> </w:t>
      </w:r>
    </w:p>
    <w:p>
      <w:pPr>
        <w:pStyle w:val="ListParagraph"/>
        <w:numPr>
          <w:ilvl w:val="3"/>
          <w:numId w:val="170"/>
        </w:numPr>
        <w:tabs>
          <w:tab w:pos="1576" w:val="left" w:leader="none"/>
        </w:tabs>
        <w:spacing w:line="240" w:lineRule="auto" w:before="0" w:after="0"/>
        <w:ind w:left="1575" w:right="0" w:hanging="738"/>
        <w:jc w:val="left"/>
        <w:rPr>
          <w:sz w:val="21"/>
        </w:rPr>
      </w:pPr>
      <w:r>
        <w:rPr>
          <w:spacing w:val="-3"/>
          <w:sz w:val="21"/>
        </w:rPr>
        <w:t>检查驾乘室座椅后部安装空气呼吸器时座椅坐人的区域，判断试验结果是否符合</w:t>
      </w:r>
    </w:p>
    <w:p>
      <w:pPr>
        <w:pStyle w:val="BodyText"/>
        <w:rPr>
          <w:sz w:val="18"/>
        </w:rPr>
      </w:pPr>
    </w:p>
    <w:p>
      <w:pPr>
        <w:pStyle w:val="BodyText"/>
        <w:ind w:left="418"/>
        <w:jc w:val="both"/>
      </w:pPr>
      <w:r>
        <w:rPr/>
        <w:t>5.5.2.8 的规定。 </w:t>
      </w:r>
    </w:p>
    <w:p>
      <w:pPr>
        <w:pStyle w:val="BodyText"/>
        <w:spacing w:before="12"/>
        <w:rPr>
          <w:sz w:val="17"/>
        </w:rPr>
      </w:pPr>
    </w:p>
    <w:p>
      <w:pPr>
        <w:pStyle w:val="BodyText"/>
        <w:ind w:left="838"/>
      </w:pPr>
      <w:r>
        <w:rPr/>
        <w:t>6.5.1.9 目测检查驾乘室满足要求座椅数，判断试验结果是否符合 5.5.2.9 的规定。 </w:t>
      </w:r>
    </w:p>
    <w:p>
      <w:pPr>
        <w:pStyle w:val="BodyText"/>
        <w:spacing w:before="2"/>
        <w:rPr>
          <w:sz w:val="18"/>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3"/>
          <w:sz w:val="21"/>
        </w:rPr>
        <w:t>车门试验</w:t>
      </w:r>
      <w:r>
        <w:rPr>
          <w:sz w:val="21"/>
        </w:rPr>
        <w:t> </w:t>
      </w:r>
    </w:p>
    <w:p>
      <w:pPr>
        <w:pStyle w:val="BodyText"/>
        <w:rPr>
          <w:sz w:val="18"/>
        </w:rPr>
      </w:pPr>
    </w:p>
    <w:p>
      <w:pPr>
        <w:pStyle w:val="ListParagraph"/>
        <w:numPr>
          <w:ilvl w:val="3"/>
          <w:numId w:val="169"/>
        </w:numPr>
        <w:tabs>
          <w:tab w:pos="1576" w:val="left" w:leader="none"/>
        </w:tabs>
        <w:spacing w:line="446" w:lineRule="auto" w:before="0" w:after="0"/>
        <w:ind w:left="418" w:right="1609" w:firstLine="419"/>
        <w:jc w:val="left"/>
        <w:rPr>
          <w:sz w:val="21"/>
        </w:rPr>
      </w:pPr>
      <w:r>
        <w:rPr>
          <w:spacing w:val="-3"/>
          <w:sz w:val="21"/>
        </w:rPr>
        <w:t>将车门完全打开，采用角度仪测量车门关闭至完全打开的角度，判断试验结果是</w:t>
      </w:r>
      <w:r>
        <w:rPr>
          <w:spacing w:val="-15"/>
          <w:sz w:val="21"/>
        </w:rPr>
        <w:t>否符合 </w:t>
      </w:r>
      <w:r>
        <w:rPr>
          <w:sz w:val="21"/>
        </w:rPr>
        <w:t>5.5.3.1</w:t>
      </w:r>
      <w:r>
        <w:rPr>
          <w:spacing w:val="-12"/>
          <w:sz w:val="21"/>
        </w:rPr>
        <w:t> 的规定。 </w:t>
      </w:r>
    </w:p>
    <w:p>
      <w:pPr>
        <w:spacing w:after="0" w:line="446" w:lineRule="auto"/>
        <w:jc w:val="left"/>
        <w:rPr>
          <w:sz w:val="21"/>
        </w:rPr>
        <w:sectPr>
          <w:pgSz w:w="11910" w:h="16850"/>
          <w:pgMar w:header="0" w:footer="1239" w:top="1220" w:bottom="1420" w:left="1260" w:right="0"/>
        </w:sectPr>
      </w:pPr>
    </w:p>
    <w:p>
      <w:pPr>
        <w:pStyle w:val="ListParagraph"/>
        <w:numPr>
          <w:ilvl w:val="3"/>
          <w:numId w:val="169"/>
        </w:numPr>
        <w:tabs>
          <w:tab w:pos="1576" w:val="left" w:leader="none"/>
        </w:tabs>
        <w:spacing w:line="446" w:lineRule="auto" w:before="47" w:after="0"/>
        <w:ind w:left="418" w:right="1609" w:firstLine="419"/>
        <w:jc w:val="left"/>
        <w:rPr>
          <w:sz w:val="21"/>
        </w:rPr>
      </w:pPr>
      <w:r>
        <w:rPr>
          <w:spacing w:val="-3"/>
          <w:sz w:val="21"/>
        </w:rPr>
        <w:t>佩戴消防防护手套，开关车门三次都应启闭灵活，没有打不开，关不上或在开关</w:t>
      </w:r>
      <w:r>
        <w:rPr>
          <w:spacing w:val="-5"/>
          <w:sz w:val="21"/>
        </w:rPr>
        <w:t>过程中有阻滞现象，门锁应能可靠打开，判断试验结果是否符合 </w:t>
      </w:r>
      <w:r>
        <w:rPr>
          <w:sz w:val="21"/>
        </w:rPr>
        <w:t>5.5.3.2</w:t>
      </w:r>
      <w:r>
        <w:rPr>
          <w:spacing w:val="-12"/>
          <w:sz w:val="21"/>
        </w:rPr>
        <w:t> 的规定。 </w:t>
      </w:r>
    </w:p>
    <w:p>
      <w:pPr>
        <w:pStyle w:val="ListParagraph"/>
        <w:numPr>
          <w:ilvl w:val="3"/>
          <w:numId w:val="169"/>
        </w:numPr>
        <w:tabs>
          <w:tab w:pos="1576" w:val="left" w:leader="none"/>
        </w:tabs>
        <w:spacing w:line="267" w:lineRule="exact" w:before="0" w:after="0"/>
        <w:ind w:left="1575" w:right="0" w:hanging="738"/>
        <w:jc w:val="left"/>
        <w:rPr>
          <w:sz w:val="21"/>
        </w:rPr>
      </w:pPr>
      <w:r>
        <w:rPr>
          <w:spacing w:val="-6"/>
          <w:sz w:val="21"/>
        </w:rPr>
        <w:t>目测检查驾乘室车门数量，判断试验结果是否符合 </w:t>
      </w:r>
      <w:r>
        <w:rPr>
          <w:sz w:val="21"/>
        </w:rPr>
        <w:t>5.5.3.3</w:t>
      </w:r>
      <w:r>
        <w:rPr>
          <w:spacing w:val="-12"/>
          <w:sz w:val="21"/>
        </w:rPr>
        <w:t> 的规定。 </w:t>
      </w:r>
    </w:p>
    <w:p>
      <w:pPr>
        <w:pStyle w:val="BodyText"/>
        <w:spacing w:before="2"/>
        <w:rPr>
          <w:sz w:val="18"/>
        </w:rPr>
      </w:pPr>
    </w:p>
    <w:p>
      <w:pPr>
        <w:pStyle w:val="ListParagraph"/>
        <w:numPr>
          <w:ilvl w:val="3"/>
          <w:numId w:val="169"/>
        </w:numPr>
        <w:tabs>
          <w:tab w:pos="1576" w:val="left" w:leader="none"/>
        </w:tabs>
        <w:spacing w:line="240" w:lineRule="auto" w:before="0" w:after="0"/>
        <w:ind w:left="1575" w:right="0" w:hanging="738"/>
        <w:jc w:val="left"/>
        <w:rPr>
          <w:sz w:val="21"/>
        </w:rPr>
      </w:pPr>
      <w:r>
        <w:rPr>
          <w:spacing w:val="-6"/>
          <w:sz w:val="21"/>
        </w:rPr>
        <w:t>检查车窗的启闭，判断试验结果是否符合 </w:t>
      </w:r>
      <w:r>
        <w:rPr>
          <w:sz w:val="21"/>
        </w:rPr>
        <w:t>5.5.3.4</w:t>
      </w:r>
      <w:r>
        <w:rPr>
          <w:spacing w:val="-13"/>
          <w:sz w:val="21"/>
        </w:rPr>
        <w:t> 的规定。</w:t>
      </w:r>
      <w:r>
        <w:rPr>
          <w:sz w:val="21"/>
        </w:rPr>
        <w:t> </w:t>
      </w:r>
    </w:p>
    <w:p>
      <w:pPr>
        <w:pStyle w:val="BodyText"/>
        <w:rPr>
          <w:sz w:val="18"/>
        </w:rPr>
      </w:pPr>
    </w:p>
    <w:p>
      <w:pPr>
        <w:pStyle w:val="ListParagraph"/>
        <w:numPr>
          <w:ilvl w:val="3"/>
          <w:numId w:val="169"/>
        </w:numPr>
        <w:tabs>
          <w:tab w:pos="1576" w:val="left" w:leader="none"/>
        </w:tabs>
        <w:spacing w:line="240" w:lineRule="auto" w:before="0" w:after="0"/>
        <w:ind w:left="1575" w:right="0" w:hanging="738"/>
        <w:jc w:val="left"/>
        <w:rPr>
          <w:sz w:val="21"/>
        </w:rPr>
      </w:pPr>
      <w:r>
        <w:rPr>
          <w:spacing w:val="-6"/>
          <w:sz w:val="21"/>
        </w:rPr>
        <w:t>目测检查玻璃认证标识，判断试验结果是否符合 </w:t>
      </w:r>
      <w:r>
        <w:rPr>
          <w:sz w:val="21"/>
        </w:rPr>
        <w:t>5.5.3.5</w:t>
      </w:r>
      <w:r>
        <w:rPr>
          <w:spacing w:val="-12"/>
          <w:sz w:val="21"/>
        </w:rPr>
        <w:t> 的规定。 </w:t>
      </w:r>
    </w:p>
    <w:p>
      <w:pPr>
        <w:pStyle w:val="BodyText"/>
        <w:spacing w:before="12"/>
        <w:rPr>
          <w:sz w:val="17"/>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3"/>
          <w:sz w:val="21"/>
        </w:rPr>
        <w:t>上、下车踏板</w:t>
      </w:r>
      <w:r>
        <w:rPr>
          <w:sz w:val="21"/>
        </w:rPr>
        <w:t> </w:t>
      </w:r>
    </w:p>
    <w:p>
      <w:pPr>
        <w:pStyle w:val="BodyText"/>
        <w:spacing w:before="2"/>
        <w:rPr>
          <w:sz w:val="18"/>
        </w:rPr>
      </w:pPr>
    </w:p>
    <w:p>
      <w:pPr>
        <w:pStyle w:val="BodyText"/>
        <w:spacing w:line="446" w:lineRule="auto"/>
        <w:ind w:left="418" w:right="1452" w:firstLine="419"/>
      </w:pPr>
      <w:r>
        <w:rPr>
          <w:spacing w:val="-3"/>
        </w:rPr>
        <w:t>将上、下车踏板放置为上下人员的位置，确定上、下车踏板间距时应测量上级踏板脚踏平 面至下级踏板脚踏平面的垂直距离。确定上、下车踏板长度时应测量踏板的最短距离为踏板长 度。确定踏板深度时应测量踏板外沿至穿消防胶靴能伸进的距离。确定与地面最近一级的离地 距离时应测量与地面最近一级踏板的脚踏平面至地面的垂直距离。确定踏板中间的水平照度时 将照度仪光传感器的感光面向上放置在被测踏板的中间，打开踏板照明灯，测量照度值。检查 </w:t>
      </w:r>
      <w:r>
        <w:rPr>
          <w:spacing w:val="-6"/>
        </w:rPr>
        <w:t>消防车踏板放下后的警示标识。在踏板的垂直方向 </w:t>
      </w:r>
      <w:r>
        <w:rPr/>
        <w:t>500mm</w:t>
      </w:r>
      <w:r>
        <w:rPr>
          <w:spacing w:val="-17"/>
        </w:rPr>
        <w:t> 范围内加载 </w:t>
      </w:r>
      <w:r>
        <w:rPr/>
        <w:t>75</w:t>
      </w:r>
      <w:r>
        <w:rPr>
          <w:spacing w:val="9"/>
        </w:rPr>
        <w:t> </w:t>
      </w:r>
      <w:r>
        <w:rPr/>
        <w:t>kg</w:t>
      </w:r>
      <w:r>
        <w:rPr>
          <w:spacing w:val="-16"/>
        </w:rPr>
        <w:t> 的重量保持 </w:t>
      </w:r>
      <w:r>
        <w:rPr/>
        <w:t>5</w:t>
      </w:r>
      <w:r>
        <w:rPr>
          <w:spacing w:val="9"/>
        </w:rPr>
        <w:t> </w:t>
      </w:r>
      <w:r>
        <w:rPr/>
        <w:t>min， </w:t>
      </w:r>
      <w:r>
        <w:rPr>
          <w:spacing w:val="-6"/>
        </w:rPr>
        <w:t>查看踏板是否有永久变形。将翻转踏板按宽 </w:t>
      </w:r>
      <w:r>
        <w:rPr/>
        <w:t>800mm</w:t>
      </w:r>
      <w:r>
        <w:rPr>
          <w:spacing w:val="3"/>
        </w:rPr>
        <w:t>、高 </w:t>
      </w:r>
      <w:r>
        <w:rPr/>
        <w:t>500mm</w:t>
      </w:r>
      <w:r>
        <w:rPr>
          <w:spacing w:val="-8"/>
        </w:rPr>
        <w:t> 制成试验样品，装上铰链和回位</w:t>
      </w:r>
      <w:r>
        <w:rPr>
          <w:spacing w:val="-9"/>
        </w:rPr>
        <w:t>弹簧，安装在试验台上进行 </w:t>
      </w:r>
      <w:r>
        <w:rPr/>
        <w:t>10000</w:t>
      </w:r>
      <w:r>
        <w:rPr>
          <w:spacing w:val="-12"/>
        </w:rPr>
        <w:t> 次上下翻转试验。判断试验结果是否符合 </w:t>
      </w:r>
      <w:r>
        <w:rPr/>
        <w:t>5.5.4</w:t>
      </w:r>
      <w:r>
        <w:rPr>
          <w:spacing w:val="-12"/>
        </w:rPr>
        <w:t> 的规定。</w:t>
      </w:r>
      <w:r>
        <w:rPr/>
        <w:t> </w:t>
      </w:r>
    </w:p>
    <w:p>
      <w:pPr>
        <w:pStyle w:val="ListParagraph"/>
        <w:numPr>
          <w:ilvl w:val="2"/>
          <w:numId w:val="169"/>
        </w:numPr>
        <w:tabs>
          <w:tab w:pos="1371" w:val="left" w:leader="none"/>
        </w:tabs>
        <w:spacing w:line="265" w:lineRule="exact" w:before="0" w:after="0"/>
        <w:ind w:left="1370" w:right="0" w:hanging="531"/>
        <w:jc w:val="left"/>
        <w:rPr>
          <w:sz w:val="21"/>
        </w:rPr>
      </w:pPr>
      <w:r>
        <w:rPr>
          <w:spacing w:val="-3"/>
          <w:sz w:val="21"/>
        </w:rPr>
        <w:t>扶手</w:t>
      </w:r>
      <w:r>
        <w:rPr>
          <w:sz w:val="21"/>
        </w:rPr>
        <w:t> </w:t>
      </w:r>
    </w:p>
    <w:p>
      <w:pPr>
        <w:pStyle w:val="BodyText"/>
        <w:spacing w:before="2"/>
        <w:rPr>
          <w:sz w:val="18"/>
        </w:rPr>
      </w:pPr>
    </w:p>
    <w:p>
      <w:pPr>
        <w:pStyle w:val="ListParagraph"/>
        <w:numPr>
          <w:ilvl w:val="3"/>
          <w:numId w:val="169"/>
        </w:numPr>
        <w:tabs>
          <w:tab w:pos="1576" w:val="left" w:leader="none"/>
        </w:tabs>
        <w:spacing w:line="446" w:lineRule="auto" w:before="0" w:after="0"/>
        <w:ind w:left="418" w:right="1507" w:firstLine="419"/>
        <w:jc w:val="left"/>
        <w:rPr>
          <w:sz w:val="21"/>
        </w:rPr>
      </w:pPr>
      <w:r>
        <w:rPr>
          <w:spacing w:val="-9"/>
          <w:sz w:val="21"/>
        </w:rPr>
        <w:t>试验时扶手通过 </w:t>
      </w:r>
      <w:r>
        <w:rPr>
          <w:sz w:val="21"/>
        </w:rPr>
        <w:t>30mm</w:t>
      </w:r>
      <w:r>
        <w:rPr>
          <w:spacing w:val="-8"/>
          <w:sz w:val="21"/>
        </w:rPr>
        <w:t> 宽的帆布带与拉力计相连，通过拉力计和帆布带向被测扶手</w:t>
      </w:r>
      <w:r>
        <w:rPr>
          <w:spacing w:val="-10"/>
          <w:sz w:val="21"/>
        </w:rPr>
        <w:t>加载，当拉力达到 </w:t>
      </w:r>
      <w:r>
        <w:rPr>
          <w:sz w:val="21"/>
        </w:rPr>
        <w:t>100kg</w:t>
      </w:r>
      <w:r>
        <w:rPr>
          <w:spacing w:val="-13"/>
          <w:sz w:val="21"/>
        </w:rPr>
        <w:t> 后停止加载并保持 </w:t>
      </w:r>
      <w:r>
        <w:rPr>
          <w:spacing w:val="-3"/>
          <w:sz w:val="21"/>
        </w:rPr>
        <w:t>3</w:t>
      </w:r>
      <w:r>
        <w:rPr>
          <w:spacing w:val="11"/>
          <w:sz w:val="21"/>
        </w:rPr>
        <w:t> </w:t>
      </w:r>
      <w:r>
        <w:rPr>
          <w:sz w:val="21"/>
        </w:rPr>
        <w:t>min</w:t>
      </w:r>
      <w:r>
        <w:rPr>
          <w:spacing w:val="-3"/>
          <w:sz w:val="21"/>
        </w:rPr>
        <w:t>，加载速度应均匀，判断试验结果是否符合</w:t>
      </w:r>
    </w:p>
    <w:p>
      <w:pPr>
        <w:pStyle w:val="BodyText"/>
        <w:spacing w:line="267" w:lineRule="exact"/>
        <w:ind w:left="418"/>
      </w:pPr>
      <w:r>
        <w:rPr/>
        <w:t>5.5.5.1 的规定。 </w:t>
      </w:r>
    </w:p>
    <w:p>
      <w:pPr>
        <w:pStyle w:val="BodyText"/>
        <w:spacing w:before="2"/>
        <w:rPr>
          <w:sz w:val="18"/>
        </w:rPr>
      </w:pPr>
    </w:p>
    <w:p>
      <w:pPr>
        <w:pStyle w:val="ListParagraph"/>
        <w:numPr>
          <w:ilvl w:val="3"/>
          <w:numId w:val="171"/>
        </w:numPr>
        <w:tabs>
          <w:tab w:pos="1576" w:val="left" w:leader="none"/>
        </w:tabs>
        <w:spacing w:line="446" w:lineRule="auto" w:before="0" w:after="0"/>
        <w:ind w:left="418" w:right="1609" w:firstLine="419"/>
        <w:jc w:val="left"/>
        <w:rPr>
          <w:sz w:val="21"/>
        </w:rPr>
      </w:pPr>
      <w:r>
        <w:rPr>
          <w:spacing w:val="-3"/>
          <w:sz w:val="21"/>
        </w:rPr>
        <w:t>目测检查乘员扶手数量，佩戴消防防护手套，检查各扶手是否可以牢靠的抓持， </w:t>
      </w:r>
      <w:r>
        <w:rPr>
          <w:spacing w:val="-8"/>
          <w:sz w:val="21"/>
        </w:rPr>
        <w:t>判断试验结果是否符合 </w:t>
      </w:r>
      <w:r>
        <w:rPr>
          <w:sz w:val="21"/>
        </w:rPr>
        <w:t>5.5.5.2</w:t>
      </w:r>
      <w:r>
        <w:rPr>
          <w:spacing w:val="-13"/>
          <w:sz w:val="21"/>
        </w:rPr>
        <w:t> 的规定。</w:t>
      </w:r>
      <w:r>
        <w:rPr>
          <w:sz w:val="21"/>
        </w:rPr>
        <w:t> </w:t>
      </w:r>
    </w:p>
    <w:p>
      <w:pPr>
        <w:pStyle w:val="ListParagraph"/>
        <w:numPr>
          <w:ilvl w:val="3"/>
          <w:numId w:val="171"/>
        </w:numPr>
        <w:tabs>
          <w:tab w:pos="1576" w:val="left" w:leader="none"/>
        </w:tabs>
        <w:spacing w:line="446" w:lineRule="auto" w:before="0" w:after="0"/>
        <w:ind w:left="418" w:right="1613" w:firstLine="419"/>
        <w:jc w:val="left"/>
        <w:rPr>
          <w:sz w:val="21"/>
        </w:rPr>
      </w:pPr>
      <w:r>
        <w:rPr>
          <w:spacing w:val="-5"/>
          <w:sz w:val="21"/>
        </w:rPr>
        <w:t>检查扶手在乘员乘坐时是否可以方便抓持，判断试验结果是否符合 </w:t>
      </w:r>
      <w:r>
        <w:rPr>
          <w:sz w:val="21"/>
        </w:rPr>
        <w:t>5.5.5.3</w:t>
      </w:r>
      <w:r>
        <w:rPr>
          <w:spacing w:val="-17"/>
          <w:sz w:val="21"/>
        </w:rPr>
        <w:t> 的规</w:t>
      </w:r>
      <w:r>
        <w:rPr>
          <w:spacing w:val="-2"/>
          <w:sz w:val="21"/>
        </w:rPr>
        <w:t>定。</w:t>
      </w:r>
      <w:r>
        <w:rPr>
          <w:sz w:val="21"/>
        </w:rPr>
        <w:t> </w:t>
      </w:r>
    </w:p>
    <w:p>
      <w:pPr>
        <w:pStyle w:val="ListParagraph"/>
        <w:numPr>
          <w:ilvl w:val="3"/>
          <w:numId w:val="171"/>
        </w:numPr>
        <w:tabs>
          <w:tab w:pos="1576" w:val="left" w:leader="none"/>
        </w:tabs>
        <w:spacing w:line="446" w:lineRule="auto" w:before="0" w:after="0"/>
        <w:ind w:left="418" w:right="1609" w:firstLine="419"/>
        <w:jc w:val="left"/>
        <w:rPr>
          <w:sz w:val="21"/>
        </w:rPr>
      </w:pPr>
      <w:r>
        <w:rPr>
          <w:spacing w:val="-3"/>
          <w:sz w:val="21"/>
        </w:rPr>
        <w:t>目测检查是否有上、下车扶手，并佩戴消防防护手套检查是否可以牢靠的抓持， </w:t>
      </w:r>
      <w:r>
        <w:rPr>
          <w:spacing w:val="-8"/>
          <w:sz w:val="21"/>
        </w:rPr>
        <w:t>判断试验结果是否符合 </w:t>
      </w:r>
      <w:r>
        <w:rPr>
          <w:sz w:val="21"/>
        </w:rPr>
        <w:t>5.5.5.4</w:t>
      </w:r>
      <w:r>
        <w:rPr>
          <w:spacing w:val="-3"/>
          <w:sz w:val="21"/>
        </w:rPr>
        <w:t> 的规定。</w:t>
      </w:r>
      <w:r>
        <w:rPr>
          <w:sz w:val="21"/>
        </w:rPr>
        <w:t> </w:t>
      </w:r>
    </w:p>
    <w:p>
      <w:pPr>
        <w:pStyle w:val="ListParagraph"/>
        <w:numPr>
          <w:ilvl w:val="3"/>
          <w:numId w:val="171"/>
        </w:numPr>
        <w:tabs>
          <w:tab w:pos="1576" w:val="left" w:leader="none"/>
        </w:tabs>
        <w:spacing w:line="446" w:lineRule="auto" w:before="0" w:after="0"/>
        <w:ind w:left="418" w:right="1609" w:firstLine="419"/>
        <w:jc w:val="left"/>
        <w:rPr>
          <w:sz w:val="21"/>
        </w:rPr>
      </w:pPr>
      <w:r>
        <w:rPr>
          <w:spacing w:val="-3"/>
          <w:sz w:val="21"/>
        </w:rPr>
        <w:t>检查扶手材料，检查金属扶手是否包敷非金属层，是否有防滑花纹，判断试验结</w:t>
      </w:r>
      <w:r>
        <w:rPr>
          <w:spacing w:val="-12"/>
          <w:sz w:val="21"/>
        </w:rPr>
        <w:t>果是否符合 </w:t>
      </w:r>
      <w:r>
        <w:rPr>
          <w:sz w:val="21"/>
        </w:rPr>
        <w:t>5.5.5.5</w:t>
      </w:r>
      <w:r>
        <w:rPr>
          <w:spacing w:val="-12"/>
          <w:sz w:val="21"/>
        </w:rPr>
        <w:t> 的规定。 </w:t>
      </w:r>
    </w:p>
    <w:p>
      <w:pPr>
        <w:pStyle w:val="ListParagraph"/>
        <w:numPr>
          <w:ilvl w:val="2"/>
          <w:numId w:val="169"/>
        </w:numPr>
        <w:tabs>
          <w:tab w:pos="1371" w:val="left" w:leader="none"/>
        </w:tabs>
        <w:spacing w:line="267" w:lineRule="exact" w:before="0" w:after="0"/>
        <w:ind w:left="1370" w:right="0" w:hanging="531"/>
        <w:jc w:val="left"/>
        <w:rPr>
          <w:sz w:val="21"/>
        </w:rPr>
      </w:pPr>
      <w:r>
        <w:rPr>
          <w:spacing w:val="-3"/>
          <w:sz w:val="21"/>
        </w:rPr>
        <w:t>驾乘室强度和刚度</w:t>
      </w:r>
      <w:r>
        <w:rPr>
          <w:sz w:val="21"/>
        </w:rPr>
        <w:t> </w:t>
      </w:r>
    </w:p>
    <w:p>
      <w:pPr>
        <w:spacing w:after="0" w:line="267" w:lineRule="exact"/>
        <w:jc w:val="left"/>
        <w:rPr>
          <w:sz w:val="21"/>
        </w:rPr>
        <w:sectPr>
          <w:pgSz w:w="11910" w:h="16850"/>
          <w:pgMar w:header="0" w:footer="1239" w:top="1220" w:bottom="1420" w:left="1260" w:right="0"/>
        </w:sectPr>
      </w:pPr>
    </w:p>
    <w:p>
      <w:pPr>
        <w:pStyle w:val="ListParagraph"/>
        <w:numPr>
          <w:ilvl w:val="3"/>
          <w:numId w:val="169"/>
        </w:numPr>
        <w:tabs>
          <w:tab w:pos="1576" w:val="left" w:leader="none"/>
        </w:tabs>
        <w:spacing w:line="240" w:lineRule="auto" w:before="47" w:after="0"/>
        <w:ind w:left="1575" w:right="0" w:hanging="738"/>
        <w:jc w:val="left"/>
        <w:rPr>
          <w:sz w:val="21"/>
        </w:rPr>
      </w:pPr>
      <w:r>
        <w:rPr>
          <w:spacing w:val="-5"/>
          <w:sz w:val="21"/>
        </w:rPr>
        <w:t>目测检查乘员室顶部是否有防滑措施。将乘员室顶部从中间向四周按每块 </w:t>
      </w:r>
      <w:r>
        <w:rPr>
          <w:sz w:val="21"/>
        </w:rPr>
        <w:t>300</w:t>
      </w:r>
      <w:r>
        <w:rPr>
          <w:spacing w:val="2"/>
          <w:sz w:val="21"/>
        </w:rPr>
        <w:t> </w:t>
      </w:r>
      <w:r>
        <w:rPr>
          <w:sz w:val="21"/>
        </w:rPr>
        <w:t>mm</w:t>
      </w:r>
    </w:p>
    <w:p>
      <w:pPr>
        <w:pStyle w:val="BodyText"/>
        <w:rPr>
          <w:sz w:val="18"/>
        </w:rPr>
      </w:pPr>
    </w:p>
    <w:p>
      <w:pPr>
        <w:pStyle w:val="BodyText"/>
        <w:spacing w:line="446" w:lineRule="auto"/>
        <w:ind w:left="418" w:right="1508"/>
      </w:pPr>
      <w:r>
        <w:rPr/>
        <w:t>×200 mm</w:t>
      </w:r>
      <w:r>
        <w:rPr>
          <w:spacing w:val="-11"/>
        </w:rPr>
        <w:t> 尺寸进行标记，在标记的任一块中放置 </w:t>
      </w:r>
      <w:r>
        <w:rPr/>
        <w:t>100kg</w:t>
      </w:r>
      <w:r>
        <w:rPr>
          <w:spacing w:val="-12"/>
        </w:rPr>
        <w:t> 砝码，</w:t>
      </w:r>
      <w:r>
        <w:rPr/>
        <w:t>5min</w:t>
      </w:r>
      <w:r>
        <w:rPr>
          <w:spacing w:val="-8"/>
        </w:rPr>
        <w:t> 后取下砝码目测放置砝码区</w:t>
      </w:r>
      <w:r>
        <w:rPr>
          <w:spacing w:val="-5"/>
        </w:rPr>
        <w:t>域是否有结构破坏或可见的永久变形，然后逐一在每个区域重复进行上述试验，对于标记区域</w:t>
      </w:r>
      <w:r>
        <w:rPr>
          <w:spacing w:val="-8"/>
        </w:rPr>
        <w:t>时乘员室顶部边缘不够 </w:t>
      </w:r>
      <w:r>
        <w:rPr/>
        <w:t>300mm×200mm</w:t>
      </w:r>
      <w:r>
        <w:rPr>
          <w:spacing w:val="-10"/>
        </w:rPr>
        <w:t> 尺寸的区域不进行试验，判断试验结果是否符合 </w:t>
      </w:r>
      <w:r>
        <w:rPr/>
        <w:t>5.5.6.1 </w:t>
      </w:r>
      <w:r>
        <w:rPr>
          <w:spacing w:val="-2"/>
        </w:rPr>
        <w:t>的规定。</w:t>
      </w:r>
      <w:r>
        <w:rPr/>
        <w:t> </w:t>
      </w:r>
    </w:p>
    <w:p>
      <w:pPr>
        <w:pStyle w:val="ListParagraph"/>
        <w:numPr>
          <w:ilvl w:val="3"/>
          <w:numId w:val="169"/>
        </w:numPr>
        <w:tabs>
          <w:tab w:pos="1576" w:val="left" w:leader="none"/>
        </w:tabs>
        <w:spacing w:line="266" w:lineRule="exact" w:before="0" w:after="0"/>
        <w:ind w:left="1575" w:right="0" w:hanging="738"/>
        <w:jc w:val="left"/>
        <w:rPr>
          <w:sz w:val="21"/>
        </w:rPr>
      </w:pPr>
      <w:r>
        <w:rPr>
          <w:spacing w:val="-6"/>
          <w:sz w:val="21"/>
        </w:rPr>
        <w:t>检查原驾乘室结构和材质，判断试验结果是否符合 </w:t>
      </w:r>
      <w:r>
        <w:rPr>
          <w:sz w:val="21"/>
        </w:rPr>
        <w:t>5.5.6.2</w:t>
      </w:r>
      <w:r>
        <w:rPr>
          <w:spacing w:val="-12"/>
          <w:sz w:val="21"/>
        </w:rPr>
        <w:t> 的规定。 </w:t>
      </w:r>
    </w:p>
    <w:p>
      <w:pPr>
        <w:pStyle w:val="BodyText"/>
        <w:spacing w:before="2"/>
        <w:rPr>
          <w:sz w:val="18"/>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3"/>
          <w:sz w:val="21"/>
        </w:rPr>
        <w:t>驾乘室内外部操作试验</w:t>
      </w:r>
      <w:r>
        <w:rPr>
          <w:sz w:val="21"/>
        </w:rPr>
        <w:t> </w:t>
      </w:r>
    </w:p>
    <w:p>
      <w:pPr>
        <w:pStyle w:val="BodyText"/>
        <w:rPr>
          <w:sz w:val="18"/>
        </w:rPr>
      </w:pPr>
    </w:p>
    <w:p>
      <w:pPr>
        <w:pStyle w:val="ListParagraph"/>
        <w:numPr>
          <w:ilvl w:val="3"/>
          <w:numId w:val="169"/>
        </w:numPr>
        <w:tabs>
          <w:tab w:pos="1576" w:val="left" w:leader="none"/>
        </w:tabs>
        <w:spacing w:line="446" w:lineRule="auto" w:before="0" w:after="0"/>
        <w:ind w:left="418" w:right="1508" w:firstLine="419"/>
        <w:jc w:val="both"/>
        <w:rPr>
          <w:sz w:val="21"/>
        </w:rPr>
      </w:pPr>
      <w:r>
        <w:rPr>
          <w:spacing w:val="-2"/>
          <w:sz w:val="21"/>
        </w:rPr>
        <w:t>佩戴消防防护手套，检查驾乘室内部的灯开关、警灯、警报器开关、储物箱开 关</w:t>
      </w:r>
      <w:r>
        <w:rPr>
          <w:spacing w:val="-5"/>
          <w:sz w:val="21"/>
        </w:rPr>
        <w:t>、抽拉板拉手、启闭车门、车窗等是否操作方便，判断试验结果是否符合 </w:t>
      </w:r>
      <w:r>
        <w:rPr>
          <w:sz w:val="21"/>
        </w:rPr>
        <w:t>5.5.7.1</w:t>
      </w:r>
      <w:r>
        <w:rPr>
          <w:spacing w:val="-12"/>
          <w:sz w:val="21"/>
        </w:rPr>
        <w:t> 的规定。</w:t>
      </w:r>
      <w:r>
        <w:rPr>
          <w:sz w:val="21"/>
        </w:rPr>
        <w:t> </w:t>
      </w:r>
    </w:p>
    <w:p>
      <w:pPr>
        <w:pStyle w:val="ListParagraph"/>
        <w:numPr>
          <w:ilvl w:val="3"/>
          <w:numId w:val="169"/>
        </w:numPr>
        <w:tabs>
          <w:tab w:pos="1576" w:val="left" w:leader="none"/>
        </w:tabs>
        <w:spacing w:line="446" w:lineRule="auto" w:before="0" w:after="0"/>
        <w:ind w:left="418" w:right="1608" w:firstLine="419"/>
        <w:jc w:val="both"/>
        <w:rPr>
          <w:sz w:val="21"/>
        </w:rPr>
      </w:pPr>
      <w:r>
        <w:rPr>
          <w:spacing w:val="-3"/>
          <w:sz w:val="21"/>
        </w:rPr>
        <w:t>检查驾乘室座椅后部是否安装空气呼吸器，是否有机械锁止机构将空气呼吸器锁住，佩戴消防防护手套，是否可以方便地接触到机械锁止机构的解除手柄并方便操作，判断试</w:t>
      </w:r>
      <w:r>
        <w:rPr>
          <w:spacing w:val="-10"/>
          <w:sz w:val="21"/>
        </w:rPr>
        <w:t>验结果是否符合 </w:t>
      </w:r>
      <w:r>
        <w:rPr>
          <w:sz w:val="21"/>
        </w:rPr>
        <w:t>5.5.7.2</w:t>
      </w:r>
      <w:r>
        <w:rPr>
          <w:spacing w:val="-13"/>
          <w:sz w:val="21"/>
        </w:rPr>
        <w:t> 的规定。</w:t>
      </w:r>
      <w:r>
        <w:rPr>
          <w:sz w:val="21"/>
        </w:rPr>
        <w:t> </w:t>
      </w:r>
    </w:p>
    <w:p>
      <w:pPr>
        <w:pStyle w:val="ListParagraph"/>
        <w:numPr>
          <w:ilvl w:val="3"/>
          <w:numId w:val="169"/>
        </w:numPr>
        <w:tabs>
          <w:tab w:pos="1576" w:val="left" w:leader="none"/>
        </w:tabs>
        <w:spacing w:line="446" w:lineRule="auto" w:before="0" w:after="0"/>
        <w:ind w:left="418" w:right="1609" w:firstLine="419"/>
        <w:jc w:val="both"/>
        <w:rPr>
          <w:sz w:val="21"/>
        </w:rPr>
      </w:pPr>
      <w:r>
        <w:rPr>
          <w:spacing w:val="-3"/>
          <w:sz w:val="21"/>
        </w:rPr>
        <w:t>检查驾乘室的翻转机构、操作说明及翻转保护机构，使用角度仪测量驾乘室从行</w:t>
      </w:r>
      <w:r>
        <w:rPr>
          <w:spacing w:val="-5"/>
          <w:sz w:val="21"/>
        </w:rPr>
        <w:t>车位置翻转至最大翻转角的角度，判断试验结果是否符合 </w:t>
      </w:r>
      <w:r>
        <w:rPr>
          <w:sz w:val="21"/>
        </w:rPr>
        <w:t>5.5.7.3</w:t>
      </w:r>
      <w:r>
        <w:rPr>
          <w:spacing w:val="-13"/>
          <w:sz w:val="21"/>
        </w:rPr>
        <w:t> 的规定。</w:t>
      </w:r>
      <w:r>
        <w:rPr>
          <w:sz w:val="21"/>
        </w:rPr>
        <w:t> </w:t>
      </w:r>
    </w:p>
    <w:p>
      <w:pPr>
        <w:pStyle w:val="ListParagraph"/>
        <w:numPr>
          <w:ilvl w:val="2"/>
          <w:numId w:val="169"/>
        </w:numPr>
        <w:tabs>
          <w:tab w:pos="1370" w:val="left" w:leader="none"/>
        </w:tabs>
        <w:spacing w:line="267" w:lineRule="exact" w:before="0" w:after="0"/>
        <w:ind w:left="1369" w:right="0" w:hanging="530"/>
        <w:jc w:val="left"/>
        <w:rPr>
          <w:sz w:val="21"/>
        </w:rPr>
      </w:pPr>
      <w:r>
        <w:rPr>
          <w:spacing w:val="-3"/>
          <w:sz w:val="21"/>
        </w:rPr>
        <w:t>安全要求</w:t>
      </w:r>
      <w:r>
        <w:rPr>
          <w:sz w:val="21"/>
        </w:rPr>
        <w:t> </w:t>
      </w:r>
    </w:p>
    <w:p>
      <w:pPr>
        <w:pStyle w:val="BodyText"/>
        <w:rPr>
          <w:sz w:val="18"/>
        </w:rPr>
      </w:pPr>
    </w:p>
    <w:p>
      <w:pPr>
        <w:pStyle w:val="ListParagraph"/>
        <w:numPr>
          <w:ilvl w:val="3"/>
          <w:numId w:val="169"/>
        </w:numPr>
        <w:tabs>
          <w:tab w:pos="1576" w:val="left" w:leader="none"/>
        </w:tabs>
        <w:spacing w:line="446" w:lineRule="auto" w:before="1" w:after="0"/>
        <w:ind w:left="418" w:right="1609" w:firstLine="419"/>
        <w:jc w:val="left"/>
        <w:rPr>
          <w:sz w:val="21"/>
        </w:rPr>
      </w:pPr>
      <w:r>
        <w:rPr>
          <w:spacing w:val="-3"/>
          <w:sz w:val="21"/>
        </w:rPr>
        <w:t>目测检查驾驶员可见位置处是否有发动机温度和润滑油位异常声光报警装置，判</w:t>
      </w:r>
      <w:r>
        <w:rPr>
          <w:spacing w:val="-8"/>
          <w:sz w:val="21"/>
        </w:rPr>
        <w:t>断试验结果是否符合 </w:t>
      </w:r>
      <w:r>
        <w:rPr>
          <w:sz w:val="21"/>
        </w:rPr>
        <w:t>5.5.8.1</w:t>
      </w:r>
      <w:r>
        <w:rPr>
          <w:spacing w:val="-13"/>
          <w:sz w:val="21"/>
        </w:rPr>
        <w:t> 的规定。</w:t>
      </w:r>
      <w:r>
        <w:rPr>
          <w:sz w:val="21"/>
        </w:rPr>
        <w:t> </w:t>
      </w:r>
    </w:p>
    <w:p>
      <w:pPr>
        <w:pStyle w:val="ListParagraph"/>
        <w:numPr>
          <w:ilvl w:val="3"/>
          <w:numId w:val="169"/>
        </w:numPr>
        <w:tabs>
          <w:tab w:pos="1576" w:val="left" w:leader="none"/>
        </w:tabs>
        <w:spacing w:line="267" w:lineRule="exact" w:before="0" w:after="0"/>
        <w:ind w:left="1575" w:right="0" w:hanging="738"/>
        <w:jc w:val="left"/>
        <w:rPr>
          <w:sz w:val="21"/>
        </w:rPr>
      </w:pPr>
      <w:r>
        <w:rPr>
          <w:spacing w:val="-5"/>
          <w:sz w:val="21"/>
        </w:rPr>
        <w:t>目测检查乘员室外表面是否有尖角、锐利边缘，判断试验结果是否符合 </w:t>
      </w:r>
      <w:r>
        <w:rPr>
          <w:sz w:val="21"/>
        </w:rPr>
        <w:t>5.5.8.2</w:t>
      </w:r>
    </w:p>
    <w:p>
      <w:pPr>
        <w:pStyle w:val="BodyText"/>
        <w:spacing w:before="1"/>
        <w:rPr>
          <w:sz w:val="18"/>
        </w:rPr>
      </w:pPr>
    </w:p>
    <w:p>
      <w:pPr>
        <w:pStyle w:val="BodyText"/>
        <w:spacing w:before="1"/>
        <w:ind w:left="418"/>
      </w:pPr>
      <w:r>
        <w:rPr/>
        <w:t>的规定。 </w:t>
      </w:r>
    </w:p>
    <w:p>
      <w:pPr>
        <w:pStyle w:val="BodyText"/>
        <w:spacing w:before="12"/>
        <w:rPr>
          <w:sz w:val="17"/>
        </w:rPr>
      </w:pPr>
    </w:p>
    <w:p>
      <w:pPr>
        <w:pStyle w:val="ListParagraph"/>
        <w:numPr>
          <w:ilvl w:val="3"/>
          <w:numId w:val="169"/>
        </w:numPr>
        <w:tabs>
          <w:tab w:pos="1576" w:val="left" w:leader="none"/>
        </w:tabs>
        <w:spacing w:line="446" w:lineRule="auto" w:before="1" w:after="0"/>
        <w:ind w:left="418" w:right="1609" w:firstLine="419"/>
        <w:jc w:val="left"/>
        <w:rPr>
          <w:sz w:val="21"/>
        </w:rPr>
      </w:pPr>
      <w:r>
        <w:rPr>
          <w:spacing w:val="-3"/>
          <w:sz w:val="21"/>
        </w:rPr>
        <w:t>目测检查功率输出装置装在驾驶室或乘员室下方时，两者之间是否采取了隔离， </w:t>
      </w:r>
      <w:r>
        <w:rPr>
          <w:spacing w:val="-8"/>
          <w:sz w:val="21"/>
        </w:rPr>
        <w:t>判断试验结果是否符合 </w:t>
      </w:r>
      <w:r>
        <w:rPr>
          <w:sz w:val="21"/>
        </w:rPr>
        <w:t>5.5.8.3</w:t>
      </w:r>
      <w:r>
        <w:rPr>
          <w:spacing w:val="-13"/>
          <w:sz w:val="21"/>
        </w:rPr>
        <w:t> 的规定。</w:t>
      </w:r>
      <w:r>
        <w:rPr>
          <w:sz w:val="21"/>
        </w:rPr>
        <w:t> </w:t>
      </w:r>
    </w:p>
    <w:p>
      <w:pPr>
        <w:pStyle w:val="ListParagraph"/>
        <w:numPr>
          <w:ilvl w:val="3"/>
          <w:numId w:val="169"/>
        </w:numPr>
        <w:tabs>
          <w:tab w:pos="1576" w:val="left" w:leader="none"/>
        </w:tabs>
        <w:spacing w:line="240" w:lineRule="auto" w:before="0" w:after="0"/>
        <w:ind w:left="1575" w:right="0" w:hanging="738"/>
        <w:jc w:val="left"/>
        <w:rPr>
          <w:sz w:val="21"/>
        </w:rPr>
      </w:pPr>
      <w:r>
        <w:rPr>
          <w:spacing w:val="-3"/>
          <w:sz w:val="21"/>
        </w:rPr>
        <w:t>目测检查乘员室内部是否有尖角、锐利边缘、突出物等。判断试验结果是否符合</w:t>
      </w:r>
    </w:p>
    <w:p>
      <w:pPr>
        <w:pStyle w:val="BodyText"/>
        <w:spacing w:before="12"/>
        <w:rPr>
          <w:sz w:val="17"/>
        </w:rPr>
      </w:pPr>
    </w:p>
    <w:p>
      <w:pPr>
        <w:pStyle w:val="BodyText"/>
        <w:ind w:left="418"/>
      </w:pPr>
      <w:r>
        <w:rPr/>
        <w:t>5.5.8.4 的规定。 </w:t>
      </w:r>
    </w:p>
    <w:p>
      <w:pPr>
        <w:pStyle w:val="BodyText"/>
        <w:spacing w:before="12"/>
        <w:rPr>
          <w:sz w:val="17"/>
        </w:rPr>
      </w:pPr>
    </w:p>
    <w:p>
      <w:pPr>
        <w:pStyle w:val="ListParagraph"/>
        <w:numPr>
          <w:ilvl w:val="3"/>
          <w:numId w:val="172"/>
        </w:numPr>
        <w:tabs>
          <w:tab w:pos="1576" w:val="left" w:leader="none"/>
        </w:tabs>
        <w:spacing w:line="446" w:lineRule="auto" w:before="0" w:after="0"/>
        <w:ind w:left="418" w:right="1609" w:firstLine="419"/>
        <w:jc w:val="left"/>
        <w:rPr>
          <w:sz w:val="21"/>
        </w:rPr>
      </w:pPr>
      <w:r>
        <w:rPr>
          <w:spacing w:val="-3"/>
          <w:sz w:val="21"/>
        </w:rPr>
        <w:t>检查乘员室内可能产生碰撞处是否进行了软化处理，检查软化层材料，并检查其</w:t>
      </w:r>
      <w:r>
        <w:rPr>
          <w:spacing w:val="-5"/>
          <w:sz w:val="21"/>
        </w:rPr>
        <w:t>国家级检验机构的的检验报告，判断试验结果是否符合 </w:t>
      </w:r>
      <w:r>
        <w:rPr>
          <w:sz w:val="21"/>
        </w:rPr>
        <w:t>5.5.8.5</w:t>
      </w:r>
      <w:r>
        <w:rPr>
          <w:spacing w:val="-13"/>
          <w:sz w:val="21"/>
        </w:rPr>
        <w:t> 的规定。</w:t>
      </w:r>
      <w:r>
        <w:rPr>
          <w:sz w:val="21"/>
        </w:rPr>
        <w:t> </w:t>
      </w:r>
    </w:p>
    <w:p>
      <w:pPr>
        <w:pStyle w:val="ListParagraph"/>
        <w:numPr>
          <w:ilvl w:val="3"/>
          <w:numId w:val="172"/>
        </w:numPr>
        <w:tabs>
          <w:tab w:pos="1576" w:val="left" w:leader="none"/>
        </w:tabs>
        <w:spacing w:line="446" w:lineRule="auto" w:before="0" w:after="0"/>
        <w:ind w:left="418" w:right="1609" w:firstLine="419"/>
        <w:jc w:val="left"/>
        <w:rPr>
          <w:sz w:val="21"/>
        </w:rPr>
      </w:pPr>
      <w:r>
        <w:rPr>
          <w:spacing w:val="-3"/>
          <w:sz w:val="21"/>
        </w:rPr>
        <w:t>检查地板铺覆软化层材料情况，并检查其国家级检验机构的检验报告，判断试验</w:t>
      </w:r>
      <w:r>
        <w:rPr>
          <w:spacing w:val="-11"/>
          <w:sz w:val="21"/>
        </w:rPr>
        <w:t>结果是否符合 </w:t>
      </w:r>
      <w:r>
        <w:rPr>
          <w:sz w:val="21"/>
        </w:rPr>
        <w:t>5.5.8.6</w:t>
      </w:r>
      <w:r>
        <w:rPr>
          <w:spacing w:val="-12"/>
          <w:sz w:val="21"/>
        </w:rPr>
        <w:t> 的规定。 </w:t>
      </w:r>
    </w:p>
    <w:p>
      <w:pPr>
        <w:spacing w:after="0" w:line="446" w:lineRule="auto"/>
        <w:jc w:val="left"/>
        <w:rPr>
          <w:sz w:val="21"/>
        </w:rPr>
        <w:sectPr>
          <w:pgSz w:w="11910" w:h="16850"/>
          <w:pgMar w:header="0" w:footer="1239" w:top="1220" w:bottom="1420" w:left="1260" w:right="0"/>
        </w:sectPr>
      </w:pPr>
    </w:p>
    <w:p>
      <w:pPr>
        <w:pStyle w:val="ListParagraph"/>
        <w:numPr>
          <w:ilvl w:val="3"/>
          <w:numId w:val="172"/>
        </w:numPr>
        <w:tabs>
          <w:tab w:pos="1576" w:val="left" w:leader="none"/>
        </w:tabs>
        <w:spacing w:line="446" w:lineRule="auto" w:before="47" w:after="0"/>
        <w:ind w:left="418" w:right="1714" w:firstLine="419"/>
        <w:jc w:val="both"/>
        <w:rPr>
          <w:sz w:val="21"/>
        </w:rPr>
      </w:pPr>
      <w:r>
        <w:rPr>
          <w:spacing w:val="-5"/>
          <w:sz w:val="21"/>
        </w:rPr>
        <w:t>检查乘员室内是否有打开或抽出时会向乘坐空间伸出超过 </w:t>
      </w:r>
      <w:r>
        <w:rPr>
          <w:sz w:val="21"/>
        </w:rPr>
        <w:t>250</w:t>
      </w:r>
      <w:r>
        <w:rPr>
          <w:spacing w:val="12"/>
          <w:sz w:val="21"/>
        </w:rPr>
        <w:t> </w:t>
      </w:r>
      <w:r>
        <w:rPr>
          <w:sz w:val="21"/>
        </w:rPr>
        <w:t>mm</w:t>
      </w:r>
      <w:r>
        <w:rPr>
          <w:spacing w:val="-9"/>
          <w:sz w:val="21"/>
        </w:rPr>
        <w:t> 的储物箱或翻</w:t>
      </w:r>
      <w:r>
        <w:rPr>
          <w:spacing w:val="-8"/>
          <w:sz w:val="21"/>
        </w:rPr>
        <w:t>板，是否有明显的指示，判断试验结果是否符合 </w:t>
      </w:r>
      <w:r>
        <w:rPr>
          <w:sz w:val="21"/>
        </w:rPr>
        <w:t>5.5.8.7</w:t>
      </w:r>
      <w:r>
        <w:rPr>
          <w:spacing w:val="-13"/>
          <w:sz w:val="21"/>
        </w:rPr>
        <w:t> 的规定。</w:t>
      </w:r>
      <w:r>
        <w:rPr>
          <w:sz w:val="21"/>
        </w:rPr>
        <w:t> </w:t>
      </w:r>
    </w:p>
    <w:p>
      <w:pPr>
        <w:pStyle w:val="ListParagraph"/>
        <w:numPr>
          <w:ilvl w:val="3"/>
          <w:numId w:val="172"/>
        </w:numPr>
        <w:tabs>
          <w:tab w:pos="1576" w:val="left" w:leader="none"/>
        </w:tabs>
        <w:spacing w:line="267" w:lineRule="exact" w:before="0" w:after="0"/>
        <w:ind w:left="1575" w:right="0" w:hanging="738"/>
        <w:jc w:val="both"/>
        <w:rPr>
          <w:sz w:val="21"/>
        </w:rPr>
      </w:pPr>
      <w:r>
        <w:rPr>
          <w:spacing w:val="-8"/>
          <w:sz w:val="21"/>
        </w:rPr>
        <w:t>检查乘员室内高度小于 </w:t>
      </w:r>
      <w:r>
        <w:rPr>
          <w:sz w:val="21"/>
        </w:rPr>
        <w:t>300</w:t>
      </w:r>
      <w:r>
        <w:rPr>
          <w:spacing w:val="3"/>
          <w:sz w:val="21"/>
        </w:rPr>
        <w:t> </w:t>
      </w:r>
      <w:r>
        <w:rPr>
          <w:sz w:val="21"/>
        </w:rPr>
        <w:t>mm</w:t>
      </w:r>
      <w:r>
        <w:rPr>
          <w:spacing w:val="-9"/>
          <w:sz w:val="21"/>
        </w:rPr>
        <w:t> 的物品是否有防撞防护，判断试验结果是否符合</w:t>
      </w:r>
    </w:p>
    <w:p>
      <w:pPr>
        <w:pStyle w:val="BodyText"/>
        <w:spacing w:before="2"/>
        <w:rPr>
          <w:sz w:val="18"/>
        </w:rPr>
      </w:pPr>
    </w:p>
    <w:p>
      <w:pPr>
        <w:spacing w:line="446" w:lineRule="auto" w:before="0"/>
        <w:ind w:left="840" w:right="8493" w:hanging="423"/>
        <w:jc w:val="both"/>
        <w:rPr>
          <w:sz w:val="21"/>
        </w:rPr>
      </w:pPr>
      <w:r>
        <w:rPr>
          <w:sz w:val="21"/>
        </w:rPr>
        <w:t>5.5.8.8 的规定。</w:t>
      </w:r>
      <w:r>
        <w:rPr>
          <w:b/>
          <w:sz w:val="21"/>
        </w:rPr>
        <w:t>6.5.8 </w:t>
      </w:r>
      <w:r>
        <w:rPr>
          <w:sz w:val="21"/>
        </w:rPr>
        <w:t>外观 </w:t>
      </w:r>
    </w:p>
    <w:p>
      <w:pPr>
        <w:pStyle w:val="ListParagraph"/>
        <w:numPr>
          <w:ilvl w:val="3"/>
          <w:numId w:val="173"/>
        </w:numPr>
        <w:tabs>
          <w:tab w:pos="1576" w:val="left" w:leader="none"/>
        </w:tabs>
        <w:spacing w:line="446" w:lineRule="auto" w:before="0" w:after="0"/>
        <w:ind w:left="418" w:right="1608" w:firstLine="419"/>
        <w:jc w:val="both"/>
        <w:rPr>
          <w:sz w:val="21"/>
        </w:rPr>
      </w:pPr>
      <w:r>
        <w:rPr>
          <w:spacing w:val="-3"/>
          <w:sz w:val="21"/>
        </w:rPr>
        <w:t>目测检查乘员室是否周正。以消防车车架中心线为基准，测量乘员室左、右外缘水平距离，以消防车车架左、右纵梁上平面为基准，测量距乘员室顶部的垂直距离，判断试验</w:t>
      </w:r>
      <w:r>
        <w:rPr>
          <w:spacing w:val="-11"/>
          <w:sz w:val="21"/>
        </w:rPr>
        <w:t>结果是否符合 </w:t>
      </w:r>
      <w:r>
        <w:rPr>
          <w:sz w:val="21"/>
        </w:rPr>
        <w:t>5.5.9.1</w:t>
      </w:r>
      <w:r>
        <w:rPr>
          <w:spacing w:val="-12"/>
          <w:sz w:val="21"/>
        </w:rPr>
        <w:t> 的规定。 </w:t>
      </w:r>
    </w:p>
    <w:p>
      <w:pPr>
        <w:pStyle w:val="ListParagraph"/>
        <w:numPr>
          <w:ilvl w:val="3"/>
          <w:numId w:val="173"/>
        </w:numPr>
        <w:tabs>
          <w:tab w:pos="1576" w:val="left" w:leader="none"/>
        </w:tabs>
        <w:spacing w:line="268" w:lineRule="exact" w:before="0" w:after="0"/>
        <w:ind w:left="1575" w:right="0" w:hanging="738"/>
        <w:jc w:val="both"/>
        <w:rPr>
          <w:sz w:val="21"/>
        </w:rPr>
      </w:pPr>
      <w:r>
        <w:rPr>
          <w:spacing w:val="-5"/>
          <w:sz w:val="21"/>
        </w:rPr>
        <w:t>目测检查乘员室外护面制造质量，判断试验结果是否符合 </w:t>
      </w:r>
      <w:r>
        <w:rPr>
          <w:sz w:val="21"/>
        </w:rPr>
        <w:t>5.5.9.2</w:t>
      </w:r>
      <w:r>
        <w:rPr>
          <w:spacing w:val="-13"/>
          <w:sz w:val="21"/>
        </w:rPr>
        <w:t> 的规定。</w:t>
      </w:r>
      <w:r>
        <w:rPr>
          <w:sz w:val="21"/>
        </w:rPr>
        <w:t> </w:t>
      </w:r>
    </w:p>
    <w:p>
      <w:pPr>
        <w:pStyle w:val="BodyText"/>
        <w:spacing w:before="12"/>
        <w:rPr>
          <w:sz w:val="17"/>
        </w:rPr>
      </w:pPr>
    </w:p>
    <w:p>
      <w:pPr>
        <w:pStyle w:val="ListParagraph"/>
        <w:numPr>
          <w:ilvl w:val="3"/>
          <w:numId w:val="173"/>
        </w:numPr>
        <w:tabs>
          <w:tab w:pos="1576" w:val="left" w:leader="none"/>
        </w:tabs>
        <w:spacing w:line="240" w:lineRule="auto" w:before="0" w:after="0"/>
        <w:ind w:left="1575" w:right="0" w:hanging="738"/>
        <w:jc w:val="left"/>
        <w:rPr>
          <w:sz w:val="21"/>
        </w:rPr>
      </w:pPr>
      <w:r>
        <w:rPr>
          <w:spacing w:val="-5"/>
          <w:sz w:val="21"/>
        </w:rPr>
        <w:t>目测检查内部软化层的质地和颜色，判断试验结果是否符合 </w:t>
      </w:r>
      <w:r>
        <w:rPr>
          <w:sz w:val="21"/>
        </w:rPr>
        <w:t>5.5.9.3</w:t>
      </w:r>
      <w:r>
        <w:rPr>
          <w:spacing w:val="-13"/>
          <w:sz w:val="21"/>
        </w:rPr>
        <w:t> 的规定。</w:t>
      </w:r>
      <w:r>
        <w:rPr>
          <w:sz w:val="21"/>
        </w:rPr>
        <w:t> </w:t>
      </w:r>
    </w:p>
    <w:p>
      <w:pPr>
        <w:pStyle w:val="BodyText"/>
        <w:rPr>
          <w:sz w:val="18"/>
        </w:rPr>
      </w:pPr>
    </w:p>
    <w:p>
      <w:pPr>
        <w:spacing w:before="0"/>
        <w:ind w:left="840" w:right="0" w:firstLine="0"/>
        <w:jc w:val="left"/>
        <w:rPr>
          <w:sz w:val="21"/>
        </w:rPr>
      </w:pPr>
      <w:r>
        <w:rPr>
          <w:b/>
          <w:sz w:val="21"/>
        </w:rPr>
        <w:t>6.5.9 </w:t>
      </w:r>
      <w:r>
        <w:rPr>
          <w:sz w:val="21"/>
        </w:rPr>
        <w:t>车内噪声 </w:t>
      </w:r>
    </w:p>
    <w:p>
      <w:pPr>
        <w:pStyle w:val="BodyText"/>
        <w:spacing w:before="12"/>
        <w:rPr>
          <w:sz w:val="17"/>
        </w:rPr>
      </w:pPr>
    </w:p>
    <w:p>
      <w:pPr>
        <w:pStyle w:val="BodyText"/>
        <w:spacing w:line="446" w:lineRule="auto"/>
        <w:ind w:left="418" w:right="1558" w:firstLine="419"/>
        <w:jc w:val="both"/>
      </w:pPr>
      <w:r>
        <w:rPr>
          <w:spacing w:val="-4"/>
        </w:rPr>
        <w:t>消防车满载，试验道路为铺装路面，道路的坡度不大于 </w:t>
      </w:r>
      <w:r>
        <w:rPr/>
        <w:t>1</w:t>
      </w:r>
      <w:r>
        <w:rPr>
          <w:spacing w:val="-3"/>
        </w:rPr>
        <w:t>%，试验时关闭警报器，消防车从30km/h</w:t>
      </w:r>
      <w:r>
        <w:rPr>
          <w:spacing w:val="-19"/>
        </w:rPr>
        <w:t> 开始，以 </w:t>
      </w:r>
      <w:r>
        <w:rPr/>
        <w:t>10km/h</w:t>
      </w:r>
      <w:r>
        <w:rPr>
          <w:spacing w:val="-14"/>
        </w:rPr>
        <w:t> 为增速步长直至 </w:t>
      </w:r>
      <w:r>
        <w:rPr/>
        <w:t>80km/h，</w:t>
      </w:r>
      <w:r>
        <w:rPr>
          <w:spacing w:val="-9"/>
        </w:rPr>
        <w:t>将精密噪声仪置于 </w:t>
      </w:r>
      <w:r>
        <w:rPr/>
        <w:t>A</w:t>
      </w:r>
      <w:r>
        <w:rPr>
          <w:spacing w:val="-9"/>
        </w:rPr>
        <w:t> 计权慢挡，噪声仪传感</w:t>
      </w:r>
      <w:r>
        <w:rPr>
          <w:spacing w:val="-5"/>
        </w:rPr>
        <w:t>器放置在驾驶员耳旁测量各车速下噪声值，每个车速往返各测量一次。判断试验结果是否符合</w:t>
      </w:r>
    </w:p>
    <w:p>
      <w:pPr>
        <w:pStyle w:val="BodyText"/>
        <w:spacing w:line="268" w:lineRule="exact"/>
        <w:ind w:left="418"/>
        <w:jc w:val="both"/>
      </w:pPr>
      <w:r>
        <w:rPr/>
        <w:t>5.5.10 的规定。 </w:t>
      </w:r>
    </w:p>
    <w:p>
      <w:pPr>
        <w:pStyle w:val="BodyText"/>
        <w:spacing w:before="2"/>
        <w:rPr>
          <w:sz w:val="18"/>
        </w:rPr>
      </w:pPr>
    </w:p>
    <w:p>
      <w:pPr>
        <w:pStyle w:val="ListParagraph"/>
        <w:numPr>
          <w:ilvl w:val="1"/>
          <w:numId w:val="169"/>
        </w:numPr>
        <w:tabs>
          <w:tab w:pos="1159" w:val="left" w:leader="none"/>
        </w:tabs>
        <w:spacing w:line="240" w:lineRule="auto" w:before="0" w:after="0"/>
        <w:ind w:left="1158" w:right="0" w:hanging="319"/>
        <w:jc w:val="left"/>
        <w:rPr>
          <w:b/>
          <w:sz w:val="21"/>
        </w:rPr>
      </w:pPr>
      <w:r>
        <w:rPr>
          <w:spacing w:val="-3"/>
          <w:sz w:val="21"/>
        </w:rPr>
        <w:t>仪表与操作系统试验</w:t>
      </w:r>
      <w:r>
        <w:rPr>
          <w:b/>
          <w:w w:val="99"/>
          <w:sz w:val="21"/>
        </w:rPr>
        <w:t> </w:t>
      </w:r>
    </w:p>
    <w:p>
      <w:pPr>
        <w:pStyle w:val="BodyText"/>
        <w:spacing w:before="12"/>
        <w:rPr>
          <w:b/>
          <w:sz w:val="17"/>
        </w:rPr>
      </w:pPr>
    </w:p>
    <w:p>
      <w:pPr>
        <w:pStyle w:val="ListParagraph"/>
        <w:numPr>
          <w:ilvl w:val="2"/>
          <w:numId w:val="169"/>
        </w:numPr>
        <w:tabs>
          <w:tab w:pos="1371" w:val="left" w:leader="none"/>
        </w:tabs>
        <w:spacing w:line="446" w:lineRule="auto" w:before="1" w:after="0"/>
        <w:ind w:left="418" w:right="1500" w:firstLine="422"/>
        <w:jc w:val="left"/>
        <w:rPr>
          <w:sz w:val="21"/>
        </w:rPr>
      </w:pPr>
      <w:r>
        <w:rPr>
          <w:spacing w:val="-3"/>
          <w:sz w:val="21"/>
        </w:rPr>
        <w:t>目测检查消防车仪表 、操纵手柄、开关处是否有指示用途的中文标牌，标牌是否固</w:t>
      </w:r>
      <w:r>
        <w:rPr>
          <w:spacing w:val="-6"/>
          <w:sz w:val="21"/>
        </w:rPr>
        <w:t>定可靠，是否有照明，判断试验结果是否符合 </w:t>
      </w:r>
      <w:r>
        <w:rPr>
          <w:sz w:val="21"/>
        </w:rPr>
        <w:t>5.6.1</w:t>
      </w:r>
      <w:r>
        <w:rPr>
          <w:spacing w:val="-13"/>
          <w:sz w:val="21"/>
        </w:rPr>
        <w:t> 的规定。</w:t>
      </w:r>
      <w:r>
        <w:rPr>
          <w:sz w:val="21"/>
        </w:rPr>
        <w:t> </w:t>
      </w:r>
    </w:p>
    <w:p>
      <w:pPr>
        <w:pStyle w:val="ListParagraph"/>
        <w:numPr>
          <w:ilvl w:val="2"/>
          <w:numId w:val="169"/>
        </w:numPr>
        <w:tabs>
          <w:tab w:pos="1370" w:val="left" w:leader="none"/>
        </w:tabs>
        <w:spacing w:line="446" w:lineRule="auto" w:before="0" w:after="0"/>
        <w:ind w:left="418" w:right="1604" w:firstLine="422"/>
        <w:jc w:val="left"/>
        <w:rPr>
          <w:sz w:val="21"/>
        </w:rPr>
      </w:pPr>
      <w:r>
        <w:rPr>
          <w:spacing w:val="-3"/>
          <w:sz w:val="21"/>
        </w:rPr>
        <w:t>目测检查消防车用仪表的型号和精度，测量仪表字体的高度，目测检查显示屏是否</w:t>
      </w:r>
      <w:r>
        <w:rPr>
          <w:spacing w:val="-7"/>
          <w:sz w:val="21"/>
        </w:rPr>
        <w:t>有遮光罩，判断试验结果是否符合 </w:t>
      </w:r>
      <w:r>
        <w:rPr>
          <w:sz w:val="21"/>
        </w:rPr>
        <w:t>5.6.2</w:t>
      </w:r>
      <w:r>
        <w:rPr>
          <w:spacing w:val="-13"/>
          <w:sz w:val="21"/>
        </w:rPr>
        <w:t> 的规定。</w:t>
      </w:r>
      <w:r>
        <w:rPr>
          <w:sz w:val="21"/>
        </w:rPr>
        <w:t> </w:t>
      </w:r>
    </w:p>
    <w:p>
      <w:pPr>
        <w:pStyle w:val="ListParagraph"/>
        <w:numPr>
          <w:ilvl w:val="2"/>
          <w:numId w:val="169"/>
        </w:numPr>
        <w:tabs>
          <w:tab w:pos="1371" w:val="left" w:leader="none"/>
        </w:tabs>
        <w:spacing w:line="446" w:lineRule="auto" w:before="0" w:after="0"/>
        <w:ind w:left="418" w:right="1815" w:firstLine="422"/>
        <w:jc w:val="left"/>
        <w:rPr>
          <w:sz w:val="21"/>
        </w:rPr>
      </w:pPr>
      <w:r>
        <w:rPr>
          <w:spacing w:val="-5"/>
          <w:sz w:val="21"/>
        </w:rPr>
        <w:t>目测检查消防车用计量仪表采用的计量单位，判断试验结果是否符合 </w:t>
      </w:r>
      <w:r>
        <w:rPr>
          <w:sz w:val="21"/>
        </w:rPr>
        <w:t>5.6.3</w:t>
      </w:r>
      <w:r>
        <w:rPr>
          <w:spacing w:val="-16"/>
          <w:sz w:val="21"/>
        </w:rPr>
        <w:t> 的规</w:t>
      </w:r>
      <w:r>
        <w:rPr>
          <w:spacing w:val="-10"/>
          <w:sz w:val="21"/>
        </w:rPr>
        <w:t>定。</w:t>
      </w:r>
      <w:r>
        <w:rPr>
          <w:sz w:val="21"/>
        </w:rPr>
        <w:t> </w:t>
      </w:r>
    </w:p>
    <w:p>
      <w:pPr>
        <w:pStyle w:val="ListParagraph"/>
        <w:numPr>
          <w:ilvl w:val="2"/>
          <w:numId w:val="169"/>
        </w:numPr>
        <w:tabs>
          <w:tab w:pos="1370" w:val="left" w:leader="none"/>
        </w:tabs>
        <w:spacing w:line="446" w:lineRule="auto" w:before="0" w:after="0"/>
        <w:ind w:left="418" w:right="1604" w:firstLine="422"/>
        <w:jc w:val="left"/>
        <w:rPr>
          <w:sz w:val="21"/>
        </w:rPr>
      </w:pPr>
      <w:r>
        <w:rPr>
          <w:spacing w:val="-3"/>
          <w:sz w:val="21"/>
        </w:rPr>
        <w:t>目测检查消防车用计量制单位，使用通用量具测量表盘直径，判断试验结果是否符</w:t>
      </w:r>
      <w:r>
        <w:rPr>
          <w:spacing w:val="-28"/>
          <w:sz w:val="21"/>
        </w:rPr>
        <w:t>合 </w:t>
      </w:r>
      <w:r>
        <w:rPr>
          <w:sz w:val="21"/>
        </w:rPr>
        <w:t>5.6.4</w:t>
      </w:r>
      <w:r>
        <w:rPr>
          <w:spacing w:val="-13"/>
          <w:sz w:val="21"/>
        </w:rPr>
        <w:t> 的规定。</w:t>
      </w:r>
      <w:r>
        <w:rPr>
          <w:sz w:val="21"/>
        </w:rPr>
        <w:t> </w:t>
      </w:r>
    </w:p>
    <w:p>
      <w:pPr>
        <w:pStyle w:val="ListParagraph"/>
        <w:numPr>
          <w:ilvl w:val="2"/>
          <w:numId w:val="169"/>
        </w:numPr>
        <w:tabs>
          <w:tab w:pos="1371" w:val="left" w:leader="none"/>
        </w:tabs>
        <w:spacing w:line="446" w:lineRule="auto" w:before="0" w:after="0"/>
        <w:ind w:left="418" w:right="1604" w:firstLine="422"/>
        <w:jc w:val="left"/>
        <w:rPr>
          <w:sz w:val="21"/>
        </w:rPr>
      </w:pPr>
      <w:r>
        <w:rPr>
          <w:spacing w:val="-3"/>
          <w:sz w:val="21"/>
        </w:rPr>
        <w:t>目测检查操作说明及警示说明，文字或图形是否可以永久保留，是否有保证阅读的</w:t>
      </w:r>
      <w:r>
        <w:rPr>
          <w:spacing w:val="-7"/>
          <w:sz w:val="21"/>
        </w:rPr>
        <w:t>照明，判断试验结果是否符合 </w:t>
      </w:r>
      <w:r>
        <w:rPr>
          <w:sz w:val="21"/>
        </w:rPr>
        <w:t>5.6.5</w:t>
      </w:r>
      <w:r>
        <w:rPr>
          <w:spacing w:val="-13"/>
          <w:sz w:val="21"/>
        </w:rPr>
        <w:t> 的规定。</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169"/>
        </w:numPr>
        <w:tabs>
          <w:tab w:pos="1370" w:val="left" w:leader="none"/>
        </w:tabs>
        <w:spacing w:line="446" w:lineRule="auto" w:before="47" w:after="0"/>
        <w:ind w:left="418" w:right="1604" w:firstLine="422"/>
        <w:jc w:val="both"/>
        <w:rPr>
          <w:sz w:val="21"/>
        </w:rPr>
      </w:pPr>
      <w:r>
        <w:rPr>
          <w:spacing w:val="-3"/>
          <w:sz w:val="21"/>
        </w:rPr>
        <w:t>目测检查消防泵放水开关的安装位置并测量放余水时间，测量时将泵内充满水，打开一侧出水球阀并打开消防泵放余水开关，同时使用秒表计时，至放尽泵内余水的时间，判断</w:t>
      </w:r>
      <w:r>
        <w:rPr>
          <w:spacing w:val="-9"/>
          <w:sz w:val="21"/>
        </w:rPr>
        <w:t>试验结果是否符合 </w:t>
      </w:r>
      <w:r>
        <w:rPr>
          <w:sz w:val="21"/>
        </w:rPr>
        <w:t>5.6.6</w:t>
      </w:r>
      <w:r>
        <w:rPr>
          <w:spacing w:val="-13"/>
          <w:sz w:val="21"/>
        </w:rPr>
        <w:t> 的规定。</w:t>
      </w:r>
      <w:r>
        <w:rPr>
          <w:sz w:val="21"/>
        </w:rPr>
        <w:t> </w:t>
      </w:r>
    </w:p>
    <w:p>
      <w:pPr>
        <w:pStyle w:val="ListParagraph"/>
        <w:numPr>
          <w:ilvl w:val="2"/>
          <w:numId w:val="169"/>
        </w:numPr>
        <w:tabs>
          <w:tab w:pos="1370" w:val="left" w:leader="none"/>
        </w:tabs>
        <w:spacing w:line="446" w:lineRule="auto" w:before="0" w:after="0"/>
        <w:ind w:left="418" w:right="1604" w:firstLine="422"/>
        <w:jc w:val="both"/>
        <w:rPr>
          <w:sz w:val="21"/>
        </w:rPr>
      </w:pPr>
      <w:r>
        <w:rPr>
          <w:spacing w:val="-3"/>
          <w:sz w:val="21"/>
        </w:rPr>
        <w:t>采用通用量具测量仪表和操纵手柄、开关中心至操作人员脚踏平面的垂直距离，判</w:t>
      </w:r>
      <w:r>
        <w:rPr>
          <w:spacing w:val="-8"/>
          <w:sz w:val="21"/>
        </w:rPr>
        <w:t>断试验结果是否符合 </w:t>
      </w:r>
      <w:r>
        <w:rPr>
          <w:sz w:val="21"/>
        </w:rPr>
        <w:t>5.6.7</w:t>
      </w:r>
      <w:r>
        <w:rPr>
          <w:spacing w:val="-13"/>
          <w:sz w:val="21"/>
        </w:rPr>
        <w:t> 的规定。</w:t>
      </w:r>
      <w:r>
        <w:rPr>
          <w:sz w:val="21"/>
        </w:rPr>
        <w:t> </w:t>
      </w:r>
    </w:p>
    <w:p>
      <w:pPr>
        <w:pStyle w:val="ListParagraph"/>
        <w:numPr>
          <w:ilvl w:val="2"/>
          <w:numId w:val="169"/>
        </w:numPr>
        <w:tabs>
          <w:tab w:pos="1371" w:val="left" w:leader="none"/>
        </w:tabs>
        <w:spacing w:line="267" w:lineRule="exact" w:before="0" w:after="0"/>
        <w:ind w:left="1370" w:right="0" w:hanging="531"/>
        <w:jc w:val="both"/>
        <w:rPr>
          <w:sz w:val="21"/>
        </w:rPr>
      </w:pPr>
      <w:r>
        <w:rPr>
          <w:spacing w:val="-6"/>
          <w:sz w:val="21"/>
        </w:rPr>
        <w:t>目测检查消防车控制系统，判断试验结果是否符合 </w:t>
      </w:r>
      <w:r>
        <w:rPr>
          <w:sz w:val="21"/>
        </w:rPr>
        <w:t>5.6.8</w:t>
      </w:r>
      <w:r>
        <w:rPr>
          <w:spacing w:val="-12"/>
          <w:sz w:val="21"/>
        </w:rPr>
        <w:t> 的规定。 </w:t>
      </w:r>
    </w:p>
    <w:p>
      <w:pPr>
        <w:pStyle w:val="BodyText"/>
        <w:spacing w:before="1"/>
        <w:rPr>
          <w:sz w:val="18"/>
        </w:rPr>
      </w:pPr>
    </w:p>
    <w:p>
      <w:pPr>
        <w:pStyle w:val="ListParagraph"/>
        <w:numPr>
          <w:ilvl w:val="1"/>
          <w:numId w:val="169"/>
        </w:numPr>
        <w:tabs>
          <w:tab w:pos="1159" w:val="left" w:leader="none"/>
        </w:tabs>
        <w:spacing w:line="240" w:lineRule="auto" w:before="0" w:after="0"/>
        <w:ind w:left="1158" w:right="0" w:hanging="319"/>
        <w:jc w:val="left"/>
        <w:rPr>
          <w:sz w:val="21"/>
        </w:rPr>
      </w:pPr>
      <w:r>
        <w:rPr>
          <w:spacing w:val="-3"/>
          <w:sz w:val="21"/>
        </w:rPr>
        <w:t>电气系统和警报装置试验</w:t>
      </w:r>
      <w:r>
        <w:rPr>
          <w:sz w:val="21"/>
        </w:rPr>
        <w:t> </w:t>
      </w:r>
    </w:p>
    <w:p>
      <w:pPr>
        <w:pStyle w:val="BodyText"/>
        <w:rPr>
          <w:sz w:val="18"/>
        </w:rPr>
      </w:pPr>
    </w:p>
    <w:p>
      <w:pPr>
        <w:pStyle w:val="ListParagraph"/>
        <w:numPr>
          <w:ilvl w:val="2"/>
          <w:numId w:val="169"/>
        </w:numPr>
        <w:tabs>
          <w:tab w:pos="1371" w:val="left" w:leader="none"/>
        </w:tabs>
        <w:spacing w:line="240" w:lineRule="auto" w:before="0" w:after="0"/>
        <w:ind w:left="1370" w:right="0" w:hanging="531"/>
        <w:jc w:val="left"/>
        <w:rPr>
          <w:sz w:val="21"/>
        </w:rPr>
      </w:pPr>
      <w:r>
        <w:rPr>
          <w:spacing w:val="-6"/>
          <w:sz w:val="21"/>
        </w:rPr>
        <w:t>目测检查消防车电路的标识，判断试验结果是否符合 </w:t>
      </w:r>
      <w:r>
        <w:rPr>
          <w:sz w:val="21"/>
        </w:rPr>
        <w:t>5.7.1</w:t>
      </w:r>
      <w:r>
        <w:rPr>
          <w:spacing w:val="-12"/>
          <w:sz w:val="21"/>
        </w:rPr>
        <w:t> 的规定。 </w:t>
      </w:r>
    </w:p>
    <w:p>
      <w:pPr>
        <w:pStyle w:val="BodyText"/>
        <w:rPr>
          <w:sz w:val="18"/>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5"/>
          <w:sz w:val="21"/>
        </w:rPr>
        <w:t>检查电线芯材质和电线标称通电电流，判断试验结果是否符合 </w:t>
      </w:r>
      <w:r>
        <w:rPr>
          <w:sz w:val="21"/>
        </w:rPr>
        <w:t>5.7.2</w:t>
      </w:r>
      <w:r>
        <w:rPr>
          <w:spacing w:val="-13"/>
          <w:sz w:val="21"/>
        </w:rPr>
        <w:t> 的规定。</w:t>
      </w:r>
      <w:r>
        <w:rPr>
          <w:sz w:val="21"/>
        </w:rPr>
        <w:t> </w:t>
      </w:r>
    </w:p>
    <w:p>
      <w:pPr>
        <w:pStyle w:val="BodyText"/>
        <w:spacing w:before="2"/>
        <w:rPr>
          <w:sz w:val="18"/>
        </w:rPr>
      </w:pPr>
    </w:p>
    <w:p>
      <w:pPr>
        <w:pStyle w:val="ListParagraph"/>
        <w:numPr>
          <w:ilvl w:val="2"/>
          <w:numId w:val="169"/>
        </w:numPr>
        <w:tabs>
          <w:tab w:pos="1371" w:val="left" w:leader="none"/>
        </w:tabs>
        <w:spacing w:line="240" w:lineRule="auto" w:before="0" w:after="0"/>
        <w:ind w:left="1370" w:right="0" w:hanging="531"/>
        <w:jc w:val="left"/>
        <w:rPr>
          <w:sz w:val="21"/>
        </w:rPr>
      </w:pPr>
      <w:r>
        <w:rPr>
          <w:spacing w:val="-6"/>
          <w:sz w:val="21"/>
        </w:rPr>
        <w:t>目测检查电线芯包覆层情况，判断试验结果是否符合 </w:t>
      </w:r>
      <w:r>
        <w:rPr>
          <w:sz w:val="21"/>
        </w:rPr>
        <w:t>5.7.3</w:t>
      </w:r>
      <w:r>
        <w:rPr>
          <w:spacing w:val="-12"/>
          <w:sz w:val="21"/>
        </w:rPr>
        <w:t> 的规定。 </w:t>
      </w:r>
    </w:p>
    <w:p>
      <w:pPr>
        <w:pStyle w:val="BodyText"/>
        <w:spacing w:before="12"/>
        <w:rPr>
          <w:sz w:val="17"/>
        </w:rPr>
      </w:pPr>
    </w:p>
    <w:p>
      <w:pPr>
        <w:pStyle w:val="ListParagraph"/>
        <w:numPr>
          <w:ilvl w:val="2"/>
          <w:numId w:val="169"/>
        </w:numPr>
        <w:tabs>
          <w:tab w:pos="1370" w:val="left" w:leader="none"/>
        </w:tabs>
        <w:spacing w:line="240" w:lineRule="auto" w:before="0" w:after="0"/>
        <w:ind w:left="1369" w:right="0" w:hanging="530"/>
        <w:jc w:val="both"/>
        <w:rPr>
          <w:sz w:val="21"/>
        </w:rPr>
      </w:pPr>
      <w:r>
        <w:rPr>
          <w:spacing w:val="-5"/>
          <w:sz w:val="21"/>
        </w:rPr>
        <w:t>测量电源电压及至用电器具处的电压差值，判断试验结果是否符合 </w:t>
      </w:r>
      <w:r>
        <w:rPr>
          <w:sz w:val="21"/>
        </w:rPr>
        <w:t>5.7.4</w:t>
      </w:r>
      <w:r>
        <w:rPr>
          <w:spacing w:val="-13"/>
          <w:sz w:val="21"/>
        </w:rPr>
        <w:t> 的规定。</w:t>
      </w:r>
      <w:r>
        <w:rPr>
          <w:sz w:val="21"/>
        </w:rPr>
        <w:t> </w:t>
      </w:r>
    </w:p>
    <w:p>
      <w:pPr>
        <w:pStyle w:val="BodyText"/>
        <w:spacing w:before="12"/>
        <w:rPr>
          <w:sz w:val="17"/>
        </w:rPr>
      </w:pPr>
    </w:p>
    <w:p>
      <w:pPr>
        <w:pStyle w:val="ListParagraph"/>
        <w:numPr>
          <w:ilvl w:val="2"/>
          <w:numId w:val="169"/>
        </w:numPr>
        <w:tabs>
          <w:tab w:pos="1371" w:val="left" w:leader="none"/>
        </w:tabs>
        <w:spacing w:line="446" w:lineRule="auto" w:before="0" w:after="0"/>
        <w:ind w:left="418" w:right="1604" w:firstLine="422"/>
        <w:jc w:val="both"/>
        <w:rPr>
          <w:sz w:val="21"/>
        </w:rPr>
      </w:pPr>
      <w:r>
        <w:rPr>
          <w:spacing w:val="-3"/>
          <w:sz w:val="21"/>
        </w:rPr>
        <w:t>目测检查电源总开关位置，总开关关断后除计时器外的所有用电器具是否都不能工</w:t>
      </w:r>
      <w:r>
        <w:rPr>
          <w:spacing w:val="-7"/>
          <w:sz w:val="21"/>
        </w:rPr>
        <w:t>作，判断试验结果是否符合 </w:t>
      </w:r>
      <w:r>
        <w:rPr>
          <w:sz w:val="21"/>
        </w:rPr>
        <w:t>5.7.5</w:t>
      </w:r>
      <w:r>
        <w:rPr>
          <w:spacing w:val="-13"/>
          <w:sz w:val="21"/>
        </w:rPr>
        <w:t> 的规定。</w:t>
      </w:r>
      <w:r>
        <w:rPr>
          <w:sz w:val="21"/>
        </w:rPr>
        <w:t> </w:t>
      </w:r>
    </w:p>
    <w:p>
      <w:pPr>
        <w:pStyle w:val="ListParagraph"/>
        <w:numPr>
          <w:ilvl w:val="2"/>
          <w:numId w:val="169"/>
        </w:numPr>
        <w:tabs>
          <w:tab w:pos="1370" w:val="left" w:leader="none"/>
        </w:tabs>
        <w:spacing w:line="446" w:lineRule="auto" w:before="1" w:after="0"/>
        <w:ind w:left="418" w:right="1604" w:firstLine="422"/>
        <w:jc w:val="both"/>
        <w:rPr>
          <w:sz w:val="21"/>
        </w:rPr>
      </w:pPr>
      <w:r>
        <w:rPr>
          <w:spacing w:val="-3"/>
          <w:sz w:val="21"/>
        </w:rPr>
        <w:t>检查总开关由切断状态转换到接合状态提示音大小是否能保证驾驶员在驾驶位置听</w:t>
      </w:r>
      <w:r>
        <w:rPr>
          <w:spacing w:val="-7"/>
          <w:sz w:val="21"/>
        </w:rPr>
        <w:t>到，判断试验结果是否符合 </w:t>
      </w:r>
      <w:r>
        <w:rPr>
          <w:sz w:val="21"/>
        </w:rPr>
        <w:t>5.7.6</w:t>
      </w:r>
      <w:r>
        <w:rPr>
          <w:spacing w:val="-13"/>
          <w:sz w:val="21"/>
        </w:rPr>
        <w:t> 的规定。</w:t>
      </w:r>
      <w:r>
        <w:rPr>
          <w:sz w:val="21"/>
        </w:rPr>
        <w:t> </w:t>
      </w:r>
    </w:p>
    <w:p>
      <w:pPr>
        <w:pStyle w:val="ListParagraph"/>
        <w:numPr>
          <w:ilvl w:val="2"/>
          <w:numId w:val="169"/>
        </w:numPr>
        <w:tabs>
          <w:tab w:pos="1370" w:val="left" w:leader="none"/>
        </w:tabs>
        <w:spacing w:line="446" w:lineRule="auto" w:before="0" w:after="0"/>
        <w:ind w:left="418" w:right="1604" w:firstLine="422"/>
        <w:jc w:val="both"/>
        <w:rPr>
          <w:sz w:val="21"/>
        </w:rPr>
      </w:pPr>
      <w:r>
        <w:rPr>
          <w:spacing w:val="-3"/>
          <w:sz w:val="21"/>
        </w:rPr>
        <w:t>关闭、打开车门三次，检查驾乘室上、下车踏板的照明灯是否由车门可靠控制，踏</w:t>
      </w:r>
      <w:r>
        <w:rPr>
          <w:spacing w:val="-8"/>
          <w:sz w:val="21"/>
        </w:rPr>
        <w:t>板照度试验按 </w:t>
      </w:r>
      <w:r>
        <w:rPr>
          <w:sz w:val="21"/>
        </w:rPr>
        <w:t>6.5.3</w:t>
      </w:r>
      <w:r>
        <w:rPr>
          <w:spacing w:val="-7"/>
          <w:sz w:val="21"/>
        </w:rPr>
        <w:t> 进行。测量驾乘室内的照度时，照度计光传感器受光面向上，传感器放置</w:t>
      </w:r>
      <w:r>
        <w:rPr>
          <w:spacing w:val="-5"/>
          <w:sz w:val="21"/>
        </w:rPr>
        <w:t>于驾驶员及每一位乘员的座位上，打开驾乘室内所有照明灯，逐一测出各座位的照度，判断结</w:t>
      </w:r>
      <w:r>
        <w:rPr>
          <w:spacing w:val="-13"/>
          <w:sz w:val="21"/>
        </w:rPr>
        <w:t>果是否符合 </w:t>
      </w:r>
      <w:r>
        <w:rPr>
          <w:sz w:val="21"/>
        </w:rPr>
        <w:t>5.7.7</w:t>
      </w:r>
      <w:r>
        <w:rPr>
          <w:spacing w:val="-12"/>
          <w:sz w:val="21"/>
        </w:rPr>
        <w:t> 的规定。 </w:t>
      </w:r>
    </w:p>
    <w:p>
      <w:pPr>
        <w:pStyle w:val="ListParagraph"/>
        <w:numPr>
          <w:ilvl w:val="2"/>
          <w:numId w:val="169"/>
        </w:numPr>
        <w:tabs>
          <w:tab w:pos="1370" w:val="left" w:leader="none"/>
        </w:tabs>
        <w:spacing w:line="446" w:lineRule="auto" w:before="0" w:after="0"/>
        <w:ind w:left="418" w:right="1604" w:firstLine="422"/>
        <w:jc w:val="both"/>
        <w:rPr>
          <w:sz w:val="21"/>
        </w:rPr>
      </w:pPr>
      <w:r>
        <w:rPr>
          <w:spacing w:val="-3"/>
          <w:sz w:val="21"/>
        </w:rPr>
        <w:t>目测检查消防车器材箱照明灯具和开关的安装数量和位置，检查在无光条件下打开</w:t>
      </w:r>
      <w:r>
        <w:rPr>
          <w:spacing w:val="-5"/>
          <w:sz w:val="21"/>
        </w:rPr>
        <w:t>器材箱照明灯是否能够分辨器材箱内器材的类型，判断试验结果是否符合 </w:t>
      </w:r>
      <w:r>
        <w:rPr>
          <w:sz w:val="21"/>
        </w:rPr>
        <w:t>5.7.8</w:t>
      </w:r>
      <w:r>
        <w:rPr>
          <w:spacing w:val="-13"/>
          <w:sz w:val="21"/>
        </w:rPr>
        <w:t> 的规定。</w:t>
      </w:r>
      <w:r>
        <w:rPr>
          <w:sz w:val="21"/>
        </w:rPr>
        <w:t> </w:t>
      </w:r>
    </w:p>
    <w:p>
      <w:pPr>
        <w:pStyle w:val="ListParagraph"/>
        <w:numPr>
          <w:ilvl w:val="2"/>
          <w:numId w:val="169"/>
        </w:numPr>
        <w:tabs>
          <w:tab w:pos="1370" w:val="left" w:leader="none"/>
        </w:tabs>
        <w:spacing w:line="240" w:lineRule="auto" w:before="0" w:after="0"/>
        <w:ind w:left="1369" w:right="0" w:hanging="530"/>
        <w:jc w:val="both"/>
        <w:rPr>
          <w:sz w:val="21"/>
        </w:rPr>
      </w:pPr>
      <w:r>
        <w:rPr>
          <w:spacing w:val="-5"/>
          <w:sz w:val="21"/>
        </w:rPr>
        <w:t>目测检查电线与电线的连接方式，判断试验结果是否符合 </w:t>
      </w:r>
      <w:r>
        <w:rPr>
          <w:sz w:val="21"/>
        </w:rPr>
        <w:t>5.7.9</w:t>
      </w:r>
      <w:r>
        <w:rPr>
          <w:spacing w:val="-12"/>
          <w:sz w:val="21"/>
        </w:rPr>
        <w:t> 的规定。 </w:t>
      </w:r>
    </w:p>
    <w:p>
      <w:pPr>
        <w:pStyle w:val="BodyText"/>
        <w:spacing w:before="10"/>
        <w:rPr>
          <w:sz w:val="17"/>
        </w:rPr>
      </w:pPr>
    </w:p>
    <w:p>
      <w:pPr>
        <w:pStyle w:val="ListParagraph"/>
        <w:numPr>
          <w:ilvl w:val="2"/>
          <w:numId w:val="169"/>
        </w:numPr>
        <w:tabs>
          <w:tab w:pos="1478" w:val="left" w:leader="none"/>
        </w:tabs>
        <w:spacing w:line="446" w:lineRule="auto" w:before="0" w:after="0"/>
        <w:ind w:left="418" w:right="1496" w:firstLine="422"/>
        <w:jc w:val="left"/>
        <w:rPr>
          <w:sz w:val="21"/>
        </w:rPr>
      </w:pPr>
      <w:r>
        <w:rPr>
          <w:spacing w:val="-3"/>
          <w:sz w:val="21"/>
        </w:rPr>
        <w:t>目测检查电线与用电器具连接的连接方式，是否有放松措施，判断试验结果是否符</w:t>
      </w:r>
      <w:r>
        <w:rPr>
          <w:spacing w:val="-28"/>
          <w:sz w:val="21"/>
        </w:rPr>
        <w:t>合 </w:t>
      </w:r>
      <w:r>
        <w:rPr>
          <w:sz w:val="21"/>
        </w:rPr>
        <w:t>5.7.10</w:t>
      </w:r>
      <w:r>
        <w:rPr>
          <w:spacing w:val="-13"/>
          <w:sz w:val="21"/>
        </w:rPr>
        <w:t> 的规定。</w:t>
      </w:r>
      <w:r>
        <w:rPr>
          <w:sz w:val="21"/>
        </w:rPr>
        <w:t> </w:t>
      </w:r>
    </w:p>
    <w:p>
      <w:pPr>
        <w:pStyle w:val="ListParagraph"/>
        <w:numPr>
          <w:ilvl w:val="2"/>
          <w:numId w:val="169"/>
        </w:numPr>
        <w:tabs>
          <w:tab w:pos="1478" w:val="left" w:leader="none"/>
        </w:tabs>
        <w:spacing w:line="446" w:lineRule="auto" w:before="0" w:after="0"/>
        <w:ind w:left="418" w:right="1705" w:firstLine="422"/>
        <w:jc w:val="left"/>
        <w:rPr>
          <w:sz w:val="21"/>
        </w:rPr>
      </w:pPr>
      <w:r>
        <w:rPr>
          <w:spacing w:val="-3"/>
          <w:sz w:val="21"/>
        </w:rPr>
        <w:t>检查电线束与底盘或车体的连接情况，测量电线束与排气管等产生高温的部件距</w:t>
      </w:r>
      <w:r>
        <w:rPr>
          <w:spacing w:val="-7"/>
          <w:sz w:val="21"/>
        </w:rPr>
        <w:t>离，判断试验结果是否符合 </w:t>
      </w:r>
      <w:r>
        <w:rPr>
          <w:sz w:val="21"/>
        </w:rPr>
        <w:t>5.7.11</w:t>
      </w:r>
      <w:r>
        <w:rPr>
          <w:spacing w:val="-13"/>
          <w:sz w:val="21"/>
        </w:rPr>
        <w:t> 的规定。</w:t>
      </w:r>
      <w:r>
        <w:rPr>
          <w:sz w:val="21"/>
        </w:rPr>
        <w:t> </w:t>
      </w:r>
    </w:p>
    <w:p>
      <w:pPr>
        <w:pStyle w:val="ListParagraph"/>
        <w:numPr>
          <w:ilvl w:val="2"/>
          <w:numId w:val="169"/>
        </w:numPr>
        <w:tabs>
          <w:tab w:pos="1478" w:val="left" w:leader="none"/>
        </w:tabs>
        <w:spacing w:line="267" w:lineRule="exact" w:before="0" w:after="0"/>
        <w:ind w:left="1477" w:right="0" w:hanging="638"/>
        <w:jc w:val="left"/>
        <w:rPr>
          <w:sz w:val="21"/>
        </w:rPr>
      </w:pPr>
      <w:r>
        <w:rPr>
          <w:spacing w:val="-5"/>
          <w:sz w:val="21"/>
        </w:rPr>
        <w:t>目测检查电线束穿过有锐利边缘孔时的防护情况，判断试验结果是否符合 </w:t>
      </w:r>
      <w:r>
        <w:rPr>
          <w:sz w:val="21"/>
        </w:rPr>
        <w:t>5.7.12</w:t>
      </w:r>
    </w:p>
    <w:p>
      <w:pPr>
        <w:pStyle w:val="BodyText"/>
        <w:spacing w:before="1"/>
        <w:rPr>
          <w:sz w:val="18"/>
        </w:rPr>
      </w:pPr>
    </w:p>
    <w:p>
      <w:pPr>
        <w:pStyle w:val="BodyText"/>
        <w:spacing w:before="1"/>
        <w:ind w:left="418"/>
      </w:pPr>
      <w:r>
        <w:rPr/>
        <w:t>的规定。 </w:t>
      </w:r>
    </w:p>
    <w:p>
      <w:pPr>
        <w:spacing w:after="0"/>
        <w:sectPr>
          <w:pgSz w:w="11910" w:h="16850"/>
          <w:pgMar w:header="0" w:footer="1239" w:top="1220" w:bottom="1420" w:left="1260" w:right="0"/>
        </w:sectPr>
      </w:pPr>
    </w:p>
    <w:p>
      <w:pPr>
        <w:pStyle w:val="ListParagraph"/>
        <w:numPr>
          <w:ilvl w:val="2"/>
          <w:numId w:val="169"/>
        </w:numPr>
        <w:tabs>
          <w:tab w:pos="1478" w:val="left" w:leader="none"/>
        </w:tabs>
        <w:spacing w:line="240" w:lineRule="auto" w:before="47" w:after="0"/>
        <w:ind w:left="1477" w:right="0" w:hanging="638"/>
        <w:jc w:val="left"/>
        <w:rPr>
          <w:sz w:val="21"/>
        </w:rPr>
      </w:pPr>
      <w:r>
        <w:rPr>
          <w:spacing w:val="-5"/>
          <w:sz w:val="21"/>
        </w:rPr>
        <w:t>目测检查电线束的安装位置是否有油污，判断试验结果是否符合 </w:t>
      </w:r>
      <w:r>
        <w:rPr>
          <w:sz w:val="21"/>
        </w:rPr>
        <w:t>5.7.13</w:t>
      </w:r>
      <w:r>
        <w:rPr>
          <w:spacing w:val="-13"/>
          <w:sz w:val="21"/>
        </w:rPr>
        <w:t> 的规定。</w:t>
      </w:r>
      <w:r>
        <w:rPr>
          <w:sz w:val="21"/>
        </w:rPr>
        <w:t> </w:t>
      </w:r>
    </w:p>
    <w:p>
      <w:pPr>
        <w:pStyle w:val="BodyText"/>
        <w:rPr>
          <w:sz w:val="18"/>
        </w:rPr>
      </w:pPr>
    </w:p>
    <w:p>
      <w:pPr>
        <w:pStyle w:val="ListParagraph"/>
        <w:numPr>
          <w:ilvl w:val="2"/>
          <w:numId w:val="169"/>
        </w:numPr>
        <w:tabs>
          <w:tab w:pos="1478" w:val="left" w:leader="none"/>
        </w:tabs>
        <w:spacing w:line="240" w:lineRule="auto" w:before="0" w:after="0"/>
        <w:ind w:left="1477" w:right="0" w:hanging="638"/>
        <w:jc w:val="left"/>
        <w:rPr>
          <w:sz w:val="21"/>
        </w:rPr>
      </w:pPr>
      <w:r>
        <w:rPr>
          <w:spacing w:val="-3"/>
          <w:sz w:val="21"/>
        </w:rPr>
        <w:t>目测检查安装上装的电线束是否破坏底盘的电线束，判断试验结果是否符合</w:t>
      </w:r>
    </w:p>
    <w:p>
      <w:pPr>
        <w:pStyle w:val="BodyText"/>
        <w:rPr>
          <w:sz w:val="18"/>
        </w:rPr>
      </w:pPr>
    </w:p>
    <w:p>
      <w:pPr>
        <w:pStyle w:val="BodyText"/>
        <w:ind w:left="418"/>
        <w:jc w:val="both"/>
      </w:pPr>
      <w:r>
        <w:rPr/>
        <w:t>5.7.14 的规定。 </w:t>
      </w:r>
    </w:p>
    <w:p>
      <w:pPr>
        <w:pStyle w:val="BodyText"/>
        <w:spacing w:before="1"/>
        <w:rPr>
          <w:sz w:val="18"/>
        </w:rPr>
      </w:pPr>
    </w:p>
    <w:p>
      <w:pPr>
        <w:pStyle w:val="ListParagraph"/>
        <w:numPr>
          <w:ilvl w:val="2"/>
          <w:numId w:val="174"/>
        </w:numPr>
        <w:tabs>
          <w:tab w:pos="1478" w:val="left" w:leader="none"/>
        </w:tabs>
        <w:spacing w:line="446" w:lineRule="auto" w:before="1" w:after="0"/>
        <w:ind w:left="418" w:right="1551" w:firstLine="422"/>
        <w:jc w:val="both"/>
        <w:rPr>
          <w:sz w:val="21"/>
        </w:rPr>
      </w:pPr>
      <w:r>
        <w:rPr>
          <w:spacing w:val="-4"/>
          <w:sz w:val="21"/>
        </w:rPr>
        <w:t>目测检查电路是否有保险装置，测量超过标称电流 </w:t>
      </w:r>
      <w:r>
        <w:rPr>
          <w:sz w:val="21"/>
        </w:rPr>
        <w:t>150</w:t>
      </w:r>
      <w:r>
        <w:rPr>
          <w:spacing w:val="-3"/>
          <w:sz w:val="21"/>
        </w:rPr>
        <w:t>%时，是否自动切断电路，判</w:t>
      </w:r>
      <w:r>
        <w:rPr>
          <w:spacing w:val="-8"/>
          <w:sz w:val="21"/>
        </w:rPr>
        <w:t>断试验结果是否符合 </w:t>
      </w:r>
      <w:r>
        <w:rPr>
          <w:sz w:val="21"/>
        </w:rPr>
        <w:t>5.7.15</w:t>
      </w:r>
      <w:r>
        <w:rPr>
          <w:spacing w:val="-13"/>
          <w:sz w:val="21"/>
        </w:rPr>
        <w:t> 的规定。</w:t>
      </w:r>
      <w:r>
        <w:rPr>
          <w:sz w:val="21"/>
        </w:rPr>
        <w:t> </w:t>
      </w:r>
    </w:p>
    <w:p>
      <w:pPr>
        <w:pStyle w:val="ListParagraph"/>
        <w:numPr>
          <w:ilvl w:val="2"/>
          <w:numId w:val="174"/>
        </w:numPr>
        <w:tabs>
          <w:tab w:pos="1478" w:val="left" w:leader="none"/>
        </w:tabs>
        <w:spacing w:line="446" w:lineRule="auto" w:before="0" w:after="0"/>
        <w:ind w:left="418" w:right="1496" w:firstLine="422"/>
        <w:jc w:val="both"/>
        <w:rPr>
          <w:sz w:val="21"/>
        </w:rPr>
      </w:pPr>
      <w:r>
        <w:rPr>
          <w:spacing w:val="-3"/>
          <w:sz w:val="21"/>
        </w:rPr>
        <w:t>目测检查消防车上装和底盘的电路的保险装置，功率输出装置的挂挡机构、泵操作</w:t>
      </w:r>
      <w:r>
        <w:rPr>
          <w:spacing w:val="-4"/>
          <w:sz w:val="21"/>
        </w:rPr>
        <w:t>板照明、警示灯具和电动消防炮是否使用独立的保险装置，判断试验结果是否符合 </w:t>
      </w:r>
      <w:r>
        <w:rPr>
          <w:sz w:val="21"/>
        </w:rPr>
        <w:t>5.7.16</w:t>
      </w:r>
      <w:r>
        <w:rPr>
          <w:spacing w:val="-13"/>
          <w:sz w:val="21"/>
        </w:rPr>
        <w:t> 的规</w:t>
      </w:r>
      <w:r>
        <w:rPr>
          <w:spacing w:val="-8"/>
          <w:sz w:val="21"/>
        </w:rPr>
        <w:t>定。</w:t>
      </w:r>
      <w:r>
        <w:rPr>
          <w:sz w:val="21"/>
        </w:rPr>
        <w:t> </w:t>
      </w:r>
    </w:p>
    <w:p>
      <w:pPr>
        <w:pStyle w:val="ListParagraph"/>
        <w:numPr>
          <w:ilvl w:val="2"/>
          <w:numId w:val="174"/>
        </w:numPr>
        <w:tabs>
          <w:tab w:pos="1478" w:val="left" w:leader="none"/>
        </w:tabs>
        <w:spacing w:line="446" w:lineRule="auto" w:before="0" w:after="0"/>
        <w:ind w:left="418" w:right="1498" w:firstLine="422"/>
        <w:jc w:val="both"/>
        <w:rPr>
          <w:sz w:val="21"/>
        </w:rPr>
      </w:pPr>
      <w:r>
        <w:rPr>
          <w:spacing w:val="-3"/>
          <w:sz w:val="21"/>
        </w:rPr>
        <w:t>目测检查消防车所有电路保险装置是否集中放置，电路保险装置是否放置在干燥、</w:t>
      </w:r>
      <w:r>
        <w:rPr>
          <w:spacing w:val="-4"/>
          <w:sz w:val="21"/>
        </w:rPr>
        <w:t>防水、防尘、避免机械振动和冲击并且维修人员易接触处，判断试验结果是否符合 </w:t>
      </w:r>
      <w:r>
        <w:rPr>
          <w:sz w:val="21"/>
        </w:rPr>
        <w:t>5.7.17</w:t>
      </w:r>
      <w:r>
        <w:rPr>
          <w:spacing w:val="-13"/>
          <w:sz w:val="21"/>
        </w:rPr>
        <w:t> 的规</w:t>
      </w:r>
      <w:r>
        <w:rPr>
          <w:spacing w:val="-8"/>
          <w:sz w:val="21"/>
        </w:rPr>
        <w:t>定。</w:t>
      </w:r>
      <w:r>
        <w:rPr>
          <w:sz w:val="21"/>
        </w:rPr>
        <w:t> </w:t>
      </w:r>
    </w:p>
    <w:p>
      <w:pPr>
        <w:pStyle w:val="ListParagraph"/>
        <w:numPr>
          <w:ilvl w:val="2"/>
          <w:numId w:val="174"/>
        </w:numPr>
        <w:tabs>
          <w:tab w:pos="1478" w:val="left" w:leader="none"/>
        </w:tabs>
        <w:spacing w:line="446" w:lineRule="auto" w:before="0" w:after="0"/>
        <w:ind w:left="418" w:right="1601" w:firstLine="422"/>
        <w:jc w:val="left"/>
        <w:rPr>
          <w:sz w:val="21"/>
        </w:rPr>
      </w:pPr>
      <w:r>
        <w:rPr>
          <w:spacing w:val="-3"/>
          <w:sz w:val="21"/>
        </w:rPr>
        <w:t>检查消防车所用电气开关的型号，安装在车辆外部的开关是否有防雨罩，判断试验</w:t>
      </w:r>
      <w:r>
        <w:rPr>
          <w:spacing w:val="-11"/>
          <w:sz w:val="21"/>
        </w:rPr>
        <w:t>结果是否符合 </w:t>
      </w:r>
      <w:r>
        <w:rPr>
          <w:sz w:val="21"/>
        </w:rPr>
        <w:t>5.7.18</w:t>
      </w:r>
      <w:r>
        <w:rPr>
          <w:spacing w:val="-13"/>
          <w:sz w:val="21"/>
        </w:rPr>
        <w:t> 的规定。</w:t>
      </w:r>
      <w:r>
        <w:rPr>
          <w:sz w:val="21"/>
        </w:rPr>
        <w:t> </w:t>
      </w:r>
    </w:p>
    <w:p>
      <w:pPr>
        <w:pStyle w:val="ListParagraph"/>
        <w:numPr>
          <w:ilvl w:val="2"/>
          <w:numId w:val="174"/>
        </w:numPr>
        <w:tabs>
          <w:tab w:pos="1478" w:val="left" w:leader="none"/>
        </w:tabs>
        <w:spacing w:line="446" w:lineRule="auto" w:before="0" w:after="0"/>
        <w:ind w:left="418" w:right="1496" w:firstLine="422"/>
        <w:jc w:val="left"/>
        <w:rPr>
          <w:sz w:val="21"/>
        </w:rPr>
      </w:pPr>
      <w:r>
        <w:rPr>
          <w:spacing w:val="-3"/>
          <w:sz w:val="21"/>
        </w:rPr>
        <w:t>检查电气开关的最大允许电流及所接电路标称电流，目测检查驾驶室仪表板或附近</w:t>
      </w:r>
      <w:r>
        <w:rPr>
          <w:spacing w:val="-5"/>
          <w:sz w:val="21"/>
        </w:rPr>
        <w:t>是否有可安装备用按钮和相应指示灯的位置，判断试验结果是否符合 </w:t>
      </w:r>
      <w:r>
        <w:rPr>
          <w:sz w:val="21"/>
        </w:rPr>
        <w:t>5.7.19</w:t>
      </w:r>
      <w:r>
        <w:rPr>
          <w:spacing w:val="-12"/>
          <w:sz w:val="21"/>
        </w:rPr>
        <w:t> 的规定。 </w:t>
      </w:r>
    </w:p>
    <w:p>
      <w:pPr>
        <w:pStyle w:val="ListParagraph"/>
        <w:numPr>
          <w:ilvl w:val="2"/>
          <w:numId w:val="174"/>
        </w:numPr>
        <w:tabs>
          <w:tab w:pos="1478" w:val="left" w:leader="none"/>
        </w:tabs>
        <w:spacing w:line="240" w:lineRule="auto" w:before="0" w:after="0"/>
        <w:ind w:left="1477" w:right="0" w:hanging="638"/>
        <w:jc w:val="left"/>
        <w:rPr>
          <w:sz w:val="21"/>
        </w:rPr>
      </w:pPr>
      <w:r>
        <w:rPr>
          <w:spacing w:val="-5"/>
          <w:sz w:val="21"/>
        </w:rPr>
        <w:t>检查底盘发电机功率与标准规定的用电器具的功率，判断试验结果是否符合 </w:t>
      </w:r>
      <w:r>
        <w:rPr>
          <w:sz w:val="21"/>
        </w:rPr>
        <w:t>5.7.20</w:t>
      </w:r>
    </w:p>
    <w:p>
      <w:pPr>
        <w:pStyle w:val="BodyText"/>
        <w:spacing w:before="7"/>
        <w:rPr>
          <w:sz w:val="17"/>
        </w:rPr>
      </w:pPr>
    </w:p>
    <w:p>
      <w:pPr>
        <w:pStyle w:val="BodyText"/>
        <w:ind w:left="418"/>
      </w:pPr>
      <w:r>
        <w:rPr/>
        <w:t>的规定。 </w:t>
      </w:r>
    </w:p>
    <w:p>
      <w:pPr>
        <w:pStyle w:val="BodyText"/>
        <w:rPr>
          <w:sz w:val="18"/>
        </w:rPr>
      </w:pPr>
    </w:p>
    <w:p>
      <w:pPr>
        <w:pStyle w:val="ListParagraph"/>
        <w:numPr>
          <w:ilvl w:val="2"/>
          <w:numId w:val="174"/>
        </w:numPr>
        <w:tabs>
          <w:tab w:pos="1478" w:val="left" w:leader="none"/>
        </w:tabs>
        <w:spacing w:line="446" w:lineRule="auto" w:before="0" w:after="0"/>
        <w:ind w:left="418" w:right="1496" w:firstLine="422"/>
        <w:jc w:val="left"/>
        <w:rPr>
          <w:sz w:val="21"/>
        </w:rPr>
      </w:pPr>
      <w:r>
        <w:rPr>
          <w:spacing w:val="-3"/>
          <w:sz w:val="21"/>
        </w:rPr>
        <w:t>不启动底盘发动机，打开用电器具，观察是否有声、光报警，报警是否可在驾驶室</w:t>
      </w:r>
      <w:r>
        <w:rPr>
          <w:spacing w:val="-7"/>
          <w:sz w:val="21"/>
        </w:rPr>
        <w:t>察觉，判断试验结果是否符合 </w:t>
      </w:r>
      <w:r>
        <w:rPr>
          <w:sz w:val="21"/>
        </w:rPr>
        <w:t>5.7.21</w:t>
      </w:r>
      <w:r>
        <w:rPr>
          <w:spacing w:val="-13"/>
          <w:sz w:val="21"/>
        </w:rPr>
        <w:t> 的规定。</w:t>
      </w:r>
      <w:r>
        <w:rPr>
          <w:sz w:val="21"/>
        </w:rPr>
        <w:t> </w:t>
      </w:r>
    </w:p>
    <w:p>
      <w:pPr>
        <w:pStyle w:val="ListParagraph"/>
        <w:numPr>
          <w:ilvl w:val="2"/>
          <w:numId w:val="174"/>
        </w:numPr>
        <w:tabs>
          <w:tab w:pos="1478" w:val="left" w:leader="none"/>
        </w:tabs>
        <w:spacing w:line="446" w:lineRule="auto" w:before="0" w:after="0"/>
        <w:ind w:left="418" w:right="1603" w:firstLine="422"/>
        <w:jc w:val="both"/>
        <w:rPr>
          <w:sz w:val="21"/>
        </w:rPr>
      </w:pPr>
      <w:r>
        <w:rPr>
          <w:spacing w:val="-8"/>
          <w:sz w:val="21"/>
        </w:rPr>
        <w:t>断开蓄电池接线，对于 </w:t>
      </w:r>
      <w:r>
        <w:rPr>
          <w:sz w:val="21"/>
        </w:rPr>
        <w:t>12</w:t>
      </w:r>
      <w:r>
        <w:rPr>
          <w:spacing w:val="7"/>
          <w:sz w:val="21"/>
        </w:rPr>
        <w:t> </w:t>
      </w:r>
      <w:r>
        <w:rPr>
          <w:sz w:val="21"/>
        </w:rPr>
        <w:t>V</w:t>
      </w:r>
      <w:r>
        <w:rPr>
          <w:spacing w:val="-12"/>
          <w:sz w:val="21"/>
        </w:rPr>
        <w:t> 标称电压的消防车用输出电压低于 </w:t>
      </w:r>
      <w:r>
        <w:rPr>
          <w:sz w:val="21"/>
        </w:rPr>
        <w:t>9.6</w:t>
      </w:r>
      <w:r>
        <w:rPr>
          <w:spacing w:val="7"/>
          <w:sz w:val="21"/>
        </w:rPr>
        <w:t> </w:t>
      </w:r>
      <w:r>
        <w:rPr>
          <w:sz w:val="21"/>
        </w:rPr>
        <w:t>V</w:t>
      </w:r>
      <w:r>
        <w:rPr>
          <w:spacing w:val="-10"/>
          <w:sz w:val="21"/>
        </w:rPr>
        <w:t> 电源供电， </w:t>
      </w:r>
      <w:r>
        <w:rPr>
          <w:spacing w:val="-24"/>
          <w:sz w:val="21"/>
        </w:rPr>
        <w:t>对于 </w:t>
      </w:r>
      <w:r>
        <w:rPr>
          <w:sz w:val="21"/>
        </w:rPr>
        <w:t>24</w:t>
      </w:r>
      <w:r>
        <w:rPr>
          <w:spacing w:val="6"/>
          <w:sz w:val="21"/>
        </w:rPr>
        <w:t> </w:t>
      </w:r>
      <w:r>
        <w:rPr>
          <w:sz w:val="21"/>
        </w:rPr>
        <w:t>V</w:t>
      </w:r>
      <w:r>
        <w:rPr>
          <w:spacing w:val="-12"/>
          <w:sz w:val="21"/>
        </w:rPr>
        <w:t> 标称电压的消防车用输出电压低于 </w:t>
      </w:r>
      <w:r>
        <w:rPr>
          <w:sz w:val="21"/>
        </w:rPr>
        <w:t>19.2</w:t>
      </w:r>
      <w:r>
        <w:rPr>
          <w:spacing w:val="3"/>
          <w:sz w:val="21"/>
        </w:rPr>
        <w:t> </w:t>
      </w:r>
      <w:r>
        <w:rPr>
          <w:sz w:val="21"/>
        </w:rPr>
        <w:t>V</w:t>
      </w:r>
      <w:r>
        <w:rPr>
          <w:spacing w:val="-13"/>
          <w:sz w:val="21"/>
        </w:rPr>
        <w:t> 电源供电，供电时间 </w:t>
      </w:r>
      <w:r>
        <w:rPr>
          <w:sz w:val="21"/>
        </w:rPr>
        <w:t>2</w:t>
      </w:r>
      <w:r>
        <w:rPr>
          <w:spacing w:val="6"/>
          <w:sz w:val="21"/>
        </w:rPr>
        <w:t> </w:t>
      </w:r>
      <w:r>
        <w:rPr>
          <w:sz w:val="21"/>
        </w:rPr>
        <w:t>min，</w:t>
      </w:r>
      <w:r>
        <w:rPr>
          <w:spacing w:val="-3"/>
          <w:sz w:val="21"/>
        </w:rPr>
        <w:t>观察是否有</w:t>
      </w:r>
      <w:r>
        <w:rPr>
          <w:spacing w:val="-5"/>
          <w:sz w:val="21"/>
        </w:rPr>
        <w:t>声、光报警，报警是否可在驾驶室察觉，判断试验结果是否符合 </w:t>
      </w:r>
      <w:r>
        <w:rPr>
          <w:sz w:val="21"/>
        </w:rPr>
        <w:t>5.7.22</w:t>
      </w:r>
      <w:r>
        <w:rPr>
          <w:spacing w:val="-12"/>
          <w:sz w:val="21"/>
        </w:rPr>
        <w:t> 的规定。 </w:t>
      </w:r>
    </w:p>
    <w:p>
      <w:pPr>
        <w:pStyle w:val="ListParagraph"/>
        <w:numPr>
          <w:ilvl w:val="2"/>
          <w:numId w:val="174"/>
        </w:numPr>
        <w:tabs>
          <w:tab w:pos="1478" w:val="left" w:leader="none"/>
        </w:tabs>
        <w:spacing w:line="446" w:lineRule="auto" w:before="0" w:after="0"/>
        <w:ind w:left="418" w:right="1496" w:firstLine="422"/>
        <w:jc w:val="left"/>
        <w:rPr>
          <w:sz w:val="21"/>
        </w:rPr>
      </w:pPr>
      <w:r>
        <w:rPr>
          <w:spacing w:val="-3"/>
          <w:sz w:val="21"/>
        </w:rPr>
        <w:t>检查消防车是否安装蓄电池充电插座，将充电插头插入充电插座，启动发动机观察</w:t>
      </w:r>
      <w:r>
        <w:rPr>
          <w:spacing w:val="-5"/>
          <w:sz w:val="21"/>
        </w:rPr>
        <w:t>充电插头是否自动从插座脱落，判断试验结果是否符合 </w:t>
      </w:r>
      <w:r>
        <w:rPr>
          <w:sz w:val="21"/>
        </w:rPr>
        <w:t>5.7.23</w:t>
      </w:r>
      <w:r>
        <w:rPr>
          <w:spacing w:val="-13"/>
          <w:sz w:val="21"/>
        </w:rPr>
        <w:t> 的规定。</w:t>
      </w:r>
      <w:r>
        <w:rPr>
          <w:sz w:val="21"/>
        </w:rPr>
        <w:t> </w:t>
      </w:r>
    </w:p>
    <w:p>
      <w:pPr>
        <w:pStyle w:val="ListParagraph"/>
        <w:numPr>
          <w:ilvl w:val="2"/>
          <w:numId w:val="174"/>
        </w:numPr>
        <w:tabs>
          <w:tab w:pos="1478" w:val="left" w:leader="none"/>
        </w:tabs>
        <w:spacing w:line="446" w:lineRule="auto" w:before="0" w:after="0"/>
        <w:ind w:left="418" w:right="1498" w:firstLine="422"/>
        <w:jc w:val="left"/>
        <w:rPr>
          <w:sz w:val="21"/>
        </w:rPr>
      </w:pPr>
      <w:r>
        <w:rPr>
          <w:spacing w:val="-3"/>
          <w:sz w:val="21"/>
        </w:rPr>
        <w:t>目测检查蓄电池放置的位置是否通风、干燥，是否便于维护，放置在其他地方是否远离热源并是否采取防护措施以免消防车行驶时遭飞溅物损伤，测量蓄电池距电线或制动管的</w:t>
      </w:r>
      <w:r>
        <w:rPr>
          <w:spacing w:val="-7"/>
          <w:sz w:val="21"/>
        </w:rPr>
        <w:t>距离，判断试验结果是否符合 </w:t>
      </w:r>
      <w:r>
        <w:rPr>
          <w:sz w:val="21"/>
        </w:rPr>
        <w:t>5.7.24</w:t>
      </w:r>
      <w:r>
        <w:rPr>
          <w:spacing w:val="-13"/>
          <w:sz w:val="21"/>
        </w:rPr>
        <w:t> 的规定。</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174"/>
        </w:numPr>
        <w:tabs>
          <w:tab w:pos="1478" w:val="left" w:leader="none"/>
        </w:tabs>
        <w:spacing w:line="446" w:lineRule="auto" w:before="47" w:after="0"/>
        <w:ind w:left="418" w:right="1452" w:firstLine="422"/>
        <w:jc w:val="left"/>
        <w:rPr>
          <w:sz w:val="21"/>
        </w:rPr>
      </w:pPr>
      <w:r>
        <w:rPr>
          <w:spacing w:val="-5"/>
          <w:sz w:val="21"/>
        </w:rPr>
        <w:t>将蓄电池充满，断开底盘发电机输出电路，按 </w:t>
      </w:r>
      <w:r>
        <w:rPr>
          <w:sz w:val="21"/>
        </w:rPr>
        <w:t>5.7.20</w:t>
      </w:r>
      <w:r>
        <w:rPr>
          <w:spacing w:val="-8"/>
          <w:sz w:val="21"/>
        </w:rPr>
        <w:t> 配备的要求打开所有用电器具</w:t>
      </w:r>
      <w:r>
        <w:rPr>
          <w:spacing w:val="-4"/>
          <w:sz w:val="21"/>
        </w:rPr>
        <w:t>，用秒表开始计时，</w:t>
      </w:r>
      <w:r>
        <w:rPr>
          <w:sz w:val="21"/>
        </w:rPr>
        <w:t>10</w:t>
      </w:r>
      <w:r>
        <w:rPr>
          <w:spacing w:val="11"/>
          <w:sz w:val="21"/>
        </w:rPr>
        <w:t> </w:t>
      </w:r>
      <w:r>
        <w:rPr>
          <w:sz w:val="21"/>
        </w:rPr>
        <w:t>min</w:t>
      </w:r>
      <w:r>
        <w:rPr>
          <w:spacing w:val="-10"/>
          <w:sz w:val="21"/>
        </w:rPr>
        <w:t> 后，观察用电器具的工作状态，判断试验结果是否符合 </w:t>
      </w:r>
      <w:r>
        <w:rPr>
          <w:sz w:val="21"/>
        </w:rPr>
        <w:t>5.7.25</w:t>
      </w:r>
      <w:r>
        <w:rPr>
          <w:spacing w:val="-16"/>
          <w:sz w:val="21"/>
        </w:rPr>
        <w:t> 的规</w:t>
      </w:r>
      <w:r>
        <w:rPr>
          <w:spacing w:val="-10"/>
          <w:sz w:val="21"/>
        </w:rPr>
        <w:t>定。</w:t>
      </w:r>
      <w:r>
        <w:rPr>
          <w:sz w:val="21"/>
        </w:rPr>
        <w:t> </w:t>
      </w:r>
    </w:p>
    <w:p>
      <w:pPr>
        <w:pStyle w:val="ListParagraph"/>
        <w:numPr>
          <w:ilvl w:val="2"/>
          <w:numId w:val="174"/>
        </w:numPr>
        <w:tabs>
          <w:tab w:pos="1478" w:val="left" w:leader="none"/>
        </w:tabs>
        <w:spacing w:line="268" w:lineRule="exact" w:before="0" w:after="0"/>
        <w:ind w:left="1477" w:right="0" w:hanging="638"/>
        <w:jc w:val="left"/>
        <w:rPr>
          <w:sz w:val="21"/>
        </w:rPr>
      </w:pPr>
      <w:r>
        <w:rPr>
          <w:spacing w:val="-3"/>
          <w:sz w:val="21"/>
        </w:rPr>
        <w:t>使用蓄电池电容量表测量蓄电池电容量，将蓄电池放电至原容量的 </w:t>
      </w:r>
      <w:r>
        <w:rPr>
          <w:sz w:val="21"/>
        </w:rPr>
        <w:t>70</w:t>
      </w:r>
      <w:r>
        <w:rPr>
          <w:spacing w:val="-14"/>
          <w:sz w:val="21"/>
        </w:rPr>
        <w:t>%，按 </w:t>
      </w:r>
      <w:r>
        <w:rPr>
          <w:sz w:val="21"/>
        </w:rPr>
        <w:t>GB </w:t>
      </w:r>
    </w:p>
    <w:p>
      <w:pPr>
        <w:pStyle w:val="BodyText"/>
        <w:rPr>
          <w:sz w:val="18"/>
        </w:rPr>
      </w:pPr>
    </w:p>
    <w:p>
      <w:pPr>
        <w:pStyle w:val="BodyText"/>
        <w:ind w:left="418"/>
      </w:pPr>
      <w:r>
        <w:rPr/>
        <w:t>6245 规定的最大真空度试验方法进行最大真空度试验，判断试验结果是否符合 5.7.26 的规定。 </w:t>
      </w:r>
    </w:p>
    <w:p>
      <w:pPr>
        <w:pStyle w:val="BodyText"/>
        <w:spacing w:before="12"/>
        <w:rPr>
          <w:sz w:val="17"/>
        </w:rPr>
      </w:pPr>
    </w:p>
    <w:p>
      <w:pPr>
        <w:pStyle w:val="ListParagraph"/>
        <w:numPr>
          <w:ilvl w:val="2"/>
          <w:numId w:val="174"/>
        </w:numPr>
        <w:tabs>
          <w:tab w:pos="1478" w:val="left" w:leader="none"/>
        </w:tabs>
        <w:spacing w:line="446" w:lineRule="auto" w:before="0" w:after="0"/>
        <w:ind w:left="418" w:right="1496" w:firstLine="422"/>
        <w:jc w:val="left"/>
        <w:rPr>
          <w:sz w:val="21"/>
        </w:rPr>
      </w:pPr>
      <w:r>
        <w:rPr>
          <w:spacing w:val="-3"/>
          <w:sz w:val="21"/>
        </w:rPr>
        <w:t>打开消防车所有用电器具检查是否干扰消防员使用的通信设备，判断试验结果是否</w:t>
      </w:r>
      <w:r>
        <w:rPr>
          <w:spacing w:val="-20"/>
          <w:sz w:val="21"/>
        </w:rPr>
        <w:t>符合 </w:t>
      </w:r>
      <w:r>
        <w:rPr>
          <w:sz w:val="21"/>
        </w:rPr>
        <w:t>5.7.27</w:t>
      </w:r>
      <w:r>
        <w:rPr>
          <w:spacing w:val="-13"/>
          <w:sz w:val="21"/>
        </w:rPr>
        <w:t> 的规定。</w:t>
      </w:r>
      <w:r>
        <w:rPr>
          <w:sz w:val="21"/>
        </w:rPr>
        <w:t> </w:t>
      </w:r>
    </w:p>
    <w:p>
      <w:pPr>
        <w:pStyle w:val="ListParagraph"/>
        <w:numPr>
          <w:ilvl w:val="2"/>
          <w:numId w:val="174"/>
        </w:numPr>
        <w:tabs>
          <w:tab w:pos="1478" w:val="left" w:leader="none"/>
        </w:tabs>
        <w:spacing w:line="446" w:lineRule="auto" w:before="1" w:after="0"/>
        <w:ind w:left="418" w:right="1496" w:firstLine="422"/>
        <w:jc w:val="left"/>
        <w:rPr>
          <w:sz w:val="21"/>
        </w:rPr>
      </w:pPr>
      <w:r>
        <w:rPr>
          <w:spacing w:val="-3"/>
          <w:sz w:val="21"/>
        </w:rPr>
        <w:t>目测检查消防车车顶警灯、警报器的安装位置，及警报器的功能，判断试验结果是</w:t>
      </w:r>
      <w:r>
        <w:rPr>
          <w:spacing w:val="-15"/>
          <w:sz w:val="21"/>
        </w:rPr>
        <w:t>否符合 </w:t>
      </w:r>
      <w:r>
        <w:rPr>
          <w:sz w:val="21"/>
        </w:rPr>
        <w:t>5.7.28</w:t>
      </w:r>
      <w:r>
        <w:rPr>
          <w:spacing w:val="-12"/>
          <w:sz w:val="21"/>
        </w:rPr>
        <w:t> 的规定。 </w:t>
      </w:r>
    </w:p>
    <w:p>
      <w:pPr>
        <w:pStyle w:val="ListParagraph"/>
        <w:numPr>
          <w:ilvl w:val="2"/>
          <w:numId w:val="174"/>
        </w:numPr>
        <w:tabs>
          <w:tab w:pos="1478" w:val="left" w:leader="none"/>
        </w:tabs>
        <w:spacing w:line="240" w:lineRule="auto" w:before="0" w:after="0"/>
        <w:ind w:left="1477" w:right="0" w:hanging="638"/>
        <w:jc w:val="left"/>
        <w:rPr>
          <w:sz w:val="21"/>
        </w:rPr>
      </w:pPr>
      <w:r>
        <w:rPr>
          <w:spacing w:val="-3"/>
          <w:sz w:val="21"/>
        </w:rPr>
        <w:t>目测检查警灯形式、警灯的颜色、警灯数量和安装方式，判断试验结果是否符合</w:t>
      </w:r>
    </w:p>
    <w:p>
      <w:pPr>
        <w:pStyle w:val="BodyText"/>
        <w:spacing w:before="12"/>
        <w:rPr>
          <w:sz w:val="17"/>
        </w:rPr>
      </w:pPr>
    </w:p>
    <w:p>
      <w:pPr>
        <w:pStyle w:val="BodyText"/>
        <w:ind w:left="418"/>
      </w:pPr>
      <w:r>
        <w:rPr/>
        <w:t>5.7.29 的规定。 </w:t>
      </w:r>
    </w:p>
    <w:p>
      <w:pPr>
        <w:pStyle w:val="BodyText"/>
        <w:spacing w:before="12"/>
        <w:rPr>
          <w:sz w:val="17"/>
        </w:rPr>
      </w:pPr>
    </w:p>
    <w:p>
      <w:pPr>
        <w:pStyle w:val="ListParagraph"/>
        <w:numPr>
          <w:ilvl w:val="2"/>
          <w:numId w:val="175"/>
        </w:numPr>
        <w:tabs>
          <w:tab w:pos="1478" w:val="left" w:leader="none"/>
        </w:tabs>
        <w:spacing w:line="446" w:lineRule="auto" w:before="0" w:after="0"/>
        <w:ind w:left="418" w:right="1812" w:firstLine="422"/>
        <w:jc w:val="left"/>
        <w:rPr>
          <w:sz w:val="21"/>
        </w:rPr>
      </w:pPr>
      <w:r>
        <w:rPr>
          <w:spacing w:val="-5"/>
          <w:sz w:val="21"/>
        </w:rPr>
        <w:t>检查警灯的国家法定检验机构的检验报告，判断试验结果是否符合 </w:t>
      </w:r>
      <w:r>
        <w:rPr>
          <w:sz w:val="21"/>
        </w:rPr>
        <w:t>5.7.30</w:t>
      </w:r>
      <w:r>
        <w:rPr>
          <w:spacing w:val="-16"/>
          <w:sz w:val="21"/>
        </w:rPr>
        <w:t> 的规</w:t>
      </w:r>
      <w:r>
        <w:rPr>
          <w:spacing w:val="-10"/>
          <w:sz w:val="21"/>
        </w:rPr>
        <w:t>定。</w:t>
      </w:r>
      <w:r>
        <w:rPr>
          <w:sz w:val="21"/>
        </w:rPr>
        <w:t> </w:t>
      </w:r>
    </w:p>
    <w:p>
      <w:pPr>
        <w:pStyle w:val="ListParagraph"/>
        <w:numPr>
          <w:ilvl w:val="2"/>
          <w:numId w:val="175"/>
        </w:numPr>
        <w:tabs>
          <w:tab w:pos="1478" w:val="left" w:leader="none"/>
        </w:tabs>
        <w:spacing w:line="446" w:lineRule="auto" w:before="0" w:after="0"/>
        <w:ind w:left="418" w:right="1608" w:firstLine="422"/>
        <w:jc w:val="left"/>
        <w:rPr>
          <w:sz w:val="21"/>
        </w:rPr>
      </w:pPr>
      <w:r>
        <w:rPr>
          <w:spacing w:val="-5"/>
          <w:sz w:val="21"/>
        </w:rPr>
        <w:t>检查警报器的国家法定检验机构的检验报告，判断试验结果是否符合 </w:t>
      </w:r>
      <w:r>
        <w:rPr>
          <w:sz w:val="21"/>
        </w:rPr>
        <w:t>5.7.31</w:t>
      </w:r>
      <w:r>
        <w:rPr>
          <w:spacing w:val="-17"/>
          <w:sz w:val="21"/>
        </w:rPr>
        <w:t> 的规</w:t>
      </w:r>
      <w:r>
        <w:rPr>
          <w:spacing w:val="-2"/>
          <w:sz w:val="21"/>
        </w:rPr>
        <w:t>定。</w:t>
      </w:r>
      <w:r>
        <w:rPr>
          <w:sz w:val="21"/>
        </w:rPr>
        <w:t> </w:t>
      </w:r>
    </w:p>
    <w:p>
      <w:pPr>
        <w:pStyle w:val="ListParagraph"/>
        <w:numPr>
          <w:ilvl w:val="2"/>
          <w:numId w:val="175"/>
        </w:numPr>
        <w:tabs>
          <w:tab w:pos="1478" w:val="left" w:leader="none"/>
        </w:tabs>
        <w:spacing w:line="446" w:lineRule="auto" w:before="0" w:after="0"/>
        <w:ind w:left="418" w:right="1496" w:firstLine="422"/>
        <w:jc w:val="left"/>
        <w:rPr>
          <w:sz w:val="21"/>
        </w:rPr>
      </w:pPr>
      <w:r>
        <w:rPr>
          <w:spacing w:val="-7"/>
          <w:sz w:val="21"/>
        </w:rPr>
        <w:t>目测检查消防车车长大于 </w:t>
      </w:r>
      <w:r>
        <w:rPr>
          <w:sz w:val="21"/>
        </w:rPr>
        <w:t>6</w:t>
      </w:r>
      <w:r>
        <w:rPr>
          <w:spacing w:val="14"/>
          <w:sz w:val="21"/>
        </w:rPr>
        <w:t> </w:t>
      </w:r>
      <w:r>
        <w:rPr>
          <w:sz w:val="21"/>
        </w:rPr>
        <w:t>m</w:t>
      </w:r>
      <w:r>
        <w:rPr>
          <w:spacing w:val="-8"/>
          <w:sz w:val="21"/>
        </w:rPr>
        <w:t> 时频闪灯的安装方式、颜色、接线情况，测量安装间</w:t>
      </w:r>
      <w:r>
        <w:rPr>
          <w:spacing w:val="-9"/>
          <w:sz w:val="21"/>
        </w:rPr>
        <w:t>距，判断试验结果是否符合 </w:t>
      </w:r>
      <w:r>
        <w:rPr>
          <w:sz w:val="21"/>
        </w:rPr>
        <w:t>5.7.32</w:t>
      </w:r>
      <w:r>
        <w:rPr>
          <w:spacing w:val="-14"/>
          <w:sz w:val="21"/>
        </w:rPr>
        <w:t> 的规定。并抽取 </w:t>
      </w:r>
      <w:r>
        <w:rPr>
          <w:sz w:val="21"/>
        </w:rPr>
        <w:t>10</w:t>
      </w:r>
      <w:r>
        <w:rPr>
          <w:spacing w:val="-9"/>
          <w:sz w:val="21"/>
        </w:rPr>
        <w:t> 个频闪灯样品进行如下试验：</w:t>
      </w:r>
      <w:r>
        <w:rPr>
          <w:sz w:val="21"/>
        </w:rPr>
        <w:t> </w:t>
      </w:r>
    </w:p>
    <w:p>
      <w:pPr>
        <w:pStyle w:val="ListParagraph"/>
        <w:numPr>
          <w:ilvl w:val="0"/>
          <w:numId w:val="176"/>
        </w:numPr>
        <w:tabs>
          <w:tab w:pos="1156" w:val="left" w:leader="none"/>
        </w:tabs>
        <w:spacing w:line="446" w:lineRule="auto" w:before="0" w:after="0"/>
        <w:ind w:left="418" w:right="1452" w:firstLine="419"/>
        <w:jc w:val="left"/>
        <w:rPr>
          <w:sz w:val="21"/>
        </w:rPr>
      </w:pPr>
      <w:r>
        <w:rPr>
          <w:spacing w:val="-12"/>
          <w:sz w:val="21"/>
        </w:rPr>
        <w:t>在环境温度 </w:t>
      </w:r>
      <w:r>
        <w:rPr>
          <w:sz w:val="21"/>
        </w:rPr>
        <w:t>40</w:t>
      </w:r>
      <w:r>
        <w:rPr>
          <w:spacing w:val="-11"/>
          <w:sz w:val="21"/>
        </w:rPr>
        <w:t>℃，湿度 </w:t>
      </w:r>
      <w:r>
        <w:rPr>
          <w:sz w:val="21"/>
        </w:rPr>
        <w:t>90</w:t>
      </w:r>
      <w:r>
        <w:rPr>
          <w:spacing w:val="-17"/>
          <w:sz w:val="21"/>
        </w:rPr>
        <w:t>%下 </w:t>
      </w:r>
      <w:r>
        <w:rPr>
          <w:sz w:val="21"/>
        </w:rPr>
        <w:t>1000</w:t>
      </w:r>
      <w:r>
        <w:rPr>
          <w:spacing w:val="5"/>
          <w:sz w:val="21"/>
        </w:rPr>
        <w:t> </w:t>
      </w:r>
      <w:r>
        <w:rPr>
          <w:sz w:val="21"/>
        </w:rPr>
        <w:t>h</w:t>
      </w:r>
      <w:r>
        <w:rPr>
          <w:spacing w:val="-12"/>
          <w:sz w:val="21"/>
        </w:rPr>
        <w:t> 连续闪烁试验，判断试验结果是否符合 </w:t>
      </w:r>
      <w:r>
        <w:rPr>
          <w:sz w:val="21"/>
        </w:rPr>
        <w:t>5.7.32a） </w:t>
      </w:r>
      <w:r>
        <w:rPr>
          <w:spacing w:val="-2"/>
          <w:sz w:val="21"/>
        </w:rPr>
        <w:t>的规定；</w:t>
      </w:r>
      <w:r>
        <w:rPr>
          <w:sz w:val="21"/>
        </w:rPr>
        <w:t> </w:t>
      </w:r>
    </w:p>
    <w:p>
      <w:pPr>
        <w:pStyle w:val="ListParagraph"/>
        <w:numPr>
          <w:ilvl w:val="0"/>
          <w:numId w:val="176"/>
        </w:numPr>
        <w:tabs>
          <w:tab w:pos="1156" w:val="left" w:leader="none"/>
        </w:tabs>
        <w:spacing w:line="446" w:lineRule="auto" w:before="0" w:after="0"/>
        <w:ind w:left="838" w:right="1352" w:firstLine="0"/>
        <w:jc w:val="left"/>
        <w:rPr>
          <w:sz w:val="21"/>
        </w:rPr>
      </w:pPr>
      <w:r>
        <w:rPr>
          <w:spacing w:val="-12"/>
          <w:sz w:val="21"/>
        </w:rPr>
        <w:t>在环境温度 </w:t>
      </w:r>
      <w:r>
        <w:rPr>
          <w:sz w:val="21"/>
        </w:rPr>
        <w:t>60℃和－20℃</w:t>
      </w:r>
      <w:r>
        <w:rPr>
          <w:spacing w:val="-12"/>
          <w:sz w:val="21"/>
        </w:rPr>
        <w:t>下分别放置 </w:t>
      </w:r>
      <w:r>
        <w:rPr>
          <w:sz w:val="21"/>
        </w:rPr>
        <w:t>10</w:t>
      </w:r>
      <w:r>
        <w:rPr>
          <w:spacing w:val="7"/>
          <w:sz w:val="21"/>
        </w:rPr>
        <w:t> </w:t>
      </w:r>
      <w:r>
        <w:rPr>
          <w:sz w:val="21"/>
        </w:rPr>
        <w:t>h</w:t>
      </w:r>
      <w:r>
        <w:rPr>
          <w:spacing w:val="-7"/>
          <w:sz w:val="21"/>
        </w:rPr>
        <w:t>，判断试验结果是否符合 </w:t>
      </w:r>
      <w:r>
        <w:rPr>
          <w:sz w:val="21"/>
        </w:rPr>
        <w:t>5.7.32b）</w:t>
      </w:r>
      <w:r>
        <w:rPr>
          <w:spacing w:val="-3"/>
          <w:sz w:val="21"/>
        </w:rPr>
        <w:t>的规定； </w:t>
      </w:r>
      <w:r>
        <w:rPr>
          <w:sz w:val="21"/>
        </w:rPr>
        <w:t>c）</w:t>
      </w:r>
      <w:r>
        <w:rPr>
          <w:spacing w:val="-15"/>
          <w:sz w:val="21"/>
        </w:rPr>
        <w:t>在频率 </w:t>
      </w:r>
      <w:r>
        <w:rPr>
          <w:sz w:val="21"/>
        </w:rPr>
        <w:t>0～100Hz</w:t>
      </w:r>
      <w:r>
        <w:rPr>
          <w:spacing w:val="-15"/>
          <w:sz w:val="21"/>
        </w:rPr>
        <w:t>，振幅 </w:t>
      </w:r>
      <w:r>
        <w:rPr>
          <w:sz w:val="21"/>
        </w:rPr>
        <w:t>1</w:t>
      </w:r>
      <w:r>
        <w:rPr>
          <w:spacing w:val="6"/>
          <w:sz w:val="21"/>
        </w:rPr>
        <w:t> </w:t>
      </w:r>
      <w:r>
        <w:rPr>
          <w:sz w:val="21"/>
        </w:rPr>
        <w:t>mm</w:t>
      </w:r>
      <w:r>
        <w:rPr>
          <w:spacing w:val="-11"/>
          <w:sz w:val="21"/>
        </w:rPr>
        <w:t> 下扫频振动，找出共振频率并在此频率下振动 </w:t>
      </w:r>
      <w:r>
        <w:rPr>
          <w:sz w:val="21"/>
        </w:rPr>
        <w:t>6</w:t>
      </w:r>
      <w:r>
        <w:rPr>
          <w:spacing w:val="6"/>
          <w:sz w:val="21"/>
        </w:rPr>
        <w:t> </w:t>
      </w:r>
      <w:r>
        <w:rPr>
          <w:sz w:val="21"/>
        </w:rPr>
        <w:t>h</w:t>
      </w:r>
      <w:r>
        <w:rPr>
          <w:spacing w:val="-2"/>
          <w:sz w:val="21"/>
        </w:rPr>
        <w:t>；若没</w:t>
      </w:r>
    </w:p>
    <w:p>
      <w:pPr>
        <w:pStyle w:val="BodyText"/>
        <w:spacing w:line="446" w:lineRule="auto"/>
        <w:ind w:left="840" w:right="1352" w:hanging="423"/>
      </w:pPr>
      <w:r>
        <w:rPr>
          <w:spacing w:val="-8"/>
        </w:rPr>
        <w:t>有共振频率，则在频率 </w:t>
      </w:r>
      <w:r>
        <w:rPr/>
        <w:t>50Hz</w:t>
      </w:r>
      <w:r>
        <w:rPr>
          <w:spacing w:val="-14"/>
        </w:rPr>
        <w:t>，振幅 </w:t>
      </w:r>
      <w:r>
        <w:rPr/>
        <w:t>1mm</w:t>
      </w:r>
      <w:r>
        <w:rPr>
          <w:spacing w:val="-22"/>
        </w:rPr>
        <w:t> 下振动 </w:t>
      </w:r>
      <w:r>
        <w:rPr/>
        <w:t>6</w:t>
      </w:r>
      <w:r>
        <w:rPr>
          <w:spacing w:val="7"/>
        </w:rPr>
        <w:t> </w:t>
      </w:r>
      <w:r>
        <w:rPr/>
        <w:t>h</w:t>
      </w:r>
      <w:r>
        <w:rPr>
          <w:spacing w:val="-8"/>
        </w:rPr>
        <w:t>，判断试验结果是否符合 </w:t>
      </w:r>
      <w:r>
        <w:rPr/>
        <w:t>5.7.32c）</w:t>
      </w:r>
      <w:r>
        <w:rPr>
          <w:spacing w:val="-3"/>
        </w:rPr>
        <w:t>的规定。</w:t>
      </w:r>
      <w:r>
        <w:rPr>
          <w:b/>
        </w:rPr>
        <w:t>6.7.33</w:t>
      </w:r>
      <w:r>
        <w:rPr>
          <w:b/>
          <w:spacing w:val="17"/>
        </w:rPr>
        <w:t> </w:t>
      </w:r>
      <w:r>
        <w:rPr>
          <w:spacing w:val="-3"/>
        </w:rPr>
        <w:t>目测检查消防车后部的随车探照灯旋转情况，用角度仪测量探照灯相对地平线的</w:t>
      </w:r>
    </w:p>
    <w:p>
      <w:pPr>
        <w:pStyle w:val="BodyText"/>
        <w:spacing w:line="446" w:lineRule="auto"/>
        <w:ind w:left="418" w:right="1608"/>
        <w:jc w:val="both"/>
      </w:pPr>
      <w:r>
        <w:rPr>
          <w:spacing w:val="-6"/>
        </w:rPr>
        <w:t>俯仰角，测量探照灯 </w:t>
      </w:r>
      <w:r>
        <w:rPr/>
        <w:t>30m</w:t>
      </w:r>
      <w:r>
        <w:rPr>
          <w:spacing w:val="-7"/>
        </w:rPr>
        <w:t> 处照度值并与底盘前照灯照度进行比较。测量点为探照灯在地面投影</w:t>
      </w:r>
      <w:r>
        <w:rPr>
          <w:spacing w:val="-9"/>
        </w:rPr>
        <w:t>中心沿照射方向 </w:t>
      </w:r>
      <w:r>
        <w:rPr/>
        <w:t>30m</w:t>
      </w:r>
      <w:r>
        <w:rPr>
          <w:spacing w:val="-7"/>
        </w:rPr>
        <w:t> 处，测量时照度计光传感器放置在地面，受光面向上。判断试验结果是否</w:t>
      </w:r>
      <w:r>
        <w:rPr>
          <w:spacing w:val="-23"/>
        </w:rPr>
        <w:t>符合 </w:t>
      </w:r>
      <w:r>
        <w:rPr/>
        <w:t>5.7.33</w:t>
      </w:r>
      <w:r>
        <w:rPr>
          <w:spacing w:val="-13"/>
        </w:rPr>
        <w:t> 的规定。</w:t>
      </w:r>
      <w:r>
        <w:rPr/>
        <w:t> </w:t>
      </w:r>
    </w:p>
    <w:p>
      <w:pPr>
        <w:pStyle w:val="BodyText"/>
        <w:spacing w:line="446" w:lineRule="auto"/>
        <w:ind w:left="418" w:right="1498" w:firstLine="422"/>
        <w:jc w:val="both"/>
      </w:pPr>
      <w:r>
        <w:rPr>
          <w:b/>
        </w:rPr>
        <w:t>6.7.34 </w:t>
      </w:r>
      <w:r>
        <w:rPr/>
        <w:t>目测检查消防车泵房内照明灯的安装位置、照明范围和保护情况，判断试验结果是否符合 5.7.34 的规定。 </w:t>
      </w:r>
    </w:p>
    <w:p>
      <w:pPr>
        <w:spacing w:after="0" w:line="446" w:lineRule="auto"/>
        <w:jc w:val="both"/>
        <w:sectPr>
          <w:pgSz w:w="11910" w:h="16850"/>
          <w:pgMar w:header="0" w:footer="1239" w:top="1220" w:bottom="1420" w:left="1260" w:right="0"/>
        </w:sectPr>
      </w:pPr>
    </w:p>
    <w:p>
      <w:pPr>
        <w:pStyle w:val="ListParagraph"/>
        <w:numPr>
          <w:ilvl w:val="1"/>
          <w:numId w:val="169"/>
        </w:numPr>
        <w:tabs>
          <w:tab w:pos="1159" w:val="left" w:leader="none"/>
        </w:tabs>
        <w:spacing w:line="240" w:lineRule="auto" w:before="47" w:after="0"/>
        <w:ind w:left="1158" w:right="0" w:hanging="319"/>
        <w:jc w:val="left"/>
        <w:rPr>
          <w:sz w:val="21"/>
        </w:rPr>
      </w:pPr>
      <w:r>
        <w:rPr>
          <w:spacing w:val="-3"/>
          <w:sz w:val="21"/>
        </w:rPr>
        <w:t>使用市电的装置和系统试验</w:t>
      </w:r>
      <w:r>
        <w:rPr>
          <w:sz w:val="21"/>
        </w:rPr>
        <w:t> </w:t>
      </w:r>
    </w:p>
    <w:p>
      <w:pPr>
        <w:pStyle w:val="BodyText"/>
        <w:rPr>
          <w:sz w:val="18"/>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5"/>
          <w:sz w:val="21"/>
        </w:rPr>
        <w:t>目测检查使用市电的装置的放置位置，判断试验结果是否符合 </w:t>
      </w:r>
      <w:r>
        <w:rPr>
          <w:sz w:val="21"/>
        </w:rPr>
        <w:t>5.8.1</w:t>
      </w:r>
      <w:r>
        <w:rPr>
          <w:spacing w:val="-13"/>
          <w:sz w:val="21"/>
        </w:rPr>
        <w:t> 的规定。</w:t>
      </w:r>
      <w:r>
        <w:rPr>
          <w:sz w:val="21"/>
        </w:rPr>
        <w:t> </w:t>
      </w:r>
    </w:p>
    <w:p>
      <w:pPr>
        <w:pStyle w:val="BodyText"/>
        <w:rPr>
          <w:sz w:val="18"/>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5"/>
          <w:sz w:val="21"/>
        </w:rPr>
        <w:t>测量人力移动的用电装置的输出电压， 判断试验结果是否符合 </w:t>
      </w:r>
      <w:r>
        <w:rPr>
          <w:sz w:val="21"/>
        </w:rPr>
        <w:t>5.8.2</w:t>
      </w:r>
      <w:r>
        <w:rPr>
          <w:spacing w:val="-13"/>
          <w:sz w:val="21"/>
        </w:rPr>
        <w:t> 的规定。</w:t>
      </w:r>
      <w:r>
        <w:rPr>
          <w:sz w:val="21"/>
        </w:rPr>
        <w:t> </w:t>
      </w:r>
    </w:p>
    <w:p>
      <w:pPr>
        <w:pStyle w:val="BodyText"/>
        <w:spacing w:before="1"/>
        <w:rPr>
          <w:sz w:val="18"/>
        </w:rPr>
      </w:pPr>
    </w:p>
    <w:p>
      <w:pPr>
        <w:pStyle w:val="ListParagraph"/>
        <w:numPr>
          <w:ilvl w:val="2"/>
          <w:numId w:val="169"/>
        </w:numPr>
        <w:tabs>
          <w:tab w:pos="1370" w:val="left" w:leader="none"/>
        </w:tabs>
        <w:spacing w:line="446" w:lineRule="auto" w:before="1" w:after="0"/>
        <w:ind w:left="418" w:right="1815" w:firstLine="422"/>
        <w:jc w:val="left"/>
        <w:rPr>
          <w:sz w:val="21"/>
        </w:rPr>
      </w:pPr>
      <w:r>
        <w:rPr>
          <w:spacing w:val="-10"/>
          <w:sz w:val="21"/>
        </w:rPr>
        <w:t>检查电压超过 </w:t>
      </w:r>
      <w:r>
        <w:rPr>
          <w:sz w:val="21"/>
        </w:rPr>
        <w:t>250</w:t>
      </w:r>
      <w:r>
        <w:rPr>
          <w:spacing w:val="6"/>
          <w:sz w:val="21"/>
        </w:rPr>
        <w:t> </w:t>
      </w:r>
      <w:r>
        <w:rPr>
          <w:sz w:val="21"/>
        </w:rPr>
        <w:t>V</w:t>
      </w:r>
      <w:r>
        <w:rPr>
          <w:spacing w:val="-10"/>
          <w:sz w:val="21"/>
        </w:rPr>
        <w:t> 的用电装置的固定情况，判断试验结果是否符合 </w:t>
      </w:r>
      <w:r>
        <w:rPr>
          <w:sz w:val="21"/>
        </w:rPr>
        <w:t>5.8.3</w:t>
      </w:r>
      <w:r>
        <w:rPr>
          <w:spacing w:val="-17"/>
          <w:sz w:val="21"/>
        </w:rPr>
        <w:t> 的规</w:t>
      </w:r>
      <w:r>
        <w:rPr>
          <w:spacing w:val="-10"/>
          <w:sz w:val="21"/>
        </w:rPr>
        <w:t>定。</w:t>
      </w:r>
      <w:r>
        <w:rPr>
          <w:sz w:val="21"/>
        </w:rPr>
        <w:t> </w:t>
      </w:r>
    </w:p>
    <w:p>
      <w:pPr>
        <w:pStyle w:val="ListParagraph"/>
        <w:numPr>
          <w:ilvl w:val="2"/>
          <w:numId w:val="169"/>
        </w:numPr>
        <w:tabs>
          <w:tab w:pos="1370" w:val="left" w:leader="none"/>
        </w:tabs>
        <w:spacing w:line="267" w:lineRule="exact" w:before="0" w:after="0"/>
        <w:ind w:left="1369" w:right="0" w:hanging="530"/>
        <w:jc w:val="left"/>
        <w:rPr>
          <w:sz w:val="21"/>
        </w:rPr>
      </w:pPr>
      <w:r>
        <w:rPr>
          <w:spacing w:val="-5"/>
          <w:sz w:val="21"/>
        </w:rPr>
        <w:t>用电装置为交流电时，测量其频率，判断试验结果是否符合 </w:t>
      </w:r>
      <w:r>
        <w:rPr>
          <w:sz w:val="21"/>
        </w:rPr>
        <w:t>5.8.4</w:t>
      </w:r>
      <w:r>
        <w:rPr>
          <w:spacing w:val="-12"/>
          <w:sz w:val="21"/>
        </w:rPr>
        <w:t> 的规定。 </w:t>
      </w:r>
    </w:p>
    <w:p>
      <w:pPr>
        <w:pStyle w:val="BodyText"/>
        <w:spacing w:before="1"/>
        <w:rPr>
          <w:sz w:val="18"/>
        </w:rPr>
      </w:pPr>
    </w:p>
    <w:p>
      <w:pPr>
        <w:pStyle w:val="ListParagraph"/>
        <w:numPr>
          <w:ilvl w:val="2"/>
          <w:numId w:val="169"/>
        </w:numPr>
        <w:tabs>
          <w:tab w:pos="1370" w:val="left" w:leader="none"/>
        </w:tabs>
        <w:spacing w:line="446" w:lineRule="auto" w:before="1" w:after="0"/>
        <w:ind w:left="418" w:right="1606" w:firstLine="422"/>
        <w:jc w:val="left"/>
        <w:rPr>
          <w:sz w:val="21"/>
        </w:rPr>
      </w:pPr>
      <w:r>
        <w:rPr>
          <w:spacing w:val="-5"/>
          <w:sz w:val="21"/>
        </w:rPr>
        <w:t>检查安装在消防车外部的市电电源插口的型号，判断试验结果是否符合 </w:t>
      </w:r>
      <w:r>
        <w:rPr>
          <w:sz w:val="21"/>
        </w:rPr>
        <w:t>5.8.5</w:t>
      </w:r>
      <w:r>
        <w:rPr>
          <w:spacing w:val="-17"/>
          <w:sz w:val="21"/>
        </w:rPr>
        <w:t> 的规</w:t>
      </w:r>
      <w:r>
        <w:rPr>
          <w:spacing w:val="-2"/>
          <w:sz w:val="21"/>
        </w:rPr>
        <w:t>定。</w:t>
      </w:r>
      <w:r>
        <w:rPr>
          <w:sz w:val="21"/>
        </w:rPr>
        <w:t> </w:t>
      </w:r>
    </w:p>
    <w:p>
      <w:pPr>
        <w:pStyle w:val="ListParagraph"/>
        <w:numPr>
          <w:ilvl w:val="2"/>
          <w:numId w:val="169"/>
        </w:numPr>
        <w:tabs>
          <w:tab w:pos="1370" w:val="left" w:leader="none"/>
        </w:tabs>
        <w:spacing w:line="446" w:lineRule="auto" w:before="0" w:after="0"/>
        <w:ind w:left="418" w:right="1604" w:firstLine="422"/>
        <w:jc w:val="left"/>
        <w:rPr>
          <w:sz w:val="21"/>
        </w:rPr>
      </w:pPr>
      <w:r>
        <w:rPr>
          <w:spacing w:val="-3"/>
          <w:sz w:val="21"/>
        </w:rPr>
        <w:t>目测检查使用市电的装置和系统的电器型号，检查是否安装漏电保护装置，判断试</w:t>
      </w:r>
      <w:r>
        <w:rPr>
          <w:spacing w:val="-10"/>
          <w:sz w:val="21"/>
        </w:rPr>
        <w:t>验结果是否符合 </w:t>
      </w:r>
      <w:r>
        <w:rPr>
          <w:sz w:val="21"/>
        </w:rPr>
        <w:t>5.8.6</w:t>
      </w:r>
      <w:r>
        <w:rPr>
          <w:spacing w:val="-12"/>
          <w:sz w:val="21"/>
        </w:rPr>
        <w:t> 的规定。 </w:t>
      </w:r>
    </w:p>
    <w:p>
      <w:pPr>
        <w:pStyle w:val="ListParagraph"/>
        <w:numPr>
          <w:ilvl w:val="2"/>
          <w:numId w:val="169"/>
        </w:numPr>
        <w:tabs>
          <w:tab w:pos="1370" w:val="left" w:leader="none"/>
        </w:tabs>
        <w:spacing w:line="446" w:lineRule="auto" w:before="0" w:after="0"/>
        <w:ind w:left="418" w:right="1604" w:firstLine="422"/>
        <w:jc w:val="left"/>
        <w:rPr>
          <w:sz w:val="21"/>
        </w:rPr>
      </w:pPr>
      <w:r>
        <w:rPr>
          <w:spacing w:val="-3"/>
          <w:sz w:val="21"/>
        </w:rPr>
        <w:t>目测检查安装在消防车上的使用市电的用电装置和系统的接地情况，判断试验结果</w:t>
      </w:r>
      <w:r>
        <w:rPr>
          <w:spacing w:val="-13"/>
          <w:sz w:val="21"/>
        </w:rPr>
        <w:t>是否符合 </w:t>
      </w:r>
      <w:r>
        <w:rPr>
          <w:sz w:val="21"/>
        </w:rPr>
        <w:t>5.8.7</w:t>
      </w:r>
      <w:r>
        <w:rPr>
          <w:spacing w:val="-12"/>
          <w:sz w:val="21"/>
        </w:rPr>
        <w:t> 的规定。 </w:t>
      </w:r>
    </w:p>
    <w:p>
      <w:pPr>
        <w:pStyle w:val="ListParagraph"/>
        <w:numPr>
          <w:ilvl w:val="2"/>
          <w:numId w:val="169"/>
        </w:numPr>
        <w:tabs>
          <w:tab w:pos="1370" w:val="left" w:leader="none"/>
        </w:tabs>
        <w:spacing w:line="240" w:lineRule="auto" w:before="0" w:after="0"/>
        <w:ind w:left="1369" w:right="0" w:hanging="530"/>
        <w:jc w:val="left"/>
        <w:rPr>
          <w:sz w:val="21"/>
        </w:rPr>
      </w:pPr>
      <w:r>
        <w:rPr>
          <w:spacing w:val="-3"/>
          <w:sz w:val="21"/>
        </w:rPr>
        <w:t>检查接地线材料的选用，采用通用量具测量接地线线径，判断试验结果是否符合</w:t>
      </w:r>
    </w:p>
    <w:p>
      <w:pPr>
        <w:pStyle w:val="BodyText"/>
        <w:spacing w:before="10"/>
        <w:rPr>
          <w:sz w:val="17"/>
        </w:rPr>
      </w:pPr>
    </w:p>
    <w:p>
      <w:pPr>
        <w:pStyle w:val="ListParagraph"/>
        <w:numPr>
          <w:ilvl w:val="2"/>
          <w:numId w:val="177"/>
        </w:numPr>
        <w:tabs>
          <w:tab w:pos="997" w:val="left" w:leader="none"/>
        </w:tabs>
        <w:spacing w:line="240" w:lineRule="auto" w:before="0" w:after="0"/>
        <w:ind w:left="996" w:right="0" w:hanging="579"/>
        <w:jc w:val="left"/>
        <w:rPr>
          <w:sz w:val="21"/>
        </w:rPr>
      </w:pPr>
      <w:r>
        <w:rPr>
          <w:spacing w:val="-3"/>
          <w:sz w:val="21"/>
        </w:rPr>
        <w:t>的规定。</w:t>
      </w:r>
      <w:r>
        <w:rPr>
          <w:sz w:val="21"/>
        </w:rPr>
        <w:t> </w:t>
      </w:r>
    </w:p>
    <w:p>
      <w:pPr>
        <w:pStyle w:val="BodyText"/>
        <w:spacing w:before="12"/>
        <w:rPr>
          <w:sz w:val="17"/>
        </w:rPr>
      </w:pPr>
    </w:p>
    <w:p>
      <w:pPr>
        <w:pStyle w:val="BodyText"/>
        <w:ind w:left="840"/>
      </w:pPr>
      <w:r>
        <w:rPr>
          <w:b/>
        </w:rPr>
        <w:t>6.8.9 </w:t>
      </w:r>
      <w:r>
        <w:rPr/>
        <w:t>目测检查使用市电的装置或系统的操作标示、注意事项等，判断试验结果是否符合</w:t>
      </w:r>
    </w:p>
    <w:p>
      <w:pPr>
        <w:pStyle w:val="BodyText"/>
        <w:spacing w:before="2"/>
        <w:rPr>
          <w:sz w:val="18"/>
        </w:rPr>
      </w:pPr>
    </w:p>
    <w:p>
      <w:pPr>
        <w:pStyle w:val="ListParagraph"/>
        <w:numPr>
          <w:ilvl w:val="2"/>
          <w:numId w:val="177"/>
        </w:numPr>
        <w:tabs>
          <w:tab w:pos="997" w:val="left" w:leader="none"/>
        </w:tabs>
        <w:spacing w:line="240" w:lineRule="auto" w:before="0" w:after="0"/>
        <w:ind w:left="996" w:right="0" w:hanging="579"/>
        <w:jc w:val="left"/>
        <w:rPr>
          <w:sz w:val="21"/>
        </w:rPr>
      </w:pPr>
      <w:r>
        <w:rPr>
          <w:spacing w:val="-3"/>
          <w:sz w:val="21"/>
        </w:rPr>
        <w:t>的规定。</w:t>
      </w:r>
      <w:r>
        <w:rPr>
          <w:sz w:val="21"/>
        </w:rPr>
        <w:t> </w:t>
      </w:r>
    </w:p>
    <w:p>
      <w:pPr>
        <w:pStyle w:val="BodyText"/>
        <w:rPr>
          <w:sz w:val="18"/>
        </w:rPr>
      </w:pPr>
    </w:p>
    <w:p>
      <w:pPr>
        <w:pStyle w:val="ListParagraph"/>
        <w:numPr>
          <w:ilvl w:val="2"/>
          <w:numId w:val="178"/>
        </w:numPr>
        <w:tabs>
          <w:tab w:pos="1478" w:val="left" w:leader="none"/>
        </w:tabs>
        <w:spacing w:line="446" w:lineRule="auto" w:before="0" w:after="0"/>
        <w:ind w:left="418" w:right="1496" w:firstLine="422"/>
        <w:jc w:val="left"/>
        <w:rPr>
          <w:sz w:val="21"/>
        </w:rPr>
      </w:pPr>
      <w:r>
        <w:rPr>
          <w:spacing w:val="-3"/>
          <w:sz w:val="21"/>
        </w:rPr>
        <w:t>目测检查使用市电的装置或系统的开关、按钮、手柄等是否标出了用途，判断试验</w:t>
      </w:r>
      <w:r>
        <w:rPr>
          <w:spacing w:val="-11"/>
          <w:sz w:val="21"/>
        </w:rPr>
        <w:t>结果是否符合 </w:t>
      </w:r>
      <w:r>
        <w:rPr>
          <w:sz w:val="21"/>
        </w:rPr>
        <w:t>5.8.10</w:t>
      </w:r>
      <w:r>
        <w:rPr>
          <w:spacing w:val="-2"/>
          <w:sz w:val="21"/>
        </w:rPr>
        <w:t> 的规定。 </w:t>
      </w:r>
    </w:p>
    <w:p>
      <w:pPr>
        <w:pStyle w:val="ListParagraph"/>
        <w:numPr>
          <w:ilvl w:val="2"/>
          <w:numId w:val="178"/>
        </w:numPr>
        <w:tabs>
          <w:tab w:pos="1478" w:val="left" w:leader="none"/>
        </w:tabs>
        <w:spacing w:line="446" w:lineRule="auto" w:before="0" w:after="0"/>
        <w:ind w:left="418" w:right="1498" w:firstLine="422"/>
        <w:jc w:val="left"/>
        <w:rPr>
          <w:sz w:val="21"/>
        </w:rPr>
      </w:pPr>
      <w:r>
        <w:rPr>
          <w:spacing w:val="-3"/>
          <w:sz w:val="21"/>
        </w:rPr>
        <w:t>目测检查使用市电的装置或系统的电源开关是否标出开和关的位置，判断试验结果</w:t>
      </w:r>
      <w:r>
        <w:rPr>
          <w:spacing w:val="-13"/>
          <w:sz w:val="21"/>
        </w:rPr>
        <w:t>是否符合 </w:t>
      </w:r>
      <w:r>
        <w:rPr>
          <w:sz w:val="21"/>
        </w:rPr>
        <w:t>5.8.11</w:t>
      </w:r>
      <w:r>
        <w:rPr>
          <w:spacing w:val="-12"/>
          <w:sz w:val="21"/>
        </w:rPr>
        <w:t> 的规定。 </w:t>
      </w:r>
    </w:p>
    <w:p>
      <w:pPr>
        <w:pStyle w:val="ListParagraph"/>
        <w:numPr>
          <w:ilvl w:val="2"/>
          <w:numId w:val="178"/>
        </w:numPr>
        <w:tabs>
          <w:tab w:pos="1478" w:val="left" w:leader="none"/>
        </w:tabs>
        <w:spacing w:line="446" w:lineRule="auto" w:before="0" w:after="0"/>
        <w:ind w:left="418" w:right="1496" w:firstLine="422"/>
        <w:jc w:val="left"/>
        <w:rPr>
          <w:sz w:val="21"/>
        </w:rPr>
      </w:pPr>
      <w:r>
        <w:rPr>
          <w:spacing w:val="-3"/>
          <w:sz w:val="21"/>
        </w:rPr>
        <w:t>检查使用市电的装置或系统在消防车上固定情况，可移动装置取用是否方便，判断</w:t>
      </w:r>
      <w:r>
        <w:rPr>
          <w:spacing w:val="-9"/>
          <w:sz w:val="21"/>
        </w:rPr>
        <w:t>试验结果是否符合 </w:t>
      </w:r>
      <w:r>
        <w:rPr>
          <w:sz w:val="21"/>
        </w:rPr>
        <w:t>5.8.12</w:t>
      </w:r>
      <w:r>
        <w:rPr>
          <w:spacing w:val="-13"/>
          <w:sz w:val="21"/>
        </w:rPr>
        <w:t> 的规定。</w:t>
      </w:r>
      <w:r>
        <w:rPr>
          <w:sz w:val="21"/>
        </w:rPr>
        <w:t> </w:t>
      </w:r>
    </w:p>
    <w:p>
      <w:pPr>
        <w:pStyle w:val="ListParagraph"/>
        <w:numPr>
          <w:ilvl w:val="2"/>
          <w:numId w:val="178"/>
        </w:numPr>
        <w:tabs>
          <w:tab w:pos="1478" w:val="left" w:leader="none"/>
        </w:tabs>
        <w:spacing w:line="240" w:lineRule="auto" w:before="0" w:after="0"/>
        <w:ind w:left="1477" w:right="0" w:hanging="638"/>
        <w:jc w:val="left"/>
        <w:rPr>
          <w:sz w:val="21"/>
        </w:rPr>
      </w:pPr>
      <w:r>
        <w:rPr>
          <w:spacing w:val="-5"/>
          <w:sz w:val="21"/>
        </w:rPr>
        <w:t>目测检查使用市电的装置或系统接线桩的遮蔽措施，判断试验结果是否符合 </w:t>
      </w:r>
      <w:r>
        <w:rPr>
          <w:sz w:val="21"/>
        </w:rPr>
        <w:t>5.8.13</w:t>
      </w:r>
    </w:p>
    <w:p>
      <w:pPr>
        <w:pStyle w:val="BodyText"/>
        <w:spacing w:before="10"/>
        <w:rPr>
          <w:sz w:val="17"/>
        </w:rPr>
      </w:pPr>
    </w:p>
    <w:p>
      <w:pPr>
        <w:pStyle w:val="BodyText"/>
        <w:ind w:left="418"/>
      </w:pPr>
      <w:r>
        <w:rPr/>
        <w:t>的规定。 </w:t>
      </w:r>
    </w:p>
    <w:p>
      <w:pPr>
        <w:pStyle w:val="BodyText"/>
        <w:spacing w:before="2"/>
        <w:rPr>
          <w:sz w:val="18"/>
        </w:rPr>
      </w:pPr>
    </w:p>
    <w:p>
      <w:pPr>
        <w:pStyle w:val="ListParagraph"/>
        <w:numPr>
          <w:ilvl w:val="2"/>
          <w:numId w:val="178"/>
        </w:numPr>
        <w:tabs>
          <w:tab w:pos="1478" w:val="left" w:leader="none"/>
        </w:tabs>
        <w:spacing w:line="446" w:lineRule="auto" w:before="0" w:after="0"/>
        <w:ind w:left="418" w:right="1601" w:firstLine="422"/>
        <w:jc w:val="left"/>
        <w:rPr>
          <w:sz w:val="21"/>
        </w:rPr>
      </w:pPr>
      <w:r>
        <w:rPr>
          <w:spacing w:val="-6"/>
          <w:sz w:val="21"/>
        </w:rPr>
        <w:t>在室内中使用消防车器材箱内市电装置或系统 </w:t>
      </w:r>
      <w:r>
        <w:rPr>
          <w:sz w:val="21"/>
        </w:rPr>
        <w:t>12</w:t>
      </w:r>
      <w:r>
        <w:rPr>
          <w:spacing w:val="11"/>
          <w:sz w:val="21"/>
        </w:rPr>
        <w:t> </w:t>
      </w:r>
      <w:r>
        <w:rPr>
          <w:sz w:val="21"/>
        </w:rPr>
        <w:t>h</w:t>
      </w:r>
      <w:r>
        <w:rPr>
          <w:spacing w:val="-9"/>
          <w:sz w:val="21"/>
        </w:rPr>
        <w:t> 后，用温度计测量其储存处温度，判断试验结果是否符合 </w:t>
      </w:r>
      <w:r>
        <w:rPr>
          <w:sz w:val="21"/>
        </w:rPr>
        <w:t>5.8.14</w:t>
      </w:r>
      <w:r>
        <w:rPr>
          <w:spacing w:val="-13"/>
          <w:sz w:val="21"/>
        </w:rPr>
        <w:t> 的规定。</w:t>
      </w:r>
      <w:r>
        <w:rPr>
          <w:sz w:val="21"/>
        </w:rPr>
        <w:t> </w:t>
      </w:r>
    </w:p>
    <w:p>
      <w:pPr>
        <w:pStyle w:val="ListParagraph"/>
        <w:numPr>
          <w:ilvl w:val="1"/>
          <w:numId w:val="169"/>
        </w:numPr>
        <w:tabs>
          <w:tab w:pos="1159" w:val="left" w:leader="none"/>
        </w:tabs>
        <w:spacing w:line="267" w:lineRule="exact" w:before="0" w:after="0"/>
        <w:ind w:left="1158" w:right="0" w:hanging="319"/>
        <w:jc w:val="left"/>
        <w:rPr>
          <w:b/>
          <w:sz w:val="21"/>
        </w:rPr>
      </w:pPr>
      <w:r>
        <w:rPr>
          <w:spacing w:val="-3"/>
          <w:sz w:val="21"/>
        </w:rPr>
        <w:t>非通信指挥消防车的通信区域及设施要求试验</w:t>
      </w:r>
      <w:r>
        <w:rPr>
          <w:b/>
          <w:w w:val="99"/>
          <w:sz w:val="21"/>
        </w:rPr>
        <w:t> </w:t>
      </w:r>
    </w:p>
    <w:p>
      <w:pPr>
        <w:pStyle w:val="BodyText"/>
        <w:spacing w:before="2"/>
        <w:rPr>
          <w:b/>
          <w:sz w:val="18"/>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3"/>
          <w:sz w:val="21"/>
        </w:rPr>
        <w:t>位置</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3"/>
          <w:numId w:val="169"/>
        </w:numPr>
        <w:tabs>
          <w:tab w:pos="1576" w:val="left" w:leader="none"/>
        </w:tabs>
        <w:spacing w:line="240" w:lineRule="auto" w:before="47" w:after="0"/>
        <w:ind w:left="1575" w:right="0" w:hanging="738"/>
        <w:jc w:val="left"/>
        <w:rPr>
          <w:sz w:val="21"/>
        </w:rPr>
      </w:pPr>
      <w:r>
        <w:rPr>
          <w:spacing w:val="-6"/>
          <w:sz w:val="21"/>
        </w:rPr>
        <w:t>目测检查通信区域的位置，判断试验结果是否符合 </w:t>
      </w:r>
      <w:r>
        <w:rPr>
          <w:sz w:val="21"/>
        </w:rPr>
        <w:t>5.9.1.1</w:t>
      </w:r>
      <w:r>
        <w:rPr>
          <w:spacing w:val="-12"/>
          <w:sz w:val="21"/>
        </w:rPr>
        <w:t> 的规定。 </w:t>
      </w:r>
    </w:p>
    <w:p>
      <w:pPr>
        <w:pStyle w:val="BodyText"/>
        <w:rPr>
          <w:sz w:val="18"/>
        </w:rPr>
      </w:pPr>
    </w:p>
    <w:p>
      <w:pPr>
        <w:pStyle w:val="ListParagraph"/>
        <w:numPr>
          <w:ilvl w:val="3"/>
          <w:numId w:val="169"/>
        </w:numPr>
        <w:tabs>
          <w:tab w:pos="1576" w:val="left" w:leader="none"/>
        </w:tabs>
        <w:spacing w:line="240" w:lineRule="auto" w:before="0" w:after="0"/>
        <w:ind w:left="1575" w:right="0" w:hanging="738"/>
        <w:jc w:val="left"/>
        <w:rPr>
          <w:sz w:val="21"/>
        </w:rPr>
      </w:pPr>
      <w:r>
        <w:rPr>
          <w:spacing w:val="-5"/>
          <w:sz w:val="21"/>
        </w:rPr>
        <w:t>目测检查通信区域的专用空间，判断试验结果是否符合 </w:t>
      </w:r>
      <w:r>
        <w:rPr>
          <w:sz w:val="21"/>
        </w:rPr>
        <w:t>5.9.1.2</w:t>
      </w:r>
      <w:r>
        <w:rPr>
          <w:spacing w:val="-12"/>
          <w:sz w:val="21"/>
        </w:rPr>
        <w:t> 的规定。 </w:t>
      </w:r>
    </w:p>
    <w:p>
      <w:pPr>
        <w:pStyle w:val="BodyText"/>
        <w:rPr>
          <w:sz w:val="18"/>
        </w:rPr>
      </w:pPr>
    </w:p>
    <w:p>
      <w:pPr>
        <w:pStyle w:val="ListParagraph"/>
        <w:numPr>
          <w:ilvl w:val="2"/>
          <w:numId w:val="169"/>
        </w:numPr>
        <w:tabs>
          <w:tab w:pos="1370" w:val="left" w:leader="none"/>
        </w:tabs>
        <w:spacing w:line="240" w:lineRule="auto" w:before="0" w:after="0"/>
        <w:ind w:left="1369" w:right="0" w:hanging="530"/>
        <w:jc w:val="left"/>
        <w:rPr>
          <w:sz w:val="21"/>
        </w:rPr>
      </w:pPr>
      <w:r>
        <w:rPr>
          <w:spacing w:val="-3"/>
          <w:sz w:val="21"/>
        </w:rPr>
        <w:t>通信区域噪声</w:t>
      </w:r>
      <w:r>
        <w:rPr>
          <w:sz w:val="21"/>
        </w:rPr>
        <w:t> </w:t>
      </w:r>
    </w:p>
    <w:p>
      <w:pPr>
        <w:pStyle w:val="BodyText"/>
        <w:spacing w:before="1"/>
        <w:rPr>
          <w:sz w:val="18"/>
        </w:rPr>
      </w:pPr>
    </w:p>
    <w:p>
      <w:pPr>
        <w:pStyle w:val="BodyText"/>
        <w:spacing w:line="446" w:lineRule="auto" w:before="1"/>
        <w:ind w:left="418" w:right="1505" w:firstLine="419"/>
      </w:pPr>
      <w:r>
        <w:rPr>
          <w:spacing w:val="-5"/>
        </w:rPr>
        <w:t>消防车满载，试验道路为铺装路面，道路的坡度不大于 </w:t>
      </w:r>
      <w:r>
        <w:rPr/>
        <w:t>1</w:t>
      </w:r>
      <w:r>
        <w:rPr>
          <w:spacing w:val="-3"/>
        </w:rPr>
        <w:t>%，试验时关闭警报器，消防车从30 </w:t>
      </w:r>
      <w:r>
        <w:rPr/>
        <w:t>km/h</w:t>
      </w:r>
      <w:r>
        <w:rPr>
          <w:spacing w:val="-19"/>
        </w:rPr>
        <w:t> 开始，以 </w:t>
      </w:r>
      <w:r>
        <w:rPr/>
        <w:t>10 km/h</w:t>
      </w:r>
      <w:r>
        <w:rPr>
          <w:spacing w:val="-13"/>
        </w:rPr>
        <w:t> 为增速步长直至 </w:t>
      </w:r>
      <w:r>
        <w:rPr/>
        <w:t>80 km/h</w:t>
      </w:r>
      <w:r>
        <w:rPr>
          <w:spacing w:val="-8"/>
        </w:rPr>
        <w:t>，将精密噪声仪置于 </w:t>
      </w:r>
      <w:r>
        <w:rPr/>
        <w:t>A</w:t>
      </w:r>
      <w:r>
        <w:rPr>
          <w:spacing w:val="-8"/>
        </w:rPr>
        <w:t> 计权慢挡，噪声仪传</w:t>
      </w:r>
      <w:r>
        <w:rPr>
          <w:spacing w:val="-5"/>
        </w:rPr>
        <w:t>感器放置在坐姿的通信员耳旁测量各车速下噪声值，每个车速往返各测量一次，判断试验结果</w:t>
      </w:r>
      <w:r>
        <w:rPr>
          <w:spacing w:val="-14"/>
        </w:rPr>
        <w:t>是否符合 </w:t>
      </w:r>
      <w:r>
        <w:rPr/>
        <w:t>5.9.2</w:t>
      </w:r>
      <w:r>
        <w:rPr>
          <w:spacing w:val="-12"/>
        </w:rPr>
        <w:t> 的规定。 </w:t>
      </w:r>
    </w:p>
    <w:p>
      <w:pPr>
        <w:pStyle w:val="ListParagraph"/>
        <w:numPr>
          <w:ilvl w:val="2"/>
          <w:numId w:val="169"/>
        </w:numPr>
        <w:tabs>
          <w:tab w:pos="1370" w:val="left" w:leader="none"/>
        </w:tabs>
        <w:spacing w:line="267" w:lineRule="exact" w:before="0" w:after="0"/>
        <w:ind w:left="1369" w:right="0" w:hanging="530"/>
        <w:jc w:val="left"/>
        <w:rPr>
          <w:sz w:val="21"/>
        </w:rPr>
      </w:pPr>
      <w:r>
        <w:rPr>
          <w:spacing w:val="-3"/>
          <w:sz w:val="21"/>
        </w:rPr>
        <w:t>通信区域照明</w:t>
      </w:r>
      <w:r>
        <w:rPr>
          <w:sz w:val="21"/>
        </w:rPr>
        <w:t> </w:t>
      </w:r>
    </w:p>
    <w:p>
      <w:pPr>
        <w:pStyle w:val="BodyText"/>
        <w:spacing w:before="12"/>
        <w:rPr>
          <w:sz w:val="17"/>
        </w:rPr>
      </w:pPr>
    </w:p>
    <w:p>
      <w:pPr>
        <w:pStyle w:val="BodyText"/>
        <w:spacing w:line="446" w:lineRule="auto"/>
        <w:ind w:left="418" w:right="1609" w:firstLine="419"/>
      </w:pPr>
      <w:r>
        <w:rPr>
          <w:spacing w:val="-3"/>
        </w:rPr>
        <w:t>目测检查通信区域内照明开关及照明情况，副驾驶区域是否有独立照明灯的插座，判断试</w:t>
      </w:r>
      <w:r>
        <w:rPr>
          <w:spacing w:val="-10"/>
        </w:rPr>
        <w:t>验结果是否符合 </w:t>
      </w:r>
      <w:r>
        <w:rPr/>
        <w:t>5.9.3</w:t>
      </w:r>
      <w:r>
        <w:rPr>
          <w:spacing w:val="-12"/>
        </w:rPr>
        <w:t> 的规定。 </w:t>
      </w:r>
    </w:p>
    <w:p>
      <w:pPr>
        <w:pStyle w:val="ListParagraph"/>
        <w:numPr>
          <w:ilvl w:val="2"/>
          <w:numId w:val="169"/>
        </w:numPr>
        <w:tabs>
          <w:tab w:pos="1370" w:val="left" w:leader="none"/>
        </w:tabs>
        <w:spacing w:line="240" w:lineRule="auto" w:before="0" w:after="0"/>
        <w:ind w:left="1369" w:right="0" w:hanging="530"/>
        <w:jc w:val="left"/>
        <w:rPr>
          <w:sz w:val="21"/>
        </w:rPr>
      </w:pPr>
      <w:r>
        <w:rPr>
          <w:spacing w:val="-3"/>
          <w:sz w:val="21"/>
        </w:rPr>
        <w:t>工作台</w:t>
      </w:r>
      <w:r>
        <w:rPr>
          <w:sz w:val="21"/>
        </w:rPr>
        <w:t> </w:t>
      </w:r>
    </w:p>
    <w:p>
      <w:pPr>
        <w:pStyle w:val="BodyText"/>
        <w:spacing w:before="12"/>
        <w:rPr>
          <w:sz w:val="17"/>
        </w:rPr>
      </w:pPr>
    </w:p>
    <w:p>
      <w:pPr>
        <w:pStyle w:val="BodyText"/>
        <w:ind w:left="838"/>
      </w:pPr>
      <w:r>
        <w:rPr/>
        <w:t>目测检查通信区域工作台，工作台是否平坦，有无尖锐的边角，判断试验结果是否符合</w:t>
      </w:r>
    </w:p>
    <w:p>
      <w:pPr>
        <w:pStyle w:val="BodyText"/>
        <w:spacing w:before="2"/>
        <w:rPr>
          <w:sz w:val="18"/>
        </w:rPr>
      </w:pPr>
    </w:p>
    <w:p>
      <w:pPr>
        <w:pStyle w:val="BodyText"/>
        <w:ind w:left="418"/>
      </w:pPr>
      <w:r>
        <w:rPr/>
        <w:t>5.9.4 的规定。 </w:t>
      </w:r>
    </w:p>
    <w:p>
      <w:pPr>
        <w:pStyle w:val="BodyText"/>
        <w:rPr>
          <w:sz w:val="18"/>
        </w:rPr>
      </w:pPr>
    </w:p>
    <w:p>
      <w:pPr>
        <w:pStyle w:val="ListParagraph"/>
        <w:numPr>
          <w:ilvl w:val="2"/>
          <w:numId w:val="179"/>
        </w:numPr>
        <w:tabs>
          <w:tab w:pos="1370" w:val="left" w:leader="none"/>
        </w:tabs>
        <w:spacing w:line="240" w:lineRule="auto" w:before="0" w:after="0"/>
        <w:ind w:left="1369" w:right="0" w:hanging="530"/>
        <w:jc w:val="left"/>
        <w:rPr>
          <w:sz w:val="21"/>
        </w:rPr>
      </w:pPr>
      <w:r>
        <w:rPr>
          <w:spacing w:val="-3"/>
          <w:sz w:val="21"/>
        </w:rPr>
        <w:t>通信区域座椅</w:t>
      </w:r>
      <w:r>
        <w:rPr>
          <w:sz w:val="21"/>
        </w:rPr>
        <w:t> </w:t>
      </w:r>
    </w:p>
    <w:p>
      <w:pPr>
        <w:pStyle w:val="BodyText"/>
        <w:spacing w:before="12"/>
        <w:rPr>
          <w:sz w:val="17"/>
        </w:rPr>
      </w:pPr>
    </w:p>
    <w:p>
      <w:pPr>
        <w:pStyle w:val="BodyText"/>
        <w:spacing w:line="446" w:lineRule="auto"/>
        <w:ind w:left="418" w:right="1609" w:firstLine="419"/>
      </w:pPr>
      <w:r>
        <w:rPr/>
        <w:t>检查通信区域座椅的固定方式，当为非固定时，是否有座椅的储存固定空间，判断试验结果是否符合 5.9.5 的规定。 </w:t>
      </w:r>
    </w:p>
    <w:p>
      <w:pPr>
        <w:pStyle w:val="ListParagraph"/>
        <w:numPr>
          <w:ilvl w:val="2"/>
          <w:numId w:val="179"/>
        </w:numPr>
        <w:tabs>
          <w:tab w:pos="1370" w:val="left" w:leader="none"/>
        </w:tabs>
        <w:spacing w:line="240" w:lineRule="auto" w:before="0" w:after="0"/>
        <w:ind w:left="1369" w:right="0" w:hanging="530"/>
        <w:jc w:val="left"/>
        <w:rPr>
          <w:sz w:val="21"/>
        </w:rPr>
      </w:pPr>
      <w:r>
        <w:rPr>
          <w:spacing w:val="-3"/>
          <w:sz w:val="21"/>
        </w:rPr>
        <w:t>设施的储存</w:t>
      </w:r>
      <w:r>
        <w:rPr>
          <w:sz w:val="21"/>
        </w:rPr>
        <w:t> </w:t>
      </w:r>
    </w:p>
    <w:p>
      <w:pPr>
        <w:pStyle w:val="BodyText"/>
        <w:rPr>
          <w:sz w:val="18"/>
        </w:rPr>
      </w:pPr>
    </w:p>
    <w:p>
      <w:pPr>
        <w:pStyle w:val="ListParagraph"/>
        <w:numPr>
          <w:ilvl w:val="3"/>
          <w:numId w:val="179"/>
        </w:numPr>
        <w:tabs>
          <w:tab w:pos="1576" w:val="left" w:leader="none"/>
        </w:tabs>
        <w:spacing w:line="446" w:lineRule="auto" w:before="0" w:after="0"/>
        <w:ind w:left="418" w:right="1609" w:firstLine="419"/>
        <w:jc w:val="left"/>
        <w:rPr>
          <w:sz w:val="21"/>
        </w:rPr>
      </w:pPr>
      <w:r>
        <w:rPr>
          <w:spacing w:val="-3"/>
          <w:sz w:val="21"/>
        </w:rPr>
        <w:t>检查为通信设施设置的箱柜是否能合理的容纳设备，并能为设备提供保护，判断</w:t>
      </w:r>
      <w:r>
        <w:rPr>
          <w:spacing w:val="-9"/>
          <w:sz w:val="21"/>
        </w:rPr>
        <w:t>试验结果是否符合 </w:t>
      </w:r>
      <w:r>
        <w:rPr>
          <w:sz w:val="21"/>
        </w:rPr>
        <w:t>5.9.6.1</w:t>
      </w:r>
      <w:r>
        <w:rPr>
          <w:spacing w:val="-13"/>
          <w:sz w:val="21"/>
        </w:rPr>
        <w:t> 的规定。</w:t>
      </w:r>
      <w:r>
        <w:rPr>
          <w:sz w:val="21"/>
        </w:rPr>
        <w:t> </w:t>
      </w:r>
    </w:p>
    <w:p>
      <w:pPr>
        <w:pStyle w:val="ListParagraph"/>
        <w:numPr>
          <w:ilvl w:val="3"/>
          <w:numId w:val="179"/>
        </w:numPr>
        <w:tabs>
          <w:tab w:pos="1576" w:val="left" w:leader="none"/>
        </w:tabs>
        <w:spacing w:line="446" w:lineRule="auto" w:before="0" w:after="0"/>
        <w:ind w:left="418" w:right="1609" w:firstLine="419"/>
        <w:jc w:val="left"/>
        <w:rPr>
          <w:sz w:val="21"/>
        </w:rPr>
      </w:pPr>
      <w:r>
        <w:rPr>
          <w:spacing w:val="-3"/>
          <w:sz w:val="21"/>
        </w:rPr>
        <w:t>检查箱柜门上的锁止机构或插销装置在车辆运行或不使用设备期间是否处于关闭</w:t>
      </w:r>
      <w:r>
        <w:rPr>
          <w:spacing w:val="-7"/>
          <w:sz w:val="21"/>
        </w:rPr>
        <w:t>状态，判断试验结果是否符合 </w:t>
      </w:r>
      <w:r>
        <w:rPr>
          <w:sz w:val="21"/>
        </w:rPr>
        <w:t>5.9.6.2</w:t>
      </w:r>
      <w:r>
        <w:rPr>
          <w:spacing w:val="-13"/>
          <w:sz w:val="21"/>
        </w:rPr>
        <w:t> 的规定。</w:t>
      </w:r>
      <w:r>
        <w:rPr>
          <w:sz w:val="21"/>
        </w:rPr>
        <w:t> </w:t>
      </w:r>
    </w:p>
    <w:p>
      <w:pPr>
        <w:pStyle w:val="ListParagraph"/>
        <w:numPr>
          <w:ilvl w:val="2"/>
          <w:numId w:val="179"/>
        </w:numPr>
        <w:tabs>
          <w:tab w:pos="1370" w:val="left" w:leader="none"/>
        </w:tabs>
        <w:spacing w:line="240" w:lineRule="auto" w:before="0" w:after="0"/>
        <w:ind w:left="1369" w:right="0" w:hanging="530"/>
        <w:jc w:val="left"/>
        <w:rPr>
          <w:sz w:val="21"/>
        </w:rPr>
      </w:pPr>
      <w:r>
        <w:rPr>
          <w:spacing w:val="-3"/>
          <w:sz w:val="21"/>
        </w:rPr>
        <w:t>通信设备</w:t>
      </w:r>
      <w:r>
        <w:rPr>
          <w:sz w:val="21"/>
        </w:rPr>
        <w:t> </w:t>
      </w:r>
    </w:p>
    <w:p>
      <w:pPr>
        <w:pStyle w:val="BodyText"/>
        <w:spacing w:before="12"/>
        <w:rPr>
          <w:sz w:val="17"/>
        </w:rPr>
      </w:pPr>
    </w:p>
    <w:p>
      <w:pPr>
        <w:pStyle w:val="ListParagraph"/>
        <w:numPr>
          <w:ilvl w:val="3"/>
          <w:numId w:val="179"/>
        </w:numPr>
        <w:tabs>
          <w:tab w:pos="1576" w:val="left" w:leader="none"/>
        </w:tabs>
        <w:spacing w:line="446" w:lineRule="auto" w:before="0" w:after="0"/>
        <w:ind w:left="418" w:right="1505" w:firstLine="419"/>
        <w:jc w:val="left"/>
        <w:rPr>
          <w:sz w:val="21"/>
        </w:rPr>
      </w:pPr>
      <w:r>
        <w:rPr>
          <w:spacing w:val="-24"/>
          <w:sz w:val="21"/>
        </w:rPr>
        <w:t>按 </w:t>
      </w:r>
      <w:r>
        <w:rPr>
          <w:sz w:val="21"/>
        </w:rPr>
        <w:t>GB</w:t>
      </w:r>
      <w:r>
        <w:rPr>
          <w:spacing w:val="9"/>
          <w:sz w:val="21"/>
        </w:rPr>
        <w:t> </w:t>
      </w:r>
      <w:r>
        <w:rPr>
          <w:sz w:val="21"/>
        </w:rPr>
        <w:t>50313</w:t>
      </w:r>
      <w:r>
        <w:rPr>
          <w:spacing w:val="-9"/>
          <w:sz w:val="21"/>
        </w:rPr>
        <w:t> 进行通信系统设计要求的检查，并查看设备的国家级检验机构的检验报告，判断试验结果是否符合 </w:t>
      </w:r>
      <w:r>
        <w:rPr>
          <w:sz w:val="21"/>
        </w:rPr>
        <w:t>5.9.7.1</w:t>
      </w:r>
      <w:r>
        <w:rPr>
          <w:spacing w:val="-13"/>
          <w:sz w:val="21"/>
        </w:rPr>
        <w:t> 的规定。</w:t>
      </w:r>
      <w:r>
        <w:rPr>
          <w:sz w:val="21"/>
        </w:rPr>
        <w:t> </w:t>
      </w:r>
    </w:p>
    <w:p>
      <w:pPr>
        <w:pStyle w:val="ListParagraph"/>
        <w:numPr>
          <w:ilvl w:val="3"/>
          <w:numId w:val="179"/>
        </w:numPr>
        <w:tabs>
          <w:tab w:pos="1576" w:val="left" w:leader="none"/>
        </w:tabs>
        <w:spacing w:line="446" w:lineRule="auto" w:before="0" w:after="0"/>
        <w:ind w:left="418" w:right="1609" w:firstLine="419"/>
        <w:jc w:val="left"/>
        <w:rPr>
          <w:sz w:val="21"/>
        </w:rPr>
      </w:pPr>
      <w:r>
        <w:rPr>
          <w:spacing w:val="-3"/>
          <w:sz w:val="21"/>
        </w:rPr>
        <w:t>检查当采用乘员室和驾驶室分隔设置，或指挥中心设在车身内时，是否有车内通</w:t>
      </w:r>
      <w:r>
        <w:rPr>
          <w:spacing w:val="-7"/>
          <w:sz w:val="21"/>
        </w:rPr>
        <w:t>话设施，判断试验结果是否符合 </w:t>
      </w:r>
      <w:r>
        <w:rPr>
          <w:sz w:val="21"/>
        </w:rPr>
        <w:t>5.9.7.2</w:t>
      </w:r>
      <w:r>
        <w:rPr>
          <w:spacing w:val="-13"/>
          <w:sz w:val="21"/>
        </w:rPr>
        <w:t> 的规定。</w:t>
      </w:r>
      <w:r>
        <w:rPr>
          <w:sz w:val="21"/>
        </w:rPr>
        <w:t> </w:t>
      </w:r>
    </w:p>
    <w:p>
      <w:pPr>
        <w:pStyle w:val="ListParagraph"/>
        <w:numPr>
          <w:ilvl w:val="3"/>
          <w:numId w:val="179"/>
        </w:numPr>
        <w:tabs>
          <w:tab w:pos="1576" w:val="left" w:leader="none"/>
        </w:tabs>
        <w:spacing w:line="446" w:lineRule="auto" w:before="0" w:after="0"/>
        <w:ind w:left="418" w:right="1609" w:firstLine="419"/>
        <w:jc w:val="left"/>
        <w:rPr>
          <w:sz w:val="21"/>
        </w:rPr>
      </w:pPr>
      <w:r>
        <w:rPr>
          <w:spacing w:val="-3"/>
          <w:sz w:val="21"/>
        </w:rPr>
        <w:t>检查无线通信装置或控制台，是否有防振、防撞击等安全保护措施，判断试验结</w:t>
      </w:r>
      <w:r>
        <w:rPr>
          <w:spacing w:val="-12"/>
          <w:sz w:val="21"/>
        </w:rPr>
        <w:t>果是否符合 </w:t>
      </w:r>
      <w:r>
        <w:rPr>
          <w:sz w:val="21"/>
        </w:rPr>
        <w:t>5.9.7.3</w:t>
      </w:r>
      <w:r>
        <w:rPr>
          <w:spacing w:val="-12"/>
          <w:sz w:val="21"/>
        </w:rPr>
        <w:t> 的规定。 </w:t>
      </w:r>
    </w:p>
    <w:p>
      <w:pPr>
        <w:spacing w:after="0" w:line="446" w:lineRule="auto"/>
        <w:jc w:val="left"/>
        <w:rPr>
          <w:sz w:val="21"/>
        </w:rPr>
        <w:sectPr>
          <w:pgSz w:w="11910" w:h="16850"/>
          <w:pgMar w:header="0" w:footer="1239" w:top="1220" w:bottom="1420" w:left="1260" w:right="0"/>
        </w:sectPr>
      </w:pPr>
    </w:p>
    <w:p>
      <w:pPr>
        <w:pStyle w:val="ListParagraph"/>
        <w:numPr>
          <w:ilvl w:val="2"/>
          <w:numId w:val="179"/>
        </w:numPr>
        <w:tabs>
          <w:tab w:pos="1370" w:val="left" w:leader="none"/>
        </w:tabs>
        <w:spacing w:line="240" w:lineRule="auto" w:before="47" w:after="0"/>
        <w:ind w:left="1369" w:right="0" w:hanging="530"/>
        <w:jc w:val="left"/>
        <w:rPr>
          <w:sz w:val="21"/>
        </w:rPr>
      </w:pPr>
      <w:r>
        <w:rPr>
          <w:spacing w:val="-3"/>
          <w:sz w:val="21"/>
        </w:rPr>
        <w:t>计算机和设备的安装 </w:t>
      </w:r>
    </w:p>
    <w:p>
      <w:pPr>
        <w:pStyle w:val="BodyText"/>
        <w:rPr>
          <w:sz w:val="18"/>
        </w:rPr>
      </w:pPr>
    </w:p>
    <w:p>
      <w:pPr>
        <w:pStyle w:val="ListParagraph"/>
        <w:numPr>
          <w:ilvl w:val="3"/>
          <w:numId w:val="179"/>
        </w:numPr>
        <w:tabs>
          <w:tab w:pos="1576" w:val="left" w:leader="none"/>
        </w:tabs>
        <w:spacing w:line="240" w:lineRule="auto" w:before="0" w:after="0"/>
        <w:ind w:left="1575" w:right="0" w:hanging="738"/>
        <w:jc w:val="left"/>
        <w:rPr>
          <w:sz w:val="21"/>
        </w:rPr>
      </w:pPr>
      <w:r>
        <w:rPr>
          <w:spacing w:val="-5"/>
          <w:sz w:val="21"/>
        </w:rPr>
        <w:t>目测检查车辆结构空间，确定选用相应的计算机，判断试验结果是否符合 </w:t>
      </w:r>
      <w:r>
        <w:rPr>
          <w:sz w:val="21"/>
        </w:rPr>
        <w:t>5.9.8.1</w:t>
      </w:r>
    </w:p>
    <w:p>
      <w:pPr>
        <w:pStyle w:val="BodyText"/>
        <w:rPr>
          <w:sz w:val="18"/>
        </w:rPr>
      </w:pPr>
    </w:p>
    <w:p>
      <w:pPr>
        <w:pStyle w:val="BodyText"/>
        <w:ind w:left="418"/>
      </w:pPr>
      <w:r>
        <w:rPr/>
        <w:t>的规定。 </w:t>
      </w:r>
    </w:p>
    <w:p>
      <w:pPr>
        <w:pStyle w:val="BodyText"/>
        <w:spacing w:before="1"/>
        <w:rPr>
          <w:sz w:val="18"/>
        </w:rPr>
      </w:pPr>
    </w:p>
    <w:p>
      <w:pPr>
        <w:pStyle w:val="ListParagraph"/>
        <w:numPr>
          <w:ilvl w:val="3"/>
          <w:numId w:val="179"/>
        </w:numPr>
        <w:tabs>
          <w:tab w:pos="1576" w:val="left" w:leader="none"/>
        </w:tabs>
        <w:spacing w:line="446" w:lineRule="auto" w:before="1" w:after="0"/>
        <w:ind w:left="418" w:right="1609" w:firstLine="419"/>
        <w:jc w:val="left"/>
        <w:rPr>
          <w:sz w:val="21"/>
        </w:rPr>
      </w:pPr>
      <w:r>
        <w:rPr>
          <w:spacing w:val="-3"/>
          <w:sz w:val="21"/>
        </w:rPr>
        <w:t>目测检查为计算机设备提供的外供电源接口处是否设有指示标牌，是否在标牌上</w:t>
      </w:r>
      <w:r>
        <w:rPr>
          <w:spacing w:val="-6"/>
          <w:sz w:val="21"/>
        </w:rPr>
        <w:t>注明电源的电压及电流强度，判断试验结果是否符合 </w:t>
      </w:r>
      <w:r>
        <w:rPr>
          <w:sz w:val="21"/>
        </w:rPr>
        <w:t>5.9.8.2</w:t>
      </w:r>
      <w:r>
        <w:rPr>
          <w:spacing w:val="-13"/>
          <w:sz w:val="21"/>
        </w:rPr>
        <w:t> 的规定。</w:t>
      </w:r>
      <w:r>
        <w:rPr>
          <w:sz w:val="21"/>
        </w:rPr>
        <w:t> </w:t>
      </w:r>
    </w:p>
    <w:p>
      <w:pPr>
        <w:pStyle w:val="ListParagraph"/>
        <w:numPr>
          <w:ilvl w:val="3"/>
          <w:numId w:val="179"/>
        </w:numPr>
        <w:tabs>
          <w:tab w:pos="1576" w:val="left" w:leader="none"/>
        </w:tabs>
        <w:spacing w:line="267" w:lineRule="exact" w:before="0" w:after="0"/>
        <w:ind w:left="1575" w:right="0" w:hanging="738"/>
        <w:jc w:val="left"/>
        <w:rPr>
          <w:sz w:val="21"/>
        </w:rPr>
      </w:pPr>
      <w:r>
        <w:rPr>
          <w:spacing w:val="-3"/>
          <w:sz w:val="21"/>
        </w:rPr>
        <w:t>检查计算机设备安装时是否有防震、防机械损伤的措施，判断试验结果是否符合</w:t>
      </w:r>
    </w:p>
    <w:p>
      <w:pPr>
        <w:pStyle w:val="BodyText"/>
        <w:spacing w:before="1"/>
        <w:rPr>
          <w:sz w:val="18"/>
        </w:rPr>
      </w:pPr>
    </w:p>
    <w:p>
      <w:pPr>
        <w:pStyle w:val="BodyText"/>
        <w:spacing w:before="1"/>
        <w:ind w:left="418"/>
      </w:pPr>
      <w:r>
        <w:rPr/>
        <w:t>5.9.8.3 的规定。 </w:t>
      </w:r>
    </w:p>
    <w:p>
      <w:pPr>
        <w:pStyle w:val="BodyText"/>
        <w:spacing w:before="12"/>
        <w:rPr>
          <w:sz w:val="17"/>
        </w:rPr>
      </w:pPr>
    </w:p>
    <w:p>
      <w:pPr>
        <w:pStyle w:val="ListParagraph"/>
        <w:numPr>
          <w:ilvl w:val="2"/>
          <w:numId w:val="179"/>
        </w:numPr>
        <w:tabs>
          <w:tab w:pos="1370" w:val="left" w:leader="none"/>
        </w:tabs>
        <w:spacing w:line="240" w:lineRule="auto" w:before="0" w:after="0"/>
        <w:ind w:left="1369" w:right="0" w:hanging="530"/>
        <w:jc w:val="left"/>
        <w:rPr>
          <w:sz w:val="21"/>
        </w:rPr>
      </w:pPr>
      <w:r>
        <w:rPr>
          <w:spacing w:val="-3"/>
          <w:sz w:val="21"/>
        </w:rPr>
        <w:t>显示设备及安装</w:t>
      </w:r>
      <w:r>
        <w:rPr>
          <w:sz w:val="21"/>
        </w:rPr>
        <w:t> </w:t>
      </w:r>
    </w:p>
    <w:p>
      <w:pPr>
        <w:pStyle w:val="BodyText"/>
        <w:rPr>
          <w:sz w:val="18"/>
        </w:rPr>
      </w:pPr>
    </w:p>
    <w:p>
      <w:pPr>
        <w:pStyle w:val="ListParagraph"/>
        <w:numPr>
          <w:ilvl w:val="3"/>
          <w:numId w:val="179"/>
        </w:numPr>
        <w:tabs>
          <w:tab w:pos="1576" w:val="left" w:leader="none"/>
        </w:tabs>
        <w:spacing w:line="446" w:lineRule="auto" w:before="0" w:after="0"/>
        <w:ind w:left="418" w:right="1450" w:firstLine="419"/>
        <w:jc w:val="left"/>
        <w:rPr>
          <w:sz w:val="21"/>
        </w:rPr>
      </w:pPr>
      <w:r>
        <w:rPr>
          <w:spacing w:val="-3"/>
          <w:sz w:val="21"/>
        </w:rPr>
        <w:t>目测检查安装在车辆上的显示设备是否满足车辆的运行环境，将消防车在铺装路面</w:t>
      </w:r>
      <w:r>
        <w:rPr>
          <w:spacing w:val="-27"/>
          <w:sz w:val="21"/>
        </w:rPr>
        <w:t>以 </w:t>
      </w:r>
      <w:r>
        <w:rPr>
          <w:sz w:val="21"/>
        </w:rPr>
        <w:t>80</w:t>
      </w:r>
      <w:r>
        <w:rPr>
          <w:spacing w:val="8"/>
          <w:sz w:val="21"/>
        </w:rPr>
        <w:t> </w:t>
      </w:r>
      <w:r>
        <w:rPr>
          <w:sz w:val="21"/>
        </w:rPr>
        <w:t>km/h</w:t>
      </w:r>
      <w:r>
        <w:rPr>
          <w:spacing w:val="-26"/>
          <w:sz w:val="21"/>
        </w:rPr>
        <w:t> 行驶 </w:t>
      </w:r>
      <w:r>
        <w:rPr>
          <w:spacing w:val="-3"/>
          <w:sz w:val="21"/>
        </w:rPr>
        <w:t>1</w:t>
      </w:r>
      <w:r>
        <w:rPr>
          <w:spacing w:val="8"/>
          <w:sz w:val="21"/>
        </w:rPr>
        <w:t> </w:t>
      </w:r>
      <w:r>
        <w:rPr>
          <w:sz w:val="21"/>
        </w:rPr>
        <w:t>h</w:t>
      </w:r>
      <w:r>
        <w:rPr>
          <w:spacing w:val="-5"/>
          <w:sz w:val="21"/>
        </w:rPr>
        <w:t>，检查消防车内显示设备是否完好，判断试验结果是否符合 </w:t>
      </w:r>
      <w:r>
        <w:rPr>
          <w:sz w:val="21"/>
        </w:rPr>
        <w:t>5.9.9.1</w:t>
      </w:r>
      <w:r>
        <w:rPr>
          <w:spacing w:val="-14"/>
          <w:sz w:val="21"/>
        </w:rPr>
        <w:t> 的规定</w:t>
      </w:r>
      <w:r>
        <w:rPr>
          <w:spacing w:val="-3"/>
          <w:sz w:val="21"/>
        </w:rPr>
        <w:t>。</w:t>
      </w:r>
      <w:r>
        <w:rPr>
          <w:sz w:val="21"/>
        </w:rPr>
        <w:t> </w:t>
      </w:r>
    </w:p>
    <w:p>
      <w:pPr>
        <w:pStyle w:val="ListParagraph"/>
        <w:numPr>
          <w:ilvl w:val="3"/>
          <w:numId w:val="179"/>
        </w:numPr>
        <w:tabs>
          <w:tab w:pos="1576" w:val="left" w:leader="none"/>
        </w:tabs>
        <w:spacing w:line="446" w:lineRule="auto" w:before="0" w:after="0"/>
        <w:ind w:left="418" w:right="1609" w:firstLine="419"/>
        <w:jc w:val="left"/>
        <w:rPr>
          <w:sz w:val="21"/>
        </w:rPr>
      </w:pPr>
      <w:r>
        <w:rPr>
          <w:spacing w:val="-3"/>
          <w:sz w:val="21"/>
        </w:rPr>
        <w:t>检查显示设备是否储存在封闭的箱柜内，柜内四周是否用衬垫加以保护，防止机</w:t>
      </w:r>
      <w:r>
        <w:rPr>
          <w:spacing w:val="-7"/>
          <w:sz w:val="21"/>
        </w:rPr>
        <w:t>械损伤，判断试验结果是否符合 </w:t>
      </w:r>
      <w:r>
        <w:rPr>
          <w:sz w:val="21"/>
        </w:rPr>
        <w:t>5.9.9.2</w:t>
      </w:r>
      <w:r>
        <w:rPr>
          <w:spacing w:val="-13"/>
          <w:sz w:val="21"/>
        </w:rPr>
        <w:t> 的规定。</w:t>
      </w:r>
      <w:r>
        <w:rPr>
          <w:sz w:val="21"/>
        </w:rPr>
        <w:t> </w:t>
      </w:r>
    </w:p>
    <w:p>
      <w:pPr>
        <w:pStyle w:val="ListParagraph"/>
        <w:numPr>
          <w:ilvl w:val="3"/>
          <w:numId w:val="179"/>
        </w:numPr>
        <w:tabs>
          <w:tab w:pos="1576" w:val="left" w:leader="none"/>
        </w:tabs>
        <w:spacing w:line="446" w:lineRule="auto" w:before="0" w:after="0"/>
        <w:ind w:left="418" w:right="1609" w:firstLine="419"/>
        <w:jc w:val="left"/>
        <w:rPr>
          <w:sz w:val="21"/>
        </w:rPr>
      </w:pPr>
      <w:r>
        <w:rPr>
          <w:spacing w:val="-3"/>
          <w:sz w:val="21"/>
        </w:rPr>
        <w:t>目测检查显示监控器，是否安装于既能方便观察，又不会受到损伤的地方，判断</w:t>
      </w:r>
      <w:r>
        <w:rPr>
          <w:spacing w:val="-9"/>
          <w:sz w:val="21"/>
        </w:rPr>
        <w:t>试验结果是否符合 </w:t>
      </w:r>
      <w:r>
        <w:rPr>
          <w:sz w:val="21"/>
        </w:rPr>
        <w:t>5.9.9.3</w:t>
      </w:r>
      <w:r>
        <w:rPr>
          <w:spacing w:val="-13"/>
          <w:sz w:val="21"/>
        </w:rPr>
        <w:t> 的规定。</w:t>
      </w:r>
      <w:r>
        <w:rPr>
          <w:sz w:val="21"/>
        </w:rPr>
        <w:t> </w:t>
      </w:r>
    </w:p>
    <w:p>
      <w:pPr>
        <w:pStyle w:val="ListParagraph"/>
        <w:numPr>
          <w:ilvl w:val="3"/>
          <w:numId w:val="179"/>
        </w:numPr>
        <w:tabs>
          <w:tab w:pos="1576" w:val="left" w:leader="none"/>
        </w:tabs>
        <w:spacing w:line="446" w:lineRule="auto" w:before="0" w:after="0"/>
        <w:ind w:left="418" w:right="1609" w:firstLine="419"/>
        <w:jc w:val="left"/>
        <w:rPr>
          <w:sz w:val="21"/>
        </w:rPr>
      </w:pPr>
      <w:r>
        <w:rPr>
          <w:spacing w:val="-3"/>
          <w:sz w:val="21"/>
        </w:rPr>
        <w:t>目测检查显示设备为外部安装时的安装要求，是否安装固定支架，判断试验结果</w:t>
      </w:r>
      <w:r>
        <w:rPr>
          <w:spacing w:val="-13"/>
          <w:sz w:val="21"/>
        </w:rPr>
        <w:t>是否符合 </w:t>
      </w:r>
      <w:r>
        <w:rPr>
          <w:sz w:val="21"/>
        </w:rPr>
        <w:t>5.9.9.4</w:t>
      </w:r>
      <w:r>
        <w:rPr>
          <w:spacing w:val="-12"/>
          <w:sz w:val="21"/>
        </w:rPr>
        <w:t> 的规定。 </w:t>
      </w:r>
    </w:p>
    <w:p>
      <w:pPr>
        <w:pStyle w:val="ListParagraph"/>
        <w:numPr>
          <w:ilvl w:val="1"/>
          <w:numId w:val="169"/>
        </w:numPr>
        <w:tabs>
          <w:tab w:pos="1264" w:val="left" w:leader="none"/>
        </w:tabs>
        <w:spacing w:line="267" w:lineRule="exact" w:before="0" w:after="0"/>
        <w:ind w:left="1263" w:right="0" w:hanging="424"/>
        <w:jc w:val="left"/>
        <w:rPr>
          <w:sz w:val="21"/>
        </w:rPr>
      </w:pPr>
      <w:r>
        <w:rPr>
          <w:spacing w:val="-3"/>
          <w:sz w:val="21"/>
        </w:rPr>
        <w:t>车身、器材箱试验</w:t>
      </w:r>
      <w:r>
        <w:rPr>
          <w:sz w:val="21"/>
        </w:rPr>
        <w:t> </w:t>
      </w:r>
    </w:p>
    <w:p>
      <w:pPr>
        <w:pStyle w:val="BodyText"/>
        <w:spacing w:before="1"/>
        <w:rPr>
          <w:sz w:val="18"/>
        </w:rPr>
      </w:pPr>
    </w:p>
    <w:p>
      <w:pPr>
        <w:pStyle w:val="ListParagraph"/>
        <w:numPr>
          <w:ilvl w:val="2"/>
          <w:numId w:val="169"/>
        </w:numPr>
        <w:tabs>
          <w:tab w:pos="1478" w:val="left" w:leader="none"/>
        </w:tabs>
        <w:spacing w:line="240" w:lineRule="auto" w:before="0" w:after="0"/>
        <w:ind w:left="1477" w:right="0" w:hanging="638"/>
        <w:jc w:val="left"/>
        <w:rPr>
          <w:sz w:val="21"/>
        </w:rPr>
      </w:pPr>
      <w:r>
        <w:rPr>
          <w:spacing w:val="-3"/>
          <w:sz w:val="21"/>
        </w:rPr>
        <w:t>基本要求</w:t>
      </w:r>
      <w:r>
        <w:rPr>
          <w:sz w:val="21"/>
        </w:rPr>
        <w:t> </w:t>
      </w:r>
    </w:p>
    <w:p>
      <w:pPr>
        <w:pStyle w:val="BodyText"/>
        <w:rPr>
          <w:sz w:val="18"/>
        </w:rPr>
      </w:pPr>
    </w:p>
    <w:p>
      <w:pPr>
        <w:pStyle w:val="ListParagraph"/>
        <w:numPr>
          <w:ilvl w:val="3"/>
          <w:numId w:val="169"/>
        </w:numPr>
        <w:tabs>
          <w:tab w:pos="1682" w:val="left" w:leader="none"/>
        </w:tabs>
        <w:spacing w:line="446" w:lineRule="auto" w:before="0" w:after="0"/>
        <w:ind w:left="418" w:right="1505" w:firstLine="419"/>
        <w:jc w:val="both"/>
        <w:rPr>
          <w:sz w:val="21"/>
        </w:rPr>
      </w:pPr>
      <w:r>
        <w:rPr>
          <w:spacing w:val="-3"/>
          <w:sz w:val="21"/>
        </w:rPr>
        <w:t>目测检查车身外部、内部和厢体，是否有使人致伤的尖锐突出物或锐利边缘，判</w:t>
      </w:r>
      <w:r>
        <w:rPr>
          <w:spacing w:val="-8"/>
          <w:sz w:val="21"/>
        </w:rPr>
        <w:t>断试验结果是否符合 </w:t>
      </w:r>
      <w:r>
        <w:rPr>
          <w:sz w:val="21"/>
        </w:rPr>
        <w:t>5.10.1.1</w:t>
      </w:r>
      <w:r>
        <w:rPr>
          <w:spacing w:val="-13"/>
          <w:sz w:val="21"/>
        </w:rPr>
        <w:t> 的规定。</w:t>
      </w:r>
      <w:r>
        <w:rPr>
          <w:sz w:val="21"/>
        </w:rPr>
        <w:t> </w:t>
      </w:r>
    </w:p>
    <w:p>
      <w:pPr>
        <w:pStyle w:val="ListParagraph"/>
        <w:numPr>
          <w:ilvl w:val="3"/>
          <w:numId w:val="169"/>
        </w:numPr>
        <w:tabs>
          <w:tab w:pos="1682" w:val="left" w:leader="none"/>
        </w:tabs>
        <w:spacing w:line="446" w:lineRule="auto" w:before="0" w:after="0"/>
        <w:ind w:left="418" w:right="1505" w:firstLine="419"/>
        <w:jc w:val="both"/>
        <w:rPr>
          <w:sz w:val="21"/>
        </w:rPr>
      </w:pPr>
      <w:r>
        <w:rPr>
          <w:spacing w:val="-3"/>
          <w:sz w:val="21"/>
        </w:rPr>
        <w:t>目测检查车身各门、工作平台、抽屉式储物柜、抽屉拖板、翻转架、活动踏板等</w:t>
      </w:r>
      <w:r>
        <w:rPr>
          <w:spacing w:val="-7"/>
          <w:sz w:val="21"/>
        </w:rPr>
        <w:t>物件伸出车身之外超过 </w:t>
      </w:r>
      <w:r>
        <w:rPr>
          <w:sz w:val="21"/>
        </w:rPr>
        <w:t>450mm</w:t>
      </w:r>
      <w:r>
        <w:rPr>
          <w:spacing w:val="-10"/>
          <w:sz w:val="21"/>
        </w:rPr>
        <w:t> 时，是否有明显的警示标识，判断试验结果是否符合 </w:t>
      </w:r>
      <w:r>
        <w:rPr>
          <w:sz w:val="21"/>
        </w:rPr>
        <w:t>5.10.1.2</w:t>
      </w:r>
      <w:r>
        <w:rPr>
          <w:spacing w:val="-22"/>
          <w:sz w:val="21"/>
        </w:rPr>
        <w:t> 的</w:t>
      </w:r>
      <w:r>
        <w:rPr>
          <w:spacing w:val="-16"/>
          <w:sz w:val="21"/>
        </w:rPr>
        <w:t>规定。</w:t>
      </w:r>
      <w:r>
        <w:rPr>
          <w:sz w:val="21"/>
        </w:rPr>
        <w:t> </w:t>
      </w:r>
    </w:p>
    <w:p>
      <w:pPr>
        <w:pStyle w:val="ListParagraph"/>
        <w:numPr>
          <w:ilvl w:val="3"/>
          <w:numId w:val="169"/>
        </w:numPr>
        <w:tabs>
          <w:tab w:pos="1682" w:val="left" w:leader="none"/>
        </w:tabs>
        <w:spacing w:line="446" w:lineRule="auto" w:before="0" w:after="0"/>
        <w:ind w:left="418" w:right="1822" w:firstLine="419"/>
        <w:jc w:val="both"/>
        <w:rPr>
          <w:sz w:val="21"/>
        </w:rPr>
      </w:pPr>
      <w:r>
        <w:rPr>
          <w:spacing w:val="-5"/>
          <w:sz w:val="21"/>
        </w:rPr>
        <w:t>检查随车器材的摆放位置和固定方式，判断试验结果是否符合 </w:t>
      </w:r>
      <w:r>
        <w:rPr>
          <w:sz w:val="21"/>
        </w:rPr>
        <w:t>5.10.1.3</w:t>
      </w:r>
      <w:r>
        <w:rPr>
          <w:spacing w:val="-16"/>
          <w:sz w:val="21"/>
        </w:rPr>
        <w:t> 的要</w:t>
      </w:r>
      <w:r>
        <w:rPr>
          <w:spacing w:val="-10"/>
          <w:sz w:val="21"/>
        </w:rPr>
        <w:t>求。</w:t>
      </w:r>
      <w:r>
        <w:rPr>
          <w:sz w:val="21"/>
        </w:rPr>
        <w:t> </w:t>
      </w:r>
    </w:p>
    <w:p>
      <w:pPr>
        <w:pStyle w:val="ListParagraph"/>
        <w:numPr>
          <w:ilvl w:val="3"/>
          <w:numId w:val="169"/>
        </w:numPr>
        <w:tabs>
          <w:tab w:pos="1682" w:val="left" w:leader="none"/>
        </w:tabs>
        <w:spacing w:line="267" w:lineRule="exact" w:before="0" w:after="0"/>
        <w:ind w:left="1681" w:right="0" w:hanging="844"/>
        <w:jc w:val="both"/>
        <w:rPr>
          <w:sz w:val="21"/>
        </w:rPr>
      </w:pPr>
      <w:r>
        <w:rPr>
          <w:spacing w:val="-6"/>
          <w:sz w:val="21"/>
        </w:rPr>
        <w:t>检查随车器材的分类方式，判断试验结果是否符合 </w:t>
      </w:r>
      <w:r>
        <w:rPr>
          <w:sz w:val="21"/>
        </w:rPr>
        <w:t>5.10.1.4</w:t>
      </w:r>
      <w:r>
        <w:rPr>
          <w:spacing w:val="-12"/>
          <w:sz w:val="21"/>
        </w:rPr>
        <w:t> 的要求。 </w:t>
      </w:r>
    </w:p>
    <w:p>
      <w:pPr>
        <w:pStyle w:val="BodyText"/>
        <w:rPr>
          <w:sz w:val="18"/>
        </w:rPr>
      </w:pPr>
    </w:p>
    <w:p>
      <w:pPr>
        <w:pStyle w:val="ListParagraph"/>
        <w:numPr>
          <w:ilvl w:val="3"/>
          <w:numId w:val="169"/>
        </w:numPr>
        <w:tabs>
          <w:tab w:pos="1682" w:val="left" w:leader="none"/>
        </w:tabs>
        <w:spacing w:line="240" w:lineRule="auto" w:before="0" w:after="0"/>
        <w:ind w:left="1681" w:right="0" w:hanging="844"/>
        <w:jc w:val="left"/>
        <w:rPr>
          <w:sz w:val="21"/>
        </w:rPr>
      </w:pPr>
      <w:r>
        <w:rPr>
          <w:spacing w:val="-6"/>
          <w:sz w:val="21"/>
        </w:rPr>
        <w:t>器材的抽屉柜、台和旋转架进行连续 </w:t>
      </w:r>
      <w:r>
        <w:rPr>
          <w:sz w:val="21"/>
        </w:rPr>
        <w:t>2000</w:t>
      </w:r>
      <w:r>
        <w:rPr>
          <w:spacing w:val="-9"/>
          <w:sz w:val="21"/>
        </w:rPr>
        <w:t> 次工作循环，分别使用拉力计测量所</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08"/>
      </w:pPr>
      <w:r>
        <w:rPr/>
        <w:t>有抽屉柜、台和旋转架满载抽拉、旋转所需要的拉力和旋转力大小，试验结束后再次测量拉力和旋转力大小，判断试验结果是否符合 5.10.1.5 的要求。 </w:t>
      </w:r>
    </w:p>
    <w:p>
      <w:pPr>
        <w:pStyle w:val="ListParagraph"/>
        <w:numPr>
          <w:ilvl w:val="2"/>
          <w:numId w:val="169"/>
        </w:numPr>
        <w:tabs>
          <w:tab w:pos="1478" w:val="left" w:leader="none"/>
        </w:tabs>
        <w:spacing w:line="267" w:lineRule="exact" w:before="0" w:after="0"/>
        <w:ind w:left="1477" w:right="0" w:hanging="638"/>
        <w:jc w:val="left"/>
        <w:rPr>
          <w:sz w:val="21"/>
        </w:rPr>
      </w:pPr>
      <w:r>
        <w:rPr>
          <w:spacing w:val="-3"/>
          <w:sz w:val="21"/>
        </w:rPr>
        <w:t>器材箱</w:t>
      </w:r>
      <w:r>
        <w:rPr>
          <w:sz w:val="21"/>
        </w:rPr>
        <w:t> </w:t>
      </w:r>
    </w:p>
    <w:p>
      <w:pPr>
        <w:pStyle w:val="BodyText"/>
        <w:spacing w:before="2"/>
        <w:rPr>
          <w:sz w:val="18"/>
        </w:rPr>
      </w:pPr>
    </w:p>
    <w:p>
      <w:pPr>
        <w:pStyle w:val="ListParagraph"/>
        <w:numPr>
          <w:ilvl w:val="3"/>
          <w:numId w:val="169"/>
        </w:numPr>
        <w:tabs>
          <w:tab w:pos="1682" w:val="left" w:leader="none"/>
        </w:tabs>
        <w:spacing w:line="240" w:lineRule="auto" w:before="0" w:after="0"/>
        <w:ind w:left="1681" w:right="0" w:hanging="844"/>
        <w:jc w:val="left"/>
        <w:rPr>
          <w:sz w:val="21"/>
        </w:rPr>
      </w:pPr>
      <w:r>
        <w:rPr>
          <w:spacing w:val="-5"/>
          <w:sz w:val="21"/>
        </w:rPr>
        <w:t>检查箱体材料或表面处理情况，判断试验结果是否符合 </w:t>
      </w:r>
      <w:r>
        <w:rPr>
          <w:sz w:val="21"/>
        </w:rPr>
        <w:t>5.10.2.1</w:t>
      </w:r>
      <w:r>
        <w:rPr>
          <w:spacing w:val="-13"/>
          <w:sz w:val="21"/>
        </w:rPr>
        <w:t> 的规定。</w:t>
      </w:r>
      <w:r>
        <w:rPr>
          <w:sz w:val="21"/>
        </w:rPr>
        <w:t> </w:t>
      </w:r>
    </w:p>
    <w:p>
      <w:pPr>
        <w:pStyle w:val="BodyText"/>
        <w:rPr>
          <w:sz w:val="18"/>
        </w:rPr>
      </w:pPr>
    </w:p>
    <w:p>
      <w:pPr>
        <w:pStyle w:val="ListParagraph"/>
        <w:numPr>
          <w:ilvl w:val="3"/>
          <w:numId w:val="169"/>
        </w:numPr>
        <w:tabs>
          <w:tab w:pos="1682" w:val="left" w:leader="none"/>
        </w:tabs>
        <w:spacing w:line="446" w:lineRule="auto" w:before="0" w:after="0"/>
        <w:ind w:left="418" w:right="1505" w:firstLine="419"/>
        <w:jc w:val="left"/>
        <w:rPr>
          <w:sz w:val="21"/>
        </w:rPr>
      </w:pPr>
      <w:r>
        <w:rPr>
          <w:spacing w:val="-3"/>
          <w:sz w:val="21"/>
        </w:rPr>
        <w:t>目测检查形成电化学腐蚀或抗电性的不同金属材料零部件或构件装在一起时，在</w:t>
      </w:r>
      <w:r>
        <w:rPr>
          <w:spacing w:val="-5"/>
          <w:sz w:val="21"/>
        </w:rPr>
        <w:t>两种材料间是否采用隔离措施，判断试验结果是否符合 </w:t>
      </w:r>
      <w:r>
        <w:rPr>
          <w:sz w:val="21"/>
        </w:rPr>
        <w:t>5.10.2.2</w:t>
      </w:r>
      <w:r>
        <w:rPr>
          <w:spacing w:val="-13"/>
          <w:sz w:val="21"/>
        </w:rPr>
        <w:t> 的规定。</w:t>
      </w:r>
      <w:r>
        <w:rPr>
          <w:sz w:val="21"/>
        </w:rPr>
        <w:t> </w:t>
      </w:r>
    </w:p>
    <w:p>
      <w:pPr>
        <w:pStyle w:val="ListParagraph"/>
        <w:numPr>
          <w:ilvl w:val="3"/>
          <w:numId w:val="169"/>
        </w:numPr>
        <w:tabs>
          <w:tab w:pos="1682" w:val="left" w:leader="none"/>
        </w:tabs>
        <w:spacing w:line="446" w:lineRule="auto" w:before="0" w:after="0"/>
        <w:ind w:left="418" w:right="1505" w:firstLine="419"/>
        <w:jc w:val="left"/>
        <w:rPr>
          <w:sz w:val="21"/>
        </w:rPr>
      </w:pPr>
      <w:r>
        <w:rPr>
          <w:spacing w:val="-3"/>
          <w:sz w:val="21"/>
        </w:rPr>
        <w:t>目测检查暴露在外的非耐腐蚀金属材料的表面均是否做过防腐蚀处理，判断试验</w:t>
      </w:r>
      <w:r>
        <w:rPr>
          <w:spacing w:val="-11"/>
          <w:sz w:val="21"/>
        </w:rPr>
        <w:t>结果是否符合 </w:t>
      </w:r>
      <w:r>
        <w:rPr>
          <w:sz w:val="21"/>
        </w:rPr>
        <w:t>5.10.2.3</w:t>
      </w:r>
      <w:r>
        <w:rPr>
          <w:spacing w:val="-13"/>
          <w:sz w:val="21"/>
        </w:rPr>
        <w:t> 的规定。</w:t>
      </w:r>
      <w:r>
        <w:rPr>
          <w:sz w:val="21"/>
        </w:rPr>
        <w:t> </w:t>
      </w:r>
    </w:p>
    <w:p>
      <w:pPr>
        <w:pStyle w:val="ListParagraph"/>
        <w:numPr>
          <w:ilvl w:val="3"/>
          <w:numId w:val="169"/>
        </w:numPr>
        <w:tabs>
          <w:tab w:pos="1682" w:val="left" w:leader="none"/>
        </w:tabs>
        <w:spacing w:line="267" w:lineRule="exact" w:before="0" w:after="0"/>
        <w:ind w:left="1681" w:right="0" w:hanging="844"/>
        <w:jc w:val="left"/>
        <w:rPr>
          <w:sz w:val="21"/>
        </w:rPr>
      </w:pPr>
      <w:r>
        <w:rPr>
          <w:spacing w:val="-3"/>
          <w:sz w:val="21"/>
        </w:rPr>
        <w:t>目测检查箱体的通风、防潮情况，是否有排水槽或孔，判断试验结果是否符合</w:t>
      </w:r>
    </w:p>
    <w:p>
      <w:pPr>
        <w:pStyle w:val="BodyText"/>
        <w:spacing w:before="1"/>
        <w:rPr>
          <w:sz w:val="18"/>
        </w:rPr>
      </w:pPr>
    </w:p>
    <w:p>
      <w:pPr>
        <w:pStyle w:val="BodyText"/>
        <w:spacing w:before="1"/>
        <w:ind w:left="418"/>
      </w:pPr>
      <w:r>
        <w:rPr/>
        <w:t>5.10.2.4 的规定。 </w:t>
      </w:r>
    </w:p>
    <w:p>
      <w:pPr>
        <w:pStyle w:val="BodyText"/>
        <w:spacing w:before="12"/>
        <w:rPr>
          <w:sz w:val="17"/>
        </w:rPr>
      </w:pPr>
    </w:p>
    <w:p>
      <w:pPr>
        <w:pStyle w:val="BodyText"/>
        <w:spacing w:line="446" w:lineRule="auto"/>
        <w:ind w:left="418" w:right="1505" w:firstLine="419"/>
      </w:pPr>
      <w:r>
        <w:rPr/>
        <w:t>6.10.2.5 检查箱体内储存的设备、器具是否固定牢固并有防护设施，判断试验结果是否符合 5.10.2.5 的规定。 </w:t>
      </w:r>
    </w:p>
    <w:p>
      <w:pPr>
        <w:pStyle w:val="ListParagraph"/>
        <w:numPr>
          <w:ilvl w:val="2"/>
          <w:numId w:val="169"/>
        </w:numPr>
        <w:tabs>
          <w:tab w:pos="1478" w:val="left" w:leader="none"/>
        </w:tabs>
        <w:spacing w:line="240" w:lineRule="auto" w:before="0" w:after="0"/>
        <w:ind w:left="1477" w:right="0" w:hanging="638"/>
        <w:jc w:val="left"/>
        <w:rPr>
          <w:sz w:val="21"/>
        </w:rPr>
      </w:pPr>
      <w:r>
        <w:rPr>
          <w:spacing w:val="-3"/>
          <w:sz w:val="21"/>
        </w:rPr>
        <w:t>器材箱门</w:t>
      </w:r>
      <w:r>
        <w:rPr>
          <w:sz w:val="21"/>
        </w:rPr>
        <w:t> </w:t>
      </w:r>
    </w:p>
    <w:p>
      <w:pPr>
        <w:pStyle w:val="BodyText"/>
        <w:spacing w:before="12"/>
        <w:rPr>
          <w:sz w:val="17"/>
        </w:rPr>
      </w:pPr>
    </w:p>
    <w:p>
      <w:pPr>
        <w:pStyle w:val="ListParagraph"/>
        <w:numPr>
          <w:ilvl w:val="3"/>
          <w:numId w:val="169"/>
        </w:numPr>
        <w:tabs>
          <w:tab w:pos="1682" w:val="left" w:leader="none"/>
        </w:tabs>
        <w:spacing w:line="446" w:lineRule="auto" w:before="0" w:after="0"/>
        <w:ind w:left="418" w:right="1505" w:firstLine="419"/>
        <w:jc w:val="left"/>
        <w:rPr>
          <w:sz w:val="21"/>
        </w:rPr>
      </w:pPr>
      <w:r>
        <w:rPr>
          <w:spacing w:val="-3"/>
          <w:sz w:val="21"/>
        </w:rPr>
        <w:t>检查器材箱门的开启和关闭是否方便，有无卡阻和两手用力不平衡就打不开的现</w:t>
      </w:r>
      <w:r>
        <w:rPr>
          <w:spacing w:val="-8"/>
          <w:sz w:val="21"/>
        </w:rPr>
        <w:t>象，将卷帘门按宽 </w:t>
      </w:r>
      <w:r>
        <w:rPr>
          <w:sz w:val="21"/>
        </w:rPr>
        <w:t>1100mm</w:t>
      </w:r>
      <w:r>
        <w:rPr>
          <w:spacing w:val="-16"/>
          <w:sz w:val="21"/>
        </w:rPr>
        <w:t>、高 </w:t>
      </w:r>
      <w:r>
        <w:rPr>
          <w:sz w:val="21"/>
        </w:rPr>
        <w:t>1500mm</w:t>
      </w:r>
      <w:r>
        <w:rPr>
          <w:spacing w:val="-8"/>
          <w:sz w:val="21"/>
        </w:rPr>
        <w:t> 制成试验样品，装上框架和锁具，安装在试验台上进行10000</w:t>
      </w:r>
      <w:r>
        <w:rPr>
          <w:spacing w:val="-12"/>
          <w:sz w:val="21"/>
        </w:rPr>
        <w:t> 次试验，判断试验结果是否符合 </w:t>
      </w:r>
      <w:r>
        <w:rPr>
          <w:sz w:val="21"/>
        </w:rPr>
        <w:t>5.10.3.1</w:t>
      </w:r>
      <w:r>
        <w:rPr>
          <w:spacing w:val="-13"/>
          <w:sz w:val="21"/>
        </w:rPr>
        <w:t> 的规定。</w:t>
      </w:r>
      <w:r>
        <w:rPr>
          <w:sz w:val="21"/>
        </w:rPr>
        <w:t> </w:t>
      </w:r>
    </w:p>
    <w:p>
      <w:pPr>
        <w:pStyle w:val="ListParagraph"/>
        <w:numPr>
          <w:ilvl w:val="3"/>
          <w:numId w:val="169"/>
        </w:numPr>
        <w:tabs>
          <w:tab w:pos="1682" w:val="left" w:leader="none"/>
        </w:tabs>
        <w:spacing w:line="446" w:lineRule="auto" w:before="0" w:after="0"/>
        <w:ind w:left="418" w:right="1822" w:firstLine="419"/>
        <w:jc w:val="left"/>
        <w:rPr>
          <w:sz w:val="21"/>
        </w:rPr>
      </w:pPr>
      <w:r>
        <w:rPr>
          <w:spacing w:val="-5"/>
          <w:sz w:val="21"/>
        </w:rPr>
        <w:t>检查器材箱门的材料或表面处理情况，判断试验结果是否符合 </w:t>
      </w:r>
      <w:r>
        <w:rPr>
          <w:sz w:val="21"/>
        </w:rPr>
        <w:t>5.10.3.2</w:t>
      </w:r>
      <w:r>
        <w:rPr>
          <w:spacing w:val="-16"/>
          <w:sz w:val="21"/>
        </w:rPr>
        <w:t> 的规</w:t>
      </w:r>
      <w:r>
        <w:rPr>
          <w:spacing w:val="-10"/>
          <w:sz w:val="21"/>
        </w:rPr>
        <w:t>定。</w:t>
      </w:r>
      <w:r>
        <w:rPr>
          <w:sz w:val="21"/>
        </w:rPr>
        <w:t> </w:t>
      </w:r>
    </w:p>
    <w:p>
      <w:pPr>
        <w:pStyle w:val="ListParagraph"/>
        <w:numPr>
          <w:ilvl w:val="3"/>
          <w:numId w:val="169"/>
        </w:numPr>
        <w:tabs>
          <w:tab w:pos="1682" w:val="left" w:leader="none"/>
        </w:tabs>
        <w:spacing w:line="240" w:lineRule="auto" w:before="0" w:after="0"/>
        <w:ind w:left="1681" w:right="0" w:hanging="844"/>
        <w:jc w:val="left"/>
        <w:rPr>
          <w:sz w:val="21"/>
        </w:rPr>
      </w:pPr>
      <w:r>
        <w:rPr>
          <w:spacing w:val="-5"/>
          <w:sz w:val="21"/>
        </w:rPr>
        <w:t>目测检查器材箱门设置是否有利于人员操作，判断试验结果是否符合 </w:t>
      </w:r>
      <w:r>
        <w:rPr>
          <w:sz w:val="21"/>
        </w:rPr>
        <w:t>5.10.3.3</w:t>
      </w:r>
    </w:p>
    <w:p>
      <w:pPr>
        <w:pStyle w:val="BodyText"/>
        <w:spacing w:before="12"/>
        <w:rPr>
          <w:sz w:val="17"/>
        </w:rPr>
      </w:pPr>
    </w:p>
    <w:p>
      <w:pPr>
        <w:pStyle w:val="BodyText"/>
        <w:ind w:left="418"/>
      </w:pPr>
      <w:r>
        <w:rPr/>
        <w:t>的规定。 </w:t>
      </w:r>
    </w:p>
    <w:p>
      <w:pPr>
        <w:pStyle w:val="BodyText"/>
        <w:spacing w:before="12"/>
        <w:rPr>
          <w:sz w:val="17"/>
        </w:rPr>
      </w:pPr>
    </w:p>
    <w:p>
      <w:pPr>
        <w:pStyle w:val="ListParagraph"/>
        <w:numPr>
          <w:ilvl w:val="3"/>
          <w:numId w:val="169"/>
        </w:numPr>
        <w:tabs>
          <w:tab w:pos="1682" w:val="left" w:leader="none"/>
        </w:tabs>
        <w:spacing w:line="446" w:lineRule="auto" w:before="0" w:after="0"/>
        <w:ind w:left="418" w:right="1505" w:firstLine="419"/>
        <w:jc w:val="left"/>
        <w:rPr>
          <w:sz w:val="21"/>
        </w:rPr>
      </w:pPr>
      <w:r>
        <w:rPr>
          <w:spacing w:val="-3"/>
          <w:sz w:val="21"/>
        </w:rPr>
        <w:t>检查器材箱门是否具有锁止功能。在人员需进出或取放设备、器具时是否方便开</w:t>
      </w:r>
      <w:r>
        <w:rPr>
          <w:spacing w:val="-8"/>
          <w:sz w:val="21"/>
        </w:rPr>
        <w:t>启，在行驶可靠性 </w:t>
      </w:r>
      <w:r>
        <w:rPr>
          <w:sz w:val="21"/>
        </w:rPr>
        <w:t>1500</w:t>
      </w:r>
      <w:r>
        <w:rPr>
          <w:spacing w:val="11"/>
          <w:sz w:val="21"/>
        </w:rPr>
        <w:t> </w:t>
      </w:r>
      <w:r>
        <w:rPr>
          <w:sz w:val="21"/>
        </w:rPr>
        <w:t>km</w:t>
      </w:r>
      <w:r>
        <w:rPr>
          <w:spacing w:val="-8"/>
          <w:sz w:val="21"/>
        </w:rPr>
        <w:t> 凹凸不平的坏路</w:t>
      </w:r>
      <w:r>
        <w:rPr>
          <w:spacing w:val="-3"/>
          <w:sz w:val="21"/>
        </w:rPr>
        <w:t>（含碎石、土石路</w:t>
      </w:r>
      <w:r>
        <w:rPr>
          <w:sz w:val="21"/>
        </w:rPr>
        <w:t>）</w:t>
      </w:r>
      <w:r>
        <w:rPr>
          <w:spacing w:val="-3"/>
          <w:sz w:val="21"/>
        </w:rPr>
        <w:t>试验时，检查器材箱门，判断</w:t>
      </w:r>
      <w:r>
        <w:rPr>
          <w:spacing w:val="-9"/>
          <w:sz w:val="21"/>
        </w:rPr>
        <w:t>试验结果是否符合 </w:t>
      </w:r>
      <w:r>
        <w:rPr>
          <w:sz w:val="21"/>
        </w:rPr>
        <w:t>5.10.3.4</w:t>
      </w:r>
      <w:r>
        <w:rPr>
          <w:spacing w:val="-13"/>
          <w:sz w:val="21"/>
        </w:rPr>
        <w:t> 的规定。</w:t>
      </w:r>
      <w:r>
        <w:rPr>
          <w:sz w:val="21"/>
        </w:rPr>
        <w:t> </w:t>
      </w:r>
    </w:p>
    <w:p>
      <w:pPr>
        <w:pStyle w:val="ListParagraph"/>
        <w:numPr>
          <w:ilvl w:val="1"/>
          <w:numId w:val="169"/>
        </w:numPr>
        <w:tabs>
          <w:tab w:pos="1264" w:val="left" w:leader="none"/>
        </w:tabs>
        <w:spacing w:line="268" w:lineRule="exact" w:before="0" w:after="0"/>
        <w:ind w:left="1263" w:right="0" w:hanging="424"/>
        <w:jc w:val="left"/>
        <w:rPr>
          <w:sz w:val="21"/>
        </w:rPr>
      </w:pPr>
      <w:r>
        <w:rPr>
          <w:spacing w:val="-3"/>
          <w:sz w:val="21"/>
        </w:rPr>
        <w:t>设备、器材固定</w:t>
      </w:r>
      <w:r>
        <w:rPr>
          <w:sz w:val="21"/>
        </w:rPr>
        <w:t> </w:t>
      </w:r>
    </w:p>
    <w:p>
      <w:pPr>
        <w:pStyle w:val="BodyText"/>
        <w:spacing w:before="2"/>
        <w:rPr>
          <w:sz w:val="18"/>
        </w:rPr>
      </w:pPr>
    </w:p>
    <w:p>
      <w:pPr>
        <w:pStyle w:val="ListParagraph"/>
        <w:numPr>
          <w:ilvl w:val="2"/>
          <w:numId w:val="169"/>
        </w:numPr>
        <w:tabs>
          <w:tab w:pos="1478" w:val="left" w:leader="none"/>
        </w:tabs>
        <w:spacing w:line="240" w:lineRule="auto" w:before="0" w:after="0"/>
        <w:ind w:left="1477" w:right="0" w:hanging="638"/>
        <w:jc w:val="left"/>
        <w:rPr>
          <w:sz w:val="21"/>
        </w:rPr>
      </w:pPr>
      <w:r>
        <w:rPr>
          <w:spacing w:val="-3"/>
          <w:sz w:val="21"/>
        </w:rPr>
        <w:t>检查器材箱内的器材夹具布置是否合理，固定是否可靠，判断试验结果是否符合</w:t>
      </w:r>
    </w:p>
    <w:p>
      <w:pPr>
        <w:pStyle w:val="BodyText"/>
        <w:rPr>
          <w:sz w:val="18"/>
        </w:rPr>
      </w:pPr>
    </w:p>
    <w:p>
      <w:pPr>
        <w:pStyle w:val="BodyText"/>
        <w:ind w:left="418"/>
      </w:pPr>
      <w:r>
        <w:rPr/>
        <w:t>5.11.1 的规定。 </w:t>
      </w:r>
    </w:p>
    <w:p>
      <w:pPr>
        <w:pStyle w:val="BodyText"/>
        <w:spacing w:before="12"/>
        <w:rPr>
          <w:sz w:val="17"/>
        </w:rPr>
      </w:pPr>
    </w:p>
    <w:p>
      <w:pPr>
        <w:pStyle w:val="ListParagraph"/>
        <w:numPr>
          <w:ilvl w:val="2"/>
          <w:numId w:val="180"/>
        </w:numPr>
        <w:tabs>
          <w:tab w:pos="1478" w:val="left" w:leader="none"/>
        </w:tabs>
        <w:spacing w:line="446" w:lineRule="auto" w:before="0" w:after="0"/>
        <w:ind w:left="418" w:right="1498" w:firstLine="422"/>
        <w:jc w:val="left"/>
        <w:rPr>
          <w:sz w:val="21"/>
        </w:rPr>
      </w:pPr>
      <w:r>
        <w:rPr>
          <w:spacing w:val="-3"/>
          <w:sz w:val="21"/>
        </w:rPr>
        <w:t>检查设备、器材是否取用方便，目测检查设备、器材布置是否合理，判断试验结果</w:t>
      </w:r>
      <w:r>
        <w:rPr>
          <w:spacing w:val="-13"/>
          <w:sz w:val="21"/>
        </w:rPr>
        <w:t>是否符合 </w:t>
      </w:r>
      <w:r>
        <w:rPr>
          <w:sz w:val="21"/>
        </w:rPr>
        <w:t>5.11.2</w:t>
      </w:r>
      <w:r>
        <w:rPr>
          <w:spacing w:val="-12"/>
          <w:sz w:val="21"/>
        </w:rPr>
        <w:t> 的规定。 </w:t>
      </w:r>
    </w:p>
    <w:p>
      <w:pPr>
        <w:spacing w:after="0" w:line="446" w:lineRule="auto"/>
        <w:jc w:val="left"/>
        <w:rPr>
          <w:sz w:val="21"/>
        </w:rPr>
        <w:sectPr>
          <w:pgSz w:w="11910" w:h="16850"/>
          <w:pgMar w:header="0" w:footer="1239" w:top="1220" w:bottom="1420" w:left="1260" w:right="0"/>
        </w:sectPr>
      </w:pPr>
    </w:p>
    <w:p>
      <w:pPr>
        <w:pStyle w:val="ListParagraph"/>
        <w:numPr>
          <w:ilvl w:val="2"/>
          <w:numId w:val="180"/>
        </w:numPr>
        <w:tabs>
          <w:tab w:pos="1478" w:val="left" w:leader="none"/>
        </w:tabs>
        <w:spacing w:line="446" w:lineRule="auto" w:before="47" w:after="0"/>
        <w:ind w:left="418" w:right="1496" w:firstLine="422"/>
        <w:jc w:val="left"/>
        <w:rPr>
          <w:sz w:val="21"/>
        </w:rPr>
      </w:pPr>
      <w:r>
        <w:rPr>
          <w:spacing w:val="-3"/>
          <w:sz w:val="21"/>
        </w:rPr>
        <w:t>目测检查安装车载无线通信设备时，是否有一个安全的空间，为避免通信工作受到</w:t>
      </w:r>
      <w:r>
        <w:rPr>
          <w:spacing w:val="-5"/>
          <w:sz w:val="21"/>
        </w:rPr>
        <w:t>不应有的干扰，是否有合适的屏蔽装置，判断试验结果是否符合 </w:t>
      </w:r>
      <w:r>
        <w:rPr>
          <w:sz w:val="21"/>
        </w:rPr>
        <w:t>5.11.3</w:t>
      </w:r>
      <w:r>
        <w:rPr>
          <w:spacing w:val="-12"/>
          <w:sz w:val="21"/>
        </w:rPr>
        <w:t> 的规定。 </w:t>
      </w:r>
    </w:p>
    <w:p>
      <w:pPr>
        <w:pStyle w:val="ListParagraph"/>
        <w:numPr>
          <w:ilvl w:val="2"/>
          <w:numId w:val="180"/>
        </w:numPr>
        <w:tabs>
          <w:tab w:pos="1478" w:val="left" w:leader="none"/>
        </w:tabs>
        <w:spacing w:line="267" w:lineRule="exact" w:before="0" w:after="0"/>
        <w:ind w:left="1477" w:right="0" w:hanging="638"/>
        <w:jc w:val="left"/>
        <w:rPr>
          <w:sz w:val="21"/>
        </w:rPr>
      </w:pPr>
      <w:r>
        <w:rPr>
          <w:spacing w:val="-3"/>
          <w:sz w:val="21"/>
        </w:rPr>
        <w:t>承重抽拉支架检查方法：</w:t>
      </w:r>
      <w:r>
        <w:rPr>
          <w:sz w:val="21"/>
        </w:rPr>
        <w:t> </w:t>
      </w:r>
    </w:p>
    <w:p>
      <w:pPr>
        <w:pStyle w:val="BodyText"/>
        <w:spacing w:before="2"/>
        <w:rPr>
          <w:sz w:val="18"/>
        </w:rPr>
      </w:pPr>
    </w:p>
    <w:p>
      <w:pPr>
        <w:pStyle w:val="ListParagraph"/>
        <w:numPr>
          <w:ilvl w:val="0"/>
          <w:numId w:val="181"/>
        </w:numPr>
        <w:tabs>
          <w:tab w:pos="1156" w:val="left" w:leader="none"/>
        </w:tabs>
        <w:spacing w:line="446" w:lineRule="auto" w:before="0" w:after="0"/>
        <w:ind w:left="418" w:right="2031" w:firstLine="419"/>
        <w:jc w:val="left"/>
        <w:rPr>
          <w:sz w:val="21"/>
        </w:rPr>
      </w:pPr>
      <w:r>
        <w:rPr>
          <w:spacing w:val="-3"/>
          <w:sz w:val="21"/>
        </w:rPr>
        <w:t>检查支架是否具有所承载设备、器具所需的强度和刚度，判断试验结果是否符合</w:t>
      </w:r>
      <w:r>
        <w:rPr>
          <w:sz w:val="21"/>
        </w:rPr>
        <w:t>5.11.4a）</w:t>
      </w:r>
      <w:r>
        <w:rPr>
          <w:spacing w:val="-3"/>
          <w:sz w:val="21"/>
        </w:rPr>
        <w:t>的规定。</w:t>
      </w:r>
      <w:r>
        <w:rPr>
          <w:sz w:val="21"/>
        </w:rPr>
        <w:t> </w:t>
      </w:r>
    </w:p>
    <w:p>
      <w:pPr>
        <w:pStyle w:val="ListParagraph"/>
        <w:numPr>
          <w:ilvl w:val="0"/>
          <w:numId w:val="181"/>
        </w:numPr>
        <w:tabs>
          <w:tab w:pos="1156" w:val="left" w:leader="none"/>
        </w:tabs>
        <w:spacing w:line="267" w:lineRule="exact" w:before="0" w:after="0"/>
        <w:ind w:left="1155" w:right="0" w:hanging="318"/>
        <w:jc w:val="left"/>
        <w:rPr>
          <w:sz w:val="21"/>
        </w:rPr>
      </w:pPr>
      <w:r>
        <w:rPr>
          <w:spacing w:val="-5"/>
          <w:sz w:val="21"/>
        </w:rPr>
        <w:t>检查支架是否具有锁止功能，并能方便解除，在行驶可靠性 </w:t>
      </w:r>
      <w:r>
        <w:rPr>
          <w:sz w:val="21"/>
        </w:rPr>
        <w:t>1500</w:t>
      </w:r>
      <w:r>
        <w:rPr>
          <w:spacing w:val="2"/>
          <w:sz w:val="21"/>
        </w:rPr>
        <w:t> </w:t>
      </w:r>
      <w:r>
        <w:rPr>
          <w:sz w:val="21"/>
        </w:rPr>
        <w:t>km</w:t>
      </w:r>
      <w:r>
        <w:rPr>
          <w:spacing w:val="-9"/>
          <w:sz w:val="21"/>
        </w:rPr>
        <w:t> 凹凸不平的坏路</w:t>
      </w:r>
    </w:p>
    <w:p>
      <w:pPr>
        <w:pStyle w:val="BodyText"/>
        <w:spacing w:before="2"/>
        <w:rPr>
          <w:sz w:val="18"/>
        </w:rPr>
      </w:pPr>
    </w:p>
    <w:p>
      <w:pPr>
        <w:pStyle w:val="BodyText"/>
        <w:ind w:left="418"/>
      </w:pPr>
      <w:r>
        <w:rPr/>
        <w:t>（含碎石、土石路）试验时检查锁止支架，判断试验结果是否符合 5.11.4b）的规定； </w:t>
      </w:r>
    </w:p>
    <w:p>
      <w:pPr>
        <w:pStyle w:val="BodyText"/>
        <w:rPr>
          <w:sz w:val="18"/>
        </w:rPr>
      </w:pPr>
    </w:p>
    <w:p>
      <w:pPr>
        <w:pStyle w:val="ListParagraph"/>
        <w:numPr>
          <w:ilvl w:val="0"/>
          <w:numId w:val="181"/>
        </w:numPr>
        <w:tabs>
          <w:tab w:pos="1156" w:val="left" w:leader="none"/>
        </w:tabs>
        <w:spacing w:line="446" w:lineRule="auto" w:before="0" w:after="0"/>
        <w:ind w:left="418" w:right="1505" w:firstLine="419"/>
        <w:jc w:val="left"/>
        <w:rPr>
          <w:sz w:val="21"/>
        </w:rPr>
      </w:pPr>
      <w:r>
        <w:rPr>
          <w:spacing w:val="-3"/>
          <w:sz w:val="21"/>
        </w:rPr>
        <w:t>将承重抽拉支架全部拉出，目测检查支架侧面最外端的反光警示标识，测量反光警示标</w:t>
      </w:r>
      <w:r>
        <w:rPr>
          <w:spacing w:val="-6"/>
          <w:sz w:val="21"/>
        </w:rPr>
        <w:t>识和支架伸出车身的长度，判断试验结果是否符合 </w:t>
      </w:r>
      <w:r>
        <w:rPr>
          <w:sz w:val="21"/>
        </w:rPr>
        <w:t>5.11.4c）</w:t>
      </w:r>
      <w:r>
        <w:rPr>
          <w:spacing w:val="-3"/>
          <w:sz w:val="21"/>
        </w:rPr>
        <w:t>的规定。</w:t>
      </w:r>
      <w:r>
        <w:rPr>
          <w:sz w:val="21"/>
        </w:rPr>
        <w:t> </w:t>
      </w:r>
    </w:p>
    <w:p>
      <w:pPr>
        <w:pStyle w:val="ListParagraph"/>
        <w:numPr>
          <w:ilvl w:val="2"/>
          <w:numId w:val="180"/>
        </w:numPr>
        <w:tabs>
          <w:tab w:pos="1478" w:val="left" w:leader="none"/>
        </w:tabs>
        <w:spacing w:line="240" w:lineRule="auto" w:before="0" w:after="0"/>
        <w:ind w:left="1477" w:right="0" w:hanging="638"/>
        <w:jc w:val="left"/>
        <w:rPr>
          <w:sz w:val="21"/>
        </w:rPr>
      </w:pPr>
      <w:r>
        <w:rPr>
          <w:spacing w:val="-3"/>
          <w:sz w:val="21"/>
        </w:rPr>
        <w:t>空气呼吸器的储存检查方法：</w:t>
      </w:r>
      <w:r>
        <w:rPr>
          <w:sz w:val="21"/>
        </w:rPr>
        <w:t> </w:t>
      </w:r>
    </w:p>
    <w:p>
      <w:pPr>
        <w:pStyle w:val="BodyText"/>
        <w:spacing w:before="12"/>
        <w:rPr>
          <w:sz w:val="17"/>
        </w:rPr>
      </w:pPr>
    </w:p>
    <w:p>
      <w:pPr>
        <w:pStyle w:val="ListParagraph"/>
        <w:numPr>
          <w:ilvl w:val="0"/>
          <w:numId w:val="182"/>
        </w:numPr>
        <w:tabs>
          <w:tab w:pos="1156" w:val="left" w:leader="none"/>
        </w:tabs>
        <w:spacing w:line="446" w:lineRule="auto" w:before="0" w:after="0"/>
        <w:ind w:left="418" w:right="1505" w:firstLine="419"/>
        <w:jc w:val="left"/>
        <w:rPr>
          <w:sz w:val="21"/>
        </w:rPr>
      </w:pPr>
      <w:r>
        <w:rPr>
          <w:spacing w:val="-3"/>
          <w:sz w:val="21"/>
        </w:rPr>
        <w:t>目测检查空气呼吸器和备用瓶是否合理布置，是否有合理的储存空间和位置，判断试验</w:t>
      </w:r>
      <w:r>
        <w:rPr>
          <w:spacing w:val="-11"/>
          <w:sz w:val="21"/>
        </w:rPr>
        <w:t>结果是否符合 </w:t>
      </w:r>
      <w:r>
        <w:rPr>
          <w:sz w:val="21"/>
        </w:rPr>
        <w:t>5.11.5a）</w:t>
      </w:r>
      <w:r>
        <w:rPr>
          <w:spacing w:val="-1"/>
          <w:sz w:val="21"/>
        </w:rPr>
        <w:t>的规定； </w:t>
      </w:r>
    </w:p>
    <w:p>
      <w:pPr>
        <w:pStyle w:val="ListParagraph"/>
        <w:numPr>
          <w:ilvl w:val="0"/>
          <w:numId w:val="182"/>
        </w:numPr>
        <w:tabs>
          <w:tab w:pos="1156" w:val="left" w:leader="none"/>
        </w:tabs>
        <w:spacing w:line="446" w:lineRule="auto" w:before="0" w:after="0"/>
        <w:ind w:left="418" w:right="1505" w:firstLine="419"/>
        <w:jc w:val="left"/>
        <w:rPr>
          <w:sz w:val="21"/>
        </w:rPr>
      </w:pPr>
      <w:r>
        <w:rPr>
          <w:spacing w:val="-3"/>
          <w:sz w:val="21"/>
        </w:rPr>
        <w:t>目测检查空气呼吸器或备用瓶的固定夹持装置，是否对其造成划伤、磨损等损害，判断</w:t>
      </w:r>
      <w:r>
        <w:rPr>
          <w:spacing w:val="-9"/>
          <w:sz w:val="21"/>
        </w:rPr>
        <w:t>试验结果是否符合 </w:t>
      </w:r>
      <w:r>
        <w:rPr>
          <w:sz w:val="21"/>
        </w:rPr>
        <w:t>5.11.5b）</w:t>
      </w:r>
      <w:r>
        <w:rPr>
          <w:spacing w:val="-3"/>
          <w:sz w:val="21"/>
        </w:rPr>
        <w:t>的规定；</w:t>
      </w:r>
      <w:r>
        <w:rPr>
          <w:sz w:val="21"/>
        </w:rPr>
        <w:t> </w:t>
      </w:r>
    </w:p>
    <w:p>
      <w:pPr>
        <w:pStyle w:val="ListParagraph"/>
        <w:numPr>
          <w:ilvl w:val="0"/>
          <w:numId w:val="182"/>
        </w:numPr>
        <w:tabs>
          <w:tab w:pos="1156" w:val="left" w:leader="none"/>
        </w:tabs>
        <w:spacing w:line="446" w:lineRule="auto" w:before="0" w:after="0"/>
        <w:ind w:left="418" w:right="1505" w:firstLine="419"/>
        <w:jc w:val="left"/>
        <w:rPr>
          <w:sz w:val="21"/>
        </w:rPr>
      </w:pPr>
      <w:r>
        <w:rPr>
          <w:spacing w:val="-3"/>
          <w:sz w:val="21"/>
        </w:rPr>
        <w:t>目测检查空气呼吸器或备用瓶的储存区域是否远离热源</w:t>
      </w:r>
      <w:r>
        <w:rPr>
          <w:sz w:val="21"/>
        </w:rPr>
        <w:t>（</w:t>
      </w:r>
      <w:r>
        <w:rPr>
          <w:spacing w:val="-3"/>
          <w:sz w:val="21"/>
        </w:rPr>
        <w:t>如消声器、排气管、发动机</w:t>
      </w:r>
      <w:r>
        <w:rPr>
          <w:sz w:val="21"/>
        </w:rPr>
        <w:t>） </w:t>
      </w:r>
      <w:r>
        <w:rPr>
          <w:spacing w:val="-6"/>
          <w:sz w:val="21"/>
        </w:rPr>
        <w:t>并通风干燥的地方，判断试验结果是否符合 </w:t>
      </w:r>
      <w:r>
        <w:rPr>
          <w:sz w:val="21"/>
        </w:rPr>
        <w:t>5.11.5c）</w:t>
      </w:r>
      <w:r>
        <w:rPr>
          <w:spacing w:val="-3"/>
          <w:sz w:val="21"/>
        </w:rPr>
        <w:t>的规定；</w:t>
      </w:r>
      <w:r>
        <w:rPr>
          <w:sz w:val="21"/>
        </w:rPr>
        <w:t> </w:t>
      </w:r>
    </w:p>
    <w:p>
      <w:pPr>
        <w:pStyle w:val="ListParagraph"/>
        <w:numPr>
          <w:ilvl w:val="0"/>
          <w:numId w:val="182"/>
        </w:numPr>
        <w:tabs>
          <w:tab w:pos="1156" w:val="left" w:leader="none"/>
        </w:tabs>
        <w:spacing w:line="446" w:lineRule="auto" w:before="0" w:after="0"/>
        <w:ind w:left="418" w:right="1450" w:firstLine="419"/>
        <w:jc w:val="left"/>
        <w:rPr>
          <w:sz w:val="21"/>
        </w:rPr>
      </w:pPr>
      <w:r>
        <w:rPr>
          <w:spacing w:val="-3"/>
          <w:sz w:val="21"/>
        </w:rPr>
        <w:t>目测检查用筒</w:t>
      </w:r>
      <w:r>
        <w:rPr>
          <w:sz w:val="21"/>
        </w:rPr>
        <w:t>/</w:t>
      </w:r>
      <w:r>
        <w:rPr>
          <w:spacing w:val="-4"/>
          <w:sz w:val="21"/>
        </w:rPr>
        <w:t>管材料储存空气呼吸器备用瓶的方式，判断试验结果是否符合 </w:t>
      </w:r>
      <w:r>
        <w:rPr>
          <w:sz w:val="21"/>
        </w:rPr>
        <w:t>5.11.5d） </w:t>
      </w:r>
      <w:r>
        <w:rPr>
          <w:spacing w:val="-2"/>
          <w:sz w:val="21"/>
        </w:rPr>
        <w:t>的规定；</w:t>
      </w:r>
      <w:r>
        <w:rPr>
          <w:sz w:val="21"/>
        </w:rPr>
        <w:t> </w:t>
      </w:r>
    </w:p>
    <w:p>
      <w:pPr>
        <w:pStyle w:val="ListParagraph"/>
        <w:numPr>
          <w:ilvl w:val="0"/>
          <w:numId w:val="182"/>
        </w:numPr>
        <w:tabs>
          <w:tab w:pos="1156" w:val="left" w:leader="none"/>
        </w:tabs>
        <w:spacing w:line="446" w:lineRule="auto" w:before="0" w:after="0"/>
        <w:ind w:left="418" w:right="1505" w:firstLine="419"/>
        <w:jc w:val="left"/>
        <w:rPr>
          <w:sz w:val="21"/>
        </w:rPr>
      </w:pPr>
      <w:r>
        <w:rPr>
          <w:spacing w:val="-3"/>
          <w:sz w:val="21"/>
        </w:rPr>
        <w:t>目测检查每个被储存的备用瓶是否装有阀门，且已按规定充气，判断试验结果是否符合5.11.5e）的规定；</w:t>
      </w:r>
      <w:r>
        <w:rPr>
          <w:sz w:val="21"/>
        </w:rPr>
        <w:t> </w:t>
      </w:r>
    </w:p>
    <w:p>
      <w:pPr>
        <w:pStyle w:val="ListParagraph"/>
        <w:numPr>
          <w:ilvl w:val="0"/>
          <w:numId w:val="182"/>
        </w:numPr>
        <w:tabs>
          <w:tab w:pos="1156" w:val="left" w:leader="none"/>
        </w:tabs>
        <w:spacing w:line="446" w:lineRule="auto" w:before="0" w:after="0"/>
        <w:ind w:left="418" w:right="1608" w:firstLine="419"/>
        <w:jc w:val="left"/>
        <w:rPr>
          <w:sz w:val="21"/>
        </w:rPr>
      </w:pPr>
      <w:r>
        <w:rPr>
          <w:spacing w:val="-3"/>
          <w:sz w:val="21"/>
        </w:rPr>
        <w:t>目测检查储存筒/管的基座是否有橡胶、塑料或类似装置以避免备用瓶的磨损，判断试</w:t>
      </w:r>
      <w:r>
        <w:rPr>
          <w:spacing w:val="-10"/>
          <w:sz w:val="21"/>
        </w:rPr>
        <w:t>验结果是否符合 </w:t>
      </w:r>
      <w:r>
        <w:rPr>
          <w:sz w:val="21"/>
        </w:rPr>
        <w:t>5.11.5f）</w:t>
      </w:r>
      <w:r>
        <w:rPr>
          <w:spacing w:val="-3"/>
          <w:sz w:val="21"/>
        </w:rPr>
        <w:t>的规定；</w:t>
      </w:r>
      <w:r>
        <w:rPr>
          <w:sz w:val="21"/>
        </w:rPr>
        <w:t> </w:t>
      </w:r>
    </w:p>
    <w:p>
      <w:pPr>
        <w:pStyle w:val="ListParagraph"/>
        <w:numPr>
          <w:ilvl w:val="0"/>
          <w:numId w:val="182"/>
        </w:numPr>
        <w:tabs>
          <w:tab w:pos="1156" w:val="left" w:leader="none"/>
        </w:tabs>
        <w:spacing w:line="446" w:lineRule="auto" w:before="0" w:after="0"/>
        <w:ind w:left="838" w:right="1503" w:firstLine="0"/>
        <w:jc w:val="left"/>
        <w:rPr>
          <w:sz w:val="21"/>
        </w:rPr>
      </w:pPr>
      <w:r>
        <w:rPr>
          <w:spacing w:val="-3"/>
          <w:sz w:val="21"/>
        </w:rPr>
        <w:t>目测检查储存筒/</w:t>
      </w:r>
      <w:r>
        <w:rPr>
          <w:spacing w:val="-5"/>
          <w:sz w:val="21"/>
        </w:rPr>
        <w:t>管都是否有排水的设计，判断试验结果是否符合 </w:t>
      </w:r>
      <w:r>
        <w:rPr>
          <w:sz w:val="21"/>
        </w:rPr>
        <w:t>5.11.5g）</w:t>
      </w:r>
      <w:r>
        <w:rPr>
          <w:spacing w:val="-3"/>
          <w:sz w:val="21"/>
        </w:rPr>
        <w:t>的规定； </w:t>
      </w:r>
      <w:r>
        <w:rPr>
          <w:sz w:val="21"/>
        </w:rPr>
        <w:t>h）</w:t>
      </w:r>
      <w:r>
        <w:rPr>
          <w:spacing w:val="-3"/>
          <w:sz w:val="21"/>
        </w:rPr>
        <w:t>目测检查储存筒/管总成布局是否合理，是否可以防止空气呼吸器备用瓶从储存筒/</w:t>
      </w:r>
      <w:r>
        <w:rPr>
          <w:sz w:val="21"/>
        </w:rPr>
        <w:t>管中</w:t>
      </w:r>
    </w:p>
    <w:p>
      <w:pPr>
        <w:pStyle w:val="BodyText"/>
        <w:spacing w:line="446" w:lineRule="auto"/>
        <w:ind w:left="838" w:right="1608" w:hanging="420"/>
      </w:pPr>
      <w:r>
        <w:rPr>
          <w:spacing w:val="-2"/>
        </w:rPr>
        <w:t>意外滑出，并使其在运输过程中不产生移动，判断试验结果是否符合  </w:t>
      </w:r>
      <w:r>
        <w:rPr/>
        <w:t>5.11.5h）</w:t>
      </w:r>
      <w:r>
        <w:rPr>
          <w:spacing w:val="-3"/>
        </w:rPr>
        <w:t>的规定； i）目测检查储存筒/管或储存区域的后壁是否有用橡胶、塑料或类似物的设施避免备用瓶</w:t>
      </w:r>
    </w:p>
    <w:p>
      <w:pPr>
        <w:pStyle w:val="BodyText"/>
        <w:spacing w:line="446" w:lineRule="auto"/>
        <w:ind w:left="840" w:right="5339" w:hanging="423"/>
      </w:pPr>
      <w:r>
        <w:rPr/>
        <w:t>的磨损，判断试验结果是否符合 5.11.5i）的规定。</w:t>
      </w:r>
      <w:r>
        <w:rPr>
          <w:b/>
        </w:rPr>
        <w:t>6.12 </w:t>
      </w:r>
      <w:r>
        <w:rPr/>
        <w:t>爬梯试验 </w:t>
      </w:r>
    </w:p>
    <w:p>
      <w:pPr>
        <w:spacing w:after="0" w:line="446" w:lineRule="auto"/>
        <w:sectPr>
          <w:pgSz w:w="11910" w:h="16850"/>
          <w:pgMar w:header="0" w:footer="1239" w:top="1220" w:bottom="1420" w:left="1260" w:right="0"/>
        </w:sectPr>
      </w:pPr>
    </w:p>
    <w:p>
      <w:pPr>
        <w:pStyle w:val="ListParagraph"/>
        <w:numPr>
          <w:ilvl w:val="2"/>
          <w:numId w:val="183"/>
        </w:numPr>
        <w:tabs>
          <w:tab w:pos="1478" w:val="left" w:leader="none"/>
        </w:tabs>
        <w:spacing w:line="446" w:lineRule="auto" w:before="47" w:after="0"/>
        <w:ind w:left="418" w:right="1496" w:firstLine="422"/>
        <w:jc w:val="left"/>
        <w:rPr>
          <w:sz w:val="21"/>
        </w:rPr>
      </w:pPr>
      <w:r>
        <w:rPr>
          <w:spacing w:val="-3"/>
          <w:sz w:val="21"/>
        </w:rPr>
        <w:t>测量爬梯任意两梯磴脚踏面的最小距离，测量爬梯离地面最近的梯磴至地面的垂直</w:t>
      </w:r>
      <w:r>
        <w:rPr>
          <w:spacing w:val="-7"/>
          <w:sz w:val="21"/>
        </w:rPr>
        <w:t>距离，判断试验结果是否符合 </w:t>
      </w:r>
      <w:r>
        <w:rPr>
          <w:sz w:val="21"/>
        </w:rPr>
        <w:t>5.12.1</w:t>
      </w:r>
      <w:r>
        <w:rPr>
          <w:spacing w:val="-13"/>
          <w:sz w:val="21"/>
        </w:rPr>
        <w:t> 的规定。</w:t>
      </w:r>
      <w:r>
        <w:rPr>
          <w:sz w:val="21"/>
        </w:rPr>
        <w:t> </w:t>
      </w:r>
    </w:p>
    <w:p>
      <w:pPr>
        <w:pStyle w:val="ListParagraph"/>
        <w:numPr>
          <w:ilvl w:val="2"/>
          <w:numId w:val="183"/>
        </w:numPr>
        <w:tabs>
          <w:tab w:pos="1478" w:val="left" w:leader="none"/>
        </w:tabs>
        <w:spacing w:line="446" w:lineRule="auto" w:before="0" w:after="0"/>
        <w:ind w:left="418" w:right="1498" w:firstLine="422"/>
        <w:jc w:val="left"/>
        <w:rPr>
          <w:sz w:val="21"/>
        </w:rPr>
      </w:pPr>
      <w:r>
        <w:rPr>
          <w:spacing w:val="-3"/>
          <w:sz w:val="21"/>
        </w:rPr>
        <w:t>测量爬梯距车顶最近的梯磴距车顶踏脚处的垂直距离，测量爬梯扶手顶端距车顶踏</w:t>
      </w:r>
      <w:r>
        <w:rPr>
          <w:spacing w:val="-6"/>
          <w:sz w:val="21"/>
        </w:rPr>
        <w:t>脚处的垂直距离，判断试验结果是否符合 </w:t>
      </w:r>
      <w:r>
        <w:rPr>
          <w:sz w:val="21"/>
        </w:rPr>
        <w:t>5.12.2</w:t>
      </w:r>
      <w:r>
        <w:rPr>
          <w:spacing w:val="-13"/>
          <w:sz w:val="21"/>
        </w:rPr>
        <w:t> 的规定。</w:t>
      </w:r>
      <w:r>
        <w:rPr>
          <w:sz w:val="21"/>
        </w:rPr>
        <w:t> </w:t>
      </w:r>
    </w:p>
    <w:p>
      <w:pPr>
        <w:pStyle w:val="ListParagraph"/>
        <w:numPr>
          <w:ilvl w:val="2"/>
          <w:numId w:val="183"/>
        </w:numPr>
        <w:tabs>
          <w:tab w:pos="1478" w:val="left" w:leader="none"/>
        </w:tabs>
        <w:spacing w:line="446" w:lineRule="auto" w:before="0" w:after="0"/>
        <w:ind w:left="418" w:right="1604" w:firstLine="422"/>
        <w:jc w:val="left"/>
        <w:rPr>
          <w:sz w:val="21"/>
        </w:rPr>
      </w:pPr>
      <w:r>
        <w:rPr>
          <w:spacing w:val="-5"/>
          <w:sz w:val="21"/>
        </w:rPr>
        <w:t>测量爬梯两侧板内侧最小距离为梯磴宽度，制作一宽度 </w:t>
      </w:r>
      <w:r>
        <w:rPr>
          <w:sz w:val="21"/>
        </w:rPr>
        <w:t>50mm</w:t>
      </w:r>
      <w:r>
        <w:rPr>
          <w:spacing w:val="-8"/>
          <w:sz w:val="21"/>
        </w:rPr>
        <w:t> 的钢卡，测量梯磴强度时将钢卡卡在梯磴中间，在钢卡下方挂上 </w:t>
      </w:r>
      <w:r>
        <w:rPr>
          <w:sz w:val="21"/>
        </w:rPr>
        <w:t>300kg</w:t>
      </w:r>
      <w:r>
        <w:rPr>
          <w:spacing w:val="-16"/>
          <w:sz w:val="21"/>
        </w:rPr>
        <w:t> 重物并持续 </w:t>
      </w:r>
      <w:r>
        <w:rPr>
          <w:sz w:val="21"/>
        </w:rPr>
        <w:t>5min</w:t>
      </w:r>
      <w:r>
        <w:rPr>
          <w:spacing w:val="-3"/>
          <w:sz w:val="21"/>
        </w:rPr>
        <w:t>，判断试验结果是否符合</w:t>
      </w:r>
    </w:p>
    <w:p>
      <w:pPr>
        <w:pStyle w:val="BodyText"/>
        <w:ind w:left="418"/>
      </w:pPr>
      <w:r>
        <w:rPr/>
        <w:t>5.12.3 的规定。 </w:t>
      </w:r>
    </w:p>
    <w:p>
      <w:pPr>
        <w:pStyle w:val="BodyText"/>
        <w:spacing w:before="11"/>
        <w:rPr>
          <w:sz w:val="17"/>
        </w:rPr>
      </w:pPr>
    </w:p>
    <w:p>
      <w:pPr>
        <w:pStyle w:val="ListParagraph"/>
        <w:numPr>
          <w:ilvl w:val="1"/>
          <w:numId w:val="184"/>
        </w:numPr>
        <w:tabs>
          <w:tab w:pos="1264" w:val="left" w:leader="none"/>
        </w:tabs>
        <w:spacing w:line="240" w:lineRule="auto" w:before="0" w:after="0"/>
        <w:ind w:left="1263" w:right="0" w:hanging="424"/>
        <w:jc w:val="left"/>
        <w:rPr>
          <w:b/>
          <w:sz w:val="21"/>
        </w:rPr>
      </w:pPr>
      <w:r>
        <w:rPr>
          <w:spacing w:val="-3"/>
          <w:sz w:val="21"/>
        </w:rPr>
        <w:t>制动垫块检查</w:t>
      </w:r>
      <w:r>
        <w:rPr>
          <w:b/>
          <w:w w:val="99"/>
          <w:sz w:val="21"/>
        </w:rPr>
        <w:t> </w:t>
      </w:r>
    </w:p>
    <w:p>
      <w:pPr>
        <w:pStyle w:val="BodyText"/>
        <w:spacing w:before="12"/>
        <w:rPr>
          <w:b/>
          <w:sz w:val="17"/>
        </w:rPr>
      </w:pPr>
    </w:p>
    <w:p>
      <w:pPr>
        <w:pStyle w:val="BodyText"/>
        <w:spacing w:line="446" w:lineRule="auto"/>
        <w:ind w:left="418" w:right="1391" w:firstLine="419"/>
      </w:pPr>
      <w:r>
        <w:rPr/>
        <w:t>检查消防车制动垫块配备的数量，消防车满载状态停留在 20%的坡道上，变速器置于空挡位置，当制动垫块放好并松开驻车制动 ，判断试验结果是否符合 5.13 的规定。 </w:t>
      </w:r>
    </w:p>
    <w:p>
      <w:pPr>
        <w:pStyle w:val="ListParagraph"/>
        <w:numPr>
          <w:ilvl w:val="1"/>
          <w:numId w:val="184"/>
        </w:numPr>
        <w:tabs>
          <w:tab w:pos="1266" w:val="left" w:leader="none"/>
        </w:tabs>
        <w:spacing w:line="240" w:lineRule="auto" w:before="0" w:after="0"/>
        <w:ind w:left="1265" w:right="0" w:hanging="426"/>
        <w:jc w:val="left"/>
        <w:rPr>
          <w:sz w:val="21"/>
        </w:rPr>
      </w:pPr>
      <w:r>
        <w:rPr>
          <w:spacing w:val="-3"/>
          <w:sz w:val="21"/>
        </w:rPr>
        <w:t>附加储气瓶检查</w:t>
      </w:r>
      <w:r>
        <w:rPr>
          <w:sz w:val="21"/>
        </w:rPr>
        <w:t> </w:t>
      </w:r>
    </w:p>
    <w:p>
      <w:pPr>
        <w:pStyle w:val="BodyText"/>
        <w:spacing w:before="12"/>
        <w:rPr>
          <w:sz w:val="17"/>
        </w:rPr>
      </w:pPr>
    </w:p>
    <w:p>
      <w:pPr>
        <w:pStyle w:val="BodyText"/>
        <w:spacing w:line="446" w:lineRule="auto"/>
        <w:ind w:left="418" w:right="1608" w:firstLine="419"/>
        <w:jc w:val="both"/>
      </w:pPr>
      <w:r>
        <w:rPr/>
        <w:t>检查是否有防止制动储气瓶向附加储气瓶流动的单向阀，发动消防车，降低备用储气瓶压力，使底盘空气压缩机向备用储气瓶充气，同时连续踩刹车，降低制动储气瓶的压力，检查底盘空压机是否优先向制动储气瓶充气，判断试验结果是否符合 5.14 的要求。 </w:t>
      </w:r>
    </w:p>
    <w:p>
      <w:pPr>
        <w:pStyle w:val="ListParagraph"/>
        <w:numPr>
          <w:ilvl w:val="1"/>
          <w:numId w:val="184"/>
        </w:numPr>
        <w:tabs>
          <w:tab w:pos="1266" w:val="left" w:leader="none"/>
        </w:tabs>
        <w:spacing w:line="268" w:lineRule="exact" w:before="0" w:after="0"/>
        <w:ind w:left="1265" w:right="0" w:hanging="426"/>
        <w:jc w:val="left"/>
        <w:rPr>
          <w:b/>
          <w:sz w:val="21"/>
        </w:rPr>
      </w:pPr>
      <w:r>
        <w:rPr>
          <w:spacing w:val="-3"/>
          <w:sz w:val="21"/>
        </w:rPr>
        <w:t>随车文件检查</w:t>
      </w:r>
      <w:r>
        <w:rPr>
          <w:b/>
          <w:w w:val="99"/>
          <w:sz w:val="21"/>
        </w:rPr>
        <w:t> </w:t>
      </w:r>
    </w:p>
    <w:p>
      <w:pPr>
        <w:pStyle w:val="BodyText"/>
        <w:spacing w:before="2"/>
        <w:rPr>
          <w:b/>
          <w:sz w:val="18"/>
        </w:rPr>
      </w:pPr>
    </w:p>
    <w:p>
      <w:pPr>
        <w:pStyle w:val="BodyText"/>
        <w:spacing w:line="446" w:lineRule="auto"/>
        <w:ind w:left="840" w:right="4134" w:hanging="3"/>
        <w:rPr>
          <w:b/>
        </w:rPr>
      </w:pPr>
      <w:r>
        <w:rPr/>
        <w:t>检查消防车随车文件。判断试验结果是否符合 5.15 的规定。</w:t>
      </w:r>
      <w:r>
        <w:rPr>
          <w:b/>
        </w:rPr>
        <w:t>6.16 </w:t>
      </w:r>
      <w:r>
        <w:rPr/>
        <w:t>外观质量检查</w:t>
      </w:r>
      <w:r>
        <w:rPr>
          <w:b/>
          <w:w w:val="99"/>
        </w:rPr>
        <w:t> </w:t>
      </w:r>
    </w:p>
    <w:p>
      <w:pPr>
        <w:pStyle w:val="ListParagraph"/>
        <w:numPr>
          <w:ilvl w:val="2"/>
          <w:numId w:val="185"/>
        </w:numPr>
        <w:tabs>
          <w:tab w:pos="1478" w:val="left" w:leader="none"/>
        </w:tabs>
        <w:spacing w:line="446" w:lineRule="auto" w:before="0" w:after="0"/>
        <w:ind w:left="418" w:right="1498" w:firstLine="422"/>
        <w:jc w:val="left"/>
        <w:rPr>
          <w:sz w:val="21"/>
        </w:rPr>
      </w:pPr>
      <w:r>
        <w:rPr>
          <w:spacing w:val="-3"/>
          <w:sz w:val="21"/>
        </w:rPr>
        <w:t>目测检查消防车的油漆颜色，检查油漆层的外观是否光滑、平整、色泽均匀，是否有缺漆等缺陷。涂漆零件相互之间是否有显著的色差和光泽差，装饰表面是否有麻坑、斑点、杂色、裂痕、气泡及明显的划伤、流痕等缺陷，非装饰表面是否有露底和明显的划伤及毛刺等</w:t>
      </w:r>
      <w:r>
        <w:rPr>
          <w:spacing w:val="-7"/>
          <w:sz w:val="21"/>
        </w:rPr>
        <w:t>缺陷，车身两侧及后平面分别取 </w:t>
      </w:r>
      <w:r>
        <w:rPr>
          <w:sz w:val="21"/>
        </w:rPr>
        <w:t>1000</w:t>
      </w:r>
      <w:r>
        <w:rPr>
          <w:spacing w:val="7"/>
          <w:sz w:val="21"/>
        </w:rPr>
        <w:t> </w:t>
      </w:r>
      <w:r>
        <w:rPr>
          <w:sz w:val="21"/>
        </w:rPr>
        <w:t>mm×1000</w:t>
      </w:r>
      <w:r>
        <w:rPr>
          <w:spacing w:val="7"/>
          <w:sz w:val="21"/>
        </w:rPr>
        <w:t> </w:t>
      </w:r>
      <w:r>
        <w:rPr>
          <w:sz w:val="21"/>
        </w:rPr>
        <w:t>mm</w:t>
      </w:r>
      <w:r>
        <w:rPr>
          <w:spacing w:val="-15"/>
          <w:sz w:val="21"/>
        </w:rPr>
        <w:t> 的测试面，用 </w:t>
      </w:r>
      <w:r>
        <w:rPr>
          <w:spacing w:val="-3"/>
          <w:sz w:val="21"/>
        </w:rPr>
        <w:t>1</w:t>
      </w:r>
      <w:r>
        <w:rPr>
          <w:spacing w:val="7"/>
          <w:sz w:val="21"/>
        </w:rPr>
        <w:t> </w:t>
      </w:r>
      <w:r>
        <w:rPr>
          <w:sz w:val="21"/>
        </w:rPr>
        <w:t>m</w:t>
      </w:r>
      <w:r>
        <w:rPr>
          <w:spacing w:val="-8"/>
          <w:sz w:val="21"/>
        </w:rPr>
        <w:t> 钢直尺靠住车身，测量纵向和横向最大间隙，判断试验结果是否符合 </w:t>
      </w:r>
      <w:r>
        <w:rPr>
          <w:sz w:val="21"/>
        </w:rPr>
        <w:t>5.16.1</w:t>
      </w:r>
      <w:r>
        <w:rPr>
          <w:spacing w:val="-13"/>
          <w:sz w:val="21"/>
        </w:rPr>
        <w:t> 的规定。</w:t>
      </w:r>
      <w:r>
        <w:rPr>
          <w:sz w:val="21"/>
        </w:rPr>
        <w:t> </w:t>
      </w:r>
    </w:p>
    <w:p>
      <w:pPr>
        <w:pStyle w:val="ListParagraph"/>
        <w:numPr>
          <w:ilvl w:val="2"/>
          <w:numId w:val="185"/>
        </w:numPr>
        <w:tabs>
          <w:tab w:pos="1478" w:val="left" w:leader="none"/>
        </w:tabs>
        <w:spacing w:line="446" w:lineRule="auto" w:before="0" w:after="0"/>
        <w:ind w:left="418" w:right="1496" w:firstLine="422"/>
        <w:jc w:val="left"/>
        <w:rPr>
          <w:sz w:val="21"/>
        </w:rPr>
      </w:pPr>
      <w:r>
        <w:rPr>
          <w:spacing w:val="-3"/>
          <w:sz w:val="21"/>
        </w:rPr>
        <w:t>目测检查消防车的电镀层及化学处理层表面色泽是否均匀，是否有烧黑、鼓泡、剥</w:t>
      </w:r>
      <w:r>
        <w:rPr>
          <w:spacing w:val="-5"/>
          <w:sz w:val="21"/>
        </w:rPr>
        <w:t>落、锈蚀、露底、明显的划伤及毛刺等缺陷，判断试验结果是否符合 </w:t>
      </w:r>
      <w:r>
        <w:rPr>
          <w:sz w:val="21"/>
        </w:rPr>
        <w:t>5.16.2</w:t>
      </w:r>
      <w:r>
        <w:rPr>
          <w:spacing w:val="-12"/>
          <w:sz w:val="21"/>
        </w:rPr>
        <w:t> 的规定。 </w:t>
      </w:r>
    </w:p>
    <w:p>
      <w:pPr>
        <w:pStyle w:val="ListParagraph"/>
        <w:numPr>
          <w:ilvl w:val="2"/>
          <w:numId w:val="185"/>
        </w:numPr>
        <w:tabs>
          <w:tab w:pos="1478" w:val="left" w:leader="none"/>
        </w:tabs>
        <w:spacing w:line="446" w:lineRule="auto" w:before="0" w:after="0"/>
        <w:ind w:left="418" w:right="1496" w:firstLine="422"/>
        <w:jc w:val="left"/>
        <w:rPr>
          <w:sz w:val="21"/>
        </w:rPr>
      </w:pPr>
      <w:r>
        <w:rPr>
          <w:spacing w:val="-3"/>
          <w:sz w:val="21"/>
        </w:rPr>
        <w:t>目测检查消防车的焊接件焊点、焊缝外观是否平整、均匀，是否有明显的堆积及飞溅物，是否有漏焊、焊瘤、夹渣、裂纹、气孔、咬边、烧穿、凹坑、未焊满、塌焊等缺陷，判</w:t>
      </w:r>
      <w:r>
        <w:rPr>
          <w:spacing w:val="-8"/>
          <w:sz w:val="21"/>
        </w:rPr>
        <w:t>断试验结果是否符合 </w:t>
      </w:r>
      <w:r>
        <w:rPr>
          <w:sz w:val="21"/>
        </w:rPr>
        <w:t>5.16.3</w:t>
      </w:r>
      <w:r>
        <w:rPr>
          <w:spacing w:val="-13"/>
          <w:sz w:val="21"/>
        </w:rPr>
        <w:t> 的规定。</w:t>
      </w:r>
      <w:r>
        <w:rPr>
          <w:sz w:val="21"/>
        </w:rPr>
        <w:t> </w:t>
      </w:r>
    </w:p>
    <w:p>
      <w:pPr>
        <w:pStyle w:val="ListParagraph"/>
        <w:numPr>
          <w:ilvl w:val="2"/>
          <w:numId w:val="185"/>
        </w:numPr>
        <w:tabs>
          <w:tab w:pos="1478" w:val="left" w:leader="none"/>
        </w:tabs>
        <w:spacing w:line="268" w:lineRule="exact" w:before="0" w:after="0"/>
        <w:ind w:left="1477" w:right="0" w:hanging="638"/>
        <w:jc w:val="left"/>
        <w:rPr>
          <w:sz w:val="21"/>
        </w:rPr>
      </w:pPr>
      <w:r>
        <w:rPr>
          <w:spacing w:val="-3"/>
          <w:sz w:val="21"/>
        </w:rPr>
        <w:t>目测检查消防车的塑料件表面色泽是否均匀，是否有明显的划伤、飞边、裂纹及凸</w:t>
      </w:r>
    </w:p>
    <w:p>
      <w:pPr>
        <w:spacing w:after="0" w:line="268" w:lineRule="exact"/>
        <w:jc w:val="left"/>
        <w:rPr>
          <w:sz w:val="21"/>
        </w:rPr>
        <w:sectPr>
          <w:pgSz w:w="11910" w:h="16850"/>
          <w:pgMar w:header="0" w:footer="1239" w:top="1220" w:bottom="1420" w:left="1260" w:right="0"/>
        </w:sectPr>
      </w:pPr>
    </w:p>
    <w:p>
      <w:pPr>
        <w:pStyle w:val="BodyText"/>
        <w:spacing w:line="446" w:lineRule="auto" w:before="47"/>
        <w:ind w:left="840" w:right="5394" w:hanging="423"/>
        <w:rPr>
          <w:b/>
        </w:rPr>
      </w:pPr>
      <w:r>
        <w:rPr/>
        <w:t>凹等缺陷，判断试验结果是否符合 5.16.4 的规定。</w:t>
      </w:r>
      <w:r>
        <w:rPr>
          <w:b/>
        </w:rPr>
        <w:t>6.17 </w:t>
      </w:r>
      <w:r>
        <w:rPr/>
        <w:t>装置多种消防专用装置的消防车试验</w:t>
      </w:r>
      <w:r>
        <w:rPr>
          <w:b/>
          <w:w w:val="99"/>
        </w:rPr>
        <w:t> </w:t>
      </w:r>
    </w:p>
    <w:p>
      <w:pPr>
        <w:pStyle w:val="BodyText"/>
        <w:spacing w:line="446" w:lineRule="auto"/>
        <w:ind w:left="418" w:right="1609" w:firstLine="419"/>
      </w:pPr>
      <w:r>
        <w:rPr/>
        <w:t>消防车装备的各消防专用装置按照消防车系列标准中各部分规定的方法进行试验，判断试验结果是否符合消防车系列标准中各部分的技术要求。 </w:t>
      </w:r>
    </w:p>
    <w:p>
      <w:pPr>
        <w:pStyle w:val="BodyText"/>
        <w:spacing w:before="5"/>
        <w:rPr>
          <w:sz w:val="19"/>
        </w:rPr>
      </w:pPr>
    </w:p>
    <w:p>
      <w:pPr>
        <w:pStyle w:val="Heading2"/>
        <w:spacing w:before="0"/>
        <w:ind w:left="2780"/>
        <w:jc w:val="left"/>
      </w:pPr>
      <w:bookmarkStart w:name="_bookmark9" w:id="10"/>
      <w:bookmarkEnd w:id="10"/>
      <w:r>
        <w:rPr>
          <w:b w:val="0"/>
        </w:rPr>
      </w:r>
      <w:r>
        <w:rPr/>
        <w:t>消防车 第 2 部分：水罐消防车</w:t>
      </w:r>
      <w:r>
        <w:rPr>
          <w:w w:val="99"/>
        </w:rPr>
        <w:t> </w:t>
      </w:r>
    </w:p>
    <w:p>
      <w:pPr>
        <w:pStyle w:val="BodyText"/>
        <w:spacing w:before="7"/>
        <w:rPr>
          <w:b/>
          <w:sz w:val="39"/>
        </w:rPr>
      </w:pPr>
    </w:p>
    <w:p>
      <w:pPr>
        <w:pStyle w:val="Heading4"/>
      </w:pPr>
      <w:r>
        <w:rPr/>
        <w:t>1 范围</w:t>
      </w:r>
      <w:r>
        <w:rPr>
          <w:w w:val="99"/>
        </w:rPr>
        <w:t> </w:t>
      </w:r>
    </w:p>
    <w:p>
      <w:pPr>
        <w:pStyle w:val="BodyText"/>
        <w:spacing w:before="4"/>
        <w:rPr>
          <w:b/>
          <w:sz w:val="17"/>
        </w:rPr>
      </w:pPr>
    </w:p>
    <w:p>
      <w:pPr>
        <w:pStyle w:val="BodyText"/>
        <w:spacing w:line="446" w:lineRule="auto"/>
        <w:ind w:left="418" w:right="1661" w:firstLine="419"/>
      </w:pPr>
      <w:r>
        <w:rPr/>
        <w:t>GB 7956</w:t>
      </w:r>
      <w:r>
        <w:rPr>
          <w:spacing w:val="-8"/>
        </w:rPr>
        <w:t> 的本部分规定了水罐消防车的术语和定义、技术要求、试验方法，检验规则及标</w:t>
      </w:r>
      <w:r>
        <w:rPr>
          <w:spacing w:val="-5"/>
        </w:rPr>
        <w:t>志、包装、 运输和储存。</w:t>
      </w:r>
      <w:r>
        <w:rPr/>
        <w:t> </w:t>
      </w:r>
    </w:p>
    <w:p>
      <w:pPr>
        <w:pStyle w:val="BodyText"/>
        <w:ind w:left="838"/>
      </w:pPr>
      <w:r>
        <w:rPr/>
        <w:t>本部分适用于水罐车消防车；供水消防车参照本部分执行。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ind w:left="838"/>
      </w:pPr>
      <w:r>
        <w:rPr/>
        <w:t>GB/T 3181 漆膜颜色标准 </w:t>
      </w:r>
    </w:p>
    <w:p>
      <w:pPr>
        <w:pStyle w:val="BodyText"/>
        <w:rPr>
          <w:sz w:val="18"/>
        </w:rPr>
      </w:pPr>
    </w:p>
    <w:p>
      <w:pPr>
        <w:pStyle w:val="BodyText"/>
        <w:spacing w:line="446" w:lineRule="auto"/>
        <w:ind w:left="838" w:right="4134"/>
      </w:pPr>
      <w:r>
        <w:rPr/>
        <w:t>GB 4351.1—2005 手提式灭火器 第 1 部分：性能和结构要求GB 6245—2006 消防泵 </w:t>
      </w:r>
    </w:p>
    <w:p>
      <w:pPr>
        <w:pStyle w:val="BodyText"/>
        <w:spacing w:line="446" w:lineRule="auto"/>
        <w:ind w:left="838" w:right="5077"/>
      </w:pPr>
      <w:r>
        <w:rPr/>
        <w:t>GB 7956.1-2014 消防车 第 1 部分：通用技术条件GB 19156 消防炮通用技术条件 </w:t>
      </w:r>
    </w:p>
    <w:p>
      <w:pPr>
        <w:pStyle w:val="Heading4"/>
        <w:spacing w:line="277" w:lineRule="exact"/>
      </w:pPr>
      <w:r>
        <w:rPr/>
        <w:t>3 术语和定义</w:t>
      </w:r>
      <w:r>
        <w:rPr>
          <w:w w:val="99"/>
        </w:rPr>
        <w:t> </w:t>
      </w:r>
    </w:p>
    <w:p>
      <w:pPr>
        <w:pStyle w:val="BodyText"/>
        <w:spacing w:before="4"/>
        <w:rPr>
          <w:b/>
          <w:sz w:val="17"/>
        </w:rPr>
      </w:pPr>
    </w:p>
    <w:p>
      <w:pPr>
        <w:pStyle w:val="BodyText"/>
        <w:spacing w:line="446" w:lineRule="auto"/>
        <w:ind w:left="418" w:right="1400" w:firstLine="419"/>
      </w:pPr>
      <w:r>
        <w:rPr/>
        <w:t>GB 6245</w:t>
      </w:r>
      <w:r>
        <w:rPr>
          <w:spacing w:val="-34"/>
        </w:rPr>
        <w:t> 和 </w:t>
      </w:r>
      <w:r>
        <w:rPr/>
        <w:t>GB7956.1</w:t>
      </w:r>
      <w:r>
        <w:rPr>
          <w:spacing w:val="-11"/>
        </w:rPr>
        <w:t> 界定的术语和定义适用于本文件。为了便于使用，以下重复列出了 </w:t>
      </w:r>
      <w:r>
        <w:rPr/>
        <w:t>GB 7956.1- 2014</w:t>
      </w:r>
      <w:r>
        <w:rPr>
          <w:spacing w:val="-9"/>
        </w:rPr>
        <w:t> 中的某些术语和定义。</w:t>
      </w:r>
      <w:r>
        <w:rPr/>
        <w:t> </w:t>
      </w:r>
    </w:p>
    <w:p>
      <w:pPr>
        <w:pStyle w:val="ListParagraph"/>
        <w:numPr>
          <w:ilvl w:val="1"/>
          <w:numId w:val="186"/>
        </w:numPr>
        <w:tabs>
          <w:tab w:pos="1213" w:val="left" w:leader="none"/>
        </w:tabs>
        <w:spacing w:line="240" w:lineRule="auto" w:before="0" w:after="0"/>
        <w:ind w:left="1212" w:right="0" w:hanging="373"/>
        <w:jc w:val="left"/>
        <w:rPr>
          <w:sz w:val="21"/>
        </w:rPr>
      </w:pPr>
      <w:r>
        <w:rPr>
          <w:spacing w:val="-3"/>
          <w:sz w:val="21"/>
        </w:rPr>
        <w:t>水罐消防车 </w:t>
      </w:r>
      <w:r>
        <w:rPr>
          <w:sz w:val="21"/>
        </w:rPr>
        <w:t>water</w:t>
      </w:r>
      <w:r>
        <w:rPr>
          <w:spacing w:val="1"/>
          <w:sz w:val="21"/>
        </w:rPr>
        <w:t> </w:t>
      </w:r>
      <w:r>
        <w:rPr>
          <w:sz w:val="21"/>
        </w:rPr>
        <w:t>tank fire</w:t>
      </w:r>
      <w:r>
        <w:rPr>
          <w:spacing w:val="1"/>
          <w:sz w:val="21"/>
        </w:rPr>
        <w:t> </w:t>
      </w:r>
      <w:r>
        <w:rPr>
          <w:sz w:val="21"/>
        </w:rPr>
        <w:t>fighting vehicle </w:t>
      </w:r>
    </w:p>
    <w:p>
      <w:pPr>
        <w:pStyle w:val="BodyText"/>
        <w:spacing w:before="12"/>
        <w:rPr>
          <w:sz w:val="17"/>
        </w:rPr>
      </w:pPr>
    </w:p>
    <w:p>
      <w:pPr>
        <w:pStyle w:val="BodyText"/>
        <w:spacing w:line="446" w:lineRule="auto"/>
        <w:ind w:left="838" w:right="4237"/>
      </w:pPr>
      <w:r>
        <w:rPr/>
        <w:t>主要装备车用消防泵和水罐，以水为主要灭火剂的消防车。[GB 7956.1-2014，定义 3.1.1] </w:t>
      </w:r>
    </w:p>
    <w:p>
      <w:pPr>
        <w:pStyle w:val="ListParagraph"/>
        <w:numPr>
          <w:ilvl w:val="1"/>
          <w:numId w:val="186"/>
        </w:numPr>
        <w:tabs>
          <w:tab w:pos="1159" w:val="left" w:leader="none"/>
        </w:tabs>
        <w:spacing w:line="240" w:lineRule="auto" w:before="0" w:after="0"/>
        <w:ind w:left="1158" w:right="0" w:hanging="319"/>
        <w:jc w:val="left"/>
        <w:rPr>
          <w:b/>
          <w:sz w:val="21"/>
        </w:rPr>
      </w:pPr>
      <w:r>
        <w:rPr>
          <w:spacing w:val="-3"/>
          <w:sz w:val="21"/>
        </w:rPr>
        <w:t>供水消防车 </w:t>
      </w:r>
      <w:r>
        <w:rPr>
          <w:sz w:val="21"/>
        </w:rPr>
        <w:t>water</w:t>
      </w:r>
      <w:r>
        <w:rPr>
          <w:spacing w:val="1"/>
          <w:sz w:val="21"/>
        </w:rPr>
        <w:t> </w:t>
      </w:r>
      <w:r>
        <w:rPr>
          <w:sz w:val="21"/>
        </w:rPr>
        <w:t>supply fire</w:t>
      </w:r>
      <w:r>
        <w:rPr>
          <w:spacing w:val="-2"/>
          <w:sz w:val="21"/>
        </w:rPr>
        <w:t> </w:t>
      </w:r>
      <w:r>
        <w:rPr>
          <w:sz w:val="21"/>
        </w:rPr>
        <w:t>fighting</w:t>
      </w:r>
      <w:r>
        <w:rPr>
          <w:spacing w:val="1"/>
          <w:sz w:val="21"/>
        </w:rPr>
        <w:t> </w:t>
      </w:r>
      <w:r>
        <w:rPr>
          <w:sz w:val="21"/>
        </w:rPr>
        <w:t>vehicle</w:t>
      </w:r>
      <w:r>
        <w:rPr>
          <w:b/>
          <w:w w:val="99"/>
          <w:sz w:val="21"/>
        </w:rPr>
        <w:t> </w:t>
      </w:r>
    </w:p>
    <w:p>
      <w:pPr>
        <w:pStyle w:val="BodyText"/>
        <w:rPr>
          <w:b/>
          <w:sz w:val="18"/>
        </w:rPr>
      </w:pPr>
    </w:p>
    <w:p>
      <w:pPr>
        <w:pStyle w:val="BodyText"/>
        <w:spacing w:line="446" w:lineRule="auto"/>
        <w:ind w:left="838" w:right="3397"/>
      </w:pPr>
      <w:r>
        <w:rPr/>
        <w:t>主要装备车用消防泵和大容量水罐，用于向灾害现场供水的消防车。[GB7956.1—2014，定义 3.1.2] </w:t>
      </w:r>
    </w:p>
    <w:p>
      <w:pPr>
        <w:spacing w:after="0" w:line="446" w:lineRule="auto"/>
        <w:sectPr>
          <w:pgSz w:w="11910" w:h="16850"/>
          <w:pgMar w:header="0" w:footer="1239" w:top="1220" w:bottom="1420" w:left="1260" w:right="0"/>
        </w:sectPr>
      </w:pPr>
    </w:p>
    <w:p>
      <w:pPr>
        <w:pStyle w:val="Heading4"/>
        <w:spacing w:before="37"/>
      </w:pPr>
      <w:r>
        <w:rPr/>
        <w:t>4 技术要求</w:t>
      </w:r>
      <w:r>
        <w:rPr>
          <w:w w:val="99"/>
        </w:rPr>
        <w:t> </w:t>
      </w:r>
    </w:p>
    <w:p>
      <w:pPr>
        <w:pStyle w:val="BodyText"/>
        <w:spacing w:before="4"/>
        <w:rPr>
          <w:b/>
          <w:sz w:val="17"/>
        </w:rPr>
      </w:pPr>
    </w:p>
    <w:p>
      <w:pPr>
        <w:pStyle w:val="ListParagraph"/>
        <w:numPr>
          <w:ilvl w:val="1"/>
          <w:numId w:val="187"/>
        </w:numPr>
        <w:tabs>
          <w:tab w:pos="1159" w:val="left" w:leader="none"/>
        </w:tabs>
        <w:spacing w:line="240" w:lineRule="auto" w:before="1" w:after="0"/>
        <w:ind w:left="1158" w:right="0" w:hanging="319"/>
        <w:jc w:val="left"/>
        <w:rPr>
          <w:b/>
          <w:sz w:val="21"/>
        </w:rPr>
      </w:pPr>
      <w:r>
        <w:rPr>
          <w:spacing w:val="-3"/>
          <w:sz w:val="21"/>
        </w:rPr>
        <w:t>基本要求</w:t>
      </w:r>
      <w:r>
        <w:rPr>
          <w:b/>
          <w:w w:val="99"/>
          <w:sz w:val="21"/>
        </w:rPr>
        <w:t> </w:t>
      </w:r>
    </w:p>
    <w:p>
      <w:pPr>
        <w:pStyle w:val="BodyText"/>
        <w:spacing w:before="12"/>
        <w:rPr>
          <w:b/>
          <w:sz w:val="17"/>
        </w:rPr>
      </w:pPr>
    </w:p>
    <w:p>
      <w:pPr>
        <w:pStyle w:val="BodyText"/>
        <w:spacing w:line="446" w:lineRule="auto"/>
        <w:ind w:left="418" w:right="1767" w:firstLine="419"/>
      </w:pPr>
      <w:r>
        <w:rPr/>
        <w:t>水罐消防车（以下简称“水罐车"）、供水消防车（以下简称”供水车”）除应符合 GB 7956.1-2014 的通用技术要求外，还应符合本部分的要求。 </w:t>
      </w:r>
    </w:p>
    <w:p>
      <w:pPr>
        <w:pStyle w:val="ListParagraph"/>
        <w:numPr>
          <w:ilvl w:val="1"/>
          <w:numId w:val="187"/>
        </w:numPr>
        <w:tabs>
          <w:tab w:pos="1159" w:val="left" w:leader="none"/>
        </w:tabs>
        <w:spacing w:line="240" w:lineRule="auto" w:before="0" w:after="0"/>
        <w:ind w:left="1158" w:right="0" w:hanging="319"/>
        <w:jc w:val="left"/>
        <w:rPr>
          <w:sz w:val="21"/>
        </w:rPr>
      </w:pPr>
      <w:r>
        <w:rPr>
          <w:spacing w:val="-3"/>
          <w:sz w:val="21"/>
        </w:rPr>
        <w:t>整车要求</w:t>
      </w:r>
      <w:r>
        <w:rPr>
          <w:sz w:val="21"/>
        </w:rPr>
        <w:t> </w:t>
      </w:r>
    </w:p>
    <w:p>
      <w:pPr>
        <w:pStyle w:val="BodyText"/>
        <w:spacing w:before="12"/>
        <w:rPr>
          <w:sz w:val="17"/>
        </w:rPr>
      </w:pPr>
    </w:p>
    <w:p>
      <w:pPr>
        <w:pStyle w:val="ListParagraph"/>
        <w:numPr>
          <w:ilvl w:val="2"/>
          <w:numId w:val="187"/>
        </w:numPr>
        <w:tabs>
          <w:tab w:pos="1370" w:val="left" w:leader="none"/>
        </w:tabs>
        <w:spacing w:line="240" w:lineRule="auto" w:before="0" w:after="0"/>
        <w:ind w:left="1369" w:right="0" w:hanging="530"/>
        <w:jc w:val="left"/>
        <w:rPr>
          <w:sz w:val="21"/>
        </w:rPr>
      </w:pPr>
      <w:r>
        <w:rPr>
          <w:spacing w:val="-3"/>
          <w:sz w:val="21"/>
        </w:rPr>
        <w:t>一般要求</w:t>
      </w:r>
      <w:r>
        <w:rPr>
          <w:sz w:val="21"/>
        </w:rPr>
        <w:t> </w:t>
      </w:r>
    </w:p>
    <w:p>
      <w:pPr>
        <w:pStyle w:val="BodyText"/>
        <w:spacing w:before="2"/>
        <w:rPr>
          <w:sz w:val="18"/>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7"/>
          <w:sz w:val="21"/>
        </w:rPr>
        <w:t>燃油箱容量应满足满载行驶 </w:t>
      </w:r>
      <w:r>
        <w:rPr>
          <w:sz w:val="21"/>
        </w:rPr>
        <w:t>100km</w:t>
      </w:r>
      <w:r>
        <w:rPr>
          <w:spacing w:val="-8"/>
          <w:sz w:val="21"/>
        </w:rPr>
        <w:t> 后在消防车额定流量和出口压力下连续工作</w:t>
      </w:r>
    </w:p>
    <w:p>
      <w:pPr>
        <w:pStyle w:val="BodyText"/>
        <w:rPr>
          <w:sz w:val="18"/>
        </w:rPr>
      </w:pPr>
    </w:p>
    <w:p>
      <w:pPr>
        <w:pStyle w:val="BodyText"/>
        <w:ind w:left="418"/>
      </w:pPr>
      <w:r>
        <w:rPr/>
        <w:t>2h。 </w:t>
      </w:r>
    </w:p>
    <w:p>
      <w:pPr>
        <w:pStyle w:val="BodyText"/>
        <w:spacing w:before="12"/>
        <w:rPr>
          <w:sz w:val="17"/>
        </w:rPr>
      </w:pPr>
    </w:p>
    <w:p>
      <w:pPr>
        <w:pStyle w:val="ListParagraph"/>
        <w:numPr>
          <w:ilvl w:val="3"/>
          <w:numId w:val="187"/>
        </w:numPr>
        <w:tabs>
          <w:tab w:pos="1576" w:val="left" w:leader="none"/>
        </w:tabs>
        <w:spacing w:line="446" w:lineRule="auto" w:before="0" w:after="0"/>
        <w:ind w:left="418" w:right="1402" w:firstLine="419"/>
        <w:jc w:val="left"/>
        <w:rPr>
          <w:sz w:val="21"/>
        </w:rPr>
      </w:pPr>
      <w:r>
        <w:rPr>
          <w:spacing w:val="-2"/>
          <w:sz w:val="21"/>
        </w:rPr>
        <w:t>应有手控发动机转速控制器，控制器操作机构便于操作，并能保持稳定的发动机 转</w:t>
      </w:r>
      <w:r>
        <w:rPr>
          <w:spacing w:val="-3"/>
          <w:sz w:val="21"/>
        </w:rPr>
        <w:t>速，操作人 员在消防泵操作处应能看清所有压力显示装置、消防泵转速表以及其他指示器。</w:t>
      </w:r>
      <w:r>
        <w:rPr>
          <w:sz w:val="21"/>
        </w:rPr>
        <w:t> </w:t>
      </w:r>
    </w:p>
    <w:p>
      <w:pPr>
        <w:pStyle w:val="ListParagraph"/>
        <w:numPr>
          <w:ilvl w:val="3"/>
          <w:numId w:val="187"/>
        </w:numPr>
        <w:tabs>
          <w:tab w:pos="1576" w:val="left" w:leader="none"/>
        </w:tabs>
        <w:spacing w:line="240" w:lineRule="auto" w:before="0" w:after="0"/>
        <w:ind w:left="1575" w:right="0" w:hanging="738"/>
        <w:jc w:val="left"/>
        <w:rPr>
          <w:sz w:val="21"/>
        </w:rPr>
      </w:pPr>
      <w:r>
        <w:rPr>
          <w:spacing w:val="-3"/>
          <w:sz w:val="21"/>
        </w:rPr>
        <w:t>各自动控制机构应有手动应急措施。</w:t>
      </w:r>
      <w:r>
        <w:rPr>
          <w:sz w:val="21"/>
        </w:rPr>
        <w:t> </w:t>
      </w:r>
    </w:p>
    <w:p>
      <w:pPr>
        <w:pStyle w:val="BodyText"/>
        <w:rPr>
          <w:sz w:val="18"/>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5"/>
          <w:sz w:val="21"/>
        </w:rPr>
        <w:t>操作面板上消防泵出口和进口压力表连接处应提供测试用连接管，接口规格为 </w:t>
      </w:r>
      <w:r>
        <w:rPr>
          <w:sz w:val="21"/>
        </w:rPr>
        <w:t>M10</w:t>
      </w:r>
    </w:p>
    <w:p>
      <w:pPr>
        <w:pStyle w:val="BodyText"/>
        <w:spacing w:before="2"/>
        <w:rPr>
          <w:sz w:val="18"/>
        </w:rPr>
      </w:pPr>
    </w:p>
    <w:p>
      <w:pPr>
        <w:pStyle w:val="BodyText"/>
        <w:spacing w:line="446" w:lineRule="auto"/>
        <w:ind w:left="838" w:right="1508" w:hanging="420"/>
      </w:pPr>
      <w:r>
        <w:rPr/>
        <w:t>×1.5mm 的外螺纹，螺纹长度不小于 15mm，接口位置应便于外接压力表的安装，井标注标识。4.2.1.5 主操作面板区域离地 1.2m 以上不应有大于 65mm 的出水口。 </w:t>
      </w:r>
    </w:p>
    <w:p>
      <w:pPr>
        <w:pStyle w:val="ListParagraph"/>
        <w:numPr>
          <w:ilvl w:val="2"/>
          <w:numId w:val="187"/>
        </w:numPr>
        <w:tabs>
          <w:tab w:pos="1370" w:val="left" w:leader="none"/>
        </w:tabs>
        <w:spacing w:line="267" w:lineRule="exact" w:before="0" w:after="0"/>
        <w:ind w:left="1369" w:right="0" w:hanging="530"/>
        <w:jc w:val="left"/>
        <w:rPr>
          <w:sz w:val="21"/>
        </w:rPr>
      </w:pPr>
      <w:r>
        <w:rPr>
          <w:spacing w:val="-3"/>
          <w:sz w:val="21"/>
        </w:rPr>
        <w:t>操作说明和标识</w:t>
      </w:r>
      <w:r>
        <w:rPr>
          <w:sz w:val="21"/>
        </w:rPr>
        <w:t> </w:t>
      </w:r>
    </w:p>
    <w:p>
      <w:pPr>
        <w:pStyle w:val="BodyText"/>
        <w:spacing w:before="2"/>
        <w:rPr>
          <w:sz w:val="18"/>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3"/>
          <w:sz w:val="21"/>
        </w:rPr>
        <w:t>操作面板应包括以下内容：</w:t>
      </w:r>
      <w:r>
        <w:rPr>
          <w:sz w:val="21"/>
        </w:rPr>
        <w:t> </w:t>
      </w:r>
    </w:p>
    <w:p>
      <w:pPr>
        <w:pStyle w:val="BodyText"/>
        <w:spacing w:before="12"/>
        <w:rPr>
          <w:sz w:val="17"/>
        </w:rPr>
      </w:pPr>
    </w:p>
    <w:p>
      <w:pPr>
        <w:pStyle w:val="BodyText"/>
        <w:ind w:left="838"/>
      </w:pPr>
      <w:r>
        <w:rPr>
          <w:spacing w:val="-3"/>
        </w:rPr>
        <w:t>——消防泵额定流量和出口压力数值及操作说明；</w:t>
      </w:r>
      <w:r>
        <w:rPr/>
        <w:t> </w:t>
      </w:r>
    </w:p>
    <w:p>
      <w:pPr>
        <w:pStyle w:val="BodyText"/>
        <w:spacing w:before="12"/>
        <w:rPr>
          <w:sz w:val="17"/>
        </w:rPr>
      </w:pPr>
    </w:p>
    <w:p>
      <w:pPr>
        <w:pStyle w:val="BodyText"/>
        <w:ind w:left="838"/>
      </w:pPr>
      <w:r>
        <w:rPr>
          <w:spacing w:val="-3"/>
        </w:rPr>
        <w:t>——消防泵出口压力显示</w:t>
      </w:r>
      <w:r>
        <w:rPr/>
        <w:t>（</w:t>
      </w:r>
      <w:r>
        <w:rPr>
          <w:spacing w:val="-10"/>
        </w:rPr>
        <w:t>精度不低于 </w:t>
      </w:r>
      <w:r>
        <w:rPr/>
        <w:t>2.5</w:t>
      </w:r>
      <w:r>
        <w:rPr>
          <w:spacing w:val="-23"/>
        </w:rPr>
        <w:t> 级</w:t>
      </w:r>
      <w:r>
        <w:rPr/>
        <w:t>）； </w:t>
      </w:r>
    </w:p>
    <w:p>
      <w:pPr>
        <w:pStyle w:val="BodyText"/>
        <w:spacing w:before="2"/>
        <w:rPr>
          <w:sz w:val="18"/>
        </w:rPr>
      </w:pPr>
    </w:p>
    <w:p>
      <w:pPr>
        <w:pStyle w:val="BodyText"/>
        <w:ind w:left="838"/>
      </w:pPr>
      <w:r>
        <w:rPr>
          <w:spacing w:val="-3"/>
        </w:rPr>
        <w:t>——消防泵进口压力显示</w:t>
      </w:r>
      <w:r>
        <w:rPr/>
        <w:t>（</w:t>
      </w:r>
      <w:r>
        <w:rPr>
          <w:spacing w:val="-10"/>
        </w:rPr>
        <w:t>精度不低于 </w:t>
      </w:r>
      <w:r>
        <w:rPr/>
        <w:t>2.5</w:t>
      </w:r>
      <w:r>
        <w:rPr>
          <w:spacing w:val="-23"/>
        </w:rPr>
        <w:t> 级</w:t>
      </w:r>
      <w:r>
        <w:rPr/>
        <w:t>）； </w:t>
      </w:r>
    </w:p>
    <w:p>
      <w:pPr>
        <w:pStyle w:val="BodyText"/>
        <w:rPr>
          <w:sz w:val="18"/>
        </w:rPr>
      </w:pPr>
    </w:p>
    <w:p>
      <w:pPr>
        <w:pStyle w:val="BodyText"/>
        <w:ind w:left="838"/>
      </w:pPr>
      <w:r>
        <w:rPr/>
        <w:t>——消防泵转速显示及累计工柞时间显示； </w:t>
      </w:r>
    </w:p>
    <w:p>
      <w:pPr>
        <w:pStyle w:val="BodyText"/>
        <w:rPr>
          <w:sz w:val="18"/>
        </w:rPr>
      </w:pPr>
    </w:p>
    <w:p>
      <w:pPr>
        <w:pStyle w:val="BodyText"/>
        <w:ind w:left="838"/>
      </w:pPr>
      <w:r>
        <w:rPr>
          <w:spacing w:val="-3"/>
        </w:rPr>
        <w:t>——水罐的液位显示；</w:t>
      </w:r>
      <w:r>
        <w:rPr/>
        <w:t> </w:t>
      </w:r>
    </w:p>
    <w:p>
      <w:pPr>
        <w:pStyle w:val="BodyText"/>
        <w:spacing w:before="2"/>
        <w:rPr>
          <w:sz w:val="18"/>
        </w:rPr>
      </w:pPr>
    </w:p>
    <w:p>
      <w:pPr>
        <w:pStyle w:val="BodyText"/>
        <w:ind w:left="838"/>
      </w:pPr>
      <w:r>
        <w:rPr>
          <w:spacing w:val="-3"/>
        </w:rPr>
        <w:t>——发动机水温显示；</w:t>
      </w:r>
      <w:r>
        <w:rPr/>
        <w:t> </w:t>
      </w:r>
    </w:p>
    <w:p>
      <w:pPr>
        <w:pStyle w:val="BodyText"/>
        <w:spacing w:before="12"/>
        <w:rPr>
          <w:sz w:val="17"/>
        </w:rPr>
      </w:pPr>
    </w:p>
    <w:p>
      <w:pPr>
        <w:pStyle w:val="BodyText"/>
        <w:ind w:left="838"/>
      </w:pPr>
      <w:r>
        <w:rPr/>
        <w:t>——发动机机油温度显示； </w:t>
      </w:r>
    </w:p>
    <w:p>
      <w:pPr>
        <w:pStyle w:val="BodyText"/>
        <w:spacing w:before="12"/>
        <w:rPr>
          <w:sz w:val="17"/>
        </w:rPr>
      </w:pPr>
    </w:p>
    <w:p>
      <w:pPr>
        <w:pStyle w:val="BodyText"/>
        <w:ind w:left="838"/>
      </w:pPr>
      <w:r>
        <w:rPr/>
        <w:t>——面板上仪表及开关的用途说明牌； </w:t>
      </w:r>
    </w:p>
    <w:p>
      <w:pPr>
        <w:pStyle w:val="BodyText"/>
        <w:spacing w:before="2"/>
        <w:rPr>
          <w:sz w:val="18"/>
        </w:rPr>
      </w:pPr>
    </w:p>
    <w:p>
      <w:pPr>
        <w:pStyle w:val="BodyText"/>
        <w:ind w:left="838"/>
      </w:pPr>
      <w:r>
        <w:rPr/>
        <w:t>——紧急停止按钮。 </w:t>
      </w:r>
    </w:p>
    <w:p>
      <w:pPr>
        <w:pStyle w:val="BodyText"/>
        <w:rPr>
          <w:sz w:val="18"/>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3"/>
          <w:sz w:val="21"/>
        </w:rPr>
        <w:t>操柞面板上应有水管路系统简图及基本操作说明。</w:t>
      </w:r>
      <w:r>
        <w:rPr>
          <w:sz w:val="21"/>
        </w:rPr>
        <w:t> </w:t>
      </w:r>
    </w:p>
    <w:p>
      <w:pPr>
        <w:pStyle w:val="BodyText"/>
        <w:rPr>
          <w:sz w:val="18"/>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3"/>
          <w:sz w:val="21"/>
        </w:rPr>
        <w:t>在水罐注水口处应设有“水罐注水口”字祥的标牌，标牌应永久固定。 </w:t>
      </w:r>
    </w:p>
    <w:p>
      <w:pPr>
        <w:pStyle w:val="BodyText"/>
        <w:spacing w:before="2"/>
        <w:rPr>
          <w:sz w:val="18"/>
        </w:rPr>
      </w:pPr>
    </w:p>
    <w:p>
      <w:pPr>
        <w:pStyle w:val="ListParagraph"/>
        <w:numPr>
          <w:ilvl w:val="1"/>
          <w:numId w:val="187"/>
        </w:numPr>
        <w:tabs>
          <w:tab w:pos="1159" w:val="left" w:leader="none"/>
        </w:tabs>
        <w:spacing w:line="240" w:lineRule="auto" w:before="0" w:after="0"/>
        <w:ind w:left="1158" w:right="0" w:hanging="319"/>
        <w:jc w:val="left"/>
        <w:rPr>
          <w:b/>
          <w:sz w:val="21"/>
        </w:rPr>
      </w:pPr>
      <w:r>
        <w:rPr>
          <w:spacing w:val="-3"/>
          <w:sz w:val="21"/>
        </w:rPr>
        <w:t>底盘改制要求</w:t>
      </w:r>
      <w:r>
        <w:rPr>
          <w:b/>
          <w:w w:val="99"/>
          <w:sz w:val="21"/>
        </w:rPr>
        <w:t> </w:t>
      </w:r>
    </w:p>
    <w:p>
      <w:pPr>
        <w:spacing w:after="0" w:line="240" w:lineRule="auto"/>
        <w:jc w:val="left"/>
        <w:rPr>
          <w:sz w:val="21"/>
        </w:rPr>
        <w:sectPr>
          <w:pgSz w:w="11910" w:h="16850"/>
          <w:pgMar w:header="0" w:footer="1239" w:top="1200" w:bottom="1420" w:left="1260" w:right="0"/>
        </w:sectPr>
      </w:pPr>
    </w:p>
    <w:p>
      <w:pPr>
        <w:pStyle w:val="BodyText"/>
        <w:spacing w:before="47"/>
        <w:ind w:left="840"/>
      </w:pPr>
      <w:r>
        <w:rPr>
          <w:b/>
        </w:rPr>
        <w:t>4.3.1 </w:t>
      </w:r>
      <w:r>
        <w:rPr/>
        <w:t>底盘改制应符合 GB 7956.1 一 2014 中 5.4 的要求。 </w:t>
      </w:r>
    </w:p>
    <w:p>
      <w:pPr>
        <w:pStyle w:val="BodyText"/>
        <w:rPr>
          <w:sz w:val="18"/>
        </w:rPr>
      </w:pPr>
    </w:p>
    <w:p>
      <w:pPr>
        <w:pStyle w:val="BodyText"/>
        <w:ind w:left="840"/>
      </w:pPr>
      <w:r>
        <w:rPr>
          <w:b/>
        </w:rPr>
        <w:t>4.3.2 </w:t>
      </w:r>
      <w:r>
        <w:rPr/>
        <w:t>当罐体直接安裝在底盘上时，应保证罐体与底盘弹性联接且不与底盘直接接触。 </w:t>
      </w:r>
    </w:p>
    <w:p>
      <w:pPr>
        <w:pStyle w:val="BodyText"/>
        <w:rPr>
          <w:sz w:val="18"/>
        </w:rPr>
      </w:pPr>
    </w:p>
    <w:p>
      <w:pPr>
        <w:pStyle w:val="ListParagraph"/>
        <w:numPr>
          <w:ilvl w:val="1"/>
          <w:numId w:val="187"/>
        </w:numPr>
        <w:tabs>
          <w:tab w:pos="1159" w:val="left" w:leader="none"/>
        </w:tabs>
        <w:spacing w:line="240" w:lineRule="auto" w:before="0" w:after="0"/>
        <w:ind w:left="1158" w:right="0" w:hanging="319"/>
        <w:jc w:val="left"/>
        <w:rPr>
          <w:b/>
          <w:sz w:val="21"/>
        </w:rPr>
      </w:pPr>
      <w:r>
        <w:rPr>
          <w:spacing w:val="-3"/>
          <w:sz w:val="21"/>
        </w:rPr>
        <w:t>消防水力系统的要求</w:t>
      </w:r>
      <w:r>
        <w:rPr>
          <w:b/>
          <w:w w:val="99"/>
          <w:sz w:val="21"/>
        </w:rPr>
        <w:t> </w:t>
      </w:r>
    </w:p>
    <w:p>
      <w:pPr>
        <w:pStyle w:val="BodyText"/>
        <w:spacing w:before="1"/>
        <w:rPr>
          <w:b/>
          <w:sz w:val="18"/>
        </w:rPr>
      </w:pPr>
    </w:p>
    <w:p>
      <w:pPr>
        <w:pStyle w:val="ListParagraph"/>
        <w:numPr>
          <w:ilvl w:val="2"/>
          <w:numId w:val="187"/>
        </w:numPr>
        <w:tabs>
          <w:tab w:pos="1370" w:val="left" w:leader="none"/>
        </w:tabs>
        <w:spacing w:line="240" w:lineRule="auto" w:before="1" w:after="0"/>
        <w:ind w:left="1369" w:right="0" w:hanging="530"/>
        <w:jc w:val="left"/>
        <w:rPr>
          <w:sz w:val="24"/>
        </w:rPr>
      </w:pPr>
      <w:r>
        <w:rPr>
          <w:spacing w:val="40"/>
          <w:sz w:val="21"/>
        </w:rPr>
        <w:t>消防泵</w:t>
      </w:r>
      <w:r>
        <w:rPr>
          <w:spacing w:val="-48"/>
          <w:sz w:val="21"/>
        </w:rPr>
        <w:t> </w:t>
      </w:r>
      <w:r>
        <w:rPr>
          <w:sz w:val="24"/>
        </w:rPr>
        <w:t> </w:t>
      </w:r>
    </w:p>
    <w:p>
      <w:pPr>
        <w:pStyle w:val="BodyText"/>
        <w:spacing w:before="12"/>
        <w:rPr>
          <w:sz w:val="17"/>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8"/>
          <w:sz w:val="21"/>
        </w:rPr>
        <w:t>选用的车用消防泵应符合 </w:t>
      </w:r>
      <w:r>
        <w:rPr>
          <w:sz w:val="21"/>
        </w:rPr>
        <w:t>GB</w:t>
      </w:r>
      <w:r>
        <w:rPr>
          <w:spacing w:val="1"/>
          <w:sz w:val="21"/>
        </w:rPr>
        <w:t> </w:t>
      </w:r>
      <w:r>
        <w:rPr>
          <w:sz w:val="21"/>
        </w:rPr>
        <w:t>6245-2006</w:t>
      </w:r>
      <w:r>
        <w:rPr>
          <w:spacing w:val="-10"/>
          <w:sz w:val="21"/>
        </w:rPr>
        <w:t> 的相关规定.</w:t>
      </w:r>
      <w:r>
        <w:rPr>
          <w:sz w:val="21"/>
        </w:rPr>
        <w:t> </w:t>
      </w:r>
    </w:p>
    <w:p>
      <w:pPr>
        <w:pStyle w:val="BodyText"/>
        <w:spacing w:before="12"/>
        <w:rPr>
          <w:sz w:val="17"/>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3"/>
          <w:sz w:val="21"/>
        </w:rPr>
        <w:t>消防泵的放余水装置应操作方便，并应直接将余水排至车外。</w:t>
      </w:r>
      <w:r>
        <w:rPr>
          <w:sz w:val="21"/>
        </w:rPr>
        <w:t> </w:t>
      </w:r>
    </w:p>
    <w:p>
      <w:pPr>
        <w:pStyle w:val="BodyText"/>
        <w:spacing w:before="2"/>
        <w:rPr>
          <w:sz w:val="18"/>
        </w:rPr>
      </w:pPr>
    </w:p>
    <w:p>
      <w:pPr>
        <w:pStyle w:val="ListParagraph"/>
        <w:numPr>
          <w:ilvl w:val="3"/>
          <w:numId w:val="187"/>
        </w:numPr>
        <w:tabs>
          <w:tab w:pos="1576" w:val="left" w:leader="none"/>
        </w:tabs>
        <w:spacing w:line="240" w:lineRule="auto" w:before="0" w:after="0"/>
        <w:ind w:left="1575" w:right="0" w:hanging="738"/>
        <w:jc w:val="left"/>
        <w:rPr>
          <w:sz w:val="21"/>
        </w:rPr>
      </w:pPr>
      <w:r>
        <w:rPr>
          <w:spacing w:val="-3"/>
          <w:sz w:val="21"/>
        </w:rPr>
        <w:t>消防泵与发动机功率匹配应：</w:t>
      </w:r>
      <w:r>
        <w:rPr>
          <w:sz w:val="21"/>
        </w:rPr>
        <w:t> </w:t>
      </w:r>
    </w:p>
    <w:p>
      <w:pPr>
        <w:pStyle w:val="BodyText"/>
        <w:rPr>
          <w:sz w:val="18"/>
        </w:rPr>
      </w:pPr>
    </w:p>
    <w:p>
      <w:pPr>
        <w:pStyle w:val="BodyText"/>
        <w:spacing w:line="446" w:lineRule="auto"/>
        <w:ind w:left="418" w:right="1391" w:firstLine="419"/>
      </w:pPr>
      <w:r>
        <w:rPr/>
        <w:t>——消坊泵额定工况轴功率与发动机额定功率之比：汽袖机不应大于 55%；柴油机不应大于60%； </w:t>
      </w:r>
    </w:p>
    <w:p>
      <w:pPr>
        <w:spacing w:line="446" w:lineRule="auto" w:before="0"/>
        <w:ind w:left="840" w:right="6390" w:hanging="3"/>
        <w:jc w:val="left"/>
        <w:rPr>
          <w:b/>
          <w:sz w:val="21"/>
        </w:rPr>
      </w:pPr>
      <w:r>
        <w:rPr>
          <w:sz w:val="21"/>
        </w:rPr>
        <w:t>——取力器的增速比不应大于 1.5。</w:t>
      </w:r>
      <w:r>
        <w:rPr>
          <w:b/>
          <w:sz w:val="21"/>
        </w:rPr>
        <w:t>4.4.2 </w:t>
      </w:r>
      <w:r>
        <w:rPr>
          <w:sz w:val="21"/>
        </w:rPr>
        <w:t>消防管路</w:t>
      </w:r>
      <w:r>
        <w:rPr>
          <w:b/>
          <w:w w:val="99"/>
          <w:sz w:val="21"/>
        </w:rPr>
        <w:t> </w:t>
      </w:r>
    </w:p>
    <w:p>
      <w:pPr>
        <w:pStyle w:val="ListParagraph"/>
        <w:numPr>
          <w:ilvl w:val="3"/>
          <w:numId w:val="188"/>
        </w:numPr>
        <w:tabs>
          <w:tab w:pos="1576" w:val="left" w:leader="none"/>
        </w:tabs>
        <w:spacing w:line="267" w:lineRule="exact" w:before="0" w:after="0"/>
        <w:ind w:left="1575" w:right="0" w:hanging="738"/>
        <w:jc w:val="left"/>
        <w:rPr>
          <w:sz w:val="21"/>
        </w:rPr>
      </w:pPr>
      <w:r>
        <w:rPr>
          <w:spacing w:val="-3"/>
          <w:sz w:val="21"/>
        </w:rPr>
        <w:t>一般要求</w:t>
      </w:r>
      <w:r>
        <w:rPr>
          <w:sz w:val="21"/>
        </w:rPr>
        <w:t> </w:t>
      </w:r>
    </w:p>
    <w:p>
      <w:pPr>
        <w:pStyle w:val="BodyText"/>
        <w:spacing w:before="2"/>
        <w:rPr>
          <w:sz w:val="18"/>
        </w:rPr>
      </w:pPr>
    </w:p>
    <w:p>
      <w:pPr>
        <w:pStyle w:val="ListParagraph"/>
        <w:numPr>
          <w:ilvl w:val="4"/>
          <w:numId w:val="188"/>
        </w:numPr>
        <w:tabs>
          <w:tab w:pos="1788" w:val="left" w:leader="none"/>
        </w:tabs>
        <w:spacing w:line="240" w:lineRule="auto" w:before="0" w:after="0"/>
        <w:ind w:left="1787" w:right="0" w:hanging="950"/>
        <w:jc w:val="left"/>
        <w:rPr>
          <w:sz w:val="21"/>
        </w:rPr>
      </w:pPr>
      <w:r>
        <w:rPr>
          <w:spacing w:val="-3"/>
          <w:sz w:val="21"/>
        </w:rPr>
        <w:t>所有管路应采用耐腐蚀材料或采取防腐蚀措施。</w:t>
      </w:r>
      <w:r>
        <w:rPr>
          <w:sz w:val="21"/>
        </w:rPr>
        <w:t> </w:t>
      </w:r>
    </w:p>
    <w:p>
      <w:pPr>
        <w:pStyle w:val="BodyText"/>
        <w:rPr>
          <w:sz w:val="18"/>
        </w:rPr>
      </w:pPr>
    </w:p>
    <w:p>
      <w:pPr>
        <w:pStyle w:val="ListParagraph"/>
        <w:numPr>
          <w:ilvl w:val="4"/>
          <w:numId w:val="188"/>
        </w:numPr>
        <w:tabs>
          <w:tab w:pos="1788" w:val="left" w:leader="none"/>
        </w:tabs>
        <w:spacing w:line="240" w:lineRule="auto" w:before="0" w:after="0"/>
        <w:ind w:left="1787" w:right="0" w:hanging="950"/>
        <w:jc w:val="left"/>
        <w:rPr>
          <w:sz w:val="21"/>
        </w:rPr>
      </w:pPr>
      <w:r>
        <w:rPr>
          <w:spacing w:val="-3"/>
          <w:sz w:val="21"/>
        </w:rPr>
        <w:t>管路布置应便于消防泵及传动机构的维护和保养。</w:t>
      </w:r>
      <w:r>
        <w:rPr>
          <w:sz w:val="21"/>
        </w:rPr>
        <w:t> </w:t>
      </w:r>
    </w:p>
    <w:p>
      <w:pPr>
        <w:pStyle w:val="BodyText"/>
        <w:spacing w:before="12"/>
        <w:rPr>
          <w:sz w:val="17"/>
        </w:rPr>
      </w:pPr>
    </w:p>
    <w:p>
      <w:pPr>
        <w:pStyle w:val="ListParagraph"/>
        <w:numPr>
          <w:ilvl w:val="4"/>
          <w:numId w:val="188"/>
        </w:numPr>
        <w:tabs>
          <w:tab w:pos="1788" w:val="left" w:leader="none"/>
        </w:tabs>
        <w:spacing w:line="240" w:lineRule="auto" w:before="0" w:after="0"/>
        <w:ind w:left="1787" w:right="0" w:hanging="950"/>
        <w:jc w:val="left"/>
        <w:rPr>
          <w:sz w:val="21"/>
        </w:rPr>
      </w:pPr>
      <w:r>
        <w:rPr>
          <w:spacing w:val="-5"/>
          <w:sz w:val="21"/>
        </w:rPr>
        <w:t>消防管路应采用不同颜色区分，进水管路和水罐至消防泵的输水管路应为 </w:t>
      </w:r>
      <w:r>
        <w:rPr>
          <w:sz w:val="21"/>
        </w:rPr>
        <w:t>GB/T </w:t>
      </w:r>
    </w:p>
    <w:p>
      <w:pPr>
        <w:pStyle w:val="BodyText"/>
        <w:spacing w:before="2"/>
        <w:rPr>
          <w:sz w:val="18"/>
        </w:rPr>
      </w:pPr>
    </w:p>
    <w:p>
      <w:pPr>
        <w:pStyle w:val="BodyText"/>
        <w:ind w:left="418"/>
      </w:pPr>
      <w:r>
        <w:rPr/>
        <w:t>3181 规定的 G05 深绿色，出水管路应为 GB/T 3181 规定的 R03 大红色。 </w:t>
      </w:r>
    </w:p>
    <w:p>
      <w:pPr>
        <w:pStyle w:val="BodyText"/>
        <w:rPr>
          <w:sz w:val="18"/>
        </w:rPr>
      </w:pPr>
    </w:p>
    <w:p>
      <w:pPr>
        <w:pStyle w:val="ListParagraph"/>
        <w:numPr>
          <w:ilvl w:val="3"/>
          <w:numId w:val="188"/>
        </w:numPr>
        <w:tabs>
          <w:tab w:pos="1576" w:val="left" w:leader="none"/>
        </w:tabs>
        <w:spacing w:line="240" w:lineRule="auto" w:before="0" w:after="0"/>
        <w:ind w:left="1575" w:right="0" w:hanging="738"/>
        <w:jc w:val="left"/>
        <w:rPr>
          <w:sz w:val="21"/>
        </w:rPr>
      </w:pPr>
      <w:r>
        <w:rPr>
          <w:spacing w:val="-3"/>
          <w:sz w:val="21"/>
        </w:rPr>
        <w:t>消防泵进水管路</w:t>
      </w:r>
      <w:r>
        <w:rPr>
          <w:sz w:val="21"/>
        </w:rPr>
        <w:t> </w:t>
      </w:r>
    </w:p>
    <w:p>
      <w:pPr>
        <w:pStyle w:val="BodyText"/>
        <w:spacing w:before="12"/>
        <w:rPr>
          <w:sz w:val="17"/>
        </w:rPr>
      </w:pPr>
    </w:p>
    <w:p>
      <w:pPr>
        <w:pStyle w:val="ListParagraph"/>
        <w:numPr>
          <w:ilvl w:val="4"/>
          <w:numId w:val="188"/>
        </w:numPr>
        <w:tabs>
          <w:tab w:pos="1788" w:val="left" w:leader="none"/>
        </w:tabs>
        <w:spacing w:line="446" w:lineRule="auto" w:before="0" w:after="0"/>
        <w:ind w:left="418" w:right="1609" w:firstLine="419"/>
        <w:jc w:val="left"/>
        <w:rPr>
          <w:sz w:val="21"/>
        </w:rPr>
      </w:pPr>
      <w:r>
        <w:rPr>
          <w:spacing w:val="-3"/>
          <w:sz w:val="21"/>
        </w:rPr>
        <w:t>当消防泵进水口设在侧面时、应在车辆两侧均设进水口，单侧进水口应满足消防车额定压力和流量要求。 </w:t>
      </w:r>
    </w:p>
    <w:p>
      <w:pPr>
        <w:pStyle w:val="ListParagraph"/>
        <w:numPr>
          <w:ilvl w:val="4"/>
          <w:numId w:val="188"/>
        </w:numPr>
        <w:tabs>
          <w:tab w:pos="1788" w:val="left" w:leader="none"/>
        </w:tabs>
        <w:spacing w:line="240" w:lineRule="auto" w:before="1" w:after="0"/>
        <w:ind w:left="1787" w:right="0" w:hanging="950"/>
        <w:jc w:val="left"/>
        <w:rPr>
          <w:sz w:val="21"/>
        </w:rPr>
      </w:pPr>
      <w:r>
        <w:rPr>
          <w:spacing w:val="-10"/>
          <w:sz w:val="21"/>
        </w:rPr>
        <w:t>额定流量不小于 </w:t>
      </w:r>
      <w:r>
        <w:rPr>
          <w:sz w:val="21"/>
        </w:rPr>
        <w:t>100L/s</w:t>
      </w:r>
      <w:r>
        <w:rPr>
          <w:spacing w:val="-9"/>
          <w:sz w:val="21"/>
        </w:rPr>
        <w:t> 的消防车进水管路应设置阀门。</w:t>
      </w:r>
      <w:r>
        <w:rPr>
          <w:sz w:val="21"/>
        </w:rPr>
        <w:t> </w:t>
      </w:r>
    </w:p>
    <w:p>
      <w:pPr>
        <w:pStyle w:val="BodyText"/>
        <w:spacing w:before="12"/>
        <w:rPr>
          <w:sz w:val="17"/>
        </w:rPr>
      </w:pPr>
    </w:p>
    <w:p>
      <w:pPr>
        <w:pStyle w:val="ListParagraph"/>
        <w:numPr>
          <w:ilvl w:val="4"/>
          <w:numId w:val="188"/>
        </w:numPr>
        <w:tabs>
          <w:tab w:pos="1788" w:val="left" w:leader="none"/>
        </w:tabs>
        <w:spacing w:line="240" w:lineRule="auto" w:before="0" w:after="0"/>
        <w:ind w:left="1787" w:right="0" w:hanging="950"/>
        <w:jc w:val="left"/>
        <w:rPr>
          <w:sz w:val="21"/>
        </w:rPr>
      </w:pPr>
      <w:r>
        <w:rPr>
          <w:spacing w:val="-10"/>
          <w:sz w:val="21"/>
        </w:rPr>
        <w:t>进水管路应保证 </w:t>
      </w:r>
      <w:r>
        <w:rPr>
          <w:sz w:val="21"/>
        </w:rPr>
        <w:t>45s</w:t>
      </w:r>
      <w:r>
        <w:rPr>
          <w:spacing w:val="-9"/>
          <w:sz w:val="21"/>
        </w:rPr>
        <w:t> 内能够放尽进水管路内的余水。</w:t>
      </w:r>
      <w:r>
        <w:rPr>
          <w:sz w:val="21"/>
        </w:rPr>
        <w:t> </w:t>
      </w:r>
    </w:p>
    <w:p>
      <w:pPr>
        <w:pStyle w:val="BodyText"/>
        <w:spacing w:before="2"/>
        <w:rPr>
          <w:sz w:val="18"/>
        </w:rPr>
      </w:pPr>
    </w:p>
    <w:p>
      <w:pPr>
        <w:pStyle w:val="ListParagraph"/>
        <w:numPr>
          <w:ilvl w:val="4"/>
          <w:numId w:val="188"/>
        </w:numPr>
        <w:tabs>
          <w:tab w:pos="1788" w:val="left" w:leader="none"/>
        </w:tabs>
        <w:spacing w:line="446" w:lineRule="auto" w:before="0" w:after="0"/>
        <w:ind w:left="418" w:right="1505" w:firstLine="419"/>
        <w:jc w:val="left"/>
        <w:rPr>
          <w:sz w:val="21"/>
        </w:rPr>
      </w:pPr>
      <w:r>
        <w:rPr>
          <w:spacing w:val="-3"/>
          <w:sz w:val="21"/>
        </w:rPr>
        <w:t>消防泵的每个进水口和吸水管之间应安装抗腐蚀性滤网，滤网的过流面积不应降低消防泵 的额定压力和流盘。滤网上的孔不应通过：</w:t>
      </w:r>
      <w:r>
        <w:rPr>
          <w:sz w:val="21"/>
        </w:rPr>
        <w:t> </w:t>
      </w:r>
    </w:p>
    <w:p>
      <w:pPr>
        <w:pStyle w:val="BodyText"/>
        <w:spacing w:line="267" w:lineRule="exact"/>
        <w:ind w:left="838"/>
      </w:pPr>
      <w:r>
        <w:rPr/>
        <w:t>——对于额定流量不大于 30L/s 的消防泵，大于或等于 8mm 的颗粒。 </w:t>
      </w:r>
    </w:p>
    <w:p>
      <w:pPr>
        <w:pStyle w:val="BodyText"/>
        <w:spacing w:before="2"/>
        <w:rPr>
          <w:sz w:val="18"/>
        </w:rPr>
      </w:pPr>
    </w:p>
    <w:p>
      <w:pPr>
        <w:pStyle w:val="BodyText"/>
        <w:spacing w:line="446" w:lineRule="auto"/>
        <w:ind w:left="838" w:right="3505"/>
      </w:pPr>
      <w:r>
        <w:rPr>
          <w:spacing w:val="-8"/>
        </w:rPr>
        <w:t>——对于额定流量大于 </w:t>
      </w:r>
      <w:r>
        <w:rPr/>
        <w:t>30L/s</w:t>
      </w:r>
      <w:r>
        <w:rPr>
          <w:spacing w:val="-13"/>
        </w:rPr>
        <w:t> 的消防泵，大于或等于 </w:t>
      </w:r>
      <w:r>
        <w:rPr/>
        <w:t>13mm</w:t>
      </w:r>
      <w:r>
        <w:rPr>
          <w:spacing w:val="-13"/>
        </w:rPr>
        <w:t> 的颗粒。</w:t>
      </w:r>
      <w:r>
        <w:rPr/>
        <w:t>4.4.2.2.5</w:t>
      </w:r>
      <w:r>
        <w:rPr>
          <w:spacing w:val="-5"/>
        </w:rPr>
        <w:t> 应配置吸水管，每车携带的吸水管长度不应小于 </w:t>
      </w:r>
      <w:r>
        <w:rPr/>
        <w:t>8m</w:t>
      </w:r>
      <w:r>
        <w:rPr>
          <w:spacing w:val="-3"/>
        </w:rPr>
        <w:t>。</w:t>
      </w:r>
      <w:r>
        <w:rPr/>
        <w:t> </w:t>
      </w:r>
    </w:p>
    <w:p>
      <w:pPr>
        <w:pStyle w:val="ListParagraph"/>
        <w:numPr>
          <w:ilvl w:val="3"/>
          <w:numId w:val="189"/>
        </w:numPr>
        <w:tabs>
          <w:tab w:pos="1576" w:val="left" w:leader="none"/>
        </w:tabs>
        <w:spacing w:line="267" w:lineRule="exact" w:before="0" w:after="0"/>
        <w:ind w:left="1575" w:right="0" w:hanging="738"/>
        <w:jc w:val="left"/>
        <w:rPr>
          <w:sz w:val="21"/>
        </w:rPr>
      </w:pPr>
      <w:r>
        <w:rPr>
          <w:spacing w:val="-3"/>
          <w:sz w:val="21"/>
        </w:rPr>
        <w:t>6</w:t>
      </w:r>
      <w:r>
        <w:rPr>
          <w:spacing w:val="-9"/>
          <w:sz w:val="21"/>
        </w:rPr>
        <w:t> 进水管路在 </w:t>
      </w:r>
      <w:r>
        <w:rPr>
          <w:sz w:val="21"/>
        </w:rPr>
        <w:t>0.8MPa</w:t>
      </w:r>
      <w:r>
        <w:rPr>
          <w:spacing w:val="-9"/>
          <w:sz w:val="21"/>
        </w:rPr>
        <w:t> 压力下不应出现管路漏水、冒汗、密封件渗漏等现象；在</w:t>
      </w:r>
    </w:p>
    <w:p>
      <w:pPr>
        <w:pStyle w:val="BodyText"/>
        <w:spacing w:before="1"/>
        <w:rPr>
          <w:sz w:val="18"/>
        </w:rPr>
      </w:pPr>
    </w:p>
    <w:p>
      <w:pPr>
        <w:pStyle w:val="BodyText"/>
        <w:spacing w:before="1"/>
        <w:ind w:left="418"/>
      </w:pPr>
      <w:r>
        <w:rPr/>
        <w:t>1.2MPa 压力下不应破裂，不应产生影响正常使用的永久变形。 </w:t>
      </w:r>
    </w:p>
    <w:p>
      <w:pPr>
        <w:spacing w:after="0"/>
        <w:sectPr>
          <w:pgSz w:w="11910" w:h="16850"/>
          <w:pgMar w:header="0" w:footer="1239" w:top="1220" w:bottom="1420" w:left="1260" w:right="0"/>
        </w:sectPr>
      </w:pPr>
    </w:p>
    <w:p>
      <w:pPr>
        <w:pStyle w:val="ListParagraph"/>
        <w:numPr>
          <w:ilvl w:val="3"/>
          <w:numId w:val="189"/>
        </w:numPr>
        <w:tabs>
          <w:tab w:pos="1576" w:val="left" w:leader="none"/>
        </w:tabs>
        <w:spacing w:line="240" w:lineRule="auto" w:before="47" w:after="0"/>
        <w:ind w:left="1575" w:right="0" w:hanging="738"/>
        <w:jc w:val="left"/>
        <w:rPr>
          <w:sz w:val="21"/>
        </w:rPr>
      </w:pPr>
      <w:r>
        <w:rPr>
          <w:spacing w:val="-3"/>
          <w:sz w:val="21"/>
        </w:rPr>
        <w:t>消防泵出水管路</w:t>
      </w:r>
      <w:r>
        <w:rPr>
          <w:sz w:val="21"/>
        </w:rPr>
        <w:t> </w:t>
      </w:r>
    </w:p>
    <w:p>
      <w:pPr>
        <w:pStyle w:val="BodyText"/>
        <w:rPr>
          <w:sz w:val="18"/>
        </w:rPr>
      </w:pPr>
    </w:p>
    <w:p>
      <w:pPr>
        <w:pStyle w:val="BodyText"/>
        <w:ind w:left="838"/>
      </w:pPr>
      <w:r>
        <w:rPr/>
        <w:t>4.4.2,3.1 出水管路的通径和数量应保证消防车在额定工况下的出水流量。 </w:t>
      </w:r>
    </w:p>
    <w:p>
      <w:pPr>
        <w:pStyle w:val="BodyText"/>
        <w:rPr>
          <w:sz w:val="18"/>
        </w:rPr>
      </w:pPr>
    </w:p>
    <w:p>
      <w:pPr>
        <w:pStyle w:val="BodyText"/>
        <w:ind w:left="838"/>
      </w:pPr>
      <w:r>
        <w:rPr/>
        <w:t>4.4.2,3 2 出水管路应保证 45s 内能够放尽出水管路内的佘水，放余水应方便操作。 </w:t>
      </w:r>
    </w:p>
    <w:p>
      <w:pPr>
        <w:pStyle w:val="BodyText"/>
        <w:spacing w:before="1"/>
        <w:rPr>
          <w:sz w:val="18"/>
        </w:rPr>
      </w:pPr>
    </w:p>
    <w:p>
      <w:pPr>
        <w:pStyle w:val="BodyText"/>
        <w:spacing w:line="446" w:lineRule="auto" w:before="1"/>
        <w:ind w:left="418" w:right="1505" w:firstLine="419"/>
      </w:pPr>
      <w:r>
        <w:rPr/>
        <w:t>4J.2.3.3</w:t>
      </w:r>
      <w:r>
        <w:rPr>
          <w:spacing w:val="-6"/>
        </w:rPr>
        <w:t> 出水口中心离地高度大于 </w:t>
      </w:r>
      <w:r>
        <w:rPr/>
        <w:t>1.2m</w:t>
      </w:r>
      <w:r>
        <w:rPr>
          <w:spacing w:val="-8"/>
        </w:rPr>
        <w:t> 时，出水口应向下倾斜，且离操作踏板上平面的</w:t>
      </w:r>
      <w:r>
        <w:rPr>
          <w:spacing w:val="-12"/>
        </w:rPr>
        <w:t>高度不应大于 </w:t>
      </w:r>
      <w:r>
        <w:rPr/>
        <w:t>1+2m</w:t>
      </w:r>
      <w:r>
        <w:rPr>
          <w:spacing w:val="-3"/>
        </w:rPr>
        <w:t>。</w:t>
      </w:r>
      <w:r>
        <w:rPr/>
        <w:t> </w:t>
      </w:r>
    </w:p>
    <w:p>
      <w:pPr>
        <w:pStyle w:val="ListParagraph"/>
        <w:numPr>
          <w:ilvl w:val="4"/>
          <w:numId w:val="190"/>
        </w:numPr>
        <w:tabs>
          <w:tab w:pos="1788" w:val="left" w:leader="none"/>
        </w:tabs>
        <w:spacing w:line="267" w:lineRule="exact" w:before="0" w:after="0"/>
        <w:ind w:left="1787" w:right="0" w:hanging="950"/>
        <w:jc w:val="left"/>
        <w:rPr>
          <w:sz w:val="21"/>
        </w:rPr>
      </w:pPr>
      <w:r>
        <w:rPr>
          <w:spacing w:val="-3"/>
          <w:sz w:val="21"/>
        </w:rPr>
        <w:t>岀水管路应安装可关闭出水管路和消防泵连接的止回阀。</w:t>
      </w:r>
      <w:r>
        <w:rPr>
          <w:sz w:val="21"/>
        </w:rPr>
        <w:t> </w:t>
      </w:r>
    </w:p>
    <w:p>
      <w:pPr>
        <w:pStyle w:val="BodyText"/>
        <w:spacing w:before="1"/>
        <w:rPr>
          <w:sz w:val="18"/>
        </w:rPr>
      </w:pPr>
    </w:p>
    <w:p>
      <w:pPr>
        <w:pStyle w:val="ListParagraph"/>
        <w:numPr>
          <w:ilvl w:val="4"/>
          <w:numId w:val="190"/>
        </w:numPr>
        <w:tabs>
          <w:tab w:pos="1788" w:val="left" w:leader="none"/>
        </w:tabs>
        <w:spacing w:line="240" w:lineRule="auto" w:before="1" w:after="0"/>
        <w:ind w:left="1787" w:right="0" w:hanging="950"/>
        <w:jc w:val="left"/>
        <w:rPr>
          <w:sz w:val="21"/>
        </w:rPr>
      </w:pPr>
      <w:r>
        <w:rPr>
          <w:spacing w:val="-3"/>
          <w:sz w:val="21"/>
        </w:rPr>
        <w:t>出水管路应经静水压密封试验，试验压力为出水管路承受的最大工作压力值的</w:t>
      </w:r>
    </w:p>
    <w:p>
      <w:pPr>
        <w:pStyle w:val="BodyText"/>
        <w:spacing w:before="12"/>
        <w:rPr>
          <w:sz w:val="17"/>
        </w:rPr>
      </w:pPr>
    </w:p>
    <w:p>
      <w:pPr>
        <w:pStyle w:val="BodyText"/>
        <w:ind w:left="418"/>
        <w:jc w:val="both"/>
      </w:pPr>
      <w:r>
        <w:rPr/>
        <w:t>1.1 倍，管路及各连接处不应出现渗漏。 </w:t>
      </w:r>
    </w:p>
    <w:p>
      <w:pPr>
        <w:pStyle w:val="BodyText"/>
        <w:rPr>
          <w:sz w:val="18"/>
        </w:rPr>
      </w:pPr>
    </w:p>
    <w:p>
      <w:pPr>
        <w:pStyle w:val="ListParagraph"/>
        <w:numPr>
          <w:ilvl w:val="4"/>
          <w:numId w:val="190"/>
        </w:numPr>
        <w:tabs>
          <w:tab w:pos="1788" w:val="left" w:leader="none"/>
        </w:tabs>
        <w:spacing w:line="240" w:lineRule="auto" w:before="0" w:after="0"/>
        <w:ind w:left="1787" w:right="0" w:hanging="950"/>
        <w:jc w:val="left"/>
        <w:rPr>
          <w:sz w:val="21"/>
        </w:rPr>
      </w:pPr>
      <w:r>
        <w:rPr>
          <w:spacing w:val="-3"/>
          <w:sz w:val="21"/>
        </w:rPr>
        <w:t>出水管路应经静水压强度试验，试验压力为出水管路承受的最大工作压力值的</w:t>
      </w:r>
    </w:p>
    <w:p>
      <w:pPr>
        <w:pStyle w:val="BodyText"/>
        <w:spacing w:before="2"/>
        <w:rPr>
          <w:sz w:val="18"/>
        </w:rPr>
      </w:pPr>
    </w:p>
    <w:p>
      <w:pPr>
        <w:pStyle w:val="BodyText"/>
        <w:ind w:left="418"/>
        <w:jc w:val="both"/>
      </w:pPr>
      <w:r>
        <w:rPr/>
        <w:t>1.5 倍，不应出现明显变形和结构破坏。 </w:t>
      </w:r>
    </w:p>
    <w:p>
      <w:pPr>
        <w:pStyle w:val="BodyText"/>
        <w:spacing w:before="12"/>
        <w:rPr>
          <w:sz w:val="17"/>
        </w:rPr>
      </w:pPr>
    </w:p>
    <w:p>
      <w:pPr>
        <w:pStyle w:val="ListParagraph"/>
        <w:numPr>
          <w:ilvl w:val="4"/>
          <w:numId w:val="190"/>
        </w:numPr>
        <w:tabs>
          <w:tab w:pos="1788" w:val="left" w:leader="none"/>
        </w:tabs>
        <w:spacing w:line="446" w:lineRule="auto" w:before="0" w:after="0"/>
        <w:ind w:left="418" w:right="1505" w:firstLine="419"/>
        <w:jc w:val="both"/>
        <w:rPr>
          <w:sz w:val="21"/>
        </w:rPr>
      </w:pPr>
      <w:r>
        <w:rPr>
          <w:spacing w:val="-3"/>
          <w:sz w:val="21"/>
        </w:rPr>
        <w:t>在出水管路最大工作压力下，手动启闭的出水阀开启和关闭力在不使用辅助装置</w:t>
      </w:r>
      <w:r>
        <w:rPr>
          <w:spacing w:val="-7"/>
          <w:sz w:val="21"/>
        </w:rPr>
        <w:t>的前提下不应大于 </w:t>
      </w:r>
      <w:r>
        <w:rPr>
          <w:sz w:val="21"/>
        </w:rPr>
        <w:t>200N</w:t>
      </w:r>
      <w:r>
        <w:rPr>
          <w:spacing w:val="-3"/>
          <w:sz w:val="21"/>
        </w:rPr>
        <w:t>。非手动启闭的出水阀按正常操作方法可开启和关闭。当出水管路中没</w:t>
      </w:r>
      <w:r>
        <w:rPr>
          <w:spacing w:val="-6"/>
          <w:sz w:val="21"/>
        </w:rPr>
        <w:t>有压力时，手动启闭的出水阀开启和关闭力不应大于 </w:t>
      </w:r>
      <w:r>
        <w:rPr>
          <w:sz w:val="21"/>
        </w:rPr>
        <w:t>50N</w:t>
      </w:r>
      <w:r>
        <w:rPr>
          <w:spacing w:val="-3"/>
          <w:sz w:val="21"/>
        </w:rPr>
        <w:t>。</w:t>
      </w:r>
      <w:r>
        <w:rPr>
          <w:sz w:val="21"/>
        </w:rPr>
        <w:t> </w:t>
      </w:r>
    </w:p>
    <w:p>
      <w:pPr>
        <w:pStyle w:val="ListParagraph"/>
        <w:numPr>
          <w:ilvl w:val="4"/>
          <w:numId w:val="190"/>
        </w:numPr>
        <w:tabs>
          <w:tab w:pos="1788" w:val="left" w:leader="none"/>
        </w:tabs>
        <w:spacing w:line="446" w:lineRule="auto" w:before="0" w:after="0"/>
        <w:ind w:left="418" w:right="1611" w:firstLine="419"/>
        <w:jc w:val="both"/>
        <w:rPr>
          <w:sz w:val="21"/>
        </w:rPr>
      </w:pPr>
      <w:r>
        <w:rPr>
          <w:spacing w:val="-3"/>
          <w:sz w:val="21"/>
        </w:rPr>
        <w:t>出水阀应有指示启闭方向的指示标牌，在出水阀操作位置可见处应有"缓馒打开</w:t>
      </w:r>
      <w:r>
        <w:rPr>
          <w:spacing w:val="-5"/>
          <w:sz w:val="21"/>
        </w:rPr>
        <w:t>出水阀”的警示标牌，出水阀结构上应保证从开启至最大开度所用的时间应大于 </w:t>
      </w:r>
      <w:r>
        <w:rPr>
          <w:sz w:val="21"/>
        </w:rPr>
        <w:t>5s</w:t>
      </w:r>
      <w:r>
        <w:rPr>
          <w:spacing w:val="-3"/>
          <w:sz w:val="21"/>
        </w:rPr>
        <w:t>。</w:t>
      </w:r>
      <w:r>
        <w:rPr>
          <w:sz w:val="21"/>
        </w:rPr>
        <w:t> </w:t>
      </w:r>
    </w:p>
    <w:p>
      <w:pPr>
        <w:pStyle w:val="ListParagraph"/>
        <w:numPr>
          <w:ilvl w:val="3"/>
          <w:numId w:val="189"/>
        </w:numPr>
        <w:tabs>
          <w:tab w:pos="1576" w:val="left" w:leader="none"/>
        </w:tabs>
        <w:spacing w:line="240" w:lineRule="auto" w:before="0" w:after="0"/>
        <w:ind w:left="1575" w:right="0" w:hanging="738"/>
        <w:jc w:val="both"/>
        <w:rPr>
          <w:sz w:val="21"/>
        </w:rPr>
      </w:pPr>
      <w:r>
        <w:rPr>
          <w:spacing w:val="-3"/>
          <w:sz w:val="21"/>
        </w:rPr>
        <w:t>水罐至消防泵的输水管路</w:t>
      </w:r>
      <w:r>
        <w:rPr>
          <w:sz w:val="21"/>
        </w:rPr>
        <w:t> </w:t>
      </w:r>
    </w:p>
    <w:p>
      <w:pPr>
        <w:pStyle w:val="BodyText"/>
        <w:spacing w:before="11"/>
        <w:rPr>
          <w:sz w:val="17"/>
        </w:rPr>
      </w:pPr>
    </w:p>
    <w:p>
      <w:pPr>
        <w:pStyle w:val="ListParagraph"/>
        <w:numPr>
          <w:ilvl w:val="4"/>
          <w:numId w:val="189"/>
        </w:numPr>
        <w:tabs>
          <w:tab w:pos="1788" w:val="left" w:leader="none"/>
        </w:tabs>
        <w:spacing w:line="446" w:lineRule="auto" w:before="0" w:after="0"/>
        <w:ind w:left="418" w:right="1508" w:firstLine="419"/>
        <w:jc w:val="left"/>
        <w:rPr>
          <w:sz w:val="21"/>
        </w:rPr>
      </w:pPr>
      <w:r>
        <w:rPr>
          <w:spacing w:val="-5"/>
          <w:sz w:val="21"/>
        </w:rPr>
        <w:t>水罐至消防泵的输水管路上应设置阀门且操作方便，额定流量大于 </w:t>
      </w:r>
      <w:r>
        <w:rPr>
          <w:sz w:val="21"/>
        </w:rPr>
        <w:t>60L/s</w:t>
      </w:r>
      <w:r>
        <w:rPr>
          <w:spacing w:val="-12"/>
          <w:sz w:val="21"/>
        </w:rPr>
        <w:t> 时不应</w:t>
      </w:r>
      <w:r>
        <w:rPr>
          <w:spacing w:val="-5"/>
          <w:sz w:val="21"/>
        </w:rPr>
        <w:t>采用手动开启。</w:t>
      </w:r>
      <w:r>
        <w:rPr>
          <w:sz w:val="21"/>
        </w:rPr>
        <w:t> </w:t>
      </w:r>
    </w:p>
    <w:p>
      <w:pPr>
        <w:pStyle w:val="ListParagraph"/>
        <w:numPr>
          <w:ilvl w:val="4"/>
          <w:numId w:val="189"/>
        </w:numPr>
        <w:tabs>
          <w:tab w:pos="1788" w:val="left" w:leader="none"/>
        </w:tabs>
        <w:spacing w:line="446" w:lineRule="auto" w:before="0" w:after="0"/>
        <w:ind w:left="418" w:right="1714" w:firstLine="419"/>
        <w:jc w:val="left"/>
        <w:rPr>
          <w:sz w:val="21"/>
        </w:rPr>
      </w:pPr>
      <w:r>
        <w:rPr>
          <w:spacing w:val="-3"/>
          <w:sz w:val="21"/>
        </w:rPr>
        <w:t>水罐内输水管路的进口设置在排污孔邻近部位时，应保证污物不进入消防泵内。</w:t>
      </w:r>
      <w:r>
        <w:rPr>
          <w:sz w:val="21"/>
        </w:rPr>
        <w:t> </w:t>
      </w:r>
    </w:p>
    <w:p>
      <w:pPr>
        <w:pStyle w:val="ListParagraph"/>
        <w:numPr>
          <w:ilvl w:val="4"/>
          <w:numId w:val="189"/>
        </w:numPr>
        <w:tabs>
          <w:tab w:pos="1788" w:val="left" w:leader="none"/>
        </w:tabs>
        <w:spacing w:line="267" w:lineRule="exact" w:before="0" w:after="0"/>
        <w:ind w:left="1787" w:right="0" w:hanging="950"/>
        <w:jc w:val="left"/>
        <w:rPr>
          <w:sz w:val="21"/>
        </w:rPr>
      </w:pPr>
      <w:r>
        <w:rPr>
          <w:spacing w:val="-3"/>
          <w:sz w:val="21"/>
        </w:rPr>
        <w:t>输水管路进口应设置滤网，并应满足消防车额定工况要求。</w:t>
      </w:r>
      <w:r>
        <w:rPr>
          <w:sz w:val="21"/>
        </w:rPr>
        <w:t> </w:t>
      </w:r>
    </w:p>
    <w:p>
      <w:pPr>
        <w:pStyle w:val="BodyText"/>
        <w:spacing w:before="2"/>
        <w:rPr>
          <w:sz w:val="18"/>
        </w:rPr>
      </w:pPr>
    </w:p>
    <w:p>
      <w:pPr>
        <w:pStyle w:val="ListParagraph"/>
        <w:numPr>
          <w:ilvl w:val="2"/>
          <w:numId w:val="191"/>
        </w:numPr>
        <w:tabs>
          <w:tab w:pos="1367" w:val="left" w:leader="none"/>
        </w:tabs>
        <w:spacing w:line="446" w:lineRule="auto" w:before="0" w:after="0"/>
        <w:ind w:left="418" w:right="1558" w:firstLine="419"/>
        <w:jc w:val="both"/>
        <w:rPr>
          <w:sz w:val="19"/>
        </w:rPr>
      </w:pPr>
      <w:r>
        <w:rPr>
          <w:sz w:val="21"/>
        </w:rPr>
        <w:t>,4.4</w:t>
      </w:r>
      <w:r>
        <w:rPr>
          <w:spacing w:val="-7"/>
          <w:sz w:val="21"/>
        </w:rPr>
        <w:t> 额定流量不大于 </w:t>
      </w:r>
      <w:r>
        <w:rPr>
          <w:sz w:val="21"/>
        </w:rPr>
        <w:t>100L/s</w:t>
      </w:r>
      <w:r>
        <w:rPr>
          <w:spacing w:val="-9"/>
          <w:sz w:val="21"/>
        </w:rPr>
        <w:t> 的消防车，水罐至消防泵的输水管路应能保证抽取罐</w:t>
      </w:r>
      <w:r>
        <w:rPr>
          <w:spacing w:val="-20"/>
          <w:sz w:val="21"/>
        </w:rPr>
        <w:t>容量 </w:t>
      </w:r>
      <w:r>
        <w:rPr>
          <w:sz w:val="21"/>
        </w:rPr>
        <w:t>90</w:t>
      </w:r>
      <w:r>
        <w:rPr>
          <w:spacing w:val="-6"/>
          <w:sz w:val="21"/>
        </w:rPr>
        <w:t>%以上的水，额定流量大于 </w:t>
      </w:r>
      <w:r>
        <w:rPr>
          <w:sz w:val="21"/>
        </w:rPr>
        <w:t>100L/s</w:t>
      </w:r>
      <w:r>
        <w:rPr>
          <w:spacing w:val="-8"/>
          <w:sz w:val="21"/>
        </w:rPr>
        <w:t> 的消防车，水罐至消防泵的输水管路应能保证抽取罐</w:t>
      </w:r>
      <w:r>
        <w:rPr>
          <w:spacing w:val="-24"/>
          <w:sz w:val="21"/>
        </w:rPr>
        <w:t>容量 </w:t>
      </w:r>
      <w:r>
        <w:rPr>
          <w:sz w:val="21"/>
        </w:rPr>
        <w:t>85</w:t>
      </w:r>
      <w:r>
        <w:rPr>
          <w:spacing w:val="-3"/>
          <w:sz w:val="21"/>
        </w:rPr>
        <w:t>%以上的水。</w:t>
      </w:r>
      <w:r>
        <w:rPr>
          <w:sz w:val="21"/>
        </w:rPr>
        <w:t> </w:t>
      </w:r>
    </w:p>
    <w:p>
      <w:pPr>
        <w:pStyle w:val="ListParagraph"/>
        <w:numPr>
          <w:ilvl w:val="2"/>
          <w:numId w:val="191"/>
        </w:numPr>
        <w:tabs>
          <w:tab w:pos="1370" w:val="left" w:leader="none"/>
        </w:tabs>
        <w:spacing w:line="268" w:lineRule="exact" w:before="0" w:after="0"/>
        <w:ind w:left="1369" w:right="0" w:hanging="530"/>
        <w:jc w:val="left"/>
        <w:rPr>
          <w:b/>
          <w:sz w:val="19"/>
        </w:rPr>
      </w:pPr>
      <w:r>
        <w:rPr>
          <w:spacing w:val="-3"/>
          <w:sz w:val="21"/>
        </w:rPr>
        <w:t>水罐</w:t>
      </w:r>
      <w:r>
        <w:rPr>
          <w:b/>
          <w:w w:val="99"/>
          <w:sz w:val="21"/>
        </w:rPr>
        <w:t> </w:t>
      </w:r>
    </w:p>
    <w:p>
      <w:pPr>
        <w:pStyle w:val="BodyText"/>
        <w:rPr>
          <w:b/>
          <w:sz w:val="18"/>
        </w:rPr>
      </w:pPr>
    </w:p>
    <w:p>
      <w:pPr>
        <w:pStyle w:val="ListParagraph"/>
        <w:numPr>
          <w:ilvl w:val="3"/>
          <w:numId w:val="191"/>
        </w:numPr>
        <w:tabs>
          <w:tab w:pos="1576" w:val="left" w:leader="none"/>
        </w:tabs>
        <w:spacing w:line="240" w:lineRule="auto" w:before="0" w:after="0"/>
        <w:ind w:left="1575" w:right="0" w:hanging="738"/>
        <w:jc w:val="left"/>
        <w:rPr>
          <w:sz w:val="21"/>
        </w:rPr>
      </w:pPr>
      <w:r>
        <w:rPr>
          <w:spacing w:val="-3"/>
          <w:sz w:val="21"/>
        </w:rPr>
        <w:t>罐体要求</w:t>
      </w:r>
      <w:r>
        <w:rPr>
          <w:sz w:val="21"/>
        </w:rPr>
        <w:t> </w:t>
      </w:r>
    </w:p>
    <w:p>
      <w:pPr>
        <w:pStyle w:val="BodyText"/>
        <w:spacing w:before="12"/>
        <w:rPr>
          <w:sz w:val="17"/>
        </w:rPr>
      </w:pPr>
    </w:p>
    <w:p>
      <w:pPr>
        <w:pStyle w:val="ListParagraph"/>
        <w:numPr>
          <w:ilvl w:val="4"/>
          <w:numId w:val="191"/>
        </w:numPr>
        <w:tabs>
          <w:tab w:pos="1788" w:val="left" w:leader="none"/>
        </w:tabs>
        <w:spacing w:line="446" w:lineRule="auto" w:before="1" w:after="0"/>
        <w:ind w:left="418" w:right="1349" w:firstLine="419"/>
        <w:jc w:val="left"/>
        <w:rPr>
          <w:sz w:val="21"/>
        </w:rPr>
      </w:pPr>
      <w:r>
        <w:rPr>
          <w:spacing w:val="-8"/>
          <w:sz w:val="21"/>
        </w:rPr>
        <w:t>罐容积大于或等于 </w:t>
      </w:r>
      <w:r>
        <w:rPr>
          <w:sz w:val="21"/>
        </w:rPr>
        <w:t>12m³</w:t>
      </w:r>
      <w:r>
        <w:rPr>
          <w:spacing w:val="-7"/>
          <w:sz w:val="21"/>
        </w:rPr>
        <w:t>时，容积误差不应超过士 </w:t>
      </w:r>
      <w:r>
        <w:rPr>
          <w:sz w:val="21"/>
        </w:rPr>
        <w:t>2</w:t>
      </w:r>
      <w:r>
        <w:rPr>
          <w:spacing w:val="-8"/>
          <w:sz w:val="21"/>
        </w:rPr>
        <w:t>%；容积小于 </w:t>
      </w:r>
      <w:r>
        <w:rPr>
          <w:sz w:val="21"/>
        </w:rPr>
        <w:t>12m³</w:t>
      </w:r>
      <w:r>
        <w:rPr>
          <w:spacing w:val="-3"/>
          <w:sz w:val="21"/>
        </w:rPr>
        <w:t>且不小于以上1m³</w:t>
      </w:r>
      <w:r>
        <w:rPr>
          <w:spacing w:val="-9"/>
          <w:sz w:val="21"/>
        </w:rPr>
        <w:t>时， 每减少 </w:t>
      </w:r>
      <w:r>
        <w:rPr>
          <w:sz w:val="21"/>
        </w:rPr>
        <w:t>1m³</w:t>
      </w:r>
      <w:r>
        <w:rPr>
          <w:spacing w:val="-8"/>
          <w:sz w:val="21"/>
        </w:rPr>
        <w:t>，其误差绝对值增加 </w:t>
      </w:r>
      <w:r>
        <w:rPr>
          <w:sz w:val="21"/>
        </w:rPr>
        <w:t>0.1</w:t>
      </w:r>
      <w:r>
        <w:rPr>
          <w:spacing w:val="-8"/>
          <w:sz w:val="21"/>
        </w:rPr>
        <w:t>%；容积小于 </w:t>
      </w:r>
      <w:r>
        <w:rPr>
          <w:sz w:val="21"/>
        </w:rPr>
        <w:t>1m³</w:t>
      </w:r>
      <w:r>
        <w:rPr>
          <w:spacing w:val="-7"/>
          <w:sz w:val="21"/>
        </w:rPr>
        <w:t>时，容积误差不应超过士 </w:t>
      </w:r>
      <w:r>
        <w:rPr>
          <w:sz w:val="21"/>
        </w:rPr>
        <w:t>10</w:t>
      </w:r>
      <w:r>
        <w:rPr>
          <w:spacing w:val="-2"/>
          <w:sz w:val="21"/>
        </w:rPr>
        <w:t>%。</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191"/>
        </w:numPr>
        <w:tabs>
          <w:tab w:pos="1788" w:val="left" w:leader="none"/>
        </w:tabs>
        <w:spacing w:line="240" w:lineRule="auto" w:before="47" w:after="0"/>
        <w:ind w:left="1787" w:right="0" w:hanging="950"/>
        <w:jc w:val="left"/>
        <w:rPr>
          <w:sz w:val="21"/>
        </w:rPr>
      </w:pPr>
      <w:r>
        <w:rPr>
          <w:spacing w:val="-3"/>
          <w:sz w:val="21"/>
        </w:rPr>
        <w:t>罐体和阀门应采用防腐蚀材料或经防腐蚀处理。</w:t>
      </w:r>
      <w:r>
        <w:rPr>
          <w:sz w:val="21"/>
        </w:rPr>
        <w:t> </w:t>
      </w:r>
    </w:p>
    <w:p>
      <w:pPr>
        <w:pStyle w:val="BodyText"/>
        <w:rPr>
          <w:sz w:val="18"/>
        </w:rPr>
      </w:pPr>
    </w:p>
    <w:p>
      <w:pPr>
        <w:pStyle w:val="ListParagraph"/>
        <w:numPr>
          <w:ilvl w:val="4"/>
          <w:numId w:val="191"/>
        </w:numPr>
        <w:tabs>
          <w:tab w:pos="1788" w:val="left" w:leader="none"/>
        </w:tabs>
        <w:spacing w:line="446" w:lineRule="auto" w:before="0" w:after="0"/>
        <w:ind w:left="418" w:right="1508" w:firstLine="419"/>
        <w:jc w:val="left"/>
        <w:rPr>
          <w:sz w:val="21"/>
        </w:rPr>
      </w:pPr>
      <w:r>
        <w:rPr>
          <w:spacing w:val="-10"/>
          <w:sz w:val="21"/>
        </w:rPr>
        <w:t>罐容积超过 </w:t>
      </w:r>
      <w:r>
        <w:rPr>
          <w:sz w:val="21"/>
        </w:rPr>
        <w:t>2m³，</w:t>
      </w:r>
      <w:r>
        <w:rPr>
          <w:spacing w:val="-7"/>
          <w:sz w:val="21"/>
        </w:rPr>
        <w:t>罐内应设防荡板，罐容积超过 </w:t>
      </w:r>
      <w:r>
        <w:rPr>
          <w:sz w:val="21"/>
        </w:rPr>
        <w:t>3m³</w:t>
      </w:r>
      <w:r>
        <w:rPr>
          <w:spacing w:val="-3"/>
          <w:sz w:val="21"/>
        </w:rPr>
        <w:t>，罐内应设纵向防荡板，防</w:t>
      </w:r>
      <w:r>
        <w:rPr>
          <w:spacing w:val="-7"/>
          <w:sz w:val="21"/>
        </w:rPr>
        <w:t>荡板隔出的单腔容积不应大于 </w:t>
      </w:r>
      <w:r>
        <w:rPr>
          <w:sz w:val="21"/>
        </w:rPr>
        <w:t>2m³</w:t>
      </w:r>
      <w:r>
        <w:rPr>
          <w:spacing w:val="-3"/>
          <w:sz w:val="21"/>
        </w:rPr>
        <w:t>。</w:t>
      </w:r>
      <w:r>
        <w:rPr>
          <w:sz w:val="21"/>
        </w:rPr>
        <w:t> </w:t>
      </w:r>
    </w:p>
    <w:p>
      <w:pPr>
        <w:pStyle w:val="ListParagraph"/>
        <w:numPr>
          <w:ilvl w:val="4"/>
          <w:numId w:val="191"/>
        </w:numPr>
        <w:tabs>
          <w:tab w:pos="1788" w:val="left" w:leader="none"/>
        </w:tabs>
        <w:spacing w:line="240" w:lineRule="auto" w:before="0" w:after="0"/>
        <w:ind w:left="1787" w:right="0" w:hanging="950"/>
        <w:jc w:val="left"/>
        <w:rPr>
          <w:sz w:val="21"/>
        </w:rPr>
      </w:pPr>
      <w:r>
        <w:rPr>
          <w:spacing w:val="-13"/>
          <w:sz w:val="21"/>
        </w:rPr>
        <w:t>容积大于 </w:t>
      </w:r>
      <w:r>
        <w:rPr>
          <w:sz w:val="21"/>
        </w:rPr>
        <w:t>1m³</w:t>
      </w:r>
      <w:r>
        <w:rPr>
          <w:spacing w:val="-3"/>
          <w:sz w:val="21"/>
        </w:rPr>
        <w:t>的罐顶部应设置可供人员进出的人孔及人孔盖，人孔直径不小于</w:t>
      </w:r>
    </w:p>
    <w:p>
      <w:pPr>
        <w:pStyle w:val="BodyText"/>
        <w:spacing w:before="12"/>
        <w:rPr>
          <w:sz w:val="17"/>
        </w:rPr>
      </w:pPr>
    </w:p>
    <w:p>
      <w:pPr>
        <w:pStyle w:val="BodyText"/>
        <w:ind w:left="418"/>
      </w:pPr>
      <w:r>
        <w:rPr/>
        <w:t>400mm，人孔盖在罐内压力超过 0.1MP 时可自动卸压。 </w:t>
      </w:r>
    </w:p>
    <w:p>
      <w:pPr>
        <w:pStyle w:val="BodyText"/>
        <w:rPr>
          <w:sz w:val="18"/>
        </w:rPr>
      </w:pPr>
    </w:p>
    <w:p>
      <w:pPr>
        <w:pStyle w:val="ListParagraph"/>
        <w:numPr>
          <w:ilvl w:val="4"/>
          <w:numId w:val="191"/>
        </w:numPr>
        <w:tabs>
          <w:tab w:pos="1788" w:val="left" w:leader="none"/>
        </w:tabs>
        <w:spacing w:line="240" w:lineRule="auto" w:before="0" w:after="0"/>
        <w:ind w:left="1787" w:right="0" w:hanging="950"/>
        <w:jc w:val="left"/>
        <w:rPr>
          <w:sz w:val="21"/>
        </w:rPr>
      </w:pPr>
      <w:r>
        <w:rPr>
          <w:spacing w:val="-3"/>
          <w:sz w:val="21"/>
        </w:rPr>
        <w:t>水罐最低处应投置排污孔，排出的淤物不应接触车身和底盘零部件。 </w:t>
      </w:r>
    </w:p>
    <w:p>
      <w:pPr>
        <w:pStyle w:val="BodyText"/>
        <w:spacing w:before="2"/>
        <w:rPr>
          <w:sz w:val="18"/>
        </w:rPr>
      </w:pPr>
    </w:p>
    <w:p>
      <w:pPr>
        <w:pStyle w:val="ListParagraph"/>
        <w:numPr>
          <w:ilvl w:val="2"/>
          <w:numId w:val="192"/>
        </w:numPr>
        <w:tabs>
          <w:tab w:pos="1367" w:val="left" w:leader="none"/>
        </w:tabs>
        <w:spacing w:line="240" w:lineRule="auto" w:before="0" w:after="0"/>
        <w:ind w:left="1367" w:right="0" w:hanging="529"/>
        <w:jc w:val="left"/>
        <w:rPr>
          <w:sz w:val="19"/>
        </w:rPr>
      </w:pPr>
      <w:r>
        <w:rPr>
          <w:sz w:val="21"/>
        </w:rPr>
        <w:t>,1.6</w:t>
      </w:r>
      <w:r>
        <w:rPr>
          <w:spacing w:val="-3"/>
          <w:sz w:val="21"/>
        </w:rPr>
        <w:t> 水罐应设置液位或液量的指示装置。</w:t>
      </w:r>
      <w:r>
        <w:rPr>
          <w:sz w:val="21"/>
        </w:rPr>
        <w:t> </w:t>
      </w:r>
    </w:p>
    <w:p>
      <w:pPr>
        <w:pStyle w:val="BodyText"/>
        <w:rPr>
          <w:sz w:val="18"/>
        </w:rPr>
      </w:pPr>
    </w:p>
    <w:p>
      <w:pPr>
        <w:pStyle w:val="BodyText"/>
        <w:spacing w:line="446" w:lineRule="auto"/>
        <w:ind w:left="418" w:right="1505" w:firstLine="419"/>
      </w:pPr>
      <w:r>
        <w:rPr/>
        <w:t>4.4.3.1.7</w:t>
      </w:r>
      <w:r>
        <w:rPr>
          <w:spacing w:val="-6"/>
        </w:rPr>
        <w:t> 水罐应能承受 </w:t>
      </w:r>
      <w:r>
        <w:rPr/>
        <w:t>0.1MPa</w:t>
      </w:r>
      <w:r>
        <w:rPr>
          <w:spacing w:val="-14"/>
        </w:rPr>
        <w:t> 的静水压力，经 </w:t>
      </w:r>
      <w:r>
        <w:rPr/>
        <w:t>0.1MPa</w:t>
      </w:r>
      <w:r>
        <w:rPr>
          <w:spacing w:val="-9"/>
        </w:rPr>
        <w:t> 静水压强度试验，罐体两侧面不</w:t>
      </w:r>
      <w:r>
        <w:rPr>
          <w:spacing w:val="-5"/>
        </w:rPr>
        <w:t>应出现明显残余变形，相连接的管道、阀门均不许有渗漏。</w:t>
      </w:r>
      <w:r>
        <w:rPr/>
        <w:t> </w:t>
      </w:r>
    </w:p>
    <w:p>
      <w:pPr>
        <w:pStyle w:val="ListParagraph"/>
        <w:numPr>
          <w:ilvl w:val="3"/>
          <w:numId w:val="191"/>
        </w:numPr>
        <w:tabs>
          <w:tab w:pos="1576" w:val="left" w:leader="none"/>
        </w:tabs>
        <w:spacing w:line="240" w:lineRule="auto" w:before="0" w:after="0"/>
        <w:ind w:left="1575" w:right="0" w:hanging="738"/>
        <w:jc w:val="left"/>
        <w:rPr>
          <w:sz w:val="21"/>
        </w:rPr>
      </w:pPr>
      <w:r>
        <w:rPr>
          <w:spacing w:val="-3"/>
          <w:sz w:val="21"/>
        </w:rPr>
        <w:t>注水装置</w:t>
      </w:r>
      <w:r>
        <w:rPr>
          <w:sz w:val="21"/>
        </w:rPr>
        <w:t> </w:t>
      </w:r>
    </w:p>
    <w:p>
      <w:pPr>
        <w:pStyle w:val="BodyText"/>
        <w:spacing w:before="12"/>
        <w:rPr>
          <w:sz w:val="17"/>
        </w:rPr>
      </w:pPr>
    </w:p>
    <w:p>
      <w:pPr>
        <w:pStyle w:val="ListParagraph"/>
        <w:numPr>
          <w:ilvl w:val="4"/>
          <w:numId w:val="191"/>
        </w:numPr>
        <w:tabs>
          <w:tab w:pos="1788" w:val="left" w:leader="none"/>
        </w:tabs>
        <w:spacing w:line="446" w:lineRule="auto" w:before="0" w:after="0"/>
        <w:ind w:left="418" w:right="1609" w:firstLine="419"/>
        <w:jc w:val="left"/>
        <w:rPr>
          <w:sz w:val="21"/>
        </w:rPr>
      </w:pPr>
      <w:r>
        <w:rPr>
          <w:spacing w:val="-3"/>
          <w:sz w:val="21"/>
        </w:rPr>
        <w:t>消防泵至水罐的注水管路应设置阀门，阀门应方便操作。注水管路通径不应小</w:t>
      </w:r>
      <w:r>
        <w:rPr>
          <w:spacing w:val="-28"/>
          <w:sz w:val="21"/>
        </w:rPr>
        <w:t>于 </w:t>
      </w:r>
      <w:r>
        <w:rPr>
          <w:sz w:val="21"/>
        </w:rPr>
        <w:t>65mm</w:t>
      </w:r>
      <w:r>
        <w:rPr>
          <w:spacing w:val="-3"/>
          <w:sz w:val="21"/>
        </w:rPr>
        <w:t>，管路中不应有积水。</w:t>
      </w:r>
      <w:r>
        <w:rPr>
          <w:sz w:val="21"/>
        </w:rPr>
        <w:t> </w:t>
      </w:r>
    </w:p>
    <w:p>
      <w:pPr>
        <w:pStyle w:val="ListParagraph"/>
        <w:numPr>
          <w:ilvl w:val="4"/>
          <w:numId w:val="191"/>
        </w:numPr>
        <w:tabs>
          <w:tab w:pos="1788" w:val="left" w:leader="none"/>
        </w:tabs>
        <w:spacing w:line="446" w:lineRule="auto" w:before="0" w:after="0"/>
        <w:ind w:left="418" w:right="1664" w:firstLine="419"/>
        <w:jc w:val="left"/>
        <w:rPr>
          <w:sz w:val="21"/>
        </w:rPr>
      </w:pPr>
      <w:r>
        <w:rPr>
          <w:spacing w:val="-5"/>
          <w:sz w:val="21"/>
        </w:rPr>
        <w:t>从车辆外部向水罐注水的管路通径不应小于 </w:t>
      </w:r>
      <w:r>
        <w:rPr>
          <w:sz w:val="21"/>
        </w:rPr>
        <w:t>65mm</w:t>
      </w:r>
      <w:r>
        <w:rPr>
          <w:spacing w:val="-3"/>
          <w:sz w:val="21"/>
        </w:rPr>
        <w:t>，管路应保证罐内水不会倒流，管路中不应有积水。注水口应加防护盖。</w:t>
      </w:r>
      <w:r>
        <w:rPr>
          <w:sz w:val="21"/>
        </w:rPr>
        <w:t> </w:t>
      </w:r>
    </w:p>
    <w:p>
      <w:pPr>
        <w:pStyle w:val="ListParagraph"/>
        <w:numPr>
          <w:ilvl w:val="4"/>
          <w:numId w:val="191"/>
        </w:numPr>
        <w:tabs>
          <w:tab w:pos="1788" w:val="left" w:leader="none"/>
        </w:tabs>
        <w:spacing w:line="267" w:lineRule="exact" w:before="0" w:after="0"/>
        <w:ind w:left="1787" w:right="0" w:hanging="950"/>
        <w:jc w:val="left"/>
        <w:rPr>
          <w:sz w:val="21"/>
        </w:rPr>
      </w:pPr>
      <w:r>
        <w:rPr>
          <w:spacing w:val="-3"/>
          <w:sz w:val="21"/>
        </w:rPr>
        <w:t>在水罐注水口处应设有“水罐注水口”字祥的招牌，标牌应永久固定。 </w:t>
      </w:r>
    </w:p>
    <w:p>
      <w:pPr>
        <w:pStyle w:val="BodyText"/>
        <w:spacing w:before="2"/>
        <w:rPr>
          <w:sz w:val="18"/>
        </w:rPr>
      </w:pPr>
    </w:p>
    <w:p>
      <w:pPr>
        <w:pStyle w:val="ListParagraph"/>
        <w:numPr>
          <w:ilvl w:val="3"/>
          <w:numId w:val="191"/>
        </w:numPr>
        <w:tabs>
          <w:tab w:pos="1576" w:val="left" w:leader="none"/>
        </w:tabs>
        <w:spacing w:line="240" w:lineRule="auto" w:before="0" w:after="0"/>
        <w:ind w:left="1575" w:right="0" w:hanging="738"/>
        <w:jc w:val="left"/>
        <w:rPr>
          <w:sz w:val="21"/>
        </w:rPr>
      </w:pPr>
      <w:r>
        <w:rPr>
          <w:spacing w:val="-3"/>
          <w:sz w:val="21"/>
        </w:rPr>
        <w:t>溢水装置</w:t>
      </w:r>
      <w:r>
        <w:rPr>
          <w:sz w:val="21"/>
        </w:rPr>
        <w:t> </w:t>
      </w:r>
    </w:p>
    <w:p>
      <w:pPr>
        <w:pStyle w:val="BodyText"/>
        <w:spacing w:before="12"/>
        <w:rPr>
          <w:sz w:val="17"/>
        </w:rPr>
      </w:pPr>
    </w:p>
    <w:p>
      <w:pPr>
        <w:pStyle w:val="BodyText"/>
        <w:spacing w:line="446" w:lineRule="auto"/>
        <w:ind w:left="418" w:right="1609" w:firstLine="419"/>
      </w:pPr>
      <w:r>
        <w:rPr/>
        <w:t>应在水罐内设置通大气的溢水管路，溢水管路直径不应小于水罐与消防泵间输水管路直径的 30%，溢水管路应高出罐顶。 </w:t>
      </w:r>
    </w:p>
    <w:p>
      <w:pPr>
        <w:pStyle w:val="ListParagraph"/>
        <w:numPr>
          <w:ilvl w:val="2"/>
          <w:numId w:val="192"/>
        </w:numPr>
        <w:tabs>
          <w:tab w:pos="1370" w:val="left" w:leader="none"/>
        </w:tabs>
        <w:spacing w:line="240" w:lineRule="auto" w:before="0" w:after="0"/>
        <w:ind w:left="1369" w:right="0" w:hanging="530"/>
        <w:jc w:val="left"/>
        <w:rPr>
          <w:sz w:val="19"/>
        </w:rPr>
      </w:pPr>
      <w:r>
        <w:rPr>
          <w:spacing w:val="-3"/>
          <w:sz w:val="21"/>
        </w:rPr>
        <w:t>消坊炮</w:t>
      </w:r>
      <w:r>
        <w:rPr>
          <w:sz w:val="21"/>
        </w:rPr>
        <w:t> </w:t>
      </w:r>
    </w:p>
    <w:p>
      <w:pPr>
        <w:pStyle w:val="BodyText"/>
        <w:rPr>
          <w:sz w:val="18"/>
        </w:rPr>
      </w:pPr>
    </w:p>
    <w:p>
      <w:pPr>
        <w:pStyle w:val="ListParagraph"/>
        <w:numPr>
          <w:ilvl w:val="3"/>
          <w:numId w:val="192"/>
        </w:numPr>
        <w:tabs>
          <w:tab w:pos="1576" w:val="left" w:leader="none"/>
        </w:tabs>
        <w:spacing w:line="240" w:lineRule="auto" w:before="0" w:after="0"/>
        <w:ind w:left="1575" w:right="0" w:hanging="738"/>
        <w:jc w:val="left"/>
        <w:rPr>
          <w:sz w:val="21"/>
        </w:rPr>
      </w:pPr>
      <w:r>
        <w:rPr>
          <w:spacing w:val="-6"/>
          <w:sz w:val="21"/>
        </w:rPr>
        <w:t>水罐车配备的车载消防炮喷射性能应符合 </w:t>
      </w:r>
      <w:r>
        <w:rPr>
          <w:sz w:val="21"/>
        </w:rPr>
        <w:t>GB</w:t>
      </w:r>
      <w:r>
        <w:rPr>
          <w:spacing w:val="1"/>
          <w:sz w:val="21"/>
        </w:rPr>
        <w:t> </w:t>
      </w:r>
      <w:r>
        <w:rPr>
          <w:sz w:val="21"/>
        </w:rPr>
        <w:t>19156</w:t>
      </w:r>
      <w:r>
        <w:rPr>
          <w:spacing w:val="-13"/>
          <w:sz w:val="21"/>
        </w:rPr>
        <w:t> 的要求。</w:t>
      </w:r>
      <w:r>
        <w:rPr>
          <w:sz w:val="21"/>
        </w:rPr>
        <w:t> </w:t>
      </w:r>
    </w:p>
    <w:p>
      <w:pPr>
        <w:pStyle w:val="BodyText"/>
        <w:rPr>
          <w:sz w:val="18"/>
        </w:rPr>
      </w:pPr>
    </w:p>
    <w:p>
      <w:pPr>
        <w:pStyle w:val="ListParagraph"/>
        <w:numPr>
          <w:ilvl w:val="2"/>
          <w:numId w:val="193"/>
        </w:numPr>
        <w:tabs>
          <w:tab w:pos="1367" w:val="left" w:leader="none"/>
        </w:tabs>
        <w:spacing w:line="240" w:lineRule="auto" w:before="0" w:after="0"/>
        <w:ind w:left="1367" w:right="0" w:hanging="529"/>
        <w:jc w:val="left"/>
        <w:rPr>
          <w:sz w:val="19"/>
        </w:rPr>
      </w:pPr>
      <w:r>
        <w:rPr>
          <w:sz w:val="21"/>
        </w:rPr>
        <w:t>,2</w:t>
      </w:r>
      <w:r>
        <w:rPr>
          <w:spacing w:val="-3"/>
          <w:sz w:val="21"/>
        </w:rPr>
        <w:t> 车载消防炮装车后的俯角不应小于 </w:t>
      </w:r>
      <w:r>
        <w:rPr>
          <w:sz w:val="21"/>
        </w:rPr>
        <w:t>7</w:t>
      </w:r>
      <w:r>
        <w:rPr>
          <w:spacing w:val="-2"/>
          <w:sz w:val="21"/>
        </w:rPr>
        <w:t>°。</w:t>
      </w:r>
      <w:r>
        <w:rPr>
          <w:sz w:val="21"/>
        </w:rPr>
        <w:t> </w:t>
      </w:r>
    </w:p>
    <w:p>
      <w:pPr>
        <w:pStyle w:val="BodyText"/>
        <w:spacing w:before="2"/>
        <w:rPr>
          <w:sz w:val="18"/>
        </w:rPr>
      </w:pPr>
    </w:p>
    <w:p>
      <w:pPr>
        <w:pStyle w:val="ListParagraph"/>
        <w:numPr>
          <w:ilvl w:val="3"/>
          <w:numId w:val="194"/>
        </w:numPr>
        <w:tabs>
          <w:tab w:pos="1576" w:val="left" w:leader="none"/>
        </w:tabs>
        <w:spacing w:line="240" w:lineRule="auto" w:before="0" w:after="0"/>
        <w:ind w:left="1575" w:right="0" w:hanging="738"/>
        <w:jc w:val="left"/>
        <w:rPr>
          <w:sz w:val="21"/>
        </w:rPr>
      </w:pPr>
      <w:r>
        <w:rPr>
          <w:spacing w:val="-3"/>
          <w:sz w:val="21"/>
        </w:rPr>
        <w:t>车顶炮的进水管路应设置控制启闭的阀门。 </w:t>
      </w:r>
    </w:p>
    <w:p>
      <w:pPr>
        <w:pStyle w:val="BodyText"/>
        <w:spacing w:before="12"/>
        <w:rPr>
          <w:sz w:val="17"/>
        </w:rPr>
      </w:pPr>
    </w:p>
    <w:p>
      <w:pPr>
        <w:pStyle w:val="ListParagraph"/>
        <w:numPr>
          <w:ilvl w:val="3"/>
          <w:numId w:val="194"/>
        </w:numPr>
        <w:tabs>
          <w:tab w:pos="1576" w:val="left" w:leader="none"/>
        </w:tabs>
        <w:spacing w:line="446" w:lineRule="auto" w:before="0" w:after="0"/>
        <w:ind w:left="418" w:right="1609" w:firstLine="419"/>
        <w:jc w:val="left"/>
        <w:rPr>
          <w:sz w:val="21"/>
        </w:rPr>
      </w:pPr>
      <w:r>
        <w:rPr>
          <w:spacing w:val="-3"/>
          <w:sz w:val="21"/>
        </w:rPr>
        <w:t>车顶炮和车前炮应有锁紧机构，锁紧机构能够在消防炮喷射时可靠锁止在任何俯仰和回转角度。</w:t>
      </w:r>
      <w:r>
        <w:rPr>
          <w:sz w:val="21"/>
        </w:rPr>
        <w:t> </w:t>
      </w:r>
    </w:p>
    <w:p>
      <w:pPr>
        <w:pStyle w:val="ListParagraph"/>
        <w:numPr>
          <w:ilvl w:val="3"/>
          <w:numId w:val="194"/>
        </w:numPr>
        <w:tabs>
          <w:tab w:pos="1576" w:val="left" w:leader="none"/>
        </w:tabs>
        <w:spacing w:line="446" w:lineRule="auto" w:before="0" w:after="0"/>
        <w:ind w:left="418" w:right="1505" w:firstLine="419"/>
        <w:jc w:val="left"/>
        <w:rPr>
          <w:sz w:val="21"/>
        </w:rPr>
      </w:pPr>
      <w:r>
        <w:rPr>
          <w:spacing w:val="-3"/>
          <w:sz w:val="21"/>
        </w:rPr>
        <w:t>车载消防炮采用无线遥控时，无线遥控信号不应对消防车其他控制系统和通信系统的工作造成干扰。</w:t>
      </w:r>
      <w:r>
        <w:rPr>
          <w:sz w:val="21"/>
        </w:rPr>
        <w:t> </w:t>
      </w:r>
    </w:p>
    <w:p>
      <w:pPr>
        <w:pStyle w:val="ListParagraph"/>
        <w:numPr>
          <w:ilvl w:val="2"/>
          <w:numId w:val="193"/>
        </w:numPr>
        <w:tabs>
          <w:tab w:pos="1370" w:val="left" w:leader="none"/>
        </w:tabs>
        <w:spacing w:line="267" w:lineRule="exact" w:before="0" w:after="0"/>
        <w:ind w:left="1369" w:right="0" w:hanging="530"/>
        <w:jc w:val="left"/>
        <w:rPr>
          <w:sz w:val="19"/>
        </w:rPr>
      </w:pPr>
      <w:r>
        <w:rPr>
          <w:spacing w:val="-3"/>
          <w:sz w:val="21"/>
        </w:rPr>
        <w:t>最大真空度及密封性 </w:t>
      </w:r>
    </w:p>
    <w:p>
      <w:pPr>
        <w:spacing w:after="0" w:line="267" w:lineRule="exact"/>
        <w:jc w:val="left"/>
        <w:rPr>
          <w:sz w:val="19"/>
        </w:rPr>
        <w:sectPr>
          <w:pgSz w:w="11910" w:h="16850"/>
          <w:pgMar w:header="0" w:footer="1239" w:top="1220" w:bottom="1420" w:left="1260" w:right="0"/>
        </w:sectPr>
      </w:pPr>
    </w:p>
    <w:p>
      <w:pPr>
        <w:pStyle w:val="BodyText"/>
        <w:spacing w:line="446" w:lineRule="auto" w:before="47"/>
        <w:ind w:left="418" w:right="1560" w:firstLine="419"/>
      </w:pPr>
      <w:r>
        <w:rPr>
          <w:spacing w:val="-8"/>
        </w:rPr>
        <w:t>在大气压力为 </w:t>
      </w:r>
      <w:r>
        <w:rPr/>
        <w:t>101kPa</w:t>
      </w:r>
      <w:r>
        <w:rPr>
          <w:spacing w:val="-10"/>
        </w:rPr>
        <w:t> 下，消防车引水装置所能形成的最大真空度不应小于 </w:t>
      </w:r>
      <w:r>
        <w:rPr/>
        <w:t>85kPa</w:t>
      </w:r>
      <w:r>
        <w:rPr>
          <w:spacing w:val="-3"/>
        </w:rPr>
        <w:t>。引水系统的密封性在最大真空度条件下</w:t>
      </w:r>
      <w:r>
        <w:rPr/>
        <w:t>，1min</w:t>
      </w:r>
      <w:r>
        <w:rPr>
          <w:spacing w:val="-12"/>
        </w:rPr>
        <w:t> 内真空度的降低数值不应大于 </w:t>
      </w:r>
      <w:r>
        <w:rPr/>
        <w:t>2.6kPa。 </w:t>
      </w:r>
    </w:p>
    <w:p>
      <w:pPr>
        <w:pStyle w:val="ListParagraph"/>
        <w:numPr>
          <w:ilvl w:val="2"/>
          <w:numId w:val="193"/>
        </w:numPr>
        <w:tabs>
          <w:tab w:pos="1370" w:val="left" w:leader="none"/>
        </w:tabs>
        <w:spacing w:line="267" w:lineRule="exact" w:before="0" w:after="0"/>
        <w:ind w:left="1369" w:right="0" w:hanging="530"/>
        <w:jc w:val="left"/>
        <w:rPr>
          <w:sz w:val="19"/>
        </w:rPr>
      </w:pPr>
      <w:r>
        <w:rPr>
          <w:spacing w:val="-3"/>
          <w:sz w:val="21"/>
        </w:rPr>
        <w:t>最大吸深时消防泵的性能、引水时间</w:t>
      </w:r>
      <w:r>
        <w:rPr>
          <w:sz w:val="21"/>
        </w:rPr>
        <w:t> </w:t>
      </w:r>
    </w:p>
    <w:p>
      <w:pPr>
        <w:pStyle w:val="BodyText"/>
        <w:spacing w:before="2"/>
        <w:rPr>
          <w:sz w:val="18"/>
        </w:rPr>
      </w:pPr>
    </w:p>
    <w:p>
      <w:pPr>
        <w:pStyle w:val="ListParagraph"/>
        <w:numPr>
          <w:ilvl w:val="3"/>
          <w:numId w:val="193"/>
        </w:numPr>
        <w:tabs>
          <w:tab w:pos="1576" w:val="left" w:leader="none"/>
        </w:tabs>
        <w:spacing w:line="240" w:lineRule="auto" w:before="0" w:after="0"/>
        <w:ind w:left="1575" w:right="0" w:hanging="738"/>
        <w:jc w:val="left"/>
        <w:rPr>
          <w:sz w:val="21"/>
        </w:rPr>
      </w:pPr>
      <w:r>
        <w:rPr>
          <w:spacing w:val="-12"/>
          <w:sz w:val="21"/>
        </w:rPr>
        <w:t>在大气压力 </w:t>
      </w:r>
      <w:r>
        <w:rPr>
          <w:sz w:val="21"/>
        </w:rPr>
        <w:t>101kPa</w:t>
      </w:r>
      <w:r>
        <w:rPr>
          <w:spacing w:val="-13"/>
          <w:sz w:val="21"/>
        </w:rPr>
        <w:t>、,水温 </w:t>
      </w:r>
      <w:r>
        <w:rPr>
          <w:sz w:val="21"/>
        </w:rPr>
        <w:t>20</w:t>
      </w:r>
      <w:r>
        <w:rPr>
          <w:spacing w:val="-7"/>
          <w:sz w:val="21"/>
        </w:rPr>
        <w:t>℃下时，最大吸深不应小于 </w:t>
      </w:r>
      <w:r>
        <w:rPr>
          <w:sz w:val="21"/>
        </w:rPr>
        <w:t>7m</w:t>
      </w:r>
      <w:r>
        <w:rPr>
          <w:spacing w:val="-3"/>
          <w:sz w:val="21"/>
        </w:rPr>
        <w:t>。引水时间应符合表</w:t>
      </w:r>
    </w:p>
    <w:p>
      <w:pPr>
        <w:pStyle w:val="BodyText"/>
        <w:rPr>
          <w:sz w:val="18"/>
        </w:rPr>
      </w:pPr>
    </w:p>
    <w:p>
      <w:pPr>
        <w:pStyle w:val="BodyText"/>
        <w:ind w:left="418"/>
      </w:pPr>
      <w:r>
        <w:rPr/>
        <w:pict>
          <v:group style="position:absolute;margin-left:95.900002pt;margin-top:19.700014pt;width:395.25pt;height:173.5pt;mso-position-horizontal-relative:page;mso-position-vertical-relative:paragraph;z-index:-251603968;mso-wrap-distance-left:0;mso-wrap-distance-right:0" coordorigin="1918,394" coordsize="7905,3470">
            <v:shape style="position:absolute;left:1918;top:394;width:7905;height:2595" type="#_x0000_t75" stroked="false">
              <v:imagedata r:id="rId92" o:title=""/>
            </v:shape>
            <v:shape style="position:absolute;left:1994;top:1029;width:7619;height:2835" type="#_x0000_t75" stroked="false">
              <v:imagedata r:id="rId93" o:title=""/>
            </v:shape>
            <w10:wrap type="topAndBottom"/>
          </v:group>
        </w:pict>
      </w:r>
      <w:r>
        <w:rPr/>
        <w:t>1 的要求。 </w:t>
      </w:r>
    </w:p>
    <w:p>
      <w:pPr>
        <w:pStyle w:val="ListParagraph"/>
        <w:numPr>
          <w:ilvl w:val="3"/>
          <w:numId w:val="193"/>
        </w:numPr>
        <w:tabs>
          <w:tab w:pos="1576" w:val="left" w:leader="none"/>
        </w:tabs>
        <w:spacing w:line="240" w:lineRule="auto" w:before="163" w:after="0"/>
        <w:ind w:left="1575" w:right="0" w:hanging="738"/>
        <w:jc w:val="left"/>
        <w:rPr>
          <w:sz w:val="21"/>
        </w:rPr>
      </w:pPr>
      <w:r>
        <w:rPr>
          <w:spacing w:val="-6"/>
          <w:sz w:val="21"/>
        </w:rPr>
        <w:t>在最大吸深时，消防泵的流量和出口压力应满足表 </w:t>
      </w:r>
      <w:r>
        <w:rPr>
          <w:sz w:val="21"/>
        </w:rPr>
        <w:t>2</w:t>
      </w:r>
      <w:r>
        <w:rPr>
          <w:spacing w:val="-13"/>
          <w:sz w:val="21"/>
        </w:rPr>
        <w:t> 的规定。</w:t>
      </w:r>
      <w:r>
        <w:rPr>
          <w:sz w:val="21"/>
        </w:rPr>
        <w:t> </w:t>
      </w:r>
    </w:p>
    <w:p>
      <w:pPr>
        <w:pStyle w:val="BodyText"/>
        <w:rPr>
          <w:sz w:val="18"/>
        </w:rPr>
      </w:pPr>
    </w:p>
    <w:p>
      <w:pPr>
        <w:pStyle w:val="ListParagraph"/>
        <w:numPr>
          <w:ilvl w:val="2"/>
          <w:numId w:val="193"/>
        </w:numPr>
        <w:tabs>
          <w:tab w:pos="1370" w:val="left" w:leader="none"/>
        </w:tabs>
        <w:spacing w:line="240" w:lineRule="auto" w:before="0" w:after="0"/>
        <w:ind w:left="1369" w:right="0" w:hanging="530"/>
        <w:jc w:val="left"/>
        <w:rPr>
          <w:sz w:val="19"/>
        </w:rPr>
      </w:pPr>
      <w:r>
        <w:rPr>
          <w:spacing w:val="-3"/>
          <w:sz w:val="21"/>
        </w:rPr>
        <w:t>连续运转试验</w:t>
      </w:r>
      <w:r>
        <w:rPr>
          <w:sz w:val="21"/>
        </w:rPr>
        <w:t> </w:t>
      </w:r>
    </w:p>
    <w:p>
      <w:pPr>
        <w:pStyle w:val="BodyText"/>
        <w:rPr>
          <w:sz w:val="18"/>
        </w:rPr>
      </w:pPr>
    </w:p>
    <w:p>
      <w:pPr>
        <w:pStyle w:val="BodyText"/>
        <w:ind w:left="838"/>
      </w:pPr>
      <w:r>
        <w:rPr/>
        <w:t>水罐车 6h 连续运转试验应满足以下要求： </w:t>
      </w:r>
    </w:p>
    <w:p>
      <w:pPr>
        <w:pStyle w:val="BodyText"/>
        <w:spacing w:before="1"/>
        <w:rPr>
          <w:sz w:val="18"/>
        </w:rPr>
      </w:pPr>
    </w:p>
    <w:p>
      <w:pPr>
        <w:pStyle w:val="BodyText"/>
        <w:spacing w:before="1"/>
        <w:ind w:left="838"/>
      </w:pPr>
      <w:r>
        <w:rPr/>
        <w:t>——在连续运转试验过程中，发动机转速不应超过发动机的额定转速； </w:t>
      </w:r>
    </w:p>
    <w:p>
      <w:pPr>
        <w:pStyle w:val="BodyText"/>
        <w:spacing w:before="12"/>
        <w:rPr>
          <w:sz w:val="17"/>
        </w:rPr>
      </w:pPr>
    </w:p>
    <w:p>
      <w:pPr>
        <w:pStyle w:val="BodyText"/>
        <w:ind w:left="838"/>
      </w:pPr>
      <w:r>
        <w:rPr/>
        <w:t>——发动机无异响、过度振动、漏水、漏油、漏气等异常现象； </w:t>
      </w:r>
    </w:p>
    <w:p>
      <w:pPr>
        <w:pStyle w:val="BodyText"/>
        <w:spacing w:before="12"/>
        <w:rPr>
          <w:sz w:val="17"/>
        </w:rPr>
      </w:pPr>
    </w:p>
    <w:p>
      <w:pPr>
        <w:pStyle w:val="BodyText"/>
        <w:ind w:left="838"/>
      </w:pPr>
      <w:r>
        <w:rPr>
          <w:spacing w:val="-7"/>
        </w:rPr>
        <w:t>——发动机出水温度小于 </w:t>
      </w:r>
      <w:r>
        <w:rPr/>
        <w:t>90℃； </w:t>
      </w:r>
    </w:p>
    <w:p>
      <w:pPr>
        <w:pStyle w:val="BodyText"/>
        <w:spacing w:before="2"/>
        <w:rPr>
          <w:sz w:val="18"/>
        </w:rPr>
      </w:pPr>
    </w:p>
    <w:p>
      <w:pPr>
        <w:pStyle w:val="BodyText"/>
        <w:ind w:left="838"/>
      </w:pPr>
      <w:r>
        <w:rPr>
          <w:spacing w:val="-7"/>
        </w:rPr>
        <w:t>——发动机机油溢度小于 </w:t>
      </w:r>
      <w:r>
        <w:rPr/>
        <w:t>95℃； </w:t>
      </w:r>
    </w:p>
    <w:p>
      <w:pPr>
        <w:pStyle w:val="BodyText"/>
        <w:rPr>
          <w:sz w:val="18"/>
        </w:rPr>
      </w:pPr>
    </w:p>
    <w:p>
      <w:pPr>
        <w:pStyle w:val="BodyText"/>
        <w:ind w:left="838"/>
      </w:pPr>
      <w:r>
        <w:rPr/>
        <w:t>——变速器及取力器的润滑油温度应小于 100℃； </w:t>
      </w:r>
    </w:p>
    <w:p>
      <w:pPr>
        <w:pStyle w:val="BodyText"/>
        <w:rPr>
          <w:sz w:val="18"/>
        </w:rPr>
      </w:pPr>
    </w:p>
    <w:p>
      <w:pPr>
        <w:pStyle w:val="BodyText"/>
        <w:spacing w:line="446" w:lineRule="auto"/>
        <w:ind w:left="840" w:right="5341" w:hanging="3"/>
      </w:pPr>
      <w:r>
        <w:rPr/>
        <w:t>——取力器的输出轴轴承座温度应小于 100℃； </w:t>
      </w:r>
      <w:r>
        <w:rPr>
          <w:b/>
        </w:rPr>
        <w:t>4.4.8 </w:t>
      </w:r>
      <w:r>
        <w:rPr/>
        <w:t>水罐车超负荷运转性能 </w:t>
      </w:r>
    </w:p>
    <w:p>
      <w:pPr>
        <w:pStyle w:val="BodyText"/>
        <w:spacing w:line="446" w:lineRule="auto"/>
        <w:ind w:left="840" w:right="1505" w:hanging="3"/>
        <w:rPr>
          <w:b/>
        </w:rPr>
      </w:pPr>
      <w:r>
        <w:rPr/>
        <w:t>水罐车应迸行超负荷运转试验，发动机和消防泵应工作正常，无过度振动、漏油等现象。</w:t>
      </w:r>
      <w:r>
        <w:rPr>
          <w:b/>
        </w:rPr>
        <w:t>4.5 </w:t>
      </w:r>
      <w:r>
        <w:rPr/>
        <w:t>仪器、仪表的要求</w:t>
      </w:r>
      <w:r>
        <w:rPr>
          <w:b/>
          <w:w w:val="99"/>
        </w:rPr>
        <w:t> </w:t>
      </w:r>
    </w:p>
    <w:p>
      <w:pPr>
        <w:pStyle w:val="BodyText"/>
        <w:ind w:left="840"/>
      </w:pPr>
      <w:r>
        <w:rPr>
          <w:b/>
        </w:rPr>
        <w:t>4.5.1 </w:t>
      </w:r>
      <w:r>
        <w:rPr/>
        <w:t>仪器、仪表应符合 GB 7956.1—2014 中 5.6 的规定。 </w:t>
      </w:r>
    </w:p>
    <w:p>
      <w:pPr>
        <w:pStyle w:val="BodyText"/>
        <w:spacing w:before="12"/>
        <w:rPr>
          <w:sz w:val="17"/>
        </w:rPr>
      </w:pPr>
    </w:p>
    <w:p>
      <w:pPr>
        <w:spacing w:before="0"/>
        <w:ind w:left="840" w:right="0" w:firstLine="0"/>
        <w:jc w:val="left"/>
        <w:rPr>
          <w:sz w:val="21"/>
        </w:rPr>
      </w:pPr>
      <w:r>
        <w:rPr>
          <w:b/>
          <w:sz w:val="21"/>
        </w:rPr>
        <w:t>4.5.2 </w:t>
      </w:r>
      <w:r>
        <w:rPr>
          <w:sz w:val="21"/>
        </w:rPr>
        <w:t>显示负压的真空表应选用压力真空联用表。 </w:t>
      </w:r>
    </w:p>
    <w:p>
      <w:pPr>
        <w:pStyle w:val="BodyText"/>
        <w:rPr>
          <w:sz w:val="18"/>
        </w:rPr>
      </w:pPr>
    </w:p>
    <w:p>
      <w:pPr>
        <w:pStyle w:val="ListParagraph"/>
        <w:numPr>
          <w:ilvl w:val="1"/>
          <w:numId w:val="195"/>
        </w:numPr>
        <w:tabs>
          <w:tab w:pos="1159" w:val="left" w:leader="none"/>
        </w:tabs>
        <w:spacing w:line="240" w:lineRule="auto" w:before="0" w:after="0"/>
        <w:ind w:left="1158" w:right="0" w:hanging="319"/>
        <w:jc w:val="left"/>
        <w:rPr>
          <w:b/>
          <w:sz w:val="21"/>
        </w:rPr>
      </w:pPr>
      <w:r>
        <w:rPr>
          <w:spacing w:val="-3"/>
          <w:sz w:val="21"/>
        </w:rPr>
        <w:t>器材摆放、固定和配备</w:t>
      </w:r>
      <w:r>
        <w:rPr>
          <w:b/>
          <w:spacing w:val="-3"/>
          <w:w w:val="99"/>
          <w:sz w:val="21"/>
        </w:rPr>
        <w:t> </w:t>
      </w:r>
    </w:p>
    <w:p>
      <w:pPr>
        <w:pStyle w:val="BodyText"/>
        <w:spacing w:before="2"/>
        <w:rPr>
          <w:b/>
          <w:sz w:val="18"/>
        </w:rPr>
      </w:pPr>
    </w:p>
    <w:p>
      <w:pPr>
        <w:pStyle w:val="BodyText"/>
        <w:ind w:left="840"/>
      </w:pPr>
      <w:r>
        <w:rPr>
          <w:b/>
        </w:rPr>
        <w:t>4.6.1 </w:t>
      </w:r>
      <w:r>
        <w:rPr/>
        <w:t>器材的摆放和固定应符合 GB7956.1—2014 中 5.10、5.11 的规定。 </w:t>
      </w:r>
    </w:p>
    <w:p>
      <w:pPr>
        <w:spacing w:after="0"/>
        <w:sectPr>
          <w:pgSz w:w="11910" w:h="16850"/>
          <w:pgMar w:header="0" w:footer="1239" w:top="1220" w:bottom="1420" w:left="1260" w:right="0"/>
        </w:sectPr>
      </w:pPr>
    </w:p>
    <w:p>
      <w:pPr>
        <w:spacing w:before="47"/>
        <w:ind w:left="840" w:right="0" w:firstLine="0"/>
        <w:jc w:val="left"/>
        <w:rPr>
          <w:sz w:val="21"/>
        </w:rPr>
      </w:pPr>
      <w:r>
        <w:rPr>
          <w:b/>
          <w:sz w:val="21"/>
        </w:rPr>
        <w:t>4.6.2</w:t>
      </w:r>
      <w:r>
        <w:rPr>
          <w:b/>
          <w:spacing w:val="103"/>
          <w:sz w:val="21"/>
        </w:rPr>
        <w:t> </w:t>
      </w:r>
      <w:r>
        <w:rPr>
          <w:spacing w:val="-7"/>
          <w:sz w:val="21"/>
        </w:rPr>
        <w:t>配备的器材、附件应不低于表 </w:t>
      </w:r>
      <w:r>
        <w:rPr>
          <w:sz w:val="21"/>
        </w:rPr>
        <w:t>3</w:t>
      </w:r>
      <w:r>
        <w:rPr>
          <w:spacing w:val="-13"/>
          <w:sz w:val="21"/>
        </w:rPr>
        <w:t> 的规定。</w:t>
      </w:r>
      <w:r>
        <w:rPr>
          <w:sz w:val="21"/>
        </w:rPr>
        <w:t> </w:t>
      </w:r>
    </w:p>
    <w:p>
      <w:pPr>
        <w:pStyle w:val="BodyText"/>
        <w:spacing w:before="11"/>
        <w:rPr>
          <w:sz w:val="7"/>
        </w:rPr>
      </w:pPr>
      <w:r>
        <w:rPr/>
        <w:pict>
          <v:group style="position:absolute;margin-left:102.599998pt;margin-top:7.006875pt;width:401.25pt;height:406.55pt;mso-position-horizontal-relative:page;mso-position-vertical-relative:paragraph;z-index:-251602944;mso-wrap-distance-left:0;mso-wrap-distance-right:0" coordorigin="2052,140" coordsize="8025,8131">
            <v:shape style="position:absolute;left:2128;top:140;width:7635;height:2775" type="#_x0000_t75" stroked="false">
              <v:imagedata r:id="rId94" o:title=""/>
            </v:shape>
            <v:shape style="position:absolute;left:2052;top:635;width:8025;height:7636" type="#_x0000_t75" stroked="false">
              <v:imagedata r:id="rId95" o:title=""/>
            </v:shape>
            <w10:wrap type="topAndBottom"/>
          </v:group>
        </w:pict>
      </w:r>
    </w:p>
    <w:p>
      <w:pPr>
        <w:pStyle w:val="BodyText"/>
        <w:rPr>
          <w:sz w:val="20"/>
        </w:rPr>
      </w:pPr>
    </w:p>
    <w:p>
      <w:pPr>
        <w:pStyle w:val="BodyText"/>
        <w:spacing w:before="2"/>
        <w:rPr>
          <w:sz w:val="26"/>
        </w:rPr>
      </w:pPr>
    </w:p>
    <w:p>
      <w:pPr>
        <w:pStyle w:val="ListParagraph"/>
        <w:numPr>
          <w:ilvl w:val="1"/>
          <w:numId w:val="195"/>
        </w:numPr>
        <w:tabs>
          <w:tab w:pos="1159" w:val="left" w:leader="none"/>
        </w:tabs>
        <w:spacing w:line="240" w:lineRule="auto" w:before="72" w:after="0"/>
        <w:ind w:left="1158" w:right="0" w:hanging="319"/>
        <w:jc w:val="left"/>
        <w:rPr>
          <w:b/>
          <w:sz w:val="21"/>
        </w:rPr>
      </w:pPr>
      <w:r>
        <w:rPr>
          <w:spacing w:val="-3"/>
          <w:sz w:val="21"/>
        </w:rPr>
        <w:t>警报灯具</w:t>
      </w:r>
      <w:r>
        <w:rPr>
          <w:b/>
          <w:w w:val="99"/>
          <w:sz w:val="21"/>
        </w:rPr>
        <w:t> </w:t>
      </w:r>
    </w:p>
    <w:p>
      <w:pPr>
        <w:pStyle w:val="BodyText"/>
        <w:spacing w:before="12"/>
        <w:rPr>
          <w:b/>
          <w:sz w:val="17"/>
        </w:rPr>
      </w:pPr>
    </w:p>
    <w:p>
      <w:pPr>
        <w:pStyle w:val="BodyText"/>
        <w:spacing w:line="446" w:lineRule="auto"/>
        <w:ind w:left="840" w:right="3611" w:hanging="3"/>
        <w:rPr>
          <w:b/>
        </w:rPr>
      </w:pPr>
      <w:r>
        <w:rPr>
          <w:spacing w:val="-8"/>
        </w:rPr>
        <w:t>警报灯具性能应符合 </w:t>
      </w:r>
      <w:r>
        <w:rPr/>
        <w:t>GB7956.1—2014</w:t>
      </w:r>
      <w:r>
        <w:rPr>
          <w:spacing w:val="-35"/>
        </w:rPr>
        <w:t> 中 </w:t>
      </w:r>
      <w:r>
        <w:rPr/>
        <w:t>5.7.28～5.7.31</w:t>
      </w:r>
      <w:r>
        <w:rPr>
          <w:spacing w:val="-13"/>
        </w:rPr>
        <w:t> 的规定。</w:t>
      </w:r>
      <w:r>
        <w:rPr>
          <w:b/>
        </w:rPr>
        <w:t>4.8 </w:t>
      </w:r>
      <w:r>
        <w:rPr>
          <w:spacing w:val="-3"/>
        </w:rPr>
        <w:t>随车文件、工具及易损件</w:t>
      </w:r>
      <w:r>
        <w:rPr>
          <w:b/>
          <w:w w:val="99"/>
        </w:rPr>
        <w:t> </w:t>
      </w:r>
    </w:p>
    <w:p>
      <w:pPr>
        <w:pStyle w:val="ListParagraph"/>
        <w:numPr>
          <w:ilvl w:val="2"/>
          <w:numId w:val="196"/>
        </w:numPr>
        <w:tabs>
          <w:tab w:pos="1370" w:val="left" w:leader="none"/>
        </w:tabs>
        <w:spacing w:line="446" w:lineRule="auto" w:before="0" w:after="0"/>
        <w:ind w:left="418" w:right="1604" w:firstLine="422"/>
        <w:jc w:val="left"/>
        <w:rPr>
          <w:sz w:val="21"/>
        </w:rPr>
      </w:pPr>
      <w:r>
        <w:rPr>
          <w:spacing w:val="-3"/>
          <w:sz w:val="21"/>
        </w:rPr>
        <w:t>消防车交付用户时除应交付车辆注册所需资料外，还应随车交付用户以下中文文件资料：</w:t>
      </w:r>
      <w:r>
        <w:rPr>
          <w:sz w:val="21"/>
        </w:rPr>
        <w:t> </w:t>
      </w:r>
    </w:p>
    <w:p>
      <w:pPr>
        <w:pStyle w:val="BodyText"/>
        <w:ind w:left="838"/>
      </w:pPr>
      <w:r>
        <w:rPr/>
        <w:t>——底盘操作手册； </w:t>
      </w:r>
    </w:p>
    <w:p>
      <w:pPr>
        <w:pStyle w:val="BodyText"/>
        <w:rPr>
          <w:sz w:val="18"/>
        </w:rPr>
      </w:pPr>
    </w:p>
    <w:p>
      <w:pPr>
        <w:pStyle w:val="BodyText"/>
        <w:ind w:left="838"/>
      </w:pPr>
      <w:r>
        <w:rPr/>
        <w:t>——底盘维修手册及零部件目录； </w:t>
      </w:r>
    </w:p>
    <w:p>
      <w:pPr>
        <w:pStyle w:val="BodyText"/>
        <w:spacing w:before="12"/>
        <w:rPr>
          <w:sz w:val="17"/>
        </w:rPr>
      </w:pPr>
    </w:p>
    <w:p>
      <w:pPr>
        <w:pStyle w:val="BodyText"/>
        <w:ind w:left="838"/>
      </w:pPr>
      <w:r>
        <w:rPr/>
        <w:t>——底盘质量保证书和售后服务说明书； </w:t>
      </w:r>
    </w:p>
    <w:p>
      <w:pPr>
        <w:pStyle w:val="BodyText"/>
        <w:spacing w:before="2"/>
        <w:rPr>
          <w:sz w:val="18"/>
        </w:rPr>
      </w:pPr>
    </w:p>
    <w:p>
      <w:pPr>
        <w:pStyle w:val="BodyText"/>
        <w:ind w:left="838"/>
      </w:pPr>
      <w:r>
        <w:rPr/>
        <w:t>——底盘合格证； </w:t>
      </w:r>
    </w:p>
    <w:p>
      <w:pPr>
        <w:pStyle w:val="BodyText"/>
        <w:rPr>
          <w:sz w:val="18"/>
        </w:rPr>
      </w:pPr>
    </w:p>
    <w:p>
      <w:pPr>
        <w:pStyle w:val="BodyText"/>
        <w:ind w:left="838"/>
      </w:pPr>
      <w:r>
        <w:rPr/>
        <w:t>——底盘随车工具清单； </w:t>
      </w:r>
    </w:p>
    <w:p>
      <w:pPr>
        <w:spacing w:after="0"/>
        <w:sectPr>
          <w:pgSz w:w="11910" w:h="16850"/>
          <w:pgMar w:header="0" w:footer="1239" w:top="1220" w:bottom="1420" w:left="1260" w:right="0"/>
        </w:sectPr>
      </w:pPr>
    </w:p>
    <w:p>
      <w:pPr>
        <w:pStyle w:val="BodyText"/>
        <w:spacing w:before="47"/>
        <w:ind w:left="838"/>
      </w:pPr>
      <w:r>
        <w:rPr>
          <w:spacing w:val="-3"/>
        </w:rPr>
        <w:t>——消防车电气原理图；</w:t>
      </w:r>
      <w:r>
        <w:rPr/>
        <w:t> </w:t>
      </w:r>
    </w:p>
    <w:p>
      <w:pPr>
        <w:pStyle w:val="BodyText"/>
        <w:rPr>
          <w:sz w:val="18"/>
        </w:rPr>
      </w:pPr>
    </w:p>
    <w:p>
      <w:pPr>
        <w:pStyle w:val="BodyText"/>
        <w:ind w:left="838"/>
      </w:pPr>
      <w:r>
        <w:rPr>
          <w:spacing w:val="-3"/>
        </w:rPr>
        <w:t>——消防车使用说明书；</w:t>
      </w:r>
      <w:r>
        <w:rPr/>
        <w:t> </w:t>
      </w:r>
    </w:p>
    <w:p>
      <w:pPr>
        <w:pStyle w:val="BodyText"/>
        <w:rPr>
          <w:sz w:val="18"/>
        </w:rPr>
      </w:pPr>
    </w:p>
    <w:p>
      <w:pPr>
        <w:pStyle w:val="BodyText"/>
        <w:ind w:left="838"/>
      </w:pPr>
      <w:r>
        <w:rPr/>
        <w:t>——消防车维修、保养手册及零部件目录； </w:t>
      </w:r>
    </w:p>
    <w:p>
      <w:pPr>
        <w:pStyle w:val="BodyText"/>
        <w:spacing w:before="1"/>
        <w:rPr>
          <w:sz w:val="18"/>
        </w:rPr>
      </w:pPr>
    </w:p>
    <w:p>
      <w:pPr>
        <w:pStyle w:val="BodyText"/>
        <w:spacing w:before="1"/>
        <w:ind w:left="838"/>
      </w:pPr>
      <w:r>
        <w:rPr/>
        <w:t>——消防车合格证； </w:t>
      </w:r>
    </w:p>
    <w:p>
      <w:pPr>
        <w:pStyle w:val="BodyText"/>
        <w:spacing w:before="12"/>
        <w:rPr>
          <w:sz w:val="17"/>
        </w:rPr>
      </w:pPr>
    </w:p>
    <w:p>
      <w:pPr>
        <w:pStyle w:val="BodyText"/>
        <w:ind w:left="838"/>
      </w:pPr>
      <w:r>
        <w:rPr/>
        <w:t>——质量保证和售后服务承诺； </w:t>
      </w:r>
    </w:p>
    <w:p>
      <w:pPr>
        <w:pStyle w:val="BodyText"/>
        <w:spacing w:before="12"/>
        <w:rPr>
          <w:sz w:val="17"/>
        </w:rPr>
      </w:pPr>
    </w:p>
    <w:p>
      <w:pPr>
        <w:pStyle w:val="BodyText"/>
        <w:ind w:left="838"/>
      </w:pPr>
      <w:r>
        <w:rPr/>
        <w:t>——消防车随车工具及易损件清单； </w:t>
      </w:r>
    </w:p>
    <w:p>
      <w:pPr>
        <w:pStyle w:val="BodyText"/>
        <w:spacing w:before="2"/>
        <w:rPr>
          <w:sz w:val="18"/>
        </w:rPr>
      </w:pPr>
    </w:p>
    <w:p>
      <w:pPr>
        <w:pStyle w:val="BodyText"/>
        <w:ind w:left="838"/>
      </w:pPr>
      <w:r>
        <w:rPr/>
        <w:t>——所配总成及附件的合柊证和使用说明书。 </w:t>
      </w:r>
    </w:p>
    <w:p>
      <w:pPr>
        <w:pStyle w:val="BodyText"/>
        <w:rPr>
          <w:sz w:val="18"/>
        </w:rPr>
      </w:pPr>
    </w:p>
    <w:p>
      <w:pPr>
        <w:pStyle w:val="ListParagraph"/>
        <w:numPr>
          <w:ilvl w:val="2"/>
          <w:numId w:val="196"/>
        </w:numPr>
        <w:tabs>
          <w:tab w:pos="1371" w:val="left" w:leader="none"/>
        </w:tabs>
        <w:spacing w:line="240" w:lineRule="auto" w:before="0" w:after="0"/>
        <w:ind w:left="1370" w:right="0" w:hanging="531"/>
        <w:jc w:val="left"/>
        <w:rPr>
          <w:sz w:val="21"/>
        </w:rPr>
      </w:pPr>
      <w:r>
        <w:rPr>
          <w:spacing w:val="-3"/>
          <w:sz w:val="21"/>
        </w:rPr>
        <w:t>消防车除随车配置底盘工具外还应随车配置消防装置的专用工具.。 </w:t>
      </w:r>
    </w:p>
    <w:p>
      <w:pPr>
        <w:pStyle w:val="BodyText"/>
        <w:rPr>
          <w:sz w:val="18"/>
        </w:rPr>
      </w:pPr>
    </w:p>
    <w:p>
      <w:pPr>
        <w:pStyle w:val="ListParagraph"/>
        <w:numPr>
          <w:ilvl w:val="2"/>
          <w:numId w:val="196"/>
        </w:numPr>
        <w:tabs>
          <w:tab w:pos="1371" w:val="left" w:leader="none"/>
        </w:tabs>
        <w:spacing w:line="240" w:lineRule="auto" w:before="0" w:after="0"/>
        <w:ind w:left="1370" w:right="0" w:hanging="531"/>
        <w:jc w:val="left"/>
        <w:rPr>
          <w:sz w:val="21"/>
        </w:rPr>
      </w:pPr>
      <w:r>
        <w:rPr>
          <w:spacing w:val="-3"/>
          <w:sz w:val="21"/>
        </w:rPr>
        <w:t>消防车应随车配置全套消防装备电路保险丝。 </w:t>
      </w:r>
    </w:p>
    <w:p>
      <w:pPr>
        <w:pStyle w:val="BodyText"/>
        <w:spacing w:before="10"/>
        <w:rPr>
          <w:sz w:val="15"/>
        </w:rPr>
      </w:pPr>
    </w:p>
    <w:p>
      <w:pPr>
        <w:pStyle w:val="Heading4"/>
      </w:pPr>
      <w:r>
        <w:rPr/>
        <w:t>5 试验方法</w:t>
      </w:r>
      <w:r>
        <w:rPr>
          <w:w w:val="99"/>
        </w:rPr>
        <w:t> </w:t>
      </w:r>
    </w:p>
    <w:p>
      <w:pPr>
        <w:pStyle w:val="BodyText"/>
        <w:spacing w:before="4"/>
        <w:rPr>
          <w:b/>
          <w:sz w:val="17"/>
        </w:rPr>
      </w:pPr>
    </w:p>
    <w:p>
      <w:pPr>
        <w:spacing w:before="0"/>
        <w:ind w:left="840" w:right="0" w:firstLine="0"/>
        <w:jc w:val="left"/>
        <w:rPr>
          <w:b/>
          <w:sz w:val="21"/>
        </w:rPr>
      </w:pPr>
      <w:r>
        <w:rPr>
          <w:b/>
          <w:sz w:val="21"/>
        </w:rPr>
        <w:t>5.1 </w:t>
      </w:r>
      <w:r>
        <w:rPr>
          <w:sz w:val="21"/>
        </w:rPr>
        <w:t>基本要求试验</w:t>
      </w:r>
      <w:r>
        <w:rPr>
          <w:b/>
          <w:w w:val="99"/>
          <w:sz w:val="21"/>
        </w:rPr>
        <w:t> </w:t>
      </w:r>
    </w:p>
    <w:p>
      <w:pPr>
        <w:pStyle w:val="BodyText"/>
        <w:spacing w:before="12"/>
        <w:rPr>
          <w:b/>
          <w:sz w:val="17"/>
        </w:rPr>
      </w:pPr>
    </w:p>
    <w:p>
      <w:pPr>
        <w:pStyle w:val="BodyText"/>
        <w:ind w:left="838"/>
      </w:pPr>
      <w:r>
        <w:rPr/>
        <w:t>试验按 GB 7956.1—2014 第六章的相关内容进行，判断试验结果是否符合 GB 7955.1—2014</w:t>
      </w:r>
    </w:p>
    <w:p>
      <w:pPr>
        <w:pStyle w:val="BodyText"/>
        <w:spacing w:before="2"/>
        <w:rPr>
          <w:sz w:val="18"/>
        </w:rPr>
      </w:pPr>
    </w:p>
    <w:p>
      <w:pPr>
        <w:spacing w:line="446" w:lineRule="auto" w:before="0"/>
        <w:ind w:left="840" w:right="8016" w:hanging="423"/>
        <w:jc w:val="left"/>
        <w:rPr>
          <w:b/>
          <w:sz w:val="21"/>
        </w:rPr>
      </w:pPr>
      <w:r>
        <w:rPr>
          <w:spacing w:val="-3"/>
          <w:sz w:val="21"/>
        </w:rPr>
        <w:t>第五章的相关要求。 </w:t>
      </w:r>
      <w:r>
        <w:rPr>
          <w:b/>
          <w:sz w:val="21"/>
        </w:rPr>
        <w:t>5.2</w:t>
      </w:r>
      <w:r>
        <w:rPr>
          <w:b/>
          <w:spacing w:val="3"/>
          <w:sz w:val="21"/>
        </w:rPr>
        <w:t> </w:t>
      </w:r>
      <w:r>
        <w:rPr>
          <w:spacing w:val="-3"/>
          <w:sz w:val="21"/>
        </w:rPr>
        <w:t>整车要求试验</w:t>
      </w:r>
      <w:r>
        <w:rPr>
          <w:b/>
          <w:w w:val="99"/>
          <w:sz w:val="21"/>
        </w:rPr>
        <w:t> </w:t>
      </w:r>
    </w:p>
    <w:p>
      <w:pPr>
        <w:pStyle w:val="ListParagraph"/>
        <w:numPr>
          <w:ilvl w:val="2"/>
          <w:numId w:val="197"/>
        </w:numPr>
        <w:tabs>
          <w:tab w:pos="1370" w:val="left" w:leader="none"/>
        </w:tabs>
        <w:spacing w:line="267" w:lineRule="exact" w:before="0" w:after="0"/>
        <w:ind w:left="1369" w:right="0" w:hanging="530"/>
        <w:jc w:val="left"/>
        <w:rPr>
          <w:sz w:val="21"/>
        </w:rPr>
      </w:pPr>
      <w:r>
        <w:rPr>
          <w:spacing w:val="-3"/>
          <w:sz w:val="21"/>
        </w:rPr>
        <w:t>一般要求试验</w:t>
      </w:r>
      <w:r>
        <w:rPr>
          <w:sz w:val="21"/>
        </w:rPr>
        <w:t> </w:t>
      </w:r>
    </w:p>
    <w:p>
      <w:pPr>
        <w:pStyle w:val="BodyText"/>
        <w:spacing w:before="2"/>
        <w:rPr>
          <w:sz w:val="18"/>
        </w:rPr>
      </w:pPr>
    </w:p>
    <w:p>
      <w:pPr>
        <w:pStyle w:val="ListParagraph"/>
        <w:numPr>
          <w:ilvl w:val="3"/>
          <w:numId w:val="197"/>
        </w:numPr>
        <w:tabs>
          <w:tab w:pos="1576" w:val="left" w:leader="none"/>
        </w:tabs>
        <w:spacing w:line="446" w:lineRule="auto" w:before="0" w:after="0"/>
        <w:ind w:left="418" w:right="1505" w:firstLine="419"/>
        <w:jc w:val="left"/>
        <w:rPr>
          <w:sz w:val="21"/>
        </w:rPr>
      </w:pPr>
      <w:r>
        <w:rPr>
          <w:spacing w:val="-8"/>
          <w:sz w:val="21"/>
        </w:rPr>
        <w:t>在满载条种下行驶 </w:t>
      </w:r>
      <w:r>
        <w:rPr>
          <w:sz w:val="21"/>
        </w:rPr>
        <w:t>100km</w:t>
      </w:r>
      <w:r>
        <w:rPr>
          <w:spacing w:val="-12"/>
          <w:sz w:val="21"/>
        </w:rPr>
        <w:t> 后，停在平整，坚硬的地面上，在 </w:t>
      </w:r>
      <w:r>
        <w:rPr>
          <w:sz w:val="21"/>
        </w:rPr>
        <w:t>3m</w:t>
      </w:r>
      <w:r>
        <w:rPr>
          <w:spacing w:val="-9"/>
          <w:sz w:val="21"/>
        </w:rPr>
        <w:t> 吸深下，将连接好</w:t>
      </w:r>
      <w:r>
        <w:rPr>
          <w:spacing w:val="-5"/>
          <w:sz w:val="21"/>
        </w:rPr>
        <w:t>滤水器的吸水管接在消防泵进口并放入水中，启动发动机并接合消防泵，并在消防泵额定工况</w:t>
      </w:r>
      <w:r>
        <w:rPr>
          <w:spacing w:val="-12"/>
          <w:sz w:val="21"/>
        </w:rPr>
        <w:t>下连续工作 </w:t>
      </w:r>
      <w:r>
        <w:rPr>
          <w:sz w:val="21"/>
        </w:rPr>
        <w:t>2h</w:t>
      </w:r>
      <w:r>
        <w:rPr>
          <w:spacing w:val="-6"/>
          <w:sz w:val="21"/>
        </w:rPr>
        <w:t>，当试验条件不是标准环境条件时，应按 </w:t>
      </w:r>
      <w:r>
        <w:rPr>
          <w:sz w:val="21"/>
        </w:rPr>
        <w:t>GB</w:t>
      </w:r>
      <w:r>
        <w:rPr>
          <w:spacing w:val="6"/>
          <w:sz w:val="21"/>
        </w:rPr>
        <w:t> </w:t>
      </w:r>
      <w:r>
        <w:rPr>
          <w:sz w:val="21"/>
        </w:rPr>
        <w:t>6245</w:t>
      </w:r>
      <w:r>
        <w:rPr>
          <w:spacing w:val="3"/>
          <w:sz w:val="21"/>
        </w:rPr>
        <w:t>— </w:t>
      </w:r>
      <w:r>
        <w:rPr>
          <w:sz w:val="21"/>
        </w:rPr>
        <w:t>2006</w:t>
      </w:r>
      <w:r>
        <w:rPr>
          <w:spacing w:val="-35"/>
          <w:sz w:val="21"/>
        </w:rPr>
        <w:t> 中 </w:t>
      </w:r>
      <w:r>
        <w:rPr>
          <w:sz w:val="21"/>
        </w:rPr>
        <w:t>10.4.1</w:t>
      </w:r>
      <w:r>
        <w:rPr>
          <w:spacing w:val="-11"/>
          <w:sz w:val="21"/>
        </w:rPr>
        <w:t> 的规定进行</w:t>
      </w:r>
      <w:r>
        <w:rPr>
          <w:spacing w:val="-10"/>
          <w:sz w:val="21"/>
        </w:rPr>
        <w:t>修正。判新试验结果是否符合 </w:t>
      </w:r>
      <w:r>
        <w:rPr>
          <w:sz w:val="21"/>
        </w:rPr>
        <w:t>4.2.1.1</w:t>
      </w:r>
      <w:r>
        <w:rPr>
          <w:spacing w:val="-13"/>
          <w:sz w:val="21"/>
        </w:rPr>
        <w:t> 的要求。</w:t>
      </w:r>
      <w:r>
        <w:rPr>
          <w:sz w:val="21"/>
        </w:rPr>
        <w:t> </w:t>
      </w:r>
    </w:p>
    <w:p>
      <w:pPr>
        <w:pStyle w:val="ListParagraph"/>
        <w:numPr>
          <w:ilvl w:val="3"/>
          <w:numId w:val="197"/>
        </w:numPr>
        <w:tabs>
          <w:tab w:pos="1576" w:val="left" w:leader="none"/>
        </w:tabs>
        <w:spacing w:line="267" w:lineRule="exact" w:before="0" w:after="0"/>
        <w:ind w:left="1575" w:right="0" w:hanging="738"/>
        <w:jc w:val="left"/>
        <w:rPr>
          <w:sz w:val="21"/>
        </w:rPr>
      </w:pPr>
      <w:r>
        <w:rPr>
          <w:spacing w:val="-5"/>
          <w:sz w:val="21"/>
        </w:rPr>
        <w:t>检查转速控制器，并查看操作处的各种指足装置、判断检査结果是否符合 </w:t>
      </w:r>
      <w:r>
        <w:rPr>
          <w:sz w:val="21"/>
        </w:rPr>
        <w:t>4.2.1.2</w:t>
      </w:r>
    </w:p>
    <w:p>
      <w:pPr>
        <w:pStyle w:val="BodyText"/>
        <w:rPr>
          <w:sz w:val="18"/>
        </w:rPr>
      </w:pPr>
    </w:p>
    <w:p>
      <w:pPr>
        <w:pStyle w:val="BodyText"/>
        <w:ind w:left="418"/>
      </w:pPr>
      <w:r>
        <w:rPr/>
        <w:t>的要求。 </w:t>
      </w:r>
    </w:p>
    <w:p>
      <w:pPr>
        <w:pStyle w:val="BodyText"/>
        <w:spacing w:before="1"/>
        <w:rPr>
          <w:sz w:val="18"/>
        </w:rPr>
      </w:pPr>
    </w:p>
    <w:p>
      <w:pPr>
        <w:pStyle w:val="ListParagraph"/>
        <w:numPr>
          <w:ilvl w:val="3"/>
          <w:numId w:val="197"/>
        </w:numPr>
        <w:tabs>
          <w:tab w:pos="1576" w:val="left" w:leader="none"/>
        </w:tabs>
        <w:spacing w:line="240" w:lineRule="auto" w:before="1" w:after="0"/>
        <w:ind w:left="1575" w:right="0" w:hanging="738"/>
        <w:jc w:val="left"/>
        <w:rPr>
          <w:sz w:val="21"/>
        </w:rPr>
      </w:pPr>
      <w:r>
        <w:rPr>
          <w:spacing w:val="-6"/>
          <w:sz w:val="21"/>
        </w:rPr>
        <w:t>检查备自动控制机构，判断检査结果是诉符合 </w:t>
      </w:r>
      <w:r>
        <w:rPr>
          <w:sz w:val="21"/>
        </w:rPr>
        <w:t>42.1.3</w:t>
      </w:r>
      <w:r>
        <w:rPr>
          <w:spacing w:val="-13"/>
          <w:sz w:val="21"/>
        </w:rPr>
        <w:t> 的要求。</w:t>
      </w:r>
      <w:r>
        <w:rPr>
          <w:sz w:val="21"/>
        </w:rPr>
        <w:t> </w:t>
      </w:r>
    </w:p>
    <w:p>
      <w:pPr>
        <w:pStyle w:val="BodyText"/>
        <w:spacing w:before="12"/>
        <w:rPr>
          <w:sz w:val="17"/>
        </w:rPr>
      </w:pPr>
    </w:p>
    <w:p>
      <w:pPr>
        <w:pStyle w:val="ListParagraph"/>
        <w:numPr>
          <w:ilvl w:val="3"/>
          <w:numId w:val="197"/>
        </w:numPr>
        <w:tabs>
          <w:tab w:pos="1576" w:val="left" w:leader="none"/>
        </w:tabs>
        <w:spacing w:line="446" w:lineRule="auto" w:before="0" w:after="0"/>
        <w:ind w:left="418" w:right="1508" w:firstLine="419"/>
        <w:jc w:val="left"/>
        <w:rPr>
          <w:sz w:val="21"/>
        </w:rPr>
      </w:pPr>
      <w:r>
        <w:rPr>
          <w:spacing w:val="-3"/>
          <w:sz w:val="21"/>
        </w:rPr>
        <w:t>检查操作面板上消防泵出口和进口压力表的联接方式及连接管处的标识，用游标卡</w:t>
      </w:r>
      <w:r>
        <w:rPr>
          <w:spacing w:val="-5"/>
          <w:sz w:val="21"/>
        </w:rPr>
        <w:t>尺测量联接螺纹直径和长度，用螺纹规测量螺距，判断检査结果是否符合 </w:t>
      </w:r>
      <w:r>
        <w:rPr>
          <w:sz w:val="21"/>
        </w:rPr>
        <w:t>4.2.1.4</w:t>
      </w:r>
      <w:r>
        <w:rPr>
          <w:spacing w:val="-12"/>
          <w:sz w:val="21"/>
        </w:rPr>
        <w:t> 的要求。</w:t>
      </w:r>
      <w:r>
        <w:rPr>
          <w:sz w:val="21"/>
        </w:rPr>
        <w:t> </w:t>
      </w:r>
    </w:p>
    <w:p>
      <w:pPr>
        <w:pStyle w:val="ListParagraph"/>
        <w:numPr>
          <w:ilvl w:val="3"/>
          <w:numId w:val="197"/>
        </w:numPr>
        <w:tabs>
          <w:tab w:pos="1576" w:val="left" w:leader="none"/>
        </w:tabs>
        <w:spacing w:line="446" w:lineRule="auto" w:before="0" w:after="0"/>
        <w:ind w:left="418" w:right="1609" w:firstLine="419"/>
        <w:jc w:val="left"/>
        <w:rPr>
          <w:sz w:val="21"/>
        </w:rPr>
      </w:pPr>
      <w:r>
        <w:rPr>
          <w:spacing w:val="-3"/>
          <w:sz w:val="21"/>
        </w:rPr>
        <w:t>检查操作面板的出水口，并用卷尺测量其直径和离地高度，判断检查结果足否符</w:t>
      </w:r>
      <w:r>
        <w:rPr>
          <w:spacing w:val="-28"/>
          <w:sz w:val="21"/>
        </w:rPr>
        <w:t>合 </w:t>
      </w:r>
      <w:r>
        <w:rPr>
          <w:sz w:val="21"/>
        </w:rPr>
        <w:t>4.2.1.5</w:t>
      </w:r>
      <w:r>
        <w:rPr>
          <w:spacing w:val="-13"/>
          <w:sz w:val="21"/>
        </w:rPr>
        <w:t> 的要求。</w:t>
      </w:r>
      <w:r>
        <w:rPr>
          <w:sz w:val="21"/>
        </w:rPr>
        <w:t> </w:t>
      </w:r>
    </w:p>
    <w:p>
      <w:pPr>
        <w:pStyle w:val="ListParagraph"/>
        <w:numPr>
          <w:ilvl w:val="2"/>
          <w:numId w:val="197"/>
        </w:numPr>
        <w:tabs>
          <w:tab w:pos="1370" w:val="left" w:leader="none"/>
        </w:tabs>
        <w:spacing w:line="267" w:lineRule="exact" w:before="0" w:after="0"/>
        <w:ind w:left="1369" w:right="0" w:hanging="530"/>
        <w:jc w:val="left"/>
        <w:rPr>
          <w:sz w:val="21"/>
        </w:rPr>
      </w:pPr>
      <w:r>
        <w:rPr>
          <w:spacing w:val="-3"/>
          <w:sz w:val="21"/>
        </w:rPr>
        <w:t>操作说明和标识试验 </w:t>
      </w:r>
    </w:p>
    <w:p>
      <w:pPr>
        <w:spacing w:after="0" w:line="267" w:lineRule="exact"/>
        <w:jc w:val="left"/>
        <w:rPr>
          <w:sz w:val="21"/>
        </w:rPr>
        <w:sectPr>
          <w:pgSz w:w="11910" w:h="16850"/>
          <w:pgMar w:header="0" w:footer="1239" w:top="1220" w:bottom="1420" w:left="1260" w:right="0"/>
        </w:sectPr>
      </w:pPr>
    </w:p>
    <w:p>
      <w:pPr>
        <w:pStyle w:val="ListParagraph"/>
        <w:numPr>
          <w:ilvl w:val="3"/>
          <w:numId w:val="197"/>
        </w:numPr>
        <w:tabs>
          <w:tab w:pos="1576" w:val="left" w:leader="none"/>
        </w:tabs>
        <w:spacing w:line="446" w:lineRule="auto" w:before="47" w:after="0"/>
        <w:ind w:left="418" w:right="1820" w:firstLine="419"/>
        <w:jc w:val="left"/>
        <w:rPr>
          <w:sz w:val="21"/>
        </w:rPr>
      </w:pPr>
      <w:r>
        <w:rPr>
          <w:spacing w:val="-5"/>
          <w:sz w:val="21"/>
        </w:rPr>
        <w:t>目测检査操作面板上的指示或显示装置，判断检査结果是否符合 </w:t>
      </w:r>
      <w:r>
        <w:rPr>
          <w:sz w:val="21"/>
        </w:rPr>
        <w:t>4.2.2.1</w:t>
      </w:r>
      <w:r>
        <w:rPr>
          <w:spacing w:val="-16"/>
          <w:sz w:val="21"/>
        </w:rPr>
        <w:t> 的要</w:t>
      </w:r>
      <w:r>
        <w:rPr>
          <w:spacing w:val="-10"/>
          <w:sz w:val="21"/>
        </w:rPr>
        <w:t>求。</w:t>
      </w:r>
      <w:r>
        <w:rPr>
          <w:sz w:val="21"/>
        </w:rPr>
        <w:t> </w:t>
      </w:r>
    </w:p>
    <w:p>
      <w:pPr>
        <w:pStyle w:val="ListParagraph"/>
        <w:numPr>
          <w:ilvl w:val="3"/>
          <w:numId w:val="197"/>
        </w:numPr>
        <w:tabs>
          <w:tab w:pos="1576" w:val="left" w:leader="none"/>
        </w:tabs>
        <w:spacing w:line="446" w:lineRule="auto" w:before="0" w:after="0"/>
        <w:ind w:left="418" w:right="1608" w:firstLine="419"/>
        <w:jc w:val="left"/>
        <w:rPr>
          <w:sz w:val="21"/>
        </w:rPr>
      </w:pPr>
      <w:r>
        <w:rPr>
          <w:spacing w:val="-5"/>
          <w:sz w:val="21"/>
        </w:rPr>
        <w:t>目测检查操作面板上是否有水管路系统简图，判断检査结果是否符合 </w:t>
      </w:r>
      <w:r>
        <w:rPr>
          <w:sz w:val="21"/>
        </w:rPr>
        <w:t>4.2.2.2</w:t>
      </w:r>
      <w:r>
        <w:rPr>
          <w:spacing w:val="-24"/>
          <w:sz w:val="21"/>
        </w:rPr>
        <w:t> 的</w:t>
      </w:r>
      <w:r>
        <w:rPr>
          <w:spacing w:val="-17"/>
          <w:sz w:val="21"/>
        </w:rPr>
        <w:t>要求。</w:t>
      </w:r>
      <w:r>
        <w:rPr>
          <w:sz w:val="21"/>
        </w:rPr>
        <w:t> </w:t>
      </w:r>
    </w:p>
    <w:p>
      <w:pPr>
        <w:pStyle w:val="ListParagraph"/>
        <w:numPr>
          <w:ilvl w:val="3"/>
          <w:numId w:val="197"/>
        </w:numPr>
        <w:tabs>
          <w:tab w:pos="1576" w:val="left" w:leader="none"/>
        </w:tabs>
        <w:spacing w:line="240" w:lineRule="auto" w:before="0" w:after="0"/>
        <w:ind w:left="1575" w:right="0" w:hanging="738"/>
        <w:jc w:val="left"/>
        <w:rPr>
          <w:sz w:val="21"/>
        </w:rPr>
      </w:pPr>
      <w:r>
        <w:rPr>
          <w:spacing w:val="-6"/>
          <w:sz w:val="21"/>
        </w:rPr>
        <w:t>检查水罐注水口，判断检查结果是否符合 </w:t>
      </w:r>
      <w:r>
        <w:rPr>
          <w:sz w:val="21"/>
        </w:rPr>
        <w:t>4.2.2.3</w:t>
      </w:r>
      <w:r>
        <w:rPr>
          <w:spacing w:val="-13"/>
          <w:sz w:val="21"/>
        </w:rPr>
        <w:t> 的要求。</w:t>
      </w:r>
      <w:r>
        <w:rPr>
          <w:sz w:val="21"/>
        </w:rPr>
        <w:t> </w:t>
      </w:r>
    </w:p>
    <w:p>
      <w:pPr>
        <w:pStyle w:val="BodyText"/>
        <w:spacing w:before="10"/>
        <w:rPr>
          <w:sz w:val="17"/>
        </w:rPr>
      </w:pPr>
    </w:p>
    <w:p>
      <w:pPr>
        <w:pStyle w:val="ListParagraph"/>
        <w:numPr>
          <w:ilvl w:val="1"/>
          <w:numId w:val="198"/>
        </w:numPr>
        <w:tabs>
          <w:tab w:pos="1159" w:val="left" w:leader="none"/>
        </w:tabs>
        <w:spacing w:line="240" w:lineRule="auto" w:before="0" w:after="0"/>
        <w:ind w:left="1158" w:right="0" w:hanging="319"/>
        <w:jc w:val="left"/>
        <w:rPr>
          <w:b/>
          <w:sz w:val="21"/>
        </w:rPr>
      </w:pPr>
      <w:r>
        <w:rPr>
          <w:spacing w:val="-3"/>
          <w:sz w:val="21"/>
        </w:rPr>
        <w:t>底盘改制试验</w:t>
      </w:r>
      <w:r>
        <w:rPr>
          <w:b/>
          <w:w w:val="99"/>
          <w:sz w:val="21"/>
        </w:rPr>
        <w:t> </w:t>
      </w:r>
    </w:p>
    <w:p>
      <w:pPr>
        <w:pStyle w:val="BodyText"/>
        <w:spacing w:before="2"/>
        <w:rPr>
          <w:b/>
          <w:sz w:val="18"/>
        </w:rPr>
      </w:pPr>
    </w:p>
    <w:p>
      <w:pPr>
        <w:pStyle w:val="ListParagraph"/>
        <w:numPr>
          <w:ilvl w:val="2"/>
          <w:numId w:val="198"/>
        </w:numPr>
        <w:tabs>
          <w:tab w:pos="1371" w:val="left" w:leader="none"/>
        </w:tabs>
        <w:spacing w:line="240" w:lineRule="auto" w:before="0" w:after="0"/>
        <w:ind w:left="1370" w:right="0" w:hanging="531"/>
        <w:jc w:val="left"/>
        <w:rPr>
          <w:sz w:val="21"/>
        </w:rPr>
      </w:pPr>
      <w:r>
        <w:rPr>
          <w:spacing w:val="-18"/>
          <w:sz w:val="21"/>
        </w:rPr>
        <w:t>按照 </w:t>
      </w:r>
      <w:r>
        <w:rPr>
          <w:sz w:val="21"/>
        </w:rPr>
        <w:t>GB79S6.1—2014</w:t>
      </w:r>
      <w:r>
        <w:rPr>
          <w:spacing w:val="-36"/>
          <w:sz w:val="21"/>
        </w:rPr>
        <w:t> 中 </w:t>
      </w:r>
      <w:r>
        <w:rPr>
          <w:sz w:val="21"/>
        </w:rPr>
        <w:t>6.4</w:t>
      </w:r>
      <w:r>
        <w:rPr>
          <w:spacing w:val="-10"/>
          <w:sz w:val="21"/>
        </w:rPr>
        <w:t> 规定的方法进行试验，判断试验结果是否符合 </w:t>
      </w:r>
      <w:r>
        <w:rPr>
          <w:sz w:val="21"/>
        </w:rPr>
        <w:t>4.3.1</w:t>
      </w:r>
    </w:p>
    <w:p>
      <w:pPr>
        <w:pStyle w:val="BodyText"/>
        <w:rPr>
          <w:sz w:val="18"/>
        </w:rPr>
      </w:pPr>
    </w:p>
    <w:p>
      <w:pPr>
        <w:pStyle w:val="BodyText"/>
        <w:ind w:left="418"/>
      </w:pPr>
      <w:r>
        <w:rPr/>
        <w:t>的要求。 </w:t>
      </w:r>
    </w:p>
    <w:p>
      <w:pPr>
        <w:pStyle w:val="BodyText"/>
        <w:rPr>
          <w:sz w:val="18"/>
        </w:rPr>
      </w:pPr>
    </w:p>
    <w:p>
      <w:pPr>
        <w:pStyle w:val="ListParagraph"/>
        <w:numPr>
          <w:ilvl w:val="2"/>
          <w:numId w:val="198"/>
        </w:numPr>
        <w:tabs>
          <w:tab w:pos="1371" w:val="left" w:leader="none"/>
        </w:tabs>
        <w:spacing w:line="240" w:lineRule="auto" w:before="0" w:after="0"/>
        <w:ind w:left="1370" w:right="0" w:hanging="531"/>
        <w:jc w:val="left"/>
        <w:rPr>
          <w:sz w:val="21"/>
        </w:rPr>
      </w:pPr>
      <w:r>
        <w:rPr>
          <w:spacing w:val="-6"/>
          <w:sz w:val="21"/>
        </w:rPr>
        <w:t>检查罐体与底盘的连接方式，判断检查结果是否符合 </w:t>
      </w:r>
      <w:r>
        <w:rPr>
          <w:sz w:val="21"/>
        </w:rPr>
        <w:t>4.3.2</w:t>
      </w:r>
      <w:r>
        <w:rPr>
          <w:spacing w:val="-12"/>
          <w:sz w:val="21"/>
        </w:rPr>
        <w:t> 的要求。 </w:t>
      </w:r>
    </w:p>
    <w:p>
      <w:pPr>
        <w:pStyle w:val="BodyText"/>
        <w:spacing w:before="2"/>
        <w:rPr>
          <w:sz w:val="18"/>
        </w:rPr>
      </w:pPr>
    </w:p>
    <w:p>
      <w:pPr>
        <w:pStyle w:val="ListParagraph"/>
        <w:numPr>
          <w:ilvl w:val="1"/>
          <w:numId w:val="198"/>
        </w:numPr>
        <w:tabs>
          <w:tab w:pos="1159" w:val="left" w:leader="none"/>
        </w:tabs>
        <w:spacing w:line="240" w:lineRule="auto" w:before="0" w:after="0"/>
        <w:ind w:left="1158" w:right="0" w:hanging="319"/>
        <w:jc w:val="left"/>
        <w:rPr>
          <w:sz w:val="21"/>
        </w:rPr>
      </w:pPr>
      <w:r>
        <w:rPr>
          <w:spacing w:val="-3"/>
          <w:sz w:val="21"/>
        </w:rPr>
        <w:t>消防水力系统的试验</w:t>
      </w:r>
      <w:r>
        <w:rPr>
          <w:sz w:val="21"/>
        </w:rPr>
        <w:t> </w:t>
      </w:r>
    </w:p>
    <w:p>
      <w:pPr>
        <w:pStyle w:val="BodyText"/>
        <w:spacing w:before="12"/>
        <w:rPr>
          <w:sz w:val="17"/>
        </w:rPr>
      </w:pPr>
    </w:p>
    <w:p>
      <w:pPr>
        <w:pStyle w:val="ListParagraph"/>
        <w:numPr>
          <w:ilvl w:val="2"/>
          <w:numId w:val="198"/>
        </w:numPr>
        <w:tabs>
          <w:tab w:pos="1370" w:val="left" w:leader="none"/>
        </w:tabs>
        <w:spacing w:line="240" w:lineRule="auto" w:before="0" w:after="0"/>
        <w:ind w:left="1369" w:right="0" w:hanging="530"/>
        <w:jc w:val="left"/>
        <w:rPr>
          <w:sz w:val="21"/>
        </w:rPr>
      </w:pPr>
      <w:r>
        <w:rPr>
          <w:spacing w:val="-3"/>
          <w:sz w:val="21"/>
        </w:rPr>
        <w:t>消防泵检查 </w:t>
      </w:r>
    </w:p>
    <w:p>
      <w:pPr>
        <w:pStyle w:val="BodyText"/>
        <w:spacing w:before="12"/>
        <w:rPr>
          <w:sz w:val="17"/>
        </w:rPr>
      </w:pPr>
    </w:p>
    <w:p>
      <w:pPr>
        <w:pStyle w:val="ListParagraph"/>
        <w:numPr>
          <w:ilvl w:val="3"/>
          <w:numId w:val="198"/>
        </w:numPr>
        <w:tabs>
          <w:tab w:pos="1576" w:val="left" w:leader="none"/>
        </w:tabs>
        <w:spacing w:line="240" w:lineRule="auto" w:before="1" w:after="0"/>
        <w:ind w:left="1575" w:right="0" w:hanging="738"/>
        <w:jc w:val="left"/>
        <w:rPr>
          <w:sz w:val="21"/>
        </w:rPr>
      </w:pPr>
      <w:r>
        <w:rPr>
          <w:spacing w:val="-6"/>
          <w:sz w:val="21"/>
        </w:rPr>
        <w:t>査阅选用消防泵的相关资科.判断检查结果是否符合 </w:t>
      </w:r>
      <w:r>
        <w:rPr>
          <w:sz w:val="21"/>
        </w:rPr>
        <w:t>4.4.1.1</w:t>
      </w:r>
      <w:r>
        <w:rPr>
          <w:spacing w:val="-12"/>
          <w:sz w:val="21"/>
        </w:rPr>
        <w:t> 的要求。 </w:t>
      </w:r>
    </w:p>
    <w:p>
      <w:pPr>
        <w:pStyle w:val="BodyText"/>
        <w:spacing w:before="1"/>
        <w:rPr>
          <w:sz w:val="18"/>
        </w:rPr>
      </w:pPr>
    </w:p>
    <w:p>
      <w:pPr>
        <w:pStyle w:val="ListParagraph"/>
        <w:numPr>
          <w:ilvl w:val="3"/>
          <w:numId w:val="198"/>
        </w:numPr>
        <w:tabs>
          <w:tab w:pos="1576" w:val="left" w:leader="none"/>
        </w:tabs>
        <w:spacing w:line="240" w:lineRule="auto" w:before="0" w:after="0"/>
        <w:ind w:left="1575" w:right="0" w:hanging="738"/>
        <w:jc w:val="left"/>
        <w:rPr>
          <w:sz w:val="21"/>
        </w:rPr>
      </w:pPr>
      <w:r>
        <w:rPr>
          <w:spacing w:val="-6"/>
          <w:sz w:val="21"/>
        </w:rPr>
        <w:t>检査消防泵的放余水装置，判断检查结果是否符合 </w:t>
      </w:r>
      <w:r>
        <w:rPr>
          <w:sz w:val="21"/>
        </w:rPr>
        <w:t>4.4.1.2</w:t>
      </w:r>
      <w:r>
        <w:rPr>
          <w:spacing w:val="-12"/>
          <w:sz w:val="21"/>
        </w:rPr>
        <w:t> 的要求。 </w:t>
      </w:r>
    </w:p>
    <w:p>
      <w:pPr>
        <w:pStyle w:val="BodyText"/>
        <w:rPr>
          <w:sz w:val="18"/>
        </w:rPr>
      </w:pPr>
    </w:p>
    <w:p>
      <w:pPr>
        <w:pStyle w:val="ListParagraph"/>
        <w:numPr>
          <w:ilvl w:val="3"/>
          <w:numId w:val="198"/>
        </w:numPr>
        <w:tabs>
          <w:tab w:pos="1576" w:val="left" w:leader="none"/>
        </w:tabs>
        <w:spacing w:line="240" w:lineRule="auto" w:before="0" w:after="0"/>
        <w:ind w:left="1575" w:right="0" w:hanging="738"/>
        <w:jc w:val="left"/>
        <w:rPr>
          <w:sz w:val="21"/>
        </w:rPr>
      </w:pPr>
      <w:r>
        <w:rPr>
          <w:spacing w:val="-3"/>
          <w:sz w:val="21"/>
        </w:rPr>
        <w:t>査阅企业设计资料中消防泵与发动机的匹配参数，判断检查结果是否符合</w:t>
      </w:r>
    </w:p>
    <w:p>
      <w:pPr>
        <w:pStyle w:val="BodyText"/>
        <w:rPr>
          <w:sz w:val="18"/>
        </w:rPr>
      </w:pPr>
    </w:p>
    <w:p>
      <w:pPr>
        <w:pStyle w:val="BodyText"/>
        <w:ind w:left="418"/>
      </w:pPr>
      <w:r>
        <w:rPr/>
        <w:t>4.4.1.3 的要求。 </w:t>
      </w:r>
    </w:p>
    <w:p>
      <w:pPr>
        <w:pStyle w:val="BodyText"/>
        <w:spacing w:before="2"/>
        <w:rPr>
          <w:sz w:val="18"/>
        </w:rPr>
      </w:pPr>
    </w:p>
    <w:p>
      <w:pPr>
        <w:pStyle w:val="ListParagraph"/>
        <w:numPr>
          <w:ilvl w:val="2"/>
          <w:numId w:val="198"/>
        </w:numPr>
        <w:tabs>
          <w:tab w:pos="1371" w:val="left" w:leader="none"/>
        </w:tabs>
        <w:spacing w:line="240" w:lineRule="auto" w:before="0" w:after="0"/>
        <w:ind w:left="1370" w:right="0" w:hanging="531"/>
        <w:jc w:val="left"/>
        <w:rPr>
          <w:sz w:val="21"/>
        </w:rPr>
      </w:pPr>
      <w:r>
        <w:rPr>
          <w:spacing w:val="-2"/>
          <w:sz w:val="21"/>
        </w:rPr>
        <w:t>消防管路试验 </w:t>
      </w:r>
    </w:p>
    <w:p>
      <w:pPr>
        <w:pStyle w:val="BodyText"/>
        <w:spacing w:before="12"/>
        <w:rPr>
          <w:sz w:val="17"/>
        </w:rPr>
      </w:pPr>
    </w:p>
    <w:p>
      <w:pPr>
        <w:pStyle w:val="ListParagraph"/>
        <w:numPr>
          <w:ilvl w:val="3"/>
          <w:numId w:val="198"/>
        </w:numPr>
        <w:tabs>
          <w:tab w:pos="1576" w:val="left" w:leader="none"/>
        </w:tabs>
        <w:spacing w:line="240" w:lineRule="auto" w:before="0" w:after="0"/>
        <w:ind w:left="1575" w:right="0" w:hanging="738"/>
        <w:jc w:val="left"/>
        <w:rPr>
          <w:sz w:val="21"/>
        </w:rPr>
      </w:pPr>
      <w:r>
        <w:rPr>
          <w:spacing w:val="-3"/>
          <w:sz w:val="21"/>
        </w:rPr>
        <w:t>一般要求试验</w:t>
      </w:r>
      <w:r>
        <w:rPr>
          <w:sz w:val="21"/>
        </w:rPr>
        <w:t> </w:t>
      </w:r>
    </w:p>
    <w:p>
      <w:pPr>
        <w:pStyle w:val="BodyText"/>
        <w:spacing w:before="12"/>
        <w:rPr>
          <w:sz w:val="17"/>
        </w:rPr>
      </w:pPr>
    </w:p>
    <w:p>
      <w:pPr>
        <w:pStyle w:val="ListParagraph"/>
        <w:numPr>
          <w:ilvl w:val="4"/>
          <w:numId w:val="198"/>
        </w:numPr>
        <w:tabs>
          <w:tab w:pos="1788" w:val="left" w:leader="none"/>
        </w:tabs>
        <w:spacing w:line="446" w:lineRule="auto" w:before="0" w:after="0"/>
        <w:ind w:left="418" w:right="1510" w:firstLine="419"/>
        <w:jc w:val="left"/>
        <w:rPr>
          <w:sz w:val="21"/>
        </w:rPr>
      </w:pPr>
      <w:r>
        <w:rPr>
          <w:spacing w:val="-5"/>
          <w:sz w:val="21"/>
        </w:rPr>
        <w:t>检查所有消防管路的材质或防腐措施，判断试验结果是否符合 </w:t>
      </w:r>
      <w:r>
        <w:rPr>
          <w:sz w:val="21"/>
        </w:rPr>
        <w:t>4.4.2.1.1</w:t>
      </w:r>
      <w:r>
        <w:rPr>
          <w:spacing w:val="-12"/>
          <w:sz w:val="21"/>
        </w:rPr>
        <w:t> 的要求</w:t>
      </w:r>
      <w:r>
        <w:rPr>
          <w:spacing w:val="-3"/>
          <w:sz w:val="21"/>
        </w:rPr>
        <w:t>。</w:t>
      </w:r>
      <w:r>
        <w:rPr>
          <w:sz w:val="21"/>
        </w:rPr>
        <w:t> </w:t>
      </w:r>
    </w:p>
    <w:p>
      <w:pPr>
        <w:pStyle w:val="ListParagraph"/>
        <w:numPr>
          <w:ilvl w:val="4"/>
          <w:numId w:val="198"/>
        </w:numPr>
        <w:tabs>
          <w:tab w:pos="1788" w:val="left" w:leader="none"/>
        </w:tabs>
        <w:spacing w:line="446" w:lineRule="auto" w:before="1" w:after="0"/>
        <w:ind w:left="418" w:right="1820" w:firstLine="419"/>
        <w:jc w:val="left"/>
        <w:rPr>
          <w:sz w:val="21"/>
        </w:rPr>
      </w:pPr>
      <w:r>
        <w:rPr>
          <w:spacing w:val="-5"/>
          <w:sz w:val="21"/>
        </w:rPr>
        <w:t>目测检查所有消防管路的布置情况，判断试验结果是否符合 </w:t>
      </w:r>
      <w:r>
        <w:rPr>
          <w:sz w:val="21"/>
        </w:rPr>
        <w:t>4.4.2.1.2</w:t>
      </w:r>
      <w:r>
        <w:rPr>
          <w:spacing w:val="-16"/>
          <w:sz w:val="21"/>
        </w:rPr>
        <w:t> 的要</w:t>
      </w:r>
      <w:r>
        <w:rPr>
          <w:spacing w:val="-10"/>
          <w:sz w:val="21"/>
        </w:rPr>
        <w:t>求。</w:t>
      </w:r>
      <w:r>
        <w:rPr>
          <w:sz w:val="21"/>
        </w:rPr>
        <w:t> </w:t>
      </w:r>
    </w:p>
    <w:p>
      <w:pPr>
        <w:pStyle w:val="ListParagraph"/>
        <w:numPr>
          <w:ilvl w:val="4"/>
          <w:numId w:val="198"/>
        </w:numPr>
        <w:tabs>
          <w:tab w:pos="1788" w:val="left" w:leader="none"/>
        </w:tabs>
        <w:spacing w:line="240" w:lineRule="auto" w:before="0" w:after="0"/>
        <w:ind w:left="1787" w:right="0" w:hanging="950"/>
        <w:jc w:val="left"/>
        <w:rPr>
          <w:sz w:val="21"/>
        </w:rPr>
      </w:pPr>
      <w:r>
        <w:rPr>
          <w:spacing w:val="-5"/>
          <w:sz w:val="21"/>
        </w:rPr>
        <w:t>目测检查所有与消防泵相连消防管路的颜色，判断试验结果是否符合 </w:t>
      </w:r>
      <w:r>
        <w:rPr>
          <w:sz w:val="21"/>
        </w:rPr>
        <w:t>4.4.2.1.3</w:t>
      </w:r>
    </w:p>
    <w:p>
      <w:pPr>
        <w:pStyle w:val="BodyText"/>
        <w:spacing w:before="12"/>
        <w:rPr>
          <w:sz w:val="17"/>
        </w:rPr>
      </w:pPr>
    </w:p>
    <w:p>
      <w:pPr>
        <w:pStyle w:val="BodyText"/>
        <w:ind w:left="418"/>
      </w:pPr>
      <w:r>
        <w:rPr/>
        <w:t>的要求。 </w:t>
      </w:r>
    </w:p>
    <w:p>
      <w:pPr>
        <w:pStyle w:val="BodyText"/>
        <w:spacing w:before="12"/>
        <w:rPr>
          <w:sz w:val="17"/>
        </w:rPr>
      </w:pPr>
    </w:p>
    <w:p>
      <w:pPr>
        <w:pStyle w:val="ListParagraph"/>
        <w:numPr>
          <w:ilvl w:val="3"/>
          <w:numId w:val="198"/>
        </w:numPr>
        <w:tabs>
          <w:tab w:pos="1576" w:val="left" w:leader="none"/>
        </w:tabs>
        <w:spacing w:line="240" w:lineRule="auto" w:before="0" w:after="0"/>
        <w:ind w:left="1575" w:right="0" w:hanging="738"/>
        <w:jc w:val="left"/>
        <w:rPr>
          <w:sz w:val="21"/>
        </w:rPr>
      </w:pPr>
      <w:r>
        <w:rPr>
          <w:spacing w:val="-3"/>
          <w:sz w:val="21"/>
        </w:rPr>
        <w:t>消防泵进水管路试验</w:t>
      </w:r>
      <w:r>
        <w:rPr>
          <w:sz w:val="21"/>
        </w:rPr>
        <w:t> </w:t>
      </w:r>
    </w:p>
    <w:p>
      <w:pPr>
        <w:pStyle w:val="BodyText"/>
        <w:spacing w:before="2"/>
        <w:rPr>
          <w:sz w:val="18"/>
        </w:rPr>
      </w:pPr>
    </w:p>
    <w:p>
      <w:pPr>
        <w:pStyle w:val="ListParagraph"/>
        <w:numPr>
          <w:ilvl w:val="4"/>
          <w:numId w:val="198"/>
        </w:numPr>
        <w:tabs>
          <w:tab w:pos="1788" w:val="left" w:leader="none"/>
        </w:tabs>
        <w:spacing w:line="446" w:lineRule="auto" w:before="0" w:after="0"/>
        <w:ind w:left="418" w:right="1608" w:firstLine="419"/>
        <w:jc w:val="left"/>
        <w:rPr>
          <w:sz w:val="21"/>
        </w:rPr>
      </w:pPr>
      <w:r>
        <w:rPr>
          <w:spacing w:val="-5"/>
          <w:sz w:val="21"/>
        </w:rPr>
        <w:t>目测检查消防泵进水口位置。消防车停在平整、坚硬的地面上，在 </w:t>
      </w:r>
      <w:r>
        <w:rPr>
          <w:sz w:val="21"/>
        </w:rPr>
        <w:t>3m</w:t>
      </w:r>
      <w:r>
        <w:rPr>
          <w:spacing w:val="-8"/>
          <w:sz w:val="21"/>
        </w:rPr>
        <w:t> 吸深 下</w:t>
      </w:r>
      <w:r>
        <w:rPr>
          <w:spacing w:val="-4"/>
          <w:sz w:val="21"/>
        </w:rPr>
        <w:t>，将连接好滤水器的吸水管接在消防泵进口井放入水中，启动发动机并接合消防泵。当试验条</w:t>
      </w:r>
      <w:r>
        <w:rPr>
          <w:spacing w:val="-7"/>
          <w:sz w:val="21"/>
        </w:rPr>
        <w:t>件不是标准环境条件时，应按 </w:t>
      </w:r>
      <w:r>
        <w:rPr>
          <w:sz w:val="21"/>
        </w:rPr>
        <w:t>GB</w:t>
      </w:r>
      <w:r>
        <w:rPr>
          <w:spacing w:val="8"/>
          <w:sz w:val="21"/>
        </w:rPr>
        <w:t> </w:t>
      </w:r>
      <w:r>
        <w:rPr>
          <w:sz w:val="21"/>
        </w:rPr>
        <w:t>6245</w:t>
      </w:r>
      <w:r>
        <w:rPr>
          <w:spacing w:val="-34"/>
          <w:sz w:val="21"/>
        </w:rPr>
        <w:t> 一 </w:t>
      </w:r>
      <w:r>
        <w:rPr>
          <w:sz w:val="21"/>
        </w:rPr>
        <w:t>2006</w:t>
      </w:r>
      <w:r>
        <w:rPr>
          <w:spacing w:val="-33"/>
          <w:sz w:val="21"/>
        </w:rPr>
        <w:t> 中 </w:t>
      </w:r>
      <w:r>
        <w:rPr>
          <w:sz w:val="21"/>
        </w:rPr>
        <w:t>10.4.1</w:t>
      </w:r>
      <w:r>
        <w:rPr>
          <w:spacing w:val="-8"/>
          <w:sz w:val="21"/>
        </w:rPr>
        <w:t> 的规定进行修正，检査消防泵压力和流量，判断试验结果是否符合 </w:t>
      </w:r>
      <w:r>
        <w:rPr>
          <w:sz w:val="21"/>
        </w:rPr>
        <w:t>4.4.2.2.1</w:t>
      </w:r>
      <w:r>
        <w:rPr>
          <w:spacing w:val="-12"/>
          <w:sz w:val="21"/>
        </w:rPr>
        <w:t> 的要求。 </w:t>
      </w:r>
    </w:p>
    <w:p>
      <w:pPr>
        <w:spacing w:after="0" w:line="446" w:lineRule="auto"/>
        <w:jc w:val="left"/>
        <w:rPr>
          <w:sz w:val="21"/>
        </w:rPr>
        <w:sectPr>
          <w:pgSz w:w="11910" w:h="16850"/>
          <w:pgMar w:header="0" w:footer="1239" w:top="1220" w:bottom="1420" w:left="1260" w:right="0"/>
        </w:sectPr>
      </w:pPr>
    </w:p>
    <w:p>
      <w:pPr>
        <w:pStyle w:val="ListParagraph"/>
        <w:numPr>
          <w:ilvl w:val="4"/>
          <w:numId w:val="198"/>
        </w:numPr>
        <w:tabs>
          <w:tab w:pos="1788" w:val="left" w:leader="none"/>
        </w:tabs>
        <w:spacing w:line="240" w:lineRule="auto" w:before="47" w:after="0"/>
        <w:ind w:left="1787" w:right="0" w:hanging="950"/>
        <w:jc w:val="left"/>
        <w:rPr>
          <w:sz w:val="21"/>
        </w:rPr>
      </w:pPr>
      <w:r>
        <w:rPr>
          <w:spacing w:val="-6"/>
          <w:sz w:val="21"/>
        </w:rPr>
        <w:t>检查进水管路的阀门，判断试验结果是否符合 </w:t>
      </w:r>
      <w:r>
        <w:rPr>
          <w:sz w:val="21"/>
        </w:rPr>
        <w:t>4.4.2.2.2</w:t>
      </w:r>
      <w:r>
        <w:rPr>
          <w:spacing w:val="-12"/>
          <w:sz w:val="21"/>
        </w:rPr>
        <w:t> 的要求。 </w:t>
      </w:r>
    </w:p>
    <w:p>
      <w:pPr>
        <w:pStyle w:val="BodyText"/>
        <w:rPr>
          <w:sz w:val="18"/>
        </w:rPr>
      </w:pPr>
    </w:p>
    <w:p>
      <w:pPr>
        <w:pStyle w:val="ListParagraph"/>
        <w:numPr>
          <w:ilvl w:val="4"/>
          <w:numId w:val="198"/>
        </w:numPr>
        <w:tabs>
          <w:tab w:pos="1788" w:val="left" w:leader="none"/>
        </w:tabs>
        <w:spacing w:line="240" w:lineRule="auto" w:before="0" w:after="0"/>
        <w:ind w:left="1787" w:right="0" w:hanging="950"/>
        <w:jc w:val="left"/>
        <w:rPr>
          <w:sz w:val="21"/>
        </w:rPr>
      </w:pPr>
      <w:r>
        <w:rPr>
          <w:spacing w:val="-6"/>
          <w:sz w:val="21"/>
        </w:rPr>
        <w:t>用秒表测定放尽余水的时间，判断试验结杲是否符合 </w:t>
      </w:r>
      <w:r>
        <w:rPr>
          <w:sz w:val="21"/>
        </w:rPr>
        <w:t>4.4.2.2.3</w:t>
      </w:r>
      <w:r>
        <w:rPr>
          <w:spacing w:val="-13"/>
          <w:sz w:val="21"/>
        </w:rPr>
        <w:t> 的要求。</w:t>
      </w:r>
      <w:r>
        <w:rPr>
          <w:sz w:val="21"/>
        </w:rPr>
        <w:t> </w:t>
      </w:r>
    </w:p>
    <w:p>
      <w:pPr>
        <w:pStyle w:val="BodyText"/>
        <w:rPr>
          <w:sz w:val="18"/>
        </w:rPr>
      </w:pPr>
    </w:p>
    <w:p>
      <w:pPr>
        <w:pStyle w:val="ListParagraph"/>
        <w:numPr>
          <w:ilvl w:val="4"/>
          <w:numId w:val="198"/>
        </w:numPr>
        <w:tabs>
          <w:tab w:pos="1788" w:val="left" w:leader="none"/>
        </w:tabs>
        <w:spacing w:line="446" w:lineRule="auto" w:before="0" w:after="0"/>
        <w:ind w:left="418" w:right="1609" w:firstLine="419"/>
        <w:jc w:val="left"/>
        <w:rPr>
          <w:sz w:val="21"/>
        </w:rPr>
      </w:pPr>
      <w:r>
        <w:rPr>
          <w:spacing w:val="-3"/>
          <w:sz w:val="21"/>
        </w:rPr>
        <w:t>目测检查消防泵的每个进水口和吸水管之间的滤网，用游标卡尺测量过流断面</w:t>
      </w:r>
      <w:r>
        <w:rPr>
          <w:spacing w:val="-6"/>
          <w:sz w:val="21"/>
        </w:rPr>
        <w:t>处滤网孔尺寸，判断试验结果是否符合 </w:t>
      </w:r>
      <w:r>
        <w:rPr>
          <w:sz w:val="21"/>
        </w:rPr>
        <w:t>4.4.2.2.4</w:t>
      </w:r>
      <w:r>
        <w:rPr>
          <w:spacing w:val="-13"/>
          <w:sz w:val="21"/>
        </w:rPr>
        <w:t> 的要求。</w:t>
      </w:r>
      <w:r>
        <w:rPr>
          <w:sz w:val="21"/>
        </w:rPr>
        <w:t> </w:t>
      </w:r>
    </w:p>
    <w:p>
      <w:pPr>
        <w:pStyle w:val="ListParagraph"/>
        <w:numPr>
          <w:ilvl w:val="4"/>
          <w:numId w:val="198"/>
        </w:numPr>
        <w:tabs>
          <w:tab w:pos="1788" w:val="left" w:leader="none"/>
        </w:tabs>
        <w:spacing w:line="240" w:lineRule="auto" w:before="0" w:after="0"/>
        <w:ind w:left="1787" w:right="0" w:hanging="950"/>
        <w:jc w:val="left"/>
        <w:rPr>
          <w:sz w:val="21"/>
        </w:rPr>
      </w:pPr>
      <w:r>
        <w:rPr>
          <w:spacing w:val="-6"/>
          <w:sz w:val="21"/>
        </w:rPr>
        <w:t>用卷尺测量吸水管长度，判断试验结果是否符合 </w:t>
      </w:r>
      <w:r>
        <w:rPr>
          <w:sz w:val="21"/>
        </w:rPr>
        <w:t>4.4.2.2.5</w:t>
      </w:r>
      <w:r>
        <w:rPr>
          <w:spacing w:val="-12"/>
          <w:sz w:val="21"/>
        </w:rPr>
        <w:t> 的要求。 </w:t>
      </w:r>
    </w:p>
    <w:p>
      <w:pPr>
        <w:pStyle w:val="BodyText"/>
        <w:spacing w:before="12"/>
        <w:rPr>
          <w:sz w:val="17"/>
        </w:rPr>
      </w:pPr>
    </w:p>
    <w:p>
      <w:pPr>
        <w:pStyle w:val="BodyText"/>
        <w:ind w:left="838"/>
      </w:pPr>
      <w:r>
        <w:rPr/>
        <w:t>5,4.2,2,6 试验时将各进、出水口封闭，用试压泵向管内压水，达到试验压力后保持</w:t>
      </w:r>
    </w:p>
    <w:p>
      <w:pPr>
        <w:pStyle w:val="BodyText"/>
        <w:spacing w:before="2"/>
        <w:rPr>
          <w:sz w:val="18"/>
        </w:rPr>
      </w:pPr>
    </w:p>
    <w:p>
      <w:pPr>
        <w:pStyle w:val="BodyText"/>
        <w:ind w:left="418"/>
      </w:pPr>
      <w:r>
        <w:rPr/>
        <w:t>3min，判断试验结果是否符合 4.4.2.2.6 的要求。 </w:t>
      </w:r>
    </w:p>
    <w:p>
      <w:pPr>
        <w:pStyle w:val="BodyText"/>
        <w:rPr>
          <w:sz w:val="18"/>
        </w:rPr>
      </w:pPr>
    </w:p>
    <w:p>
      <w:pPr>
        <w:pStyle w:val="ListParagraph"/>
        <w:numPr>
          <w:ilvl w:val="3"/>
          <w:numId w:val="198"/>
        </w:numPr>
        <w:tabs>
          <w:tab w:pos="1576" w:val="left" w:leader="none"/>
        </w:tabs>
        <w:spacing w:line="240" w:lineRule="auto" w:before="0" w:after="0"/>
        <w:ind w:left="1575" w:right="0" w:hanging="738"/>
        <w:jc w:val="left"/>
        <w:rPr>
          <w:sz w:val="21"/>
        </w:rPr>
      </w:pPr>
      <w:r>
        <w:rPr>
          <w:spacing w:val="-3"/>
          <w:sz w:val="21"/>
        </w:rPr>
        <w:t>消防泵出水管路试验</w:t>
      </w:r>
      <w:r>
        <w:rPr>
          <w:sz w:val="21"/>
        </w:rPr>
        <w:t> </w:t>
      </w:r>
    </w:p>
    <w:p>
      <w:pPr>
        <w:pStyle w:val="BodyText"/>
        <w:spacing w:before="12"/>
        <w:rPr>
          <w:sz w:val="17"/>
        </w:rPr>
      </w:pPr>
    </w:p>
    <w:p>
      <w:pPr>
        <w:pStyle w:val="ListParagraph"/>
        <w:numPr>
          <w:ilvl w:val="4"/>
          <w:numId w:val="198"/>
        </w:numPr>
        <w:tabs>
          <w:tab w:pos="1788" w:val="left" w:leader="none"/>
        </w:tabs>
        <w:spacing w:line="446" w:lineRule="auto" w:before="0" w:after="0"/>
        <w:ind w:left="418" w:right="1505" w:firstLine="419"/>
        <w:jc w:val="left"/>
        <w:rPr>
          <w:sz w:val="21"/>
        </w:rPr>
      </w:pPr>
      <w:r>
        <w:rPr>
          <w:spacing w:val="-3"/>
          <w:sz w:val="21"/>
        </w:rPr>
        <w:t>消防车停在平整、坚硬的地面上，将吸水管接在消防泵进口并放入水中，将各出口和流量计相连，启动发动机井接合消防泵，在额定转速下运行，测量消防泵的压力和流  量</w:t>
      </w:r>
      <w:r>
        <w:rPr>
          <w:spacing w:val="-8"/>
          <w:sz w:val="21"/>
        </w:rPr>
        <w:t>，判断试验结果是否符合 </w:t>
      </w:r>
      <w:r>
        <w:rPr>
          <w:sz w:val="21"/>
        </w:rPr>
        <w:t>4.4.2.3.1</w:t>
      </w:r>
      <w:r>
        <w:rPr>
          <w:spacing w:val="-13"/>
          <w:sz w:val="21"/>
        </w:rPr>
        <w:t> 的要求。</w:t>
      </w:r>
      <w:r>
        <w:rPr>
          <w:sz w:val="21"/>
        </w:rPr>
        <w:t> </w:t>
      </w:r>
    </w:p>
    <w:p>
      <w:pPr>
        <w:pStyle w:val="ListParagraph"/>
        <w:numPr>
          <w:ilvl w:val="4"/>
          <w:numId w:val="198"/>
        </w:numPr>
        <w:tabs>
          <w:tab w:pos="1788" w:val="left" w:leader="none"/>
        </w:tabs>
        <w:spacing w:line="446" w:lineRule="auto" w:before="0" w:after="0"/>
        <w:ind w:left="418" w:right="1505" w:firstLine="419"/>
        <w:jc w:val="left"/>
        <w:rPr>
          <w:sz w:val="21"/>
        </w:rPr>
      </w:pPr>
      <w:r>
        <w:rPr>
          <w:spacing w:val="-3"/>
          <w:sz w:val="21"/>
        </w:rPr>
        <w:t>消防泵运转结束后：放出水管路余水，用秒表测定放尽余水的时间，判断试验结</w:t>
      </w:r>
      <w:r>
        <w:rPr>
          <w:spacing w:val="-12"/>
          <w:sz w:val="21"/>
        </w:rPr>
        <w:t>果是否符合 </w:t>
      </w:r>
      <w:r>
        <w:rPr>
          <w:sz w:val="21"/>
        </w:rPr>
        <w:t>4.4.2.3.2</w:t>
      </w:r>
      <w:r>
        <w:rPr>
          <w:spacing w:val="-13"/>
          <w:sz w:val="21"/>
        </w:rPr>
        <w:t> 的要求。</w:t>
      </w:r>
      <w:r>
        <w:rPr>
          <w:sz w:val="21"/>
        </w:rPr>
        <w:t> </w:t>
      </w:r>
    </w:p>
    <w:p>
      <w:pPr>
        <w:pStyle w:val="ListParagraph"/>
        <w:numPr>
          <w:ilvl w:val="4"/>
          <w:numId w:val="198"/>
        </w:numPr>
        <w:tabs>
          <w:tab w:pos="1788" w:val="left" w:leader="none"/>
        </w:tabs>
        <w:spacing w:line="446" w:lineRule="auto" w:before="0" w:after="0"/>
        <w:ind w:left="418" w:right="1505" w:firstLine="419"/>
        <w:jc w:val="left"/>
        <w:rPr>
          <w:sz w:val="21"/>
        </w:rPr>
      </w:pPr>
      <w:r>
        <w:rPr>
          <w:spacing w:val="-3"/>
          <w:sz w:val="21"/>
        </w:rPr>
        <w:t>用卷尺测量出水口中心离地高度、并目测检查出水口倾斜情况，用卷尺测量出水</w:t>
      </w:r>
      <w:r>
        <w:rPr>
          <w:spacing w:val="-5"/>
          <w:sz w:val="21"/>
        </w:rPr>
        <w:t>口中心离操作踏板上平面的高度，判断试验结果是否符合 </w:t>
      </w:r>
      <w:r>
        <w:rPr>
          <w:sz w:val="21"/>
        </w:rPr>
        <w:t>4.4.2.3.3</w:t>
      </w:r>
      <w:r>
        <w:rPr>
          <w:spacing w:val="-12"/>
          <w:sz w:val="21"/>
        </w:rPr>
        <w:t> 的要求。 </w:t>
      </w:r>
    </w:p>
    <w:p>
      <w:pPr>
        <w:pStyle w:val="ListParagraph"/>
        <w:numPr>
          <w:ilvl w:val="4"/>
          <w:numId w:val="198"/>
        </w:numPr>
        <w:tabs>
          <w:tab w:pos="1788" w:val="left" w:leader="none"/>
        </w:tabs>
        <w:spacing w:line="446" w:lineRule="auto" w:before="0" w:after="0"/>
        <w:ind w:left="418" w:right="1510" w:firstLine="419"/>
        <w:jc w:val="left"/>
        <w:rPr>
          <w:sz w:val="21"/>
        </w:rPr>
      </w:pPr>
      <w:r>
        <w:rPr>
          <w:spacing w:val="-5"/>
          <w:sz w:val="21"/>
        </w:rPr>
        <w:t>目测检查出水管路止回脚的安装情况，判断试验结果是否符合 </w:t>
      </w:r>
      <w:r>
        <w:rPr>
          <w:sz w:val="21"/>
        </w:rPr>
        <w:t>4.4.2.3.4</w:t>
      </w:r>
      <w:r>
        <w:rPr>
          <w:spacing w:val="-12"/>
          <w:sz w:val="21"/>
        </w:rPr>
        <w:t> 的要求</w:t>
      </w:r>
      <w:r>
        <w:rPr>
          <w:spacing w:val="-3"/>
          <w:sz w:val="21"/>
        </w:rPr>
        <w:t>。</w:t>
      </w:r>
      <w:r>
        <w:rPr>
          <w:sz w:val="21"/>
        </w:rPr>
        <w:t> </w:t>
      </w:r>
    </w:p>
    <w:p>
      <w:pPr>
        <w:pStyle w:val="ListParagraph"/>
        <w:numPr>
          <w:ilvl w:val="4"/>
          <w:numId w:val="198"/>
        </w:numPr>
        <w:tabs>
          <w:tab w:pos="1788" w:val="left" w:leader="none"/>
        </w:tabs>
        <w:spacing w:line="446" w:lineRule="auto" w:before="0" w:after="0"/>
        <w:ind w:left="418" w:right="1505" w:firstLine="419"/>
        <w:jc w:val="both"/>
        <w:rPr>
          <w:sz w:val="21"/>
        </w:rPr>
      </w:pPr>
      <w:r>
        <w:rPr>
          <w:spacing w:val="-3"/>
          <w:sz w:val="21"/>
        </w:rPr>
        <w:t>将消防泵出口止回阀后的出水管路注满水，棑除残余空气，关闭出水阀，用试压</w:t>
      </w:r>
      <w:r>
        <w:rPr>
          <w:spacing w:val="-5"/>
          <w:sz w:val="21"/>
        </w:rPr>
        <w:t>泵向出水管路内缓慢加压至规定试验压力，保持 </w:t>
      </w:r>
      <w:r>
        <w:rPr>
          <w:sz w:val="21"/>
        </w:rPr>
        <w:t>3min</w:t>
      </w:r>
      <w:r>
        <w:rPr>
          <w:spacing w:val="-7"/>
          <w:sz w:val="21"/>
        </w:rPr>
        <w:t>，判断试验结果是否符合 </w:t>
      </w:r>
      <w:r>
        <w:rPr>
          <w:sz w:val="21"/>
        </w:rPr>
        <w:t>4.4.2.3.5</w:t>
      </w:r>
      <w:r>
        <w:rPr>
          <w:spacing w:val="-16"/>
          <w:sz w:val="21"/>
        </w:rPr>
        <w:t> 的要</w:t>
      </w:r>
      <w:r>
        <w:rPr>
          <w:spacing w:val="-10"/>
          <w:sz w:val="21"/>
        </w:rPr>
        <w:t>求。</w:t>
      </w:r>
      <w:r>
        <w:rPr>
          <w:sz w:val="21"/>
        </w:rPr>
        <w:t> </w:t>
      </w:r>
    </w:p>
    <w:p>
      <w:pPr>
        <w:pStyle w:val="ListParagraph"/>
        <w:numPr>
          <w:ilvl w:val="4"/>
          <w:numId w:val="198"/>
        </w:numPr>
        <w:tabs>
          <w:tab w:pos="1788" w:val="left" w:leader="none"/>
        </w:tabs>
        <w:spacing w:line="446" w:lineRule="auto" w:before="0" w:after="0"/>
        <w:ind w:left="418" w:right="1457" w:firstLine="419"/>
        <w:jc w:val="both"/>
        <w:rPr>
          <w:sz w:val="21"/>
        </w:rPr>
      </w:pPr>
      <w:r>
        <w:rPr>
          <w:spacing w:val="-3"/>
          <w:sz w:val="21"/>
        </w:rPr>
        <w:t>将消防泵出口止回阀后的出水管路注满水，排除残余空气，关闭出水阀，用试压</w:t>
      </w:r>
      <w:r>
        <w:rPr>
          <w:spacing w:val="-5"/>
          <w:sz w:val="21"/>
        </w:rPr>
        <w:t>泵向出水管路内缓慢加压至规定试验压力，保持 </w:t>
      </w:r>
      <w:r>
        <w:rPr>
          <w:sz w:val="21"/>
        </w:rPr>
        <w:t>3mm</w:t>
      </w:r>
      <w:r>
        <w:rPr>
          <w:spacing w:val="-7"/>
          <w:sz w:val="21"/>
        </w:rPr>
        <w:t>，判断试验结果是否符合 </w:t>
      </w:r>
      <w:r>
        <w:rPr>
          <w:sz w:val="21"/>
        </w:rPr>
        <w:t>4.4.2.3.6</w:t>
      </w:r>
      <w:r>
        <w:rPr>
          <w:spacing w:val="-12"/>
          <w:sz w:val="21"/>
        </w:rPr>
        <w:t> 的要求</w:t>
      </w:r>
      <w:r>
        <w:rPr>
          <w:spacing w:val="-3"/>
          <w:sz w:val="21"/>
        </w:rPr>
        <w:t>。</w:t>
      </w:r>
      <w:r>
        <w:rPr>
          <w:sz w:val="21"/>
        </w:rPr>
        <w:t> </w:t>
      </w:r>
    </w:p>
    <w:p>
      <w:pPr>
        <w:pStyle w:val="ListParagraph"/>
        <w:numPr>
          <w:ilvl w:val="4"/>
          <w:numId w:val="198"/>
        </w:numPr>
        <w:tabs>
          <w:tab w:pos="1788" w:val="left" w:leader="none"/>
        </w:tabs>
        <w:spacing w:line="446" w:lineRule="auto" w:before="0" w:after="0"/>
        <w:ind w:left="418" w:right="1505" w:firstLine="419"/>
        <w:jc w:val="left"/>
        <w:rPr>
          <w:sz w:val="21"/>
        </w:rPr>
      </w:pPr>
      <w:r>
        <w:rPr>
          <w:spacing w:val="-3"/>
          <w:sz w:val="21"/>
        </w:rPr>
        <w:t>手动启闭的出水阀，在出水管路最大工作压力下，在出水阀操作手柄顶端施加操作力，用拉力计测量开启和关闭力大小，当出水管路中没有压力时，在出水阀操作手柄顶端施</w:t>
      </w:r>
      <w:r>
        <w:rPr>
          <w:spacing w:val="-5"/>
          <w:sz w:val="21"/>
        </w:rPr>
        <w:t>加操作力，用拉力计测量开启和关闭力大小，判断试验结果是否符合 </w:t>
      </w:r>
      <w:r>
        <w:rPr>
          <w:sz w:val="21"/>
        </w:rPr>
        <w:t>4.4.2.3.7</w:t>
      </w:r>
      <w:r>
        <w:rPr>
          <w:spacing w:val="-13"/>
          <w:sz w:val="21"/>
        </w:rPr>
        <w:t> 的要求。</w:t>
      </w:r>
      <w:r>
        <w:rPr>
          <w:sz w:val="21"/>
        </w:rPr>
        <w:t> </w:t>
      </w:r>
    </w:p>
    <w:p>
      <w:pPr>
        <w:pStyle w:val="ListParagraph"/>
        <w:numPr>
          <w:ilvl w:val="4"/>
          <w:numId w:val="198"/>
        </w:numPr>
        <w:tabs>
          <w:tab w:pos="1788" w:val="left" w:leader="none"/>
        </w:tabs>
        <w:spacing w:line="446" w:lineRule="auto" w:before="0" w:after="0"/>
        <w:ind w:left="418" w:right="1505" w:firstLine="419"/>
        <w:jc w:val="left"/>
        <w:rPr>
          <w:sz w:val="21"/>
        </w:rPr>
      </w:pPr>
      <w:r>
        <w:rPr>
          <w:spacing w:val="-3"/>
          <w:sz w:val="21"/>
        </w:rPr>
        <w:t>检查消防泵出水管路的出水阀及指示标牌、警示标牌，并用秒表测量阀门完全打</w:t>
      </w:r>
      <w:r>
        <w:rPr>
          <w:spacing w:val="-6"/>
          <w:sz w:val="21"/>
        </w:rPr>
        <w:t>开所用时间，判断试验结果是否符合 </w:t>
      </w:r>
      <w:r>
        <w:rPr>
          <w:sz w:val="21"/>
        </w:rPr>
        <w:t>4.4.2.3.8</w:t>
      </w:r>
      <w:r>
        <w:rPr>
          <w:spacing w:val="-13"/>
          <w:sz w:val="21"/>
        </w:rPr>
        <w:t> 的要求。</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3"/>
          <w:numId w:val="198"/>
        </w:numPr>
        <w:tabs>
          <w:tab w:pos="1576" w:val="left" w:leader="none"/>
        </w:tabs>
        <w:spacing w:line="240" w:lineRule="auto" w:before="47" w:after="0"/>
        <w:ind w:left="1575" w:right="0" w:hanging="738"/>
        <w:jc w:val="left"/>
        <w:rPr>
          <w:sz w:val="21"/>
        </w:rPr>
      </w:pPr>
      <w:r>
        <w:rPr>
          <w:spacing w:val="-3"/>
          <w:sz w:val="21"/>
        </w:rPr>
        <w:t>水罐至消防泵的输水管路试验</w:t>
      </w:r>
      <w:r>
        <w:rPr>
          <w:sz w:val="21"/>
        </w:rPr>
        <w:t> </w:t>
      </w:r>
    </w:p>
    <w:p>
      <w:pPr>
        <w:pStyle w:val="BodyText"/>
        <w:rPr>
          <w:sz w:val="18"/>
        </w:rPr>
      </w:pPr>
    </w:p>
    <w:p>
      <w:pPr>
        <w:pStyle w:val="ListParagraph"/>
        <w:numPr>
          <w:ilvl w:val="4"/>
          <w:numId w:val="198"/>
        </w:numPr>
        <w:tabs>
          <w:tab w:pos="1788" w:val="left" w:leader="none"/>
        </w:tabs>
        <w:spacing w:line="446" w:lineRule="auto" w:before="0" w:after="0"/>
        <w:ind w:left="418" w:right="1820" w:firstLine="419"/>
        <w:jc w:val="left"/>
        <w:rPr>
          <w:sz w:val="21"/>
        </w:rPr>
      </w:pPr>
      <w:r>
        <w:rPr>
          <w:spacing w:val="-5"/>
          <w:sz w:val="21"/>
        </w:rPr>
        <w:t>检查水罐至消防泵的输水管路阀门，判断试验结果是否符合 </w:t>
      </w:r>
      <w:r>
        <w:rPr>
          <w:sz w:val="21"/>
        </w:rPr>
        <w:t>4.4.2.4.1</w:t>
      </w:r>
      <w:r>
        <w:rPr>
          <w:spacing w:val="-16"/>
          <w:sz w:val="21"/>
        </w:rPr>
        <w:t> 的要</w:t>
      </w:r>
      <w:r>
        <w:rPr>
          <w:spacing w:val="-10"/>
          <w:sz w:val="21"/>
        </w:rPr>
        <w:t>求。</w:t>
      </w:r>
      <w:r>
        <w:rPr>
          <w:sz w:val="21"/>
        </w:rPr>
        <w:t> </w:t>
      </w:r>
    </w:p>
    <w:p>
      <w:pPr>
        <w:pStyle w:val="ListParagraph"/>
        <w:numPr>
          <w:ilvl w:val="4"/>
          <w:numId w:val="198"/>
        </w:numPr>
        <w:tabs>
          <w:tab w:pos="1788" w:val="left" w:leader="none"/>
        </w:tabs>
        <w:spacing w:line="446" w:lineRule="auto" w:before="0" w:after="0"/>
        <w:ind w:left="418" w:right="1820" w:firstLine="419"/>
        <w:jc w:val="left"/>
        <w:rPr>
          <w:sz w:val="21"/>
        </w:rPr>
      </w:pPr>
      <w:r>
        <w:rPr>
          <w:spacing w:val="-5"/>
          <w:sz w:val="21"/>
        </w:rPr>
        <w:t>目测检查水罐内输水管路进口位置，判断试验结果是否符合 </w:t>
      </w:r>
      <w:r>
        <w:rPr>
          <w:sz w:val="21"/>
        </w:rPr>
        <w:t>4.4.2.4.2</w:t>
      </w:r>
      <w:r>
        <w:rPr>
          <w:spacing w:val="-16"/>
          <w:sz w:val="21"/>
        </w:rPr>
        <w:t> 的要</w:t>
      </w:r>
      <w:r>
        <w:rPr>
          <w:spacing w:val="-10"/>
          <w:sz w:val="21"/>
        </w:rPr>
        <w:t>求。</w:t>
      </w:r>
      <w:r>
        <w:rPr>
          <w:sz w:val="21"/>
        </w:rPr>
        <w:t> </w:t>
      </w:r>
    </w:p>
    <w:p>
      <w:pPr>
        <w:pStyle w:val="ListParagraph"/>
        <w:numPr>
          <w:ilvl w:val="4"/>
          <w:numId w:val="198"/>
        </w:numPr>
        <w:tabs>
          <w:tab w:pos="1787" w:val="left" w:leader="none"/>
        </w:tabs>
        <w:spacing w:line="446" w:lineRule="auto" w:before="0" w:after="0"/>
        <w:ind w:left="418" w:right="1609" w:firstLine="419"/>
        <w:jc w:val="left"/>
        <w:rPr>
          <w:sz w:val="21"/>
        </w:rPr>
      </w:pPr>
      <w:r>
        <w:rPr>
          <w:spacing w:val="-3"/>
          <w:sz w:val="21"/>
        </w:rPr>
        <w:t>目测检查输水管路进口滤网。使用罐内供水，把各出口和流量相连，启动消防泵，在额定 工况下运转，待运转稳定后测量泵的流量和压力，判断试验结果是否符合</w:t>
      </w:r>
    </w:p>
    <w:p>
      <w:pPr>
        <w:pStyle w:val="BodyText"/>
        <w:ind w:left="418"/>
      </w:pPr>
      <w:r>
        <w:rPr/>
        <w:t>4.4.2.4.3 的要求。 </w:t>
      </w:r>
    </w:p>
    <w:p>
      <w:pPr>
        <w:pStyle w:val="BodyText"/>
        <w:spacing w:before="10"/>
        <w:rPr>
          <w:sz w:val="17"/>
        </w:rPr>
      </w:pPr>
    </w:p>
    <w:p>
      <w:pPr>
        <w:pStyle w:val="BodyText"/>
        <w:spacing w:line="446" w:lineRule="auto"/>
        <w:ind w:left="418" w:right="1505" w:firstLine="419"/>
      </w:pPr>
      <w:r>
        <w:rPr/>
        <w:t>5.4.2.4.4 当车辆水平时，将水罐内罐满水，测量总重.，启动消防泵，在额定流量水罐向消防泵供水，待水罐不能供水后停止，测量总重，判断试验结果是否符合 4.4.2.4.4 的要求。 </w:t>
      </w:r>
    </w:p>
    <w:p>
      <w:pPr>
        <w:pStyle w:val="ListParagraph"/>
        <w:numPr>
          <w:ilvl w:val="2"/>
          <w:numId w:val="199"/>
        </w:numPr>
        <w:tabs>
          <w:tab w:pos="1370" w:val="left" w:leader="none"/>
        </w:tabs>
        <w:spacing w:line="240" w:lineRule="auto" w:before="0" w:after="0"/>
        <w:ind w:left="1369" w:right="0" w:hanging="530"/>
        <w:jc w:val="left"/>
        <w:rPr>
          <w:sz w:val="21"/>
        </w:rPr>
      </w:pPr>
      <w:r>
        <w:rPr>
          <w:spacing w:val="-3"/>
          <w:sz w:val="21"/>
        </w:rPr>
        <w:t>水罐试验</w:t>
      </w:r>
      <w:r>
        <w:rPr>
          <w:sz w:val="21"/>
        </w:rPr>
        <w:t> </w:t>
      </w:r>
    </w:p>
    <w:p>
      <w:pPr>
        <w:pStyle w:val="BodyText"/>
        <w:rPr>
          <w:sz w:val="18"/>
        </w:rPr>
      </w:pPr>
    </w:p>
    <w:p>
      <w:pPr>
        <w:pStyle w:val="ListParagraph"/>
        <w:numPr>
          <w:ilvl w:val="3"/>
          <w:numId w:val="199"/>
        </w:numPr>
        <w:tabs>
          <w:tab w:pos="1576" w:val="left" w:leader="none"/>
        </w:tabs>
        <w:spacing w:line="240" w:lineRule="auto" w:before="0" w:after="0"/>
        <w:ind w:left="1575" w:right="0" w:hanging="738"/>
        <w:jc w:val="left"/>
        <w:rPr>
          <w:sz w:val="21"/>
        </w:rPr>
      </w:pPr>
      <w:r>
        <w:rPr>
          <w:spacing w:val="-3"/>
          <w:sz w:val="21"/>
        </w:rPr>
        <w:t>罐体要求试验</w:t>
      </w:r>
      <w:r>
        <w:rPr>
          <w:sz w:val="21"/>
        </w:rPr>
        <w:t> </w:t>
      </w:r>
    </w:p>
    <w:p>
      <w:pPr>
        <w:pStyle w:val="BodyText"/>
        <w:spacing w:before="2"/>
        <w:rPr>
          <w:sz w:val="18"/>
        </w:rPr>
      </w:pPr>
    </w:p>
    <w:p>
      <w:pPr>
        <w:pStyle w:val="ListParagraph"/>
        <w:numPr>
          <w:ilvl w:val="4"/>
          <w:numId w:val="199"/>
        </w:numPr>
        <w:tabs>
          <w:tab w:pos="1788" w:val="left" w:leader="none"/>
        </w:tabs>
        <w:spacing w:line="240" w:lineRule="auto" w:before="0" w:after="0"/>
        <w:ind w:left="1787" w:right="0" w:hanging="950"/>
        <w:jc w:val="left"/>
        <w:rPr>
          <w:sz w:val="21"/>
        </w:rPr>
      </w:pPr>
      <w:r>
        <w:rPr>
          <w:spacing w:val="-6"/>
          <w:sz w:val="21"/>
        </w:rPr>
        <w:t>利用称重法测出水罐容量，判断试验结果是否符合 </w:t>
      </w:r>
      <w:r>
        <w:rPr>
          <w:sz w:val="21"/>
        </w:rPr>
        <w:t>4.4.3.1.1</w:t>
      </w:r>
      <w:r>
        <w:rPr>
          <w:spacing w:val="-12"/>
          <w:sz w:val="21"/>
        </w:rPr>
        <w:t> 的要求。 </w:t>
      </w:r>
    </w:p>
    <w:p>
      <w:pPr>
        <w:pStyle w:val="BodyText"/>
        <w:spacing w:before="12"/>
        <w:rPr>
          <w:sz w:val="17"/>
        </w:rPr>
      </w:pPr>
    </w:p>
    <w:p>
      <w:pPr>
        <w:pStyle w:val="BodyText"/>
        <w:spacing w:line="446" w:lineRule="auto"/>
        <w:ind w:left="418" w:right="1510" w:firstLine="419"/>
      </w:pPr>
      <w:r>
        <w:rPr/>
        <w:t>5.4.3.1.2</w:t>
      </w:r>
      <w:r>
        <w:rPr>
          <w:spacing w:val="-14"/>
        </w:rPr>
        <w:t> 选取 </w:t>
      </w:r>
      <w:r>
        <w:rPr/>
        <w:t>200mm×200mm</w:t>
      </w:r>
      <w:r>
        <w:rPr>
          <w:spacing w:val="-13"/>
        </w:rPr>
        <w:t> 的罐体材料样品，按照 </w:t>
      </w:r>
      <w:r>
        <w:rPr/>
        <w:t>GB 4351.1—2005</w:t>
      </w:r>
      <w:r>
        <w:rPr>
          <w:spacing w:val="-35"/>
        </w:rPr>
        <w:t> 中 </w:t>
      </w:r>
      <w:r>
        <w:rPr/>
        <w:t>7.7.1</w:t>
      </w:r>
      <w:r>
        <w:rPr>
          <w:spacing w:val="-12"/>
        </w:rPr>
        <w:t> 规定的方</w:t>
      </w:r>
      <w:r>
        <w:rPr>
          <w:spacing w:val="-9"/>
        </w:rPr>
        <w:t>法进行盐雾试验、判断试验结果是否符合 </w:t>
      </w:r>
      <w:r>
        <w:rPr/>
        <w:t>4.4.3.1.2</w:t>
      </w:r>
      <w:r>
        <w:rPr>
          <w:spacing w:val="-13"/>
        </w:rPr>
        <w:t> 的要求。</w:t>
      </w:r>
      <w:r>
        <w:rPr/>
        <w:t> </w:t>
      </w:r>
    </w:p>
    <w:p>
      <w:pPr>
        <w:pStyle w:val="ListParagraph"/>
        <w:numPr>
          <w:ilvl w:val="4"/>
          <w:numId w:val="200"/>
        </w:numPr>
        <w:tabs>
          <w:tab w:pos="1788" w:val="left" w:leader="none"/>
        </w:tabs>
        <w:spacing w:line="240" w:lineRule="auto" w:before="0" w:after="0"/>
        <w:ind w:left="1787" w:right="0" w:hanging="950"/>
        <w:jc w:val="left"/>
        <w:rPr>
          <w:sz w:val="21"/>
        </w:rPr>
      </w:pPr>
      <w:r>
        <w:rPr>
          <w:spacing w:val="-6"/>
          <w:sz w:val="21"/>
        </w:rPr>
        <w:t>检査水罐内防荡板设置情况，判断试验结果是否符合 </w:t>
      </w:r>
      <w:r>
        <w:rPr>
          <w:sz w:val="21"/>
        </w:rPr>
        <w:t>4.4.3.1.3</w:t>
      </w:r>
      <w:r>
        <w:rPr>
          <w:spacing w:val="-13"/>
          <w:sz w:val="21"/>
        </w:rPr>
        <w:t> 的要求。</w:t>
      </w:r>
      <w:r>
        <w:rPr>
          <w:sz w:val="21"/>
        </w:rPr>
        <w:t> </w:t>
      </w:r>
    </w:p>
    <w:p>
      <w:pPr>
        <w:pStyle w:val="BodyText"/>
        <w:rPr>
          <w:sz w:val="18"/>
        </w:rPr>
      </w:pPr>
    </w:p>
    <w:p>
      <w:pPr>
        <w:pStyle w:val="ListParagraph"/>
        <w:numPr>
          <w:ilvl w:val="4"/>
          <w:numId w:val="200"/>
        </w:numPr>
        <w:tabs>
          <w:tab w:pos="1788" w:val="left" w:leader="none"/>
        </w:tabs>
        <w:spacing w:line="446" w:lineRule="auto" w:before="0" w:after="0"/>
        <w:ind w:left="418" w:right="1818" w:firstLine="419"/>
        <w:jc w:val="left"/>
        <w:rPr>
          <w:sz w:val="21"/>
        </w:rPr>
      </w:pPr>
      <w:r>
        <w:rPr>
          <w:spacing w:val="-3"/>
          <w:sz w:val="21"/>
        </w:rPr>
        <w:t>目测检查人孔及人孔盖，用卷尺测量人孔盖直径；关闭人孔盖，封闭各出入口，将水罐注满水，用试压泵向罐内缓慢加压至规定试验压力，判断试验结果是否符合</w:t>
      </w:r>
    </w:p>
    <w:p>
      <w:pPr>
        <w:pStyle w:val="BodyText"/>
        <w:ind w:left="418"/>
      </w:pPr>
      <w:r>
        <w:rPr/>
        <w:t>4.4.3.1.4 的要求。 </w:t>
      </w:r>
    </w:p>
    <w:p>
      <w:pPr>
        <w:pStyle w:val="BodyText"/>
        <w:rPr>
          <w:sz w:val="18"/>
        </w:rPr>
      </w:pPr>
    </w:p>
    <w:p>
      <w:pPr>
        <w:pStyle w:val="ListParagraph"/>
        <w:numPr>
          <w:ilvl w:val="4"/>
          <w:numId w:val="201"/>
        </w:numPr>
        <w:tabs>
          <w:tab w:pos="1788" w:val="left" w:leader="none"/>
        </w:tabs>
        <w:spacing w:line="240" w:lineRule="auto" w:before="0" w:after="0"/>
        <w:ind w:left="1787" w:right="0" w:hanging="950"/>
        <w:jc w:val="left"/>
        <w:rPr>
          <w:sz w:val="21"/>
        </w:rPr>
      </w:pPr>
      <w:r>
        <w:rPr>
          <w:spacing w:val="-6"/>
          <w:sz w:val="21"/>
        </w:rPr>
        <w:t>目测检查水罐排污孔，判断试验结果是否符合 </w:t>
      </w:r>
      <w:r>
        <w:rPr>
          <w:sz w:val="21"/>
        </w:rPr>
        <w:t>4.4.3.1.5</w:t>
      </w:r>
      <w:r>
        <w:rPr>
          <w:spacing w:val="-12"/>
          <w:sz w:val="21"/>
        </w:rPr>
        <w:t> 的要求。 </w:t>
      </w:r>
    </w:p>
    <w:p>
      <w:pPr>
        <w:pStyle w:val="BodyText"/>
        <w:spacing w:before="12"/>
        <w:rPr>
          <w:sz w:val="17"/>
        </w:rPr>
      </w:pPr>
    </w:p>
    <w:p>
      <w:pPr>
        <w:pStyle w:val="ListParagraph"/>
        <w:numPr>
          <w:ilvl w:val="4"/>
          <w:numId w:val="201"/>
        </w:numPr>
        <w:tabs>
          <w:tab w:pos="1788" w:val="left" w:leader="none"/>
        </w:tabs>
        <w:spacing w:line="446" w:lineRule="auto" w:before="0" w:after="0"/>
        <w:ind w:left="418" w:right="1613" w:firstLine="419"/>
        <w:jc w:val="left"/>
        <w:rPr>
          <w:sz w:val="21"/>
        </w:rPr>
      </w:pPr>
      <w:r>
        <w:rPr>
          <w:spacing w:val="-5"/>
          <w:sz w:val="21"/>
        </w:rPr>
        <w:t>目测检查水罐的液位或液量指示装置，判断试验结果是否符合 </w:t>
      </w:r>
      <w:r>
        <w:rPr>
          <w:sz w:val="21"/>
        </w:rPr>
        <w:t>4.4.3.1.6</w:t>
      </w:r>
      <w:r>
        <w:rPr>
          <w:spacing w:val="-18"/>
          <w:sz w:val="21"/>
        </w:rPr>
        <w:t> 的要</w:t>
      </w:r>
      <w:r>
        <w:rPr>
          <w:spacing w:val="-2"/>
          <w:sz w:val="21"/>
        </w:rPr>
        <w:t>求。</w:t>
      </w:r>
      <w:r>
        <w:rPr>
          <w:sz w:val="21"/>
        </w:rPr>
        <w:t> </w:t>
      </w:r>
    </w:p>
    <w:p>
      <w:pPr>
        <w:pStyle w:val="ListParagraph"/>
        <w:numPr>
          <w:ilvl w:val="4"/>
          <w:numId w:val="201"/>
        </w:numPr>
        <w:tabs>
          <w:tab w:pos="1788" w:val="left" w:leader="none"/>
        </w:tabs>
        <w:spacing w:line="446" w:lineRule="auto" w:before="0" w:after="0"/>
        <w:ind w:left="418" w:right="1818" w:firstLine="419"/>
        <w:jc w:val="left"/>
        <w:rPr>
          <w:sz w:val="21"/>
        </w:rPr>
      </w:pPr>
      <w:r>
        <w:rPr>
          <w:spacing w:val="-3"/>
          <w:sz w:val="21"/>
        </w:rPr>
        <w:t>封闭水罐各出入口，将水罐注满水，用试压泵向罐内缓慢加压至规定试验压</w:t>
      </w:r>
      <w:r>
        <w:rPr>
          <w:spacing w:val="-13"/>
          <w:sz w:val="21"/>
        </w:rPr>
        <w:t>力，保持 </w:t>
      </w:r>
      <w:r>
        <w:rPr>
          <w:sz w:val="21"/>
        </w:rPr>
        <w:t>3min</w:t>
      </w:r>
      <w:r>
        <w:rPr>
          <w:spacing w:val="-7"/>
          <w:sz w:val="21"/>
        </w:rPr>
        <w:t>， 判断试验结果是否符合 </w:t>
      </w:r>
      <w:r>
        <w:rPr>
          <w:sz w:val="21"/>
        </w:rPr>
        <w:t>4.4.3.1.7</w:t>
      </w:r>
      <w:r>
        <w:rPr>
          <w:spacing w:val="-13"/>
          <w:sz w:val="21"/>
        </w:rPr>
        <w:t> 的要求。</w:t>
      </w:r>
      <w:r>
        <w:rPr>
          <w:sz w:val="21"/>
        </w:rPr>
        <w:t> </w:t>
      </w:r>
    </w:p>
    <w:p>
      <w:pPr>
        <w:pStyle w:val="ListParagraph"/>
        <w:numPr>
          <w:ilvl w:val="3"/>
          <w:numId w:val="199"/>
        </w:numPr>
        <w:tabs>
          <w:tab w:pos="1576" w:val="left" w:leader="none"/>
        </w:tabs>
        <w:spacing w:line="240" w:lineRule="auto" w:before="0" w:after="0"/>
        <w:ind w:left="1575" w:right="0" w:hanging="738"/>
        <w:jc w:val="left"/>
        <w:rPr>
          <w:sz w:val="21"/>
        </w:rPr>
      </w:pPr>
      <w:r>
        <w:rPr>
          <w:spacing w:val="-3"/>
          <w:sz w:val="21"/>
        </w:rPr>
        <w:t>注水装置试验</w:t>
      </w:r>
      <w:r>
        <w:rPr>
          <w:sz w:val="21"/>
        </w:rPr>
        <w:t> </w:t>
      </w:r>
    </w:p>
    <w:p>
      <w:pPr>
        <w:pStyle w:val="BodyText"/>
        <w:rPr>
          <w:sz w:val="18"/>
        </w:rPr>
      </w:pPr>
    </w:p>
    <w:p>
      <w:pPr>
        <w:pStyle w:val="ListParagraph"/>
        <w:numPr>
          <w:ilvl w:val="4"/>
          <w:numId w:val="199"/>
        </w:numPr>
        <w:tabs>
          <w:tab w:pos="1788" w:val="left" w:leader="none"/>
        </w:tabs>
        <w:spacing w:line="446" w:lineRule="auto" w:before="0" w:after="0"/>
        <w:ind w:left="418" w:right="1609" w:firstLine="419"/>
        <w:jc w:val="left"/>
        <w:rPr>
          <w:sz w:val="21"/>
        </w:rPr>
      </w:pPr>
      <w:r>
        <w:rPr>
          <w:spacing w:val="-3"/>
          <w:sz w:val="21"/>
        </w:rPr>
        <w:t>目测检查消防泵至水罐的注水管路内阀门，并用卷尺测量注水管路通径，判断</w:t>
      </w:r>
      <w:r>
        <w:rPr>
          <w:spacing w:val="-9"/>
          <w:sz w:val="21"/>
        </w:rPr>
        <w:t>试验结果是否符合 </w:t>
      </w:r>
      <w:r>
        <w:rPr>
          <w:sz w:val="21"/>
        </w:rPr>
        <w:t>4.4.3.2.1</w:t>
      </w:r>
      <w:r>
        <w:rPr>
          <w:spacing w:val="-13"/>
          <w:sz w:val="21"/>
        </w:rPr>
        <w:t> 的要求。</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199"/>
        </w:numPr>
        <w:tabs>
          <w:tab w:pos="1788" w:val="left" w:leader="none"/>
        </w:tabs>
        <w:spacing w:line="446" w:lineRule="auto" w:before="47" w:after="0"/>
        <w:ind w:left="418" w:right="1609" w:firstLine="419"/>
        <w:jc w:val="left"/>
        <w:rPr>
          <w:sz w:val="21"/>
        </w:rPr>
      </w:pPr>
      <w:r>
        <w:rPr>
          <w:spacing w:val="-3"/>
          <w:sz w:val="21"/>
        </w:rPr>
        <w:t>用卷尺测量管路通经；向水罐内注满水，目测检查管路情况；目测检査与外部</w:t>
      </w:r>
      <w:r>
        <w:rPr>
          <w:spacing w:val="-6"/>
          <w:sz w:val="21"/>
        </w:rPr>
        <w:t>相连注水口的防护盖，判断试验结果是否符合 </w:t>
      </w:r>
      <w:r>
        <w:rPr>
          <w:sz w:val="21"/>
        </w:rPr>
        <w:t>4.4.3.2.2</w:t>
      </w:r>
      <w:r>
        <w:rPr>
          <w:spacing w:val="-13"/>
          <w:sz w:val="21"/>
        </w:rPr>
        <w:t> 的要求。</w:t>
      </w:r>
      <w:r>
        <w:rPr>
          <w:sz w:val="21"/>
        </w:rPr>
        <w:t> </w:t>
      </w:r>
    </w:p>
    <w:p>
      <w:pPr>
        <w:pStyle w:val="BodyText"/>
        <w:spacing w:line="267" w:lineRule="exact"/>
        <w:ind w:left="838"/>
      </w:pPr>
      <w:r>
        <w:rPr/>
        <w:t>5,4,3.2.3 检查水罐注水口处的标牌，判断试验结果是否符合 4.4.3.2.3 的要求。 </w:t>
      </w:r>
    </w:p>
    <w:p>
      <w:pPr>
        <w:pStyle w:val="BodyText"/>
        <w:spacing w:before="2"/>
        <w:rPr>
          <w:sz w:val="18"/>
        </w:rPr>
      </w:pPr>
    </w:p>
    <w:p>
      <w:pPr>
        <w:pStyle w:val="ListParagraph"/>
        <w:numPr>
          <w:ilvl w:val="3"/>
          <w:numId w:val="199"/>
        </w:numPr>
        <w:tabs>
          <w:tab w:pos="1576" w:val="left" w:leader="none"/>
        </w:tabs>
        <w:spacing w:line="240" w:lineRule="auto" w:before="0" w:after="0"/>
        <w:ind w:left="1575" w:right="0" w:hanging="738"/>
        <w:jc w:val="left"/>
        <w:rPr>
          <w:sz w:val="21"/>
        </w:rPr>
      </w:pPr>
      <w:r>
        <w:rPr>
          <w:spacing w:val="-3"/>
          <w:sz w:val="21"/>
        </w:rPr>
        <w:t>溢水装置试验</w:t>
      </w:r>
      <w:r>
        <w:rPr>
          <w:sz w:val="21"/>
        </w:rPr>
        <w:t> </w:t>
      </w:r>
    </w:p>
    <w:p>
      <w:pPr>
        <w:pStyle w:val="BodyText"/>
        <w:rPr>
          <w:sz w:val="18"/>
        </w:rPr>
      </w:pPr>
    </w:p>
    <w:p>
      <w:pPr>
        <w:pStyle w:val="BodyText"/>
        <w:spacing w:line="446" w:lineRule="auto"/>
        <w:ind w:left="418" w:right="1820" w:firstLine="419"/>
      </w:pPr>
      <w:r>
        <w:rPr>
          <w:spacing w:val="-4"/>
        </w:rPr>
        <w:t>目测检查溢水管路，并用卷尺测量溢水管路通经，判断试验结果是否符合 </w:t>
      </w:r>
      <w:r>
        <w:rPr/>
        <w:t>4.4.3.3</w:t>
      </w:r>
      <w:r>
        <w:rPr>
          <w:spacing w:val="-14"/>
        </w:rPr>
        <w:t> 的要</w:t>
      </w:r>
      <w:r>
        <w:rPr>
          <w:spacing w:val="-9"/>
        </w:rPr>
        <w:t>求。</w:t>
      </w:r>
      <w:r>
        <w:rPr/>
        <w:t> </w:t>
      </w:r>
    </w:p>
    <w:p>
      <w:pPr>
        <w:pStyle w:val="ListParagraph"/>
        <w:numPr>
          <w:ilvl w:val="2"/>
          <w:numId w:val="199"/>
        </w:numPr>
        <w:tabs>
          <w:tab w:pos="1370" w:val="left" w:leader="none"/>
        </w:tabs>
        <w:spacing w:line="240" w:lineRule="auto" w:before="0" w:after="0"/>
        <w:ind w:left="1369" w:right="0" w:hanging="530"/>
        <w:jc w:val="left"/>
        <w:rPr>
          <w:sz w:val="21"/>
        </w:rPr>
      </w:pPr>
      <w:r>
        <w:rPr>
          <w:spacing w:val="-3"/>
          <w:sz w:val="21"/>
        </w:rPr>
        <w:t>消防炮试验</w:t>
      </w:r>
      <w:r>
        <w:rPr>
          <w:sz w:val="21"/>
        </w:rPr>
        <w:t> </w:t>
      </w:r>
    </w:p>
    <w:p>
      <w:pPr>
        <w:pStyle w:val="BodyText"/>
        <w:rPr>
          <w:sz w:val="18"/>
        </w:rPr>
      </w:pPr>
    </w:p>
    <w:p>
      <w:pPr>
        <w:pStyle w:val="ListParagraph"/>
        <w:numPr>
          <w:ilvl w:val="3"/>
          <w:numId w:val="199"/>
        </w:numPr>
        <w:tabs>
          <w:tab w:pos="1576" w:val="left" w:leader="none"/>
        </w:tabs>
        <w:spacing w:line="446" w:lineRule="auto" w:before="0" w:after="0"/>
        <w:ind w:left="418" w:right="1508" w:firstLine="419"/>
        <w:jc w:val="left"/>
        <w:rPr>
          <w:sz w:val="21"/>
        </w:rPr>
      </w:pPr>
      <w:r>
        <w:rPr>
          <w:spacing w:val="-3"/>
          <w:sz w:val="21"/>
        </w:rPr>
        <w:t>消防炮喷射性能的测定应在平坦的场地上进行。试验时在消防炮的进水口处装一压</w:t>
      </w:r>
      <w:r>
        <w:rPr>
          <w:spacing w:val="-7"/>
          <w:sz w:val="21"/>
        </w:rPr>
        <w:t>力表，压 力表精度不低于 </w:t>
      </w:r>
      <w:r>
        <w:rPr>
          <w:sz w:val="21"/>
        </w:rPr>
        <w:t>1.6</w:t>
      </w:r>
      <w:r>
        <w:rPr>
          <w:spacing w:val="-13"/>
          <w:sz w:val="21"/>
        </w:rPr>
        <w:t> 级。消防炮的仰角为 </w:t>
      </w:r>
      <w:r>
        <w:rPr>
          <w:sz w:val="21"/>
        </w:rPr>
        <w:t>30°±1</w:t>
      </w:r>
      <w:r>
        <w:rPr>
          <w:spacing w:val="-3"/>
          <w:sz w:val="21"/>
        </w:rPr>
        <w:t>°，顺风向喷射，风速小于 </w:t>
      </w:r>
      <w:r>
        <w:rPr>
          <w:sz w:val="21"/>
        </w:rPr>
        <w:t>2m/s </w:t>
      </w:r>
      <w:r>
        <w:rPr>
          <w:spacing w:val="-5"/>
          <w:sz w:val="21"/>
        </w:rPr>
        <w:t>。试验时当消防炮进水口压力达到额定工作压力并稳定后，用秒表测定不少于 </w:t>
      </w:r>
      <w:r>
        <w:rPr>
          <w:sz w:val="21"/>
        </w:rPr>
        <w:t>10s</w:t>
      </w:r>
      <w:r>
        <w:rPr>
          <w:spacing w:val="-9"/>
          <w:sz w:val="21"/>
        </w:rPr>
        <w:t> 时间连续洒</w:t>
      </w:r>
      <w:r>
        <w:rPr>
          <w:spacing w:val="-3"/>
          <w:sz w:val="21"/>
        </w:rPr>
        <w:t>落水的最远点为射程最远 点，以消防炮炮出口铅锤线与地面交点为原点，最远点至原点之间的</w:t>
      </w:r>
      <w:r>
        <w:rPr>
          <w:spacing w:val="-6"/>
          <w:sz w:val="21"/>
        </w:rPr>
        <w:t>直线距离即为消防炮的射程。判断试验结果是否符合 </w:t>
      </w:r>
      <w:r>
        <w:rPr>
          <w:sz w:val="21"/>
        </w:rPr>
        <w:t>4.4.4.1</w:t>
      </w:r>
      <w:r>
        <w:rPr>
          <w:spacing w:val="-13"/>
          <w:sz w:val="21"/>
        </w:rPr>
        <w:t> 的要求。</w:t>
      </w:r>
      <w:r>
        <w:rPr>
          <w:sz w:val="21"/>
        </w:rPr>
        <w:t> </w:t>
      </w:r>
    </w:p>
    <w:p>
      <w:pPr>
        <w:pStyle w:val="ListParagraph"/>
        <w:numPr>
          <w:ilvl w:val="3"/>
          <w:numId w:val="199"/>
        </w:numPr>
        <w:tabs>
          <w:tab w:pos="1576" w:val="left" w:leader="none"/>
        </w:tabs>
        <w:spacing w:line="446" w:lineRule="auto" w:before="0" w:after="0"/>
        <w:ind w:left="418" w:right="1820" w:firstLine="419"/>
        <w:jc w:val="left"/>
        <w:rPr>
          <w:sz w:val="21"/>
        </w:rPr>
      </w:pPr>
      <w:r>
        <w:rPr>
          <w:spacing w:val="-5"/>
          <w:sz w:val="21"/>
        </w:rPr>
        <w:t>用角度仪测量车载炮的俯仰角和回转角，判断试验结果是否符合 </w:t>
      </w:r>
      <w:r>
        <w:rPr>
          <w:sz w:val="21"/>
        </w:rPr>
        <w:t>4.4.4.2</w:t>
      </w:r>
      <w:r>
        <w:rPr>
          <w:spacing w:val="-16"/>
          <w:sz w:val="21"/>
        </w:rPr>
        <w:t> 的要</w:t>
      </w:r>
      <w:r>
        <w:rPr>
          <w:spacing w:val="-10"/>
          <w:sz w:val="21"/>
        </w:rPr>
        <w:t>求。</w:t>
      </w:r>
      <w:r>
        <w:rPr>
          <w:sz w:val="21"/>
        </w:rPr>
        <w:t> </w:t>
      </w:r>
    </w:p>
    <w:p>
      <w:pPr>
        <w:pStyle w:val="ListParagraph"/>
        <w:numPr>
          <w:ilvl w:val="3"/>
          <w:numId w:val="199"/>
        </w:numPr>
        <w:tabs>
          <w:tab w:pos="1576" w:val="left" w:leader="none"/>
        </w:tabs>
        <w:spacing w:line="267" w:lineRule="exact" w:before="0" w:after="0"/>
        <w:ind w:left="1575" w:right="0" w:hanging="738"/>
        <w:jc w:val="left"/>
        <w:rPr>
          <w:sz w:val="21"/>
        </w:rPr>
      </w:pPr>
      <w:r>
        <w:rPr>
          <w:spacing w:val="-6"/>
          <w:sz w:val="21"/>
        </w:rPr>
        <w:t>目测检查车顶炮进水管路，判断试验结果是否符合 </w:t>
      </w:r>
      <w:r>
        <w:rPr>
          <w:sz w:val="21"/>
        </w:rPr>
        <w:t>4.4.4.3</w:t>
      </w:r>
      <w:r>
        <w:rPr>
          <w:spacing w:val="-12"/>
          <w:sz w:val="21"/>
        </w:rPr>
        <w:t> 的要求。 </w:t>
      </w:r>
    </w:p>
    <w:p>
      <w:pPr>
        <w:pStyle w:val="BodyText"/>
        <w:rPr>
          <w:sz w:val="18"/>
        </w:rPr>
      </w:pPr>
    </w:p>
    <w:p>
      <w:pPr>
        <w:pStyle w:val="ListParagraph"/>
        <w:numPr>
          <w:ilvl w:val="3"/>
          <w:numId w:val="199"/>
        </w:numPr>
        <w:tabs>
          <w:tab w:pos="1576" w:val="left" w:leader="none"/>
        </w:tabs>
        <w:spacing w:line="240" w:lineRule="auto" w:before="0" w:after="0"/>
        <w:ind w:left="1575" w:right="0" w:hanging="738"/>
        <w:jc w:val="left"/>
        <w:rPr>
          <w:sz w:val="21"/>
        </w:rPr>
      </w:pPr>
      <w:r>
        <w:rPr>
          <w:spacing w:val="-6"/>
          <w:sz w:val="21"/>
        </w:rPr>
        <w:t>检查车载炮的锁紧机构、判断试验结果是否符合 </w:t>
      </w:r>
      <w:r>
        <w:rPr>
          <w:sz w:val="21"/>
        </w:rPr>
        <w:t>4.4.4.4</w:t>
      </w:r>
      <w:r>
        <w:rPr>
          <w:spacing w:val="-12"/>
          <w:sz w:val="21"/>
        </w:rPr>
        <w:t> 的要求。 </w:t>
      </w:r>
    </w:p>
    <w:p>
      <w:pPr>
        <w:pStyle w:val="BodyText"/>
        <w:spacing w:before="12"/>
        <w:rPr>
          <w:sz w:val="17"/>
        </w:rPr>
      </w:pPr>
    </w:p>
    <w:p>
      <w:pPr>
        <w:pStyle w:val="ListParagraph"/>
        <w:numPr>
          <w:ilvl w:val="3"/>
          <w:numId w:val="199"/>
        </w:numPr>
        <w:tabs>
          <w:tab w:pos="1576" w:val="left" w:leader="none"/>
        </w:tabs>
        <w:spacing w:line="446" w:lineRule="auto" w:before="0" w:after="0"/>
        <w:ind w:left="418" w:right="1609" w:firstLine="419"/>
        <w:jc w:val="left"/>
        <w:rPr>
          <w:sz w:val="21"/>
        </w:rPr>
      </w:pPr>
      <w:r>
        <w:rPr>
          <w:spacing w:val="-3"/>
          <w:sz w:val="21"/>
        </w:rPr>
        <w:t>消防炮采用无线遥控时，检查消防车其他控制系統和通讯系统，判断试验结果是</w:t>
      </w:r>
      <w:r>
        <w:rPr>
          <w:spacing w:val="-15"/>
          <w:sz w:val="21"/>
        </w:rPr>
        <w:t>否符合 </w:t>
      </w:r>
      <w:r>
        <w:rPr>
          <w:sz w:val="21"/>
        </w:rPr>
        <w:t>4.4.4.5</w:t>
      </w:r>
      <w:r>
        <w:rPr>
          <w:spacing w:val="-12"/>
          <w:sz w:val="21"/>
        </w:rPr>
        <w:t> 的要求。 </w:t>
      </w:r>
    </w:p>
    <w:p>
      <w:pPr>
        <w:pStyle w:val="ListParagraph"/>
        <w:numPr>
          <w:ilvl w:val="2"/>
          <w:numId w:val="199"/>
        </w:numPr>
        <w:tabs>
          <w:tab w:pos="1370" w:val="left" w:leader="none"/>
        </w:tabs>
        <w:spacing w:line="240" w:lineRule="auto" w:before="0" w:after="0"/>
        <w:ind w:left="1369" w:right="0" w:hanging="530"/>
        <w:jc w:val="left"/>
        <w:rPr>
          <w:sz w:val="21"/>
        </w:rPr>
      </w:pPr>
      <w:r>
        <w:rPr>
          <w:spacing w:val="-3"/>
          <w:sz w:val="21"/>
        </w:rPr>
        <w:t>最大真空度及密封性试验</w:t>
      </w:r>
      <w:r>
        <w:rPr>
          <w:sz w:val="21"/>
        </w:rPr>
        <w:t> </w:t>
      </w:r>
    </w:p>
    <w:p>
      <w:pPr>
        <w:pStyle w:val="BodyText"/>
        <w:rPr>
          <w:sz w:val="18"/>
        </w:rPr>
      </w:pPr>
    </w:p>
    <w:p>
      <w:pPr>
        <w:pStyle w:val="BodyText"/>
        <w:spacing w:line="446" w:lineRule="auto"/>
        <w:ind w:left="418" w:right="1608" w:firstLine="419"/>
      </w:pPr>
      <w:r>
        <w:rPr/>
        <w:t>将配备的规定长度的吸水管，一端封闭，另一端接在消防泵的一个进水口上，封闭其余进水口，泵和吸水管路中不应有水存留。启动引水装置至最大真空度，待稳定后记下该值，然后关闭引水装置，测量 1min 内真空度的下降值。当试验条件不是标准环境条件时，应按 GB 6245—2006 中 10.4.1 的规定进行修正。判断试验结果是否符合 4.4.5 的要求。 </w:t>
      </w:r>
    </w:p>
    <w:p>
      <w:pPr>
        <w:pStyle w:val="ListParagraph"/>
        <w:numPr>
          <w:ilvl w:val="2"/>
          <w:numId w:val="199"/>
        </w:numPr>
        <w:tabs>
          <w:tab w:pos="1370" w:val="left" w:leader="none"/>
        </w:tabs>
        <w:spacing w:line="266" w:lineRule="exact" w:before="0" w:after="0"/>
        <w:ind w:left="1369" w:right="0" w:hanging="530"/>
        <w:jc w:val="left"/>
        <w:rPr>
          <w:sz w:val="21"/>
        </w:rPr>
      </w:pPr>
      <w:r>
        <w:rPr>
          <w:spacing w:val="-3"/>
          <w:sz w:val="21"/>
        </w:rPr>
        <w:t>最大吸深时消防泵的性能、引水时间试验</w:t>
      </w:r>
      <w:r>
        <w:rPr>
          <w:sz w:val="21"/>
        </w:rPr>
        <w:t> </w:t>
      </w:r>
    </w:p>
    <w:p>
      <w:pPr>
        <w:pStyle w:val="BodyText"/>
        <w:spacing w:before="2"/>
        <w:rPr>
          <w:sz w:val="18"/>
        </w:rPr>
      </w:pPr>
    </w:p>
    <w:p>
      <w:pPr>
        <w:pStyle w:val="ListParagraph"/>
        <w:numPr>
          <w:ilvl w:val="3"/>
          <w:numId w:val="199"/>
        </w:numPr>
        <w:tabs>
          <w:tab w:pos="1576" w:val="left" w:leader="none"/>
        </w:tabs>
        <w:spacing w:line="446" w:lineRule="auto" w:before="0" w:after="0"/>
        <w:ind w:left="418" w:right="1505" w:firstLine="419"/>
        <w:jc w:val="left"/>
        <w:rPr>
          <w:sz w:val="21"/>
        </w:rPr>
      </w:pPr>
      <w:r>
        <w:rPr>
          <w:spacing w:val="-3"/>
          <w:sz w:val="21"/>
        </w:rPr>
        <w:t>消防车停在平整、坚硬的地面上，将配备的吸水管， 一端接消防泵的进水口，另</w:t>
      </w:r>
      <w:r>
        <w:rPr>
          <w:spacing w:val="-5"/>
          <w:sz w:val="21"/>
        </w:rPr>
        <w:t>一端接滤水器，投入水池或其他水源中，当大气压力为 </w:t>
      </w:r>
      <w:r>
        <w:rPr>
          <w:sz w:val="21"/>
        </w:rPr>
        <w:t>101kPa</w:t>
      </w:r>
      <w:r>
        <w:rPr>
          <w:spacing w:val="-10"/>
          <w:sz w:val="21"/>
        </w:rPr>
        <w:t>，水温 </w:t>
      </w:r>
      <w:r>
        <w:rPr>
          <w:sz w:val="21"/>
        </w:rPr>
        <w:t>20</w:t>
      </w:r>
      <w:r>
        <w:rPr>
          <w:spacing w:val="-3"/>
          <w:sz w:val="21"/>
        </w:rPr>
        <w:t>℃吋消防泵回轮中心距</w:t>
      </w:r>
      <w:r>
        <w:rPr>
          <w:spacing w:val="-19"/>
          <w:sz w:val="21"/>
        </w:rPr>
        <w:t>水面 </w:t>
      </w:r>
      <w:r>
        <w:rPr>
          <w:sz w:val="21"/>
        </w:rPr>
        <w:t>7m</w:t>
      </w:r>
      <w:r>
        <w:rPr>
          <w:spacing w:val="-26"/>
          <w:sz w:val="21"/>
        </w:rPr>
        <w:t> 高</w:t>
      </w:r>
      <w:r>
        <w:rPr>
          <w:sz w:val="21"/>
        </w:rPr>
        <w:t>（</w:t>
      </w:r>
      <w:r>
        <w:rPr>
          <w:spacing w:val="-10"/>
          <w:sz w:val="21"/>
        </w:rPr>
        <w:t>滤水器离水面 </w:t>
      </w:r>
      <w:r>
        <w:rPr>
          <w:sz w:val="21"/>
        </w:rPr>
        <w:t>200mm</w:t>
      </w:r>
      <w:r>
        <w:rPr>
          <w:spacing w:val="-8"/>
          <w:sz w:val="21"/>
        </w:rPr>
        <w:t>，并离开水源底部 </w:t>
      </w:r>
      <w:r>
        <w:rPr>
          <w:sz w:val="21"/>
        </w:rPr>
        <w:t>200mm）</w:t>
      </w:r>
      <w:r>
        <w:rPr>
          <w:spacing w:val="-3"/>
          <w:sz w:val="21"/>
        </w:rPr>
        <w:t>。启动引水装置，测定自引水装置</w:t>
      </w:r>
      <w:r>
        <w:rPr>
          <w:spacing w:val="-5"/>
          <w:sz w:val="21"/>
        </w:rPr>
        <w:t>开始工作，到消防泵出口压力表显示压力的时间，其结果应符合 </w:t>
      </w:r>
      <w:r>
        <w:rPr>
          <w:sz w:val="21"/>
        </w:rPr>
        <w:t>4.4.6.1</w:t>
      </w:r>
      <w:r>
        <w:rPr>
          <w:spacing w:val="-12"/>
          <w:sz w:val="21"/>
        </w:rPr>
        <w:t> 的要求。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t>试验后，立即将引上的水放净：再重复进行两次引水时间试验。当试验条件不是标准环境条件时， 应按 GB 6245—2005 中 10.4.1 的较定进行修正，判断三次试验结果是否均符合</w:t>
      </w:r>
    </w:p>
    <w:p>
      <w:pPr>
        <w:pStyle w:val="BodyText"/>
        <w:spacing w:line="267" w:lineRule="exact"/>
        <w:ind w:left="418"/>
      </w:pPr>
      <w:r>
        <w:rPr/>
        <w:t>4.4.6.1 的要求。 </w:t>
      </w:r>
    </w:p>
    <w:p>
      <w:pPr>
        <w:pStyle w:val="BodyText"/>
        <w:spacing w:before="2"/>
        <w:rPr>
          <w:sz w:val="18"/>
        </w:rPr>
      </w:pPr>
    </w:p>
    <w:p>
      <w:pPr>
        <w:pStyle w:val="BodyText"/>
        <w:ind w:left="838"/>
      </w:pPr>
      <w:r>
        <w:rPr/>
        <w:t>5.4.6.2 按照 5.1.6.1 的试验方法测定单个吸水口最大吸深时泵的性能，判断试验结果是</w:t>
      </w:r>
    </w:p>
    <w:p>
      <w:pPr>
        <w:pStyle w:val="BodyText"/>
        <w:rPr>
          <w:sz w:val="18"/>
        </w:rPr>
      </w:pPr>
    </w:p>
    <w:p>
      <w:pPr>
        <w:spacing w:line="446" w:lineRule="auto" w:before="0"/>
        <w:ind w:left="840" w:right="7804" w:hanging="423"/>
        <w:jc w:val="left"/>
        <w:rPr>
          <w:sz w:val="21"/>
        </w:rPr>
      </w:pPr>
      <w:r>
        <w:rPr>
          <w:sz w:val="21"/>
        </w:rPr>
        <w:t>否符合 4.4.6.2 的要求。</w:t>
      </w:r>
      <w:r>
        <w:rPr>
          <w:b/>
          <w:sz w:val="21"/>
        </w:rPr>
        <w:t>5.4.7 </w:t>
      </w:r>
      <w:r>
        <w:rPr>
          <w:sz w:val="21"/>
        </w:rPr>
        <w:t>连续运转试验 </w:t>
      </w:r>
    </w:p>
    <w:p>
      <w:pPr>
        <w:pStyle w:val="ListParagraph"/>
        <w:numPr>
          <w:ilvl w:val="3"/>
          <w:numId w:val="202"/>
        </w:numPr>
        <w:tabs>
          <w:tab w:pos="1576" w:val="left" w:leader="none"/>
        </w:tabs>
        <w:spacing w:line="240" w:lineRule="auto" w:before="0" w:after="0"/>
        <w:ind w:left="1575" w:right="0" w:hanging="738"/>
        <w:jc w:val="left"/>
        <w:rPr>
          <w:sz w:val="21"/>
        </w:rPr>
      </w:pPr>
      <w:r>
        <w:rPr>
          <w:spacing w:val="-3"/>
          <w:sz w:val="21"/>
        </w:rPr>
        <w:t>水罐车和供水车进行连读运转试验时的工况分配如下：</w:t>
      </w:r>
      <w:r>
        <w:rPr>
          <w:sz w:val="21"/>
        </w:rPr>
        <w:t> </w:t>
      </w:r>
    </w:p>
    <w:p>
      <w:pPr>
        <w:pStyle w:val="BodyText"/>
        <w:rPr>
          <w:sz w:val="18"/>
        </w:rPr>
      </w:pPr>
    </w:p>
    <w:p>
      <w:pPr>
        <w:pStyle w:val="BodyText"/>
        <w:spacing w:line="446" w:lineRule="auto"/>
        <w:ind w:left="418" w:right="1613" w:firstLine="419"/>
      </w:pPr>
      <w:r>
        <w:rPr>
          <w:spacing w:val="-5"/>
        </w:rPr>
        <w:t>——装有低压泵的水罐车，应在额定工况下连续工作 </w:t>
      </w:r>
      <w:r>
        <w:rPr/>
        <w:t>3h</w:t>
      </w:r>
      <w:r>
        <w:rPr>
          <w:spacing w:val="-6"/>
        </w:rPr>
        <w:t>，继续在流量为额定值的 </w:t>
      </w:r>
      <w:r>
        <w:rPr/>
        <w:t>70</w:t>
      </w:r>
      <w:r>
        <w:rPr>
          <w:spacing w:val="-3"/>
        </w:rPr>
        <w:t>%、出</w:t>
      </w:r>
      <w:r>
        <w:rPr>
          <w:spacing w:val="-8"/>
        </w:rPr>
        <w:t>口压力不小于额定值 </w:t>
      </w:r>
      <w:r>
        <w:rPr/>
        <w:t>130</w:t>
      </w:r>
      <w:r>
        <w:rPr>
          <w:spacing w:val="-8"/>
        </w:rPr>
        <w:t>%的条件下连续工作 </w:t>
      </w:r>
      <w:r>
        <w:rPr/>
        <w:t>3h； </w:t>
      </w:r>
    </w:p>
    <w:p>
      <w:pPr>
        <w:pStyle w:val="BodyText"/>
        <w:spacing w:line="446" w:lineRule="auto"/>
        <w:ind w:left="418" w:right="1558" w:firstLine="419"/>
      </w:pPr>
      <w:r>
        <w:rPr>
          <w:spacing w:val="-4"/>
        </w:rPr>
        <w:t>——装有中低压泵的水罐车，应在低压额定工况下连续运转 </w:t>
      </w:r>
      <w:r>
        <w:rPr/>
        <w:t>3h</w:t>
      </w:r>
      <w:r>
        <w:rPr>
          <w:spacing w:val="-3"/>
        </w:rPr>
        <w:t>，继续在中压额定的工况下连续运转 </w:t>
      </w:r>
      <w:r>
        <w:rPr/>
        <w:t>3h； </w:t>
      </w:r>
    </w:p>
    <w:p>
      <w:pPr>
        <w:pStyle w:val="BodyText"/>
        <w:spacing w:line="446" w:lineRule="auto"/>
        <w:ind w:left="418" w:right="1558" w:firstLine="419"/>
      </w:pPr>
      <w:r>
        <w:rPr>
          <w:spacing w:val="-4"/>
        </w:rPr>
        <w:t>——装有高低压泵的水罐车，应在低压额定工况下连续运转 </w:t>
      </w:r>
      <w:r>
        <w:rPr/>
        <w:t>3h</w:t>
      </w:r>
      <w:r>
        <w:rPr>
          <w:spacing w:val="-3"/>
        </w:rPr>
        <w:t>，继续在高压额定的工况下连续运转 </w:t>
      </w:r>
      <w:r>
        <w:rPr/>
        <w:t>3h； </w:t>
      </w:r>
    </w:p>
    <w:p>
      <w:pPr>
        <w:pStyle w:val="BodyText"/>
        <w:ind w:left="838"/>
      </w:pPr>
      <w:r>
        <w:rPr/>
        <w:t>——装有中压泵或高压泵的水罐车，应在其额定工况下连续工作 6h； </w:t>
      </w:r>
    </w:p>
    <w:p>
      <w:pPr>
        <w:pStyle w:val="BodyText"/>
        <w:spacing w:before="10"/>
        <w:rPr>
          <w:sz w:val="17"/>
        </w:rPr>
      </w:pPr>
    </w:p>
    <w:p>
      <w:pPr>
        <w:pStyle w:val="BodyText"/>
        <w:ind w:left="838"/>
      </w:pPr>
      <w:r>
        <w:rPr/>
        <w:t>——供水车应在其额定工况下连续工作 6h； </w:t>
      </w:r>
    </w:p>
    <w:p>
      <w:pPr>
        <w:pStyle w:val="BodyText"/>
        <w:spacing w:before="1"/>
        <w:rPr>
          <w:sz w:val="18"/>
        </w:rPr>
      </w:pPr>
    </w:p>
    <w:p>
      <w:pPr>
        <w:pStyle w:val="ListParagraph"/>
        <w:numPr>
          <w:ilvl w:val="3"/>
          <w:numId w:val="202"/>
        </w:numPr>
        <w:tabs>
          <w:tab w:pos="1576" w:val="left" w:leader="none"/>
        </w:tabs>
        <w:spacing w:line="446" w:lineRule="auto" w:before="1" w:after="0"/>
        <w:ind w:left="418" w:right="1505" w:firstLine="419"/>
        <w:jc w:val="left"/>
        <w:rPr>
          <w:sz w:val="21"/>
        </w:rPr>
      </w:pPr>
      <w:r>
        <w:rPr>
          <w:spacing w:val="-6"/>
          <w:sz w:val="21"/>
        </w:rPr>
        <w:t>消防车停在平整、坚硬的地面上，在 </w:t>
      </w:r>
      <w:r>
        <w:rPr>
          <w:sz w:val="21"/>
        </w:rPr>
        <w:t>3m</w:t>
      </w:r>
      <w:r>
        <w:rPr>
          <w:spacing w:val="-8"/>
          <w:sz w:val="21"/>
        </w:rPr>
        <w:t> 吸深下，将连接好滤水器的吸水管接在消</w:t>
      </w:r>
      <w:r>
        <w:rPr>
          <w:spacing w:val="-7"/>
          <w:sz w:val="21"/>
        </w:rPr>
        <w:t>防泵进口并放入水中，启动发动机并接合消防泵，水罐车和供水车分别按 </w:t>
      </w:r>
      <w:r>
        <w:rPr>
          <w:sz w:val="21"/>
        </w:rPr>
        <w:t>5.4.7.1</w:t>
      </w:r>
      <w:r>
        <w:rPr>
          <w:spacing w:val="-10"/>
          <w:sz w:val="21"/>
        </w:rPr>
        <w:t> 规定的工况</w:t>
      </w:r>
      <w:r>
        <w:rPr>
          <w:spacing w:val="-7"/>
          <w:sz w:val="21"/>
        </w:rPr>
        <w:t>和时间运转。当试验条件不是标准环境条件时，应按 </w:t>
      </w:r>
      <w:r>
        <w:rPr>
          <w:sz w:val="21"/>
        </w:rPr>
        <w:t>GB</w:t>
      </w:r>
      <w:r>
        <w:rPr>
          <w:spacing w:val="12"/>
          <w:sz w:val="21"/>
        </w:rPr>
        <w:t> </w:t>
      </w:r>
      <w:r>
        <w:rPr>
          <w:sz w:val="21"/>
        </w:rPr>
        <w:t>6245—2006</w:t>
      </w:r>
      <w:r>
        <w:rPr>
          <w:spacing w:val="-30"/>
          <w:sz w:val="21"/>
        </w:rPr>
        <w:t> 中 </w:t>
      </w:r>
      <w:r>
        <w:rPr>
          <w:sz w:val="21"/>
        </w:rPr>
        <w:t>10.4.1</w:t>
      </w:r>
      <w:r>
        <w:rPr>
          <w:spacing w:val="-8"/>
          <w:sz w:val="21"/>
        </w:rPr>
        <w:t> 的规定进行修 </w:t>
      </w:r>
      <w:r>
        <w:rPr>
          <w:spacing w:val="-6"/>
          <w:sz w:val="21"/>
        </w:rPr>
        <w:t>正。</w:t>
      </w:r>
      <w:r>
        <w:rPr>
          <w:sz w:val="21"/>
        </w:rPr>
        <w:t> </w:t>
      </w:r>
    </w:p>
    <w:p>
      <w:pPr>
        <w:pStyle w:val="ListParagraph"/>
        <w:numPr>
          <w:ilvl w:val="3"/>
          <w:numId w:val="202"/>
        </w:numPr>
        <w:tabs>
          <w:tab w:pos="1576" w:val="left" w:leader="none"/>
        </w:tabs>
        <w:spacing w:line="446" w:lineRule="auto" w:before="0" w:after="0"/>
        <w:ind w:left="418" w:right="1608" w:firstLine="419"/>
        <w:jc w:val="both"/>
        <w:rPr>
          <w:sz w:val="21"/>
        </w:rPr>
      </w:pPr>
      <w:r>
        <w:rPr>
          <w:spacing w:val="-6"/>
          <w:sz w:val="21"/>
        </w:rPr>
        <w:t>待消防车运转稳定后开始计时，每隔 </w:t>
      </w:r>
      <w:r>
        <w:rPr>
          <w:sz w:val="21"/>
        </w:rPr>
        <w:t>15min</w:t>
      </w:r>
      <w:r>
        <w:rPr>
          <w:spacing w:val="-8"/>
          <w:sz w:val="21"/>
        </w:rPr>
        <w:t> 测量一次下述规定的各参数并检查发</w:t>
      </w:r>
      <w:r>
        <w:rPr>
          <w:spacing w:val="-5"/>
          <w:sz w:val="21"/>
        </w:rPr>
        <w:t>动机、取力器有无异响、过度振动、漏水，漏油、漏气等异常现象，做好记录。试验过程不应</w:t>
      </w:r>
      <w:r>
        <w:rPr>
          <w:spacing w:val="-4"/>
          <w:sz w:val="21"/>
        </w:rPr>
        <w:t>间断，并保持泵的出口压力和流量不低于规定值。试验中可随时调节辅助冷却器。</w:t>
      </w:r>
      <w:r>
        <w:rPr>
          <w:sz w:val="21"/>
        </w:rPr>
        <w:t> </w:t>
      </w:r>
    </w:p>
    <w:p>
      <w:pPr>
        <w:pStyle w:val="BodyText"/>
        <w:spacing w:line="268" w:lineRule="exact"/>
        <w:ind w:left="838"/>
      </w:pPr>
      <w:r>
        <w:rPr>
          <w:spacing w:val="-3"/>
        </w:rPr>
        <w:t>——消防泵进口压力；</w:t>
      </w:r>
      <w:r>
        <w:rPr/>
        <w:t> </w:t>
      </w:r>
    </w:p>
    <w:p>
      <w:pPr>
        <w:pStyle w:val="BodyText"/>
        <w:spacing w:before="10"/>
        <w:rPr>
          <w:sz w:val="17"/>
        </w:rPr>
      </w:pPr>
    </w:p>
    <w:p>
      <w:pPr>
        <w:pStyle w:val="BodyText"/>
        <w:ind w:left="838"/>
      </w:pPr>
      <w:r>
        <w:rPr>
          <w:spacing w:val="-3"/>
        </w:rPr>
        <w:t>——消防泵出口压力；</w:t>
      </w:r>
      <w:r>
        <w:rPr/>
        <w:t> </w:t>
      </w:r>
    </w:p>
    <w:p>
      <w:pPr>
        <w:pStyle w:val="BodyText"/>
        <w:spacing w:before="2"/>
        <w:rPr>
          <w:sz w:val="18"/>
        </w:rPr>
      </w:pPr>
    </w:p>
    <w:p>
      <w:pPr>
        <w:pStyle w:val="BodyText"/>
        <w:ind w:left="838"/>
      </w:pPr>
      <w:r>
        <w:rPr>
          <w:spacing w:val="-3"/>
        </w:rPr>
        <w:t>——消防泵流量；</w:t>
      </w:r>
      <w:r>
        <w:rPr/>
        <w:t> </w:t>
      </w:r>
    </w:p>
    <w:p>
      <w:pPr>
        <w:pStyle w:val="BodyText"/>
        <w:rPr>
          <w:sz w:val="18"/>
        </w:rPr>
      </w:pPr>
    </w:p>
    <w:p>
      <w:pPr>
        <w:pStyle w:val="BodyText"/>
        <w:ind w:left="838"/>
      </w:pPr>
      <w:r>
        <w:rPr>
          <w:spacing w:val="-3"/>
        </w:rPr>
        <w:t>——消防泵转速；</w:t>
      </w:r>
      <w:r>
        <w:rPr/>
        <w:t> </w:t>
      </w:r>
    </w:p>
    <w:p>
      <w:pPr>
        <w:pStyle w:val="BodyText"/>
        <w:spacing w:before="12"/>
        <w:rPr>
          <w:sz w:val="17"/>
        </w:rPr>
      </w:pPr>
    </w:p>
    <w:p>
      <w:pPr>
        <w:pStyle w:val="BodyText"/>
        <w:ind w:left="838"/>
      </w:pPr>
      <w:r>
        <w:rPr>
          <w:spacing w:val="-3"/>
        </w:rPr>
        <w:t>——发动机水温；</w:t>
      </w:r>
      <w:r>
        <w:rPr/>
        <w:t> </w:t>
      </w:r>
    </w:p>
    <w:p>
      <w:pPr>
        <w:pStyle w:val="BodyText"/>
        <w:spacing w:before="2"/>
        <w:rPr>
          <w:sz w:val="18"/>
        </w:rPr>
      </w:pPr>
    </w:p>
    <w:p>
      <w:pPr>
        <w:pStyle w:val="BodyText"/>
        <w:ind w:left="838"/>
      </w:pPr>
      <w:r>
        <w:rPr/>
        <w:t>——取力器润滑油温度； </w:t>
      </w:r>
    </w:p>
    <w:p>
      <w:pPr>
        <w:spacing w:after="0"/>
        <w:sectPr>
          <w:pgSz w:w="11910" w:h="16850"/>
          <w:pgMar w:header="0" w:footer="1239" w:top="1220" w:bottom="1420" w:left="1260" w:right="0"/>
        </w:sectPr>
      </w:pPr>
    </w:p>
    <w:p>
      <w:pPr>
        <w:pStyle w:val="BodyText"/>
        <w:spacing w:before="47"/>
        <w:ind w:left="838"/>
      </w:pPr>
      <w:r>
        <w:rPr/>
        <w:t>——取力器轴承座温度。 </w:t>
      </w:r>
    </w:p>
    <w:p>
      <w:pPr>
        <w:pStyle w:val="BodyText"/>
        <w:rPr>
          <w:sz w:val="18"/>
        </w:rPr>
      </w:pPr>
    </w:p>
    <w:p>
      <w:pPr>
        <w:pStyle w:val="BodyText"/>
        <w:spacing w:line="446" w:lineRule="auto"/>
        <w:ind w:left="840" w:right="6131" w:hanging="3"/>
      </w:pPr>
      <w:r>
        <w:rPr/>
        <w:t>判断试验结杲是否符合 4.4.7 的要求。</w:t>
      </w:r>
      <w:r>
        <w:rPr>
          <w:b/>
        </w:rPr>
        <w:t>5.4.8 </w:t>
      </w:r>
      <w:r>
        <w:rPr/>
        <w:t>水罐车超负荷运转试验 </w:t>
      </w:r>
    </w:p>
    <w:p>
      <w:pPr>
        <w:pStyle w:val="BodyText"/>
        <w:ind w:left="838"/>
      </w:pPr>
      <w:r>
        <w:rPr/>
        <w:t>调节水罐车消防泵出口压力为规定值的 1.1 倍，流量为额定值，待运转稳定后开始计时，</w:t>
      </w:r>
    </w:p>
    <w:p>
      <w:pPr>
        <w:pStyle w:val="BodyText"/>
        <w:spacing w:before="12"/>
        <w:rPr>
          <w:sz w:val="17"/>
        </w:rPr>
      </w:pPr>
    </w:p>
    <w:p>
      <w:pPr>
        <w:pStyle w:val="BodyText"/>
        <w:ind w:left="418"/>
      </w:pPr>
      <w:r>
        <w:rPr/>
        <w:t>10min 后停止运转，判断试验结果是否符合 4.4.8 的要求。 </w:t>
      </w:r>
    </w:p>
    <w:p>
      <w:pPr>
        <w:pStyle w:val="BodyText"/>
        <w:rPr>
          <w:sz w:val="18"/>
        </w:rPr>
      </w:pPr>
    </w:p>
    <w:p>
      <w:pPr>
        <w:pStyle w:val="ListParagraph"/>
        <w:numPr>
          <w:ilvl w:val="1"/>
          <w:numId w:val="198"/>
        </w:numPr>
        <w:tabs>
          <w:tab w:pos="1160" w:val="left" w:leader="none"/>
        </w:tabs>
        <w:spacing w:line="240" w:lineRule="auto" w:before="0" w:after="0"/>
        <w:ind w:left="1159" w:right="0" w:hanging="320"/>
        <w:jc w:val="left"/>
        <w:rPr>
          <w:b/>
          <w:sz w:val="21"/>
        </w:rPr>
      </w:pPr>
      <w:r>
        <w:rPr>
          <w:spacing w:val="-3"/>
          <w:sz w:val="21"/>
        </w:rPr>
        <w:t>仪器、仪表的要求检查</w:t>
      </w:r>
      <w:r>
        <w:rPr>
          <w:b/>
          <w:spacing w:val="-3"/>
          <w:w w:val="99"/>
          <w:sz w:val="21"/>
        </w:rPr>
        <w:t> </w:t>
      </w:r>
    </w:p>
    <w:p>
      <w:pPr>
        <w:pStyle w:val="BodyText"/>
        <w:spacing w:before="2"/>
        <w:rPr>
          <w:b/>
          <w:sz w:val="18"/>
        </w:rPr>
      </w:pPr>
    </w:p>
    <w:p>
      <w:pPr>
        <w:pStyle w:val="ListParagraph"/>
        <w:numPr>
          <w:ilvl w:val="2"/>
          <w:numId w:val="198"/>
        </w:numPr>
        <w:tabs>
          <w:tab w:pos="1371" w:val="left" w:leader="none"/>
        </w:tabs>
        <w:spacing w:line="446" w:lineRule="auto" w:before="0" w:after="0"/>
        <w:ind w:left="418" w:right="1500" w:firstLine="422"/>
        <w:jc w:val="left"/>
        <w:rPr>
          <w:sz w:val="21"/>
        </w:rPr>
      </w:pPr>
      <w:r>
        <w:rPr>
          <w:spacing w:val="-19"/>
          <w:sz w:val="21"/>
        </w:rPr>
        <w:t>按照 </w:t>
      </w:r>
      <w:r>
        <w:rPr>
          <w:sz w:val="21"/>
        </w:rPr>
        <w:t>GB</w:t>
      </w:r>
      <w:r>
        <w:rPr>
          <w:spacing w:val="7"/>
          <w:sz w:val="21"/>
        </w:rPr>
        <w:t> </w:t>
      </w:r>
      <w:r>
        <w:rPr>
          <w:sz w:val="21"/>
        </w:rPr>
        <w:t>7956-2014</w:t>
      </w:r>
      <w:r>
        <w:rPr>
          <w:spacing w:val="-35"/>
          <w:sz w:val="21"/>
        </w:rPr>
        <w:t> 中 </w:t>
      </w:r>
      <w:r>
        <w:rPr>
          <w:sz w:val="21"/>
        </w:rPr>
        <w:t>6.6</w:t>
      </w:r>
      <w:r>
        <w:rPr>
          <w:spacing w:val="-11"/>
          <w:sz w:val="21"/>
        </w:rPr>
        <w:t> 规定的方法进行试验，判断试验结果是否符合 </w:t>
      </w:r>
      <w:r>
        <w:rPr>
          <w:sz w:val="21"/>
        </w:rPr>
        <w:t>4.5.1</w:t>
      </w:r>
      <w:r>
        <w:rPr>
          <w:spacing w:val="-19"/>
          <w:sz w:val="21"/>
        </w:rPr>
        <w:t> 的要</w:t>
      </w:r>
      <w:r>
        <w:rPr>
          <w:spacing w:val="-2"/>
          <w:sz w:val="21"/>
        </w:rPr>
        <w:t>求。</w:t>
      </w:r>
      <w:r>
        <w:rPr>
          <w:sz w:val="21"/>
        </w:rPr>
        <w:t> </w:t>
      </w:r>
    </w:p>
    <w:p>
      <w:pPr>
        <w:pStyle w:val="ListParagraph"/>
        <w:numPr>
          <w:ilvl w:val="2"/>
          <w:numId w:val="198"/>
        </w:numPr>
        <w:tabs>
          <w:tab w:pos="1370" w:val="left" w:leader="none"/>
        </w:tabs>
        <w:spacing w:line="267" w:lineRule="exact" w:before="0" w:after="0"/>
        <w:ind w:left="1369" w:right="0" w:hanging="530"/>
        <w:jc w:val="left"/>
        <w:rPr>
          <w:sz w:val="21"/>
        </w:rPr>
      </w:pPr>
      <w:r>
        <w:rPr>
          <w:spacing w:val="-6"/>
          <w:sz w:val="21"/>
        </w:rPr>
        <w:t>检查显示负压的仪表，判断试验结果是否符合 </w:t>
      </w:r>
      <w:r>
        <w:rPr>
          <w:sz w:val="21"/>
        </w:rPr>
        <w:t>4.5.2</w:t>
      </w:r>
      <w:r>
        <w:rPr>
          <w:spacing w:val="-13"/>
          <w:sz w:val="21"/>
        </w:rPr>
        <w:t> 的要求。</w:t>
      </w:r>
      <w:r>
        <w:rPr>
          <w:sz w:val="21"/>
        </w:rPr>
        <w:t> </w:t>
      </w:r>
    </w:p>
    <w:p>
      <w:pPr>
        <w:pStyle w:val="BodyText"/>
        <w:spacing w:before="2"/>
        <w:rPr>
          <w:sz w:val="18"/>
        </w:rPr>
      </w:pPr>
    </w:p>
    <w:p>
      <w:pPr>
        <w:pStyle w:val="ListParagraph"/>
        <w:numPr>
          <w:ilvl w:val="1"/>
          <w:numId w:val="198"/>
        </w:numPr>
        <w:tabs>
          <w:tab w:pos="1159" w:val="left" w:leader="none"/>
        </w:tabs>
        <w:spacing w:line="240" w:lineRule="auto" w:before="0" w:after="0"/>
        <w:ind w:left="1158" w:right="0" w:hanging="319"/>
        <w:jc w:val="left"/>
        <w:rPr>
          <w:sz w:val="21"/>
        </w:rPr>
      </w:pPr>
      <w:r>
        <w:rPr>
          <w:spacing w:val="-3"/>
          <w:sz w:val="21"/>
        </w:rPr>
        <w:t>器材摆放、固定和配备检査</w:t>
      </w:r>
      <w:r>
        <w:rPr>
          <w:sz w:val="21"/>
        </w:rPr>
        <w:t> </w:t>
      </w:r>
    </w:p>
    <w:p>
      <w:pPr>
        <w:pStyle w:val="BodyText"/>
        <w:spacing w:before="12"/>
        <w:rPr>
          <w:sz w:val="17"/>
        </w:rPr>
      </w:pPr>
    </w:p>
    <w:p>
      <w:pPr>
        <w:pStyle w:val="ListParagraph"/>
        <w:numPr>
          <w:ilvl w:val="2"/>
          <w:numId w:val="198"/>
        </w:numPr>
        <w:tabs>
          <w:tab w:pos="1371" w:val="left" w:leader="none"/>
        </w:tabs>
        <w:spacing w:line="240" w:lineRule="auto" w:before="0" w:after="0"/>
        <w:ind w:left="1370" w:right="0" w:hanging="531"/>
        <w:jc w:val="left"/>
        <w:rPr>
          <w:sz w:val="21"/>
        </w:rPr>
      </w:pPr>
      <w:r>
        <w:rPr>
          <w:spacing w:val="-19"/>
          <w:sz w:val="21"/>
        </w:rPr>
        <w:t>按照 </w:t>
      </w:r>
      <w:r>
        <w:rPr>
          <w:sz w:val="21"/>
        </w:rPr>
        <w:t>GB</w:t>
      </w:r>
      <w:r>
        <w:rPr>
          <w:spacing w:val="2"/>
          <w:sz w:val="21"/>
        </w:rPr>
        <w:t> </w:t>
      </w:r>
      <w:r>
        <w:rPr>
          <w:sz w:val="21"/>
        </w:rPr>
        <w:t>7956.1-2014</w:t>
      </w:r>
      <w:r>
        <w:rPr>
          <w:spacing w:val="-36"/>
          <w:sz w:val="21"/>
        </w:rPr>
        <w:t> 中 </w:t>
      </w:r>
      <w:r>
        <w:rPr>
          <w:sz w:val="21"/>
        </w:rPr>
        <w:t>6.10、6.11</w:t>
      </w:r>
      <w:r>
        <w:rPr>
          <w:spacing w:val="-8"/>
          <w:sz w:val="21"/>
        </w:rPr>
        <w:t> 规定的方法进行试验，判断试验结果是否符含</w:t>
      </w:r>
    </w:p>
    <w:p>
      <w:pPr>
        <w:pStyle w:val="BodyText"/>
        <w:spacing w:before="12"/>
        <w:rPr>
          <w:sz w:val="17"/>
        </w:rPr>
      </w:pPr>
    </w:p>
    <w:p>
      <w:pPr>
        <w:pStyle w:val="BodyText"/>
        <w:ind w:left="418"/>
      </w:pPr>
      <w:r>
        <w:rPr/>
        <w:t>4.6.1 的要求。 </w:t>
      </w:r>
    </w:p>
    <w:p>
      <w:pPr>
        <w:pStyle w:val="BodyText"/>
        <w:spacing w:before="2"/>
        <w:rPr>
          <w:sz w:val="18"/>
        </w:rPr>
      </w:pPr>
    </w:p>
    <w:p>
      <w:pPr>
        <w:pStyle w:val="BodyText"/>
        <w:ind w:left="840"/>
      </w:pPr>
      <w:r>
        <w:rPr>
          <w:b/>
        </w:rPr>
        <w:t>5.6.2 </w:t>
      </w:r>
      <w:r>
        <w:rPr/>
        <w:t>目测检查随车器材的种类、数量，判断试验结果是否符合 4.6.2 的要求。 </w:t>
      </w:r>
    </w:p>
    <w:p>
      <w:pPr>
        <w:pStyle w:val="BodyText"/>
        <w:rPr>
          <w:sz w:val="18"/>
        </w:rPr>
      </w:pPr>
    </w:p>
    <w:p>
      <w:pPr>
        <w:pStyle w:val="ListParagraph"/>
        <w:numPr>
          <w:ilvl w:val="1"/>
          <w:numId w:val="198"/>
        </w:numPr>
        <w:tabs>
          <w:tab w:pos="1159" w:val="left" w:leader="none"/>
        </w:tabs>
        <w:spacing w:line="240" w:lineRule="auto" w:before="0" w:after="0"/>
        <w:ind w:left="1158" w:right="0" w:hanging="319"/>
        <w:jc w:val="left"/>
        <w:rPr>
          <w:sz w:val="21"/>
        </w:rPr>
      </w:pPr>
      <w:r>
        <w:rPr>
          <w:spacing w:val="-3"/>
          <w:sz w:val="21"/>
        </w:rPr>
        <w:t>警报灯具试验</w:t>
      </w:r>
      <w:r>
        <w:rPr>
          <w:sz w:val="21"/>
        </w:rPr>
        <w:t> </w:t>
      </w:r>
    </w:p>
    <w:p>
      <w:pPr>
        <w:pStyle w:val="BodyText"/>
        <w:rPr>
          <w:sz w:val="18"/>
        </w:rPr>
      </w:pPr>
    </w:p>
    <w:p>
      <w:pPr>
        <w:pStyle w:val="BodyText"/>
        <w:ind w:left="838"/>
      </w:pPr>
      <w:r>
        <w:rPr/>
        <w:t>按照 GB 7956.1—2014 中 6.7.28~6.7.31 规定的方法进行试验，判断试验结果是否符合 4.7</w:t>
      </w:r>
    </w:p>
    <w:p>
      <w:pPr>
        <w:pStyle w:val="BodyText"/>
        <w:spacing w:before="1"/>
        <w:rPr>
          <w:sz w:val="18"/>
        </w:rPr>
      </w:pPr>
    </w:p>
    <w:p>
      <w:pPr>
        <w:pStyle w:val="BodyText"/>
        <w:spacing w:before="1"/>
        <w:ind w:left="418"/>
      </w:pPr>
      <w:r>
        <w:rPr/>
        <w:t>的要求。 </w:t>
      </w:r>
    </w:p>
    <w:p>
      <w:pPr>
        <w:pStyle w:val="BodyText"/>
        <w:spacing w:before="12"/>
        <w:rPr>
          <w:sz w:val="17"/>
        </w:rPr>
      </w:pPr>
    </w:p>
    <w:p>
      <w:pPr>
        <w:pStyle w:val="ListParagraph"/>
        <w:numPr>
          <w:ilvl w:val="1"/>
          <w:numId w:val="198"/>
        </w:numPr>
        <w:tabs>
          <w:tab w:pos="1159" w:val="left" w:leader="none"/>
        </w:tabs>
        <w:spacing w:line="240" w:lineRule="auto" w:before="0" w:after="0"/>
        <w:ind w:left="1158" w:right="0" w:hanging="319"/>
        <w:jc w:val="left"/>
        <w:rPr>
          <w:sz w:val="21"/>
        </w:rPr>
      </w:pPr>
      <w:r>
        <w:rPr>
          <w:spacing w:val="-3"/>
          <w:sz w:val="21"/>
        </w:rPr>
        <w:t>随车文件、工具及易损件检查</w:t>
      </w:r>
      <w:r>
        <w:rPr>
          <w:sz w:val="21"/>
        </w:rPr>
        <w:t> </w:t>
      </w:r>
    </w:p>
    <w:p>
      <w:pPr>
        <w:pStyle w:val="BodyText"/>
        <w:spacing w:before="12"/>
        <w:rPr>
          <w:sz w:val="17"/>
        </w:rPr>
      </w:pPr>
    </w:p>
    <w:p>
      <w:pPr>
        <w:pStyle w:val="ListParagraph"/>
        <w:numPr>
          <w:ilvl w:val="2"/>
          <w:numId w:val="198"/>
        </w:numPr>
        <w:tabs>
          <w:tab w:pos="1371" w:val="left" w:leader="none"/>
        </w:tabs>
        <w:spacing w:line="240" w:lineRule="auto" w:before="0" w:after="0"/>
        <w:ind w:left="1370" w:right="0" w:hanging="531"/>
        <w:jc w:val="left"/>
        <w:rPr>
          <w:sz w:val="21"/>
        </w:rPr>
      </w:pPr>
      <w:r>
        <w:rPr>
          <w:spacing w:val="-5"/>
          <w:sz w:val="21"/>
        </w:rPr>
        <w:t>查阅随车交付的相关文件，文件内容是否清晰完整，判断试验结果是否符合 </w:t>
      </w:r>
      <w:r>
        <w:rPr>
          <w:sz w:val="21"/>
        </w:rPr>
        <w:t>4.8.1</w:t>
      </w:r>
    </w:p>
    <w:p>
      <w:pPr>
        <w:pStyle w:val="BodyText"/>
        <w:spacing w:before="2"/>
        <w:rPr>
          <w:sz w:val="18"/>
        </w:rPr>
      </w:pPr>
    </w:p>
    <w:p>
      <w:pPr>
        <w:pStyle w:val="BodyText"/>
        <w:ind w:left="418"/>
        <w:rPr>
          <w:b/>
        </w:rPr>
      </w:pPr>
      <w:r>
        <w:rPr/>
        <w:t>的要求。</w:t>
      </w:r>
      <w:r>
        <w:rPr>
          <w:b/>
          <w:w w:val="99"/>
        </w:rPr>
        <w:t> </w:t>
      </w:r>
    </w:p>
    <w:p>
      <w:pPr>
        <w:pStyle w:val="BodyText"/>
        <w:rPr>
          <w:b/>
          <w:sz w:val="18"/>
        </w:rPr>
      </w:pPr>
    </w:p>
    <w:p>
      <w:pPr>
        <w:pStyle w:val="ListParagraph"/>
        <w:numPr>
          <w:ilvl w:val="2"/>
          <w:numId w:val="198"/>
        </w:numPr>
        <w:tabs>
          <w:tab w:pos="1370" w:val="left" w:leader="none"/>
        </w:tabs>
        <w:spacing w:line="240" w:lineRule="auto" w:before="0" w:after="0"/>
        <w:ind w:left="1369" w:right="0" w:hanging="530"/>
        <w:jc w:val="left"/>
        <w:rPr>
          <w:sz w:val="21"/>
        </w:rPr>
      </w:pPr>
      <w:r>
        <w:rPr>
          <w:spacing w:val="-5"/>
          <w:sz w:val="21"/>
        </w:rPr>
        <w:t>检查随车专用工具、密封件和保险丝是否齐全，判断试验结果是否符合 </w:t>
      </w:r>
      <w:r>
        <w:rPr>
          <w:sz w:val="21"/>
        </w:rPr>
        <w:t>4.8.2、</w:t>
      </w:r>
    </w:p>
    <w:p>
      <w:pPr>
        <w:pStyle w:val="BodyText"/>
        <w:rPr>
          <w:sz w:val="18"/>
        </w:rPr>
      </w:pPr>
    </w:p>
    <w:p>
      <w:pPr>
        <w:pStyle w:val="BodyText"/>
        <w:ind w:left="418"/>
      </w:pPr>
      <w:r>
        <w:rPr/>
        <w:t>4.8.3 的要求。 </w:t>
      </w:r>
    </w:p>
    <w:p>
      <w:pPr>
        <w:pStyle w:val="BodyText"/>
        <w:spacing w:before="10"/>
        <w:rPr>
          <w:sz w:val="15"/>
        </w:rPr>
      </w:pPr>
    </w:p>
    <w:p>
      <w:pPr>
        <w:pStyle w:val="Heading4"/>
      </w:pPr>
      <w:r>
        <w:rPr/>
        <w:t>6 检查规则</w:t>
      </w:r>
      <w:r>
        <w:rPr>
          <w:w w:val="99"/>
        </w:rPr>
        <w:t> </w:t>
      </w:r>
    </w:p>
    <w:p>
      <w:pPr>
        <w:pStyle w:val="BodyText"/>
        <w:spacing w:before="4"/>
        <w:rPr>
          <w:b/>
          <w:sz w:val="17"/>
        </w:rPr>
      </w:pPr>
    </w:p>
    <w:p>
      <w:pPr>
        <w:pStyle w:val="ListParagraph"/>
        <w:numPr>
          <w:ilvl w:val="1"/>
          <w:numId w:val="203"/>
        </w:numPr>
        <w:tabs>
          <w:tab w:pos="1159" w:val="left" w:leader="none"/>
        </w:tabs>
        <w:spacing w:line="240" w:lineRule="auto" w:before="0" w:after="0"/>
        <w:ind w:left="1158" w:right="0" w:hanging="319"/>
        <w:jc w:val="left"/>
        <w:rPr>
          <w:sz w:val="21"/>
        </w:rPr>
      </w:pPr>
      <w:r>
        <w:rPr>
          <w:spacing w:val="-3"/>
          <w:sz w:val="21"/>
        </w:rPr>
        <w:t>检验分类</w:t>
      </w:r>
      <w:r>
        <w:rPr>
          <w:sz w:val="21"/>
        </w:rPr>
        <w:t> </w:t>
      </w:r>
    </w:p>
    <w:p>
      <w:pPr>
        <w:pStyle w:val="BodyText"/>
        <w:spacing w:before="12"/>
        <w:rPr>
          <w:sz w:val="17"/>
        </w:rPr>
      </w:pPr>
    </w:p>
    <w:p>
      <w:pPr>
        <w:pStyle w:val="ListParagraph"/>
        <w:numPr>
          <w:ilvl w:val="2"/>
          <w:numId w:val="203"/>
        </w:numPr>
        <w:tabs>
          <w:tab w:pos="1370" w:val="left" w:leader="none"/>
        </w:tabs>
        <w:spacing w:line="240" w:lineRule="auto" w:before="0" w:after="0"/>
        <w:ind w:left="1369" w:right="0" w:hanging="530"/>
        <w:jc w:val="left"/>
        <w:rPr>
          <w:sz w:val="21"/>
        </w:rPr>
      </w:pPr>
      <w:r>
        <w:rPr>
          <w:spacing w:val="-3"/>
          <w:sz w:val="21"/>
        </w:rPr>
        <w:t>出厂试验</w:t>
      </w:r>
      <w:r>
        <w:rPr>
          <w:sz w:val="21"/>
        </w:rPr>
        <w:t> </w:t>
      </w:r>
    </w:p>
    <w:p>
      <w:pPr>
        <w:pStyle w:val="BodyText"/>
        <w:spacing w:before="2"/>
        <w:rPr>
          <w:sz w:val="18"/>
        </w:rPr>
      </w:pPr>
    </w:p>
    <w:p>
      <w:pPr>
        <w:pStyle w:val="BodyText"/>
        <w:spacing w:line="446" w:lineRule="auto"/>
        <w:ind w:left="418" w:right="1611" w:firstLine="419"/>
      </w:pPr>
      <w:r>
        <w:rPr>
          <w:spacing w:val="-8"/>
        </w:rPr>
        <w:t>检查项目至少应包括表 </w:t>
      </w:r>
      <w:r>
        <w:rPr/>
        <w:t>4</w:t>
      </w:r>
      <w:r>
        <w:rPr>
          <w:spacing w:val="-12"/>
        </w:rPr>
        <w:t> 中出厂检验的内容，其结果应符合 </w:t>
      </w:r>
      <w:r>
        <w:rPr/>
        <w:t>GB 7956.1—2014</w:t>
      </w:r>
      <w:r>
        <w:rPr>
          <w:spacing w:val="-10"/>
        </w:rPr>
        <w:t> 和本部分的</w:t>
      </w:r>
      <w:r>
        <w:rPr>
          <w:spacing w:val="-8"/>
        </w:rPr>
        <w:t>规定。</w:t>
      </w:r>
      <w:r>
        <w:rPr/>
        <w:t> </w:t>
      </w:r>
    </w:p>
    <w:p>
      <w:pPr>
        <w:pStyle w:val="ListParagraph"/>
        <w:numPr>
          <w:ilvl w:val="2"/>
          <w:numId w:val="203"/>
        </w:numPr>
        <w:tabs>
          <w:tab w:pos="1370" w:val="left" w:leader="none"/>
        </w:tabs>
        <w:spacing w:line="267" w:lineRule="exact" w:before="0" w:after="0"/>
        <w:ind w:left="1369" w:right="0" w:hanging="530"/>
        <w:jc w:val="left"/>
        <w:rPr>
          <w:sz w:val="21"/>
        </w:rPr>
      </w:pPr>
      <w:r>
        <w:rPr>
          <w:spacing w:val="-3"/>
          <w:sz w:val="21"/>
        </w:rPr>
        <w:t>形式试验</w:t>
      </w:r>
      <w:r>
        <w:rPr>
          <w:sz w:val="21"/>
        </w:rPr>
        <w:t> </w:t>
      </w:r>
    </w:p>
    <w:p>
      <w:pPr>
        <w:pStyle w:val="BodyText"/>
        <w:spacing w:before="2"/>
        <w:rPr>
          <w:sz w:val="18"/>
        </w:rPr>
      </w:pPr>
    </w:p>
    <w:p>
      <w:pPr>
        <w:pStyle w:val="ListParagraph"/>
        <w:numPr>
          <w:ilvl w:val="3"/>
          <w:numId w:val="203"/>
        </w:numPr>
        <w:tabs>
          <w:tab w:pos="1583" w:val="left" w:leader="none"/>
        </w:tabs>
        <w:spacing w:line="240" w:lineRule="auto" w:before="0" w:after="0"/>
        <w:ind w:left="1582" w:right="0" w:hanging="743"/>
        <w:jc w:val="left"/>
        <w:rPr>
          <w:sz w:val="21"/>
        </w:rPr>
      </w:pPr>
      <w:r>
        <w:rPr>
          <w:spacing w:val="-3"/>
          <w:sz w:val="21"/>
        </w:rPr>
        <w:t>凡属下列情况之一时应进行形式试验：</w:t>
      </w:r>
      <w:r>
        <w:rPr>
          <w:sz w:val="21"/>
        </w:rPr>
        <w:t> </w:t>
      </w:r>
    </w:p>
    <w:p>
      <w:pPr>
        <w:spacing w:after="0" w:line="240" w:lineRule="auto"/>
        <w:jc w:val="left"/>
        <w:rPr>
          <w:sz w:val="21"/>
        </w:rPr>
        <w:sectPr>
          <w:pgSz w:w="11910" w:h="16850"/>
          <w:pgMar w:header="0" w:footer="1239" w:top="1220" w:bottom="1420" w:left="1260" w:right="0"/>
        </w:sectPr>
      </w:pPr>
    </w:p>
    <w:p>
      <w:pPr>
        <w:pStyle w:val="BodyText"/>
        <w:spacing w:before="47"/>
        <w:ind w:left="838"/>
      </w:pPr>
      <w:r>
        <w:rPr/>
        <w:t>——新产品试测定型或老产品转厂生产； </w:t>
      </w:r>
    </w:p>
    <w:p>
      <w:pPr>
        <w:pStyle w:val="BodyText"/>
        <w:rPr>
          <w:sz w:val="18"/>
        </w:rPr>
      </w:pPr>
    </w:p>
    <w:p>
      <w:pPr>
        <w:pStyle w:val="BodyText"/>
        <w:spacing w:line="446" w:lineRule="auto"/>
        <w:ind w:left="418" w:right="1817" w:firstLine="419"/>
      </w:pPr>
      <w:r>
        <w:rPr/>
        <w:t>——批量生产后，主要结构部件设计及生产工艺有重大改变，应抽样进行相应项目的试验； </w:t>
      </w:r>
    </w:p>
    <w:p>
      <w:pPr>
        <w:pStyle w:val="BodyText"/>
        <w:ind w:left="838"/>
      </w:pPr>
      <w:r>
        <w:rPr/>
        <w:t>——产品停产两年后，恢复生产； </w:t>
      </w:r>
    </w:p>
    <w:p>
      <w:pPr>
        <w:pStyle w:val="BodyText"/>
        <w:spacing w:before="12"/>
        <w:rPr>
          <w:sz w:val="17"/>
        </w:rPr>
      </w:pPr>
    </w:p>
    <w:p>
      <w:pPr>
        <w:pStyle w:val="BodyText"/>
        <w:ind w:left="838"/>
      </w:pPr>
      <w:r>
        <w:rPr/>
        <w:t>——发生重大质量事故整改后； </w:t>
      </w:r>
    </w:p>
    <w:p>
      <w:pPr>
        <w:pStyle w:val="BodyText"/>
        <w:rPr>
          <w:sz w:val="18"/>
        </w:rPr>
      </w:pPr>
    </w:p>
    <w:p>
      <w:pPr>
        <w:pStyle w:val="BodyText"/>
        <w:ind w:left="838"/>
      </w:pPr>
      <w:r>
        <w:rPr/>
        <w:t>——质量监督机构依法提出要求。 </w:t>
      </w:r>
    </w:p>
    <w:p>
      <w:pPr>
        <w:pStyle w:val="BodyText"/>
        <w:spacing w:before="2"/>
        <w:rPr>
          <w:sz w:val="18"/>
        </w:rPr>
      </w:pPr>
    </w:p>
    <w:p>
      <w:pPr>
        <w:pStyle w:val="ListParagraph"/>
        <w:numPr>
          <w:ilvl w:val="3"/>
          <w:numId w:val="203"/>
        </w:numPr>
        <w:tabs>
          <w:tab w:pos="1583" w:val="left" w:leader="none"/>
        </w:tabs>
        <w:spacing w:line="240" w:lineRule="auto" w:before="0" w:after="0"/>
        <w:ind w:left="1582" w:right="0" w:hanging="743"/>
        <w:jc w:val="left"/>
        <w:rPr>
          <w:sz w:val="21"/>
        </w:rPr>
      </w:pPr>
      <w:r>
        <w:rPr>
          <w:spacing w:val="-9"/>
          <w:sz w:val="21"/>
        </w:rPr>
        <w:t>检验项目应包括表 </w:t>
      </w:r>
      <w:r>
        <w:rPr>
          <w:sz w:val="21"/>
        </w:rPr>
        <w:t>4</w:t>
      </w:r>
      <w:r>
        <w:rPr>
          <w:spacing w:val="-9"/>
          <w:sz w:val="21"/>
        </w:rPr>
        <w:t> 中形式检验的全部内容。</w:t>
      </w:r>
      <w:r>
        <w:rPr>
          <w:sz w:val="21"/>
        </w:rPr>
        <w:t> </w:t>
      </w:r>
    </w:p>
    <w:p>
      <w:pPr>
        <w:spacing w:after="0" w:line="240" w:lineRule="auto"/>
        <w:jc w:val="left"/>
        <w:rPr>
          <w:sz w:val="21"/>
        </w:rPr>
        <w:sectPr>
          <w:pgSz w:w="11910" w:h="16850"/>
          <w:pgMar w:header="0" w:footer="1239" w:top="1220" w:bottom="1420" w:left="1260" w:right="0"/>
        </w:sectPr>
      </w:pPr>
    </w:p>
    <w:p>
      <w:pPr>
        <w:pStyle w:val="BodyText"/>
        <w:ind w:left="373"/>
        <w:rPr>
          <w:sz w:val="20"/>
        </w:rPr>
      </w:pPr>
      <w:r>
        <w:rPr>
          <w:sz w:val="20"/>
        </w:rPr>
        <w:drawing>
          <wp:inline distT="0" distB="0" distL="0" distR="0">
            <wp:extent cx="4988521" cy="5114925"/>
            <wp:effectExtent l="0" t="0" r="0" b="0"/>
            <wp:docPr id="121" name="image88.jpeg"/>
            <wp:cNvGraphicFramePr>
              <a:graphicFrameLocks noChangeAspect="1"/>
            </wp:cNvGraphicFramePr>
            <a:graphic>
              <a:graphicData uri="http://schemas.openxmlformats.org/drawingml/2006/picture">
                <pic:pic>
                  <pic:nvPicPr>
                    <pic:cNvPr id="122" name="image88.jpeg"/>
                    <pic:cNvPicPr/>
                  </pic:nvPicPr>
                  <pic:blipFill>
                    <a:blip r:embed="rId96" cstate="print"/>
                    <a:stretch>
                      <a:fillRect/>
                    </a:stretch>
                  </pic:blipFill>
                  <pic:spPr>
                    <a:xfrm>
                      <a:off x="0" y="0"/>
                      <a:ext cx="4988521" cy="5114925"/>
                    </a:xfrm>
                    <a:prstGeom prst="rect">
                      <a:avLst/>
                    </a:prstGeom>
                  </pic:spPr>
                </pic:pic>
              </a:graphicData>
            </a:graphic>
          </wp:inline>
        </w:drawing>
      </w:r>
      <w:r>
        <w:rPr>
          <w:sz w:val="20"/>
        </w:rPr>
      </w:r>
    </w:p>
    <w:p>
      <w:pPr>
        <w:pStyle w:val="BodyText"/>
        <w:spacing w:before="3"/>
        <w:rPr>
          <w:sz w:val="8"/>
        </w:rPr>
      </w:pPr>
      <w:r>
        <w:rPr/>
        <w:drawing>
          <wp:anchor distT="0" distB="0" distL="0" distR="0" allowOverlap="1" layoutInCell="1" locked="0" behindDoc="0" simplePos="0" relativeHeight="55">
            <wp:simplePos x="0" y="0"/>
            <wp:positionH relativeFrom="page">
              <wp:posOffset>1017269</wp:posOffset>
            </wp:positionH>
            <wp:positionV relativeFrom="paragraph">
              <wp:posOffset>92202</wp:posOffset>
            </wp:positionV>
            <wp:extent cx="5086515" cy="2085975"/>
            <wp:effectExtent l="0" t="0" r="0" b="0"/>
            <wp:wrapTopAndBottom/>
            <wp:docPr id="123" name="image89.jpeg"/>
            <wp:cNvGraphicFramePr>
              <a:graphicFrameLocks noChangeAspect="1"/>
            </wp:cNvGraphicFramePr>
            <a:graphic>
              <a:graphicData uri="http://schemas.openxmlformats.org/drawingml/2006/picture">
                <pic:pic>
                  <pic:nvPicPr>
                    <pic:cNvPr id="124" name="image89.jpeg"/>
                    <pic:cNvPicPr/>
                  </pic:nvPicPr>
                  <pic:blipFill>
                    <a:blip r:embed="rId97" cstate="print"/>
                    <a:stretch>
                      <a:fillRect/>
                    </a:stretch>
                  </pic:blipFill>
                  <pic:spPr>
                    <a:xfrm>
                      <a:off x="0" y="0"/>
                      <a:ext cx="5086515" cy="2085975"/>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pStyle w:val="BodyText"/>
        <w:spacing w:before="71"/>
        <w:ind w:left="418"/>
      </w:pPr>
      <w:r>
        <w:rPr>
          <w:w w:val="100"/>
        </w:rPr>
        <w:t> </w:t>
      </w:r>
    </w:p>
    <w:p>
      <w:pPr>
        <w:spacing w:after="0"/>
        <w:sectPr>
          <w:pgSz w:w="11910" w:h="16850"/>
          <w:pgMar w:header="0" w:footer="1239" w:top="1400" w:bottom="1420" w:left="1260" w:right="0"/>
        </w:sectPr>
      </w:pPr>
    </w:p>
    <w:p>
      <w:pPr>
        <w:pStyle w:val="BodyText"/>
        <w:ind w:left="664"/>
        <w:rPr>
          <w:sz w:val="20"/>
        </w:rPr>
      </w:pPr>
      <w:r>
        <w:rPr>
          <w:sz w:val="20"/>
        </w:rPr>
        <w:drawing>
          <wp:inline distT="0" distB="0" distL="0" distR="0">
            <wp:extent cx="4705003" cy="5391150"/>
            <wp:effectExtent l="0" t="0" r="0" b="0"/>
            <wp:docPr id="125" name="image90.jpeg"/>
            <wp:cNvGraphicFramePr>
              <a:graphicFrameLocks noChangeAspect="1"/>
            </wp:cNvGraphicFramePr>
            <a:graphic>
              <a:graphicData uri="http://schemas.openxmlformats.org/drawingml/2006/picture">
                <pic:pic>
                  <pic:nvPicPr>
                    <pic:cNvPr id="126" name="image90.jpeg"/>
                    <pic:cNvPicPr/>
                  </pic:nvPicPr>
                  <pic:blipFill>
                    <a:blip r:embed="rId98" cstate="print"/>
                    <a:stretch>
                      <a:fillRect/>
                    </a:stretch>
                  </pic:blipFill>
                  <pic:spPr>
                    <a:xfrm>
                      <a:off x="0" y="0"/>
                      <a:ext cx="4705003" cy="5391150"/>
                    </a:xfrm>
                    <a:prstGeom prst="rect">
                      <a:avLst/>
                    </a:prstGeom>
                  </pic:spPr>
                </pic:pic>
              </a:graphicData>
            </a:graphic>
          </wp:inline>
        </w:drawing>
      </w:r>
      <w:r>
        <w:rPr>
          <w:sz w:val="20"/>
        </w:rPr>
      </w:r>
    </w:p>
    <w:p>
      <w:pPr>
        <w:pStyle w:val="BodyText"/>
        <w:spacing w:before="11"/>
        <w:rPr>
          <w:sz w:val="11"/>
        </w:rPr>
      </w:pPr>
    </w:p>
    <w:p>
      <w:pPr>
        <w:spacing w:before="72"/>
        <w:ind w:left="840" w:right="0" w:firstLine="0"/>
        <w:jc w:val="left"/>
        <w:rPr>
          <w:b/>
          <w:sz w:val="21"/>
        </w:rPr>
      </w:pPr>
      <w:r>
        <w:rPr>
          <w:b/>
          <w:sz w:val="21"/>
        </w:rPr>
        <w:t>6.2 </w:t>
      </w:r>
      <w:r>
        <w:rPr>
          <w:sz w:val="21"/>
        </w:rPr>
        <w:t>判定规则</w:t>
      </w:r>
      <w:r>
        <w:rPr>
          <w:b/>
          <w:w w:val="99"/>
          <w:sz w:val="21"/>
        </w:rPr>
        <w:t> </w:t>
      </w:r>
    </w:p>
    <w:p>
      <w:pPr>
        <w:pStyle w:val="BodyText"/>
        <w:spacing w:before="2"/>
        <w:rPr>
          <w:b/>
          <w:sz w:val="18"/>
        </w:rPr>
      </w:pPr>
    </w:p>
    <w:p>
      <w:pPr>
        <w:pStyle w:val="BodyText"/>
        <w:ind w:left="838"/>
      </w:pPr>
      <w:r>
        <w:rPr/>
        <w:t>表 4 第 1 项中 5.1.4、5.1.5、5.1.6 第 3 项、第 5 项中 5.5.7、第 8 项、第 13 项、第 17</w:t>
      </w:r>
    </w:p>
    <w:p>
      <w:pPr>
        <w:pStyle w:val="BodyText"/>
        <w:spacing w:before="12"/>
        <w:rPr>
          <w:sz w:val="17"/>
        </w:rPr>
      </w:pPr>
    </w:p>
    <w:p>
      <w:pPr>
        <w:pStyle w:val="BodyText"/>
        <w:spacing w:line="432" w:lineRule="auto"/>
        <w:ind w:left="418" w:right="1558"/>
        <w:rPr>
          <w:b/>
          <w:sz w:val="24"/>
        </w:rPr>
      </w:pPr>
      <w:r>
        <w:rPr>
          <w:spacing w:val="-14"/>
        </w:rPr>
        <w:t>项，第 </w:t>
      </w:r>
      <w:r>
        <w:rPr/>
        <w:t>18</w:t>
      </w:r>
      <w:r>
        <w:rPr>
          <w:spacing w:val="-21"/>
        </w:rPr>
        <w:t> 项、第 </w:t>
      </w:r>
      <w:r>
        <w:rPr/>
        <w:t>19</w:t>
      </w:r>
      <w:r>
        <w:rPr>
          <w:spacing w:val="-26"/>
        </w:rPr>
        <w:t> 项中 </w:t>
      </w:r>
      <w:r>
        <w:rPr/>
        <w:t>4.4.3</w:t>
      </w:r>
      <w:r>
        <w:rPr>
          <w:spacing w:val="-17"/>
        </w:rPr>
        <w:t>、第 </w:t>
      </w:r>
      <w:r>
        <w:rPr/>
        <w:t>23</w:t>
      </w:r>
      <w:r>
        <w:rPr>
          <w:spacing w:val="-9"/>
        </w:rPr>
        <w:t> 项如有一项不合格，则判该产品为不合格；其余项目有</w:t>
      </w:r>
      <w:r>
        <w:rPr>
          <w:spacing w:val="-5"/>
        </w:rPr>
        <w:t>一项未达到要求时，允许对不合格项进行返工，经复检，如仍不合格则判该产品为不合格。   </w:t>
      </w:r>
      <w:r>
        <w:rPr>
          <w:b/>
          <w:sz w:val="24"/>
        </w:rPr>
        <w:t>7</w:t>
      </w:r>
      <w:r>
        <w:rPr>
          <w:b/>
          <w:spacing w:val="-1"/>
          <w:sz w:val="24"/>
        </w:rPr>
        <w:t> 标志、包装、运输和贮存</w:t>
      </w:r>
      <w:r>
        <w:rPr>
          <w:b/>
          <w:spacing w:val="-1"/>
          <w:w w:val="99"/>
          <w:sz w:val="24"/>
        </w:rPr>
        <w:t> </w:t>
      </w:r>
    </w:p>
    <w:p>
      <w:pPr>
        <w:spacing w:line="247" w:lineRule="exact" w:before="0"/>
        <w:ind w:left="840" w:right="0" w:firstLine="0"/>
        <w:jc w:val="left"/>
        <w:rPr>
          <w:b/>
          <w:sz w:val="21"/>
        </w:rPr>
      </w:pPr>
      <w:r>
        <w:rPr>
          <w:b/>
          <w:sz w:val="21"/>
        </w:rPr>
        <w:t>7.1 </w:t>
      </w:r>
      <w:r>
        <w:rPr>
          <w:sz w:val="21"/>
        </w:rPr>
        <w:t>标 志</w:t>
      </w:r>
      <w:r>
        <w:rPr>
          <w:b/>
          <w:w w:val="99"/>
          <w:sz w:val="21"/>
        </w:rPr>
        <w:t> </w:t>
      </w:r>
    </w:p>
    <w:p>
      <w:pPr>
        <w:pStyle w:val="BodyText"/>
        <w:rPr>
          <w:b/>
          <w:sz w:val="18"/>
        </w:rPr>
      </w:pPr>
    </w:p>
    <w:p>
      <w:pPr>
        <w:pStyle w:val="BodyText"/>
        <w:spacing w:line="446" w:lineRule="auto"/>
        <w:ind w:left="840" w:right="5500" w:hanging="3"/>
        <w:rPr>
          <w:b/>
        </w:rPr>
      </w:pPr>
      <w:r>
        <w:rPr>
          <w:spacing w:val="-11"/>
        </w:rPr>
        <w:t>标志应符合 </w:t>
      </w:r>
      <w:r>
        <w:rPr/>
        <w:t>GB 7956.1—2014</w:t>
      </w:r>
      <w:r>
        <w:rPr>
          <w:spacing w:val="-35"/>
        </w:rPr>
        <w:t> 中 </w:t>
      </w:r>
      <w:r>
        <w:rPr/>
        <w:t>5.2</w:t>
      </w:r>
      <w:r>
        <w:rPr>
          <w:spacing w:val="-13"/>
        </w:rPr>
        <w:t> 的规定。</w:t>
      </w:r>
      <w:r>
        <w:rPr>
          <w:b/>
        </w:rPr>
        <w:t>7.2 </w:t>
      </w:r>
      <w:r>
        <w:rPr>
          <w:spacing w:val="-3"/>
        </w:rPr>
        <w:t>包装</w:t>
      </w:r>
      <w:r>
        <w:rPr>
          <w:b/>
          <w:w w:val="99"/>
        </w:rPr>
        <w:t> </w:t>
      </w:r>
    </w:p>
    <w:p>
      <w:pPr>
        <w:pStyle w:val="ListParagraph"/>
        <w:numPr>
          <w:ilvl w:val="2"/>
          <w:numId w:val="204"/>
        </w:numPr>
        <w:tabs>
          <w:tab w:pos="1371" w:val="left" w:leader="none"/>
        </w:tabs>
        <w:spacing w:line="240" w:lineRule="auto" w:before="0" w:after="0"/>
        <w:ind w:left="1370" w:right="0" w:hanging="531"/>
        <w:jc w:val="left"/>
        <w:rPr>
          <w:sz w:val="21"/>
        </w:rPr>
      </w:pPr>
      <w:r>
        <w:rPr>
          <w:spacing w:val="-3"/>
          <w:sz w:val="21"/>
        </w:rPr>
        <w:t>出厂采用裸装，随车文件用防潮材料包装。</w:t>
      </w:r>
      <w:r>
        <w:rPr>
          <w:sz w:val="21"/>
        </w:rPr>
        <w:t> </w:t>
      </w:r>
    </w:p>
    <w:p>
      <w:pPr>
        <w:pStyle w:val="BodyText"/>
        <w:rPr>
          <w:sz w:val="18"/>
        </w:rPr>
      </w:pPr>
    </w:p>
    <w:p>
      <w:pPr>
        <w:pStyle w:val="ListParagraph"/>
        <w:numPr>
          <w:ilvl w:val="2"/>
          <w:numId w:val="204"/>
        </w:numPr>
        <w:tabs>
          <w:tab w:pos="1370" w:val="left" w:leader="none"/>
        </w:tabs>
        <w:spacing w:line="240" w:lineRule="auto" w:before="0" w:after="0"/>
        <w:ind w:left="1369" w:right="0" w:hanging="530"/>
        <w:jc w:val="left"/>
        <w:rPr>
          <w:sz w:val="21"/>
        </w:rPr>
      </w:pPr>
      <w:r>
        <w:rPr>
          <w:spacing w:val="-3"/>
          <w:sz w:val="21"/>
        </w:rPr>
        <w:t>所有车门、工具箱均应关闭锁紧。</w:t>
      </w:r>
      <w:r>
        <w:rPr>
          <w:sz w:val="21"/>
        </w:rPr>
        <w:t> </w:t>
      </w:r>
    </w:p>
    <w:p>
      <w:pPr>
        <w:spacing w:after="0" w:line="240" w:lineRule="auto"/>
        <w:jc w:val="left"/>
        <w:rPr>
          <w:sz w:val="21"/>
        </w:rPr>
        <w:sectPr>
          <w:pgSz w:w="11910" w:h="16850"/>
          <w:pgMar w:header="0" w:footer="1239" w:top="1500" w:bottom="1420" w:left="1260" w:right="0"/>
        </w:sectPr>
      </w:pPr>
    </w:p>
    <w:p>
      <w:pPr>
        <w:pStyle w:val="ListParagraph"/>
        <w:numPr>
          <w:ilvl w:val="2"/>
          <w:numId w:val="204"/>
        </w:numPr>
        <w:tabs>
          <w:tab w:pos="1370" w:val="left" w:leader="none"/>
        </w:tabs>
        <w:spacing w:line="240" w:lineRule="auto" w:before="47" w:after="0"/>
        <w:ind w:left="1369" w:right="0" w:hanging="530"/>
        <w:jc w:val="left"/>
        <w:rPr>
          <w:sz w:val="21"/>
        </w:rPr>
      </w:pPr>
      <w:r>
        <w:rPr>
          <w:spacing w:val="-3"/>
          <w:sz w:val="21"/>
        </w:rPr>
        <w:t>外露镀铬件应涂防锈油，车外照明灯、警灯应用塑料薄膜包扎。</w:t>
      </w:r>
      <w:r>
        <w:rPr>
          <w:sz w:val="21"/>
        </w:rPr>
        <w:t> </w:t>
      </w:r>
    </w:p>
    <w:p>
      <w:pPr>
        <w:pStyle w:val="BodyText"/>
        <w:rPr>
          <w:sz w:val="18"/>
        </w:rPr>
      </w:pPr>
    </w:p>
    <w:p>
      <w:pPr>
        <w:pStyle w:val="ListParagraph"/>
        <w:numPr>
          <w:ilvl w:val="2"/>
          <w:numId w:val="204"/>
        </w:numPr>
        <w:tabs>
          <w:tab w:pos="1371" w:val="left" w:leader="none"/>
        </w:tabs>
        <w:spacing w:line="446" w:lineRule="auto" w:before="0" w:after="0"/>
        <w:ind w:left="418" w:right="1498" w:firstLine="422"/>
        <w:jc w:val="left"/>
        <w:rPr>
          <w:sz w:val="21"/>
        </w:rPr>
      </w:pPr>
      <w:r>
        <w:rPr>
          <w:spacing w:val="-3"/>
          <w:sz w:val="21"/>
        </w:rPr>
        <w:t>采用铁(水〉路运输时，发动机不得有余水，燃料箱不得有余油，蓄电池应断开正负极接头。</w:t>
      </w:r>
      <w:r>
        <w:rPr>
          <w:sz w:val="21"/>
        </w:rPr>
        <w:t> </w:t>
      </w:r>
    </w:p>
    <w:p>
      <w:pPr>
        <w:pStyle w:val="ListParagraph"/>
        <w:numPr>
          <w:ilvl w:val="1"/>
          <w:numId w:val="205"/>
        </w:numPr>
        <w:tabs>
          <w:tab w:pos="1159" w:val="left" w:leader="none"/>
        </w:tabs>
        <w:spacing w:line="240" w:lineRule="auto" w:before="0" w:after="0"/>
        <w:ind w:left="1158" w:right="0" w:hanging="319"/>
        <w:jc w:val="left"/>
        <w:rPr>
          <w:sz w:val="21"/>
        </w:rPr>
      </w:pPr>
      <w:r>
        <w:rPr>
          <w:spacing w:val="-3"/>
          <w:sz w:val="21"/>
        </w:rPr>
        <w:t>运输</w:t>
      </w:r>
      <w:r>
        <w:rPr>
          <w:sz w:val="21"/>
        </w:rPr>
        <w:t> </w:t>
      </w:r>
    </w:p>
    <w:p>
      <w:pPr>
        <w:pStyle w:val="BodyText"/>
        <w:spacing w:before="12"/>
        <w:rPr>
          <w:sz w:val="17"/>
        </w:rPr>
      </w:pPr>
    </w:p>
    <w:p>
      <w:pPr>
        <w:pStyle w:val="ListParagraph"/>
        <w:numPr>
          <w:ilvl w:val="2"/>
          <w:numId w:val="205"/>
        </w:numPr>
        <w:tabs>
          <w:tab w:pos="1370" w:val="left" w:leader="none"/>
        </w:tabs>
        <w:spacing w:line="240" w:lineRule="auto" w:before="0" w:after="0"/>
        <w:ind w:left="1369" w:right="0" w:hanging="530"/>
        <w:jc w:val="left"/>
        <w:rPr>
          <w:sz w:val="21"/>
        </w:rPr>
      </w:pPr>
      <w:r>
        <w:rPr>
          <w:spacing w:val="-3"/>
          <w:sz w:val="21"/>
        </w:rPr>
        <w:t>采用行驶运输时，应遵守使用说明书相关新车行驶的规定。</w:t>
      </w:r>
      <w:r>
        <w:rPr>
          <w:sz w:val="21"/>
        </w:rPr>
        <w:t> </w:t>
      </w:r>
    </w:p>
    <w:p>
      <w:pPr>
        <w:pStyle w:val="BodyText"/>
        <w:rPr>
          <w:sz w:val="18"/>
        </w:rPr>
      </w:pPr>
    </w:p>
    <w:p>
      <w:pPr>
        <w:pStyle w:val="ListParagraph"/>
        <w:numPr>
          <w:ilvl w:val="2"/>
          <w:numId w:val="205"/>
        </w:numPr>
        <w:tabs>
          <w:tab w:pos="1371" w:val="left" w:leader="none"/>
        </w:tabs>
        <w:spacing w:line="240" w:lineRule="auto" w:before="0" w:after="0"/>
        <w:ind w:left="1370" w:right="0" w:hanging="531"/>
        <w:jc w:val="left"/>
        <w:rPr>
          <w:sz w:val="21"/>
        </w:rPr>
      </w:pPr>
      <w:r>
        <w:rPr>
          <w:spacing w:val="-3"/>
          <w:sz w:val="21"/>
        </w:rPr>
        <w:t>采用铁</w:t>
      </w:r>
      <w:r>
        <w:rPr>
          <w:sz w:val="21"/>
        </w:rPr>
        <w:t>（</w:t>
      </w:r>
      <w:r>
        <w:rPr>
          <w:spacing w:val="-3"/>
          <w:sz w:val="21"/>
        </w:rPr>
        <w:t>水</w:t>
      </w:r>
      <w:r>
        <w:rPr>
          <w:sz w:val="21"/>
        </w:rPr>
        <w:t>）</w:t>
      </w:r>
      <w:r>
        <w:rPr>
          <w:spacing w:val="-3"/>
          <w:sz w:val="21"/>
        </w:rPr>
        <w:t>路运输时，应执行铁(水)路运输的相关规定。</w:t>
      </w:r>
      <w:r>
        <w:rPr>
          <w:sz w:val="21"/>
        </w:rPr>
        <w:t> </w:t>
      </w:r>
    </w:p>
    <w:p>
      <w:pPr>
        <w:pStyle w:val="BodyText"/>
        <w:spacing w:before="2"/>
        <w:rPr>
          <w:sz w:val="18"/>
        </w:rPr>
      </w:pPr>
    </w:p>
    <w:p>
      <w:pPr>
        <w:pStyle w:val="ListParagraph"/>
        <w:numPr>
          <w:ilvl w:val="1"/>
          <w:numId w:val="205"/>
        </w:numPr>
        <w:tabs>
          <w:tab w:pos="1159" w:val="left" w:leader="none"/>
        </w:tabs>
        <w:spacing w:line="240" w:lineRule="auto" w:before="0" w:after="0"/>
        <w:ind w:left="1158" w:right="0" w:hanging="319"/>
        <w:jc w:val="left"/>
        <w:rPr>
          <w:b/>
          <w:sz w:val="21"/>
        </w:rPr>
      </w:pPr>
      <w:r>
        <w:rPr>
          <w:spacing w:val="-3"/>
          <w:sz w:val="21"/>
        </w:rPr>
        <w:t>贮存</w:t>
      </w:r>
      <w:r>
        <w:rPr>
          <w:b/>
          <w:w w:val="99"/>
          <w:sz w:val="21"/>
        </w:rPr>
        <w:t> </w:t>
      </w:r>
    </w:p>
    <w:p>
      <w:pPr>
        <w:pStyle w:val="BodyText"/>
        <w:rPr>
          <w:b/>
          <w:sz w:val="18"/>
        </w:rPr>
      </w:pPr>
    </w:p>
    <w:p>
      <w:pPr>
        <w:pStyle w:val="BodyText"/>
        <w:spacing w:line="446" w:lineRule="auto"/>
        <w:ind w:left="418" w:right="1609" w:firstLine="419"/>
      </w:pPr>
      <w:r>
        <w:rPr/>
        <w:t>需长期贮存时，应将燃油和水放尽，切断电路，停放在防雨、防潮、防晒、无腐蚀气体侵害及通风良好的场所，并按产品使用说明书的规定进行维护和保养。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6"/>
        </w:rPr>
      </w:pPr>
    </w:p>
    <w:p>
      <w:pPr>
        <w:pStyle w:val="BodyText"/>
        <w:spacing w:before="72"/>
        <w:ind w:left="3298"/>
      </w:pPr>
      <w:r>
        <w:rPr>
          <w:w w:val="100"/>
        </w:rPr>
        <w:t> </w:t>
      </w:r>
    </w:p>
    <w:p>
      <w:pPr>
        <w:spacing w:after="0"/>
        <w:sectPr>
          <w:pgSz w:w="11910" w:h="16850"/>
          <w:pgMar w:header="0" w:footer="1239" w:top="1220" w:bottom="1420" w:left="1260" w:right="0"/>
        </w:sectPr>
      </w:pPr>
    </w:p>
    <w:p>
      <w:pPr>
        <w:pStyle w:val="Heading2"/>
        <w:ind w:left="2780"/>
        <w:jc w:val="left"/>
      </w:pPr>
      <w:bookmarkStart w:name="_bookmark10" w:id="11"/>
      <w:bookmarkEnd w:id="11"/>
      <w:r>
        <w:rPr>
          <w:b w:val="0"/>
        </w:rPr>
      </w:r>
      <w:r>
        <w:rPr/>
        <w:t>消防车 第 3 部分：泡沫消防车</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61" w:firstLine="419"/>
      </w:pPr>
      <w:r>
        <w:rPr/>
        <w:t>GB 7956</w:t>
      </w:r>
      <w:r>
        <w:rPr>
          <w:spacing w:val="-8"/>
        </w:rPr>
        <w:t> 的本部分规定了泡沫消防车的术语和定义、技术要求、试验方法、检验规则及标</w:t>
      </w:r>
      <w:r>
        <w:rPr>
          <w:spacing w:val="-5"/>
        </w:rPr>
        <w:t>志、包装、 运输和贮存。</w:t>
      </w:r>
      <w:r>
        <w:rPr/>
        <w:t> </w:t>
      </w:r>
    </w:p>
    <w:p>
      <w:pPr>
        <w:pStyle w:val="BodyText"/>
        <w:ind w:left="838"/>
      </w:pPr>
      <w:r>
        <w:rPr/>
        <w:t>本部分适用于泡沫消防车。 </w:t>
      </w:r>
    </w:p>
    <w:p>
      <w:pPr>
        <w:pStyle w:val="BodyText"/>
        <w:spacing w:before="12"/>
        <w:rPr>
          <w:sz w:val="17"/>
        </w:rPr>
      </w:pPr>
    </w:p>
    <w:p>
      <w:pPr>
        <w:pStyle w:val="BodyText"/>
        <w:ind w:left="838"/>
      </w:pPr>
      <w:r>
        <w:rPr/>
        <w:t>本部分不适用于压缩空气泡沫消防车和高倍泡沫消防车。 </w:t>
      </w:r>
    </w:p>
    <w:p>
      <w:pPr>
        <w:pStyle w:val="BodyText"/>
        <w:spacing w:before="9"/>
        <w:rPr>
          <w:sz w:val="15"/>
        </w:rPr>
      </w:pPr>
    </w:p>
    <w:p>
      <w:pPr>
        <w:pStyle w:val="Heading4"/>
      </w:pPr>
      <w:r>
        <w:rPr/>
        <w:t>2 规范性引用文件</w:t>
      </w:r>
      <w:r>
        <w:rPr>
          <w:w w:val="99"/>
        </w:rPr>
        <w:t> </w:t>
      </w:r>
    </w:p>
    <w:p>
      <w:pPr>
        <w:pStyle w:val="BodyText"/>
        <w:spacing w:before="6"/>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spacing w:line="267" w:lineRule="exact"/>
        <w:ind w:left="838"/>
      </w:pPr>
      <w:r>
        <w:rPr/>
        <w:t>GB/T3181 漆膜颜色标准 </w:t>
      </w:r>
    </w:p>
    <w:p>
      <w:pPr>
        <w:pStyle w:val="BodyText"/>
        <w:spacing w:before="2"/>
        <w:rPr>
          <w:sz w:val="18"/>
        </w:rPr>
      </w:pPr>
    </w:p>
    <w:p>
      <w:pPr>
        <w:pStyle w:val="BodyText"/>
        <w:spacing w:line="446" w:lineRule="auto"/>
        <w:ind w:left="838" w:right="4239"/>
      </w:pPr>
      <w:r>
        <w:rPr/>
        <w:t>GB 4351.1-2005 手提式灭火器 第 1 部分：性能和结构要求GB 6245—2006 消防泵 </w:t>
      </w:r>
    </w:p>
    <w:p>
      <w:pPr>
        <w:pStyle w:val="BodyText"/>
        <w:spacing w:line="446" w:lineRule="auto"/>
        <w:ind w:left="838" w:right="5077"/>
      </w:pPr>
      <w:r>
        <w:rPr/>
        <w:t>GB 7956.1-2014 消防车 第 1 部分：通用技术条件GB 19156 消防炮通用技术条件 </w:t>
      </w:r>
    </w:p>
    <w:p>
      <w:pPr>
        <w:pStyle w:val="Heading4"/>
        <w:spacing w:line="277" w:lineRule="exact"/>
      </w:pPr>
      <w:r>
        <w:rPr/>
        <w:t>3 术语和定义</w:t>
      </w:r>
      <w:r>
        <w:rPr>
          <w:w w:val="99"/>
        </w:rPr>
        <w:t> </w:t>
      </w:r>
    </w:p>
    <w:p>
      <w:pPr>
        <w:pStyle w:val="BodyText"/>
        <w:spacing w:before="2"/>
        <w:rPr>
          <w:b/>
          <w:sz w:val="17"/>
        </w:rPr>
      </w:pPr>
    </w:p>
    <w:p>
      <w:pPr>
        <w:pStyle w:val="BodyText"/>
        <w:spacing w:line="446" w:lineRule="auto"/>
        <w:ind w:left="418" w:right="1450" w:firstLine="419"/>
      </w:pPr>
      <w:r>
        <w:rPr/>
        <w:t>GB 6245</w:t>
      </w:r>
      <w:r>
        <w:rPr>
          <w:spacing w:val="-33"/>
        </w:rPr>
        <w:t> 和 </w:t>
      </w:r>
      <w:r>
        <w:rPr/>
        <w:t>GB 7956.1</w:t>
      </w:r>
      <w:r>
        <w:rPr>
          <w:spacing w:val="-8"/>
        </w:rPr>
        <w:t> 界定的以及下列术语和定义适用于本文件。为了便于使用，以下重复</w:t>
      </w:r>
      <w:r>
        <w:rPr>
          <w:spacing w:val="-17"/>
        </w:rPr>
        <w:t>列出了 </w:t>
      </w:r>
      <w:r>
        <w:rPr/>
        <w:t>GB 7956.1—2014</w:t>
      </w:r>
      <w:r>
        <w:rPr>
          <w:spacing w:val="-9"/>
        </w:rPr>
        <w:t> 中的某些术语和定义。</w:t>
      </w:r>
      <w:r>
        <w:rPr/>
        <w:t> </w:t>
      </w:r>
    </w:p>
    <w:p>
      <w:pPr>
        <w:pStyle w:val="ListParagraph"/>
        <w:numPr>
          <w:ilvl w:val="1"/>
          <w:numId w:val="206"/>
        </w:numPr>
        <w:tabs>
          <w:tab w:pos="1213" w:val="left" w:leader="none"/>
        </w:tabs>
        <w:spacing w:line="240" w:lineRule="auto" w:before="0" w:after="0"/>
        <w:ind w:left="1212" w:right="0" w:hanging="373"/>
        <w:jc w:val="left"/>
        <w:rPr>
          <w:sz w:val="21"/>
        </w:rPr>
      </w:pPr>
      <w:r>
        <w:rPr>
          <w:spacing w:val="-3"/>
          <w:sz w:val="21"/>
        </w:rPr>
        <w:t>泡沫消防车 </w:t>
      </w:r>
      <w:r>
        <w:rPr>
          <w:sz w:val="21"/>
        </w:rPr>
        <w:t>foam</w:t>
      </w:r>
      <w:r>
        <w:rPr>
          <w:spacing w:val="1"/>
          <w:sz w:val="21"/>
        </w:rPr>
        <w:t> </w:t>
      </w:r>
      <w:r>
        <w:rPr>
          <w:sz w:val="21"/>
        </w:rPr>
        <w:t>fire fighting</w:t>
      </w:r>
      <w:r>
        <w:rPr>
          <w:spacing w:val="1"/>
          <w:sz w:val="21"/>
        </w:rPr>
        <w:t> </w:t>
      </w:r>
      <w:r>
        <w:rPr>
          <w:sz w:val="21"/>
        </w:rPr>
        <w:t>vehicle </w:t>
      </w:r>
    </w:p>
    <w:p>
      <w:pPr>
        <w:pStyle w:val="BodyText"/>
        <w:spacing w:before="12"/>
        <w:rPr>
          <w:sz w:val="17"/>
        </w:rPr>
      </w:pPr>
    </w:p>
    <w:p>
      <w:pPr>
        <w:pStyle w:val="BodyText"/>
        <w:spacing w:line="448" w:lineRule="auto"/>
        <w:ind w:left="838" w:right="3083"/>
      </w:pPr>
      <w:r>
        <w:rPr/>
        <w:t>主要装备车用消防泵、水罐、泡沫液罐和水-泡沫液混合设备的消防车。[GB 7956.1—2014，定义 3.1.3] </w:t>
      </w:r>
    </w:p>
    <w:p>
      <w:pPr>
        <w:pStyle w:val="ListParagraph"/>
        <w:numPr>
          <w:ilvl w:val="1"/>
          <w:numId w:val="206"/>
        </w:numPr>
        <w:tabs>
          <w:tab w:pos="1213" w:val="left" w:leader="none"/>
        </w:tabs>
        <w:spacing w:line="264" w:lineRule="exact" w:before="0" w:after="0"/>
        <w:ind w:left="1212" w:right="0" w:hanging="373"/>
        <w:jc w:val="left"/>
        <w:rPr>
          <w:b/>
          <w:sz w:val="21"/>
        </w:rPr>
      </w:pPr>
      <w:r>
        <w:rPr>
          <w:spacing w:val="10"/>
          <w:sz w:val="21"/>
        </w:rPr>
        <w:t>泡沫比例混合器 </w:t>
      </w:r>
      <w:r>
        <w:rPr>
          <w:sz w:val="21"/>
        </w:rPr>
        <w:t>foam</w:t>
      </w:r>
      <w:r>
        <w:rPr>
          <w:spacing w:val="1"/>
          <w:sz w:val="21"/>
        </w:rPr>
        <w:t> </w:t>
      </w:r>
      <w:r>
        <w:rPr>
          <w:sz w:val="21"/>
        </w:rPr>
        <w:t>proportioner</w:t>
      </w:r>
      <w:r>
        <w:rPr>
          <w:b/>
          <w:w w:val="99"/>
          <w:sz w:val="21"/>
        </w:rPr>
        <w:t> </w:t>
      </w:r>
    </w:p>
    <w:p>
      <w:pPr>
        <w:pStyle w:val="BodyText"/>
        <w:spacing w:before="12"/>
        <w:rPr>
          <w:b/>
          <w:sz w:val="17"/>
        </w:rPr>
      </w:pPr>
    </w:p>
    <w:p>
      <w:pPr>
        <w:pStyle w:val="BodyText"/>
        <w:ind w:left="838"/>
      </w:pPr>
      <w:r>
        <w:rPr/>
        <w:t>通过负压或正压供给泡沫液，使泡沫液和水按一定比例混合的装置。 </w:t>
      </w:r>
    </w:p>
    <w:p>
      <w:pPr>
        <w:pStyle w:val="BodyText"/>
        <w:spacing w:before="2"/>
        <w:rPr>
          <w:sz w:val="18"/>
        </w:rPr>
      </w:pPr>
    </w:p>
    <w:p>
      <w:pPr>
        <w:pStyle w:val="ListParagraph"/>
        <w:numPr>
          <w:ilvl w:val="1"/>
          <w:numId w:val="206"/>
        </w:numPr>
        <w:tabs>
          <w:tab w:pos="1213" w:val="left" w:leader="none"/>
        </w:tabs>
        <w:spacing w:line="240" w:lineRule="auto" w:before="0" w:after="0"/>
        <w:ind w:left="1212" w:right="0" w:hanging="373"/>
        <w:jc w:val="left"/>
        <w:rPr>
          <w:sz w:val="21"/>
        </w:rPr>
      </w:pPr>
      <w:r>
        <w:rPr>
          <w:spacing w:val="12"/>
          <w:sz w:val="21"/>
        </w:rPr>
        <w:t>车用泡沫系统 </w:t>
      </w:r>
      <w:r>
        <w:rPr>
          <w:sz w:val="21"/>
        </w:rPr>
        <w:t>foam system </w:t>
      </w:r>
    </w:p>
    <w:p>
      <w:pPr>
        <w:pStyle w:val="BodyText"/>
        <w:spacing w:before="12"/>
        <w:rPr>
          <w:sz w:val="17"/>
        </w:rPr>
      </w:pPr>
    </w:p>
    <w:p>
      <w:pPr>
        <w:pStyle w:val="BodyText"/>
        <w:spacing w:line="446" w:lineRule="auto" w:before="1"/>
        <w:ind w:left="418" w:right="1609" w:firstLine="419"/>
      </w:pPr>
      <w:r>
        <w:rPr/>
        <w:t>将泡沫液、水与空气充分混合产生泡沫实施灭火的系统，由安装在消防车上的泡沫比例混合器、泡沫产生或喷射装置、专用组件(如泡沫液罐、泡沫液泵)及管路等组成。 </w:t>
      </w:r>
    </w:p>
    <w:p>
      <w:pPr>
        <w:pStyle w:val="Heading4"/>
        <w:spacing w:line="278" w:lineRule="exact"/>
      </w:pPr>
      <w:r>
        <w:rPr/>
        <w:t>4 技术要求</w:t>
      </w:r>
      <w:r>
        <w:rPr>
          <w:w w:val="99"/>
        </w:rPr>
        <w:t> </w:t>
      </w:r>
    </w:p>
    <w:p>
      <w:pPr>
        <w:pStyle w:val="BodyText"/>
        <w:spacing w:before="3"/>
        <w:rPr>
          <w:b/>
          <w:sz w:val="17"/>
        </w:rPr>
      </w:pPr>
    </w:p>
    <w:p>
      <w:pPr>
        <w:pStyle w:val="ListParagraph"/>
        <w:numPr>
          <w:ilvl w:val="1"/>
          <w:numId w:val="207"/>
        </w:numPr>
        <w:tabs>
          <w:tab w:pos="1159" w:val="left" w:leader="none"/>
        </w:tabs>
        <w:spacing w:line="240" w:lineRule="auto" w:before="0" w:after="0"/>
        <w:ind w:left="1158" w:right="0" w:hanging="319"/>
        <w:jc w:val="left"/>
        <w:rPr>
          <w:sz w:val="21"/>
        </w:rPr>
      </w:pPr>
      <w:r>
        <w:rPr>
          <w:spacing w:val="-3"/>
          <w:sz w:val="21"/>
        </w:rPr>
        <w:t>基本要求</w:t>
      </w:r>
      <w:r>
        <w:rPr>
          <w:sz w:val="21"/>
        </w:rPr>
        <w:t> </w:t>
      </w:r>
    </w:p>
    <w:p>
      <w:pPr>
        <w:spacing w:after="0" w:line="240" w:lineRule="auto"/>
        <w:jc w:val="left"/>
        <w:rPr>
          <w:sz w:val="21"/>
        </w:rPr>
        <w:sectPr>
          <w:pgSz w:w="11910" w:h="16850"/>
          <w:pgMar w:header="0" w:footer="1239" w:top="1140" w:bottom="1420" w:left="1260" w:right="0"/>
        </w:sectPr>
      </w:pPr>
    </w:p>
    <w:p>
      <w:pPr>
        <w:pStyle w:val="BodyText"/>
        <w:spacing w:line="446" w:lineRule="auto" w:before="47"/>
        <w:ind w:left="418" w:right="1611" w:firstLine="419"/>
      </w:pPr>
      <w:r>
        <w:rPr>
          <w:spacing w:val="-2"/>
        </w:rPr>
        <w:t>泡沫消防车</w:t>
      </w:r>
      <w:r>
        <w:rPr/>
        <w:t>（</w:t>
      </w:r>
      <w:r>
        <w:rPr>
          <w:spacing w:val="-6"/>
        </w:rPr>
        <w:t>以下简称“泡沫车”)除应符合 </w:t>
      </w:r>
      <w:r>
        <w:rPr/>
        <w:t>GB 7956.1-2014</w:t>
      </w:r>
      <w:r>
        <w:rPr>
          <w:spacing w:val="-8"/>
        </w:rPr>
        <w:t> 的通用技术要求外，还应符</w:t>
      </w:r>
      <w:r>
        <w:rPr>
          <w:spacing w:val="-5"/>
        </w:rPr>
        <w:t>合本部分的要求。</w:t>
      </w:r>
      <w:r>
        <w:rPr/>
        <w:t> </w:t>
      </w:r>
    </w:p>
    <w:p>
      <w:pPr>
        <w:pStyle w:val="ListParagraph"/>
        <w:numPr>
          <w:ilvl w:val="1"/>
          <w:numId w:val="207"/>
        </w:numPr>
        <w:tabs>
          <w:tab w:pos="1159" w:val="left" w:leader="none"/>
        </w:tabs>
        <w:spacing w:line="267" w:lineRule="exact" w:before="0" w:after="0"/>
        <w:ind w:left="1158" w:right="0" w:hanging="319"/>
        <w:jc w:val="left"/>
        <w:rPr>
          <w:b/>
          <w:sz w:val="21"/>
        </w:rPr>
      </w:pPr>
      <w:r>
        <w:rPr>
          <w:spacing w:val="-3"/>
          <w:sz w:val="21"/>
        </w:rPr>
        <w:t>整车要求</w:t>
      </w:r>
      <w:r>
        <w:rPr>
          <w:b/>
          <w:w w:val="99"/>
          <w:sz w:val="21"/>
        </w:rPr>
        <w:t> </w:t>
      </w:r>
    </w:p>
    <w:p>
      <w:pPr>
        <w:pStyle w:val="BodyText"/>
        <w:spacing w:before="2"/>
        <w:rPr>
          <w:b/>
          <w:sz w:val="18"/>
        </w:rPr>
      </w:pPr>
    </w:p>
    <w:p>
      <w:pPr>
        <w:pStyle w:val="ListParagraph"/>
        <w:numPr>
          <w:ilvl w:val="2"/>
          <w:numId w:val="207"/>
        </w:numPr>
        <w:tabs>
          <w:tab w:pos="1370" w:val="left" w:leader="none"/>
        </w:tabs>
        <w:spacing w:line="240" w:lineRule="auto" w:before="0" w:after="0"/>
        <w:ind w:left="1369" w:right="0" w:hanging="530"/>
        <w:jc w:val="left"/>
        <w:rPr>
          <w:sz w:val="21"/>
        </w:rPr>
      </w:pPr>
      <w:r>
        <w:rPr>
          <w:spacing w:val="-3"/>
          <w:sz w:val="21"/>
        </w:rPr>
        <w:t>—般要求</w:t>
      </w:r>
      <w:r>
        <w:rPr>
          <w:sz w:val="21"/>
        </w:rPr>
        <w:t> </w:t>
      </w:r>
    </w:p>
    <w:p>
      <w:pPr>
        <w:pStyle w:val="BodyText"/>
        <w:rPr>
          <w:sz w:val="18"/>
        </w:rPr>
      </w:pPr>
    </w:p>
    <w:p>
      <w:pPr>
        <w:pStyle w:val="ListParagraph"/>
        <w:numPr>
          <w:ilvl w:val="3"/>
          <w:numId w:val="207"/>
        </w:numPr>
        <w:tabs>
          <w:tab w:pos="1576" w:val="left" w:leader="none"/>
        </w:tabs>
        <w:spacing w:line="240" w:lineRule="auto" w:before="0" w:after="0"/>
        <w:ind w:left="1575" w:right="0" w:hanging="738"/>
        <w:jc w:val="left"/>
        <w:rPr>
          <w:sz w:val="21"/>
        </w:rPr>
      </w:pPr>
      <w:r>
        <w:rPr>
          <w:spacing w:val="-7"/>
          <w:sz w:val="21"/>
        </w:rPr>
        <w:t>燃油箱容量应满足泡沫车行驶 </w:t>
      </w:r>
      <w:r>
        <w:rPr>
          <w:sz w:val="21"/>
        </w:rPr>
        <w:t>100km</w:t>
      </w:r>
      <w:r>
        <w:rPr>
          <w:spacing w:val="-9"/>
          <w:sz w:val="21"/>
        </w:rPr>
        <w:t> 后在消防车额定流量和出口压力下连续工作</w:t>
      </w:r>
    </w:p>
    <w:p>
      <w:pPr>
        <w:pStyle w:val="BodyText"/>
        <w:spacing w:before="12"/>
        <w:rPr>
          <w:sz w:val="17"/>
        </w:rPr>
      </w:pPr>
    </w:p>
    <w:p>
      <w:pPr>
        <w:pStyle w:val="BodyText"/>
        <w:ind w:left="418"/>
      </w:pPr>
      <w:r>
        <w:rPr/>
        <w:t>2h。 </w:t>
      </w:r>
    </w:p>
    <w:p>
      <w:pPr>
        <w:pStyle w:val="BodyText"/>
        <w:spacing w:before="2"/>
        <w:rPr>
          <w:sz w:val="18"/>
        </w:rPr>
      </w:pPr>
    </w:p>
    <w:p>
      <w:pPr>
        <w:pStyle w:val="ListParagraph"/>
        <w:numPr>
          <w:ilvl w:val="3"/>
          <w:numId w:val="207"/>
        </w:numPr>
        <w:tabs>
          <w:tab w:pos="1576" w:val="left" w:leader="none"/>
        </w:tabs>
        <w:spacing w:line="240" w:lineRule="auto" w:before="0" w:after="0"/>
        <w:ind w:left="1575" w:right="0" w:hanging="738"/>
        <w:jc w:val="left"/>
        <w:rPr>
          <w:sz w:val="21"/>
        </w:rPr>
      </w:pPr>
      <w:r>
        <w:rPr>
          <w:spacing w:val="-8"/>
          <w:sz w:val="21"/>
        </w:rPr>
        <w:t>主操作面板区域离地 </w:t>
      </w:r>
      <w:r>
        <w:rPr>
          <w:sz w:val="21"/>
        </w:rPr>
        <w:t>1.2m</w:t>
      </w:r>
      <w:r>
        <w:rPr>
          <w:spacing w:val="-14"/>
          <w:sz w:val="21"/>
        </w:rPr>
        <w:t> 以上不应有大于 </w:t>
      </w:r>
      <w:r>
        <w:rPr>
          <w:sz w:val="21"/>
        </w:rPr>
        <w:t>65mm</w:t>
      </w:r>
      <w:r>
        <w:rPr>
          <w:spacing w:val="-11"/>
          <w:sz w:val="21"/>
        </w:rPr>
        <w:t> 的出水口。</w:t>
      </w:r>
      <w:r>
        <w:rPr>
          <w:sz w:val="21"/>
        </w:rPr>
        <w:t> </w:t>
      </w:r>
    </w:p>
    <w:p>
      <w:pPr>
        <w:pStyle w:val="BodyText"/>
        <w:rPr>
          <w:sz w:val="18"/>
        </w:rPr>
      </w:pPr>
    </w:p>
    <w:p>
      <w:pPr>
        <w:pStyle w:val="ListParagraph"/>
        <w:numPr>
          <w:ilvl w:val="3"/>
          <w:numId w:val="207"/>
        </w:numPr>
        <w:tabs>
          <w:tab w:pos="1576" w:val="left" w:leader="none"/>
        </w:tabs>
        <w:spacing w:line="446" w:lineRule="auto" w:before="0" w:after="0"/>
        <w:ind w:left="418" w:right="1505" w:firstLine="419"/>
        <w:jc w:val="left"/>
        <w:rPr>
          <w:sz w:val="21"/>
        </w:rPr>
      </w:pPr>
      <w:r>
        <w:rPr>
          <w:spacing w:val="-3"/>
          <w:sz w:val="21"/>
        </w:rPr>
        <w:t>泡沫车应有手控发动机转速控制器，控制器操作机构便于操作，并能保持稳定的发动机转速， 操作人员在消防泵操作处应能看清所有压力显示装置、消防泵转速表以及其他指示器。</w:t>
      </w:r>
      <w:r>
        <w:rPr>
          <w:sz w:val="21"/>
        </w:rPr>
        <w:t> </w:t>
      </w:r>
    </w:p>
    <w:p>
      <w:pPr>
        <w:pStyle w:val="ListParagraph"/>
        <w:numPr>
          <w:ilvl w:val="3"/>
          <w:numId w:val="207"/>
        </w:numPr>
        <w:tabs>
          <w:tab w:pos="1576" w:val="left" w:leader="none"/>
        </w:tabs>
        <w:spacing w:line="268" w:lineRule="exact" w:before="0" w:after="0"/>
        <w:ind w:left="1575" w:right="0" w:hanging="738"/>
        <w:jc w:val="left"/>
        <w:rPr>
          <w:sz w:val="21"/>
        </w:rPr>
      </w:pPr>
      <w:r>
        <w:rPr>
          <w:spacing w:val="-3"/>
          <w:sz w:val="21"/>
        </w:rPr>
        <w:t>泡沫车各自动控制机构应有手动应急措施。 </w:t>
      </w:r>
    </w:p>
    <w:p>
      <w:pPr>
        <w:pStyle w:val="BodyText"/>
        <w:spacing w:before="12"/>
        <w:rPr>
          <w:sz w:val="17"/>
        </w:rPr>
      </w:pPr>
    </w:p>
    <w:p>
      <w:pPr>
        <w:pStyle w:val="ListParagraph"/>
        <w:numPr>
          <w:ilvl w:val="3"/>
          <w:numId w:val="207"/>
        </w:numPr>
        <w:tabs>
          <w:tab w:pos="1576" w:val="left" w:leader="none"/>
        </w:tabs>
        <w:spacing w:line="240" w:lineRule="auto" w:before="0" w:after="0"/>
        <w:ind w:left="1575" w:right="0" w:hanging="738"/>
        <w:jc w:val="left"/>
        <w:rPr>
          <w:sz w:val="21"/>
        </w:rPr>
      </w:pPr>
      <w:r>
        <w:rPr>
          <w:spacing w:val="-5"/>
          <w:sz w:val="21"/>
        </w:rPr>
        <w:t>操作面板上消防泵出口和进口压力表联接处应提供测试用连接管，接口规格为 </w:t>
      </w:r>
      <w:r>
        <w:rPr>
          <w:sz w:val="21"/>
        </w:rPr>
        <w:t>M10</w:t>
      </w:r>
    </w:p>
    <w:p>
      <w:pPr>
        <w:pStyle w:val="BodyText"/>
        <w:spacing w:before="2"/>
        <w:rPr>
          <w:sz w:val="18"/>
        </w:rPr>
      </w:pPr>
    </w:p>
    <w:p>
      <w:pPr>
        <w:pStyle w:val="BodyText"/>
        <w:spacing w:line="446" w:lineRule="auto"/>
        <w:ind w:left="840" w:right="1455" w:hanging="423"/>
      </w:pPr>
      <w:r>
        <w:rPr/>
        <w:t>×1.5mm 的外螺纹，螺纹长度不小于 15mm，接口位置应便于外接压力表的安装，并标注标识。</w:t>
      </w:r>
      <w:r>
        <w:rPr>
          <w:b/>
        </w:rPr>
        <w:t>4.2.2 </w:t>
      </w:r>
      <w:r>
        <w:rPr/>
        <w:t>操作说明和标识 </w:t>
      </w:r>
    </w:p>
    <w:p>
      <w:pPr>
        <w:pStyle w:val="ListParagraph"/>
        <w:numPr>
          <w:ilvl w:val="3"/>
          <w:numId w:val="208"/>
        </w:numPr>
        <w:tabs>
          <w:tab w:pos="1576" w:val="left" w:leader="none"/>
        </w:tabs>
        <w:spacing w:line="267" w:lineRule="exact" w:before="0" w:after="0"/>
        <w:ind w:left="1575" w:right="0" w:hanging="738"/>
        <w:jc w:val="left"/>
        <w:rPr>
          <w:sz w:val="21"/>
        </w:rPr>
      </w:pPr>
      <w:r>
        <w:rPr>
          <w:spacing w:val="-3"/>
          <w:sz w:val="21"/>
        </w:rPr>
        <w:t>操作说明和标识应包括以下内容：</w:t>
      </w:r>
      <w:r>
        <w:rPr>
          <w:sz w:val="21"/>
        </w:rPr>
        <w:t> </w:t>
      </w:r>
    </w:p>
    <w:p>
      <w:pPr>
        <w:pStyle w:val="BodyText"/>
        <w:spacing w:before="2"/>
        <w:rPr>
          <w:sz w:val="18"/>
        </w:rPr>
      </w:pPr>
    </w:p>
    <w:p>
      <w:pPr>
        <w:pStyle w:val="BodyText"/>
        <w:ind w:left="838"/>
      </w:pPr>
      <w:r>
        <w:rPr/>
        <w:t>——消防泵额定流量和出口压力数值及操作说明； </w:t>
      </w:r>
    </w:p>
    <w:p>
      <w:pPr>
        <w:pStyle w:val="BodyText"/>
        <w:rPr>
          <w:sz w:val="18"/>
        </w:rPr>
      </w:pPr>
    </w:p>
    <w:p>
      <w:pPr>
        <w:pStyle w:val="BodyText"/>
        <w:ind w:left="838"/>
      </w:pPr>
      <w:r>
        <w:rPr/>
        <w:t>——选用泡沫的类别（适用时)及混合比； </w:t>
      </w:r>
    </w:p>
    <w:p>
      <w:pPr>
        <w:pStyle w:val="BodyText"/>
        <w:spacing w:before="12"/>
        <w:rPr>
          <w:sz w:val="17"/>
        </w:rPr>
      </w:pPr>
    </w:p>
    <w:p>
      <w:pPr>
        <w:pStyle w:val="BodyText"/>
        <w:ind w:left="838"/>
      </w:pPr>
      <w:r>
        <w:rPr>
          <w:spacing w:val="-6"/>
        </w:rPr>
        <w:t>——消防泵出口压力显示(精度不低于 </w:t>
      </w:r>
      <w:r>
        <w:rPr/>
        <w:t>2.5</w:t>
      </w:r>
      <w:r>
        <w:rPr>
          <w:spacing w:val="-21"/>
        </w:rPr>
        <w:t> 级</w:t>
      </w:r>
      <w:r>
        <w:rPr>
          <w:spacing w:val="-3"/>
        </w:rPr>
        <w:t>）；</w:t>
      </w:r>
      <w:r>
        <w:rPr/>
        <w:t> </w:t>
      </w:r>
    </w:p>
    <w:p>
      <w:pPr>
        <w:pStyle w:val="BodyText"/>
        <w:spacing w:before="2"/>
        <w:rPr>
          <w:sz w:val="18"/>
        </w:rPr>
      </w:pPr>
    </w:p>
    <w:p>
      <w:pPr>
        <w:pStyle w:val="BodyText"/>
        <w:ind w:left="838"/>
      </w:pPr>
      <w:r>
        <w:rPr>
          <w:spacing w:val="-6"/>
        </w:rPr>
        <w:t>——消防泵进口压力显示(精度不低于 </w:t>
      </w:r>
      <w:r>
        <w:rPr/>
        <w:t>2.5</w:t>
      </w:r>
      <w:r>
        <w:rPr>
          <w:spacing w:val="-21"/>
        </w:rPr>
        <w:t> 级</w:t>
      </w:r>
      <w:r>
        <w:rPr>
          <w:spacing w:val="-3"/>
        </w:rPr>
        <w:t>）；</w:t>
      </w:r>
      <w:r>
        <w:rPr/>
        <w:t> </w:t>
      </w:r>
    </w:p>
    <w:p>
      <w:pPr>
        <w:pStyle w:val="BodyText"/>
        <w:rPr>
          <w:sz w:val="18"/>
        </w:rPr>
      </w:pPr>
    </w:p>
    <w:p>
      <w:pPr>
        <w:pStyle w:val="BodyText"/>
        <w:ind w:left="838"/>
      </w:pPr>
      <w:r>
        <w:rPr/>
        <w:t>——消防泵转速显示及累计工作时间显示； </w:t>
      </w:r>
    </w:p>
    <w:p>
      <w:pPr>
        <w:pStyle w:val="BodyText"/>
        <w:spacing w:before="12"/>
        <w:rPr>
          <w:sz w:val="17"/>
        </w:rPr>
      </w:pPr>
    </w:p>
    <w:p>
      <w:pPr>
        <w:pStyle w:val="BodyText"/>
        <w:ind w:left="838"/>
      </w:pPr>
      <w:r>
        <w:rPr/>
        <w:t>——水罐和泡沫液罐的液位显示； </w:t>
      </w:r>
    </w:p>
    <w:p>
      <w:pPr>
        <w:pStyle w:val="BodyText"/>
        <w:spacing w:before="2"/>
        <w:rPr>
          <w:sz w:val="18"/>
        </w:rPr>
      </w:pPr>
    </w:p>
    <w:p>
      <w:pPr>
        <w:pStyle w:val="BodyText"/>
        <w:ind w:left="838"/>
      </w:pPr>
      <w:r>
        <w:rPr/>
        <w:t>——发动机水温显示； </w:t>
      </w:r>
    </w:p>
    <w:p>
      <w:pPr>
        <w:pStyle w:val="BodyText"/>
        <w:rPr>
          <w:sz w:val="18"/>
        </w:rPr>
      </w:pPr>
    </w:p>
    <w:p>
      <w:pPr>
        <w:pStyle w:val="BodyText"/>
        <w:ind w:left="838"/>
      </w:pPr>
      <w:r>
        <w:rPr>
          <w:spacing w:val="-3"/>
        </w:rPr>
        <w:t>——发动机机油温度显示； </w:t>
      </w:r>
    </w:p>
    <w:p>
      <w:pPr>
        <w:pStyle w:val="BodyText"/>
        <w:spacing w:before="12"/>
        <w:rPr>
          <w:sz w:val="17"/>
        </w:rPr>
      </w:pPr>
    </w:p>
    <w:p>
      <w:pPr>
        <w:pStyle w:val="BodyText"/>
        <w:ind w:left="838"/>
      </w:pPr>
      <w:r>
        <w:rPr>
          <w:spacing w:val="-3"/>
        </w:rPr>
        <w:t>——仪表板照明灯和开关； </w:t>
      </w:r>
    </w:p>
    <w:p>
      <w:pPr>
        <w:pStyle w:val="BodyText"/>
        <w:spacing w:before="2"/>
        <w:rPr>
          <w:sz w:val="18"/>
        </w:rPr>
      </w:pPr>
    </w:p>
    <w:p>
      <w:pPr>
        <w:pStyle w:val="BodyText"/>
        <w:ind w:left="838"/>
      </w:pPr>
      <w:r>
        <w:rPr/>
        <w:t>——紧急停止按钮； </w:t>
      </w:r>
    </w:p>
    <w:p>
      <w:pPr>
        <w:pStyle w:val="BodyText"/>
        <w:rPr>
          <w:sz w:val="18"/>
        </w:rPr>
      </w:pPr>
    </w:p>
    <w:p>
      <w:pPr>
        <w:pStyle w:val="BodyText"/>
        <w:ind w:left="838"/>
      </w:pPr>
      <w:r>
        <w:rPr/>
        <w:t>——冲洗标识和开关位置； </w:t>
      </w:r>
    </w:p>
    <w:p>
      <w:pPr>
        <w:pStyle w:val="BodyText"/>
        <w:spacing w:before="12"/>
        <w:rPr>
          <w:sz w:val="17"/>
        </w:rPr>
      </w:pPr>
    </w:p>
    <w:p>
      <w:pPr>
        <w:pStyle w:val="BodyText"/>
        <w:ind w:left="838"/>
      </w:pPr>
      <w:r>
        <w:rPr/>
        <w:t>——面板上仪表及开关的用途说明牌。 </w:t>
      </w:r>
    </w:p>
    <w:p>
      <w:pPr>
        <w:pStyle w:val="BodyText"/>
        <w:spacing w:before="2"/>
        <w:rPr>
          <w:sz w:val="18"/>
        </w:rPr>
      </w:pPr>
    </w:p>
    <w:p>
      <w:pPr>
        <w:pStyle w:val="ListParagraph"/>
        <w:numPr>
          <w:ilvl w:val="3"/>
          <w:numId w:val="208"/>
        </w:numPr>
        <w:tabs>
          <w:tab w:pos="1576" w:val="left" w:leader="none"/>
        </w:tabs>
        <w:spacing w:line="240" w:lineRule="auto" w:before="0" w:after="0"/>
        <w:ind w:left="1575" w:right="0" w:hanging="738"/>
        <w:jc w:val="left"/>
        <w:rPr>
          <w:sz w:val="21"/>
        </w:rPr>
      </w:pPr>
      <w:r>
        <w:rPr>
          <w:spacing w:val="-3"/>
          <w:sz w:val="21"/>
        </w:rPr>
        <w:t>泡沫比例混合系统的控制调节应安装在操作仪表板处，便于人员操作。 </w:t>
      </w:r>
    </w:p>
    <w:p>
      <w:pPr>
        <w:spacing w:after="0" w:line="240" w:lineRule="auto"/>
        <w:jc w:val="left"/>
        <w:rPr>
          <w:sz w:val="21"/>
        </w:rPr>
        <w:sectPr>
          <w:pgSz w:w="11910" w:h="16850"/>
          <w:pgMar w:header="0" w:footer="1239" w:top="1220" w:bottom="1420" w:left="1260" w:right="0"/>
        </w:sectPr>
      </w:pPr>
    </w:p>
    <w:p>
      <w:pPr>
        <w:pStyle w:val="ListParagraph"/>
        <w:numPr>
          <w:ilvl w:val="3"/>
          <w:numId w:val="208"/>
        </w:numPr>
        <w:tabs>
          <w:tab w:pos="1576" w:val="left" w:leader="none"/>
        </w:tabs>
        <w:spacing w:line="240" w:lineRule="auto" w:before="47" w:after="0"/>
        <w:ind w:left="1575" w:right="0" w:hanging="738"/>
        <w:jc w:val="left"/>
        <w:rPr>
          <w:sz w:val="21"/>
        </w:rPr>
      </w:pPr>
      <w:r>
        <w:rPr>
          <w:spacing w:val="-3"/>
          <w:sz w:val="21"/>
        </w:rPr>
        <w:t>操作面板上应有水、泡沫管路系统简图及基本操作说明。</w:t>
      </w:r>
      <w:r>
        <w:rPr>
          <w:sz w:val="21"/>
        </w:rPr>
        <w:t> </w:t>
      </w:r>
    </w:p>
    <w:p>
      <w:pPr>
        <w:pStyle w:val="BodyText"/>
        <w:rPr>
          <w:sz w:val="18"/>
        </w:rPr>
      </w:pPr>
    </w:p>
    <w:p>
      <w:pPr>
        <w:pStyle w:val="ListParagraph"/>
        <w:numPr>
          <w:ilvl w:val="3"/>
          <w:numId w:val="208"/>
        </w:numPr>
        <w:tabs>
          <w:tab w:pos="1576" w:val="left" w:leader="none"/>
        </w:tabs>
        <w:spacing w:line="240" w:lineRule="auto" w:before="0" w:after="0"/>
        <w:ind w:left="1575" w:right="0" w:hanging="738"/>
        <w:jc w:val="left"/>
        <w:rPr>
          <w:sz w:val="21"/>
        </w:rPr>
      </w:pPr>
      <w:r>
        <w:rPr>
          <w:spacing w:val="-3"/>
          <w:sz w:val="21"/>
        </w:rPr>
        <w:t>在水罐注水口处应设有“水罐注水口 ”字样的标牌，标牌应永久性固定。</w:t>
      </w:r>
      <w:r>
        <w:rPr>
          <w:sz w:val="21"/>
        </w:rPr>
        <w:t> </w:t>
      </w:r>
    </w:p>
    <w:p>
      <w:pPr>
        <w:pStyle w:val="BodyText"/>
        <w:rPr>
          <w:sz w:val="18"/>
        </w:rPr>
      </w:pPr>
    </w:p>
    <w:p>
      <w:pPr>
        <w:pStyle w:val="ListParagraph"/>
        <w:numPr>
          <w:ilvl w:val="3"/>
          <w:numId w:val="208"/>
        </w:numPr>
        <w:tabs>
          <w:tab w:pos="1576" w:val="left" w:leader="none"/>
        </w:tabs>
        <w:spacing w:line="446" w:lineRule="auto" w:before="0" w:after="0"/>
        <w:ind w:left="418" w:right="1609" w:firstLine="419"/>
        <w:jc w:val="left"/>
        <w:rPr>
          <w:sz w:val="21"/>
        </w:rPr>
      </w:pPr>
      <w:r>
        <w:rPr>
          <w:spacing w:val="-3"/>
          <w:sz w:val="21"/>
        </w:rPr>
        <w:t>在泡沫罐加液口处或邻近位置应设有“泡沫罐注液口”字样的标牌。在明显位置处应注明可使用的泡沫液类型，并用红色字体注明“不要将不同类型、不同企业的泡沫液混 装”的警告性文宇。标牌 应永久性固定。</w:t>
      </w:r>
      <w:r>
        <w:rPr>
          <w:sz w:val="21"/>
        </w:rPr>
        <w:t> </w:t>
      </w:r>
    </w:p>
    <w:p>
      <w:pPr>
        <w:pStyle w:val="ListParagraph"/>
        <w:numPr>
          <w:ilvl w:val="1"/>
          <w:numId w:val="207"/>
        </w:numPr>
        <w:tabs>
          <w:tab w:pos="1159" w:val="left" w:leader="none"/>
        </w:tabs>
        <w:spacing w:line="268" w:lineRule="exact" w:before="0" w:after="0"/>
        <w:ind w:left="1158" w:right="0" w:hanging="319"/>
        <w:jc w:val="left"/>
        <w:rPr>
          <w:b/>
          <w:sz w:val="21"/>
        </w:rPr>
      </w:pPr>
      <w:r>
        <w:rPr>
          <w:spacing w:val="-3"/>
          <w:sz w:val="21"/>
        </w:rPr>
        <w:t>底盘改制要求</w:t>
      </w:r>
      <w:r>
        <w:rPr>
          <w:b/>
          <w:w w:val="99"/>
          <w:sz w:val="21"/>
        </w:rPr>
        <w:t> </w:t>
      </w:r>
    </w:p>
    <w:p>
      <w:pPr>
        <w:pStyle w:val="BodyText"/>
        <w:spacing w:before="1"/>
        <w:rPr>
          <w:b/>
          <w:sz w:val="18"/>
        </w:rPr>
      </w:pPr>
    </w:p>
    <w:p>
      <w:pPr>
        <w:pStyle w:val="ListParagraph"/>
        <w:numPr>
          <w:ilvl w:val="2"/>
          <w:numId w:val="207"/>
        </w:numPr>
        <w:tabs>
          <w:tab w:pos="1370" w:val="left" w:leader="none"/>
        </w:tabs>
        <w:spacing w:line="240" w:lineRule="auto" w:before="1" w:after="0"/>
        <w:ind w:left="1369" w:right="0" w:hanging="530"/>
        <w:jc w:val="left"/>
        <w:rPr>
          <w:sz w:val="21"/>
        </w:rPr>
      </w:pPr>
      <w:r>
        <w:rPr>
          <w:spacing w:val="-8"/>
          <w:sz w:val="21"/>
        </w:rPr>
        <w:t>泡沫车的底盘改制应符合 </w:t>
      </w:r>
      <w:r>
        <w:rPr>
          <w:sz w:val="21"/>
        </w:rPr>
        <w:t>GB</w:t>
      </w:r>
      <w:r>
        <w:rPr>
          <w:spacing w:val="-2"/>
          <w:sz w:val="21"/>
        </w:rPr>
        <w:t> </w:t>
      </w:r>
      <w:r>
        <w:rPr>
          <w:sz w:val="21"/>
        </w:rPr>
        <w:t>7956.1—2014</w:t>
      </w:r>
      <w:r>
        <w:rPr>
          <w:spacing w:val="-37"/>
          <w:sz w:val="21"/>
        </w:rPr>
        <w:t> 中 </w:t>
      </w:r>
      <w:r>
        <w:rPr>
          <w:sz w:val="21"/>
        </w:rPr>
        <w:t>5.4</w:t>
      </w:r>
      <w:r>
        <w:rPr>
          <w:spacing w:val="-13"/>
          <w:sz w:val="21"/>
        </w:rPr>
        <w:t> 的要求。</w:t>
      </w:r>
      <w:r>
        <w:rPr>
          <w:sz w:val="21"/>
        </w:rPr>
        <w:t> </w:t>
      </w:r>
    </w:p>
    <w:p>
      <w:pPr>
        <w:pStyle w:val="BodyText"/>
        <w:rPr>
          <w:sz w:val="18"/>
        </w:rPr>
      </w:pPr>
    </w:p>
    <w:p>
      <w:pPr>
        <w:pStyle w:val="ListParagraph"/>
        <w:numPr>
          <w:ilvl w:val="2"/>
          <w:numId w:val="207"/>
        </w:numPr>
        <w:tabs>
          <w:tab w:pos="1371" w:val="left" w:leader="none"/>
        </w:tabs>
        <w:spacing w:line="240" w:lineRule="auto" w:before="0" w:after="0"/>
        <w:ind w:left="1370" w:right="0" w:hanging="531"/>
        <w:jc w:val="left"/>
        <w:rPr>
          <w:sz w:val="21"/>
        </w:rPr>
      </w:pPr>
      <w:r>
        <w:rPr>
          <w:spacing w:val="-3"/>
          <w:sz w:val="21"/>
        </w:rPr>
        <w:t>当罐体直接安装在底盘上时，应保证罐体与底盘弹性联接且不与底盘直接接触。</w:t>
      </w:r>
      <w:r>
        <w:rPr>
          <w:sz w:val="21"/>
        </w:rPr>
        <w:t> </w:t>
      </w:r>
    </w:p>
    <w:p>
      <w:pPr>
        <w:pStyle w:val="BodyText"/>
        <w:spacing w:before="12"/>
        <w:rPr>
          <w:sz w:val="17"/>
        </w:rPr>
      </w:pPr>
    </w:p>
    <w:p>
      <w:pPr>
        <w:pStyle w:val="ListParagraph"/>
        <w:numPr>
          <w:ilvl w:val="1"/>
          <w:numId w:val="207"/>
        </w:numPr>
        <w:tabs>
          <w:tab w:pos="1159" w:val="left" w:leader="none"/>
        </w:tabs>
        <w:spacing w:line="240" w:lineRule="auto" w:before="0" w:after="0"/>
        <w:ind w:left="1158" w:right="0" w:hanging="319"/>
        <w:jc w:val="left"/>
        <w:rPr>
          <w:b/>
          <w:sz w:val="21"/>
        </w:rPr>
      </w:pPr>
      <w:r>
        <w:rPr>
          <w:spacing w:val="-3"/>
          <w:sz w:val="21"/>
        </w:rPr>
        <w:t>消防水力系统要求</w:t>
      </w:r>
      <w:r>
        <w:rPr>
          <w:b/>
          <w:w w:val="99"/>
          <w:sz w:val="21"/>
        </w:rPr>
        <w:t> </w:t>
      </w:r>
    </w:p>
    <w:p>
      <w:pPr>
        <w:pStyle w:val="BodyText"/>
        <w:spacing w:before="2"/>
        <w:rPr>
          <w:b/>
          <w:sz w:val="18"/>
        </w:rPr>
      </w:pPr>
    </w:p>
    <w:p>
      <w:pPr>
        <w:pStyle w:val="ListParagraph"/>
        <w:numPr>
          <w:ilvl w:val="2"/>
          <w:numId w:val="207"/>
        </w:numPr>
        <w:tabs>
          <w:tab w:pos="1371" w:val="left" w:leader="none"/>
        </w:tabs>
        <w:spacing w:line="240" w:lineRule="auto" w:before="0" w:after="0"/>
        <w:ind w:left="1370" w:right="0" w:hanging="531"/>
        <w:jc w:val="left"/>
        <w:rPr>
          <w:sz w:val="21"/>
        </w:rPr>
      </w:pPr>
      <w:r>
        <w:rPr>
          <w:spacing w:val="-3"/>
          <w:sz w:val="21"/>
        </w:rPr>
        <w:t>消防泵</w:t>
      </w:r>
      <w:r>
        <w:rPr>
          <w:sz w:val="21"/>
        </w:rPr>
        <w:t> </w:t>
      </w:r>
    </w:p>
    <w:p>
      <w:pPr>
        <w:pStyle w:val="BodyText"/>
        <w:spacing w:before="12"/>
        <w:rPr>
          <w:sz w:val="17"/>
        </w:rPr>
      </w:pPr>
    </w:p>
    <w:p>
      <w:pPr>
        <w:pStyle w:val="ListParagraph"/>
        <w:numPr>
          <w:ilvl w:val="3"/>
          <w:numId w:val="207"/>
        </w:numPr>
        <w:tabs>
          <w:tab w:pos="1576" w:val="left" w:leader="none"/>
        </w:tabs>
        <w:spacing w:line="240" w:lineRule="auto" w:before="0" w:after="0"/>
        <w:ind w:left="1575" w:right="0" w:hanging="738"/>
        <w:jc w:val="left"/>
        <w:rPr>
          <w:sz w:val="21"/>
        </w:rPr>
      </w:pPr>
      <w:r>
        <w:rPr>
          <w:spacing w:val="-3"/>
          <w:sz w:val="21"/>
        </w:rPr>
        <w:t>选用的车用消防泵</w:t>
      </w:r>
      <w:r>
        <w:rPr>
          <w:sz w:val="21"/>
        </w:rPr>
        <w:t>（</w:t>
      </w:r>
      <w:r>
        <w:rPr>
          <w:spacing w:val="-7"/>
          <w:sz w:val="21"/>
        </w:rPr>
        <w:t>以下简称"消防泵”)应符合 </w:t>
      </w:r>
      <w:r>
        <w:rPr>
          <w:sz w:val="21"/>
        </w:rPr>
        <w:t>GB</w:t>
      </w:r>
      <w:r>
        <w:rPr>
          <w:spacing w:val="-1"/>
          <w:sz w:val="21"/>
        </w:rPr>
        <w:t> </w:t>
      </w:r>
      <w:r>
        <w:rPr>
          <w:sz w:val="21"/>
        </w:rPr>
        <w:t>6245—2006</w:t>
      </w:r>
      <w:r>
        <w:rPr>
          <w:spacing w:val="-10"/>
          <w:sz w:val="21"/>
        </w:rPr>
        <w:t> 的相关规定。</w:t>
      </w:r>
      <w:r>
        <w:rPr>
          <w:sz w:val="21"/>
        </w:rPr>
        <w:t> </w:t>
      </w:r>
    </w:p>
    <w:p>
      <w:pPr>
        <w:pStyle w:val="BodyText"/>
        <w:rPr>
          <w:sz w:val="18"/>
        </w:rPr>
      </w:pPr>
    </w:p>
    <w:p>
      <w:pPr>
        <w:pStyle w:val="ListParagraph"/>
        <w:numPr>
          <w:ilvl w:val="3"/>
          <w:numId w:val="207"/>
        </w:numPr>
        <w:tabs>
          <w:tab w:pos="1576" w:val="left" w:leader="none"/>
        </w:tabs>
        <w:spacing w:line="240" w:lineRule="auto" w:before="0" w:after="0"/>
        <w:ind w:left="1575" w:right="0" w:hanging="738"/>
        <w:jc w:val="left"/>
        <w:rPr>
          <w:sz w:val="21"/>
        </w:rPr>
      </w:pPr>
      <w:r>
        <w:rPr>
          <w:spacing w:val="-3"/>
          <w:sz w:val="21"/>
        </w:rPr>
        <w:t>消防泵放余水装置应操作方便，并应直接将余水排出车外。</w:t>
      </w:r>
      <w:r>
        <w:rPr>
          <w:sz w:val="21"/>
        </w:rPr>
        <w:t> </w:t>
      </w:r>
    </w:p>
    <w:p>
      <w:pPr>
        <w:pStyle w:val="BodyText"/>
        <w:spacing w:before="2"/>
        <w:rPr>
          <w:sz w:val="18"/>
        </w:rPr>
      </w:pPr>
    </w:p>
    <w:p>
      <w:pPr>
        <w:pStyle w:val="ListParagraph"/>
        <w:numPr>
          <w:ilvl w:val="3"/>
          <w:numId w:val="207"/>
        </w:numPr>
        <w:tabs>
          <w:tab w:pos="1576" w:val="left" w:leader="none"/>
        </w:tabs>
        <w:spacing w:line="240" w:lineRule="auto" w:before="0" w:after="0"/>
        <w:ind w:left="1575" w:right="0" w:hanging="738"/>
        <w:jc w:val="left"/>
        <w:rPr>
          <w:sz w:val="21"/>
        </w:rPr>
      </w:pPr>
      <w:r>
        <w:rPr>
          <w:spacing w:val="-3"/>
          <w:sz w:val="21"/>
        </w:rPr>
        <w:t>消防泵与发动机功率匹配应：</w:t>
      </w:r>
      <w:r>
        <w:rPr>
          <w:sz w:val="21"/>
        </w:rPr>
        <w:t> </w:t>
      </w:r>
    </w:p>
    <w:p>
      <w:pPr>
        <w:pStyle w:val="BodyText"/>
        <w:spacing w:before="12"/>
        <w:rPr>
          <w:sz w:val="17"/>
        </w:rPr>
      </w:pPr>
    </w:p>
    <w:p>
      <w:pPr>
        <w:pStyle w:val="BodyText"/>
        <w:spacing w:line="446" w:lineRule="auto"/>
        <w:ind w:left="418" w:right="1394" w:firstLine="419"/>
      </w:pPr>
      <w:r>
        <w:rPr/>
        <w:t>——消防泵额定工况的轴功率与发动机额定功率之比：汽油机不应大于 55%；柴油机不应大于 60%； </w:t>
      </w:r>
    </w:p>
    <w:p>
      <w:pPr>
        <w:spacing w:line="446" w:lineRule="auto" w:before="0"/>
        <w:ind w:left="840" w:right="6601" w:hanging="3"/>
        <w:jc w:val="left"/>
        <w:rPr>
          <w:sz w:val="21"/>
        </w:rPr>
      </w:pPr>
      <w:r>
        <w:rPr>
          <w:sz w:val="21"/>
        </w:rPr>
        <w:t>——取力器的增速比不大于 1.5。</w:t>
      </w:r>
      <w:r>
        <w:rPr>
          <w:b/>
          <w:sz w:val="21"/>
        </w:rPr>
        <w:t>4.4.2 </w:t>
      </w:r>
      <w:r>
        <w:rPr>
          <w:sz w:val="21"/>
        </w:rPr>
        <w:t>消防管路 </w:t>
      </w:r>
    </w:p>
    <w:p>
      <w:pPr>
        <w:pStyle w:val="ListParagraph"/>
        <w:numPr>
          <w:ilvl w:val="3"/>
          <w:numId w:val="209"/>
        </w:numPr>
        <w:tabs>
          <w:tab w:pos="1576" w:val="left" w:leader="none"/>
        </w:tabs>
        <w:spacing w:line="267" w:lineRule="exact" w:before="0" w:after="0"/>
        <w:ind w:left="1575" w:right="0" w:hanging="738"/>
        <w:jc w:val="left"/>
        <w:rPr>
          <w:sz w:val="21"/>
        </w:rPr>
      </w:pPr>
      <w:r>
        <w:rPr>
          <w:spacing w:val="-3"/>
          <w:sz w:val="21"/>
        </w:rPr>
        <w:t>—般要求</w:t>
      </w:r>
      <w:r>
        <w:rPr>
          <w:sz w:val="21"/>
        </w:rPr>
        <w:t> </w:t>
      </w:r>
    </w:p>
    <w:p>
      <w:pPr>
        <w:pStyle w:val="BodyText"/>
        <w:spacing w:before="2"/>
        <w:rPr>
          <w:sz w:val="18"/>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3"/>
          <w:sz w:val="21"/>
        </w:rPr>
        <w:t>所有消防管路应采用耐腐蚀材料或采取防腐蚀措施。</w:t>
      </w:r>
      <w:r>
        <w:rPr>
          <w:sz w:val="21"/>
        </w:rPr>
        <w:t> </w:t>
      </w:r>
    </w:p>
    <w:p>
      <w:pPr>
        <w:pStyle w:val="BodyText"/>
        <w:rPr>
          <w:sz w:val="18"/>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3"/>
          <w:sz w:val="21"/>
        </w:rPr>
        <w:t>管路布置应便于消防泵及传动机构的维护和保养。</w:t>
      </w:r>
      <w:r>
        <w:rPr>
          <w:sz w:val="21"/>
        </w:rPr>
        <w:t> </w:t>
      </w:r>
    </w:p>
    <w:p>
      <w:pPr>
        <w:pStyle w:val="BodyText"/>
        <w:rPr>
          <w:sz w:val="18"/>
        </w:rPr>
      </w:pPr>
    </w:p>
    <w:p>
      <w:pPr>
        <w:pStyle w:val="ListParagraph"/>
        <w:numPr>
          <w:ilvl w:val="4"/>
          <w:numId w:val="209"/>
        </w:numPr>
        <w:tabs>
          <w:tab w:pos="1788" w:val="left" w:leader="none"/>
        </w:tabs>
        <w:spacing w:line="446" w:lineRule="auto" w:before="0" w:after="0"/>
        <w:ind w:left="418" w:right="1503" w:firstLine="419"/>
        <w:jc w:val="left"/>
        <w:rPr>
          <w:sz w:val="21"/>
        </w:rPr>
      </w:pPr>
      <w:r>
        <w:rPr>
          <w:spacing w:val="-3"/>
          <w:sz w:val="21"/>
        </w:rPr>
        <w:t>消防管路应用不同颜色区分，消防泵进水管路及水罐至消防泵的输水管路应为GB/T</w:t>
      </w:r>
      <w:r>
        <w:rPr>
          <w:spacing w:val="9"/>
          <w:sz w:val="21"/>
        </w:rPr>
        <w:t> </w:t>
      </w:r>
      <w:r>
        <w:rPr>
          <w:sz w:val="21"/>
        </w:rPr>
        <w:t>3181</w:t>
      </w:r>
      <w:r>
        <w:rPr>
          <w:spacing w:val="-21"/>
          <w:sz w:val="21"/>
        </w:rPr>
        <w:t> 规定的 </w:t>
      </w:r>
      <w:r>
        <w:rPr>
          <w:sz w:val="21"/>
        </w:rPr>
        <w:t>G05</w:t>
      </w:r>
      <w:r>
        <w:rPr>
          <w:spacing w:val="-10"/>
          <w:sz w:val="21"/>
        </w:rPr>
        <w:t> 深绿色，泡沫罐与泡沫液泵或泡沫比例混合器的输液管路应为 </w:t>
      </w:r>
      <w:r>
        <w:rPr>
          <w:sz w:val="21"/>
        </w:rPr>
        <w:t>GB/T</w:t>
      </w:r>
      <w:r>
        <w:rPr>
          <w:spacing w:val="6"/>
          <w:sz w:val="21"/>
        </w:rPr>
        <w:t> </w:t>
      </w:r>
      <w:r>
        <w:rPr>
          <w:sz w:val="21"/>
        </w:rPr>
        <w:t>3181 </w:t>
      </w:r>
      <w:r>
        <w:rPr>
          <w:spacing w:val="-15"/>
          <w:sz w:val="21"/>
        </w:rPr>
        <w:t>规定的 </w:t>
      </w:r>
      <w:r>
        <w:rPr>
          <w:sz w:val="21"/>
        </w:rPr>
        <w:t>Y08</w:t>
      </w:r>
      <w:r>
        <w:rPr>
          <w:spacing w:val="-11"/>
          <w:sz w:val="21"/>
        </w:rPr>
        <w:t> 深黄色，消防泵出水管路应为 </w:t>
      </w:r>
      <w:r>
        <w:rPr>
          <w:sz w:val="21"/>
        </w:rPr>
        <w:t>GB/T</w:t>
      </w:r>
      <w:r>
        <w:rPr>
          <w:spacing w:val="2"/>
          <w:sz w:val="21"/>
        </w:rPr>
        <w:t> </w:t>
      </w:r>
      <w:r>
        <w:rPr>
          <w:sz w:val="21"/>
        </w:rPr>
        <w:t>3181</w:t>
      </w:r>
      <w:r>
        <w:rPr>
          <w:spacing w:val="-23"/>
          <w:sz w:val="21"/>
        </w:rPr>
        <w:t> 规定的 </w:t>
      </w:r>
      <w:r>
        <w:rPr>
          <w:sz w:val="21"/>
        </w:rPr>
        <w:t>R03</w:t>
      </w:r>
      <w:r>
        <w:rPr>
          <w:spacing w:val="-13"/>
          <w:sz w:val="21"/>
        </w:rPr>
        <w:t> 大红色。</w:t>
      </w:r>
      <w:r>
        <w:rPr>
          <w:sz w:val="21"/>
        </w:rPr>
        <w:t> </w:t>
      </w:r>
    </w:p>
    <w:p>
      <w:pPr>
        <w:pStyle w:val="ListParagraph"/>
        <w:numPr>
          <w:ilvl w:val="3"/>
          <w:numId w:val="209"/>
        </w:numPr>
        <w:tabs>
          <w:tab w:pos="1576" w:val="left" w:leader="none"/>
        </w:tabs>
        <w:spacing w:line="268" w:lineRule="exact" w:before="0" w:after="0"/>
        <w:ind w:left="1575" w:right="0" w:hanging="738"/>
        <w:jc w:val="left"/>
        <w:rPr>
          <w:sz w:val="21"/>
        </w:rPr>
      </w:pPr>
      <w:r>
        <w:rPr>
          <w:spacing w:val="-3"/>
          <w:sz w:val="21"/>
        </w:rPr>
        <w:t>消防泵进水管路</w:t>
      </w:r>
      <w:r>
        <w:rPr>
          <w:sz w:val="21"/>
        </w:rPr>
        <w:t> </w:t>
      </w:r>
    </w:p>
    <w:p>
      <w:pPr>
        <w:pStyle w:val="BodyText"/>
        <w:spacing w:before="2"/>
        <w:rPr>
          <w:sz w:val="18"/>
        </w:rPr>
      </w:pPr>
    </w:p>
    <w:p>
      <w:pPr>
        <w:pStyle w:val="ListParagraph"/>
        <w:numPr>
          <w:ilvl w:val="4"/>
          <w:numId w:val="209"/>
        </w:numPr>
        <w:tabs>
          <w:tab w:pos="1788" w:val="left" w:leader="none"/>
        </w:tabs>
        <w:spacing w:line="446" w:lineRule="auto" w:before="0" w:after="0"/>
        <w:ind w:left="418" w:right="1609" w:firstLine="419"/>
        <w:jc w:val="left"/>
        <w:rPr>
          <w:sz w:val="21"/>
        </w:rPr>
      </w:pPr>
      <w:r>
        <w:rPr>
          <w:spacing w:val="-3"/>
          <w:sz w:val="21"/>
        </w:rPr>
        <w:t>当消防泵进水口设在侧面时，应在车辆两侧均设进水口。单侧进水口应满足泡沫车额定压力和流量的要求。</w:t>
      </w:r>
      <w:r>
        <w:rPr>
          <w:sz w:val="21"/>
        </w:rPr>
        <w:t> </w:t>
      </w:r>
    </w:p>
    <w:p>
      <w:pPr>
        <w:pStyle w:val="ListParagraph"/>
        <w:numPr>
          <w:ilvl w:val="4"/>
          <w:numId w:val="209"/>
        </w:numPr>
        <w:tabs>
          <w:tab w:pos="1788" w:val="left" w:leader="none"/>
        </w:tabs>
        <w:spacing w:line="267" w:lineRule="exact" w:before="0" w:after="0"/>
        <w:ind w:left="1787" w:right="0" w:hanging="950"/>
        <w:jc w:val="left"/>
        <w:rPr>
          <w:sz w:val="21"/>
        </w:rPr>
      </w:pPr>
      <w:r>
        <w:rPr>
          <w:spacing w:val="-10"/>
          <w:sz w:val="21"/>
        </w:rPr>
        <w:t>额定流量不小于 </w:t>
      </w:r>
      <w:r>
        <w:rPr>
          <w:sz w:val="21"/>
        </w:rPr>
        <w:t>100L/s</w:t>
      </w:r>
      <w:r>
        <w:rPr>
          <w:spacing w:val="-9"/>
          <w:sz w:val="21"/>
        </w:rPr>
        <w:t> 的泡沫车进水管路应设置阀门。</w:t>
      </w:r>
      <w:r>
        <w:rPr>
          <w:sz w:val="21"/>
        </w:rPr>
        <w:t> </w:t>
      </w:r>
    </w:p>
    <w:p>
      <w:pPr>
        <w:pStyle w:val="BodyText"/>
        <w:spacing w:before="2"/>
        <w:rPr>
          <w:sz w:val="18"/>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10"/>
          <w:sz w:val="21"/>
        </w:rPr>
        <w:t>进水管路应保证 </w:t>
      </w:r>
      <w:r>
        <w:rPr>
          <w:sz w:val="21"/>
        </w:rPr>
        <w:t>45s</w:t>
      </w:r>
      <w:r>
        <w:rPr>
          <w:spacing w:val="-9"/>
          <w:sz w:val="21"/>
        </w:rPr>
        <w:t> 内能够放尽进水管路内的余水。</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4"/>
          <w:numId w:val="209"/>
        </w:numPr>
        <w:tabs>
          <w:tab w:pos="1788" w:val="left" w:leader="none"/>
        </w:tabs>
        <w:spacing w:line="446" w:lineRule="auto" w:before="47" w:after="0"/>
        <w:ind w:left="418" w:right="1609" w:firstLine="419"/>
        <w:jc w:val="left"/>
        <w:rPr>
          <w:sz w:val="21"/>
        </w:rPr>
      </w:pPr>
      <w:r>
        <w:rPr>
          <w:spacing w:val="-3"/>
          <w:sz w:val="21"/>
        </w:rPr>
        <w:t>消防泵的每个进水口和吸水管之间应安装抗腐蚀滤网，滤网的过流面积不应降低消防泵的额定压力和流量。滤网上的孔不应通过： </w:t>
      </w:r>
    </w:p>
    <w:p>
      <w:pPr>
        <w:pStyle w:val="BodyText"/>
        <w:spacing w:line="267" w:lineRule="exact"/>
        <w:ind w:left="838"/>
      </w:pPr>
      <w:r>
        <w:rPr/>
        <w:t>——对于额定流量不大于 30L/s 的消防泵，为大于或等于 8mm 的颗粒； </w:t>
      </w:r>
    </w:p>
    <w:p>
      <w:pPr>
        <w:pStyle w:val="BodyText"/>
        <w:spacing w:before="2"/>
        <w:rPr>
          <w:sz w:val="18"/>
        </w:rPr>
      </w:pPr>
    </w:p>
    <w:p>
      <w:pPr>
        <w:pStyle w:val="BodyText"/>
        <w:ind w:left="838"/>
      </w:pPr>
      <w:r>
        <w:rPr/>
        <w:t>——对于额定流量大于 30L/s 的消防泵,为大于或等于 13mm 的颗粒。 </w:t>
      </w:r>
    </w:p>
    <w:p>
      <w:pPr>
        <w:pStyle w:val="BodyText"/>
        <w:rPr>
          <w:sz w:val="18"/>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11"/>
          <w:sz w:val="21"/>
        </w:rPr>
        <w:t>进水管路在 </w:t>
      </w:r>
      <w:r>
        <w:rPr>
          <w:sz w:val="21"/>
        </w:rPr>
        <w:t>0.8MPa</w:t>
      </w:r>
      <w:r>
        <w:rPr>
          <w:spacing w:val="-9"/>
          <w:sz w:val="21"/>
        </w:rPr>
        <w:t> 静水压下不应出现管路漏水、冒汗、密封件渗漏等现象；在</w:t>
      </w:r>
    </w:p>
    <w:p>
      <w:pPr>
        <w:pStyle w:val="BodyText"/>
        <w:spacing w:before="12"/>
        <w:rPr>
          <w:sz w:val="17"/>
        </w:rPr>
      </w:pPr>
    </w:p>
    <w:p>
      <w:pPr>
        <w:pStyle w:val="BodyText"/>
        <w:ind w:left="418"/>
      </w:pPr>
      <w:r>
        <w:rPr/>
        <w:t>1.2MPa 静水压下不应破裂，不应产生影响正常使用的永久变形。 </w:t>
      </w:r>
    </w:p>
    <w:p>
      <w:pPr>
        <w:pStyle w:val="BodyText"/>
        <w:spacing w:before="2"/>
        <w:rPr>
          <w:sz w:val="18"/>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5"/>
          <w:sz w:val="21"/>
        </w:rPr>
        <w:t>泡沫车应配置吸水管，每车携带的吸水管长度不应小于 </w:t>
      </w:r>
      <w:r>
        <w:rPr>
          <w:sz w:val="21"/>
        </w:rPr>
        <w:t>8m</w:t>
      </w:r>
      <w:r>
        <w:rPr>
          <w:spacing w:val="-3"/>
          <w:sz w:val="21"/>
        </w:rPr>
        <w:t>。</w:t>
      </w:r>
      <w:r>
        <w:rPr>
          <w:sz w:val="21"/>
        </w:rPr>
        <w:t> </w:t>
      </w:r>
    </w:p>
    <w:p>
      <w:pPr>
        <w:pStyle w:val="BodyText"/>
        <w:rPr>
          <w:sz w:val="18"/>
        </w:rPr>
      </w:pPr>
    </w:p>
    <w:p>
      <w:pPr>
        <w:pStyle w:val="ListParagraph"/>
        <w:numPr>
          <w:ilvl w:val="3"/>
          <w:numId w:val="209"/>
        </w:numPr>
        <w:tabs>
          <w:tab w:pos="1576" w:val="left" w:leader="none"/>
        </w:tabs>
        <w:spacing w:line="240" w:lineRule="auto" w:before="0" w:after="0"/>
        <w:ind w:left="1575" w:right="0" w:hanging="738"/>
        <w:jc w:val="left"/>
        <w:rPr>
          <w:sz w:val="21"/>
        </w:rPr>
      </w:pPr>
      <w:r>
        <w:rPr>
          <w:spacing w:val="-3"/>
          <w:sz w:val="21"/>
        </w:rPr>
        <w:t>消防泵出水管路</w:t>
      </w:r>
      <w:r>
        <w:rPr>
          <w:sz w:val="21"/>
        </w:rPr>
        <w:t> </w:t>
      </w:r>
    </w:p>
    <w:p>
      <w:pPr>
        <w:pStyle w:val="BodyText"/>
        <w:spacing w:before="12"/>
        <w:rPr>
          <w:sz w:val="17"/>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3"/>
          <w:sz w:val="21"/>
        </w:rPr>
        <w:t>出水管路的通径和数量应保证泡沫车在额定工况下的出水流量。 </w:t>
      </w:r>
    </w:p>
    <w:p>
      <w:pPr>
        <w:pStyle w:val="BodyText"/>
        <w:spacing w:before="2"/>
        <w:rPr>
          <w:sz w:val="18"/>
        </w:rPr>
      </w:pPr>
    </w:p>
    <w:p>
      <w:pPr>
        <w:pStyle w:val="ListParagraph"/>
        <w:numPr>
          <w:ilvl w:val="4"/>
          <w:numId w:val="209"/>
        </w:numPr>
        <w:tabs>
          <w:tab w:pos="1788" w:val="left" w:leader="none"/>
        </w:tabs>
        <w:spacing w:line="446" w:lineRule="auto" w:before="0" w:after="0"/>
        <w:ind w:left="418" w:right="1817" w:firstLine="419"/>
        <w:jc w:val="left"/>
        <w:rPr>
          <w:sz w:val="21"/>
        </w:rPr>
      </w:pPr>
      <w:r>
        <w:rPr>
          <w:spacing w:val="-7"/>
          <w:sz w:val="21"/>
        </w:rPr>
        <w:t>出水管路最低处应保证 </w:t>
      </w:r>
      <w:r>
        <w:rPr>
          <w:sz w:val="21"/>
        </w:rPr>
        <w:t>45s</w:t>
      </w:r>
      <w:r>
        <w:rPr>
          <w:spacing w:val="-8"/>
          <w:sz w:val="21"/>
        </w:rPr>
        <w:t> 内能够放尽出水管路内的余水，放余水应便于操</w:t>
      </w:r>
      <w:r>
        <w:rPr>
          <w:spacing w:val="-6"/>
          <w:sz w:val="21"/>
        </w:rPr>
        <w:t>作。</w:t>
      </w:r>
      <w:r>
        <w:rPr>
          <w:sz w:val="21"/>
        </w:rPr>
        <w:t> </w:t>
      </w:r>
    </w:p>
    <w:p>
      <w:pPr>
        <w:pStyle w:val="ListParagraph"/>
        <w:numPr>
          <w:ilvl w:val="4"/>
          <w:numId w:val="209"/>
        </w:numPr>
        <w:tabs>
          <w:tab w:pos="1788" w:val="left" w:leader="none"/>
        </w:tabs>
        <w:spacing w:line="446" w:lineRule="auto" w:before="0" w:after="0"/>
        <w:ind w:left="418" w:right="1505" w:firstLine="419"/>
        <w:jc w:val="left"/>
        <w:rPr>
          <w:sz w:val="21"/>
        </w:rPr>
      </w:pPr>
      <w:r>
        <w:rPr>
          <w:spacing w:val="-7"/>
          <w:sz w:val="21"/>
        </w:rPr>
        <w:t>出水口中心离地高度大于 </w:t>
      </w:r>
      <w:r>
        <w:rPr>
          <w:sz w:val="21"/>
        </w:rPr>
        <w:t>1.2m</w:t>
      </w:r>
      <w:r>
        <w:rPr>
          <w:spacing w:val="-8"/>
          <w:sz w:val="21"/>
        </w:rPr>
        <w:t> 时，出水口应向下倾斜，且离操作踏板上平面的</w:t>
      </w:r>
      <w:r>
        <w:rPr>
          <w:spacing w:val="-12"/>
          <w:sz w:val="21"/>
        </w:rPr>
        <w:t>高度应不大于 </w:t>
      </w:r>
      <w:r>
        <w:rPr>
          <w:sz w:val="21"/>
        </w:rPr>
        <w:t>1.2 </w:t>
      </w:r>
      <w:r>
        <w:rPr>
          <w:spacing w:val="-3"/>
          <w:sz w:val="21"/>
        </w:rPr>
        <w:t>m。</w:t>
      </w:r>
      <w:r>
        <w:rPr>
          <w:sz w:val="21"/>
        </w:rPr>
        <w:t> </w:t>
      </w:r>
    </w:p>
    <w:p>
      <w:pPr>
        <w:pStyle w:val="ListParagraph"/>
        <w:numPr>
          <w:ilvl w:val="4"/>
          <w:numId w:val="209"/>
        </w:numPr>
        <w:tabs>
          <w:tab w:pos="1788" w:val="left" w:leader="none"/>
        </w:tabs>
        <w:spacing w:line="240" w:lineRule="auto" w:before="0" w:after="0"/>
        <w:ind w:left="1787" w:right="0" w:hanging="950"/>
        <w:jc w:val="left"/>
        <w:rPr>
          <w:sz w:val="21"/>
        </w:rPr>
      </w:pPr>
      <w:r>
        <w:rPr>
          <w:spacing w:val="-3"/>
          <w:sz w:val="21"/>
        </w:rPr>
        <w:t>出水管路应安装可关闭出水管路和消防泵连接的止回阀。</w:t>
      </w:r>
      <w:r>
        <w:rPr>
          <w:sz w:val="21"/>
        </w:rPr>
        <w:t> </w:t>
      </w:r>
    </w:p>
    <w:p>
      <w:pPr>
        <w:pStyle w:val="BodyText"/>
        <w:spacing w:before="10"/>
        <w:rPr>
          <w:sz w:val="17"/>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3"/>
          <w:sz w:val="21"/>
        </w:rPr>
        <w:t>出水管路应经静水压密封试验，试验压力为出水管路承受的最大工作压力值的</w:t>
      </w:r>
    </w:p>
    <w:p>
      <w:pPr>
        <w:pStyle w:val="BodyText"/>
        <w:spacing w:before="2"/>
        <w:rPr>
          <w:sz w:val="18"/>
        </w:rPr>
      </w:pPr>
    </w:p>
    <w:p>
      <w:pPr>
        <w:pStyle w:val="BodyText"/>
        <w:ind w:left="418"/>
      </w:pPr>
      <w:r>
        <w:rPr/>
        <w:t>1.1 倍。试验后，管路及各连接处不应出现渗漏。 </w:t>
      </w:r>
    </w:p>
    <w:p>
      <w:pPr>
        <w:pStyle w:val="BodyText"/>
        <w:rPr>
          <w:sz w:val="18"/>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3"/>
          <w:sz w:val="21"/>
        </w:rPr>
        <w:t>出水管路应经静水压强度试验，试验压力为出水管路承受的最大工作压力值的</w:t>
      </w:r>
    </w:p>
    <w:p>
      <w:pPr>
        <w:pStyle w:val="BodyText"/>
        <w:spacing w:before="12"/>
        <w:rPr>
          <w:sz w:val="17"/>
        </w:rPr>
      </w:pPr>
    </w:p>
    <w:p>
      <w:pPr>
        <w:pStyle w:val="BodyText"/>
        <w:ind w:left="418"/>
      </w:pPr>
      <w:r>
        <w:rPr/>
        <w:t>1.5 倍。试验后，不应出现明显变形和结构破坏。 </w:t>
      </w:r>
    </w:p>
    <w:p>
      <w:pPr>
        <w:pStyle w:val="BodyText"/>
        <w:spacing w:before="2"/>
        <w:rPr>
          <w:sz w:val="18"/>
        </w:rPr>
      </w:pPr>
    </w:p>
    <w:p>
      <w:pPr>
        <w:pStyle w:val="ListParagraph"/>
        <w:numPr>
          <w:ilvl w:val="4"/>
          <w:numId w:val="209"/>
        </w:numPr>
        <w:tabs>
          <w:tab w:pos="1788" w:val="left" w:leader="none"/>
        </w:tabs>
        <w:spacing w:line="446" w:lineRule="auto" w:before="0" w:after="0"/>
        <w:ind w:left="418" w:right="1450" w:firstLine="419"/>
        <w:jc w:val="left"/>
        <w:rPr>
          <w:sz w:val="21"/>
        </w:rPr>
      </w:pPr>
      <w:r>
        <w:rPr>
          <w:spacing w:val="-5"/>
          <w:sz w:val="21"/>
        </w:rPr>
        <w:t>在出水管路最大工作压力下，手动启闭的出水阀开启和关闭力不应大于 </w:t>
      </w:r>
      <w:r>
        <w:rPr>
          <w:sz w:val="21"/>
        </w:rPr>
        <w:t>200N(不</w:t>
      </w:r>
      <w:r>
        <w:rPr>
          <w:spacing w:val="-2"/>
          <w:sz w:val="21"/>
        </w:rPr>
        <w:t>使用辅助装置</w:t>
      </w:r>
      <w:r>
        <w:rPr>
          <w:spacing w:val="-3"/>
          <w:sz w:val="21"/>
        </w:rPr>
        <w:t>）。非手动启闭的出水阀按正常操作方法可开启和关闭。当出水管路中没有压力 </w:t>
      </w:r>
      <w:r>
        <w:rPr>
          <w:spacing w:val="-6"/>
          <w:sz w:val="21"/>
        </w:rPr>
        <w:t>时，手动启闭的出水阀开启和关闭力不应大于 </w:t>
      </w:r>
      <w:r>
        <w:rPr>
          <w:sz w:val="21"/>
        </w:rPr>
        <w:t>50N。 </w:t>
      </w:r>
    </w:p>
    <w:p>
      <w:pPr>
        <w:pStyle w:val="ListParagraph"/>
        <w:numPr>
          <w:ilvl w:val="4"/>
          <w:numId w:val="209"/>
        </w:numPr>
        <w:tabs>
          <w:tab w:pos="1788" w:val="left" w:leader="none"/>
        </w:tabs>
        <w:spacing w:line="446" w:lineRule="auto" w:before="0" w:after="0"/>
        <w:ind w:left="418" w:right="1609" w:firstLine="419"/>
        <w:jc w:val="left"/>
        <w:rPr>
          <w:sz w:val="21"/>
        </w:rPr>
      </w:pPr>
      <w:r>
        <w:rPr>
          <w:spacing w:val="-3"/>
          <w:sz w:val="21"/>
        </w:rPr>
        <w:t>出水阀应有指示启闭方向的指示标牌，在出水阀操作位置可见处应有“缓慢打</w:t>
      </w:r>
      <w:r>
        <w:rPr>
          <w:spacing w:val="-5"/>
          <w:sz w:val="21"/>
        </w:rPr>
        <w:t>开出水阀”的警示标牌，出水阀结构上应保证从开启至最大开度的时间应大于 </w:t>
      </w:r>
      <w:r>
        <w:rPr>
          <w:sz w:val="21"/>
        </w:rPr>
        <w:t>5s</w:t>
      </w:r>
      <w:r>
        <w:rPr>
          <w:spacing w:val="-3"/>
          <w:sz w:val="21"/>
        </w:rPr>
        <w:t>。</w:t>
      </w:r>
      <w:r>
        <w:rPr>
          <w:sz w:val="21"/>
        </w:rPr>
        <w:t> </w:t>
      </w:r>
    </w:p>
    <w:p>
      <w:pPr>
        <w:pStyle w:val="ListParagraph"/>
        <w:numPr>
          <w:ilvl w:val="3"/>
          <w:numId w:val="209"/>
        </w:numPr>
        <w:tabs>
          <w:tab w:pos="1576" w:val="left" w:leader="none"/>
        </w:tabs>
        <w:spacing w:line="267" w:lineRule="exact" w:before="0" w:after="0"/>
        <w:ind w:left="1575" w:right="0" w:hanging="738"/>
        <w:jc w:val="left"/>
        <w:rPr>
          <w:sz w:val="21"/>
        </w:rPr>
      </w:pPr>
      <w:r>
        <w:rPr>
          <w:spacing w:val="-3"/>
          <w:sz w:val="21"/>
        </w:rPr>
        <w:t>水罐至消防泵的输水管路</w:t>
      </w:r>
      <w:r>
        <w:rPr>
          <w:sz w:val="21"/>
        </w:rPr>
        <w:t> </w:t>
      </w:r>
    </w:p>
    <w:p>
      <w:pPr>
        <w:pStyle w:val="BodyText"/>
        <w:spacing w:before="1"/>
        <w:rPr>
          <w:sz w:val="18"/>
        </w:rPr>
      </w:pPr>
    </w:p>
    <w:p>
      <w:pPr>
        <w:pStyle w:val="ListParagraph"/>
        <w:numPr>
          <w:ilvl w:val="4"/>
          <w:numId w:val="209"/>
        </w:numPr>
        <w:tabs>
          <w:tab w:pos="1788" w:val="left" w:leader="none"/>
        </w:tabs>
        <w:spacing w:line="240" w:lineRule="auto" w:before="0" w:after="0"/>
        <w:ind w:left="1787" w:right="0" w:hanging="950"/>
        <w:jc w:val="left"/>
        <w:rPr>
          <w:sz w:val="21"/>
        </w:rPr>
      </w:pPr>
      <w:r>
        <w:rPr>
          <w:spacing w:val="-5"/>
          <w:sz w:val="21"/>
        </w:rPr>
        <w:t>水罐至消防泵的输水管路上应设置阀门且操作方便，泡沫车额定流量大于 </w:t>
      </w:r>
      <w:r>
        <w:rPr>
          <w:sz w:val="21"/>
        </w:rPr>
        <w:t>60L/s</w:t>
      </w:r>
    </w:p>
    <w:p>
      <w:pPr>
        <w:pStyle w:val="BodyText"/>
        <w:rPr>
          <w:sz w:val="18"/>
        </w:rPr>
      </w:pPr>
    </w:p>
    <w:p>
      <w:pPr>
        <w:pStyle w:val="BodyText"/>
        <w:ind w:left="418"/>
      </w:pPr>
      <w:r>
        <w:rPr/>
        <w:t>时不应采用手动开启。 </w:t>
      </w:r>
    </w:p>
    <w:p>
      <w:pPr>
        <w:pStyle w:val="BodyText"/>
        <w:spacing w:before="12"/>
        <w:rPr>
          <w:sz w:val="17"/>
        </w:rPr>
      </w:pPr>
    </w:p>
    <w:p>
      <w:pPr>
        <w:pStyle w:val="ListParagraph"/>
        <w:numPr>
          <w:ilvl w:val="4"/>
          <w:numId w:val="209"/>
        </w:numPr>
        <w:tabs>
          <w:tab w:pos="1788" w:val="left" w:leader="none"/>
        </w:tabs>
        <w:spacing w:line="446" w:lineRule="auto" w:before="0" w:after="0"/>
        <w:ind w:left="418" w:right="1609" w:firstLine="419"/>
        <w:jc w:val="left"/>
        <w:rPr>
          <w:sz w:val="21"/>
        </w:rPr>
      </w:pPr>
      <w:r>
        <w:rPr>
          <w:spacing w:val="-3"/>
          <w:sz w:val="21"/>
        </w:rPr>
        <w:t>当水罐内输水管路的进口设置在排污孔邻近部位时，应保证污物不进入消防泵内。</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209"/>
        </w:numPr>
        <w:tabs>
          <w:tab w:pos="1788" w:val="left" w:leader="none"/>
        </w:tabs>
        <w:spacing w:line="240" w:lineRule="auto" w:before="47" w:after="0"/>
        <w:ind w:left="1787" w:right="0" w:hanging="950"/>
        <w:jc w:val="left"/>
        <w:rPr>
          <w:sz w:val="21"/>
        </w:rPr>
      </w:pPr>
      <w:r>
        <w:rPr>
          <w:spacing w:val="-3"/>
          <w:sz w:val="21"/>
        </w:rPr>
        <w:t>输水管路进口应设置滤网，并应满足泡沫车额定工况要求。</w:t>
      </w:r>
      <w:r>
        <w:rPr>
          <w:sz w:val="21"/>
        </w:rPr>
        <w:t> </w:t>
      </w:r>
    </w:p>
    <w:p>
      <w:pPr>
        <w:pStyle w:val="BodyText"/>
        <w:rPr>
          <w:sz w:val="18"/>
        </w:rPr>
      </w:pPr>
    </w:p>
    <w:p>
      <w:pPr>
        <w:pStyle w:val="ListParagraph"/>
        <w:numPr>
          <w:ilvl w:val="4"/>
          <w:numId w:val="209"/>
        </w:numPr>
        <w:tabs>
          <w:tab w:pos="1788" w:val="left" w:leader="none"/>
        </w:tabs>
        <w:spacing w:line="446" w:lineRule="auto" w:before="0" w:after="0"/>
        <w:ind w:left="418" w:right="1505" w:firstLine="419"/>
        <w:jc w:val="both"/>
        <w:rPr>
          <w:sz w:val="21"/>
        </w:rPr>
      </w:pPr>
      <w:r>
        <w:rPr>
          <w:spacing w:val="-8"/>
          <w:sz w:val="21"/>
        </w:rPr>
        <w:t>额定流量不大于 </w:t>
      </w:r>
      <w:r>
        <w:rPr>
          <w:sz w:val="21"/>
        </w:rPr>
        <w:t>100L/s</w:t>
      </w:r>
      <w:r>
        <w:rPr>
          <w:spacing w:val="-8"/>
          <w:sz w:val="21"/>
        </w:rPr>
        <w:t> 的泡沫车，水罐至消防泵的输水管路应能保证抽取罐容</w:t>
      </w:r>
      <w:r>
        <w:rPr>
          <w:spacing w:val="-26"/>
          <w:sz w:val="21"/>
        </w:rPr>
        <w:t>量 </w:t>
      </w:r>
      <w:r>
        <w:rPr>
          <w:sz w:val="21"/>
        </w:rPr>
        <w:t>90</w:t>
      </w:r>
      <w:r>
        <w:rPr>
          <w:spacing w:val="-6"/>
          <w:sz w:val="21"/>
        </w:rPr>
        <w:t>%以上的水，额定流量大于 </w:t>
      </w:r>
      <w:r>
        <w:rPr>
          <w:sz w:val="21"/>
        </w:rPr>
        <w:t>100L/s</w:t>
      </w:r>
      <w:r>
        <w:rPr>
          <w:spacing w:val="-8"/>
          <w:sz w:val="21"/>
        </w:rPr>
        <w:t> 的泡沫车，水罐至消防泵的输水管路应能保证抽取罐容</w:t>
      </w:r>
      <w:r>
        <w:rPr>
          <w:spacing w:val="-31"/>
          <w:sz w:val="21"/>
        </w:rPr>
        <w:t>量 </w:t>
      </w:r>
      <w:r>
        <w:rPr>
          <w:sz w:val="21"/>
        </w:rPr>
        <w:t>85</w:t>
      </w:r>
      <w:r>
        <w:rPr>
          <w:spacing w:val="-3"/>
          <w:sz w:val="21"/>
        </w:rPr>
        <w:t>%以上的水。</w:t>
      </w:r>
      <w:r>
        <w:rPr>
          <w:sz w:val="21"/>
        </w:rPr>
        <w:t> </w:t>
      </w:r>
    </w:p>
    <w:p>
      <w:pPr>
        <w:pStyle w:val="ListParagraph"/>
        <w:numPr>
          <w:ilvl w:val="3"/>
          <w:numId w:val="209"/>
        </w:numPr>
        <w:tabs>
          <w:tab w:pos="1576" w:val="left" w:leader="none"/>
        </w:tabs>
        <w:spacing w:line="268" w:lineRule="exact" w:before="0" w:after="0"/>
        <w:ind w:left="1575" w:right="0" w:hanging="738"/>
        <w:jc w:val="left"/>
        <w:rPr>
          <w:sz w:val="21"/>
        </w:rPr>
      </w:pPr>
      <w:r>
        <w:rPr>
          <w:spacing w:val="-3"/>
          <w:sz w:val="21"/>
        </w:rPr>
        <w:t>泡沫罐至泡沫比例混合器的输液管路</w:t>
      </w:r>
      <w:r>
        <w:rPr>
          <w:sz w:val="21"/>
        </w:rPr>
        <w:t> </w:t>
      </w:r>
    </w:p>
    <w:p>
      <w:pPr>
        <w:pStyle w:val="BodyText"/>
        <w:rPr>
          <w:sz w:val="18"/>
        </w:rPr>
      </w:pPr>
    </w:p>
    <w:p>
      <w:pPr>
        <w:pStyle w:val="ListParagraph"/>
        <w:numPr>
          <w:ilvl w:val="4"/>
          <w:numId w:val="209"/>
        </w:numPr>
        <w:tabs>
          <w:tab w:pos="1788" w:val="left" w:leader="none"/>
        </w:tabs>
        <w:spacing w:line="446" w:lineRule="auto" w:before="0" w:after="0"/>
        <w:ind w:left="418" w:right="1452" w:firstLine="419"/>
        <w:jc w:val="left"/>
        <w:rPr>
          <w:sz w:val="21"/>
        </w:rPr>
      </w:pPr>
      <w:r>
        <w:rPr>
          <w:spacing w:val="-5"/>
          <w:sz w:val="21"/>
        </w:rPr>
        <w:t>泡沫罐至泡沫液泵或泡沫比例混合器的输液管路应能抽取罐容量 </w:t>
      </w:r>
      <w:r>
        <w:rPr>
          <w:sz w:val="21"/>
        </w:rPr>
        <w:t>95%</w:t>
      </w:r>
      <w:r>
        <w:rPr>
          <w:spacing w:val="-3"/>
          <w:sz w:val="21"/>
        </w:rPr>
        <w:t>以上的泡沫液。</w:t>
      </w:r>
      <w:r>
        <w:rPr>
          <w:sz w:val="21"/>
        </w:rPr>
        <w:t> </w:t>
      </w:r>
    </w:p>
    <w:p>
      <w:pPr>
        <w:pStyle w:val="ListParagraph"/>
        <w:numPr>
          <w:ilvl w:val="4"/>
          <w:numId w:val="209"/>
        </w:numPr>
        <w:tabs>
          <w:tab w:pos="1788" w:val="left" w:leader="none"/>
        </w:tabs>
        <w:spacing w:line="240" w:lineRule="auto" w:before="0" w:after="0"/>
        <w:ind w:left="1787" w:right="0" w:hanging="950"/>
        <w:jc w:val="left"/>
        <w:rPr>
          <w:sz w:val="21"/>
        </w:rPr>
      </w:pPr>
      <w:r>
        <w:rPr>
          <w:spacing w:val="-3"/>
          <w:sz w:val="21"/>
        </w:rPr>
        <w:t>泡沫罐输液管路通径应满足泡沫比例混合器的最大流量要求，并在大气压力为</w:t>
      </w:r>
    </w:p>
    <w:p>
      <w:pPr>
        <w:pStyle w:val="BodyText"/>
        <w:rPr>
          <w:sz w:val="18"/>
        </w:rPr>
      </w:pPr>
    </w:p>
    <w:p>
      <w:pPr>
        <w:pStyle w:val="BodyText"/>
        <w:spacing w:line="446" w:lineRule="auto"/>
        <w:ind w:left="418" w:right="1611"/>
      </w:pPr>
      <w:r>
        <w:rPr/>
        <w:t>101kPa</w:t>
      </w:r>
      <w:r>
        <w:rPr>
          <w:spacing w:val="-15"/>
        </w:rPr>
        <w:t> 下， 承受 </w:t>
      </w:r>
      <w:r>
        <w:rPr/>
        <w:t>85kPa</w:t>
      </w:r>
      <w:r>
        <w:rPr>
          <w:spacing w:val="-21"/>
        </w:rPr>
        <w:t> 真空度 </w:t>
      </w:r>
      <w:r>
        <w:rPr/>
        <w:t>5min</w:t>
      </w:r>
      <w:r>
        <w:rPr>
          <w:spacing w:val="-3"/>
        </w:rPr>
        <w:t>，不应有渗漏和肉眼可见的变形。泡沫液输液管路进口应装有滤网。</w:t>
      </w:r>
      <w:r>
        <w:rPr/>
        <w:t> </w:t>
      </w:r>
    </w:p>
    <w:p>
      <w:pPr>
        <w:pStyle w:val="ListParagraph"/>
        <w:numPr>
          <w:ilvl w:val="2"/>
          <w:numId w:val="210"/>
        </w:numPr>
        <w:tabs>
          <w:tab w:pos="1370" w:val="left" w:leader="none"/>
        </w:tabs>
        <w:spacing w:line="240" w:lineRule="auto" w:before="0" w:after="0"/>
        <w:ind w:left="1369" w:right="0" w:hanging="530"/>
        <w:jc w:val="left"/>
        <w:rPr>
          <w:sz w:val="21"/>
        </w:rPr>
      </w:pPr>
      <w:r>
        <w:rPr>
          <w:spacing w:val="-3"/>
          <w:sz w:val="21"/>
        </w:rPr>
        <w:t>水罐和泡沫液罐</w:t>
      </w:r>
      <w:r>
        <w:rPr>
          <w:sz w:val="21"/>
        </w:rPr>
        <w:t> </w:t>
      </w:r>
    </w:p>
    <w:p>
      <w:pPr>
        <w:pStyle w:val="BodyText"/>
        <w:spacing w:before="12"/>
        <w:rPr>
          <w:sz w:val="17"/>
        </w:rPr>
      </w:pPr>
    </w:p>
    <w:p>
      <w:pPr>
        <w:pStyle w:val="ListParagraph"/>
        <w:numPr>
          <w:ilvl w:val="3"/>
          <w:numId w:val="210"/>
        </w:numPr>
        <w:tabs>
          <w:tab w:pos="1576" w:val="left" w:leader="none"/>
        </w:tabs>
        <w:spacing w:line="240" w:lineRule="auto" w:before="0" w:after="0"/>
        <w:ind w:left="1575" w:right="0" w:hanging="738"/>
        <w:jc w:val="left"/>
        <w:rPr>
          <w:sz w:val="21"/>
        </w:rPr>
      </w:pPr>
      <w:r>
        <w:rPr>
          <w:spacing w:val="-3"/>
          <w:sz w:val="21"/>
        </w:rPr>
        <w:t>罐体要求</w:t>
      </w:r>
      <w:r>
        <w:rPr>
          <w:sz w:val="21"/>
        </w:rPr>
        <w:t> </w:t>
      </w:r>
    </w:p>
    <w:p>
      <w:pPr>
        <w:pStyle w:val="BodyText"/>
        <w:spacing w:before="2"/>
        <w:rPr>
          <w:sz w:val="18"/>
        </w:rPr>
      </w:pPr>
    </w:p>
    <w:p>
      <w:pPr>
        <w:pStyle w:val="ListParagraph"/>
        <w:numPr>
          <w:ilvl w:val="4"/>
          <w:numId w:val="210"/>
        </w:numPr>
        <w:tabs>
          <w:tab w:pos="1788" w:val="left" w:leader="none"/>
        </w:tabs>
        <w:spacing w:line="446" w:lineRule="auto" w:before="0" w:after="0"/>
        <w:ind w:left="418" w:right="1455" w:firstLine="419"/>
        <w:jc w:val="left"/>
        <w:rPr>
          <w:sz w:val="21"/>
        </w:rPr>
      </w:pPr>
      <w:r>
        <w:rPr>
          <w:spacing w:val="-7"/>
          <w:sz w:val="21"/>
        </w:rPr>
        <w:t>泡沫车罐容积大于或等于 </w:t>
      </w:r>
      <w:r>
        <w:rPr>
          <w:sz w:val="21"/>
        </w:rPr>
        <w:t>12m³</w:t>
      </w:r>
      <w:r>
        <w:rPr>
          <w:spacing w:val="-7"/>
          <w:sz w:val="21"/>
        </w:rPr>
        <w:t>时，容积误差不应超过土 </w:t>
      </w:r>
      <w:r>
        <w:rPr>
          <w:sz w:val="21"/>
        </w:rPr>
        <w:t>2</w:t>
      </w:r>
      <w:r>
        <w:rPr>
          <w:spacing w:val="-9"/>
          <w:sz w:val="21"/>
        </w:rPr>
        <w:t>%；容积小于 </w:t>
      </w:r>
      <w:r>
        <w:rPr>
          <w:sz w:val="21"/>
        </w:rPr>
        <w:t>12m³且不</w:t>
      </w:r>
      <w:r>
        <w:rPr>
          <w:spacing w:val="-17"/>
          <w:sz w:val="21"/>
        </w:rPr>
        <w:t>小于 </w:t>
      </w:r>
      <w:r>
        <w:rPr>
          <w:sz w:val="21"/>
        </w:rPr>
        <w:t>1m³</w:t>
      </w:r>
      <w:r>
        <w:rPr>
          <w:spacing w:val="-12"/>
          <w:sz w:val="21"/>
        </w:rPr>
        <w:t>时，每减少 </w:t>
      </w:r>
      <w:r>
        <w:rPr>
          <w:sz w:val="21"/>
        </w:rPr>
        <w:t>1m³</w:t>
      </w:r>
      <w:r>
        <w:rPr>
          <w:spacing w:val="-8"/>
          <w:sz w:val="21"/>
        </w:rPr>
        <w:t>，其误差绝对值增加 </w:t>
      </w:r>
      <w:r>
        <w:rPr>
          <w:sz w:val="21"/>
        </w:rPr>
        <w:t>0.1</w:t>
      </w:r>
      <w:r>
        <w:rPr>
          <w:spacing w:val="-8"/>
          <w:sz w:val="21"/>
        </w:rPr>
        <w:t>%；容积小于 </w:t>
      </w:r>
      <w:r>
        <w:rPr>
          <w:sz w:val="21"/>
        </w:rPr>
        <w:t>1m³</w:t>
      </w:r>
      <w:r>
        <w:rPr>
          <w:spacing w:val="-8"/>
          <w:sz w:val="21"/>
        </w:rPr>
        <w:t>时，容积误差不应超过 </w:t>
      </w:r>
      <w:r>
        <w:rPr>
          <w:sz w:val="21"/>
        </w:rPr>
        <w:t>10</w:t>
      </w:r>
      <w:r>
        <w:rPr>
          <w:spacing w:val="-2"/>
          <w:sz w:val="21"/>
        </w:rPr>
        <w:t>%。</w:t>
      </w:r>
      <w:r>
        <w:rPr>
          <w:sz w:val="21"/>
        </w:rPr>
        <w:t> </w:t>
      </w:r>
    </w:p>
    <w:p>
      <w:pPr>
        <w:pStyle w:val="ListParagraph"/>
        <w:numPr>
          <w:ilvl w:val="4"/>
          <w:numId w:val="210"/>
        </w:numPr>
        <w:tabs>
          <w:tab w:pos="1788" w:val="left" w:leader="none"/>
        </w:tabs>
        <w:spacing w:line="267" w:lineRule="exact" w:before="0" w:after="0"/>
        <w:ind w:left="1787" w:right="0" w:hanging="950"/>
        <w:jc w:val="left"/>
        <w:rPr>
          <w:sz w:val="21"/>
        </w:rPr>
      </w:pPr>
      <w:r>
        <w:rPr>
          <w:spacing w:val="-3"/>
          <w:sz w:val="21"/>
        </w:rPr>
        <w:t>罐体和阀门应采用防腐材料或经过防腐处理。</w:t>
      </w:r>
      <w:r>
        <w:rPr>
          <w:sz w:val="21"/>
        </w:rPr>
        <w:t> </w:t>
      </w:r>
    </w:p>
    <w:p>
      <w:pPr>
        <w:pStyle w:val="BodyText"/>
        <w:spacing w:before="2"/>
        <w:rPr>
          <w:sz w:val="18"/>
        </w:rPr>
      </w:pPr>
    </w:p>
    <w:p>
      <w:pPr>
        <w:pStyle w:val="ListParagraph"/>
        <w:numPr>
          <w:ilvl w:val="4"/>
          <w:numId w:val="210"/>
        </w:numPr>
        <w:tabs>
          <w:tab w:pos="1788" w:val="left" w:leader="none"/>
        </w:tabs>
        <w:spacing w:line="446" w:lineRule="auto" w:before="0" w:after="0"/>
        <w:ind w:left="418" w:right="1508" w:firstLine="419"/>
        <w:jc w:val="left"/>
        <w:rPr>
          <w:sz w:val="21"/>
        </w:rPr>
      </w:pPr>
      <w:r>
        <w:rPr>
          <w:spacing w:val="-10"/>
          <w:sz w:val="21"/>
        </w:rPr>
        <w:t>罐容积超过 </w:t>
      </w:r>
      <w:r>
        <w:rPr>
          <w:sz w:val="21"/>
        </w:rPr>
        <w:t>2m³，</w:t>
      </w:r>
      <w:r>
        <w:rPr>
          <w:spacing w:val="-7"/>
          <w:sz w:val="21"/>
        </w:rPr>
        <w:t>罐内应设防荡板，罐容积超过 </w:t>
      </w:r>
      <w:r>
        <w:rPr>
          <w:sz w:val="21"/>
        </w:rPr>
        <w:t>3m³</w:t>
      </w:r>
      <w:r>
        <w:rPr>
          <w:spacing w:val="-3"/>
          <w:sz w:val="21"/>
        </w:rPr>
        <w:t>，罐内应设纵向防荡板，防</w:t>
      </w:r>
      <w:r>
        <w:rPr>
          <w:spacing w:val="-7"/>
          <w:sz w:val="21"/>
        </w:rPr>
        <w:t>荡板隔出的单腔容积不应大于 </w:t>
      </w:r>
      <w:r>
        <w:rPr>
          <w:sz w:val="21"/>
        </w:rPr>
        <w:t>2m³</w:t>
      </w:r>
      <w:r>
        <w:rPr>
          <w:spacing w:val="-3"/>
          <w:sz w:val="21"/>
        </w:rPr>
        <w:t>。</w:t>
      </w:r>
      <w:r>
        <w:rPr>
          <w:sz w:val="21"/>
        </w:rPr>
        <w:t> </w:t>
      </w:r>
    </w:p>
    <w:p>
      <w:pPr>
        <w:pStyle w:val="ListParagraph"/>
        <w:numPr>
          <w:ilvl w:val="4"/>
          <w:numId w:val="210"/>
        </w:numPr>
        <w:tabs>
          <w:tab w:pos="1788" w:val="left" w:leader="none"/>
        </w:tabs>
        <w:spacing w:line="267" w:lineRule="exact" w:before="0" w:after="0"/>
        <w:ind w:left="1787" w:right="0" w:hanging="950"/>
        <w:jc w:val="left"/>
        <w:rPr>
          <w:sz w:val="21"/>
        </w:rPr>
      </w:pPr>
      <w:r>
        <w:rPr>
          <w:spacing w:val="-13"/>
          <w:sz w:val="21"/>
        </w:rPr>
        <w:t>容积大于 </w:t>
      </w:r>
      <w:r>
        <w:rPr>
          <w:sz w:val="21"/>
        </w:rPr>
        <w:t>1m³</w:t>
      </w:r>
      <w:r>
        <w:rPr>
          <w:spacing w:val="-3"/>
          <w:sz w:val="21"/>
        </w:rPr>
        <w:t>的罐顶部应设置可供人员进出的人孔及人孔盖，人孔直径不小于</w:t>
      </w:r>
    </w:p>
    <w:p>
      <w:pPr>
        <w:pStyle w:val="BodyText"/>
        <w:spacing w:before="1"/>
        <w:rPr>
          <w:sz w:val="18"/>
        </w:rPr>
      </w:pPr>
    </w:p>
    <w:p>
      <w:pPr>
        <w:pStyle w:val="BodyText"/>
        <w:spacing w:before="1"/>
        <w:ind w:left="418"/>
      </w:pPr>
      <w:r>
        <w:rPr/>
        <w:t>0.4m。水罐人孔盖在罐内压力超过 0.1MPa 时可自动卸压。 </w:t>
      </w:r>
    </w:p>
    <w:p>
      <w:pPr>
        <w:pStyle w:val="BodyText"/>
        <w:rPr>
          <w:sz w:val="18"/>
        </w:rPr>
      </w:pPr>
    </w:p>
    <w:p>
      <w:pPr>
        <w:pStyle w:val="ListParagraph"/>
        <w:numPr>
          <w:ilvl w:val="4"/>
          <w:numId w:val="210"/>
        </w:numPr>
        <w:tabs>
          <w:tab w:pos="1788" w:val="left" w:leader="none"/>
        </w:tabs>
        <w:spacing w:line="446" w:lineRule="auto" w:before="0" w:after="0"/>
        <w:ind w:left="418" w:right="1818" w:firstLine="419"/>
        <w:jc w:val="left"/>
        <w:rPr>
          <w:sz w:val="21"/>
        </w:rPr>
      </w:pPr>
      <w:r>
        <w:rPr>
          <w:spacing w:val="-3"/>
          <w:sz w:val="21"/>
        </w:rPr>
        <w:t>水罐和泡沫液罐最低处应设置排污孔，排出的淤物不应接触车身或底盘零部件。</w:t>
      </w:r>
      <w:r>
        <w:rPr>
          <w:sz w:val="21"/>
        </w:rPr>
        <w:t> </w:t>
      </w:r>
    </w:p>
    <w:p>
      <w:pPr>
        <w:pStyle w:val="ListParagraph"/>
        <w:numPr>
          <w:ilvl w:val="4"/>
          <w:numId w:val="210"/>
        </w:numPr>
        <w:tabs>
          <w:tab w:pos="1788" w:val="left" w:leader="none"/>
        </w:tabs>
        <w:spacing w:line="240" w:lineRule="auto" w:before="0" w:after="0"/>
        <w:ind w:left="1787" w:right="0" w:hanging="950"/>
        <w:jc w:val="left"/>
        <w:rPr>
          <w:sz w:val="21"/>
        </w:rPr>
      </w:pPr>
      <w:r>
        <w:rPr>
          <w:spacing w:val="-3"/>
          <w:sz w:val="21"/>
        </w:rPr>
        <w:t>水罐和泡沫液罐应设置液位或液量的指示装置。</w:t>
      </w:r>
      <w:r>
        <w:rPr>
          <w:sz w:val="21"/>
        </w:rPr>
        <w:t> </w:t>
      </w:r>
    </w:p>
    <w:p>
      <w:pPr>
        <w:pStyle w:val="BodyText"/>
        <w:spacing w:before="12"/>
        <w:rPr>
          <w:sz w:val="17"/>
        </w:rPr>
      </w:pPr>
    </w:p>
    <w:p>
      <w:pPr>
        <w:pStyle w:val="ListParagraph"/>
        <w:numPr>
          <w:ilvl w:val="4"/>
          <w:numId w:val="210"/>
        </w:numPr>
        <w:tabs>
          <w:tab w:pos="1788" w:val="left" w:leader="none"/>
        </w:tabs>
        <w:spacing w:line="446" w:lineRule="auto" w:before="0" w:after="0"/>
        <w:ind w:left="418" w:right="1611" w:firstLine="419"/>
        <w:jc w:val="left"/>
        <w:rPr>
          <w:sz w:val="21"/>
        </w:rPr>
      </w:pPr>
      <w:r>
        <w:rPr>
          <w:spacing w:val="-7"/>
          <w:sz w:val="21"/>
        </w:rPr>
        <w:t>水罐和泡沫液罐应能承受 </w:t>
      </w:r>
      <w:r>
        <w:rPr>
          <w:sz w:val="21"/>
        </w:rPr>
        <w:t>0.1MPa</w:t>
      </w:r>
      <w:r>
        <w:rPr>
          <w:spacing w:val="-13"/>
          <w:sz w:val="21"/>
        </w:rPr>
        <w:t> 的静水压力。经 </w:t>
      </w:r>
      <w:r>
        <w:rPr>
          <w:sz w:val="21"/>
        </w:rPr>
        <w:t>0.1MPa</w:t>
      </w:r>
      <w:r>
        <w:rPr>
          <w:spacing w:val="-9"/>
          <w:sz w:val="21"/>
        </w:rPr>
        <w:t> 静水压强度试验，罐</w:t>
      </w:r>
      <w:r>
        <w:rPr>
          <w:spacing w:val="-5"/>
          <w:sz w:val="21"/>
        </w:rPr>
        <w:t>体两侧面不应出现明显残余变形，相连接的管道、阀门均不许有渗漏。</w:t>
      </w:r>
      <w:r>
        <w:rPr>
          <w:sz w:val="21"/>
        </w:rPr>
        <w:t> </w:t>
      </w:r>
    </w:p>
    <w:p>
      <w:pPr>
        <w:pStyle w:val="ListParagraph"/>
        <w:numPr>
          <w:ilvl w:val="4"/>
          <w:numId w:val="210"/>
        </w:numPr>
        <w:tabs>
          <w:tab w:pos="1788" w:val="left" w:leader="none"/>
        </w:tabs>
        <w:spacing w:line="240" w:lineRule="auto" w:before="0" w:after="0"/>
        <w:ind w:left="1787" w:right="0" w:hanging="950"/>
        <w:jc w:val="left"/>
        <w:rPr>
          <w:sz w:val="21"/>
        </w:rPr>
      </w:pPr>
      <w:r>
        <w:rPr>
          <w:spacing w:val="-3"/>
          <w:sz w:val="21"/>
        </w:rPr>
        <w:t>泡沫液罐应设置呼吸口，呼吸口应保证正常输送泡沫液。</w:t>
      </w:r>
      <w:r>
        <w:rPr>
          <w:sz w:val="21"/>
        </w:rPr>
        <w:t> </w:t>
      </w:r>
    </w:p>
    <w:p>
      <w:pPr>
        <w:pStyle w:val="BodyText"/>
        <w:rPr>
          <w:sz w:val="18"/>
        </w:rPr>
      </w:pPr>
    </w:p>
    <w:p>
      <w:pPr>
        <w:pStyle w:val="ListParagraph"/>
        <w:numPr>
          <w:ilvl w:val="3"/>
          <w:numId w:val="210"/>
        </w:numPr>
        <w:tabs>
          <w:tab w:pos="1576" w:val="left" w:leader="none"/>
        </w:tabs>
        <w:spacing w:line="240" w:lineRule="auto" w:before="0" w:after="0"/>
        <w:ind w:left="1575" w:right="0" w:hanging="738"/>
        <w:jc w:val="left"/>
        <w:rPr>
          <w:sz w:val="21"/>
        </w:rPr>
      </w:pPr>
      <w:r>
        <w:rPr>
          <w:spacing w:val="-3"/>
          <w:sz w:val="21"/>
        </w:rPr>
        <w:t>注液装置</w:t>
      </w:r>
      <w:r>
        <w:rPr>
          <w:sz w:val="21"/>
        </w:rPr>
        <w:t> </w:t>
      </w:r>
    </w:p>
    <w:p>
      <w:pPr>
        <w:pStyle w:val="BodyText"/>
        <w:spacing w:before="12"/>
        <w:rPr>
          <w:sz w:val="17"/>
        </w:rPr>
      </w:pPr>
    </w:p>
    <w:p>
      <w:pPr>
        <w:pStyle w:val="ListParagraph"/>
        <w:numPr>
          <w:ilvl w:val="4"/>
          <w:numId w:val="210"/>
        </w:numPr>
        <w:tabs>
          <w:tab w:pos="1788" w:val="left" w:leader="none"/>
        </w:tabs>
        <w:spacing w:line="446" w:lineRule="auto" w:before="0" w:after="0"/>
        <w:ind w:left="418" w:right="1609" w:firstLine="419"/>
        <w:jc w:val="left"/>
        <w:rPr>
          <w:sz w:val="21"/>
        </w:rPr>
      </w:pPr>
      <w:r>
        <w:rPr>
          <w:spacing w:val="-3"/>
          <w:sz w:val="21"/>
        </w:rPr>
        <w:t>消防泵至水罐的注水管路应设置阀门，阀门应方便操作。注水管路通径不应小</w:t>
      </w:r>
      <w:r>
        <w:rPr>
          <w:spacing w:val="-28"/>
          <w:sz w:val="21"/>
        </w:rPr>
        <w:t>于 </w:t>
      </w:r>
      <w:r>
        <w:rPr>
          <w:sz w:val="21"/>
        </w:rPr>
        <w:t>65mm</w:t>
      </w:r>
      <w:r>
        <w:rPr>
          <w:spacing w:val="-3"/>
          <w:sz w:val="21"/>
        </w:rPr>
        <w:t>，管路中不应有积水。</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4"/>
          <w:numId w:val="210"/>
        </w:numPr>
        <w:tabs>
          <w:tab w:pos="1788" w:val="left" w:leader="none"/>
        </w:tabs>
        <w:spacing w:line="446" w:lineRule="auto" w:before="47" w:after="0"/>
        <w:ind w:left="418" w:right="1767" w:firstLine="419"/>
        <w:jc w:val="left"/>
        <w:rPr>
          <w:sz w:val="21"/>
        </w:rPr>
      </w:pPr>
      <w:r>
        <w:rPr>
          <w:spacing w:val="-5"/>
          <w:sz w:val="21"/>
        </w:rPr>
        <w:t>从车辆外部向水罐注水的管路通径不应小于 </w:t>
      </w:r>
      <w:r>
        <w:rPr>
          <w:sz w:val="21"/>
        </w:rPr>
        <w:t>65mm</w:t>
      </w:r>
      <w:r>
        <w:rPr>
          <w:spacing w:val="-3"/>
          <w:sz w:val="21"/>
        </w:rPr>
        <w:t>，管路应保证罐内水不会倒流，管路中不应有积水。注水口应加防护盖。</w:t>
      </w:r>
      <w:r>
        <w:rPr>
          <w:sz w:val="21"/>
        </w:rPr>
        <w:t> </w:t>
      </w:r>
    </w:p>
    <w:p>
      <w:pPr>
        <w:pStyle w:val="ListParagraph"/>
        <w:numPr>
          <w:ilvl w:val="4"/>
          <w:numId w:val="210"/>
        </w:numPr>
        <w:tabs>
          <w:tab w:pos="1788" w:val="left" w:leader="none"/>
        </w:tabs>
        <w:spacing w:line="446" w:lineRule="auto" w:before="0" w:after="0"/>
        <w:ind w:left="418" w:right="1609" w:firstLine="419"/>
        <w:jc w:val="left"/>
        <w:rPr>
          <w:sz w:val="21"/>
        </w:rPr>
      </w:pPr>
      <w:r>
        <w:rPr>
          <w:spacing w:val="-3"/>
          <w:sz w:val="21"/>
        </w:rPr>
        <w:t>泡沫液泵至泡沫液罐间的注液管路应设置不锈钢阀门，阀门应便于操作。注液</w:t>
      </w:r>
      <w:r>
        <w:rPr>
          <w:spacing w:val="-8"/>
          <w:sz w:val="21"/>
        </w:rPr>
        <w:t>管路应采用壁厚不小于 </w:t>
      </w:r>
      <w:r>
        <w:rPr>
          <w:sz w:val="21"/>
        </w:rPr>
        <w:t>1.5mm</w:t>
      </w:r>
      <w:r>
        <w:rPr>
          <w:spacing w:val="-13"/>
          <w:sz w:val="21"/>
        </w:rPr>
        <w:t> 的不锈钢管，通径不小于 </w:t>
      </w:r>
      <w:r>
        <w:rPr>
          <w:sz w:val="21"/>
        </w:rPr>
        <w:t>40mm</w:t>
      </w:r>
      <w:r>
        <w:rPr>
          <w:spacing w:val="-3"/>
          <w:sz w:val="21"/>
        </w:rPr>
        <w:t>。</w:t>
      </w:r>
      <w:r>
        <w:rPr>
          <w:sz w:val="21"/>
        </w:rPr>
        <w:t> </w:t>
      </w:r>
    </w:p>
    <w:p>
      <w:pPr>
        <w:pStyle w:val="ListParagraph"/>
        <w:numPr>
          <w:ilvl w:val="4"/>
          <w:numId w:val="210"/>
        </w:numPr>
        <w:tabs>
          <w:tab w:pos="1788" w:val="left" w:leader="none"/>
        </w:tabs>
        <w:spacing w:line="240" w:lineRule="auto" w:before="0" w:after="0"/>
        <w:ind w:left="1787" w:right="0" w:hanging="950"/>
        <w:jc w:val="left"/>
        <w:rPr>
          <w:sz w:val="21"/>
        </w:rPr>
      </w:pPr>
      <w:r>
        <w:rPr>
          <w:spacing w:val="-3"/>
          <w:sz w:val="21"/>
        </w:rPr>
        <w:t>泡沫罐注液口应有保护盖。</w:t>
      </w:r>
      <w:r>
        <w:rPr>
          <w:sz w:val="21"/>
        </w:rPr>
        <w:t> </w:t>
      </w:r>
    </w:p>
    <w:p>
      <w:pPr>
        <w:pStyle w:val="BodyText"/>
        <w:spacing w:before="10"/>
        <w:rPr>
          <w:sz w:val="17"/>
        </w:rPr>
      </w:pPr>
    </w:p>
    <w:p>
      <w:pPr>
        <w:pStyle w:val="ListParagraph"/>
        <w:numPr>
          <w:ilvl w:val="3"/>
          <w:numId w:val="210"/>
        </w:numPr>
        <w:tabs>
          <w:tab w:pos="1576" w:val="left" w:leader="none"/>
        </w:tabs>
        <w:spacing w:line="240" w:lineRule="auto" w:before="0" w:after="0"/>
        <w:ind w:left="1575" w:right="0" w:hanging="738"/>
        <w:jc w:val="left"/>
        <w:rPr>
          <w:sz w:val="21"/>
        </w:rPr>
      </w:pPr>
      <w:r>
        <w:rPr>
          <w:spacing w:val="-3"/>
          <w:sz w:val="21"/>
        </w:rPr>
        <w:t>溢水装置</w:t>
      </w:r>
      <w:r>
        <w:rPr>
          <w:sz w:val="21"/>
        </w:rPr>
        <w:t> </w:t>
      </w:r>
    </w:p>
    <w:p>
      <w:pPr>
        <w:pStyle w:val="BodyText"/>
        <w:spacing w:before="2"/>
        <w:rPr>
          <w:sz w:val="18"/>
        </w:rPr>
      </w:pPr>
    </w:p>
    <w:p>
      <w:pPr>
        <w:pStyle w:val="BodyText"/>
        <w:ind w:left="838"/>
      </w:pPr>
      <w:r>
        <w:rPr/>
        <w:t>应在水罐内设置通大气的溢水管路，溢水管路直径不小于水罐与消防泵间输水管路直径的</w:t>
      </w:r>
    </w:p>
    <w:p>
      <w:pPr>
        <w:pStyle w:val="BodyText"/>
        <w:rPr>
          <w:sz w:val="18"/>
        </w:rPr>
      </w:pPr>
    </w:p>
    <w:p>
      <w:pPr>
        <w:pStyle w:val="BodyText"/>
        <w:ind w:left="418"/>
      </w:pPr>
      <w:r>
        <w:rPr/>
        <w:t>30%。溢水管路应高出罐顶。 </w:t>
      </w:r>
    </w:p>
    <w:p>
      <w:pPr>
        <w:pStyle w:val="BodyText"/>
        <w:rPr>
          <w:sz w:val="18"/>
        </w:rPr>
      </w:pPr>
    </w:p>
    <w:p>
      <w:pPr>
        <w:pStyle w:val="ListParagraph"/>
        <w:numPr>
          <w:ilvl w:val="2"/>
          <w:numId w:val="210"/>
        </w:numPr>
        <w:tabs>
          <w:tab w:pos="1370" w:val="left" w:leader="none"/>
        </w:tabs>
        <w:spacing w:line="240" w:lineRule="auto" w:before="0" w:after="0"/>
        <w:ind w:left="1369" w:right="0" w:hanging="530"/>
        <w:jc w:val="left"/>
        <w:rPr>
          <w:sz w:val="21"/>
        </w:rPr>
      </w:pPr>
      <w:r>
        <w:rPr>
          <w:spacing w:val="-3"/>
          <w:sz w:val="21"/>
        </w:rPr>
        <w:t>车用泡沫系统</w:t>
      </w:r>
      <w:r>
        <w:rPr>
          <w:sz w:val="21"/>
        </w:rPr>
        <w:t> </w:t>
      </w:r>
    </w:p>
    <w:p>
      <w:pPr>
        <w:pStyle w:val="BodyText"/>
        <w:spacing w:before="2"/>
        <w:rPr>
          <w:sz w:val="18"/>
        </w:rPr>
      </w:pPr>
    </w:p>
    <w:p>
      <w:pPr>
        <w:pStyle w:val="ListParagraph"/>
        <w:numPr>
          <w:ilvl w:val="3"/>
          <w:numId w:val="210"/>
        </w:numPr>
        <w:tabs>
          <w:tab w:pos="1576" w:val="left" w:leader="none"/>
        </w:tabs>
        <w:spacing w:line="240" w:lineRule="auto" w:before="0" w:after="0"/>
        <w:ind w:left="1575" w:right="0" w:hanging="738"/>
        <w:jc w:val="left"/>
        <w:rPr>
          <w:sz w:val="21"/>
        </w:rPr>
      </w:pPr>
      <w:r>
        <w:rPr>
          <w:spacing w:val="-3"/>
          <w:sz w:val="21"/>
        </w:rPr>
        <w:t>车用泡沫系统一般要求</w:t>
      </w:r>
      <w:r>
        <w:rPr>
          <w:sz w:val="21"/>
        </w:rPr>
        <w:t> </w:t>
      </w:r>
    </w:p>
    <w:p>
      <w:pPr>
        <w:pStyle w:val="BodyText"/>
        <w:spacing w:before="12"/>
        <w:rPr>
          <w:sz w:val="17"/>
        </w:rPr>
      </w:pPr>
    </w:p>
    <w:p>
      <w:pPr>
        <w:pStyle w:val="ListParagraph"/>
        <w:numPr>
          <w:ilvl w:val="4"/>
          <w:numId w:val="210"/>
        </w:numPr>
        <w:tabs>
          <w:tab w:pos="1788" w:val="left" w:leader="none"/>
        </w:tabs>
        <w:spacing w:line="446" w:lineRule="auto" w:before="0" w:after="0"/>
        <w:ind w:left="418" w:right="1505" w:firstLine="419"/>
        <w:jc w:val="left"/>
        <w:rPr>
          <w:sz w:val="21"/>
        </w:rPr>
      </w:pPr>
      <w:r>
        <w:rPr>
          <w:spacing w:val="-3"/>
          <w:sz w:val="21"/>
        </w:rPr>
        <w:t>泡沫炮或泡沫/水两用炮、泡沫液泵和泡沫比例混合器的过流表面应使用抗泡沫液腐烛的材料或涂层。</w:t>
      </w:r>
      <w:r>
        <w:rPr>
          <w:sz w:val="21"/>
        </w:rPr>
        <w:t> </w:t>
      </w:r>
    </w:p>
    <w:p>
      <w:pPr>
        <w:pStyle w:val="ListParagraph"/>
        <w:numPr>
          <w:ilvl w:val="4"/>
          <w:numId w:val="210"/>
        </w:numPr>
        <w:tabs>
          <w:tab w:pos="1788" w:val="left" w:leader="none"/>
        </w:tabs>
        <w:spacing w:line="446" w:lineRule="auto" w:before="0" w:after="0"/>
        <w:ind w:left="418" w:right="1609" w:firstLine="419"/>
        <w:jc w:val="left"/>
        <w:rPr>
          <w:sz w:val="21"/>
        </w:rPr>
      </w:pPr>
      <w:r>
        <w:rPr>
          <w:spacing w:val="-3"/>
          <w:sz w:val="21"/>
        </w:rPr>
        <w:t>车用泡沫系统应设冲洗装置，冲洗装置应避免在冲洗过程中水流回泡沫液罐或水罐。</w:t>
      </w:r>
      <w:r>
        <w:rPr>
          <w:sz w:val="21"/>
        </w:rPr>
        <w:t> </w:t>
      </w:r>
    </w:p>
    <w:p>
      <w:pPr>
        <w:pStyle w:val="ListParagraph"/>
        <w:numPr>
          <w:ilvl w:val="4"/>
          <w:numId w:val="210"/>
        </w:numPr>
        <w:tabs>
          <w:tab w:pos="1788" w:val="left" w:leader="none"/>
        </w:tabs>
        <w:spacing w:line="267" w:lineRule="exact" w:before="0" w:after="0"/>
        <w:ind w:left="1787" w:right="0" w:hanging="950"/>
        <w:jc w:val="left"/>
        <w:rPr>
          <w:sz w:val="21"/>
        </w:rPr>
      </w:pPr>
      <w:r>
        <w:rPr>
          <w:spacing w:val="-3"/>
          <w:sz w:val="21"/>
        </w:rPr>
        <w:t>车用泡沫系统应有外吸泡沫液接口和联接软管，二者的拆装应方便。 </w:t>
      </w:r>
    </w:p>
    <w:p>
      <w:pPr>
        <w:pStyle w:val="BodyText"/>
        <w:spacing w:before="2"/>
        <w:rPr>
          <w:sz w:val="18"/>
        </w:rPr>
      </w:pPr>
    </w:p>
    <w:p>
      <w:pPr>
        <w:pStyle w:val="ListParagraph"/>
        <w:numPr>
          <w:ilvl w:val="4"/>
          <w:numId w:val="210"/>
        </w:numPr>
        <w:tabs>
          <w:tab w:pos="1788" w:val="left" w:leader="none"/>
        </w:tabs>
        <w:spacing w:line="240" w:lineRule="auto" w:before="0" w:after="0"/>
        <w:ind w:left="1787" w:right="0" w:hanging="950"/>
        <w:jc w:val="left"/>
        <w:rPr>
          <w:sz w:val="21"/>
        </w:rPr>
      </w:pPr>
      <w:r>
        <w:rPr>
          <w:spacing w:val="-3"/>
          <w:sz w:val="21"/>
        </w:rPr>
        <w:t>在车用泡沫系统中应设有防止水倒流入泡沫液罐的措施。</w:t>
      </w:r>
      <w:r>
        <w:rPr>
          <w:sz w:val="21"/>
        </w:rPr>
        <w:t> </w:t>
      </w:r>
    </w:p>
    <w:p>
      <w:pPr>
        <w:pStyle w:val="BodyText"/>
        <w:spacing w:before="12"/>
        <w:rPr>
          <w:sz w:val="17"/>
        </w:rPr>
      </w:pPr>
    </w:p>
    <w:p>
      <w:pPr>
        <w:pStyle w:val="ListParagraph"/>
        <w:numPr>
          <w:ilvl w:val="4"/>
          <w:numId w:val="210"/>
        </w:numPr>
        <w:tabs>
          <w:tab w:pos="1788" w:val="left" w:leader="none"/>
        </w:tabs>
        <w:spacing w:line="446" w:lineRule="auto" w:before="0" w:after="0"/>
        <w:ind w:left="418" w:right="1818" w:firstLine="419"/>
        <w:jc w:val="left"/>
        <w:rPr>
          <w:sz w:val="21"/>
        </w:rPr>
      </w:pPr>
      <w:r>
        <w:rPr>
          <w:spacing w:val="-3"/>
          <w:sz w:val="21"/>
        </w:rPr>
        <w:t>车用泡沫系统在以系统最大工作压力和最大流量运行时应具有良好的密封性能，不应有渗漏现象。</w:t>
      </w:r>
      <w:r>
        <w:rPr>
          <w:sz w:val="21"/>
        </w:rPr>
        <w:t> </w:t>
      </w:r>
    </w:p>
    <w:p>
      <w:pPr>
        <w:pStyle w:val="ListParagraph"/>
        <w:numPr>
          <w:ilvl w:val="4"/>
          <w:numId w:val="210"/>
        </w:numPr>
        <w:tabs>
          <w:tab w:pos="1788" w:val="left" w:leader="none"/>
        </w:tabs>
        <w:spacing w:line="240" w:lineRule="auto" w:before="0" w:after="0"/>
        <w:ind w:left="1787" w:right="0" w:hanging="950"/>
        <w:jc w:val="left"/>
        <w:rPr>
          <w:sz w:val="21"/>
        </w:rPr>
      </w:pPr>
      <w:r>
        <w:rPr>
          <w:spacing w:val="-6"/>
          <w:sz w:val="21"/>
        </w:rPr>
        <w:t>车用泡沫系统的棍合比精度应符合表 </w:t>
      </w:r>
      <w:r>
        <w:rPr>
          <w:sz w:val="21"/>
        </w:rPr>
        <w:t>1</w:t>
      </w:r>
      <w:r>
        <w:rPr>
          <w:spacing w:val="-15"/>
          <w:sz w:val="21"/>
        </w:rPr>
        <w:t> 要求。</w:t>
      </w:r>
      <w:r>
        <w:rPr>
          <w:sz w:val="21"/>
        </w:rPr>
        <w:t> </w:t>
      </w:r>
    </w:p>
    <w:p>
      <w:pPr>
        <w:pStyle w:val="BodyText"/>
        <w:spacing w:before="3"/>
        <w:rPr>
          <w:sz w:val="12"/>
        </w:rPr>
      </w:pPr>
      <w:r>
        <w:rPr/>
        <w:drawing>
          <wp:anchor distT="0" distB="0" distL="0" distR="0" allowOverlap="1" layoutInCell="1" locked="0" behindDoc="0" simplePos="0" relativeHeight="56">
            <wp:simplePos x="0" y="0"/>
            <wp:positionH relativeFrom="page">
              <wp:posOffset>1151255</wp:posOffset>
            </wp:positionH>
            <wp:positionV relativeFrom="paragraph">
              <wp:posOffset>124856</wp:posOffset>
            </wp:positionV>
            <wp:extent cx="4448677" cy="1124712"/>
            <wp:effectExtent l="0" t="0" r="0" b="0"/>
            <wp:wrapTopAndBottom/>
            <wp:docPr id="127" name="image91.jpeg"/>
            <wp:cNvGraphicFramePr>
              <a:graphicFrameLocks noChangeAspect="1"/>
            </wp:cNvGraphicFramePr>
            <a:graphic>
              <a:graphicData uri="http://schemas.openxmlformats.org/drawingml/2006/picture">
                <pic:pic>
                  <pic:nvPicPr>
                    <pic:cNvPr id="128" name="image91.jpeg"/>
                    <pic:cNvPicPr/>
                  </pic:nvPicPr>
                  <pic:blipFill>
                    <a:blip r:embed="rId99" cstate="print"/>
                    <a:stretch>
                      <a:fillRect/>
                    </a:stretch>
                  </pic:blipFill>
                  <pic:spPr>
                    <a:xfrm>
                      <a:off x="0" y="0"/>
                      <a:ext cx="4448677" cy="1124712"/>
                    </a:xfrm>
                    <a:prstGeom prst="rect">
                      <a:avLst/>
                    </a:prstGeom>
                  </pic:spPr>
                </pic:pic>
              </a:graphicData>
            </a:graphic>
          </wp:anchor>
        </w:drawing>
      </w:r>
    </w:p>
    <w:p>
      <w:pPr>
        <w:pStyle w:val="BodyText"/>
        <w:rPr>
          <w:sz w:val="20"/>
        </w:rPr>
      </w:pPr>
    </w:p>
    <w:p>
      <w:pPr>
        <w:pStyle w:val="BodyText"/>
        <w:rPr>
          <w:sz w:val="20"/>
        </w:rPr>
      </w:pPr>
    </w:p>
    <w:p>
      <w:pPr>
        <w:pStyle w:val="ListParagraph"/>
        <w:numPr>
          <w:ilvl w:val="3"/>
          <w:numId w:val="210"/>
        </w:numPr>
        <w:tabs>
          <w:tab w:pos="1576" w:val="left" w:leader="none"/>
        </w:tabs>
        <w:spacing w:line="240" w:lineRule="auto" w:before="179" w:after="0"/>
        <w:ind w:left="1575" w:right="0" w:hanging="738"/>
        <w:jc w:val="left"/>
        <w:rPr>
          <w:sz w:val="21"/>
        </w:rPr>
      </w:pPr>
      <w:r>
        <w:rPr>
          <w:spacing w:val="-3"/>
          <w:sz w:val="21"/>
        </w:rPr>
        <w:t>泡沫比例混合器</w:t>
      </w:r>
      <w:r>
        <w:rPr>
          <w:sz w:val="21"/>
        </w:rPr>
        <w:t> </w:t>
      </w:r>
    </w:p>
    <w:p>
      <w:pPr>
        <w:pStyle w:val="BodyText"/>
        <w:spacing w:before="2"/>
        <w:rPr>
          <w:sz w:val="18"/>
        </w:rPr>
      </w:pPr>
    </w:p>
    <w:p>
      <w:pPr>
        <w:pStyle w:val="ListParagraph"/>
        <w:numPr>
          <w:ilvl w:val="4"/>
          <w:numId w:val="210"/>
        </w:numPr>
        <w:tabs>
          <w:tab w:pos="1788" w:val="left" w:leader="none"/>
        </w:tabs>
        <w:spacing w:line="240" w:lineRule="auto" w:before="0" w:after="0"/>
        <w:ind w:left="1787" w:right="0" w:hanging="950"/>
        <w:jc w:val="left"/>
        <w:rPr>
          <w:sz w:val="21"/>
        </w:rPr>
      </w:pPr>
      <w:r>
        <w:rPr>
          <w:spacing w:val="-3"/>
          <w:sz w:val="21"/>
        </w:rPr>
        <w:t>标志牌</w:t>
      </w:r>
      <w:r>
        <w:rPr>
          <w:sz w:val="21"/>
        </w:rPr>
        <w:t> </w:t>
      </w:r>
    </w:p>
    <w:p>
      <w:pPr>
        <w:pStyle w:val="BodyText"/>
        <w:rPr>
          <w:sz w:val="18"/>
        </w:rPr>
      </w:pPr>
    </w:p>
    <w:p>
      <w:pPr>
        <w:pStyle w:val="BodyText"/>
        <w:ind w:left="838"/>
      </w:pPr>
      <w:r>
        <w:rPr/>
        <w:t>泡沫比例混合器应设置有下列内容的永久性标志牌： </w:t>
      </w:r>
    </w:p>
    <w:p>
      <w:pPr>
        <w:pStyle w:val="BodyText"/>
        <w:spacing w:before="12"/>
        <w:rPr>
          <w:sz w:val="17"/>
        </w:rPr>
      </w:pPr>
    </w:p>
    <w:p>
      <w:pPr>
        <w:pStyle w:val="BodyText"/>
        <w:ind w:left="838"/>
      </w:pPr>
      <w:r>
        <w:rPr/>
        <w:t>——产品名称与型号； </w:t>
      </w:r>
    </w:p>
    <w:p>
      <w:pPr>
        <w:spacing w:after="0"/>
        <w:sectPr>
          <w:pgSz w:w="11910" w:h="16850"/>
          <w:pgMar w:header="0" w:footer="1239" w:top="1220" w:bottom="1420" w:left="1260" w:right="0"/>
        </w:sectPr>
      </w:pPr>
    </w:p>
    <w:p>
      <w:pPr>
        <w:pStyle w:val="BodyText"/>
        <w:spacing w:before="47"/>
        <w:ind w:left="838"/>
      </w:pPr>
      <w:r>
        <w:rPr/>
        <w:t>——泡沫比例混合器泡沫混合液流量与进口压力范围； </w:t>
      </w:r>
    </w:p>
    <w:p>
      <w:pPr>
        <w:pStyle w:val="BodyText"/>
        <w:rPr>
          <w:sz w:val="18"/>
        </w:rPr>
      </w:pPr>
    </w:p>
    <w:p>
      <w:pPr>
        <w:pStyle w:val="BodyText"/>
        <w:ind w:left="838"/>
      </w:pPr>
      <w:r>
        <w:rPr/>
        <w:t>——适用的消防泵流量与压力范围； </w:t>
      </w:r>
    </w:p>
    <w:p>
      <w:pPr>
        <w:pStyle w:val="BodyText"/>
        <w:rPr>
          <w:sz w:val="18"/>
        </w:rPr>
      </w:pPr>
    </w:p>
    <w:p>
      <w:pPr>
        <w:pStyle w:val="BodyText"/>
        <w:ind w:left="838"/>
      </w:pPr>
      <w:r>
        <w:rPr/>
        <w:t>——混合比； </w:t>
      </w:r>
    </w:p>
    <w:p>
      <w:pPr>
        <w:pStyle w:val="BodyText"/>
        <w:spacing w:before="1"/>
        <w:rPr>
          <w:sz w:val="18"/>
        </w:rPr>
      </w:pPr>
    </w:p>
    <w:p>
      <w:pPr>
        <w:pStyle w:val="BodyText"/>
        <w:spacing w:before="1"/>
        <w:ind w:left="838"/>
      </w:pPr>
      <w:r>
        <w:rPr/>
        <w:t>——泡沫液类型； </w:t>
      </w:r>
    </w:p>
    <w:p>
      <w:pPr>
        <w:pStyle w:val="BodyText"/>
        <w:spacing w:before="12"/>
        <w:rPr>
          <w:sz w:val="17"/>
        </w:rPr>
      </w:pPr>
    </w:p>
    <w:p>
      <w:pPr>
        <w:pStyle w:val="BodyText"/>
        <w:ind w:left="838"/>
      </w:pPr>
      <w:r>
        <w:rPr>
          <w:spacing w:val="-3"/>
        </w:rPr>
        <w:t>——生产企业名称；</w:t>
      </w:r>
      <w:r>
        <w:rPr/>
        <w:t> </w:t>
      </w:r>
    </w:p>
    <w:p>
      <w:pPr>
        <w:pStyle w:val="BodyText"/>
        <w:spacing w:before="12"/>
        <w:rPr>
          <w:sz w:val="17"/>
        </w:rPr>
      </w:pPr>
    </w:p>
    <w:p>
      <w:pPr>
        <w:pStyle w:val="BodyText"/>
        <w:spacing w:line="446" w:lineRule="auto"/>
        <w:ind w:left="838" w:right="7809"/>
      </w:pPr>
      <w:r>
        <w:rPr>
          <w:spacing w:val="-3"/>
        </w:rPr>
        <w:t>——生产日期。</w:t>
      </w:r>
      <w:r>
        <w:rPr/>
        <w:t>4.4.4.2.2</w:t>
      </w:r>
      <w:r>
        <w:rPr>
          <w:spacing w:val="-1"/>
        </w:rPr>
        <w:t> 液流方向 </w:t>
      </w:r>
    </w:p>
    <w:p>
      <w:pPr>
        <w:pStyle w:val="BodyText"/>
        <w:spacing w:line="446" w:lineRule="auto" w:before="1"/>
        <w:ind w:left="838" w:right="4657"/>
      </w:pPr>
      <w:r>
        <w:rPr/>
        <w:t>在泡沫比例混合器外壳明显位置以箭头表示液流方向。4.4.4.2.3 主要性能指标 </w:t>
      </w:r>
    </w:p>
    <w:p>
      <w:pPr>
        <w:pStyle w:val="BodyText"/>
        <w:spacing w:line="446" w:lineRule="auto"/>
        <w:ind w:left="418" w:right="1609" w:firstLine="419"/>
      </w:pPr>
      <w:r>
        <w:rPr/>
        <w:t>企业应提供泡沫比例混合器的主要性能指标，包括进口工作压力范围、流量范围，混合比精度等，并应符合 4.4.4.1.6 的要求。 </w:t>
      </w:r>
    </w:p>
    <w:p>
      <w:pPr>
        <w:pStyle w:val="ListParagraph"/>
        <w:numPr>
          <w:ilvl w:val="4"/>
          <w:numId w:val="211"/>
        </w:numPr>
        <w:tabs>
          <w:tab w:pos="1788" w:val="left" w:leader="none"/>
        </w:tabs>
        <w:spacing w:line="267" w:lineRule="exact" w:before="0" w:after="0"/>
        <w:ind w:left="1787" w:right="0" w:hanging="950"/>
        <w:jc w:val="left"/>
        <w:rPr>
          <w:sz w:val="21"/>
        </w:rPr>
      </w:pPr>
      <w:r>
        <w:rPr>
          <w:spacing w:val="-3"/>
          <w:sz w:val="21"/>
        </w:rPr>
        <w:t>静水压密封、强度要求</w:t>
      </w:r>
      <w:r>
        <w:rPr>
          <w:sz w:val="21"/>
        </w:rPr>
        <w:t> </w:t>
      </w:r>
    </w:p>
    <w:p>
      <w:pPr>
        <w:pStyle w:val="BodyText"/>
        <w:spacing w:before="1"/>
        <w:rPr>
          <w:sz w:val="18"/>
        </w:rPr>
      </w:pPr>
    </w:p>
    <w:p>
      <w:pPr>
        <w:pStyle w:val="ListParagraph"/>
        <w:numPr>
          <w:ilvl w:val="5"/>
          <w:numId w:val="211"/>
        </w:numPr>
        <w:tabs>
          <w:tab w:pos="1996" w:val="left" w:leader="none"/>
        </w:tabs>
        <w:spacing w:line="240" w:lineRule="auto" w:before="1" w:after="0"/>
        <w:ind w:left="1995" w:right="0" w:hanging="1158"/>
        <w:jc w:val="left"/>
        <w:rPr>
          <w:sz w:val="21"/>
        </w:rPr>
      </w:pPr>
      <w:r>
        <w:rPr>
          <w:spacing w:val="-5"/>
          <w:sz w:val="21"/>
        </w:rPr>
        <w:t>比例混合器应经静水压密封试验，试验压力为规定最大工作压力值的 </w:t>
      </w:r>
      <w:r>
        <w:rPr>
          <w:sz w:val="21"/>
        </w:rPr>
        <w:t>1.1</w:t>
      </w:r>
    </w:p>
    <w:p>
      <w:pPr>
        <w:pStyle w:val="BodyText"/>
        <w:spacing w:before="12"/>
        <w:rPr>
          <w:sz w:val="17"/>
        </w:rPr>
      </w:pPr>
    </w:p>
    <w:p>
      <w:pPr>
        <w:pStyle w:val="BodyText"/>
        <w:ind w:left="418"/>
      </w:pPr>
      <w:r>
        <w:rPr/>
        <w:t>倍。试验后，比例混合器壳体及各连接处不应出现渗漏。 </w:t>
      </w:r>
    </w:p>
    <w:p>
      <w:pPr>
        <w:pStyle w:val="BodyText"/>
        <w:rPr>
          <w:sz w:val="18"/>
        </w:rPr>
      </w:pPr>
    </w:p>
    <w:p>
      <w:pPr>
        <w:pStyle w:val="ListParagraph"/>
        <w:numPr>
          <w:ilvl w:val="5"/>
          <w:numId w:val="211"/>
        </w:numPr>
        <w:tabs>
          <w:tab w:pos="1996" w:val="left" w:leader="none"/>
        </w:tabs>
        <w:spacing w:line="240" w:lineRule="auto" w:before="0" w:after="0"/>
        <w:ind w:left="1995" w:right="0" w:hanging="1158"/>
        <w:jc w:val="left"/>
        <w:rPr>
          <w:sz w:val="21"/>
        </w:rPr>
      </w:pPr>
      <w:r>
        <w:rPr>
          <w:spacing w:val="-5"/>
          <w:sz w:val="21"/>
        </w:rPr>
        <w:t>比例混合器应经静水压强度试验，试验压力为规定最大工作压力值的 </w:t>
      </w:r>
      <w:r>
        <w:rPr>
          <w:sz w:val="21"/>
        </w:rPr>
        <w:t>1.5</w:t>
      </w:r>
    </w:p>
    <w:p>
      <w:pPr>
        <w:pStyle w:val="BodyText"/>
        <w:spacing w:before="2"/>
        <w:rPr>
          <w:sz w:val="18"/>
        </w:rPr>
      </w:pPr>
    </w:p>
    <w:p>
      <w:pPr>
        <w:pStyle w:val="BodyText"/>
        <w:spacing w:line="446" w:lineRule="auto"/>
        <w:ind w:left="838" w:right="3186" w:hanging="420"/>
      </w:pPr>
      <w:r>
        <w:rPr/>
        <w:t>倍，试验后，比例混合器壳体及各连接管路不应出现明显变形和结构破坏。4.4.4.2.5 负压式泡沫比例混合器 </w:t>
      </w:r>
    </w:p>
    <w:p>
      <w:pPr>
        <w:pStyle w:val="ListParagraph"/>
        <w:numPr>
          <w:ilvl w:val="5"/>
          <w:numId w:val="212"/>
        </w:numPr>
        <w:tabs>
          <w:tab w:pos="1996" w:val="left" w:leader="none"/>
        </w:tabs>
        <w:spacing w:line="267" w:lineRule="exact" w:before="0" w:after="0"/>
        <w:ind w:left="1995" w:right="0" w:hanging="1158"/>
        <w:jc w:val="left"/>
        <w:rPr>
          <w:sz w:val="21"/>
        </w:rPr>
      </w:pPr>
      <w:r>
        <w:rPr>
          <w:spacing w:val="-10"/>
          <w:sz w:val="21"/>
        </w:rPr>
        <w:t>在大气压力为 </w:t>
      </w:r>
      <w:r>
        <w:rPr>
          <w:sz w:val="21"/>
        </w:rPr>
        <w:t>101kPa</w:t>
      </w:r>
      <w:r>
        <w:rPr>
          <w:spacing w:val="-12"/>
          <w:sz w:val="21"/>
        </w:rPr>
        <w:t> 下，负压式泡沫比例混合器在 </w:t>
      </w:r>
      <w:r>
        <w:rPr>
          <w:sz w:val="21"/>
        </w:rPr>
        <w:t>85kPa</w:t>
      </w:r>
      <w:r>
        <w:rPr>
          <w:spacing w:val="-9"/>
          <w:sz w:val="21"/>
        </w:rPr>
        <w:t> 真空度条件下，</w:t>
      </w:r>
    </w:p>
    <w:p>
      <w:pPr>
        <w:pStyle w:val="BodyText"/>
        <w:spacing w:before="1"/>
        <w:rPr>
          <w:sz w:val="18"/>
        </w:rPr>
      </w:pPr>
    </w:p>
    <w:p>
      <w:pPr>
        <w:pStyle w:val="BodyText"/>
        <w:spacing w:before="1"/>
        <w:ind w:left="418"/>
      </w:pPr>
      <w:r>
        <w:rPr/>
        <w:t>1min 内真空度的降低数值应不大于 0.5kPa。 </w:t>
      </w:r>
    </w:p>
    <w:p>
      <w:pPr>
        <w:pStyle w:val="BodyText"/>
        <w:rPr>
          <w:sz w:val="18"/>
        </w:rPr>
      </w:pPr>
    </w:p>
    <w:p>
      <w:pPr>
        <w:pStyle w:val="ListParagraph"/>
        <w:numPr>
          <w:ilvl w:val="5"/>
          <w:numId w:val="212"/>
        </w:numPr>
        <w:tabs>
          <w:tab w:pos="1996" w:val="left" w:leader="none"/>
        </w:tabs>
        <w:spacing w:line="240" w:lineRule="auto" w:before="0" w:after="0"/>
        <w:ind w:left="1995" w:right="0" w:hanging="1158"/>
        <w:jc w:val="left"/>
        <w:rPr>
          <w:sz w:val="21"/>
        </w:rPr>
      </w:pPr>
      <w:r>
        <w:rPr>
          <w:spacing w:val="-5"/>
          <w:sz w:val="21"/>
        </w:rPr>
        <w:t>负压式泡沫比例混合器进、出口的压力差应不大于进口工作压力的 </w:t>
      </w:r>
      <w:r>
        <w:rPr>
          <w:sz w:val="21"/>
        </w:rPr>
        <w:t>35</w:t>
      </w:r>
      <w:r>
        <w:rPr>
          <w:spacing w:val="-2"/>
          <w:sz w:val="21"/>
        </w:rPr>
        <w:t>%。</w:t>
      </w:r>
      <w:r>
        <w:rPr>
          <w:sz w:val="21"/>
        </w:rPr>
        <w:t> </w:t>
      </w:r>
    </w:p>
    <w:p>
      <w:pPr>
        <w:pStyle w:val="BodyText"/>
        <w:spacing w:before="12"/>
        <w:rPr>
          <w:sz w:val="17"/>
        </w:rPr>
      </w:pPr>
    </w:p>
    <w:p>
      <w:pPr>
        <w:pStyle w:val="ListParagraph"/>
        <w:numPr>
          <w:ilvl w:val="4"/>
          <w:numId w:val="213"/>
        </w:numPr>
        <w:tabs>
          <w:tab w:pos="1788" w:val="left" w:leader="none"/>
        </w:tabs>
        <w:spacing w:line="240" w:lineRule="auto" w:before="0" w:after="0"/>
        <w:ind w:left="1787" w:right="0" w:hanging="950"/>
        <w:jc w:val="left"/>
        <w:rPr>
          <w:sz w:val="21"/>
        </w:rPr>
      </w:pPr>
      <w:r>
        <w:rPr>
          <w:spacing w:val="-3"/>
          <w:sz w:val="21"/>
        </w:rPr>
        <w:t>正压式泡沫比例混合器</w:t>
      </w:r>
      <w:r>
        <w:rPr>
          <w:sz w:val="21"/>
        </w:rPr>
        <w:t> </w:t>
      </w:r>
    </w:p>
    <w:p>
      <w:pPr>
        <w:pStyle w:val="BodyText"/>
        <w:spacing w:before="2"/>
        <w:rPr>
          <w:sz w:val="18"/>
        </w:rPr>
      </w:pPr>
    </w:p>
    <w:p>
      <w:pPr>
        <w:pStyle w:val="ListParagraph"/>
        <w:numPr>
          <w:ilvl w:val="5"/>
          <w:numId w:val="213"/>
        </w:numPr>
        <w:tabs>
          <w:tab w:pos="1996" w:val="left" w:leader="none"/>
        </w:tabs>
        <w:spacing w:line="240" w:lineRule="auto" w:before="0" w:after="0"/>
        <w:ind w:left="1995" w:right="0" w:hanging="1158"/>
        <w:jc w:val="left"/>
        <w:rPr>
          <w:sz w:val="21"/>
        </w:rPr>
      </w:pPr>
      <w:r>
        <w:rPr>
          <w:spacing w:val="-6"/>
          <w:sz w:val="21"/>
        </w:rPr>
        <w:t>正压式泡沫比例混合器的泡沫液泵应符合 </w:t>
      </w:r>
      <w:r>
        <w:rPr>
          <w:sz w:val="21"/>
        </w:rPr>
        <w:t>GB</w:t>
      </w:r>
      <w:r>
        <w:rPr>
          <w:spacing w:val="2"/>
          <w:sz w:val="21"/>
        </w:rPr>
        <w:t> </w:t>
      </w:r>
      <w:r>
        <w:rPr>
          <w:sz w:val="21"/>
        </w:rPr>
        <w:t>6245—2006</w:t>
      </w:r>
      <w:r>
        <w:rPr>
          <w:spacing w:val="-36"/>
          <w:sz w:val="21"/>
        </w:rPr>
        <w:t> 第 </w:t>
      </w:r>
      <w:r>
        <w:rPr>
          <w:sz w:val="21"/>
        </w:rPr>
        <w:t>7</w:t>
      </w:r>
      <w:r>
        <w:rPr>
          <w:spacing w:val="-11"/>
          <w:sz w:val="21"/>
        </w:rPr>
        <w:t> 章的规定。</w:t>
      </w:r>
      <w:r>
        <w:rPr>
          <w:sz w:val="21"/>
        </w:rPr>
        <w:t> </w:t>
      </w:r>
    </w:p>
    <w:p>
      <w:pPr>
        <w:pStyle w:val="BodyText"/>
        <w:spacing w:before="12"/>
        <w:rPr>
          <w:sz w:val="17"/>
        </w:rPr>
      </w:pPr>
    </w:p>
    <w:p>
      <w:pPr>
        <w:pStyle w:val="ListParagraph"/>
        <w:numPr>
          <w:ilvl w:val="5"/>
          <w:numId w:val="213"/>
        </w:numPr>
        <w:tabs>
          <w:tab w:pos="1996" w:val="left" w:leader="none"/>
        </w:tabs>
        <w:spacing w:line="240" w:lineRule="auto" w:before="0" w:after="0"/>
        <w:ind w:left="1995" w:right="0" w:hanging="1158"/>
        <w:jc w:val="left"/>
        <w:rPr>
          <w:sz w:val="21"/>
        </w:rPr>
      </w:pPr>
      <w:r>
        <w:rPr>
          <w:spacing w:val="-3"/>
          <w:sz w:val="21"/>
        </w:rPr>
        <w:t>泡沫液泵的动力源和驱动装置应能保证供泡沫液泵正常工作。 </w:t>
      </w:r>
    </w:p>
    <w:p>
      <w:pPr>
        <w:pStyle w:val="BodyText"/>
        <w:rPr>
          <w:sz w:val="18"/>
        </w:rPr>
      </w:pPr>
    </w:p>
    <w:p>
      <w:pPr>
        <w:pStyle w:val="ListParagraph"/>
        <w:numPr>
          <w:ilvl w:val="5"/>
          <w:numId w:val="213"/>
        </w:numPr>
        <w:tabs>
          <w:tab w:pos="1996" w:val="left" w:leader="none"/>
        </w:tabs>
        <w:spacing w:line="240" w:lineRule="auto" w:before="0" w:after="0"/>
        <w:ind w:left="1995" w:right="0" w:hanging="1158"/>
        <w:jc w:val="left"/>
        <w:rPr>
          <w:sz w:val="21"/>
        </w:rPr>
      </w:pPr>
      <w:r>
        <w:rPr>
          <w:spacing w:val="-3"/>
          <w:sz w:val="21"/>
        </w:rPr>
        <w:t>泡沫液泵的工作压力和流量应与比例混合器的工作压力和流量范围相适应。 </w:t>
      </w:r>
    </w:p>
    <w:p>
      <w:pPr>
        <w:pStyle w:val="ListParagraph"/>
        <w:numPr>
          <w:ilvl w:val="5"/>
          <w:numId w:val="213"/>
        </w:numPr>
        <w:tabs>
          <w:tab w:pos="1996" w:val="left" w:leader="none"/>
        </w:tabs>
        <w:spacing w:line="350" w:lineRule="auto" w:before="165" w:after="0"/>
        <w:ind w:left="418" w:right="1505" w:firstLine="419"/>
        <w:jc w:val="left"/>
        <w:rPr>
          <w:sz w:val="21"/>
        </w:rPr>
      </w:pPr>
      <w:r>
        <w:rPr>
          <w:spacing w:val="-5"/>
          <w:sz w:val="21"/>
        </w:rPr>
        <w:t>泡沫液泵应设有泄压阀，泄压阀在供泡沫液泵最大工作压力的 </w:t>
      </w:r>
      <w:r>
        <w:rPr>
          <w:sz w:val="21"/>
        </w:rPr>
        <w:t>1.1</w:t>
      </w:r>
      <w:r>
        <w:rPr>
          <w:rFonts w:ascii="微软雅黑" w:eastAsia="微软雅黑" w:hint="eastAsia"/>
          <w:sz w:val="21"/>
        </w:rPr>
        <w:t>〜</w:t>
      </w:r>
      <w:r>
        <w:rPr>
          <w:sz w:val="21"/>
        </w:rPr>
        <w:t>1.5</w:t>
      </w:r>
      <w:r>
        <w:rPr>
          <w:spacing w:val="-16"/>
          <w:sz w:val="21"/>
        </w:rPr>
        <w:t> 倍范</w:t>
      </w:r>
      <w:r>
        <w:rPr>
          <w:spacing w:val="-7"/>
          <w:sz w:val="21"/>
        </w:rPr>
        <w:t>围内能自动泄压。</w:t>
      </w:r>
      <w:r>
        <w:rPr>
          <w:sz w:val="21"/>
        </w:rPr>
        <w:t> </w:t>
      </w:r>
    </w:p>
    <w:p>
      <w:pPr>
        <w:pStyle w:val="ListParagraph"/>
        <w:numPr>
          <w:ilvl w:val="5"/>
          <w:numId w:val="213"/>
        </w:numPr>
        <w:tabs>
          <w:tab w:pos="1996" w:val="left" w:leader="none"/>
        </w:tabs>
        <w:spacing w:line="352" w:lineRule="auto" w:before="41" w:after="0"/>
        <w:ind w:left="418" w:right="1558" w:firstLine="419"/>
        <w:jc w:val="left"/>
        <w:rPr>
          <w:sz w:val="21"/>
        </w:rPr>
      </w:pPr>
      <w:r>
        <w:rPr>
          <w:spacing w:val="-6"/>
          <w:sz w:val="21"/>
        </w:rPr>
        <w:t>当泡沫罐内液体剩余量达到标称容量的 </w:t>
      </w:r>
      <w:r>
        <w:rPr>
          <w:sz w:val="21"/>
        </w:rPr>
        <w:t>4%</w:t>
      </w:r>
      <w:r>
        <w:rPr>
          <w:rFonts w:ascii="微软雅黑" w:eastAsia="微软雅黑" w:hint="eastAsia"/>
          <w:sz w:val="21"/>
        </w:rPr>
        <w:t>〜</w:t>
      </w:r>
      <w:r>
        <w:rPr>
          <w:sz w:val="21"/>
        </w:rPr>
        <w:t>6</w:t>
      </w:r>
      <w:r>
        <w:rPr>
          <w:spacing w:val="-3"/>
          <w:sz w:val="21"/>
        </w:rPr>
        <w:t>%范围内时，泡沫液泵应能自动停机。</w:t>
      </w:r>
      <w:r>
        <w:rPr>
          <w:sz w:val="21"/>
        </w:rPr>
        <w:t> </w:t>
      </w:r>
    </w:p>
    <w:p>
      <w:pPr>
        <w:spacing w:after="0" w:line="352" w:lineRule="auto"/>
        <w:jc w:val="left"/>
        <w:rPr>
          <w:sz w:val="21"/>
        </w:rPr>
        <w:sectPr>
          <w:pgSz w:w="11910" w:h="16850"/>
          <w:pgMar w:header="0" w:footer="1239" w:top="1220" w:bottom="1420" w:left="1260" w:right="0"/>
        </w:sectPr>
      </w:pPr>
    </w:p>
    <w:p>
      <w:pPr>
        <w:pStyle w:val="ListParagraph"/>
        <w:numPr>
          <w:ilvl w:val="3"/>
          <w:numId w:val="210"/>
        </w:numPr>
        <w:tabs>
          <w:tab w:pos="1576" w:val="left" w:leader="none"/>
        </w:tabs>
        <w:spacing w:line="240" w:lineRule="auto" w:before="47" w:after="0"/>
        <w:ind w:left="1575" w:right="0" w:hanging="738"/>
        <w:jc w:val="left"/>
        <w:rPr>
          <w:sz w:val="21"/>
        </w:rPr>
      </w:pPr>
      <w:r>
        <w:rPr>
          <w:spacing w:val="-3"/>
          <w:sz w:val="21"/>
        </w:rPr>
        <w:t>消防炮</w:t>
      </w:r>
      <w:r>
        <w:rPr>
          <w:sz w:val="21"/>
        </w:rPr>
        <w:t> </w:t>
      </w:r>
    </w:p>
    <w:p>
      <w:pPr>
        <w:pStyle w:val="BodyText"/>
        <w:rPr>
          <w:sz w:val="18"/>
        </w:rPr>
      </w:pPr>
    </w:p>
    <w:p>
      <w:pPr>
        <w:pStyle w:val="ListParagraph"/>
        <w:numPr>
          <w:ilvl w:val="4"/>
          <w:numId w:val="210"/>
        </w:numPr>
        <w:tabs>
          <w:tab w:pos="1788" w:val="left" w:leader="none"/>
        </w:tabs>
        <w:spacing w:line="240" w:lineRule="auto" w:before="0" w:after="0"/>
        <w:ind w:left="1787" w:right="0" w:hanging="950"/>
        <w:jc w:val="left"/>
        <w:rPr>
          <w:sz w:val="21"/>
        </w:rPr>
      </w:pPr>
      <w:r>
        <w:rPr>
          <w:spacing w:val="-3"/>
          <w:sz w:val="21"/>
        </w:rPr>
        <w:t>泡沫车配备的泡沫炮或泡沫/</w:t>
      </w:r>
      <w:r>
        <w:rPr>
          <w:spacing w:val="-8"/>
          <w:sz w:val="21"/>
        </w:rPr>
        <w:t>水两用炮喷射性能应符合 </w:t>
      </w:r>
      <w:r>
        <w:rPr>
          <w:sz w:val="21"/>
        </w:rPr>
        <w:t>GB</w:t>
      </w:r>
      <w:r>
        <w:rPr>
          <w:spacing w:val="2"/>
          <w:sz w:val="21"/>
        </w:rPr>
        <w:t> </w:t>
      </w:r>
      <w:r>
        <w:rPr>
          <w:sz w:val="21"/>
        </w:rPr>
        <w:t>19156</w:t>
      </w:r>
      <w:r>
        <w:rPr>
          <w:spacing w:val="-13"/>
          <w:sz w:val="21"/>
        </w:rPr>
        <w:t> 的规定。</w:t>
      </w:r>
      <w:r>
        <w:rPr>
          <w:sz w:val="21"/>
        </w:rPr>
        <w:t> </w:t>
      </w:r>
    </w:p>
    <w:p>
      <w:pPr>
        <w:pStyle w:val="BodyText"/>
        <w:rPr>
          <w:sz w:val="18"/>
        </w:rPr>
      </w:pPr>
    </w:p>
    <w:p>
      <w:pPr>
        <w:pStyle w:val="ListParagraph"/>
        <w:numPr>
          <w:ilvl w:val="4"/>
          <w:numId w:val="210"/>
        </w:numPr>
        <w:tabs>
          <w:tab w:pos="1788" w:val="left" w:leader="none"/>
        </w:tabs>
        <w:spacing w:line="240" w:lineRule="auto" w:before="0" w:after="0"/>
        <w:ind w:left="1787" w:right="0" w:hanging="950"/>
        <w:jc w:val="left"/>
        <w:rPr>
          <w:sz w:val="21"/>
        </w:rPr>
      </w:pPr>
      <w:r>
        <w:rPr>
          <w:spacing w:val="-7"/>
          <w:sz w:val="21"/>
        </w:rPr>
        <w:t>消防炮装车后，俯角不应小于 </w:t>
      </w:r>
      <w:r>
        <w:rPr>
          <w:sz w:val="21"/>
        </w:rPr>
        <w:t>7°。 </w:t>
      </w:r>
    </w:p>
    <w:p>
      <w:pPr>
        <w:pStyle w:val="BodyText"/>
        <w:spacing w:before="1"/>
        <w:rPr>
          <w:sz w:val="18"/>
        </w:rPr>
      </w:pPr>
    </w:p>
    <w:p>
      <w:pPr>
        <w:pStyle w:val="ListParagraph"/>
        <w:numPr>
          <w:ilvl w:val="4"/>
          <w:numId w:val="210"/>
        </w:numPr>
        <w:tabs>
          <w:tab w:pos="1788" w:val="left" w:leader="none"/>
        </w:tabs>
        <w:spacing w:line="240" w:lineRule="auto" w:before="1" w:after="0"/>
        <w:ind w:left="1787" w:right="0" w:hanging="950"/>
        <w:jc w:val="left"/>
        <w:rPr>
          <w:sz w:val="21"/>
        </w:rPr>
      </w:pPr>
      <w:r>
        <w:rPr>
          <w:spacing w:val="-3"/>
          <w:sz w:val="21"/>
        </w:rPr>
        <w:t>车顶炮的进水管路应设置控制启闭的阀门。</w:t>
      </w:r>
      <w:r>
        <w:rPr>
          <w:sz w:val="21"/>
        </w:rPr>
        <w:t> </w:t>
      </w:r>
    </w:p>
    <w:p>
      <w:pPr>
        <w:pStyle w:val="BodyText"/>
        <w:spacing w:before="12"/>
        <w:rPr>
          <w:sz w:val="17"/>
        </w:rPr>
      </w:pPr>
    </w:p>
    <w:p>
      <w:pPr>
        <w:pStyle w:val="ListParagraph"/>
        <w:numPr>
          <w:ilvl w:val="4"/>
          <w:numId w:val="210"/>
        </w:numPr>
        <w:tabs>
          <w:tab w:pos="1788" w:val="left" w:leader="none"/>
        </w:tabs>
        <w:spacing w:line="446" w:lineRule="auto" w:before="0" w:after="0"/>
        <w:ind w:left="418" w:right="1609" w:firstLine="419"/>
        <w:jc w:val="left"/>
        <w:rPr>
          <w:sz w:val="21"/>
        </w:rPr>
      </w:pPr>
      <w:r>
        <w:rPr>
          <w:spacing w:val="-3"/>
          <w:sz w:val="21"/>
        </w:rPr>
        <w:t>车顶炮应有锁紧机构和支撑机构，车前炮应有锁紧机构，锁紧机构能够在消防炮喷射时将炮锁止在任何俯仰和回转角度，支撑机构在泡沫车行驶时能够可靠支撑消防炮。</w:t>
      </w:r>
      <w:r>
        <w:rPr>
          <w:sz w:val="21"/>
        </w:rPr>
        <w:t> </w:t>
      </w:r>
    </w:p>
    <w:p>
      <w:pPr>
        <w:pStyle w:val="ListParagraph"/>
        <w:numPr>
          <w:ilvl w:val="4"/>
          <w:numId w:val="210"/>
        </w:numPr>
        <w:tabs>
          <w:tab w:pos="1788" w:val="left" w:leader="none"/>
        </w:tabs>
        <w:spacing w:line="446" w:lineRule="auto" w:before="0" w:after="0"/>
        <w:ind w:left="418" w:right="1609" w:firstLine="419"/>
        <w:jc w:val="left"/>
        <w:rPr>
          <w:sz w:val="21"/>
        </w:rPr>
      </w:pPr>
      <w:r>
        <w:rPr>
          <w:spacing w:val="-3"/>
          <w:sz w:val="21"/>
        </w:rPr>
        <w:t>消防炮为无线遥控时，消防炮的遥控信号不应对消防车其他控制系统和通讯系统的工作造成干扰。</w:t>
      </w:r>
      <w:r>
        <w:rPr>
          <w:sz w:val="21"/>
        </w:rPr>
        <w:t> </w:t>
      </w:r>
    </w:p>
    <w:p>
      <w:pPr>
        <w:pStyle w:val="ListParagraph"/>
        <w:numPr>
          <w:ilvl w:val="2"/>
          <w:numId w:val="214"/>
        </w:numPr>
        <w:tabs>
          <w:tab w:pos="1370" w:val="left" w:leader="none"/>
        </w:tabs>
        <w:spacing w:line="267" w:lineRule="exact" w:before="0" w:after="0"/>
        <w:ind w:left="1369" w:right="0" w:hanging="530"/>
        <w:jc w:val="left"/>
        <w:rPr>
          <w:sz w:val="21"/>
        </w:rPr>
      </w:pPr>
      <w:r>
        <w:rPr>
          <w:spacing w:val="-3"/>
          <w:sz w:val="21"/>
        </w:rPr>
        <w:t>泡沫车最大真空度及密封性</w:t>
      </w:r>
      <w:r>
        <w:rPr>
          <w:sz w:val="21"/>
        </w:rPr>
        <w:t> </w:t>
      </w:r>
    </w:p>
    <w:p>
      <w:pPr>
        <w:pStyle w:val="BodyText"/>
        <w:spacing w:before="2"/>
        <w:rPr>
          <w:sz w:val="18"/>
        </w:rPr>
      </w:pPr>
    </w:p>
    <w:p>
      <w:pPr>
        <w:pStyle w:val="BodyText"/>
        <w:spacing w:line="446" w:lineRule="auto"/>
        <w:ind w:left="418" w:right="1560" w:firstLine="419"/>
      </w:pPr>
      <w:r>
        <w:rPr>
          <w:spacing w:val="-8"/>
        </w:rPr>
        <w:t>在大气压力为 </w:t>
      </w:r>
      <w:r>
        <w:rPr/>
        <w:t>101kPa</w:t>
      </w:r>
      <w:r>
        <w:rPr>
          <w:spacing w:val="-10"/>
        </w:rPr>
        <w:t> 下，消防车引水装置所能形成的最大真空度应不小于 </w:t>
      </w:r>
      <w:r>
        <w:rPr/>
        <w:t>85kPa</w:t>
      </w:r>
      <w:r>
        <w:rPr>
          <w:spacing w:val="-3"/>
        </w:rPr>
        <w:t>。引水系统的密封性在最大真空度条件下</w:t>
      </w:r>
      <w:r>
        <w:rPr/>
        <w:t>，1min</w:t>
      </w:r>
      <w:r>
        <w:rPr>
          <w:spacing w:val="-12"/>
        </w:rPr>
        <w:t> 内真空度的降低数值应不大于 </w:t>
      </w:r>
      <w:r>
        <w:rPr/>
        <w:t>2.6kPa。 </w:t>
      </w:r>
    </w:p>
    <w:p>
      <w:pPr>
        <w:pStyle w:val="ListParagraph"/>
        <w:numPr>
          <w:ilvl w:val="2"/>
          <w:numId w:val="214"/>
        </w:numPr>
        <w:tabs>
          <w:tab w:pos="1370" w:val="left" w:leader="none"/>
        </w:tabs>
        <w:spacing w:line="267" w:lineRule="exact" w:before="0" w:after="0"/>
        <w:ind w:left="1369" w:right="0" w:hanging="530"/>
        <w:jc w:val="left"/>
        <w:rPr>
          <w:sz w:val="21"/>
        </w:rPr>
      </w:pPr>
      <w:r>
        <w:rPr>
          <w:spacing w:val="-3"/>
          <w:sz w:val="21"/>
        </w:rPr>
        <w:t>引水时间、最大吸深时泵的性能要求</w:t>
      </w:r>
      <w:r>
        <w:rPr>
          <w:sz w:val="21"/>
        </w:rPr>
        <w:t> </w:t>
      </w:r>
    </w:p>
    <w:p>
      <w:pPr>
        <w:pStyle w:val="BodyText"/>
        <w:spacing w:before="1"/>
        <w:rPr>
          <w:sz w:val="18"/>
        </w:rPr>
      </w:pPr>
    </w:p>
    <w:p>
      <w:pPr>
        <w:pStyle w:val="ListParagraph"/>
        <w:numPr>
          <w:ilvl w:val="3"/>
          <w:numId w:val="214"/>
        </w:numPr>
        <w:tabs>
          <w:tab w:pos="1576" w:val="left" w:leader="none"/>
        </w:tabs>
        <w:spacing w:line="446" w:lineRule="auto" w:before="1" w:after="0"/>
        <w:ind w:left="418" w:right="1457" w:firstLine="419"/>
        <w:jc w:val="left"/>
        <w:rPr>
          <w:sz w:val="21"/>
        </w:rPr>
      </w:pPr>
      <w:r>
        <w:rPr>
          <w:spacing w:val="-11"/>
          <w:sz w:val="21"/>
        </w:rPr>
        <w:t>在大气压力 </w:t>
      </w:r>
      <w:r>
        <w:rPr>
          <w:sz w:val="21"/>
        </w:rPr>
        <w:t>101kPa</w:t>
      </w:r>
      <w:r>
        <w:rPr>
          <w:spacing w:val="-14"/>
          <w:sz w:val="21"/>
        </w:rPr>
        <w:t>、水温 </w:t>
      </w:r>
      <w:r>
        <w:rPr>
          <w:sz w:val="21"/>
        </w:rPr>
        <w:t>20</w:t>
      </w:r>
      <w:r>
        <w:rPr>
          <w:spacing w:val="-6"/>
          <w:sz w:val="21"/>
        </w:rPr>
        <w:t>℃下时，泡沫车的最大吸深不应小于 </w:t>
      </w:r>
      <w:r>
        <w:rPr>
          <w:spacing w:val="-3"/>
          <w:sz w:val="21"/>
        </w:rPr>
        <w:t>7m</w:t>
      </w:r>
      <w:r>
        <w:rPr>
          <w:spacing w:val="-2"/>
          <w:sz w:val="21"/>
        </w:rPr>
        <w:t>。引水时间应</w:t>
      </w:r>
      <w:r>
        <w:rPr>
          <w:spacing w:val="-15"/>
          <w:sz w:val="21"/>
        </w:rPr>
        <w:t>符合表 </w:t>
      </w:r>
      <w:r>
        <w:rPr>
          <w:sz w:val="21"/>
        </w:rPr>
        <w:t>2</w:t>
      </w:r>
      <w:r>
        <w:rPr>
          <w:spacing w:val="-13"/>
          <w:sz w:val="21"/>
        </w:rPr>
        <w:t> 的要求。</w:t>
      </w:r>
      <w:r>
        <w:rPr>
          <w:sz w:val="21"/>
        </w:rPr>
        <w:t> </w:t>
      </w:r>
    </w:p>
    <w:p>
      <w:pPr>
        <w:pStyle w:val="BodyText"/>
        <w:spacing w:before="8"/>
        <w:rPr>
          <w:sz w:val="12"/>
        </w:rPr>
      </w:pPr>
      <w:r>
        <w:rPr/>
        <w:drawing>
          <wp:anchor distT="0" distB="0" distL="0" distR="0" allowOverlap="1" layoutInCell="1" locked="0" behindDoc="0" simplePos="0" relativeHeight="57">
            <wp:simplePos x="0" y="0"/>
            <wp:positionH relativeFrom="page">
              <wp:posOffset>1027430</wp:posOffset>
            </wp:positionH>
            <wp:positionV relativeFrom="paragraph">
              <wp:posOffset>128056</wp:posOffset>
            </wp:positionV>
            <wp:extent cx="5114925" cy="1133475"/>
            <wp:effectExtent l="0" t="0" r="0" b="0"/>
            <wp:wrapTopAndBottom/>
            <wp:docPr id="129" name="image92.jpeg"/>
            <wp:cNvGraphicFramePr>
              <a:graphicFrameLocks noChangeAspect="1"/>
            </wp:cNvGraphicFramePr>
            <a:graphic>
              <a:graphicData uri="http://schemas.openxmlformats.org/drawingml/2006/picture">
                <pic:pic>
                  <pic:nvPicPr>
                    <pic:cNvPr id="130" name="image92.jpeg"/>
                    <pic:cNvPicPr/>
                  </pic:nvPicPr>
                  <pic:blipFill>
                    <a:blip r:embed="rId100" cstate="print"/>
                    <a:stretch>
                      <a:fillRect/>
                    </a:stretch>
                  </pic:blipFill>
                  <pic:spPr>
                    <a:xfrm>
                      <a:off x="0" y="0"/>
                      <a:ext cx="5114925" cy="1133475"/>
                    </a:xfrm>
                    <a:prstGeom prst="rect">
                      <a:avLst/>
                    </a:prstGeom>
                  </pic:spPr>
                </pic:pic>
              </a:graphicData>
            </a:graphic>
          </wp:anchor>
        </w:drawing>
      </w:r>
    </w:p>
    <w:p>
      <w:pPr>
        <w:pStyle w:val="ListParagraph"/>
        <w:numPr>
          <w:ilvl w:val="3"/>
          <w:numId w:val="214"/>
        </w:numPr>
        <w:tabs>
          <w:tab w:pos="1576" w:val="left" w:leader="none"/>
        </w:tabs>
        <w:spacing w:line="240" w:lineRule="auto" w:before="164" w:after="0"/>
        <w:ind w:left="1575" w:right="0" w:hanging="738"/>
        <w:jc w:val="left"/>
        <w:rPr>
          <w:sz w:val="21"/>
        </w:rPr>
      </w:pPr>
      <w:r>
        <w:rPr>
          <w:spacing w:val="-6"/>
          <w:sz w:val="21"/>
        </w:rPr>
        <w:t>在最大吸深时，消防泵的流量和出口压力应满足表 </w:t>
      </w:r>
      <w:r>
        <w:rPr>
          <w:sz w:val="21"/>
        </w:rPr>
        <w:t>3</w:t>
      </w:r>
      <w:r>
        <w:rPr>
          <w:spacing w:val="-13"/>
          <w:sz w:val="21"/>
        </w:rPr>
        <w:t> 的规定。</w:t>
      </w:r>
      <w:r>
        <w:rPr>
          <w:sz w:val="21"/>
        </w:rPr>
        <w:t> </w:t>
      </w:r>
    </w:p>
    <w:p>
      <w:pPr>
        <w:pStyle w:val="BodyText"/>
        <w:spacing w:before="9"/>
      </w:pPr>
      <w:r>
        <w:rPr/>
        <w:drawing>
          <wp:anchor distT="0" distB="0" distL="0" distR="0" allowOverlap="1" layoutInCell="1" locked="0" behindDoc="0" simplePos="0" relativeHeight="58">
            <wp:simplePos x="0" y="0"/>
            <wp:positionH relativeFrom="page">
              <wp:posOffset>1170305</wp:posOffset>
            </wp:positionH>
            <wp:positionV relativeFrom="paragraph">
              <wp:posOffset>201890</wp:posOffset>
            </wp:positionV>
            <wp:extent cx="4715510" cy="1409700"/>
            <wp:effectExtent l="0" t="0" r="0" b="0"/>
            <wp:wrapTopAndBottom/>
            <wp:docPr id="131" name="image93.jpeg"/>
            <wp:cNvGraphicFramePr>
              <a:graphicFrameLocks noChangeAspect="1"/>
            </wp:cNvGraphicFramePr>
            <a:graphic>
              <a:graphicData uri="http://schemas.openxmlformats.org/drawingml/2006/picture">
                <pic:pic>
                  <pic:nvPicPr>
                    <pic:cNvPr id="132" name="image93.jpeg"/>
                    <pic:cNvPicPr/>
                  </pic:nvPicPr>
                  <pic:blipFill>
                    <a:blip r:embed="rId101" cstate="print"/>
                    <a:stretch>
                      <a:fillRect/>
                    </a:stretch>
                  </pic:blipFill>
                  <pic:spPr>
                    <a:xfrm>
                      <a:off x="0" y="0"/>
                      <a:ext cx="4715510" cy="1409700"/>
                    </a:xfrm>
                    <a:prstGeom prst="rect">
                      <a:avLst/>
                    </a:prstGeom>
                  </pic:spPr>
                </pic:pic>
              </a:graphicData>
            </a:graphic>
          </wp:anchor>
        </w:drawing>
      </w:r>
    </w:p>
    <w:p>
      <w:pPr>
        <w:pStyle w:val="ListParagraph"/>
        <w:numPr>
          <w:ilvl w:val="2"/>
          <w:numId w:val="214"/>
        </w:numPr>
        <w:tabs>
          <w:tab w:pos="1371" w:val="left" w:leader="none"/>
        </w:tabs>
        <w:spacing w:line="240" w:lineRule="auto" w:before="164" w:after="0"/>
        <w:ind w:left="1370" w:right="0" w:hanging="531"/>
        <w:jc w:val="left"/>
        <w:rPr>
          <w:sz w:val="21"/>
        </w:rPr>
      </w:pPr>
      <w:r>
        <w:rPr>
          <w:spacing w:val="-3"/>
          <w:sz w:val="21"/>
        </w:rPr>
        <w:t>泡沫车连续运转要求 </w:t>
      </w:r>
    </w:p>
    <w:p>
      <w:pPr>
        <w:pStyle w:val="BodyText"/>
        <w:rPr>
          <w:sz w:val="18"/>
        </w:rPr>
      </w:pPr>
    </w:p>
    <w:p>
      <w:pPr>
        <w:pStyle w:val="BodyText"/>
        <w:ind w:left="838"/>
      </w:pPr>
      <w:r>
        <w:rPr/>
        <w:t>泡沫车 6h 连续运转试验应符合以下要求： </w:t>
      </w:r>
    </w:p>
    <w:p>
      <w:pPr>
        <w:pStyle w:val="BodyText"/>
        <w:spacing w:before="12"/>
        <w:rPr>
          <w:sz w:val="17"/>
        </w:rPr>
      </w:pPr>
    </w:p>
    <w:p>
      <w:pPr>
        <w:pStyle w:val="BodyText"/>
        <w:ind w:left="838"/>
      </w:pPr>
      <w:r>
        <w:rPr/>
        <w:t>——在连续运转试验过程中，发动机转速不应超过发动机的额定转速； </w:t>
      </w:r>
    </w:p>
    <w:p>
      <w:pPr>
        <w:pStyle w:val="BodyText"/>
        <w:spacing w:before="2"/>
        <w:rPr>
          <w:sz w:val="18"/>
        </w:rPr>
      </w:pPr>
    </w:p>
    <w:p>
      <w:pPr>
        <w:pStyle w:val="BodyText"/>
        <w:ind w:left="838"/>
      </w:pPr>
      <w:r>
        <w:rPr/>
        <w:t>——发动机无异响、过度振动、漏水、漏油、漏气等异常现象； </w:t>
      </w:r>
    </w:p>
    <w:p>
      <w:pPr>
        <w:spacing w:after="0"/>
        <w:sectPr>
          <w:pgSz w:w="11910" w:h="16850"/>
          <w:pgMar w:header="0" w:footer="1239" w:top="1220" w:bottom="1420" w:left="1260" w:right="0"/>
        </w:sectPr>
      </w:pPr>
    </w:p>
    <w:p>
      <w:pPr>
        <w:pStyle w:val="BodyText"/>
        <w:spacing w:before="47"/>
        <w:ind w:left="838"/>
      </w:pPr>
      <w:r>
        <w:rPr>
          <w:spacing w:val="-7"/>
        </w:rPr>
        <w:t>——发动机出水温度小于 </w:t>
      </w:r>
      <w:r>
        <w:rPr/>
        <w:t>90℃； </w:t>
      </w:r>
    </w:p>
    <w:p>
      <w:pPr>
        <w:pStyle w:val="BodyText"/>
        <w:rPr>
          <w:sz w:val="18"/>
        </w:rPr>
      </w:pPr>
    </w:p>
    <w:p>
      <w:pPr>
        <w:pStyle w:val="BodyText"/>
        <w:ind w:left="838"/>
      </w:pPr>
      <w:r>
        <w:rPr>
          <w:spacing w:val="-7"/>
        </w:rPr>
        <w:t>——发动机机油温度小于 </w:t>
      </w:r>
      <w:r>
        <w:rPr/>
        <w:t>95℃； </w:t>
      </w:r>
    </w:p>
    <w:p>
      <w:pPr>
        <w:pStyle w:val="BodyText"/>
        <w:rPr>
          <w:sz w:val="18"/>
        </w:rPr>
      </w:pPr>
    </w:p>
    <w:p>
      <w:pPr>
        <w:pStyle w:val="BodyText"/>
        <w:ind w:left="838"/>
      </w:pPr>
      <w:r>
        <w:rPr/>
        <w:t>——变速器及功率输出装置的润滑油温度应小于 100℃； </w:t>
      </w:r>
    </w:p>
    <w:p>
      <w:pPr>
        <w:pStyle w:val="BodyText"/>
        <w:spacing w:before="1"/>
        <w:rPr>
          <w:sz w:val="18"/>
        </w:rPr>
      </w:pPr>
    </w:p>
    <w:p>
      <w:pPr>
        <w:pStyle w:val="BodyText"/>
        <w:spacing w:line="446" w:lineRule="auto" w:before="1"/>
        <w:ind w:left="840" w:right="4710" w:hanging="3"/>
      </w:pPr>
      <w:r>
        <w:rPr/>
        <w:t>——功率输出装置的输出轴轴承座温度应小于 100℃。</w:t>
      </w:r>
      <w:r>
        <w:rPr>
          <w:b/>
        </w:rPr>
        <w:t>4.4.8 </w:t>
      </w:r>
      <w:r>
        <w:rPr/>
        <w:t>泡沫车超负荷运转要求 </w:t>
      </w:r>
    </w:p>
    <w:p>
      <w:pPr>
        <w:pStyle w:val="BodyText"/>
        <w:spacing w:line="446" w:lineRule="auto"/>
        <w:ind w:left="840" w:right="2345" w:hanging="3"/>
      </w:pPr>
      <w:r>
        <w:rPr/>
        <w:t>进行超负荷运转试验，发动机和消防泵应工作正常，无过度振动、漏油等现象。</w:t>
      </w:r>
      <w:r>
        <w:rPr>
          <w:b/>
        </w:rPr>
        <w:t>4.5 </w:t>
      </w:r>
      <w:r>
        <w:rPr/>
        <w:t>仪器、仪表的要求 </w:t>
      </w:r>
    </w:p>
    <w:p>
      <w:pPr>
        <w:pStyle w:val="ListParagraph"/>
        <w:numPr>
          <w:ilvl w:val="2"/>
          <w:numId w:val="215"/>
        </w:numPr>
        <w:tabs>
          <w:tab w:pos="1371" w:val="left" w:leader="none"/>
        </w:tabs>
        <w:spacing w:line="240" w:lineRule="auto" w:before="0" w:after="0"/>
        <w:ind w:left="1370" w:right="0" w:hanging="531"/>
        <w:jc w:val="left"/>
        <w:rPr>
          <w:sz w:val="21"/>
        </w:rPr>
      </w:pPr>
      <w:r>
        <w:rPr>
          <w:spacing w:val="-7"/>
          <w:sz w:val="21"/>
        </w:rPr>
        <w:t>泡沫车的仪器、仪表应符合 </w:t>
      </w:r>
      <w:r>
        <w:rPr>
          <w:sz w:val="21"/>
        </w:rPr>
        <w:t>GB</w:t>
      </w:r>
      <w:r>
        <w:rPr>
          <w:spacing w:val="1"/>
          <w:sz w:val="21"/>
        </w:rPr>
        <w:t> </w:t>
      </w:r>
      <w:r>
        <w:rPr>
          <w:sz w:val="21"/>
        </w:rPr>
        <w:t>7956.1—2014</w:t>
      </w:r>
      <w:r>
        <w:rPr>
          <w:spacing w:val="-36"/>
          <w:sz w:val="21"/>
        </w:rPr>
        <w:t> 中 </w:t>
      </w:r>
      <w:r>
        <w:rPr>
          <w:sz w:val="21"/>
        </w:rPr>
        <w:t>5.6</w:t>
      </w:r>
      <w:r>
        <w:rPr>
          <w:spacing w:val="-13"/>
          <w:sz w:val="21"/>
        </w:rPr>
        <w:t> 的规定。</w:t>
      </w:r>
      <w:r>
        <w:rPr>
          <w:sz w:val="21"/>
        </w:rPr>
        <w:t> </w:t>
      </w:r>
    </w:p>
    <w:p>
      <w:pPr>
        <w:pStyle w:val="BodyText"/>
        <w:spacing w:before="10"/>
        <w:rPr>
          <w:sz w:val="17"/>
        </w:rPr>
      </w:pPr>
    </w:p>
    <w:p>
      <w:pPr>
        <w:pStyle w:val="ListParagraph"/>
        <w:numPr>
          <w:ilvl w:val="2"/>
          <w:numId w:val="215"/>
        </w:numPr>
        <w:tabs>
          <w:tab w:pos="1370" w:val="left" w:leader="none"/>
        </w:tabs>
        <w:spacing w:line="240" w:lineRule="auto" w:before="0" w:after="0"/>
        <w:ind w:left="1369" w:right="0" w:hanging="530"/>
        <w:jc w:val="left"/>
        <w:rPr>
          <w:sz w:val="21"/>
        </w:rPr>
      </w:pPr>
      <w:r>
        <w:rPr>
          <w:spacing w:val="-3"/>
          <w:sz w:val="21"/>
        </w:rPr>
        <w:t>泡沫车显示负压的真空表应选用压力真空联用表。</w:t>
      </w:r>
      <w:r>
        <w:rPr>
          <w:sz w:val="21"/>
        </w:rPr>
        <w:t> </w:t>
      </w:r>
    </w:p>
    <w:p>
      <w:pPr>
        <w:pStyle w:val="BodyText"/>
        <w:spacing w:before="2"/>
        <w:rPr>
          <w:sz w:val="18"/>
        </w:rPr>
      </w:pPr>
    </w:p>
    <w:p>
      <w:pPr>
        <w:pStyle w:val="ListParagraph"/>
        <w:numPr>
          <w:ilvl w:val="1"/>
          <w:numId w:val="216"/>
        </w:numPr>
        <w:tabs>
          <w:tab w:pos="1159" w:val="left" w:leader="none"/>
        </w:tabs>
        <w:spacing w:line="240" w:lineRule="auto" w:before="0" w:after="0"/>
        <w:ind w:left="1158" w:right="0" w:hanging="319"/>
        <w:jc w:val="left"/>
        <w:rPr>
          <w:sz w:val="21"/>
        </w:rPr>
      </w:pPr>
      <w:r>
        <w:rPr>
          <w:spacing w:val="-3"/>
          <w:sz w:val="21"/>
        </w:rPr>
        <w:t>器材摆放、固定和配备 </w:t>
      </w:r>
    </w:p>
    <w:p>
      <w:pPr>
        <w:pStyle w:val="BodyText"/>
        <w:spacing w:before="12"/>
        <w:rPr>
          <w:sz w:val="17"/>
        </w:rPr>
      </w:pPr>
    </w:p>
    <w:p>
      <w:pPr>
        <w:pStyle w:val="BodyText"/>
        <w:ind w:left="840"/>
      </w:pPr>
      <w:r>
        <w:rPr>
          <w:b/>
        </w:rPr>
        <w:t>4.6.1 </w:t>
      </w:r>
      <w:r>
        <w:rPr/>
        <w:t>器材的摆放和固定应符合 GB 7956.1—2014 中 5.10、5.11 的规定。 </w:t>
      </w:r>
    </w:p>
    <w:p>
      <w:pPr>
        <w:pStyle w:val="BodyText"/>
        <w:spacing w:before="12"/>
        <w:rPr>
          <w:sz w:val="17"/>
        </w:rPr>
      </w:pPr>
    </w:p>
    <w:p>
      <w:pPr>
        <w:pStyle w:val="BodyText"/>
        <w:spacing w:before="1"/>
        <w:ind w:left="840"/>
      </w:pPr>
      <w:r>
        <w:rPr>
          <w:b/>
        </w:rPr>
        <w:t>4.6.2 </w:t>
      </w:r>
      <w:r>
        <w:rPr/>
        <w:t>泡沫车配备的器材、附件应不低于表 4 的规定。 </w:t>
      </w:r>
    </w:p>
    <w:p>
      <w:pPr>
        <w:pStyle w:val="BodyText"/>
        <w:spacing w:before="1"/>
        <w:rPr>
          <w:sz w:val="18"/>
        </w:rPr>
      </w:pPr>
    </w:p>
    <w:p>
      <w:pPr>
        <w:pStyle w:val="BodyText"/>
        <w:ind w:right="912"/>
        <w:jc w:val="center"/>
      </w:pPr>
      <w:r>
        <w:rPr/>
        <w:drawing>
          <wp:anchor distT="0" distB="0" distL="0" distR="0" allowOverlap="1" layoutInCell="1" locked="0" behindDoc="0" simplePos="0" relativeHeight="59">
            <wp:simplePos x="0" y="0"/>
            <wp:positionH relativeFrom="page">
              <wp:posOffset>1265555</wp:posOffset>
            </wp:positionH>
            <wp:positionV relativeFrom="paragraph">
              <wp:posOffset>230251</wp:posOffset>
            </wp:positionV>
            <wp:extent cx="5020933" cy="4805934"/>
            <wp:effectExtent l="0" t="0" r="0" b="0"/>
            <wp:wrapTopAndBottom/>
            <wp:docPr id="133" name="image94.jpeg"/>
            <wp:cNvGraphicFramePr>
              <a:graphicFrameLocks noChangeAspect="1"/>
            </wp:cNvGraphicFramePr>
            <a:graphic>
              <a:graphicData uri="http://schemas.openxmlformats.org/drawingml/2006/picture">
                <pic:pic>
                  <pic:nvPicPr>
                    <pic:cNvPr id="134" name="image94.jpeg"/>
                    <pic:cNvPicPr/>
                  </pic:nvPicPr>
                  <pic:blipFill>
                    <a:blip r:embed="rId102" cstate="print"/>
                    <a:stretch>
                      <a:fillRect/>
                    </a:stretch>
                  </pic:blipFill>
                  <pic:spPr>
                    <a:xfrm>
                      <a:off x="0" y="0"/>
                      <a:ext cx="5020933" cy="4805934"/>
                    </a:xfrm>
                    <a:prstGeom prst="rect">
                      <a:avLst/>
                    </a:prstGeom>
                  </pic:spPr>
                </pic:pic>
              </a:graphicData>
            </a:graphic>
          </wp:anchor>
        </w:drawing>
      </w:r>
      <w:r>
        <w:rPr>
          <w:w w:val="100"/>
        </w:rPr>
        <w:t> </w:t>
      </w:r>
    </w:p>
    <w:p>
      <w:pPr>
        <w:spacing w:after="0"/>
        <w:jc w:val="center"/>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6"/>
        </w:rPr>
      </w:pPr>
    </w:p>
    <w:p>
      <w:pPr>
        <w:pStyle w:val="BodyText"/>
        <w:ind w:left="808"/>
        <w:rPr>
          <w:sz w:val="20"/>
        </w:rPr>
      </w:pPr>
      <w:r>
        <w:rPr>
          <w:sz w:val="20"/>
        </w:rPr>
        <w:drawing>
          <wp:inline distT="0" distB="0" distL="0" distR="0">
            <wp:extent cx="4862966" cy="3554539"/>
            <wp:effectExtent l="0" t="0" r="0" b="0"/>
            <wp:docPr id="135" name="image95.jpeg"/>
            <wp:cNvGraphicFramePr>
              <a:graphicFrameLocks noChangeAspect="1"/>
            </wp:cNvGraphicFramePr>
            <a:graphic>
              <a:graphicData uri="http://schemas.openxmlformats.org/drawingml/2006/picture">
                <pic:pic>
                  <pic:nvPicPr>
                    <pic:cNvPr id="136" name="image95.jpeg"/>
                    <pic:cNvPicPr/>
                  </pic:nvPicPr>
                  <pic:blipFill>
                    <a:blip r:embed="rId103" cstate="print"/>
                    <a:stretch>
                      <a:fillRect/>
                    </a:stretch>
                  </pic:blipFill>
                  <pic:spPr>
                    <a:xfrm>
                      <a:off x="0" y="0"/>
                      <a:ext cx="4862966" cy="3554539"/>
                    </a:xfrm>
                    <a:prstGeom prst="rect">
                      <a:avLst/>
                    </a:prstGeom>
                  </pic:spPr>
                </pic:pic>
              </a:graphicData>
            </a:graphic>
          </wp:inline>
        </w:drawing>
      </w:r>
      <w:r>
        <w:rPr>
          <w:sz w:val="20"/>
        </w:rPr>
      </w:r>
    </w:p>
    <w:p>
      <w:pPr>
        <w:pStyle w:val="BodyText"/>
        <w:rPr>
          <w:sz w:val="20"/>
        </w:rPr>
      </w:pPr>
    </w:p>
    <w:p>
      <w:pPr>
        <w:pStyle w:val="BodyText"/>
        <w:rPr>
          <w:sz w:val="27"/>
        </w:rPr>
      </w:pPr>
    </w:p>
    <w:p>
      <w:pPr>
        <w:pStyle w:val="ListParagraph"/>
        <w:numPr>
          <w:ilvl w:val="1"/>
          <w:numId w:val="216"/>
        </w:numPr>
        <w:tabs>
          <w:tab w:pos="1160" w:val="left" w:leader="none"/>
        </w:tabs>
        <w:spacing w:line="240" w:lineRule="auto" w:before="72" w:after="0"/>
        <w:ind w:left="1159" w:right="0" w:hanging="320"/>
        <w:jc w:val="left"/>
        <w:rPr>
          <w:b/>
          <w:sz w:val="21"/>
        </w:rPr>
      </w:pPr>
      <w:r>
        <w:rPr>
          <w:spacing w:val="-3"/>
          <w:sz w:val="21"/>
        </w:rPr>
        <w:t>警报灯具</w:t>
      </w:r>
      <w:r>
        <w:rPr>
          <w:b/>
          <w:w w:val="99"/>
          <w:sz w:val="21"/>
        </w:rPr>
        <w:t> </w:t>
      </w:r>
    </w:p>
    <w:p>
      <w:pPr>
        <w:pStyle w:val="BodyText"/>
        <w:spacing w:line="352" w:lineRule="auto" w:before="163"/>
        <w:ind w:left="840" w:right="3505" w:hanging="3"/>
      </w:pPr>
      <w:r>
        <w:rPr>
          <w:spacing w:val="-8"/>
        </w:rPr>
        <w:t>警报灯具性能应符合 </w:t>
      </w:r>
      <w:r>
        <w:rPr/>
        <w:t>GB 7956.1—2014</w:t>
      </w:r>
      <w:r>
        <w:rPr>
          <w:spacing w:val="-35"/>
        </w:rPr>
        <w:t> 中 </w:t>
      </w:r>
      <w:r>
        <w:rPr/>
        <w:t>5.7.28</w:t>
      </w:r>
      <w:r>
        <w:rPr>
          <w:rFonts w:ascii="微软雅黑" w:hAnsi="微软雅黑" w:eastAsia="微软雅黑" w:hint="eastAsia"/>
          <w:spacing w:val="-3"/>
        </w:rPr>
        <w:t>〜</w:t>
      </w:r>
      <w:r>
        <w:rPr/>
        <w:t>5.7.31</w:t>
      </w:r>
      <w:r>
        <w:rPr>
          <w:spacing w:val="-13"/>
        </w:rPr>
        <w:t> 的要求。</w:t>
      </w:r>
      <w:r>
        <w:rPr>
          <w:b/>
        </w:rPr>
        <w:t>4.8 </w:t>
      </w:r>
      <w:r>
        <w:rPr>
          <w:spacing w:val="-3"/>
        </w:rPr>
        <w:t>随车文件、工具及易损件</w:t>
      </w:r>
      <w:r>
        <w:rPr/>
        <w:t> </w:t>
      </w:r>
    </w:p>
    <w:p>
      <w:pPr>
        <w:pStyle w:val="ListParagraph"/>
        <w:numPr>
          <w:ilvl w:val="2"/>
          <w:numId w:val="217"/>
        </w:numPr>
        <w:tabs>
          <w:tab w:pos="1370" w:val="left" w:leader="none"/>
        </w:tabs>
        <w:spacing w:line="446" w:lineRule="auto" w:before="104" w:after="0"/>
        <w:ind w:left="418" w:right="1604" w:firstLine="422"/>
        <w:jc w:val="left"/>
        <w:rPr>
          <w:sz w:val="21"/>
        </w:rPr>
      </w:pPr>
      <w:r>
        <w:rPr>
          <w:spacing w:val="-3"/>
          <w:sz w:val="21"/>
        </w:rPr>
        <w:t>泡沫车交付用户时除应交付车辆注册所需资料外，还应随车交付用户以下中文文件资料：</w:t>
      </w:r>
      <w:r>
        <w:rPr>
          <w:sz w:val="21"/>
        </w:rPr>
        <w:t> </w:t>
      </w:r>
    </w:p>
    <w:p>
      <w:pPr>
        <w:pStyle w:val="BodyText"/>
        <w:ind w:left="838"/>
      </w:pPr>
      <w:r>
        <w:rPr/>
        <w:t>——底盘操作手册； </w:t>
      </w:r>
    </w:p>
    <w:p>
      <w:pPr>
        <w:pStyle w:val="BodyText"/>
        <w:spacing w:before="12"/>
        <w:rPr>
          <w:sz w:val="17"/>
        </w:rPr>
      </w:pPr>
    </w:p>
    <w:p>
      <w:pPr>
        <w:pStyle w:val="BodyText"/>
        <w:ind w:left="838"/>
      </w:pPr>
      <w:r>
        <w:rPr/>
        <w:t>——底盘维修手册及零部件目录； </w:t>
      </w:r>
    </w:p>
    <w:p>
      <w:pPr>
        <w:pStyle w:val="BodyText"/>
        <w:spacing w:before="12"/>
        <w:rPr>
          <w:sz w:val="17"/>
        </w:rPr>
      </w:pPr>
    </w:p>
    <w:p>
      <w:pPr>
        <w:pStyle w:val="BodyText"/>
        <w:ind w:left="838"/>
      </w:pPr>
      <w:r>
        <w:rPr/>
        <w:t>——底盘质量保证书和售后服务说明书； </w:t>
      </w:r>
    </w:p>
    <w:p>
      <w:pPr>
        <w:pStyle w:val="BodyText"/>
        <w:spacing w:before="2"/>
        <w:rPr>
          <w:sz w:val="18"/>
        </w:rPr>
      </w:pPr>
    </w:p>
    <w:p>
      <w:pPr>
        <w:pStyle w:val="BodyText"/>
        <w:ind w:left="838"/>
      </w:pPr>
      <w:r>
        <w:rPr/>
        <w:t>——底盘合格证； </w:t>
      </w:r>
    </w:p>
    <w:p>
      <w:pPr>
        <w:spacing w:after="0"/>
        <w:sectPr>
          <w:pgSz w:w="11910" w:h="16850"/>
          <w:pgMar w:header="0" w:footer="1239" w:top="1600" w:bottom="1420" w:left="1260" w:right="0"/>
        </w:sectPr>
      </w:pPr>
    </w:p>
    <w:p>
      <w:pPr>
        <w:pStyle w:val="BodyText"/>
        <w:spacing w:before="47"/>
        <w:ind w:left="838"/>
      </w:pPr>
      <w:r>
        <w:rPr>
          <w:spacing w:val="-3"/>
        </w:rPr>
        <w:t>——底盘随车工具清单；</w:t>
      </w:r>
      <w:r>
        <w:rPr/>
        <w:t> </w:t>
      </w:r>
    </w:p>
    <w:p>
      <w:pPr>
        <w:pStyle w:val="BodyText"/>
        <w:rPr>
          <w:sz w:val="18"/>
        </w:rPr>
      </w:pPr>
    </w:p>
    <w:p>
      <w:pPr>
        <w:pStyle w:val="BodyText"/>
        <w:ind w:left="838"/>
      </w:pPr>
      <w:r>
        <w:rPr>
          <w:spacing w:val="-3"/>
        </w:rPr>
        <w:t>——泡沫车电气原理图；</w:t>
      </w:r>
      <w:r>
        <w:rPr/>
        <w:t> </w:t>
      </w:r>
    </w:p>
    <w:p>
      <w:pPr>
        <w:pStyle w:val="BodyText"/>
        <w:rPr>
          <w:sz w:val="18"/>
        </w:rPr>
      </w:pPr>
    </w:p>
    <w:p>
      <w:pPr>
        <w:pStyle w:val="BodyText"/>
        <w:ind w:left="838"/>
      </w:pPr>
      <w:r>
        <w:rPr>
          <w:spacing w:val="-3"/>
        </w:rPr>
        <w:t>——泡沫车使用说明书；</w:t>
      </w:r>
      <w:r>
        <w:rPr/>
        <w:t> </w:t>
      </w:r>
    </w:p>
    <w:p>
      <w:pPr>
        <w:pStyle w:val="BodyText"/>
        <w:spacing w:before="1"/>
        <w:rPr>
          <w:sz w:val="18"/>
        </w:rPr>
      </w:pPr>
    </w:p>
    <w:p>
      <w:pPr>
        <w:pStyle w:val="BodyText"/>
        <w:spacing w:before="1"/>
        <w:ind w:left="838"/>
      </w:pPr>
      <w:r>
        <w:rPr/>
        <w:t>——泡沫车维修、保养手册及零部件目录； </w:t>
      </w:r>
    </w:p>
    <w:p>
      <w:pPr>
        <w:pStyle w:val="BodyText"/>
        <w:spacing w:before="12"/>
        <w:rPr>
          <w:sz w:val="17"/>
        </w:rPr>
      </w:pPr>
    </w:p>
    <w:p>
      <w:pPr>
        <w:pStyle w:val="BodyText"/>
        <w:ind w:left="838"/>
      </w:pPr>
      <w:r>
        <w:rPr/>
        <w:t>——泡沫车合格证； </w:t>
      </w:r>
    </w:p>
    <w:p>
      <w:pPr>
        <w:pStyle w:val="BodyText"/>
        <w:spacing w:before="12"/>
        <w:rPr>
          <w:sz w:val="17"/>
        </w:rPr>
      </w:pPr>
    </w:p>
    <w:p>
      <w:pPr>
        <w:pStyle w:val="BodyText"/>
        <w:ind w:left="838"/>
      </w:pPr>
      <w:r>
        <w:rPr/>
        <w:t>——质量保证和售后服务承诺； </w:t>
      </w:r>
    </w:p>
    <w:p>
      <w:pPr>
        <w:pStyle w:val="BodyText"/>
        <w:spacing w:before="2"/>
        <w:rPr>
          <w:sz w:val="18"/>
        </w:rPr>
      </w:pPr>
    </w:p>
    <w:p>
      <w:pPr>
        <w:pStyle w:val="BodyText"/>
        <w:ind w:left="838"/>
      </w:pPr>
      <w:r>
        <w:rPr/>
        <w:t>——泡沫车随车工具及易损件清单； </w:t>
      </w:r>
    </w:p>
    <w:p>
      <w:pPr>
        <w:pStyle w:val="BodyText"/>
        <w:rPr>
          <w:sz w:val="18"/>
        </w:rPr>
      </w:pPr>
    </w:p>
    <w:p>
      <w:pPr>
        <w:pStyle w:val="BodyText"/>
        <w:ind w:left="838"/>
      </w:pPr>
      <w:r>
        <w:rPr/>
        <w:t>——所配总成及附件的合格证和使用说明书。 </w:t>
      </w:r>
    </w:p>
    <w:p>
      <w:pPr>
        <w:pStyle w:val="BodyText"/>
        <w:rPr>
          <w:sz w:val="18"/>
        </w:rPr>
      </w:pPr>
    </w:p>
    <w:p>
      <w:pPr>
        <w:pStyle w:val="ListParagraph"/>
        <w:numPr>
          <w:ilvl w:val="2"/>
          <w:numId w:val="217"/>
        </w:numPr>
        <w:tabs>
          <w:tab w:pos="1371" w:val="left" w:leader="none"/>
        </w:tabs>
        <w:spacing w:line="240" w:lineRule="auto" w:before="0" w:after="0"/>
        <w:ind w:left="1370" w:right="0" w:hanging="531"/>
        <w:jc w:val="left"/>
        <w:rPr>
          <w:sz w:val="21"/>
        </w:rPr>
      </w:pPr>
      <w:r>
        <w:rPr>
          <w:spacing w:val="-3"/>
          <w:sz w:val="21"/>
        </w:rPr>
        <w:t>泡沫车除随车配置底盘工具外还应随车配置消防装置的专用工具。</w:t>
      </w:r>
      <w:r>
        <w:rPr>
          <w:sz w:val="21"/>
        </w:rPr>
        <w:t> </w:t>
      </w:r>
    </w:p>
    <w:p>
      <w:pPr>
        <w:pStyle w:val="BodyText"/>
        <w:spacing w:before="2"/>
        <w:rPr>
          <w:sz w:val="18"/>
        </w:rPr>
      </w:pPr>
    </w:p>
    <w:p>
      <w:pPr>
        <w:pStyle w:val="ListParagraph"/>
        <w:numPr>
          <w:ilvl w:val="2"/>
          <w:numId w:val="217"/>
        </w:numPr>
        <w:tabs>
          <w:tab w:pos="1371" w:val="left" w:leader="none"/>
        </w:tabs>
        <w:spacing w:line="240" w:lineRule="auto" w:before="0" w:after="0"/>
        <w:ind w:left="1370" w:right="0" w:hanging="531"/>
        <w:jc w:val="left"/>
        <w:rPr>
          <w:sz w:val="21"/>
        </w:rPr>
      </w:pPr>
      <w:r>
        <w:rPr>
          <w:spacing w:val="-3"/>
          <w:sz w:val="21"/>
        </w:rPr>
        <w:t>泡沫车应随车配置全套消防装备电路保险丝。 </w:t>
      </w:r>
    </w:p>
    <w:p>
      <w:pPr>
        <w:pStyle w:val="BodyText"/>
        <w:rPr>
          <w:sz w:val="20"/>
        </w:rPr>
      </w:pPr>
    </w:p>
    <w:p>
      <w:pPr>
        <w:pStyle w:val="BodyText"/>
        <w:spacing w:before="10"/>
        <w:rPr>
          <w:sz w:val="15"/>
        </w:rPr>
      </w:pPr>
    </w:p>
    <w:p>
      <w:pPr>
        <w:pStyle w:val="Heading4"/>
        <w:spacing w:before="1"/>
      </w:pPr>
      <w:r>
        <w:rPr/>
        <w:t>5 试验方法</w:t>
      </w:r>
      <w:r>
        <w:rPr>
          <w:w w:val="99"/>
        </w:rPr>
        <w:t> </w:t>
      </w:r>
    </w:p>
    <w:p>
      <w:pPr>
        <w:pStyle w:val="BodyText"/>
        <w:rPr>
          <w:b/>
          <w:sz w:val="24"/>
        </w:rPr>
      </w:pPr>
    </w:p>
    <w:p>
      <w:pPr>
        <w:spacing w:before="175"/>
        <w:ind w:left="840" w:right="0" w:firstLine="0"/>
        <w:jc w:val="left"/>
        <w:rPr>
          <w:sz w:val="21"/>
        </w:rPr>
      </w:pPr>
      <w:r>
        <w:rPr>
          <w:b/>
          <w:sz w:val="21"/>
        </w:rPr>
        <w:t>5.1 </w:t>
      </w:r>
      <w:r>
        <w:rPr>
          <w:sz w:val="21"/>
        </w:rPr>
        <w:t>基本要求试验 </w:t>
      </w:r>
    </w:p>
    <w:p>
      <w:pPr>
        <w:pStyle w:val="BodyText"/>
        <w:rPr>
          <w:sz w:val="18"/>
        </w:rPr>
      </w:pPr>
    </w:p>
    <w:p>
      <w:pPr>
        <w:pStyle w:val="BodyText"/>
        <w:ind w:left="838"/>
      </w:pPr>
      <w:r>
        <w:rPr/>
        <w:t>试验按 GB 7956.1—2014 第 6 章的相关内容进行，判断试验结果是否符合 GB 7956.1—2014</w:t>
      </w:r>
    </w:p>
    <w:p>
      <w:pPr>
        <w:pStyle w:val="BodyText"/>
        <w:spacing w:before="2"/>
        <w:rPr>
          <w:sz w:val="18"/>
        </w:rPr>
      </w:pPr>
    </w:p>
    <w:p>
      <w:pPr>
        <w:pStyle w:val="BodyText"/>
        <w:spacing w:line="446" w:lineRule="auto"/>
        <w:ind w:left="840" w:right="8016" w:hanging="423"/>
      </w:pPr>
      <w:r>
        <w:rPr>
          <w:spacing w:val="-21"/>
        </w:rPr>
        <w:t>第 </w:t>
      </w:r>
      <w:r>
        <w:rPr/>
        <w:t>5</w:t>
      </w:r>
      <w:r>
        <w:rPr>
          <w:spacing w:val="-8"/>
        </w:rPr>
        <w:t> 章的相关要求。</w:t>
      </w:r>
      <w:r>
        <w:rPr>
          <w:b/>
        </w:rPr>
        <w:t>5.2</w:t>
      </w:r>
      <w:r>
        <w:rPr>
          <w:b/>
          <w:spacing w:val="4"/>
        </w:rPr>
        <w:t> </w:t>
      </w:r>
      <w:r>
        <w:rPr>
          <w:spacing w:val="-3"/>
        </w:rPr>
        <w:t>整车要求试验</w:t>
      </w:r>
      <w:r>
        <w:rPr/>
        <w:t> </w:t>
      </w:r>
    </w:p>
    <w:p>
      <w:pPr>
        <w:pStyle w:val="ListParagraph"/>
        <w:numPr>
          <w:ilvl w:val="2"/>
          <w:numId w:val="218"/>
        </w:numPr>
        <w:tabs>
          <w:tab w:pos="1370" w:val="left" w:leader="none"/>
        </w:tabs>
        <w:spacing w:line="267" w:lineRule="exact" w:before="0" w:after="0"/>
        <w:ind w:left="1369" w:right="0" w:hanging="530"/>
        <w:jc w:val="left"/>
        <w:rPr>
          <w:sz w:val="19"/>
        </w:rPr>
      </w:pPr>
      <w:r>
        <w:rPr>
          <w:spacing w:val="-3"/>
          <w:sz w:val="21"/>
        </w:rPr>
        <w:t>一般要求试验</w:t>
      </w:r>
      <w:r>
        <w:rPr>
          <w:sz w:val="21"/>
        </w:rPr>
        <w:t> </w:t>
      </w:r>
    </w:p>
    <w:p>
      <w:pPr>
        <w:pStyle w:val="BodyText"/>
        <w:spacing w:before="2"/>
        <w:rPr>
          <w:sz w:val="18"/>
        </w:rPr>
      </w:pPr>
    </w:p>
    <w:p>
      <w:pPr>
        <w:pStyle w:val="ListParagraph"/>
        <w:numPr>
          <w:ilvl w:val="3"/>
          <w:numId w:val="218"/>
        </w:numPr>
        <w:tabs>
          <w:tab w:pos="1576" w:val="left" w:leader="none"/>
        </w:tabs>
        <w:spacing w:line="446" w:lineRule="auto" w:before="0" w:after="0"/>
        <w:ind w:left="418" w:right="1452" w:firstLine="419"/>
        <w:jc w:val="left"/>
        <w:rPr>
          <w:sz w:val="21"/>
        </w:rPr>
      </w:pPr>
      <w:r>
        <w:rPr>
          <w:spacing w:val="-7"/>
          <w:sz w:val="21"/>
        </w:rPr>
        <w:t>泡沫车在满载条件下行驶 </w:t>
      </w:r>
      <w:r>
        <w:rPr>
          <w:sz w:val="21"/>
        </w:rPr>
        <w:t>100km</w:t>
      </w:r>
      <w:r>
        <w:rPr>
          <w:spacing w:val="-11"/>
          <w:sz w:val="21"/>
        </w:rPr>
        <w:t> 后，停在平整、坚硬的地面上，在 </w:t>
      </w:r>
      <w:r>
        <w:rPr>
          <w:sz w:val="21"/>
        </w:rPr>
        <w:t>3m</w:t>
      </w:r>
      <w:r>
        <w:rPr>
          <w:spacing w:val="-10"/>
          <w:sz w:val="21"/>
        </w:rPr>
        <w:t> 吸深下，将</w:t>
      </w:r>
      <w:r>
        <w:rPr>
          <w:spacing w:val="-4"/>
          <w:sz w:val="21"/>
        </w:rPr>
        <w:t>吸水管接在 消防泵进口并放入水中，启动发动机并接合消防泵，并在额定工况下连续工作 </w:t>
      </w:r>
      <w:r>
        <w:rPr>
          <w:sz w:val="21"/>
        </w:rPr>
        <w:t>2h， </w:t>
      </w:r>
      <w:r>
        <w:rPr>
          <w:spacing w:val="-8"/>
          <w:sz w:val="21"/>
        </w:rPr>
        <w:t>判断试验结果是否 符合 </w:t>
      </w:r>
      <w:r>
        <w:rPr>
          <w:sz w:val="21"/>
        </w:rPr>
        <w:t>4.2.1.1</w:t>
      </w:r>
      <w:r>
        <w:rPr>
          <w:spacing w:val="-11"/>
          <w:sz w:val="21"/>
        </w:rPr>
        <w:t> 的要求。当试验条件不是标准环境条件时，应按 </w:t>
      </w:r>
      <w:r>
        <w:rPr>
          <w:sz w:val="21"/>
        </w:rPr>
        <w:t>GB</w:t>
      </w:r>
      <w:r>
        <w:rPr>
          <w:spacing w:val="5"/>
          <w:sz w:val="21"/>
        </w:rPr>
        <w:t> </w:t>
      </w:r>
      <w:r>
        <w:rPr>
          <w:sz w:val="21"/>
        </w:rPr>
        <w:t>6245— 2006</w:t>
      </w:r>
      <w:r>
        <w:rPr>
          <w:spacing w:val="-37"/>
          <w:sz w:val="21"/>
        </w:rPr>
        <w:t> 中 </w:t>
      </w:r>
      <w:r>
        <w:rPr>
          <w:sz w:val="21"/>
        </w:rPr>
        <w:t>10.4.1</w:t>
      </w:r>
      <w:r>
        <w:rPr>
          <w:spacing w:val="-10"/>
          <w:sz w:val="21"/>
        </w:rPr>
        <w:t> 的规定进行修正。</w:t>
      </w:r>
      <w:r>
        <w:rPr>
          <w:sz w:val="21"/>
        </w:rPr>
        <w:t> </w:t>
      </w:r>
    </w:p>
    <w:p>
      <w:pPr>
        <w:pStyle w:val="ListParagraph"/>
        <w:numPr>
          <w:ilvl w:val="3"/>
          <w:numId w:val="218"/>
        </w:numPr>
        <w:tabs>
          <w:tab w:pos="1576" w:val="left" w:leader="none"/>
        </w:tabs>
        <w:spacing w:line="446" w:lineRule="auto" w:before="0" w:after="0"/>
        <w:ind w:left="418" w:right="1609" w:firstLine="419"/>
        <w:jc w:val="left"/>
        <w:rPr>
          <w:sz w:val="21"/>
        </w:rPr>
      </w:pPr>
      <w:r>
        <w:rPr>
          <w:spacing w:val="-3"/>
          <w:sz w:val="21"/>
        </w:rPr>
        <w:t>检査泡沫车操作面板侧的出水口，并用卷尺测量其直径和离地高度，判断检査结果是否符合 </w:t>
      </w:r>
      <w:r>
        <w:rPr>
          <w:sz w:val="21"/>
        </w:rPr>
        <w:t>4.2.1.2</w:t>
      </w:r>
      <w:r>
        <w:rPr>
          <w:spacing w:val="-12"/>
          <w:sz w:val="21"/>
        </w:rPr>
        <w:t> 的要求。 </w:t>
      </w:r>
    </w:p>
    <w:p>
      <w:pPr>
        <w:pStyle w:val="ListParagraph"/>
        <w:numPr>
          <w:ilvl w:val="3"/>
          <w:numId w:val="218"/>
        </w:numPr>
        <w:tabs>
          <w:tab w:pos="1576" w:val="left" w:leader="none"/>
        </w:tabs>
        <w:spacing w:line="240" w:lineRule="auto" w:before="0" w:after="0"/>
        <w:ind w:left="1575" w:right="0" w:hanging="738"/>
        <w:jc w:val="left"/>
        <w:rPr>
          <w:sz w:val="21"/>
        </w:rPr>
      </w:pPr>
      <w:r>
        <w:rPr>
          <w:spacing w:val="-5"/>
          <w:sz w:val="21"/>
        </w:rPr>
        <w:t>检査泡沫车的手控发动机转速控制器，判断检査结果是否符合 </w:t>
      </w:r>
      <w:r>
        <w:rPr>
          <w:sz w:val="21"/>
        </w:rPr>
        <w:t>4.2.1.3</w:t>
      </w:r>
      <w:r>
        <w:rPr>
          <w:spacing w:val="-13"/>
          <w:sz w:val="21"/>
        </w:rPr>
        <w:t> 的要求。</w:t>
      </w:r>
      <w:r>
        <w:rPr>
          <w:sz w:val="21"/>
        </w:rPr>
        <w:t> </w:t>
      </w:r>
    </w:p>
    <w:p>
      <w:pPr>
        <w:pStyle w:val="BodyText"/>
        <w:spacing w:before="10"/>
        <w:rPr>
          <w:sz w:val="17"/>
        </w:rPr>
      </w:pPr>
    </w:p>
    <w:p>
      <w:pPr>
        <w:pStyle w:val="ListParagraph"/>
        <w:numPr>
          <w:ilvl w:val="3"/>
          <w:numId w:val="218"/>
        </w:numPr>
        <w:tabs>
          <w:tab w:pos="1576" w:val="left" w:leader="none"/>
        </w:tabs>
        <w:spacing w:line="240" w:lineRule="auto" w:before="0" w:after="0"/>
        <w:ind w:left="1575" w:right="0" w:hanging="738"/>
        <w:jc w:val="left"/>
        <w:rPr>
          <w:sz w:val="21"/>
        </w:rPr>
      </w:pPr>
      <w:r>
        <w:rPr>
          <w:spacing w:val="-6"/>
          <w:sz w:val="21"/>
        </w:rPr>
        <w:t>检査泡沫车各自动控制机构，判断检査结果是否符合 </w:t>
      </w:r>
      <w:r>
        <w:rPr>
          <w:sz w:val="21"/>
        </w:rPr>
        <w:t>4.2.1.4</w:t>
      </w:r>
      <w:r>
        <w:rPr>
          <w:spacing w:val="-12"/>
          <w:sz w:val="21"/>
        </w:rPr>
        <w:t> 的要求。 </w:t>
      </w:r>
    </w:p>
    <w:p>
      <w:pPr>
        <w:pStyle w:val="BodyText"/>
        <w:rPr>
          <w:sz w:val="18"/>
        </w:rPr>
      </w:pPr>
    </w:p>
    <w:p>
      <w:pPr>
        <w:pStyle w:val="ListParagraph"/>
        <w:numPr>
          <w:ilvl w:val="3"/>
          <w:numId w:val="218"/>
        </w:numPr>
        <w:tabs>
          <w:tab w:pos="1576" w:val="left" w:leader="none"/>
        </w:tabs>
        <w:spacing w:line="446" w:lineRule="auto" w:before="0" w:after="0"/>
        <w:ind w:left="418" w:right="1609" w:firstLine="419"/>
        <w:jc w:val="left"/>
        <w:rPr>
          <w:sz w:val="21"/>
        </w:rPr>
      </w:pPr>
      <w:r>
        <w:rPr>
          <w:spacing w:val="-3"/>
          <w:sz w:val="21"/>
        </w:rPr>
        <w:t>检査操作面板上消防泵出口和进口压力表联接处的测试用连接管，用游标卡尺测</w:t>
      </w:r>
      <w:r>
        <w:rPr>
          <w:spacing w:val="-5"/>
          <w:sz w:val="21"/>
        </w:rPr>
        <w:t>量连接螺纹直径和长度，用螺纹规测量螺距，判断试验结果是否符合 </w:t>
      </w:r>
      <w:r>
        <w:rPr>
          <w:sz w:val="21"/>
        </w:rPr>
        <w:t>4.2.1.5</w:t>
      </w:r>
      <w:r>
        <w:rPr>
          <w:spacing w:val="-12"/>
          <w:sz w:val="21"/>
        </w:rPr>
        <w:t> 的要求。 </w:t>
      </w:r>
    </w:p>
    <w:p>
      <w:pPr>
        <w:pStyle w:val="ListParagraph"/>
        <w:numPr>
          <w:ilvl w:val="2"/>
          <w:numId w:val="218"/>
        </w:numPr>
        <w:tabs>
          <w:tab w:pos="1367" w:val="left" w:leader="none"/>
        </w:tabs>
        <w:spacing w:line="240" w:lineRule="auto" w:before="0" w:after="0"/>
        <w:ind w:left="1367" w:right="0" w:hanging="529"/>
        <w:jc w:val="left"/>
        <w:rPr>
          <w:sz w:val="19"/>
        </w:rPr>
      </w:pPr>
      <w:r>
        <w:rPr>
          <w:spacing w:val="-3"/>
          <w:sz w:val="21"/>
        </w:rPr>
        <w:t>操作说明和标识试验 </w:t>
      </w:r>
    </w:p>
    <w:p>
      <w:pPr>
        <w:spacing w:after="0" w:line="240" w:lineRule="auto"/>
        <w:jc w:val="left"/>
        <w:rPr>
          <w:sz w:val="19"/>
        </w:rPr>
        <w:sectPr>
          <w:pgSz w:w="11910" w:h="16850"/>
          <w:pgMar w:header="0" w:footer="1239" w:top="1220" w:bottom="1420" w:left="1260" w:right="0"/>
        </w:sectPr>
      </w:pPr>
    </w:p>
    <w:p>
      <w:pPr>
        <w:pStyle w:val="ListParagraph"/>
        <w:numPr>
          <w:ilvl w:val="3"/>
          <w:numId w:val="218"/>
        </w:numPr>
        <w:tabs>
          <w:tab w:pos="1576" w:val="left" w:leader="none"/>
        </w:tabs>
        <w:spacing w:line="240" w:lineRule="auto" w:before="47" w:after="0"/>
        <w:ind w:left="1575" w:right="0" w:hanging="738"/>
        <w:jc w:val="left"/>
        <w:rPr>
          <w:sz w:val="21"/>
        </w:rPr>
      </w:pPr>
      <w:r>
        <w:rPr>
          <w:spacing w:val="-5"/>
          <w:sz w:val="21"/>
        </w:rPr>
        <w:t>目测检査操作面板上的指示或显示，判断检査结果是否符合 </w:t>
      </w:r>
      <w:r>
        <w:rPr>
          <w:sz w:val="21"/>
        </w:rPr>
        <w:t>4.2.2.1</w:t>
      </w:r>
      <w:r>
        <w:rPr>
          <w:spacing w:val="-13"/>
          <w:sz w:val="21"/>
        </w:rPr>
        <w:t> 的要求。</w:t>
      </w:r>
      <w:r>
        <w:rPr>
          <w:sz w:val="21"/>
        </w:rPr>
        <w:t> </w:t>
      </w:r>
    </w:p>
    <w:p>
      <w:pPr>
        <w:pStyle w:val="BodyText"/>
        <w:rPr>
          <w:sz w:val="18"/>
        </w:rPr>
      </w:pPr>
    </w:p>
    <w:p>
      <w:pPr>
        <w:pStyle w:val="ListParagraph"/>
        <w:numPr>
          <w:ilvl w:val="3"/>
          <w:numId w:val="218"/>
        </w:numPr>
        <w:tabs>
          <w:tab w:pos="1576" w:val="left" w:leader="none"/>
        </w:tabs>
        <w:spacing w:line="240" w:lineRule="auto" w:before="0" w:after="0"/>
        <w:ind w:left="1575" w:right="0" w:hanging="738"/>
        <w:jc w:val="left"/>
        <w:rPr>
          <w:sz w:val="21"/>
        </w:rPr>
      </w:pPr>
      <w:r>
        <w:rPr>
          <w:spacing w:val="-3"/>
          <w:sz w:val="21"/>
        </w:rPr>
        <w:t>目测检査泡沫比例混合系统的控制调节装置的位置，判断检査结果是否符合</w:t>
      </w:r>
    </w:p>
    <w:p>
      <w:pPr>
        <w:pStyle w:val="BodyText"/>
        <w:rPr>
          <w:sz w:val="18"/>
        </w:rPr>
      </w:pPr>
    </w:p>
    <w:p>
      <w:pPr>
        <w:pStyle w:val="BodyText"/>
        <w:spacing w:line="446" w:lineRule="auto"/>
        <w:ind w:left="418" w:right="1497"/>
      </w:pPr>
      <w:r>
        <w:rPr/>
        <w:t>4.2.2.2 的要求。 5.2.2.3 目测检査操作面板上的水、泡沫管路系统简图及基本操作说明，判断检査结果是否符合 4.2.2.3 的要求。 </w:t>
      </w:r>
    </w:p>
    <w:p>
      <w:pPr>
        <w:pStyle w:val="ListParagraph"/>
        <w:numPr>
          <w:ilvl w:val="3"/>
          <w:numId w:val="219"/>
        </w:numPr>
        <w:tabs>
          <w:tab w:pos="1576" w:val="left" w:leader="none"/>
        </w:tabs>
        <w:spacing w:line="240" w:lineRule="auto" w:before="0" w:after="0"/>
        <w:ind w:left="1575" w:right="0" w:hanging="738"/>
        <w:jc w:val="left"/>
        <w:rPr>
          <w:sz w:val="21"/>
        </w:rPr>
      </w:pPr>
      <w:r>
        <w:rPr>
          <w:spacing w:val="-6"/>
          <w:sz w:val="21"/>
        </w:rPr>
        <w:t>检査水罐注水口，判断检査结果是否符合 </w:t>
      </w:r>
      <w:r>
        <w:rPr>
          <w:sz w:val="21"/>
        </w:rPr>
        <w:t>4.2.2.4</w:t>
      </w:r>
      <w:r>
        <w:rPr>
          <w:spacing w:val="-13"/>
          <w:sz w:val="21"/>
        </w:rPr>
        <w:t> 的要求。</w:t>
      </w:r>
      <w:r>
        <w:rPr>
          <w:sz w:val="21"/>
        </w:rPr>
        <w:t> </w:t>
      </w:r>
    </w:p>
    <w:p>
      <w:pPr>
        <w:pStyle w:val="BodyText"/>
        <w:spacing w:before="12"/>
        <w:rPr>
          <w:sz w:val="17"/>
        </w:rPr>
      </w:pPr>
    </w:p>
    <w:p>
      <w:pPr>
        <w:pStyle w:val="ListParagraph"/>
        <w:numPr>
          <w:ilvl w:val="3"/>
          <w:numId w:val="219"/>
        </w:numPr>
        <w:tabs>
          <w:tab w:pos="1576" w:val="left" w:leader="none"/>
        </w:tabs>
        <w:spacing w:line="240" w:lineRule="auto" w:before="0" w:after="0"/>
        <w:ind w:left="1575" w:right="0" w:hanging="738"/>
        <w:jc w:val="left"/>
        <w:rPr>
          <w:sz w:val="21"/>
        </w:rPr>
      </w:pPr>
      <w:r>
        <w:rPr>
          <w:spacing w:val="-5"/>
          <w:sz w:val="21"/>
        </w:rPr>
        <w:t>检査泡沫液加液口处或邻近位置的标牌和文字，判断检查结果是否符合 </w:t>
      </w:r>
      <w:r>
        <w:rPr>
          <w:sz w:val="21"/>
        </w:rPr>
        <w:t>4.2.2.5</w:t>
      </w:r>
    </w:p>
    <w:p>
      <w:pPr>
        <w:pStyle w:val="BodyText"/>
        <w:spacing w:before="2"/>
        <w:rPr>
          <w:sz w:val="18"/>
        </w:rPr>
      </w:pPr>
    </w:p>
    <w:p>
      <w:pPr>
        <w:pStyle w:val="BodyText"/>
        <w:ind w:left="418"/>
      </w:pPr>
      <w:r>
        <w:rPr/>
        <w:t>的要求。 </w:t>
      </w:r>
    </w:p>
    <w:p>
      <w:pPr>
        <w:pStyle w:val="BodyText"/>
        <w:rPr>
          <w:sz w:val="18"/>
        </w:rPr>
      </w:pPr>
    </w:p>
    <w:p>
      <w:pPr>
        <w:pStyle w:val="ListParagraph"/>
        <w:numPr>
          <w:ilvl w:val="1"/>
          <w:numId w:val="220"/>
        </w:numPr>
        <w:tabs>
          <w:tab w:pos="1160" w:val="left" w:leader="none"/>
        </w:tabs>
        <w:spacing w:line="240" w:lineRule="auto" w:before="0" w:after="0"/>
        <w:ind w:left="1159" w:right="0" w:hanging="320"/>
        <w:jc w:val="left"/>
        <w:rPr>
          <w:b/>
          <w:sz w:val="21"/>
        </w:rPr>
      </w:pPr>
      <w:r>
        <w:rPr>
          <w:spacing w:val="-3"/>
          <w:sz w:val="21"/>
        </w:rPr>
        <w:t>底盘改制试验</w:t>
      </w:r>
      <w:r>
        <w:rPr>
          <w:b/>
          <w:w w:val="99"/>
          <w:sz w:val="21"/>
        </w:rPr>
        <w:t> </w:t>
      </w:r>
    </w:p>
    <w:p>
      <w:pPr>
        <w:pStyle w:val="BodyText"/>
        <w:spacing w:before="12"/>
        <w:rPr>
          <w:b/>
          <w:sz w:val="17"/>
        </w:rPr>
      </w:pPr>
    </w:p>
    <w:p>
      <w:pPr>
        <w:pStyle w:val="ListParagraph"/>
        <w:numPr>
          <w:ilvl w:val="2"/>
          <w:numId w:val="220"/>
        </w:numPr>
        <w:tabs>
          <w:tab w:pos="1370" w:val="left" w:leader="none"/>
        </w:tabs>
        <w:spacing w:line="240" w:lineRule="auto" w:before="0" w:after="0"/>
        <w:ind w:left="1369" w:right="0" w:hanging="530"/>
        <w:jc w:val="left"/>
        <w:rPr>
          <w:sz w:val="21"/>
        </w:rPr>
      </w:pPr>
      <w:r>
        <w:rPr>
          <w:spacing w:val="-19"/>
          <w:sz w:val="21"/>
        </w:rPr>
        <w:t>按照 </w:t>
      </w:r>
      <w:r>
        <w:rPr>
          <w:sz w:val="21"/>
        </w:rPr>
        <w:t>GB</w:t>
      </w:r>
      <w:r>
        <w:rPr>
          <w:spacing w:val="-1"/>
          <w:sz w:val="21"/>
        </w:rPr>
        <w:t> </w:t>
      </w:r>
      <w:r>
        <w:rPr>
          <w:sz w:val="21"/>
        </w:rPr>
        <w:t>7956.1—2014</w:t>
      </w:r>
      <w:r>
        <w:rPr>
          <w:spacing w:val="-36"/>
          <w:sz w:val="21"/>
        </w:rPr>
        <w:t> 中 </w:t>
      </w:r>
      <w:r>
        <w:rPr>
          <w:sz w:val="21"/>
        </w:rPr>
        <w:t>6.4</w:t>
      </w:r>
      <w:r>
        <w:rPr>
          <w:spacing w:val="-10"/>
          <w:sz w:val="21"/>
        </w:rPr>
        <w:t> 规定的方法进行试验，判断试验结果是否符合 </w:t>
      </w:r>
      <w:r>
        <w:rPr>
          <w:sz w:val="21"/>
        </w:rPr>
        <w:t>4.3.1</w:t>
      </w:r>
    </w:p>
    <w:p>
      <w:pPr>
        <w:pStyle w:val="BodyText"/>
        <w:spacing w:before="2"/>
        <w:rPr>
          <w:sz w:val="18"/>
        </w:rPr>
      </w:pPr>
    </w:p>
    <w:p>
      <w:pPr>
        <w:pStyle w:val="BodyText"/>
        <w:ind w:left="418"/>
      </w:pPr>
      <w:r>
        <w:rPr/>
        <w:t>的要求。 </w:t>
      </w:r>
    </w:p>
    <w:p>
      <w:pPr>
        <w:pStyle w:val="BodyText"/>
        <w:rPr>
          <w:sz w:val="18"/>
        </w:rPr>
      </w:pPr>
    </w:p>
    <w:p>
      <w:pPr>
        <w:pStyle w:val="ListParagraph"/>
        <w:numPr>
          <w:ilvl w:val="2"/>
          <w:numId w:val="220"/>
        </w:numPr>
        <w:tabs>
          <w:tab w:pos="1371" w:val="left" w:leader="none"/>
        </w:tabs>
        <w:spacing w:line="240" w:lineRule="auto" w:before="0" w:after="0"/>
        <w:ind w:left="1370" w:right="0" w:hanging="531"/>
        <w:jc w:val="left"/>
        <w:rPr>
          <w:sz w:val="21"/>
        </w:rPr>
      </w:pPr>
      <w:r>
        <w:rPr>
          <w:spacing w:val="-6"/>
          <w:sz w:val="21"/>
        </w:rPr>
        <w:t>检査罐体与底盘的连接方式，判断试验结果是否符合 </w:t>
      </w:r>
      <w:r>
        <w:rPr>
          <w:sz w:val="21"/>
        </w:rPr>
        <w:t>4.3.2</w:t>
      </w:r>
      <w:r>
        <w:rPr>
          <w:spacing w:val="-12"/>
          <w:sz w:val="21"/>
        </w:rPr>
        <w:t> 的要求。 </w:t>
      </w:r>
    </w:p>
    <w:p>
      <w:pPr>
        <w:pStyle w:val="BodyText"/>
        <w:spacing w:before="12"/>
        <w:rPr>
          <w:sz w:val="17"/>
        </w:rPr>
      </w:pPr>
    </w:p>
    <w:p>
      <w:pPr>
        <w:pStyle w:val="ListParagraph"/>
        <w:numPr>
          <w:ilvl w:val="1"/>
          <w:numId w:val="220"/>
        </w:numPr>
        <w:tabs>
          <w:tab w:pos="1159" w:val="left" w:leader="none"/>
        </w:tabs>
        <w:spacing w:line="240" w:lineRule="auto" w:before="0" w:after="0"/>
        <w:ind w:left="1158" w:right="0" w:hanging="319"/>
        <w:jc w:val="left"/>
        <w:rPr>
          <w:b/>
          <w:sz w:val="21"/>
        </w:rPr>
      </w:pPr>
      <w:r>
        <w:rPr>
          <w:spacing w:val="-3"/>
          <w:sz w:val="21"/>
        </w:rPr>
        <w:t>消防水力系统试验</w:t>
      </w:r>
      <w:r>
        <w:rPr>
          <w:b/>
          <w:w w:val="99"/>
          <w:sz w:val="21"/>
        </w:rPr>
        <w:t> </w:t>
      </w:r>
    </w:p>
    <w:p>
      <w:pPr>
        <w:pStyle w:val="BodyText"/>
        <w:spacing w:before="2"/>
        <w:rPr>
          <w:b/>
          <w:sz w:val="18"/>
        </w:rPr>
      </w:pPr>
    </w:p>
    <w:p>
      <w:pPr>
        <w:pStyle w:val="ListParagraph"/>
        <w:numPr>
          <w:ilvl w:val="2"/>
          <w:numId w:val="220"/>
        </w:numPr>
        <w:tabs>
          <w:tab w:pos="1371" w:val="left" w:leader="none"/>
        </w:tabs>
        <w:spacing w:line="240" w:lineRule="auto" w:before="0" w:after="0"/>
        <w:ind w:left="1370" w:right="0" w:hanging="531"/>
        <w:jc w:val="left"/>
        <w:rPr>
          <w:sz w:val="21"/>
        </w:rPr>
      </w:pPr>
      <w:r>
        <w:rPr>
          <w:spacing w:val="-3"/>
          <w:sz w:val="21"/>
        </w:rPr>
        <w:t>消防泵试验</w:t>
      </w:r>
      <w:r>
        <w:rPr>
          <w:sz w:val="21"/>
        </w:rPr>
        <w:t> </w:t>
      </w:r>
    </w:p>
    <w:p>
      <w:pPr>
        <w:pStyle w:val="BodyText"/>
        <w:rPr>
          <w:sz w:val="18"/>
        </w:rPr>
      </w:pPr>
    </w:p>
    <w:p>
      <w:pPr>
        <w:pStyle w:val="ListParagraph"/>
        <w:numPr>
          <w:ilvl w:val="3"/>
          <w:numId w:val="220"/>
        </w:numPr>
        <w:tabs>
          <w:tab w:pos="1576" w:val="left" w:leader="none"/>
        </w:tabs>
        <w:spacing w:line="240" w:lineRule="auto" w:before="0" w:after="0"/>
        <w:ind w:left="1575" w:right="0" w:hanging="738"/>
        <w:jc w:val="left"/>
        <w:rPr>
          <w:sz w:val="21"/>
        </w:rPr>
      </w:pPr>
      <w:r>
        <w:rPr>
          <w:spacing w:val="-5"/>
          <w:sz w:val="21"/>
        </w:rPr>
        <w:t>査阅泡沫车选用消防泵的相关资料，判断检査结果是否符合 </w:t>
      </w:r>
      <w:r>
        <w:rPr>
          <w:sz w:val="21"/>
        </w:rPr>
        <w:t>4.4.1.1</w:t>
      </w:r>
      <w:r>
        <w:rPr>
          <w:spacing w:val="-13"/>
          <w:sz w:val="21"/>
        </w:rPr>
        <w:t> 的要求。</w:t>
      </w:r>
      <w:r>
        <w:rPr>
          <w:sz w:val="21"/>
        </w:rPr>
        <w:t> </w:t>
      </w:r>
    </w:p>
    <w:p>
      <w:pPr>
        <w:pStyle w:val="BodyText"/>
        <w:spacing w:before="12"/>
        <w:rPr>
          <w:sz w:val="17"/>
        </w:rPr>
      </w:pPr>
    </w:p>
    <w:p>
      <w:pPr>
        <w:pStyle w:val="ListParagraph"/>
        <w:numPr>
          <w:ilvl w:val="3"/>
          <w:numId w:val="220"/>
        </w:numPr>
        <w:tabs>
          <w:tab w:pos="1576" w:val="left" w:leader="none"/>
        </w:tabs>
        <w:spacing w:line="240" w:lineRule="auto" w:before="0" w:after="0"/>
        <w:ind w:left="1575" w:right="0" w:hanging="738"/>
        <w:jc w:val="left"/>
        <w:rPr>
          <w:sz w:val="21"/>
        </w:rPr>
      </w:pPr>
      <w:r>
        <w:rPr>
          <w:spacing w:val="-6"/>
          <w:sz w:val="21"/>
        </w:rPr>
        <w:t>检査消防泵的放余水装置，判断检査结果是否符合 </w:t>
      </w:r>
      <w:r>
        <w:rPr>
          <w:sz w:val="21"/>
        </w:rPr>
        <w:t>4.4.1.2</w:t>
      </w:r>
      <w:r>
        <w:rPr>
          <w:spacing w:val="-12"/>
          <w:sz w:val="21"/>
        </w:rPr>
        <w:t> 的要求。 </w:t>
      </w:r>
    </w:p>
    <w:p>
      <w:pPr>
        <w:pStyle w:val="BodyText"/>
        <w:spacing w:before="2"/>
        <w:rPr>
          <w:sz w:val="18"/>
        </w:rPr>
      </w:pPr>
    </w:p>
    <w:p>
      <w:pPr>
        <w:pStyle w:val="ListParagraph"/>
        <w:numPr>
          <w:ilvl w:val="3"/>
          <w:numId w:val="220"/>
        </w:numPr>
        <w:tabs>
          <w:tab w:pos="1576" w:val="left" w:leader="none"/>
        </w:tabs>
        <w:spacing w:line="240" w:lineRule="auto" w:before="0" w:after="0"/>
        <w:ind w:left="1575" w:right="0" w:hanging="738"/>
        <w:jc w:val="left"/>
        <w:rPr>
          <w:sz w:val="21"/>
        </w:rPr>
      </w:pPr>
      <w:r>
        <w:rPr>
          <w:spacing w:val="-5"/>
          <w:sz w:val="21"/>
        </w:rPr>
        <w:t>査阅企业设计资料中消防泵与发动机的匹配参数，判断检査结果是否符合 </w:t>
      </w:r>
      <w:r>
        <w:rPr>
          <w:sz w:val="21"/>
        </w:rPr>
        <w:t>4.4.1.3</w:t>
      </w:r>
    </w:p>
    <w:p>
      <w:pPr>
        <w:pStyle w:val="BodyText"/>
        <w:spacing w:before="12"/>
        <w:rPr>
          <w:sz w:val="17"/>
        </w:rPr>
      </w:pPr>
    </w:p>
    <w:p>
      <w:pPr>
        <w:pStyle w:val="BodyText"/>
        <w:ind w:left="418"/>
      </w:pPr>
      <w:r>
        <w:rPr/>
        <w:t>的要求。 </w:t>
      </w:r>
    </w:p>
    <w:p>
      <w:pPr>
        <w:pStyle w:val="BodyText"/>
        <w:rPr>
          <w:sz w:val="18"/>
        </w:rPr>
      </w:pPr>
    </w:p>
    <w:p>
      <w:pPr>
        <w:pStyle w:val="ListParagraph"/>
        <w:numPr>
          <w:ilvl w:val="2"/>
          <w:numId w:val="220"/>
        </w:numPr>
        <w:tabs>
          <w:tab w:pos="1370" w:val="left" w:leader="none"/>
        </w:tabs>
        <w:spacing w:line="240" w:lineRule="auto" w:before="0" w:after="0"/>
        <w:ind w:left="1369" w:right="0" w:hanging="530"/>
        <w:jc w:val="left"/>
        <w:rPr>
          <w:sz w:val="21"/>
        </w:rPr>
      </w:pPr>
      <w:r>
        <w:rPr>
          <w:spacing w:val="-3"/>
          <w:sz w:val="21"/>
        </w:rPr>
        <w:t>消防管路试验</w:t>
      </w:r>
      <w:r>
        <w:rPr>
          <w:sz w:val="21"/>
        </w:rPr>
        <w:t> </w:t>
      </w:r>
    </w:p>
    <w:p>
      <w:pPr>
        <w:pStyle w:val="BodyText"/>
        <w:spacing w:before="2"/>
        <w:rPr>
          <w:sz w:val="18"/>
        </w:rPr>
      </w:pPr>
    </w:p>
    <w:p>
      <w:pPr>
        <w:pStyle w:val="ListParagraph"/>
        <w:numPr>
          <w:ilvl w:val="3"/>
          <w:numId w:val="220"/>
        </w:numPr>
        <w:tabs>
          <w:tab w:pos="1576" w:val="left" w:leader="none"/>
        </w:tabs>
        <w:spacing w:line="240" w:lineRule="auto" w:before="0" w:after="0"/>
        <w:ind w:left="1575" w:right="0" w:hanging="738"/>
        <w:jc w:val="left"/>
        <w:rPr>
          <w:sz w:val="21"/>
        </w:rPr>
      </w:pPr>
      <w:r>
        <w:rPr>
          <w:spacing w:val="-3"/>
          <w:sz w:val="21"/>
        </w:rPr>
        <w:t>一般要求试验</w:t>
      </w:r>
      <w:r>
        <w:rPr>
          <w:sz w:val="21"/>
        </w:rPr>
        <w:t> </w:t>
      </w:r>
    </w:p>
    <w:p>
      <w:pPr>
        <w:pStyle w:val="BodyText"/>
        <w:rPr>
          <w:sz w:val="18"/>
        </w:rPr>
      </w:pPr>
    </w:p>
    <w:p>
      <w:pPr>
        <w:pStyle w:val="ListParagraph"/>
        <w:numPr>
          <w:ilvl w:val="4"/>
          <w:numId w:val="220"/>
        </w:numPr>
        <w:tabs>
          <w:tab w:pos="1788" w:val="left" w:leader="none"/>
        </w:tabs>
        <w:spacing w:line="240" w:lineRule="auto" w:before="0" w:after="0"/>
        <w:ind w:left="1787" w:right="0" w:hanging="950"/>
        <w:jc w:val="left"/>
        <w:rPr>
          <w:sz w:val="21"/>
        </w:rPr>
      </w:pPr>
      <w:r>
        <w:rPr>
          <w:spacing w:val="-5"/>
          <w:sz w:val="21"/>
        </w:rPr>
        <w:t>检査消防管路的材质或防腐措施，判断检査结果是否符合 </w:t>
      </w:r>
      <w:r>
        <w:rPr>
          <w:sz w:val="21"/>
        </w:rPr>
        <w:t>4.4.2.1.1</w:t>
      </w:r>
      <w:r>
        <w:rPr>
          <w:spacing w:val="-13"/>
          <w:sz w:val="21"/>
        </w:rPr>
        <w:t> 的要求。</w:t>
      </w:r>
      <w:r>
        <w:rPr>
          <w:sz w:val="21"/>
        </w:rPr>
        <w:t> </w:t>
      </w:r>
    </w:p>
    <w:p>
      <w:pPr>
        <w:pStyle w:val="BodyText"/>
        <w:spacing w:before="12"/>
        <w:rPr>
          <w:sz w:val="17"/>
        </w:rPr>
      </w:pPr>
    </w:p>
    <w:p>
      <w:pPr>
        <w:pStyle w:val="ListParagraph"/>
        <w:numPr>
          <w:ilvl w:val="4"/>
          <w:numId w:val="220"/>
        </w:numPr>
        <w:tabs>
          <w:tab w:pos="1788" w:val="left" w:leader="none"/>
        </w:tabs>
        <w:spacing w:line="446" w:lineRule="auto" w:before="0" w:after="0"/>
        <w:ind w:left="418" w:right="1820" w:firstLine="419"/>
        <w:jc w:val="left"/>
        <w:rPr>
          <w:sz w:val="21"/>
        </w:rPr>
      </w:pPr>
      <w:r>
        <w:rPr>
          <w:spacing w:val="-5"/>
          <w:sz w:val="21"/>
        </w:rPr>
        <w:t>目测检查所有消防管路的布置情况，判断检查结果是否符合 </w:t>
      </w:r>
      <w:r>
        <w:rPr>
          <w:sz w:val="21"/>
        </w:rPr>
        <w:t>4.4.2.1.2</w:t>
      </w:r>
      <w:r>
        <w:rPr>
          <w:spacing w:val="-16"/>
          <w:sz w:val="21"/>
        </w:rPr>
        <w:t> 的要</w:t>
      </w:r>
      <w:r>
        <w:rPr>
          <w:spacing w:val="-10"/>
          <w:sz w:val="21"/>
        </w:rPr>
        <w:t>求。</w:t>
      </w:r>
      <w:r>
        <w:rPr>
          <w:sz w:val="21"/>
        </w:rPr>
        <w:t> </w:t>
      </w:r>
    </w:p>
    <w:p>
      <w:pPr>
        <w:pStyle w:val="ListParagraph"/>
        <w:numPr>
          <w:ilvl w:val="4"/>
          <w:numId w:val="220"/>
        </w:numPr>
        <w:tabs>
          <w:tab w:pos="1788" w:val="left" w:leader="none"/>
        </w:tabs>
        <w:spacing w:line="240" w:lineRule="auto" w:before="0" w:after="0"/>
        <w:ind w:left="1787" w:right="0" w:hanging="950"/>
        <w:jc w:val="left"/>
        <w:rPr>
          <w:sz w:val="21"/>
        </w:rPr>
      </w:pPr>
      <w:r>
        <w:rPr>
          <w:spacing w:val="-5"/>
          <w:sz w:val="21"/>
        </w:rPr>
        <w:t>目测检查所有消防管路的颜色，判断检查结果是否符合 </w:t>
      </w:r>
      <w:r>
        <w:rPr>
          <w:sz w:val="21"/>
        </w:rPr>
        <w:t>4.4.2.1.3</w:t>
      </w:r>
      <w:r>
        <w:rPr>
          <w:spacing w:val="-13"/>
          <w:sz w:val="21"/>
        </w:rPr>
        <w:t> 的要求。</w:t>
      </w:r>
      <w:r>
        <w:rPr>
          <w:sz w:val="21"/>
        </w:rPr>
        <w:t> </w:t>
      </w:r>
    </w:p>
    <w:p>
      <w:pPr>
        <w:pStyle w:val="BodyText"/>
        <w:spacing w:before="12"/>
        <w:rPr>
          <w:sz w:val="17"/>
        </w:rPr>
      </w:pPr>
    </w:p>
    <w:p>
      <w:pPr>
        <w:pStyle w:val="ListParagraph"/>
        <w:numPr>
          <w:ilvl w:val="3"/>
          <w:numId w:val="220"/>
        </w:numPr>
        <w:tabs>
          <w:tab w:pos="1576" w:val="left" w:leader="none"/>
        </w:tabs>
        <w:spacing w:line="240" w:lineRule="auto" w:before="0" w:after="0"/>
        <w:ind w:left="1575" w:right="0" w:hanging="738"/>
        <w:jc w:val="left"/>
        <w:rPr>
          <w:sz w:val="21"/>
        </w:rPr>
      </w:pPr>
      <w:r>
        <w:rPr>
          <w:spacing w:val="-3"/>
          <w:sz w:val="21"/>
        </w:rPr>
        <w:t>消防泵进水管路试验</w:t>
      </w:r>
      <w:r>
        <w:rPr>
          <w:sz w:val="21"/>
        </w:rPr>
        <w:t> </w:t>
      </w:r>
    </w:p>
    <w:p>
      <w:pPr>
        <w:pStyle w:val="BodyText"/>
        <w:spacing w:before="2"/>
        <w:rPr>
          <w:sz w:val="18"/>
        </w:rPr>
      </w:pPr>
    </w:p>
    <w:p>
      <w:pPr>
        <w:pStyle w:val="ListParagraph"/>
        <w:numPr>
          <w:ilvl w:val="4"/>
          <w:numId w:val="220"/>
        </w:numPr>
        <w:tabs>
          <w:tab w:pos="1788" w:val="left" w:leader="none"/>
        </w:tabs>
        <w:spacing w:line="446" w:lineRule="auto" w:before="0" w:after="0"/>
        <w:ind w:left="418" w:right="1503" w:firstLine="419"/>
        <w:jc w:val="left"/>
        <w:rPr>
          <w:sz w:val="21"/>
        </w:rPr>
      </w:pPr>
      <w:r>
        <w:rPr>
          <w:spacing w:val="-5"/>
          <w:sz w:val="21"/>
        </w:rPr>
        <w:t>目测检查消防泵进水口位置。泡沫车停在平整、坚硬的地面上，在 </w:t>
      </w:r>
      <w:r>
        <w:rPr>
          <w:sz w:val="21"/>
        </w:rPr>
        <w:t>3m</w:t>
      </w:r>
      <w:r>
        <w:rPr>
          <w:spacing w:val="-11"/>
          <w:sz w:val="21"/>
        </w:rPr>
        <w:t> 吸深下， </w:t>
      </w:r>
      <w:r>
        <w:rPr>
          <w:spacing w:val="-6"/>
          <w:sz w:val="21"/>
        </w:rPr>
        <w:t>将连接好滤水器的吸水管接在消防泵进口并放入水中，启动发动机并接合消防泵，判断检查结</w:t>
      </w:r>
      <w:r>
        <w:rPr>
          <w:spacing w:val="-12"/>
          <w:sz w:val="21"/>
        </w:rPr>
        <w:t>果是否符合 </w:t>
      </w:r>
      <w:r>
        <w:rPr>
          <w:sz w:val="21"/>
        </w:rPr>
        <w:t>4.4.2.2.1</w:t>
      </w:r>
      <w:r>
        <w:rPr>
          <w:spacing w:val="-10"/>
          <w:sz w:val="21"/>
        </w:rPr>
        <w:t> 的要求，当试验条件不是标准环境条件时，应按 </w:t>
      </w:r>
      <w:r>
        <w:rPr>
          <w:sz w:val="21"/>
        </w:rPr>
        <w:t>GB</w:t>
      </w:r>
      <w:r>
        <w:rPr>
          <w:spacing w:val="1"/>
          <w:sz w:val="21"/>
        </w:rPr>
        <w:t> </w:t>
      </w:r>
      <w:r>
        <w:rPr>
          <w:sz w:val="21"/>
        </w:rPr>
        <w:t>6245—2006</w:t>
      </w:r>
      <w:r>
        <w:rPr>
          <w:spacing w:val="-27"/>
          <w:sz w:val="21"/>
        </w:rPr>
        <w:t> 中</w:t>
      </w:r>
    </w:p>
    <w:p>
      <w:pPr>
        <w:pStyle w:val="BodyText"/>
        <w:spacing w:line="268" w:lineRule="exact"/>
        <w:ind w:left="418"/>
      </w:pPr>
      <w:r>
        <w:rPr/>
        <w:t>10.4.1 的规定进行修正，检查消防泵压力和流量。 </w:t>
      </w:r>
    </w:p>
    <w:p>
      <w:pPr>
        <w:spacing w:after="0" w:line="268" w:lineRule="exact"/>
        <w:sectPr>
          <w:pgSz w:w="11910" w:h="16850"/>
          <w:pgMar w:header="0" w:footer="1239" w:top="1220" w:bottom="1420" w:left="1260" w:right="0"/>
        </w:sectPr>
      </w:pPr>
    </w:p>
    <w:p>
      <w:pPr>
        <w:pStyle w:val="ListParagraph"/>
        <w:numPr>
          <w:ilvl w:val="4"/>
          <w:numId w:val="220"/>
        </w:numPr>
        <w:tabs>
          <w:tab w:pos="1788" w:val="left" w:leader="none"/>
        </w:tabs>
        <w:spacing w:line="240" w:lineRule="auto" w:before="47" w:after="0"/>
        <w:ind w:left="1787" w:right="0" w:hanging="950"/>
        <w:jc w:val="left"/>
        <w:rPr>
          <w:sz w:val="21"/>
        </w:rPr>
      </w:pPr>
      <w:r>
        <w:rPr>
          <w:spacing w:val="-9"/>
          <w:sz w:val="21"/>
        </w:rPr>
        <w:t>检查额定流量大于 </w:t>
      </w:r>
      <w:r>
        <w:rPr>
          <w:sz w:val="21"/>
        </w:rPr>
        <w:t>100L/s</w:t>
      </w:r>
      <w:r>
        <w:rPr>
          <w:spacing w:val="-8"/>
          <w:sz w:val="21"/>
        </w:rPr>
        <w:t> 的泡沫车进水管路的阀门，判断检查结果是否符合</w:t>
      </w:r>
    </w:p>
    <w:p>
      <w:pPr>
        <w:pStyle w:val="BodyText"/>
        <w:rPr>
          <w:sz w:val="18"/>
        </w:rPr>
      </w:pPr>
    </w:p>
    <w:p>
      <w:pPr>
        <w:pStyle w:val="BodyText"/>
        <w:ind w:left="418"/>
      </w:pPr>
      <w:r>
        <w:rPr/>
        <w:t>4.4.2.2.2 的要求. </w:t>
      </w:r>
    </w:p>
    <w:p>
      <w:pPr>
        <w:pStyle w:val="BodyText"/>
        <w:rPr>
          <w:sz w:val="18"/>
        </w:rPr>
      </w:pPr>
    </w:p>
    <w:p>
      <w:pPr>
        <w:pStyle w:val="ListParagraph"/>
        <w:numPr>
          <w:ilvl w:val="4"/>
          <w:numId w:val="221"/>
        </w:numPr>
        <w:tabs>
          <w:tab w:pos="1788" w:val="left" w:leader="none"/>
        </w:tabs>
        <w:spacing w:line="446" w:lineRule="auto" w:before="0" w:after="0"/>
        <w:ind w:left="418" w:right="1609" w:firstLine="419"/>
        <w:jc w:val="left"/>
        <w:rPr>
          <w:sz w:val="21"/>
        </w:rPr>
      </w:pPr>
      <w:r>
        <w:rPr>
          <w:spacing w:val="-3"/>
          <w:sz w:val="21"/>
        </w:rPr>
        <w:t>消防泵运转结束后，放尽水管路余水，用秒表测定放尽余水的时间，判断试验</w:t>
      </w:r>
      <w:r>
        <w:rPr>
          <w:spacing w:val="-11"/>
          <w:sz w:val="21"/>
        </w:rPr>
        <w:t>结果是否符合 </w:t>
      </w:r>
      <w:r>
        <w:rPr>
          <w:sz w:val="21"/>
        </w:rPr>
        <w:t>4.4.2.2.3</w:t>
      </w:r>
      <w:r>
        <w:rPr>
          <w:spacing w:val="-13"/>
          <w:sz w:val="21"/>
        </w:rPr>
        <w:t> 的要求。</w:t>
      </w:r>
      <w:r>
        <w:rPr>
          <w:sz w:val="21"/>
        </w:rPr>
        <w:t> </w:t>
      </w:r>
    </w:p>
    <w:p>
      <w:pPr>
        <w:pStyle w:val="ListParagraph"/>
        <w:numPr>
          <w:ilvl w:val="4"/>
          <w:numId w:val="221"/>
        </w:numPr>
        <w:tabs>
          <w:tab w:pos="1788" w:val="left" w:leader="none"/>
        </w:tabs>
        <w:spacing w:line="446" w:lineRule="auto" w:before="0" w:after="0"/>
        <w:ind w:left="418" w:right="1609" w:firstLine="419"/>
        <w:jc w:val="left"/>
        <w:rPr>
          <w:sz w:val="21"/>
        </w:rPr>
      </w:pPr>
      <w:r>
        <w:rPr>
          <w:spacing w:val="-3"/>
          <w:sz w:val="21"/>
        </w:rPr>
        <w:t>目测检查消防泵的每个进水口和吸水管之间的滤网，用游标卡尺测量过流断面</w:t>
      </w:r>
      <w:r>
        <w:rPr>
          <w:spacing w:val="-6"/>
          <w:sz w:val="21"/>
        </w:rPr>
        <w:t>处滤网孔尺 寸，判断试验结果是否符合 </w:t>
      </w:r>
      <w:r>
        <w:rPr>
          <w:sz w:val="21"/>
        </w:rPr>
        <w:t>4.4.2.2.4</w:t>
      </w:r>
      <w:r>
        <w:rPr>
          <w:spacing w:val="-13"/>
          <w:sz w:val="21"/>
        </w:rPr>
        <w:t> 的要求。</w:t>
      </w:r>
      <w:r>
        <w:rPr>
          <w:sz w:val="21"/>
        </w:rPr>
        <w:t> </w:t>
      </w:r>
    </w:p>
    <w:p>
      <w:pPr>
        <w:pStyle w:val="ListParagraph"/>
        <w:numPr>
          <w:ilvl w:val="4"/>
          <w:numId w:val="221"/>
        </w:numPr>
        <w:tabs>
          <w:tab w:pos="1788" w:val="left" w:leader="none"/>
        </w:tabs>
        <w:spacing w:line="240" w:lineRule="auto" w:before="0" w:after="0"/>
        <w:ind w:left="1787" w:right="0" w:hanging="950"/>
        <w:jc w:val="left"/>
        <w:rPr>
          <w:sz w:val="21"/>
        </w:rPr>
      </w:pPr>
      <w:r>
        <w:rPr>
          <w:spacing w:val="-3"/>
          <w:sz w:val="21"/>
        </w:rPr>
        <w:t>试验时将各进、出水口封闭，用试压泵向管内压水，达到试验压力后保持</w:t>
      </w:r>
    </w:p>
    <w:p>
      <w:pPr>
        <w:pStyle w:val="BodyText"/>
        <w:spacing w:before="12"/>
        <w:rPr>
          <w:sz w:val="17"/>
        </w:rPr>
      </w:pPr>
    </w:p>
    <w:p>
      <w:pPr>
        <w:pStyle w:val="BodyText"/>
        <w:ind w:left="418"/>
      </w:pPr>
      <w:r>
        <w:rPr/>
        <w:t>3min，判断试验结果是否符合 4.4.2.2.5 的要求。 </w:t>
      </w:r>
    </w:p>
    <w:p>
      <w:pPr>
        <w:pStyle w:val="BodyText"/>
        <w:rPr>
          <w:sz w:val="18"/>
        </w:rPr>
      </w:pPr>
    </w:p>
    <w:p>
      <w:pPr>
        <w:pStyle w:val="ListParagraph"/>
        <w:numPr>
          <w:ilvl w:val="4"/>
          <w:numId w:val="221"/>
        </w:numPr>
        <w:tabs>
          <w:tab w:pos="1788" w:val="left" w:leader="none"/>
        </w:tabs>
        <w:spacing w:line="240" w:lineRule="auto" w:before="0" w:after="0"/>
        <w:ind w:left="1787" w:right="0" w:hanging="950"/>
        <w:jc w:val="left"/>
        <w:rPr>
          <w:sz w:val="21"/>
        </w:rPr>
      </w:pPr>
      <w:r>
        <w:rPr>
          <w:spacing w:val="-6"/>
          <w:sz w:val="21"/>
        </w:rPr>
        <w:t>用卷尺测量吸水管长度，判断试验结果是否符合 </w:t>
      </w:r>
      <w:r>
        <w:rPr>
          <w:sz w:val="21"/>
        </w:rPr>
        <w:t>4.4.2.2.6</w:t>
      </w:r>
      <w:r>
        <w:rPr>
          <w:spacing w:val="-12"/>
          <w:sz w:val="21"/>
        </w:rPr>
        <w:t> 的要求。 </w:t>
      </w:r>
    </w:p>
    <w:p>
      <w:pPr>
        <w:pStyle w:val="BodyText"/>
        <w:spacing w:before="2"/>
        <w:rPr>
          <w:sz w:val="18"/>
        </w:rPr>
      </w:pPr>
    </w:p>
    <w:p>
      <w:pPr>
        <w:pStyle w:val="ListParagraph"/>
        <w:numPr>
          <w:ilvl w:val="3"/>
          <w:numId w:val="220"/>
        </w:numPr>
        <w:tabs>
          <w:tab w:pos="1576" w:val="left" w:leader="none"/>
        </w:tabs>
        <w:spacing w:line="240" w:lineRule="auto" w:before="0" w:after="0"/>
        <w:ind w:left="1575" w:right="0" w:hanging="738"/>
        <w:jc w:val="left"/>
        <w:rPr>
          <w:sz w:val="21"/>
        </w:rPr>
      </w:pPr>
      <w:r>
        <w:rPr>
          <w:spacing w:val="-3"/>
          <w:sz w:val="21"/>
        </w:rPr>
        <w:t>消防泵出水管路试验</w:t>
      </w:r>
      <w:r>
        <w:rPr>
          <w:sz w:val="21"/>
        </w:rPr>
        <w:t> </w:t>
      </w:r>
    </w:p>
    <w:p>
      <w:pPr>
        <w:pStyle w:val="BodyText"/>
        <w:spacing w:before="12"/>
        <w:rPr>
          <w:sz w:val="17"/>
        </w:rPr>
      </w:pPr>
    </w:p>
    <w:p>
      <w:pPr>
        <w:pStyle w:val="ListParagraph"/>
        <w:numPr>
          <w:ilvl w:val="4"/>
          <w:numId w:val="220"/>
        </w:numPr>
        <w:tabs>
          <w:tab w:pos="1788" w:val="left" w:leader="none"/>
        </w:tabs>
        <w:spacing w:line="446" w:lineRule="auto" w:before="0" w:after="0"/>
        <w:ind w:left="418" w:right="1608" w:firstLine="419"/>
        <w:jc w:val="both"/>
        <w:rPr>
          <w:sz w:val="21"/>
        </w:rPr>
      </w:pPr>
      <w:r>
        <w:rPr>
          <w:spacing w:val="-3"/>
          <w:sz w:val="21"/>
        </w:rPr>
        <w:t>消防车停在平整、坚硬的地面上，将吸水管接在消防泵进口并放入水中，各出口和流量计相连，启动消防泵，在额定工况下运转，待运转稳定后测量泵的流量和压力，判断</w:t>
      </w:r>
      <w:r>
        <w:rPr>
          <w:spacing w:val="-9"/>
          <w:sz w:val="21"/>
        </w:rPr>
        <w:t>试验结果是否符合 </w:t>
      </w:r>
      <w:r>
        <w:rPr>
          <w:sz w:val="21"/>
        </w:rPr>
        <w:t>4.4.2.3.1</w:t>
      </w:r>
      <w:r>
        <w:rPr>
          <w:spacing w:val="-13"/>
          <w:sz w:val="21"/>
        </w:rPr>
        <w:t> 的要求。</w:t>
      </w:r>
      <w:r>
        <w:rPr>
          <w:sz w:val="21"/>
        </w:rPr>
        <w:t> </w:t>
      </w:r>
    </w:p>
    <w:p>
      <w:pPr>
        <w:pStyle w:val="ListParagraph"/>
        <w:numPr>
          <w:ilvl w:val="4"/>
          <w:numId w:val="220"/>
        </w:numPr>
        <w:tabs>
          <w:tab w:pos="1788" w:val="left" w:leader="none"/>
        </w:tabs>
        <w:spacing w:line="446" w:lineRule="auto" w:before="0" w:after="0"/>
        <w:ind w:left="418" w:right="1609" w:firstLine="419"/>
        <w:jc w:val="both"/>
        <w:rPr>
          <w:sz w:val="21"/>
        </w:rPr>
      </w:pPr>
      <w:r>
        <w:rPr>
          <w:spacing w:val="-3"/>
          <w:sz w:val="21"/>
        </w:rPr>
        <w:t>消防泵运转结束后，放出水管路余水，用秒表测定放尽余水的时间，判断试验</w:t>
      </w:r>
      <w:r>
        <w:rPr>
          <w:spacing w:val="-11"/>
          <w:sz w:val="21"/>
        </w:rPr>
        <w:t>结果是否符合 </w:t>
      </w:r>
      <w:r>
        <w:rPr>
          <w:sz w:val="21"/>
        </w:rPr>
        <w:t>4.4.2.3.2</w:t>
      </w:r>
      <w:r>
        <w:rPr>
          <w:spacing w:val="-13"/>
          <w:sz w:val="21"/>
        </w:rPr>
        <w:t> 的要求。</w:t>
      </w:r>
      <w:r>
        <w:rPr>
          <w:sz w:val="21"/>
        </w:rPr>
        <w:t> </w:t>
      </w:r>
    </w:p>
    <w:p>
      <w:pPr>
        <w:pStyle w:val="ListParagraph"/>
        <w:numPr>
          <w:ilvl w:val="4"/>
          <w:numId w:val="220"/>
        </w:numPr>
        <w:tabs>
          <w:tab w:pos="1788" w:val="left" w:leader="none"/>
        </w:tabs>
        <w:spacing w:line="446" w:lineRule="auto" w:before="0" w:after="0"/>
        <w:ind w:left="418" w:right="1609" w:firstLine="419"/>
        <w:jc w:val="both"/>
        <w:rPr>
          <w:sz w:val="21"/>
        </w:rPr>
      </w:pPr>
      <w:r>
        <w:rPr>
          <w:spacing w:val="-3"/>
          <w:sz w:val="21"/>
        </w:rPr>
        <w:t>用卷尺测量出水口中心离地高度，目测检查出水口倾斜方向，用卷尺测量出水</w:t>
      </w:r>
      <w:r>
        <w:rPr>
          <w:spacing w:val="-5"/>
          <w:sz w:val="21"/>
        </w:rPr>
        <w:t>口中心离操作踏板上平面的高度，判断试验结果是否符合 </w:t>
      </w:r>
      <w:r>
        <w:rPr>
          <w:sz w:val="21"/>
        </w:rPr>
        <w:t>4.4.2.3.3</w:t>
      </w:r>
      <w:r>
        <w:rPr>
          <w:spacing w:val="-12"/>
          <w:sz w:val="21"/>
        </w:rPr>
        <w:t> 的要求。 </w:t>
      </w:r>
    </w:p>
    <w:p>
      <w:pPr>
        <w:pStyle w:val="ListParagraph"/>
        <w:numPr>
          <w:ilvl w:val="4"/>
          <w:numId w:val="220"/>
        </w:numPr>
        <w:tabs>
          <w:tab w:pos="1788" w:val="left" w:leader="none"/>
        </w:tabs>
        <w:spacing w:line="267" w:lineRule="exact" w:before="0" w:after="0"/>
        <w:ind w:left="1787" w:right="0" w:hanging="950"/>
        <w:jc w:val="both"/>
        <w:rPr>
          <w:sz w:val="21"/>
        </w:rPr>
      </w:pPr>
      <w:r>
        <w:rPr>
          <w:spacing w:val="-5"/>
          <w:sz w:val="21"/>
        </w:rPr>
        <w:t>目测检査出水管路的止回阀安装，判断试验结果是否符合 </w:t>
      </w:r>
      <w:r>
        <w:rPr>
          <w:sz w:val="21"/>
        </w:rPr>
        <w:t>4.4.2.3.4</w:t>
      </w:r>
      <w:r>
        <w:rPr>
          <w:spacing w:val="-13"/>
          <w:sz w:val="21"/>
        </w:rPr>
        <w:t> 的要求。</w:t>
      </w:r>
      <w:r>
        <w:rPr>
          <w:sz w:val="21"/>
        </w:rPr>
        <w:t> </w:t>
      </w:r>
    </w:p>
    <w:p>
      <w:pPr>
        <w:pStyle w:val="BodyText"/>
        <w:spacing w:before="1"/>
        <w:rPr>
          <w:sz w:val="18"/>
        </w:rPr>
      </w:pPr>
    </w:p>
    <w:p>
      <w:pPr>
        <w:pStyle w:val="ListParagraph"/>
        <w:numPr>
          <w:ilvl w:val="4"/>
          <w:numId w:val="220"/>
        </w:numPr>
        <w:tabs>
          <w:tab w:pos="1788" w:val="left" w:leader="none"/>
        </w:tabs>
        <w:spacing w:line="446" w:lineRule="auto" w:before="0" w:after="0"/>
        <w:ind w:left="418" w:right="1609" w:firstLine="419"/>
        <w:jc w:val="left"/>
        <w:rPr>
          <w:sz w:val="21"/>
        </w:rPr>
      </w:pPr>
      <w:r>
        <w:rPr>
          <w:spacing w:val="-3"/>
          <w:sz w:val="21"/>
        </w:rPr>
        <w:t>将消防泵出口止回阀后的出水管路注满水，排除残余空气，关闭出水阀，用试</w:t>
      </w:r>
      <w:r>
        <w:rPr>
          <w:spacing w:val="-6"/>
          <w:sz w:val="21"/>
        </w:rPr>
        <w:t>压泵向管路内缓慢加压至规定试验压力，保持 </w:t>
      </w:r>
      <w:r>
        <w:rPr>
          <w:sz w:val="21"/>
        </w:rPr>
        <w:t>3min</w:t>
      </w:r>
      <w:r>
        <w:rPr>
          <w:spacing w:val="-7"/>
          <w:sz w:val="21"/>
        </w:rPr>
        <w:t>，判断试验结果是否符合 </w:t>
      </w:r>
      <w:r>
        <w:rPr>
          <w:sz w:val="21"/>
        </w:rPr>
        <w:t>4.4.2.3.5</w:t>
      </w:r>
      <w:r>
        <w:rPr>
          <w:spacing w:val="-17"/>
          <w:sz w:val="21"/>
        </w:rPr>
        <w:t> 的要</w:t>
      </w:r>
      <w:r>
        <w:rPr>
          <w:spacing w:val="-10"/>
          <w:sz w:val="21"/>
        </w:rPr>
        <w:t>求。</w:t>
      </w:r>
      <w:r>
        <w:rPr>
          <w:sz w:val="21"/>
        </w:rPr>
        <w:t> </w:t>
      </w:r>
    </w:p>
    <w:p>
      <w:pPr>
        <w:pStyle w:val="ListParagraph"/>
        <w:numPr>
          <w:ilvl w:val="4"/>
          <w:numId w:val="220"/>
        </w:numPr>
        <w:tabs>
          <w:tab w:pos="1788" w:val="left" w:leader="none"/>
        </w:tabs>
        <w:spacing w:line="446" w:lineRule="auto" w:before="0" w:after="0"/>
        <w:ind w:left="418" w:right="1609" w:firstLine="419"/>
        <w:jc w:val="left"/>
        <w:rPr>
          <w:sz w:val="21"/>
        </w:rPr>
      </w:pPr>
      <w:r>
        <w:rPr>
          <w:spacing w:val="-3"/>
          <w:sz w:val="21"/>
        </w:rPr>
        <w:t>将消防泵出口止回阀后的出水管路承压零件注满水，排除残余空气，关闭出水</w:t>
      </w:r>
      <w:r>
        <w:rPr>
          <w:spacing w:val="-5"/>
          <w:sz w:val="21"/>
        </w:rPr>
        <w:t>阀，用试压泵向管路内缓慢加压至规定试验压力，保持 </w:t>
      </w:r>
      <w:r>
        <w:rPr>
          <w:sz w:val="21"/>
        </w:rPr>
        <w:t>3min</w:t>
      </w:r>
      <w:r>
        <w:rPr>
          <w:spacing w:val="-3"/>
          <w:sz w:val="21"/>
        </w:rPr>
        <w:t>，判断试验结果是否符合</w:t>
      </w:r>
    </w:p>
    <w:p>
      <w:pPr>
        <w:pStyle w:val="BodyText"/>
        <w:spacing w:line="267" w:lineRule="exact"/>
        <w:ind w:left="418"/>
      </w:pPr>
      <w:r>
        <w:rPr/>
        <w:t>4.4.2.3.6 的要求。 </w:t>
      </w:r>
    </w:p>
    <w:p>
      <w:pPr>
        <w:pStyle w:val="BodyText"/>
        <w:spacing w:before="1"/>
        <w:rPr>
          <w:sz w:val="18"/>
        </w:rPr>
      </w:pPr>
    </w:p>
    <w:p>
      <w:pPr>
        <w:pStyle w:val="ListParagraph"/>
        <w:numPr>
          <w:ilvl w:val="4"/>
          <w:numId w:val="222"/>
        </w:numPr>
        <w:tabs>
          <w:tab w:pos="1788" w:val="left" w:leader="none"/>
        </w:tabs>
        <w:spacing w:line="446" w:lineRule="auto" w:before="0" w:after="0"/>
        <w:ind w:left="418" w:right="1609" w:firstLine="419"/>
        <w:jc w:val="both"/>
        <w:rPr>
          <w:sz w:val="21"/>
        </w:rPr>
      </w:pPr>
      <w:r>
        <w:rPr>
          <w:spacing w:val="-3"/>
          <w:sz w:val="21"/>
        </w:rPr>
        <w:t>手动启闭的出水阀，在出水管路最大工作压力下，在出水阀操作手柄顶端施加操作力，用拉力计测量开启和关闭力大小。当出水管路中没有压力时，在出水阀操作手柄顶端</w:t>
      </w:r>
      <w:r>
        <w:rPr>
          <w:spacing w:val="-5"/>
          <w:sz w:val="21"/>
        </w:rPr>
        <w:t>施加操作力，用拉力计测量开启和关闭力大小，判断试验结果是否符合 </w:t>
      </w:r>
      <w:r>
        <w:rPr>
          <w:sz w:val="21"/>
        </w:rPr>
        <w:t>4.4.2.3.7</w:t>
      </w:r>
      <w:r>
        <w:rPr>
          <w:spacing w:val="-12"/>
          <w:sz w:val="21"/>
        </w:rPr>
        <w:t> 的要求。</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4"/>
          <w:numId w:val="222"/>
        </w:numPr>
        <w:tabs>
          <w:tab w:pos="1788" w:val="left" w:leader="none"/>
        </w:tabs>
        <w:spacing w:line="446" w:lineRule="auto" w:before="47" w:after="0"/>
        <w:ind w:left="418" w:right="1609" w:firstLine="419"/>
        <w:jc w:val="left"/>
        <w:rPr>
          <w:sz w:val="21"/>
        </w:rPr>
      </w:pPr>
      <w:r>
        <w:rPr>
          <w:spacing w:val="-3"/>
          <w:sz w:val="21"/>
        </w:rPr>
        <w:t>检查消防泵出水管路的出水阀及指示标牌、警示标牌，并用秒表测量阀门完全</w:t>
      </w:r>
      <w:r>
        <w:rPr>
          <w:spacing w:val="-6"/>
          <w:sz w:val="21"/>
        </w:rPr>
        <w:t>打开所用时间，判断试验结果是否符合 </w:t>
      </w:r>
      <w:r>
        <w:rPr>
          <w:sz w:val="21"/>
        </w:rPr>
        <w:t>4.4.2.3.8</w:t>
      </w:r>
      <w:r>
        <w:rPr>
          <w:spacing w:val="-13"/>
          <w:sz w:val="21"/>
        </w:rPr>
        <w:t> 的要求。</w:t>
      </w:r>
      <w:r>
        <w:rPr>
          <w:sz w:val="21"/>
        </w:rPr>
        <w:t> </w:t>
      </w:r>
    </w:p>
    <w:p>
      <w:pPr>
        <w:pStyle w:val="ListParagraph"/>
        <w:numPr>
          <w:ilvl w:val="3"/>
          <w:numId w:val="220"/>
        </w:numPr>
        <w:tabs>
          <w:tab w:pos="1576" w:val="left" w:leader="none"/>
        </w:tabs>
        <w:spacing w:line="267" w:lineRule="exact" w:before="0" w:after="0"/>
        <w:ind w:left="1575" w:right="0" w:hanging="738"/>
        <w:jc w:val="left"/>
        <w:rPr>
          <w:sz w:val="21"/>
        </w:rPr>
      </w:pPr>
      <w:r>
        <w:rPr>
          <w:spacing w:val="-3"/>
          <w:sz w:val="21"/>
        </w:rPr>
        <w:t>水罐至消防泵的输水管路试验</w:t>
      </w:r>
      <w:r>
        <w:rPr>
          <w:sz w:val="21"/>
        </w:rPr>
        <w:t> </w:t>
      </w:r>
    </w:p>
    <w:p>
      <w:pPr>
        <w:pStyle w:val="BodyText"/>
        <w:spacing w:before="2"/>
        <w:rPr>
          <w:sz w:val="18"/>
        </w:rPr>
      </w:pPr>
    </w:p>
    <w:p>
      <w:pPr>
        <w:pStyle w:val="ListParagraph"/>
        <w:numPr>
          <w:ilvl w:val="4"/>
          <w:numId w:val="220"/>
        </w:numPr>
        <w:tabs>
          <w:tab w:pos="1788" w:val="left" w:leader="none"/>
        </w:tabs>
        <w:spacing w:line="446" w:lineRule="auto" w:before="0" w:after="0"/>
        <w:ind w:left="418" w:right="1820" w:firstLine="419"/>
        <w:jc w:val="left"/>
        <w:rPr>
          <w:sz w:val="21"/>
        </w:rPr>
      </w:pPr>
      <w:r>
        <w:rPr>
          <w:spacing w:val="-5"/>
          <w:sz w:val="21"/>
        </w:rPr>
        <w:t>检查水罐至消防泵的输水管路阀门，判断检查结果是否符合 </w:t>
      </w:r>
      <w:r>
        <w:rPr>
          <w:sz w:val="21"/>
        </w:rPr>
        <w:t>4.4.2.4.1</w:t>
      </w:r>
      <w:r>
        <w:rPr>
          <w:spacing w:val="-16"/>
          <w:sz w:val="21"/>
        </w:rPr>
        <w:t> 的要</w:t>
      </w:r>
      <w:r>
        <w:rPr>
          <w:spacing w:val="-10"/>
          <w:sz w:val="21"/>
        </w:rPr>
        <w:t>求。</w:t>
      </w:r>
      <w:r>
        <w:rPr>
          <w:sz w:val="21"/>
        </w:rPr>
        <w:t> </w:t>
      </w:r>
    </w:p>
    <w:p>
      <w:pPr>
        <w:pStyle w:val="ListParagraph"/>
        <w:numPr>
          <w:ilvl w:val="4"/>
          <w:numId w:val="220"/>
        </w:numPr>
        <w:tabs>
          <w:tab w:pos="1788" w:val="left" w:leader="none"/>
        </w:tabs>
        <w:spacing w:line="446" w:lineRule="auto" w:before="0" w:after="0"/>
        <w:ind w:left="418" w:right="1611" w:firstLine="419"/>
        <w:jc w:val="left"/>
        <w:rPr>
          <w:sz w:val="21"/>
        </w:rPr>
      </w:pPr>
      <w:r>
        <w:rPr>
          <w:spacing w:val="-5"/>
          <w:sz w:val="21"/>
        </w:rPr>
        <w:t>目测检查水罐内输水管路的进口位置，判断检查结果是否符合 </w:t>
      </w:r>
      <w:r>
        <w:rPr>
          <w:sz w:val="21"/>
        </w:rPr>
        <w:t>4.4.2.4.2</w:t>
      </w:r>
      <w:r>
        <w:rPr>
          <w:spacing w:val="-16"/>
          <w:sz w:val="21"/>
        </w:rPr>
        <w:t> 的要</w:t>
      </w:r>
      <w:r>
        <w:rPr>
          <w:spacing w:val="-10"/>
          <w:sz w:val="21"/>
        </w:rPr>
        <w:t>求。</w:t>
      </w:r>
      <w:r>
        <w:rPr>
          <w:sz w:val="21"/>
        </w:rPr>
        <w:t> </w:t>
      </w:r>
    </w:p>
    <w:p>
      <w:pPr>
        <w:pStyle w:val="ListParagraph"/>
        <w:numPr>
          <w:ilvl w:val="4"/>
          <w:numId w:val="220"/>
        </w:numPr>
        <w:tabs>
          <w:tab w:pos="1788" w:val="left" w:leader="none"/>
        </w:tabs>
        <w:spacing w:line="446" w:lineRule="auto" w:before="0" w:after="0"/>
        <w:ind w:left="418" w:right="1609" w:firstLine="419"/>
        <w:jc w:val="left"/>
        <w:rPr>
          <w:sz w:val="21"/>
        </w:rPr>
      </w:pPr>
      <w:r>
        <w:rPr>
          <w:spacing w:val="-3"/>
          <w:sz w:val="21"/>
        </w:rPr>
        <w:t>目测检查输水管路进口滤网。使用罐内供水，把各出口和流量计相连，启动消防泵，在额定工况下运转，待运转稳定后测量泵的流量和压力，判断试验结果是否符合</w:t>
      </w:r>
    </w:p>
    <w:p>
      <w:pPr>
        <w:pStyle w:val="ListParagraph"/>
        <w:numPr>
          <w:ilvl w:val="4"/>
          <w:numId w:val="223"/>
        </w:numPr>
        <w:tabs>
          <w:tab w:pos="1417" w:val="left" w:leader="none"/>
        </w:tabs>
        <w:spacing w:line="240" w:lineRule="auto" w:before="0" w:after="0"/>
        <w:ind w:left="1416" w:right="0" w:hanging="999"/>
        <w:jc w:val="left"/>
        <w:rPr>
          <w:sz w:val="21"/>
        </w:rPr>
      </w:pPr>
      <w:r>
        <w:rPr>
          <w:spacing w:val="-3"/>
          <w:sz w:val="21"/>
        </w:rPr>
        <w:t>的要求。</w:t>
      </w:r>
      <w:r>
        <w:rPr>
          <w:sz w:val="21"/>
        </w:rPr>
        <w:t> </w:t>
      </w:r>
    </w:p>
    <w:p>
      <w:pPr>
        <w:pStyle w:val="BodyText"/>
        <w:spacing w:before="10"/>
        <w:rPr>
          <w:sz w:val="17"/>
        </w:rPr>
      </w:pPr>
    </w:p>
    <w:p>
      <w:pPr>
        <w:pStyle w:val="BodyText"/>
        <w:spacing w:line="446" w:lineRule="auto"/>
        <w:ind w:left="418" w:right="1608" w:firstLine="419"/>
      </w:pPr>
      <w:r>
        <w:rPr/>
        <w:t>5.4.2.4.4 当车辆水平时，将水罐内灌满水，测量总重，启动消防泵，在泡沫车额定压力和流量下，从水罐向消防泵供水，待水罐不能供水后停止，测量总重，判断试验结果是否符合</w:t>
      </w:r>
    </w:p>
    <w:p>
      <w:pPr>
        <w:pStyle w:val="ListParagraph"/>
        <w:numPr>
          <w:ilvl w:val="4"/>
          <w:numId w:val="223"/>
        </w:numPr>
        <w:tabs>
          <w:tab w:pos="1417" w:val="left" w:leader="none"/>
        </w:tabs>
        <w:spacing w:line="240" w:lineRule="auto" w:before="0" w:after="0"/>
        <w:ind w:left="1416" w:right="0" w:hanging="999"/>
        <w:jc w:val="left"/>
        <w:rPr>
          <w:sz w:val="21"/>
        </w:rPr>
      </w:pPr>
      <w:r>
        <w:rPr>
          <w:spacing w:val="-3"/>
          <w:sz w:val="21"/>
        </w:rPr>
        <w:t>的要求。</w:t>
      </w:r>
      <w:r>
        <w:rPr>
          <w:sz w:val="21"/>
        </w:rPr>
        <w:t> </w:t>
      </w:r>
    </w:p>
    <w:p>
      <w:pPr>
        <w:pStyle w:val="BodyText"/>
        <w:rPr>
          <w:sz w:val="18"/>
        </w:rPr>
      </w:pPr>
    </w:p>
    <w:p>
      <w:pPr>
        <w:pStyle w:val="ListParagraph"/>
        <w:numPr>
          <w:ilvl w:val="3"/>
          <w:numId w:val="220"/>
        </w:numPr>
        <w:tabs>
          <w:tab w:pos="1576" w:val="left" w:leader="none"/>
        </w:tabs>
        <w:spacing w:line="240" w:lineRule="auto" w:before="0" w:after="0"/>
        <w:ind w:left="1575" w:right="0" w:hanging="738"/>
        <w:jc w:val="left"/>
        <w:rPr>
          <w:sz w:val="21"/>
        </w:rPr>
      </w:pPr>
      <w:r>
        <w:rPr>
          <w:spacing w:val="-3"/>
          <w:sz w:val="21"/>
        </w:rPr>
        <w:t>泡沫液罐至泡沫比例混合器的输液管路试验 </w:t>
      </w:r>
    </w:p>
    <w:p>
      <w:pPr>
        <w:pStyle w:val="BodyText"/>
        <w:rPr>
          <w:sz w:val="18"/>
        </w:rPr>
      </w:pPr>
    </w:p>
    <w:p>
      <w:pPr>
        <w:pStyle w:val="ListParagraph"/>
        <w:numPr>
          <w:ilvl w:val="4"/>
          <w:numId w:val="220"/>
        </w:numPr>
        <w:tabs>
          <w:tab w:pos="1788" w:val="left" w:leader="none"/>
        </w:tabs>
        <w:spacing w:line="446" w:lineRule="auto" w:before="0" w:after="0"/>
        <w:ind w:left="418" w:right="1609" w:firstLine="419"/>
        <w:jc w:val="left"/>
        <w:rPr>
          <w:sz w:val="21"/>
        </w:rPr>
      </w:pPr>
      <w:r>
        <w:rPr>
          <w:spacing w:val="-3"/>
          <w:sz w:val="21"/>
        </w:rPr>
        <w:t>将泡沫罐内灌满泡沫，启动泡沫液泵，待泡沫罐不能供液后停止，测量抽出的</w:t>
      </w:r>
      <w:r>
        <w:rPr>
          <w:spacing w:val="-6"/>
          <w:sz w:val="21"/>
        </w:rPr>
        <w:t>泡沫液重量，判断试验结果是否符合 </w:t>
      </w:r>
      <w:r>
        <w:rPr>
          <w:sz w:val="21"/>
        </w:rPr>
        <w:t>4.4.2.5.1</w:t>
      </w:r>
      <w:r>
        <w:rPr>
          <w:spacing w:val="-13"/>
          <w:sz w:val="21"/>
        </w:rPr>
        <w:t> 的要求。</w:t>
      </w:r>
      <w:r>
        <w:rPr>
          <w:sz w:val="21"/>
        </w:rPr>
        <w:t> </w:t>
      </w:r>
    </w:p>
    <w:p>
      <w:pPr>
        <w:pStyle w:val="ListParagraph"/>
        <w:numPr>
          <w:ilvl w:val="4"/>
          <w:numId w:val="220"/>
        </w:numPr>
        <w:tabs>
          <w:tab w:pos="1788" w:val="left" w:leader="none"/>
        </w:tabs>
        <w:spacing w:line="446" w:lineRule="auto" w:before="0" w:after="0"/>
        <w:ind w:left="418" w:right="1505" w:firstLine="419"/>
        <w:jc w:val="left"/>
        <w:rPr>
          <w:sz w:val="21"/>
        </w:rPr>
      </w:pPr>
      <w:r>
        <w:rPr>
          <w:spacing w:val="-3"/>
          <w:sz w:val="21"/>
        </w:rPr>
        <w:t>目测检查输液管路进口滤网。把输液管路出口和流量计相连，泡沫比例混合器在最大工况 下运转，待运转稳定后测量流量和压力。输液管路进口与真空泵相连接，封闭其他开</w:t>
      </w:r>
      <w:r>
        <w:rPr>
          <w:spacing w:val="-7"/>
          <w:sz w:val="21"/>
        </w:rPr>
        <w:t>口，开启真空泵抽真空至 </w:t>
      </w:r>
      <w:r>
        <w:rPr>
          <w:sz w:val="21"/>
        </w:rPr>
        <w:t>85kPa</w:t>
      </w:r>
      <w:r>
        <w:rPr>
          <w:spacing w:val="-8"/>
          <w:sz w:val="21"/>
        </w:rPr>
        <w:t>，关闭真空泵，测定 </w:t>
      </w:r>
      <w:r>
        <w:rPr>
          <w:sz w:val="21"/>
        </w:rPr>
        <w:t>5min</w:t>
      </w:r>
      <w:r>
        <w:rPr>
          <w:spacing w:val="-8"/>
          <w:sz w:val="21"/>
        </w:rPr>
        <w:t> 内真空度下降值。判断试验结果是否</w:t>
      </w:r>
      <w:r>
        <w:rPr>
          <w:spacing w:val="-19"/>
          <w:sz w:val="21"/>
        </w:rPr>
        <w:t>符合 </w:t>
      </w:r>
      <w:r>
        <w:rPr>
          <w:sz w:val="21"/>
        </w:rPr>
        <w:t>4.4.2.5.2</w:t>
      </w:r>
      <w:r>
        <w:rPr>
          <w:spacing w:val="-12"/>
          <w:sz w:val="21"/>
        </w:rPr>
        <w:t> 的要求。 </w:t>
      </w:r>
    </w:p>
    <w:p>
      <w:pPr>
        <w:pStyle w:val="ListParagraph"/>
        <w:numPr>
          <w:ilvl w:val="2"/>
          <w:numId w:val="224"/>
        </w:numPr>
        <w:tabs>
          <w:tab w:pos="1370" w:val="left" w:leader="none"/>
        </w:tabs>
        <w:spacing w:line="267" w:lineRule="exact" w:before="0" w:after="0"/>
        <w:ind w:left="1369" w:right="0" w:hanging="530"/>
        <w:jc w:val="left"/>
        <w:rPr>
          <w:sz w:val="21"/>
        </w:rPr>
      </w:pPr>
      <w:r>
        <w:rPr>
          <w:spacing w:val="-3"/>
          <w:sz w:val="21"/>
        </w:rPr>
        <w:t>水罐和泡沫液罐试验 </w:t>
      </w:r>
    </w:p>
    <w:p>
      <w:pPr>
        <w:pStyle w:val="BodyText"/>
        <w:spacing w:before="1"/>
        <w:rPr>
          <w:sz w:val="18"/>
        </w:rPr>
      </w:pPr>
    </w:p>
    <w:p>
      <w:pPr>
        <w:pStyle w:val="ListParagraph"/>
        <w:numPr>
          <w:ilvl w:val="3"/>
          <w:numId w:val="224"/>
        </w:numPr>
        <w:tabs>
          <w:tab w:pos="1576" w:val="left" w:leader="none"/>
        </w:tabs>
        <w:spacing w:line="240" w:lineRule="auto" w:before="1" w:after="0"/>
        <w:ind w:left="1575" w:right="0" w:hanging="738"/>
        <w:jc w:val="left"/>
        <w:rPr>
          <w:sz w:val="21"/>
        </w:rPr>
      </w:pPr>
      <w:r>
        <w:rPr>
          <w:spacing w:val="-3"/>
          <w:sz w:val="21"/>
        </w:rPr>
        <w:t>罐体要求试验</w:t>
      </w:r>
      <w:r>
        <w:rPr>
          <w:sz w:val="21"/>
        </w:rPr>
        <w:t> </w:t>
      </w:r>
    </w:p>
    <w:p>
      <w:pPr>
        <w:pStyle w:val="BodyText"/>
        <w:spacing w:before="12"/>
        <w:rPr>
          <w:sz w:val="17"/>
        </w:rPr>
      </w:pPr>
    </w:p>
    <w:p>
      <w:pPr>
        <w:pStyle w:val="ListParagraph"/>
        <w:numPr>
          <w:ilvl w:val="4"/>
          <w:numId w:val="224"/>
        </w:numPr>
        <w:tabs>
          <w:tab w:pos="1788" w:val="left" w:leader="none"/>
        </w:tabs>
        <w:spacing w:line="240" w:lineRule="auto" w:before="0" w:after="0"/>
        <w:ind w:left="1787" w:right="0" w:hanging="950"/>
        <w:jc w:val="left"/>
        <w:rPr>
          <w:sz w:val="21"/>
        </w:rPr>
      </w:pPr>
      <w:r>
        <w:rPr>
          <w:spacing w:val="-6"/>
          <w:sz w:val="21"/>
        </w:rPr>
        <w:t>用称重法测量泡沫车罐容量，判断试验结果是否符合 </w:t>
      </w:r>
      <w:r>
        <w:rPr>
          <w:sz w:val="21"/>
        </w:rPr>
        <w:t>4.4.3.1.1</w:t>
      </w:r>
      <w:r>
        <w:rPr>
          <w:spacing w:val="-13"/>
          <w:sz w:val="21"/>
        </w:rPr>
        <w:t> 的要求。</w:t>
      </w:r>
      <w:r>
        <w:rPr>
          <w:sz w:val="21"/>
        </w:rPr>
        <w:t> </w:t>
      </w:r>
    </w:p>
    <w:p>
      <w:pPr>
        <w:pStyle w:val="BodyText"/>
        <w:spacing w:before="12"/>
        <w:rPr>
          <w:sz w:val="17"/>
        </w:rPr>
      </w:pPr>
    </w:p>
    <w:p>
      <w:pPr>
        <w:pStyle w:val="BodyText"/>
        <w:spacing w:line="446" w:lineRule="auto"/>
        <w:ind w:left="418" w:right="1510" w:firstLine="419"/>
      </w:pPr>
      <w:r>
        <w:rPr/>
        <w:t>5.4.3.1.2</w:t>
      </w:r>
      <w:r>
        <w:rPr>
          <w:spacing w:val="-14"/>
        </w:rPr>
        <w:t> 选取 </w:t>
      </w:r>
      <w:r>
        <w:rPr/>
        <w:t>200mm×200mm</w:t>
      </w:r>
      <w:r>
        <w:rPr>
          <w:spacing w:val="-13"/>
        </w:rPr>
        <w:t> 的罐体材料样品，按照 </w:t>
      </w:r>
      <w:r>
        <w:rPr/>
        <w:t>GB 4351.1—2005</w:t>
      </w:r>
      <w:r>
        <w:rPr>
          <w:spacing w:val="-35"/>
        </w:rPr>
        <w:t> 中 </w:t>
      </w:r>
      <w:r>
        <w:rPr/>
        <w:t>7.7.1</w:t>
      </w:r>
      <w:r>
        <w:rPr>
          <w:spacing w:val="-12"/>
        </w:rPr>
        <w:t> 规定进行</w:t>
      </w:r>
      <w:r>
        <w:rPr>
          <w:spacing w:val="-9"/>
        </w:rPr>
        <w:t>盐雾试验，判断试验结果是否符合 </w:t>
      </w:r>
      <w:r>
        <w:rPr/>
        <w:t>4.4.3.1.2</w:t>
      </w:r>
      <w:r>
        <w:rPr>
          <w:spacing w:val="-13"/>
        </w:rPr>
        <w:t> 的要求。</w:t>
      </w:r>
      <w:r>
        <w:rPr/>
        <w:t> </w:t>
      </w:r>
    </w:p>
    <w:p>
      <w:pPr>
        <w:pStyle w:val="ListParagraph"/>
        <w:numPr>
          <w:ilvl w:val="4"/>
          <w:numId w:val="225"/>
        </w:numPr>
        <w:tabs>
          <w:tab w:pos="1788" w:val="left" w:leader="none"/>
        </w:tabs>
        <w:spacing w:line="240" w:lineRule="auto" w:before="0" w:after="0"/>
        <w:ind w:left="1787" w:right="0" w:hanging="950"/>
        <w:jc w:val="left"/>
        <w:rPr>
          <w:sz w:val="21"/>
        </w:rPr>
      </w:pPr>
      <w:r>
        <w:rPr>
          <w:spacing w:val="-6"/>
          <w:sz w:val="21"/>
        </w:rPr>
        <w:t>检查罐内防荡板设置，判断试验结果是否符合 </w:t>
      </w:r>
      <w:r>
        <w:rPr>
          <w:sz w:val="21"/>
        </w:rPr>
        <w:t>4.4.3.1.3</w:t>
      </w:r>
      <w:r>
        <w:rPr>
          <w:spacing w:val="-12"/>
          <w:sz w:val="21"/>
        </w:rPr>
        <w:t> 的要求。 </w:t>
      </w:r>
    </w:p>
    <w:p>
      <w:pPr>
        <w:spacing w:after="0" w:line="240" w:lineRule="auto"/>
        <w:jc w:val="left"/>
        <w:rPr>
          <w:sz w:val="21"/>
        </w:rPr>
        <w:sectPr>
          <w:pgSz w:w="11910" w:h="16850"/>
          <w:pgMar w:header="0" w:footer="1239" w:top="1220" w:bottom="1420" w:left="1260" w:right="0"/>
        </w:sectPr>
      </w:pPr>
    </w:p>
    <w:p>
      <w:pPr>
        <w:pStyle w:val="ListParagraph"/>
        <w:numPr>
          <w:ilvl w:val="4"/>
          <w:numId w:val="225"/>
        </w:numPr>
        <w:tabs>
          <w:tab w:pos="1788" w:val="left" w:leader="none"/>
        </w:tabs>
        <w:spacing w:line="446" w:lineRule="auto" w:before="47" w:after="0"/>
        <w:ind w:left="418" w:right="1558" w:firstLine="419"/>
        <w:jc w:val="both"/>
        <w:rPr>
          <w:sz w:val="21"/>
        </w:rPr>
      </w:pPr>
      <w:r>
        <w:rPr>
          <w:spacing w:val="-3"/>
          <w:sz w:val="21"/>
        </w:rPr>
        <w:t>目测检查人孔及人孔盖，用卷尺测量人孔直径。关闭人孔盖，将水罐注满水， </w:t>
      </w:r>
      <w:r>
        <w:rPr>
          <w:spacing w:val="-4"/>
          <w:sz w:val="21"/>
        </w:rPr>
        <w:t>封闭各出入口， 用试压泵向罐内缓慢加压至规定试验压力，判断试验结果是否符合 </w:t>
      </w:r>
      <w:r>
        <w:rPr>
          <w:sz w:val="21"/>
        </w:rPr>
        <w:t>4.4.3.1.4 </w:t>
      </w:r>
      <w:r>
        <w:rPr>
          <w:spacing w:val="-2"/>
          <w:sz w:val="21"/>
        </w:rPr>
        <w:t>的要求。</w:t>
      </w:r>
      <w:r>
        <w:rPr>
          <w:sz w:val="21"/>
        </w:rPr>
        <w:t> </w:t>
      </w:r>
    </w:p>
    <w:p>
      <w:pPr>
        <w:pStyle w:val="ListParagraph"/>
        <w:numPr>
          <w:ilvl w:val="4"/>
          <w:numId w:val="225"/>
        </w:numPr>
        <w:tabs>
          <w:tab w:pos="1788" w:val="left" w:leader="none"/>
        </w:tabs>
        <w:spacing w:line="268" w:lineRule="exact" w:before="0" w:after="0"/>
        <w:ind w:left="1787" w:right="0" w:hanging="950"/>
        <w:jc w:val="both"/>
        <w:rPr>
          <w:sz w:val="21"/>
        </w:rPr>
      </w:pPr>
      <w:r>
        <w:rPr>
          <w:spacing w:val="-5"/>
          <w:sz w:val="21"/>
        </w:rPr>
        <w:t>目测检查水罐和泡沫液罐排污孔，判断试验结果是否符合 </w:t>
      </w:r>
      <w:r>
        <w:rPr>
          <w:sz w:val="21"/>
        </w:rPr>
        <w:t>4.4.3.1.5</w:t>
      </w:r>
      <w:r>
        <w:rPr>
          <w:spacing w:val="-13"/>
          <w:sz w:val="21"/>
        </w:rPr>
        <w:t> 的要求。</w:t>
      </w:r>
      <w:r>
        <w:rPr>
          <w:sz w:val="21"/>
        </w:rPr>
        <w:t> </w:t>
      </w:r>
    </w:p>
    <w:p>
      <w:pPr>
        <w:pStyle w:val="BodyText"/>
        <w:rPr>
          <w:sz w:val="18"/>
        </w:rPr>
      </w:pPr>
    </w:p>
    <w:p>
      <w:pPr>
        <w:pStyle w:val="ListParagraph"/>
        <w:numPr>
          <w:ilvl w:val="4"/>
          <w:numId w:val="225"/>
        </w:numPr>
        <w:tabs>
          <w:tab w:pos="1788" w:val="left" w:leader="none"/>
        </w:tabs>
        <w:spacing w:line="240" w:lineRule="auto" w:before="0" w:after="0"/>
        <w:ind w:left="1787" w:right="0" w:hanging="950"/>
        <w:jc w:val="left"/>
        <w:rPr>
          <w:sz w:val="21"/>
        </w:rPr>
      </w:pPr>
      <w:r>
        <w:rPr>
          <w:spacing w:val="-3"/>
          <w:sz w:val="21"/>
        </w:rPr>
        <w:t>目测检查水罐和泡沫液罐的液位或液量的指示装置，判断试验结果是否符合</w:t>
      </w:r>
    </w:p>
    <w:p>
      <w:pPr>
        <w:pStyle w:val="BodyText"/>
        <w:spacing w:before="12"/>
        <w:rPr>
          <w:sz w:val="17"/>
        </w:rPr>
      </w:pPr>
    </w:p>
    <w:p>
      <w:pPr>
        <w:pStyle w:val="BodyText"/>
        <w:ind w:left="418"/>
      </w:pPr>
      <w:r>
        <w:rPr/>
        <w:t>4.4.3.1.6 的要求。 </w:t>
      </w:r>
    </w:p>
    <w:p>
      <w:pPr>
        <w:pStyle w:val="BodyText"/>
        <w:spacing w:before="2"/>
        <w:rPr>
          <w:sz w:val="18"/>
        </w:rPr>
      </w:pPr>
    </w:p>
    <w:p>
      <w:pPr>
        <w:pStyle w:val="ListParagraph"/>
        <w:numPr>
          <w:ilvl w:val="4"/>
          <w:numId w:val="226"/>
        </w:numPr>
        <w:tabs>
          <w:tab w:pos="1788" w:val="left" w:leader="none"/>
        </w:tabs>
        <w:spacing w:line="446" w:lineRule="auto" w:before="0" w:after="0"/>
        <w:ind w:left="418" w:right="1609" w:firstLine="419"/>
        <w:jc w:val="left"/>
        <w:rPr>
          <w:sz w:val="21"/>
        </w:rPr>
      </w:pPr>
      <w:r>
        <w:rPr>
          <w:spacing w:val="-3"/>
          <w:sz w:val="21"/>
        </w:rPr>
        <w:t>将水罐和泡沫液罐注满水，分别封闭水罐和泡沫液罐各出入口，用试压泵向罐</w:t>
      </w:r>
      <w:r>
        <w:rPr>
          <w:spacing w:val="-7"/>
          <w:sz w:val="21"/>
        </w:rPr>
        <w:t>内缓慢加压至规定试验压力，保持 </w:t>
      </w:r>
      <w:r>
        <w:rPr>
          <w:sz w:val="21"/>
        </w:rPr>
        <w:t>3min</w:t>
      </w:r>
      <w:r>
        <w:rPr>
          <w:spacing w:val="-7"/>
          <w:sz w:val="21"/>
        </w:rPr>
        <w:t>，判断试验结果是否符合 </w:t>
      </w:r>
      <w:r>
        <w:rPr>
          <w:sz w:val="21"/>
        </w:rPr>
        <w:t>4.4.3.1.7</w:t>
      </w:r>
      <w:r>
        <w:rPr>
          <w:spacing w:val="-12"/>
          <w:sz w:val="21"/>
        </w:rPr>
        <w:t> 的要求。 </w:t>
      </w:r>
    </w:p>
    <w:p>
      <w:pPr>
        <w:pStyle w:val="ListParagraph"/>
        <w:numPr>
          <w:ilvl w:val="4"/>
          <w:numId w:val="226"/>
        </w:numPr>
        <w:tabs>
          <w:tab w:pos="1788" w:val="left" w:leader="none"/>
        </w:tabs>
        <w:spacing w:line="267" w:lineRule="exact" w:before="0" w:after="0"/>
        <w:ind w:left="1787" w:right="0" w:hanging="950"/>
        <w:jc w:val="left"/>
        <w:rPr>
          <w:sz w:val="21"/>
        </w:rPr>
      </w:pPr>
      <w:r>
        <w:rPr>
          <w:spacing w:val="-6"/>
          <w:sz w:val="21"/>
        </w:rPr>
        <w:t>目测检查泡沫罐呼吸口，判断试验结果是否符合 </w:t>
      </w:r>
      <w:r>
        <w:rPr>
          <w:sz w:val="21"/>
        </w:rPr>
        <w:t>4.4.3.1.8</w:t>
      </w:r>
      <w:r>
        <w:rPr>
          <w:spacing w:val="-12"/>
          <w:sz w:val="21"/>
        </w:rPr>
        <w:t> 的要求。 </w:t>
      </w:r>
    </w:p>
    <w:p>
      <w:pPr>
        <w:pStyle w:val="BodyText"/>
        <w:spacing w:before="2"/>
        <w:rPr>
          <w:sz w:val="18"/>
        </w:rPr>
      </w:pPr>
    </w:p>
    <w:p>
      <w:pPr>
        <w:pStyle w:val="ListParagraph"/>
        <w:numPr>
          <w:ilvl w:val="3"/>
          <w:numId w:val="224"/>
        </w:numPr>
        <w:tabs>
          <w:tab w:pos="1576" w:val="left" w:leader="none"/>
        </w:tabs>
        <w:spacing w:line="240" w:lineRule="auto" w:before="0" w:after="0"/>
        <w:ind w:left="1575" w:right="0" w:hanging="738"/>
        <w:jc w:val="left"/>
        <w:rPr>
          <w:sz w:val="21"/>
        </w:rPr>
      </w:pPr>
      <w:r>
        <w:rPr>
          <w:spacing w:val="-3"/>
          <w:sz w:val="21"/>
        </w:rPr>
        <w:t>注液装置试验</w:t>
      </w:r>
      <w:r>
        <w:rPr>
          <w:sz w:val="21"/>
        </w:rPr>
        <w:t> </w:t>
      </w:r>
    </w:p>
    <w:p>
      <w:pPr>
        <w:pStyle w:val="BodyText"/>
        <w:spacing w:before="12"/>
        <w:rPr>
          <w:sz w:val="17"/>
        </w:rPr>
      </w:pPr>
    </w:p>
    <w:p>
      <w:pPr>
        <w:pStyle w:val="ListParagraph"/>
        <w:numPr>
          <w:ilvl w:val="4"/>
          <w:numId w:val="224"/>
        </w:numPr>
        <w:tabs>
          <w:tab w:pos="1788" w:val="left" w:leader="none"/>
        </w:tabs>
        <w:spacing w:line="446" w:lineRule="auto" w:before="0" w:after="0"/>
        <w:ind w:left="418" w:right="1609" w:firstLine="419"/>
        <w:jc w:val="left"/>
        <w:rPr>
          <w:sz w:val="21"/>
        </w:rPr>
      </w:pPr>
      <w:r>
        <w:rPr>
          <w:spacing w:val="-3"/>
          <w:sz w:val="21"/>
        </w:rPr>
        <w:t>目测检查消防泵至水罐注水管路内的阀门，用卷尺测量注水管路通径，判断试</w:t>
      </w:r>
      <w:r>
        <w:rPr>
          <w:spacing w:val="-10"/>
          <w:sz w:val="21"/>
        </w:rPr>
        <w:t>验结果是否符合 </w:t>
      </w:r>
      <w:r>
        <w:rPr>
          <w:sz w:val="21"/>
        </w:rPr>
        <w:t>4.4.3.2.1</w:t>
      </w:r>
      <w:r>
        <w:rPr>
          <w:spacing w:val="-13"/>
          <w:sz w:val="21"/>
        </w:rPr>
        <w:t> 的要求。</w:t>
      </w:r>
      <w:r>
        <w:rPr>
          <w:sz w:val="21"/>
        </w:rPr>
        <w:t> </w:t>
      </w:r>
    </w:p>
    <w:p>
      <w:pPr>
        <w:pStyle w:val="ListParagraph"/>
        <w:numPr>
          <w:ilvl w:val="4"/>
          <w:numId w:val="224"/>
        </w:numPr>
        <w:tabs>
          <w:tab w:pos="1788" w:val="left" w:leader="none"/>
        </w:tabs>
        <w:spacing w:line="446" w:lineRule="auto" w:before="0" w:after="0"/>
        <w:ind w:left="418" w:right="1609" w:firstLine="419"/>
        <w:jc w:val="left"/>
        <w:rPr>
          <w:sz w:val="21"/>
        </w:rPr>
      </w:pPr>
      <w:r>
        <w:rPr>
          <w:spacing w:val="-3"/>
          <w:sz w:val="21"/>
        </w:rPr>
        <w:t>用卷尺测量从车辆外部向水罐注水的管路通径，向水罐内注满水，目测检查管</w:t>
      </w:r>
      <w:r>
        <w:rPr>
          <w:spacing w:val="-5"/>
          <w:sz w:val="21"/>
        </w:rPr>
        <w:t>路情况，目测检查注水处的防护盖，判断试验结果是否符合 </w:t>
      </w:r>
      <w:r>
        <w:rPr>
          <w:sz w:val="21"/>
        </w:rPr>
        <w:t>4.4.3.2.2</w:t>
      </w:r>
      <w:r>
        <w:rPr>
          <w:spacing w:val="-12"/>
          <w:sz w:val="21"/>
        </w:rPr>
        <w:t> 的要求。 </w:t>
      </w:r>
    </w:p>
    <w:p>
      <w:pPr>
        <w:pStyle w:val="ListParagraph"/>
        <w:numPr>
          <w:ilvl w:val="4"/>
          <w:numId w:val="224"/>
        </w:numPr>
        <w:tabs>
          <w:tab w:pos="1788" w:val="left" w:leader="none"/>
        </w:tabs>
        <w:spacing w:line="446" w:lineRule="auto" w:before="0" w:after="0"/>
        <w:ind w:left="418" w:right="1609" w:firstLine="419"/>
        <w:jc w:val="left"/>
        <w:rPr>
          <w:sz w:val="21"/>
        </w:rPr>
      </w:pPr>
      <w:r>
        <w:rPr>
          <w:spacing w:val="-3"/>
          <w:sz w:val="21"/>
        </w:rPr>
        <w:t>检査泡沫液泵至泡沫液罐间的注液管路阀门。用游标卡尺测量注液管路壁厚和</w:t>
      </w:r>
      <w:r>
        <w:rPr>
          <w:spacing w:val="-5"/>
          <w:sz w:val="21"/>
        </w:rPr>
        <w:t>通径，核査 注液管路材质报告，判断试验结果是否符合 </w:t>
      </w:r>
      <w:r>
        <w:rPr>
          <w:sz w:val="21"/>
        </w:rPr>
        <w:t>4.4.3.2.3</w:t>
      </w:r>
      <w:r>
        <w:rPr>
          <w:spacing w:val="-13"/>
          <w:sz w:val="21"/>
        </w:rPr>
        <w:t> 的要求。</w:t>
      </w:r>
      <w:r>
        <w:rPr>
          <w:sz w:val="21"/>
        </w:rPr>
        <w:t> </w:t>
      </w:r>
    </w:p>
    <w:p>
      <w:pPr>
        <w:pStyle w:val="ListParagraph"/>
        <w:numPr>
          <w:ilvl w:val="4"/>
          <w:numId w:val="224"/>
        </w:numPr>
        <w:tabs>
          <w:tab w:pos="1788" w:val="left" w:leader="none"/>
        </w:tabs>
        <w:spacing w:line="446" w:lineRule="auto" w:before="0" w:after="0"/>
        <w:ind w:left="418" w:right="1613" w:firstLine="419"/>
        <w:jc w:val="left"/>
        <w:rPr>
          <w:sz w:val="21"/>
        </w:rPr>
      </w:pPr>
      <w:r>
        <w:rPr>
          <w:spacing w:val="-5"/>
          <w:sz w:val="21"/>
        </w:rPr>
        <w:t>目测检査泡沫罐注液口的密封保护盖，判断试验结果是否符合 </w:t>
      </w:r>
      <w:r>
        <w:rPr>
          <w:sz w:val="21"/>
        </w:rPr>
        <w:t>4.4.3.2.4</w:t>
      </w:r>
      <w:r>
        <w:rPr>
          <w:spacing w:val="-18"/>
          <w:sz w:val="21"/>
        </w:rPr>
        <w:t> 的要</w:t>
      </w:r>
      <w:r>
        <w:rPr>
          <w:spacing w:val="-2"/>
          <w:sz w:val="21"/>
        </w:rPr>
        <w:t>求。</w:t>
      </w:r>
      <w:r>
        <w:rPr>
          <w:sz w:val="21"/>
        </w:rPr>
        <w:t> </w:t>
      </w:r>
    </w:p>
    <w:p>
      <w:pPr>
        <w:pStyle w:val="ListParagraph"/>
        <w:numPr>
          <w:ilvl w:val="3"/>
          <w:numId w:val="224"/>
        </w:numPr>
        <w:tabs>
          <w:tab w:pos="1576" w:val="left" w:leader="none"/>
        </w:tabs>
        <w:spacing w:line="240" w:lineRule="auto" w:before="0" w:after="0"/>
        <w:ind w:left="1575" w:right="0" w:hanging="738"/>
        <w:jc w:val="left"/>
        <w:rPr>
          <w:sz w:val="21"/>
        </w:rPr>
      </w:pPr>
      <w:r>
        <w:rPr>
          <w:spacing w:val="-3"/>
          <w:sz w:val="21"/>
        </w:rPr>
        <w:t>溢水装置试验</w:t>
      </w:r>
      <w:r>
        <w:rPr>
          <w:sz w:val="21"/>
        </w:rPr>
        <w:t> </w:t>
      </w:r>
    </w:p>
    <w:p>
      <w:pPr>
        <w:pStyle w:val="BodyText"/>
        <w:spacing w:before="11"/>
        <w:rPr>
          <w:sz w:val="17"/>
        </w:rPr>
      </w:pPr>
    </w:p>
    <w:p>
      <w:pPr>
        <w:pStyle w:val="BodyText"/>
        <w:ind w:left="838"/>
      </w:pPr>
      <w:r>
        <w:rPr/>
        <w:t>目测检査水罐内的溢水管路，用卷尺测量溢水管路尺寸，判断试验结果是否符合 4.4.3.3</w:t>
      </w:r>
    </w:p>
    <w:p>
      <w:pPr>
        <w:pStyle w:val="BodyText"/>
        <w:spacing w:before="12"/>
        <w:rPr>
          <w:sz w:val="17"/>
        </w:rPr>
      </w:pPr>
    </w:p>
    <w:p>
      <w:pPr>
        <w:pStyle w:val="BodyText"/>
        <w:ind w:left="418"/>
      </w:pPr>
      <w:r>
        <w:rPr/>
        <w:t>的要求。  </w:t>
      </w:r>
      <w:r>
        <w:rPr>
          <w:w w:val="100"/>
        </w:rPr>
        <w:t> </w:t>
      </w:r>
    </w:p>
    <w:p>
      <w:pPr>
        <w:pStyle w:val="BodyText"/>
        <w:spacing w:before="2"/>
        <w:rPr>
          <w:sz w:val="18"/>
        </w:rPr>
      </w:pPr>
    </w:p>
    <w:p>
      <w:pPr>
        <w:pStyle w:val="ListParagraph"/>
        <w:numPr>
          <w:ilvl w:val="2"/>
          <w:numId w:val="224"/>
        </w:numPr>
        <w:tabs>
          <w:tab w:pos="1370" w:val="left" w:leader="none"/>
        </w:tabs>
        <w:spacing w:line="240" w:lineRule="auto" w:before="0" w:after="0"/>
        <w:ind w:left="1369" w:right="0" w:hanging="530"/>
        <w:jc w:val="left"/>
        <w:rPr>
          <w:sz w:val="21"/>
        </w:rPr>
      </w:pPr>
      <w:r>
        <w:rPr>
          <w:spacing w:val="-3"/>
          <w:sz w:val="21"/>
        </w:rPr>
        <w:t>车用泡沫系统试验</w:t>
      </w:r>
      <w:r>
        <w:rPr>
          <w:sz w:val="21"/>
        </w:rPr>
        <w:t> </w:t>
      </w:r>
    </w:p>
    <w:p>
      <w:pPr>
        <w:pStyle w:val="BodyText"/>
        <w:spacing w:before="12"/>
        <w:rPr>
          <w:sz w:val="17"/>
        </w:rPr>
      </w:pPr>
    </w:p>
    <w:p>
      <w:pPr>
        <w:pStyle w:val="ListParagraph"/>
        <w:numPr>
          <w:ilvl w:val="3"/>
          <w:numId w:val="224"/>
        </w:numPr>
        <w:tabs>
          <w:tab w:pos="1576" w:val="left" w:leader="none"/>
        </w:tabs>
        <w:spacing w:line="240" w:lineRule="auto" w:before="0" w:after="0"/>
        <w:ind w:left="1575" w:right="0" w:hanging="738"/>
        <w:jc w:val="left"/>
        <w:rPr>
          <w:sz w:val="21"/>
        </w:rPr>
      </w:pPr>
      <w:r>
        <w:rPr>
          <w:spacing w:val="-3"/>
          <w:sz w:val="21"/>
        </w:rPr>
        <w:t>车用泡沫系统一般要求试验</w:t>
      </w:r>
      <w:r>
        <w:rPr>
          <w:sz w:val="21"/>
        </w:rPr>
        <w:t> </w:t>
      </w:r>
    </w:p>
    <w:p>
      <w:pPr>
        <w:pStyle w:val="BodyText"/>
        <w:rPr>
          <w:sz w:val="18"/>
        </w:rPr>
      </w:pPr>
    </w:p>
    <w:p>
      <w:pPr>
        <w:pStyle w:val="ListParagraph"/>
        <w:numPr>
          <w:ilvl w:val="4"/>
          <w:numId w:val="224"/>
        </w:numPr>
        <w:tabs>
          <w:tab w:pos="1788" w:val="left" w:leader="none"/>
        </w:tabs>
        <w:spacing w:line="446" w:lineRule="auto" w:before="0" w:after="0"/>
        <w:ind w:left="418" w:right="1505" w:firstLine="419"/>
        <w:jc w:val="left"/>
        <w:rPr>
          <w:sz w:val="21"/>
        </w:rPr>
      </w:pPr>
      <w:r>
        <w:rPr>
          <w:spacing w:val="-3"/>
          <w:sz w:val="21"/>
        </w:rPr>
        <w:t>检查泡沫系统管路、泡沫炮或泡沫</w:t>
      </w:r>
      <w:r>
        <w:rPr>
          <w:sz w:val="21"/>
        </w:rPr>
        <w:t>/</w:t>
      </w:r>
      <w:r>
        <w:rPr>
          <w:spacing w:val="-3"/>
          <w:sz w:val="21"/>
        </w:rPr>
        <w:t>水两用炮、泡沫比例混合器的过流表面，判</w:t>
      </w:r>
      <w:r>
        <w:rPr>
          <w:spacing w:val="-8"/>
          <w:sz w:val="21"/>
        </w:rPr>
        <w:t>断试验结果是否符合 </w:t>
      </w:r>
      <w:r>
        <w:rPr>
          <w:sz w:val="21"/>
        </w:rPr>
        <w:t>4.4.4.1.1</w:t>
      </w:r>
      <w:r>
        <w:rPr>
          <w:spacing w:val="-13"/>
          <w:sz w:val="21"/>
        </w:rPr>
        <w:t> 的要求。</w:t>
      </w:r>
      <w:r>
        <w:rPr>
          <w:sz w:val="21"/>
        </w:rPr>
        <w:t> </w:t>
      </w:r>
    </w:p>
    <w:p>
      <w:pPr>
        <w:pStyle w:val="ListParagraph"/>
        <w:numPr>
          <w:ilvl w:val="4"/>
          <w:numId w:val="224"/>
        </w:numPr>
        <w:tabs>
          <w:tab w:pos="1788" w:val="left" w:leader="none"/>
        </w:tabs>
        <w:spacing w:line="240" w:lineRule="auto" w:before="0" w:after="0"/>
        <w:ind w:left="1787" w:right="0" w:hanging="950"/>
        <w:jc w:val="left"/>
        <w:rPr>
          <w:sz w:val="21"/>
        </w:rPr>
      </w:pPr>
      <w:r>
        <w:rPr>
          <w:spacing w:val="-6"/>
          <w:sz w:val="21"/>
        </w:rPr>
        <w:t>检查泡沫系统内的冲洗装置，判断试验结果是否符合 </w:t>
      </w:r>
      <w:r>
        <w:rPr>
          <w:sz w:val="21"/>
        </w:rPr>
        <w:t>4.4.4.1.2</w:t>
      </w:r>
      <w:r>
        <w:rPr>
          <w:spacing w:val="-13"/>
          <w:sz w:val="21"/>
        </w:rPr>
        <w:t> 的要求。</w:t>
      </w:r>
      <w:r>
        <w:rPr>
          <w:sz w:val="21"/>
        </w:rPr>
        <w:t> </w:t>
      </w:r>
    </w:p>
    <w:p>
      <w:pPr>
        <w:pStyle w:val="BodyText"/>
        <w:spacing w:before="12"/>
        <w:rPr>
          <w:sz w:val="17"/>
        </w:rPr>
      </w:pPr>
    </w:p>
    <w:p>
      <w:pPr>
        <w:pStyle w:val="ListParagraph"/>
        <w:numPr>
          <w:ilvl w:val="4"/>
          <w:numId w:val="224"/>
        </w:numPr>
        <w:tabs>
          <w:tab w:pos="1788" w:val="left" w:leader="none"/>
        </w:tabs>
        <w:spacing w:line="240" w:lineRule="auto" w:before="0" w:after="0"/>
        <w:ind w:left="1787" w:right="0" w:hanging="950"/>
        <w:jc w:val="left"/>
        <w:rPr>
          <w:sz w:val="21"/>
        </w:rPr>
      </w:pPr>
      <w:r>
        <w:rPr>
          <w:spacing w:val="-5"/>
          <w:sz w:val="21"/>
        </w:rPr>
        <w:t>检查泡沫系统的外吸泡沫液接口和连接软管，判断试验结果是否符合 </w:t>
      </w:r>
      <w:r>
        <w:rPr>
          <w:sz w:val="21"/>
        </w:rPr>
        <w:t>4.4.4.1.3</w:t>
      </w:r>
    </w:p>
    <w:p>
      <w:pPr>
        <w:pStyle w:val="BodyText"/>
        <w:spacing w:before="2"/>
        <w:rPr>
          <w:sz w:val="18"/>
        </w:rPr>
      </w:pPr>
    </w:p>
    <w:p>
      <w:pPr>
        <w:pStyle w:val="BodyText"/>
        <w:ind w:left="418"/>
      </w:pPr>
      <w:r>
        <w:rPr/>
        <w:t>的要求。 </w:t>
      </w:r>
    </w:p>
    <w:p>
      <w:pPr>
        <w:spacing w:after="0"/>
        <w:sectPr>
          <w:pgSz w:w="11910" w:h="16850"/>
          <w:pgMar w:header="0" w:footer="1239" w:top="1220" w:bottom="1420" w:left="1260" w:right="0"/>
        </w:sectPr>
      </w:pPr>
    </w:p>
    <w:p>
      <w:pPr>
        <w:pStyle w:val="ListParagraph"/>
        <w:numPr>
          <w:ilvl w:val="4"/>
          <w:numId w:val="224"/>
        </w:numPr>
        <w:tabs>
          <w:tab w:pos="1788" w:val="left" w:leader="none"/>
        </w:tabs>
        <w:spacing w:line="446" w:lineRule="auto" w:before="47" w:after="0"/>
        <w:ind w:left="418" w:right="1820" w:firstLine="419"/>
        <w:jc w:val="left"/>
        <w:rPr>
          <w:sz w:val="21"/>
        </w:rPr>
      </w:pPr>
      <w:r>
        <w:rPr>
          <w:spacing w:val="-5"/>
          <w:sz w:val="21"/>
        </w:rPr>
        <w:t>目测检查泡沫系统中的防倒流装置，判断试验结果是否符合 </w:t>
      </w:r>
      <w:r>
        <w:rPr>
          <w:sz w:val="21"/>
        </w:rPr>
        <w:t>4.4.4.1.4</w:t>
      </w:r>
      <w:r>
        <w:rPr>
          <w:spacing w:val="-16"/>
          <w:sz w:val="21"/>
        </w:rPr>
        <w:t> 的要</w:t>
      </w:r>
      <w:r>
        <w:rPr>
          <w:spacing w:val="-10"/>
          <w:sz w:val="21"/>
        </w:rPr>
        <w:t>求。</w:t>
      </w:r>
      <w:r>
        <w:rPr>
          <w:sz w:val="21"/>
        </w:rPr>
        <w:t> </w:t>
      </w:r>
    </w:p>
    <w:p>
      <w:pPr>
        <w:pStyle w:val="ListParagraph"/>
        <w:numPr>
          <w:ilvl w:val="4"/>
          <w:numId w:val="224"/>
        </w:numPr>
        <w:tabs>
          <w:tab w:pos="1788" w:val="left" w:leader="none"/>
        </w:tabs>
        <w:spacing w:line="446" w:lineRule="auto" w:before="0" w:after="0"/>
        <w:ind w:left="418" w:right="1558" w:firstLine="419"/>
        <w:jc w:val="left"/>
        <w:rPr>
          <w:sz w:val="21"/>
        </w:rPr>
      </w:pPr>
      <w:r>
        <w:rPr>
          <w:spacing w:val="-5"/>
          <w:sz w:val="21"/>
        </w:rPr>
        <w:t>泡沫系统在最大工作压力和最大流量下运行，保持稳定运行 </w:t>
      </w:r>
      <w:r>
        <w:rPr>
          <w:sz w:val="21"/>
        </w:rPr>
        <w:t>3min</w:t>
      </w:r>
      <w:r>
        <w:rPr>
          <w:spacing w:val="-2"/>
          <w:sz w:val="21"/>
        </w:rPr>
        <w:t>，判断试验结</w:t>
      </w:r>
      <w:r>
        <w:rPr>
          <w:spacing w:val="-3"/>
          <w:sz w:val="21"/>
        </w:rPr>
        <w:t>果是否符合 </w:t>
      </w:r>
      <w:r>
        <w:rPr>
          <w:sz w:val="21"/>
        </w:rPr>
        <w:t>4.4.4.1.5</w:t>
      </w:r>
      <w:r>
        <w:rPr>
          <w:spacing w:val="-13"/>
          <w:sz w:val="21"/>
        </w:rPr>
        <w:t> 的要求。</w:t>
      </w:r>
      <w:r>
        <w:rPr>
          <w:sz w:val="21"/>
        </w:rPr>
        <w:t> </w:t>
      </w:r>
    </w:p>
    <w:p>
      <w:pPr>
        <w:pStyle w:val="ListParagraph"/>
        <w:numPr>
          <w:ilvl w:val="4"/>
          <w:numId w:val="224"/>
        </w:numPr>
        <w:tabs>
          <w:tab w:pos="1788" w:val="left" w:leader="none"/>
        </w:tabs>
        <w:spacing w:line="240" w:lineRule="auto" w:before="0" w:after="0"/>
        <w:ind w:left="1787" w:right="0" w:hanging="950"/>
        <w:jc w:val="left"/>
        <w:rPr>
          <w:sz w:val="21"/>
        </w:rPr>
      </w:pPr>
      <w:r>
        <w:rPr>
          <w:spacing w:val="-3"/>
          <w:sz w:val="21"/>
        </w:rPr>
        <w:t>车用泡沫系统精度试验方法如下：</w:t>
      </w:r>
      <w:r>
        <w:rPr>
          <w:sz w:val="21"/>
        </w:rPr>
        <w:t> </w:t>
      </w:r>
    </w:p>
    <w:p>
      <w:pPr>
        <w:pStyle w:val="BodyText"/>
        <w:spacing w:before="10"/>
        <w:rPr>
          <w:sz w:val="17"/>
        </w:rPr>
      </w:pPr>
    </w:p>
    <w:p>
      <w:pPr>
        <w:pStyle w:val="BodyText"/>
        <w:spacing w:line="446" w:lineRule="auto"/>
        <w:ind w:left="418" w:right="1505" w:firstLine="419"/>
      </w:pPr>
      <w:r>
        <w:rPr>
          <w:spacing w:val="-8"/>
        </w:rPr>
        <w:t>用滴管取试验用 </w:t>
      </w:r>
      <w:r>
        <w:rPr/>
        <w:t>1</w:t>
      </w:r>
      <w:r>
        <w:rPr>
          <w:spacing w:val="-14"/>
        </w:rPr>
        <w:t>%型 </w:t>
      </w:r>
      <w:r>
        <w:rPr/>
        <w:t>B</w:t>
      </w:r>
      <w:r>
        <w:rPr>
          <w:spacing w:val="-12"/>
        </w:rPr>
        <w:t> 类泡沫液，分别向 </w:t>
      </w:r>
      <w:r>
        <w:rPr/>
        <w:t>3</w:t>
      </w:r>
      <w:r>
        <w:rPr>
          <w:spacing w:val="-28"/>
        </w:rPr>
        <w:t> 只 </w:t>
      </w:r>
      <w:r>
        <w:rPr/>
        <w:t>100mL</w:t>
      </w:r>
      <w:r>
        <w:rPr>
          <w:spacing w:val="-14"/>
        </w:rPr>
        <w:t> 的量筒内滴入 </w:t>
      </w:r>
      <w:r>
        <w:rPr/>
        <w:t>1mL、2mL、3mL</w:t>
      </w:r>
      <w:r>
        <w:rPr>
          <w:spacing w:val="-15"/>
        </w:rPr>
        <w:t> 泡沫 </w:t>
      </w:r>
      <w:r>
        <w:rPr>
          <w:spacing w:val="-7"/>
        </w:rPr>
        <w:t>液， 然后将试验用水加入各量筒至 </w:t>
      </w:r>
      <w:r>
        <w:rPr/>
        <w:t>100mL</w:t>
      </w:r>
      <w:r>
        <w:rPr>
          <w:spacing w:val="-13"/>
        </w:rPr>
        <w:t>，制成 </w:t>
      </w:r>
      <w:r>
        <w:rPr/>
        <w:t>1%、2%</w:t>
      </w:r>
      <w:r>
        <w:rPr>
          <w:spacing w:val="-3"/>
        </w:rPr>
        <w:t>、</w:t>
      </w:r>
      <w:r>
        <w:rPr/>
        <w:t>3%</w:t>
      </w:r>
      <w:r>
        <w:rPr>
          <w:spacing w:val="-3"/>
        </w:rPr>
        <w:t>标准浓度的混合液，充分混合，分别用折光仪 读出折光系数，在坐标纸上做出折光系数与混合液浓度的标定曲线。待所接泡沫析出混合液后，用同一折光仪测出析出液体的折光系数，将此折光系数与标定曲线进行对比即可</w:t>
      </w:r>
      <w:r>
        <w:rPr>
          <w:spacing w:val="-6"/>
        </w:rPr>
        <w:t>确定所接泡沫样本的混合比，其结果应符合 </w:t>
      </w:r>
      <w:r>
        <w:rPr/>
        <w:t>4.4.4.1.6</w:t>
      </w:r>
      <w:r>
        <w:rPr>
          <w:spacing w:val="-8"/>
        </w:rPr>
        <w:t> 的规定。如采用电导率仪测试，其标定</w:t>
      </w:r>
      <w:r>
        <w:rPr>
          <w:spacing w:val="3"/>
        </w:rPr>
        <w:t>和比对方式同</w:t>
      </w:r>
      <w:r>
        <w:rPr/>
        <w:t>A</w:t>
      </w:r>
      <w:r>
        <w:rPr>
          <w:spacing w:val="-11"/>
        </w:rPr>
        <w:t> 类泡沫液。 </w:t>
      </w:r>
    </w:p>
    <w:p>
      <w:pPr>
        <w:pStyle w:val="BodyText"/>
        <w:spacing w:line="446" w:lineRule="auto"/>
        <w:ind w:left="418" w:right="1505" w:firstLine="419"/>
      </w:pPr>
      <w:r>
        <w:rPr>
          <w:spacing w:val="-8"/>
        </w:rPr>
        <w:t>用滴管取试验用 </w:t>
      </w:r>
      <w:r>
        <w:rPr/>
        <w:t>3</w:t>
      </w:r>
      <w:r>
        <w:rPr>
          <w:spacing w:val="-14"/>
        </w:rPr>
        <w:t>%型 </w:t>
      </w:r>
      <w:r>
        <w:rPr/>
        <w:t>B</w:t>
      </w:r>
      <w:r>
        <w:rPr>
          <w:spacing w:val="-12"/>
        </w:rPr>
        <w:t> 类泡沫液，分别向 </w:t>
      </w:r>
      <w:r>
        <w:rPr/>
        <w:t>3</w:t>
      </w:r>
      <w:r>
        <w:rPr>
          <w:spacing w:val="-28"/>
        </w:rPr>
        <w:t> 只 </w:t>
      </w:r>
      <w:r>
        <w:rPr/>
        <w:t>100mL</w:t>
      </w:r>
      <w:r>
        <w:rPr>
          <w:spacing w:val="-14"/>
        </w:rPr>
        <w:t> 的量筒内滴入 </w:t>
      </w:r>
      <w:r>
        <w:rPr/>
        <w:t>1mL、3mL、5mL</w:t>
      </w:r>
      <w:r>
        <w:rPr>
          <w:spacing w:val="-15"/>
        </w:rPr>
        <w:t> 泡沫 </w:t>
      </w:r>
      <w:r>
        <w:rPr>
          <w:spacing w:val="-7"/>
        </w:rPr>
        <w:t>液， 然后将试验用水加入各量筒至 </w:t>
      </w:r>
      <w:r>
        <w:rPr/>
        <w:t>100mL</w:t>
      </w:r>
      <w:r>
        <w:rPr>
          <w:spacing w:val="-13"/>
        </w:rPr>
        <w:t>，制成 </w:t>
      </w:r>
      <w:r>
        <w:rPr/>
        <w:t>1%、3%</w:t>
      </w:r>
      <w:r>
        <w:rPr>
          <w:spacing w:val="-3"/>
        </w:rPr>
        <w:t>、</w:t>
      </w:r>
      <w:r>
        <w:rPr/>
        <w:t>5%</w:t>
      </w:r>
      <w:r>
        <w:rPr>
          <w:spacing w:val="-3"/>
        </w:rPr>
        <w:t>标准浓度的混合液，充分混合，分别用折光仪 读出折光系数，在坐标纸上做出折光系数与混合液浓度的标定曲线。待所接泡沫析出混合液后，用同一折光仪测出析出液体的折光系数，将此折光系数与标定曲线进行对比即可</w:t>
      </w:r>
      <w:r>
        <w:rPr>
          <w:spacing w:val="-6"/>
        </w:rPr>
        <w:t>确定所接泡沫样本的混合比， 其结果应符合 </w:t>
      </w:r>
      <w:r>
        <w:rPr/>
        <w:t>4.4.4.1.6</w:t>
      </w:r>
      <w:r>
        <w:rPr>
          <w:spacing w:val="-13"/>
        </w:rPr>
        <w:t> 的规定。</w:t>
      </w:r>
      <w:r>
        <w:rPr/>
        <w:t> </w:t>
      </w:r>
    </w:p>
    <w:p>
      <w:pPr>
        <w:pStyle w:val="BodyText"/>
        <w:spacing w:line="446" w:lineRule="auto"/>
        <w:ind w:left="418" w:right="1505" w:firstLine="419"/>
      </w:pPr>
      <w:r>
        <w:rPr>
          <w:spacing w:val="-8"/>
        </w:rPr>
        <w:t>用滴管取试验用 </w:t>
      </w:r>
      <w:r>
        <w:rPr/>
        <w:t>6</w:t>
      </w:r>
      <w:r>
        <w:rPr>
          <w:spacing w:val="-14"/>
        </w:rPr>
        <w:t>%型 </w:t>
      </w:r>
      <w:r>
        <w:rPr/>
        <w:t>B</w:t>
      </w:r>
      <w:r>
        <w:rPr>
          <w:spacing w:val="-12"/>
        </w:rPr>
        <w:t> 类泡沫液，分别向 </w:t>
      </w:r>
      <w:r>
        <w:rPr/>
        <w:t>3</w:t>
      </w:r>
      <w:r>
        <w:rPr>
          <w:spacing w:val="-28"/>
        </w:rPr>
        <w:t> 只 </w:t>
      </w:r>
      <w:r>
        <w:rPr/>
        <w:t>100mL</w:t>
      </w:r>
      <w:r>
        <w:rPr>
          <w:spacing w:val="-14"/>
        </w:rPr>
        <w:t> 的量筒内滴入 </w:t>
      </w:r>
      <w:r>
        <w:rPr/>
        <w:t>3mL、6mL、9mL</w:t>
      </w:r>
      <w:r>
        <w:rPr>
          <w:spacing w:val="-15"/>
        </w:rPr>
        <w:t> 泡沫 </w:t>
      </w:r>
      <w:r>
        <w:rPr>
          <w:spacing w:val="-7"/>
        </w:rPr>
        <w:t>液， 然后将试验用水加入各量筒至 </w:t>
      </w:r>
      <w:r>
        <w:rPr/>
        <w:t>100mL</w:t>
      </w:r>
      <w:r>
        <w:rPr>
          <w:spacing w:val="-13"/>
        </w:rPr>
        <w:t>，制成 </w:t>
      </w:r>
      <w:r>
        <w:rPr/>
        <w:t>3%、6%</w:t>
      </w:r>
      <w:r>
        <w:rPr>
          <w:spacing w:val="-3"/>
        </w:rPr>
        <w:t>、</w:t>
      </w:r>
      <w:r>
        <w:rPr/>
        <w:t>9%</w:t>
      </w:r>
      <w:r>
        <w:rPr>
          <w:spacing w:val="-3"/>
        </w:rPr>
        <w:t>标准浓度的混合液，充分混合，分别用折光仪 读出折光系数，在坐标纸上做出折光系数与混合液浓度的标定曲线。待所接泡沫析出混合液后，用同一折光仪测出析出液体的折光系数，将此折光系数与标定曲线进行对比即可</w:t>
      </w:r>
      <w:r>
        <w:rPr>
          <w:spacing w:val="-6"/>
        </w:rPr>
        <w:t>确定所接泡沫样本的混合比， 其结果应符合 </w:t>
      </w:r>
      <w:r>
        <w:rPr/>
        <w:t>4.4.4.1.6</w:t>
      </w:r>
      <w:r>
        <w:rPr>
          <w:spacing w:val="-13"/>
        </w:rPr>
        <w:t> 的规定。</w:t>
      </w:r>
      <w:r>
        <w:rPr/>
        <w:t> </w:t>
      </w:r>
    </w:p>
    <w:p>
      <w:pPr>
        <w:pStyle w:val="ListParagraph"/>
        <w:numPr>
          <w:ilvl w:val="3"/>
          <w:numId w:val="224"/>
        </w:numPr>
        <w:tabs>
          <w:tab w:pos="1576" w:val="left" w:leader="none"/>
        </w:tabs>
        <w:spacing w:line="268" w:lineRule="exact" w:before="0" w:after="0"/>
        <w:ind w:left="1575" w:right="0" w:hanging="738"/>
        <w:jc w:val="left"/>
        <w:rPr>
          <w:sz w:val="21"/>
        </w:rPr>
      </w:pPr>
      <w:r>
        <w:rPr>
          <w:spacing w:val="-3"/>
          <w:sz w:val="21"/>
        </w:rPr>
        <w:t>泡沫比例混合器试验</w:t>
      </w:r>
      <w:r>
        <w:rPr>
          <w:sz w:val="21"/>
        </w:rPr>
        <w:t> </w:t>
      </w:r>
    </w:p>
    <w:p>
      <w:pPr>
        <w:pStyle w:val="BodyText"/>
        <w:spacing w:before="9"/>
        <w:rPr>
          <w:sz w:val="17"/>
        </w:rPr>
      </w:pPr>
    </w:p>
    <w:p>
      <w:pPr>
        <w:pStyle w:val="ListParagraph"/>
        <w:numPr>
          <w:ilvl w:val="4"/>
          <w:numId w:val="224"/>
        </w:numPr>
        <w:tabs>
          <w:tab w:pos="1788" w:val="left" w:leader="none"/>
        </w:tabs>
        <w:spacing w:line="240" w:lineRule="auto" w:before="1" w:after="0"/>
        <w:ind w:left="1787" w:right="0" w:hanging="950"/>
        <w:jc w:val="left"/>
        <w:rPr>
          <w:sz w:val="21"/>
        </w:rPr>
      </w:pPr>
      <w:r>
        <w:rPr>
          <w:spacing w:val="-3"/>
          <w:sz w:val="21"/>
        </w:rPr>
        <w:t>标志牌检查 </w:t>
      </w:r>
    </w:p>
    <w:p>
      <w:pPr>
        <w:pStyle w:val="BodyText"/>
        <w:spacing w:before="12"/>
        <w:rPr>
          <w:sz w:val="17"/>
        </w:rPr>
      </w:pPr>
    </w:p>
    <w:p>
      <w:pPr>
        <w:pStyle w:val="BodyText"/>
        <w:spacing w:line="446" w:lineRule="auto"/>
        <w:ind w:left="418" w:right="1820" w:firstLine="419"/>
      </w:pPr>
      <w:r>
        <w:rPr>
          <w:spacing w:val="-5"/>
        </w:rPr>
        <w:t>目测检查泡沫比例混合器外壳的永久性标志牌，判断试验结果是否符合 </w:t>
      </w:r>
      <w:r>
        <w:rPr/>
        <w:t>4.4.4.2.1</w:t>
      </w:r>
      <w:r>
        <w:rPr>
          <w:spacing w:val="-14"/>
        </w:rPr>
        <w:t> 的要</w:t>
      </w:r>
      <w:r>
        <w:rPr>
          <w:spacing w:val="-9"/>
        </w:rPr>
        <w:t>求。</w:t>
      </w:r>
      <w:r>
        <w:rPr/>
        <w:t> </w:t>
      </w:r>
    </w:p>
    <w:p>
      <w:pPr>
        <w:pStyle w:val="ListParagraph"/>
        <w:numPr>
          <w:ilvl w:val="4"/>
          <w:numId w:val="224"/>
        </w:numPr>
        <w:tabs>
          <w:tab w:pos="1788" w:val="left" w:leader="none"/>
        </w:tabs>
        <w:spacing w:line="240" w:lineRule="auto" w:before="0" w:after="0"/>
        <w:ind w:left="1787" w:right="0" w:hanging="950"/>
        <w:jc w:val="left"/>
        <w:rPr>
          <w:sz w:val="21"/>
        </w:rPr>
      </w:pPr>
      <w:r>
        <w:rPr>
          <w:spacing w:val="-3"/>
          <w:sz w:val="21"/>
        </w:rPr>
        <w:t>液流方向检查 </w:t>
      </w:r>
    </w:p>
    <w:p>
      <w:pPr>
        <w:pStyle w:val="BodyText"/>
        <w:spacing w:before="12"/>
        <w:rPr>
          <w:sz w:val="17"/>
        </w:rPr>
      </w:pPr>
    </w:p>
    <w:p>
      <w:pPr>
        <w:pStyle w:val="BodyText"/>
        <w:spacing w:line="446" w:lineRule="auto"/>
        <w:ind w:left="838" w:right="1716"/>
      </w:pPr>
      <w:r>
        <w:rPr/>
        <w:t>目测检查泡沫比例混合器外壳的液流方向，判断试验结果是否符合 4.4.4.2.2 的要求。5.4.4.2.3 主要性能指标试验 </w:t>
      </w:r>
    </w:p>
    <w:p>
      <w:pPr>
        <w:spacing w:after="0" w:line="446" w:lineRule="auto"/>
        <w:sectPr>
          <w:pgSz w:w="11910" w:h="16850"/>
          <w:pgMar w:header="0" w:footer="1239" w:top="1220" w:bottom="1420" w:left="1260" w:right="0"/>
        </w:sectPr>
      </w:pPr>
    </w:p>
    <w:p>
      <w:pPr>
        <w:pStyle w:val="BodyText"/>
        <w:spacing w:line="446" w:lineRule="auto" w:before="47"/>
        <w:ind w:left="418" w:right="1505" w:firstLine="419"/>
      </w:pPr>
      <w:r>
        <w:rPr>
          <w:spacing w:val="-3"/>
        </w:rPr>
        <w:t>将泡沫比例混合器按正常使用状态安装在试验管路上，进口管路直管段长度不小于泡沫比</w:t>
      </w:r>
      <w:r>
        <w:rPr>
          <w:spacing w:val="-7"/>
        </w:rPr>
        <w:t>例混合器进口直径的 </w:t>
      </w:r>
      <w:r>
        <w:rPr/>
        <w:t>10</w:t>
      </w:r>
      <w:r>
        <w:rPr>
          <w:spacing w:val="-10"/>
        </w:rPr>
        <w:t> 倍，出口管路直管段长度不小于泡沫比例混合器出口直径的 </w:t>
      </w:r>
      <w:r>
        <w:rPr/>
        <w:t>5</w:t>
      </w:r>
      <w:r>
        <w:rPr>
          <w:spacing w:val="-11"/>
        </w:rPr>
        <w:t> 倍，压力</w:t>
      </w:r>
      <w:r>
        <w:rPr>
          <w:spacing w:val="-4"/>
        </w:rPr>
        <w:t>表精度不低于 </w:t>
      </w:r>
      <w:r>
        <w:rPr/>
        <w:t>1.6</w:t>
      </w:r>
      <w:r>
        <w:rPr>
          <w:spacing w:val="-10"/>
        </w:rPr>
        <w:t> 级。以标准混合比数值为中间值，用量筒至少配备 </w:t>
      </w:r>
      <w:r>
        <w:rPr/>
        <w:t>3</w:t>
      </w:r>
      <w:r>
        <w:rPr>
          <w:spacing w:val="-9"/>
        </w:rPr>
        <w:t> 种混合比的泡沫混合液</w:t>
      </w:r>
      <w:r>
        <w:rPr>
          <w:spacing w:val="-5"/>
        </w:rPr>
        <w:t>标准样，将其各自搅拌均匀后，采用析光仪、导电仪或其他有效的仪器读取数值，调节泡沫比</w:t>
      </w:r>
      <w:r>
        <w:rPr>
          <w:spacing w:val="-4"/>
        </w:rPr>
        <w:t>例混合器的进口压力及流量达到规定值，稳定后将喷出的泡沫混合液取样。在析光仪、导电仪</w:t>
      </w:r>
      <w:r>
        <w:rPr>
          <w:spacing w:val="-3"/>
        </w:rPr>
        <w:t>或其他有效的仪器上读取数值并与泡沫混合液标准样对照，求得混合比。试验分别在最小、中间、最大进口压力下以及最小流量值、中间流量值、 最大流量值条件下进行，判断试验结果是</w:t>
      </w:r>
      <w:r>
        <w:rPr>
          <w:spacing w:val="-15"/>
        </w:rPr>
        <w:t>否符合 </w:t>
      </w:r>
      <w:r>
        <w:rPr/>
        <w:t>4.4.4.2.3</w:t>
      </w:r>
      <w:r>
        <w:rPr>
          <w:spacing w:val="-12"/>
        </w:rPr>
        <w:t> 的要求。 </w:t>
      </w:r>
    </w:p>
    <w:p>
      <w:pPr>
        <w:pStyle w:val="ListParagraph"/>
        <w:numPr>
          <w:ilvl w:val="4"/>
          <w:numId w:val="227"/>
        </w:numPr>
        <w:tabs>
          <w:tab w:pos="1788" w:val="left" w:leader="none"/>
        </w:tabs>
        <w:spacing w:line="265" w:lineRule="exact" w:before="0" w:after="0"/>
        <w:ind w:left="1787" w:right="0" w:hanging="950"/>
        <w:jc w:val="left"/>
        <w:rPr>
          <w:sz w:val="21"/>
        </w:rPr>
      </w:pPr>
      <w:r>
        <w:rPr>
          <w:spacing w:val="-3"/>
          <w:sz w:val="21"/>
        </w:rPr>
        <w:t>静水压密封、强度试验</w:t>
      </w:r>
      <w:r>
        <w:rPr>
          <w:sz w:val="21"/>
        </w:rPr>
        <w:t> </w:t>
      </w:r>
    </w:p>
    <w:p>
      <w:pPr>
        <w:pStyle w:val="BodyText"/>
        <w:spacing w:before="2"/>
        <w:rPr>
          <w:sz w:val="18"/>
        </w:rPr>
      </w:pPr>
    </w:p>
    <w:p>
      <w:pPr>
        <w:pStyle w:val="ListParagraph"/>
        <w:numPr>
          <w:ilvl w:val="5"/>
          <w:numId w:val="227"/>
        </w:numPr>
        <w:tabs>
          <w:tab w:pos="1996" w:val="left" w:leader="none"/>
        </w:tabs>
        <w:spacing w:line="446" w:lineRule="auto" w:before="0" w:after="0"/>
        <w:ind w:left="418" w:right="1609" w:firstLine="419"/>
        <w:jc w:val="left"/>
        <w:rPr>
          <w:sz w:val="21"/>
        </w:rPr>
      </w:pPr>
      <w:r>
        <w:rPr>
          <w:spacing w:val="-3"/>
          <w:sz w:val="21"/>
        </w:rPr>
        <w:t>将泡沫比例混合器进、出口封闭并注满水，排除残余空气、用试压泵缓慢加</w:t>
      </w:r>
      <w:r>
        <w:rPr>
          <w:spacing w:val="-8"/>
          <w:sz w:val="21"/>
        </w:rPr>
        <w:t>压至规定试验压力，保持 </w:t>
      </w:r>
      <w:r>
        <w:rPr>
          <w:sz w:val="21"/>
        </w:rPr>
        <w:t>3min</w:t>
      </w:r>
      <w:r>
        <w:rPr>
          <w:spacing w:val="-8"/>
          <w:sz w:val="21"/>
        </w:rPr>
        <w:t>，判断试验结果是否符合 </w:t>
      </w:r>
      <w:r>
        <w:rPr>
          <w:sz w:val="21"/>
        </w:rPr>
        <w:t>4.4.4.2.4.1</w:t>
      </w:r>
      <w:r>
        <w:rPr>
          <w:spacing w:val="-12"/>
          <w:sz w:val="21"/>
        </w:rPr>
        <w:t> 的要求。 </w:t>
      </w:r>
    </w:p>
    <w:p>
      <w:pPr>
        <w:pStyle w:val="ListParagraph"/>
        <w:numPr>
          <w:ilvl w:val="5"/>
          <w:numId w:val="227"/>
        </w:numPr>
        <w:tabs>
          <w:tab w:pos="1996" w:val="left" w:leader="none"/>
        </w:tabs>
        <w:spacing w:line="446" w:lineRule="auto" w:before="0" w:after="0"/>
        <w:ind w:left="418" w:right="1609" w:firstLine="419"/>
        <w:jc w:val="left"/>
        <w:rPr>
          <w:sz w:val="21"/>
        </w:rPr>
      </w:pPr>
      <w:r>
        <w:rPr>
          <w:spacing w:val="-3"/>
          <w:sz w:val="21"/>
        </w:rPr>
        <w:t>将泡沫比例混合器进、出口封闭并注满水，排除残余空气。用试压泵缓慢加</w:t>
      </w:r>
      <w:r>
        <w:rPr>
          <w:spacing w:val="-8"/>
          <w:sz w:val="21"/>
        </w:rPr>
        <w:t>压至规定试验压力，保持 </w:t>
      </w:r>
      <w:r>
        <w:rPr>
          <w:sz w:val="21"/>
        </w:rPr>
        <w:t>3min</w:t>
      </w:r>
      <w:r>
        <w:rPr>
          <w:spacing w:val="-8"/>
          <w:sz w:val="21"/>
        </w:rPr>
        <w:t>，判断试验结果是否符合 </w:t>
      </w:r>
      <w:r>
        <w:rPr>
          <w:sz w:val="21"/>
        </w:rPr>
        <w:t>4.4.4.2.4.2</w:t>
      </w:r>
      <w:r>
        <w:rPr>
          <w:spacing w:val="-12"/>
          <w:sz w:val="21"/>
        </w:rPr>
        <w:t> 的要求。 </w:t>
      </w:r>
    </w:p>
    <w:p>
      <w:pPr>
        <w:pStyle w:val="ListParagraph"/>
        <w:numPr>
          <w:ilvl w:val="4"/>
          <w:numId w:val="227"/>
        </w:numPr>
        <w:tabs>
          <w:tab w:pos="1788" w:val="left" w:leader="none"/>
        </w:tabs>
        <w:spacing w:line="240" w:lineRule="auto" w:before="0" w:after="0"/>
        <w:ind w:left="1787" w:right="0" w:hanging="950"/>
        <w:jc w:val="left"/>
        <w:rPr>
          <w:sz w:val="21"/>
        </w:rPr>
      </w:pPr>
      <w:r>
        <w:rPr>
          <w:spacing w:val="-3"/>
          <w:sz w:val="21"/>
        </w:rPr>
        <w:t>负压式泡沫比例混合器试验</w:t>
      </w:r>
      <w:r>
        <w:rPr>
          <w:sz w:val="21"/>
        </w:rPr>
        <w:t> </w:t>
      </w:r>
    </w:p>
    <w:p>
      <w:pPr>
        <w:pStyle w:val="BodyText"/>
        <w:spacing w:before="10"/>
        <w:rPr>
          <w:sz w:val="17"/>
        </w:rPr>
      </w:pPr>
    </w:p>
    <w:p>
      <w:pPr>
        <w:pStyle w:val="ListParagraph"/>
        <w:numPr>
          <w:ilvl w:val="5"/>
          <w:numId w:val="227"/>
        </w:numPr>
        <w:tabs>
          <w:tab w:pos="1996" w:val="left" w:leader="none"/>
        </w:tabs>
        <w:spacing w:line="446" w:lineRule="auto" w:before="0" w:after="0"/>
        <w:ind w:left="418" w:right="1609" w:firstLine="419"/>
        <w:jc w:val="left"/>
        <w:rPr>
          <w:sz w:val="21"/>
        </w:rPr>
      </w:pPr>
      <w:r>
        <w:rPr>
          <w:spacing w:val="-3"/>
          <w:sz w:val="21"/>
        </w:rPr>
        <w:t>将负压式泡沫比例混合器进口与真空泵相连接，封闭其他开口。开启真空泵</w:t>
      </w:r>
      <w:r>
        <w:rPr>
          <w:spacing w:val="-13"/>
          <w:sz w:val="21"/>
        </w:rPr>
        <w:t>抽真空至 </w:t>
      </w:r>
      <w:r>
        <w:rPr>
          <w:sz w:val="21"/>
        </w:rPr>
        <w:t>85kPa</w:t>
      </w:r>
      <w:r>
        <w:rPr>
          <w:spacing w:val="-8"/>
          <w:sz w:val="21"/>
        </w:rPr>
        <w:t>，关闭真空泵，测定 </w:t>
      </w:r>
      <w:r>
        <w:rPr>
          <w:sz w:val="21"/>
        </w:rPr>
        <w:t>1min</w:t>
      </w:r>
      <w:r>
        <w:rPr>
          <w:spacing w:val="-9"/>
          <w:sz w:val="21"/>
        </w:rPr>
        <w:t> 内真空度下降值，判断试验结果是否符合4.4.4.2.5.1</w:t>
      </w:r>
      <w:r>
        <w:rPr>
          <w:spacing w:val="-13"/>
          <w:sz w:val="21"/>
        </w:rPr>
        <w:t> 的要求。</w:t>
      </w:r>
      <w:r>
        <w:rPr>
          <w:sz w:val="21"/>
        </w:rPr>
        <w:t> </w:t>
      </w:r>
    </w:p>
    <w:p>
      <w:pPr>
        <w:pStyle w:val="ListParagraph"/>
        <w:numPr>
          <w:ilvl w:val="5"/>
          <w:numId w:val="227"/>
        </w:numPr>
        <w:tabs>
          <w:tab w:pos="1996" w:val="left" w:leader="none"/>
        </w:tabs>
        <w:spacing w:line="446" w:lineRule="auto" w:before="0" w:after="0"/>
        <w:ind w:left="418" w:right="1608" w:firstLine="419"/>
        <w:jc w:val="both"/>
        <w:rPr>
          <w:sz w:val="21"/>
        </w:rPr>
      </w:pPr>
      <w:r>
        <w:rPr>
          <w:spacing w:val="-3"/>
          <w:sz w:val="21"/>
        </w:rPr>
        <w:t>负压式泡沫比例混合器压差试验分别在最小、最大进口压力下以及最小流量值、最大流量值条件下进行。调节负压式泡沫比例混合器的进口压力及流量达到规定值，稳定</w:t>
      </w:r>
      <w:r>
        <w:rPr>
          <w:spacing w:val="-4"/>
          <w:sz w:val="21"/>
        </w:rPr>
        <w:t>后读取负压式泡沫比例混合器进口压力与出口压力值，判断试验结果是否符合 </w:t>
      </w:r>
      <w:r>
        <w:rPr>
          <w:sz w:val="21"/>
        </w:rPr>
        <w:t>4.4.4.2.5.2</w:t>
      </w:r>
      <w:r>
        <w:rPr>
          <w:spacing w:val="-19"/>
          <w:sz w:val="21"/>
        </w:rPr>
        <w:t> 的</w:t>
      </w:r>
      <w:r>
        <w:rPr>
          <w:spacing w:val="-14"/>
          <w:sz w:val="21"/>
        </w:rPr>
        <w:t>要求。</w:t>
      </w:r>
      <w:r>
        <w:rPr>
          <w:sz w:val="21"/>
        </w:rPr>
        <w:t> </w:t>
      </w:r>
    </w:p>
    <w:p>
      <w:pPr>
        <w:pStyle w:val="ListParagraph"/>
        <w:numPr>
          <w:ilvl w:val="4"/>
          <w:numId w:val="227"/>
        </w:numPr>
        <w:tabs>
          <w:tab w:pos="1788" w:val="left" w:leader="none"/>
        </w:tabs>
        <w:spacing w:line="240" w:lineRule="auto" w:before="0" w:after="0"/>
        <w:ind w:left="1787" w:right="0" w:hanging="950"/>
        <w:jc w:val="left"/>
        <w:rPr>
          <w:sz w:val="21"/>
        </w:rPr>
      </w:pPr>
      <w:r>
        <w:rPr>
          <w:spacing w:val="-3"/>
          <w:sz w:val="21"/>
        </w:rPr>
        <w:t>正压式泡沫比例混合器试验</w:t>
      </w:r>
      <w:r>
        <w:rPr>
          <w:sz w:val="21"/>
        </w:rPr>
        <w:t> </w:t>
      </w:r>
    </w:p>
    <w:p>
      <w:pPr>
        <w:pStyle w:val="BodyText"/>
        <w:spacing w:before="11"/>
        <w:rPr>
          <w:sz w:val="17"/>
        </w:rPr>
      </w:pPr>
    </w:p>
    <w:p>
      <w:pPr>
        <w:pStyle w:val="ListParagraph"/>
        <w:numPr>
          <w:ilvl w:val="5"/>
          <w:numId w:val="227"/>
        </w:numPr>
        <w:tabs>
          <w:tab w:pos="1996" w:val="left" w:leader="none"/>
        </w:tabs>
        <w:spacing w:line="446" w:lineRule="auto" w:before="1" w:after="0"/>
        <w:ind w:left="418" w:right="1611" w:firstLine="419"/>
        <w:jc w:val="left"/>
        <w:rPr>
          <w:sz w:val="21"/>
        </w:rPr>
      </w:pPr>
      <w:r>
        <w:rPr>
          <w:spacing w:val="-5"/>
          <w:sz w:val="21"/>
        </w:rPr>
        <w:t>査阅泡沫车选用供泡沫液泵的资料，判断试验结果是否符合 </w:t>
      </w:r>
      <w:r>
        <w:rPr>
          <w:sz w:val="21"/>
        </w:rPr>
        <w:t>4.4.4.2.6.1</w:t>
      </w:r>
      <w:r>
        <w:rPr>
          <w:spacing w:val="-25"/>
          <w:sz w:val="21"/>
        </w:rPr>
        <w:t> 的</w:t>
      </w:r>
      <w:r>
        <w:rPr>
          <w:spacing w:val="-18"/>
          <w:sz w:val="21"/>
        </w:rPr>
        <w:t>要求。</w:t>
      </w:r>
      <w:r>
        <w:rPr>
          <w:sz w:val="21"/>
        </w:rPr>
        <w:t> </w:t>
      </w:r>
    </w:p>
    <w:p>
      <w:pPr>
        <w:pStyle w:val="ListParagraph"/>
        <w:numPr>
          <w:ilvl w:val="5"/>
          <w:numId w:val="227"/>
        </w:numPr>
        <w:tabs>
          <w:tab w:pos="1996" w:val="left" w:leader="none"/>
        </w:tabs>
        <w:spacing w:line="240" w:lineRule="auto" w:before="0" w:after="0"/>
        <w:ind w:left="1995" w:right="0" w:hanging="1158"/>
        <w:jc w:val="left"/>
        <w:rPr>
          <w:sz w:val="21"/>
        </w:rPr>
      </w:pPr>
      <w:r>
        <w:rPr>
          <w:spacing w:val="-3"/>
          <w:sz w:val="21"/>
        </w:rPr>
        <w:t>对供泡沫液泵的动力源和驱动装置进行检査，判断试验结果是否符合</w:t>
      </w:r>
    </w:p>
    <w:p>
      <w:pPr>
        <w:pStyle w:val="BodyText"/>
        <w:spacing w:before="12"/>
        <w:rPr>
          <w:sz w:val="17"/>
        </w:rPr>
      </w:pPr>
    </w:p>
    <w:p>
      <w:pPr>
        <w:pStyle w:val="ListParagraph"/>
        <w:numPr>
          <w:ilvl w:val="5"/>
          <w:numId w:val="228"/>
        </w:numPr>
        <w:tabs>
          <w:tab w:pos="1628" w:val="left" w:leader="none"/>
        </w:tabs>
        <w:spacing w:line="240" w:lineRule="auto" w:before="0" w:after="0"/>
        <w:ind w:left="1627" w:right="0" w:hanging="1210"/>
        <w:jc w:val="left"/>
        <w:rPr>
          <w:sz w:val="21"/>
        </w:rPr>
      </w:pPr>
      <w:r>
        <w:rPr>
          <w:spacing w:val="-3"/>
          <w:sz w:val="21"/>
        </w:rPr>
        <w:t>的要求。</w:t>
      </w:r>
      <w:r>
        <w:rPr>
          <w:sz w:val="21"/>
        </w:rPr>
        <w:t> </w:t>
      </w:r>
    </w:p>
    <w:p>
      <w:pPr>
        <w:pStyle w:val="BodyText"/>
        <w:rPr>
          <w:sz w:val="18"/>
        </w:rPr>
      </w:pPr>
    </w:p>
    <w:p>
      <w:pPr>
        <w:pStyle w:val="BodyText"/>
        <w:ind w:left="838"/>
      </w:pPr>
      <w:r>
        <w:rPr/>
        <w:t>5.4.4.2.6.3 查阅企业供泡沫液泵与比例混合系统的资料，判断试验结果是否符合</w:t>
      </w:r>
    </w:p>
    <w:p>
      <w:pPr>
        <w:pStyle w:val="BodyText"/>
        <w:spacing w:before="1"/>
        <w:rPr>
          <w:sz w:val="18"/>
        </w:rPr>
      </w:pPr>
    </w:p>
    <w:p>
      <w:pPr>
        <w:pStyle w:val="ListParagraph"/>
        <w:numPr>
          <w:ilvl w:val="5"/>
          <w:numId w:val="228"/>
        </w:numPr>
        <w:tabs>
          <w:tab w:pos="1628" w:val="left" w:leader="none"/>
        </w:tabs>
        <w:spacing w:line="240" w:lineRule="auto" w:before="1" w:after="0"/>
        <w:ind w:left="1627" w:right="0" w:hanging="1210"/>
        <w:jc w:val="left"/>
        <w:rPr>
          <w:sz w:val="21"/>
        </w:rPr>
      </w:pPr>
      <w:r>
        <w:rPr>
          <w:spacing w:val="-3"/>
          <w:sz w:val="21"/>
        </w:rPr>
        <w:t>的要求。</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5"/>
          <w:numId w:val="229"/>
        </w:numPr>
        <w:tabs>
          <w:tab w:pos="1996" w:val="left" w:leader="none"/>
        </w:tabs>
        <w:spacing w:line="240" w:lineRule="auto" w:before="47" w:after="0"/>
        <w:ind w:left="1995" w:right="0" w:hanging="1158"/>
        <w:jc w:val="left"/>
        <w:rPr>
          <w:sz w:val="21"/>
        </w:rPr>
      </w:pPr>
      <w:r>
        <w:rPr>
          <w:spacing w:val="-5"/>
          <w:sz w:val="21"/>
        </w:rPr>
        <w:t>向供泡沫液泵缓慢加压至泄压阀开启，判断试验结果是否符合 </w:t>
      </w:r>
      <w:r>
        <w:rPr>
          <w:sz w:val="21"/>
        </w:rPr>
        <w:t>4.4.4.2.6.4</w:t>
      </w:r>
    </w:p>
    <w:p>
      <w:pPr>
        <w:pStyle w:val="BodyText"/>
        <w:rPr>
          <w:sz w:val="18"/>
        </w:rPr>
      </w:pPr>
    </w:p>
    <w:p>
      <w:pPr>
        <w:pStyle w:val="BodyText"/>
        <w:ind w:left="418"/>
      </w:pPr>
      <w:r>
        <w:rPr/>
        <w:t>的要求。 </w:t>
      </w:r>
    </w:p>
    <w:p>
      <w:pPr>
        <w:pStyle w:val="BodyText"/>
        <w:rPr>
          <w:sz w:val="18"/>
        </w:rPr>
      </w:pPr>
    </w:p>
    <w:p>
      <w:pPr>
        <w:pStyle w:val="ListParagraph"/>
        <w:numPr>
          <w:ilvl w:val="5"/>
          <w:numId w:val="229"/>
        </w:numPr>
        <w:tabs>
          <w:tab w:pos="1996" w:val="left" w:leader="none"/>
        </w:tabs>
        <w:spacing w:line="446" w:lineRule="auto" w:before="0" w:after="0"/>
        <w:ind w:left="418" w:right="1609" w:firstLine="419"/>
        <w:jc w:val="left"/>
        <w:rPr>
          <w:sz w:val="21"/>
        </w:rPr>
      </w:pPr>
      <w:r>
        <w:rPr>
          <w:spacing w:val="-3"/>
          <w:sz w:val="21"/>
        </w:rPr>
        <w:t>当供泡沫液泵运行时，将泡沫液罐内液位降低至供泡沫液泵自动停机，判断</w:t>
      </w:r>
      <w:r>
        <w:rPr>
          <w:spacing w:val="-9"/>
          <w:sz w:val="21"/>
        </w:rPr>
        <w:t>试验结果是否符合 </w:t>
      </w:r>
      <w:r>
        <w:rPr>
          <w:sz w:val="21"/>
        </w:rPr>
        <w:t>4.4.4.2.6.5</w:t>
      </w:r>
      <w:r>
        <w:rPr>
          <w:spacing w:val="-13"/>
          <w:sz w:val="21"/>
        </w:rPr>
        <w:t> 的要求。</w:t>
      </w:r>
      <w:r>
        <w:rPr>
          <w:sz w:val="21"/>
        </w:rPr>
        <w:t> </w:t>
      </w:r>
    </w:p>
    <w:p>
      <w:pPr>
        <w:pStyle w:val="ListParagraph"/>
        <w:numPr>
          <w:ilvl w:val="3"/>
          <w:numId w:val="224"/>
        </w:numPr>
        <w:tabs>
          <w:tab w:pos="1576" w:val="left" w:leader="none"/>
        </w:tabs>
        <w:spacing w:line="240" w:lineRule="auto" w:before="0" w:after="0"/>
        <w:ind w:left="1575" w:right="0" w:hanging="738"/>
        <w:jc w:val="left"/>
        <w:rPr>
          <w:sz w:val="21"/>
        </w:rPr>
      </w:pPr>
      <w:r>
        <w:rPr>
          <w:spacing w:val="-3"/>
          <w:sz w:val="21"/>
        </w:rPr>
        <w:t>消防炮试验 </w:t>
      </w:r>
    </w:p>
    <w:p>
      <w:pPr>
        <w:pStyle w:val="BodyText"/>
        <w:spacing w:before="12"/>
        <w:rPr>
          <w:sz w:val="17"/>
        </w:rPr>
      </w:pPr>
    </w:p>
    <w:p>
      <w:pPr>
        <w:pStyle w:val="ListParagraph"/>
        <w:numPr>
          <w:ilvl w:val="4"/>
          <w:numId w:val="224"/>
        </w:numPr>
        <w:tabs>
          <w:tab w:pos="1788" w:val="left" w:leader="none"/>
        </w:tabs>
        <w:spacing w:line="240" w:lineRule="auto" w:before="0" w:after="0"/>
        <w:ind w:left="1787" w:right="0" w:hanging="950"/>
        <w:jc w:val="left"/>
        <w:rPr>
          <w:sz w:val="21"/>
        </w:rPr>
      </w:pPr>
      <w:r>
        <w:rPr>
          <w:spacing w:val="-3"/>
          <w:sz w:val="21"/>
        </w:rPr>
        <w:t>泡沫炮或泡沫/水两用炮喷射性能试验方法如下：</w:t>
      </w:r>
      <w:r>
        <w:rPr>
          <w:sz w:val="21"/>
        </w:rPr>
        <w:t> </w:t>
      </w:r>
    </w:p>
    <w:p>
      <w:pPr>
        <w:pStyle w:val="BodyText"/>
        <w:spacing w:before="2"/>
        <w:rPr>
          <w:sz w:val="18"/>
        </w:rPr>
      </w:pPr>
    </w:p>
    <w:p>
      <w:pPr>
        <w:pStyle w:val="ListParagraph"/>
        <w:numPr>
          <w:ilvl w:val="0"/>
          <w:numId w:val="230"/>
        </w:numPr>
        <w:tabs>
          <w:tab w:pos="1051" w:val="left" w:leader="none"/>
        </w:tabs>
        <w:spacing w:line="446" w:lineRule="auto" w:before="0" w:after="0"/>
        <w:ind w:left="418" w:right="1452" w:firstLine="419"/>
        <w:jc w:val="left"/>
        <w:rPr>
          <w:sz w:val="21"/>
        </w:rPr>
      </w:pPr>
      <w:r>
        <w:rPr>
          <w:spacing w:val="-3"/>
          <w:sz w:val="21"/>
        </w:rPr>
        <w:t>泡沫射程测定，泡沫射程的测定应在平坦的场地上进行。试验时在炮的进水口处装一压 </w:t>
      </w:r>
      <w:r>
        <w:rPr>
          <w:spacing w:val="-7"/>
          <w:sz w:val="21"/>
        </w:rPr>
        <w:t>力表， 压力表精度不低于 </w:t>
      </w:r>
      <w:r>
        <w:rPr>
          <w:sz w:val="21"/>
        </w:rPr>
        <w:t>1.6</w:t>
      </w:r>
      <w:r>
        <w:rPr>
          <w:spacing w:val="-13"/>
          <w:sz w:val="21"/>
        </w:rPr>
        <w:t> 级。消防炮的仰角为 </w:t>
      </w:r>
      <w:r>
        <w:rPr>
          <w:sz w:val="21"/>
        </w:rPr>
        <w:t>30</w:t>
      </w:r>
      <w:r>
        <w:rPr>
          <w:spacing w:val="-16"/>
          <w:sz w:val="21"/>
        </w:rPr>
        <w:t>°士 </w:t>
      </w:r>
      <w:r>
        <w:rPr>
          <w:sz w:val="21"/>
        </w:rPr>
        <w:t>1</w:t>
      </w:r>
      <w:r>
        <w:rPr>
          <w:spacing w:val="-7"/>
          <w:sz w:val="21"/>
        </w:rPr>
        <w:t>°，顺风向喷射，风速小于 </w:t>
      </w:r>
      <w:r>
        <w:rPr>
          <w:sz w:val="21"/>
        </w:rPr>
        <w:t>2m/s， </w:t>
      </w:r>
      <w:r>
        <w:rPr>
          <w:spacing w:val="-5"/>
          <w:sz w:val="21"/>
        </w:rPr>
        <w:t>试验时当消防炮进水口压力达到额定工作压力并稳定后，用秒表测定不少于 </w:t>
      </w:r>
      <w:r>
        <w:rPr>
          <w:sz w:val="21"/>
        </w:rPr>
        <w:t>10s</w:t>
      </w:r>
      <w:r>
        <w:rPr>
          <w:spacing w:val="-9"/>
          <w:sz w:val="21"/>
        </w:rPr>
        <w:t> 时间连续洒落</w:t>
      </w:r>
      <w:r>
        <w:rPr>
          <w:spacing w:val="-5"/>
          <w:sz w:val="21"/>
        </w:rPr>
        <w:t>泡沫的最远点为射程最远点，以消防炮出口铅垂线与地面交点为原点，最远点至原点之间的直 </w:t>
      </w:r>
      <w:r>
        <w:rPr>
          <w:spacing w:val="-7"/>
          <w:sz w:val="21"/>
        </w:rPr>
        <w:t>线距离即为泡沫的射程。判断试验结果是否符合 </w:t>
      </w:r>
      <w:r>
        <w:rPr>
          <w:sz w:val="21"/>
        </w:rPr>
        <w:t>4.4.4.3.1</w:t>
      </w:r>
      <w:r>
        <w:rPr>
          <w:spacing w:val="-13"/>
          <w:sz w:val="21"/>
        </w:rPr>
        <w:t> 的要求。</w:t>
      </w:r>
      <w:r>
        <w:rPr>
          <w:sz w:val="21"/>
        </w:rPr>
        <w:t> </w:t>
      </w:r>
    </w:p>
    <w:p>
      <w:pPr>
        <w:pStyle w:val="ListParagraph"/>
        <w:numPr>
          <w:ilvl w:val="0"/>
          <w:numId w:val="230"/>
        </w:numPr>
        <w:tabs>
          <w:tab w:pos="1051" w:val="left" w:leader="none"/>
        </w:tabs>
        <w:spacing w:line="446" w:lineRule="auto" w:before="0" w:after="0"/>
        <w:ind w:left="418" w:right="1560" w:firstLine="419"/>
        <w:jc w:val="left"/>
        <w:rPr>
          <w:sz w:val="21"/>
        </w:rPr>
      </w:pPr>
      <w:r>
        <w:rPr>
          <w:spacing w:val="-4"/>
          <w:sz w:val="21"/>
        </w:rPr>
        <w:t>发泡倍数测定，泡沫挡板采用轻质耐腐蚀金属材料制作，挡板的结构和尺寸见图 </w:t>
      </w:r>
      <w:r>
        <w:rPr>
          <w:sz w:val="21"/>
        </w:rPr>
        <w:t>1</w:t>
      </w:r>
      <w:r>
        <w:rPr>
          <w:spacing w:val="-3"/>
          <w:sz w:val="21"/>
        </w:rPr>
        <w:t>。泡</w:t>
      </w:r>
      <w:r>
        <w:rPr>
          <w:spacing w:val="-5"/>
          <w:sz w:val="21"/>
        </w:rPr>
        <w:t>沫接筒用轻质耐水材料制作，接筒底部装有玻璃开关和玻璃管。接筒结构和尺寸见图 </w:t>
      </w:r>
      <w:r>
        <w:rPr>
          <w:spacing w:val="-3"/>
          <w:sz w:val="21"/>
        </w:rPr>
        <w:t>2。</w:t>
      </w:r>
      <w:r>
        <w:rPr>
          <w:sz w:val="21"/>
        </w:rPr>
        <w:t> </w:t>
      </w:r>
    </w:p>
    <w:p>
      <w:pPr>
        <w:pStyle w:val="BodyText"/>
        <w:spacing w:line="446" w:lineRule="auto"/>
        <w:ind w:left="418" w:right="1503" w:firstLine="419"/>
      </w:pPr>
      <w:r>
        <w:rPr>
          <w:spacing w:val="-3"/>
        </w:rPr>
        <w:t>试验时调整好泡沫比例混合器的比例，消防炮先向其他方向喷射，待达到额定工作压力并稳定后再转向泡沫挡板，用泡沫接筒接从挡板上流下的泡沫直至泡沫充满接筒并开始记时，用刮片刮去顶部多余的泡沫，擦净外表面，在电子秤上称出盛满泡沫的接筒重量，用式(</w:t>
      </w:r>
      <w:r>
        <w:rPr/>
        <w:t>1</w:t>
      </w:r>
      <w:r>
        <w:rPr>
          <w:spacing w:val="-2"/>
        </w:rPr>
        <w:t>)计算发</w:t>
      </w:r>
      <w:r>
        <w:rPr>
          <w:spacing w:val="-7"/>
        </w:rPr>
        <w:t>泡倍 数，判断试验结果是否符合 </w:t>
      </w:r>
      <w:r>
        <w:rPr/>
        <w:t>4.4.4.3.1</w:t>
      </w:r>
      <w:r>
        <w:rPr>
          <w:spacing w:val="-12"/>
        </w:rPr>
        <w:t> 的要求。 </w:t>
      </w:r>
    </w:p>
    <w:p>
      <w:pPr>
        <w:pStyle w:val="BodyText"/>
        <w:spacing w:before="7"/>
        <w:rPr>
          <w:sz w:val="15"/>
        </w:rPr>
      </w:pPr>
      <w:r>
        <w:rPr/>
        <w:drawing>
          <wp:anchor distT="0" distB="0" distL="0" distR="0" allowOverlap="1" layoutInCell="1" locked="0" behindDoc="0" simplePos="0" relativeHeight="60">
            <wp:simplePos x="0" y="0"/>
            <wp:positionH relativeFrom="page">
              <wp:posOffset>2113279</wp:posOffset>
            </wp:positionH>
            <wp:positionV relativeFrom="paragraph">
              <wp:posOffset>151340</wp:posOffset>
            </wp:positionV>
            <wp:extent cx="3200399" cy="304800"/>
            <wp:effectExtent l="0" t="0" r="0" b="0"/>
            <wp:wrapTopAndBottom/>
            <wp:docPr id="137" name="image96.jpeg"/>
            <wp:cNvGraphicFramePr>
              <a:graphicFrameLocks noChangeAspect="1"/>
            </wp:cNvGraphicFramePr>
            <a:graphic>
              <a:graphicData uri="http://schemas.openxmlformats.org/drawingml/2006/picture">
                <pic:pic>
                  <pic:nvPicPr>
                    <pic:cNvPr id="138" name="image96.jpeg"/>
                    <pic:cNvPicPr/>
                  </pic:nvPicPr>
                  <pic:blipFill>
                    <a:blip r:embed="rId104" cstate="print"/>
                    <a:stretch>
                      <a:fillRect/>
                    </a:stretch>
                  </pic:blipFill>
                  <pic:spPr>
                    <a:xfrm>
                      <a:off x="0" y="0"/>
                      <a:ext cx="3200399" cy="304800"/>
                    </a:xfrm>
                    <a:prstGeom prst="rect">
                      <a:avLst/>
                    </a:prstGeom>
                  </pic:spPr>
                </pic:pic>
              </a:graphicData>
            </a:graphic>
          </wp:anchor>
        </w:drawing>
      </w:r>
    </w:p>
    <w:p>
      <w:pPr>
        <w:pStyle w:val="BodyText"/>
        <w:rPr>
          <w:sz w:val="20"/>
        </w:rPr>
      </w:pPr>
    </w:p>
    <w:p>
      <w:pPr>
        <w:pStyle w:val="BodyText"/>
        <w:spacing w:before="5"/>
        <w:rPr>
          <w:sz w:val="25"/>
        </w:rPr>
      </w:pPr>
    </w:p>
    <w:p>
      <w:pPr>
        <w:pStyle w:val="BodyText"/>
        <w:spacing w:line="429" w:lineRule="auto" w:before="72"/>
        <w:ind w:left="418" w:right="1602" w:firstLine="419"/>
        <w:jc w:val="both"/>
      </w:pPr>
      <w:r>
        <w:rPr>
          <w:position w:val="1"/>
        </w:rPr>
        <w:t>式中，</w:t>
      </w:r>
      <w:r>
        <w:rPr>
          <w:i/>
          <w:position w:val="1"/>
          <w:sz w:val="22"/>
        </w:rPr>
        <w:t>N</w:t>
      </w:r>
      <w:r>
        <w:rPr>
          <w:i/>
          <w:spacing w:val="-48"/>
          <w:position w:val="1"/>
          <w:sz w:val="22"/>
        </w:rPr>
        <w:t> </w:t>
      </w:r>
      <w:r>
        <w:rPr>
          <w:spacing w:val="-3"/>
          <w:position w:val="1"/>
        </w:rPr>
        <w:t>为发泡倍数；</w:t>
      </w:r>
      <w:r>
        <w:rPr>
          <w:i/>
          <w:position w:val="1"/>
          <w:sz w:val="22"/>
        </w:rPr>
        <w:t>V</w:t>
      </w:r>
      <w:r>
        <w:rPr>
          <w:sz w:val="11"/>
        </w:rPr>
        <w:t>c</w:t>
      </w:r>
      <w:r>
        <w:rPr>
          <w:spacing w:val="-23"/>
          <w:sz w:val="11"/>
        </w:rPr>
        <w:t> </w:t>
      </w:r>
      <w:r>
        <w:rPr>
          <w:spacing w:val="-3"/>
          <w:position w:val="1"/>
        </w:rPr>
        <w:t>为泡沫接受器的容积，单位为立方厘米</w:t>
      </w:r>
      <w:r>
        <w:rPr>
          <w:position w:val="1"/>
        </w:rPr>
        <w:t>(cm³)；</w:t>
      </w:r>
      <w:r>
        <w:rPr>
          <w:i/>
          <w:position w:val="1"/>
          <w:sz w:val="22"/>
        </w:rPr>
        <w:t>W</w:t>
      </w:r>
      <w:r>
        <w:rPr>
          <w:sz w:val="11"/>
        </w:rPr>
        <w:t>p</w:t>
      </w:r>
      <w:r>
        <w:rPr>
          <w:spacing w:val="-26"/>
          <w:sz w:val="11"/>
        </w:rPr>
        <w:t> </w:t>
      </w:r>
      <w:r>
        <w:rPr>
          <w:spacing w:val="-3"/>
          <w:position w:val="1"/>
        </w:rPr>
        <w:t>为泡沫接受器装满泡沫时的总质量，单位为克(</w:t>
      </w:r>
      <w:r>
        <w:rPr>
          <w:position w:val="1"/>
        </w:rPr>
        <w:t>g)；</w:t>
      </w:r>
      <w:r>
        <w:rPr>
          <w:i/>
          <w:position w:val="1"/>
          <w:sz w:val="22"/>
        </w:rPr>
        <w:t>W</w:t>
      </w:r>
      <w:r>
        <w:rPr>
          <w:sz w:val="11"/>
        </w:rPr>
        <w:t>e</w:t>
      </w:r>
      <w:r>
        <w:rPr>
          <w:spacing w:val="-24"/>
          <w:sz w:val="11"/>
        </w:rPr>
        <w:t> </w:t>
      </w:r>
      <w:r>
        <w:rPr>
          <w:spacing w:val="-3"/>
          <w:position w:val="1"/>
        </w:rPr>
        <w:t>为泡沫接受器质量，单位为克</w:t>
      </w:r>
      <w:r>
        <w:rPr>
          <w:position w:val="1"/>
        </w:rPr>
        <w:t>(g)；</w:t>
      </w:r>
      <w:r>
        <w:rPr>
          <w:i/>
          <w:position w:val="1"/>
          <w:sz w:val="22"/>
        </w:rPr>
        <w:t>ρ</w:t>
      </w:r>
      <w:r>
        <w:rPr>
          <w:spacing w:val="-3"/>
          <w:position w:val="1"/>
        </w:rPr>
        <w:t>为混合液的密度， </w:t>
      </w:r>
      <w:r>
        <w:rPr>
          <w:spacing w:val="-28"/>
        </w:rPr>
        <w:t>取 </w:t>
      </w:r>
      <w:r>
        <w:rPr/>
        <w:t>1.0g/cm³</w:t>
      </w:r>
      <w:r>
        <w:rPr>
          <w:spacing w:val="-3"/>
        </w:rPr>
        <w:t>。</w:t>
      </w:r>
      <w:r>
        <w:rPr/>
        <w:t> </w:t>
      </w:r>
    </w:p>
    <w:p>
      <w:pPr>
        <w:spacing w:after="0" w:line="429" w:lineRule="auto"/>
        <w:jc w:val="both"/>
        <w:sectPr>
          <w:pgSz w:w="11910" w:h="16850"/>
          <w:pgMar w:header="0" w:footer="1239" w:top="1220" w:bottom="1420" w:left="1260" w:right="0"/>
        </w:sectPr>
      </w:pPr>
    </w:p>
    <w:p>
      <w:pPr>
        <w:pStyle w:val="BodyText"/>
        <w:ind w:left="1888"/>
        <w:rPr>
          <w:sz w:val="20"/>
        </w:rPr>
      </w:pPr>
      <w:r>
        <w:rPr>
          <w:sz w:val="20"/>
        </w:rPr>
        <w:drawing>
          <wp:inline distT="0" distB="0" distL="0" distR="0">
            <wp:extent cx="4059969" cy="657225"/>
            <wp:effectExtent l="0" t="0" r="0" b="0"/>
            <wp:docPr id="139" name="image97.jpeg"/>
            <wp:cNvGraphicFramePr>
              <a:graphicFrameLocks noChangeAspect="1"/>
            </wp:cNvGraphicFramePr>
            <a:graphic>
              <a:graphicData uri="http://schemas.openxmlformats.org/drawingml/2006/picture">
                <pic:pic>
                  <pic:nvPicPr>
                    <pic:cNvPr id="140" name="image97.jpeg"/>
                    <pic:cNvPicPr/>
                  </pic:nvPicPr>
                  <pic:blipFill>
                    <a:blip r:embed="rId105" cstate="print"/>
                    <a:stretch>
                      <a:fillRect/>
                    </a:stretch>
                  </pic:blipFill>
                  <pic:spPr>
                    <a:xfrm>
                      <a:off x="0" y="0"/>
                      <a:ext cx="4059969" cy="657225"/>
                    </a:xfrm>
                    <a:prstGeom prst="rect">
                      <a:avLst/>
                    </a:prstGeom>
                  </pic:spPr>
                </pic:pic>
              </a:graphicData>
            </a:graphic>
          </wp:inline>
        </w:drawing>
      </w:r>
      <w:r>
        <w:rPr>
          <w:sz w:val="20"/>
        </w:rPr>
      </w:r>
    </w:p>
    <w:p>
      <w:pPr>
        <w:pStyle w:val="BodyText"/>
        <w:spacing w:before="7"/>
        <w:rPr>
          <w:sz w:val="17"/>
        </w:rPr>
      </w:pPr>
      <w:r>
        <w:rPr/>
        <w:drawing>
          <wp:anchor distT="0" distB="0" distL="0" distR="0" allowOverlap="1" layoutInCell="1" locked="0" behindDoc="0" simplePos="0" relativeHeight="61">
            <wp:simplePos x="0" y="0"/>
            <wp:positionH relativeFrom="page">
              <wp:posOffset>2071063</wp:posOffset>
            </wp:positionH>
            <wp:positionV relativeFrom="paragraph">
              <wp:posOffset>167767</wp:posOffset>
            </wp:positionV>
            <wp:extent cx="3454626" cy="1842516"/>
            <wp:effectExtent l="0" t="0" r="0" b="0"/>
            <wp:wrapTopAndBottom/>
            <wp:docPr id="141" name="image98.jpeg"/>
            <wp:cNvGraphicFramePr>
              <a:graphicFrameLocks noChangeAspect="1"/>
            </wp:cNvGraphicFramePr>
            <a:graphic>
              <a:graphicData uri="http://schemas.openxmlformats.org/drawingml/2006/picture">
                <pic:pic>
                  <pic:nvPicPr>
                    <pic:cNvPr id="142" name="image98.jpeg"/>
                    <pic:cNvPicPr/>
                  </pic:nvPicPr>
                  <pic:blipFill>
                    <a:blip r:embed="rId106" cstate="print"/>
                    <a:stretch>
                      <a:fillRect/>
                    </a:stretch>
                  </pic:blipFill>
                  <pic:spPr>
                    <a:xfrm>
                      <a:off x="0" y="0"/>
                      <a:ext cx="3454626" cy="1842516"/>
                    </a:xfrm>
                    <a:prstGeom prst="rect">
                      <a:avLst/>
                    </a:prstGeom>
                  </pic:spPr>
                </pic:pic>
              </a:graphicData>
            </a:graphic>
          </wp:anchor>
        </w:drawing>
      </w:r>
    </w:p>
    <w:p>
      <w:pPr>
        <w:pStyle w:val="BodyText"/>
        <w:spacing w:before="10"/>
        <w:rPr>
          <w:sz w:val="7"/>
        </w:rPr>
      </w:pPr>
    </w:p>
    <w:p>
      <w:pPr>
        <w:pStyle w:val="BodyText"/>
        <w:spacing w:line="446" w:lineRule="auto" w:before="72"/>
        <w:ind w:left="418" w:right="1558" w:firstLine="419"/>
        <w:jc w:val="both"/>
      </w:pPr>
      <w:r>
        <w:rPr/>
        <w:t>c）25</w:t>
      </w:r>
      <w:r>
        <w:rPr>
          <w:spacing w:val="-5"/>
        </w:rPr>
        <w:t>%析液时间的测定，将量杯放在衡器(精确到 </w:t>
      </w:r>
      <w:r>
        <w:rPr/>
        <w:t>1g</w:t>
      </w:r>
      <w:r>
        <w:rPr>
          <w:spacing w:val="-3"/>
        </w:rPr>
        <w:t>)上去皮。将盛有泡沫的泡沫接筒放在支架上，打开底部开关使析出液体流入量杯内，当量杯内的泡沫混合液量等于时，停止计时， </w:t>
      </w:r>
      <w:r>
        <w:rPr>
          <w:spacing w:val="-7"/>
        </w:rPr>
        <w:t>计时器示的时间就是泡沫 </w:t>
      </w:r>
      <w:r>
        <w:rPr/>
        <w:t>25%</w:t>
      </w:r>
      <w:r>
        <w:rPr>
          <w:spacing w:val="-6"/>
        </w:rPr>
        <w:t>析液时间，判断试验结果是否符合 </w:t>
      </w:r>
      <w:r>
        <w:rPr/>
        <w:t>4.4.4.3.1</w:t>
      </w:r>
      <w:r>
        <w:rPr>
          <w:spacing w:val="-9"/>
        </w:rPr>
        <w:t> 的要求。按式</w:t>
      </w:r>
      <w:r>
        <w:rPr/>
        <w:t>（2) </w:t>
      </w:r>
      <w:r>
        <w:rPr>
          <w:spacing w:val="-1"/>
        </w:rPr>
        <w:t>计算：</w:t>
      </w:r>
      <w:r>
        <w:rPr/>
        <w:t> </w:t>
      </w:r>
    </w:p>
    <w:p>
      <w:pPr>
        <w:pStyle w:val="BodyText"/>
        <w:spacing w:before="5"/>
        <w:rPr>
          <w:sz w:val="12"/>
        </w:rPr>
      </w:pPr>
      <w:r>
        <w:rPr/>
        <w:drawing>
          <wp:anchor distT="0" distB="0" distL="0" distR="0" allowOverlap="1" layoutInCell="1" locked="0" behindDoc="0" simplePos="0" relativeHeight="62">
            <wp:simplePos x="0" y="0"/>
            <wp:positionH relativeFrom="page">
              <wp:posOffset>2237104</wp:posOffset>
            </wp:positionH>
            <wp:positionV relativeFrom="paragraph">
              <wp:posOffset>125658</wp:posOffset>
            </wp:positionV>
            <wp:extent cx="2971799" cy="1676400"/>
            <wp:effectExtent l="0" t="0" r="0" b="0"/>
            <wp:wrapTopAndBottom/>
            <wp:docPr id="143" name="image99.jpeg"/>
            <wp:cNvGraphicFramePr>
              <a:graphicFrameLocks noChangeAspect="1"/>
            </wp:cNvGraphicFramePr>
            <a:graphic>
              <a:graphicData uri="http://schemas.openxmlformats.org/drawingml/2006/picture">
                <pic:pic>
                  <pic:nvPicPr>
                    <pic:cNvPr id="144" name="image99.jpeg"/>
                    <pic:cNvPicPr/>
                  </pic:nvPicPr>
                  <pic:blipFill>
                    <a:blip r:embed="rId107" cstate="print"/>
                    <a:stretch>
                      <a:fillRect/>
                    </a:stretch>
                  </pic:blipFill>
                  <pic:spPr>
                    <a:xfrm>
                      <a:off x="0" y="0"/>
                      <a:ext cx="2971799" cy="1676400"/>
                    </a:xfrm>
                    <a:prstGeom prst="rect">
                      <a:avLst/>
                    </a:prstGeom>
                  </pic:spPr>
                </pic:pic>
              </a:graphicData>
            </a:graphic>
          </wp:anchor>
        </w:drawing>
      </w:r>
    </w:p>
    <w:p>
      <w:pPr>
        <w:pStyle w:val="BodyText"/>
        <w:spacing w:before="1"/>
        <w:rPr>
          <w:sz w:val="15"/>
        </w:rPr>
      </w:pPr>
    </w:p>
    <w:p>
      <w:pPr>
        <w:pStyle w:val="BodyText"/>
        <w:ind w:left="838"/>
      </w:pPr>
      <w:r>
        <w:rPr/>
        <w:t>d) 温度修正，对泡沫灭火剂应进行温度修正如下： </w:t>
      </w:r>
    </w:p>
    <w:p>
      <w:pPr>
        <w:pStyle w:val="BodyText"/>
        <w:rPr>
          <w:sz w:val="18"/>
        </w:rPr>
      </w:pPr>
    </w:p>
    <w:p>
      <w:pPr>
        <w:pStyle w:val="BodyText"/>
        <w:spacing w:line="446" w:lineRule="auto"/>
        <w:ind w:left="418" w:right="1507" w:firstLine="419"/>
      </w:pPr>
      <w:r>
        <w:rPr>
          <w:spacing w:val="-6"/>
        </w:rPr>
        <w:t>——发泡倍数：当混合液温度大于 </w:t>
      </w:r>
      <w:r>
        <w:rPr/>
        <w:t>20</w:t>
      </w:r>
      <w:r>
        <w:rPr>
          <w:spacing w:val="-6"/>
        </w:rPr>
        <w:t>℃，不作修正；当混合液温度小于 </w:t>
      </w:r>
      <w:r>
        <w:rPr/>
        <w:t>20</w:t>
      </w:r>
      <w:r>
        <w:rPr>
          <w:spacing w:val="-2"/>
        </w:rPr>
        <w:t>℃时，温度每降</w:t>
      </w:r>
      <w:r>
        <w:rPr>
          <w:spacing w:val="-28"/>
        </w:rPr>
        <w:t>低 </w:t>
      </w:r>
      <w:r>
        <w:rPr/>
        <w:t>1.7</w:t>
      </w:r>
      <w:r>
        <w:rPr>
          <w:spacing w:val="-8"/>
        </w:rPr>
        <w:t>℃，发泡倍数应增加 </w:t>
      </w:r>
      <w:r>
        <w:rPr/>
        <w:t>0.1； </w:t>
      </w:r>
    </w:p>
    <w:p>
      <w:pPr>
        <w:pStyle w:val="BodyText"/>
        <w:spacing w:line="446" w:lineRule="auto"/>
        <w:ind w:left="418" w:right="1560" w:firstLine="419"/>
      </w:pPr>
      <w:r>
        <w:rPr>
          <w:spacing w:val="-6"/>
        </w:rPr>
        <w:t>——析液时间：当混合液温度大于 </w:t>
      </w:r>
      <w:r>
        <w:rPr/>
        <w:t>20</w:t>
      </w:r>
      <w:r>
        <w:rPr>
          <w:spacing w:val="-9"/>
        </w:rPr>
        <w:t>℃，温度每升髙 </w:t>
      </w:r>
      <w:r>
        <w:rPr/>
        <w:t>1.7</w:t>
      </w:r>
      <w:r>
        <w:rPr>
          <w:spacing w:val="-7"/>
        </w:rPr>
        <w:t>℃，析液时间增加 </w:t>
      </w:r>
      <w:r>
        <w:rPr/>
        <w:t>0.1min</w:t>
      </w:r>
      <w:r>
        <w:rPr>
          <w:spacing w:val="-2"/>
        </w:rPr>
        <w:t>；当混</w:t>
      </w:r>
      <w:r>
        <w:rPr>
          <w:spacing w:val="-10"/>
        </w:rPr>
        <w:t>合液温度 小于 </w:t>
      </w:r>
      <w:r>
        <w:rPr/>
        <w:t>20</w:t>
      </w:r>
      <w:r>
        <w:rPr>
          <w:spacing w:val="-9"/>
        </w:rPr>
        <w:t>℃，温度每降低 </w:t>
      </w:r>
      <w:r>
        <w:rPr/>
        <w:t>1.7</w:t>
      </w:r>
      <w:r>
        <w:rPr>
          <w:spacing w:val="-9"/>
        </w:rPr>
        <w:t>℃，析液时间减少 </w:t>
      </w:r>
      <w:r>
        <w:rPr/>
        <w:t>0.1min</w:t>
      </w:r>
      <w:r>
        <w:rPr>
          <w:spacing w:val="-3"/>
        </w:rPr>
        <w:t>。</w:t>
      </w:r>
      <w:r>
        <w:rPr/>
        <w:t> </w:t>
      </w:r>
    </w:p>
    <w:p>
      <w:pPr>
        <w:pStyle w:val="ListParagraph"/>
        <w:numPr>
          <w:ilvl w:val="4"/>
          <w:numId w:val="224"/>
        </w:numPr>
        <w:tabs>
          <w:tab w:pos="1788" w:val="left" w:leader="none"/>
        </w:tabs>
        <w:spacing w:line="446" w:lineRule="auto" w:before="0" w:after="0"/>
        <w:ind w:left="418" w:right="1611" w:firstLine="419"/>
        <w:jc w:val="left"/>
        <w:rPr>
          <w:sz w:val="21"/>
        </w:rPr>
      </w:pPr>
      <w:r>
        <w:rPr>
          <w:spacing w:val="-5"/>
          <w:sz w:val="21"/>
        </w:rPr>
        <w:t>用角度仪测量车载炮的俯仰角和回转角，判断试验结果是否符合 </w:t>
      </w:r>
      <w:r>
        <w:rPr>
          <w:sz w:val="21"/>
        </w:rPr>
        <w:t>4.4.4.3.2</w:t>
      </w:r>
      <w:r>
        <w:rPr>
          <w:spacing w:val="-23"/>
          <w:sz w:val="21"/>
        </w:rPr>
        <w:t> 的</w:t>
      </w:r>
      <w:r>
        <w:rPr>
          <w:spacing w:val="-17"/>
          <w:sz w:val="21"/>
        </w:rPr>
        <w:t>要求。</w:t>
      </w:r>
      <w:r>
        <w:rPr>
          <w:sz w:val="21"/>
        </w:rPr>
        <w:t> </w:t>
      </w:r>
    </w:p>
    <w:p>
      <w:pPr>
        <w:pStyle w:val="ListParagraph"/>
        <w:numPr>
          <w:ilvl w:val="4"/>
          <w:numId w:val="224"/>
        </w:numPr>
        <w:tabs>
          <w:tab w:pos="1788" w:val="left" w:leader="none"/>
        </w:tabs>
        <w:spacing w:line="267" w:lineRule="exact" w:before="0" w:after="0"/>
        <w:ind w:left="1787" w:right="0" w:hanging="950"/>
        <w:jc w:val="left"/>
        <w:rPr>
          <w:sz w:val="21"/>
        </w:rPr>
      </w:pPr>
      <w:r>
        <w:rPr>
          <w:spacing w:val="-6"/>
          <w:sz w:val="21"/>
        </w:rPr>
        <w:t>目测检查车顶炮进水管路，判断试验结果是否符合 </w:t>
      </w:r>
      <w:r>
        <w:rPr>
          <w:sz w:val="21"/>
        </w:rPr>
        <w:t>4.4.4.3.3</w:t>
      </w:r>
      <w:r>
        <w:rPr>
          <w:spacing w:val="-12"/>
          <w:sz w:val="21"/>
        </w:rPr>
        <w:t> 的要求。 </w:t>
      </w:r>
    </w:p>
    <w:p>
      <w:pPr>
        <w:spacing w:after="0" w:line="267" w:lineRule="exact"/>
        <w:jc w:val="left"/>
        <w:rPr>
          <w:sz w:val="21"/>
        </w:rPr>
        <w:sectPr>
          <w:pgSz w:w="11910" w:h="16850"/>
          <w:pgMar w:header="0" w:footer="1239" w:top="1600" w:bottom="1420" w:left="1260" w:right="0"/>
        </w:sectPr>
      </w:pPr>
    </w:p>
    <w:p>
      <w:pPr>
        <w:pStyle w:val="ListParagraph"/>
        <w:numPr>
          <w:ilvl w:val="4"/>
          <w:numId w:val="224"/>
        </w:numPr>
        <w:tabs>
          <w:tab w:pos="1788" w:val="left" w:leader="none"/>
        </w:tabs>
        <w:spacing w:line="446" w:lineRule="auto" w:before="47" w:after="0"/>
        <w:ind w:left="418" w:right="1609" w:firstLine="419"/>
        <w:jc w:val="left"/>
        <w:rPr>
          <w:sz w:val="21"/>
        </w:rPr>
      </w:pPr>
      <w:r>
        <w:rPr>
          <w:spacing w:val="-3"/>
          <w:sz w:val="21"/>
        </w:rPr>
        <w:t>检查车顶炮的锁紧机构和支撑机构，车前炮的锁紧机构，判断试验结果是否符</w:t>
      </w:r>
      <w:r>
        <w:rPr>
          <w:spacing w:val="-28"/>
          <w:sz w:val="21"/>
        </w:rPr>
        <w:t>合 </w:t>
      </w:r>
      <w:r>
        <w:rPr>
          <w:sz w:val="21"/>
        </w:rPr>
        <w:t>4.4.4.3.4</w:t>
      </w:r>
      <w:r>
        <w:rPr>
          <w:spacing w:val="-13"/>
          <w:sz w:val="21"/>
        </w:rPr>
        <w:t> 的要求。</w:t>
      </w:r>
      <w:r>
        <w:rPr>
          <w:sz w:val="21"/>
        </w:rPr>
        <w:t> </w:t>
      </w:r>
    </w:p>
    <w:p>
      <w:pPr>
        <w:pStyle w:val="ListParagraph"/>
        <w:numPr>
          <w:ilvl w:val="4"/>
          <w:numId w:val="224"/>
        </w:numPr>
        <w:tabs>
          <w:tab w:pos="1788" w:val="left" w:leader="none"/>
        </w:tabs>
        <w:spacing w:line="446" w:lineRule="auto" w:before="0" w:after="0"/>
        <w:ind w:left="418" w:right="1609" w:firstLine="419"/>
        <w:jc w:val="left"/>
        <w:rPr>
          <w:sz w:val="21"/>
        </w:rPr>
      </w:pPr>
      <w:r>
        <w:rPr>
          <w:spacing w:val="-3"/>
          <w:sz w:val="21"/>
        </w:rPr>
        <w:t>消防炮采用无线遥控时，检查泡沫车其他控制系统和通信系统，判断试验结果是否符合 </w:t>
      </w:r>
      <w:r>
        <w:rPr>
          <w:sz w:val="21"/>
        </w:rPr>
        <w:t>4.4.4.3.5</w:t>
      </w:r>
      <w:r>
        <w:rPr>
          <w:spacing w:val="-3"/>
          <w:sz w:val="21"/>
        </w:rPr>
        <w:t> 的要求。 </w:t>
      </w:r>
    </w:p>
    <w:p>
      <w:pPr>
        <w:pStyle w:val="ListParagraph"/>
        <w:numPr>
          <w:ilvl w:val="2"/>
          <w:numId w:val="231"/>
        </w:numPr>
        <w:tabs>
          <w:tab w:pos="1370" w:val="left" w:leader="none"/>
        </w:tabs>
        <w:spacing w:line="240" w:lineRule="auto" w:before="0" w:after="0"/>
        <w:ind w:left="1369" w:right="0" w:hanging="530"/>
        <w:jc w:val="left"/>
        <w:rPr>
          <w:sz w:val="21"/>
        </w:rPr>
      </w:pPr>
      <w:r>
        <w:rPr>
          <w:spacing w:val="-3"/>
          <w:sz w:val="21"/>
        </w:rPr>
        <w:t>泡沫车最大真空度及密封性试验</w:t>
      </w:r>
      <w:r>
        <w:rPr>
          <w:sz w:val="21"/>
        </w:rPr>
        <w:t> </w:t>
      </w:r>
    </w:p>
    <w:p>
      <w:pPr>
        <w:pStyle w:val="BodyText"/>
        <w:spacing w:before="10"/>
        <w:rPr>
          <w:sz w:val="17"/>
        </w:rPr>
      </w:pPr>
    </w:p>
    <w:p>
      <w:pPr>
        <w:pStyle w:val="BodyText"/>
        <w:spacing w:line="446" w:lineRule="auto"/>
        <w:ind w:left="418" w:right="1505" w:firstLine="419"/>
      </w:pPr>
      <w:r>
        <w:rPr>
          <w:spacing w:val="-3"/>
        </w:rPr>
        <w:t>将泡沫车配备的规定长度的吸水管，一端封闭，另一端接在消防泵的一个进水口上，封闭其余进水 口，泵和吸水管路中不应有水存留。启动引水装置至最大真空度，待稳定后记下该</w:t>
      </w:r>
      <w:r>
        <w:rPr>
          <w:spacing w:val="-6"/>
        </w:rPr>
        <w:t>值，然后关闭引水装置，测量 </w:t>
      </w:r>
      <w:r>
        <w:rPr/>
        <w:t>1min</w:t>
      </w:r>
      <w:r>
        <w:rPr>
          <w:spacing w:val="-8"/>
        </w:rPr>
        <w:t> 内真空度的下降值。当试验条件不是标准环境条件时，应按GB</w:t>
      </w:r>
      <w:r>
        <w:rPr>
          <w:spacing w:val="2"/>
        </w:rPr>
        <w:t> </w:t>
      </w:r>
      <w:r>
        <w:rPr/>
        <w:t>6245—2006</w:t>
      </w:r>
      <w:r>
        <w:rPr>
          <w:spacing w:val="-36"/>
        </w:rPr>
        <w:t> 中 </w:t>
      </w:r>
      <w:r>
        <w:rPr/>
        <w:t>10.4.1</w:t>
      </w:r>
      <w:r>
        <w:rPr>
          <w:spacing w:val="-12"/>
        </w:rPr>
        <w:t> 的规定进行修正。判断试验结果是否符合 </w:t>
      </w:r>
      <w:r>
        <w:rPr/>
        <w:t>4.4.5</w:t>
      </w:r>
      <w:r>
        <w:rPr>
          <w:spacing w:val="-12"/>
        </w:rPr>
        <w:t> 的要求。 </w:t>
      </w:r>
    </w:p>
    <w:p>
      <w:pPr>
        <w:pStyle w:val="ListParagraph"/>
        <w:numPr>
          <w:ilvl w:val="2"/>
          <w:numId w:val="231"/>
        </w:numPr>
        <w:tabs>
          <w:tab w:pos="1371" w:val="left" w:leader="none"/>
        </w:tabs>
        <w:spacing w:line="240" w:lineRule="auto" w:before="1" w:after="0"/>
        <w:ind w:left="1370" w:right="0" w:hanging="531"/>
        <w:jc w:val="left"/>
        <w:rPr>
          <w:sz w:val="21"/>
        </w:rPr>
      </w:pPr>
      <w:r>
        <w:rPr>
          <w:spacing w:val="-3"/>
          <w:sz w:val="21"/>
        </w:rPr>
        <w:t>引水时间、最大吸深时泵的性能试验</w:t>
      </w:r>
      <w:r>
        <w:rPr>
          <w:sz w:val="21"/>
        </w:rPr>
        <w:t> </w:t>
      </w:r>
    </w:p>
    <w:p>
      <w:pPr>
        <w:pStyle w:val="BodyText"/>
        <w:spacing w:before="12"/>
        <w:rPr>
          <w:sz w:val="17"/>
        </w:rPr>
      </w:pPr>
    </w:p>
    <w:p>
      <w:pPr>
        <w:pStyle w:val="ListParagraph"/>
        <w:numPr>
          <w:ilvl w:val="3"/>
          <w:numId w:val="231"/>
        </w:numPr>
        <w:tabs>
          <w:tab w:pos="1576" w:val="left" w:leader="none"/>
        </w:tabs>
        <w:spacing w:line="446" w:lineRule="auto" w:before="0" w:after="0"/>
        <w:ind w:left="418" w:right="1505" w:firstLine="419"/>
        <w:jc w:val="left"/>
        <w:rPr>
          <w:sz w:val="21"/>
        </w:rPr>
      </w:pPr>
      <w:r>
        <w:rPr>
          <w:spacing w:val="-3"/>
          <w:sz w:val="21"/>
        </w:rPr>
        <w:t>泡沫车停在平整、坚硬的地面上，将泡沫车配备的吸水管，一端接消防泵的进水口</w:t>
      </w:r>
      <w:r>
        <w:rPr>
          <w:spacing w:val="-5"/>
          <w:sz w:val="21"/>
        </w:rPr>
        <w:t>，另一端接滤水器，投入水池或其他水源中，当大气压力为 </w:t>
      </w:r>
      <w:r>
        <w:rPr>
          <w:sz w:val="21"/>
        </w:rPr>
        <w:t>101kPa</w:t>
      </w:r>
      <w:r>
        <w:rPr>
          <w:spacing w:val="-11"/>
          <w:sz w:val="21"/>
        </w:rPr>
        <w:t>，水温 </w:t>
      </w:r>
      <w:r>
        <w:rPr>
          <w:sz w:val="21"/>
        </w:rPr>
        <w:t>20℃</w:t>
      </w:r>
      <w:r>
        <w:rPr>
          <w:spacing w:val="-3"/>
          <w:sz w:val="21"/>
        </w:rPr>
        <w:t>时消防泵叶轮回</w:t>
      </w:r>
      <w:r>
        <w:rPr>
          <w:spacing w:val="-10"/>
          <w:sz w:val="21"/>
        </w:rPr>
        <w:t>转中心距水面 </w:t>
      </w:r>
      <w:r>
        <w:rPr>
          <w:sz w:val="21"/>
        </w:rPr>
        <w:t>7m</w:t>
      </w:r>
      <w:r>
        <w:rPr>
          <w:spacing w:val="-7"/>
          <w:sz w:val="21"/>
        </w:rPr>
        <w:t> 高 (滤水器应完全沉没在水中</w:t>
      </w:r>
      <w:r>
        <w:rPr>
          <w:spacing w:val="-3"/>
          <w:sz w:val="21"/>
        </w:rPr>
        <w:t>）。启动引水装置，测定自引水装置开始工 作，到消防泵出口压力表显示压力的时间。</w:t>
      </w:r>
      <w:r>
        <w:rPr>
          <w:sz w:val="21"/>
        </w:rPr>
        <w:t> </w:t>
      </w:r>
    </w:p>
    <w:p>
      <w:pPr>
        <w:pStyle w:val="BodyText"/>
        <w:spacing w:line="446" w:lineRule="auto"/>
        <w:ind w:left="418" w:right="1609" w:firstLine="419"/>
        <w:jc w:val="both"/>
      </w:pPr>
      <w:r>
        <w:rPr>
          <w:spacing w:val="-3"/>
        </w:rPr>
        <w:t>试验后，放尽消防泵及吸水管中的余水，再重复进行两次单个吸水口引水时间试验，当试</w:t>
      </w:r>
      <w:r>
        <w:rPr>
          <w:spacing w:val="-6"/>
        </w:rPr>
        <w:t>验条件不 是标准环境条件时，应按 </w:t>
      </w:r>
      <w:r>
        <w:rPr/>
        <w:t>GB 6245—2006</w:t>
      </w:r>
      <w:r>
        <w:rPr>
          <w:spacing w:val="-34"/>
        </w:rPr>
        <w:t> 中 </w:t>
      </w:r>
      <w:r>
        <w:rPr/>
        <w:t>10.4.1</w:t>
      </w:r>
      <w:r>
        <w:rPr>
          <w:spacing w:val="-9"/>
        </w:rPr>
        <w:t> 的规定进行修正。判断三次试验</w:t>
      </w:r>
      <w:r>
        <w:rPr>
          <w:spacing w:val="-5"/>
        </w:rPr>
        <w:t>结果是否符合 </w:t>
      </w:r>
      <w:r>
        <w:rPr/>
        <w:t>4.4.6.1</w:t>
      </w:r>
      <w:r>
        <w:rPr>
          <w:spacing w:val="-3"/>
        </w:rPr>
        <w:t> 的要求。</w:t>
      </w:r>
      <w:r>
        <w:rPr/>
        <w:t> </w:t>
      </w:r>
    </w:p>
    <w:p>
      <w:pPr>
        <w:pStyle w:val="ListParagraph"/>
        <w:numPr>
          <w:ilvl w:val="3"/>
          <w:numId w:val="231"/>
        </w:numPr>
        <w:tabs>
          <w:tab w:pos="1576" w:val="left" w:leader="none"/>
        </w:tabs>
        <w:spacing w:line="446" w:lineRule="auto" w:before="0" w:after="0"/>
        <w:ind w:left="418" w:right="1608" w:firstLine="419"/>
        <w:jc w:val="both"/>
        <w:rPr>
          <w:sz w:val="21"/>
        </w:rPr>
      </w:pPr>
      <w:r>
        <w:rPr>
          <w:spacing w:val="-17"/>
          <w:sz w:val="21"/>
        </w:rPr>
        <w:t>按照 </w:t>
      </w:r>
      <w:r>
        <w:rPr>
          <w:sz w:val="21"/>
        </w:rPr>
        <w:t>5.4.6.1</w:t>
      </w:r>
      <w:r>
        <w:rPr>
          <w:spacing w:val="-8"/>
          <w:sz w:val="21"/>
        </w:rPr>
        <w:t> 的试验方法测定单个吸水口最大吸深时泵的性能，判断试验结果是</w:t>
      </w:r>
      <w:r>
        <w:rPr>
          <w:spacing w:val="-17"/>
          <w:sz w:val="21"/>
        </w:rPr>
        <w:t>否符合 </w:t>
      </w:r>
      <w:r>
        <w:rPr>
          <w:sz w:val="21"/>
        </w:rPr>
        <w:t>4.4.6.2</w:t>
      </w:r>
      <w:r>
        <w:rPr>
          <w:spacing w:val="-3"/>
          <w:sz w:val="21"/>
        </w:rPr>
        <w:t> 的要求。 </w:t>
      </w:r>
    </w:p>
    <w:p>
      <w:pPr>
        <w:pStyle w:val="ListParagraph"/>
        <w:numPr>
          <w:ilvl w:val="2"/>
          <w:numId w:val="231"/>
        </w:numPr>
        <w:tabs>
          <w:tab w:pos="1370" w:val="left" w:leader="none"/>
        </w:tabs>
        <w:spacing w:line="240" w:lineRule="auto" w:before="0" w:after="0"/>
        <w:ind w:left="1369" w:right="0" w:hanging="530"/>
        <w:jc w:val="both"/>
        <w:rPr>
          <w:sz w:val="21"/>
        </w:rPr>
      </w:pPr>
      <w:r>
        <w:rPr>
          <w:spacing w:val="-3"/>
          <w:sz w:val="21"/>
        </w:rPr>
        <w:t>泡沫车连续运转试验 </w:t>
      </w:r>
    </w:p>
    <w:p>
      <w:pPr>
        <w:pStyle w:val="BodyText"/>
        <w:spacing w:before="9"/>
        <w:rPr>
          <w:sz w:val="17"/>
        </w:rPr>
      </w:pPr>
    </w:p>
    <w:p>
      <w:pPr>
        <w:pStyle w:val="ListParagraph"/>
        <w:numPr>
          <w:ilvl w:val="3"/>
          <w:numId w:val="231"/>
        </w:numPr>
        <w:tabs>
          <w:tab w:pos="1576" w:val="left" w:leader="none"/>
        </w:tabs>
        <w:spacing w:line="240" w:lineRule="auto" w:before="0" w:after="0"/>
        <w:ind w:left="1575" w:right="0" w:hanging="738"/>
        <w:jc w:val="left"/>
        <w:rPr>
          <w:sz w:val="21"/>
        </w:rPr>
      </w:pPr>
      <w:r>
        <w:rPr>
          <w:spacing w:val="-3"/>
          <w:sz w:val="21"/>
        </w:rPr>
        <w:t>进行连续运转试验时的工况分配如下：</w:t>
      </w:r>
      <w:r>
        <w:rPr>
          <w:sz w:val="21"/>
        </w:rPr>
        <w:t> </w:t>
      </w:r>
    </w:p>
    <w:p>
      <w:pPr>
        <w:pStyle w:val="BodyText"/>
        <w:spacing w:before="2"/>
        <w:rPr>
          <w:sz w:val="18"/>
        </w:rPr>
      </w:pPr>
    </w:p>
    <w:p>
      <w:pPr>
        <w:pStyle w:val="BodyText"/>
        <w:spacing w:line="446" w:lineRule="auto"/>
        <w:ind w:left="418" w:right="1613" w:firstLine="419"/>
      </w:pPr>
      <w:r>
        <w:rPr>
          <w:spacing w:val="-5"/>
        </w:rPr>
        <w:t>——装有低压泵的泡沫车，应在额定工况下连续工作 </w:t>
      </w:r>
      <w:r>
        <w:rPr/>
        <w:t>3h</w:t>
      </w:r>
      <w:r>
        <w:rPr>
          <w:spacing w:val="-6"/>
        </w:rPr>
        <w:t>，继续在流量为额定值的 </w:t>
      </w:r>
      <w:r>
        <w:rPr/>
        <w:t>70</w:t>
      </w:r>
      <w:r>
        <w:rPr>
          <w:spacing w:val="-3"/>
        </w:rPr>
        <w:t>%、出</w:t>
      </w:r>
      <w:r>
        <w:rPr>
          <w:spacing w:val="-8"/>
        </w:rPr>
        <w:t>口压力不小于额定值 </w:t>
      </w:r>
      <w:r>
        <w:rPr/>
        <w:t>130</w:t>
      </w:r>
      <w:r>
        <w:rPr>
          <w:spacing w:val="-8"/>
        </w:rPr>
        <w:t>%的条件下连续工作 </w:t>
      </w:r>
      <w:r>
        <w:rPr/>
        <w:t>3h； </w:t>
      </w:r>
    </w:p>
    <w:p>
      <w:pPr>
        <w:pStyle w:val="BodyText"/>
        <w:spacing w:line="446" w:lineRule="auto"/>
        <w:ind w:left="418" w:right="1558" w:firstLine="419"/>
      </w:pPr>
      <w:r>
        <w:rPr>
          <w:spacing w:val="-4"/>
        </w:rPr>
        <w:t>——装有中低压泵的泡沫车，应在低压额定工况下连续运转 </w:t>
      </w:r>
      <w:r>
        <w:rPr/>
        <w:t>3h</w:t>
      </w:r>
      <w:r>
        <w:rPr>
          <w:spacing w:val="-3"/>
        </w:rPr>
        <w:t>，继续在中压额定工况下连</w:t>
      </w:r>
      <w:r>
        <w:rPr>
          <w:spacing w:val="-15"/>
        </w:rPr>
        <w:t>续运转 </w:t>
      </w:r>
      <w:r>
        <w:rPr/>
        <w:t>3h； </w:t>
      </w:r>
    </w:p>
    <w:p>
      <w:pPr>
        <w:pStyle w:val="BodyText"/>
        <w:spacing w:line="446" w:lineRule="auto"/>
        <w:ind w:left="418" w:right="1558" w:firstLine="419"/>
      </w:pPr>
      <w:r>
        <w:rPr>
          <w:spacing w:val="-4"/>
        </w:rPr>
        <w:t>——装有高低压泵的泡沫车，应在低压额定工况下连续运转 </w:t>
      </w:r>
      <w:r>
        <w:rPr/>
        <w:t>3h</w:t>
      </w:r>
      <w:r>
        <w:rPr>
          <w:spacing w:val="-3"/>
        </w:rPr>
        <w:t>，继续在高压额定工况下连</w:t>
      </w:r>
      <w:r>
        <w:rPr>
          <w:spacing w:val="-15"/>
        </w:rPr>
        <w:t>续运转 </w:t>
      </w:r>
      <w:r>
        <w:rPr/>
        <w:t>3h； </w:t>
      </w:r>
    </w:p>
    <w:p>
      <w:pPr>
        <w:pStyle w:val="BodyText"/>
        <w:ind w:left="838"/>
      </w:pPr>
      <w:r>
        <w:rPr/>
        <w:t>——装有中压泵或高压泵的泡沫车，应在其额定工况下连续工作 6h。 </w:t>
      </w:r>
    </w:p>
    <w:p>
      <w:pPr>
        <w:spacing w:after="0"/>
        <w:sectPr>
          <w:pgSz w:w="11910" w:h="16850"/>
          <w:pgMar w:header="0" w:footer="1239" w:top="1220" w:bottom="1420" w:left="1260" w:right="0"/>
        </w:sectPr>
      </w:pPr>
    </w:p>
    <w:p>
      <w:pPr>
        <w:pStyle w:val="ListParagraph"/>
        <w:numPr>
          <w:ilvl w:val="3"/>
          <w:numId w:val="231"/>
        </w:numPr>
        <w:tabs>
          <w:tab w:pos="1576" w:val="left" w:leader="none"/>
        </w:tabs>
        <w:spacing w:line="446" w:lineRule="auto" w:before="47" w:after="0"/>
        <w:ind w:left="418" w:right="1505" w:firstLine="419"/>
        <w:jc w:val="left"/>
        <w:rPr>
          <w:sz w:val="21"/>
        </w:rPr>
      </w:pPr>
      <w:r>
        <w:rPr>
          <w:spacing w:val="-6"/>
          <w:sz w:val="21"/>
        </w:rPr>
        <w:t>泡沫车停在平整、坚硬的地面上，在 </w:t>
      </w:r>
      <w:r>
        <w:rPr>
          <w:sz w:val="21"/>
        </w:rPr>
        <w:t>3m</w:t>
      </w:r>
      <w:r>
        <w:rPr>
          <w:spacing w:val="-8"/>
          <w:sz w:val="21"/>
        </w:rPr>
        <w:t> 吸深下，将连接好滤水器的吸水管接在消</w:t>
      </w:r>
      <w:r>
        <w:rPr>
          <w:spacing w:val="-7"/>
          <w:sz w:val="21"/>
        </w:rPr>
        <w:t>防泵进口并放入水中，启动发动机并接合消防泵，分别按 </w:t>
      </w:r>
      <w:r>
        <w:rPr>
          <w:sz w:val="21"/>
        </w:rPr>
        <w:t>5.4.7.1</w:t>
      </w:r>
      <w:r>
        <w:rPr>
          <w:spacing w:val="-8"/>
          <w:sz w:val="21"/>
        </w:rPr>
        <w:t> 规定的工况和时间运转。当试验条件不是标准环境条件时，应按 </w:t>
      </w:r>
      <w:r>
        <w:rPr>
          <w:sz w:val="21"/>
        </w:rPr>
        <w:t>GB 6245—2006</w:t>
      </w:r>
      <w:r>
        <w:rPr>
          <w:spacing w:val="-35"/>
          <w:sz w:val="21"/>
        </w:rPr>
        <w:t> 中 </w:t>
      </w:r>
      <w:r>
        <w:rPr>
          <w:sz w:val="21"/>
        </w:rPr>
        <w:t>10.4.1</w:t>
      </w:r>
      <w:r>
        <w:rPr>
          <w:spacing w:val="-9"/>
          <w:sz w:val="21"/>
        </w:rPr>
        <w:t> 的规定进行修正。</w:t>
      </w:r>
      <w:r>
        <w:rPr>
          <w:sz w:val="21"/>
        </w:rPr>
        <w:t> </w:t>
      </w:r>
    </w:p>
    <w:p>
      <w:pPr>
        <w:pStyle w:val="ListParagraph"/>
        <w:numPr>
          <w:ilvl w:val="3"/>
          <w:numId w:val="231"/>
        </w:numPr>
        <w:tabs>
          <w:tab w:pos="1576" w:val="left" w:leader="none"/>
        </w:tabs>
        <w:spacing w:line="446" w:lineRule="auto" w:before="0" w:after="0"/>
        <w:ind w:left="418" w:right="1608" w:firstLine="419"/>
        <w:jc w:val="both"/>
        <w:rPr>
          <w:sz w:val="21"/>
        </w:rPr>
      </w:pPr>
      <w:r>
        <w:rPr>
          <w:spacing w:val="-6"/>
          <w:sz w:val="21"/>
        </w:rPr>
        <w:t>待泡沫车运转稳定后开始计时，每隔 </w:t>
      </w:r>
      <w:r>
        <w:rPr>
          <w:sz w:val="21"/>
        </w:rPr>
        <w:t>15min</w:t>
      </w:r>
      <w:r>
        <w:rPr>
          <w:spacing w:val="-8"/>
          <w:sz w:val="21"/>
        </w:rPr>
        <w:t> 测量一次下述规定的各参数并检査发</w:t>
      </w:r>
      <w:r>
        <w:rPr>
          <w:spacing w:val="-5"/>
          <w:sz w:val="21"/>
        </w:rPr>
        <w:t>动机、取力器有无异响、过度振动、漏水、漏油，漏气等异常现象，做好记录。试验过程不应</w:t>
      </w:r>
      <w:r>
        <w:rPr>
          <w:spacing w:val="-4"/>
          <w:sz w:val="21"/>
        </w:rPr>
        <w:t>间断，并保持泵的出口压力和流量不低于规定值。试验中可随时调节发动机辅助冷却器：</w:t>
      </w:r>
      <w:r>
        <w:rPr>
          <w:sz w:val="21"/>
        </w:rPr>
        <w:t> </w:t>
      </w:r>
    </w:p>
    <w:p>
      <w:pPr>
        <w:pStyle w:val="BodyText"/>
        <w:spacing w:line="268" w:lineRule="exact"/>
        <w:ind w:left="838"/>
      </w:pPr>
      <w:r>
        <w:rPr>
          <w:spacing w:val="-3"/>
        </w:rPr>
        <w:t>——消防泵的进口压力；</w:t>
      </w:r>
      <w:r>
        <w:rPr/>
        <w:t> </w:t>
      </w:r>
    </w:p>
    <w:p>
      <w:pPr>
        <w:pStyle w:val="BodyText"/>
        <w:spacing w:before="12"/>
        <w:rPr>
          <w:sz w:val="17"/>
        </w:rPr>
      </w:pPr>
    </w:p>
    <w:p>
      <w:pPr>
        <w:pStyle w:val="BodyText"/>
        <w:ind w:left="838"/>
      </w:pPr>
      <w:r>
        <w:rPr>
          <w:spacing w:val="-3"/>
        </w:rPr>
        <w:t>——消防泵的出口压力；</w:t>
      </w:r>
      <w:r>
        <w:rPr/>
        <w:t> </w:t>
      </w:r>
    </w:p>
    <w:p>
      <w:pPr>
        <w:pStyle w:val="BodyText"/>
        <w:rPr>
          <w:sz w:val="18"/>
        </w:rPr>
      </w:pPr>
    </w:p>
    <w:p>
      <w:pPr>
        <w:pStyle w:val="BodyText"/>
        <w:ind w:left="838"/>
      </w:pPr>
      <w:r>
        <w:rPr>
          <w:spacing w:val="-3"/>
        </w:rPr>
        <w:t>——消防泵的流量；</w:t>
      </w:r>
      <w:r>
        <w:rPr/>
        <w:t> </w:t>
      </w:r>
    </w:p>
    <w:p>
      <w:pPr>
        <w:pStyle w:val="BodyText"/>
        <w:spacing w:before="1"/>
        <w:rPr>
          <w:sz w:val="18"/>
        </w:rPr>
      </w:pPr>
    </w:p>
    <w:p>
      <w:pPr>
        <w:pStyle w:val="BodyText"/>
        <w:spacing w:before="1"/>
        <w:ind w:left="838"/>
      </w:pPr>
      <w:r>
        <w:rPr>
          <w:spacing w:val="-3"/>
        </w:rPr>
        <w:t>——消防泵的转速；</w:t>
      </w:r>
      <w:r>
        <w:rPr/>
        <w:t> </w:t>
      </w:r>
    </w:p>
    <w:p>
      <w:pPr>
        <w:pStyle w:val="BodyText"/>
        <w:spacing w:before="12"/>
        <w:rPr>
          <w:sz w:val="17"/>
        </w:rPr>
      </w:pPr>
    </w:p>
    <w:p>
      <w:pPr>
        <w:pStyle w:val="BodyText"/>
        <w:ind w:left="838"/>
      </w:pPr>
      <w:r>
        <w:rPr/>
        <w:t>——发动机的出水温度； </w:t>
      </w:r>
    </w:p>
    <w:p>
      <w:pPr>
        <w:pStyle w:val="BodyText"/>
        <w:spacing w:before="12"/>
        <w:rPr>
          <w:sz w:val="17"/>
        </w:rPr>
      </w:pPr>
    </w:p>
    <w:p>
      <w:pPr>
        <w:pStyle w:val="BodyText"/>
        <w:ind w:left="838"/>
      </w:pPr>
      <w:r>
        <w:rPr/>
        <w:t>——取力器的润滑油温度； </w:t>
      </w:r>
    </w:p>
    <w:p>
      <w:pPr>
        <w:pStyle w:val="BodyText"/>
        <w:spacing w:before="2"/>
        <w:rPr>
          <w:sz w:val="18"/>
        </w:rPr>
      </w:pPr>
    </w:p>
    <w:p>
      <w:pPr>
        <w:pStyle w:val="BodyText"/>
        <w:ind w:left="838"/>
      </w:pPr>
      <w:r>
        <w:rPr/>
        <w:t>——取力器的输出轴轴承座温度。 </w:t>
      </w:r>
    </w:p>
    <w:p>
      <w:pPr>
        <w:pStyle w:val="BodyText"/>
        <w:rPr>
          <w:sz w:val="18"/>
        </w:rPr>
      </w:pPr>
    </w:p>
    <w:p>
      <w:pPr>
        <w:pStyle w:val="BodyText"/>
        <w:spacing w:line="446" w:lineRule="auto"/>
        <w:ind w:left="840" w:right="6131" w:hanging="3"/>
      </w:pPr>
      <w:r>
        <w:rPr/>
        <w:t>判断试验结果是否符合 4.4.7 的要求。</w:t>
      </w:r>
      <w:r>
        <w:rPr>
          <w:b/>
        </w:rPr>
        <w:t>5.4.8 </w:t>
      </w:r>
      <w:r>
        <w:rPr/>
        <w:t>泡沫车超负荷运转试验 </w:t>
      </w:r>
    </w:p>
    <w:p>
      <w:pPr>
        <w:pStyle w:val="BodyText"/>
        <w:spacing w:line="446" w:lineRule="auto"/>
        <w:ind w:left="418" w:right="1611" w:firstLine="419"/>
        <w:jc w:val="both"/>
      </w:pPr>
      <w:r>
        <w:rPr>
          <w:spacing w:val="-4"/>
        </w:rPr>
        <w:t>泡沫车停在平整、坚硬的地面上，启动消防泵，调节泵出口压力为规定值的 </w:t>
      </w:r>
      <w:r>
        <w:rPr/>
        <w:t>1.1</w:t>
      </w:r>
      <w:r>
        <w:rPr>
          <w:spacing w:val="-8"/>
        </w:rPr>
        <w:t> 倍，流量</w:t>
      </w:r>
      <w:r>
        <w:rPr>
          <w:spacing w:val="-5"/>
        </w:rPr>
        <w:t>满足额定值，待运转稳定后开始计时，</w:t>
      </w:r>
      <w:r>
        <w:rPr/>
        <w:t>10min</w:t>
      </w:r>
      <w:r>
        <w:rPr>
          <w:spacing w:val="-10"/>
        </w:rPr>
        <w:t> 后停止运转，判断试验结果是否符合 </w:t>
      </w:r>
      <w:r>
        <w:rPr/>
        <w:t>4.4.8</w:t>
      </w:r>
      <w:r>
        <w:rPr>
          <w:spacing w:val="-17"/>
        </w:rPr>
        <w:t> 的要</w:t>
      </w:r>
      <w:r>
        <w:rPr>
          <w:spacing w:val="-2"/>
        </w:rPr>
        <w:t>求。</w:t>
      </w:r>
      <w:r>
        <w:rPr/>
        <w:t> </w:t>
      </w:r>
    </w:p>
    <w:p>
      <w:pPr>
        <w:pStyle w:val="ListParagraph"/>
        <w:numPr>
          <w:ilvl w:val="1"/>
          <w:numId w:val="232"/>
        </w:numPr>
        <w:tabs>
          <w:tab w:pos="1159" w:val="left" w:leader="none"/>
        </w:tabs>
        <w:spacing w:line="268" w:lineRule="exact" w:before="0" w:after="0"/>
        <w:ind w:left="1158" w:right="0" w:hanging="319"/>
        <w:jc w:val="left"/>
        <w:rPr>
          <w:sz w:val="21"/>
        </w:rPr>
      </w:pPr>
      <w:r>
        <w:rPr>
          <w:spacing w:val="-3"/>
          <w:sz w:val="21"/>
        </w:rPr>
        <w:t>仪器、仪表的要求检查 </w:t>
      </w:r>
    </w:p>
    <w:p>
      <w:pPr>
        <w:pStyle w:val="BodyText"/>
        <w:rPr>
          <w:sz w:val="18"/>
        </w:rPr>
      </w:pPr>
    </w:p>
    <w:p>
      <w:pPr>
        <w:pStyle w:val="ListParagraph"/>
        <w:numPr>
          <w:ilvl w:val="2"/>
          <w:numId w:val="232"/>
        </w:numPr>
        <w:tabs>
          <w:tab w:pos="1370" w:val="left" w:leader="none"/>
        </w:tabs>
        <w:spacing w:line="240" w:lineRule="auto" w:before="0" w:after="0"/>
        <w:ind w:left="1369" w:right="0" w:hanging="530"/>
        <w:jc w:val="left"/>
        <w:rPr>
          <w:sz w:val="21"/>
        </w:rPr>
      </w:pPr>
      <w:r>
        <w:rPr>
          <w:spacing w:val="-19"/>
          <w:sz w:val="21"/>
        </w:rPr>
        <w:t>按照 </w:t>
      </w:r>
      <w:r>
        <w:rPr>
          <w:sz w:val="21"/>
        </w:rPr>
        <w:t>GB</w:t>
      </w:r>
      <w:r>
        <w:rPr>
          <w:spacing w:val="-1"/>
          <w:sz w:val="21"/>
        </w:rPr>
        <w:t> </w:t>
      </w:r>
      <w:r>
        <w:rPr>
          <w:sz w:val="21"/>
        </w:rPr>
        <w:t>7956.1—2014</w:t>
      </w:r>
      <w:r>
        <w:rPr>
          <w:spacing w:val="-36"/>
          <w:sz w:val="21"/>
        </w:rPr>
        <w:t> 中 </w:t>
      </w:r>
      <w:r>
        <w:rPr>
          <w:sz w:val="21"/>
        </w:rPr>
        <w:t>6.6</w:t>
      </w:r>
      <w:r>
        <w:rPr>
          <w:spacing w:val="-10"/>
          <w:sz w:val="21"/>
        </w:rPr>
        <w:t> 规定的方法进行试验，判断试验结果是否符合 </w:t>
      </w:r>
      <w:r>
        <w:rPr>
          <w:sz w:val="21"/>
        </w:rPr>
        <w:t>4.5.1</w:t>
      </w:r>
    </w:p>
    <w:p>
      <w:pPr>
        <w:pStyle w:val="BodyText"/>
        <w:spacing w:before="12"/>
        <w:rPr>
          <w:sz w:val="17"/>
        </w:rPr>
      </w:pPr>
    </w:p>
    <w:p>
      <w:pPr>
        <w:pStyle w:val="BodyText"/>
        <w:ind w:left="418"/>
      </w:pPr>
      <w:r>
        <w:rPr/>
        <w:t>的要求。 </w:t>
      </w:r>
    </w:p>
    <w:p>
      <w:pPr>
        <w:pStyle w:val="BodyText"/>
        <w:spacing w:before="2"/>
        <w:rPr>
          <w:sz w:val="18"/>
        </w:rPr>
      </w:pPr>
    </w:p>
    <w:p>
      <w:pPr>
        <w:pStyle w:val="ListParagraph"/>
        <w:numPr>
          <w:ilvl w:val="2"/>
          <w:numId w:val="232"/>
        </w:numPr>
        <w:tabs>
          <w:tab w:pos="1370" w:val="left" w:leader="none"/>
        </w:tabs>
        <w:spacing w:line="240" w:lineRule="auto" w:before="0" w:after="0"/>
        <w:ind w:left="1369" w:right="0" w:hanging="530"/>
        <w:jc w:val="left"/>
        <w:rPr>
          <w:sz w:val="21"/>
        </w:rPr>
      </w:pPr>
      <w:r>
        <w:rPr>
          <w:spacing w:val="-6"/>
          <w:sz w:val="21"/>
        </w:rPr>
        <w:t>检査泡沫车显示负压的仪表，判断试验结果是否符合 </w:t>
      </w:r>
      <w:r>
        <w:rPr>
          <w:sz w:val="21"/>
        </w:rPr>
        <w:t>4.5.2</w:t>
      </w:r>
      <w:r>
        <w:rPr>
          <w:spacing w:val="-12"/>
          <w:sz w:val="21"/>
        </w:rPr>
        <w:t> 的要求。 </w:t>
      </w:r>
    </w:p>
    <w:p>
      <w:pPr>
        <w:pStyle w:val="BodyText"/>
        <w:rPr>
          <w:sz w:val="18"/>
        </w:rPr>
      </w:pPr>
    </w:p>
    <w:p>
      <w:pPr>
        <w:pStyle w:val="ListParagraph"/>
        <w:numPr>
          <w:ilvl w:val="1"/>
          <w:numId w:val="232"/>
        </w:numPr>
        <w:tabs>
          <w:tab w:pos="1159" w:val="left" w:leader="none"/>
        </w:tabs>
        <w:spacing w:line="240" w:lineRule="auto" w:before="0" w:after="0"/>
        <w:ind w:left="1158" w:right="0" w:hanging="319"/>
        <w:jc w:val="left"/>
        <w:rPr>
          <w:b/>
          <w:sz w:val="21"/>
        </w:rPr>
      </w:pPr>
      <w:r>
        <w:rPr>
          <w:spacing w:val="-3"/>
          <w:sz w:val="21"/>
        </w:rPr>
        <w:t>器材摆放、固定和配备检査</w:t>
      </w:r>
      <w:r>
        <w:rPr>
          <w:b/>
          <w:w w:val="99"/>
          <w:sz w:val="21"/>
        </w:rPr>
        <w:t> </w:t>
      </w:r>
    </w:p>
    <w:p>
      <w:pPr>
        <w:pStyle w:val="BodyText"/>
        <w:spacing w:before="12"/>
        <w:rPr>
          <w:b/>
          <w:sz w:val="17"/>
        </w:rPr>
      </w:pPr>
    </w:p>
    <w:p>
      <w:pPr>
        <w:pStyle w:val="ListParagraph"/>
        <w:numPr>
          <w:ilvl w:val="2"/>
          <w:numId w:val="232"/>
        </w:numPr>
        <w:tabs>
          <w:tab w:pos="1371" w:val="left" w:leader="none"/>
        </w:tabs>
        <w:spacing w:line="240" w:lineRule="auto" w:before="0" w:after="0"/>
        <w:ind w:left="1370" w:right="0" w:hanging="531"/>
        <w:jc w:val="left"/>
        <w:rPr>
          <w:sz w:val="21"/>
        </w:rPr>
      </w:pPr>
      <w:r>
        <w:rPr>
          <w:spacing w:val="-19"/>
          <w:sz w:val="21"/>
        </w:rPr>
        <w:t>按照 </w:t>
      </w:r>
      <w:r>
        <w:rPr>
          <w:sz w:val="21"/>
        </w:rPr>
        <w:t>GB</w:t>
      </w:r>
      <w:r>
        <w:rPr>
          <w:spacing w:val="2"/>
          <w:sz w:val="21"/>
        </w:rPr>
        <w:t> </w:t>
      </w:r>
      <w:r>
        <w:rPr>
          <w:sz w:val="21"/>
        </w:rPr>
        <w:t>7956.1—2014</w:t>
      </w:r>
      <w:r>
        <w:rPr>
          <w:spacing w:val="-36"/>
          <w:sz w:val="21"/>
        </w:rPr>
        <w:t> 中 </w:t>
      </w:r>
      <w:r>
        <w:rPr>
          <w:sz w:val="21"/>
        </w:rPr>
        <w:t>6.10、6.11</w:t>
      </w:r>
      <w:r>
        <w:rPr>
          <w:spacing w:val="-8"/>
          <w:sz w:val="21"/>
        </w:rPr>
        <w:t> 规定的方法进行试验，判断试验结果是否符合</w:t>
      </w:r>
    </w:p>
    <w:p>
      <w:pPr>
        <w:pStyle w:val="BodyText"/>
        <w:spacing w:before="2"/>
        <w:rPr>
          <w:sz w:val="18"/>
        </w:rPr>
      </w:pPr>
    </w:p>
    <w:p>
      <w:pPr>
        <w:pStyle w:val="BodyText"/>
        <w:ind w:left="418"/>
      </w:pPr>
      <w:r>
        <w:rPr/>
        <w:t>4.6.1 的要求。 </w:t>
      </w:r>
    </w:p>
    <w:p>
      <w:pPr>
        <w:pStyle w:val="BodyText"/>
        <w:rPr>
          <w:sz w:val="18"/>
        </w:rPr>
      </w:pPr>
    </w:p>
    <w:p>
      <w:pPr>
        <w:pStyle w:val="BodyText"/>
        <w:ind w:left="840"/>
      </w:pPr>
      <w:r>
        <w:rPr>
          <w:b/>
        </w:rPr>
        <w:t>5.6.2 </w:t>
      </w:r>
      <w:r>
        <w:rPr/>
        <w:t>目测检査随车器材的种类、数量，判断试验结果是否符合 4.6.2 的要求。 </w:t>
      </w:r>
    </w:p>
    <w:p>
      <w:pPr>
        <w:pStyle w:val="BodyText"/>
        <w:spacing w:before="12"/>
        <w:rPr>
          <w:sz w:val="17"/>
        </w:rPr>
      </w:pPr>
    </w:p>
    <w:p>
      <w:pPr>
        <w:pStyle w:val="ListParagraph"/>
        <w:numPr>
          <w:ilvl w:val="1"/>
          <w:numId w:val="232"/>
        </w:numPr>
        <w:tabs>
          <w:tab w:pos="1159" w:val="left" w:leader="none"/>
        </w:tabs>
        <w:spacing w:line="240" w:lineRule="auto" w:before="0" w:after="0"/>
        <w:ind w:left="1158" w:right="0" w:hanging="319"/>
        <w:jc w:val="left"/>
        <w:rPr>
          <w:b/>
          <w:sz w:val="21"/>
        </w:rPr>
      </w:pPr>
      <w:r>
        <w:rPr>
          <w:spacing w:val="-3"/>
          <w:sz w:val="21"/>
        </w:rPr>
        <w:t>警报灯具试验</w:t>
      </w:r>
      <w:r>
        <w:rPr>
          <w:b/>
          <w:w w:val="99"/>
          <w:sz w:val="21"/>
        </w:rPr>
        <w:t> </w:t>
      </w:r>
    </w:p>
    <w:p>
      <w:pPr>
        <w:spacing w:after="0" w:line="240" w:lineRule="auto"/>
        <w:jc w:val="left"/>
        <w:rPr>
          <w:sz w:val="21"/>
        </w:rPr>
        <w:sectPr>
          <w:pgSz w:w="11910" w:h="16850"/>
          <w:pgMar w:header="0" w:footer="1239" w:top="1220" w:bottom="1420" w:left="1260" w:right="0"/>
        </w:sectPr>
      </w:pPr>
    </w:p>
    <w:p>
      <w:pPr>
        <w:pStyle w:val="BodyText"/>
        <w:spacing w:before="47"/>
        <w:ind w:left="838"/>
      </w:pPr>
      <w:r>
        <w:rPr/>
        <w:t>按照 GB 7956.1—2014 中 6.7.28~6.7.31 规定的方法进行试验，判断试验结果是否符合 4.7</w:t>
      </w:r>
    </w:p>
    <w:p>
      <w:pPr>
        <w:pStyle w:val="BodyText"/>
        <w:rPr>
          <w:sz w:val="18"/>
        </w:rPr>
      </w:pPr>
    </w:p>
    <w:p>
      <w:pPr>
        <w:pStyle w:val="BodyText"/>
        <w:ind w:left="418"/>
      </w:pPr>
      <w:r>
        <w:rPr/>
        <w:t>的要求。 </w:t>
      </w:r>
    </w:p>
    <w:p>
      <w:pPr>
        <w:pStyle w:val="BodyText"/>
        <w:rPr>
          <w:sz w:val="18"/>
        </w:rPr>
      </w:pPr>
    </w:p>
    <w:p>
      <w:pPr>
        <w:pStyle w:val="ListParagraph"/>
        <w:numPr>
          <w:ilvl w:val="1"/>
          <w:numId w:val="232"/>
        </w:numPr>
        <w:tabs>
          <w:tab w:pos="1159" w:val="left" w:leader="none"/>
        </w:tabs>
        <w:spacing w:line="240" w:lineRule="auto" w:before="0" w:after="0"/>
        <w:ind w:left="1158" w:right="0" w:hanging="319"/>
        <w:jc w:val="left"/>
        <w:rPr>
          <w:sz w:val="24"/>
        </w:rPr>
      </w:pPr>
      <w:r>
        <w:rPr>
          <w:spacing w:val="-3"/>
          <w:sz w:val="21"/>
        </w:rPr>
        <w:t>随车文件、工具及易损件检査</w:t>
      </w:r>
      <w:r>
        <w:rPr>
          <w:sz w:val="24"/>
        </w:rPr>
        <w:t> </w:t>
      </w:r>
    </w:p>
    <w:p>
      <w:pPr>
        <w:pStyle w:val="BodyText"/>
        <w:spacing w:before="1"/>
        <w:rPr>
          <w:sz w:val="18"/>
        </w:rPr>
      </w:pPr>
    </w:p>
    <w:p>
      <w:pPr>
        <w:pStyle w:val="ListParagraph"/>
        <w:numPr>
          <w:ilvl w:val="2"/>
          <w:numId w:val="232"/>
        </w:numPr>
        <w:tabs>
          <w:tab w:pos="1371" w:val="left" w:leader="none"/>
        </w:tabs>
        <w:spacing w:line="240" w:lineRule="auto" w:before="1" w:after="0"/>
        <w:ind w:left="1370" w:right="0" w:hanging="531"/>
        <w:jc w:val="left"/>
        <w:rPr>
          <w:sz w:val="21"/>
        </w:rPr>
      </w:pPr>
      <w:r>
        <w:rPr>
          <w:spacing w:val="-5"/>
          <w:sz w:val="21"/>
        </w:rPr>
        <w:t>查阅随车交付的相关文件，文件内容是否清晰完整，判断试验结果是否符合 </w:t>
      </w:r>
      <w:r>
        <w:rPr>
          <w:sz w:val="21"/>
        </w:rPr>
        <w:t>4.8.1</w:t>
      </w:r>
    </w:p>
    <w:p>
      <w:pPr>
        <w:pStyle w:val="BodyText"/>
        <w:spacing w:before="12"/>
        <w:rPr>
          <w:sz w:val="17"/>
        </w:rPr>
      </w:pPr>
    </w:p>
    <w:p>
      <w:pPr>
        <w:pStyle w:val="BodyText"/>
        <w:ind w:left="418"/>
      </w:pPr>
      <w:r>
        <w:rPr/>
        <w:t>的要求。 </w:t>
      </w:r>
    </w:p>
    <w:p>
      <w:pPr>
        <w:pStyle w:val="BodyText"/>
        <w:spacing w:before="12"/>
        <w:rPr>
          <w:sz w:val="17"/>
        </w:rPr>
      </w:pPr>
    </w:p>
    <w:p>
      <w:pPr>
        <w:pStyle w:val="ListParagraph"/>
        <w:numPr>
          <w:ilvl w:val="2"/>
          <w:numId w:val="232"/>
        </w:numPr>
        <w:tabs>
          <w:tab w:pos="1371" w:val="left" w:leader="none"/>
        </w:tabs>
        <w:spacing w:line="240" w:lineRule="auto" w:before="0" w:after="0"/>
        <w:ind w:left="1370" w:right="0" w:hanging="531"/>
        <w:jc w:val="left"/>
        <w:rPr>
          <w:sz w:val="21"/>
        </w:rPr>
      </w:pPr>
      <w:r>
        <w:rPr>
          <w:spacing w:val="-3"/>
          <w:sz w:val="21"/>
        </w:rPr>
        <w:t>目测检査随车配置的专用工具、密封件和保险丝是否齐全，判断试验结果是否符合</w:t>
      </w:r>
    </w:p>
    <w:p>
      <w:pPr>
        <w:pStyle w:val="BodyText"/>
        <w:spacing w:before="166"/>
        <w:ind w:left="418"/>
      </w:pPr>
      <w:r>
        <w:rPr/>
        <w:t>4.8.2</w:t>
      </w:r>
      <w:r>
        <w:rPr>
          <w:rFonts w:ascii="微软雅黑" w:eastAsia="微软雅黑" w:hint="eastAsia"/>
        </w:rPr>
        <w:t>〜</w:t>
      </w:r>
      <w:r>
        <w:rPr/>
        <w:t>4.8.3 的要求。 </w:t>
      </w:r>
    </w:p>
    <w:p>
      <w:pPr>
        <w:pStyle w:val="Heading4"/>
        <w:spacing w:before="150"/>
      </w:pPr>
      <w:r>
        <w:rPr/>
        <w:t>6 检验规则</w:t>
      </w:r>
      <w:r>
        <w:rPr>
          <w:w w:val="99"/>
        </w:rPr>
        <w:t> </w:t>
      </w:r>
    </w:p>
    <w:p>
      <w:pPr>
        <w:pStyle w:val="BodyText"/>
        <w:spacing w:before="3"/>
        <w:rPr>
          <w:b/>
          <w:sz w:val="17"/>
        </w:rPr>
      </w:pPr>
    </w:p>
    <w:p>
      <w:pPr>
        <w:pStyle w:val="ListParagraph"/>
        <w:numPr>
          <w:ilvl w:val="1"/>
          <w:numId w:val="233"/>
        </w:numPr>
        <w:tabs>
          <w:tab w:pos="1160" w:val="left" w:leader="none"/>
        </w:tabs>
        <w:spacing w:line="240" w:lineRule="auto" w:before="0" w:after="0"/>
        <w:ind w:left="1159" w:right="0" w:hanging="320"/>
        <w:jc w:val="left"/>
        <w:rPr>
          <w:b/>
          <w:sz w:val="21"/>
        </w:rPr>
      </w:pPr>
      <w:r>
        <w:rPr>
          <w:spacing w:val="-3"/>
          <w:sz w:val="21"/>
        </w:rPr>
        <w:t>检验分类</w:t>
      </w:r>
      <w:r>
        <w:rPr>
          <w:b/>
          <w:w w:val="99"/>
          <w:sz w:val="21"/>
        </w:rPr>
        <w:t> </w:t>
      </w:r>
    </w:p>
    <w:p>
      <w:pPr>
        <w:pStyle w:val="BodyText"/>
        <w:spacing w:before="2"/>
        <w:rPr>
          <w:b/>
          <w:sz w:val="18"/>
        </w:rPr>
      </w:pPr>
    </w:p>
    <w:p>
      <w:pPr>
        <w:pStyle w:val="ListParagraph"/>
        <w:numPr>
          <w:ilvl w:val="2"/>
          <w:numId w:val="233"/>
        </w:numPr>
        <w:tabs>
          <w:tab w:pos="1370" w:val="left" w:leader="none"/>
        </w:tabs>
        <w:spacing w:line="240" w:lineRule="auto" w:before="0" w:after="0"/>
        <w:ind w:left="1369" w:right="0" w:hanging="530"/>
        <w:jc w:val="left"/>
        <w:rPr>
          <w:sz w:val="21"/>
        </w:rPr>
      </w:pPr>
      <w:r>
        <w:rPr>
          <w:spacing w:val="-3"/>
          <w:sz w:val="21"/>
        </w:rPr>
        <w:t>出厂试验</w:t>
      </w:r>
      <w:r>
        <w:rPr>
          <w:sz w:val="21"/>
        </w:rPr>
        <w:t> </w:t>
      </w:r>
    </w:p>
    <w:p>
      <w:pPr>
        <w:pStyle w:val="BodyText"/>
        <w:rPr>
          <w:sz w:val="18"/>
        </w:rPr>
      </w:pPr>
    </w:p>
    <w:p>
      <w:pPr>
        <w:pStyle w:val="BodyText"/>
        <w:spacing w:line="446" w:lineRule="auto"/>
        <w:ind w:left="418" w:right="1611" w:firstLine="419"/>
      </w:pPr>
      <w:r>
        <w:rPr>
          <w:spacing w:val="-8"/>
        </w:rPr>
        <w:t>检验项目至少应包括表 </w:t>
      </w:r>
      <w:r>
        <w:rPr/>
        <w:t>5</w:t>
      </w:r>
      <w:r>
        <w:rPr>
          <w:spacing w:val="-12"/>
        </w:rPr>
        <w:t> 中出厂检验的内容，其结果应符合 </w:t>
      </w:r>
      <w:r>
        <w:rPr/>
        <w:t>GB 7956.1—2014</w:t>
      </w:r>
      <w:r>
        <w:rPr>
          <w:spacing w:val="-10"/>
        </w:rPr>
        <w:t> 和本部分的</w:t>
      </w:r>
      <w:r>
        <w:rPr>
          <w:spacing w:val="-8"/>
        </w:rPr>
        <w:t>规定。</w:t>
      </w:r>
      <w:r>
        <w:rPr/>
        <w:t> </w:t>
      </w:r>
    </w:p>
    <w:p>
      <w:pPr>
        <w:pStyle w:val="ListParagraph"/>
        <w:numPr>
          <w:ilvl w:val="2"/>
          <w:numId w:val="233"/>
        </w:numPr>
        <w:tabs>
          <w:tab w:pos="1370" w:val="left" w:leader="none"/>
        </w:tabs>
        <w:spacing w:line="240" w:lineRule="auto" w:before="0" w:after="0"/>
        <w:ind w:left="1369" w:right="0" w:hanging="530"/>
        <w:jc w:val="left"/>
        <w:rPr>
          <w:sz w:val="21"/>
        </w:rPr>
      </w:pPr>
      <w:r>
        <w:rPr>
          <w:spacing w:val="-3"/>
          <w:sz w:val="21"/>
        </w:rPr>
        <w:t>形式试验</w:t>
      </w:r>
      <w:r>
        <w:rPr>
          <w:sz w:val="21"/>
        </w:rPr>
        <w:t> </w:t>
      </w:r>
    </w:p>
    <w:p>
      <w:pPr>
        <w:pStyle w:val="BodyText"/>
        <w:spacing w:before="12"/>
        <w:rPr>
          <w:sz w:val="17"/>
        </w:rPr>
      </w:pPr>
    </w:p>
    <w:p>
      <w:pPr>
        <w:pStyle w:val="ListParagraph"/>
        <w:numPr>
          <w:ilvl w:val="3"/>
          <w:numId w:val="233"/>
        </w:numPr>
        <w:tabs>
          <w:tab w:pos="1576" w:val="left" w:leader="none"/>
        </w:tabs>
        <w:spacing w:line="240" w:lineRule="auto" w:before="0" w:after="0"/>
        <w:ind w:left="1575" w:right="0" w:hanging="738"/>
        <w:jc w:val="left"/>
        <w:rPr>
          <w:sz w:val="21"/>
        </w:rPr>
      </w:pPr>
      <w:r>
        <w:rPr>
          <w:spacing w:val="-3"/>
          <w:sz w:val="21"/>
        </w:rPr>
        <w:t>凡属下列情况之一时应进行形式试验：</w:t>
      </w:r>
      <w:r>
        <w:rPr>
          <w:sz w:val="21"/>
        </w:rPr>
        <w:t> </w:t>
      </w:r>
    </w:p>
    <w:p>
      <w:pPr>
        <w:pStyle w:val="BodyText"/>
        <w:rPr>
          <w:sz w:val="18"/>
        </w:rPr>
      </w:pPr>
    </w:p>
    <w:p>
      <w:pPr>
        <w:pStyle w:val="BodyText"/>
        <w:ind w:left="838"/>
      </w:pPr>
      <w:r>
        <w:rPr/>
        <w:t>——新产品试制定型或老产品转厂生产； </w:t>
      </w:r>
    </w:p>
    <w:p>
      <w:pPr>
        <w:pStyle w:val="BodyText"/>
        <w:spacing w:before="2"/>
        <w:rPr>
          <w:sz w:val="18"/>
        </w:rPr>
      </w:pPr>
    </w:p>
    <w:p>
      <w:pPr>
        <w:pStyle w:val="BodyText"/>
        <w:spacing w:line="446" w:lineRule="auto"/>
        <w:ind w:left="418" w:right="1817" w:firstLine="419"/>
      </w:pPr>
      <w:r>
        <w:rPr/>
        <w:t>——批量生产后，主要结构部件设计及生产工艺有重大改变，应抽样进行相应项目的试验； </w:t>
      </w:r>
    </w:p>
    <w:p>
      <w:pPr>
        <w:pStyle w:val="BodyText"/>
        <w:spacing w:line="267" w:lineRule="exact"/>
        <w:ind w:left="838"/>
      </w:pPr>
      <w:r>
        <w:rPr/>
        <w:t>——产品停产两年后，恢复生产； </w:t>
      </w:r>
    </w:p>
    <w:p>
      <w:pPr>
        <w:pStyle w:val="BodyText"/>
        <w:spacing w:before="2"/>
        <w:rPr>
          <w:sz w:val="18"/>
        </w:rPr>
      </w:pPr>
    </w:p>
    <w:p>
      <w:pPr>
        <w:pStyle w:val="BodyText"/>
        <w:ind w:left="838"/>
      </w:pPr>
      <w:r>
        <w:rPr/>
        <w:t>——发生重大质量事故整改后； </w:t>
      </w:r>
    </w:p>
    <w:p>
      <w:pPr>
        <w:pStyle w:val="BodyText"/>
        <w:rPr>
          <w:sz w:val="18"/>
        </w:rPr>
      </w:pPr>
    </w:p>
    <w:p>
      <w:pPr>
        <w:pStyle w:val="BodyText"/>
        <w:ind w:left="838"/>
      </w:pPr>
      <w:r>
        <w:rPr/>
        <w:t>——质量监督机构依法提出要求。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BodyText"/>
        <w:spacing w:before="71"/>
        <w:ind w:left="838"/>
      </w:pPr>
      <w:r>
        <w:rPr>
          <w:w w:val="100"/>
        </w:rPr>
        <w:t> </w:t>
      </w:r>
    </w:p>
    <w:p>
      <w:pPr>
        <w:spacing w:after="0"/>
        <w:sectPr>
          <w:pgSz w:w="11910" w:h="16850"/>
          <w:pgMar w:header="0" w:footer="1239" w:top="1220" w:bottom="1420" w:left="1260" w:right="0"/>
        </w:sectPr>
      </w:pPr>
    </w:p>
    <w:p>
      <w:pPr>
        <w:pStyle w:val="ListParagraph"/>
        <w:numPr>
          <w:ilvl w:val="3"/>
          <w:numId w:val="233"/>
        </w:numPr>
        <w:tabs>
          <w:tab w:pos="1576" w:val="left" w:leader="none"/>
        </w:tabs>
        <w:spacing w:line="240" w:lineRule="auto" w:before="47" w:after="0"/>
        <w:ind w:left="1575" w:right="0" w:hanging="738"/>
        <w:jc w:val="left"/>
        <w:rPr>
          <w:sz w:val="21"/>
        </w:rPr>
      </w:pPr>
      <w:r>
        <w:rPr/>
        <w:drawing>
          <wp:anchor distT="0" distB="0" distL="0" distR="0" allowOverlap="1" layoutInCell="1" locked="0" behindDoc="0" simplePos="0" relativeHeight="63">
            <wp:simplePos x="0" y="0"/>
            <wp:positionH relativeFrom="page">
              <wp:posOffset>1456055</wp:posOffset>
            </wp:positionH>
            <wp:positionV relativeFrom="paragraph">
              <wp:posOffset>241045</wp:posOffset>
            </wp:positionV>
            <wp:extent cx="4663978" cy="6410610"/>
            <wp:effectExtent l="0" t="0" r="0" b="0"/>
            <wp:wrapTopAndBottom/>
            <wp:docPr id="145" name="image100.jpeg"/>
            <wp:cNvGraphicFramePr>
              <a:graphicFrameLocks noChangeAspect="1"/>
            </wp:cNvGraphicFramePr>
            <a:graphic>
              <a:graphicData uri="http://schemas.openxmlformats.org/drawingml/2006/picture">
                <pic:pic>
                  <pic:nvPicPr>
                    <pic:cNvPr id="146" name="image100.jpeg"/>
                    <pic:cNvPicPr/>
                  </pic:nvPicPr>
                  <pic:blipFill>
                    <a:blip r:embed="rId108" cstate="print"/>
                    <a:stretch>
                      <a:fillRect/>
                    </a:stretch>
                  </pic:blipFill>
                  <pic:spPr>
                    <a:xfrm>
                      <a:off x="0" y="0"/>
                      <a:ext cx="4663978" cy="6410610"/>
                    </a:xfrm>
                    <a:prstGeom prst="rect">
                      <a:avLst/>
                    </a:prstGeom>
                  </pic:spPr>
                </pic:pic>
              </a:graphicData>
            </a:graphic>
          </wp:anchor>
        </w:drawing>
      </w:r>
      <w:r>
        <w:rPr>
          <w:spacing w:val="-9"/>
          <w:sz w:val="21"/>
        </w:rPr>
        <w:t>检验项目应包括表 </w:t>
      </w:r>
      <w:r>
        <w:rPr>
          <w:sz w:val="21"/>
        </w:rPr>
        <w:t>5</w:t>
      </w:r>
      <w:r>
        <w:rPr>
          <w:spacing w:val="-9"/>
          <w:sz w:val="21"/>
        </w:rPr>
        <w:t> 中型式检验的内容。</w:t>
      </w:r>
      <w:r>
        <w:rPr>
          <w:sz w:val="21"/>
        </w:rPr>
        <w:t> </w:t>
      </w:r>
    </w:p>
    <w:p>
      <w:pPr>
        <w:spacing w:after="0" w:line="240" w:lineRule="auto"/>
        <w:jc w:val="left"/>
        <w:rPr>
          <w:sz w:val="21"/>
        </w:rPr>
        <w:sectPr>
          <w:pgSz w:w="11910" w:h="16850"/>
          <w:pgMar w:header="0" w:footer="1239" w:top="1220" w:bottom="1420" w:left="1260" w:right="0"/>
        </w:sectPr>
      </w:pPr>
    </w:p>
    <w:p>
      <w:pPr>
        <w:pStyle w:val="BodyText"/>
        <w:ind w:left="867"/>
        <w:rPr>
          <w:sz w:val="20"/>
        </w:rPr>
      </w:pPr>
      <w:r>
        <w:rPr>
          <w:sz w:val="20"/>
        </w:rPr>
        <w:drawing>
          <wp:inline distT="0" distB="0" distL="0" distR="0">
            <wp:extent cx="4817358" cy="8622411"/>
            <wp:effectExtent l="0" t="0" r="0" b="0"/>
            <wp:docPr id="147" name="image101.png"/>
            <wp:cNvGraphicFramePr>
              <a:graphicFrameLocks noChangeAspect="1"/>
            </wp:cNvGraphicFramePr>
            <a:graphic>
              <a:graphicData uri="http://schemas.openxmlformats.org/drawingml/2006/picture">
                <pic:pic>
                  <pic:nvPicPr>
                    <pic:cNvPr id="148" name="image101.png"/>
                    <pic:cNvPicPr/>
                  </pic:nvPicPr>
                  <pic:blipFill>
                    <a:blip r:embed="rId109" cstate="print"/>
                    <a:stretch>
                      <a:fillRect/>
                    </a:stretch>
                  </pic:blipFill>
                  <pic:spPr>
                    <a:xfrm>
                      <a:off x="0" y="0"/>
                      <a:ext cx="4817358" cy="8622411"/>
                    </a:xfrm>
                    <a:prstGeom prst="rect">
                      <a:avLst/>
                    </a:prstGeom>
                  </pic:spPr>
                </pic:pic>
              </a:graphicData>
            </a:graphic>
          </wp:inline>
        </w:drawing>
      </w:r>
      <w:r>
        <w:rPr>
          <w:sz w:val="20"/>
        </w:rPr>
      </w:r>
    </w:p>
    <w:p>
      <w:pPr>
        <w:pStyle w:val="BodyText"/>
        <w:spacing w:line="259" w:lineRule="exact"/>
        <w:ind w:left="418"/>
      </w:pPr>
      <w:r>
        <w:rPr>
          <w:w w:val="100"/>
        </w:rPr>
        <w:t> </w:t>
      </w:r>
    </w:p>
    <w:p>
      <w:pPr>
        <w:pStyle w:val="BodyText"/>
        <w:spacing w:before="4"/>
        <w:ind w:left="418"/>
      </w:pPr>
      <w:r>
        <w:rPr>
          <w:w w:val="100"/>
        </w:rPr>
        <w:t> </w:t>
      </w:r>
    </w:p>
    <w:p>
      <w:pPr>
        <w:spacing w:after="0"/>
        <w:sectPr>
          <w:pgSz w:w="11910" w:h="16850"/>
          <w:pgMar w:header="0" w:footer="1239" w:top="1160" w:bottom="1420" w:left="1260" w:right="0"/>
        </w:sectPr>
      </w:pPr>
    </w:p>
    <w:p>
      <w:pPr>
        <w:spacing w:before="59"/>
        <w:ind w:left="840" w:right="0" w:firstLine="0"/>
        <w:jc w:val="left"/>
        <w:rPr>
          <w:sz w:val="21"/>
        </w:rPr>
      </w:pPr>
      <w:r>
        <w:rPr>
          <w:b/>
          <w:sz w:val="21"/>
        </w:rPr>
        <w:t>6.2 </w:t>
      </w:r>
      <w:r>
        <w:rPr>
          <w:sz w:val="21"/>
        </w:rPr>
        <w:t>判定规则 </w:t>
      </w:r>
    </w:p>
    <w:p>
      <w:pPr>
        <w:pStyle w:val="BodyText"/>
        <w:spacing w:before="2"/>
        <w:rPr>
          <w:sz w:val="18"/>
        </w:rPr>
      </w:pPr>
    </w:p>
    <w:p>
      <w:pPr>
        <w:pStyle w:val="BodyText"/>
        <w:spacing w:line="446" w:lineRule="auto"/>
        <w:ind w:left="418" w:right="1505" w:firstLine="419"/>
      </w:pPr>
      <w:r>
        <w:rPr>
          <w:spacing w:val="-27"/>
        </w:rPr>
        <w:t>表 </w:t>
      </w:r>
      <w:r>
        <w:rPr/>
        <w:t>5</w:t>
      </w:r>
      <w:r>
        <w:rPr>
          <w:spacing w:val="-36"/>
        </w:rPr>
        <w:t> 第 </w:t>
      </w:r>
      <w:r>
        <w:rPr/>
        <w:t>1</w:t>
      </w:r>
      <w:r>
        <w:rPr>
          <w:spacing w:val="-28"/>
        </w:rPr>
        <w:t> 项中 </w:t>
      </w:r>
      <w:r>
        <w:rPr/>
        <w:t>5.1.4、5.1.5、5.1.6</w:t>
      </w:r>
      <w:r>
        <w:rPr>
          <w:spacing w:val="-18"/>
        </w:rPr>
        <w:t>、第 </w:t>
      </w:r>
      <w:r>
        <w:rPr/>
        <w:t>3</w:t>
      </w:r>
      <w:r>
        <w:rPr>
          <w:spacing w:val="-23"/>
        </w:rPr>
        <w:t> 项、第 </w:t>
      </w:r>
      <w:r>
        <w:rPr/>
        <w:t>5</w:t>
      </w:r>
      <w:r>
        <w:rPr>
          <w:spacing w:val="-27"/>
        </w:rPr>
        <w:t> 项中 </w:t>
      </w:r>
      <w:r>
        <w:rPr/>
        <w:t>5.5.7</w:t>
      </w:r>
      <w:r>
        <w:rPr>
          <w:spacing w:val="-18"/>
        </w:rPr>
        <w:t>、第 </w:t>
      </w:r>
      <w:r>
        <w:rPr/>
        <w:t>8</w:t>
      </w:r>
      <w:r>
        <w:rPr>
          <w:spacing w:val="-23"/>
        </w:rPr>
        <w:t> 项、第 </w:t>
      </w:r>
      <w:r>
        <w:rPr/>
        <w:t>13</w:t>
      </w:r>
      <w:r>
        <w:rPr>
          <w:spacing w:val="-23"/>
        </w:rPr>
        <w:t> 项、第 </w:t>
      </w:r>
      <w:r>
        <w:rPr/>
        <w:t>16 </w:t>
      </w:r>
      <w:r>
        <w:rPr>
          <w:spacing w:val="-14"/>
        </w:rPr>
        <w:t>项、第 </w:t>
      </w:r>
      <w:r>
        <w:rPr/>
        <w:t>17</w:t>
      </w:r>
      <w:r>
        <w:rPr>
          <w:spacing w:val="-21"/>
        </w:rPr>
        <w:t> 项、第 </w:t>
      </w:r>
      <w:r>
        <w:rPr/>
        <w:t>18</w:t>
      </w:r>
      <w:r>
        <w:rPr>
          <w:spacing w:val="-11"/>
        </w:rPr>
        <w:t> 项中 </w:t>
      </w:r>
      <w:r>
        <w:rPr/>
        <w:t>4.4.2</w:t>
      </w:r>
      <w:r>
        <w:rPr>
          <w:spacing w:val="-17"/>
        </w:rPr>
        <w:t>、第 </w:t>
      </w:r>
      <w:r>
        <w:rPr/>
        <w:t>22</w:t>
      </w:r>
      <w:r>
        <w:rPr>
          <w:spacing w:val="-9"/>
        </w:rPr>
        <w:t> 项有一项不合格，则判该产品为不合格；其余项目有一</w:t>
      </w:r>
      <w:r>
        <w:rPr>
          <w:spacing w:val="-5"/>
        </w:rPr>
        <w:t>项未达到本部分要求时，允许对不合格项进行返工，经复检，如仍不合格则判该产品为不合  </w:t>
      </w:r>
      <w:r>
        <w:rPr>
          <w:spacing w:val="-4"/>
        </w:rPr>
        <w:t>格。</w:t>
      </w:r>
      <w:r>
        <w:rPr/>
        <w:t> </w:t>
      </w:r>
    </w:p>
    <w:p>
      <w:pPr>
        <w:pStyle w:val="Heading4"/>
        <w:spacing w:line="275" w:lineRule="exact"/>
      </w:pPr>
      <w:r>
        <w:rPr/>
        <w:t>7 标志、包裝、运输和贮存</w:t>
      </w:r>
      <w:r>
        <w:rPr>
          <w:w w:val="99"/>
        </w:rPr>
        <w:t> </w:t>
      </w:r>
    </w:p>
    <w:p>
      <w:pPr>
        <w:pStyle w:val="BodyText"/>
        <w:spacing w:before="4"/>
        <w:rPr>
          <w:b/>
          <w:sz w:val="17"/>
        </w:rPr>
      </w:pPr>
    </w:p>
    <w:p>
      <w:pPr>
        <w:spacing w:before="0"/>
        <w:ind w:left="840" w:right="0" w:firstLine="0"/>
        <w:jc w:val="left"/>
        <w:rPr>
          <w:b/>
          <w:sz w:val="21"/>
        </w:rPr>
      </w:pPr>
      <w:r>
        <w:rPr>
          <w:b/>
          <w:sz w:val="21"/>
        </w:rPr>
        <w:t>7.1</w:t>
      </w:r>
      <w:r>
        <w:rPr>
          <w:b/>
          <w:spacing w:val="3"/>
          <w:sz w:val="21"/>
        </w:rPr>
        <w:t> </w:t>
      </w:r>
      <w:r>
        <w:rPr>
          <w:spacing w:val="-3"/>
          <w:sz w:val="21"/>
        </w:rPr>
        <w:t>标志</w:t>
      </w:r>
      <w:r>
        <w:rPr>
          <w:b/>
          <w:w w:val="99"/>
          <w:sz w:val="21"/>
        </w:rPr>
        <w:t> </w:t>
      </w:r>
    </w:p>
    <w:p>
      <w:pPr>
        <w:pStyle w:val="BodyText"/>
        <w:spacing w:before="2"/>
        <w:rPr>
          <w:b/>
          <w:sz w:val="18"/>
        </w:rPr>
      </w:pPr>
    </w:p>
    <w:p>
      <w:pPr>
        <w:pStyle w:val="BodyText"/>
        <w:spacing w:line="446" w:lineRule="auto"/>
        <w:ind w:left="840" w:right="4659" w:hanging="3"/>
        <w:rPr>
          <w:b/>
        </w:rPr>
      </w:pPr>
      <w:r>
        <w:rPr>
          <w:spacing w:val="-8"/>
        </w:rPr>
        <w:t>泡沫车的标志应符合 </w:t>
      </w:r>
      <w:r>
        <w:rPr/>
        <w:t>GB</w:t>
      </w:r>
      <w:r>
        <w:rPr>
          <w:spacing w:val="2"/>
        </w:rPr>
        <w:t> </w:t>
      </w:r>
      <w:r>
        <w:rPr/>
        <w:t>7956.1—2014</w:t>
      </w:r>
      <w:r>
        <w:rPr>
          <w:spacing w:val="-35"/>
        </w:rPr>
        <w:t> 中 </w:t>
      </w:r>
      <w:r>
        <w:rPr/>
        <w:t>5.2</w:t>
      </w:r>
      <w:r>
        <w:rPr>
          <w:spacing w:val="-13"/>
        </w:rPr>
        <w:t> 的规定。</w:t>
      </w:r>
      <w:r>
        <w:rPr>
          <w:b/>
        </w:rPr>
        <w:t>7.2</w:t>
      </w:r>
      <w:r>
        <w:rPr>
          <w:b/>
          <w:spacing w:val="-1"/>
        </w:rPr>
        <w:t> </w:t>
      </w:r>
      <w:r>
        <w:rPr>
          <w:spacing w:val="-3"/>
        </w:rPr>
        <w:t>包装</w:t>
      </w:r>
      <w:r>
        <w:rPr>
          <w:b/>
          <w:w w:val="99"/>
        </w:rPr>
        <w:t> </w:t>
      </w:r>
    </w:p>
    <w:p>
      <w:pPr>
        <w:pStyle w:val="ListParagraph"/>
        <w:numPr>
          <w:ilvl w:val="2"/>
          <w:numId w:val="234"/>
        </w:numPr>
        <w:tabs>
          <w:tab w:pos="1371" w:val="left" w:leader="none"/>
        </w:tabs>
        <w:spacing w:line="267" w:lineRule="exact" w:before="0" w:after="0"/>
        <w:ind w:left="1370" w:right="0" w:hanging="531"/>
        <w:jc w:val="left"/>
        <w:rPr>
          <w:sz w:val="21"/>
        </w:rPr>
      </w:pPr>
      <w:r>
        <w:rPr>
          <w:spacing w:val="-3"/>
          <w:sz w:val="21"/>
        </w:rPr>
        <w:t>泡沫车出厂采用裸装，所有车门，工具箱均应关闭锁紧。</w:t>
      </w:r>
      <w:r>
        <w:rPr>
          <w:sz w:val="21"/>
        </w:rPr>
        <w:t> </w:t>
      </w:r>
    </w:p>
    <w:p>
      <w:pPr>
        <w:pStyle w:val="BodyText"/>
        <w:spacing w:before="2"/>
        <w:rPr>
          <w:sz w:val="18"/>
        </w:rPr>
      </w:pPr>
    </w:p>
    <w:p>
      <w:pPr>
        <w:pStyle w:val="ListParagraph"/>
        <w:numPr>
          <w:ilvl w:val="2"/>
          <w:numId w:val="234"/>
        </w:numPr>
        <w:tabs>
          <w:tab w:pos="1371" w:val="left" w:leader="none"/>
        </w:tabs>
        <w:spacing w:line="240" w:lineRule="auto" w:before="0" w:after="0"/>
        <w:ind w:left="1370" w:right="0" w:hanging="531"/>
        <w:jc w:val="left"/>
        <w:rPr>
          <w:sz w:val="21"/>
        </w:rPr>
      </w:pPr>
      <w:r>
        <w:rPr>
          <w:spacing w:val="-3"/>
          <w:sz w:val="21"/>
        </w:rPr>
        <w:t>随车文件用防潮材料包装。</w:t>
      </w:r>
      <w:r>
        <w:rPr>
          <w:sz w:val="21"/>
        </w:rPr>
        <w:t> </w:t>
      </w:r>
    </w:p>
    <w:p>
      <w:pPr>
        <w:pStyle w:val="BodyText"/>
        <w:spacing w:before="12"/>
        <w:rPr>
          <w:sz w:val="17"/>
        </w:rPr>
      </w:pPr>
    </w:p>
    <w:p>
      <w:pPr>
        <w:pStyle w:val="ListParagraph"/>
        <w:numPr>
          <w:ilvl w:val="2"/>
          <w:numId w:val="234"/>
        </w:numPr>
        <w:tabs>
          <w:tab w:pos="1371" w:val="left" w:leader="none"/>
        </w:tabs>
        <w:spacing w:line="240" w:lineRule="auto" w:before="0" w:after="0"/>
        <w:ind w:left="1370" w:right="0" w:hanging="531"/>
        <w:jc w:val="left"/>
        <w:rPr>
          <w:sz w:val="21"/>
        </w:rPr>
      </w:pPr>
      <w:r>
        <w:rPr>
          <w:spacing w:val="-3"/>
          <w:sz w:val="21"/>
        </w:rPr>
        <w:t>外露镀铬件应涂防锈油，车外照明灯、警灯应用塑料薄膜包扎，</w:t>
      </w:r>
      <w:r>
        <w:rPr>
          <w:sz w:val="21"/>
        </w:rPr>
        <w:t> </w:t>
      </w:r>
    </w:p>
    <w:p>
      <w:pPr>
        <w:pStyle w:val="BodyText"/>
        <w:rPr>
          <w:sz w:val="18"/>
        </w:rPr>
      </w:pPr>
    </w:p>
    <w:p>
      <w:pPr>
        <w:pStyle w:val="ListParagraph"/>
        <w:numPr>
          <w:ilvl w:val="2"/>
          <w:numId w:val="234"/>
        </w:numPr>
        <w:tabs>
          <w:tab w:pos="1370" w:val="left" w:leader="none"/>
        </w:tabs>
        <w:spacing w:line="446" w:lineRule="auto" w:before="0" w:after="0"/>
        <w:ind w:left="418" w:right="1604" w:firstLine="422"/>
        <w:jc w:val="left"/>
        <w:rPr>
          <w:sz w:val="21"/>
        </w:rPr>
      </w:pPr>
      <w:r>
        <w:rPr>
          <w:spacing w:val="-3"/>
          <w:sz w:val="21"/>
        </w:rPr>
        <w:t>采用铁(水)路运输时，发动机不得有余水，燃料箱不得有余油，蓄电池应断开正负极接头。</w:t>
      </w:r>
      <w:r>
        <w:rPr>
          <w:sz w:val="21"/>
        </w:rPr>
        <w:t> </w:t>
      </w:r>
    </w:p>
    <w:p>
      <w:pPr>
        <w:pStyle w:val="ListParagraph"/>
        <w:numPr>
          <w:ilvl w:val="1"/>
          <w:numId w:val="235"/>
        </w:numPr>
        <w:tabs>
          <w:tab w:pos="1159" w:val="left" w:leader="none"/>
        </w:tabs>
        <w:spacing w:line="240" w:lineRule="auto" w:before="0" w:after="0"/>
        <w:ind w:left="1158" w:right="0" w:hanging="319"/>
        <w:jc w:val="left"/>
        <w:rPr>
          <w:sz w:val="21"/>
        </w:rPr>
      </w:pPr>
      <w:r>
        <w:rPr>
          <w:spacing w:val="-3"/>
          <w:sz w:val="21"/>
        </w:rPr>
        <w:t>运输</w:t>
      </w:r>
      <w:r>
        <w:rPr>
          <w:sz w:val="21"/>
        </w:rPr>
        <w:t> </w:t>
      </w:r>
    </w:p>
    <w:p>
      <w:pPr>
        <w:pStyle w:val="BodyText"/>
        <w:rPr>
          <w:sz w:val="18"/>
        </w:rPr>
      </w:pPr>
    </w:p>
    <w:p>
      <w:pPr>
        <w:pStyle w:val="ListParagraph"/>
        <w:numPr>
          <w:ilvl w:val="2"/>
          <w:numId w:val="235"/>
        </w:numPr>
        <w:tabs>
          <w:tab w:pos="1370" w:val="left" w:leader="none"/>
        </w:tabs>
        <w:spacing w:line="240" w:lineRule="auto" w:before="0" w:after="0"/>
        <w:ind w:left="1369" w:right="0" w:hanging="530"/>
        <w:jc w:val="left"/>
        <w:rPr>
          <w:sz w:val="21"/>
        </w:rPr>
      </w:pPr>
      <w:r>
        <w:rPr>
          <w:spacing w:val="-3"/>
          <w:sz w:val="21"/>
        </w:rPr>
        <w:t>采用行驶运输时，应遵守使用说明书相关新车行驶的规定。</w:t>
      </w:r>
      <w:r>
        <w:rPr>
          <w:sz w:val="21"/>
        </w:rPr>
        <w:t> </w:t>
      </w:r>
    </w:p>
    <w:p>
      <w:pPr>
        <w:pStyle w:val="BodyText"/>
        <w:spacing w:before="1"/>
        <w:rPr>
          <w:sz w:val="18"/>
        </w:rPr>
      </w:pPr>
    </w:p>
    <w:p>
      <w:pPr>
        <w:pStyle w:val="ListParagraph"/>
        <w:numPr>
          <w:ilvl w:val="2"/>
          <w:numId w:val="235"/>
        </w:numPr>
        <w:tabs>
          <w:tab w:pos="1370" w:val="left" w:leader="none"/>
        </w:tabs>
        <w:spacing w:line="240" w:lineRule="auto" w:before="1" w:after="0"/>
        <w:ind w:left="1369" w:right="0" w:hanging="530"/>
        <w:jc w:val="left"/>
        <w:rPr>
          <w:sz w:val="21"/>
        </w:rPr>
      </w:pPr>
      <w:r>
        <w:rPr>
          <w:spacing w:val="-3"/>
          <w:sz w:val="21"/>
        </w:rPr>
        <w:t>采用铁(水)路运输时，应执行铁(水)路运输的相关规定。</w:t>
      </w:r>
      <w:r>
        <w:rPr>
          <w:sz w:val="21"/>
        </w:rPr>
        <w:t> </w:t>
      </w:r>
    </w:p>
    <w:p>
      <w:pPr>
        <w:pStyle w:val="BodyText"/>
        <w:spacing w:before="12"/>
        <w:rPr>
          <w:sz w:val="17"/>
        </w:rPr>
      </w:pPr>
    </w:p>
    <w:p>
      <w:pPr>
        <w:pStyle w:val="ListParagraph"/>
        <w:numPr>
          <w:ilvl w:val="1"/>
          <w:numId w:val="235"/>
        </w:numPr>
        <w:tabs>
          <w:tab w:pos="1160" w:val="left" w:leader="none"/>
        </w:tabs>
        <w:spacing w:line="240" w:lineRule="auto" w:before="0" w:after="0"/>
        <w:ind w:left="1159" w:right="0" w:hanging="320"/>
        <w:jc w:val="left"/>
        <w:rPr>
          <w:sz w:val="21"/>
        </w:rPr>
      </w:pPr>
      <w:r>
        <w:rPr>
          <w:spacing w:val="-3"/>
          <w:sz w:val="21"/>
        </w:rPr>
        <w:t>贮存</w:t>
      </w:r>
      <w:r>
        <w:rPr>
          <w:sz w:val="21"/>
        </w:rPr>
        <w:t> </w:t>
      </w:r>
    </w:p>
    <w:p>
      <w:pPr>
        <w:pStyle w:val="BodyText"/>
        <w:spacing w:before="12"/>
        <w:rPr>
          <w:sz w:val="17"/>
        </w:rPr>
      </w:pPr>
    </w:p>
    <w:p>
      <w:pPr>
        <w:pStyle w:val="BodyText"/>
        <w:spacing w:line="448" w:lineRule="auto"/>
        <w:ind w:left="418" w:right="1436" w:firstLine="419"/>
      </w:pPr>
      <w:r>
        <w:rPr>
          <w:spacing w:val="-8"/>
        </w:rPr>
        <w:t>泡沫车需长期贮存时，应将燃柚和水放尽，切断电路，停放在防雨、防潮、防晒、无腐蚀气</w:t>
      </w:r>
      <w:r>
        <w:rPr>
          <w:spacing w:val="-5"/>
        </w:rPr>
        <w:t>体侵害及通风良好的场所，并按产品使用说明书的规定进行维护和保养。</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7"/>
        </w:rPr>
      </w:pPr>
    </w:p>
    <w:p>
      <w:pPr>
        <w:pStyle w:val="BodyText"/>
        <w:spacing w:before="72"/>
        <w:ind w:left="838"/>
      </w:pPr>
      <w:r>
        <w:rPr>
          <w:w w:val="100"/>
        </w:rPr>
        <w:t> </w:t>
      </w:r>
    </w:p>
    <w:p>
      <w:pPr>
        <w:spacing w:after="0"/>
        <w:sectPr>
          <w:pgSz w:w="11910" w:h="16850"/>
          <w:pgMar w:header="0" w:footer="1239" w:top="1480" w:bottom="1420" w:left="1260" w:right="0"/>
        </w:sectPr>
      </w:pPr>
    </w:p>
    <w:p>
      <w:pPr>
        <w:pStyle w:val="BodyText"/>
        <w:spacing w:before="1"/>
        <w:rPr>
          <w:sz w:val="28"/>
        </w:rPr>
      </w:pPr>
    </w:p>
    <w:p>
      <w:pPr>
        <w:pStyle w:val="Heading2"/>
        <w:spacing w:before="58"/>
        <w:ind w:right="868"/>
      </w:pPr>
      <w:bookmarkStart w:name="_bookmark11" w:id="12"/>
      <w:bookmarkEnd w:id="12"/>
      <w:r>
        <w:rPr>
          <w:b w:val="0"/>
        </w:rPr>
      </w:r>
      <w:r>
        <w:rPr/>
        <w:t>建筑设计防火规范</w:t>
      </w:r>
      <w:r>
        <w:rPr>
          <w:w w:val="99"/>
        </w:rPr>
        <w:t> </w:t>
      </w:r>
    </w:p>
    <w:p>
      <w:pPr>
        <w:pStyle w:val="BodyText"/>
        <w:rPr>
          <w:b/>
          <w:sz w:val="20"/>
        </w:rPr>
      </w:pPr>
    </w:p>
    <w:p>
      <w:pPr>
        <w:pStyle w:val="BodyText"/>
        <w:spacing w:before="4"/>
        <w:rPr>
          <w:b/>
          <w:sz w:val="14"/>
        </w:rPr>
      </w:pPr>
    </w:p>
    <w:p>
      <w:pPr>
        <w:pStyle w:val="Heading4"/>
        <w:numPr>
          <w:ilvl w:val="0"/>
          <w:numId w:val="236"/>
        </w:numPr>
        <w:tabs>
          <w:tab w:pos="601" w:val="left" w:leader="none"/>
        </w:tabs>
        <w:spacing w:line="240" w:lineRule="auto" w:before="66" w:after="0"/>
        <w:ind w:left="600" w:right="0" w:hanging="183"/>
        <w:jc w:val="left"/>
      </w:pPr>
      <w:r>
        <w:rPr/>
        <w:t>总则</w:t>
      </w:r>
      <w:r>
        <w:rPr>
          <w:w w:val="99"/>
        </w:rPr>
        <w:t> </w:t>
      </w:r>
    </w:p>
    <w:p>
      <w:pPr>
        <w:pStyle w:val="BodyText"/>
        <w:spacing w:before="4"/>
        <w:rPr>
          <w:b/>
          <w:sz w:val="17"/>
        </w:rPr>
      </w:pPr>
    </w:p>
    <w:p>
      <w:pPr>
        <w:pStyle w:val="ListParagraph"/>
        <w:numPr>
          <w:ilvl w:val="1"/>
          <w:numId w:val="236"/>
        </w:numPr>
        <w:tabs>
          <w:tab w:pos="1160" w:val="left" w:leader="none"/>
        </w:tabs>
        <w:spacing w:line="240" w:lineRule="auto" w:before="0" w:after="0"/>
        <w:ind w:left="1159" w:right="0" w:hanging="320"/>
        <w:jc w:val="left"/>
        <w:rPr>
          <w:color w:val="333333"/>
          <w:sz w:val="19"/>
        </w:rPr>
      </w:pPr>
      <w:r>
        <w:rPr>
          <w:color w:val="333333"/>
          <w:spacing w:val="-3"/>
          <w:sz w:val="21"/>
        </w:rPr>
        <w:t>为了预防建筑火灾，减少火灾危害，保护人身和财产安全，制定本规范。 </w:t>
      </w:r>
    </w:p>
    <w:p>
      <w:pPr>
        <w:pStyle w:val="BodyText"/>
        <w:rPr>
          <w:sz w:val="18"/>
        </w:rPr>
      </w:pPr>
    </w:p>
    <w:p>
      <w:pPr>
        <w:pStyle w:val="ListParagraph"/>
        <w:numPr>
          <w:ilvl w:val="1"/>
          <w:numId w:val="236"/>
        </w:numPr>
        <w:tabs>
          <w:tab w:pos="1160" w:val="left" w:leader="none"/>
        </w:tabs>
        <w:spacing w:line="240" w:lineRule="auto" w:before="0" w:after="0"/>
        <w:ind w:left="1159" w:right="0" w:hanging="320"/>
        <w:jc w:val="left"/>
        <w:rPr>
          <w:color w:val="333333"/>
          <w:sz w:val="19"/>
        </w:rPr>
      </w:pPr>
      <w:r>
        <w:rPr>
          <w:color w:val="333333"/>
          <w:spacing w:val="-3"/>
          <w:sz w:val="21"/>
        </w:rPr>
        <w:t>本规范适用于下列新建、扩建和改建的建筑：</w:t>
      </w:r>
      <w:r>
        <w:rPr>
          <w:color w:val="333333"/>
          <w:sz w:val="21"/>
        </w:rPr>
        <w:t> </w:t>
      </w:r>
    </w:p>
    <w:p>
      <w:pPr>
        <w:pStyle w:val="BodyText"/>
        <w:spacing w:before="2"/>
        <w:rPr>
          <w:sz w:val="18"/>
        </w:rPr>
      </w:pPr>
    </w:p>
    <w:p>
      <w:pPr>
        <w:pStyle w:val="BodyText"/>
        <w:spacing w:line="446" w:lineRule="auto"/>
        <w:ind w:left="838" w:right="9069"/>
      </w:pPr>
      <w:r>
        <w:rPr>
          <w:color w:val="333333"/>
        </w:rPr>
        <w:t>厂房； 仓库； </w:t>
      </w:r>
    </w:p>
    <w:p>
      <w:pPr>
        <w:pStyle w:val="BodyText"/>
        <w:spacing w:line="267" w:lineRule="exact"/>
        <w:ind w:left="838"/>
      </w:pPr>
      <w:r>
        <w:rPr>
          <w:color w:val="333333"/>
        </w:rPr>
        <w:t>民用建筑； </w:t>
      </w:r>
    </w:p>
    <w:p>
      <w:pPr>
        <w:pStyle w:val="BodyText"/>
        <w:spacing w:before="2"/>
        <w:rPr>
          <w:sz w:val="18"/>
        </w:rPr>
      </w:pPr>
    </w:p>
    <w:p>
      <w:pPr>
        <w:pStyle w:val="BodyText"/>
        <w:spacing w:line="446" w:lineRule="auto"/>
        <w:ind w:left="838" w:right="6757"/>
      </w:pPr>
      <w:r>
        <w:rPr>
          <w:color w:val="333333"/>
          <w:spacing w:val="-3"/>
        </w:rPr>
        <w:t>甲、乙、丙类液体储罐（</w:t>
      </w:r>
      <w:r>
        <w:rPr>
          <w:color w:val="333333"/>
        </w:rPr>
        <w:t>区）； </w:t>
      </w:r>
      <w:r>
        <w:rPr>
          <w:color w:val="333333"/>
          <w:spacing w:val="-3"/>
        </w:rPr>
        <w:t>可燃、助燃气体储罐</w:t>
      </w:r>
      <w:r>
        <w:rPr>
          <w:color w:val="333333"/>
        </w:rPr>
        <w:t>（</w:t>
      </w:r>
      <w:r>
        <w:rPr>
          <w:color w:val="333333"/>
          <w:spacing w:val="-3"/>
        </w:rPr>
        <w:t>区</w:t>
      </w:r>
      <w:r>
        <w:rPr>
          <w:color w:val="333333"/>
        </w:rPr>
        <w:t>）；  </w:t>
      </w:r>
      <w:r>
        <w:rPr>
          <w:color w:val="333333"/>
          <w:spacing w:val="-3"/>
        </w:rPr>
        <w:t>可燃材料堆场；</w:t>
      </w:r>
      <w:r>
        <w:rPr>
          <w:color w:val="333333"/>
        </w:rPr>
        <w:t> </w:t>
      </w:r>
    </w:p>
    <w:p>
      <w:pPr>
        <w:pStyle w:val="BodyText"/>
        <w:spacing w:line="446" w:lineRule="auto"/>
        <w:ind w:left="418" w:right="1505" w:firstLine="419"/>
      </w:pPr>
      <w:r>
        <w:rPr>
          <w:color w:val="333333"/>
          <w:w w:val="100"/>
        </w:rPr>
        <w:t> </w:t>
      </w:r>
      <w:r>
        <w:rPr>
          <w:color w:val="333333"/>
        </w:rPr>
        <w:t>城市交通隧道。人民防空工程、石油和天然气工程、石油化工工程和火力发电厂与变电站等的建筑防火设计，当有专门的国家标准时，宜从其规定。 </w:t>
      </w:r>
    </w:p>
    <w:p>
      <w:pPr>
        <w:pStyle w:val="ListParagraph"/>
        <w:numPr>
          <w:ilvl w:val="1"/>
          <w:numId w:val="236"/>
        </w:numPr>
        <w:tabs>
          <w:tab w:pos="1160" w:val="left" w:leader="none"/>
        </w:tabs>
        <w:spacing w:line="446" w:lineRule="auto" w:before="0" w:after="0"/>
        <w:ind w:left="418" w:right="1604" w:firstLine="422"/>
        <w:jc w:val="left"/>
        <w:rPr>
          <w:color w:val="333333"/>
          <w:sz w:val="19"/>
        </w:rPr>
      </w:pPr>
      <w:r>
        <w:rPr>
          <w:color w:val="333333"/>
          <w:spacing w:val="-3"/>
          <w:sz w:val="21"/>
        </w:rPr>
        <w:t>本规范不适用于火药、炸药及其制品厂房</w:t>
      </w:r>
      <w:r>
        <w:rPr>
          <w:color w:val="333333"/>
          <w:sz w:val="21"/>
        </w:rPr>
        <w:t>（</w:t>
      </w:r>
      <w:r>
        <w:rPr>
          <w:color w:val="333333"/>
          <w:spacing w:val="-2"/>
          <w:sz w:val="21"/>
        </w:rPr>
        <w:t>仓库</w:t>
      </w:r>
      <w:r>
        <w:rPr>
          <w:color w:val="333333"/>
          <w:sz w:val="21"/>
        </w:rPr>
        <w:t>）</w:t>
      </w:r>
      <w:r>
        <w:rPr>
          <w:color w:val="333333"/>
          <w:spacing w:val="-3"/>
          <w:sz w:val="21"/>
        </w:rPr>
        <w:t>、花炮厂房</w:t>
      </w:r>
      <w:r>
        <w:rPr>
          <w:color w:val="333333"/>
          <w:sz w:val="21"/>
        </w:rPr>
        <w:t>（</w:t>
      </w:r>
      <w:r>
        <w:rPr>
          <w:color w:val="333333"/>
          <w:spacing w:val="-2"/>
          <w:sz w:val="21"/>
        </w:rPr>
        <w:t>仓库</w:t>
      </w:r>
      <w:r>
        <w:rPr>
          <w:color w:val="333333"/>
          <w:spacing w:val="-3"/>
          <w:sz w:val="21"/>
        </w:rPr>
        <w:t>）</w:t>
      </w:r>
      <w:r>
        <w:rPr>
          <w:color w:val="333333"/>
          <w:spacing w:val="-2"/>
          <w:sz w:val="21"/>
        </w:rPr>
        <w:t>的建筑防火设</w:t>
      </w:r>
      <w:r>
        <w:rPr>
          <w:color w:val="333333"/>
          <w:spacing w:val="-3"/>
          <w:sz w:val="21"/>
        </w:rPr>
        <w:t>计。</w:t>
      </w:r>
      <w:r>
        <w:rPr>
          <w:color w:val="333333"/>
          <w:sz w:val="21"/>
        </w:rPr>
        <w:t> </w:t>
      </w:r>
    </w:p>
    <w:p>
      <w:pPr>
        <w:pStyle w:val="ListParagraph"/>
        <w:numPr>
          <w:ilvl w:val="1"/>
          <w:numId w:val="236"/>
        </w:numPr>
        <w:tabs>
          <w:tab w:pos="1160" w:val="left" w:leader="none"/>
        </w:tabs>
        <w:spacing w:line="446" w:lineRule="auto" w:before="0" w:after="0"/>
        <w:ind w:left="418" w:right="1604" w:firstLine="422"/>
        <w:jc w:val="left"/>
        <w:rPr>
          <w:color w:val="333333"/>
          <w:sz w:val="19"/>
        </w:rPr>
      </w:pPr>
      <w:r>
        <w:rPr>
          <w:color w:val="333333"/>
          <w:spacing w:val="-3"/>
          <w:sz w:val="21"/>
        </w:rPr>
        <w:t>同一建筑内设置多种使用功能场所时，不同使用功能场所之间应进行防火分隔，该建筑及其各功能场所的防火设计应根据本规范的相关规定确定。</w:t>
      </w:r>
      <w:r>
        <w:rPr>
          <w:color w:val="333333"/>
          <w:sz w:val="21"/>
        </w:rPr>
        <w:t> </w:t>
      </w:r>
    </w:p>
    <w:p>
      <w:pPr>
        <w:pStyle w:val="ListParagraph"/>
        <w:numPr>
          <w:ilvl w:val="1"/>
          <w:numId w:val="236"/>
        </w:numPr>
        <w:tabs>
          <w:tab w:pos="1160" w:val="left" w:leader="none"/>
        </w:tabs>
        <w:spacing w:line="446" w:lineRule="auto" w:before="0" w:after="0"/>
        <w:ind w:left="418" w:right="1604" w:firstLine="422"/>
        <w:jc w:val="left"/>
        <w:rPr>
          <w:color w:val="333333"/>
          <w:sz w:val="19"/>
        </w:rPr>
      </w:pPr>
      <w:r>
        <w:rPr>
          <w:color w:val="333333"/>
          <w:spacing w:val="-3"/>
          <w:sz w:val="21"/>
        </w:rPr>
        <w:t>建筑防火设计应遵循国家的有关方针政策，针对建筑及其火灾特点，从全局出发，统筹兼顾，做到安全适用、技术先进、经济合理。</w:t>
      </w:r>
      <w:r>
        <w:rPr>
          <w:color w:val="333333"/>
          <w:sz w:val="21"/>
        </w:rPr>
        <w:t> </w:t>
      </w:r>
    </w:p>
    <w:p>
      <w:pPr>
        <w:pStyle w:val="ListParagraph"/>
        <w:numPr>
          <w:ilvl w:val="1"/>
          <w:numId w:val="236"/>
        </w:numPr>
        <w:tabs>
          <w:tab w:pos="1160" w:val="left" w:leader="none"/>
        </w:tabs>
        <w:spacing w:line="446" w:lineRule="auto" w:before="0" w:after="0"/>
        <w:ind w:left="418" w:right="1445" w:firstLine="422"/>
        <w:jc w:val="left"/>
        <w:rPr>
          <w:color w:val="333333"/>
          <w:sz w:val="19"/>
        </w:rPr>
      </w:pPr>
      <w:r>
        <w:rPr>
          <w:color w:val="333333"/>
          <w:spacing w:val="-9"/>
          <w:sz w:val="21"/>
        </w:rPr>
        <w:t>建筑高度大于 </w:t>
      </w:r>
      <w:r>
        <w:rPr>
          <w:color w:val="333333"/>
          <w:sz w:val="21"/>
        </w:rPr>
        <w:t>250m</w:t>
      </w:r>
      <w:r>
        <w:rPr>
          <w:color w:val="333333"/>
          <w:spacing w:val="-3"/>
          <w:sz w:val="21"/>
        </w:rPr>
        <w:t> 的建筑，除应符合本规范的要求外，尚应结合实际情况采取更加严格的防火措施，其防火设计应提交国家消防主管部门组织专题研究、论证。</w:t>
      </w:r>
      <w:r>
        <w:rPr>
          <w:color w:val="333333"/>
          <w:sz w:val="21"/>
        </w:rPr>
        <w:t> </w:t>
      </w:r>
    </w:p>
    <w:p>
      <w:pPr>
        <w:pStyle w:val="ListParagraph"/>
        <w:numPr>
          <w:ilvl w:val="1"/>
          <w:numId w:val="236"/>
        </w:numPr>
        <w:tabs>
          <w:tab w:pos="1160" w:val="left" w:leader="none"/>
        </w:tabs>
        <w:spacing w:line="240" w:lineRule="auto" w:before="0" w:after="0"/>
        <w:ind w:left="1159" w:right="0" w:hanging="320"/>
        <w:jc w:val="left"/>
        <w:rPr>
          <w:color w:val="333333"/>
          <w:sz w:val="19"/>
        </w:rPr>
      </w:pPr>
      <w:r>
        <w:rPr>
          <w:color w:val="333333"/>
          <w:spacing w:val="-3"/>
          <w:sz w:val="21"/>
        </w:rPr>
        <w:t>建筑防火设计除应符合本规范的规定外，尚应符合国家现行有关标准的规定。 </w:t>
      </w:r>
    </w:p>
    <w:p>
      <w:pPr>
        <w:pStyle w:val="BodyText"/>
        <w:spacing w:before="2"/>
        <w:rPr>
          <w:sz w:val="15"/>
        </w:rPr>
      </w:pPr>
    </w:p>
    <w:p>
      <w:pPr>
        <w:pStyle w:val="Heading4"/>
        <w:numPr>
          <w:ilvl w:val="0"/>
          <w:numId w:val="236"/>
        </w:numPr>
        <w:tabs>
          <w:tab w:pos="601" w:val="left" w:leader="none"/>
        </w:tabs>
        <w:spacing w:line="240" w:lineRule="auto" w:before="0" w:after="0"/>
        <w:ind w:left="600" w:right="0" w:hanging="183"/>
        <w:jc w:val="left"/>
      </w:pPr>
      <w:r>
        <w:rPr/>
        <w:t>术语、符号</w:t>
      </w:r>
      <w:r>
        <w:rPr>
          <w:w w:val="99"/>
        </w:rPr>
        <w:t> </w:t>
      </w:r>
    </w:p>
    <w:p>
      <w:pPr>
        <w:pStyle w:val="BodyText"/>
        <w:spacing w:before="6"/>
        <w:rPr>
          <w:b/>
          <w:sz w:val="17"/>
        </w:rPr>
      </w:pPr>
    </w:p>
    <w:p>
      <w:pPr>
        <w:pStyle w:val="ListParagraph"/>
        <w:numPr>
          <w:ilvl w:val="1"/>
          <w:numId w:val="236"/>
        </w:numPr>
        <w:tabs>
          <w:tab w:pos="1159" w:val="left" w:leader="none"/>
        </w:tabs>
        <w:spacing w:line="240" w:lineRule="auto" w:before="1" w:after="0"/>
        <w:ind w:left="1158" w:right="0" w:hanging="319"/>
        <w:jc w:val="left"/>
        <w:rPr>
          <w:sz w:val="19"/>
        </w:rPr>
      </w:pPr>
      <w:r>
        <w:rPr>
          <w:spacing w:val="-3"/>
          <w:sz w:val="21"/>
        </w:rPr>
        <w:t>术语</w:t>
      </w:r>
      <w:r>
        <w:rPr>
          <w:sz w:val="21"/>
        </w:rPr>
        <w:t> </w:t>
      </w:r>
    </w:p>
    <w:p>
      <w:pPr>
        <w:pStyle w:val="BodyText"/>
        <w:spacing w:before="12"/>
        <w:rPr>
          <w:sz w:val="17"/>
        </w:rPr>
      </w:pPr>
    </w:p>
    <w:p>
      <w:pPr>
        <w:pStyle w:val="ListParagraph"/>
        <w:numPr>
          <w:ilvl w:val="2"/>
          <w:numId w:val="236"/>
        </w:numPr>
        <w:tabs>
          <w:tab w:pos="1371" w:val="left" w:leader="none"/>
        </w:tabs>
        <w:spacing w:line="240" w:lineRule="auto" w:before="0" w:after="0"/>
        <w:ind w:left="1370" w:right="0" w:hanging="531"/>
        <w:jc w:val="left"/>
        <w:rPr>
          <w:sz w:val="21"/>
        </w:rPr>
      </w:pPr>
      <w:r>
        <w:rPr>
          <w:color w:val="333333"/>
          <w:spacing w:val="-3"/>
          <w:sz w:val="21"/>
        </w:rPr>
        <w:t>高层建筑 </w:t>
      </w:r>
      <w:r>
        <w:rPr>
          <w:color w:val="333333"/>
          <w:sz w:val="21"/>
        </w:rPr>
        <w:t>high-rise</w:t>
      </w:r>
      <w:r>
        <w:rPr>
          <w:color w:val="333333"/>
          <w:spacing w:val="1"/>
          <w:sz w:val="21"/>
        </w:rPr>
        <w:t> </w:t>
      </w:r>
      <w:r>
        <w:rPr>
          <w:color w:val="333333"/>
          <w:sz w:val="21"/>
        </w:rPr>
        <w:t>building </w:t>
      </w:r>
    </w:p>
    <w:p>
      <w:pPr>
        <w:pStyle w:val="BodyText"/>
        <w:rPr>
          <w:sz w:val="18"/>
        </w:rPr>
      </w:pPr>
    </w:p>
    <w:p>
      <w:pPr>
        <w:pStyle w:val="BodyText"/>
        <w:spacing w:line="446" w:lineRule="auto"/>
        <w:ind w:left="838" w:right="1505"/>
      </w:pPr>
      <w:r>
        <w:rPr>
          <w:color w:val="333333"/>
          <w:spacing w:val="-9"/>
        </w:rPr>
        <w:t>建筑高度大于 </w:t>
      </w:r>
      <w:r>
        <w:rPr>
          <w:color w:val="333333"/>
        </w:rPr>
        <w:t>27m</w:t>
      </w:r>
      <w:r>
        <w:rPr>
          <w:color w:val="333333"/>
          <w:spacing w:val="-11"/>
        </w:rPr>
        <w:t> 的住宅建筑和建筑高度大于 </w:t>
      </w:r>
      <w:r>
        <w:rPr>
          <w:color w:val="333333"/>
        </w:rPr>
        <w:t>24m</w:t>
      </w:r>
      <w:r>
        <w:rPr>
          <w:color w:val="333333"/>
          <w:spacing w:val="-9"/>
        </w:rPr>
        <w:t> 的非单层厂房、仓库和其他民用建筑。</w:t>
      </w:r>
      <w:r>
        <w:rPr>
          <w:color w:val="333333"/>
          <w:spacing w:val="-6"/>
        </w:rPr>
        <w:t>注：建筑高度的计算应符合本规范附录 </w:t>
      </w:r>
      <w:r>
        <w:rPr>
          <w:color w:val="333333"/>
        </w:rPr>
        <w:t>A</w:t>
      </w:r>
      <w:r>
        <w:rPr>
          <w:color w:val="333333"/>
          <w:spacing w:val="-13"/>
        </w:rPr>
        <w:t> 的规定。</w:t>
      </w:r>
      <w:r>
        <w:rPr>
          <w:color w:val="333333"/>
        </w:rPr>
        <w:t> </w:t>
      </w:r>
    </w:p>
    <w:p>
      <w:pPr>
        <w:spacing w:after="0" w:line="446" w:lineRule="auto"/>
        <w:sectPr>
          <w:pgSz w:w="11910" w:h="16850"/>
          <w:pgMar w:header="0" w:footer="1239" w:top="1600" w:bottom="1420" w:left="1260" w:right="0"/>
        </w:sectPr>
      </w:pPr>
    </w:p>
    <w:p>
      <w:pPr>
        <w:pStyle w:val="ListParagraph"/>
        <w:numPr>
          <w:ilvl w:val="2"/>
          <w:numId w:val="236"/>
        </w:numPr>
        <w:tabs>
          <w:tab w:pos="1371" w:val="left" w:leader="none"/>
        </w:tabs>
        <w:spacing w:line="240" w:lineRule="auto" w:before="47" w:after="0"/>
        <w:ind w:left="1370" w:right="0" w:hanging="531"/>
        <w:jc w:val="left"/>
        <w:rPr>
          <w:sz w:val="21"/>
        </w:rPr>
      </w:pPr>
      <w:r>
        <w:rPr>
          <w:color w:val="333333"/>
          <w:spacing w:val="-2"/>
          <w:sz w:val="21"/>
        </w:rPr>
        <w:t>裙房 </w:t>
      </w:r>
      <w:r>
        <w:rPr>
          <w:color w:val="333333"/>
          <w:sz w:val="21"/>
        </w:rPr>
        <w:t>podium </w:t>
      </w:r>
    </w:p>
    <w:p>
      <w:pPr>
        <w:pStyle w:val="BodyText"/>
        <w:rPr>
          <w:sz w:val="18"/>
        </w:rPr>
      </w:pPr>
    </w:p>
    <w:p>
      <w:pPr>
        <w:pStyle w:val="BodyText"/>
        <w:spacing w:line="446" w:lineRule="auto"/>
        <w:ind w:left="840" w:right="2134" w:hanging="3"/>
      </w:pPr>
      <w:r>
        <w:rPr>
          <w:color w:val="333333"/>
        </w:rPr>
        <w:t>在高层建筑主体投影范围外，与建筑主体相连且建筑高度不大于 24m 的附属建筑。</w:t>
      </w:r>
      <w:r>
        <w:rPr>
          <w:b/>
          <w:color w:val="333333"/>
        </w:rPr>
        <w:t>2.1.3 </w:t>
      </w:r>
      <w:r>
        <w:rPr>
          <w:color w:val="333333"/>
        </w:rPr>
        <w:t>重要公共建筑 important public building </w:t>
      </w:r>
    </w:p>
    <w:p>
      <w:pPr>
        <w:pStyle w:val="BodyText"/>
        <w:spacing w:line="446" w:lineRule="auto"/>
        <w:ind w:left="840" w:right="2977" w:hanging="3"/>
      </w:pPr>
      <w:r>
        <w:rPr>
          <w:color w:val="333333"/>
        </w:rPr>
        <w:t>发生火灾可能造成重大人员伤亡、财产损失和严重社会影响的公共建筑。</w:t>
      </w:r>
      <w:r>
        <w:rPr>
          <w:b/>
          <w:color w:val="333333"/>
        </w:rPr>
        <w:t>2.1.4 </w:t>
      </w:r>
      <w:r>
        <w:rPr>
          <w:color w:val="333333"/>
        </w:rPr>
        <w:t>商业服务网点 commercial facilities </w:t>
      </w:r>
    </w:p>
    <w:p>
      <w:pPr>
        <w:pStyle w:val="BodyText"/>
        <w:spacing w:line="446" w:lineRule="auto"/>
        <w:ind w:left="418" w:right="1661" w:firstLine="419"/>
      </w:pPr>
      <w:r>
        <w:rPr>
          <w:color w:val="333333"/>
          <w:spacing w:val="-4"/>
        </w:rPr>
        <w:t>设置在住宅建筑的首层或首层及二层，每个分隔单元建筑面积不大于 </w:t>
      </w:r>
      <w:r>
        <w:rPr>
          <w:color w:val="333333"/>
        </w:rPr>
        <w:t>300m²</w:t>
      </w:r>
      <w:r>
        <w:rPr>
          <w:color w:val="333333"/>
          <w:spacing w:val="-2"/>
        </w:rPr>
        <w:t>的商店、邮政</w:t>
      </w:r>
      <w:r>
        <w:rPr>
          <w:color w:val="333333"/>
          <w:spacing w:val="-3"/>
        </w:rPr>
        <w:t>所、储蓄所、理发店等小型营业性用房。</w:t>
      </w:r>
      <w:r>
        <w:rPr>
          <w:color w:val="333333"/>
        </w:rPr>
        <w:t> </w:t>
      </w:r>
    </w:p>
    <w:p>
      <w:pPr>
        <w:spacing w:before="0"/>
        <w:ind w:left="840" w:right="0" w:firstLine="0"/>
        <w:jc w:val="left"/>
        <w:rPr>
          <w:sz w:val="21"/>
        </w:rPr>
      </w:pPr>
      <w:r>
        <w:rPr>
          <w:b/>
          <w:color w:val="333333"/>
          <w:sz w:val="21"/>
        </w:rPr>
        <w:t>2.1.5</w:t>
      </w:r>
      <w:r>
        <w:rPr>
          <w:b/>
          <w:color w:val="333333"/>
          <w:spacing w:val="-1"/>
          <w:sz w:val="21"/>
        </w:rPr>
        <w:t> </w:t>
      </w:r>
      <w:r>
        <w:rPr>
          <w:color w:val="333333"/>
          <w:spacing w:val="-3"/>
          <w:sz w:val="21"/>
        </w:rPr>
        <w:t>高架仓库 </w:t>
      </w:r>
      <w:r>
        <w:rPr>
          <w:color w:val="333333"/>
          <w:sz w:val="21"/>
        </w:rPr>
        <w:t>high</w:t>
      </w:r>
      <w:r>
        <w:rPr>
          <w:color w:val="333333"/>
          <w:spacing w:val="1"/>
          <w:sz w:val="21"/>
        </w:rPr>
        <w:t> </w:t>
      </w:r>
      <w:r>
        <w:rPr>
          <w:color w:val="333333"/>
          <w:sz w:val="21"/>
        </w:rPr>
        <w:t>rack storage </w:t>
      </w:r>
    </w:p>
    <w:p>
      <w:pPr>
        <w:pStyle w:val="BodyText"/>
        <w:spacing w:before="10"/>
        <w:rPr>
          <w:sz w:val="17"/>
        </w:rPr>
      </w:pPr>
    </w:p>
    <w:p>
      <w:pPr>
        <w:pStyle w:val="BodyText"/>
        <w:spacing w:line="446" w:lineRule="auto"/>
        <w:ind w:left="840" w:right="3923" w:hanging="3"/>
      </w:pPr>
      <w:r>
        <w:rPr>
          <w:color w:val="333333"/>
        </w:rPr>
        <w:t>货架高度大于 7m 且采用机械化操作或自动化控制的货架仓库。</w:t>
      </w:r>
      <w:r>
        <w:rPr>
          <w:b/>
          <w:color w:val="333333"/>
        </w:rPr>
        <w:t>2.1.6 </w:t>
      </w:r>
      <w:r>
        <w:rPr>
          <w:color w:val="333333"/>
        </w:rPr>
        <w:t>半地下室 semi-basement </w:t>
      </w:r>
    </w:p>
    <w:p>
      <w:pPr>
        <w:pStyle w:val="BodyText"/>
        <w:spacing w:line="446" w:lineRule="auto"/>
        <w:ind w:left="840" w:right="1919" w:hanging="3"/>
      </w:pPr>
      <w:r>
        <w:rPr>
          <w:color w:val="333333"/>
        </w:rPr>
        <w:t>房间地面低于室外设计地面的平均高度大于该房间平均净高 1/3，且不大于 1/2 者。</w:t>
      </w:r>
      <w:r>
        <w:rPr>
          <w:b/>
          <w:color w:val="333333"/>
        </w:rPr>
        <w:t>2.1.7 </w:t>
      </w:r>
      <w:r>
        <w:rPr>
          <w:color w:val="333333"/>
        </w:rPr>
        <w:t>地下室 basement </w:t>
      </w:r>
    </w:p>
    <w:p>
      <w:pPr>
        <w:pStyle w:val="BodyText"/>
        <w:spacing w:line="446" w:lineRule="auto"/>
        <w:ind w:left="840" w:right="3397" w:hanging="3"/>
      </w:pPr>
      <w:r>
        <w:rPr>
          <w:color w:val="333333"/>
        </w:rPr>
        <w:t>房间地面低于室外设计地面的平均高度大于该房间平均净高 1/2 者。</w:t>
      </w:r>
      <w:r>
        <w:rPr>
          <w:b/>
          <w:color w:val="333333"/>
        </w:rPr>
        <w:t>2.1.8 </w:t>
      </w:r>
      <w:r>
        <w:rPr>
          <w:color w:val="333333"/>
        </w:rPr>
        <w:t>明火地点 open flame location </w:t>
      </w:r>
    </w:p>
    <w:p>
      <w:pPr>
        <w:pStyle w:val="BodyText"/>
        <w:spacing w:line="446" w:lineRule="auto"/>
        <w:ind w:left="840" w:right="2134" w:hanging="3"/>
      </w:pPr>
      <w:r>
        <w:rPr>
          <w:color w:val="333333"/>
        </w:rPr>
        <w:t>室内外有外露火焰或赤热表面的固定地点（民用建筑内的灶具、电磁炉等除外）。</w:t>
      </w:r>
      <w:r>
        <w:rPr>
          <w:b/>
          <w:color w:val="333333"/>
        </w:rPr>
        <w:t>2.1.9 </w:t>
      </w:r>
      <w:r>
        <w:rPr>
          <w:color w:val="333333"/>
        </w:rPr>
        <w:t>散发火花地点 sparking site </w:t>
      </w:r>
    </w:p>
    <w:p>
      <w:pPr>
        <w:pStyle w:val="BodyText"/>
        <w:spacing w:line="446" w:lineRule="auto"/>
        <w:ind w:left="840" w:right="3186" w:hanging="3"/>
      </w:pPr>
      <w:r>
        <w:rPr>
          <w:color w:val="333333"/>
        </w:rPr>
        <w:t>有飞火的烟囱或进行室外砂轮、电焊、气焊、气割等作业的固定地点。</w:t>
      </w:r>
      <w:r>
        <w:rPr>
          <w:b/>
          <w:color w:val="333333"/>
        </w:rPr>
        <w:t>2.1.10 </w:t>
      </w:r>
      <w:r>
        <w:rPr>
          <w:color w:val="333333"/>
        </w:rPr>
        <w:t>耐火极限 fire resistance rating </w:t>
      </w:r>
    </w:p>
    <w:p>
      <w:pPr>
        <w:pStyle w:val="BodyText"/>
        <w:spacing w:line="446" w:lineRule="auto"/>
        <w:ind w:left="418" w:right="1609" w:firstLine="419"/>
      </w:pPr>
      <w:r>
        <w:rPr>
          <w:color w:val="333333"/>
        </w:rPr>
        <w:t>在标准耐火试验条件下，建筑构件、配件或结构从受到火的作用时起，至失去承载能力、完整性或隔热性时止所用时间，用小时表示。 </w:t>
      </w:r>
    </w:p>
    <w:p>
      <w:pPr>
        <w:spacing w:line="267" w:lineRule="exact" w:before="0"/>
        <w:ind w:left="840" w:right="0" w:firstLine="0"/>
        <w:jc w:val="left"/>
        <w:rPr>
          <w:sz w:val="21"/>
        </w:rPr>
      </w:pPr>
      <w:r>
        <w:rPr>
          <w:b/>
          <w:color w:val="333333"/>
          <w:sz w:val="21"/>
        </w:rPr>
        <w:t>2.1.11 </w:t>
      </w:r>
      <w:r>
        <w:rPr>
          <w:color w:val="333333"/>
          <w:sz w:val="21"/>
        </w:rPr>
        <w:t>防火隔墙 fire partition wall </w:t>
      </w:r>
    </w:p>
    <w:p>
      <w:pPr>
        <w:pStyle w:val="BodyText"/>
        <w:rPr>
          <w:sz w:val="18"/>
        </w:rPr>
      </w:pPr>
    </w:p>
    <w:p>
      <w:pPr>
        <w:pStyle w:val="BodyText"/>
        <w:spacing w:line="446" w:lineRule="auto"/>
        <w:ind w:left="840" w:right="2765" w:hanging="3"/>
      </w:pPr>
      <w:r>
        <w:rPr>
          <w:color w:val="333333"/>
        </w:rPr>
        <w:t>建筑内防止火灾蔓延至相邻区域且耐火极限不低于规定要求的不燃性墙体。</w:t>
      </w:r>
      <w:r>
        <w:rPr>
          <w:b/>
          <w:color w:val="333333"/>
        </w:rPr>
        <w:t>2.1.12 </w:t>
      </w:r>
      <w:r>
        <w:rPr>
          <w:color w:val="333333"/>
        </w:rPr>
        <w:t>防火墙 fire wall </w:t>
      </w:r>
    </w:p>
    <w:p>
      <w:pPr>
        <w:pStyle w:val="BodyText"/>
        <w:spacing w:line="446" w:lineRule="auto"/>
        <w:ind w:left="840" w:right="1664" w:hanging="3"/>
      </w:pPr>
      <w:r>
        <w:rPr>
          <w:color w:val="333333"/>
        </w:rPr>
        <w:t>防止火灾蔓延至相邻建筑或相邻水平防火分区且耐火极限不低于 3.00h 的不燃性墙体。</w:t>
      </w:r>
      <w:r>
        <w:rPr>
          <w:b/>
          <w:color w:val="333333"/>
        </w:rPr>
        <w:t>2.1.13 </w:t>
      </w:r>
      <w:r>
        <w:rPr>
          <w:color w:val="333333"/>
        </w:rPr>
        <w:t>避难层（间） refuge floor（room） </w:t>
      </w:r>
    </w:p>
    <w:p>
      <w:pPr>
        <w:pStyle w:val="BodyText"/>
        <w:spacing w:line="446" w:lineRule="auto"/>
        <w:ind w:left="840" w:right="4026" w:hanging="3"/>
      </w:pPr>
      <w:r>
        <w:rPr>
          <w:color w:val="333333"/>
        </w:rPr>
        <w:t>建筑内用于人员暂时躲避火灾及其烟气危害的楼层（房间）。</w:t>
      </w:r>
      <w:r>
        <w:rPr>
          <w:b/>
          <w:color w:val="333333"/>
        </w:rPr>
        <w:t>2.1.14 </w:t>
      </w:r>
      <w:r>
        <w:rPr>
          <w:color w:val="333333"/>
        </w:rPr>
        <w:t>安全出口 safety exit </w:t>
      </w:r>
    </w:p>
    <w:p>
      <w:pPr>
        <w:pStyle w:val="BodyText"/>
        <w:ind w:left="838"/>
      </w:pPr>
      <w:r>
        <w:rPr>
          <w:color w:val="333333"/>
        </w:rPr>
        <w:t>供人员安全疏散用的楼梯间和室外楼梯的出入口或直通室内外安全区域的出口。 </w:t>
      </w:r>
    </w:p>
    <w:p>
      <w:pPr>
        <w:spacing w:after="0"/>
        <w:sectPr>
          <w:pgSz w:w="11910" w:h="16850"/>
          <w:pgMar w:header="0" w:footer="1239" w:top="1220" w:bottom="1420" w:left="1260" w:right="0"/>
        </w:sectPr>
      </w:pPr>
    </w:p>
    <w:p>
      <w:pPr>
        <w:spacing w:before="47"/>
        <w:ind w:left="840" w:right="0" w:firstLine="0"/>
        <w:jc w:val="left"/>
        <w:rPr>
          <w:sz w:val="21"/>
        </w:rPr>
      </w:pPr>
      <w:r>
        <w:rPr>
          <w:b/>
          <w:color w:val="333333"/>
          <w:sz w:val="21"/>
        </w:rPr>
        <w:t>2.1.15 </w:t>
      </w:r>
      <w:r>
        <w:rPr>
          <w:color w:val="333333"/>
          <w:sz w:val="21"/>
        </w:rPr>
        <w:t>封闭楼梯间 enclosed staircase </w:t>
      </w:r>
    </w:p>
    <w:p>
      <w:pPr>
        <w:pStyle w:val="BodyText"/>
        <w:rPr>
          <w:sz w:val="18"/>
        </w:rPr>
      </w:pPr>
    </w:p>
    <w:p>
      <w:pPr>
        <w:pStyle w:val="BodyText"/>
        <w:spacing w:line="446" w:lineRule="auto"/>
        <w:ind w:left="840" w:right="3817" w:hanging="3"/>
      </w:pPr>
      <w:r>
        <w:rPr>
          <w:color w:val="333333"/>
        </w:rPr>
        <w:t>在楼梯间入口处设置门，以防止火灾的烟和热气进入的楼梯间。</w:t>
      </w:r>
      <w:r>
        <w:rPr>
          <w:b/>
          <w:color w:val="333333"/>
        </w:rPr>
        <w:t>2.1.16 </w:t>
      </w:r>
      <w:r>
        <w:rPr>
          <w:color w:val="333333"/>
        </w:rPr>
        <w:t>防烟楼梯间 smoke-proof staircase </w:t>
      </w:r>
    </w:p>
    <w:p>
      <w:pPr>
        <w:pStyle w:val="BodyText"/>
        <w:spacing w:line="446" w:lineRule="auto"/>
        <w:ind w:left="418" w:right="1608" w:firstLine="419"/>
      </w:pPr>
      <w:r>
        <w:rPr>
          <w:color w:val="333333"/>
        </w:rPr>
        <w:t>在楼梯间入口处设置防烟的前室、开敞式阳台或凹廊（统称前室）等设施，且通向前室和楼梯间的门均为防火门，以防止火灾的烟和热气进入的楼梯间。 </w:t>
      </w:r>
    </w:p>
    <w:p>
      <w:pPr>
        <w:pStyle w:val="ListParagraph"/>
        <w:numPr>
          <w:ilvl w:val="2"/>
          <w:numId w:val="237"/>
        </w:numPr>
        <w:tabs>
          <w:tab w:pos="1478" w:val="left" w:leader="none"/>
        </w:tabs>
        <w:spacing w:line="267" w:lineRule="exact" w:before="0" w:after="0"/>
        <w:ind w:left="1477" w:right="0" w:hanging="638"/>
        <w:jc w:val="left"/>
        <w:rPr>
          <w:sz w:val="21"/>
        </w:rPr>
      </w:pPr>
      <w:r>
        <w:rPr>
          <w:color w:val="333333"/>
          <w:spacing w:val="-3"/>
          <w:sz w:val="21"/>
        </w:rPr>
        <w:t>避难走道 </w:t>
      </w:r>
      <w:r>
        <w:rPr>
          <w:color w:val="333333"/>
          <w:sz w:val="21"/>
        </w:rPr>
        <w:t>exit</w:t>
      </w:r>
      <w:r>
        <w:rPr>
          <w:color w:val="333333"/>
          <w:spacing w:val="1"/>
          <w:sz w:val="21"/>
        </w:rPr>
        <w:t> </w:t>
      </w:r>
      <w:r>
        <w:rPr>
          <w:color w:val="333333"/>
          <w:sz w:val="21"/>
        </w:rPr>
        <w:t>passageway </w:t>
      </w:r>
    </w:p>
    <w:p>
      <w:pPr>
        <w:pStyle w:val="BodyText"/>
        <w:spacing w:before="2"/>
        <w:rPr>
          <w:sz w:val="18"/>
        </w:rPr>
      </w:pPr>
    </w:p>
    <w:p>
      <w:pPr>
        <w:pStyle w:val="BodyText"/>
        <w:spacing w:line="446" w:lineRule="auto"/>
        <w:ind w:left="418" w:right="1498" w:firstLine="419"/>
      </w:pPr>
      <w:r>
        <w:rPr>
          <w:color w:val="333333"/>
        </w:rPr>
        <w:t>采取防烟措施且两侧设置耐火极限不低于 3.00h 的防火隔墙，用于人员安全通行至室外的走道。 </w:t>
      </w:r>
    </w:p>
    <w:p>
      <w:pPr>
        <w:pStyle w:val="ListParagraph"/>
        <w:numPr>
          <w:ilvl w:val="2"/>
          <w:numId w:val="237"/>
        </w:numPr>
        <w:tabs>
          <w:tab w:pos="1478" w:val="left" w:leader="none"/>
        </w:tabs>
        <w:spacing w:line="267" w:lineRule="exact" w:before="0" w:after="0"/>
        <w:ind w:left="1477" w:right="0" w:hanging="638"/>
        <w:jc w:val="left"/>
        <w:rPr>
          <w:sz w:val="21"/>
        </w:rPr>
      </w:pPr>
      <w:r>
        <w:rPr>
          <w:color w:val="333333"/>
          <w:spacing w:val="-2"/>
          <w:sz w:val="21"/>
        </w:rPr>
        <w:t>闪点 </w:t>
      </w:r>
      <w:r>
        <w:rPr>
          <w:color w:val="333333"/>
          <w:sz w:val="21"/>
        </w:rPr>
        <w:t>flash</w:t>
      </w:r>
      <w:r>
        <w:rPr>
          <w:color w:val="333333"/>
          <w:spacing w:val="1"/>
          <w:sz w:val="21"/>
        </w:rPr>
        <w:t> </w:t>
      </w:r>
      <w:r>
        <w:rPr>
          <w:color w:val="333333"/>
          <w:sz w:val="21"/>
        </w:rPr>
        <w:t>point </w:t>
      </w:r>
    </w:p>
    <w:p>
      <w:pPr>
        <w:pStyle w:val="BodyText"/>
        <w:spacing w:before="2"/>
        <w:rPr>
          <w:sz w:val="18"/>
        </w:rPr>
      </w:pPr>
    </w:p>
    <w:p>
      <w:pPr>
        <w:pStyle w:val="BodyText"/>
        <w:spacing w:line="446" w:lineRule="auto"/>
        <w:ind w:left="418" w:right="1609" w:firstLine="419"/>
      </w:pPr>
      <w:r>
        <w:rPr>
          <w:color w:val="333333"/>
        </w:rPr>
        <w:t>在规定的试验条件下，可燃性液体或固体表面产生的蒸气与空气形成的混合物，遇火源能够闪燃的液体或固体的最低温度（采用闭杯法测定）。 </w:t>
      </w:r>
    </w:p>
    <w:p>
      <w:pPr>
        <w:pStyle w:val="ListParagraph"/>
        <w:numPr>
          <w:ilvl w:val="2"/>
          <w:numId w:val="237"/>
        </w:numPr>
        <w:tabs>
          <w:tab w:pos="1478" w:val="left" w:leader="none"/>
        </w:tabs>
        <w:spacing w:line="267" w:lineRule="exact" w:before="0" w:after="0"/>
        <w:ind w:left="1477" w:right="0" w:hanging="638"/>
        <w:jc w:val="left"/>
        <w:rPr>
          <w:sz w:val="21"/>
        </w:rPr>
      </w:pPr>
      <w:r>
        <w:rPr>
          <w:color w:val="333333"/>
          <w:spacing w:val="-3"/>
          <w:sz w:val="21"/>
        </w:rPr>
        <w:t>爆炸下限 </w:t>
      </w:r>
      <w:r>
        <w:rPr>
          <w:color w:val="333333"/>
          <w:sz w:val="21"/>
        </w:rPr>
        <w:t>lower</w:t>
      </w:r>
      <w:r>
        <w:rPr>
          <w:color w:val="333333"/>
          <w:spacing w:val="-2"/>
          <w:sz w:val="21"/>
        </w:rPr>
        <w:t> </w:t>
      </w:r>
      <w:r>
        <w:rPr>
          <w:color w:val="333333"/>
          <w:sz w:val="21"/>
        </w:rPr>
        <w:t>explosion limit </w:t>
      </w:r>
    </w:p>
    <w:p>
      <w:pPr>
        <w:pStyle w:val="BodyText"/>
        <w:spacing w:before="2"/>
        <w:rPr>
          <w:sz w:val="18"/>
        </w:rPr>
      </w:pPr>
    </w:p>
    <w:p>
      <w:pPr>
        <w:pStyle w:val="BodyText"/>
        <w:spacing w:line="446" w:lineRule="auto"/>
        <w:ind w:left="840" w:right="2134" w:hanging="3"/>
      </w:pPr>
      <w:r>
        <w:rPr>
          <w:color w:val="333333"/>
        </w:rPr>
        <w:t>可燃的蒸气、气体或粉尘与空气组成的混合物，遇火源即能发生爆炸的最低浓度。</w:t>
      </w:r>
      <w:r>
        <w:rPr>
          <w:b/>
          <w:color w:val="333333"/>
        </w:rPr>
        <w:t>2.1.20 </w:t>
      </w:r>
      <w:r>
        <w:rPr>
          <w:color w:val="333333"/>
        </w:rPr>
        <w:t>沸溢性油品 boil-over oil </w:t>
      </w:r>
    </w:p>
    <w:p>
      <w:pPr>
        <w:pStyle w:val="BodyText"/>
        <w:spacing w:line="446" w:lineRule="auto"/>
        <w:ind w:left="840" w:right="5493" w:hanging="3"/>
      </w:pPr>
      <w:r>
        <w:rPr>
          <w:color w:val="333333"/>
        </w:rPr>
        <w:t>含水并在燃烧时可产生热波作用的油品。</w:t>
      </w:r>
      <w:r>
        <w:rPr>
          <w:b/>
          <w:color w:val="333333"/>
        </w:rPr>
        <w:t>2.1.21 </w:t>
      </w:r>
      <w:r>
        <w:rPr>
          <w:color w:val="333333"/>
        </w:rPr>
        <w:t>防火间距 fire separation distance </w:t>
      </w:r>
    </w:p>
    <w:p>
      <w:pPr>
        <w:pStyle w:val="BodyText"/>
        <w:spacing w:line="446" w:lineRule="auto"/>
        <w:ind w:left="838" w:right="3186"/>
      </w:pPr>
      <w:r>
        <w:rPr>
          <w:color w:val="333333"/>
          <w:spacing w:val="-3"/>
        </w:rPr>
        <w:t>防止着火建筑在一定时间内引燃相邻建筑，便于消防扑救的间隔距离。</w:t>
      </w:r>
      <w:r>
        <w:rPr>
          <w:color w:val="333333"/>
          <w:spacing w:val="-6"/>
        </w:rPr>
        <w:t>注：防火间距的计算方法应符合本规范附录 </w:t>
      </w:r>
      <w:r>
        <w:rPr>
          <w:color w:val="333333"/>
          <w:spacing w:val="-3"/>
        </w:rPr>
        <w:t>B</w:t>
      </w:r>
      <w:r>
        <w:rPr>
          <w:color w:val="333333"/>
          <w:spacing w:val="-2"/>
        </w:rPr>
        <w:t> 的规定。</w:t>
      </w:r>
      <w:r>
        <w:rPr>
          <w:color w:val="333333"/>
        </w:rPr>
        <w:t> </w:t>
      </w:r>
    </w:p>
    <w:p>
      <w:pPr>
        <w:pStyle w:val="ListParagraph"/>
        <w:numPr>
          <w:ilvl w:val="2"/>
          <w:numId w:val="238"/>
        </w:numPr>
        <w:tabs>
          <w:tab w:pos="1478" w:val="left" w:leader="none"/>
        </w:tabs>
        <w:spacing w:line="240" w:lineRule="auto" w:before="0" w:after="0"/>
        <w:ind w:left="1477" w:right="0" w:hanging="638"/>
        <w:jc w:val="left"/>
        <w:rPr>
          <w:sz w:val="21"/>
        </w:rPr>
      </w:pPr>
      <w:r>
        <w:rPr>
          <w:color w:val="333333"/>
          <w:spacing w:val="-3"/>
          <w:sz w:val="21"/>
        </w:rPr>
        <w:t>防火分区 </w:t>
      </w:r>
      <w:r>
        <w:rPr>
          <w:color w:val="333333"/>
          <w:sz w:val="21"/>
        </w:rPr>
        <w:t>fire</w:t>
      </w:r>
      <w:r>
        <w:rPr>
          <w:color w:val="333333"/>
          <w:spacing w:val="1"/>
          <w:sz w:val="21"/>
        </w:rPr>
        <w:t> </w:t>
      </w:r>
      <w:r>
        <w:rPr>
          <w:color w:val="333333"/>
          <w:sz w:val="21"/>
        </w:rPr>
        <w:t>compartment </w:t>
      </w:r>
    </w:p>
    <w:p>
      <w:pPr>
        <w:pStyle w:val="BodyText"/>
        <w:spacing w:before="10"/>
        <w:rPr>
          <w:sz w:val="17"/>
        </w:rPr>
      </w:pPr>
    </w:p>
    <w:p>
      <w:pPr>
        <w:pStyle w:val="BodyText"/>
        <w:spacing w:line="446" w:lineRule="auto"/>
        <w:ind w:left="418" w:right="1609" w:firstLine="419"/>
      </w:pPr>
      <w:r>
        <w:rPr>
          <w:color w:val="333333"/>
        </w:rPr>
        <w:t>在建筑内部采用防火墙、楼板及其他防火分隔设施分隔而成，能在一定时间内防止火灾向同一建筑的其余部分蔓延的局部空间。 </w:t>
      </w:r>
    </w:p>
    <w:p>
      <w:pPr>
        <w:pStyle w:val="ListParagraph"/>
        <w:numPr>
          <w:ilvl w:val="2"/>
          <w:numId w:val="238"/>
        </w:numPr>
        <w:tabs>
          <w:tab w:pos="1478" w:val="left" w:leader="none"/>
        </w:tabs>
        <w:spacing w:line="240" w:lineRule="auto" w:before="0" w:after="0"/>
        <w:ind w:left="1477" w:right="0" w:hanging="638"/>
        <w:jc w:val="left"/>
        <w:rPr>
          <w:sz w:val="21"/>
        </w:rPr>
      </w:pPr>
      <w:r>
        <w:rPr>
          <w:color w:val="333333"/>
          <w:spacing w:val="-3"/>
          <w:sz w:val="21"/>
        </w:rPr>
        <w:t>充实水柱 </w:t>
      </w:r>
      <w:r>
        <w:rPr>
          <w:color w:val="333333"/>
          <w:sz w:val="21"/>
        </w:rPr>
        <w:t>full</w:t>
      </w:r>
      <w:r>
        <w:rPr>
          <w:color w:val="333333"/>
          <w:spacing w:val="1"/>
          <w:sz w:val="21"/>
        </w:rPr>
        <w:t> </w:t>
      </w:r>
      <w:r>
        <w:rPr>
          <w:color w:val="333333"/>
          <w:sz w:val="21"/>
        </w:rPr>
        <w:t>water spout </w:t>
      </w:r>
    </w:p>
    <w:p>
      <w:pPr>
        <w:pStyle w:val="BodyText"/>
        <w:rPr>
          <w:sz w:val="18"/>
        </w:rPr>
      </w:pPr>
    </w:p>
    <w:p>
      <w:pPr>
        <w:pStyle w:val="BodyText"/>
        <w:spacing w:line="446" w:lineRule="auto"/>
        <w:ind w:left="840" w:right="2556" w:hanging="3"/>
        <w:rPr>
          <w:b/>
        </w:rPr>
      </w:pPr>
      <w:r>
        <w:rPr>
          <w:color w:val="333333"/>
        </w:rPr>
        <w:t>从水枪喷嘴起至射流 90%的水柱水量穿过直径 380mm 圆孔处的一段射流长度。</w:t>
      </w:r>
      <w:r>
        <w:rPr>
          <w:b/>
        </w:rPr>
        <w:t>2.2 符号</w:t>
      </w:r>
      <w:r>
        <w:rPr>
          <w:b/>
          <w:w w:val="99"/>
        </w:rPr>
        <w:t> </w:t>
      </w:r>
    </w:p>
    <w:p>
      <w:pPr>
        <w:pStyle w:val="BodyText"/>
        <w:spacing w:line="446" w:lineRule="auto"/>
        <w:ind w:left="838" w:right="8126"/>
      </w:pPr>
      <w:r>
        <w:rPr>
          <w:color w:val="333333"/>
        </w:rPr>
        <w:t>A——泄压面积C—— 泄 压 比 D——储罐的直径 </w:t>
      </w:r>
    </w:p>
    <w:p>
      <w:pPr>
        <w:pStyle w:val="BodyText"/>
        <w:spacing w:line="268" w:lineRule="exact"/>
        <w:ind w:left="838"/>
      </w:pPr>
      <w:r>
        <w:rPr>
          <w:color w:val="333333"/>
        </w:rPr>
        <w:t>DN——管道的公称直径 </w:t>
      </w:r>
    </w:p>
    <w:p>
      <w:pPr>
        <w:spacing w:after="0" w:line="268" w:lineRule="exact"/>
        <w:sectPr>
          <w:pgSz w:w="11910" w:h="16850"/>
          <w:pgMar w:header="0" w:footer="1239" w:top="1220" w:bottom="1420" w:left="1260" w:right="0"/>
        </w:sectPr>
      </w:pPr>
    </w:p>
    <w:p>
      <w:pPr>
        <w:pStyle w:val="BodyText"/>
        <w:spacing w:line="446" w:lineRule="auto" w:before="47"/>
        <w:ind w:left="838" w:right="7494"/>
      </w:pPr>
      <w:r>
        <w:rPr>
          <w:color w:val="333333"/>
        </w:rPr>
        <w:t>ΔH—— 建 筑 高 差 L——隧道的封闭段长度N——人数 </w:t>
      </w:r>
    </w:p>
    <w:p>
      <w:pPr>
        <w:pStyle w:val="BodyText"/>
        <w:spacing w:line="446" w:lineRule="auto"/>
        <w:ind w:left="838" w:right="7914"/>
      </w:pPr>
      <w:r>
        <w:rPr>
          <w:color w:val="333333"/>
        </w:rPr>
        <w:t>n—— 座 位 数 K——爆炸特征指数 </w:t>
      </w:r>
    </w:p>
    <w:p>
      <w:pPr>
        <w:pStyle w:val="BodyText"/>
        <w:spacing w:line="446" w:lineRule="auto"/>
        <w:ind w:left="838" w:right="4554"/>
      </w:pPr>
      <w:r>
        <w:rPr>
          <w:color w:val="333333"/>
        </w:rPr>
        <w:t>V——建筑物、堆场的体积，储罐、瓶组的容积或容量W——可燃材料堆场或粮食筒仓、席穴囤、土圆仓的储量 </w:t>
      </w:r>
    </w:p>
    <w:p>
      <w:pPr>
        <w:pStyle w:val="Heading4"/>
        <w:spacing w:line="278" w:lineRule="exact"/>
      </w:pPr>
      <w:r>
        <w:rPr/>
        <w:t>3 厂房和仓库</w:t>
      </w:r>
      <w:r>
        <w:rPr>
          <w:w w:val="99"/>
        </w:rPr>
        <w:t> </w:t>
      </w:r>
    </w:p>
    <w:p>
      <w:pPr>
        <w:pStyle w:val="BodyText"/>
        <w:spacing w:before="1"/>
        <w:rPr>
          <w:b/>
          <w:sz w:val="17"/>
        </w:rPr>
      </w:pPr>
    </w:p>
    <w:p>
      <w:pPr>
        <w:pStyle w:val="ListParagraph"/>
        <w:numPr>
          <w:ilvl w:val="1"/>
          <w:numId w:val="239"/>
        </w:numPr>
        <w:tabs>
          <w:tab w:pos="1159" w:val="left" w:leader="none"/>
        </w:tabs>
        <w:spacing w:line="240" w:lineRule="auto" w:before="0" w:after="0"/>
        <w:ind w:left="1158" w:right="0" w:hanging="319"/>
        <w:jc w:val="left"/>
        <w:rPr>
          <w:b/>
          <w:sz w:val="21"/>
        </w:rPr>
      </w:pPr>
      <w:r>
        <w:rPr>
          <w:spacing w:val="-3"/>
          <w:sz w:val="21"/>
        </w:rPr>
        <w:t>火灾危险性分类</w:t>
      </w:r>
      <w:r>
        <w:rPr>
          <w:b/>
          <w:w w:val="99"/>
          <w:sz w:val="21"/>
        </w:rPr>
        <w:t> </w:t>
      </w:r>
    </w:p>
    <w:p>
      <w:pPr>
        <w:pStyle w:val="BodyText"/>
        <w:spacing w:before="1"/>
        <w:rPr>
          <w:b/>
          <w:sz w:val="18"/>
        </w:rPr>
      </w:pPr>
    </w:p>
    <w:p>
      <w:pPr>
        <w:pStyle w:val="ListParagraph"/>
        <w:numPr>
          <w:ilvl w:val="2"/>
          <w:numId w:val="239"/>
        </w:numPr>
        <w:tabs>
          <w:tab w:pos="1371" w:val="left" w:leader="none"/>
        </w:tabs>
        <w:spacing w:line="446" w:lineRule="auto" w:before="1" w:after="0"/>
        <w:ind w:left="418" w:right="1604" w:firstLine="422"/>
        <w:jc w:val="left"/>
        <w:rPr>
          <w:sz w:val="21"/>
        </w:rPr>
      </w:pPr>
      <w:r>
        <w:rPr>
          <w:color w:val="333333"/>
          <w:spacing w:val="-3"/>
          <w:sz w:val="21"/>
        </w:rPr>
        <w:t>生产的火灾危险性应根据生产中使用或产生的物质性质及其数量等因素分，可分为</w:t>
      </w:r>
      <w:r>
        <w:rPr>
          <w:color w:val="333333"/>
          <w:spacing w:val="-6"/>
          <w:sz w:val="21"/>
        </w:rPr>
        <w:t>甲、乙、丙、丁、戊类，并应符合表 </w:t>
      </w:r>
      <w:r>
        <w:rPr>
          <w:color w:val="333333"/>
          <w:sz w:val="21"/>
        </w:rPr>
        <w:t>3.1.1</w:t>
      </w:r>
      <w:r>
        <w:rPr>
          <w:color w:val="333333"/>
          <w:spacing w:val="-3"/>
          <w:sz w:val="21"/>
        </w:rPr>
        <w:t> 的规定。 </w:t>
      </w:r>
    </w:p>
    <w:p>
      <w:pPr>
        <w:spacing w:after="0" w:line="446" w:lineRule="auto"/>
        <w:jc w:val="left"/>
        <w:rPr>
          <w:sz w:val="21"/>
        </w:rPr>
        <w:sectPr>
          <w:pgSz w:w="11910" w:h="16850"/>
          <w:pgMar w:header="0" w:footer="1239" w:top="1220" w:bottom="1420" w:left="1260" w:right="0"/>
        </w:sectPr>
      </w:pPr>
    </w:p>
    <w:p>
      <w:pPr>
        <w:pStyle w:val="Heading6"/>
        <w:spacing w:before="47"/>
        <w:ind w:left="3519"/>
      </w:pPr>
      <w:r>
        <w:rPr/>
        <w:t>表 3.1.1 生产的火灾危险性分类</w:t>
      </w:r>
      <w:r>
        <w:rPr>
          <w:w w:val="99"/>
        </w:rPr>
        <w:t> </w:t>
      </w:r>
    </w:p>
    <w:p>
      <w:pPr>
        <w:pStyle w:val="BodyText"/>
        <w:spacing w:before="9"/>
        <w:rPr>
          <w:b/>
          <w:sz w:val="22"/>
        </w:rPr>
      </w:pPr>
      <w:r>
        <w:rPr/>
        <w:drawing>
          <wp:anchor distT="0" distB="0" distL="0" distR="0" allowOverlap="1" layoutInCell="1" locked="0" behindDoc="0" simplePos="0" relativeHeight="64">
            <wp:simplePos x="0" y="0"/>
            <wp:positionH relativeFrom="page">
              <wp:posOffset>1046480</wp:posOffset>
            </wp:positionH>
            <wp:positionV relativeFrom="paragraph">
              <wp:posOffset>209637</wp:posOffset>
            </wp:positionV>
            <wp:extent cx="5419247" cy="5705475"/>
            <wp:effectExtent l="0" t="0" r="0" b="0"/>
            <wp:wrapTopAndBottom/>
            <wp:docPr id="149" name="image102.jpeg"/>
            <wp:cNvGraphicFramePr>
              <a:graphicFrameLocks noChangeAspect="1"/>
            </wp:cNvGraphicFramePr>
            <a:graphic>
              <a:graphicData uri="http://schemas.openxmlformats.org/drawingml/2006/picture">
                <pic:pic>
                  <pic:nvPicPr>
                    <pic:cNvPr id="150" name="image102.jpeg"/>
                    <pic:cNvPicPr/>
                  </pic:nvPicPr>
                  <pic:blipFill>
                    <a:blip r:embed="rId110" cstate="print"/>
                    <a:stretch>
                      <a:fillRect/>
                    </a:stretch>
                  </pic:blipFill>
                  <pic:spPr>
                    <a:xfrm>
                      <a:off x="0" y="0"/>
                      <a:ext cx="5419247" cy="5705475"/>
                    </a:xfrm>
                    <a:prstGeom prst="rect">
                      <a:avLst/>
                    </a:prstGeom>
                  </pic:spPr>
                </pic:pic>
              </a:graphicData>
            </a:graphic>
          </wp:anchor>
        </w:drawing>
      </w:r>
    </w:p>
    <w:p>
      <w:pPr>
        <w:pStyle w:val="ListParagraph"/>
        <w:numPr>
          <w:ilvl w:val="2"/>
          <w:numId w:val="239"/>
        </w:numPr>
        <w:tabs>
          <w:tab w:pos="1370" w:val="left" w:leader="none"/>
        </w:tabs>
        <w:spacing w:line="446" w:lineRule="auto" w:before="147" w:after="0"/>
        <w:ind w:left="418" w:right="1604" w:firstLine="422"/>
        <w:jc w:val="both"/>
        <w:rPr>
          <w:sz w:val="21"/>
        </w:rPr>
      </w:pPr>
      <w:r>
        <w:rPr>
          <w:color w:val="333333"/>
          <w:spacing w:val="-3"/>
          <w:sz w:val="21"/>
        </w:rPr>
        <w:t>同一座厂房或厂房的任一防火分区内有不同火灾危险性生产时，厂房或防火分区内的生产火灾危险性类别应按火灾危险性较大的部分确定；当生产过程中使用或产生易燃、可燃物的量较少，不足以构成爆炸或火灾危险时，可按实际情况确定；当符合下述条件之一时，可按火灾危险性较小的部分确定：</w:t>
      </w:r>
      <w:r>
        <w:rPr>
          <w:color w:val="333333"/>
          <w:sz w:val="21"/>
        </w:rPr>
        <w:t> </w:t>
      </w:r>
    </w:p>
    <w:p>
      <w:pPr>
        <w:pStyle w:val="BodyText"/>
        <w:spacing w:line="446" w:lineRule="auto"/>
        <w:ind w:left="418" w:right="1450" w:firstLine="419"/>
      </w:pPr>
      <w:r>
        <w:rPr>
          <w:color w:val="333333"/>
          <w:spacing w:val="-5"/>
        </w:rPr>
        <w:t>火灾危险性较大的生产部分占本层或本防火分区建筑面积的比例小于 </w:t>
      </w:r>
      <w:r>
        <w:rPr>
          <w:color w:val="333333"/>
        </w:rPr>
        <w:t>5</w:t>
      </w:r>
      <w:r>
        <w:rPr>
          <w:color w:val="333333"/>
          <w:spacing w:val="-3"/>
        </w:rPr>
        <w:t>%或丁、戊类厂房内</w:t>
      </w:r>
      <w:r>
        <w:rPr>
          <w:color w:val="333333"/>
          <w:spacing w:val="-5"/>
        </w:rPr>
        <w:t>的油漆工段小于 </w:t>
      </w:r>
      <w:r>
        <w:rPr>
          <w:color w:val="333333"/>
        </w:rPr>
        <w:t>10</w:t>
      </w:r>
      <w:r>
        <w:rPr>
          <w:color w:val="333333"/>
          <w:spacing w:val="-3"/>
        </w:rPr>
        <w:t>%，且发生火灾事故时不足以蔓延至其他部位或火灾危险性较大的生产部分采取了有效的防火措施；</w:t>
      </w:r>
      <w:r>
        <w:rPr>
          <w:color w:val="333333"/>
        </w:rPr>
        <w:t> </w:t>
      </w:r>
    </w:p>
    <w:p>
      <w:pPr>
        <w:spacing w:after="0" w:line="446" w:lineRule="auto"/>
        <w:sectPr>
          <w:pgSz w:w="11910" w:h="16850"/>
          <w:pgMar w:header="0" w:footer="1239" w:top="1220" w:bottom="1420" w:left="1260" w:right="0"/>
        </w:sectPr>
      </w:pPr>
    </w:p>
    <w:p>
      <w:pPr>
        <w:pStyle w:val="BodyText"/>
        <w:spacing w:line="446" w:lineRule="auto" w:before="47"/>
        <w:ind w:left="418" w:right="1608" w:firstLine="419"/>
        <w:jc w:val="both"/>
      </w:pPr>
      <w:r>
        <w:rPr>
          <w:color w:val="333333"/>
        </w:rPr>
        <w:t>丁、戊类厂房内的油漆工段，当采用封闭喷漆工艺，封闭喷漆空间内保持负压、油漆工段设置可燃气体探测报警系统或自动抑爆系统，且油漆工段占所在防火分区建筑面积的比例不大于 20%。 </w:t>
      </w:r>
    </w:p>
    <w:p>
      <w:pPr>
        <w:pStyle w:val="ListParagraph"/>
        <w:numPr>
          <w:ilvl w:val="2"/>
          <w:numId w:val="239"/>
        </w:numPr>
        <w:tabs>
          <w:tab w:pos="1370" w:val="left" w:leader="none"/>
        </w:tabs>
        <w:spacing w:line="446" w:lineRule="auto" w:before="0" w:after="0"/>
        <w:ind w:left="418" w:right="1604" w:firstLine="422"/>
        <w:jc w:val="both"/>
        <w:rPr>
          <w:sz w:val="21"/>
        </w:rPr>
      </w:pPr>
      <w:r>
        <w:rPr>
          <w:color w:val="333333"/>
          <w:spacing w:val="-3"/>
          <w:sz w:val="21"/>
        </w:rPr>
        <w:t>储存物品的火灾危险性应根据储存物品的性质和储存物品中的可燃物数量等因素划</w:t>
      </w:r>
      <w:r>
        <w:rPr>
          <w:color w:val="333333"/>
          <w:spacing w:val="-6"/>
          <w:sz w:val="21"/>
        </w:rPr>
        <w:t>分，可分为甲、乙、丙、丁、戊类，并应符合表 </w:t>
      </w:r>
      <w:r>
        <w:rPr>
          <w:color w:val="333333"/>
          <w:sz w:val="21"/>
        </w:rPr>
        <w:t>3.1.3</w:t>
      </w:r>
      <w:r>
        <w:rPr>
          <w:color w:val="333333"/>
          <w:spacing w:val="-3"/>
          <w:sz w:val="21"/>
        </w:rPr>
        <w:t> 的规定。</w:t>
      </w:r>
      <w:r>
        <w:rPr>
          <w:color w:val="333333"/>
          <w:sz w:val="21"/>
        </w:rPr>
        <w:t> </w:t>
      </w:r>
    </w:p>
    <w:p>
      <w:pPr>
        <w:pStyle w:val="Heading6"/>
        <w:spacing w:line="267" w:lineRule="exact"/>
        <w:ind w:left="3310"/>
        <w:jc w:val="both"/>
      </w:pPr>
      <w:r>
        <w:rPr/>
        <w:t>表 3.1.3 储存物品的火灾危险性分类</w:t>
      </w:r>
      <w:r>
        <w:rPr>
          <w:w w:val="99"/>
        </w:rPr>
        <w:t> </w:t>
      </w:r>
    </w:p>
    <w:p>
      <w:pPr>
        <w:pStyle w:val="BodyText"/>
        <w:spacing w:before="3"/>
        <w:rPr>
          <w:b/>
          <w:sz w:val="17"/>
        </w:rPr>
      </w:pPr>
      <w:r>
        <w:rPr/>
        <w:drawing>
          <wp:anchor distT="0" distB="0" distL="0" distR="0" allowOverlap="1" layoutInCell="1" locked="0" behindDoc="0" simplePos="0" relativeHeight="65">
            <wp:simplePos x="0" y="0"/>
            <wp:positionH relativeFrom="page">
              <wp:posOffset>1094105</wp:posOffset>
            </wp:positionH>
            <wp:positionV relativeFrom="paragraph">
              <wp:posOffset>165334</wp:posOffset>
            </wp:positionV>
            <wp:extent cx="5276849" cy="4257675"/>
            <wp:effectExtent l="0" t="0" r="0" b="0"/>
            <wp:wrapTopAndBottom/>
            <wp:docPr id="151" name="image103.jpeg"/>
            <wp:cNvGraphicFramePr>
              <a:graphicFrameLocks noChangeAspect="1"/>
            </wp:cNvGraphicFramePr>
            <a:graphic>
              <a:graphicData uri="http://schemas.openxmlformats.org/drawingml/2006/picture">
                <pic:pic>
                  <pic:nvPicPr>
                    <pic:cNvPr id="152" name="image103.jpeg"/>
                    <pic:cNvPicPr/>
                  </pic:nvPicPr>
                  <pic:blipFill>
                    <a:blip r:embed="rId111" cstate="print"/>
                    <a:stretch>
                      <a:fillRect/>
                    </a:stretch>
                  </pic:blipFill>
                  <pic:spPr>
                    <a:xfrm>
                      <a:off x="0" y="0"/>
                      <a:ext cx="5276849" cy="4257675"/>
                    </a:xfrm>
                    <a:prstGeom prst="rect">
                      <a:avLst/>
                    </a:prstGeom>
                  </pic:spPr>
                </pic:pic>
              </a:graphicData>
            </a:graphic>
          </wp:anchor>
        </w:drawing>
      </w:r>
    </w:p>
    <w:p>
      <w:pPr>
        <w:pStyle w:val="ListParagraph"/>
        <w:numPr>
          <w:ilvl w:val="2"/>
          <w:numId w:val="239"/>
        </w:numPr>
        <w:tabs>
          <w:tab w:pos="1370" w:val="left" w:leader="none"/>
        </w:tabs>
        <w:spacing w:line="446" w:lineRule="auto" w:before="163" w:after="0"/>
        <w:ind w:left="418" w:right="1604" w:firstLine="422"/>
        <w:jc w:val="left"/>
        <w:rPr>
          <w:sz w:val="21"/>
        </w:rPr>
      </w:pPr>
      <w:r>
        <w:rPr>
          <w:color w:val="333333"/>
          <w:spacing w:val="-3"/>
          <w:sz w:val="21"/>
        </w:rPr>
        <w:t>同一座仓库或仓库的任一防火分区内储存不同火灾危险性物品时，仓库或防火分区的火灾危险性应按火灾危险性最大的物品确定。</w:t>
      </w:r>
      <w:r>
        <w:rPr>
          <w:color w:val="333333"/>
          <w:sz w:val="21"/>
        </w:rPr>
        <w:t> </w:t>
      </w:r>
    </w:p>
    <w:p>
      <w:pPr>
        <w:pStyle w:val="ListParagraph"/>
        <w:numPr>
          <w:ilvl w:val="2"/>
          <w:numId w:val="239"/>
        </w:numPr>
        <w:tabs>
          <w:tab w:pos="1370" w:val="left" w:leader="none"/>
        </w:tabs>
        <w:spacing w:line="446" w:lineRule="auto" w:before="0" w:after="0"/>
        <w:ind w:left="418" w:right="1606" w:firstLine="422"/>
        <w:jc w:val="left"/>
        <w:rPr>
          <w:sz w:val="21"/>
        </w:rPr>
      </w:pPr>
      <w:r>
        <w:rPr>
          <w:color w:val="333333"/>
          <w:spacing w:val="-5"/>
          <w:sz w:val="21"/>
        </w:rPr>
        <w:t>丁、戊类储存物品仓库的火灾危险性，当可燃包装重量大于物品本身重量 </w:t>
      </w:r>
      <w:r>
        <w:rPr>
          <w:color w:val="333333"/>
          <w:sz w:val="21"/>
        </w:rPr>
        <w:t>1/4</w:t>
      </w:r>
      <w:r>
        <w:rPr>
          <w:color w:val="333333"/>
          <w:spacing w:val="-17"/>
          <w:sz w:val="21"/>
        </w:rPr>
        <w:t> 或可</w:t>
      </w:r>
      <w:r>
        <w:rPr>
          <w:color w:val="333333"/>
          <w:spacing w:val="-7"/>
          <w:sz w:val="21"/>
        </w:rPr>
        <w:t>燃包装体积大于物品本身体积的 </w:t>
      </w:r>
      <w:r>
        <w:rPr>
          <w:color w:val="333333"/>
          <w:sz w:val="21"/>
        </w:rPr>
        <w:t>1/2</w:t>
      </w:r>
      <w:r>
        <w:rPr>
          <w:color w:val="333333"/>
          <w:spacing w:val="-3"/>
          <w:sz w:val="21"/>
        </w:rPr>
        <w:t> 时，应按丙类确定。</w:t>
      </w:r>
      <w:r>
        <w:rPr>
          <w:color w:val="333333"/>
          <w:sz w:val="21"/>
        </w:rPr>
        <w:t> </w:t>
      </w:r>
    </w:p>
    <w:p>
      <w:pPr>
        <w:pStyle w:val="ListParagraph"/>
        <w:numPr>
          <w:ilvl w:val="1"/>
          <w:numId w:val="239"/>
        </w:numPr>
        <w:tabs>
          <w:tab w:pos="1159" w:val="left" w:leader="none"/>
        </w:tabs>
        <w:spacing w:line="240" w:lineRule="auto" w:before="0" w:after="0"/>
        <w:ind w:left="1158" w:right="0" w:hanging="319"/>
        <w:jc w:val="left"/>
        <w:rPr>
          <w:sz w:val="21"/>
        </w:rPr>
      </w:pPr>
      <w:r>
        <w:rPr>
          <w:spacing w:val="-3"/>
          <w:sz w:val="21"/>
        </w:rPr>
        <w:t>厂房和仓库的耐火等级 </w:t>
      </w:r>
    </w:p>
    <w:p>
      <w:pPr>
        <w:pStyle w:val="BodyText"/>
        <w:spacing w:before="12"/>
        <w:rPr>
          <w:sz w:val="17"/>
        </w:rPr>
      </w:pPr>
    </w:p>
    <w:p>
      <w:pPr>
        <w:pStyle w:val="ListParagraph"/>
        <w:numPr>
          <w:ilvl w:val="2"/>
          <w:numId w:val="239"/>
        </w:numPr>
        <w:tabs>
          <w:tab w:pos="1371" w:val="left" w:leader="none"/>
        </w:tabs>
        <w:spacing w:line="446" w:lineRule="auto" w:before="0" w:after="0"/>
        <w:ind w:left="418" w:right="1604" w:firstLine="422"/>
        <w:jc w:val="left"/>
        <w:rPr>
          <w:sz w:val="21"/>
        </w:rPr>
      </w:pPr>
      <w:r>
        <w:rPr>
          <w:color w:val="333333"/>
          <w:spacing w:val="-3"/>
          <w:sz w:val="21"/>
        </w:rPr>
        <w:t>厂房和仓库的耐火等级可分为一、二、三、四级，相应建筑构件的燃烧性能和耐火</w:t>
      </w:r>
      <w:r>
        <w:rPr>
          <w:color w:val="333333"/>
          <w:spacing w:val="-6"/>
          <w:sz w:val="21"/>
        </w:rPr>
        <w:t>极限，除本规范另有规定外，不应低于表 </w:t>
      </w:r>
      <w:r>
        <w:rPr>
          <w:color w:val="333333"/>
          <w:sz w:val="21"/>
        </w:rPr>
        <w:t>3.2.1</w:t>
      </w:r>
      <w:r>
        <w:rPr>
          <w:color w:val="333333"/>
          <w:spacing w:val="-3"/>
          <w:sz w:val="21"/>
        </w:rPr>
        <w:t> 的规定。</w:t>
      </w:r>
      <w:r>
        <w:rPr>
          <w:color w:val="333333"/>
          <w:sz w:val="21"/>
        </w:rPr>
        <w:t> </w:t>
      </w:r>
    </w:p>
    <w:p>
      <w:pPr>
        <w:spacing w:after="0" w:line="446" w:lineRule="auto"/>
        <w:jc w:val="left"/>
        <w:rPr>
          <w:sz w:val="21"/>
        </w:rPr>
        <w:sectPr>
          <w:pgSz w:w="11910" w:h="16850"/>
          <w:pgMar w:header="0" w:footer="1239" w:top="1220" w:bottom="1420" w:left="1260" w:right="0"/>
        </w:sectPr>
      </w:pPr>
    </w:p>
    <w:p>
      <w:pPr>
        <w:pStyle w:val="Heading6"/>
        <w:spacing w:before="47"/>
        <w:ind w:left="1675"/>
      </w:pPr>
      <w:r>
        <w:rPr/>
        <w:t>表 3.2.1 不同耐火等级厂房和仓库建筑构件的燃烧性能和耐火极限（h）</w:t>
      </w:r>
      <w:r>
        <w:rPr>
          <w:w w:val="99"/>
        </w:rPr>
        <w:t> </w:t>
      </w:r>
    </w:p>
    <w:p>
      <w:pPr>
        <w:pStyle w:val="BodyText"/>
        <w:spacing w:before="5"/>
        <w:rPr>
          <w:b/>
          <w:sz w:val="27"/>
        </w:rPr>
      </w:pPr>
      <w:r>
        <w:rPr/>
        <w:drawing>
          <wp:anchor distT="0" distB="0" distL="0" distR="0" allowOverlap="1" layoutInCell="1" locked="0" behindDoc="0" simplePos="0" relativeHeight="66">
            <wp:simplePos x="0" y="0"/>
            <wp:positionH relativeFrom="page">
              <wp:posOffset>1398905</wp:posOffset>
            </wp:positionH>
            <wp:positionV relativeFrom="paragraph">
              <wp:posOffset>247737</wp:posOffset>
            </wp:positionV>
            <wp:extent cx="4958950" cy="5457825"/>
            <wp:effectExtent l="0" t="0" r="0" b="0"/>
            <wp:wrapTopAndBottom/>
            <wp:docPr id="153" name="image104.jpeg"/>
            <wp:cNvGraphicFramePr>
              <a:graphicFrameLocks noChangeAspect="1"/>
            </wp:cNvGraphicFramePr>
            <a:graphic>
              <a:graphicData uri="http://schemas.openxmlformats.org/drawingml/2006/picture">
                <pic:pic>
                  <pic:nvPicPr>
                    <pic:cNvPr id="154" name="image104.jpeg"/>
                    <pic:cNvPicPr/>
                  </pic:nvPicPr>
                  <pic:blipFill>
                    <a:blip r:embed="rId112" cstate="print"/>
                    <a:stretch>
                      <a:fillRect/>
                    </a:stretch>
                  </pic:blipFill>
                  <pic:spPr>
                    <a:xfrm>
                      <a:off x="0" y="0"/>
                      <a:ext cx="4958950" cy="5457825"/>
                    </a:xfrm>
                    <a:prstGeom prst="rect">
                      <a:avLst/>
                    </a:prstGeom>
                  </pic:spPr>
                </pic:pic>
              </a:graphicData>
            </a:graphic>
          </wp:anchor>
        </w:drawing>
      </w:r>
    </w:p>
    <w:p>
      <w:pPr>
        <w:pStyle w:val="BodyText"/>
        <w:spacing w:before="177"/>
        <w:ind w:left="838"/>
      </w:pPr>
      <w:r>
        <w:rPr>
          <w:color w:val="333333"/>
        </w:rPr>
        <w:t>注：二级耐火等级建筑内采用不燃材料的吊顶，其耐火极限不限。 </w:t>
      </w:r>
    </w:p>
    <w:p>
      <w:pPr>
        <w:pStyle w:val="BodyText"/>
        <w:spacing w:before="5"/>
        <w:rPr>
          <w:sz w:val="17"/>
        </w:rPr>
      </w:pPr>
    </w:p>
    <w:p>
      <w:pPr>
        <w:pStyle w:val="ListParagraph"/>
        <w:numPr>
          <w:ilvl w:val="2"/>
          <w:numId w:val="239"/>
        </w:numPr>
        <w:tabs>
          <w:tab w:pos="1371" w:val="left" w:leader="none"/>
        </w:tabs>
        <w:spacing w:line="446" w:lineRule="auto" w:before="0" w:after="0"/>
        <w:ind w:left="418" w:right="1575" w:firstLine="422"/>
        <w:jc w:val="left"/>
        <w:rPr>
          <w:sz w:val="21"/>
        </w:rPr>
      </w:pPr>
      <w:r>
        <w:rPr>
          <w:color w:val="333333"/>
          <w:spacing w:val="-4"/>
          <w:sz w:val="21"/>
        </w:rPr>
        <w:t>高层厂房，甲、乙类厂房的耐火等级不应低于二级，建筑面积不大于 </w:t>
      </w:r>
      <w:r>
        <w:rPr>
          <w:color w:val="333333"/>
          <w:sz w:val="21"/>
        </w:rPr>
        <w:t>300m</w:t>
      </w:r>
      <w:r>
        <w:rPr>
          <w:color w:val="333333"/>
          <w:position w:val="11"/>
          <w:sz w:val="11"/>
        </w:rPr>
        <w:t>2</w:t>
      </w:r>
      <w:r>
        <w:rPr>
          <w:color w:val="333333"/>
          <w:spacing w:val="-17"/>
          <w:position w:val="11"/>
          <w:sz w:val="11"/>
        </w:rPr>
        <w:t> </w:t>
      </w:r>
      <w:r>
        <w:rPr>
          <w:color w:val="333333"/>
          <w:spacing w:val="-2"/>
          <w:sz w:val="21"/>
        </w:rPr>
        <w:t>的独立甲</w:t>
      </w:r>
      <w:r>
        <w:rPr>
          <w:color w:val="333333"/>
          <w:spacing w:val="-3"/>
          <w:sz w:val="21"/>
        </w:rPr>
        <w:t>、乙类单层厂房可采用三级耐火等级的建筑。</w:t>
      </w:r>
      <w:r>
        <w:rPr>
          <w:color w:val="333333"/>
          <w:sz w:val="21"/>
        </w:rPr>
        <w:t> </w:t>
      </w:r>
    </w:p>
    <w:p>
      <w:pPr>
        <w:pStyle w:val="ListParagraph"/>
        <w:numPr>
          <w:ilvl w:val="2"/>
          <w:numId w:val="239"/>
        </w:numPr>
        <w:tabs>
          <w:tab w:pos="1371" w:val="left" w:leader="none"/>
        </w:tabs>
        <w:spacing w:line="267" w:lineRule="exact" w:before="0" w:after="0"/>
        <w:ind w:left="1370" w:right="0" w:hanging="531"/>
        <w:jc w:val="left"/>
        <w:rPr>
          <w:sz w:val="21"/>
        </w:rPr>
      </w:pPr>
      <w:r>
        <w:rPr>
          <w:color w:val="333333"/>
          <w:spacing w:val="-3"/>
          <w:sz w:val="21"/>
        </w:rPr>
        <w:t>单、多层丙类厂房和多层丁、戊类厂房的耐火等级不应低于三级。 </w:t>
      </w:r>
    </w:p>
    <w:p>
      <w:pPr>
        <w:pStyle w:val="BodyText"/>
        <w:spacing w:before="2"/>
        <w:rPr>
          <w:sz w:val="18"/>
        </w:rPr>
      </w:pPr>
    </w:p>
    <w:p>
      <w:pPr>
        <w:pStyle w:val="BodyText"/>
        <w:spacing w:line="441" w:lineRule="auto"/>
        <w:ind w:left="418" w:right="1601" w:firstLine="419"/>
        <w:jc w:val="both"/>
      </w:pPr>
      <w:r>
        <w:rPr>
          <w:color w:val="333333"/>
          <w:spacing w:val="-3"/>
        </w:rPr>
        <w:t>使用或产生丙类液体的厂房和有火花、赤热表面、明火的丁类厂房，其耐火等级均不应低</w:t>
      </w:r>
      <w:r>
        <w:rPr>
          <w:color w:val="333333"/>
          <w:spacing w:val="-7"/>
        </w:rPr>
        <w:t>于二级，当为建筑面积不大于 </w:t>
      </w:r>
      <w:r>
        <w:rPr>
          <w:color w:val="333333"/>
        </w:rPr>
        <w:t>500m</w:t>
      </w:r>
      <w:r>
        <w:rPr>
          <w:color w:val="333333"/>
          <w:position w:val="11"/>
          <w:sz w:val="11"/>
        </w:rPr>
        <w:t>2</w:t>
      </w:r>
      <w:r>
        <w:rPr>
          <w:color w:val="333333"/>
          <w:sz w:val="11"/>
        </w:rPr>
        <w:t> </w:t>
      </w:r>
      <w:r>
        <w:rPr>
          <w:color w:val="333333"/>
          <w:spacing w:val="-6"/>
        </w:rPr>
        <w:t>的单层丙类厂房或建筑面积不大于 </w:t>
      </w:r>
      <w:r>
        <w:rPr>
          <w:color w:val="333333"/>
        </w:rPr>
        <w:t>1000m</w:t>
      </w:r>
      <w:r>
        <w:rPr>
          <w:color w:val="333333"/>
          <w:position w:val="11"/>
          <w:sz w:val="11"/>
        </w:rPr>
        <w:t>2</w:t>
      </w:r>
      <w:r>
        <w:rPr>
          <w:color w:val="333333"/>
          <w:spacing w:val="4"/>
          <w:position w:val="11"/>
          <w:sz w:val="11"/>
        </w:rPr>
        <w:t>  </w:t>
      </w:r>
      <w:r>
        <w:rPr>
          <w:color w:val="333333"/>
          <w:spacing w:val="-3"/>
        </w:rPr>
        <w:t>的单层丁类厂房时，可采用三级耐火等级的建筑。 </w:t>
      </w:r>
    </w:p>
    <w:p>
      <w:pPr>
        <w:pStyle w:val="ListParagraph"/>
        <w:numPr>
          <w:ilvl w:val="2"/>
          <w:numId w:val="239"/>
        </w:numPr>
        <w:tabs>
          <w:tab w:pos="1370" w:val="left" w:leader="none"/>
        </w:tabs>
        <w:spacing w:line="446" w:lineRule="auto" w:before="5" w:after="0"/>
        <w:ind w:left="418" w:right="1498" w:firstLine="422"/>
        <w:jc w:val="both"/>
        <w:rPr>
          <w:b/>
          <w:sz w:val="21"/>
        </w:rPr>
      </w:pPr>
      <w:r>
        <w:rPr>
          <w:color w:val="333333"/>
          <w:spacing w:val="-3"/>
          <w:sz w:val="21"/>
        </w:rPr>
        <w:t>使用或储存特殊贵重的机器、仪表、仪器等设备或物品的建筑，其耐火等级不应低于二级。</w:t>
      </w:r>
      <w:r>
        <w:rPr>
          <w:b/>
          <w:color w:val="333333"/>
          <w:w w:val="99"/>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239"/>
        </w:numPr>
        <w:tabs>
          <w:tab w:pos="1370" w:val="left" w:leader="none"/>
        </w:tabs>
        <w:spacing w:line="240" w:lineRule="auto" w:before="47" w:after="0"/>
        <w:ind w:left="1369" w:right="0" w:hanging="530"/>
        <w:jc w:val="left"/>
        <w:rPr>
          <w:sz w:val="21"/>
        </w:rPr>
      </w:pPr>
      <w:r>
        <w:rPr>
          <w:color w:val="333333"/>
          <w:spacing w:val="-5"/>
          <w:sz w:val="21"/>
        </w:rPr>
        <w:t>锅炉房的耐火等级不应低于二级，当为燃煤锅炉房且锅炉的总蒸发量不大于 </w:t>
      </w:r>
      <w:r>
        <w:rPr>
          <w:color w:val="333333"/>
          <w:sz w:val="21"/>
        </w:rPr>
        <w:t>4t/h </w:t>
      </w:r>
    </w:p>
    <w:p>
      <w:pPr>
        <w:pStyle w:val="BodyText"/>
        <w:rPr>
          <w:sz w:val="18"/>
        </w:rPr>
      </w:pPr>
    </w:p>
    <w:p>
      <w:pPr>
        <w:pStyle w:val="BodyText"/>
        <w:ind w:left="418"/>
      </w:pPr>
      <w:r>
        <w:rPr>
          <w:color w:val="333333"/>
        </w:rPr>
        <w:t>时，可采用三级耐火等级的建筑。 </w:t>
      </w:r>
    </w:p>
    <w:p>
      <w:pPr>
        <w:pStyle w:val="BodyText"/>
        <w:rPr>
          <w:sz w:val="18"/>
        </w:rPr>
      </w:pPr>
    </w:p>
    <w:p>
      <w:pPr>
        <w:pStyle w:val="ListParagraph"/>
        <w:numPr>
          <w:ilvl w:val="2"/>
          <w:numId w:val="239"/>
        </w:numPr>
        <w:tabs>
          <w:tab w:pos="1371" w:val="left" w:leader="none"/>
        </w:tabs>
        <w:spacing w:line="446" w:lineRule="auto" w:before="0" w:after="0"/>
        <w:ind w:left="418" w:right="1604" w:firstLine="422"/>
        <w:jc w:val="left"/>
        <w:rPr>
          <w:sz w:val="21"/>
        </w:rPr>
      </w:pPr>
      <w:r>
        <w:rPr>
          <w:color w:val="333333"/>
          <w:spacing w:val="-3"/>
          <w:sz w:val="21"/>
        </w:rPr>
        <w:t>油浸变压器室、高压配电装置室的耐火等级不应低于二级，其他防火设计应符合现行国家标准《火力发电厂和变电站设计防火规范》</w:t>
      </w:r>
      <w:r>
        <w:rPr>
          <w:color w:val="333333"/>
          <w:sz w:val="21"/>
        </w:rPr>
        <w:t>GB</w:t>
      </w:r>
      <w:r>
        <w:rPr>
          <w:color w:val="333333"/>
          <w:spacing w:val="2"/>
          <w:sz w:val="21"/>
        </w:rPr>
        <w:t> </w:t>
      </w:r>
      <w:r>
        <w:rPr>
          <w:color w:val="333333"/>
          <w:sz w:val="21"/>
        </w:rPr>
        <w:t>50229</w:t>
      </w:r>
      <w:r>
        <w:rPr>
          <w:color w:val="333333"/>
          <w:spacing w:val="-3"/>
          <w:sz w:val="21"/>
        </w:rPr>
        <w:t> 等标准的规定。</w:t>
      </w:r>
      <w:r>
        <w:rPr>
          <w:color w:val="333333"/>
          <w:sz w:val="21"/>
        </w:rPr>
        <w:t> </w:t>
      </w:r>
    </w:p>
    <w:p>
      <w:pPr>
        <w:pStyle w:val="ListParagraph"/>
        <w:numPr>
          <w:ilvl w:val="2"/>
          <w:numId w:val="239"/>
        </w:numPr>
        <w:tabs>
          <w:tab w:pos="1371" w:val="left" w:leader="none"/>
        </w:tabs>
        <w:spacing w:line="446" w:lineRule="auto" w:before="0" w:after="0"/>
        <w:ind w:left="418" w:right="1498" w:firstLine="422"/>
        <w:jc w:val="left"/>
        <w:rPr>
          <w:sz w:val="21"/>
        </w:rPr>
      </w:pPr>
      <w:r>
        <w:rPr>
          <w:color w:val="333333"/>
          <w:spacing w:val="-3"/>
          <w:sz w:val="21"/>
        </w:rPr>
        <w:t>高架仓库、高层仓库、甲类仓库、多层乙类仓库和储存可燃液体的多层丙类仓库，其耐火等级不应低于二级。 </w:t>
      </w:r>
    </w:p>
    <w:p>
      <w:pPr>
        <w:pStyle w:val="BodyText"/>
        <w:spacing w:line="446" w:lineRule="auto"/>
        <w:ind w:left="418" w:right="1609" w:firstLine="419"/>
      </w:pPr>
      <w:r>
        <w:rPr>
          <w:color w:val="333333"/>
        </w:rPr>
        <w:t>单层乙类仓库，单层丙类仓库，储存可燃固体的多层丙类仓库和多层丁、戊类仓库，其耐火等级不应低于三级。 </w:t>
      </w:r>
    </w:p>
    <w:p>
      <w:pPr>
        <w:pStyle w:val="ListParagraph"/>
        <w:numPr>
          <w:ilvl w:val="2"/>
          <w:numId w:val="239"/>
        </w:numPr>
        <w:tabs>
          <w:tab w:pos="1371" w:val="left" w:leader="none"/>
        </w:tabs>
        <w:spacing w:line="267" w:lineRule="exact" w:before="0" w:after="0"/>
        <w:ind w:left="1370" w:right="0" w:hanging="531"/>
        <w:jc w:val="left"/>
        <w:rPr>
          <w:sz w:val="21"/>
        </w:rPr>
      </w:pPr>
      <w:r>
        <w:rPr>
          <w:color w:val="333333"/>
          <w:spacing w:val="-3"/>
          <w:sz w:val="21"/>
        </w:rPr>
        <w:t>粮食筒仓的耐火等级不应低于二级；二级耐火等级的粮食筒仓可采用钢板仓。</w:t>
      </w:r>
      <w:r>
        <w:rPr>
          <w:color w:val="333333"/>
          <w:sz w:val="21"/>
        </w:rPr>
        <w:t> </w:t>
      </w:r>
    </w:p>
    <w:p>
      <w:pPr>
        <w:pStyle w:val="BodyText"/>
        <w:spacing w:before="1"/>
        <w:rPr>
          <w:sz w:val="18"/>
        </w:rPr>
      </w:pPr>
    </w:p>
    <w:p>
      <w:pPr>
        <w:pStyle w:val="BodyText"/>
        <w:spacing w:line="446" w:lineRule="auto"/>
        <w:ind w:left="418" w:right="1608" w:firstLine="419"/>
      </w:pPr>
      <w:r>
        <w:rPr>
          <w:color w:val="333333"/>
        </w:rPr>
        <w:t>粮食平房仓的耐火等级不应低于三级；二级耐火等级的散装粮食平房仓可采用无防火保护的金属承重构件。 </w:t>
      </w:r>
    </w:p>
    <w:p>
      <w:pPr>
        <w:pStyle w:val="ListParagraph"/>
        <w:numPr>
          <w:ilvl w:val="2"/>
          <w:numId w:val="239"/>
        </w:numPr>
        <w:tabs>
          <w:tab w:pos="1370" w:val="left" w:leader="none"/>
        </w:tabs>
        <w:spacing w:line="267" w:lineRule="exact" w:before="0" w:after="0"/>
        <w:ind w:left="1369" w:right="0" w:hanging="530"/>
        <w:jc w:val="left"/>
        <w:rPr>
          <w:b/>
          <w:sz w:val="21"/>
        </w:rPr>
      </w:pPr>
      <w:r>
        <w:rPr>
          <w:color w:val="333333"/>
          <w:spacing w:val="-5"/>
          <w:sz w:val="21"/>
        </w:rPr>
        <w:t>甲、乙类厂房和甲、乙、丙类仓库内的防火墙，其耐火极限不应低于 </w:t>
      </w:r>
      <w:r>
        <w:rPr>
          <w:color w:val="333333"/>
          <w:sz w:val="21"/>
        </w:rPr>
        <w:t>4.00h</w:t>
      </w:r>
      <w:r>
        <w:rPr>
          <w:color w:val="333333"/>
          <w:spacing w:val="-3"/>
          <w:sz w:val="21"/>
        </w:rPr>
        <w:t>。</w:t>
      </w:r>
      <w:r>
        <w:rPr>
          <w:b/>
          <w:color w:val="333333"/>
          <w:w w:val="99"/>
          <w:sz w:val="21"/>
        </w:rPr>
        <w:t> </w:t>
      </w:r>
    </w:p>
    <w:p>
      <w:pPr>
        <w:pStyle w:val="BodyText"/>
        <w:spacing w:before="2"/>
        <w:rPr>
          <w:b/>
          <w:sz w:val="18"/>
        </w:rPr>
      </w:pPr>
    </w:p>
    <w:p>
      <w:pPr>
        <w:pStyle w:val="ListParagraph"/>
        <w:numPr>
          <w:ilvl w:val="2"/>
          <w:numId w:val="239"/>
        </w:numPr>
        <w:tabs>
          <w:tab w:pos="1478" w:val="left" w:leader="none"/>
        </w:tabs>
        <w:spacing w:line="240" w:lineRule="auto" w:before="0" w:after="0"/>
        <w:ind w:left="1477" w:right="0" w:hanging="638"/>
        <w:jc w:val="left"/>
        <w:rPr>
          <w:sz w:val="21"/>
        </w:rPr>
      </w:pPr>
      <w:r>
        <w:rPr>
          <w:color w:val="333333"/>
          <w:spacing w:val="-3"/>
          <w:sz w:val="21"/>
        </w:rPr>
        <w:t>一、二级耐火等级单层厂房（</w:t>
      </w:r>
      <w:r>
        <w:rPr>
          <w:color w:val="333333"/>
          <w:spacing w:val="-2"/>
          <w:sz w:val="21"/>
        </w:rPr>
        <w:t>仓库</w:t>
      </w:r>
      <w:r>
        <w:rPr>
          <w:color w:val="333333"/>
          <w:sz w:val="21"/>
        </w:rPr>
        <w:t>）</w:t>
      </w:r>
      <w:r>
        <w:rPr>
          <w:color w:val="333333"/>
          <w:spacing w:val="-7"/>
          <w:sz w:val="21"/>
        </w:rPr>
        <w:t>的柱，其耐火极限分别不应低于 </w:t>
      </w:r>
      <w:r>
        <w:rPr>
          <w:color w:val="333333"/>
          <w:sz w:val="21"/>
        </w:rPr>
        <w:t>2.50h</w:t>
      </w:r>
      <w:r>
        <w:rPr>
          <w:color w:val="333333"/>
          <w:spacing w:val="-27"/>
          <w:sz w:val="21"/>
        </w:rPr>
        <w:t> 和</w:t>
      </w:r>
    </w:p>
    <w:p>
      <w:pPr>
        <w:pStyle w:val="BodyText"/>
        <w:rPr>
          <w:sz w:val="18"/>
        </w:rPr>
      </w:pPr>
    </w:p>
    <w:p>
      <w:pPr>
        <w:pStyle w:val="BodyText"/>
        <w:ind w:left="418"/>
      </w:pPr>
      <w:r>
        <w:rPr>
          <w:color w:val="333333"/>
        </w:rPr>
        <w:t>2.00h。 </w:t>
      </w:r>
    </w:p>
    <w:p>
      <w:pPr>
        <w:pStyle w:val="BodyText"/>
        <w:rPr>
          <w:sz w:val="18"/>
        </w:rPr>
      </w:pPr>
    </w:p>
    <w:p>
      <w:pPr>
        <w:pStyle w:val="ListParagraph"/>
        <w:numPr>
          <w:ilvl w:val="2"/>
          <w:numId w:val="239"/>
        </w:numPr>
        <w:tabs>
          <w:tab w:pos="1478" w:val="left" w:leader="none"/>
        </w:tabs>
        <w:spacing w:line="446" w:lineRule="auto" w:before="0" w:after="0"/>
        <w:ind w:left="418" w:right="1498" w:firstLine="422"/>
        <w:jc w:val="left"/>
        <w:rPr>
          <w:sz w:val="21"/>
        </w:rPr>
      </w:pPr>
      <w:r>
        <w:rPr>
          <w:color w:val="333333"/>
          <w:spacing w:val="-3"/>
          <w:sz w:val="21"/>
        </w:rPr>
        <w:t>采用自动喷水灭火系统全保护的一级耐火等级单、多层厂房</w:t>
      </w:r>
      <w:r>
        <w:rPr>
          <w:color w:val="333333"/>
          <w:sz w:val="21"/>
        </w:rPr>
        <w:t>（</w:t>
      </w:r>
      <w:r>
        <w:rPr>
          <w:color w:val="333333"/>
          <w:spacing w:val="-2"/>
          <w:sz w:val="21"/>
        </w:rPr>
        <w:t>仓库</w:t>
      </w:r>
      <w:r>
        <w:rPr>
          <w:color w:val="333333"/>
          <w:spacing w:val="-3"/>
          <w:sz w:val="21"/>
        </w:rPr>
        <w:t>）</w:t>
      </w:r>
      <w:r>
        <w:rPr>
          <w:color w:val="333333"/>
          <w:spacing w:val="-2"/>
          <w:sz w:val="21"/>
        </w:rPr>
        <w:t>的屋顶承重构</w:t>
      </w:r>
      <w:r>
        <w:rPr>
          <w:color w:val="333333"/>
          <w:spacing w:val="-8"/>
          <w:sz w:val="21"/>
        </w:rPr>
        <w:t>件，其耐火极限不应低于 </w:t>
      </w:r>
      <w:r>
        <w:rPr>
          <w:color w:val="333333"/>
          <w:sz w:val="21"/>
        </w:rPr>
        <w:t>1.00h</w:t>
      </w:r>
      <w:r>
        <w:rPr>
          <w:color w:val="333333"/>
          <w:spacing w:val="-3"/>
          <w:sz w:val="21"/>
        </w:rPr>
        <w:t>。</w:t>
      </w:r>
      <w:r>
        <w:rPr>
          <w:color w:val="333333"/>
          <w:sz w:val="21"/>
        </w:rPr>
        <w:t> </w:t>
      </w:r>
    </w:p>
    <w:p>
      <w:pPr>
        <w:pStyle w:val="ListParagraph"/>
        <w:numPr>
          <w:ilvl w:val="2"/>
          <w:numId w:val="239"/>
        </w:numPr>
        <w:tabs>
          <w:tab w:pos="1478" w:val="left" w:leader="none"/>
        </w:tabs>
        <w:spacing w:line="446" w:lineRule="auto" w:before="0" w:after="0"/>
        <w:ind w:left="418" w:right="1496" w:firstLine="422"/>
        <w:jc w:val="left"/>
        <w:rPr>
          <w:sz w:val="21"/>
        </w:rPr>
      </w:pPr>
      <w:r>
        <w:rPr>
          <w:color w:val="333333"/>
          <w:spacing w:val="-3"/>
          <w:sz w:val="21"/>
        </w:rPr>
        <w:t>除甲、乙类仓库和高层仓库外，一、二级耐火等级建筑的非承重外墙，当采用不燃</w:t>
      </w:r>
      <w:r>
        <w:rPr>
          <w:color w:val="333333"/>
          <w:spacing w:val="-7"/>
          <w:sz w:val="21"/>
        </w:rPr>
        <w:t>性墙体时，其耐火极限不应低于 </w:t>
      </w:r>
      <w:r>
        <w:rPr>
          <w:color w:val="333333"/>
          <w:sz w:val="21"/>
        </w:rPr>
        <w:t>0.25h</w:t>
      </w:r>
      <w:r>
        <w:rPr>
          <w:color w:val="333333"/>
          <w:spacing w:val="-7"/>
          <w:sz w:val="21"/>
        </w:rPr>
        <w:t>；当采用难燃性墙体时，不应低于 </w:t>
      </w:r>
      <w:r>
        <w:rPr>
          <w:color w:val="333333"/>
          <w:sz w:val="21"/>
        </w:rPr>
        <w:t>0.50h</w:t>
      </w:r>
      <w:r>
        <w:rPr>
          <w:color w:val="333333"/>
          <w:spacing w:val="-3"/>
          <w:sz w:val="21"/>
        </w:rPr>
        <w:t>。</w:t>
      </w:r>
      <w:r>
        <w:rPr>
          <w:color w:val="333333"/>
          <w:sz w:val="21"/>
        </w:rPr>
        <w:t> </w:t>
      </w:r>
    </w:p>
    <w:p>
      <w:pPr>
        <w:pStyle w:val="BodyText"/>
        <w:spacing w:line="446" w:lineRule="auto"/>
        <w:ind w:left="418" w:right="1450" w:firstLine="419"/>
      </w:pPr>
      <w:r>
        <w:rPr>
          <w:color w:val="333333"/>
        </w:rPr>
        <w:t>4</w:t>
      </w:r>
      <w:r>
        <w:rPr>
          <w:color w:val="333333"/>
          <w:spacing w:val="-10"/>
        </w:rPr>
        <w:t> 层及 </w:t>
      </w:r>
      <w:r>
        <w:rPr>
          <w:color w:val="333333"/>
        </w:rPr>
        <w:t>4</w:t>
      </w:r>
      <w:r>
        <w:rPr>
          <w:color w:val="333333"/>
          <w:spacing w:val="-3"/>
        </w:rPr>
        <w:t> 层以下的一、二级耐火等级丁、戊类地上厂房（</w:t>
      </w:r>
      <w:r>
        <w:rPr>
          <w:color w:val="333333"/>
          <w:spacing w:val="-2"/>
        </w:rPr>
        <w:t>仓库</w:t>
      </w:r>
      <w:r>
        <w:rPr>
          <w:color w:val="333333"/>
        </w:rPr>
        <w:t>）</w:t>
      </w:r>
      <w:r>
        <w:rPr>
          <w:color w:val="333333"/>
          <w:spacing w:val="-3"/>
        </w:rPr>
        <w:t>的非承重外墙，当采用不燃性墙体时，其耐火极限不限；当采用难燃性轻质复合墙体时，其表面材料应为不燃材料、内 </w:t>
      </w:r>
      <w:r>
        <w:rPr>
          <w:color w:val="333333"/>
          <w:spacing w:val="-6"/>
        </w:rPr>
        <w:t>填充材料的燃烧性能不应低于 </w:t>
      </w:r>
      <w:r>
        <w:rPr>
          <w:color w:val="333333"/>
        </w:rPr>
        <w:t>B2</w:t>
      </w:r>
      <w:r>
        <w:rPr>
          <w:color w:val="333333"/>
          <w:spacing w:val="-3"/>
        </w:rPr>
        <w:t> 级。材料的燃烧性能分级应符合现行国家标准《建筑材料及制品燃烧性能分级》</w:t>
      </w:r>
      <w:r>
        <w:rPr>
          <w:color w:val="333333"/>
        </w:rPr>
        <w:t>GB 8624</w:t>
      </w:r>
      <w:r>
        <w:rPr>
          <w:color w:val="333333"/>
          <w:spacing w:val="-2"/>
        </w:rPr>
        <w:t> 的规定。</w:t>
      </w:r>
      <w:r>
        <w:rPr>
          <w:color w:val="333333"/>
        </w:rPr>
        <w:t> </w:t>
      </w:r>
    </w:p>
    <w:p>
      <w:pPr>
        <w:pStyle w:val="ListParagraph"/>
        <w:numPr>
          <w:ilvl w:val="2"/>
          <w:numId w:val="239"/>
        </w:numPr>
        <w:tabs>
          <w:tab w:pos="1478" w:val="left" w:leader="none"/>
        </w:tabs>
        <w:spacing w:line="446" w:lineRule="auto" w:before="0" w:after="0"/>
        <w:ind w:left="418" w:right="1498" w:firstLine="422"/>
        <w:jc w:val="left"/>
        <w:rPr>
          <w:sz w:val="21"/>
        </w:rPr>
      </w:pPr>
      <w:r>
        <w:rPr>
          <w:color w:val="333333"/>
          <w:spacing w:val="-3"/>
          <w:sz w:val="21"/>
        </w:rPr>
        <w:t>二级耐火等级厂房</w:t>
      </w:r>
      <w:r>
        <w:rPr>
          <w:color w:val="333333"/>
          <w:sz w:val="21"/>
        </w:rPr>
        <w:t>（</w:t>
      </w:r>
      <w:r>
        <w:rPr>
          <w:color w:val="333333"/>
          <w:spacing w:val="-2"/>
          <w:sz w:val="21"/>
        </w:rPr>
        <w:t>仓库</w:t>
      </w:r>
      <w:r>
        <w:rPr>
          <w:color w:val="333333"/>
          <w:sz w:val="21"/>
        </w:rPr>
        <w:t>）</w:t>
      </w:r>
      <w:r>
        <w:rPr>
          <w:color w:val="333333"/>
          <w:spacing w:val="-3"/>
          <w:sz w:val="21"/>
        </w:rPr>
        <w:t>内的房间隔墙，当采用难燃性墙体时，其耐火极限应提</w:t>
      </w:r>
      <w:r>
        <w:rPr>
          <w:color w:val="333333"/>
          <w:spacing w:val="-28"/>
          <w:sz w:val="21"/>
        </w:rPr>
        <w:t>高 </w:t>
      </w:r>
      <w:r>
        <w:rPr>
          <w:color w:val="333333"/>
          <w:sz w:val="21"/>
        </w:rPr>
        <w:t>0.25h</w:t>
      </w:r>
      <w:r>
        <w:rPr>
          <w:color w:val="333333"/>
          <w:spacing w:val="-3"/>
          <w:sz w:val="21"/>
        </w:rPr>
        <w:t>。</w:t>
      </w:r>
      <w:r>
        <w:rPr>
          <w:color w:val="333333"/>
          <w:sz w:val="21"/>
        </w:rPr>
        <w:t> </w:t>
      </w:r>
    </w:p>
    <w:p>
      <w:pPr>
        <w:pStyle w:val="ListParagraph"/>
        <w:numPr>
          <w:ilvl w:val="2"/>
          <w:numId w:val="239"/>
        </w:numPr>
        <w:tabs>
          <w:tab w:pos="1478" w:val="left" w:leader="none"/>
        </w:tabs>
        <w:spacing w:line="446" w:lineRule="auto" w:before="0" w:after="0"/>
        <w:ind w:left="418" w:right="1498" w:firstLine="422"/>
        <w:jc w:val="left"/>
        <w:rPr>
          <w:sz w:val="21"/>
        </w:rPr>
      </w:pPr>
      <w:r>
        <w:rPr>
          <w:color w:val="333333"/>
          <w:spacing w:val="-3"/>
          <w:sz w:val="21"/>
        </w:rPr>
        <w:t>二级耐火等级多层厂房和多层仓库内采用预应力钢筋混凝土的楼板，其耐火极限不</w:t>
      </w:r>
      <w:r>
        <w:rPr>
          <w:color w:val="333333"/>
          <w:spacing w:val="-15"/>
          <w:sz w:val="21"/>
        </w:rPr>
        <w:t>应低于 </w:t>
      </w:r>
      <w:r>
        <w:rPr>
          <w:color w:val="333333"/>
          <w:sz w:val="21"/>
        </w:rPr>
        <w:t>0.75h</w:t>
      </w:r>
      <w:r>
        <w:rPr>
          <w:color w:val="333333"/>
          <w:spacing w:val="-3"/>
          <w:sz w:val="21"/>
        </w:rPr>
        <w:t>。</w:t>
      </w:r>
      <w:r>
        <w:rPr>
          <w:color w:val="333333"/>
          <w:sz w:val="21"/>
        </w:rPr>
        <w:t> </w:t>
      </w:r>
    </w:p>
    <w:p>
      <w:pPr>
        <w:pStyle w:val="ListParagraph"/>
        <w:numPr>
          <w:ilvl w:val="2"/>
          <w:numId w:val="239"/>
        </w:numPr>
        <w:tabs>
          <w:tab w:pos="1478" w:val="left" w:leader="none"/>
        </w:tabs>
        <w:spacing w:line="446" w:lineRule="auto" w:before="0" w:after="0"/>
        <w:ind w:left="418" w:right="1601" w:firstLine="422"/>
        <w:jc w:val="left"/>
        <w:rPr>
          <w:b/>
          <w:sz w:val="21"/>
        </w:rPr>
      </w:pPr>
      <w:r>
        <w:rPr>
          <w:color w:val="333333"/>
          <w:spacing w:val="-3"/>
          <w:sz w:val="21"/>
        </w:rPr>
        <w:t>一、二级耐火等级厂房</w:t>
      </w:r>
      <w:r>
        <w:rPr>
          <w:color w:val="333333"/>
          <w:sz w:val="21"/>
        </w:rPr>
        <w:t>（</w:t>
      </w:r>
      <w:r>
        <w:rPr>
          <w:color w:val="333333"/>
          <w:spacing w:val="-2"/>
          <w:sz w:val="21"/>
        </w:rPr>
        <w:t>仓库</w:t>
      </w:r>
      <w:r>
        <w:rPr>
          <w:color w:val="333333"/>
          <w:spacing w:val="-3"/>
          <w:sz w:val="21"/>
        </w:rPr>
        <w:t>）的上人平屋顶，其屋面板的耐火极限分别不应低于1.50h</w:t>
      </w:r>
      <w:r>
        <w:rPr>
          <w:color w:val="333333"/>
          <w:spacing w:val="-19"/>
          <w:sz w:val="21"/>
        </w:rPr>
        <w:t> 和 </w:t>
      </w:r>
      <w:r>
        <w:rPr>
          <w:color w:val="333333"/>
          <w:sz w:val="21"/>
        </w:rPr>
        <w:t>1.00h</w:t>
      </w:r>
      <w:r>
        <w:rPr>
          <w:color w:val="333333"/>
          <w:spacing w:val="-3"/>
          <w:sz w:val="21"/>
        </w:rPr>
        <w:t>。</w:t>
      </w:r>
      <w:r>
        <w:rPr>
          <w:b/>
          <w:color w:val="333333"/>
          <w:w w:val="99"/>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239"/>
        </w:numPr>
        <w:tabs>
          <w:tab w:pos="1478" w:val="left" w:leader="none"/>
        </w:tabs>
        <w:spacing w:line="240" w:lineRule="auto" w:before="47" w:after="0"/>
        <w:ind w:left="1477" w:right="0" w:hanging="638"/>
        <w:jc w:val="left"/>
        <w:rPr>
          <w:sz w:val="21"/>
        </w:rPr>
      </w:pPr>
      <w:r>
        <w:rPr>
          <w:color w:val="333333"/>
          <w:spacing w:val="-3"/>
          <w:sz w:val="21"/>
        </w:rPr>
        <w:t>一、二级耐火等级厂房（</w:t>
      </w:r>
      <w:r>
        <w:rPr>
          <w:color w:val="333333"/>
          <w:spacing w:val="-2"/>
          <w:sz w:val="21"/>
        </w:rPr>
        <w:t>仓库</w:t>
      </w:r>
      <w:r>
        <w:rPr>
          <w:color w:val="333333"/>
          <w:sz w:val="21"/>
        </w:rPr>
        <w:t>）</w:t>
      </w:r>
      <w:r>
        <w:rPr>
          <w:color w:val="333333"/>
          <w:spacing w:val="-3"/>
          <w:sz w:val="21"/>
        </w:rPr>
        <w:t>的屋面板应采用不燃材料。</w:t>
      </w:r>
      <w:r>
        <w:rPr>
          <w:color w:val="333333"/>
          <w:sz w:val="21"/>
        </w:rPr>
        <w:t> </w:t>
      </w:r>
    </w:p>
    <w:p>
      <w:pPr>
        <w:pStyle w:val="BodyText"/>
        <w:rPr>
          <w:sz w:val="18"/>
        </w:rPr>
      </w:pPr>
    </w:p>
    <w:p>
      <w:pPr>
        <w:pStyle w:val="BodyText"/>
        <w:spacing w:line="446" w:lineRule="auto"/>
        <w:ind w:left="418" w:right="1609" w:firstLine="419"/>
      </w:pPr>
      <w:r>
        <w:rPr>
          <w:color w:val="333333"/>
        </w:rPr>
        <w:t>屋面防水层宜采用不燃、难燃材料，当采用可燃防水材料且铺设在可燃、难燃保温材料上时，防水材料或可燃、难燃保温材料应采用不燃材料作防护层。 </w:t>
      </w:r>
    </w:p>
    <w:p>
      <w:pPr>
        <w:pStyle w:val="ListParagraph"/>
        <w:numPr>
          <w:ilvl w:val="2"/>
          <w:numId w:val="239"/>
        </w:numPr>
        <w:tabs>
          <w:tab w:pos="1478" w:val="left" w:leader="none"/>
        </w:tabs>
        <w:spacing w:line="446" w:lineRule="auto" w:before="0" w:after="0"/>
        <w:ind w:left="418" w:right="1496" w:firstLine="422"/>
        <w:jc w:val="left"/>
        <w:rPr>
          <w:sz w:val="21"/>
        </w:rPr>
      </w:pPr>
      <w:r>
        <w:rPr>
          <w:color w:val="333333"/>
          <w:spacing w:val="-3"/>
          <w:sz w:val="21"/>
        </w:rPr>
        <w:t>建筑中的非承重外墙、房间隔墙和屋面板，当确需采用金属夹芯板材时，其芯材应为不燃材料，且耐火极限应符合本规范有关规定。</w:t>
      </w:r>
      <w:r>
        <w:rPr>
          <w:color w:val="333333"/>
          <w:sz w:val="21"/>
        </w:rPr>
        <w:t> </w:t>
      </w:r>
    </w:p>
    <w:p>
      <w:pPr>
        <w:pStyle w:val="ListParagraph"/>
        <w:numPr>
          <w:ilvl w:val="2"/>
          <w:numId w:val="239"/>
        </w:numPr>
        <w:tabs>
          <w:tab w:pos="1478" w:val="left" w:leader="none"/>
        </w:tabs>
        <w:spacing w:line="446" w:lineRule="auto" w:before="0" w:after="0"/>
        <w:ind w:left="418" w:right="1496" w:firstLine="422"/>
        <w:jc w:val="left"/>
        <w:rPr>
          <w:sz w:val="21"/>
        </w:rPr>
      </w:pPr>
      <w:r>
        <w:rPr>
          <w:color w:val="333333"/>
          <w:spacing w:val="-3"/>
          <w:sz w:val="21"/>
        </w:rPr>
        <w:t>除本规范另有规定外，以木柱承重且墙体采用不燃材料的厂房（</w:t>
      </w:r>
      <w:r>
        <w:rPr>
          <w:color w:val="333333"/>
          <w:spacing w:val="-2"/>
          <w:sz w:val="21"/>
        </w:rPr>
        <w:t>仓库</w:t>
      </w:r>
      <w:r>
        <w:rPr>
          <w:color w:val="333333"/>
          <w:sz w:val="21"/>
        </w:rPr>
        <w:t>），</w:t>
      </w:r>
      <w:r>
        <w:rPr>
          <w:color w:val="333333"/>
          <w:spacing w:val="-3"/>
          <w:sz w:val="21"/>
        </w:rPr>
        <w:t>其耐火等级可按四级确定。</w:t>
      </w:r>
      <w:r>
        <w:rPr>
          <w:color w:val="333333"/>
          <w:sz w:val="21"/>
        </w:rPr>
        <w:t> </w:t>
      </w:r>
    </w:p>
    <w:p>
      <w:pPr>
        <w:pStyle w:val="ListParagraph"/>
        <w:numPr>
          <w:ilvl w:val="2"/>
          <w:numId w:val="239"/>
        </w:numPr>
        <w:tabs>
          <w:tab w:pos="1478" w:val="left" w:leader="none"/>
        </w:tabs>
        <w:spacing w:line="446" w:lineRule="auto" w:before="0" w:after="0"/>
        <w:ind w:left="418" w:right="1496" w:firstLine="422"/>
        <w:jc w:val="left"/>
        <w:rPr>
          <w:sz w:val="21"/>
        </w:rPr>
      </w:pPr>
      <w:r>
        <w:rPr>
          <w:color w:val="333333"/>
          <w:spacing w:val="-3"/>
          <w:sz w:val="21"/>
        </w:rPr>
        <w:t>预制钢筋混凝土构件的节点外露部位，应采取防火保护措施，且节点的耐火极限不应低于相应构件的耐火极限。</w:t>
      </w:r>
      <w:r>
        <w:rPr>
          <w:color w:val="333333"/>
          <w:sz w:val="21"/>
        </w:rPr>
        <w:t> </w:t>
      </w:r>
    </w:p>
    <w:p>
      <w:pPr>
        <w:pStyle w:val="ListParagraph"/>
        <w:numPr>
          <w:ilvl w:val="1"/>
          <w:numId w:val="239"/>
        </w:numPr>
        <w:tabs>
          <w:tab w:pos="1159" w:val="left" w:leader="none"/>
        </w:tabs>
        <w:spacing w:line="240" w:lineRule="auto" w:before="0" w:after="0"/>
        <w:ind w:left="1158" w:right="0" w:hanging="319"/>
        <w:jc w:val="left"/>
        <w:rPr>
          <w:sz w:val="21"/>
        </w:rPr>
      </w:pPr>
      <w:r>
        <w:rPr>
          <w:spacing w:val="-3"/>
          <w:sz w:val="21"/>
        </w:rPr>
        <w:t>厂房和仓库的层数、面积和平面布置</w:t>
      </w:r>
      <w:r>
        <w:rPr>
          <w:sz w:val="21"/>
        </w:rPr>
        <w:t> </w:t>
      </w:r>
    </w:p>
    <w:p>
      <w:pPr>
        <w:pStyle w:val="BodyText"/>
        <w:spacing w:before="10"/>
        <w:rPr>
          <w:sz w:val="17"/>
        </w:rPr>
      </w:pPr>
    </w:p>
    <w:p>
      <w:pPr>
        <w:pStyle w:val="ListParagraph"/>
        <w:numPr>
          <w:ilvl w:val="2"/>
          <w:numId w:val="239"/>
        </w:numPr>
        <w:tabs>
          <w:tab w:pos="1371" w:val="left" w:leader="none"/>
        </w:tabs>
        <w:spacing w:line="240" w:lineRule="auto" w:before="0" w:after="0"/>
        <w:ind w:left="1370" w:right="0" w:hanging="531"/>
        <w:jc w:val="left"/>
        <w:rPr>
          <w:sz w:val="21"/>
        </w:rPr>
      </w:pPr>
      <w:r>
        <w:rPr>
          <w:color w:val="333333"/>
          <w:spacing w:val="-3"/>
          <w:sz w:val="21"/>
        </w:rPr>
        <w:t>除本规范另有规定外，厂房的层数和每个防火分区的最大允许建筑面积应符合表</w:t>
      </w:r>
    </w:p>
    <w:p>
      <w:pPr>
        <w:pStyle w:val="BodyText"/>
        <w:rPr>
          <w:sz w:val="18"/>
        </w:rPr>
      </w:pPr>
    </w:p>
    <w:p>
      <w:pPr>
        <w:pStyle w:val="ListParagraph"/>
        <w:numPr>
          <w:ilvl w:val="2"/>
          <w:numId w:val="240"/>
        </w:numPr>
        <w:tabs>
          <w:tab w:pos="948" w:val="left" w:leader="none"/>
        </w:tabs>
        <w:spacing w:line="240" w:lineRule="auto" w:before="0" w:after="0"/>
        <w:ind w:left="947" w:right="0" w:hanging="530"/>
        <w:jc w:val="left"/>
        <w:rPr>
          <w:color w:val="333333"/>
          <w:sz w:val="19"/>
        </w:rPr>
      </w:pPr>
      <w:r>
        <w:rPr>
          <w:color w:val="333333"/>
          <w:spacing w:val="-3"/>
          <w:sz w:val="21"/>
        </w:rPr>
        <w:t>的规定。</w:t>
      </w:r>
      <w:r>
        <w:rPr>
          <w:color w:val="333333"/>
          <w:sz w:val="21"/>
        </w:rPr>
        <w:t> </w:t>
      </w:r>
    </w:p>
    <w:p>
      <w:pPr>
        <w:pStyle w:val="BodyText"/>
        <w:spacing w:before="2"/>
        <w:rPr>
          <w:sz w:val="18"/>
        </w:rPr>
      </w:pPr>
    </w:p>
    <w:p>
      <w:pPr>
        <w:pStyle w:val="Heading6"/>
        <w:ind w:left="2359"/>
      </w:pPr>
      <w:r>
        <w:rPr/>
        <w:t>表 3.3.1 厂房的层数和每个防火分区的最大允许建筑面积</w:t>
      </w:r>
      <w:r>
        <w:rPr>
          <w:w w:val="99"/>
        </w:rPr>
        <w:t> </w:t>
      </w:r>
    </w:p>
    <w:p>
      <w:pPr>
        <w:pStyle w:val="BodyText"/>
        <w:spacing w:before="11"/>
        <w:rPr>
          <w:b/>
          <w:sz w:val="17"/>
        </w:rPr>
      </w:pPr>
      <w:r>
        <w:rPr/>
        <w:drawing>
          <wp:anchor distT="0" distB="0" distL="0" distR="0" allowOverlap="1" layoutInCell="1" locked="0" behindDoc="0" simplePos="0" relativeHeight="67">
            <wp:simplePos x="0" y="0"/>
            <wp:positionH relativeFrom="page">
              <wp:posOffset>1170305</wp:posOffset>
            </wp:positionH>
            <wp:positionV relativeFrom="paragraph">
              <wp:posOffset>170529</wp:posOffset>
            </wp:positionV>
            <wp:extent cx="5308074" cy="3590925"/>
            <wp:effectExtent l="0" t="0" r="0" b="0"/>
            <wp:wrapTopAndBottom/>
            <wp:docPr id="155" name="image105.jpeg"/>
            <wp:cNvGraphicFramePr>
              <a:graphicFrameLocks noChangeAspect="1"/>
            </wp:cNvGraphicFramePr>
            <a:graphic>
              <a:graphicData uri="http://schemas.openxmlformats.org/drawingml/2006/picture">
                <pic:pic>
                  <pic:nvPicPr>
                    <pic:cNvPr id="156" name="image105.jpeg"/>
                    <pic:cNvPicPr/>
                  </pic:nvPicPr>
                  <pic:blipFill>
                    <a:blip r:embed="rId113" cstate="print"/>
                    <a:stretch>
                      <a:fillRect/>
                    </a:stretch>
                  </pic:blipFill>
                  <pic:spPr>
                    <a:xfrm>
                      <a:off x="0" y="0"/>
                      <a:ext cx="5308074" cy="3590925"/>
                    </a:xfrm>
                    <a:prstGeom prst="rect">
                      <a:avLst/>
                    </a:prstGeom>
                  </pic:spPr>
                </pic:pic>
              </a:graphicData>
            </a:graphic>
          </wp:anchor>
        </w:drawing>
      </w:r>
    </w:p>
    <w:p>
      <w:pPr>
        <w:pStyle w:val="BodyText"/>
        <w:spacing w:line="446" w:lineRule="auto" w:before="149"/>
        <w:ind w:left="418" w:right="1505" w:firstLine="419"/>
      </w:pPr>
      <w:r>
        <w:rPr>
          <w:color w:val="333333"/>
        </w:rPr>
        <w:t>注：1</w:t>
      </w:r>
      <w:r>
        <w:rPr>
          <w:color w:val="333333"/>
          <w:spacing w:val="-3"/>
        </w:rPr>
        <w:t>. 防火分区之间应采用防火墙分隔。除甲类厂房外的一、二级耐火等级厂房，当其防火分区的建筑面积大于本表规定，且设置防火墙确有困难时，可采用防火卷帘或防火分隔水幕</w:t>
      </w:r>
      <w:r>
        <w:rPr>
          <w:color w:val="333333"/>
          <w:spacing w:val="-6"/>
        </w:rPr>
        <w:t>分隔。采用防火卷帘时，应符合本规范第 </w:t>
      </w:r>
      <w:r>
        <w:rPr>
          <w:color w:val="333333"/>
        </w:rPr>
        <w:t>6.5.3</w:t>
      </w:r>
      <w:r>
        <w:rPr>
          <w:color w:val="333333"/>
          <w:spacing w:val="-3"/>
        </w:rPr>
        <w:t> 条的规定；采用防火分隔水幕时，应符合现行</w:t>
      </w:r>
    </w:p>
    <w:p>
      <w:pPr>
        <w:spacing w:after="0" w:line="446" w:lineRule="auto"/>
        <w:sectPr>
          <w:pgSz w:w="11910" w:h="16850"/>
          <w:pgMar w:header="0" w:footer="1239" w:top="1220" w:bottom="1420" w:left="1260" w:right="0"/>
        </w:sectPr>
      </w:pPr>
    </w:p>
    <w:p>
      <w:pPr>
        <w:pStyle w:val="BodyText"/>
        <w:spacing w:before="47"/>
        <w:ind w:left="418"/>
      </w:pPr>
      <w:r>
        <w:rPr>
          <w:color w:val="333333"/>
        </w:rPr>
        <w:t>国家标准《自动喷水灭火系统设计规范》GB 50084 的规定。 </w:t>
      </w:r>
    </w:p>
    <w:p>
      <w:pPr>
        <w:pStyle w:val="BodyText"/>
        <w:rPr>
          <w:sz w:val="18"/>
        </w:rPr>
      </w:pPr>
    </w:p>
    <w:p>
      <w:pPr>
        <w:pStyle w:val="ListParagraph"/>
        <w:numPr>
          <w:ilvl w:val="3"/>
          <w:numId w:val="240"/>
        </w:numPr>
        <w:tabs>
          <w:tab w:pos="1051" w:val="left" w:leader="none"/>
        </w:tabs>
        <w:spacing w:line="446" w:lineRule="auto" w:before="0" w:after="0"/>
        <w:ind w:left="418" w:right="1558" w:firstLine="419"/>
        <w:jc w:val="both"/>
        <w:rPr>
          <w:sz w:val="21"/>
        </w:rPr>
      </w:pPr>
      <w:r>
        <w:rPr>
          <w:color w:val="333333"/>
          <w:spacing w:val="-3"/>
          <w:sz w:val="21"/>
        </w:rPr>
        <w:t>除麻纺厂房外，一级耐火等级的多层纺织厂房和二级耐火等级的单、多层纺织厂房，其</w:t>
      </w:r>
      <w:r>
        <w:rPr>
          <w:color w:val="333333"/>
          <w:spacing w:val="-5"/>
          <w:sz w:val="21"/>
        </w:rPr>
        <w:t>每个防火分区的最大允许建筑面积可按本表的规定增加 </w:t>
      </w:r>
      <w:r>
        <w:rPr>
          <w:color w:val="333333"/>
          <w:sz w:val="21"/>
        </w:rPr>
        <w:t>0.5</w:t>
      </w:r>
      <w:r>
        <w:rPr>
          <w:color w:val="333333"/>
          <w:spacing w:val="-3"/>
          <w:sz w:val="21"/>
        </w:rPr>
        <w:t> 倍，但厂房内的原棉开包、清花车</w:t>
      </w:r>
      <w:r>
        <w:rPr>
          <w:color w:val="333333"/>
          <w:spacing w:val="-5"/>
          <w:sz w:val="21"/>
        </w:rPr>
        <w:t>间与厂房内其他部位之间均应采用耐火极限不低于 </w:t>
      </w:r>
      <w:r>
        <w:rPr>
          <w:color w:val="333333"/>
          <w:sz w:val="21"/>
        </w:rPr>
        <w:t>2.50h</w:t>
      </w:r>
      <w:r>
        <w:rPr>
          <w:color w:val="333333"/>
          <w:spacing w:val="-3"/>
          <w:sz w:val="21"/>
        </w:rPr>
        <w:t> 的防火隔墙分隔，需要开设门、窗、洞口时，应设置甲级防火门、窗。</w:t>
      </w:r>
      <w:r>
        <w:rPr>
          <w:color w:val="333333"/>
          <w:sz w:val="21"/>
        </w:rPr>
        <w:t> </w:t>
      </w:r>
    </w:p>
    <w:p>
      <w:pPr>
        <w:pStyle w:val="ListParagraph"/>
        <w:numPr>
          <w:ilvl w:val="3"/>
          <w:numId w:val="240"/>
        </w:numPr>
        <w:tabs>
          <w:tab w:pos="1051" w:val="left" w:leader="none"/>
        </w:tabs>
        <w:spacing w:line="446" w:lineRule="auto" w:before="0" w:after="0"/>
        <w:ind w:left="418" w:right="1505" w:firstLine="419"/>
        <w:jc w:val="left"/>
        <w:rPr>
          <w:sz w:val="21"/>
        </w:rPr>
      </w:pPr>
      <w:r>
        <w:rPr>
          <w:color w:val="333333"/>
          <w:spacing w:val="-3"/>
          <w:sz w:val="21"/>
        </w:rPr>
        <w:t>一、二级耐火等级的单、多层造纸生产联合厂房，其每个防火分区的最大允许建筑面积</w:t>
      </w:r>
      <w:r>
        <w:rPr>
          <w:color w:val="333333"/>
          <w:spacing w:val="-7"/>
          <w:sz w:val="21"/>
        </w:rPr>
        <w:t>可按本表的规定增加 </w:t>
      </w:r>
      <w:r>
        <w:rPr>
          <w:color w:val="333333"/>
          <w:sz w:val="21"/>
        </w:rPr>
        <w:t>1.5</w:t>
      </w:r>
      <w:r>
        <w:rPr>
          <w:color w:val="333333"/>
          <w:spacing w:val="-3"/>
          <w:sz w:val="21"/>
        </w:rPr>
        <w:t> 倍。一、二级耐火等级的湿式造纸联合厂房，当纸机烘缸罩内设置自动灭火系统，完成工段设置有效灭火设施保护时，其每个防火分区的最大允许建筑面积可按工艺要求确定。</w:t>
      </w:r>
      <w:r>
        <w:rPr>
          <w:color w:val="333333"/>
          <w:sz w:val="21"/>
        </w:rPr>
        <w:t> </w:t>
      </w:r>
    </w:p>
    <w:p>
      <w:pPr>
        <w:pStyle w:val="ListParagraph"/>
        <w:numPr>
          <w:ilvl w:val="3"/>
          <w:numId w:val="240"/>
        </w:numPr>
        <w:tabs>
          <w:tab w:pos="1051" w:val="left" w:leader="none"/>
        </w:tabs>
        <w:spacing w:line="240" w:lineRule="auto" w:before="0" w:after="0"/>
        <w:ind w:left="1050" w:right="0" w:hanging="213"/>
        <w:jc w:val="left"/>
        <w:rPr>
          <w:sz w:val="21"/>
        </w:rPr>
      </w:pPr>
      <w:r>
        <w:rPr>
          <w:color w:val="333333"/>
          <w:spacing w:val="-5"/>
          <w:sz w:val="21"/>
        </w:rPr>
        <w:t>一、二级耐火等级的谷物筒仓工作塔，当每层工作人数不超过 </w:t>
      </w:r>
      <w:r>
        <w:rPr>
          <w:color w:val="333333"/>
          <w:spacing w:val="-3"/>
          <w:sz w:val="21"/>
        </w:rPr>
        <w:t>2 人时，其层数不限。</w:t>
      </w:r>
      <w:r>
        <w:rPr>
          <w:color w:val="333333"/>
          <w:sz w:val="21"/>
        </w:rPr>
        <w:t> </w:t>
      </w:r>
    </w:p>
    <w:p>
      <w:pPr>
        <w:pStyle w:val="BodyText"/>
        <w:spacing w:before="10"/>
        <w:rPr>
          <w:sz w:val="17"/>
        </w:rPr>
      </w:pPr>
    </w:p>
    <w:p>
      <w:pPr>
        <w:pStyle w:val="ListParagraph"/>
        <w:numPr>
          <w:ilvl w:val="3"/>
          <w:numId w:val="240"/>
        </w:numPr>
        <w:tabs>
          <w:tab w:pos="1051" w:val="left" w:leader="none"/>
        </w:tabs>
        <w:spacing w:line="446" w:lineRule="auto" w:before="0" w:after="0"/>
        <w:ind w:left="418" w:right="1508" w:firstLine="419"/>
        <w:jc w:val="left"/>
        <w:rPr>
          <w:sz w:val="21"/>
        </w:rPr>
      </w:pPr>
      <w:r>
        <w:rPr>
          <w:color w:val="333333"/>
          <w:spacing w:val="-2"/>
          <w:sz w:val="21"/>
        </w:rPr>
        <w:t>一、二级耐火等级卷烟生产联合厂房内的原料、备料及成组配方、制丝、储丝和卷接 包</w:t>
      </w:r>
      <w:r>
        <w:rPr>
          <w:color w:val="333333"/>
          <w:spacing w:val="-3"/>
          <w:sz w:val="21"/>
        </w:rPr>
        <w:t>、辅料周转、成品暂存、二氧化碳膨胀烟丝等生产用房应划分独立的防火分隔单元，当工艺条件许可时，应采用防火墙进行分隔。其中制丝、储丝和卷接包车间可划分为一个防火分区，且每个防火分区的最大允许建筑面积可按工艺要求确定，但制丝、储丝及卷接包车间之间应采用</w:t>
      </w:r>
      <w:r>
        <w:rPr>
          <w:color w:val="333333"/>
          <w:spacing w:val="-9"/>
          <w:sz w:val="21"/>
        </w:rPr>
        <w:t>耐火极限不低于 </w:t>
      </w:r>
      <w:r>
        <w:rPr>
          <w:color w:val="333333"/>
          <w:sz w:val="21"/>
        </w:rPr>
        <w:t>2.00h</w:t>
      </w:r>
      <w:r>
        <w:rPr>
          <w:color w:val="333333"/>
          <w:spacing w:val="-7"/>
          <w:sz w:val="21"/>
        </w:rPr>
        <w:t> 的防火隔墙和 </w:t>
      </w:r>
      <w:r>
        <w:rPr>
          <w:color w:val="333333"/>
          <w:sz w:val="21"/>
        </w:rPr>
        <w:t>1.00h</w:t>
      </w:r>
      <w:r>
        <w:rPr>
          <w:color w:val="333333"/>
          <w:spacing w:val="-3"/>
          <w:sz w:val="21"/>
        </w:rPr>
        <w:t> 的楼板进行分隔。厂房内各水平和竖向防火分隔之间的开口应采取防止火灾蔓延的措施。</w:t>
      </w:r>
      <w:r>
        <w:rPr>
          <w:color w:val="333333"/>
          <w:sz w:val="21"/>
        </w:rPr>
        <w:t> </w:t>
      </w:r>
    </w:p>
    <w:p>
      <w:pPr>
        <w:pStyle w:val="ListParagraph"/>
        <w:numPr>
          <w:ilvl w:val="3"/>
          <w:numId w:val="240"/>
        </w:numPr>
        <w:tabs>
          <w:tab w:pos="1051" w:val="left" w:leader="none"/>
        </w:tabs>
        <w:spacing w:line="446" w:lineRule="auto" w:before="0" w:after="0"/>
        <w:ind w:left="418" w:right="1561" w:firstLine="419"/>
        <w:jc w:val="left"/>
        <w:rPr>
          <w:sz w:val="21"/>
        </w:rPr>
      </w:pPr>
      <w:r>
        <w:rPr>
          <w:color w:val="333333"/>
          <w:spacing w:val="-6"/>
          <w:sz w:val="21"/>
        </w:rPr>
        <w:t>厂房内的操作平台、检修平台，当使用人数少于 </w:t>
      </w:r>
      <w:r>
        <w:rPr>
          <w:color w:val="333333"/>
          <w:sz w:val="21"/>
        </w:rPr>
        <w:t>10</w:t>
      </w:r>
      <w:r>
        <w:rPr>
          <w:color w:val="333333"/>
          <w:spacing w:val="-3"/>
          <w:sz w:val="21"/>
        </w:rPr>
        <w:t> 人时，平台的面积可不计入所在防火分区的建筑面积内。</w:t>
      </w:r>
      <w:r>
        <w:rPr>
          <w:color w:val="333333"/>
          <w:sz w:val="21"/>
        </w:rPr>
        <w:t> </w:t>
      </w:r>
    </w:p>
    <w:p>
      <w:pPr>
        <w:pStyle w:val="ListParagraph"/>
        <w:numPr>
          <w:ilvl w:val="3"/>
          <w:numId w:val="240"/>
        </w:numPr>
        <w:tabs>
          <w:tab w:pos="1051" w:val="left" w:leader="none"/>
        </w:tabs>
        <w:spacing w:line="240" w:lineRule="auto" w:before="0" w:after="0"/>
        <w:ind w:left="1050" w:right="0" w:hanging="213"/>
        <w:jc w:val="left"/>
        <w:rPr>
          <w:sz w:val="21"/>
        </w:rPr>
      </w:pPr>
      <w:r>
        <w:rPr>
          <w:color w:val="333333"/>
          <w:spacing w:val="-3"/>
          <w:sz w:val="21"/>
        </w:rPr>
        <w:t>“—”表示不允许。</w:t>
      </w:r>
      <w:r>
        <w:rPr>
          <w:color w:val="333333"/>
          <w:sz w:val="21"/>
        </w:rPr>
        <w:t> </w:t>
      </w:r>
    </w:p>
    <w:p>
      <w:pPr>
        <w:pStyle w:val="BodyText"/>
        <w:spacing w:before="11"/>
        <w:rPr>
          <w:sz w:val="17"/>
        </w:rPr>
      </w:pPr>
    </w:p>
    <w:p>
      <w:pPr>
        <w:pStyle w:val="ListParagraph"/>
        <w:numPr>
          <w:ilvl w:val="2"/>
          <w:numId w:val="240"/>
        </w:numPr>
        <w:tabs>
          <w:tab w:pos="1371" w:val="left" w:leader="none"/>
        </w:tabs>
        <w:spacing w:line="240" w:lineRule="auto" w:before="0" w:after="0"/>
        <w:ind w:left="1370" w:right="0" w:hanging="531"/>
        <w:jc w:val="left"/>
        <w:rPr>
          <w:color w:val="333333"/>
          <w:sz w:val="19"/>
        </w:rPr>
      </w:pPr>
      <w:r>
        <w:rPr>
          <w:color w:val="333333"/>
          <w:spacing w:val="-6"/>
          <w:sz w:val="21"/>
        </w:rPr>
        <w:t>除本规范另有规定外，仓库的层数和面积应符合表 </w:t>
      </w:r>
      <w:r>
        <w:rPr>
          <w:color w:val="333333"/>
          <w:sz w:val="21"/>
        </w:rPr>
        <w:t>3.3.2</w:t>
      </w:r>
      <w:r>
        <w:rPr>
          <w:color w:val="333333"/>
          <w:spacing w:val="-2"/>
          <w:sz w:val="21"/>
        </w:rPr>
        <w:t>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5"/>
        </w:rPr>
      </w:pPr>
    </w:p>
    <w:p>
      <w:pPr>
        <w:spacing w:before="71"/>
        <w:ind w:left="840" w:right="0" w:firstLine="0"/>
        <w:jc w:val="left"/>
        <w:rPr>
          <w:b/>
          <w:sz w:val="21"/>
        </w:rPr>
      </w:pPr>
      <w:r>
        <w:rPr>
          <w:b/>
          <w:color w:val="333333"/>
          <w:w w:val="99"/>
          <w:sz w:val="21"/>
        </w:rPr>
        <w:t> </w:t>
      </w:r>
    </w:p>
    <w:p>
      <w:pPr>
        <w:spacing w:after="0"/>
        <w:jc w:val="left"/>
        <w:rPr>
          <w:sz w:val="21"/>
        </w:rPr>
        <w:sectPr>
          <w:pgSz w:w="11910" w:h="16850"/>
          <w:pgMar w:header="0" w:footer="1239" w:top="1220" w:bottom="1420" w:left="1260" w:right="0"/>
        </w:sectPr>
      </w:pPr>
    </w:p>
    <w:p>
      <w:pPr>
        <w:spacing w:before="47"/>
        <w:ind w:left="0" w:right="492" w:firstLine="0"/>
        <w:jc w:val="center"/>
        <w:rPr>
          <w:b/>
          <w:sz w:val="21"/>
        </w:rPr>
      </w:pPr>
      <w:r>
        <w:rPr>
          <w:b/>
          <w:sz w:val="21"/>
        </w:rPr>
        <w:t>表 3.3.2 仓库的层数和面积</w:t>
      </w:r>
      <w:r>
        <w:rPr>
          <w:b/>
          <w:w w:val="99"/>
          <w:sz w:val="21"/>
        </w:rPr>
        <w:t> </w:t>
      </w:r>
    </w:p>
    <w:p>
      <w:pPr>
        <w:pStyle w:val="BodyText"/>
        <w:spacing w:before="5"/>
        <w:rPr>
          <w:b/>
          <w:sz w:val="11"/>
        </w:rPr>
      </w:pPr>
      <w:r>
        <w:rPr/>
        <w:drawing>
          <wp:anchor distT="0" distB="0" distL="0" distR="0" allowOverlap="1" layoutInCell="1" locked="0" behindDoc="0" simplePos="0" relativeHeight="68">
            <wp:simplePos x="0" y="0"/>
            <wp:positionH relativeFrom="page">
              <wp:posOffset>1208405</wp:posOffset>
            </wp:positionH>
            <wp:positionV relativeFrom="paragraph">
              <wp:posOffset>117562</wp:posOffset>
            </wp:positionV>
            <wp:extent cx="5038724" cy="4295775"/>
            <wp:effectExtent l="0" t="0" r="0" b="0"/>
            <wp:wrapTopAndBottom/>
            <wp:docPr id="157" name="image106.jpeg"/>
            <wp:cNvGraphicFramePr>
              <a:graphicFrameLocks noChangeAspect="1"/>
            </wp:cNvGraphicFramePr>
            <a:graphic>
              <a:graphicData uri="http://schemas.openxmlformats.org/drawingml/2006/picture">
                <pic:pic>
                  <pic:nvPicPr>
                    <pic:cNvPr id="158" name="image106.jpeg"/>
                    <pic:cNvPicPr/>
                  </pic:nvPicPr>
                  <pic:blipFill>
                    <a:blip r:embed="rId114" cstate="print"/>
                    <a:stretch>
                      <a:fillRect/>
                    </a:stretch>
                  </pic:blipFill>
                  <pic:spPr>
                    <a:xfrm>
                      <a:off x="0" y="0"/>
                      <a:ext cx="5038724" cy="4295775"/>
                    </a:xfrm>
                    <a:prstGeom prst="rect">
                      <a:avLst/>
                    </a:prstGeom>
                  </pic:spPr>
                </pic:pic>
              </a:graphicData>
            </a:graphic>
          </wp:anchor>
        </w:drawing>
      </w:r>
    </w:p>
    <w:p>
      <w:pPr>
        <w:pStyle w:val="BodyText"/>
        <w:spacing w:line="446" w:lineRule="auto" w:before="179"/>
        <w:ind w:left="418" w:right="1608" w:firstLine="419"/>
        <w:jc w:val="both"/>
      </w:pPr>
      <w:r>
        <w:rPr>
          <w:color w:val="333333"/>
        </w:rPr>
        <w:t>注：1.仓库内的防火分区之间必须采用防火墙分隔，甲、乙类仓库内防火分区之间的防火墙不应开设门、窗、洞口；地下或半地下仓库（包括地下或半地下室）的最大允许占地面积， 不应大于相应类别地上仓库的最大允许占地面积。 </w:t>
      </w:r>
    </w:p>
    <w:p>
      <w:pPr>
        <w:pStyle w:val="ListParagraph"/>
        <w:numPr>
          <w:ilvl w:val="0"/>
          <w:numId w:val="241"/>
        </w:numPr>
        <w:tabs>
          <w:tab w:pos="1051" w:val="left" w:leader="none"/>
        </w:tabs>
        <w:spacing w:line="268" w:lineRule="exact" w:before="0" w:after="0"/>
        <w:ind w:left="1050" w:right="564" w:hanging="1051"/>
        <w:jc w:val="left"/>
        <w:rPr>
          <w:sz w:val="21"/>
        </w:rPr>
      </w:pPr>
      <w:r>
        <w:rPr>
          <w:color w:val="333333"/>
          <w:spacing w:val="-3"/>
          <w:sz w:val="21"/>
        </w:rPr>
        <w:t>石油库区内的桶装油品仓库应符合现行国家标准《石油库设计规范》</w:t>
      </w:r>
      <w:r>
        <w:rPr>
          <w:color w:val="333333"/>
          <w:sz w:val="21"/>
        </w:rPr>
        <w:t>GB</w:t>
      </w:r>
      <w:r>
        <w:rPr>
          <w:color w:val="333333"/>
          <w:spacing w:val="4"/>
          <w:sz w:val="21"/>
        </w:rPr>
        <w:t> </w:t>
      </w:r>
      <w:r>
        <w:rPr>
          <w:color w:val="333333"/>
          <w:sz w:val="21"/>
        </w:rPr>
        <w:t>50074</w:t>
      </w:r>
      <w:r>
        <w:rPr>
          <w:color w:val="333333"/>
          <w:spacing w:val="-2"/>
          <w:sz w:val="21"/>
        </w:rPr>
        <w:t> 的规定。</w:t>
      </w:r>
      <w:r>
        <w:rPr>
          <w:color w:val="333333"/>
          <w:sz w:val="21"/>
        </w:rPr>
        <w:t> </w:t>
      </w:r>
    </w:p>
    <w:p>
      <w:pPr>
        <w:pStyle w:val="BodyText"/>
        <w:spacing w:before="3"/>
        <w:rPr>
          <w:sz w:val="17"/>
        </w:rPr>
      </w:pPr>
    </w:p>
    <w:p>
      <w:pPr>
        <w:pStyle w:val="ListParagraph"/>
        <w:numPr>
          <w:ilvl w:val="0"/>
          <w:numId w:val="241"/>
        </w:numPr>
        <w:tabs>
          <w:tab w:pos="1051" w:val="left" w:leader="none"/>
        </w:tabs>
        <w:spacing w:line="240" w:lineRule="auto" w:before="0" w:after="0"/>
        <w:ind w:left="1050" w:right="0" w:hanging="213"/>
        <w:jc w:val="left"/>
        <w:rPr>
          <w:sz w:val="21"/>
        </w:rPr>
      </w:pPr>
      <w:r>
        <w:rPr>
          <w:color w:val="333333"/>
          <w:spacing w:val="-5"/>
          <w:sz w:val="21"/>
        </w:rPr>
        <w:t>一、二级耐火等级的煤均化库，每个防火分区的最大允许建筑面积不应大于 </w:t>
      </w:r>
      <w:r>
        <w:rPr>
          <w:color w:val="333333"/>
          <w:sz w:val="21"/>
        </w:rPr>
        <w:t>12000m</w:t>
      </w:r>
      <w:r>
        <w:rPr>
          <w:color w:val="333333"/>
          <w:position w:val="11"/>
          <w:sz w:val="11"/>
        </w:rPr>
        <w:t>2</w:t>
      </w:r>
      <w:r>
        <w:rPr>
          <w:color w:val="333333"/>
          <w:spacing w:val="-3"/>
          <w:sz w:val="21"/>
        </w:rPr>
        <w:t>。</w:t>
      </w:r>
      <w:r>
        <w:rPr>
          <w:color w:val="333333"/>
          <w:sz w:val="21"/>
        </w:rPr>
        <w:t> </w:t>
      </w:r>
    </w:p>
    <w:p>
      <w:pPr>
        <w:pStyle w:val="BodyText"/>
        <w:spacing w:before="12"/>
        <w:rPr>
          <w:sz w:val="17"/>
        </w:rPr>
      </w:pPr>
    </w:p>
    <w:p>
      <w:pPr>
        <w:pStyle w:val="ListParagraph"/>
        <w:numPr>
          <w:ilvl w:val="0"/>
          <w:numId w:val="241"/>
        </w:numPr>
        <w:tabs>
          <w:tab w:pos="1051" w:val="left" w:leader="none"/>
        </w:tabs>
        <w:spacing w:line="446" w:lineRule="auto" w:before="0" w:after="0"/>
        <w:ind w:left="418" w:right="1505" w:firstLine="419"/>
        <w:jc w:val="left"/>
        <w:rPr>
          <w:sz w:val="21"/>
        </w:rPr>
      </w:pPr>
      <w:r>
        <w:rPr>
          <w:color w:val="333333"/>
          <w:spacing w:val="-3"/>
          <w:sz w:val="21"/>
        </w:rPr>
        <w:t>独立建造的硝酸铵仓库、电石仓库、聚乙烯等高分子制品仓库、尿素仓库、配煤仓库、造纸厂的独立成品仓库，当建筑的耐火等级不低于二级时，每座仓库的最大允许占地面积和每</w:t>
      </w:r>
      <w:r>
        <w:rPr>
          <w:color w:val="333333"/>
          <w:spacing w:val="-6"/>
          <w:sz w:val="21"/>
        </w:rPr>
        <w:t>个防火分区的最大允许建筑面积可按本表的规定增加 </w:t>
      </w:r>
      <w:r>
        <w:rPr>
          <w:color w:val="333333"/>
          <w:sz w:val="21"/>
        </w:rPr>
        <w:t>1.0</w:t>
      </w:r>
      <w:r>
        <w:rPr>
          <w:color w:val="333333"/>
          <w:spacing w:val="-2"/>
          <w:sz w:val="21"/>
        </w:rPr>
        <w:t> 倍。</w:t>
      </w:r>
      <w:r>
        <w:rPr>
          <w:color w:val="333333"/>
          <w:sz w:val="21"/>
        </w:rPr>
        <w:t> </w:t>
      </w:r>
    </w:p>
    <w:p>
      <w:pPr>
        <w:pStyle w:val="ListParagraph"/>
        <w:numPr>
          <w:ilvl w:val="0"/>
          <w:numId w:val="241"/>
        </w:numPr>
        <w:tabs>
          <w:tab w:pos="1051" w:val="left" w:leader="none"/>
        </w:tabs>
        <w:spacing w:line="436" w:lineRule="auto" w:before="0" w:after="0"/>
        <w:ind w:left="418" w:right="1503" w:firstLine="419"/>
        <w:jc w:val="left"/>
        <w:rPr>
          <w:sz w:val="21"/>
        </w:rPr>
      </w:pPr>
      <w:r>
        <w:rPr>
          <w:color w:val="333333"/>
          <w:spacing w:val="-4"/>
          <w:sz w:val="21"/>
        </w:rPr>
        <w:t>一、二级耐火等级粮食平房仓的最大允许占地面积不应大于 </w:t>
      </w:r>
      <w:r>
        <w:rPr>
          <w:color w:val="333333"/>
          <w:sz w:val="21"/>
        </w:rPr>
        <w:t>12000m</w:t>
      </w:r>
      <w:r>
        <w:rPr>
          <w:color w:val="333333"/>
          <w:position w:val="11"/>
          <w:sz w:val="11"/>
        </w:rPr>
        <w:t>2</w:t>
      </w:r>
      <w:r>
        <w:rPr>
          <w:color w:val="333333"/>
          <w:spacing w:val="-3"/>
          <w:sz w:val="21"/>
        </w:rPr>
        <w:t>，每个防火分区的最</w:t>
      </w:r>
      <w:r>
        <w:rPr>
          <w:color w:val="333333"/>
          <w:spacing w:val="-8"/>
          <w:sz w:val="21"/>
        </w:rPr>
        <w:t>大允许建筑面积不应大于 </w:t>
      </w:r>
      <w:r>
        <w:rPr>
          <w:color w:val="333333"/>
          <w:sz w:val="21"/>
        </w:rPr>
        <w:t>3000m</w:t>
      </w:r>
      <w:r>
        <w:rPr>
          <w:color w:val="333333"/>
          <w:position w:val="11"/>
          <w:sz w:val="11"/>
        </w:rPr>
        <w:t>2</w:t>
      </w:r>
      <w:r>
        <w:rPr>
          <w:color w:val="333333"/>
          <w:spacing w:val="-3"/>
          <w:sz w:val="21"/>
        </w:rPr>
        <w:t>；三级耐火等级粮食平房仓的最大允许占地面积不应大于3000m</w:t>
      </w:r>
      <w:r>
        <w:rPr>
          <w:color w:val="333333"/>
          <w:spacing w:val="-3"/>
          <w:position w:val="11"/>
          <w:sz w:val="11"/>
        </w:rPr>
        <w:t>2</w:t>
      </w:r>
      <w:r>
        <w:rPr>
          <w:color w:val="333333"/>
          <w:spacing w:val="-6"/>
          <w:sz w:val="21"/>
        </w:rPr>
        <w:t>，每个防火分区的最大允许建筑面积不应大于 </w:t>
      </w:r>
      <w:r>
        <w:rPr>
          <w:color w:val="333333"/>
          <w:sz w:val="21"/>
        </w:rPr>
        <w:t>1000m</w:t>
      </w:r>
      <w:r>
        <w:rPr>
          <w:color w:val="333333"/>
          <w:position w:val="11"/>
          <w:sz w:val="11"/>
        </w:rPr>
        <w:t>2</w:t>
      </w:r>
      <w:r>
        <w:rPr>
          <w:color w:val="333333"/>
          <w:spacing w:val="-3"/>
          <w:sz w:val="21"/>
        </w:rPr>
        <w:t>。</w:t>
      </w:r>
      <w:r>
        <w:rPr>
          <w:color w:val="333333"/>
          <w:sz w:val="21"/>
        </w:rPr>
        <w:t> </w:t>
      </w:r>
    </w:p>
    <w:p>
      <w:pPr>
        <w:pStyle w:val="ListParagraph"/>
        <w:numPr>
          <w:ilvl w:val="0"/>
          <w:numId w:val="241"/>
        </w:numPr>
        <w:tabs>
          <w:tab w:pos="1051" w:val="left" w:leader="none"/>
        </w:tabs>
        <w:spacing w:line="439" w:lineRule="auto" w:before="0" w:after="0"/>
        <w:ind w:left="418" w:right="1606" w:firstLine="419"/>
        <w:jc w:val="left"/>
        <w:rPr>
          <w:sz w:val="21"/>
        </w:rPr>
      </w:pPr>
      <w:r>
        <w:rPr>
          <w:color w:val="333333"/>
          <w:spacing w:val="-6"/>
          <w:sz w:val="21"/>
        </w:rPr>
        <w:t>一、二级耐火等级且占地面积不大于 </w:t>
      </w:r>
      <w:r>
        <w:rPr>
          <w:color w:val="333333"/>
          <w:sz w:val="21"/>
        </w:rPr>
        <w:t>2000m</w:t>
      </w:r>
      <w:r>
        <w:rPr>
          <w:color w:val="333333"/>
          <w:position w:val="11"/>
          <w:sz w:val="11"/>
        </w:rPr>
        <w:t>2</w:t>
      </w:r>
      <w:r>
        <w:rPr>
          <w:color w:val="333333"/>
          <w:spacing w:val="20"/>
          <w:sz w:val="11"/>
        </w:rPr>
        <w:t> </w:t>
      </w:r>
      <w:r>
        <w:rPr>
          <w:color w:val="333333"/>
          <w:spacing w:val="-3"/>
          <w:sz w:val="21"/>
        </w:rPr>
        <w:t>的单层棉花库房，其防火分区的最大允许</w:t>
      </w:r>
      <w:r>
        <w:rPr>
          <w:color w:val="333333"/>
          <w:spacing w:val="-9"/>
          <w:sz w:val="21"/>
        </w:rPr>
        <w:t>建筑面积不应大于 </w:t>
      </w:r>
      <w:r>
        <w:rPr>
          <w:color w:val="333333"/>
          <w:sz w:val="21"/>
        </w:rPr>
        <w:t>2000m</w:t>
      </w:r>
      <w:r>
        <w:rPr>
          <w:color w:val="333333"/>
          <w:position w:val="11"/>
          <w:sz w:val="11"/>
        </w:rPr>
        <w:t>2</w:t>
      </w:r>
      <w:r>
        <w:rPr>
          <w:color w:val="333333"/>
          <w:sz w:val="21"/>
        </w:rPr>
        <w:t>。 </w:t>
      </w:r>
    </w:p>
    <w:p>
      <w:pPr>
        <w:spacing w:after="0" w:line="439" w:lineRule="auto"/>
        <w:jc w:val="left"/>
        <w:rPr>
          <w:sz w:val="21"/>
        </w:rPr>
        <w:sectPr>
          <w:pgSz w:w="11910" w:h="16850"/>
          <w:pgMar w:header="0" w:footer="1239" w:top="1220" w:bottom="1420" w:left="1260" w:right="0"/>
        </w:sectPr>
      </w:pPr>
    </w:p>
    <w:p>
      <w:pPr>
        <w:pStyle w:val="ListParagraph"/>
        <w:numPr>
          <w:ilvl w:val="0"/>
          <w:numId w:val="241"/>
        </w:numPr>
        <w:tabs>
          <w:tab w:pos="1051" w:val="left" w:leader="none"/>
        </w:tabs>
        <w:spacing w:line="446" w:lineRule="auto" w:before="47" w:after="0"/>
        <w:ind w:left="418" w:right="1609" w:firstLine="419"/>
        <w:jc w:val="left"/>
        <w:rPr>
          <w:sz w:val="21"/>
        </w:rPr>
      </w:pPr>
      <w:r>
        <w:rPr>
          <w:color w:val="333333"/>
          <w:spacing w:val="-3"/>
          <w:sz w:val="21"/>
        </w:rPr>
        <w:t>一、二级耐火等级冷库的最大允许占地面积和防火分区的最大允许建筑面积，应符合现行国家标准《冷库设计规范》</w:t>
      </w:r>
      <w:r>
        <w:rPr>
          <w:color w:val="333333"/>
          <w:sz w:val="21"/>
        </w:rPr>
        <w:t>GB</w:t>
      </w:r>
      <w:r>
        <w:rPr>
          <w:color w:val="333333"/>
          <w:spacing w:val="1"/>
          <w:sz w:val="21"/>
        </w:rPr>
        <w:t> </w:t>
      </w:r>
      <w:r>
        <w:rPr>
          <w:color w:val="333333"/>
          <w:sz w:val="21"/>
        </w:rPr>
        <w:t>50072</w:t>
      </w:r>
      <w:r>
        <w:rPr>
          <w:color w:val="333333"/>
          <w:spacing w:val="-3"/>
          <w:sz w:val="21"/>
        </w:rPr>
        <w:t> 的规定。</w:t>
      </w:r>
      <w:r>
        <w:rPr>
          <w:color w:val="333333"/>
          <w:sz w:val="21"/>
        </w:rPr>
        <w:t> </w:t>
      </w:r>
    </w:p>
    <w:p>
      <w:pPr>
        <w:pStyle w:val="ListParagraph"/>
        <w:numPr>
          <w:ilvl w:val="0"/>
          <w:numId w:val="241"/>
        </w:numPr>
        <w:tabs>
          <w:tab w:pos="1051" w:val="left" w:leader="none"/>
        </w:tabs>
        <w:spacing w:line="267" w:lineRule="exact" w:before="0" w:after="0"/>
        <w:ind w:left="1050" w:right="0" w:hanging="213"/>
        <w:jc w:val="left"/>
        <w:rPr>
          <w:sz w:val="21"/>
        </w:rPr>
      </w:pPr>
      <w:r>
        <w:rPr>
          <w:color w:val="333333"/>
          <w:spacing w:val="-3"/>
          <w:sz w:val="21"/>
        </w:rPr>
        <w:t>“—”表示不允许。</w:t>
      </w:r>
      <w:r>
        <w:rPr>
          <w:color w:val="333333"/>
          <w:sz w:val="21"/>
        </w:rPr>
        <w:t> </w:t>
      </w:r>
    </w:p>
    <w:p>
      <w:pPr>
        <w:pStyle w:val="BodyText"/>
        <w:spacing w:before="2"/>
        <w:rPr>
          <w:sz w:val="18"/>
        </w:rPr>
      </w:pPr>
    </w:p>
    <w:p>
      <w:pPr>
        <w:pStyle w:val="ListParagraph"/>
        <w:numPr>
          <w:ilvl w:val="2"/>
          <w:numId w:val="240"/>
        </w:numPr>
        <w:tabs>
          <w:tab w:pos="1370" w:val="left" w:leader="none"/>
        </w:tabs>
        <w:spacing w:line="446" w:lineRule="auto" w:before="0" w:after="0"/>
        <w:ind w:left="418" w:right="1342" w:firstLine="422"/>
        <w:jc w:val="left"/>
        <w:rPr>
          <w:color w:val="333333"/>
          <w:sz w:val="19"/>
        </w:rPr>
      </w:pPr>
      <w:r>
        <w:rPr>
          <w:color w:val="333333"/>
          <w:spacing w:val="-3"/>
          <w:sz w:val="21"/>
        </w:rPr>
        <w:t>厂房内设置自动灭火系统时，每个防火分区的最大允许建筑面积可按本规范第 </w:t>
      </w:r>
      <w:r>
        <w:rPr>
          <w:color w:val="333333"/>
          <w:sz w:val="21"/>
        </w:rPr>
        <w:t>3.3.1 </w:t>
      </w:r>
      <w:r>
        <w:rPr>
          <w:color w:val="333333"/>
          <w:spacing w:val="-5"/>
          <w:sz w:val="21"/>
        </w:rPr>
        <w:t>条的规定增加 </w:t>
      </w:r>
      <w:r>
        <w:rPr>
          <w:color w:val="333333"/>
          <w:sz w:val="21"/>
        </w:rPr>
        <w:t>1.0</w:t>
      </w:r>
      <w:r>
        <w:rPr>
          <w:color w:val="333333"/>
          <w:spacing w:val="-3"/>
          <w:sz w:val="21"/>
        </w:rPr>
        <w:t> 倍。当丁、戊类的地上厂房内设置自动灭火系统时，每个防火分区的最大允许建筑面积不限。厂房内局部设置自动灭火系统时，其防火分区的增加面积可按该局部面积的 1.0 倍计算。</w:t>
      </w:r>
      <w:r>
        <w:rPr>
          <w:color w:val="333333"/>
          <w:sz w:val="21"/>
        </w:rPr>
        <w:t> </w:t>
      </w:r>
    </w:p>
    <w:p>
      <w:pPr>
        <w:pStyle w:val="BodyText"/>
        <w:spacing w:line="446" w:lineRule="auto"/>
        <w:ind w:left="418" w:right="1609" w:firstLine="419"/>
      </w:pPr>
      <w:r>
        <w:rPr>
          <w:color w:val="333333"/>
        </w:rPr>
        <w:t>仓库内设置自动灭火系统时，除冷库的防火分区外，每座仓库的最大允许占地面积和每个防火分区的最大允许建筑面积可按本规范第 3.3.2 条的规定增加 1.0 倍。 </w:t>
      </w:r>
    </w:p>
    <w:p>
      <w:pPr>
        <w:pStyle w:val="ListParagraph"/>
        <w:numPr>
          <w:ilvl w:val="2"/>
          <w:numId w:val="240"/>
        </w:numPr>
        <w:tabs>
          <w:tab w:pos="1371" w:val="left" w:leader="none"/>
        </w:tabs>
        <w:spacing w:line="240" w:lineRule="auto" w:before="0" w:after="0"/>
        <w:ind w:left="1370" w:right="0" w:hanging="531"/>
        <w:jc w:val="left"/>
        <w:rPr>
          <w:color w:val="333333"/>
          <w:sz w:val="19"/>
        </w:rPr>
      </w:pPr>
      <w:r>
        <w:rPr>
          <w:color w:val="333333"/>
          <w:spacing w:val="-3"/>
          <w:sz w:val="21"/>
        </w:rPr>
        <w:t>甲、乙类生产场所</w:t>
      </w:r>
      <w:r>
        <w:rPr>
          <w:color w:val="333333"/>
          <w:sz w:val="21"/>
        </w:rPr>
        <w:t>（</w:t>
      </w:r>
      <w:r>
        <w:rPr>
          <w:color w:val="333333"/>
          <w:spacing w:val="-2"/>
          <w:sz w:val="21"/>
        </w:rPr>
        <w:t>仓库</w:t>
      </w:r>
      <w:r>
        <w:rPr>
          <w:color w:val="333333"/>
          <w:sz w:val="21"/>
        </w:rPr>
        <w:t>）</w:t>
      </w:r>
      <w:r>
        <w:rPr>
          <w:color w:val="333333"/>
          <w:spacing w:val="-3"/>
          <w:sz w:val="21"/>
        </w:rPr>
        <w:t>不应设置在地下或半地下。</w:t>
      </w:r>
      <w:r>
        <w:rPr>
          <w:color w:val="333333"/>
          <w:sz w:val="21"/>
        </w:rPr>
        <w:t> </w:t>
      </w:r>
    </w:p>
    <w:p>
      <w:pPr>
        <w:pStyle w:val="BodyText"/>
        <w:spacing w:before="10"/>
        <w:rPr>
          <w:sz w:val="17"/>
        </w:rPr>
      </w:pPr>
    </w:p>
    <w:p>
      <w:pPr>
        <w:pStyle w:val="ListParagraph"/>
        <w:numPr>
          <w:ilvl w:val="2"/>
          <w:numId w:val="240"/>
        </w:numPr>
        <w:tabs>
          <w:tab w:pos="1371" w:val="left" w:leader="none"/>
        </w:tabs>
        <w:spacing w:line="240" w:lineRule="auto" w:before="0" w:after="0"/>
        <w:ind w:left="1370" w:right="0" w:hanging="531"/>
        <w:jc w:val="left"/>
        <w:rPr>
          <w:color w:val="333333"/>
          <w:sz w:val="19"/>
        </w:rPr>
      </w:pPr>
      <w:r>
        <w:rPr>
          <w:color w:val="333333"/>
          <w:spacing w:val="-3"/>
          <w:sz w:val="21"/>
        </w:rPr>
        <w:t>员工宿舍严禁设置在厂房内。</w:t>
      </w:r>
      <w:r>
        <w:rPr>
          <w:color w:val="333333"/>
          <w:sz w:val="21"/>
        </w:rPr>
        <w:t> </w:t>
      </w:r>
    </w:p>
    <w:p>
      <w:pPr>
        <w:pStyle w:val="BodyText"/>
        <w:rPr>
          <w:sz w:val="18"/>
        </w:rPr>
      </w:pPr>
    </w:p>
    <w:p>
      <w:pPr>
        <w:pStyle w:val="BodyText"/>
        <w:spacing w:line="446" w:lineRule="auto"/>
        <w:ind w:left="418" w:right="1609" w:firstLine="419"/>
      </w:pPr>
      <w:r>
        <w:rPr>
          <w:color w:val="333333"/>
        </w:rPr>
        <w:t>办公室、休息室等不应设置在甲、乙类厂房内，确需贴邻本厂房时，其耐火等级不应低于二级，并应采用耐火极限不低于 3.00h 的防爆墙与厂房分隔，且应设置独立的安全出口。 </w:t>
      </w:r>
    </w:p>
    <w:p>
      <w:pPr>
        <w:pStyle w:val="BodyText"/>
        <w:spacing w:line="446" w:lineRule="auto"/>
        <w:ind w:left="418" w:right="1555" w:firstLine="419"/>
        <w:rPr>
          <w:b/>
        </w:rPr>
      </w:pPr>
      <w:r>
        <w:rPr>
          <w:color w:val="333333"/>
          <w:spacing w:val="-5"/>
        </w:rPr>
        <w:t>办公室、休息室设置在丙类厂房内时，应采用耐火极限不低于 </w:t>
      </w:r>
      <w:r>
        <w:rPr>
          <w:color w:val="333333"/>
        </w:rPr>
        <w:t>2.50h</w:t>
      </w:r>
      <w:r>
        <w:rPr>
          <w:color w:val="333333"/>
          <w:spacing w:val="-15"/>
        </w:rPr>
        <w:t> 的防火隔墙和 </w:t>
      </w:r>
      <w:r>
        <w:rPr>
          <w:color w:val="333333"/>
        </w:rPr>
        <w:t>1.00h </w:t>
      </w:r>
      <w:r>
        <w:rPr>
          <w:color w:val="333333"/>
          <w:spacing w:val="-5"/>
        </w:rPr>
        <w:t>的楼板与其他部位分隔，并应至少设置 </w:t>
      </w:r>
      <w:r>
        <w:rPr>
          <w:color w:val="333333"/>
          <w:spacing w:val="-3"/>
        </w:rPr>
        <w:t>1 个独立的安全出口。如隔墙上需开设相互连通的门时，应采用乙级防火门。</w:t>
      </w:r>
      <w:r>
        <w:rPr>
          <w:b/>
          <w:color w:val="333333"/>
          <w:w w:val="99"/>
        </w:rPr>
        <w:t> </w:t>
      </w:r>
    </w:p>
    <w:p>
      <w:pPr>
        <w:pStyle w:val="ListParagraph"/>
        <w:numPr>
          <w:ilvl w:val="2"/>
          <w:numId w:val="240"/>
        </w:numPr>
        <w:tabs>
          <w:tab w:pos="1370" w:val="left" w:leader="none"/>
        </w:tabs>
        <w:spacing w:line="268" w:lineRule="exact" w:before="0" w:after="0"/>
        <w:ind w:left="1369" w:right="0" w:hanging="530"/>
        <w:jc w:val="left"/>
        <w:rPr>
          <w:b/>
          <w:color w:val="333333"/>
          <w:sz w:val="19"/>
        </w:rPr>
      </w:pPr>
      <w:r>
        <w:rPr>
          <w:color w:val="333333"/>
          <w:spacing w:val="-3"/>
          <w:sz w:val="21"/>
        </w:rPr>
        <w:t>厂房内设置中间仓库时，应符合下列规定：</w:t>
      </w:r>
      <w:r>
        <w:rPr>
          <w:b/>
          <w:color w:val="333333"/>
          <w:w w:val="99"/>
          <w:sz w:val="21"/>
        </w:rPr>
        <w:t> </w:t>
      </w:r>
    </w:p>
    <w:p>
      <w:pPr>
        <w:pStyle w:val="BodyText"/>
        <w:rPr>
          <w:b/>
          <w:sz w:val="18"/>
        </w:rPr>
      </w:pPr>
    </w:p>
    <w:p>
      <w:pPr>
        <w:pStyle w:val="BodyText"/>
        <w:ind w:left="838"/>
        <w:jc w:val="both"/>
      </w:pPr>
      <w:r>
        <w:rPr>
          <w:color w:val="333333"/>
        </w:rPr>
        <w:t>甲、乙类中间仓库应靠外墙布置，其储量不宜超过 1 昼夜的需要量； </w:t>
      </w:r>
    </w:p>
    <w:p>
      <w:pPr>
        <w:pStyle w:val="BodyText"/>
        <w:spacing w:before="1"/>
        <w:rPr>
          <w:sz w:val="18"/>
        </w:rPr>
      </w:pPr>
    </w:p>
    <w:p>
      <w:pPr>
        <w:pStyle w:val="BodyText"/>
        <w:spacing w:line="446" w:lineRule="auto" w:before="1"/>
        <w:ind w:left="418" w:right="1558" w:firstLine="419"/>
        <w:jc w:val="both"/>
      </w:pPr>
      <w:r>
        <w:rPr>
          <w:color w:val="333333"/>
          <w:spacing w:val="-5"/>
        </w:rPr>
        <w:t>甲、乙、丙类中间仓库应采用防火墙和耐火极限不低于 </w:t>
      </w:r>
      <w:r>
        <w:rPr>
          <w:color w:val="333333"/>
        </w:rPr>
        <w:t>1.50h</w:t>
      </w:r>
      <w:r>
        <w:rPr>
          <w:color w:val="333333"/>
          <w:spacing w:val="-2"/>
        </w:rPr>
        <w:t> 的不燃性楼板与其他部位分</w:t>
      </w:r>
      <w:r>
        <w:rPr>
          <w:color w:val="333333"/>
          <w:spacing w:val="-3"/>
        </w:rPr>
        <w:t>隔；</w:t>
      </w:r>
      <w:r>
        <w:rPr>
          <w:color w:val="333333"/>
        </w:rPr>
        <w:t> </w:t>
      </w:r>
    </w:p>
    <w:p>
      <w:pPr>
        <w:pStyle w:val="BodyText"/>
        <w:spacing w:line="446" w:lineRule="auto"/>
        <w:ind w:left="418" w:right="1508" w:firstLine="419"/>
        <w:jc w:val="both"/>
      </w:pPr>
      <w:r>
        <w:rPr>
          <w:color w:val="333333"/>
          <w:spacing w:val="-6"/>
        </w:rPr>
        <w:t>丁、戊类中间仓库应采用耐火极限不低于 </w:t>
      </w:r>
      <w:r>
        <w:rPr>
          <w:color w:val="333333"/>
        </w:rPr>
        <w:t>2.00h</w:t>
      </w:r>
      <w:r>
        <w:rPr>
          <w:color w:val="333333"/>
          <w:spacing w:val="-7"/>
        </w:rPr>
        <w:t> 的防火隔墙和 </w:t>
      </w:r>
      <w:r>
        <w:rPr>
          <w:color w:val="333333"/>
        </w:rPr>
        <w:t>1.00h</w:t>
      </w:r>
      <w:r>
        <w:rPr>
          <w:color w:val="333333"/>
          <w:spacing w:val="-2"/>
        </w:rPr>
        <w:t> 的楼板与其他部位分</w:t>
      </w:r>
      <w:r>
        <w:rPr>
          <w:color w:val="333333"/>
          <w:spacing w:val="-3"/>
        </w:rPr>
        <w:t>隔;</w:t>
      </w:r>
      <w:r>
        <w:rPr>
          <w:color w:val="333333"/>
        </w:rPr>
        <w:t> </w:t>
      </w:r>
    </w:p>
    <w:p>
      <w:pPr>
        <w:pStyle w:val="BodyText"/>
        <w:ind w:left="838"/>
        <w:jc w:val="both"/>
      </w:pPr>
      <w:r>
        <w:rPr>
          <w:color w:val="333333"/>
        </w:rPr>
        <w:t>仓库的耐火等级和面积应符合本规范第 3.3.2 条和第 3.3.3 条的规定。 </w:t>
      </w:r>
    </w:p>
    <w:p>
      <w:pPr>
        <w:pStyle w:val="BodyText"/>
        <w:rPr>
          <w:sz w:val="17"/>
        </w:rPr>
      </w:pPr>
    </w:p>
    <w:p>
      <w:pPr>
        <w:pStyle w:val="ListParagraph"/>
        <w:numPr>
          <w:ilvl w:val="2"/>
          <w:numId w:val="240"/>
        </w:numPr>
        <w:tabs>
          <w:tab w:pos="1370" w:val="left" w:leader="none"/>
        </w:tabs>
        <w:spacing w:line="446" w:lineRule="auto" w:before="0" w:after="0"/>
        <w:ind w:left="418" w:right="1498" w:firstLine="422"/>
        <w:jc w:val="both"/>
        <w:rPr>
          <w:color w:val="333333"/>
          <w:sz w:val="19"/>
        </w:rPr>
      </w:pPr>
      <w:r>
        <w:rPr>
          <w:color w:val="333333"/>
          <w:spacing w:val="-5"/>
          <w:sz w:val="21"/>
        </w:rPr>
        <w:t>厂房内的丙类液体中间储罐应设置在单独房间内，其容量不应大于 </w:t>
      </w:r>
      <w:r>
        <w:rPr>
          <w:color w:val="333333"/>
          <w:sz w:val="21"/>
        </w:rPr>
        <w:t>5m</w:t>
      </w:r>
      <w:r>
        <w:rPr>
          <w:color w:val="333333"/>
          <w:position w:val="11"/>
          <w:sz w:val="11"/>
        </w:rPr>
        <w:t>3</w:t>
      </w:r>
      <w:r>
        <w:rPr>
          <w:color w:val="333333"/>
          <w:spacing w:val="-2"/>
          <w:sz w:val="21"/>
        </w:rPr>
        <w:t>。设置中间储</w:t>
      </w:r>
      <w:r>
        <w:rPr>
          <w:color w:val="333333"/>
          <w:spacing w:val="-6"/>
          <w:sz w:val="21"/>
        </w:rPr>
        <w:t>罐的房间，应采用耐火极限不低于 </w:t>
      </w:r>
      <w:r>
        <w:rPr>
          <w:color w:val="333333"/>
          <w:sz w:val="21"/>
        </w:rPr>
        <w:t>3.00h</w:t>
      </w:r>
      <w:r>
        <w:rPr>
          <w:color w:val="333333"/>
          <w:spacing w:val="-7"/>
          <w:sz w:val="21"/>
        </w:rPr>
        <w:t> 的防火隔墙和 </w:t>
      </w:r>
      <w:r>
        <w:rPr>
          <w:color w:val="333333"/>
          <w:sz w:val="21"/>
        </w:rPr>
        <w:t>1.50h</w:t>
      </w:r>
      <w:r>
        <w:rPr>
          <w:color w:val="333333"/>
          <w:spacing w:val="-3"/>
          <w:sz w:val="21"/>
        </w:rPr>
        <w:t> 的楼板与其他部位分隔，房间门应采用甲级防火门。</w:t>
      </w:r>
      <w:r>
        <w:rPr>
          <w:color w:val="333333"/>
          <w:sz w:val="21"/>
        </w:rPr>
        <w:t> </w:t>
      </w:r>
    </w:p>
    <w:p>
      <w:pPr>
        <w:pStyle w:val="ListParagraph"/>
        <w:numPr>
          <w:ilvl w:val="2"/>
          <w:numId w:val="240"/>
        </w:numPr>
        <w:tabs>
          <w:tab w:pos="1371" w:val="left" w:leader="none"/>
        </w:tabs>
        <w:spacing w:line="446" w:lineRule="auto" w:before="0" w:after="0"/>
        <w:ind w:left="418" w:right="1450" w:firstLine="422"/>
        <w:jc w:val="both"/>
        <w:rPr>
          <w:color w:val="333333"/>
          <w:sz w:val="19"/>
        </w:rPr>
      </w:pPr>
      <w:r>
        <w:rPr>
          <w:color w:val="333333"/>
          <w:spacing w:val="-3"/>
          <w:sz w:val="21"/>
        </w:rPr>
        <w:t>变、配电站不应设置在甲、乙类厂房内或贴邻，且不应设置在爆炸性气体、粉尘环境</w:t>
      </w:r>
      <w:r>
        <w:rPr>
          <w:color w:val="333333"/>
          <w:spacing w:val="-6"/>
          <w:sz w:val="21"/>
        </w:rPr>
        <w:t>的危险区域内。供甲、乙类厂房专用的 </w:t>
      </w:r>
      <w:r>
        <w:rPr>
          <w:color w:val="333333"/>
          <w:sz w:val="21"/>
        </w:rPr>
        <w:t>10kV</w:t>
      </w:r>
      <w:r>
        <w:rPr>
          <w:color w:val="333333"/>
          <w:spacing w:val="-3"/>
          <w:sz w:val="21"/>
        </w:rPr>
        <w:t> 及以下的变、配电站，当采用无门、窗、洞口的</w:t>
      </w:r>
    </w:p>
    <w:p>
      <w:pPr>
        <w:spacing w:after="0" w:line="446" w:lineRule="auto"/>
        <w:jc w:val="both"/>
        <w:rPr>
          <w:sz w:val="19"/>
        </w:rPr>
        <w:sectPr>
          <w:pgSz w:w="11910" w:h="16850"/>
          <w:pgMar w:header="0" w:footer="1239" w:top="1220" w:bottom="1420" w:left="1260" w:right="0"/>
        </w:sectPr>
      </w:pPr>
    </w:p>
    <w:p>
      <w:pPr>
        <w:pStyle w:val="BodyText"/>
        <w:spacing w:line="446" w:lineRule="auto" w:before="47"/>
        <w:ind w:left="418" w:right="1714"/>
      </w:pPr>
      <w:r>
        <w:rPr>
          <w:color w:val="333333"/>
        </w:rPr>
        <w:t>防火墙分隔时，可一面贴邻，并应符合现行国家标准《爆炸危险环境电力装置设计规范》GB 50058 等标准的规定。 </w:t>
      </w:r>
    </w:p>
    <w:p>
      <w:pPr>
        <w:pStyle w:val="BodyText"/>
        <w:spacing w:line="446" w:lineRule="auto"/>
        <w:ind w:left="840" w:right="3817" w:hanging="3"/>
        <w:rPr>
          <w:b/>
        </w:rPr>
      </w:pPr>
      <w:r>
        <w:rPr>
          <w:color w:val="333333"/>
        </w:rPr>
        <w:t>乙类厂房的配电站确需在防火墙上开窗时，应采用甲级防火窗。</w:t>
      </w:r>
      <w:r>
        <w:rPr>
          <w:b/>
          <w:color w:val="333333"/>
        </w:rPr>
        <w:t>3.3.9 </w:t>
      </w:r>
      <w:r>
        <w:rPr>
          <w:color w:val="333333"/>
        </w:rPr>
        <w:t>员工宿舍严禁设置在仓库内。</w:t>
      </w:r>
      <w:r>
        <w:rPr>
          <w:b/>
          <w:color w:val="333333"/>
          <w:w w:val="99"/>
        </w:rPr>
        <w:t> </w:t>
      </w:r>
    </w:p>
    <w:p>
      <w:pPr>
        <w:pStyle w:val="BodyText"/>
        <w:ind w:left="838"/>
        <w:rPr>
          <w:b/>
        </w:rPr>
      </w:pPr>
      <w:r>
        <w:rPr>
          <w:color w:val="333333"/>
        </w:rPr>
        <w:t>办公室、休息室等严禁设置在甲、乙类仓库内，也不应贴邻。</w:t>
      </w:r>
      <w:r>
        <w:rPr>
          <w:b/>
          <w:color w:val="333333"/>
          <w:w w:val="99"/>
        </w:rPr>
        <w:t> </w:t>
      </w:r>
    </w:p>
    <w:p>
      <w:pPr>
        <w:pStyle w:val="BodyText"/>
        <w:spacing w:before="10"/>
        <w:rPr>
          <w:b/>
          <w:sz w:val="17"/>
        </w:rPr>
      </w:pPr>
    </w:p>
    <w:p>
      <w:pPr>
        <w:pStyle w:val="BodyText"/>
        <w:spacing w:line="446" w:lineRule="auto"/>
        <w:ind w:left="418" w:right="1609" w:firstLine="419"/>
        <w:rPr>
          <w:b/>
        </w:rPr>
      </w:pPr>
      <w:r>
        <w:rPr>
          <w:color w:val="333333"/>
        </w:rPr>
        <w:t>办公室、休息室设置在丙、丁类仓库内时，应采用耐火极限不低于 2.50h 的防火隔墙和1.00h 的楼板与其他部位分隔，并应设置独立的安全出口。隔墙上需开设相互连通的门时，应采用乙级防火门。</w:t>
      </w:r>
      <w:r>
        <w:rPr>
          <w:b/>
          <w:color w:val="333333"/>
          <w:w w:val="99"/>
        </w:rPr>
        <w:t> </w:t>
      </w:r>
    </w:p>
    <w:p>
      <w:pPr>
        <w:spacing w:line="268" w:lineRule="exact" w:before="0"/>
        <w:ind w:left="840" w:right="0" w:firstLine="0"/>
        <w:jc w:val="left"/>
        <w:rPr>
          <w:sz w:val="21"/>
        </w:rPr>
      </w:pPr>
      <w:r>
        <w:rPr>
          <w:b/>
          <w:color w:val="333333"/>
          <w:sz w:val="21"/>
        </w:rPr>
        <w:t>3.3.10 </w:t>
      </w:r>
      <w:r>
        <w:rPr>
          <w:color w:val="333333"/>
          <w:sz w:val="21"/>
        </w:rPr>
        <w:t>物流建筑的防火设计应符合下列规定： </w:t>
      </w:r>
    </w:p>
    <w:p>
      <w:pPr>
        <w:pStyle w:val="BodyText"/>
        <w:spacing w:before="2"/>
        <w:rPr>
          <w:sz w:val="18"/>
        </w:rPr>
      </w:pPr>
    </w:p>
    <w:p>
      <w:pPr>
        <w:pStyle w:val="BodyText"/>
        <w:spacing w:line="446" w:lineRule="auto"/>
        <w:ind w:left="418" w:right="1505" w:firstLine="419"/>
      </w:pPr>
      <w:r>
        <w:rPr>
          <w:color w:val="333333"/>
          <w:w w:val="100"/>
        </w:rPr>
        <w:t> </w:t>
      </w:r>
      <w:r>
        <w:rPr>
          <w:color w:val="333333"/>
        </w:rPr>
        <w:t>当建筑功能以分拣、加工等作业为主时，应按本规范有关厂房的规定确定，其中仓储部分应按中间仓库确定； </w:t>
      </w:r>
    </w:p>
    <w:p>
      <w:pPr>
        <w:pStyle w:val="BodyText"/>
        <w:spacing w:line="446" w:lineRule="auto"/>
        <w:ind w:left="418" w:right="1505" w:firstLine="419"/>
      </w:pPr>
      <w:r>
        <w:rPr>
          <w:color w:val="333333"/>
          <w:w w:val="100"/>
        </w:rPr>
        <w:t> </w:t>
      </w:r>
      <w:r>
        <w:rPr>
          <w:color w:val="333333"/>
          <w:spacing w:val="-3"/>
        </w:rPr>
        <w:t>当建筑功能以仓储为主或建筑难以区分主要功能时，应按本规范有关仓库的规定确定，但当分拣等作业区采用防火墙与储存区完全分隔时，作业区和储存区的防火要求可分别按本规范有关厂房和仓库的规定确定。其中，当分拣等作业区采用防火墙与储存区完全分隔且符合下列条件时，除自动化控制的丙类高架仓库外，储存区的防火分区最大允许建筑面积和储存区部分</w:t>
      </w:r>
      <w:r>
        <w:rPr>
          <w:color w:val="333333"/>
          <w:spacing w:val="-6"/>
        </w:rPr>
        <w:t>建筑的最大允许占地面积，可按本规范表 </w:t>
      </w:r>
      <w:r>
        <w:rPr>
          <w:color w:val="333333"/>
        </w:rPr>
        <w:t>3.3.2（</w:t>
      </w:r>
      <w:r>
        <w:rPr>
          <w:color w:val="333333"/>
          <w:spacing w:val="-1"/>
        </w:rPr>
        <w:t>不含注</w:t>
      </w:r>
      <w:r>
        <w:rPr>
          <w:color w:val="333333"/>
        </w:rPr>
        <w:t>）</w:t>
      </w:r>
      <w:r>
        <w:rPr>
          <w:color w:val="333333"/>
          <w:spacing w:val="-12"/>
        </w:rPr>
        <w:t>的规定增加 </w:t>
      </w:r>
      <w:r>
        <w:rPr>
          <w:color w:val="333333"/>
        </w:rPr>
        <w:t>3.0 倍： </w:t>
      </w:r>
    </w:p>
    <w:p>
      <w:pPr>
        <w:pStyle w:val="ListParagraph"/>
        <w:numPr>
          <w:ilvl w:val="0"/>
          <w:numId w:val="242"/>
        </w:numPr>
        <w:tabs>
          <w:tab w:pos="1367" w:val="left" w:leader="none"/>
        </w:tabs>
        <w:spacing w:line="446" w:lineRule="auto" w:before="0" w:after="0"/>
        <w:ind w:left="418" w:right="1505" w:firstLine="419"/>
        <w:jc w:val="left"/>
        <w:rPr>
          <w:sz w:val="21"/>
        </w:rPr>
      </w:pPr>
      <w:r>
        <w:rPr>
          <w:color w:val="333333"/>
          <w:spacing w:val="-3"/>
          <w:sz w:val="21"/>
        </w:rPr>
        <w:t>储存除可燃液体、棉、麻、丝、毛及其他纺织品、泡沫塑料等物品外的丙类物品且建筑的耐火等级不低于一级； </w:t>
      </w:r>
    </w:p>
    <w:p>
      <w:pPr>
        <w:pStyle w:val="ListParagraph"/>
        <w:numPr>
          <w:ilvl w:val="0"/>
          <w:numId w:val="242"/>
        </w:numPr>
        <w:tabs>
          <w:tab w:pos="1367" w:val="left" w:leader="none"/>
        </w:tabs>
        <w:spacing w:line="240" w:lineRule="auto" w:before="0" w:after="0"/>
        <w:ind w:left="1367" w:right="0" w:hanging="529"/>
        <w:jc w:val="left"/>
        <w:rPr>
          <w:sz w:val="21"/>
        </w:rPr>
      </w:pPr>
      <w:r>
        <w:rPr>
          <w:color w:val="333333"/>
          <w:spacing w:val="-3"/>
          <w:sz w:val="21"/>
        </w:rPr>
        <w:t>储存丁、戊类物品且建筑的耐火等级不低于二级；</w:t>
      </w:r>
      <w:r>
        <w:rPr>
          <w:color w:val="333333"/>
          <w:sz w:val="21"/>
        </w:rPr>
        <w:t> </w:t>
      </w:r>
    </w:p>
    <w:p>
      <w:pPr>
        <w:pStyle w:val="BodyText"/>
        <w:spacing w:before="9"/>
        <w:rPr>
          <w:sz w:val="17"/>
        </w:rPr>
      </w:pPr>
    </w:p>
    <w:p>
      <w:pPr>
        <w:pStyle w:val="ListParagraph"/>
        <w:numPr>
          <w:ilvl w:val="0"/>
          <w:numId w:val="242"/>
        </w:numPr>
        <w:tabs>
          <w:tab w:pos="1367" w:val="left" w:leader="none"/>
        </w:tabs>
        <w:spacing w:line="446" w:lineRule="auto" w:before="1" w:after="0"/>
        <w:ind w:left="840" w:right="4134" w:hanging="3"/>
        <w:jc w:val="left"/>
        <w:rPr>
          <w:sz w:val="21"/>
        </w:rPr>
      </w:pPr>
      <w:r>
        <w:rPr>
          <w:color w:val="333333"/>
          <w:spacing w:val="-3"/>
          <w:sz w:val="21"/>
        </w:rPr>
        <w:t>建筑内全部设置自动水灭火系统和火灾自动报警系统。</w:t>
      </w:r>
      <w:r>
        <w:rPr>
          <w:b/>
          <w:color w:val="333333"/>
          <w:sz w:val="21"/>
        </w:rPr>
        <w:t>3.3.11</w:t>
      </w:r>
      <w:r>
        <w:rPr>
          <w:b/>
          <w:color w:val="333333"/>
          <w:spacing w:val="2"/>
          <w:sz w:val="21"/>
        </w:rPr>
        <w:t> </w:t>
      </w:r>
      <w:r>
        <w:rPr>
          <w:color w:val="333333"/>
          <w:spacing w:val="-3"/>
          <w:sz w:val="21"/>
        </w:rPr>
        <w:t>甲、乙类厂房（</w:t>
      </w:r>
      <w:r>
        <w:rPr>
          <w:color w:val="333333"/>
          <w:spacing w:val="-2"/>
          <w:sz w:val="21"/>
        </w:rPr>
        <w:t>仓库</w:t>
      </w:r>
      <w:r>
        <w:rPr>
          <w:color w:val="333333"/>
          <w:sz w:val="21"/>
        </w:rPr>
        <w:t>）</w:t>
      </w:r>
      <w:r>
        <w:rPr>
          <w:color w:val="333333"/>
          <w:spacing w:val="-3"/>
          <w:sz w:val="21"/>
        </w:rPr>
        <w:t>内不应设置铁路线。</w:t>
      </w:r>
      <w:r>
        <w:rPr>
          <w:color w:val="333333"/>
          <w:sz w:val="21"/>
        </w:rPr>
        <w:t> </w:t>
      </w:r>
    </w:p>
    <w:p>
      <w:pPr>
        <w:pStyle w:val="BodyText"/>
        <w:spacing w:line="446" w:lineRule="auto"/>
        <w:ind w:left="418" w:right="1609" w:firstLine="419"/>
      </w:pPr>
      <w:r>
        <w:rPr>
          <w:color w:val="333333"/>
        </w:rPr>
        <w:t>需要出入蒸汽机车和内燃机车的丙、丁、戊类厂房（仓库），其屋顶应采用不燃材料或采取其他防火措施。 </w:t>
      </w:r>
    </w:p>
    <w:p>
      <w:pPr>
        <w:pStyle w:val="ListParagraph"/>
        <w:numPr>
          <w:ilvl w:val="1"/>
          <w:numId w:val="239"/>
        </w:numPr>
        <w:tabs>
          <w:tab w:pos="1159" w:val="left" w:leader="none"/>
        </w:tabs>
        <w:spacing w:line="267" w:lineRule="exact" w:before="0" w:after="0"/>
        <w:ind w:left="1158" w:right="0" w:hanging="319"/>
        <w:jc w:val="left"/>
        <w:rPr>
          <w:sz w:val="21"/>
        </w:rPr>
      </w:pPr>
      <w:r>
        <w:rPr>
          <w:spacing w:val="-3"/>
          <w:sz w:val="21"/>
        </w:rPr>
        <w:t>厂房的防火间距</w:t>
      </w:r>
      <w:r>
        <w:rPr>
          <w:sz w:val="21"/>
        </w:rPr>
        <w:t> </w:t>
      </w:r>
    </w:p>
    <w:p>
      <w:pPr>
        <w:pStyle w:val="BodyText"/>
        <w:spacing w:before="1"/>
        <w:rPr>
          <w:sz w:val="18"/>
        </w:rPr>
      </w:pPr>
    </w:p>
    <w:p>
      <w:pPr>
        <w:pStyle w:val="ListParagraph"/>
        <w:numPr>
          <w:ilvl w:val="2"/>
          <w:numId w:val="239"/>
        </w:numPr>
        <w:tabs>
          <w:tab w:pos="1370" w:val="left" w:leader="none"/>
        </w:tabs>
        <w:spacing w:line="446" w:lineRule="auto" w:before="0" w:after="0"/>
        <w:ind w:left="418" w:right="1604" w:firstLine="422"/>
        <w:jc w:val="left"/>
        <w:rPr>
          <w:sz w:val="21"/>
        </w:rPr>
      </w:pPr>
      <w:r>
        <w:rPr>
          <w:color w:val="333333"/>
          <w:spacing w:val="-3"/>
          <w:sz w:val="21"/>
        </w:rPr>
        <w:t>除本规范另有规定外，厂房之间及与乙、丙、丁、戊类仓库、民用建筑等的防火间</w:t>
      </w:r>
      <w:r>
        <w:rPr>
          <w:color w:val="333333"/>
          <w:spacing w:val="-10"/>
          <w:sz w:val="21"/>
        </w:rPr>
        <w:t>距不应小于表 </w:t>
      </w:r>
      <w:r>
        <w:rPr>
          <w:color w:val="333333"/>
          <w:sz w:val="21"/>
        </w:rPr>
        <w:t>3.4.1</w:t>
      </w:r>
      <w:r>
        <w:rPr>
          <w:color w:val="333333"/>
          <w:spacing w:val="-6"/>
          <w:sz w:val="21"/>
        </w:rPr>
        <w:t> 的规定，与甲类仓库的防火间距应符合本规范第 </w:t>
      </w:r>
      <w:r>
        <w:rPr>
          <w:color w:val="333333"/>
          <w:sz w:val="21"/>
        </w:rPr>
        <w:t>3.5.1</w:t>
      </w:r>
      <w:r>
        <w:rPr>
          <w:color w:val="333333"/>
          <w:spacing w:val="-10"/>
          <w:sz w:val="21"/>
        </w:rPr>
        <w:t> 条的规定。 </w:t>
      </w:r>
    </w:p>
    <w:p>
      <w:pPr>
        <w:pStyle w:val="Heading6"/>
        <w:spacing w:line="267" w:lineRule="exact"/>
        <w:ind w:left="840"/>
      </w:pPr>
      <w:r>
        <w:rPr/>
        <w:t>表 3.4.1 厂房之间及与乙、丙、丁、戊类仓库、民用建筑等的防火间距（m）</w:t>
      </w:r>
      <w:r>
        <w:rPr>
          <w:w w:val="99"/>
        </w:rPr>
        <w:t> </w:t>
      </w:r>
    </w:p>
    <w:p>
      <w:pPr>
        <w:pStyle w:val="BodyText"/>
        <w:spacing w:before="2"/>
        <w:rPr>
          <w:b/>
          <w:sz w:val="18"/>
        </w:rPr>
      </w:pPr>
    </w:p>
    <w:p>
      <w:pPr>
        <w:spacing w:before="0"/>
        <w:ind w:left="840" w:right="0" w:firstLine="0"/>
        <w:jc w:val="left"/>
        <w:rPr>
          <w:b/>
          <w:sz w:val="21"/>
        </w:rPr>
      </w:pPr>
      <w:r>
        <w:rPr>
          <w:b/>
          <w:w w:val="99"/>
          <w:sz w:val="21"/>
        </w:rPr>
        <w:t> </w:t>
      </w:r>
    </w:p>
    <w:p>
      <w:pPr>
        <w:spacing w:after="0"/>
        <w:jc w:val="left"/>
        <w:rPr>
          <w:sz w:val="21"/>
        </w:rPr>
        <w:sectPr>
          <w:pgSz w:w="11910" w:h="16850"/>
          <w:pgMar w:header="0" w:footer="1239" w:top="1220" w:bottom="1420" w:left="126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after="1"/>
        <w:rPr>
          <w:b/>
        </w:rPr>
      </w:pPr>
    </w:p>
    <w:p>
      <w:pPr>
        <w:pStyle w:val="BodyText"/>
        <w:ind w:left="658"/>
        <w:rPr>
          <w:sz w:val="20"/>
        </w:rPr>
      </w:pPr>
      <w:r>
        <w:rPr>
          <w:sz w:val="20"/>
        </w:rPr>
        <w:drawing>
          <wp:inline distT="0" distB="0" distL="0" distR="0">
            <wp:extent cx="5224890" cy="3590925"/>
            <wp:effectExtent l="0" t="0" r="0" b="0"/>
            <wp:docPr id="159" name="image107.jpeg"/>
            <wp:cNvGraphicFramePr>
              <a:graphicFrameLocks noChangeAspect="1"/>
            </wp:cNvGraphicFramePr>
            <a:graphic>
              <a:graphicData uri="http://schemas.openxmlformats.org/drawingml/2006/picture">
                <pic:pic>
                  <pic:nvPicPr>
                    <pic:cNvPr id="160" name="image107.jpeg"/>
                    <pic:cNvPicPr/>
                  </pic:nvPicPr>
                  <pic:blipFill>
                    <a:blip r:embed="rId115" cstate="print"/>
                    <a:stretch>
                      <a:fillRect/>
                    </a:stretch>
                  </pic:blipFill>
                  <pic:spPr>
                    <a:xfrm>
                      <a:off x="0" y="0"/>
                      <a:ext cx="5224890" cy="3590925"/>
                    </a:xfrm>
                    <a:prstGeom prst="rect">
                      <a:avLst/>
                    </a:prstGeom>
                  </pic:spPr>
                </pic:pic>
              </a:graphicData>
            </a:graphic>
          </wp:inline>
        </w:drawing>
      </w:r>
      <w:r>
        <w:rPr>
          <w:sz w:val="20"/>
        </w:rPr>
      </w:r>
    </w:p>
    <w:p>
      <w:pPr>
        <w:pStyle w:val="BodyText"/>
        <w:spacing w:before="7"/>
        <w:rPr>
          <w:b/>
          <w:sz w:val="10"/>
        </w:rPr>
      </w:pPr>
    </w:p>
    <w:p>
      <w:pPr>
        <w:pStyle w:val="BodyText"/>
        <w:spacing w:line="446" w:lineRule="auto" w:before="72"/>
        <w:ind w:left="418" w:right="1450" w:firstLine="419"/>
      </w:pPr>
      <w:r>
        <w:rPr>
          <w:color w:val="333333"/>
        </w:rPr>
        <w:t>注：1</w:t>
      </w:r>
      <w:r>
        <w:rPr>
          <w:color w:val="333333"/>
          <w:spacing w:val="-4"/>
        </w:rPr>
        <w:t>.乙类厂房与重要公共建筑的防火间距不宜小于 </w:t>
      </w:r>
      <w:r>
        <w:rPr>
          <w:color w:val="333333"/>
        </w:rPr>
        <w:t>50m</w:t>
      </w:r>
      <w:r>
        <w:rPr>
          <w:color w:val="333333"/>
          <w:spacing w:val="-3"/>
        </w:rPr>
        <w:t>；与明火或散发火花地点，不宜小</w:t>
      </w:r>
      <w:r>
        <w:rPr>
          <w:color w:val="333333"/>
          <w:spacing w:val="-24"/>
        </w:rPr>
        <w:t>于 </w:t>
      </w:r>
      <w:r>
        <w:rPr>
          <w:color w:val="333333"/>
        </w:rPr>
        <w:t>30m</w:t>
      </w:r>
      <w:r>
        <w:rPr>
          <w:color w:val="333333"/>
          <w:spacing w:val="-5"/>
        </w:rPr>
        <w:t>。单、多层戊类厂房之间及与戊类仓库的防火间距可按本表的规定减少 </w:t>
      </w:r>
      <w:r>
        <w:rPr>
          <w:color w:val="333333"/>
        </w:rPr>
        <w:t>2m</w:t>
      </w:r>
      <w:r>
        <w:rPr>
          <w:color w:val="333333"/>
          <w:spacing w:val="-3"/>
        </w:rPr>
        <w:t>，与民用建筑</w:t>
      </w:r>
      <w:r>
        <w:rPr>
          <w:color w:val="333333"/>
          <w:spacing w:val="-5"/>
        </w:rPr>
        <w:t>的防火间距可将戊类厂房等同民用建筑按本规范第 </w:t>
      </w:r>
      <w:r>
        <w:rPr>
          <w:color w:val="333333"/>
        </w:rPr>
        <w:t>5.2.2</w:t>
      </w:r>
      <w:r>
        <w:rPr>
          <w:color w:val="333333"/>
          <w:spacing w:val="-3"/>
        </w:rPr>
        <w:t> 条的规定执行。为丙、丁、戊类厂房</w:t>
      </w:r>
      <w:r>
        <w:rPr>
          <w:color w:val="333333"/>
          <w:spacing w:val="-4"/>
        </w:rPr>
        <w:t>服务而单独设置的生活用房应按民用建筑确定，与所属厂房的防火间距不应小于 </w:t>
      </w:r>
      <w:r>
        <w:rPr>
          <w:color w:val="333333"/>
        </w:rPr>
        <w:t>6m</w:t>
      </w:r>
      <w:r>
        <w:rPr>
          <w:color w:val="333333"/>
          <w:spacing w:val="-3"/>
        </w:rPr>
        <w:t>。确需相邻</w:t>
      </w:r>
      <w:r>
        <w:rPr>
          <w:color w:val="333333"/>
          <w:spacing w:val="-8"/>
        </w:rPr>
        <w:t>布置时，应符合本表注 </w:t>
      </w:r>
      <w:r>
        <w:rPr>
          <w:color w:val="333333"/>
          <w:spacing w:val="-3"/>
        </w:rPr>
        <w:t>2</w:t>
      </w:r>
      <w:r>
        <w:rPr>
          <w:color w:val="333333"/>
        </w:rPr>
        <w:t>、3</w:t>
      </w:r>
      <w:r>
        <w:rPr>
          <w:color w:val="333333"/>
          <w:spacing w:val="-3"/>
        </w:rPr>
        <w:t> 的规定。</w:t>
      </w:r>
      <w:r>
        <w:rPr>
          <w:color w:val="333333"/>
        </w:rPr>
        <w:t> </w:t>
      </w:r>
    </w:p>
    <w:p>
      <w:pPr>
        <w:pStyle w:val="ListParagraph"/>
        <w:numPr>
          <w:ilvl w:val="0"/>
          <w:numId w:val="243"/>
        </w:numPr>
        <w:tabs>
          <w:tab w:pos="1051" w:val="left" w:leader="none"/>
        </w:tabs>
        <w:spacing w:line="446" w:lineRule="auto" w:before="0" w:after="0"/>
        <w:ind w:left="418" w:right="1558" w:firstLine="419"/>
        <w:jc w:val="left"/>
        <w:rPr>
          <w:sz w:val="21"/>
        </w:rPr>
      </w:pPr>
      <w:r>
        <w:rPr>
          <w:color w:val="333333"/>
          <w:spacing w:val="-3"/>
          <w:sz w:val="21"/>
        </w:rPr>
        <w:t>两座厂房相邻较高一面外墙为防火墙，或相邻两座高度相同的一、二级耐火等级建筑中</w:t>
      </w:r>
      <w:r>
        <w:rPr>
          <w:color w:val="333333"/>
          <w:spacing w:val="-5"/>
          <w:sz w:val="21"/>
        </w:rPr>
        <w:t>相邻任一侧外墙为防火墙且屋顶的耐火极限不低于 </w:t>
      </w:r>
      <w:r>
        <w:rPr>
          <w:color w:val="333333"/>
          <w:sz w:val="21"/>
        </w:rPr>
        <w:t>1.00h</w:t>
      </w:r>
      <w:r>
        <w:rPr>
          <w:color w:val="333333"/>
          <w:spacing w:val="-3"/>
          <w:sz w:val="21"/>
        </w:rPr>
        <w:t> 时，其防火间距不限，但甲类厂房之</w:t>
      </w:r>
      <w:r>
        <w:rPr>
          <w:color w:val="333333"/>
          <w:spacing w:val="-1"/>
          <w:sz w:val="21"/>
        </w:rPr>
        <w:t>间不应小于 </w:t>
      </w:r>
      <w:r>
        <w:rPr>
          <w:color w:val="333333"/>
          <w:sz w:val="21"/>
        </w:rPr>
        <w:t>4m</w:t>
      </w:r>
      <w:r>
        <w:rPr>
          <w:color w:val="333333"/>
          <w:spacing w:val="-3"/>
          <w:sz w:val="21"/>
        </w:rPr>
        <w:t>。两座丙、丁、戊类厂房相邻两面外墙均为不燃性墙体，当无外露的可燃性屋</w:t>
      </w:r>
      <w:r>
        <w:rPr>
          <w:color w:val="333333"/>
          <w:spacing w:val="-4"/>
          <w:sz w:val="21"/>
        </w:rPr>
        <w:t>檐，每面外墙上的门、窗、洞口面积之和各不大于外墙面积的 </w:t>
      </w:r>
      <w:r>
        <w:rPr>
          <w:color w:val="333333"/>
          <w:sz w:val="21"/>
        </w:rPr>
        <w:t>5</w:t>
      </w:r>
      <w:r>
        <w:rPr>
          <w:color w:val="333333"/>
          <w:spacing w:val="-3"/>
          <w:sz w:val="21"/>
        </w:rPr>
        <w:t>%，且门、窗、洞口不正对开设</w:t>
      </w:r>
      <w:r>
        <w:rPr>
          <w:color w:val="333333"/>
          <w:spacing w:val="-6"/>
          <w:sz w:val="21"/>
        </w:rPr>
        <w:t>时，其防火间距可按本表的规定减少 </w:t>
      </w:r>
      <w:r>
        <w:rPr>
          <w:color w:val="333333"/>
          <w:sz w:val="21"/>
        </w:rPr>
        <w:t>25</w:t>
      </w:r>
      <w:r>
        <w:rPr>
          <w:color w:val="333333"/>
          <w:spacing w:val="-3"/>
          <w:sz w:val="21"/>
        </w:rPr>
        <w:t>%。甲、乙类厂房</w:t>
      </w:r>
      <w:r>
        <w:rPr>
          <w:color w:val="333333"/>
          <w:sz w:val="21"/>
        </w:rPr>
        <w:t>（</w:t>
      </w:r>
      <w:r>
        <w:rPr>
          <w:color w:val="333333"/>
          <w:spacing w:val="-2"/>
          <w:sz w:val="21"/>
        </w:rPr>
        <w:t>仓库</w:t>
      </w:r>
      <w:r>
        <w:rPr>
          <w:color w:val="333333"/>
          <w:spacing w:val="-3"/>
          <w:sz w:val="21"/>
        </w:rPr>
        <w:t>）</w:t>
      </w:r>
      <w:r>
        <w:rPr>
          <w:color w:val="333333"/>
          <w:spacing w:val="-9"/>
          <w:sz w:val="21"/>
        </w:rPr>
        <w:t>不应与本规范第 </w:t>
      </w:r>
      <w:r>
        <w:rPr>
          <w:color w:val="333333"/>
          <w:sz w:val="21"/>
        </w:rPr>
        <w:t>3.3.5</w:t>
      </w:r>
      <w:r>
        <w:rPr>
          <w:color w:val="333333"/>
          <w:spacing w:val="4"/>
          <w:sz w:val="21"/>
        </w:rPr>
        <w:t> 条规</w:t>
      </w:r>
      <w:r>
        <w:rPr>
          <w:color w:val="333333"/>
          <w:spacing w:val="-3"/>
          <w:sz w:val="21"/>
        </w:rPr>
        <w:t>定外的其他建筑贴邻。</w:t>
      </w:r>
      <w:r>
        <w:rPr>
          <w:color w:val="333333"/>
          <w:sz w:val="21"/>
        </w:rPr>
        <w:t> </w:t>
      </w:r>
    </w:p>
    <w:p>
      <w:pPr>
        <w:pStyle w:val="ListParagraph"/>
        <w:numPr>
          <w:ilvl w:val="0"/>
          <w:numId w:val="243"/>
        </w:numPr>
        <w:tabs>
          <w:tab w:pos="1051" w:val="left" w:leader="none"/>
        </w:tabs>
        <w:spacing w:line="267" w:lineRule="exact" w:before="0" w:after="0"/>
        <w:ind w:left="1050" w:right="0" w:hanging="213"/>
        <w:jc w:val="left"/>
        <w:rPr>
          <w:sz w:val="21"/>
        </w:rPr>
      </w:pPr>
      <w:r>
        <w:rPr>
          <w:color w:val="333333"/>
          <w:spacing w:val="-3"/>
          <w:sz w:val="21"/>
        </w:rPr>
        <w:t>两座一、二级耐火等级的厂房，当相邻较低一面外墙为防火墙且较低一座厂房的屋顶无</w:t>
      </w:r>
    </w:p>
    <w:p>
      <w:pPr>
        <w:pStyle w:val="BodyText"/>
        <w:spacing w:before="11"/>
        <w:rPr>
          <w:sz w:val="17"/>
        </w:rPr>
      </w:pPr>
    </w:p>
    <w:p>
      <w:pPr>
        <w:pStyle w:val="BodyText"/>
        <w:ind w:left="418"/>
      </w:pPr>
      <w:r>
        <w:rPr>
          <w:color w:val="333333"/>
        </w:rPr>
        <w:t>天窗，屋顶的耐火极限不低于 1.00h，或相邻较高一面外墙的门、窗等开口部位设置甲级防火</w:t>
      </w:r>
    </w:p>
    <w:p>
      <w:pPr>
        <w:spacing w:after="0"/>
        <w:sectPr>
          <w:pgSz w:w="11910" w:h="16850"/>
          <w:pgMar w:header="0" w:footer="1239" w:top="1600" w:bottom="1420" w:left="1260" w:right="0"/>
        </w:sectPr>
      </w:pPr>
    </w:p>
    <w:p>
      <w:pPr>
        <w:pStyle w:val="BodyText"/>
        <w:spacing w:line="446" w:lineRule="auto" w:before="47"/>
        <w:ind w:left="418" w:right="1502"/>
      </w:pPr>
      <w:r>
        <w:rPr>
          <w:color w:val="333333"/>
        </w:rPr>
        <w:t>门、窗或防火分隔水幕或按本规范第 6.5.3 条的规定设置防火卷帘时，甲、乙类厂房之间的防火间距不应小于 6m；丙、丁、戊类厂房之间的防火间距不应小于 4m。 </w:t>
      </w:r>
    </w:p>
    <w:p>
      <w:pPr>
        <w:pStyle w:val="ListParagraph"/>
        <w:numPr>
          <w:ilvl w:val="0"/>
          <w:numId w:val="243"/>
        </w:numPr>
        <w:tabs>
          <w:tab w:pos="1051" w:val="left" w:leader="none"/>
        </w:tabs>
        <w:spacing w:line="267" w:lineRule="exact" w:before="0" w:after="0"/>
        <w:ind w:left="1050" w:right="0" w:hanging="213"/>
        <w:jc w:val="left"/>
        <w:rPr>
          <w:sz w:val="21"/>
        </w:rPr>
      </w:pPr>
      <w:r>
        <w:rPr>
          <w:color w:val="333333"/>
          <w:spacing w:val="-3"/>
          <w:sz w:val="21"/>
        </w:rPr>
        <w:t>发电厂内的主变压器，其油量可按单台确定。</w:t>
      </w:r>
      <w:r>
        <w:rPr>
          <w:color w:val="333333"/>
          <w:sz w:val="21"/>
        </w:rPr>
        <w:t> </w:t>
      </w:r>
    </w:p>
    <w:p>
      <w:pPr>
        <w:pStyle w:val="BodyText"/>
        <w:spacing w:before="2"/>
        <w:rPr>
          <w:sz w:val="18"/>
        </w:rPr>
      </w:pPr>
    </w:p>
    <w:p>
      <w:pPr>
        <w:pStyle w:val="ListParagraph"/>
        <w:numPr>
          <w:ilvl w:val="0"/>
          <w:numId w:val="243"/>
        </w:numPr>
        <w:tabs>
          <w:tab w:pos="1051" w:val="left" w:leader="none"/>
        </w:tabs>
        <w:spacing w:line="240" w:lineRule="auto" w:before="0" w:after="0"/>
        <w:ind w:left="1050" w:right="0" w:hanging="213"/>
        <w:jc w:val="left"/>
        <w:rPr>
          <w:sz w:val="21"/>
        </w:rPr>
      </w:pPr>
      <w:r>
        <w:rPr>
          <w:color w:val="333333"/>
          <w:spacing w:val="-3"/>
          <w:sz w:val="21"/>
        </w:rPr>
        <w:t>耐火等级低于四级的既有厂房，其耐火等级可按四级确定。</w:t>
      </w:r>
      <w:r>
        <w:rPr>
          <w:color w:val="333333"/>
          <w:sz w:val="21"/>
        </w:rPr>
        <w:t> </w:t>
      </w:r>
    </w:p>
    <w:p>
      <w:pPr>
        <w:pStyle w:val="BodyText"/>
        <w:rPr>
          <w:sz w:val="18"/>
        </w:rPr>
      </w:pPr>
    </w:p>
    <w:p>
      <w:pPr>
        <w:pStyle w:val="ListParagraph"/>
        <w:numPr>
          <w:ilvl w:val="0"/>
          <w:numId w:val="243"/>
        </w:numPr>
        <w:tabs>
          <w:tab w:pos="1051" w:val="left" w:leader="none"/>
        </w:tabs>
        <w:spacing w:line="240" w:lineRule="auto" w:before="0" w:after="0"/>
        <w:ind w:left="1050" w:right="0" w:hanging="213"/>
        <w:jc w:val="left"/>
        <w:rPr>
          <w:sz w:val="21"/>
        </w:rPr>
      </w:pPr>
      <w:r>
        <w:rPr>
          <w:color w:val="333333"/>
          <w:spacing w:val="-5"/>
          <w:sz w:val="21"/>
        </w:rPr>
        <w:t>当丙、丁、戊类厂房与丙、丁、戊类仓库相邻时，应符合本表注 </w:t>
      </w:r>
      <w:r>
        <w:rPr>
          <w:color w:val="333333"/>
          <w:sz w:val="21"/>
        </w:rPr>
        <w:t>2</w:t>
      </w:r>
      <w:r>
        <w:rPr>
          <w:color w:val="333333"/>
          <w:spacing w:val="-3"/>
          <w:sz w:val="21"/>
        </w:rPr>
        <w:t>、</w:t>
      </w:r>
      <w:r>
        <w:rPr>
          <w:color w:val="333333"/>
          <w:sz w:val="21"/>
        </w:rPr>
        <w:t>3 的规定。 </w:t>
      </w:r>
    </w:p>
    <w:p>
      <w:pPr>
        <w:pStyle w:val="BodyText"/>
        <w:spacing w:before="12"/>
        <w:rPr>
          <w:sz w:val="17"/>
        </w:rPr>
      </w:pPr>
    </w:p>
    <w:p>
      <w:pPr>
        <w:pStyle w:val="ListParagraph"/>
        <w:numPr>
          <w:ilvl w:val="2"/>
          <w:numId w:val="239"/>
        </w:numPr>
        <w:tabs>
          <w:tab w:pos="1370" w:val="left" w:leader="none"/>
        </w:tabs>
        <w:spacing w:line="446" w:lineRule="auto" w:before="0" w:after="0"/>
        <w:ind w:left="418" w:right="1551" w:firstLine="422"/>
        <w:jc w:val="left"/>
        <w:rPr>
          <w:b/>
          <w:sz w:val="21"/>
        </w:rPr>
      </w:pPr>
      <w:r>
        <w:rPr>
          <w:color w:val="333333"/>
          <w:spacing w:val="-4"/>
          <w:sz w:val="21"/>
        </w:rPr>
        <w:t>甲类厂房与重要公共建筑的防火间距不应小于 </w:t>
      </w:r>
      <w:r>
        <w:rPr>
          <w:color w:val="333333"/>
          <w:sz w:val="21"/>
        </w:rPr>
        <w:t>50m</w:t>
      </w:r>
      <w:r>
        <w:rPr>
          <w:color w:val="333333"/>
          <w:spacing w:val="-3"/>
          <w:sz w:val="21"/>
        </w:rPr>
        <w:t>，与明火或散发火花地点的防火间</w:t>
      </w:r>
      <w:r>
        <w:rPr>
          <w:color w:val="333333"/>
          <w:spacing w:val="-12"/>
          <w:sz w:val="21"/>
        </w:rPr>
        <w:t>距不应小于 </w:t>
      </w:r>
      <w:r>
        <w:rPr>
          <w:color w:val="333333"/>
          <w:sz w:val="21"/>
        </w:rPr>
        <w:t>30m</w:t>
      </w:r>
      <w:r>
        <w:rPr>
          <w:color w:val="333333"/>
          <w:spacing w:val="-3"/>
          <w:sz w:val="21"/>
        </w:rPr>
        <w:t>。</w:t>
      </w:r>
      <w:r>
        <w:rPr>
          <w:b/>
          <w:color w:val="333333"/>
          <w:w w:val="99"/>
          <w:sz w:val="21"/>
        </w:rPr>
        <w:t> </w:t>
      </w:r>
    </w:p>
    <w:p>
      <w:pPr>
        <w:pStyle w:val="ListParagraph"/>
        <w:numPr>
          <w:ilvl w:val="2"/>
          <w:numId w:val="239"/>
        </w:numPr>
        <w:tabs>
          <w:tab w:pos="1371" w:val="left" w:leader="none"/>
        </w:tabs>
        <w:spacing w:line="240" w:lineRule="auto" w:before="1" w:after="0"/>
        <w:ind w:left="1370" w:right="0" w:hanging="531"/>
        <w:jc w:val="left"/>
        <w:rPr>
          <w:sz w:val="21"/>
        </w:rPr>
      </w:pPr>
      <w:r>
        <w:rPr>
          <w:color w:val="333333"/>
          <w:spacing w:val="-3"/>
          <w:sz w:val="21"/>
        </w:rPr>
        <w:t>散发可燃气体、可燃蒸气的甲类厂房与铁路、道路等的防火间距不应小于表 </w:t>
      </w:r>
    </w:p>
    <w:p>
      <w:pPr>
        <w:pStyle w:val="BodyText"/>
        <w:spacing w:before="12"/>
        <w:rPr>
          <w:sz w:val="17"/>
        </w:rPr>
      </w:pPr>
    </w:p>
    <w:p>
      <w:pPr>
        <w:pStyle w:val="ListParagraph"/>
        <w:numPr>
          <w:ilvl w:val="2"/>
          <w:numId w:val="244"/>
        </w:numPr>
        <w:tabs>
          <w:tab w:pos="948" w:val="left" w:leader="none"/>
        </w:tabs>
        <w:spacing w:line="446" w:lineRule="auto" w:before="0" w:after="0"/>
        <w:ind w:left="418" w:right="1611" w:firstLine="0"/>
        <w:jc w:val="left"/>
        <w:rPr>
          <w:color w:val="333333"/>
          <w:sz w:val="19"/>
        </w:rPr>
      </w:pPr>
      <w:r>
        <w:rPr>
          <w:color w:val="333333"/>
          <w:spacing w:val="-5"/>
          <w:sz w:val="21"/>
        </w:rPr>
        <w:t>的规定，但甲类厂房所属厂内铁路装卸线当有安全措施时，防火间距不受表 </w:t>
      </w:r>
      <w:r>
        <w:rPr>
          <w:color w:val="333333"/>
          <w:sz w:val="21"/>
        </w:rPr>
        <w:t>3.4.3</w:t>
      </w:r>
      <w:r>
        <w:rPr>
          <w:color w:val="333333"/>
          <w:spacing w:val="-17"/>
          <w:sz w:val="21"/>
        </w:rPr>
        <w:t> 规定</w:t>
      </w:r>
      <w:r>
        <w:rPr>
          <w:color w:val="333333"/>
          <w:spacing w:val="-2"/>
          <w:sz w:val="21"/>
        </w:rPr>
        <w:t>的限制。</w:t>
      </w:r>
      <w:r>
        <w:rPr>
          <w:color w:val="333333"/>
          <w:sz w:val="21"/>
        </w:rPr>
        <w:t> </w:t>
      </w:r>
    </w:p>
    <w:p>
      <w:pPr>
        <w:pStyle w:val="Heading6"/>
        <w:ind w:left="1358"/>
      </w:pPr>
      <w:r>
        <w:rPr/>
        <w:t>表 3.4.3 散发可燃气体、可燃蒸气的甲类厂房与铁路、道路等的防火间距（m）</w:t>
      </w:r>
      <w:r>
        <w:rPr>
          <w:w w:val="99"/>
        </w:rPr>
        <w:t> </w:t>
      </w:r>
    </w:p>
    <w:p>
      <w:pPr>
        <w:pStyle w:val="BodyText"/>
        <w:spacing w:before="10"/>
        <w:rPr>
          <w:b/>
          <w:sz w:val="7"/>
        </w:rPr>
      </w:pPr>
      <w:r>
        <w:rPr/>
        <w:drawing>
          <wp:anchor distT="0" distB="0" distL="0" distR="0" allowOverlap="1" layoutInCell="1" locked="0" behindDoc="0" simplePos="0" relativeHeight="69">
            <wp:simplePos x="0" y="0"/>
            <wp:positionH relativeFrom="page">
              <wp:posOffset>1151255</wp:posOffset>
            </wp:positionH>
            <wp:positionV relativeFrom="paragraph">
              <wp:posOffset>88511</wp:posOffset>
            </wp:positionV>
            <wp:extent cx="5373370" cy="723900"/>
            <wp:effectExtent l="0" t="0" r="0" b="0"/>
            <wp:wrapTopAndBottom/>
            <wp:docPr id="161" name="image108.jpeg"/>
            <wp:cNvGraphicFramePr>
              <a:graphicFrameLocks noChangeAspect="1"/>
            </wp:cNvGraphicFramePr>
            <a:graphic>
              <a:graphicData uri="http://schemas.openxmlformats.org/drawingml/2006/picture">
                <pic:pic>
                  <pic:nvPicPr>
                    <pic:cNvPr id="162" name="image108.jpeg"/>
                    <pic:cNvPicPr/>
                  </pic:nvPicPr>
                  <pic:blipFill>
                    <a:blip r:embed="rId116" cstate="print"/>
                    <a:stretch>
                      <a:fillRect/>
                    </a:stretch>
                  </pic:blipFill>
                  <pic:spPr>
                    <a:xfrm>
                      <a:off x="0" y="0"/>
                      <a:ext cx="5373370" cy="723900"/>
                    </a:xfrm>
                    <a:prstGeom prst="rect">
                      <a:avLst/>
                    </a:prstGeom>
                  </pic:spPr>
                </pic:pic>
              </a:graphicData>
            </a:graphic>
          </wp:anchor>
        </w:drawing>
      </w:r>
    </w:p>
    <w:p>
      <w:pPr>
        <w:pStyle w:val="ListParagraph"/>
        <w:numPr>
          <w:ilvl w:val="2"/>
          <w:numId w:val="244"/>
        </w:numPr>
        <w:tabs>
          <w:tab w:pos="1370" w:val="left" w:leader="none"/>
        </w:tabs>
        <w:spacing w:line="446" w:lineRule="auto" w:before="163" w:after="0"/>
        <w:ind w:left="418" w:right="1498" w:firstLine="422"/>
        <w:jc w:val="left"/>
        <w:rPr>
          <w:color w:val="333333"/>
          <w:sz w:val="19"/>
        </w:rPr>
      </w:pPr>
      <w:r>
        <w:rPr>
          <w:color w:val="333333"/>
          <w:spacing w:val="-3"/>
          <w:sz w:val="21"/>
        </w:rPr>
        <w:t>高层厂房与甲、乙、丙类液体储罐，可燃、助燃气体储罐，液化石油气储罐，可燃材</w:t>
      </w:r>
      <w:r>
        <w:rPr>
          <w:color w:val="333333"/>
          <w:spacing w:val="-2"/>
          <w:sz w:val="21"/>
        </w:rPr>
        <w:t>料堆场</w:t>
      </w:r>
      <w:r>
        <w:rPr>
          <w:color w:val="333333"/>
          <w:spacing w:val="-3"/>
          <w:sz w:val="21"/>
        </w:rPr>
        <w:t>（除煤和焦炭场外</w:t>
      </w:r>
      <w:r>
        <w:rPr>
          <w:color w:val="333333"/>
          <w:sz w:val="21"/>
        </w:rPr>
        <w:t>）</w:t>
      </w:r>
      <w:r>
        <w:rPr>
          <w:color w:val="333333"/>
          <w:spacing w:val="-7"/>
          <w:sz w:val="21"/>
        </w:rPr>
        <w:t>的防火间距，应符合本规范第 </w:t>
      </w:r>
      <w:r>
        <w:rPr>
          <w:color w:val="333333"/>
          <w:spacing w:val="-3"/>
          <w:sz w:val="21"/>
        </w:rPr>
        <w:t>4</w:t>
      </w:r>
      <w:r>
        <w:rPr>
          <w:color w:val="333333"/>
          <w:spacing w:val="-7"/>
          <w:sz w:val="21"/>
        </w:rPr>
        <w:t> 章的规定，且不应小于 </w:t>
      </w:r>
      <w:r>
        <w:rPr>
          <w:color w:val="333333"/>
          <w:sz w:val="21"/>
        </w:rPr>
        <w:t>13m</w:t>
      </w:r>
      <w:r>
        <w:rPr>
          <w:b/>
          <w:color w:val="333333"/>
          <w:sz w:val="21"/>
        </w:rPr>
        <w:t>。</w:t>
      </w:r>
      <w:r>
        <w:rPr>
          <w:color w:val="333333"/>
          <w:w w:val="100"/>
          <w:sz w:val="21"/>
        </w:rPr>
        <w:t> </w:t>
      </w:r>
    </w:p>
    <w:p>
      <w:pPr>
        <w:pStyle w:val="ListParagraph"/>
        <w:numPr>
          <w:ilvl w:val="2"/>
          <w:numId w:val="244"/>
        </w:numPr>
        <w:tabs>
          <w:tab w:pos="1371" w:val="left" w:leader="none"/>
        </w:tabs>
        <w:spacing w:line="446" w:lineRule="auto" w:before="0" w:after="0"/>
        <w:ind w:left="418" w:right="1604" w:firstLine="422"/>
        <w:jc w:val="left"/>
        <w:rPr>
          <w:color w:val="333333"/>
          <w:sz w:val="19"/>
        </w:rPr>
      </w:pPr>
      <w:r>
        <w:rPr>
          <w:color w:val="333333"/>
          <w:spacing w:val="-3"/>
          <w:sz w:val="21"/>
        </w:rPr>
        <w:t>丙、丁、戊类厂房与民用建筑的耐火等级均为一、二级时，丙、丁、戊类厂房与民用建筑的防火间距可适当减小，但应符合下列规定： </w:t>
      </w:r>
    </w:p>
    <w:p>
      <w:pPr>
        <w:pStyle w:val="BodyText"/>
        <w:spacing w:line="446" w:lineRule="auto"/>
        <w:ind w:left="418" w:right="1498" w:firstLine="419"/>
      </w:pPr>
      <w:r>
        <w:rPr>
          <w:color w:val="333333"/>
        </w:rPr>
        <w:t>当较高一面外墙为无门、窗、洞口的防火墙，或比相邻较低一座建筑屋面高 15m 及以下范围内的外墙为无门、窗、洞口的防火墙时，其防火间距不限； </w:t>
      </w:r>
    </w:p>
    <w:p>
      <w:pPr>
        <w:pStyle w:val="BodyText"/>
        <w:spacing w:line="446" w:lineRule="auto"/>
        <w:ind w:left="418" w:right="1391" w:firstLine="419"/>
      </w:pPr>
      <w:r>
        <w:rPr>
          <w:color w:val="333333"/>
        </w:rPr>
        <w:t>相邻较低一面外墙为防火墙，且屋顶无天窗、屋顶的耐火极限不低于 1.00h，或相邻较高一面外墙为防火墙，且墙上开口部位采取了防火措施，其防火间距可适当减小，但不应小于 4m。 </w:t>
      </w:r>
    </w:p>
    <w:p>
      <w:pPr>
        <w:pStyle w:val="ListParagraph"/>
        <w:numPr>
          <w:ilvl w:val="2"/>
          <w:numId w:val="244"/>
        </w:numPr>
        <w:tabs>
          <w:tab w:pos="1371" w:val="left" w:leader="none"/>
        </w:tabs>
        <w:spacing w:line="446" w:lineRule="auto" w:before="0" w:after="0"/>
        <w:ind w:left="418" w:right="1604" w:firstLine="422"/>
        <w:jc w:val="left"/>
        <w:rPr>
          <w:color w:val="333333"/>
          <w:sz w:val="19"/>
        </w:rPr>
      </w:pPr>
      <w:r>
        <w:rPr>
          <w:color w:val="333333"/>
          <w:spacing w:val="-3"/>
          <w:sz w:val="21"/>
        </w:rPr>
        <w:t>厂房外附设化学易燃物品的设备，其外壁与相邻厂房室外附设设备的外壁或相邻厂</w:t>
      </w:r>
      <w:r>
        <w:rPr>
          <w:color w:val="333333"/>
          <w:spacing w:val="-6"/>
          <w:sz w:val="21"/>
        </w:rPr>
        <w:t>房外墙的防火间距，不应小于本规范第 </w:t>
      </w:r>
      <w:r>
        <w:rPr>
          <w:color w:val="333333"/>
          <w:sz w:val="21"/>
        </w:rPr>
        <w:t>3.4.1</w:t>
      </w:r>
      <w:r>
        <w:rPr>
          <w:color w:val="333333"/>
          <w:spacing w:val="-3"/>
          <w:sz w:val="21"/>
        </w:rPr>
        <w:t> 条的规定。用不燃材料制作的室外设备，可按一、二级耐火等级建筑确定。</w:t>
      </w:r>
      <w:r>
        <w:rPr>
          <w:color w:val="333333"/>
          <w:sz w:val="21"/>
        </w:rPr>
        <w:t> </w:t>
      </w:r>
    </w:p>
    <w:p>
      <w:pPr>
        <w:pStyle w:val="BodyText"/>
        <w:spacing w:line="446" w:lineRule="auto"/>
        <w:ind w:left="418" w:right="1500" w:firstLine="419"/>
      </w:pPr>
      <w:r>
        <w:rPr>
          <w:color w:val="333333"/>
          <w:spacing w:val="-9"/>
        </w:rPr>
        <w:t>总容量不大于 </w:t>
      </w:r>
      <w:r>
        <w:rPr>
          <w:color w:val="333333"/>
        </w:rPr>
        <w:t>15m</w:t>
      </w:r>
      <w:r>
        <w:rPr>
          <w:color w:val="333333"/>
          <w:position w:val="11"/>
          <w:sz w:val="11"/>
        </w:rPr>
        <w:t>3</w:t>
      </w:r>
      <w:r>
        <w:rPr>
          <w:color w:val="333333"/>
          <w:sz w:val="11"/>
        </w:rPr>
        <w:t> </w:t>
      </w:r>
      <w:r>
        <w:rPr>
          <w:color w:val="333333"/>
          <w:spacing w:val="-5"/>
        </w:rPr>
        <w:t>的丙类液体储罐，当直埋于厂房外墙外，且面向储罐一面 </w:t>
      </w:r>
      <w:r>
        <w:rPr>
          <w:color w:val="333333"/>
        </w:rPr>
        <w:t>4.0m</w:t>
      </w:r>
      <w:r>
        <w:rPr>
          <w:color w:val="333333"/>
          <w:spacing w:val="-14"/>
        </w:rPr>
        <w:t> 范围内</w:t>
      </w:r>
      <w:r>
        <w:rPr>
          <w:color w:val="333333"/>
          <w:spacing w:val="-7"/>
        </w:rPr>
        <w:t>的外墙为防火墙时，其防火间距不限。</w:t>
      </w:r>
      <w:r>
        <w:rPr>
          <w:color w:val="333333"/>
        </w:rPr>
        <w:t> </w:t>
      </w:r>
    </w:p>
    <w:p>
      <w:pPr>
        <w:spacing w:after="0" w:line="446" w:lineRule="auto"/>
        <w:sectPr>
          <w:pgSz w:w="11910" w:h="16850"/>
          <w:pgMar w:header="0" w:footer="1239" w:top="1220" w:bottom="1420" w:left="1260" w:right="0"/>
        </w:sectPr>
      </w:pPr>
    </w:p>
    <w:p>
      <w:pPr>
        <w:pStyle w:val="ListParagraph"/>
        <w:numPr>
          <w:ilvl w:val="2"/>
          <w:numId w:val="244"/>
        </w:numPr>
        <w:tabs>
          <w:tab w:pos="1370" w:val="left" w:leader="none"/>
        </w:tabs>
        <w:spacing w:line="446" w:lineRule="auto" w:before="47" w:after="0"/>
        <w:ind w:left="418" w:right="1553" w:firstLine="422"/>
        <w:jc w:val="both"/>
        <w:rPr>
          <w:color w:val="333333"/>
          <w:sz w:val="19"/>
        </w:rPr>
      </w:pPr>
      <w:r>
        <w:rPr>
          <w:color w:val="333333"/>
          <w:spacing w:val="-14"/>
          <w:sz w:val="21"/>
        </w:rPr>
        <w:t>同一座 </w:t>
      </w:r>
      <w:r>
        <w:rPr>
          <w:color w:val="333333"/>
          <w:spacing w:val="-3"/>
          <w:sz w:val="21"/>
        </w:rPr>
        <w:t>U</w:t>
      </w:r>
      <w:r>
        <w:rPr>
          <w:color w:val="333333"/>
          <w:spacing w:val="-5"/>
          <w:sz w:val="21"/>
        </w:rPr>
        <w:t> 形或山形厂房中相邻两翼之间的防火间距，不宜小于本规范第 </w:t>
      </w:r>
      <w:r>
        <w:rPr>
          <w:color w:val="333333"/>
          <w:sz w:val="21"/>
        </w:rPr>
        <w:t>3.4.1</w:t>
      </w:r>
      <w:r>
        <w:rPr>
          <w:color w:val="333333"/>
          <w:spacing w:val="-19"/>
          <w:sz w:val="21"/>
        </w:rPr>
        <w:t> 条的</w:t>
      </w:r>
      <w:r>
        <w:rPr>
          <w:color w:val="333333"/>
          <w:spacing w:val="-5"/>
          <w:sz w:val="21"/>
        </w:rPr>
        <w:t>规定，但当厂房的占地面积小于本规范第 </w:t>
      </w:r>
      <w:r>
        <w:rPr>
          <w:color w:val="333333"/>
          <w:sz w:val="21"/>
        </w:rPr>
        <w:t>3.3.1</w:t>
      </w:r>
      <w:r>
        <w:rPr>
          <w:color w:val="333333"/>
          <w:spacing w:val="-3"/>
          <w:sz w:val="21"/>
        </w:rPr>
        <w:t> 条规定的每个防火分区最大允许建筑面积时， </w:t>
      </w:r>
      <w:r>
        <w:rPr>
          <w:color w:val="333333"/>
          <w:spacing w:val="-10"/>
          <w:sz w:val="21"/>
        </w:rPr>
        <w:t>其防火间距可为 </w:t>
      </w:r>
      <w:r>
        <w:rPr>
          <w:color w:val="333333"/>
          <w:sz w:val="21"/>
        </w:rPr>
        <w:t>6m</w:t>
      </w:r>
      <w:r>
        <w:rPr>
          <w:color w:val="333333"/>
          <w:spacing w:val="-3"/>
          <w:sz w:val="21"/>
        </w:rPr>
        <w:t>。</w:t>
      </w:r>
      <w:r>
        <w:rPr>
          <w:color w:val="333333"/>
          <w:sz w:val="21"/>
        </w:rPr>
        <w:t> </w:t>
      </w:r>
    </w:p>
    <w:p>
      <w:pPr>
        <w:pStyle w:val="ListParagraph"/>
        <w:numPr>
          <w:ilvl w:val="2"/>
          <w:numId w:val="244"/>
        </w:numPr>
        <w:tabs>
          <w:tab w:pos="1371" w:val="left" w:leader="none"/>
        </w:tabs>
        <w:spacing w:line="444" w:lineRule="auto" w:before="0" w:after="0"/>
        <w:ind w:left="418" w:right="1445" w:firstLine="422"/>
        <w:jc w:val="left"/>
        <w:rPr>
          <w:color w:val="333333"/>
          <w:sz w:val="19"/>
        </w:rPr>
      </w:pPr>
      <w:r>
        <w:rPr>
          <w:color w:val="333333"/>
          <w:spacing w:val="-3"/>
          <w:sz w:val="21"/>
        </w:rPr>
        <w:t>除高层厂房和甲类厂房外，其他类别的数座厂房占地面积之和小于本规范 第 </w:t>
      </w:r>
      <w:r>
        <w:rPr>
          <w:color w:val="333333"/>
          <w:sz w:val="21"/>
        </w:rPr>
        <w:t>3.3.1 </w:t>
      </w:r>
      <w:r>
        <w:rPr>
          <w:color w:val="333333"/>
          <w:spacing w:val="-3"/>
          <w:sz w:val="21"/>
        </w:rPr>
        <w:t>条规定的防火分区最大允许建筑面积</w:t>
      </w:r>
      <w:r>
        <w:rPr>
          <w:color w:val="333333"/>
          <w:sz w:val="21"/>
        </w:rPr>
        <w:t>（</w:t>
      </w:r>
      <w:r>
        <w:rPr>
          <w:color w:val="333333"/>
          <w:spacing w:val="-3"/>
          <w:sz w:val="21"/>
        </w:rPr>
        <w:t>按其中较小者确定，但防火分区的最大允许建筑面积不 </w:t>
      </w:r>
      <w:r>
        <w:rPr>
          <w:color w:val="333333"/>
          <w:spacing w:val="-9"/>
          <w:sz w:val="21"/>
        </w:rPr>
        <w:t>限者，不应大于 </w:t>
      </w:r>
      <w:r>
        <w:rPr>
          <w:color w:val="333333"/>
          <w:sz w:val="21"/>
        </w:rPr>
        <w:t>10000</w:t>
      </w:r>
      <w:r>
        <w:rPr>
          <w:color w:val="333333"/>
          <w:spacing w:val="12"/>
          <w:sz w:val="21"/>
        </w:rPr>
        <w:t> </w:t>
      </w:r>
      <w:r>
        <w:rPr>
          <w:color w:val="333333"/>
          <w:sz w:val="21"/>
        </w:rPr>
        <w:t>m</w:t>
      </w:r>
      <w:r>
        <w:rPr>
          <w:color w:val="333333"/>
          <w:position w:val="11"/>
          <w:sz w:val="11"/>
        </w:rPr>
        <w:t>2</w:t>
      </w:r>
      <w:r>
        <w:rPr>
          <w:color w:val="333333"/>
          <w:sz w:val="21"/>
        </w:rPr>
        <w:t>）</w:t>
      </w:r>
      <w:r>
        <w:rPr>
          <w:color w:val="333333"/>
          <w:spacing w:val="-6"/>
          <w:sz w:val="21"/>
        </w:rPr>
        <w:t>时，可成组布置。当厂房建筑高度不大于 </w:t>
      </w:r>
      <w:r>
        <w:rPr>
          <w:color w:val="333333"/>
          <w:sz w:val="21"/>
        </w:rPr>
        <w:t>7m</w:t>
      </w:r>
      <w:r>
        <w:rPr>
          <w:color w:val="333333"/>
          <w:spacing w:val="-2"/>
          <w:sz w:val="21"/>
        </w:rPr>
        <w:t> 时，组内厂房之间的防</w:t>
      </w:r>
      <w:r>
        <w:rPr>
          <w:color w:val="333333"/>
          <w:spacing w:val="-9"/>
          <w:sz w:val="21"/>
        </w:rPr>
        <w:t>火间距不应小于 </w:t>
      </w:r>
      <w:r>
        <w:rPr>
          <w:color w:val="333333"/>
          <w:sz w:val="21"/>
        </w:rPr>
        <w:t>4m</w:t>
      </w:r>
      <w:r>
        <w:rPr>
          <w:color w:val="333333"/>
          <w:spacing w:val="-8"/>
          <w:sz w:val="21"/>
        </w:rPr>
        <w:t>；当厂房建筑高度大于 </w:t>
      </w:r>
      <w:r>
        <w:rPr>
          <w:color w:val="333333"/>
          <w:sz w:val="21"/>
        </w:rPr>
        <w:t>7m</w:t>
      </w:r>
      <w:r>
        <w:rPr>
          <w:color w:val="333333"/>
          <w:spacing w:val="-6"/>
          <w:sz w:val="21"/>
        </w:rPr>
        <w:t> 时，组内厂房之间的防火间距不应小于 </w:t>
      </w:r>
      <w:r>
        <w:rPr>
          <w:color w:val="333333"/>
          <w:sz w:val="21"/>
        </w:rPr>
        <w:t>6m</w:t>
      </w:r>
      <w:r>
        <w:rPr>
          <w:color w:val="333333"/>
          <w:spacing w:val="-3"/>
          <w:sz w:val="21"/>
        </w:rPr>
        <w:t>。</w:t>
      </w:r>
      <w:r>
        <w:rPr>
          <w:color w:val="333333"/>
          <w:sz w:val="21"/>
        </w:rPr>
        <w:t> </w:t>
      </w:r>
    </w:p>
    <w:p>
      <w:pPr>
        <w:pStyle w:val="BodyText"/>
        <w:spacing w:line="268" w:lineRule="exact"/>
        <w:ind w:left="838"/>
      </w:pPr>
      <w:r>
        <w:rPr>
          <w:color w:val="333333"/>
        </w:rPr>
        <w:t>组与组或组与相邻建筑的防火间距，应根据相邻两座中耐火等级较低的建筑，按本规范第</w:t>
      </w:r>
    </w:p>
    <w:p>
      <w:pPr>
        <w:pStyle w:val="BodyText"/>
        <w:spacing w:before="11"/>
        <w:rPr>
          <w:sz w:val="17"/>
        </w:rPr>
      </w:pPr>
    </w:p>
    <w:p>
      <w:pPr>
        <w:pStyle w:val="BodyText"/>
        <w:spacing w:before="1"/>
        <w:ind w:left="418"/>
      </w:pPr>
      <w:r>
        <w:rPr>
          <w:color w:val="333333"/>
        </w:rPr>
        <w:t>3.4.1 条的规定确定。 </w:t>
      </w:r>
    </w:p>
    <w:p>
      <w:pPr>
        <w:pStyle w:val="BodyText"/>
        <w:spacing w:before="1"/>
        <w:rPr>
          <w:sz w:val="18"/>
        </w:rPr>
      </w:pPr>
    </w:p>
    <w:p>
      <w:pPr>
        <w:pStyle w:val="ListParagraph"/>
        <w:numPr>
          <w:ilvl w:val="2"/>
          <w:numId w:val="245"/>
        </w:numPr>
        <w:tabs>
          <w:tab w:pos="1370" w:val="left" w:leader="none"/>
        </w:tabs>
        <w:spacing w:line="446" w:lineRule="auto" w:before="1" w:after="0"/>
        <w:ind w:left="418" w:right="1498" w:firstLine="422"/>
        <w:jc w:val="left"/>
        <w:rPr>
          <w:b/>
          <w:sz w:val="21"/>
        </w:rPr>
      </w:pPr>
      <w:r>
        <w:rPr>
          <w:color w:val="333333"/>
          <w:spacing w:val="-3"/>
          <w:sz w:val="21"/>
        </w:rPr>
        <w:t>一级汽车加油站、一级汽车加气站和一级汽车加油加气合建站不应布置在城市建成区内。</w:t>
      </w:r>
      <w:r>
        <w:rPr>
          <w:b/>
          <w:color w:val="333333"/>
          <w:w w:val="99"/>
          <w:sz w:val="21"/>
        </w:rPr>
        <w:t> </w:t>
      </w:r>
    </w:p>
    <w:p>
      <w:pPr>
        <w:pStyle w:val="ListParagraph"/>
        <w:numPr>
          <w:ilvl w:val="2"/>
          <w:numId w:val="245"/>
        </w:numPr>
        <w:tabs>
          <w:tab w:pos="1478" w:val="left" w:leader="none"/>
        </w:tabs>
        <w:spacing w:line="446" w:lineRule="auto" w:before="0" w:after="0"/>
        <w:ind w:left="418" w:right="1496" w:firstLine="422"/>
        <w:jc w:val="left"/>
        <w:rPr>
          <w:sz w:val="21"/>
        </w:rPr>
      </w:pPr>
      <w:r>
        <w:rPr>
          <w:color w:val="333333"/>
          <w:spacing w:val="-3"/>
          <w:sz w:val="21"/>
        </w:rPr>
        <w:t>汽车加油、加气站和加油加气合建站的分级，汽车加油、加气站和加油加气合建站及其加油（</w:t>
      </w:r>
      <w:r>
        <w:rPr>
          <w:color w:val="333333"/>
          <w:sz w:val="21"/>
        </w:rPr>
        <w:t>气</w:t>
      </w:r>
      <w:r>
        <w:rPr>
          <w:color w:val="333333"/>
          <w:spacing w:val="-3"/>
          <w:sz w:val="21"/>
        </w:rPr>
        <w:t>）机、储油</w:t>
      </w:r>
      <w:r>
        <w:rPr>
          <w:color w:val="333333"/>
          <w:sz w:val="21"/>
        </w:rPr>
        <w:t>（气</w:t>
      </w:r>
      <w:r>
        <w:rPr>
          <w:color w:val="333333"/>
          <w:spacing w:val="-3"/>
          <w:sz w:val="21"/>
        </w:rPr>
        <w:t>）罐等与站外明火或散发火花地点、建筑、铁路、道路的防火间距以及站内各建筑或设施之间的防火间距，应符合现行国家标准《汽车加油加气站设计与施工规范》</w:t>
      </w:r>
      <w:r>
        <w:rPr>
          <w:color w:val="333333"/>
          <w:sz w:val="21"/>
        </w:rPr>
        <w:t>GB 50156</w:t>
      </w:r>
      <w:r>
        <w:rPr>
          <w:color w:val="333333"/>
          <w:spacing w:val="-3"/>
          <w:sz w:val="21"/>
        </w:rPr>
        <w:t> 的规定。 </w:t>
      </w:r>
    </w:p>
    <w:p>
      <w:pPr>
        <w:pStyle w:val="ListParagraph"/>
        <w:numPr>
          <w:ilvl w:val="2"/>
          <w:numId w:val="245"/>
        </w:numPr>
        <w:tabs>
          <w:tab w:pos="1478" w:val="left" w:leader="none"/>
        </w:tabs>
        <w:spacing w:line="446" w:lineRule="auto" w:before="0" w:after="0"/>
        <w:ind w:left="418" w:right="1450" w:firstLine="422"/>
        <w:jc w:val="left"/>
        <w:rPr>
          <w:sz w:val="21"/>
        </w:rPr>
      </w:pPr>
      <w:r>
        <w:rPr>
          <w:color w:val="333333"/>
          <w:spacing w:val="-9"/>
          <w:sz w:val="21"/>
        </w:rPr>
        <w:t>电力系统电压为 </w:t>
      </w:r>
      <w:r>
        <w:rPr>
          <w:color w:val="333333"/>
          <w:sz w:val="21"/>
        </w:rPr>
        <w:t>35kV～500kV</w:t>
      </w:r>
      <w:r>
        <w:rPr>
          <w:color w:val="333333"/>
          <w:spacing w:val="-7"/>
          <w:sz w:val="21"/>
        </w:rPr>
        <w:t> 且每台变压器容量不小于 </w:t>
      </w:r>
      <w:r>
        <w:rPr>
          <w:color w:val="333333"/>
          <w:sz w:val="21"/>
        </w:rPr>
        <w:t>10MVA</w:t>
      </w:r>
      <w:r>
        <w:rPr>
          <w:color w:val="333333"/>
          <w:spacing w:val="-1"/>
          <w:sz w:val="21"/>
        </w:rPr>
        <w:t> 的室外变、配电站以</w:t>
      </w:r>
      <w:r>
        <w:rPr>
          <w:color w:val="333333"/>
          <w:spacing w:val="-6"/>
          <w:sz w:val="21"/>
        </w:rPr>
        <w:t>及工业企业的变压器总油量大于 </w:t>
      </w:r>
      <w:r>
        <w:rPr>
          <w:color w:val="333333"/>
          <w:sz w:val="21"/>
        </w:rPr>
        <w:t>5t</w:t>
      </w:r>
      <w:r>
        <w:rPr>
          <w:color w:val="333333"/>
          <w:spacing w:val="-3"/>
          <w:sz w:val="21"/>
        </w:rPr>
        <w:t> 的室外降压变电站，与其他建筑的防火间距不应小于本规范</w:t>
      </w:r>
      <w:r>
        <w:rPr>
          <w:color w:val="333333"/>
          <w:spacing w:val="-28"/>
          <w:sz w:val="21"/>
        </w:rPr>
        <w:t>第 </w:t>
      </w:r>
      <w:r>
        <w:rPr>
          <w:color w:val="333333"/>
          <w:sz w:val="21"/>
        </w:rPr>
        <w:t>3.4.1</w:t>
      </w:r>
      <w:r>
        <w:rPr>
          <w:color w:val="333333"/>
          <w:spacing w:val="-13"/>
          <w:sz w:val="21"/>
        </w:rPr>
        <w:t> 条和第 </w:t>
      </w:r>
      <w:r>
        <w:rPr>
          <w:color w:val="333333"/>
          <w:sz w:val="21"/>
        </w:rPr>
        <w:t>3.5.1</w:t>
      </w:r>
      <w:r>
        <w:rPr>
          <w:color w:val="333333"/>
          <w:spacing w:val="-3"/>
          <w:sz w:val="21"/>
        </w:rPr>
        <w:t> 条的规定。</w:t>
      </w:r>
      <w:r>
        <w:rPr>
          <w:color w:val="333333"/>
          <w:sz w:val="21"/>
        </w:rPr>
        <w:t> </w:t>
      </w:r>
    </w:p>
    <w:p>
      <w:pPr>
        <w:pStyle w:val="ListParagraph"/>
        <w:numPr>
          <w:ilvl w:val="2"/>
          <w:numId w:val="245"/>
        </w:numPr>
        <w:tabs>
          <w:tab w:pos="1478" w:val="left" w:leader="none"/>
        </w:tabs>
        <w:spacing w:line="446" w:lineRule="auto" w:before="0" w:after="0"/>
        <w:ind w:left="418" w:right="1445" w:firstLine="422"/>
        <w:jc w:val="left"/>
        <w:rPr>
          <w:sz w:val="21"/>
        </w:rPr>
      </w:pPr>
      <w:r>
        <w:rPr>
          <w:color w:val="333333"/>
          <w:spacing w:val="-6"/>
          <w:sz w:val="21"/>
        </w:rPr>
        <w:t>厂区围墙与厂区内建筑的间距不宜小于 </w:t>
      </w:r>
      <w:r>
        <w:rPr>
          <w:color w:val="333333"/>
          <w:sz w:val="21"/>
        </w:rPr>
        <w:t>5m</w:t>
      </w:r>
      <w:r>
        <w:rPr>
          <w:color w:val="333333"/>
          <w:spacing w:val="-3"/>
          <w:sz w:val="21"/>
        </w:rPr>
        <w:t>，围墙两侧建筑的间距应满足相应建筑的防火间距要求。</w:t>
      </w:r>
      <w:r>
        <w:rPr>
          <w:color w:val="333333"/>
          <w:sz w:val="21"/>
        </w:rPr>
        <w:t> </w:t>
      </w:r>
    </w:p>
    <w:p>
      <w:pPr>
        <w:pStyle w:val="ListParagraph"/>
        <w:numPr>
          <w:ilvl w:val="1"/>
          <w:numId w:val="239"/>
        </w:numPr>
        <w:tabs>
          <w:tab w:pos="1159" w:val="left" w:leader="none"/>
        </w:tabs>
        <w:spacing w:line="267" w:lineRule="exact" w:before="0" w:after="0"/>
        <w:ind w:left="1158" w:right="0" w:hanging="319"/>
        <w:jc w:val="left"/>
        <w:rPr>
          <w:sz w:val="21"/>
        </w:rPr>
      </w:pPr>
      <w:r>
        <w:rPr>
          <w:spacing w:val="-3"/>
          <w:sz w:val="21"/>
        </w:rPr>
        <w:t>仓库的防火间距</w:t>
      </w:r>
      <w:r>
        <w:rPr>
          <w:sz w:val="21"/>
        </w:rPr>
        <w:t> </w:t>
      </w:r>
    </w:p>
    <w:p>
      <w:pPr>
        <w:pStyle w:val="BodyText"/>
        <w:spacing w:before="10"/>
        <w:rPr>
          <w:sz w:val="17"/>
        </w:rPr>
      </w:pPr>
    </w:p>
    <w:p>
      <w:pPr>
        <w:pStyle w:val="ListParagraph"/>
        <w:numPr>
          <w:ilvl w:val="2"/>
          <w:numId w:val="239"/>
        </w:numPr>
        <w:tabs>
          <w:tab w:pos="1371" w:val="left" w:leader="none"/>
        </w:tabs>
        <w:spacing w:line="446" w:lineRule="auto" w:before="1" w:after="0"/>
        <w:ind w:left="418" w:right="1604" w:firstLine="422"/>
        <w:jc w:val="left"/>
        <w:rPr>
          <w:sz w:val="21"/>
        </w:rPr>
      </w:pPr>
      <w:r>
        <w:rPr>
          <w:color w:val="333333"/>
          <w:spacing w:val="-3"/>
          <w:sz w:val="21"/>
        </w:rPr>
        <w:t>甲类仓库之间及与其他建筑、明火或散发火花地点、铁路、道路等的防火间距不应</w:t>
      </w:r>
      <w:r>
        <w:rPr>
          <w:color w:val="333333"/>
          <w:spacing w:val="-15"/>
          <w:sz w:val="21"/>
        </w:rPr>
        <w:t>小于表 </w:t>
      </w:r>
      <w:r>
        <w:rPr>
          <w:color w:val="333333"/>
          <w:sz w:val="21"/>
        </w:rPr>
        <w:t>3.5.1</w:t>
      </w:r>
      <w:r>
        <w:rPr>
          <w:color w:val="333333"/>
          <w:spacing w:val="-3"/>
          <w:sz w:val="21"/>
        </w:rPr>
        <w:t>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p>
    <w:p>
      <w:pPr>
        <w:pStyle w:val="BodyText"/>
        <w:ind w:left="838"/>
      </w:pPr>
      <w:r>
        <w:rPr>
          <w:color w:val="333333"/>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2"/>
        </w:rPr>
      </w:pPr>
    </w:p>
    <w:p>
      <w:pPr>
        <w:pStyle w:val="Heading6"/>
        <w:spacing w:before="72"/>
        <w:ind w:left="516"/>
      </w:pPr>
      <w:r>
        <w:rPr/>
        <w:t>表 3.5.1 甲类仓库之间及与其他建筑、明火或散发火花地点、铁路、道路等的防火间距（m）</w:t>
      </w:r>
      <w:r>
        <w:rPr>
          <w:w w:val="99"/>
        </w:rPr>
        <w:t> </w:t>
      </w:r>
    </w:p>
    <w:p>
      <w:pPr>
        <w:pStyle w:val="BodyText"/>
        <w:spacing w:before="5"/>
        <w:rPr>
          <w:b/>
          <w:sz w:val="10"/>
        </w:rPr>
      </w:pPr>
      <w:r>
        <w:rPr/>
        <w:drawing>
          <wp:anchor distT="0" distB="0" distL="0" distR="0" allowOverlap="1" layoutInCell="1" locked="0" behindDoc="0" simplePos="0" relativeHeight="70">
            <wp:simplePos x="0" y="0"/>
            <wp:positionH relativeFrom="page">
              <wp:posOffset>903605</wp:posOffset>
            </wp:positionH>
            <wp:positionV relativeFrom="paragraph">
              <wp:posOffset>109862</wp:posOffset>
            </wp:positionV>
            <wp:extent cx="5887976" cy="3200400"/>
            <wp:effectExtent l="0" t="0" r="0" b="0"/>
            <wp:wrapTopAndBottom/>
            <wp:docPr id="163" name="image109.jpeg"/>
            <wp:cNvGraphicFramePr>
              <a:graphicFrameLocks noChangeAspect="1"/>
            </wp:cNvGraphicFramePr>
            <a:graphic>
              <a:graphicData uri="http://schemas.openxmlformats.org/drawingml/2006/picture">
                <pic:pic>
                  <pic:nvPicPr>
                    <pic:cNvPr id="164" name="image109.jpeg"/>
                    <pic:cNvPicPr/>
                  </pic:nvPicPr>
                  <pic:blipFill>
                    <a:blip r:embed="rId117" cstate="print"/>
                    <a:stretch>
                      <a:fillRect/>
                    </a:stretch>
                  </pic:blipFill>
                  <pic:spPr>
                    <a:xfrm>
                      <a:off x="0" y="0"/>
                      <a:ext cx="5887976" cy="3200400"/>
                    </a:xfrm>
                    <a:prstGeom prst="rect">
                      <a:avLst/>
                    </a:prstGeom>
                  </pic:spPr>
                </pic:pic>
              </a:graphicData>
            </a:graphic>
          </wp:anchor>
        </w:drawing>
      </w:r>
    </w:p>
    <w:p>
      <w:pPr>
        <w:pStyle w:val="BodyText"/>
        <w:rPr>
          <w:b/>
          <w:sz w:val="15"/>
        </w:rPr>
      </w:pPr>
    </w:p>
    <w:p>
      <w:pPr>
        <w:pStyle w:val="BodyText"/>
        <w:spacing w:line="446" w:lineRule="auto"/>
        <w:ind w:left="418" w:right="1452" w:firstLine="419"/>
      </w:pPr>
      <w:r>
        <w:rPr>
          <w:color w:val="333333"/>
          <w:spacing w:val="-6"/>
        </w:rPr>
        <w:t>注：甲类仓库之间的防火间距，当第 </w:t>
      </w:r>
      <w:r>
        <w:rPr>
          <w:color w:val="333333"/>
        </w:rPr>
        <w:t>3</w:t>
      </w:r>
      <w:r>
        <w:rPr>
          <w:color w:val="333333"/>
          <w:spacing w:val="-3"/>
        </w:rPr>
        <w:t>、</w:t>
      </w:r>
      <w:r>
        <w:rPr>
          <w:color w:val="333333"/>
        </w:rPr>
        <w:t>4</w:t>
      </w:r>
      <w:r>
        <w:rPr>
          <w:color w:val="333333"/>
          <w:spacing w:val="-7"/>
        </w:rPr>
        <w:t> 项物品储量不大于 </w:t>
      </w:r>
      <w:r>
        <w:rPr>
          <w:color w:val="333333"/>
        </w:rPr>
        <w:t>2t</w:t>
      </w:r>
      <w:r>
        <w:rPr>
          <w:color w:val="333333"/>
          <w:spacing w:val="-16"/>
        </w:rPr>
        <w:t>，第 </w:t>
      </w:r>
      <w:r>
        <w:rPr>
          <w:color w:val="333333"/>
          <w:spacing w:val="-3"/>
        </w:rPr>
        <w:t>1</w:t>
      </w:r>
      <w:r>
        <w:rPr>
          <w:color w:val="333333"/>
        </w:rPr>
        <w:t>、</w:t>
      </w:r>
      <w:r>
        <w:rPr>
          <w:color w:val="333333"/>
          <w:spacing w:val="-3"/>
        </w:rPr>
        <w:t>2</w:t>
      </w:r>
      <w:r>
        <w:rPr>
          <w:color w:val="333333"/>
        </w:rPr>
        <w:t>、5、6 项物品储</w:t>
      </w:r>
      <w:r>
        <w:rPr>
          <w:color w:val="333333"/>
          <w:spacing w:val="-12"/>
        </w:rPr>
        <w:t>量不大于 </w:t>
      </w:r>
      <w:r>
        <w:rPr>
          <w:color w:val="333333"/>
        </w:rPr>
        <w:t>5t</w:t>
      </w:r>
      <w:r>
        <w:rPr>
          <w:color w:val="333333"/>
          <w:spacing w:val="-9"/>
        </w:rPr>
        <w:t> 时，不应小于 </w:t>
      </w:r>
      <w:r>
        <w:rPr>
          <w:color w:val="333333"/>
        </w:rPr>
        <w:t>12m</w:t>
      </w:r>
      <w:r>
        <w:rPr>
          <w:color w:val="333333"/>
          <w:spacing w:val="-6"/>
        </w:rPr>
        <w:t>。甲类仓库与高层仓库的防火间距不应小于 </w:t>
      </w:r>
      <w:r>
        <w:rPr>
          <w:color w:val="333333"/>
        </w:rPr>
        <w:t>13m。 </w:t>
      </w:r>
    </w:p>
    <w:p>
      <w:pPr>
        <w:spacing w:after="0" w:line="446" w:lineRule="auto"/>
        <w:sectPr>
          <w:pgSz w:w="11910" w:h="16850"/>
          <w:pgMar w:header="0" w:footer="1239" w:top="1600" w:bottom="1420" w:left="1260" w:right="0"/>
        </w:sectPr>
      </w:pPr>
    </w:p>
    <w:p>
      <w:pPr>
        <w:pStyle w:val="ListParagraph"/>
        <w:numPr>
          <w:ilvl w:val="2"/>
          <w:numId w:val="239"/>
        </w:numPr>
        <w:tabs>
          <w:tab w:pos="1370" w:val="left" w:leader="none"/>
        </w:tabs>
        <w:spacing w:line="446" w:lineRule="auto" w:before="47" w:after="0"/>
        <w:ind w:left="418" w:right="1498" w:firstLine="422"/>
        <w:jc w:val="left"/>
        <w:rPr>
          <w:sz w:val="21"/>
        </w:rPr>
      </w:pPr>
      <w:r>
        <w:rPr>
          <w:color w:val="333333"/>
          <w:spacing w:val="-3"/>
          <w:sz w:val="21"/>
        </w:rPr>
        <w:t>除本规范另有规定外，乙、丙、丁、戊类仓库之间及与民用建筑的防火间距，不应小</w:t>
      </w:r>
      <w:r>
        <w:rPr>
          <w:color w:val="333333"/>
          <w:spacing w:val="-19"/>
          <w:sz w:val="21"/>
        </w:rPr>
        <w:t>于表 </w:t>
      </w:r>
      <w:r>
        <w:rPr>
          <w:color w:val="333333"/>
          <w:sz w:val="21"/>
        </w:rPr>
        <w:t>3.5.2</w:t>
      </w:r>
      <w:r>
        <w:rPr>
          <w:color w:val="333333"/>
          <w:spacing w:val="-3"/>
          <w:sz w:val="21"/>
        </w:rPr>
        <w:t> 的规定。 </w:t>
      </w:r>
    </w:p>
    <w:p>
      <w:pPr>
        <w:pStyle w:val="Heading6"/>
        <w:spacing w:line="267" w:lineRule="exact"/>
        <w:ind w:left="1886"/>
      </w:pPr>
      <w:r>
        <w:rPr/>
        <w:drawing>
          <wp:anchor distT="0" distB="0" distL="0" distR="0" allowOverlap="1" layoutInCell="1" locked="0" behindDoc="0" simplePos="0" relativeHeight="71">
            <wp:simplePos x="0" y="0"/>
            <wp:positionH relativeFrom="page">
              <wp:posOffset>979805</wp:posOffset>
            </wp:positionH>
            <wp:positionV relativeFrom="paragraph">
              <wp:posOffset>243006</wp:posOffset>
            </wp:positionV>
            <wp:extent cx="5532050" cy="3333750"/>
            <wp:effectExtent l="0" t="0" r="0" b="0"/>
            <wp:wrapTopAndBottom/>
            <wp:docPr id="165" name="image110.jpeg"/>
            <wp:cNvGraphicFramePr>
              <a:graphicFrameLocks noChangeAspect="1"/>
            </wp:cNvGraphicFramePr>
            <a:graphic>
              <a:graphicData uri="http://schemas.openxmlformats.org/drawingml/2006/picture">
                <pic:pic>
                  <pic:nvPicPr>
                    <pic:cNvPr id="166" name="image110.jpeg"/>
                    <pic:cNvPicPr/>
                  </pic:nvPicPr>
                  <pic:blipFill>
                    <a:blip r:embed="rId118" cstate="print"/>
                    <a:stretch>
                      <a:fillRect/>
                    </a:stretch>
                  </pic:blipFill>
                  <pic:spPr>
                    <a:xfrm>
                      <a:off x="0" y="0"/>
                      <a:ext cx="5532050" cy="3333750"/>
                    </a:xfrm>
                    <a:prstGeom prst="rect">
                      <a:avLst/>
                    </a:prstGeom>
                  </pic:spPr>
                </pic:pic>
              </a:graphicData>
            </a:graphic>
          </wp:anchor>
        </w:drawing>
      </w:r>
      <w:r>
        <w:rPr/>
        <w:t>表 3.5.2 乙、丙、丁、戊类仓库之间及与民用建筑的防火间距（m）</w:t>
      </w:r>
      <w:r>
        <w:rPr>
          <w:w w:val="99"/>
        </w:rPr>
        <w:t> </w:t>
      </w:r>
    </w:p>
    <w:p>
      <w:pPr>
        <w:pStyle w:val="BodyText"/>
        <w:spacing w:before="147"/>
        <w:ind w:left="838"/>
      </w:pPr>
      <w:r>
        <w:rPr>
          <w:color w:val="333333"/>
        </w:rPr>
        <w:t>注：1</w:t>
      </w:r>
      <w:r>
        <w:rPr>
          <w:color w:val="333333"/>
          <w:spacing w:val="-4"/>
        </w:rPr>
        <w:t>.单、多层戊类仓库之间的防火间距，可按本表的规定减少 </w:t>
      </w:r>
      <w:r>
        <w:rPr>
          <w:color w:val="333333"/>
        </w:rPr>
        <w:t>2m</w:t>
      </w:r>
      <w:r>
        <w:rPr>
          <w:color w:val="333333"/>
          <w:spacing w:val="-3"/>
        </w:rPr>
        <w:t>。</w:t>
      </w:r>
      <w:r>
        <w:rPr>
          <w:color w:val="333333"/>
        </w:rPr>
        <w:t> </w:t>
      </w:r>
    </w:p>
    <w:p>
      <w:pPr>
        <w:pStyle w:val="BodyText"/>
        <w:spacing w:before="2"/>
        <w:rPr>
          <w:sz w:val="18"/>
        </w:rPr>
      </w:pPr>
    </w:p>
    <w:p>
      <w:pPr>
        <w:pStyle w:val="ListParagraph"/>
        <w:numPr>
          <w:ilvl w:val="0"/>
          <w:numId w:val="246"/>
        </w:numPr>
        <w:tabs>
          <w:tab w:pos="1051" w:val="left" w:leader="none"/>
        </w:tabs>
        <w:spacing w:line="446" w:lineRule="auto" w:before="0" w:after="0"/>
        <w:ind w:left="418" w:right="1452" w:firstLine="419"/>
        <w:jc w:val="left"/>
        <w:rPr>
          <w:sz w:val="21"/>
        </w:rPr>
      </w:pPr>
      <w:r>
        <w:rPr>
          <w:color w:val="333333"/>
          <w:spacing w:val="-5"/>
          <w:sz w:val="21"/>
        </w:rPr>
        <w:t>两座仓库的相邻外墙均为防火墙时，防火间距可以减小，但丙类仓库，不应小于 </w:t>
      </w:r>
      <w:r>
        <w:rPr>
          <w:color w:val="333333"/>
          <w:sz w:val="21"/>
        </w:rPr>
        <w:t>6m</w:t>
      </w:r>
      <w:r>
        <w:rPr>
          <w:color w:val="333333"/>
          <w:spacing w:val="8"/>
          <w:sz w:val="21"/>
        </w:rPr>
        <w:t>； 丁</w:t>
      </w:r>
      <w:r>
        <w:rPr>
          <w:color w:val="333333"/>
          <w:spacing w:val="-8"/>
          <w:sz w:val="21"/>
        </w:rPr>
        <w:t>、戊类仓库，不应小于 </w:t>
      </w:r>
      <w:r>
        <w:rPr>
          <w:color w:val="333333"/>
          <w:sz w:val="21"/>
        </w:rPr>
        <w:t>4m</w:t>
      </w:r>
      <w:r>
        <w:rPr>
          <w:color w:val="333333"/>
          <w:spacing w:val="-2"/>
          <w:sz w:val="21"/>
        </w:rPr>
        <w:t>。两座仓库相邻较高一面外墙为防火墙，或相邻两座高度相同的  一</w:t>
      </w:r>
      <w:r>
        <w:rPr>
          <w:color w:val="333333"/>
          <w:spacing w:val="-4"/>
          <w:sz w:val="21"/>
        </w:rPr>
        <w:t>、二级耐火等级建筑中相邻任一侧外墙为防火墙且屋顶的耐火极限不低于 </w:t>
      </w:r>
      <w:r>
        <w:rPr>
          <w:color w:val="333333"/>
          <w:sz w:val="21"/>
        </w:rPr>
        <w:t>1.00h</w:t>
      </w:r>
      <w:r>
        <w:rPr>
          <w:color w:val="333333"/>
          <w:spacing w:val="-3"/>
          <w:sz w:val="21"/>
        </w:rPr>
        <w:t>，且总占地面积</w:t>
      </w:r>
      <w:r>
        <w:rPr>
          <w:color w:val="333333"/>
          <w:spacing w:val="-10"/>
          <w:sz w:val="21"/>
        </w:rPr>
        <w:t>不大于本规范第 </w:t>
      </w:r>
      <w:r>
        <w:rPr>
          <w:color w:val="333333"/>
          <w:sz w:val="21"/>
        </w:rPr>
        <w:t>3.3.2</w:t>
      </w:r>
      <w:r>
        <w:rPr>
          <w:color w:val="333333"/>
          <w:spacing w:val="-3"/>
          <w:sz w:val="21"/>
        </w:rPr>
        <w:t> 条一座仓库的最大允许占地面积规定时，其防火间距不限。</w:t>
      </w:r>
      <w:r>
        <w:rPr>
          <w:color w:val="333333"/>
          <w:sz w:val="21"/>
        </w:rPr>
        <w:t> </w:t>
      </w:r>
    </w:p>
    <w:p>
      <w:pPr>
        <w:pStyle w:val="ListParagraph"/>
        <w:numPr>
          <w:ilvl w:val="0"/>
          <w:numId w:val="246"/>
        </w:numPr>
        <w:tabs>
          <w:tab w:pos="1051" w:val="left" w:leader="none"/>
        </w:tabs>
        <w:spacing w:line="446" w:lineRule="auto" w:before="0" w:after="0"/>
        <w:ind w:left="418" w:right="1503" w:firstLine="419"/>
        <w:jc w:val="left"/>
        <w:rPr>
          <w:sz w:val="21"/>
        </w:rPr>
      </w:pPr>
      <w:r>
        <w:rPr>
          <w:color w:val="333333"/>
          <w:spacing w:val="-12"/>
          <w:sz w:val="21"/>
        </w:rPr>
        <w:t>除乙类第 </w:t>
      </w:r>
      <w:r>
        <w:rPr>
          <w:color w:val="333333"/>
          <w:sz w:val="21"/>
        </w:rPr>
        <w:t>6</w:t>
      </w:r>
      <w:r>
        <w:rPr>
          <w:color w:val="333333"/>
          <w:spacing w:val="-5"/>
          <w:sz w:val="21"/>
        </w:rPr>
        <w:t> 项物品外的乙类仓库，与民用建筑的防火间距不宜小于 </w:t>
      </w:r>
      <w:r>
        <w:rPr>
          <w:color w:val="333333"/>
          <w:sz w:val="21"/>
        </w:rPr>
        <w:t>25m</w:t>
      </w:r>
      <w:r>
        <w:rPr>
          <w:color w:val="333333"/>
          <w:spacing w:val="-2"/>
          <w:sz w:val="21"/>
        </w:rPr>
        <w:t>，与重要公共建</w:t>
      </w:r>
      <w:r>
        <w:rPr>
          <w:color w:val="333333"/>
          <w:spacing w:val="-8"/>
          <w:sz w:val="21"/>
        </w:rPr>
        <w:t>筑的防火间距不应小于 </w:t>
      </w:r>
      <w:r>
        <w:rPr>
          <w:color w:val="333333"/>
          <w:sz w:val="21"/>
        </w:rPr>
        <w:t>50m，</w:t>
      </w:r>
      <w:r>
        <w:rPr>
          <w:color w:val="333333"/>
          <w:spacing w:val="-6"/>
          <w:sz w:val="21"/>
        </w:rPr>
        <w:t>与铁路、道路等的防火间距不宜小于表 </w:t>
      </w:r>
      <w:r>
        <w:rPr>
          <w:color w:val="333333"/>
          <w:sz w:val="21"/>
        </w:rPr>
        <w:t>3.5.1</w:t>
      </w:r>
      <w:r>
        <w:rPr>
          <w:color w:val="333333"/>
          <w:spacing w:val="-2"/>
          <w:sz w:val="21"/>
        </w:rPr>
        <w:t> 中甲类仓库与铁</w:t>
      </w:r>
    </w:p>
    <w:p>
      <w:pPr>
        <w:pStyle w:val="BodyText"/>
        <w:ind w:left="418"/>
      </w:pPr>
      <w:r>
        <w:rPr>
          <w:color w:val="333333"/>
        </w:rPr>
        <w:t>路、道路等的防火间距。 </w:t>
      </w:r>
    </w:p>
    <w:p>
      <w:pPr>
        <w:pStyle w:val="BodyText"/>
        <w:spacing w:before="10"/>
        <w:rPr>
          <w:sz w:val="17"/>
        </w:rPr>
      </w:pPr>
    </w:p>
    <w:p>
      <w:pPr>
        <w:pStyle w:val="ListParagraph"/>
        <w:numPr>
          <w:ilvl w:val="2"/>
          <w:numId w:val="239"/>
        </w:numPr>
        <w:tabs>
          <w:tab w:pos="1370" w:val="left" w:leader="none"/>
        </w:tabs>
        <w:spacing w:line="446" w:lineRule="auto" w:before="0" w:after="0"/>
        <w:ind w:left="418" w:right="1604" w:firstLine="422"/>
        <w:jc w:val="left"/>
        <w:rPr>
          <w:sz w:val="21"/>
        </w:rPr>
      </w:pPr>
      <w:r>
        <w:rPr>
          <w:color w:val="333333"/>
          <w:spacing w:val="-3"/>
          <w:sz w:val="21"/>
        </w:rPr>
        <w:t>丁、戊类仓库与民用建筑的耐火等级均为一、二级时，仓库与民用建筑的防火间距可适当减小，但应符合下列规定：</w:t>
      </w:r>
      <w:r>
        <w:rPr>
          <w:color w:val="333333"/>
          <w:sz w:val="21"/>
        </w:rPr>
        <w:t> </w:t>
      </w:r>
    </w:p>
    <w:p>
      <w:pPr>
        <w:pStyle w:val="BodyText"/>
        <w:spacing w:line="446" w:lineRule="auto"/>
        <w:ind w:left="418" w:right="1498" w:firstLine="419"/>
      </w:pPr>
      <w:r>
        <w:rPr>
          <w:color w:val="333333"/>
        </w:rPr>
        <w:t>当较高一面外墙为无门、窗、洞口的防火墙，或比相邻较低一座建筑屋面高 15m 及以下范围内的外墙为无门、窗、洞口的防火墙时，其防火间距不限； </w:t>
      </w:r>
    </w:p>
    <w:p>
      <w:pPr>
        <w:pStyle w:val="BodyText"/>
        <w:spacing w:line="446" w:lineRule="auto"/>
        <w:ind w:left="418" w:right="1392" w:firstLine="419"/>
      </w:pPr>
      <w:r>
        <w:rPr>
          <w:color w:val="333333"/>
        </w:rPr>
        <w:t>相邻较低一面外墙为防火墙，且屋顶无天窗或洞口、屋顶耐火极限不低于 1.00h，或相邻较高一面外墙为防火墙，且墙上开口部位采取了防火措施，其防火间距可适当减小，但不应小于</w:t>
      </w:r>
    </w:p>
    <w:p>
      <w:pPr>
        <w:spacing w:after="0" w:line="446" w:lineRule="auto"/>
        <w:sectPr>
          <w:pgSz w:w="11910" w:h="16850"/>
          <w:pgMar w:header="0" w:footer="1239" w:top="1220" w:bottom="1420" w:left="1260" w:right="0"/>
        </w:sectPr>
      </w:pPr>
    </w:p>
    <w:p>
      <w:pPr>
        <w:pStyle w:val="BodyText"/>
        <w:spacing w:before="47"/>
        <w:ind w:left="418"/>
      </w:pPr>
      <w:r>
        <w:rPr>
          <w:color w:val="333333"/>
        </w:rPr>
        <w:t>4m。 </w:t>
      </w:r>
    </w:p>
    <w:p>
      <w:pPr>
        <w:pStyle w:val="BodyText"/>
        <w:rPr>
          <w:sz w:val="18"/>
        </w:rPr>
      </w:pPr>
    </w:p>
    <w:p>
      <w:pPr>
        <w:pStyle w:val="ListParagraph"/>
        <w:numPr>
          <w:ilvl w:val="2"/>
          <w:numId w:val="239"/>
        </w:numPr>
        <w:tabs>
          <w:tab w:pos="1371" w:val="left" w:leader="none"/>
        </w:tabs>
        <w:spacing w:line="446" w:lineRule="auto" w:before="0" w:after="0"/>
        <w:ind w:left="1992" w:right="1712" w:hanging="1152"/>
        <w:jc w:val="left"/>
        <w:rPr>
          <w:b/>
          <w:sz w:val="21"/>
        </w:rPr>
      </w:pPr>
      <w:r>
        <w:rPr>
          <w:color w:val="333333"/>
          <w:spacing w:val="-4"/>
          <w:sz w:val="21"/>
        </w:rPr>
        <w:t>粮食筒仓与其他建筑、粮食筒仓组之间的防火间距，不应小于表 </w:t>
      </w:r>
      <w:r>
        <w:rPr>
          <w:color w:val="333333"/>
          <w:sz w:val="21"/>
        </w:rPr>
        <w:t>3.5.4</w:t>
      </w:r>
      <w:r>
        <w:rPr>
          <w:color w:val="333333"/>
          <w:spacing w:val="-7"/>
          <w:sz w:val="21"/>
        </w:rPr>
        <w:t> 的规定。</w:t>
      </w:r>
      <w:r>
        <w:rPr>
          <w:b/>
          <w:sz w:val="21"/>
        </w:rPr>
        <w:t>表</w:t>
      </w:r>
      <w:r>
        <w:rPr>
          <w:b/>
          <w:spacing w:val="-54"/>
          <w:sz w:val="21"/>
        </w:rPr>
        <w:t> </w:t>
      </w:r>
      <w:r>
        <w:rPr>
          <w:b/>
          <w:sz w:val="21"/>
        </w:rPr>
        <w:t>3.5.4</w:t>
      </w:r>
      <w:r>
        <w:rPr>
          <w:b/>
          <w:spacing w:val="-3"/>
          <w:sz w:val="21"/>
        </w:rPr>
        <w:t> 粮食筒仓与其他建筑、粮食筒仓组之间的防火间距</w:t>
      </w:r>
      <w:r>
        <w:rPr>
          <w:b/>
          <w:sz w:val="21"/>
        </w:rPr>
        <w:t>（m）</w:t>
      </w:r>
      <w:r>
        <w:rPr>
          <w:b/>
          <w:w w:val="99"/>
          <w:sz w:val="21"/>
        </w:rPr>
        <w:t> </w:t>
      </w:r>
    </w:p>
    <w:p>
      <w:pPr>
        <w:pStyle w:val="BodyText"/>
        <w:spacing w:before="12"/>
        <w:rPr>
          <w:b/>
          <w:sz w:val="8"/>
        </w:rPr>
      </w:pPr>
      <w:r>
        <w:rPr/>
        <w:drawing>
          <wp:anchor distT="0" distB="0" distL="0" distR="0" allowOverlap="1" layoutInCell="1" locked="0" behindDoc="0" simplePos="0" relativeHeight="72">
            <wp:simplePos x="0" y="0"/>
            <wp:positionH relativeFrom="page">
              <wp:posOffset>1170305</wp:posOffset>
            </wp:positionH>
            <wp:positionV relativeFrom="paragraph">
              <wp:posOffset>97535</wp:posOffset>
            </wp:positionV>
            <wp:extent cx="5553074" cy="2466975"/>
            <wp:effectExtent l="0" t="0" r="0" b="0"/>
            <wp:wrapTopAndBottom/>
            <wp:docPr id="167" name="image111.jpeg"/>
            <wp:cNvGraphicFramePr>
              <a:graphicFrameLocks noChangeAspect="1"/>
            </wp:cNvGraphicFramePr>
            <a:graphic>
              <a:graphicData uri="http://schemas.openxmlformats.org/drawingml/2006/picture">
                <pic:pic>
                  <pic:nvPicPr>
                    <pic:cNvPr id="168" name="image111.jpeg"/>
                    <pic:cNvPicPr/>
                  </pic:nvPicPr>
                  <pic:blipFill>
                    <a:blip r:embed="rId119" cstate="print"/>
                    <a:stretch>
                      <a:fillRect/>
                    </a:stretch>
                  </pic:blipFill>
                  <pic:spPr>
                    <a:xfrm>
                      <a:off x="0" y="0"/>
                      <a:ext cx="5553074" cy="2466975"/>
                    </a:xfrm>
                    <a:prstGeom prst="rect">
                      <a:avLst/>
                    </a:prstGeom>
                  </pic:spPr>
                </pic:pic>
              </a:graphicData>
            </a:graphic>
          </wp:anchor>
        </w:drawing>
      </w:r>
    </w:p>
    <w:p>
      <w:pPr>
        <w:pStyle w:val="BodyText"/>
        <w:spacing w:line="446" w:lineRule="auto" w:before="162"/>
        <w:ind w:left="418" w:right="1505" w:firstLine="419"/>
      </w:pPr>
      <w:r>
        <w:rPr>
          <w:color w:val="333333"/>
        </w:rPr>
        <w:t>注：1. 当粮食立筒仓、粮食浅圆仓与工作塔、接收塔、发放站为一个完整工艺单元的组群时，组内各建筑之间的防火间距不受本表限制。 </w:t>
      </w:r>
    </w:p>
    <w:p>
      <w:pPr>
        <w:pStyle w:val="BodyText"/>
        <w:ind w:left="838"/>
      </w:pPr>
      <w:r>
        <w:rPr>
          <w:color w:val="333333"/>
        </w:rPr>
        <w:t>2.粮食浅圆仓组内每个独立仓的储量不应大于 10000t。 </w:t>
      </w:r>
    </w:p>
    <w:p>
      <w:pPr>
        <w:pStyle w:val="BodyText"/>
        <w:rPr>
          <w:sz w:val="18"/>
        </w:rPr>
      </w:pPr>
    </w:p>
    <w:p>
      <w:pPr>
        <w:pStyle w:val="ListParagraph"/>
        <w:numPr>
          <w:ilvl w:val="2"/>
          <w:numId w:val="239"/>
        </w:numPr>
        <w:tabs>
          <w:tab w:pos="1370" w:val="left" w:leader="none"/>
        </w:tabs>
        <w:spacing w:line="446" w:lineRule="auto" w:before="0" w:after="0"/>
        <w:ind w:left="418" w:right="1553" w:firstLine="422"/>
        <w:jc w:val="left"/>
        <w:rPr>
          <w:sz w:val="21"/>
        </w:rPr>
      </w:pPr>
      <w:r>
        <w:rPr>
          <w:color w:val="333333"/>
          <w:spacing w:val="-6"/>
          <w:sz w:val="21"/>
        </w:rPr>
        <w:t>库区围墙与库区内建筑的间距不宜小于 </w:t>
      </w:r>
      <w:r>
        <w:rPr>
          <w:color w:val="333333"/>
          <w:sz w:val="21"/>
        </w:rPr>
        <w:t>5m</w:t>
      </w:r>
      <w:r>
        <w:rPr>
          <w:color w:val="333333"/>
          <w:spacing w:val="-3"/>
          <w:sz w:val="21"/>
        </w:rPr>
        <w:t>，围墙两侧建筑的间距应满足相应建筑的防火间距要求。</w:t>
      </w:r>
      <w:r>
        <w:rPr>
          <w:color w:val="333333"/>
          <w:sz w:val="21"/>
        </w:rPr>
        <w:t> </w:t>
      </w:r>
    </w:p>
    <w:p>
      <w:pPr>
        <w:pStyle w:val="ListParagraph"/>
        <w:numPr>
          <w:ilvl w:val="1"/>
          <w:numId w:val="239"/>
        </w:numPr>
        <w:tabs>
          <w:tab w:pos="1159" w:val="left" w:leader="none"/>
        </w:tabs>
        <w:spacing w:line="240" w:lineRule="auto" w:before="0" w:after="0"/>
        <w:ind w:left="1158" w:right="0" w:hanging="319"/>
        <w:jc w:val="left"/>
        <w:rPr>
          <w:sz w:val="21"/>
        </w:rPr>
      </w:pPr>
      <w:r>
        <w:rPr>
          <w:spacing w:val="-3"/>
          <w:sz w:val="21"/>
        </w:rPr>
        <w:t>厂房和仓库的防爆</w:t>
      </w:r>
      <w:r>
        <w:rPr>
          <w:sz w:val="21"/>
        </w:rPr>
        <w:t> </w:t>
      </w:r>
    </w:p>
    <w:p>
      <w:pPr>
        <w:pStyle w:val="BodyText"/>
        <w:spacing w:before="12"/>
        <w:rPr>
          <w:sz w:val="17"/>
        </w:rPr>
      </w:pPr>
    </w:p>
    <w:p>
      <w:pPr>
        <w:pStyle w:val="ListParagraph"/>
        <w:numPr>
          <w:ilvl w:val="2"/>
          <w:numId w:val="239"/>
        </w:numPr>
        <w:tabs>
          <w:tab w:pos="1371" w:val="left" w:leader="none"/>
        </w:tabs>
        <w:spacing w:line="446" w:lineRule="auto" w:before="0" w:after="0"/>
        <w:ind w:left="418" w:right="1604" w:firstLine="422"/>
        <w:jc w:val="left"/>
        <w:rPr>
          <w:sz w:val="21"/>
        </w:rPr>
      </w:pPr>
      <w:r>
        <w:rPr>
          <w:color w:val="333333"/>
          <w:spacing w:val="-3"/>
          <w:sz w:val="21"/>
        </w:rPr>
        <w:t>有爆炸危险的甲、乙类厂房宜独立设置，并宜采用敞开或半敞开式。其承重结构宜采用钢筋混凝土或钢框架、排架结构。</w:t>
      </w:r>
      <w:r>
        <w:rPr>
          <w:color w:val="333333"/>
          <w:sz w:val="21"/>
        </w:rPr>
        <w:t> </w:t>
      </w:r>
    </w:p>
    <w:p>
      <w:pPr>
        <w:pStyle w:val="ListParagraph"/>
        <w:numPr>
          <w:ilvl w:val="2"/>
          <w:numId w:val="239"/>
        </w:numPr>
        <w:tabs>
          <w:tab w:pos="1371" w:val="left" w:leader="none"/>
        </w:tabs>
        <w:spacing w:line="240" w:lineRule="auto" w:before="0" w:after="0"/>
        <w:ind w:left="1370" w:right="0" w:hanging="531"/>
        <w:jc w:val="left"/>
        <w:rPr>
          <w:b/>
          <w:sz w:val="21"/>
        </w:rPr>
      </w:pPr>
      <w:r>
        <w:rPr>
          <w:color w:val="333333"/>
          <w:spacing w:val="-3"/>
          <w:sz w:val="21"/>
        </w:rPr>
        <w:t>有爆炸危险的厂房或厂房内有爆炸危险的部位应设置泄压设施。</w:t>
      </w:r>
      <w:r>
        <w:rPr>
          <w:b/>
          <w:color w:val="333333"/>
          <w:w w:val="99"/>
          <w:sz w:val="21"/>
        </w:rPr>
        <w:t> </w:t>
      </w:r>
    </w:p>
    <w:p>
      <w:pPr>
        <w:pStyle w:val="BodyText"/>
        <w:rPr>
          <w:b/>
          <w:sz w:val="18"/>
        </w:rPr>
      </w:pPr>
    </w:p>
    <w:p>
      <w:pPr>
        <w:pStyle w:val="ListParagraph"/>
        <w:numPr>
          <w:ilvl w:val="2"/>
          <w:numId w:val="239"/>
        </w:numPr>
        <w:tabs>
          <w:tab w:pos="1370" w:val="left" w:leader="none"/>
        </w:tabs>
        <w:spacing w:line="446" w:lineRule="auto" w:before="0" w:after="0"/>
        <w:ind w:left="418" w:right="1604" w:firstLine="422"/>
        <w:jc w:val="left"/>
        <w:rPr>
          <w:sz w:val="21"/>
        </w:rPr>
      </w:pPr>
      <w:r>
        <w:rPr>
          <w:color w:val="333333"/>
          <w:spacing w:val="-3"/>
          <w:sz w:val="21"/>
        </w:rPr>
        <w:t>泄压设施宜采用轻质屋面板、轻质墙体和易于泄压的门、窗等，应采用安全玻璃等在爆炸时不产生尖锐碎片的材料。</w:t>
      </w:r>
      <w:r>
        <w:rPr>
          <w:color w:val="333333"/>
          <w:sz w:val="21"/>
        </w:rPr>
        <w:t> </w:t>
      </w:r>
    </w:p>
    <w:p>
      <w:pPr>
        <w:pStyle w:val="BodyText"/>
        <w:spacing w:line="436" w:lineRule="auto"/>
        <w:ind w:left="838" w:right="1925"/>
      </w:pPr>
      <w:r>
        <w:rPr>
          <w:color w:val="333333"/>
          <w:spacing w:val="-3"/>
        </w:rPr>
        <w:t>泄压设施的设置应避开人员密集场所和主要交通道路，并宜靠近有爆炸危险的部位。</w:t>
      </w:r>
      <w:r>
        <w:rPr>
          <w:color w:val="333333"/>
          <w:spacing w:val="-6"/>
        </w:rPr>
        <w:t>作为泄压设施的轻质屋面板和墙体的质量不宜大于 </w:t>
      </w:r>
      <w:r>
        <w:rPr>
          <w:color w:val="333333"/>
        </w:rPr>
        <w:t>60kg/m</w:t>
      </w:r>
      <w:r>
        <w:rPr>
          <w:color w:val="333333"/>
          <w:position w:val="11"/>
          <w:sz w:val="11"/>
        </w:rPr>
        <w:t>2</w:t>
      </w:r>
      <w:r>
        <w:rPr>
          <w:color w:val="333333"/>
          <w:spacing w:val="-3"/>
        </w:rPr>
        <w:t>。</w:t>
      </w:r>
      <w:r>
        <w:rPr>
          <w:color w:val="333333"/>
        </w:rPr>
        <w:t> </w:t>
      </w:r>
    </w:p>
    <w:p>
      <w:pPr>
        <w:pStyle w:val="BodyText"/>
        <w:spacing w:before="11"/>
        <w:ind w:left="838"/>
      </w:pPr>
      <w:r>
        <w:rPr>
          <w:color w:val="333333"/>
        </w:rPr>
        <w:t>屋顶上的泄压设施应采取防冰雪积聚措施。 </w:t>
      </w:r>
    </w:p>
    <w:p>
      <w:pPr>
        <w:spacing w:after="0"/>
        <w:sectPr>
          <w:pgSz w:w="11910" w:h="16850"/>
          <w:pgMar w:header="0" w:footer="1239" w:top="1220" w:bottom="1420" w:left="1260" w:right="0"/>
        </w:sectPr>
      </w:pPr>
    </w:p>
    <w:p>
      <w:pPr>
        <w:pStyle w:val="ListParagraph"/>
        <w:numPr>
          <w:ilvl w:val="2"/>
          <w:numId w:val="239"/>
        </w:numPr>
        <w:tabs>
          <w:tab w:pos="1370" w:val="left" w:leader="none"/>
        </w:tabs>
        <w:spacing w:line="240" w:lineRule="auto" w:before="47" w:after="0"/>
        <w:ind w:left="1369" w:right="0" w:hanging="530"/>
        <w:jc w:val="left"/>
        <w:rPr>
          <w:sz w:val="21"/>
        </w:rPr>
      </w:pPr>
      <w:r>
        <w:rPr/>
        <w:drawing>
          <wp:anchor distT="0" distB="0" distL="0" distR="0" allowOverlap="1" layoutInCell="1" locked="0" behindDoc="0" simplePos="0" relativeHeight="73">
            <wp:simplePos x="0" y="0"/>
            <wp:positionH relativeFrom="page">
              <wp:posOffset>1160780</wp:posOffset>
            </wp:positionH>
            <wp:positionV relativeFrom="paragraph">
              <wp:posOffset>273430</wp:posOffset>
            </wp:positionV>
            <wp:extent cx="4953000" cy="790575"/>
            <wp:effectExtent l="0" t="0" r="0" b="0"/>
            <wp:wrapTopAndBottom/>
            <wp:docPr id="169" name="image112.jpeg"/>
            <wp:cNvGraphicFramePr>
              <a:graphicFrameLocks noChangeAspect="1"/>
            </wp:cNvGraphicFramePr>
            <a:graphic>
              <a:graphicData uri="http://schemas.openxmlformats.org/drawingml/2006/picture">
                <pic:pic>
                  <pic:nvPicPr>
                    <pic:cNvPr id="170" name="image112.jpeg"/>
                    <pic:cNvPicPr/>
                  </pic:nvPicPr>
                  <pic:blipFill>
                    <a:blip r:embed="rId120" cstate="print"/>
                    <a:stretch>
                      <a:fillRect/>
                    </a:stretch>
                  </pic:blipFill>
                  <pic:spPr>
                    <a:xfrm>
                      <a:off x="0" y="0"/>
                      <a:ext cx="4953000" cy="790575"/>
                    </a:xfrm>
                    <a:prstGeom prst="rect">
                      <a:avLst/>
                    </a:prstGeom>
                  </pic:spPr>
                </pic:pic>
              </a:graphicData>
            </a:graphic>
          </wp:anchor>
        </w:drawing>
      </w:r>
      <w:r>
        <w:rPr>
          <w:color w:val="333333"/>
          <w:spacing w:val="-5"/>
          <w:sz w:val="21"/>
        </w:rPr>
        <w:t>厂房的泄压面积宜按下式计算，但当厂房的长径比大于 </w:t>
      </w:r>
      <w:r>
        <w:rPr>
          <w:color w:val="333333"/>
          <w:sz w:val="21"/>
        </w:rPr>
        <w:t>3</w:t>
      </w:r>
      <w:r>
        <w:rPr>
          <w:color w:val="333333"/>
          <w:spacing w:val="-3"/>
          <w:sz w:val="21"/>
        </w:rPr>
        <w:t> 时，宜将建筑划分为长径</w:t>
      </w:r>
    </w:p>
    <w:p>
      <w:pPr>
        <w:pStyle w:val="BodyText"/>
        <w:spacing w:before="176"/>
        <w:ind w:left="418"/>
      </w:pPr>
      <w:r>
        <w:rPr>
          <w:color w:val="333333"/>
        </w:rPr>
        <w:t>比不大于 3 的多个计算段，各计算段中的公共截面不得作为泄压面积：  </w:t>
      </w:r>
      <w:r>
        <w:rPr>
          <w:color w:val="333333"/>
          <w:w w:val="100"/>
        </w:rPr>
        <w:t> </w:t>
      </w:r>
    </w:p>
    <w:p>
      <w:pPr>
        <w:pStyle w:val="BodyText"/>
        <w:spacing w:before="5"/>
        <w:rPr>
          <w:sz w:val="17"/>
        </w:rPr>
      </w:pPr>
    </w:p>
    <w:p>
      <w:pPr>
        <w:pStyle w:val="Heading6"/>
        <w:ind w:left="2040"/>
      </w:pPr>
      <w:r>
        <w:rPr/>
        <w:t>表 3.6.4 厂房内爆炸性危险物质的类别与泄压比规定值（m</w:t>
      </w:r>
      <w:r>
        <w:rPr>
          <w:position w:val="11"/>
          <w:sz w:val="11"/>
        </w:rPr>
        <w:t>2</w:t>
      </w:r>
      <w:r>
        <w:rPr/>
        <w:t>/m</w:t>
      </w:r>
      <w:r>
        <w:rPr>
          <w:position w:val="11"/>
          <w:sz w:val="11"/>
        </w:rPr>
        <w:t>3</w:t>
      </w:r>
      <w:r>
        <w:rPr/>
        <w:t>）</w:t>
      </w:r>
      <w:r>
        <w:rPr>
          <w:w w:val="99"/>
        </w:rPr>
        <w:t> </w:t>
      </w:r>
    </w:p>
    <w:p>
      <w:pPr>
        <w:pStyle w:val="BodyText"/>
        <w:spacing w:before="10"/>
        <w:rPr>
          <w:b/>
          <w:sz w:val="14"/>
        </w:rPr>
      </w:pPr>
      <w:r>
        <w:rPr/>
        <w:drawing>
          <wp:anchor distT="0" distB="0" distL="0" distR="0" allowOverlap="1" layoutInCell="1" locked="0" behindDoc="0" simplePos="0" relativeHeight="74">
            <wp:simplePos x="0" y="0"/>
            <wp:positionH relativeFrom="page">
              <wp:posOffset>1113155</wp:posOffset>
            </wp:positionH>
            <wp:positionV relativeFrom="paragraph">
              <wp:posOffset>145454</wp:posOffset>
            </wp:positionV>
            <wp:extent cx="5433620" cy="2209800"/>
            <wp:effectExtent l="0" t="0" r="0" b="0"/>
            <wp:wrapTopAndBottom/>
            <wp:docPr id="171" name="image113.jpeg"/>
            <wp:cNvGraphicFramePr>
              <a:graphicFrameLocks noChangeAspect="1"/>
            </wp:cNvGraphicFramePr>
            <a:graphic>
              <a:graphicData uri="http://schemas.openxmlformats.org/drawingml/2006/picture">
                <pic:pic>
                  <pic:nvPicPr>
                    <pic:cNvPr id="172" name="image113.jpeg"/>
                    <pic:cNvPicPr/>
                  </pic:nvPicPr>
                  <pic:blipFill>
                    <a:blip r:embed="rId121" cstate="print"/>
                    <a:stretch>
                      <a:fillRect/>
                    </a:stretch>
                  </pic:blipFill>
                  <pic:spPr>
                    <a:xfrm>
                      <a:off x="0" y="0"/>
                      <a:ext cx="5433620" cy="2209800"/>
                    </a:xfrm>
                    <a:prstGeom prst="rect">
                      <a:avLst/>
                    </a:prstGeom>
                  </pic:spPr>
                </pic:pic>
              </a:graphicData>
            </a:graphic>
          </wp:anchor>
        </w:drawing>
      </w:r>
    </w:p>
    <w:p>
      <w:pPr>
        <w:pStyle w:val="BodyText"/>
        <w:rPr>
          <w:b/>
          <w:sz w:val="22"/>
        </w:rPr>
      </w:pPr>
    </w:p>
    <w:p>
      <w:pPr>
        <w:pStyle w:val="BodyText"/>
        <w:spacing w:before="10"/>
        <w:rPr>
          <w:b/>
          <w:sz w:val="29"/>
        </w:rPr>
      </w:pPr>
    </w:p>
    <w:p>
      <w:pPr>
        <w:pStyle w:val="BodyText"/>
        <w:spacing w:line="446" w:lineRule="auto" w:before="1"/>
        <w:ind w:left="418" w:right="1498" w:firstLine="419"/>
      </w:pPr>
      <w:r>
        <w:rPr>
          <w:color w:val="333333"/>
        </w:rPr>
        <w:t>注：长径比为建筑平面几何外形尺寸中的最长尺寸与其横截面周长的积和 4.0 倍的建筑横截面积之比。 </w:t>
      </w:r>
    </w:p>
    <w:p>
      <w:pPr>
        <w:pStyle w:val="ListParagraph"/>
        <w:numPr>
          <w:ilvl w:val="2"/>
          <w:numId w:val="239"/>
        </w:numPr>
        <w:tabs>
          <w:tab w:pos="1370" w:val="left" w:leader="none"/>
        </w:tabs>
        <w:spacing w:line="446" w:lineRule="auto" w:before="0" w:after="0"/>
        <w:ind w:left="418" w:right="1813" w:firstLine="422"/>
        <w:jc w:val="left"/>
        <w:rPr>
          <w:sz w:val="21"/>
        </w:rPr>
      </w:pPr>
      <w:r>
        <w:rPr>
          <w:color w:val="333333"/>
          <w:spacing w:val="-3"/>
          <w:sz w:val="21"/>
        </w:rPr>
        <w:t>散发较空气轻的可燃气体、可燃蒸气的甲类厂房，宜采用轻质屋面板作为泄压面积。顶棚应尽量平整、无死角，厂房上部空间应通风良好。</w:t>
      </w:r>
      <w:r>
        <w:rPr>
          <w:color w:val="333333"/>
          <w:sz w:val="21"/>
        </w:rPr>
        <w:t> </w:t>
      </w:r>
    </w:p>
    <w:p>
      <w:pPr>
        <w:pStyle w:val="ListParagraph"/>
        <w:numPr>
          <w:ilvl w:val="2"/>
          <w:numId w:val="239"/>
        </w:numPr>
        <w:tabs>
          <w:tab w:pos="1371" w:val="left" w:leader="none"/>
        </w:tabs>
        <w:spacing w:line="446" w:lineRule="auto" w:before="0" w:after="0"/>
        <w:ind w:left="418" w:right="1498" w:firstLine="422"/>
        <w:jc w:val="left"/>
        <w:rPr>
          <w:sz w:val="21"/>
        </w:rPr>
      </w:pPr>
      <w:r>
        <w:rPr>
          <w:color w:val="333333"/>
          <w:spacing w:val="-3"/>
          <w:sz w:val="21"/>
        </w:rPr>
        <w:t>散发较空气重的可燃气体、可燃蒸气的甲类厂房和有粉尘、纤维爆炸危险的乙类厂房，应符合下列规定：</w:t>
      </w:r>
      <w:r>
        <w:rPr>
          <w:color w:val="333333"/>
          <w:sz w:val="21"/>
        </w:rPr>
        <w:t> </w:t>
      </w:r>
    </w:p>
    <w:p>
      <w:pPr>
        <w:pStyle w:val="BodyText"/>
        <w:spacing w:line="446" w:lineRule="auto"/>
        <w:ind w:left="838" w:right="2765"/>
        <w:rPr>
          <w:b/>
        </w:rPr>
      </w:pPr>
      <w:r>
        <w:rPr>
          <w:color w:val="333333"/>
          <w:spacing w:val="-3"/>
        </w:rPr>
        <w:t>应采用不发火花的地面。采用绝缘材料作整体面层时，应采取防静电措施； 散发可燃粉尘、纤维的厂房，其内表面应平整、光滑，并易于清扫；</w:t>
      </w:r>
      <w:r>
        <w:rPr>
          <w:b/>
          <w:color w:val="333333"/>
          <w:w w:val="99"/>
        </w:rPr>
        <w:t> </w:t>
      </w:r>
    </w:p>
    <w:p>
      <w:pPr>
        <w:pStyle w:val="BodyText"/>
        <w:spacing w:line="446" w:lineRule="auto"/>
        <w:ind w:left="418" w:right="1609" w:firstLine="419"/>
        <w:rPr>
          <w:b/>
        </w:rPr>
      </w:pPr>
      <w:r>
        <w:rPr>
          <w:color w:val="333333"/>
        </w:rPr>
        <w:t>厂房内不宜设置地沟，确需设置时，其盖板应严密，地沟应采取防止可燃气体、可燃蒸气和粉尘、纤维在地沟积聚的有效措施，且应在与相邻厂房连通处采用防火材料密封。</w:t>
      </w:r>
      <w:r>
        <w:rPr>
          <w:b/>
          <w:color w:val="333333"/>
          <w:w w:val="99"/>
        </w:rPr>
        <w:t> </w:t>
      </w:r>
    </w:p>
    <w:p>
      <w:pPr>
        <w:pStyle w:val="ListParagraph"/>
        <w:numPr>
          <w:ilvl w:val="2"/>
          <w:numId w:val="239"/>
        </w:numPr>
        <w:tabs>
          <w:tab w:pos="1370" w:val="left" w:leader="none"/>
        </w:tabs>
        <w:spacing w:line="446" w:lineRule="auto" w:before="0" w:after="0"/>
        <w:ind w:left="418" w:right="1604" w:firstLine="422"/>
        <w:jc w:val="left"/>
        <w:rPr>
          <w:sz w:val="21"/>
        </w:rPr>
      </w:pPr>
      <w:r>
        <w:rPr>
          <w:color w:val="333333"/>
          <w:spacing w:val="-3"/>
          <w:sz w:val="21"/>
        </w:rPr>
        <w:t>有爆炸危险的甲、乙类生产部位，宜布置在单层厂房靠外墙的泄压设施或多层厂房顶层靠外墙的泄压设施附近。</w:t>
      </w:r>
      <w:r>
        <w:rPr>
          <w:color w:val="333333"/>
          <w:sz w:val="21"/>
        </w:rPr>
        <w:t> </w:t>
      </w:r>
    </w:p>
    <w:p>
      <w:pPr>
        <w:pStyle w:val="BodyText"/>
        <w:spacing w:line="446" w:lineRule="auto"/>
        <w:ind w:left="840" w:right="4026" w:hanging="3"/>
      </w:pPr>
      <w:r>
        <w:rPr>
          <w:color w:val="333333"/>
        </w:rPr>
        <w:t>有爆炸危险的设备宜避开厂房的梁、柱等主要承重构件布置。</w:t>
      </w:r>
      <w:r>
        <w:rPr>
          <w:b/>
          <w:color w:val="333333"/>
        </w:rPr>
        <w:t>3.6.8 </w:t>
      </w:r>
      <w:r>
        <w:rPr>
          <w:color w:val="333333"/>
        </w:rPr>
        <w:t>有爆炸危险的甲、乙类厂房的总控制室应独立设置</w:t>
      </w:r>
      <w:r>
        <w:rPr>
          <w:b/>
          <w:color w:val="333333"/>
        </w:rPr>
        <w:t>。</w:t>
      </w:r>
      <w:r>
        <w:rPr>
          <w:color w:val="333333"/>
          <w:w w:val="100"/>
        </w:rPr>
        <w:t> </w:t>
      </w:r>
    </w:p>
    <w:p>
      <w:pPr>
        <w:spacing w:after="0" w:line="446" w:lineRule="auto"/>
        <w:sectPr>
          <w:pgSz w:w="11910" w:h="16850"/>
          <w:pgMar w:header="0" w:footer="1239" w:top="1220" w:bottom="1420" w:left="1260" w:right="0"/>
        </w:sectPr>
      </w:pPr>
    </w:p>
    <w:p>
      <w:pPr>
        <w:pStyle w:val="ListParagraph"/>
        <w:numPr>
          <w:ilvl w:val="2"/>
          <w:numId w:val="247"/>
        </w:numPr>
        <w:tabs>
          <w:tab w:pos="1371" w:val="left" w:leader="none"/>
        </w:tabs>
        <w:spacing w:line="446" w:lineRule="auto" w:before="47" w:after="0"/>
        <w:ind w:left="418" w:right="1604" w:firstLine="422"/>
        <w:jc w:val="both"/>
        <w:rPr>
          <w:sz w:val="21"/>
        </w:rPr>
      </w:pPr>
      <w:r>
        <w:rPr>
          <w:color w:val="333333"/>
          <w:spacing w:val="-3"/>
          <w:sz w:val="21"/>
        </w:rPr>
        <w:t>有爆炸危险的甲、乙类厂房的分控制室宜独立设置，当贴邻外墙设置时，应采用耐</w:t>
      </w:r>
      <w:r>
        <w:rPr>
          <w:color w:val="333333"/>
          <w:spacing w:val="-11"/>
          <w:sz w:val="21"/>
        </w:rPr>
        <w:t>火极限不低于 </w:t>
      </w:r>
      <w:r>
        <w:rPr>
          <w:color w:val="333333"/>
          <w:sz w:val="21"/>
        </w:rPr>
        <w:t>3.00h</w:t>
      </w:r>
      <w:r>
        <w:rPr>
          <w:color w:val="333333"/>
          <w:spacing w:val="-3"/>
          <w:sz w:val="21"/>
        </w:rPr>
        <w:t> 的防火隔墙与其他部位分隔。 </w:t>
      </w:r>
    </w:p>
    <w:p>
      <w:pPr>
        <w:pStyle w:val="ListParagraph"/>
        <w:numPr>
          <w:ilvl w:val="2"/>
          <w:numId w:val="247"/>
        </w:numPr>
        <w:tabs>
          <w:tab w:pos="1478" w:val="left" w:leader="none"/>
        </w:tabs>
        <w:spacing w:line="446" w:lineRule="auto" w:before="0" w:after="0"/>
        <w:ind w:left="418" w:right="1496" w:firstLine="422"/>
        <w:jc w:val="both"/>
        <w:rPr>
          <w:sz w:val="21"/>
        </w:rPr>
      </w:pPr>
      <w:r>
        <w:rPr>
          <w:color w:val="333333"/>
          <w:spacing w:val="-3"/>
          <w:sz w:val="21"/>
        </w:rPr>
        <w:t>有爆炸危险区域内的楼梯间、室外楼梯或有爆炸危险的区域与相邻区域连通处，应</w:t>
      </w:r>
      <w:r>
        <w:rPr>
          <w:color w:val="333333"/>
          <w:spacing w:val="-5"/>
          <w:sz w:val="21"/>
        </w:rPr>
        <w:t>设置门斗等防护措施。门斗的隔墙应为耐火极限不应低于 </w:t>
      </w:r>
      <w:r>
        <w:rPr>
          <w:color w:val="333333"/>
          <w:sz w:val="21"/>
        </w:rPr>
        <w:t>2.00h</w:t>
      </w:r>
      <w:r>
        <w:rPr>
          <w:color w:val="333333"/>
          <w:spacing w:val="-3"/>
          <w:sz w:val="21"/>
        </w:rPr>
        <w:t> 的防火隔墙，门应采用甲级防火门并应与楼梯间的门错位设置。</w:t>
      </w:r>
      <w:r>
        <w:rPr>
          <w:color w:val="333333"/>
          <w:sz w:val="21"/>
        </w:rPr>
        <w:t> </w:t>
      </w:r>
    </w:p>
    <w:p>
      <w:pPr>
        <w:pStyle w:val="ListParagraph"/>
        <w:numPr>
          <w:ilvl w:val="2"/>
          <w:numId w:val="247"/>
        </w:numPr>
        <w:tabs>
          <w:tab w:pos="1478" w:val="left" w:leader="none"/>
        </w:tabs>
        <w:spacing w:line="446" w:lineRule="auto" w:before="0" w:after="0"/>
        <w:ind w:left="418" w:right="1601" w:firstLine="422"/>
        <w:jc w:val="left"/>
        <w:rPr>
          <w:b/>
          <w:sz w:val="21"/>
        </w:rPr>
      </w:pPr>
      <w:r>
        <w:rPr>
          <w:color w:val="333333"/>
          <w:spacing w:val="-3"/>
          <w:sz w:val="21"/>
        </w:rPr>
        <w:t>使用和生产甲、乙、丙类液体的厂房，其管、沟不应与相邻厂房的管、沟相通，下水道应设置隔油设施。</w:t>
      </w:r>
      <w:r>
        <w:rPr>
          <w:b/>
          <w:color w:val="333333"/>
          <w:w w:val="99"/>
          <w:sz w:val="21"/>
        </w:rPr>
        <w:t> </w:t>
      </w:r>
    </w:p>
    <w:p>
      <w:pPr>
        <w:pStyle w:val="ListParagraph"/>
        <w:numPr>
          <w:ilvl w:val="2"/>
          <w:numId w:val="247"/>
        </w:numPr>
        <w:tabs>
          <w:tab w:pos="1478" w:val="left" w:leader="none"/>
        </w:tabs>
        <w:spacing w:line="446" w:lineRule="auto" w:before="0" w:after="0"/>
        <w:ind w:left="418" w:right="1498" w:firstLine="422"/>
        <w:jc w:val="left"/>
        <w:rPr>
          <w:b/>
          <w:sz w:val="21"/>
        </w:rPr>
      </w:pPr>
      <w:r>
        <w:rPr>
          <w:color w:val="333333"/>
          <w:spacing w:val="-3"/>
          <w:sz w:val="21"/>
        </w:rPr>
        <w:t>甲、乙、丙类液体仓库应设置防止液体流散的设施。遇湿会发生燃烧爆炸的物品仓库应采取防止水浸渍的措施。</w:t>
      </w:r>
      <w:r>
        <w:rPr>
          <w:b/>
          <w:color w:val="333333"/>
          <w:w w:val="99"/>
          <w:sz w:val="21"/>
        </w:rPr>
        <w:t> </w:t>
      </w:r>
    </w:p>
    <w:p>
      <w:pPr>
        <w:pStyle w:val="ListParagraph"/>
        <w:numPr>
          <w:ilvl w:val="2"/>
          <w:numId w:val="247"/>
        </w:numPr>
        <w:tabs>
          <w:tab w:pos="1478" w:val="left" w:leader="none"/>
        </w:tabs>
        <w:spacing w:line="240" w:lineRule="auto" w:before="0" w:after="0"/>
        <w:ind w:left="1477" w:right="0" w:hanging="638"/>
        <w:jc w:val="left"/>
        <w:rPr>
          <w:sz w:val="21"/>
        </w:rPr>
      </w:pPr>
      <w:r>
        <w:rPr>
          <w:color w:val="333333"/>
          <w:spacing w:val="-3"/>
          <w:sz w:val="21"/>
        </w:rPr>
        <w:t>有粉尘爆炸危险的筒仓，其顶部盖板应设置必要的泄压设施。</w:t>
      </w:r>
      <w:r>
        <w:rPr>
          <w:color w:val="333333"/>
          <w:sz w:val="21"/>
        </w:rPr>
        <w:t> </w:t>
      </w:r>
    </w:p>
    <w:p>
      <w:pPr>
        <w:pStyle w:val="BodyText"/>
        <w:spacing w:before="9"/>
        <w:rPr>
          <w:sz w:val="17"/>
        </w:rPr>
      </w:pPr>
    </w:p>
    <w:p>
      <w:pPr>
        <w:pStyle w:val="BodyText"/>
        <w:spacing w:line="446" w:lineRule="auto" w:before="1"/>
        <w:ind w:left="418" w:right="1498" w:firstLine="419"/>
      </w:pPr>
      <w:r>
        <w:rPr>
          <w:color w:val="333333"/>
        </w:rPr>
        <w:t>粮食筒仓工作塔和上通廊的泄压面积应按本规范第 3.6.4 条的规定计算确定。有粉尘爆炸危险的其他粮食储存设施应采取防爆措施。 </w:t>
      </w:r>
    </w:p>
    <w:p>
      <w:pPr>
        <w:pStyle w:val="ListParagraph"/>
        <w:numPr>
          <w:ilvl w:val="2"/>
          <w:numId w:val="247"/>
        </w:numPr>
        <w:tabs>
          <w:tab w:pos="1478" w:val="left" w:leader="none"/>
        </w:tabs>
        <w:spacing w:line="446" w:lineRule="auto" w:before="0" w:after="0"/>
        <w:ind w:left="418" w:right="1447" w:firstLine="422"/>
        <w:jc w:val="left"/>
        <w:rPr>
          <w:sz w:val="21"/>
        </w:rPr>
      </w:pPr>
      <w:r>
        <w:rPr>
          <w:color w:val="333333"/>
          <w:spacing w:val="-5"/>
          <w:sz w:val="21"/>
        </w:rPr>
        <w:t>有爆炸危险的仓库或仓库内有爆炸危险的部位，宜按本规范第 </w:t>
      </w:r>
      <w:r>
        <w:rPr>
          <w:color w:val="333333"/>
          <w:sz w:val="21"/>
        </w:rPr>
        <w:t>3.6</w:t>
      </w:r>
      <w:r>
        <w:rPr>
          <w:color w:val="333333"/>
          <w:spacing w:val="-1"/>
          <w:sz w:val="21"/>
        </w:rPr>
        <w:t> 节规定采取防爆</w:t>
      </w:r>
      <w:r>
        <w:rPr>
          <w:color w:val="333333"/>
          <w:spacing w:val="-3"/>
          <w:sz w:val="21"/>
        </w:rPr>
        <w:t>措施、设置泄压设施。</w:t>
      </w:r>
      <w:r>
        <w:rPr>
          <w:color w:val="333333"/>
          <w:sz w:val="21"/>
        </w:rPr>
        <w:t> </w:t>
      </w:r>
    </w:p>
    <w:p>
      <w:pPr>
        <w:pStyle w:val="ListParagraph"/>
        <w:numPr>
          <w:ilvl w:val="1"/>
          <w:numId w:val="239"/>
        </w:numPr>
        <w:tabs>
          <w:tab w:pos="1159" w:val="left" w:leader="none"/>
        </w:tabs>
        <w:spacing w:line="267" w:lineRule="exact" w:before="0" w:after="0"/>
        <w:ind w:left="1158" w:right="0" w:hanging="319"/>
        <w:jc w:val="left"/>
        <w:rPr>
          <w:b/>
          <w:sz w:val="21"/>
        </w:rPr>
      </w:pPr>
      <w:r>
        <w:rPr>
          <w:spacing w:val="-3"/>
          <w:sz w:val="21"/>
        </w:rPr>
        <w:t>厂房的安全疏散</w:t>
      </w:r>
      <w:r>
        <w:rPr>
          <w:b/>
          <w:w w:val="99"/>
          <w:sz w:val="21"/>
        </w:rPr>
        <w:t> </w:t>
      </w:r>
    </w:p>
    <w:p>
      <w:pPr>
        <w:pStyle w:val="BodyText"/>
        <w:spacing w:before="1"/>
        <w:rPr>
          <w:b/>
          <w:sz w:val="18"/>
        </w:rPr>
      </w:pPr>
    </w:p>
    <w:p>
      <w:pPr>
        <w:pStyle w:val="ListParagraph"/>
        <w:numPr>
          <w:ilvl w:val="2"/>
          <w:numId w:val="239"/>
        </w:numPr>
        <w:tabs>
          <w:tab w:pos="1370" w:val="left" w:leader="none"/>
        </w:tabs>
        <w:spacing w:line="240" w:lineRule="auto" w:before="0" w:after="0"/>
        <w:ind w:left="1369" w:right="0" w:hanging="530"/>
        <w:jc w:val="left"/>
        <w:rPr>
          <w:sz w:val="21"/>
        </w:rPr>
      </w:pPr>
      <w:r>
        <w:rPr>
          <w:color w:val="333333"/>
          <w:spacing w:val="-5"/>
          <w:sz w:val="21"/>
        </w:rPr>
        <w:t>厂房的安全出口应分散布置。每个防火分区或一个防火分区的每个楼层，其相邻 </w:t>
      </w:r>
      <w:r>
        <w:rPr>
          <w:color w:val="333333"/>
          <w:sz w:val="21"/>
        </w:rPr>
        <w:t>2 </w:t>
      </w:r>
    </w:p>
    <w:p>
      <w:pPr>
        <w:pStyle w:val="BodyText"/>
        <w:rPr>
          <w:sz w:val="18"/>
        </w:rPr>
      </w:pPr>
    </w:p>
    <w:p>
      <w:pPr>
        <w:pStyle w:val="BodyText"/>
        <w:ind w:left="418"/>
      </w:pPr>
      <w:r>
        <w:rPr>
          <w:color w:val="333333"/>
        </w:rPr>
        <w:t>个安全出口最近边缘之间的水平距离不应小于 5m。 </w:t>
      </w:r>
    </w:p>
    <w:p>
      <w:pPr>
        <w:pStyle w:val="BodyText"/>
        <w:spacing w:before="12"/>
        <w:rPr>
          <w:sz w:val="17"/>
        </w:rPr>
      </w:pPr>
    </w:p>
    <w:p>
      <w:pPr>
        <w:pStyle w:val="ListParagraph"/>
        <w:numPr>
          <w:ilvl w:val="2"/>
          <w:numId w:val="239"/>
        </w:numPr>
        <w:tabs>
          <w:tab w:pos="1371" w:val="left" w:leader="none"/>
        </w:tabs>
        <w:spacing w:line="446" w:lineRule="auto" w:before="0" w:after="0"/>
        <w:ind w:left="418" w:right="1498" w:firstLine="422"/>
        <w:jc w:val="left"/>
        <w:rPr>
          <w:sz w:val="21"/>
        </w:rPr>
      </w:pPr>
      <w:r>
        <w:rPr>
          <w:color w:val="333333"/>
          <w:spacing w:val="-3"/>
          <w:sz w:val="21"/>
        </w:rPr>
        <w:t>厂房内每个防火分区或一个防火分区内的每个楼层，其安全出口的数量应经计算确定</w:t>
      </w:r>
      <w:r>
        <w:rPr>
          <w:color w:val="333333"/>
          <w:spacing w:val="-11"/>
          <w:sz w:val="21"/>
        </w:rPr>
        <w:t>，且不应少于 </w:t>
      </w:r>
      <w:r>
        <w:rPr>
          <w:color w:val="333333"/>
          <w:sz w:val="21"/>
        </w:rPr>
        <w:t>2</w:t>
      </w:r>
      <w:r>
        <w:rPr>
          <w:color w:val="333333"/>
          <w:spacing w:val="-7"/>
          <w:sz w:val="21"/>
        </w:rPr>
        <w:t> 个；当符合下列条件时，可设置 </w:t>
      </w:r>
      <w:r>
        <w:rPr>
          <w:color w:val="333333"/>
          <w:sz w:val="21"/>
        </w:rPr>
        <w:t>1</w:t>
      </w:r>
      <w:r>
        <w:rPr>
          <w:color w:val="333333"/>
          <w:spacing w:val="-3"/>
          <w:sz w:val="21"/>
        </w:rPr>
        <w:t> 个安全出口：</w:t>
      </w:r>
      <w:r>
        <w:rPr>
          <w:color w:val="333333"/>
          <w:sz w:val="21"/>
        </w:rPr>
        <w:t> </w:t>
      </w:r>
    </w:p>
    <w:p>
      <w:pPr>
        <w:pStyle w:val="BodyText"/>
        <w:spacing w:line="270" w:lineRule="exact"/>
        <w:ind w:left="838"/>
      </w:pPr>
      <w:r>
        <w:rPr>
          <w:color w:val="333333"/>
          <w:w w:val="100"/>
        </w:rPr>
        <w:t> </w:t>
      </w:r>
      <w:r>
        <w:rPr>
          <w:color w:val="333333"/>
        </w:rPr>
        <w:t> 甲类厂房，每层建筑面积不大于 100m</w:t>
      </w:r>
      <w:r>
        <w:rPr>
          <w:color w:val="333333"/>
          <w:position w:val="11"/>
          <w:sz w:val="11"/>
        </w:rPr>
        <w:t>2</w:t>
      </w:r>
      <w:r>
        <w:rPr>
          <w:color w:val="333333"/>
        </w:rPr>
        <w:t>，且同一时间的作业人数不超过 5 人； </w:t>
      </w:r>
    </w:p>
    <w:p>
      <w:pPr>
        <w:pStyle w:val="BodyText"/>
        <w:spacing w:before="2"/>
        <w:rPr>
          <w:sz w:val="17"/>
        </w:rPr>
      </w:pPr>
    </w:p>
    <w:p>
      <w:pPr>
        <w:pStyle w:val="BodyText"/>
        <w:ind w:left="838"/>
      </w:pPr>
      <w:r>
        <w:rPr>
          <w:color w:val="333333"/>
          <w:w w:val="100"/>
        </w:rPr>
        <w:t> </w:t>
      </w:r>
      <w:r>
        <w:rPr>
          <w:color w:val="333333"/>
        </w:rPr>
        <w:t> </w:t>
      </w:r>
      <w:r>
        <w:rPr>
          <w:color w:val="333333"/>
          <w:spacing w:val="-6"/>
        </w:rPr>
        <w:t>乙类厂房，每层建筑面积不大于 </w:t>
      </w:r>
      <w:r>
        <w:rPr>
          <w:color w:val="333333"/>
        </w:rPr>
        <w:t>150m</w:t>
      </w:r>
      <w:r>
        <w:rPr>
          <w:color w:val="333333"/>
          <w:position w:val="11"/>
          <w:sz w:val="11"/>
        </w:rPr>
        <w:t>2</w:t>
      </w:r>
      <w:r>
        <w:rPr>
          <w:color w:val="333333"/>
          <w:spacing w:val="-6"/>
        </w:rPr>
        <w:t>，且同一时间的作业人数不超过 </w:t>
      </w:r>
      <w:r>
        <w:rPr>
          <w:color w:val="333333"/>
        </w:rPr>
        <w:t>10</w:t>
      </w:r>
      <w:r>
        <w:rPr>
          <w:color w:val="333333"/>
          <w:spacing w:val="-16"/>
        </w:rPr>
        <w:t> 人； </w:t>
      </w:r>
    </w:p>
    <w:p>
      <w:pPr>
        <w:pStyle w:val="BodyText"/>
        <w:spacing w:before="5"/>
        <w:rPr>
          <w:sz w:val="17"/>
        </w:rPr>
      </w:pPr>
    </w:p>
    <w:p>
      <w:pPr>
        <w:pStyle w:val="BodyText"/>
        <w:ind w:left="838"/>
      </w:pPr>
      <w:r>
        <w:rPr>
          <w:color w:val="333333"/>
          <w:w w:val="100"/>
        </w:rPr>
        <w:t> </w:t>
      </w:r>
      <w:r>
        <w:rPr>
          <w:color w:val="333333"/>
        </w:rPr>
        <w:t> </w:t>
      </w:r>
      <w:r>
        <w:rPr>
          <w:color w:val="333333"/>
          <w:spacing w:val="-6"/>
        </w:rPr>
        <w:t>丙类厂房，每层建筑面积不大于 </w:t>
      </w:r>
      <w:r>
        <w:rPr>
          <w:color w:val="333333"/>
        </w:rPr>
        <w:t>250m</w:t>
      </w:r>
      <w:r>
        <w:rPr>
          <w:color w:val="333333"/>
          <w:position w:val="11"/>
          <w:sz w:val="11"/>
        </w:rPr>
        <w:t>2</w:t>
      </w:r>
      <w:r>
        <w:rPr>
          <w:color w:val="333333"/>
          <w:spacing w:val="-6"/>
        </w:rPr>
        <w:t>，且同一时间的作业人数不超过 </w:t>
      </w:r>
      <w:r>
        <w:rPr>
          <w:color w:val="333333"/>
        </w:rPr>
        <w:t>20</w:t>
      </w:r>
      <w:r>
        <w:rPr>
          <w:color w:val="333333"/>
          <w:spacing w:val="-16"/>
        </w:rPr>
        <w:t> 人； </w:t>
      </w:r>
    </w:p>
    <w:p>
      <w:pPr>
        <w:pStyle w:val="BodyText"/>
        <w:spacing w:before="2"/>
        <w:rPr>
          <w:sz w:val="17"/>
        </w:rPr>
      </w:pPr>
    </w:p>
    <w:p>
      <w:pPr>
        <w:pStyle w:val="BodyText"/>
        <w:spacing w:before="1"/>
        <w:ind w:left="838"/>
        <w:jc w:val="both"/>
      </w:pPr>
      <w:r>
        <w:rPr>
          <w:color w:val="333333"/>
          <w:w w:val="100"/>
        </w:rPr>
        <w:t> </w:t>
      </w:r>
      <w:r>
        <w:rPr>
          <w:color w:val="333333"/>
        </w:rPr>
        <w:t> 丁、戊类厂房，每层建筑面积不大于 400m</w:t>
      </w:r>
      <w:r>
        <w:rPr>
          <w:color w:val="333333"/>
          <w:position w:val="11"/>
          <w:sz w:val="11"/>
        </w:rPr>
        <w:t>2</w:t>
      </w:r>
      <w:r>
        <w:rPr>
          <w:color w:val="333333"/>
        </w:rPr>
        <w:t>，且同一时间的作业人数不超过 30 人； </w:t>
      </w:r>
    </w:p>
    <w:p>
      <w:pPr>
        <w:pStyle w:val="BodyText"/>
        <w:spacing w:before="2"/>
        <w:rPr>
          <w:sz w:val="17"/>
        </w:rPr>
      </w:pPr>
    </w:p>
    <w:p>
      <w:pPr>
        <w:pStyle w:val="BodyText"/>
        <w:spacing w:line="446" w:lineRule="auto"/>
        <w:ind w:left="418" w:right="1606" w:firstLine="419"/>
        <w:jc w:val="both"/>
      </w:pPr>
      <w:r>
        <w:rPr>
          <w:color w:val="333333"/>
          <w:w w:val="100"/>
        </w:rPr>
        <w:t> </w:t>
      </w:r>
      <w:r>
        <w:rPr>
          <w:color w:val="333333"/>
        </w:rPr>
        <w:t> </w:t>
      </w:r>
      <w:r>
        <w:rPr>
          <w:color w:val="333333"/>
          <w:spacing w:val="-3"/>
        </w:rPr>
        <w:t>地下或半地下厂房</w:t>
      </w:r>
      <w:r>
        <w:rPr>
          <w:color w:val="333333"/>
        </w:rPr>
        <w:t>（</w:t>
      </w:r>
      <w:r>
        <w:rPr>
          <w:color w:val="333333"/>
          <w:spacing w:val="-3"/>
        </w:rPr>
        <w:t>包括地下或半地下室</w:t>
      </w:r>
      <w:r>
        <w:rPr>
          <w:color w:val="333333"/>
        </w:rPr>
        <w:t>）</w:t>
      </w:r>
      <w:r>
        <w:rPr>
          <w:color w:val="333333"/>
          <w:spacing w:val="-6"/>
        </w:rPr>
        <w:t>，每层建筑面积不大于 </w:t>
      </w:r>
      <w:r>
        <w:rPr>
          <w:color w:val="333333"/>
        </w:rPr>
        <w:t>50m</w:t>
      </w:r>
      <w:r>
        <w:rPr>
          <w:color w:val="333333"/>
          <w:position w:val="11"/>
          <w:sz w:val="11"/>
        </w:rPr>
        <w:t>2</w:t>
      </w:r>
      <w:r>
        <w:rPr>
          <w:color w:val="333333"/>
          <w:spacing w:val="-2"/>
        </w:rPr>
        <w:t>，且同一时间的</w:t>
      </w:r>
      <w:r>
        <w:rPr>
          <w:color w:val="333333"/>
          <w:spacing w:val="-10"/>
        </w:rPr>
        <w:t>作业人数不超过 </w:t>
      </w:r>
      <w:r>
        <w:rPr>
          <w:color w:val="333333"/>
        </w:rPr>
        <w:t>15</w:t>
      </w:r>
      <w:r>
        <w:rPr>
          <w:color w:val="333333"/>
          <w:spacing w:val="-19"/>
        </w:rPr>
        <w:t> 人。 </w:t>
      </w:r>
    </w:p>
    <w:p>
      <w:pPr>
        <w:pStyle w:val="ListParagraph"/>
        <w:numPr>
          <w:ilvl w:val="2"/>
          <w:numId w:val="239"/>
        </w:numPr>
        <w:tabs>
          <w:tab w:pos="1370" w:val="left" w:leader="none"/>
        </w:tabs>
        <w:spacing w:line="446" w:lineRule="auto" w:before="0" w:after="0"/>
        <w:ind w:left="418" w:right="1604" w:firstLine="422"/>
        <w:jc w:val="both"/>
        <w:rPr>
          <w:b/>
          <w:sz w:val="21"/>
        </w:rPr>
      </w:pPr>
      <w:r>
        <w:rPr>
          <w:color w:val="333333"/>
          <w:spacing w:val="-3"/>
          <w:sz w:val="21"/>
        </w:rPr>
        <w:t>地下或半地下厂房</w:t>
      </w:r>
      <w:r>
        <w:rPr>
          <w:color w:val="333333"/>
          <w:sz w:val="21"/>
        </w:rPr>
        <w:t>（</w:t>
      </w:r>
      <w:r>
        <w:rPr>
          <w:color w:val="333333"/>
          <w:spacing w:val="-3"/>
          <w:sz w:val="21"/>
        </w:rPr>
        <w:t>包括地下或半地下室</w:t>
      </w:r>
      <w:r>
        <w:rPr>
          <w:color w:val="333333"/>
          <w:sz w:val="21"/>
        </w:rPr>
        <w:t>）</w:t>
      </w:r>
      <w:r>
        <w:rPr>
          <w:color w:val="333333"/>
          <w:spacing w:val="-3"/>
          <w:sz w:val="21"/>
        </w:rPr>
        <w:t>，当有多个防火分区相邻布置，并采用防火墙分隔时，每个防火分区可利用防火墙上通向相邻防火分区的甲级防火门作为第二安全出</w:t>
      </w:r>
      <w:r>
        <w:rPr>
          <w:color w:val="333333"/>
          <w:spacing w:val="-7"/>
          <w:sz w:val="21"/>
        </w:rPr>
        <w:t>口，但每个防火分区必须至少有 </w:t>
      </w:r>
      <w:r>
        <w:rPr>
          <w:color w:val="333333"/>
          <w:sz w:val="21"/>
        </w:rPr>
        <w:t>1</w:t>
      </w:r>
      <w:r>
        <w:rPr>
          <w:color w:val="333333"/>
          <w:spacing w:val="-3"/>
          <w:sz w:val="21"/>
        </w:rPr>
        <w:t> 个直通室外的独立安全出口。</w:t>
      </w:r>
      <w:r>
        <w:rPr>
          <w:b/>
          <w:color w:val="333333"/>
          <w:w w:val="99"/>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239"/>
        </w:numPr>
        <w:tabs>
          <w:tab w:pos="1370" w:val="left" w:leader="none"/>
        </w:tabs>
        <w:spacing w:line="240" w:lineRule="auto" w:before="47" w:after="0"/>
        <w:ind w:left="1369" w:right="0" w:hanging="530"/>
        <w:jc w:val="left"/>
        <w:rPr>
          <w:sz w:val="21"/>
        </w:rPr>
      </w:pPr>
      <w:r>
        <w:rPr>
          <w:color w:val="333333"/>
          <w:spacing w:val="-6"/>
          <w:sz w:val="21"/>
        </w:rPr>
        <w:t>厂房内任一点至最近安全出口的直线距离不应大于表 </w:t>
      </w:r>
      <w:r>
        <w:rPr>
          <w:color w:val="333333"/>
          <w:sz w:val="21"/>
        </w:rPr>
        <w:t>3.7.4</w:t>
      </w:r>
      <w:r>
        <w:rPr>
          <w:color w:val="333333"/>
          <w:spacing w:val="-3"/>
          <w:sz w:val="21"/>
        </w:rPr>
        <w:t> 的规定。 </w:t>
      </w:r>
    </w:p>
    <w:p>
      <w:pPr>
        <w:pStyle w:val="BodyText"/>
        <w:rPr>
          <w:sz w:val="18"/>
        </w:rPr>
      </w:pPr>
    </w:p>
    <w:p>
      <w:pPr>
        <w:pStyle w:val="Heading6"/>
        <w:ind w:left="2412"/>
      </w:pPr>
      <w:r>
        <w:rPr/>
        <w:t>表 3.7.4 厂房内任一点至最近安全出口的直线距离（m）</w:t>
      </w:r>
      <w:r>
        <w:rPr>
          <w:w w:val="99"/>
        </w:rPr>
        <w:t> </w:t>
      </w:r>
    </w:p>
    <w:p>
      <w:pPr>
        <w:pStyle w:val="BodyText"/>
        <w:spacing w:before="7"/>
        <w:rPr>
          <w:b/>
          <w:sz w:val="14"/>
        </w:rPr>
      </w:pPr>
      <w:r>
        <w:rPr/>
        <w:drawing>
          <wp:anchor distT="0" distB="0" distL="0" distR="0" allowOverlap="1" layoutInCell="1" locked="0" behindDoc="0" simplePos="0" relativeHeight="75">
            <wp:simplePos x="0" y="0"/>
            <wp:positionH relativeFrom="page">
              <wp:posOffset>1103630</wp:posOffset>
            </wp:positionH>
            <wp:positionV relativeFrom="paragraph">
              <wp:posOffset>143160</wp:posOffset>
            </wp:positionV>
            <wp:extent cx="5304794" cy="2743200"/>
            <wp:effectExtent l="0" t="0" r="0" b="0"/>
            <wp:wrapTopAndBottom/>
            <wp:docPr id="173" name="image114.jpeg"/>
            <wp:cNvGraphicFramePr>
              <a:graphicFrameLocks noChangeAspect="1"/>
            </wp:cNvGraphicFramePr>
            <a:graphic>
              <a:graphicData uri="http://schemas.openxmlformats.org/drawingml/2006/picture">
                <pic:pic>
                  <pic:nvPicPr>
                    <pic:cNvPr id="174" name="image114.jpeg"/>
                    <pic:cNvPicPr/>
                  </pic:nvPicPr>
                  <pic:blipFill>
                    <a:blip r:embed="rId122" cstate="print"/>
                    <a:stretch>
                      <a:fillRect/>
                    </a:stretch>
                  </pic:blipFill>
                  <pic:spPr>
                    <a:xfrm>
                      <a:off x="0" y="0"/>
                      <a:ext cx="5304794" cy="2743200"/>
                    </a:xfrm>
                    <a:prstGeom prst="rect">
                      <a:avLst/>
                    </a:prstGeom>
                  </pic:spPr>
                </pic:pic>
              </a:graphicData>
            </a:graphic>
          </wp:anchor>
        </w:drawing>
      </w:r>
    </w:p>
    <w:p>
      <w:pPr>
        <w:pStyle w:val="ListParagraph"/>
        <w:numPr>
          <w:ilvl w:val="2"/>
          <w:numId w:val="239"/>
        </w:numPr>
        <w:tabs>
          <w:tab w:pos="1371" w:val="left" w:leader="none"/>
        </w:tabs>
        <w:spacing w:line="446" w:lineRule="auto" w:before="147" w:after="0"/>
        <w:ind w:left="418" w:right="1508" w:firstLine="422"/>
        <w:jc w:val="left"/>
        <w:rPr>
          <w:sz w:val="21"/>
        </w:rPr>
      </w:pPr>
      <w:r>
        <w:rPr>
          <w:color w:val="333333"/>
          <w:spacing w:val="-5"/>
          <w:sz w:val="21"/>
        </w:rPr>
        <w:t>厂房内疏散楼梯、走道、门的各自总净宽度，应根据疏散人数按每 </w:t>
      </w:r>
      <w:r>
        <w:rPr>
          <w:color w:val="333333"/>
          <w:sz w:val="21"/>
        </w:rPr>
        <w:t>100 人的最小疏</w:t>
      </w:r>
      <w:r>
        <w:rPr>
          <w:color w:val="333333"/>
          <w:spacing w:val="-8"/>
          <w:sz w:val="21"/>
        </w:rPr>
        <w:t>散净宽度不小于表 </w:t>
      </w:r>
      <w:r>
        <w:rPr>
          <w:color w:val="333333"/>
          <w:sz w:val="21"/>
        </w:rPr>
        <w:t>3.7.5</w:t>
      </w:r>
      <w:r>
        <w:rPr>
          <w:color w:val="333333"/>
          <w:spacing w:val="-5"/>
          <w:sz w:val="21"/>
        </w:rPr>
        <w:t> 的规定计算确定。但疏散楼梯的最小净宽度不宜小于 </w:t>
      </w:r>
      <w:r>
        <w:rPr>
          <w:color w:val="333333"/>
          <w:sz w:val="21"/>
        </w:rPr>
        <w:t>1.10m</w:t>
      </w:r>
      <w:r>
        <w:rPr>
          <w:color w:val="333333"/>
          <w:spacing w:val="-1"/>
          <w:sz w:val="21"/>
        </w:rPr>
        <w:t>，疏散走</w:t>
      </w:r>
      <w:r>
        <w:rPr>
          <w:color w:val="333333"/>
          <w:spacing w:val="-6"/>
          <w:sz w:val="21"/>
        </w:rPr>
        <w:t>道的最小净宽度不宜小于 </w:t>
      </w:r>
      <w:r>
        <w:rPr>
          <w:color w:val="333333"/>
          <w:sz w:val="21"/>
        </w:rPr>
        <w:t>1.40m</w:t>
      </w:r>
      <w:r>
        <w:rPr>
          <w:color w:val="333333"/>
          <w:spacing w:val="-6"/>
          <w:sz w:val="21"/>
        </w:rPr>
        <w:t>，门的最小净宽度不宜小于 </w:t>
      </w:r>
      <w:r>
        <w:rPr>
          <w:color w:val="333333"/>
          <w:sz w:val="21"/>
        </w:rPr>
        <w:t>0.90m</w:t>
      </w:r>
      <w:r>
        <w:rPr>
          <w:color w:val="333333"/>
          <w:spacing w:val="-3"/>
          <w:sz w:val="21"/>
        </w:rPr>
        <w:t>。当每层疏散人数不相等时， 疏散楼梯的总净宽度应分层计算，下层楼梯总净宽度应按该层及以上疏散人数最多一层的疏散人数计算。</w:t>
      </w:r>
      <w:r>
        <w:rPr>
          <w:color w:val="333333"/>
          <w:sz w:val="21"/>
        </w:rPr>
        <w:t> </w:t>
      </w:r>
    </w:p>
    <w:p>
      <w:pPr>
        <w:pStyle w:val="Heading6"/>
        <w:spacing w:line="268" w:lineRule="exact"/>
        <w:ind w:left="1488"/>
      </w:pPr>
      <w:r>
        <w:rPr/>
        <w:t>表 3.7.5 厂房内疏散楼梯、走道和门的每 100 人最小疏散净宽度（m/百人）</w:t>
      </w:r>
      <w:r>
        <w:rPr>
          <w:w w:val="99"/>
        </w:rPr>
        <w:t> </w:t>
      </w:r>
    </w:p>
    <w:p>
      <w:pPr>
        <w:pStyle w:val="BodyText"/>
        <w:spacing w:before="10"/>
        <w:rPr>
          <w:b/>
          <w:sz w:val="12"/>
        </w:rPr>
      </w:pPr>
      <w:r>
        <w:rPr/>
        <w:drawing>
          <wp:anchor distT="0" distB="0" distL="0" distR="0" allowOverlap="1" layoutInCell="1" locked="0" behindDoc="0" simplePos="0" relativeHeight="76">
            <wp:simplePos x="0" y="0"/>
            <wp:positionH relativeFrom="page">
              <wp:posOffset>1208405</wp:posOffset>
            </wp:positionH>
            <wp:positionV relativeFrom="paragraph">
              <wp:posOffset>129373</wp:posOffset>
            </wp:positionV>
            <wp:extent cx="5162740" cy="695325"/>
            <wp:effectExtent l="0" t="0" r="0" b="0"/>
            <wp:wrapTopAndBottom/>
            <wp:docPr id="175" name="image115.jpeg"/>
            <wp:cNvGraphicFramePr>
              <a:graphicFrameLocks noChangeAspect="1"/>
            </wp:cNvGraphicFramePr>
            <a:graphic>
              <a:graphicData uri="http://schemas.openxmlformats.org/drawingml/2006/picture">
                <pic:pic>
                  <pic:nvPicPr>
                    <pic:cNvPr id="176" name="image115.jpeg"/>
                    <pic:cNvPicPr/>
                  </pic:nvPicPr>
                  <pic:blipFill>
                    <a:blip r:embed="rId123" cstate="print"/>
                    <a:stretch>
                      <a:fillRect/>
                    </a:stretch>
                  </pic:blipFill>
                  <pic:spPr>
                    <a:xfrm>
                      <a:off x="0" y="0"/>
                      <a:ext cx="5162740" cy="695325"/>
                    </a:xfrm>
                    <a:prstGeom prst="rect">
                      <a:avLst/>
                    </a:prstGeom>
                  </pic:spPr>
                </pic:pic>
              </a:graphicData>
            </a:graphic>
          </wp:anchor>
        </w:drawing>
      </w:r>
    </w:p>
    <w:p>
      <w:pPr>
        <w:pStyle w:val="BodyText"/>
        <w:spacing w:line="446" w:lineRule="auto" w:before="168"/>
        <w:ind w:left="418" w:right="1611" w:firstLine="419"/>
      </w:pPr>
      <w:r>
        <w:rPr>
          <w:color w:val="333333"/>
        </w:rPr>
        <w:t>首层外门的总净宽度应按该层及以上疏散人数最多一层的疏散人数计算，且该门的最小净宽度不应小于 1.20m。 </w:t>
      </w:r>
    </w:p>
    <w:p>
      <w:pPr>
        <w:pStyle w:val="ListParagraph"/>
        <w:numPr>
          <w:ilvl w:val="2"/>
          <w:numId w:val="239"/>
        </w:numPr>
        <w:tabs>
          <w:tab w:pos="1371" w:val="left" w:leader="none"/>
        </w:tabs>
        <w:spacing w:line="446" w:lineRule="auto" w:before="0" w:after="0"/>
        <w:ind w:left="418" w:right="1498" w:firstLine="422"/>
        <w:jc w:val="left"/>
        <w:rPr>
          <w:sz w:val="21"/>
        </w:rPr>
      </w:pPr>
      <w:r>
        <w:rPr>
          <w:color w:val="333333"/>
          <w:spacing w:val="-3"/>
          <w:sz w:val="21"/>
        </w:rPr>
        <w:t>高层厂房和甲、乙、丙类多层厂房的疏散楼梯应采用封闭楼梯间或室外楼梯。建筑高</w:t>
      </w:r>
      <w:r>
        <w:rPr>
          <w:color w:val="333333"/>
          <w:spacing w:val="-15"/>
          <w:sz w:val="21"/>
        </w:rPr>
        <w:t>度大于 </w:t>
      </w:r>
      <w:r>
        <w:rPr>
          <w:color w:val="333333"/>
          <w:sz w:val="21"/>
        </w:rPr>
        <w:t>32m</w:t>
      </w:r>
      <w:r>
        <w:rPr>
          <w:color w:val="333333"/>
          <w:spacing w:val="-8"/>
          <w:sz w:val="21"/>
        </w:rPr>
        <w:t> 且任一层人数超过 </w:t>
      </w:r>
      <w:r>
        <w:rPr>
          <w:color w:val="333333"/>
          <w:sz w:val="21"/>
        </w:rPr>
        <w:t>10</w:t>
      </w:r>
      <w:r>
        <w:rPr>
          <w:color w:val="333333"/>
          <w:spacing w:val="-3"/>
          <w:sz w:val="21"/>
        </w:rPr>
        <w:t> 人的厂房，应采用防烟楼梯间或室外楼梯。</w:t>
      </w:r>
      <w:r>
        <w:rPr>
          <w:color w:val="333333"/>
          <w:sz w:val="21"/>
        </w:rPr>
        <w:t> </w:t>
      </w:r>
    </w:p>
    <w:p>
      <w:pPr>
        <w:pStyle w:val="ListParagraph"/>
        <w:numPr>
          <w:ilvl w:val="1"/>
          <w:numId w:val="239"/>
        </w:numPr>
        <w:tabs>
          <w:tab w:pos="1159" w:val="left" w:leader="none"/>
        </w:tabs>
        <w:spacing w:line="267" w:lineRule="exact" w:before="0" w:after="0"/>
        <w:ind w:left="1158" w:right="0" w:hanging="319"/>
        <w:jc w:val="left"/>
        <w:rPr>
          <w:b/>
          <w:sz w:val="21"/>
        </w:rPr>
      </w:pPr>
      <w:r>
        <w:rPr>
          <w:spacing w:val="-3"/>
          <w:sz w:val="21"/>
        </w:rPr>
        <w:t>仓库的安全疏散</w:t>
      </w:r>
      <w:r>
        <w:rPr>
          <w:b/>
          <w:w w:val="99"/>
          <w:sz w:val="21"/>
        </w:rPr>
        <w:t> </w:t>
      </w:r>
    </w:p>
    <w:p>
      <w:pPr>
        <w:pStyle w:val="BodyText"/>
        <w:spacing w:before="1"/>
        <w:rPr>
          <w:b/>
          <w:sz w:val="18"/>
        </w:rPr>
      </w:pPr>
    </w:p>
    <w:p>
      <w:pPr>
        <w:pStyle w:val="ListParagraph"/>
        <w:numPr>
          <w:ilvl w:val="2"/>
          <w:numId w:val="239"/>
        </w:numPr>
        <w:tabs>
          <w:tab w:pos="1370" w:val="left" w:leader="none"/>
        </w:tabs>
        <w:spacing w:line="240" w:lineRule="auto" w:before="0" w:after="0"/>
        <w:ind w:left="1369" w:right="0" w:hanging="530"/>
        <w:jc w:val="left"/>
        <w:rPr>
          <w:sz w:val="21"/>
        </w:rPr>
      </w:pPr>
      <w:r>
        <w:rPr>
          <w:color w:val="333333"/>
          <w:spacing w:val="-5"/>
          <w:sz w:val="21"/>
        </w:rPr>
        <w:t>仓库的安全出口应分散布置。每个防火分区或一个防火分区的每个楼层，其相邻 </w:t>
      </w:r>
      <w:r>
        <w:rPr>
          <w:color w:val="333333"/>
          <w:sz w:val="21"/>
        </w:rPr>
        <w:t>2 </w:t>
      </w:r>
    </w:p>
    <w:p>
      <w:pPr>
        <w:pStyle w:val="BodyText"/>
        <w:rPr>
          <w:sz w:val="18"/>
        </w:rPr>
      </w:pPr>
    </w:p>
    <w:p>
      <w:pPr>
        <w:pStyle w:val="BodyText"/>
        <w:ind w:left="418"/>
      </w:pPr>
      <w:r>
        <w:rPr>
          <w:color w:val="333333"/>
        </w:rPr>
        <w:t>个安全出口最近边缘之间的水平距离不应小于 5m。 </w:t>
      </w:r>
    </w:p>
    <w:p>
      <w:pPr>
        <w:pStyle w:val="ListParagraph"/>
        <w:numPr>
          <w:ilvl w:val="2"/>
          <w:numId w:val="239"/>
        </w:numPr>
        <w:tabs>
          <w:tab w:pos="1370" w:val="left" w:leader="none"/>
        </w:tabs>
        <w:spacing w:line="502" w:lineRule="exact" w:before="39" w:after="0"/>
        <w:ind w:left="418" w:right="1498" w:firstLine="422"/>
        <w:jc w:val="left"/>
        <w:rPr>
          <w:sz w:val="21"/>
        </w:rPr>
      </w:pPr>
      <w:r>
        <w:rPr>
          <w:color w:val="333333"/>
          <w:spacing w:val="-7"/>
          <w:sz w:val="21"/>
        </w:rPr>
        <w:t>每座仓库的安全出口不应少于 </w:t>
      </w:r>
      <w:r>
        <w:rPr>
          <w:color w:val="333333"/>
          <w:sz w:val="21"/>
        </w:rPr>
        <w:t>2</w:t>
      </w:r>
      <w:r>
        <w:rPr>
          <w:color w:val="333333"/>
          <w:spacing w:val="-12"/>
          <w:sz w:val="21"/>
        </w:rPr>
        <w:t> 个，当一座仓库的占地面积不大于 </w:t>
      </w:r>
      <w:r>
        <w:rPr>
          <w:color w:val="333333"/>
          <w:sz w:val="21"/>
        </w:rPr>
        <w:t>300m</w:t>
      </w:r>
      <w:r>
        <w:rPr>
          <w:color w:val="333333"/>
          <w:position w:val="11"/>
          <w:sz w:val="11"/>
        </w:rPr>
        <w:t>2</w:t>
      </w:r>
      <w:r>
        <w:rPr>
          <w:color w:val="333333"/>
          <w:spacing w:val="2"/>
          <w:sz w:val="11"/>
        </w:rPr>
        <w:t>   </w:t>
      </w:r>
      <w:r>
        <w:rPr>
          <w:color w:val="333333"/>
          <w:spacing w:val="-3"/>
          <w:sz w:val="21"/>
        </w:rPr>
        <w:t>时，可设</w:t>
      </w:r>
      <w:r>
        <w:rPr>
          <w:color w:val="333333"/>
          <w:spacing w:val="-25"/>
          <w:sz w:val="21"/>
        </w:rPr>
        <w:t>置 </w:t>
      </w:r>
      <w:r>
        <w:rPr>
          <w:color w:val="333333"/>
          <w:sz w:val="21"/>
        </w:rPr>
        <w:t>1</w:t>
      </w:r>
      <w:r>
        <w:rPr>
          <w:color w:val="333333"/>
          <w:spacing w:val="-10"/>
          <w:sz w:val="21"/>
        </w:rPr>
        <w:t> 个安全出口。仓库内每个防火分区通向疏散走道、楼梯或室外的出口不宜少于 </w:t>
      </w:r>
      <w:r>
        <w:rPr>
          <w:color w:val="333333"/>
          <w:sz w:val="21"/>
        </w:rPr>
        <w:t>2</w:t>
      </w:r>
      <w:r>
        <w:rPr>
          <w:color w:val="333333"/>
          <w:spacing w:val="-12"/>
          <w:sz w:val="21"/>
        </w:rPr>
        <w:t> 个，当防</w:t>
      </w:r>
    </w:p>
    <w:p>
      <w:pPr>
        <w:spacing w:after="0" w:line="502" w:lineRule="exact"/>
        <w:jc w:val="left"/>
        <w:rPr>
          <w:sz w:val="21"/>
        </w:rPr>
        <w:sectPr>
          <w:pgSz w:w="11910" w:h="16850"/>
          <w:pgMar w:header="0" w:footer="1239" w:top="1220" w:bottom="1420" w:left="1260" w:right="0"/>
        </w:sectPr>
      </w:pPr>
    </w:p>
    <w:p>
      <w:pPr>
        <w:pStyle w:val="BodyText"/>
        <w:spacing w:line="446" w:lineRule="auto" w:before="57"/>
        <w:ind w:left="418" w:right="1604"/>
        <w:jc w:val="both"/>
        <w:rPr>
          <w:b/>
        </w:rPr>
      </w:pPr>
      <w:r>
        <w:rPr>
          <w:color w:val="333333"/>
          <w:spacing w:val="-7"/>
        </w:rPr>
        <w:t>火分区的建筑面积不大于 </w:t>
      </w:r>
      <w:r>
        <w:rPr>
          <w:color w:val="333333"/>
        </w:rPr>
        <w:t>100m</w:t>
      </w:r>
      <w:r>
        <w:rPr>
          <w:color w:val="333333"/>
          <w:position w:val="11"/>
          <w:sz w:val="11"/>
        </w:rPr>
        <w:t>2 </w:t>
      </w:r>
      <w:r>
        <w:rPr>
          <w:color w:val="333333"/>
          <w:spacing w:val="-10"/>
        </w:rPr>
        <w:t>时，可设置 </w:t>
      </w:r>
      <w:r>
        <w:rPr>
          <w:color w:val="333333"/>
        </w:rPr>
        <w:t>1</w:t>
      </w:r>
      <w:r>
        <w:rPr>
          <w:color w:val="333333"/>
          <w:spacing w:val="-8"/>
        </w:rPr>
        <w:t> 个出口。通向疏散走道或楼梯的门应为乙级防火</w:t>
      </w:r>
      <w:r>
        <w:rPr>
          <w:color w:val="333333"/>
          <w:spacing w:val="-6"/>
        </w:rPr>
        <w:t>门。</w:t>
      </w:r>
      <w:r>
        <w:rPr>
          <w:b/>
          <w:color w:val="333333"/>
          <w:w w:val="99"/>
        </w:rPr>
        <w:t> </w:t>
      </w:r>
    </w:p>
    <w:p>
      <w:pPr>
        <w:pStyle w:val="ListParagraph"/>
        <w:numPr>
          <w:ilvl w:val="2"/>
          <w:numId w:val="239"/>
        </w:numPr>
        <w:tabs>
          <w:tab w:pos="1370" w:val="left" w:leader="none"/>
        </w:tabs>
        <w:spacing w:line="439" w:lineRule="auto" w:before="0" w:after="0"/>
        <w:ind w:left="418" w:right="1604" w:firstLine="422"/>
        <w:jc w:val="both"/>
        <w:rPr>
          <w:b/>
          <w:sz w:val="21"/>
        </w:rPr>
      </w:pPr>
      <w:r>
        <w:rPr>
          <w:color w:val="333333"/>
          <w:spacing w:val="-3"/>
          <w:sz w:val="21"/>
        </w:rPr>
        <w:t>地下或半地下仓库</w:t>
      </w:r>
      <w:r>
        <w:rPr>
          <w:color w:val="333333"/>
          <w:sz w:val="21"/>
        </w:rPr>
        <w:t>（</w:t>
      </w:r>
      <w:r>
        <w:rPr>
          <w:color w:val="333333"/>
          <w:spacing w:val="-3"/>
          <w:sz w:val="21"/>
        </w:rPr>
        <w:t>包括地下或半地下室）</w:t>
      </w:r>
      <w:r>
        <w:rPr>
          <w:color w:val="333333"/>
          <w:spacing w:val="-8"/>
          <w:sz w:val="21"/>
        </w:rPr>
        <w:t>的安全出口不应少于 </w:t>
      </w:r>
      <w:r>
        <w:rPr>
          <w:color w:val="333333"/>
          <w:sz w:val="21"/>
        </w:rPr>
        <w:t>2</w:t>
      </w:r>
      <w:r>
        <w:rPr>
          <w:color w:val="333333"/>
          <w:spacing w:val="-8"/>
          <w:sz w:val="21"/>
        </w:rPr>
        <w:t> 个；当建筑面积</w:t>
      </w:r>
      <w:r>
        <w:rPr>
          <w:color w:val="333333"/>
          <w:spacing w:val="-17"/>
          <w:sz w:val="21"/>
        </w:rPr>
        <w:t>不大于 </w:t>
      </w:r>
      <w:r>
        <w:rPr>
          <w:color w:val="333333"/>
          <w:sz w:val="21"/>
        </w:rPr>
        <w:t>100m</w:t>
      </w:r>
      <w:r>
        <w:rPr>
          <w:color w:val="333333"/>
          <w:position w:val="11"/>
          <w:sz w:val="11"/>
        </w:rPr>
        <w:t>2</w:t>
      </w:r>
      <w:r>
        <w:rPr>
          <w:color w:val="333333"/>
          <w:spacing w:val="49"/>
          <w:sz w:val="11"/>
        </w:rPr>
        <w:t> </w:t>
      </w:r>
      <w:r>
        <w:rPr>
          <w:color w:val="333333"/>
          <w:spacing w:val="-12"/>
          <w:sz w:val="21"/>
        </w:rPr>
        <w:t>时，可设置 </w:t>
      </w:r>
      <w:r>
        <w:rPr>
          <w:color w:val="333333"/>
          <w:sz w:val="21"/>
        </w:rPr>
        <w:t>1</w:t>
      </w:r>
      <w:r>
        <w:rPr>
          <w:color w:val="333333"/>
          <w:spacing w:val="-10"/>
          <w:sz w:val="21"/>
        </w:rPr>
        <w:t> 个安全出口。</w:t>
      </w:r>
      <w:r>
        <w:rPr>
          <w:b/>
          <w:color w:val="333333"/>
          <w:w w:val="99"/>
          <w:sz w:val="21"/>
        </w:rPr>
        <w:t> </w:t>
      </w:r>
    </w:p>
    <w:p>
      <w:pPr>
        <w:pStyle w:val="BodyText"/>
        <w:spacing w:line="446" w:lineRule="auto" w:before="4"/>
        <w:ind w:left="418" w:right="1608" w:firstLine="419"/>
        <w:jc w:val="both"/>
        <w:rPr>
          <w:b/>
        </w:rPr>
      </w:pPr>
      <w:r>
        <w:rPr>
          <w:color w:val="333333"/>
        </w:rPr>
        <w:t>地下或半地下仓库（包括地下或半地下室），当有多个防火分区相邻布置并采用防火墙分隔时，每个防火分区可利用防火墙上通向相邻防火分区的甲级防火门作为第二安全出口，但每个防火分区必须至少有 1 个直通室外的安全出口。</w:t>
      </w:r>
      <w:r>
        <w:rPr>
          <w:b/>
          <w:color w:val="333333"/>
          <w:w w:val="99"/>
        </w:rPr>
        <w:t> </w:t>
      </w:r>
    </w:p>
    <w:p>
      <w:pPr>
        <w:pStyle w:val="ListParagraph"/>
        <w:numPr>
          <w:ilvl w:val="2"/>
          <w:numId w:val="239"/>
        </w:numPr>
        <w:tabs>
          <w:tab w:pos="1370" w:val="left" w:leader="none"/>
        </w:tabs>
        <w:spacing w:line="446" w:lineRule="auto" w:before="0" w:after="0"/>
        <w:ind w:left="418" w:right="1604" w:firstLine="422"/>
        <w:jc w:val="left"/>
        <w:rPr>
          <w:sz w:val="21"/>
        </w:rPr>
      </w:pPr>
      <w:r>
        <w:rPr>
          <w:color w:val="333333"/>
          <w:spacing w:val="-3"/>
          <w:sz w:val="21"/>
        </w:rPr>
        <w:t>冷库、粮食筒仓、金库的安全疏散设计应分别符合现行国家标准《冷库设计规范》GB</w:t>
      </w:r>
      <w:r>
        <w:rPr>
          <w:color w:val="333333"/>
          <w:spacing w:val="1"/>
          <w:sz w:val="21"/>
        </w:rPr>
        <w:t> </w:t>
      </w:r>
      <w:r>
        <w:rPr>
          <w:color w:val="333333"/>
          <w:sz w:val="21"/>
        </w:rPr>
        <w:t>50072</w:t>
      </w:r>
      <w:r>
        <w:rPr>
          <w:color w:val="333333"/>
          <w:spacing w:val="-3"/>
          <w:sz w:val="21"/>
        </w:rPr>
        <w:t> 和《粮食钢板筒仓设计规范》</w:t>
      </w:r>
      <w:r>
        <w:rPr>
          <w:color w:val="333333"/>
          <w:sz w:val="21"/>
        </w:rPr>
        <w:t>GB</w:t>
      </w:r>
      <w:r>
        <w:rPr>
          <w:color w:val="333333"/>
          <w:spacing w:val="2"/>
          <w:sz w:val="21"/>
        </w:rPr>
        <w:t> </w:t>
      </w:r>
      <w:r>
        <w:rPr>
          <w:color w:val="333333"/>
          <w:sz w:val="21"/>
        </w:rPr>
        <w:t>50322</w:t>
      </w:r>
      <w:r>
        <w:rPr>
          <w:color w:val="333333"/>
          <w:spacing w:val="-3"/>
          <w:sz w:val="21"/>
        </w:rPr>
        <w:t> 等标准的规定。</w:t>
      </w:r>
      <w:r>
        <w:rPr>
          <w:color w:val="333333"/>
          <w:sz w:val="21"/>
        </w:rPr>
        <w:t> </w:t>
      </w:r>
    </w:p>
    <w:p>
      <w:pPr>
        <w:pStyle w:val="ListParagraph"/>
        <w:numPr>
          <w:ilvl w:val="2"/>
          <w:numId w:val="239"/>
        </w:numPr>
        <w:tabs>
          <w:tab w:pos="1370" w:val="left" w:leader="none"/>
        </w:tabs>
        <w:spacing w:line="269" w:lineRule="exact" w:before="0" w:after="0"/>
        <w:ind w:left="1369" w:right="0" w:hanging="530"/>
        <w:jc w:val="left"/>
        <w:rPr>
          <w:sz w:val="21"/>
        </w:rPr>
      </w:pPr>
      <w:r>
        <w:rPr>
          <w:color w:val="333333"/>
          <w:spacing w:val="-8"/>
          <w:sz w:val="21"/>
        </w:rPr>
        <w:t>粮食筒仓上层面积小于 </w:t>
      </w:r>
      <w:r>
        <w:rPr>
          <w:color w:val="333333"/>
          <w:sz w:val="21"/>
        </w:rPr>
        <w:t>1000m</w:t>
      </w:r>
      <w:r>
        <w:rPr>
          <w:color w:val="333333"/>
          <w:position w:val="11"/>
          <w:sz w:val="11"/>
        </w:rPr>
        <w:t>2</w:t>
      </w:r>
      <w:r>
        <w:rPr>
          <w:color w:val="333333"/>
          <w:spacing w:val="-8"/>
          <w:sz w:val="21"/>
        </w:rPr>
        <w:t>，且作业人数不超过 </w:t>
      </w:r>
      <w:r>
        <w:rPr>
          <w:color w:val="333333"/>
          <w:sz w:val="21"/>
        </w:rPr>
        <w:t>2</w:t>
      </w:r>
      <w:r>
        <w:rPr>
          <w:color w:val="333333"/>
          <w:spacing w:val="-16"/>
          <w:sz w:val="21"/>
        </w:rPr>
        <w:t> 人时，可设置 </w:t>
      </w:r>
      <w:r>
        <w:rPr>
          <w:color w:val="333333"/>
          <w:sz w:val="21"/>
        </w:rPr>
        <w:t>1</w:t>
      </w:r>
      <w:r>
        <w:rPr>
          <w:color w:val="333333"/>
          <w:spacing w:val="-10"/>
          <w:sz w:val="21"/>
        </w:rPr>
        <w:t> 个安全出口。</w:t>
      </w:r>
      <w:r>
        <w:rPr>
          <w:color w:val="333333"/>
          <w:sz w:val="21"/>
        </w:rPr>
        <w:t> </w:t>
      </w:r>
    </w:p>
    <w:p>
      <w:pPr>
        <w:pStyle w:val="BodyText"/>
        <w:spacing w:before="12"/>
        <w:rPr>
          <w:sz w:val="17"/>
        </w:rPr>
      </w:pPr>
    </w:p>
    <w:p>
      <w:pPr>
        <w:pStyle w:val="ListParagraph"/>
        <w:numPr>
          <w:ilvl w:val="2"/>
          <w:numId w:val="239"/>
        </w:numPr>
        <w:tabs>
          <w:tab w:pos="1370" w:val="left" w:leader="none"/>
        </w:tabs>
        <w:spacing w:line="446" w:lineRule="auto" w:before="0" w:after="0"/>
        <w:ind w:left="418" w:right="1553" w:firstLine="422"/>
        <w:jc w:val="left"/>
        <w:rPr>
          <w:sz w:val="21"/>
        </w:rPr>
      </w:pPr>
      <w:r>
        <w:rPr>
          <w:color w:val="333333"/>
          <w:spacing w:val="-7"/>
          <w:sz w:val="21"/>
        </w:rPr>
        <w:t>仓库、筒仓中符合本规范第 </w:t>
      </w:r>
      <w:r>
        <w:rPr>
          <w:color w:val="333333"/>
          <w:sz w:val="21"/>
        </w:rPr>
        <w:t>6.4.5</w:t>
      </w:r>
      <w:r>
        <w:rPr>
          <w:color w:val="333333"/>
          <w:spacing w:val="-3"/>
          <w:sz w:val="21"/>
        </w:rPr>
        <w:t> 条规定的室外金属梯，可作为疏散楼梯，但筒仓</w:t>
      </w:r>
      <w:r>
        <w:rPr>
          <w:color w:val="333333"/>
          <w:spacing w:val="-7"/>
          <w:sz w:val="21"/>
        </w:rPr>
        <w:t>室外楼梯平台的耐火极限不应低于 </w:t>
      </w:r>
      <w:r>
        <w:rPr>
          <w:color w:val="333333"/>
          <w:sz w:val="21"/>
        </w:rPr>
        <w:t>0.25h</w:t>
      </w:r>
      <w:r>
        <w:rPr>
          <w:color w:val="333333"/>
          <w:spacing w:val="-3"/>
          <w:sz w:val="21"/>
        </w:rPr>
        <w:t>。</w:t>
      </w:r>
      <w:r>
        <w:rPr>
          <w:color w:val="333333"/>
          <w:sz w:val="21"/>
        </w:rPr>
        <w:t> </w:t>
      </w:r>
    </w:p>
    <w:p>
      <w:pPr>
        <w:pStyle w:val="ListParagraph"/>
        <w:numPr>
          <w:ilvl w:val="2"/>
          <w:numId w:val="239"/>
        </w:numPr>
        <w:tabs>
          <w:tab w:pos="1370" w:val="left" w:leader="none"/>
        </w:tabs>
        <w:spacing w:line="240" w:lineRule="auto" w:before="0" w:after="0"/>
        <w:ind w:left="1369" w:right="0" w:hanging="530"/>
        <w:jc w:val="left"/>
        <w:rPr>
          <w:b/>
          <w:sz w:val="21"/>
        </w:rPr>
      </w:pPr>
      <w:r>
        <w:rPr>
          <w:color w:val="333333"/>
          <w:spacing w:val="-3"/>
          <w:sz w:val="21"/>
        </w:rPr>
        <w:t>高层仓库的疏散楼梯应采用封闭楼梯间。</w:t>
      </w:r>
      <w:r>
        <w:rPr>
          <w:b/>
          <w:color w:val="333333"/>
          <w:w w:val="99"/>
          <w:sz w:val="21"/>
        </w:rPr>
        <w:t> </w:t>
      </w:r>
    </w:p>
    <w:p>
      <w:pPr>
        <w:pStyle w:val="BodyText"/>
        <w:spacing w:before="12"/>
        <w:rPr>
          <w:b/>
          <w:sz w:val="17"/>
        </w:rPr>
      </w:pPr>
    </w:p>
    <w:p>
      <w:pPr>
        <w:pStyle w:val="ListParagraph"/>
        <w:numPr>
          <w:ilvl w:val="2"/>
          <w:numId w:val="239"/>
        </w:numPr>
        <w:tabs>
          <w:tab w:pos="1370" w:val="left" w:leader="none"/>
        </w:tabs>
        <w:spacing w:line="446" w:lineRule="auto" w:before="0" w:after="0"/>
        <w:ind w:left="418" w:right="1558" w:firstLine="422"/>
        <w:jc w:val="both"/>
        <w:rPr>
          <w:sz w:val="21"/>
        </w:rPr>
      </w:pPr>
      <w:r>
        <w:rPr>
          <w:color w:val="333333"/>
          <w:spacing w:val="-3"/>
          <w:sz w:val="21"/>
        </w:rPr>
        <w:t>除一、二级耐火等级的多层戊类仓库外，其他仓库内供垂直运输物品的提升设施宜 </w:t>
      </w:r>
      <w:r>
        <w:rPr>
          <w:color w:val="333333"/>
          <w:spacing w:val="-5"/>
          <w:sz w:val="21"/>
        </w:rPr>
        <w:t>设置在仓库外，确需设置在仓库内时，应设置在井壁的耐火极限不低于 </w:t>
      </w:r>
      <w:r>
        <w:rPr>
          <w:color w:val="333333"/>
          <w:sz w:val="21"/>
        </w:rPr>
        <w:t>2.00h 的井筒内。室内</w:t>
      </w:r>
      <w:r>
        <w:rPr>
          <w:color w:val="333333"/>
          <w:spacing w:val="-5"/>
          <w:sz w:val="21"/>
        </w:rPr>
        <w:t>外提升设施通向仓库的入口应设置乙级防火门或符合本规范第 </w:t>
      </w:r>
      <w:r>
        <w:rPr>
          <w:color w:val="333333"/>
          <w:sz w:val="21"/>
        </w:rPr>
        <w:t>6.5.3</w:t>
      </w:r>
      <w:r>
        <w:rPr>
          <w:color w:val="333333"/>
          <w:spacing w:val="-3"/>
          <w:sz w:val="21"/>
        </w:rPr>
        <w:t> 条规定的防火卷帘。</w:t>
      </w:r>
      <w:r>
        <w:rPr>
          <w:color w:val="333333"/>
          <w:sz w:val="21"/>
        </w:rPr>
        <w:t> </w:t>
      </w:r>
    </w:p>
    <w:p>
      <w:pPr>
        <w:pStyle w:val="Heading4"/>
        <w:spacing w:line="276" w:lineRule="exact"/>
      </w:pPr>
      <w:r>
        <w:rPr/>
        <w:t>4 甲、乙、丙类液体、气体储罐（区）和可燃料堆场</w:t>
      </w:r>
      <w:r>
        <w:rPr>
          <w:w w:val="99"/>
        </w:rPr>
        <w:t> </w:t>
      </w:r>
    </w:p>
    <w:p>
      <w:pPr>
        <w:pStyle w:val="BodyText"/>
        <w:spacing w:before="4"/>
        <w:rPr>
          <w:b/>
          <w:sz w:val="17"/>
        </w:rPr>
      </w:pPr>
    </w:p>
    <w:p>
      <w:pPr>
        <w:pStyle w:val="ListParagraph"/>
        <w:numPr>
          <w:ilvl w:val="1"/>
          <w:numId w:val="248"/>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2"/>
        <w:rPr>
          <w:b/>
          <w:sz w:val="18"/>
        </w:rPr>
      </w:pPr>
    </w:p>
    <w:p>
      <w:pPr>
        <w:pStyle w:val="ListParagraph"/>
        <w:numPr>
          <w:ilvl w:val="2"/>
          <w:numId w:val="248"/>
        </w:numPr>
        <w:tabs>
          <w:tab w:pos="1371" w:val="left" w:leader="none"/>
        </w:tabs>
        <w:spacing w:line="446" w:lineRule="auto" w:before="0" w:after="0"/>
        <w:ind w:left="418" w:right="1604" w:firstLine="422"/>
        <w:jc w:val="both"/>
        <w:rPr>
          <w:sz w:val="21"/>
        </w:rPr>
      </w:pPr>
      <w:r>
        <w:rPr>
          <w:color w:val="333333"/>
          <w:spacing w:val="-3"/>
          <w:sz w:val="21"/>
        </w:rPr>
        <w:t>甲、乙、丙类液体储罐区，液化石油气储罐区，可燃、助燃气体储罐区和可燃材料堆场等，应布置在城市（</w:t>
      </w:r>
      <w:r>
        <w:rPr>
          <w:color w:val="333333"/>
          <w:sz w:val="21"/>
        </w:rPr>
        <w:t>区域</w:t>
      </w:r>
      <w:r>
        <w:rPr>
          <w:color w:val="333333"/>
          <w:spacing w:val="-3"/>
          <w:sz w:val="21"/>
        </w:rPr>
        <w:t>）的边缘或相对独立的安全地带，并宜布置在城市（</w:t>
      </w:r>
      <w:r>
        <w:rPr>
          <w:color w:val="333333"/>
          <w:spacing w:val="-2"/>
          <w:sz w:val="21"/>
        </w:rPr>
        <w:t>区域</w:t>
      </w:r>
      <w:r>
        <w:rPr>
          <w:color w:val="333333"/>
          <w:sz w:val="21"/>
        </w:rPr>
        <w:t>）</w:t>
      </w:r>
      <w:r>
        <w:rPr>
          <w:color w:val="333333"/>
          <w:spacing w:val="-2"/>
          <w:sz w:val="21"/>
        </w:rPr>
        <w:t>全年</w:t>
      </w:r>
      <w:r>
        <w:rPr>
          <w:color w:val="333333"/>
          <w:spacing w:val="-3"/>
          <w:sz w:val="21"/>
        </w:rPr>
        <w:t>最小频率风向的上风侧。</w:t>
      </w:r>
      <w:r>
        <w:rPr>
          <w:color w:val="333333"/>
          <w:sz w:val="21"/>
        </w:rPr>
        <w:t> </w:t>
      </w:r>
    </w:p>
    <w:p>
      <w:pPr>
        <w:pStyle w:val="BodyText"/>
        <w:spacing w:line="446" w:lineRule="auto"/>
        <w:ind w:left="418" w:right="1609" w:firstLine="419"/>
      </w:pPr>
      <w:r>
        <w:rPr>
          <w:color w:val="333333"/>
        </w:rPr>
        <w:t>甲、乙、丙类液体储罐（区）宜布置在地势较低的地带。当布置在地势较高的地带时，应采取安全防护设施。 </w:t>
      </w:r>
    </w:p>
    <w:p>
      <w:pPr>
        <w:pStyle w:val="BodyText"/>
        <w:spacing w:line="446" w:lineRule="auto"/>
        <w:ind w:left="840" w:right="2345" w:hanging="3"/>
        <w:rPr>
          <w:b/>
        </w:rPr>
      </w:pPr>
      <w:r>
        <w:rPr>
          <w:color w:val="333333"/>
        </w:rPr>
        <w:t>液化石油气储罐（区）宜布置在地势平坦、开阔等不易积存液化石油气的地带。</w:t>
      </w:r>
      <w:r>
        <w:rPr>
          <w:b/>
          <w:color w:val="333333"/>
        </w:rPr>
        <w:t>4.1.2 </w:t>
      </w:r>
      <w:r>
        <w:rPr>
          <w:color w:val="333333"/>
        </w:rPr>
        <w:t>桶装、瓶装甲类液体不应露天存放。</w:t>
      </w:r>
      <w:r>
        <w:rPr>
          <w:b/>
          <w:color w:val="333333"/>
          <w:w w:val="99"/>
        </w:rPr>
        <w:t> </w:t>
      </w:r>
    </w:p>
    <w:p>
      <w:pPr>
        <w:pStyle w:val="ListParagraph"/>
        <w:numPr>
          <w:ilvl w:val="2"/>
          <w:numId w:val="249"/>
        </w:numPr>
        <w:tabs>
          <w:tab w:pos="1370" w:val="left" w:leader="none"/>
        </w:tabs>
        <w:spacing w:line="240" w:lineRule="auto" w:before="0" w:after="0"/>
        <w:ind w:left="1369" w:right="0" w:hanging="530"/>
        <w:jc w:val="left"/>
        <w:rPr>
          <w:b/>
          <w:sz w:val="21"/>
        </w:rPr>
      </w:pPr>
      <w:r>
        <w:rPr>
          <w:color w:val="333333"/>
          <w:spacing w:val="-6"/>
          <w:sz w:val="21"/>
        </w:rPr>
        <w:t>液化石油气储罐组或储罐区的四周应设置高度不小于 </w:t>
      </w:r>
      <w:r>
        <w:rPr>
          <w:color w:val="333333"/>
          <w:sz w:val="21"/>
        </w:rPr>
        <w:t>1.0m</w:t>
      </w:r>
      <w:r>
        <w:rPr>
          <w:color w:val="333333"/>
          <w:spacing w:val="-3"/>
          <w:sz w:val="21"/>
        </w:rPr>
        <w:t> 的不燃性实体防护墙。</w:t>
      </w:r>
      <w:r>
        <w:rPr>
          <w:b/>
          <w:color w:val="333333"/>
          <w:w w:val="99"/>
          <w:sz w:val="21"/>
        </w:rPr>
        <w:t> </w:t>
      </w:r>
    </w:p>
    <w:p>
      <w:pPr>
        <w:pStyle w:val="BodyText"/>
        <w:spacing w:before="9"/>
        <w:rPr>
          <w:b/>
          <w:sz w:val="17"/>
        </w:rPr>
      </w:pPr>
    </w:p>
    <w:p>
      <w:pPr>
        <w:pStyle w:val="ListParagraph"/>
        <w:numPr>
          <w:ilvl w:val="2"/>
          <w:numId w:val="249"/>
        </w:numPr>
        <w:tabs>
          <w:tab w:pos="1371" w:val="left" w:leader="none"/>
        </w:tabs>
        <w:spacing w:line="446" w:lineRule="auto" w:before="1" w:after="0"/>
        <w:ind w:left="418" w:right="1604" w:firstLine="422"/>
        <w:jc w:val="left"/>
        <w:rPr>
          <w:sz w:val="21"/>
        </w:rPr>
      </w:pPr>
      <w:r>
        <w:rPr>
          <w:color w:val="333333"/>
          <w:spacing w:val="-3"/>
          <w:sz w:val="21"/>
        </w:rPr>
        <w:t>甲、乙、丙类液体储罐区，液化石油气储罐区，可燃、助燃气体储罐区和可燃材料堆场，应与装卸区、辅助生产区及办公区分开布置。 </w:t>
      </w:r>
    </w:p>
    <w:p>
      <w:pPr>
        <w:spacing w:after="0" w:line="446" w:lineRule="auto"/>
        <w:jc w:val="left"/>
        <w:rPr>
          <w:sz w:val="21"/>
        </w:rPr>
        <w:sectPr>
          <w:pgSz w:w="11910" w:h="16850"/>
          <w:pgMar w:header="0" w:footer="1239" w:top="1200" w:bottom="1420" w:left="1260" w:right="0"/>
        </w:sectPr>
      </w:pPr>
    </w:p>
    <w:p>
      <w:pPr>
        <w:pStyle w:val="ListParagraph"/>
        <w:numPr>
          <w:ilvl w:val="2"/>
          <w:numId w:val="249"/>
        </w:numPr>
        <w:tabs>
          <w:tab w:pos="1371" w:val="left" w:leader="none"/>
        </w:tabs>
        <w:spacing w:line="446" w:lineRule="auto" w:before="47" w:after="0"/>
        <w:ind w:left="418" w:right="1604" w:firstLine="422"/>
        <w:jc w:val="left"/>
        <w:rPr>
          <w:sz w:val="21"/>
        </w:rPr>
      </w:pPr>
      <w:r>
        <w:rPr>
          <w:color w:val="333333"/>
          <w:spacing w:val="-3"/>
          <w:sz w:val="21"/>
        </w:rPr>
        <w:t>甲、乙、丙类液体储罐，液化石油气储罐，可燃、助燃气体储罐和可燃材料堆垛， </w:t>
      </w:r>
      <w:r>
        <w:rPr>
          <w:color w:val="333333"/>
          <w:spacing w:val="-6"/>
          <w:sz w:val="21"/>
        </w:rPr>
        <w:t>与架空电力线的最近水平距离应符合本规范第 </w:t>
      </w:r>
      <w:r>
        <w:rPr>
          <w:color w:val="333333"/>
          <w:sz w:val="21"/>
        </w:rPr>
        <w:t>10.2.1</w:t>
      </w:r>
      <w:r>
        <w:rPr>
          <w:color w:val="333333"/>
          <w:spacing w:val="-3"/>
          <w:sz w:val="21"/>
        </w:rPr>
        <w:t> 条的规定。</w:t>
      </w:r>
      <w:r>
        <w:rPr>
          <w:color w:val="333333"/>
          <w:sz w:val="21"/>
        </w:rPr>
        <w:t> </w:t>
      </w:r>
    </w:p>
    <w:p>
      <w:pPr>
        <w:pStyle w:val="ListParagraph"/>
        <w:numPr>
          <w:ilvl w:val="1"/>
          <w:numId w:val="248"/>
        </w:numPr>
        <w:tabs>
          <w:tab w:pos="1159" w:val="left" w:leader="none"/>
        </w:tabs>
        <w:spacing w:line="267" w:lineRule="exact" w:before="0" w:after="0"/>
        <w:ind w:left="1158" w:right="0" w:hanging="319"/>
        <w:jc w:val="left"/>
        <w:rPr>
          <w:sz w:val="21"/>
        </w:rPr>
      </w:pPr>
      <w:r>
        <w:rPr>
          <w:spacing w:val="-3"/>
          <w:sz w:val="21"/>
        </w:rPr>
        <w:t>甲、乙、丙类液体储罐</w:t>
      </w:r>
      <w:r>
        <w:rPr>
          <w:sz w:val="21"/>
        </w:rPr>
        <w:t>（</w:t>
      </w:r>
      <w:r>
        <w:rPr>
          <w:spacing w:val="-3"/>
          <w:sz w:val="21"/>
        </w:rPr>
        <w:t>区</w:t>
      </w:r>
      <w:r>
        <w:rPr>
          <w:sz w:val="21"/>
        </w:rPr>
        <w:t>）</w:t>
      </w:r>
      <w:r>
        <w:rPr>
          <w:spacing w:val="-3"/>
          <w:sz w:val="21"/>
        </w:rPr>
        <w:t>的防火间距</w:t>
      </w:r>
      <w:r>
        <w:rPr>
          <w:sz w:val="21"/>
        </w:rPr>
        <w:t> </w:t>
      </w:r>
    </w:p>
    <w:p>
      <w:pPr>
        <w:pStyle w:val="BodyText"/>
        <w:spacing w:before="2"/>
        <w:rPr>
          <w:sz w:val="18"/>
        </w:rPr>
      </w:pPr>
    </w:p>
    <w:p>
      <w:pPr>
        <w:pStyle w:val="ListParagraph"/>
        <w:numPr>
          <w:ilvl w:val="2"/>
          <w:numId w:val="248"/>
        </w:numPr>
        <w:tabs>
          <w:tab w:pos="1370" w:val="left" w:leader="none"/>
        </w:tabs>
        <w:spacing w:line="446" w:lineRule="auto" w:before="0" w:after="0"/>
        <w:ind w:left="418" w:right="1604" w:firstLine="422"/>
        <w:jc w:val="left"/>
        <w:rPr>
          <w:sz w:val="21"/>
        </w:rPr>
      </w:pPr>
      <w:r>
        <w:rPr>
          <w:color w:val="333333"/>
          <w:spacing w:val="-3"/>
          <w:sz w:val="21"/>
        </w:rPr>
        <w:t>甲、乙、丙类液体储罐（</w:t>
      </w:r>
      <w:r>
        <w:rPr>
          <w:color w:val="333333"/>
          <w:sz w:val="21"/>
        </w:rPr>
        <w:t>区</w:t>
      </w:r>
      <w:r>
        <w:rPr>
          <w:color w:val="333333"/>
          <w:spacing w:val="-3"/>
          <w:sz w:val="21"/>
        </w:rPr>
        <w:t>）和乙、丙类液体桶装堆场与其他建筑的防火间距，不</w:t>
      </w:r>
      <w:r>
        <w:rPr>
          <w:color w:val="333333"/>
          <w:spacing w:val="-13"/>
          <w:sz w:val="21"/>
        </w:rPr>
        <w:t>应小于表 </w:t>
      </w:r>
      <w:r>
        <w:rPr>
          <w:color w:val="333333"/>
          <w:sz w:val="21"/>
        </w:rPr>
        <w:t>4.2.1</w:t>
      </w:r>
      <w:r>
        <w:rPr>
          <w:color w:val="333333"/>
          <w:spacing w:val="-3"/>
          <w:sz w:val="21"/>
        </w:rPr>
        <w:t> 的规定。 </w:t>
      </w:r>
    </w:p>
    <w:p>
      <w:pPr>
        <w:pStyle w:val="Heading6"/>
        <w:spacing w:line="267" w:lineRule="exact"/>
        <w:ind w:left="840"/>
      </w:pPr>
      <w:r>
        <w:rPr/>
        <w:t>表 4.2.1 甲、乙、丙类液体储罐（区），乙、丙类液体桶装堆场与其他建筑的防火间距</w:t>
      </w:r>
    </w:p>
    <w:p>
      <w:pPr>
        <w:pStyle w:val="BodyText"/>
        <w:spacing w:before="2"/>
        <w:rPr>
          <w:b/>
          <w:sz w:val="18"/>
        </w:rPr>
      </w:pPr>
    </w:p>
    <w:p>
      <w:pPr>
        <w:spacing w:before="0"/>
        <w:ind w:left="418" w:right="0" w:firstLine="0"/>
        <w:jc w:val="left"/>
        <w:rPr>
          <w:b/>
          <w:sz w:val="21"/>
        </w:rPr>
      </w:pPr>
      <w:r>
        <w:rPr>
          <w:b/>
          <w:sz w:val="21"/>
        </w:rPr>
        <w:t>（m）</w:t>
      </w:r>
      <w:r>
        <w:rPr>
          <w:b/>
          <w:w w:val="99"/>
          <w:sz w:val="21"/>
        </w:rPr>
        <w:t> </w:t>
      </w:r>
    </w:p>
    <w:p>
      <w:pPr>
        <w:pStyle w:val="BodyText"/>
        <w:spacing w:before="1"/>
        <w:rPr>
          <w:b/>
          <w:sz w:val="14"/>
        </w:rPr>
      </w:pPr>
      <w:r>
        <w:rPr/>
        <w:drawing>
          <wp:anchor distT="0" distB="0" distL="0" distR="0" allowOverlap="1" layoutInCell="1" locked="0" behindDoc="0" simplePos="0" relativeHeight="77">
            <wp:simplePos x="0" y="0"/>
            <wp:positionH relativeFrom="page">
              <wp:posOffset>1179830</wp:posOffset>
            </wp:positionH>
            <wp:positionV relativeFrom="paragraph">
              <wp:posOffset>139422</wp:posOffset>
            </wp:positionV>
            <wp:extent cx="5262853" cy="3581400"/>
            <wp:effectExtent l="0" t="0" r="0" b="0"/>
            <wp:wrapTopAndBottom/>
            <wp:docPr id="177" name="image116.jpeg"/>
            <wp:cNvGraphicFramePr>
              <a:graphicFrameLocks noChangeAspect="1"/>
            </wp:cNvGraphicFramePr>
            <a:graphic>
              <a:graphicData uri="http://schemas.openxmlformats.org/drawingml/2006/picture">
                <pic:pic>
                  <pic:nvPicPr>
                    <pic:cNvPr id="178" name="image116.jpeg"/>
                    <pic:cNvPicPr/>
                  </pic:nvPicPr>
                  <pic:blipFill>
                    <a:blip r:embed="rId124" cstate="print"/>
                    <a:stretch>
                      <a:fillRect/>
                    </a:stretch>
                  </pic:blipFill>
                  <pic:spPr>
                    <a:xfrm>
                      <a:off x="0" y="0"/>
                      <a:ext cx="5262853" cy="3581400"/>
                    </a:xfrm>
                    <a:prstGeom prst="rect">
                      <a:avLst/>
                    </a:prstGeom>
                  </pic:spPr>
                </pic:pic>
              </a:graphicData>
            </a:graphic>
          </wp:anchor>
        </w:drawing>
      </w:r>
    </w:p>
    <w:p>
      <w:pPr>
        <w:pStyle w:val="BodyText"/>
        <w:spacing w:before="2"/>
        <w:rPr>
          <w:b/>
          <w:sz w:val="15"/>
        </w:rPr>
      </w:pPr>
    </w:p>
    <w:p>
      <w:pPr>
        <w:pStyle w:val="BodyText"/>
        <w:ind w:left="838"/>
      </w:pPr>
      <w:r>
        <w:rPr>
          <w:color w:val="333333"/>
        </w:rPr>
        <w:t>注：1. 当甲、乙类液体储罐和丙类液体储罐布置在同一储罐区时，罐区的总容量可按</w:t>
      </w:r>
    </w:p>
    <w:p>
      <w:pPr>
        <w:pStyle w:val="BodyText"/>
        <w:spacing w:before="2"/>
        <w:rPr>
          <w:sz w:val="17"/>
        </w:rPr>
      </w:pPr>
    </w:p>
    <w:p>
      <w:pPr>
        <w:pStyle w:val="BodyText"/>
        <w:spacing w:before="1"/>
        <w:ind w:left="418"/>
      </w:pPr>
      <w:r>
        <w:rPr>
          <w:color w:val="333333"/>
        </w:rPr>
        <w:t>1m</w:t>
      </w:r>
      <w:r>
        <w:rPr>
          <w:color w:val="333333"/>
          <w:position w:val="11"/>
          <w:sz w:val="11"/>
        </w:rPr>
        <w:t>3 </w:t>
      </w:r>
      <w:r>
        <w:rPr>
          <w:color w:val="333333"/>
        </w:rPr>
        <w:t>甲、乙类液体相当于 5m</w:t>
      </w:r>
      <w:r>
        <w:rPr>
          <w:color w:val="333333"/>
          <w:position w:val="11"/>
          <w:sz w:val="11"/>
        </w:rPr>
        <w:t>3 </w:t>
      </w:r>
      <w:r>
        <w:rPr>
          <w:color w:val="333333"/>
        </w:rPr>
        <w:t>丙类液体折算。 </w:t>
      </w:r>
    </w:p>
    <w:p>
      <w:pPr>
        <w:pStyle w:val="BodyText"/>
        <w:spacing w:before="12"/>
        <w:rPr>
          <w:sz w:val="17"/>
        </w:rPr>
      </w:pPr>
    </w:p>
    <w:p>
      <w:pPr>
        <w:pStyle w:val="ListParagraph"/>
        <w:numPr>
          <w:ilvl w:val="0"/>
          <w:numId w:val="250"/>
        </w:numPr>
        <w:tabs>
          <w:tab w:pos="1051" w:val="left" w:leader="none"/>
        </w:tabs>
        <w:spacing w:line="240" w:lineRule="auto" w:before="0" w:after="0"/>
        <w:ind w:left="1050" w:right="0" w:hanging="213"/>
        <w:jc w:val="left"/>
        <w:rPr>
          <w:sz w:val="21"/>
        </w:rPr>
      </w:pPr>
      <w:r>
        <w:rPr>
          <w:color w:val="333333"/>
          <w:spacing w:val="-6"/>
          <w:sz w:val="21"/>
        </w:rPr>
        <w:t>储罐防火堤外侧基脚线至相邻建筑的距离不应小于 </w:t>
      </w:r>
      <w:r>
        <w:rPr>
          <w:color w:val="333333"/>
          <w:sz w:val="21"/>
        </w:rPr>
        <w:t>10m</w:t>
      </w:r>
      <w:r>
        <w:rPr>
          <w:color w:val="333333"/>
          <w:spacing w:val="-3"/>
          <w:sz w:val="21"/>
        </w:rPr>
        <w:t>。</w:t>
      </w:r>
      <w:r>
        <w:rPr>
          <w:color w:val="333333"/>
          <w:sz w:val="21"/>
        </w:rPr>
        <w:t> </w:t>
      </w:r>
    </w:p>
    <w:p>
      <w:pPr>
        <w:pStyle w:val="BodyText"/>
        <w:spacing w:before="2"/>
        <w:rPr>
          <w:sz w:val="18"/>
        </w:rPr>
      </w:pPr>
    </w:p>
    <w:p>
      <w:pPr>
        <w:pStyle w:val="ListParagraph"/>
        <w:numPr>
          <w:ilvl w:val="0"/>
          <w:numId w:val="250"/>
        </w:numPr>
        <w:tabs>
          <w:tab w:pos="1051" w:val="left" w:leader="none"/>
        </w:tabs>
        <w:spacing w:line="240" w:lineRule="auto" w:before="0" w:after="0"/>
        <w:ind w:left="1050" w:right="0" w:hanging="213"/>
        <w:jc w:val="left"/>
        <w:rPr>
          <w:sz w:val="21"/>
        </w:rPr>
      </w:pPr>
      <w:r>
        <w:rPr>
          <w:color w:val="333333"/>
          <w:spacing w:val="-3"/>
          <w:sz w:val="21"/>
        </w:rPr>
        <w:t>甲、乙、丙类液体的固定顶储罐区或半露天堆场，乙、丙类液体桶装堆场与甲类厂房</w:t>
      </w:r>
    </w:p>
    <w:p>
      <w:pPr>
        <w:pStyle w:val="BodyText"/>
        <w:spacing w:before="12"/>
        <w:rPr>
          <w:sz w:val="17"/>
        </w:rPr>
      </w:pPr>
    </w:p>
    <w:p>
      <w:pPr>
        <w:pStyle w:val="BodyText"/>
        <w:spacing w:line="446" w:lineRule="auto"/>
        <w:ind w:left="418" w:right="1450"/>
      </w:pPr>
      <w:r>
        <w:rPr>
          <w:color w:val="333333"/>
        </w:rPr>
        <w:t>（</w:t>
      </w:r>
      <w:r>
        <w:rPr>
          <w:color w:val="333333"/>
          <w:spacing w:val="-2"/>
        </w:rPr>
        <w:t>仓库</w:t>
      </w:r>
      <w:r>
        <w:rPr>
          <w:color w:val="333333"/>
        </w:rPr>
        <w:t>）</w:t>
      </w:r>
      <w:r>
        <w:rPr>
          <w:color w:val="333333"/>
          <w:spacing w:val="-4"/>
        </w:rPr>
        <w:t>、民用建筑的防火间距，应按本表的规定增加 </w:t>
      </w:r>
      <w:r>
        <w:rPr>
          <w:color w:val="333333"/>
        </w:rPr>
        <w:t>25</w:t>
      </w:r>
      <w:r>
        <w:rPr>
          <w:color w:val="333333"/>
          <w:spacing w:val="-3"/>
        </w:rPr>
        <w:t>%，且甲、乙类液体的固定顶储罐区或半露天堆场，乙、丙类液体桶装堆场与甲类厂房（</w:t>
      </w:r>
      <w:r>
        <w:rPr>
          <w:color w:val="333333"/>
        </w:rPr>
        <w:t>仓库</w:t>
      </w:r>
      <w:r>
        <w:rPr>
          <w:color w:val="333333"/>
          <w:spacing w:val="-3"/>
        </w:rPr>
        <w:t>）、裙房、单、多层民用建筑的防火间 </w:t>
      </w:r>
      <w:r>
        <w:rPr>
          <w:color w:val="333333"/>
          <w:spacing w:val="-6"/>
        </w:rPr>
        <w:t>距不应小于 </w:t>
      </w:r>
      <w:r>
        <w:rPr>
          <w:color w:val="333333"/>
        </w:rPr>
        <w:t>25m</w:t>
      </w:r>
      <w:r>
        <w:rPr>
          <w:color w:val="333333"/>
          <w:spacing w:val="-3"/>
        </w:rPr>
        <w:t>，与明火或散发火花地点的防火间距应按本表有关四级耐火等级建筑物的规定增</w:t>
      </w:r>
      <w:r>
        <w:rPr>
          <w:color w:val="333333"/>
          <w:spacing w:val="-28"/>
        </w:rPr>
        <w:t>加 </w:t>
      </w:r>
      <w:r>
        <w:rPr>
          <w:color w:val="333333"/>
        </w:rPr>
        <w:t>25</w:t>
      </w:r>
      <w:r>
        <w:rPr>
          <w:color w:val="333333"/>
          <w:spacing w:val="-2"/>
        </w:rPr>
        <w:t>%。</w:t>
      </w:r>
      <w:r>
        <w:rPr>
          <w:color w:val="333333"/>
        </w:rPr>
        <w:t> </w:t>
      </w:r>
    </w:p>
    <w:p>
      <w:pPr>
        <w:pStyle w:val="ListParagraph"/>
        <w:numPr>
          <w:ilvl w:val="0"/>
          <w:numId w:val="250"/>
        </w:numPr>
        <w:tabs>
          <w:tab w:pos="1051" w:val="left" w:leader="none"/>
        </w:tabs>
        <w:spacing w:line="267" w:lineRule="exact" w:before="0" w:after="0"/>
        <w:ind w:left="1050" w:right="0" w:hanging="213"/>
        <w:jc w:val="left"/>
        <w:rPr>
          <w:sz w:val="21"/>
        </w:rPr>
      </w:pPr>
      <w:r>
        <w:rPr>
          <w:color w:val="333333"/>
          <w:spacing w:val="-8"/>
          <w:sz w:val="21"/>
        </w:rPr>
        <w:t>浮顶储罐区或闪点大于 </w:t>
      </w:r>
      <w:r>
        <w:rPr>
          <w:color w:val="333333"/>
          <w:sz w:val="21"/>
        </w:rPr>
        <w:t>120</w:t>
      </w:r>
      <w:r>
        <w:rPr>
          <w:color w:val="333333"/>
          <w:spacing w:val="-3"/>
          <w:sz w:val="21"/>
        </w:rPr>
        <w:t>℃的液体储罐区与其他建筑的防火间距，可按本表的规定减</w:t>
      </w:r>
    </w:p>
    <w:p>
      <w:pPr>
        <w:spacing w:after="0" w:line="267" w:lineRule="exact"/>
        <w:jc w:val="left"/>
        <w:rPr>
          <w:sz w:val="21"/>
        </w:rPr>
        <w:sectPr>
          <w:pgSz w:w="11910" w:h="16850"/>
          <w:pgMar w:header="0" w:footer="1239" w:top="1220" w:bottom="1420" w:left="1260" w:right="0"/>
        </w:sectPr>
      </w:pPr>
    </w:p>
    <w:p>
      <w:pPr>
        <w:pStyle w:val="BodyText"/>
        <w:spacing w:before="47"/>
        <w:ind w:left="418"/>
      </w:pPr>
      <w:r>
        <w:rPr>
          <w:color w:val="333333"/>
        </w:rPr>
        <w:t>少 25%。 </w:t>
      </w:r>
    </w:p>
    <w:p>
      <w:pPr>
        <w:pStyle w:val="BodyText"/>
        <w:rPr>
          <w:sz w:val="18"/>
        </w:rPr>
      </w:pPr>
    </w:p>
    <w:p>
      <w:pPr>
        <w:pStyle w:val="ListParagraph"/>
        <w:numPr>
          <w:ilvl w:val="0"/>
          <w:numId w:val="250"/>
        </w:numPr>
        <w:tabs>
          <w:tab w:pos="1051" w:val="left" w:leader="none"/>
        </w:tabs>
        <w:spacing w:line="446" w:lineRule="auto" w:before="0" w:after="0"/>
        <w:ind w:left="418" w:right="1505" w:firstLine="419"/>
        <w:jc w:val="left"/>
        <w:rPr>
          <w:sz w:val="21"/>
        </w:rPr>
      </w:pPr>
      <w:r>
        <w:rPr>
          <w:color w:val="333333"/>
          <w:spacing w:val="-3"/>
          <w:sz w:val="21"/>
        </w:rPr>
        <w:t>当数个储罐区布置在同一库区内时，储罐区之间的防火间距不应小于本表相应容量的储罐区与四级耐火等级建筑物防火间距的较大值。</w:t>
      </w:r>
      <w:r>
        <w:rPr>
          <w:color w:val="333333"/>
          <w:sz w:val="21"/>
        </w:rPr>
        <w:t> </w:t>
      </w:r>
    </w:p>
    <w:p>
      <w:pPr>
        <w:pStyle w:val="ListParagraph"/>
        <w:numPr>
          <w:ilvl w:val="0"/>
          <w:numId w:val="250"/>
        </w:numPr>
        <w:tabs>
          <w:tab w:pos="1051" w:val="left" w:leader="none"/>
        </w:tabs>
        <w:spacing w:line="269" w:lineRule="exact" w:before="0" w:after="0"/>
        <w:ind w:left="1050" w:right="0" w:hanging="213"/>
        <w:jc w:val="left"/>
        <w:rPr>
          <w:sz w:val="21"/>
        </w:rPr>
      </w:pPr>
      <w:r>
        <w:rPr>
          <w:color w:val="333333"/>
          <w:spacing w:val="-5"/>
          <w:sz w:val="21"/>
        </w:rPr>
        <w:t>直埋地下的甲、乙、丙类液体卧式罐，当单罐容量不大于 </w:t>
      </w:r>
      <w:r>
        <w:rPr>
          <w:color w:val="333333"/>
          <w:sz w:val="21"/>
        </w:rPr>
        <w:t>50m</w:t>
      </w:r>
      <w:r>
        <w:rPr>
          <w:color w:val="333333"/>
          <w:position w:val="11"/>
          <w:sz w:val="11"/>
        </w:rPr>
        <w:t>3</w:t>
      </w:r>
      <w:r>
        <w:rPr>
          <w:color w:val="333333"/>
          <w:spacing w:val="-2"/>
          <w:sz w:val="21"/>
        </w:rPr>
        <w:t>，总容量不大于</w:t>
      </w:r>
    </w:p>
    <w:p>
      <w:pPr>
        <w:pStyle w:val="BodyText"/>
        <w:spacing w:before="2"/>
        <w:rPr>
          <w:sz w:val="17"/>
        </w:rPr>
      </w:pPr>
    </w:p>
    <w:p>
      <w:pPr>
        <w:pStyle w:val="BodyText"/>
        <w:spacing w:before="1"/>
        <w:ind w:left="418"/>
      </w:pPr>
      <w:r>
        <w:rPr>
          <w:color w:val="333333"/>
        </w:rPr>
        <w:t>200m</w:t>
      </w:r>
      <w:r>
        <w:rPr>
          <w:color w:val="333333"/>
          <w:position w:val="11"/>
          <w:sz w:val="11"/>
        </w:rPr>
        <w:t>3</w:t>
      </w:r>
      <w:r>
        <w:rPr>
          <w:color w:val="333333"/>
          <w:sz w:val="11"/>
        </w:rPr>
        <w:t> </w:t>
      </w:r>
      <w:r>
        <w:rPr>
          <w:color w:val="333333"/>
          <w:spacing w:val="-6"/>
        </w:rPr>
        <w:t>时，与建筑物的防火间距可按本表规定减少 </w:t>
      </w:r>
      <w:r>
        <w:rPr>
          <w:color w:val="333333"/>
        </w:rPr>
        <w:t>50%</w:t>
      </w:r>
      <w:r>
        <w:rPr>
          <w:color w:val="333333"/>
          <w:spacing w:val="-3"/>
        </w:rPr>
        <w:t>。</w:t>
      </w:r>
      <w:r>
        <w:rPr>
          <w:color w:val="333333"/>
        </w:rPr>
        <w:t> </w:t>
      </w:r>
    </w:p>
    <w:p>
      <w:pPr>
        <w:pStyle w:val="BodyText"/>
        <w:spacing w:before="12"/>
        <w:rPr>
          <w:sz w:val="17"/>
        </w:rPr>
      </w:pPr>
    </w:p>
    <w:p>
      <w:pPr>
        <w:pStyle w:val="ListParagraph"/>
        <w:numPr>
          <w:ilvl w:val="0"/>
          <w:numId w:val="250"/>
        </w:numPr>
        <w:tabs>
          <w:tab w:pos="1051" w:val="left" w:leader="none"/>
        </w:tabs>
        <w:spacing w:line="446" w:lineRule="auto" w:before="0" w:after="0"/>
        <w:ind w:left="418" w:right="1507" w:firstLine="419"/>
        <w:jc w:val="left"/>
        <w:rPr>
          <w:sz w:val="21"/>
        </w:rPr>
      </w:pPr>
      <w:r>
        <w:rPr>
          <w:color w:val="333333"/>
          <w:spacing w:val="-6"/>
          <w:sz w:val="21"/>
        </w:rPr>
        <w:t>室外变、配电站指电力系统电压为 </w:t>
      </w:r>
      <w:r>
        <w:rPr>
          <w:color w:val="333333"/>
          <w:sz w:val="21"/>
        </w:rPr>
        <w:t>35kV～500kV</w:t>
      </w:r>
      <w:r>
        <w:rPr>
          <w:color w:val="333333"/>
          <w:spacing w:val="-7"/>
          <w:sz w:val="21"/>
        </w:rPr>
        <w:t> 且每台变压器容量不小于 </w:t>
      </w:r>
      <w:r>
        <w:rPr>
          <w:color w:val="333333"/>
          <w:sz w:val="21"/>
        </w:rPr>
        <w:t>10MVA 的室外</w:t>
      </w:r>
      <w:r>
        <w:rPr>
          <w:color w:val="333333"/>
          <w:spacing w:val="-6"/>
          <w:sz w:val="21"/>
        </w:rPr>
        <w:t>变、配电站和工业企业的变压器总油量大于 </w:t>
      </w:r>
      <w:r>
        <w:rPr>
          <w:color w:val="333333"/>
          <w:sz w:val="21"/>
        </w:rPr>
        <w:t>5t</w:t>
      </w:r>
      <w:r>
        <w:rPr>
          <w:color w:val="333333"/>
          <w:spacing w:val="-3"/>
          <w:sz w:val="21"/>
        </w:rPr>
        <w:t> 的室外降压变电站。</w:t>
      </w:r>
      <w:r>
        <w:rPr>
          <w:color w:val="333333"/>
          <w:sz w:val="21"/>
        </w:rPr>
        <w:t> </w:t>
      </w:r>
    </w:p>
    <w:p>
      <w:pPr>
        <w:pStyle w:val="ListParagraph"/>
        <w:numPr>
          <w:ilvl w:val="2"/>
          <w:numId w:val="248"/>
        </w:numPr>
        <w:tabs>
          <w:tab w:pos="1371" w:val="left" w:leader="none"/>
        </w:tabs>
        <w:spacing w:line="240" w:lineRule="auto" w:before="0" w:after="0"/>
        <w:ind w:left="1370" w:right="0" w:hanging="531"/>
        <w:jc w:val="left"/>
        <w:rPr>
          <w:sz w:val="21"/>
        </w:rPr>
      </w:pPr>
      <w:r>
        <w:rPr>
          <w:color w:val="333333"/>
          <w:spacing w:val="-6"/>
          <w:sz w:val="21"/>
        </w:rPr>
        <w:t>甲、乙、丙类液体储罐之间的防火间距不应小于表 </w:t>
      </w:r>
      <w:r>
        <w:rPr>
          <w:color w:val="333333"/>
          <w:sz w:val="21"/>
        </w:rPr>
        <w:t>4.2.2</w:t>
      </w:r>
      <w:r>
        <w:rPr>
          <w:color w:val="333333"/>
          <w:spacing w:val="-2"/>
          <w:sz w:val="21"/>
        </w:rPr>
        <w:t> 的规定。 </w:t>
      </w:r>
    </w:p>
    <w:p>
      <w:pPr>
        <w:pStyle w:val="BodyText"/>
        <w:rPr>
          <w:sz w:val="18"/>
        </w:rPr>
      </w:pPr>
    </w:p>
    <w:p>
      <w:pPr>
        <w:pStyle w:val="Heading6"/>
        <w:ind w:left="2518"/>
      </w:pPr>
      <w:r>
        <w:rPr/>
        <w:t>表 4.2.2 甲、乙、丙类液体储罐之间的防火间距（m）</w:t>
      </w:r>
      <w:r>
        <w:rPr>
          <w:w w:val="99"/>
        </w:rPr>
        <w:t> </w:t>
      </w:r>
    </w:p>
    <w:p>
      <w:pPr>
        <w:pStyle w:val="BodyText"/>
        <w:rPr>
          <w:b/>
          <w:sz w:val="18"/>
        </w:rPr>
      </w:pPr>
      <w:r>
        <w:rPr/>
        <w:drawing>
          <wp:anchor distT="0" distB="0" distL="0" distR="0" allowOverlap="1" layoutInCell="1" locked="0" behindDoc="0" simplePos="0" relativeHeight="78">
            <wp:simplePos x="0" y="0"/>
            <wp:positionH relativeFrom="page">
              <wp:posOffset>1239519</wp:posOffset>
            </wp:positionH>
            <wp:positionV relativeFrom="paragraph">
              <wp:posOffset>171640</wp:posOffset>
            </wp:positionV>
            <wp:extent cx="5158906" cy="1400175"/>
            <wp:effectExtent l="0" t="0" r="0" b="0"/>
            <wp:wrapTopAndBottom/>
            <wp:docPr id="179" name="image117.jpeg"/>
            <wp:cNvGraphicFramePr>
              <a:graphicFrameLocks noChangeAspect="1"/>
            </wp:cNvGraphicFramePr>
            <a:graphic>
              <a:graphicData uri="http://schemas.openxmlformats.org/drawingml/2006/picture">
                <pic:pic>
                  <pic:nvPicPr>
                    <pic:cNvPr id="180" name="image117.jpeg"/>
                    <pic:cNvPicPr/>
                  </pic:nvPicPr>
                  <pic:blipFill>
                    <a:blip r:embed="rId125" cstate="print"/>
                    <a:stretch>
                      <a:fillRect/>
                    </a:stretch>
                  </pic:blipFill>
                  <pic:spPr>
                    <a:xfrm>
                      <a:off x="0" y="0"/>
                      <a:ext cx="5158906" cy="1400175"/>
                    </a:xfrm>
                    <a:prstGeom prst="rect">
                      <a:avLst/>
                    </a:prstGeom>
                  </pic:spPr>
                </pic:pic>
              </a:graphicData>
            </a:graphic>
          </wp:anchor>
        </w:drawing>
      </w:r>
    </w:p>
    <w:p>
      <w:pPr>
        <w:pStyle w:val="BodyText"/>
        <w:spacing w:line="446" w:lineRule="auto" w:before="167"/>
        <w:ind w:left="838" w:right="1508"/>
      </w:pPr>
      <w:r>
        <w:rPr>
          <w:color w:val="333333"/>
        </w:rPr>
        <w:t>注：1. D 为相邻较大立式储罐的直径（m），矩形储罐的直径为长边与短边之和的一半。2. 不同液体、不同形式储罐之间的防火间距不应小于本表规定的较大值。 </w:t>
      </w:r>
    </w:p>
    <w:p>
      <w:pPr>
        <w:pStyle w:val="ListParagraph"/>
        <w:numPr>
          <w:ilvl w:val="0"/>
          <w:numId w:val="251"/>
        </w:numPr>
        <w:tabs>
          <w:tab w:pos="1051" w:val="left" w:leader="none"/>
        </w:tabs>
        <w:spacing w:line="240" w:lineRule="auto" w:before="0" w:after="0"/>
        <w:ind w:left="1050" w:right="0" w:hanging="213"/>
        <w:jc w:val="left"/>
        <w:rPr>
          <w:sz w:val="21"/>
        </w:rPr>
      </w:pPr>
      <w:r>
        <w:rPr>
          <w:color w:val="333333"/>
          <w:spacing w:val="-6"/>
          <w:sz w:val="21"/>
        </w:rPr>
        <w:t>两排卧式储罐之间的防火间距不应小于 </w:t>
      </w:r>
      <w:r>
        <w:rPr>
          <w:color w:val="333333"/>
          <w:sz w:val="21"/>
        </w:rPr>
        <w:t>3m。 </w:t>
      </w:r>
    </w:p>
    <w:p>
      <w:pPr>
        <w:pStyle w:val="BodyText"/>
        <w:spacing w:before="2"/>
        <w:rPr>
          <w:sz w:val="17"/>
        </w:rPr>
      </w:pPr>
    </w:p>
    <w:p>
      <w:pPr>
        <w:pStyle w:val="ListParagraph"/>
        <w:numPr>
          <w:ilvl w:val="0"/>
          <w:numId w:val="251"/>
        </w:numPr>
        <w:tabs>
          <w:tab w:pos="1051" w:val="left" w:leader="none"/>
        </w:tabs>
        <w:spacing w:line="446" w:lineRule="auto" w:before="0" w:after="0"/>
        <w:ind w:left="418" w:right="1505" w:firstLine="419"/>
        <w:jc w:val="left"/>
        <w:rPr>
          <w:sz w:val="21"/>
        </w:rPr>
      </w:pPr>
      <w:r>
        <w:rPr>
          <w:color w:val="333333"/>
          <w:spacing w:val="-8"/>
          <w:sz w:val="21"/>
        </w:rPr>
        <w:t>当单罐容量不大于 </w:t>
      </w:r>
      <w:r>
        <w:rPr>
          <w:color w:val="333333"/>
          <w:sz w:val="21"/>
        </w:rPr>
        <w:t>1000m</w:t>
      </w:r>
      <w:r>
        <w:rPr>
          <w:color w:val="333333"/>
          <w:position w:val="11"/>
          <w:sz w:val="11"/>
        </w:rPr>
        <w:t>3</w:t>
      </w:r>
      <w:r>
        <w:rPr>
          <w:color w:val="333333"/>
          <w:spacing w:val="2"/>
          <w:sz w:val="11"/>
        </w:rPr>
        <w:t>   </w:t>
      </w:r>
      <w:r>
        <w:rPr>
          <w:color w:val="333333"/>
          <w:spacing w:val="-3"/>
          <w:sz w:val="21"/>
        </w:rPr>
        <w:t>且采用固定冷却系统时，甲、乙类液体的地上式固定顶储罐</w:t>
      </w:r>
      <w:r>
        <w:rPr>
          <w:color w:val="333333"/>
          <w:spacing w:val="-8"/>
          <w:sz w:val="21"/>
        </w:rPr>
        <w:t>之间的防火间距不应小于 </w:t>
      </w:r>
      <w:r>
        <w:rPr>
          <w:color w:val="333333"/>
          <w:sz w:val="21"/>
        </w:rPr>
        <w:t>0.6D</w:t>
      </w:r>
      <w:r>
        <w:rPr>
          <w:color w:val="333333"/>
          <w:spacing w:val="-3"/>
          <w:sz w:val="21"/>
        </w:rPr>
        <w:t>。</w:t>
      </w:r>
      <w:r>
        <w:rPr>
          <w:color w:val="333333"/>
          <w:sz w:val="21"/>
        </w:rPr>
        <w:t> </w:t>
      </w:r>
    </w:p>
    <w:p>
      <w:pPr>
        <w:pStyle w:val="ListParagraph"/>
        <w:numPr>
          <w:ilvl w:val="0"/>
          <w:numId w:val="251"/>
        </w:numPr>
        <w:tabs>
          <w:tab w:pos="1051" w:val="left" w:leader="none"/>
        </w:tabs>
        <w:spacing w:line="446" w:lineRule="auto" w:before="1" w:after="0"/>
        <w:ind w:left="418" w:right="1609" w:firstLine="419"/>
        <w:jc w:val="left"/>
        <w:rPr>
          <w:sz w:val="21"/>
        </w:rPr>
      </w:pPr>
      <w:r>
        <w:rPr>
          <w:color w:val="333333"/>
          <w:spacing w:val="-3"/>
          <w:sz w:val="21"/>
        </w:rPr>
        <w:t>地上式储罐同时设置液下喷射泡沫灭火系统、固定冷却水系统和扑救防火堤内液体火灾</w:t>
      </w:r>
      <w:r>
        <w:rPr>
          <w:color w:val="333333"/>
          <w:spacing w:val="-5"/>
          <w:sz w:val="21"/>
        </w:rPr>
        <w:t>的泡沫灭火设施时，储罐之间的防火间距可适当减小，但不宜小于 </w:t>
      </w:r>
      <w:r>
        <w:rPr>
          <w:color w:val="333333"/>
          <w:sz w:val="21"/>
        </w:rPr>
        <w:t>0.4D</w:t>
      </w:r>
      <w:r>
        <w:rPr>
          <w:color w:val="333333"/>
          <w:spacing w:val="-3"/>
          <w:sz w:val="21"/>
        </w:rPr>
        <w:t>。</w:t>
      </w:r>
      <w:r>
        <w:rPr>
          <w:color w:val="333333"/>
          <w:sz w:val="21"/>
        </w:rPr>
        <w:t> </w:t>
      </w:r>
    </w:p>
    <w:p>
      <w:pPr>
        <w:pStyle w:val="ListParagraph"/>
        <w:numPr>
          <w:ilvl w:val="0"/>
          <w:numId w:val="251"/>
        </w:numPr>
        <w:tabs>
          <w:tab w:pos="1051" w:val="left" w:leader="none"/>
        </w:tabs>
        <w:spacing w:line="267" w:lineRule="exact" w:before="0" w:after="0"/>
        <w:ind w:left="1050" w:right="0" w:hanging="213"/>
        <w:jc w:val="left"/>
        <w:rPr>
          <w:sz w:val="21"/>
        </w:rPr>
      </w:pPr>
      <w:r>
        <w:rPr>
          <w:color w:val="333333"/>
          <w:spacing w:val="-13"/>
          <w:sz w:val="21"/>
        </w:rPr>
        <w:t>闪点大于 </w:t>
      </w:r>
      <w:r>
        <w:rPr>
          <w:color w:val="333333"/>
          <w:sz w:val="21"/>
        </w:rPr>
        <w:t>120</w:t>
      </w:r>
      <w:r>
        <w:rPr>
          <w:color w:val="333333"/>
          <w:spacing w:val="-7"/>
          <w:sz w:val="21"/>
        </w:rPr>
        <w:t>℃的液体，当单罐容量大于 </w:t>
      </w:r>
      <w:r>
        <w:rPr>
          <w:color w:val="333333"/>
          <w:sz w:val="21"/>
        </w:rPr>
        <w:t>1000m</w:t>
      </w:r>
      <w:r>
        <w:rPr>
          <w:color w:val="333333"/>
          <w:position w:val="11"/>
          <w:sz w:val="11"/>
        </w:rPr>
        <w:t>3</w:t>
      </w:r>
      <w:r>
        <w:rPr>
          <w:color w:val="333333"/>
          <w:spacing w:val="49"/>
          <w:sz w:val="11"/>
        </w:rPr>
        <w:t> </w:t>
      </w:r>
      <w:r>
        <w:rPr>
          <w:color w:val="333333"/>
          <w:spacing w:val="-3"/>
          <w:sz w:val="21"/>
        </w:rPr>
        <w:t>时，储罐之间的防火间距不应小于</w:t>
      </w:r>
    </w:p>
    <w:p>
      <w:pPr>
        <w:pStyle w:val="BodyText"/>
        <w:spacing w:before="4"/>
        <w:rPr>
          <w:sz w:val="17"/>
        </w:rPr>
      </w:pPr>
    </w:p>
    <w:p>
      <w:pPr>
        <w:pStyle w:val="BodyText"/>
        <w:ind w:left="418"/>
      </w:pPr>
      <w:r>
        <w:rPr>
          <w:color w:val="333333"/>
        </w:rPr>
        <w:t>5m；</w:t>
      </w:r>
      <w:r>
        <w:rPr>
          <w:color w:val="333333"/>
          <w:spacing w:val="-9"/>
        </w:rPr>
        <w:t>当单罐容量不大于 </w:t>
      </w:r>
      <w:r>
        <w:rPr>
          <w:color w:val="333333"/>
        </w:rPr>
        <w:t>1000m</w:t>
      </w:r>
      <w:r>
        <w:rPr>
          <w:color w:val="333333"/>
          <w:position w:val="11"/>
          <w:sz w:val="11"/>
        </w:rPr>
        <w:t>3</w:t>
      </w:r>
      <w:r>
        <w:rPr>
          <w:color w:val="333333"/>
          <w:sz w:val="11"/>
        </w:rPr>
        <w:t> </w:t>
      </w:r>
      <w:r>
        <w:rPr>
          <w:color w:val="333333"/>
          <w:spacing w:val="-7"/>
        </w:rPr>
        <w:t>时，储罐之间的防火间距不应小于 </w:t>
      </w:r>
      <w:r>
        <w:rPr>
          <w:color w:val="333333"/>
        </w:rPr>
        <w:t>2m</w:t>
      </w:r>
      <w:r>
        <w:rPr>
          <w:color w:val="333333"/>
          <w:spacing w:val="-3"/>
        </w:rPr>
        <w:t>。</w:t>
      </w:r>
      <w:r>
        <w:rPr>
          <w:color w:val="333333"/>
        </w:rPr>
        <w:t> </w:t>
      </w:r>
    </w:p>
    <w:p>
      <w:pPr>
        <w:pStyle w:val="BodyText"/>
        <w:rPr>
          <w:sz w:val="18"/>
        </w:rPr>
      </w:pPr>
    </w:p>
    <w:p>
      <w:pPr>
        <w:pStyle w:val="ListParagraph"/>
        <w:numPr>
          <w:ilvl w:val="2"/>
          <w:numId w:val="248"/>
        </w:numPr>
        <w:tabs>
          <w:tab w:pos="1370" w:val="left" w:leader="none"/>
        </w:tabs>
        <w:spacing w:line="446" w:lineRule="auto" w:before="0" w:after="0"/>
        <w:ind w:left="838" w:right="3915" w:firstLine="2"/>
        <w:jc w:val="left"/>
        <w:rPr>
          <w:b/>
          <w:sz w:val="21"/>
        </w:rPr>
      </w:pPr>
      <w:r>
        <w:rPr>
          <w:color w:val="333333"/>
          <w:spacing w:val="-2"/>
          <w:sz w:val="21"/>
        </w:rPr>
        <w:t>甲、乙、丙类液体储罐成组布置时，应符合下列规定： 组</w:t>
      </w:r>
      <w:r>
        <w:rPr>
          <w:color w:val="333333"/>
          <w:spacing w:val="-6"/>
          <w:sz w:val="21"/>
        </w:rPr>
        <w:t>内储罐的单罐容量和总容量不应大于表 </w:t>
      </w:r>
      <w:r>
        <w:rPr>
          <w:color w:val="333333"/>
          <w:sz w:val="21"/>
        </w:rPr>
        <w:t>4.2.3</w:t>
      </w:r>
      <w:r>
        <w:rPr>
          <w:color w:val="333333"/>
          <w:spacing w:val="-3"/>
          <w:sz w:val="21"/>
        </w:rPr>
        <w:t> 的规定；</w:t>
      </w:r>
      <w:r>
        <w:rPr>
          <w:b/>
          <w:color w:val="333333"/>
          <w:w w:val="99"/>
          <w:sz w:val="21"/>
        </w:rPr>
        <w:t> </w:t>
      </w:r>
    </w:p>
    <w:p>
      <w:pPr>
        <w:pStyle w:val="Heading6"/>
        <w:ind w:left="2571"/>
      </w:pPr>
      <w:r>
        <w:rPr/>
        <w:t>表 4.2.3 甲、乙、丙类液体储罐分组布置的最大容量</w:t>
      </w:r>
      <w:r>
        <w:rPr>
          <w:w w:val="99"/>
        </w:rPr>
        <w:t> </w:t>
      </w:r>
    </w:p>
    <w:p>
      <w:pPr>
        <w:pStyle w:val="BodyText"/>
        <w:spacing w:before="10"/>
        <w:rPr>
          <w:b/>
          <w:sz w:val="12"/>
        </w:rPr>
      </w:pPr>
      <w:r>
        <w:rPr/>
        <w:drawing>
          <wp:anchor distT="0" distB="0" distL="0" distR="0" allowOverlap="1" layoutInCell="1" locked="0" behindDoc="0" simplePos="0" relativeHeight="79">
            <wp:simplePos x="0" y="0"/>
            <wp:positionH relativeFrom="page">
              <wp:posOffset>1179830</wp:posOffset>
            </wp:positionH>
            <wp:positionV relativeFrom="paragraph">
              <wp:posOffset>129135</wp:posOffset>
            </wp:positionV>
            <wp:extent cx="5129917" cy="704850"/>
            <wp:effectExtent l="0" t="0" r="0" b="0"/>
            <wp:wrapTopAndBottom/>
            <wp:docPr id="181" name="image118.jpeg"/>
            <wp:cNvGraphicFramePr>
              <a:graphicFrameLocks noChangeAspect="1"/>
            </wp:cNvGraphicFramePr>
            <a:graphic>
              <a:graphicData uri="http://schemas.openxmlformats.org/drawingml/2006/picture">
                <pic:pic>
                  <pic:nvPicPr>
                    <pic:cNvPr id="182" name="image118.jpeg"/>
                    <pic:cNvPicPr/>
                  </pic:nvPicPr>
                  <pic:blipFill>
                    <a:blip r:embed="rId126" cstate="print"/>
                    <a:stretch>
                      <a:fillRect/>
                    </a:stretch>
                  </pic:blipFill>
                  <pic:spPr>
                    <a:xfrm>
                      <a:off x="0" y="0"/>
                      <a:ext cx="5129917" cy="704850"/>
                    </a:xfrm>
                    <a:prstGeom prst="rect">
                      <a:avLst/>
                    </a:prstGeom>
                  </pic:spPr>
                </pic:pic>
              </a:graphicData>
            </a:graphic>
          </wp:anchor>
        </w:drawing>
      </w:r>
    </w:p>
    <w:p>
      <w:pPr>
        <w:spacing w:after="0"/>
        <w:rPr>
          <w:sz w:val="12"/>
        </w:rPr>
        <w:sectPr>
          <w:pgSz w:w="11910" w:h="16850"/>
          <w:pgMar w:header="0" w:footer="1239" w:top="1220" w:bottom="1420" w:left="1260" w:right="0"/>
        </w:sectPr>
      </w:pPr>
    </w:p>
    <w:p>
      <w:pPr>
        <w:pStyle w:val="BodyText"/>
        <w:spacing w:line="446" w:lineRule="auto" w:before="47"/>
        <w:ind w:left="418" w:right="1555" w:firstLine="419"/>
        <w:jc w:val="both"/>
      </w:pPr>
      <w:r>
        <w:rPr>
          <w:color w:val="333333"/>
          <w:spacing w:val="-4"/>
        </w:rPr>
        <w:t>组内储罐的布置不应超过两排。甲、乙类液体立式储罐之间的防火间距不应小于 </w:t>
      </w:r>
      <w:r>
        <w:rPr>
          <w:color w:val="333333"/>
        </w:rPr>
        <w:t>2m，卧式</w:t>
      </w:r>
      <w:r>
        <w:rPr>
          <w:color w:val="333333"/>
          <w:spacing w:val="-7"/>
        </w:rPr>
        <w:t>储罐之间的防火间距不应小于 </w:t>
      </w:r>
      <w:r>
        <w:rPr>
          <w:color w:val="333333"/>
        </w:rPr>
        <w:t>0.8m</w:t>
      </w:r>
      <w:r>
        <w:rPr>
          <w:color w:val="333333"/>
          <w:spacing w:val="-3"/>
        </w:rPr>
        <w:t>；丙类液体储罐之间的防火间距不限；</w:t>
      </w:r>
      <w:r>
        <w:rPr>
          <w:color w:val="333333"/>
        </w:rPr>
        <w:t> </w:t>
      </w:r>
    </w:p>
    <w:p>
      <w:pPr>
        <w:pStyle w:val="BodyText"/>
        <w:spacing w:line="446" w:lineRule="auto"/>
        <w:ind w:left="418" w:right="1609" w:firstLine="419"/>
        <w:jc w:val="both"/>
        <w:rPr>
          <w:b/>
        </w:rPr>
      </w:pPr>
      <w:r>
        <w:rPr>
          <w:color w:val="333333"/>
        </w:rPr>
        <w:t>储罐组之间的防火间距应根据组内储罐的形式和总容量折算为相同类别的标准单罐，按本规范第 4.2.2 条的规定确定。</w:t>
      </w:r>
      <w:r>
        <w:rPr>
          <w:b/>
          <w:color w:val="333333"/>
          <w:w w:val="99"/>
        </w:rPr>
        <w:t> </w:t>
      </w:r>
    </w:p>
    <w:p>
      <w:pPr>
        <w:pStyle w:val="ListParagraph"/>
        <w:numPr>
          <w:ilvl w:val="2"/>
          <w:numId w:val="248"/>
        </w:numPr>
        <w:tabs>
          <w:tab w:pos="1370" w:val="left" w:leader="none"/>
        </w:tabs>
        <w:spacing w:line="446" w:lineRule="auto" w:before="0" w:after="0"/>
        <w:ind w:left="418" w:right="1604" w:firstLine="422"/>
        <w:jc w:val="both"/>
        <w:rPr>
          <w:sz w:val="21"/>
        </w:rPr>
      </w:pPr>
      <w:r>
        <w:rPr>
          <w:color w:val="333333"/>
          <w:spacing w:val="-3"/>
          <w:sz w:val="21"/>
        </w:rPr>
        <w:t>甲、乙、丙类液体的地上式、半地下式储罐区，其每个防火堤内宜布置火灾危险性类别相同或相近的储罐。沸溢性油品储罐不应与非沸溢性油品储罐布置在同一防火堤内。地上式、半地下式储罐不应与地下式储罐布置在同一防火堤内。</w:t>
      </w:r>
      <w:r>
        <w:rPr>
          <w:color w:val="333333"/>
          <w:sz w:val="21"/>
        </w:rPr>
        <w:t> </w:t>
      </w:r>
    </w:p>
    <w:p>
      <w:pPr>
        <w:pStyle w:val="ListParagraph"/>
        <w:numPr>
          <w:ilvl w:val="2"/>
          <w:numId w:val="248"/>
        </w:numPr>
        <w:tabs>
          <w:tab w:pos="1370" w:val="left" w:leader="none"/>
        </w:tabs>
        <w:spacing w:line="446" w:lineRule="auto" w:before="0" w:after="0"/>
        <w:ind w:left="418" w:right="1813" w:firstLine="422"/>
        <w:jc w:val="left"/>
        <w:rPr>
          <w:sz w:val="21"/>
        </w:rPr>
      </w:pPr>
      <w:r>
        <w:rPr>
          <w:color w:val="333333"/>
          <w:spacing w:val="-3"/>
          <w:sz w:val="21"/>
        </w:rPr>
        <w:t>甲、乙、丙类液体的地上式、半地下式储罐或储罐组，其四周应设置不燃性防火堤。防火堤的设置应符合下列规定：</w:t>
      </w:r>
      <w:r>
        <w:rPr>
          <w:color w:val="333333"/>
          <w:sz w:val="21"/>
        </w:rPr>
        <w:t> </w:t>
      </w:r>
    </w:p>
    <w:p>
      <w:pPr>
        <w:pStyle w:val="BodyText"/>
        <w:spacing w:line="446" w:lineRule="auto"/>
        <w:ind w:left="418" w:right="1582" w:firstLine="419"/>
      </w:pPr>
      <w:r>
        <w:rPr>
          <w:color w:val="333333"/>
          <w:spacing w:val="-7"/>
        </w:rPr>
        <w:t>防火堤内的储罐布置不宜超过 </w:t>
      </w:r>
      <w:r>
        <w:rPr>
          <w:color w:val="333333"/>
          <w:spacing w:val="-3"/>
        </w:rPr>
        <w:t>2</w:t>
      </w:r>
      <w:r>
        <w:rPr>
          <w:color w:val="333333"/>
          <w:spacing w:val="-7"/>
        </w:rPr>
        <w:t> 排，单罐容量不大于 </w:t>
      </w:r>
      <w:r>
        <w:rPr>
          <w:color w:val="333333"/>
        </w:rPr>
        <w:t>1000m</w:t>
      </w:r>
      <w:r>
        <w:rPr>
          <w:color w:val="333333"/>
          <w:position w:val="11"/>
          <w:sz w:val="11"/>
        </w:rPr>
        <w:t>3 </w:t>
      </w:r>
      <w:r>
        <w:rPr>
          <w:color w:val="333333"/>
          <w:spacing w:val="-11"/>
        </w:rPr>
        <w:t>且闪点大于 </w:t>
      </w:r>
      <w:r>
        <w:rPr>
          <w:color w:val="333333"/>
        </w:rPr>
        <w:t>120</w:t>
      </w:r>
      <w:r>
        <w:rPr>
          <w:color w:val="333333"/>
          <w:spacing w:val="-2"/>
        </w:rPr>
        <w:t>℃的液体储罐</w:t>
      </w:r>
      <w:r>
        <w:rPr>
          <w:color w:val="333333"/>
          <w:spacing w:val="-13"/>
        </w:rPr>
        <w:t>不宜超过 </w:t>
      </w:r>
      <w:r>
        <w:rPr>
          <w:color w:val="333333"/>
          <w:spacing w:val="-3"/>
        </w:rPr>
        <w:t>4 排；</w:t>
      </w:r>
      <w:r>
        <w:rPr>
          <w:color w:val="333333"/>
        </w:rPr>
        <w:t> </w:t>
      </w:r>
    </w:p>
    <w:p>
      <w:pPr>
        <w:pStyle w:val="BodyText"/>
        <w:spacing w:line="446" w:lineRule="auto"/>
        <w:ind w:left="418" w:right="1609" w:firstLine="419"/>
      </w:pPr>
      <w:r>
        <w:rPr>
          <w:color w:val="333333"/>
        </w:rPr>
        <w:t>防火堤的有效容量不应小于其中最大储罐的容量。对于浮顶罐，防火堤的有效容量可为其中最大储罐容量的一半； </w:t>
      </w:r>
    </w:p>
    <w:p>
      <w:pPr>
        <w:pStyle w:val="BodyText"/>
        <w:spacing w:line="446" w:lineRule="auto"/>
        <w:ind w:left="418" w:right="1609" w:firstLine="419"/>
      </w:pPr>
      <w:r>
        <w:rPr>
          <w:color w:val="333333"/>
        </w:rPr>
        <w:t>防火堤内侧基脚线至立式储罐外壁的水平距离不应小于罐壁高度的一半。防火堤内侧基脚线至卧式储罐的水平距离不应小于 3m； </w:t>
      </w:r>
    </w:p>
    <w:p>
      <w:pPr>
        <w:pStyle w:val="BodyText"/>
        <w:spacing w:line="446" w:lineRule="auto"/>
        <w:ind w:left="418" w:right="1505" w:firstLine="419"/>
      </w:pPr>
      <w:r>
        <w:rPr>
          <w:color w:val="333333"/>
          <w:spacing w:val="-6"/>
        </w:rPr>
        <w:t>防火堤的设计高度应比计算高度高出 </w:t>
      </w:r>
      <w:r>
        <w:rPr>
          <w:color w:val="333333"/>
        </w:rPr>
        <w:t>0.2m</w:t>
      </w:r>
      <w:r>
        <w:rPr>
          <w:color w:val="333333"/>
          <w:spacing w:val="-10"/>
        </w:rPr>
        <w:t>，且应为 </w:t>
      </w:r>
      <w:r>
        <w:rPr>
          <w:color w:val="333333"/>
        </w:rPr>
        <w:t>1.0m～2.2m</w:t>
      </w:r>
      <w:r>
        <w:rPr>
          <w:color w:val="333333"/>
          <w:spacing w:val="-3"/>
        </w:rPr>
        <w:t>，在防火堤的适当位置应设置便于灭火救援人员进出防火堤的踏步；</w:t>
      </w:r>
      <w:r>
        <w:rPr>
          <w:color w:val="333333"/>
        </w:rPr>
        <w:t> </w:t>
      </w:r>
    </w:p>
    <w:p>
      <w:pPr>
        <w:pStyle w:val="BodyText"/>
        <w:spacing w:line="267" w:lineRule="exact"/>
        <w:ind w:left="838"/>
      </w:pPr>
      <w:r>
        <w:rPr>
          <w:color w:val="333333"/>
        </w:rPr>
        <w:t>沸溢性油品的地上式、半地下式储罐，每个储罐均应设置一个防火堤或防火隔堤； </w:t>
      </w:r>
    </w:p>
    <w:p>
      <w:pPr>
        <w:pStyle w:val="BodyText"/>
        <w:spacing w:before="12"/>
        <w:rPr>
          <w:sz w:val="16"/>
        </w:rPr>
      </w:pPr>
    </w:p>
    <w:p>
      <w:pPr>
        <w:pStyle w:val="BodyText"/>
        <w:spacing w:line="446" w:lineRule="auto"/>
        <w:ind w:left="418" w:right="1609" w:firstLine="419"/>
      </w:pPr>
      <w:r>
        <w:rPr>
          <w:color w:val="333333"/>
        </w:rPr>
        <w:t>含油污水排水管应在防火堤的出口处设置水封设施，雨水排水管应设置阀门等封闭、隔离装置。 </w:t>
      </w:r>
    </w:p>
    <w:p>
      <w:pPr>
        <w:pStyle w:val="ListParagraph"/>
        <w:numPr>
          <w:ilvl w:val="2"/>
          <w:numId w:val="248"/>
        </w:numPr>
        <w:tabs>
          <w:tab w:pos="1370" w:val="left" w:leader="none"/>
        </w:tabs>
        <w:spacing w:line="446" w:lineRule="auto" w:before="0" w:after="0"/>
        <w:ind w:left="418" w:right="1445" w:firstLine="422"/>
        <w:jc w:val="left"/>
        <w:rPr>
          <w:sz w:val="21"/>
        </w:rPr>
      </w:pPr>
      <w:r>
        <w:rPr>
          <w:color w:val="333333"/>
          <w:spacing w:val="-5"/>
          <w:sz w:val="21"/>
        </w:rPr>
        <w:t>甲类液体半露天堆场，乙、丙类液体桶装堆场和闪点大于 </w:t>
      </w:r>
      <w:r>
        <w:rPr>
          <w:color w:val="333333"/>
          <w:sz w:val="21"/>
        </w:rPr>
        <w:t>120</w:t>
      </w:r>
      <w:r>
        <w:rPr>
          <w:color w:val="333333"/>
          <w:spacing w:val="-2"/>
          <w:sz w:val="21"/>
        </w:rPr>
        <w:t>℃的液体储罐</w:t>
      </w:r>
      <w:r>
        <w:rPr>
          <w:color w:val="333333"/>
          <w:sz w:val="21"/>
        </w:rPr>
        <w:t>（</w:t>
      </w:r>
      <w:r>
        <w:rPr>
          <w:color w:val="333333"/>
          <w:spacing w:val="-3"/>
          <w:sz w:val="21"/>
        </w:rPr>
        <w:t>区</w:t>
      </w:r>
      <w:r>
        <w:rPr>
          <w:color w:val="333333"/>
          <w:sz w:val="21"/>
        </w:rPr>
        <w:t>）， </w:t>
      </w:r>
      <w:r>
        <w:rPr>
          <w:color w:val="333333"/>
          <w:spacing w:val="-3"/>
          <w:sz w:val="21"/>
        </w:rPr>
        <w:t>当采取了防止液体流散的设施时，可不设置防火堤。 </w:t>
      </w:r>
    </w:p>
    <w:p>
      <w:pPr>
        <w:pStyle w:val="ListParagraph"/>
        <w:numPr>
          <w:ilvl w:val="2"/>
          <w:numId w:val="248"/>
        </w:numPr>
        <w:tabs>
          <w:tab w:pos="1370" w:val="left" w:leader="none"/>
        </w:tabs>
        <w:spacing w:line="240" w:lineRule="auto" w:before="0" w:after="0"/>
        <w:ind w:left="1369" w:right="0" w:hanging="530"/>
        <w:jc w:val="left"/>
        <w:rPr>
          <w:sz w:val="21"/>
        </w:rPr>
      </w:pPr>
      <w:r>
        <w:rPr>
          <w:color w:val="333333"/>
          <w:spacing w:val="-5"/>
          <w:sz w:val="21"/>
        </w:rPr>
        <w:t>甲、乙、丙类液体储罐与其泵房、装卸鹤管的防火间距不应小于表 </w:t>
      </w:r>
      <w:r>
        <w:rPr>
          <w:color w:val="333333"/>
          <w:sz w:val="21"/>
        </w:rPr>
        <w:t>4.2.7</w:t>
      </w:r>
      <w:r>
        <w:rPr>
          <w:color w:val="333333"/>
          <w:spacing w:val="-3"/>
          <w:sz w:val="21"/>
        </w:rPr>
        <w:t> 的规定。</w:t>
      </w:r>
      <w:r>
        <w:rPr>
          <w:color w:val="333333"/>
          <w:sz w:val="21"/>
        </w:rPr>
        <w:t> </w:t>
      </w:r>
    </w:p>
    <w:p>
      <w:pPr>
        <w:pStyle w:val="BodyText"/>
        <w:spacing w:before="11"/>
        <w:rPr>
          <w:sz w:val="17"/>
        </w:rPr>
      </w:pPr>
    </w:p>
    <w:p>
      <w:pPr>
        <w:pStyle w:val="Heading6"/>
        <w:ind w:left="1781"/>
      </w:pPr>
      <w:r>
        <w:rPr/>
        <w:t>表 4.2.7 甲、乙、丙类液体储罐与其泵房、装卸鹤管的防火间距（m）</w:t>
      </w:r>
      <w:r>
        <w:rPr>
          <w:w w:val="99"/>
        </w:rPr>
        <w:t> </w:t>
      </w:r>
    </w:p>
    <w:p>
      <w:pPr>
        <w:spacing w:after="0"/>
        <w:sectPr>
          <w:pgSz w:w="11910" w:h="16850"/>
          <w:pgMar w:header="0" w:footer="1239" w:top="1220" w:bottom="1420" w:left="1260" w:right="0"/>
        </w:sectPr>
      </w:pPr>
    </w:p>
    <w:p>
      <w:pPr>
        <w:pStyle w:val="BodyText"/>
        <w:ind w:left="628"/>
        <w:rPr>
          <w:sz w:val="20"/>
        </w:rPr>
      </w:pPr>
      <w:r>
        <w:rPr>
          <w:sz w:val="20"/>
        </w:rPr>
        <w:drawing>
          <wp:inline distT="0" distB="0" distL="0" distR="0">
            <wp:extent cx="5115559" cy="1219200"/>
            <wp:effectExtent l="0" t="0" r="0" b="0"/>
            <wp:docPr id="183" name="image119.jpeg"/>
            <wp:cNvGraphicFramePr>
              <a:graphicFrameLocks noChangeAspect="1"/>
            </wp:cNvGraphicFramePr>
            <a:graphic>
              <a:graphicData uri="http://schemas.openxmlformats.org/drawingml/2006/picture">
                <pic:pic>
                  <pic:nvPicPr>
                    <pic:cNvPr id="184" name="image119.jpeg"/>
                    <pic:cNvPicPr/>
                  </pic:nvPicPr>
                  <pic:blipFill>
                    <a:blip r:embed="rId127" cstate="print"/>
                    <a:stretch>
                      <a:fillRect/>
                    </a:stretch>
                  </pic:blipFill>
                  <pic:spPr>
                    <a:xfrm>
                      <a:off x="0" y="0"/>
                      <a:ext cx="5115559" cy="1219200"/>
                    </a:xfrm>
                    <a:prstGeom prst="rect">
                      <a:avLst/>
                    </a:prstGeom>
                  </pic:spPr>
                </pic:pic>
              </a:graphicData>
            </a:graphic>
          </wp:inline>
        </w:drawing>
      </w:r>
      <w:r>
        <w:rPr>
          <w:sz w:val="20"/>
        </w:rPr>
      </w:r>
    </w:p>
    <w:p>
      <w:pPr>
        <w:pStyle w:val="BodyText"/>
        <w:rPr>
          <w:b/>
          <w:sz w:val="20"/>
        </w:rPr>
      </w:pPr>
    </w:p>
    <w:p>
      <w:pPr>
        <w:pStyle w:val="BodyText"/>
        <w:spacing w:before="2"/>
        <w:rPr>
          <w:b/>
          <w:sz w:val="26"/>
        </w:rPr>
      </w:pPr>
    </w:p>
    <w:p>
      <w:pPr>
        <w:pStyle w:val="BodyText"/>
        <w:spacing w:line="446" w:lineRule="auto" w:before="86"/>
        <w:ind w:left="418" w:right="1606" w:firstLine="419"/>
      </w:pPr>
      <w:r>
        <w:rPr>
          <w:color w:val="333333"/>
        </w:rPr>
        <w:t>注：1</w:t>
      </w:r>
      <w:r>
        <w:rPr>
          <w:color w:val="333333"/>
          <w:spacing w:val="-9"/>
        </w:rPr>
        <w:t>.总容量不大于 </w:t>
      </w:r>
      <w:r>
        <w:rPr>
          <w:color w:val="333333"/>
        </w:rPr>
        <w:t>1000m</w:t>
      </w:r>
      <w:r>
        <w:rPr>
          <w:color w:val="333333"/>
          <w:position w:val="11"/>
          <w:sz w:val="11"/>
        </w:rPr>
        <w:t>3</w:t>
      </w:r>
      <w:r>
        <w:rPr>
          <w:color w:val="333333"/>
          <w:spacing w:val="1"/>
          <w:sz w:val="11"/>
        </w:rPr>
        <w:t>  </w:t>
      </w:r>
      <w:r>
        <w:rPr>
          <w:color w:val="333333"/>
          <w:spacing w:val="-6"/>
        </w:rPr>
        <w:t>的甲、乙类液体储罐和总容量不大于 </w:t>
      </w:r>
      <w:r>
        <w:rPr>
          <w:color w:val="333333"/>
        </w:rPr>
        <w:t>5000m</w:t>
      </w:r>
      <w:r>
        <w:rPr>
          <w:color w:val="333333"/>
          <w:position w:val="11"/>
          <w:sz w:val="11"/>
        </w:rPr>
        <w:t>3</w:t>
      </w:r>
      <w:r>
        <w:rPr>
          <w:color w:val="333333"/>
          <w:sz w:val="11"/>
        </w:rPr>
        <w:t>   </w:t>
      </w:r>
      <w:r>
        <w:rPr>
          <w:color w:val="333333"/>
          <w:spacing w:val="-2"/>
        </w:rPr>
        <w:t>的丙类液体储</w:t>
      </w:r>
      <w:r>
        <w:rPr>
          <w:color w:val="333333"/>
          <w:spacing w:val="-6"/>
        </w:rPr>
        <w:t>罐，其防火间距可按本表的规定减少 </w:t>
      </w:r>
      <w:r>
        <w:rPr>
          <w:color w:val="333333"/>
        </w:rPr>
        <w:t>25</w:t>
      </w:r>
      <w:r>
        <w:rPr>
          <w:color w:val="333333"/>
          <w:spacing w:val="-2"/>
        </w:rPr>
        <w:t>%。</w:t>
      </w:r>
      <w:r>
        <w:rPr>
          <w:color w:val="333333"/>
        </w:rPr>
        <w:t> </w:t>
      </w:r>
    </w:p>
    <w:p>
      <w:pPr>
        <w:pStyle w:val="BodyText"/>
        <w:ind w:left="838"/>
      </w:pPr>
      <w:r>
        <w:rPr>
          <w:color w:val="333333"/>
        </w:rPr>
        <w:t>2.泵房、装卸鹤管与储罐防火堤外侧基脚线的距离不应小于 5m。 </w:t>
      </w:r>
    </w:p>
    <w:p>
      <w:pPr>
        <w:pStyle w:val="BodyText"/>
        <w:spacing w:before="12"/>
        <w:rPr>
          <w:sz w:val="17"/>
        </w:rPr>
      </w:pPr>
    </w:p>
    <w:p>
      <w:pPr>
        <w:pStyle w:val="ListParagraph"/>
        <w:numPr>
          <w:ilvl w:val="2"/>
          <w:numId w:val="248"/>
        </w:numPr>
        <w:tabs>
          <w:tab w:pos="1371" w:val="left" w:leader="none"/>
        </w:tabs>
        <w:spacing w:line="446" w:lineRule="auto" w:before="0" w:after="0"/>
        <w:ind w:left="418" w:right="1445" w:firstLine="422"/>
        <w:jc w:val="left"/>
        <w:rPr>
          <w:sz w:val="21"/>
        </w:rPr>
      </w:pPr>
      <w:r>
        <w:rPr>
          <w:color w:val="333333"/>
          <w:spacing w:val="-5"/>
          <w:sz w:val="21"/>
        </w:rPr>
        <w:t>甲、乙、丙类液体装卸鹤管与建筑物、厂内铁路线的防火间距不应小于表 </w:t>
      </w:r>
      <w:r>
        <w:rPr>
          <w:color w:val="333333"/>
          <w:sz w:val="21"/>
        </w:rPr>
        <w:t>4.2.8</w:t>
      </w:r>
      <w:r>
        <w:rPr>
          <w:color w:val="333333"/>
          <w:spacing w:val="6"/>
          <w:sz w:val="21"/>
        </w:rPr>
        <w:t>  的</w:t>
      </w:r>
      <w:r>
        <w:rPr>
          <w:color w:val="333333"/>
          <w:spacing w:val="3"/>
          <w:sz w:val="21"/>
        </w:rPr>
        <w:t>规定。</w:t>
      </w:r>
      <w:r>
        <w:rPr>
          <w:color w:val="333333"/>
          <w:sz w:val="21"/>
        </w:rPr>
        <w:t> </w:t>
      </w:r>
    </w:p>
    <w:p>
      <w:pPr>
        <w:pStyle w:val="Heading6"/>
        <w:ind w:left="1464"/>
      </w:pPr>
      <w:r>
        <w:rPr/>
        <w:t>表 4.2.8 甲、乙、丙类液体装卸鹤管与建筑物、厂内铁路线的防火间距（m）</w:t>
      </w:r>
      <w:r>
        <w:rPr>
          <w:w w:val="99"/>
        </w:rPr>
        <w:t> </w:t>
      </w:r>
    </w:p>
    <w:p>
      <w:pPr>
        <w:pStyle w:val="BodyText"/>
        <w:rPr>
          <w:b/>
          <w:sz w:val="20"/>
        </w:rPr>
      </w:pPr>
    </w:p>
    <w:p>
      <w:pPr>
        <w:pStyle w:val="BodyText"/>
        <w:spacing w:before="5"/>
        <w:rPr>
          <w:b/>
          <w:sz w:val="24"/>
        </w:rPr>
      </w:pPr>
      <w:r>
        <w:rPr/>
        <w:drawing>
          <wp:anchor distT="0" distB="0" distL="0" distR="0" allowOverlap="1" layoutInCell="1" locked="0" behindDoc="0" simplePos="0" relativeHeight="80">
            <wp:simplePos x="0" y="0"/>
            <wp:positionH relativeFrom="page">
              <wp:posOffset>1347469</wp:posOffset>
            </wp:positionH>
            <wp:positionV relativeFrom="paragraph">
              <wp:posOffset>223596</wp:posOffset>
            </wp:positionV>
            <wp:extent cx="5120149" cy="1371600"/>
            <wp:effectExtent l="0" t="0" r="0" b="0"/>
            <wp:wrapTopAndBottom/>
            <wp:docPr id="185" name="image120.jpeg"/>
            <wp:cNvGraphicFramePr>
              <a:graphicFrameLocks noChangeAspect="1"/>
            </wp:cNvGraphicFramePr>
            <a:graphic>
              <a:graphicData uri="http://schemas.openxmlformats.org/drawingml/2006/picture">
                <pic:pic>
                  <pic:nvPicPr>
                    <pic:cNvPr id="186" name="image120.jpeg"/>
                    <pic:cNvPicPr/>
                  </pic:nvPicPr>
                  <pic:blipFill>
                    <a:blip r:embed="rId128" cstate="print"/>
                    <a:stretch>
                      <a:fillRect/>
                    </a:stretch>
                  </pic:blipFill>
                  <pic:spPr>
                    <a:xfrm>
                      <a:off x="0" y="0"/>
                      <a:ext cx="5120149" cy="1371600"/>
                    </a:xfrm>
                    <a:prstGeom prst="rect">
                      <a:avLst/>
                    </a:prstGeom>
                  </pic:spPr>
                </pic:pic>
              </a:graphicData>
            </a:graphic>
          </wp:anchor>
        </w:drawing>
      </w:r>
    </w:p>
    <w:p>
      <w:pPr>
        <w:pStyle w:val="BodyText"/>
        <w:rPr>
          <w:b/>
          <w:sz w:val="20"/>
        </w:rPr>
      </w:pPr>
    </w:p>
    <w:p>
      <w:pPr>
        <w:pStyle w:val="BodyText"/>
        <w:spacing w:before="1"/>
        <w:rPr>
          <w:b/>
          <w:sz w:val="28"/>
        </w:rPr>
      </w:pPr>
    </w:p>
    <w:p>
      <w:pPr>
        <w:pStyle w:val="BodyText"/>
        <w:spacing w:line="446" w:lineRule="auto" w:before="72"/>
        <w:ind w:left="840" w:right="2079" w:hanging="3"/>
      </w:pPr>
      <w:r>
        <w:rPr>
          <w:color w:val="333333"/>
        </w:rPr>
        <w:t>注：装卸鹤管与其直接装卸用的甲、乙、丙类液体装卸铁路线的防火间距不限。</w:t>
      </w:r>
      <w:r>
        <w:rPr>
          <w:b/>
          <w:color w:val="333333"/>
        </w:rPr>
        <w:t>4.2.9 </w:t>
      </w:r>
      <w:r>
        <w:rPr>
          <w:color w:val="333333"/>
        </w:rPr>
        <w:t>甲、乙、丙类液体储罐与铁路、道路的防火间距不应小于表 4.2.9 的规定。 </w:t>
      </w:r>
    </w:p>
    <w:p>
      <w:pPr>
        <w:pStyle w:val="Heading6"/>
        <w:spacing w:line="267" w:lineRule="exact"/>
        <w:ind w:left="2098"/>
      </w:pPr>
      <w:r>
        <w:rPr/>
        <w:t>表 4.2.9 甲、乙、丙类液体储罐与铁路、道路的防火间距（m）</w:t>
      </w:r>
      <w:r>
        <w:rPr>
          <w:w w:val="99"/>
        </w:rPr>
        <w:t> </w:t>
      </w:r>
    </w:p>
    <w:p>
      <w:pPr>
        <w:pStyle w:val="BodyText"/>
        <w:rPr>
          <w:b/>
          <w:sz w:val="20"/>
        </w:rPr>
      </w:pPr>
    </w:p>
    <w:p>
      <w:pPr>
        <w:pStyle w:val="BodyText"/>
        <w:spacing w:before="2"/>
        <w:rPr>
          <w:b/>
          <w:sz w:val="11"/>
        </w:rPr>
      </w:pPr>
      <w:r>
        <w:rPr/>
        <w:drawing>
          <wp:anchor distT="0" distB="0" distL="0" distR="0" allowOverlap="1" layoutInCell="1" locked="0" behindDoc="0" simplePos="0" relativeHeight="81">
            <wp:simplePos x="0" y="0"/>
            <wp:positionH relativeFrom="page">
              <wp:posOffset>1351280</wp:posOffset>
            </wp:positionH>
            <wp:positionV relativeFrom="paragraph">
              <wp:posOffset>115810</wp:posOffset>
            </wp:positionV>
            <wp:extent cx="4829175" cy="1200150"/>
            <wp:effectExtent l="0" t="0" r="0" b="0"/>
            <wp:wrapTopAndBottom/>
            <wp:docPr id="187" name="image121.jpeg"/>
            <wp:cNvGraphicFramePr>
              <a:graphicFrameLocks noChangeAspect="1"/>
            </wp:cNvGraphicFramePr>
            <a:graphic>
              <a:graphicData uri="http://schemas.openxmlformats.org/drawingml/2006/picture">
                <pic:pic>
                  <pic:nvPicPr>
                    <pic:cNvPr id="188" name="image121.jpeg"/>
                    <pic:cNvPicPr/>
                  </pic:nvPicPr>
                  <pic:blipFill>
                    <a:blip r:embed="rId129" cstate="print"/>
                    <a:stretch>
                      <a:fillRect/>
                    </a:stretch>
                  </pic:blipFill>
                  <pic:spPr>
                    <a:xfrm>
                      <a:off x="0" y="0"/>
                      <a:ext cx="4829175" cy="1200150"/>
                    </a:xfrm>
                    <a:prstGeom prst="rect">
                      <a:avLst/>
                    </a:prstGeom>
                  </pic:spPr>
                </pic:pic>
              </a:graphicData>
            </a:graphic>
          </wp:anchor>
        </w:drawing>
      </w:r>
    </w:p>
    <w:p>
      <w:pPr>
        <w:pStyle w:val="BodyText"/>
        <w:rPr>
          <w:b/>
          <w:sz w:val="20"/>
        </w:rPr>
      </w:pPr>
    </w:p>
    <w:p>
      <w:pPr>
        <w:pStyle w:val="BodyText"/>
        <w:spacing w:before="3"/>
        <w:rPr>
          <w:b/>
          <w:sz w:val="26"/>
        </w:rPr>
      </w:pPr>
    </w:p>
    <w:p>
      <w:pPr>
        <w:pStyle w:val="ListParagraph"/>
        <w:numPr>
          <w:ilvl w:val="2"/>
          <w:numId w:val="252"/>
        </w:numPr>
        <w:tabs>
          <w:tab w:pos="1478" w:val="left" w:leader="none"/>
        </w:tabs>
        <w:spacing w:line="240" w:lineRule="auto" w:before="72" w:after="0"/>
        <w:ind w:left="1477" w:right="0" w:hanging="638"/>
        <w:jc w:val="left"/>
        <w:rPr>
          <w:sz w:val="21"/>
        </w:rPr>
      </w:pPr>
      <w:r>
        <w:rPr>
          <w:color w:val="333333"/>
          <w:spacing w:val="-6"/>
          <w:sz w:val="21"/>
        </w:rPr>
        <w:t>零位罐与所属铁路装卸线的距离不应小于 </w:t>
      </w:r>
      <w:r>
        <w:rPr>
          <w:color w:val="333333"/>
          <w:spacing w:val="-3"/>
          <w:sz w:val="21"/>
        </w:rPr>
        <w:t>6m</w:t>
      </w:r>
      <w:r>
        <w:rPr>
          <w:color w:val="333333"/>
          <w:sz w:val="21"/>
        </w:rPr>
        <w:t>。 </w:t>
      </w:r>
    </w:p>
    <w:p>
      <w:pPr>
        <w:pStyle w:val="BodyText"/>
        <w:spacing w:before="12"/>
        <w:rPr>
          <w:sz w:val="17"/>
        </w:rPr>
      </w:pPr>
    </w:p>
    <w:p>
      <w:pPr>
        <w:pStyle w:val="ListParagraph"/>
        <w:numPr>
          <w:ilvl w:val="2"/>
          <w:numId w:val="252"/>
        </w:numPr>
        <w:tabs>
          <w:tab w:pos="1478" w:val="left" w:leader="none"/>
        </w:tabs>
        <w:spacing w:line="240" w:lineRule="auto" w:before="0" w:after="0"/>
        <w:ind w:left="1477" w:right="0" w:hanging="638"/>
        <w:jc w:val="left"/>
        <w:rPr>
          <w:sz w:val="21"/>
        </w:rPr>
      </w:pPr>
      <w:r>
        <w:rPr>
          <w:color w:val="333333"/>
          <w:spacing w:val="-3"/>
          <w:sz w:val="21"/>
        </w:rPr>
        <w:t>石油库的储罐</w:t>
      </w:r>
      <w:r>
        <w:rPr>
          <w:color w:val="333333"/>
          <w:sz w:val="21"/>
        </w:rPr>
        <w:t>（</w:t>
      </w:r>
      <w:r>
        <w:rPr>
          <w:color w:val="333333"/>
          <w:spacing w:val="-3"/>
          <w:sz w:val="21"/>
        </w:rPr>
        <w:t>区</w:t>
      </w:r>
      <w:r>
        <w:rPr>
          <w:color w:val="333333"/>
          <w:sz w:val="21"/>
        </w:rPr>
        <w:t>）</w:t>
      </w:r>
      <w:r>
        <w:rPr>
          <w:color w:val="333333"/>
          <w:spacing w:val="-3"/>
          <w:sz w:val="21"/>
        </w:rPr>
        <w:t>与建筑的防火间距，石油库内的储罐布置和防火间距以及储罐</w:t>
      </w:r>
    </w:p>
    <w:p>
      <w:pPr>
        <w:spacing w:after="0" w:line="240" w:lineRule="auto"/>
        <w:jc w:val="left"/>
        <w:rPr>
          <w:sz w:val="21"/>
        </w:rPr>
        <w:sectPr>
          <w:pgSz w:w="11910" w:h="16850"/>
          <w:pgMar w:header="0" w:footer="1239" w:top="1380" w:bottom="1420" w:left="1260" w:right="0"/>
        </w:sectPr>
      </w:pPr>
    </w:p>
    <w:p>
      <w:pPr>
        <w:pStyle w:val="BodyText"/>
        <w:spacing w:line="446" w:lineRule="auto" w:before="47"/>
        <w:ind w:left="418" w:right="1503"/>
      </w:pPr>
      <w:r>
        <w:rPr>
          <w:color w:val="333333"/>
          <w:spacing w:val="-3"/>
        </w:rPr>
        <w:t>与泵房、装卸鹤管等库内建筑的防火间距，应符合现行国家标准《石油库设计规范》</w:t>
      </w:r>
      <w:r>
        <w:rPr>
          <w:color w:val="333333"/>
        </w:rPr>
        <w:t>GB</w:t>
      </w:r>
      <w:r>
        <w:rPr>
          <w:color w:val="333333"/>
          <w:spacing w:val="20"/>
        </w:rPr>
        <w:t> </w:t>
      </w:r>
      <w:r>
        <w:rPr>
          <w:color w:val="333333"/>
        </w:rPr>
        <w:t>50074 </w:t>
      </w:r>
      <w:r>
        <w:rPr>
          <w:color w:val="333333"/>
          <w:spacing w:val="-2"/>
        </w:rPr>
        <w:t>的规定。</w:t>
      </w:r>
      <w:r>
        <w:rPr>
          <w:color w:val="333333"/>
        </w:rPr>
        <w:t> </w:t>
      </w:r>
    </w:p>
    <w:p>
      <w:pPr>
        <w:pStyle w:val="ListParagraph"/>
        <w:numPr>
          <w:ilvl w:val="1"/>
          <w:numId w:val="248"/>
        </w:numPr>
        <w:tabs>
          <w:tab w:pos="1159" w:val="left" w:leader="none"/>
        </w:tabs>
        <w:spacing w:line="267" w:lineRule="exact" w:before="0" w:after="0"/>
        <w:ind w:left="1158" w:right="0" w:hanging="319"/>
        <w:jc w:val="left"/>
        <w:rPr>
          <w:sz w:val="21"/>
        </w:rPr>
      </w:pPr>
      <w:r>
        <w:rPr>
          <w:spacing w:val="-3"/>
          <w:sz w:val="21"/>
        </w:rPr>
        <w:t>可燃、助燃气体储罐</w:t>
      </w:r>
      <w:r>
        <w:rPr>
          <w:sz w:val="21"/>
        </w:rPr>
        <w:t>（区</w:t>
      </w:r>
      <w:r>
        <w:rPr>
          <w:spacing w:val="-3"/>
          <w:sz w:val="21"/>
        </w:rPr>
        <w:t>）的防火间距</w:t>
      </w:r>
      <w:r>
        <w:rPr>
          <w:sz w:val="21"/>
        </w:rPr>
        <w:t> </w:t>
      </w:r>
    </w:p>
    <w:p>
      <w:pPr>
        <w:pStyle w:val="BodyText"/>
        <w:spacing w:before="2"/>
        <w:rPr>
          <w:sz w:val="18"/>
        </w:rPr>
      </w:pPr>
    </w:p>
    <w:p>
      <w:pPr>
        <w:pStyle w:val="ListParagraph"/>
        <w:numPr>
          <w:ilvl w:val="2"/>
          <w:numId w:val="248"/>
        </w:numPr>
        <w:tabs>
          <w:tab w:pos="1370" w:val="left" w:leader="none"/>
        </w:tabs>
        <w:spacing w:line="240" w:lineRule="auto" w:before="0" w:after="0"/>
        <w:ind w:left="1369" w:right="0" w:hanging="530"/>
        <w:jc w:val="left"/>
        <w:rPr>
          <w:sz w:val="21"/>
        </w:rPr>
      </w:pPr>
      <w:r>
        <w:rPr>
          <w:color w:val="333333"/>
          <w:spacing w:val="-3"/>
          <w:sz w:val="21"/>
        </w:rPr>
        <w:t>可燃气体储罐与建筑物、储罐、堆场等的防火间距应符合下列规定： </w:t>
      </w:r>
    </w:p>
    <w:p>
      <w:pPr>
        <w:pStyle w:val="BodyText"/>
        <w:rPr>
          <w:sz w:val="18"/>
        </w:rPr>
      </w:pPr>
    </w:p>
    <w:p>
      <w:pPr>
        <w:pStyle w:val="BodyText"/>
        <w:ind w:left="838"/>
      </w:pPr>
      <w:r>
        <w:rPr>
          <w:color w:val="333333"/>
        </w:rPr>
        <w:t>湿式可燃气体储罐与建筑物、储罐、堆场等的防火间距不应小于表 4.3.1 的规定； </w:t>
      </w:r>
    </w:p>
    <w:p>
      <w:pPr>
        <w:pStyle w:val="BodyText"/>
        <w:spacing w:before="12"/>
        <w:rPr>
          <w:sz w:val="17"/>
        </w:rPr>
      </w:pPr>
    </w:p>
    <w:p>
      <w:pPr>
        <w:pStyle w:val="Heading6"/>
        <w:ind w:left="1781"/>
      </w:pPr>
      <w:r>
        <w:rPr/>
        <w:t>表 4.3.1 湿式可燃气体储罐与建筑物、储罐、堆场等的防火间距（m）</w:t>
      </w:r>
      <w:r>
        <w:rPr>
          <w:w w:val="99"/>
        </w:rPr>
        <w:t> </w:t>
      </w:r>
    </w:p>
    <w:p>
      <w:pPr>
        <w:pStyle w:val="BodyText"/>
        <w:spacing w:before="8"/>
        <w:rPr>
          <w:b/>
          <w:sz w:val="19"/>
        </w:rPr>
      </w:pPr>
      <w:r>
        <w:rPr/>
        <w:drawing>
          <wp:anchor distT="0" distB="0" distL="0" distR="0" allowOverlap="1" layoutInCell="1" locked="0" behindDoc="0" simplePos="0" relativeHeight="82">
            <wp:simplePos x="0" y="0"/>
            <wp:positionH relativeFrom="page">
              <wp:posOffset>989330</wp:posOffset>
            </wp:positionH>
            <wp:positionV relativeFrom="paragraph">
              <wp:posOffset>184840</wp:posOffset>
            </wp:positionV>
            <wp:extent cx="5318131" cy="3658742"/>
            <wp:effectExtent l="0" t="0" r="0" b="0"/>
            <wp:wrapTopAndBottom/>
            <wp:docPr id="189" name="image122.jpeg"/>
            <wp:cNvGraphicFramePr>
              <a:graphicFrameLocks noChangeAspect="1"/>
            </wp:cNvGraphicFramePr>
            <a:graphic>
              <a:graphicData uri="http://schemas.openxmlformats.org/drawingml/2006/picture">
                <pic:pic>
                  <pic:nvPicPr>
                    <pic:cNvPr id="190" name="image122.jpeg"/>
                    <pic:cNvPicPr/>
                  </pic:nvPicPr>
                  <pic:blipFill>
                    <a:blip r:embed="rId130" cstate="print"/>
                    <a:stretch>
                      <a:fillRect/>
                    </a:stretch>
                  </pic:blipFill>
                  <pic:spPr>
                    <a:xfrm>
                      <a:off x="0" y="0"/>
                      <a:ext cx="5318131" cy="3658742"/>
                    </a:xfrm>
                    <a:prstGeom prst="rect">
                      <a:avLst/>
                    </a:prstGeom>
                  </pic:spPr>
                </pic:pic>
              </a:graphicData>
            </a:graphic>
          </wp:anchor>
        </w:drawing>
      </w:r>
    </w:p>
    <w:p>
      <w:pPr>
        <w:pStyle w:val="BodyText"/>
        <w:spacing w:before="1"/>
        <w:rPr>
          <w:b/>
          <w:sz w:val="14"/>
        </w:rPr>
      </w:pPr>
    </w:p>
    <w:p>
      <w:pPr>
        <w:pStyle w:val="BodyText"/>
        <w:ind w:left="838"/>
      </w:pPr>
      <w:r>
        <w:rPr>
          <w:color w:val="333333"/>
        </w:rPr>
        <w:t>注：固定容积可燃气体储罐的总容积按储罐几何容积（m</w:t>
      </w:r>
      <w:r>
        <w:rPr>
          <w:color w:val="333333"/>
          <w:position w:val="11"/>
          <w:sz w:val="11"/>
        </w:rPr>
        <w:t>3</w:t>
      </w:r>
      <w:r>
        <w:rPr>
          <w:color w:val="333333"/>
        </w:rPr>
        <w:t>）和设计储存压力（绝对压力，</w:t>
      </w:r>
    </w:p>
    <w:p>
      <w:pPr>
        <w:pStyle w:val="BodyText"/>
        <w:spacing w:before="2"/>
        <w:rPr>
          <w:sz w:val="18"/>
        </w:rPr>
      </w:pPr>
    </w:p>
    <w:p>
      <w:pPr>
        <w:pStyle w:val="BodyText"/>
        <w:ind w:left="418"/>
      </w:pPr>
      <w:r>
        <w:rPr>
          <w:color w:val="333333"/>
        </w:rPr>
        <w:t>105Pa） 的乘积计算。 </w:t>
      </w:r>
    </w:p>
    <w:p>
      <w:pPr>
        <w:pStyle w:val="BodyText"/>
        <w:rPr>
          <w:sz w:val="18"/>
        </w:rPr>
      </w:pPr>
    </w:p>
    <w:p>
      <w:pPr>
        <w:pStyle w:val="BodyText"/>
        <w:ind w:left="838"/>
        <w:rPr>
          <w:b/>
        </w:rPr>
      </w:pPr>
      <w:r>
        <w:rPr>
          <w:color w:val="333333"/>
        </w:rPr>
        <w:t>固定容积的可燃气体储罐与建筑物、储罐、堆场等的防火间距不应小于表 4.3.1 的规定；</w:t>
      </w:r>
      <w:r>
        <w:rPr>
          <w:b/>
          <w:color w:val="333333"/>
          <w:w w:val="99"/>
        </w:rPr>
        <w:t> </w:t>
      </w:r>
    </w:p>
    <w:p>
      <w:pPr>
        <w:pStyle w:val="BodyText"/>
        <w:spacing w:before="12"/>
        <w:rPr>
          <w:b/>
          <w:sz w:val="17"/>
        </w:rPr>
      </w:pPr>
    </w:p>
    <w:p>
      <w:pPr>
        <w:pStyle w:val="BodyText"/>
        <w:spacing w:line="446" w:lineRule="auto"/>
        <w:ind w:left="418" w:right="1505" w:firstLine="419"/>
        <w:rPr>
          <w:b/>
        </w:rPr>
      </w:pPr>
      <w:r>
        <w:rPr>
          <w:color w:val="333333"/>
          <w:w w:val="100"/>
        </w:rPr>
        <w:t> </w:t>
      </w:r>
      <w:r>
        <w:rPr>
          <w:color w:val="333333"/>
        </w:rPr>
        <w:t>干式可燃气体储罐与建筑物、储罐、堆场等的防火间距：当可燃气体的密度比空气大时， 应按表 4.3.1 的规定增加 25%；当可燃气体的密度比空气小时，可按表 4.3.1 的规定确定；</w:t>
      </w:r>
      <w:r>
        <w:rPr>
          <w:b/>
          <w:color w:val="333333"/>
          <w:w w:val="99"/>
        </w:rPr>
        <w:t> </w:t>
      </w:r>
    </w:p>
    <w:p>
      <w:pPr>
        <w:pStyle w:val="BodyText"/>
        <w:spacing w:line="446" w:lineRule="auto"/>
        <w:ind w:left="418" w:right="1609" w:firstLine="419"/>
        <w:rPr>
          <w:b/>
        </w:rPr>
      </w:pPr>
      <w:r>
        <w:rPr>
          <w:color w:val="333333"/>
        </w:rPr>
        <w:t>湿式或干式可燃气体储罐的水封井、油泵房和电梯间等附属设施与该储罐的防火间距，可按工艺要求布置；</w:t>
      </w:r>
      <w:r>
        <w:rPr>
          <w:b/>
          <w:color w:val="333333"/>
          <w:w w:val="99"/>
        </w:rPr>
        <w:t> </w:t>
      </w:r>
    </w:p>
    <w:p>
      <w:pPr>
        <w:pStyle w:val="BodyText"/>
        <w:spacing w:line="446" w:lineRule="auto"/>
        <w:ind w:left="840" w:right="3704" w:hanging="3"/>
        <w:rPr>
          <w:b/>
        </w:rPr>
      </w:pPr>
      <w:r>
        <w:rPr>
          <w:color w:val="333333"/>
        </w:rPr>
        <w:t>容积不大于 20m</w:t>
      </w:r>
      <w:r>
        <w:rPr>
          <w:color w:val="333333"/>
          <w:position w:val="11"/>
          <w:sz w:val="11"/>
        </w:rPr>
        <w:t>3 </w:t>
      </w:r>
      <w:r>
        <w:rPr>
          <w:color w:val="333333"/>
        </w:rPr>
        <w:t>的可燃气体储罐与其使用厂房的防火间距不限。</w:t>
      </w:r>
      <w:r>
        <w:rPr>
          <w:b/>
        </w:rPr>
        <w:t>4.3.2 </w:t>
      </w:r>
      <w:r>
        <w:rPr/>
        <w:t>可燃气体储罐（区）之间的防火间距应符合下列规定：</w:t>
      </w:r>
      <w:r>
        <w:rPr>
          <w:b/>
          <w:w w:val="99"/>
        </w:rPr>
        <w:t> </w:t>
      </w:r>
    </w:p>
    <w:p>
      <w:pPr>
        <w:pStyle w:val="BodyText"/>
        <w:spacing w:line="267" w:lineRule="exact"/>
        <w:ind w:left="838"/>
      </w:pPr>
      <w:r>
        <w:rPr/>
        <w:t>湿式可燃气体储罐或干式可燃气体储罐之间及湿式与干式可燃气体储罐的防火间距，不应</w:t>
      </w:r>
    </w:p>
    <w:p>
      <w:pPr>
        <w:spacing w:after="0" w:line="267" w:lineRule="exact"/>
        <w:sectPr>
          <w:pgSz w:w="11910" w:h="16850"/>
          <w:pgMar w:header="0" w:footer="1239" w:top="1220" w:bottom="1420" w:left="1260" w:right="0"/>
        </w:sectPr>
      </w:pPr>
    </w:p>
    <w:p>
      <w:pPr>
        <w:pStyle w:val="BodyText"/>
        <w:spacing w:before="47"/>
        <w:ind w:left="418"/>
        <w:rPr>
          <w:b/>
        </w:rPr>
      </w:pPr>
      <w:r>
        <w:rPr/>
        <w:t>小于相邻较大罐直径的 1/2；</w:t>
      </w:r>
      <w:r>
        <w:rPr>
          <w:b/>
          <w:w w:val="99"/>
        </w:rPr>
        <w:t> </w:t>
      </w:r>
    </w:p>
    <w:p>
      <w:pPr>
        <w:pStyle w:val="BodyText"/>
        <w:rPr>
          <w:b/>
          <w:sz w:val="18"/>
        </w:rPr>
      </w:pPr>
    </w:p>
    <w:p>
      <w:pPr>
        <w:pStyle w:val="BodyText"/>
        <w:ind w:left="838"/>
        <w:jc w:val="both"/>
        <w:rPr>
          <w:b/>
        </w:rPr>
      </w:pPr>
      <w:r>
        <w:rPr/>
        <w:t>固定容积的可燃气体储罐之间的防火间距不应小于相邻较大罐直径的 2/3；</w:t>
      </w:r>
      <w:r>
        <w:rPr>
          <w:b/>
          <w:w w:val="99"/>
        </w:rPr>
        <w:t> </w:t>
      </w:r>
    </w:p>
    <w:p>
      <w:pPr>
        <w:pStyle w:val="BodyText"/>
        <w:rPr>
          <w:b/>
          <w:sz w:val="18"/>
        </w:rPr>
      </w:pPr>
    </w:p>
    <w:p>
      <w:pPr>
        <w:pStyle w:val="BodyText"/>
        <w:spacing w:line="446" w:lineRule="auto"/>
        <w:ind w:left="418" w:right="1609" w:firstLine="419"/>
        <w:jc w:val="both"/>
        <w:rPr>
          <w:b/>
        </w:rPr>
      </w:pPr>
      <w:r>
        <w:rPr/>
        <w:t>固定容积的可燃气体储罐与湿式或干式可燃气体储罐的防火间距，不应小于相邻较大罐直径的 1/2；</w:t>
      </w:r>
      <w:r>
        <w:rPr>
          <w:b/>
          <w:w w:val="99"/>
        </w:rPr>
        <w:t> </w:t>
      </w:r>
    </w:p>
    <w:p>
      <w:pPr>
        <w:pStyle w:val="BodyText"/>
        <w:spacing w:line="446" w:lineRule="auto"/>
        <w:ind w:left="418" w:right="1608" w:firstLine="419"/>
        <w:jc w:val="both"/>
        <w:rPr>
          <w:b/>
        </w:rPr>
      </w:pPr>
      <w:r>
        <w:rPr>
          <w:spacing w:val="-6"/>
        </w:rPr>
        <w:t>数个固定容积的可燃气体储罐的总容积大于 </w:t>
      </w:r>
      <w:r>
        <w:rPr/>
        <w:t>200000m</w:t>
      </w:r>
      <w:r>
        <w:rPr>
          <w:position w:val="11"/>
          <w:sz w:val="11"/>
        </w:rPr>
        <w:t>3</w:t>
      </w:r>
      <w:r>
        <w:rPr>
          <w:sz w:val="11"/>
        </w:rPr>
        <w:t> </w:t>
      </w:r>
      <w:r>
        <w:rPr>
          <w:spacing w:val="-3"/>
        </w:rPr>
        <w:t>时，应分组布置。卧式储罐组之间的防火间距不应小于相邻较大罐长度的一半；球形储罐组之间的防火间距不应小于相邻较大罐</w:t>
      </w:r>
      <w:r>
        <w:rPr>
          <w:spacing w:val="-9"/>
        </w:rPr>
        <w:t>直径，且不应小于 </w:t>
      </w:r>
      <w:r>
        <w:rPr/>
        <w:t>20m。</w:t>
      </w:r>
      <w:r>
        <w:rPr>
          <w:b/>
          <w:w w:val="99"/>
        </w:rPr>
        <w:t> </w:t>
      </w:r>
    </w:p>
    <w:p>
      <w:pPr>
        <w:pStyle w:val="ListParagraph"/>
        <w:numPr>
          <w:ilvl w:val="2"/>
          <w:numId w:val="253"/>
        </w:numPr>
        <w:tabs>
          <w:tab w:pos="1371" w:val="left" w:leader="none"/>
        </w:tabs>
        <w:spacing w:line="268" w:lineRule="exact" w:before="0" w:after="0"/>
        <w:ind w:left="1370" w:right="0" w:hanging="531"/>
        <w:jc w:val="left"/>
        <w:rPr>
          <w:b/>
          <w:sz w:val="19"/>
        </w:rPr>
      </w:pPr>
      <w:r>
        <w:rPr>
          <w:spacing w:val="-3"/>
          <w:sz w:val="21"/>
        </w:rPr>
        <w:t>氧气储罐与建筑物、储罐、堆场等的防火间距应符合下列规定：</w:t>
      </w:r>
      <w:r>
        <w:rPr>
          <w:b/>
          <w:w w:val="99"/>
          <w:sz w:val="21"/>
        </w:rPr>
        <w:t> </w:t>
      </w:r>
    </w:p>
    <w:p>
      <w:pPr>
        <w:pStyle w:val="BodyText"/>
        <w:spacing w:before="2"/>
        <w:rPr>
          <w:b/>
          <w:sz w:val="17"/>
        </w:rPr>
      </w:pPr>
    </w:p>
    <w:p>
      <w:pPr>
        <w:pStyle w:val="BodyText"/>
        <w:ind w:left="838"/>
        <w:jc w:val="both"/>
        <w:rPr>
          <w:b/>
        </w:rPr>
      </w:pPr>
      <w:r>
        <w:rPr>
          <w:spacing w:val="-5"/>
        </w:rPr>
        <w:t>湿式氧气储罐与建筑物、储罐、堆场等的防火间距不应小于表 </w:t>
      </w:r>
      <w:r>
        <w:rPr/>
        <w:t>4.3.3</w:t>
      </w:r>
      <w:r>
        <w:rPr>
          <w:spacing w:val="2"/>
        </w:rPr>
        <w:t> 的规定；</w:t>
      </w:r>
      <w:r>
        <w:rPr>
          <w:b/>
          <w:spacing w:val="2"/>
          <w:w w:val="99"/>
        </w:rPr>
        <w:t> </w:t>
      </w:r>
    </w:p>
    <w:p>
      <w:pPr>
        <w:pStyle w:val="BodyText"/>
        <w:spacing w:before="2"/>
        <w:rPr>
          <w:b/>
          <w:sz w:val="18"/>
        </w:rPr>
      </w:pPr>
    </w:p>
    <w:p>
      <w:pPr>
        <w:pStyle w:val="Heading6"/>
        <w:ind w:left="1992"/>
      </w:pPr>
      <w:r>
        <w:rPr>
          <w:spacing w:val="-27"/>
        </w:rPr>
        <w:t>表 </w:t>
      </w:r>
      <w:r>
        <w:rPr/>
        <w:t>4.3.3</w:t>
      </w:r>
      <w:r>
        <w:rPr>
          <w:spacing w:val="-3"/>
        </w:rPr>
        <w:t> 湿式氧气储罐与建筑物、储罐、堆场等的防火间距</w:t>
      </w:r>
      <w:r>
        <w:rPr/>
        <w:t>（m）</w:t>
      </w:r>
      <w:r>
        <w:rPr>
          <w:w w:val="99"/>
        </w:rPr>
        <w:t> </w:t>
      </w:r>
    </w:p>
    <w:p>
      <w:pPr>
        <w:pStyle w:val="BodyText"/>
        <w:spacing w:before="12"/>
        <w:rPr>
          <w:b/>
          <w:sz w:val="24"/>
        </w:rPr>
      </w:pPr>
      <w:r>
        <w:rPr/>
        <w:drawing>
          <wp:anchor distT="0" distB="0" distL="0" distR="0" allowOverlap="1" layoutInCell="1" locked="0" behindDoc="0" simplePos="0" relativeHeight="83">
            <wp:simplePos x="0" y="0"/>
            <wp:positionH relativeFrom="page">
              <wp:posOffset>1198880</wp:posOffset>
            </wp:positionH>
            <wp:positionV relativeFrom="paragraph">
              <wp:posOffset>227766</wp:posOffset>
            </wp:positionV>
            <wp:extent cx="5289249" cy="3114675"/>
            <wp:effectExtent l="0" t="0" r="0" b="0"/>
            <wp:wrapTopAndBottom/>
            <wp:docPr id="191" name="image123.jpeg"/>
            <wp:cNvGraphicFramePr>
              <a:graphicFrameLocks noChangeAspect="1"/>
            </wp:cNvGraphicFramePr>
            <a:graphic>
              <a:graphicData uri="http://schemas.openxmlformats.org/drawingml/2006/picture">
                <pic:pic>
                  <pic:nvPicPr>
                    <pic:cNvPr id="192" name="image123.jpeg"/>
                    <pic:cNvPicPr/>
                  </pic:nvPicPr>
                  <pic:blipFill>
                    <a:blip r:embed="rId131" cstate="print"/>
                    <a:stretch>
                      <a:fillRect/>
                    </a:stretch>
                  </pic:blipFill>
                  <pic:spPr>
                    <a:xfrm>
                      <a:off x="0" y="0"/>
                      <a:ext cx="5289249" cy="3114675"/>
                    </a:xfrm>
                    <a:prstGeom prst="rect">
                      <a:avLst/>
                    </a:prstGeom>
                  </pic:spPr>
                </pic:pic>
              </a:graphicData>
            </a:graphic>
          </wp:anchor>
        </w:drawing>
      </w:r>
    </w:p>
    <w:p>
      <w:pPr>
        <w:pStyle w:val="BodyText"/>
        <w:spacing w:before="167"/>
        <w:ind w:left="838"/>
      </w:pPr>
      <w:r>
        <w:rPr>
          <w:color w:val="333333"/>
        </w:rPr>
        <w:t>注：固定容积氧气储罐的总容积按储罐几何容积（m</w:t>
      </w:r>
      <w:r>
        <w:rPr>
          <w:color w:val="333333"/>
          <w:position w:val="11"/>
          <w:sz w:val="11"/>
        </w:rPr>
        <w:t>3</w:t>
      </w:r>
      <w:r>
        <w:rPr>
          <w:color w:val="333333"/>
        </w:rPr>
        <w:t>）和设计储存压力（绝对压力，</w:t>
      </w:r>
    </w:p>
    <w:p>
      <w:pPr>
        <w:pStyle w:val="BodyText"/>
        <w:spacing w:before="2"/>
        <w:rPr>
          <w:sz w:val="18"/>
        </w:rPr>
      </w:pPr>
    </w:p>
    <w:p>
      <w:pPr>
        <w:pStyle w:val="BodyText"/>
        <w:ind w:left="418"/>
      </w:pPr>
      <w:r>
        <w:rPr>
          <w:color w:val="333333"/>
        </w:rPr>
        <w:t>105Pa）的乘积计算。 </w:t>
      </w:r>
    </w:p>
    <w:p>
      <w:pPr>
        <w:pStyle w:val="BodyText"/>
        <w:rPr>
          <w:sz w:val="18"/>
        </w:rPr>
      </w:pPr>
    </w:p>
    <w:p>
      <w:pPr>
        <w:pStyle w:val="BodyText"/>
        <w:ind w:left="838"/>
        <w:rPr>
          <w:b/>
        </w:rPr>
      </w:pPr>
      <w:r>
        <w:rPr>
          <w:color w:val="333333"/>
        </w:rPr>
        <w:t>氧气储罐之间的防火间距不应小于相邻较大罐直径的 1/2；</w:t>
      </w:r>
      <w:r>
        <w:rPr>
          <w:b/>
          <w:color w:val="333333"/>
          <w:w w:val="99"/>
        </w:rPr>
        <w:t> </w:t>
      </w:r>
    </w:p>
    <w:p>
      <w:pPr>
        <w:pStyle w:val="BodyText"/>
        <w:spacing w:before="12"/>
        <w:rPr>
          <w:b/>
          <w:sz w:val="17"/>
        </w:rPr>
      </w:pPr>
    </w:p>
    <w:p>
      <w:pPr>
        <w:pStyle w:val="BodyText"/>
        <w:ind w:left="838"/>
        <w:rPr>
          <w:b/>
        </w:rPr>
      </w:pPr>
      <w:r>
        <w:rPr>
          <w:color w:val="333333"/>
        </w:rPr>
        <w:t>氧气储罐与可燃气体储罐的防火间距不应小于相邻较大罐的直径；</w:t>
      </w:r>
      <w:r>
        <w:rPr>
          <w:b/>
          <w:color w:val="333333"/>
          <w:w w:val="99"/>
        </w:rPr>
        <w:t> </w:t>
      </w:r>
    </w:p>
    <w:p>
      <w:pPr>
        <w:pStyle w:val="BodyText"/>
        <w:spacing w:before="2"/>
        <w:rPr>
          <w:b/>
          <w:sz w:val="18"/>
        </w:rPr>
      </w:pPr>
    </w:p>
    <w:p>
      <w:pPr>
        <w:pStyle w:val="BodyText"/>
        <w:spacing w:line="446" w:lineRule="auto"/>
        <w:ind w:left="838" w:right="1925"/>
        <w:rPr>
          <w:b/>
        </w:rPr>
      </w:pPr>
      <w:r>
        <w:rPr>
          <w:color w:val="333333"/>
          <w:spacing w:val="-5"/>
        </w:rPr>
        <w:t>固定容积的氧气储罐与建筑物、储罐、堆场等的防火间距不应小于表 </w:t>
      </w:r>
      <w:r>
        <w:rPr>
          <w:color w:val="333333"/>
        </w:rPr>
        <w:t>4.3.3</w:t>
      </w:r>
      <w:r>
        <w:rPr>
          <w:color w:val="333333"/>
          <w:spacing w:val="-11"/>
        </w:rPr>
        <w:t> 的规定； </w:t>
      </w:r>
      <w:r>
        <w:rPr>
          <w:color w:val="333333"/>
          <w:spacing w:val="-3"/>
        </w:rPr>
        <w:t>氧气储罐与其制氧厂房的防火间距可按工艺布置要求确定；</w:t>
      </w:r>
      <w:r>
        <w:rPr>
          <w:b/>
          <w:color w:val="333333"/>
          <w:w w:val="99"/>
        </w:rPr>
        <w:t> </w:t>
      </w:r>
    </w:p>
    <w:p>
      <w:pPr>
        <w:pStyle w:val="BodyText"/>
        <w:spacing w:line="267" w:lineRule="exact"/>
        <w:ind w:left="838"/>
        <w:rPr>
          <w:b/>
        </w:rPr>
      </w:pPr>
      <w:r>
        <w:rPr>
          <w:color w:val="333333"/>
        </w:rPr>
        <w:t>容积不大于 50m</w:t>
      </w:r>
      <w:r>
        <w:rPr>
          <w:color w:val="333333"/>
          <w:position w:val="11"/>
          <w:sz w:val="11"/>
        </w:rPr>
        <w:t>3</w:t>
      </w:r>
      <w:r>
        <w:rPr>
          <w:color w:val="333333"/>
          <w:sz w:val="11"/>
        </w:rPr>
        <w:t> </w:t>
      </w:r>
      <w:r>
        <w:rPr>
          <w:color w:val="333333"/>
        </w:rPr>
        <w:t>的氧气储罐与其使用厂房的防火间距不限。</w:t>
      </w:r>
      <w:r>
        <w:rPr>
          <w:b/>
          <w:color w:val="333333"/>
          <w:w w:val="99"/>
        </w:rPr>
        <w:t> </w:t>
      </w:r>
    </w:p>
    <w:p>
      <w:pPr>
        <w:pStyle w:val="BodyText"/>
        <w:spacing w:before="5"/>
        <w:rPr>
          <w:b/>
          <w:sz w:val="17"/>
        </w:rPr>
      </w:pPr>
    </w:p>
    <w:p>
      <w:pPr>
        <w:pStyle w:val="BodyText"/>
        <w:ind w:left="838"/>
      </w:pPr>
      <w:r>
        <w:rPr>
          <w:color w:val="333333"/>
        </w:rPr>
        <w:t>注：1m</w:t>
      </w:r>
      <w:r>
        <w:rPr>
          <w:color w:val="333333"/>
          <w:position w:val="11"/>
          <w:sz w:val="11"/>
        </w:rPr>
        <w:t>3</w:t>
      </w:r>
      <w:r>
        <w:rPr>
          <w:color w:val="333333"/>
          <w:sz w:val="11"/>
        </w:rPr>
        <w:t> </w:t>
      </w:r>
      <w:r>
        <w:rPr>
          <w:color w:val="333333"/>
          <w:spacing w:val="-8"/>
        </w:rPr>
        <w:t>液氧折合标准状态下 </w:t>
      </w:r>
      <w:r>
        <w:rPr>
          <w:color w:val="333333"/>
        </w:rPr>
        <w:t>800m</w:t>
      </w:r>
      <w:r>
        <w:rPr>
          <w:color w:val="333333"/>
          <w:position w:val="11"/>
          <w:sz w:val="11"/>
        </w:rPr>
        <w:t>3</w:t>
      </w:r>
      <w:r>
        <w:rPr>
          <w:color w:val="333333"/>
          <w:sz w:val="11"/>
        </w:rPr>
        <w:t> </w:t>
      </w:r>
      <w:r>
        <w:rPr>
          <w:color w:val="333333"/>
          <w:spacing w:val="-3"/>
        </w:rPr>
        <w:t>气态氧。</w:t>
      </w:r>
      <w:r>
        <w:rPr>
          <w:color w:val="333333"/>
        </w:rPr>
        <w:t> </w:t>
      </w:r>
    </w:p>
    <w:p>
      <w:pPr>
        <w:spacing w:after="0"/>
        <w:sectPr>
          <w:pgSz w:w="11910" w:h="16850"/>
          <w:pgMar w:header="0" w:footer="1239" w:top="1220" w:bottom="1420" w:left="1260" w:right="0"/>
        </w:sectPr>
      </w:pPr>
    </w:p>
    <w:p>
      <w:pPr>
        <w:pStyle w:val="ListParagraph"/>
        <w:numPr>
          <w:ilvl w:val="2"/>
          <w:numId w:val="253"/>
        </w:numPr>
        <w:tabs>
          <w:tab w:pos="1370" w:val="left" w:leader="none"/>
        </w:tabs>
        <w:spacing w:line="441" w:lineRule="auto" w:before="47" w:after="0"/>
        <w:ind w:left="418" w:right="1450" w:firstLine="422"/>
        <w:jc w:val="left"/>
        <w:rPr>
          <w:color w:val="333333"/>
          <w:sz w:val="19"/>
        </w:rPr>
      </w:pPr>
      <w:r>
        <w:rPr>
          <w:color w:val="333333"/>
          <w:spacing w:val="-5"/>
          <w:sz w:val="21"/>
        </w:rPr>
        <w:t>液氧储罐与建筑物、储罐、堆场等的防火间距应符合本规范第 </w:t>
      </w:r>
      <w:r>
        <w:rPr>
          <w:color w:val="333333"/>
          <w:sz w:val="21"/>
        </w:rPr>
        <w:t>4.3.3 条相应容积湿式</w:t>
      </w:r>
      <w:r>
        <w:rPr>
          <w:color w:val="333333"/>
          <w:spacing w:val="-5"/>
          <w:sz w:val="21"/>
        </w:rPr>
        <w:t>氧气储罐防火间距的规定。液氧储罐与其泵房的间距不宜小于 </w:t>
      </w:r>
      <w:r>
        <w:rPr>
          <w:color w:val="333333"/>
          <w:sz w:val="21"/>
        </w:rPr>
        <w:t>3m</w:t>
      </w:r>
      <w:r>
        <w:rPr>
          <w:color w:val="333333"/>
          <w:spacing w:val="-8"/>
          <w:sz w:val="21"/>
        </w:rPr>
        <w:t>。总容积小于等于 </w:t>
      </w:r>
      <w:r>
        <w:rPr>
          <w:color w:val="333333"/>
          <w:sz w:val="21"/>
        </w:rPr>
        <w:t>3m</w:t>
      </w:r>
      <w:r>
        <w:rPr>
          <w:color w:val="333333"/>
          <w:position w:val="11"/>
          <w:sz w:val="11"/>
        </w:rPr>
        <w:t>3</w:t>
      </w:r>
      <w:r>
        <w:rPr>
          <w:color w:val="333333"/>
          <w:spacing w:val="15"/>
          <w:sz w:val="11"/>
        </w:rPr>
        <w:t> </w:t>
      </w:r>
      <w:r>
        <w:rPr>
          <w:color w:val="333333"/>
          <w:sz w:val="21"/>
        </w:rPr>
        <w:t>的液氧</w:t>
      </w:r>
      <w:r>
        <w:rPr>
          <w:color w:val="333333"/>
          <w:spacing w:val="-3"/>
          <w:sz w:val="21"/>
        </w:rPr>
        <w:t>储罐与其使用建筑的防火间距应符合下列规定：</w:t>
      </w:r>
      <w:r>
        <w:rPr>
          <w:color w:val="333333"/>
          <w:sz w:val="21"/>
        </w:rPr>
        <w:t> </w:t>
      </w:r>
    </w:p>
    <w:p>
      <w:pPr>
        <w:pStyle w:val="BodyText"/>
        <w:spacing w:before="5"/>
        <w:ind w:left="838"/>
      </w:pPr>
      <w:r>
        <w:rPr>
          <w:color w:val="333333"/>
          <w:w w:val="100"/>
        </w:rPr>
        <w:t> </w:t>
      </w:r>
      <w:r>
        <w:rPr>
          <w:color w:val="333333"/>
        </w:rPr>
        <w:t>当设置在独立的一、二级耐火等级的专用建筑物内时，其防火间距不应小于 10m； </w:t>
      </w:r>
    </w:p>
    <w:p>
      <w:pPr>
        <w:pStyle w:val="BodyText"/>
        <w:rPr>
          <w:sz w:val="18"/>
        </w:rPr>
      </w:pPr>
    </w:p>
    <w:p>
      <w:pPr>
        <w:pStyle w:val="BodyText"/>
        <w:spacing w:line="446" w:lineRule="auto"/>
        <w:ind w:left="418" w:right="1505" w:firstLine="419"/>
      </w:pPr>
      <w:r>
        <w:rPr>
          <w:color w:val="333333"/>
          <w:w w:val="100"/>
        </w:rPr>
        <w:t> </w:t>
      </w:r>
      <w:r>
        <w:rPr>
          <w:color w:val="333333"/>
        </w:rPr>
        <w:t>当设置在独立的一、二级耐火等级的专用建筑物内，且面向使用建筑物一侧采用无门窗洞口的防火墙隔开时，其防火间距不限； </w:t>
      </w:r>
    </w:p>
    <w:p>
      <w:pPr>
        <w:pStyle w:val="BodyText"/>
        <w:spacing w:line="441" w:lineRule="auto"/>
        <w:ind w:left="838" w:right="3344"/>
        <w:jc w:val="both"/>
      </w:pPr>
      <w:r>
        <w:rPr>
          <w:color w:val="333333"/>
          <w:spacing w:val="-5"/>
        </w:rPr>
        <w:t>当低温储存的液氧储罐采取了防火措施时，其防火间距不应小于 </w:t>
      </w:r>
      <w:r>
        <w:rPr>
          <w:color w:val="333333"/>
        </w:rPr>
        <w:t>5m</w:t>
      </w:r>
      <w:r>
        <w:rPr>
          <w:color w:val="333333"/>
          <w:spacing w:val="-3"/>
        </w:rPr>
        <w:t>。医疗卫生机构中的医用液氧储罐气源站的液氧储罐应符合下列规定： </w:t>
      </w:r>
      <w:r>
        <w:rPr>
          <w:color w:val="333333"/>
          <w:spacing w:val="-9"/>
        </w:rPr>
        <w:t>单罐容积不应大于 </w:t>
      </w:r>
      <w:r>
        <w:rPr>
          <w:color w:val="333333"/>
        </w:rPr>
        <w:t>5m</w:t>
      </w:r>
      <w:r>
        <w:rPr>
          <w:color w:val="333333"/>
          <w:position w:val="11"/>
          <w:sz w:val="11"/>
        </w:rPr>
        <w:t>3</w:t>
      </w:r>
      <w:r>
        <w:rPr>
          <w:color w:val="333333"/>
          <w:spacing w:val="-9"/>
        </w:rPr>
        <w:t>，总容积不宜大于 </w:t>
      </w:r>
      <w:r>
        <w:rPr>
          <w:color w:val="333333"/>
        </w:rPr>
        <w:t>20m</w:t>
      </w:r>
      <w:r>
        <w:rPr>
          <w:color w:val="333333"/>
          <w:position w:val="11"/>
          <w:sz w:val="11"/>
        </w:rPr>
        <w:t>3</w:t>
      </w:r>
      <w:r>
        <w:rPr>
          <w:color w:val="333333"/>
        </w:rPr>
        <w:t>； </w:t>
      </w:r>
    </w:p>
    <w:p>
      <w:pPr>
        <w:pStyle w:val="BodyText"/>
        <w:spacing w:before="5"/>
        <w:ind w:left="838"/>
        <w:jc w:val="both"/>
      </w:pPr>
      <w:r>
        <w:rPr>
          <w:color w:val="333333"/>
        </w:rPr>
        <w:t>相邻储罐之间的距离不应小于最大储罐直径的 0.75 倍； </w:t>
      </w:r>
    </w:p>
    <w:p>
      <w:pPr>
        <w:pStyle w:val="BodyText"/>
        <w:rPr>
          <w:sz w:val="18"/>
        </w:rPr>
      </w:pPr>
    </w:p>
    <w:p>
      <w:pPr>
        <w:pStyle w:val="BodyText"/>
        <w:spacing w:line="446" w:lineRule="auto"/>
        <w:ind w:left="418" w:right="1402" w:firstLine="419"/>
        <w:jc w:val="both"/>
      </w:pPr>
      <w:r>
        <w:rPr>
          <w:color w:val="333333"/>
          <w:spacing w:val="-5"/>
        </w:rPr>
        <w:t>医用液氧储罐与医疗卫生机构外建筑的防火间距应符合本规范第 </w:t>
      </w:r>
      <w:r>
        <w:rPr>
          <w:color w:val="333333"/>
        </w:rPr>
        <w:t>4.3.3</w:t>
      </w:r>
      <w:r>
        <w:rPr>
          <w:color w:val="333333"/>
          <w:spacing w:val="-2"/>
        </w:rPr>
        <w:t> 条的规定，与医疗</w:t>
      </w:r>
      <w:r>
        <w:rPr>
          <w:color w:val="333333"/>
          <w:spacing w:val="-3"/>
        </w:rPr>
        <w:t>卫生机构内建筑的防火间距应符合现行国家标准《医用气体工程技术规范》</w:t>
      </w:r>
      <w:r>
        <w:rPr>
          <w:color w:val="333333"/>
        </w:rPr>
        <w:t>GB 50751 的规定。 </w:t>
      </w:r>
    </w:p>
    <w:p>
      <w:pPr>
        <w:pStyle w:val="ListParagraph"/>
        <w:numPr>
          <w:ilvl w:val="2"/>
          <w:numId w:val="253"/>
        </w:numPr>
        <w:tabs>
          <w:tab w:pos="1371" w:val="left" w:leader="none"/>
        </w:tabs>
        <w:spacing w:line="240" w:lineRule="auto" w:before="0" w:after="0"/>
        <w:ind w:left="1370" w:right="0" w:hanging="531"/>
        <w:jc w:val="both"/>
        <w:rPr>
          <w:color w:val="333333"/>
          <w:sz w:val="19"/>
        </w:rPr>
      </w:pPr>
      <w:r>
        <w:rPr>
          <w:color w:val="333333"/>
          <w:spacing w:val="-10"/>
          <w:sz w:val="21"/>
        </w:rPr>
        <w:t>液氧储罐周围 </w:t>
      </w:r>
      <w:r>
        <w:rPr>
          <w:color w:val="333333"/>
          <w:sz w:val="21"/>
        </w:rPr>
        <w:t>5m</w:t>
      </w:r>
      <w:r>
        <w:rPr>
          <w:color w:val="333333"/>
          <w:spacing w:val="-3"/>
          <w:sz w:val="21"/>
        </w:rPr>
        <w:t> 范围内不应有可燃物和沥青路面。</w:t>
      </w:r>
      <w:r>
        <w:rPr>
          <w:color w:val="333333"/>
          <w:sz w:val="21"/>
        </w:rPr>
        <w:t> </w:t>
      </w:r>
    </w:p>
    <w:p>
      <w:pPr>
        <w:pStyle w:val="BodyText"/>
        <w:spacing w:before="12"/>
        <w:rPr>
          <w:sz w:val="17"/>
        </w:rPr>
      </w:pPr>
    </w:p>
    <w:p>
      <w:pPr>
        <w:pStyle w:val="ListParagraph"/>
        <w:numPr>
          <w:ilvl w:val="2"/>
          <w:numId w:val="253"/>
        </w:numPr>
        <w:tabs>
          <w:tab w:pos="1370" w:val="left" w:leader="none"/>
        </w:tabs>
        <w:spacing w:line="240" w:lineRule="auto" w:before="0" w:after="0"/>
        <w:ind w:left="1369" w:right="0" w:hanging="530"/>
        <w:jc w:val="left"/>
        <w:rPr>
          <w:color w:val="333333"/>
          <w:sz w:val="19"/>
        </w:rPr>
      </w:pPr>
      <w:r>
        <w:rPr>
          <w:color w:val="333333"/>
          <w:spacing w:val="-5"/>
          <w:sz w:val="21"/>
        </w:rPr>
        <w:t>可燃、助燃气体储罐与铁路、道路的防火间距不应小于表 </w:t>
      </w:r>
      <w:r>
        <w:rPr>
          <w:color w:val="333333"/>
          <w:sz w:val="21"/>
        </w:rPr>
        <w:t>4.3.6</w:t>
      </w:r>
      <w:r>
        <w:rPr>
          <w:color w:val="333333"/>
          <w:spacing w:val="-2"/>
          <w:sz w:val="21"/>
        </w:rPr>
        <w:t> 的规定。 </w:t>
      </w:r>
    </w:p>
    <w:p>
      <w:pPr>
        <w:pStyle w:val="BodyText"/>
        <w:rPr>
          <w:sz w:val="18"/>
        </w:rPr>
      </w:pPr>
    </w:p>
    <w:p>
      <w:pPr>
        <w:pStyle w:val="Heading6"/>
        <w:ind w:left="2203"/>
      </w:pPr>
      <w:r>
        <w:rPr/>
        <w:t>表 4.3.6 可燃、助燃气体储罐与铁路、道路的防火间距（m）</w:t>
      </w:r>
      <w:r>
        <w:rPr>
          <w:w w:val="99"/>
        </w:rPr>
        <w:t> </w:t>
      </w:r>
    </w:p>
    <w:p>
      <w:pPr>
        <w:pStyle w:val="BodyText"/>
        <w:spacing w:before="4"/>
        <w:rPr>
          <w:b/>
          <w:sz w:val="13"/>
        </w:rPr>
      </w:pPr>
      <w:r>
        <w:rPr/>
        <w:drawing>
          <wp:anchor distT="0" distB="0" distL="0" distR="0" allowOverlap="1" layoutInCell="1" locked="0" behindDoc="0" simplePos="0" relativeHeight="84">
            <wp:simplePos x="0" y="0"/>
            <wp:positionH relativeFrom="page">
              <wp:posOffset>1227455</wp:posOffset>
            </wp:positionH>
            <wp:positionV relativeFrom="paragraph">
              <wp:posOffset>133302</wp:posOffset>
            </wp:positionV>
            <wp:extent cx="5001757" cy="1100137"/>
            <wp:effectExtent l="0" t="0" r="0" b="0"/>
            <wp:wrapTopAndBottom/>
            <wp:docPr id="193" name="image124.jpeg"/>
            <wp:cNvGraphicFramePr>
              <a:graphicFrameLocks noChangeAspect="1"/>
            </wp:cNvGraphicFramePr>
            <a:graphic>
              <a:graphicData uri="http://schemas.openxmlformats.org/drawingml/2006/picture">
                <pic:pic>
                  <pic:nvPicPr>
                    <pic:cNvPr id="194" name="image124.jpeg"/>
                    <pic:cNvPicPr/>
                  </pic:nvPicPr>
                  <pic:blipFill>
                    <a:blip r:embed="rId132" cstate="print"/>
                    <a:stretch>
                      <a:fillRect/>
                    </a:stretch>
                  </pic:blipFill>
                  <pic:spPr>
                    <a:xfrm>
                      <a:off x="0" y="0"/>
                      <a:ext cx="5001757" cy="1100137"/>
                    </a:xfrm>
                    <a:prstGeom prst="rect">
                      <a:avLst/>
                    </a:prstGeom>
                  </pic:spPr>
                </pic:pic>
              </a:graphicData>
            </a:graphic>
          </wp:anchor>
        </w:drawing>
      </w:r>
    </w:p>
    <w:p>
      <w:pPr>
        <w:pStyle w:val="ListParagraph"/>
        <w:numPr>
          <w:ilvl w:val="2"/>
          <w:numId w:val="253"/>
        </w:numPr>
        <w:tabs>
          <w:tab w:pos="1370" w:val="left" w:leader="none"/>
        </w:tabs>
        <w:spacing w:line="446" w:lineRule="auto" w:before="172" w:after="0"/>
        <w:ind w:left="418" w:right="1553" w:firstLine="422"/>
        <w:jc w:val="left"/>
        <w:rPr>
          <w:b/>
          <w:color w:val="333333"/>
          <w:sz w:val="19"/>
        </w:rPr>
      </w:pPr>
      <w:r>
        <w:rPr>
          <w:color w:val="333333"/>
          <w:spacing w:val="-5"/>
          <w:sz w:val="21"/>
        </w:rPr>
        <w:t>液氢、液氨储罐与建筑物、储罐、堆场等的防火间距可按本规范 </w:t>
      </w:r>
      <w:r>
        <w:rPr>
          <w:color w:val="333333"/>
          <w:sz w:val="21"/>
        </w:rPr>
        <w:t>4.4.1 条相应容积</w:t>
      </w:r>
      <w:r>
        <w:rPr>
          <w:color w:val="333333"/>
          <w:spacing w:val="-6"/>
          <w:sz w:val="21"/>
        </w:rPr>
        <w:t>液化石油气储罐防火间距的规定减少 </w:t>
      </w:r>
      <w:r>
        <w:rPr>
          <w:color w:val="333333"/>
          <w:sz w:val="21"/>
        </w:rPr>
        <w:t>25</w:t>
      </w:r>
      <w:r>
        <w:rPr>
          <w:color w:val="333333"/>
          <w:spacing w:val="-2"/>
          <w:sz w:val="21"/>
        </w:rPr>
        <w:t>%确定。</w:t>
      </w:r>
      <w:r>
        <w:rPr>
          <w:b/>
          <w:color w:val="333333"/>
          <w:w w:val="99"/>
          <w:sz w:val="21"/>
        </w:rPr>
        <w:t> </w:t>
      </w:r>
    </w:p>
    <w:p>
      <w:pPr>
        <w:pStyle w:val="ListParagraph"/>
        <w:numPr>
          <w:ilvl w:val="2"/>
          <w:numId w:val="253"/>
        </w:numPr>
        <w:tabs>
          <w:tab w:pos="1370" w:val="left" w:leader="none"/>
        </w:tabs>
        <w:spacing w:line="267" w:lineRule="exact" w:before="0" w:after="0"/>
        <w:ind w:left="1369" w:right="0" w:hanging="530"/>
        <w:jc w:val="left"/>
        <w:rPr>
          <w:color w:val="333333"/>
          <w:sz w:val="19"/>
        </w:rPr>
      </w:pPr>
      <w:r>
        <w:rPr>
          <w:color w:val="333333"/>
          <w:spacing w:val="-3"/>
          <w:sz w:val="21"/>
        </w:rPr>
        <w:t>液化天然气气化站的液化天然气储罐（</w:t>
      </w:r>
      <w:r>
        <w:rPr>
          <w:color w:val="333333"/>
          <w:sz w:val="21"/>
        </w:rPr>
        <w:t>区</w:t>
      </w:r>
      <w:r>
        <w:rPr>
          <w:color w:val="333333"/>
          <w:spacing w:val="-3"/>
          <w:sz w:val="21"/>
        </w:rPr>
        <w:t>）与站外建筑等的防火间距不应小于表</w:t>
      </w:r>
    </w:p>
    <w:p>
      <w:pPr>
        <w:pStyle w:val="BodyText"/>
        <w:spacing w:before="2"/>
        <w:rPr>
          <w:sz w:val="18"/>
        </w:rPr>
      </w:pPr>
    </w:p>
    <w:p>
      <w:pPr>
        <w:pStyle w:val="BodyText"/>
        <w:spacing w:line="446" w:lineRule="auto"/>
        <w:ind w:left="418" w:right="1497"/>
        <w:rPr>
          <w:b/>
        </w:rPr>
      </w:pPr>
      <w:r>
        <w:rPr>
          <w:color w:val="333333"/>
        </w:rPr>
        <w:t>4.3.8 的规定，与表 4.3.8 未规定的其他建筑的防火间距，应符合现行国家标准《城镇燃气设计规范》GB 50028 的规定。</w:t>
      </w:r>
      <w:r>
        <w:rPr>
          <w:b/>
          <w:color w:val="333333"/>
          <w:w w:val="99"/>
        </w:rPr>
        <w:t> </w:t>
      </w:r>
    </w:p>
    <w:p>
      <w:pPr>
        <w:spacing w:after="0" w:line="446" w:lineRule="auto"/>
        <w:sectPr>
          <w:pgSz w:w="11910" w:h="16850"/>
          <w:pgMar w:header="0" w:footer="1239" w:top="1220" w:bottom="1420" w:left="1260" w:right="0"/>
        </w:sectPr>
      </w:pPr>
    </w:p>
    <w:p>
      <w:pPr>
        <w:pStyle w:val="Heading6"/>
        <w:spacing w:before="47"/>
        <w:ind w:left="838"/>
      </w:pPr>
      <w:r>
        <w:rPr/>
        <w:drawing>
          <wp:anchor distT="0" distB="0" distL="0" distR="0" allowOverlap="1" layoutInCell="1" locked="0" behindDoc="0" simplePos="0" relativeHeight="85">
            <wp:simplePos x="0" y="0"/>
            <wp:positionH relativeFrom="page">
              <wp:posOffset>1082039</wp:posOffset>
            </wp:positionH>
            <wp:positionV relativeFrom="paragraph">
              <wp:posOffset>253745</wp:posOffset>
            </wp:positionV>
            <wp:extent cx="5476090" cy="6419850"/>
            <wp:effectExtent l="0" t="0" r="0" b="0"/>
            <wp:wrapTopAndBottom/>
            <wp:docPr id="195" name="image125.jpeg"/>
            <wp:cNvGraphicFramePr>
              <a:graphicFrameLocks noChangeAspect="1"/>
            </wp:cNvGraphicFramePr>
            <a:graphic>
              <a:graphicData uri="http://schemas.openxmlformats.org/drawingml/2006/picture">
                <pic:pic>
                  <pic:nvPicPr>
                    <pic:cNvPr id="196" name="image125.jpeg"/>
                    <pic:cNvPicPr/>
                  </pic:nvPicPr>
                  <pic:blipFill>
                    <a:blip r:embed="rId133" cstate="print"/>
                    <a:stretch>
                      <a:fillRect/>
                    </a:stretch>
                  </pic:blipFill>
                  <pic:spPr>
                    <a:xfrm>
                      <a:off x="0" y="0"/>
                      <a:ext cx="5476090" cy="6419850"/>
                    </a:xfrm>
                    <a:prstGeom prst="rect">
                      <a:avLst/>
                    </a:prstGeom>
                  </pic:spPr>
                </pic:pic>
              </a:graphicData>
            </a:graphic>
          </wp:anchor>
        </w:drawing>
      </w:r>
      <w:r>
        <w:rPr/>
        <w:t>表 4.3.8 液化天然气气化站的液化天然气储罐（区）与站外建筑等的防火间距（m）</w:t>
      </w:r>
      <w:r>
        <w:rPr>
          <w:w w:val="99"/>
        </w:rPr>
        <w:t> </w:t>
      </w:r>
    </w:p>
    <w:p>
      <w:pPr>
        <w:pStyle w:val="BodyText"/>
        <w:spacing w:line="446" w:lineRule="auto" w:before="176"/>
        <w:ind w:left="418" w:right="1611" w:firstLine="419"/>
      </w:pPr>
      <w:r>
        <w:rPr>
          <w:color w:val="333333"/>
          <w:spacing w:val="-8"/>
        </w:rPr>
        <w:t>注：居住区、村镇指 </w:t>
      </w:r>
      <w:r>
        <w:rPr>
          <w:color w:val="333333"/>
        </w:rPr>
        <w:t>1000</w:t>
      </w:r>
      <w:r>
        <w:rPr>
          <w:color w:val="333333"/>
          <w:spacing w:val="-13"/>
        </w:rPr>
        <w:t> 人或 </w:t>
      </w:r>
      <w:r>
        <w:rPr>
          <w:color w:val="333333"/>
        </w:rPr>
        <w:t>300</w:t>
      </w:r>
      <w:r>
        <w:rPr>
          <w:color w:val="333333"/>
          <w:spacing w:val="-8"/>
        </w:rPr>
        <w:t> 户及以上者；当少于 </w:t>
      </w:r>
      <w:r>
        <w:rPr>
          <w:color w:val="333333"/>
        </w:rPr>
        <w:t>1000</w:t>
      </w:r>
      <w:r>
        <w:rPr>
          <w:color w:val="333333"/>
          <w:spacing w:val="-13"/>
        </w:rPr>
        <w:t> 人或 </w:t>
      </w:r>
      <w:r>
        <w:rPr>
          <w:color w:val="333333"/>
        </w:rPr>
        <w:t>300</w:t>
      </w:r>
      <w:r>
        <w:rPr>
          <w:color w:val="333333"/>
          <w:spacing w:val="-2"/>
        </w:rPr>
        <w:t> 户时，相应防火</w:t>
      </w:r>
      <w:r>
        <w:rPr>
          <w:color w:val="333333"/>
          <w:spacing w:val="-3"/>
        </w:rPr>
        <w:t>间距应按本表有关其他民用建筑的要求确定。</w:t>
      </w:r>
      <w:r>
        <w:rPr>
          <w:color w:val="333333"/>
        </w:rPr>
        <w:t> </w:t>
      </w:r>
    </w:p>
    <w:p>
      <w:pPr>
        <w:pStyle w:val="ListParagraph"/>
        <w:numPr>
          <w:ilvl w:val="1"/>
          <w:numId w:val="248"/>
        </w:numPr>
        <w:tabs>
          <w:tab w:pos="1159" w:val="left" w:leader="none"/>
        </w:tabs>
        <w:spacing w:line="240" w:lineRule="auto" w:before="0" w:after="0"/>
        <w:ind w:left="1158" w:right="0" w:hanging="319"/>
        <w:jc w:val="left"/>
        <w:rPr>
          <w:sz w:val="21"/>
        </w:rPr>
      </w:pPr>
      <w:r>
        <w:rPr>
          <w:spacing w:val="-3"/>
          <w:sz w:val="21"/>
        </w:rPr>
        <w:t>液化石油气储罐</w:t>
      </w:r>
      <w:r>
        <w:rPr>
          <w:sz w:val="21"/>
        </w:rPr>
        <w:t>（</w:t>
      </w:r>
      <w:r>
        <w:rPr>
          <w:spacing w:val="-3"/>
          <w:sz w:val="21"/>
        </w:rPr>
        <w:t>区</w:t>
      </w:r>
      <w:r>
        <w:rPr>
          <w:sz w:val="21"/>
        </w:rPr>
        <w:t>）</w:t>
      </w:r>
      <w:r>
        <w:rPr>
          <w:spacing w:val="-3"/>
          <w:sz w:val="21"/>
        </w:rPr>
        <w:t>的防火间距</w:t>
      </w:r>
      <w:r>
        <w:rPr>
          <w:sz w:val="21"/>
        </w:rPr>
        <w:t> </w:t>
      </w:r>
    </w:p>
    <w:p>
      <w:pPr>
        <w:pStyle w:val="BodyText"/>
        <w:spacing w:before="12"/>
        <w:rPr>
          <w:sz w:val="17"/>
        </w:rPr>
      </w:pPr>
    </w:p>
    <w:p>
      <w:pPr>
        <w:pStyle w:val="ListParagraph"/>
        <w:numPr>
          <w:ilvl w:val="2"/>
          <w:numId w:val="248"/>
        </w:numPr>
        <w:tabs>
          <w:tab w:pos="1370" w:val="left" w:leader="none"/>
        </w:tabs>
        <w:spacing w:line="446" w:lineRule="auto" w:before="0" w:after="0"/>
        <w:ind w:left="418" w:right="1508" w:firstLine="422"/>
        <w:jc w:val="left"/>
        <w:rPr>
          <w:sz w:val="21"/>
        </w:rPr>
      </w:pPr>
      <w:r>
        <w:rPr>
          <w:color w:val="333333"/>
          <w:spacing w:val="-3"/>
          <w:sz w:val="21"/>
        </w:rPr>
        <w:t>液化石油气供应基地的全压式和半冷冻式储罐</w:t>
      </w:r>
      <w:r>
        <w:rPr>
          <w:color w:val="333333"/>
          <w:sz w:val="21"/>
        </w:rPr>
        <w:t>（</w:t>
      </w:r>
      <w:r>
        <w:rPr>
          <w:color w:val="333333"/>
          <w:spacing w:val="-3"/>
          <w:sz w:val="21"/>
        </w:rPr>
        <w:t>区</w:t>
      </w:r>
      <w:r>
        <w:rPr>
          <w:color w:val="333333"/>
          <w:sz w:val="21"/>
        </w:rPr>
        <w:t>）</w:t>
      </w:r>
      <w:r>
        <w:rPr>
          <w:color w:val="333333"/>
          <w:spacing w:val="-3"/>
          <w:sz w:val="21"/>
        </w:rPr>
        <w:t>，与明火或散发火花地点和基地</w:t>
      </w:r>
      <w:r>
        <w:rPr>
          <w:color w:val="333333"/>
          <w:spacing w:val="-6"/>
          <w:sz w:val="21"/>
        </w:rPr>
        <w:t>外建筑等的防火间距不应小于表 </w:t>
      </w:r>
      <w:r>
        <w:rPr>
          <w:color w:val="333333"/>
          <w:sz w:val="21"/>
        </w:rPr>
        <w:t>4.4.1</w:t>
      </w:r>
      <w:r>
        <w:rPr>
          <w:color w:val="333333"/>
          <w:spacing w:val="-7"/>
          <w:sz w:val="21"/>
        </w:rPr>
        <w:t> 的规定，与表 </w:t>
      </w:r>
      <w:r>
        <w:rPr>
          <w:color w:val="333333"/>
          <w:sz w:val="21"/>
        </w:rPr>
        <w:t>4.4.1</w:t>
      </w:r>
      <w:r>
        <w:rPr>
          <w:color w:val="333333"/>
          <w:spacing w:val="-3"/>
          <w:sz w:val="21"/>
        </w:rPr>
        <w:t> 未规定的其他建筑的防火间距应符合现行国家标准《城镇燃气设计规范》</w:t>
      </w:r>
      <w:r>
        <w:rPr>
          <w:color w:val="333333"/>
          <w:sz w:val="21"/>
        </w:rPr>
        <w:t>GB</w:t>
      </w:r>
      <w:r>
        <w:rPr>
          <w:color w:val="333333"/>
          <w:spacing w:val="1"/>
          <w:sz w:val="21"/>
        </w:rPr>
        <w:t> </w:t>
      </w:r>
      <w:r>
        <w:rPr>
          <w:color w:val="333333"/>
          <w:sz w:val="21"/>
        </w:rPr>
        <w:t>50028</w:t>
      </w:r>
      <w:r>
        <w:rPr>
          <w:color w:val="333333"/>
          <w:spacing w:val="-3"/>
          <w:sz w:val="21"/>
        </w:rPr>
        <w:t> 的规定。</w:t>
      </w:r>
      <w:r>
        <w:rPr>
          <w:color w:val="333333"/>
          <w:sz w:val="21"/>
        </w:rPr>
        <w:t> </w:t>
      </w:r>
    </w:p>
    <w:p>
      <w:pPr>
        <w:spacing w:after="0" w:line="446" w:lineRule="auto"/>
        <w:jc w:val="left"/>
        <w:rPr>
          <w:sz w:val="21"/>
        </w:rPr>
        <w:sectPr>
          <w:pgSz w:w="11910" w:h="16850"/>
          <w:pgMar w:header="0" w:footer="1239" w:top="1220" w:bottom="1420" w:left="1260" w:right="0"/>
        </w:sectPr>
      </w:pPr>
    </w:p>
    <w:p>
      <w:pPr>
        <w:pStyle w:val="Heading6"/>
        <w:spacing w:before="47"/>
        <w:ind w:left="886"/>
      </w:pPr>
      <w:r>
        <w:rPr/>
        <w:t>表 4.4.1 液化石油气供应基地的全压式和半冷冻式储罐（区）与明火或散发火花地点和基</w:t>
      </w:r>
    </w:p>
    <w:p>
      <w:pPr>
        <w:pStyle w:val="BodyText"/>
        <w:rPr>
          <w:b/>
          <w:sz w:val="18"/>
        </w:rPr>
      </w:pPr>
    </w:p>
    <w:p>
      <w:pPr>
        <w:spacing w:before="0"/>
        <w:ind w:left="3495" w:right="0" w:firstLine="0"/>
        <w:jc w:val="left"/>
        <w:rPr>
          <w:b/>
          <w:sz w:val="21"/>
        </w:rPr>
      </w:pPr>
      <w:r>
        <w:rPr/>
        <w:drawing>
          <wp:anchor distT="0" distB="0" distL="0" distR="0" allowOverlap="1" layoutInCell="1" locked="0" behindDoc="0" simplePos="0" relativeHeight="86">
            <wp:simplePos x="0" y="0"/>
            <wp:positionH relativeFrom="page">
              <wp:posOffset>1265555</wp:posOffset>
            </wp:positionH>
            <wp:positionV relativeFrom="paragraph">
              <wp:posOffset>239395</wp:posOffset>
            </wp:positionV>
            <wp:extent cx="4951657" cy="6677025"/>
            <wp:effectExtent l="0" t="0" r="0" b="0"/>
            <wp:wrapTopAndBottom/>
            <wp:docPr id="197" name="image126.jpeg"/>
            <wp:cNvGraphicFramePr>
              <a:graphicFrameLocks noChangeAspect="1"/>
            </wp:cNvGraphicFramePr>
            <a:graphic>
              <a:graphicData uri="http://schemas.openxmlformats.org/drawingml/2006/picture">
                <pic:pic>
                  <pic:nvPicPr>
                    <pic:cNvPr id="198" name="image126.jpeg"/>
                    <pic:cNvPicPr/>
                  </pic:nvPicPr>
                  <pic:blipFill>
                    <a:blip r:embed="rId134" cstate="print"/>
                    <a:stretch>
                      <a:fillRect/>
                    </a:stretch>
                  </pic:blipFill>
                  <pic:spPr>
                    <a:xfrm>
                      <a:off x="0" y="0"/>
                      <a:ext cx="4951657" cy="6677025"/>
                    </a:xfrm>
                    <a:prstGeom prst="rect">
                      <a:avLst/>
                    </a:prstGeom>
                  </pic:spPr>
                </pic:pic>
              </a:graphicData>
            </a:graphic>
          </wp:anchor>
        </w:drawing>
      </w:r>
      <w:r>
        <w:rPr>
          <w:b/>
          <w:sz w:val="21"/>
        </w:rPr>
        <w:t>地外建筑等的防火间距（m）</w:t>
      </w:r>
      <w:r>
        <w:rPr>
          <w:b/>
          <w:w w:val="99"/>
          <w:sz w:val="21"/>
        </w:rPr>
        <w:t> </w:t>
      </w:r>
    </w:p>
    <w:p>
      <w:pPr>
        <w:pStyle w:val="BodyText"/>
        <w:spacing w:before="7"/>
        <w:rPr>
          <w:b/>
          <w:sz w:val="18"/>
        </w:rPr>
      </w:pPr>
    </w:p>
    <w:p>
      <w:pPr>
        <w:pStyle w:val="BodyText"/>
        <w:ind w:left="838"/>
      </w:pPr>
      <w:r>
        <w:rPr>
          <w:color w:val="333333"/>
        </w:rPr>
        <w:t>注：1.防火间距应按本表储罐区的总容积或单罐容积的较大者确定。 </w:t>
      </w:r>
    </w:p>
    <w:p>
      <w:pPr>
        <w:pStyle w:val="BodyText"/>
        <w:spacing w:before="5"/>
        <w:rPr>
          <w:sz w:val="17"/>
        </w:rPr>
      </w:pPr>
    </w:p>
    <w:p>
      <w:pPr>
        <w:pStyle w:val="BodyText"/>
        <w:spacing w:line="446" w:lineRule="auto"/>
        <w:ind w:left="418" w:right="1606" w:firstLine="419"/>
      </w:pPr>
      <w:r>
        <w:rPr>
          <w:color w:val="333333"/>
          <w:w w:val="100"/>
        </w:rPr>
        <w:t> </w:t>
      </w:r>
      <w:r>
        <w:rPr>
          <w:color w:val="333333"/>
        </w:rPr>
        <w:t> 2.</w:t>
      </w:r>
      <w:r>
        <w:rPr>
          <w:color w:val="333333"/>
          <w:spacing w:val="-6"/>
        </w:rPr>
        <w:t> 当地下液化石油气储罐的单罐容积不大于 </w:t>
      </w:r>
      <w:r>
        <w:rPr>
          <w:color w:val="333333"/>
        </w:rPr>
        <w:t>50m</w:t>
      </w:r>
      <w:r>
        <w:rPr>
          <w:color w:val="333333"/>
          <w:position w:val="11"/>
          <w:sz w:val="11"/>
        </w:rPr>
        <w:t>3</w:t>
      </w:r>
      <w:r>
        <w:rPr>
          <w:color w:val="333333"/>
          <w:spacing w:val="-9"/>
        </w:rPr>
        <w:t>，总容积不大于 </w:t>
      </w:r>
      <w:r>
        <w:rPr>
          <w:color w:val="333333"/>
        </w:rPr>
        <w:t>400m</w:t>
      </w:r>
      <w:r>
        <w:rPr>
          <w:color w:val="333333"/>
          <w:position w:val="11"/>
          <w:sz w:val="11"/>
        </w:rPr>
        <w:t>3</w:t>
      </w:r>
      <w:r>
        <w:rPr>
          <w:color w:val="333333"/>
          <w:sz w:val="11"/>
        </w:rPr>
        <w:t> </w:t>
      </w:r>
      <w:r>
        <w:rPr>
          <w:color w:val="333333"/>
          <w:spacing w:val="-3"/>
        </w:rPr>
        <w:t>时，其防火间</w:t>
      </w:r>
      <w:r>
        <w:rPr>
          <w:color w:val="333333"/>
          <w:spacing w:val="-8"/>
        </w:rPr>
        <w:t>距可按本表的规定减少 </w:t>
      </w:r>
      <w:r>
        <w:rPr>
          <w:color w:val="333333"/>
        </w:rPr>
        <w:t>50</w:t>
      </w:r>
      <w:r>
        <w:rPr>
          <w:color w:val="333333"/>
          <w:spacing w:val="-2"/>
        </w:rPr>
        <w:t>%。</w:t>
      </w:r>
      <w:r>
        <w:rPr>
          <w:color w:val="333333"/>
        </w:rPr>
        <w:t> </w:t>
      </w:r>
    </w:p>
    <w:p>
      <w:pPr>
        <w:pStyle w:val="BodyText"/>
        <w:spacing w:line="446" w:lineRule="auto"/>
        <w:ind w:left="418" w:right="1611" w:firstLine="419"/>
      </w:pPr>
      <w:r>
        <w:rPr>
          <w:color w:val="333333"/>
          <w:w w:val="100"/>
        </w:rPr>
        <w:t> </w:t>
      </w:r>
      <w:r>
        <w:rPr>
          <w:color w:val="333333"/>
        </w:rPr>
        <w:t> 3.</w:t>
      </w:r>
      <w:r>
        <w:rPr>
          <w:color w:val="333333"/>
          <w:spacing w:val="-9"/>
        </w:rPr>
        <w:t>居住区、村镇指 </w:t>
      </w:r>
      <w:r>
        <w:rPr>
          <w:color w:val="333333"/>
        </w:rPr>
        <w:t>1000</w:t>
      </w:r>
      <w:r>
        <w:rPr>
          <w:color w:val="333333"/>
          <w:spacing w:val="-13"/>
        </w:rPr>
        <w:t> 人或 </w:t>
      </w:r>
      <w:r>
        <w:rPr>
          <w:color w:val="333333"/>
        </w:rPr>
        <w:t>300</w:t>
      </w:r>
      <w:r>
        <w:rPr>
          <w:color w:val="333333"/>
          <w:spacing w:val="-8"/>
        </w:rPr>
        <w:t> 户及以上者；当少于 </w:t>
      </w:r>
      <w:r>
        <w:rPr>
          <w:color w:val="333333"/>
        </w:rPr>
        <w:t>1000</w:t>
      </w:r>
      <w:r>
        <w:rPr>
          <w:color w:val="333333"/>
          <w:spacing w:val="-13"/>
        </w:rPr>
        <w:t> 人或 </w:t>
      </w:r>
      <w:r>
        <w:rPr>
          <w:color w:val="333333"/>
        </w:rPr>
        <w:t>300</w:t>
      </w:r>
      <w:r>
        <w:rPr>
          <w:color w:val="333333"/>
          <w:spacing w:val="-2"/>
        </w:rPr>
        <w:t> 户时，相应防火</w:t>
      </w:r>
      <w:r>
        <w:rPr>
          <w:color w:val="333333"/>
          <w:spacing w:val="-3"/>
        </w:rPr>
        <w:t>间距应按本表有关其他民用建筑的要求确定。</w:t>
      </w:r>
      <w:r>
        <w:rPr>
          <w:color w:val="333333"/>
        </w:rPr>
        <w:t> </w:t>
      </w:r>
    </w:p>
    <w:p>
      <w:pPr>
        <w:spacing w:after="0" w:line="446" w:lineRule="auto"/>
        <w:sectPr>
          <w:pgSz w:w="11910" w:h="16850"/>
          <w:pgMar w:header="0" w:footer="1239" w:top="1220" w:bottom="1420" w:left="1260" w:right="0"/>
        </w:sectPr>
      </w:pPr>
    </w:p>
    <w:p>
      <w:pPr>
        <w:pStyle w:val="ListParagraph"/>
        <w:numPr>
          <w:ilvl w:val="2"/>
          <w:numId w:val="248"/>
        </w:numPr>
        <w:tabs>
          <w:tab w:pos="1370" w:val="left" w:leader="none"/>
        </w:tabs>
        <w:spacing w:line="240" w:lineRule="auto" w:before="47" w:after="0"/>
        <w:ind w:left="1369" w:right="0" w:hanging="530"/>
        <w:jc w:val="left"/>
        <w:rPr>
          <w:b/>
          <w:sz w:val="21"/>
        </w:rPr>
      </w:pPr>
      <w:r>
        <w:rPr>
          <w:color w:val="333333"/>
          <w:spacing w:val="-3"/>
          <w:sz w:val="21"/>
        </w:rPr>
        <w:t>液化石油气储罐之间的防火间距不应小于相邻较大罐的直径。</w:t>
      </w:r>
      <w:r>
        <w:rPr>
          <w:b/>
          <w:color w:val="333333"/>
          <w:w w:val="99"/>
          <w:sz w:val="21"/>
        </w:rPr>
        <w:t> </w:t>
      </w:r>
    </w:p>
    <w:p>
      <w:pPr>
        <w:pStyle w:val="BodyText"/>
        <w:spacing w:before="3"/>
        <w:rPr>
          <w:b/>
          <w:sz w:val="17"/>
        </w:rPr>
      </w:pPr>
    </w:p>
    <w:p>
      <w:pPr>
        <w:pStyle w:val="BodyText"/>
        <w:spacing w:line="446" w:lineRule="auto"/>
        <w:ind w:left="418" w:right="1608" w:firstLine="419"/>
        <w:rPr>
          <w:b/>
        </w:rPr>
      </w:pPr>
      <w:r>
        <w:rPr>
          <w:color w:val="333333"/>
          <w:spacing w:val="-7"/>
        </w:rPr>
        <w:t>数个储罐的总容积大于 </w:t>
      </w:r>
      <w:r>
        <w:rPr>
          <w:color w:val="333333"/>
        </w:rPr>
        <w:t>3000m</w:t>
      </w:r>
      <w:r>
        <w:rPr>
          <w:color w:val="333333"/>
          <w:position w:val="11"/>
          <w:sz w:val="11"/>
        </w:rPr>
        <w:t>3</w:t>
      </w:r>
      <w:r>
        <w:rPr>
          <w:color w:val="333333"/>
          <w:sz w:val="11"/>
        </w:rPr>
        <w:t> </w:t>
      </w:r>
      <w:r>
        <w:rPr>
          <w:color w:val="333333"/>
          <w:spacing w:val="-3"/>
        </w:rPr>
        <w:t>时，应分组布置，组内储罐宜采用单排布置。组与组相邻</w:t>
      </w:r>
      <w:r>
        <w:rPr>
          <w:color w:val="333333"/>
          <w:spacing w:val="-7"/>
        </w:rPr>
        <w:t>储罐之间的防火间距不应小于 </w:t>
      </w:r>
      <w:r>
        <w:rPr>
          <w:color w:val="333333"/>
        </w:rPr>
        <w:t>20m</w:t>
      </w:r>
      <w:r>
        <w:rPr>
          <w:color w:val="333333"/>
          <w:spacing w:val="-3"/>
        </w:rPr>
        <w:t>。</w:t>
      </w:r>
      <w:r>
        <w:rPr>
          <w:b/>
          <w:color w:val="333333"/>
          <w:w w:val="99"/>
        </w:rPr>
        <w:t> </w:t>
      </w:r>
    </w:p>
    <w:p>
      <w:pPr>
        <w:pStyle w:val="ListParagraph"/>
        <w:numPr>
          <w:ilvl w:val="2"/>
          <w:numId w:val="248"/>
        </w:numPr>
        <w:tabs>
          <w:tab w:pos="1370" w:val="left" w:leader="none"/>
        </w:tabs>
        <w:spacing w:line="446" w:lineRule="auto" w:before="0" w:after="0"/>
        <w:ind w:left="418" w:right="1445" w:firstLine="422"/>
        <w:jc w:val="left"/>
        <w:rPr>
          <w:sz w:val="21"/>
        </w:rPr>
      </w:pPr>
      <w:r>
        <w:rPr>
          <w:color w:val="333333"/>
          <w:spacing w:val="-5"/>
          <w:sz w:val="21"/>
        </w:rPr>
        <w:t>液化石油气储罐与所属泵房的防火间距不应小于 </w:t>
      </w:r>
      <w:r>
        <w:rPr>
          <w:color w:val="333333"/>
          <w:sz w:val="21"/>
        </w:rPr>
        <w:t>15m</w:t>
      </w:r>
      <w:r>
        <w:rPr>
          <w:color w:val="333333"/>
          <w:spacing w:val="-3"/>
          <w:sz w:val="21"/>
        </w:rPr>
        <w:t>。当泵房面向储罐一侧的外墙采</w:t>
      </w:r>
      <w:r>
        <w:rPr>
          <w:color w:val="333333"/>
          <w:spacing w:val="-5"/>
          <w:sz w:val="21"/>
        </w:rPr>
        <w:t>用无门、窗、洞口的防火墙时，防火间距可减至 </w:t>
      </w:r>
      <w:r>
        <w:rPr>
          <w:color w:val="333333"/>
          <w:spacing w:val="-3"/>
          <w:sz w:val="21"/>
        </w:rPr>
        <w:t>6m。液化石油气泵露天设置在储罐区内时，储罐与泵的防火间距不限。</w:t>
      </w:r>
      <w:r>
        <w:rPr>
          <w:color w:val="333333"/>
          <w:sz w:val="21"/>
        </w:rPr>
        <w:t> </w:t>
      </w:r>
    </w:p>
    <w:p>
      <w:pPr>
        <w:pStyle w:val="ListParagraph"/>
        <w:numPr>
          <w:ilvl w:val="2"/>
          <w:numId w:val="248"/>
        </w:numPr>
        <w:tabs>
          <w:tab w:pos="1371" w:val="left" w:leader="none"/>
        </w:tabs>
        <w:spacing w:line="446" w:lineRule="auto" w:before="0" w:after="0"/>
        <w:ind w:left="418" w:right="1604" w:firstLine="422"/>
        <w:jc w:val="left"/>
        <w:rPr>
          <w:sz w:val="21"/>
        </w:rPr>
      </w:pPr>
      <w:r>
        <w:rPr>
          <w:color w:val="333333"/>
          <w:spacing w:val="-3"/>
          <w:sz w:val="21"/>
        </w:rPr>
        <w:t>全冷冻式液化石油气储罐、液化石油气气化站、混气站的储罐与周围建筑的防火间距，应符合现行国家标准《城镇燃气设计规范》</w:t>
      </w:r>
      <w:r>
        <w:rPr>
          <w:color w:val="333333"/>
          <w:sz w:val="21"/>
        </w:rPr>
        <w:t>GB</w:t>
      </w:r>
      <w:r>
        <w:rPr>
          <w:color w:val="333333"/>
          <w:spacing w:val="-2"/>
          <w:sz w:val="21"/>
        </w:rPr>
        <w:t> </w:t>
      </w:r>
      <w:r>
        <w:rPr>
          <w:color w:val="333333"/>
          <w:sz w:val="21"/>
        </w:rPr>
        <w:t>50028</w:t>
      </w:r>
      <w:r>
        <w:rPr>
          <w:color w:val="333333"/>
          <w:spacing w:val="-3"/>
          <w:sz w:val="21"/>
        </w:rPr>
        <w:t> 的规定。</w:t>
      </w:r>
      <w:r>
        <w:rPr>
          <w:color w:val="333333"/>
          <w:sz w:val="21"/>
        </w:rPr>
        <w:t> </w:t>
      </w:r>
    </w:p>
    <w:p>
      <w:pPr>
        <w:pStyle w:val="BodyText"/>
        <w:spacing w:line="446" w:lineRule="auto"/>
        <w:ind w:left="418" w:right="1608" w:firstLine="419"/>
        <w:jc w:val="both"/>
      </w:pPr>
      <w:r>
        <w:rPr>
          <w:color w:val="333333"/>
          <w:spacing w:val="-7"/>
        </w:rPr>
        <w:t>工业企业内总容积不大于 </w:t>
      </w:r>
      <w:r>
        <w:rPr>
          <w:color w:val="333333"/>
        </w:rPr>
        <w:t>10m</w:t>
      </w:r>
      <w:r>
        <w:rPr>
          <w:color w:val="333333"/>
          <w:position w:val="11"/>
          <w:sz w:val="11"/>
        </w:rPr>
        <w:t>3</w:t>
      </w:r>
      <w:r>
        <w:rPr>
          <w:color w:val="333333"/>
          <w:sz w:val="11"/>
        </w:rPr>
        <w:t> </w:t>
      </w:r>
      <w:r>
        <w:rPr>
          <w:color w:val="333333"/>
          <w:spacing w:val="-3"/>
        </w:rPr>
        <w:t>的液化石油气气化站、混气站的储罐，当设置在专用的独立建筑内时，建筑外墙与相邻厂房及其附属设备的防火间距可按甲类厂房有关防火间距的规定确定。当露天设置时，与建筑物、储罐、堆场等的防火间距应符合现行国家标准《城镇燃气设计规范》</w:t>
      </w:r>
      <w:r>
        <w:rPr>
          <w:color w:val="333333"/>
        </w:rPr>
        <w:t>GB 50028</w:t>
      </w:r>
      <w:r>
        <w:rPr>
          <w:color w:val="333333"/>
          <w:spacing w:val="-3"/>
        </w:rPr>
        <w:t> 的规定。 </w:t>
      </w:r>
    </w:p>
    <w:p>
      <w:pPr>
        <w:pStyle w:val="ListParagraph"/>
        <w:numPr>
          <w:ilvl w:val="2"/>
          <w:numId w:val="248"/>
        </w:numPr>
        <w:tabs>
          <w:tab w:pos="1370" w:val="left" w:leader="none"/>
        </w:tabs>
        <w:spacing w:line="441" w:lineRule="auto" w:before="0" w:after="0"/>
        <w:ind w:left="418" w:right="1474" w:firstLine="422"/>
        <w:jc w:val="left"/>
        <w:rPr>
          <w:sz w:val="21"/>
        </w:rPr>
      </w:pPr>
      <w:r>
        <w:rPr>
          <w:color w:val="333333"/>
          <w:spacing w:val="-5"/>
          <w:sz w:val="21"/>
        </w:rPr>
        <w:t>Ⅰ、Ⅱ级瓶装液化石油气供应站瓶库与站外建筑等的防火间距不应小于表 </w:t>
      </w:r>
      <w:r>
        <w:rPr>
          <w:color w:val="333333"/>
          <w:sz w:val="21"/>
        </w:rPr>
        <w:t>4.4.5</w:t>
      </w:r>
      <w:r>
        <w:rPr>
          <w:color w:val="333333"/>
          <w:spacing w:val="9"/>
          <w:sz w:val="21"/>
        </w:rPr>
        <w:t> 的</w:t>
      </w:r>
      <w:r>
        <w:rPr>
          <w:color w:val="333333"/>
          <w:spacing w:val="-4"/>
          <w:sz w:val="21"/>
        </w:rPr>
        <w:t>规定。瓶装液化石油气供应站的分级及总存瓶容积不大于 </w:t>
      </w:r>
      <w:r>
        <w:rPr>
          <w:color w:val="333333"/>
          <w:sz w:val="21"/>
        </w:rPr>
        <w:t>1m</w:t>
      </w:r>
      <w:r>
        <w:rPr>
          <w:color w:val="333333"/>
          <w:position w:val="11"/>
          <w:sz w:val="11"/>
        </w:rPr>
        <w:t>3</w:t>
      </w:r>
      <w:r>
        <w:rPr>
          <w:color w:val="333333"/>
          <w:spacing w:val="-16"/>
          <w:position w:val="11"/>
          <w:sz w:val="11"/>
        </w:rPr>
        <w:t> </w:t>
      </w:r>
      <w:r>
        <w:rPr>
          <w:color w:val="333333"/>
          <w:spacing w:val="-3"/>
          <w:sz w:val="21"/>
        </w:rPr>
        <w:t>的瓶装供应站瓶库的设置，应符合现行国家标准《城镇燃气设计规范》</w:t>
      </w:r>
      <w:r>
        <w:rPr>
          <w:color w:val="333333"/>
          <w:sz w:val="21"/>
        </w:rPr>
        <w:t>GB</w:t>
      </w:r>
      <w:r>
        <w:rPr>
          <w:color w:val="333333"/>
          <w:spacing w:val="1"/>
          <w:sz w:val="21"/>
        </w:rPr>
        <w:t> </w:t>
      </w:r>
      <w:r>
        <w:rPr>
          <w:color w:val="333333"/>
          <w:sz w:val="21"/>
        </w:rPr>
        <w:t>50028</w:t>
      </w:r>
      <w:r>
        <w:rPr>
          <w:color w:val="333333"/>
          <w:spacing w:val="-3"/>
          <w:sz w:val="21"/>
        </w:rPr>
        <w:t> 的规定。</w:t>
      </w:r>
      <w:r>
        <w:rPr>
          <w:color w:val="333333"/>
          <w:sz w:val="21"/>
        </w:rPr>
        <w:t> </w:t>
      </w:r>
    </w:p>
    <w:p>
      <w:pPr>
        <w:pStyle w:val="Heading6"/>
        <w:ind w:left="1464"/>
      </w:pPr>
      <w:r>
        <w:rPr/>
        <w:drawing>
          <wp:anchor distT="0" distB="0" distL="0" distR="0" allowOverlap="1" layoutInCell="1" locked="0" behindDoc="0" simplePos="0" relativeHeight="87">
            <wp:simplePos x="0" y="0"/>
            <wp:positionH relativeFrom="page">
              <wp:posOffset>1056005</wp:posOffset>
            </wp:positionH>
            <wp:positionV relativeFrom="paragraph">
              <wp:posOffset>220471</wp:posOffset>
            </wp:positionV>
            <wp:extent cx="5334000" cy="2038350"/>
            <wp:effectExtent l="0" t="0" r="0" b="0"/>
            <wp:wrapTopAndBottom/>
            <wp:docPr id="199" name="image127.jpeg"/>
            <wp:cNvGraphicFramePr>
              <a:graphicFrameLocks noChangeAspect="1"/>
            </wp:cNvGraphicFramePr>
            <a:graphic>
              <a:graphicData uri="http://schemas.openxmlformats.org/drawingml/2006/picture">
                <pic:pic>
                  <pic:nvPicPr>
                    <pic:cNvPr id="200" name="image127.jpeg"/>
                    <pic:cNvPicPr/>
                  </pic:nvPicPr>
                  <pic:blipFill>
                    <a:blip r:embed="rId135" cstate="print"/>
                    <a:stretch>
                      <a:fillRect/>
                    </a:stretch>
                  </pic:blipFill>
                  <pic:spPr>
                    <a:xfrm>
                      <a:off x="0" y="0"/>
                      <a:ext cx="5334000" cy="2038350"/>
                    </a:xfrm>
                    <a:prstGeom prst="rect">
                      <a:avLst/>
                    </a:prstGeom>
                  </pic:spPr>
                </pic:pic>
              </a:graphicData>
            </a:graphic>
          </wp:anchor>
        </w:drawing>
      </w:r>
      <w:r>
        <w:rPr/>
        <w:t>表 4.4.5 Ⅰ、Ⅱ级瓶装液化石油气供应站瓶库与站外建筑等的防火间距（m）</w:t>
      </w:r>
      <w:r>
        <w:rPr>
          <w:w w:val="99"/>
        </w:rPr>
        <w:t> </w:t>
      </w:r>
    </w:p>
    <w:p>
      <w:pPr>
        <w:pStyle w:val="BodyText"/>
        <w:spacing w:before="163"/>
        <w:ind w:left="838"/>
      </w:pPr>
      <w:r>
        <w:rPr>
          <w:color w:val="333333"/>
        </w:rPr>
        <w:t>注：总存瓶容积应按实瓶个数与单瓶几何容积的乘积计算。 </w:t>
      </w:r>
    </w:p>
    <w:p>
      <w:pPr>
        <w:pStyle w:val="BodyText"/>
        <w:spacing w:before="2"/>
        <w:rPr>
          <w:sz w:val="18"/>
        </w:rPr>
      </w:pPr>
    </w:p>
    <w:p>
      <w:pPr>
        <w:pStyle w:val="ListParagraph"/>
        <w:numPr>
          <w:ilvl w:val="2"/>
          <w:numId w:val="248"/>
        </w:numPr>
        <w:tabs>
          <w:tab w:pos="1370" w:val="left" w:leader="none"/>
        </w:tabs>
        <w:spacing w:line="446" w:lineRule="auto" w:before="0" w:after="0"/>
        <w:ind w:left="418" w:right="1604" w:firstLine="422"/>
        <w:jc w:val="left"/>
        <w:rPr>
          <w:sz w:val="21"/>
        </w:rPr>
      </w:pPr>
      <w:r>
        <w:rPr>
          <w:color w:val="333333"/>
          <w:spacing w:val="-3"/>
          <w:sz w:val="21"/>
        </w:rPr>
        <w:t>Ⅰ级瓶装液化石油气供应站的四周宜设置不燃性实体围墙，但面向出入口一侧可设置不燃性非实体围墙。</w:t>
      </w:r>
      <w:r>
        <w:rPr>
          <w:color w:val="333333"/>
          <w:sz w:val="21"/>
        </w:rPr>
        <w:t> </w:t>
      </w:r>
    </w:p>
    <w:p>
      <w:pPr>
        <w:pStyle w:val="BodyText"/>
        <w:spacing w:line="267" w:lineRule="exact"/>
        <w:ind w:left="838"/>
      </w:pPr>
      <w:r>
        <w:rPr>
          <w:color w:val="333333"/>
        </w:rPr>
        <w:t>Ⅱ级瓶装液化石油气供应站的四周宜设置不燃性实体围墙，或下部实体部分高度不低于</w:t>
      </w:r>
    </w:p>
    <w:p>
      <w:pPr>
        <w:pStyle w:val="BodyText"/>
        <w:spacing w:before="2"/>
        <w:rPr>
          <w:sz w:val="18"/>
        </w:rPr>
      </w:pPr>
    </w:p>
    <w:p>
      <w:pPr>
        <w:pStyle w:val="BodyText"/>
        <w:ind w:left="418"/>
      </w:pPr>
      <w:r>
        <w:rPr>
          <w:color w:val="333333"/>
        </w:rPr>
        <w:t>0.6m 的围墙。 </w:t>
      </w:r>
    </w:p>
    <w:p>
      <w:pPr>
        <w:pStyle w:val="BodyText"/>
        <w:spacing w:before="12"/>
        <w:rPr>
          <w:sz w:val="17"/>
        </w:rPr>
      </w:pPr>
    </w:p>
    <w:p>
      <w:pPr>
        <w:pStyle w:val="ListParagraph"/>
        <w:numPr>
          <w:ilvl w:val="1"/>
          <w:numId w:val="254"/>
        </w:numPr>
        <w:tabs>
          <w:tab w:pos="1159" w:val="left" w:leader="none"/>
        </w:tabs>
        <w:spacing w:line="240" w:lineRule="auto" w:before="0" w:after="0"/>
        <w:ind w:left="1158" w:right="0" w:hanging="319"/>
        <w:jc w:val="left"/>
        <w:rPr>
          <w:b/>
          <w:sz w:val="21"/>
        </w:rPr>
      </w:pPr>
      <w:r>
        <w:rPr>
          <w:spacing w:val="-3"/>
          <w:sz w:val="21"/>
        </w:rPr>
        <w:t>可燃材料堆场的防火间距</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254"/>
        </w:numPr>
        <w:tabs>
          <w:tab w:pos="1371" w:val="left" w:leader="none"/>
        </w:tabs>
        <w:spacing w:line="240" w:lineRule="auto" w:before="47" w:after="0"/>
        <w:ind w:left="1370" w:right="0" w:hanging="531"/>
        <w:jc w:val="left"/>
        <w:rPr>
          <w:sz w:val="21"/>
        </w:rPr>
      </w:pPr>
      <w:r>
        <w:rPr>
          <w:color w:val="333333"/>
          <w:spacing w:val="-5"/>
          <w:sz w:val="21"/>
        </w:rPr>
        <w:t>露天、半露天可燃材料堆场与建筑物的防火间距不应小于表 </w:t>
      </w:r>
      <w:r>
        <w:rPr>
          <w:color w:val="333333"/>
          <w:sz w:val="21"/>
        </w:rPr>
        <w:t>4.5.1</w:t>
      </w:r>
      <w:r>
        <w:rPr>
          <w:color w:val="333333"/>
          <w:spacing w:val="-3"/>
          <w:sz w:val="21"/>
        </w:rPr>
        <w:t> 的规定。</w:t>
      </w:r>
      <w:r>
        <w:rPr>
          <w:color w:val="333333"/>
          <w:sz w:val="21"/>
        </w:rPr>
        <w:t> </w:t>
      </w:r>
    </w:p>
    <w:p>
      <w:pPr>
        <w:pStyle w:val="BodyText"/>
        <w:rPr>
          <w:sz w:val="18"/>
        </w:rPr>
      </w:pPr>
    </w:p>
    <w:p>
      <w:pPr>
        <w:pStyle w:val="Heading6"/>
        <w:ind w:left="2098"/>
      </w:pPr>
      <w:r>
        <w:rPr/>
        <w:t>表 4.5.1 露天、半露天可燃材料堆场与建筑物的防火间距（m）</w:t>
      </w:r>
      <w:r>
        <w:rPr>
          <w:w w:val="99"/>
        </w:rPr>
        <w:t> </w:t>
      </w:r>
    </w:p>
    <w:p>
      <w:pPr>
        <w:pStyle w:val="BodyText"/>
        <w:spacing w:before="3"/>
        <w:rPr>
          <w:b/>
          <w:sz w:val="19"/>
        </w:rPr>
      </w:pPr>
      <w:r>
        <w:rPr/>
        <w:drawing>
          <wp:anchor distT="0" distB="0" distL="0" distR="0" allowOverlap="1" layoutInCell="1" locked="0" behindDoc="0" simplePos="0" relativeHeight="88">
            <wp:simplePos x="0" y="0"/>
            <wp:positionH relativeFrom="page">
              <wp:posOffset>1184275</wp:posOffset>
            </wp:positionH>
            <wp:positionV relativeFrom="paragraph">
              <wp:posOffset>181260</wp:posOffset>
            </wp:positionV>
            <wp:extent cx="5388998" cy="4838700"/>
            <wp:effectExtent l="0" t="0" r="0" b="0"/>
            <wp:wrapTopAndBottom/>
            <wp:docPr id="201" name="image128.jpeg"/>
            <wp:cNvGraphicFramePr>
              <a:graphicFrameLocks noChangeAspect="1"/>
            </wp:cNvGraphicFramePr>
            <a:graphic>
              <a:graphicData uri="http://schemas.openxmlformats.org/drawingml/2006/picture">
                <pic:pic>
                  <pic:nvPicPr>
                    <pic:cNvPr id="202" name="image128.jpeg"/>
                    <pic:cNvPicPr/>
                  </pic:nvPicPr>
                  <pic:blipFill>
                    <a:blip r:embed="rId136" cstate="print"/>
                    <a:stretch>
                      <a:fillRect/>
                    </a:stretch>
                  </pic:blipFill>
                  <pic:spPr>
                    <a:xfrm>
                      <a:off x="0" y="0"/>
                      <a:ext cx="5388998" cy="4838700"/>
                    </a:xfrm>
                    <a:prstGeom prst="rect">
                      <a:avLst/>
                    </a:prstGeom>
                  </pic:spPr>
                </pic:pic>
              </a:graphicData>
            </a:graphic>
          </wp:anchor>
        </w:drawing>
      </w:r>
    </w:p>
    <w:p>
      <w:pPr>
        <w:pStyle w:val="BodyText"/>
        <w:spacing w:before="4"/>
        <w:rPr>
          <w:b/>
          <w:sz w:val="14"/>
        </w:rPr>
      </w:pPr>
    </w:p>
    <w:p>
      <w:pPr>
        <w:pStyle w:val="BodyText"/>
        <w:spacing w:line="446" w:lineRule="auto"/>
        <w:ind w:left="418" w:right="1455" w:firstLine="419"/>
      </w:pPr>
      <w:r>
        <w:rPr>
          <w:color w:val="333333"/>
          <w:spacing w:val="-3"/>
        </w:rPr>
        <w:t>注：  露天、半露天秸杆、芦苇、打包废纸等材料堆场，与甲类厂房（</w:t>
      </w:r>
      <w:r>
        <w:rPr>
          <w:color w:val="333333"/>
          <w:spacing w:val="-2"/>
        </w:rPr>
        <w:t>仓库</w:t>
      </w:r>
      <w:r>
        <w:rPr>
          <w:color w:val="333333"/>
        </w:rPr>
        <w:t>）</w:t>
      </w:r>
      <w:r>
        <w:rPr>
          <w:color w:val="333333"/>
          <w:spacing w:val="-3"/>
        </w:rPr>
        <w:t>、民用建筑</w:t>
      </w:r>
      <w:r>
        <w:rPr>
          <w:color w:val="333333"/>
          <w:spacing w:val="-5"/>
        </w:rPr>
        <w:t>的防火间距应根据建筑物的耐火等级分别按本表的规定增加 </w:t>
      </w:r>
      <w:r>
        <w:rPr>
          <w:color w:val="333333"/>
        </w:rPr>
        <w:t>25</w:t>
      </w:r>
      <w:r>
        <w:rPr>
          <w:color w:val="333333"/>
          <w:spacing w:val="-9"/>
        </w:rPr>
        <w:t>%且不应小于 </w:t>
      </w:r>
      <w:r>
        <w:rPr>
          <w:color w:val="333333"/>
        </w:rPr>
        <w:t>25m，</w:t>
      </w:r>
      <w:r>
        <w:rPr>
          <w:color w:val="333333"/>
          <w:spacing w:val="-3"/>
        </w:rPr>
        <w:t>与室外变、配</w:t>
      </w:r>
      <w:r>
        <w:rPr>
          <w:color w:val="333333"/>
          <w:spacing w:val="-5"/>
        </w:rPr>
        <w:t>电站的防火间距不应小于 </w:t>
      </w:r>
      <w:r>
        <w:rPr>
          <w:color w:val="333333"/>
        </w:rPr>
        <w:t>50m</w:t>
      </w:r>
      <w:r>
        <w:rPr>
          <w:color w:val="333333"/>
          <w:spacing w:val="-3"/>
        </w:rPr>
        <w:t>，与明火或散发火花地点的防火间距应按本表四级耐火等级建筑物</w:t>
      </w:r>
      <w:r>
        <w:rPr>
          <w:color w:val="333333"/>
          <w:spacing w:val="-10"/>
        </w:rPr>
        <w:t>的相应规定增加 </w:t>
      </w:r>
      <w:r>
        <w:rPr>
          <w:color w:val="333333"/>
        </w:rPr>
        <w:t>25</w:t>
      </w:r>
      <w:r>
        <w:rPr>
          <w:color w:val="333333"/>
          <w:spacing w:val="-2"/>
        </w:rPr>
        <w:t>%。</w:t>
      </w:r>
      <w:r>
        <w:rPr>
          <w:color w:val="333333"/>
        </w:rPr>
        <w:t> </w:t>
      </w:r>
    </w:p>
    <w:p>
      <w:pPr>
        <w:pStyle w:val="BodyText"/>
        <w:spacing w:line="446" w:lineRule="auto"/>
        <w:ind w:left="418" w:right="1474" w:firstLine="419"/>
        <w:jc w:val="both"/>
      </w:pPr>
      <w:r>
        <w:rPr>
          <w:color w:val="333333"/>
          <w:spacing w:val="-5"/>
        </w:rPr>
        <w:t>当一个木材堆场的总储量大于 </w:t>
      </w:r>
      <w:r>
        <w:rPr>
          <w:color w:val="333333"/>
        </w:rPr>
        <w:t>25000m</w:t>
      </w:r>
      <w:r>
        <w:rPr>
          <w:color w:val="333333"/>
          <w:position w:val="11"/>
          <w:sz w:val="11"/>
        </w:rPr>
        <w:t>3 </w:t>
      </w:r>
      <w:r>
        <w:rPr>
          <w:color w:val="333333"/>
          <w:spacing w:val="-3"/>
        </w:rPr>
        <w:t>或一个秸杆、芦苇、打包废纸等材料堆场的总储量大</w:t>
      </w:r>
      <w:r>
        <w:rPr>
          <w:color w:val="333333"/>
          <w:spacing w:val="-21"/>
        </w:rPr>
        <w:t>于 </w:t>
      </w:r>
      <w:r>
        <w:rPr>
          <w:color w:val="333333"/>
        </w:rPr>
        <w:t>20000t</w:t>
      </w:r>
      <w:r>
        <w:rPr>
          <w:color w:val="333333"/>
          <w:spacing w:val="-8"/>
        </w:rPr>
        <w:t> 时，宜分设堆场。各堆场之间的防火间距不应小于相邻较大堆场与四级耐火等级建筑</w:t>
      </w:r>
      <w:r>
        <w:rPr>
          <w:color w:val="333333"/>
          <w:spacing w:val="-5"/>
        </w:rPr>
        <w:t>物的防火间距。</w:t>
      </w:r>
      <w:r>
        <w:rPr>
          <w:color w:val="333333"/>
        </w:rPr>
        <w:t> </w:t>
      </w:r>
    </w:p>
    <w:p>
      <w:pPr>
        <w:pStyle w:val="BodyText"/>
        <w:spacing w:line="446" w:lineRule="auto"/>
        <w:ind w:left="418" w:right="1609" w:firstLine="419"/>
      </w:pPr>
      <w:r>
        <w:rPr>
          <w:color w:val="333333"/>
        </w:rPr>
        <w:t>不同性质物品堆场之间的防火间距，不应小于本表相应储量堆场与四级耐火等级建筑物防火间距的较大值。 </w:t>
      </w:r>
    </w:p>
    <w:p>
      <w:pPr>
        <w:spacing w:after="0" w:line="446" w:lineRule="auto"/>
        <w:sectPr>
          <w:pgSz w:w="11910" w:h="16850"/>
          <w:pgMar w:header="0" w:footer="1239" w:top="1220" w:bottom="1420" w:left="1260" w:right="0"/>
        </w:sectPr>
      </w:pPr>
    </w:p>
    <w:p>
      <w:pPr>
        <w:pStyle w:val="ListParagraph"/>
        <w:numPr>
          <w:ilvl w:val="2"/>
          <w:numId w:val="254"/>
        </w:numPr>
        <w:tabs>
          <w:tab w:pos="1370" w:val="left" w:leader="none"/>
        </w:tabs>
        <w:spacing w:line="446" w:lineRule="auto" w:before="47" w:after="0"/>
        <w:ind w:left="418" w:right="1604" w:firstLine="422"/>
        <w:jc w:val="both"/>
        <w:rPr>
          <w:sz w:val="21"/>
        </w:rPr>
      </w:pPr>
      <w:r>
        <w:rPr>
          <w:color w:val="333333"/>
          <w:spacing w:val="-3"/>
          <w:sz w:val="21"/>
        </w:rPr>
        <w:t>露天、半露天可燃材料堆场与甲、乙、丙类液体储罐的防火间距，不应小于本规范</w:t>
      </w:r>
      <w:r>
        <w:rPr>
          <w:color w:val="333333"/>
          <w:spacing w:val="-28"/>
          <w:sz w:val="21"/>
        </w:rPr>
        <w:t>表 </w:t>
      </w:r>
      <w:r>
        <w:rPr>
          <w:color w:val="333333"/>
          <w:sz w:val="21"/>
        </w:rPr>
        <w:t>4.2.1</w:t>
      </w:r>
      <w:r>
        <w:rPr>
          <w:color w:val="333333"/>
          <w:spacing w:val="-28"/>
          <w:sz w:val="21"/>
        </w:rPr>
        <w:t> 和表 </w:t>
      </w:r>
      <w:r>
        <w:rPr>
          <w:color w:val="333333"/>
          <w:sz w:val="21"/>
        </w:rPr>
        <w:t>4.5.1</w:t>
      </w:r>
      <w:r>
        <w:rPr>
          <w:color w:val="333333"/>
          <w:spacing w:val="-9"/>
          <w:sz w:val="21"/>
        </w:rPr>
        <w:t> 中相应储量堆场与四级耐火等级建筑物防火间距的较大值。 </w:t>
      </w:r>
    </w:p>
    <w:p>
      <w:pPr>
        <w:pStyle w:val="ListParagraph"/>
        <w:numPr>
          <w:ilvl w:val="2"/>
          <w:numId w:val="254"/>
        </w:numPr>
        <w:tabs>
          <w:tab w:pos="1371" w:val="left" w:leader="none"/>
        </w:tabs>
        <w:spacing w:line="446" w:lineRule="auto" w:before="0" w:after="0"/>
        <w:ind w:left="418" w:right="1558" w:firstLine="422"/>
        <w:jc w:val="both"/>
        <w:rPr>
          <w:sz w:val="21"/>
        </w:rPr>
      </w:pPr>
      <w:r>
        <w:rPr>
          <w:color w:val="333333"/>
          <w:spacing w:val="-3"/>
          <w:sz w:val="21"/>
        </w:rPr>
        <w:t>露天、半露天秸杆、芦苇、打包废纸等材料堆场与铁路、道路的防火间距不应小于 </w:t>
      </w:r>
      <w:r>
        <w:rPr>
          <w:color w:val="333333"/>
          <w:spacing w:val="-22"/>
          <w:sz w:val="21"/>
        </w:rPr>
        <w:t>表 </w:t>
      </w:r>
      <w:r>
        <w:rPr>
          <w:color w:val="333333"/>
          <w:sz w:val="21"/>
        </w:rPr>
        <w:t>4.5.3</w:t>
      </w:r>
      <w:r>
        <w:rPr>
          <w:color w:val="333333"/>
          <w:spacing w:val="-3"/>
          <w:sz w:val="21"/>
        </w:rPr>
        <w:t> 的规定，其他可燃材料堆场与铁路、道路的防火间距可根据材料的火灾危险性按类比原则确定。</w:t>
      </w:r>
      <w:r>
        <w:rPr>
          <w:color w:val="333333"/>
          <w:sz w:val="21"/>
        </w:rPr>
        <w:t> </w:t>
      </w:r>
    </w:p>
    <w:p>
      <w:pPr>
        <w:pStyle w:val="Heading6"/>
        <w:spacing w:line="268" w:lineRule="exact"/>
        <w:ind w:left="840"/>
        <w:jc w:val="both"/>
      </w:pPr>
      <w:r>
        <w:rPr/>
        <w:drawing>
          <wp:anchor distT="0" distB="0" distL="0" distR="0" allowOverlap="1" layoutInCell="1" locked="0" behindDoc="0" simplePos="0" relativeHeight="89">
            <wp:simplePos x="0" y="0"/>
            <wp:positionH relativeFrom="page">
              <wp:posOffset>1065530</wp:posOffset>
            </wp:positionH>
            <wp:positionV relativeFrom="paragraph">
              <wp:posOffset>249828</wp:posOffset>
            </wp:positionV>
            <wp:extent cx="5330069" cy="1688973"/>
            <wp:effectExtent l="0" t="0" r="0" b="0"/>
            <wp:wrapTopAndBottom/>
            <wp:docPr id="203" name="image129.jpeg"/>
            <wp:cNvGraphicFramePr>
              <a:graphicFrameLocks noChangeAspect="1"/>
            </wp:cNvGraphicFramePr>
            <a:graphic>
              <a:graphicData uri="http://schemas.openxmlformats.org/drawingml/2006/picture">
                <pic:pic>
                  <pic:nvPicPr>
                    <pic:cNvPr id="204" name="image129.jpeg"/>
                    <pic:cNvPicPr/>
                  </pic:nvPicPr>
                  <pic:blipFill>
                    <a:blip r:embed="rId137" cstate="print"/>
                    <a:stretch>
                      <a:fillRect/>
                    </a:stretch>
                  </pic:blipFill>
                  <pic:spPr>
                    <a:xfrm>
                      <a:off x="0" y="0"/>
                      <a:ext cx="5330069" cy="1688973"/>
                    </a:xfrm>
                    <a:prstGeom prst="rect">
                      <a:avLst/>
                    </a:prstGeom>
                  </pic:spPr>
                </pic:pic>
              </a:graphicData>
            </a:graphic>
          </wp:anchor>
        </w:drawing>
      </w:r>
      <w:r>
        <w:rPr/>
        <w:t>表 4.5.3 露天、半露天可燃材料堆场与铁路、道路的防火间距（m）</w:t>
      </w:r>
      <w:r>
        <w:rPr>
          <w:w w:val="99"/>
        </w:rPr>
        <w:t> </w:t>
      </w:r>
    </w:p>
    <w:p>
      <w:pPr>
        <w:spacing w:before="144"/>
        <w:ind w:left="418" w:right="0" w:firstLine="0"/>
        <w:jc w:val="left"/>
        <w:rPr>
          <w:b/>
          <w:sz w:val="24"/>
        </w:rPr>
      </w:pPr>
      <w:r>
        <w:rPr>
          <w:b/>
          <w:sz w:val="24"/>
        </w:rPr>
        <w:t>5 民用建筑</w:t>
      </w:r>
      <w:r>
        <w:rPr>
          <w:b/>
          <w:w w:val="99"/>
          <w:sz w:val="24"/>
        </w:rPr>
        <w:t> </w:t>
      </w:r>
    </w:p>
    <w:p>
      <w:pPr>
        <w:pStyle w:val="BodyText"/>
        <w:spacing w:before="3"/>
        <w:rPr>
          <w:b/>
          <w:sz w:val="17"/>
        </w:rPr>
      </w:pPr>
    </w:p>
    <w:p>
      <w:pPr>
        <w:pStyle w:val="ListParagraph"/>
        <w:numPr>
          <w:ilvl w:val="1"/>
          <w:numId w:val="255"/>
        </w:numPr>
        <w:tabs>
          <w:tab w:pos="1159" w:val="left" w:leader="none"/>
        </w:tabs>
        <w:spacing w:line="240" w:lineRule="auto" w:before="0" w:after="0"/>
        <w:ind w:left="1158" w:right="0" w:hanging="319"/>
        <w:jc w:val="left"/>
        <w:rPr>
          <w:sz w:val="21"/>
        </w:rPr>
      </w:pPr>
      <w:r>
        <w:rPr>
          <w:spacing w:val="-3"/>
          <w:sz w:val="21"/>
        </w:rPr>
        <w:t>建筑分类和耐火等级</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8"/>
        </w:rPr>
      </w:pPr>
    </w:p>
    <w:p>
      <w:pPr>
        <w:pStyle w:val="BodyText"/>
        <w:spacing w:before="71"/>
        <w:ind w:left="838"/>
      </w:pPr>
      <w:r>
        <w:rPr>
          <w:w w:val="100"/>
        </w:rPr>
        <w:t> </w:t>
      </w:r>
    </w:p>
    <w:p>
      <w:pPr>
        <w:spacing w:after="0"/>
        <w:sectPr>
          <w:pgSz w:w="11910" w:h="16850"/>
          <w:pgMar w:header="0" w:footer="1239" w:top="1220" w:bottom="1420" w:left="1260" w:right="0"/>
        </w:sectPr>
      </w:pPr>
    </w:p>
    <w:p>
      <w:pPr>
        <w:pStyle w:val="ListParagraph"/>
        <w:numPr>
          <w:ilvl w:val="2"/>
          <w:numId w:val="255"/>
        </w:numPr>
        <w:tabs>
          <w:tab w:pos="1369" w:val="left" w:leader="none"/>
        </w:tabs>
        <w:spacing w:line="240" w:lineRule="auto" w:before="47" w:after="0"/>
        <w:ind w:left="1368" w:right="0" w:hanging="531"/>
        <w:jc w:val="left"/>
        <w:rPr>
          <w:color w:val="333333"/>
          <w:sz w:val="19"/>
        </w:rPr>
      </w:pPr>
      <w:r>
        <w:rPr/>
        <w:drawing>
          <wp:anchor distT="0" distB="0" distL="0" distR="0" allowOverlap="1" layoutInCell="1" locked="0" behindDoc="0" simplePos="0" relativeHeight="90">
            <wp:simplePos x="0" y="0"/>
            <wp:positionH relativeFrom="page">
              <wp:posOffset>1141730</wp:posOffset>
            </wp:positionH>
            <wp:positionV relativeFrom="paragraph">
              <wp:posOffset>244855</wp:posOffset>
            </wp:positionV>
            <wp:extent cx="5592762" cy="5162550"/>
            <wp:effectExtent l="0" t="0" r="0" b="0"/>
            <wp:wrapTopAndBottom/>
            <wp:docPr id="205" name="image130.jpeg"/>
            <wp:cNvGraphicFramePr>
              <a:graphicFrameLocks noChangeAspect="1"/>
            </wp:cNvGraphicFramePr>
            <a:graphic>
              <a:graphicData uri="http://schemas.openxmlformats.org/drawingml/2006/picture">
                <pic:pic>
                  <pic:nvPicPr>
                    <pic:cNvPr id="206" name="image130.jpeg"/>
                    <pic:cNvPicPr/>
                  </pic:nvPicPr>
                  <pic:blipFill>
                    <a:blip r:embed="rId139" cstate="print"/>
                    <a:stretch>
                      <a:fillRect/>
                    </a:stretch>
                  </pic:blipFill>
                  <pic:spPr>
                    <a:xfrm>
                      <a:off x="0" y="0"/>
                      <a:ext cx="5592762" cy="5162550"/>
                    </a:xfrm>
                    <a:prstGeom prst="rect">
                      <a:avLst/>
                    </a:prstGeom>
                  </pic:spPr>
                </pic:pic>
              </a:graphicData>
            </a:graphic>
          </wp:anchor>
        </w:drawing>
      </w:r>
      <w:r>
        <w:rPr>
          <w:color w:val="333333"/>
          <w:spacing w:val="-3"/>
          <w:sz w:val="21"/>
        </w:rPr>
        <w:t>民用建筑根据其建筑高度和层数可分为单、多层民用建筑和高层民用建筑。 </w:t>
      </w:r>
    </w:p>
    <w:p>
      <w:pPr>
        <w:pStyle w:val="BodyText"/>
        <w:spacing w:line="446" w:lineRule="auto" w:before="134"/>
        <w:ind w:left="418" w:right="1609" w:firstLine="419"/>
      </w:pPr>
      <w:r>
        <w:rPr>
          <w:color w:val="333333"/>
        </w:rPr>
        <w:t>高层民用建筑根据其建筑高度、使用功能和楼层的建筑面积可分为一类和二类。民用建筑的分类应符合表 5.1.1 的规定。 </w:t>
      </w:r>
    </w:p>
    <w:p>
      <w:pPr>
        <w:pStyle w:val="BodyText"/>
        <w:spacing w:line="267" w:lineRule="exact"/>
        <w:ind w:left="418"/>
      </w:pPr>
      <w:r>
        <w:rPr>
          <w:color w:val="333333"/>
        </w:rPr>
        <w:t>注：1. 表中未列入的建筑，其类别应根据本表类比确定。 </w:t>
      </w:r>
    </w:p>
    <w:p>
      <w:pPr>
        <w:pStyle w:val="BodyText"/>
        <w:spacing w:before="2"/>
        <w:rPr>
          <w:sz w:val="18"/>
        </w:rPr>
      </w:pPr>
    </w:p>
    <w:p>
      <w:pPr>
        <w:pStyle w:val="ListParagraph"/>
        <w:numPr>
          <w:ilvl w:val="0"/>
          <w:numId w:val="256"/>
        </w:numPr>
        <w:tabs>
          <w:tab w:pos="1051" w:val="left" w:leader="none"/>
        </w:tabs>
        <w:spacing w:line="446" w:lineRule="auto" w:before="0" w:after="0"/>
        <w:ind w:left="418" w:right="1505" w:firstLine="419"/>
        <w:jc w:val="left"/>
        <w:rPr>
          <w:sz w:val="21"/>
        </w:rPr>
      </w:pPr>
      <w:r>
        <w:rPr>
          <w:color w:val="333333"/>
          <w:spacing w:val="-3"/>
          <w:sz w:val="21"/>
        </w:rPr>
        <w:t>除本规范另有规定外，宿舍、公寓等非住宅类居住建筑的防火要求，应符合本规范有关公共建筑的规定。</w:t>
      </w:r>
      <w:r>
        <w:rPr>
          <w:color w:val="333333"/>
          <w:sz w:val="21"/>
        </w:rPr>
        <w:t> </w:t>
      </w:r>
    </w:p>
    <w:p>
      <w:pPr>
        <w:pStyle w:val="ListParagraph"/>
        <w:numPr>
          <w:ilvl w:val="0"/>
          <w:numId w:val="256"/>
        </w:numPr>
        <w:tabs>
          <w:tab w:pos="1051" w:val="left" w:leader="none"/>
        </w:tabs>
        <w:spacing w:line="267" w:lineRule="exact" w:before="0" w:after="0"/>
        <w:ind w:left="1050" w:right="0" w:hanging="213"/>
        <w:jc w:val="left"/>
        <w:rPr>
          <w:sz w:val="21"/>
        </w:rPr>
      </w:pPr>
      <w:r>
        <w:rPr>
          <w:color w:val="333333"/>
          <w:spacing w:val="-3"/>
          <w:sz w:val="21"/>
        </w:rPr>
        <w:t>除本规范另有规定外，裙房的防火要求应符合本规范有关高层民用建筑的规定。</w:t>
      </w:r>
      <w:r>
        <w:rPr>
          <w:color w:val="333333"/>
          <w:sz w:val="21"/>
        </w:rPr>
        <w:t> </w:t>
      </w:r>
    </w:p>
    <w:p>
      <w:pPr>
        <w:pStyle w:val="BodyText"/>
        <w:spacing w:before="2"/>
        <w:rPr>
          <w:sz w:val="18"/>
        </w:rPr>
      </w:pPr>
    </w:p>
    <w:p>
      <w:pPr>
        <w:pStyle w:val="ListParagraph"/>
        <w:numPr>
          <w:ilvl w:val="2"/>
          <w:numId w:val="255"/>
        </w:numPr>
        <w:tabs>
          <w:tab w:pos="1370" w:val="left" w:leader="none"/>
        </w:tabs>
        <w:spacing w:line="446" w:lineRule="auto" w:before="0" w:after="0"/>
        <w:ind w:left="418" w:right="1604" w:firstLine="422"/>
        <w:jc w:val="left"/>
        <w:rPr>
          <w:color w:val="333333"/>
          <w:sz w:val="19"/>
        </w:rPr>
      </w:pPr>
      <w:r>
        <w:rPr>
          <w:color w:val="333333"/>
          <w:spacing w:val="-3"/>
          <w:sz w:val="21"/>
        </w:rPr>
        <w:t>民用建筑的耐火等级可分为一、二、三、四级。除本规范另有规定外，不同耐火等</w:t>
      </w:r>
      <w:r>
        <w:rPr>
          <w:color w:val="333333"/>
          <w:spacing w:val="-6"/>
          <w:sz w:val="21"/>
        </w:rPr>
        <w:t>级建筑相应构件的燃烧性能和耐火极限不应低于表 </w:t>
      </w:r>
      <w:r>
        <w:rPr>
          <w:color w:val="333333"/>
          <w:sz w:val="21"/>
        </w:rPr>
        <w:t>5.1.2</w:t>
      </w:r>
      <w:r>
        <w:rPr>
          <w:color w:val="333333"/>
          <w:spacing w:val="-3"/>
          <w:sz w:val="21"/>
        </w:rPr>
        <w:t> 的规定。</w:t>
      </w:r>
      <w:r>
        <w:rPr>
          <w:color w:val="333333"/>
          <w:sz w:val="21"/>
        </w:rPr>
        <w:t> </w:t>
      </w:r>
    </w:p>
    <w:p>
      <w:pPr>
        <w:pStyle w:val="Heading6"/>
        <w:spacing w:line="267" w:lineRule="exact"/>
        <w:ind w:left="1992"/>
      </w:pPr>
      <w:r>
        <w:rPr/>
        <w:t>表 5.1.2 不同耐火等级建筑相应构件的燃烧性能和耐火极限（h）</w:t>
      </w:r>
      <w:r>
        <w:rPr>
          <w:w w:val="99"/>
        </w:rPr>
        <w:t> </w:t>
      </w:r>
    </w:p>
    <w:p>
      <w:pPr>
        <w:spacing w:after="0" w:line="267" w:lineRule="exact"/>
        <w:sectPr>
          <w:footerReference w:type="default" r:id="rId138"/>
          <w:pgSz w:w="11910" w:h="16850"/>
          <w:pgMar w:footer="1239" w:header="0" w:top="1220" w:bottom="1420" w:left="1260" w:right="0"/>
          <w:pgNumType w:start="1000"/>
        </w:sectPr>
      </w:pPr>
    </w:p>
    <w:p>
      <w:pPr>
        <w:pStyle w:val="BodyText"/>
        <w:spacing w:before="9"/>
        <w:rPr>
          <w:b/>
          <w:sz w:val="4"/>
        </w:rPr>
      </w:pPr>
    </w:p>
    <w:p>
      <w:pPr>
        <w:pStyle w:val="BodyText"/>
        <w:ind w:left="553"/>
        <w:rPr>
          <w:sz w:val="20"/>
        </w:rPr>
      </w:pPr>
      <w:r>
        <w:rPr>
          <w:sz w:val="20"/>
        </w:rPr>
        <w:drawing>
          <wp:inline distT="0" distB="0" distL="0" distR="0">
            <wp:extent cx="5151703" cy="5981700"/>
            <wp:effectExtent l="0" t="0" r="0" b="0"/>
            <wp:docPr id="207" name="image131.jpeg"/>
            <wp:cNvGraphicFramePr>
              <a:graphicFrameLocks noChangeAspect="1"/>
            </wp:cNvGraphicFramePr>
            <a:graphic>
              <a:graphicData uri="http://schemas.openxmlformats.org/drawingml/2006/picture">
                <pic:pic>
                  <pic:nvPicPr>
                    <pic:cNvPr id="208" name="image131.jpeg"/>
                    <pic:cNvPicPr/>
                  </pic:nvPicPr>
                  <pic:blipFill>
                    <a:blip r:embed="rId140" cstate="print"/>
                    <a:stretch>
                      <a:fillRect/>
                    </a:stretch>
                  </pic:blipFill>
                  <pic:spPr>
                    <a:xfrm>
                      <a:off x="0" y="0"/>
                      <a:ext cx="5151703" cy="5981700"/>
                    </a:xfrm>
                    <a:prstGeom prst="rect">
                      <a:avLst/>
                    </a:prstGeom>
                  </pic:spPr>
                </pic:pic>
              </a:graphicData>
            </a:graphic>
          </wp:inline>
        </w:drawing>
      </w:r>
      <w:r>
        <w:rPr>
          <w:sz w:val="20"/>
        </w:rPr>
      </w:r>
    </w:p>
    <w:p>
      <w:pPr>
        <w:pStyle w:val="BodyText"/>
        <w:spacing w:before="8"/>
        <w:rPr>
          <w:b/>
          <w:sz w:val="9"/>
        </w:rPr>
      </w:pPr>
    </w:p>
    <w:p>
      <w:pPr>
        <w:pStyle w:val="BodyText"/>
        <w:spacing w:line="446" w:lineRule="auto" w:before="71"/>
        <w:ind w:left="418" w:right="1609" w:firstLine="419"/>
      </w:pPr>
      <w:r>
        <w:rPr>
          <w:color w:val="333333"/>
        </w:rPr>
        <w:t>注：1</w:t>
      </w:r>
      <w:r>
        <w:rPr>
          <w:color w:val="333333"/>
          <w:spacing w:val="-3"/>
        </w:rPr>
        <w:t>.除本规范另有规定外，以木柱承重且墙体采用不燃材料的建筑，其耐火等级应按四级确定。</w:t>
      </w:r>
      <w:r>
        <w:rPr>
          <w:color w:val="333333"/>
        </w:rPr>
        <w:t> </w:t>
      </w:r>
    </w:p>
    <w:p>
      <w:pPr>
        <w:pStyle w:val="BodyText"/>
        <w:spacing w:line="446" w:lineRule="auto"/>
        <w:ind w:left="418" w:right="1560" w:firstLine="419"/>
      </w:pPr>
      <w:r>
        <w:rPr>
          <w:color w:val="333333"/>
        </w:rPr>
        <w:t>2.</w:t>
      </w:r>
      <w:r>
        <w:rPr>
          <w:color w:val="333333"/>
          <w:spacing w:val="-3"/>
        </w:rPr>
        <w:t>住宅建筑构件的耐火极限和燃烧性能可按现行国家标准《住宅建筑规范》</w:t>
      </w:r>
      <w:r>
        <w:rPr>
          <w:color w:val="333333"/>
        </w:rPr>
        <w:t>GB</w:t>
      </w:r>
      <w:r>
        <w:rPr>
          <w:color w:val="333333"/>
          <w:spacing w:val="23"/>
        </w:rPr>
        <w:t> </w:t>
      </w:r>
      <w:r>
        <w:rPr>
          <w:color w:val="333333"/>
        </w:rPr>
        <w:t>50368</w:t>
      </w:r>
      <w:r>
        <w:rPr>
          <w:color w:val="333333"/>
          <w:spacing w:val="-17"/>
        </w:rPr>
        <w:t> 的规</w:t>
      </w:r>
      <w:r>
        <w:rPr>
          <w:color w:val="333333"/>
          <w:spacing w:val="-2"/>
        </w:rPr>
        <w:t>定执行。</w:t>
      </w:r>
      <w:r>
        <w:rPr>
          <w:color w:val="333333"/>
        </w:rPr>
        <w:t> </w:t>
      </w:r>
    </w:p>
    <w:p>
      <w:pPr>
        <w:pStyle w:val="ListParagraph"/>
        <w:numPr>
          <w:ilvl w:val="2"/>
          <w:numId w:val="255"/>
        </w:numPr>
        <w:tabs>
          <w:tab w:pos="1424" w:val="left" w:leader="none"/>
        </w:tabs>
        <w:spacing w:line="446" w:lineRule="auto" w:before="0" w:after="0"/>
        <w:ind w:left="418" w:right="1445" w:firstLine="422"/>
        <w:jc w:val="left"/>
        <w:rPr>
          <w:color w:val="333333"/>
          <w:sz w:val="21"/>
        </w:rPr>
      </w:pPr>
      <w:r>
        <w:rPr>
          <w:color w:val="333333"/>
          <w:spacing w:val="-3"/>
          <w:sz w:val="21"/>
        </w:rPr>
        <w:t>民用建筑的耐火等级应根据其建筑高度、使用功能、重要性和火灾扑救难度等确定， 并应符合下列规定：</w:t>
      </w:r>
      <w:r>
        <w:rPr>
          <w:color w:val="333333"/>
          <w:sz w:val="21"/>
        </w:rPr>
        <w:t> </w:t>
      </w:r>
    </w:p>
    <w:p>
      <w:pPr>
        <w:pStyle w:val="BodyText"/>
        <w:spacing w:line="446" w:lineRule="auto"/>
        <w:ind w:left="838" w:right="3397"/>
      </w:pPr>
      <w:r>
        <w:rPr>
          <w:color w:val="333333"/>
        </w:rPr>
        <w:t>地下或半地下建筑（室）和一类高层建筑的耐火等级不应低于一级； 单、多层重要公共建筑和二类高层建筑的耐火等级不应低于二级。 </w:t>
      </w:r>
    </w:p>
    <w:p>
      <w:pPr>
        <w:spacing w:after="0" w:line="446" w:lineRule="auto"/>
        <w:sectPr>
          <w:pgSz w:w="11910" w:h="16850"/>
          <w:pgMar w:header="0" w:footer="1239" w:top="1600" w:bottom="1420" w:left="1260" w:right="0"/>
        </w:sectPr>
      </w:pPr>
    </w:p>
    <w:p>
      <w:pPr>
        <w:pStyle w:val="BodyText"/>
        <w:spacing w:before="47"/>
        <w:ind w:left="838"/>
      </w:pPr>
      <w:r>
        <w:rPr>
          <w:color w:val="333333"/>
        </w:rPr>
        <w:t>除木结构建筑外，老年人照料设施的耐火等级不应低于三级。 </w:t>
      </w:r>
    </w:p>
    <w:p>
      <w:pPr>
        <w:pStyle w:val="BodyText"/>
        <w:rPr>
          <w:sz w:val="18"/>
        </w:rPr>
      </w:pPr>
    </w:p>
    <w:p>
      <w:pPr>
        <w:pStyle w:val="ListParagraph"/>
        <w:numPr>
          <w:ilvl w:val="2"/>
          <w:numId w:val="255"/>
        </w:numPr>
        <w:tabs>
          <w:tab w:pos="1370" w:val="left" w:leader="none"/>
        </w:tabs>
        <w:spacing w:line="240" w:lineRule="auto" w:before="0" w:after="0"/>
        <w:ind w:left="1369" w:right="0" w:hanging="530"/>
        <w:jc w:val="left"/>
        <w:rPr>
          <w:color w:val="333333"/>
          <w:sz w:val="19"/>
        </w:rPr>
      </w:pPr>
      <w:r>
        <w:rPr>
          <w:color w:val="333333"/>
          <w:spacing w:val="-10"/>
          <w:sz w:val="21"/>
        </w:rPr>
        <w:t>建筑高度大于 </w:t>
      </w:r>
      <w:r>
        <w:rPr>
          <w:color w:val="333333"/>
          <w:sz w:val="21"/>
        </w:rPr>
        <w:t>100m</w:t>
      </w:r>
      <w:r>
        <w:rPr>
          <w:color w:val="333333"/>
          <w:spacing w:val="-6"/>
          <w:sz w:val="21"/>
        </w:rPr>
        <w:t> 的民用建筑，其楼板的耐火极限不应低于 </w:t>
      </w:r>
      <w:r>
        <w:rPr>
          <w:color w:val="333333"/>
          <w:sz w:val="21"/>
        </w:rPr>
        <w:t>2.00h</w:t>
      </w:r>
      <w:r>
        <w:rPr>
          <w:color w:val="333333"/>
          <w:spacing w:val="-3"/>
          <w:sz w:val="21"/>
        </w:rPr>
        <w:t>。</w:t>
      </w:r>
      <w:r>
        <w:rPr>
          <w:color w:val="333333"/>
          <w:sz w:val="21"/>
        </w:rPr>
        <w:t>  </w:t>
      </w:r>
      <w:r>
        <w:rPr>
          <w:color w:val="333333"/>
          <w:w w:val="100"/>
          <w:sz w:val="21"/>
        </w:rPr>
        <w:t> </w:t>
      </w:r>
    </w:p>
    <w:p>
      <w:pPr>
        <w:pStyle w:val="BodyText"/>
        <w:rPr>
          <w:sz w:val="18"/>
        </w:rPr>
      </w:pPr>
    </w:p>
    <w:p>
      <w:pPr>
        <w:pStyle w:val="BodyText"/>
        <w:ind w:left="838"/>
      </w:pPr>
      <w:r>
        <w:rPr>
          <w:color w:val="333333"/>
        </w:rPr>
        <w:t>一、二级耐火等级建筑的上人平屋顶，其屋面板的耐火极限分别不应低于 1.50h 和</w:t>
      </w:r>
    </w:p>
    <w:p>
      <w:pPr>
        <w:pStyle w:val="BodyText"/>
        <w:spacing w:before="1"/>
        <w:rPr>
          <w:sz w:val="18"/>
        </w:rPr>
      </w:pPr>
    </w:p>
    <w:p>
      <w:pPr>
        <w:pStyle w:val="BodyText"/>
        <w:spacing w:before="1"/>
        <w:ind w:left="418"/>
      </w:pPr>
      <w:r>
        <w:rPr>
          <w:color w:val="333333"/>
        </w:rPr>
        <w:t>1.00h。  </w:t>
      </w:r>
      <w:r>
        <w:rPr>
          <w:color w:val="333333"/>
          <w:w w:val="100"/>
        </w:rPr>
        <w:t> </w:t>
      </w:r>
    </w:p>
    <w:p>
      <w:pPr>
        <w:pStyle w:val="BodyText"/>
        <w:spacing w:before="12"/>
        <w:rPr>
          <w:sz w:val="17"/>
        </w:rPr>
      </w:pPr>
    </w:p>
    <w:p>
      <w:pPr>
        <w:pStyle w:val="ListParagraph"/>
        <w:numPr>
          <w:ilvl w:val="2"/>
          <w:numId w:val="255"/>
        </w:numPr>
        <w:tabs>
          <w:tab w:pos="1371" w:val="left" w:leader="none"/>
        </w:tabs>
        <w:spacing w:line="240" w:lineRule="auto" w:before="0" w:after="0"/>
        <w:ind w:left="1370" w:right="0" w:hanging="531"/>
        <w:jc w:val="left"/>
        <w:rPr>
          <w:color w:val="333333"/>
          <w:sz w:val="19"/>
        </w:rPr>
      </w:pPr>
      <w:r>
        <w:rPr>
          <w:color w:val="333333"/>
          <w:spacing w:val="-3"/>
          <w:sz w:val="21"/>
        </w:rPr>
        <w:t>一、二级耐火等级建筑的屋面板应采用不燃材料。</w:t>
      </w:r>
      <w:r>
        <w:rPr>
          <w:color w:val="333333"/>
          <w:sz w:val="21"/>
        </w:rPr>
        <w:t> </w:t>
      </w:r>
    </w:p>
    <w:p>
      <w:pPr>
        <w:pStyle w:val="BodyText"/>
        <w:spacing w:before="12"/>
        <w:rPr>
          <w:sz w:val="17"/>
        </w:rPr>
      </w:pPr>
    </w:p>
    <w:p>
      <w:pPr>
        <w:pStyle w:val="BodyText"/>
        <w:spacing w:line="446" w:lineRule="auto"/>
        <w:ind w:left="418" w:right="1609" w:firstLine="419"/>
      </w:pPr>
      <w:r>
        <w:rPr>
          <w:color w:val="333333"/>
        </w:rPr>
        <w:t>屋面防水层宜采用不燃、难燃材料，当采用可燃防水材料且铺设在可燃、难燃保温材料上时，防水材料或可燃、难燃保温材料应采用不燃材料作防护层。 </w:t>
      </w:r>
    </w:p>
    <w:p>
      <w:pPr>
        <w:pStyle w:val="ListParagraph"/>
        <w:numPr>
          <w:ilvl w:val="2"/>
          <w:numId w:val="255"/>
        </w:numPr>
        <w:tabs>
          <w:tab w:pos="1370" w:val="left" w:leader="none"/>
        </w:tabs>
        <w:spacing w:line="441" w:lineRule="auto" w:before="1" w:after="0"/>
        <w:ind w:left="418" w:right="1445" w:firstLine="422"/>
        <w:jc w:val="both"/>
        <w:rPr>
          <w:color w:val="333333"/>
          <w:sz w:val="19"/>
        </w:rPr>
      </w:pPr>
      <w:r>
        <w:rPr>
          <w:color w:val="333333"/>
          <w:spacing w:val="-5"/>
          <w:sz w:val="21"/>
        </w:rPr>
        <w:t>二级耐火等级建筑内采用难燃性墙体的房间隔墙，其耐火极限不应低于 </w:t>
      </w:r>
      <w:r>
        <w:rPr>
          <w:color w:val="333333"/>
          <w:sz w:val="21"/>
        </w:rPr>
        <w:t>0.75h；当房</w:t>
      </w:r>
      <w:r>
        <w:rPr>
          <w:color w:val="333333"/>
          <w:spacing w:val="-8"/>
          <w:sz w:val="21"/>
        </w:rPr>
        <w:t>间的建筑面积不大于 </w:t>
      </w:r>
      <w:r>
        <w:rPr>
          <w:color w:val="333333"/>
          <w:sz w:val="21"/>
        </w:rPr>
        <w:t>l00m</w:t>
      </w:r>
      <w:r>
        <w:rPr>
          <w:color w:val="333333"/>
          <w:position w:val="11"/>
          <w:sz w:val="11"/>
        </w:rPr>
        <w:t>2</w:t>
      </w:r>
      <w:r>
        <w:rPr>
          <w:color w:val="333333"/>
          <w:spacing w:val="-24"/>
          <w:position w:val="11"/>
          <w:sz w:val="11"/>
        </w:rPr>
        <w:t> </w:t>
      </w:r>
      <w:r>
        <w:rPr>
          <w:color w:val="333333"/>
          <w:spacing w:val="-6"/>
          <w:sz w:val="21"/>
        </w:rPr>
        <w:t>时，房间隔墙可采用耐火极限不低于 </w:t>
      </w:r>
      <w:r>
        <w:rPr>
          <w:color w:val="333333"/>
          <w:sz w:val="21"/>
        </w:rPr>
        <w:t>0.50h</w:t>
      </w:r>
      <w:r>
        <w:rPr>
          <w:color w:val="333333"/>
          <w:spacing w:val="-8"/>
          <w:sz w:val="21"/>
        </w:rPr>
        <w:t> 的难燃性墙体或耐火极限</w:t>
      </w:r>
      <w:r>
        <w:rPr>
          <w:color w:val="333333"/>
          <w:spacing w:val="-17"/>
          <w:sz w:val="21"/>
        </w:rPr>
        <w:t>不低于 </w:t>
      </w:r>
      <w:r>
        <w:rPr>
          <w:color w:val="333333"/>
          <w:sz w:val="21"/>
        </w:rPr>
        <w:t>0.30h</w:t>
      </w:r>
      <w:r>
        <w:rPr>
          <w:color w:val="333333"/>
          <w:spacing w:val="-10"/>
          <w:sz w:val="21"/>
        </w:rPr>
        <w:t> 的不燃性墙体。</w:t>
      </w:r>
      <w:r>
        <w:rPr>
          <w:color w:val="333333"/>
          <w:sz w:val="21"/>
        </w:rPr>
        <w:t> </w:t>
      </w:r>
    </w:p>
    <w:p>
      <w:pPr>
        <w:pStyle w:val="BodyText"/>
        <w:spacing w:line="446" w:lineRule="auto" w:before="5"/>
        <w:ind w:left="840" w:right="1347" w:hanging="3"/>
        <w:jc w:val="both"/>
      </w:pPr>
      <w:r>
        <w:rPr>
          <w:color w:val="333333"/>
        </w:rPr>
        <w:t>二级耐火等级多层住宅建筑内采用预应力钢筋混凝土的楼板，其耐火极限不应低于 0.75h。</w:t>
      </w:r>
      <w:r>
        <w:rPr>
          <w:b/>
          <w:color w:val="333333"/>
        </w:rPr>
        <w:t>5.1.7 </w:t>
      </w:r>
      <w:r>
        <w:rPr>
          <w:color w:val="333333"/>
        </w:rPr>
        <w:t>建筑中的非承重外墙、房间隔墙和屋面板，当确需要采用金属夹芯板材时，其芯材</w:t>
      </w:r>
    </w:p>
    <w:p>
      <w:pPr>
        <w:pStyle w:val="BodyText"/>
        <w:ind w:left="418"/>
      </w:pPr>
      <w:r>
        <w:rPr>
          <w:color w:val="333333"/>
        </w:rPr>
        <w:t>应为不燃材料，且耐火极限应符合本规范有关规定。 </w:t>
      </w:r>
    </w:p>
    <w:p>
      <w:pPr>
        <w:pStyle w:val="BodyText"/>
        <w:spacing w:before="12"/>
        <w:rPr>
          <w:sz w:val="17"/>
        </w:rPr>
      </w:pPr>
    </w:p>
    <w:p>
      <w:pPr>
        <w:pStyle w:val="ListParagraph"/>
        <w:numPr>
          <w:ilvl w:val="2"/>
          <w:numId w:val="257"/>
        </w:numPr>
        <w:tabs>
          <w:tab w:pos="1371" w:val="left" w:leader="none"/>
        </w:tabs>
        <w:spacing w:line="240" w:lineRule="auto" w:before="0" w:after="0"/>
        <w:ind w:left="1370" w:right="0" w:hanging="531"/>
        <w:jc w:val="left"/>
        <w:rPr>
          <w:sz w:val="21"/>
        </w:rPr>
      </w:pPr>
      <w:r>
        <w:rPr>
          <w:color w:val="333333"/>
          <w:spacing w:val="-3"/>
          <w:sz w:val="21"/>
        </w:rPr>
        <w:t>二级耐火等级建筑内采用不燃材料的吊顶，其耐火极限不限。</w:t>
      </w:r>
      <w:r>
        <w:rPr>
          <w:color w:val="333333"/>
          <w:sz w:val="21"/>
        </w:rPr>
        <w:t> </w:t>
      </w:r>
    </w:p>
    <w:p>
      <w:pPr>
        <w:pStyle w:val="BodyText"/>
        <w:spacing w:before="12"/>
        <w:rPr>
          <w:sz w:val="17"/>
        </w:rPr>
      </w:pPr>
    </w:p>
    <w:p>
      <w:pPr>
        <w:pStyle w:val="BodyText"/>
        <w:spacing w:line="446" w:lineRule="auto"/>
        <w:ind w:left="418" w:right="1608" w:firstLine="419"/>
        <w:jc w:val="both"/>
      </w:pPr>
      <w:r>
        <w:rPr>
          <w:color w:val="333333"/>
        </w:rPr>
        <w:t>三级耐火等级的医疗建筑、中小学校的教学建筑、老年人照料设施及托儿所、幼儿园的儿童用房和儿童游乐厅等儿童活动场所的吊顶，应采用不燃材料；当采用难燃材料时，其耐火极限不应低于 0.25h。 </w:t>
      </w:r>
    </w:p>
    <w:p>
      <w:pPr>
        <w:pStyle w:val="BodyText"/>
        <w:spacing w:line="268" w:lineRule="exact"/>
        <w:ind w:left="838"/>
      </w:pPr>
      <w:r>
        <w:rPr>
          <w:color w:val="333333"/>
        </w:rPr>
        <w:t>二、三级耐火等级建筑内门厅、走道的吊顶应采用不燃材料。 </w:t>
      </w:r>
    </w:p>
    <w:p>
      <w:pPr>
        <w:pStyle w:val="BodyText"/>
        <w:spacing w:before="2"/>
        <w:rPr>
          <w:sz w:val="18"/>
        </w:rPr>
      </w:pPr>
    </w:p>
    <w:p>
      <w:pPr>
        <w:pStyle w:val="ListParagraph"/>
        <w:numPr>
          <w:ilvl w:val="2"/>
          <w:numId w:val="257"/>
        </w:numPr>
        <w:tabs>
          <w:tab w:pos="1371" w:val="left" w:leader="none"/>
        </w:tabs>
        <w:spacing w:line="446" w:lineRule="auto" w:before="0" w:after="0"/>
        <w:ind w:left="418" w:right="1604" w:firstLine="422"/>
        <w:jc w:val="left"/>
        <w:rPr>
          <w:sz w:val="21"/>
        </w:rPr>
      </w:pPr>
      <w:r>
        <w:rPr>
          <w:color w:val="333333"/>
          <w:spacing w:val="-3"/>
          <w:sz w:val="21"/>
        </w:rPr>
        <w:t>建筑内预制钢筋混凝土构件的节点外露部位，应采取防火保护措施，且节点的耐火极限不应低于相应构件的耐火极限。</w:t>
      </w:r>
      <w:r>
        <w:rPr>
          <w:color w:val="333333"/>
          <w:sz w:val="21"/>
        </w:rPr>
        <w:t> </w:t>
      </w:r>
    </w:p>
    <w:p>
      <w:pPr>
        <w:pStyle w:val="ListParagraph"/>
        <w:numPr>
          <w:ilvl w:val="1"/>
          <w:numId w:val="255"/>
        </w:numPr>
        <w:tabs>
          <w:tab w:pos="1159" w:val="left" w:leader="none"/>
        </w:tabs>
        <w:spacing w:line="267" w:lineRule="exact" w:before="0" w:after="0"/>
        <w:ind w:left="1158" w:right="0" w:hanging="319"/>
        <w:jc w:val="left"/>
        <w:rPr>
          <w:b/>
          <w:sz w:val="21"/>
        </w:rPr>
      </w:pPr>
      <w:r>
        <w:rPr>
          <w:spacing w:val="-3"/>
          <w:sz w:val="21"/>
        </w:rPr>
        <w:t>总平面布局</w:t>
      </w:r>
      <w:r>
        <w:rPr>
          <w:b/>
          <w:w w:val="99"/>
          <w:sz w:val="21"/>
        </w:rPr>
        <w:t> </w:t>
      </w:r>
    </w:p>
    <w:p>
      <w:pPr>
        <w:pStyle w:val="BodyText"/>
        <w:spacing w:before="2"/>
        <w:rPr>
          <w:b/>
          <w:sz w:val="18"/>
        </w:rPr>
      </w:pPr>
    </w:p>
    <w:p>
      <w:pPr>
        <w:pStyle w:val="ListParagraph"/>
        <w:numPr>
          <w:ilvl w:val="2"/>
          <w:numId w:val="255"/>
        </w:numPr>
        <w:tabs>
          <w:tab w:pos="1371" w:val="left" w:leader="none"/>
        </w:tabs>
        <w:spacing w:line="446" w:lineRule="auto" w:before="0" w:after="0"/>
        <w:ind w:left="418" w:right="1604" w:firstLine="422"/>
        <w:jc w:val="both"/>
        <w:rPr>
          <w:color w:val="333333"/>
          <w:sz w:val="19"/>
        </w:rPr>
      </w:pPr>
      <w:r>
        <w:rPr>
          <w:color w:val="333333"/>
          <w:spacing w:val="-3"/>
          <w:sz w:val="21"/>
        </w:rPr>
        <w:t>在总平面布局中，应合理确定建筑的位置、防火间距、消防车道和消防水源等，不宜将民用建筑布置在甲、乙类厂</w:t>
      </w:r>
      <w:r>
        <w:rPr>
          <w:color w:val="333333"/>
          <w:sz w:val="21"/>
        </w:rPr>
        <w:t>（</w:t>
      </w:r>
      <w:r>
        <w:rPr>
          <w:color w:val="333333"/>
          <w:spacing w:val="-3"/>
          <w:sz w:val="21"/>
        </w:rPr>
        <w:t>库</w:t>
      </w:r>
      <w:r>
        <w:rPr>
          <w:color w:val="333333"/>
          <w:sz w:val="21"/>
        </w:rPr>
        <w:t>）</w:t>
      </w:r>
      <w:r>
        <w:rPr>
          <w:color w:val="333333"/>
          <w:spacing w:val="-3"/>
          <w:sz w:val="21"/>
        </w:rPr>
        <w:t>房，甲、乙、丙类液体储罐，可燃气体储罐和可燃材料堆场的附近。</w:t>
      </w:r>
      <w:r>
        <w:rPr>
          <w:color w:val="333333"/>
          <w:sz w:val="21"/>
        </w:rPr>
        <w:t> </w:t>
      </w:r>
    </w:p>
    <w:p>
      <w:pPr>
        <w:pStyle w:val="ListParagraph"/>
        <w:numPr>
          <w:ilvl w:val="2"/>
          <w:numId w:val="255"/>
        </w:numPr>
        <w:tabs>
          <w:tab w:pos="1371" w:val="left" w:leader="none"/>
        </w:tabs>
        <w:spacing w:line="268" w:lineRule="exact" w:before="0" w:after="0"/>
        <w:ind w:left="1370" w:right="0" w:hanging="531"/>
        <w:jc w:val="both"/>
        <w:rPr>
          <w:sz w:val="19"/>
        </w:rPr>
      </w:pPr>
      <w:r>
        <w:rPr>
          <w:spacing w:val="-6"/>
          <w:sz w:val="21"/>
        </w:rPr>
        <w:t>民用建筑之间的防火间距不应小于表 </w:t>
      </w:r>
      <w:r>
        <w:rPr>
          <w:sz w:val="21"/>
        </w:rPr>
        <w:t>5.2.2</w:t>
      </w:r>
      <w:r>
        <w:rPr>
          <w:spacing w:val="-3"/>
          <w:sz w:val="21"/>
        </w:rPr>
        <w:t> 的规定，与其他建筑的防火间距，</w:t>
      </w:r>
      <w:r>
        <w:rPr>
          <w:sz w:val="21"/>
        </w:rPr>
        <w:t> </w:t>
      </w:r>
    </w:p>
    <w:p>
      <w:pPr>
        <w:pStyle w:val="BodyText"/>
        <w:rPr>
          <w:sz w:val="18"/>
        </w:rPr>
      </w:pPr>
    </w:p>
    <w:p>
      <w:pPr>
        <w:pStyle w:val="BodyText"/>
        <w:ind w:left="838"/>
      </w:pPr>
      <w:r>
        <w:rPr/>
        <w:t>除应符合本规范第 5.2 节的规定外，尚应符合本规范其他章的有关规定。 </w:t>
      </w:r>
    </w:p>
    <w:p>
      <w:pPr>
        <w:spacing w:after="0"/>
        <w:sectPr>
          <w:pgSz w:w="11910" w:h="16850"/>
          <w:pgMar w:header="0" w:footer="1239" w:top="1220" w:bottom="1420" w:left="1260" w:right="0"/>
        </w:sectPr>
      </w:pPr>
    </w:p>
    <w:p>
      <w:pPr>
        <w:pStyle w:val="Heading6"/>
        <w:spacing w:before="47"/>
        <w:ind w:left="3152"/>
      </w:pPr>
      <w:r>
        <w:rPr/>
        <w:t>表 5.2.2 民用建筑之间的防火间距（m）</w:t>
      </w:r>
      <w:r>
        <w:rPr>
          <w:w w:val="99"/>
        </w:rPr>
        <w:t> </w:t>
      </w:r>
    </w:p>
    <w:p>
      <w:pPr>
        <w:pStyle w:val="BodyText"/>
        <w:spacing w:before="12"/>
        <w:rPr>
          <w:b/>
          <w:sz w:val="27"/>
        </w:rPr>
      </w:pPr>
      <w:r>
        <w:rPr/>
        <w:drawing>
          <wp:anchor distT="0" distB="0" distL="0" distR="0" allowOverlap="1" layoutInCell="1" locked="0" behindDoc="0" simplePos="0" relativeHeight="91">
            <wp:simplePos x="0" y="0"/>
            <wp:positionH relativeFrom="page">
              <wp:posOffset>1229994</wp:posOffset>
            </wp:positionH>
            <wp:positionV relativeFrom="paragraph">
              <wp:posOffset>252182</wp:posOffset>
            </wp:positionV>
            <wp:extent cx="5327676" cy="1676400"/>
            <wp:effectExtent l="0" t="0" r="0" b="0"/>
            <wp:wrapTopAndBottom/>
            <wp:docPr id="209" name="image132.jpeg"/>
            <wp:cNvGraphicFramePr>
              <a:graphicFrameLocks noChangeAspect="1"/>
            </wp:cNvGraphicFramePr>
            <a:graphic>
              <a:graphicData uri="http://schemas.openxmlformats.org/drawingml/2006/picture">
                <pic:pic>
                  <pic:nvPicPr>
                    <pic:cNvPr id="210" name="image132.jpeg"/>
                    <pic:cNvPicPr/>
                  </pic:nvPicPr>
                  <pic:blipFill>
                    <a:blip r:embed="rId141" cstate="print"/>
                    <a:stretch>
                      <a:fillRect/>
                    </a:stretch>
                  </pic:blipFill>
                  <pic:spPr>
                    <a:xfrm>
                      <a:off x="0" y="0"/>
                      <a:ext cx="5327676" cy="1676400"/>
                    </a:xfrm>
                    <a:prstGeom prst="rect">
                      <a:avLst/>
                    </a:prstGeom>
                  </pic:spPr>
                </pic:pic>
              </a:graphicData>
            </a:graphic>
          </wp:anchor>
        </w:drawing>
      </w:r>
    </w:p>
    <w:p>
      <w:pPr>
        <w:pStyle w:val="BodyText"/>
        <w:spacing w:line="446" w:lineRule="auto" w:before="172"/>
        <w:ind w:left="418" w:right="1556" w:firstLine="419"/>
        <w:jc w:val="both"/>
      </w:pPr>
      <w:r>
        <w:rPr>
          <w:color w:val="333333"/>
        </w:rPr>
        <w:t>注：1</w:t>
      </w:r>
      <w:r>
        <w:rPr>
          <w:color w:val="333333"/>
          <w:spacing w:val="-3"/>
        </w:rPr>
        <w:t>.相邻两座单、多层建筑，当相邻外墙为不燃性墙体且无外露的可燃性屋檐，每面外</w:t>
      </w:r>
      <w:r>
        <w:rPr>
          <w:color w:val="333333"/>
          <w:spacing w:val="-4"/>
        </w:rPr>
        <w:t>墙上无防火保护的门、窗、洞口不正对开设且该门、窗、洞口的面积之和不大于外墙面积的 </w:t>
      </w:r>
      <w:r>
        <w:rPr>
          <w:color w:val="333333"/>
        </w:rPr>
        <w:t>5% </w:t>
      </w:r>
      <w:r>
        <w:rPr>
          <w:color w:val="333333"/>
          <w:spacing w:val="-6"/>
        </w:rPr>
        <w:t>时，其防火间距可按本表的规定减少 </w:t>
      </w:r>
      <w:r>
        <w:rPr>
          <w:color w:val="333333"/>
        </w:rPr>
        <w:t>25%。 </w:t>
      </w:r>
      <w:r>
        <w:rPr>
          <w:color w:val="333333"/>
          <w:spacing w:val="-2"/>
        </w:rPr>
        <w:t> </w:t>
      </w:r>
      <w:r>
        <w:rPr>
          <w:color w:val="333333"/>
          <w:w w:val="100"/>
        </w:rPr>
        <w:t> </w:t>
      </w:r>
      <w:r>
        <w:rPr>
          <w:color w:val="333333"/>
          <w:spacing w:val="-2"/>
        </w:rPr>
        <w:t> </w:t>
      </w:r>
      <w:r>
        <w:rPr>
          <w:color w:val="333333"/>
          <w:w w:val="100"/>
        </w:rPr>
        <w:t> </w:t>
      </w:r>
    </w:p>
    <w:p>
      <w:pPr>
        <w:pStyle w:val="ListParagraph"/>
        <w:numPr>
          <w:ilvl w:val="0"/>
          <w:numId w:val="258"/>
        </w:numPr>
        <w:tabs>
          <w:tab w:pos="1051" w:val="left" w:leader="none"/>
        </w:tabs>
        <w:spacing w:line="446" w:lineRule="auto" w:before="0" w:after="0"/>
        <w:ind w:left="418" w:right="1609" w:firstLine="419"/>
        <w:jc w:val="both"/>
        <w:rPr>
          <w:b/>
          <w:sz w:val="21"/>
        </w:rPr>
      </w:pPr>
      <w:r>
        <w:rPr>
          <w:color w:val="333333"/>
          <w:spacing w:val="-3"/>
          <w:sz w:val="21"/>
        </w:rPr>
        <w:t>两座建筑相邻较高一面外墙为防火墙，或高出相邻较低一座一、二级耐火等级建筑的屋</w:t>
      </w:r>
      <w:r>
        <w:rPr>
          <w:color w:val="333333"/>
          <w:spacing w:val="-28"/>
          <w:sz w:val="21"/>
        </w:rPr>
        <w:t>面 </w:t>
      </w:r>
      <w:r>
        <w:rPr>
          <w:color w:val="333333"/>
          <w:sz w:val="21"/>
        </w:rPr>
        <w:t>15m</w:t>
      </w:r>
      <w:r>
        <w:rPr>
          <w:color w:val="333333"/>
          <w:spacing w:val="-3"/>
          <w:sz w:val="21"/>
        </w:rPr>
        <w:t> 及以下范围内的外墙为防火墙时，其防火间距不限。 </w:t>
      </w:r>
      <w:r>
        <w:rPr>
          <w:color w:val="333333"/>
          <w:spacing w:val="-2"/>
          <w:sz w:val="21"/>
        </w:rPr>
        <w:t> </w:t>
      </w:r>
      <w:r>
        <w:rPr>
          <w:color w:val="333333"/>
          <w:w w:val="100"/>
          <w:sz w:val="21"/>
        </w:rPr>
        <w:t> </w:t>
      </w:r>
      <w:r>
        <w:rPr>
          <w:color w:val="333333"/>
          <w:spacing w:val="-2"/>
          <w:sz w:val="21"/>
        </w:rPr>
        <w:t> </w:t>
      </w:r>
      <w:r>
        <w:rPr>
          <w:b/>
          <w:color w:val="FF0000"/>
          <w:w w:val="99"/>
          <w:sz w:val="21"/>
        </w:rPr>
        <w:t> </w:t>
      </w:r>
    </w:p>
    <w:p>
      <w:pPr>
        <w:pStyle w:val="ListParagraph"/>
        <w:numPr>
          <w:ilvl w:val="0"/>
          <w:numId w:val="258"/>
        </w:numPr>
        <w:tabs>
          <w:tab w:pos="1051" w:val="left" w:leader="none"/>
        </w:tabs>
        <w:spacing w:line="446" w:lineRule="auto" w:before="0" w:after="0"/>
        <w:ind w:left="418" w:right="1609" w:firstLine="419"/>
        <w:jc w:val="both"/>
        <w:rPr>
          <w:b/>
          <w:sz w:val="21"/>
        </w:rPr>
      </w:pPr>
      <w:r>
        <w:rPr>
          <w:color w:val="333333"/>
          <w:spacing w:val="-3"/>
          <w:sz w:val="21"/>
        </w:rPr>
        <w:t>相邻两座高度相同的一、二级耐火等级建筑中相邻任一侧外墙为防火墙，屋顶的耐火极</w:t>
      </w:r>
      <w:r>
        <w:rPr>
          <w:color w:val="333333"/>
          <w:spacing w:val="-13"/>
          <w:sz w:val="21"/>
        </w:rPr>
        <w:t>限不低于 </w:t>
      </w:r>
      <w:r>
        <w:rPr>
          <w:color w:val="333333"/>
          <w:sz w:val="21"/>
        </w:rPr>
        <w:t>1.00h</w:t>
      </w:r>
      <w:r>
        <w:rPr>
          <w:color w:val="333333"/>
          <w:spacing w:val="-3"/>
          <w:sz w:val="21"/>
        </w:rPr>
        <w:t> 时，其防火间距不限。 </w:t>
      </w:r>
      <w:r>
        <w:rPr>
          <w:color w:val="333333"/>
          <w:spacing w:val="-2"/>
          <w:sz w:val="21"/>
        </w:rPr>
        <w:t> </w:t>
      </w:r>
      <w:r>
        <w:rPr>
          <w:color w:val="333333"/>
          <w:w w:val="100"/>
          <w:sz w:val="21"/>
        </w:rPr>
        <w:t> </w:t>
      </w:r>
      <w:r>
        <w:rPr>
          <w:color w:val="333333"/>
          <w:sz w:val="21"/>
        </w:rPr>
        <w:t> </w:t>
      </w:r>
      <w:r>
        <w:rPr>
          <w:color w:val="333333"/>
          <w:spacing w:val="-3"/>
          <w:w w:val="100"/>
          <w:sz w:val="21"/>
        </w:rPr>
        <w:t> </w:t>
      </w:r>
      <w:r>
        <w:rPr>
          <w:color w:val="333333"/>
          <w:w w:val="100"/>
          <w:sz w:val="21"/>
        </w:rPr>
        <w:t> </w:t>
      </w:r>
      <w:r>
        <w:rPr>
          <w:color w:val="333333"/>
          <w:spacing w:val="-2"/>
          <w:sz w:val="21"/>
        </w:rPr>
        <w:t> </w:t>
      </w:r>
      <w:r>
        <w:rPr>
          <w:b/>
          <w:color w:val="FF0000"/>
          <w:w w:val="99"/>
          <w:sz w:val="21"/>
        </w:rPr>
        <w:t> </w:t>
      </w:r>
    </w:p>
    <w:p>
      <w:pPr>
        <w:pStyle w:val="ListParagraph"/>
        <w:numPr>
          <w:ilvl w:val="0"/>
          <w:numId w:val="258"/>
        </w:numPr>
        <w:tabs>
          <w:tab w:pos="1051" w:val="left" w:leader="none"/>
        </w:tabs>
        <w:spacing w:line="446" w:lineRule="auto" w:before="0" w:after="0"/>
        <w:ind w:left="418" w:right="1508" w:firstLine="419"/>
        <w:jc w:val="left"/>
        <w:rPr>
          <w:sz w:val="21"/>
        </w:rPr>
      </w:pPr>
      <w:r>
        <w:rPr>
          <w:color w:val="333333"/>
          <w:spacing w:val="-3"/>
          <w:sz w:val="21"/>
        </w:rPr>
        <w:t>相邻两座建筑中较低一座建筑的耐火等级不低于二级，相邻较低一面外墙为防火墙且屋</w:t>
      </w:r>
      <w:r>
        <w:rPr>
          <w:color w:val="333333"/>
          <w:spacing w:val="-6"/>
          <w:sz w:val="21"/>
        </w:rPr>
        <w:t>顶无天窗，屋顶的耐火极限不低于 </w:t>
      </w:r>
      <w:r>
        <w:rPr>
          <w:color w:val="333333"/>
          <w:sz w:val="21"/>
        </w:rPr>
        <w:t>1.00h</w:t>
      </w:r>
      <w:r>
        <w:rPr>
          <w:color w:val="333333"/>
          <w:spacing w:val="-7"/>
          <w:sz w:val="21"/>
        </w:rPr>
        <w:t> 时，其防火间距不应小于 </w:t>
      </w:r>
      <w:r>
        <w:rPr>
          <w:color w:val="333333"/>
          <w:sz w:val="21"/>
        </w:rPr>
        <w:t>3.5m</w:t>
      </w:r>
      <w:r>
        <w:rPr>
          <w:color w:val="333333"/>
          <w:spacing w:val="-3"/>
          <w:sz w:val="21"/>
        </w:rPr>
        <w:t>；对于高层建筑，不应</w:t>
      </w:r>
      <w:r>
        <w:rPr>
          <w:color w:val="333333"/>
          <w:spacing w:val="-20"/>
          <w:sz w:val="21"/>
        </w:rPr>
        <w:t>小于 </w:t>
      </w:r>
      <w:r>
        <w:rPr>
          <w:color w:val="333333"/>
          <w:sz w:val="21"/>
        </w:rPr>
        <w:t>4m</w:t>
      </w:r>
      <w:r>
        <w:rPr>
          <w:color w:val="333333"/>
          <w:spacing w:val="-3"/>
          <w:sz w:val="21"/>
        </w:rPr>
        <w:t>。</w:t>
      </w:r>
      <w:r>
        <w:rPr>
          <w:color w:val="333333"/>
          <w:sz w:val="21"/>
        </w:rPr>
        <w:t>  </w:t>
      </w:r>
      <w:r>
        <w:rPr>
          <w:color w:val="333333"/>
          <w:w w:val="100"/>
          <w:sz w:val="21"/>
        </w:rPr>
        <w:t> </w:t>
      </w:r>
      <w:r>
        <w:rPr>
          <w:color w:val="333333"/>
          <w:spacing w:val="-2"/>
          <w:sz w:val="21"/>
        </w:rPr>
        <w:t> </w:t>
      </w:r>
      <w:r>
        <w:rPr>
          <w:color w:val="333333"/>
          <w:w w:val="100"/>
          <w:sz w:val="21"/>
        </w:rPr>
        <w:t> </w:t>
      </w:r>
    </w:p>
    <w:p>
      <w:pPr>
        <w:pStyle w:val="ListParagraph"/>
        <w:numPr>
          <w:ilvl w:val="0"/>
          <w:numId w:val="258"/>
        </w:numPr>
        <w:tabs>
          <w:tab w:pos="1051" w:val="left" w:leader="none"/>
        </w:tabs>
        <w:spacing w:line="446" w:lineRule="auto" w:before="0" w:after="0"/>
        <w:ind w:left="418" w:right="1452" w:firstLine="419"/>
        <w:jc w:val="left"/>
        <w:rPr>
          <w:sz w:val="21"/>
        </w:rPr>
      </w:pPr>
      <w:r>
        <w:rPr>
          <w:color w:val="333333"/>
          <w:spacing w:val="-3"/>
          <w:sz w:val="21"/>
        </w:rPr>
        <w:t>相邻两座建筑中较低一座建筑的耐火等级不低于二级且屋顶无天窗，相邻较高一面外墙 </w:t>
      </w:r>
      <w:r>
        <w:rPr>
          <w:color w:val="333333"/>
          <w:spacing w:val="-7"/>
          <w:sz w:val="21"/>
        </w:rPr>
        <w:t>高出较低一座建筑的屋面 </w:t>
      </w:r>
      <w:r>
        <w:rPr>
          <w:color w:val="333333"/>
          <w:sz w:val="21"/>
        </w:rPr>
        <w:t>15m</w:t>
      </w:r>
      <w:r>
        <w:rPr>
          <w:color w:val="333333"/>
          <w:spacing w:val="-3"/>
          <w:sz w:val="21"/>
        </w:rPr>
        <w:t> 及以下范围内的开口部位设置甲级防火门、窗，或设置符合现行国家标准《自动喷水灭火系统设计规范》</w:t>
      </w:r>
      <w:r>
        <w:rPr>
          <w:color w:val="333333"/>
          <w:sz w:val="21"/>
        </w:rPr>
        <w:t>GB</w:t>
      </w:r>
      <w:r>
        <w:rPr>
          <w:color w:val="333333"/>
          <w:spacing w:val="11"/>
          <w:sz w:val="21"/>
        </w:rPr>
        <w:t> </w:t>
      </w:r>
      <w:r>
        <w:rPr>
          <w:color w:val="333333"/>
          <w:sz w:val="21"/>
        </w:rPr>
        <w:t>50084</w:t>
      </w:r>
      <w:r>
        <w:rPr>
          <w:color w:val="333333"/>
          <w:spacing w:val="-6"/>
          <w:sz w:val="21"/>
        </w:rPr>
        <w:t> 规定的防火分隔水幕或本规范第 </w:t>
      </w:r>
      <w:r>
        <w:rPr>
          <w:color w:val="333333"/>
          <w:sz w:val="21"/>
        </w:rPr>
        <w:t>6.5.3</w:t>
      </w:r>
      <w:r>
        <w:rPr>
          <w:color w:val="333333"/>
          <w:spacing w:val="2"/>
          <w:sz w:val="21"/>
        </w:rPr>
        <w:t> 条规</w:t>
      </w:r>
      <w:r>
        <w:rPr>
          <w:color w:val="333333"/>
          <w:spacing w:val="-6"/>
          <w:sz w:val="21"/>
        </w:rPr>
        <w:t>定的防火卷帘时，其防火间距不应小于 </w:t>
      </w:r>
      <w:r>
        <w:rPr>
          <w:color w:val="333333"/>
          <w:sz w:val="21"/>
        </w:rPr>
        <w:t>3.5m</w:t>
      </w:r>
      <w:r>
        <w:rPr>
          <w:color w:val="333333"/>
          <w:spacing w:val="-7"/>
          <w:sz w:val="21"/>
        </w:rPr>
        <w:t>；对于高层建筑，不应小于 </w:t>
      </w:r>
      <w:r>
        <w:rPr>
          <w:color w:val="333333"/>
          <w:sz w:val="21"/>
        </w:rPr>
        <w:t>4m</w:t>
      </w:r>
      <w:r>
        <w:rPr>
          <w:color w:val="333333"/>
          <w:spacing w:val="-3"/>
          <w:sz w:val="21"/>
        </w:rPr>
        <w:t>。</w:t>
      </w:r>
      <w:r>
        <w:rPr>
          <w:color w:val="333333"/>
          <w:sz w:val="21"/>
        </w:rPr>
        <w:t> </w:t>
      </w:r>
      <w:r>
        <w:rPr>
          <w:color w:val="333333"/>
          <w:spacing w:val="1"/>
          <w:sz w:val="21"/>
        </w:rPr>
        <w:t> </w:t>
      </w:r>
      <w:r>
        <w:rPr>
          <w:color w:val="333333"/>
          <w:w w:val="100"/>
          <w:sz w:val="21"/>
        </w:rPr>
        <w:t> </w:t>
      </w:r>
      <w:r>
        <w:rPr>
          <w:color w:val="333333"/>
          <w:sz w:val="21"/>
        </w:rPr>
        <w:t> </w:t>
      </w:r>
      <w:r>
        <w:rPr>
          <w:color w:val="333333"/>
          <w:w w:val="100"/>
          <w:sz w:val="21"/>
        </w:rPr>
        <w:t> </w:t>
      </w:r>
      <w:r>
        <w:rPr>
          <w:color w:val="333333"/>
          <w:spacing w:val="-2"/>
          <w:sz w:val="21"/>
        </w:rPr>
        <w:t> </w:t>
      </w:r>
      <w:r>
        <w:rPr>
          <w:color w:val="333333"/>
          <w:w w:val="100"/>
          <w:sz w:val="21"/>
        </w:rPr>
        <w:t>  </w:t>
      </w:r>
      <w:r>
        <w:rPr>
          <w:color w:val="333333"/>
          <w:spacing w:val="-2"/>
          <w:sz w:val="21"/>
        </w:rPr>
        <w:t> </w:t>
      </w:r>
      <w:r>
        <w:rPr>
          <w:color w:val="333333"/>
          <w:w w:val="100"/>
          <w:sz w:val="21"/>
        </w:rPr>
        <w:t> </w:t>
      </w:r>
    </w:p>
    <w:p>
      <w:pPr>
        <w:pStyle w:val="ListParagraph"/>
        <w:numPr>
          <w:ilvl w:val="0"/>
          <w:numId w:val="258"/>
        </w:numPr>
        <w:tabs>
          <w:tab w:pos="1051" w:val="left" w:leader="none"/>
        </w:tabs>
        <w:spacing w:line="446" w:lineRule="auto" w:before="0" w:after="0"/>
        <w:ind w:left="418" w:right="2449" w:firstLine="419"/>
        <w:jc w:val="left"/>
        <w:rPr>
          <w:sz w:val="21"/>
        </w:rPr>
      </w:pPr>
      <w:r>
        <w:rPr>
          <w:color w:val="333333"/>
          <w:spacing w:val="-3"/>
          <w:sz w:val="21"/>
        </w:rPr>
        <w:t>相邻建筑通过连廊、天桥或底部的建筑物等连接时，其间距不应小于本表的规定。 </w:t>
      </w:r>
      <w:r>
        <w:rPr>
          <w:color w:val="333333"/>
          <w:spacing w:val="-2"/>
          <w:sz w:val="21"/>
        </w:rPr>
        <w:t> </w:t>
      </w:r>
      <w:r>
        <w:rPr>
          <w:color w:val="333333"/>
          <w:w w:val="100"/>
          <w:sz w:val="21"/>
        </w:rPr>
        <w:t> </w:t>
      </w:r>
      <w:r>
        <w:rPr>
          <w:color w:val="333333"/>
          <w:sz w:val="21"/>
        </w:rPr>
        <w:t> </w:t>
      </w:r>
      <w:r>
        <w:rPr>
          <w:color w:val="333333"/>
          <w:w w:val="100"/>
          <w:sz w:val="21"/>
        </w:rPr>
        <w:t> </w:t>
      </w:r>
      <w:r>
        <w:rPr>
          <w:color w:val="333333"/>
          <w:spacing w:val="-2"/>
          <w:sz w:val="21"/>
        </w:rPr>
        <w:t> </w:t>
      </w:r>
      <w:r>
        <w:rPr>
          <w:color w:val="333333"/>
          <w:w w:val="100"/>
          <w:sz w:val="21"/>
        </w:rPr>
        <w:t>  </w:t>
      </w:r>
      <w:r>
        <w:rPr>
          <w:color w:val="333333"/>
          <w:spacing w:val="-2"/>
          <w:sz w:val="21"/>
        </w:rPr>
        <w:t> </w:t>
      </w:r>
      <w:r>
        <w:rPr>
          <w:color w:val="333333"/>
          <w:w w:val="100"/>
          <w:sz w:val="21"/>
        </w:rPr>
        <w:t> </w:t>
      </w:r>
    </w:p>
    <w:p>
      <w:pPr>
        <w:pStyle w:val="ListParagraph"/>
        <w:numPr>
          <w:ilvl w:val="0"/>
          <w:numId w:val="258"/>
        </w:numPr>
        <w:tabs>
          <w:tab w:pos="1051" w:val="left" w:leader="none"/>
        </w:tabs>
        <w:spacing w:line="240" w:lineRule="auto" w:before="0" w:after="0"/>
        <w:ind w:left="1050" w:right="0" w:hanging="213"/>
        <w:jc w:val="left"/>
        <w:rPr>
          <w:sz w:val="21"/>
        </w:rPr>
      </w:pPr>
      <w:r>
        <w:rPr>
          <w:color w:val="333333"/>
          <w:spacing w:val="-3"/>
          <w:sz w:val="21"/>
        </w:rPr>
        <w:t>耐火等级低于四级的既有建筑，其耐火等级可按四级确定。</w:t>
      </w:r>
      <w:r>
        <w:rPr>
          <w:color w:val="333333"/>
          <w:sz w:val="21"/>
        </w:rPr>
        <w:t> </w:t>
      </w:r>
    </w:p>
    <w:p>
      <w:pPr>
        <w:pStyle w:val="BodyText"/>
        <w:spacing w:before="8"/>
        <w:rPr>
          <w:sz w:val="17"/>
        </w:rPr>
      </w:pPr>
    </w:p>
    <w:p>
      <w:pPr>
        <w:pStyle w:val="ListParagraph"/>
        <w:numPr>
          <w:ilvl w:val="2"/>
          <w:numId w:val="255"/>
        </w:numPr>
        <w:tabs>
          <w:tab w:pos="1370" w:val="left" w:leader="none"/>
        </w:tabs>
        <w:spacing w:line="446" w:lineRule="auto" w:before="0" w:after="0"/>
        <w:ind w:left="418" w:right="1553" w:firstLine="422"/>
        <w:jc w:val="left"/>
        <w:rPr>
          <w:color w:val="333333"/>
          <w:sz w:val="19"/>
        </w:rPr>
      </w:pPr>
      <w:r>
        <w:rPr>
          <w:color w:val="333333"/>
          <w:spacing w:val="-5"/>
          <w:sz w:val="21"/>
        </w:rPr>
        <w:t>民用建筑与单独建造的变电站的防火间距应符合本规范第 </w:t>
      </w:r>
      <w:r>
        <w:rPr>
          <w:color w:val="333333"/>
          <w:sz w:val="21"/>
        </w:rPr>
        <w:t>3.4.1</w:t>
      </w:r>
      <w:r>
        <w:rPr>
          <w:color w:val="333333"/>
          <w:spacing w:val="-2"/>
          <w:sz w:val="21"/>
        </w:rPr>
        <w:t> 条有关室外变、配</w:t>
      </w:r>
      <w:r>
        <w:rPr>
          <w:color w:val="333333"/>
          <w:spacing w:val="-3"/>
          <w:sz w:val="21"/>
        </w:rPr>
        <w:t>电站的规定，但与单独建造的终端变电站的防火间距，可根据变电站的耐火等级按本规范第5.2.2 条有关民用建筑的规定确定。</w:t>
      </w:r>
      <w:r>
        <w:rPr>
          <w:color w:val="333333"/>
          <w:sz w:val="21"/>
        </w:rPr>
        <w:t> </w:t>
      </w:r>
    </w:p>
    <w:p>
      <w:pPr>
        <w:pStyle w:val="BodyText"/>
        <w:spacing w:line="268" w:lineRule="exact"/>
        <w:ind w:left="838"/>
      </w:pPr>
      <w:r>
        <w:rPr>
          <w:color w:val="333333"/>
        </w:rPr>
        <w:t>民用建筑与 10kV 及以下的预装式变电站的防火间距不应小于 3m。 </w:t>
      </w:r>
    </w:p>
    <w:p>
      <w:pPr>
        <w:spacing w:after="0" w:line="268" w:lineRule="exact"/>
        <w:sectPr>
          <w:pgSz w:w="11910" w:h="16850"/>
          <w:pgMar w:header="0" w:footer="1239" w:top="1220" w:bottom="1420" w:left="1260" w:right="0"/>
        </w:sectPr>
      </w:pPr>
    </w:p>
    <w:p>
      <w:pPr>
        <w:pStyle w:val="BodyText"/>
        <w:spacing w:line="446" w:lineRule="auto" w:before="47"/>
        <w:ind w:left="418" w:right="1558" w:firstLine="419"/>
        <w:jc w:val="both"/>
      </w:pPr>
      <w:r>
        <w:rPr>
          <w:color w:val="333333"/>
          <w:spacing w:val="-5"/>
        </w:rPr>
        <w:t>民用建筑与燃油、燃气或燃煤锅炉房的防火间距应符合本规范第 </w:t>
      </w:r>
      <w:r>
        <w:rPr>
          <w:color w:val="333333"/>
        </w:rPr>
        <w:t>3.4.1</w:t>
      </w:r>
      <w:r>
        <w:rPr>
          <w:color w:val="333333"/>
          <w:spacing w:val="-1"/>
        </w:rPr>
        <w:t> 条有关丁类厂房的</w:t>
      </w:r>
      <w:r>
        <w:rPr>
          <w:color w:val="333333"/>
          <w:spacing w:val="-6"/>
        </w:rPr>
        <w:t>规定，但与单台蒸汽锅炉的蒸发量不大于 </w:t>
      </w:r>
      <w:r>
        <w:rPr>
          <w:color w:val="333333"/>
        </w:rPr>
        <w:t>4t/h</w:t>
      </w:r>
      <w:r>
        <w:rPr>
          <w:color w:val="333333"/>
          <w:spacing w:val="-6"/>
        </w:rPr>
        <w:t> 或单台热水锅炉的额定热功率不大于 </w:t>
      </w:r>
      <w:r>
        <w:rPr>
          <w:color w:val="333333"/>
        </w:rPr>
        <w:t>2.8MW</w:t>
      </w:r>
      <w:r>
        <w:rPr>
          <w:color w:val="333333"/>
          <w:spacing w:val="5"/>
        </w:rPr>
        <w:t> 的</w:t>
      </w:r>
      <w:r>
        <w:rPr>
          <w:color w:val="333333"/>
          <w:spacing w:val="-5"/>
        </w:rPr>
        <w:t>燃煤锅炉房的防火间距，可根据锅炉房的耐火等级按本规范第 </w:t>
      </w:r>
      <w:r>
        <w:rPr>
          <w:color w:val="333333"/>
        </w:rPr>
        <w:t>5.2.2</w:t>
      </w:r>
      <w:r>
        <w:rPr>
          <w:color w:val="333333"/>
          <w:spacing w:val="-2"/>
        </w:rPr>
        <w:t> 条有关民用建筑的规定确</w:t>
      </w:r>
      <w:r>
        <w:rPr>
          <w:color w:val="333333"/>
          <w:spacing w:val="-3"/>
        </w:rPr>
        <w:t>定。</w:t>
      </w:r>
      <w:r>
        <w:rPr>
          <w:color w:val="333333"/>
        </w:rPr>
        <w:t> </w:t>
      </w:r>
    </w:p>
    <w:p>
      <w:pPr>
        <w:pStyle w:val="ListParagraph"/>
        <w:numPr>
          <w:ilvl w:val="2"/>
          <w:numId w:val="255"/>
        </w:numPr>
        <w:tabs>
          <w:tab w:pos="1370" w:val="left" w:leader="none"/>
        </w:tabs>
        <w:spacing w:line="441" w:lineRule="auto" w:before="0" w:after="0"/>
        <w:ind w:left="418" w:right="1553" w:firstLine="422"/>
        <w:jc w:val="both"/>
        <w:rPr>
          <w:b/>
          <w:color w:val="333333"/>
          <w:sz w:val="19"/>
        </w:rPr>
      </w:pPr>
      <w:r>
        <w:rPr>
          <w:color w:val="333333"/>
          <w:spacing w:val="-3"/>
          <w:sz w:val="21"/>
        </w:rPr>
        <w:t>除高层民用建筑外，数座一、二级耐火等级的住宅建筑或办公建筑，当建筑物的占 </w:t>
      </w:r>
      <w:r>
        <w:rPr>
          <w:color w:val="333333"/>
          <w:spacing w:val="-8"/>
          <w:sz w:val="21"/>
        </w:rPr>
        <w:t>地面积总和不大于 </w:t>
      </w:r>
      <w:r>
        <w:rPr>
          <w:color w:val="333333"/>
          <w:sz w:val="21"/>
        </w:rPr>
        <w:t>2500m</w:t>
      </w:r>
      <w:r>
        <w:rPr>
          <w:color w:val="333333"/>
          <w:position w:val="11"/>
          <w:sz w:val="11"/>
        </w:rPr>
        <w:t>2</w:t>
      </w:r>
      <w:r>
        <w:rPr>
          <w:color w:val="333333"/>
          <w:spacing w:val="15"/>
          <w:sz w:val="11"/>
        </w:rPr>
        <w:t> </w:t>
      </w:r>
      <w:r>
        <w:rPr>
          <w:color w:val="333333"/>
          <w:spacing w:val="-5"/>
          <w:sz w:val="21"/>
        </w:rPr>
        <w:t>时，可成组布置，但组内建筑物之间的间距不宜小于 </w:t>
      </w:r>
      <w:r>
        <w:rPr>
          <w:color w:val="333333"/>
          <w:sz w:val="21"/>
        </w:rPr>
        <w:t>4m</w:t>
      </w:r>
      <w:r>
        <w:rPr>
          <w:color w:val="333333"/>
          <w:spacing w:val="-3"/>
          <w:sz w:val="21"/>
        </w:rPr>
        <w:t>。组与组或</w:t>
      </w:r>
      <w:r>
        <w:rPr>
          <w:color w:val="333333"/>
          <w:spacing w:val="-6"/>
          <w:sz w:val="21"/>
        </w:rPr>
        <w:t>组与相邻建筑物的防火间距不应小于本规范第 </w:t>
      </w:r>
      <w:r>
        <w:rPr>
          <w:color w:val="333333"/>
          <w:sz w:val="21"/>
        </w:rPr>
        <w:t>5.2.2</w:t>
      </w:r>
      <w:r>
        <w:rPr>
          <w:color w:val="333333"/>
          <w:spacing w:val="-2"/>
          <w:sz w:val="21"/>
        </w:rPr>
        <w:t> 条的规定。  </w:t>
      </w:r>
      <w:r>
        <w:rPr>
          <w:color w:val="333333"/>
          <w:w w:val="100"/>
          <w:sz w:val="21"/>
        </w:rPr>
        <w:t> </w:t>
      </w:r>
      <w:r>
        <w:rPr>
          <w:color w:val="333333"/>
          <w:sz w:val="21"/>
        </w:rPr>
        <w:t> </w:t>
      </w:r>
      <w:r>
        <w:rPr>
          <w:color w:val="333333"/>
          <w:spacing w:val="-3"/>
          <w:w w:val="100"/>
          <w:sz w:val="21"/>
        </w:rPr>
        <w:t> </w:t>
      </w:r>
      <w:r>
        <w:rPr>
          <w:color w:val="333333"/>
          <w:w w:val="100"/>
          <w:sz w:val="21"/>
        </w:rPr>
        <w:t> </w:t>
      </w:r>
      <w:r>
        <w:rPr>
          <w:color w:val="333333"/>
          <w:spacing w:val="-2"/>
          <w:sz w:val="21"/>
        </w:rPr>
        <w:t> </w:t>
      </w:r>
      <w:r>
        <w:rPr>
          <w:b/>
          <w:color w:val="FF0000"/>
          <w:w w:val="99"/>
          <w:sz w:val="21"/>
        </w:rPr>
        <w:t> </w:t>
      </w:r>
    </w:p>
    <w:p>
      <w:pPr>
        <w:pStyle w:val="ListParagraph"/>
        <w:numPr>
          <w:ilvl w:val="2"/>
          <w:numId w:val="255"/>
        </w:numPr>
        <w:tabs>
          <w:tab w:pos="1370" w:val="left" w:leader="none"/>
        </w:tabs>
        <w:spacing w:line="446" w:lineRule="auto" w:before="3" w:after="0"/>
        <w:ind w:left="418" w:right="1604" w:firstLine="422"/>
        <w:jc w:val="both"/>
        <w:rPr>
          <w:color w:val="333333"/>
          <w:sz w:val="19"/>
        </w:rPr>
      </w:pPr>
      <w:r>
        <w:rPr>
          <w:color w:val="333333"/>
          <w:spacing w:val="-3"/>
          <w:sz w:val="21"/>
        </w:rPr>
        <w:t>民用建筑与燃气调压站、液化石油气气化站或混气站、城市液化石油气供应站瓶库等的防火间距，应符合现行国家标准《城镇燃气设计规范》</w:t>
      </w:r>
      <w:r>
        <w:rPr>
          <w:color w:val="333333"/>
          <w:sz w:val="21"/>
        </w:rPr>
        <w:t>GB</w:t>
      </w:r>
      <w:r>
        <w:rPr>
          <w:color w:val="333333"/>
          <w:spacing w:val="2"/>
          <w:sz w:val="21"/>
        </w:rPr>
        <w:t> </w:t>
      </w:r>
      <w:r>
        <w:rPr>
          <w:color w:val="333333"/>
          <w:sz w:val="21"/>
        </w:rPr>
        <w:t>50028</w:t>
      </w:r>
      <w:r>
        <w:rPr>
          <w:color w:val="333333"/>
          <w:spacing w:val="-12"/>
          <w:sz w:val="21"/>
        </w:rPr>
        <w:t> 的规定。 </w:t>
      </w:r>
    </w:p>
    <w:p>
      <w:pPr>
        <w:pStyle w:val="ListParagraph"/>
        <w:numPr>
          <w:ilvl w:val="2"/>
          <w:numId w:val="255"/>
        </w:numPr>
        <w:tabs>
          <w:tab w:pos="1370" w:val="left" w:leader="none"/>
        </w:tabs>
        <w:spacing w:line="240" w:lineRule="auto" w:before="0" w:after="0"/>
        <w:ind w:left="1369" w:right="0" w:hanging="530"/>
        <w:jc w:val="both"/>
        <w:rPr>
          <w:color w:val="333333"/>
          <w:sz w:val="19"/>
        </w:rPr>
      </w:pPr>
      <w:r>
        <w:rPr>
          <w:color w:val="333333"/>
          <w:spacing w:val="-10"/>
          <w:sz w:val="21"/>
        </w:rPr>
        <w:t>建筑高度大于 </w:t>
      </w:r>
      <w:r>
        <w:rPr>
          <w:color w:val="333333"/>
          <w:sz w:val="21"/>
        </w:rPr>
        <w:t>100m</w:t>
      </w:r>
      <w:r>
        <w:rPr>
          <w:color w:val="333333"/>
          <w:spacing w:val="-5"/>
          <w:sz w:val="21"/>
        </w:rPr>
        <w:t> 的民用建筑与相邻建筑的防火间距，当符合本规范第 </w:t>
      </w:r>
      <w:r>
        <w:rPr>
          <w:color w:val="333333"/>
          <w:sz w:val="21"/>
        </w:rPr>
        <w:t>3.4.5 </w:t>
      </w:r>
    </w:p>
    <w:p>
      <w:pPr>
        <w:pStyle w:val="BodyText"/>
        <w:rPr>
          <w:sz w:val="18"/>
        </w:rPr>
      </w:pPr>
    </w:p>
    <w:p>
      <w:pPr>
        <w:pStyle w:val="BodyText"/>
        <w:spacing w:line="446" w:lineRule="auto"/>
        <w:ind w:left="840" w:right="2820" w:hanging="423"/>
        <w:jc w:val="both"/>
        <w:rPr>
          <w:b/>
        </w:rPr>
      </w:pPr>
      <w:r>
        <w:rPr>
          <w:color w:val="333333"/>
          <w:spacing w:val="-15"/>
        </w:rPr>
        <w:t>条、第 </w:t>
      </w:r>
      <w:r>
        <w:rPr>
          <w:color w:val="333333"/>
        </w:rPr>
        <w:t>3.5.3</w:t>
      </w:r>
      <w:r>
        <w:rPr>
          <w:color w:val="333333"/>
          <w:spacing w:val="-11"/>
        </w:rPr>
        <w:t> 条、第 </w:t>
      </w:r>
      <w:r>
        <w:rPr>
          <w:color w:val="333333"/>
        </w:rPr>
        <w:t>4.2.1</w:t>
      </w:r>
      <w:r>
        <w:rPr>
          <w:color w:val="333333"/>
          <w:spacing w:val="-11"/>
        </w:rPr>
        <w:t> 条和第 </w:t>
      </w:r>
      <w:r>
        <w:rPr>
          <w:color w:val="333333"/>
        </w:rPr>
        <w:t>5.2.2</w:t>
      </w:r>
      <w:r>
        <w:rPr>
          <w:color w:val="333333"/>
          <w:spacing w:val="-3"/>
        </w:rPr>
        <w:t> 条允许减小的条件时，仍不应减小。</w:t>
      </w:r>
      <w:r>
        <w:rPr>
          <w:b/>
          <w:spacing w:val="-3"/>
        </w:rPr>
        <w:t>5.3 </w:t>
      </w:r>
      <w:r>
        <w:rPr>
          <w:spacing w:val="-3"/>
        </w:rPr>
        <w:t>防火分区和层数</w:t>
      </w:r>
      <w:r>
        <w:rPr>
          <w:b/>
          <w:w w:val="99"/>
        </w:rPr>
        <w:t> </w:t>
      </w:r>
    </w:p>
    <w:p>
      <w:pPr>
        <w:pStyle w:val="BodyText"/>
        <w:spacing w:line="446" w:lineRule="auto"/>
        <w:ind w:left="418" w:right="1604" w:firstLine="422"/>
        <w:jc w:val="both"/>
      </w:pPr>
      <w:r>
        <w:rPr>
          <w:b/>
          <w:color w:val="333333"/>
        </w:rPr>
        <w:t>5.3.1 </w:t>
      </w:r>
      <w:r>
        <w:rPr>
          <w:color w:val="333333"/>
        </w:rPr>
        <w:t>除本规范另有规定外，不同耐火等级建筑的允许建筑高度或层数、防火分区最大允许建筑面积应符合表 5.3.1 的规定。 </w:t>
      </w:r>
    </w:p>
    <w:p>
      <w:pPr>
        <w:pStyle w:val="Heading6"/>
        <w:spacing w:line="267" w:lineRule="exact"/>
        <w:ind w:left="840"/>
        <w:jc w:val="both"/>
      </w:pPr>
      <w:r>
        <w:rPr/>
        <w:t>表 5.3.1 不同耐火等级建筑的允许建筑高度或层数、防火分区最大允许建筑面积</w:t>
      </w:r>
      <w:r>
        <w:rPr>
          <w:w w:val="99"/>
        </w:rPr>
        <w:t> </w:t>
      </w:r>
    </w:p>
    <w:p>
      <w:pPr>
        <w:pStyle w:val="BodyText"/>
        <w:rPr>
          <w:b/>
          <w:sz w:val="20"/>
        </w:rPr>
      </w:pPr>
    </w:p>
    <w:p>
      <w:pPr>
        <w:pStyle w:val="BodyText"/>
        <w:spacing w:before="4"/>
        <w:rPr>
          <w:b/>
          <w:sz w:val="16"/>
        </w:rPr>
      </w:pPr>
      <w:r>
        <w:rPr/>
        <w:drawing>
          <wp:anchor distT="0" distB="0" distL="0" distR="0" allowOverlap="1" layoutInCell="1" locked="0" behindDoc="0" simplePos="0" relativeHeight="92">
            <wp:simplePos x="0" y="0"/>
            <wp:positionH relativeFrom="page">
              <wp:posOffset>1179830</wp:posOffset>
            </wp:positionH>
            <wp:positionV relativeFrom="paragraph">
              <wp:posOffset>157813</wp:posOffset>
            </wp:positionV>
            <wp:extent cx="5524500" cy="2486025"/>
            <wp:effectExtent l="0" t="0" r="0" b="0"/>
            <wp:wrapTopAndBottom/>
            <wp:docPr id="211" name="image133.jpeg"/>
            <wp:cNvGraphicFramePr>
              <a:graphicFrameLocks noChangeAspect="1"/>
            </wp:cNvGraphicFramePr>
            <a:graphic>
              <a:graphicData uri="http://schemas.openxmlformats.org/drawingml/2006/picture">
                <pic:pic>
                  <pic:nvPicPr>
                    <pic:cNvPr id="212" name="image133.jpeg"/>
                    <pic:cNvPicPr/>
                  </pic:nvPicPr>
                  <pic:blipFill>
                    <a:blip r:embed="rId142" cstate="print"/>
                    <a:stretch>
                      <a:fillRect/>
                    </a:stretch>
                  </pic:blipFill>
                  <pic:spPr>
                    <a:xfrm>
                      <a:off x="0" y="0"/>
                      <a:ext cx="5524500" cy="2486025"/>
                    </a:xfrm>
                    <a:prstGeom prst="rect">
                      <a:avLst/>
                    </a:prstGeom>
                  </pic:spPr>
                </pic:pic>
              </a:graphicData>
            </a:graphic>
          </wp:anchor>
        </w:drawing>
      </w:r>
    </w:p>
    <w:p>
      <w:pPr>
        <w:pStyle w:val="BodyText"/>
        <w:spacing w:line="446" w:lineRule="auto" w:before="164"/>
        <w:ind w:left="418" w:right="1609" w:firstLine="419"/>
      </w:pPr>
      <w:r>
        <w:rPr>
          <w:color w:val="333333"/>
        </w:rPr>
        <w:t>注：1.表中规定的防火分区最大允许建筑面积，当建筑内设置自动灭火系统时，可按本表的规定增加 1.0 倍；局部设置时，防火分区的增加面积可按该局部面积的 1.0 倍计算。 </w:t>
      </w:r>
    </w:p>
    <w:p>
      <w:pPr>
        <w:pStyle w:val="BodyText"/>
        <w:spacing w:line="446" w:lineRule="auto"/>
        <w:ind w:left="418" w:right="1817" w:firstLine="419"/>
      </w:pPr>
      <w:r>
        <w:rPr>
          <w:color w:val="333333"/>
        </w:rPr>
        <w:t>2.裙房与高层建筑主体之间设置防火墙时，裙房的防火分区可按单、多层建筑的要求确定。 </w:t>
      </w:r>
    </w:p>
    <w:p>
      <w:pPr>
        <w:spacing w:after="0" w:line="446" w:lineRule="auto"/>
        <w:sectPr>
          <w:pgSz w:w="11910" w:h="16850"/>
          <w:pgMar w:header="0" w:footer="1239" w:top="1220" w:bottom="1420" w:left="1260" w:right="0"/>
        </w:sectPr>
      </w:pPr>
    </w:p>
    <w:p>
      <w:pPr>
        <w:pStyle w:val="BodyText"/>
        <w:spacing w:before="47"/>
        <w:ind w:left="840"/>
      </w:pPr>
      <w:r>
        <w:rPr>
          <w:b/>
          <w:color w:val="333333"/>
        </w:rPr>
        <w:t>5.3.1 </w:t>
      </w:r>
      <w:r>
        <w:rPr>
          <w:color w:val="333333"/>
        </w:rPr>
        <w:t>独立建造的一、二级耐火等级老年人照料设施的建筑高度不宜大于 32m，不应大于</w:t>
      </w:r>
    </w:p>
    <w:p>
      <w:pPr>
        <w:pStyle w:val="BodyText"/>
        <w:rPr>
          <w:sz w:val="18"/>
        </w:rPr>
      </w:pPr>
    </w:p>
    <w:p>
      <w:pPr>
        <w:pStyle w:val="BodyText"/>
        <w:ind w:left="418"/>
      </w:pPr>
      <w:r>
        <w:rPr>
          <w:color w:val="333333"/>
        </w:rPr>
        <w:t>54m；独立建造的三级耐火等级老年人照料设施，不应超过 2 层。 </w:t>
      </w:r>
    </w:p>
    <w:p>
      <w:pPr>
        <w:pStyle w:val="BodyText"/>
        <w:rPr>
          <w:sz w:val="18"/>
        </w:rPr>
      </w:pPr>
    </w:p>
    <w:p>
      <w:pPr>
        <w:pStyle w:val="BodyText"/>
        <w:spacing w:line="446" w:lineRule="auto"/>
        <w:ind w:left="418" w:right="1604" w:firstLine="419"/>
      </w:pPr>
      <w:r>
        <w:rPr>
          <w:color w:val="333333"/>
          <w:w w:val="100"/>
        </w:rPr>
        <w:t> </w:t>
      </w:r>
      <w:r>
        <w:rPr>
          <w:color w:val="333333"/>
        </w:rPr>
        <w:t> </w:t>
      </w:r>
      <w:r>
        <w:rPr>
          <w:color w:val="333333"/>
          <w:w w:val="100"/>
        </w:rPr>
        <w:t> </w:t>
      </w:r>
      <w:r>
        <w:rPr>
          <w:b/>
          <w:color w:val="333333"/>
          <w:w w:val="99"/>
        </w:rPr>
        <w:t> </w:t>
      </w:r>
      <w:r>
        <w:rPr>
          <w:b/>
          <w:color w:val="333333"/>
        </w:rPr>
        <w:t> 5.3.2 </w:t>
      </w:r>
      <w:r>
        <w:rPr>
          <w:color w:val="333333"/>
        </w:rPr>
        <w:t>建筑内设置自动扶梯、敞开楼梯等上、下层相连通的开口时，其防火分区的建筑面积应按上、下层相连通的建筑面积叠加计算；当叠加计算后的建筑面积大于本规范第5.3.1 条的规定时，应划分防火分区。 </w:t>
      </w:r>
    </w:p>
    <w:p>
      <w:pPr>
        <w:pStyle w:val="BodyText"/>
        <w:spacing w:line="446" w:lineRule="auto"/>
        <w:ind w:left="418" w:right="1611" w:firstLine="419"/>
      </w:pPr>
      <w:r>
        <w:rPr>
          <w:color w:val="333333"/>
        </w:rPr>
        <w:t>建筑内设置中庭时，其防火分区的建筑面积应按上、下层相连通的建筑面积叠加计算；当叠加计算后的建筑面积大于本规范第 5.3.1 条的规定时，应符合下列规定： </w:t>
      </w:r>
    </w:p>
    <w:p>
      <w:pPr>
        <w:pStyle w:val="BodyText"/>
        <w:spacing w:line="446" w:lineRule="auto"/>
        <w:ind w:left="418" w:right="1452" w:firstLine="419"/>
      </w:pPr>
      <w:r>
        <w:rPr>
          <w:color w:val="333333"/>
          <w:spacing w:val="-4"/>
        </w:rPr>
        <w:t>与周围连通空间应进行防火分隔：采用防火隔墙时，其耐火极限不应低于 </w:t>
      </w:r>
      <w:r>
        <w:rPr>
          <w:color w:val="333333"/>
        </w:rPr>
        <w:t>1.00h</w:t>
      </w:r>
      <w:r>
        <w:rPr>
          <w:color w:val="333333"/>
          <w:spacing w:val="-1"/>
        </w:rPr>
        <w:t>；采用防火</w:t>
      </w:r>
      <w:r>
        <w:rPr>
          <w:color w:val="333333"/>
          <w:spacing w:val="-6"/>
        </w:rPr>
        <w:t>玻璃墙时，其耐火隔热性和耐火完整性不应低于 </w:t>
      </w:r>
      <w:r>
        <w:rPr>
          <w:color w:val="333333"/>
        </w:rPr>
        <w:t>1.00h</w:t>
      </w:r>
      <w:r>
        <w:rPr>
          <w:color w:val="333333"/>
          <w:spacing w:val="-7"/>
        </w:rPr>
        <w:t>，采用耐火完整性不低于 </w:t>
      </w:r>
      <w:r>
        <w:rPr>
          <w:color w:val="333333"/>
        </w:rPr>
        <w:t>1.00h 的非隔</w:t>
      </w:r>
      <w:r>
        <w:rPr>
          <w:color w:val="333333"/>
          <w:spacing w:val="-3"/>
        </w:rPr>
        <w:t>热性防火玻璃墙时，应设置自动喷水灭火系统进行保护；采用防火卷帘时，其耐火极限不应低 </w:t>
      </w:r>
      <w:r>
        <w:rPr>
          <w:color w:val="333333"/>
          <w:spacing w:val="-26"/>
        </w:rPr>
        <w:t>于 </w:t>
      </w:r>
      <w:r>
        <w:rPr>
          <w:color w:val="333333"/>
        </w:rPr>
        <w:t>3.00h</w:t>
      </w:r>
      <w:r>
        <w:rPr>
          <w:color w:val="333333"/>
          <w:spacing w:val="-8"/>
        </w:rPr>
        <w:t>，并应符合本规范第 </w:t>
      </w:r>
      <w:r>
        <w:rPr>
          <w:color w:val="333333"/>
        </w:rPr>
        <w:t>6.5.3</w:t>
      </w:r>
      <w:r>
        <w:rPr>
          <w:color w:val="333333"/>
          <w:spacing w:val="-3"/>
        </w:rPr>
        <w:t> 条的规定；与中庭相连通的门、窗，应采用火灾时能自行关闭的甲级防火门、窗；</w:t>
      </w:r>
      <w:r>
        <w:rPr>
          <w:color w:val="333333"/>
        </w:rPr>
        <w:t>  </w:t>
      </w:r>
      <w:r>
        <w:rPr>
          <w:color w:val="333333"/>
          <w:w w:val="100"/>
        </w:rPr>
        <w:t> </w:t>
      </w:r>
      <w:r>
        <w:rPr>
          <w:color w:val="333333"/>
          <w:spacing w:val="-2"/>
        </w:rPr>
        <w:t> </w:t>
      </w:r>
      <w:r>
        <w:rPr>
          <w:color w:val="333333"/>
          <w:w w:val="100"/>
        </w:rPr>
        <w:t> </w:t>
      </w:r>
    </w:p>
    <w:p>
      <w:pPr>
        <w:pStyle w:val="BodyText"/>
        <w:spacing w:line="446" w:lineRule="auto"/>
        <w:ind w:left="838" w:right="3186"/>
      </w:pPr>
      <w:r>
        <w:rPr>
          <w:color w:val="333333"/>
          <w:spacing w:val="-3"/>
        </w:rPr>
        <w:t>高层建筑内的中庭回廊应设置自动喷水灭火系统和火灾自动报警系统； 中庭应设置排烟设施；</w:t>
      </w:r>
      <w:r>
        <w:rPr>
          <w:color w:val="333333"/>
        </w:rPr>
        <w:t> </w:t>
      </w:r>
    </w:p>
    <w:p>
      <w:pPr>
        <w:pStyle w:val="BodyText"/>
        <w:spacing w:line="267" w:lineRule="exact"/>
        <w:ind w:left="838"/>
      </w:pPr>
      <w:r>
        <w:rPr>
          <w:color w:val="333333"/>
        </w:rPr>
        <w:t>中庭内不应布置可燃物。 </w:t>
      </w:r>
    </w:p>
    <w:p>
      <w:pPr>
        <w:pStyle w:val="BodyText"/>
        <w:spacing w:before="12"/>
        <w:rPr>
          <w:sz w:val="17"/>
        </w:rPr>
      </w:pPr>
    </w:p>
    <w:p>
      <w:pPr>
        <w:pStyle w:val="ListParagraph"/>
        <w:numPr>
          <w:ilvl w:val="2"/>
          <w:numId w:val="259"/>
        </w:numPr>
        <w:tabs>
          <w:tab w:pos="1371" w:val="left" w:leader="none"/>
        </w:tabs>
        <w:spacing w:line="446" w:lineRule="auto" w:before="0" w:after="0"/>
        <w:ind w:left="418" w:right="1604" w:firstLine="422"/>
        <w:jc w:val="left"/>
        <w:rPr>
          <w:sz w:val="21"/>
        </w:rPr>
      </w:pPr>
      <w:r>
        <w:rPr>
          <w:color w:val="333333"/>
          <w:spacing w:val="-3"/>
          <w:sz w:val="21"/>
        </w:rPr>
        <w:t>防火分区之间应采用防火墙分隔，确有困难时，可采用防火卷帘等防火分隔设施分</w:t>
      </w:r>
      <w:r>
        <w:rPr>
          <w:color w:val="333333"/>
          <w:spacing w:val="-6"/>
          <w:sz w:val="21"/>
        </w:rPr>
        <w:t>隔。采用防火卷帘分隔时，应符合本规范第 </w:t>
      </w:r>
      <w:r>
        <w:rPr>
          <w:color w:val="333333"/>
          <w:sz w:val="21"/>
        </w:rPr>
        <w:t>6.5.3</w:t>
      </w:r>
      <w:r>
        <w:rPr>
          <w:color w:val="333333"/>
          <w:spacing w:val="-3"/>
          <w:sz w:val="21"/>
        </w:rPr>
        <w:t> 条的规定。</w:t>
      </w:r>
      <w:r>
        <w:rPr>
          <w:color w:val="333333"/>
          <w:sz w:val="21"/>
        </w:rPr>
        <w:t> </w:t>
      </w:r>
    </w:p>
    <w:p>
      <w:pPr>
        <w:pStyle w:val="ListParagraph"/>
        <w:numPr>
          <w:ilvl w:val="2"/>
          <w:numId w:val="259"/>
        </w:numPr>
        <w:tabs>
          <w:tab w:pos="1370" w:val="left" w:leader="none"/>
        </w:tabs>
        <w:spacing w:line="446" w:lineRule="auto" w:before="0" w:after="0"/>
        <w:ind w:left="418" w:right="1604" w:firstLine="422"/>
        <w:jc w:val="left"/>
        <w:rPr>
          <w:sz w:val="21"/>
        </w:rPr>
      </w:pPr>
      <w:r>
        <w:rPr>
          <w:color w:val="333333"/>
          <w:spacing w:val="-3"/>
          <w:sz w:val="21"/>
        </w:rPr>
        <w:t>一、二级耐火等级建筑内的商店营业厅、展览厅，当设置自动灭火系统和火灾自动报警系统并采用不燃或难燃装修材料时，其每个防火分区的最大允许建筑面积应符合下列规 定：</w:t>
      </w:r>
      <w:r>
        <w:rPr>
          <w:color w:val="333333"/>
          <w:sz w:val="21"/>
        </w:rPr>
        <w:t> </w:t>
      </w:r>
    </w:p>
    <w:p>
      <w:pPr>
        <w:pStyle w:val="BodyText"/>
        <w:spacing w:line="268" w:lineRule="exact"/>
        <w:ind w:left="838"/>
      </w:pPr>
      <w:r>
        <w:rPr>
          <w:color w:val="333333"/>
        </w:rPr>
        <w:t>设置在高层建筑内时，不应大于 4000m</w:t>
      </w:r>
      <w:r>
        <w:rPr>
          <w:color w:val="333333"/>
          <w:position w:val="11"/>
          <w:sz w:val="11"/>
        </w:rPr>
        <w:t>2</w:t>
      </w:r>
      <w:r>
        <w:rPr>
          <w:color w:val="333333"/>
        </w:rPr>
        <w:t>； </w:t>
      </w:r>
    </w:p>
    <w:p>
      <w:pPr>
        <w:pStyle w:val="BodyText"/>
        <w:spacing w:before="2"/>
        <w:rPr>
          <w:sz w:val="17"/>
        </w:rPr>
      </w:pPr>
    </w:p>
    <w:p>
      <w:pPr>
        <w:pStyle w:val="BodyText"/>
        <w:ind w:left="838"/>
      </w:pPr>
      <w:r>
        <w:rPr>
          <w:color w:val="333333"/>
        </w:rPr>
        <w:t>设置在单层建筑或仅设置在多层建筑的首层内时，不应大于 10000m</w:t>
      </w:r>
      <w:r>
        <w:rPr>
          <w:color w:val="333333"/>
          <w:position w:val="11"/>
          <w:sz w:val="11"/>
        </w:rPr>
        <w:t>2</w:t>
      </w:r>
      <w:r>
        <w:rPr>
          <w:color w:val="333333"/>
        </w:rPr>
        <w:t>； </w:t>
      </w:r>
    </w:p>
    <w:p>
      <w:pPr>
        <w:pStyle w:val="BodyText"/>
        <w:spacing w:before="2"/>
        <w:rPr>
          <w:sz w:val="17"/>
        </w:rPr>
      </w:pPr>
    </w:p>
    <w:p>
      <w:pPr>
        <w:pStyle w:val="BodyText"/>
        <w:spacing w:before="1"/>
        <w:ind w:left="838"/>
      </w:pPr>
      <w:r>
        <w:rPr>
          <w:color w:val="333333"/>
        </w:rPr>
        <w:t>设置在地下或半地下时，不应大于 2000m</w:t>
      </w:r>
      <w:r>
        <w:rPr>
          <w:color w:val="333333"/>
          <w:position w:val="11"/>
          <w:sz w:val="11"/>
        </w:rPr>
        <w:t>2</w:t>
      </w:r>
      <w:r>
        <w:rPr>
          <w:color w:val="333333"/>
        </w:rPr>
        <w:t>。 </w:t>
      </w:r>
    </w:p>
    <w:p>
      <w:pPr>
        <w:pStyle w:val="BodyText"/>
        <w:spacing w:before="2"/>
        <w:rPr>
          <w:sz w:val="17"/>
        </w:rPr>
      </w:pPr>
    </w:p>
    <w:p>
      <w:pPr>
        <w:pStyle w:val="ListParagraph"/>
        <w:numPr>
          <w:ilvl w:val="2"/>
          <w:numId w:val="259"/>
        </w:numPr>
        <w:tabs>
          <w:tab w:pos="1370" w:val="left" w:leader="none"/>
        </w:tabs>
        <w:spacing w:line="444" w:lineRule="auto" w:before="0" w:after="0"/>
        <w:ind w:left="418" w:right="1469" w:firstLine="422"/>
        <w:jc w:val="left"/>
        <w:rPr>
          <w:sz w:val="21"/>
        </w:rPr>
      </w:pPr>
      <w:r>
        <w:rPr>
          <w:color w:val="333333"/>
          <w:spacing w:val="-8"/>
          <w:sz w:val="21"/>
        </w:rPr>
        <w:t>总建筑面积大于 </w:t>
      </w:r>
      <w:r>
        <w:rPr>
          <w:color w:val="333333"/>
          <w:sz w:val="21"/>
        </w:rPr>
        <w:t>20000m</w:t>
      </w:r>
      <w:r>
        <w:rPr>
          <w:color w:val="333333"/>
          <w:position w:val="11"/>
          <w:sz w:val="11"/>
        </w:rPr>
        <w:t>2</w:t>
      </w:r>
      <w:r>
        <w:rPr>
          <w:color w:val="333333"/>
          <w:spacing w:val="-25"/>
          <w:position w:val="11"/>
          <w:sz w:val="11"/>
        </w:rPr>
        <w:t> </w:t>
      </w:r>
      <w:r>
        <w:rPr>
          <w:color w:val="333333"/>
          <w:spacing w:val="-3"/>
          <w:sz w:val="21"/>
        </w:rPr>
        <w:t>的地下或半地下商店，应采用无门、窗、洞口的防火墙、耐</w:t>
      </w:r>
      <w:r>
        <w:rPr>
          <w:color w:val="333333"/>
          <w:spacing w:val="-9"/>
          <w:sz w:val="21"/>
        </w:rPr>
        <w:t>火极限不低于 </w:t>
      </w:r>
      <w:r>
        <w:rPr>
          <w:color w:val="333333"/>
          <w:sz w:val="21"/>
        </w:rPr>
        <w:t>2.00h</w:t>
      </w:r>
      <w:r>
        <w:rPr>
          <w:color w:val="333333"/>
          <w:spacing w:val="-10"/>
          <w:sz w:val="21"/>
        </w:rPr>
        <w:t> 的楼板分隔为多个建筑面积不大于 </w:t>
      </w:r>
      <w:r>
        <w:rPr>
          <w:color w:val="333333"/>
          <w:sz w:val="21"/>
        </w:rPr>
        <w:t>20000m</w:t>
      </w:r>
      <w:r>
        <w:rPr>
          <w:color w:val="333333"/>
          <w:position w:val="11"/>
          <w:sz w:val="11"/>
        </w:rPr>
        <w:t>2</w:t>
      </w:r>
      <w:r>
        <w:rPr>
          <w:color w:val="333333"/>
          <w:spacing w:val="-24"/>
          <w:position w:val="11"/>
          <w:sz w:val="11"/>
        </w:rPr>
        <w:t> </w:t>
      </w:r>
      <w:r>
        <w:rPr>
          <w:color w:val="333333"/>
          <w:spacing w:val="-3"/>
          <w:sz w:val="21"/>
        </w:rPr>
        <w:t>的区域。相邻区域确需局部连通时，应采用下沉式广场等室外开敞空间、防火隔间、避难走道、防烟楼梯间等方式进行连通， 并应符合下列规定：</w:t>
      </w:r>
      <w:r>
        <w:rPr>
          <w:color w:val="333333"/>
          <w:sz w:val="21"/>
        </w:rPr>
        <w:t> </w:t>
      </w:r>
    </w:p>
    <w:p>
      <w:pPr>
        <w:spacing w:after="0" w:line="444"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color w:val="333333"/>
        </w:rPr>
        <w:t>下沉式广场等室外开敞空间应能防止相邻区域的火灾蔓延和便于安全疏散，并应符合本规范第 6.4.12 条的规定；   </w:t>
      </w:r>
      <w:r>
        <w:rPr>
          <w:color w:val="333333"/>
          <w:w w:val="100"/>
        </w:rPr>
        <w:t> </w:t>
      </w:r>
    </w:p>
    <w:p>
      <w:pPr>
        <w:pStyle w:val="BodyText"/>
        <w:spacing w:line="446" w:lineRule="auto"/>
        <w:ind w:left="418" w:right="1613" w:firstLine="419"/>
      </w:pPr>
      <w:r>
        <w:rPr>
          <w:color w:val="333333"/>
          <w:spacing w:val="-6"/>
        </w:rPr>
        <w:t>防火隔间的墙应为耐火极限不低于 </w:t>
      </w:r>
      <w:r>
        <w:rPr>
          <w:color w:val="333333"/>
        </w:rPr>
        <w:t>3.00h</w:t>
      </w:r>
      <w:r>
        <w:rPr>
          <w:color w:val="333333"/>
          <w:spacing w:val="-6"/>
        </w:rPr>
        <w:t> 的防火隔墙，并应符合本规范第 </w:t>
      </w:r>
      <w:r>
        <w:rPr>
          <w:color w:val="333333"/>
        </w:rPr>
        <w:t>6.4.13 条的规定； </w:t>
      </w:r>
      <w:r>
        <w:rPr>
          <w:color w:val="333333"/>
          <w:spacing w:val="-2"/>
        </w:rPr>
        <w:t> </w:t>
      </w:r>
      <w:r>
        <w:rPr>
          <w:color w:val="333333"/>
          <w:w w:val="100"/>
        </w:rPr>
        <w:t> </w:t>
      </w:r>
    </w:p>
    <w:p>
      <w:pPr>
        <w:pStyle w:val="BodyText"/>
        <w:ind w:left="838"/>
      </w:pPr>
      <w:r>
        <w:rPr>
          <w:color w:val="333333"/>
        </w:rPr>
        <w:t>避难走道应符合本规范第 6.4.14 条的规定； </w:t>
      </w:r>
    </w:p>
    <w:p>
      <w:pPr>
        <w:pStyle w:val="BodyText"/>
        <w:spacing w:before="10"/>
        <w:rPr>
          <w:sz w:val="17"/>
        </w:rPr>
      </w:pPr>
    </w:p>
    <w:p>
      <w:pPr>
        <w:pStyle w:val="BodyText"/>
        <w:ind w:left="838"/>
      </w:pPr>
      <w:r>
        <w:rPr>
          <w:color w:val="333333"/>
        </w:rPr>
        <w:t>防烟楼梯间的门应采用甲级防火门。 </w:t>
      </w:r>
    </w:p>
    <w:p>
      <w:pPr>
        <w:pStyle w:val="BodyText"/>
        <w:spacing w:before="2"/>
        <w:rPr>
          <w:sz w:val="18"/>
        </w:rPr>
      </w:pPr>
    </w:p>
    <w:p>
      <w:pPr>
        <w:pStyle w:val="ListParagraph"/>
        <w:numPr>
          <w:ilvl w:val="2"/>
          <w:numId w:val="259"/>
        </w:numPr>
        <w:tabs>
          <w:tab w:pos="1371" w:val="left" w:leader="none"/>
        </w:tabs>
        <w:spacing w:line="446" w:lineRule="auto" w:before="0" w:after="0"/>
        <w:ind w:left="418" w:right="1604" w:firstLine="422"/>
        <w:jc w:val="left"/>
        <w:rPr>
          <w:sz w:val="21"/>
        </w:rPr>
      </w:pPr>
      <w:r>
        <w:rPr>
          <w:color w:val="333333"/>
          <w:spacing w:val="-3"/>
          <w:sz w:val="21"/>
        </w:rPr>
        <w:t>餐饮、商店等商业设施通过有顶棚的步行街连接，且步行街两侧的建筑需利用步行街进行安全疏散时，应符合下列规定：</w:t>
      </w:r>
      <w:r>
        <w:rPr>
          <w:color w:val="333333"/>
          <w:sz w:val="21"/>
        </w:rPr>
        <w:t> </w:t>
      </w:r>
    </w:p>
    <w:p>
      <w:pPr>
        <w:pStyle w:val="BodyText"/>
        <w:spacing w:line="267" w:lineRule="exact"/>
        <w:ind w:left="838"/>
      </w:pPr>
      <w:r>
        <w:rPr>
          <w:color w:val="333333"/>
        </w:rPr>
        <w:t>步行街两侧建筑的耐火等级不应低于二级； </w:t>
      </w:r>
    </w:p>
    <w:p>
      <w:pPr>
        <w:pStyle w:val="BodyText"/>
        <w:spacing w:before="2"/>
        <w:rPr>
          <w:sz w:val="18"/>
        </w:rPr>
      </w:pPr>
    </w:p>
    <w:p>
      <w:pPr>
        <w:pStyle w:val="BodyText"/>
        <w:spacing w:line="446" w:lineRule="auto"/>
        <w:ind w:left="418" w:right="1558" w:firstLine="419"/>
        <w:jc w:val="both"/>
      </w:pPr>
      <w:r>
        <w:rPr>
          <w:color w:val="333333"/>
          <w:spacing w:val="-3"/>
        </w:rPr>
        <w:t>步行街两侧建筑相对面的最近距离均不应小于本规范对相应高度建筑的防火间距要求且不</w:t>
      </w:r>
      <w:r>
        <w:rPr>
          <w:color w:val="333333"/>
          <w:spacing w:val="-7"/>
        </w:rPr>
        <w:t>应小于 </w:t>
      </w:r>
      <w:r>
        <w:rPr>
          <w:color w:val="333333"/>
        </w:rPr>
        <w:t>9m</w:t>
      </w:r>
      <w:r>
        <w:rPr>
          <w:color w:val="333333"/>
          <w:spacing w:val="-3"/>
        </w:rPr>
        <w:t>。步行街的端部在各层均不宜封闭，确需封闭时，应在外墙上设置可开启的门窗，且</w:t>
      </w:r>
      <w:r>
        <w:rPr>
          <w:color w:val="333333"/>
          <w:spacing w:val="-5"/>
        </w:rPr>
        <w:t>可开启门窗的面积不应小于该部位外墙面积的一半。步行街的长度不宜大于 </w:t>
      </w:r>
      <w:r>
        <w:rPr>
          <w:color w:val="333333"/>
        </w:rPr>
        <w:t>300m； </w:t>
      </w:r>
      <w:r>
        <w:rPr>
          <w:color w:val="333333"/>
          <w:spacing w:val="-2"/>
        </w:rPr>
        <w:t> </w:t>
      </w:r>
      <w:r>
        <w:rPr>
          <w:color w:val="333333"/>
          <w:w w:val="100"/>
        </w:rPr>
        <w:t> </w:t>
      </w:r>
    </w:p>
    <w:p>
      <w:pPr>
        <w:pStyle w:val="BodyText"/>
        <w:spacing w:line="436" w:lineRule="auto"/>
        <w:ind w:left="418" w:right="1611" w:firstLine="419"/>
        <w:jc w:val="both"/>
      </w:pPr>
      <w:r>
        <w:rPr>
          <w:color w:val="333333"/>
          <w:spacing w:val="-5"/>
        </w:rPr>
        <w:t>步行街两侧建筑的商铺之间应设置耐火极限不低于 </w:t>
      </w:r>
      <w:r>
        <w:rPr>
          <w:color w:val="333333"/>
        </w:rPr>
        <w:t>2.00h</w:t>
      </w:r>
      <w:r>
        <w:rPr>
          <w:color w:val="333333"/>
          <w:spacing w:val="-7"/>
        </w:rPr>
        <w:t> 的防火隔墙，每间商铺的建筑面</w:t>
      </w:r>
      <w:r>
        <w:rPr>
          <w:color w:val="333333"/>
          <w:spacing w:val="-13"/>
        </w:rPr>
        <w:t>积不宜大于 </w:t>
      </w:r>
      <w:r>
        <w:rPr>
          <w:color w:val="333333"/>
        </w:rPr>
        <w:t>300m</w:t>
      </w:r>
      <w:r>
        <w:rPr>
          <w:color w:val="333333"/>
          <w:position w:val="11"/>
          <w:sz w:val="11"/>
        </w:rPr>
        <w:t>2</w:t>
      </w:r>
      <w:r>
        <w:rPr>
          <w:color w:val="333333"/>
        </w:rPr>
        <w:t>； </w:t>
      </w:r>
      <w:r>
        <w:rPr>
          <w:color w:val="333333"/>
          <w:spacing w:val="-2"/>
        </w:rPr>
        <w:t> </w:t>
      </w:r>
      <w:r>
        <w:rPr>
          <w:color w:val="333333"/>
          <w:w w:val="100"/>
        </w:rPr>
        <w:t> </w:t>
      </w:r>
    </w:p>
    <w:p>
      <w:pPr>
        <w:pStyle w:val="BodyText"/>
        <w:spacing w:line="446" w:lineRule="auto" w:before="8"/>
        <w:ind w:left="418" w:right="1450" w:firstLine="419"/>
      </w:pPr>
      <w:r>
        <w:rPr>
          <w:color w:val="333333"/>
          <w:spacing w:val="-4"/>
        </w:rPr>
        <w:t>步行街两侧建筑的商铺，其面向步行街一侧的围护构件的耐火极限不应低于 </w:t>
      </w:r>
      <w:r>
        <w:rPr>
          <w:color w:val="333333"/>
        </w:rPr>
        <w:t>1.00h</w:t>
      </w:r>
      <w:r>
        <w:rPr>
          <w:color w:val="333333"/>
          <w:spacing w:val="-2"/>
        </w:rPr>
        <w:t>，并宜采</w:t>
      </w:r>
      <w:r>
        <w:rPr>
          <w:color w:val="333333"/>
          <w:spacing w:val="-3"/>
        </w:rPr>
        <w:t>用实体墙，其门、窗应采用乙级防火门、窗；当采用防火玻璃墙（包括门、窗</w:t>
      </w:r>
      <w:r>
        <w:rPr>
          <w:color w:val="333333"/>
        </w:rPr>
        <w:t>）</w:t>
      </w:r>
      <w:r>
        <w:rPr>
          <w:color w:val="333333"/>
          <w:spacing w:val="-3"/>
        </w:rPr>
        <w:t>时，其耐火隔 </w:t>
      </w:r>
      <w:r>
        <w:rPr>
          <w:color w:val="333333"/>
          <w:spacing w:val="-6"/>
        </w:rPr>
        <w:t>热性和耐火完整性不应低于 </w:t>
      </w:r>
      <w:r>
        <w:rPr>
          <w:color w:val="333333"/>
        </w:rPr>
        <w:t>1.00h</w:t>
      </w:r>
      <w:r>
        <w:rPr>
          <w:color w:val="333333"/>
          <w:spacing w:val="-7"/>
        </w:rPr>
        <w:t>；采用耐火完整性不低于 </w:t>
      </w:r>
      <w:r>
        <w:rPr>
          <w:color w:val="333333"/>
        </w:rPr>
        <w:t>1.00h</w:t>
      </w:r>
      <w:r>
        <w:rPr>
          <w:color w:val="333333"/>
          <w:spacing w:val="-8"/>
        </w:rPr>
        <w:t> 的非隔热性防火玻璃墙</w:t>
      </w:r>
      <w:r>
        <w:rPr>
          <w:color w:val="333333"/>
          <w:spacing w:val="-3"/>
        </w:rPr>
        <w:t>（</w:t>
      </w:r>
      <w:r>
        <w:rPr>
          <w:color w:val="333333"/>
        </w:rPr>
        <w:t>包括</w:t>
      </w:r>
      <w:r>
        <w:rPr>
          <w:color w:val="333333"/>
          <w:spacing w:val="-1"/>
        </w:rPr>
        <w:t>门、窗</w:t>
      </w:r>
      <w:r>
        <w:rPr>
          <w:color w:val="333333"/>
        </w:rPr>
        <w:t>）</w:t>
      </w:r>
      <w:r>
        <w:rPr>
          <w:color w:val="333333"/>
          <w:spacing w:val="-3"/>
        </w:rPr>
        <w:t>时，应设置闭式自动喷水灭火系统进行保护。相邻商铺之间面向步行街一侧应设置宽 </w:t>
      </w:r>
      <w:r>
        <w:rPr>
          <w:color w:val="333333"/>
          <w:spacing w:val="-13"/>
        </w:rPr>
        <w:t>度不小于 </w:t>
      </w:r>
      <w:r>
        <w:rPr>
          <w:color w:val="333333"/>
        </w:rPr>
        <w:t>1.0m</w:t>
      </w:r>
      <w:r>
        <w:rPr>
          <w:color w:val="333333"/>
          <w:spacing w:val="-9"/>
        </w:rPr>
        <w:t>、耐火极限不低于 </w:t>
      </w:r>
      <w:r>
        <w:rPr>
          <w:color w:val="333333"/>
        </w:rPr>
        <w:t>1.00h</w:t>
      </w:r>
      <w:r>
        <w:rPr>
          <w:color w:val="333333"/>
          <w:spacing w:val="-11"/>
        </w:rPr>
        <w:t> 的实体墙。</w:t>
      </w:r>
      <w:r>
        <w:rPr>
          <w:color w:val="333333"/>
        </w:rPr>
        <w:t> </w:t>
      </w:r>
    </w:p>
    <w:p>
      <w:pPr>
        <w:pStyle w:val="BodyText"/>
        <w:spacing w:line="446" w:lineRule="auto"/>
        <w:ind w:left="418" w:right="1609" w:firstLine="419"/>
      </w:pPr>
      <w:r>
        <w:rPr>
          <w:color w:val="333333"/>
          <w:spacing w:val="-3"/>
        </w:rPr>
        <w:t>当步行街两侧的建筑为多个楼层时，每层面向步行街一侧的商铺均应设置防止火灾竖向蔓</w:t>
      </w:r>
      <w:r>
        <w:rPr>
          <w:color w:val="333333"/>
          <w:spacing w:val="-7"/>
        </w:rPr>
        <w:t>延的措施，并应符合本规范第 </w:t>
      </w:r>
      <w:r>
        <w:rPr>
          <w:color w:val="333333"/>
        </w:rPr>
        <w:t>6.2.5</w:t>
      </w:r>
      <w:r>
        <w:rPr>
          <w:color w:val="333333"/>
          <w:spacing w:val="-8"/>
        </w:rPr>
        <w:t> 条的规定；设置回廊或挑檐时，其出挑宽度不应小于1.2m</w:t>
      </w:r>
      <w:r>
        <w:rPr>
          <w:color w:val="333333"/>
          <w:spacing w:val="-5"/>
        </w:rPr>
        <w:t>；步行街两侧的商铺在上部各层需设置回廊和连接天桥时，应保证步行街上部各层的开口</w:t>
      </w:r>
      <w:r>
        <w:rPr>
          <w:color w:val="333333"/>
          <w:spacing w:val="-8"/>
        </w:rPr>
        <w:t>面积不应小于步行街地面面积的 </w:t>
      </w:r>
      <w:r>
        <w:rPr>
          <w:color w:val="333333"/>
        </w:rPr>
        <w:t>37</w:t>
      </w:r>
      <w:r>
        <w:rPr>
          <w:color w:val="333333"/>
          <w:spacing w:val="-3"/>
        </w:rPr>
        <w:t>%，且开口宜均匀布置； </w:t>
      </w:r>
      <w:r>
        <w:rPr>
          <w:color w:val="333333"/>
          <w:spacing w:val="-2"/>
        </w:rPr>
        <w:t> </w:t>
      </w:r>
      <w:r>
        <w:rPr>
          <w:color w:val="333333"/>
          <w:w w:val="100"/>
        </w:rPr>
        <w:t> </w:t>
      </w:r>
      <w:r>
        <w:rPr>
          <w:color w:val="333333"/>
        </w:rPr>
        <w:t> </w:t>
      </w:r>
      <w:r>
        <w:rPr>
          <w:color w:val="333333"/>
          <w:spacing w:val="-3"/>
          <w:w w:val="100"/>
        </w:rPr>
        <w:t> </w:t>
      </w:r>
      <w:r>
        <w:rPr>
          <w:color w:val="333333"/>
          <w:w w:val="100"/>
        </w:rPr>
        <w:t> </w:t>
      </w:r>
      <w:r>
        <w:rPr>
          <w:color w:val="333333"/>
        </w:rPr>
        <w:t> </w:t>
      </w:r>
      <w:r>
        <w:rPr>
          <w:color w:val="333333"/>
          <w:w w:val="100"/>
        </w:rPr>
        <w:t> </w:t>
      </w:r>
      <w:r>
        <w:rPr>
          <w:color w:val="333333"/>
          <w:spacing w:val="-2"/>
        </w:rPr>
        <w:t> </w:t>
      </w:r>
      <w:r>
        <w:rPr>
          <w:color w:val="333333"/>
          <w:w w:val="100"/>
        </w:rPr>
        <w:t> </w:t>
      </w:r>
    </w:p>
    <w:p>
      <w:pPr>
        <w:pStyle w:val="BodyText"/>
        <w:spacing w:line="446" w:lineRule="auto"/>
        <w:ind w:left="418" w:right="1450" w:firstLine="419"/>
        <w:rPr>
          <w:b/>
        </w:rPr>
      </w:pPr>
      <w:r>
        <w:rPr>
          <w:color w:val="333333"/>
          <w:spacing w:val="-3"/>
        </w:rPr>
        <w:t>步行街两侧建筑内的疏散楼梯应靠外墙设置并宜直通室外，确有困难时，可在首层直接通 至步行街；首层商铺的疏散门可直接通至步行街，步行街内任一点到达最近室外安全地点的步 </w:t>
      </w:r>
      <w:r>
        <w:rPr>
          <w:color w:val="333333"/>
          <w:spacing w:val="-5"/>
        </w:rPr>
        <w:t>行距离不应大于 </w:t>
      </w:r>
      <w:r>
        <w:rPr>
          <w:color w:val="333333"/>
        </w:rPr>
        <w:t>60m</w:t>
      </w:r>
      <w:r>
        <w:rPr>
          <w:color w:val="333333"/>
          <w:spacing w:val="-3"/>
        </w:rPr>
        <w:t>。步行街两侧建筑二层及以上各层商铺的疏散门至该层最近疏散楼梯口或其</w:t>
      </w:r>
      <w:r>
        <w:rPr>
          <w:color w:val="333333"/>
          <w:spacing w:val="-7"/>
        </w:rPr>
        <w:t>他安全出口的直线距离不应大于 </w:t>
      </w:r>
      <w:r>
        <w:rPr>
          <w:color w:val="333333"/>
        </w:rPr>
        <w:t>37.5m；  </w:t>
      </w:r>
      <w:r>
        <w:rPr>
          <w:color w:val="333333"/>
          <w:w w:val="100"/>
        </w:rPr>
        <w:t> </w:t>
      </w:r>
      <w:r>
        <w:rPr>
          <w:color w:val="333333"/>
          <w:spacing w:val="-2"/>
        </w:rPr>
        <w:t> </w:t>
      </w:r>
      <w:r>
        <w:rPr>
          <w:b/>
          <w:color w:val="FF0000"/>
          <w:w w:val="99"/>
        </w:rPr>
        <w:t> </w:t>
      </w:r>
    </w:p>
    <w:p>
      <w:pPr>
        <w:spacing w:after="0" w:line="446" w:lineRule="auto"/>
        <w:sectPr>
          <w:pgSz w:w="11910" w:h="16850"/>
          <w:pgMar w:header="0" w:footer="1239" w:top="1220" w:bottom="1420" w:left="1260" w:right="0"/>
        </w:sectPr>
      </w:pPr>
    </w:p>
    <w:p>
      <w:pPr>
        <w:pStyle w:val="BodyText"/>
        <w:spacing w:line="446" w:lineRule="auto" w:before="47"/>
        <w:ind w:left="418" w:right="1498" w:firstLine="419"/>
      </w:pPr>
      <w:r>
        <w:rPr>
          <w:color w:val="333333"/>
          <w:w w:val="100"/>
        </w:rPr>
        <w:t> </w:t>
      </w:r>
      <w:r>
        <w:rPr>
          <w:color w:val="333333"/>
        </w:rPr>
        <w:t>步行街的顶棚材料应采用不燃或难燃材料，其承重结构的耐火极限不应低于 1.00h。步行街内不应布置可燃物； </w:t>
      </w:r>
    </w:p>
    <w:p>
      <w:pPr>
        <w:pStyle w:val="BodyText"/>
        <w:spacing w:line="446" w:lineRule="auto"/>
        <w:ind w:left="418" w:right="1450" w:firstLine="419"/>
      </w:pPr>
      <w:r>
        <w:rPr>
          <w:color w:val="333333"/>
          <w:spacing w:val="-6"/>
        </w:rPr>
        <w:t>步行街的顶棚下檐距地面的高度不应小于 </w:t>
      </w:r>
      <w:r>
        <w:rPr>
          <w:color w:val="333333"/>
        </w:rPr>
        <w:t>6.0m</w:t>
      </w:r>
      <w:r>
        <w:rPr>
          <w:color w:val="333333"/>
          <w:spacing w:val="-3"/>
        </w:rPr>
        <w:t>，顶棚应设置自然排烟设施并宜采用常开式</w:t>
      </w:r>
      <w:r>
        <w:rPr>
          <w:color w:val="333333"/>
          <w:spacing w:val="-4"/>
        </w:rPr>
        <w:t>的排烟口，且自然排烟口的有效面积不应小于步行街地面面积的 </w:t>
      </w:r>
      <w:r>
        <w:rPr>
          <w:color w:val="333333"/>
        </w:rPr>
        <w:t>25</w:t>
      </w:r>
      <w:r>
        <w:rPr>
          <w:color w:val="333333"/>
          <w:spacing w:val="-3"/>
        </w:rPr>
        <w:t>%。常闭式自然排烟设施应能在火灾时手动和自动开启；  </w:t>
      </w:r>
      <w:r>
        <w:rPr>
          <w:color w:val="333333"/>
          <w:spacing w:val="-3"/>
          <w:w w:val="100"/>
        </w:rPr>
        <w:t> </w:t>
      </w:r>
      <w:r>
        <w:rPr>
          <w:color w:val="333333"/>
          <w:spacing w:val="-2"/>
        </w:rPr>
        <w:t> </w:t>
      </w:r>
      <w:r>
        <w:rPr>
          <w:color w:val="333333"/>
          <w:w w:val="100"/>
        </w:rPr>
        <w:t> </w:t>
      </w:r>
      <w:r>
        <w:rPr>
          <w:color w:val="333333"/>
        </w:rPr>
        <w:t> </w:t>
      </w:r>
      <w:r>
        <w:rPr>
          <w:color w:val="333333"/>
          <w:w w:val="100"/>
        </w:rPr>
        <w:t> </w:t>
      </w:r>
      <w:r>
        <w:rPr>
          <w:color w:val="333333"/>
          <w:spacing w:val="-2"/>
        </w:rPr>
        <w:t> </w:t>
      </w:r>
      <w:r>
        <w:rPr>
          <w:color w:val="333333"/>
          <w:w w:val="100"/>
        </w:rPr>
        <w:t>  </w:t>
      </w:r>
      <w:r>
        <w:rPr>
          <w:color w:val="333333"/>
        </w:rPr>
        <w:t> </w:t>
      </w:r>
      <w:r>
        <w:rPr>
          <w:color w:val="333333"/>
          <w:spacing w:val="-3"/>
          <w:w w:val="100"/>
        </w:rPr>
        <w:t> </w:t>
      </w:r>
      <w:r>
        <w:rPr>
          <w:color w:val="333333"/>
          <w:w w:val="100"/>
        </w:rPr>
        <w:t> </w:t>
      </w:r>
      <w:r>
        <w:rPr>
          <w:color w:val="333333"/>
          <w:spacing w:val="-2"/>
        </w:rPr>
        <w:t> </w:t>
      </w:r>
      <w:r>
        <w:rPr>
          <w:color w:val="333333"/>
          <w:w w:val="100"/>
        </w:rPr>
        <w:t> </w:t>
      </w:r>
    </w:p>
    <w:p>
      <w:pPr>
        <w:pStyle w:val="BodyText"/>
        <w:spacing w:line="446" w:lineRule="auto"/>
        <w:ind w:left="418" w:right="1505" w:firstLine="419"/>
      </w:pPr>
      <w:r>
        <w:rPr>
          <w:color w:val="333333"/>
          <w:spacing w:val="-6"/>
        </w:rPr>
        <w:t>步行街两侧建筑的商铺外应每隔 </w:t>
      </w:r>
      <w:r>
        <w:rPr>
          <w:color w:val="333333"/>
        </w:rPr>
        <w:t>30m</w:t>
      </w:r>
      <w:r>
        <w:rPr>
          <w:color w:val="333333"/>
          <w:spacing w:val="-23"/>
        </w:rPr>
        <w:t> 设置 </w:t>
      </w:r>
      <w:r>
        <w:rPr>
          <w:color w:val="333333"/>
        </w:rPr>
        <w:t>DN65</w:t>
      </w:r>
      <w:r>
        <w:rPr>
          <w:color w:val="333333"/>
          <w:spacing w:val="-8"/>
        </w:rPr>
        <w:t> 的消火栓，并应配备消防软管卷盘或消防水</w:t>
      </w:r>
      <w:r>
        <w:rPr>
          <w:color w:val="333333"/>
          <w:spacing w:val="-5"/>
        </w:rPr>
        <w:t>龙，商铺内应设置自动喷水灭火系统和火灾自动报警系统；每层回廊均应设置自动喷水灭火系</w:t>
      </w:r>
      <w:r>
        <w:rPr>
          <w:color w:val="333333"/>
          <w:spacing w:val="-4"/>
        </w:rPr>
        <w:t>统。步行街内宜设置自动跟踪定位射流灭火系统；</w:t>
      </w:r>
      <w:r>
        <w:rPr>
          <w:color w:val="333333"/>
        </w:rPr>
        <w:t> </w:t>
      </w:r>
    </w:p>
    <w:p>
      <w:pPr>
        <w:pStyle w:val="BodyText"/>
        <w:spacing w:line="446" w:lineRule="auto"/>
        <w:ind w:left="840" w:right="1505" w:hanging="3"/>
        <w:rPr>
          <w:b/>
        </w:rPr>
      </w:pPr>
      <w:r>
        <w:rPr>
          <w:color w:val="333333"/>
        </w:rPr>
        <w:t>步行街两侧建筑的商铺内外均应设置疏散照明、灯光疏散指示标志和消防应急广播系统。</w:t>
      </w:r>
      <w:r>
        <w:rPr>
          <w:b/>
        </w:rPr>
        <w:t>5.4 </w:t>
      </w:r>
      <w:r>
        <w:rPr/>
        <w:t>平面布置</w:t>
      </w:r>
      <w:r>
        <w:rPr>
          <w:b/>
          <w:w w:val="99"/>
        </w:rPr>
        <w:t> </w:t>
      </w:r>
    </w:p>
    <w:p>
      <w:pPr>
        <w:pStyle w:val="ListParagraph"/>
        <w:numPr>
          <w:ilvl w:val="2"/>
          <w:numId w:val="260"/>
        </w:numPr>
        <w:tabs>
          <w:tab w:pos="1371" w:val="left" w:leader="none"/>
        </w:tabs>
        <w:spacing w:line="446" w:lineRule="auto" w:before="0" w:after="0"/>
        <w:ind w:left="418" w:right="1604" w:firstLine="422"/>
        <w:jc w:val="left"/>
        <w:rPr>
          <w:color w:val="333333"/>
          <w:sz w:val="19"/>
        </w:rPr>
      </w:pPr>
      <w:r>
        <w:rPr>
          <w:color w:val="333333"/>
          <w:spacing w:val="-3"/>
          <w:sz w:val="21"/>
        </w:rPr>
        <w:t>民用建筑的平面布置应结合建筑的耐火等级、火灾危险性、使用功能和安全疏散等因素合理布置。</w:t>
      </w:r>
      <w:r>
        <w:rPr>
          <w:color w:val="333333"/>
          <w:sz w:val="21"/>
        </w:rPr>
        <w:t> </w:t>
      </w:r>
    </w:p>
    <w:p>
      <w:pPr>
        <w:pStyle w:val="ListParagraph"/>
        <w:numPr>
          <w:ilvl w:val="2"/>
          <w:numId w:val="260"/>
        </w:numPr>
        <w:tabs>
          <w:tab w:pos="1508" w:val="left" w:leader="none"/>
        </w:tabs>
        <w:spacing w:line="277" w:lineRule="exact" w:before="0" w:after="0"/>
        <w:ind w:left="1507" w:right="0" w:hanging="608"/>
        <w:jc w:val="left"/>
        <w:rPr>
          <w:sz w:val="22"/>
        </w:rPr>
      </w:pPr>
      <w:r>
        <w:rPr>
          <w:color w:val="333333"/>
          <w:spacing w:val="-3"/>
          <w:sz w:val="21"/>
        </w:rPr>
        <w:t>除为满足民用建筑使用功能所设置的附属库房外，民用建筑内不应设置生产车间和</w:t>
      </w:r>
    </w:p>
    <w:p>
      <w:pPr>
        <w:pStyle w:val="BodyText"/>
        <w:rPr>
          <w:sz w:val="17"/>
        </w:rPr>
      </w:pPr>
    </w:p>
    <w:p>
      <w:pPr>
        <w:pStyle w:val="BodyText"/>
        <w:ind w:left="418"/>
      </w:pPr>
      <w:r>
        <w:rPr>
          <w:color w:val="333333"/>
        </w:rPr>
        <w:t>其他库房。 </w:t>
      </w:r>
    </w:p>
    <w:p>
      <w:pPr>
        <w:pStyle w:val="BodyText"/>
        <w:rPr>
          <w:sz w:val="18"/>
        </w:rPr>
      </w:pPr>
    </w:p>
    <w:p>
      <w:pPr>
        <w:pStyle w:val="BodyText"/>
        <w:spacing w:line="446" w:lineRule="auto"/>
        <w:ind w:left="418" w:right="1609" w:firstLine="419"/>
      </w:pPr>
      <w:r>
        <w:rPr>
          <w:color w:val="333333"/>
        </w:rPr>
        <w:t>经营、存放和使用甲、乙类火灾危险性物品的商店、作坊和储藏间，严禁附设在民用建筑内。 </w:t>
      </w:r>
    </w:p>
    <w:p>
      <w:pPr>
        <w:pStyle w:val="ListParagraph"/>
        <w:numPr>
          <w:ilvl w:val="2"/>
          <w:numId w:val="260"/>
        </w:numPr>
        <w:tabs>
          <w:tab w:pos="1508" w:val="left" w:leader="none"/>
        </w:tabs>
        <w:spacing w:line="277" w:lineRule="exact" w:before="0" w:after="0"/>
        <w:ind w:left="1507" w:right="0" w:hanging="608"/>
        <w:jc w:val="left"/>
        <w:rPr>
          <w:sz w:val="22"/>
        </w:rPr>
      </w:pPr>
      <w:r>
        <w:rPr>
          <w:color w:val="333333"/>
          <w:spacing w:val="-5"/>
          <w:sz w:val="21"/>
        </w:rPr>
        <w:t>商店建筑、展览建筑采用三级耐火等级建筑时，不应超过 </w:t>
      </w:r>
      <w:r>
        <w:rPr>
          <w:color w:val="333333"/>
          <w:spacing w:val="-3"/>
          <w:sz w:val="21"/>
        </w:rPr>
        <w:t>2 层；采用四级耐火等</w:t>
      </w:r>
    </w:p>
    <w:p>
      <w:pPr>
        <w:pStyle w:val="BodyText"/>
        <w:spacing w:before="3"/>
        <w:rPr>
          <w:sz w:val="17"/>
        </w:rPr>
      </w:pPr>
    </w:p>
    <w:p>
      <w:pPr>
        <w:pStyle w:val="BodyText"/>
        <w:spacing w:line="446" w:lineRule="auto" w:before="1"/>
        <w:ind w:left="418" w:right="1817"/>
      </w:pPr>
      <w:r>
        <w:rPr>
          <w:color w:val="333333"/>
        </w:rPr>
        <w:t>级建筑时，应为单层。营业厅、展览厅设置在三级耐火等级的建筑内时，应布置在首层或二层；设置在四级耐火等级的建筑内时，应布置在首层。 </w:t>
      </w:r>
    </w:p>
    <w:p>
      <w:pPr>
        <w:pStyle w:val="BodyText"/>
        <w:spacing w:line="446" w:lineRule="auto"/>
        <w:ind w:left="418" w:right="1817" w:firstLine="419"/>
      </w:pPr>
      <w:r>
        <w:rPr>
          <w:color w:val="333333"/>
        </w:rPr>
        <w:t>营业厅、展览厅不应设置在地下三层及以下楼层。地下或半地下营业厅、展览厅不应经营、储存和展示甲、乙类火灾危险性物品。 </w:t>
      </w:r>
    </w:p>
    <w:p>
      <w:pPr>
        <w:pStyle w:val="ListParagraph"/>
        <w:numPr>
          <w:ilvl w:val="2"/>
          <w:numId w:val="260"/>
        </w:numPr>
        <w:tabs>
          <w:tab w:pos="1370" w:val="left" w:leader="none"/>
        </w:tabs>
        <w:spacing w:line="446" w:lineRule="auto" w:before="0" w:after="0"/>
        <w:ind w:left="418" w:right="1558" w:firstLine="422"/>
        <w:jc w:val="both"/>
        <w:rPr>
          <w:color w:val="333333"/>
          <w:sz w:val="19"/>
        </w:rPr>
      </w:pPr>
      <w:r>
        <w:rPr>
          <w:color w:val="333333"/>
          <w:spacing w:val="-3"/>
          <w:sz w:val="21"/>
        </w:rPr>
        <w:t>托儿所、幼儿园的儿童用房和儿童游乐厅等儿童活动场所宜设置在独立的建筑内， </w:t>
      </w:r>
      <w:r>
        <w:rPr>
          <w:color w:val="333333"/>
          <w:spacing w:val="-5"/>
          <w:sz w:val="21"/>
        </w:rPr>
        <w:t>且不应设置在地下或半地下；当采用一、二级耐火等级的建筑时，不应超过 </w:t>
      </w:r>
      <w:r>
        <w:rPr>
          <w:color w:val="333333"/>
          <w:sz w:val="21"/>
        </w:rPr>
        <w:t>3</w:t>
      </w:r>
      <w:r>
        <w:rPr>
          <w:color w:val="333333"/>
          <w:spacing w:val="1"/>
          <w:sz w:val="21"/>
        </w:rPr>
        <w:t> 层；采用三级耐</w:t>
      </w:r>
      <w:r>
        <w:rPr>
          <w:color w:val="333333"/>
          <w:spacing w:val="-6"/>
          <w:sz w:val="21"/>
        </w:rPr>
        <w:t>火等级的建筑时，不应超过 </w:t>
      </w:r>
      <w:r>
        <w:rPr>
          <w:color w:val="333333"/>
          <w:sz w:val="21"/>
        </w:rPr>
        <w:t>2</w:t>
      </w:r>
      <w:r>
        <w:rPr>
          <w:color w:val="333333"/>
          <w:spacing w:val="-3"/>
          <w:sz w:val="21"/>
        </w:rPr>
        <w:t> 层；采用四级耐火等级的建筑时，应为单层；确需设置在其他民用建筑内时，应符合下列规定：</w:t>
      </w:r>
      <w:r>
        <w:rPr>
          <w:color w:val="333333"/>
          <w:sz w:val="21"/>
        </w:rPr>
        <w:t> </w:t>
      </w:r>
    </w:p>
    <w:p>
      <w:pPr>
        <w:pStyle w:val="BodyText"/>
        <w:spacing w:line="446" w:lineRule="auto"/>
        <w:ind w:left="838" w:right="3397"/>
      </w:pPr>
      <w:r>
        <w:rPr>
          <w:color w:val="333333"/>
        </w:rPr>
        <w:t>设置在一、二级耐火等级的建筑内时，应布置在首层、二层或三层； 设置在三级耐火等级的建筑内时，应布置在首层或二层； </w:t>
      </w:r>
    </w:p>
    <w:p>
      <w:pPr>
        <w:pStyle w:val="BodyText"/>
        <w:ind w:left="838"/>
      </w:pPr>
      <w:r>
        <w:rPr>
          <w:color w:val="333333"/>
        </w:rPr>
        <w:t>设置在四级耐火等级的建筑内时，应布置在首层； </w:t>
      </w:r>
    </w:p>
    <w:p>
      <w:pPr>
        <w:spacing w:after="0"/>
        <w:sectPr>
          <w:pgSz w:w="11910" w:h="16850"/>
          <w:pgMar w:header="0" w:footer="1239" w:top="1220" w:bottom="1420" w:left="1260" w:right="0"/>
        </w:sectPr>
      </w:pPr>
    </w:p>
    <w:p>
      <w:pPr>
        <w:pStyle w:val="BodyText"/>
        <w:spacing w:before="47"/>
        <w:ind w:left="838"/>
      </w:pPr>
      <w:r>
        <w:rPr>
          <w:color w:val="333333"/>
        </w:rPr>
        <w:t>设置在高层建筑内时，应设置独立的安全出口和疏散楼梯； </w:t>
      </w:r>
    </w:p>
    <w:p>
      <w:pPr>
        <w:pStyle w:val="BodyText"/>
        <w:rPr>
          <w:sz w:val="18"/>
        </w:rPr>
      </w:pPr>
    </w:p>
    <w:p>
      <w:pPr>
        <w:pStyle w:val="BodyText"/>
        <w:ind w:left="838"/>
      </w:pPr>
      <w:r>
        <w:rPr>
          <w:color w:val="333333"/>
        </w:rPr>
        <w:t>设置在单、多层建筑内时，宜设置独立的安全出口和疏散楼梯。 </w:t>
      </w:r>
    </w:p>
    <w:p>
      <w:pPr>
        <w:pStyle w:val="BodyText"/>
        <w:rPr>
          <w:sz w:val="18"/>
        </w:rPr>
      </w:pPr>
    </w:p>
    <w:p>
      <w:pPr>
        <w:pStyle w:val="BodyText"/>
        <w:spacing w:line="446" w:lineRule="auto"/>
        <w:ind w:left="418" w:right="1385" w:firstLine="422"/>
      </w:pPr>
      <w:r>
        <w:rPr>
          <w:b/>
          <w:color w:val="333333"/>
        </w:rPr>
        <w:t>5.4.4 </w:t>
      </w:r>
      <w:r>
        <w:rPr>
          <w:color w:val="333333"/>
        </w:rPr>
        <w:t>老年人照料设施宜独立设置。当老年人照料设施与其他建筑上、下组合时，老年人照料设施宜设置在建筑的下部，并应符合下列规定： </w:t>
      </w:r>
    </w:p>
    <w:p>
      <w:pPr>
        <w:pStyle w:val="BodyText"/>
        <w:spacing w:line="446" w:lineRule="auto"/>
        <w:ind w:left="418" w:right="1397" w:firstLine="419"/>
      </w:pPr>
      <w:r>
        <w:rPr>
          <w:color w:val="333333"/>
          <w:spacing w:val="-3"/>
        </w:rPr>
        <w:t>老年人照料设施部分的建筑层数、建筑高度或所在楼层位置的高度应符合本规范第 </w:t>
      </w:r>
      <w:r>
        <w:rPr>
          <w:color w:val="333333"/>
        </w:rPr>
        <w:t>5.3.1A </w:t>
      </w:r>
      <w:r>
        <w:rPr>
          <w:color w:val="333333"/>
          <w:spacing w:val="-2"/>
        </w:rPr>
        <w:t>条的规定；</w:t>
      </w:r>
      <w:r>
        <w:rPr>
          <w:color w:val="333333"/>
        </w:rPr>
        <w:t> </w:t>
      </w:r>
    </w:p>
    <w:p>
      <w:pPr>
        <w:pStyle w:val="BodyText"/>
        <w:spacing w:line="446" w:lineRule="auto"/>
        <w:ind w:left="418" w:right="1498" w:firstLine="419"/>
      </w:pPr>
      <w:r>
        <w:rPr>
          <w:color w:val="333333"/>
        </w:rPr>
        <w:t>老年人照料设施部分应与其他场所进行防火分隔，防火分隔应符合本规范第 6.2.2 条的规定。 </w:t>
      </w:r>
    </w:p>
    <w:p>
      <w:pPr>
        <w:pStyle w:val="ListParagraph"/>
        <w:numPr>
          <w:ilvl w:val="2"/>
          <w:numId w:val="261"/>
        </w:numPr>
        <w:tabs>
          <w:tab w:pos="1371" w:val="left" w:leader="none"/>
        </w:tabs>
        <w:spacing w:line="439" w:lineRule="auto" w:before="0" w:after="0"/>
        <w:ind w:left="418" w:right="1604" w:firstLine="422"/>
        <w:jc w:val="left"/>
        <w:rPr>
          <w:b/>
          <w:sz w:val="21"/>
        </w:rPr>
      </w:pPr>
      <w:r>
        <w:rPr>
          <w:color w:val="333333"/>
          <w:spacing w:val="-3"/>
          <w:sz w:val="21"/>
        </w:rPr>
        <w:t>当老年人照料设施中的老年人公共活动用房、康复与医疗用房设置在地下、半地下</w:t>
      </w:r>
      <w:r>
        <w:rPr>
          <w:color w:val="333333"/>
          <w:spacing w:val="-5"/>
          <w:sz w:val="21"/>
        </w:rPr>
        <w:t>时，应设置在地下一层，每间用房的建筑面积不应大于 </w:t>
      </w:r>
      <w:r>
        <w:rPr>
          <w:color w:val="333333"/>
          <w:sz w:val="21"/>
        </w:rPr>
        <w:t>200m</w:t>
      </w:r>
      <w:r>
        <w:rPr>
          <w:color w:val="333333"/>
          <w:position w:val="11"/>
          <w:sz w:val="11"/>
        </w:rPr>
        <w:t>2</w:t>
      </w:r>
      <w:r>
        <w:rPr>
          <w:color w:val="333333"/>
          <w:spacing w:val="-27"/>
          <w:position w:val="11"/>
          <w:sz w:val="11"/>
        </w:rPr>
        <w:t> </w:t>
      </w:r>
      <w:r>
        <w:rPr>
          <w:color w:val="333333"/>
          <w:spacing w:val="-8"/>
          <w:sz w:val="21"/>
        </w:rPr>
        <w:t>且使用人数不应大于 </w:t>
      </w:r>
      <w:r>
        <w:rPr>
          <w:color w:val="333333"/>
          <w:sz w:val="21"/>
        </w:rPr>
        <w:t>30</w:t>
      </w:r>
      <w:r>
        <w:rPr>
          <w:color w:val="333333"/>
          <w:spacing w:val="-19"/>
          <w:sz w:val="21"/>
        </w:rPr>
        <w:t> 人。</w:t>
      </w:r>
      <w:r>
        <w:rPr>
          <w:b/>
          <w:color w:val="333333"/>
          <w:w w:val="99"/>
          <w:sz w:val="21"/>
        </w:rPr>
        <w:t> </w:t>
      </w:r>
    </w:p>
    <w:p>
      <w:pPr>
        <w:pStyle w:val="BodyText"/>
        <w:spacing w:line="436" w:lineRule="auto" w:before="4"/>
        <w:ind w:left="418" w:right="1609" w:firstLine="419"/>
        <w:rPr>
          <w:b/>
        </w:rPr>
      </w:pPr>
      <w:r>
        <w:rPr>
          <w:color w:val="333333"/>
        </w:rPr>
        <w:t>老年人照料设施中的老年人公共活动用房、康复与医疗用房设置在地上四层及以上时，每间用房的建筑面积不应大于 200m</w:t>
      </w:r>
      <w:r>
        <w:rPr>
          <w:color w:val="333333"/>
          <w:position w:val="11"/>
          <w:sz w:val="11"/>
        </w:rPr>
        <w:t>2 </w:t>
      </w:r>
      <w:r>
        <w:rPr>
          <w:color w:val="333333"/>
        </w:rPr>
        <w:t>且使用人数不应大于 30 人。  </w:t>
      </w:r>
      <w:r>
        <w:rPr>
          <w:b/>
          <w:color w:val="333333"/>
          <w:w w:val="99"/>
        </w:rPr>
        <w:t> </w:t>
      </w:r>
    </w:p>
    <w:p>
      <w:pPr>
        <w:pStyle w:val="ListParagraph"/>
        <w:numPr>
          <w:ilvl w:val="2"/>
          <w:numId w:val="261"/>
        </w:numPr>
        <w:tabs>
          <w:tab w:pos="1371" w:val="left" w:leader="none"/>
        </w:tabs>
        <w:spacing w:line="240" w:lineRule="auto" w:before="11" w:after="0"/>
        <w:ind w:left="1370" w:right="0" w:hanging="531"/>
        <w:jc w:val="left"/>
        <w:rPr>
          <w:b/>
          <w:sz w:val="21"/>
        </w:rPr>
      </w:pPr>
      <w:r>
        <w:rPr>
          <w:color w:val="333333"/>
          <w:spacing w:val="-3"/>
          <w:sz w:val="21"/>
        </w:rPr>
        <w:t>医院和疗养院的住院部分不应设置在地下或半地下。</w:t>
      </w:r>
      <w:r>
        <w:rPr>
          <w:b/>
          <w:color w:val="333333"/>
          <w:w w:val="99"/>
          <w:sz w:val="21"/>
        </w:rPr>
        <w:t> </w:t>
      </w:r>
    </w:p>
    <w:p>
      <w:pPr>
        <w:pStyle w:val="BodyText"/>
        <w:rPr>
          <w:b/>
          <w:sz w:val="18"/>
        </w:rPr>
      </w:pPr>
    </w:p>
    <w:p>
      <w:pPr>
        <w:pStyle w:val="BodyText"/>
        <w:spacing w:line="446" w:lineRule="auto"/>
        <w:ind w:left="418" w:right="1558" w:firstLine="419"/>
        <w:jc w:val="both"/>
        <w:rPr>
          <w:b/>
        </w:rPr>
      </w:pPr>
      <w:r>
        <w:rPr>
          <w:color w:val="333333"/>
          <w:spacing w:val="-5"/>
        </w:rPr>
        <w:t>医院和疗养院的住院部分采用三级耐火等级建筑时，不应超过 </w:t>
      </w:r>
      <w:r>
        <w:rPr>
          <w:color w:val="333333"/>
        </w:rPr>
        <w:t>2</w:t>
      </w:r>
      <w:r>
        <w:rPr>
          <w:color w:val="333333"/>
          <w:spacing w:val="-2"/>
        </w:rPr>
        <w:t> 层；采用四级耐火等级建</w:t>
      </w:r>
      <w:r>
        <w:rPr>
          <w:color w:val="333333"/>
          <w:spacing w:val="-3"/>
        </w:rPr>
        <w:t>筑时，应为单层；设置在三级耐火等级的建筑内时，应布置在首层或二层；设置在四级耐火等级的建筑内时，应布置在首层。</w:t>
      </w:r>
      <w:r>
        <w:rPr>
          <w:b/>
          <w:color w:val="333333"/>
          <w:w w:val="99"/>
        </w:rPr>
        <w:t> </w:t>
      </w:r>
    </w:p>
    <w:p>
      <w:pPr>
        <w:pStyle w:val="BodyText"/>
        <w:spacing w:line="446" w:lineRule="auto"/>
        <w:ind w:left="418" w:right="1767" w:firstLine="419"/>
        <w:jc w:val="both"/>
        <w:rPr>
          <w:b/>
        </w:rPr>
      </w:pPr>
      <w:r>
        <w:rPr>
          <w:color w:val="333333"/>
          <w:spacing w:val="-5"/>
        </w:rPr>
        <w:t>医院和疗养院的病房楼内相邻护理单元之间应采用耐火极限不低于 </w:t>
      </w:r>
      <w:r>
        <w:rPr>
          <w:color w:val="333333"/>
        </w:rPr>
        <w:t>2.00h 的防火隔墙分</w:t>
      </w:r>
      <w:r>
        <w:rPr>
          <w:color w:val="333333"/>
          <w:spacing w:val="-3"/>
        </w:rPr>
        <w:t>隔，隔墙上的门应采用乙级防火门，设置在走道上的防火门应采用常开防火门。</w:t>
      </w:r>
      <w:r>
        <w:rPr>
          <w:b/>
          <w:color w:val="333333"/>
          <w:w w:val="99"/>
        </w:rPr>
        <w:t> </w:t>
      </w:r>
    </w:p>
    <w:p>
      <w:pPr>
        <w:pStyle w:val="ListParagraph"/>
        <w:numPr>
          <w:ilvl w:val="2"/>
          <w:numId w:val="261"/>
        </w:numPr>
        <w:tabs>
          <w:tab w:pos="1370" w:val="left" w:leader="none"/>
        </w:tabs>
        <w:spacing w:line="446" w:lineRule="auto" w:before="0" w:after="0"/>
        <w:ind w:left="418" w:right="1553" w:firstLine="422"/>
        <w:jc w:val="both"/>
        <w:rPr>
          <w:b/>
          <w:sz w:val="21"/>
        </w:rPr>
      </w:pPr>
      <w:r>
        <w:rPr>
          <w:color w:val="333333"/>
          <w:spacing w:val="-5"/>
          <w:sz w:val="21"/>
        </w:rPr>
        <w:t>教学建筑、食堂、菜市场采用三级耐火等级建筑时，不应超过 </w:t>
      </w:r>
      <w:r>
        <w:rPr>
          <w:color w:val="333333"/>
          <w:spacing w:val="-3"/>
          <w:sz w:val="21"/>
        </w:rPr>
        <w:t>2</w:t>
      </w:r>
      <w:r>
        <w:rPr>
          <w:color w:val="333333"/>
          <w:spacing w:val="-1"/>
          <w:sz w:val="21"/>
        </w:rPr>
        <w:t> 层；采用四级耐火</w:t>
      </w:r>
      <w:r>
        <w:rPr>
          <w:color w:val="333333"/>
          <w:spacing w:val="-3"/>
          <w:sz w:val="21"/>
        </w:rPr>
        <w:t>等级建筑时，应为单层；设置在三级耐火等级的建筑内时，应布置在首层或二层；设置在四级耐火等级的建筑内时，应布置在首层。</w:t>
      </w:r>
      <w:r>
        <w:rPr>
          <w:b/>
          <w:color w:val="333333"/>
          <w:w w:val="99"/>
          <w:sz w:val="21"/>
        </w:rPr>
        <w:t> </w:t>
      </w:r>
    </w:p>
    <w:p>
      <w:pPr>
        <w:pStyle w:val="ListParagraph"/>
        <w:numPr>
          <w:ilvl w:val="2"/>
          <w:numId w:val="261"/>
        </w:numPr>
        <w:tabs>
          <w:tab w:pos="1370" w:val="left" w:leader="none"/>
        </w:tabs>
        <w:spacing w:line="446" w:lineRule="auto" w:before="0" w:after="0"/>
        <w:ind w:left="418" w:right="1344" w:firstLine="422"/>
        <w:jc w:val="left"/>
        <w:rPr>
          <w:sz w:val="21"/>
        </w:rPr>
      </w:pPr>
      <w:r>
        <w:rPr>
          <w:color w:val="333333"/>
          <w:spacing w:val="-3"/>
          <w:sz w:val="21"/>
        </w:rPr>
        <w:t>剧场、电影院、礼堂宜设置在独立的建筑内；采用三级耐火等级建筑时，不应超过 2 </w:t>
      </w:r>
      <w:r>
        <w:rPr>
          <w:color w:val="333333"/>
          <w:spacing w:val="-4"/>
          <w:sz w:val="21"/>
        </w:rPr>
        <w:t>层；确需设置在其他民用建筑内时，至少应设置 </w:t>
      </w:r>
      <w:r>
        <w:rPr>
          <w:color w:val="333333"/>
          <w:spacing w:val="-3"/>
          <w:sz w:val="21"/>
        </w:rPr>
        <w:t>1 个独立的安全出口和疏散楼梯，并应符合下列规定：</w:t>
      </w:r>
      <w:r>
        <w:rPr>
          <w:color w:val="333333"/>
          <w:sz w:val="21"/>
        </w:rPr>
        <w:t> </w:t>
      </w:r>
    </w:p>
    <w:p>
      <w:pPr>
        <w:pStyle w:val="BodyText"/>
        <w:spacing w:line="268" w:lineRule="exact"/>
        <w:ind w:left="838"/>
      </w:pPr>
      <w:r>
        <w:rPr>
          <w:color w:val="333333"/>
        </w:rPr>
        <w:t>应采用耐火极限不低于 2.00h 的防火隔墙和甲级防火门与其他区域分隔； </w:t>
      </w:r>
    </w:p>
    <w:p>
      <w:pPr>
        <w:pStyle w:val="BodyText"/>
        <w:spacing w:before="10"/>
        <w:rPr>
          <w:sz w:val="17"/>
        </w:rPr>
      </w:pPr>
    </w:p>
    <w:p>
      <w:pPr>
        <w:pStyle w:val="BodyText"/>
        <w:spacing w:line="441" w:lineRule="auto"/>
        <w:ind w:left="418" w:right="1609" w:firstLine="419"/>
      </w:pPr>
      <w:r>
        <w:rPr>
          <w:color w:val="333333"/>
        </w:rPr>
        <w:t>设置在一、二级耐火等级的建筑内时，观众厅宜布置在首层、二层或三层；确需布置在四层及以上楼层时，一个厅、室的疏散门不应少于 2 个，且每个观众厅的建筑面积不宜大于400m</w:t>
      </w:r>
      <w:r>
        <w:rPr>
          <w:color w:val="333333"/>
          <w:position w:val="11"/>
          <w:sz w:val="11"/>
        </w:rPr>
        <w:t>2</w:t>
      </w:r>
      <w:r>
        <w:rPr>
          <w:color w:val="333333"/>
        </w:rPr>
        <w:t>； </w:t>
      </w:r>
    </w:p>
    <w:p>
      <w:pPr>
        <w:spacing w:after="0" w:line="441" w:lineRule="auto"/>
        <w:sectPr>
          <w:pgSz w:w="11910" w:h="16850"/>
          <w:pgMar w:header="0" w:footer="1239" w:top="1220" w:bottom="1420" w:left="1260" w:right="0"/>
        </w:sectPr>
      </w:pPr>
    </w:p>
    <w:p>
      <w:pPr>
        <w:pStyle w:val="BodyText"/>
        <w:spacing w:before="47"/>
        <w:ind w:left="838"/>
      </w:pPr>
      <w:r>
        <w:rPr>
          <w:color w:val="333333"/>
        </w:rPr>
        <w:t>设置在三级耐火等级的建筑内时，不应布置在三层及以上楼层； </w:t>
      </w:r>
    </w:p>
    <w:p>
      <w:pPr>
        <w:pStyle w:val="BodyText"/>
        <w:rPr>
          <w:sz w:val="18"/>
        </w:rPr>
      </w:pPr>
    </w:p>
    <w:p>
      <w:pPr>
        <w:pStyle w:val="BodyText"/>
        <w:ind w:left="838"/>
      </w:pPr>
      <w:r>
        <w:rPr>
          <w:color w:val="333333"/>
        </w:rPr>
        <w:t>设置在地下或半地下时，宜设置在地下一层，不应设置在地下三层及以下楼层。 </w:t>
      </w:r>
    </w:p>
    <w:p>
      <w:pPr>
        <w:pStyle w:val="BodyText"/>
        <w:rPr>
          <w:sz w:val="18"/>
        </w:rPr>
      </w:pPr>
    </w:p>
    <w:p>
      <w:pPr>
        <w:pStyle w:val="BodyText"/>
        <w:spacing w:line="446" w:lineRule="auto"/>
        <w:ind w:left="840" w:right="1604" w:hanging="3"/>
      </w:pPr>
      <w:r>
        <w:rPr>
          <w:color w:val="333333"/>
        </w:rPr>
        <w:t>设置在高层建筑内时，应设置火灾自动报警系统及自动喷水灭火系统等自动灭火系统。</w:t>
      </w:r>
      <w:r>
        <w:rPr>
          <w:b/>
          <w:color w:val="333333"/>
        </w:rPr>
        <w:t>5.4.8 </w:t>
      </w:r>
      <w:r>
        <w:rPr>
          <w:color w:val="333333"/>
        </w:rPr>
        <w:t>建筑内的会议厅、多功能厅等人员密集的场所，宜布置在首层、二层或三层。设置</w:t>
      </w:r>
    </w:p>
    <w:p>
      <w:pPr>
        <w:pStyle w:val="BodyText"/>
        <w:spacing w:line="446" w:lineRule="auto"/>
        <w:ind w:left="418" w:right="1608"/>
      </w:pPr>
      <w:r>
        <w:rPr>
          <w:color w:val="333333"/>
        </w:rPr>
        <w:t>在三级耐火等级的建筑内时，不应布置在三层及以上楼层。确需布置在一、二级耐火等级建筑的其他楼层时，应符合下列规定： </w:t>
      </w:r>
    </w:p>
    <w:p>
      <w:pPr>
        <w:pStyle w:val="BodyText"/>
        <w:spacing w:line="269" w:lineRule="exact"/>
        <w:ind w:left="838"/>
      </w:pPr>
      <w:r>
        <w:rPr>
          <w:color w:val="333333"/>
        </w:rPr>
        <w:t>一个厅、室的疏散门不应少于 2 个，且建筑面积不宜大于 400m</w:t>
      </w:r>
      <w:r>
        <w:rPr>
          <w:color w:val="333333"/>
          <w:position w:val="11"/>
          <w:sz w:val="11"/>
        </w:rPr>
        <w:t>2</w:t>
      </w:r>
      <w:r>
        <w:rPr>
          <w:color w:val="333333"/>
        </w:rPr>
        <w:t>； </w:t>
      </w:r>
    </w:p>
    <w:p>
      <w:pPr>
        <w:pStyle w:val="BodyText"/>
        <w:rPr>
          <w:sz w:val="18"/>
        </w:rPr>
      </w:pPr>
    </w:p>
    <w:p>
      <w:pPr>
        <w:pStyle w:val="BodyText"/>
        <w:ind w:left="838"/>
      </w:pPr>
      <w:r>
        <w:rPr>
          <w:color w:val="333333"/>
        </w:rPr>
        <w:t>设置在地下或半地下时，宜设置在地下一层，不应设置在地下三层及以下楼层； </w:t>
      </w:r>
    </w:p>
    <w:p>
      <w:pPr>
        <w:pStyle w:val="BodyText"/>
        <w:spacing w:before="12"/>
        <w:rPr>
          <w:sz w:val="17"/>
        </w:rPr>
      </w:pPr>
    </w:p>
    <w:p>
      <w:pPr>
        <w:pStyle w:val="BodyText"/>
        <w:spacing w:line="446" w:lineRule="auto"/>
        <w:ind w:left="840" w:right="1498" w:hanging="3"/>
      </w:pPr>
      <w:r>
        <w:rPr>
          <w:color w:val="333333"/>
          <w:spacing w:val="-3"/>
        </w:rPr>
        <w:t>设置在高层建筑内时，应设置火灾自动报警系统及自动喷水灭火系统等自动灭火系统。</w:t>
      </w:r>
      <w:r>
        <w:rPr>
          <w:b/>
          <w:color w:val="333333"/>
        </w:rPr>
        <w:t>5.4.9 </w:t>
      </w:r>
      <w:r>
        <w:rPr>
          <w:color w:val="333333"/>
          <w:spacing w:val="-6"/>
        </w:rPr>
        <w:t>歌舞厅、录像厅、夜总会、卡拉 </w:t>
      </w:r>
      <w:r>
        <w:rPr>
          <w:color w:val="333333"/>
        </w:rPr>
        <w:t>OK</w:t>
      </w:r>
      <w:r>
        <w:rPr>
          <w:color w:val="333333"/>
          <w:spacing w:val="2"/>
        </w:rPr>
        <w:t> 厅</w:t>
      </w:r>
      <w:r>
        <w:rPr>
          <w:color w:val="333333"/>
        </w:rPr>
        <w:t>（</w:t>
      </w:r>
      <w:r>
        <w:rPr>
          <w:color w:val="333333"/>
          <w:spacing w:val="-11"/>
        </w:rPr>
        <w:t>含具有卡拉 </w:t>
      </w:r>
      <w:r>
        <w:rPr>
          <w:color w:val="333333"/>
        </w:rPr>
        <w:t>OK</w:t>
      </w:r>
      <w:r>
        <w:rPr>
          <w:color w:val="333333"/>
          <w:spacing w:val="-1"/>
        </w:rPr>
        <w:t> 功能的餐厅</w:t>
      </w:r>
      <w:r>
        <w:rPr>
          <w:color w:val="333333"/>
        </w:rPr>
        <w:t>）</w:t>
      </w:r>
      <w:r>
        <w:rPr>
          <w:color w:val="333333"/>
          <w:spacing w:val="-3"/>
        </w:rPr>
        <w:t>、游艺厅</w:t>
      </w:r>
      <w:r>
        <w:rPr>
          <w:color w:val="333333"/>
        </w:rPr>
        <w:t>（含</w:t>
      </w:r>
    </w:p>
    <w:p>
      <w:pPr>
        <w:pStyle w:val="BodyText"/>
        <w:spacing w:line="446" w:lineRule="auto"/>
        <w:ind w:left="418" w:right="1608"/>
      </w:pPr>
      <w:r>
        <w:rPr>
          <w:color w:val="333333"/>
        </w:rPr>
        <w:t>电子游艺厅）、桑拿浴室（不包括洗浴部分）、网吧等歌舞娱乐放映游艺场所（不含剧场、电影院）的布置应符合下列规定： </w:t>
      </w:r>
    </w:p>
    <w:p>
      <w:pPr>
        <w:pStyle w:val="BodyText"/>
        <w:ind w:left="838"/>
        <w:rPr>
          <w:b/>
        </w:rPr>
      </w:pPr>
      <w:r>
        <w:rPr>
          <w:color w:val="333333"/>
        </w:rPr>
        <w:t>不应布置在地下二层及以下楼层；</w:t>
      </w:r>
      <w:r>
        <w:rPr>
          <w:b/>
          <w:color w:val="333333"/>
          <w:w w:val="99"/>
        </w:rPr>
        <w:t> </w:t>
      </w:r>
    </w:p>
    <w:p>
      <w:pPr>
        <w:pStyle w:val="BodyText"/>
        <w:rPr>
          <w:b/>
          <w:sz w:val="18"/>
        </w:rPr>
      </w:pPr>
    </w:p>
    <w:p>
      <w:pPr>
        <w:pStyle w:val="BodyText"/>
        <w:spacing w:line="446" w:lineRule="auto"/>
        <w:ind w:left="838" w:right="3186"/>
      </w:pPr>
      <w:r>
        <w:rPr>
          <w:color w:val="333333"/>
          <w:spacing w:val="-3"/>
        </w:rPr>
        <w:t>宜布置在一、二级耐火等级建筑内的首层、二层或三层的靠外墙部位； 不宜布置在袋形走道的两侧或尽端；</w:t>
      </w:r>
      <w:r>
        <w:rPr>
          <w:color w:val="333333"/>
        </w:rPr>
        <w:t> </w:t>
      </w:r>
    </w:p>
    <w:p>
      <w:pPr>
        <w:pStyle w:val="BodyText"/>
        <w:ind w:left="838"/>
      </w:pPr>
      <w:r>
        <w:rPr>
          <w:color w:val="333333"/>
        </w:rPr>
        <w:t>确需布置在地下一层时，地下一层的地面与室外出入口地坪的高差不应大于 10m； </w:t>
      </w:r>
    </w:p>
    <w:p>
      <w:pPr>
        <w:pStyle w:val="BodyText"/>
        <w:spacing w:before="2"/>
        <w:rPr>
          <w:sz w:val="17"/>
        </w:rPr>
      </w:pPr>
    </w:p>
    <w:p>
      <w:pPr>
        <w:pStyle w:val="BodyText"/>
        <w:ind w:left="838"/>
      </w:pPr>
      <w:r>
        <w:rPr>
          <w:color w:val="333333"/>
        </w:rPr>
        <w:t>确需布置在地下或四层及以上楼层时，一个厅、室的建筑面积不 应大于 200m</w:t>
      </w:r>
      <w:r>
        <w:rPr>
          <w:color w:val="333333"/>
          <w:position w:val="11"/>
          <w:sz w:val="11"/>
        </w:rPr>
        <w:t>2</w:t>
      </w:r>
      <w:r>
        <w:rPr>
          <w:color w:val="333333"/>
        </w:rPr>
        <w:t>； </w:t>
      </w:r>
    </w:p>
    <w:p>
      <w:pPr>
        <w:pStyle w:val="BodyText"/>
        <w:spacing w:before="12"/>
        <w:rPr>
          <w:sz w:val="17"/>
        </w:rPr>
      </w:pPr>
    </w:p>
    <w:p>
      <w:pPr>
        <w:pStyle w:val="BodyText"/>
        <w:spacing w:line="446" w:lineRule="auto"/>
        <w:ind w:left="418" w:right="1505" w:firstLine="419"/>
      </w:pPr>
      <w:r>
        <w:rPr>
          <w:color w:val="333333"/>
          <w:spacing w:val="-5"/>
        </w:rPr>
        <w:t>厅、室之间及与建筑的其他部位之间，应采用耐火极限不低于 </w:t>
      </w:r>
      <w:r>
        <w:rPr>
          <w:color w:val="333333"/>
        </w:rPr>
        <w:t>2.00h</w:t>
      </w:r>
      <w:r>
        <w:rPr>
          <w:color w:val="333333"/>
          <w:spacing w:val="-7"/>
        </w:rPr>
        <w:t> 的防火隔墙和 </w:t>
      </w:r>
      <w:r>
        <w:rPr>
          <w:color w:val="333333"/>
        </w:rPr>
        <w:t>1.00h </w:t>
      </w:r>
      <w:r>
        <w:rPr>
          <w:color w:val="333333"/>
          <w:spacing w:val="-3"/>
        </w:rPr>
        <w:t>的不燃性楼板分隔，设置在厅、室墙上的门和该场所与建筑内其他部位相通的门均应采用乙级防火门。</w:t>
      </w:r>
      <w:r>
        <w:rPr>
          <w:color w:val="333333"/>
        </w:rPr>
        <w:t> </w:t>
      </w:r>
    </w:p>
    <w:p>
      <w:pPr>
        <w:pStyle w:val="ListParagraph"/>
        <w:numPr>
          <w:ilvl w:val="2"/>
          <w:numId w:val="262"/>
        </w:numPr>
        <w:tabs>
          <w:tab w:pos="1478" w:val="left" w:leader="none"/>
        </w:tabs>
        <w:spacing w:line="268" w:lineRule="exact" w:before="0" w:after="0"/>
        <w:ind w:left="1477" w:right="0" w:hanging="638"/>
        <w:jc w:val="left"/>
        <w:rPr>
          <w:sz w:val="21"/>
        </w:rPr>
      </w:pPr>
      <w:r>
        <w:rPr>
          <w:color w:val="333333"/>
          <w:spacing w:val="-3"/>
          <w:sz w:val="21"/>
        </w:rPr>
        <w:t>除商业服务网点外，住宅建筑与其他使用功能的建筑合建时，应符合下列规定：</w:t>
      </w:r>
      <w:r>
        <w:rPr>
          <w:color w:val="333333"/>
          <w:sz w:val="21"/>
        </w:rPr>
        <w:t> </w:t>
      </w:r>
    </w:p>
    <w:p>
      <w:pPr>
        <w:pStyle w:val="BodyText"/>
        <w:spacing w:before="2"/>
        <w:rPr>
          <w:sz w:val="18"/>
        </w:rPr>
      </w:pPr>
    </w:p>
    <w:p>
      <w:pPr>
        <w:pStyle w:val="BodyText"/>
        <w:spacing w:line="446" w:lineRule="auto"/>
        <w:ind w:left="418" w:right="1558" w:firstLine="419"/>
        <w:jc w:val="both"/>
      </w:pPr>
      <w:r>
        <w:rPr>
          <w:color w:val="333333"/>
          <w:spacing w:val="-5"/>
        </w:rPr>
        <w:t>住宅部分与非住宅部分之间，应采用耐火极限不低于 </w:t>
      </w:r>
      <w:r>
        <w:rPr>
          <w:color w:val="333333"/>
        </w:rPr>
        <w:t>2.00h</w:t>
      </w:r>
      <w:r>
        <w:rPr>
          <w:color w:val="333333"/>
          <w:spacing w:val="-3"/>
        </w:rPr>
        <w:t> 且无门、窗、洞口的防火隔墙</w:t>
      </w:r>
      <w:r>
        <w:rPr>
          <w:color w:val="333333"/>
          <w:spacing w:val="-22"/>
        </w:rPr>
        <w:t>和 </w:t>
      </w:r>
      <w:r>
        <w:rPr>
          <w:color w:val="333333"/>
        </w:rPr>
        <w:t>1.50h</w:t>
      </w:r>
      <w:r>
        <w:rPr>
          <w:color w:val="333333"/>
          <w:spacing w:val="-3"/>
        </w:rPr>
        <w:t> 的不燃性楼板完全分隔；当为高层建筑时，应采用无门、窗、洞口的防火墙和耐火极</w:t>
      </w:r>
      <w:r>
        <w:rPr>
          <w:color w:val="333333"/>
          <w:spacing w:val="-11"/>
        </w:rPr>
        <w:t>限不低于 </w:t>
      </w:r>
      <w:r>
        <w:rPr>
          <w:color w:val="333333"/>
        </w:rPr>
        <w:t>2.00h</w:t>
      </w:r>
      <w:r>
        <w:rPr>
          <w:color w:val="333333"/>
          <w:spacing w:val="-3"/>
        </w:rPr>
        <w:t> 的不燃性楼板完全分隔。建筑外墙上、下层开口之间的防火措施应符合本规范</w:t>
      </w:r>
      <w:r>
        <w:rPr>
          <w:color w:val="333333"/>
          <w:spacing w:val="-28"/>
        </w:rPr>
        <w:t>第 </w:t>
      </w:r>
      <w:r>
        <w:rPr>
          <w:color w:val="333333"/>
        </w:rPr>
        <w:t>6.2.5</w:t>
      </w:r>
      <w:r>
        <w:rPr>
          <w:color w:val="333333"/>
          <w:spacing w:val="-3"/>
        </w:rPr>
        <w:t> 条的规定；</w:t>
      </w:r>
      <w:r>
        <w:rPr>
          <w:color w:val="333333"/>
        </w:rPr>
        <w:t> </w:t>
      </w:r>
    </w:p>
    <w:p>
      <w:pPr>
        <w:pStyle w:val="BodyText"/>
        <w:spacing w:line="446" w:lineRule="auto"/>
        <w:ind w:left="418" w:right="1558" w:firstLine="419"/>
        <w:jc w:val="both"/>
      </w:pPr>
      <w:r>
        <w:rPr>
          <w:color w:val="333333"/>
          <w:spacing w:val="-3"/>
        </w:rPr>
        <w:t>住宅部分与非住宅部分的安全出口和疏散楼梯应分别独立设置；为住宅部分服务的地上车</w:t>
      </w:r>
      <w:r>
        <w:rPr>
          <w:color w:val="333333"/>
          <w:spacing w:val="-5"/>
        </w:rPr>
        <w:t>库应设置独立的疏散楼梯或安全出口，地下车库的疏散楼梯应按本规范第 </w:t>
      </w:r>
      <w:r>
        <w:rPr>
          <w:color w:val="333333"/>
        </w:rPr>
        <w:t>6.4.4</w:t>
      </w:r>
      <w:r>
        <w:rPr>
          <w:color w:val="333333"/>
          <w:spacing w:val="1"/>
        </w:rPr>
        <w:t> 条的规定进行</w:t>
      </w:r>
      <w:r>
        <w:rPr>
          <w:color w:val="333333"/>
          <w:spacing w:val="-1"/>
        </w:rPr>
        <w:t>分隔；</w:t>
      </w:r>
      <w:r>
        <w:rPr>
          <w:color w:val="333333"/>
        </w:rPr>
        <w:t> </w:t>
      </w:r>
    </w:p>
    <w:p>
      <w:pPr>
        <w:spacing w:after="0" w:line="446" w:lineRule="auto"/>
        <w:jc w:val="both"/>
        <w:sectPr>
          <w:pgSz w:w="11910" w:h="16850"/>
          <w:pgMar w:header="0" w:footer="1239" w:top="1220" w:bottom="1420" w:left="1260" w:right="0"/>
        </w:sectPr>
      </w:pPr>
    </w:p>
    <w:p>
      <w:pPr>
        <w:pStyle w:val="BodyText"/>
        <w:spacing w:line="446" w:lineRule="auto" w:before="47"/>
        <w:ind w:left="418" w:right="1608" w:firstLine="419"/>
        <w:jc w:val="both"/>
      </w:pPr>
      <w:r>
        <w:rPr>
          <w:color w:val="333333"/>
        </w:rPr>
        <w:t>住宅部分和非住宅部分的安全疏散、防火分区和室内消防设施配置，可根据各自的建筑高度分别按照本规范有关住宅建筑和公共建筑的规定执行；该建筑的其他防火设计应根据建筑的总高度和建筑规模按本规范有关公共建筑的规定执行。  </w:t>
      </w:r>
      <w:r>
        <w:rPr>
          <w:color w:val="333333"/>
          <w:w w:val="100"/>
        </w:rPr>
        <w:t> </w:t>
      </w:r>
      <w:r>
        <w:rPr>
          <w:color w:val="333333"/>
        </w:rPr>
        <w:t> </w:t>
      </w:r>
      <w:r>
        <w:rPr>
          <w:color w:val="333333"/>
          <w:w w:val="100"/>
        </w:rPr>
        <w:t> </w:t>
      </w:r>
      <w:r>
        <w:rPr>
          <w:color w:val="333333"/>
        </w:rPr>
        <w:t> </w:t>
      </w:r>
      <w:r>
        <w:rPr>
          <w:color w:val="333333"/>
          <w:w w:val="100"/>
        </w:rPr>
        <w:t> </w:t>
      </w:r>
    </w:p>
    <w:p>
      <w:pPr>
        <w:pStyle w:val="ListParagraph"/>
        <w:numPr>
          <w:ilvl w:val="2"/>
          <w:numId w:val="262"/>
        </w:numPr>
        <w:tabs>
          <w:tab w:pos="1478" w:val="left" w:leader="none"/>
        </w:tabs>
        <w:spacing w:line="446" w:lineRule="auto" w:before="0" w:after="0"/>
        <w:ind w:left="418" w:right="1496" w:firstLine="422"/>
        <w:jc w:val="both"/>
        <w:rPr>
          <w:b/>
          <w:sz w:val="21"/>
        </w:rPr>
      </w:pPr>
      <w:r>
        <w:rPr>
          <w:color w:val="333333"/>
          <w:spacing w:val="-3"/>
          <w:sz w:val="21"/>
        </w:rPr>
        <w:t>设置商业服务网点的住宅建筑，其居住部分与商业服务网点之间应采用耐火极限不</w:t>
      </w:r>
      <w:r>
        <w:rPr>
          <w:color w:val="333333"/>
          <w:spacing w:val="-18"/>
          <w:sz w:val="21"/>
        </w:rPr>
        <w:t>低于 </w:t>
      </w:r>
      <w:r>
        <w:rPr>
          <w:color w:val="333333"/>
          <w:sz w:val="21"/>
        </w:rPr>
        <w:t>2.00h</w:t>
      </w:r>
      <w:r>
        <w:rPr>
          <w:color w:val="333333"/>
          <w:spacing w:val="-6"/>
          <w:sz w:val="21"/>
        </w:rPr>
        <w:t> 且无门、窗、洞口的防火隔墙和 </w:t>
      </w:r>
      <w:r>
        <w:rPr>
          <w:color w:val="333333"/>
          <w:sz w:val="21"/>
        </w:rPr>
        <w:t>1.50h</w:t>
      </w:r>
      <w:r>
        <w:rPr>
          <w:color w:val="333333"/>
          <w:spacing w:val="-3"/>
          <w:sz w:val="21"/>
        </w:rPr>
        <w:t> 的不燃性楼板完全分隔，住宅部分和商业服务网点部分的安全出口和疏散楼梯应分别独立设置。</w:t>
      </w:r>
      <w:r>
        <w:rPr>
          <w:b/>
          <w:color w:val="333333"/>
          <w:spacing w:val="-3"/>
          <w:w w:val="99"/>
          <w:sz w:val="21"/>
        </w:rPr>
        <w:t> </w:t>
      </w:r>
    </w:p>
    <w:p>
      <w:pPr>
        <w:pStyle w:val="BodyText"/>
        <w:spacing w:line="444" w:lineRule="auto"/>
        <w:ind w:left="418" w:right="1450" w:firstLine="419"/>
        <w:rPr>
          <w:b/>
        </w:rPr>
      </w:pPr>
      <w:r>
        <w:rPr>
          <w:color w:val="333333"/>
          <w:spacing w:val="-5"/>
        </w:rPr>
        <w:t>商业服务网点中每个分隔单元之间应采用耐火极限不低于 </w:t>
      </w:r>
      <w:r>
        <w:rPr>
          <w:color w:val="333333"/>
        </w:rPr>
        <w:t>2.00h</w:t>
      </w:r>
      <w:r>
        <w:rPr>
          <w:color w:val="333333"/>
          <w:spacing w:val="-2"/>
        </w:rPr>
        <w:t> 且无门、窗、洞口的防火</w:t>
      </w:r>
      <w:r>
        <w:rPr>
          <w:color w:val="333333"/>
          <w:spacing w:val="-5"/>
        </w:rPr>
        <w:t>隔墙相互分隔，当每个分隔单元任一层建筑面积大于 </w:t>
      </w:r>
      <w:r>
        <w:rPr>
          <w:color w:val="333333"/>
        </w:rPr>
        <w:t>200m</w:t>
      </w:r>
      <w:r>
        <w:rPr>
          <w:color w:val="333333"/>
          <w:position w:val="11"/>
          <w:sz w:val="11"/>
        </w:rPr>
        <w:t>2</w:t>
      </w:r>
      <w:r>
        <w:rPr>
          <w:color w:val="333333"/>
          <w:sz w:val="11"/>
        </w:rPr>
        <w:t> </w:t>
      </w:r>
      <w:r>
        <w:rPr>
          <w:color w:val="333333"/>
          <w:spacing w:val="-9"/>
        </w:rPr>
        <w:t>时，该层应设置 </w:t>
      </w:r>
      <w:r>
        <w:rPr>
          <w:color w:val="333333"/>
        </w:rPr>
        <w:t>2</w:t>
      </w:r>
      <w:r>
        <w:rPr>
          <w:color w:val="333333"/>
          <w:spacing w:val="-2"/>
        </w:rPr>
        <w:t> 个安全出口或疏</w:t>
      </w:r>
      <w:r>
        <w:rPr>
          <w:color w:val="333333"/>
          <w:spacing w:val="-4"/>
        </w:rPr>
        <w:t>散门。每个分隔单元内的任一点至最近直通室外的出口的直线距离不应大于本规范表 </w:t>
      </w:r>
      <w:r>
        <w:rPr>
          <w:color w:val="333333"/>
        </w:rPr>
        <w:t>5.5.17</w:t>
      </w:r>
      <w:r>
        <w:rPr>
          <w:color w:val="333333"/>
          <w:spacing w:val="13"/>
        </w:rPr>
        <w:t> 中</w:t>
      </w:r>
      <w:r>
        <w:rPr>
          <w:color w:val="333333"/>
          <w:spacing w:val="-3"/>
        </w:rPr>
        <w:t>有关多层其他建筑位于袋形走道两侧或尽端的疏散门至最近安全出口的最大直线距离。</w:t>
      </w:r>
      <w:r>
        <w:rPr>
          <w:b/>
          <w:color w:val="333333"/>
          <w:w w:val="99"/>
        </w:rPr>
        <w:t> </w:t>
      </w:r>
      <w:r>
        <w:rPr>
          <w:b/>
          <w:color w:val="333333"/>
          <w:spacing w:val="-1"/>
        </w:rPr>
        <w:t> </w:t>
      </w:r>
      <w:r>
        <w:rPr>
          <w:b/>
          <w:color w:val="333333"/>
          <w:w w:val="99"/>
        </w:rPr>
        <w:t> </w:t>
      </w:r>
      <w:r>
        <w:rPr>
          <w:b/>
          <w:color w:val="333333"/>
          <w:spacing w:val="-3"/>
        </w:rPr>
        <w:t> </w:t>
      </w:r>
      <w:r>
        <w:rPr>
          <w:b/>
          <w:color w:val="333333"/>
          <w:w w:val="99"/>
        </w:rPr>
        <w:t> </w:t>
      </w:r>
    </w:p>
    <w:p>
      <w:pPr>
        <w:pStyle w:val="BodyText"/>
        <w:spacing w:line="268" w:lineRule="exact"/>
        <w:ind w:left="838"/>
      </w:pPr>
      <w:r>
        <w:rPr>
          <w:color w:val="333333"/>
        </w:rPr>
        <w:t>注：室内楼梯的距离可按其水平投影长度的 1.50 倍计算。 </w:t>
      </w:r>
    </w:p>
    <w:p>
      <w:pPr>
        <w:pStyle w:val="BodyText"/>
        <w:spacing w:before="10"/>
        <w:rPr>
          <w:sz w:val="17"/>
        </w:rPr>
      </w:pPr>
    </w:p>
    <w:p>
      <w:pPr>
        <w:pStyle w:val="ListParagraph"/>
        <w:numPr>
          <w:ilvl w:val="2"/>
          <w:numId w:val="262"/>
        </w:numPr>
        <w:tabs>
          <w:tab w:pos="1478" w:val="left" w:leader="none"/>
        </w:tabs>
        <w:spacing w:line="446" w:lineRule="auto" w:before="0" w:after="0"/>
        <w:ind w:left="418" w:right="1498" w:firstLine="422"/>
        <w:jc w:val="left"/>
        <w:rPr>
          <w:sz w:val="21"/>
        </w:rPr>
      </w:pPr>
      <w:r>
        <w:rPr>
          <w:color w:val="333333"/>
          <w:spacing w:val="-3"/>
          <w:sz w:val="21"/>
        </w:rPr>
        <w:t>燃油或燃气锅炉、油浸变压器、充有可燃油的高压电容器和多油开关等，宜设置在建筑外的专用房间内；确需贴邻民用建筑布置时，应采用防火墙与所贴邻的建筑分隔，且不应贴邻人员密集场所，该专用房间的耐火等级不应低于二级；确需布置在民用建筑内时，不应布置在人员密集场所的上一层、下一层或贴邻，并应符合下列规定：</w:t>
      </w:r>
      <w:r>
        <w:rPr>
          <w:color w:val="333333"/>
          <w:sz w:val="21"/>
        </w:rPr>
        <w:t> </w:t>
      </w:r>
    </w:p>
    <w:p>
      <w:pPr>
        <w:pStyle w:val="BodyText"/>
        <w:spacing w:line="446" w:lineRule="auto"/>
        <w:ind w:left="418" w:right="1608" w:firstLine="419"/>
        <w:jc w:val="both"/>
      </w:pPr>
      <w:r>
        <w:rPr>
          <w:color w:val="333333"/>
          <w:spacing w:val="-3"/>
        </w:rPr>
        <w:t>燃油或燃气锅炉房、变压器室应设置在首层或地下一层的靠外墙部位，但常</w:t>
      </w:r>
      <w:r>
        <w:rPr>
          <w:color w:val="333333"/>
        </w:rPr>
        <w:t>（负</w:t>
      </w:r>
      <w:r>
        <w:rPr>
          <w:color w:val="333333"/>
          <w:spacing w:val="-3"/>
        </w:rPr>
        <w:t>）</w:t>
      </w:r>
      <w:r>
        <w:rPr>
          <w:color w:val="333333"/>
          <w:spacing w:val="-2"/>
        </w:rPr>
        <w:t>压燃油</w:t>
      </w:r>
      <w:r>
        <w:rPr>
          <w:color w:val="333333"/>
          <w:spacing w:val="-3"/>
        </w:rPr>
        <w:t>或燃气锅炉可设置在地下二层或屋顶上。设置在屋顶上的常（</w:t>
      </w:r>
      <w:r>
        <w:rPr>
          <w:color w:val="333333"/>
        </w:rPr>
        <w:t>负</w:t>
      </w:r>
      <w:r>
        <w:rPr>
          <w:color w:val="333333"/>
          <w:spacing w:val="-3"/>
        </w:rPr>
        <w:t>）压燃气锅炉，距离通向屋面</w:t>
      </w:r>
      <w:r>
        <w:rPr>
          <w:color w:val="333333"/>
          <w:spacing w:val="-8"/>
        </w:rPr>
        <w:t>的安全出口不应小于 </w:t>
      </w:r>
      <w:r>
        <w:rPr>
          <w:color w:val="333333"/>
        </w:rPr>
        <w:t>6m</w:t>
      </w:r>
      <w:r>
        <w:rPr>
          <w:color w:val="333333"/>
          <w:spacing w:val="-3"/>
        </w:rPr>
        <w:t>。采用相对密度（与空气密度的比值）</w:t>
      </w:r>
      <w:r>
        <w:rPr>
          <w:color w:val="333333"/>
          <w:spacing w:val="-13"/>
        </w:rPr>
        <w:t>不小于 </w:t>
      </w:r>
      <w:r>
        <w:rPr>
          <w:color w:val="333333"/>
        </w:rPr>
        <w:t>0.75</w:t>
      </w:r>
      <w:r>
        <w:rPr>
          <w:color w:val="333333"/>
          <w:spacing w:val="-1"/>
        </w:rPr>
        <w:t> 的可燃气体为燃料</w:t>
      </w:r>
      <w:r>
        <w:rPr>
          <w:color w:val="333333"/>
          <w:spacing w:val="-3"/>
        </w:rPr>
        <w:t>的锅炉，不得设置在地下或半地下；</w:t>
      </w:r>
      <w:r>
        <w:rPr>
          <w:color w:val="333333"/>
        </w:rPr>
        <w:t> </w:t>
      </w:r>
    </w:p>
    <w:p>
      <w:pPr>
        <w:pStyle w:val="BodyText"/>
        <w:spacing w:line="267" w:lineRule="exact"/>
        <w:ind w:left="838"/>
      </w:pPr>
      <w:r>
        <w:rPr>
          <w:color w:val="333333"/>
        </w:rPr>
        <w:t>锅炉房、变压器室的疏散门均应直通室外或安全出口； </w:t>
      </w:r>
    </w:p>
    <w:p>
      <w:pPr>
        <w:pStyle w:val="BodyText"/>
        <w:rPr>
          <w:sz w:val="18"/>
        </w:rPr>
      </w:pPr>
    </w:p>
    <w:p>
      <w:pPr>
        <w:pStyle w:val="BodyText"/>
        <w:spacing w:line="446" w:lineRule="auto"/>
        <w:ind w:left="418" w:right="1505" w:firstLine="419"/>
      </w:pPr>
      <w:r>
        <w:rPr>
          <w:color w:val="333333"/>
          <w:spacing w:val="-5"/>
        </w:rPr>
        <w:t>锅炉房、变压器室等与其他部位之间应采用耐火极限不低于 </w:t>
      </w:r>
      <w:r>
        <w:rPr>
          <w:color w:val="333333"/>
        </w:rPr>
        <w:t>2.00h</w:t>
      </w:r>
      <w:r>
        <w:rPr>
          <w:color w:val="333333"/>
          <w:spacing w:val="-7"/>
        </w:rPr>
        <w:t> 的防火隔墙和 </w:t>
      </w:r>
      <w:r>
        <w:rPr>
          <w:color w:val="333333"/>
        </w:rPr>
        <w:t>1.50h</w:t>
      </w:r>
      <w:r>
        <w:rPr>
          <w:color w:val="333333"/>
          <w:spacing w:val="5"/>
        </w:rPr>
        <w:t> 的</w:t>
      </w:r>
      <w:r>
        <w:rPr>
          <w:color w:val="333333"/>
          <w:spacing w:val="-3"/>
        </w:rPr>
        <w:t>不燃性楼板分隔。在隔墙和楼板上不应开设洞口，确需在隔墙上设置门、窗时，应采用甲级防火门、窗；</w:t>
      </w:r>
      <w:r>
        <w:rPr>
          <w:color w:val="333333"/>
        </w:rPr>
        <w:t> </w:t>
      </w:r>
    </w:p>
    <w:p>
      <w:pPr>
        <w:pStyle w:val="BodyText"/>
        <w:spacing w:line="268" w:lineRule="exact"/>
        <w:ind w:left="838"/>
      </w:pPr>
      <w:r>
        <w:rPr>
          <w:color w:val="333333"/>
        </w:rPr>
        <w:t>锅炉房内设置储油间时，其总储存量不应大于 1m</w:t>
      </w:r>
      <w:r>
        <w:rPr>
          <w:color w:val="333333"/>
          <w:position w:val="11"/>
          <w:sz w:val="11"/>
        </w:rPr>
        <w:t>3</w:t>
      </w:r>
      <w:r>
        <w:rPr>
          <w:color w:val="333333"/>
        </w:rPr>
        <w:t>，且储油间应采用耐火极限不低于 3.00h </w:t>
      </w:r>
    </w:p>
    <w:p>
      <w:pPr>
        <w:pStyle w:val="BodyText"/>
        <w:spacing w:before="2"/>
        <w:rPr>
          <w:sz w:val="18"/>
        </w:rPr>
      </w:pPr>
    </w:p>
    <w:p>
      <w:pPr>
        <w:pStyle w:val="BodyText"/>
        <w:ind w:left="418"/>
      </w:pPr>
      <w:r>
        <w:rPr>
          <w:color w:val="333333"/>
        </w:rPr>
        <w:t>的防火隔墙与锅炉间分隔；确需在防火隔墙上设置门时，应采用甲级防火门； </w:t>
      </w:r>
    </w:p>
    <w:p>
      <w:pPr>
        <w:pStyle w:val="BodyText"/>
        <w:rPr>
          <w:sz w:val="18"/>
        </w:rPr>
      </w:pPr>
    </w:p>
    <w:p>
      <w:pPr>
        <w:pStyle w:val="BodyText"/>
        <w:ind w:left="838"/>
      </w:pPr>
      <w:r>
        <w:rPr>
          <w:color w:val="333333"/>
        </w:rPr>
        <w:t>变压器室之间、变压器室与配电室之间，应设置耐火极限不低于 2.00h 的防火隔墙； </w:t>
      </w:r>
    </w:p>
    <w:p>
      <w:pPr>
        <w:pStyle w:val="BodyText"/>
        <w:spacing w:before="12"/>
        <w:rPr>
          <w:sz w:val="17"/>
        </w:rPr>
      </w:pPr>
    </w:p>
    <w:p>
      <w:pPr>
        <w:pStyle w:val="BodyText"/>
        <w:spacing w:line="446" w:lineRule="auto"/>
        <w:ind w:left="418" w:right="1609" w:firstLine="419"/>
      </w:pPr>
      <w:r>
        <w:rPr>
          <w:color w:val="333333"/>
        </w:rPr>
        <w:t>油浸变压器、多油开关室、高压电容器室，应设置防止油品流散的设施。油浸变压器下面应设置能储存变压器全部油量的事故储油设施； </w:t>
      </w:r>
    </w:p>
    <w:p>
      <w:pPr>
        <w:spacing w:after="0" w:line="446" w:lineRule="auto"/>
        <w:sectPr>
          <w:footerReference w:type="default" r:id="rId143"/>
          <w:pgSz w:w="11910" w:h="16850"/>
          <w:pgMar w:footer="1239" w:header="0" w:top="1220" w:bottom="1420" w:left="1260" w:right="0"/>
          <w:pgNumType w:start="1010"/>
        </w:sectPr>
      </w:pPr>
    </w:p>
    <w:p>
      <w:pPr>
        <w:pStyle w:val="BodyText"/>
        <w:spacing w:before="47"/>
        <w:ind w:left="838"/>
      </w:pPr>
      <w:r>
        <w:rPr>
          <w:color w:val="333333"/>
        </w:rPr>
        <w:t>应设置火灾报警装置； </w:t>
      </w:r>
    </w:p>
    <w:p>
      <w:pPr>
        <w:pStyle w:val="BodyText"/>
        <w:rPr>
          <w:sz w:val="18"/>
        </w:rPr>
      </w:pPr>
    </w:p>
    <w:p>
      <w:pPr>
        <w:pStyle w:val="BodyText"/>
        <w:spacing w:line="446" w:lineRule="auto"/>
        <w:ind w:left="418" w:right="1609" w:firstLine="419"/>
      </w:pPr>
      <w:r>
        <w:rPr>
          <w:color w:val="333333"/>
        </w:rPr>
        <w:t>应设置与锅炉、变压器、电容器和多油开关等的容量及建筑规模相适应的灭火设施，当建筑内其他部位设置自动喷水灭火系统时，应设置自动喷水灭火系统； </w:t>
      </w:r>
    </w:p>
    <w:p>
      <w:pPr>
        <w:pStyle w:val="BodyText"/>
        <w:spacing w:line="446" w:lineRule="auto"/>
        <w:ind w:left="418" w:right="1505" w:firstLine="419"/>
      </w:pPr>
      <w:r>
        <w:rPr>
          <w:color w:val="333333"/>
        </w:rPr>
        <w:t>锅炉的容量应符合现行国家标准《锅炉房设计规范》GB 50041 的规定。油浸变压器的总容量不应大于 1260kVA，单台容量不应大于 630kVA； </w:t>
      </w:r>
    </w:p>
    <w:p>
      <w:pPr>
        <w:pStyle w:val="BodyText"/>
        <w:spacing w:line="446" w:lineRule="auto"/>
        <w:ind w:left="418" w:right="1505" w:firstLine="419"/>
      </w:pPr>
      <w:r>
        <w:rPr>
          <w:color w:val="333333"/>
          <w:w w:val="100"/>
        </w:rPr>
        <w:t> </w:t>
      </w:r>
      <w:r>
        <w:rPr>
          <w:color w:val="333333"/>
        </w:rPr>
        <w:t>燃气锅炉房应设置爆炸泄压设施。燃油或燃气锅炉房应设置独立的通风系统，并应符合本规范第 9 章的规定。 </w:t>
      </w:r>
    </w:p>
    <w:p>
      <w:pPr>
        <w:pStyle w:val="ListParagraph"/>
        <w:numPr>
          <w:ilvl w:val="2"/>
          <w:numId w:val="262"/>
        </w:numPr>
        <w:tabs>
          <w:tab w:pos="1478" w:val="left" w:leader="none"/>
        </w:tabs>
        <w:spacing w:line="240" w:lineRule="auto" w:before="0" w:after="0"/>
        <w:ind w:left="1477" w:right="0" w:hanging="638"/>
        <w:jc w:val="left"/>
        <w:rPr>
          <w:sz w:val="21"/>
        </w:rPr>
      </w:pPr>
      <w:r>
        <w:rPr>
          <w:color w:val="333333"/>
          <w:spacing w:val="-3"/>
          <w:sz w:val="21"/>
        </w:rPr>
        <w:t>布置在民用建筑内的柴油发电机房应符合下列规定：</w:t>
      </w:r>
      <w:r>
        <w:rPr>
          <w:color w:val="333333"/>
          <w:sz w:val="21"/>
        </w:rPr>
        <w:t> </w:t>
      </w:r>
    </w:p>
    <w:p>
      <w:pPr>
        <w:pStyle w:val="BodyText"/>
        <w:spacing w:before="10"/>
        <w:rPr>
          <w:sz w:val="17"/>
        </w:rPr>
      </w:pPr>
    </w:p>
    <w:p>
      <w:pPr>
        <w:pStyle w:val="BodyText"/>
        <w:ind w:left="838"/>
      </w:pPr>
      <w:r>
        <w:rPr>
          <w:color w:val="333333"/>
        </w:rPr>
        <w:t>宜布置在首层或地下一、二层； </w:t>
      </w:r>
    </w:p>
    <w:p>
      <w:pPr>
        <w:pStyle w:val="BodyText"/>
        <w:spacing w:before="2"/>
        <w:rPr>
          <w:sz w:val="18"/>
        </w:rPr>
      </w:pPr>
    </w:p>
    <w:p>
      <w:pPr>
        <w:pStyle w:val="BodyText"/>
        <w:ind w:left="838"/>
      </w:pPr>
      <w:r>
        <w:rPr>
          <w:color w:val="333333"/>
        </w:rPr>
        <w:t>不应布置在人员密集场所的上一层、下一层或贴邻； </w:t>
      </w:r>
    </w:p>
    <w:p>
      <w:pPr>
        <w:pStyle w:val="BodyText"/>
        <w:rPr>
          <w:sz w:val="18"/>
        </w:rPr>
      </w:pPr>
    </w:p>
    <w:p>
      <w:pPr>
        <w:pStyle w:val="BodyText"/>
        <w:spacing w:line="446" w:lineRule="auto"/>
        <w:ind w:left="418" w:right="1508" w:firstLine="419"/>
      </w:pPr>
      <w:r>
        <w:rPr>
          <w:color w:val="333333"/>
          <w:spacing w:val="-7"/>
        </w:rPr>
        <w:t>应采用耐火极限不低于 </w:t>
      </w:r>
      <w:r>
        <w:rPr>
          <w:color w:val="333333"/>
        </w:rPr>
        <w:t>2.00h</w:t>
      </w:r>
      <w:r>
        <w:rPr>
          <w:color w:val="333333"/>
          <w:spacing w:val="-7"/>
        </w:rPr>
        <w:t> 的防火隔墙和 </w:t>
      </w:r>
      <w:r>
        <w:rPr>
          <w:color w:val="333333"/>
        </w:rPr>
        <w:t>1.50h</w:t>
      </w:r>
      <w:r>
        <w:rPr>
          <w:color w:val="333333"/>
          <w:spacing w:val="-3"/>
        </w:rPr>
        <w:t> 的不燃性楼板与其他部位分隔，门应采用甲级防火门；</w:t>
      </w:r>
      <w:r>
        <w:rPr>
          <w:color w:val="333333"/>
        </w:rPr>
        <w:t> </w:t>
      </w:r>
    </w:p>
    <w:p>
      <w:pPr>
        <w:pStyle w:val="BodyText"/>
        <w:spacing w:line="446" w:lineRule="auto"/>
        <w:ind w:left="418" w:right="1450" w:firstLine="419"/>
      </w:pPr>
      <w:r>
        <w:rPr>
          <w:color w:val="333333"/>
          <w:spacing w:val="-6"/>
        </w:rPr>
        <w:t>机房内设置储油间时，其总储存量不应大于 </w:t>
      </w:r>
      <w:r>
        <w:rPr>
          <w:color w:val="333333"/>
        </w:rPr>
        <w:t>1m</w:t>
      </w:r>
      <w:r>
        <w:rPr>
          <w:color w:val="333333"/>
          <w:position w:val="11"/>
          <w:sz w:val="11"/>
        </w:rPr>
        <w:t>3</w:t>
      </w:r>
      <w:r>
        <w:rPr>
          <w:color w:val="333333"/>
          <w:spacing w:val="-6"/>
        </w:rPr>
        <w:t>，储油间应采用耐火极限不低于 </w:t>
      </w:r>
      <w:r>
        <w:rPr>
          <w:color w:val="333333"/>
        </w:rPr>
        <w:t>3.00h</w:t>
      </w:r>
      <w:r>
        <w:rPr>
          <w:color w:val="333333"/>
          <w:spacing w:val="4"/>
        </w:rPr>
        <w:t> 的防</w:t>
      </w:r>
      <w:r>
        <w:rPr>
          <w:color w:val="333333"/>
          <w:spacing w:val="-3"/>
        </w:rPr>
        <w:t>火隔墙与发电机间分隔；确需在防火隔墙上开门时，应设置甲级防火门；</w:t>
      </w:r>
      <w:r>
        <w:rPr>
          <w:color w:val="333333"/>
        </w:rPr>
        <w:t> </w:t>
      </w:r>
    </w:p>
    <w:p>
      <w:pPr>
        <w:pStyle w:val="BodyText"/>
        <w:spacing w:line="267" w:lineRule="exact"/>
        <w:ind w:left="838"/>
      </w:pPr>
      <w:r>
        <w:rPr>
          <w:color w:val="333333"/>
        </w:rPr>
        <w:t>应设置火灾报警装置； </w:t>
      </w:r>
    </w:p>
    <w:p>
      <w:pPr>
        <w:pStyle w:val="BodyText"/>
        <w:spacing w:before="4"/>
        <w:rPr>
          <w:sz w:val="17"/>
        </w:rPr>
      </w:pPr>
    </w:p>
    <w:p>
      <w:pPr>
        <w:pStyle w:val="BodyText"/>
        <w:spacing w:line="446" w:lineRule="auto"/>
        <w:ind w:left="418" w:right="1609" w:firstLine="419"/>
      </w:pPr>
      <w:r>
        <w:rPr>
          <w:color w:val="333333"/>
        </w:rPr>
        <w:t>应设置与柴油发电机容量和建筑规模相适应的灭火设施，当建筑内其他部位设置自动喷水灭火系统时，机房内应设置自动喷水灭火系统。 </w:t>
      </w:r>
    </w:p>
    <w:p>
      <w:pPr>
        <w:pStyle w:val="ListParagraph"/>
        <w:numPr>
          <w:ilvl w:val="2"/>
          <w:numId w:val="262"/>
        </w:numPr>
        <w:tabs>
          <w:tab w:pos="1478" w:val="left" w:leader="none"/>
        </w:tabs>
        <w:spacing w:line="267" w:lineRule="exact" w:before="0" w:after="0"/>
        <w:ind w:left="1477" w:right="0" w:hanging="638"/>
        <w:jc w:val="left"/>
        <w:rPr>
          <w:sz w:val="21"/>
        </w:rPr>
      </w:pPr>
      <w:r>
        <w:rPr>
          <w:color w:val="333333"/>
          <w:spacing w:val="-3"/>
          <w:sz w:val="21"/>
        </w:rPr>
        <w:t>供建筑内使用的丙类液体燃料，其储罐应布置在建筑外，并应符合下列规定：</w:t>
      </w:r>
      <w:r>
        <w:rPr>
          <w:color w:val="333333"/>
          <w:sz w:val="21"/>
        </w:rPr>
        <w:t> </w:t>
      </w:r>
    </w:p>
    <w:p>
      <w:pPr>
        <w:pStyle w:val="BodyText"/>
        <w:spacing w:before="5"/>
        <w:rPr>
          <w:sz w:val="17"/>
        </w:rPr>
      </w:pPr>
    </w:p>
    <w:p>
      <w:pPr>
        <w:pStyle w:val="BodyText"/>
        <w:spacing w:line="446" w:lineRule="auto"/>
        <w:ind w:left="418" w:right="1503" w:firstLine="419"/>
      </w:pPr>
      <w:r>
        <w:rPr>
          <w:color w:val="333333"/>
          <w:spacing w:val="-8"/>
        </w:rPr>
        <w:t>当总容量不大于 </w:t>
      </w:r>
      <w:r>
        <w:rPr>
          <w:color w:val="333333"/>
        </w:rPr>
        <w:t>15m</w:t>
      </w:r>
      <w:r>
        <w:rPr>
          <w:color w:val="333333"/>
          <w:position w:val="11"/>
          <w:sz w:val="11"/>
        </w:rPr>
        <w:t>3</w:t>
      </w:r>
      <w:r>
        <w:rPr>
          <w:color w:val="333333"/>
          <w:spacing w:val="-6"/>
        </w:rPr>
        <w:t>，且直埋于建筑附近、面向油罐一面 </w:t>
      </w:r>
      <w:r>
        <w:rPr>
          <w:color w:val="333333"/>
        </w:rPr>
        <w:t>4.0m</w:t>
      </w:r>
      <w:r>
        <w:rPr>
          <w:color w:val="333333"/>
          <w:spacing w:val="-8"/>
        </w:rPr>
        <w:t> 范围内的建筑外墙为防火墙</w:t>
      </w:r>
      <w:r>
        <w:rPr>
          <w:color w:val="333333"/>
          <w:spacing w:val="-5"/>
        </w:rPr>
        <w:t>时，储罐与建筑的防火间距不限；</w:t>
      </w:r>
      <w:r>
        <w:rPr>
          <w:color w:val="333333"/>
        </w:rPr>
        <w:t> </w:t>
      </w:r>
    </w:p>
    <w:p>
      <w:pPr>
        <w:pStyle w:val="BodyText"/>
        <w:spacing w:line="267" w:lineRule="exact"/>
        <w:ind w:left="838"/>
      </w:pPr>
      <w:r>
        <w:rPr>
          <w:color w:val="333333"/>
        </w:rPr>
        <w:t>当总容量大于 15m</w:t>
      </w:r>
      <w:r>
        <w:rPr>
          <w:color w:val="333333"/>
          <w:position w:val="11"/>
          <w:sz w:val="11"/>
        </w:rPr>
        <w:t>3 </w:t>
      </w:r>
      <w:r>
        <w:rPr>
          <w:color w:val="333333"/>
        </w:rPr>
        <w:t>时，储罐的布置应符合本规范第 4.2 节的规定； </w:t>
      </w:r>
    </w:p>
    <w:p>
      <w:pPr>
        <w:pStyle w:val="BodyText"/>
        <w:spacing w:before="5"/>
        <w:rPr>
          <w:sz w:val="17"/>
        </w:rPr>
      </w:pPr>
    </w:p>
    <w:p>
      <w:pPr>
        <w:pStyle w:val="BodyText"/>
        <w:spacing w:line="446" w:lineRule="auto"/>
        <w:ind w:left="418" w:right="1652" w:firstLine="419"/>
      </w:pPr>
      <w:r>
        <w:rPr>
          <w:color w:val="333333"/>
        </w:rPr>
        <w:t>当设置中间罐时，中间罐的容量不应大于 1m</w:t>
      </w:r>
      <w:r>
        <w:rPr>
          <w:color w:val="333333"/>
          <w:position w:val="11"/>
          <w:sz w:val="11"/>
        </w:rPr>
        <w:t>3</w:t>
      </w:r>
      <w:r>
        <w:rPr>
          <w:color w:val="333333"/>
        </w:rPr>
        <w:t>，并应设置在一、二级耐火等级的单独房间内，房间门应采用甲级防火门。 </w:t>
      </w:r>
    </w:p>
    <w:p>
      <w:pPr>
        <w:pStyle w:val="ListParagraph"/>
        <w:numPr>
          <w:ilvl w:val="2"/>
          <w:numId w:val="262"/>
        </w:numPr>
        <w:tabs>
          <w:tab w:pos="1478" w:val="left" w:leader="none"/>
        </w:tabs>
        <w:spacing w:line="267" w:lineRule="exact" w:before="0" w:after="0"/>
        <w:ind w:left="1477" w:right="0" w:hanging="638"/>
        <w:jc w:val="left"/>
        <w:rPr>
          <w:sz w:val="21"/>
        </w:rPr>
      </w:pPr>
      <w:r>
        <w:rPr>
          <w:color w:val="333333"/>
          <w:spacing w:val="-3"/>
          <w:sz w:val="21"/>
        </w:rPr>
        <w:t>设置在建筑内的锅炉、柴油发电机，其燃料供给管道应符合下列规定： </w:t>
      </w:r>
    </w:p>
    <w:p>
      <w:pPr>
        <w:pStyle w:val="BodyText"/>
        <w:spacing w:before="2"/>
        <w:rPr>
          <w:sz w:val="18"/>
        </w:rPr>
      </w:pPr>
    </w:p>
    <w:p>
      <w:pPr>
        <w:pStyle w:val="BodyText"/>
        <w:ind w:left="838"/>
        <w:rPr>
          <w:b/>
        </w:rPr>
      </w:pPr>
      <w:r>
        <w:rPr>
          <w:color w:val="333333"/>
        </w:rPr>
        <w:t>在进入建筑物前和设备间内的管道上均应设置自动和手动切断阀；</w:t>
      </w:r>
      <w:r>
        <w:rPr>
          <w:b/>
          <w:color w:val="333333"/>
          <w:w w:val="99"/>
        </w:rPr>
        <w:t> </w:t>
      </w:r>
    </w:p>
    <w:p>
      <w:pPr>
        <w:pStyle w:val="BodyText"/>
        <w:rPr>
          <w:b/>
          <w:sz w:val="18"/>
        </w:rPr>
      </w:pPr>
    </w:p>
    <w:p>
      <w:pPr>
        <w:pStyle w:val="BodyText"/>
        <w:spacing w:line="446" w:lineRule="auto"/>
        <w:ind w:left="418" w:right="1609" w:firstLine="419"/>
        <w:rPr>
          <w:b/>
        </w:rPr>
      </w:pPr>
      <w:r>
        <w:rPr>
          <w:color w:val="333333"/>
        </w:rPr>
        <w:t>储油间的油箱应密闭且应设置通向室外的通气管，通气管应设置带阻火器的呼吸阀，油箱的下部应设置防止油品流散的设施；</w:t>
      </w:r>
      <w:r>
        <w:rPr>
          <w:b/>
          <w:color w:val="333333"/>
          <w:w w:val="99"/>
        </w:rPr>
        <w:t> </w:t>
      </w:r>
    </w:p>
    <w:p>
      <w:pPr>
        <w:pStyle w:val="BodyText"/>
        <w:ind w:left="838"/>
      </w:pPr>
      <w:r>
        <w:rPr>
          <w:color w:val="333333"/>
        </w:rPr>
        <w:t>燃气供给管道的敷设应符合现行国家标准《城镇燃气设计规范》GB 50028 的规定。 </w:t>
      </w:r>
    </w:p>
    <w:p>
      <w:pPr>
        <w:spacing w:after="0"/>
        <w:sectPr>
          <w:pgSz w:w="11910" w:h="16850"/>
          <w:pgMar w:header="0" w:footer="1239" w:top="1220" w:bottom="1420" w:left="1260" w:right="0"/>
        </w:sectPr>
      </w:pPr>
    </w:p>
    <w:p>
      <w:pPr>
        <w:pStyle w:val="ListParagraph"/>
        <w:numPr>
          <w:ilvl w:val="2"/>
          <w:numId w:val="262"/>
        </w:numPr>
        <w:tabs>
          <w:tab w:pos="1478" w:val="left" w:leader="none"/>
        </w:tabs>
        <w:spacing w:line="446" w:lineRule="auto" w:before="47" w:after="0"/>
        <w:ind w:left="418" w:right="1496" w:firstLine="422"/>
        <w:jc w:val="left"/>
        <w:rPr>
          <w:sz w:val="21"/>
        </w:rPr>
      </w:pPr>
      <w:r>
        <w:rPr>
          <w:color w:val="333333"/>
          <w:spacing w:val="-3"/>
          <w:sz w:val="21"/>
        </w:rPr>
        <w:t>高层民用建筑内使用可燃气体燃料时，应采用管道供气。使用可燃气体的房间或部位宜靠外墙设置，并应符合现行国家标准《城镇燃气设计规范》</w:t>
      </w:r>
      <w:r>
        <w:rPr>
          <w:color w:val="333333"/>
          <w:sz w:val="21"/>
        </w:rPr>
        <w:t>GB</w:t>
      </w:r>
      <w:r>
        <w:rPr>
          <w:color w:val="333333"/>
          <w:spacing w:val="3"/>
          <w:sz w:val="21"/>
        </w:rPr>
        <w:t> </w:t>
      </w:r>
      <w:r>
        <w:rPr>
          <w:color w:val="333333"/>
          <w:sz w:val="21"/>
        </w:rPr>
        <w:t>50028</w:t>
      </w:r>
      <w:r>
        <w:rPr>
          <w:color w:val="333333"/>
          <w:spacing w:val="-2"/>
          <w:sz w:val="21"/>
        </w:rPr>
        <w:t> 的规定。 </w:t>
      </w:r>
    </w:p>
    <w:p>
      <w:pPr>
        <w:pStyle w:val="ListParagraph"/>
        <w:numPr>
          <w:ilvl w:val="2"/>
          <w:numId w:val="262"/>
        </w:numPr>
        <w:tabs>
          <w:tab w:pos="1478" w:val="left" w:leader="none"/>
        </w:tabs>
        <w:spacing w:line="267" w:lineRule="exact" w:before="0" w:after="0"/>
        <w:ind w:left="1477" w:right="0" w:hanging="638"/>
        <w:jc w:val="left"/>
        <w:rPr>
          <w:b/>
          <w:sz w:val="21"/>
        </w:rPr>
      </w:pPr>
      <w:r>
        <w:rPr>
          <w:color w:val="333333"/>
          <w:spacing w:val="-3"/>
          <w:sz w:val="21"/>
        </w:rPr>
        <w:t>建筑采用瓶装液化石油气瓶组供气时，应符合下列规定：</w:t>
      </w:r>
      <w:r>
        <w:rPr>
          <w:b/>
          <w:color w:val="333333"/>
          <w:w w:val="99"/>
          <w:sz w:val="21"/>
        </w:rPr>
        <w:t> </w:t>
      </w:r>
    </w:p>
    <w:p>
      <w:pPr>
        <w:pStyle w:val="BodyText"/>
        <w:spacing w:before="2"/>
        <w:rPr>
          <w:b/>
          <w:sz w:val="18"/>
        </w:rPr>
      </w:pPr>
    </w:p>
    <w:p>
      <w:pPr>
        <w:pStyle w:val="BodyText"/>
        <w:ind w:left="838"/>
        <w:rPr>
          <w:b/>
        </w:rPr>
      </w:pPr>
      <w:r>
        <w:rPr>
          <w:color w:val="333333"/>
        </w:rPr>
        <w:t>应设置独立的瓶组间；</w:t>
      </w:r>
      <w:r>
        <w:rPr>
          <w:b/>
          <w:color w:val="333333"/>
          <w:w w:val="99"/>
        </w:rPr>
        <w:t> </w:t>
      </w:r>
    </w:p>
    <w:p>
      <w:pPr>
        <w:pStyle w:val="BodyText"/>
        <w:rPr>
          <w:b/>
          <w:sz w:val="18"/>
        </w:rPr>
      </w:pPr>
    </w:p>
    <w:p>
      <w:pPr>
        <w:pStyle w:val="BodyText"/>
        <w:spacing w:line="436" w:lineRule="auto"/>
        <w:ind w:left="418" w:right="1609" w:firstLine="419"/>
        <w:rPr>
          <w:b/>
        </w:rPr>
      </w:pPr>
      <w:r>
        <w:rPr>
          <w:color w:val="333333"/>
          <w:spacing w:val="-3"/>
        </w:rPr>
        <w:t>瓶组间不应与住宅建筑、重要公共建筑和其他高层公共建筑贴邻，液化石油气气瓶的总容</w:t>
      </w:r>
      <w:r>
        <w:rPr>
          <w:color w:val="333333"/>
          <w:spacing w:val="-13"/>
        </w:rPr>
        <w:t>积不大于 </w:t>
      </w:r>
      <w:r>
        <w:rPr>
          <w:color w:val="333333"/>
        </w:rPr>
        <w:t>1m</w:t>
      </w:r>
      <w:r>
        <w:rPr>
          <w:color w:val="333333"/>
          <w:position w:val="11"/>
          <w:sz w:val="11"/>
        </w:rPr>
        <w:t>3</w:t>
      </w:r>
      <w:r>
        <w:rPr>
          <w:color w:val="333333"/>
          <w:spacing w:val="53"/>
          <w:sz w:val="11"/>
        </w:rPr>
        <w:t> </w:t>
      </w:r>
      <w:r>
        <w:rPr>
          <w:color w:val="333333"/>
          <w:spacing w:val="-3"/>
        </w:rPr>
        <w:t>的瓶组间与所服务的其他建筑贴邻时，应采用自然气化方式供气；</w:t>
      </w:r>
      <w:r>
        <w:rPr>
          <w:b/>
          <w:color w:val="333333"/>
          <w:spacing w:val="-3"/>
          <w:w w:val="99"/>
        </w:rPr>
        <w:t> </w:t>
      </w:r>
    </w:p>
    <w:p>
      <w:pPr>
        <w:pStyle w:val="BodyText"/>
        <w:spacing w:line="446" w:lineRule="auto" w:before="1"/>
        <w:ind w:left="418" w:right="1606" w:firstLine="419"/>
      </w:pPr>
      <w:r>
        <w:rPr>
          <w:color w:val="333333"/>
          <w:spacing w:val="-7"/>
        </w:rPr>
        <w:t>液化石油气气瓶的总容积大于 </w:t>
      </w:r>
      <w:r>
        <w:rPr>
          <w:color w:val="333333"/>
        </w:rPr>
        <w:t>1m</w:t>
      </w:r>
      <w:r>
        <w:rPr>
          <w:color w:val="333333"/>
          <w:position w:val="11"/>
          <w:sz w:val="11"/>
        </w:rPr>
        <w:t>3</w:t>
      </w:r>
      <w:r>
        <w:rPr>
          <w:color w:val="333333"/>
          <w:spacing w:val="-12"/>
        </w:rPr>
        <w:t>、不大于 </w:t>
      </w:r>
      <w:r>
        <w:rPr>
          <w:color w:val="333333"/>
        </w:rPr>
        <w:t>4m</w:t>
      </w:r>
      <w:r>
        <w:rPr>
          <w:color w:val="333333"/>
          <w:position w:val="11"/>
          <w:sz w:val="11"/>
        </w:rPr>
        <w:t>3</w:t>
      </w:r>
      <w:r>
        <w:rPr>
          <w:color w:val="333333"/>
          <w:sz w:val="11"/>
        </w:rPr>
        <w:t> </w:t>
      </w:r>
      <w:r>
        <w:rPr>
          <w:color w:val="333333"/>
          <w:spacing w:val="-3"/>
        </w:rPr>
        <w:t>的独立瓶组间，与所服务建筑的防火</w:t>
      </w:r>
      <w:r>
        <w:rPr>
          <w:spacing w:val="-3"/>
        </w:rPr>
        <w:t>间距</w:t>
      </w:r>
      <w:r>
        <w:rPr>
          <w:spacing w:val="-10"/>
        </w:rPr>
        <w:t>应符合本规范表 </w:t>
      </w:r>
      <w:r>
        <w:rPr/>
        <w:t>5.4.17</w:t>
      </w:r>
      <w:r>
        <w:rPr>
          <w:spacing w:val="-3"/>
        </w:rPr>
        <w:t> 的规定；</w:t>
      </w:r>
      <w:r>
        <w:rPr/>
        <w:t> </w:t>
      </w:r>
    </w:p>
    <w:p>
      <w:pPr>
        <w:pStyle w:val="Heading6"/>
        <w:spacing w:line="267" w:lineRule="exact"/>
        <w:ind w:left="1728"/>
      </w:pPr>
      <w:r>
        <w:rPr/>
        <w:t>表 5.4.17 液化石油气气瓶的独立瓶组间与所服务建筑的防火间距（m）</w:t>
      </w:r>
      <w:r>
        <w:rPr>
          <w:w w:val="99"/>
        </w:rPr>
        <w:t> </w:t>
      </w:r>
    </w:p>
    <w:p>
      <w:pPr>
        <w:pStyle w:val="BodyText"/>
        <w:rPr>
          <w:b/>
          <w:sz w:val="20"/>
        </w:rPr>
      </w:pPr>
    </w:p>
    <w:p>
      <w:pPr>
        <w:pStyle w:val="BodyText"/>
        <w:rPr>
          <w:b/>
          <w:sz w:val="25"/>
        </w:rPr>
      </w:pPr>
      <w:r>
        <w:rPr/>
        <w:drawing>
          <wp:anchor distT="0" distB="0" distL="0" distR="0" allowOverlap="1" layoutInCell="1" locked="0" behindDoc="0" simplePos="0" relativeHeight="93">
            <wp:simplePos x="0" y="0"/>
            <wp:positionH relativeFrom="page">
              <wp:posOffset>1141730</wp:posOffset>
            </wp:positionH>
            <wp:positionV relativeFrom="paragraph">
              <wp:posOffset>228171</wp:posOffset>
            </wp:positionV>
            <wp:extent cx="5534024" cy="1447800"/>
            <wp:effectExtent l="0" t="0" r="0" b="0"/>
            <wp:wrapTopAndBottom/>
            <wp:docPr id="213" name="image134.jpeg"/>
            <wp:cNvGraphicFramePr>
              <a:graphicFrameLocks noChangeAspect="1"/>
            </wp:cNvGraphicFramePr>
            <a:graphic>
              <a:graphicData uri="http://schemas.openxmlformats.org/drawingml/2006/picture">
                <pic:pic>
                  <pic:nvPicPr>
                    <pic:cNvPr id="214" name="image134.jpeg"/>
                    <pic:cNvPicPr/>
                  </pic:nvPicPr>
                  <pic:blipFill>
                    <a:blip r:embed="rId144" cstate="print"/>
                    <a:stretch>
                      <a:fillRect/>
                    </a:stretch>
                  </pic:blipFill>
                  <pic:spPr>
                    <a:xfrm>
                      <a:off x="0" y="0"/>
                      <a:ext cx="5534024" cy="1447800"/>
                    </a:xfrm>
                    <a:prstGeom prst="rect">
                      <a:avLst/>
                    </a:prstGeom>
                  </pic:spPr>
                </pic:pic>
              </a:graphicData>
            </a:graphic>
          </wp:anchor>
        </w:drawing>
      </w:r>
    </w:p>
    <w:p>
      <w:pPr>
        <w:pStyle w:val="BodyText"/>
        <w:spacing w:before="1"/>
        <w:rPr>
          <w:b/>
          <w:sz w:val="7"/>
        </w:rPr>
      </w:pPr>
    </w:p>
    <w:p>
      <w:pPr>
        <w:pStyle w:val="BodyText"/>
        <w:spacing w:line="446" w:lineRule="auto" w:before="71"/>
        <w:ind w:left="838" w:right="3606"/>
        <w:rPr>
          <w:b/>
        </w:rPr>
      </w:pPr>
      <w:r>
        <w:rPr>
          <w:color w:val="333333"/>
        </w:rPr>
        <w:t>注：  气瓶总容积应按配置气瓶个数与单瓶几何容积的乘积计算。在瓶组间的总出气管道上应设置紧急事故自动切断阀；</w:t>
      </w:r>
      <w:r>
        <w:rPr>
          <w:b/>
          <w:color w:val="333333"/>
          <w:w w:val="99"/>
        </w:rPr>
        <w:t> </w:t>
      </w:r>
    </w:p>
    <w:p>
      <w:pPr>
        <w:pStyle w:val="BodyText"/>
        <w:ind w:left="838"/>
        <w:rPr>
          <w:b/>
        </w:rPr>
      </w:pPr>
      <w:r>
        <w:rPr>
          <w:color w:val="333333"/>
        </w:rPr>
        <w:t>瓶组间应设置可燃气体浓度报警装置；</w:t>
      </w:r>
      <w:r>
        <w:rPr>
          <w:b/>
          <w:color w:val="333333"/>
          <w:w w:val="99"/>
        </w:rPr>
        <w:t> </w:t>
      </w:r>
    </w:p>
    <w:p>
      <w:pPr>
        <w:pStyle w:val="BodyText"/>
        <w:rPr>
          <w:b/>
          <w:sz w:val="18"/>
        </w:rPr>
      </w:pPr>
    </w:p>
    <w:p>
      <w:pPr>
        <w:pStyle w:val="BodyText"/>
        <w:spacing w:line="446" w:lineRule="auto"/>
        <w:ind w:left="840" w:right="2662" w:hanging="3"/>
        <w:rPr>
          <w:b/>
        </w:rPr>
      </w:pPr>
      <w:r>
        <w:rPr>
          <w:color w:val="333333"/>
        </w:rPr>
        <w:t>其他防火要求应符合现行国家标准《城镇燃气设计规范》GB 50028 的规定。</w:t>
      </w:r>
      <w:r>
        <w:rPr>
          <w:b/>
        </w:rPr>
        <w:t>5.5 </w:t>
      </w:r>
      <w:r>
        <w:rPr/>
        <w:t>安全疏散和避难</w:t>
      </w:r>
      <w:r>
        <w:rPr>
          <w:b/>
          <w:w w:val="99"/>
        </w:rPr>
        <w:t> </w:t>
      </w:r>
    </w:p>
    <w:p>
      <w:pPr>
        <w:pStyle w:val="BodyText"/>
        <w:ind w:left="838"/>
      </w:pPr>
      <w:r>
        <w:rPr>
          <w:color w:val="333333"/>
        </w:rPr>
        <w:t>Ⅰ 一般要求 </w:t>
      </w:r>
    </w:p>
    <w:p>
      <w:pPr>
        <w:pStyle w:val="BodyText"/>
        <w:rPr>
          <w:sz w:val="18"/>
        </w:rPr>
      </w:pPr>
    </w:p>
    <w:p>
      <w:pPr>
        <w:pStyle w:val="ListParagraph"/>
        <w:numPr>
          <w:ilvl w:val="2"/>
          <w:numId w:val="263"/>
        </w:numPr>
        <w:tabs>
          <w:tab w:pos="1371" w:val="left" w:leader="none"/>
        </w:tabs>
        <w:spacing w:line="446" w:lineRule="auto" w:before="0" w:after="0"/>
        <w:ind w:left="418" w:right="1604" w:firstLine="422"/>
        <w:jc w:val="both"/>
        <w:rPr>
          <w:sz w:val="21"/>
        </w:rPr>
      </w:pPr>
      <w:r>
        <w:rPr>
          <w:color w:val="333333"/>
          <w:spacing w:val="-3"/>
          <w:sz w:val="21"/>
        </w:rPr>
        <w:t>民用建筑应根据其建筑高度、规模、使用功能和耐火等级等因素合理设置安全疏散和避难设施。安全出口和疏散门的位置、数量、宽度及疏散楼梯间的形式，应满足人员安全疏散的要求。</w:t>
      </w:r>
      <w:r>
        <w:rPr>
          <w:color w:val="333333"/>
          <w:sz w:val="21"/>
        </w:rPr>
        <w:t> </w:t>
      </w:r>
    </w:p>
    <w:p>
      <w:pPr>
        <w:pStyle w:val="ListParagraph"/>
        <w:numPr>
          <w:ilvl w:val="2"/>
          <w:numId w:val="263"/>
        </w:numPr>
        <w:tabs>
          <w:tab w:pos="1370" w:val="left" w:leader="none"/>
        </w:tabs>
        <w:spacing w:line="446" w:lineRule="auto" w:before="0" w:after="0"/>
        <w:ind w:left="418" w:right="1604" w:firstLine="422"/>
        <w:jc w:val="both"/>
        <w:rPr>
          <w:sz w:val="21"/>
        </w:rPr>
      </w:pPr>
      <w:r>
        <w:rPr>
          <w:color w:val="333333"/>
          <w:spacing w:val="-3"/>
          <w:sz w:val="21"/>
        </w:rPr>
        <w:t>建筑内的安全出口和疏散门应分散布置，且建筑内每个防火分区或一个防火分区的每个楼层、每个住宅单元每层相邻两个安全出口以及每个房间相邻两个疏散门最近边缘之间的</w:t>
      </w:r>
      <w:r>
        <w:rPr>
          <w:color w:val="333333"/>
          <w:spacing w:val="-9"/>
          <w:sz w:val="21"/>
        </w:rPr>
        <w:t>水平距离不应小于 </w:t>
      </w:r>
      <w:r>
        <w:rPr>
          <w:color w:val="333333"/>
          <w:sz w:val="21"/>
        </w:rPr>
        <w:t>5m。 </w:t>
      </w:r>
    </w:p>
    <w:p>
      <w:pPr>
        <w:pStyle w:val="ListParagraph"/>
        <w:numPr>
          <w:ilvl w:val="2"/>
          <w:numId w:val="263"/>
        </w:numPr>
        <w:tabs>
          <w:tab w:pos="1371" w:val="left" w:leader="none"/>
        </w:tabs>
        <w:spacing w:line="268" w:lineRule="exact" w:before="0" w:after="0"/>
        <w:ind w:left="1370" w:right="0" w:hanging="531"/>
        <w:jc w:val="left"/>
        <w:rPr>
          <w:sz w:val="21"/>
        </w:rPr>
      </w:pPr>
      <w:r>
        <w:rPr>
          <w:color w:val="333333"/>
          <w:spacing w:val="-3"/>
          <w:sz w:val="21"/>
        </w:rPr>
        <w:t>建筑的楼梯间宜通至屋面，通向屋面的门或窗应向外开启。</w:t>
      </w:r>
      <w:r>
        <w:rPr>
          <w:color w:val="333333"/>
          <w:sz w:val="21"/>
        </w:rPr>
        <w:t> </w:t>
      </w:r>
    </w:p>
    <w:p>
      <w:pPr>
        <w:spacing w:after="0" w:line="268" w:lineRule="exact"/>
        <w:jc w:val="left"/>
        <w:rPr>
          <w:sz w:val="21"/>
        </w:rPr>
        <w:sectPr>
          <w:pgSz w:w="11910" w:h="16850"/>
          <w:pgMar w:header="0" w:footer="1239" w:top="1220" w:bottom="1420" w:left="1260" w:right="0"/>
        </w:sectPr>
      </w:pPr>
    </w:p>
    <w:p>
      <w:pPr>
        <w:pStyle w:val="ListParagraph"/>
        <w:numPr>
          <w:ilvl w:val="2"/>
          <w:numId w:val="263"/>
        </w:numPr>
        <w:tabs>
          <w:tab w:pos="1371" w:val="left" w:leader="none"/>
        </w:tabs>
        <w:spacing w:line="240" w:lineRule="auto" w:before="47" w:after="0"/>
        <w:ind w:left="1370" w:right="0" w:hanging="531"/>
        <w:jc w:val="left"/>
        <w:rPr>
          <w:sz w:val="21"/>
        </w:rPr>
      </w:pPr>
      <w:r>
        <w:rPr>
          <w:color w:val="333333"/>
          <w:spacing w:val="-3"/>
          <w:sz w:val="21"/>
        </w:rPr>
        <w:t>自动扶梯和电梯不应计作安全疏散设施。</w:t>
      </w:r>
      <w:r>
        <w:rPr>
          <w:color w:val="333333"/>
          <w:sz w:val="21"/>
        </w:rPr>
        <w:t> </w:t>
      </w:r>
    </w:p>
    <w:p>
      <w:pPr>
        <w:pStyle w:val="BodyText"/>
        <w:spacing w:before="3"/>
        <w:rPr>
          <w:sz w:val="17"/>
        </w:rPr>
      </w:pPr>
    </w:p>
    <w:p>
      <w:pPr>
        <w:pStyle w:val="ListParagraph"/>
        <w:numPr>
          <w:ilvl w:val="2"/>
          <w:numId w:val="263"/>
        </w:numPr>
        <w:tabs>
          <w:tab w:pos="1371" w:val="left" w:leader="none"/>
        </w:tabs>
        <w:spacing w:line="240" w:lineRule="auto" w:before="0" w:after="0"/>
        <w:ind w:left="1370" w:right="0" w:hanging="531"/>
        <w:jc w:val="left"/>
        <w:rPr>
          <w:sz w:val="21"/>
        </w:rPr>
      </w:pPr>
      <w:r>
        <w:rPr>
          <w:color w:val="333333"/>
          <w:spacing w:val="-6"/>
          <w:sz w:val="21"/>
        </w:rPr>
        <w:t>除人员密集场所外，建筑面积不大于 </w:t>
      </w:r>
      <w:r>
        <w:rPr>
          <w:color w:val="333333"/>
          <w:sz w:val="21"/>
        </w:rPr>
        <w:t>500m</w:t>
      </w:r>
      <w:r>
        <w:rPr>
          <w:color w:val="333333"/>
          <w:position w:val="11"/>
          <w:sz w:val="11"/>
        </w:rPr>
        <w:t>2</w:t>
      </w:r>
      <w:r>
        <w:rPr>
          <w:color w:val="333333"/>
          <w:spacing w:val="-9"/>
          <w:sz w:val="21"/>
        </w:rPr>
        <w:t>、使用人数不超过 </w:t>
      </w:r>
      <w:r>
        <w:rPr>
          <w:color w:val="333333"/>
          <w:sz w:val="21"/>
        </w:rPr>
        <w:t>30</w:t>
      </w:r>
      <w:r>
        <w:rPr>
          <w:color w:val="333333"/>
          <w:spacing w:val="-2"/>
          <w:sz w:val="21"/>
        </w:rPr>
        <w:t> 人且埋深不大于</w:t>
      </w:r>
    </w:p>
    <w:p>
      <w:pPr>
        <w:pStyle w:val="BodyText"/>
        <w:spacing w:before="12"/>
        <w:rPr>
          <w:sz w:val="17"/>
        </w:rPr>
      </w:pPr>
    </w:p>
    <w:p>
      <w:pPr>
        <w:pStyle w:val="BodyText"/>
        <w:spacing w:line="446" w:lineRule="auto"/>
        <w:ind w:left="418" w:right="1609"/>
      </w:pPr>
      <w:r>
        <w:rPr>
          <w:color w:val="333333"/>
        </w:rPr>
        <w:t>10m</w:t>
      </w:r>
      <w:r>
        <w:rPr>
          <w:color w:val="333333"/>
          <w:spacing w:val="-2"/>
        </w:rPr>
        <w:t> 的地下或半地下建筑</w:t>
      </w:r>
      <w:r>
        <w:rPr>
          <w:color w:val="333333"/>
        </w:rPr>
        <w:t>（室）</w:t>
      </w:r>
      <w:r>
        <w:rPr>
          <w:color w:val="333333"/>
          <w:spacing w:val="-9"/>
        </w:rPr>
        <w:t>，当需要设置 </w:t>
      </w:r>
      <w:r>
        <w:rPr>
          <w:color w:val="333333"/>
        </w:rPr>
        <w:t>2</w:t>
      </w:r>
      <w:r>
        <w:rPr>
          <w:color w:val="333333"/>
          <w:spacing w:val="-8"/>
        </w:rPr>
        <w:t> 个安全出口时，其中一个安全出口可利用直通</w:t>
      </w:r>
      <w:r>
        <w:rPr>
          <w:color w:val="333333"/>
          <w:spacing w:val="-5"/>
        </w:rPr>
        <w:t>室外的金属竖向梯。</w:t>
      </w:r>
      <w:r>
        <w:rPr>
          <w:color w:val="333333"/>
        </w:rPr>
        <w:t> </w:t>
      </w:r>
    </w:p>
    <w:p>
      <w:pPr>
        <w:pStyle w:val="BodyText"/>
        <w:spacing w:line="441" w:lineRule="auto"/>
        <w:ind w:left="418" w:right="1503" w:firstLine="419"/>
      </w:pPr>
      <w:r>
        <w:rPr>
          <w:color w:val="333333"/>
          <w:spacing w:val="-5"/>
        </w:rPr>
        <w:t>除歌舞娱乐放映游艺场所外，防火分区建筑面积不大于 </w:t>
      </w:r>
      <w:r>
        <w:rPr>
          <w:color w:val="333333"/>
        </w:rPr>
        <w:t>200m</w:t>
      </w:r>
      <w:r>
        <w:rPr>
          <w:color w:val="333333"/>
          <w:position w:val="11"/>
          <w:sz w:val="11"/>
        </w:rPr>
        <w:t>2</w:t>
      </w:r>
      <w:r>
        <w:rPr>
          <w:color w:val="333333"/>
          <w:sz w:val="11"/>
        </w:rPr>
        <w:t> </w:t>
      </w:r>
      <w:r>
        <w:rPr>
          <w:color w:val="333333"/>
          <w:spacing w:val="-3"/>
        </w:rPr>
        <w:t>的地下或半地下设备间、防</w:t>
      </w:r>
      <w:r>
        <w:rPr>
          <w:color w:val="333333"/>
          <w:spacing w:val="-8"/>
        </w:rPr>
        <w:t>火分区建筑面积不大于 </w:t>
      </w:r>
      <w:r>
        <w:rPr>
          <w:color w:val="333333"/>
        </w:rPr>
        <w:t>50m</w:t>
      </w:r>
      <w:r>
        <w:rPr>
          <w:color w:val="333333"/>
          <w:position w:val="11"/>
          <w:sz w:val="11"/>
        </w:rPr>
        <w:t>2 </w:t>
      </w:r>
      <w:r>
        <w:rPr>
          <w:color w:val="333333"/>
          <w:spacing w:val="-8"/>
        </w:rPr>
        <w:t>且经常停留人数不超过 </w:t>
      </w:r>
      <w:r>
        <w:rPr>
          <w:color w:val="333333"/>
        </w:rPr>
        <w:t>15</w:t>
      </w:r>
      <w:r>
        <w:rPr>
          <w:color w:val="333333"/>
          <w:spacing w:val="-3"/>
        </w:rPr>
        <w:t> 人的其他地下或半地下建筑（</w:t>
      </w:r>
      <w:r>
        <w:rPr>
          <w:color w:val="333333"/>
        </w:rPr>
        <w:t>室），可</w:t>
      </w:r>
      <w:r>
        <w:rPr>
          <w:color w:val="333333"/>
          <w:spacing w:val="-18"/>
        </w:rPr>
        <w:t>设置 </w:t>
      </w:r>
      <w:r>
        <w:rPr>
          <w:color w:val="333333"/>
        </w:rPr>
        <w:t>1</w:t>
      </w:r>
      <w:r>
        <w:rPr>
          <w:color w:val="333333"/>
          <w:spacing w:val="-17"/>
        </w:rPr>
        <w:t> 个安全出口或 </w:t>
      </w:r>
      <w:r>
        <w:rPr>
          <w:color w:val="333333"/>
        </w:rPr>
        <w:t>1</w:t>
      </w:r>
      <w:r>
        <w:rPr>
          <w:color w:val="333333"/>
          <w:spacing w:val="-10"/>
        </w:rPr>
        <w:t> 部疏散楼梯。 </w:t>
      </w:r>
    </w:p>
    <w:p>
      <w:pPr>
        <w:pStyle w:val="BodyText"/>
        <w:spacing w:line="274" w:lineRule="exact"/>
        <w:ind w:left="838"/>
        <w:rPr>
          <w:sz w:val="11"/>
        </w:rPr>
      </w:pPr>
      <w:r>
        <w:rPr>
          <w:color w:val="333333"/>
        </w:rPr>
        <w:t>除本规范另有规定外，建筑面积不大于 200m</w:t>
      </w:r>
      <w:r>
        <w:rPr>
          <w:color w:val="333333"/>
          <w:position w:val="11"/>
          <w:sz w:val="11"/>
        </w:rPr>
        <w:t>2 </w:t>
      </w:r>
      <w:r>
        <w:rPr>
          <w:color w:val="333333"/>
        </w:rPr>
        <w:t>的地下或半地下设备间、建筑面积不大于 50m</w:t>
      </w:r>
      <w:r>
        <w:rPr>
          <w:color w:val="333333"/>
          <w:position w:val="11"/>
          <w:sz w:val="11"/>
        </w:rPr>
        <w:t>2</w:t>
      </w:r>
    </w:p>
    <w:p>
      <w:pPr>
        <w:pStyle w:val="BodyText"/>
        <w:spacing w:before="2"/>
        <w:rPr>
          <w:sz w:val="17"/>
        </w:rPr>
      </w:pPr>
    </w:p>
    <w:p>
      <w:pPr>
        <w:pStyle w:val="BodyText"/>
        <w:spacing w:before="1"/>
        <w:ind w:left="418"/>
      </w:pPr>
      <w:r>
        <w:rPr>
          <w:color w:val="333333"/>
        </w:rPr>
        <w:t>且经常停留人数不超过 15 人的其他地下或半地下房间，可设置 1 个疏散门。 </w:t>
      </w:r>
    </w:p>
    <w:p>
      <w:pPr>
        <w:pStyle w:val="BodyText"/>
        <w:spacing w:before="1"/>
        <w:rPr>
          <w:sz w:val="18"/>
        </w:rPr>
      </w:pPr>
    </w:p>
    <w:p>
      <w:pPr>
        <w:pStyle w:val="ListParagraph"/>
        <w:numPr>
          <w:ilvl w:val="2"/>
          <w:numId w:val="263"/>
        </w:numPr>
        <w:tabs>
          <w:tab w:pos="1370" w:val="left" w:leader="none"/>
        </w:tabs>
        <w:spacing w:line="446" w:lineRule="auto" w:before="0" w:after="0"/>
        <w:ind w:left="418" w:right="1604" w:firstLine="422"/>
        <w:jc w:val="left"/>
        <w:rPr>
          <w:sz w:val="21"/>
        </w:rPr>
      </w:pPr>
      <w:r>
        <w:rPr>
          <w:color w:val="333333"/>
          <w:spacing w:val="-3"/>
          <w:sz w:val="21"/>
        </w:rPr>
        <w:t>直通建筑内附设汽车库的电梯，应在汽车库部分设置电梯候梯厅，并应采用耐火极</w:t>
      </w:r>
      <w:r>
        <w:rPr>
          <w:color w:val="333333"/>
          <w:spacing w:val="-13"/>
          <w:sz w:val="21"/>
        </w:rPr>
        <w:t>限不低于 </w:t>
      </w:r>
      <w:r>
        <w:rPr>
          <w:color w:val="333333"/>
          <w:sz w:val="21"/>
        </w:rPr>
        <w:t>2.00h</w:t>
      </w:r>
      <w:r>
        <w:rPr>
          <w:color w:val="333333"/>
          <w:spacing w:val="-3"/>
          <w:sz w:val="21"/>
        </w:rPr>
        <w:t> 的防火隔墙和乙级防火门与汽车库分隔。</w:t>
      </w:r>
      <w:r>
        <w:rPr>
          <w:color w:val="333333"/>
          <w:sz w:val="21"/>
        </w:rPr>
        <w:t> </w:t>
      </w:r>
    </w:p>
    <w:p>
      <w:pPr>
        <w:pStyle w:val="ListParagraph"/>
        <w:numPr>
          <w:ilvl w:val="2"/>
          <w:numId w:val="263"/>
        </w:numPr>
        <w:tabs>
          <w:tab w:pos="1370" w:val="left" w:leader="none"/>
        </w:tabs>
        <w:spacing w:line="446" w:lineRule="auto" w:before="0" w:after="0"/>
        <w:ind w:left="838" w:right="1817" w:firstLine="2"/>
        <w:jc w:val="left"/>
        <w:rPr>
          <w:sz w:val="21"/>
        </w:rPr>
      </w:pPr>
      <w:r>
        <w:rPr>
          <w:color w:val="333333"/>
          <w:spacing w:val="-4"/>
          <w:sz w:val="21"/>
        </w:rPr>
        <w:t>高层建筑直通室外的安全出口上方，应设置挑出宽度不小于 </w:t>
      </w:r>
      <w:r>
        <w:rPr>
          <w:color w:val="333333"/>
          <w:sz w:val="21"/>
        </w:rPr>
        <w:t>1.0m</w:t>
      </w:r>
      <w:r>
        <w:rPr>
          <w:color w:val="333333"/>
          <w:spacing w:val="-7"/>
          <w:sz w:val="21"/>
        </w:rPr>
        <w:t> 的防护挑檐。</w:t>
      </w:r>
      <w:r>
        <w:rPr>
          <w:color w:val="333333"/>
          <w:spacing w:val="-3"/>
          <w:sz w:val="21"/>
        </w:rPr>
        <w:t>Ⅱ 公共建筑</w:t>
      </w:r>
      <w:r>
        <w:rPr>
          <w:color w:val="333333"/>
          <w:sz w:val="21"/>
        </w:rPr>
        <w:t> </w:t>
      </w:r>
    </w:p>
    <w:p>
      <w:pPr>
        <w:pStyle w:val="ListParagraph"/>
        <w:numPr>
          <w:ilvl w:val="2"/>
          <w:numId w:val="263"/>
        </w:numPr>
        <w:tabs>
          <w:tab w:pos="1370" w:val="left" w:leader="none"/>
        </w:tabs>
        <w:spacing w:line="240" w:lineRule="auto" w:before="0" w:after="0"/>
        <w:ind w:left="1369" w:right="0" w:hanging="530"/>
        <w:jc w:val="left"/>
        <w:rPr>
          <w:sz w:val="21"/>
        </w:rPr>
      </w:pPr>
      <w:r>
        <w:rPr>
          <w:color w:val="333333"/>
          <w:spacing w:val="-3"/>
          <w:sz w:val="21"/>
        </w:rPr>
        <w:t>公共建筑内每个防火分区或一个防火分区的每个楼层，其安全出口的数量应 </w:t>
      </w:r>
    </w:p>
    <w:p>
      <w:pPr>
        <w:pStyle w:val="BodyText"/>
        <w:spacing w:before="10"/>
        <w:rPr>
          <w:sz w:val="17"/>
        </w:rPr>
      </w:pPr>
    </w:p>
    <w:p>
      <w:pPr>
        <w:pStyle w:val="BodyText"/>
        <w:spacing w:line="446" w:lineRule="auto" w:before="1"/>
        <w:ind w:left="418" w:right="1558" w:firstLine="419"/>
      </w:pPr>
      <w:r>
        <w:rPr>
          <w:color w:val="333333"/>
          <w:spacing w:val="-7"/>
        </w:rPr>
        <w:t>经计算确定，且不应少于 </w:t>
      </w:r>
      <w:r>
        <w:rPr>
          <w:color w:val="333333"/>
        </w:rPr>
        <w:t>2</w:t>
      </w:r>
      <w:r>
        <w:rPr>
          <w:color w:val="333333"/>
          <w:spacing w:val="-8"/>
        </w:rPr>
        <w:t> 个。设置 </w:t>
      </w:r>
      <w:r>
        <w:rPr>
          <w:color w:val="333333"/>
        </w:rPr>
        <w:t>1</w:t>
      </w:r>
      <w:r>
        <w:rPr>
          <w:color w:val="333333"/>
          <w:spacing w:val="-15"/>
        </w:rPr>
        <w:t> 个安全出口或 </w:t>
      </w:r>
      <w:r>
        <w:rPr>
          <w:color w:val="333333"/>
        </w:rPr>
        <w:t>1</w:t>
      </w:r>
      <w:r>
        <w:rPr>
          <w:color w:val="333333"/>
          <w:spacing w:val="-9"/>
        </w:rPr>
        <w:t> 部疏散楼梯的公共建筑应符合下列</w:t>
      </w:r>
      <w:r>
        <w:rPr>
          <w:color w:val="333333"/>
          <w:spacing w:val="-6"/>
        </w:rPr>
        <w:t>条件之一：</w:t>
      </w:r>
      <w:r>
        <w:rPr>
          <w:color w:val="333333"/>
        </w:rPr>
        <w:t> </w:t>
      </w:r>
    </w:p>
    <w:p>
      <w:pPr>
        <w:pStyle w:val="ListParagraph"/>
        <w:numPr>
          <w:ilvl w:val="0"/>
          <w:numId w:val="264"/>
        </w:numPr>
        <w:tabs>
          <w:tab w:pos="1367" w:val="left" w:leader="none"/>
        </w:tabs>
        <w:spacing w:line="446" w:lineRule="auto" w:before="0" w:after="0"/>
        <w:ind w:left="418" w:right="1453" w:firstLine="419"/>
        <w:jc w:val="left"/>
        <w:rPr>
          <w:sz w:val="21"/>
        </w:rPr>
      </w:pPr>
      <w:r>
        <w:rPr>
          <w:color w:val="333333"/>
          <w:spacing w:val="-6"/>
          <w:sz w:val="21"/>
        </w:rPr>
        <w:t>除托儿所、幼儿园外，建筑面积不大于 </w:t>
      </w:r>
      <w:r>
        <w:rPr>
          <w:color w:val="333333"/>
          <w:sz w:val="21"/>
        </w:rPr>
        <w:t>200m</w:t>
      </w:r>
      <w:r>
        <w:rPr>
          <w:color w:val="333333"/>
          <w:position w:val="11"/>
          <w:sz w:val="11"/>
        </w:rPr>
        <w:t>2</w:t>
      </w:r>
      <w:r>
        <w:rPr>
          <w:color w:val="333333"/>
          <w:spacing w:val="5"/>
          <w:sz w:val="11"/>
        </w:rPr>
        <w:t> </w:t>
      </w:r>
      <w:r>
        <w:rPr>
          <w:color w:val="333333"/>
          <w:spacing w:val="-9"/>
          <w:sz w:val="21"/>
        </w:rPr>
        <w:t>且人数不超过 </w:t>
      </w:r>
      <w:r>
        <w:rPr>
          <w:color w:val="333333"/>
          <w:sz w:val="21"/>
        </w:rPr>
        <w:t>50</w:t>
      </w:r>
      <w:r>
        <w:rPr>
          <w:color w:val="333333"/>
          <w:spacing w:val="-2"/>
          <w:sz w:val="21"/>
        </w:rPr>
        <w:t> 人的单层公共建筑或</w:t>
      </w:r>
      <w:r>
        <w:rPr>
          <w:color w:val="333333"/>
          <w:spacing w:val="-3"/>
          <w:sz w:val="21"/>
        </w:rPr>
        <w:t>多层公共建筑的首层；</w:t>
      </w:r>
      <w:r>
        <w:rPr>
          <w:color w:val="333333"/>
          <w:sz w:val="21"/>
        </w:rPr>
        <w:t> </w:t>
      </w:r>
    </w:p>
    <w:p>
      <w:pPr>
        <w:pStyle w:val="ListParagraph"/>
        <w:numPr>
          <w:ilvl w:val="0"/>
          <w:numId w:val="264"/>
        </w:numPr>
        <w:tabs>
          <w:tab w:pos="1367" w:val="left" w:leader="none"/>
        </w:tabs>
        <w:spacing w:line="446" w:lineRule="auto" w:before="0" w:after="0"/>
        <w:ind w:left="418" w:right="1505" w:firstLine="419"/>
        <w:jc w:val="left"/>
        <w:rPr>
          <w:sz w:val="21"/>
        </w:rPr>
      </w:pPr>
      <w:r>
        <w:rPr>
          <w:color w:val="333333"/>
          <w:spacing w:val="-3"/>
          <w:sz w:val="21"/>
        </w:rPr>
        <w:t>除医疗建筑，老年人照料设施，托儿所、幼儿园的儿童用房，儿童游乐厅等儿童活动</w:t>
      </w:r>
      <w:r>
        <w:rPr>
          <w:color w:val="333333"/>
          <w:spacing w:val="-6"/>
          <w:sz w:val="21"/>
        </w:rPr>
        <w:t>场所和歌舞娱乐放映游艺场所等外，符合表 </w:t>
      </w:r>
      <w:r>
        <w:rPr>
          <w:color w:val="333333"/>
          <w:sz w:val="21"/>
        </w:rPr>
        <w:t>5.5.8</w:t>
      </w:r>
      <w:r>
        <w:rPr>
          <w:color w:val="333333"/>
          <w:spacing w:val="-3"/>
          <w:sz w:val="21"/>
        </w:rPr>
        <w:t> 规定的公共建筑。</w:t>
      </w:r>
      <w:r>
        <w:rPr>
          <w:color w:val="333333"/>
          <w:sz w:val="21"/>
        </w:rPr>
        <w:t> </w:t>
      </w:r>
    </w:p>
    <w:p>
      <w:pPr>
        <w:pStyle w:val="Heading6"/>
        <w:spacing w:line="267" w:lineRule="exact"/>
        <w:ind w:left="3178"/>
      </w:pPr>
      <w:r>
        <w:rPr/>
        <w:t>表 5.5.8 设置 1 部疏散楼梯的公共建筑</w:t>
      </w:r>
      <w:r>
        <w:rPr>
          <w:w w:val="99"/>
        </w:rPr>
        <w:t> </w:t>
      </w:r>
    </w:p>
    <w:p>
      <w:pPr>
        <w:pStyle w:val="BodyText"/>
        <w:spacing w:before="3"/>
        <w:rPr>
          <w:b/>
          <w:sz w:val="16"/>
        </w:rPr>
      </w:pPr>
      <w:r>
        <w:rPr/>
        <w:drawing>
          <wp:anchor distT="0" distB="0" distL="0" distR="0" allowOverlap="1" layoutInCell="1" locked="0" behindDoc="0" simplePos="0" relativeHeight="94">
            <wp:simplePos x="0" y="0"/>
            <wp:positionH relativeFrom="page">
              <wp:posOffset>1194435</wp:posOffset>
            </wp:positionH>
            <wp:positionV relativeFrom="paragraph">
              <wp:posOffset>157344</wp:posOffset>
            </wp:positionV>
            <wp:extent cx="5362856" cy="1125569"/>
            <wp:effectExtent l="0" t="0" r="0" b="0"/>
            <wp:wrapTopAndBottom/>
            <wp:docPr id="215" name="image135.jpeg"/>
            <wp:cNvGraphicFramePr>
              <a:graphicFrameLocks noChangeAspect="1"/>
            </wp:cNvGraphicFramePr>
            <a:graphic>
              <a:graphicData uri="http://schemas.openxmlformats.org/drawingml/2006/picture">
                <pic:pic>
                  <pic:nvPicPr>
                    <pic:cNvPr id="216" name="image135.jpeg"/>
                    <pic:cNvPicPr/>
                  </pic:nvPicPr>
                  <pic:blipFill>
                    <a:blip r:embed="rId145" cstate="print"/>
                    <a:stretch>
                      <a:fillRect/>
                    </a:stretch>
                  </pic:blipFill>
                  <pic:spPr>
                    <a:xfrm>
                      <a:off x="0" y="0"/>
                      <a:ext cx="5362856" cy="1125569"/>
                    </a:xfrm>
                    <a:prstGeom prst="rect">
                      <a:avLst/>
                    </a:prstGeom>
                  </pic:spPr>
                </pic:pic>
              </a:graphicData>
            </a:graphic>
          </wp:anchor>
        </w:drawing>
      </w:r>
    </w:p>
    <w:p>
      <w:pPr>
        <w:pStyle w:val="ListParagraph"/>
        <w:numPr>
          <w:ilvl w:val="2"/>
          <w:numId w:val="263"/>
        </w:numPr>
        <w:tabs>
          <w:tab w:pos="1371" w:val="left" w:leader="none"/>
        </w:tabs>
        <w:spacing w:line="446" w:lineRule="auto" w:before="158" w:after="0"/>
        <w:ind w:left="418" w:right="1604" w:firstLine="422"/>
        <w:jc w:val="left"/>
        <w:rPr>
          <w:sz w:val="21"/>
        </w:rPr>
      </w:pPr>
      <w:r>
        <w:rPr>
          <w:color w:val="333333"/>
          <w:spacing w:val="-3"/>
          <w:sz w:val="21"/>
        </w:rPr>
        <w:t>一、二级耐火等级公共建筑内的安全出口全部直通室外确有困难的防火分区，可利用通向相邻防火分区的甲级防火门作为安全出口，但应符合下列要求：</w:t>
      </w:r>
      <w:r>
        <w:rPr>
          <w:color w:val="333333"/>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color w:val="333333"/>
        </w:rPr>
        <w:t>利用通向相邻防火分区的甲级防火门作为安全出口时，应采用防火墙与相邻防火分区进行分隔； </w:t>
      </w:r>
    </w:p>
    <w:p>
      <w:pPr>
        <w:pStyle w:val="BodyText"/>
        <w:spacing w:line="439" w:lineRule="auto"/>
        <w:ind w:left="418" w:right="1453" w:firstLine="419"/>
      </w:pPr>
      <w:r>
        <w:rPr>
          <w:color w:val="333333"/>
          <w:w w:val="100"/>
        </w:rPr>
        <w:t> </w:t>
      </w:r>
      <w:r>
        <w:rPr>
          <w:color w:val="333333"/>
          <w:spacing w:val="-10"/>
        </w:rPr>
        <w:t>建筑面积大于 </w:t>
      </w:r>
      <w:r>
        <w:rPr>
          <w:color w:val="333333"/>
        </w:rPr>
        <w:t>1000m</w:t>
      </w:r>
      <w:r>
        <w:rPr>
          <w:color w:val="333333"/>
          <w:position w:val="11"/>
          <w:sz w:val="11"/>
        </w:rPr>
        <w:t>2</w:t>
      </w:r>
      <w:r>
        <w:rPr>
          <w:color w:val="333333"/>
          <w:sz w:val="11"/>
        </w:rPr>
        <w:t> </w:t>
      </w:r>
      <w:r>
        <w:rPr>
          <w:color w:val="333333"/>
          <w:spacing w:val="-6"/>
        </w:rPr>
        <w:t>的防火分区，直通室外的安全出口不应少于 </w:t>
      </w:r>
      <w:r>
        <w:rPr>
          <w:color w:val="333333"/>
        </w:rPr>
        <w:t>2</w:t>
      </w:r>
      <w:r>
        <w:rPr>
          <w:color w:val="333333"/>
          <w:spacing w:val="-2"/>
        </w:rPr>
        <w:t> 个；建筑面积不大于1000m</w:t>
      </w:r>
      <w:r>
        <w:rPr>
          <w:color w:val="333333"/>
          <w:spacing w:val="-2"/>
          <w:position w:val="11"/>
          <w:sz w:val="11"/>
        </w:rPr>
        <w:t>2</w:t>
      </w:r>
      <w:r>
        <w:rPr>
          <w:color w:val="333333"/>
          <w:spacing w:val="-2"/>
          <w:sz w:val="11"/>
        </w:rPr>
        <w:t> </w:t>
      </w:r>
      <w:r>
        <w:rPr>
          <w:color w:val="333333"/>
          <w:spacing w:val="-6"/>
        </w:rPr>
        <w:t>的防火分区，直通室外的安全出口不应少于 </w:t>
      </w:r>
      <w:r>
        <w:rPr>
          <w:color w:val="333333"/>
        </w:rPr>
        <w:t>1</w:t>
      </w:r>
      <w:r>
        <w:rPr>
          <w:color w:val="333333"/>
          <w:spacing w:val="-2"/>
        </w:rPr>
        <w:t> 个；</w:t>
      </w:r>
      <w:r>
        <w:rPr>
          <w:color w:val="333333"/>
        </w:rPr>
        <w:t> </w:t>
      </w:r>
    </w:p>
    <w:p>
      <w:pPr>
        <w:pStyle w:val="BodyText"/>
        <w:spacing w:line="446" w:lineRule="auto"/>
        <w:ind w:left="418" w:right="1503" w:firstLine="419"/>
        <w:jc w:val="both"/>
      </w:pPr>
      <w:r>
        <w:rPr>
          <w:color w:val="333333"/>
          <w:spacing w:val="-5"/>
        </w:rPr>
        <w:t>该防火分区通向相邻防火分区的疏散净宽度不应大于其按本规范第 </w:t>
      </w:r>
      <w:r>
        <w:rPr>
          <w:color w:val="333333"/>
        </w:rPr>
        <w:t>5.5.21</w:t>
      </w:r>
      <w:r>
        <w:rPr>
          <w:color w:val="333333"/>
          <w:spacing w:val="-8"/>
        </w:rPr>
        <w:t> 条规定计算所需</w:t>
      </w:r>
      <w:r>
        <w:rPr>
          <w:color w:val="333333"/>
          <w:spacing w:val="-11"/>
        </w:rPr>
        <w:t>疏散总净宽度的 </w:t>
      </w:r>
      <w:r>
        <w:rPr>
          <w:color w:val="333333"/>
        </w:rPr>
        <w:t>30</w:t>
      </w:r>
      <w:r>
        <w:rPr>
          <w:color w:val="333333"/>
          <w:spacing w:val="-5"/>
        </w:rPr>
        <w:t>%，建筑各层直通室外的安全出口总净宽度不应小于按照本规范第 </w:t>
      </w:r>
      <w:r>
        <w:rPr>
          <w:color w:val="333333"/>
        </w:rPr>
        <w:t>5.5.21</w:t>
      </w:r>
      <w:r>
        <w:rPr>
          <w:color w:val="333333"/>
          <w:spacing w:val="8"/>
        </w:rPr>
        <w:t> 条</w:t>
      </w:r>
      <w:r>
        <w:rPr>
          <w:color w:val="333333"/>
          <w:spacing w:val="-3"/>
        </w:rPr>
        <w:t>规定计算所需疏散总净宽度。</w:t>
      </w:r>
      <w:r>
        <w:rPr>
          <w:color w:val="333333"/>
        </w:rPr>
        <w:t> </w:t>
      </w:r>
    </w:p>
    <w:p>
      <w:pPr>
        <w:pStyle w:val="ListParagraph"/>
        <w:numPr>
          <w:ilvl w:val="2"/>
          <w:numId w:val="263"/>
        </w:numPr>
        <w:tabs>
          <w:tab w:pos="1478" w:val="left" w:leader="none"/>
        </w:tabs>
        <w:spacing w:line="446" w:lineRule="auto" w:before="0" w:after="0"/>
        <w:ind w:left="418" w:right="1498" w:firstLine="422"/>
        <w:jc w:val="both"/>
        <w:rPr>
          <w:sz w:val="21"/>
        </w:rPr>
      </w:pPr>
      <w:r>
        <w:rPr>
          <w:color w:val="333333"/>
          <w:spacing w:val="-3"/>
          <w:sz w:val="21"/>
        </w:rPr>
        <w:t>高层公共建筑的疏散楼梯，当分散设置确有困难且从任一疏散门至最近疏散楼梯间</w:t>
      </w:r>
      <w:r>
        <w:rPr>
          <w:color w:val="333333"/>
          <w:spacing w:val="-9"/>
          <w:sz w:val="21"/>
        </w:rPr>
        <w:t>入口的距离不大于 </w:t>
      </w:r>
      <w:r>
        <w:rPr>
          <w:color w:val="333333"/>
          <w:sz w:val="21"/>
        </w:rPr>
        <w:t>10m</w:t>
      </w:r>
      <w:r>
        <w:rPr>
          <w:color w:val="333333"/>
          <w:spacing w:val="-3"/>
          <w:sz w:val="21"/>
        </w:rPr>
        <w:t> 时，可采用剪刀楼梯间，但应符合下列规定： </w:t>
      </w:r>
      <w:r>
        <w:rPr>
          <w:color w:val="333333"/>
          <w:spacing w:val="-2"/>
          <w:sz w:val="21"/>
        </w:rPr>
        <w:t> </w:t>
      </w:r>
      <w:r>
        <w:rPr>
          <w:color w:val="333333"/>
          <w:w w:val="100"/>
          <w:sz w:val="21"/>
        </w:rPr>
        <w:t> </w:t>
      </w:r>
      <w:r>
        <w:rPr>
          <w:color w:val="333333"/>
          <w:sz w:val="21"/>
        </w:rPr>
        <w:t> </w:t>
      </w:r>
      <w:r>
        <w:rPr>
          <w:color w:val="333333"/>
          <w:spacing w:val="-3"/>
          <w:w w:val="100"/>
          <w:sz w:val="21"/>
        </w:rPr>
        <w:t> </w:t>
      </w:r>
      <w:r>
        <w:rPr>
          <w:color w:val="333333"/>
          <w:w w:val="100"/>
          <w:sz w:val="21"/>
        </w:rPr>
        <w:t> </w:t>
      </w:r>
    </w:p>
    <w:p>
      <w:pPr>
        <w:pStyle w:val="BodyText"/>
        <w:ind w:left="838"/>
      </w:pPr>
      <w:r>
        <w:rPr>
          <w:color w:val="333333"/>
          <w:w w:val="100"/>
        </w:rPr>
        <w:t> </w:t>
      </w:r>
      <w:r>
        <w:rPr>
          <w:color w:val="333333"/>
        </w:rPr>
        <w:t>楼梯间应为防烟楼梯间； </w:t>
      </w:r>
    </w:p>
    <w:p>
      <w:pPr>
        <w:pStyle w:val="BodyText"/>
        <w:spacing w:before="5"/>
        <w:rPr>
          <w:sz w:val="17"/>
        </w:rPr>
      </w:pPr>
    </w:p>
    <w:p>
      <w:pPr>
        <w:pStyle w:val="BodyText"/>
        <w:spacing w:before="1"/>
        <w:ind w:left="838"/>
      </w:pPr>
      <w:r>
        <w:rPr>
          <w:color w:val="333333"/>
        </w:rPr>
        <w:t>梯段之间应设置耐火极限不低于 l.00h 的防火隔墙； </w:t>
      </w:r>
    </w:p>
    <w:p>
      <w:pPr>
        <w:pStyle w:val="BodyText"/>
        <w:spacing w:before="12"/>
        <w:rPr>
          <w:sz w:val="17"/>
        </w:rPr>
      </w:pPr>
    </w:p>
    <w:p>
      <w:pPr>
        <w:pStyle w:val="BodyText"/>
        <w:ind w:left="838"/>
      </w:pPr>
      <w:r>
        <w:rPr>
          <w:color w:val="333333"/>
        </w:rPr>
        <w:t>楼梯间的前室应分别设置。 </w:t>
      </w:r>
    </w:p>
    <w:p>
      <w:pPr>
        <w:pStyle w:val="BodyText"/>
        <w:spacing w:before="2"/>
        <w:rPr>
          <w:sz w:val="18"/>
        </w:rPr>
      </w:pPr>
    </w:p>
    <w:p>
      <w:pPr>
        <w:pStyle w:val="ListParagraph"/>
        <w:numPr>
          <w:ilvl w:val="2"/>
          <w:numId w:val="263"/>
        </w:numPr>
        <w:tabs>
          <w:tab w:pos="1478" w:val="left" w:leader="none"/>
        </w:tabs>
        <w:spacing w:line="444" w:lineRule="auto" w:before="0" w:after="0"/>
        <w:ind w:left="418" w:right="1443" w:firstLine="422"/>
        <w:jc w:val="left"/>
        <w:rPr>
          <w:sz w:val="21"/>
        </w:rPr>
      </w:pPr>
      <w:r>
        <w:rPr>
          <w:color w:val="333333"/>
          <w:spacing w:val="-11"/>
          <w:sz w:val="21"/>
        </w:rPr>
        <w:t>设置不少于 </w:t>
      </w:r>
      <w:r>
        <w:rPr>
          <w:color w:val="333333"/>
          <w:sz w:val="21"/>
        </w:rPr>
        <w:t>2</w:t>
      </w:r>
      <w:r>
        <w:rPr>
          <w:color w:val="333333"/>
          <w:spacing w:val="-3"/>
          <w:sz w:val="21"/>
        </w:rPr>
        <w:t> 部疏散楼梯的一、二级耐火等级多层公共建筑，如顶层局部升高，当</w:t>
      </w:r>
      <w:r>
        <w:rPr>
          <w:color w:val="333333"/>
          <w:spacing w:val="-8"/>
          <w:sz w:val="21"/>
        </w:rPr>
        <w:t>高出部分的层数不超过 </w:t>
      </w:r>
      <w:r>
        <w:rPr>
          <w:color w:val="333333"/>
          <w:spacing w:val="-3"/>
          <w:sz w:val="21"/>
        </w:rPr>
        <w:t>2</w:t>
      </w:r>
      <w:r>
        <w:rPr>
          <w:color w:val="333333"/>
          <w:spacing w:val="-8"/>
          <w:sz w:val="21"/>
        </w:rPr>
        <w:t> 层、人数之和不超过 </w:t>
      </w:r>
      <w:r>
        <w:rPr>
          <w:color w:val="333333"/>
          <w:sz w:val="21"/>
        </w:rPr>
        <w:t>50</w:t>
      </w:r>
      <w:r>
        <w:rPr>
          <w:color w:val="333333"/>
          <w:spacing w:val="-7"/>
          <w:sz w:val="21"/>
        </w:rPr>
        <w:t> 人且每层建筑面积不大于 </w:t>
      </w:r>
      <w:r>
        <w:rPr>
          <w:color w:val="333333"/>
          <w:sz w:val="21"/>
        </w:rPr>
        <w:t>200m</w:t>
      </w:r>
      <w:r>
        <w:rPr>
          <w:color w:val="333333"/>
          <w:position w:val="11"/>
          <w:sz w:val="11"/>
        </w:rPr>
        <w:t>2</w:t>
      </w:r>
      <w:r>
        <w:rPr>
          <w:color w:val="333333"/>
          <w:spacing w:val="2"/>
          <w:sz w:val="11"/>
        </w:rPr>
        <w:t>  </w:t>
      </w:r>
      <w:r>
        <w:rPr>
          <w:color w:val="333333"/>
          <w:spacing w:val="-3"/>
          <w:sz w:val="21"/>
        </w:rPr>
        <w:t>时，高出部</w:t>
      </w:r>
      <w:r>
        <w:rPr>
          <w:color w:val="333333"/>
          <w:spacing w:val="-12"/>
          <w:sz w:val="21"/>
        </w:rPr>
        <w:t>分可设置 </w:t>
      </w:r>
      <w:r>
        <w:rPr>
          <w:color w:val="333333"/>
          <w:spacing w:val="-3"/>
          <w:sz w:val="21"/>
        </w:rPr>
        <w:t>1</w:t>
      </w:r>
      <w:r>
        <w:rPr>
          <w:color w:val="333333"/>
          <w:spacing w:val="-6"/>
          <w:sz w:val="21"/>
        </w:rPr>
        <w:t> 部疏散楼梯，但至少应另外设置 </w:t>
      </w:r>
      <w:r>
        <w:rPr>
          <w:color w:val="333333"/>
          <w:sz w:val="21"/>
        </w:rPr>
        <w:t>1</w:t>
      </w:r>
      <w:r>
        <w:rPr>
          <w:color w:val="333333"/>
          <w:spacing w:val="-9"/>
          <w:sz w:val="21"/>
        </w:rPr>
        <w:t> 个直通建筑主体上人平屋面的安全出口，且上人</w:t>
      </w:r>
      <w:r>
        <w:rPr>
          <w:color w:val="333333"/>
          <w:spacing w:val="-5"/>
          <w:sz w:val="21"/>
        </w:rPr>
        <w:t>屋面应符合人员安全疏散的要求。</w:t>
      </w:r>
      <w:r>
        <w:rPr>
          <w:color w:val="333333"/>
          <w:spacing w:val="-3"/>
          <w:sz w:val="21"/>
        </w:rPr>
        <w:t> </w:t>
      </w:r>
      <w:r>
        <w:rPr>
          <w:color w:val="333333"/>
          <w:sz w:val="21"/>
        </w:rPr>
        <w:t>  </w:t>
      </w:r>
      <w:r>
        <w:rPr>
          <w:color w:val="333333"/>
          <w:w w:val="100"/>
          <w:sz w:val="21"/>
        </w:rPr>
        <w:t> </w:t>
      </w:r>
      <w:r>
        <w:rPr>
          <w:color w:val="333333"/>
          <w:sz w:val="21"/>
        </w:rPr>
        <w:t> </w:t>
      </w:r>
      <w:r>
        <w:rPr>
          <w:color w:val="333333"/>
          <w:spacing w:val="-3"/>
          <w:w w:val="100"/>
          <w:sz w:val="21"/>
        </w:rPr>
        <w:t> </w:t>
      </w:r>
      <w:r>
        <w:rPr>
          <w:color w:val="333333"/>
          <w:w w:val="100"/>
          <w:sz w:val="21"/>
        </w:rPr>
        <w:t> </w:t>
      </w:r>
      <w:r>
        <w:rPr>
          <w:color w:val="333333"/>
          <w:spacing w:val="-2"/>
          <w:sz w:val="21"/>
        </w:rPr>
        <w:t> </w:t>
      </w:r>
      <w:r>
        <w:rPr>
          <w:color w:val="333333"/>
          <w:w w:val="100"/>
          <w:sz w:val="21"/>
        </w:rPr>
        <w:t> </w:t>
      </w:r>
    </w:p>
    <w:p>
      <w:pPr>
        <w:pStyle w:val="ListParagraph"/>
        <w:numPr>
          <w:ilvl w:val="2"/>
          <w:numId w:val="263"/>
        </w:numPr>
        <w:tabs>
          <w:tab w:pos="1478" w:val="left" w:leader="none"/>
        </w:tabs>
        <w:spacing w:line="446" w:lineRule="auto" w:before="0" w:after="0"/>
        <w:ind w:left="418" w:right="1447" w:firstLine="422"/>
        <w:jc w:val="left"/>
        <w:rPr>
          <w:sz w:val="21"/>
        </w:rPr>
      </w:pPr>
      <w:r>
        <w:rPr>
          <w:color w:val="333333"/>
          <w:spacing w:val="-6"/>
          <w:sz w:val="21"/>
        </w:rPr>
        <w:t>一类高层公共建筑和建筑高度大于 </w:t>
      </w:r>
      <w:r>
        <w:rPr>
          <w:color w:val="333333"/>
          <w:sz w:val="21"/>
        </w:rPr>
        <w:t>32m</w:t>
      </w:r>
      <w:r>
        <w:rPr>
          <w:color w:val="333333"/>
          <w:spacing w:val="-3"/>
          <w:sz w:val="21"/>
        </w:rPr>
        <w:t> 的二类高层公共建筑，其疏散楼梯应采用防烟楼梯间。</w:t>
      </w:r>
      <w:r>
        <w:rPr>
          <w:color w:val="333333"/>
          <w:sz w:val="21"/>
        </w:rPr>
        <w:t> </w:t>
      </w:r>
    </w:p>
    <w:p>
      <w:pPr>
        <w:pStyle w:val="BodyText"/>
        <w:ind w:left="838"/>
      </w:pPr>
      <w:r>
        <w:rPr>
          <w:color w:val="333333"/>
        </w:rPr>
        <w:t>裙房和建筑高度不大于 32m 的二类高层公共建筑，其疏散楼梯应采用封闭楼梯间。 </w:t>
      </w:r>
    </w:p>
    <w:p>
      <w:pPr>
        <w:pStyle w:val="BodyText"/>
        <w:spacing w:before="11"/>
        <w:rPr>
          <w:sz w:val="17"/>
        </w:rPr>
      </w:pPr>
    </w:p>
    <w:p>
      <w:pPr>
        <w:pStyle w:val="BodyText"/>
        <w:spacing w:line="446" w:lineRule="auto"/>
        <w:ind w:left="418" w:right="1609" w:firstLine="419"/>
      </w:pPr>
      <w:r>
        <w:rPr>
          <w:color w:val="333333"/>
        </w:rPr>
        <w:t>注：当裙房与高层建筑主体之间设置防火墙时，裙房的疏散楼梯可按本规范有关单、多层建筑的要求确定。 </w:t>
      </w:r>
    </w:p>
    <w:p>
      <w:pPr>
        <w:pStyle w:val="ListParagraph"/>
        <w:numPr>
          <w:ilvl w:val="2"/>
          <w:numId w:val="263"/>
        </w:numPr>
        <w:tabs>
          <w:tab w:pos="1478" w:val="left" w:leader="none"/>
        </w:tabs>
        <w:spacing w:line="446" w:lineRule="auto" w:before="0" w:after="0"/>
        <w:ind w:left="418" w:right="1496" w:firstLine="422"/>
        <w:jc w:val="left"/>
        <w:rPr>
          <w:sz w:val="21"/>
        </w:rPr>
      </w:pPr>
      <w:r>
        <w:rPr>
          <w:color w:val="333333"/>
          <w:spacing w:val="-3"/>
          <w:sz w:val="21"/>
        </w:rPr>
        <w:t>下列多层公共建筑的疏散楼梯，除与敞开式外廊直接相连的楼梯间外，均应采用封闭楼梯间：</w:t>
      </w:r>
      <w:r>
        <w:rPr>
          <w:color w:val="333333"/>
          <w:sz w:val="21"/>
        </w:rPr>
        <w:t> </w:t>
      </w:r>
    </w:p>
    <w:p>
      <w:pPr>
        <w:pStyle w:val="BodyText"/>
        <w:spacing w:line="446" w:lineRule="auto"/>
        <w:ind w:left="838" w:right="5917"/>
      </w:pPr>
      <w:r>
        <w:rPr>
          <w:color w:val="333333"/>
        </w:rPr>
        <w:t>医疗建筑、旅馆及类似使用功能的建筑； 设置歌舞娱乐放映游艺场所的建筑； </w:t>
      </w:r>
    </w:p>
    <w:p>
      <w:pPr>
        <w:pStyle w:val="BodyText"/>
        <w:spacing w:line="446" w:lineRule="auto"/>
        <w:ind w:left="838" w:right="3923"/>
      </w:pPr>
      <w:r>
        <w:rPr>
          <w:color w:val="333333"/>
          <w:w w:val="100"/>
        </w:rPr>
        <w:t> </w:t>
      </w:r>
      <w:r>
        <w:rPr>
          <w:color w:val="333333"/>
          <w:spacing w:val="-3"/>
        </w:rPr>
        <w:t>商店、图书馆、展览建筑、会议中心及类似使用功能的建筑； </w:t>
      </w:r>
      <w:r>
        <w:rPr>
          <w:color w:val="333333"/>
        </w:rPr>
        <w:t>6</w:t>
      </w:r>
      <w:r>
        <w:rPr>
          <w:color w:val="333333"/>
          <w:spacing w:val="-3"/>
        </w:rPr>
        <w:t> 层及以上的其他建筑。</w:t>
      </w:r>
      <w:r>
        <w:rPr>
          <w:color w:val="333333"/>
        </w:rPr>
        <w:t> </w:t>
      </w:r>
    </w:p>
    <w:p>
      <w:pPr>
        <w:spacing w:after="0" w:line="446" w:lineRule="auto"/>
        <w:sectPr>
          <w:pgSz w:w="11910" w:h="16850"/>
          <w:pgMar w:header="0" w:footer="1239" w:top="1220" w:bottom="1420" w:left="1260" w:right="0"/>
        </w:sectPr>
      </w:pPr>
    </w:p>
    <w:p>
      <w:pPr>
        <w:pStyle w:val="ListParagraph"/>
        <w:numPr>
          <w:ilvl w:val="2"/>
          <w:numId w:val="265"/>
        </w:numPr>
        <w:tabs>
          <w:tab w:pos="1478" w:val="left" w:leader="none"/>
        </w:tabs>
        <w:spacing w:line="446" w:lineRule="auto" w:before="47" w:after="0"/>
        <w:ind w:left="418" w:right="1601" w:firstLine="422"/>
        <w:jc w:val="both"/>
        <w:rPr>
          <w:sz w:val="21"/>
        </w:rPr>
      </w:pPr>
      <w:r>
        <w:rPr>
          <w:b/>
          <w:color w:val="333333"/>
          <w:sz w:val="21"/>
        </w:rPr>
        <w:t>A</w:t>
      </w:r>
      <w:r>
        <w:rPr>
          <w:b/>
          <w:color w:val="333333"/>
          <w:spacing w:val="35"/>
          <w:sz w:val="21"/>
        </w:rPr>
        <w:t> </w:t>
      </w:r>
      <w:r>
        <w:rPr>
          <w:color w:val="333333"/>
          <w:spacing w:val="-3"/>
          <w:sz w:val="21"/>
        </w:rPr>
        <w:t>老年人照料设施的疏散楼梯或疏散楼梯间宜与敞开式外廊直接连通，不能与敞开</w:t>
      </w:r>
      <w:r>
        <w:rPr>
          <w:color w:val="333333"/>
          <w:spacing w:val="-5"/>
          <w:sz w:val="21"/>
        </w:rPr>
        <w:t>式外廊直接连通的室内疏散楼梯应采用封闭楼梯间。建筑高度大于 </w:t>
      </w:r>
      <w:r>
        <w:rPr>
          <w:color w:val="333333"/>
          <w:sz w:val="21"/>
        </w:rPr>
        <w:t>24m</w:t>
      </w:r>
      <w:r>
        <w:rPr>
          <w:color w:val="333333"/>
          <w:spacing w:val="-7"/>
          <w:sz w:val="21"/>
        </w:rPr>
        <w:t> 的老年人照料设施，其</w:t>
      </w:r>
      <w:r>
        <w:rPr>
          <w:color w:val="333333"/>
          <w:spacing w:val="-5"/>
          <w:sz w:val="21"/>
        </w:rPr>
        <w:t>室内疏散楼梯应采用防烟楼梯间。</w:t>
      </w:r>
      <w:r>
        <w:rPr>
          <w:color w:val="333333"/>
          <w:sz w:val="21"/>
        </w:rPr>
        <w:t> </w:t>
      </w:r>
    </w:p>
    <w:p>
      <w:pPr>
        <w:pStyle w:val="BodyText"/>
        <w:spacing w:line="446" w:lineRule="auto"/>
        <w:ind w:left="418" w:right="1608" w:firstLine="419"/>
        <w:jc w:val="both"/>
      </w:pPr>
      <w:r>
        <w:rPr>
          <w:color w:val="333333"/>
          <w:spacing w:val="-9"/>
        </w:rPr>
        <w:t>建筑高度大于 </w:t>
      </w:r>
      <w:r>
        <w:rPr>
          <w:color w:val="333333"/>
        </w:rPr>
        <w:t>32m</w:t>
      </w:r>
      <w:r>
        <w:rPr>
          <w:color w:val="333333"/>
          <w:spacing w:val="-11"/>
        </w:rPr>
        <w:t> 的老年人照料设施，宜在 </w:t>
      </w:r>
      <w:r>
        <w:rPr>
          <w:color w:val="333333"/>
        </w:rPr>
        <w:t>32m</w:t>
      </w:r>
      <w:r>
        <w:rPr>
          <w:color w:val="333333"/>
          <w:spacing w:val="-8"/>
        </w:rPr>
        <w:t> 以上部分增设能连通老年人居室和公共活</w:t>
      </w:r>
      <w:r>
        <w:rPr>
          <w:color w:val="333333"/>
          <w:spacing w:val="-5"/>
        </w:rPr>
        <w:t>动场所的连廊，各层连廊应直接与疏散楼梯、安全出口或室外避难场地连通。 </w:t>
      </w:r>
    </w:p>
    <w:p>
      <w:pPr>
        <w:pStyle w:val="ListParagraph"/>
        <w:numPr>
          <w:ilvl w:val="2"/>
          <w:numId w:val="265"/>
        </w:numPr>
        <w:tabs>
          <w:tab w:pos="1478" w:val="left" w:leader="none"/>
        </w:tabs>
        <w:spacing w:line="446" w:lineRule="auto" w:before="0" w:after="0"/>
        <w:ind w:left="418" w:right="1496" w:firstLine="422"/>
        <w:jc w:val="left"/>
        <w:rPr>
          <w:sz w:val="21"/>
        </w:rPr>
      </w:pPr>
      <w:r>
        <w:rPr>
          <w:color w:val="333333"/>
          <w:spacing w:val="-3"/>
          <w:sz w:val="21"/>
        </w:rPr>
        <w:t>公共建筑内的客、货电梯宜设置电梯候梯厅，不宜直接设置在营业厅、展览厅、多功能厅等场所内。老年人照料设施内的非消防电梯应采取防烟措施，当火灾情况下需用于辅助人员疏散时，该电梯及其设置应符合本规范有关消防电梯及其设置的要求。</w:t>
      </w:r>
      <w:r>
        <w:rPr>
          <w:color w:val="333333"/>
          <w:sz w:val="21"/>
        </w:rPr>
        <w:t> </w:t>
      </w:r>
    </w:p>
    <w:p>
      <w:pPr>
        <w:pStyle w:val="ListParagraph"/>
        <w:numPr>
          <w:ilvl w:val="2"/>
          <w:numId w:val="265"/>
        </w:numPr>
        <w:tabs>
          <w:tab w:pos="1478" w:val="left" w:leader="none"/>
        </w:tabs>
        <w:spacing w:line="446" w:lineRule="auto" w:before="0" w:after="0"/>
        <w:ind w:left="418" w:right="1448" w:firstLine="422"/>
        <w:jc w:val="left"/>
        <w:rPr>
          <w:sz w:val="21"/>
        </w:rPr>
      </w:pPr>
      <w:r>
        <w:rPr>
          <w:color w:val="333333"/>
          <w:spacing w:val="-5"/>
          <w:sz w:val="21"/>
        </w:rPr>
        <w:t>公共建筑内房间的疏散门数量应经计算确定且不应少于 </w:t>
      </w:r>
      <w:r>
        <w:rPr>
          <w:color w:val="333333"/>
          <w:sz w:val="21"/>
        </w:rPr>
        <w:t>2</w:t>
      </w:r>
      <w:r>
        <w:rPr>
          <w:color w:val="333333"/>
          <w:spacing w:val="-2"/>
          <w:sz w:val="21"/>
        </w:rPr>
        <w:t> 个。除托儿所、幼儿园、</w:t>
      </w:r>
      <w:r>
        <w:rPr>
          <w:color w:val="333333"/>
          <w:spacing w:val="-3"/>
          <w:sz w:val="21"/>
        </w:rPr>
        <w:t>老年人照料设施、医疗建筑、教学建筑内位于走道尽端的房间外，符合下列条件之一的房间可 </w:t>
      </w:r>
      <w:r>
        <w:rPr>
          <w:color w:val="333333"/>
          <w:spacing w:val="-20"/>
          <w:sz w:val="21"/>
        </w:rPr>
        <w:t>设置 </w:t>
      </w:r>
      <w:r>
        <w:rPr>
          <w:color w:val="333333"/>
          <w:spacing w:val="-3"/>
          <w:sz w:val="21"/>
        </w:rPr>
        <w:t>1 个疏散门：</w:t>
      </w:r>
      <w:r>
        <w:rPr>
          <w:color w:val="333333"/>
          <w:sz w:val="21"/>
        </w:rPr>
        <w:t> </w:t>
      </w:r>
    </w:p>
    <w:p>
      <w:pPr>
        <w:pStyle w:val="BodyText"/>
        <w:rPr>
          <w:sz w:val="20"/>
        </w:rPr>
      </w:pPr>
    </w:p>
    <w:p>
      <w:pPr>
        <w:pStyle w:val="BodyText"/>
        <w:rPr>
          <w:sz w:val="20"/>
        </w:rPr>
      </w:pPr>
    </w:p>
    <w:p>
      <w:pPr>
        <w:pStyle w:val="BodyText"/>
        <w:rPr>
          <w:sz w:val="20"/>
        </w:rPr>
      </w:pPr>
    </w:p>
    <w:p>
      <w:pPr>
        <w:pStyle w:val="BodyText"/>
        <w:spacing w:before="9"/>
        <w:rPr>
          <w:sz w:val="17"/>
        </w:rPr>
      </w:pPr>
    </w:p>
    <w:p>
      <w:pPr>
        <w:pStyle w:val="BodyText"/>
        <w:spacing w:line="436" w:lineRule="auto"/>
        <w:ind w:left="418" w:right="1609" w:firstLine="419"/>
      </w:pPr>
      <w:r>
        <w:rPr>
          <w:color w:val="333333"/>
          <w:spacing w:val="-3"/>
        </w:rPr>
        <w:t>位于两个安全出口之间或袋形走道两侧的房间，对于托儿所、幼儿园、老年人照料设施， </w:t>
      </w:r>
      <w:r>
        <w:rPr>
          <w:color w:val="333333"/>
          <w:spacing w:val="-6"/>
        </w:rPr>
        <w:t>建筑面积不大于 </w:t>
      </w:r>
      <w:r>
        <w:rPr>
          <w:color w:val="333333"/>
        </w:rPr>
        <w:t>50m</w:t>
      </w:r>
      <w:r>
        <w:rPr>
          <w:color w:val="333333"/>
          <w:position w:val="11"/>
          <w:sz w:val="11"/>
        </w:rPr>
        <w:t>2</w:t>
      </w:r>
      <w:r>
        <w:rPr>
          <w:color w:val="333333"/>
          <w:spacing w:val="-5"/>
        </w:rPr>
        <w:t>；对于医疗建筑、教学建筑，建筑面积不大于 </w:t>
      </w:r>
      <w:r>
        <w:rPr>
          <w:color w:val="333333"/>
        </w:rPr>
        <w:t>75m</w:t>
      </w:r>
      <w:r>
        <w:rPr>
          <w:color w:val="333333"/>
          <w:position w:val="11"/>
          <w:sz w:val="11"/>
        </w:rPr>
        <w:t>2</w:t>
      </w:r>
      <w:r>
        <w:rPr>
          <w:color w:val="333333"/>
          <w:spacing w:val="-3"/>
        </w:rPr>
        <w:t>；对于其他建筑或场</w:t>
      </w:r>
      <w:r>
        <w:rPr>
          <w:color w:val="333333"/>
          <w:spacing w:val="-8"/>
        </w:rPr>
        <w:t>所，建筑面积不大于 </w:t>
      </w:r>
      <w:r>
        <w:rPr>
          <w:color w:val="333333"/>
        </w:rPr>
        <w:t>120m</w:t>
      </w:r>
      <w:r>
        <w:rPr>
          <w:color w:val="333333"/>
          <w:position w:val="11"/>
          <w:sz w:val="11"/>
        </w:rPr>
        <w:t>2</w:t>
      </w:r>
      <w:r>
        <w:rPr>
          <w:color w:val="333333"/>
        </w:rPr>
        <w:t>；  </w:t>
      </w:r>
      <w:r>
        <w:rPr>
          <w:color w:val="333333"/>
          <w:w w:val="100"/>
        </w:rPr>
        <w:t> </w:t>
      </w:r>
      <w:r>
        <w:rPr>
          <w:color w:val="333333"/>
          <w:spacing w:val="-2"/>
        </w:rPr>
        <w:t> </w:t>
      </w:r>
      <w:r>
        <w:rPr>
          <w:color w:val="333333"/>
          <w:spacing w:val="-3"/>
          <w:w w:val="100"/>
        </w:rPr>
        <w:t> </w:t>
      </w:r>
      <w:r>
        <w:rPr>
          <w:color w:val="333333"/>
          <w:w w:val="100"/>
        </w:rPr>
        <w:t> </w:t>
      </w:r>
    </w:p>
    <w:p>
      <w:pPr>
        <w:pStyle w:val="BodyText"/>
        <w:spacing w:line="441" w:lineRule="auto" w:before="1"/>
        <w:ind w:left="418" w:right="1447" w:firstLine="419"/>
      </w:pPr>
      <w:r>
        <w:rPr>
          <w:color w:val="333333"/>
          <w:spacing w:val="-6"/>
        </w:rPr>
        <w:t>位于走道尽端的房间，建筑面积小于 </w:t>
      </w:r>
      <w:r>
        <w:rPr>
          <w:color w:val="333333"/>
        </w:rPr>
        <w:t>50m</w:t>
      </w:r>
      <w:r>
        <w:rPr>
          <w:color w:val="333333"/>
          <w:position w:val="11"/>
          <w:sz w:val="11"/>
        </w:rPr>
        <w:t>2</w:t>
      </w:r>
      <w:r>
        <w:rPr>
          <w:color w:val="333333"/>
          <w:sz w:val="11"/>
        </w:rPr>
        <w:t> </w:t>
      </w:r>
      <w:r>
        <w:rPr>
          <w:color w:val="333333"/>
          <w:spacing w:val="-7"/>
        </w:rPr>
        <w:t>且疏散门的净宽度不小于 </w:t>
      </w:r>
      <w:r>
        <w:rPr>
          <w:color w:val="333333"/>
        </w:rPr>
        <w:t>0.90m</w:t>
      </w:r>
      <w:r>
        <w:rPr>
          <w:color w:val="333333"/>
          <w:spacing w:val="-2"/>
        </w:rPr>
        <w:t>，或由房间内任</w:t>
      </w:r>
      <w:r>
        <w:rPr>
          <w:color w:val="333333"/>
          <w:spacing w:val="-6"/>
        </w:rPr>
        <w:t>一点至疏散门的直线距离不大于 </w:t>
      </w:r>
      <w:r>
        <w:rPr>
          <w:color w:val="333333"/>
        </w:rPr>
        <w:t>15m</w:t>
      </w:r>
      <w:r>
        <w:rPr>
          <w:color w:val="333333"/>
          <w:spacing w:val="-7"/>
        </w:rPr>
        <w:t>、建筑面积不大于 </w:t>
      </w:r>
      <w:r>
        <w:rPr>
          <w:color w:val="333333"/>
        </w:rPr>
        <w:t>200m</w:t>
      </w:r>
      <w:r>
        <w:rPr>
          <w:color w:val="333333"/>
          <w:position w:val="11"/>
          <w:sz w:val="11"/>
        </w:rPr>
        <w:t>2</w:t>
      </w:r>
      <w:r>
        <w:rPr>
          <w:color w:val="333333"/>
          <w:spacing w:val="4"/>
          <w:sz w:val="11"/>
        </w:rPr>
        <w:t>   </w:t>
      </w:r>
      <w:r>
        <w:rPr>
          <w:color w:val="333333"/>
          <w:spacing w:val="-3"/>
        </w:rPr>
        <w:t>且疏散门的净宽度不小于 1.40m； </w:t>
      </w:r>
      <w:r>
        <w:rPr>
          <w:color w:val="333333"/>
          <w:spacing w:val="-2"/>
        </w:rPr>
        <w:t> </w:t>
      </w:r>
      <w:r>
        <w:rPr>
          <w:color w:val="333333"/>
          <w:w w:val="100"/>
        </w:rPr>
        <w:t> </w:t>
      </w:r>
    </w:p>
    <w:p>
      <w:pPr>
        <w:pStyle w:val="BodyText"/>
        <w:spacing w:line="446" w:lineRule="auto"/>
        <w:ind w:left="840" w:right="1498" w:hanging="3"/>
      </w:pPr>
      <w:r>
        <w:rPr>
          <w:color w:val="333333"/>
          <w:w w:val="100"/>
        </w:rPr>
        <w:t> </w:t>
      </w:r>
      <w:r>
        <w:rPr>
          <w:color w:val="333333"/>
        </w:rPr>
        <w:t>歌舞娱乐放映游艺场所内建筑面积不大于 50m</w:t>
      </w:r>
      <w:r>
        <w:rPr>
          <w:color w:val="333333"/>
          <w:position w:val="11"/>
          <w:sz w:val="11"/>
        </w:rPr>
        <w:t>2</w:t>
      </w:r>
      <w:r>
        <w:rPr>
          <w:color w:val="333333"/>
          <w:sz w:val="11"/>
        </w:rPr>
        <w:t> </w:t>
      </w:r>
      <w:r>
        <w:rPr>
          <w:color w:val="333333"/>
        </w:rPr>
        <w:t>且经常停留人数不超过 15 人的厅、室。</w:t>
      </w:r>
      <w:r>
        <w:rPr>
          <w:b/>
          <w:color w:val="333333"/>
        </w:rPr>
        <w:t>5.5.16 </w:t>
      </w:r>
      <w:r>
        <w:rPr>
          <w:color w:val="333333"/>
        </w:rPr>
        <w:t>剧场、电影院、礼堂和体育馆的观众厅或多功能厅，其疏散门的数量应经计算确定</w:t>
      </w:r>
    </w:p>
    <w:p>
      <w:pPr>
        <w:pStyle w:val="BodyText"/>
        <w:ind w:left="418"/>
      </w:pPr>
      <w:r>
        <w:rPr>
          <w:color w:val="333333"/>
        </w:rPr>
        <w:t>且不应少于 2 个，并应符合下列规定： </w:t>
      </w:r>
    </w:p>
    <w:p>
      <w:pPr>
        <w:pStyle w:val="BodyText"/>
        <w:spacing w:before="8"/>
        <w:rPr>
          <w:sz w:val="17"/>
        </w:rPr>
      </w:pPr>
    </w:p>
    <w:p>
      <w:pPr>
        <w:pStyle w:val="BodyText"/>
        <w:ind w:right="1661"/>
        <w:jc w:val="right"/>
      </w:pPr>
      <w:r>
        <w:rPr>
          <w:color w:val="333333"/>
        </w:rPr>
        <w:t>对于剧场、电影院、礼堂的观众厅或多功能厅，每个疏散门的平均疏散人数不应超过 250</w:t>
      </w:r>
    </w:p>
    <w:p>
      <w:pPr>
        <w:pStyle w:val="BodyText"/>
        <w:spacing w:before="12"/>
        <w:rPr>
          <w:sz w:val="17"/>
        </w:rPr>
      </w:pPr>
    </w:p>
    <w:p>
      <w:pPr>
        <w:pStyle w:val="BodyText"/>
        <w:ind w:right="1611"/>
        <w:jc w:val="right"/>
      </w:pPr>
      <w:r>
        <w:rPr>
          <w:color w:val="333333"/>
        </w:rPr>
        <w:t>人；当容纳人数超过 2000 人时，其超过 2000 人的部分，每个疏散门的平均疏散人数不应超过</w:t>
      </w:r>
    </w:p>
    <w:p>
      <w:pPr>
        <w:pStyle w:val="BodyText"/>
        <w:spacing w:before="2"/>
        <w:rPr>
          <w:sz w:val="18"/>
        </w:rPr>
      </w:pPr>
    </w:p>
    <w:p>
      <w:pPr>
        <w:pStyle w:val="BodyText"/>
        <w:ind w:left="418"/>
      </w:pPr>
      <w:r>
        <w:rPr>
          <w:color w:val="333333"/>
        </w:rPr>
        <w:t>400 人； </w:t>
      </w:r>
    </w:p>
    <w:p>
      <w:pPr>
        <w:pStyle w:val="BodyText"/>
        <w:rPr>
          <w:sz w:val="18"/>
        </w:rPr>
      </w:pPr>
    </w:p>
    <w:p>
      <w:pPr>
        <w:pStyle w:val="BodyText"/>
        <w:spacing w:line="446" w:lineRule="auto"/>
        <w:ind w:left="840" w:right="2554" w:hanging="3"/>
      </w:pPr>
      <w:r>
        <w:rPr>
          <w:color w:val="333333"/>
        </w:rPr>
        <w:t>对于体育馆的观众厅，每个疏散门的平均疏散人数不宜超过 400 人～700 人。</w:t>
      </w:r>
      <w:r>
        <w:rPr>
          <w:b/>
          <w:color w:val="333333"/>
        </w:rPr>
        <w:t>5.5.17 </w:t>
      </w:r>
      <w:r>
        <w:rPr>
          <w:color w:val="333333"/>
        </w:rPr>
        <w:t>公共建筑的安全疏散距离应符合下列规定： </w:t>
      </w:r>
    </w:p>
    <w:p>
      <w:pPr>
        <w:spacing w:after="0" w:line="446" w:lineRule="auto"/>
        <w:sectPr>
          <w:pgSz w:w="11910" w:h="16850"/>
          <w:pgMar w:header="0" w:footer="1239" w:top="1220" w:bottom="1420" w:left="1260" w:right="0"/>
        </w:sectPr>
      </w:pPr>
    </w:p>
    <w:p>
      <w:pPr>
        <w:pStyle w:val="BodyText"/>
        <w:spacing w:before="47"/>
        <w:ind w:left="838"/>
      </w:pPr>
      <w:r>
        <w:rPr>
          <w:color w:val="333333"/>
        </w:rPr>
        <w:t>直通疏散走道的房间疏散门至最近安全出口的直线距离不应大于表 5.5.17 的规定；  </w:t>
      </w:r>
    </w:p>
    <w:p>
      <w:pPr>
        <w:pStyle w:val="BodyText"/>
        <w:spacing w:before="9"/>
        <w:rPr>
          <w:sz w:val="20"/>
        </w:rPr>
      </w:pPr>
      <w:r>
        <w:rPr/>
        <w:drawing>
          <wp:anchor distT="0" distB="0" distL="0" distR="0" allowOverlap="1" layoutInCell="1" locked="0" behindDoc="0" simplePos="0" relativeHeight="95">
            <wp:simplePos x="0" y="0"/>
            <wp:positionH relativeFrom="page">
              <wp:posOffset>894080</wp:posOffset>
            </wp:positionH>
            <wp:positionV relativeFrom="paragraph">
              <wp:posOffset>193762</wp:posOffset>
            </wp:positionV>
            <wp:extent cx="5487030" cy="3638550"/>
            <wp:effectExtent l="0" t="0" r="0" b="0"/>
            <wp:wrapTopAndBottom/>
            <wp:docPr id="217" name="image136.jpeg"/>
            <wp:cNvGraphicFramePr>
              <a:graphicFrameLocks noChangeAspect="1"/>
            </wp:cNvGraphicFramePr>
            <a:graphic>
              <a:graphicData uri="http://schemas.openxmlformats.org/drawingml/2006/picture">
                <pic:pic>
                  <pic:nvPicPr>
                    <pic:cNvPr id="218" name="image136.jpeg"/>
                    <pic:cNvPicPr/>
                  </pic:nvPicPr>
                  <pic:blipFill>
                    <a:blip r:embed="rId146" cstate="print"/>
                    <a:stretch>
                      <a:fillRect/>
                    </a:stretch>
                  </pic:blipFill>
                  <pic:spPr>
                    <a:xfrm>
                      <a:off x="0" y="0"/>
                      <a:ext cx="5487030" cy="3638550"/>
                    </a:xfrm>
                    <a:prstGeom prst="rect">
                      <a:avLst/>
                    </a:prstGeom>
                  </pic:spPr>
                </pic:pic>
              </a:graphicData>
            </a:graphic>
          </wp:anchor>
        </w:drawing>
      </w:r>
    </w:p>
    <w:p>
      <w:pPr>
        <w:pStyle w:val="BodyText"/>
        <w:rPr>
          <w:sz w:val="20"/>
        </w:rPr>
      </w:pPr>
    </w:p>
    <w:p>
      <w:pPr>
        <w:pStyle w:val="BodyText"/>
        <w:rPr>
          <w:sz w:val="20"/>
        </w:rPr>
      </w:pPr>
    </w:p>
    <w:p>
      <w:pPr>
        <w:pStyle w:val="BodyText"/>
        <w:spacing w:before="11"/>
        <w:rPr>
          <w:sz w:val="28"/>
        </w:rPr>
      </w:pPr>
    </w:p>
    <w:p>
      <w:pPr>
        <w:pStyle w:val="BodyText"/>
        <w:spacing w:line="446" w:lineRule="auto" w:before="1"/>
        <w:ind w:left="418" w:right="1609" w:firstLine="419"/>
      </w:pPr>
      <w:r>
        <w:rPr>
          <w:color w:val="333333"/>
        </w:rPr>
        <w:t>注： 1.建筑内开向敞开式外廊的房间疏散门至最近安全出口的直线距离可按本表的规定增加 5m。  </w:t>
      </w:r>
      <w:r>
        <w:rPr>
          <w:color w:val="333333"/>
          <w:w w:val="100"/>
        </w:rPr>
        <w:t> </w:t>
      </w:r>
      <w:r>
        <w:rPr>
          <w:color w:val="333333"/>
        </w:rPr>
        <w:t> </w:t>
      </w:r>
      <w:r>
        <w:rPr>
          <w:color w:val="FF0000"/>
          <w:w w:val="100"/>
        </w:rPr>
        <w:t> </w:t>
      </w:r>
    </w:p>
    <w:p>
      <w:pPr>
        <w:pStyle w:val="ListParagraph"/>
        <w:numPr>
          <w:ilvl w:val="0"/>
          <w:numId w:val="266"/>
        </w:numPr>
        <w:tabs>
          <w:tab w:pos="1051" w:val="left" w:leader="none"/>
        </w:tabs>
        <w:spacing w:line="446" w:lineRule="auto" w:before="0" w:after="0"/>
        <w:ind w:left="418" w:right="1402" w:firstLine="419"/>
        <w:jc w:val="left"/>
        <w:rPr>
          <w:sz w:val="21"/>
        </w:rPr>
      </w:pPr>
      <w:r>
        <w:rPr>
          <w:color w:val="333333"/>
          <w:spacing w:val="-3"/>
          <w:sz w:val="21"/>
        </w:rPr>
        <w:t>直通疏散走道的房间疏散门至最近敞开楼梯间的直线距离，当房间位于两个楼梯间之间 </w:t>
      </w:r>
      <w:r>
        <w:rPr>
          <w:color w:val="333333"/>
          <w:spacing w:val="-7"/>
          <w:sz w:val="21"/>
        </w:rPr>
        <w:t>时，应按本表的规定减少 </w:t>
      </w:r>
      <w:r>
        <w:rPr>
          <w:color w:val="333333"/>
          <w:sz w:val="21"/>
        </w:rPr>
        <w:t>5m；</w:t>
      </w:r>
      <w:r>
        <w:rPr>
          <w:color w:val="333333"/>
          <w:spacing w:val="-5"/>
          <w:sz w:val="21"/>
        </w:rPr>
        <w:t>当房间位于袋形走道两侧或尽端时，应按本表的规定减少 </w:t>
      </w:r>
      <w:r>
        <w:rPr>
          <w:color w:val="333333"/>
          <w:sz w:val="21"/>
        </w:rPr>
        <w:t>2m。 </w:t>
      </w:r>
      <w:r>
        <w:rPr>
          <w:color w:val="333333"/>
          <w:spacing w:val="-2"/>
          <w:sz w:val="21"/>
        </w:rPr>
        <w:t> </w:t>
      </w:r>
      <w:r>
        <w:rPr>
          <w:color w:val="333333"/>
          <w:w w:val="100"/>
          <w:sz w:val="21"/>
        </w:rPr>
        <w:t> </w:t>
      </w:r>
    </w:p>
    <w:p>
      <w:pPr>
        <w:pStyle w:val="ListParagraph"/>
        <w:numPr>
          <w:ilvl w:val="0"/>
          <w:numId w:val="266"/>
        </w:numPr>
        <w:tabs>
          <w:tab w:pos="1051" w:val="left" w:leader="none"/>
        </w:tabs>
        <w:spacing w:line="267" w:lineRule="exact" w:before="0" w:after="0"/>
        <w:ind w:left="1050" w:right="0" w:hanging="213"/>
        <w:jc w:val="left"/>
        <w:rPr>
          <w:sz w:val="21"/>
        </w:rPr>
      </w:pPr>
      <w:r>
        <w:rPr>
          <w:color w:val="333333"/>
          <w:spacing w:val="-5"/>
          <w:sz w:val="21"/>
        </w:rPr>
        <w:t>建筑物内全部设置自动喷水灭火系统时，其安全疏散距离可按本表的规定增加 </w:t>
      </w:r>
      <w:r>
        <w:rPr>
          <w:color w:val="333333"/>
          <w:sz w:val="21"/>
        </w:rPr>
        <w:t>25</w:t>
      </w:r>
      <w:r>
        <w:rPr>
          <w:color w:val="333333"/>
          <w:spacing w:val="-2"/>
          <w:sz w:val="21"/>
        </w:rPr>
        <w:t>%。</w:t>
      </w:r>
      <w:r>
        <w:rPr>
          <w:color w:val="333333"/>
          <w:sz w:val="21"/>
        </w:rPr>
        <w:t> </w:t>
      </w:r>
      <w:r>
        <w:rPr>
          <w:color w:val="333333"/>
          <w:spacing w:val="-2"/>
          <w:sz w:val="21"/>
        </w:rPr>
        <w:t> </w:t>
      </w:r>
      <w:r>
        <w:rPr>
          <w:color w:val="FF0000"/>
          <w:w w:val="100"/>
          <w:sz w:val="21"/>
        </w:rPr>
        <w:t> </w:t>
      </w:r>
    </w:p>
    <w:p>
      <w:pPr>
        <w:pStyle w:val="BodyText"/>
        <w:spacing w:before="2"/>
        <w:rPr>
          <w:sz w:val="18"/>
        </w:rPr>
      </w:pPr>
    </w:p>
    <w:p>
      <w:pPr>
        <w:pStyle w:val="BodyText"/>
        <w:spacing w:line="446" w:lineRule="auto"/>
        <w:ind w:left="418" w:right="1558" w:firstLine="419"/>
        <w:jc w:val="both"/>
      </w:pPr>
      <w:r>
        <w:rPr>
          <w:color w:val="333333"/>
          <w:spacing w:val="-3"/>
        </w:rPr>
        <w:t>楼梯间应在首层直通室外，确有困难时，可在首层采用扩大的封闭楼梯间或防烟楼梯间前</w:t>
      </w:r>
      <w:r>
        <w:rPr>
          <w:color w:val="333333"/>
          <w:spacing w:val="-7"/>
        </w:rPr>
        <w:t>室。当层数不超过 </w:t>
      </w:r>
      <w:r>
        <w:rPr>
          <w:color w:val="333333"/>
          <w:spacing w:val="-3"/>
        </w:rPr>
        <w:t>4 层且未采用扩大的封闭楼梯间或防烟楼梯间前室时，可将直通室外的门设</w:t>
      </w:r>
      <w:r>
        <w:rPr>
          <w:color w:val="333333"/>
          <w:spacing w:val="-8"/>
        </w:rPr>
        <w:t>置在离楼梯间不大于 </w:t>
      </w:r>
      <w:r>
        <w:rPr>
          <w:color w:val="333333"/>
        </w:rPr>
        <w:t>15m</w:t>
      </w:r>
      <w:r>
        <w:rPr>
          <w:color w:val="333333"/>
          <w:spacing w:val="-1"/>
        </w:rPr>
        <w:t> 处； </w:t>
      </w:r>
      <w:r>
        <w:rPr>
          <w:color w:val="333333"/>
          <w:spacing w:val="-2"/>
        </w:rPr>
        <w:t> </w:t>
      </w:r>
      <w:r>
        <w:rPr>
          <w:color w:val="FF0000"/>
          <w:w w:val="100"/>
        </w:rPr>
        <w:t> </w:t>
      </w:r>
    </w:p>
    <w:p>
      <w:pPr>
        <w:pStyle w:val="BodyText"/>
        <w:spacing w:line="446" w:lineRule="auto"/>
        <w:ind w:left="418" w:right="1505" w:firstLine="419"/>
        <w:jc w:val="both"/>
      </w:pPr>
      <w:r>
        <w:rPr>
          <w:color w:val="333333"/>
          <w:spacing w:val="-5"/>
        </w:rPr>
        <w:t>房间内任一点至房间直通疏散走道的疏散门的直线距离，不应大于表 </w:t>
      </w:r>
      <w:r>
        <w:rPr>
          <w:color w:val="333333"/>
        </w:rPr>
        <w:t>5.5.17</w:t>
      </w:r>
      <w:r>
        <w:rPr>
          <w:color w:val="333333"/>
          <w:spacing w:val="-7"/>
        </w:rPr>
        <w:t> 规定的袋形走</w:t>
      </w:r>
      <w:r>
        <w:rPr>
          <w:color w:val="333333"/>
          <w:spacing w:val="-5"/>
        </w:rPr>
        <w:t>道两侧或尽端的疏散门至最近安全出口的直线距离； </w:t>
      </w:r>
    </w:p>
    <w:p>
      <w:pPr>
        <w:pStyle w:val="BodyText"/>
        <w:spacing w:line="446" w:lineRule="auto"/>
        <w:ind w:left="418" w:right="1452" w:firstLine="419"/>
      </w:pPr>
      <w:r>
        <w:rPr>
          <w:color w:val="333333"/>
          <w:spacing w:val="-5"/>
        </w:rPr>
        <w:t>一、二级耐火等级建筑内疏散门或安全出口不少于 </w:t>
      </w:r>
      <w:r>
        <w:rPr>
          <w:color w:val="333333"/>
        </w:rPr>
        <w:t>2</w:t>
      </w:r>
      <w:r>
        <w:rPr>
          <w:color w:val="333333"/>
          <w:spacing w:val="-3"/>
        </w:rPr>
        <w:t> 个的观众厅、展览厅、多功能厅、餐</w:t>
      </w:r>
      <w:r>
        <w:rPr>
          <w:color w:val="333333"/>
          <w:spacing w:val="-4"/>
        </w:rPr>
        <w:t>厅、营业厅等，其室内任一点至最近疏散门或安全出口的直线距离不应大于 </w:t>
      </w:r>
      <w:r>
        <w:rPr>
          <w:color w:val="333333"/>
        </w:rPr>
        <w:t>30m</w:t>
      </w:r>
      <w:r>
        <w:rPr>
          <w:color w:val="333333"/>
          <w:spacing w:val="-2"/>
        </w:rPr>
        <w:t>；当疏散门不能</w:t>
      </w:r>
      <w:r>
        <w:rPr>
          <w:color w:val="333333"/>
          <w:spacing w:val="-5"/>
        </w:rPr>
        <w:t>直通室外地面或疏散楼梯间时，应采用长度不大于 </w:t>
      </w:r>
      <w:r>
        <w:rPr>
          <w:color w:val="333333"/>
        </w:rPr>
        <w:t>10m</w:t>
      </w:r>
      <w:r>
        <w:rPr>
          <w:color w:val="333333"/>
          <w:spacing w:val="-3"/>
        </w:rPr>
        <w:t> 的疏散走道通至最近的安全出口。当该</w:t>
      </w:r>
    </w:p>
    <w:p>
      <w:pPr>
        <w:pStyle w:val="BodyText"/>
        <w:spacing w:line="268" w:lineRule="exact"/>
        <w:ind w:left="418"/>
      </w:pPr>
      <w:r>
        <w:rPr>
          <w:color w:val="333333"/>
        </w:rPr>
        <w:t>场所设置自动喷水灭火系统时，室内任一点至最近安全出口的安全疏散距离可分别增加 25%。  </w:t>
      </w:r>
      <w:r>
        <w:rPr>
          <w:color w:val="FF0000"/>
          <w:w w:val="100"/>
        </w:rPr>
        <w:t> </w:t>
      </w:r>
    </w:p>
    <w:p>
      <w:pPr>
        <w:spacing w:after="0" w:line="268" w:lineRule="exact"/>
        <w:sectPr>
          <w:pgSz w:w="11910" w:h="16850"/>
          <w:pgMar w:header="0" w:footer="1239" w:top="1220" w:bottom="1420" w:left="1260" w:right="0"/>
        </w:sectPr>
      </w:pPr>
    </w:p>
    <w:p>
      <w:pPr>
        <w:pStyle w:val="ListParagraph"/>
        <w:numPr>
          <w:ilvl w:val="2"/>
          <w:numId w:val="267"/>
        </w:numPr>
        <w:tabs>
          <w:tab w:pos="1478" w:val="left" w:leader="none"/>
        </w:tabs>
        <w:spacing w:line="446" w:lineRule="auto" w:before="47" w:after="0"/>
        <w:ind w:left="418" w:right="1553" w:firstLine="422"/>
        <w:jc w:val="left"/>
        <w:rPr>
          <w:sz w:val="21"/>
        </w:rPr>
      </w:pPr>
      <w:r>
        <w:rPr>
          <w:color w:val="333333"/>
          <w:spacing w:val="-5"/>
          <w:sz w:val="21"/>
        </w:rPr>
        <w:t>除本规范另有规定外，公共建筑内疏散门和安全出口的净宽度不应小于 </w:t>
      </w:r>
      <w:r>
        <w:rPr>
          <w:color w:val="333333"/>
          <w:sz w:val="21"/>
        </w:rPr>
        <w:t>0.90m</w:t>
      </w:r>
      <w:r>
        <w:rPr>
          <w:color w:val="333333"/>
          <w:spacing w:val="-2"/>
          <w:sz w:val="21"/>
        </w:rPr>
        <w:t>，疏</w:t>
      </w:r>
      <w:r>
        <w:rPr>
          <w:color w:val="333333"/>
          <w:spacing w:val="-6"/>
          <w:sz w:val="21"/>
        </w:rPr>
        <w:t>散走道和疏散楼梯的净宽度不应小于 </w:t>
      </w:r>
      <w:r>
        <w:rPr>
          <w:color w:val="333333"/>
          <w:sz w:val="21"/>
        </w:rPr>
        <w:t>1.10m</w:t>
      </w:r>
      <w:r>
        <w:rPr>
          <w:color w:val="333333"/>
          <w:spacing w:val="-3"/>
          <w:sz w:val="21"/>
        </w:rPr>
        <w:t>。</w:t>
      </w:r>
      <w:r>
        <w:rPr>
          <w:color w:val="333333"/>
          <w:sz w:val="21"/>
        </w:rPr>
        <w:t> </w:t>
      </w:r>
    </w:p>
    <w:p>
      <w:pPr>
        <w:pStyle w:val="BodyText"/>
        <w:spacing w:line="446" w:lineRule="auto"/>
        <w:ind w:left="418" w:right="1609" w:firstLine="419"/>
      </w:pPr>
      <w:r>
        <w:rPr>
          <w:color w:val="333333"/>
          <w:spacing w:val="-3"/>
        </w:rPr>
        <w:t>高层公共建筑内楼梯间的首层疏散门、首层疏散外门、疏散走道和疏散楼梯的最小净宽度</w:t>
      </w:r>
      <w:r>
        <w:rPr>
          <w:color w:val="333333"/>
          <w:spacing w:val="-13"/>
        </w:rPr>
        <w:t>应符合表 </w:t>
      </w:r>
      <w:r>
        <w:rPr>
          <w:color w:val="333333"/>
        </w:rPr>
        <w:t>5.5.18</w:t>
      </w:r>
      <w:r>
        <w:rPr>
          <w:color w:val="333333"/>
          <w:spacing w:val="-3"/>
        </w:rPr>
        <w:t> 的规定。 </w:t>
      </w:r>
    </w:p>
    <w:p>
      <w:pPr>
        <w:pStyle w:val="Heading6"/>
        <w:spacing w:line="446" w:lineRule="auto"/>
        <w:ind w:left="4232" w:right="1481" w:hanging="3716"/>
      </w:pPr>
      <w:r>
        <w:rPr/>
        <w:t>表 5.5.18 高层公共建筑内楼梯间的首层疏散门、首层疏散外门、疏散走道和疏散楼梯的最小净宽度（m）</w:t>
      </w:r>
      <w:r>
        <w:rPr>
          <w:w w:val="99"/>
        </w:rPr>
        <w:t> </w:t>
      </w:r>
    </w:p>
    <w:p>
      <w:pPr>
        <w:pStyle w:val="BodyText"/>
        <w:spacing w:before="3"/>
        <w:rPr>
          <w:b/>
          <w:sz w:val="14"/>
        </w:rPr>
      </w:pPr>
      <w:r>
        <w:rPr/>
        <w:drawing>
          <wp:anchor distT="0" distB="0" distL="0" distR="0" allowOverlap="1" layoutInCell="1" locked="0" behindDoc="0" simplePos="0" relativeHeight="96">
            <wp:simplePos x="0" y="0"/>
            <wp:positionH relativeFrom="page">
              <wp:posOffset>1113155</wp:posOffset>
            </wp:positionH>
            <wp:positionV relativeFrom="paragraph">
              <wp:posOffset>140628</wp:posOffset>
            </wp:positionV>
            <wp:extent cx="5502274" cy="1638300"/>
            <wp:effectExtent l="0" t="0" r="0" b="0"/>
            <wp:wrapTopAndBottom/>
            <wp:docPr id="219" name="image137.jpeg"/>
            <wp:cNvGraphicFramePr>
              <a:graphicFrameLocks noChangeAspect="1"/>
            </wp:cNvGraphicFramePr>
            <a:graphic>
              <a:graphicData uri="http://schemas.openxmlformats.org/drawingml/2006/picture">
                <pic:pic>
                  <pic:nvPicPr>
                    <pic:cNvPr id="220" name="image137.jpeg"/>
                    <pic:cNvPicPr/>
                  </pic:nvPicPr>
                  <pic:blipFill>
                    <a:blip r:embed="rId147" cstate="print"/>
                    <a:stretch>
                      <a:fillRect/>
                    </a:stretch>
                  </pic:blipFill>
                  <pic:spPr>
                    <a:xfrm>
                      <a:off x="0" y="0"/>
                      <a:ext cx="5502274" cy="1638300"/>
                    </a:xfrm>
                    <a:prstGeom prst="rect">
                      <a:avLst/>
                    </a:prstGeom>
                  </pic:spPr>
                </pic:pic>
              </a:graphicData>
            </a:graphic>
          </wp:anchor>
        </w:drawing>
      </w:r>
    </w:p>
    <w:p>
      <w:pPr>
        <w:pStyle w:val="ListParagraph"/>
        <w:numPr>
          <w:ilvl w:val="2"/>
          <w:numId w:val="267"/>
        </w:numPr>
        <w:tabs>
          <w:tab w:pos="1478" w:val="left" w:leader="none"/>
        </w:tabs>
        <w:spacing w:line="446" w:lineRule="auto" w:before="163" w:after="0"/>
        <w:ind w:left="418" w:right="1548" w:firstLine="422"/>
        <w:jc w:val="left"/>
        <w:rPr>
          <w:sz w:val="21"/>
        </w:rPr>
      </w:pPr>
      <w:r>
        <w:rPr>
          <w:color w:val="333333"/>
          <w:spacing w:val="-5"/>
          <w:sz w:val="21"/>
        </w:rPr>
        <w:t>人员密集的公共场所、观众厅的疏散门不应设置门槛，其净宽度不应小于 </w:t>
      </w:r>
      <w:r>
        <w:rPr>
          <w:color w:val="333333"/>
          <w:sz w:val="21"/>
        </w:rPr>
        <w:t>1.40m， </w:t>
      </w:r>
      <w:r>
        <w:rPr>
          <w:color w:val="333333"/>
          <w:spacing w:val="-9"/>
          <w:sz w:val="21"/>
        </w:rPr>
        <w:t>且紧靠门口内外各 </w:t>
      </w:r>
      <w:r>
        <w:rPr>
          <w:color w:val="333333"/>
          <w:sz w:val="21"/>
        </w:rPr>
        <w:t>1.40m</w:t>
      </w:r>
      <w:r>
        <w:rPr>
          <w:color w:val="333333"/>
          <w:spacing w:val="-3"/>
          <w:sz w:val="21"/>
        </w:rPr>
        <w:t> 范围内不应设置踏步。 </w:t>
      </w:r>
      <w:r>
        <w:rPr>
          <w:color w:val="333333"/>
          <w:spacing w:val="-2"/>
          <w:sz w:val="21"/>
        </w:rPr>
        <w:t> </w:t>
      </w:r>
      <w:r>
        <w:rPr>
          <w:color w:val="333333"/>
          <w:spacing w:val="-3"/>
          <w:w w:val="100"/>
          <w:sz w:val="21"/>
        </w:rPr>
        <w:t> </w:t>
      </w:r>
      <w:r>
        <w:rPr>
          <w:color w:val="333333"/>
          <w:w w:val="100"/>
          <w:sz w:val="21"/>
        </w:rPr>
        <w:t> </w:t>
      </w:r>
      <w:r>
        <w:rPr>
          <w:color w:val="333333"/>
          <w:sz w:val="21"/>
        </w:rPr>
        <w:t> </w:t>
      </w:r>
      <w:r>
        <w:rPr>
          <w:color w:val="333333"/>
          <w:w w:val="100"/>
          <w:sz w:val="21"/>
        </w:rPr>
        <w:t> </w:t>
      </w:r>
    </w:p>
    <w:p>
      <w:pPr>
        <w:pStyle w:val="BodyText"/>
        <w:spacing w:line="446" w:lineRule="auto"/>
        <w:ind w:left="840" w:right="1496" w:hanging="3"/>
      </w:pPr>
      <w:r>
        <w:rPr>
          <w:color w:val="333333"/>
        </w:rPr>
        <w:t>人员密集的公共场所的室外疏散通道的净宽度不应小于 3.00m，并应直接通向宽敞地带。</w:t>
      </w:r>
      <w:r>
        <w:rPr>
          <w:b/>
          <w:color w:val="333333"/>
        </w:rPr>
        <w:t>5.5.20 </w:t>
      </w:r>
      <w:r>
        <w:rPr>
          <w:color w:val="333333"/>
        </w:rPr>
        <w:t>剧场、电影院、礼堂、体育馆等场所的疏散走道、疏散楼梯、疏散门、安全出口的</w:t>
      </w:r>
    </w:p>
    <w:p>
      <w:pPr>
        <w:pStyle w:val="BodyText"/>
        <w:ind w:left="418"/>
      </w:pPr>
      <w:r>
        <w:rPr>
          <w:color w:val="333333"/>
        </w:rPr>
        <w:t>各自总净宽度，应符合下列规定： </w:t>
      </w:r>
    </w:p>
    <w:p>
      <w:pPr>
        <w:pStyle w:val="BodyText"/>
        <w:spacing w:before="10"/>
        <w:rPr>
          <w:sz w:val="17"/>
        </w:rPr>
      </w:pPr>
    </w:p>
    <w:p>
      <w:pPr>
        <w:pStyle w:val="BodyText"/>
        <w:spacing w:line="446" w:lineRule="auto"/>
        <w:ind w:left="418" w:right="1457" w:firstLine="419"/>
        <w:jc w:val="both"/>
      </w:pPr>
      <w:r>
        <w:rPr>
          <w:color w:val="333333"/>
          <w:w w:val="100"/>
        </w:rPr>
        <w:t> </w:t>
      </w:r>
      <w:r>
        <w:rPr>
          <w:color w:val="333333"/>
          <w:spacing w:val="-6"/>
        </w:rPr>
        <w:t>观众厅内疏散走道的净宽度应按每 </w:t>
      </w:r>
      <w:r>
        <w:rPr>
          <w:color w:val="333333"/>
        </w:rPr>
        <w:t>100</w:t>
      </w:r>
      <w:r>
        <w:rPr>
          <w:color w:val="333333"/>
          <w:spacing w:val="-8"/>
        </w:rPr>
        <w:t> 人不小于 </w:t>
      </w:r>
      <w:r>
        <w:rPr>
          <w:color w:val="333333"/>
        </w:rPr>
        <w:t>0.60m</w:t>
      </w:r>
      <w:r>
        <w:rPr>
          <w:color w:val="333333"/>
          <w:spacing w:val="-7"/>
        </w:rPr>
        <w:t> 计算，且不应小于 </w:t>
      </w:r>
      <w:r>
        <w:rPr>
          <w:color w:val="333333"/>
        </w:rPr>
        <w:t>1.00m</w:t>
      </w:r>
      <w:r>
        <w:rPr>
          <w:color w:val="333333"/>
          <w:spacing w:val="-1"/>
        </w:rPr>
        <w:t>；边走道</w:t>
      </w:r>
      <w:r>
        <w:rPr>
          <w:color w:val="333333"/>
          <w:spacing w:val="-9"/>
        </w:rPr>
        <w:t>的净宽度不宜小于 </w:t>
      </w:r>
      <w:r>
        <w:rPr>
          <w:color w:val="333333"/>
        </w:rPr>
        <w:t>0.80m。 </w:t>
      </w:r>
    </w:p>
    <w:p>
      <w:pPr>
        <w:pStyle w:val="BodyText"/>
        <w:spacing w:line="446" w:lineRule="auto" w:before="1"/>
        <w:ind w:left="418" w:right="1455" w:firstLine="419"/>
        <w:jc w:val="both"/>
      </w:pPr>
      <w:r>
        <w:rPr>
          <w:color w:val="333333"/>
          <w:spacing w:val="-5"/>
        </w:rPr>
        <w:t>布置疏散走道时，横走道之间的座位排数不宜超过 </w:t>
      </w:r>
      <w:r>
        <w:rPr>
          <w:color w:val="333333"/>
        </w:rPr>
        <w:t>20</w:t>
      </w:r>
      <w:r>
        <w:rPr>
          <w:color w:val="333333"/>
          <w:spacing w:val="-3"/>
        </w:rPr>
        <w:t> 排；纵走道之间的座位数：剧场、电</w:t>
      </w:r>
      <w:r>
        <w:rPr>
          <w:color w:val="333333"/>
          <w:spacing w:val="-7"/>
        </w:rPr>
        <w:t>影院、礼堂等，每排不宜超过 </w:t>
      </w:r>
      <w:r>
        <w:rPr>
          <w:color w:val="333333"/>
        </w:rPr>
        <w:t>22</w:t>
      </w:r>
      <w:r>
        <w:rPr>
          <w:color w:val="333333"/>
          <w:spacing w:val="-7"/>
        </w:rPr>
        <w:t> 个；体育馆，每排不宜超过 </w:t>
      </w:r>
      <w:r>
        <w:rPr>
          <w:color w:val="333333"/>
        </w:rPr>
        <w:t>26</w:t>
      </w:r>
      <w:r>
        <w:rPr>
          <w:color w:val="333333"/>
          <w:spacing w:val="-3"/>
        </w:rPr>
        <w:t> 个；前后排座椅的排距不小于0.90m</w:t>
      </w:r>
      <w:r>
        <w:rPr>
          <w:color w:val="333333"/>
          <w:spacing w:val="-9"/>
        </w:rPr>
        <w:t> 时，可增加 </w:t>
      </w:r>
      <w:r>
        <w:rPr>
          <w:color w:val="333333"/>
        </w:rPr>
        <w:t>1.0</w:t>
      </w:r>
      <w:r>
        <w:rPr>
          <w:color w:val="333333"/>
          <w:spacing w:val="-8"/>
        </w:rPr>
        <w:t> 倍，但不得超过 </w:t>
      </w:r>
      <w:r>
        <w:rPr>
          <w:color w:val="333333"/>
        </w:rPr>
        <w:t>50</w:t>
      </w:r>
      <w:r>
        <w:rPr>
          <w:color w:val="333333"/>
          <w:spacing w:val="-3"/>
        </w:rPr>
        <w:t> 个；仅一侧有纵走道时，座位数应减少一半； </w:t>
      </w:r>
      <w:r>
        <w:rPr>
          <w:color w:val="333333"/>
        </w:rPr>
        <w:t> </w:t>
      </w:r>
    </w:p>
    <w:p>
      <w:pPr>
        <w:pStyle w:val="BodyText"/>
        <w:spacing w:line="268" w:lineRule="exact"/>
        <w:ind w:left="838"/>
      </w:pPr>
      <w:r>
        <w:rPr>
          <w:color w:val="333333"/>
        </w:rPr>
        <w:t>剧场、电影院、礼堂等场所供观众疏散的所有内门、外门、楼梯和走道的各自总净宽度，</w:t>
      </w:r>
    </w:p>
    <w:p>
      <w:pPr>
        <w:pStyle w:val="BodyText"/>
        <w:spacing w:before="12"/>
        <w:rPr>
          <w:sz w:val="17"/>
        </w:rPr>
      </w:pPr>
    </w:p>
    <w:p>
      <w:pPr>
        <w:pStyle w:val="BodyText"/>
        <w:ind w:left="418"/>
      </w:pPr>
      <w:r>
        <w:rPr>
          <w:color w:val="333333"/>
        </w:rPr>
        <w:t>应根据疏散人数按每 100 人的最小疏散净宽度不小于表 5.5.20-1 的规定计算确定；  </w:t>
      </w:r>
      <w:r>
        <w:rPr>
          <w:color w:val="333333"/>
          <w:w w:val="100"/>
        </w:rPr>
        <w:t>  </w:t>
      </w:r>
      <w:r>
        <w:rPr>
          <w:color w:val="333333"/>
        </w:rPr>
        <w:t> </w:t>
      </w:r>
      <w:r>
        <w:rPr>
          <w:color w:val="333333"/>
          <w:w w:val="100"/>
        </w:rPr>
        <w:t> </w:t>
      </w:r>
    </w:p>
    <w:p>
      <w:pPr>
        <w:pStyle w:val="Heading6"/>
        <w:spacing w:before="132"/>
        <w:ind w:left="1253"/>
      </w:pPr>
      <w:r>
        <w:rPr/>
        <w:t>表 5.5.20-1 剧场、电影院、礼堂等场所每 100 人所需最小疏散净宽度（m/百人）</w:t>
      </w:r>
      <w:r>
        <w:rPr>
          <w:w w:val="99"/>
        </w:rPr>
        <w:t> </w:t>
      </w:r>
    </w:p>
    <w:p>
      <w:pPr>
        <w:spacing w:after="0"/>
        <w:sectPr>
          <w:pgSz w:w="11910" w:h="16850"/>
          <w:pgMar w:header="0" w:footer="1239" w:top="1220" w:bottom="1420" w:left="1260" w:right="0"/>
        </w:sectPr>
      </w:pPr>
    </w:p>
    <w:p>
      <w:pPr>
        <w:pStyle w:val="BodyText"/>
        <w:ind w:left="691"/>
        <w:rPr>
          <w:sz w:val="20"/>
        </w:rPr>
      </w:pPr>
      <w:r>
        <w:rPr>
          <w:sz w:val="20"/>
        </w:rPr>
        <w:drawing>
          <wp:inline distT="0" distB="0" distL="0" distR="0">
            <wp:extent cx="5273197" cy="1491138"/>
            <wp:effectExtent l="0" t="0" r="0" b="0"/>
            <wp:docPr id="221" name="image138.jpeg"/>
            <wp:cNvGraphicFramePr>
              <a:graphicFrameLocks noChangeAspect="1"/>
            </wp:cNvGraphicFramePr>
            <a:graphic>
              <a:graphicData uri="http://schemas.openxmlformats.org/drawingml/2006/picture">
                <pic:pic>
                  <pic:nvPicPr>
                    <pic:cNvPr id="222" name="image138.jpeg"/>
                    <pic:cNvPicPr/>
                  </pic:nvPicPr>
                  <pic:blipFill>
                    <a:blip r:embed="rId148" cstate="print"/>
                    <a:stretch>
                      <a:fillRect/>
                    </a:stretch>
                  </pic:blipFill>
                  <pic:spPr>
                    <a:xfrm>
                      <a:off x="0" y="0"/>
                      <a:ext cx="5273197" cy="1491138"/>
                    </a:xfrm>
                    <a:prstGeom prst="rect">
                      <a:avLst/>
                    </a:prstGeom>
                  </pic:spPr>
                </pic:pic>
              </a:graphicData>
            </a:graphic>
          </wp:inline>
        </w:drawing>
      </w:r>
      <w:r>
        <w:rPr>
          <w:sz w:val="20"/>
        </w:rPr>
      </w:r>
    </w:p>
    <w:p>
      <w:pPr>
        <w:pStyle w:val="BodyText"/>
        <w:spacing w:before="2"/>
        <w:rPr>
          <w:b/>
          <w:sz w:val="8"/>
        </w:rPr>
      </w:pPr>
    </w:p>
    <w:p>
      <w:pPr>
        <w:pStyle w:val="BodyText"/>
        <w:spacing w:before="72"/>
        <w:ind w:left="838"/>
      </w:pPr>
      <w:r>
        <w:rPr>
          <w:color w:val="333333"/>
        </w:rPr>
        <w:t>体育馆供观众疏散的所有内门、外门、楼梯和走道的各自总净宽度，应根据疏散人数按每</w:t>
      </w:r>
    </w:p>
    <w:p>
      <w:pPr>
        <w:pStyle w:val="BodyText"/>
        <w:spacing w:before="12"/>
        <w:rPr>
          <w:sz w:val="17"/>
        </w:rPr>
      </w:pPr>
    </w:p>
    <w:p>
      <w:pPr>
        <w:pStyle w:val="BodyText"/>
        <w:ind w:left="418"/>
      </w:pPr>
      <w:r>
        <w:rPr>
          <w:color w:val="333333"/>
        </w:rPr>
        <w:t>100 人的最小疏散净宽度不小于表 5.5.20-2 的规定计算确定；  </w:t>
      </w:r>
    </w:p>
    <w:p>
      <w:pPr>
        <w:pStyle w:val="BodyText"/>
        <w:spacing w:before="2"/>
        <w:rPr>
          <w:sz w:val="18"/>
        </w:rPr>
      </w:pPr>
    </w:p>
    <w:p>
      <w:pPr>
        <w:pStyle w:val="Heading6"/>
        <w:spacing w:before="1"/>
        <w:ind w:left="1963"/>
      </w:pPr>
      <w:r>
        <w:rPr/>
        <w:t>表 5.5.20-2 体育馆每 100 人所需最小疏散净宽度（m/百人）</w:t>
      </w:r>
      <w:r>
        <w:rPr>
          <w:w w:val="99"/>
        </w:rPr>
        <w:t> </w:t>
      </w:r>
    </w:p>
    <w:p>
      <w:pPr>
        <w:pStyle w:val="BodyText"/>
        <w:spacing w:before="2"/>
        <w:rPr>
          <w:b/>
          <w:sz w:val="17"/>
        </w:rPr>
      </w:pPr>
      <w:r>
        <w:rPr/>
        <w:drawing>
          <wp:anchor distT="0" distB="0" distL="0" distR="0" allowOverlap="1" layoutInCell="1" locked="0" behindDoc="0" simplePos="0" relativeHeight="97">
            <wp:simplePos x="0" y="0"/>
            <wp:positionH relativeFrom="page">
              <wp:posOffset>1236980</wp:posOffset>
            </wp:positionH>
            <wp:positionV relativeFrom="paragraph">
              <wp:posOffset>164512</wp:posOffset>
            </wp:positionV>
            <wp:extent cx="5201285" cy="1143000"/>
            <wp:effectExtent l="0" t="0" r="0" b="0"/>
            <wp:wrapTopAndBottom/>
            <wp:docPr id="223" name="image139.jpeg"/>
            <wp:cNvGraphicFramePr>
              <a:graphicFrameLocks noChangeAspect="1"/>
            </wp:cNvGraphicFramePr>
            <a:graphic>
              <a:graphicData uri="http://schemas.openxmlformats.org/drawingml/2006/picture">
                <pic:pic>
                  <pic:nvPicPr>
                    <pic:cNvPr id="224" name="image139.jpeg"/>
                    <pic:cNvPicPr/>
                  </pic:nvPicPr>
                  <pic:blipFill>
                    <a:blip r:embed="rId149" cstate="print"/>
                    <a:stretch>
                      <a:fillRect/>
                    </a:stretch>
                  </pic:blipFill>
                  <pic:spPr>
                    <a:xfrm>
                      <a:off x="0" y="0"/>
                      <a:ext cx="5201285" cy="1143000"/>
                    </a:xfrm>
                    <a:prstGeom prst="rect">
                      <a:avLst/>
                    </a:prstGeom>
                  </pic:spPr>
                </pic:pic>
              </a:graphicData>
            </a:graphic>
          </wp:anchor>
        </w:drawing>
      </w:r>
    </w:p>
    <w:p>
      <w:pPr>
        <w:pStyle w:val="BodyText"/>
        <w:rPr>
          <w:b/>
          <w:sz w:val="20"/>
        </w:rPr>
      </w:pPr>
    </w:p>
    <w:p>
      <w:pPr>
        <w:pStyle w:val="BodyText"/>
        <w:spacing w:before="10"/>
        <w:rPr>
          <w:b/>
          <w:sz w:val="20"/>
        </w:rPr>
      </w:pPr>
    </w:p>
    <w:p>
      <w:pPr>
        <w:pStyle w:val="BodyText"/>
        <w:spacing w:line="446" w:lineRule="auto"/>
        <w:ind w:left="418" w:right="1505" w:firstLine="419"/>
      </w:pPr>
      <w:r>
        <w:rPr>
          <w:color w:val="333333"/>
          <w:w w:val="100"/>
        </w:rPr>
        <w:t> </w:t>
      </w:r>
      <w:r>
        <w:rPr>
          <w:color w:val="333333"/>
        </w:rPr>
        <w:t> </w:t>
      </w:r>
      <w:r>
        <w:rPr>
          <w:color w:val="333333"/>
          <w:spacing w:val="-3"/>
        </w:rPr>
        <w:t>注：本表中应较大座位数范围按规定计算的疏散总净宽度，不应小于对应相邻较小座位</w:t>
      </w:r>
      <w:r>
        <w:rPr>
          <w:color w:val="333333"/>
          <w:spacing w:val="-4"/>
        </w:rPr>
        <w:t>数范围按其最多座位数计算的疏散总净宽度。对于观众厅座位数少于 </w:t>
      </w:r>
      <w:r>
        <w:rPr>
          <w:color w:val="333333"/>
        </w:rPr>
        <w:t>3000</w:t>
      </w:r>
      <w:r>
        <w:rPr>
          <w:color w:val="333333"/>
          <w:spacing w:val="-8"/>
        </w:rPr>
        <w:t> 个的体育馆，计算供</w:t>
      </w:r>
    </w:p>
    <w:p>
      <w:pPr>
        <w:pStyle w:val="BodyText"/>
        <w:spacing w:line="446" w:lineRule="auto"/>
        <w:ind w:left="418" w:right="1609"/>
      </w:pPr>
      <w:r>
        <w:rPr>
          <w:color w:val="333333"/>
          <w:spacing w:val="-5"/>
        </w:rPr>
        <w:t>观众疏散的所有内门、外门、楼梯和走道的各自总净宽度时，每 </w:t>
      </w:r>
      <w:r>
        <w:rPr>
          <w:color w:val="333333"/>
        </w:rPr>
        <w:t>100</w:t>
      </w:r>
      <w:r>
        <w:rPr>
          <w:color w:val="333333"/>
          <w:spacing w:val="-7"/>
        </w:rPr>
        <w:t> 人的最小疏散净宽度不应</w:t>
      </w:r>
      <w:r>
        <w:rPr>
          <w:color w:val="333333"/>
          <w:spacing w:val="-17"/>
        </w:rPr>
        <w:t>小于表 </w:t>
      </w:r>
      <w:r>
        <w:rPr>
          <w:color w:val="333333"/>
        </w:rPr>
        <w:t>5.5.20-1</w:t>
      </w:r>
      <w:r>
        <w:rPr>
          <w:color w:val="333333"/>
          <w:spacing w:val="-3"/>
        </w:rPr>
        <w:t> 的规定。 </w:t>
      </w:r>
    </w:p>
    <w:p>
      <w:pPr>
        <w:pStyle w:val="BodyText"/>
        <w:spacing w:line="267" w:lineRule="exact"/>
        <w:ind w:left="838"/>
      </w:pPr>
      <w:r>
        <w:rPr>
          <w:color w:val="333333"/>
        </w:rPr>
        <w:t>有等场需要的入场门不应作为观众厅的疏散门。 </w:t>
      </w:r>
    </w:p>
    <w:p>
      <w:pPr>
        <w:pStyle w:val="BodyText"/>
        <w:spacing w:before="2"/>
        <w:rPr>
          <w:sz w:val="18"/>
        </w:rPr>
      </w:pPr>
    </w:p>
    <w:p>
      <w:pPr>
        <w:pStyle w:val="ListParagraph"/>
        <w:numPr>
          <w:ilvl w:val="2"/>
          <w:numId w:val="268"/>
        </w:numPr>
        <w:tabs>
          <w:tab w:pos="1478" w:val="left" w:leader="none"/>
        </w:tabs>
        <w:spacing w:line="446" w:lineRule="auto" w:before="0" w:after="0"/>
        <w:ind w:left="418" w:right="1496" w:firstLine="422"/>
        <w:jc w:val="left"/>
        <w:rPr>
          <w:sz w:val="21"/>
        </w:rPr>
      </w:pPr>
      <w:r>
        <w:rPr>
          <w:color w:val="333333"/>
          <w:spacing w:val="-3"/>
          <w:sz w:val="21"/>
        </w:rPr>
        <w:t>除剧场、电影院、礼堂、体育馆外的其他公共建筑，其房间疏散门、安全出口、疏散走道和疏散楼梯的各自总净宽度，应符合下列规定： </w:t>
      </w:r>
      <w:r>
        <w:rPr>
          <w:color w:val="333333"/>
          <w:spacing w:val="-2"/>
          <w:sz w:val="21"/>
        </w:rPr>
        <w:t> </w:t>
      </w:r>
      <w:r>
        <w:rPr>
          <w:color w:val="333333"/>
          <w:w w:val="100"/>
          <w:sz w:val="21"/>
        </w:rPr>
        <w:t> </w:t>
      </w:r>
    </w:p>
    <w:p>
      <w:pPr>
        <w:pStyle w:val="BodyText"/>
        <w:spacing w:line="446" w:lineRule="auto"/>
        <w:ind w:left="418" w:right="1608" w:firstLine="419"/>
        <w:jc w:val="both"/>
      </w:pPr>
      <w:r>
        <w:rPr>
          <w:color w:val="333333"/>
          <w:spacing w:val="-3"/>
        </w:rPr>
        <w:t>每层的房间疏散门、安全出口、疏散走道和疏散楼梯的各自总净宽度，应根据疏散人数按</w:t>
      </w:r>
      <w:r>
        <w:rPr>
          <w:color w:val="333333"/>
          <w:spacing w:val="-26"/>
        </w:rPr>
        <w:t>每 </w:t>
      </w:r>
      <w:r>
        <w:rPr>
          <w:color w:val="333333"/>
        </w:rPr>
        <w:t>100</w:t>
      </w:r>
      <w:r>
        <w:rPr>
          <w:color w:val="333333"/>
          <w:spacing w:val="-6"/>
        </w:rPr>
        <w:t> 人的最小疏散净宽度不小于表 </w:t>
      </w:r>
      <w:r>
        <w:rPr>
          <w:color w:val="333333"/>
        </w:rPr>
        <w:t>5.5.21-1</w:t>
      </w:r>
      <w:r>
        <w:rPr>
          <w:color w:val="333333"/>
          <w:spacing w:val="-3"/>
        </w:rPr>
        <w:t> 的规定计算确定。当每层疏散人数不等时，疏散楼梯的总净宽度可分层计算，地上建筑内下层楼梯的总净宽度应按该层及以上疏散人数最多一层的人数计算；地下建筑内上层楼梯的总净宽度应按该层及以下疏散人数最多一层的人数计算；</w:t>
      </w:r>
      <w:r>
        <w:rPr>
          <w:color w:val="333333"/>
        </w:rPr>
        <w:t> </w:t>
      </w:r>
    </w:p>
    <w:p>
      <w:pPr>
        <w:spacing w:after="0" w:line="446" w:lineRule="auto"/>
        <w:jc w:val="both"/>
        <w:sectPr>
          <w:pgSz w:w="11910" w:h="16850"/>
          <w:pgMar w:header="0" w:footer="1239" w:top="1080" w:bottom="1420" w:left="1260" w:right="0"/>
        </w:sectPr>
      </w:pPr>
    </w:p>
    <w:p>
      <w:pPr>
        <w:pStyle w:val="Heading6"/>
        <w:spacing w:before="47"/>
        <w:ind w:left="487"/>
      </w:pPr>
      <w:r>
        <w:rPr/>
        <w:t>表 5.5.21-1 每层的房间疏散门、安全出口、疏散走道和疏散楼梯的每 100 人最小疏散净宽度</w:t>
      </w:r>
    </w:p>
    <w:p>
      <w:pPr>
        <w:pStyle w:val="BodyText"/>
        <w:rPr>
          <w:b/>
          <w:sz w:val="18"/>
        </w:rPr>
      </w:pPr>
    </w:p>
    <w:p>
      <w:pPr>
        <w:spacing w:before="0"/>
        <w:ind w:left="0" w:right="912" w:firstLine="0"/>
        <w:jc w:val="center"/>
        <w:rPr>
          <w:b/>
          <w:sz w:val="21"/>
        </w:rPr>
      </w:pPr>
      <w:r>
        <w:rPr/>
        <w:drawing>
          <wp:anchor distT="0" distB="0" distL="0" distR="0" allowOverlap="1" layoutInCell="1" locked="0" behindDoc="0" simplePos="0" relativeHeight="98">
            <wp:simplePos x="0" y="0"/>
            <wp:positionH relativeFrom="page">
              <wp:posOffset>1065530</wp:posOffset>
            </wp:positionH>
            <wp:positionV relativeFrom="paragraph">
              <wp:posOffset>217805</wp:posOffset>
            </wp:positionV>
            <wp:extent cx="5286375" cy="1171575"/>
            <wp:effectExtent l="0" t="0" r="0" b="0"/>
            <wp:wrapTopAndBottom/>
            <wp:docPr id="225" name="image140.jpeg"/>
            <wp:cNvGraphicFramePr>
              <a:graphicFrameLocks noChangeAspect="1"/>
            </wp:cNvGraphicFramePr>
            <a:graphic>
              <a:graphicData uri="http://schemas.openxmlformats.org/drawingml/2006/picture">
                <pic:pic>
                  <pic:nvPicPr>
                    <pic:cNvPr id="226" name="image140.jpeg"/>
                    <pic:cNvPicPr/>
                  </pic:nvPicPr>
                  <pic:blipFill>
                    <a:blip r:embed="rId150" cstate="print"/>
                    <a:stretch>
                      <a:fillRect/>
                    </a:stretch>
                  </pic:blipFill>
                  <pic:spPr>
                    <a:xfrm>
                      <a:off x="0" y="0"/>
                      <a:ext cx="5286375" cy="1171575"/>
                    </a:xfrm>
                    <a:prstGeom prst="rect">
                      <a:avLst/>
                    </a:prstGeom>
                  </pic:spPr>
                </pic:pic>
              </a:graphicData>
            </a:graphic>
          </wp:anchor>
        </w:drawing>
      </w:r>
      <w:r>
        <w:rPr>
          <w:b/>
          <w:sz w:val="21"/>
        </w:rPr>
        <w:t>（m/百人）</w:t>
      </w:r>
      <w:r>
        <w:rPr>
          <w:b/>
          <w:w w:val="99"/>
          <w:sz w:val="21"/>
        </w:rPr>
        <w:t> </w:t>
      </w:r>
    </w:p>
    <w:p>
      <w:pPr>
        <w:pStyle w:val="BodyText"/>
        <w:spacing w:line="446" w:lineRule="auto" w:before="178"/>
        <w:ind w:left="418" w:right="1609" w:firstLine="419"/>
      </w:pPr>
      <w:r>
        <w:rPr>
          <w:color w:val="333333"/>
        </w:rPr>
        <w:t>地下或半地下人员密集的厅、室和歌舞娱乐放映游艺场所，其房间疏散门、安全出口、疏散走道和疏散楼梯的各自总净宽度，应根据疏散人数按每 100 人不小于 1.00m 计算确定； </w:t>
      </w:r>
    </w:p>
    <w:p>
      <w:pPr>
        <w:pStyle w:val="BodyText"/>
        <w:spacing w:line="446" w:lineRule="auto"/>
        <w:ind w:left="418" w:right="1609" w:firstLine="419"/>
      </w:pPr>
      <w:r>
        <w:rPr>
          <w:color w:val="333333"/>
        </w:rPr>
        <w:t>首层外门的总净宽度应按该建筑疏散人数最多一层的人数计算确定，不供其他楼层人员疏散的外门，可按本层的疏散人数计算确定； </w:t>
      </w:r>
    </w:p>
    <w:p>
      <w:pPr>
        <w:pStyle w:val="BodyText"/>
        <w:ind w:left="838"/>
      </w:pPr>
      <w:r>
        <w:rPr>
          <w:color w:val="333333"/>
        </w:rPr>
        <w:t>歌舞娱乐放映游艺场所中录像厅的疏散人数，应根据厅、室的建筑面积按不小于 1.0 人</w:t>
      </w:r>
    </w:p>
    <w:p>
      <w:pPr>
        <w:pStyle w:val="BodyText"/>
        <w:rPr>
          <w:sz w:val="17"/>
        </w:rPr>
      </w:pPr>
    </w:p>
    <w:p>
      <w:pPr>
        <w:pStyle w:val="BodyText"/>
        <w:ind w:left="418"/>
      </w:pPr>
      <w:r>
        <w:rPr>
          <w:color w:val="333333"/>
        </w:rPr>
        <w:t>/m</w:t>
      </w:r>
      <w:r>
        <w:rPr>
          <w:color w:val="333333"/>
          <w:position w:val="11"/>
          <w:sz w:val="11"/>
        </w:rPr>
        <w:t>2</w:t>
      </w:r>
      <w:r>
        <w:rPr>
          <w:color w:val="333333"/>
          <w:sz w:val="11"/>
        </w:rPr>
        <w:t> </w:t>
      </w:r>
      <w:r>
        <w:rPr>
          <w:color w:val="333333"/>
          <w:spacing w:val="-5"/>
        </w:rPr>
        <w:t>计算；其他歌舞娱乐放映游艺场所的疏散人数，应根据厅、室的建筑面积按不小于 </w:t>
      </w:r>
      <w:r>
        <w:rPr>
          <w:color w:val="333333"/>
        </w:rPr>
        <w:t>0.5</w:t>
      </w:r>
      <w:r>
        <w:rPr>
          <w:color w:val="333333"/>
          <w:spacing w:val="1"/>
        </w:rPr>
        <w:t> 人</w:t>
      </w:r>
    </w:p>
    <w:p>
      <w:pPr>
        <w:pStyle w:val="BodyText"/>
        <w:spacing w:before="5"/>
        <w:rPr>
          <w:sz w:val="17"/>
        </w:rPr>
      </w:pPr>
    </w:p>
    <w:p>
      <w:pPr>
        <w:spacing w:before="0"/>
        <w:ind w:left="418" w:right="0" w:firstLine="0"/>
        <w:jc w:val="left"/>
        <w:rPr>
          <w:sz w:val="21"/>
        </w:rPr>
      </w:pPr>
      <w:r>
        <w:rPr>
          <w:color w:val="333333"/>
          <w:sz w:val="21"/>
        </w:rPr>
        <w:t>/m</w:t>
      </w:r>
      <w:r>
        <w:rPr>
          <w:color w:val="333333"/>
          <w:position w:val="11"/>
          <w:sz w:val="11"/>
        </w:rPr>
        <w:t>2</w:t>
      </w:r>
      <w:r>
        <w:rPr>
          <w:color w:val="333333"/>
          <w:sz w:val="11"/>
        </w:rPr>
        <w:t> </w:t>
      </w:r>
      <w:r>
        <w:rPr>
          <w:color w:val="333333"/>
          <w:sz w:val="21"/>
        </w:rPr>
        <w:t>计算； </w:t>
      </w:r>
    </w:p>
    <w:p>
      <w:pPr>
        <w:pStyle w:val="BodyText"/>
        <w:rPr>
          <w:sz w:val="18"/>
        </w:rPr>
      </w:pPr>
    </w:p>
    <w:p>
      <w:pPr>
        <w:pStyle w:val="BodyText"/>
        <w:ind w:left="838"/>
      </w:pPr>
      <w:r>
        <w:rPr>
          <w:color w:val="333333"/>
        </w:rPr>
        <w:t>有固定座位的场所，其疏散人数可按实际座位数的 1.1 倍计算； </w:t>
      </w:r>
    </w:p>
    <w:p>
      <w:pPr>
        <w:pStyle w:val="BodyText"/>
        <w:spacing w:before="12"/>
        <w:rPr>
          <w:sz w:val="17"/>
        </w:rPr>
      </w:pPr>
    </w:p>
    <w:p>
      <w:pPr>
        <w:pStyle w:val="BodyText"/>
        <w:spacing w:line="439" w:lineRule="auto"/>
        <w:ind w:left="418" w:right="1609" w:firstLine="419"/>
      </w:pPr>
      <w:r>
        <w:rPr>
          <w:color w:val="333333"/>
        </w:rPr>
        <w:t>展览厅的疏散人数应根据展览厅的建筑面积和人员密度计算，展览厅内的人员密度不宜小于 0.75 人/m</w:t>
      </w:r>
      <w:r>
        <w:rPr>
          <w:color w:val="333333"/>
          <w:position w:val="11"/>
          <w:sz w:val="11"/>
        </w:rPr>
        <w:t>2</w:t>
      </w:r>
      <w:r>
        <w:rPr>
          <w:color w:val="333333"/>
        </w:rPr>
        <w:t>； </w:t>
      </w:r>
    </w:p>
    <w:p>
      <w:pPr>
        <w:pStyle w:val="BodyText"/>
        <w:spacing w:before="6"/>
        <w:ind w:left="838"/>
      </w:pPr>
      <w:r>
        <w:rPr>
          <w:color w:val="333333"/>
        </w:rPr>
        <w:t>商店的疏散人数应按每层营业厅的建筑面积乘以表 5.5.21-2 规定的人员密度计算。对于建</w:t>
      </w:r>
    </w:p>
    <w:p>
      <w:pPr>
        <w:pStyle w:val="BodyText"/>
        <w:rPr>
          <w:sz w:val="18"/>
        </w:rPr>
      </w:pPr>
    </w:p>
    <w:p>
      <w:pPr>
        <w:pStyle w:val="BodyText"/>
        <w:ind w:left="418"/>
      </w:pPr>
      <w:r>
        <w:rPr>
          <w:color w:val="333333"/>
        </w:rPr>
        <w:t>材商店、家具和灯饰展示建筑，其人员密度可按表 5.5.21-2 规定值 30%确定。 </w:t>
      </w:r>
    </w:p>
    <w:p>
      <w:pPr>
        <w:pStyle w:val="Heading6"/>
        <w:spacing w:before="121"/>
        <w:ind w:right="432"/>
        <w:jc w:val="center"/>
      </w:pPr>
      <w:r>
        <w:rPr/>
        <w:t>表 5.5.21-2 商店营业厅内的人员密度（人/m</w:t>
      </w:r>
      <w:r>
        <w:rPr>
          <w:position w:val="11"/>
          <w:sz w:val="11"/>
        </w:rPr>
        <w:t>2</w:t>
      </w:r>
      <w:r>
        <w:rPr/>
        <w:t>）</w:t>
      </w:r>
      <w:r>
        <w:rPr>
          <w:w w:val="99"/>
        </w:rPr>
        <w:t> </w:t>
      </w:r>
    </w:p>
    <w:p>
      <w:pPr>
        <w:pStyle w:val="BodyText"/>
        <w:spacing w:before="6"/>
        <w:rPr>
          <w:b/>
        </w:rPr>
      </w:pPr>
      <w:r>
        <w:rPr/>
        <w:drawing>
          <wp:anchor distT="0" distB="0" distL="0" distR="0" allowOverlap="1" layoutInCell="1" locked="0" behindDoc="0" simplePos="0" relativeHeight="99">
            <wp:simplePos x="0" y="0"/>
            <wp:positionH relativeFrom="page">
              <wp:posOffset>1341119</wp:posOffset>
            </wp:positionH>
            <wp:positionV relativeFrom="paragraph">
              <wp:posOffset>199568</wp:posOffset>
            </wp:positionV>
            <wp:extent cx="5010784" cy="876300"/>
            <wp:effectExtent l="0" t="0" r="0" b="0"/>
            <wp:wrapTopAndBottom/>
            <wp:docPr id="227" name="image141.jpeg"/>
            <wp:cNvGraphicFramePr>
              <a:graphicFrameLocks noChangeAspect="1"/>
            </wp:cNvGraphicFramePr>
            <a:graphic>
              <a:graphicData uri="http://schemas.openxmlformats.org/drawingml/2006/picture">
                <pic:pic>
                  <pic:nvPicPr>
                    <pic:cNvPr id="228" name="image141.jpeg"/>
                    <pic:cNvPicPr/>
                  </pic:nvPicPr>
                  <pic:blipFill>
                    <a:blip r:embed="rId151" cstate="print"/>
                    <a:stretch>
                      <a:fillRect/>
                    </a:stretch>
                  </pic:blipFill>
                  <pic:spPr>
                    <a:xfrm>
                      <a:off x="0" y="0"/>
                      <a:ext cx="5010784" cy="876300"/>
                    </a:xfrm>
                    <a:prstGeom prst="rect">
                      <a:avLst/>
                    </a:prstGeom>
                  </pic:spPr>
                </pic:pic>
              </a:graphicData>
            </a:graphic>
          </wp:anchor>
        </w:drawing>
      </w:r>
    </w:p>
    <w:p>
      <w:pPr>
        <w:pStyle w:val="ListParagraph"/>
        <w:numPr>
          <w:ilvl w:val="2"/>
          <w:numId w:val="268"/>
        </w:numPr>
        <w:tabs>
          <w:tab w:pos="1478" w:val="left" w:leader="none"/>
        </w:tabs>
        <w:spacing w:line="446" w:lineRule="auto" w:before="164" w:after="0"/>
        <w:ind w:left="418" w:right="1498" w:firstLine="422"/>
        <w:jc w:val="left"/>
        <w:rPr>
          <w:sz w:val="21"/>
        </w:rPr>
      </w:pPr>
      <w:r>
        <w:rPr>
          <w:color w:val="333333"/>
          <w:spacing w:val="-3"/>
          <w:sz w:val="21"/>
        </w:rPr>
        <w:t>人员密集的公共建筑不宜在窗口、阳台等部位设置封闭的金属栅栏，确需设置时， 应能从内部易于开启；窗口、阳台等部位宜根据其高度设置适用的辅助疏散逃生设施。</w:t>
      </w:r>
      <w:r>
        <w:rPr>
          <w:color w:val="333333"/>
          <w:sz w:val="21"/>
        </w:rPr>
        <w:t> </w:t>
      </w:r>
    </w:p>
    <w:p>
      <w:pPr>
        <w:pStyle w:val="ListParagraph"/>
        <w:numPr>
          <w:ilvl w:val="2"/>
          <w:numId w:val="268"/>
        </w:numPr>
        <w:tabs>
          <w:tab w:pos="1478" w:val="left" w:leader="none"/>
        </w:tabs>
        <w:spacing w:line="446" w:lineRule="auto" w:before="0" w:after="0"/>
        <w:ind w:left="418" w:right="1548" w:firstLine="422"/>
        <w:jc w:val="left"/>
        <w:rPr>
          <w:sz w:val="21"/>
        </w:rPr>
      </w:pPr>
      <w:r>
        <w:rPr>
          <w:color w:val="333333"/>
          <w:spacing w:val="-9"/>
          <w:sz w:val="21"/>
        </w:rPr>
        <w:t>建筑高度大于 </w:t>
      </w:r>
      <w:r>
        <w:rPr>
          <w:color w:val="333333"/>
          <w:sz w:val="21"/>
        </w:rPr>
        <w:t>100m</w:t>
      </w:r>
      <w:r>
        <w:rPr>
          <w:color w:val="333333"/>
          <w:spacing w:val="-3"/>
          <w:sz w:val="21"/>
        </w:rPr>
        <w:t> 的公共建筑，应设置避难层（</w:t>
      </w:r>
      <w:r>
        <w:rPr>
          <w:color w:val="333333"/>
          <w:sz w:val="21"/>
        </w:rPr>
        <w:t>间</w:t>
      </w:r>
      <w:r>
        <w:rPr>
          <w:color w:val="333333"/>
          <w:spacing w:val="-3"/>
          <w:sz w:val="21"/>
        </w:rPr>
        <w:t>）。避难层</w:t>
      </w:r>
      <w:r>
        <w:rPr>
          <w:color w:val="333333"/>
          <w:sz w:val="21"/>
        </w:rPr>
        <w:t>（</w:t>
      </w:r>
      <w:r>
        <w:rPr>
          <w:color w:val="333333"/>
          <w:spacing w:val="-3"/>
          <w:sz w:val="21"/>
        </w:rPr>
        <w:t>间</w:t>
      </w:r>
      <w:r>
        <w:rPr>
          <w:color w:val="333333"/>
          <w:sz w:val="21"/>
        </w:rPr>
        <w:t>）</w:t>
      </w:r>
      <w:r>
        <w:rPr>
          <w:color w:val="333333"/>
          <w:spacing w:val="-3"/>
          <w:sz w:val="21"/>
        </w:rPr>
        <w:t>应符合下列规定：</w:t>
      </w:r>
      <w:r>
        <w:rPr>
          <w:color w:val="333333"/>
          <w:sz w:val="21"/>
        </w:rPr>
        <w:t> </w:t>
      </w:r>
    </w:p>
    <w:p>
      <w:pPr>
        <w:pStyle w:val="BodyText"/>
        <w:spacing w:line="446" w:lineRule="auto"/>
        <w:ind w:left="418" w:right="1391" w:firstLine="419"/>
      </w:pPr>
      <w:r>
        <w:rPr>
          <w:color w:val="333333"/>
        </w:rPr>
        <w:t>第一个避难层（间）的楼地面至灭火救援场地地面的高度不应大于 50m，两个避难层（间） 之间的高度不宜大于 50m； </w:t>
      </w:r>
    </w:p>
    <w:p>
      <w:pPr>
        <w:spacing w:after="0" w:line="446" w:lineRule="auto"/>
        <w:sectPr>
          <w:pgSz w:w="11910" w:h="16850"/>
          <w:pgMar w:header="0" w:footer="1239" w:top="1220" w:bottom="1420" w:left="1260" w:right="0"/>
        </w:sectPr>
      </w:pPr>
    </w:p>
    <w:p>
      <w:pPr>
        <w:pStyle w:val="BodyText"/>
        <w:spacing w:before="47"/>
        <w:ind w:left="838"/>
      </w:pPr>
      <w:r>
        <w:rPr>
          <w:color w:val="333333"/>
        </w:rPr>
        <w:t>通向避难层的疏散楼梯应在避难层分隔、同层错位或上下层断开； </w:t>
      </w:r>
    </w:p>
    <w:p>
      <w:pPr>
        <w:pStyle w:val="BodyText"/>
        <w:spacing w:before="3"/>
        <w:rPr>
          <w:sz w:val="17"/>
        </w:rPr>
      </w:pPr>
    </w:p>
    <w:p>
      <w:pPr>
        <w:pStyle w:val="BodyText"/>
        <w:ind w:left="838"/>
      </w:pPr>
      <w:r>
        <w:rPr>
          <w:color w:val="333333"/>
        </w:rPr>
        <w:t>避难层（间）的净面积应能满足设计避难人数避难的要求，并宜按 5.0 人/m</w:t>
      </w:r>
      <w:r>
        <w:rPr>
          <w:color w:val="333333"/>
          <w:position w:val="11"/>
          <w:sz w:val="11"/>
        </w:rPr>
        <w:t>2 </w:t>
      </w:r>
      <w:r>
        <w:rPr>
          <w:color w:val="333333"/>
        </w:rPr>
        <w:t>计算； </w:t>
      </w:r>
    </w:p>
    <w:p>
      <w:pPr>
        <w:pStyle w:val="BodyText"/>
        <w:spacing w:before="12"/>
        <w:rPr>
          <w:sz w:val="17"/>
        </w:rPr>
      </w:pPr>
    </w:p>
    <w:p>
      <w:pPr>
        <w:pStyle w:val="BodyText"/>
        <w:spacing w:line="446" w:lineRule="auto"/>
        <w:ind w:left="418" w:right="1558" w:firstLine="419"/>
      </w:pPr>
      <w:r>
        <w:rPr>
          <w:color w:val="333333"/>
          <w:spacing w:val="-3"/>
        </w:rPr>
        <w:t>避难层可兼作设备层。设备管道宜集中布置，其中的易燃、可燃液体或气体管道应集中布</w:t>
      </w:r>
      <w:r>
        <w:rPr>
          <w:color w:val="333333"/>
          <w:spacing w:val="-6"/>
        </w:rPr>
        <w:t>置，设备管道区应采用耐火极限不低于 </w:t>
      </w:r>
      <w:r>
        <w:rPr>
          <w:color w:val="333333"/>
        </w:rPr>
        <w:t>3.00h</w:t>
      </w:r>
      <w:r>
        <w:rPr>
          <w:color w:val="333333"/>
          <w:spacing w:val="-3"/>
        </w:rPr>
        <w:t> 的防火隔墙与避难区分隔。管道井和设备间应采</w:t>
      </w:r>
      <w:r>
        <w:rPr>
          <w:color w:val="333333"/>
          <w:spacing w:val="-6"/>
        </w:rPr>
        <w:t>用耐火极限不低于 </w:t>
      </w:r>
      <w:r>
        <w:rPr>
          <w:color w:val="333333"/>
        </w:rPr>
        <w:t>2.00h</w:t>
      </w:r>
      <w:r>
        <w:rPr>
          <w:color w:val="333333"/>
          <w:spacing w:val="-3"/>
        </w:rPr>
        <w:t> 的防火隔墙与避难区分隔，管道井和设备间的门不应直接开向避难</w:t>
      </w:r>
      <w:r>
        <w:rPr>
          <w:color w:val="333333"/>
          <w:spacing w:val="-5"/>
        </w:rPr>
        <w:t>区；确需直接开向避难区时，与避难层区出入口的距离不应小于 </w:t>
      </w:r>
      <w:r>
        <w:rPr>
          <w:color w:val="333333"/>
        </w:rPr>
        <w:t>5m</w:t>
      </w:r>
      <w:r>
        <w:rPr>
          <w:color w:val="333333"/>
          <w:spacing w:val="-3"/>
        </w:rPr>
        <w:t>，且应采用甲级防火门。</w:t>
      </w:r>
      <w:r>
        <w:rPr>
          <w:color w:val="333333"/>
        </w:rPr>
        <w:t> </w:t>
      </w:r>
    </w:p>
    <w:p>
      <w:pPr>
        <w:pStyle w:val="BodyText"/>
        <w:spacing w:line="446" w:lineRule="auto"/>
        <w:ind w:left="418" w:right="1817" w:firstLine="419"/>
      </w:pPr>
      <w:r>
        <w:rPr>
          <w:color w:val="333333"/>
        </w:rPr>
        <w:t>避难间内不应设置易燃、可燃液体或气体管道，不应开设除外窗、疏散门之外的其他开口； </w:t>
      </w:r>
    </w:p>
    <w:p>
      <w:pPr>
        <w:pStyle w:val="BodyText"/>
        <w:spacing w:line="446" w:lineRule="auto"/>
        <w:ind w:left="838" w:right="6757"/>
      </w:pPr>
      <w:r>
        <w:rPr>
          <w:color w:val="333333"/>
          <w:spacing w:val="-3"/>
        </w:rPr>
        <w:t>避难层应设置消防电梯出口；  应设置消火栓和消防软管卷盘；</w:t>
      </w:r>
      <w:r>
        <w:rPr>
          <w:color w:val="333333"/>
        </w:rPr>
        <w:t> </w:t>
      </w:r>
    </w:p>
    <w:p>
      <w:pPr>
        <w:pStyle w:val="BodyText"/>
        <w:ind w:left="838"/>
      </w:pPr>
      <w:r>
        <w:rPr>
          <w:color w:val="333333"/>
        </w:rPr>
        <w:t>应设置消防专线电话和应急广播； </w:t>
      </w:r>
    </w:p>
    <w:p>
      <w:pPr>
        <w:pStyle w:val="BodyText"/>
        <w:spacing w:before="10"/>
        <w:rPr>
          <w:sz w:val="17"/>
        </w:rPr>
      </w:pPr>
    </w:p>
    <w:p>
      <w:pPr>
        <w:pStyle w:val="BodyText"/>
        <w:spacing w:line="446" w:lineRule="auto"/>
        <w:ind w:left="418" w:right="1609" w:firstLine="419"/>
      </w:pPr>
      <w:r>
        <w:rPr>
          <w:color w:val="333333"/>
        </w:rPr>
        <w:t>在避难层（间）进入楼梯间的入口处和疏散楼梯通向避难层（间）的出口处，应设置明显的指示标志； </w:t>
      </w:r>
    </w:p>
    <w:p>
      <w:pPr>
        <w:pStyle w:val="BodyText"/>
        <w:spacing w:before="1"/>
        <w:ind w:left="838"/>
      </w:pPr>
      <w:r>
        <w:rPr>
          <w:color w:val="333333"/>
          <w:spacing w:val="-3"/>
        </w:rPr>
        <w:t>应设置直接对外的可开启窗口或独立的机械防烟设施，外窗应采用乙级防火窗。 </w:t>
      </w:r>
    </w:p>
    <w:p>
      <w:pPr>
        <w:pStyle w:val="BodyText"/>
        <w:spacing w:before="12"/>
        <w:rPr>
          <w:sz w:val="17"/>
        </w:rPr>
      </w:pPr>
    </w:p>
    <w:p>
      <w:pPr>
        <w:pStyle w:val="ListParagraph"/>
        <w:numPr>
          <w:ilvl w:val="2"/>
          <w:numId w:val="268"/>
        </w:numPr>
        <w:tabs>
          <w:tab w:pos="1478" w:val="left" w:leader="none"/>
        </w:tabs>
        <w:spacing w:line="446" w:lineRule="auto" w:before="0" w:after="0"/>
        <w:ind w:left="418" w:right="1496" w:firstLine="422"/>
        <w:jc w:val="left"/>
        <w:rPr>
          <w:sz w:val="21"/>
        </w:rPr>
      </w:pPr>
      <w:r>
        <w:rPr>
          <w:color w:val="333333"/>
          <w:spacing w:val="-3"/>
          <w:sz w:val="21"/>
        </w:rPr>
        <w:t>高层病房楼应在二层及以上的病房楼层和洁净手术部设置避难间。避难间应符合下列规定：</w:t>
      </w:r>
      <w:r>
        <w:rPr>
          <w:color w:val="333333"/>
          <w:sz w:val="21"/>
        </w:rPr>
        <w:t> </w:t>
      </w:r>
    </w:p>
    <w:p>
      <w:pPr>
        <w:pStyle w:val="BodyText"/>
        <w:spacing w:line="446" w:lineRule="auto"/>
        <w:ind w:left="838" w:right="1664"/>
      </w:pPr>
      <w:r>
        <w:rPr>
          <w:color w:val="333333"/>
          <w:spacing w:val="-7"/>
        </w:rPr>
        <w:t>避难间服务的护理单元不应超过 </w:t>
      </w:r>
      <w:r>
        <w:rPr>
          <w:color w:val="333333"/>
        </w:rPr>
        <w:t>2</w:t>
      </w:r>
      <w:r>
        <w:rPr>
          <w:color w:val="333333"/>
          <w:spacing w:val="-6"/>
        </w:rPr>
        <w:t> 个，其净面积应按每个护理单元不小 </w:t>
      </w:r>
      <w:r>
        <w:rPr>
          <w:color w:val="333333"/>
        </w:rPr>
        <w:t>25.0m</w:t>
      </w:r>
      <w:r>
        <w:rPr>
          <w:color w:val="333333"/>
          <w:position w:val="11"/>
          <w:sz w:val="11"/>
        </w:rPr>
        <w:t>2</w:t>
      </w:r>
      <w:r>
        <w:rPr>
          <w:color w:val="333333"/>
          <w:sz w:val="11"/>
        </w:rPr>
        <w:t> </w:t>
      </w:r>
      <w:r>
        <w:rPr>
          <w:color w:val="333333"/>
          <w:spacing w:val="-3"/>
        </w:rPr>
        <w:t>确定； 避难间兼作其他用途时，应保证人员的避难安全，且不得减少可供避难的净面积； </w:t>
      </w:r>
    </w:p>
    <w:p>
      <w:pPr>
        <w:pStyle w:val="BodyText"/>
        <w:spacing w:line="446" w:lineRule="auto"/>
        <w:ind w:left="418" w:right="1707" w:firstLine="419"/>
      </w:pPr>
      <w:r>
        <w:rPr>
          <w:color w:val="333333"/>
        </w:rPr>
        <w:t>应靠近楼梯间，并应采用耐火极限不低于 2.00h 的防火隔墙和甲级防火门与其他部位分隔； </w:t>
      </w:r>
    </w:p>
    <w:p>
      <w:pPr>
        <w:pStyle w:val="BodyText"/>
        <w:spacing w:line="446" w:lineRule="auto"/>
        <w:ind w:left="838" w:right="5917"/>
      </w:pPr>
      <w:r>
        <w:rPr>
          <w:color w:val="333333"/>
          <w:spacing w:val="-3"/>
        </w:rPr>
        <w:t>应设置消防专线电话和消防应急广播；  避难间的入口处应设置明显的指示标志；</w:t>
      </w:r>
      <w:r>
        <w:rPr>
          <w:color w:val="333333"/>
        </w:rPr>
        <w:t> </w:t>
      </w:r>
    </w:p>
    <w:p>
      <w:pPr>
        <w:pStyle w:val="BodyText"/>
        <w:ind w:left="838"/>
      </w:pPr>
      <w:r>
        <w:rPr>
          <w:color w:val="333333"/>
        </w:rPr>
        <w:t>应设置直接对外的可开启窗口或独立的机械防烟设施，外窗应采用乙级防火窗。 </w:t>
      </w:r>
    </w:p>
    <w:p>
      <w:pPr>
        <w:pStyle w:val="BodyText"/>
        <w:spacing w:before="3"/>
        <w:rPr>
          <w:sz w:val="16"/>
        </w:rPr>
      </w:pPr>
    </w:p>
    <w:p>
      <w:pPr>
        <w:pStyle w:val="ListParagraph"/>
        <w:numPr>
          <w:ilvl w:val="2"/>
          <w:numId w:val="269"/>
        </w:numPr>
        <w:tabs>
          <w:tab w:pos="1478" w:val="left" w:leader="none"/>
        </w:tabs>
        <w:spacing w:line="446" w:lineRule="auto" w:before="0" w:after="0"/>
        <w:ind w:left="418" w:right="1440" w:firstLine="422"/>
        <w:jc w:val="left"/>
        <w:rPr>
          <w:sz w:val="21"/>
        </w:rPr>
      </w:pPr>
      <w:r>
        <w:rPr>
          <w:b/>
          <w:color w:val="333333"/>
          <w:sz w:val="21"/>
        </w:rPr>
        <w:t>A</w:t>
      </w:r>
      <w:r>
        <w:rPr>
          <w:b/>
          <w:color w:val="333333"/>
          <w:spacing w:val="11"/>
          <w:sz w:val="21"/>
        </w:rPr>
        <w:t> </w:t>
      </w:r>
      <w:r>
        <w:rPr>
          <w:color w:val="333333"/>
          <w:sz w:val="21"/>
        </w:rPr>
        <w:t>3</w:t>
      </w:r>
      <w:r>
        <w:rPr>
          <w:color w:val="333333"/>
          <w:spacing w:val="-26"/>
          <w:sz w:val="21"/>
        </w:rPr>
        <w:t> 层及 </w:t>
      </w:r>
      <w:r>
        <w:rPr>
          <w:color w:val="333333"/>
          <w:sz w:val="21"/>
        </w:rPr>
        <w:t>3</w:t>
      </w:r>
      <w:r>
        <w:rPr>
          <w:color w:val="333333"/>
          <w:spacing w:val="-12"/>
          <w:sz w:val="21"/>
        </w:rPr>
        <w:t> 层以上总建筑面积大于 </w:t>
      </w:r>
      <w:r>
        <w:rPr>
          <w:color w:val="333333"/>
          <w:sz w:val="21"/>
        </w:rPr>
        <w:t>3000m</w:t>
      </w:r>
      <w:r>
        <w:rPr>
          <w:color w:val="333333"/>
          <w:position w:val="11"/>
          <w:sz w:val="11"/>
        </w:rPr>
        <w:t>2</w:t>
      </w:r>
      <w:r>
        <w:rPr>
          <w:color w:val="333333"/>
          <w:sz w:val="21"/>
        </w:rPr>
        <w:t>（</w:t>
      </w:r>
      <w:r>
        <w:rPr>
          <w:color w:val="333333"/>
          <w:spacing w:val="-3"/>
          <w:sz w:val="21"/>
        </w:rPr>
        <w:t>包括设置在其他建筑内三层及以上楼层</w:t>
      </w:r>
      <w:r>
        <w:rPr>
          <w:color w:val="333333"/>
          <w:sz w:val="21"/>
        </w:rPr>
        <w:t>） </w:t>
      </w:r>
      <w:r>
        <w:rPr>
          <w:color w:val="333333"/>
          <w:spacing w:val="-3"/>
          <w:sz w:val="21"/>
        </w:rPr>
        <w:t>的老年人照料设施，应在二层及以上各层老年人照料设施部分的每座疏散楼梯间的相邻部位设 </w:t>
      </w:r>
      <w:r>
        <w:rPr>
          <w:color w:val="333333"/>
          <w:spacing w:val="-22"/>
          <w:sz w:val="21"/>
        </w:rPr>
        <w:t>置 </w:t>
      </w:r>
      <w:r>
        <w:rPr>
          <w:color w:val="333333"/>
          <w:sz w:val="21"/>
        </w:rPr>
        <w:t>1</w:t>
      </w:r>
      <w:r>
        <w:rPr>
          <w:color w:val="333333"/>
          <w:spacing w:val="-8"/>
          <w:sz w:val="21"/>
        </w:rPr>
        <w:t> 间避难间；当老年人照料设施设置与疏散楼梯或安全出口直接连通的开敞式外廊、与疏散</w:t>
      </w:r>
      <w:r>
        <w:rPr>
          <w:color w:val="333333"/>
          <w:spacing w:val="-5"/>
          <w:sz w:val="21"/>
        </w:rPr>
        <w:t>走道直接连通且符合人员避难要求的室外平台等时，可不设置避难间。避难间内可供避难的净</w:t>
      </w:r>
    </w:p>
    <w:p>
      <w:pPr>
        <w:spacing w:after="0" w:line="446" w:lineRule="auto"/>
        <w:jc w:val="left"/>
        <w:rPr>
          <w:sz w:val="21"/>
        </w:rPr>
        <w:sectPr>
          <w:footerReference w:type="default" r:id="rId152"/>
          <w:pgSz w:w="11910" w:h="16850"/>
          <w:pgMar w:footer="1239" w:header="0" w:top="1220" w:bottom="1420" w:left="1260" w:right="0"/>
          <w:pgNumType w:start="1020"/>
        </w:sectPr>
      </w:pPr>
    </w:p>
    <w:p>
      <w:pPr>
        <w:pStyle w:val="BodyText"/>
        <w:spacing w:line="446" w:lineRule="auto" w:before="57"/>
        <w:ind w:left="418" w:right="1606"/>
      </w:pPr>
      <w:r>
        <w:rPr>
          <w:color w:val="333333"/>
          <w:spacing w:val="-9"/>
        </w:rPr>
        <w:t>面积不应小于 </w:t>
      </w:r>
      <w:r>
        <w:rPr>
          <w:color w:val="333333"/>
        </w:rPr>
        <w:t>12m</w:t>
      </w:r>
      <w:r>
        <w:rPr>
          <w:color w:val="333333"/>
          <w:position w:val="11"/>
          <w:sz w:val="11"/>
        </w:rPr>
        <w:t>2</w:t>
      </w:r>
      <w:r>
        <w:rPr>
          <w:color w:val="333333"/>
          <w:sz w:val="11"/>
        </w:rPr>
        <w:t> </w:t>
      </w:r>
      <w:r>
        <w:rPr>
          <w:color w:val="333333"/>
          <w:spacing w:val="-3"/>
        </w:rPr>
        <w:t>，避难间可利用疏散楼梯间的前室或消防电梯的前室，其他要求应符合本</w:t>
      </w:r>
      <w:r>
        <w:rPr>
          <w:color w:val="333333"/>
          <w:spacing w:val="-15"/>
        </w:rPr>
        <w:t>规范第 </w:t>
      </w:r>
      <w:r>
        <w:rPr>
          <w:color w:val="333333"/>
        </w:rPr>
        <w:t>5.5.24</w:t>
      </w:r>
      <w:r>
        <w:rPr>
          <w:color w:val="333333"/>
          <w:spacing w:val="-11"/>
        </w:rPr>
        <w:t> 条的规定。 </w:t>
      </w:r>
    </w:p>
    <w:p>
      <w:pPr>
        <w:pStyle w:val="BodyText"/>
        <w:spacing w:line="446" w:lineRule="auto"/>
        <w:ind w:left="418" w:right="1608" w:firstLine="419"/>
      </w:pPr>
      <w:r>
        <w:rPr>
          <w:color w:val="333333"/>
          <w:spacing w:val="-6"/>
        </w:rPr>
        <w:t>供失能老年人使用且层数大于 </w:t>
      </w:r>
      <w:r>
        <w:rPr>
          <w:color w:val="333333"/>
        </w:rPr>
        <w:t>2</w:t>
      </w:r>
      <w:r>
        <w:rPr>
          <w:color w:val="333333"/>
          <w:spacing w:val="-7"/>
        </w:rPr>
        <w:t> 层的老年人照料设施，应按核定使用人数配备简易防毒面</w:t>
      </w:r>
      <w:r>
        <w:rPr>
          <w:color w:val="333333"/>
          <w:spacing w:val="-5"/>
        </w:rPr>
        <w:t>具。</w:t>
      </w:r>
      <w:r>
        <w:rPr>
          <w:color w:val="333333"/>
        </w:rPr>
        <w:t> </w:t>
      </w:r>
    </w:p>
    <w:p>
      <w:pPr>
        <w:pStyle w:val="BodyText"/>
        <w:ind w:left="838"/>
      </w:pPr>
      <w:r>
        <w:rPr>
          <w:color w:val="333333"/>
        </w:rPr>
        <w:t>Ⅲ 住宅建筑 </w:t>
      </w:r>
    </w:p>
    <w:p>
      <w:pPr>
        <w:pStyle w:val="BodyText"/>
        <w:spacing w:before="10"/>
        <w:rPr>
          <w:sz w:val="17"/>
        </w:rPr>
      </w:pPr>
    </w:p>
    <w:p>
      <w:pPr>
        <w:pStyle w:val="ListParagraph"/>
        <w:numPr>
          <w:ilvl w:val="2"/>
          <w:numId w:val="269"/>
        </w:numPr>
        <w:tabs>
          <w:tab w:pos="1478" w:val="left" w:leader="none"/>
        </w:tabs>
        <w:spacing w:line="240" w:lineRule="auto" w:before="0" w:after="0"/>
        <w:ind w:left="1477" w:right="0" w:hanging="638"/>
        <w:jc w:val="left"/>
        <w:rPr>
          <w:sz w:val="21"/>
        </w:rPr>
      </w:pPr>
      <w:r>
        <w:rPr>
          <w:color w:val="333333"/>
          <w:spacing w:val="-3"/>
          <w:sz w:val="21"/>
        </w:rPr>
        <w:t>住宅建筑安全出口的设置应符合下列规定：</w:t>
      </w:r>
      <w:r>
        <w:rPr>
          <w:color w:val="333333"/>
          <w:sz w:val="21"/>
        </w:rPr>
        <w:t> </w:t>
      </w:r>
    </w:p>
    <w:p>
      <w:pPr>
        <w:pStyle w:val="BodyText"/>
        <w:spacing w:before="5"/>
        <w:rPr>
          <w:sz w:val="17"/>
        </w:rPr>
      </w:pPr>
    </w:p>
    <w:p>
      <w:pPr>
        <w:pStyle w:val="BodyText"/>
        <w:spacing w:line="446" w:lineRule="auto"/>
        <w:ind w:left="418" w:right="1503" w:firstLine="419"/>
      </w:pPr>
      <w:r>
        <w:rPr>
          <w:color w:val="333333"/>
          <w:spacing w:val="-8"/>
        </w:rPr>
        <w:t>建筑高度不大于 </w:t>
      </w:r>
      <w:r>
        <w:rPr>
          <w:color w:val="333333"/>
        </w:rPr>
        <w:t>27m</w:t>
      </w:r>
      <w:r>
        <w:rPr>
          <w:color w:val="333333"/>
          <w:spacing w:val="-10"/>
        </w:rPr>
        <w:t> 的建筑，当每个单元任一层的建筑面积大于 </w:t>
      </w:r>
      <w:r>
        <w:rPr>
          <w:color w:val="333333"/>
        </w:rPr>
        <w:t>650m</w:t>
      </w:r>
      <w:r>
        <w:rPr>
          <w:color w:val="333333"/>
          <w:position w:val="11"/>
          <w:sz w:val="11"/>
        </w:rPr>
        <w:t>2</w:t>
      </w:r>
      <w:r>
        <w:rPr>
          <w:color w:val="333333"/>
          <w:spacing w:val="-3"/>
        </w:rPr>
        <w:t>，或任一户门至最近</w:t>
      </w:r>
      <w:r>
        <w:rPr>
          <w:color w:val="333333"/>
          <w:spacing w:val="-8"/>
        </w:rPr>
        <w:t>安全出口的距离大于 </w:t>
      </w:r>
      <w:r>
        <w:rPr>
          <w:color w:val="333333"/>
        </w:rPr>
        <w:t>15m</w:t>
      </w:r>
      <w:r>
        <w:rPr>
          <w:color w:val="333333"/>
          <w:spacing w:val="-6"/>
        </w:rPr>
        <w:t> 时，每个单元每层的安全出口不应少于 </w:t>
      </w:r>
      <w:r>
        <w:rPr>
          <w:color w:val="333333"/>
          <w:spacing w:val="-3"/>
        </w:rPr>
        <w:t>2</w:t>
      </w:r>
      <w:r>
        <w:rPr>
          <w:color w:val="333333"/>
          <w:spacing w:val="-2"/>
        </w:rPr>
        <w:t> 个；</w:t>
      </w:r>
      <w:r>
        <w:rPr>
          <w:color w:val="333333"/>
        </w:rPr>
        <w:t> </w:t>
      </w:r>
    </w:p>
    <w:p>
      <w:pPr>
        <w:pStyle w:val="BodyText"/>
        <w:spacing w:line="446" w:lineRule="auto"/>
        <w:ind w:left="418" w:right="1505" w:firstLine="419"/>
      </w:pPr>
      <w:r>
        <w:rPr>
          <w:color w:val="333333"/>
          <w:spacing w:val="-9"/>
        </w:rPr>
        <w:t>建筑高度大于 </w:t>
      </w:r>
      <w:r>
        <w:rPr>
          <w:color w:val="333333"/>
        </w:rPr>
        <w:t>27m</w:t>
      </w:r>
      <w:r>
        <w:rPr>
          <w:color w:val="333333"/>
          <w:spacing w:val="-12"/>
        </w:rPr>
        <w:t>、不大于 </w:t>
      </w:r>
      <w:r>
        <w:rPr>
          <w:color w:val="333333"/>
        </w:rPr>
        <w:t>54m</w:t>
      </w:r>
      <w:r>
        <w:rPr>
          <w:color w:val="333333"/>
          <w:spacing w:val="-6"/>
        </w:rPr>
        <w:t> 的建筑，当每个单元任一层的建筑面积大于 </w:t>
      </w:r>
      <w:r>
        <w:rPr>
          <w:color w:val="333333"/>
        </w:rPr>
        <w:t>650m</w:t>
      </w:r>
      <w:r>
        <w:rPr>
          <w:color w:val="333333"/>
          <w:position w:val="11"/>
          <w:sz w:val="11"/>
        </w:rPr>
        <w:t>2</w:t>
      </w:r>
      <w:r>
        <w:rPr>
          <w:color w:val="333333"/>
          <w:spacing w:val="-2"/>
        </w:rPr>
        <w:t>，或任一</w:t>
      </w:r>
      <w:r>
        <w:rPr>
          <w:color w:val="333333"/>
          <w:spacing w:val="-7"/>
        </w:rPr>
        <w:t>户门至最近安全出口的距离大于 </w:t>
      </w:r>
      <w:r>
        <w:rPr>
          <w:color w:val="333333"/>
        </w:rPr>
        <w:t>10m</w:t>
      </w:r>
      <w:r>
        <w:rPr>
          <w:color w:val="333333"/>
          <w:spacing w:val="-6"/>
        </w:rPr>
        <w:t> 时，每个单元每层的安全出口不应少于 </w:t>
      </w:r>
      <w:r>
        <w:rPr>
          <w:color w:val="333333"/>
        </w:rPr>
        <w:t>2</w:t>
      </w:r>
      <w:r>
        <w:rPr>
          <w:color w:val="333333"/>
          <w:spacing w:val="-1"/>
        </w:rPr>
        <w:t> 个；</w:t>
      </w:r>
      <w:r>
        <w:rPr>
          <w:color w:val="333333"/>
        </w:rPr>
        <w:t> </w:t>
      </w:r>
    </w:p>
    <w:p>
      <w:pPr>
        <w:pStyle w:val="BodyText"/>
        <w:ind w:left="838"/>
      </w:pPr>
      <w:r>
        <w:rPr>
          <w:color w:val="333333"/>
        </w:rPr>
        <w:t>建筑高度大于 54m 的建筑，每个单元每层的安全出口不应少于 2 个。 </w:t>
      </w:r>
    </w:p>
    <w:p>
      <w:pPr>
        <w:pStyle w:val="BodyText"/>
        <w:rPr>
          <w:sz w:val="17"/>
        </w:rPr>
      </w:pPr>
    </w:p>
    <w:p>
      <w:pPr>
        <w:pStyle w:val="ListParagraph"/>
        <w:numPr>
          <w:ilvl w:val="2"/>
          <w:numId w:val="269"/>
        </w:numPr>
        <w:tabs>
          <w:tab w:pos="1478" w:val="left" w:leader="none"/>
        </w:tabs>
        <w:spacing w:line="446" w:lineRule="auto" w:before="0" w:after="0"/>
        <w:ind w:left="418" w:right="1549" w:firstLine="422"/>
        <w:jc w:val="both"/>
        <w:rPr>
          <w:sz w:val="21"/>
        </w:rPr>
      </w:pPr>
      <w:r>
        <w:rPr>
          <w:color w:val="333333"/>
          <w:spacing w:val="-9"/>
          <w:sz w:val="21"/>
        </w:rPr>
        <w:t>建筑高度大于 </w:t>
      </w:r>
      <w:r>
        <w:rPr>
          <w:color w:val="333333"/>
          <w:sz w:val="21"/>
        </w:rPr>
        <w:t>27m</w:t>
      </w:r>
      <w:r>
        <w:rPr>
          <w:color w:val="333333"/>
          <w:spacing w:val="-10"/>
          <w:sz w:val="21"/>
        </w:rPr>
        <w:t>，但不大于 </w:t>
      </w:r>
      <w:r>
        <w:rPr>
          <w:color w:val="333333"/>
          <w:sz w:val="21"/>
        </w:rPr>
        <w:t>54m</w:t>
      </w:r>
      <w:r>
        <w:rPr>
          <w:color w:val="333333"/>
          <w:spacing w:val="-8"/>
          <w:sz w:val="21"/>
        </w:rPr>
        <w:t> 的住宅建筑，每个单元设置一座疏散楼梯时，疏</w:t>
      </w:r>
      <w:r>
        <w:rPr>
          <w:color w:val="333333"/>
          <w:spacing w:val="-5"/>
          <w:sz w:val="21"/>
        </w:rPr>
        <w:t>散楼梯应通至屋面，且单元之间的疏散楼梯应能通过屋面连通，户门应采用乙级防火门。当不</w:t>
      </w:r>
      <w:r>
        <w:rPr>
          <w:color w:val="333333"/>
          <w:spacing w:val="-7"/>
          <w:sz w:val="21"/>
        </w:rPr>
        <w:t>能通至屋面或不能通过屋面连通时，应设置 </w:t>
      </w:r>
      <w:r>
        <w:rPr>
          <w:color w:val="333333"/>
          <w:sz w:val="21"/>
        </w:rPr>
        <w:t>2</w:t>
      </w:r>
      <w:r>
        <w:rPr>
          <w:color w:val="333333"/>
          <w:spacing w:val="-10"/>
          <w:sz w:val="21"/>
        </w:rPr>
        <w:t> 个安全出口。</w:t>
      </w:r>
      <w:r>
        <w:rPr>
          <w:color w:val="333333"/>
          <w:sz w:val="21"/>
        </w:rPr>
        <w:t> </w:t>
      </w:r>
    </w:p>
    <w:p>
      <w:pPr>
        <w:pStyle w:val="ListParagraph"/>
        <w:numPr>
          <w:ilvl w:val="2"/>
          <w:numId w:val="269"/>
        </w:numPr>
        <w:tabs>
          <w:tab w:pos="1478" w:val="left" w:leader="none"/>
        </w:tabs>
        <w:spacing w:line="268" w:lineRule="exact" w:before="0" w:after="0"/>
        <w:ind w:left="1477" w:right="0" w:hanging="638"/>
        <w:jc w:val="left"/>
        <w:rPr>
          <w:sz w:val="21"/>
        </w:rPr>
      </w:pPr>
      <w:r>
        <w:rPr>
          <w:color w:val="333333"/>
          <w:spacing w:val="-3"/>
          <w:sz w:val="21"/>
        </w:rPr>
        <w:t>住宅建筑的疏散楼梯设置应符合下列规定：</w:t>
      </w:r>
      <w:r>
        <w:rPr>
          <w:color w:val="333333"/>
          <w:sz w:val="21"/>
        </w:rPr>
        <w:t> </w:t>
      </w:r>
    </w:p>
    <w:p>
      <w:pPr>
        <w:pStyle w:val="BodyText"/>
        <w:spacing w:before="2"/>
        <w:rPr>
          <w:sz w:val="18"/>
        </w:rPr>
      </w:pPr>
    </w:p>
    <w:p>
      <w:pPr>
        <w:pStyle w:val="BodyText"/>
        <w:spacing w:line="446" w:lineRule="auto"/>
        <w:ind w:left="418" w:right="1498" w:firstLine="419"/>
      </w:pPr>
      <w:r>
        <w:rPr>
          <w:color w:val="333333"/>
        </w:rPr>
        <w:t>建筑高度不大于 21m 的住宅建筑可采用敞开楼梯间；与电梯井相邻布置的疏散楼梯应采用封闭楼梯间，当户门采用乙级防火门时，仍可采用敞开楼梯间； </w:t>
      </w:r>
    </w:p>
    <w:p>
      <w:pPr>
        <w:pStyle w:val="BodyText"/>
        <w:spacing w:line="446" w:lineRule="auto"/>
        <w:ind w:left="418" w:right="1820" w:firstLine="419"/>
      </w:pPr>
      <w:r>
        <w:rPr>
          <w:color w:val="333333"/>
          <w:spacing w:val="-9"/>
        </w:rPr>
        <w:t>建筑高度大于 </w:t>
      </w:r>
      <w:r>
        <w:rPr>
          <w:color w:val="333333"/>
        </w:rPr>
        <w:t>21m</w:t>
      </w:r>
      <w:r>
        <w:rPr>
          <w:color w:val="333333"/>
          <w:spacing w:val="-11"/>
        </w:rPr>
        <w:t>、不大于 </w:t>
      </w:r>
      <w:r>
        <w:rPr>
          <w:color w:val="333333"/>
        </w:rPr>
        <w:t>33m</w:t>
      </w:r>
      <w:r>
        <w:rPr>
          <w:color w:val="333333"/>
          <w:spacing w:val="-3"/>
        </w:rPr>
        <w:t> 的住宅建筑应采用封闭楼梯间；当户门采用乙级防火门时，可采用敞开楼梯间；</w:t>
      </w:r>
      <w:r>
        <w:rPr>
          <w:color w:val="333333"/>
        </w:rPr>
        <w:t> </w:t>
      </w:r>
    </w:p>
    <w:p>
      <w:pPr>
        <w:pStyle w:val="BodyText"/>
        <w:spacing w:line="446" w:lineRule="auto"/>
        <w:ind w:left="418" w:right="1498" w:firstLine="419"/>
      </w:pPr>
      <w:r>
        <w:rPr>
          <w:color w:val="333333"/>
        </w:rPr>
        <w:t>建筑高度大于 33m 的住宅建筑应采用防烟楼梯间。户门不宜直接开向前室，确有困难时， 每层开向同一前室的户门不应大于 3 樘且应采用乙级防火门。 </w:t>
      </w:r>
    </w:p>
    <w:p>
      <w:pPr>
        <w:pStyle w:val="ListParagraph"/>
        <w:numPr>
          <w:ilvl w:val="2"/>
          <w:numId w:val="269"/>
        </w:numPr>
        <w:tabs>
          <w:tab w:pos="1478" w:val="left" w:leader="none"/>
        </w:tabs>
        <w:spacing w:line="446" w:lineRule="auto" w:before="0" w:after="0"/>
        <w:ind w:left="418" w:right="1496" w:firstLine="422"/>
        <w:jc w:val="left"/>
        <w:rPr>
          <w:sz w:val="21"/>
        </w:rPr>
      </w:pPr>
      <w:r>
        <w:rPr>
          <w:color w:val="333333"/>
          <w:spacing w:val="-3"/>
          <w:sz w:val="21"/>
        </w:rPr>
        <w:t>住宅单元的疏散楼梯，当分散设置确有困难且任一户门至最近疏散楼梯间入口的距</w:t>
      </w:r>
      <w:r>
        <w:rPr>
          <w:color w:val="333333"/>
          <w:spacing w:val="-13"/>
          <w:sz w:val="21"/>
        </w:rPr>
        <w:t>离不大于 </w:t>
      </w:r>
      <w:r>
        <w:rPr>
          <w:color w:val="333333"/>
          <w:sz w:val="21"/>
        </w:rPr>
        <w:t>10m</w:t>
      </w:r>
      <w:r>
        <w:rPr>
          <w:color w:val="333333"/>
          <w:spacing w:val="-3"/>
          <w:sz w:val="21"/>
        </w:rPr>
        <w:t> 时，可采用剪刀楼梯间，但应符合下列规定：</w:t>
      </w:r>
      <w:r>
        <w:rPr>
          <w:color w:val="333333"/>
          <w:sz w:val="21"/>
        </w:rPr>
        <w:t> </w:t>
      </w:r>
    </w:p>
    <w:p>
      <w:pPr>
        <w:pStyle w:val="BodyText"/>
        <w:spacing w:line="267" w:lineRule="exact"/>
        <w:ind w:left="838"/>
      </w:pPr>
      <w:r>
        <w:rPr>
          <w:color w:val="333333"/>
        </w:rPr>
        <w:t>应采用防烟楼梯间； </w:t>
      </w:r>
    </w:p>
    <w:p>
      <w:pPr>
        <w:pStyle w:val="BodyText"/>
        <w:rPr>
          <w:sz w:val="18"/>
        </w:rPr>
      </w:pPr>
    </w:p>
    <w:p>
      <w:pPr>
        <w:pStyle w:val="BodyText"/>
        <w:ind w:left="838"/>
      </w:pPr>
      <w:r>
        <w:rPr>
          <w:color w:val="333333"/>
        </w:rPr>
        <w:t>梯段之间应设置耐火极限不低于 1.00h 的防火隔墙； </w:t>
      </w:r>
    </w:p>
    <w:p>
      <w:pPr>
        <w:pStyle w:val="BodyText"/>
        <w:spacing w:before="3"/>
        <w:rPr>
          <w:sz w:val="17"/>
        </w:rPr>
      </w:pPr>
    </w:p>
    <w:p>
      <w:pPr>
        <w:pStyle w:val="BodyText"/>
        <w:ind w:left="838"/>
      </w:pPr>
      <w:r>
        <w:rPr>
          <w:color w:val="333333"/>
        </w:rPr>
        <w:t>楼梯间的前室不宜共用；共用时，前室的使用面积不应小于 6.0m</w:t>
      </w:r>
      <w:r>
        <w:rPr>
          <w:color w:val="333333"/>
          <w:position w:val="11"/>
          <w:sz w:val="11"/>
        </w:rPr>
        <w:t>2</w:t>
      </w:r>
      <w:r>
        <w:rPr>
          <w:color w:val="333333"/>
        </w:rPr>
        <w:t>； </w:t>
      </w:r>
    </w:p>
    <w:p>
      <w:pPr>
        <w:pStyle w:val="BodyText"/>
        <w:spacing w:before="12"/>
        <w:rPr>
          <w:sz w:val="17"/>
        </w:rPr>
      </w:pPr>
    </w:p>
    <w:p>
      <w:pPr>
        <w:pStyle w:val="BodyText"/>
        <w:spacing w:line="439" w:lineRule="auto"/>
        <w:ind w:left="418" w:right="1609" w:firstLine="419"/>
        <w:jc w:val="both"/>
      </w:pPr>
      <w:r>
        <w:rPr>
          <w:color w:val="333333"/>
        </w:rPr>
        <w:t>楼梯间的前室或共用前室不宜与消防电梯的前室合用；楼梯间的共用前室与消防电梯的前室合用时，合用前室的使用面积不应小于 12.0m</w:t>
      </w:r>
      <w:r>
        <w:rPr>
          <w:color w:val="333333"/>
          <w:position w:val="11"/>
          <w:sz w:val="11"/>
        </w:rPr>
        <w:t>2</w:t>
      </w:r>
      <w:r>
        <w:rPr>
          <w:color w:val="333333"/>
        </w:rPr>
        <w:t>，且短边不应小于 2.4m。 </w:t>
      </w:r>
    </w:p>
    <w:p>
      <w:pPr>
        <w:spacing w:after="0" w:line="439" w:lineRule="auto"/>
        <w:jc w:val="both"/>
        <w:sectPr>
          <w:pgSz w:w="11910" w:h="16850"/>
          <w:pgMar w:header="0" w:footer="1239" w:top="1200" w:bottom="1420" w:left="1260" w:right="0"/>
        </w:sectPr>
      </w:pPr>
    </w:p>
    <w:p>
      <w:pPr>
        <w:pStyle w:val="ListParagraph"/>
        <w:numPr>
          <w:ilvl w:val="2"/>
          <w:numId w:val="269"/>
        </w:numPr>
        <w:tabs>
          <w:tab w:pos="1478" w:val="left" w:leader="none"/>
        </w:tabs>
        <w:spacing w:line="240" w:lineRule="auto" w:before="47" w:after="0"/>
        <w:ind w:left="1477" w:right="0" w:hanging="638"/>
        <w:jc w:val="left"/>
        <w:rPr>
          <w:sz w:val="21"/>
        </w:rPr>
      </w:pPr>
      <w:r>
        <w:rPr>
          <w:color w:val="333333"/>
          <w:spacing w:val="-3"/>
          <w:sz w:val="21"/>
        </w:rPr>
        <w:t>住宅建筑的安全疏散距离应符合下列规定：</w:t>
      </w:r>
      <w:r>
        <w:rPr>
          <w:color w:val="333333"/>
          <w:sz w:val="21"/>
        </w:rPr>
        <w:t> </w:t>
      </w:r>
    </w:p>
    <w:p>
      <w:pPr>
        <w:pStyle w:val="BodyText"/>
        <w:rPr>
          <w:sz w:val="18"/>
        </w:rPr>
      </w:pPr>
    </w:p>
    <w:p>
      <w:pPr>
        <w:pStyle w:val="BodyText"/>
        <w:ind w:left="838"/>
      </w:pPr>
      <w:r>
        <w:rPr>
          <w:color w:val="333333"/>
        </w:rPr>
        <w:t>直通疏散走道的户门至最近安全出口的直线距离不应大于表 5.5.29 的规定； </w:t>
      </w:r>
    </w:p>
    <w:p>
      <w:pPr>
        <w:pStyle w:val="Heading6"/>
        <w:spacing w:before="130"/>
        <w:ind w:left="1651"/>
      </w:pPr>
      <w:r>
        <w:rPr/>
        <w:pict>
          <v:group style="position:absolute;margin-left:82.463997pt;margin-top:26.02997pt;width:442.4pt;height:130.8pt;mso-position-horizontal-relative:page;mso-position-vertical-relative:paragraph;z-index:-251554816;mso-wrap-distance-left:0;mso-wrap-distance-right:0" coordorigin="1649,521" coordsize="8848,2616">
            <v:rect style="position:absolute;left:1649;top:2637;width:8848;height:500" filled="true" fillcolor="#ffffff" stroked="false">
              <v:fill type="solid"/>
            </v:rect>
            <v:shape style="position:absolute;left:2300;top:520;width:7841;height:2115" type="#_x0000_t75" stroked="false">
              <v:imagedata r:id="rId153" o:title=""/>
            </v:shape>
            <v:shape style="position:absolute;left:1649;top:520;width:8848;height:2616" type="#_x0000_t202" filled="false" stroked="false">
              <v:textbox inset="0,0,0,0">
                <w:txbxContent>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8"/>
                      <w:rPr>
                        <w:b/>
                        <w:sz w:val="28"/>
                      </w:rPr>
                    </w:pPr>
                  </w:p>
                  <w:p>
                    <w:pPr>
                      <w:spacing w:before="0"/>
                      <w:ind w:left="0" w:right="189" w:firstLine="0"/>
                      <w:jc w:val="right"/>
                      <w:rPr>
                        <w:sz w:val="21"/>
                      </w:rPr>
                    </w:pPr>
                    <w:r>
                      <w:rPr>
                        <w:color w:val="333333"/>
                        <w:w w:val="100"/>
                        <w:sz w:val="21"/>
                      </w:rPr>
                      <w:t> </w:t>
                    </w:r>
                  </w:p>
                  <w:p>
                    <w:pPr>
                      <w:spacing w:before="134"/>
                      <w:ind w:left="0" w:right="254" w:firstLine="0"/>
                      <w:jc w:val="right"/>
                      <w:rPr>
                        <w:sz w:val="21"/>
                      </w:rPr>
                    </w:pPr>
                    <w:r>
                      <w:rPr>
                        <w:color w:val="333333"/>
                        <w:sz w:val="21"/>
                      </w:rPr>
                      <w:t>注：1.开向敞开式外廊的户门至最近安全出口的最大直线距离可按本表的规定增加 5m。 </w:t>
                    </w:r>
                  </w:p>
                </w:txbxContent>
              </v:textbox>
              <w10:wrap type="none"/>
            </v:shape>
            <w10:wrap type="topAndBottom"/>
          </v:group>
        </w:pict>
      </w:r>
      <w:r>
        <w:rPr/>
        <w:t>表 5.5.29 住宅建筑直通疏散走道的户门至最近安全出口的直线距离（m）</w:t>
      </w:r>
      <w:r>
        <w:rPr>
          <w:w w:val="99"/>
        </w:rPr>
        <w:t> </w:t>
      </w:r>
    </w:p>
    <w:p>
      <w:pPr>
        <w:pStyle w:val="BodyText"/>
        <w:rPr>
          <w:b/>
          <w:sz w:val="7"/>
        </w:rPr>
      </w:pPr>
    </w:p>
    <w:p>
      <w:pPr>
        <w:pStyle w:val="ListParagraph"/>
        <w:numPr>
          <w:ilvl w:val="0"/>
          <w:numId w:val="270"/>
        </w:numPr>
        <w:tabs>
          <w:tab w:pos="1051" w:val="left" w:leader="none"/>
        </w:tabs>
        <w:spacing w:line="446" w:lineRule="auto" w:before="72" w:after="0"/>
        <w:ind w:left="418" w:right="1609" w:firstLine="419"/>
        <w:jc w:val="left"/>
        <w:rPr>
          <w:sz w:val="21"/>
        </w:rPr>
      </w:pPr>
      <w:r>
        <w:rPr>
          <w:color w:val="333333"/>
          <w:spacing w:val="-3"/>
          <w:sz w:val="21"/>
        </w:rPr>
        <w:t>直通疏散走道的户门至最近敞开楼梯间的直线距离，当户门位于两个楼梯间之间时，应</w:t>
      </w:r>
      <w:r>
        <w:rPr>
          <w:color w:val="333333"/>
          <w:spacing w:val="-9"/>
          <w:sz w:val="21"/>
        </w:rPr>
        <w:t>按本表的规定减少 </w:t>
      </w:r>
      <w:r>
        <w:rPr>
          <w:color w:val="333333"/>
          <w:sz w:val="21"/>
        </w:rPr>
        <w:t>5m</w:t>
      </w:r>
      <w:r>
        <w:rPr>
          <w:color w:val="333333"/>
          <w:spacing w:val="-5"/>
          <w:sz w:val="21"/>
        </w:rPr>
        <w:t>；当户门位于袋形走道两侧或尽端时，应按本表的规定减少 </w:t>
      </w:r>
      <w:r>
        <w:rPr>
          <w:color w:val="333333"/>
          <w:sz w:val="21"/>
        </w:rPr>
        <w:t>2m</w:t>
      </w:r>
      <w:r>
        <w:rPr>
          <w:color w:val="333333"/>
          <w:spacing w:val="-3"/>
          <w:sz w:val="21"/>
        </w:rPr>
        <w:t>。</w:t>
      </w:r>
      <w:r>
        <w:rPr>
          <w:color w:val="333333"/>
          <w:sz w:val="21"/>
        </w:rPr>
        <w:t> </w:t>
      </w:r>
    </w:p>
    <w:p>
      <w:pPr>
        <w:pStyle w:val="ListParagraph"/>
        <w:numPr>
          <w:ilvl w:val="0"/>
          <w:numId w:val="270"/>
        </w:numPr>
        <w:tabs>
          <w:tab w:pos="1051" w:val="left" w:leader="none"/>
        </w:tabs>
        <w:spacing w:line="240" w:lineRule="auto" w:before="0" w:after="0"/>
        <w:ind w:left="1050" w:right="0" w:hanging="213"/>
        <w:jc w:val="left"/>
        <w:rPr>
          <w:sz w:val="21"/>
        </w:rPr>
      </w:pPr>
      <w:r>
        <w:rPr>
          <w:color w:val="333333"/>
          <w:spacing w:val="-5"/>
          <w:sz w:val="21"/>
        </w:rPr>
        <w:t>住宅建筑内全部设置自动喷水灭火系统时，其安全疏散距离可按本表的规定增加 </w:t>
      </w:r>
      <w:r>
        <w:rPr>
          <w:color w:val="333333"/>
          <w:sz w:val="21"/>
        </w:rPr>
        <w:t>25</w:t>
      </w:r>
      <w:r>
        <w:rPr>
          <w:color w:val="333333"/>
          <w:spacing w:val="-2"/>
          <w:sz w:val="21"/>
        </w:rPr>
        <w:t>%。</w:t>
      </w:r>
      <w:r>
        <w:rPr>
          <w:color w:val="333333"/>
          <w:sz w:val="21"/>
        </w:rPr>
        <w:t> </w:t>
      </w:r>
    </w:p>
    <w:p>
      <w:pPr>
        <w:pStyle w:val="BodyText"/>
        <w:spacing w:before="12"/>
        <w:rPr>
          <w:sz w:val="17"/>
        </w:rPr>
      </w:pPr>
    </w:p>
    <w:p>
      <w:pPr>
        <w:pStyle w:val="ListParagraph"/>
        <w:numPr>
          <w:ilvl w:val="0"/>
          <w:numId w:val="270"/>
        </w:numPr>
        <w:tabs>
          <w:tab w:pos="1051" w:val="left" w:leader="none"/>
        </w:tabs>
        <w:spacing w:line="446" w:lineRule="auto" w:before="0" w:after="0"/>
        <w:ind w:left="418" w:right="1609" w:firstLine="419"/>
        <w:jc w:val="left"/>
        <w:rPr>
          <w:sz w:val="21"/>
        </w:rPr>
      </w:pPr>
      <w:r>
        <w:rPr>
          <w:color w:val="333333"/>
          <w:spacing w:val="-3"/>
          <w:sz w:val="21"/>
        </w:rPr>
        <w:t>跃廊式住宅的户门至最近安全出口的距离，应从户门算起，小楼梯的一段距离可按其水</w:t>
      </w:r>
      <w:r>
        <w:rPr>
          <w:color w:val="333333"/>
          <w:spacing w:val="-11"/>
          <w:sz w:val="21"/>
        </w:rPr>
        <w:t>平投影长度的 </w:t>
      </w:r>
      <w:r>
        <w:rPr>
          <w:color w:val="333333"/>
          <w:sz w:val="21"/>
        </w:rPr>
        <w:t>1.50</w:t>
      </w:r>
      <w:r>
        <w:rPr>
          <w:color w:val="333333"/>
          <w:spacing w:val="-3"/>
          <w:sz w:val="21"/>
        </w:rPr>
        <w:t> 倍计算。 </w:t>
      </w:r>
    </w:p>
    <w:p>
      <w:pPr>
        <w:pStyle w:val="BodyText"/>
        <w:spacing w:line="446" w:lineRule="auto"/>
        <w:ind w:left="418" w:right="1609" w:firstLine="419"/>
      </w:pPr>
      <w:r>
        <w:rPr>
          <w:color w:val="333333"/>
        </w:rPr>
        <w:t>楼梯间应在首层直通室外，或在首层采用扩大的封闭楼梯间或防烟楼梯间前室。层数不超过 4 层时，可将直通室外的门设置在离楼梯间不大于 15m 处； </w:t>
      </w:r>
    </w:p>
    <w:p>
      <w:pPr>
        <w:pStyle w:val="BodyText"/>
        <w:spacing w:line="446" w:lineRule="auto"/>
        <w:ind w:left="418" w:right="1391" w:firstLine="419"/>
      </w:pPr>
      <w:r>
        <w:rPr>
          <w:color w:val="333333"/>
        </w:rPr>
        <w:t>户内任一点至直通疏散走道的户门的直线距离不应大于表 5.5.29 规定的袋形走道两侧或尽端的疏散门至最近安全出口的最大直线距离。 </w:t>
      </w:r>
    </w:p>
    <w:p>
      <w:pPr>
        <w:pStyle w:val="BodyText"/>
        <w:ind w:left="838"/>
      </w:pPr>
      <w:r>
        <w:rPr>
          <w:color w:val="333333"/>
        </w:rPr>
        <w:t>注：跃层式住宅，户内楼梯的距离可按其梯段水平投影长度的 1.50 倍计算。 </w:t>
      </w:r>
    </w:p>
    <w:p>
      <w:pPr>
        <w:pStyle w:val="BodyText"/>
        <w:spacing w:before="10"/>
        <w:rPr>
          <w:sz w:val="17"/>
        </w:rPr>
      </w:pPr>
    </w:p>
    <w:p>
      <w:pPr>
        <w:pStyle w:val="ListParagraph"/>
        <w:numPr>
          <w:ilvl w:val="2"/>
          <w:numId w:val="269"/>
        </w:numPr>
        <w:tabs>
          <w:tab w:pos="1478" w:val="left" w:leader="none"/>
        </w:tabs>
        <w:spacing w:line="446" w:lineRule="auto" w:before="0" w:after="0"/>
        <w:ind w:left="418" w:right="1450" w:firstLine="422"/>
        <w:jc w:val="both"/>
        <w:rPr>
          <w:sz w:val="21"/>
        </w:rPr>
      </w:pPr>
      <w:r>
        <w:rPr>
          <w:color w:val="333333"/>
          <w:spacing w:val="-3"/>
          <w:sz w:val="21"/>
        </w:rPr>
        <w:t>住宅建筑的户门、安全出口、疏散走道和疏散楼梯的各自总净宽度应经计算确定， </w:t>
      </w:r>
      <w:r>
        <w:rPr>
          <w:color w:val="333333"/>
          <w:spacing w:val="-5"/>
          <w:sz w:val="21"/>
        </w:rPr>
        <w:t>且户门和安全出口的净宽度不应小于 </w:t>
      </w:r>
      <w:r>
        <w:rPr>
          <w:color w:val="333333"/>
          <w:sz w:val="21"/>
        </w:rPr>
        <w:t>0.90m</w:t>
      </w:r>
      <w:r>
        <w:rPr>
          <w:color w:val="333333"/>
          <w:spacing w:val="-3"/>
          <w:sz w:val="21"/>
        </w:rPr>
        <w:t>，疏散走道、疏散楼梯和首层疏散外门的净宽度不应</w:t>
      </w:r>
      <w:r>
        <w:rPr>
          <w:color w:val="333333"/>
          <w:spacing w:val="-19"/>
          <w:sz w:val="21"/>
        </w:rPr>
        <w:t>小于 </w:t>
      </w:r>
      <w:r>
        <w:rPr>
          <w:color w:val="333333"/>
          <w:sz w:val="21"/>
        </w:rPr>
        <w:t>1.10m</w:t>
      </w:r>
      <w:r>
        <w:rPr>
          <w:color w:val="333333"/>
          <w:spacing w:val="-9"/>
          <w:sz w:val="21"/>
        </w:rPr>
        <w:t>。建筑高度不大于 </w:t>
      </w:r>
      <w:r>
        <w:rPr>
          <w:color w:val="333333"/>
          <w:sz w:val="21"/>
        </w:rPr>
        <w:t>18m</w:t>
      </w:r>
      <w:r>
        <w:rPr>
          <w:color w:val="333333"/>
          <w:spacing w:val="-3"/>
          <w:sz w:val="21"/>
        </w:rPr>
        <w:t> 的住宅中一边设置栏杆的疏散楼梯，其净宽度不应小于</w:t>
      </w:r>
    </w:p>
    <w:p>
      <w:pPr>
        <w:pStyle w:val="BodyText"/>
        <w:spacing w:line="268" w:lineRule="exact"/>
        <w:ind w:left="418"/>
      </w:pPr>
      <w:r>
        <w:rPr>
          <w:color w:val="333333"/>
        </w:rPr>
        <w:t>1.0m。 </w:t>
      </w:r>
    </w:p>
    <w:p>
      <w:pPr>
        <w:pStyle w:val="BodyText"/>
        <w:spacing w:before="2"/>
        <w:rPr>
          <w:sz w:val="18"/>
        </w:rPr>
      </w:pPr>
    </w:p>
    <w:p>
      <w:pPr>
        <w:pStyle w:val="ListParagraph"/>
        <w:numPr>
          <w:ilvl w:val="2"/>
          <w:numId w:val="269"/>
        </w:numPr>
        <w:tabs>
          <w:tab w:pos="1478" w:val="left" w:leader="none"/>
        </w:tabs>
        <w:spacing w:line="240" w:lineRule="auto" w:before="0" w:after="0"/>
        <w:ind w:left="1477" w:right="0" w:hanging="638"/>
        <w:jc w:val="left"/>
        <w:rPr>
          <w:sz w:val="21"/>
        </w:rPr>
      </w:pPr>
      <w:r>
        <w:rPr>
          <w:color w:val="333333"/>
          <w:spacing w:val="-10"/>
          <w:sz w:val="21"/>
        </w:rPr>
        <w:t>建筑高度大于 </w:t>
      </w:r>
      <w:r>
        <w:rPr>
          <w:color w:val="333333"/>
          <w:sz w:val="21"/>
        </w:rPr>
        <w:t>100m</w:t>
      </w:r>
      <w:r>
        <w:rPr>
          <w:color w:val="333333"/>
          <w:spacing w:val="-3"/>
          <w:sz w:val="21"/>
        </w:rPr>
        <w:t> 的住宅建筑应设置避难层，避难层的设置应符合本规范第</w:t>
      </w:r>
    </w:p>
    <w:p>
      <w:pPr>
        <w:pStyle w:val="BodyText"/>
        <w:spacing w:before="12"/>
        <w:rPr>
          <w:sz w:val="17"/>
        </w:rPr>
      </w:pPr>
    </w:p>
    <w:p>
      <w:pPr>
        <w:pStyle w:val="BodyText"/>
        <w:ind w:left="418"/>
      </w:pPr>
      <w:r>
        <w:rPr>
          <w:color w:val="333333"/>
        </w:rPr>
        <w:t>5.5.23 条有关避难层的要求。 </w:t>
      </w:r>
    </w:p>
    <w:p>
      <w:pPr>
        <w:pStyle w:val="BodyText"/>
        <w:rPr>
          <w:sz w:val="18"/>
        </w:rPr>
      </w:pPr>
    </w:p>
    <w:p>
      <w:pPr>
        <w:pStyle w:val="BodyText"/>
        <w:spacing w:line="448" w:lineRule="auto"/>
        <w:ind w:left="838" w:right="2866" w:firstLine="2"/>
      </w:pPr>
      <w:r>
        <w:rPr>
          <w:b/>
          <w:color w:val="333333"/>
        </w:rPr>
        <w:t>5.5.32</w:t>
      </w:r>
      <w:r>
        <w:rPr>
          <w:b/>
          <w:color w:val="333333"/>
          <w:spacing w:val="9"/>
        </w:rPr>
        <w:t> </w:t>
      </w:r>
      <w:r>
        <w:rPr>
          <w:color w:val="333333"/>
          <w:spacing w:val="-10"/>
        </w:rPr>
        <w:t>建筑高度大于 </w:t>
      </w:r>
      <w:r>
        <w:rPr>
          <w:color w:val="333333"/>
        </w:rPr>
        <w:t>54m</w:t>
      </w:r>
      <w:r>
        <w:rPr>
          <w:color w:val="333333"/>
          <w:spacing w:val="-9"/>
        </w:rPr>
        <w:t> 的住宅建筑，每户应有一间房间符合下列规定： </w:t>
      </w:r>
      <w:r>
        <w:rPr>
          <w:color w:val="333333"/>
          <w:spacing w:val="-3"/>
        </w:rPr>
        <w:t>应靠外墙设置，并应设置可开启外窗；</w:t>
      </w:r>
      <w:r>
        <w:rPr>
          <w:color w:val="333333"/>
        </w:rPr>
        <w:t> </w:t>
      </w:r>
    </w:p>
    <w:p>
      <w:pPr>
        <w:pStyle w:val="BodyText"/>
        <w:spacing w:line="446" w:lineRule="auto"/>
        <w:ind w:left="418" w:right="1391" w:firstLine="419"/>
      </w:pPr>
      <w:r>
        <w:rPr>
          <w:color w:val="333333"/>
        </w:rPr>
        <w:t>内、外墙体的耐火极限不应低于 1.00h，该房间的门宜采用乙级防火门，外窗的耐火完整性不宜低于 1.00h。 </w:t>
      </w:r>
    </w:p>
    <w:p>
      <w:pPr>
        <w:spacing w:after="0" w:line="446" w:lineRule="auto"/>
        <w:sectPr>
          <w:pgSz w:w="11910" w:h="16850"/>
          <w:pgMar w:header="0" w:footer="1239" w:top="1220" w:bottom="1420" w:left="1260" w:right="0"/>
        </w:sectPr>
      </w:pPr>
    </w:p>
    <w:p>
      <w:pPr>
        <w:pStyle w:val="Heading4"/>
        <w:spacing w:before="37"/>
      </w:pPr>
      <w:r>
        <w:rPr/>
        <w:t>6 建筑构造</w:t>
      </w:r>
      <w:r>
        <w:rPr>
          <w:w w:val="99"/>
        </w:rPr>
        <w:t> </w:t>
      </w:r>
    </w:p>
    <w:p>
      <w:pPr>
        <w:pStyle w:val="BodyText"/>
        <w:spacing w:before="4"/>
        <w:rPr>
          <w:b/>
          <w:sz w:val="17"/>
        </w:rPr>
      </w:pPr>
    </w:p>
    <w:p>
      <w:pPr>
        <w:pStyle w:val="ListParagraph"/>
        <w:numPr>
          <w:ilvl w:val="1"/>
          <w:numId w:val="271"/>
        </w:numPr>
        <w:tabs>
          <w:tab w:pos="1213" w:val="left" w:leader="none"/>
        </w:tabs>
        <w:spacing w:line="240" w:lineRule="auto" w:before="1" w:after="0"/>
        <w:ind w:left="1212" w:right="0" w:hanging="373"/>
        <w:jc w:val="left"/>
        <w:rPr>
          <w:b/>
          <w:sz w:val="21"/>
        </w:rPr>
      </w:pPr>
      <w:r>
        <w:rPr>
          <w:spacing w:val="-3"/>
          <w:sz w:val="21"/>
        </w:rPr>
        <w:t>防火墙</w:t>
      </w:r>
      <w:r>
        <w:rPr>
          <w:b/>
          <w:w w:val="99"/>
          <w:sz w:val="21"/>
        </w:rPr>
        <w:t> </w:t>
      </w:r>
    </w:p>
    <w:p>
      <w:pPr>
        <w:pStyle w:val="BodyText"/>
        <w:spacing w:before="12"/>
        <w:rPr>
          <w:b/>
          <w:sz w:val="17"/>
        </w:rPr>
      </w:pPr>
    </w:p>
    <w:p>
      <w:pPr>
        <w:pStyle w:val="ListParagraph"/>
        <w:numPr>
          <w:ilvl w:val="2"/>
          <w:numId w:val="271"/>
        </w:numPr>
        <w:tabs>
          <w:tab w:pos="1371" w:val="left" w:leader="none"/>
        </w:tabs>
        <w:spacing w:line="446" w:lineRule="auto" w:before="0" w:after="0"/>
        <w:ind w:left="418" w:right="1604" w:firstLine="422"/>
        <w:jc w:val="left"/>
        <w:rPr>
          <w:sz w:val="21"/>
        </w:rPr>
      </w:pPr>
      <w:r>
        <w:rPr>
          <w:color w:val="333333"/>
          <w:spacing w:val="-3"/>
          <w:sz w:val="21"/>
        </w:rPr>
        <w:t>防火墙应直接设置在建筑的基础或框架、梁等承重结构上，框架、梁等承重结构的耐火极限不应低于防火墙的耐火极限。</w:t>
      </w:r>
      <w:r>
        <w:rPr>
          <w:color w:val="333333"/>
          <w:sz w:val="21"/>
        </w:rPr>
        <w:t> </w:t>
      </w:r>
    </w:p>
    <w:p>
      <w:pPr>
        <w:pStyle w:val="BodyText"/>
        <w:spacing w:line="446" w:lineRule="auto"/>
        <w:ind w:left="418" w:right="1503" w:firstLine="419"/>
      </w:pPr>
      <w:r>
        <w:rPr>
          <w:color w:val="333333"/>
          <w:spacing w:val="-3"/>
        </w:rPr>
        <w:t>防火墙应从楼地面基层隔断至梁、楼板或屋面板的底面基层。当高层厂房（</w:t>
      </w:r>
      <w:r>
        <w:rPr>
          <w:color w:val="333333"/>
        </w:rPr>
        <w:t>仓库</w:t>
      </w:r>
      <w:r>
        <w:rPr>
          <w:color w:val="333333"/>
          <w:spacing w:val="-3"/>
        </w:rPr>
        <w:t>）</w:t>
      </w:r>
      <w:r>
        <w:rPr>
          <w:color w:val="333333"/>
          <w:spacing w:val="-2"/>
        </w:rPr>
        <w:t>屋顶承</w:t>
      </w:r>
      <w:r>
        <w:rPr>
          <w:color w:val="333333"/>
          <w:spacing w:val="-6"/>
        </w:rPr>
        <w:t>重结构和屋面板的耐火极限低于 </w:t>
      </w:r>
      <w:r>
        <w:rPr>
          <w:color w:val="333333"/>
        </w:rPr>
        <w:t>1.00h</w:t>
      </w:r>
      <w:r>
        <w:rPr>
          <w:color w:val="333333"/>
          <w:spacing w:val="-5"/>
        </w:rPr>
        <w:t>，其他建筑屋顶承重结构和屋面板的耐火极限低于 </w:t>
      </w:r>
      <w:r>
        <w:rPr>
          <w:color w:val="333333"/>
        </w:rPr>
        <w:t>0.50h </w:t>
      </w:r>
      <w:r>
        <w:rPr>
          <w:color w:val="333333"/>
          <w:spacing w:val="-8"/>
        </w:rPr>
        <w:t>时，防火墙应高出屋面 </w:t>
      </w:r>
      <w:r>
        <w:rPr>
          <w:color w:val="333333"/>
        </w:rPr>
        <w:t>0.5m</w:t>
      </w:r>
      <w:r>
        <w:rPr>
          <w:color w:val="333333"/>
          <w:spacing w:val="-15"/>
        </w:rPr>
        <w:t> 以上。</w:t>
      </w:r>
      <w:r>
        <w:rPr>
          <w:color w:val="333333"/>
        </w:rPr>
        <w:t> </w:t>
      </w:r>
    </w:p>
    <w:p>
      <w:pPr>
        <w:pStyle w:val="ListParagraph"/>
        <w:numPr>
          <w:ilvl w:val="2"/>
          <w:numId w:val="271"/>
        </w:numPr>
        <w:tabs>
          <w:tab w:pos="1371" w:val="left" w:leader="none"/>
        </w:tabs>
        <w:spacing w:line="446" w:lineRule="auto" w:before="0" w:after="0"/>
        <w:ind w:left="418" w:right="1553" w:firstLine="422"/>
        <w:jc w:val="left"/>
        <w:rPr>
          <w:sz w:val="21"/>
        </w:rPr>
      </w:pPr>
      <w:r>
        <w:rPr>
          <w:color w:val="333333"/>
          <w:spacing w:val="-6"/>
          <w:sz w:val="21"/>
        </w:rPr>
        <w:t>防火墙横截面中心线水平距离天窗端面小于 </w:t>
      </w:r>
      <w:r>
        <w:rPr>
          <w:color w:val="333333"/>
          <w:sz w:val="21"/>
        </w:rPr>
        <w:t>4.0m</w:t>
      </w:r>
      <w:r>
        <w:rPr>
          <w:color w:val="333333"/>
          <w:spacing w:val="-3"/>
          <w:sz w:val="21"/>
        </w:rPr>
        <w:t>，且天窗端面为可燃性墙体时，应采取防止火势蔓延的措施。 </w:t>
      </w:r>
    </w:p>
    <w:p>
      <w:pPr>
        <w:pStyle w:val="ListParagraph"/>
        <w:numPr>
          <w:ilvl w:val="2"/>
          <w:numId w:val="271"/>
        </w:numPr>
        <w:tabs>
          <w:tab w:pos="1370" w:val="left" w:leader="none"/>
        </w:tabs>
        <w:spacing w:line="446" w:lineRule="auto" w:before="0" w:after="0"/>
        <w:ind w:left="418" w:right="1445" w:firstLine="422"/>
        <w:jc w:val="left"/>
        <w:rPr>
          <w:sz w:val="21"/>
        </w:rPr>
      </w:pPr>
      <w:r>
        <w:rPr>
          <w:color w:val="333333"/>
          <w:spacing w:val="-5"/>
          <w:sz w:val="21"/>
        </w:rPr>
        <w:t>建筑外墙为难燃性或可燃性墙体时，防火墙应凸出墙的外表面 </w:t>
      </w:r>
      <w:r>
        <w:rPr>
          <w:color w:val="333333"/>
          <w:sz w:val="21"/>
        </w:rPr>
        <w:t>0.4m 以上，且防火墙</w:t>
      </w:r>
      <w:r>
        <w:rPr>
          <w:color w:val="333333"/>
          <w:spacing w:val="-6"/>
          <w:sz w:val="21"/>
        </w:rPr>
        <w:t>两侧的外墙均应为宽度均不小于 </w:t>
      </w:r>
      <w:r>
        <w:rPr>
          <w:color w:val="333333"/>
          <w:sz w:val="21"/>
        </w:rPr>
        <w:t>2.0m</w:t>
      </w:r>
      <w:r>
        <w:rPr>
          <w:color w:val="333333"/>
          <w:spacing w:val="-3"/>
          <w:sz w:val="21"/>
        </w:rPr>
        <w:t> 的不燃性墙体，其耐火极限不应低于外墙的耐火极限。</w:t>
      </w:r>
      <w:r>
        <w:rPr>
          <w:color w:val="333333"/>
          <w:sz w:val="21"/>
        </w:rPr>
        <w:t> </w:t>
      </w:r>
    </w:p>
    <w:p>
      <w:pPr>
        <w:pStyle w:val="BodyText"/>
        <w:spacing w:line="446" w:lineRule="auto"/>
        <w:ind w:left="418" w:right="1558" w:firstLine="419"/>
        <w:jc w:val="both"/>
      </w:pPr>
      <w:r>
        <w:rPr>
          <w:color w:val="333333"/>
          <w:spacing w:val="-3"/>
        </w:rPr>
        <w:t>建筑外墙为不燃性墙体时，防火墙可不凸出墙的外表面，紧靠防火墙两侧的门、窗、洞口</w:t>
      </w:r>
      <w:r>
        <w:rPr>
          <w:color w:val="333333"/>
          <w:spacing w:val="-5"/>
        </w:rPr>
        <w:t>之间最近边缘的水平距离不应小于 </w:t>
      </w:r>
      <w:r>
        <w:rPr>
          <w:color w:val="333333"/>
        </w:rPr>
        <w:t>2.0m</w:t>
      </w:r>
      <w:r>
        <w:rPr>
          <w:color w:val="333333"/>
          <w:spacing w:val="-3"/>
        </w:rPr>
        <w:t>；采取设置乙级防火窗等防止火灾水平蔓延的措施时， 该距离不限。</w:t>
      </w:r>
      <w:r>
        <w:rPr>
          <w:color w:val="333333"/>
        </w:rPr>
        <w:t> </w:t>
      </w:r>
    </w:p>
    <w:p>
      <w:pPr>
        <w:pStyle w:val="ListParagraph"/>
        <w:numPr>
          <w:ilvl w:val="2"/>
          <w:numId w:val="271"/>
        </w:numPr>
        <w:tabs>
          <w:tab w:pos="1370" w:val="left" w:leader="none"/>
        </w:tabs>
        <w:spacing w:line="446" w:lineRule="auto" w:before="0" w:after="0"/>
        <w:ind w:left="418" w:right="1558" w:firstLine="422"/>
        <w:jc w:val="both"/>
        <w:rPr>
          <w:sz w:val="21"/>
        </w:rPr>
      </w:pPr>
      <w:r>
        <w:rPr>
          <w:color w:val="333333"/>
          <w:spacing w:val="-3"/>
          <w:sz w:val="21"/>
        </w:rPr>
        <w:t>建筑内的防火墙不宜设置在转角处，确需设置时，内转角两侧墙上的门、窗、洞口 </w:t>
      </w:r>
      <w:r>
        <w:rPr>
          <w:color w:val="333333"/>
          <w:spacing w:val="-5"/>
          <w:sz w:val="21"/>
        </w:rPr>
        <w:t>之间最近边缘的水平距离不应小于 </w:t>
      </w:r>
      <w:r>
        <w:rPr>
          <w:color w:val="333333"/>
          <w:sz w:val="21"/>
        </w:rPr>
        <w:t>4.0m</w:t>
      </w:r>
      <w:r>
        <w:rPr>
          <w:color w:val="333333"/>
          <w:spacing w:val="-3"/>
          <w:sz w:val="21"/>
        </w:rPr>
        <w:t>；采取设置乙级防火窗等防止火灾水平蔓延的措施时， 该距离不限。</w:t>
      </w:r>
      <w:r>
        <w:rPr>
          <w:color w:val="333333"/>
          <w:sz w:val="21"/>
        </w:rPr>
        <w:t> </w:t>
      </w:r>
    </w:p>
    <w:p>
      <w:pPr>
        <w:pStyle w:val="ListParagraph"/>
        <w:numPr>
          <w:ilvl w:val="2"/>
          <w:numId w:val="271"/>
        </w:numPr>
        <w:tabs>
          <w:tab w:pos="1370" w:val="left" w:leader="none"/>
        </w:tabs>
        <w:spacing w:line="446" w:lineRule="auto" w:before="0" w:after="0"/>
        <w:ind w:left="418" w:right="1604" w:firstLine="422"/>
        <w:jc w:val="left"/>
        <w:rPr>
          <w:sz w:val="21"/>
        </w:rPr>
      </w:pPr>
      <w:r>
        <w:rPr>
          <w:color w:val="333333"/>
          <w:spacing w:val="-3"/>
          <w:sz w:val="21"/>
        </w:rPr>
        <w:t>防火墙上不应开设门、窗、洞口，确需开设时，应设置不可开启或火灾时能自动关闭的甲级防火门、窗。</w:t>
      </w:r>
      <w:r>
        <w:rPr>
          <w:color w:val="333333"/>
          <w:sz w:val="21"/>
        </w:rPr>
        <w:t> </w:t>
      </w:r>
    </w:p>
    <w:p>
      <w:pPr>
        <w:pStyle w:val="BodyText"/>
        <w:spacing w:line="446" w:lineRule="auto"/>
        <w:ind w:left="840" w:right="1551" w:hanging="3"/>
      </w:pPr>
      <w:r>
        <w:rPr>
          <w:color w:val="333333"/>
          <w:spacing w:val="-3"/>
        </w:rPr>
        <w:t>可燃气体和甲、乙、丙类液体的管道严禁穿过防火墙。防火墙内不应设置排气道。   </w:t>
      </w:r>
      <w:r>
        <w:rPr>
          <w:b/>
          <w:color w:val="333333"/>
          <w:spacing w:val="-3"/>
        </w:rPr>
        <w:t>6.1.6</w:t>
      </w:r>
      <w:r>
        <w:rPr>
          <w:b/>
          <w:color w:val="333333"/>
          <w:spacing w:val="15"/>
        </w:rPr>
        <w:t> </w:t>
      </w:r>
      <w:r>
        <w:rPr>
          <w:color w:val="333333"/>
          <w:spacing w:val="-10"/>
        </w:rPr>
        <w:t>除本规范第 </w:t>
      </w:r>
      <w:r>
        <w:rPr>
          <w:color w:val="333333"/>
        </w:rPr>
        <w:t>6.1.5</w:t>
      </w:r>
      <w:r>
        <w:rPr>
          <w:color w:val="333333"/>
          <w:spacing w:val="-3"/>
        </w:rPr>
        <w:t> 条规定外的其他管道不宜穿过防火墙，确需穿过时，应采用防火</w:t>
      </w:r>
    </w:p>
    <w:p>
      <w:pPr>
        <w:pStyle w:val="BodyText"/>
        <w:spacing w:line="446" w:lineRule="auto"/>
        <w:ind w:left="418" w:right="1608"/>
      </w:pPr>
      <w:r>
        <w:rPr>
          <w:color w:val="333333"/>
        </w:rPr>
        <w:t>封堵材料将墙与管道之间的空隙紧密填实，穿过防火墙处的管道保温材料，应采用不燃材料； 当管道为难燃及可燃材料时，应在防火墙两侧的管道上采取防火措施。 </w:t>
      </w:r>
    </w:p>
    <w:p>
      <w:pPr>
        <w:pStyle w:val="BodyText"/>
        <w:spacing w:line="446" w:lineRule="auto"/>
        <w:ind w:left="418" w:right="1813" w:firstLine="422"/>
      </w:pPr>
      <w:r>
        <w:rPr>
          <w:b/>
          <w:color w:val="333333"/>
        </w:rPr>
        <w:t>6.1.7 </w:t>
      </w:r>
      <w:r>
        <w:rPr>
          <w:color w:val="333333"/>
        </w:rPr>
        <w:t>防火墙的构造应能在防火墙任意一侧的屋架、梁、楼板等受到火灾的影响而破坏时，不会导致防火墙倒塌。 </w:t>
      </w:r>
    </w:p>
    <w:p>
      <w:pPr>
        <w:pStyle w:val="ListParagraph"/>
        <w:numPr>
          <w:ilvl w:val="1"/>
          <w:numId w:val="271"/>
        </w:numPr>
        <w:tabs>
          <w:tab w:pos="1160" w:val="left" w:leader="none"/>
        </w:tabs>
        <w:spacing w:line="240" w:lineRule="auto" w:before="0" w:after="0"/>
        <w:ind w:left="1159" w:right="0" w:hanging="320"/>
        <w:jc w:val="left"/>
        <w:rPr>
          <w:b/>
          <w:sz w:val="21"/>
        </w:rPr>
      </w:pPr>
      <w:r>
        <w:rPr>
          <w:spacing w:val="-3"/>
          <w:sz w:val="21"/>
        </w:rPr>
        <w:t>建筑构件和管道井</w:t>
      </w:r>
      <w:r>
        <w:rPr>
          <w:b/>
          <w:w w:val="99"/>
          <w:sz w:val="21"/>
        </w:rPr>
        <w:t> </w:t>
      </w:r>
    </w:p>
    <w:p>
      <w:pPr>
        <w:pStyle w:val="BodyText"/>
        <w:spacing w:before="4"/>
        <w:rPr>
          <w:b/>
          <w:sz w:val="17"/>
        </w:rPr>
      </w:pPr>
    </w:p>
    <w:p>
      <w:pPr>
        <w:pStyle w:val="ListParagraph"/>
        <w:numPr>
          <w:ilvl w:val="2"/>
          <w:numId w:val="271"/>
        </w:numPr>
        <w:tabs>
          <w:tab w:pos="1370" w:val="left" w:leader="none"/>
        </w:tabs>
        <w:spacing w:line="240" w:lineRule="auto" w:before="1" w:after="0"/>
        <w:ind w:left="1369" w:right="0" w:hanging="530"/>
        <w:jc w:val="left"/>
        <w:rPr>
          <w:sz w:val="21"/>
        </w:rPr>
      </w:pPr>
      <w:r>
        <w:rPr>
          <w:color w:val="333333"/>
          <w:spacing w:val="-5"/>
          <w:sz w:val="21"/>
        </w:rPr>
        <w:t>剧场等建筑的舞台与观众厅之间的隔墙应采用耐火极限不低于 </w:t>
      </w:r>
      <w:r>
        <w:rPr>
          <w:color w:val="333333"/>
          <w:sz w:val="21"/>
        </w:rPr>
        <w:t>3.00h</w:t>
      </w:r>
      <w:r>
        <w:rPr>
          <w:color w:val="333333"/>
          <w:spacing w:val="-3"/>
          <w:sz w:val="21"/>
        </w:rPr>
        <w:t> 的防火隔墙。</w:t>
      </w:r>
      <w:r>
        <w:rPr>
          <w:color w:val="333333"/>
          <w:sz w:val="21"/>
        </w:rPr>
        <w:t> </w:t>
      </w:r>
    </w:p>
    <w:p>
      <w:pPr>
        <w:spacing w:after="0" w:line="240" w:lineRule="auto"/>
        <w:jc w:val="left"/>
        <w:rPr>
          <w:sz w:val="21"/>
        </w:rPr>
        <w:sectPr>
          <w:pgSz w:w="11910" w:h="16850"/>
          <w:pgMar w:header="0" w:footer="1239" w:top="1200" w:bottom="1420" w:left="1260" w:right="0"/>
        </w:sectPr>
      </w:pPr>
    </w:p>
    <w:p>
      <w:pPr>
        <w:pStyle w:val="BodyText"/>
        <w:spacing w:line="446" w:lineRule="auto" w:before="47"/>
        <w:ind w:left="418" w:right="1558" w:firstLine="419"/>
        <w:jc w:val="both"/>
      </w:pPr>
      <w:r>
        <w:rPr>
          <w:color w:val="333333"/>
          <w:spacing w:val="-5"/>
        </w:rPr>
        <w:t>舞台上部与观众厅闷顶之间的隔墙可采用耐火极限不低于 </w:t>
      </w:r>
      <w:r>
        <w:rPr>
          <w:color w:val="333333"/>
        </w:rPr>
        <w:t>1.50h</w:t>
      </w:r>
      <w:r>
        <w:rPr>
          <w:color w:val="333333"/>
          <w:spacing w:val="-2"/>
        </w:rPr>
        <w:t> 的防火隔墙，隔墙上的门</w:t>
      </w:r>
      <w:r>
        <w:rPr>
          <w:color w:val="333333"/>
          <w:spacing w:val="-3"/>
        </w:rPr>
        <w:t>应采用乙级防火门。</w:t>
      </w:r>
      <w:r>
        <w:rPr>
          <w:color w:val="333333"/>
        </w:rPr>
        <w:t> </w:t>
      </w:r>
    </w:p>
    <w:p>
      <w:pPr>
        <w:pStyle w:val="BodyText"/>
        <w:spacing w:line="446" w:lineRule="auto"/>
        <w:ind w:left="418" w:right="1558" w:firstLine="419"/>
        <w:jc w:val="both"/>
      </w:pPr>
      <w:r>
        <w:rPr>
          <w:color w:val="333333"/>
          <w:spacing w:val="-5"/>
        </w:rPr>
        <w:t>舞台下部的灯光操作室和可燃物储藏室应采用耐火极限不低于 </w:t>
      </w:r>
      <w:r>
        <w:rPr>
          <w:color w:val="333333"/>
        </w:rPr>
        <w:t>2.00h</w:t>
      </w:r>
      <w:r>
        <w:rPr>
          <w:color w:val="333333"/>
          <w:spacing w:val="-1"/>
        </w:rPr>
        <w:t> 的防火隔墙与其他部</w:t>
      </w:r>
      <w:r>
        <w:rPr>
          <w:color w:val="333333"/>
          <w:spacing w:val="-3"/>
        </w:rPr>
        <w:t>位分隔。</w:t>
      </w:r>
      <w:r>
        <w:rPr>
          <w:color w:val="333333"/>
        </w:rPr>
        <w:t> </w:t>
      </w:r>
    </w:p>
    <w:p>
      <w:pPr>
        <w:pStyle w:val="BodyText"/>
        <w:spacing w:line="446" w:lineRule="auto"/>
        <w:ind w:left="418" w:right="1558" w:firstLine="419"/>
        <w:jc w:val="both"/>
      </w:pPr>
      <w:r>
        <w:rPr>
          <w:color w:val="333333"/>
          <w:spacing w:val="-5"/>
        </w:rPr>
        <w:t>电影放映室、卷片室应采用耐火极限不低于 </w:t>
      </w:r>
      <w:r>
        <w:rPr>
          <w:color w:val="333333"/>
        </w:rPr>
        <w:t>1.50h</w:t>
      </w:r>
      <w:r>
        <w:rPr>
          <w:color w:val="333333"/>
          <w:spacing w:val="-3"/>
        </w:rPr>
        <w:t> 的防火隔墙与其他部位分隔，观察孔和放映孔应采取防火分隔措施。</w:t>
      </w:r>
      <w:r>
        <w:rPr>
          <w:color w:val="333333"/>
        </w:rPr>
        <w:t> </w:t>
      </w:r>
    </w:p>
    <w:p>
      <w:pPr>
        <w:pStyle w:val="ListParagraph"/>
        <w:numPr>
          <w:ilvl w:val="2"/>
          <w:numId w:val="271"/>
        </w:numPr>
        <w:tabs>
          <w:tab w:pos="1370" w:val="left" w:leader="none"/>
        </w:tabs>
        <w:spacing w:line="446" w:lineRule="auto" w:before="0" w:after="0"/>
        <w:ind w:left="418" w:right="1604" w:firstLine="422"/>
        <w:jc w:val="both"/>
        <w:rPr>
          <w:sz w:val="21"/>
        </w:rPr>
      </w:pPr>
      <w:r>
        <w:rPr>
          <w:color w:val="333333"/>
          <w:spacing w:val="-3"/>
          <w:sz w:val="21"/>
        </w:rPr>
        <w:t>医疗建筑内的手术室或手术部、产房、重症监护室、贵重精密医疗装备用房、储藏间、实验室、胶片室等，附设在建筑内的托儿所、幼儿园的儿童用房和儿童游乐厅等儿童活动</w:t>
      </w:r>
      <w:r>
        <w:rPr>
          <w:color w:val="333333"/>
          <w:spacing w:val="-5"/>
          <w:sz w:val="21"/>
        </w:rPr>
        <w:t>场所、老年人照料设施，应采用耐火极限不低于 </w:t>
      </w:r>
      <w:r>
        <w:rPr>
          <w:color w:val="333333"/>
          <w:sz w:val="21"/>
        </w:rPr>
        <w:t>2.00h</w:t>
      </w:r>
      <w:r>
        <w:rPr>
          <w:color w:val="333333"/>
          <w:spacing w:val="-14"/>
          <w:sz w:val="21"/>
        </w:rPr>
        <w:t> 的防火隔墙和 </w:t>
      </w:r>
      <w:r>
        <w:rPr>
          <w:color w:val="333333"/>
          <w:sz w:val="21"/>
        </w:rPr>
        <w:t>1.00h</w:t>
      </w:r>
      <w:r>
        <w:rPr>
          <w:color w:val="333333"/>
          <w:spacing w:val="-8"/>
          <w:sz w:val="21"/>
        </w:rPr>
        <w:t> 的楼板与其他场所</w:t>
      </w:r>
      <w:r>
        <w:rPr>
          <w:color w:val="333333"/>
          <w:spacing w:val="-5"/>
          <w:sz w:val="21"/>
        </w:rPr>
        <w:t>或部位分隔，墙上必须设置的门、窗应采用乙级防火门、窗。</w:t>
      </w:r>
      <w:r>
        <w:rPr>
          <w:color w:val="333333"/>
          <w:sz w:val="21"/>
        </w:rPr>
        <w:t> </w:t>
      </w:r>
    </w:p>
    <w:p>
      <w:pPr>
        <w:pStyle w:val="ListParagraph"/>
        <w:numPr>
          <w:ilvl w:val="2"/>
          <w:numId w:val="271"/>
        </w:numPr>
        <w:tabs>
          <w:tab w:pos="1371" w:val="left" w:leader="none"/>
        </w:tabs>
        <w:spacing w:line="446" w:lineRule="auto" w:before="0" w:after="0"/>
        <w:ind w:left="418" w:right="1553" w:firstLine="422"/>
        <w:jc w:val="both"/>
        <w:rPr>
          <w:sz w:val="21"/>
        </w:rPr>
      </w:pPr>
      <w:r>
        <w:rPr>
          <w:color w:val="333333"/>
          <w:spacing w:val="-6"/>
          <w:sz w:val="21"/>
        </w:rPr>
        <w:t>建筑内的下列部位应采用耐火极限不低于 </w:t>
      </w:r>
      <w:r>
        <w:rPr>
          <w:color w:val="333333"/>
          <w:sz w:val="21"/>
        </w:rPr>
        <w:t>2.00h</w:t>
      </w:r>
      <w:r>
        <w:rPr>
          <w:color w:val="333333"/>
          <w:spacing w:val="-3"/>
          <w:sz w:val="21"/>
        </w:rPr>
        <w:t> 的防火隔墙与其他部位分隔，墙上</w:t>
      </w:r>
      <w:r>
        <w:rPr>
          <w:color w:val="333333"/>
          <w:spacing w:val="-4"/>
          <w:sz w:val="21"/>
        </w:rPr>
        <w:t>的门、窗应采用乙级防火门、窗，确有困难时，可采用防火卷帘，但应符合本规范第 </w:t>
      </w:r>
      <w:r>
        <w:rPr>
          <w:color w:val="333333"/>
          <w:sz w:val="21"/>
        </w:rPr>
        <w:t>6.5.3</w:t>
      </w:r>
      <w:r>
        <w:rPr>
          <w:color w:val="333333"/>
          <w:spacing w:val="12"/>
          <w:sz w:val="21"/>
        </w:rPr>
        <w:t> 条</w:t>
      </w:r>
      <w:r>
        <w:rPr>
          <w:color w:val="333333"/>
          <w:spacing w:val="4"/>
          <w:sz w:val="21"/>
        </w:rPr>
        <w:t>的规定：</w:t>
      </w:r>
      <w:r>
        <w:rPr>
          <w:color w:val="333333"/>
          <w:sz w:val="21"/>
        </w:rPr>
        <w:t> </w:t>
      </w:r>
    </w:p>
    <w:p>
      <w:pPr>
        <w:pStyle w:val="BodyText"/>
        <w:spacing w:line="446" w:lineRule="auto"/>
        <w:ind w:left="838" w:right="5077"/>
      </w:pPr>
      <w:r>
        <w:rPr>
          <w:color w:val="333333"/>
        </w:rPr>
        <w:t>甲、乙类生产部位和建筑内使用丙类液体的部位； 厂房内有明火和高温的部位； </w:t>
      </w:r>
    </w:p>
    <w:p>
      <w:pPr>
        <w:pStyle w:val="BodyText"/>
        <w:ind w:left="838"/>
      </w:pPr>
      <w:r>
        <w:rPr>
          <w:color w:val="333333"/>
        </w:rPr>
        <w:t>甲、乙、丙类厂房（仓库）内布置有不同火灾危险性类别的房间； </w:t>
      </w:r>
    </w:p>
    <w:p>
      <w:pPr>
        <w:pStyle w:val="BodyText"/>
        <w:spacing w:before="7"/>
        <w:rPr>
          <w:sz w:val="17"/>
        </w:rPr>
      </w:pPr>
    </w:p>
    <w:p>
      <w:pPr>
        <w:pStyle w:val="BodyText"/>
        <w:ind w:left="838"/>
      </w:pPr>
      <w:r>
        <w:rPr>
          <w:color w:val="333333"/>
          <w:w w:val="100"/>
        </w:rPr>
        <w:t> </w:t>
      </w:r>
      <w:r>
        <w:rPr>
          <w:color w:val="333333"/>
        </w:rPr>
        <w:t>民用建筑内的附属库房，剧场后台的辅助用房； </w:t>
      </w:r>
    </w:p>
    <w:p>
      <w:pPr>
        <w:pStyle w:val="BodyText"/>
        <w:spacing w:before="12"/>
        <w:rPr>
          <w:sz w:val="17"/>
        </w:rPr>
      </w:pPr>
    </w:p>
    <w:p>
      <w:pPr>
        <w:pStyle w:val="BodyText"/>
        <w:spacing w:line="446" w:lineRule="auto" w:before="1"/>
        <w:ind w:left="838" w:right="2134"/>
      </w:pPr>
      <w:r>
        <w:rPr>
          <w:color w:val="333333"/>
          <w:spacing w:val="-3"/>
        </w:rPr>
        <w:t>除居住建筑中套内的厨房外，宿舍、公寓建筑中的公共厨房和其他建筑内的厨房； 附设在住宅建筑内的机动车库。</w:t>
      </w:r>
      <w:r>
        <w:rPr>
          <w:color w:val="333333"/>
        </w:rPr>
        <w:t> </w:t>
      </w:r>
    </w:p>
    <w:p>
      <w:pPr>
        <w:pStyle w:val="ListParagraph"/>
        <w:numPr>
          <w:ilvl w:val="2"/>
          <w:numId w:val="271"/>
        </w:numPr>
        <w:tabs>
          <w:tab w:pos="1370" w:val="left" w:leader="none"/>
        </w:tabs>
        <w:spacing w:line="446" w:lineRule="auto" w:before="0" w:after="0"/>
        <w:ind w:left="418" w:right="1604" w:firstLine="422"/>
        <w:jc w:val="left"/>
        <w:rPr>
          <w:sz w:val="21"/>
        </w:rPr>
      </w:pPr>
      <w:r>
        <w:rPr>
          <w:color w:val="333333"/>
          <w:spacing w:val="-3"/>
          <w:sz w:val="21"/>
        </w:rPr>
        <w:t>建筑内的防火隔墙应从楼地面基层隔断至梁、楼板或屋面板的底面基层。住宅分户墙和单元之间的墙应隔断至梁、楼板或屋面板的底面基层，屋面板的的耐火极限不应低于0.50h。</w:t>
      </w:r>
      <w:r>
        <w:rPr>
          <w:color w:val="333333"/>
          <w:sz w:val="21"/>
        </w:rPr>
        <w:t> </w:t>
      </w:r>
    </w:p>
    <w:p>
      <w:pPr>
        <w:pStyle w:val="ListParagraph"/>
        <w:numPr>
          <w:ilvl w:val="2"/>
          <w:numId w:val="271"/>
        </w:numPr>
        <w:tabs>
          <w:tab w:pos="1371" w:val="left" w:leader="none"/>
        </w:tabs>
        <w:spacing w:line="446" w:lineRule="auto" w:before="0" w:after="0"/>
        <w:ind w:left="418" w:right="1347" w:firstLine="422"/>
        <w:jc w:val="both"/>
        <w:rPr>
          <w:sz w:val="21"/>
        </w:rPr>
      </w:pPr>
      <w:r>
        <w:rPr>
          <w:color w:val="333333"/>
          <w:spacing w:val="-5"/>
          <w:sz w:val="21"/>
        </w:rPr>
        <w:t>除本规范另有规定外，建筑外墙上、下层开口之间应设置高度不小于 </w:t>
      </w:r>
      <w:r>
        <w:rPr>
          <w:color w:val="333333"/>
          <w:sz w:val="21"/>
        </w:rPr>
        <w:t>1.2m</w:t>
      </w:r>
      <w:r>
        <w:rPr>
          <w:color w:val="333333"/>
          <w:spacing w:val="-9"/>
          <w:sz w:val="21"/>
        </w:rPr>
        <w:t> 的实体墙或</w:t>
      </w:r>
      <w:r>
        <w:rPr>
          <w:color w:val="333333"/>
          <w:spacing w:val="-10"/>
          <w:sz w:val="21"/>
        </w:rPr>
        <w:t>挑出宽度不小于 </w:t>
      </w:r>
      <w:r>
        <w:rPr>
          <w:color w:val="333333"/>
          <w:sz w:val="21"/>
        </w:rPr>
        <w:t>1.0m</w:t>
      </w:r>
      <w:r>
        <w:rPr>
          <w:color w:val="333333"/>
          <w:spacing w:val="-3"/>
          <w:sz w:val="21"/>
        </w:rPr>
        <w:t>、长度不小于开口宽度的防火挑檐；当室内设置自动喷水灭火系统时， 上</w:t>
      </w:r>
      <w:r>
        <w:rPr>
          <w:color w:val="333333"/>
          <w:spacing w:val="-6"/>
          <w:sz w:val="21"/>
        </w:rPr>
        <w:t>、下层开口之间的实体墙高度不应小于 </w:t>
      </w:r>
      <w:r>
        <w:rPr>
          <w:color w:val="333333"/>
          <w:sz w:val="21"/>
        </w:rPr>
        <w:t>0.8m</w:t>
      </w:r>
      <w:r>
        <w:rPr>
          <w:color w:val="333333"/>
          <w:spacing w:val="-3"/>
          <w:sz w:val="21"/>
        </w:rPr>
        <w:t>。当上、下层开口之间设置实体墙确有困难时， 可</w:t>
      </w:r>
      <w:r>
        <w:rPr>
          <w:color w:val="333333"/>
          <w:spacing w:val="-5"/>
          <w:sz w:val="21"/>
        </w:rPr>
        <w:t>设置防火玻璃墙，但高层建筑的防火玻璃墙的耐火完整性不应低于 </w:t>
      </w:r>
      <w:r>
        <w:rPr>
          <w:color w:val="333333"/>
          <w:sz w:val="21"/>
        </w:rPr>
        <w:t>1.00h</w:t>
      </w:r>
      <w:r>
        <w:rPr>
          <w:color w:val="333333"/>
          <w:spacing w:val="-3"/>
          <w:sz w:val="21"/>
        </w:rPr>
        <w:t>，多层建筑的防火玻璃</w:t>
      </w:r>
      <w:r>
        <w:rPr>
          <w:color w:val="333333"/>
          <w:spacing w:val="-7"/>
          <w:sz w:val="21"/>
        </w:rPr>
        <w:t>墙的耐火完整性不应低于 </w:t>
      </w:r>
      <w:r>
        <w:rPr>
          <w:color w:val="333333"/>
          <w:sz w:val="21"/>
        </w:rPr>
        <w:t>0.50h</w:t>
      </w:r>
      <w:r>
        <w:rPr>
          <w:color w:val="333333"/>
          <w:spacing w:val="-3"/>
          <w:sz w:val="21"/>
        </w:rPr>
        <w:t>。外窗的耐火完整性不应低于防火玻璃墙的耐火完整性要求。</w:t>
      </w:r>
      <w:r>
        <w:rPr>
          <w:color w:val="333333"/>
          <w:sz w:val="21"/>
        </w:rPr>
        <w:t> </w:t>
      </w:r>
    </w:p>
    <w:p>
      <w:pPr>
        <w:pStyle w:val="BodyText"/>
        <w:spacing w:line="268" w:lineRule="exact"/>
        <w:ind w:left="838"/>
        <w:jc w:val="both"/>
      </w:pPr>
      <w:r>
        <w:rPr>
          <w:color w:val="333333"/>
        </w:rPr>
        <w:t>住宅建筑外墙上相邻户开口之间的墙体宽度不应小于 1.0m；小于 1.0m 时，应在开口之间</w:t>
      </w:r>
    </w:p>
    <w:p>
      <w:pPr>
        <w:spacing w:after="0" w:line="268" w:lineRule="exact"/>
        <w:jc w:val="both"/>
        <w:sectPr>
          <w:pgSz w:w="11910" w:h="16850"/>
          <w:pgMar w:header="0" w:footer="1239" w:top="1220" w:bottom="1420" w:left="1260" w:right="0"/>
        </w:sectPr>
      </w:pPr>
    </w:p>
    <w:p>
      <w:pPr>
        <w:pStyle w:val="BodyText"/>
        <w:spacing w:before="47"/>
        <w:ind w:left="418"/>
      </w:pPr>
      <w:r>
        <w:rPr>
          <w:color w:val="333333"/>
        </w:rPr>
        <w:t>设置突出外墙不小于 0.6m 的隔板。 </w:t>
      </w:r>
    </w:p>
    <w:p>
      <w:pPr>
        <w:pStyle w:val="BodyText"/>
        <w:rPr>
          <w:sz w:val="18"/>
        </w:rPr>
      </w:pPr>
    </w:p>
    <w:p>
      <w:pPr>
        <w:pStyle w:val="BodyText"/>
        <w:spacing w:line="446" w:lineRule="auto"/>
        <w:ind w:left="418" w:right="1609" w:firstLine="419"/>
      </w:pPr>
      <w:r>
        <w:rPr>
          <w:color w:val="333333"/>
        </w:rPr>
        <w:t>实体墙、防火挑檐和隔板的耐火极限和燃烧性能，均不应低于相应耐火等级建筑外墙的要求。 </w:t>
      </w:r>
    </w:p>
    <w:p>
      <w:pPr>
        <w:pStyle w:val="ListParagraph"/>
        <w:numPr>
          <w:ilvl w:val="2"/>
          <w:numId w:val="271"/>
        </w:numPr>
        <w:tabs>
          <w:tab w:pos="1370" w:val="left" w:leader="none"/>
        </w:tabs>
        <w:spacing w:line="446" w:lineRule="auto" w:before="0" w:after="0"/>
        <w:ind w:left="418" w:right="1553" w:firstLine="422"/>
        <w:jc w:val="left"/>
        <w:rPr>
          <w:sz w:val="21"/>
        </w:rPr>
      </w:pPr>
      <w:r>
        <w:rPr>
          <w:color w:val="333333"/>
          <w:spacing w:val="-5"/>
          <w:sz w:val="21"/>
        </w:rPr>
        <w:t>建筑幕墙应在每层楼板外沿处采取符合本规范第 </w:t>
      </w:r>
      <w:r>
        <w:rPr>
          <w:color w:val="333333"/>
          <w:sz w:val="21"/>
        </w:rPr>
        <w:t>6.2.5</w:t>
      </w:r>
      <w:r>
        <w:rPr>
          <w:color w:val="333333"/>
          <w:spacing w:val="-3"/>
          <w:sz w:val="21"/>
        </w:rPr>
        <w:t> 条规定的防火措施，幕墙与每层楼板、隔墙处的缝隙应采用防火封堵材料封堵。 </w:t>
      </w:r>
    </w:p>
    <w:p>
      <w:pPr>
        <w:pStyle w:val="ListParagraph"/>
        <w:numPr>
          <w:ilvl w:val="2"/>
          <w:numId w:val="271"/>
        </w:numPr>
        <w:tabs>
          <w:tab w:pos="1370" w:val="left" w:leader="none"/>
        </w:tabs>
        <w:spacing w:line="446" w:lineRule="auto" w:before="0" w:after="0"/>
        <w:ind w:left="418" w:right="1604" w:firstLine="422"/>
        <w:jc w:val="left"/>
        <w:rPr>
          <w:sz w:val="21"/>
        </w:rPr>
      </w:pPr>
      <w:r>
        <w:rPr>
          <w:color w:val="333333"/>
          <w:spacing w:val="-3"/>
          <w:sz w:val="21"/>
        </w:rPr>
        <w:t>附设在建筑内的消防控制室、灭火设备室、消防水泵房和通风空气调节机房、变配</w:t>
      </w:r>
      <w:r>
        <w:rPr>
          <w:color w:val="333333"/>
          <w:spacing w:val="-7"/>
          <w:sz w:val="21"/>
        </w:rPr>
        <w:t>电室等，应采用耐火极限不低于 </w:t>
      </w:r>
      <w:r>
        <w:rPr>
          <w:color w:val="333333"/>
          <w:sz w:val="21"/>
        </w:rPr>
        <w:t>2.00h</w:t>
      </w:r>
      <w:r>
        <w:rPr>
          <w:color w:val="333333"/>
          <w:spacing w:val="-9"/>
          <w:sz w:val="21"/>
        </w:rPr>
        <w:t> 的防火隔墙和 </w:t>
      </w:r>
      <w:r>
        <w:rPr>
          <w:color w:val="333333"/>
          <w:sz w:val="21"/>
        </w:rPr>
        <w:t>1.50h</w:t>
      </w:r>
      <w:r>
        <w:rPr>
          <w:color w:val="333333"/>
          <w:spacing w:val="-3"/>
          <w:sz w:val="21"/>
        </w:rPr>
        <w:t> 的楼板与其他部位分隔。</w:t>
      </w:r>
      <w:r>
        <w:rPr>
          <w:color w:val="333333"/>
          <w:sz w:val="21"/>
        </w:rPr>
        <w:t> </w:t>
      </w:r>
    </w:p>
    <w:p>
      <w:pPr>
        <w:pStyle w:val="BodyText"/>
        <w:spacing w:line="446" w:lineRule="auto"/>
        <w:ind w:left="418" w:right="1505" w:firstLine="419"/>
      </w:pPr>
      <w:r>
        <w:rPr>
          <w:color w:val="333333"/>
          <w:spacing w:val="-5"/>
        </w:rPr>
        <w:t>设置在丁、戊类厂房内的通风机房，应采用耐火极限不低于 </w:t>
      </w:r>
      <w:r>
        <w:rPr>
          <w:color w:val="333333"/>
        </w:rPr>
        <w:t>1.00h</w:t>
      </w:r>
      <w:r>
        <w:rPr>
          <w:color w:val="333333"/>
          <w:spacing w:val="-7"/>
        </w:rPr>
        <w:t> 的防火隔墙和 </w:t>
      </w:r>
      <w:r>
        <w:rPr>
          <w:color w:val="333333"/>
        </w:rPr>
        <w:t>0.50h</w:t>
      </w:r>
      <w:r>
        <w:rPr>
          <w:color w:val="333333"/>
          <w:spacing w:val="5"/>
        </w:rPr>
        <w:t> 的</w:t>
      </w:r>
      <w:r>
        <w:rPr>
          <w:color w:val="333333"/>
          <w:spacing w:val="-3"/>
        </w:rPr>
        <w:t>楼板与其他部位分隔。</w:t>
      </w:r>
      <w:r>
        <w:rPr>
          <w:color w:val="333333"/>
        </w:rPr>
        <w:t> </w:t>
      </w:r>
    </w:p>
    <w:p>
      <w:pPr>
        <w:pStyle w:val="BodyText"/>
        <w:spacing w:line="446" w:lineRule="auto"/>
        <w:ind w:left="418" w:right="1609" w:firstLine="419"/>
      </w:pPr>
      <w:r>
        <w:rPr>
          <w:color w:val="333333"/>
        </w:rPr>
        <w:t>通风、空气调节机房和变配电室开向建筑内的门应采用甲级防火门，消防控制室和其他设备房开向建筑内的门应采用乙级防火门。 </w:t>
      </w:r>
    </w:p>
    <w:p>
      <w:pPr>
        <w:pStyle w:val="ListParagraph"/>
        <w:numPr>
          <w:ilvl w:val="2"/>
          <w:numId w:val="271"/>
        </w:numPr>
        <w:tabs>
          <w:tab w:pos="1370" w:val="left" w:leader="none"/>
        </w:tabs>
        <w:spacing w:line="446" w:lineRule="auto" w:before="0" w:after="0"/>
        <w:ind w:left="418" w:right="1604" w:firstLine="422"/>
        <w:jc w:val="left"/>
        <w:rPr>
          <w:sz w:val="21"/>
        </w:rPr>
      </w:pPr>
      <w:r>
        <w:rPr>
          <w:color w:val="333333"/>
          <w:spacing w:val="-3"/>
          <w:sz w:val="21"/>
        </w:rPr>
        <w:t>冷库、低温环境生产场所采用泡沫塑料等可燃材料作墙体内的绝热层时，宜采用不燃绝热材料在每层楼板处做水平防火分隔。防火分隔部位的耐火极限不应低于楼板的耐火极 限。冷库阁楼层和墙体的可燃绝热层宜采用不燃性墙体分隔。</w:t>
      </w:r>
      <w:r>
        <w:rPr>
          <w:color w:val="333333"/>
          <w:sz w:val="21"/>
        </w:rPr>
        <w:t> </w:t>
      </w:r>
    </w:p>
    <w:p>
      <w:pPr>
        <w:pStyle w:val="BodyText"/>
        <w:spacing w:line="446" w:lineRule="auto"/>
        <w:ind w:left="418" w:right="1503" w:firstLine="419"/>
      </w:pPr>
      <w:r>
        <w:rPr>
          <w:color w:val="333333"/>
          <w:spacing w:val="-4"/>
        </w:rPr>
        <w:t>冷库、低温环境生产场所采用泡沫塑料作内绝热层时，绝热层的燃烧性能不应低于 </w:t>
      </w:r>
      <w:r>
        <w:rPr>
          <w:color w:val="333333"/>
        </w:rPr>
        <w:t>B1</w:t>
      </w:r>
      <w:r>
        <w:rPr>
          <w:color w:val="333333"/>
          <w:spacing w:val="-12"/>
        </w:rPr>
        <w:t> 级， </w:t>
      </w:r>
      <w:r>
        <w:rPr>
          <w:color w:val="333333"/>
          <w:spacing w:val="-6"/>
        </w:rPr>
        <w:t>且绝热层的表面应采用不燃材料做防护层。</w:t>
      </w:r>
      <w:r>
        <w:rPr>
          <w:color w:val="333333"/>
        </w:rPr>
        <w:t> </w:t>
      </w:r>
    </w:p>
    <w:p>
      <w:pPr>
        <w:pStyle w:val="BodyText"/>
        <w:spacing w:line="446" w:lineRule="auto"/>
        <w:ind w:left="418" w:right="1608" w:firstLine="419"/>
        <w:jc w:val="both"/>
      </w:pPr>
      <w:r>
        <w:rPr>
          <w:color w:val="333333"/>
        </w:rPr>
        <w:t>冷库的库房与加工车间贴邻建造时，应采用防火墙分隔，当确需开设相互连通的开口时， 应采取防火间隔等措施进行分隔，间隔两侧的门应为甲级防火门。当冷库的氨压缩机房与工车间贴邻时，应采用不开门窗洞口的防火墙分隔。 </w:t>
      </w:r>
    </w:p>
    <w:p>
      <w:pPr>
        <w:pStyle w:val="ListParagraph"/>
        <w:numPr>
          <w:ilvl w:val="2"/>
          <w:numId w:val="271"/>
        </w:numPr>
        <w:tabs>
          <w:tab w:pos="1370" w:val="left" w:leader="none"/>
        </w:tabs>
        <w:spacing w:line="268" w:lineRule="exact" w:before="0" w:after="0"/>
        <w:ind w:left="1369" w:right="0" w:hanging="530"/>
        <w:jc w:val="left"/>
        <w:rPr>
          <w:sz w:val="21"/>
        </w:rPr>
      </w:pPr>
      <w:r>
        <w:rPr>
          <w:color w:val="333333"/>
          <w:spacing w:val="-3"/>
          <w:sz w:val="21"/>
        </w:rPr>
        <w:t>建筑内的电梯井等竖井应符合下列规定：</w:t>
      </w:r>
      <w:r>
        <w:rPr>
          <w:color w:val="333333"/>
          <w:sz w:val="21"/>
        </w:rPr>
        <w:t> </w:t>
      </w:r>
    </w:p>
    <w:p>
      <w:pPr>
        <w:pStyle w:val="BodyText"/>
        <w:spacing w:before="7"/>
        <w:rPr>
          <w:sz w:val="17"/>
        </w:rPr>
      </w:pPr>
    </w:p>
    <w:p>
      <w:pPr>
        <w:pStyle w:val="BodyText"/>
        <w:spacing w:line="446" w:lineRule="auto"/>
        <w:ind w:left="418" w:right="1608" w:firstLine="419"/>
        <w:jc w:val="both"/>
      </w:pPr>
      <w:r>
        <w:rPr>
          <w:color w:val="333333"/>
        </w:rPr>
        <w:t>电梯井应独立设置，井内严禁敷设可燃气体和甲、乙、丙类液体管道，不应敷设与电梯无关的电缆、电线等。电梯井的井壁除设置电梯门、安全逃生门和通气孔洞外，不应设置其他开口； </w:t>
      </w:r>
    </w:p>
    <w:p>
      <w:pPr>
        <w:pStyle w:val="BodyText"/>
        <w:spacing w:line="446" w:lineRule="auto"/>
        <w:ind w:left="418" w:right="1609" w:firstLine="419"/>
        <w:jc w:val="both"/>
      </w:pPr>
      <w:r>
        <w:rPr>
          <w:color w:val="333333"/>
        </w:rPr>
        <w:t>电缆井、管道井、排烟道、排气道、垃圾道等竖向井道，应分别独立设置。井壁的耐火极限不应低于 1.00h，井壁上的检查门应采用丙级防火门； </w:t>
      </w:r>
    </w:p>
    <w:p>
      <w:pPr>
        <w:pStyle w:val="BodyText"/>
        <w:spacing w:line="446" w:lineRule="auto"/>
        <w:ind w:left="418" w:right="1609" w:firstLine="419"/>
      </w:pPr>
      <w:r>
        <w:rPr>
          <w:color w:val="333333"/>
        </w:rPr>
        <w:t>建筑内的电缆井、管道井应在每层楼板处采用不低于楼板耐火极限的不燃材料或防火封堵材料封堵。 </w:t>
      </w:r>
    </w:p>
    <w:p>
      <w:pPr>
        <w:pStyle w:val="BodyText"/>
        <w:ind w:left="838"/>
      </w:pPr>
      <w:r>
        <w:rPr>
          <w:color w:val="333333"/>
        </w:rPr>
        <w:t>建筑内的电缆井、管道井与房间、走道等相连通的孔隙应采用防火封堵材料封堵； </w:t>
      </w:r>
    </w:p>
    <w:p>
      <w:pPr>
        <w:spacing w:after="0"/>
        <w:sectPr>
          <w:pgSz w:w="11910" w:h="16850"/>
          <w:pgMar w:header="0" w:footer="1239" w:top="1220" w:bottom="1420" w:left="1260" w:right="0"/>
        </w:sectPr>
      </w:pPr>
    </w:p>
    <w:p>
      <w:pPr>
        <w:pStyle w:val="BodyText"/>
        <w:spacing w:line="446" w:lineRule="auto" w:before="47"/>
        <w:ind w:left="418" w:right="1609" w:firstLine="419"/>
      </w:pPr>
      <w:r>
        <w:rPr>
          <w:color w:val="333333"/>
        </w:rPr>
        <w:t>建筑内的垃圾道宜靠外墙设置，垃圾道的排气口应直接开向室外，垃圾斗应采用不燃材料制作，并应能自行关闭； </w:t>
      </w:r>
    </w:p>
    <w:p>
      <w:pPr>
        <w:pStyle w:val="BodyText"/>
        <w:spacing w:line="446" w:lineRule="auto"/>
        <w:ind w:left="418" w:right="1708" w:firstLine="419"/>
      </w:pPr>
      <w:r>
        <w:rPr>
          <w:color w:val="333333"/>
        </w:rPr>
        <w:t>电梯层门的耐火极限不应低于 1.00h，并应符合现行国家标准《电梯层门耐火试验 完整性、隔热性和热通量测定法》GB/T 27903 规定的完整性和隔热性要求。 </w:t>
      </w:r>
    </w:p>
    <w:p>
      <w:pPr>
        <w:pStyle w:val="ListParagraph"/>
        <w:numPr>
          <w:ilvl w:val="2"/>
          <w:numId w:val="271"/>
        </w:numPr>
        <w:tabs>
          <w:tab w:pos="1478" w:val="left" w:leader="none"/>
        </w:tabs>
        <w:spacing w:line="446" w:lineRule="auto" w:before="0" w:after="0"/>
        <w:ind w:left="838" w:right="2864" w:firstLine="2"/>
        <w:jc w:val="left"/>
        <w:rPr>
          <w:b/>
          <w:sz w:val="21"/>
        </w:rPr>
      </w:pPr>
      <w:r>
        <w:rPr>
          <w:color w:val="333333"/>
          <w:spacing w:val="-3"/>
          <w:sz w:val="21"/>
        </w:rPr>
        <w:t>户外电致发光广告牌不应直接设置在有可燃、难燃材料的墙体上。 户外广告牌的设置不应遮挡建筑的外窗，不应影响外部灭火救援行动。 </w:t>
      </w:r>
      <w:r>
        <w:rPr>
          <w:spacing w:val="-3"/>
          <w:sz w:val="21"/>
        </w:rPr>
        <w:t> </w:t>
      </w:r>
      <w:r>
        <w:rPr>
          <w:b/>
          <w:sz w:val="21"/>
        </w:rPr>
        <w:t>6.3</w:t>
      </w:r>
      <w:r>
        <w:rPr>
          <w:b/>
          <w:spacing w:val="2"/>
          <w:sz w:val="21"/>
        </w:rPr>
        <w:t> </w:t>
      </w:r>
      <w:r>
        <w:rPr>
          <w:spacing w:val="-3"/>
          <w:sz w:val="21"/>
        </w:rPr>
        <w:t>屋顶、闷顶和建筑缝隙</w:t>
      </w:r>
      <w:r>
        <w:rPr>
          <w:b/>
          <w:spacing w:val="-3"/>
          <w:w w:val="99"/>
          <w:sz w:val="21"/>
        </w:rPr>
        <w:t> </w:t>
      </w:r>
    </w:p>
    <w:p>
      <w:pPr>
        <w:pStyle w:val="BodyText"/>
        <w:spacing w:line="446" w:lineRule="auto"/>
        <w:ind w:left="418" w:right="1813" w:firstLine="422"/>
      </w:pPr>
      <w:r>
        <w:rPr>
          <w:b/>
          <w:color w:val="333333"/>
        </w:rPr>
        <w:t>6.3.1 </w:t>
      </w:r>
      <w:r>
        <w:rPr>
          <w:color w:val="333333"/>
        </w:rPr>
        <w:t>在三、四级耐火等级建筑的闷顶内采用可燃材料作绝热层时，屋顶不应采用冷摊瓦。 </w:t>
      </w:r>
    </w:p>
    <w:p>
      <w:pPr>
        <w:pStyle w:val="BodyText"/>
        <w:spacing w:line="446" w:lineRule="auto"/>
        <w:ind w:left="840" w:right="1715" w:hanging="3"/>
      </w:pPr>
      <w:r>
        <w:rPr>
          <w:color w:val="333333"/>
        </w:rPr>
        <w:t>闷顶内的非金属烟囱周围 0.5m、金属烟囱 0.7m 范围内，应采用不燃材料作绝热层。</w:t>
      </w:r>
      <w:r>
        <w:rPr>
          <w:b/>
          <w:color w:val="333333"/>
        </w:rPr>
        <w:t>6.3.2 </w:t>
      </w:r>
      <w:r>
        <w:rPr>
          <w:color w:val="333333"/>
        </w:rPr>
        <w:t>层数超过 2 层的三级耐火等级建筑内的闷顶，应在每个防火隔断范围内设置老虎</w:t>
      </w:r>
    </w:p>
    <w:p>
      <w:pPr>
        <w:pStyle w:val="BodyText"/>
        <w:spacing w:line="267" w:lineRule="exact"/>
        <w:ind w:left="418"/>
      </w:pPr>
      <w:r>
        <w:rPr>
          <w:color w:val="333333"/>
        </w:rPr>
        <w:t>窗，且老虎窗的间距不宜大于 50m。 </w:t>
      </w:r>
    </w:p>
    <w:p>
      <w:pPr>
        <w:pStyle w:val="BodyText"/>
        <w:spacing w:before="12"/>
        <w:rPr>
          <w:sz w:val="17"/>
        </w:rPr>
      </w:pPr>
    </w:p>
    <w:p>
      <w:pPr>
        <w:pStyle w:val="ListParagraph"/>
        <w:numPr>
          <w:ilvl w:val="2"/>
          <w:numId w:val="272"/>
        </w:numPr>
        <w:tabs>
          <w:tab w:pos="1370" w:val="left" w:leader="none"/>
        </w:tabs>
        <w:spacing w:line="446" w:lineRule="auto" w:before="0" w:after="0"/>
        <w:ind w:left="418" w:right="1445" w:firstLine="422"/>
        <w:jc w:val="left"/>
        <w:rPr>
          <w:sz w:val="21"/>
        </w:rPr>
      </w:pPr>
      <w:r>
        <w:rPr>
          <w:color w:val="333333"/>
          <w:spacing w:val="-5"/>
          <w:sz w:val="21"/>
        </w:rPr>
        <w:t>内有可燃物的闷顶，应在每个防火隔断范围内设置净宽度和净高度均不小于 </w:t>
      </w:r>
      <w:r>
        <w:rPr>
          <w:color w:val="333333"/>
          <w:sz w:val="21"/>
        </w:rPr>
        <w:t>0.7m</w:t>
      </w:r>
      <w:r>
        <w:rPr>
          <w:color w:val="333333"/>
          <w:spacing w:val="7"/>
          <w:sz w:val="21"/>
        </w:rPr>
        <w:t> 的</w:t>
      </w:r>
      <w:r>
        <w:rPr>
          <w:color w:val="333333"/>
          <w:spacing w:val="-5"/>
          <w:sz w:val="21"/>
        </w:rPr>
        <w:t>闷顶入口；对于公共建筑，每个防火隔断范围内的闷顶入口不宜少于 </w:t>
      </w:r>
      <w:r>
        <w:rPr>
          <w:color w:val="333333"/>
          <w:spacing w:val="-3"/>
          <w:sz w:val="21"/>
        </w:rPr>
        <w:t>2</w:t>
      </w:r>
      <w:r>
        <w:rPr>
          <w:color w:val="333333"/>
          <w:spacing w:val="-2"/>
          <w:sz w:val="21"/>
        </w:rPr>
        <w:t> 个。闷顶入口宜布置在</w:t>
      </w:r>
      <w:r>
        <w:rPr>
          <w:color w:val="333333"/>
          <w:spacing w:val="-3"/>
          <w:sz w:val="21"/>
        </w:rPr>
        <w:t>走廊中靠近楼梯间的部位。 </w:t>
      </w:r>
    </w:p>
    <w:p>
      <w:pPr>
        <w:pStyle w:val="ListParagraph"/>
        <w:numPr>
          <w:ilvl w:val="2"/>
          <w:numId w:val="272"/>
        </w:numPr>
        <w:tabs>
          <w:tab w:pos="1370" w:val="left" w:leader="none"/>
        </w:tabs>
        <w:spacing w:line="268" w:lineRule="exact" w:before="0" w:after="0"/>
        <w:ind w:left="1369" w:right="0" w:hanging="530"/>
        <w:jc w:val="left"/>
        <w:rPr>
          <w:sz w:val="21"/>
        </w:rPr>
      </w:pPr>
      <w:r>
        <w:rPr>
          <w:color w:val="333333"/>
          <w:spacing w:val="-3"/>
          <w:sz w:val="21"/>
        </w:rPr>
        <w:t>变形缝内的填充材料和变形缝的构造基层应采用不燃材料。</w:t>
      </w:r>
      <w:r>
        <w:rPr>
          <w:color w:val="333333"/>
          <w:sz w:val="21"/>
        </w:rPr>
        <w:t> </w:t>
      </w:r>
    </w:p>
    <w:p>
      <w:pPr>
        <w:pStyle w:val="BodyText"/>
        <w:spacing w:before="12"/>
        <w:rPr>
          <w:sz w:val="17"/>
        </w:rPr>
      </w:pPr>
    </w:p>
    <w:p>
      <w:pPr>
        <w:pStyle w:val="BodyText"/>
        <w:spacing w:line="446" w:lineRule="auto"/>
        <w:ind w:left="418" w:right="1817" w:firstLine="419"/>
        <w:jc w:val="both"/>
      </w:pPr>
      <w:r>
        <w:rPr>
          <w:color w:val="333333"/>
        </w:rPr>
        <w:t>电线、电缆、可燃气体和甲、乙、丙类液体的管道不宜穿过建筑内的变形缝，确需穿过时，应在穿过处加设不燃材料制作的套管或采取其他防变形措施，并应采用防火封堵材料封堵。 </w:t>
      </w:r>
    </w:p>
    <w:p>
      <w:pPr>
        <w:pStyle w:val="ListParagraph"/>
        <w:numPr>
          <w:ilvl w:val="2"/>
          <w:numId w:val="272"/>
        </w:numPr>
        <w:tabs>
          <w:tab w:pos="1371" w:val="left" w:leader="none"/>
        </w:tabs>
        <w:spacing w:line="268" w:lineRule="exact" w:before="0" w:after="0"/>
        <w:ind w:left="1370" w:right="0" w:hanging="531"/>
        <w:jc w:val="left"/>
        <w:rPr>
          <w:sz w:val="21"/>
        </w:rPr>
      </w:pPr>
      <w:r>
        <w:rPr>
          <w:color w:val="333333"/>
          <w:spacing w:val="-3"/>
          <w:sz w:val="21"/>
        </w:rPr>
        <w:t>防烟、排烟、供暖、通风和空气调节系统中的管道及建筑内的其他管道，在 </w:t>
      </w:r>
    </w:p>
    <w:p>
      <w:pPr>
        <w:pStyle w:val="BodyText"/>
        <w:rPr>
          <w:sz w:val="18"/>
        </w:rPr>
      </w:pPr>
    </w:p>
    <w:p>
      <w:pPr>
        <w:pStyle w:val="BodyText"/>
        <w:ind w:left="838"/>
      </w:pPr>
      <w:r>
        <w:rPr>
          <w:color w:val="333333"/>
        </w:rPr>
        <w:t>穿越防火隔墙、楼板和防火墙处的孔隙应采用防火封堵材料封堵。 </w:t>
      </w:r>
    </w:p>
    <w:p>
      <w:pPr>
        <w:pStyle w:val="BodyText"/>
        <w:spacing w:before="1"/>
        <w:rPr>
          <w:sz w:val="18"/>
        </w:rPr>
      </w:pPr>
    </w:p>
    <w:p>
      <w:pPr>
        <w:pStyle w:val="BodyText"/>
        <w:spacing w:line="446" w:lineRule="auto" w:before="1"/>
        <w:ind w:left="418" w:right="1450" w:firstLine="419"/>
      </w:pPr>
      <w:r>
        <w:rPr>
          <w:color w:val="333333"/>
          <w:spacing w:val="-4"/>
        </w:rPr>
        <w:t>风管穿过防火隔墙、楼板和防火墙时，穿越处风管上的防火阀、排烟防火阀两侧各 </w:t>
      </w:r>
      <w:r>
        <w:rPr>
          <w:color w:val="333333"/>
        </w:rPr>
        <w:t>2.0m</w:t>
      </w:r>
      <w:r>
        <w:rPr>
          <w:color w:val="333333"/>
          <w:spacing w:val="12"/>
        </w:rPr>
        <w:t> 范</w:t>
      </w:r>
      <w:r>
        <w:rPr>
          <w:color w:val="333333"/>
          <w:spacing w:val="-3"/>
        </w:rPr>
        <w:t>围内的风管应采用耐火风管或风管外壁应采取防火保护措施，且耐火极限不应低于该防火分隔 体的耐火极限。</w:t>
      </w:r>
      <w:r>
        <w:rPr>
          <w:color w:val="333333"/>
        </w:rPr>
        <w:t> </w:t>
      </w:r>
    </w:p>
    <w:p>
      <w:pPr>
        <w:pStyle w:val="ListParagraph"/>
        <w:numPr>
          <w:ilvl w:val="2"/>
          <w:numId w:val="272"/>
        </w:numPr>
        <w:tabs>
          <w:tab w:pos="1371" w:val="left" w:leader="none"/>
        </w:tabs>
        <w:spacing w:line="446" w:lineRule="auto" w:before="0" w:after="0"/>
        <w:ind w:left="418" w:right="1604" w:firstLine="422"/>
        <w:jc w:val="left"/>
        <w:rPr>
          <w:sz w:val="21"/>
        </w:rPr>
      </w:pPr>
      <w:r>
        <w:rPr>
          <w:color w:val="333333"/>
          <w:spacing w:val="-3"/>
          <w:sz w:val="21"/>
        </w:rPr>
        <w:t>建筑内受高温或火焰作用易变形的管道，在贯穿楼板部位和穿越防火隔墙的两侧宜采取阻火措施。</w:t>
      </w:r>
      <w:r>
        <w:rPr>
          <w:color w:val="333333"/>
          <w:sz w:val="21"/>
        </w:rPr>
        <w:t> </w:t>
      </w:r>
    </w:p>
    <w:p>
      <w:pPr>
        <w:pStyle w:val="ListParagraph"/>
        <w:numPr>
          <w:ilvl w:val="2"/>
          <w:numId w:val="272"/>
        </w:numPr>
        <w:tabs>
          <w:tab w:pos="1371" w:val="left" w:leader="none"/>
        </w:tabs>
        <w:spacing w:line="267" w:lineRule="exact" w:before="0" w:after="0"/>
        <w:ind w:left="1370" w:right="0" w:hanging="531"/>
        <w:jc w:val="left"/>
        <w:rPr>
          <w:sz w:val="21"/>
        </w:rPr>
      </w:pPr>
      <w:r>
        <w:rPr>
          <w:color w:val="333333"/>
          <w:spacing w:val="-3"/>
          <w:sz w:val="21"/>
        </w:rPr>
        <w:t>建筑屋顶上的开口与邻近建筑或设施之间，应采取防止火灾蔓延的措施。 </w:t>
      </w:r>
    </w:p>
    <w:p>
      <w:pPr>
        <w:pStyle w:val="BodyText"/>
        <w:rPr>
          <w:sz w:val="18"/>
        </w:rPr>
      </w:pPr>
    </w:p>
    <w:p>
      <w:pPr>
        <w:pStyle w:val="ListParagraph"/>
        <w:numPr>
          <w:ilvl w:val="1"/>
          <w:numId w:val="273"/>
        </w:numPr>
        <w:tabs>
          <w:tab w:pos="1160" w:val="left" w:leader="none"/>
        </w:tabs>
        <w:spacing w:line="240" w:lineRule="auto" w:before="0" w:after="0"/>
        <w:ind w:left="1159" w:right="0" w:hanging="320"/>
        <w:jc w:val="left"/>
        <w:rPr>
          <w:b/>
          <w:sz w:val="21"/>
        </w:rPr>
      </w:pPr>
      <w:r>
        <w:rPr>
          <w:spacing w:val="-3"/>
          <w:sz w:val="21"/>
        </w:rPr>
        <w:t>疏散楼梯间和疏散楼梯等</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273"/>
        </w:numPr>
        <w:tabs>
          <w:tab w:pos="1370" w:val="left" w:leader="none"/>
        </w:tabs>
        <w:spacing w:line="240" w:lineRule="auto" w:before="47" w:after="0"/>
        <w:ind w:left="1369" w:right="0" w:hanging="530"/>
        <w:jc w:val="left"/>
        <w:rPr>
          <w:sz w:val="21"/>
        </w:rPr>
      </w:pPr>
      <w:r>
        <w:rPr>
          <w:color w:val="333333"/>
          <w:spacing w:val="-3"/>
          <w:sz w:val="21"/>
        </w:rPr>
        <w:t>疏散楼梯间应符合下列规定：</w:t>
      </w:r>
      <w:r>
        <w:rPr>
          <w:color w:val="333333"/>
          <w:sz w:val="21"/>
        </w:rPr>
        <w:t> </w:t>
      </w:r>
    </w:p>
    <w:p>
      <w:pPr>
        <w:pStyle w:val="BodyText"/>
        <w:rPr>
          <w:sz w:val="18"/>
        </w:rPr>
      </w:pPr>
    </w:p>
    <w:p>
      <w:pPr>
        <w:pStyle w:val="BodyText"/>
        <w:spacing w:line="446" w:lineRule="auto"/>
        <w:ind w:left="418" w:right="1609" w:firstLine="419"/>
      </w:pPr>
      <w:r>
        <w:rPr>
          <w:color w:val="333333"/>
        </w:rPr>
        <w:t>楼梯间应能天然采光和自然通风，并宜靠外墙设置。靠外墙设置时，楼梯间、前室及合用前室外墙上的窗口与两侧门、窗、洞口最近边缘的水平距离不应小于 1.0m； </w:t>
      </w:r>
    </w:p>
    <w:p>
      <w:pPr>
        <w:pStyle w:val="BodyText"/>
        <w:spacing w:line="446" w:lineRule="auto"/>
        <w:ind w:left="838" w:right="4657"/>
      </w:pPr>
      <w:r>
        <w:rPr>
          <w:color w:val="333333"/>
        </w:rPr>
        <w:t>楼梯间内不应设置烧水间、可燃材料储藏室、垃圾道； 楼梯间内不应有影响疏散的凸出物或其他障碍物； </w:t>
      </w:r>
    </w:p>
    <w:p>
      <w:pPr>
        <w:pStyle w:val="BodyText"/>
        <w:spacing w:line="267" w:lineRule="exact"/>
        <w:ind w:left="838"/>
      </w:pPr>
      <w:r>
        <w:rPr>
          <w:color w:val="333333"/>
        </w:rPr>
        <w:t>封闭楼梯间、防烟楼梯间及其前室，不应设置卷帘； </w:t>
      </w:r>
    </w:p>
    <w:p>
      <w:pPr>
        <w:pStyle w:val="BodyText"/>
        <w:spacing w:before="2"/>
        <w:rPr>
          <w:sz w:val="18"/>
        </w:rPr>
      </w:pPr>
    </w:p>
    <w:p>
      <w:pPr>
        <w:pStyle w:val="BodyText"/>
        <w:ind w:left="838"/>
      </w:pPr>
      <w:r>
        <w:rPr>
          <w:color w:val="333333"/>
          <w:w w:val="100"/>
        </w:rPr>
        <w:t> </w:t>
      </w:r>
      <w:r>
        <w:rPr>
          <w:color w:val="333333"/>
        </w:rPr>
        <w:t>楼梯间内不应设置甲、乙、丙类液体管道； </w:t>
      </w:r>
    </w:p>
    <w:p>
      <w:pPr>
        <w:pStyle w:val="BodyText"/>
        <w:rPr>
          <w:sz w:val="18"/>
        </w:rPr>
      </w:pPr>
    </w:p>
    <w:p>
      <w:pPr>
        <w:pStyle w:val="BodyText"/>
        <w:spacing w:line="446" w:lineRule="auto"/>
        <w:ind w:left="418" w:right="1608" w:firstLine="419"/>
        <w:jc w:val="both"/>
      </w:pPr>
      <w:r>
        <w:rPr>
          <w:color w:val="333333"/>
        </w:rPr>
        <w:t>封闭楼梯间、防烟楼梯间及其前室内禁止穿过或设置可燃气体管道。敞开楼梯间内不应设置可燃气体管道，当住宅建筑的敞开楼梯间内确需设置可燃气体管道和可燃气体计量表时，应采用金属管和设置切断气源的阀门。 </w:t>
      </w:r>
    </w:p>
    <w:p>
      <w:pPr>
        <w:pStyle w:val="ListParagraph"/>
        <w:numPr>
          <w:ilvl w:val="2"/>
          <w:numId w:val="273"/>
        </w:numPr>
        <w:tabs>
          <w:tab w:pos="1371" w:val="left" w:leader="none"/>
        </w:tabs>
        <w:spacing w:line="268" w:lineRule="exact" w:before="0" w:after="0"/>
        <w:ind w:left="1370" w:right="0" w:hanging="531"/>
        <w:jc w:val="both"/>
        <w:rPr>
          <w:sz w:val="21"/>
        </w:rPr>
      </w:pPr>
      <w:r>
        <w:rPr>
          <w:color w:val="333333"/>
          <w:spacing w:val="-7"/>
          <w:sz w:val="21"/>
        </w:rPr>
        <w:t>封闭楼梯间除应符合本规范第 </w:t>
      </w:r>
      <w:r>
        <w:rPr>
          <w:color w:val="333333"/>
          <w:sz w:val="21"/>
        </w:rPr>
        <w:t>6.4.1</w:t>
      </w:r>
      <w:r>
        <w:rPr>
          <w:color w:val="333333"/>
          <w:spacing w:val="-3"/>
          <w:sz w:val="21"/>
        </w:rPr>
        <w:t> 条的规定外，尚应符合下列规定： </w:t>
      </w:r>
    </w:p>
    <w:p>
      <w:pPr>
        <w:pStyle w:val="BodyText"/>
        <w:spacing w:before="12"/>
        <w:rPr>
          <w:sz w:val="17"/>
        </w:rPr>
      </w:pPr>
    </w:p>
    <w:p>
      <w:pPr>
        <w:pStyle w:val="BodyText"/>
        <w:spacing w:line="446" w:lineRule="auto"/>
        <w:ind w:left="838" w:right="1505"/>
      </w:pPr>
      <w:r>
        <w:rPr>
          <w:color w:val="333333"/>
          <w:spacing w:val="-3"/>
        </w:rPr>
        <w:t>不能自然通风或自然通风不能满足要求时，应设置机械加压送风系统或采用防烟楼梯间； 除楼梯间的出入口和外窗外，楼梯间的墙上不应开设其他门、窗、洞口；</w:t>
      </w:r>
      <w:r>
        <w:rPr>
          <w:color w:val="333333"/>
        </w:rPr>
        <w:t> </w:t>
      </w:r>
    </w:p>
    <w:p>
      <w:pPr>
        <w:pStyle w:val="BodyText"/>
        <w:spacing w:line="446" w:lineRule="auto" w:before="1"/>
        <w:ind w:left="418" w:right="1609" w:firstLine="419"/>
      </w:pPr>
      <w:r>
        <w:rPr>
          <w:color w:val="333333"/>
        </w:rPr>
        <w:t>高层建筑、人员密集的公共建筑、人员密集的多层丙类厂房、甲、乙类厂房，其封闭楼梯间的门应采用乙级防火门，并应向疏散方向开启；其他建筑，可采用双向弹簧门； </w:t>
      </w:r>
    </w:p>
    <w:p>
      <w:pPr>
        <w:pStyle w:val="BodyText"/>
        <w:spacing w:line="446" w:lineRule="auto"/>
        <w:ind w:left="418" w:right="1609" w:firstLine="419"/>
      </w:pPr>
      <w:r>
        <w:rPr>
          <w:color w:val="333333"/>
        </w:rPr>
        <w:t>楼梯间的首层可将走道和门厅等包括在楼梯间内形成扩大的封闭楼梯间，但应采用乙级防火门等与其他走道和房间分隔。 </w:t>
      </w:r>
    </w:p>
    <w:p>
      <w:pPr>
        <w:pStyle w:val="ListParagraph"/>
        <w:numPr>
          <w:ilvl w:val="2"/>
          <w:numId w:val="273"/>
        </w:numPr>
        <w:tabs>
          <w:tab w:pos="1370" w:val="left" w:leader="none"/>
        </w:tabs>
        <w:spacing w:line="267" w:lineRule="exact" w:before="0" w:after="0"/>
        <w:ind w:left="1369" w:right="0" w:hanging="530"/>
        <w:jc w:val="left"/>
        <w:rPr>
          <w:sz w:val="21"/>
        </w:rPr>
      </w:pPr>
      <w:r>
        <w:rPr>
          <w:color w:val="333333"/>
          <w:spacing w:val="-7"/>
          <w:sz w:val="21"/>
        </w:rPr>
        <w:t>防烟楼梯间除应符合本规范第 </w:t>
      </w:r>
      <w:r>
        <w:rPr>
          <w:color w:val="333333"/>
          <w:sz w:val="21"/>
        </w:rPr>
        <w:t>6.4.1</w:t>
      </w:r>
      <w:r>
        <w:rPr>
          <w:color w:val="333333"/>
          <w:spacing w:val="-3"/>
          <w:sz w:val="21"/>
        </w:rPr>
        <w:t> 条的规定外，尚应符合下列规定： </w:t>
      </w:r>
    </w:p>
    <w:p>
      <w:pPr>
        <w:pStyle w:val="BodyText"/>
        <w:spacing w:before="1"/>
        <w:rPr>
          <w:sz w:val="18"/>
        </w:rPr>
      </w:pPr>
    </w:p>
    <w:p>
      <w:pPr>
        <w:pStyle w:val="BodyText"/>
        <w:spacing w:before="1"/>
        <w:ind w:left="838"/>
      </w:pPr>
      <w:r>
        <w:rPr>
          <w:color w:val="333333"/>
        </w:rPr>
        <w:t>应设置防烟设施； </w:t>
      </w:r>
    </w:p>
    <w:p>
      <w:pPr>
        <w:pStyle w:val="BodyText"/>
        <w:spacing w:before="12"/>
        <w:rPr>
          <w:sz w:val="17"/>
        </w:rPr>
      </w:pPr>
    </w:p>
    <w:p>
      <w:pPr>
        <w:pStyle w:val="BodyText"/>
        <w:ind w:left="838"/>
      </w:pPr>
      <w:r>
        <w:rPr>
          <w:color w:val="333333"/>
        </w:rPr>
        <w:t>前室可与消防电梯间前室合用； </w:t>
      </w:r>
    </w:p>
    <w:p>
      <w:pPr>
        <w:pStyle w:val="BodyText"/>
        <w:spacing w:before="3"/>
        <w:rPr>
          <w:sz w:val="17"/>
        </w:rPr>
      </w:pPr>
    </w:p>
    <w:p>
      <w:pPr>
        <w:pStyle w:val="BodyText"/>
        <w:spacing w:line="439" w:lineRule="auto"/>
        <w:ind w:left="418" w:right="1547" w:firstLine="419"/>
      </w:pPr>
      <w:r>
        <w:rPr>
          <w:color w:val="333333"/>
        </w:rPr>
        <w:t>前室的使用面积：公共建筑、高层厂房（仓库），不应小于 6.0 m</w:t>
      </w:r>
      <w:r>
        <w:rPr>
          <w:color w:val="333333"/>
          <w:position w:val="11"/>
          <w:sz w:val="11"/>
        </w:rPr>
        <w:t>2</w:t>
      </w:r>
      <w:r>
        <w:rPr>
          <w:color w:val="333333"/>
        </w:rPr>
        <w:t>；住宅建筑，不应小于4.5m</w:t>
      </w:r>
      <w:r>
        <w:rPr>
          <w:color w:val="333333"/>
          <w:position w:val="11"/>
          <w:sz w:val="11"/>
        </w:rPr>
        <w:t>2</w:t>
      </w:r>
      <w:r>
        <w:rPr>
          <w:color w:val="333333"/>
        </w:rPr>
        <w:t>。 </w:t>
      </w:r>
    </w:p>
    <w:p>
      <w:pPr>
        <w:pStyle w:val="BodyText"/>
        <w:spacing w:line="436" w:lineRule="auto" w:before="6"/>
        <w:ind w:left="418" w:right="1609" w:firstLine="419"/>
      </w:pPr>
      <w:r>
        <w:rPr>
          <w:color w:val="333333"/>
        </w:rPr>
        <w:t>与消防电梯间前室合用时，合用前室的使用面积：公共建筑、高层厂房（仓库），不应小于 10.0m</w:t>
      </w:r>
      <w:r>
        <w:rPr>
          <w:color w:val="333333"/>
          <w:position w:val="11"/>
          <w:sz w:val="11"/>
        </w:rPr>
        <w:t>2</w:t>
      </w:r>
      <w:r>
        <w:rPr>
          <w:color w:val="333333"/>
        </w:rPr>
        <w:t>；住宅建筑，不应小于 6.0m</w:t>
      </w:r>
      <w:r>
        <w:rPr>
          <w:color w:val="333333"/>
          <w:position w:val="11"/>
          <w:sz w:val="11"/>
        </w:rPr>
        <w:t>2</w:t>
      </w:r>
      <w:r>
        <w:rPr>
          <w:color w:val="333333"/>
        </w:rPr>
        <w:t>； </w:t>
      </w:r>
    </w:p>
    <w:p>
      <w:pPr>
        <w:pStyle w:val="BodyText"/>
        <w:spacing w:before="11"/>
        <w:ind w:left="838"/>
      </w:pPr>
      <w:r>
        <w:rPr>
          <w:color w:val="333333"/>
        </w:rPr>
        <w:t>疏散走道通向前室以及前室通向楼梯间的门应采用乙级防火门； </w:t>
      </w:r>
    </w:p>
    <w:p>
      <w:pPr>
        <w:pStyle w:val="BodyText"/>
        <w:rPr>
          <w:sz w:val="18"/>
        </w:rPr>
      </w:pPr>
    </w:p>
    <w:p>
      <w:pPr>
        <w:pStyle w:val="BodyText"/>
        <w:spacing w:line="446" w:lineRule="auto"/>
        <w:ind w:left="418" w:right="1609" w:firstLine="419"/>
      </w:pPr>
      <w:r>
        <w:rPr>
          <w:color w:val="333333"/>
        </w:rPr>
        <w:t>除住宅建筑的楼梯间前室外，防烟楼梯间和前室内的墙上不应开设除疏散门和送风口外的其他门、窗、洞口；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pPr>
      <w:r>
        <w:rPr>
          <w:color w:val="333333"/>
        </w:rPr>
        <w:t>楼梯间的首层可将走道和门厅等包括在楼梯间前室内形成扩大的前室，但应采用乙级防火门等与其他走道和房间分隔。 </w:t>
      </w:r>
    </w:p>
    <w:p>
      <w:pPr>
        <w:pStyle w:val="ListParagraph"/>
        <w:numPr>
          <w:ilvl w:val="2"/>
          <w:numId w:val="273"/>
        </w:numPr>
        <w:tabs>
          <w:tab w:pos="1371" w:val="left" w:leader="none"/>
        </w:tabs>
        <w:spacing w:line="446" w:lineRule="auto" w:before="0" w:after="0"/>
        <w:ind w:left="418" w:right="1813" w:firstLine="422"/>
        <w:jc w:val="left"/>
        <w:rPr>
          <w:sz w:val="21"/>
        </w:rPr>
      </w:pPr>
      <w:r>
        <w:rPr>
          <w:color w:val="333333"/>
          <w:spacing w:val="-3"/>
          <w:sz w:val="21"/>
        </w:rPr>
        <w:t>除通向避难层错位的疏散楼梯外，建筑内的疏散楼梯间在各层的平面位置不应改变。</w:t>
      </w:r>
      <w:r>
        <w:rPr>
          <w:color w:val="333333"/>
          <w:sz w:val="21"/>
        </w:rPr>
        <w:t> </w:t>
      </w:r>
    </w:p>
    <w:p>
      <w:pPr>
        <w:pStyle w:val="BodyText"/>
        <w:spacing w:line="446" w:lineRule="auto"/>
        <w:ind w:left="418" w:right="1817" w:firstLine="419"/>
      </w:pPr>
      <w:r>
        <w:rPr>
          <w:color w:val="333333"/>
        </w:rPr>
        <w:t>除住宅建筑套内的自用楼梯外，地下或半地下建筑（室）的疏散楼梯间，应符合下列规定： </w:t>
      </w:r>
    </w:p>
    <w:p>
      <w:pPr>
        <w:pStyle w:val="BodyText"/>
        <w:spacing w:line="446" w:lineRule="auto"/>
        <w:ind w:left="418" w:right="1505" w:firstLine="419"/>
      </w:pPr>
      <w:r>
        <w:rPr>
          <w:color w:val="333333"/>
          <w:spacing w:val="-6"/>
        </w:rPr>
        <w:t>室内地面与室外出入口地坪高差大于 </w:t>
      </w:r>
      <w:r>
        <w:rPr>
          <w:color w:val="333333"/>
        </w:rPr>
        <w:t>10m</w:t>
      </w:r>
      <w:r>
        <w:rPr>
          <w:color w:val="333333"/>
          <w:spacing w:val="-12"/>
        </w:rPr>
        <w:t> 或 </w:t>
      </w:r>
      <w:r>
        <w:rPr>
          <w:color w:val="333333"/>
          <w:spacing w:val="-3"/>
        </w:rPr>
        <w:t>3 层及以上的地下、半地下建筑</w:t>
      </w:r>
      <w:r>
        <w:rPr>
          <w:color w:val="333333"/>
        </w:rPr>
        <w:t>（室）</w:t>
      </w:r>
      <w:r>
        <w:rPr>
          <w:color w:val="333333"/>
          <w:spacing w:val="-2"/>
        </w:rPr>
        <w:t>，其疏</w:t>
      </w:r>
      <w:r>
        <w:rPr>
          <w:color w:val="333333"/>
          <w:spacing w:val="-3"/>
        </w:rPr>
        <w:t>散楼梯应采用防烟楼梯间；其他地下或半地下建筑</w:t>
      </w:r>
      <w:r>
        <w:rPr>
          <w:color w:val="333333"/>
        </w:rPr>
        <w:t>（室）</w:t>
      </w:r>
      <w:r>
        <w:rPr>
          <w:color w:val="333333"/>
          <w:spacing w:val="-3"/>
        </w:rPr>
        <w:t>，其疏散楼梯应采用封闭楼梯间；</w:t>
      </w:r>
      <w:r>
        <w:rPr>
          <w:color w:val="333333"/>
        </w:rPr>
        <w:t> </w:t>
      </w:r>
    </w:p>
    <w:p>
      <w:pPr>
        <w:pStyle w:val="BodyText"/>
        <w:spacing w:line="446" w:lineRule="auto"/>
        <w:ind w:left="418" w:right="1498" w:firstLine="419"/>
      </w:pPr>
      <w:r>
        <w:rPr>
          <w:color w:val="333333"/>
        </w:rPr>
        <w:t>应在首层采用耐火极限不低于 2.00h 的防火隔墙与其他部位分隔并应直通室外，确需在隔墙上开门时，应采用乙级防火门； </w:t>
      </w:r>
    </w:p>
    <w:p>
      <w:pPr>
        <w:pStyle w:val="BodyText"/>
        <w:spacing w:line="446" w:lineRule="auto"/>
        <w:ind w:left="418" w:right="1558" w:firstLine="419"/>
        <w:jc w:val="both"/>
      </w:pPr>
      <w:r>
        <w:rPr>
          <w:color w:val="333333"/>
          <w:spacing w:val="-3"/>
        </w:rPr>
        <w:t>建筑的地下或半地下部分与地上部分不应共用楼梯间，确需共用楼梯间时，应在首层采用</w:t>
      </w:r>
      <w:r>
        <w:rPr>
          <w:color w:val="333333"/>
          <w:spacing w:val="-8"/>
        </w:rPr>
        <w:t>耐火极限不低于 </w:t>
      </w:r>
      <w:r>
        <w:rPr>
          <w:color w:val="333333"/>
        </w:rPr>
        <w:t>2.00h</w:t>
      </w:r>
      <w:r>
        <w:rPr>
          <w:color w:val="333333"/>
          <w:spacing w:val="-3"/>
        </w:rPr>
        <w:t> 的防火隔墙和乙级防火门将地下或半地下部分与地上部分的连通部位完全分隔，并应设置明显的标志。</w:t>
      </w:r>
      <w:r>
        <w:rPr>
          <w:color w:val="333333"/>
        </w:rPr>
        <w:t> </w:t>
      </w:r>
    </w:p>
    <w:p>
      <w:pPr>
        <w:pStyle w:val="ListParagraph"/>
        <w:numPr>
          <w:ilvl w:val="2"/>
          <w:numId w:val="273"/>
        </w:numPr>
        <w:tabs>
          <w:tab w:pos="1371" w:val="left" w:leader="none"/>
        </w:tabs>
        <w:spacing w:line="268" w:lineRule="exact" w:before="0" w:after="0"/>
        <w:ind w:left="1370" w:right="0" w:hanging="531"/>
        <w:jc w:val="left"/>
        <w:rPr>
          <w:sz w:val="21"/>
        </w:rPr>
      </w:pPr>
      <w:r>
        <w:rPr>
          <w:color w:val="333333"/>
          <w:spacing w:val="-3"/>
          <w:sz w:val="21"/>
        </w:rPr>
        <w:t>室外疏散楼梯应符合下列规定：</w:t>
      </w:r>
      <w:r>
        <w:rPr>
          <w:color w:val="333333"/>
          <w:sz w:val="21"/>
        </w:rPr>
        <w:t> </w:t>
      </w:r>
    </w:p>
    <w:p>
      <w:pPr>
        <w:pStyle w:val="BodyText"/>
        <w:spacing w:before="8"/>
        <w:rPr>
          <w:sz w:val="17"/>
        </w:rPr>
      </w:pPr>
    </w:p>
    <w:p>
      <w:pPr>
        <w:pStyle w:val="BodyText"/>
        <w:ind w:left="838"/>
      </w:pPr>
      <w:r>
        <w:rPr>
          <w:color w:val="333333"/>
        </w:rPr>
        <w:t>栏杆扶手的高度不应小于 1.10m，楼梯的净宽度不应小于 0.90m； </w:t>
      </w:r>
    </w:p>
    <w:p>
      <w:pPr>
        <w:pStyle w:val="BodyText"/>
        <w:spacing w:before="2"/>
        <w:rPr>
          <w:sz w:val="18"/>
        </w:rPr>
      </w:pPr>
    </w:p>
    <w:p>
      <w:pPr>
        <w:pStyle w:val="BodyText"/>
        <w:ind w:left="838"/>
      </w:pPr>
      <w:r>
        <w:rPr>
          <w:color w:val="333333"/>
        </w:rPr>
        <w:t>倾斜角度不应大于 45°； </w:t>
      </w:r>
    </w:p>
    <w:p>
      <w:pPr>
        <w:pStyle w:val="BodyText"/>
        <w:spacing w:before="12"/>
        <w:rPr>
          <w:sz w:val="17"/>
        </w:rPr>
      </w:pPr>
    </w:p>
    <w:p>
      <w:pPr>
        <w:pStyle w:val="BodyText"/>
        <w:spacing w:line="446" w:lineRule="auto" w:before="1"/>
        <w:ind w:left="418" w:right="1391" w:firstLine="419"/>
      </w:pPr>
      <w:r>
        <w:rPr>
          <w:color w:val="333333"/>
        </w:rPr>
        <w:t>梯段和平台均应采用不燃材料制作。平台的耐火极限不应低于 1.00h，梯段的耐火极限不应低于 0.25h； </w:t>
      </w:r>
    </w:p>
    <w:p>
      <w:pPr>
        <w:pStyle w:val="BodyText"/>
        <w:ind w:left="838"/>
      </w:pPr>
      <w:r>
        <w:rPr>
          <w:color w:val="333333"/>
        </w:rPr>
        <w:t>通向室外楼梯的门应采用乙级防火门，并应向外开启； </w:t>
      </w:r>
    </w:p>
    <w:p>
      <w:pPr>
        <w:pStyle w:val="BodyText"/>
        <w:spacing w:before="12"/>
        <w:rPr>
          <w:sz w:val="17"/>
        </w:rPr>
      </w:pPr>
    </w:p>
    <w:p>
      <w:pPr>
        <w:pStyle w:val="BodyText"/>
        <w:spacing w:line="446" w:lineRule="auto"/>
        <w:ind w:left="840" w:right="1664" w:hanging="3"/>
      </w:pPr>
      <w:r>
        <w:rPr>
          <w:color w:val="333333"/>
          <w:w w:val="100"/>
        </w:rPr>
        <w:t> </w:t>
      </w:r>
      <w:r>
        <w:rPr>
          <w:color w:val="333333"/>
        </w:rPr>
        <w:t>除疏散门外，楼梯周围 2m 内的墙面上不应设置门、窗、洞口。疏散门不应正对梯段。</w:t>
      </w:r>
      <w:r>
        <w:rPr>
          <w:b/>
          <w:color w:val="333333"/>
        </w:rPr>
        <w:t>6.4.6 </w:t>
      </w:r>
      <w:r>
        <w:rPr>
          <w:color w:val="333333"/>
        </w:rPr>
        <w:t>用作丁、戊类厂房内第二安全出口的楼梯可采用金属梯，但其净宽度不应小于</w:t>
      </w:r>
    </w:p>
    <w:p>
      <w:pPr>
        <w:pStyle w:val="BodyText"/>
        <w:ind w:left="418"/>
      </w:pPr>
      <w:r>
        <w:rPr>
          <w:color w:val="333333"/>
        </w:rPr>
        <w:t>0.90m，倾斜角度不应大于 45°。 </w:t>
      </w:r>
    </w:p>
    <w:p>
      <w:pPr>
        <w:pStyle w:val="BodyText"/>
        <w:rPr>
          <w:sz w:val="18"/>
        </w:rPr>
      </w:pPr>
    </w:p>
    <w:p>
      <w:pPr>
        <w:pStyle w:val="BodyText"/>
        <w:spacing w:line="446" w:lineRule="auto"/>
        <w:ind w:left="418" w:right="1505" w:firstLine="419"/>
        <w:jc w:val="both"/>
      </w:pPr>
      <w:r>
        <w:rPr>
          <w:color w:val="333333"/>
          <w:spacing w:val="-5"/>
        </w:rPr>
        <w:t>丁、戊类高层厂房，当每层工作平台上的人数不超过 </w:t>
      </w:r>
      <w:r>
        <w:rPr>
          <w:color w:val="333333"/>
        </w:rPr>
        <w:t>2</w:t>
      </w:r>
      <w:r>
        <w:rPr>
          <w:color w:val="333333"/>
          <w:spacing w:val="-3"/>
        </w:rPr>
        <w:t> 人且各层工作平台上同时工作的人</w:t>
      </w:r>
      <w:r>
        <w:rPr>
          <w:color w:val="333333"/>
          <w:spacing w:val="-9"/>
        </w:rPr>
        <w:t>数总和不超过 </w:t>
      </w:r>
      <w:r>
        <w:rPr>
          <w:color w:val="333333"/>
        </w:rPr>
        <w:t>10</w:t>
      </w:r>
      <w:r>
        <w:rPr>
          <w:color w:val="333333"/>
          <w:spacing w:val="-5"/>
        </w:rPr>
        <w:t> 人时，其疏散楼梯可采用敞开楼梯或利用净宽度不小于 </w:t>
      </w:r>
      <w:r>
        <w:rPr>
          <w:color w:val="333333"/>
        </w:rPr>
        <w:t>0.90m</w:t>
      </w:r>
      <w:r>
        <w:rPr>
          <w:color w:val="333333"/>
          <w:spacing w:val="-3"/>
        </w:rPr>
        <w:t>、倾斜角度不大</w:t>
      </w:r>
      <w:r>
        <w:rPr>
          <w:color w:val="333333"/>
          <w:spacing w:val="-28"/>
        </w:rPr>
        <w:t>于 </w:t>
      </w:r>
      <w:r>
        <w:rPr>
          <w:color w:val="333333"/>
        </w:rPr>
        <w:t>60</w:t>
      </w:r>
      <w:r>
        <w:rPr>
          <w:color w:val="333333"/>
          <w:spacing w:val="-3"/>
        </w:rPr>
        <w:t>°的金属梯。</w:t>
      </w:r>
      <w:r>
        <w:rPr>
          <w:color w:val="333333"/>
        </w:rPr>
        <w:t> </w:t>
      </w:r>
    </w:p>
    <w:p>
      <w:pPr>
        <w:pStyle w:val="ListParagraph"/>
        <w:numPr>
          <w:ilvl w:val="2"/>
          <w:numId w:val="274"/>
        </w:numPr>
        <w:tabs>
          <w:tab w:pos="1371" w:val="left" w:leader="none"/>
        </w:tabs>
        <w:spacing w:line="446" w:lineRule="auto" w:before="0" w:after="0"/>
        <w:ind w:left="418" w:right="1604" w:firstLine="422"/>
        <w:jc w:val="left"/>
        <w:rPr>
          <w:sz w:val="21"/>
        </w:rPr>
      </w:pPr>
      <w:r>
        <w:rPr>
          <w:color w:val="333333"/>
          <w:spacing w:val="-3"/>
          <w:sz w:val="21"/>
        </w:rPr>
        <w:t>疏散用楼梯和疏散通道上的阶梯不宜采用螺旋楼梯和扇形踏步；确需采用时，踏步</w:t>
      </w:r>
      <w:r>
        <w:rPr>
          <w:color w:val="333333"/>
          <w:spacing w:val="-6"/>
          <w:sz w:val="21"/>
        </w:rPr>
        <w:t>上、下两级所形成的平面角度不应大于 </w:t>
      </w:r>
      <w:r>
        <w:rPr>
          <w:color w:val="333333"/>
          <w:sz w:val="21"/>
        </w:rPr>
        <w:t>10</w:t>
      </w:r>
      <w:r>
        <w:rPr>
          <w:color w:val="333333"/>
          <w:spacing w:val="-9"/>
          <w:sz w:val="21"/>
        </w:rPr>
        <w:t>°，且每级离扶手 </w:t>
      </w:r>
      <w:r>
        <w:rPr>
          <w:color w:val="333333"/>
          <w:sz w:val="21"/>
        </w:rPr>
        <w:t>250mm</w:t>
      </w:r>
      <w:r>
        <w:rPr>
          <w:color w:val="333333"/>
          <w:spacing w:val="-3"/>
          <w:sz w:val="21"/>
        </w:rPr>
        <w:t> 处的踏步深度不应小于220mm。</w:t>
      </w:r>
      <w:r>
        <w:rPr>
          <w:color w:val="333333"/>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274"/>
        </w:numPr>
        <w:tabs>
          <w:tab w:pos="1371" w:val="left" w:leader="none"/>
        </w:tabs>
        <w:spacing w:line="240" w:lineRule="auto" w:before="47" w:after="0"/>
        <w:ind w:left="1370" w:right="0" w:hanging="531"/>
        <w:jc w:val="left"/>
        <w:rPr>
          <w:sz w:val="21"/>
        </w:rPr>
      </w:pPr>
      <w:r>
        <w:rPr>
          <w:color w:val="333333"/>
          <w:spacing w:val="-5"/>
          <w:sz w:val="21"/>
        </w:rPr>
        <w:t>建筑内的公共疏散楼梯，其两梯段及扶手间的水平净距不宜小于 </w:t>
      </w:r>
      <w:r>
        <w:rPr>
          <w:color w:val="333333"/>
          <w:sz w:val="21"/>
        </w:rPr>
        <w:t>150mm</w:t>
      </w:r>
      <w:r>
        <w:rPr>
          <w:color w:val="333333"/>
          <w:spacing w:val="-3"/>
          <w:sz w:val="21"/>
        </w:rPr>
        <w:t>。</w:t>
      </w:r>
      <w:r>
        <w:rPr>
          <w:color w:val="333333"/>
          <w:sz w:val="21"/>
        </w:rPr>
        <w:t> </w:t>
      </w:r>
    </w:p>
    <w:p>
      <w:pPr>
        <w:pStyle w:val="BodyText"/>
        <w:rPr>
          <w:sz w:val="18"/>
        </w:rPr>
      </w:pPr>
    </w:p>
    <w:p>
      <w:pPr>
        <w:pStyle w:val="ListParagraph"/>
        <w:numPr>
          <w:ilvl w:val="2"/>
          <w:numId w:val="274"/>
        </w:numPr>
        <w:tabs>
          <w:tab w:pos="1370" w:val="left" w:leader="none"/>
        </w:tabs>
        <w:spacing w:line="446" w:lineRule="auto" w:before="0" w:after="0"/>
        <w:ind w:left="418" w:right="1551" w:firstLine="422"/>
        <w:jc w:val="left"/>
        <w:rPr>
          <w:sz w:val="21"/>
        </w:rPr>
      </w:pPr>
      <w:r>
        <w:rPr>
          <w:color w:val="333333"/>
          <w:spacing w:val="-12"/>
          <w:sz w:val="21"/>
        </w:rPr>
        <w:t>高度大于 </w:t>
      </w:r>
      <w:r>
        <w:rPr>
          <w:color w:val="333333"/>
          <w:sz w:val="21"/>
        </w:rPr>
        <w:t>10m</w:t>
      </w:r>
      <w:r>
        <w:rPr>
          <w:color w:val="333333"/>
          <w:spacing w:val="-3"/>
          <w:sz w:val="21"/>
        </w:rPr>
        <w:t> 的三级耐火等级建筑应设置通至屋顶的室外消防梯。室外消防梯不应</w:t>
      </w:r>
      <w:r>
        <w:rPr>
          <w:color w:val="333333"/>
          <w:spacing w:val="-7"/>
          <w:sz w:val="21"/>
        </w:rPr>
        <w:t>面对老虎窗，宽度不应小于 </w:t>
      </w:r>
      <w:r>
        <w:rPr>
          <w:color w:val="333333"/>
          <w:sz w:val="21"/>
        </w:rPr>
        <w:t>0.6m</w:t>
      </w:r>
      <w:r>
        <w:rPr>
          <w:color w:val="333333"/>
          <w:spacing w:val="-9"/>
          <w:sz w:val="21"/>
        </w:rPr>
        <w:t>，且宜从离地面 </w:t>
      </w:r>
      <w:r>
        <w:rPr>
          <w:color w:val="333333"/>
          <w:sz w:val="21"/>
        </w:rPr>
        <w:t>3.0m</w:t>
      </w:r>
      <w:r>
        <w:rPr>
          <w:color w:val="333333"/>
          <w:spacing w:val="-3"/>
          <w:sz w:val="21"/>
        </w:rPr>
        <w:t> 高处设置。</w:t>
      </w:r>
      <w:r>
        <w:rPr>
          <w:color w:val="333333"/>
          <w:sz w:val="21"/>
        </w:rPr>
        <w:t> </w:t>
      </w:r>
    </w:p>
    <w:p>
      <w:pPr>
        <w:pStyle w:val="ListParagraph"/>
        <w:numPr>
          <w:ilvl w:val="2"/>
          <w:numId w:val="274"/>
        </w:numPr>
        <w:tabs>
          <w:tab w:pos="1478" w:val="left" w:leader="none"/>
        </w:tabs>
        <w:spacing w:line="240" w:lineRule="auto" w:before="0" w:after="0"/>
        <w:ind w:left="1477" w:right="0" w:hanging="638"/>
        <w:jc w:val="left"/>
        <w:rPr>
          <w:sz w:val="21"/>
        </w:rPr>
      </w:pPr>
      <w:r>
        <w:rPr>
          <w:color w:val="333333"/>
          <w:spacing w:val="-3"/>
          <w:sz w:val="21"/>
        </w:rPr>
        <w:t>疏散走道在防火分区处应设置常开甲级防火门。</w:t>
      </w:r>
      <w:r>
        <w:rPr>
          <w:color w:val="333333"/>
          <w:sz w:val="21"/>
        </w:rPr>
        <w:t> </w:t>
      </w:r>
    </w:p>
    <w:p>
      <w:pPr>
        <w:pStyle w:val="BodyText"/>
        <w:spacing w:before="12"/>
        <w:rPr>
          <w:sz w:val="17"/>
        </w:rPr>
      </w:pPr>
    </w:p>
    <w:p>
      <w:pPr>
        <w:pStyle w:val="ListParagraph"/>
        <w:numPr>
          <w:ilvl w:val="2"/>
          <w:numId w:val="274"/>
        </w:numPr>
        <w:tabs>
          <w:tab w:pos="1478" w:val="left" w:leader="none"/>
        </w:tabs>
        <w:spacing w:line="240" w:lineRule="auto" w:before="0" w:after="0"/>
        <w:ind w:left="1477" w:right="0" w:hanging="638"/>
        <w:jc w:val="left"/>
        <w:rPr>
          <w:sz w:val="21"/>
        </w:rPr>
      </w:pPr>
      <w:r>
        <w:rPr>
          <w:color w:val="333333"/>
          <w:spacing w:val="-3"/>
          <w:sz w:val="21"/>
        </w:rPr>
        <w:t>建筑内的疏散门应符合下列规定：</w:t>
      </w:r>
      <w:r>
        <w:rPr>
          <w:color w:val="333333"/>
          <w:sz w:val="21"/>
        </w:rPr>
        <w:t> </w:t>
      </w:r>
    </w:p>
    <w:p>
      <w:pPr>
        <w:pStyle w:val="BodyText"/>
        <w:rPr>
          <w:sz w:val="18"/>
        </w:rPr>
      </w:pPr>
    </w:p>
    <w:p>
      <w:pPr>
        <w:pStyle w:val="BodyText"/>
        <w:spacing w:line="446" w:lineRule="auto"/>
        <w:ind w:left="418" w:right="1450" w:firstLine="419"/>
      </w:pPr>
      <w:r>
        <w:rPr>
          <w:color w:val="333333"/>
          <w:spacing w:val="-3"/>
        </w:rPr>
        <w:t>民用建筑和厂房的疏散门，应采用向疏散方向开启的平开门，不应采用推拉门、卷帘门、 </w:t>
      </w:r>
      <w:r>
        <w:rPr>
          <w:color w:val="333333"/>
          <w:spacing w:val="-5"/>
        </w:rPr>
        <w:t>吊门、转门和折叠门。除甲、乙类生产车间外，人数不超过 </w:t>
      </w:r>
      <w:r>
        <w:rPr>
          <w:color w:val="333333"/>
        </w:rPr>
        <w:t>60</w:t>
      </w:r>
      <w:r>
        <w:rPr>
          <w:color w:val="333333"/>
          <w:spacing w:val="-3"/>
        </w:rPr>
        <w:t> 人且每樘门的平均疏散人数不超</w:t>
      </w:r>
      <w:r>
        <w:rPr>
          <w:color w:val="333333"/>
          <w:spacing w:val="-28"/>
        </w:rPr>
        <w:t>过 </w:t>
      </w:r>
      <w:r>
        <w:rPr>
          <w:color w:val="333333"/>
        </w:rPr>
        <w:t>30</w:t>
      </w:r>
      <w:r>
        <w:rPr>
          <w:color w:val="333333"/>
          <w:spacing w:val="-3"/>
        </w:rPr>
        <w:t> 人的房间，其疏散门的开启方向不限；</w:t>
      </w:r>
      <w:r>
        <w:rPr>
          <w:color w:val="333333"/>
        </w:rPr>
        <w:t> </w:t>
      </w:r>
    </w:p>
    <w:p>
      <w:pPr>
        <w:pStyle w:val="BodyText"/>
        <w:spacing w:line="446" w:lineRule="auto"/>
        <w:ind w:left="418" w:right="1609" w:firstLine="419"/>
      </w:pPr>
      <w:r>
        <w:rPr>
          <w:color w:val="333333"/>
        </w:rPr>
        <w:t>仓库的疏散门应采用向疏散方向开启的平开门，但丙、丁、戊类仓库首层靠墙的外侧可采用推拉门或卷帘门； </w:t>
      </w:r>
    </w:p>
    <w:p>
      <w:pPr>
        <w:pStyle w:val="BodyText"/>
        <w:spacing w:line="446" w:lineRule="auto"/>
        <w:ind w:left="838" w:right="1609"/>
      </w:pPr>
      <w:r>
        <w:rPr>
          <w:color w:val="333333"/>
          <w:spacing w:val="-3"/>
        </w:rPr>
        <w:t>开向疏散楼梯或疏散楼梯间的门，当其完全开启时，不应减少楼梯平台的有效宽度；   人员密集场所内平时需要控制人员随意出入的疏散门和设置门禁系统的住宅、宿舍、公寓</w:t>
      </w:r>
    </w:p>
    <w:p>
      <w:pPr>
        <w:pStyle w:val="BodyText"/>
        <w:spacing w:line="446" w:lineRule="auto"/>
        <w:ind w:left="418" w:right="1608"/>
      </w:pPr>
      <w:r>
        <w:rPr>
          <w:color w:val="333333"/>
        </w:rPr>
        <w:t>建筑的外门，应保证火灾时不需使用钥匙等任何工具即能从内部易于打开，并应在显著位置设置具有使用提示的标识。 </w:t>
      </w:r>
    </w:p>
    <w:p>
      <w:pPr>
        <w:pStyle w:val="ListParagraph"/>
        <w:numPr>
          <w:ilvl w:val="2"/>
          <w:numId w:val="274"/>
        </w:numPr>
        <w:tabs>
          <w:tab w:pos="1478" w:val="left" w:leader="none"/>
        </w:tabs>
        <w:spacing w:line="267" w:lineRule="exact" w:before="0" w:after="0"/>
        <w:ind w:left="1477" w:right="0" w:hanging="638"/>
        <w:jc w:val="left"/>
        <w:rPr>
          <w:sz w:val="21"/>
        </w:rPr>
      </w:pPr>
      <w:r>
        <w:rPr>
          <w:color w:val="333333"/>
          <w:spacing w:val="-3"/>
          <w:sz w:val="21"/>
        </w:rPr>
        <w:t>用于防火分隔的下沉式广场等室外开敞空间，应符合下列规定：</w:t>
      </w:r>
      <w:r>
        <w:rPr>
          <w:color w:val="333333"/>
          <w:sz w:val="21"/>
        </w:rPr>
        <w:t> </w:t>
      </w:r>
    </w:p>
    <w:p>
      <w:pPr>
        <w:pStyle w:val="BodyText"/>
        <w:spacing w:before="1"/>
        <w:rPr>
          <w:sz w:val="18"/>
        </w:rPr>
      </w:pPr>
    </w:p>
    <w:p>
      <w:pPr>
        <w:pStyle w:val="BodyText"/>
        <w:spacing w:line="441" w:lineRule="auto"/>
        <w:ind w:left="418" w:right="1450" w:firstLine="419"/>
      </w:pPr>
      <w:r>
        <w:rPr>
          <w:color w:val="333333"/>
          <w:spacing w:val="-3"/>
        </w:rPr>
        <w:t>分隔后的不同区域通向下沉式广场等室外开敞空间的开口最近边缘之间的水平距离不应小 </w:t>
      </w:r>
      <w:r>
        <w:rPr>
          <w:color w:val="333333"/>
          <w:spacing w:val="-12"/>
        </w:rPr>
        <w:t>于 </w:t>
      </w:r>
      <w:r>
        <w:rPr>
          <w:color w:val="333333"/>
        </w:rPr>
        <w:t>13m</w:t>
      </w:r>
      <w:r>
        <w:rPr>
          <w:color w:val="333333"/>
          <w:spacing w:val="-3"/>
        </w:rPr>
        <w:t>。室外开敞空间除用于人员疏散外不得用于其他商业或可能导致火灾蔓延的用途，其中用</w:t>
      </w:r>
      <w:r>
        <w:rPr>
          <w:color w:val="333333"/>
          <w:spacing w:val="-8"/>
        </w:rPr>
        <w:t>于疏散的净面积不应小于 </w:t>
      </w:r>
      <w:r>
        <w:rPr>
          <w:color w:val="333333"/>
        </w:rPr>
        <w:t>169m</w:t>
      </w:r>
      <w:r>
        <w:rPr>
          <w:color w:val="333333"/>
          <w:position w:val="11"/>
          <w:sz w:val="11"/>
        </w:rPr>
        <w:t>2</w:t>
      </w:r>
      <w:r>
        <w:rPr>
          <w:color w:val="333333"/>
        </w:rPr>
        <w:t>； </w:t>
      </w:r>
    </w:p>
    <w:p>
      <w:pPr>
        <w:pStyle w:val="BodyText"/>
        <w:spacing w:line="446" w:lineRule="auto" w:before="5"/>
        <w:ind w:left="418" w:right="1558" w:firstLine="419"/>
        <w:jc w:val="both"/>
      </w:pPr>
      <w:r>
        <w:rPr>
          <w:color w:val="333333"/>
          <w:spacing w:val="-5"/>
        </w:rPr>
        <w:t>下沉式广场等室外开敞空间内应设置不少于 </w:t>
      </w:r>
      <w:r>
        <w:rPr>
          <w:color w:val="333333"/>
          <w:spacing w:val="-3"/>
        </w:rPr>
        <w:t>1 部直通地面的疏散楼梯。当连接下沉广场的防火分区需利用下沉广场进行疏散时，疏散楼梯的总净宽度不应小于任一防火分区通向室外开敞空间的设计疏散总净宽度；</w:t>
      </w:r>
      <w:r>
        <w:rPr>
          <w:color w:val="333333"/>
        </w:rPr>
        <w:t> </w:t>
      </w:r>
    </w:p>
    <w:p>
      <w:pPr>
        <w:pStyle w:val="BodyText"/>
        <w:spacing w:line="446" w:lineRule="auto"/>
        <w:ind w:left="418" w:right="1609" w:firstLine="419"/>
        <w:jc w:val="both"/>
      </w:pPr>
      <w:r>
        <w:rPr>
          <w:color w:val="333333"/>
          <w:spacing w:val="-3"/>
        </w:rPr>
        <w:t>确需设置防风雨篷时，防风雨篷不应完全封闭，四周开口部位应均匀布置，开口的面积不</w:t>
      </w:r>
      <w:r>
        <w:rPr>
          <w:color w:val="333333"/>
          <w:spacing w:val="-6"/>
        </w:rPr>
        <w:t>应小于该空间地面面积的 </w:t>
      </w:r>
      <w:r>
        <w:rPr>
          <w:color w:val="333333"/>
        </w:rPr>
        <w:t>25%</w:t>
      </w:r>
      <w:r>
        <w:rPr>
          <w:color w:val="333333"/>
          <w:spacing w:val="-7"/>
        </w:rPr>
        <w:t>，开口高度不应小于 </w:t>
      </w:r>
      <w:r>
        <w:rPr>
          <w:color w:val="333333"/>
        </w:rPr>
        <w:t>1.0m</w:t>
      </w:r>
      <w:r>
        <w:rPr>
          <w:color w:val="333333"/>
          <w:spacing w:val="-3"/>
        </w:rPr>
        <w:t>；开口设置百叶时，百叶的有效排烟面</w:t>
      </w:r>
      <w:r>
        <w:rPr>
          <w:color w:val="333333"/>
          <w:spacing w:val="-8"/>
        </w:rPr>
        <w:t>积可按百叶通风口面积的 </w:t>
      </w:r>
      <w:r>
        <w:rPr>
          <w:color w:val="333333"/>
        </w:rPr>
        <w:t>60%</w:t>
      </w:r>
      <w:r>
        <w:rPr>
          <w:color w:val="333333"/>
          <w:spacing w:val="-3"/>
        </w:rPr>
        <w:t>计算。</w:t>
      </w:r>
      <w:r>
        <w:rPr>
          <w:color w:val="333333"/>
        </w:rPr>
        <w:t> </w:t>
      </w:r>
    </w:p>
    <w:p>
      <w:pPr>
        <w:pStyle w:val="ListParagraph"/>
        <w:numPr>
          <w:ilvl w:val="2"/>
          <w:numId w:val="274"/>
        </w:numPr>
        <w:tabs>
          <w:tab w:pos="1478" w:val="left" w:leader="none"/>
        </w:tabs>
        <w:spacing w:line="268" w:lineRule="exact" w:before="0" w:after="0"/>
        <w:ind w:left="1477" w:right="0" w:hanging="638"/>
        <w:jc w:val="left"/>
        <w:rPr>
          <w:sz w:val="21"/>
        </w:rPr>
      </w:pPr>
      <w:r>
        <w:rPr>
          <w:color w:val="333333"/>
          <w:spacing w:val="-3"/>
          <w:sz w:val="21"/>
        </w:rPr>
        <w:t>防火隔间的设置应符合下列规定：</w:t>
      </w:r>
      <w:r>
        <w:rPr>
          <w:color w:val="333333"/>
          <w:sz w:val="21"/>
        </w:rPr>
        <w:t> </w:t>
      </w:r>
    </w:p>
    <w:p>
      <w:pPr>
        <w:pStyle w:val="BodyText"/>
        <w:spacing w:before="1"/>
        <w:rPr>
          <w:sz w:val="17"/>
        </w:rPr>
      </w:pPr>
    </w:p>
    <w:p>
      <w:pPr>
        <w:pStyle w:val="BodyText"/>
        <w:spacing w:before="1"/>
        <w:ind w:left="838"/>
      </w:pPr>
      <w:r>
        <w:rPr>
          <w:color w:val="333333"/>
        </w:rPr>
        <w:t>防火隔间的建筑面积不应小于 6.0m</w:t>
      </w:r>
      <w:r>
        <w:rPr>
          <w:color w:val="333333"/>
          <w:position w:val="11"/>
          <w:sz w:val="11"/>
        </w:rPr>
        <w:t>2</w:t>
      </w:r>
      <w:r>
        <w:rPr>
          <w:color w:val="333333"/>
        </w:rPr>
        <w:t>； </w:t>
      </w:r>
    </w:p>
    <w:p>
      <w:pPr>
        <w:pStyle w:val="BodyText"/>
        <w:spacing w:before="12"/>
        <w:rPr>
          <w:sz w:val="17"/>
        </w:rPr>
      </w:pPr>
    </w:p>
    <w:p>
      <w:pPr>
        <w:pStyle w:val="BodyText"/>
        <w:ind w:left="838"/>
      </w:pPr>
      <w:r>
        <w:rPr>
          <w:color w:val="333333"/>
        </w:rPr>
        <w:t>防火隔间的门应采用甲级防火门； </w:t>
      </w:r>
    </w:p>
    <w:p>
      <w:pPr>
        <w:pStyle w:val="BodyText"/>
        <w:spacing w:before="2"/>
        <w:rPr>
          <w:sz w:val="18"/>
        </w:rPr>
      </w:pPr>
    </w:p>
    <w:p>
      <w:pPr>
        <w:pStyle w:val="BodyText"/>
        <w:ind w:left="838"/>
      </w:pPr>
      <w:r>
        <w:rPr>
          <w:color w:val="333333"/>
        </w:rPr>
        <w:t>不同防火分区通向防火隔间的门不应计入安全出口，门的最小间距不应小于 4m； </w:t>
      </w:r>
    </w:p>
    <w:p>
      <w:pPr>
        <w:spacing w:after="0"/>
        <w:sectPr>
          <w:pgSz w:w="11910" w:h="16850"/>
          <w:pgMar w:header="0" w:footer="1239" w:top="1220" w:bottom="1420" w:left="1260" w:right="0"/>
        </w:sectPr>
      </w:pPr>
    </w:p>
    <w:p>
      <w:pPr>
        <w:pStyle w:val="BodyText"/>
        <w:spacing w:before="47"/>
        <w:ind w:left="838"/>
      </w:pPr>
      <w:r>
        <w:rPr>
          <w:color w:val="333333"/>
        </w:rPr>
        <w:t>防火隔间内部装修材料的燃烧性能应为 A 级； </w:t>
      </w:r>
    </w:p>
    <w:p>
      <w:pPr>
        <w:pStyle w:val="BodyText"/>
        <w:rPr>
          <w:sz w:val="18"/>
        </w:rPr>
      </w:pPr>
    </w:p>
    <w:p>
      <w:pPr>
        <w:pStyle w:val="BodyText"/>
        <w:spacing w:line="446" w:lineRule="auto"/>
        <w:ind w:left="840" w:right="5805" w:hanging="3"/>
      </w:pPr>
      <w:r>
        <w:rPr>
          <w:color w:val="333333"/>
          <w:spacing w:val="-3"/>
        </w:rPr>
        <w:t>不应用于除人员通行外的其他用途。 </w:t>
      </w:r>
      <w:r>
        <w:rPr>
          <w:b/>
          <w:color w:val="333333"/>
        </w:rPr>
        <w:t>6.4.14</w:t>
      </w:r>
      <w:r>
        <w:rPr>
          <w:b/>
          <w:color w:val="333333"/>
          <w:spacing w:val="8"/>
        </w:rPr>
        <w:t> </w:t>
      </w:r>
      <w:r>
        <w:rPr>
          <w:color w:val="333333"/>
          <w:spacing w:val="-3"/>
        </w:rPr>
        <w:t>避难走道的设置应符合下列规定：</w:t>
      </w:r>
      <w:r>
        <w:rPr>
          <w:color w:val="333333"/>
        </w:rPr>
        <w:t> </w:t>
      </w:r>
    </w:p>
    <w:p>
      <w:pPr>
        <w:pStyle w:val="BodyText"/>
        <w:ind w:left="838"/>
      </w:pPr>
      <w:r>
        <w:rPr>
          <w:color w:val="333333"/>
        </w:rPr>
        <w:t>避难走道防火隔墙的耐火极限不应低于 3.00h，楼板的耐火极限不应低于 1.50h； </w:t>
      </w:r>
    </w:p>
    <w:p>
      <w:pPr>
        <w:pStyle w:val="BodyText"/>
        <w:spacing w:before="12"/>
        <w:rPr>
          <w:sz w:val="17"/>
        </w:rPr>
      </w:pPr>
    </w:p>
    <w:p>
      <w:pPr>
        <w:pStyle w:val="BodyText"/>
        <w:spacing w:line="446" w:lineRule="auto"/>
        <w:ind w:left="418" w:right="1558" w:firstLine="419"/>
        <w:jc w:val="both"/>
      </w:pPr>
      <w:r>
        <w:rPr>
          <w:color w:val="333333"/>
          <w:spacing w:val="-6"/>
        </w:rPr>
        <w:t>避难走道直通地面的出口不应少于 </w:t>
      </w:r>
      <w:r>
        <w:rPr>
          <w:color w:val="333333"/>
          <w:spacing w:val="-3"/>
        </w:rPr>
        <w:t>2 个，并应设置在不同方向；当避难走道仅与一个防火</w:t>
      </w:r>
      <w:r>
        <w:rPr>
          <w:color w:val="333333"/>
          <w:spacing w:val="-6"/>
        </w:rPr>
        <w:t>分区相通且该防火分区至少有 </w:t>
      </w:r>
      <w:r>
        <w:rPr>
          <w:color w:val="333333"/>
          <w:spacing w:val="-3"/>
        </w:rPr>
        <w:t>1</w:t>
      </w:r>
      <w:r>
        <w:rPr>
          <w:color w:val="333333"/>
          <w:spacing w:val="-6"/>
        </w:rPr>
        <w:t> 个直通室外的安全出口时，可设置 </w:t>
      </w:r>
      <w:r>
        <w:rPr>
          <w:color w:val="333333"/>
        </w:rPr>
        <w:t>1</w:t>
      </w:r>
      <w:r>
        <w:rPr>
          <w:color w:val="333333"/>
          <w:spacing w:val="-8"/>
        </w:rPr>
        <w:t> 个直通地面的出口。任一</w:t>
      </w:r>
      <w:r>
        <w:rPr>
          <w:color w:val="333333"/>
          <w:spacing w:val="-7"/>
        </w:rPr>
        <w:t>防火分区通向避难走道的门至该避难走道最近直通地面的出口的距离不应大于 </w:t>
      </w:r>
      <w:r>
        <w:rPr>
          <w:color w:val="333333"/>
        </w:rPr>
        <w:t>60m； </w:t>
      </w:r>
    </w:p>
    <w:p>
      <w:pPr>
        <w:pStyle w:val="BodyText"/>
        <w:spacing w:line="446" w:lineRule="auto"/>
        <w:ind w:left="838" w:right="2345"/>
        <w:jc w:val="both"/>
      </w:pPr>
      <w:r>
        <w:rPr>
          <w:color w:val="333333"/>
          <w:spacing w:val="-3"/>
        </w:rPr>
        <w:t>避难走道的净宽度不应小于任一防火分区通向该避难走道的设计疏散总净宽度； </w:t>
      </w:r>
      <w:r>
        <w:rPr>
          <w:color w:val="333333"/>
          <w:spacing w:val="-6"/>
        </w:rPr>
        <w:t>避难走道内部装修材料的燃烧性能应为 </w:t>
      </w:r>
      <w:r>
        <w:rPr>
          <w:color w:val="333333"/>
          <w:spacing w:val="-3"/>
        </w:rPr>
        <w:t>A</w:t>
      </w:r>
      <w:r>
        <w:rPr>
          <w:color w:val="333333"/>
          <w:spacing w:val="-1"/>
        </w:rPr>
        <w:t> 级； </w:t>
      </w:r>
    </w:p>
    <w:p>
      <w:pPr>
        <w:pStyle w:val="BodyText"/>
        <w:spacing w:line="446" w:lineRule="auto"/>
        <w:ind w:left="418" w:right="1503" w:firstLine="419"/>
        <w:jc w:val="both"/>
      </w:pPr>
      <w:r>
        <w:rPr>
          <w:color w:val="333333"/>
          <w:spacing w:val="-4"/>
        </w:rPr>
        <w:t>防火分区至避难走道入口处应设置防烟前室，前室的使用面积不应小于 </w:t>
      </w:r>
      <w:r>
        <w:rPr>
          <w:color w:val="333333"/>
        </w:rPr>
        <w:t>6.0m</w:t>
      </w:r>
      <w:r>
        <w:rPr>
          <w:color w:val="333333"/>
          <w:position w:val="11"/>
          <w:sz w:val="11"/>
        </w:rPr>
        <w:t>2</w:t>
      </w:r>
      <w:r>
        <w:rPr>
          <w:color w:val="333333"/>
          <w:spacing w:val="-2"/>
        </w:rPr>
        <w:t>，开向前室的</w:t>
      </w:r>
      <w:r>
        <w:rPr>
          <w:color w:val="333333"/>
          <w:spacing w:val="-3"/>
        </w:rPr>
        <w:t>门应采用甲级防火门，前室开向避难走道的门应采用乙级防火门；</w:t>
      </w:r>
      <w:r>
        <w:rPr>
          <w:color w:val="333333"/>
        </w:rPr>
        <w:t> </w:t>
      </w:r>
    </w:p>
    <w:p>
      <w:pPr>
        <w:pStyle w:val="BodyText"/>
        <w:spacing w:line="446" w:lineRule="auto"/>
        <w:ind w:left="840" w:right="3186" w:hanging="3"/>
        <w:rPr>
          <w:b/>
        </w:rPr>
      </w:pPr>
      <w:r>
        <w:rPr>
          <w:color w:val="333333"/>
        </w:rPr>
        <w:t>避难走道内应设置消火栓、消防应急照明、应急广播和消防专线电话。</w:t>
      </w:r>
      <w:r>
        <w:rPr>
          <w:b/>
        </w:rPr>
        <w:t>6.5 </w:t>
      </w:r>
      <w:r>
        <w:rPr/>
        <w:t>防火门、窗和防火卷帘</w:t>
      </w:r>
      <w:r>
        <w:rPr>
          <w:b/>
          <w:w w:val="99"/>
        </w:rPr>
        <w:t> </w:t>
      </w:r>
    </w:p>
    <w:p>
      <w:pPr>
        <w:pStyle w:val="ListParagraph"/>
        <w:numPr>
          <w:ilvl w:val="2"/>
          <w:numId w:val="275"/>
        </w:numPr>
        <w:tabs>
          <w:tab w:pos="1371" w:val="left" w:leader="none"/>
        </w:tabs>
        <w:spacing w:line="240" w:lineRule="auto" w:before="0" w:after="0"/>
        <w:ind w:left="1370" w:right="0" w:hanging="531"/>
        <w:jc w:val="left"/>
        <w:rPr>
          <w:sz w:val="21"/>
        </w:rPr>
      </w:pPr>
      <w:r>
        <w:rPr>
          <w:color w:val="333333"/>
          <w:spacing w:val="-3"/>
          <w:sz w:val="21"/>
        </w:rPr>
        <w:t>防火门的设置应符合下列规定：</w:t>
      </w:r>
      <w:r>
        <w:rPr>
          <w:color w:val="333333"/>
          <w:sz w:val="21"/>
        </w:rPr>
        <w:t> </w:t>
      </w:r>
    </w:p>
    <w:p>
      <w:pPr>
        <w:pStyle w:val="BodyText"/>
        <w:spacing w:before="12"/>
        <w:rPr>
          <w:sz w:val="16"/>
        </w:rPr>
      </w:pPr>
    </w:p>
    <w:p>
      <w:pPr>
        <w:pStyle w:val="BodyText"/>
        <w:spacing w:line="446" w:lineRule="auto"/>
        <w:ind w:left="418" w:right="1609" w:firstLine="419"/>
      </w:pPr>
      <w:r>
        <w:rPr>
          <w:color w:val="333333"/>
        </w:rPr>
        <w:t>设置在建筑内经常有人通行处的防火门宜采用常开防火门。常开防火门应能在火灾时自行关闭，并应具有信号反馈的功能； </w:t>
      </w:r>
    </w:p>
    <w:p>
      <w:pPr>
        <w:pStyle w:val="BodyText"/>
        <w:spacing w:line="446" w:lineRule="auto"/>
        <w:ind w:left="418" w:right="1609" w:firstLine="419"/>
      </w:pPr>
      <w:r>
        <w:rPr>
          <w:color w:val="333333"/>
        </w:rPr>
        <w:t>除允许设置常开防火门的位置外，其他位置的防火门均应采用常闭防火门。常闭防火门应在其明显位置设置“保持防火门关闭”等提示标识； </w:t>
      </w:r>
    </w:p>
    <w:p>
      <w:pPr>
        <w:pStyle w:val="BodyText"/>
        <w:spacing w:line="446" w:lineRule="auto"/>
        <w:ind w:left="418" w:right="1609" w:firstLine="419"/>
      </w:pPr>
      <w:r>
        <w:rPr>
          <w:color w:val="333333"/>
        </w:rPr>
        <w:t>除管井检修门和住宅的户门外，防火门应具有自行关闭功能。双扇防火门应具有按顺序自行关闭的功能； </w:t>
      </w:r>
    </w:p>
    <w:p>
      <w:pPr>
        <w:pStyle w:val="BodyText"/>
        <w:spacing w:line="267" w:lineRule="exact"/>
        <w:ind w:left="838"/>
      </w:pPr>
      <w:r>
        <w:rPr>
          <w:color w:val="333333"/>
        </w:rPr>
        <w:t>除本规范第 6.4.11 条第 4 款的规定外，防火门应能在其内外两侧手动开启； </w:t>
      </w:r>
    </w:p>
    <w:p>
      <w:pPr>
        <w:pStyle w:val="BodyText"/>
        <w:spacing w:before="2"/>
        <w:rPr>
          <w:sz w:val="18"/>
        </w:rPr>
      </w:pPr>
    </w:p>
    <w:p>
      <w:pPr>
        <w:pStyle w:val="BodyText"/>
        <w:spacing w:line="446" w:lineRule="auto"/>
        <w:ind w:left="418" w:right="1609" w:firstLine="419"/>
      </w:pPr>
      <w:r>
        <w:rPr>
          <w:color w:val="333333"/>
        </w:rPr>
        <w:t>设置在建筑变形缝附近时，防火门应设置在楼层较多的一侧，并应保证防火门开启时门扇不跨越变形缝； </w:t>
      </w:r>
    </w:p>
    <w:p>
      <w:pPr>
        <w:pStyle w:val="BodyText"/>
        <w:spacing w:line="267" w:lineRule="exact"/>
        <w:ind w:left="838"/>
      </w:pPr>
      <w:r>
        <w:rPr>
          <w:color w:val="333333"/>
        </w:rPr>
        <w:t>防火门关闭后应具有防烟性能； </w:t>
      </w:r>
    </w:p>
    <w:p>
      <w:pPr>
        <w:pStyle w:val="BodyText"/>
        <w:spacing w:before="2"/>
        <w:rPr>
          <w:sz w:val="18"/>
        </w:rPr>
      </w:pPr>
    </w:p>
    <w:p>
      <w:pPr>
        <w:pStyle w:val="BodyText"/>
        <w:ind w:left="838"/>
      </w:pPr>
      <w:r>
        <w:rPr>
          <w:color w:val="333333"/>
        </w:rPr>
        <w:t>甲、乙、丙级防火门应符合现行国家标准《防火门》GB 12955 的规定。 </w:t>
      </w:r>
    </w:p>
    <w:p>
      <w:pPr>
        <w:pStyle w:val="BodyText"/>
        <w:rPr>
          <w:sz w:val="18"/>
        </w:rPr>
      </w:pPr>
    </w:p>
    <w:p>
      <w:pPr>
        <w:pStyle w:val="ListParagraph"/>
        <w:numPr>
          <w:ilvl w:val="2"/>
          <w:numId w:val="275"/>
        </w:numPr>
        <w:tabs>
          <w:tab w:pos="1370" w:val="left" w:leader="none"/>
        </w:tabs>
        <w:spacing w:line="446" w:lineRule="auto" w:before="0" w:after="0"/>
        <w:ind w:left="418" w:right="1604" w:firstLine="422"/>
        <w:jc w:val="left"/>
        <w:rPr>
          <w:sz w:val="21"/>
        </w:rPr>
      </w:pPr>
      <w:r>
        <w:rPr>
          <w:color w:val="333333"/>
          <w:spacing w:val="-3"/>
          <w:sz w:val="21"/>
        </w:rPr>
        <w:t>设置在防火墙、防火隔墙上的防火窗，应采用不可开启的窗扇或具有火灾时能自行关闭的功能。</w:t>
      </w:r>
      <w:r>
        <w:rPr>
          <w:color w:val="333333"/>
          <w:sz w:val="21"/>
        </w:rPr>
        <w:t> </w:t>
      </w:r>
    </w:p>
    <w:p>
      <w:pPr>
        <w:pStyle w:val="BodyText"/>
        <w:ind w:left="838"/>
      </w:pPr>
      <w:r>
        <w:rPr>
          <w:color w:val="333333"/>
        </w:rPr>
        <w:t>防火窗应符合现行国家标准《防火窗》GB 16809 的有关规定。 </w:t>
      </w:r>
    </w:p>
    <w:p>
      <w:pPr>
        <w:spacing w:after="0"/>
        <w:sectPr>
          <w:footerReference w:type="default" r:id="rId154"/>
          <w:pgSz w:w="11910" w:h="16850"/>
          <w:pgMar w:footer="1239" w:header="0" w:top="1220" w:bottom="1420" w:left="1260" w:right="0"/>
          <w:pgNumType w:start="1030"/>
        </w:sectPr>
      </w:pPr>
    </w:p>
    <w:p>
      <w:pPr>
        <w:pStyle w:val="ListParagraph"/>
        <w:numPr>
          <w:ilvl w:val="2"/>
          <w:numId w:val="275"/>
        </w:numPr>
        <w:tabs>
          <w:tab w:pos="1371" w:val="left" w:leader="none"/>
        </w:tabs>
        <w:spacing w:line="240" w:lineRule="auto" w:before="47" w:after="0"/>
        <w:ind w:left="1370" w:right="0" w:hanging="531"/>
        <w:jc w:val="left"/>
        <w:rPr>
          <w:sz w:val="21"/>
        </w:rPr>
      </w:pPr>
      <w:r>
        <w:rPr>
          <w:color w:val="333333"/>
          <w:spacing w:val="-3"/>
          <w:sz w:val="21"/>
        </w:rPr>
        <w:t>防火分隔部位设置防火卷帘时，应符合下列规定：</w:t>
      </w:r>
      <w:r>
        <w:rPr>
          <w:color w:val="333333"/>
          <w:sz w:val="21"/>
        </w:rPr>
        <w:t> </w:t>
      </w:r>
    </w:p>
    <w:p>
      <w:pPr>
        <w:pStyle w:val="BodyText"/>
        <w:rPr>
          <w:sz w:val="18"/>
        </w:rPr>
      </w:pPr>
    </w:p>
    <w:p>
      <w:pPr>
        <w:pStyle w:val="BodyText"/>
        <w:spacing w:line="446" w:lineRule="auto"/>
        <w:ind w:left="418" w:right="1560" w:firstLine="419"/>
      </w:pPr>
      <w:r>
        <w:rPr>
          <w:color w:val="333333"/>
          <w:spacing w:val="-6"/>
        </w:rPr>
        <w:t>除中庭外，当防火分隔部位的宽度不大于 </w:t>
      </w:r>
      <w:r>
        <w:rPr>
          <w:color w:val="333333"/>
        </w:rPr>
        <w:t>30m</w:t>
      </w:r>
      <w:r>
        <w:rPr>
          <w:color w:val="333333"/>
          <w:spacing w:val="-6"/>
        </w:rPr>
        <w:t> 时，防火卷帘的宽度不应大于 </w:t>
      </w:r>
      <w:r>
        <w:rPr>
          <w:color w:val="333333"/>
        </w:rPr>
        <w:t>10m</w:t>
      </w:r>
      <w:r>
        <w:rPr>
          <w:color w:val="333333"/>
          <w:spacing w:val="-1"/>
        </w:rPr>
        <w:t>；当防火</w:t>
      </w:r>
      <w:r>
        <w:rPr>
          <w:color w:val="333333"/>
          <w:spacing w:val="-8"/>
        </w:rPr>
        <w:t>分隔部位的宽度大于 </w:t>
      </w:r>
      <w:r>
        <w:rPr>
          <w:color w:val="333333"/>
        </w:rPr>
        <w:t>30m</w:t>
      </w:r>
      <w:r>
        <w:rPr>
          <w:color w:val="333333"/>
          <w:spacing w:val="-6"/>
        </w:rPr>
        <w:t> 时，防火卷帘的宽度不应大于该部位宽度的 </w:t>
      </w:r>
      <w:r>
        <w:rPr>
          <w:color w:val="333333"/>
        </w:rPr>
        <w:t>1/3</w:t>
      </w:r>
      <w:r>
        <w:rPr>
          <w:color w:val="333333"/>
          <w:spacing w:val="-9"/>
        </w:rPr>
        <w:t>，且不应大于 </w:t>
      </w:r>
      <w:r>
        <w:rPr>
          <w:color w:val="333333"/>
        </w:rPr>
        <w:t>20m； </w:t>
      </w:r>
    </w:p>
    <w:p>
      <w:pPr>
        <w:pStyle w:val="BodyText"/>
        <w:ind w:left="838"/>
      </w:pPr>
      <w:r>
        <w:rPr>
          <w:color w:val="333333"/>
        </w:rPr>
        <w:t>防火卷帘应具有火灾时靠自重自动关闭功能； </w:t>
      </w:r>
    </w:p>
    <w:p>
      <w:pPr>
        <w:pStyle w:val="BodyText"/>
        <w:spacing w:before="12"/>
        <w:rPr>
          <w:sz w:val="17"/>
        </w:rPr>
      </w:pPr>
    </w:p>
    <w:p>
      <w:pPr>
        <w:pStyle w:val="BodyText"/>
        <w:spacing w:line="446" w:lineRule="auto"/>
        <w:ind w:left="418" w:right="1609" w:firstLine="419"/>
      </w:pPr>
      <w:r>
        <w:rPr>
          <w:color w:val="333333"/>
        </w:rPr>
        <w:t>除本规范另有规定外，防火卷帘的耐火极限不应低于本规范对所设置部位墙体的耐火极限要求。 </w:t>
      </w:r>
    </w:p>
    <w:p>
      <w:pPr>
        <w:pStyle w:val="BodyText"/>
        <w:spacing w:line="446" w:lineRule="auto"/>
        <w:ind w:left="418" w:right="1392" w:firstLine="419"/>
      </w:pPr>
      <w:r>
        <w:rPr>
          <w:color w:val="333333"/>
        </w:rPr>
        <w:t>当防火卷帘的耐火极限符合现行国家标准《门和卷帘耐火试验方法》GB/T 7633 有关耐火完整性和耐火隔热性的判定条件时，可不设置自动喷水灭火系统保护。 </w:t>
      </w:r>
    </w:p>
    <w:p>
      <w:pPr>
        <w:pStyle w:val="BodyText"/>
        <w:spacing w:line="446" w:lineRule="auto"/>
        <w:ind w:left="418" w:right="1452" w:firstLine="419"/>
      </w:pPr>
      <w:r>
        <w:rPr>
          <w:color w:val="333333"/>
          <w:spacing w:val="-3"/>
        </w:rPr>
        <w:t>当防火卷帘的耐火极限仅符合现行国家标准《门和卷帘耐火试验方法》</w:t>
      </w:r>
      <w:r>
        <w:rPr>
          <w:color w:val="333333"/>
        </w:rPr>
        <w:t>GB/T 7633</w:t>
      </w:r>
      <w:r>
        <w:rPr>
          <w:color w:val="333333"/>
          <w:spacing w:val="-10"/>
        </w:rPr>
        <w:t> 有关耐火</w:t>
      </w:r>
      <w:r>
        <w:rPr>
          <w:color w:val="333333"/>
          <w:spacing w:val="-5"/>
        </w:rPr>
        <w:t>完整性的判定条件时，应设置自动喷水灭火系统保护。自动喷水灭火系统的设计应符合现行国 </w:t>
      </w:r>
      <w:r>
        <w:rPr>
          <w:color w:val="333333"/>
          <w:spacing w:val="-4"/>
        </w:rPr>
        <w:t>家标准《自动喷水灭火系统设计规范》</w:t>
      </w:r>
      <w:r>
        <w:rPr>
          <w:color w:val="333333"/>
        </w:rPr>
        <w:t>GB50084</w:t>
      </w:r>
      <w:r>
        <w:rPr>
          <w:color w:val="333333"/>
          <w:spacing w:val="-3"/>
        </w:rPr>
        <w:t> 的规定，但火灾延续时间不应小于该防火卷帘的耐火极限；</w:t>
      </w:r>
      <w:r>
        <w:rPr>
          <w:color w:val="333333"/>
        </w:rPr>
        <w:t> </w:t>
      </w:r>
    </w:p>
    <w:p>
      <w:pPr>
        <w:pStyle w:val="BodyText"/>
        <w:spacing w:line="446" w:lineRule="auto"/>
        <w:ind w:left="838" w:right="1714"/>
      </w:pPr>
      <w:r>
        <w:rPr>
          <w:color w:val="333333"/>
          <w:spacing w:val="-3"/>
        </w:rPr>
        <w:t>防火卷帘应具有防烟性能，与楼板、梁、墙、柱之间的空隙应采用防火封堵材料封堵； 需在火灾时自动降落的防火卷帘，应具有信号反馈的功能；</w:t>
      </w:r>
      <w:r>
        <w:rPr>
          <w:color w:val="333333"/>
        </w:rPr>
        <w:t> </w:t>
      </w:r>
    </w:p>
    <w:p>
      <w:pPr>
        <w:pStyle w:val="BodyText"/>
        <w:spacing w:line="446" w:lineRule="auto"/>
        <w:ind w:left="840" w:right="3714" w:hanging="3"/>
      </w:pPr>
      <w:r>
        <w:rPr>
          <w:color w:val="333333"/>
        </w:rPr>
        <w:t>其他要求，应符合现行国家标准《防火卷帘》GB 14102 的规定。</w:t>
      </w:r>
      <w:r>
        <w:rPr>
          <w:b/>
          <w:color w:val="333333"/>
        </w:rPr>
        <w:t>6.6 </w:t>
      </w:r>
      <w:r>
        <w:rPr>
          <w:color w:val="333333"/>
        </w:rPr>
        <w:t>天桥、栈桥和管沟 </w:t>
      </w:r>
    </w:p>
    <w:p>
      <w:pPr>
        <w:pStyle w:val="ListParagraph"/>
        <w:numPr>
          <w:ilvl w:val="2"/>
          <w:numId w:val="276"/>
        </w:numPr>
        <w:tabs>
          <w:tab w:pos="1371" w:val="left" w:leader="none"/>
        </w:tabs>
        <w:spacing w:line="446" w:lineRule="auto" w:before="0" w:after="0"/>
        <w:ind w:left="418" w:right="1813" w:firstLine="422"/>
        <w:jc w:val="left"/>
        <w:rPr>
          <w:sz w:val="21"/>
        </w:rPr>
      </w:pPr>
      <w:r>
        <w:rPr>
          <w:color w:val="333333"/>
          <w:spacing w:val="-3"/>
          <w:sz w:val="21"/>
        </w:rPr>
        <w:t>天桥、跨越房屋的栈桥以及供输送可燃材料、可燃气体和甲、乙、丙类液体的栈桥，均应采用不燃材料。</w:t>
      </w:r>
      <w:r>
        <w:rPr>
          <w:color w:val="333333"/>
          <w:sz w:val="21"/>
        </w:rPr>
        <w:t> </w:t>
      </w:r>
    </w:p>
    <w:p>
      <w:pPr>
        <w:pStyle w:val="ListParagraph"/>
        <w:numPr>
          <w:ilvl w:val="2"/>
          <w:numId w:val="276"/>
        </w:numPr>
        <w:tabs>
          <w:tab w:pos="1371" w:val="left" w:leader="none"/>
        </w:tabs>
        <w:spacing w:line="240" w:lineRule="auto" w:before="0" w:after="0"/>
        <w:ind w:left="1370" w:right="0" w:hanging="531"/>
        <w:jc w:val="left"/>
        <w:rPr>
          <w:sz w:val="21"/>
        </w:rPr>
      </w:pPr>
      <w:r>
        <w:rPr>
          <w:color w:val="333333"/>
          <w:spacing w:val="-3"/>
          <w:sz w:val="21"/>
        </w:rPr>
        <w:t>输送有火灾、爆炸危险物质的栈桥不应兼作疏散通道。</w:t>
      </w:r>
      <w:r>
        <w:rPr>
          <w:color w:val="333333"/>
          <w:sz w:val="21"/>
        </w:rPr>
        <w:t> </w:t>
      </w:r>
    </w:p>
    <w:p>
      <w:pPr>
        <w:pStyle w:val="BodyText"/>
        <w:spacing w:before="9"/>
        <w:rPr>
          <w:sz w:val="17"/>
        </w:rPr>
      </w:pPr>
    </w:p>
    <w:p>
      <w:pPr>
        <w:pStyle w:val="ListParagraph"/>
        <w:numPr>
          <w:ilvl w:val="2"/>
          <w:numId w:val="276"/>
        </w:numPr>
        <w:tabs>
          <w:tab w:pos="1371" w:val="left" w:leader="none"/>
        </w:tabs>
        <w:spacing w:line="240" w:lineRule="auto" w:before="0" w:after="0"/>
        <w:ind w:left="1370" w:right="0" w:hanging="531"/>
        <w:jc w:val="left"/>
        <w:rPr>
          <w:sz w:val="21"/>
        </w:rPr>
      </w:pPr>
      <w:r>
        <w:rPr>
          <w:color w:val="333333"/>
          <w:spacing w:val="-3"/>
          <w:sz w:val="21"/>
        </w:rPr>
        <w:t>封闭天桥、栈桥与建筑物连接处的门洞以及敷设甲、乙、丙类液体管道的封闭管沟</w:t>
      </w:r>
    </w:p>
    <w:p>
      <w:pPr>
        <w:pStyle w:val="BodyText"/>
        <w:spacing w:before="12"/>
        <w:rPr>
          <w:sz w:val="17"/>
        </w:rPr>
      </w:pPr>
    </w:p>
    <w:p>
      <w:pPr>
        <w:pStyle w:val="BodyText"/>
        <w:ind w:left="418"/>
      </w:pPr>
      <w:r>
        <w:rPr>
          <w:color w:val="333333"/>
        </w:rPr>
        <w:t>（廊），均宜采取防止火灾蔓延的措施。 </w:t>
      </w:r>
    </w:p>
    <w:p>
      <w:pPr>
        <w:pStyle w:val="BodyText"/>
        <w:spacing w:before="2"/>
        <w:rPr>
          <w:sz w:val="18"/>
        </w:rPr>
      </w:pPr>
    </w:p>
    <w:p>
      <w:pPr>
        <w:pStyle w:val="ListParagraph"/>
        <w:numPr>
          <w:ilvl w:val="2"/>
          <w:numId w:val="276"/>
        </w:numPr>
        <w:tabs>
          <w:tab w:pos="1371" w:val="left" w:leader="none"/>
        </w:tabs>
        <w:spacing w:line="446" w:lineRule="auto" w:before="0" w:after="0"/>
        <w:ind w:left="418" w:right="1604" w:firstLine="422"/>
        <w:jc w:val="both"/>
        <w:rPr>
          <w:sz w:val="21"/>
        </w:rPr>
      </w:pPr>
      <w:r>
        <w:rPr>
          <w:color w:val="333333"/>
          <w:spacing w:val="-3"/>
          <w:sz w:val="21"/>
        </w:rPr>
        <w:t>连接两座建筑物的天桥、连廊，应采取防止火灾在两座建筑间蔓延的措施。当仅供通行的天桥、连廊采用不燃材料，且建筑物通向天桥、连廊的出口符合安全出口的要求时，该出口可作为安全出口。</w:t>
      </w:r>
      <w:r>
        <w:rPr>
          <w:color w:val="333333"/>
          <w:sz w:val="21"/>
        </w:rPr>
        <w:t> </w:t>
      </w:r>
    </w:p>
    <w:p>
      <w:pPr>
        <w:pStyle w:val="ListParagraph"/>
        <w:numPr>
          <w:ilvl w:val="1"/>
          <w:numId w:val="277"/>
        </w:numPr>
        <w:tabs>
          <w:tab w:pos="1159" w:val="left" w:leader="none"/>
        </w:tabs>
        <w:spacing w:line="268" w:lineRule="exact" w:before="0" w:after="0"/>
        <w:ind w:left="1158" w:right="0" w:hanging="319"/>
        <w:jc w:val="left"/>
        <w:rPr>
          <w:b/>
          <w:sz w:val="21"/>
        </w:rPr>
      </w:pPr>
      <w:r>
        <w:rPr>
          <w:spacing w:val="-3"/>
          <w:sz w:val="21"/>
        </w:rPr>
        <w:t>建筑保温和外墙装饰</w:t>
      </w:r>
      <w:r>
        <w:rPr>
          <w:b/>
          <w:w w:val="99"/>
          <w:sz w:val="21"/>
        </w:rPr>
        <w:t> </w:t>
      </w:r>
    </w:p>
    <w:p>
      <w:pPr>
        <w:pStyle w:val="BodyText"/>
        <w:rPr>
          <w:b/>
          <w:sz w:val="18"/>
        </w:rPr>
      </w:pPr>
    </w:p>
    <w:p>
      <w:pPr>
        <w:pStyle w:val="ListParagraph"/>
        <w:numPr>
          <w:ilvl w:val="2"/>
          <w:numId w:val="277"/>
        </w:numPr>
        <w:tabs>
          <w:tab w:pos="1371" w:val="left" w:leader="none"/>
        </w:tabs>
        <w:spacing w:line="446" w:lineRule="auto" w:before="0" w:after="0"/>
        <w:ind w:left="418" w:right="1450" w:firstLine="422"/>
        <w:jc w:val="left"/>
        <w:rPr>
          <w:sz w:val="21"/>
        </w:rPr>
      </w:pPr>
      <w:r>
        <w:rPr>
          <w:color w:val="333333"/>
          <w:spacing w:val="-6"/>
          <w:sz w:val="21"/>
        </w:rPr>
        <w:t>建筑的内、外保温系统，宜采用燃烧性能为 </w:t>
      </w:r>
      <w:r>
        <w:rPr>
          <w:color w:val="333333"/>
          <w:sz w:val="21"/>
        </w:rPr>
        <w:t>A</w:t>
      </w:r>
      <w:r>
        <w:rPr>
          <w:color w:val="333333"/>
          <w:spacing w:val="-7"/>
          <w:sz w:val="21"/>
        </w:rPr>
        <w:t> 级的保温材料，不宜采用 </w:t>
      </w:r>
      <w:r>
        <w:rPr>
          <w:color w:val="333333"/>
          <w:sz w:val="21"/>
        </w:rPr>
        <w:t>B2 级保温材</w:t>
      </w:r>
      <w:r>
        <w:rPr>
          <w:color w:val="333333"/>
          <w:spacing w:val="-9"/>
          <w:sz w:val="21"/>
        </w:rPr>
        <w:t>料，严禁采用 </w:t>
      </w:r>
      <w:r>
        <w:rPr>
          <w:color w:val="333333"/>
          <w:sz w:val="21"/>
        </w:rPr>
        <w:t>B3</w:t>
      </w:r>
      <w:r>
        <w:rPr>
          <w:color w:val="333333"/>
          <w:spacing w:val="-3"/>
          <w:sz w:val="21"/>
        </w:rPr>
        <w:t> 级保温材料；设置保温系统的基层墙体或屋面板的耐火极限应符合本规范的有关规定。</w:t>
      </w:r>
      <w:r>
        <w:rPr>
          <w:color w:val="333333"/>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277"/>
        </w:numPr>
        <w:tabs>
          <w:tab w:pos="1371" w:val="left" w:leader="none"/>
        </w:tabs>
        <w:spacing w:line="240" w:lineRule="auto" w:before="47" w:after="0"/>
        <w:ind w:left="1370" w:right="0" w:hanging="531"/>
        <w:jc w:val="left"/>
        <w:rPr>
          <w:sz w:val="21"/>
        </w:rPr>
      </w:pPr>
      <w:r>
        <w:rPr>
          <w:color w:val="333333"/>
          <w:spacing w:val="-3"/>
          <w:sz w:val="21"/>
        </w:rPr>
        <w:t>建筑外墙采用内保温系统时，保温系统应符合下列规定：</w:t>
      </w:r>
      <w:r>
        <w:rPr>
          <w:color w:val="333333"/>
          <w:sz w:val="21"/>
        </w:rPr>
        <w:t> </w:t>
      </w:r>
    </w:p>
    <w:p>
      <w:pPr>
        <w:pStyle w:val="BodyText"/>
        <w:rPr>
          <w:sz w:val="18"/>
        </w:rPr>
      </w:pPr>
    </w:p>
    <w:p>
      <w:pPr>
        <w:pStyle w:val="BodyText"/>
        <w:spacing w:line="446" w:lineRule="auto"/>
        <w:ind w:left="418" w:right="1609" w:firstLine="419"/>
      </w:pPr>
      <w:r>
        <w:rPr>
          <w:color w:val="333333"/>
        </w:rPr>
        <w:t>对于人员密集场所，用火、燃油、燃气等具有火灾危险性的场所以及各类建筑内的疏散楼梯间、避难走道、避难间、避难层等场所或部位，应采用燃烧性能为 A 级的保温材料； </w:t>
      </w:r>
    </w:p>
    <w:p>
      <w:pPr>
        <w:pStyle w:val="BodyText"/>
        <w:ind w:left="838"/>
      </w:pPr>
      <w:r>
        <w:rPr>
          <w:color w:val="333333"/>
        </w:rPr>
        <w:t>对于其他场所，应采用低烟、低毒且燃烧性能不低于 B1 级的保温材料； </w:t>
      </w:r>
    </w:p>
    <w:p>
      <w:pPr>
        <w:pStyle w:val="BodyText"/>
        <w:spacing w:before="12"/>
        <w:rPr>
          <w:sz w:val="17"/>
        </w:rPr>
      </w:pPr>
    </w:p>
    <w:p>
      <w:pPr>
        <w:pStyle w:val="BodyText"/>
        <w:spacing w:line="446" w:lineRule="auto"/>
        <w:ind w:left="418" w:right="1399" w:firstLine="419"/>
      </w:pPr>
      <w:r>
        <w:rPr>
          <w:color w:val="333333"/>
        </w:rPr>
        <w:t>保温系统应采用不燃材料做防护层。采用燃烧性能为 B1 级的保温材料时，防护层的厚度不应小于 10mm。 </w:t>
      </w:r>
    </w:p>
    <w:p>
      <w:pPr>
        <w:pStyle w:val="ListParagraph"/>
        <w:numPr>
          <w:ilvl w:val="2"/>
          <w:numId w:val="277"/>
        </w:numPr>
        <w:tabs>
          <w:tab w:pos="1370" w:val="left" w:leader="none"/>
        </w:tabs>
        <w:spacing w:line="446" w:lineRule="auto" w:before="0" w:after="0"/>
        <w:ind w:left="418" w:right="1450" w:firstLine="422"/>
        <w:jc w:val="left"/>
        <w:rPr>
          <w:sz w:val="21"/>
        </w:rPr>
      </w:pPr>
      <w:r>
        <w:rPr>
          <w:color w:val="333333"/>
          <w:spacing w:val="-3"/>
          <w:sz w:val="21"/>
        </w:rPr>
        <w:t>建筑外墙采用保温材料与两侧墙体构成无空腔复合保温结构体时，该结构体的耐火极</w:t>
      </w:r>
      <w:r>
        <w:rPr>
          <w:color w:val="333333"/>
          <w:spacing w:val="-5"/>
          <w:sz w:val="21"/>
        </w:rPr>
        <w:t>限应符合本规范的有关规定；当保温材料的燃烧性能为 </w:t>
      </w:r>
      <w:r>
        <w:rPr>
          <w:color w:val="333333"/>
          <w:sz w:val="21"/>
        </w:rPr>
        <w:t>B1、B2</w:t>
      </w:r>
      <w:r>
        <w:rPr>
          <w:color w:val="333333"/>
          <w:spacing w:val="-2"/>
          <w:sz w:val="21"/>
        </w:rPr>
        <w:t> 级时，保温材料两侧的墙体应采</w:t>
      </w:r>
      <w:r>
        <w:rPr>
          <w:color w:val="333333"/>
          <w:spacing w:val="-7"/>
          <w:sz w:val="21"/>
        </w:rPr>
        <w:t>用不燃材料且厚度均不应小于 </w:t>
      </w:r>
      <w:r>
        <w:rPr>
          <w:color w:val="333333"/>
          <w:sz w:val="21"/>
        </w:rPr>
        <w:t>50mm</w:t>
      </w:r>
      <w:r>
        <w:rPr>
          <w:color w:val="333333"/>
          <w:spacing w:val="-3"/>
          <w:sz w:val="21"/>
        </w:rPr>
        <w:t>。</w:t>
      </w:r>
      <w:r>
        <w:rPr>
          <w:color w:val="333333"/>
          <w:sz w:val="21"/>
        </w:rPr>
        <w:t> </w:t>
      </w:r>
    </w:p>
    <w:p>
      <w:pPr>
        <w:pStyle w:val="ListParagraph"/>
        <w:numPr>
          <w:ilvl w:val="2"/>
          <w:numId w:val="277"/>
        </w:numPr>
        <w:tabs>
          <w:tab w:pos="1370" w:val="left" w:leader="none"/>
        </w:tabs>
        <w:spacing w:line="268" w:lineRule="exact" w:before="0" w:after="0"/>
        <w:ind w:left="1369" w:right="0" w:hanging="530"/>
        <w:jc w:val="left"/>
        <w:rPr>
          <w:sz w:val="21"/>
        </w:rPr>
      </w:pPr>
      <w:r>
        <w:rPr>
          <w:color w:val="333333"/>
          <w:spacing w:val="-5"/>
          <w:sz w:val="21"/>
        </w:rPr>
        <w:t>设置人员密集场所的建筑，其外墙外保温材料的燃烧性能应为 </w:t>
      </w:r>
      <w:r>
        <w:rPr>
          <w:color w:val="333333"/>
          <w:spacing w:val="-3"/>
          <w:sz w:val="21"/>
        </w:rPr>
        <w:t>A</w:t>
      </w:r>
      <w:r>
        <w:rPr>
          <w:color w:val="333333"/>
          <w:spacing w:val="-1"/>
          <w:sz w:val="21"/>
        </w:rPr>
        <w:t> 级。 </w:t>
      </w:r>
    </w:p>
    <w:p>
      <w:pPr>
        <w:pStyle w:val="BodyText"/>
        <w:rPr>
          <w:sz w:val="18"/>
        </w:rPr>
      </w:pPr>
    </w:p>
    <w:p>
      <w:pPr>
        <w:pStyle w:val="BodyText"/>
        <w:spacing w:line="446" w:lineRule="auto"/>
        <w:ind w:left="418" w:right="1604" w:firstLine="422"/>
      </w:pPr>
      <w:r>
        <w:rPr>
          <w:b/>
          <w:color w:val="333333"/>
        </w:rPr>
        <w:t>6.7.4A </w:t>
      </w:r>
      <w:r>
        <w:rPr>
          <w:color w:val="333333"/>
        </w:rPr>
        <w:t>除本规范第 6.7.3 条规定的情况外，下列老年人照料设施的内、外墙体和屋面保温材料应采用燃烧性能为 A 级的保温材料： </w:t>
      </w:r>
    </w:p>
    <w:p>
      <w:pPr>
        <w:pStyle w:val="BodyText"/>
        <w:ind w:left="838"/>
      </w:pPr>
      <w:r>
        <w:rPr>
          <w:color w:val="333333"/>
        </w:rPr>
        <w:t>独立建造的老年人照料设施； </w:t>
      </w:r>
    </w:p>
    <w:p>
      <w:pPr>
        <w:pStyle w:val="BodyText"/>
        <w:spacing w:before="2"/>
        <w:rPr>
          <w:sz w:val="17"/>
        </w:rPr>
      </w:pPr>
    </w:p>
    <w:p>
      <w:pPr>
        <w:pStyle w:val="BodyText"/>
        <w:spacing w:line="446" w:lineRule="auto"/>
        <w:ind w:left="840" w:right="1580" w:hanging="3"/>
      </w:pPr>
      <w:r>
        <w:rPr>
          <w:color w:val="333333"/>
        </w:rPr>
        <w:t>与其他建筑组合建造且老年人照料设施部分的总建筑面积大于 500m</w:t>
      </w:r>
      <w:r>
        <w:rPr>
          <w:color w:val="333333"/>
          <w:position w:val="11"/>
          <w:sz w:val="11"/>
        </w:rPr>
        <w:t>2 </w:t>
      </w:r>
      <w:r>
        <w:rPr>
          <w:color w:val="333333"/>
        </w:rPr>
        <w:t>的老年人照料设施。</w:t>
      </w:r>
      <w:r>
        <w:rPr>
          <w:b/>
          <w:color w:val="333333"/>
        </w:rPr>
        <w:t>6.7.5 </w:t>
      </w:r>
      <w:r>
        <w:rPr>
          <w:color w:val="333333"/>
        </w:rPr>
        <w:t>与基层墙体、装饰层之间无空腔的建筑外墙外保温系统，其保温材料应符合下列规</w:t>
      </w:r>
    </w:p>
    <w:p>
      <w:pPr>
        <w:pStyle w:val="BodyText"/>
        <w:ind w:left="418"/>
      </w:pPr>
      <w:r>
        <w:rPr>
          <w:color w:val="333333"/>
        </w:rPr>
        <w:t>定： </w:t>
      </w:r>
    </w:p>
    <w:p>
      <w:pPr>
        <w:pStyle w:val="BodyText"/>
        <w:rPr>
          <w:sz w:val="18"/>
        </w:rPr>
      </w:pPr>
    </w:p>
    <w:p>
      <w:pPr>
        <w:pStyle w:val="BodyText"/>
        <w:ind w:left="838"/>
      </w:pPr>
      <w:r>
        <w:rPr>
          <w:color w:val="333333"/>
        </w:rPr>
        <w:t>住宅建筑： </w:t>
      </w:r>
    </w:p>
    <w:p>
      <w:pPr>
        <w:pStyle w:val="BodyText"/>
        <w:spacing w:before="12"/>
        <w:rPr>
          <w:sz w:val="17"/>
        </w:rPr>
      </w:pPr>
    </w:p>
    <w:p>
      <w:pPr>
        <w:pStyle w:val="ListParagraph"/>
        <w:numPr>
          <w:ilvl w:val="0"/>
          <w:numId w:val="278"/>
        </w:numPr>
        <w:tabs>
          <w:tab w:pos="1156" w:val="left" w:leader="none"/>
        </w:tabs>
        <w:spacing w:line="240" w:lineRule="auto" w:before="0" w:after="0"/>
        <w:ind w:left="1155" w:right="0" w:hanging="318"/>
        <w:jc w:val="left"/>
        <w:rPr>
          <w:sz w:val="21"/>
        </w:rPr>
      </w:pPr>
      <w:r>
        <w:rPr>
          <w:color w:val="333333"/>
          <w:spacing w:val="-11"/>
          <w:sz w:val="21"/>
        </w:rPr>
        <w:t>建筑高度大于 </w:t>
      </w:r>
      <w:r>
        <w:rPr>
          <w:color w:val="333333"/>
          <w:sz w:val="21"/>
        </w:rPr>
        <w:t>100m</w:t>
      </w:r>
      <w:r>
        <w:rPr>
          <w:color w:val="333333"/>
          <w:spacing w:val="-7"/>
          <w:sz w:val="21"/>
        </w:rPr>
        <w:t> 时，保温材料的燃烧性能应为 </w:t>
      </w:r>
      <w:r>
        <w:rPr>
          <w:color w:val="333333"/>
          <w:sz w:val="21"/>
        </w:rPr>
        <w:t>A</w:t>
      </w:r>
      <w:r>
        <w:rPr>
          <w:color w:val="333333"/>
          <w:spacing w:val="-2"/>
          <w:sz w:val="21"/>
        </w:rPr>
        <w:t> 级；</w:t>
      </w:r>
      <w:r>
        <w:rPr>
          <w:color w:val="333333"/>
          <w:sz w:val="21"/>
        </w:rPr>
        <w:t> </w:t>
      </w:r>
    </w:p>
    <w:p>
      <w:pPr>
        <w:pStyle w:val="BodyText"/>
        <w:spacing w:before="2"/>
        <w:rPr>
          <w:sz w:val="18"/>
        </w:rPr>
      </w:pPr>
    </w:p>
    <w:p>
      <w:pPr>
        <w:pStyle w:val="ListParagraph"/>
        <w:numPr>
          <w:ilvl w:val="0"/>
          <w:numId w:val="278"/>
        </w:numPr>
        <w:tabs>
          <w:tab w:pos="1156" w:val="left" w:leader="none"/>
        </w:tabs>
        <w:spacing w:line="240" w:lineRule="auto" w:before="0" w:after="0"/>
        <w:ind w:left="1155" w:right="0" w:hanging="318"/>
        <w:jc w:val="left"/>
        <w:rPr>
          <w:sz w:val="21"/>
        </w:rPr>
      </w:pPr>
      <w:r>
        <w:rPr>
          <w:color w:val="333333"/>
          <w:spacing w:val="-11"/>
          <w:sz w:val="21"/>
        </w:rPr>
        <w:t>建筑高度大于 </w:t>
      </w:r>
      <w:r>
        <w:rPr>
          <w:color w:val="333333"/>
          <w:sz w:val="21"/>
        </w:rPr>
        <w:t>27m</w:t>
      </w:r>
      <w:r>
        <w:rPr>
          <w:color w:val="333333"/>
          <w:spacing w:val="-12"/>
          <w:sz w:val="21"/>
        </w:rPr>
        <w:t>，但不大于 </w:t>
      </w:r>
      <w:r>
        <w:rPr>
          <w:color w:val="333333"/>
          <w:sz w:val="21"/>
        </w:rPr>
        <w:t>100m</w:t>
      </w:r>
      <w:r>
        <w:rPr>
          <w:color w:val="333333"/>
          <w:spacing w:val="-6"/>
          <w:sz w:val="21"/>
        </w:rPr>
        <w:t> 时，保温材料的燃烧性能不应低于 </w:t>
      </w:r>
      <w:r>
        <w:rPr>
          <w:color w:val="333333"/>
          <w:sz w:val="21"/>
        </w:rPr>
        <w:t>B1</w:t>
      </w:r>
      <w:r>
        <w:rPr>
          <w:color w:val="333333"/>
          <w:spacing w:val="-19"/>
          <w:sz w:val="21"/>
        </w:rPr>
        <w:t> 级；</w:t>
      </w:r>
      <w:r>
        <w:rPr>
          <w:color w:val="333333"/>
          <w:sz w:val="21"/>
        </w:rPr>
        <w:t> </w:t>
      </w:r>
    </w:p>
    <w:p>
      <w:pPr>
        <w:pStyle w:val="BodyText"/>
        <w:rPr>
          <w:sz w:val="18"/>
        </w:rPr>
      </w:pPr>
    </w:p>
    <w:p>
      <w:pPr>
        <w:pStyle w:val="ListParagraph"/>
        <w:numPr>
          <w:ilvl w:val="0"/>
          <w:numId w:val="278"/>
        </w:numPr>
        <w:tabs>
          <w:tab w:pos="1156" w:val="left" w:leader="none"/>
        </w:tabs>
        <w:spacing w:line="240" w:lineRule="auto" w:before="0" w:after="0"/>
        <w:ind w:left="1155" w:right="0" w:hanging="318"/>
        <w:jc w:val="left"/>
        <w:rPr>
          <w:sz w:val="21"/>
        </w:rPr>
      </w:pPr>
      <w:r>
        <w:rPr>
          <w:color w:val="333333"/>
          <w:spacing w:val="-10"/>
          <w:sz w:val="21"/>
        </w:rPr>
        <w:t>建筑高度不大于 </w:t>
      </w:r>
      <w:r>
        <w:rPr>
          <w:color w:val="333333"/>
          <w:sz w:val="21"/>
        </w:rPr>
        <w:t>27m</w:t>
      </w:r>
      <w:r>
        <w:rPr>
          <w:color w:val="333333"/>
          <w:spacing w:val="-6"/>
          <w:sz w:val="21"/>
        </w:rPr>
        <w:t> 时，保温材料的燃烧性能不应低于 </w:t>
      </w:r>
      <w:r>
        <w:rPr>
          <w:color w:val="333333"/>
          <w:sz w:val="21"/>
        </w:rPr>
        <w:t>B2</w:t>
      </w:r>
      <w:r>
        <w:rPr>
          <w:color w:val="333333"/>
          <w:spacing w:val="-3"/>
          <w:sz w:val="21"/>
        </w:rPr>
        <w:t> 级；</w:t>
      </w:r>
      <w:r>
        <w:rPr>
          <w:color w:val="333333"/>
          <w:sz w:val="21"/>
        </w:rPr>
        <w:t> </w:t>
      </w:r>
    </w:p>
    <w:p>
      <w:pPr>
        <w:pStyle w:val="BodyText"/>
        <w:rPr>
          <w:sz w:val="18"/>
        </w:rPr>
      </w:pPr>
    </w:p>
    <w:p>
      <w:pPr>
        <w:pStyle w:val="BodyText"/>
        <w:spacing w:line="446" w:lineRule="auto"/>
        <w:ind w:left="838" w:right="4237"/>
      </w:pPr>
      <w:r>
        <w:rPr>
          <w:color w:val="333333"/>
          <w:spacing w:val="-3"/>
        </w:rPr>
        <w:t>除住宅建筑和设置人员密集场所的建筑外，其他建筑：   </w:t>
      </w:r>
      <w:r>
        <w:rPr>
          <w:color w:val="333333"/>
        </w:rPr>
        <w:t>1）</w:t>
      </w:r>
      <w:r>
        <w:rPr>
          <w:color w:val="333333"/>
          <w:spacing w:val="-10"/>
        </w:rPr>
        <w:t>建筑高度大于 </w:t>
      </w:r>
      <w:r>
        <w:rPr>
          <w:color w:val="333333"/>
        </w:rPr>
        <w:t>50m</w:t>
      </w:r>
      <w:r>
        <w:rPr>
          <w:color w:val="333333"/>
          <w:spacing w:val="-7"/>
        </w:rPr>
        <w:t> 时，保温材料的燃烧性能应为 </w:t>
      </w:r>
      <w:r>
        <w:rPr>
          <w:color w:val="333333"/>
        </w:rPr>
        <w:t>A 级； </w:t>
      </w:r>
    </w:p>
    <w:p>
      <w:pPr>
        <w:pStyle w:val="ListParagraph"/>
        <w:numPr>
          <w:ilvl w:val="0"/>
          <w:numId w:val="279"/>
        </w:numPr>
        <w:tabs>
          <w:tab w:pos="1156" w:val="left" w:leader="none"/>
        </w:tabs>
        <w:spacing w:line="240" w:lineRule="auto" w:before="0" w:after="0"/>
        <w:ind w:left="1155" w:right="0" w:hanging="318"/>
        <w:jc w:val="left"/>
        <w:rPr>
          <w:sz w:val="21"/>
        </w:rPr>
      </w:pPr>
      <w:r>
        <w:rPr>
          <w:color w:val="333333"/>
          <w:spacing w:val="-11"/>
          <w:sz w:val="21"/>
        </w:rPr>
        <w:t>建筑高度大于 </w:t>
      </w:r>
      <w:r>
        <w:rPr>
          <w:color w:val="333333"/>
          <w:sz w:val="21"/>
        </w:rPr>
        <w:t>24m</w:t>
      </w:r>
      <w:r>
        <w:rPr>
          <w:color w:val="333333"/>
          <w:spacing w:val="-12"/>
          <w:sz w:val="21"/>
        </w:rPr>
        <w:t>，但不大于 </w:t>
      </w:r>
      <w:r>
        <w:rPr>
          <w:color w:val="333333"/>
          <w:sz w:val="21"/>
        </w:rPr>
        <w:t>50m</w:t>
      </w:r>
      <w:r>
        <w:rPr>
          <w:color w:val="333333"/>
          <w:spacing w:val="-6"/>
          <w:sz w:val="21"/>
        </w:rPr>
        <w:t> 时，保温材料的燃烧性能不应低于 </w:t>
      </w:r>
      <w:r>
        <w:rPr>
          <w:color w:val="333333"/>
          <w:sz w:val="21"/>
        </w:rPr>
        <w:t>B1</w:t>
      </w:r>
      <w:r>
        <w:rPr>
          <w:color w:val="333333"/>
          <w:spacing w:val="-1"/>
          <w:sz w:val="21"/>
        </w:rPr>
        <w:t> 级；</w:t>
      </w:r>
      <w:r>
        <w:rPr>
          <w:color w:val="333333"/>
          <w:sz w:val="21"/>
        </w:rPr>
        <w:t> </w:t>
      </w:r>
    </w:p>
    <w:p>
      <w:pPr>
        <w:pStyle w:val="BodyText"/>
        <w:spacing w:before="12"/>
        <w:rPr>
          <w:sz w:val="17"/>
        </w:rPr>
      </w:pPr>
    </w:p>
    <w:p>
      <w:pPr>
        <w:pStyle w:val="ListParagraph"/>
        <w:numPr>
          <w:ilvl w:val="0"/>
          <w:numId w:val="279"/>
        </w:numPr>
        <w:tabs>
          <w:tab w:pos="1156" w:val="left" w:leader="none"/>
        </w:tabs>
        <w:spacing w:line="240" w:lineRule="auto" w:before="0" w:after="0"/>
        <w:ind w:left="1155" w:right="0" w:hanging="318"/>
        <w:jc w:val="left"/>
        <w:rPr>
          <w:sz w:val="21"/>
        </w:rPr>
      </w:pPr>
      <w:r>
        <w:rPr>
          <w:color w:val="333333"/>
          <w:spacing w:val="-10"/>
          <w:sz w:val="21"/>
        </w:rPr>
        <w:t>建筑高度不大于 </w:t>
      </w:r>
      <w:r>
        <w:rPr>
          <w:color w:val="333333"/>
          <w:sz w:val="21"/>
        </w:rPr>
        <w:t>24m</w:t>
      </w:r>
      <w:r>
        <w:rPr>
          <w:color w:val="333333"/>
          <w:spacing w:val="-6"/>
          <w:sz w:val="21"/>
        </w:rPr>
        <w:t> 时，保温材料的燃烧性能不应低于 </w:t>
      </w:r>
      <w:r>
        <w:rPr>
          <w:color w:val="333333"/>
          <w:sz w:val="21"/>
        </w:rPr>
        <w:t>B2</w:t>
      </w:r>
      <w:r>
        <w:rPr>
          <w:color w:val="333333"/>
          <w:spacing w:val="-3"/>
          <w:sz w:val="21"/>
        </w:rPr>
        <w:t> 级。</w:t>
      </w:r>
      <w:r>
        <w:rPr>
          <w:color w:val="333333"/>
          <w:sz w:val="21"/>
        </w:rPr>
        <w:t> </w:t>
      </w:r>
    </w:p>
    <w:p>
      <w:pPr>
        <w:pStyle w:val="BodyText"/>
        <w:spacing w:before="2"/>
        <w:rPr>
          <w:sz w:val="18"/>
        </w:rPr>
      </w:pPr>
    </w:p>
    <w:p>
      <w:pPr>
        <w:pStyle w:val="ListParagraph"/>
        <w:numPr>
          <w:ilvl w:val="2"/>
          <w:numId w:val="280"/>
        </w:numPr>
        <w:tabs>
          <w:tab w:pos="1370" w:val="left" w:leader="none"/>
        </w:tabs>
        <w:spacing w:line="446" w:lineRule="auto" w:before="0" w:after="0"/>
        <w:ind w:left="418" w:right="1604" w:firstLine="422"/>
        <w:jc w:val="left"/>
        <w:rPr>
          <w:sz w:val="21"/>
        </w:rPr>
      </w:pPr>
      <w:r>
        <w:rPr>
          <w:color w:val="333333"/>
          <w:spacing w:val="-3"/>
          <w:sz w:val="21"/>
        </w:rPr>
        <w:t>除设置人员密集场所的建筑外，与基层墙体、装饰层之间有空腔的建筑外墙外保温系统，其保温材料应符合下列规定：</w:t>
      </w:r>
      <w:r>
        <w:rPr>
          <w:color w:val="333333"/>
          <w:sz w:val="21"/>
        </w:rPr>
        <w:t> </w:t>
      </w:r>
    </w:p>
    <w:p>
      <w:pPr>
        <w:pStyle w:val="BodyText"/>
        <w:spacing w:line="267" w:lineRule="exact"/>
        <w:ind w:left="838"/>
      </w:pPr>
      <w:r>
        <w:rPr>
          <w:color w:val="333333"/>
        </w:rPr>
        <w:t>建筑高度大于 24m 时，保温材料的燃烧性能应为 A 级； </w:t>
      </w:r>
    </w:p>
    <w:p>
      <w:pPr>
        <w:pStyle w:val="BodyText"/>
        <w:spacing w:before="2"/>
        <w:rPr>
          <w:sz w:val="18"/>
        </w:rPr>
      </w:pPr>
    </w:p>
    <w:p>
      <w:pPr>
        <w:pStyle w:val="BodyText"/>
        <w:ind w:left="838"/>
      </w:pPr>
      <w:r>
        <w:rPr>
          <w:color w:val="333333"/>
        </w:rPr>
        <w:t>建筑高度不大于 24m 时，保温材料的燃烧性能不应低于 B1 级。 </w:t>
      </w:r>
    </w:p>
    <w:p>
      <w:pPr>
        <w:spacing w:after="0"/>
        <w:sectPr>
          <w:pgSz w:w="11910" w:h="16850"/>
          <w:pgMar w:header="0" w:footer="1239" w:top="1220" w:bottom="1420" w:left="1260" w:right="0"/>
        </w:sectPr>
      </w:pPr>
    </w:p>
    <w:p>
      <w:pPr>
        <w:pStyle w:val="ListParagraph"/>
        <w:numPr>
          <w:ilvl w:val="2"/>
          <w:numId w:val="280"/>
        </w:numPr>
        <w:tabs>
          <w:tab w:pos="1370" w:val="left" w:leader="none"/>
        </w:tabs>
        <w:spacing w:line="446" w:lineRule="auto" w:before="47" w:after="0"/>
        <w:ind w:left="418" w:right="1551" w:firstLine="422"/>
        <w:jc w:val="left"/>
        <w:rPr>
          <w:sz w:val="21"/>
        </w:rPr>
      </w:pPr>
      <w:r>
        <w:rPr>
          <w:color w:val="333333"/>
          <w:spacing w:val="-11"/>
          <w:sz w:val="21"/>
        </w:rPr>
        <w:t>除本规范第 </w:t>
      </w:r>
      <w:r>
        <w:rPr>
          <w:color w:val="333333"/>
          <w:sz w:val="21"/>
        </w:rPr>
        <w:t>6.7.3</w:t>
      </w:r>
      <w:r>
        <w:rPr>
          <w:color w:val="333333"/>
          <w:spacing w:val="-3"/>
          <w:sz w:val="21"/>
        </w:rPr>
        <w:t> 条规定的情况外，当建筑的外墙外保温系统按本节规定采用燃烧</w:t>
      </w:r>
      <w:r>
        <w:rPr>
          <w:color w:val="333333"/>
          <w:spacing w:val="-15"/>
          <w:sz w:val="21"/>
        </w:rPr>
        <w:t>性能为 </w:t>
      </w:r>
      <w:r>
        <w:rPr>
          <w:color w:val="333333"/>
          <w:sz w:val="21"/>
        </w:rPr>
        <w:t>B1、B2</w:t>
      </w:r>
      <w:r>
        <w:rPr>
          <w:color w:val="333333"/>
          <w:spacing w:val="-3"/>
          <w:sz w:val="21"/>
        </w:rPr>
        <w:t> 级的保温材料时，应符合下列规定： </w:t>
      </w:r>
    </w:p>
    <w:p>
      <w:pPr>
        <w:pStyle w:val="BodyText"/>
        <w:spacing w:line="446" w:lineRule="auto"/>
        <w:ind w:left="418" w:right="1499" w:firstLine="419"/>
      </w:pPr>
      <w:r>
        <w:rPr>
          <w:color w:val="333333"/>
          <w:w w:val="100"/>
        </w:rPr>
        <w:t> </w:t>
      </w:r>
      <w:r>
        <w:rPr>
          <w:color w:val="333333"/>
        </w:rPr>
        <w:t>除采用 B1 级保温材料且建筑高度不大于 24m 的公共建筑或采用B1 级保温材料且建筑高度不大于 27m 的住宅建筑外，建筑外墙上门、窗的耐火完整性不应低于 0.50h； </w:t>
      </w:r>
    </w:p>
    <w:p>
      <w:pPr>
        <w:pStyle w:val="BodyText"/>
        <w:rPr>
          <w:sz w:val="20"/>
        </w:rPr>
      </w:pPr>
    </w:p>
    <w:p>
      <w:pPr>
        <w:pStyle w:val="BodyText"/>
        <w:spacing w:before="10"/>
        <w:rPr>
          <w:sz w:val="18"/>
        </w:rPr>
      </w:pPr>
    </w:p>
    <w:p>
      <w:pPr>
        <w:pStyle w:val="BodyText"/>
        <w:spacing w:line="446" w:lineRule="auto"/>
        <w:ind w:left="418" w:right="1608" w:firstLine="419"/>
      </w:pPr>
      <w:r>
        <w:rPr>
          <w:color w:val="333333"/>
          <w:spacing w:val="-4"/>
        </w:rPr>
        <w:t>应在保温系统中每层设置水平防火隔离带。防火隔离带应采用燃烧性能为 </w:t>
      </w:r>
      <w:r>
        <w:rPr>
          <w:color w:val="333333"/>
        </w:rPr>
        <w:t>A</w:t>
      </w:r>
      <w:r>
        <w:rPr>
          <w:color w:val="333333"/>
          <w:spacing w:val="-7"/>
        </w:rPr>
        <w:t> 级的材料，防</w:t>
      </w:r>
      <w:r>
        <w:rPr>
          <w:color w:val="333333"/>
          <w:spacing w:val="-10"/>
        </w:rPr>
        <w:t>火隔离带的高度不应小于 </w:t>
      </w:r>
      <w:r>
        <w:rPr>
          <w:color w:val="333333"/>
        </w:rPr>
        <w:t>300mm</w:t>
      </w:r>
      <w:r>
        <w:rPr>
          <w:color w:val="333333"/>
          <w:spacing w:val="-3"/>
        </w:rPr>
        <w:t>。</w:t>
      </w:r>
      <w:r>
        <w:rPr>
          <w:color w:val="333333"/>
        </w:rPr>
        <w:t> </w:t>
      </w:r>
    </w:p>
    <w:p>
      <w:pPr>
        <w:pStyle w:val="ListParagraph"/>
        <w:numPr>
          <w:ilvl w:val="2"/>
          <w:numId w:val="280"/>
        </w:numPr>
        <w:tabs>
          <w:tab w:pos="1371" w:val="left" w:leader="none"/>
        </w:tabs>
        <w:spacing w:line="446" w:lineRule="auto" w:before="1" w:after="0"/>
        <w:ind w:left="418" w:right="1508" w:firstLine="422"/>
        <w:jc w:val="left"/>
        <w:rPr>
          <w:sz w:val="21"/>
        </w:rPr>
      </w:pPr>
      <w:r>
        <w:rPr>
          <w:color w:val="333333"/>
          <w:spacing w:val="-3"/>
          <w:sz w:val="21"/>
        </w:rPr>
        <w:t>建筑的外墙外保温系统应采用不燃材料在其表面设置防护层，防护层应将保温材料完</w:t>
      </w:r>
      <w:r>
        <w:rPr>
          <w:color w:val="333333"/>
          <w:spacing w:val="-8"/>
          <w:sz w:val="21"/>
        </w:rPr>
        <w:t>全包覆。除本规范第 </w:t>
      </w:r>
      <w:r>
        <w:rPr>
          <w:color w:val="333333"/>
          <w:sz w:val="21"/>
        </w:rPr>
        <w:t>6.7.3</w:t>
      </w:r>
      <w:r>
        <w:rPr>
          <w:color w:val="333333"/>
          <w:spacing w:val="-6"/>
          <w:sz w:val="21"/>
        </w:rPr>
        <w:t> 条规定的情况外，当按本节规定采用 </w:t>
      </w:r>
      <w:r>
        <w:rPr>
          <w:color w:val="333333"/>
          <w:sz w:val="21"/>
        </w:rPr>
        <w:t>B1</w:t>
      </w:r>
      <w:r>
        <w:rPr>
          <w:color w:val="333333"/>
          <w:spacing w:val="3"/>
          <w:sz w:val="21"/>
        </w:rPr>
        <w:t> 、</w:t>
      </w:r>
      <w:r>
        <w:rPr>
          <w:color w:val="333333"/>
          <w:sz w:val="21"/>
        </w:rPr>
        <w:t>B2</w:t>
      </w:r>
      <w:r>
        <w:rPr>
          <w:color w:val="333333"/>
          <w:spacing w:val="-2"/>
          <w:sz w:val="21"/>
        </w:rPr>
        <w:t> 保温材料时，防护层</w:t>
      </w:r>
      <w:r>
        <w:rPr>
          <w:color w:val="333333"/>
          <w:spacing w:val="-9"/>
          <w:sz w:val="21"/>
        </w:rPr>
        <w:t>厚度首层不应小于 </w:t>
      </w:r>
      <w:r>
        <w:rPr>
          <w:color w:val="333333"/>
          <w:sz w:val="21"/>
        </w:rPr>
        <w:t>15mm</w:t>
      </w:r>
      <w:r>
        <w:rPr>
          <w:color w:val="333333"/>
          <w:spacing w:val="-9"/>
          <w:sz w:val="21"/>
        </w:rPr>
        <w:t>，其他层不应小于 </w:t>
      </w:r>
      <w:r>
        <w:rPr>
          <w:color w:val="333333"/>
          <w:sz w:val="21"/>
        </w:rPr>
        <w:t>5mm</w:t>
      </w:r>
      <w:r>
        <w:rPr>
          <w:color w:val="333333"/>
          <w:spacing w:val="-3"/>
          <w:sz w:val="21"/>
        </w:rPr>
        <w:t>。</w:t>
      </w:r>
      <w:r>
        <w:rPr>
          <w:color w:val="333333"/>
          <w:sz w:val="21"/>
        </w:rPr>
        <w:t> </w:t>
      </w:r>
    </w:p>
    <w:p>
      <w:pPr>
        <w:pStyle w:val="ListParagraph"/>
        <w:numPr>
          <w:ilvl w:val="2"/>
          <w:numId w:val="280"/>
        </w:numPr>
        <w:tabs>
          <w:tab w:pos="1371" w:val="left" w:leader="none"/>
        </w:tabs>
        <w:spacing w:line="446" w:lineRule="auto" w:before="0" w:after="0"/>
        <w:ind w:left="418" w:right="1604" w:firstLine="422"/>
        <w:jc w:val="left"/>
        <w:rPr>
          <w:sz w:val="21"/>
        </w:rPr>
      </w:pPr>
      <w:r>
        <w:rPr>
          <w:color w:val="333333"/>
          <w:spacing w:val="-3"/>
          <w:sz w:val="21"/>
        </w:rPr>
        <w:t>建筑外墙外保温系统与基层墙体、装饰层之间的空腔，应在每层楼板处采用防火封堵材料封堵。</w:t>
      </w:r>
      <w:r>
        <w:rPr>
          <w:color w:val="333333"/>
          <w:sz w:val="21"/>
        </w:rPr>
        <w:t> </w:t>
      </w:r>
    </w:p>
    <w:p>
      <w:pPr>
        <w:pStyle w:val="ListParagraph"/>
        <w:numPr>
          <w:ilvl w:val="2"/>
          <w:numId w:val="280"/>
        </w:numPr>
        <w:tabs>
          <w:tab w:pos="1478" w:val="left" w:leader="none"/>
        </w:tabs>
        <w:spacing w:line="446" w:lineRule="auto" w:before="0" w:after="0"/>
        <w:ind w:left="418" w:right="1445" w:firstLine="422"/>
        <w:jc w:val="both"/>
        <w:rPr>
          <w:sz w:val="21"/>
        </w:rPr>
      </w:pPr>
      <w:r>
        <w:rPr>
          <w:color w:val="333333"/>
          <w:spacing w:val="-5"/>
          <w:sz w:val="21"/>
        </w:rPr>
        <w:t>建筑的屋面外保温系统，当屋面板的耐火极限不低于 </w:t>
      </w:r>
      <w:r>
        <w:rPr>
          <w:color w:val="333333"/>
          <w:sz w:val="21"/>
        </w:rPr>
        <w:t>1.00h</w:t>
      </w:r>
      <w:r>
        <w:rPr>
          <w:color w:val="333333"/>
          <w:spacing w:val="-2"/>
          <w:sz w:val="21"/>
        </w:rPr>
        <w:t> 时，保温材料的燃烧性</w:t>
      </w:r>
      <w:r>
        <w:rPr>
          <w:color w:val="333333"/>
          <w:spacing w:val="-11"/>
          <w:sz w:val="21"/>
        </w:rPr>
        <w:t>能不应低于 </w:t>
      </w:r>
      <w:r>
        <w:rPr>
          <w:color w:val="333333"/>
          <w:sz w:val="21"/>
        </w:rPr>
        <w:t>B2</w:t>
      </w:r>
      <w:r>
        <w:rPr>
          <w:color w:val="333333"/>
          <w:spacing w:val="-7"/>
          <w:sz w:val="21"/>
        </w:rPr>
        <w:t> 级；当屋面板的耐火极限低于 </w:t>
      </w:r>
      <w:r>
        <w:rPr>
          <w:color w:val="333333"/>
          <w:sz w:val="21"/>
        </w:rPr>
        <w:t>1.00h</w:t>
      </w:r>
      <w:r>
        <w:rPr>
          <w:color w:val="333333"/>
          <w:spacing w:val="-9"/>
          <w:sz w:val="21"/>
        </w:rPr>
        <w:t> 时，不应低于 </w:t>
      </w:r>
      <w:r>
        <w:rPr>
          <w:color w:val="333333"/>
          <w:sz w:val="21"/>
        </w:rPr>
        <w:t>B1</w:t>
      </w:r>
      <w:r>
        <w:rPr>
          <w:color w:val="333333"/>
          <w:spacing w:val="-10"/>
          <w:sz w:val="21"/>
        </w:rPr>
        <w:t> 级。采用 </w:t>
      </w:r>
      <w:r>
        <w:rPr>
          <w:color w:val="333333"/>
          <w:sz w:val="21"/>
        </w:rPr>
        <w:t>B1、B2 级保温</w:t>
      </w:r>
      <w:r>
        <w:rPr>
          <w:color w:val="333333"/>
          <w:spacing w:val="-5"/>
          <w:sz w:val="21"/>
        </w:rPr>
        <w:t>材料的外保温系统应采用不燃材料作防护层，防护层的厚度不应小于 </w:t>
      </w:r>
      <w:r>
        <w:rPr>
          <w:color w:val="333333"/>
          <w:sz w:val="21"/>
        </w:rPr>
        <w:t>10mm</w:t>
      </w:r>
      <w:r>
        <w:rPr>
          <w:color w:val="333333"/>
          <w:spacing w:val="-3"/>
          <w:sz w:val="21"/>
        </w:rPr>
        <w:t>。</w:t>
      </w:r>
      <w:r>
        <w:rPr>
          <w:color w:val="333333"/>
          <w:sz w:val="21"/>
        </w:rPr>
        <w:t> </w:t>
      </w:r>
    </w:p>
    <w:p>
      <w:pPr>
        <w:pStyle w:val="BodyText"/>
        <w:spacing w:line="446" w:lineRule="auto"/>
        <w:ind w:left="418" w:right="1450" w:firstLine="419"/>
        <w:jc w:val="both"/>
      </w:pPr>
      <w:r>
        <w:rPr>
          <w:color w:val="333333"/>
          <w:spacing w:val="-6"/>
        </w:rPr>
        <w:t>当建筑的屋面和外墙外保温系统均采用 </w:t>
      </w:r>
      <w:r>
        <w:rPr>
          <w:color w:val="333333"/>
        </w:rPr>
        <w:t>B1、B2</w:t>
      </w:r>
      <w:r>
        <w:rPr>
          <w:color w:val="333333"/>
          <w:spacing w:val="-3"/>
        </w:rPr>
        <w:t> 级保温材料时，屋面与外墙之间应采用宽度</w:t>
      </w:r>
      <w:r>
        <w:rPr>
          <w:color w:val="333333"/>
          <w:spacing w:val="-15"/>
        </w:rPr>
        <w:t>不小于 </w:t>
      </w:r>
      <w:r>
        <w:rPr>
          <w:color w:val="333333"/>
        </w:rPr>
        <w:t>500mm</w:t>
      </w:r>
      <w:r>
        <w:rPr>
          <w:color w:val="333333"/>
          <w:spacing w:val="-3"/>
        </w:rPr>
        <w:t> 的不燃材料设置防火隔离带进行分隔。 </w:t>
      </w:r>
    </w:p>
    <w:p>
      <w:pPr>
        <w:pStyle w:val="ListParagraph"/>
        <w:numPr>
          <w:ilvl w:val="2"/>
          <w:numId w:val="280"/>
        </w:numPr>
        <w:tabs>
          <w:tab w:pos="1478" w:val="left" w:leader="none"/>
        </w:tabs>
        <w:spacing w:line="446" w:lineRule="auto" w:before="0" w:after="0"/>
        <w:ind w:left="418" w:right="1604" w:firstLine="422"/>
        <w:jc w:val="both"/>
        <w:rPr>
          <w:sz w:val="21"/>
        </w:rPr>
      </w:pPr>
      <w:r>
        <w:rPr>
          <w:color w:val="333333"/>
          <w:spacing w:val="-6"/>
          <w:sz w:val="21"/>
        </w:rPr>
        <w:t>电气线路不应穿越或敷设在燃烧性能为 </w:t>
      </w:r>
      <w:r>
        <w:rPr>
          <w:color w:val="333333"/>
          <w:sz w:val="21"/>
        </w:rPr>
        <w:t>B1</w:t>
      </w:r>
      <w:r>
        <w:rPr>
          <w:color w:val="333333"/>
          <w:spacing w:val="-14"/>
          <w:sz w:val="21"/>
        </w:rPr>
        <w:t> 或 </w:t>
      </w:r>
      <w:r>
        <w:rPr>
          <w:color w:val="333333"/>
          <w:sz w:val="21"/>
        </w:rPr>
        <w:t>B2</w:t>
      </w:r>
      <w:r>
        <w:rPr>
          <w:color w:val="333333"/>
          <w:spacing w:val="-3"/>
          <w:sz w:val="21"/>
        </w:rPr>
        <w:t> 级的保温材料中；确需穿越或敷设时，应采取穿金属管并在金属管周围采用不燃隔热材料进行防火隔离等防火保护措施。设置开关、插座等电器配件的部位周围应采取不燃隔热材料进行防火隔离等防火保护措施。设置开关、插座等电器配件的部位周围应采取不燃隔热材料进行防火隔离等防火保护措施。</w:t>
      </w:r>
      <w:r>
        <w:rPr>
          <w:color w:val="333333"/>
          <w:sz w:val="21"/>
        </w:rPr>
        <w:t> </w:t>
      </w:r>
    </w:p>
    <w:p>
      <w:pPr>
        <w:pStyle w:val="ListParagraph"/>
        <w:numPr>
          <w:ilvl w:val="2"/>
          <w:numId w:val="280"/>
        </w:numPr>
        <w:tabs>
          <w:tab w:pos="1478" w:val="left" w:leader="none"/>
        </w:tabs>
        <w:spacing w:line="446" w:lineRule="auto" w:before="0" w:after="0"/>
        <w:ind w:left="418" w:right="1500" w:firstLine="422"/>
        <w:jc w:val="both"/>
        <w:rPr>
          <w:sz w:val="21"/>
        </w:rPr>
      </w:pPr>
      <w:r>
        <w:rPr>
          <w:color w:val="333333"/>
          <w:spacing w:val="-6"/>
          <w:sz w:val="21"/>
        </w:rPr>
        <w:t>建筑外墙的装饰层应采用燃烧性能为 </w:t>
      </w:r>
      <w:r>
        <w:rPr>
          <w:color w:val="333333"/>
          <w:sz w:val="21"/>
        </w:rPr>
        <w:t>A</w:t>
      </w:r>
      <w:r>
        <w:rPr>
          <w:color w:val="333333"/>
          <w:spacing w:val="-11"/>
          <w:sz w:val="21"/>
        </w:rPr>
        <w:t> 级的材料，但建筑高度不大于 </w:t>
      </w:r>
      <w:r>
        <w:rPr>
          <w:color w:val="333333"/>
          <w:sz w:val="21"/>
        </w:rPr>
        <w:t>50m</w:t>
      </w:r>
      <w:r>
        <w:rPr>
          <w:color w:val="333333"/>
          <w:spacing w:val="-12"/>
          <w:sz w:val="21"/>
        </w:rPr>
        <w:t> 时，可采</w:t>
      </w:r>
      <w:r>
        <w:rPr>
          <w:color w:val="333333"/>
          <w:spacing w:val="-33"/>
          <w:sz w:val="21"/>
        </w:rPr>
        <w:t>用 </w:t>
      </w:r>
      <w:r>
        <w:rPr>
          <w:color w:val="333333"/>
          <w:sz w:val="21"/>
        </w:rPr>
        <w:t>B1</w:t>
      </w:r>
      <w:r>
        <w:rPr>
          <w:color w:val="333333"/>
          <w:spacing w:val="-3"/>
          <w:sz w:val="21"/>
        </w:rPr>
        <w:t> 级材料。</w:t>
      </w:r>
      <w:r>
        <w:rPr>
          <w:color w:val="333333"/>
          <w:sz w:val="21"/>
        </w:rPr>
        <w:t> </w:t>
      </w:r>
    </w:p>
    <w:p>
      <w:pPr>
        <w:pStyle w:val="Heading4"/>
        <w:spacing w:line="275" w:lineRule="exact"/>
      </w:pPr>
      <w:r>
        <w:rPr/>
        <w:t>7 灭火救援救援设施</w:t>
      </w:r>
      <w:r>
        <w:rPr>
          <w:w w:val="99"/>
        </w:rPr>
        <w:t> </w:t>
      </w:r>
    </w:p>
    <w:p>
      <w:pPr>
        <w:pStyle w:val="BodyText"/>
        <w:spacing w:before="1"/>
        <w:rPr>
          <w:b/>
          <w:sz w:val="17"/>
        </w:rPr>
      </w:pPr>
    </w:p>
    <w:p>
      <w:pPr>
        <w:pStyle w:val="ListParagraph"/>
        <w:numPr>
          <w:ilvl w:val="1"/>
          <w:numId w:val="281"/>
        </w:numPr>
        <w:tabs>
          <w:tab w:pos="1159" w:val="left" w:leader="none"/>
        </w:tabs>
        <w:spacing w:line="240" w:lineRule="auto" w:before="1" w:after="0"/>
        <w:ind w:left="1158" w:right="0" w:hanging="319"/>
        <w:jc w:val="left"/>
        <w:rPr>
          <w:sz w:val="21"/>
        </w:rPr>
      </w:pPr>
      <w:r>
        <w:rPr>
          <w:spacing w:val="-3"/>
          <w:sz w:val="21"/>
        </w:rPr>
        <w:t>消防车道</w:t>
      </w:r>
      <w:r>
        <w:rPr>
          <w:sz w:val="21"/>
        </w:rPr>
        <w:t> </w:t>
      </w:r>
    </w:p>
    <w:p>
      <w:pPr>
        <w:pStyle w:val="BodyText"/>
        <w:spacing w:before="12"/>
        <w:rPr>
          <w:sz w:val="17"/>
        </w:rPr>
      </w:pPr>
    </w:p>
    <w:p>
      <w:pPr>
        <w:pStyle w:val="ListParagraph"/>
        <w:numPr>
          <w:ilvl w:val="2"/>
          <w:numId w:val="281"/>
        </w:numPr>
        <w:tabs>
          <w:tab w:pos="1370" w:val="left" w:leader="none"/>
        </w:tabs>
        <w:spacing w:line="240" w:lineRule="auto" w:before="0" w:after="0"/>
        <w:ind w:left="1369" w:right="0" w:hanging="530"/>
        <w:jc w:val="left"/>
        <w:rPr>
          <w:sz w:val="21"/>
        </w:rPr>
      </w:pPr>
      <w:r>
        <w:rPr>
          <w:color w:val="333333"/>
          <w:spacing w:val="-5"/>
          <w:sz w:val="21"/>
        </w:rPr>
        <w:t>街区内的道路应考虑消防车的通行，道路中心线间的距离不宜大于 </w:t>
      </w:r>
      <w:r>
        <w:rPr>
          <w:color w:val="333333"/>
          <w:sz w:val="21"/>
        </w:rPr>
        <w:t>160m</w:t>
      </w:r>
      <w:r>
        <w:rPr>
          <w:color w:val="333333"/>
          <w:spacing w:val="-3"/>
          <w:sz w:val="21"/>
        </w:rPr>
        <w:t>。</w:t>
      </w:r>
      <w:r>
        <w:rPr>
          <w:color w:val="333333"/>
          <w:sz w:val="21"/>
        </w:rPr>
        <w:t> </w:t>
      </w:r>
    </w:p>
    <w:p>
      <w:pPr>
        <w:pStyle w:val="BodyText"/>
        <w:rPr>
          <w:sz w:val="18"/>
        </w:rPr>
      </w:pPr>
    </w:p>
    <w:p>
      <w:pPr>
        <w:pStyle w:val="BodyText"/>
        <w:spacing w:line="446" w:lineRule="auto"/>
        <w:ind w:left="418" w:right="1503" w:firstLine="419"/>
        <w:jc w:val="both"/>
      </w:pPr>
      <w:r>
        <w:rPr>
          <w:color w:val="333333"/>
          <w:spacing w:val="-6"/>
        </w:rPr>
        <w:t>当建筑物沿街道部分的长度大于 </w:t>
      </w:r>
      <w:r>
        <w:rPr>
          <w:color w:val="333333"/>
        </w:rPr>
        <w:t>150m</w:t>
      </w:r>
      <w:r>
        <w:rPr>
          <w:color w:val="333333"/>
          <w:spacing w:val="-7"/>
        </w:rPr>
        <w:t> 或总长度大于 </w:t>
      </w:r>
      <w:r>
        <w:rPr>
          <w:color w:val="333333"/>
        </w:rPr>
        <w:t>220m</w:t>
      </w:r>
      <w:r>
        <w:rPr>
          <w:color w:val="333333"/>
          <w:spacing w:val="-3"/>
        </w:rPr>
        <w:t> 时，应设置穿过建筑物的消防车道。确有困难时，应设置环形消防车道。</w:t>
      </w:r>
      <w:r>
        <w:rPr>
          <w:color w:val="333333"/>
        </w:rPr>
        <w:t> </w:t>
      </w:r>
    </w:p>
    <w:p>
      <w:pPr>
        <w:spacing w:after="0" w:line="446" w:lineRule="auto"/>
        <w:jc w:val="both"/>
        <w:sectPr>
          <w:pgSz w:w="11910" w:h="16850"/>
          <w:pgMar w:header="0" w:footer="1239" w:top="1220" w:bottom="1420" w:left="1260" w:right="0"/>
        </w:sectPr>
      </w:pPr>
    </w:p>
    <w:p>
      <w:pPr>
        <w:pStyle w:val="ListParagraph"/>
        <w:numPr>
          <w:ilvl w:val="2"/>
          <w:numId w:val="281"/>
        </w:numPr>
        <w:tabs>
          <w:tab w:pos="1370" w:val="left" w:leader="none"/>
        </w:tabs>
        <w:spacing w:line="441" w:lineRule="auto" w:before="47" w:after="0"/>
        <w:ind w:left="418" w:right="1498" w:firstLine="422"/>
        <w:jc w:val="left"/>
        <w:rPr>
          <w:sz w:val="21"/>
        </w:rPr>
      </w:pPr>
      <w:r>
        <w:rPr>
          <w:color w:val="333333"/>
          <w:spacing w:val="-8"/>
          <w:sz w:val="21"/>
        </w:rPr>
        <w:t>高层民用建筑，超过 </w:t>
      </w:r>
      <w:r>
        <w:rPr>
          <w:color w:val="333333"/>
          <w:sz w:val="21"/>
        </w:rPr>
        <w:t>3000</w:t>
      </w:r>
      <w:r>
        <w:rPr>
          <w:color w:val="333333"/>
          <w:spacing w:val="-12"/>
          <w:sz w:val="21"/>
        </w:rPr>
        <w:t> 个座位的体育馆，超过 </w:t>
      </w:r>
      <w:r>
        <w:rPr>
          <w:color w:val="333333"/>
          <w:sz w:val="21"/>
        </w:rPr>
        <w:t>2000</w:t>
      </w:r>
      <w:r>
        <w:rPr>
          <w:color w:val="333333"/>
          <w:spacing w:val="-8"/>
          <w:sz w:val="21"/>
        </w:rPr>
        <w:t> 个座位的会堂，占地面积大于3000m</w:t>
      </w:r>
      <w:r>
        <w:rPr>
          <w:color w:val="333333"/>
          <w:spacing w:val="-8"/>
          <w:position w:val="11"/>
          <w:sz w:val="11"/>
        </w:rPr>
        <w:t>2</w:t>
      </w:r>
      <w:r>
        <w:rPr>
          <w:color w:val="333333"/>
          <w:spacing w:val="23"/>
          <w:position w:val="11"/>
          <w:sz w:val="11"/>
        </w:rPr>
        <w:t> </w:t>
      </w:r>
      <w:r>
        <w:rPr>
          <w:color w:val="333333"/>
          <w:spacing w:val="-3"/>
          <w:sz w:val="21"/>
        </w:rPr>
        <w:t>的商店建筑、展览建筑等单、多层公共建筑应设置环形消防车道，确有困难时，可沿建筑的两个长边设置消防车道；对于高层住宅建筑和山坡地或河道边临空建造的高层民用建</w:t>
      </w:r>
    </w:p>
    <w:p>
      <w:pPr>
        <w:pStyle w:val="BodyText"/>
        <w:spacing w:line="446" w:lineRule="auto" w:before="5"/>
        <w:ind w:left="840" w:right="1925" w:hanging="423"/>
      </w:pPr>
      <w:r>
        <w:rPr>
          <w:color w:val="333333"/>
        </w:rPr>
        <w:t>筑，可沿建筑的一个长边设置消防车道，但该长边所在建筑立面应为消防车登高操作面。</w:t>
      </w:r>
      <w:r>
        <w:rPr>
          <w:b/>
          <w:color w:val="333333"/>
        </w:rPr>
        <w:t>7.1.3 </w:t>
      </w:r>
      <w:r>
        <w:rPr>
          <w:color w:val="333333"/>
        </w:rPr>
        <w:t>工厂、仓库区内应设置消防车道。 </w:t>
      </w:r>
    </w:p>
    <w:p>
      <w:pPr>
        <w:pStyle w:val="BodyText"/>
        <w:spacing w:line="446" w:lineRule="auto"/>
        <w:ind w:left="418" w:right="1608" w:firstLine="419"/>
      </w:pPr>
      <w:r>
        <w:rPr>
          <w:color w:val="333333"/>
          <w:spacing w:val="-8"/>
        </w:rPr>
        <w:t>高层厂房，占地面积大于 </w:t>
      </w:r>
      <w:r>
        <w:rPr>
          <w:color w:val="333333"/>
        </w:rPr>
        <w:t>3000m</w:t>
      </w:r>
      <w:r>
        <w:rPr>
          <w:color w:val="333333"/>
          <w:position w:val="11"/>
          <w:sz w:val="11"/>
        </w:rPr>
        <w:t>2</w:t>
      </w:r>
      <w:r>
        <w:rPr>
          <w:color w:val="333333"/>
          <w:spacing w:val="2"/>
          <w:sz w:val="11"/>
        </w:rPr>
        <w:t>  </w:t>
      </w:r>
      <w:r>
        <w:rPr>
          <w:color w:val="333333"/>
          <w:spacing w:val="-6"/>
        </w:rPr>
        <w:t>的甲、乙、丙类厂房和占地面积大于 </w:t>
      </w:r>
      <w:r>
        <w:rPr>
          <w:color w:val="333333"/>
        </w:rPr>
        <w:t>1500m</w:t>
      </w:r>
      <w:r>
        <w:rPr>
          <w:color w:val="333333"/>
          <w:position w:val="11"/>
          <w:sz w:val="11"/>
        </w:rPr>
        <w:t>2</w:t>
      </w:r>
      <w:r>
        <w:rPr>
          <w:color w:val="333333"/>
          <w:spacing w:val="1"/>
          <w:sz w:val="11"/>
        </w:rPr>
        <w:t>   </w:t>
      </w:r>
      <w:r>
        <w:rPr>
          <w:color w:val="333333"/>
          <w:spacing w:val="-3"/>
        </w:rPr>
        <w:t>的乙、丙类仓库，应设置环形消防车道，确有困难时，应沿建筑物的两个长边设置消防车道。</w:t>
      </w:r>
      <w:r>
        <w:rPr>
          <w:color w:val="333333"/>
        </w:rPr>
        <w:t> </w:t>
      </w:r>
    </w:p>
    <w:p>
      <w:pPr>
        <w:pStyle w:val="ListParagraph"/>
        <w:numPr>
          <w:ilvl w:val="2"/>
          <w:numId w:val="282"/>
        </w:numPr>
        <w:tabs>
          <w:tab w:pos="1370" w:val="left" w:leader="none"/>
        </w:tabs>
        <w:spacing w:line="446" w:lineRule="auto" w:before="0" w:after="0"/>
        <w:ind w:left="418" w:right="1553" w:firstLine="422"/>
        <w:jc w:val="left"/>
        <w:rPr>
          <w:sz w:val="21"/>
        </w:rPr>
      </w:pPr>
      <w:r>
        <w:rPr>
          <w:color w:val="333333"/>
          <w:spacing w:val="-5"/>
          <w:sz w:val="21"/>
        </w:rPr>
        <w:t>有封闭内院或天井的建筑物，当内院或天井的短边长度大于 </w:t>
      </w:r>
      <w:r>
        <w:rPr>
          <w:color w:val="333333"/>
          <w:sz w:val="21"/>
        </w:rPr>
        <w:t>24m</w:t>
      </w:r>
      <w:r>
        <w:rPr>
          <w:color w:val="333333"/>
          <w:spacing w:val="-2"/>
          <w:sz w:val="21"/>
        </w:rPr>
        <w:t> 时，宜设置进入内</w:t>
      </w:r>
      <w:r>
        <w:rPr>
          <w:color w:val="333333"/>
          <w:spacing w:val="-3"/>
          <w:sz w:val="21"/>
        </w:rPr>
        <w:t>院或天井的消防车道；当该建筑物沿街时，应设置连通街道和内院的人行通道</w:t>
      </w:r>
      <w:r>
        <w:rPr>
          <w:color w:val="333333"/>
          <w:sz w:val="21"/>
        </w:rPr>
        <w:t>（</w:t>
      </w:r>
      <w:r>
        <w:rPr>
          <w:color w:val="333333"/>
          <w:spacing w:val="-3"/>
          <w:sz w:val="21"/>
        </w:rPr>
        <w:t>可利用楼梯  间）</w:t>
      </w:r>
      <w:r>
        <w:rPr>
          <w:color w:val="333333"/>
          <w:spacing w:val="-9"/>
          <w:sz w:val="21"/>
        </w:rPr>
        <w:t>，其间距不宜大于 </w:t>
      </w:r>
      <w:r>
        <w:rPr>
          <w:color w:val="333333"/>
          <w:sz w:val="21"/>
        </w:rPr>
        <w:t>80m</w:t>
      </w:r>
      <w:r>
        <w:rPr>
          <w:color w:val="333333"/>
          <w:spacing w:val="-3"/>
          <w:sz w:val="21"/>
        </w:rPr>
        <w:t>。</w:t>
      </w:r>
      <w:r>
        <w:rPr>
          <w:color w:val="333333"/>
          <w:sz w:val="21"/>
        </w:rPr>
        <w:t> </w:t>
      </w:r>
    </w:p>
    <w:p>
      <w:pPr>
        <w:pStyle w:val="ListParagraph"/>
        <w:numPr>
          <w:ilvl w:val="2"/>
          <w:numId w:val="282"/>
        </w:numPr>
        <w:tabs>
          <w:tab w:pos="1370" w:val="left" w:leader="none"/>
        </w:tabs>
        <w:spacing w:line="446" w:lineRule="auto" w:before="0" w:after="0"/>
        <w:ind w:left="418" w:right="1604" w:firstLine="422"/>
        <w:jc w:val="left"/>
        <w:rPr>
          <w:sz w:val="21"/>
        </w:rPr>
      </w:pPr>
      <w:r>
        <w:rPr>
          <w:color w:val="333333"/>
          <w:spacing w:val="-3"/>
          <w:sz w:val="21"/>
        </w:rPr>
        <w:t>在穿过建筑物或进入建筑物内院的消防车道两侧，不应设置影响消防车通行或人员安全疏散的设施。</w:t>
      </w:r>
      <w:r>
        <w:rPr>
          <w:color w:val="333333"/>
          <w:sz w:val="21"/>
        </w:rPr>
        <w:t> </w:t>
      </w:r>
    </w:p>
    <w:p>
      <w:pPr>
        <w:pStyle w:val="ListParagraph"/>
        <w:numPr>
          <w:ilvl w:val="2"/>
          <w:numId w:val="282"/>
        </w:numPr>
        <w:tabs>
          <w:tab w:pos="1371" w:val="left" w:leader="none"/>
        </w:tabs>
        <w:spacing w:line="446" w:lineRule="auto" w:before="0" w:after="0"/>
        <w:ind w:left="418" w:right="1604" w:firstLine="422"/>
        <w:jc w:val="left"/>
        <w:rPr>
          <w:sz w:val="21"/>
        </w:rPr>
      </w:pPr>
      <w:r>
        <w:rPr>
          <w:color w:val="333333"/>
          <w:spacing w:val="-3"/>
          <w:sz w:val="21"/>
        </w:rPr>
        <w:t>可燃材料露天堆场区，液化石油气储罐区，甲、乙、丙类液体储罐区和可燃气体储罐区，应设置消防车道。消防车道的设置应符合下列规定：</w:t>
      </w:r>
      <w:r>
        <w:rPr>
          <w:color w:val="333333"/>
          <w:sz w:val="21"/>
        </w:rPr>
        <w:t> </w:t>
      </w:r>
    </w:p>
    <w:p>
      <w:pPr>
        <w:pStyle w:val="BodyText"/>
        <w:spacing w:line="267" w:lineRule="exact"/>
        <w:ind w:left="838"/>
      </w:pPr>
      <w:r>
        <w:rPr>
          <w:color w:val="333333"/>
        </w:rPr>
        <w:t>储量大于表 7.1.6 规定的堆场、储罐区，宜设置环形消防车道； </w:t>
      </w:r>
    </w:p>
    <w:p>
      <w:pPr>
        <w:pStyle w:val="Heading6"/>
        <w:spacing w:before="119" w:after="12"/>
        <w:ind w:left="3653"/>
      </w:pPr>
      <w:r>
        <w:rPr/>
        <w:t>表 7.1.6 堆场或储罐区的储量</w:t>
      </w:r>
      <w:r>
        <w:rPr>
          <w:w w:val="99"/>
        </w:rPr>
        <w:t> </w:t>
      </w:r>
    </w:p>
    <w:p>
      <w:pPr>
        <w:pStyle w:val="BodyText"/>
        <w:ind w:left="949"/>
        <w:rPr>
          <w:sz w:val="20"/>
        </w:rPr>
      </w:pPr>
      <w:r>
        <w:rPr>
          <w:sz w:val="20"/>
        </w:rPr>
        <w:drawing>
          <wp:inline distT="0" distB="0" distL="0" distR="0">
            <wp:extent cx="5259070" cy="904875"/>
            <wp:effectExtent l="0" t="0" r="0" b="0"/>
            <wp:docPr id="229" name="image143.jpeg"/>
            <wp:cNvGraphicFramePr>
              <a:graphicFrameLocks noChangeAspect="1"/>
            </wp:cNvGraphicFramePr>
            <a:graphic>
              <a:graphicData uri="http://schemas.openxmlformats.org/drawingml/2006/picture">
                <pic:pic>
                  <pic:nvPicPr>
                    <pic:cNvPr id="230" name="image143.jpeg"/>
                    <pic:cNvPicPr/>
                  </pic:nvPicPr>
                  <pic:blipFill>
                    <a:blip r:embed="rId155" cstate="print"/>
                    <a:stretch>
                      <a:fillRect/>
                    </a:stretch>
                  </pic:blipFill>
                  <pic:spPr>
                    <a:xfrm>
                      <a:off x="0" y="0"/>
                      <a:ext cx="5259070" cy="904875"/>
                    </a:xfrm>
                    <a:prstGeom prst="rect">
                      <a:avLst/>
                    </a:prstGeom>
                  </pic:spPr>
                </pic:pic>
              </a:graphicData>
            </a:graphic>
          </wp:inline>
        </w:drawing>
      </w:r>
      <w:r>
        <w:rPr>
          <w:sz w:val="20"/>
        </w:rPr>
      </w:r>
    </w:p>
    <w:p>
      <w:pPr>
        <w:pStyle w:val="BodyText"/>
        <w:spacing w:before="3"/>
        <w:rPr>
          <w:b/>
          <w:sz w:val="14"/>
        </w:rPr>
      </w:pPr>
    </w:p>
    <w:p>
      <w:pPr>
        <w:pStyle w:val="BodyText"/>
        <w:spacing w:line="446" w:lineRule="auto"/>
        <w:ind w:left="418" w:right="1503" w:firstLine="419"/>
        <w:jc w:val="both"/>
      </w:pPr>
      <w:r>
        <w:rPr>
          <w:color w:val="333333"/>
          <w:spacing w:val="-9"/>
        </w:rPr>
        <w:t>占地面积大于 </w:t>
      </w:r>
      <w:r>
        <w:rPr>
          <w:color w:val="333333"/>
        </w:rPr>
        <w:t>30000m</w:t>
      </w:r>
      <w:r>
        <w:rPr>
          <w:color w:val="333333"/>
          <w:position w:val="11"/>
          <w:sz w:val="11"/>
        </w:rPr>
        <w:t>2</w:t>
      </w:r>
      <w:r>
        <w:rPr>
          <w:color w:val="333333"/>
          <w:sz w:val="11"/>
        </w:rPr>
        <w:t> </w:t>
      </w:r>
      <w:r>
        <w:rPr>
          <w:color w:val="333333"/>
          <w:spacing w:val="-3"/>
        </w:rPr>
        <w:t>的可燃材料堆场，应设置与环形消防车道相通的中间消防车道，消</w:t>
      </w:r>
      <w:r>
        <w:rPr>
          <w:color w:val="333333"/>
          <w:spacing w:val="-6"/>
        </w:rPr>
        <w:t>防车道的间距不宜大于 </w:t>
      </w:r>
      <w:r>
        <w:rPr>
          <w:color w:val="333333"/>
        </w:rPr>
        <w:t>150m</w:t>
      </w:r>
      <w:r>
        <w:rPr>
          <w:color w:val="333333"/>
          <w:spacing w:val="-3"/>
        </w:rPr>
        <w:t>。液化石油气储罐区，甲、乙、丙类液体储罐区和可燃气体储罐区内的环形消防车道之间宜设置连通的消防车道；</w:t>
      </w:r>
      <w:r>
        <w:rPr>
          <w:color w:val="333333"/>
        </w:rPr>
        <w:t> </w:t>
      </w:r>
    </w:p>
    <w:p>
      <w:pPr>
        <w:pStyle w:val="BodyText"/>
        <w:spacing w:line="268" w:lineRule="exact"/>
        <w:ind w:left="838"/>
        <w:jc w:val="both"/>
      </w:pPr>
      <w:r>
        <w:rPr>
          <w:color w:val="333333"/>
        </w:rPr>
        <w:t>消防车道的边缘距离可燃材料堆垛不应小于 5m。 </w:t>
      </w:r>
    </w:p>
    <w:p>
      <w:pPr>
        <w:pStyle w:val="BodyText"/>
        <w:spacing w:before="12"/>
        <w:rPr>
          <w:sz w:val="17"/>
        </w:rPr>
      </w:pPr>
    </w:p>
    <w:p>
      <w:pPr>
        <w:pStyle w:val="ListParagraph"/>
        <w:numPr>
          <w:ilvl w:val="2"/>
          <w:numId w:val="282"/>
        </w:numPr>
        <w:tabs>
          <w:tab w:pos="1370" w:val="left" w:leader="none"/>
        </w:tabs>
        <w:spacing w:line="446" w:lineRule="auto" w:before="0" w:after="0"/>
        <w:ind w:left="418" w:right="1604" w:firstLine="422"/>
        <w:jc w:val="both"/>
        <w:rPr>
          <w:sz w:val="21"/>
        </w:rPr>
      </w:pPr>
      <w:r>
        <w:rPr>
          <w:color w:val="333333"/>
          <w:spacing w:val="-3"/>
          <w:sz w:val="21"/>
        </w:rPr>
        <w:t>供消防车取水的天然水源和消防水池应设置消防车道。消防车道的边缘距离取水点</w:t>
      </w:r>
      <w:r>
        <w:rPr>
          <w:color w:val="333333"/>
          <w:spacing w:val="-13"/>
          <w:sz w:val="21"/>
        </w:rPr>
        <w:t>不宜大于 </w:t>
      </w:r>
      <w:r>
        <w:rPr>
          <w:color w:val="333333"/>
          <w:sz w:val="21"/>
        </w:rPr>
        <w:t>2m</w:t>
      </w:r>
      <w:r>
        <w:rPr>
          <w:color w:val="333333"/>
          <w:spacing w:val="-3"/>
          <w:sz w:val="21"/>
        </w:rPr>
        <w:t>。</w:t>
      </w:r>
      <w:r>
        <w:rPr>
          <w:color w:val="333333"/>
          <w:sz w:val="21"/>
        </w:rPr>
        <w:t> </w:t>
      </w:r>
    </w:p>
    <w:p>
      <w:pPr>
        <w:pStyle w:val="ListParagraph"/>
        <w:numPr>
          <w:ilvl w:val="2"/>
          <w:numId w:val="282"/>
        </w:numPr>
        <w:tabs>
          <w:tab w:pos="1370" w:val="left" w:leader="none"/>
        </w:tabs>
        <w:spacing w:line="240" w:lineRule="auto" w:before="0" w:after="0"/>
        <w:ind w:left="1369" w:right="0" w:hanging="530"/>
        <w:jc w:val="left"/>
        <w:rPr>
          <w:sz w:val="21"/>
        </w:rPr>
      </w:pPr>
      <w:r>
        <w:rPr>
          <w:color w:val="333333"/>
          <w:spacing w:val="-3"/>
          <w:sz w:val="21"/>
        </w:rPr>
        <w:t>消防车道应符合下列要求：</w:t>
      </w:r>
      <w:r>
        <w:rPr>
          <w:color w:val="333333"/>
          <w:sz w:val="21"/>
        </w:rPr>
        <w:t> </w:t>
      </w:r>
    </w:p>
    <w:p>
      <w:pPr>
        <w:pStyle w:val="BodyText"/>
        <w:rPr>
          <w:sz w:val="18"/>
        </w:rPr>
      </w:pPr>
    </w:p>
    <w:p>
      <w:pPr>
        <w:pStyle w:val="BodyText"/>
        <w:ind w:left="838"/>
      </w:pPr>
      <w:r>
        <w:rPr>
          <w:color w:val="333333"/>
        </w:rPr>
        <w:t>车道的净宽度和净空高度均不应小于 4.0m； </w:t>
      </w:r>
    </w:p>
    <w:p>
      <w:pPr>
        <w:pStyle w:val="BodyText"/>
        <w:spacing w:before="2"/>
        <w:rPr>
          <w:sz w:val="18"/>
        </w:rPr>
      </w:pPr>
    </w:p>
    <w:p>
      <w:pPr>
        <w:pStyle w:val="BodyText"/>
        <w:ind w:left="838"/>
      </w:pPr>
      <w:r>
        <w:rPr>
          <w:color w:val="333333"/>
        </w:rPr>
        <w:t>转弯半径应满足消防车转弯的要求； </w:t>
      </w:r>
    </w:p>
    <w:p>
      <w:pPr>
        <w:spacing w:after="0"/>
        <w:sectPr>
          <w:pgSz w:w="11910" w:h="16850"/>
          <w:pgMar w:header="0" w:footer="1239" w:top="1220" w:bottom="1420" w:left="1260" w:right="0"/>
        </w:sectPr>
      </w:pPr>
    </w:p>
    <w:p>
      <w:pPr>
        <w:pStyle w:val="BodyText"/>
        <w:spacing w:line="446" w:lineRule="auto" w:before="47"/>
        <w:ind w:left="838" w:right="2765"/>
      </w:pPr>
      <w:r>
        <w:rPr>
          <w:color w:val="333333"/>
          <w:spacing w:val="-3"/>
        </w:rPr>
        <w:t>消防车道与建筑之间不应设置妨碍消防车操作的树木、架空管线等障碍物； </w:t>
      </w:r>
      <w:r>
        <w:rPr>
          <w:color w:val="333333"/>
          <w:spacing w:val="-5"/>
        </w:rPr>
        <w:t>消防车道靠建筑外墙一侧的边缘距离建筑外墙不宜小于 </w:t>
      </w:r>
      <w:r>
        <w:rPr>
          <w:color w:val="333333"/>
        </w:rPr>
        <w:t>5m； </w:t>
      </w:r>
    </w:p>
    <w:p>
      <w:pPr>
        <w:pStyle w:val="BodyText"/>
        <w:spacing w:line="267" w:lineRule="exact"/>
        <w:ind w:left="838"/>
      </w:pPr>
      <w:r>
        <w:rPr>
          <w:color w:val="333333"/>
        </w:rPr>
        <w:t>消防车道的坡度不宜大于 8%。 </w:t>
      </w:r>
    </w:p>
    <w:p>
      <w:pPr>
        <w:pStyle w:val="BodyText"/>
        <w:spacing w:before="2"/>
        <w:rPr>
          <w:sz w:val="18"/>
        </w:rPr>
      </w:pPr>
    </w:p>
    <w:p>
      <w:pPr>
        <w:pStyle w:val="ListParagraph"/>
        <w:numPr>
          <w:ilvl w:val="2"/>
          <w:numId w:val="282"/>
        </w:numPr>
        <w:tabs>
          <w:tab w:pos="1370" w:val="left" w:leader="none"/>
        </w:tabs>
        <w:spacing w:line="446" w:lineRule="auto" w:before="0" w:after="0"/>
        <w:ind w:left="418" w:right="1508" w:firstLine="422"/>
        <w:jc w:val="left"/>
        <w:rPr>
          <w:sz w:val="21"/>
        </w:rPr>
      </w:pPr>
      <w:r>
        <w:rPr>
          <w:color w:val="333333"/>
          <w:spacing w:val="-3"/>
          <w:sz w:val="21"/>
        </w:rPr>
        <w:t>环形消防车道至少应有两处与其他车道连通。尽头式消防车道应设置回车道或回车场</w:t>
      </w:r>
      <w:r>
        <w:rPr>
          <w:color w:val="333333"/>
          <w:spacing w:val="-7"/>
          <w:sz w:val="21"/>
        </w:rPr>
        <w:t>，回车场的面积不应小于 </w:t>
      </w:r>
      <w:r>
        <w:rPr>
          <w:color w:val="333333"/>
          <w:sz w:val="21"/>
        </w:rPr>
        <w:t>12m×12m</w:t>
      </w:r>
      <w:r>
        <w:rPr>
          <w:color w:val="333333"/>
          <w:spacing w:val="-6"/>
          <w:sz w:val="21"/>
        </w:rPr>
        <w:t>；对于高层建筑，不宜小于 </w:t>
      </w:r>
      <w:r>
        <w:rPr>
          <w:color w:val="333333"/>
          <w:sz w:val="21"/>
        </w:rPr>
        <w:t>15m×15m</w:t>
      </w:r>
      <w:r>
        <w:rPr>
          <w:color w:val="333333"/>
          <w:spacing w:val="-3"/>
          <w:sz w:val="21"/>
        </w:rPr>
        <w:t>；供重型消防车使用时</w:t>
      </w:r>
      <w:r>
        <w:rPr>
          <w:color w:val="333333"/>
          <w:spacing w:val="-12"/>
          <w:sz w:val="21"/>
        </w:rPr>
        <w:t>，不宜小于 </w:t>
      </w:r>
      <w:r>
        <w:rPr>
          <w:color w:val="333333"/>
          <w:sz w:val="21"/>
        </w:rPr>
        <w:t>18m×18m</w:t>
      </w:r>
      <w:r>
        <w:rPr>
          <w:color w:val="333333"/>
          <w:spacing w:val="-3"/>
          <w:sz w:val="21"/>
        </w:rPr>
        <w:t>。</w:t>
      </w:r>
      <w:r>
        <w:rPr>
          <w:color w:val="333333"/>
          <w:sz w:val="21"/>
        </w:rPr>
        <w:t> </w:t>
      </w:r>
    </w:p>
    <w:p>
      <w:pPr>
        <w:pStyle w:val="BodyText"/>
        <w:spacing w:line="446" w:lineRule="auto"/>
        <w:ind w:left="418" w:right="1609" w:firstLine="419"/>
      </w:pPr>
      <w:r>
        <w:rPr>
          <w:color w:val="333333"/>
        </w:rPr>
        <w:t>消防车道的路面、救援操作场地、消防车道和救援操作场地下面的管道和暗沟等，应能承受重型消防车的压力。 </w:t>
      </w:r>
    </w:p>
    <w:p>
      <w:pPr>
        <w:pStyle w:val="BodyText"/>
        <w:spacing w:line="446" w:lineRule="auto"/>
        <w:ind w:left="840" w:right="1496" w:hanging="3"/>
      </w:pPr>
      <w:r>
        <w:rPr>
          <w:color w:val="333333"/>
        </w:rPr>
        <w:t>消防车道可利用城乡、厂区道路等，但该道路应满足消防车通行、转弯和停靠的要求。</w:t>
      </w:r>
      <w:r>
        <w:rPr>
          <w:b/>
          <w:color w:val="333333"/>
        </w:rPr>
        <w:t>7.1.10 </w:t>
      </w:r>
      <w:r>
        <w:rPr>
          <w:color w:val="333333"/>
        </w:rPr>
        <w:t>消防车道不宜与铁路正线平交，确需平交时，应设置备用车道，且两车道的间距不</w:t>
      </w:r>
    </w:p>
    <w:p>
      <w:pPr>
        <w:pStyle w:val="BodyText"/>
        <w:spacing w:line="446" w:lineRule="auto"/>
        <w:ind w:left="840" w:right="7804" w:hanging="423"/>
      </w:pPr>
      <w:r>
        <w:rPr>
          <w:color w:val="333333"/>
        </w:rPr>
        <w:t>应小于一列火车的长度。</w:t>
      </w:r>
      <w:r>
        <w:rPr>
          <w:b/>
        </w:rPr>
        <w:t>7.2 </w:t>
      </w:r>
      <w:r>
        <w:rPr/>
        <w:t>救援场地和入口 </w:t>
      </w:r>
    </w:p>
    <w:p>
      <w:pPr>
        <w:pStyle w:val="ListParagraph"/>
        <w:numPr>
          <w:ilvl w:val="2"/>
          <w:numId w:val="283"/>
        </w:numPr>
        <w:tabs>
          <w:tab w:pos="1370" w:val="left" w:leader="none"/>
        </w:tabs>
        <w:spacing w:line="446" w:lineRule="auto" w:before="0" w:after="0"/>
        <w:ind w:left="418" w:right="1553" w:firstLine="422"/>
        <w:jc w:val="left"/>
        <w:rPr>
          <w:sz w:val="21"/>
        </w:rPr>
      </w:pPr>
      <w:r>
        <w:rPr>
          <w:color w:val="333333"/>
          <w:spacing w:val="-6"/>
          <w:sz w:val="21"/>
        </w:rPr>
        <w:t>高层建筑应至少沿一个长边或周边长度的 </w:t>
      </w:r>
      <w:r>
        <w:rPr>
          <w:color w:val="333333"/>
          <w:sz w:val="21"/>
        </w:rPr>
        <w:t>l/4</w:t>
      </w:r>
      <w:r>
        <w:rPr>
          <w:color w:val="333333"/>
          <w:spacing w:val="-3"/>
          <w:sz w:val="21"/>
        </w:rPr>
        <w:t> 且不小于一个长边长度的底边连续布</w:t>
      </w:r>
      <w:r>
        <w:rPr>
          <w:color w:val="333333"/>
          <w:spacing w:val="-5"/>
          <w:sz w:val="21"/>
        </w:rPr>
        <w:t>置消防车登高操作场地，该范围内的裙房进深不应大于 </w:t>
      </w:r>
      <w:r>
        <w:rPr>
          <w:color w:val="333333"/>
          <w:sz w:val="21"/>
        </w:rPr>
        <w:t>4m</w:t>
      </w:r>
      <w:r>
        <w:rPr>
          <w:color w:val="333333"/>
          <w:spacing w:val="-3"/>
          <w:sz w:val="21"/>
        </w:rPr>
        <w:t>。</w:t>
      </w:r>
      <w:r>
        <w:rPr>
          <w:color w:val="333333"/>
          <w:sz w:val="21"/>
        </w:rPr>
        <w:t> </w:t>
      </w:r>
    </w:p>
    <w:p>
      <w:pPr>
        <w:pStyle w:val="BodyText"/>
        <w:spacing w:line="446" w:lineRule="auto"/>
        <w:ind w:left="418" w:right="1498" w:firstLine="419"/>
      </w:pPr>
      <w:r>
        <w:rPr>
          <w:color w:val="333333"/>
        </w:rPr>
        <w:t>建筑高度不大于 50m 的建筑，连续布置消防车登高操作场地确有困难时，可间隔布置，但间隔距离不宜大于 30m，且消防车登高操作场地的总长度仍应符合上述规定。 </w:t>
      </w:r>
    </w:p>
    <w:p>
      <w:pPr>
        <w:pStyle w:val="ListParagraph"/>
        <w:numPr>
          <w:ilvl w:val="2"/>
          <w:numId w:val="283"/>
        </w:numPr>
        <w:tabs>
          <w:tab w:pos="1370" w:val="left" w:leader="none"/>
        </w:tabs>
        <w:spacing w:line="240" w:lineRule="auto" w:before="0" w:after="0"/>
        <w:ind w:left="1369" w:right="0" w:hanging="530"/>
        <w:jc w:val="left"/>
        <w:rPr>
          <w:sz w:val="21"/>
        </w:rPr>
      </w:pPr>
      <w:r>
        <w:rPr>
          <w:color w:val="333333"/>
          <w:spacing w:val="-3"/>
          <w:sz w:val="21"/>
        </w:rPr>
        <w:t>消防车登高操作场地应符合下列规定：</w:t>
      </w:r>
      <w:r>
        <w:rPr>
          <w:color w:val="333333"/>
          <w:sz w:val="21"/>
        </w:rPr>
        <w:t> </w:t>
      </w:r>
    </w:p>
    <w:p>
      <w:pPr>
        <w:pStyle w:val="BodyText"/>
        <w:spacing w:before="7"/>
        <w:rPr>
          <w:sz w:val="17"/>
        </w:rPr>
      </w:pPr>
    </w:p>
    <w:p>
      <w:pPr>
        <w:pStyle w:val="BodyText"/>
        <w:spacing w:line="446" w:lineRule="auto"/>
        <w:ind w:left="418" w:right="1609" w:firstLine="419"/>
      </w:pPr>
      <w:r>
        <w:rPr>
          <w:color w:val="333333"/>
        </w:rPr>
        <w:t>场地与厂房、仓库、民用建筑之间不应设置妨碍消防车操作的树木、架空管线等障碍物和车库出入口； </w:t>
      </w:r>
    </w:p>
    <w:p>
      <w:pPr>
        <w:pStyle w:val="BodyText"/>
        <w:spacing w:line="446" w:lineRule="auto"/>
        <w:ind w:left="418" w:right="1558" w:firstLine="419"/>
      </w:pPr>
      <w:r>
        <w:rPr>
          <w:color w:val="333333"/>
          <w:spacing w:val="-7"/>
        </w:rPr>
        <w:t>场地的长度和宽度分别不应小于 </w:t>
      </w:r>
      <w:r>
        <w:rPr>
          <w:color w:val="333333"/>
        </w:rPr>
        <w:t>15m</w:t>
      </w:r>
      <w:r>
        <w:rPr>
          <w:color w:val="333333"/>
          <w:spacing w:val="-14"/>
        </w:rPr>
        <w:t> 和 </w:t>
      </w:r>
      <w:r>
        <w:rPr>
          <w:color w:val="333333"/>
        </w:rPr>
        <w:t>10m</w:t>
      </w:r>
      <w:r>
        <w:rPr>
          <w:color w:val="333333"/>
          <w:spacing w:val="-8"/>
        </w:rPr>
        <w:t>。对于建筑高度大于 </w:t>
      </w:r>
      <w:r>
        <w:rPr>
          <w:color w:val="333333"/>
        </w:rPr>
        <w:t>50m</w:t>
      </w:r>
      <w:r>
        <w:rPr>
          <w:color w:val="333333"/>
          <w:spacing w:val="-2"/>
        </w:rPr>
        <w:t> 的建筑，场地的长度</w:t>
      </w:r>
      <w:r>
        <w:rPr>
          <w:color w:val="333333"/>
          <w:spacing w:val="-8"/>
        </w:rPr>
        <w:t>和宽度分别不应小于 </w:t>
      </w:r>
      <w:r>
        <w:rPr>
          <w:color w:val="333333"/>
        </w:rPr>
        <w:t>20m</w:t>
      </w:r>
      <w:r>
        <w:rPr>
          <w:color w:val="333333"/>
          <w:spacing w:val="-19"/>
        </w:rPr>
        <w:t> 和 </w:t>
      </w:r>
      <w:r>
        <w:rPr>
          <w:color w:val="333333"/>
        </w:rPr>
        <w:t>10m； </w:t>
      </w:r>
    </w:p>
    <w:p>
      <w:pPr>
        <w:pStyle w:val="BodyText"/>
        <w:ind w:left="838"/>
        <w:rPr>
          <w:b/>
        </w:rPr>
      </w:pPr>
      <w:r>
        <w:rPr>
          <w:color w:val="333333"/>
        </w:rPr>
        <w:t>场地及其下面的建筑结构、管道和暗沟等，应能承受重型消防车的压力；</w:t>
      </w:r>
      <w:r>
        <w:rPr>
          <w:b/>
          <w:color w:val="333333"/>
          <w:w w:val="99"/>
        </w:rPr>
        <w:t> </w:t>
      </w:r>
    </w:p>
    <w:p>
      <w:pPr>
        <w:pStyle w:val="BodyText"/>
        <w:spacing w:before="12"/>
        <w:rPr>
          <w:b/>
          <w:sz w:val="17"/>
        </w:rPr>
      </w:pPr>
    </w:p>
    <w:p>
      <w:pPr>
        <w:pStyle w:val="BodyText"/>
        <w:spacing w:line="446" w:lineRule="auto" w:before="1"/>
        <w:ind w:left="418" w:right="1501" w:firstLine="419"/>
      </w:pPr>
      <w:r>
        <w:rPr>
          <w:color w:val="333333"/>
        </w:rPr>
        <w:t>场地应与消防车道连通，场地靠建筑外墙一侧的边缘距离建筑外墙不宜小于 5m，且不应大于 10m，场地的坡度不宜大于 3%。 </w:t>
      </w:r>
    </w:p>
    <w:p>
      <w:pPr>
        <w:pStyle w:val="ListParagraph"/>
        <w:numPr>
          <w:ilvl w:val="2"/>
          <w:numId w:val="283"/>
        </w:numPr>
        <w:tabs>
          <w:tab w:pos="1370" w:val="left" w:leader="none"/>
        </w:tabs>
        <w:spacing w:line="446" w:lineRule="auto" w:before="0" w:after="0"/>
        <w:ind w:left="418" w:right="1604" w:firstLine="422"/>
        <w:jc w:val="left"/>
        <w:rPr>
          <w:sz w:val="21"/>
        </w:rPr>
      </w:pPr>
      <w:r>
        <w:rPr>
          <w:color w:val="333333"/>
          <w:spacing w:val="-3"/>
          <w:sz w:val="21"/>
        </w:rPr>
        <w:t>建筑物与消防车登高操作场地相对应的范围内，应设置直通室外的楼梯或直通楼梯间的入口。</w:t>
      </w:r>
      <w:r>
        <w:rPr>
          <w:color w:val="333333"/>
          <w:sz w:val="21"/>
        </w:rPr>
        <w:t> </w:t>
      </w:r>
    </w:p>
    <w:p>
      <w:pPr>
        <w:pStyle w:val="ListParagraph"/>
        <w:numPr>
          <w:ilvl w:val="2"/>
          <w:numId w:val="283"/>
        </w:numPr>
        <w:tabs>
          <w:tab w:pos="1370" w:val="left" w:leader="none"/>
        </w:tabs>
        <w:spacing w:line="446" w:lineRule="auto" w:before="0" w:after="0"/>
        <w:ind w:left="418" w:right="1604" w:firstLine="422"/>
        <w:jc w:val="left"/>
        <w:rPr>
          <w:sz w:val="21"/>
        </w:rPr>
      </w:pPr>
      <w:r>
        <w:rPr>
          <w:color w:val="333333"/>
          <w:spacing w:val="-3"/>
          <w:sz w:val="21"/>
        </w:rPr>
        <w:t>厂房、仓库、公共建筑的外墙应在每层的适当位置设置可供消防救援人员进入的窗口。</w:t>
      </w:r>
      <w:r>
        <w:rPr>
          <w:color w:val="333333"/>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283"/>
        </w:numPr>
        <w:tabs>
          <w:tab w:pos="1371" w:val="left" w:leader="none"/>
        </w:tabs>
        <w:spacing w:line="446" w:lineRule="auto" w:before="47" w:after="0"/>
        <w:ind w:left="418" w:right="1457" w:firstLine="422"/>
        <w:jc w:val="left"/>
        <w:rPr>
          <w:sz w:val="21"/>
        </w:rPr>
      </w:pPr>
      <w:r>
        <w:rPr>
          <w:color w:val="333333"/>
          <w:spacing w:val="-4"/>
          <w:sz w:val="21"/>
        </w:rPr>
        <w:t>供消防救援人员进入的窗口的净高度和净宽度均不应小于 </w:t>
      </w:r>
      <w:r>
        <w:rPr>
          <w:color w:val="333333"/>
          <w:sz w:val="21"/>
        </w:rPr>
        <w:t>1.0m</w:t>
      </w:r>
      <w:r>
        <w:rPr>
          <w:color w:val="333333"/>
          <w:spacing w:val="-3"/>
          <w:sz w:val="21"/>
        </w:rPr>
        <w:t>，下沿距室内地面不宜</w:t>
      </w:r>
      <w:r>
        <w:rPr>
          <w:color w:val="333333"/>
          <w:spacing w:val="-18"/>
          <w:sz w:val="21"/>
        </w:rPr>
        <w:t>大于 </w:t>
      </w:r>
      <w:r>
        <w:rPr>
          <w:color w:val="333333"/>
          <w:sz w:val="21"/>
        </w:rPr>
        <w:t>1.2m</w:t>
      </w:r>
      <w:r>
        <w:rPr>
          <w:color w:val="333333"/>
          <w:spacing w:val="-9"/>
          <w:sz w:val="21"/>
        </w:rPr>
        <w:t>，间距不宜大于 </w:t>
      </w:r>
      <w:r>
        <w:rPr>
          <w:color w:val="333333"/>
          <w:sz w:val="21"/>
        </w:rPr>
        <w:t>20m</w:t>
      </w:r>
      <w:r>
        <w:rPr>
          <w:color w:val="333333"/>
          <w:spacing w:val="-7"/>
          <w:sz w:val="21"/>
        </w:rPr>
        <w:t> 且每个防火分区不应少于 </w:t>
      </w:r>
      <w:r>
        <w:rPr>
          <w:color w:val="333333"/>
          <w:sz w:val="21"/>
        </w:rPr>
        <w:t>2</w:t>
      </w:r>
      <w:r>
        <w:rPr>
          <w:color w:val="333333"/>
          <w:spacing w:val="-3"/>
          <w:sz w:val="21"/>
        </w:rPr>
        <w:t> 个，设置位置应与消防车登高操作场地相对应。窗口的玻璃应易于破碎，并应设置可在室外易于识别的明显标志。</w:t>
      </w:r>
      <w:r>
        <w:rPr>
          <w:color w:val="333333"/>
          <w:sz w:val="21"/>
        </w:rPr>
        <w:t> </w:t>
      </w:r>
    </w:p>
    <w:p>
      <w:pPr>
        <w:pStyle w:val="ListParagraph"/>
        <w:numPr>
          <w:ilvl w:val="1"/>
          <w:numId w:val="284"/>
        </w:numPr>
        <w:tabs>
          <w:tab w:pos="1213" w:val="left" w:leader="none"/>
        </w:tabs>
        <w:spacing w:line="268" w:lineRule="exact" w:before="0" w:after="0"/>
        <w:ind w:left="1212" w:right="0" w:hanging="373"/>
        <w:jc w:val="left"/>
        <w:rPr>
          <w:b/>
          <w:sz w:val="21"/>
        </w:rPr>
      </w:pPr>
      <w:r>
        <w:rPr>
          <w:spacing w:val="-3"/>
          <w:sz w:val="21"/>
        </w:rPr>
        <w:t>消防电梯</w:t>
      </w:r>
      <w:r>
        <w:rPr>
          <w:b/>
          <w:w w:val="99"/>
          <w:sz w:val="21"/>
        </w:rPr>
        <w:t> </w:t>
      </w:r>
    </w:p>
    <w:p>
      <w:pPr>
        <w:pStyle w:val="BodyText"/>
        <w:rPr>
          <w:b/>
          <w:sz w:val="18"/>
        </w:rPr>
      </w:pPr>
    </w:p>
    <w:p>
      <w:pPr>
        <w:pStyle w:val="ListParagraph"/>
        <w:numPr>
          <w:ilvl w:val="2"/>
          <w:numId w:val="284"/>
        </w:numPr>
        <w:tabs>
          <w:tab w:pos="1370" w:val="left" w:leader="none"/>
        </w:tabs>
        <w:spacing w:line="240" w:lineRule="auto" w:before="0" w:after="0"/>
        <w:ind w:left="1369" w:right="0" w:hanging="530"/>
        <w:jc w:val="left"/>
        <w:rPr>
          <w:sz w:val="21"/>
        </w:rPr>
      </w:pPr>
      <w:r>
        <w:rPr>
          <w:color w:val="333333"/>
          <w:spacing w:val="-3"/>
          <w:sz w:val="21"/>
        </w:rPr>
        <w:t>下列建筑应设置消防电梯：</w:t>
      </w:r>
      <w:r>
        <w:rPr>
          <w:color w:val="333333"/>
          <w:sz w:val="21"/>
        </w:rPr>
        <w:t> </w:t>
      </w:r>
    </w:p>
    <w:p>
      <w:pPr>
        <w:pStyle w:val="BodyText"/>
        <w:spacing w:before="12"/>
        <w:rPr>
          <w:sz w:val="17"/>
        </w:rPr>
      </w:pPr>
    </w:p>
    <w:p>
      <w:pPr>
        <w:pStyle w:val="BodyText"/>
        <w:ind w:left="838"/>
      </w:pPr>
      <w:r>
        <w:rPr>
          <w:color w:val="333333"/>
        </w:rPr>
        <w:t>建筑高度大于 33m 的住宅建筑； </w:t>
      </w:r>
    </w:p>
    <w:p>
      <w:pPr>
        <w:pStyle w:val="BodyText"/>
        <w:spacing w:before="2"/>
        <w:rPr>
          <w:sz w:val="18"/>
        </w:rPr>
      </w:pPr>
    </w:p>
    <w:p>
      <w:pPr>
        <w:pStyle w:val="BodyText"/>
        <w:spacing w:line="436" w:lineRule="auto"/>
        <w:ind w:left="418" w:right="1611" w:firstLine="419"/>
      </w:pPr>
      <w:r>
        <w:rPr>
          <w:color w:val="333333"/>
          <w:spacing w:val="-6"/>
        </w:rPr>
        <w:t>一类高层公共建筑和建筑高度大于 </w:t>
      </w:r>
      <w:r>
        <w:rPr>
          <w:color w:val="333333"/>
        </w:rPr>
        <w:t>32m</w:t>
      </w:r>
      <w:r>
        <w:rPr>
          <w:color w:val="333333"/>
          <w:spacing w:val="-2"/>
        </w:rPr>
        <w:t> 的二类高层公共建筑、</w:t>
      </w:r>
      <w:r>
        <w:rPr>
          <w:color w:val="333333"/>
        </w:rPr>
        <w:t>5</w:t>
      </w:r>
      <w:r>
        <w:rPr>
          <w:color w:val="333333"/>
          <w:spacing w:val="-8"/>
        </w:rPr>
        <w:t> 层及以上且总建筑面积大</w:t>
      </w:r>
      <w:r>
        <w:rPr>
          <w:color w:val="333333"/>
          <w:spacing w:val="-31"/>
        </w:rPr>
        <w:t>于 </w:t>
      </w:r>
      <w:r>
        <w:rPr>
          <w:color w:val="333333"/>
        </w:rPr>
        <w:t>3000m</w:t>
      </w:r>
      <w:r>
        <w:rPr>
          <w:color w:val="333333"/>
          <w:position w:val="11"/>
          <w:sz w:val="11"/>
        </w:rPr>
        <w:t>2</w:t>
      </w:r>
      <w:r>
        <w:rPr>
          <w:color w:val="333333"/>
        </w:rPr>
        <w:t>（</w:t>
      </w:r>
      <w:r>
        <w:rPr>
          <w:color w:val="333333"/>
          <w:spacing w:val="-3"/>
        </w:rPr>
        <w:t>包括设置在其他建筑内五层及以上楼层</w:t>
      </w:r>
      <w:r>
        <w:rPr>
          <w:color w:val="333333"/>
        </w:rPr>
        <w:t>）</w:t>
      </w:r>
      <w:r>
        <w:rPr>
          <w:color w:val="333333"/>
          <w:spacing w:val="-3"/>
        </w:rPr>
        <w:t>的老年人照料设施；</w:t>
      </w:r>
      <w:r>
        <w:rPr>
          <w:color w:val="333333"/>
        </w:rPr>
        <w:t> </w:t>
      </w:r>
    </w:p>
    <w:p>
      <w:pPr>
        <w:pStyle w:val="BodyText"/>
        <w:spacing w:line="446" w:lineRule="auto"/>
        <w:ind w:left="418" w:right="1558" w:firstLine="419"/>
      </w:pPr>
      <w:r>
        <w:rPr>
          <w:color w:val="333333"/>
          <w:spacing w:val="-6"/>
        </w:rPr>
        <w:t>设置消防电梯的建筑的地下或半地下室，埋深大于 </w:t>
      </w:r>
      <w:r>
        <w:rPr>
          <w:color w:val="333333"/>
        </w:rPr>
        <w:t>10m</w:t>
      </w:r>
      <w:r>
        <w:rPr>
          <w:color w:val="333333"/>
          <w:spacing w:val="-7"/>
        </w:rPr>
        <w:t> 且总建筑面积大于 </w:t>
      </w:r>
      <w:r>
        <w:rPr>
          <w:color w:val="333333"/>
        </w:rPr>
        <w:t>3000m</w:t>
      </w:r>
      <w:r>
        <w:rPr>
          <w:color w:val="333333"/>
          <w:position w:val="11"/>
          <w:sz w:val="11"/>
        </w:rPr>
        <w:t>2</w:t>
      </w:r>
      <w:r>
        <w:rPr>
          <w:color w:val="333333"/>
          <w:sz w:val="11"/>
        </w:rPr>
        <w:t> </w:t>
      </w:r>
      <w:r>
        <w:rPr>
          <w:color w:val="333333"/>
          <w:spacing w:val="-2"/>
        </w:rPr>
        <w:t>的其他</w:t>
      </w:r>
      <w:r>
        <w:rPr>
          <w:color w:val="333333"/>
          <w:spacing w:val="-3"/>
        </w:rPr>
        <w:t>地下或半地下建筑（</w:t>
      </w:r>
      <w:r>
        <w:rPr>
          <w:color w:val="333333"/>
        </w:rPr>
        <w:t>室</w:t>
      </w:r>
      <w:r>
        <w:rPr>
          <w:color w:val="333333"/>
          <w:spacing w:val="-3"/>
        </w:rPr>
        <w:t>）</w:t>
      </w:r>
      <w:r>
        <w:rPr>
          <w:color w:val="333333"/>
        </w:rPr>
        <w:t>。 </w:t>
      </w:r>
    </w:p>
    <w:p>
      <w:pPr>
        <w:pStyle w:val="ListParagraph"/>
        <w:numPr>
          <w:ilvl w:val="2"/>
          <w:numId w:val="284"/>
        </w:numPr>
        <w:tabs>
          <w:tab w:pos="1371" w:val="left" w:leader="none"/>
        </w:tabs>
        <w:spacing w:line="240" w:lineRule="auto" w:before="0" w:after="0"/>
        <w:ind w:left="1370" w:right="0" w:hanging="531"/>
        <w:jc w:val="left"/>
        <w:rPr>
          <w:sz w:val="21"/>
        </w:rPr>
      </w:pPr>
      <w:r>
        <w:rPr>
          <w:color w:val="333333"/>
          <w:spacing w:val="-5"/>
          <w:sz w:val="21"/>
        </w:rPr>
        <w:t>消防电梯应分别设置在不同防火分区内，且每个防火分区不应少于 </w:t>
      </w:r>
      <w:r>
        <w:rPr>
          <w:color w:val="333333"/>
          <w:spacing w:val="-3"/>
          <w:sz w:val="21"/>
        </w:rPr>
        <w:t>1</w:t>
      </w:r>
      <w:r>
        <w:rPr>
          <w:color w:val="333333"/>
          <w:spacing w:val="-2"/>
          <w:sz w:val="21"/>
        </w:rPr>
        <w:t> 台。</w:t>
      </w:r>
      <w:r>
        <w:rPr>
          <w:color w:val="333333"/>
          <w:sz w:val="21"/>
        </w:rPr>
        <w:t> </w:t>
      </w:r>
    </w:p>
    <w:p>
      <w:pPr>
        <w:pStyle w:val="BodyText"/>
        <w:spacing w:before="12"/>
        <w:rPr>
          <w:sz w:val="17"/>
        </w:rPr>
      </w:pPr>
    </w:p>
    <w:p>
      <w:pPr>
        <w:pStyle w:val="ListParagraph"/>
        <w:numPr>
          <w:ilvl w:val="2"/>
          <w:numId w:val="284"/>
        </w:numPr>
        <w:tabs>
          <w:tab w:pos="1371" w:val="left" w:leader="none"/>
        </w:tabs>
        <w:spacing w:line="446" w:lineRule="auto" w:before="0" w:after="0"/>
        <w:ind w:left="418" w:right="1553" w:firstLine="422"/>
        <w:jc w:val="left"/>
        <w:rPr>
          <w:sz w:val="21"/>
        </w:rPr>
      </w:pPr>
      <w:r>
        <w:rPr>
          <w:color w:val="333333"/>
          <w:spacing w:val="-10"/>
          <w:sz w:val="21"/>
        </w:rPr>
        <w:t>建筑高度大于 </w:t>
      </w:r>
      <w:r>
        <w:rPr>
          <w:color w:val="333333"/>
          <w:sz w:val="21"/>
        </w:rPr>
        <w:t>32m</w:t>
      </w:r>
      <w:r>
        <w:rPr>
          <w:color w:val="333333"/>
          <w:spacing w:val="-3"/>
          <w:sz w:val="21"/>
        </w:rPr>
        <w:t> 且设置电梯的高层厂房（</w:t>
      </w:r>
      <w:r>
        <w:rPr>
          <w:color w:val="333333"/>
          <w:sz w:val="21"/>
        </w:rPr>
        <w:t>仓库）</w:t>
      </w:r>
      <w:r>
        <w:rPr>
          <w:color w:val="333333"/>
          <w:spacing w:val="-7"/>
          <w:sz w:val="21"/>
        </w:rPr>
        <w:t>，每个防火分区内宜设置 </w:t>
      </w:r>
      <w:r>
        <w:rPr>
          <w:color w:val="333333"/>
          <w:sz w:val="21"/>
        </w:rPr>
        <w:t>1</w:t>
      </w:r>
      <w:r>
        <w:rPr>
          <w:color w:val="333333"/>
          <w:spacing w:val="-19"/>
          <w:sz w:val="21"/>
        </w:rPr>
        <w:t> 台消</w:t>
      </w:r>
      <w:r>
        <w:rPr>
          <w:color w:val="333333"/>
          <w:spacing w:val="-3"/>
          <w:sz w:val="21"/>
        </w:rPr>
        <w:t>防电梯，但符合下列条件的建筑可不设置消防电梯： </w:t>
      </w:r>
    </w:p>
    <w:p>
      <w:pPr>
        <w:pStyle w:val="BodyText"/>
        <w:ind w:left="838"/>
      </w:pPr>
      <w:r>
        <w:rPr>
          <w:color w:val="333333"/>
        </w:rPr>
        <w:t>建筑高度大于 32m 且设置电梯，任一层工作平台上的人数不超过 2 人的高层塔架； </w:t>
      </w:r>
    </w:p>
    <w:p>
      <w:pPr>
        <w:pStyle w:val="BodyText"/>
        <w:spacing w:before="2"/>
        <w:rPr>
          <w:sz w:val="17"/>
        </w:rPr>
      </w:pPr>
    </w:p>
    <w:p>
      <w:pPr>
        <w:pStyle w:val="BodyText"/>
        <w:spacing w:line="446" w:lineRule="auto"/>
        <w:ind w:left="840" w:right="1556" w:hanging="3"/>
      </w:pPr>
      <w:r>
        <w:rPr>
          <w:color w:val="333333"/>
        </w:rPr>
        <w:t>局部建筑高度大于 32m，且局部高出部分的每层建筑面积不大于 50m</w:t>
      </w:r>
      <w:r>
        <w:rPr>
          <w:color w:val="333333"/>
          <w:position w:val="11"/>
          <w:sz w:val="11"/>
        </w:rPr>
        <w:t>2</w:t>
      </w:r>
      <w:r>
        <w:rPr>
          <w:color w:val="333333"/>
          <w:sz w:val="11"/>
        </w:rPr>
        <w:t> </w:t>
      </w:r>
      <w:r>
        <w:rPr>
          <w:color w:val="333333"/>
        </w:rPr>
        <w:t>的丁、戊类厂房。</w:t>
      </w:r>
      <w:r>
        <w:rPr>
          <w:b/>
          <w:color w:val="333333"/>
        </w:rPr>
        <w:t>7.3.4 </w:t>
      </w:r>
      <w:r>
        <w:rPr>
          <w:color w:val="333333"/>
        </w:rPr>
        <w:t>符合消防电梯要求的客梯或货梯可兼作消防电梯。 </w:t>
      </w:r>
    </w:p>
    <w:p>
      <w:pPr>
        <w:pStyle w:val="ListParagraph"/>
        <w:numPr>
          <w:ilvl w:val="2"/>
          <w:numId w:val="285"/>
        </w:numPr>
        <w:tabs>
          <w:tab w:pos="1371" w:val="left" w:leader="none"/>
        </w:tabs>
        <w:spacing w:line="446" w:lineRule="auto" w:before="0" w:after="0"/>
        <w:ind w:left="418" w:right="1604" w:firstLine="422"/>
        <w:jc w:val="left"/>
        <w:rPr>
          <w:sz w:val="21"/>
        </w:rPr>
      </w:pPr>
      <w:r>
        <w:rPr>
          <w:color w:val="333333"/>
          <w:spacing w:val="-3"/>
          <w:sz w:val="21"/>
        </w:rPr>
        <w:t>除设置在仓库连廊、冷库穿堂或谷物筒仓工作塔内的消防电梯外，消防电梯应设置前室，并应符合下列规定： </w:t>
      </w:r>
    </w:p>
    <w:p>
      <w:pPr>
        <w:pStyle w:val="BodyText"/>
        <w:ind w:left="838"/>
      </w:pPr>
      <w:r>
        <w:rPr>
          <w:color w:val="333333"/>
        </w:rPr>
        <w:t>前室宜靠外墙设置，并应在首层直通室外或经过长度不大于 30m 的通道通向室外； </w:t>
      </w:r>
    </w:p>
    <w:p>
      <w:pPr>
        <w:pStyle w:val="BodyText"/>
        <w:rPr>
          <w:sz w:val="18"/>
        </w:rPr>
      </w:pPr>
    </w:p>
    <w:p>
      <w:pPr>
        <w:pStyle w:val="BodyText"/>
        <w:spacing w:line="446" w:lineRule="auto"/>
        <w:ind w:left="418" w:right="1613" w:firstLine="419"/>
      </w:pPr>
      <w:r>
        <w:rPr>
          <w:color w:val="333333"/>
          <w:spacing w:val="-7"/>
        </w:rPr>
        <w:t>前室的使用面积不应小于 </w:t>
      </w:r>
      <w:r>
        <w:rPr>
          <w:color w:val="333333"/>
        </w:rPr>
        <w:t>6.0m2</w:t>
      </w:r>
      <w:r>
        <w:rPr>
          <w:color w:val="333333"/>
          <w:spacing w:val="-7"/>
        </w:rPr>
        <w:t>，前室的短边不应小于 </w:t>
      </w:r>
      <w:r>
        <w:rPr>
          <w:color w:val="333333"/>
        </w:rPr>
        <w:t>2.4m</w:t>
      </w:r>
      <w:r>
        <w:rPr>
          <w:color w:val="333333"/>
          <w:spacing w:val="-3"/>
        </w:rPr>
        <w:t>；与防烟楼梯间合用的前室， </w:t>
      </w:r>
      <w:r>
        <w:rPr>
          <w:color w:val="333333"/>
          <w:spacing w:val="-7"/>
        </w:rPr>
        <w:t>其使用面积尚应符合本规范第 </w:t>
      </w:r>
      <w:r>
        <w:rPr>
          <w:color w:val="333333"/>
        </w:rPr>
        <w:t>5.5.28</w:t>
      </w:r>
      <w:r>
        <w:rPr>
          <w:color w:val="333333"/>
          <w:spacing w:val="-13"/>
        </w:rPr>
        <w:t> 条和第 </w:t>
      </w:r>
      <w:r>
        <w:rPr>
          <w:color w:val="333333"/>
        </w:rPr>
        <w:t>6.4.3</w:t>
      </w:r>
      <w:r>
        <w:rPr>
          <w:color w:val="333333"/>
          <w:spacing w:val="-3"/>
        </w:rPr>
        <w:t> 条的规定；</w:t>
      </w:r>
      <w:r>
        <w:rPr>
          <w:color w:val="333333"/>
        </w:rPr>
        <w:t> </w:t>
      </w:r>
    </w:p>
    <w:p>
      <w:pPr>
        <w:pStyle w:val="BodyText"/>
        <w:spacing w:line="446" w:lineRule="auto"/>
        <w:ind w:left="418" w:right="1391" w:firstLine="419"/>
      </w:pPr>
      <w:r>
        <w:rPr>
          <w:color w:val="333333"/>
        </w:rPr>
        <w:t>除前室的出入口、前室内设置的正压送风口和本规范第 5.5.27 条规定的户门外，前室内不应开设其他门、窗、洞口； </w:t>
      </w:r>
    </w:p>
    <w:p>
      <w:pPr>
        <w:pStyle w:val="BodyText"/>
        <w:spacing w:line="267" w:lineRule="exact"/>
        <w:ind w:left="838"/>
      </w:pPr>
      <w:r>
        <w:rPr>
          <w:color w:val="333333"/>
        </w:rPr>
        <w:t>前室或合用前室的门应采用乙级防火门，不应设置卷帘。 </w:t>
      </w:r>
    </w:p>
    <w:p>
      <w:pPr>
        <w:pStyle w:val="BodyText"/>
        <w:spacing w:before="2"/>
        <w:rPr>
          <w:sz w:val="18"/>
        </w:rPr>
      </w:pPr>
    </w:p>
    <w:p>
      <w:pPr>
        <w:pStyle w:val="ListParagraph"/>
        <w:numPr>
          <w:ilvl w:val="2"/>
          <w:numId w:val="285"/>
        </w:numPr>
        <w:tabs>
          <w:tab w:pos="1371" w:val="left" w:leader="none"/>
        </w:tabs>
        <w:spacing w:line="446" w:lineRule="auto" w:before="0" w:after="0"/>
        <w:ind w:left="418" w:right="1553" w:firstLine="422"/>
        <w:jc w:val="left"/>
        <w:rPr>
          <w:sz w:val="21"/>
        </w:rPr>
      </w:pPr>
      <w:r>
        <w:rPr>
          <w:color w:val="333333"/>
          <w:spacing w:val="-5"/>
          <w:sz w:val="21"/>
        </w:rPr>
        <w:t>消防电梯井、机房与相邻电梯井、机房之间应设置耐火极限不低于 </w:t>
      </w:r>
      <w:r>
        <w:rPr>
          <w:color w:val="333333"/>
          <w:sz w:val="21"/>
        </w:rPr>
        <w:t>2.00h 的防火隔</w:t>
      </w:r>
      <w:r>
        <w:rPr>
          <w:color w:val="333333"/>
          <w:spacing w:val="-3"/>
          <w:sz w:val="21"/>
        </w:rPr>
        <w:t>墙，隔墙上的门应采用甲级防火门。</w:t>
      </w:r>
      <w:r>
        <w:rPr>
          <w:color w:val="333333"/>
          <w:sz w:val="21"/>
        </w:rPr>
        <w:t> </w:t>
      </w:r>
    </w:p>
    <w:p>
      <w:pPr>
        <w:pStyle w:val="ListParagraph"/>
        <w:numPr>
          <w:ilvl w:val="2"/>
          <w:numId w:val="285"/>
        </w:numPr>
        <w:tabs>
          <w:tab w:pos="1370" w:val="left" w:leader="none"/>
        </w:tabs>
        <w:spacing w:line="446" w:lineRule="auto" w:before="0" w:after="0"/>
        <w:ind w:left="418" w:right="1498" w:firstLine="422"/>
        <w:jc w:val="left"/>
        <w:rPr>
          <w:sz w:val="21"/>
        </w:rPr>
      </w:pPr>
      <w:r>
        <w:rPr>
          <w:color w:val="333333"/>
          <w:spacing w:val="-5"/>
          <w:sz w:val="21"/>
        </w:rPr>
        <w:t>消防电梯的井底应设置排水设施，排水井的容量不应小于 </w:t>
      </w:r>
      <w:r>
        <w:rPr>
          <w:color w:val="333333"/>
          <w:sz w:val="21"/>
        </w:rPr>
        <w:t>2m</w:t>
      </w:r>
      <w:r>
        <w:rPr>
          <w:color w:val="333333"/>
          <w:position w:val="11"/>
          <w:sz w:val="11"/>
        </w:rPr>
        <w:t>3</w:t>
      </w:r>
      <w:r>
        <w:rPr>
          <w:color w:val="333333"/>
          <w:spacing w:val="-3"/>
          <w:sz w:val="21"/>
        </w:rPr>
        <w:t>，排水泵的排水量不应</w:t>
      </w:r>
      <w:r>
        <w:rPr>
          <w:color w:val="333333"/>
          <w:spacing w:val="-20"/>
          <w:sz w:val="21"/>
        </w:rPr>
        <w:t>小于 </w:t>
      </w:r>
      <w:r>
        <w:rPr>
          <w:color w:val="333333"/>
          <w:sz w:val="21"/>
        </w:rPr>
        <w:t>10L/s</w:t>
      </w:r>
      <w:r>
        <w:rPr>
          <w:color w:val="333333"/>
          <w:spacing w:val="-3"/>
          <w:sz w:val="21"/>
        </w:rPr>
        <w:t>。消防电梯间前室的门口宜设置挡水设施。</w:t>
      </w:r>
      <w:r>
        <w:rPr>
          <w:color w:val="333333"/>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285"/>
        </w:numPr>
        <w:tabs>
          <w:tab w:pos="1424" w:val="left" w:leader="none"/>
        </w:tabs>
        <w:spacing w:line="446" w:lineRule="auto" w:before="47" w:after="0"/>
        <w:ind w:left="838" w:right="6597" w:firstLine="2"/>
        <w:jc w:val="left"/>
        <w:rPr>
          <w:sz w:val="21"/>
        </w:rPr>
      </w:pPr>
      <w:r>
        <w:rPr>
          <w:color w:val="333333"/>
          <w:spacing w:val="-3"/>
          <w:sz w:val="21"/>
        </w:rPr>
        <w:t>消防电梯应符合下列规定： 应能每层停靠；</w:t>
      </w:r>
      <w:r>
        <w:rPr>
          <w:color w:val="333333"/>
          <w:sz w:val="21"/>
        </w:rPr>
        <w:t> </w:t>
      </w:r>
    </w:p>
    <w:p>
      <w:pPr>
        <w:pStyle w:val="BodyText"/>
        <w:spacing w:line="267" w:lineRule="exact"/>
        <w:ind w:left="838"/>
      </w:pPr>
      <w:r>
        <w:rPr>
          <w:color w:val="333333"/>
        </w:rPr>
        <w:t>电梯的载重量不应小于 800kg； </w:t>
      </w:r>
    </w:p>
    <w:p>
      <w:pPr>
        <w:pStyle w:val="BodyText"/>
        <w:spacing w:before="2"/>
        <w:rPr>
          <w:sz w:val="18"/>
        </w:rPr>
      </w:pPr>
    </w:p>
    <w:p>
      <w:pPr>
        <w:pStyle w:val="BodyText"/>
        <w:ind w:left="838"/>
      </w:pPr>
      <w:r>
        <w:rPr>
          <w:color w:val="333333"/>
        </w:rPr>
        <w:t>电梯从首层至顶层的运行时间不宜大于 60s； </w:t>
      </w:r>
    </w:p>
    <w:p>
      <w:pPr>
        <w:pStyle w:val="BodyText"/>
        <w:rPr>
          <w:sz w:val="18"/>
        </w:rPr>
      </w:pPr>
    </w:p>
    <w:p>
      <w:pPr>
        <w:pStyle w:val="BodyText"/>
        <w:spacing w:line="446" w:lineRule="auto"/>
        <w:ind w:left="838" w:right="4026"/>
      </w:pPr>
      <w:r>
        <w:rPr>
          <w:color w:val="333333"/>
          <w:spacing w:val="-3"/>
        </w:rPr>
        <w:t>电梯的动力与控制电缆、电线、控制面板应采取防水措施；  在首层的消防电梯入口处应设置供消防队员专用的操作按钮； 电梯轿厢的内部装修应采用不燃材料；</w:t>
      </w:r>
      <w:r>
        <w:rPr>
          <w:color w:val="333333"/>
        </w:rPr>
        <w:t> </w:t>
      </w:r>
    </w:p>
    <w:p>
      <w:pPr>
        <w:pStyle w:val="BodyText"/>
        <w:spacing w:line="446" w:lineRule="auto"/>
        <w:ind w:left="840" w:right="5917" w:hanging="3"/>
        <w:rPr>
          <w:b/>
        </w:rPr>
      </w:pPr>
      <w:r>
        <w:rPr>
          <w:color w:val="333333"/>
        </w:rPr>
        <w:t>电梯轿厢内部应设置专用消防对讲电话。</w:t>
      </w:r>
      <w:r>
        <w:rPr>
          <w:b/>
        </w:rPr>
        <w:t>7.4 </w:t>
      </w:r>
      <w:r>
        <w:rPr/>
        <w:t>直升机停机坪</w:t>
      </w:r>
      <w:r>
        <w:rPr>
          <w:b/>
          <w:w w:val="99"/>
        </w:rPr>
        <w:t> </w:t>
      </w:r>
    </w:p>
    <w:p>
      <w:pPr>
        <w:pStyle w:val="ListParagraph"/>
        <w:numPr>
          <w:ilvl w:val="2"/>
          <w:numId w:val="286"/>
        </w:numPr>
        <w:tabs>
          <w:tab w:pos="1370" w:val="left" w:leader="none"/>
        </w:tabs>
        <w:spacing w:line="446" w:lineRule="auto" w:before="0" w:after="0"/>
        <w:ind w:left="418" w:right="1448" w:firstLine="422"/>
        <w:jc w:val="left"/>
        <w:rPr>
          <w:sz w:val="21"/>
        </w:rPr>
      </w:pPr>
      <w:r>
        <w:rPr>
          <w:color w:val="333333"/>
          <w:spacing w:val="-10"/>
          <w:sz w:val="21"/>
        </w:rPr>
        <w:t>建筑高度大于 </w:t>
      </w:r>
      <w:r>
        <w:rPr>
          <w:color w:val="333333"/>
          <w:sz w:val="21"/>
        </w:rPr>
        <w:t>l00m</w:t>
      </w:r>
      <w:r>
        <w:rPr>
          <w:color w:val="333333"/>
          <w:spacing w:val="-8"/>
          <w:sz w:val="21"/>
        </w:rPr>
        <w:t> 且标准层建筑面积大于 </w:t>
      </w:r>
      <w:r>
        <w:rPr>
          <w:color w:val="333333"/>
          <w:sz w:val="21"/>
        </w:rPr>
        <w:t>2000m</w:t>
      </w:r>
      <w:r>
        <w:rPr>
          <w:color w:val="333333"/>
          <w:position w:val="11"/>
          <w:sz w:val="11"/>
        </w:rPr>
        <w:t>2</w:t>
      </w:r>
      <w:r>
        <w:rPr>
          <w:color w:val="333333"/>
          <w:sz w:val="11"/>
        </w:rPr>
        <w:t>   </w:t>
      </w:r>
      <w:r>
        <w:rPr>
          <w:color w:val="333333"/>
          <w:spacing w:val="-3"/>
          <w:sz w:val="21"/>
        </w:rPr>
        <w:t>的公共建筑，宜在屋顶设置直升机停机坪或供直升机救助的设施。</w:t>
      </w:r>
      <w:r>
        <w:rPr>
          <w:color w:val="333333"/>
          <w:sz w:val="21"/>
        </w:rPr>
        <w:t> </w:t>
      </w:r>
    </w:p>
    <w:p>
      <w:pPr>
        <w:pStyle w:val="ListParagraph"/>
        <w:numPr>
          <w:ilvl w:val="2"/>
          <w:numId w:val="286"/>
        </w:numPr>
        <w:tabs>
          <w:tab w:pos="1370" w:val="left" w:leader="none"/>
        </w:tabs>
        <w:spacing w:line="267" w:lineRule="exact" w:before="0" w:after="0"/>
        <w:ind w:left="1369" w:right="0" w:hanging="530"/>
        <w:jc w:val="left"/>
        <w:rPr>
          <w:sz w:val="21"/>
        </w:rPr>
      </w:pPr>
      <w:r>
        <w:rPr>
          <w:color w:val="333333"/>
          <w:spacing w:val="-3"/>
          <w:sz w:val="21"/>
        </w:rPr>
        <w:t>直升机停机坪应符合下列规定：</w:t>
      </w:r>
      <w:r>
        <w:rPr>
          <w:color w:val="333333"/>
          <w:sz w:val="21"/>
        </w:rPr>
        <w:t> </w:t>
      </w:r>
    </w:p>
    <w:p>
      <w:pPr>
        <w:pStyle w:val="BodyText"/>
        <w:spacing w:before="3"/>
        <w:rPr>
          <w:sz w:val="17"/>
        </w:rPr>
      </w:pPr>
    </w:p>
    <w:p>
      <w:pPr>
        <w:pStyle w:val="BodyText"/>
        <w:spacing w:before="1"/>
        <w:ind w:left="838"/>
      </w:pPr>
      <w:r>
        <w:rPr>
          <w:color w:val="333333"/>
        </w:rPr>
        <w:t>设置在屋顶平台上时，距离设备机房、电梯机房、水箱间、共用天线等突出物不应小于</w:t>
      </w:r>
    </w:p>
    <w:p>
      <w:pPr>
        <w:pStyle w:val="BodyText"/>
        <w:spacing w:before="12"/>
        <w:rPr>
          <w:sz w:val="17"/>
        </w:rPr>
      </w:pPr>
    </w:p>
    <w:p>
      <w:pPr>
        <w:pStyle w:val="BodyText"/>
        <w:ind w:left="418"/>
      </w:pPr>
      <w:r>
        <w:rPr>
          <w:color w:val="333333"/>
        </w:rPr>
        <w:t>5m； </w:t>
      </w:r>
    </w:p>
    <w:p>
      <w:pPr>
        <w:pStyle w:val="BodyText"/>
        <w:rPr>
          <w:sz w:val="18"/>
        </w:rPr>
      </w:pPr>
    </w:p>
    <w:p>
      <w:pPr>
        <w:pStyle w:val="BodyText"/>
        <w:ind w:left="838"/>
      </w:pPr>
      <w:r>
        <w:rPr>
          <w:color w:val="333333"/>
        </w:rPr>
        <w:t>建筑通向停机坪的出口不应少于 2 个，每个出口的宽度不宜小于 0.90m； </w:t>
      </w:r>
    </w:p>
    <w:p>
      <w:pPr>
        <w:pStyle w:val="BodyText"/>
        <w:spacing w:before="2"/>
        <w:rPr>
          <w:sz w:val="18"/>
        </w:rPr>
      </w:pPr>
    </w:p>
    <w:p>
      <w:pPr>
        <w:pStyle w:val="BodyText"/>
        <w:spacing w:line="446" w:lineRule="auto"/>
        <w:ind w:left="838" w:right="5497"/>
      </w:pPr>
      <w:r>
        <w:rPr>
          <w:color w:val="333333"/>
        </w:rPr>
        <w:t>四周应设置航空障碍灯，并应设置应急照明； 在停机坪的适当位置应设置消火栓； </w:t>
      </w:r>
    </w:p>
    <w:p>
      <w:pPr>
        <w:pStyle w:val="BodyText"/>
        <w:spacing w:line="267" w:lineRule="exact"/>
        <w:ind w:left="838"/>
      </w:pPr>
      <w:r>
        <w:rPr>
          <w:color w:val="333333"/>
        </w:rPr>
        <w:t>其他要求应符合国家现行航空管理有关标准的规定。 </w:t>
      </w:r>
    </w:p>
    <w:p>
      <w:pPr>
        <w:pStyle w:val="BodyText"/>
        <w:spacing w:before="10"/>
        <w:rPr>
          <w:sz w:val="15"/>
        </w:rPr>
      </w:pPr>
    </w:p>
    <w:p>
      <w:pPr>
        <w:pStyle w:val="Heading4"/>
      </w:pPr>
      <w:r>
        <w:rPr/>
        <w:t>8 消防设施的设置</w:t>
      </w:r>
      <w:r>
        <w:rPr>
          <w:w w:val="99"/>
        </w:rPr>
        <w:t> </w:t>
      </w:r>
    </w:p>
    <w:p>
      <w:pPr>
        <w:pStyle w:val="BodyText"/>
        <w:spacing w:before="4"/>
        <w:rPr>
          <w:b/>
          <w:sz w:val="17"/>
        </w:rPr>
      </w:pPr>
    </w:p>
    <w:p>
      <w:pPr>
        <w:pStyle w:val="ListParagraph"/>
        <w:numPr>
          <w:ilvl w:val="1"/>
          <w:numId w:val="287"/>
        </w:numPr>
        <w:tabs>
          <w:tab w:pos="1159" w:val="left" w:leader="none"/>
        </w:tabs>
        <w:spacing w:line="240" w:lineRule="auto" w:before="1"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287"/>
        </w:numPr>
        <w:tabs>
          <w:tab w:pos="1370" w:val="left" w:leader="none"/>
        </w:tabs>
        <w:spacing w:line="446" w:lineRule="auto" w:before="0" w:after="0"/>
        <w:ind w:left="418" w:right="1604" w:firstLine="422"/>
        <w:jc w:val="left"/>
        <w:rPr>
          <w:sz w:val="21"/>
        </w:rPr>
      </w:pPr>
      <w:r>
        <w:rPr>
          <w:color w:val="333333"/>
          <w:spacing w:val="-3"/>
          <w:sz w:val="21"/>
        </w:rPr>
        <w:t>消防给水和消防设施的设置应根据建筑的用途及其重要性、火灾危险性、火灾特性和环境条件等因素综合确定。</w:t>
      </w:r>
      <w:r>
        <w:rPr>
          <w:color w:val="333333"/>
          <w:sz w:val="21"/>
        </w:rPr>
        <w:t> </w:t>
      </w:r>
    </w:p>
    <w:p>
      <w:pPr>
        <w:pStyle w:val="ListParagraph"/>
        <w:numPr>
          <w:ilvl w:val="2"/>
          <w:numId w:val="287"/>
        </w:numPr>
        <w:tabs>
          <w:tab w:pos="1370" w:val="left" w:leader="none"/>
        </w:tabs>
        <w:spacing w:line="446" w:lineRule="auto" w:before="0" w:after="0"/>
        <w:ind w:left="418" w:right="1604" w:firstLine="422"/>
        <w:jc w:val="left"/>
        <w:rPr>
          <w:sz w:val="21"/>
        </w:rPr>
      </w:pPr>
      <w:r>
        <w:rPr>
          <w:color w:val="333333"/>
          <w:spacing w:val="-2"/>
          <w:sz w:val="21"/>
        </w:rPr>
        <w:t>城镇</w:t>
      </w:r>
      <w:r>
        <w:rPr>
          <w:color w:val="333333"/>
          <w:spacing w:val="-3"/>
          <w:sz w:val="21"/>
        </w:rPr>
        <w:t>（包括居住区、商业区、开发区、工业区等）应沿可通行消防车的街道设置市政消火栓系统。</w:t>
      </w:r>
      <w:r>
        <w:rPr>
          <w:color w:val="333333"/>
          <w:sz w:val="21"/>
        </w:rPr>
        <w:t> </w:t>
      </w:r>
    </w:p>
    <w:p>
      <w:pPr>
        <w:pStyle w:val="BodyText"/>
        <w:spacing w:line="446" w:lineRule="auto"/>
        <w:ind w:left="838" w:right="2977"/>
      </w:pPr>
      <w:r>
        <w:rPr>
          <w:color w:val="333333"/>
          <w:spacing w:val="-3"/>
        </w:rPr>
        <w:t>民用建筑、厂房、仓库、储罐（</w:t>
      </w:r>
      <w:r>
        <w:rPr>
          <w:color w:val="333333"/>
        </w:rPr>
        <w:t>区</w:t>
      </w:r>
      <w:r>
        <w:rPr>
          <w:color w:val="333333"/>
          <w:spacing w:val="-3"/>
        </w:rPr>
        <w:t>）和堆场周围应设置室外消火栓系统。用于消防救援和消防车停靠的屋面上，应设置室外消火栓系统。</w:t>
      </w:r>
      <w:r>
        <w:rPr>
          <w:color w:val="333333"/>
        </w:rPr>
        <w:t> </w:t>
      </w:r>
    </w:p>
    <w:p>
      <w:pPr>
        <w:pStyle w:val="BodyText"/>
        <w:spacing w:line="446" w:lineRule="auto"/>
        <w:ind w:left="418" w:right="1400" w:firstLine="419"/>
      </w:pPr>
      <w:r>
        <w:rPr>
          <w:color w:val="333333"/>
        </w:rPr>
        <w:t>注：耐火等级不低于二级且建筑体积不大于 3000m</w:t>
      </w:r>
      <w:r>
        <w:rPr>
          <w:color w:val="333333"/>
          <w:position w:val="11"/>
          <w:sz w:val="11"/>
        </w:rPr>
        <w:t>3 </w:t>
      </w:r>
      <w:r>
        <w:rPr>
          <w:color w:val="333333"/>
        </w:rPr>
        <w:t>的戊类厂房，居住区人数不超过 500 人且建筑层数不超过两层的居住区，可不设置室外消火栓系统。 </w:t>
      </w:r>
    </w:p>
    <w:p>
      <w:pPr>
        <w:spacing w:after="0" w:line="446" w:lineRule="auto"/>
        <w:sectPr>
          <w:pgSz w:w="11910" w:h="16850"/>
          <w:pgMar w:header="0" w:footer="1239" w:top="1220" w:bottom="1420" w:left="1260" w:right="0"/>
        </w:sectPr>
      </w:pPr>
    </w:p>
    <w:p>
      <w:pPr>
        <w:pStyle w:val="ListParagraph"/>
        <w:numPr>
          <w:ilvl w:val="2"/>
          <w:numId w:val="287"/>
        </w:numPr>
        <w:tabs>
          <w:tab w:pos="1370" w:val="left" w:leader="none"/>
        </w:tabs>
        <w:spacing w:line="446" w:lineRule="auto" w:before="47" w:after="0"/>
        <w:ind w:left="418" w:right="1604" w:firstLine="422"/>
        <w:jc w:val="left"/>
        <w:rPr>
          <w:sz w:val="21"/>
        </w:rPr>
      </w:pPr>
      <w:r>
        <w:rPr>
          <w:color w:val="333333"/>
          <w:spacing w:val="-3"/>
          <w:sz w:val="21"/>
        </w:rPr>
        <w:t>自动喷水灭火系统、水喷雾灭火系统、泡沫灭火系统和固定消防炮灭火系统等系统以及下列建筑的室内消火栓给水系统应设置消防水泵接合器：</w:t>
      </w:r>
      <w:r>
        <w:rPr>
          <w:color w:val="333333"/>
          <w:sz w:val="21"/>
        </w:rPr>
        <w:t> </w:t>
      </w:r>
    </w:p>
    <w:p>
      <w:pPr>
        <w:pStyle w:val="BodyText"/>
        <w:spacing w:line="446" w:lineRule="auto"/>
        <w:ind w:left="838" w:right="7338"/>
      </w:pPr>
      <w:r>
        <w:rPr>
          <w:color w:val="333333"/>
          <w:spacing w:val="3"/>
        </w:rPr>
        <w:t>超过 </w:t>
      </w:r>
      <w:r>
        <w:rPr>
          <w:color w:val="333333"/>
          <w:spacing w:val="-3"/>
        </w:rPr>
        <w:t>5</w:t>
      </w:r>
      <w:r>
        <w:rPr>
          <w:color w:val="333333"/>
          <w:spacing w:val="4"/>
        </w:rPr>
        <w:t> 层的公共建筑； </w:t>
      </w:r>
      <w:r>
        <w:rPr>
          <w:color w:val="333333"/>
          <w:spacing w:val="-17"/>
        </w:rPr>
        <w:t>超过 </w:t>
      </w:r>
      <w:r>
        <w:rPr>
          <w:color w:val="333333"/>
          <w:spacing w:val="-3"/>
        </w:rPr>
        <w:t>4 层的厂房或仓库； 其他高层建筑；</w:t>
      </w:r>
      <w:r>
        <w:rPr>
          <w:color w:val="333333"/>
        </w:rPr>
        <w:t> </w:t>
      </w:r>
    </w:p>
    <w:p>
      <w:pPr>
        <w:pStyle w:val="BodyText"/>
        <w:spacing w:line="268" w:lineRule="exact"/>
        <w:ind w:left="838"/>
      </w:pPr>
      <w:r>
        <w:rPr>
          <w:color w:val="333333"/>
        </w:rPr>
        <w:t>超过 2 层或建筑面积大于 10000m</w:t>
      </w:r>
      <w:r>
        <w:rPr>
          <w:color w:val="333333"/>
          <w:position w:val="11"/>
          <w:sz w:val="11"/>
        </w:rPr>
        <w:t>2 </w:t>
      </w:r>
      <w:r>
        <w:rPr>
          <w:color w:val="333333"/>
        </w:rPr>
        <w:t>的地下建筑(地下室)。 </w:t>
      </w:r>
    </w:p>
    <w:p>
      <w:pPr>
        <w:pStyle w:val="BodyText"/>
        <w:rPr>
          <w:sz w:val="18"/>
        </w:rPr>
      </w:pPr>
    </w:p>
    <w:p>
      <w:pPr>
        <w:pStyle w:val="ListParagraph"/>
        <w:numPr>
          <w:ilvl w:val="2"/>
          <w:numId w:val="287"/>
        </w:numPr>
        <w:tabs>
          <w:tab w:pos="1371" w:val="left" w:leader="none"/>
        </w:tabs>
        <w:spacing w:line="436" w:lineRule="auto" w:before="0" w:after="0"/>
        <w:ind w:left="418" w:right="1604" w:firstLine="422"/>
        <w:jc w:val="left"/>
        <w:rPr>
          <w:sz w:val="21"/>
        </w:rPr>
      </w:pPr>
      <w:r>
        <w:rPr>
          <w:color w:val="333333"/>
          <w:spacing w:val="-3"/>
          <w:sz w:val="21"/>
        </w:rPr>
        <w:t>甲、乙、丙类液体储罐（</w:t>
      </w:r>
      <w:r>
        <w:rPr>
          <w:color w:val="333333"/>
          <w:sz w:val="21"/>
        </w:rPr>
        <w:t>区</w:t>
      </w:r>
      <w:r>
        <w:rPr>
          <w:color w:val="333333"/>
          <w:spacing w:val="-3"/>
          <w:sz w:val="21"/>
        </w:rPr>
        <w:t>）内的储罐应设置移动水枪或固定水冷却设施。高度大</w:t>
      </w:r>
      <w:r>
        <w:rPr>
          <w:color w:val="333333"/>
          <w:spacing w:val="-27"/>
          <w:sz w:val="21"/>
        </w:rPr>
        <w:t>于 </w:t>
      </w:r>
      <w:r>
        <w:rPr>
          <w:color w:val="333333"/>
          <w:sz w:val="21"/>
        </w:rPr>
        <w:t>15m</w:t>
      </w:r>
      <w:r>
        <w:rPr>
          <w:color w:val="333333"/>
          <w:spacing w:val="-14"/>
          <w:sz w:val="21"/>
        </w:rPr>
        <w:t> 或单罐容量大于 </w:t>
      </w:r>
      <w:r>
        <w:rPr>
          <w:color w:val="333333"/>
          <w:sz w:val="21"/>
        </w:rPr>
        <w:t>2000m</w:t>
      </w:r>
      <w:r>
        <w:rPr>
          <w:color w:val="333333"/>
          <w:position w:val="11"/>
          <w:sz w:val="11"/>
        </w:rPr>
        <w:t>3</w:t>
      </w:r>
      <w:r>
        <w:rPr>
          <w:color w:val="333333"/>
          <w:spacing w:val="-28"/>
          <w:position w:val="11"/>
          <w:sz w:val="11"/>
        </w:rPr>
        <w:t> </w:t>
      </w:r>
      <w:r>
        <w:rPr>
          <w:color w:val="333333"/>
          <w:spacing w:val="-3"/>
          <w:sz w:val="21"/>
        </w:rPr>
        <w:t>的甲、乙、丙类液体地上储罐，宜采用固定水冷却设施。</w:t>
      </w:r>
      <w:r>
        <w:rPr>
          <w:color w:val="333333"/>
          <w:sz w:val="21"/>
        </w:rPr>
        <w:t> </w:t>
      </w:r>
    </w:p>
    <w:p>
      <w:pPr>
        <w:pStyle w:val="BodyText"/>
        <w:rPr>
          <w:sz w:val="20"/>
        </w:rPr>
      </w:pPr>
    </w:p>
    <w:p>
      <w:pPr>
        <w:pStyle w:val="BodyText"/>
        <w:rPr>
          <w:sz w:val="20"/>
        </w:rPr>
      </w:pPr>
    </w:p>
    <w:p>
      <w:pPr>
        <w:pStyle w:val="BodyText"/>
        <w:rPr>
          <w:sz w:val="20"/>
        </w:rPr>
      </w:pPr>
    </w:p>
    <w:p>
      <w:pPr>
        <w:pStyle w:val="BodyText"/>
        <w:spacing w:before="1"/>
        <w:rPr>
          <w:sz w:val="18"/>
        </w:rPr>
      </w:pPr>
    </w:p>
    <w:p>
      <w:pPr>
        <w:pStyle w:val="ListParagraph"/>
        <w:numPr>
          <w:ilvl w:val="2"/>
          <w:numId w:val="287"/>
        </w:numPr>
        <w:tabs>
          <w:tab w:pos="1371" w:val="left" w:leader="none"/>
        </w:tabs>
        <w:spacing w:line="436" w:lineRule="auto" w:before="0" w:after="0"/>
        <w:ind w:left="418" w:right="1544" w:firstLine="422"/>
        <w:jc w:val="both"/>
        <w:rPr>
          <w:sz w:val="21"/>
        </w:rPr>
      </w:pPr>
      <w:r>
        <w:rPr>
          <w:color w:val="333333"/>
          <w:spacing w:val="-11"/>
          <w:sz w:val="21"/>
        </w:rPr>
        <w:t>总容积大于 </w:t>
      </w:r>
      <w:r>
        <w:rPr>
          <w:color w:val="333333"/>
          <w:sz w:val="21"/>
        </w:rPr>
        <w:t>50m</w:t>
      </w:r>
      <w:r>
        <w:rPr>
          <w:color w:val="333333"/>
          <w:position w:val="11"/>
          <w:sz w:val="11"/>
        </w:rPr>
        <w:t>3</w:t>
      </w:r>
      <w:r>
        <w:rPr>
          <w:color w:val="333333"/>
          <w:spacing w:val="-25"/>
          <w:position w:val="11"/>
          <w:sz w:val="11"/>
        </w:rPr>
        <w:t> </w:t>
      </w:r>
      <w:r>
        <w:rPr>
          <w:color w:val="333333"/>
          <w:spacing w:val="-9"/>
          <w:sz w:val="21"/>
        </w:rPr>
        <w:t>或单罐容积大于 </w:t>
      </w:r>
      <w:r>
        <w:rPr>
          <w:color w:val="333333"/>
          <w:sz w:val="21"/>
        </w:rPr>
        <w:t>20m</w:t>
      </w:r>
      <w:r>
        <w:rPr>
          <w:color w:val="333333"/>
          <w:position w:val="11"/>
          <w:sz w:val="11"/>
        </w:rPr>
        <w:t>3</w:t>
      </w:r>
      <w:r>
        <w:rPr>
          <w:color w:val="333333"/>
          <w:spacing w:val="-25"/>
          <w:position w:val="11"/>
          <w:sz w:val="11"/>
        </w:rPr>
        <w:t> </w:t>
      </w:r>
      <w:r>
        <w:rPr>
          <w:color w:val="333333"/>
          <w:spacing w:val="-3"/>
          <w:sz w:val="21"/>
        </w:rPr>
        <w:t>的液化石油气储罐</w:t>
      </w:r>
      <w:r>
        <w:rPr>
          <w:color w:val="333333"/>
          <w:sz w:val="21"/>
        </w:rPr>
        <w:t>（</w:t>
      </w:r>
      <w:r>
        <w:rPr>
          <w:color w:val="333333"/>
          <w:spacing w:val="-3"/>
          <w:sz w:val="21"/>
        </w:rPr>
        <w:t>区</w:t>
      </w:r>
      <w:r>
        <w:rPr>
          <w:color w:val="333333"/>
          <w:sz w:val="21"/>
        </w:rPr>
        <w:t>）</w:t>
      </w:r>
      <w:r>
        <w:rPr>
          <w:color w:val="333333"/>
          <w:spacing w:val="-3"/>
          <w:sz w:val="21"/>
        </w:rPr>
        <w:t>应设置固定水冷却设</w:t>
      </w:r>
      <w:r>
        <w:rPr>
          <w:color w:val="333333"/>
          <w:spacing w:val="-4"/>
          <w:sz w:val="21"/>
        </w:rPr>
        <w:t>施，埋地的液化石油气储罐可不设置固定喷水冷却装置。总容积不大于 </w:t>
      </w:r>
      <w:r>
        <w:rPr>
          <w:color w:val="333333"/>
          <w:sz w:val="21"/>
        </w:rPr>
        <w:t>50m</w:t>
      </w:r>
      <w:r>
        <w:rPr>
          <w:color w:val="333333"/>
          <w:position w:val="11"/>
          <w:sz w:val="11"/>
        </w:rPr>
        <w:t>3</w:t>
      </w:r>
      <w:r>
        <w:rPr>
          <w:color w:val="333333"/>
          <w:spacing w:val="-22"/>
          <w:position w:val="11"/>
          <w:sz w:val="11"/>
        </w:rPr>
        <w:t> </w:t>
      </w:r>
      <w:r>
        <w:rPr>
          <w:color w:val="333333"/>
          <w:spacing w:val="-3"/>
          <w:sz w:val="21"/>
        </w:rPr>
        <w:t>或单罐容积不大于20m</w:t>
      </w:r>
      <w:r>
        <w:rPr>
          <w:color w:val="333333"/>
          <w:spacing w:val="-3"/>
          <w:position w:val="11"/>
          <w:sz w:val="11"/>
        </w:rPr>
        <w:t>3</w:t>
      </w:r>
      <w:r>
        <w:rPr>
          <w:color w:val="333333"/>
          <w:spacing w:val="-29"/>
          <w:position w:val="11"/>
          <w:sz w:val="11"/>
        </w:rPr>
        <w:t> </w:t>
      </w:r>
      <w:r>
        <w:rPr>
          <w:color w:val="333333"/>
          <w:spacing w:val="-3"/>
          <w:sz w:val="21"/>
        </w:rPr>
        <w:t>的液化石油气储罐（</w:t>
      </w:r>
      <w:r>
        <w:rPr>
          <w:color w:val="333333"/>
          <w:sz w:val="21"/>
        </w:rPr>
        <w:t>区）</w:t>
      </w:r>
      <w:r>
        <w:rPr>
          <w:color w:val="333333"/>
          <w:spacing w:val="-3"/>
          <w:sz w:val="21"/>
        </w:rPr>
        <w:t>，应设置移动式水枪。 </w:t>
      </w:r>
    </w:p>
    <w:p>
      <w:pPr>
        <w:pStyle w:val="ListParagraph"/>
        <w:numPr>
          <w:ilvl w:val="2"/>
          <w:numId w:val="287"/>
        </w:numPr>
        <w:tabs>
          <w:tab w:pos="1371" w:val="left" w:leader="none"/>
        </w:tabs>
        <w:spacing w:line="240" w:lineRule="auto" w:before="11" w:after="0"/>
        <w:ind w:left="1370" w:right="0" w:hanging="531"/>
        <w:jc w:val="left"/>
        <w:rPr>
          <w:sz w:val="21"/>
        </w:rPr>
      </w:pPr>
      <w:r>
        <w:rPr>
          <w:color w:val="333333"/>
          <w:spacing w:val="-3"/>
          <w:sz w:val="21"/>
        </w:rPr>
        <w:t>消防水泵房的设置应符合下列规定：</w:t>
      </w:r>
      <w:r>
        <w:rPr>
          <w:color w:val="333333"/>
          <w:sz w:val="21"/>
        </w:rPr>
        <w:t> </w:t>
      </w:r>
    </w:p>
    <w:p>
      <w:pPr>
        <w:pStyle w:val="BodyText"/>
        <w:rPr>
          <w:sz w:val="18"/>
        </w:rPr>
      </w:pPr>
    </w:p>
    <w:p>
      <w:pPr>
        <w:pStyle w:val="BodyText"/>
        <w:ind w:left="838"/>
      </w:pPr>
      <w:r>
        <w:rPr>
          <w:color w:val="333333"/>
        </w:rPr>
        <w:t>单独建造的消防水泵房，其耐火等级不应低于二级； </w:t>
      </w:r>
    </w:p>
    <w:p>
      <w:pPr>
        <w:pStyle w:val="BodyText"/>
        <w:spacing w:before="2"/>
        <w:rPr>
          <w:sz w:val="18"/>
        </w:rPr>
      </w:pPr>
    </w:p>
    <w:p>
      <w:pPr>
        <w:pStyle w:val="BodyText"/>
        <w:spacing w:line="446" w:lineRule="auto"/>
        <w:ind w:left="418" w:right="1608" w:firstLine="419"/>
      </w:pPr>
      <w:r>
        <w:rPr>
          <w:color w:val="333333"/>
        </w:rPr>
        <w:t>附设在建筑内的消防水泵房，不应设置在地下三层及以下或室内地面与室外出入口地坪高差大于 10m 的地下楼层； </w:t>
      </w:r>
    </w:p>
    <w:p>
      <w:pPr>
        <w:pStyle w:val="BodyText"/>
        <w:spacing w:line="267" w:lineRule="exact"/>
        <w:ind w:left="838"/>
      </w:pPr>
      <w:r>
        <w:rPr>
          <w:color w:val="333333"/>
        </w:rPr>
        <w:t>疏散门应直通室外或安全出口。 </w:t>
      </w:r>
    </w:p>
    <w:p>
      <w:pPr>
        <w:pStyle w:val="BodyText"/>
        <w:spacing w:before="2"/>
        <w:rPr>
          <w:sz w:val="18"/>
        </w:rPr>
      </w:pPr>
    </w:p>
    <w:p>
      <w:pPr>
        <w:pStyle w:val="ListParagraph"/>
        <w:numPr>
          <w:ilvl w:val="2"/>
          <w:numId w:val="287"/>
        </w:numPr>
        <w:tabs>
          <w:tab w:pos="1371" w:val="left" w:leader="none"/>
        </w:tabs>
        <w:spacing w:line="446" w:lineRule="auto" w:before="0" w:after="0"/>
        <w:ind w:left="418" w:right="1813" w:firstLine="422"/>
        <w:jc w:val="left"/>
        <w:rPr>
          <w:sz w:val="21"/>
        </w:rPr>
      </w:pPr>
      <w:r>
        <w:rPr>
          <w:color w:val="333333"/>
          <w:spacing w:val="-3"/>
          <w:sz w:val="21"/>
        </w:rPr>
        <w:t>设置火灾自动报警系统和需要联动控制的消防设备的建筑（</w:t>
      </w:r>
      <w:r>
        <w:rPr>
          <w:color w:val="333333"/>
          <w:sz w:val="21"/>
        </w:rPr>
        <w:t>群</w:t>
      </w:r>
      <w:r>
        <w:rPr>
          <w:color w:val="333333"/>
          <w:spacing w:val="-3"/>
          <w:sz w:val="21"/>
        </w:rPr>
        <w:t>）应设置消防控制室。消防控制室的设置应符合下列规定：</w:t>
      </w:r>
      <w:r>
        <w:rPr>
          <w:color w:val="333333"/>
          <w:sz w:val="21"/>
        </w:rPr>
        <w:t> </w:t>
      </w:r>
    </w:p>
    <w:p>
      <w:pPr>
        <w:pStyle w:val="BodyText"/>
        <w:spacing w:line="267" w:lineRule="exact"/>
        <w:ind w:left="838"/>
      </w:pPr>
      <w:r>
        <w:rPr>
          <w:color w:val="333333"/>
        </w:rPr>
        <w:t>单独建造的消防控制室，其耐火等级不应低于二级； </w:t>
      </w:r>
    </w:p>
    <w:p>
      <w:pPr>
        <w:pStyle w:val="BodyText"/>
        <w:spacing w:before="2"/>
        <w:rPr>
          <w:sz w:val="18"/>
        </w:rPr>
      </w:pPr>
    </w:p>
    <w:p>
      <w:pPr>
        <w:pStyle w:val="BodyText"/>
        <w:spacing w:line="446" w:lineRule="auto"/>
        <w:ind w:left="838" w:right="1505"/>
      </w:pPr>
      <w:r>
        <w:rPr>
          <w:color w:val="333333"/>
          <w:spacing w:val="-3"/>
        </w:rPr>
        <w:t>附设在建筑内的消防控制室，宜设置在建筑内首层或地下一层，并宜布置在靠外墙部位； 不应设置在电磁场干扰较强及其他可能影响消防控制设备正常工作的房间附近； </w:t>
      </w:r>
    </w:p>
    <w:p>
      <w:pPr>
        <w:pStyle w:val="BodyText"/>
        <w:spacing w:line="267" w:lineRule="exact"/>
        <w:ind w:left="838"/>
      </w:pPr>
      <w:r>
        <w:rPr>
          <w:color w:val="333333"/>
        </w:rPr>
        <w:t>疏散门应直通室外或安全出口。 </w:t>
      </w:r>
    </w:p>
    <w:p>
      <w:pPr>
        <w:pStyle w:val="BodyText"/>
        <w:spacing w:before="1"/>
        <w:rPr>
          <w:sz w:val="18"/>
        </w:rPr>
      </w:pPr>
    </w:p>
    <w:p>
      <w:pPr>
        <w:pStyle w:val="BodyText"/>
        <w:spacing w:line="446" w:lineRule="auto" w:before="1"/>
        <w:ind w:left="418" w:right="1558" w:firstLine="419"/>
        <w:jc w:val="both"/>
      </w:pPr>
      <w:r>
        <w:rPr>
          <w:color w:val="333333"/>
          <w:spacing w:val="-3"/>
        </w:rPr>
        <w:t>消防控制室内的设备构成及其对建筑消防设施的控制与显示功能以及向远程监控系统传输相关信息的功能，应符合现行国家标准《火灾自动报警系统设计规范》</w:t>
      </w:r>
      <w:r>
        <w:rPr>
          <w:color w:val="333333"/>
        </w:rPr>
        <w:t>GB 50116</w:t>
      </w:r>
      <w:r>
        <w:rPr>
          <w:color w:val="333333"/>
          <w:spacing w:val="-8"/>
        </w:rPr>
        <w:t> 和《消防控制</w:t>
      </w:r>
      <w:r>
        <w:rPr>
          <w:color w:val="333333"/>
          <w:spacing w:val="-5"/>
        </w:rPr>
        <w:t>室通用技术要求》</w:t>
      </w:r>
      <w:r>
        <w:rPr>
          <w:color w:val="333333"/>
        </w:rPr>
        <w:t>GB 25506</w:t>
      </w:r>
      <w:r>
        <w:rPr>
          <w:color w:val="333333"/>
          <w:spacing w:val="-13"/>
        </w:rPr>
        <w:t> 的规定。</w:t>
      </w:r>
      <w:r>
        <w:rPr>
          <w:color w:val="333333"/>
        </w:rPr>
        <w:t> </w:t>
      </w:r>
    </w:p>
    <w:p>
      <w:pPr>
        <w:pStyle w:val="ListParagraph"/>
        <w:numPr>
          <w:ilvl w:val="2"/>
          <w:numId w:val="287"/>
        </w:numPr>
        <w:tabs>
          <w:tab w:pos="1371" w:val="left" w:leader="none"/>
        </w:tabs>
        <w:spacing w:line="268" w:lineRule="exact" w:before="0" w:after="0"/>
        <w:ind w:left="1370" w:right="0" w:hanging="531"/>
        <w:jc w:val="left"/>
        <w:rPr>
          <w:sz w:val="21"/>
        </w:rPr>
      </w:pPr>
      <w:r>
        <w:rPr>
          <w:color w:val="333333"/>
          <w:spacing w:val="-3"/>
          <w:sz w:val="21"/>
        </w:rPr>
        <w:t>消防水泵房和消防控制室应采取防水淹的技术措施。</w:t>
      </w:r>
      <w:r>
        <w:rPr>
          <w:color w:val="333333"/>
          <w:sz w:val="21"/>
        </w:rPr>
        <w:t> </w:t>
      </w:r>
    </w:p>
    <w:p>
      <w:pPr>
        <w:spacing w:after="0" w:line="268" w:lineRule="exact"/>
        <w:jc w:val="left"/>
        <w:rPr>
          <w:sz w:val="21"/>
        </w:rPr>
        <w:sectPr>
          <w:pgSz w:w="11910" w:h="16850"/>
          <w:pgMar w:header="0" w:footer="1239" w:top="1220" w:bottom="1420" w:left="1260" w:right="0"/>
        </w:sectPr>
      </w:pPr>
    </w:p>
    <w:p>
      <w:pPr>
        <w:pStyle w:val="ListParagraph"/>
        <w:numPr>
          <w:ilvl w:val="2"/>
          <w:numId w:val="287"/>
        </w:numPr>
        <w:tabs>
          <w:tab w:pos="1371" w:val="left" w:leader="none"/>
        </w:tabs>
        <w:spacing w:line="446" w:lineRule="auto" w:before="47" w:after="0"/>
        <w:ind w:left="418" w:right="1604" w:firstLine="422"/>
        <w:jc w:val="left"/>
        <w:rPr>
          <w:sz w:val="21"/>
        </w:rPr>
      </w:pPr>
      <w:r>
        <w:rPr>
          <w:color w:val="333333"/>
          <w:spacing w:val="-3"/>
          <w:sz w:val="21"/>
        </w:rPr>
        <w:t>设置在建筑内的防排烟风机应设置在不同的专用机房内，有关防火分隔措施应符合</w:t>
      </w:r>
      <w:r>
        <w:rPr>
          <w:color w:val="333333"/>
          <w:spacing w:val="-13"/>
          <w:sz w:val="21"/>
        </w:rPr>
        <w:t>本规范第 </w:t>
      </w:r>
      <w:r>
        <w:rPr>
          <w:color w:val="333333"/>
          <w:sz w:val="21"/>
        </w:rPr>
        <w:t>6.2.7</w:t>
      </w:r>
      <w:r>
        <w:rPr>
          <w:color w:val="333333"/>
          <w:spacing w:val="-11"/>
          <w:sz w:val="21"/>
        </w:rPr>
        <w:t> 条的规定。 </w:t>
      </w:r>
    </w:p>
    <w:p>
      <w:pPr>
        <w:pStyle w:val="ListParagraph"/>
        <w:numPr>
          <w:ilvl w:val="2"/>
          <w:numId w:val="287"/>
        </w:numPr>
        <w:tabs>
          <w:tab w:pos="1478" w:val="left" w:leader="none"/>
        </w:tabs>
        <w:spacing w:line="446" w:lineRule="auto" w:before="0" w:after="0"/>
        <w:ind w:left="418" w:right="1496" w:firstLine="422"/>
        <w:jc w:val="left"/>
        <w:rPr>
          <w:sz w:val="21"/>
        </w:rPr>
      </w:pPr>
      <w:r>
        <w:rPr>
          <w:color w:val="333333"/>
          <w:spacing w:val="-3"/>
          <w:sz w:val="21"/>
        </w:rPr>
        <w:t>高层住宅建筑的公共部位和公共建筑内应设置灭火器，其他住宅建筑的公共部位宜设置灭火器。</w:t>
      </w:r>
      <w:r>
        <w:rPr>
          <w:color w:val="333333"/>
          <w:sz w:val="21"/>
        </w:rPr>
        <w:t> </w:t>
      </w:r>
    </w:p>
    <w:p>
      <w:pPr>
        <w:pStyle w:val="BodyText"/>
        <w:ind w:left="838"/>
      </w:pPr>
      <w:r>
        <w:rPr>
          <w:color w:val="333333"/>
        </w:rPr>
        <w:t>厂房、仓库、储罐（区）和堆场，应设置灭火器。 </w:t>
      </w:r>
    </w:p>
    <w:p>
      <w:pPr>
        <w:pStyle w:val="BodyText"/>
        <w:spacing w:before="10"/>
        <w:rPr>
          <w:sz w:val="17"/>
        </w:rPr>
      </w:pPr>
    </w:p>
    <w:p>
      <w:pPr>
        <w:pStyle w:val="ListParagraph"/>
        <w:numPr>
          <w:ilvl w:val="2"/>
          <w:numId w:val="287"/>
        </w:numPr>
        <w:tabs>
          <w:tab w:pos="1478" w:val="left" w:leader="none"/>
        </w:tabs>
        <w:spacing w:line="446" w:lineRule="auto" w:before="0" w:after="0"/>
        <w:ind w:left="418" w:right="1498" w:firstLine="422"/>
        <w:jc w:val="left"/>
        <w:rPr>
          <w:sz w:val="21"/>
        </w:rPr>
      </w:pPr>
      <w:r>
        <w:rPr>
          <w:color w:val="333333"/>
          <w:spacing w:val="-3"/>
          <w:sz w:val="21"/>
        </w:rPr>
        <w:t>建筑外墙设置有玻璃幕墙或采用火灾时可能脱落的墙体装饰材料或构造时，供灭火救援用的水泵接合器、室外消火栓等室外消防设施，应设置在距离建筑外墙相对安全的位置或采取安全防护措施。</w:t>
      </w:r>
      <w:r>
        <w:rPr>
          <w:color w:val="333333"/>
          <w:sz w:val="21"/>
        </w:rPr>
        <w:t> </w:t>
      </w:r>
    </w:p>
    <w:p>
      <w:pPr>
        <w:pStyle w:val="ListParagraph"/>
        <w:numPr>
          <w:ilvl w:val="2"/>
          <w:numId w:val="287"/>
        </w:numPr>
        <w:tabs>
          <w:tab w:pos="1478" w:val="left" w:leader="none"/>
        </w:tabs>
        <w:spacing w:line="446" w:lineRule="auto" w:before="0" w:after="0"/>
        <w:ind w:left="418" w:right="1707" w:firstLine="422"/>
        <w:jc w:val="left"/>
        <w:rPr>
          <w:sz w:val="21"/>
        </w:rPr>
      </w:pPr>
      <w:r>
        <w:rPr>
          <w:color w:val="333333"/>
          <w:spacing w:val="-3"/>
          <w:sz w:val="21"/>
        </w:rPr>
        <w:t>设置在建筑室内外供人员操作或使用的消防设施，均应设置区别于环境的明显标志。</w:t>
      </w:r>
      <w:r>
        <w:rPr>
          <w:color w:val="333333"/>
          <w:sz w:val="21"/>
        </w:rPr>
        <w:t> </w:t>
      </w:r>
    </w:p>
    <w:p>
      <w:pPr>
        <w:pStyle w:val="BodyText"/>
        <w:rPr>
          <w:sz w:val="20"/>
        </w:rPr>
      </w:pPr>
    </w:p>
    <w:p>
      <w:pPr>
        <w:pStyle w:val="BodyText"/>
        <w:spacing w:before="12"/>
        <w:rPr>
          <w:sz w:val="18"/>
        </w:rPr>
      </w:pPr>
    </w:p>
    <w:p>
      <w:pPr>
        <w:pStyle w:val="ListParagraph"/>
        <w:numPr>
          <w:ilvl w:val="2"/>
          <w:numId w:val="287"/>
        </w:numPr>
        <w:tabs>
          <w:tab w:pos="1478" w:val="left" w:leader="none"/>
        </w:tabs>
        <w:spacing w:line="446" w:lineRule="auto" w:before="0" w:after="0"/>
        <w:ind w:left="418" w:right="1496" w:firstLine="422"/>
        <w:jc w:val="both"/>
        <w:rPr>
          <w:sz w:val="21"/>
        </w:rPr>
      </w:pPr>
      <w:r>
        <w:rPr>
          <w:color w:val="333333"/>
          <w:spacing w:val="-3"/>
          <w:sz w:val="21"/>
        </w:rPr>
        <w:t>有关消防系统及设施的设计，应符合现行国家标准《消防给水及消火栓系统技术规范》GB</w:t>
      </w:r>
      <w:r>
        <w:rPr>
          <w:color w:val="333333"/>
          <w:spacing w:val="9"/>
          <w:sz w:val="21"/>
        </w:rPr>
        <w:t> </w:t>
      </w:r>
      <w:r>
        <w:rPr>
          <w:color w:val="333333"/>
          <w:sz w:val="21"/>
        </w:rPr>
        <w:t>50974</w:t>
      </w:r>
      <w:r>
        <w:rPr>
          <w:color w:val="333333"/>
          <w:spacing w:val="-3"/>
          <w:sz w:val="21"/>
        </w:rPr>
        <w:t>、《自动喷水灭火系统设计规范》</w:t>
      </w:r>
      <w:r>
        <w:rPr>
          <w:color w:val="333333"/>
          <w:sz w:val="21"/>
        </w:rPr>
        <w:t>GB</w:t>
      </w:r>
      <w:r>
        <w:rPr>
          <w:color w:val="333333"/>
          <w:spacing w:val="7"/>
          <w:sz w:val="21"/>
        </w:rPr>
        <w:t> </w:t>
      </w:r>
      <w:r>
        <w:rPr>
          <w:color w:val="333333"/>
          <w:sz w:val="21"/>
        </w:rPr>
        <w:t>50084</w:t>
      </w:r>
      <w:r>
        <w:rPr>
          <w:color w:val="333333"/>
          <w:spacing w:val="-3"/>
          <w:sz w:val="21"/>
        </w:rPr>
        <w:t>、《火灾自动报警系统设计规范》</w:t>
      </w:r>
      <w:r>
        <w:rPr>
          <w:color w:val="333333"/>
          <w:sz w:val="21"/>
        </w:rPr>
        <w:t>GB 50116</w:t>
      </w:r>
      <w:r>
        <w:rPr>
          <w:color w:val="333333"/>
          <w:spacing w:val="-9"/>
          <w:sz w:val="21"/>
        </w:rPr>
        <w:t> 等有关标准的规定。 </w:t>
      </w:r>
    </w:p>
    <w:p>
      <w:pPr>
        <w:pStyle w:val="ListParagraph"/>
        <w:numPr>
          <w:ilvl w:val="1"/>
          <w:numId w:val="287"/>
        </w:numPr>
        <w:tabs>
          <w:tab w:pos="1160" w:val="left" w:leader="none"/>
        </w:tabs>
        <w:spacing w:line="268" w:lineRule="exact" w:before="0" w:after="0"/>
        <w:ind w:left="1159" w:right="0" w:hanging="320"/>
        <w:jc w:val="left"/>
        <w:rPr>
          <w:b/>
          <w:sz w:val="21"/>
        </w:rPr>
      </w:pPr>
      <w:r>
        <w:rPr>
          <w:spacing w:val="-3"/>
          <w:sz w:val="21"/>
        </w:rPr>
        <w:t>室内消火栓系统</w:t>
      </w:r>
      <w:r>
        <w:rPr>
          <w:b/>
          <w:w w:val="99"/>
          <w:sz w:val="21"/>
        </w:rPr>
        <w:t> </w:t>
      </w:r>
    </w:p>
    <w:p>
      <w:pPr>
        <w:pStyle w:val="BodyText"/>
        <w:spacing w:before="2"/>
        <w:rPr>
          <w:b/>
          <w:sz w:val="18"/>
        </w:rPr>
      </w:pPr>
    </w:p>
    <w:p>
      <w:pPr>
        <w:pStyle w:val="ListParagraph"/>
        <w:numPr>
          <w:ilvl w:val="2"/>
          <w:numId w:val="287"/>
        </w:numPr>
        <w:tabs>
          <w:tab w:pos="1370" w:val="left" w:leader="none"/>
        </w:tabs>
        <w:spacing w:line="240" w:lineRule="auto" w:before="0" w:after="0"/>
        <w:ind w:left="1369" w:right="0" w:hanging="530"/>
        <w:jc w:val="left"/>
        <w:rPr>
          <w:sz w:val="21"/>
        </w:rPr>
      </w:pPr>
      <w:r>
        <w:rPr>
          <w:color w:val="333333"/>
          <w:spacing w:val="-3"/>
          <w:sz w:val="21"/>
        </w:rPr>
        <w:t>下列建筑或场所应设置室内消火栓系统：</w:t>
      </w:r>
      <w:r>
        <w:rPr>
          <w:color w:val="333333"/>
          <w:sz w:val="21"/>
        </w:rPr>
        <w:t> </w:t>
      </w:r>
    </w:p>
    <w:p>
      <w:pPr>
        <w:pStyle w:val="BodyText"/>
        <w:spacing w:before="2"/>
        <w:rPr>
          <w:sz w:val="17"/>
        </w:rPr>
      </w:pPr>
    </w:p>
    <w:p>
      <w:pPr>
        <w:pStyle w:val="BodyText"/>
        <w:ind w:left="838"/>
      </w:pPr>
      <w:r>
        <w:rPr>
          <w:color w:val="333333"/>
          <w:spacing w:val="-9"/>
        </w:rPr>
        <w:t>建筑占地面积大于 </w:t>
      </w:r>
      <w:r>
        <w:rPr>
          <w:color w:val="333333"/>
        </w:rPr>
        <w:t>300m</w:t>
      </w:r>
      <w:r>
        <w:rPr>
          <w:color w:val="333333"/>
          <w:position w:val="11"/>
          <w:sz w:val="11"/>
        </w:rPr>
        <w:t>2</w:t>
      </w:r>
      <w:r>
        <w:rPr>
          <w:color w:val="333333"/>
          <w:spacing w:val="52"/>
          <w:position w:val="11"/>
          <w:sz w:val="11"/>
        </w:rPr>
        <w:t> </w:t>
      </w:r>
      <w:r>
        <w:rPr>
          <w:color w:val="333333"/>
          <w:spacing w:val="-3"/>
        </w:rPr>
        <w:t>的厂房和仓库；</w:t>
      </w:r>
      <w:r>
        <w:rPr>
          <w:color w:val="333333"/>
        </w:rPr>
        <w:t> </w:t>
      </w:r>
    </w:p>
    <w:p>
      <w:pPr>
        <w:pStyle w:val="BodyText"/>
        <w:spacing w:before="12"/>
        <w:rPr>
          <w:sz w:val="17"/>
        </w:rPr>
      </w:pPr>
    </w:p>
    <w:p>
      <w:pPr>
        <w:pStyle w:val="BodyText"/>
        <w:ind w:left="838"/>
      </w:pPr>
      <w:r>
        <w:rPr>
          <w:color w:val="333333"/>
        </w:rPr>
        <w:t>高层公共建筑和建筑高度大于 21m 的住宅建筑； </w:t>
      </w:r>
    </w:p>
    <w:p>
      <w:pPr>
        <w:pStyle w:val="BodyText"/>
        <w:spacing w:before="2"/>
        <w:rPr>
          <w:sz w:val="18"/>
        </w:rPr>
      </w:pPr>
    </w:p>
    <w:p>
      <w:pPr>
        <w:pStyle w:val="BodyText"/>
        <w:spacing w:line="446" w:lineRule="auto"/>
        <w:ind w:left="418" w:right="1498" w:firstLine="419"/>
      </w:pPr>
      <w:r>
        <w:rPr>
          <w:color w:val="333333"/>
        </w:rPr>
        <w:t>注：建筑高度不大于 27m 的住宅建筑，设置室内消火栓系统确有困难时，可只设置干式消防竖管和不带消火栓箱的 DN65 的室内消火栓。 </w:t>
      </w:r>
    </w:p>
    <w:p>
      <w:pPr>
        <w:pStyle w:val="BodyText"/>
        <w:spacing w:line="446" w:lineRule="auto"/>
        <w:ind w:left="418" w:right="1391" w:firstLine="419"/>
      </w:pPr>
      <w:r>
        <w:rPr>
          <w:color w:val="333333"/>
        </w:rPr>
        <w:t>体积大于 5000m3 的车站、码头、机场的候车（船、机）建筑、展览建筑、商店建筑、旅馆建筑、医疗建筑、老年人照料设施和图书馆建筑等单、多层建筑； </w:t>
      </w:r>
    </w:p>
    <w:p>
      <w:pPr>
        <w:pStyle w:val="BodyText"/>
        <w:spacing w:line="446" w:lineRule="auto"/>
        <w:ind w:left="418" w:right="1455" w:firstLine="419"/>
      </w:pPr>
      <w:r>
        <w:rPr>
          <w:color w:val="333333"/>
          <w:spacing w:val="-7"/>
        </w:rPr>
        <w:t>特等、甲等剧场，超过 </w:t>
      </w:r>
      <w:r>
        <w:rPr>
          <w:color w:val="333333"/>
        </w:rPr>
        <w:t>800</w:t>
      </w:r>
      <w:r>
        <w:rPr>
          <w:color w:val="333333"/>
          <w:spacing w:val="-5"/>
        </w:rPr>
        <w:t> 个座位的其他等级的剧场和电影院等以及超过 </w:t>
      </w:r>
      <w:r>
        <w:rPr>
          <w:color w:val="333333"/>
        </w:rPr>
        <w:t>1200</w:t>
      </w:r>
      <w:r>
        <w:rPr>
          <w:color w:val="333333"/>
          <w:spacing w:val="-10"/>
        </w:rPr>
        <w:t> 个座位的礼</w:t>
      </w:r>
      <w:r>
        <w:rPr>
          <w:color w:val="333333"/>
          <w:spacing w:val="-5"/>
        </w:rPr>
        <w:t>堂、体育馆等单、多层建筑；</w:t>
      </w:r>
      <w:r>
        <w:rPr>
          <w:color w:val="333333"/>
        </w:rPr>
        <w:t> </w:t>
      </w:r>
    </w:p>
    <w:p>
      <w:pPr>
        <w:pStyle w:val="BodyText"/>
        <w:spacing w:line="446" w:lineRule="auto"/>
        <w:ind w:left="840" w:right="1349" w:hanging="3"/>
      </w:pPr>
      <w:r>
        <w:rPr>
          <w:color w:val="333333"/>
        </w:rPr>
        <w:t>建筑高度大于 15m 或体积大于 10000m</w:t>
      </w:r>
      <w:r>
        <w:rPr>
          <w:color w:val="333333"/>
          <w:position w:val="11"/>
          <w:sz w:val="11"/>
        </w:rPr>
        <w:t>3</w:t>
      </w:r>
      <w:r>
        <w:rPr>
          <w:color w:val="333333"/>
          <w:sz w:val="11"/>
        </w:rPr>
        <w:t> </w:t>
      </w:r>
      <w:r>
        <w:rPr>
          <w:color w:val="333333"/>
        </w:rPr>
        <w:t>的办公建筑、教学建筑和其他单、多层民用建筑。</w:t>
      </w:r>
      <w:r>
        <w:rPr>
          <w:b/>
          <w:color w:val="333333"/>
        </w:rPr>
        <w:t>8.2.2 </w:t>
      </w:r>
      <w:r>
        <w:rPr>
          <w:color w:val="333333"/>
        </w:rPr>
        <w:t>本规范第 8.2.1 条未规定的建筑或场所和符合本规范第 8.2.1 条规定的下列建筑或</w:t>
      </w:r>
    </w:p>
    <w:p>
      <w:pPr>
        <w:pStyle w:val="BodyText"/>
        <w:spacing w:line="446" w:lineRule="auto"/>
        <w:ind w:left="838" w:right="3186" w:hanging="420"/>
      </w:pPr>
      <w:r>
        <w:rPr>
          <w:color w:val="333333"/>
          <w:spacing w:val="-3"/>
        </w:rPr>
        <w:t>场所，可不设置室内消火栓系统，但宜设置消防软管卷盘或轻便消防水龙： 耐火等级为一、二级且可燃物较少的单、多层丁、戊类厂房（</w:t>
      </w:r>
      <w:r>
        <w:rPr>
          <w:color w:val="333333"/>
          <w:spacing w:val="-2"/>
        </w:rPr>
        <w:t>仓库</w:t>
      </w:r>
      <w:r>
        <w:rPr>
          <w:color w:val="333333"/>
        </w:rPr>
        <w:t>）； </w:t>
      </w:r>
    </w:p>
    <w:p>
      <w:pPr>
        <w:spacing w:after="0" w:line="446" w:lineRule="auto"/>
        <w:sectPr>
          <w:pgSz w:w="11910" w:h="16850"/>
          <w:pgMar w:header="0" w:footer="1239" w:top="1220" w:bottom="1420" w:left="1260" w:right="0"/>
        </w:sectPr>
      </w:pPr>
    </w:p>
    <w:p>
      <w:pPr>
        <w:pStyle w:val="BodyText"/>
        <w:spacing w:line="436" w:lineRule="auto" w:before="57"/>
        <w:ind w:left="418" w:right="1506" w:firstLine="419"/>
      </w:pPr>
      <w:r>
        <w:rPr>
          <w:color w:val="333333"/>
        </w:rPr>
        <w:t>耐火等级为三、四级且建筑体积不大于 3000m</w:t>
      </w:r>
      <w:r>
        <w:rPr>
          <w:color w:val="333333"/>
          <w:position w:val="11"/>
          <w:sz w:val="11"/>
        </w:rPr>
        <w:t>3 </w:t>
      </w:r>
      <w:r>
        <w:rPr>
          <w:color w:val="333333"/>
        </w:rPr>
        <w:t>的丁类厂房；耐火等级为三、四级且建筑体积不大于 5000m</w:t>
      </w:r>
      <w:r>
        <w:rPr>
          <w:color w:val="333333"/>
          <w:position w:val="11"/>
          <w:sz w:val="11"/>
        </w:rPr>
        <w:t>3 </w:t>
      </w:r>
      <w:r>
        <w:rPr>
          <w:color w:val="333333"/>
        </w:rPr>
        <w:t>的戊类厂房（仓库）； </w:t>
      </w:r>
    </w:p>
    <w:p>
      <w:pPr>
        <w:pStyle w:val="BodyText"/>
        <w:spacing w:line="446" w:lineRule="auto" w:before="10"/>
        <w:ind w:left="838" w:right="4866"/>
      </w:pPr>
      <w:r>
        <w:rPr>
          <w:color w:val="333333"/>
        </w:rPr>
        <w:t>粮食仓库、金库、远离城镇且无人值班的独立建筑； 存有与水接触能引起燃烧爆炸的物品的建筑； </w:t>
      </w:r>
    </w:p>
    <w:p>
      <w:pPr>
        <w:pStyle w:val="BodyText"/>
        <w:spacing w:line="446" w:lineRule="auto"/>
        <w:ind w:left="418" w:right="1608" w:firstLine="419"/>
      </w:pPr>
      <w:r>
        <w:rPr>
          <w:color w:val="333333"/>
          <w:spacing w:val="-5"/>
        </w:rPr>
        <w:t>室内无生产、生活给水管道，室外消防用水取自储水池且建筑体积不大于 </w:t>
      </w:r>
      <w:r>
        <w:rPr>
          <w:color w:val="333333"/>
        </w:rPr>
        <w:t>5000m</w:t>
      </w:r>
      <w:r>
        <w:rPr>
          <w:color w:val="333333"/>
          <w:position w:val="11"/>
          <w:sz w:val="11"/>
        </w:rPr>
        <w:t>3</w:t>
      </w:r>
      <w:r>
        <w:rPr>
          <w:color w:val="333333"/>
          <w:sz w:val="11"/>
        </w:rPr>
        <w:t> </w:t>
      </w:r>
      <w:r>
        <w:rPr>
          <w:color w:val="333333"/>
          <w:spacing w:val="-2"/>
        </w:rPr>
        <w:t>的其他</w:t>
      </w:r>
      <w:r>
        <w:rPr>
          <w:color w:val="333333"/>
          <w:spacing w:val="-3"/>
        </w:rPr>
        <w:t>建筑。</w:t>
      </w:r>
      <w:r>
        <w:rPr>
          <w:color w:val="333333"/>
        </w:rPr>
        <w:t> </w:t>
      </w:r>
    </w:p>
    <w:p>
      <w:pPr>
        <w:pStyle w:val="ListParagraph"/>
        <w:numPr>
          <w:ilvl w:val="2"/>
          <w:numId w:val="288"/>
        </w:numPr>
        <w:tabs>
          <w:tab w:pos="1370" w:val="left" w:leader="none"/>
        </w:tabs>
        <w:spacing w:line="240" w:lineRule="auto" w:before="0" w:after="0"/>
        <w:ind w:left="1369" w:right="0" w:hanging="530"/>
        <w:jc w:val="left"/>
        <w:rPr>
          <w:sz w:val="21"/>
        </w:rPr>
      </w:pPr>
      <w:r>
        <w:rPr>
          <w:color w:val="333333"/>
          <w:spacing w:val="-3"/>
          <w:sz w:val="21"/>
        </w:rPr>
        <w:t>国家级文物保护单位的重点砖木或木结构的古建筑，宜设置室内消火栓系统。</w:t>
      </w:r>
      <w:r>
        <w:rPr>
          <w:color w:val="333333"/>
          <w:sz w:val="21"/>
        </w:rPr>
        <w:t> </w:t>
      </w:r>
    </w:p>
    <w:p>
      <w:pPr>
        <w:pStyle w:val="BodyText"/>
        <w:spacing w:before="5"/>
        <w:rPr>
          <w:sz w:val="16"/>
        </w:rPr>
      </w:pPr>
    </w:p>
    <w:p>
      <w:pPr>
        <w:pStyle w:val="ListParagraph"/>
        <w:numPr>
          <w:ilvl w:val="2"/>
          <w:numId w:val="288"/>
        </w:numPr>
        <w:tabs>
          <w:tab w:pos="1370" w:val="left" w:leader="none"/>
        </w:tabs>
        <w:spacing w:line="446" w:lineRule="auto" w:before="0" w:after="0"/>
        <w:ind w:left="418" w:right="1575" w:firstLine="422"/>
        <w:jc w:val="left"/>
        <w:rPr>
          <w:sz w:val="21"/>
        </w:rPr>
      </w:pPr>
      <w:r>
        <w:rPr>
          <w:color w:val="333333"/>
          <w:spacing w:val="-6"/>
          <w:sz w:val="21"/>
        </w:rPr>
        <w:t>人员密集的公共建筑、建筑高度大于 </w:t>
      </w:r>
      <w:r>
        <w:rPr>
          <w:color w:val="333333"/>
          <w:sz w:val="21"/>
        </w:rPr>
        <w:t>100m</w:t>
      </w:r>
      <w:r>
        <w:rPr>
          <w:color w:val="333333"/>
          <w:spacing w:val="-12"/>
          <w:sz w:val="21"/>
        </w:rPr>
        <w:t> 的建筑和建筑面积大于 </w:t>
      </w:r>
      <w:r>
        <w:rPr>
          <w:color w:val="333333"/>
          <w:sz w:val="21"/>
        </w:rPr>
        <w:t>200m</w:t>
      </w:r>
      <w:r>
        <w:rPr>
          <w:color w:val="333333"/>
          <w:position w:val="11"/>
          <w:sz w:val="11"/>
        </w:rPr>
        <w:t>2</w:t>
      </w:r>
      <w:r>
        <w:rPr>
          <w:color w:val="333333"/>
          <w:spacing w:val="-26"/>
          <w:position w:val="11"/>
          <w:sz w:val="11"/>
        </w:rPr>
        <w:t> </w:t>
      </w:r>
      <w:r>
        <w:rPr>
          <w:color w:val="333333"/>
          <w:spacing w:val="-1"/>
          <w:sz w:val="21"/>
        </w:rPr>
        <w:t>的商业服务</w:t>
      </w:r>
      <w:r>
        <w:rPr>
          <w:color w:val="333333"/>
          <w:spacing w:val="-3"/>
          <w:sz w:val="21"/>
        </w:rPr>
        <w:t>网点内应设置消防软管卷盘或轻便消防水龙。高层住宅建筑的户内宜配置轻便消防水龙。</w:t>
      </w:r>
      <w:r>
        <w:rPr>
          <w:color w:val="333333"/>
          <w:sz w:val="21"/>
        </w:rPr>
        <w:t> </w:t>
      </w:r>
    </w:p>
    <w:p>
      <w:pPr>
        <w:pStyle w:val="BodyText"/>
        <w:spacing w:line="446" w:lineRule="auto"/>
        <w:ind w:left="418" w:right="1609" w:firstLine="419"/>
      </w:pPr>
      <w:r>
        <w:rPr>
          <w:color w:val="333333"/>
        </w:rPr>
        <w:t>老年人照料设施内应设置与室内供水系统直接连接的消防软管卷盘，消防软管卷盘的设置间距不应大于 30.0m。 </w:t>
      </w:r>
    </w:p>
    <w:p>
      <w:pPr>
        <w:pStyle w:val="ListParagraph"/>
        <w:numPr>
          <w:ilvl w:val="1"/>
          <w:numId w:val="287"/>
        </w:numPr>
        <w:tabs>
          <w:tab w:pos="1159" w:val="left" w:leader="none"/>
        </w:tabs>
        <w:spacing w:line="267" w:lineRule="exact" w:before="0" w:after="0"/>
        <w:ind w:left="1158" w:right="0" w:hanging="319"/>
        <w:jc w:val="left"/>
        <w:rPr>
          <w:sz w:val="21"/>
        </w:rPr>
      </w:pPr>
      <w:r>
        <w:rPr>
          <w:spacing w:val="-3"/>
          <w:sz w:val="21"/>
        </w:rPr>
        <w:t>自动灭火系统</w:t>
      </w:r>
      <w:r>
        <w:rPr>
          <w:sz w:val="21"/>
        </w:rPr>
        <w:t> </w:t>
      </w:r>
    </w:p>
    <w:p>
      <w:pPr>
        <w:pStyle w:val="BodyText"/>
        <w:spacing w:before="2"/>
        <w:rPr>
          <w:sz w:val="18"/>
        </w:rPr>
      </w:pPr>
    </w:p>
    <w:p>
      <w:pPr>
        <w:pStyle w:val="ListParagraph"/>
        <w:numPr>
          <w:ilvl w:val="2"/>
          <w:numId w:val="287"/>
        </w:numPr>
        <w:tabs>
          <w:tab w:pos="1370" w:val="left" w:leader="none"/>
        </w:tabs>
        <w:spacing w:line="446" w:lineRule="auto" w:before="0" w:after="0"/>
        <w:ind w:left="418" w:right="1604" w:firstLine="422"/>
        <w:jc w:val="left"/>
        <w:rPr>
          <w:sz w:val="21"/>
        </w:rPr>
      </w:pPr>
      <w:r>
        <w:rPr>
          <w:color w:val="333333"/>
          <w:spacing w:val="-3"/>
          <w:sz w:val="21"/>
        </w:rPr>
        <w:t>除本规范另有规定和不宜用水保护或灭火的场所外，下列厂房或生产部位应设置自动灭火系统，并宜采用自动喷水灭火系统：</w:t>
      </w:r>
      <w:r>
        <w:rPr>
          <w:color w:val="333333"/>
          <w:sz w:val="21"/>
        </w:rPr>
        <w:t> </w:t>
      </w:r>
    </w:p>
    <w:p>
      <w:pPr>
        <w:pStyle w:val="BodyText"/>
        <w:spacing w:line="446" w:lineRule="auto"/>
        <w:ind w:left="418" w:right="1714" w:firstLine="419"/>
      </w:pPr>
      <w:r>
        <w:rPr>
          <w:color w:val="333333"/>
          <w:spacing w:val="-13"/>
        </w:rPr>
        <w:t>不小于 </w:t>
      </w:r>
      <w:r>
        <w:rPr>
          <w:color w:val="333333"/>
        </w:rPr>
        <w:t>50000</w:t>
      </w:r>
      <w:r>
        <w:rPr>
          <w:color w:val="333333"/>
          <w:spacing w:val="-10"/>
        </w:rPr>
        <w:t> 纱锭的棉纺厂的开包、清花车间，不小于 </w:t>
      </w:r>
      <w:r>
        <w:rPr>
          <w:color w:val="333333"/>
        </w:rPr>
        <w:t>5000</w:t>
      </w:r>
      <w:r>
        <w:rPr>
          <w:color w:val="333333"/>
          <w:spacing w:val="-8"/>
        </w:rPr>
        <w:t> 锭的麻纺厂的分级、梳麻车</w:t>
      </w:r>
      <w:r>
        <w:rPr>
          <w:color w:val="333333"/>
          <w:spacing w:val="-5"/>
        </w:rPr>
        <w:t>间，火柴厂的烤梗、筛选部位；</w:t>
      </w:r>
      <w:r>
        <w:rPr>
          <w:color w:val="333333"/>
        </w:rPr>
        <w:t> </w:t>
      </w:r>
    </w:p>
    <w:p>
      <w:pPr>
        <w:pStyle w:val="BodyText"/>
        <w:spacing w:line="446" w:lineRule="auto"/>
        <w:ind w:left="418" w:right="1577" w:firstLine="419"/>
      </w:pPr>
      <w:r>
        <w:rPr>
          <w:color w:val="333333"/>
          <w:spacing w:val="-9"/>
        </w:rPr>
        <w:t>占地面积大于 </w:t>
      </w:r>
      <w:r>
        <w:rPr>
          <w:color w:val="333333"/>
        </w:rPr>
        <w:t>1500m</w:t>
      </w:r>
      <w:r>
        <w:rPr>
          <w:color w:val="333333"/>
          <w:position w:val="11"/>
          <w:sz w:val="11"/>
        </w:rPr>
        <w:t>2</w:t>
      </w:r>
      <w:r>
        <w:rPr>
          <w:color w:val="333333"/>
          <w:sz w:val="11"/>
        </w:rPr>
        <w:t> </w:t>
      </w:r>
      <w:r>
        <w:rPr>
          <w:color w:val="333333"/>
          <w:spacing w:val="-8"/>
        </w:rPr>
        <w:t>或总建筑面积大于 </w:t>
      </w:r>
      <w:r>
        <w:rPr>
          <w:color w:val="333333"/>
        </w:rPr>
        <w:t>3000m</w:t>
      </w:r>
      <w:r>
        <w:rPr>
          <w:color w:val="333333"/>
          <w:position w:val="11"/>
          <w:sz w:val="11"/>
        </w:rPr>
        <w:t>2 </w:t>
      </w:r>
      <w:r>
        <w:rPr>
          <w:color w:val="333333"/>
          <w:spacing w:val="-3"/>
        </w:rPr>
        <w:t>的单、多层制鞋、制衣、玩具及电子等类似生产的厂房；</w:t>
      </w:r>
      <w:r>
        <w:rPr>
          <w:color w:val="333333"/>
        </w:rPr>
        <w:t> </w:t>
      </w:r>
    </w:p>
    <w:p>
      <w:pPr>
        <w:pStyle w:val="BodyText"/>
        <w:spacing w:line="269" w:lineRule="exact"/>
        <w:ind w:left="838"/>
      </w:pPr>
      <w:r>
        <w:rPr>
          <w:color w:val="333333"/>
        </w:rPr>
        <w:t>占地面积大于 1500m</w:t>
      </w:r>
      <w:r>
        <w:rPr>
          <w:color w:val="333333"/>
          <w:position w:val="11"/>
          <w:sz w:val="11"/>
        </w:rPr>
        <w:t>2</w:t>
      </w:r>
      <w:r>
        <w:rPr>
          <w:color w:val="333333"/>
          <w:sz w:val="11"/>
        </w:rPr>
        <w:t> </w:t>
      </w:r>
      <w:r>
        <w:rPr>
          <w:color w:val="333333"/>
        </w:rPr>
        <w:t>的木器厂房； </w:t>
      </w:r>
    </w:p>
    <w:p>
      <w:pPr>
        <w:pStyle w:val="BodyText"/>
        <w:spacing w:before="1"/>
        <w:rPr>
          <w:sz w:val="17"/>
        </w:rPr>
      </w:pPr>
    </w:p>
    <w:p>
      <w:pPr>
        <w:pStyle w:val="BodyText"/>
        <w:spacing w:line="446" w:lineRule="auto"/>
        <w:ind w:left="838" w:right="5497"/>
      </w:pPr>
      <w:r>
        <w:rPr>
          <w:color w:val="333333"/>
        </w:rPr>
        <w:t>泡沫塑料厂的预发、成型、切片、压花部位； 高层乙、丙类厂房； </w:t>
      </w:r>
    </w:p>
    <w:p>
      <w:pPr>
        <w:pStyle w:val="BodyText"/>
        <w:spacing w:line="269" w:lineRule="exact"/>
        <w:ind w:left="838"/>
      </w:pPr>
      <w:r>
        <w:rPr>
          <w:color w:val="333333"/>
        </w:rPr>
        <w:t>建筑面积大于 500m</w:t>
      </w:r>
      <w:r>
        <w:rPr>
          <w:color w:val="333333"/>
          <w:position w:val="11"/>
          <w:sz w:val="11"/>
        </w:rPr>
        <w:t>2</w:t>
      </w:r>
      <w:r>
        <w:rPr>
          <w:color w:val="333333"/>
          <w:sz w:val="11"/>
        </w:rPr>
        <w:t> </w:t>
      </w:r>
      <w:r>
        <w:rPr>
          <w:color w:val="333333"/>
        </w:rPr>
        <w:t>的地下或半地下丙类厂房。 </w:t>
      </w:r>
    </w:p>
    <w:p>
      <w:pPr>
        <w:pStyle w:val="BodyText"/>
        <w:spacing w:before="12"/>
        <w:rPr>
          <w:sz w:val="17"/>
        </w:rPr>
      </w:pPr>
    </w:p>
    <w:p>
      <w:pPr>
        <w:pStyle w:val="ListParagraph"/>
        <w:numPr>
          <w:ilvl w:val="2"/>
          <w:numId w:val="287"/>
        </w:numPr>
        <w:tabs>
          <w:tab w:pos="1370" w:val="left" w:leader="none"/>
        </w:tabs>
        <w:spacing w:line="446" w:lineRule="auto" w:before="0" w:after="0"/>
        <w:ind w:left="418" w:right="1812" w:firstLine="422"/>
        <w:jc w:val="left"/>
        <w:rPr>
          <w:sz w:val="21"/>
        </w:rPr>
      </w:pPr>
      <w:r>
        <w:rPr>
          <w:color w:val="333333"/>
          <w:spacing w:val="-3"/>
          <w:sz w:val="21"/>
        </w:rPr>
        <w:t>除本规范另有规定和不宜用水保护或灭火的仓库外，下列仓库应设置自动灭火系统，并宜采用自动喷水灭火系统：</w:t>
      </w:r>
      <w:r>
        <w:rPr>
          <w:color w:val="333333"/>
          <w:sz w:val="21"/>
        </w:rPr>
        <w:t> </w:t>
      </w:r>
    </w:p>
    <w:p>
      <w:pPr>
        <w:pStyle w:val="BodyText"/>
        <w:spacing w:line="436" w:lineRule="auto"/>
        <w:ind w:left="838" w:right="2552"/>
      </w:pPr>
      <w:r>
        <w:rPr>
          <w:color w:val="333333"/>
          <w:spacing w:val="-8"/>
        </w:rPr>
        <w:t>每座占地面积大于 </w:t>
      </w:r>
      <w:r>
        <w:rPr>
          <w:color w:val="333333"/>
        </w:rPr>
        <w:t>1000m</w:t>
      </w:r>
      <w:r>
        <w:rPr>
          <w:color w:val="333333"/>
          <w:position w:val="11"/>
          <w:sz w:val="11"/>
        </w:rPr>
        <w:t>2</w:t>
      </w:r>
      <w:r>
        <w:rPr>
          <w:color w:val="333333"/>
          <w:sz w:val="11"/>
        </w:rPr>
        <w:t> </w:t>
      </w:r>
      <w:r>
        <w:rPr>
          <w:color w:val="333333"/>
          <w:spacing w:val="-3"/>
        </w:rPr>
        <w:t>的棉、毛、丝、麻、化纤、毛皮及其制品的仓库； </w:t>
      </w:r>
      <w:r>
        <w:rPr>
          <w:color w:val="333333"/>
          <w:spacing w:val="-6"/>
        </w:rPr>
        <w:t>注：单层占地面积不大于 </w:t>
      </w:r>
      <w:r>
        <w:rPr>
          <w:color w:val="333333"/>
        </w:rPr>
        <w:t>2000m</w:t>
      </w:r>
      <w:r>
        <w:rPr>
          <w:color w:val="333333"/>
          <w:position w:val="11"/>
          <w:sz w:val="11"/>
        </w:rPr>
        <w:t>2</w:t>
      </w:r>
      <w:r>
        <w:rPr>
          <w:color w:val="333333"/>
          <w:spacing w:val="14"/>
          <w:position w:val="11"/>
          <w:sz w:val="11"/>
        </w:rPr>
        <w:t>  </w:t>
      </w:r>
      <w:r>
        <w:rPr>
          <w:color w:val="333333"/>
          <w:spacing w:val="-3"/>
        </w:rPr>
        <w:t>的棉花库房，可不设置自动喷水灭火系统。</w:t>
      </w:r>
      <w:r>
        <w:rPr>
          <w:color w:val="333333"/>
          <w:spacing w:val="-9"/>
        </w:rPr>
        <w:t>每座占地面积大于 </w:t>
      </w:r>
      <w:r>
        <w:rPr>
          <w:color w:val="333333"/>
        </w:rPr>
        <w:t>600m</w:t>
      </w:r>
      <w:r>
        <w:rPr>
          <w:color w:val="333333"/>
          <w:position w:val="11"/>
          <w:sz w:val="11"/>
        </w:rPr>
        <w:t>2</w:t>
      </w:r>
      <w:r>
        <w:rPr>
          <w:color w:val="333333"/>
          <w:sz w:val="11"/>
        </w:rPr>
        <w:t> </w:t>
      </w:r>
      <w:r>
        <w:rPr>
          <w:color w:val="333333"/>
          <w:spacing w:val="-3"/>
        </w:rPr>
        <w:t>的火柴仓库；</w:t>
      </w:r>
      <w:r>
        <w:rPr>
          <w:color w:val="333333"/>
        </w:rPr>
        <w:t> </w:t>
      </w:r>
    </w:p>
    <w:p>
      <w:pPr>
        <w:pStyle w:val="BodyText"/>
        <w:ind w:left="838"/>
      </w:pPr>
      <w:r>
        <w:rPr>
          <w:color w:val="333333"/>
        </w:rPr>
        <w:t>邮政建筑内建筑面积大于 500m</w:t>
      </w:r>
      <w:r>
        <w:rPr>
          <w:color w:val="333333"/>
          <w:position w:val="11"/>
          <w:sz w:val="11"/>
        </w:rPr>
        <w:t>2</w:t>
      </w:r>
      <w:r>
        <w:rPr>
          <w:color w:val="333333"/>
          <w:sz w:val="11"/>
        </w:rPr>
        <w:t> </w:t>
      </w:r>
      <w:r>
        <w:rPr>
          <w:color w:val="333333"/>
        </w:rPr>
        <w:t>的空邮袋库； </w:t>
      </w:r>
    </w:p>
    <w:p>
      <w:pPr>
        <w:spacing w:after="0"/>
        <w:sectPr>
          <w:footerReference w:type="default" r:id="rId156"/>
          <w:pgSz w:w="11910" w:h="16850"/>
          <w:pgMar w:footer="1239" w:header="0" w:top="1200" w:bottom="1420" w:left="1260" w:right="0"/>
          <w:pgNumType w:start="1040"/>
        </w:sectPr>
      </w:pPr>
    </w:p>
    <w:p>
      <w:pPr>
        <w:pStyle w:val="BodyText"/>
        <w:spacing w:before="47"/>
        <w:ind w:left="838"/>
      </w:pPr>
      <w:r>
        <w:rPr>
          <w:color w:val="333333"/>
        </w:rPr>
        <w:t>可燃、难燃物品的高架仓库和高层仓库； </w:t>
      </w:r>
    </w:p>
    <w:p>
      <w:pPr>
        <w:pStyle w:val="BodyText"/>
        <w:spacing w:before="3"/>
        <w:rPr>
          <w:sz w:val="17"/>
        </w:rPr>
      </w:pPr>
    </w:p>
    <w:p>
      <w:pPr>
        <w:pStyle w:val="BodyText"/>
        <w:spacing w:line="446" w:lineRule="auto"/>
        <w:ind w:left="418" w:right="1500" w:firstLine="419"/>
      </w:pPr>
      <w:r>
        <w:rPr>
          <w:color w:val="333333"/>
          <w:spacing w:val="-9"/>
        </w:rPr>
        <w:t>设计温度高于 </w:t>
      </w:r>
      <w:r>
        <w:rPr>
          <w:color w:val="333333"/>
        </w:rPr>
        <w:t>0</w:t>
      </w:r>
      <w:r>
        <w:rPr>
          <w:color w:val="333333"/>
          <w:spacing w:val="-7"/>
        </w:rPr>
        <w:t>℃的高架冷库，设计温度高于 </w:t>
      </w:r>
      <w:r>
        <w:rPr>
          <w:color w:val="333333"/>
        </w:rPr>
        <w:t>0</w:t>
      </w:r>
      <w:r>
        <w:rPr>
          <w:color w:val="333333"/>
          <w:spacing w:val="-7"/>
        </w:rPr>
        <w:t>℃且每个防火分区建筑面积大于 </w:t>
      </w:r>
      <w:r>
        <w:rPr>
          <w:color w:val="333333"/>
        </w:rPr>
        <w:t>1500m</w:t>
      </w:r>
      <w:r>
        <w:rPr>
          <w:color w:val="333333"/>
          <w:position w:val="11"/>
          <w:sz w:val="11"/>
        </w:rPr>
        <w:t>2</w:t>
      </w:r>
      <w:r>
        <w:rPr>
          <w:color w:val="333333"/>
          <w:sz w:val="11"/>
        </w:rPr>
        <w:t> </w:t>
      </w:r>
      <w:r>
        <w:rPr>
          <w:color w:val="333333"/>
        </w:rPr>
        <w:t>的</w:t>
      </w:r>
      <w:r>
        <w:rPr>
          <w:color w:val="333333"/>
          <w:spacing w:val="-3"/>
        </w:rPr>
        <w:t>非高架冷库；</w:t>
      </w:r>
      <w:r>
        <w:rPr>
          <w:color w:val="333333"/>
        </w:rPr>
        <w:t> </w:t>
      </w:r>
    </w:p>
    <w:p>
      <w:pPr>
        <w:pStyle w:val="BodyText"/>
        <w:spacing w:line="269" w:lineRule="exact"/>
        <w:ind w:left="838"/>
      </w:pPr>
      <w:r>
        <w:rPr>
          <w:color w:val="333333"/>
          <w:w w:val="100"/>
        </w:rPr>
        <w:t> </w:t>
      </w:r>
      <w:r>
        <w:rPr>
          <w:color w:val="333333"/>
        </w:rPr>
        <w:t>总建筑面积大于 500m</w:t>
      </w:r>
      <w:r>
        <w:rPr>
          <w:color w:val="333333"/>
          <w:position w:val="11"/>
          <w:sz w:val="11"/>
        </w:rPr>
        <w:t>2</w:t>
      </w:r>
      <w:r>
        <w:rPr>
          <w:color w:val="333333"/>
          <w:sz w:val="11"/>
        </w:rPr>
        <w:t> </w:t>
      </w:r>
      <w:r>
        <w:rPr>
          <w:color w:val="333333"/>
        </w:rPr>
        <w:t>的可燃物品地下仓库； </w:t>
      </w:r>
    </w:p>
    <w:p>
      <w:pPr>
        <w:pStyle w:val="BodyText"/>
        <w:spacing w:before="2"/>
        <w:rPr>
          <w:sz w:val="17"/>
        </w:rPr>
      </w:pPr>
    </w:p>
    <w:p>
      <w:pPr>
        <w:pStyle w:val="BodyText"/>
        <w:spacing w:line="446" w:lineRule="auto"/>
        <w:ind w:left="840" w:right="1604" w:hanging="3"/>
      </w:pPr>
      <w:r>
        <w:rPr>
          <w:color w:val="333333"/>
          <w:w w:val="100"/>
        </w:rPr>
        <w:t> </w:t>
      </w:r>
      <w:r>
        <w:rPr>
          <w:color w:val="333333"/>
        </w:rPr>
        <w:t>每座占地面积大于 1500m</w:t>
      </w:r>
      <w:r>
        <w:rPr>
          <w:color w:val="333333"/>
          <w:position w:val="11"/>
          <w:sz w:val="11"/>
        </w:rPr>
        <w:t>2 </w:t>
      </w:r>
      <w:r>
        <w:rPr>
          <w:color w:val="333333"/>
        </w:rPr>
        <w:t>或总建筑面积大于 3000m</w:t>
      </w:r>
      <w:r>
        <w:rPr>
          <w:color w:val="333333"/>
          <w:position w:val="11"/>
          <w:sz w:val="11"/>
        </w:rPr>
        <w:t>2 </w:t>
      </w:r>
      <w:r>
        <w:rPr>
          <w:color w:val="333333"/>
        </w:rPr>
        <w:t>的其他单层或多层丙类物品仓库。</w:t>
      </w:r>
      <w:r>
        <w:rPr>
          <w:b/>
          <w:color w:val="333333"/>
        </w:rPr>
        <w:t>8.3.3 </w:t>
      </w:r>
      <w:r>
        <w:rPr>
          <w:color w:val="333333"/>
        </w:rPr>
        <w:t>除本规范另有规定和不宜用水保护或灭火的场所外，下列高层民用建筑或场所应设</w:t>
      </w:r>
    </w:p>
    <w:p>
      <w:pPr>
        <w:pStyle w:val="BodyText"/>
        <w:ind w:left="418"/>
      </w:pPr>
      <w:r>
        <w:rPr>
          <w:color w:val="333333"/>
        </w:rPr>
        <w:t>置自动灭火系统，并宜采用自动喷水灭火系统： </w:t>
      </w:r>
    </w:p>
    <w:p>
      <w:pPr>
        <w:pStyle w:val="BodyText"/>
        <w:rPr>
          <w:sz w:val="18"/>
        </w:rPr>
      </w:pPr>
    </w:p>
    <w:p>
      <w:pPr>
        <w:pStyle w:val="BodyText"/>
        <w:ind w:left="838"/>
      </w:pPr>
      <w:r>
        <w:rPr>
          <w:color w:val="333333"/>
        </w:rPr>
        <w:t>一类高层公共建筑（除游泳池、溜冰场外）及其地下、半地下室； </w:t>
      </w:r>
    </w:p>
    <w:p>
      <w:pPr>
        <w:pStyle w:val="BodyText"/>
        <w:rPr>
          <w:sz w:val="18"/>
        </w:rPr>
      </w:pPr>
    </w:p>
    <w:p>
      <w:pPr>
        <w:pStyle w:val="BodyText"/>
        <w:spacing w:line="446" w:lineRule="auto"/>
        <w:ind w:left="418" w:right="1609" w:firstLine="419"/>
      </w:pPr>
      <w:r>
        <w:rPr>
          <w:color w:val="333333"/>
        </w:rPr>
        <w:t>二类高层公共建筑及其地下、半地下室的公共活动用房、走道、办公室和旅馆的客房、可燃物品库房、自动扶梯底部； </w:t>
      </w:r>
    </w:p>
    <w:p>
      <w:pPr>
        <w:pStyle w:val="BodyText"/>
        <w:spacing w:line="446" w:lineRule="auto"/>
        <w:ind w:left="838" w:right="5709"/>
      </w:pPr>
      <w:r>
        <w:rPr>
          <w:color w:val="333333"/>
        </w:rPr>
        <w:t>高层民用建筑内的歌舞娱乐放映游艺场所； 建筑高度大于 100m 的住宅建筑。 </w:t>
      </w:r>
    </w:p>
    <w:p>
      <w:pPr>
        <w:pStyle w:val="BodyText"/>
        <w:rPr>
          <w:sz w:val="20"/>
        </w:rPr>
      </w:pPr>
    </w:p>
    <w:p>
      <w:pPr>
        <w:pStyle w:val="BodyText"/>
        <w:spacing w:before="12"/>
        <w:rPr>
          <w:sz w:val="18"/>
        </w:rPr>
      </w:pPr>
    </w:p>
    <w:p>
      <w:pPr>
        <w:pStyle w:val="ListParagraph"/>
        <w:numPr>
          <w:ilvl w:val="2"/>
          <w:numId w:val="289"/>
        </w:numPr>
        <w:tabs>
          <w:tab w:pos="1371" w:val="left" w:leader="none"/>
        </w:tabs>
        <w:spacing w:line="446" w:lineRule="auto" w:before="0" w:after="0"/>
        <w:ind w:left="418" w:right="1604" w:firstLine="422"/>
        <w:jc w:val="left"/>
        <w:rPr>
          <w:sz w:val="21"/>
        </w:rPr>
      </w:pPr>
      <w:r>
        <w:rPr>
          <w:color w:val="333333"/>
          <w:spacing w:val="-3"/>
          <w:sz w:val="21"/>
        </w:rPr>
        <w:t>除本规范另有规定和不宜用水保护或灭火的场所外，下列单、多层民用建筑或场所应设置自动灭火系统，并宜采用自动喷水灭火系统： </w:t>
      </w:r>
    </w:p>
    <w:p>
      <w:pPr>
        <w:pStyle w:val="BodyText"/>
        <w:ind w:left="838"/>
      </w:pPr>
      <w:r>
        <w:rPr>
          <w:color w:val="333333"/>
          <w:w w:val="100"/>
        </w:rPr>
        <w:t> </w:t>
      </w:r>
      <w:r>
        <w:rPr>
          <w:color w:val="333333"/>
        </w:rPr>
        <w:t>特等、甲等剧场，超过 1500 个座位的其他等级的剧场，超过 2000 个座位的会堂或礼堂，</w:t>
      </w:r>
    </w:p>
    <w:p>
      <w:pPr>
        <w:pStyle w:val="BodyText"/>
        <w:rPr>
          <w:sz w:val="18"/>
        </w:rPr>
      </w:pPr>
    </w:p>
    <w:p>
      <w:pPr>
        <w:pStyle w:val="BodyText"/>
        <w:ind w:left="418"/>
      </w:pPr>
      <w:r>
        <w:rPr>
          <w:color w:val="333333"/>
        </w:rPr>
        <w:t>超过 3000 个座位的体育馆，超过 5000 人的体育场的室内人员休息室与器材间等； </w:t>
      </w:r>
    </w:p>
    <w:p>
      <w:pPr>
        <w:pStyle w:val="BodyText"/>
        <w:spacing w:before="2"/>
        <w:rPr>
          <w:sz w:val="17"/>
        </w:rPr>
      </w:pPr>
    </w:p>
    <w:p>
      <w:pPr>
        <w:pStyle w:val="BodyText"/>
        <w:spacing w:line="446" w:lineRule="auto"/>
        <w:ind w:left="418" w:right="1608" w:firstLine="419"/>
      </w:pPr>
      <w:r>
        <w:rPr>
          <w:color w:val="333333"/>
          <w:spacing w:val="-8"/>
        </w:rPr>
        <w:t>任一层建筑面积大于 </w:t>
      </w:r>
      <w:r>
        <w:rPr>
          <w:color w:val="333333"/>
        </w:rPr>
        <w:t>1500m</w:t>
      </w:r>
      <w:r>
        <w:rPr>
          <w:color w:val="333333"/>
          <w:position w:val="11"/>
          <w:sz w:val="11"/>
        </w:rPr>
        <w:t>2</w:t>
      </w:r>
      <w:r>
        <w:rPr>
          <w:color w:val="333333"/>
          <w:spacing w:val="1"/>
          <w:sz w:val="11"/>
        </w:rPr>
        <w:t>  </w:t>
      </w:r>
      <w:r>
        <w:rPr>
          <w:color w:val="333333"/>
          <w:spacing w:val="-9"/>
        </w:rPr>
        <w:t>或总建筑面积大于 </w:t>
      </w:r>
      <w:r>
        <w:rPr>
          <w:color w:val="333333"/>
        </w:rPr>
        <w:t>3000m</w:t>
      </w:r>
      <w:r>
        <w:rPr>
          <w:color w:val="333333"/>
          <w:position w:val="11"/>
          <w:sz w:val="11"/>
        </w:rPr>
        <w:t>2</w:t>
      </w:r>
      <w:r>
        <w:rPr>
          <w:color w:val="333333"/>
          <w:sz w:val="11"/>
        </w:rPr>
        <w:t>   </w:t>
      </w:r>
      <w:r>
        <w:rPr>
          <w:color w:val="333333"/>
          <w:spacing w:val="-3"/>
        </w:rPr>
        <w:t>的展览、商店、餐饮和旅馆建筑以及医院中同样建筑规模的病房楼、门诊楼和手术部；</w:t>
      </w:r>
      <w:r>
        <w:rPr>
          <w:color w:val="333333"/>
        </w:rPr>
        <w:t> </w:t>
      </w:r>
    </w:p>
    <w:p>
      <w:pPr>
        <w:pStyle w:val="BodyText"/>
        <w:spacing w:line="446" w:lineRule="auto"/>
        <w:ind w:left="838" w:right="1923"/>
      </w:pPr>
      <w:r>
        <w:rPr>
          <w:color w:val="333333"/>
          <w:spacing w:val="-2"/>
        </w:rPr>
        <w:t>设置送回风道</w:t>
      </w:r>
      <w:r>
        <w:rPr>
          <w:color w:val="333333"/>
          <w:spacing w:val="-3"/>
        </w:rPr>
        <w:t>（</w:t>
      </w:r>
      <w:r>
        <w:rPr>
          <w:color w:val="333333"/>
        </w:rPr>
        <w:t>管</w:t>
      </w:r>
      <w:r>
        <w:rPr>
          <w:color w:val="333333"/>
          <w:spacing w:val="-3"/>
        </w:rPr>
        <w:t>）</w:t>
      </w:r>
      <w:r>
        <w:rPr>
          <w:color w:val="333333"/>
          <w:spacing w:val="-6"/>
        </w:rPr>
        <w:t>的集中空气调节系统且总建筑面积大于 </w:t>
      </w:r>
      <w:r>
        <w:rPr>
          <w:color w:val="333333"/>
        </w:rPr>
        <w:t>3000m</w:t>
      </w:r>
      <w:r>
        <w:rPr>
          <w:color w:val="333333"/>
          <w:position w:val="11"/>
          <w:sz w:val="11"/>
        </w:rPr>
        <w:t>2</w:t>
      </w:r>
      <w:r>
        <w:rPr>
          <w:color w:val="333333"/>
          <w:sz w:val="11"/>
        </w:rPr>
        <w:t> </w:t>
      </w:r>
      <w:r>
        <w:rPr>
          <w:color w:val="333333"/>
          <w:spacing w:val="-3"/>
        </w:rPr>
        <w:t>的办公建筑等； </w:t>
      </w:r>
      <w:r>
        <w:rPr>
          <w:color w:val="333333"/>
          <w:spacing w:val="-11"/>
        </w:rPr>
        <w:t>藏书量超过 </w:t>
      </w:r>
      <w:r>
        <w:rPr>
          <w:color w:val="333333"/>
        </w:rPr>
        <w:t>50</w:t>
      </w:r>
      <w:r>
        <w:rPr>
          <w:color w:val="333333"/>
          <w:spacing w:val="-10"/>
        </w:rPr>
        <w:t> 万册的图书馆；</w:t>
      </w:r>
      <w:r>
        <w:rPr>
          <w:color w:val="333333"/>
        </w:rPr>
        <w:t> </w:t>
      </w:r>
    </w:p>
    <w:p>
      <w:pPr>
        <w:pStyle w:val="BodyText"/>
        <w:ind w:left="838"/>
      </w:pPr>
      <w:r>
        <w:rPr>
          <w:color w:val="333333"/>
        </w:rPr>
        <w:t>大、中型幼儿园，老年人照料设施； </w:t>
      </w:r>
    </w:p>
    <w:p>
      <w:pPr>
        <w:pStyle w:val="BodyText"/>
        <w:spacing w:before="5"/>
        <w:rPr>
          <w:sz w:val="16"/>
        </w:rPr>
      </w:pPr>
    </w:p>
    <w:p>
      <w:pPr>
        <w:pStyle w:val="BodyText"/>
        <w:spacing w:before="1"/>
        <w:ind w:left="838"/>
      </w:pPr>
      <w:r>
        <w:rPr>
          <w:color w:val="333333"/>
        </w:rPr>
        <w:t>总建筑面积大于 500m</w:t>
      </w:r>
      <w:r>
        <w:rPr>
          <w:color w:val="333333"/>
          <w:position w:val="11"/>
          <w:sz w:val="11"/>
        </w:rPr>
        <w:t>2 </w:t>
      </w:r>
      <w:r>
        <w:rPr>
          <w:color w:val="333333"/>
        </w:rPr>
        <w:t>的地下或半地下商店； </w:t>
      </w:r>
    </w:p>
    <w:p>
      <w:pPr>
        <w:pStyle w:val="BodyText"/>
        <w:spacing w:before="12"/>
        <w:rPr>
          <w:sz w:val="17"/>
        </w:rPr>
      </w:pPr>
    </w:p>
    <w:p>
      <w:pPr>
        <w:pStyle w:val="BodyText"/>
        <w:spacing w:line="441" w:lineRule="auto"/>
        <w:ind w:left="418" w:right="1505" w:firstLine="419"/>
      </w:pPr>
      <w:r>
        <w:rPr>
          <w:color w:val="333333"/>
          <w:spacing w:val="-3"/>
        </w:rPr>
        <w:t>设置在地下或半地下或地上四层及以上楼层的歌舞娱乐放映游艺场所（除游泳场所外</w:t>
      </w:r>
      <w:r>
        <w:rPr>
          <w:color w:val="333333"/>
        </w:rPr>
        <w:t>）， </w:t>
      </w:r>
      <w:r>
        <w:rPr>
          <w:color w:val="333333"/>
          <w:spacing w:val="-5"/>
        </w:rPr>
        <w:t>设置在首层、二层和三层且任一层建筑面积大于 </w:t>
      </w:r>
      <w:r>
        <w:rPr>
          <w:color w:val="333333"/>
        </w:rPr>
        <w:t>300m</w:t>
      </w:r>
      <w:r>
        <w:rPr>
          <w:color w:val="333333"/>
          <w:position w:val="11"/>
          <w:sz w:val="11"/>
        </w:rPr>
        <w:t>2</w:t>
      </w:r>
      <w:r>
        <w:rPr>
          <w:color w:val="333333"/>
          <w:spacing w:val="20"/>
          <w:sz w:val="11"/>
        </w:rPr>
        <w:t> </w:t>
      </w:r>
      <w:r>
        <w:rPr>
          <w:color w:val="333333"/>
          <w:spacing w:val="-3"/>
        </w:rPr>
        <w:t>的地上歌舞娱乐放映游艺场所（</w:t>
      </w:r>
      <w:r>
        <w:rPr>
          <w:color w:val="333333"/>
          <w:spacing w:val="-2"/>
        </w:rPr>
        <w:t>除游泳</w:t>
      </w:r>
      <w:r>
        <w:rPr>
          <w:color w:val="333333"/>
          <w:spacing w:val="-3"/>
        </w:rPr>
        <w:t>场所外</w:t>
      </w:r>
      <w:r>
        <w:rPr>
          <w:color w:val="333333"/>
        </w:rPr>
        <w:t>）</w:t>
      </w:r>
      <w:r>
        <w:rPr>
          <w:color w:val="333333"/>
          <w:spacing w:val="-3"/>
        </w:rPr>
        <w:t>。</w:t>
      </w:r>
      <w:r>
        <w:rPr>
          <w:color w:val="333333"/>
        </w:rPr>
        <w:t> </w:t>
      </w:r>
    </w:p>
    <w:p>
      <w:pPr>
        <w:spacing w:after="0" w:line="441" w:lineRule="auto"/>
        <w:sectPr>
          <w:pgSz w:w="11910" w:h="16850"/>
          <w:pgMar w:header="0" w:footer="1239" w:top="1220" w:bottom="1420" w:left="1260" w:right="0"/>
        </w:sectPr>
      </w:pPr>
    </w:p>
    <w:p>
      <w:pPr>
        <w:pStyle w:val="ListParagraph"/>
        <w:numPr>
          <w:ilvl w:val="2"/>
          <w:numId w:val="289"/>
        </w:numPr>
        <w:tabs>
          <w:tab w:pos="1370" w:val="left" w:leader="none"/>
        </w:tabs>
        <w:spacing w:line="446" w:lineRule="auto" w:before="47" w:after="0"/>
        <w:ind w:left="418" w:right="1604" w:firstLine="422"/>
        <w:jc w:val="both"/>
        <w:rPr>
          <w:sz w:val="21"/>
        </w:rPr>
      </w:pPr>
      <w:r>
        <w:rPr>
          <w:color w:val="333333"/>
          <w:spacing w:val="-3"/>
          <w:sz w:val="21"/>
        </w:rPr>
        <w:t>根据本规范要求难以设置自动喷水灭火系统的展览厅、观众厅等人员密集的场所和丙类生产车间、库房等高大空间场所，应设置其他自动灭火系统，并宜采用固定消防炮等灭火系统。</w:t>
      </w:r>
      <w:r>
        <w:rPr>
          <w:color w:val="333333"/>
          <w:sz w:val="21"/>
        </w:rPr>
        <w:t> </w:t>
      </w:r>
    </w:p>
    <w:p>
      <w:pPr>
        <w:pStyle w:val="ListParagraph"/>
        <w:numPr>
          <w:ilvl w:val="2"/>
          <w:numId w:val="289"/>
        </w:numPr>
        <w:tabs>
          <w:tab w:pos="1370" w:val="left" w:leader="none"/>
        </w:tabs>
        <w:spacing w:line="268" w:lineRule="exact" w:before="0" w:after="0"/>
        <w:ind w:left="1369" w:right="0" w:hanging="530"/>
        <w:jc w:val="left"/>
        <w:rPr>
          <w:sz w:val="21"/>
        </w:rPr>
      </w:pPr>
      <w:r>
        <w:rPr>
          <w:color w:val="333333"/>
          <w:spacing w:val="-3"/>
          <w:sz w:val="21"/>
        </w:rPr>
        <w:t>下列部位宜设置水幕系统：</w:t>
      </w:r>
      <w:r>
        <w:rPr>
          <w:color w:val="333333"/>
          <w:sz w:val="21"/>
        </w:rPr>
        <w:t> </w:t>
      </w:r>
    </w:p>
    <w:p>
      <w:pPr>
        <w:pStyle w:val="BodyText"/>
        <w:rPr>
          <w:sz w:val="18"/>
        </w:rPr>
      </w:pPr>
    </w:p>
    <w:p>
      <w:pPr>
        <w:pStyle w:val="BodyText"/>
        <w:ind w:left="838"/>
      </w:pPr>
      <w:r>
        <w:rPr>
          <w:color w:val="333333"/>
        </w:rPr>
        <w:t>特等、甲等剧场、超过 1500 个座位的其他等级的剧场、超过 2000 个座位的会堂或礼堂和</w:t>
      </w:r>
    </w:p>
    <w:p>
      <w:pPr>
        <w:pStyle w:val="BodyText"/>
        <w:spacing w:before="12"/>
        <w:rPr>
          <w:sz w:val="17"/>
        </w:rPr>
      </w:pPr>
    </w:p>
    <w:p>
      <w:pPr>
        <w:pStyle w:val="BodyText"/>
        <w:spacing w:line="446" w:lineRule="auto"/>
        <w:ind w:left="418" w:right="1608"/>
      </w:pPr>
      <w:r>
        <w:rPr>
          <w:color w:val="333333"/>
          <w:spacing w:val="-6"/>
        </w:rPr>
        <w:t>高层民用建筑内超过 </w:t>
      </w:r>
      <w:r>
        <w:rPr>
          <w:color w:val="333333"/>
        </w:rPr>
        <w:t>800</w:t>
      </w:r>
      <w:r>
        <w:rPr>
          <w:color w:val="333333"/>
          <w:spacing w:val="-7"/>
        </w:rPr>
        <w:t> 个座位的剧场或礼堂的舞台口及上述场所内与舞台相连的侧台、后台</w:t>
      </w:r>
      <w:r>
        <w:rPr>
          <w:color w:val="333333"/>
          <w:spacing w:val="-6"/>
        </w:rPr>
        <w:t>的洞口；</w:t>
      </w:r>
      <w:r>
        <w:rPr>
          <w:color w:val="333333"/>
        </w:rPr>
        <w:t> </w:t>
      </w:r>
    </w:p>
    <w:p>
      <w:pPr>
        <w:pStyle w:val="BodyText"/>
        <w:spacing w:line="446" w:lineRule="auto" w:before="1"/>
        <w:ind w:left="838" w:right="4446"/>
      </w:pPr>
      <w:r>
        <w:rPr>
          <w:color w:val="333333"/>
        </w:rPr>
        <w:t>应设置防火墙等防火分隔物而无法设置的局部开口部位； 需要防护冷却的防火卷帘或防火幕的上部。 </w:t>
      </w:r>
    </w:p>
    <w:p>
      <w:pPr>
        <w:pStyle w:val="BodyText"/>
        <w:spacing w:line="446" w:lineRule="auto"/>
        <w:ind w:left="840" w:right="1714" w:hanging="3"/>
      </w:pPr>
      <w:r>
        <w:rPr>
          <w:color w:val="333333"/>
        </w:rPr>
        <w:t>注：舞台口也可采用防火幕进行分隔，侧台、后台的较小洞口宜设置乙级防火门、窗。</w:t>
      </w:r>
      <w:r>
        <w:rPr>
          <w:b/>
          <w:color w:val="333333"/>
        </w:rPr>
        <w:t>8.3.7 </w:t>
      </w:r>
      <w:r>
        <w:rPr>
          <w:color w:val="333333"/>
        </w:rPr>
        <w:t>下列建筑或部位应设置雨淋自动喷水灭火系统： </w:t>
      </w:r>
    </w:p>
    <w:p>
      <w:pPr>
        <w:pStyle w:val="BodyText"/>
        <w:spacing w:line="446" w:lineRule="auto"/>
        <w:ind w:left="418" w:right="1503" w:firstLine="419"/>
      </w:pPr>
      <w:r>
        <w:rPr>
          <w:color w:val="333333"/>
          <w:spacing w:val="-6"/>
        </w:rPr>
        <w:t>火柴厂的氯酸钾压碾厂房，建筑面积大于 </w:t>
      </w:r>
      <w:r>
        <w:rPr>
          <w:color w:val="333333"/>
        </w:rPr>
        <w:t>100m</w:t>
      </w:r>
      <w:r>
        <w:rPr>
          <w:color w:val="333333"/>
          <w:position w:val="11"/>
          <w:sz w:val="11"/>
        </w:rPr>
        <w:t>2</w:t>
      </w:r>
      <w:r>
        <w:rPr>
          <w:color w:val="333333"/>
          <w:sz w:val="11"/>
        </w:rPr>
        <w:t> </w:t>
      </w:r>
      <w:r>
        <w:rPr>
          <w:color w:val="333333"/>
          <w:spacing w:val="-3"/>
        </w:rPr>
        <w:t>且生产或使用硝化棉、喷漆棉、火胶棉、赛璐珞胶片、硝化纤维的厂房；</w:t>
      </w:r>
      <w:r>
        <w:rPr>
          <w:color w:val="333333"/>
        </w:rPr>
        <w:t> </w:t>
      </w:r>
    </w:p>
    <w:p>
      <w:pPr>
        <w:pStyle w:val="BodyText"/>
        <w:ind w:left="838"/>
      </w:pPr>
      <w:r>
        <w:rPr>
          <w:color w:val="333333"/>
        </w:rPr>
        <w:t>乒乓球厂的轧坯、切片、磨球、分球检验部位； </w:t>
      </w:r>
    </w:p>
    <w:p>
      <w:pPr>
        <w:pStyle w:val="BodyText"/>
        <w:spacing w:before="2"/>
        <w:rPr>
          <w:sz w:val="16"/>
        </w:rPr>
      </w:pPr>
    </w:p>
    <w:p>
      <w:pPr>
        <w:pStyle w:val="BodyText"/>
        <w:spacing w:line="446" w:lineRule="auto"/>
        <w:ind w:left="418" w:right="1506" w:firstLine="419"/>
      </w:pPr>
      <w:r>
        <w:rPr>
          <w:color w:val="333333"/>
        </w:rPr>
        <w:t>建筑面积大于 60m</w:t>
      </w:r>
      <w:r>
        <w:rPr>
          <w:color w:val="333333"/>
          <w:position w:val="11"/>
          <w:sz w:val="11"/>
        </w:rPr>
        <w:t>2 </w:t>
      </w:r>
      <w:r>
        <w:rPr>
          <w:color w:val="333333"/>
        </w:rPr>
        <w:t>或储存量大于 2t 的硝化棉、喷漆棉、火胶棉、赛璐珞胶片、硝化纤维的仓库；  </w:t>
      </w:r>
      <w:r>
        <w:rPr>
          <w:color w:val="333333"/>
          <w:w w:val="100"/>
        </w:rPr>
        <w:t> </w:t>
      </w:r>
      <w:r>
        <w:rPr>
          <w:color w:val="333333"/>
        </w:rPr>
        <w:t> </w:t>
      </w:r>
      <w:r>
        <w:rPr>
          <w:color w:val="333333"/>
          <w:w w:val="100"/>
        </w:rPr>
        <w:t> </w:t>
      </w:r>
    </w:p>
    <w:p>
      <w:pPr>
        <w:pStyle w:val="BodyText"/>
        <w:ind w:left="838"/>
      </w:pPr>
      <w:r>
        <w:rPr>
          <w:color w:val="333333"/>
        </w:rPr>
        <w:t>日装瓶数量大于 3000 瓶的液化石油气储配站的灌瓶间、实瓶库； </w:t>
      </w:r>
    </w:p>
    <w:p>
      <w:pPr>
        <w:pStyle w:val="BodyText"/>
        <w:rPr>
          <w:sz w:val="18"/>
        </w:rPr>
      </w:pPr>
    </w:p>
    <w:p>
      <w:pPr>
        <w:pStyle w:val="BodyText"/>
        <w:spacing w:line="446" w:lineRule="auto"/>
        <w:ind w:left="418" w:right="1508" w:firstLine="419"/>
      </w:pPr>
      <w:r>
        <w:rPr>
          <w:color w:val="333333"/>
          <w:spacing w:val="-7"/>
        </w:rPr>
        <w:t>特等、甲等剧场、超过 </w:t>
      </w:r>
      <w:r>
        <w:rPr>
          <w:color w:val="333333"/>
        </w:rPr>
        <w:t>1500</w:t>
      </w:r>
      <w:r>
        <w:rPr>
          <w:color w:val="333333"/>
          <w:spacing w:val="-6"/>
        </w:rPr>
        <w:t> 个座位的其他等级剧场和超过 </w:t>
      </w:r>
      <w:r>
        <w:rPr>
          <w:color w:val="333333"/>
        </w:rPr>
        <w:t>2000</w:t>
      </w:r>
      <w:r>
        <w:rPr>
          <w:color w:val="333333"/>
          <w:spacing w:val="-3"/>
        </w:rPr>
        <w:t> 个座位的会堂或礼堂的舞台葡萄架下部；</w:t>
      </w:r>
      <w:r>
        <w:rPr>
          <w:color w:val="333333"/>
        </w:rPr>
        <w:t> </w:t>
      </w:r>
    </w:p>
    <w:p>
      <w:pPr>
        <w:pStyle w:val="BodyText"/>
        <w:spacing w:line="446" w:lineRule="auto"/>
        <w:ind w:left="840" w:right="2864" w:hanging="3"/>
      </w:pPr>
      <w:r>
        <w:rPr>
          <w:color w:val="333333"/>
        </w:rPr>
        <w:t>建筑面积不小于 400m</w:t>
      </w:r>
      <w:r>
        <w:rPr>
          <w:color w:val="333333"/>
          <w:position w:val="11"/>
          <w:sz w:val="11"/>
        </w:rPr>
        <w:t>2 </w:t>
      </w:r>
      <w:r>
        <w:rPr>
          <w:color w:val="333333"/>
        </w:rPr>
        <w:t>的演播室，建筑面积不小于 500m</w:t>
      </w:r>
      <w:r>
        <w:rPr>
          <w:color w:val="333333"/>
          <w:position w:val="11"/>
          <w:sz w:val="11"/>
        </w:rPr>
        <w:t>2</w:t>
      </w:r>
      <w:r>
        <w:rPr>
          <w:color w:val="333333"/>
          <w:sz w:val="11"/>
        </w:rPr>
        <w:t> </w:t>
      </w:r>
      <w:r>
        <w:rPr>
          <w:color w:val="333333"/>
        </w:rPr>
        <w:t>的电影摄影棚。</w:t>
      </w:r>
      <w:r>
        <w:rPr>
          <w:b/>
          <w:color w:val="333333"/>
        </w:rPr>
        <w:t>8.3.8 </w:t>
      </w:r>
      <w:r>
        <w:rPr>
          <w:color w:val="333333"/>
        </w:rPr>
        <w:t>下列场所应设置自动灭火系统，并宜采用水喷雾灭火系统： </w:t>
      </w:r>
    </w:p>
    <w:p>
      <w:pPr>
        <w:pStyle w:val="BodyText"/>
        <w:spacing w:line="446" w:lineRule="auto"/>
        <w:ind w:left="418" w:right="1507" w:firstLine="419"/>
      </w:pPr>
      <w:r>
        <w:rPr>
          <w:color w:val="333333"/>
          <w:spacing w:val="-10"/>
        </w:rPr>
        <w:t>单台容量在 </w:t>
      </w:r>
      <w:r>
        <w:rPr>
          <w:color w:val="333333"/>
        </w:rPr>
        <w:t>40MV·A</w:t>
      </w:r>
      <w:r>
        <w:rPr>
          <w:color w:val="333333"/>
          <w:spacing w:val="-6"/>
        </w:rPr>
        <w:t> 及以上的厂矿企业油浸变压器，单台容量在 </w:t>
      </w:r>
      <w:r>
        <w:rPr>
          <w:color w:val="333333"/>
        </w:rPr>
        <w:t>90MV·A</w:t>
      </w:r>
      <w:r>
        <w:rPr>
          <w:color w:val="333333"/>
          <w:spacing w:val="-1"/>
        </w:rPr>
        <w:t> 及以上的电厂油</w:t>
      </w:r>
      <w:r>
        <w:rPr>
          <w:color w:val="333333"/>
          <w:spacing w:val="-8"/>
        </w:rPr>
        <w:t>浸变压器，单台容量在 </w:t>
      </w:r>
      <w:r>
        <w:rPr>
          <w:color w:val="333333"/>
        </w:rPr>
        <w:t>125MV·A</w:t>
      </w:r>
      <w:r>
        <w:rPr>
          <w:color w:val="333333"/>
          <w:spacing w:val="-3"/>
        </w:rPr>
        <w:t> 及以上的独立变电站油浸变压器；</w:t>
      </w:r>
      <w:r>
        <w:rPr>
          <w:color w:val="333333"/>
        </w:rPr>
        <w:t> </w:t>
      </w:r>
    </w:p>
    <w:p>
      <w:pPr>
        <w:pStyle w:val="BodyText"/>
        <w:spacing w:line="267" w:lineRule="exact"/>
        <w:ind w:left="838"/>
      </w:pPr>
      <w:r>
        <w:rPr>
          <w:color w:val="333333"/>
        </w:rPr>
        <w:t>飞机发动机试验台的试车部位； </w:t>
      </w:r>
    </w:p>
    <w:p>
      <w:pPr>
        <w:pStyle w:val="BodyText"/>
        <w:spacing w:before="5"/>
        <w:rPr>
          <w:sz w:val="17"/>
        </w:rPr>
      </w:pPr>
    </w:p>
    <w:p>
      <w:pPr>
        <w:pStyle w:val="BodyText"/>
        <w:ind w:left="838"/>
      </w:pPr>
      <w:r>
        <w:rPr>
          <w:color w:val="333333"/>
        </w:rPr>
        <w:t>充可燃油并设置在高层民用建筑内的高压电容器和多油开关室。 </w:t>
      </w:r>
    </w:p>
    <w:p>
      <w:pPr>
        <w:pStyle w:val="BodyText"/>
        <w:rPr>
          <w:sz w:val="18"/>
        </w:rPr>
      </w:pPr>
    </w:p>
    <w:p>
      <w:pPr>
        <w:pStyle w:val="BodyText"/>
        <w:spacing w:line="446" w:lineRule="auto"/>
        <w:ind w:left="418" w:right="1609" w:firstLine="419"/>
      </w:pPr>
      <w:r>
        <w:rPr>
          <w:color w:val="333333"/>
        </w:rPr>
        <w:t>注：设置在室内的油浸变压器、充可燃油的高压电容器和多油开关室，可采用细水雾灭火系统。 </w:t>
      </w:r>
    </w:p>
    <w:p>
      <w:pPr>
        <w:pStyle w:val="ListParagraph"/>
        <w:numPr>
          <w:ilvl w:val="2"/>
          <w:numId w:val="290"/>
        </w:numPr>
        <w:tabs>
          <w:tab w:pos="1370" w:val="left" w:leader="none"/>
        </w:tabs>
        <w:spacing w:line="240" w:lineRule="auto" w:before="0" w:after="0"/>
        <w:ind w:left="1369" w:right="0" w:hanging="530"/>
        <w:jc w:val="left"/>
        <w:rPr>
          <w:sz w:val="21"/>
        </w:rPr>
      </w:pPr>
      <w:r>
        <w:rPr>
          <w:color w:val="333333"/>
          <w:spacing w:val="-3"/>
          <w:sz w:val="21"/>
        </w:rPr>
        <w:t>下列场所应设置自动灭火系统，并宜采用气体灭火系统：</w:t>
      </w:r>
      <w:r>
        <w:rPr>
          <w:color w:val="333333"/>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498" w:firstLine="419"/>
      </w:pPr>
      <w:r>
        <w:rPr>
          <w:color w:val="333333"/>
        </w:rPr>
        <w:t>国家、省级或人口超过 100 万的城市广播电视发射塔内的微波机房、分米波机房、米波机房、变配电室和不间断电源（UPS）室； </w:t>
      </w:r>
    </w:p>
    <w:p>
      <w:pPr>
        <w:pStyle w:val="BodyText"/>
        <w:spacing w:line="446" w:lineRule="auto"/>
        <w:ind w:left="418" w:right="1609" w:firstLine="419"/>
      </w:pPr>
      <w:r>
        <w:rPr>
          <w:color w:val="333333"/>
        </w:rPr>
        <w:t>国际电信局、大区中心、省中心和一万路以上的地区中心内的长途程控交换机房、控制室和信令转接点室； </w:t>
      </w:r>
    </w:p>
    <w:p>
      <w:pPr>
        <w:pStyle w:val="BodyText"/>
        <w:spacing w:line="446" w:lineRule="auto"/>
        <w:ind w:left="418" w:right="1609" w:firstLine="419"/>
      </w:pPr>
      <w:r>
        <w:rPr>
          <w:color w:val="333333"/>
        </w:rPr>
        <w:t>两万线以上的市话汇接局和六万门以上的市话端局内的程控交换机房、控制室和信令转接点室； </w:t>
      </w:r>
    </w:p>
    <w:p>
      <w:pPr>
        <w:pStyle w:val="BodyText"/>
        <w:ind w:left="838"/>
      </w:pPr>
      <w:r>
        <w:rPr>
          <w:color w:val="333333"/>
        </w:rPr>
        <w:t>中央及省级公安、防灾和网局级及以上的电力等调度指挥中心内的通信机房和控制室； </w:t>
      </w:r>
    </w:p>
    <w:p>
      <w:pPr>
        <w:pStyle w:val="BodyText"/>
        <w:spacing w:before="11"/>
        <w:rPr>
          <w:sz w:val="17"/>
        </w:rPr>
      </w:pPr>
    </w:p>
    <w:p>
      <w:pPr>
        <w:pStyle w:val="BodyText"/>
        <w:ind w:left="838"/>
      </w:pPr>
      <w:r>
        <w:rPr>
          <w:color w:val="333333"/>
          <w:w w:val="100"/>
        </w:rPr>
        <w:t> </w:t>
      </w:r>
      <w:r>
        <w:rPr>
          <w:color w:val="333333"/>
        </w:rPr>
        <w:t>A、B 级电子信息系统机房内的主机房和基本工作间的已记录磁（纸）介质库； </w:t>
      </w:r>
    </w:p>
    <w:p>
      <w:pPr>
        <w:pStyle w:val="BodyText"/>
        <w:spacing w:before="2"/>
        <w:rPr>
          <w:sz w:val="17"/>
        </w:rPr>
      </w:pPr>
    </w:p>
    <w:p>
      <w:pPr>
        <w:pStyle w:val="BodyText"/>
        <w:ind w:left="838"/>
      </w:pPr>
      <w:r>
        <w:rPr>
          <w:color w:val="333333"/>
        </w:rPr>
        <w:t>中央和省级广播电视中心内建筑面积不小于 120m</w:t>
      </w:r>
      <w:r>
        <w:rPr>
          <w:color w:val="333333"/>
          <w:position w:val="11"/>
          <w:sz w:val="11"/>
        </w:rPr>
        <w:t>2</w:t>
      </w:r>
      <w:r>
        <w:rPr>
          <w:color w:val="333333"/>
          <w:sz w:val="11"/>
        </w:rPr>
        <w:t> </w:t>
      </w:r>
      <w:r>
        <w:rPr>
          <w:color w:val="333333"/>
        </w:rPr>
        <w:t>的音像制品库房； </w:t>
      </w:r>
    </w:p>
    <w:p>
      <w:pPr>
        <w:pStyle w:val="BodyText"/>
        <w:spacing w:before="2"/>
        <w:rPr>
          <w:sz w:val="18"/>
        </w:rPr>
      </w:pPr>
    </w:p>
    <w:p>
      <w:pPr>
        <w:pStyle w:val="BodyText"/>
        <w:spacing w:line="446" w:lineRule="auto"/>
        <w:ind w:left="418" w:right="1392" w:firstLine="419"/>
      </w:pPr>
      <w:r>
        <w:rPr>
          <w:color w:val="333333"/>
          <w:w w:val="100"/>
        </w:rPr>
        <w:t> </w:t>
      </w:r>
      <w:r>
        <w:rPr>
          <w:color w:val="333333"/>
        </w:rPr>
        <w:t>国家、省级或藏书量超过 100 万册的图书馆内的特藏库；中央和省级档案馆内的珍藏库和非纸质档案库；大、中型博物馆内的珍品库房；一级纸绢质文物的陈列室； </w:t>
      </w:r>
    </w:p>
    <w:p>
      <w:pPr>
        <w:pStyle w:val="BodyText"/>
        <w:spacing w:line="267" w:lineRule="exact"/>
        <w:ind w:left="838"/>
      </w:pPr>
      <w:r>
        <w:rPr>
          <w:color w:val="333333"/>
        </w:rPr>
        <w:t>其他特殊重要设备室。 </w:t>
      </w:r>
    </w:p>
    <w:p>
      <w:pPr>
        <w:pStyle w:val="BodyText"/>
        <w:spacing w:before="2"/>
        <w:rPr>
          <w:sz w:val="18"/>
        </w:rPr>
      </w:pPr>
    </w:p>
    <w:p>
      <w:pPr>
        <w:pStyle w:val="BodyText"/>
        <w:ind w:left="838"/>
      </w:pPr>
      <w:r>
        <w:rPr>
          <w:color w:val="333333"/>
        </w:rPr>
        <w:t>注：1.本条第 1、4、5、8 款规定的部位，可采用细水雾灭火系统。 </w:t>
      </w:r>
    </w:p>
    <w:p>
      <w:pPr>
        <w:pStyle w:val="BodyText"/>
        <w:rPr>
          <w:sz w:val="18"/>
        </w:rPr>
      </w:pPr>
    </w:p>
    <w:p>
      <w:pPr>
        <w:pStyle w:val="BodyText"/>
        <w:spacing w:line="446" w:lineRule="auto"/>
        <w:ind w:left="418" w:right="1609" w:firstLine="419"/>
      </w:pPr>
      <w:r>
        <w:rPr>
          <w:color w:val="333333"/>
        </w:rPr>
        <w:t>2.当有备用主机和备用已记录磁（纸）介质，且设置在不同建筑内或同一建筑内的不同防火分区内时，本条第 5 款规定的部位可采用预作用自动喷水灭火系统。 </w:t>
      </w:r>
    </w:p>
    <w:p>
      <w:pPr>
        <w:pStyle w:val="ListParagraph"/>
        <w:numPr>
          <w:ilvl w:val="2"/>
          <w:numId w:val="290"/>
        </w:numPr>
        <w:tabs>
          <w:tab w:pos="1478" w:val="left" w:leader="none"/>
        </w:tabs>
        <w:spacing w:line="240" w:lineRule="auto" w:before="0" w:after="0"/>
        <w:ind w:left="1477" w:right="0" w:hanging="638"/>
        <w:jc w:val="left"/>
        <w:rPr>
          <w:sz w:val="21"/>
        </w:rPr>
      </w:pPr>
      <w:r>
        <w:rPr>
          <w:color w:val="333333"/>
          <w:spacing w:val="-3"/>
          <w:sz w:val="21"/>
        </w:rPr>
        <w:t>甲、乙、丙类液体储罐的灭火系统设置应符合下列规定：</w:t>
      </w:r>
      <w:r>
        <w:rPr>
          <w:color w:val="333333"/>
          <w:sz w:val="21"/>
        </w:rPr>
        <w:t> </w:t>
      </w:r>
    </w:p>
    <w:p>
      <w:pPr>
        <w:pStyle w:val="BodyText"/>
        <w:spacing w:before="2"/>
        <w:rPr>
          <w:sz w:val="17"/>
        </w:rPr>
      </w:pPr>
    </w:p>
    <w:p>
      <w:pPr>
        <w:pStyle w:val="BodyText"/>
        <w:ind w:left="838"/>
      </w:pPr>
      <w:r>
        <w:rPr>
          <w:color w:val="333333"/>
        </w:rPr>
        <w:t>单罐容量大于 1000m</w:t>
      </w:r>
      <w:r>
        <w:rPr>
          <w:color w:val="333333"/>
          <w:position w:val="11"/>
          <w:sz w:val="11"/>
        </w:rPr>
        <w:t>3</w:t>
      </w:r>
      <w:r>
        <w:rPr>
          <w:color w:val="333333"/>
          <w:sz w:val="11"/>
        </w:rPr>
        <w:t> </w:t>
      </w:r>
      <w:r>
        <w:rPr>
          <w:color w:val="333333"/>
        </w:rPr>
        <w:t>的固定顶罐应设置固定式泡沫灭火系统； </w:t>
      </w:r>
    </w:p>
    <w:p>
      <w:pPr>
        <w:pStyle w:val="BodyText"/>
        <w:spacing w:before="2"/>
        <w:rPr>
          <w:sz w:val="17"/>
        </w:rPr>
      </w:pPr>
    </w:p>
    <w:p>
      <w:pPr>
        <w:pStyle w:val="BodyText"/>
        <w:spacing w:line="446" w:lineRule="auto"/>
        <w:ind w:left="838" w:right="2712"/>
      </w:pPr>
      <w:r>
        <w:rPr>
          <w:color w:val="333333"/>
          <w:spacing w:val="-9"/>
        </w:rPr>
        <w:t>罐壁高度小于 </w:t>
      </w:r>
      <w:r>
        <w:rPr>
          <w:color w:val="333333"/>
        </w:rPr>
        <w:t>7m</w:t>
      </w:r>
      <w:r>
        <w:rPr>
          <w:color w:val="333333"/>
          <w:spacing w:val="-8"/>
        </w:rPr>
        <w:t> 或容量不大于 </w:t>
      </w:r>
      <w:r>
        <w:rPr>
          <w:color w:val="333333"/>
        </w:rPr>
        <w:t>200m</w:t>
      </w:r>
      <w:r>
        <w:rPr>
          <w:color w:val="333333"/>
          <w:position w:val="11"/>
          <w:sz w:val="11"/>
        </w:rPr>
        <w:t>3</w:t>
      </w:r>
      <w:r>
        <w:rPr>
          <w:color w:val="333333"/>
          <w:spacing w:val="54"/>
          <w:sz w:val="11"/>
        </w:rPr>
        <w:t> </w:t>
      </w:r>
      <w:r>
        <w:rPr>
          <w:color w:val="333333"/>
          <w:spacing w:val="-3"/>
        </w:rPr>
        <w:t>的储罐可采用移动式泡沫灭火系统； 其他储罐宜采用半固定式泡沫灭火系统；</w:t>
      </w:r>
      <w:r>
        <w:rPr>
          <w:color w:val="333333"/>
        </w:rPr>
        <w:t> </w:t>
      </w:r>
    </w:p>
    <w:p>
      <w:pPr>
        <w:pStyle w:val="BodyText"/>
        <w:spacing w:line="446" w:lineRule="auto" w:before="1"/>
        <w:ind w:left="418" w:right="1609" w:firstLine="419"/>
      </w:pPr>
      <w:r>
        <w:rPr>
          <w:color w:val="333333"/>
        </w:rPr>
        <w:t>石油库、石油化工、石油天然气工程中甲、乙、丙类液体储罐的灭火系统设置，应符合现行国家标准《石油库设计规范》GB 50074 等标准的规定。 </w:t>
      </w:r>
    </w:p>
    <w:p>
      <w:pPr>
        <w:pStyle w:val="ListParagraph"/>
        <w:numPr>
          <w:ilvl w:val="2"/>
          <w:numId w:val="290"/>
        </w:numPr>
        <w:tabs>
          <w:tab w:pos="1478" w:val="left" w:leader="none"/>
        </w:tabs>
        <w:spacing w:line="446" w:lineRule="auto" w:before="0" w:after="0"/>
        <w:ind w:left="418" w:right="1467" w:firstLine="422"/>
        <w:jc w:val="left"/>
        <w:rPr>
          <w:sz w:val="21"/>
        </w:rPr>
      </w:pPr>
      <w:r>
        <w:rPr>
          <w:color w:val="333333"/>
          <w:spacing w:val="-8"/>
          <w:sz w:val="21"/>
        </w:rPr>
        <w:t>餐厅建筑面积大于 </w:t>
      </w:r>
      <w:r>
        <w:rPr>
          <w:color w:val="333333"/>
          <w:sz w:val="21"/>
        </w:rPr>
        <w:t>1000m</w:t>
      </w:r>
      <w:r>
        <w:rPr>
          <w:color w:val="333333"/>
          <w:position w:val="11"/>
          <w:sz w:val="11"/>
        </w:rPr>
        <w:t>2</w:t>
      </w:r>
      <w:r>
        <w:rPr>
          <w:color w:val="333333"/>
          <w:spacing w:val="-24"/>
          <w:position w:val="11"/>
          <w:sz w:val="11"/>
        </w:rPr>
        <w:t> </w:t>
      </w:r>
      <w:r>
        <w:rPr>
          <w:color w:val="333333"/>
          <w:spacing w:val="-3"/>
          <w:sz w:val="21"/>
        </w:rPr>
        <w:t>的餐馆或食堂，其烹饪操作间的排油烟罩及烹饪部位应设置自动灭火装置，并应在燃气或燃油管道上设置与自动灭火装置联动的自动切断装置。</w:t>
      </w:r>
      <w:r>
        <w:rPr>
          <w:color w:val="333333"/>
          <w:sz w:val="21"/>
        </w:rPr>
        <w:t> </w:t>
      </w:r>
    </w:p>
    <w:p>
      <w:pPr>
        <w:pStyle w:val="BodyText"/>
        <w:spacing w:line="446" w:lineRule="auto"/>
        <w:ind w:left="840" w:right="1925" w:hanging="3"/>
        <w:rPr>
          <w:b/>
        </w:rPr>
      </w:pPr>
      <w:r>
        <w:rPr>
          <w:color w:val="333333"/>
        </w:rPr>
        <w:t>食品工业加工场所内有明火作业或高温食用油的食品加工部位宜设置自动灭火装置。</w:t>
      </w:r>
      <w:r>
        <w:rPr>
          <w:b/>
        </w:rPr>
        <w:t>8.4 </w:t>
      </w:r>
      <w:r>
        <w:rPr/>
        <w:t>火灾自动报警系统</w:t>
      </w:r>
      <w:r>
        <w:rPr>
          <w:b/>
          <w:w w:val="99"/>
        </w:rPr>
        <w:t> </w:t>
      </w:r>
    </w:p>
    <w:p>
      <w:pPr>
        <w:pStyle w:val="ListParagraph"/>
        <w:numPr>
          <w:ilvl w:val="2"/>
          <w:numId w:val="291"/>
        </w:numPr>
        <w:tabs>
          <w:tab w:pos="1370" w:val="left" w:leader="none"/>
        </w:tabs>
        <w:spacing w:line="240" w:lineRule="auto" w:before="0" w:after="0"/>
        <w:ind w:left="1369" w:right="0" w:hanging="530"/>
        <w:jc w:val="left"/>
        <w:rPr>
          <w:sz w:val="21"/>
        </w:rPr>
      </w:pPr>
      <w:r>
        <w:rPr>
          <w:color w:val="333333"/>
          <w:spacing w:val="-3"/>
          <w:sz w:val="21"/>
        </w:rPr>
        <w:t>下列建筑或场所应设置火灾自动报警系统：</w:t>
      </w:r>
      <w:r>
        <w:rPr>
          <w:color w:val="333333"/>
          <w:sz w:val="21"/>
        </w:rPr>
        <w:t> </w:t>
      </w:r>
    </w:p>
    <w:p>
      <w:pPr>
        <w:pStyle w:val="BodyText"/>
        <w:spacing w:before="3"/>
        <w:rPr>
          <w:sz w:val="16"/>
        </w:rPr>
      </w:pPr>
    </w:p>
    <w:p>
      <w:pPr>
        <w:pStyle w:val="BodyText"/>
        <w:spacing w:line="446" w:lineRule="auto"/>
        <w:ind w:left="418" w:right="1608" w:firstLine="419"/>
      </w:pPr>
      <w:r>
        <w:rPr>
          <w:color w:val="333333"/>
          <w:spacing w:val="-8"/>
        </w:rPr>
        <w:t>任一层建筑面积大于 </w:t>
      </w:r>
      <w:r>
        <w:rPr>
          <w:color w:val="333333"/>
        </w:rPr>
        <w:t>1500m</w:t>
      </w:r>
      <w:r>
        <w:rPr>
          <w:color w:val="333333"/>
          <w:position w:val="11"/>
          <w:sz w:val="11"/>
        </w:rPr>
        <w:t>2</w:t>
      </w:r>
      <w:r>
        <w:rPr>
          <w:color w:val="333333"/>
          <w:spacing w:val="1"/>
          <w:sz w:val="11"/>
        </w:rPr>
        <w:t>  </w:t>
      </w:r>
      <w:r>
        <w:rPr>
          <w:color w:val="333333"/>
          <w:spacing w:val="-9"/>
        </w:rPr>
        <w:t>或总建筑面积大于 </w:t>
      </w:r>
      <w:r>
        <w:rPr>
          <w:color w:val="333333"/>
        </w:rPr>
        <w:t>3000m</w:t>
      </w:r>
      <w:r>
        <w:rPr>
          <w:color w:val="333333"/>
          <w:position w:val="11"/>
          <w:sz w:val="11"/>
        </w:rPr>
        <w:t>2</w:t>
      </w:r>
      <w:r>
        <w:rPr>
          <w:color w:val="333333"/>
          <w:sz w:val="11"/>
        </w:rPr>
        <w:t>   </w:t>
      </w:r>
      <w:r>
        <w:rPr>
          <w:color w:val="333333"/>
          <w:spacing w:val="-3"/>
        </w:rPr>
        <w:t>的制鞋、制衣、玩具、电子等类似用途的厂房；</w:t>
      </w:r>
      <w:r>
        <w:rPr>
          <w:color w:val="333333"/>
        </w:rPr>
        <w:t> </w:t>
      </w:r>
    </w:p>
    <w:p>
      <w:pPr>
        <w:spacing w:after="0" w:line="446" w:lineRule="auto"/>
        <w:sectPr>
          <w:pgSz w:w="11910" w:h="16850"/>
          <w:pgMar w:header="0" w:footer="1239" w:top="1220" w:bottom="1420" w:left="1260" w:right="0"/>
        </w:sectPr>
      </w:pPr>
    </w:p>
    <w:p>
      <w:pPr>
        <w:pStyle w:val="BodyText"/>
        <w:spacing w:line="436" w:lineRule="auto" w:before="57"/>
        <w:ind w:left="418" w:right="2209" w:firstLine="419"/>
      </w:pPr>
      <w:r>
        <w:rPr>
          <w:color w:val="333333"/>
          <w:spacing w:val="-7"/>
        </w:rPr>
        <w:t>每座占地面积大于 </w:t>
      </w:r>
      <w:r>
        <w:rPr>
          <w:color w:val="333333"/>
        </w:rPr>
        <w:t>1000m</w:t>
      </w:r>
      <w:r>
        <w:rPr>
          <w:color w:val="333333"/>
          <w:position w:val="11"/>
          <w:sz w:val="11"/>
        </w:rPr>
        <w:t>2 </w:t>
      </w:r>
      <w:r>
        <w:rPr>
          <w:color w:val="333333"/>
          <w:spacing w:val="-3"/>
        </w:rPr>
        <w:t>的棉、毛、丝、麻、化纤及其制品的仓库，占地面积大于500m</w:t>
      </w:r>
      <w:r>
        <w:rPr>
          <w:color w:val="333333"/>
          <w:spacing w:val="-3"/>
          <w:position w:val="11"/>
          <w:sz w:val="11"/>
        </w:rPr>
        <w:t>2</w:t>
      </w:r>
      <w:r>
        <w:rPr>
          <w:color w:val="333333"/>
          <w:spacing w:val="-3"/>
          <w:sz w:val="11"/>
        </w:rPr>
        <w:t> </w:t>
      </w:r>
      <w:r>
        <w:rPr>
          <w:color w:val="333333"/>
          <w:spacing w:val="-9"/>
        </w:rPr>
        <w:t>或总建筑面积大于 </w:t>
      </w:r>
      <w:r>
        <w:rPr>
          <w:color w:val="333333"/>
        </w:rPr>
        <w:t>1000m</w:t>
      </w:r>
      <w:r>
        <w:rPr>
          <w:color w:val="333333"/>
          <w:position w:val="11"/>
          <w:sz w:val="11"/>
        </w:rPr>
        <w:t>2</w:t>
      </w:r>
      <w:r>
        <w:rPr>
          <w:color w:val="333333"/>
          <w:sz w:val="11"/>
        </w:rPr>
        <w:t> </w:t>
      </w:r>
      <w:r>
        <w:rPr>
          <w:color w:val="333333"/>
          <w:spacing w:val="-3"/>
        </w:rPr>
        <w:t>的卷烟仓库；</w:t>
      </w:r>
      <w:r>
        <w:rPr>
          <w:color w:val="333333"/>
        </w:rPr>
        <w:t> </w:t>
      </w:r>
    </w:p>
    <w:p>
      <w:pPr>
        <w:pStyle w:val="BodyText"/>
        <w:spacing w:line="439" w:lineRule="auto"/>
        <w:ind w:left="418" w:right="1498" w:firstLine="419"/>
      </w:pPr>
      <w:r>
        <w:rPr>
          <w:color w:val="333333"/>
          <w:spacing w:val="-8"/>
        </w:rPr>
        <w:t>任一层建筑面积大于 </w:t>
      </w:r>
      <w:r>
        <w:rPr>
          <w:color w:val="333333"/>
        </w:rPr>
        <w:t>1500m</w:t>
      </w:r>
      <w:r>
        <w:rPr>
          <w:color w:val="333333"/>
          <w:position w:val="11"/>
          <w:sz w:val="11"/>
        </w:rPr>
        <w:t>2 </w:t>
      </w:r>
      <w:r>
        <w:rPr>
          <w:color w:val="333333"/>
          <w:spacing w:val="-9"/>
        </w:rPr>
        <w:t>或总建筑面积大于 </w:t>
      </w:r>
      <w:r>
        <w:rPr>
          <w:color w:val="333333"/>
        </w:rPr>
        <w:t>3000m</w:t>
      </w:r>
      <w:r>
        <w:rPr>
          <w:color w:val="333333"/>
          <w:position w:val="11"/>
          <w:sz w:val="11"/>
        </w:rPr>
        <w:t>2</w:t>
      </w:r>
      <w:r>
        <w:rPr>
          <w:color w:val="333333"/>
          <w:spacing w:val="2"/>
          <w:sz w:val="11"/>
        </w:rPr>
        <w:t>  </w:t>
      </w:r>
      <w:r>
        <w:rPr>
          <w:color w:val="333333"/>
          <w:spacing w:val="-3"/>
        </w:rPr>
        <w:t>的商店、展览、财贸金融、客运和</w:t>
      </w:r>
      <w:r>
        <w:rPr>
          <w:color w:val="333333"/>
          <w:spacing w:val="-6"/>
        </w:rPr>
        <w:t>货运等类似用途的建筑，总建筑面积大于 </w:t>
      </w:r>
      <w:r>
        <w:rPr>
          <w:color w:val="333333"/>
        </w:rPr>
        <w:t>500m</w:t>
      </w:r>
      <w:r>
        <w:rPr>
          <w:color w:val="333333"/>
          <w:position w:val="11"/>
          <w:sz w:val="11"/>
        </w:rPr>
        <w:t>2</w:t>
      </w:r>
      <w:r>
        <w:rPr>
          <w:color w:val="333333"/>
          <w:sz w:val="11"/>
        </w:rPr>
        <w:t> </w:t>
      </w:r>
      <w:r>
        <w:rPr>
          <w:color w:val="333333"/>
          <w:spacing w:val="-3"/>
        </w:rPr>
        <w:t>的地下或半地下商店；</w:t>
      </w:r>
      <w:r>
        <w:rPr>
          <w:color w:val="333333"/>
        </w:rPr>
        <w:t> </w:t>
      </w:r>
    </w:p>
    <w:p>
      <w:pPr>
        <w:pStyle w:val="BodyText"/>
        <w:spacing w:before="6"/>
        <w:ind w:left="838"/>
      </w:pPr>
      <w:r>
        <w:rPr>
          <w:color w:val="333333"/>
        </w:rPr>
        <w:t>图书或文物的珍藏库，每座藏书超过 50 万册的图书馆，重要的档案馆； </w:t>
      </w:r>
    </w:p>
    <w:p>
      <w:pPr>
        <w:pStyle w:val="BodyText"/>
        <w:spacing w:before="12"/>
        <w:rPr>
          <w:sz w:val="17"/>
        </w:rPr>
      </w:pPr>
    </w:p>
    <w:p>
      <w:pPr>
        <w:pStyle w:val="BodyText"/>
        <w:spacing w:line="446" w:lineRule="auto"/>
        <w:ind w:left="418" w:right="1609" w:firstLine="419"/>
      </w:pPr>
      <w:r>
        <w:rPr>
          <w:color w:val="333333"/>
        </w:rPr>
        <w:t>地市级及以上广播电视建筑、邮政建筑、电信建筑，城市或区域性电力、交通和防灾等指挥调度建筑； </w:t>
      </w:r>
    </w:p>
    <w:p>
      <w:pPr>
        <w:pStyle w:val="BodyText"/>
        <w:spacing w:line="446" w:lineRule="auto" w:before="1"/>
        <w:ind w:left="418" w:right="1555" w:firstLine="419"/>
      </w:pPr>
      <w:r>
        <w:rPr>
          <w:color w:val="333333"/>
          <w:spacing w:val="-6"/>
        </w:rPr>
        <w:t>特等、甲等剧场，座位数超过 </w:t>
      </w:r>
      <w:r>
        <w:rPr>
          <w:color w:val="333333"/>
        </w:rPr>
        <w:t>1500</w:t>
      </w:r>
      <w:r>
        <w:rPr>
          <w:color w:val="333333"/>
          <w:spacing w:val="-6"/>
        </w:rPr>
        <w:t> 的其他等级的剧场或电影院，座位数超过 </w:t>
      </w:r>
      <w:r>
        <w:rPr>
          <w:color w:val="333333"/>
        </w:rPr>
        <w:t>2000</w:t>
      </w:r>
      <w:r>
        <w:rPr>
          <w:color w:val="333333"/>
          <w:spacing w:val="-13"/>
        </w:rPr>
        <w:t> 个的会</w:t>
      </w:r>
      <w:r>
        <w:rPr>
          <w:color w:val="333333"/>
          <w:spacing w:val="-11"/>
        </w:rPr>
        <w:t>堂或礼堂，座位数超过 </w:t>
      </w:r>
      <w:r>
        <w:rPr>
          <w:color w:val="333333"/>
        </w:rPr>
        <w:t>3000</w:t>
      </w:r>
      <w:r>
        <w:rPr>
          <w:color w:val="333333"/>
          <w:spacing w:val="-10"/>
        </w:rPr>
        <w:t> 个的体育馆；</w:t>
      </w:r>
      <w:r>
        <w:rPr>
          <w:color w:val="333333"/>
        </w:rPr>
        <w:t> </w:t>
      </w:r>
    </w:p>
    <w:p>
      <w:pPr>
        <w:pStyle w:val="BodyText"/>
        <w:spacing w:line="441" w:lineRule="auto"/>
        <w:ind w:left="418" w:right="1579" w:firstLine="419"/>
        <w:jc w:val="both"/>
      </w:pPr>
      <w:r>
        <w:rPr>
          <w:color w:val="333333"/>
          <w:spacing w:val="-4"/>
        </w:rPr>
        <w:t>大、中型幼儿园的儿童用房等场所，老年人照料设施，任一层建筑面积大于 </w:t>
      </w:r>
      <w:r>
        <w:rPr>
          <w:color w:val="333333"/>
        </w:rPr>
        <w:t>1500m</w:t>
      </w:r>
      <w:r>
        <w:rPr>
          <w:color w:val="333333"/>
          <w:position w:val="11"/>
          <w:sz w:val="11"/>
        </w:rPr>
        <w:t>2 </w:t>
      </w:r>
      <w:r>
        <w:rPr>
          <w:color w:val="333333"/>
          <w:spacing w:val="-2"/>
        </w:rPr>
        <w:t>或总建</w:t>
      </w:r>
      <w:r>
        <w:rPr>
          <w:color w:val="333333"/>
          <w:spacing w:val="-11"/>
        </w:rPr>
        <w:t>筑面积大于 </w:t>
      </w:r>
      <w:r>
        <w:rPr>
          <w:color w:val="333333"/>
        </w:rPr>
        <w:t>3000m</w:t>
      </w:r>
      <w:r>
        <w:rPr>
          <w:color w:val="333333"/>
          <w:position w:val="11"/>
          <w:sz w:val="11"/>
        </w:rPr>
        <w:t>2</w:t>
      </w:r>
      <w:r>
        <w:rPr>
          <w:color w:val="333333"/>
          <w:spacing w:val="4"/>
          <w:sz w:val="11"/>
        </w:rPr>
        <w:t>  </w:t>
      </w:r>
      <w:r>
        <w:rPr>
          <w:color w:val="333333"/>
          <w:spacing w:val="-5"/>
        </w:rPr>
        <w:t>的疗养院的病房楼、旅馆建筑和其他儿童活动场所，不少于 </w:t>
      </w:r>
      <w:r>
        <w:rPr>
          <w:color w:val="333333"/>
        </w:rPr>
        <w:t>200</w:t>
      </w:r>
      <w:r>
        <w:rPr>
          <w:color w:val="333333"/>
          <w:spacing w:val="-12"/>
        </w:rPr>
        <w:t> 床位的医</w:t>
      </w:r>
      <w:r>
        <w:rPr>
          <w:color w:val="333333"/>
          <w:spacing w:val="-6"/>
        </w:rPr>
        <w:t>院门诊楼、病房楼和手术部等；</w:t>
      </w:r>
      <w:r>
        <w:rPr>
          <w:color w:val="333333"/>
        </w:rPr>
        <w:t> </w:t>
      </w:r>
    </w:p>
    <w:p>
      <w:pPr>
        <w:pStyle w:val="BodyText"/>
        <w:ind w:left="838"/>
      </w:pPr>
      <w:r>
        <w:rPr>
          <w:color w:val="333333"/>
        </w:rPr>
        <w:t>歌舞娱乐放映游艺场所； </w:t>
      </w:r>
    </w:p>
    <w:p>
      <w:pPr>
        <w:pStyle w:val="BodyText"/>
        <w:spacing w:before="7"/>
        <w:rPr>
          <w:sz w:val="17"/>
        </w:rPr>
      </w:pPr>
    </w:p>
    <w:p>
      <w:pPr>
        <w:pStyle w:val="BodyText"/>
        <w:spacing w:line="446" w:lineRule="auto"/>
        <w:ind w:left="838" w:right="1721"/>
      </w:pPr>
      <w:r>
        <w:rPr>
          <w:color w:val="333333"/>
          <w:spacing w:val="-11"/>
        </w:rPr>
        <w:t>净高大于 </w:t>
      </w:r>
      <w:r>
        <w:rPr>
          <w:color w:val="333333"/>
        </w:rPr>
        <w:t>2.6m</w:t>
      </w:r>
      <w:r>
        <w:rPr>
          <w:color w:val="333333"/>
          <w:spacing w:val="-12"/>
        </w:rPr>
        <w:t> 且可燃物较多的技术夹层，净高大于 </w:t>
      </w:r>
      <w:r>
        <w:rPr>
          <w:color w:val="333333"/>
        </w:rPr>
        <w:t>0.8m</w:t>
      </w:r>
      <w:r>
        <w:rPr>
          <w:color w:val="333333"/>
          <w:spacing w:val="-8"/>
        </w:rPr>
        <w:t> 且有可燃物的闷顶或吊顶内； </w:t>
      </w:r>
      <w:r>
        <w:rPr>
          <w:color w:val="333333"/>
          <w:spacing w:val="-3"/>
        </w:rPr>
        <w:t>电子信息系统的主机房及其控制室、记录介质库，特殊贵重或火灾危险性大的机器、仪</w:t>
      </w:r>
    </w:p>
    <w:p>
      <w:pPr>
        <w:pStyle w:val="BodyText"/>
        <w:ind w:left="418"/>
      </w:pPr>
      <w:r>
        <w:rPr>
          <w:color w:val="333333"/>
        </w:rPr>
        <w:t>表、仪器设备室、贵重物品库房； </w:t>
      </w:r>
    </w:p>
    <w:p>
      <w:pPr>
        <w:pStyle w:val="BodyText"/>
        <w:spacing w:before="2"/>
        <w:rPr>
          <w:sz w:val="17"/>
        </w:rPr>
      </w:pPr>
    </w:p>
    <w:p>
      <w:pPr>
        <w:pStyle w:val="BodyText"/>
        <w:spacing w:line="446" w:lineRule="auto"/>
        <w:ind w:left="418" w:right="1711" w:firstLine="419"/>
      </w:pPr>
      <w:r>
        <w:rPr>
          <w:color w:val="333333"/>
          <w:spacing w:val="-6"/>
        </w:rPr>
        <w:t>二类高层公共建筑内建筑面积大于 </w:t>
      </w:r>
      <w:r>
        <w:rPr>
          <w:color w:val="333333"/>
        </w:rPr>
        <w:t>50m</w:t>
      </w:r>
      <w:r>
        <w:rPr>
          <w:color w:val="333333"/>
          <w:position w:val="11"/>
          <w:sz w:val="11"/>
        </w:rPr>
        <w:t>2</w:t>
      </w:r>
      <w:r>
        <w:rPr>
          <w:color w:val="333333"/>
          <w:sz w:val="11"/>
        </w:rPr>
        <w:t>  </w:t>
      </w:r>
      <w:r>
        <w:rPr>
          <w:color w:val="333333"/>
          <w:spacing w:val="-6"/>
        </w:rPr>
        <w:t>的可燃物品库房和建筑面积大于 </w:t>
      </w:r>
      <w:r>
        <w:rPr>
          <w:color w:val="333333"/>
        </w:rPr>
        <w:t>500m</w:t>
      </w:r>
      <w:r>
        <w:rPr>
          <w:color w:val="333333"/>
          <w:position w:val="11"/>
          <w:sz w:val="11"/>
        </w:rPr>
        <w:t>2</w:t>
      </w:r>
      <w:r>
        <w:rPr>
          <w:color w:val="333333"/>
          <w:sz w:val="11"/>
        </w:rPr>
        <w:t>   </w:t>
      </w:r>
      <w:r>
        <w:rPr>
          <w:color w:val="333333"/>
          <w:spacing w:val="-2"/>
        </w:rPr>
        <w:t>的营业</w:t>
      </w:r>
      <w:r>
        <w:rPr>
          <w:color w:val="333333"/>
          <w:spacing w:val="-3"/>
        </w:rPr>
        <w:t>厅；</w:t>
      </w:r>
      <w:r>
        <w:rPr>
          <w:color w:val="333333"/>
        </w:rPr>
        <w:t> </w:t>
      </w:r>
    </w:p>
    <w:p>
      <w:pPr>
        <w:pStyle w:val="BodyText"/>
        <w:ind w:left="838"/>
      </w:pPr>
      <w:r>
        <w:rPr>
          <w:color w:val="333333"/>
        </w:rPr>
        <w:t>其他一类高层公共建筑； </w:t>
      </w:r>
    </w:p>
    <w:p>
      <w:pPr>
        <w:pStyle w:val="BodyText"/>
        <w:rPr>
          <w:sz w:val="18"/>
        </w:rPr>
      </w:pPr>
    </w:p>
    <w:p>
      <w:pPr>
        <w:pStyle w:val="BodyText"/>
        <w:spacing w:line="446" w:lineRule="auto"/>
        <w:ind w:left="418" w:right="1609" w:firstLine="419"/>
      </w:pPr>
      <w:r>
        <w:rPr>
          <w:color w:val="333333"/>
        </w:rPr>
        <w:t>设置机械排烟、防烟系统、雨淋或预作用自动喷水灭火系统、固定消防水炮灭火系统等需与火灾自动报警系统联锁动作的场所或部位。 </w:t>
      </w:r>
    </w:p>
    <w:p>
      <w:pPr>
        <w:pStyle w:val="BodyText"/>
        <w:spacing w:line="446" w:lineRule="auto"/>
        <w:ind w:left="418" w:right="1609" w:firstLine="419"/>
      </w:pPr>
      <w:r>
        <w:rPr>
          <w:color w:val="333333"/>
        </w:rPr>
        <w:t>注：老年人照料设施中的老年人用房及其公共走道，均应设置火灾探测器和声警报装置或消防广播。 </w:t>
      </w:r>
    </w:p>
    <w:p>
      <w:pPr>
        <w:pStyle w:val="ListParagraph"/>
        <w:numPr>
          <w:ilvl w:val="2"/>
          <w:numId w:val="291"/>
        </w:numPr>
        <w:tabs>
          <w:tab w:pos="1370" w:val="left" w:leader="none"/>
        </w:tabs>
        <w:spacing w:line="267" w:lineRule="exact" w:before="0" w:after="0"/>
        <w:ind w:left="1369" w:right="0" w:hanging="530"/>
        <w:jc w:val="left"/>
        <w:rPr>
          <w:sz w:val="21"/>
        </w:rPr>
      </w:pPr>
      <w:r>
        <w:rPr>
          <w:color w:val="333333"/>
          <w:spacing w:val="-10"/>
          <w:sz w:val="21"/>
        </w:rPr>
        <w:t>建筑高度大于 </w:t>
      </w:r>
      <w:r>
        <w:rPr>
          <w:color w:val="333333"/>
          <w:sz w:val="21"/>
        </w:rPr>
        <w:t>100m</w:t>
      </w:r>
      <w:r>
        <w:rPr>
          <w:color w:val="333333"/>
          <w:spacing w:val="-3"/>
          <w:sz w:val="21"/>
        </w:rPr>
        <w:t> 的住宅建筑，应设置火灾自动报警系统。</w:t>
      </w:r>
      <w:r>
        <w:rPr>
          <w:color w:val="333333"/>
          <w:sz w:val="21"/>
        </w:rPr>
        <w:t> </w:t>
      </w:r>
    </w:p>
    <w:p>
      <w:pPr>
        <w:pStyle w:val="BodyText"/>
        <w:spacing w:before="2"/>
        <w:rPr>
          <w:sz w:val="18"/>
        </w:rPr>
      </w:pPr>
    </w:p>
    <w:p>
      <w:pPr>
        <w:pStyle w:val="BodyText"/>
        <w:spacing w:line="446" w:lineRule="auto"/>
        <w:ind w:left="418" w:right="1611" w:firstLine="419"/>
      </w:pPr>
      <w:r>
        <w:rPr>
          <w:color w:val="333333"/>
          <w:spacing w:val="-9"/>
        </w:rPr>
        <w:t>建筑高度大于 </w:t>
      </w:r>
      <w:r>
        <w:rPr>
          <w:color w:val="333333"/>
        </w:rPr>
        <w:t>54m</w:t>
      </w:r>
      <w:r>
        <w:rPr>
          <w:color w:val="333333"/>
          <w:spacing w:val="-8"/>
        </w:rPr>
        <w:t> 但不大于 </w:t>
      </w:r>
      <w:r>
        <w:rPr>
          <w:color w:val="333333"/>
        </w:rPr>
        <w:t>100m</w:t>
      </w:r>
      <w:r>
        <w:rPr>
          <w:color w:val="333333"/>
          <w:spacing w:val="-3"/>
        </w:rPr>
        <w:t> 的住宅建筑，其公共部位应设置火灾自动报警系统，套内宜设置火灾探测器。</w:t>
      </w:r>
      <w:r>
        <w:rPr>
          <w:color w:val="333333"/>
        </w:rPr>
        <w:t> </w:t>
      </w:r>
    </w:p>
    <w:p>
      <w:pPr>
        <w:pStyle w:val="BodyText"/>
        <w:spacing w:line="446" w:lineRule="auto"/>
        <w:ind w:left="418" w:right="1498" w:firstLine="419"/>
      </w:pPr>
      <w:r>
        <w:rPr>
          <w:color w:val="333333"/>
        </w:rPr>
        <w:t>建筑高度不大于 54m 的高层住宅建筑，其公共部位宜设置火灾自动报警系统。当设置需联动控制的消防设施时，公共部位应设置火灾自动报警系统。 </w:t>
      </w:r>
    </w:p>
    <w:p>
      <w:pPr>
        <w:spacing w:after="0" w:line="446" w:lineRule="auto"/>
        <w:sectPr>
          <w:pgSz w:w="11910" w:h="16850"/>
          <w:pgMar w:header="0" w:footer="1239" w:top="1200" w:bottom="1420" w:left="1260" w:right="0"/>
        </w:sectPr>
      </w:pPr>
    </w:p>
    <w:p>
      <w:pPr>
        <w:pStyle w:val="BodyText"/>
        <w:spacing w:line="446" w:lineRule="auto" w:before="47"/>
        <w:ind w:left="840" w:right="2549" w:hanging="3"/>
      </w:pPr>
      <w:r>
        <w:rPr>
          <w:color w:val="333333"/>
        </w:rPr>
        <w:t>高层住宅建筑的公共部位应设置具有语音功能的火灾声警报装置或应急广播。</w:t>
      </w:r>
      <w:r>
        <w:rPr>
          <w:b/>
          <w:color w:val="333333"/>
        </w:rPr>
        <w:t>8.4.3 </w:t>
      </w:r>
      <w:r>
        <w:rPr>
          <w:color w:val="333333"/>
        </w:rPr>
        <w:t>建筑内可能散发可燃气体、可燃蒸气的场所应设置可燃气体报警装置。 </w:t>
      </w:r>
    </w:p>
    <w:p>
      <w:pPr>
        <w:pStyle w:val="ListParagraph"/>
        <w:numPr>
          <w:ilvl w:val="1"/>
          <w:numId w:val="292"/>
        </w:numPr>
        <w:tabs>
          <w:tab w:pos="1160" w:val="left" w:leader="none"/>
        </w:tabs>
        <w:spacing w:line="267" w:lineRule="exact" w:before="0" w:after="0"/>
        <w:ind w:left="1159" w:right="0" w:hanging="320"/>
        <w:jc w:val="left"/>
        <w:rPr>
          <w:b/>
          <w:sz w:val="21"/>
        </w:rPr>
      </w:pPr>
      <w:r>
        <w:rPr>
          <w:spacing w:val="-3"/>
          <w:sz w:val="21"/>
        </w:rPr>
        <w:t>防烟和排烟设施</w:t>
      </w:r>
      <w:r>
        <w:rPr>
          <w:b/>
          <w:w w:val="99"/>
          <w:sz w:val="21"/>
        </w:rPr>
        <w:t> </w:t>
      </w:r>
    </w:p>
    <w:p>
      <w:pPr>
        <w:pStyle w:val="BodyText"/>
        <w:spacing w:before="2"/>
        <w:rPr>
          <w:b/>
          <w:sz w:val="18"/>
        </w:rPr>
      </w:pPr>
    </w:p>
    <w:p>
      <w:pPr>
        <w:pStyle w:val="ListParagraph"/>
        <w:numPr>
          <w:ilvl w:val="2"/>
          <w:numId w:val="292"/>
        </w:numPr>
        <w:tabs>
          <w:tab w:pos="1371" w:val="left" w:leader="none"/>
        </w:tabs>
        <w:spacing w:line="240" w:lineRule="auto" w:before="0" w:after="0"/>
        <w:ind w:left="1370" w:right="0" w:hanging="531"/>
        <w:jc w:val="left"/>
        <w:rPr>
          <w:sz w:val="21"/>
        </w:rPr>
      </w:pPr>
      <w:r>
        <w:rPr>
          <w:color w:val="333333"/>
          <w:spacing w:val="-3"/>
          <w:sz w:val="21"/>
        </w:rPr>
        <w:t>建筑的下列场所或部位应设置防烟设施：</w:t>
      </w:r>
      <w:r>
        <w:rPr>
          <w:color w:val="333333"/>
          <w:sz w:val="21"/>
        </w:rPr>
        <w:t> </w:t>
      </w:r>
    </w:p>
    <w:p>
      <w:pPr>
        <w:pStyle w:val="BodyText"/>
        <w:rPr>
          <w:sz w:val="18"/>
        </w:rPr>
      </w:pPr>
    </w:p>
    <w:p>
      <w:pPr>
        <w:pStyle w:val="BodyText"/>
        <w:ind w:left="838"/>
      </w:pPr>
      <w:r>
        <w:rPr>
          <w:color w:val="333333"/>
        </w:rPr>
        <w:t>防烟楼梯间及其前室； </w:t>
      </w:r>
    </w:p>
    <w:p>
      <w:pPr>
        <w:pStyle w:val="BodyText"/>
        <w:spacing w:before="12"/>
        <w:rPr>
          <w:sz w:val="17"/>
        </w:rPr>
      </w:pPr>
    </w:p>
    <w:p>
      <w:pPr>
        <w:pStyle w:val="BodyText"/>
        <w:ind w:left="838"/>
      </w:pPr>
      <w:r>
        <w:rPr>
          <w:color w:val="333333"/>
        </w:rPr>
        <w:t>消防电梯间前室或合用前室； </w:t>
      </w:r>
    </w:p>
    <w:p>
      <w:pPr>
        <w:pStyle w:val="BodyText"/>
        <w:spacing w:before="2"/>
        <w:rPr>
          <w:sz w:val="18"/>
        </w:rPr>
      </w:pPr>
    </w:p>
    <w:p>
      <w:pPr>
        <w:pStyle w:val="BodyText"/>
        <w:ind w:left="838"/>
      </w:pPr>
      <w:r>
        <w:rPr>
          <w:color w:val="333333"/>
        </w:rPr>
        <w:t>避难走道的前室、避难层（间）。 </w:t>
      </w:r>
    </w:p>
    <w:p>
      <w:pPr>
        <w:pStyle w:val="BodyText"/>
        <w:rPr>
          <w:sz w:val="18"/>
        </w:rPr>
      </w:pPr>
    </w:p>
    <w:p>
      <w:pPr>
        <w:pStyle w:val="BodyText"/>
        <w:spacing w:line="446" w:lineRule="auto"/>
        <w:ind w:left="418" w:right="1611" w:firstLine="419"/>
      </w:pPr>
      <w:r>
        <w:rPr>
          <w:color w:val="333333"/>
          <w:spacing w:val="-9"/>
        </w:rPr>
        <w:t>建筑高度不大于 </w:t>
      </w:r>
      <w:r>
        <w:rPr>
          <w:color w:val="333333"/>
        </w:rPr>
        <w:t>50m</w:t>
      </w:r>
      <w:r>
        <w:rPr>
          <w:color w:val="333333"/>
          <w:spacing w:val="-6"/>
        </w:rPr>
        <w:t> 的公共建筑、厂房、仓库和建筑高度不大于 </w:t>
      </w:r>
      <w:r>
        <w:rPr>
          <w:color w:val="333333"/>
        </w:rPr>
        <w:t>100m</w:t>
      </w:r>
      <w:r>
        <w:rPr>
          <w:color w:val="333333"/>
          <w:spacing w:val="-2"/>
        </w:rPr>
        <w:t> 的住宅建筑，当其</w:t>
      </w:r>
      <w:r>
        <w:rPr>
          <w:color w:val="333333"/>
          <w:spacing w:val="-3"/>
        </w:rPr>
        <w:t>防烟楼梯间的前室或合用前室符合下列条件之一时，楼梯间可不设置防烟系统：</w:t>
      </w:r>
      <w:r>
        <w:rPr>
          <w:color w:val="333333"/>
        </w:rPr>
        <w:t> </w:t>
      </w:r>
    </w:p>
    <w:p>
      <w:pPr>
        <w:pStyle w:val="BodyText"/>
        <w:ind w:left="838"/>
      </w:pPr>
      <w:r>
        <w:rPr>
          <w:color w:val="333333"/>
        </w:rPr>
        <w:t>前室或合用前室采用敞开的阳台、凹廊； </w:t>
      </w:r>
    </w:p>
    <w:p>
      <w:pPr>
        <w:pStyle w:val="BodyText"/>
        <w:spacing w:before="12"/>
        <w:rPr>
          <w:sz w:val="17"/>
        </w:rPr>
      </w:pPr>
    </w:p>
    <w:p>
      <w:pPr>
        <w:pStyle w:val="BodyText"/>
        <w:spacing w:line="446" w:lineRule="auto"/>
        <w:ind w:left="418" w:right="1609" w:firstLine="419"/>
      </w:pPr>
      <w:r>
        <w:rPr>
          <w:color w:val="333333"/>
        </w:rPr>
        <w:t>前室或合用前室具有不同朝向的可开启外窗，且可开启外窗的面积满足自然排烟口的面积要求。 </w:t>
      </w:r>
    </w:p>
    <w:p>
      <w:pPr>
        <w:pStyle w:val="ListParagraph"/>
        <w:numPr>
          <w:ilvl w:val="2"/>
          <w:numId w:val="292"/>
        </w:numPr>
        <w:tabs>
          <w:tab w:pos="1370" w:val="left" w:leader="none"/>
        </w:tabs>
        <w:spacing w:line="240" w:lineRule="auto" w:before="0" w:after="0"/>
        <w:ind w:left="1369" w:right="0" w:hanging="530"/>
        <w:jc w:val="left"/>
        <w:rPr>
          <w:sz w:val="21"/>
        </w:rPr>
      </w:pPr>
      <w:r>
        <w:rPr>
          <w:color w:val="333333"/>
          <w:spacing w:val="-3"/>
          <w:sz w:val="21"/>
        </w:rPr>
        <w:t>厂房或仓库的下列场所或部位应设置排烟设施：</w:t>
      </w:r>
      <w:r>
        <w:rPr>
          <w:color w:val="333333"/>
          <w:sz w:val="21"/>
        </w:rPr>
        <w:t> </w:t>
      </w:r>
    </w:p>
    <w:p>
      <w:pPr>
        <w:pStyle w:val="BodyText"/>
        <w:spacing w:before="3"/>
        <w:rPr>
          <w:sz w:val="17"/>
        </w:rPr>
      </w:pPr>
    </w:p>
    <w:p>
      <w:pPr>
        <w:pStyle w:val="BodyText"/>
        <w:spacing w:line="446" w:lineRule="auto"/>
        <w:ind w:left="418" w:right="1503" w:firstLine="419"/>
      </w:pPr>
      <w:r>
        <w:rPr>
          <w:color w:val="333333"/>
          <w:spacing w:val="-5"/>
        </w:rPr>
        <w:t>人员或可燃物较多的丙类生产场所，丙类厂房内建筑面积大于 </w:t>
      </w:r>
      <w:r>
        <w:rPr>
          <w:color w:val="333333"/>
        </w:rPr>
        <w:t>300m</w:t>
      </w:r>
      <w:r>
        <w:rPr>
          <w:color w:val="333333"/>
          <w:position w:val="11"/>
          <w:sz w:val="11"/>
        </w:rPr>
        <w:t>2</w:t>
      </w:r>
      <w:r>
        <w:rPr>
          <w:color w:val="333333"/>
          <w:sz w:val="11"/>
        </w:rPr>
        <w:t> </w:t>
      </w:r>
      <w:r>
        <w:rPr>
          <w:color w:val="333333"/>
          <w:spacing w:val="-3"/>
        </w:rPr>
        <w:t>且经常有人停留或可燃物较多的地上房间；</w:t>
      </w:r>
      <w:r>
        <w:rPr>
          <w:color w:val="333333"/>
        </w:rPr>
        <w:t> </w:t>
      </w:r>
    </w:p>
    <w:p>
      <w:pPr>
        <w:pStyle w:val="BodyText"/>
        <w:spacing w:line="436" w:lineRule="auto"/>
        <w:ind w:left="838" w:right="5915"/>
      </w:pPr>
      <w:r>
        <w:rPr>
          <w:color w:val="333333"/>
          <w:spacing w:val="-10"/>
        </w:rPr>
        <w:t>建筑面积大于 </w:t>
      </w:r>
      <w:r>
        <w:rPr>
          <w:color w:val="333333"/>
        </w:rPr>
        <w:t>5000m</w:t>
      </w:r>
      <w:r>
        <w:rPr>
          <w:color w:val="333333"/>
          <w:position w:val="11"/>
          <w:sz w:val="11"/>
        </w:rPr>
        <w:t>2</w:t>
      </w:r>
      <w:r>
        <w:rPr>
          <w:color w:val="333333"/>
          <w:spacing w:val="53"/>
          <w:sz w:val="11"/>
        </w:rPr>
        <w:t> </w:t>
      </w:r>
      <w:r>
        <w:rPr>
          <w:color w:val="333333"/>
          <w:spacing w:val="-3"/>
        </w:rPr>
        <w:t>的丁类生产车间； </w:t>
      </w:r>
      <w:r>
        <w:rPr>
          <w:color w:val="333333"/>
          <w:spacing w:val="-10"/>
        </w:rPr>
        <w:t>占地面积大于 </w:t>
      </w:r>
      <w:r>
        <w:rPr>
          <w:color w:val="333333"/>
        </w:rPr>
        <w:t>1000m</w:t>
      </w:r>
      <w:r>
        <w:rPr>
          <w:color w:val="333333"/>
          <w:position w:val="11"/>
          <w:sz w:val="11"/>
        </w:rPr>
        <w:t>2</w:t>
      </w:r>
      <w:r>
        <w:rPr>
          <w:color w:val="333333"/>
          <w:spacing w:val="49"/>
          <w:sz w:val="11"/>
        </w:rPr>
        <w:t> </w:t>
      </w:r>
      <w:r>
        <w:rPr>
          <w:color w:val="333333"/>
          <w:spacing w:val="-3"/>
        </w:rPr>
        <w:t>的丙类仓库；</w:t>
      </w:r>
      <w:r>
        <w:rPr>
          <w:color w:val="333333"/>
        </w:rPr>
        <w:t> </w:t>
      </w:r>
    </w:p>
    <w:p>
      <w:pPr>
        <w:pStyle w:val="BodyText"/>
        <w:spacing w:line="446" w:lineRule="auto"/>
        <w:ind w:left="418" w:right="1508" w:firstLine="419"/>
      </w:pPr>
      <w:r>
        <w:rPr>
          <w:color w:val="333333"/>
          <w:spacing w:val="-11"/>
        </w:rPr>
        <w:t>高度大于 </w:t>
      </w:r>
      <w:r>
        <w:rPr>
          <w:color w:val="333333"/>
        </w:rPr>
        <w:t>32m</w:t>
      </w:r>
      <w:r>
        <w:rPr>
          <w:color w:val="333333"/>
          <w:spacing w:val="-1"/>
        </w:rPr>
        <w:t> 的高层厂房</w:t>
      </w:r>
      <w:r>
        <w:rPr>
          <w:color w:val="333333"/>
        </w:rPr>
        <w:t>（</w:t>
      </w:r>
      <w:r>
        <w:rPr>
          <w:color w:val="333333"/>
          <w:spacing w:val="-2"/>
        </w:rPr>
        <w:t>仓库</w:t>
      </w:r>
      <w:r>
        <w:rPr>
          <w:color w:val="333333"/>
        </w:rPr>
        <w:t>）</w:t>
      </w:r>
      <w:r>
        <w:rPr>
          <w:color w:val="333333"/>
          <w:spacing w:val="-11"/>
        </w:rPr>
        <w:t>内长度大于 </w:t>
      </w:r>
      <w:r>
        <w:rPr>
          <w:color w:val="333333"/>
        </w:rPr>
        <w:t>20m</w:t>
      </w:r>
      <w:r>
        <w:rPr>
          <w:color w:val="333333"/>
          <w:spacing w:val="-3"/>
        </w:rPr>
        <w:t> 的疏散走道，其他厂房（</w:t>
      </w:r>
      <w:r>
        <w:rPr>
          <w:color w:val="333333"/>
        </w:rPr>
        <w:t>仓库</w:t>
      </w:r>
      <w:r>
        <w:rPr>
          <w:color w:val="333333"/>
          <w:spacing w:val="-3"/>
        </w:rPr>
        <w:t>）</w:t>
      </w:r>
      <w:r>
        <w:rPr>
          <w:color w:val="333333"/>
          <w:spacing w:val="-2"/>
        </w:rPr>
        <w:t>内长度</w:t>
      </w:r>
      <w:r>
        <w:rPr>
          <w:color w:val="333333"/>
          <w:spacing w:val="-20"/>
        </w:rPr>
        <w:t>大于 </w:t>
      </w:r>
      <w:r>
        <w:rPr>
          <w:color w:val="333333"/>
        </w:rPr>
        <w:t>40m</w:t>
      </w:r>
      <w:r>
        <w:rPr>
          <w:color w:val="333333"/>
          <w:spacing w:val="-3"/>
        </w:rPr>
        <w:t> 的疏散走道。 </w:t>
      </w:r>
    </w:p>
    <w:p>
      <w:pPr>
        <w:pStyle w:val="ListParagraph"/>
        <w:numPr>
          <w:ilvl w:val="2"/>
          <w:numId w:val="292"/>
        </w:numPr>
        <w:tabs>
          <w:tab w:pos="1371" w:val="left" w:leader="none"/>
        </w:tabs>
        <w:spacing w:line="240" w:lineRule="auto" w:before="0" w:after="0"/>
        <w:ind w:left="1370" w:right="0" w:hanging="531"/>
        <w:jc w:val="left"/>
        <w:rPr>
          <w:sz w:val="21"/>
        </w:rPr>
      </w:pPr>
      <w:r>
        <w:rPr>
          <w:color w:val="333333"/>
          <w:spacing w:val="-3"/>
          <w:sz w:val="21"/>
        </w:rPr>
        <w:t>民用建筑的下列场所或部位应设置排烟设施： </w:t>
      </w:r>
    </w:p>
    <w:p>
      <w:pPr>
        <w:pStyle w:val="BodyText"/>
        <w:spacing w:before="1"/>
        <w:rPr>
          <w:sz w:val="17"/>
        </w:rPr>
      </w:pPr>
    </w:p>
    <w:p>
      <w:pPr>
        <w:pStyle w:val="BodyText"/>
        <w:spacing w:line="446" w:lineRule="auto" w:before="1"/>
        <w:ind w:left="418" w:right="1503" w:firstLine="419"/>
      </w:pPr>
      <w:r>
        <w:rPr>
          <w:color w:val="333333"/>
          <w:spacing w:val="-6"/>
        </w:rPr>
        <w:t>设置在一、二、三层且房间建筑面积大于 </w:t>
      </w:r>
      <w:r>
        <w:rPr>
          <w:color w:val="333333"/>
        </w:rPr>
        <w:t>100m</w:t>
      </w:r>
      <w:r>
        <w:rPr>
          <w:color w:val="333333"/>
          <w:position w:val="11"/>
          <w:sz w:val="11"/>
        </w:rPr>
        <w:t>2</w:t>
      </w:r>
      <w:r>
        <w:rPr>
          <w:color w:val="333333"/>
          <w:sz w:val="11"/>
        </w:rPr>
        <w:t> </w:t>
      </w:r>
      <w:r>
        <w:rPr>
          <w:color w:val="333333"/>
          <w:spacing w:val="-3"/>
        </w:rPr>
        <w:t>的歌舞娱乐放映游艺场所，设置在四层及以上楼层、地下或半地下的歌舞娱乐放映游艺场所； </w:t>
      </w:r>
    </w:p>
    <w:p>
      <w:pPr>
        <w:pStyle w:val="BodyText"/>
        <w:ind w:left="838"/>
      </w:pPr>
      <w:r>
        <w:rPr>
          <w:color w:val="333333"/>
        </w:rPr>
        <w:t>中庭； </w:t>
      </w:r>
    </w:p>
    <w:p>
      <w:pPr>
        <w:pStyle w:val="BodyText"/>
        <w:spacing w:before="2"/>
        <w:rPr>
          <w:sz w:val="17"/>
        </w:rPr>
      </w:pPr>
    </w:p>
    <w:p>
      <w:pPr>
        <w:pStyle w:val="BodyText"/>
        <w:spacing w:line="441" w:lineRule="auto"/>
        <w:ind w:left="838" w:right="3923"/>
      </w:pPr>
      <w:r>
        <w:rPr>
          <w:color w:val="333333"/>
          <w:spacing w:val="-8"/>
        </w:rPr>
        <w:t>公共建筑内建筑面积大于 </w:t>
      </w:r>
      <w:r>
        <w:rPr>
          <w:color w:val="333333"/>
        </w:rPr>
        <w:t>100m</w:t>
      </w:r>
      <w:r>
        <w:rPr>
          <w:color w:val="333333"/>
          <w:position w:val="11"/>
          <w:sz w:val="11"/>
        </w:rPr>
        <w:t>2</w:t>
      </w:r>
      <w:r>
        <w:rPr>
          <w:color w:val="333333"/>
          <w:sz w:val="11"/>
        </w:rPr>
        <w:t> </w:t>
      </w:r>
      <w:r>
        <w:rPr>
          <w:color w:val="333333"/>
          <w:spacing w:val="-3"/>
        </w:rPr>
        <w:t>且经常有人停留的地上房间； </w:t>
      </w:r>
      <w:r>
        <w:rPr>
          <w:color w:val="333333"/>
          <w:spacing w:val="-2"/>
        </w:rPr>
        <w:t>公共建筑内建筑面积大于 </w:t>
      </w:r>
      <w:r>
        <w:rPr>
          <w:color w:val="333333"/>
        </w:rPr>
        <w:t>300m</w:t>
      </w:r>
      <w:r>
        <w:rPr>
          <w:color w:val="333333"/>
          <w:position w:val="11"/>
          <w:sz w:val="11"/>
        </w:rPr>
        <w:t>2</w:t>
      </w:r>
      <w:r>
        <w:rPr>
          <w:color w:val="333333"/>
          <w:spacing w:val="3"/>
          <w:sz w:val="11"/>
        </w:rPr>
        <w:t>    </w:t>
      </w:r>
      <w:r>
        <w:rPr>
          <w:color w:val="333333"/>
          <w:spacing w:val="-3"/>
        </w:rPr>
        <w:t>且可燃物较多的地上房间； </w:t>
      </w:r>
      <w:r>
        <w:rPr>
          <w:color w:val="333333"/>
          <w:spacing w:val="-10"/>
        </w:rPr>
        <w:t>建筑内长度大于 </w:t>
      </w:r>
      <w:r>
        <w:rPr>
          <w:color w:val="333333"/>
        </w:rPr>
        <w:t>20m</w:t>
      </w:r>
      <w:r>
        <w:rPr>
          <w:color w:val="333333"/>
          <w:spacing w:val="-3"/>
        </w:rPr>
        <w:t> 的疏散走道。</w:t>
      </w:r>
      <w:r>
        <w:rPr>
          <w:color w:val="333333"/>
        </w:rPr>
        <w:t> </w:t>
      </w:r>
    </w:p>
    <w:p>
      <w:pPr>
        <w:pStyle w:val="ListParagraph"/>
        <w:numPr>
          <w:ilvl w:val="2"/>
          <w:numId w:val="292"/>
        </w:numPr>
        <w:tabs>
          <w:tab w:pos="1371" w:val="left" w:leader="none"/>
        </w:tabs>
        <w:spacing w:line="439" w:lineRule="auto" w:before="0" w:after="0"/>
        <w:ind w:left="418" w:right="1469" w:firstLine="422"/>
        <w:jc w:val="left"/>
        <w:rPr>
          <w:sz w:val="21"/>
        </w:rPr>
      </w:pPr>
      <w:r>
        <w:rPr>
          <w:color w:val="333333"/>
          <w:spacing w:val="-3"/>
          <w:sz w:val="21"/>
        </w:rPr>
        <w:t>地下或半地下建筑</w:t>
      </w:r>
      <w:r>
        <w:rPr>
          <w:color w:val="333333"/>
          <w:sz w:val="21"/>
        </w:rPr>
        <w:t>（室</w:t>
      </w:r>
      <w:r>
        <w:rPr>
          <w:color w:val="333333"/>
          <w:spacing w:val="-3"/>
          <w:sz w:val="21"/>
        </w:rPr>
        <w:t>）</w:t>
      </w:r>
      <w:r>
        <w:rPr>
          <w:color w:val="333333"/>
          <w:spacing w:val="-5"/>
          <w:sz w:val="21"/>
        </w:rPr>
        <w:t>、地上建筑内的无窗房间，当总建筑面积大于 </w:t>
      </w:r>
      <w:r>
        <w:rPr>
          <w:color w:val="333333"/>
          <w:sz w:val="21"/>
        </w:rPr>
        <w:t>200m</w:t>
      </w:r>
      <w:r>
        <w:rPr>
          <w:color w:val="333333"/>
          <w:position w:val="11"/>
          <w:sz w:val="11"/>
        </w:rPr>
        <w:t>2</w:t>
      </w:r>
      <w:r>
        <w:rPr>
          <w:color w:val="333333"/>
          <w:spacing w:val="-24"/>
          <w:position w:val="11"/>
          <w:sz w:val="11"/>
        </w:rPr>
        <w:t> </w:t>
      </w:r>
      <w:r>
        <w:rPr>
          <w:color w:val="333333"/>
          <w:spacing w:val="-2"/>
          <w:sz w:val="21"/>
        </w:rPr>
        <w:t>或一个</w:t>
      </w:r>
      <w:r>
        <w:rPr>
          <w:color w:val="333333"/>
          <w:spacing w:val="-9"/>
          <w:sz w:val="21"/>
        </w:rPr>
        <w:t>房间建筑面积大于 </w:t>
      </w:r>
      <w:r>
        <w:rPr>
          <w:color w:val="333333"/>
          <w:sz w:val="21"/>
        </w:rPr>
        <w:t>50m</w:t>
      </w:r>
      <w:r>
        <w:rPr>
          <w:color w:val="333333"/>
          <w:position w:val="11"/>
          <w:sz w:val="11"/>
        </w:rPr>
        <w:t>2</w:t>
      </w:r>
      <w:r>
        <w:rPr>
          <w:color w:val="333333"/>
          <w:spacing w:val="-3"/>
          <w:sz w:val="21"/>
        </w:rPr>
        <w:t>，且经常有人停留或可燃物较多时，应设置排烟设施。 </w:t>
      </w:r>
    </w:p>
    <w:p>
      <w:pPr>
        <w:spacing w:after="0" w:line="439" w:lineRule="auto"/>
        <w:jc w:val="left"/>
        <w:rPr>
          <w:sz w:val="21"/>
        </w:rPr>
        <w:sectPr>
          <w:pgSz w:w="11910" w:h="16850"/>
          <w:pgMar w:header="0" w:footer="1239" w:top="1220" w:bottom="1420" w:left="1260" w:right="0"/>
        </w:sectPr>
      </w:pPr>
    </w:p>
    <w:p>
      <w:pPr>
        <w:pStyle w:val="Heading4"/>
        <w:spacing w:before="37"/>
      </w:pPr>
      <w:r>
        <w:rPr/>
        <w:t>9 供暖、通风和空气调节</w:t>
      </w:r>
      <w:r>
        <w:rPr>
          <w:w w:val="99"/>
        </w:rPr>
        <w:t> </w:t>
      </w:r>
    </w:p>
    <w:p>
      <w:pPr>
        <w:pStyle w:val="BodyText"/>
        <w:spacing w:before="4"/>
        <w:rPr>
          <w:b/>
          <w:sz w:val="17"/>
        </w:rPr>
      </w:pPr>
    </w:p>
    <w:p>
      <w:pPr>
        <w:pStyle w:val="ListParagraph"/>
        <w:numPr>
          <w:ilvl w:val="1"/>
          <w:numId w:val="293"/>
        </w:numPr>
        <w:tabs>
          <w:tab w:pos="1159" w:val="left" w:leader="none"/>
        </w:tabs>
        <w:spacing w:line="240" w:lineRule="auto" w:before="1" w:after="0"/>
        <w:ind w:left="1158" w:right="0" w:hanging="319"/>
        <w:jc w:val="left"/>
        <w:rPr>
          <w:sz w:val="21"/>
        </w:rPr>
      </w:pPr>
      <w:r>
        <w:rPr>
          <w:spacing w:val="-3"/>
          <w:sz w:val="21"/>
        </w:rPr>
        <w:t>一般规定</w:t>
      </w:r>
      <w:r>
        <w:rPr>
          <w:sz w:val="21"/>
        </w:rPr>
        <w:t> </w:t>
      </w:r>
    </w:p>
    <w:p>
      <w:pPr>
        <w:pStyle w:val="BodyText"/>
        <w:spacing w:before="12"/>
        <w:rPr>
          <w:sz w:val="17"/>
        </w:rPr>
      </w:pPr>
    </w:p>
    <w:p>
      <w:pPr>
        <w:pStyle w:val="ListParagraph"/>
        <w:numPr>
          <w:ilvl w:val="2"/>
          <w:numId w:val="293"/>
        </w:numPr>
        <w:tabs>
          <w:tab w:pos="1370" w:val="left" w:leader="none"/>
        </w:tabs>
        <w:spacing w:line="240" w:lineRule="auto" w:before="0" w:after="0"/>
        <w:ind w:left="1369" w:right="0" w:hanging="530"/>
        <w:jc w:val="left"/>
        <w:rPr>
          <w:sz w:val="21"/>
        </w:rPr>
      </w:pPr>
      <w:r>
        <w:rPr>
          <w:color w:val="333333"/>
          <w:spacing w:val="-3"/>
          <w:sz w:val="21"/>
        </w:rPr>
        <w:t>供暖、通风和空气调节系统应采取防火措施。 </w:t>
      </w:r>
    </w:p>
    <w:p>
      <w:pPr>
        <w:pStyle w:val="BodyText"/>
        <w:spacing w:before="2"/>
        <w:rPr>
          <w:sz w:val="18"/>
        </w:rPr>
      </w:pPr>
    </w:p>
    <w:p>
      <w:pPr>
        <w:pStyle w:val="ListParagraph"/>
        <w:numPr>
          <w:ilvl w:val="2"/>
          <w:numId w:val="293"/>
        </w:numPr>
        <w:tabs>
          <w:tab w:pos="1370" w:val="left" w:leader="none"/>
        </w:tabs>
        <w:spacing w:line="240" w:lineRule="auto" w:before="0" w:after="0"/>
        <w:ind w:left="1369" w:right="0" w:hanging="530"/>
        <w:jc w:val="left"/>
        <w:rPr>
          <w:sz w:val="21"/>
        </w:rPr>
      </w:pPr>
      <w:r>
        <w:rPr>
          <w:color w:val="333333"/>
          <w:spacing w:val="-3"/>
          <w:sz w:val="21"/>
        </w:rPr>
        <w:t>甲、乙类厂房内的空气不应循环使用。</w:t>
      </w:r>
      <w:r>
        <w:rPr>
          <w:color w:val="333333"/>
          <w:sz w:val="21"/>
        </w:rPr>
        <w:t> </w:t>
      </w:r>
    </w:p>
    <w:p>
      <w:pPr>
        <w:pStyle w:val="BodyText"/>
        <w:spacing w:before="12"/>
        <w:rPr>
          <w:sz w:val="17"/>
        </w:rPr>
      </w:pPr>
    </w:p>
    <w:p>
      <w:pPr>
        <w:pStyle w:val="BodyText"/>
        <w:spacing w:line="446" w:lineRule="auto"/>
        <w:ind w:left="418" w:right="1609" w:firstLine="419"/>
      </w:pPr>
      <w:r>
        <w:rPr>
          <w:color w:val="333333"/>
        </w:rPr>
        <w:t>丙类厂房内含有燃烧或爆炸危险粉尘、纤维的空气，在循环使用前应经净化处理，并应使空气中的含尘浓度低于其爆炸下限的 25%。 </w:t>
      </w:r>
    </w:p>
    <w:p>
      <w:pPr>
        <w:pStyle w:val="ListParagraph"/>
        <w:numPr>
          <w:ilvl w:val="2"/>
          <w:numId w:val="293"/>
        </w:numPr>
        <w:tabs>
          <w:tab w:pos="1370" w:val="left" w:leader="none"/>
        </w:tabs>
        <w:spacing w:line="446" w:lineRule="auto" w:before="0" w:after="0"/>
        <w:ind w:left="418" w:right="1604" w:firstLine="422"/>
        <w:jc w:val="left"/>
        <w:rPr>
          <w:sz w:val="21"/>
        </w:rPr>
      </w:pPr>
      <w:r>
        <w:rPr>
          <w:color w:val="333333"/>
          <w:spacing w:val="-3"/>
          <w:sz w:val="21"/>
        </w:rPr>
        <w:t>为甲、乙类厂房服务的送风设备与排风设备应分别布置在不同通风机房内，且排风设备不应和其他房间的送、排风设备布置在同一通风机房内。</w:t>
      </w:r>
      <w:r>
        <w:rPr>
          <w:color w:val="333333"/>
          <w:sz w:val="21"/>
        </w:rPr>
        <w:t> </w:t>
      </w:r>
    </w:p>
    <w:p>
      <w:pPr>
        <w:pStyle w:val="ListParagraph"/>
        <w:numPr>
          <w:ilvl w:val="2"/>
          <w:numId w:val="293"/>
        </w:numPr>
        <w:tabs>
          <w:tab w:pos="1371" w:val="left" w:leader="none"/>
        </w:tabs>
        <w:spacing w:line="446" w:lineRule="auto" w:before="0" w:after="0"/>
        <w:ind w:left="418" w:right="1604" w:firstLine="422"/>
        <w:jc w:val="left"/>
        <w:rPr>
          <w:sz w:val="21"/>
        </w:rPr>
      </w:pPr>
      <w:r>
        <w:rPr>
          <w:color w:val="333333"/>
          <w:spacing w:val="-3"/>
          <w:sz w:val="21"/>
        </w:rPr>
        <w:t>民用建筑内空气中含有容易起火或爆炸危险物质的房间，应设置自然通风或独立的机械通风设施，且其空气不应循环使用。</w:t>
      </w:r>
      <w:r>
        <w:rPr>
          <w:color w:val="333333"/>
          <w:sz w:val="21"/>
        </w:rPr>
        <w:t> </w:t>
      </w:r>
    </w:p>
    <w:p>
      <w:pPr>
        <w:pStyle w:val="ListParagraph"/>
        <w:numPr>
          <w:ilvl w:val="2"/>
          <w:numId w:val="293"/>
        </w:numPr>
        <w:tabs>
          <w:tab w:pos="1370" w:val="left" w:leader="none"/>
        </w:tabs>
        <w:spacing w:line="446" w:lineRule="auto" w:before="0" w:after="0"/>
        <w:ind w:left="418" w:right="1813" w:firstLine="422"/>
        <w:jc w:val="left"/>
        <w:rPr>
          <w:sz w:val="21"/>
        </w:rPr>
      </w:pPr>
      <w:r>
        <w:rPr>
          <w:color w:val="333333"/>
          <w:spacing w:val="-3"/>
          <w:sz w:val="21"/>
        </w:rPr>
        <w:t>当空气中含有比空气轻的可燃气体时，水平排风管全长应顺气流方向向上坡度敷设。</w:t>
      </w:r>
      <w:r>
        <w:rPr>
          <w:color w:val="333333"/>
          <w:sz w:val="21"/>
        </w:rPr>
        <w:t> </w:t>
      </w:r>
    </w:p>
    <w:p>
      <w:pPr>
        <w:pStyle w:val="ListParagraph"/>
        <w:numPr>
          <w:ilvl w:val="2"/>
          <w:numId w:val="293"/>
        </w:numPr>
        <w:tabs>
          <w:tab w:pos="1370" w:val="left" w:leader="none"/>
        </w:tabs>
        <w:spacing w:line="446" w:lineRule="auto" w:before="0" w:after="0"/>
        <w:ind w:left="418" w:right="1604" w:firstLine="422"/>
        <w:jc w:val="left"/>
        <w:rPr>
          <w:sz w:val="21"/>
        </w:rPr>
      </w:pPr>
      <w:r>
        <w:rPr>
          <w:color w:val="333333"/>
          <w:spacing w:val="-3"/>
          <w:sz w:val="21"/>
        </w:rPr>
        <w:t>可燃气体管道和甲、乙、丙类液体管道不应穿过通风机房和通风管道，且不应紧贴通风管道的外壁敷设。</w:t>
      </w:r>
      <w:r>
        <w:rPr>
          <w:color w:val="333333"/>
          <w:sz w:val="21"/>
        </w:rPr>
        <w:t> </w:t>
      </w:r>
    </w:p>
    <w:p>
      <w:pPr>
        <w:spacing w:line="267" w:lineRule="exact" w:before="0"/>
        <w:ind w:left="840" w:right="0" w:firstLine="0"/>
        <w:jc w:val="left"/>
        <w:rPr>
          <w:b/>
          <w:sz w:val="21"/>
        </w:rPr>
      </w:pPr>
      <w:r>
        <w:rPr>
          <w:b/>
          <w:sz w:val="21"/>
        </w:rPr>
        <w:t>9.2 </w:t>
      </w:r>
      <w:r>
        <w:rPr>
          <w:sz w:val="21"/>
        </w:rPr>
        <w:t>供 暖</w:t>
      </w:r>
      <w:r>
        <w:rPr>
          <w:b/>
          <w:w w:val="99"/>
          <w:sz w:val="21"/>
        </w:rPr>
        <w:t> </w:t>
      </w:r>
    </w:p>
    <w:p>
      <w:pPr>
        <w:pStyle w:val="BodyText"/>
        <w:rPr>
          <w:b/>
          <w:sz w:val="18"/>
        </w:rPr>
      </w:pPr>
    </w:p>
    <w:p>
      <w:pPr>
        <w:pStyle w:val="ListParagraph"/>
        <w:numPr>
          <w:ilvl w:val="2"/>
          <w:numId w:val="294"/>
        </w:numPr>
        <w:tabs>
          <w:tab w:pos="1370" w:val="left" w:leader="none"/>
        </w:tabs>
        <w:spacing w:line="446" w:lineRule="auto" w:before="0" w:after="0"/>
        <w:ind w:left="418" w:right="1553" w:firstLine="422"/>
        <w:jc w:val="left"/>
        <w:rPr>
          <w:sz w:val="21"/>
        </w:rPr>
      </w:pPr>
      <w:r>
        <w:rPr>
          <w:color w:val="333333"/>
          <w:spacing w:val="-5"/>
          <w:sz w:val="21"/>
        </w:rPr>
        <w:t>在散发可燃粉尘、纤维的厂房内，散热器表面平均温度不应超过 </w:t>
      </w:r>
      <w:r>
        <w:rPr>
          <w:color w:val="333333"/>
          <w:sz w:val="21"/>
        </w:rPr>
        <w:t>82.5</w:t>
      </w:r>
      <w:r>
        <w:rPr>
          <w:color w:val="333333"/>
          <w:spacing w:val="-2"/>
          <w:sz w:val="21"/>
        </w:rPr>
        <w:t>℃。输煤廊的</w:t>
      </w:r>
      <w:r>
        <w:rPr>
          <w:color w:val="333333"/>
          <w:spacing w:val="-7"/>
          <w:sz w:val="21"/>
        </w:rPr>
        <w:t>散热器表面平均温度不应超过 </w:t>
      </w:r>
      <w:r>
        <w:rPr>
          <w:color w:val="333333"/>
          <w:sz w:val="21"/>
        </w:rPr>
        <w:t>130</w:t>
      </w:r>
      <w:r>
        <w:rPr>
          <w:color w:val="333333"/>
          <w:spacing w:val="-2"/>
          <w:sz w:val="21"/>
        </w:rPr>
        <w:t>℃。</w:t>
      </w:r>
      <w:r>
        <w:rPr>
          <w:color w:val="333333"/>
          <w:sz w:val="21"/>
        </w:rPr>
        <w:t> </w:t>
      </w:r>
    </w:p>
    <w:p>
      <w:pPr>
        <w:pStyle w:val="ListParagraph"/>
        <w:numPr>
          <w:ilvl w:val="2"/>
          <w:numId w:val="294"/>
        </w:numPr>
        <w:tabs>
          <w:tab w:pos="1371" w:val="left" w:leader="none"/>
        </w:tabs>
        <w:spacing w:line="267" w:lineRule="exact" w:before="0" w:after="0"/>
        <w:ind w:left="1370" w:right="0" w:hanging="531"/>
        <w:jc w:val="left"/>
        <w:rPr>
          <w:sz w:val="21"/>
        </w:rPr>
      </w:pPr>
      <w:r>
        <w:rPr>
          <w:color w:val="333333"/>
          <w:spacing w:val="-3"/>
          <w:sz w:val="21"/>
        </w:rPr>
        <w:t>甲、乙类厂房（</w:t>
      </w:r>
      <w:r>
        <w:rPr>
          <w:color w:val="333333"/>
          <w:spacing w:val="-2"/>
          <w:sz w:val="21"/>
        </w:rPr>
        <w:t>仓库</w:t>
      </w:r>
      <w:r>
        <w:rPr>
          <w:color w:val="333333"/>
          <w:sz w:val="21"/>
        </w:rPr>
        <w:t>）</w:t>
      </w:r>
      <w:r>
        <w:rPr>
          <w:color w:val="333333"/>
          <w:spacing w:val="-3"/>
          <w:sz w:val="21"/>
        </w:rPr>
        <w:t>内严禁采用明火和电热散热器供暖。</w:t>
      </w:r>
      <w:r>
        <w:rPr>
          <w:color w:val="333333"/>
          <w:sz w:val="21"/>
        </w:rPr>
        <w:t> </w:t>
      </w:r>
    </w:p>
    <w:p>
      <w:pPr>
        <w:pStyle w:val="BodyText"/>
        <w:spacing w:before="2"/>
        <w:rPr>
          <w:sz w:val="18"/>
        </w:rPr>
      </w:pPr>
    </w:p>
    <w:p>
      <w:pPr>
        <w:pStyle w:val="ListParagraph"/>
        <w:numPr>
          <w:ilvl w:val="2"/>
          <w:numId w:val="294"/>
        </w:numPr>
        <w:tabs>
          <w:tab w:pos="1370" w:val="left" w:leader="none"/>
        </w:tabs>
        <w:spacing w:line="240" w:lineRule="auto" w:before="0" w:after="0"/>
        <w:ind w:left="1369" w:right="0" w:hanging="530"/>
        <w:jc w:val="left"/>
        <w:rPr>
          <w:sz w:val="21"/>
        </w:rPr>
      </w:pPr>
      <w:r>
        <w:rPr>
          <w:color w:val="333333"/>
          <w:spacing w:val="-3"/>
          <w:sz w:val="21"/>
        </w:rPr>
        <w:t>下列厂房应采用不循环使用的热风供暖：</w:t>
      </w:r>
      <w:r>
        <w:rPr>
          <w:color w:val="333333"/>
          <w:sz w:val="21"/>
        </w:rPr>
        <w:t> </w:t>
      </w:r>
    </w:p>
    <w:p>
      <w:pPr>
        <w:pStyle w:val="BodyText"/>
        <w:rPr>
          <w:sz w:val="18"/>
        </w:rPr>
      </w:pPr>
    </w:p>
    <w:p>
      <w:pPr>
        <w:pStyle w:val="BodyText"/>
        <w:spacing w:line="446" w:lineRule="auto"/>
        <w:ind w:left="418" w:right="1609" w:firstLine="419"/>
      </w:pPr>
      <w:r>
        <w:rPr>
          <w:color w:val="333333"/>
        </w:rPr>
        <w:t>生产过程中散发的可燃气体、蒸气、粉尘或纤维与供暖管道、散热器表面接触能引起燃烧的厂房； </w:t>
      </w:r>
    </w:p>
    <w:p>
      <w:pPr>
        <w:pStyle w:val="BodyText"/>
        <w:spacing w:line="446" w:lineRule="auto"/>
        <w:ind w:left="418" w:right="1817" w:firstLine="419"/>
      </w:pPr>
      <w:r>
        <w:rPr>
          <w:color w:val="333333"/>
        </w:rPr>
        <w:t>生产过程中散发的粉尘受到水、水蒸汽的作用能引起自燃、爆炸或产生爆炸性气体的厂房。 </w:t>
      </w:r>
    </w:p>
    <w:p>
      <w:pPr>
        <w:pStyle w:val="ListParagraph"/>
        <w:numPr>
          <w:ilvl w:val="2"/>
          <w:numId w:val="294"/>
        </w:numPr>
        <w:tabs>
          <w:tab w:pos="1371" w:val="left" w:leader="none"/>
        </w:tabs>
        <w:spacing w:line="446" w:lineRule="auto" w:before="0" w:after="0"/>
        <w:ind w:left="418" w:right="1604" w:firstLine="422"/>
        <w:jc w:val="left"/>
        <w:rPr>
          <w:sz w:val="21"/>
        </w:rPr>
      </w:pPr>
      <w:r>
        <w:rPr>
          <w:color w:val="333333"/>
          <w:spacing w:val="-3"/>
          <w:sz w:val="21"/>
        </w:rPr>
        <w:t>供暖管道不应穿过存在与供暖管道接触能引起燃烧或爆炸的气体、蒸气或粉尘的房间，确需穿过时，应采用不燃材料隔热。</w:t>
      </w:r>
      <w:r>
        <w:rPr>
          <w:color w:val="333333"/>
          <w:sz w:val="21"/>
        </w:rPr>
        <w:t> </w:t>
      </w:r>
    </w:p>
    <w:p>
      <w:pPr>
        <w:pStyle w:val="ListParagraph"/>
        <w:numPr>
          <w:ilvl w:val="2"/>
          <w:numId w:val="294"/>
        </w:numPr>
        <w:tabs>
          <w:tab w:pos="1370" w:val="left" w:leader="none"/>
        </w:tabs>
        <w:spacing w:line="240" w:lineRule="auto" w:before="0" w:after="0"/>
        <w:ind w:left="1369" w:right="0" w:hanging="530"/>
        <w:jc w:val="left"/>
        <w:rPr>
          <w:sz w:val="21"/>
        </w:rPr>
      </w:pPr>
      <w:r>
        <w:rPr>
          <w:color w:val="333333"/>
          <w:spacing w:val="-3"/>
          <w:sz w:val="21"/>
        </w:rPr>
        <w:t>供暖管道与可燃物之间应保持一定距离，并应符合下列规定：</w:t>
      </w:r>
      <w:r>
        <w:rPr>
          <w:color w:val="333333"/>
          <w:sz w:val="21"/>
        </w:rPr>
        <w:t> </w:t>
      </w:r>
    </w:p>
    <w:p>
      <w:pPr>
        <w:pStyle w:val="BodyText"/>
        <w:spacing w:before="10"/>
        <w:rPr>
          <w:sz w:val="17"/>
        </w:rPr>
      </w:pPr>
    </w:p>
    <w:p>
      <w:pPr>
        <w:pStyle w:val="BodyText"/>
        <w:ind w:left="838"/>
      </w:pPr>
      <w:r>
        <w:rPr>
          <w:color w:val="333333"/>
        </w:rPr>
        <w:t>当供暖管道的表面温度大于 100℃时，不应小于 100mm 或采用不燃材料隔热； </w:t>
      </w:r>
    </w:p>
    <w:p>
      <w:pPr>
        <w:pStyle w:val="BodyText"/>
        <w:spacing w:before="2"/>
        <w:rPr>
          <w:sz w:val="18"/>
        </w:rPr>
      </w:pPr>
    </w:p>
    <w:p>
      <w:pPr>
        <w:pStyle w:val="BodyText"/>
        <w:ind w:left="838"/>
      </w:pPr>
      <w:r>
        <w:rPr>
          <w:color w:val="333333"/>
        </w:rPr>
        <w:t>当供暖管道的表面温度不大于 100℃时，不应小于 50mm 或采用不燃材料隔热。 </w:t>
      </w:r>
    </w:p>
    <w:p>
      <w:pPr>
        <w:spacing w:after="0"/>
        <w:sectPr>
          <w:pgSz w:w="11910" w:h="16850"/>
          <w:pgMar w:header="0" w:footer="1239" w:top="1200" w:bottom="1420" w:left="1260" w:right="0"/>
        </w:sectPr>
      </w:pPr>
    </w:p>
    <w:p>
      <w:pPr>
        <w:pStyle w:val="ListParagraph"/>
        <w:numPr>
          <w:ilvl w:val="2"/>
          <w:numId w:val="294"/>
        </w:numPr>
        <w:tabs>
          <w:tab w:pos="1370" w:val="left" w:leader="none"/>
        </w:tabs>
        <w:spacing w:line="240" w:lineRule="auto" w:before="47" w:after="0"/>
        <w:ind w:left="1369" w:right="0" w:hanging="530"/>
        <w:jc w:val="left"/>
        <w:rPr>
          <w:sz w:val="21"/>
        </w:rPr>
      </w:pPr>
      <w:r>
        <w:rPr>
          <w:color w:val="333333"/>
          <w:spacing w:val="-3"/>
          <w:sz w:val="21"/>
        </w:rPr>
        <w:t>建筑内供暖管道和设备的绝热材料应符合下列规定：</w:t>
      </w:r>
      <w:r>
        <w:rPr>
          <w:color w:val="333333"/>
          <w:sz w:val="21"/>
        </w:rPr>
        <w:t> </w:t>
      </w:r>
    </w:p>
    <w:p>
      <w:pPr>
        <w:pStyle w:val="BodyText"/>
        <w:rPr>
          <w:sz w:val="18"/>
        </w:rPr>
      </w:pPr>
    </w:p>
    <w:p>
      <w:pPr>
        <w:pStyle w:val="BodyText"/>
        <w:ind w:left="838"/>
      </w:pPr>
      <w:r>
        <w:rPr>
          <w:color w:val="333333"/>
        </w:rPr>
        <w:t>对于甲、乙类厂房（仓库），应采用不燃材料； </w:t>
      </w:r>
    </w:p>
    <w:p>
      <w:pPr>
        <w:pStyle w:val="BodyText"/>
        <w:rPr>
          <w:sz w:val="18"/>
        </w:rPr>
      </w:pPr>
    </w:p>
    <w:p>
      <w:pPr>
        <w:pStyle w:val="BodyText"/>
        <w:spacing w:line="446" w:lineRule="auto"/>
        <w:ind w:left="840" w:right="4657" w:hanging="3"/>
        <w:rPr>
          <w:b/>
        </w:rPr>
      </w:pPr>
      <w:r>
        <w:rPr>
          <w:color w:val="333333"/>
        </w:rPr>
        <w:t>对于其他建筑，宜采用不燃材料，不得采用可燃材料。</w:t>
      </w:r>
      <w:r>
        <w:rPr>
          <w:b/>
        </w:rPr>
        <w:t>9.3 </w:t>
      </w:r>
      <w:r>
        <w:rPr/>
        <w:t>通风和空气调节</w:t>
      </w:r>
      <w:r>
        <w:rPr>
          <w:b/>
          <w:w w:val="99"/>
        </w:rPr>
        <w:t> </w:t>
      </w:r>
    </w:p>
    <w:p>
      <w:pPr>
        <w:pStyle w:val="ListParagraph"/>
        <w:numPr>
          <w:ilvl w:val="2"/>
          <w:numId w:val="295"/>
        </w:numPr>
        <w:tabs>
          <w:tab w:pos="1371" w:val="left" w:leader="none"/>
        </w:tabs>
        <w:spacing w:line="446" w:lineRule="auto" w:before="0" w:after="0"/>
        <w:ind w:left="418" w:right="1553" w:firstLine="422"/>
        <w:jc w:val="left"/>
        <w:rPr>
          <w:sz w:val="21"/>
        </w:rPr>
      </w:pPr>
      <w:r>
        <w:rPr>
          <w:color w:val="333333"/>
          <w:spacing w:val="-5"/>
          <w:sz w:val="21"/>
        </w:rPr>
        <w:t>通风和空气调节系统，横向宜按防火分区设置，竖向不宜超过 </w:t>
      </w:r>
      <w:r>
        <w:rPr>
          <w:color w:val="333333"/>
          <w:spacing w:val="-3"/>
          <w:sz w:val="21"/>
        </w:rPr>
        <w:t>5</w:t>
      </w:r>
      <w:r>
        <w:rPr>
          <w:color w:val="333333"/>
          <w:spacing w:val="-1"/>
          <w:sz w:val="21"/>
        </w:rPr>
        <w:t> 层。当管道设置防</w:t>
      </w:r>
      <w:r>
        <w:rPr>
          <w:color w:val="333333"/>
          <w:spacing w:val="-3"/>
          <w:sz w:val="21"/>
        </w:rPr>
        <w:t>止回流设施或防火阀时，管道布置可不受此限制。竖向风管应设置在管井内。 </w:t>
      </w:r>
    </w:p>
    <w:p>
      <w:pPr>
        <w:pStyle w:val="ListParagraph"/>
        <w:numPr>
          <w:ilvl w:val="2"/>
          <w:numId w:val="295"/>
        </w:numPr>
        <w:tabs>
          <w:tab w:pos="1371" w:val="left" w:leader="none"/>
        </w:tabs>
        <w:spacing w:line="240" w:lineRule="auto" w:before="0" w:after="0"/>
        <w:ind w:left="1370" w:right="0" w:hanging="531"/>
        <w:jc w:val="left"/>
        <w:rPr>
          <w:sz w:val="21"/>
        </w:rPr>
      </w:pPr>
      <w:r>
        <w:rPr>
          <w:color w:val="333333"/>
          <w:spacing w:val="-3"/>
          <w:sz w:val="21"/>
        </w:rPr>
        <w:t>厂房内有爆炸危险场所的排风管道，严禁穿过防火墙和有爆炸危险的房间隔墙。</w:t>
      </w:r>
      <w:r>
        <w:rPr>
          <w:color w:val="333333"/>
          <w:sz w:val="21"/>
        </w:rPr>
        <w:t> </w:t>
      </w:r>
    </w:p>
    <w:p>
      <w:pPr>
        <w:pStyle w:val="BodyText"/>
        <w:spacing w:before="12"/>
        <w:rPr>
          <w:sz w:val="17"/>
        </w:rPr>
      </w:pPr>
    </w:p>
    <w:p>
      <w:pPr>
        <w:pStyle w:val="ListParagraph"/>
        <w:numPr>
          <w:ilvl w:val="2"/>
          <w:numId w:val="295"/>
        </w:numPr>
        <w:tabs>
          <w:tab w:pos="1371" w:val="left" w:leader="none"/>
        </w:tabs>
        <w:spacing w:line="446" w:lineRule="auto" w:before="0" w:after="0"/>
        <w:ind w:left="418" w:right="1604" w:firstLine="422"/>
        <w:jc w:val="left"/>
        <w:rPr>
          <w:sz w:val="21"/>
        </w:rPr>
      </w:pPr>
      <w:r>
        <w:rPr>
          <w:color w:val="333333"/>
          <w:spacing w:val="-3"/>
          <w:sz w:val="21"/>
        </w:rPr>
        <w:t>甲、乙、丙类厂房内的送、排风管道宜分层设置。当水平或竖向送风管在进入生产车间处设置防火阀时，各层的水平或竖向送风管可合用一个送风系统。</w:t>
      </w:r>
      <w:r>
        <w:rPr>
          <w:color w:val="333333"/>
          <w:sz w:val="21"/>
        </w:rPr>
        <w:t> </w:t>
      </w:r>
    </w:p>
    <w:p>
      <w:pPr>
        <w:pStyle w:val="ListParagraph"/>
        <w:numPr>
          <w:ilvl w:val="2"/>
          <w:numId w:val="295"/>
        </w:numPr>
        <w:tabs>
          <w:tab w:pos="1371" w:val="left" w:leader="none"/>
        </w:tabs>
        <w:spacing w:line="446" w:lineRule="auto" w:before="0" w:after="0"/>
        <w:ind w:left="418" w:right="1608" w:firstLine="422"/>
        <w:jc w:val="left"/>
        <w:rPr>
          <w:sz w:val="21"/>
        </w:rPr>
      </w:pPr>
      <w:r>
        <w:rPr>
          <w:color w:val="333333"/>
          <w:spacing w:val="-2"/>
          <w:sz w:val="21"/>
        </w:rPr>
        <w:t>空气中含有易燃、易爆危险物质的房间，其送、排风系统应采用防爆型的通风设 备</w:t>
      </w:r>
      <w:r>
        <w:rPr>
          <w:color w:val="333333"/>
          <w:spacing w:val="-3"/>
          <w:sz w:val="21"/>
        </w:rPr>
        <w:t>。当送风机布置在单独分隔的通风机房内且送风干管上设置防止回流设施时，可采用普通型的通风设备。</w:t>
      </w:r>
      <w:r>
        <w:rPr>
          <w:color w:val="333333"/>
          <w:sz w:val="21"/>
        </w:rPr>
        <w:t> </w:t>
      </w:r>
    </w:p>
    <w:p>
      <w:pPr>
        <w:pStyle w:val="ListParagraph"/>
        <w:numPr>
          <w:ilvl w:val="2"/>
          <w:numId w:val="295"/>
        </w:numPr>
        <w:tabs>
          <w:tab w:pos="1371" w:val="left" w:leader="none"/>
        </w:tabs>
        <w:spacing w:line="446" w:lineRule="auto" w:before="0" w:after="0"/>
        <w:ind w:left="418" w:right="1604" w:firstLine="422"/>
        <w:jc w:val="left"/>
        <w:rPr>
          <w:sz w:val="21"/>
        </w:rPr>
      </w:pPr>
      <w:r>
        <w:rPr>
          <w:color w:val="333333"/>
          <w:spacing w:val="-3"/>
          <w:sz w:val="21"/>
        </w:rPr>
        <w:t>含有燃烧和爆炸危险粉尘的空气，在进入排风机前应采用不产生火花的除尘器进行处理。对于遇水可能形成爆炸的粉尘，严禁采用湿式除尘器。</w:t>
      </w:r>
      <w:r>
        <w:rPr>
          <w:color w:val="333333"/>
          <w:sz w:val="21"/>
        </w:rPr>
        <w:t> </w:t>
      </w:r>
    </w:p>
    <w:p>
      <w:pPr>
        <w:pStyle w:val="ListParagraph"/>
        <w:numPr>
          <w:ilvl w:val="2"/>
          <w:numId w:val="295"/>
        </w:numPr>
        <w:tabs>
          <w:tab w:pos="1371" w:val="left" w:leader="none"/>
        </w:tabs>
        <w:spacing w:line="446" w:lineRule="auto" w:before="0" w:after="0"/>
        <w:ind w:left="418" w:right="1604" w:firstLine="422"/>
        <w:jc w:val="left"/>
        <w:rPr>
          <w:sz w:val="21"/>
        </w:rPr>
      </w:pPr>
      <w:r>
        <w:rPr>
          <w:color w:val="333333"/>
          <w:spacing w:val="-3"/>
          <w:sz w:val="21"/>
        </w:rPr>
        <w:t>处理有爆炸危险粉尘的除尘器、排风机的设置应与其他普通型的风机、除尘器分开设置，并宜按单一粉尘分组布置。</w:t>
      </w:r>
      <w:r>
        <w:rPr>
          <w:color w:val="333333"/>
          <w:sz w:val="21"/>
        </w:rPr>
        <w:t> </w:t>
      </w:r>
    </w:p>
    <w:p>
      <w:pPr>
        <w:pStyle w:val="ListParagraph"/>
        <w:numPr>
          <w:ilvl w:val="2"/>
          <w:numId w:val="295"/>
        </w:numPr>
        <w:tabs>
          <w:tab w:pos="1370" w:val="left" w:leader="none"/>
        </w:tabs>
        <w:spacing w:line="446" w:lineRule="auto" w:before="0" w:after="0"/>
        <w:ind w:left="418" w:right="1604" w:firstLine="422"/>
        <w:jc w:val="left"/>
        <w:rPr>
          <w:sz w:val="21"/>
        </w:rPr>
      </w:pPr>
      <w:r>
        <w:rPr>
          <w:color w:val="333333"/>
          <w:spacing w:val="-3"/>
          <w:sz w:val="21"/>
        </w:rPr>
        <w:t>净化有爆炸危险粉尘的干式除尘器和过滤器宜布置在厂房外的独立建筑内，建筑外</w:t>
      </w:r>
      <w:r>
        <w:rPr>
          <w:color w:val="333333"/>
          <w:spacing w:val="-7"/>
          <w:sz w:val="21"/>
        </w:rPr>
        <w:t>墙与所属厂房的防火间距不应小于 </w:t>
      </w:r>
      <w:r>
        <w:rPr>
          <w:color w:val="333333"/>
          <w:sz w:val="21"/>
        </w:rPr>
        <w:t>10m</w:t>
      </w:r>
      <w:r>
        <w:rPr>
          <w:color w:val="333333"/>
          <w:spacing w:val="-3"/>
          <w:sz w:val="21"/>
        </w:rPr>
        <w:t>。</w:t>
      </w:r>
      <w:r>
        <w:rPr>
          <w:color w:val="333333"/>
          <w:sz w:val="21"/>
        </w:rPr>
        <w:t> </w:t>
      </w:r>
    </w:p>
    <w:p>
      <w:pPr>
        <w:pStyle w:val="BodyText"/>
        <w:spacing w:line="446" w:lineRule="auto"/>
        <w:ind w:left="418" w:right="1452" w:firstLine="419"/>
      </w:pPr>
      <w:r>
        <w:rPr>
          <w:color w:val="333333"/>
          <w:spacing w:val="-5"/>
        </w:rPr>
        <w:t>具备连续清灰功能，或具有定期清灰功能且风量不大于 </w:t>
      </w:r>
      <w:r>
        <w:rPr>
          <w:color w:val="333333"/>
        </w:rPr>
        <w:t>15000m3/h</w:t>
      </w:r>
      <w:r>
        <w:rPr>
          <w:color w:val="333333"/>
          <w:spacing w:val="-3"/>
        </w:rPr>
        <w:t>、集尘斗的储尘量小于60kg</w:t>
      </w:r>
      <w:r>
        <w:rPr>
          <w:color w:val="333333"/>
          <w:spacing w:val="-5"/>
        </w:rPr>
        <w:t> 的干式除尘器和过滤器，可布置在厂房内的单独房间内，但应采用耐火极限不低于 </w:t>
      </w:r>
      <w:r>
        <w:rPr>
          <w:color w:val="333333"/>
        </w:rPr>
        <w:t>3.00h </w:t>
      </w:r>
      <w:r>
        <w:rPr>
          <w:color w:val="333333"/>
          <w:spacing w:val="-10"/>
        </w:rPr>
        <w:t>的防火隔墙和 </w:t>
      </w:r>
      <w:r>
        <w:rPr>
          <w:color w:val="333333"/>
        </w:rPr>
        <w:t>1.50h</w:t>
      </w:r>
      <w:r>
        <w:rPr>
          <w:color w:val="333333"/>
          <w:spacing w:val="-3"/>
        </w:rPr>
        <w:t> 的楼板与其他部位分隔。</w:t>
      </w:r>
      <w:r>
        <w:rPr>
          <w:color w:val="333333"/>
        </w:rPr>
        <w:t> </w:t>
      </w:r>
    </w:p>
    <w:p>
      <w:pPr>
        <w:pStyle w:val="ListParagraph"/>
        <w:numPr>
          <w:ilvl w:val="2"/>
          <w:numId w:val="295"/>
        </w:numPr>
        <w:tabs>
          <w:tab w:pos="1371" w:val="left" w:leader="none"/>
        </w:tabs>
        <w:spacing w:line="268" w:lineRule="exact" w:before="0" w:after="0"/>
        <w:ind w:left="1370" w:right="0" w:hanging="531"/>
        <w:jc w:val="left"/>
        <w:rPr>
          <w:sz w:val="21"/>
        </w:rPr>
      </w:pPr>
      <w:r>
        <w:rPr>
          <w:color w:val="333333"/>
          <w:spacing w:val="-3"/>
          <w:sz w:val="21"/>
        </w:rPr>
        <w:t>净化或输送有爆炸危险粉尘和碎屑的除尘器、过滤器或管道，均应设置泄压装置。</w:t>
      </w:r>
      <w:r>
        <w:rPr>
          <w:color w:val="333333"/>
          <w:sz w:val="21"/>
        </w:rPr>
        <w:t> </w:t>
      </w:r>
    </w:p>
    <w:p>
      <w:pPr>
        <w:pStyle w:val="BodyText"/>
        <w:spacing w:before="9"/>
        <w:rPr>
          <w:sz w:val="17"/>
        </w:rPr>
      </w:pPr>
    </w:p>
    <w:p>
      <w:pPr>
        <w:pStyle w:val="BodyText"/>
        <w:ind w:left="838"/>
      </w:pPr>
      <w:r>
        <w:rPr>
          <w:color w:val="333333"/>
        </w:rPr>
        <w:t>净化有爆炸危险粉尘的干式除尘器和过滤器应布置在系统的负压段上。 </w:t>
      </w:r>
    </w:p>
    <w:p>
      <w:pPr>
        <w:pStyle w:val="BodyText"/>
        <w:spacing w:before="12"/>
        <w:rPr>
          <w:sz w:val="17"/>
        </w:rPr>
      </w:pPr>
    </w:p>
    <w:p>
      <w:pPr>
        <w:pStyle w:val="ListParagraph"/>
        <w:numPr>
          <w:ilvl w:val="2"/>
          <w:numId w:val="295"/>
        </w:numPr>
        <w:tabs>
          <w:tab w:pos="1371" w:val="left" w:leader="none"/>
        </w:tabs>
        <w:spacing w:line="240" w:lineRule="auto" w:before="0" w:after="0"/>
        <w:ind w:left="1370" w:right="0" w:hanging="531"/>
        <w:jc w:val="left"/>
        <w:rPr>
          <w:sz w:val="21"/>
        </w:rPr>
      </w:pPr>
      <w:r>
        <w:rPr>
          <w:color w:val="333333"/>
          <w:spacing w:val="-3"/>
          <w:sz w:val="21"/>
        </w:rPr>
        <w:t>排除有燃烧或爆炸危险气体、蒸气和粉尘的排风系统，应符合下列规定： </w:t>
      </w:r>
    </w:p>
    <w:p>
      <w:pPr>
        <w:pStyle w:val="BodyText"/>
        <w:spacing w:before="2"/>
        <w:rPr>
          <w:sz w:val="18"/>
        </w:rPr>
      </w:pPr>
    </w:p>
    <w:p>
      <w:pPr>
        <w:pStyle w:val="BodyText"/>
        <w:ind w:left="838"/>
      </w:pPr>
      <w:r>
        <w:rPr>
          <w:color w:val="333333"/>
        </w:rPr>
        <w:t>排风系统应设置导除静电的接地装置； </w:t>
      </w:r>
    </w:p>
    <w:p>
      <w:pPr>
        <w:pStyle w:val="BodyText"/>
        <w:rPr>
          <w:sz w:val="18"/>
        </w:rPr>
      </w:pPr>
    </w:p>
    <w:p>
      <w:pPr>
        <w:pStyle w:val="BodyText"/>
        <w:ind w:left="838"/>
      </w:pPr>
      <w:r>
        <w:rPr>
          <w:color w:val="333333"/>
        </w:rPr>
        <w:t>排风设备不应布置在地下或半地下建筑（室）内； </w:t>
      </w:r>
    </w:p>
    <w:p>
      <w:pPr>
        <w:pStyle w:val="BodyText"/>
        <w:spacing w:before="12"/>
        <w:rPr>
          <w:sz w:val="17"/>
        </w:rPr>
      </w:pPr>
    </w:p>
    <w:p>
      <w:pPr>
        <w:pStyle w:val="BodyText"/>
        <w:ind w:left="838"/>
      </w:pPr>
      <w:r>
        <w:rPr>
          <w:color w:val="333333"/>
        </w:rPr>
        <w:t>排风管应采用金属管道，并应直接通向室外安全地点，不应暗设。 </w:t>
      </w:r>
    </w:p>
    <w:p>
      <w:pPr>
        <w:spacing w:after="0"/>
        <w:sectPr>
          <w:pgSz w:w="11910" w:h="16850"/>
          <w:pgMar w:header="0" w:footer="1239" w:top="1220" w:bottom="1420" w:left="1260" w:right="0"/>
        </w:sectPr>
      </w:pPr>
    </w:p>
    <w:p>
      <w:pPr>
        <w:pStyle w:val="ListParagraph"/>
        <w:numPr>
          <w:ilvl w:val="2"/>
          <w:numId w:val="295"/>
        </w:numPr>
        <w:tabs>
          <w:tab w:pos="1478" w:val="left" w:leader="none"/>
        </w:tabs>
        <w:spacing w:line="446" w:lineRule="auto" w:before="47" w:after="0"/>
        <w:ind w:left="418" w:right="1448" w:firstLine="422"/>
        <w:jc w:val="both"/>
        <w:rPr>
          <w:sz w:val="21"/>
        </w:rPr>
      </w:pPr>
      <w:r>
        <w:rPr>
          <w:color w:val="333333"/>
          <w:spacing w:val="-7"/>
          <w:sz w:val="21"/>
        </w:rPr>
        <w:t>排除和输送温度超过 </w:t>
      </w:r>
      <w:r>
        <w:rPr>
          <w:color w:val="333333"/>
          <w:sz w:val="21"/>
        </w:rPr>
        <w:t>80</w:t>
      </w:r>
      <w:r>
        <w:rPr>
          <w:color w:val="333333"/>
          <w:spacing w:val="-3"/>
          <w:sz w:val="21"/>
        </w:rPr>
        <w:t>℃的空气或其他气体以及易燃碎屑的管道，与可燃或难燃物</w:t>
      </w:r>
      <w:r>
        <w:rPr>
          <w:color w:val="333333"/>
          <w:spacing w:val="-7"/>
          <w:sz w:val="21"/>
        </w:rPr>
        <w:t>体之间的间隙不应小于 </w:t>
      </w:r>
      <w:r>
        <w:rPr>
          <w:color w:val="333333"/>
          <w:sz w:val="21"/>
        </w:rPr>
        <w:t>150mm</w:t>
      </w:r>
      <w:r>
        <w:rPr>
          <w:color w:val="333333"/>
          <w:spacing w:val="-8"/>
          <w:sz w:val="21"/>
        </w:rPr>
        <w:t>，或采用厚度不小于 </w:t>
      </w:r>
      <w:r>
        <w:rPr>
          <w:color w:val="333333"/>
          <w:sz w:val="21"/>
        </w:rPr>
        <w:t>50mm</w:t>
      </w:r>
      <w:r>
        <w:rPr>
          <w:color w:val="333333"/>
          <w:spacing w:val="-3"/>
          <w:sz w:val="21"/>
        </w:rPr>
        <w:t> 的不燃材料隔热；当管道上下布置时， 表面温度较高者应布置在上面。</w:t>
      </w:r>
      <w:r>
        <w:rPr>
          <w:color w:val="333333"/>
          <w:sz w:val="21"/>
        </w:rPr>
        <w:t> </w:t>
      </w:r>
    </w:p>
    <w:p>
      <w:pPr>
        <w:pStyle w:val="ListParagraph"/>
        <w:numPr>
          <w:ilvl w:val="2"/>
          <w:numId w:val="295"/>
        </w:numPr>
        <w:tabs>
          <w:tab w:pos="1478" w:val="left" w:leader="none"/>
        </w:tabs>
        <w:spacing w:line="268" w:lineRule="exact" w:before="0" w:after="0"/>
        <w:ind w:left="1477" w:right="0" w:hanging="638"/>
        <w:jc w:val="both"/>
        <w:rPr>
          <w:sz w:val="21"/>
        </w:rPr>
      </w:pPr>
      <w:r>
        <w:rPr>
          <w:color w:val="333333"/>
          <w:spacing w:val="-5"/>
          <w:sz w:val="21"/>
        </w:rPr>
        <w:t>通风、空气调节系统的风管在下列部位应设置公称动作温度为 </w:t>
      </w:r>
      <w:r>
        <w:rPr>
          <w:color w:val="333333"/>
          <w:sz w:val="21"/>
        </w:rPr>
        <w:t>70</w:t>
      </w:r>
      <w:r>
        <w:rPr>
          <w:color w:val="333333"/>
          <w:spacing w:val="-3"/>
          <w:sz w:val="21"/>
        </w:rPr>
        <w:t>℃的防火阀：</w:t>
      </w:r>
      <w:r>
        <w:rPr>
          <w:color w:val="333333"/>
          <w:sz w:val="21"/>
        </w:rPr>
        <w:t> </w:t>
      </w:r>
    </w:p>
    <w:p>
      <w:pPr>
        <w:pStyle w:val="BodyText"/>
        <w:rPr>
          <w:sz w:val="18"/>
        </w:rPr>
      </w:pPr>
    </w:p>
    <w:p>
      <w:pPr>
        <w:pStyle w:val="BodyText"/>
        <w:ind w:left="838"/>
      </w:pPr>
      <w:r>
        <w:rPr>
          <w:color w:val="333333"/>
        </w:rPr>
        <w:t>穿越防火分区处； </w:t>
      </w:r>
    </w:p>
    <w:p>
      <w:pPr>
        <w:pStyle w:val="BodyText"/>
        <w:spacing w:before="12"/>
        <w:rPr>
          <w:sz w:val="17"/>
        </w:rPr>
      </w:pPr>
    </w:p>
    <w:p>
      <w:pPr>
        <w:pStyle w:val="BodyText"/>
        <w:ind w:left="838"/>
      </w:pPr>
      <w:r>
        <w:rPr>
          <w:color w:val="333333"/>
        </w:rPr>
        <w:t>穿越通风、空气调节机房的房间隔墙和楼板处； </w:t>
      </w:r>
    </w:p>
    <w:p>
      <w:pPr>
        <w:pStyle w:val="BodyText"/>
        <w:spacing w:before="2"/>
        <w:rPr>
          <w:sz w:val="18"/>
        </w:rPr>
      </w:pPr>
    </w:p>
    <w:p>
      <w:pPr>
        <w:pStyle w:val="BodyText"/>
        <w:spacing w:line="446" w:lineRule="auto"/>
        <w:ind w:left="838" w:right="4657"/>
      </w:pPr>
      <w:r>
        <w:rPr>
          <w:color w:val="333333"/>
        </w:rPr>
        <w:t>穿越重要或火灾危险性大的场所的房间隔墙和楼板处； 穿越防火分隔处的变形缝两侧； </w:t>
      </w:r>
    </w:p>
    <w:p>
      <w:pPr>
        <w:pStyle w:val="BodyText"/>
        <w:spacing w:line="267" w:lineRule="exact"/>
        <w:ind w:left="838"/>
      </w:pPr>
      <w:r>
        <w:rPr>
          <w:color w:val="333333"/>
        </w:rPr>
        <w:t>竖向风管与每层水平风管交接处的水平管段上。 </w:t>
      </w:r>
    </w:p>
    <w:p>
      <w:pPr>
        <w:pStyle w:val="BodyText"/>
        <w:spacing w:before="2"/>
        <w:rPr>
          <w:sz w:val="18"/>
        </w:rPr>
      </w:pPr>
    </w:p>
    <w:p>
      <w:pPr>
        <w:pStyle w:val="BodyText"/>
        <w:spacing w:line="446" w:lineRule="auto"/>
        <w:ind w:left="418" w:right="1609" w:firstLine="419"/>
      </w:pPr>
      <w:r>
        <w:rPr>
          <w:color w:val="333333"/>
        </w:rPr>
        <w:t>注：当建筑内每个防火分区的通风、空气调节系统均独立设置时，水平风管与竖向总管的交接处可不设置防火阀。 </w:t>
      </w:r>
    </w:p>
    <w:p>
      <w:pPr>
        <w:pStyle w:val="ListParagraph"/>
        <w:numPr>
          <w:ilvl w:val="2"/>
          <w:numId w:val="295"/>
        </w:numPr>
        <w:tabs>
          <w:tab w:pos="1478" w:val="left" w:leader="none"/>
        </w:tabs>
        <w:spacing w:line="446" w:lineRule="auto" w:before="0" w:after="0"/>
        <w:ind w:left="418" w:right="1496" w:firstLine="422"/>
        <w:jc w:val="left"/>
        <w:rPr>
          <w:sz w:val="21"/>
        </w:rPr>
      </w:pPr>
      <w:r>
        <w:rPr>
          <w:color w:val="333333"/>
          <w:spacing w:val="-3"/>
          <w:sz w:val="21"/>
        </w:rPr>
        <w:t>公共建筑的浴室、卫生间和厨房的竖向排风管，应采取防止回流措施并宜在支管上</w:t>
      </w:r>
      <w:r>
        <w:rPr>
          <w:color w:val="333333"/>
          <w:spacing w:val="-8"/>
          <w:sz w:val="21"/>
        </w:rPr>
        <w:t>设置公称动作温度为 </w:t>
      </w:r>
      <w:r>
        <w:rPr>
          <w:color w:val="333333"/>
          <w:sz w:val="21"/>
        </w:rPr>
        <w:t>70</w:t>
      </w:r>
      <w:r>
        <w:rPr>
          <w:color w:val="333333"/>
          <w:spacing w:val="-2"/>
          <w:sz w:val="21"/>
        </w:rPr>
        <w:t>℃的防火阀。</w:t>
      </w:r>
      <w:r>
        <w:rPr>
          <w:color w:val="333333"/>
          <w:sz w:val="21"/>
        </w:rPr>
        <w:t> </w:t>
      </w:r>
    </w:p>
    <w:p>
      <w:pPr>
        <w:pStyle w:val="BodyText"/>
        <w:spacing w:line="446" w:lineRule="auto"/>
        <w:ind w:left="418" w:right="1609" w:firstLine="419"/>
      </w:pPr>
      <w:r>
        <w:rPr>
          <w:color w:val="333333"/>
        </w:rPr>
        <w:t>公共建筑内厨房的排油烟管道宜按防火分区设置，且在与竖向排风管连接的支管处应设置公称动作温度为 150℃的防火阀。 </w:t>
      </w:r>
    </w:p>
    <w:p>
      <w:pPr>
        <w:pStyle w:val="ListParagraph"/>
        <w:numPr>
          <w:ilvl w:val="2"/>
          <w:numId w:val="295"/>
        </w:numPr>
        <w:tabs>
          <w:tab w:pos="1478" w:val="left" w:leader="none"/>
        </w:tabs>
        <w:spacing w:line="240" w:lineRule="auto" w:before="0" w:after="0"/>
        <w:ind w:left="1477" w:right="0" w:hanging="638"/>
        <w:jc w:val="left"/>
        <w:rPr>
          <w:sz w:val="21"/>
        </w:rPr>
      </w:pPr>
      <w:r>
        <w:rPr>
          <w:color w:val="333333"/>
          <w:spacing w:val="-3"/>
          <w:sz w:val="21"/>
        </w:rPr>
        <w:t>防火阀的设置应符合下列规定：</w:t>
      </w:r>
      <w:r>
        <w:rPr>
          <w:color w:val="333333"/>
          <w:sz w:val="21"/>
        </w:rPr>
        <w:t> </w:t>
      </w:r>
    </w:p>
    <w:p>
      <w:pPr>
        <w:pStyle w:val="BodyText"/>
        <w:spacing w:before="10"/>
        <w:rPr>
          <w:sz w:val="17"/>
        </w:rPr>
      </w:pPr>
    </w:p>
    <w:p>
      <w:pPr>
        <w:pStyle w:val="BodyText"/>
        <w:ind w:left="838"/>
      </w:pPr>
      <w:r>
        <w:rPr>
          <w:color w:val="333333"/>
        </w:rPr>
        <w:t>防火阀宜靠近防火分隔处设置； </w:t>
      </w:r>
    </w:p>
    <w:p>
      <w:pPr>
        <w:pStyle w:val="BodyText"/>
        <w:spacing w:before="12"/>
        <w:rPr>
          <w:sz w:val="17"/>
        </w:rPr>
      </w:pPr>
    </w:p>
    <w:p>
      <w:pPr>
        <w:pStyle w:val="BodyText"/>
        <w:ind w:left="838"/>
      </w:pPr>
      <w:r>
        <w:rPr>
          <w:color w:val="333333"/>
        </w:rPr>
        <w:t>防火阀暗装时，应在安装部位设置方便维护的检修口； </w:t>
      </w:r>
    </w:p>
    <w:p>
      <w:pPr>
        <w:pStyle w:val="BodyText"/>
        <w:spacing w:before="2"/>
        <w:rPr>
          <w:sz w:val="18"/>
        </w:rPr>
      </w:pPr>
    </w:p>
    <w:p>
      <w:pPr>
        <w:pStyle w:val="BodyText"/>
        <w:ind w:left="838"/>
      </w:pPr>
      <w:r>
        <w:rPr>
          <w:color w:val="333333"/>
        </w:rPr>
        <w:t>在防火阀两侧各 2.0m 范围内的风管及其绝热材料应采用不燃材料； </w:t>
      </w:r>
    </w:p>
    <w:p>
      <w:pPr>
        <w:pStyle w:val="BodyText"/>
        <w:rPr>
          <w:sz w:val="18"/>
        </w:rPr>
      </w:pPr>
    </w:p>
    <w:p>
      <w:pPr>
        <w:pStyle w:val="BodyText"/>
        <w:spacing w:line="446" w:lineRule="auto"/>
        <w:ind w:left="840" w:right="2031" w:hanging="3"/>
      </w:pPr>
      <w:r>
        <w:rPr>
          <w:color w:val="333333"/>
        </w:rPr>
        <w:t>防火阀应符合现行国家标准《建筑通风和排烟系统用防火阀门》GB 15930 的规定。</w:t>
      </w:r>
      <w:r>
        <w:rPr>
          <w:b/>
          <w:color w:val="333333"/>
        </w:rPr>
        <w:t>9.3.14 </w:t>
      </w:r>
      <w:r>
        <w:rPr>
          <w:color w:val="333333"/>
        </w:rPr>
        <w:t>除下列情况外，通风、空气调节系统的风管应采用不燃材料： </w:t>
      </w:r>
    </w:p>
    <w:p>
      <w:pPr>
        <w:pStyle w:val="BodyText"/>
        <w:ind w:left="838"/>
      </w:pPr>
      <w:r>
        <w:rPr>
          <w:color w:val="333333"/>
        </w:rPr>
        <w:t>接触腐蚀性介质的风管和柔性接头可采用难燃材料； </w:t>
      </w:r>
    </w:p>
    <w:p>
      <w:pPr>
        <w:pStyle w:val="BodyText"/>
        <w:rPr>
          <w:sz w:val="18"/>
        </w:rPr>
      </w:pPr>
    </w:p>
    <w:p>
      <w:pPr>
        <w:pStyle w:val="BodyText"/>
        <w:spacing w:line="446" w:lineRule="auto"/>
        <w:ind w:left="418" w:right="1608" w:firstLine="419"/>
      </w:pPr>
      <w:r>
        <w:rPr>
          <w:color w:val="333333"/>
          <w:spacing w:val="-3"/>
        </w:rPr>
        <w:t>体育馆、展览馆、候机（</w:t>
      </w:r>
      <w:r>
        <w:rPr>
          <w:color w:val="333333"/>
          <w:spacing w:val="-1"/>
        </w:rPr>
        <w:t>车、船</w:t>
      </w:r>
      <w:r>
        <w:rPr>
          <w:color w:val="333333"/>
        </w:rPr>
        <w:t>）</w:t>
      </w:r>
      <w:r>
        <w:rPr>
          <w:color w:val="333333"/>
          <w:spacing w:val="-2"/>
        </w:rPr>
        <w:t>建筑</w:t>
      </w:r>
      <w:r>
        <w:rPr>
          <w:color w:val="333333"/>
          <w:spacing w:val="-3"/>
        </w:rPr>
        <w:t>（</w:t>
      </w:r>
      <w:r>
        <w:rPr>
          <w:color w:val="333333"/>
        </w:rPr>
        <w:t>厅</w:t>
      </w:r>
      <w:r>
        <w:rPr>
          <w:color w:val="333333"/>
          <w:spacing w:val="-3"/>
        </w:rPr>
        <w:t>）等大空间建筑，单、多层办公建筑和丙、 丁、戊类厂房内通风、空气调节系统的风管，当不跨越防火分区且在穿越房间隔墙处设置防火阀时，可采用难燃材料。</w:t>
      </w:r>
      <w:r>
        <w:rPr>
          <w:color w:val="333333"/>
        </w:rPr>
        <w:t> </w:t>
      </w:r>
    </w:p>
    <w:p>
      <w:pPr>
        <w:pStyle w:val="ListParagraph"/>
        <w:numPr>
          <w:ilvl w:val="2"/>
          <w:numId w:val="296"/>
        </w:numPr>
        <w:tabs>
          <w:tab w:pos="1478" w:val="left" w:leader="none"/>
        </w:tabs>
        <w:spacing w:line="446" w:lineRule="auto" w:before="0" w:after="0"/>
        <w:ind w:left="418" w:right="1498" w:firstLine="422"/>
        <w:jc w:val="left"/>
        <w:rPr>
          <w:sz w:val="21"/>
        </w:rPr>
      </w:pPr>
      <w:r>
        <w:rPr>
          <w:color w:val="333333"/>
          <w:spacing w:val="-3"/>
          <w:sz w:val="21"/>
        </w:rPr>
        <w:t>设备和风管的绝热材料、用于加湿器的加湿材料、消声材料及其粘结剂，宜采用不燃材料，确有困难时，可采用难燃材料。</w:t>
      </w:r>
      <w:r>
        <w:rPr>
          <w:color w:val="333333"/>
          <w:sz w:val="21"/>
        </w:rPr>
        <w:t> </w:t>
      </w:r>
    </w:p>
    <w:p>
      <w:pPr>
        <w:spacing w:after="0" w:line="446" w:lineRule="auto"/>
        <w:jc w:val="left"/>
        <w:rPr>
          <w:sz w:val="21"/>
        </w:rPr>
        <w:sectPr>
          <w:pgSz w:w="11910" w:h="16850"/>
          <w:pgMar w:header="0" w:footer="1239" w:top="1220" w:bottom="1420" w:left="1260" w:right="0"/>
        </w:sectPr>
      </w:pPr>
    </w:p>
    <w:p>
      <w:pPr>
        <w:pStyle w:val="BodyText"/>
        <w:spacing w:before="47"/>
        <w:ind w:left="838"/>
      </w:pPr>
      <w:r>
        <w:rPr>
          <w:color w:val="333333"/>
        </w:rPr>
        <w:t>风管内设置电加热器时，电加热器的开关应与风机的启停联锁控制。电加热器前后各 0.8m </w:t>
      </w:r>
    </w:p>
    <w:p>
      <w:pPr>
        <w:pStyle w:val="BodyText"/>
        <w:rPr>
          <w:sz w:val="18"/>
        </w:rPr>
      </w:pPr>
    </w:p>
    <w:p>
      <w:pPr>
        <w:pStyle w:val="BodyText"/>
        <w:ind w:left="418"/>
      </w:pPr>
      <w:r>
        <w:rPr>
          <w:color w:val="333333"/>
        </w:rPr>
        <w:t>范围内的风管和穿过有高温、火源等容易起火房间的风管，均应采用不燃材料。 </w:t>
      </w:r>
    </w:p>
    <w:p>
      <w:pPr>
        <w:pStyle w:val="BodyText"/>
        <w:rPr>
          <w:sz w:val="18"/>
        </w:rPr>
      </w:pPr>
    </w:p>
    <w:p>
      <w:pPr>
        <w:pStyle w:val="ListParagraph"/>
        <w:numPr>
          <w:ilvl w:val="2"/>
          <w:numId w:val="296"/>
        </w:numPr>
        <w:tabs>
          <w:tab w:pos="1478" w:val="left" w:leader="none"/>
        </w:tabs>
        <w:spacing w:line="446" w:lineRule="auto" w:before="0" w:after="0"/>
        <w:ind w:left="418" w:right="1498" w:firstLine="422"/>
        <w:jc w:val="left"/>
        <w:rPr>
          <w:b/>
          <w:sz w:val="21"/>
        </w:rPr>
      </w:pPr>
      <w:r>
        <w:rPr>
          <w:color w:val="333333"/>
          <w:spacing w:val="-3"/>
          <w:sz w:val="21"/>
        </w:rPr>
        <w:t>燃油或燃气锅炉房应设置自然通风或机械通风设施。燃气锅炉房应选用防爆型的事故排风机。当采取机械通风时，机械通风设施应设置导除静电的接地装置，通风量应符合下列规定：</w:t>
      </w:r>
      <w:r>
        <w:rPr>
          <w:b/>
          <w:color w:val="333333"/>
          <w:w w:val="99"/>
          <w:sz w:val="21"/>
        </w:rPr>
        <w:t> </w:t>
      </w:r>
    </w:p>
    <w:p>
      <w:pPr>
        <w:pStyle w:val="BodyText"/>
        <w:spacing w:line="446" w:lineRule="auto"/>
        <w:ind w:left="418" w:right="1395" w:firstLine="419"/>
        <w:rPr>
          <w:b/>
        </w:rPr>
      </w:pPr>
      <w:r>
        <w:rPr>
          <w:color w:val="333333"/>
        </w:rPr>
        <w:t>燃油锅炉房的正常通风量应按换气次数不少于 3 次/h 确定，事故排风量应按换气次数不少于 6 次/h 确定；</w:t>
      </w:r>
      <w:r>
        <w:rPr>
          <w:b/>
          <w:color w:val="333333"/>
          <w:w w:val="99"/>
        </w:rPr>
        <w:t> </w:t>
      </w:r>
    </w:p>
    <w:p>
      <w:pPr>
        <w:pStyle w:val="BodyText"/>
        <w:spacing w:line="446" w:lineRule="auto"/>
        <w:ind w:left="418" w:right="1394" w:firstLine="419"/>
        <w:rPr>
          <w:b/>
        </w:rPr>
      </w:pPr>
      <w:r>
        <w:rPr>
          <w:color w:val="333333"/>
        </w:rPr>
        <w:t>燃气锅炉房的正常通风量应按换气次数不少于 6 次/h 确定，事故排风量应按换气次数不少于 12 次/h 确定。</w:t>
      </w:r>
      <w:r>
        <w:rPr>
          <w:b/>
          <w:color w:val="333333"/>
          <w:w w:val="99"/>
        </w:rPr>
        <w:t> </w:t>
      </w:r>
    </w:p>
    <w:p>
      <w:pPr>
        <w:pStyle w:val="Heading4"/>
        <w:spacing w:line="277" w:lineRule="exact"/>
      </w:pPr>
      <w:r>
        <w:rPr/>
        <w:t>10 电气</w:t>
      </w:r>
      <w:r>
        <w:rPr>
          <w:w w:val="99"/>
        </w:rPr>
        <w:t> </w:t>
      </w:r>
    </w:p>
    <w:p>
      <w:pPr>
        <w:pStyle w:val="BodyText"/>
        <w:spacing w:before="3"/>
        <w:rPr>
          <w:b/>
          <w:sz w:val="17"/>
        </w:rPr>
      </w:pPr>
    </w:p>
    <w:p>
      <w:pPr>
        <w:pStyle w:val="ListParagraph"/>
        <w:numPr>
          <w:ilvl w:val="1"/>
          <w:numId w:val="297"/>
        </w:numPr>
        <w:tabs>
          <w:tab w:pos="1264" w:val="left" w:leader="none"/>
        </w:tabs>
        <w:spacing w:line="240" w:lineRule="auto" w:before="0" w:after="0"/>
        <w:ind w:left="1263" w:right="0" w:hanging="424"/>
        <w:jc w:val="left"/>
        <w:rPr>
          <w:b/>
          <w:sz w:val="21"/>
        </w:rPr>
      </w:pPr>
      <w:r>
        <w:rPr>
          <w:spacing w:val="-3"/>
          <w:sz w:val="21"/>
        </w:rPr>
        <w:t>消防电源及其配电</w:t>
      </w:r>
      <w:r>
        <w:rPr>
          <w:b/>
          <w:w w:val="99"/>
          <w:sz w:val="21"/>
        </w:rPr>
        <w:t> </w:t>
      </w:r>
    </w:p>
    <w:p>
      <w:pPr>
        <w:pStyle w:val="BodyText"/>
        <w:spacing w:before="12"/>
        <w:rPr>
          <w:b/>
          <w:sz w:val="17"/>
        </w:rPr>
      </w:pPr>
    </w:p>
    <w:p>
      <w:pPr>
        <w:pStyle w:val="ListParagraph"/>
        <w:numPr>
          <w:ilvl w:val="2"/>
          <w:numId w:val="297"/>
        </w:numPr>
        <w:tabs>
          <w:tab w:pos="1478" w:val="left" w:leader="none"/>
        </w:tabs>
        <w:spacing w:line="240" w:lineRule="auto" w:before="0" w:after="0"/>
        <w:ind w:left="1477" w:right="0" w:hanging="638"/>
        <w:jc w:val="left"/>
        <w:rPr>
          <w:b/>
          <w:color w:val="333333"/>
          <w:sz w:val="19"/>
        </w:rPr>
      </w:pPr>
      <w:r>
        <w:rPr>
          <w:color w:val="333333"/>
          <w:spacing w:val="-3"/>
          <w:sz w:val="21"/>
        </w:rPr>
        <w:t>下列建筑物、储罐</w:t>
      </w:r>
      <w:r>
        <w:rPr>
          <w:color w:val="333333"/>
          <w:sz w:val="21"/>
        </w:rPr>
        <w:t>（区</w:t>
      </w:r>
      <w:r>
        <w:rPr>
          <w:color w:val="333333"/>
          <w:spacing w:val="-3"/>
          <w:sz w:val="21"/>
        </w:rPr>
        <w:t>）和堆场的消防用电应按一级负荷供电：</w:t>
      </w:r>
      <w:r>
        <w:rPr>
          <w:b/>
          <w:color w:val="333333"/>
          <w:w w:val="99"/>
          <w:sz w:val="21"/>
        </w:rPr>
        <w:t> </w:t>
      </w:r>
    </w:p>
    <w:p>
      <w:pPr>
        <w:pStyle w:val="BodyText"/>
        <w:spacing w:before="2"/>
        <w:rPr>
          <w:b/>
          <w:sz w:val="18"/>
        </w:rPr>
      </w:pPr>
    </w:p>
    <w:p>
      <w:pPr>
        <w:pStyle w:val="BodyText"/>
        <w:ind w:left="838"/>
        <w:rPr>
          <w:b/>
        </w:rPr>
      </w:pPr>
      <w:r>
        <w:rPr>
          <w:color w:val="333333"/>
        </w:rPr>
        <w:t>建筑高度大于 50m 的乙、丙类厂房和丙类仓库；</w:t>
      </w:r>
      <w:r>
        <w:rPr>
          <w:b/>
          <w:color w:val="333333"/>
          <w:w w:val="99"/>
        </w:rPr>
        <w:t> </w:t>
      </w:r>
    </w:p>
    <w:p>
      <w:pPr>
        <w:pStyle w:val="BodyText"/>
        <w:rPr>
          <w:b/>
          <w:sz w:val="18"/>
        </w:rPr>
      </w:pPr>
    </w:p>
    <w:p>
      <w:pPr>
        <w:pStyle w:val="BodyText"/>
        <w:ind w:left="838"/>
        <w:rPr>
          <w:b/>
        </w:rPr>
      </w:pPr>
      <w:r>
        <w:rPr>
          <w:color w:val="333333"/>
        </w:rPr>
        <w:t>一类高层民用建筑。</w:t>
      </w:r>
      <w:r>
        <w:rPr>
          <w:b/>
          <w:color w:val="333333"/>
          <w:w w:val="99"/>
        </w:rPr>
        <w:t> </w:t>
      </w:r>
    </w:p>
    <w:p>
      <w:pPr>
        <w:pStyle w:val="BodyText"/>
        <w:spacing w:before="12"/>
        <w:rPr>
          <w:b/>
          <w:sz w:val="17"/>
        </w:rPr>
      </w:pPr>
    </w:p>
    <w:p>
      <w:pPr>
        <w:pStyle w:val="ListParagraph"/>
        <w:numPr>
          <w:ilvl w:val="2"/>
          <w:numId w:val="297"/>
        </w:numPr>
        <w:tabs>
          <w:tab w:pos="1478" w:val="left" w:leader="none"/>
        </w:tabs>
        <w:spacing w:line="240" w:lineRule="auto" w:before="0" w:after="0"/>
        <w:ind w:left="1477" w:right="0" w:hanging="638"/>
        <w:jc w:val="left"/>
        <w:rPr>
          <w:b/>
          <w:color w:val="333333"/>
          <w:sz w:val="19"/>
        </w:rPr>
      </w:pPr>
      <w:r>
        <w:rPr>
          <w:color w:val="333333"/>
          <w:spacing w:val="-3"/>
          <w:sz w:val="21"/>
        </w:rPr>
        <w:t>下列建筑物、储罐</w:t>
      </w:r>
      <w:r>
        <w:rPr>
          <w:color w:val="333333"/>
          <w:sz w:val="21"/>
        </w:rPr>
        <w:t>（区</w:t>
      </w:r>
      <w:r>
        <w:rPr>
          <w:color w:val="333333"/>
          <w:spacing w:val="-3"/>
          <w:sz w:val="21"/>
        </w:rPr>
        <w:t>）和堆场的消防用电应按二级负荷供电：</w:t>
      </w:r>
      <w:r>
        <w:rPr>
          <w:b/>
          <w:color w:val="333333"/>
          <w:w w:val="99"/>
          <w:sz w:val="21"/>
        </w:rPr>
        <w:t> </w:t>
      </w:r>
    </w:p>
    <w:p>
      <w:pPr>
        <w:pStyle w:val="BodyText"/>
        <w:spacing w:before="2"/>
        <w:rPr>
          <w:b/>
          <w:sz w:val="18"/>
        </w:rPr>
      </w:pPr>
    </w:p>
    <w:p>
      <w:pPr>
        <w:pStyle w:val="BodyText"/>
        <w:ind w:left="838"/>
        <w:rPr>
          <w:b/>
        </w:rPr>
      </w:pPr>
      <w:r>
        <w:rPr>
          <w:color w:val="333333"/>
        </w:rPr>
        <w:t>室外消防用水量大于 30L/s 的厂房（仓库）；</w:t>
      </w:r>
      <w:r>
        <w:rPr>
          <w:b/>
          <w:color w:val="333333"/>
          <w:w w:val="99"/>
        </w:rPr>
        <w:t> </w:t>
      </w:r>
    </w:p>
    <w:p>
      <w:pPr>
        <w:pStyle w:val="BodyText"/>
        <w:spacing w:before="12"/>
        <w:rPr>
          <w:b/>
          <w:sz w:val="17"/>
        </w:rPr>
      </w:pPr>
    </w:p>
    <w:p>
      <w:pPr>
        <w:pStyle w:val="BodyText"/>
        <w:ind w:left="838"/>
      </w:pPr>
      <w:r>
        <w:rPr>
          <w:color w:val="333333"/>
        </w:rPr>
        <w:t>室外消防用水量大于 35L/s 的可燃材料堆场、可燃气体储罐（区）和甲、乙类液体储罐</w:t>
      </w:r>
    </w:p>
    <w:p>
      <w:pPr>
        <w:pStyle w:val="BodyText"/>
        <w:rPr>
          <w:sz w:val="18"/>
        </w:rPr>
      </w:pPr>
    </w:p>
    <w:p>
      <w:pPr>
        <w:pStyle w:val="BodyText"/>
        <w:ind w:left="418"/>
        <w:rPr>
          <w:b/>
        </w:rPr>
      </w:pPr>
      <w:r>
        <w:rPr>
          <w:color w:val="333333"/>
        </w:rPr>
        <w:t>（区）；</w:t>
      </w:r>
      <w:r>
        <w:rPr>
          <w:b/>
          <w:color w:val="333333"/>
          <w:w w:val="99"/>
        </w:rPr>
        <w:t> </w:t>
      </w:r>
    </w:p>
    <w:p>
      <w:pPr>
        <w:pStyle w:val="BodyText"/>
        <w:spacing w:before="2"/>
        <w:rPr>
          <w:b/>
          <w:sz w:val="18"/>
        </w:rPr>
      </w:pPr>
    </w:p>
    <w:p>
      <w:pPr>
        <w:pStyle w:val="BodyText"/>
        <w:spacing w:line="446" w:lineRule="auto"/>
        <w:ind w:left="838" w:right="7600"/>
        <w:rPr>
          <w:b/>
        </w:rPr>
      </w:pPr>
      <w:r>
        <w:rPr>
          <w:color w:val="333333"/>
        </w:rPr>
        <w:t>粮食仓库及粮食筒仓； 二类高层民用建筑；</w:t>
      </w:r>
      <w:r>
        <w:rPr>
          <w:b/>
          <w:color w:val="333333"/>
          <w:w w:val="99"/>
        </w:rPr>
        <w:t> </w:t>
      </w:r>
    </w:p>
    <w:p>
      <w:pPr>
        <w:pStyle w:val="BodyText"/>
        <w:spacing w:line="446" w:lineRule="auto"/>
        <w:ind w:left="418" w:right="1508" w:firstLine="419"/>
      </w:pPr>
      <w:r>
        <w:rPr>
          <w:color w:val="333333"/>
          <w:spacing w:val="-10"/>
        </w:rPr>
        <w:t>座位数超过 </w:t>
      </w:r>
      <w:r>
        <w:rPr>
          <w:color w:val="333333"/>
        </w:rPr>
        <w:t>1500</w:t>
      </w:r>
      <w:r>
        <w:rPr>
          <w:color w:val="333333"/>
          <w:spacing w:val="-6"/>
        </w:rPr>
        <w:t> 个的电影院、剧场，座位数超过 </w:t>
      </w:r>
      <w:r>
        <w:rPr>
          <w:color w:val="333333"/>
        </w:rPr>
        <w:t>3000</w:t>
      </w:r>
      <w:r>
        <w:rPr>
          <w:color w:val="333333"/>
          <w:spacing w:val="-3"/>
        </w:rPr>
        <w:t> 个的体育馆，任一层建筑面积大于3000m2</w:t>
      </w:r>
      <w:r>
        <w:rPr>
          <w:spacing w:val="13"/>
        </w:rPr>
        <w:t>  </w:t>
      </w:r>
      <w:r>
        <w:rPr>
          <w:color w:val="333333"/>
          <w:spacing w:val="-3"/>
        </w:rPr>
        <w:t>的商店和展览建筑，省</w:t>
      </w:r>
      <w:r>
        <w:rPr>
          <w:color w:val="333333"/>
        </w:rPr>
        <w:t>（</w:t>
      </w:r>
      <w:r>
        <w:rPr>
          <w:color w:val="333333"/>
          <w:spacing w:val="-3"/>
        </w:rPr>
        <w:t>市</w:t>
      </w:r>
      <w:r>
        <w:rPr>
          <w:color w:val="333333"/>
        </w:rPr>
        <w:t>）</w:t>
      </w:r>
      <w:r>
        <w:rPr>
          <w:color w:val="333333"/>
          <w:spacing w:val="-3"/>
        </w:rPr>
        <w:t>级及以上的广播电视、电信和财贸金融建筑，室外消防</w:t>
      </w:r>
      <w:r>
        <w:rPr>
          <w:color w:val="333333"/>
          <w:spacing w:val="-12"/>
        </w:rPr>
        <w:t>用水量大于 </w:t>
      </w:r>
      <w:r>
        <w:rPr>
          <w:color w:val="333333"/>
        </w:rPr>
        <w:t>25L/s</w:t>
      </w:r>
      <w:r>
        <w:rPr>
          <w:color w:val="333333"/>
          <w:spacing w:val="-3"/>
        </w:rPr>
        <w:t> 的其他公共建筑。</w:t>
      </w:r>
      <w:r>
        <w:rPr>
          <w:color w:val="333333"/>
        </w:rPr>
        <w:t> </w:t>
      </w:r>
    </w:p>
    <w:p>
      <w:pPr>
        <w:pStyle w:val="BodyText"/>
        <w:rPr>
          <w:sz w:val="20"/>
        </w:rPr>
      </w:pPr>
    </w:p>
    <w:p>
      <w:pPr>
        <w:pStyle w:val="BodyText"/>
        <w:spacing w:before="11"/>
        <w:rPr>
          <w:sz w:val="18"/>
        </w:rPr>
      </w:pPr>
    </w:p>
    <w:p>
      <w:pPr>
        <w:pStyle w:val="ListParagraph"/>
        <w:numPr>
          <w:ilvl w:val="2"/>
          <w:numId w:val="297"/>
        </w:numPr>
        <w:tabs>
          <w:tab w:pos="1478" w:val="left" w:leader="none"/>
        </w:tabs>
        <w:spacing w:line="446" w:lineRule="auto" w:before="0" w:after="0"/>
        <w:ind w:left="418" w:right="1601" w:firstLine="422"/>
        <w:jc w:val="left"/>
        <w:rPr>
          <w:sz w:val="19"/>
        </w:rPr>
      </w:pPr>
      <w:r>
        <w:rPr>
          <w:spacing w:val="-11"/>
          <w:sz w:val="21"/>
        </w:rPr>
        <w:t>除本规范第 </w:t>
      </w:r>
      <w:r>
        <w:rPr>
          <w:sz w:val="21"/>
        </w:rPr>
        <w:t>10.1.1</w:t>
      </w:r>
      <w:r>
        <w:rPr>
          <w:spacing w:val="-15"/>
          <w:sz w:val="21"/>
        </w:rPr>
        <w:t> 和 </w:t>
      </w:r>
      <w:r>
        <w:rPr>
          <w:sz w:val="21"/>
        </w:rPr>
        <w:t>10.1.2</w:t>
      </w:r>
      <w:r>
        <w:rPr>
          <w:spacing w:val="-3"/>
          <w:sz w:val="21"/>
        </w:rPr>
        <w:t> 条外的建筑物、储罐（</w:t>
      </w:r>
      <w:r>
        <w:rPr>
          <w:sz w:val="21"/>
        </w:rPr>
        <w:t>区</w:t>
      </w:r>
      <w:r>
        <w:rPr>
          <w:spacing w:val="-3"/>
          <w:sz w:val="21"/>
        </w:rPr>
        <w:t>）和堆场等的消防用电， 可按三级负荷供电。</w:t>
      </w:r>
      <w:r>
        <w:rPr>
          <w:sz w:val="21"/>
        </w:rPr>
        <w:t> </w:t>
      </w:r>
    </w:p>
    <w:p>
      <w:pPr>
        <w:pStyle w:val="ListParagraph"/>
        <w:numPr>
          <w:ilvl w:val="2"/>
          <w:numId w:val="297"/>
        </w:numPr>
        <w:tabs>
          <w:tab w:pos="1478" w:val="left" w:leader="none"/>
        </w:tabs>
        <w:spacing w:line="446" w:lineRule="auto" w:before="0" w:after="0"/>
        <w:ind w:left="418" w:right="1496" w:firstLine="422"/>
        <w:jc w:val="left"/>
        <w:rPr>
          <w:sz w:val="19"/>
        </w:rPr>
      </w:pPr>
      <w:r>
        <w:rPr>
          <w:spacing w:val="-3"/>
          <w:sz w:val="21"/>
        </w:rPr>
        <w:t>消防用电按一、二级负荷供电的建筑，当采用自备发电设备作备用电源时，自备发</w:t>
      </w:r>
      <w:r>
        <w:rPr>
          <w:spacing w:val="-5"/>
          <w:sz w:val="21"/>
        </w:rPr>
        <w:t>电设备应设置自动和手动启动装置。当采用自动启动方式时，应能保证在 </w:t>
      </w:r>
      <w:r>
        <w:rPr>
          <w:sz w:val="21"/>
        </w:rPr>
        <w:t>30s</w:t>
      </w:r>
      <w:r>
        <w:rPr>
          <w:spacing w:val="-12"/>
          <w:sz w:val="21"/>
        </w:rPr>
        <w:t> 内供电。 </w:t>
      </w:r>
    </w:p>
    <w:p>
      <w:pPr>
        <w:spacing w:after="0" w:line="446" w:lineRule="auto"/>
        <w:jc w:val="left"/>
        <w:rPr>
          <w:sz w:val="19"/>
        </w:rPr>
        <w:sectPr>
          <w:pgSz w:w="11910" w:h="16850"/>
          <w:pgMar w:header="0" w:footer="1239" w:top="1220" w:bottom="1420" w:left="1260" w:right="0"/>
        </w:sectPr>
      </w:pPr>
    </w:p>
    <w:p>
      <w:pPr>
        <w:pStyle w:val="BodyText"/>
        <w:spacing w:line="446" w:lineRule="auto" w:before="47"/>
        <w:ind w:left="840" w:right="1455" w:hanging="3"/>
      </w:pPr>
      <w:r>
        <w:rPr/>
        <w:t>不同级别负荷的供电电源应符合现行国家标准《供配电系统设计规范》GB 50052 的规定。</w:t>
      </w:r>
      <w:r>
        <w:rPr>
          <w:b/>
          <w:color w:val="333333"/>
        </w:rPr>
        <w:t>10.1.5 </w:t>
      </w:r>
      <w:r>
        <w:rPr>
          <w:color w:val="333333"/>
        </w:rPr>
        <w:t>建筑内消防应急照明和灯光疏散指示标志的备用电源的连续供电时间应符合下列规</w:t>
      </w:r>
    </w:p>
    <w:p>
      <w:pPr>
        <w:pStyle w:val="BodyText"/>
        <w:spacing w:line="267" w:lineRule="exact"/>
        <w:ind w:left="418"/>
      </w:pPr>
      <w:r>
        <w:rPr>
          <w:color w:val="333333"/>
        </w:rPr>
        <w:t>定：</w:t>
      </w:r>
      <w:r>
        <w:rPr/>
        <w:t> </w:t>
      </w:r>
    </w:p>
    <w:p>
      <w:pPr>
        <w:pStyle w:val="BodyText"/>
        <w:spacing w:before="2"/>
        <w:rPr>
          <w:sz w:val="18"/>
        </w:rPr>
      </w:pPr>
    </w:p>
    <w:p>
      <w:pPr>
        <w:pStyle w:val="BodyText"/>
        <w:ind w:left="838"/>
      </w:pPr>
      <w:r>
        <w:rPr>
          <w:color w:val="333333"/>
        </w:rPr>
        <w:t>建筑高度大于 100m 的民用建筑，不应小于 1.5h；</w:t>
      </w:r>
      <w:r>
        <w:rPr/>
        <w:t> </w:t>
      </w:r>
    </w:p>
    <w:p>
      <w:pPr>
        <w:pStyle w:val="BodyText"/>
        <w:rPr>
          <w:sz w:val="18"/>
        </w:rPr>
      </w:pPr>
    </w:p>
    <w:p>
      <w:pPr>
        <w:pStyle w:val="BodyText"/>
        <w:ind w:left="838"/>
      </w:pPr>
      <w:r>
        <w:rPr>
          <w:color w:val="333333"/>
        </w:rPr>
        <w:t>医疗建筑、老年人照料设施、总建筑面积大于 100000m2</w:t>
      </w:r>
      <w:r>
        <w:rPr/>
        <w:t> </w:t>
      </w:r>
      <w:r>
        <w:rPr>
          <w:color w:val="333333"/>
        </w:rPr>
        <w:t>的公共建筑和总建筑面积大于</w:t>
      </w:r>
    </w:p>
    <w:p>
      <w:pPr>
        <w:pStyle w:val="BodyText"/>
        <w:spacing w:before="12"/>
        <w:rPr>
          <w:sz w:val="17"/>
        </w:rPr>
      </w:pPr>
    </w:p>
    <w:p>
      <w:pPr>
        <w:pStyle w:val="BodyText"/>
        <w:ind w:left="418"/>
      </w:pPr>
      <w:r>
        <w:rPr>
          <w:color w:val="333333"/>
        </w:rPr>
        <w:t>20000m2</w:t>
      </w:r>
      <w:r>
        <w:rPr>
          <w:spacing w:val="104"/>
        </w:rPr>
        <w:t> </w:t>
      </w:r>
      <w:r>
        <w:rPr>
          <w:color w:val="333333"/>
          <w:spacing w:val="-7"/>
        </w:rPr>
        <w:t>的地下、半地下建筑，不应少于 </w:t>
      </w:r>
      <w:r>
        <w:rPr>
          <w:color w:val="333333"/>
        </w:rPr>
        <w:t>1.0h；</w:t>
      </w:r>
      <w:r>
        <w:rPr/>
        <w:t> </w:t>
      </w:r>
    </w:p>
    <w:p>
      <w:pPr>
        <w:pStyle w:val="BodyText"/>
        <w:spacing w:before="2"/>
        <w:rPr>
          <w:sz w:val="18"/>
        </w:rPr>
      </w:pPr>
    </w:p>
    <w:p>
      <w:pPr>
        <w:pStyle w:val="BodyText"/>
        <w:ind w:left="838"/>
      </w:pPr>
      <w:r>
        <w:rPr>
          <w:color w:val="333333"/>
        </w:rPr>
        <w:t>其他建筑，不应少于 0.5h。</w:t>
      </w:r>
      <w:r>
        <w:rPr/>
        <w:t> </w:t>
      </w:r>
    </w:p>
    <w:p>
      <w:pPr>
        <w:pStyle w:val="BodyText"/>
        <w:rPr>
          <w:sz w:val="18"/>
        </w:rPr>
      </w:pPr>
    </w:p>
    <w:p>
      <w:pPr>
        <w:pStyle w:val="BodyText"/>
        <w:spacing w:line="446" w:lineRule="auto"/>
        <w:ind w:left="418" w:right="1498" w:firstLine="422"/>
      </w:pPr>
      <w:r>
        <w:rPr>
          <w:b/>
          <w:color w:val="333333"/>
        </w:rPr>
        <w:t>10.1.6 </w:t>
      </w:r>
      <w:r>
        <w:rPr>
          <w:color w:val="333333"/>
        </w:rPr>
        <w:t>消防用电设备应采用专用的供电回路，当建筑内的生产、生活用电被切断时，应仍能保证消防用电。</w:t>
      </w:r>
      <w:r>
        <w:rPr/>
        <w:t> </w:t>
      </w:r>
    </w:p>
    <w:p>
      <w:pPr>
        <w:pStyle w:val="BodyText"/>
        <w:spacing w:line="446" w:lineRule="auto"/>
        <w:ind w:left="840" w:right="1505" w:hanging="3"/>
      </w:pPr>
      <w:r>
        <w:rPr>
          <w:color w:val="333333"/>
        </w:rPr>
        <w:t>备用消防电源的供电时间和容量，应满足该建筑火灾延续时间内各消防用电设备的要求。</w:t>
      </w:r>
      <w:r>
        <w:rPr>
          <w:b/>
        </w:rPr>
        <w:t>10.1.7 </w:t>
      </w:r>
      <w:r>
        <w:rPr/>
        <w:t>消防配电干线宜按防火分区划分，消防配电支线不宜穿越防火分区。 </w:t>
      </w:r>
    </w:p>
    <w:p>
      <w:pPr>
        <w:pStyle w:val="ListParagraph"/>
        <w:numPr>
          <w:ilvl w:val="2"/>
          <w:numId w:val="298"/>
        </w:numPr>
        <w:tabs>
          <w:tab w:pos="1478" w:val="left" w:leader="none"/>
        </w:tabs>
        <w:spacing w:line="446" w:lineRule="auto" w:before="0" w:after="0"/>
        <w:ind w:left="418" w:right="1705" w:firstLine="422"/>
        <w:jc w:val="left"/>
        <w:rPr>
          <w:color w:val="333333"/>
          <w:sz w:val="19"/>
        </w:rPr>
      </w:pPr>
      <w:r>
        <w:rPr>
          <w:color w:val="333333"/>
          <w:spacing w:val="-3"/>
          <w:sz w:val="21"/>
        </w:rPr>
        <w:t>消防控制室、消防水泵房、防烟和排烟风机房的消防用电设备及消防电梯等的供电，应在其配电线路的最末一级配电箱处设置自动切换装置。</w:t>
      </w:r>
      <w:r>
        <w:rPr>
          <w:sz w:val="21"/>
        </w:rPr>
        <w:t> </w:t>
      </w:r>
    </w:p>
    <w:p>
      <w:pPr>
        <w:pStyle w:val="ListParagraph"/>
        <w:numPr>
          <w:ilvl w:val="2"/>
          <w:numId w:val="298"/>
        </w:numPr>
        <w:tabs>
          <w:tab w:pos="1478" w:val="left" w:leader="none"/>
        </w:tabs>
        <w:spacing w:line="446" w:lineRule="auto" w:before="0" w:after="0"/>
        <w:ind w:left="418" w:right="1496" w:firstLine="422"/>
        <w:jc w:val="left"/>
        <w:rPr>
          <w:sz w:val="19"/>
        </w:rPr>
      </w:pPr>
      <w:r>
        <w:rPr>
          <w:spacing w:val="-3"/>
          <w:sz w:val="21"/>
        </w:rPr>
        <w:t>按一、二级负荷供电的消防设备，其配电箱应独立设置；按三级负荷供电的消防设备，其配电箱宜独立设置。消防配电设备应设置明显标志。</w:t>
      </w:r>
      <w:r>
        <w:rPr>
          <w:sz w:val="21"/>
        </w:rPr>
        <w:t> </w:t>
      </w:r>
    </w:p>
    <w:p>
      <w:pPr>
        <w:pStyle w:val="ListParagraph"/>
        <w:numPr>
          <w:ilvl w:val="2"/>
          <w:numId w:val="298"/>
        </w:numPr>
        <w:tabs>
          <w:tab w:pos="1583" w:val="left" w:leader="none"/>
        </w:tabs>
        <w:spacing w:line="240" w:lineRule="auto" w:before="0" w:after="0"/>
        <w:ind w:left="1582" w:right="0" w:hanging="743"/>
        <w:jc w:val="left"/>
        <w:rPr>
          <w:color w:val="333333"/>
          <w:sz w:val="19"/>
        </w:rPr>
      </w:pPr>
      <w:r>
        <w:rPr>
          <w:color w:val="333333"/>
          <w:spacing w:val="-3"/>
          <w:sz w:val="21"/>
        </w:rPr>
        <w:t>消防配电线路应满足火灾时连续供电的需要，其敷设应符合下列规定：</w:t>
      </w:r>
      <w:r>
        <w:rPr>
          <w:spacing w:val="-3"/>
          <w:sz w:val="21"/>
        </w:rPr>
        <w:t> </w:t>
      </w:r>
    </w:p>
    <w:p>
      <w:pPr>
        <w:pStyle w:val="BodyText"/>
        <w:spacing w:before="10"/>
        <w:rPr>
          <w:sz w:val="17"/>
        </w:rPr>
      </w:pPr>
    </w:p>
    <w:p>
      <w:pPr>
        <w:pStyle w:val="BodyText"/>
        <w:spacing w:line="446" w:lineRule="auto"/>
        <w:ind w:left="418" w:right="1505" w:firstLine="419"/>
      </w:pPr>
      <w:r>
        <w:rPr>
          <w:color w:val="333333"/>
          <w:w w:val="100"/>
        </w:rPr>
        <w:t> </w:t>
      </w:r>
      <w:r>
        <w:rPr>
          <w:color w:val="333333"/>
          <w:spacing w:val="-2"/>
        </w:rPr>
        <w:t>明敷时</w:t>
      </w:r>
      <w:r>
        <w:rPr>
          <w:color w:val="333333"/>
          <w:spacing w:val="-3"/>
        </w:rPr>
        <w:t>（包括敷设在吊顶内</w:t>
      </w:r>
      <w:r>
        <w:rPr>
          <w:color w:val="333333"/>
        </w:rPr>
        <w:t>）</w:t>
      </w:r>
      <w:r>
        <w:rPr>
          <w:color w:val="333333"/>
          <w:spacing w:val="-3"/>
        </w:rPr>
        <w:t>，应穿金属导管或采用封闭式金属槽盒保护，金属导管或封闭式金属槽盒应采取防火保护措施；当采用阻燃或耐火电缆并敷设在电缆井、沟内时，可不穿金属导管或采用封闭式金属槽盒保护；当采用矿物绝缘类不燃性电缆时，可直接明敷；</w:t>
      </w:r>
      <w:r>
        <w:rPr/>
        <w:t> </w:t>
      </w:r>
    </w:p>
    <w:p>
      <w:pPr>
        <w:pStyle w:val="BodyText"/>
        <w:spacing w:line="268" w:lineRule="exact"/>
        <w:ind w:left="838"/>
      </w:pPr>
      <w:r>
        <w:rPr>
          <w:color w:val="333333"/>
        </w:rPr>
        <w:t>暗敷时，应穿管并应敷设在不燃性结构内且保护层厚度不应小于 30mm；</w:t>
      </w:r>
      <w:r>
        <w:rPr/>
        <w:t> </w:t>
      </w:r>
    </w:p>
    <w:p>
      <w:pPr>
        <w:pStyle w:val="BodyText"/>
        <w:spacing w:before="12"/>
        <w:rPr>
          <w:sz w:val="17"/>
        </w:rPr>
      </w:pPr>
    </w:p>
    <w:p>
      <w:pPr>
        <w:pStyle w:val="BodyText"/>
        <w:spacing w:line="446" w:lineRule="auto"/>
        <w:ind w:left="418" w:right="1608" w:firstLine="419"/>
        <w:jc w:val="both"/>
      </w:pPr>
      <w:r>
        <w:rPr/>
        <w:t>消防配电线路宜与其他配电线路分开敷设在不同的电缆井、沟内；确有困难需敷设在同一电缆井、沟内时，应分别布置在电缆井、沟的两侧，且消防配电线路应采用矿物绝缘类不燃性电缆。 </w:t>
      </w:r>
    </w:p>
    <w:p>
      <w:pPr>
        <w:pStyle w:val="ListParagraph"/>
        <w:numPr>
          <w:ilvl w:val="1"/>
          <w:numId w:val="297"/>
        </w:numPr>
        <w:tabs>
          <w:tab w:pos="1266" w:val="left" w:leader="none"/>
        </w:tabs>
        <w:spacing w:line="268" w:lineRule="exact" w:before="0" w:after="0"/>
        <w:ind w:left="1265" w:right="0" w:hanging="426"/>
        <w:jc w:val="left"/>
        <w:rPr>
          <w:b/>
          <w:sz w:val="21"/>
        </w:rPr>
      </w:pPr>
      <w:r>
        <w:rPr>
          <w:spacing w:val="-3"/>
          <w:sz w:val="21"/>
        </w:rPr>
        <w:t>电力线路及电器装置</w:t>
      </w:r>
      <w:r>
        <w:rPr>
          <w:b/>
          <w:w w:val="99"/>
          <w:sz w:val="21"/>
        </w:rPr>
        <w:t> </w:t>
      </w:r>
    </w:p>
    <w:p>
      <w:pPr>
        <w:pStyle w:val="BodyText"/>
        <w:spacing w:before="2"/>
        <w:rPr>
          <w:b/>
          <w:sz w:val="18"/>
        </w:rPr>
      </w:pPr>
    </w:p>
    <w:p>
      <w:pPr>
        <w:pStyle w:val="ListParagraph"/>
        <w:numPr>
          <w:ilvl w:val="2"/>
          <w:numId w:val="297"/>
        </w:numPr>
        <w:tabs>
          <w:tab w:pos="1478" w:val="left" w:leader="none"/>
        </w:tabs>
        <w:spacing w:line="446" w:lineRule="auto" w:before="0" w:after="0"/>
        <w:ind w:left="418" w:right="1496" w:firstLine="422"/>
        <w:jc w:val="left"/>
        <w:rPr>
          <w:color w:val="333333"/>
          <w:sz w:val="19"/>
        </w:rPr>
      </w:pPr>
      <w:r>
        <w:rPr>
          <w:color w:val="333333"/>
          <w:spacing w:val="-3"/>
          <w:sz w:val="21"/>
        </w:rPr>
        <w:t>架空电力线与甲、乙类厂房（</w:t>
      </w:r>
      <w:r>
        <w:rPr>
          <w:color w:val="333333"/>
          <w:spacing w:val="-2"/>
          <w:sz w:val="21"/>
        </w:rPr>
        <w:t>仓库</w:t>
      </w:r>
      <w:r>
        <w:rPr>
          <w:color w:val="333333"/>
          <w:sz w:val="21"/>
        </w:rPr>
        <w:t>）</w:t>
      </w:r>
      <w:r>
        <w:rPr>
          <w:color w:val="333333"/>
          <w:spacing w:val="-3"/>
          <w:sz w:val="21"/>
        </w:rPr>
        <w:t>，可燃材料堆垛，甲、乙、丙类液体储罐，液</w:t>
      </w:r>
      <w:r>
        <w:rPr>
          <w:color w:val="333333"/>
          <w:spacing w:val="-5"/>
          <w:sz w:val="21"/>
        </w:rPr>
        <w:t>化石油气储罐，可燃、助燃气体储罐的最近水平距离应符合表 </w:t>
      </w:r>
      <w:r>
        <w:rPr>
          <w:color w:val="333333"/>
          <w:sz w:val="21"/>
        </w:rPr>
        <w:t>10.2.1</w:t>
      </w:r>
      <w:r>
        <w:rPr>
          <w:color w:val="333333"/>
          <w:spacing w:val="-1"/>
          <w:sz w:val="21"/>
        </w:rPr>
        <w:t> 的规定。</w:t>
      </w:r>
      <w:r>
        <w:rPr>
          <w:spacing w:val="-1"/>
          <w:sz w:val="21"/>
        </w:rPr>
        <w:t> </w:t>
      </w:r>
    </w:p>
    <w:p>
      <w:pPr>
        <w:pStyle w:val="BodyText"/>
        <w:spacing w:line="267" w:lineRule="exact"/>
        <w:ind w:left="838"/>
      </w:pPr>
      <w:r>
        <w:rPr>
          <w:color w:val="333333"/>
        </w:rPr>
        <w:t>35kV 及以上架空电力线与单罐容积大于 200m3</w:t>
      </w:r>
      <w:r>
        <w:rPr/>
        <w:t> </w:t>
      </w:r>
      <w:r>
        <w:rPr>
          <w:color w:val="333333"/>
        </w:rPr>
        <w:t>或总容积大于 1000m3 液化石油气储罐</w:t>
      </w:r>
    </w:p>
    <w:p>
      <w:pPr>
        <w:pStyle w:val="BodyText"/>
        <w:spacing w:before="2"/>
        <w:rPr>
          <w:sz w:val="18"/>
        </w:rPr>
      </w:pPr>
    </w:p>
    <w:p>
      <w:pPr>
        <w:pStyle w:val="BodyText"/>
        <w:ind w:left="418"/>
      </w:pPr>
      <w:r>
        <w:rPr>
          <w:color w:val="333333"/>
        </w:rPr>
        <w:t>（区）的最近水平距离不应小于 40m。</w:t>
      </w:r>
      <w:r>
        <w:rPr/>
        <w:t> </w:t>
      </w:r>
    </w:p>
    <w:p>
      <w:pPr>
        <w:spacing w:after="0"/>
        <w:sectPr>
          <w:footerReference w:type="default" r:id="rId157"/>
          <w:pgSz w:w="11910" w:h="16850"/>
          <w:pgMar w:footer="1239" w:header="0" w:top="1220" w:bottom="1420" w:left="1260" w:right="0"/>
          <w:pgNumType w:start="1050"/>
        </w:sectPr>
      </w:pPr>
    </w:p>
    <w:p>
      <w:pPr>
        <w:spacing w:before="47"/>
        <w:ind w:left="840" w:right="0" w:firstLine="0"/>
        <w:jc w:val="left"/>
        <w:rPr>
          <w:b/>
          <w:sz w:val="21"/>
        </w:rPr>
      </w:pPr>
      <w:r>
        <w:rPr>
          <w:b/>
          <w:color w:val="333333"/>
          <w:sz w:val="21"/>
        </w:rPr>
        <w:t>表 10.2.1 架空电力线与甲、乙类厂房（仓库）、可燃材料堆垛等的最近水平距离（m）</w:t>
      </w:r>
      <w:r>
        <w:rPr>
          <w:b/>
          <w:w w:val="99"/>
          <w:sz w:val="21"/>
        </w:rPr>
        <w:t> </w:t>
      </w:r>
    </w:p>
    <w:p>
      <w:pPr>
        <w:pStyle w:val="BodyText"/>
        <w:spacing w:before="4"/>
        <w:rPr>
          <w:b/>
          <w:sz w:val="26"/>
        </w:rPr>
      </w:pPr>
      <w:r>
        <w:rPr/>
        <w:drawing>
          <wp:anchor distT="0" distB="0" distL="0" distR="0" allowOverlap="1" layoutInCell="1" locked="0" behindDoc="0" simplePos="0" relativeHeight="102">
            <wp:simplePos x="0" y="0"/>
            <wp:positionH relativeFrom="page">
              <wp:posOffset>1157605</wp:posOffset>
            </wp:positionH>
            <wp:positionV relativeFrom="paragraph">
              <wp:posOffset>238847</wp:posOffset>
            </wp:positionV>
            <wp:extent cx="5509162" cy="1790700"/>
            <wp:effectExtent l="0" t="0" r="0" b="0"/>
            <wp:wrapTopAndBottom/>
            <wp:docPr id="231" name="image144.jpeg"/>
            <wp:cNvGraphicFramePr>
              <a:graphicFrameLocks noChangeAspect="1"/>
            </wp:cNvGraphicFramePr>
            <a:graphic>
              <a:graphicData uri="http://schemas.openxmlformats.org/drawingml/2006/picture">
                <pic:pic>
                  <pic:nvPicPr>
                    <pic:cNvPr id="232" name="image144.jpeg"/>
                    <pic:cNvPicPr/>
                  </pic:nvPicPr>
                  <pic:blipFill>
                    <a:blip r:embed="rId158" cstate="print"/>
                    <a:stretch>
                      <a:fillRect/>
                    </a:stretch>
                  </pic:blipFill>
                  <pic:spPr>
                    <a:xfrm>
                      <a:off x="0" y="0"/>
                      <a:ext cx="5509162" cy="1790700"/>
                    </a:xfrm>
                    <a:prstGeom prst="rect">
                      <a:avLst/>
                    </a:prstGeom>
                  </pic:spPr>
                </pic:pic>
              </a:graphicData>
            </a:graphic>
          </wp:anchor>
        </w:drawing>
      </w:r>
    </w:p>
    <w:p>
      <w:pPr>
        <w:pStyle w:val="BodyText"/>
        <w:rPr>
          <w:b/>
          <w:sz w:val="20"/>
        </w:rPr>
      </w:pPr>
    </w:p>
    <w:p>
      <w:pPr>
        <w:pStyle w:val="BodyText"/>
        <w:spacing w:before="5"/>
        <w:rPr>
          <w:b/>
          <w:sz w:val="15"/>
        </w:rPr>
      </w:pPr>
    </w:p>
    <w:p>
      <w:pPr>
        <w:pStyle w:val="ListParagraph"/>
        <w:numPr>
          <w:ilvl w:val="2"/>
          <w:numId w:val="297"/>
        </w:numPr>
        <w:tabs>
          <w:tab w:pos="1478" w:val="left" w:leader="none"/>
        </w:tabs>
        <w:spacing w:line="446" w:lineRule="auto" w:before="71" w:after="0"/>
        <w:ind w:left="418" w:right="1496" w:firstLine="422"/>
        <w:jc w:val="left"/>
        <w:rPr>
          <w:sz w:val="19"/>
        </w:rPr>
      </w:pPr>
      <w:r>
        <w:rPr>
          <w:spacing w:val="-3"/>
          <w:sz w:val="21"/>
        </w:rPr>
        <w:t>电力电缆不应和输送甲、乙、丙类液体管道、可燃气体管道、热力管道敷设在同一管沟内。</w:t>
      </w:r>
      <w:r>
        <w:rPr>
          <w:sz w:val="21"/>
        </w:rPr>
        <w:t> </w:t>
      </w:r>
    </w:p>
    <w:p>
      <w:pPr>
        <w:pStyle w:val="ListParagraph"/>
        <w:numPr>
          <w:ilvl w:val="2"/>
          <w:numId w:val="297"/>
        </w:numPr>
        <w:tabs>
          <w:tab w:pos="1478" w:val="left" w:leader="none"/>
        </w:tabs>
        <w:spacing w:line="446" w:lineRule="auto" w:before="0" w:after="0"/>
        <w:ind w:left="418" w:right="1496" w:firstLine="422"/>
        <w:jc w:val="left"/>
        <w:rPr>
          <w:sz w:val="19"/>
        </w:rPr>
      </w:pPr>
      <w:r>
        <w:rPr>
          <w:spacing w:val="-3"/>
          <w:sz w:val="21"/>
        </w:rPr>
        <w:t>配电线路不得穿越通风管道内腔或直接敷设在通风管道外壁上，穿金属导管保护的配电线路可紧贴通风管道外壁敷设。</w:t>
      </w:r>
      <w:r>
        <w:rPr>
          <w:sz w:val="21"/>
        </w:rPr>
        <w:t> </w:t>
      </w:r>
    </w:p>
    <w:p>
      <w:pPr>
        <w:pStyle w:val="BodyText"/>
        <w:spacing w:line="448" w:lineRule="auto"/>
        <w:ind w:left="418" w:right="1609" w:firstLine="419"/>
      </w:pPr>
      <w:r>
        <w:rPr/>
        <w:t>配电线路敷设在有可燃物的闷顶、吊顶内时，应采取穿金属导管、采用封闭式金属槽盒等防火保护措施。 </w:t>
      </w:r>
    </w:p>
    <w:p>
      <w:pPr>
        <w:pStyle w:val="ListParagraph"/>
        <w:numPr>
          <w:ilvl w:val="2"/>
          <w:numId w:val="297"/>
        </w:numPr>
        <w:tabs>
          <w:tab w:pos="1478" w:val="left" w:leader="none"/>
        </w:tabs>
        <w:spacing w:line="264" w:lineRule="exact" w:before="0" w:after="0"/>
        <w:ind w:left="1477" w:right="0" w:hanging="638"/>
        <w:jc w:val="left"/>
        <w:rPr>
          <w:color w:val="333333"/>
          <w:sz w:val="19"/>
        </w:rPr>
      </w:pPr>
      <w:r>
        <w:rPr>
          <w:color w:val="333333"/>
          <w:spacing w:val="-3"/>
          <w:sz w:val="21"/>
        </w:rPr>
        <w:t>开关、插座和照明灯具靠近可燃物时，应采取隔热、散热等防火措施。</w:t>
      </w:r>
      <w:r>
        <w:rPr>
          <w:spacing w:val="-3"/>
          <w:sz w:val="21"/>
        </w:rPr>
        <w:t> </w:t>
      </w:r>
    </w:p>
    <w:p>
      <w:pPr>
        <w:pStyle w:val="BodyText"/>
        <w:spacing w:before="10"/>
        <w:rPr>
          <w:sz w:val="17"/>
        </w:rPr>
      </w:pPr>
    </w:p>
    <w:p>
      <w:pPr>
        <w:pStyle w:val="BodyText"/>
        <w:spacing w:line="446" w:lineRule="auto"/>
        <w:ind w:left="418" w:right="1394" w:firstLine="419"/>
      </w:pPr>
      <w:r>
        <w:rPr>
          <w:color w:val="333333"/>
        </w:rPr>
        <w:t>卤钨灯和额定功率不小于 100W 的白炽灯泡的吸顶灯、槽灯、嵌入式灯，其引入线应采用瓷管、矿棉等不燃材料作隔热保护。</w:t>
      </w:r>
      <w:r>
        <w:rPr/>
        <w:t> </w:t>
      </w:r>
    </w:p>
    <w:p>
      <w:pPr>
        <w:pStyle w:val="BodyText"/>
        <w:spacing w:line="446" w:lineRule="auto"/>
        <w:ind w:left="418" w:right="1498" w:firstLine="419"/>
      </w:pPr>
      <w:r>
        <w:rPr>
          <w:color w:val="333333"/>
        </w:rPr>
        <w:t>额定功率不小于 60W 的白炽灯、卤钨灯、高压钠灯、金属卤化物灯、荧光高压汞灯（包括电感镇流器）等，不应直接安装在可燃物体上或采取其他防火措施。</w:t>
      </w:r>
      <w:r>
        <w:rPr/>
        <w:t> </w:t>
      </w:r>
    </w:p>
    <w:p>
      <w:pPr>
        <w:pStyle w:val="ListParagraph"/>
        <w:numPr>
          <w:ilvl w:val="2"/>
          <w:numId w:val="297"/>
        </w:numPr>
        <w:tabs>
          <w:tab w:pos="1478" w:val="left" w:leader="none"/>
        </w:tabs>
        <w:spacing w:line="446" w:lineRule="auto" w:before="0" w:after="0"/>
        <w:ind w:left="418" w:right="1705" w:firstLine="422"/>
        <w:jc w:val="left"/>
        <w:rPr>
          <w:sz w:val="19"/>
        </w:rPr>
      </w:pPr>
      <w:r>
        <w:rPr>
          <w:spacing w:val="-3"/>
          <w:sz w:val="21"/>
        </w:rPr>
        <w:t>可燃材料仓库内宜使用低温照明灯具，并应对灯具的发热部件采取隔热等防火措施，不应使用卤钨灯等高温照明灯具。</w:t>
      </w:r>
      <w:r>
        <w:rPr>
          <w:sz w:val="21"/>
        </w:rPr>
        <w:t> </w:t>
      </w:r>
    </w:p>
    <w:p>
      <w:pPr>
        <w:pStyle w:val="BodyText"/>
        <w:spacing w:line="267" w:lineRule="exact"/>
        <w:ind w:left="838"/>
      </w:pPr>
      <w:r>
        <w:rPr/>
        <w:t>配电箱及开关应设置在仓库外。 </w:t>
      </w:r>
    </w:p>
    <w:p>
      <w:pPr>
        <w:pStyle w:val="BodyText"/>
        <w:spacing w:before="2"/>
        <w:rPr>
          <w:sz w:val="18"/>
        </w:rPr>
      </w:pPr>
    </w:p>
    <w:p>
      <w:pPr>
        <w:pStyle w:val="ListParagraph"/>
        <w:numPr>
          <w:ilvl w:val="2"/>
          <w:numId w:val="297"/>
        </w:numPr>
        <w:tabs>
          <w:tab w:pos="1478" w:val="left" w:leader="none"/>
        </w:tabs>
        <w:spacing w:line="446" w:lineRule="auto" w:before="0" w:after="0"/>
        <w:ind w:left="418" w:right="1496" w:firstLine="422"/>
        <w:jc w:val="left"/>
        <w:rPr>
          <w:sz w:val="19"/>
        </w:rPr>
      </w:pPr>
      <w:r>
        <w:rPr>
          <w:spacing w:val="-3"/>
          <w:sz w:val="21"/>
        </w:rPr>
        <w:t>爆炸危险环境电力装置的设计应符合现行国家标准《爆炸危险环境电力装置设计规范》GB 50058</w:t>
      </w:r>
      <w:r>
        <w:rPr>
          <w:spacing w:val="-2"/>
          <w:sz w:val="21"/>
        </w:rPr>
        <w:t> 的规定。 </w:t>
      </w:r>
    </w:p>
    <w:p>
      <w:pPr>
        <w:pStyle w:val="BodyText"/>
        <w:rPr>
          <w:sz w:val="20"/>
        </w:rPr>
      </w:pPr>
    </w:p>
    <w:p>
      <w:pPr>
        <w:pStyle w:val="BodyText"/>
        <w:rPr>
          <w:sz w:val="19"/>
        </w:rPr>
      </w:pPr>
    </w:p>
    <w:p>
      <w:pPr>
        <w:pStyle w:val="ListParagraph"/>
        <w:numPr>
          <w:ilvl w:val="2"/>
          <w:numId w:val="297"/>
        </w:numPr>
        <w:tabs>
          <w:tab w:pos="1478" w:val="left" w:leader="none"/>
        </w:tabs>
        <w:spacing w:line="446" w:lineRule="auto" w:before="0" w:after="0"/>
        <w:ind w:left="418" w:right="1496" w:firstLine="422"/>
        <w:jc w:val="left"/>
        <w:rPr>
          <w:sz w:val="19"/>
        </w:rPr>
      </w:pPr>
      <w:r>
        <w:rPr>
          <w:spacing w:val="-3"/>
          <w:sz w:val="21"/>
        </w:rPr>
        <w:t>老年人照料设施的非消防用电负荷应设置电气火灾监控系统。下列建筑或场所的非消防用电负荷宜设置电气火灾监控系统：</w:t>
      </w:r>
      <w:r>
        <w:rPr>
          <w:sz w:val="21"/>
        </w:rPr>
        <w:t> </w:t>
      </w:r>
    </w:p>
    <w:p>
      <w:pPr>
        <w:spacing w:after="0" w:line="446" w:lineRule="auto"/>
        <w:jc w:val="left"/>
        <w:rPr>
          <w:sz w:val="19"/>
        </w:rPr>
        <w:sectPr>
          <w:pgSz w:w="11910" w:h="16850"/>
          <w:pgMar w:header="0" w:footer="1239" w:top="1220" w:bottom="1420" w:left="1260" w:right="0"/>
        </w:sectPr>
      </w:pPr>
    </w:p>
    <w:p>
      <w:pPr>
        <w:pStyle w:val="BodyText"/>
        <w:spacing w:line="446" w:lineRule="auto" w:before="47"/>
        <w:ind w:left="418" w:right="1767" w:firstLine="419"/>
      </w:pPr>
      <w:r>
        <w:rPr>
          <w:spacing w:val="-9"/>
        </w:rPr>
        <w:t>建筑高度大于 </w:t>
      </w:r>
      <w:r>
        <w:rPr/>
        <w:t>50m</w:t>
      </w:r>
      <w:r>
        <w:rPr>
          <w:spacing w:val="-5"/>
        </w:rPr>
        <w:t> 的乙、丙类厂房和丙类仓库，室外消防用水量大于 </w:t>
      </w:r>
      <w:r>
        <w:rPr/>
        <w:t>30L/s</w:t>
      </w:r>
      <w:r>
        <w:rPr>
          <w:spacing w:val="-13"/>
        </w:rPr>
        <w:t> 的厂房</w:t>
      </w:r>
      <w:r>
        <w:rPr/>
        <w:t>（仓库）； </w:t>
      </w:r>
    </w:p>
    <w:p>
      <w:pPr>
        <w:pStyle w:val="BodyText"/>
        <w:spacing w:line="267" w:lineRule="exact"/>
        <w:ind w:left="838"/>
      </w:pPr>
      <w:r>
        <w:rPr/>
        <w:t>一类高层民用建筑； </w:t>
      </w:r>
    </w:p>
    <w:p>
      <w:pPr>
        <w:pStyle w:val="BodyText"/>
        <w:spacing w:before="2"/>
        <w:rPr>
          <w:sz w:val="18"/>
        </w:rPr>
      </w:pPr>
    </w:p>
    <w:p>
      <w:pPr>
        <w:pStyle w:val="BodyText"/>
        <w:spacing w:line="441" w:lineRule="auto"/>
        <w:ind w:left="418" w:right="1508" w:firstLine="419"/>
        <w:jc w:val="both"/>
      </w:pPr>
      <w:r>
        <w:rPr>
          <w:spacing w:val="-10"/>
        </w:rPr>
        <w:t>座位数超过 </w:t>
      </w:r>
      <w:r>
        <w:rPr/>
        <w:t>1500</w:t>
      </w:r>
      <w:r>
        <w:rPr>
          <w:spacing w:val="-6"/>
        </w:rPr>
        <w:t> 个的电影院、剧场，座位数超过 </w:t>
      </w:r>
      <w:r>
        <w:rPr/>
        <w:t>3000</w:t>
      </w:r>
      <w:r>
        <w:rPr>
          <w:spacing w:val="-3"/>
        </w:rPr>
        <w:t> 个的体育馆，任一层建筑面积大于3000m</w:t>
      </w:r>
      <w:r>
        <w:rPr>
          <w:spacing w:val="-3"/>
          <w:position w:val="11"/>
          <w:sz w:val="11"/>
        </w:rPr>
        <w:t>2</w:t>
      </w:r>
      <w:r>
        <w:rPr>
          <w:spacing w:val="-3"/>
          <w:sz w:val="11"/>
        </w:rPr>
        <w:t> </w:t>
      </w:r>
      <w:r>
        <w:rPr>
          <w:spacing w:val="-3"/>
        </w:rPr>
        <w:t>的商店和展览建筑，省（</w:t>
      </w:r>
      <w:r>
        <w:rPr/>
        <w:t>市</w:t>
      </w:r>
      <w:r>
        <w:rPr>
          <w:spacing w:val="-3"/>
        </w:rPr>
        <w:t>）级及以上的广播电视、电信和财贸金融建筑，室外消防用</w:t>
      </w:r>
      <w:r>
        <w:rPr>
          <w:spacing w:val="-13"/>
        </w:rPr>
        <w:t>水量大于 </w:t>
      </w:r>
      <w:r>
        <w:rPr/>
        <w:t>25L/s</w:t>
      </w:r>
      <w:r>
        <w:rPr>
          <w:spacing w:val="-3"/>
        </w:rPr>
        <w:t> 的其他公共建筑；</w:t>
      </w:r>
      <w:r>
        <w:rPr/>
        <w:t> </w:t>
      </w:r>
    </w:p>
    <w:p>
      <w:pPr>
        <w:pStyle w:val="BodyText"/>
        <w:spacing w:before="5"/>
        <w:ind w:left="838"/>
      </w:pPr>
      <w:r>
        <w:rPr/>
        <w:t>4 国家级文物保护单位的重点砖木或木结构的古建筑。 </w:t>
      </w:r>
    </w:p>
    <w:p>
      <w:pPr>
        <w:pStyle w:val="BodyText"/>
        <w:rPr>
          <w:sz w:val="18"/>
        </w:rPr>
      </w:pPr>
    </w:p>
    <w:p>
      <w:pPr>
        <w:pStyle w:val="ListParagraph"/>
        <w:numPr>
          <w:ilvl w:val="1"/>
          <w:numId w:val="297"/>
        </w:numPr>
        <w:tabs>
          <w:tab w:pos="1264" w:val="left" w:leader="none"/>
        </w:tabs>
        <w:spacing w:line="240" w:lineRule="auto" w:before="0" w:after="0"/>
        <w:ind w:left="1263" w:right="0" w:hanging="424"/>
        <w:jc w:val="left"/>
        <w:rPr>
          <w:sz w:val="21"/>
        </w:rPr>
      </w:pPr>
      <w:r>
        <w:rPr>
          <w:spacing w:val="-3"/>
          <w:sz w:val="21"/>
        </w:rPr>
        <w:t>消防应急照明和疏散指示标志</w:t>
      </w:r>
      <w:r>
        <w:rPr>
          <w:sz w:val="21"/>
        </w:rPr>
        <w:t> </w:t>
      </w:r>
    </w:p>
    <w:p>
      <w:pPr>
        <w:pStyle w:val="BodyText"/>
        <w:spacing w:before="12"/>
        <w:rPr>
          <w:sz w:val="17"/>
        </w:rPr>
      </w:pPr>
    </w:p>
    <w:p>
      <w:pPr>
        <w:pStyle w:val="ListParagraph"/>
        <w:numPr>
          <w:ilvl w:val="2"/>
          <w:numId w:val="297"/>
        </w:numPr>
        <w:tabs>
          <w:tab w:pos="1478" w:val="left" w:leader="none"/>
        </w:tabs>
        <w:spacing w:line="446" w:lineRule="auto" w:before="0" w:after="0"/>
        <w:ind w:left="418" w:right="1445" w:firstLine="422"/>
        <w:jc w:val="left"/>
        <w:rPr>
          <w:color w:val="333333"/>
          <w:sz w:val="19"/>
        </w:rPr>
      </w:pPr>
      <w:r>
        <w:rPr>
          <w:color w:val="333333"/>
          <w:spacing w:val="-9"/>
          <w:sz w:val="21"/>
        </w:rPr>
        <w:t>除建筑高度小于 </w:t>
      </w:r>
      <w:r>
        <w:rPr>
          <w:color w:val="333333"/>
          <w:sz w:val="21"/>
        </w:rPr>
        <w:t>27m</w:t>
      </w:r>
      <w:r>
        <w:rPr>
          <w:color w:val="333333"/>
          <w:spacing w:val="-3"/>
          <w:sz w:val="21"/>
        </w:rPr>
        <w:t> 的住宅建筑外，民用建筑、厂房和丙类仓库的下列部位应设置疏散照明：</w:t>
      </w:r>
      <w:r>
        <w:rPr>
          <w:sz w:val="21"/>
        </w:rPr>
        <w:t> </w:t>
      </w:r>
    </w:p>
    <w:p>
      <w:pPr>
        <w:pStyle w:val="BodyText"/>
        <w:ind w:left="838"/>
      </w:pPr>
      <w:r>
        <w:rPr>
          <w:color w:val="333333"/>
        </w:rPr>
        <w:t>封闭楼梯间、防烟楼梯间及其前室、消防电梯间的前室或合用前室、避难走道、避难层</w:t>
      </w:r>
    </w:p>
    <w:p>
      <w:pPr>
        <w:pStyle w:val="BodyText"/>
        <w:rPr>
          <w:sz w:val="18"/>
        </w:rPr>
      </w:pPr>
    </w:p>
    <w:p>
      <w:pPr>
        <w:pStyle w:val="BodyText"/>
        <w:ind w:left="418"/>
      </w:pPr>
      <w:r>
        <w:rPr>
          <w:color w:val="333333"/>
        </w:rPr>
        <w:t>（间）；</w:t>
      </w:r>
      <w:r>
        <w:rPr/>
        <w:t> </w:t>
      </w:r>
    </w:p>
    <w:p>
      <w:pPr>
        <w:pStyle w:val="BodyText"/>
        <w:spacing w:before="4"/>
        <w:rPr>
          <w:sz w:val="17"/>
        </w:rPr>
      </w:pPr>
    </w:p>
    <w:p>
      <w:pPr>
        <w:pStyle w:val="BodyText"/>
        <w:spacing w:line="446" w:lineRule="auto" w:before="1"/>
        <w:ind w:left="418" w:right="1503" w:firstLine="419"/>
      </w:pPr>
      <w:r>
        <w:rPr>
          <w:color w:val="333333"/>
          <w:spacing w:val="-6"/>
        </w:rPr>
        <w:t>观众厅、展览厅、多功能厅和建筑面积大于 </w:t>
      </w:r>
      <w:r>
        <w:rPr>
          <w:color w:val="333333"/>
        </w:rPr>
        <w:t>200m</w:t>
      </w:r>
      <w:r>
        <w:rPr>
          <w:color w:val="333333"/>
          <w:position w:val="11"/>
          <w:sz w:val="11"/>
        </w:rPr>
        <w:t>2</w:t>
      </w:r>
      <w:r>
        <w:rPr>
          <w:sz w:val="11"/>
        </w:rPr>
        <w:t> </w:t>
      </w:r>
      <w:r>
        <w:rPr>
          <w:color w:val="333333"/>
          <w:spacing w:val="-3"/>
        </w:rPr>
        <w:t>的营业厅、餐厅、演播室等人员密集的场所；</w:t>
      </w:r>
      <w:r>
        <w:rPr>
          <w:color w:val="333333"/>
        </w:rPr>
        <w:t> </w:t>
      </w:r>
    </w:p>
    <w:p>
      <w:pPr>
        <w:pStyle w:val="BodyText"/>
        <w:spacing w:line="446" w:lineRule="auto"/>
        <w:ind w:left="838" w:right="4760"/>
      </w:pPr>
      <w:r>
        <w:rPr>
          <w:color w:val="333333"/>
          <w:spacing w:val="-9"/>
        </w:rPr>
        <w:t>建筑面积大于 </w:t>
      </w:r>
      <w:r>
        <w:rPr>
          <w:color w:val="333333"/>
        </w:rPr>
        <w:t>100m</w:t>
      </w:r>
      <w:r>
        <w:rPr>
          <w:color w:val="333333"/>
          <w:position w:val="11"/>
          <w:sz w:val="11"/>
        </w:rPr>
        <w:t>2</w:t>
      </w:r>
      <w:r>
        <w:rPr>
          <w:sz w:val="11"/>
        </w:rPr>
        <w:t> </w:t>
      </w:r>
      <w:r>
        <w:rPr>
          <w:color w:val="333333"/>
          <w:spacing w:val="-3"/>
        </w:rPr>
        <w:t>的地下或半地下公共活动场所；</w:t>
      </w:r>
      <w:r>
        <w:rPr>
          <w:spacing w:val="-3"/>
        </w:rPr>
        <w:t> </w:t>
      </w:r>
      <w:r>
        <w:rPr>
          <w:color w:val="333333"/>
          <w:spacing w:val="-3"/>
        </w:rPr>
        <w:t>公共建筑内的疏散走道；</w:t>
      </w:r>
      <w:r>
        <w:rPr/>
        <w:t> </w:t>
      </w:r>
    </w:p>
    <w:p>
      <w:pPr>
        <w:pStyle w:val="BodyText"/>
        <w:ind w:left="838"/>
      </w:pPr>
      <w:r>
        <w:rPr>
          <w:color w:val="333333"/>
        </w:rPr>
        <w:t>人员密集的厂房内的生产场所及疏散走道。</w:t>
      </w:r>
      <w:r>
        <w:rPr/>
        <w:t> </w:t>
      </w:r>
    </w:p>
    <w:p>
      <w:pPr>
        <w:pStyle w:val="BodyText"/>
        <w:spacing w:before="12"/>
        <w:rPr>
          <w:sz w:val="16"/>
        </w:rPr>
      </w:pPr>
    </w:p>
    <w:p>
      <w:pPr>
        <w:pStyle w:val="ListParagraph"/>
        <w:numPr>
          <w:ilvl w:val="2"/>
          <w:numId w:val="297"/>
        </w:numPr>
        <w:tabs>
          <w:tab w:pos="1478" w:val="left" w:leader="none"/>
        </w:tabs>
        <w:spacing w:line="240" w:lineRule="auto" w:before="0" w:after="0"/>
        <w:ind w:left="1477" w:right="0" w:hanging="638"/>
        <w:jc w:val="left"/>
        <w:rPr>
          <w:color w:val="333333"/>
          <w:sz w:val="19"/>
        </w:rPr>
      </w:pPr>
      <w:r>
        <w:rPr>
          <w:color w:val="333333"/>
          <w:spacing w:val="-3"/>
          <w:sz w:val="21"/>
        </w:rPr>
        <w:t>建筑内疏散照明的地面最低水平照度应符合下列规定：</w:t>
      </w:r>
      <w:r>
        <w:rPr>
          <w:sz w:val="21"/>
        </w:rPr>
        <w:t> </w:t>
      </w:r>
    </w:p>
    <w:p>
      <w:pPr>
        <w:pStyle w:val="BodyText"/>
        <w:spacing w:before="2"/>
        <w:rPr>
          <w:sz w:val="18"/>
        </w:rPr>
      </w:pPr>
    </w:p>
    <w:p>
      <w:pPr>
        <w:pStyle w:val="BodyText"/>
        <w:ind w:left="838"/>
      </w:pPr>
      <w:r>
        <w:rPr>
          <w:color w:val="333333"/>
        </w:rPr>
        <w:t>对于疏散走道，不应低于 1.0 lx；</w:t>
      </w:r>
      <w:r>
        <w:rPr/>
        <w:t> </w:t>
      </w:r>
    </w:p>
    <w:p>
      <w:pPr>
        <w:pStyle w:val="BodyText"/>
        <w:rPr>
          <w:sz w:val="18"/>
        </w:rPr>
      </w:pPr>
    </w:p>
    <w:p>
      <w:pPr>
        <w:pStyle w:val="BodyText"/>
        <w:spacing w:line="446" w:lineRule="auto"/>
        <w:ind w:left="418" w:right="1498" w:firstLine="419"/>
      </w:pPr>
      <w:r>
        <w:rPr>
          <w:color w:val="333333"/>
        </w:rPr>
        <w:t>对于人员密集场所、避难层（间），不应低于 3.0 lx；对于老年人照料设施、病房楼或手术部的避难间，不应低于 10.0 lx；</w:t>
      </w:r>
      <w:r>
        <w:rPr/>
        <w:t> </w:t>
      </w:r>
    </w:p>
    <w:p>
      <w:pPr>
        <w:pStyle w:val="BodyText"/>
        <w:spacing w:line="446" w:lineRule="auto"/>
        <w:ind w:left="418" w:right="1391" w:firstLine="419"/>
      </w:pPr>
      <w:r>
        <w:rPr>
          <w:color w:val="333333"/>
        </w:rPr>
        <w:t>对于楼梯间、前室或合用前室、避难走道，不应低于 5.0lx；对于人员密集场所、老年人照料设施、病房楼或手术部内的楼梯间、前室或合用前室、避难走道，不应低于 10.0lx。</w:t>
      </w:r>
      <w:r>
        <w:rPr/>
        <w:t> </w:t>
      </w:r>
    </w:p>
    <w:p>
      <w:pPr>
        <w:pStyle w:val="ListParagraph"/>
        <w:numPr>
          <w:ilvl w:val="2"/>
          <w:numId w:val="297"/>
        </w:numPr>
        <w:tabs>
          <w:tab w:pos="1478" w:val="left" w:leader="none"/>
        </w:tabs>
        <w:spacing w:line="446" w:lineRule="auto" w:before="0" w:after="0"/>
        <w:ind w:left="418" w:right="1496" w:firstLine="422"/>
        <w:jc w:val="left"/>
        <w:rPr>
          <w:color w:val="333333"/>
          <w:sz w:val="19"/>
        </w:rPr>
      </w:pPr>
      <w:r>
        <w:rPr>
          <w:color w:val="333333"/>
          <w:spacing w:val="-3"/>
          <w:sz w:val="21"/>
        </w:rPr>
        <w:t>消防控制室、消防水泵房、自备发电机房、配电室、防排烟机房以及发生火灾时仍需正常工作的消防设备房应设置备用照明，其作业面的最低照度不应低于正常照明的照度。</w:t>
      </w:r>
      <w:r>
        <w:rPr>
          <w:sz w:val="21"/>
        </w:rPr>
        <w:t> </w:t>
      </w:r>
    </w:p>
    <w:p>
      <w:pPr>
        <w:pStyle w:val="ListParagraph"/>
        <w:numPr>
          <w:ilvl w:val="2"/>
          <w:numId w:val="297"/>
        </w:numPr>
        <w:tabs>
          <w:tab w:pos="1478" w:val="left" w:leader="none"/>
        </w:tabs>
        <w:spacing w:line="446" w:lineRule="auto" w:before="0" w:after="0"/>
        <w:ind w:left="418" w:right="1498" w:firstLine="422"/>
        <w:jc w:val="left"/>
        <w:rPr>
          <w:sz w:val="19"/>
        </w:rPr>
      </w:pPr>
      <w:r>
        <w:rPr>
          <w:spacing w:val="-3"/>
          <w:sz w:val="21"/>
        </w:rPr>
        <w:t>疏散照明灯具应设置在出口的顶部、墙面的上部或顶棚上；备用照明灯具应设置在墙面的上部或顶棚上。</w:t>
      </w:r>
      <w:r>
        <w:rPr>
          <w:sz w:val="21"/>
        </w:rPr>
        <w:t> </w:t>
      </w:r>
    </w:p>
    <w:p>
      <w:pPr>
        <w:spacing w:after="0" w:line="446" w:lineRule="auto"/>
        <w:jc w:val="left"/>
        <w:rPr>
          <w:sz w:val="19"/>
        </w:rPr>
        <w:sectPr>
          <w:pgSz w:w="11910" w:h="16850"/>
          <w:pgMar w:header="0" w:footer="1239" w:top="1220" w:bottom="1420" w:left="1260" w:right="0"/>
        </w:sectPr>
      </w:pPr>
    </w:p>
    <w:p>
      <w:pPr>
        <w:pStyle w:val="ListParagraph"/>
        <w:numPr>
          <w:ilvl w:val="2"/>
          <w:numId w:val="297"/>
        </w:numPr>
        <w:tabs>
          <w:tab w:pos="1478" w:val="left" w:leader="none"/>
        </w:tabs>
        <w:spacing w:line="446" w:lineRule="auto" w:before="47" w:after="0"/>
        <w:ind w:left="418" w:right="1445" w:firstLine="422"/>
        <w:jc w:val="left"/>
        <w:rPr>
          <w:sz w:val="19"/>
        </w:rPr>
      </w:pPr>
      <w:r>
        <w:rPr>
          <w:spacing w:val="-7"/>
          <w:sz w:val="21"/>
        </w:rPr>
        <w:t>公共建筑、建筑高度大于 </w:t>
      </w:r>
      <w:r>
        <w:rPr>
          <w:sz w:val="21"/>
        </w:rPr>
        <w:t>54m</w:t>
      </w:r>
      <w:r>
        <w:rPr>
          <w:spacing w:val="-3"/>
          <w:sz w:val="21"/>
        </w:rPr>
        <w:t> 的住宅建筑、高层厂房（</w:t>
      </w:r>
      <w:r>
        <w:rPr>
          <w:spacing w:val="-2"/>
          <w:sz w:val="21"/>
        </w:rPr>
        <w:t>库房</w:t>
      </w:r>
      <w:r>
        <w:rPr>
          <w:sz w:val="21"/>
        </w:rPr>
        <w:t>）</w:t>
      </w:r>
      <w:r>
        <w:rPr>
          <w:spacing w:val="-3"/>
          <w:sz w:val="21"/>
        </w:rPr>
        <w:t>和甲、乙、丙类单、多层厂房，应设置灯光疏散指示标志，并应符合下列规定：</w:t>
      </w:r>
      <w:r>
        <w:rPr>
          <w:sz w:val="21"/>
        </w:rPr>
        <w:t> </w:t>
      </w:r>
    </w:p>
    <w:p>
      <w:pPr>
        <w:pStyle w:val="BodyText"/>
        <w:spacing w:line="267" w:lineRule="exact"/>
        <w:ind w:left="838"/>
      </w:pPr>
      <w:r>
        <w:rPr/>
        <w:t>应设置在安全出口和人员密集的场所的疏散门的正上方； </w:t>
      </w:r>
    </w:p>
    <w:p>
      <w:pPr>
        <w:pStyle w:val="BodyText"/>
        <w:spacing w:before="2"/>
        <w:rPr>
          <w:sz w:val="18"/>
        </w:rPr>
      </w:pPr>
    </w:p>
    <w:p>
      <w:pPr>
        <w:pStyle w:val="BodyText"/>
        <w:spacing w:line="446" w:lineRule="auto"/>
        <w:ind w:left="418" w:right="1391" w:firstLine="419"/>
      </w:pPr>
      <w:r>
        <w:rPr/>
        <w:t>应设置在疏散走道及其转角处距地面高度 1.0m 以下的墙面或地面上。灯光疏散指示标志的间距不应大于 20m；对于袋形走道，不应大于 10m；在走道转角区，不应大于 1.0m。 </w:t>
      </w:r>
    </w:p>
    <w:p>
      <w:pPr>
        <w:pStyle w:val="ListParagraph"/>
        <w:numPr>
          <w:ilvl w:val="2"/>
          <w:numId w:val="297"/>
        </w:numPr>
        <w:tabs>
          <w:tab w:pos="1478" w:val="left" w:leader="none"/>
        </w:tabs>
        <w:spacing w:line="446" w:lineRule="auto" w:before="0" w:after="0"/>
        <w:ind w:left="418" w:right="1496" w:firstLine="422"/>
        <w:jc w:val="left"/>
        <w:rPr>
          <w:sz w:val="19"/>
        </w:rPr>
      </w:pPr>
      <w:r>
        <w:rPr>
          <w:spacing w:val="-3"/>
          <w:sz w:val="21"/>
        </w:rPr>
        <w:t>下列建筑或场所应在疏散走道和主要疏散路径的地面上增设能保持视觉连续的灯光疏散指示标志或蓄光疏散指示标志：</w:t>
      </w:r>
      <w:r>
        <w:rPr>
          <w:sz w:val="21"/>
        </w:rPr>
        <w:t> </w:t>
      </w:r>
    </w:p>
    <w:p>
      <w:pPr>
        <w:pStyle w:val="BodyText"/>
        <w:spacing w:line="436" w:lineRule="auto"/>
        <w:ind w:left="838" w:right="6078"/>
      </w:pPr>
      <w:r>
        <w:rPr>
          <w:spacing w:val="-10"/>
        </w:rPr>
        <w:t>总建筑面积大于 </w:t>
      </w:r>
      <w:r>
        <w:rPr/>
        <w:t>8000m2</w:t>
      </w:r>
      <w:r>
        <w:rPr>
          <w:spacing w:val="-2"/>
        </w:rPr>
        <w:t> 的展览建筑； </w:t>
      </w:r>
      <w:r>
        <w:rPr>
          <w:spacing w:val="-10"/>
        </w:rPr>
        <w:t>总建筑面积大于 </w:t>
      </w:r>
      <w:r>
        <w:rPr/>
        <w:t>5000m</w:t>
      </w:r>
      <w:r>
        <w:rPr>
          <w:position w:val="11"/>
          <w:sz w:val="11"/>
        </w:rPr>
        <w:t>2</w:t>
      </w:r>
      <w:r>
        <w:rPr>
          <w:spacing w:val="52"/>
          <w:sz w:val="11"/>
        </w:rPr>
        <w:t> </w:t>
      </w:r>
      <w:r>
        <w:rPr>
          <w:spacing w:val="-3"/>
        </w:rPr>
        <w:t>的地上商店；</w:t>
      </w:r>
      <w:r>
        <w:rPr/>
        <w:t> </w:t>
      </w:r>
    </w:p>
    <w:p>
      <w:pPr>
        <w:pStyle w:val="BodyText"/>
        <w:spacing w:line="446" w:lineRule="auto"/>
        <w:ind w:left="838" w:right="5391"/>
      </w:pPr>
      <w:r>
        <w:rPr>
          <w:spacing w:val="-9"/>
        </w:rPr>
        <w:t>总建筑面积大于 </w:t>
      </w:r>
      <w:r>
        <w:rPr/>
        <w:t>500m</w:t>
      </w:r>
      <w:r>
        <w:rPr>
          <w:position w:val="11"/>
          <w:sz w:val="11"/>
        </w:rPr>
        <w:t>2</w:t>
      </w:r>
      <w:r>
        <w:rPr>
          <w:sz w:val="11"/>
        </w:rPr>
        <w:t>  </w:t>
      </w:r>
      <w:r>
        <w:rPr>
          <w:spacing w:val="-3"/>
        </w:rPr>
        <w:t>的地下或半地下商店； 歌舞娱乐放映游艺场所；</w:t>
      </w:r>
      <w:r>
        <w:rPr/>
        <w:t> </w:t>
      </w:r>
    </w:p>
    <w:p>
      <w:pPr>
        <w:pStyle w:val="BodyText"/>
        <w:spacing w:line="267" w:lineRule="exact"/>
        <w:ind w:left="838"/>
      </w:pPr>
      <w:r>
        <w:rPr/>
        <w:t>座位数超过 1500 个的电影院、剧场，座位数超过 3000 个的体育馆、会堂或礼堂； </w:t>
      </w:r>
    </w:p>
    <w:p>
      <w:pPr>
        <w:pStyle w:val="BodyText"/>
        <w:spacing w:before="1"/>
        <w:rPr>
          <w:sz w:val="18"/>
        </w:rPr>
      </w:pPr>
    </w:p>
    <w:p>
      <w:pPr>
        <w:pStyle w:val="BodyText"/>
        <w:spacing w:line="446" w:lineRule="auto"/>
        <w:ind w:left="418" w:right="1608" w:firstLine="419"/>
      </w:pPr>
      <w:r>
        <w:rPr>
          <w:spacing w:val="-5"/>
          <w:position w:val="1"/>
        </w:rPr>
        <w:t>车站、码头建筑和民用机场航站楼中建筑面积大于 </w:t>
      </w:r>
      <w:r>
        <w:rPr>
          <w:position w:val="1"/>
        </w:rPr>
        <w:t>3000m</w:t>
      </w:r>
      <w:r>
        <w:rPr>
          <w:sz w:val="11"/>
        </w:rPr>
        <w:t>2</w:t>
      </w:r>
      <w:r>
        <w:rPr>
          <w:position w:val="1"/>
          <w:sz w:val="11"/>
        </w:rPr>
        <w:t> </w:t>
      </w:r>
      <w:r>
        <w:rPr>
          <w:spacing w:val="-3"/>
          <w:position w:val="1"/>
        </w:rPr>
        <w:t>的候车、候船厅和航站楼的公</w:t>
      </w:r>
      <w:r>
        <w:rPr>
          <w:spacing w:val="-3"/>
        </w:rPr>
        <w:t>共区。</w:t>
      </w:r>
      <w:r>
        <w:rPr/>
        <w:t> </w:t>
      </w:r>
    </w:p>
    <w:p>
      <w:pPr>
        <w:pStyle w:val="ListParagraph"/>
        <w:numPr>
          <w:ilvl w:val="2"/>
          <w:numId w:val="297"/>
        </w:numPr>
        <w:tabs>
          <w:tab w:pos="1478" w:val="left" w:leader="none"/>
        </w:tabs>
        <w:spacing w:line="446" w:lineRule="auto" w:before="0" w:after="0"/>
        <w:ind w:left="418" w:right="1496" w:firstLine="422"/>
        <w:jc w:val="left"/>
        <w:rPr>
          <w:sz w:val="19"/>
        </w:rPr>
      </w:pPr>
      <w:r>
        <w:rPr>
          <w:spacing w:val="-3"/>
          <w:sz w:val="21"/>
        </w:rPr>
        <w:t>建筑内设置的消防疏散指示标志和消防应急照明灯具，除应符合本规范的规定外， 还应符合现行国家标准《消防安全标志》</w:t>
      </w:r>
      <w:r>
        <w:rPr>
          <w:sz w:val="21"/>
        </w:rPr>
        <w:t>GB</w:t>
      </w:r>
      <w:r>
        <w:rPr>
          <w:spacing w:val="7"/>
          <w:sz w:val="21"/>
        </w:rPr>
        <w:t> </w:t>
      </w:r>
      <w:r>
        <w:rPr>
          <w:sz w:val="21"/>
        </w:rPr>
        <w:t>13495</w:t>
      </w:r>
      <w:r>
        <w:rPr>
          <w:spacing w:val="-3"/>
          <w:sz w:val="21"/>
        </w:rPr>
        <w:t> 和《消防应急照明和疏散指示系统》</w:t>
      </w:r>
      <w:r>
        <w:rPr>
          <w:sz w:val="21"/>
        </w:rPr>
        <w:t>GB 17945</w:t>
      </w:r>
      <w:r>
        <w:rPr>
          <w:spacing w:val="-3"/>
          <w:sz w:val="21"/>
        </w:rPr>
        <w:t> 的规定。</w:t>
      </w:r>
      <w:r>
        <w:rPr>
          <w:sz w:val="21"/>
        </w:rPr>
        <w:t> </w:t>
      </w:r>
    </w:p>
    <w:p>
      <w:pPr>
        <w:pStyle w:val="Heading4"/>
        <w:spacing w:line="276" w:lineRule="exact"/>
      </w:pPr>
      <w:r>
        <w:rPr/>
        <w:t>11 木结构建筑</w:t>
      </w:r>
      <w:r>
        <w:rPr>
          <w:w w:val="99"/>
        </w:rPr>
        <w:t> </w:t>
      </w:r>
    </w:p>
    <w:p>
      <w:pPr>
        <w:pStyle w:val="BodyText"/>
        <w:spacing w:before="4"/>
        <w:rPr>
          <w:b/>
          <w:sz w:val="17"/>
        </w:rPr>
      </w:pPr>
    </w:p>
    <w:p>
      <w:pPr>
        <w:pStyle w:val="ListParagraph"/>
        <w:numPr>
          <w:ilvl w:val="1"/>
          <w:numId w:val="299"/>
        </w:numPr>
        <w:tabs>
          <w:tab w:pos="1264" w:val="left" w:leader="none"/>
        </w:tabs>
        <w:spacing w:line="240" w:lineRule="auto" w:before="1" w:after="0"/>
        <w:ind w:left="1263" w:right="0" w:hanging="424"/>
        <w:jc w:val="left"/>
        <w:rPr>
          <w:sz w:val="19"/>
        </w:rPr>
      </w:pPr>
      <w:r>
        <w:rPr>
          <w:spacing w:val="-3"/>
          <w:sz w:val="21"/>
        </w:rPr>
        <w:t>木结构建筑的防火设计应符合本章的规定，建筑构件的燃烧性能和耐火极限应符合表</w:t>
      </w:r>
    </w:p>
    <w:p>
      <w:pPr>
        <w:pStyle w:val="BodyText"/>
        <w:rPr>
          <w:sz w:val="18"/>
        </w:rPr>
      </w:pPr>
    </w:p>
    <w:p>
      <w:pPr>
        <w:pStyle w:val="BodyText"/>
        <w:ind w:left="418"/>
      </w:pPr>
      <w:r>
        <w:rPr/>
        <w:t>11.0.1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5"/>
        </w:rPr>
      </w:pPr>
    </w:p>
    <w:p>
      <w:pPr>
        <w:spacing w:before="71"/>
        <w:ind w:left="0" w:right="490" w:firstLine="0"/>
        <w:jc w:val="center"/>
        <w:rPr>
          <w:b/>
          <w:sz w:val="21"/>
        </w:rPr>
      </w:pPr>
      <w:r>
        <w:rPr>
          <w:b/>
          <w:color w:val="333333"/>
          <w:w w:val="99"/>
          <w:sz w:val="21"/>
        </w:rPr>
        <w:t> </w:t>
      </w:r>
    </w:p>
    <w:p>
      <w:pPr>
        <w:spacing w:after="0"/>
        <w:jc w:val="center"/>
        <w:rPr>
          <w:sz w:val="21"/>
        </w:rPr>
        <w:sectPr>
          <w:pgSz w:w="11910" w:h="16850"/>
          <w:pgMar w:header="0" w:footer="1239" w:top="1220" w:bottom="1420" w:left="1260" w:right="0"/>
        </w:sectPr>
      </w:pPr>
    </w:p>
    <w:p>
      <w:pPr>
        <w:spacing w:before="167"/>
        <w:ind w:left="2729" w:right="0" w:firstLine="0"/>
        <w:jc w:val="left"/>
        <w:rPr>
          <w:b/>
          <w:sz w:val="21"/>
        </w:rPr>
      </w:pPr>
      <w:r>
        <w:rPr>
          <w:b/>
          <w:color w:val="333333"/>
          <w:sz w:val="21"/>
        </w:rPr>
        <w:t>表 11.0.1 木结构建筑构件的燃烧性能和耐火极限</w:t>
      </w:r>
      <w:r>
        <w:rPr>
          <w:b/>
          <w:w w:val="99"/>
          <w:sz w:val="21"/>
        </w:rPr>
        <w:t> </w:t>
      </w:r>
    </w:p>
    <w:p>
      <w:pPr>
        <w:pStyle w:val="BodyText"/>
        <w:rPr>
          <w:b/>
          <w:sz w:val="20"/>
        </w:rPr>
      </w:pPr>
    </w:p>
    <w:p>
      <w:pPr>
        <w:pStyle w:val="BodyText"/>
        <w:spacing w:before="8"/>
        <w:rPr>
          <w:b/>
          <w:sz w:val="11"/>
        </w:rPr>
      </w:pPr>
      <w:r>
        <w:rPr/>
        <w:drawing>
          <wp:anchor distT="0" distB="0" distL="0" distR="0" allowOverlap="1" layoutInCell="1" locked="0" behindDoc="0" simplePos="0" relativeHeight="103">
            <wp:simplePos x="0" y="0"/>
            <wp:positionH relativeFrom="page">
              <wp:posOffset>1056005</wp:posOffset>
            </wp:positionH>
            <wp:positionV relativeFrom="paragraph">
              <wp:posOffset>119943</wp:posOffset>
            </wp:positionV>
            <wp:extent cx="5657849" cy="4152900"/>
            <wp:effectExtent l="0" t="0" r="0" b="0"/>
            <wp:wrapTopAndBottom/>
            <wp:docPr id="233" name="image145.jpeg"/>
            <wp:cNvGraphicFramePr>
              <a:graphicFrameLocks noChangeAspect="1"/>
            </wp:cNvGraphicFramePr>
            <a:graphic>
              <a:graphicData uri="http://schemas.openxmlformats.org/drawingml/2006/picture">
                <pic:pic>
                  <pic:nvPicPr>
                    <pic:cNvPr id="234" name="image145.jpeg"/>
                    <pic:cNvPicPr/>
                  </pic:nvPicPr>
                  <pic:blipFill>
                    <a:blip r:embed="rId159" cstate="print"/>
                    <a:stretch>
                      <a:fillRect/>
                    </a:stretch>
                  </pic:blipFill>
                  <pic:spPr>
                    <a:xfrm>
                      <a:off x="0" y="0"/>
                      <a:ext cx="5657849" cy="4152900"/>
                    </a:xfrm>
                    <a:prstGeom prst="rect">
                      <a:avLst/>
                    </a:prstGeom>
                  </pic:spPr>
                </pic:pic>
              </a:graphicData>
            </a:graphic>
          </wp:anchor>
        </w:drawing>
      </w:r>
    </w:p>
    <w:p>
      <w:pPr>
        <w:pStyle w:val="BodyText"/>
        <w:spacing w:line="446" w:lineRule="auto" w:before="162"/>
        <w:ind w:left="418" w:right="1609" w:firstLine="419"/>
      </w:pPr>
      <w:r>
        <w:rPr>
          <w:color w:val="333333"/>
        </w:rPr>
        <w:t>注：1.除本规范另有规定外，当同一座木结构建筑存在不同高度的屋顶时，较低部分的屋顶承重构件和屋面不应采用可燃性构件，采用难燃性屋顶承重构件时，其耐火极限不应低于0.75h。 </w:t>
      </w:r>
    </w:p>
    <w:p>
      <w:pPr>
        <w:pStyle w:val="ListParagraph"/>
        <w:numPr>
          <w:ilvl w:val="0"/>
          <w:numId w:val="300"/>
        </w:numPr>
        <w:tabs>
          <w:tab w:pos="1051" w:val="left" w:leader="none"/>
        </w:tabs>
        <w:spacing w:line="446" w:lineRule="auto" w:before="0" w:after="0"/>
        <w:ind w:left="418" w:right="1609" w:firstLine="419"/>
        <w:jc w:val="left"/>
        <w:rPr>
          <w:sz w:val="21"/>
        </w:rPr>
      </w:pPr>
      <w:r>
        <w:rPr>
          <w:color w:val="333333"/>
          <w:spacing w:val="-3"/>
          <w:sz w:val="21"/>
        </w:rPr>
        <w:t>轻型木结构建筑的屋顶，除防水层、保温层及屋面板外，其他部分均应视为屋顶承重构</w:t>
      </w:r>
      <w:r>
        <w:rPr>
          <w:color w:val="333333"/>
          <w:spacing w:val="-6"/>
          <w:sz w:val="21"/>
        </w:rPr>
        <w:t>件，且不应采用可燃性构件，耐火极限不应低于 </w:t>
      </w:r>
      <w:r>
        <w:rPr>
          <w:color w:val="333333"/>
          <w:sz w:val="21"/>
        </w:rPr>
        <w:t>0.50h</w:t>
      </w:r>
      <w:r>
        <w:rPr>
          <w:color w:val="333333"/>
          <w:spacing w:val="-3"/>
          <w:sz w:val="21"/>
        </w:rPr>
        <w:t>。</w:t>
      </w:r>
      <w:r>
        <w:rPr>
          <w:color w:val="333333"/>
          <w:sz w:val="21"/>
        </w:rPr>
        <w:t> </w:t>
      </w:r>
    </w:p>
    <w:p>
      <w:pPr>
        <w:pStyle w:val="ListParagraph"/>
        <w:numPr>
          <w:ilvl w:val="0"/>
          <w:numId w:val="300"/>
        </w:numPr>
        <w:tabs>
          <w:tab w:pos="1051" w:val="left" w:leader="none"/>
        </w:tabs>
        <w:spacing w:line="446" w:lineRule="auto" w:before="0" w:after="0"/>
        <w:ind w:left="418" w:right="1558" w:firstLine="419"/>
        <w:jc w:val="left"/>
        <w:rPr>
          <w:sz w:val="21"/>
        </w:rPr>
      </w:pPr>
      <w:r>
        <w:rPr>
          <w:color w:val="333333"/>
          <w:spacing w:val="-8"/>
          <w:sz w:val="21"/>
        </w:rPr>
        <w:t>当建筑的层数不超过 </w:t>
      </w:r>
      <w:r>
        <w:rPr>
          <w:color w:val="333333"/>
          <w:spacing w:val="-3"/>
          <w:sz w:val="21"/>
        </w:rPr>
        <w:t>2</w:t>
      </w:r>
      <w:r>
        <w:rPr>
          <w:color w:val="333333"/>
          <w:spacing w:val="-7"/>
          <w:sz w:val="21"/>
        </w:rPr>
        <w:t> 层、防火墙间的建筑面积小于 </w:t>
      </w:r>
      <w:r>
        <w:rPr>
          <w:color w:val="333333"/>
          <w:sz w:val="21"/>
        </w:rPr>
        <w:t>600m</w:t>
      </w:r>
      <w:r>
        <w:rPr>
          <w:color w:val="333333"/>
          <w:position w:val="11"/>
          <w:sz w:val="11"/>
        </w:rPr>
        <w:t>2</w:t>
      </w:r>
      <w:r>
        <w:rPr>
          <w:color w:val="333333"/>
          <w:spacing w:val="1"/>
          <w:sz w:val="11"/>
        </w:rPr>
        <w:t>   </w:t>
      </w:r>
      <w:r>
        <w:rPr>
          <w:color w:val="333333"/>
          <w:spacing w:val="-3"/>
          <w:sz w:val="21"/>
        </w:rPr>
        <w:t>且防火墙间的建筑长度小</w:t>
      </w:r>
      <w:r>
        <w:rPr>
          <w:color w:val="333333"/>
          <w:spacing w:val="-26"/>
          <w:sz w:val="21"/>
        </w:rPr>
        <w:t>于 </w:t>
      </w:r>
      <w:r>
        <w:rPr>
          <w:color w:val="333333"/>
          <w:sz w:val="21"/>
        </w:rPr>
        <w:t>60m</w:t>
      </w:r>
      <w:r>
        <w:rPr>
          <w:color w:val="333333"/>
          <w:spacing w:val="-3"/>
          <w:sz w:val="21"/>
        </w:rPr>
        <w:t> 时，建筑构件的燃烧性能和耐火极限可按本规范有关四级耐火等级建筑的要求确定。</w:t>
      </w:r>
      <w:r>
        <w:rPr>
          <w:color w:val="333333"/>
          <w:sz w:val="21"/>
        </w:rPr>
        <w:t> </w:t>
      </w:r>
    </w:p>
    <w:p>
      <w:pPr>
        <w:pStyle w:val="ListParagraph"/>
        <w:numPr>
          <w:ilvl w:val="1"/>
          <w:numId w:val="299"/>
        </w:numPr>
        <w:tabs>
          <w:tab w:pos="1266" w:val="left" w:leader="none"/>
        </w:tabs>
        <w:spacing w:line="240" w:lineRule="auto" w:before="0" w:after="0"/>
        <w:ind w:left="1265" w:right="0" w:hanging="426"/>
        <w:jc w:val="left"/>
        <w:rPr>
          <w:color w:val="333333"/>
          <w:sz w:val="19"/>
        </w:rPr>
      </w:pPr>
      <w:r>
        <w:rPr>
          <w:color w:val="333333"/>
          <w:spacing w:val="-3"/>
          <w:sz w:val="21"/>
        </w:rPr>
        <w:t>建筑采用木骨架组合墙体时，应符合下列规定： </w:t>
      </w:r>
    </w:p>
    <w:p>
      <w:pPr>
        <w:pStyle w:val="BodyText"/>
        <w:spacing w:before="2"/>
        <w:rPr>
          <w:sz w:val="17"/>
        </w:rPr>
      </w:pPr>
    </w:p>
    <w:p>
      <w:pPr>
        <w:pStyle w:val="BodyText"/>
        <w:spacing w:line="446" w:lineRule="auto"/>
        <w:ind w:left="418" w:right="1608" w:firstLine="419"/>
      </w:pPr>
      <w:r>
        <w:rPr>
          <w:color w:val="333333"/>
          <w:spacing w:val="-9"/>
        </w:rPr>
        <w:t>建筑高度不大于 </w:t>
      </w:r>
      <w:r>
        <w:rPr>
          <w:color w:val="333333"/>
        </w:rPr>
        <w:t>18m</w:t>
      </w:r>
      <w:r>
        <w:rPr>
          <w:color w:val="333333"/>
          <w:spacing w:val="-7"/>
        </w:rPr>
        <w:t> 的住宅建筑、建筑高度不大于 </w:t>
      </w:r>
      <w:r>
        <w:rPr>
          <w:color w:val="333333"/>
        </w:rPr>
        <w:t>24m</w:t>
      </w:r>
      <w:r>
        <w:rPr>
          <w:color w:val="333333"/>
          <w:spacing w:val="-3"/>
        </w:rPr>
        <w:t> 的办公建筑和丁、戊类厂房</w:t>
      </w:r>
      <w:r>
        <w:rPr>
          <w:color w:val="333333"/>
        </w:rPr>
        <w:t>（库房）</w:t>
      </w:r>
      <w:r>
        <w:rPr>
          <w:color w:val="333333"/>
          <w:spacing w:val="-3"/>
        </w:rPr>
        <w:t>的房间隔墙和非承重外墙可采用木骨架组合墙体，其他建筑的非承重外墙不得采用木骨架组合墙体；</w:t>
      </w:r>
      <w:r>
        <w:rPr>
          <w:color w:val="333333"/>
        </w:rPr>
        <w:t> </w:t>
      </w:r>
    </w:p>
    <w:p>
      <w:pPr>
        <w:pStyle w:val="BodyText"/>
        <w:spacing w:line="268" w:lineRule="exact"/>
        <w:ind w:left="838"/>
      </w:pPr>
      <w:r>
        <w:rPr>
          <w:color w:val="333333"/>
        </w:rPr>
        <w:t>墙体填充材料的燃烧性能应为 A 级； </w:t>
      </w:r>
    </w:p>
    <w:p>
      <w:pPr>
        <w:spacing w:after="0" w:line="268" w:lineRule="exact"/>
        <w:sectPr>
          <w:pgSz w:w="11910" w:h="16850"/>
          <w:pgMar w:header="0" w:footer="1239" w:top="1600" w:bottom="1420" w:left="1260" w:right="0"/>
        </w:sectPr>
      </w:pPr>
    </w:p>
    <w:p>
      <w:pPr>
        <w:pStyle w:val="BodyText"/>
        <w:spacing w:line="446" w:lineRule="auto" w:before="47"/>
        <w:ind w:left="418" w:right="1394" w:firstLine="419"/>
      </w:pPr>
      <w:r>
        <w:rPr>
          <w:color w:val="333333"/>
        </w:rPr>
        <w:t>木骨架组合墙体的燃烧性能和耐火极限应符合表 11.0.2 的规定，其他要求应符合现行国家标准《木骨架组合墙体技术规范》GB/T 50361 的规定。 </w:t>
      </w:r>
    </w:p>
    <w:p>
      <w:pPr>
        <w:spacing w:line="267" w:lineRule="exact" w:before="0"/>
        <w:ind w:left="2465" w:right="0" w:firstLine="0"/>
        <w:jc w:val="left"/>
        <w:rPr>
          <w:b/>
          <w:sz w:val="21"/>
        </w:rPr>
      </w:pPr>
      <w:r>
        <w:rPr>
          <w:b/>
          <w:color w:val="333333"/>
          <w:sz w:val="21"/>
        </w:rPr>
        <w:t>表 11.0.2 木骨架组合墙体的燃烧性能和耐火极限（h）</w:t>
      </w:r>
      <w:r>
        <w:rPr>
          <w:b/>
          <w:color w:val="333333"/>
          <w:w w:val="99"/>
          <w:sz w:val="21"/>
        </w:rPr>
        <w:t> </w:t>
      </w:r>
    </w:p>
    <w:p>
      <w:pPr>
        <w:pStyle w:val="BodyText"/>
        <w:rPr>
          <w:b/>
          <w:sz w:val="20"/>
        </w:rPr>
      </w:pPr>
    </w:p>
    <w:p>
      <w:pPr>
        <w:pStyle w:val="BodyText"/>
        <w:spacing w:before="7"/>
        <w:rPr>
          <w:b/>
          <w:sz w:val="10"/>
        </w:rPr>
      </w:pPr>
      <w:r>
        <w:rPr/>
        <w:drawing>
          <wp:anchor distT="0" distB="0" distL="0" distR="0" allowOverlap="1" layoutInCell="1" locked="0" behindDoc="0" simplePos="0" relativeHeight="104">
            <wp:simplePos x="0" y="0"/>
            <wp:positionH relativeFrom="page">
              <wp:posOffset>1176655</wp:posOffset>
            </wp:positionH>
            <wp:positionV relativeFrom="paragraph">
              <wp:posOffset>111180</wp:posOffset>
            </wp:positionV>
            <wp:extent cx="5257800" cy="1266825"/>
            <wp:effectExtent l="0" t="0" r="0" b="0"/>
            <wp:wrapTopAndBottom/>
            <wp:docPr id="235" name="image146.jpeg"/>
            <wp:cNvGraphicFramePr>
              <a:graphicFrameLocks noChangeAspect="1"/>
            </wp:cNvGraphicFramePr>
            <a:graphic>
              <a:graphicData uri="http://schemas.openxmlformats.org/drawingml/2006/picture">
                <pic:pic>
                  <pic:nvPicPr>
                    <pic:cNvPr id="236" name="image146.jpeg"/>
                    <pic:cNvPicPr/>
                  </pic:nvPicPr>
                  <pic:blipFill>
                    <a:blip r:embed="rId160" cstate="print"/>
                    <a:stretch>
                      <a:fillRect/>
                    </a:stretch>
                  </pic:blipFill>
                  <pic:spPr>
                    <a:xfrm>
                      <a:off x="0" y="0"/>
                      <a:ext cx="5257800" cy="1266825"/>
                    </a:xfrm>
                    <a:prstGeom prst="rect">
                      <a:avLst/>
                    </a:prstGeom>
                  </pic:spPr>
                </pic:pic>
              </a:graphicData>
            </a:graphic>
          </wp:anchor>
        </w:drawing>
      </w:r>
    </w:p>
    <w:p>
      <w:pPr>
        <w:pStyle w:val="ListParagraph"/>
        <w:numPr>
          <w:ilvl w:val="1"/>
          <w:numId w:val="299"/>
        </w:numPr>
        <w:tabs>
          <w:tab w:pos="1264" w:val="left" w:leader="none"/>
        </w:tabs>
        <w:spacing w:line="240" w:lineRule="auto" w:before="164" w:after="0"/>
        <w:ind w:left="1263" w:right="0" w:hanging="424"/>
        <w:jc w:val="left"/>
        <w:rPr>
          <w:color w:val="333333"/>
          <w:sz w:val="19"/>
        </w:rPr>
      </w:pPr>
      <w:r>
        <w:rPr>
          <w:color w:val="333333"/>
          <w:spacing w:val="-3"/>
          <w:sz w:val="21"/>
        </w:rPr>
        <w:t>甲、乙、丙类厂房（</w:t>
      </w:r>
      <w:r>
        <w:rPr>
          <w:color w:val="333333"/>
          <w:sz w:val="21"/>
        </w:rPr>
        <w:t>库房</w:t>
      </w:r>
      <w:r>
        <w:rPr>
          <w:color w:val="333333"/>
          <w:spacing w:val="-3"/>
          <w:sz w:val="21"/>
        </w:rPr>
        <w:t>）不应采用木结构建筑或木结构组合建筑。丁、戊类厂房</w:t>
      </w:r>
    </w:p>
    <w:p>
      <w:pPr>
        <w:pStyle w:val="BodyText"/>
        <w:spacing w:before="12"/>
        <w:rPr>
          <w:sz w:val="17"/>
        </w:rPr>
      </w:pPr>
    </w:p>
    <w:p>
      <w:pPr>
        <w:pStyle w:val="BodyText"/>
        <w:spacing w:line="446" w:lineRule="auto"/>
        <w:ind w:left="418" w:right="1450"/>
      </w:pPr>
      <w:r>
        <w:rPr>
          <w:color w:val="333333"/>
        </w:rPr>
        <w:t>（</w:t>
      </w:r>
      <w:r>
        <w:rPr>
          <w:color w:val="333333"/>
          <w:spacing w:val="-2"/>
        </w:rPr>
        <w:t>库房</w:t>
      </w:r>
      <w:r>
        <w:rPr>
          <w:color w:val="333333"/>
        </w:rPr>
        <w:t>）</w:t>
      </w:r>
      <w:r>
        <w:rPr>
          <w:color w:val="333333"/>
          <w:spacing w:val="-3"/>
        </w:rPr>
        <w:t>和民用建筑，当采用木结构建筑或木结构组合建筑，其允许层数和允许建筑高度应符 </w:t>
      </w:r>
      <w:r>
        <w:rPr>
          <w:color w:val="333333"/>
          <w:spacing w:val="-16"/>
        </w:rPr>
        <w:t>合表 </w:t>
      </w:r>
      <w:r>
        <w:rPr>
          <w:color w:val="333333"/>
        </w:rPr>
        <w:t>11.0.3-1</w:t>
      </w:r>
      <w:r>
        <w:rPr>
          <w:color w:val="333333"/>
          <w:spacing w:val="-3"/>
        </w:rPr>
        <w:t> 的规定，木结构建筑中防火墙间的允许建筑长度和每层最大允许建筑面积应符合</w:t>
      </w:r>
    </w:p>
    <w:p>
      <w:pPr>
        <w:pStyle w:val="BodyText"/>
        <w:ind w:left="418"/>
        <w:rPr>
          <w:sz w:val="24"/>
        </w:rPr>
      </w:pPr>
      <w:r>
        <w:rPr>
          <w:color w:val="333333"/>
        </w:rPr>
        <w:t>表 11.0.3-2 的规定。</w:t>
      </w:r>
      <w:r>
        <w:rPr>
          <w:sz w:val="24"/>
        </w:rPr>
        <w:t> </w:t>
      </w:r>
    </w:p>
    <w:p>
      <w:pPr>
        <w:spacing w:before="129"/>
        <w:ind w:left="1915" w:right="0" w:firstLine="0"/>
        <w:jc w:val="left"/>
        <w:rPr>
          <w:b/>
          <w:sz w:val="24"/>
        </w:rPr>
      </w:pPr>
      <w:r>
        <w:rPr/>
        <w:drawing>
          <wp:anchor distT="0" distB="0" distL="0" distR="0" allowOverlap="1" layoutInCell="1" locked="0" behindDoc="0" simplePos="0" relativeHeight="105">
            <wp:simplePos x="0" y="0"/>
            <wp:positionH relativeFrom="page">
              <wp:posOffset>1084580</wp:posOffset>
            </wp:positionH>
            <wp:positionV relativeFrom="paragraph">
              <wp:posOffset>303275</wp:posOffset>
            </wp:positionV>
            <wp:extent cx="5353050" cy="1095375"/>
            <wp:effectExtent l="0" t="0" r="0" b="0"/>
            <wp:wrapTopAndBottom/>
            <wp:docPr id="237" name="image147.jpeg"/>
            <wp:cNvGraphicFramePr>
              <a:graphicFrameLocks noChangeAspect="1"/>
            </wp:cNvGraphicFramePr>
            <a:graphic>
              <a:graphicData uri="http://schemas.openxmlformats.org/drawingml/2006/picture">
                <pic:pic>
                  <pic:nvPicPr>
                    <pic:cNvPr id="238" name="image147.jpeg"/>
                    <pic:cNvPicPr/>
                  </pic:nvPicPr>
                  <pic:blipFill>
                    <a:blip r:embed="rId161" cstate="print"/>
                    <a:stretch>
                      <a:fillRect/>
                    </a:stretch>
                  </pic:blipFill>
                  <pic:spPr>
                    <a:xfrm>
                      <a:off x="0" y="0"/>
                      <a:ext cx="5353050" cy="1095375"/>
                    </a:xfrm>
                    <a:prstGeom prst="rect">
                      <a:avLst/>
                    </a:prstGeom>
                  </pic:spPr>
                </pic:pic>
              </a:graphicData>
            </a:graphic>
          </wp:anchor>
        </w:drawing>
      </w:r>
      <w:r>
        <w:rPr>
          <w:b/>
          <w:color w:val="333333"/>
          <w:sz w:val="21"/>
        </w:rPr>
        <w:t>表 11.3-1 木结构建筑或木结构组合建筑的允许层数和允许建筑高度</w:t>
      </w:r>
      <w:r>
        <w:rPr>
          <w:b/>
          <w:w w:val="99"/>
          <w:sz w:val="24"/>
        </w:rPr>
        <w:t> </w:t>
      </w:r>
    </w:p>
    <w:p>
      <w:pPr>
        <w:pStyle w:val="BodyText"/>
        <w:spacing w:before="12"/>
        <w:rPr>
          <w:b/>
          <w:sz w:val="32"/>
        </w:rPr>
      </w:pPr>
    </w:p>
    <w:p>
      <w:pPr>
        <w:spacing w:before="0"/>
        <w:ind w:left="898" w:right="0" w:firstLine="0"/>
        <w:jc w:val="left"/>
        <w:rPr>
          <w:b/>
          <w:sz w:val="24"/>
        </w:rPr>
      </w:pPr>
      <w:r>
        <w:rPr>
          <w:b/>
          <w:color w:val="333333"/>
          <w:sz w:val="21"/>
        </w:rPr>
        <w:t>表 11.3-2 木结构建筑中防火墙间的允许建筑长度和每层最大允许建筑面积</w:t>
      </w:r>
      <w:r>
        <w:rPr>
          <w:b/>
          <w:w w:val="99"/>
          <w:sz w:val="24"/>
        </w:rPr>
        <w:t> </w:t>
      </w:r>
    </w:p>
    <w:p>
      <w:pPr>
        <w:spacing w:before="52"/>
        <w:ind w:left="898" w:right="0" w:firstLine="0"/>
        <w:jc w:val="left"/>
        <w:rPr>
          <w:sz w:val="24"/>
        </w:rPr>
      </w:pPr>
      <w:r>
        <w:rPr/>
        <w:drawing>
          <wp:anchor distT="0" distB="0" distL="0" distR="0" allowOverlap="1" layoutInCell="1" locked="0" behindDoc="0" simplePos="0" relativeHeight="106">
            <wp:simplePos x="0" y="0"/>
            <wp:positionH relativeFrom="page">
              <wp:posOffset>1084580</wp:posOffset>
            </wp:positionH>
            <wp:positionV relativeFrom="paragraph">
              <wp:posOffset>276859</wp:posOffset>
            </wp:positionV>
            <wp:extent cx="5355754" cy="1257300"/>
            <wp:effectExtent l="0" t="0" r="0" b="0"/>
            <wp:wrapTopAndBottom/>
            <wp:docPr id="239" name="image148.jpeg"/>
            <wp:cNvGraphicFramePr>
              <a:graphicFrameLocks noChangeAspect="1"/>
            </wp:cNvGraphicFramePr>
            <a:graphic>
              <a:graphicData uri="http://schemas.openxmlformats.org/drawingml/2006/picture">
                <pic:pic>
                  <pic:nvPicPr>
                    <pic:cNvPr id="240" name="image148.jpeg"/>
                    <pic:cNvPicPr/>
                  </pic:nvPicPr>
                  <pic:blipFill>
                    <a:blip r:embed="rId162" cstate="print"/>
                    <a:stretch>
                      <a:fillRect/>
                    </a:stretch>
                  </pic:blipFill>
                  <pic:spPr>
                    <a:xfrm>
                      <a:off x="0" y="0"/>
                      <a:ext cx="5355754" cy="1257300"/>
                    </a:xfrm>
                    <a:prstGeom prst="rect">
                      <a:avLst/>
                    </a:prstGeom>
                  </pic:spPr>
                </pic:pic>
              </a:graphicData>
            </a:graphic>
          </wp:anchor>
        </w:drawing>
      </w:r>
      <w:r>
        <w:rPr>
          <w:sz w:val="24"/>
        </w:rPr>
        <w:t> </w:t>
      </w:r>
    </w:p>
    <w:p>
      <w:pPr>
        <w:pStyle w:val="BodyText"/>
        <w:spacing w:line="446" w:lineRule="auto" w:before="162"/>
        <w:ind w:left="418" w:right="1455" w:firstLine="419"/>
      </w:pPr>
      <w:r>
        <w:rPr/>
        <w:t>注：1</w:t>
      </w:r>
      <w:r>
        <w:rPr>
          <w:spacing w:val="-3"/>
        </w:rPr>
        <w:t>.当设置自动喷水灭火系统时，防火墙间的允许建筑长度和每层最大允许建筑面积可 </w:t>
      </w:r>
      <w:r>
        <w:rPr>
          <w:spacing w:val="-8"/>
        </w:rPr>
        <w:t>按本表的规定增加 </w:t>
      </w:r>
      <w:r>
        <w:rPr/>
        <w:t>1.0</w:t>
      </w:r>
      <w:r>
        <w:rPr>
          <w:spacing w:val="-3"/>
        </w:rPr>
        <w:t> 倍，对于丁、戊类地上厂房，防火墙间的每层最大允许建筑面积不限。</w:t>
      </w:r>
      <w:r>
        <w:rPr/>
        <w:t> </w:t>
      </w:r>
    </w:p>
    <w:p>
      <w:pPr>
        <w:pStyle w:val="BodyText"/>
        <w:ind w:left="838"/>
      </w:pPr>
      <w:r>
        <w:rPr/>
        <w:t>2.体育场馆等高大空间建筑，其建筑高度和建筑面积可适当增加。 </w:t>
      </w:r>
    </w:p>
    <w:p>
      <w:pPr>
        <w:pStyle w:val="BodyText"/>
        <w:rPr>
          <w:sz w:val="18"/>
        </w:rPr>
      </w:pPr>
    </w:p>
    <w:p>
      <w:pPr>
        <w:pStyle w:val="ListParagraph"/>
        <w:numPr>
          <w:ilvl w:val="1"/>
          <w:numId w:val="299"/>
        </w:numPr>
        <w:tabs>
          <w:tab w:pos="1264" w:val="left" w:leader="none"/>
        </w:tabs>
        <w:spacing w:line="446" w:lineRule="auto" w:before="0" w:after="0"/>
        <w:ind w:left="418" w:right="1498" w:firstLine="422"/>
        <w:jc w:val="left"/>
        <w:rPr>
          <w:color w:val="333333"/>
          <w:sz w:val="19"/>
        </w:rPr>
      </w:pPr>
      <w:r>
        <w:rPr>
          <w:color w:val="333333"/>
          <w:spacing w:val="-3"/>
          <w:sz w:val="21"/>
        </w:rPr>
        <w:t>老年人照料设施，托儿所、幼儿园的儿童用房和活动场所设置在木结构建筑内时，应布置在首层或二层。</w:t>
      </w:r>
      <w:r>
        <w:rPr>
          <w:sz w:val="21"/>
        </w:rPr>
        <w:t> </w:t>
      </w:r>
    </w:p>
    <w:p>
      <w:pPr>
        <w:pStyle w:val="BodyText"/>
        <w:ind w:left="838"/>
      </w:pPr>
      <w:r>
        <w:rPr>
          <w:color w:val="333333"/>
        </w:rPr>
        <w:t>商店、体育馆和丁、戊类厂房（库房）应采用单层木结构建筑。</w:t>
      </w:r>
      <w:r>
        <w:rPr/>
        <w:t> </w:t>
      </w:r>
    </w:p>
    <w:p>
      <w:pPr>
        <w:spacing w:after="0"/>
        <w:sectPr>
          <w:pgSz w:w="11910" w:h="16850"/>
          <w:pgMar w:header="0" w:footer="1239" w:top="1220" w:bottom="1420" w:left="1260" w:right="0"/>
        </w:sectPr>
      </w:pPr>
    </w:p>
    <w:p>
      <w:pPr>
        <w:pStyle w:val="ListParagraph"/>
        <w:numPr>
          <w:ilvl w:val="1"/>
          <w:numId w:val="299"/>
        </w:numPr>
        <w:tabs>
          <w:tab w:pos="1266" w:val="left" w:leader="none"/>
        </w:tabs>
        <w:spacing w:line="446" w:lineRule="auto" w:before="47" w:after="0"/>
        <w:ind w:left="418" w:right="1498" w:firstLine="422"/>
        <w:jc w:val="left"/>
        <w:rPr>
          <w:sz w:val="19"/>
        </w:rPr>
      </w:pPr>
      <w:r>
        <w:rPr>
          <w:spacing w:val="-3"/>
          <w:sz w:val="21"/>
        </w:rPr>
        <w:t>除住宅建筑外，建筑内发电机间、配电间、锅炉间的设置及其防火要求，应符合本规</w:t>
      </w:r>
      <w:r>
        <w:rPr>
          <w:spacing w:val="-20"/>
          <w:sz w:val="21"/>
        </w:rPr>
        <w:t>范第 </w:t>
      </w:r>
      <w:r>
        <w:rPr>
          <w:sz w:val="21"/>
        </w:rPr>
        <w:t>5.4.12</w:t>
      </w:r>
      <w:r>
        <w:rPr>
          <w:spacing w:val="-2"/>
          <w:sz w:val="21"/>
        </w:rPr>
        <w:t> 条</w:t>
      </w:r>
      <w:r>
        <w:rPr>
          <w:sz w:val="21"/>
        </w:rPr>
        <w:t>～</w:t>
      </w:r>
      <w:r>
        <w:rPr>
          <w:spacing w:val="-28"/>
          <w:sz w:val="21"/>
        </w:rPr>
        <w:t>第 </w:t>
      </w:r>
      <w:r>
        <w:rPr>
          <w:sz w:val="21"/>
        </w:rPr>
        <w:t>5.4.15</w:t>
      </w:r>
      <w:r>
        <w:rPr>
          <w:spacing w:val="-12"/>
          <w:sz w:val="21"/>
        </w:rPr>
        <w:t> 条和第 </w:t>
      </w:r>
      <w:r>
        <w:rPr>
          <w:sz w:val="21"/>
        </w:rPr>
        <w:t>6.2.3</w:t>
      </w:r>
      <w:r>
        <w:rPr>
          <w:spacing w:val="-2"/>
          <w:sz w:val="21"/>
        </w:rPr>
        <w:t> 条</w:t>
      </w:r>
      <w:r>
        <w:rPr>
          <w:sz w:val="21"/>
        </w:rPr>
        <w:t>～</w:t>
      </w:r>
      <w:r>
        <w:rPr>
          <w:spacing w:val="-27"/>
          <w:sz w:val="21"/>
        </w:rPr>
        <w:t>第 </w:t>
      </w:r>
      <w:r>
        <w:rPr>
          <w:sz w:val="21"/>
        </w:rPr>
        <w:t>6.2.6</w:t>
      </w:r>
      <w:r>
        <w:rPr>
          <w:spacing w:val="-3"/>
          <w:sz w:val="21"/>
        </w:rPr>
        <w:t> 条的规定。</w:t>
      </w:r>
      <w:r>
        <w:rPr>
          <w:sz w:val="21"/>
        </w:rPr>
        <w:t> </w:t>
      </w:r>
    </w:p>
    <w:p>
      <w:pPr>
        <w:pStyle w:val="ListParagraph"/>
        <w:numPr>
          <w:ilvl w:val="1"/>
          <w:numId w:val="299"/>
        </w:numPr>
        <w:tabs>
          <w:tab w:pos="1264" w:val="left" w:leader="none"/>
        </w:tabs>
        <w:spacing w:line="444" w:lineRule="auto" w:before="0" w:after="0"/>
        <w:ind w:left="418" w:right="1498" w:firstLine="422"/>
        <w:jc w:val="left"/>
        <w:rPr>
          <w:sz w:val="19"/>
        </w:rPr>
      </w:pPr>
      <w:r>
        <w:rPr>
          <w:spacing w:val="-3"/>
          <w:sz w:val="21"/>
        </w:rPr>
        <w:t>设置在木结构住宅建筑内的机动车库、发电机间、配电间、锅炉间，应采用耐火极限</w:t>
      </w:r>
      <w:r>
        <w:rPr>
          <w:spacing w:val="-14"/>
          <w:sz w:val="21"/>
        </w:rPr>
        <w:t>不低于 </w:t>
      </w:r>
      <w:r>
        <w:rPr>
          <w:sz w:val="21"/>
        </w:rPr>
        <w:t>2.00h</w:t>
      </w:r>
      <w:r>
        <w:rPr>
          <w:spacing w:val="-7"/>
          <w:sz w:val="21"/>
        </w:rPr>
        <w:t> 的防火隔墙和 </w:t>
      </w:r>
      <w:r>
        <w:rPr>
          <w:sz w:val="21"/>
        </w:rPr>
        <w:t>1.00h</w:t>
      </w:r>
      <w:r>
        <w:rPr>
          <w:spacing w:val="-3"/>
          <w:sz w:val="21"/>
        </w:rPr>
        <w:t> 的不燃性楼板与其他部位分隔，不宜开设与室内相通的门、窗、洞口，确需开设时，可开设一樘不直通卧室的单扇乙级防火门。机动车库的建筑面积不宜</w:t>
      </w:r>
      <w:r>
        <w:rPr>
          <w:spacing w:val="-20"/>
          <w:sz w:val="21"/>
        </w:rPr>
        <w:t>大于 </w:t>
      </w:r>
      <w:r>
        <w:rPr>
          <w:sz w:val="21"/>
        </w:rPr>
        <w:t>60m</w:t>
      </w:r>
      <w:r>
        <w:rPr>
          <w:position w:val="11"/>
          <w:sz w:val="11"/>
        </w:rPr>
        <w:t>2</w:t>
      </w:r>
      <w:r>
        <w:rPr>
          <w:spacing w:val="-3"/>
          <w:sz w:val="21"/>
        </w:rPr>
        <w:t>。</w:t>
      </w:r>
      <w:r>
        <w:rPr>
          <w:sz w:val="21"/>
        </w:rPr>
        <w:t> </w:t>
      </w:r>
    </w:p>
    <w:p>
      <w:pPr>
        <w:pStyle w:val="ListParagraph"/>
        <w:numPr>
          <w:ilvl w:val="1"/>
          <w:numId w:val="299"/>
        </w:numPr>
        <w:tabs>
          <w:tab w:pos="1264" w:val="left" w:leader="none"/>
        </w:tabs>
        <w:spacing w:line="240" w:lineRule="auto" w:before="0" w:after="0"/>
        <w:ind w:left="1263" w:right="0" w:hanging="424"/>
        <w:jc w:val="left"/>
        <w:rPr>
          <w:color w:val="333333"/>
          <w:sz w:val="19"/>
        </w:rPr>
      </w:pPr>
      <w:r>
        <w:rPr>
          <w:color w:val="333333"/>
          <w:spacing w:val="-3"/>
          <w:sz w:val="21"/>
        </w:rPr>
        <w:t>民用木结构建筑的安全疏散设计应符合下列规定：</w:t>
      </w:r>
      <w:r>
        <w:rPr>
          <w:sz w:val="21"/>
        </w:rPr>
        <w:t> </w:t>
      </w:r>
    </w:p>
    <w:p>
      <w:pPr>
        <w:pStyle w:val="BodyText"/>
        <w:spacing w:before="11"/>
        <w:rPr>
          <w:sz w:val="17"/>
        </w:rPr>
      </w:pPr>
    </w:p>
    <w:p>
      <w:pPr>
        <w:pStyle w:val="BodyText"/>
        <w:spacing w:line="436" w:lineRule="auto" w:before="1"/>
        <w:ind w:left="418" w:right="1503" w:firstLine="419"/>
      </w:pPr>
      <w:r>
        <w:rPr/>
        <w:t>建筑的安全出口和房间疏散门的设置，应符合本规范第 5.5 节的规定。当木结构建筑的每层建筑面积小于 200m</w:t>
      </w:r>
      <w:r>
        <w:rPr>
          <w:position w:val="11"/>
          <w:sz w:val="11"/>
        </w:rPr>
        <w:t>2</w:t>
      </w:r>
      <w:r>
        <w:rPr>
          <w:sz w:val="11"/>
        </w:rPr>
        <w:t> </w:t>
      </w:r>
      <w:r>
        <w:rPr/>
        <w:t>且第二层和第三层的人数之和不超过 25 人时，可设置 1 部疏散楼梯； </w:t>
      </w:r>
    </w:p>
    <w:p>
      <w:pPr>
        <w:spacing w:line="355" w:lineRule="auto" w:before="11"/>
        <w:ind w:left="898" w:right="1719" w:hanging="60"/>
        <w:jc w:val="left"/>
        <w:rPr>
          <w:b/>
          <w:sz w:val="21"/>
        </w:rPr>
      </w:pPr>
      <w:r>
        <w:rPr/>
        <w:drawing>
          <wp:anchor distT="0" distB="0" distL="0" distR="0" allowOverlap="1" layoutInCell="1" locked="0" behindDoc="0" simplePos="0" relativeHeight="107">
            <wp:simplePos x="0" y="0"/>
            <wp:positionH relativeFrom="page">
              <wp:posOffset>1102994</wp:posOffset>
            </wp:positionH>
            <wp:positionV relativeFrom="paragraph">
              <wp:posOffset>557911</wp:posOffset>
            </wp:positionV>
            <wp:extent cx="5494558" cy="2486025"/>
            <wp:effectExtent l="0" t="0" r="0" b="0"/>
            <wp:wrapTopAndBottom/>
            <wp:docPr id="241" name="image149.jpeg"/>
            <wp:cNvGraphicFramePr>
              <a:graphicFrameLocks noChangeAspect="1"/>
            </wp:cNvGraphicFramePr>
            <a:graphic>
              <a:graphicData uri="http://schemas.openxmlformats.org/drawingml/2006/picture">
                <pic:pic>
                  <pic:nvPicPr>
                    <pic:cNvPr id="242" name="image149.jpeg"/>
                    <pic:cNvPicPr/>
                  </pic:nvPicPr>
                  <pic:blipFill>
                    <a:blip r:embed="rId163" cstate="print"/>
                    <a:stretch>
                      <a:fillRect/>
                    </a:stretch>
                  </pic:blipFill>
                  <pic:spPr>
                    <a:xfrm>
                      <a:off x="0" y="0"/>
                      <a:ext cx="5494558" cy="2486025"/>
                    </a:xfrm>
                    <a:prstGeom prst="rect">
                      <a:avLst/>
                    </a:prstGeom>
                  </pic:spPr>
                </pic:pic>
              </a:graphicData>
            </a:graphic>
          </wp:anchor>
        </w:drawing>
      </w:r>
      <w:r>
        <w:rPr>
          <w:color w:val="333333"/>
          <w:w w:val="100"/>
          <w:sz w:val="21"/>
        </w:rPr>
        <w:t> </w:t>
      </w:r>
      <w:r>
        <w:rPr>
          <w:color w:val="333333"/>
          <w:spacing w:val="-5"/>
          <w:sz w:val="21"/>
        </w:rPr>
        <w:t>房间直通疏散走道的疏散门至最近安全出口的直线距离不应大于表 </w:t>
      </w:r>
      <w:r>
        <w:rPr>
          <w:color w:val="333333"/>
          <w:sz w:val="21"/>
        </w:rPr>
        <w:t>11.0.7-1</w:t>
      </w:r>
      <w:r>
        <w:rPr>
          <w:color w:val="333333"/>
          <w:spacing w:val="-11"/>
          <w:sz w:val="21"/>
        </w:rPr>
        <w:t> 的规定；</w:t>
      </w:r>
      <w:r>
        <w:rPr>
          <w:spacing w:val="-11"/>
          <w:sz w:val="21"/>
        </w:rPr>
        <w:t> </w:t>
      </w:r>
      <w:r>
        <w:rPr>
          <w:b/>
          <w:spacing w:val="-27"/>
          <w:sz w:val="21"/>
        </w:rPr>
        <w:t>表 </w:t>
      </w:r>
      <w:r>
        <w:rPr>
          <w:b/>
          <w:sz w:val="21"/>
        </w:rPr>
        <w:t>11.7-1</w:t>
      </w:r>
      <w:r>
        <w:rPr>
          <w:b/>
          <w:spacing w:val="-3"/>
          <w:sz w:val="21"/>
        </w:rPr>
        <w:t> 房间直通疏散走道的疏散门至最近安全出口的直线距离</w:t>
      </w:r>
      <w:r>
        <w:rPr>
          <w:b/>
          <w:sz w:val="21"/>
        </w:rPr>
        <w:t>（m）</w:t>
      </w:r>
      <w:r>
        <w:rPr>
          <w:b/>
          <w:w w:val="99"/>
          <w:sz w:val="21"/>
        </w:rPr>
        <w:t> </w:t>
      </w:r>
    </w:p>
    <w:p>
      <w:pPr>
        <w:pStyle w:val="BodyText"/>
        <w:spacing w:line="446" w:lineRule="auto" w:before="179"/>
        <w:ind w:left="418" w:right="1540" w:firstLine="482"/>
        <w:rPr>
          <w:b/>
        </w:rPr>
      </w:pPr>
      <w:r>
        <w:rPr>
          <w:color w:val="333333"/>
        </w:rPr>
        <w:t>房间内任一点至该房间直通疏散走道的疏散门的直线距离，不应大于表 11.0.7-1 中有关袋形走道两侧或尽端的疏散门至最近安全出口的直线距离；</w:t>
      </w:r>
      <w:r>
        <w:rPr>
          <w:b/>
          <w:w w:val="99"/>
        </w:rPr>
        <w:t> </w:t>
      </w:r>
    </w:p>
    <w:p>
      <w:pPr>
        <w:pStyle w:val="BodyText"/>
        <w:ind w:left="900"/>
      </w:pPr>
      <w:r>
        <w:rPr>
          <w:color w:val="333333"/>
        </w:rPr>
        <w:t>建筑内疏散走道、安全出口、疏散楼梯和房间疏散门的净宽度，应根据疏散人数按每 100 </w:t>
      </w:r>
    </w:p>
    <w:p>
      <w:pPr>
        <w:pStyle w:val="BodyText"/>
        <w:spacing w:before="12"/>
        <w:rPr>
          <w:sz w:val="17"/>
        </w:rPr>
      </w:pPr>
    </w:p>
    <w:p>
      <w:pPr>
        <w:pStyle w:val="BodyText"/>
        <w:ind w:left="418"/>
        <w:rPr>
          <w:b/>
        </w:rPr>
      </w:pPr>
      <w:r>
        <w:rPr>
          <w:color w:val="333333"/>
        </w:rPr>
        <w:t>人的最小疏散净宽度不小于表 11.0.7-2 的规定计算确定；</w:t>
      </w:r>
      <w:r>
        <w:rPr>
          <w:b/>
          <w:w w:val="99"/>
        </w:rPr>
        <w:t> </w:t>
      </w:r>
    </w:p>
    <w:p>
      <w:pPr>
        <w:pStyle w:val="Heading6"/>
        <w:spacing w:before="129"/>
        <w:ind w:left="2441"/>
      </w:pPr>
      <w:r>
        <w:rPr/>
        <w:t>表 11.7-2 疏散走道、安全出口、疏散楼梯和房间疏散门</w:t>
      </w:r>
      <w:r>
        <w:rPr>
          <w:w w:val="99"/>
        </w:rPr>
        <w:t> </w:t>
      </w:r>
    </w:p>
    <w:p>
      <w:pPr>
        <w:pStyle w:val="BodyText"/>
        <w:spacing w:before="12"/>
        <w:rPr>
          <w:b/>
          <w:sz w:val="12"/>
        </w:rPr>
      </w:pPr>
      <w:r>
        <w:rPr/>
        <w:drawing>
          <wp:anchor distT="0" distB="0" distL="0" distR="0" allowOverlap="1" layoutInCell="1" locked="0" behindDoc="0" simplePos="0" relativeHeight="108">
            <wp:simplePos x="0" y="0"/>
            <wp:positionH relativeFrom="page">
              <wp:posOffset>1103630</wp:posOffset>
            </wp:positionH>
            <wp:positionV relativeFrom="paragraph">
              <wp:posOffset>130230</wp:posOffset>
            </wp:positionV>
            <wp:extent cx="5514975" cy="619125"/>
            <wp:effectExtent l="0" t="0" r="0" b="0"/>
            <wp:wrapTopAndBottom/>
            <wp:docPr id="243" name="image150.jpeg"/>
            <wp:cNvGraphicFramePr>
              <a:graphicFrameLocks noChangeAspect="1"/>
            </wp:cNvGraphicFramePr>
            <a:graphic>
              <a:graphicData uri="http://schemas.openxmlformats.org/drawingml/2006/picture">
                <pic:pic>
                  <pic:nvPicPr>
                    <pic:cNvPr id="244" name="image150.jpeg"/>
                    <pic:cNvPicPr/>
                  </pic:nvPicPr>
                  <pic:blipFill>
                    <a:blip r:embed="rId164" cstate="print"/>
                    <a:stretch>
                      <a:fillRect/>
                    </a:stretch>
                  </pic:blipFill>
                  <pic:spPr>
                    <a:xfrm>
                      <a:off x="0" y="0"/>
                      <a:ext cx="5514975" cy="619125"/>
                    </a:xfrm>
                    <a:prstGeom prst="rect">
                      <a:avLst/>
                    </a:prstGeom>
                  </pic:spPr>
                </pic:pic>
              </a:graphicData>
            </a:graphic>
          </wp:anchor>
        </w:drawing>
      </w:r>
    </w:p>
    <w:p>
      <w:pPr>
        <w:pStyle w:val="ListParagraph"/>
        <w:numPr>
          <w:ilvl w:val="1"/>
          <w:numId w:val="299"/>
        </w:numPr>
        <w:tabs>
          <w:tab w:pos="1266" w:val="left" w:leader="none"/>
        </w:tabs>
        <w:spacing w:line="240" w:lineRule="auto" w:before="164" w:after="0"/>
        <w:ind w:left="1265" w:right="0" w:hanging="426"/>
        <w:jc w:val="left"/>
        <w:rPr>
          <w:color w:val="333333"/>
          <w:sz w:val="19"/>
        </w:rPr>
      </w:pPr>
      <w:r>
        <w:rPr>
          <w:color w:val="333333"/>
          <w:spacing w:val="-5"/>
          <w:sz w:val="21"/>
        </w:rPr>
        <w:t>丁、戊类木结构厂房内任意一点至最近安全出口的疏散距离分别不应大于 </w:t>
      </w:r>
      <w:r>
        <w:rPr>
          <w:color w:val="333333"/>
          <w:sz w:val="21"/>
        </w:rPr>
        <w:t>50m</w:t>
      </w:r>
      <w:r>
        <w:rPr>
          <w:color w:val="333333"/>
          <w:spacing w:val="1"/>
          <w:sz w:val="21"/>
        </w:rPr>
        <w:t> 和</w:t>
      </w:r>
    </w:p>
    <w:p>
      <w:pPr>
        <w:pStyle w:val="BodyText"/>
        <w:spacing w:before="12"/>
        <w:rPr>
          <w:sz w:val="17"/>
        </w:rPr>
      </w:pPr>
    </w:p>
    <w:p>
      <w:pPr>
        <w:pStyle w:val="BodyText"/>
        <w:ind w:left="418"/>
      </w:pPr>
      <w:r>
        <w:rPr>
          <w:color w:val="333333"/>
        </w:rPr>
        <w:t>60m，其他安全疏散要求应符合本规范第 3.7 节的规定。 </w:t>
      </w:r>
    </w:p>
    <w:p>
      <w:pPr>
        <w:spacing w:after="0"/>
        <w:sectPr>
          <w:pgSz w:w="11910" w:h="16850"/>
          <w:pgMar w:header="0" w:footer="1239" w:top="1220" w:bottom="1420" w:left="1260" w:right="0"/>
        </w:sectPr>
      </w:pPr>
    </w:p>
    <w:p>
      <w:pPr>
        <w:pStyle w:val="ListParagraph"/>
        <w:numPr>
          <w:ilvl w:val="1"/>
          <w:numId w:val="299"/>
        </w:numPr>
        <w:tabs>
          <w:tab w:pos="1264" w:val="left" w:leader="none"/>
        </w:tabs>
        <w:spacing w:line="446" w:lineRule="auto" w:before="47" w:after="0"/>
        <w:ind w:left="418" w:right="1498" w:firstLine="422"/>
        <w:jc w:val="left"/>
        <w:rPr>
          <w:sz w:val="19"/>
        </w:rPr>
      </w:pPr>
      <w:r>
        <w:rPr>
          <w:spacing w:val="-3"/>
          <w:sz w:val="21"/>
        </w:rPr>
        <w:t>管道、电气线路敷设在墙体内或穿过楼板、墙体时，应采取防火保护措施，与墙体、楼板之间的缝隙应采用防火封堵材料填塞密实。</w:t>
      </w:r>
      <w:r>
        <w:rPr>
          <w:color w:val="333333"/>
          <w:sz w:val="21"/>
        </w:rPr>
        <w:t> </w:t>
      </w:r>
    </w:p>
    <w:p>
      <w:pPr>
        <w:pStyle w:val="BodyText"/>
        <w:spacing w:line="267" w:lineRule="exact"/>
        <w:ind w:left="838"/>
      </w:pPr>
      <w:r>
        <w:rPr/>
        <w:t>住宅建筑内厨房的明火或高温部位及排油烟管道等，应采用防火隔热措施。</w:t>
      </w:r>
      <w:r>
        <w:rPr>
          <w:color w:val="333333"/>
        </w:rPr>
        <w:t> </w:t>
      </w:r>
    </w:p>
    <w:p>
      <w:pPr>
        <w:pStyle w:val="BodyText"/>
        <w:spacing w:before="2"/>
        <w:rPr>
          <w:sz w:val="18"/>
        </w:rPr>
      </w:pPr>
    </w:p>
    <w:p>
      <w:pPr>
        <w:pStyle w:val="ListParagraph"/>
        <w:numPr>
          <w:ilvl w:val="1"/>
          <w:numId w:val="299"/>
        </w:numPr>
        <w:tabs>
          <w:tab w:pos="1371" w:val="left" w:leader="none"/>
        </w:tabs>
        <w:spacing w:line="446" w:lineRule="auto" w:before="0" w:after="0"/>
        <w:ind w:left="838" w:right="1503" w:firstLine="2"/>
        <w:jc w:val="left"/>
        <w:rPr>
          <w:sz w:val="19"/>
        </w:rPr>
      </w:pPr>
      <w:r>
        <w:rPr>
          <w:spacing w:val="-4"/>
          <w:sz w:val="21"/>
        </w:rPr>
        <w:t>民用木结构建筑之间及其与其他民用建筑的防火间距不应小于表 </w:t>
      </w:r>
      <w:r>
        <w:rPr>
          <w:sz w:val="21"/>
        </w:rPr>
        <w:t>11.0.10</w:t>
      </w:r>
      <w:r>
        <w:rPr>
          <w:spacing w:val="-7"/>
          <w:sz w:val="21"/>
        </w:rPr>
        <w:t> 的规定。</w:t>
      </w:r>
      <w:r>
        <w:rPr>
          <w:sz w:val="21"/>
        </w:rPr>
        <w:t>民</w:t>
      </w:r>
      <w:r>
        <w:rPr>
          <w:spacing w:val="-3"/>
          <w:sz w:val="21"/>
        </w:rPr>
        <w:t>用木结构建筑与厂房（</w:t>
      </w:r>
      <w:r>
        <w:rPr>
          <w:sz w:val="21"/>
        </w:rPr>
        <w:t>仓库</w:t>
      </w:r>
      <w:r>
        <w:rPr>
          <w:spacing w:val="-3"/>
          <w:sz w:val="21"/>
        </w:rPr>
        <w:t>）等建筑的防火间距、木结构厂房（</w:t>
      </w:r>
      <w:r>
        <w:rPr>
          <w:spacing w:val="-2"/>
          <w:sz w:val="21"/>
        </w:rPr>
        <w:t>仓库</w:t>
      </w:r>
      <w:r>
        <w:rPr>
          <w:sz w:val="21"/>
        </w:rPr>
        <w:t>）</w:t>
      </w:r>
      <w:r>
        <w:rPr>
          <w:spacing w:val="-3"/>
          <w:sz w:val="21"/>
        </w:rPr>
        <w:t>之间及其与其他</w:t>
      </w:r>
    </w:p>
    <w:p>
      <w:pPr>
        <w:pStyle w:val="BodyText"/>
        <w:spacing w:line="267" w:lineRule="exact"/>
        <w:ind w:left="418"/>
      </w:pPr>
      <w:r>
        <w:rPr/>
        <w:t>民用建筑的防火间距，应符合本规范第 3、4 章有关四级耐火等级建筑的规定。</w:t>
      </w:r>
      <w:r>
        <w:rPr>
          <w:color w:val="333333"/>
        </w:rPr>
        <w:t> </w:t>
      </w:r>
    </w:p>
    <w:p>
      <w:pPr>
        <w:pStyle w:val="Heading6"/>
        <w:spacing w:before="132"/>
        <w:ind w:left="1810"/>
      </w:pPr>
      <w:r>
        <w:rPr/>
        <w:t>表 11.0.10 民用木结构建筑之间及其与其他民用建筑的防火间距（m）</w:t>
      </w:r>
      <w:r>
        <w:rPr>
          <w:w w:val="99"/>
        </w:rPr>
        <w:t> </w:t>
      </w:r>
    </w:p>
    <w:p>
      <w:pPr>
        <w:pStyle w:val="BodyText"/>
        <w:spacing w:before="7"/>
        <w:rPr>
          <w:b/>
        </w:rPr>
      </w:pPr>
      <w:r>
        <w:rPr/>
        <w:drawing>
          <wp:anchor distT="0" distB="0" distL="0" distR="0" allowOverlap="1" layoutInCell="1" locked="0" behindDoc="0" simplePos="0" relativeHeight="109">
            <wp:simplePos x="0" y="0"/>
            <wp:positionH relativeFrom="page">
              <wp:posOffset>1189355</wp:posOffset>
            </wp:positionH>
            <wp:positionV relativeFrom="paragraph">
              <wp:posOffset>200144</wp:posOffset>
            </wp:positionV>
            <wp:extent cx="5291139" cy="846963"/>
            <wp:effectExtent l="0" t="0" r="0" b="0"/>
            <wp:wrapTopAndBottom/>
            <wp:docPr id="245" name="image151.jpeg"/>
            <wp:cNvGraphicFramePr>
              <a:graphicFrameLocks noChangeAspect="1"/>
            </wp:cNvGraphicFramePr>
            <a:graphic>
              <a:graphicData uri="http://schemas.openxmlformats.org/drawingml/2006/picture">
                <pic:pic>
                  <pic:nvPicPr>
                    <pic:cNvPr id="246" name="image151.jpeg"/>
                    <pic:cNvPicPr/>
                  </pic:nvPicPr>
                  <pic:blipFill>
                    <a:blip r:embed="rId165" cstate="print"/>
                    <a:stretch>
                      <a:fillRect/>
                    </a:stretch>
                  </pic:blipFill>
                  <pic:spPr>
                    <a:xfrm>
                      <a:off x="0" y="0"/>
                      <a:ext cx="5291139" cy="846963"/>
                    </a:xfrm>
                    <a:prstGeom prst="rect">
                      <a:avLst/>
                    </a:prstGeom>
                  </pic:spPr>
                </pic:pic>
              </a:graphicData>
            </a:graphic>
          </wp:anchor>
        </w:drawing>
      </w:r>
    </w:p>
    <w:p>
      <w:pPr>
        <w:pStyle w:val="BodyText"/>
        <w:rPr>
          <w:b/>
          <w:sz w:val="20"/>
        </w:rPr>
      </w:pPr>
    </w:p>
    <w:p>
      <w:pPr>
        <w:pStyle w:val="BodyText"/>
        <w:spacing w:before="10"/>
        <w:rPr>
          <w:b/>
          <w:sz w:val="20"/>
        </w:rPr>
      </w:pPr>
    </w:p>
    <w:p>
      <w:pPr>
        <w:pStyle w:val="BodyText"/>
        <w:spacing w:line="446" w:lineRule="auto" w:before="1"/>
        <w:ind w:left="418" w:right="1505" w:firstLine="419"/>
      </w:pPr>
      <w:r>
        <w:rPr/>
        <w:t>注：1</w:t>
      </w:r>
      <w:r>
        <w:rPr>
          <w:spacing w:val="-3"/>
        </w:rPr>
        <w:t>.两座木结构建筑之间或木结构建筑与其他民用建筑之间，外墙均无任何门、窗、洞</w:t>
      </w:r>
      <w:r>
        <w:rPr>
          <w:spacing w:val="-7"/>
        </w:rPr>
        <w:t>口时，防火间距可为 </w:t>
      </w:r>
      <w:r>
        <w:rPr/>
        <w:t>4m</w:t>
      </w:r>
      <w:r>
        <w:rPr>
          <w:spacing w:val="-5"/>
        </w:rPr>
        <w:t>；外墙上的门、窗、洞口不正对且开口面积之和不大于外墙面积的 </w:t>
      </w:r>
      <w:r>
        <w:rPr/>
        <w:t>10％ </w:t>
      </w:r>
      <w:r>
        <w:rPr>
          <w:spacing w:val="-7"/>
        </w:rPr>
        <w:t>时，防火间距可按本表的规定减少 </w:t>
      </w:r>
      <w:r>
        <w:rPr/>
        <w:t>25</w:t>
      </w:r>
      <w:r>
        <w:rPr>
          <w:spacing w:val="-2"/>
        </w:rPr>
        <w:t>％。</w:t>
      </w:r>
      <w:r>
        <w:rPr/>
        <w:t> </w:t>
      </w:r>
    </w:p>
    <w:p>
      <w:pPr>
        <w:pStyle w:val="ListParagraph"/>
        <w:numPr>
          <w:ilvl w:val="0"/>
          <w:numId w:val="301"/>
        </w:numPr>
        <w:tabs>
          <w:tab w:pos="1051" w:val="left" w:leader="none"/>
        </w:tabs>
        <w:spacing w:line="446" w:lineRule="auto" w:before="0" w:after="0"/>
        <w:ind w:left="418" w:right="1608" w:firstLine="419"/>
        <w:jc w:val="left"/>
        <w:rPr>
          <w:sz w:val="19"/>
        </w:rPr>
      </w:pPr>
      <w:r>
        <w:rPr>
          <w:spacing w:val="-3"/>
          <w:sz w:val="21"/>
        </w:rPr>
        <w:t>当相邻建筑外墙有一面为防火墙，或建筑物之间设置防火墙且墙体截断不燃性屋面或高</w:t>
      </w:r>
      <w:r>
        <w:rPr>
          <w:spacing w:val="-7"/>
          <w:sz w:val="21"/>
        </w:rPr>
        <w:t>出难燃性、可燃性屋面不低于 </w:t>
      </w:r>
      <w:r>
        <w:rPr>
          <w:sz w:val="21"/>
        </w:rPr>
        <w:t>0.5m</w:t>
      </w:r>
      <w:r>
        <w:rPr>
          <w:spacing w:val="-3"/>
          <w:sz w:val="21"/>
        </w:rPr>
        <w:t> 时，防火间距不限。</w:t>
      </w:r>
      <w:r>
        <w:rPr>
          <w:sz w:val="21"/>
        </w:rPr>
        <w:t> </w:t>
      </w:r>
    </w:p>
    <w:p>
      <w:pPr>
        <w:pStyle w:val="ListParagraph"/>
        <w:numPr>
          <w:ilvl w:val="1"/>
          <w:numId w:val="299"/>
        </w:numPr>
        <w:tabs>
          <w:tab w:pos="1371" w:val="left" w:leader="none"/>
        </w:tabs>
        <w:spacing w:line="441" w:lineRule="auto" w:before="0" w:after="0"/>
        <w:ind w:left="418" w:right="1503" w:firstLine="422"/>
        <w:jc w:val="left"/>
        <w:rPr>
          <w:sz w:val="19"/>
        </w:rPr>
      </w:pPr>
      <w:r>
        <w:rPr>
          <w:spacing w:val="-3"/>
          <w:sz w:val="21"/>
        </w:rPr>
        <w:t>木结构墙体、楼板及封闭吊顶或屋顶下的密闭空间内应采取防火分隔措施，且水平分</w:t>
      </w:r>
      <w:r>
        <w:rPr>
          <w:spacing w:val="-7"/>
          <w:sz w:val="21"/>
        </w:rPr>
        <w:t>隔长度或宽度均不应大于 </w:t>
      </w:r>
      <w:r>
        <w:rPr>
          <w:sz w:val="21"/>
        </w:rPr>
        <w:t>20m</w:t>
      </w:r>
      <w:r>
        <w:rPr>
          <w:spacing w:val="-7"/>
          <w:sz w:val="21"/>
        </w:rPr>
        <w:t>，建筑面积不应大于 </w:t>
      </w:r>
      <w:r>
        <w:rPr>
          <w:sz w:val="21"/>
        </w:rPr>
        <w:t>300m</w:t>
      </w:r>
      <w:r>
        <w:rPr>
          <w:position w:val="11"/>
          <w:sz w:val="11"/>
        </w:rPr>
        <w:t>2</w:t>
      </w:r>
      <w:r>
        <w:rPr>
          <w:spacing w:val="-6"/>
          <w:sz w:val="21"/>
        </w:rPr>
        <w:t>，墙体的竖向分隔高度不应大于 </w:t>
      </w:r>
      <w:r>
        <w:rPr>
          <w:sz w:val="21"/>
        </w:rPr>
        <w:t>3m。轻</w:t>
      </w:r>
      <w:r>
        <w:rPr>
          <w:spacing w:val="-3"/>
          <w:sz w:val="21"/>
        </w:rPr>
        <w:t>型木结构建筑的每层楼梯梁处应采取防火分隔措施。</w:t>
      </w:r>
      <w:r>
        <w:rPr>
          <w:sz w:val="21"/>
        </w:rPr>
        <w:t> </w:t>
      </w:r>
    </w:p>
    <w:p>
      <w:pPr>
        <w:pStyle w:val="ListParagraph"/>
        <w:numPr>
          <w:ilvl w:val="1"/>
          <w:numId w:val="299"/>
        </w:numPr>
        <w:tabs>
          <w:tab w:pos="1371" w:val="left" w:leader="none"/>
        </w:tabs>
        <w:spacing w:line="446" w:lineRule="auto" w:before="4" w:after="0"/>
        <w:ind w:left="418" w:right="1604" w:firstLine="422"/>
        <w:jc w:val="left"/>
        <w:rPr>
          <w:sz w:val="19"/>
        </w:rPr>
      </w:pPr>
      <w:r>
        <w:rPr>
          <w:spacing w:val="-3"/>
          <w:sz w:val="21"/>
        </w:rPr>
        <w:t>木结构建筑与钢结构、钢筋混凝土结构或砌体结构等其他结构类型组合建造时，应符合下列规定：</w:t>
      </w:r>
      <w:r>
        <w:rPr>
          <w:sz w:val="21"/>
        </w:rPr>
        <w:t> </w:t>
      </w:r>
    </w:p>
    <w:p>
      <w:pPr>
        <w:pStyle w:val="BodyText"/>
        <w:spacing w:line="446" w:lineRule="auto"/>
        <w:ind w:left="418" w:right="1498" w:firstLine="419"/>
      </w:pPr>
      <w:r>
        <w:rPr/>
        <w:t>竖向组合建造时，木结构部分的层数不应超过 3 层并应设置在建筑的上部，木结构部分与其他结构部分宜采用耐火极限不低于 1.00h 的不燃性楼板分隔。 </w:t>
      </w:r>
    </w:p>
    <w:p>
      <w:pPr>
        <w:pStyle w:val="BodyText"/>
        <w:spacing w:line="267" w:lineRule="exact"/>
        <w:ind w:left="838"/>
      </w:pPr>
      <w:r>
        <w:rPr/>
        <w:t>水平组合建造时，木结构部分与其他结构部分宜采用防火墙分隔； </w:t>
      </w:r>
    </w:p>
    <w:p>
      <w:pPr>
        <w:pStyle w:val="BodyText"/>
        <w:spacing w:before="2"/>
        <w:rPr>
          <w:sz w:val="18"/>
        </w:rPr>
      </w:pPr>
    </w:p>
    <w:p>
      <w:pPr>
        <w:pStyle w:val="BodyText"/>
        <w:spacing w:line="446" w:lineRule="auto"/>
        <w:ind w:left="418" w:right="1608" w:firstLine="419"/>
        <w:jc w:val="both"/>
      </w:pPr>
      <w:r>
        <w:rPr/>
        <w:t>当木结构部分与其他结构部分之间按上款规定进行了防火分隔时，木结构部分和其他部分的防火设计，可分别执行本规范对木结构建筑和其他结构建筑的规定；其他情况，建筑的防火设计应执行本规范有关木结构建筑的规定； </w:t>
      </w:r>
    </w:p>
    <w:p>
      <w:pPr>
        <w:pStyle w:val="BodyText"/>
        <w:spacing w:line="268" w:lineRule="exact"/>
        <w:ind w:left="838"/>
        <w:jc w:val="both"/>
      </w:pPr>
      <w:r>
        <w:rPr/>
        <w:t>室内消防给水应根据建筑的总高度、体积或层数和用途按本规范第 8 章和国家现行有关标</w:t>
      </w:r>
    </w:p>
    <w:p>
      <w:pPr>
        <w:spacing w:after="0" w:line="268" w:lineRule="exact"/>
        <w:jc w:val="both"/>
        <w:sectPr>
          <w:pgSz w:w="11910" w:h="16850"/>
          <w:pgMar w:header="0" w:footer="1239" w:top="1220" w:bottom="1420" w:left="1260" w:right="0"/>
        </w:sectPr>
      </w:pPr>
    </w:p>
    <w:p>
      <w:pPr>
        <w:pStyle w:val="BodyText"/>
        <w:spacing w:before="47"/>
        <w:ind w:left="418"/>
      </w:pPr>
      <w:r>
        <w:rPr/>
        <w:t>准的规定确定，室外消防给水应按本规范有关四级耐火等级建筑的规定确定。 </w:t>
      </w:r>
    </w:p>
    <w:p>
      <w:pPr>
        <w:pStyle w:val="BodyText"/>
        <w:spacing w:before="3"/>
        <w:rPr>
          <w:sz w:val="17"/>
        </w:rPr>
      </w:pPr>
    </w:p>
    <w:p>
      <w:pPr>
        <w:pStyle w:val="ListParagraph"/>
        <w:numPr>
          <w:ilvl w:val="1"/>
          <w:numId w:val="299"/>
        </w:numPr>
        <w:tabs>
          <w:tab w:pos="1370" w:val="left" w:leader="none"/>
        </w:tabs>
        <w:spacing w:line="446" w:lineRule="auto" w:before="0" w:after="0"/>
        <w:ind w:left="418" w:right="1601" w:firstLine="422"/>
        <w:jc w:val="left"/>
        <w:rPr>
          <w:sz w:val="19"/>
        </w:rPr>
      </w:pPr>
      <w:r>
        <w:rPr>
          <w:spacing w:val="-9"/>
          <w:sz w:val="21"/>
        </w:rPr>
        <w:t>总建筑面积大于 </w:t>
      </w:r>
      <w:r>
        <w:rPr>
          <w:sz w:val="21"/>
        </w:rPr>
        <w:t>1500m</w:t>
      </w:r>
      <w:r>
        <w:rPr>
          <w:position w:val="11"/>
          <w:sz w:val="11"/>
        </w:rPr>
        <w:t>2</w:t>
      </w:r>
      <w:r>
        <w:rPr>
          <w:spacing w:val="2"/>
          <w:sz w:val="11"/>
        </w:rPr>
        <w:t>   </w:t>
      </w:r>
      <w:r>
        <w:rPr>
          <w:spacing w:val="-3"/>
          <w:sz w:val="21"/>
        </w:rPr>
        <w:t>的木结构公共建筑应设置火灾自动报警系统，木结构住宅建筑内应设置火灾探测与报警装置。</w:t>
      </w:r>
      <w:r>
        <w:rPr>
          <w:sz w:val="21"/>
        </w:rPr>
        <w:t> </w:t>
      </w:r>
    </w:p>
    <w:p>
      <w:pPr>
        <w:pStyle w:val="ListParagraph"/>
        <w:numPr>
          <w:ilvl w:val="1"/>
          <w:numId w:val="299"/>
        </w:numPr>
        <w:tabs>
          <w:tab w:pos="1371" w:val="left" w:leader="none"/>
        </w:tabs>
        <w:spacing w:line="446" w:lineRule="auto" w:before="0" w:after="0"/>
        <w:ind w:left="418" w:right="1505" w:firstLine="422"/>
        <w:jc w:val="left"/>
        <w:rPr>
          <w:sz w:val="19"/>
        </w:rPr>
      </w:pPr>
      <w:r>
        <w:rPr>
          <w:spacing w:val="-3"/>
          <w:sz w:val="21"/>
        </w:rPr>
        <w:t>木结构建筑的其他防火设计应执行本规范有关四级耐火等级建筑的规定，防火构造要求除应符合本规范的规定外，尚应符合现行国家标准《木结构设计规范》</w:t>
      </w:r>
      <w:r>
        <w:rPr>
          <w:sz w:val="21"/>
        </w:rPr>
        <w:t>GB</w:t>
      </w:r>
      <w:r>
        <w:rPr>
          <w:spacing w:val="20"/>
          <w:sz w:val="21"/>
        </w:rPr>
        <w:t> </w:t>
      </w:r>
      <w:r>
        <w:rPr>
          <w:sz w:val="21"/>
        </w:rPr>
        <w:t>50005</w:t>
      </w:r>
      <w:r>
        <w:rPr>
          <w:spacing w:val="1"/>
          <w:sz w:val="21"/>
        </w:rPr>
        <w:t> 等标准的规</w:t>
      </w:r>
      <w:r>
        <w:rPr>
          <w:spacing w:val="-1"/>
          <w:sz w:val="21"/>
        </w:rPr>
        <w:t>定。</w:t>
      </w:r>
      <w:r>
        <w:rPr>
          <w:sz w:val="21"/>
        </w:rPr>
        <w:t> </w:t>
      </w:r>
    </w:p>
    <w:p>
      <w:pPr>
        <w:pStyle w:val="Heading4"/>
        <w:spacing w:line="276" w:lineRule="exact"/>
      </w:pPr>
      <w:r>
        <w:rPr/>
        <w:t>12 城市交通隧道</w:t>
      </w:r>
      <w:r>
        <w:rPr>
          <w:w w:val="99"/>
        </w:rPr>
        <w:t> </w:t>
      </w:r>
    </w:p>
    <w:p>
      <w:pPr>
        <w:pStyle w:val="BodyText"/>
        <w:spacing w:before="4"/>
        <w:rPr>
          <w:b/>
          <w:sz w:val="17"/>
        </w:rPr>
      </w:pPr>
    </w:p>
    <w:p>
      <w:pPr>
        <w:pStyle w:val="ListParagraph"/>
        <w:numPr>
          <w:ilvl w:val="1"/>
          <w:numId w:val="302"/>
        </w:numPr>
        <w:tabs>
          <w:tab w:pos="1264" w:val="left" w:leader="none"/>
        </w:tabs>
        <w:spacing w:line="240" w:lineRule="auto" w:before="0" w:after="0"/>
        <w:ind w:left="1263" w:right="0" w:hanging="424"/>
        <w:jc w:val="left"/>
        <w:rPr>
          <w:b/>
          <w:sz w:val="21"/>
        </w:rPr>
      </w:pPr>
      <w:r>
        <w:rPr>
          <w:spacing w:val="-3"/>
          <w:sz w:val="21"/>
        </w:rPr>
        <w:t>一般规定</w:t>
      </w:r>
      <w:r>
        <w:rPr>
          <w:b/>
          <w:w w:val="99"/>
          <w:sz w:val="21"/>
        </w:rPr>
        <w:t> </w:t>
      </w:r>
    </w:p>
    <w:p>
      <w:pPr>
        <w:pStyle w:val="BodyText"/>
        <w:rPr>
          <w:b/>
          <w:sz w:val="18"/>
        </w:rPr>
      </w:pPr>
    </w:p>
    <w:p>
      <w:pPr>
        <w:pStyle w:val="ListParagraph"/>
        <w:numPr>
          <w:ilvl w:val="2"/>
          <w:numId w:val="302"/>
        </w:numPr>
        <w:tabs>
          <w:tab w:pos="1478" w:val="left" w:leader="none"/>
        </w:tabs>
        <w:spacing w:line="446" w:lineRule="auto" w:before="0" w:after="0"/>
        <w:ind w:left="418" w:right="1496" w:firstLine="422"/>
        <w:jc w:val="left"/>
        <w:rPr>
          <w:sz w:val="21"/>
        </w:rPr>
      </w:pPr>
      <w:r>
        <w:rPr>
          <w:spacing w:val="-3"/>
          <w:sz w:val="21"/>
        </w:rPr>
        <w:t>城市交通隧道</w:t>
      </w:r>
      <w:r>
        <w:rPr>
          <w:sz w:val="21"/>
        </w:rPr>
        <w:t>（</w:t>
      </w:r>
      <w:r>
        <w:rPr>
          <w:spacing w:val="-3"/>
          <w:sz w:val="21"/>
        </w:rPr>
        <w:t>以下简称隧道</w:t>
      </w:r>
      <w:r>
        <w:rPr>
          <w:sz w:val="21"/>
        </w:rPr>
        <w:t>）</w:t>
      </w:r>
      <w:r>
        <w:rPr>
          <w:spacing w:val="-3"/>
          <w:sz w:val="21"/>
        </w:rPr>
        <w:t>的防火设计应综合考虑隧道内的交通组成、隧道的用途、自然条件、长度等因素。</w:t>
      </w:r>
      <w:r>
        <w:rPr>
          <w:sz w:val="21"/>
        </w:rPr>
        <w:t> </w:t>
      </w:r>
    </w:p>
    <w:p>
      <w:pPr>
        <w:pStyle w:val="ListParagraph"/>
        <w:numPr>
          <w:ilvl w:val="2"/>
          <w:numId w:val="302"/>
        </w:numPr>
        <w:tabs>
          <w:tab w:pos="1478" w:val="left" w:leader="none"/>
        </w:tabs>
        <w:spacing w:line="240" w:lineRule="auto" w:before="0" w:after="0"/>
        <w:ind w:left="1477" w:right="0" w:hanging="638"/>
        <w:jc w:val="left"/>
        <w:rPr>
          <w:sz w:val="21"/>
        </w:rPr>
      </w:pPr>
      <w:r>
        <w:rPr>
          <w:spacing w:val="-3"/>
          <w:sz w:val="21"/>
        </w:rPr>
        <w:t>单孔和双孔隧道应按其封闭段长度和交通情况分为一、二、三、四类，并应符合表</w:t>
      </w:r>
    </w:p>
    <w:p>
      <w:pPr>
        <w:pStyle w:val="BodyText"/>
        <w:spacing w:before="4"/>
        <w:rPr>
          <w:sz w:val="12"/>
        </w:rPr>
      </w:pPr>
    </w:p>
    <w:p>
      <w:pPr>
        <w:pStyle w:val="ListParagraph"/>
        <w:numPr>
          <w:ilvl w:val="2"/>
          <w:numId w:val="303"/>
        </w:numPr>
        <w:tabs>
          <w:tab w:pos="1053" w:val="left" w:leader="none"/>
        </w:tabs>
        <w:spacing w:line="240" w:lineRule="auto" w:before="72" w:after="0"/>
        <w:ind w:left="1052" w:right="0" w:hanging="635"/>
        <w:jc w:val="left"/>
        <w:rPr>
          <w:sz w:val="19"/>
        </w:rPr>
      </w:pPr>
      <w:r>
        <w:rPr>
          <w:spacing w:val="-3"/>
          <w:sz w:val="21"/>
        </w:rPr>
        <w:t>的规定。</w:t>
      </w:r>
      <w:r>
        <w:rPr>
          <w:sz w:val="21"/>
        </w:rPr>
        <w:t> </w:t>
      </w:r>
    </w:p>
    <w:p>
      <w:pPr>
        <w:pStyle w:val="Heading6"/>
        <w:spacing w:before="132"/>
        <w:ind w:left="3601"/>
      </w:pPr>
      <w:r>
        <w:rPr/>
        <w:drawing>
          <wp:anchor distT="0" distB="0" distL="0" distR="0" allowOverlap="1" layoutInCell="1" locked="0" behindDoc="0" simplePos="0" relativeHeight="110">
            <wp:simplePos x="0" y="0"/>
            <wp:positionH relativeFrom="page">
              <wp:posOffset>1256030</wp:posOffset>
            </wp:positionH>
            <wp:positionV relativeFrom="paragraph">
              <wp:posOffset>282828</wp:posOffset>
            </wp:positionV>
            <wp:extent cx="5201285" cy="1571625"/>
            <wp:effectExtent l="0" t="0" r="0" b="0"/>
            <wp:wrapTopAndBottom/>
            <wp:docPr id="247" name="image152.jpeg"/>
            <wp:cNvGraphicFramePr>
              <a:graphicFrameLocks noChangeAspect="1"/>
            </wp:cNvGraphicFramePr>
            <a:graphic>
              <a:graphicData uri="http://schemas.openxmlformats.org/drawingml/2006/picture">
                <pic:pic>
                  <pic:nvPicPr>
                    <pic:cNvPr id="248" name="image152.jpeg"/>
                    <pic:cNvPicPr/>
                  </pic:nvPicPr>
                  <pic:blipFill>
                    <a:blip r:embed="rId166" cstate="print"/>
                    <a:stretch>
                      <a:fillRect/>
                    </a:stretch>
                  </pic:blipFill>
                  <pic:spPr>
                    <a:xfrm>
                      <a:off x="0" y="0"/>
                      <a:ext cx="5201285" cy="1571625"/>
                    </a:xfrm>
                    <a:prstGeom prst="rect">
                      <a:avLst/>
                    </a:prstGeom>
                  </pic:spPr>
                </pic:pic>
              </a:graphicData>
            </a:graphic>
          </wp:anchor>
        </w:drawing>
      </w:r>
      <w:r>
        <w:rPr/>
        <w:t>表 12.1.2 单孔和双孔隧道分类</w:t>
      </w:r>
      <w:r>
        <w:rPr>
          <w:w w:val="99"/>
        </w:rPr>
        <w:t> </w:t>
      </w:r>
    </w:p>
    <w:p>
      <w:pPr>
        <w:pStyle w:val="BodyText"/>
        <w:spacing w:before="2"/>
        <w:rPr>
          <w:b/>
          <w:sz w:val="7"/>
        </w:rPr>
      </w:pPr>
    </w:p>
    <w:p>
      <w:pPr>
        <w:pStyle w:val="ListParagraph"/>
        <w:numPr>
          <w:ilvl w:val="2"/>
          <w:numId w:val="303"/>
        </w:numPr>
        <w:tabs>
          <w:tab w:pos="1478" w:val="left" w:leader="none"/>
        </w:tabs>
        <w:spacing w:line="240" w:lineRule="auto" w:before="72" w:after="0"/>
        <w:ind w:left="1477" w:right="0" w:hanging="638"/>
        <w:jc w:val="left"/>
        <w:rPr>
          <w:sz w:val="19"/>
        </w:rPr>
      </w:pPr>
      <w:r>
        <w:rPr>
          <w:spacing w:val="-3"/>
          <w:sz w:val="21"/>
        </w:rPr>
        <w:t>隧道承重结构体的耐火极限应符合下列规定： </w:t>
      </w:r>
    </w:p>
    <w:p>
      <w:pPr>
        <w:pStyle w:val="BodyText"/>
        <w:rPr>
          <w:sz w:val="18"/>
        </w:rPr>
      </w:pPr>
    </w:p>
    <w:p>
      <w:pPr>
        <w:pStyle w:val="BodyText"/>
        <w:spacing w:line="446" w:lineRule="auto"/>
        <w:ind w:left="418" w:right="1349" w:firstLine="419"/>
      </w:pPr>
      <w:r>
        <w:rPr>
          <w:spacing w:val="-4"/>
        </w:rPr>
        <w:t>一、二类隧道和通行机动车的三类隧道，其承重结构体耐火极限的测定应符合本规范附录 </w:t>
      </w:r>
      <w:r>
        <w:rPr>
          <w:spacing w:val="-3"/>
        </w:rPr>
        <w:t>C </w:t>
      </w:r>
      <w:r>
        <w:rPr>
          <w:spacing w:val="-5"/>
        </w:rPr>
        <w:t>的规定；对于一、二类隧道，火灾升温曲线应采用本规范附录 </w:t>
      </w:r>
      <w:r>
        <w:rPr/>
        <w:t>C</w:t>
      </w:r>
      <w:r>
        <w:rPr>
          <w:spacing w:val="-12"/>
        </w:rPr>
        <w:t> 第 </w:t>
      </w:r>
      <w:r>
        <w:rPr/>
        <w:t>C.0.1</w:t>
      </w:r>
      <w:r>
        <w:rPr>
          <w:spacing w:val="-7"/>
        </w:rPr>
        <w:t> 条规定的 </w:t>
      </w:r>
      <w:r>
        <w:rPr/>
        <w:t>RABT</w:t>
      </w:r>
      <w:r>
        <w:rPr>
          <w:spacing w:val="1"/>
        </w:rPr>
        <w:t> 标准</w:t>
      </w:r>
      <w:r>
        <w:rPr>
          <w:spacing w:val="-4"/>
        </w:rPr>
        <w:t>升温曲线，耐火极限分别不应低于 </w:t>
      </w:r>
      <w:r>
        <w:rPr/>
        <w:t>2.00h</w:t>
      </w:r>
      <w:r>
        <w:rPr>
          <w:spacing w:val="6"/>
        </w:rPr>
        <w:t> 和 </w:t>
      </w:r>
      <w:r>
        <w:rPr/>
        <w:t>1.50h</w:t>
      </w:r>
      <w:r>
        <w:rPr>
          <w:spacing w:val="-3"/>
        </w:rPr>
        <w:t>；对于通行机动车的三类隧道，火灾升温曲</w:t>
      </w:r>
      <w:r>
        <w:rPr>
          <w:spacing w:val="-8"/>
        </w:rPr>
        <w:t>线应采用本规范附录 </w:t>
      </w:r>
      <w:r>
        <w:rPr/>
        <w:t>C</w:t>
      </w:r>
      <w:r>
        <w:rPr>
          <w:spacing w:val="-18"/>
        </w:rPr>
        <w:t> 第 </w:t>
      </w:r>
      <w:r>
        <w:rPr/>
        <w:t>C.0.1</w:t>
      </w:r>
      <w:r>
        <w:rPr>
          <w:spacing w:val="-11"/>
        </w:rPr>
        <w:t> 条规定的 </w:t>
      </w:r>
      <w:r>
        <w:rPr/>
        <w:t>HC</w:t>
      </w:r>
      <w:r>
        <w:rPr>
          <w:spacing w:val="-6"/>
        </w:rPr>
        <w:t> 标准升温曲线，耐火极限不应低于 </w:t>
      </w:r>
      <w:r>
        <w:rPr/>
        <w:t>2.00h； </w:t>
      </w:r>
    </w:p>
    <w:p>
      <w:pPr>
        <w:pStyle w:val="BodyText"/>
        <w:spacing w:line="446" w:lineRule="auto"/>
        <w:ind w:left="418" w:right="1397" w:firstLine="419"/>
      </w:pPr>
      <w:r>
        <w:rPr>
          <w:spacing w:val="-2"/>
        </w:rPr>
        <w:t>其他类别隧道承重结构体耐火极限的测定应符合现行国家标准《建筑构件耐火试验方法 第1 部分：通用要求》</w:t>
      </w:r>
      <w:r>
        <w:rPr/>
        <w:t>GB/T9978.1</w:t>
      </w:r>
      <w:r>
        <w:rPr>
          <w:spacing w:val="-6"/>
        </w:rPr>
        <w:t> 的规定；对于三类隧道，耐火极限不应低于 </w:t>
      </w:r>
      <w:r>
        <w:rPr/>
        <w:t>2.00h</w:t>
      </w:r>
      <w:r>
        <w:rPr>
          <w:spacing w:val="-3"/>
        </w:rPr>
        <w:t>；对于四类隧道，耐火极限不限。</w:t>
      </w:r>
      <w:r>
        <w:rPr/>
        <w:t> </w:t>
      </w:r>
    </w:p>
    <w:p>
      <w:pPr>
        <w:pStyle w:val="ListParagraph"/>
        <w:numPr>
          <w:ilvl w:val="2"/>
          <w:numId w:val="303"/>
        </w:numPr>
        <w:tabs>
          <w:tab w:pos="1478" w:val="left" w:leader="none"/>
        </w:tabs>
        <w:spacing w:line="446" w:lineRule="auto" w:before="0" w:after="0"/>
        <w:ind w:left="418" w:right="1496" w:firstLine="422"/>
        <w:jc w:val="left"/>
        <w:rPr>
          <w:sz w:val="19"/>
        </w:rPr>
      </w:pPr>
      <w:r>
        <w:rPr>
          <w:spacing w:val="-3"/>
          <w:sz w:val="21"/>
        </w:rPr>
        <w:t>隧道内的地下设备用房、风井和消防救援出入口的耐火等级应为一级，地面的重要设备用房、运营管理中心及其他地面附属用房的耐火等级不应低于二级。</w:t>
      </w:r>
      <w:r>
        <w:rPr>
          <w:sz w:val="21"/>
        </w:rPr>
        <w:t> </w:t>
      </w:r>
    </w:p>
    <w:p>
      <w:pPr>
        <w:spacing w:after="0" w:line="446" w:lineRule="auto"/>
        <w:jc w:val="left"/>
        <w:rPr>
          <w:sz w:val="19"/>
        </w:rPr>
        <w:sectPr>
          <w:pgSz w:w="11910" w:h="16850"/>
          <w:pgMar w:header="0" w:footer="1239" w:top="1220" w:bottom="1420" w:left="1260" w:right="0"/>
        </w:sectPr>
      </w:pPr>
    </w:p>
    <w:p>
      <w:pPr>
        <w:pStyle w:val="ListParagraph"/>
        <w:numPr>
          <w:ilvl w:val="2"/>
          <w:numId w:val="303"/>
        </w:numPr>
        <w:tabs>
          <w:tab w:pos="1478" w:val="left" w:leader="none"/>
        </w:tabs>
        <w:spacing w:line="240" w:lineRule="auto" w:before="47" w:after="0"/>
        <w:ind w:left="1477" w:right="0" w:hanging="638"/>
        <w:jc w:val="left"/>
        <w:rPr>
          <w:sz w:val="19"/>
        </w:rPr>
      </w:pPr>
      <w:r>
        <w:rPr>
          <w:spacing w:val="-3"/>
          <w:sz w:val="21"/>
        </w:rPr>
        <w:t>除嵌缝材料外，隧道的内部装修应采用不燃材料。</w:t>
      </w:r>
      <w:r>
        <w:rPr>
          <w:sz w:val="21"/>
        </w:rPr>
        <w:t> </w:t>
      </w:r>
    </w:p>
    <w:p>
      <w:pPr>
        <w:pStyle w:val="BodyText"/>
        <w:rPr>
          <w:sz w:val="18"/>
        </w:rPr>
      </w:pPr>
    </w:p>
    <w:p>
      <w:pPr>
        <w:pStyle w:val="ListParagraph"/>
        <w:numPr>
          <w:ilvl w:val="2"/>
          <w:numId w:val="303"/>
        </w:numPr>
        <w:tabs>
          <w:tab w:pos="1478" w:val="left" w:leader="none"/>
        </w:tabs>
        <w:spacing w:line="240" w:lineRule="auto" w:before="0" w:after="0"/>
        <w:ind w:left="1477" w:right="0" w:hanging="638"/>
        <w:jc w:val="left"/>
        <w:rPr>
          <w:sz w:val="19"/>
        </w:rPr>
      </w:pPr>
      <w:r>
        <w:rPr>
          <w:spacing w:val="-3"/>
          <w:sz w:val="21"/>
        </w:rPr>
        <w:t>通行机动车的双孔隧道，其车行横通道或车行疏散通道的设置应符合下列规定：</w:t>
      </w:r>
      <w:r>
        <w:rPr>
          <w:sz w:val="21"/>
        </w:rPr>
        <w:t> </w:t>
      </w:r>
    </w:p>
    <w:p>
      <w:pPr>
        <w:pStyle w:val="BodyText"/>
        <w:rPr>
          <w:sz w:val="18"/>
        </w:rPr>
      </w:pPr>
    </w:p>
    <w:p>
      <w:pPr>
        <w:pStyle w:val="BodyText"/>
        <w:spacing w:line="446" w:lineRule="auto"/>
        <w:ind w:left="418" w:right="1609" w:firstLine="419"/>
      </w:pPr>
      <w:r>
        <w:rPr/>
        <w:t>水底隧道宜设置车行横通道或车行疏散通道。车行横通道的间隔和隧道通向车行疏散通道入口的间隔宜为 1000m～1500m； </w:t>
      </w:r>
    </w:p>
    <w:p>
      <w:pPr>
        <w:pStyle w:val="BodyText"/>
        <w:spacing w:line="446" w:lineRule="auto"/>
        <w:ind w:left="418" w:right="1609" w:firstLine="419"/>
      </w:pPr>
      <w:r>
        <w:rPr/>
        <w:t>非水底隧道应设置车行横通道或车行疏散通道。车行横通道的间隔和隧道通向车行疏散通道入口的间隔不宜大于 1000m； </w:t>
      </w:r>
    </w:p>
    <w:p>
      <w:pPr>
        <w:pStyle w:val="BodyText"/>
        <w:spacing w:line="446" w:lineRule="auto"/>
        <w:ind w:left="418" w:right="1609" w:firstLine="419"/>
      </w:pPr>
      <w:r>
        <w:rPr/>
        <w:t>车行横通道应沿垂直隧道长度方向布置，并应通向相邻隧道；车行疏散通道应沿隧道长度方向布置在双孔中间，并应直通隧道外； </w:t>
      </w:r>
    </w:p>
    <w:p>
      <w:pPr>
        <w:pStyle w:val="BodyText"/>
        <w:spacing w:line="446" w:lineRule="auto"/>
        <w:ind w:left="838" w:right="2664"/>
      </w:pPr>
      <w:r>
        <w:rPr>
          <w:spacing w:val="-6"/>
        </w:rPr>
        <w:t>车行横通道和车行疏散通道的净宽度不应小于 </w:t>
      </w:r>
      <w:r>
        <w:rPr/>
        <w:t>4.0m</w:t>
      </w:r>
      <w:r>
        <w:rPr>
          <w:spacing w:val="-8"/>
        </w:rPr>
        <w:t>，净高度不应小于 </w:t>
      </w:r>
      <w:r>
        <w:rPr/>
        <w:t>4.5m； </w:t>
      </w:r>
      <w:r>
        <w:rPr>
          <w:spacing w:val="-3"/>
        </w:rPr>
        <w:t>隧道与车行横通道或车行疏散通道的连通处，应采取防火分隔措施。   </w:t>
      </w:r>
      <w:r>
        <w:rPr>
          <w:b/>
        </w:rPr>
        <w:t>12.1.7</w:t>
      </w:r>
      <w:r>
        <w:rPr>
          <w:b/>
          <w:spacing w:val="20"/>
        </w:rPr>
        <w:t>  </w:t>
      </w:r>
      <w:r>
        <w:rPr>
          <w:spacing w:val="-3"/>
        </w:rPr>
        <w:t>双孔隧道应设置人行横通道或人行疏散通道，并应符合下列规定： </w:t>
      </w:r>
      <w:r>
        <w:rPr>
          <w:spacing w:val="-5"/>
        </w:rPr>
        <w:t>人行横通道的间隔和隧道通向人行疏散通道入口的间隔，宜为 </w:t>
      </w:r>
      <w:r>
        <w:rPr/>
        <w:t>250m～300m； </w:t>
      </w:r>
    </w:p>
    <w:p>
      <w:pPr>
        <w:pStyle w:val="BodyText"/>
        <w:spacing w:line="446" w:lineRule="auto"/>
        <w:ind w:left="418" w:right="1609" w:firstLine="419"/>
      </w:pPr>
      <w:r>
        <w:rPr/>
        <w:t>人行疏散横通道应沿垂直双孔隧道长度方向布置，并应通向相邻隧道。人行疏散通道应沿隧道长度方向布置在双孔中间，并应直通隧道外； </w:t>
      </w:r>
    </w:p>
    <w:p>
      <w:pPr>
        <w:pStyle w:val="BodyText"/>
        <w:spacing w:line="267" w:lineRule="exact"/>
        <w:ind w:left="838"/>
      </w:pPr>
      <w:r>
        <w:rPr/>
        <w:t>人行横通道可利用车行横通道； </w:t>
      </w:r>
    </w:p>
    <w:p>
      <w:pPr>
        <w:pStyle w:val="BodyText"/>
        <w:spacing w:before="12"/>
        <w:rPr>
          <w:sz w:val="17"/>
        </w:rPr>
      </w:pPr>
    </w:p>
    <w:p>
      <w:pPr>
        <w:pStyle w:val="BodyText"/>
        <w:ind w:left="838"/>
      </w:pPr>
      <w:r>
        <w:rPr/>
        <w:t>人行横通道或人行疏散通道的净宽度不应小于 1.2m，净高度不应小于 2.1m； </w:t>
      </w:r>
    </w:p>
    <w:p>
      <w:pPr>
        <w:pStyle w:val="BodyText"/>
        <w:spacing w:before="12"/>
        <w:rPr>
          <w:sz w:val="17"/>
        </w:rPr>
      </w:pPr>
    </w:p>
    <w:p>
      <w:pPr>
        <w:pStyle w:val="BodyText"/>
        <w:spacing w:line="446" w:lineRule="auto"/>
        <w:ind w:left="418" w:right="1817" w:firstLine="419"/>
      </w:pPr>
      <w:r>
        <w:rPr/>
        <w:t>隧道与人行横通道或人行疏散通道的连通处，应采取防火分隔措施，门应采用乙级防火门。 </w:t>
      </w:r>
    </w:p>
    <w:p>
      <w:pPr>
        <w:pStyle w:val="ListParagraph"/>
        <w:numPr>
          <w:ilvl w:val="2"/>
          <w:numId w:val="304"/>
        </w:numPr>
        <w:tabs>
          <w:tab w:pos="1478" w:val="left" w:leader="none"/>
        </w:tabs>
        <w:spacing w:line="240" w:lineRule="auto" w:before="0" w:after="0"/>
        <w:ind w:left="1477" w:right="0" w:hanging="638"/>
        <w:jc w:val="left"/>
        <w:rPr>
          <w:sz w:val="21"/>
        </w:rPr>
      </w:pPr>
      <w:r>
        <w:rPr>
          <w:spacing w:val="-3"/>
          <w:sz w:val="21"/>
        </w:rPr>
        <w:t>单孔隧道宜设置直通室外的人员疏散出口或独立避难所等避难设施。 </w:t>
      </w:r>
    </w:p>
    <w:p>
      <w:pPr>
        <w:pStyle w:val="BodyText"/>
        <w:rPr>
          <w:sz w:val="18"/>
        </w:rPr>
      </w:pPr>
    </w:p>
    <w:p>
      <w:pPr>
        <w:pStyle w:val="ListParagraph"/>
        <w:numPr>
          <w:ilvl w:val="2"/>
          <w:numId w:val="304"/>
        </w:numPr>
        <w:tabs>
          <w:tab w:pos="1478" w:val="left" w:leader="none"/>
        </w:tabs>
        <w:spacing w:line="446" w:lineRule="auto" w:before="0" w:after="0"/>
        <w:ind w:left="418" w:right="1498" w:firstLine="422"/>
        <w:jc w:val="left"/>
        <w:rPr>
          <w:sz w:val="21"/>
        </w:rPr>
      </w:pPr>
      <w:r>
        <w:rPr>
          <w:spacing w:val="-3"/>
          <w:sz w:val="21"/>
        </w:rPr>
        <w:t>隧道内的变电站、管廊、专用疏散通道、通风机房及其他辅助用房等，应采取耐火</w:t>
      </w:r>
      <w:r>
        <w:rPr>
          <w:spacing w:val="-12"/>
          <w:sz w:val="21"/>
        </w:rPr>
        <w:t>极限不低于 </w:t>
      </w:r>
      <w:r>
        <w:rPr>
          <w:sz w:val="21"/>
        </w:rPr>
        <w:t>2.00h</w:t>
      </w:r>
      <w:r>
        <w:rPr>
          <w:spacing w:val="-3"/>
          <w:sz w:val="21"/>
        </w:rPr>
        <w:t> 的防火隔墙和乙级防火门等分隔措施与车行隧道分隔。</w:t>
      </w:r>
      <w:r>
        <w:rPr>
          <w:sz w:val="21"/>
        </w:rPr>
        <w:t> </w:t>
      </w:r>
    </w:p>
    <w:p>
      <w:pPr>
        <w:pStyle w:val="ListParagraph"/>
        <w:numPr>
          <w:ilvl w:val="2"/>
          <w:numId w:val="304"/>
        </w:numPr>
        <w:tabs>
          <w:tab w:pos="1583" w:val="left" w:leader="none"/>
        </w:tabs>
        <w:spacing w:line="240" w:lineRule="auto" w:before="0" w:after="0"/>
        <w:ind w:left="1582" w:right="0" w:hanging="743"/>
        <w:jc w:val="left"/>
        <w:rPr>
          <w:sz w:val="21"/>
        </w:rPr>
      </w:pPr>
      <w:r>
        <w:rPr>
          <w:spacing w:val="-3"/>
          <w:sz w:val="21"/>
        </w:rPr>
        <w:t>隧道内地下设备用房的每个防火分区的最大允许建筑面积不应大于 </w:t>
      </w:r>
    </w:p>
    <w:p>
      <w:pPr>
        <w:pStyle w:val="BodyText"/>
        <w:spacing w:before="2"/>
        <w:rPr>
          <w:sz w:val="17"/>
        </w:rPr>
      </w:pPr>
    </w:p>
    <w:p>
      <w:pPr>
        <w:pStyle w:val="BodyText"/>
        <w:spacing w:line="441" w:lineRule="auto" w:before="1"/>
        <w:ind w:left="418" w:right="1553" w:firstLine="419"/>
        <w:jc w:val="both"/>
      </w:pPr>
      <w:r>
        <w:rPr/>
        <w:t>1500m</w:t>
      </w:r>
      <w:r>
        <w:rPr>
          <w:position w:val="11"/>
          <w:sz w:val="11"/>
        </w:rPr>
        <w:t>2</w:t>
      </w:r>
      <w:r>
        <w:rPr>
          <w:spacing w:val="-6"/>
        </w:rPr>
        <w:t>，每个防火分区的安全出口数量不应少于 </w:t>
      </w:r>
      <w:r>
        <w:rPr>
          <w:spacing w:val="-3"/>
        </w:rPr>
        <w:t>2 个，与车道或其他防火分区相通的出口</w:t>
      </w:r>
      <w:r>
        <w:rPr>
          <w:spacing w:val="-6"/>
        </w:rPr>
        <w:t>可作为第二安全出口，但必须至少设置 </w:t>
      </w:r>
      <w:r>
        <w:rPr>
          <w:spacing w:val="-3"/>
        </w:rPr>
        <w:t>1</w:t>
      </w:r>
      <w:r>
        <w:rPr>
          <w:spacing w:val="-6"/>
        </w:rPr>
        <w:t> 个直通室外的安全出口；建筑面积不大于 </w:t>
      </w:r>
      <w:r>
        <w:rPr/>
        <w:t>500m</w:t>
      </w:r>
      <w:r>
        <w:rPr>
          <w:position w:val="11"/>
          <w:sz w:val="11"/>
        </w:rPr>
        <w:t>2 </w:t>
      </w:r>
      <w:r>
        <w:rPr>
          <w:spacing w:val="-3"/>
        </w:rPr>
        <w:t>且无</w:t>
      </w:r>
      <w:r>
        <w:rPr>
          <w:spacing w:val="-8"/>
        </w:rPr>
        <w:t>人值守的设备用房可设置 </w:t>
      </w:r>
      <w:r>
        <w:rPr/>
        <w:t>1</w:t>
      </w:r>
      <w:r>
        <w:rPr>
          <w:spacing w:val="-3"/>
        </w:rPr>
        <w:t> 个直通室外的安全出口。 </w:t>
      </w:r>
    </w:p>
    <w:p>
      <w:pPr>
        <w:pStyle w:val="ListParagraph"/>
        <w:numPr>
          <w:ilvl w:val="1"/>
          <w:numId w:val="302"/>
        </w:numPr>
        <w:tabs>
          <w:tab w:pos="1266" w:val="left" w:leader="none"/>
        </w:tabs>
        <w:spacing w:line="240" w:lineRule="auto" w:before="5" w:after="0"/>
        <w:ind w:left="1265" w:right="0" w:hanging="426"/>
        <w:jc w:val="left"/>
        <w:rPr>
          <w:b/>
          <w:sz w:val="21"/>
        </w:rPr>
      </w:pPr>
      <w:r>
        <w:rPr>
          <w:spacing w:val="-3"/>
          <w:sz w:val="21"/>
        </w:rPr>
        <w:t>消防给水和灭火设施</w:t>
      </w:r>
      <w:r>
        <w:rPr>
          <w:b/>
          <w:w w:val="99"/>
          <w:sz w:val="21"/>
        </w:rPr>
        <w:t> </w:t>
      </w:r>
    </w:p>
    <w:p>
      <w:pPr>
        <w:pStyle w:val="BodyText"/>
        <w:spacing w:before="12"/>
        <w:rPr>
          <w:b/>
          <w:sz w:val="17"/>
        </w:rPr>
      </w:pPr>
    </w:p>
    <w:p>
      <w:pPr>
        <w:pStyle w:val="ListParagraph"/>
        <w:numPr>
          <w:ilvl w:val="2"/>
          <w:numId w:val="302"/>
        </w:numPr>
        <w:tabs>
          <w:tab w:pos="1478" w:val="left" w:leader="none"/>
        </w:tabs>
        <w:spacing w:line="446" w:lineRule="auto" w:before="0" w:after="0"/>
        <w:ind w:left="418" w:right="1496" w:firstLine="422"/>
        <w:jc w:val="left"/>
        <w:rPr>
          <w:sz w:val="21"/>
        </w:rPr>
      </w:pPr>
      <w:r>
        <w:rPr>
          <w:spacing w:val="-3"/>
          <w:sz w:val="21"/>
        </w:rPr>
        <w:t>在进行城市交通的规划和设计时，应同时设计消防给水系统。四类隧道和行人或通行非机动车辆的三类隧道，可不设置消防给水系统。 </w:t>
      </w:r>
    </w:p>
    <w:p>
      <w:pPr>
        <w:spacing w:after="0" w:line="446" w:lineRule="auto"/>
        <w:jc w:val="left"/>
        <w:rPr>
          <w:sz w:val="21"/>
        </w:rPr>
        <w:sectPr>
          <w:pgSz w:w="11910" w:h="16850"/>
          <w:pgMar w:header="0" w:footer="1239" w:top="1220" w:bottom="1420" w:left="1260" w:right="0"/>
        </w:sectPr>
      </w:pPr>
    </w:p>
    <w:p>
      <w:pPr>
        <w:pStyle w:val="ListParagraph"/>
        <w:numPr>
          <w:ilvl w:val="2"/>
          <w:numId w:val="302"/>
        </w:numPr>
        <w:tabs>
          <w:tab w:pos="1478" w:val="left" w:leader="none"/>
        </w:tabs>
        <w:spacing w:line="240" w:lineRule="auto" w:before="47" w:after="0"/>
        <w:ind w:left="1477" w:right="0" w:hanging="638"/>
        <w:jc w:val="left"/>
        <w:rPr>
          <w:sz w:val="21"/>
        </w:rPr>
      </w:pPr>
      <w:r>
        <w:rPr>
          <w:spacing w:val="-3"/>
          <w:sz w:val="21"/>
        </w:rPr>
        <w:t>消防给水系统的设置应符合下列规定：</w:t>
      </w:r>
      <w:r>
        <w:rPr>
          <w:sz w:val="21"/>
        </w:rPr>
        <w:t> </w:t>
      </w:r>
    </w:p>
    <w:p>
      <w:pPr>
        <w:pStyle w:val="BodyText"/>
        <w:rPr>
          <w:sz w:val="18"/>
        </w:rPr>
      </w:pPr>
    </w:p>
    <w:p>
      <w:pPr>
        <w:pStyle w:val="BodyText"/>
        <w:ind w:left="838"/>
      </w:pPr>
      <w:r>
        <w:rPr/>
        <w:t>消防水源和供水管网应符合国家现行有关标准的规定； </w:t>
      </w:r>
    </w:p>
    <w:p>
      <w:pPr>
        <w:pStyle w:val="BodyText"/>
        <w:rPr>
          <w:sz w:val="18"/>
        </w:rPr>
      </w:pPr>
    </w:p>
    <w:p>
      <w:pPr>
        <w:pStyle w:val="BodyText"/>
        <w:spacing w:line="446" w:lineRule="auto"/>
        <w:ind w:left="418" w:right="1609" w:firstLine="419"/>
      </w:pPr>
      <w:r>
        <w:rPr/>
        <w:t>消防用水量应按隧道的火灾延续时间和隧道全线同一时间发生一次火灾计算确定。一、二类隧道的火灾延续时间不应小于 3.0h；三类隧道，不应小于 2.0h； </w:t>
      </w:r>
    </w:p>
    <w:p>
      <w:pPr>
        <w:pStyle w:val="BodyText"/>
        <w:ind w:left="838"/>
      </w:pPr>
      <w:r>
        <w:rPr/>
        <w:t>隧道内的消防用水量应按需要同时开启所有灭火设施的用水量之和计算； </w:t>
      </w:r>
    </w:p>
    <w:p>
      <w:pPr>
        <w:pStyle w:val="BodyText"/>
        <w:rPr>
          <w:sz w:val="20"/>
        </w:rPr>
      </w:pPr>
    </w:p>
    <w:p>
      <w:pPr>
        <w:pStyle w:val="BodyText"/>
        <w:rPr>
          <w:sz w:val="20"/>
        </w:rPr>
      </w:pPr>
    </w:p>
    <w:p>
      <w:pPr>
        <w:pStyle w:val="BodyText"/>
        <w:spacing w:before="1"/>
        <w:rPr>
          <w:sz w:val="17"/>
        </w:rPr>
      </w:pPr>
    </w:p>
    <w:p>
      <w:pPr>
        <w:pStyle w:val="BodyText"/>
        <w:spacing w:line="446" w:lineRule="auto"/>
        <w:ind w:left="418" w:right="1505" w:firstLine="419"/>
      </w:pPr>
      <w:r>
        <w:rPr>
          <w:w w:val="100"/>
        </w:rPr>
        <w:t> </w:t>
      </w:r>
      <w:r>
        <w:rPr>
          <w:spacing w:val="-3"/>
        </w:rPr>
        <w:t>隧道内宜设置独立的消防给水系统。严寒和寒冷地区的消防给水管道及室外消火栓应采取防冻措施；当采用干式给水系统时，应在管网的最高部位设置自动排气阀，管道的充水时间不</w:t>
      </w:r>
      <w:r>
        <w:rPr>
          <w:spacing w:val="-15"/>
        </w:rPr>
        <w:t>宜大于 </w:t>
      </w:r>
      <w:r>
        <w:rPr/>
        <w:t>90s； </w:t>
      </w:r>
    </w:p>
    <w:p>
      <w:pPr>
        <w:pStyle w:val="BodyText"/>
        <w:spacing w:line="446" w:lineRule="auto"/>
        <w:ind w:left="418" w:right="1505" w:firstLine="419"/>
      </w:pPr>
      <w:r>
        <w:rPr>
          <w:spacing w:val="-6"/>
        </w:rPr>
        <w:t>隧道内的消火栓用水量不应小于 </w:t>
      </w:r>
      <w:r>
        <w:rPr/>
        <w:t>20L/s</w:t>
      </w:r>
      <w:r>
        <w:rPr>
          <w:spacing w:val="-6"/>
        </w:rPr>
        <w:t>，隧道外的消火栓用水量不应小于 </w:t>
      </w:r>
      <w:r>
        <w:rPr/>
        <w:t>30L/s</w:t>
      </w:r>
      <w:r>
        <w:rPr>
          <w:spacing w:val="-3"/>
        </w:rPr>
        <w:t>。对于长度</w:t>
      </w:r>
      <w:r>
        <w:rPr>
          <w:spacing w:val="-20"/>
        </w:rPr>
        <w:t>小于 </w:t>
      </w:r>
      <w:r>
        <w:rPr/>
        <w:t>1000m</w:t>
      </w:r>
      <w:r>
        <w:rPr>
          <w:spacing w:val="-6"/>
        </w:rPr>
        <w:t> 的三类隧道，隧道内、外的消火栓用水量可分别为 </w:t>
      </w:r>
      <w:r>
        <w:rPr/>
        <w:t>10L/s</w:t>
      </w:r>
      <w:r>
        <w:rPr>
          <w:spacing w:val="-36"/>
        </w:rPr>
        <w:t> 和 </w:t>
      </w:r>
      <w:r>
        <w:rPr/>
        <w:t>20L/s； </w:t>
      </w:r>
    </w:p>
    <w:p>
      <w:pPr>
        <w:pStyle w:val="BodyText"/>
        <w:spacing w:line="267" w:lineRule="exact"/>
        <w:ind w:left="838"/>
      </w:pPr>
      <w:r>
        <w:rPr/>
        <w:t>管道内的消防供水压力应保证用水量达到最大时，最不利点处的水枪充实水柱不小于</w:t>
      </w:r>
    </w:p>
    <w:p>
      <w:pPr>
        <w:pStyle w:val="BodyText"/>
        <w:spacing w:before="1"/>
        <w:rPr>
          <w:sz w:val="18"/>
        </w:rPr>
      </w:pPr>
    </w:p>
    <w:p>
      <w:pPr>
        <w:pStyle w:val="BodyText"/>
        <w:ind w:left="418"/>
      </w:pPr>
      <w:r>
        <w:rPr/>
        <w:t>10.0m。消火栓栓口处的出水压力大于 0.5MPa 时，应设置减压设施； </w:t>
      </w:r>
    </w:p>
    <w:p>
      <w:pPr>
        <w:pStyle w:val="BodyText"/>
        <w:rPr>
          <w:sz w:val="18"/>
        </w:rPr>
      </w:pPr>
    </w:p>
    <w:p>
      <w:pPr>
        <w:pStyle w:val="BodyText"/>
        <w:ind w:left="838"/>
      </w:pPr>
      <w:r>
        <w:rPr/>
        <w:t>在隧道出入口处应设置消防水泵接合器和室外消火栓； </w:t>
      </w:r>
    </w:p>
    <w:p>
      <w:pPr>
        <w:pStyle w:val="BodyText"/>
        <w:spacing w:before="12"/>
        <w:rPr>
          <w:sz w:val="17"/>
        </w:rPr>
      </w:pPr>
    </w:p>
    <w:p>
      <w:pPr>
        <w:pStyle w:val="BodyText"/>
        <w:ind w:left="838"/>
      </w:pPr>
      <w:r>
        <w:rPr>
          <w:spacing w:val="-6"/>
        </w:rPr>
        <w:t>隧道内消火栓的间距不应大于 </w:t>
      </w:r>
      <w:r>
        <w:rPr/>
        <w:t>50m</w:t>
      </w:r>
      <w:r>
        <w:rPr>
          <w:spacing w:val="-6"/>
        </w:rPr>
        <w:t>，消火栓的栓口距地面高度宜为 </w:t>
      </w:r>
      <w:r>
        <w:rPr/>
        <w:t>1.1m； </w:t>
      </w:r>
    </w:p>
    <w:p>
      <w:pPr>
        <w:pStyle w:val="BodyText"/>
        <w:spacing w:before="2"/>
        <w:rPr>
          <w:sz w:val="18"/>
        </w:rPr>
      </w:pPr>
    </w:p>
    <w:p>
      <w:pPr>
        <w:pStyle w:val="BodyText"/>
        <w:ind w:left="838"/>
      </w:pPr>
      <w:r>
        <w:rPr>
          <w:spacing w:val="-3"/>
        </w:rPr>
        <w:t>设置消防水泵供水设施的隧道，应在消火栓箱内设置消防水泵启动按钮；</w:t>
      </w:r>
      <w:r>
        <w:rPr/>
        <w:t> </w:t>
      </w:r>
    </w:p>
    <w:p>
      <w:pPr>
        <w:pStyle w:val="BodyText"/>
        <w:rPr>
          <w:sz w:val="18"/>
        </w:rPr>
      </w:pPr>
    </w:p>
    <w:p>
      <w:pPr>
        <w:pStyle w:val="BodyText"/>
        <w:ind w:left="838"/>
      </w:pPr>
      <w:r>
        <w:rPr/>
        <w:t>应在隧道单侧设置室内消火栓箱，消火栓箱内应配置 1 支喷嘴口径 19mm 的水枪、1 盘长</w:t>
      </w:r>
    </w:p>
    <w:p>
      <w:pPr>
        <w:pStyle w:val="BodyText"/>
        <w:spacing w:before="12"/>
        <w:rPr>
          <w:sz w:val="17"/>
        </w:rPr>
      </w:pPr>
    </w:p>
    <w:p>
      <w:pPr>
        <w:pStyle w:val="BodyText"/>
        <w:ind w:left="418"/>
      </w:pPr>
      <w:r>
        <w:rPr/>
        <w:t>25m、直径 65mm 的水带，并宜配置消防软管卷盘。 </w:t>
      </w:r>
    </w:p>
    <w:p>
      <w:pPr>
        <w:pStyle w:val="BodyText"/>
        <w:spacing w:before="2"/>
        <w:rPr>
          <w:sz w:val="18"/>
        </w:rPr>
      </w:pPr>
    </w:p>
    <w:p>
      <w:pPr>
        <w:pStyle w:val="ListParagraph"/>
        <w:numPr>
          <w:ilvl w:val="2"/>
          <w:numId w:val="302"/>
        </w:numPr>
        <w:tabs>
          <w:tab w:pos="1478" w:val="left" w:leader="none"/>
        </w:tabs>
        <w:spacing w:line="446" w:lineRule="auto" w:before="0" w:after="0"/>
        <w:ind w:left="418" w:right="1496" w:firstLine="422"/>
        <w:jc w:val="left"/>
        <w:rPr>
          <w:sz w:val="21"/>
        </w:rPr>
      </w:pPr>
      <w:r>
        <w:rPr>
          <w:spacing w:val="-3"/>
          <w:sz w:val="21"/>
        </w:rPr>
        <w:t>隧道内应设置排水设施。排水设施应考虑排除渗水、雨水、隧道清洗等水量和灭火时的消防用水量，并应采取防止事故时可燃液体或有害液体沿隧道漫流的措施。</w:t>
      </w:r>
      <w:r>
        <w:rPr>
          <w:sz w:val="21"/>
        </w:rPr>
        <w:t> </w:t>
      </w:r>
    </w:p>
    <w:p>
      <w:pPr>
        <w:pStyle w:val="ListParagraph"/>
        <w:numPr>
          <w:ilvl w:val="2"/>
          <w:numId w:val="302"/>
        </w:numPr>
        <w:tabs>
          <w:tab w:pos="1478" w:val="left" w:leader="none"/>
        </w:tabs>
        <w:spacing w:line="267" w:lineRule="exact" w:before="0" w:after="0"/>
        <w:ind w:left="1477" w:right="0" w:hanging="638"/>
        <w:jc w:val="left"/>
        <w:rPr>
          <w:sz w:val="21"/>
        </w:rPr>
      </w:pPr>
      <w:r>
        <w:rPr>
          <w:spacing w:val="-10"/>
          <w:sz w:val="21"/>
        </w:rPr>
        <w:t>隧道内应设置 </w:t>
      </w:r>
      <w:r>
        <w:rPr>
          <w:sz w:val="21"/>
        </w:rPr>
        <w:t>ABC</w:t>
      </w:r>
      <w:r>
        <w:rPr>
          <w:spacing w:val="-3"/>
          <w:sz w:val="21"/>
        </w:rPr>
        <w:t> 类灭火器，并应符合下列规定：</w:t>
      </w:r>
      <w:r>
        <w:rPr>
          <w:sz w:val="21"/>
        </w:rPr>
        <w:t> </w:t>
      </w:r>
    </w:p>
    <w:p>
      <w:pPr>
        <w:pStyle w:val="BodyText"/>
        <w:spacing w:before="2"/>
        <w:rPr>
          <w:sz w:val="18"/>
        </w:rPr>
      </w:pPr>
    </w:p>
    <w:p>
      <w:pPr>
        <w:pStyle w:val="BodyText"/>
        <w:spacing w:line="446" w:lineRule="auto"/>
        <w:ind w:left="418" w:right="1498" w:firstLine="419"/>
      </w:pPr>
      <w:r>
        <w:rPr/>
        <w:t>通行机动车的一、二隧道和通行机动车并设置 3 条及以上车道的三类隧道，在隧道两侧均应设置灭火器；每个设置点不应少于 4 具； </w:t>
      </w:r>
    </w:p>
    <w:p>
      <w:pPr>
        <w:pStyle w:val="BodyText"/>
        <w:spacing w:line="267" w:lineRule="exact"/>
        <w:ind w:left="838"/>
      </w:pPr>
      <w:r>
        <w:rPr/>
        <w:t>其他隧道，可在隧道一侧设置灭火器；每个设置点不应少于 2 具； </w:t>
      </w:r>
    </w:p>
    <w:p>
      <w:pPr>
        <w:pStyle w:val="BodyText"/>
        <w:spacing w:before="2"/>
        <w:rPr>
          <w:sz w:val="18"/>
        </w:rPr>
      </w:pPr>
    </w:p>
    <w:p>
      <w:pPr>
        <w:pStyle w:val="BodyText"/>
        <w:spacing w:line="446" w:lineRule="auto"/>
        <w:ind w:left="840" w:right="6287" w:hanging="3"/>
        <w:rPr>
          <w:b/>
        </w:rPr>
      </w:pPr>
      <w:r>
        <w:rPr/>
        <w:t>灭火器设置点的间距不应大于 100m。</w:t>
      </w:r>
      <w:r>
        <w:rPr>
          <w:b/>
        </w:rPr>
        <w:t>12.3 </w:t>
      </w:r>
      <w:r>
        <w:rPr/>
        <w:t>通风和排烟系统</w:t>
      </w:r>
      <w:r>
        <w:rPr>
          <w:b/>
          <w:w w:val="99"/>
        </w:rPr>
        <w:t> </w:t>
      </w:r>
    </w:p>
    <w:p>
      <w:pPr>
        <w:pStyle w:val="ListParagraph"/>
        <w:numPr>
          <w:ilvl w:val="2"/>
          <w:numId w:val="305"/>
        </w:numPr>
        <w:tabs>
          <w:tab w:pos="1478" w:val="left" w:leader="none"/>
        </w:tabs>
        <w:spacing w:line="267" w:lineRule="exact" w:before="0" w:after="0"/>
        <w:ind w:left="1477" w:right="0" w:hanging="638"/>
        <w:jc w:val="left"/>
        <w:rPr>
          <w:sz w:val="21"/>
        </w:rPr>
      </w:pPr>
      <w:r>
        <w:rPr>
          <w:spacing w:val="-3"/>
          <w:sz w:val="21"/>
        </w:rPr>
        <w:t>通行机动车的一、二、三类隧道应设置排烟设施。</w:t>
      </w:r>
      <w:r>
        <w:rPr>
          <w:sz w:val="21"/>
        </w:rPr>
        <w:t> </w:t>
      </w:r>
    </w:p>
    <w:p>
      <w:pPr>
        <w:pStyle w:val="BodyText"/>
        <w:spacing w:before="2"/>
        <w:rPr>
          <w:sz w:val="18"/>
        </w:rPr>
      </w:pPr>
    </w:p>
    <w:p>
      <w:pPr>
        <w:pStyle w:val="ListParagraph"/>
        <w:numPr>
          <w:ilvl w:val="2"/>
          <w:numId w:val="305"/>
        </w:numPr>
        <w:tabs>
          <w:tab w:pos="1478" w:val="left" w:leader="none"/>
        </w:tabs>
        <w:spacing w:line="240" w:lineRule="auto" w:before="0" w:after="0"/>
        <w:ind w:left="1477" w:right="0" w:hanging="638"/>
        <w:jc w:val="left"/>
        <w:rPr>
          <w:sz w:val="21"/>
        </w:rPr>
      </w:pPr>
      <w:r>
        <w:rPr>
          <w:spacing w:val="-3"/>
          <w:sz w:val="21"/>
        </w:rPr>
        <w:t>隧道内机械排烟系统的设置应符合下列规定： </w:t>
      </w:r>
    </w:p>
    <w:p>
      <w:pPr>
        <w:spacing w:after="0" w:line="240" w:lineRule="auto"/>
        <w:jc w:val="left"/>
        <w:rPr>
          <w:sz w:val="21"/>
        </w:rPr>
        <w:sectPr>
          <w:footerReference w:type="default" r:id="rId167"/>
          <w:pgSz w:w="11910" w:h="16850"/>
          <w:pgMar w:footer="1239" w:header="0" w:top="1220" w:bottom="1420" w:left="1260" w:right="0"/>
          <w:pgNumType w:start="1060"/>
        </w:sectPr>
      </w:pPr>
    </w:p>
    <w:p>
      <w:pPr>
        <w:pStyle w:val="BodyText"/>
        <w:spacing w:before="47"/>
        <w:ind w:left="838"/>
      </w:pPr>
      <w:r>
        <w:rPr/>
        <w:t>长度大于 3000m 的隧道，宜采用纵向分段排烟方式或重点排烟方式； </w:t>
      </w:r>
    </w:p>
    <w:p>
      <w:pPr>
        <w:pStyle w:val="BodyText"/>
        <w:rPr>
          <w:sz w:val="18"/>
        </w:rPr>
      </w:pPr>
    </w:p>
    <w:p>
      <w:pPr>
        <w:pStyle w:val="BodyText"/>
        <w:ind w:left="838"/>
      </w:pPr>
      <w:r>
        <w:rPr/>
        <w:t>长度不大于 3000m 的单洞单向交通隧道，宜采用纵向排烟方式； </w:t>
      </w:r>
    </w:p>
    <w:p>
      <w:pPr>
        <w:pStyle w:val="BodyText"/>
        <w:rPr>
          <w:sz w:val="18"/>
        </w:rPr>
      </w:pPr>
    </w:p>
    <w:p>
      <w:pPr>
        <w:pStyle w:val="BodyText"/>
        <w:ind w:left="838"/>
      </w:pPr>
      <w:r>
        <w:rPr>
          <w:spacing w:val="-3"/>
        </w:rPr>
        <w:t>单洞双向交通隧道，宜采用重点排烟方式。</w:t>
      </w:r>
      <w:r>
        <w:rPr/>
        <w:t> </w:t>
      </w:r>
    </w:p>
    <w:p>
      <w:pPr>
        <w:pStyle w:val="BodyText"/>
        <w:spacing w:before="1"/>
        <w:rPr>
          <w:sz w:val="18"/>
        </w:rPr>
      </w:pPr>
    </w:p>
    <w:p>
      <w:pPr>
        <w:pStyle w:val="ListParagraph"/>
        <w:numPr>
          <w:ilvl w:val="2"/>
          <w:numId w:val="305"/>
        </w:numPr>
        <w:tabs>
          <w:tab w:pos="1478" w:val="left" w:leader="none"/>
        </w:tabs>
        <w:spacing w:line="446" w:lineRule="auto" w:before="1" w:after="0"/>
        <w:ind w:left="418" w:right="1496" w:firstLine="422"/>
        <w:jc w:val="left"/>
        <w:rPr>
          <w:sz w:val="21"/>
        </w:rPr>
      </w:pPr>
      <w:r>
        <w:rPr>
          <w:spacing w:val="-3"/>
          <w:sz w:val="21"/>
        </w:rPr>
        <w:t>机械排烟系统与隧道的通风系统宜分开设置。合用时，合用的通风系统应具备在火灾时快速转换的功能，并应符合机械排烟系统的要求。</w:t>
      </w:r>
      <w:r>
        <w:rPr>
          <w:sz w:val="21"/>
        </w:rPr>
        <w:t> </w:t>
      </w:r>
    </w:p>
    <w:p>
      <w:pPr>
        <w:pStyle w:val="ListParagraph"/>
        <w:numPr>
          <w:ilvl w:val="2"/>
          <w:numId w:val="305"/>
        </w:numPr>
        <w:tabs>
          <w:tab w:pos="1478" w:val="left" w:leader="none"/>
        </w:tabs>
        <w:spacing w:line="267" w:lineRule="exact" w:before="0" w:after="0"/>
        <w:ind w:left="1477" w:right="0" w:hanging="638"/>
        <w:jc w:val="left"/>
        <w:rPr>
          <w:sz w:val="21"/>
        </w:rPr>
      </w:pPr>
      <w:r>
        <w:rPr>
          <w:spacing w:val="-3"/>
          <w:sz w:val="21"/>
        </w:rPr>
        <w:t>隧道内设置的机械排烟系统应符合下列规定： </w:t>
      </w:r>
    </w:p>
    <w:p>
      <w:pPr>
        <w:pStyle w:val="BodyText"/>
        <w:spacing w:before="1"/>
        <w:rPr>
          <w:sz w:val="18"/>
        </w:rPr>
      </w:pPr>
    </w:p>
    <w:p>
      <w:pPr>
        <w:pStyle w:val="BodyText"/>
        <w:spacing w:before="1"/>
        <w:ind w:left="838"/>
      </w:pPr>
      <w:r>
        <w:rPr/>
        <w:t>采用全横向和半横向通风方式时，可通过排风管道排烟； </w:t>
      </w:r>
    </w:p>
    <w:p>
      <w:pPr>
        <w:pStyle w:val="BodyText"/>
        <w:spacing w:before="12"/>
        <w:rPr>
          <w:sz w:val="17"/>
        </w:rPr>
      </w:pPr>
    </w:p>
    <w:p>
      <w:pPr>
        <w:pStyle w:val="BodyText"/>
        <w:spacing w:line="446" w:lineRule="auto"/>
        <w:ind w:left="418" w:right="1609" w:firstLine="419"/>
      </w:pPr>
      <w:r>
        <w:rPr/>
        <w:t>采用纵向排烟方式时，应能迅速组织气流、有效排烟，其排烟风速应根据隧道内的最不利火灾规模确定，且纵向气流的速度不应小于 2m/s，并应大于临界风速； </w:t>
      </w:r>
    </w:p>
    <w:p>
      <w:pPr>
        <w:pStyle w:val="BodyText"/>
        <w:spacing w:line="446" w:lineRule="auto"/>
        <w:ind w:left="418" w:right="1560" w:firstLine="419"/>
      </w:pPr>
      <w:r>
        <w:rPr>
          <w:spacing w:val="-3"/>
        </w:rPr>
        <w:t>排烟风机和烟气流经的风阀、消声器、软接等辅助设备，应能承受设计的隧道火灾烟气排</w:t>
      </w:r>
      <w:r>
        <w:rPr>
          <w:spacing w:val="-8"/>
        </w:rPr>
        <w:t>放温度，并应能在 </w:t>
      </w:r>
      <w:r>
        <w:rPr/>
        <w:t>250</w:t>
      </w:r>
      <w:r>
        <w:rPr>
          <w:spacing w:val="-7"/>
        </w:rPr>
        <w:t>℃下连续正常运行不小于 </w:t>
      </w:r>
      <w:r>
        <w:rPr/>
        <w:t>1.0h</w:t>
      </w:r>
      <w:r>
        <w:rPr>
          <w:spacing w:val="-6"/>
        </w:rPr>
        <w:t>。排烟管道的耐火极限不应低于 </w:t>
      </w:r>
      <w:r>
        <w:rPr/>
        <w:t>1.00h</w:t>
      </w:r>
      <w:r>
        <w:rPr>
          <w:spacing w:val="-3"/>
        </w:rPr>
        <w:t>。</w:t>
      </w:r>
      <w:r>
        <w:rPr/>
        <w:t> </w:t>
      </w:r>
    </w:p>
    <w:p>
      <w:pPr>
        <w:pStyle w:val="ListParagraph"/>
        <w:numPr>
          <w:ilvl w:val="2"/>
          <w:numId w:val="305"/>
        </w:numPr>
        <w:tabs>
          <w:tab w:pos="1478" w:val="left" w:leader="none"/>
        </w:tabs>
        <w:spacing w:line="267" w:lineRule="exact" w:before="0" w:after="0"/>
        <w:ind w:left="1477" w:right="0" w:hanging="638"/>
        <w:jc w:val="left"/>
        <w:rPr>
          <w:sz w:val="21"/>
        </w:rPr>
      </w:pPr>
      <w:r>
        <w:rPr>
          <w:spacing w:val="-5"/>
          <w:sz w:val="21"/>
        </w:rPr>
        <w:t>隧道的避难设施内应设置独立的机械加压送风系统，其送风的余压值应为 </w:t>
      </w:r>
      <w:r>
        <w:rPr>
          <w:sz w:val="21"/>
        </w:rPr>
        <w:t>30Pa～</w:t>
      </w:r>
    </w:p>
    <w:p>
      <w:pPr>
        <w:pStyle w:val="BodyText"/>
        <w:spacing w:before="2"/>
        <w:rPr>
          <w:sz w:val="18"/>
        </w:rPr>
      </w:pPr>
    </w:p>
    <w:p>
      <w:pPr>
        <w:pStyle w:val="BodyText"/>
        <w:ind w:left="418"/>
      </w:pPr>
      <w:r>
        <w:rPr/>
        <w:t>50Pa。 </w:t>
      </w:r>
    </w:p>
    <w:p>
      <w:pPr>
        <w:pStyle w:val="BodyText"/>
        <w:rPr>
          <w:sz w:val="18"/>
        </w:rPr>
      </w:pPr>
    </w:p>
    <w:p>
      <w:pPr>
        <w:pStyle w:val="ListParagraph"/>
        <w:numPr>
          <w:ilvl w:val="2"/>
          <w:numId w:val="305"/>
        </w:numPr>
        <w:tabs>
          <w:tab w:pos="1478" w:val="left" w:leader="none"/>
        </w:tabs>
        <w:spacing w:line="240" w:lineRule="auto" w:before="0" w:after="0"/>
        <w:ind w:left="1477" w:right="0" w:hanging="638"/>
        <w:jc w:val="left"/>
        <w:rPr>
          <w:sz w:val="21"/>
        </w:rPr>
      </w:pPr>
      <w:r>
        <w:rPr>
          <w:spacing w:val="-3"/>
          <w:sz w:val="21"/>
        </w:rPr>
        <w:t>隧道内用于火灾排烟的射流风机，应至少备用一组。</w:t>
      </w:r>
      <w:r>
        <w:rPr>
          <w:sz w:val="21"/>
        </w:rPr>
        <w:t> </w:t>
      </w:r>
    </w:p>
    <w:p>
      <w:pPr>
        <w:pStyle w:val="BodyText"/>
        <w:spacing w:before="12"/>
        <w:rPr>
          <w:sz w:val="17"/>
        </w:rPr>
      </w:pPr>
    </w:p>
    <w:p>
      <w:pPr>
        <w:pStyle w:val="ListParagraph"/>
        <w:numPr>
          <w:ilvl w:val="1"/>
          <w:numId w:val="306"/>
        </w:numPr>
        <w:tabs>
          <w:tab w:pos="1264" w:val="left" w:leader="none"/>
        </w:tabs>
        <w:spacing w:line="240" w:lineRule="auto" w:before="1" w:after="0"/>
        <w:ind w:left="1263" w:right="0" w:hanging="424"/>
        <w:jc w:val="left"/>
        <w:rPr>
          <w:b/>
          <w:sz w:val="21"/>
        </w:rPr>
      </w:pPr>
      <w:r>
        <w:rPr>
          <w:spacing w:val="-3"/>
          <w:sz w:val="21"/>
        </w:rPr>
        <w:t>火灾自动报警系统</w:t>
      </w:r>
      <w:r>
        <w:rPr>
          <w:b/>
          <w:w w:val="99"/>
          <w:sz w:val="21"/>
        </w:rPr>
        <w:t> </w:t>
      </w:r>
    </w:p>
    <w:p>
      <w:pPr>
        <w:pStyle w:val="BodyText"/>
        <w:spacing w:before="1"/>
        <w:rPr>
          <w:b/>
          <w:sz w:val="18"/>
        </w:rPr>
      </w:pPr>
    </w:p>
    <w:p>
      <w:pPr>
        <w:pStyle w:val="ListParagraph"/>
        <w:numPr>
          <w:ilvl w:val="2"/>
          <w:numId w:val="306"/>
        </w:numPr>
        <w:tabs>
          <w:tab w:pos="1478" w:val="left" w:leader="none"/>
        </w:tabs>
        <w:spacing w:line="446" w:lineRule="auto" w:before="0" w:after="0"/>
        <w:ind w:left="418" w:right="1445" w:firstLine="422"/>
        <w:jc w:val="left"/>
        <w:rPr>
          <w:sz w:val="21"/>
        </w:rPr>
      </w:pPr>
      <w:r>
        <w:rPr>
          <w:spacing w:val="-11"/>
          <w:sz w:val="21"/>
        </w:rPr>
        <w:t>隧道入口外 </w:t>
      </w:r>
      <w:r>
        <w:rPr>
          <w:sz w:val="21"/>
        </w:rPr>
        <w:t>100～150m</w:t>
      </w:r>
      <w:r>
        <w:rPr>
          <w:spacing w:val="-3"/>
          <w:sz w:val="21"/>
        </w:rPr>
        <w:t> 处，应设置隧道内发生火灾时能提示车辆禁入隧道的警报信号装置。</w:t>
      </w:r>
      <w:r>
        <w:rPr>
          <w:sz w:val="21"/>
        </w:rPr>
        <w:t> </w:t>
      </w:r>
    </w:p>
    <w:p>
      <w:pPr>
        <w:pStyle w:val="ListParagraph"/>
        <w:numPr>
          <w:ilvl w:val="2"/>
          <w:numId w:val="306"/>
        </w:numPr>
        <w:tabs>
          <w:tab w:pos="1478" w:val="left" w:leader="none"/>
        </w:tabs>
        <w:spacing w:line="446" w:lineRule="auto" w:before="0" w:after="0"/>
        <w:ind w:left="418" w:right="1496" w:firstLine="422"/>
        <w:jc w:val="left"/>
        <w:rPr>
          <w:sz w:val="21"/>
        </w:rPr>
      </w:pPr>
      <w:r>
        <w:rPr>
          <w:spacing w:val="-3"/>
          <w:sz w:val="21"/>
        </w:rPr>
        <w:t>一、二类隧道应设置火灾自动报警系统，通行机动车的三类隧道宜设置火灾自动报警系统。火灾自动报警系统的设置应符合下列规定： </w:t>
      </w:r>
    </w:p>
    <w:p>
      <w:pPr>
        <w:pStyle w:val="BodyText"/>
        <w:ind w:left="838"/>
      </w:pPr>
      <w:r>
        <w:rPr/>
        <w:t>应设置火灾自动探测装置； </w:t>
      </w:r>
    </w:p>
    <w:p>
      <w:pPr>
        <w:pStyle w:val="BodyText"/>
        <w:spacing w:before="11"/>
        <w:rPr>
          <w:sz w:val="17"/>
        </w:rPr>
      </w:pPr>
    </w:p>
    <w:p>
      <w:pPr>
        <w:pStyle w:val="BodyText"/>
        <w:spacing w:line="446" w:lineRule="auto"/>
        <w:ind w:left="838" w:right="3032"/>
      </w:pPr>
      <w:r>
        <w:rPr>
          <w:w w:val="100"/>
        </w:rPr>
        <w:t> </w:t>
      </w:r>
      <w:r>
        <w:rPr/>
        <w:t>隧道出入口和隧道内每隔 100～150m 处，应设置报警电话和报警按钮； 应设置火灾应急广播或应每隔 100～150m  处设置发光警报装置。</w:t>
      </w:r>
      <w:r>
        <w:rPr>
          <w:b/>
        </w:rPr>
        <w:t>12.4.3 </w:t>
      </w:r>
      <w:r>
        <w:rPr/>
        <w:t>隧道用电缆通道和主要设备用房内应设置火灾自动报警系统。 </w:t>
      </w:r>
    </w:p>
    <w:p>
      <w:pPr>
        <w:pStyle w:val="ListParagraph"/>
        <w:numPr>
          <w:ilvl w:val="2"/>
          <w:numId w:val="307"/>
        </w:numPr>
        <w:tabs>
          <w:tab w:pos="1478" w:val="left" w:leader="none"/>
        </w:tabs>
        <w:spacing w:line="268" w:lineRule="exact" w:before="0" w:after="0"/>
        <w:ind w:left="1477" w:right="0" w:hanging="638"/>
        <w:jc w:val="left"/>
        <w:rPr>
          <w:sz w:val="21"/>
        </w:rPr>
      </w:pPr>
      <w:r>
        <w:rPr>
          <w:spacing w:val="-3"/>
          <w:sz w:val="21"/>
        </w:rPr>
        <w:t>对于可能产生屏蔽的隧道，应设置无线通信等保证灭火时通信联络畅通的设施。</w:t>
      </w:r>
      <w:r>
        <w:rPr>
          <w:sz w:val="21"/>
        </w:rPr>
        <w:t> </w:t>
      </w:r>
    </w:p>
    <w:p>
      <w:pPr>
        <w:pStyle w:val="BodyText"/>
        <w:spacing w:before="1"/>
        <w:rPr>
          <w:sz w:val="18"/>
        </w:rPr>
      </w:pPr>
    </w:p>
    <w:p>
      <w:pPr>
        <w:pStyle w:val="ListParagraph"/>
        <w:numPr>
          <w:ilvl w:val="2"/>
          <w:numId w:val="307"/>
        </w:numPr>
        <w:tabs>
          <w:tab w:pos="1478" w:val="left" w:leader="none"/>
        </w:tabs>
        <w:spacing w:line="446" w:lineRule="auto" w:before="1" w:after="0"/>
        <w:ind w:left="418" w:right="1445" w:firstLine="422"/>
        <w:jc w:val="both"/>
        <w:rPr>
          <w:sz w:val="21"/>
        </w:rPr>
      </w:pPr>
      <w:r>
        <w:rPr>
          <w:spacing w:val="-9"/>
          <w:sz w:val="21"/>
        </w:rPr>
        <w:t>封闭段长度超过 </w:t>
      </w:r>
      <w:r>
        <w:rPr>
          <w:sz w:val="21"/>
        </w:rPr>
        <w:t>1000m</w:t>
      </w:r>
      <w:r>
        <w:rPr>
          <w:spacing w:val="-3"/>
          <w:sz w:val="21"/>
        </w:rPr>
        <w:t> 的隧道宜设置消防控制室，消防控制室的建筑防火要求应符</w:t>
      </w:r>
      <w:r>
        <w:rPr>
          <w:spacing w:val="-11"/>
          <w:sz w:val="21"/>
        </w:rPr>
        <w:t>合本规范第 </w:t>
      </w:r>
      <w:r>
        <w:rPr>
          <w:sz w:val="21"/>
        </w:rPr>
        <w:t>8.1.7</w:t>
      </w:r>
      <w:r>
        <w:rPr>
          <w:spacing w:val="-10"/>
          <w:sz w:val="21"/>
        </w:rPr>
        <w:t> 条和第 </w:t>
      </w:r>
      <w:r>
        <w:rPr>
          <w:sz w:val="21"/>
        </w:rPr>
        <w:t>8.1.8</w:t>
      </w:r>
      <w:r>
        <w:rPr>
          <w:spacing w:val="-3"/>
          <w:sz w:val="21"/>
        </w:rPr>
        <w:t> 条的规定。隧道内火灾自动报警系统的设计应符合现行国家标准《火灾自动报警系统设计规范》</w:t>
      </w:r>
      <w:r>
        <w:rPr>
          <w:sz w:val="21"/>
        </w:rPr>
        <w:t>GB</w:t>
      </w:r>
      <w:r>
        <w:rPr>
          <w:spacing w:val="1"/>
          <w:sz w:val="21"/>
        </w:rPr>
        <w:t> </w:t>
      </w:r>
      <w:r>
        <w:rPr>
          <w:sz w:val="21"/>
        </w:rPr>
        <w:t>50116</w:t>
      </w:r>
      <w:r>
        <w:rPr>
          <w:spacing w:val="-3"/>
          <w:sz w:val="21"/>
        </w:rPr>
        <w:t> 的规定。 </w:t>
      </w:r>
    </w:p>
    <w:p>
      <w:pPr>
        <w:pStyle w:val="ListParagraph"/>
        <w:numPr>
          <w:ilvl w:val="1"/>
          <w:numId w:val="306"/>
        </w:numPr>
        <w:tabs>
          <w:tab w:pos="1264" w:val="left" w:leader="none"/>
        </w:tabs>
        <w:spacing w:line="268" w:lineRule="exact" w:before="0" w:after="0"/>
        <w:ind w:left="1263" w:right="0" w:hanging="424"/>
        <w:jc w:val="left"/>
        <w:rPr>
          <w:b/>
          <w:sz w:val="21"/>
        </w:rPr>
      </w:pPr>
      <w:r>
        <w:rPr>
          <w:spacing w:val="-3"/>
          <w:sz w:val="21"/>
        </w:rPr>
        <w:t>供电及其他</w:t>
      </w:r>
      <w:r>
        <w:rPr>
          <w:b/>
          <w:w w:val="99"/>
          <w:sz w:val="21"/>
        </w:rPr>
        <w:t> </w:t>
      </w:r>
    </w:p>
    <w:p>
      <w:pPr>
        <w:spacing w:after="0" w:line="268" w:lineRule="exact"/>
        <w:jc w:val="left"/>
        <w:rPr>
          <w:sz w:val="21"/>
        </w:rPr>
        <w:sectPr>
          <w:pgSz w:w="11910" w:h="16850"/>
          <w:pgMar w:header="0" w:footer="1239" w:top="1220" w:bottom="1420" w:left="1260" w:right="0"/>
        </w:sectPr>
      </w:pPr>
    </w:p>
    <w:p>
      <w:pPr>
        <w:pStyle w:val="ListParagraph"/>
        <w:numPr>
          <w:ilvl w:val="2"/>
          <w:numId w:val="306"/>
        </w:numPr>
        <w:tabs>
          <w:tab w:pos="1478" w:val="left" w:leader="none"/>
        </w:tabs>
        <w:spacing w:line="446" w:lineRule="auto" w:before="47" w:after="0"/>
        <w:ind w:left="418" w:right="1496" w:firstLine="422"/>
        <w:jc w:val="left"/>
        <w:rPr>
          <w:sz w:val="21"/>
        </w:rPr>
      </w:pPr>
      <w:r>
        <w:rPr>
          <w:spacing w:val="-3"/>
          <w:sz w:val="21"/>
        </w:rPr>
        <w:t>一、二类隧道的消防用电应按一级负荷要求供电；三类隧道的消防用电应按二级负荷要求供电。</w:t>
      </w:r>
      <w:r>
        <w:rPr>
          <w:sz w:val="21"/>
        </w:rPr>
        <w:t> </w:t>
      </w:r>
    </w:p>
    <w:p>
      <w:pPr>
        <w:pStyle w:val="ListParagraph"/>
        <w:numPr>
          <w:ilvl w:val="2"/>
          <w:numId w:val="306"/>
        </w:numPr>
        <w:tabs>
          <w:tab w:pos="1478" w:val="left" w:leader="none"/>
        </w:tabs>
        <w:spacing w:line="446" w:lineRule="auto" w:before="0" w:after="0"/>
        <w:ind w:left="418" w:right="1759" w:firstLine="422"/>
        <w:jc w:val="left"/>
        <w:rPr>
          <w:sz w:val="21"/>
        </w:rPr>
      </w:pPr>
      <w:r>
        <w:rPr>
          <w:spacing w:val="-5"/>
          <w:sz w:val="21"/>
        </w:rPr>
        <w:t>隧道的消防电源及其供电、配电线路等的其他要求应符合本规范第 </w:t>
      </w:r>
      <w:r>
        <w:rPr>
          <w:sz w:val="21"/>
        </w:rPr>
        <w:t>10.1</w:t>
      </w:r>
      <w:r>
        <w:rPr>
          <w:spacing w:val="2"/>
          <w:sz w:val="21"/>
        </w:rPr>
        <w:t> 节的规</w:t>
      </w:r>
      <w:r>
        <w:rPr>
          <w:spacing w:val="-1"/>
          <w:sz w:val="21"/>
        </w:rPr>
        <w:t>定。</w:t>
      </w:r>
      <w:r>
        <w:rPr>
          <w:sz w:val="21"/>
        </w:rPr>
        <w:t> </w:t>
      </w:r>
    </w:p>
    <w:p>
      <w:pPr>
        <w:pStyle w:val="ListParagraph"/>
        <w:numPr>
          <w:ilvl w:val="2"/>
          <w:numId w:val="306"/>
        </w:numPr>
        <w:tabs>
          <w:tab w:pos="1478" w:val="left" w:leader="none"/>
        </w:tabs>
        <w:spacing w:line="446" w:lineRule="auto" w:before="0" w:after="0"/>
        <w:ind w:left="418" w:right="1496" w:firstLine="422"/>
        <w:jc w:val="left"/>
        <w:rPr>
          <w:sz w:val="21"/>
        </w:rPr>
      </w:pPr>
      <w:r>
        <w:rPr>
          <w:spacing w:val="-3"/>
          <w:sz w:val="21"/>
        </w:rPr>
        <w:t>隧道两侧、人行横通道和人行疏散通道上应设置疏散照明和疏散指示标志，其设置</w:t>
      </w:r>
      <w:r>
        <w:rPr>
          <w:spacing w:val="-11"/>
          <w:sz w:val="21"/>
        </w:rPr>
        <w:t>高度不宜大于 </w:t>
      </w:r>
      <w:r>
        <w:rPr>
          <w:sz w:val="21"/>
        </w:rPr>
        <w:t>1.5m</w:t>
      </w:r>
      <w:r>
        <w:rPr>
          <w:spacing w:val="-3"/>
          <w:sz w:val="21"/>
        </w:rPr>
        <w:t>。</w:t>
      </w:r>
      <w:r>
        <w:rPr>
          <w:sz w:val="21"/>
        </w:rPr>
        <w:t> </w:t>
      </w:r>
    </w:p>
    <w:p>
      <w:pPr>
        <w:pStyle w:val="BodyText"/>
        <w:spacing w:line="446" w:lineRule="auto"/>
        <w:ind w:left="418" w:right="1498" w:firstLine="419"/>
      </w:pPr>
      <w:r>
        <w:rPr/>
        <w:t>一、二类隧道内疏散照明和疏散指示标志的连续供电时间不应小于 1.5h；其他隧道，不应小于 1.0 h。其他要求可按本规范第 10 章的规定确定。 </w:t>
      </w:r>
    </w:p>
    <w:p>
      <w:pPr>
        <w:pStyle w:val="ListParagraph"/>
        <w:numPr>
          <w:ilvl w:val="2"/>
          <w:numId w:val="306"/>
        </w:numPr>
        <w:tabs>
          <w:tab w:pos="1478" w:val="left" w:leader="none"/>
        </w:tabs>
        <w:spacing w:line="446" w:lineRule="auto" w:before="0" w:after="0"/>
        <w:ind w:left="418" w:right="1551" w:firstLine="422"/>
        <w:jc w:val="left"/>
        <w:rPr>
          <w:sz w:val="21"/>
        </w:rPr>
      </w:pPr>
      <w:r>
        <w:rPr>
          <w:spacing w:val="-5"/>
          <w:sz w:val="21"/>
        </w:rPr>
        <w:t>隧道内严禁设置可燃气体管道；电缆线槽应与其他管道分开敷设。当设置 </w:t>
      </w:r>
      <w:r>
        <w:rPr>
          <w:sz w:val="21"/>
        </w:rPr>
        <w:t>10kV</w:t>
      </w:r>
      <w:r>
        <w:rPr>
          <w:spacing w:val="6"/>
          <w:sz w:val="21"/>
        </w:rPr>
        <w:t> 及</w:t>
      </w:r>
      <w:r>
        <w:rPr>
          <w:spacing w:val="-6"/>
          <w:sz w:val="21"/>
        </w:rPr>
        <w:t>以上的高压电缆时，应采用耐火极限不低于 </w:t>
      </w:r>
      <w:r>
        <w:rPr>
          <w:sz w:val="21"/>
        </w:rPr>
        <w:t>2.00h</w:t>
      </w:r>
      <w:r>
        <w:rPr>
          <w:spacing w:val="-3"/>
          <w:sz w:val="21"/>
        </w:rPr>
        <w:t> 的防火分隔体与其他区域分隔。</w:t>
      </w:r>
      <w:r>
        <w:rPr>
          <w:sz w:val="21"/>
        </w:rPr>
        <w:t> </w:t>
      </w:r>
    </w:p>
    <w:p>
      <w:pPr>
        <w:pStyle w:val="ListParagraph"/>
        <w:numPr>
          <w:ilvl w:val="2"/>
          <w:numId w:val="306"/>
        </w:numPr>
        <w:tabs>
          <w:tab w:pos="1478" w:val="left" w:leader="none"/>
        </w:tabs>
        <w:spacing w:line="446" w:lineRule="auto" w:before="0" w:after="0"/>
        <w:ind w:left="418" w:right="1498" w:firstLine="422"/>
        <w:jc w:val="left"/>
        <w:rPr>
          <w:sz w:val="21"/>
        </w:rPr>
      </w:pPr>
      <w:r>
        <w:rPr>
          <w:spacing w:val="-3"/>
          <w:sz w:val="21"/>
        </w:rPr>
        <w:t>隧道内设置的各类消防设施均应采取与隧道内环境条件相适应的保护措施，并应设置明显的发光指示标志。</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9"/>
        </w:rPr>
      </w:pPr>
    </w:p>
    <w:p>
      <w:pPr>
        <w:pStyle w:val="BodyText"/>
        <w:spacing w:before="72"/>
        <w:ind w:left="3298"/>
      </w:pPr>
      <w:r>
        <w:rPr>
          <w:w w:val="100"/>
        </w:rPr>
        <w:t> </w:t>
      </w:r>
    </w:p>
    <w:p>
      <w:pPr>
        <w:spacing w:after="0"/>
        <w:sectPr>
          <w:pgSz w:w="11910" w:h="16850"/>
          <w:pgMar w:header="0" w:footer="1239" w:top="1220" w:bottom="1420" w:left="1260" w:right="0"/>
        </w:sectPr>
      </w:pPr>
    </w:p>
    <w:p>
      <w:pPr>
        <w:pStyle w:val="Heading4"/>
        <w:spacing w:before="55"/>
        <w:ind w:left="2734"/>
      </w:pPr>
      <w:r>
        <w:rPr/>
        <w:t>附录 A 建筑高度和建筑层数的计算方法</w:t>
      </w:r>
      <w:r>
        <w:rPr>
          <w:w w:val="99"/>
        </w:rPr>
        <w:t> </w:t>
      </w:r>
    </w:p>
    <w:p>
      <w:pPr>
        <w:pStyle w:val="BodyText"/>
        <w:rPr>
          <w:b/>
          <w:sz w:val="24"/>
        </w:rPr>
      </w:pPr>
    </w:p>
    <w:p>
      <w:pPr>
        <w:pStyle w:val="BodyText"/>
        <w:spacing w:before="176"/>
        <w:ind w:left="840"/>
      </w:pPr>
      <w:r>
        <w:rPr>
          <w:b/>
        </w:rPr>
        <w:t>A.1 </w:t>
      </w:r>
      <w:r>
        <w:rPr/>
        <w:t>建筑高度的计算应符合下列规定： </w:t>
      </w:r>
    </w:p>
    <w:p>
      <w:pPr>
        <w:pStyle w:val="BodyText"/>
        <w:spacing w:before="2"/>
        <w:rPr>
          <w:sz w:val="18"/>
        </w:rPr>
      </w:pPr>
    </w:p>
    <w:p>
      <w:pPr>
        <w:pStyle w:val="BodyText"/>
        <w:ind w:left="838"/>
      </w:pPr>
      <w:r>
        <w:rPr/>
        <w:t>1 建筑屋面为坡屋面时，建筑高度应为建筑室外设计地面至其檐口与屋脊的平均高度； </w:t>
      </w:r>
    </w:p>
    <w:p>
      <w:pPr>
        <w:pStyle w:val="BodyText"/>
        <w:spacing w:before="12"/>
        <w:rPr>
          <w:sz w:val="17"/>
        </w:rPr>
      </w:pPr>
    </w:p>
    <w:p>
      <w:pPr>
        <w:pStyle w:val="BodyText"/>
        <w:spacing w:line="446" w:lineRule="auto"/>
        <w:ind w:left="418" w:right="1609" w:firstLine="419"/>
      </w:pPr>
      <w:r>
        <w:rPr/>
        <w:t>2 建筑屋面为平屋面（包括有女儿墙的平屋面）时，建筑高度应为建筑室外设计地面至其屋面面层的高度； </w:t>
      </w:r>
    </w:p>
    <w:p>
      <w:pPr>
        <w:pStyle w:val="BodyText"/>
        <w:ind w:left="838"/>
      </w:pPr>
      <w:r>
        <w:rPr/>
        <w:t>3 同一座建筑有多种形式的屋面时，建筑高度应按上述方法分别计算后，取其中最大值； </w:t>
      </w:r>
    </w:p>
    <w:p>
      <w:pPr>
        <w:pStyle w:val="BodyText"/>
        <w:rPr>
          <w:sz w:val="18"/>
        </w:rPr>
      </w:pPr>
    </w:p>
    <w:p>
      <w:pPr>
        <w:pStyle w:val="BodyText"/>
        <w:spacing w:line="446" w:lineRule="auto"/>
        <w:ind w:left="418" w:right="1608" w:firstLine="419"/>
        <w:jc w:val="both"/>
      </w:pPr>
      <w:r>
        <w:rPr/>
        <w:t>4 对于台阶式地坪，当位于不同高程地坪上的同一建筑之间有防火墙分隔，各自有符合规范规定的安全出口，且可沿建筑的两个长边设置贯通式或尽头式消防车道时，可分别计算各自的建筑高度。否则，应按其中建筑高度最大者确定该建筑的建筑高度； </w:t>
      </w:r>
    </w:p>
    <w:p>
      <w:pPr>
        <w:pStyle w:val="BodyText"/>
        <w:spacing w:line="446" w:lineRule="auto"/>
        <w:ind w:left="418" w:right="1608" w:firstLine="419"/>
        <w:jc w:val="both"/>
      </w:pPr>
      <w:r>
        <w:rPr/>
        <w:t>5 局部突出屋顶的瞭望塔、冷却塔、水箱间、微波天线间或设施、电梯机房、排风和排烟机房以及楼梯出口小间等辅助用房占屋面面积不大于 1/4 者，可不计入建筑高度； </w:t>
      </w:r>
    </w:p>
    <w:p>
      <w:pPr>
        <w:pStyle w:val="BodyText"/>
        <w:spacing w:line="446" w:lineRule="auto"/>
        <w:ind w:left="418" w:right="1452" w:firstLine="419"/>
        <w:jc w:val="both"/>
      </w:pPr>
      <w:r>
        <w:rPr/>
        <w:t>6</w:t>
      </w:r>
      <w:r>
        <w:rPr>
          <w:spacing w:val="-5"/>
        </w:rPr>
        <w:t> 对于住宅建筑，设置在底部且室内高度不大于 </w:t>
      </w:r>
      <w:r>
        <w:rPr/>
        <w:t>2.2m</w:t>
      </w:r>
      <w:r>
        <w:rPr>
          <w:spacing w:val="-3"/>
        </w:rPr>
        <w:t> 的自行车库、储藏室、敞开空间，室</w:t>
      </w:r>
      <w:r>
        <w:rPr>
          <w:spacing w:val="-5"/>
        </w:rPr>
        <w:t>内外高差或建筑的地下或半地下室的顶板面高出室外设计地面的高度不大于 </w:t>
      </w:r>
      <w:r>
        <w:rPr/>
        <w:t>1.5m</w:t>
      </w:r>
      <w:r>
        <w:rPr>
          <w:spacing w:val="2"/>
        </w:rPr>
        <w:t> 的部分，可不</w:t>
      </w:r>
      <w:r>
        <w:rPr>
          <w:spacing w:val="-2"/>
        </w:rPr>
        <w:t>计入建筑高度。</w:t>
      </w:r>
      <w:r>
        <w:rPr/>
        <w:t> </w:t>
      </w:r>
    </w:p>
    <w:p>
      <w:pPr>
        <w:pStyle w:val="ListParagraph"/>
        <w:numPr>
          <w:ilvl w:val="0"/>
          <w:numId w:val="308"/>
        </w:numPr>
        <w:tabs>
          <w:tab w:pos="1053" w:val="left" w:leader="none"/>
        </w:tabs>
        <w:spacing w:line="446" w:lineRule="auto" w:before="0" w:after="0"/>
        <w:ind w:left="838" w:right="3032" w:firstLine="2"/>
        <w:jc w:val="left"/>
        <w:rPr>
          <w:sz w:val="21"/>
        </w:rPr>
      </w:pPr>
      <w:r>
        <w:rPr>
          <w:b/>
          <w:sz w:val="21"/>
        </w:rPr>
        <w:t>2</w:t>
      </w:r>
      <w:r>
        <w:rPr>
          <w:b/>
          <w:spacing w:val="47"/>
          <w:sz w:val="21"/>
        </w:rPr>
        <w:t>  </w:t>
      </w:r>
      <w:r>
        <w:rPr>
          <w:spacing w:val="-3"/>
          <w:sz w:val="21"/>
        </w:rPr>
        <w:t>建筑层数应按建筑的自然层数计算，下列空间可不计入建筑层数： </w:t>
      </w:r>
      <w:r>
        <w:rPr>
          <w:sz w:val="21"/>
        </w:rPr>
        <w:t>1</w:t>
      </w:r>
      <w:r>
        <w:rPr>
          <w:spacing w:val="-6"/>
          <w:sz w:val="21"/>
        </w:rPr>
        <w:t> 室内顶板面高出室外设计地面的高度不大于 </w:t>
      </w:r>
      <w:r>
        <w:rPr>
          <w:sz w:val="21"/>
        </w:rPr>
        <w:t>1.5m</w:t>
      </w:r>
      <w:r>
        <w:rPr>
          <w:spacing w:val="-3"/>
          <w:sz w:val="21"/>
        </w:rPr>
        <w:t> 的地下或半地下室；</w:t>
      </w:r>
      <w:r>
        <w:rPr>
          <w:sz w:val="21"/>
        </w:rPr>
        <w:t> </w:t>
      </w:r>
    </w:p>
    <w:p>
      <w:pPr>
        <w:pStyle w:val="BodyText"/>
        <w:spacing w:line="267" w:lineRule="exact"/>
        <w:ind w:left="838"/>
      </w:pPr>
      <w:r>
        <w:rPr/>
        <w:t>2 设置在建筑底部且室内高度不大于 2.2m 的自行车库、储藏室、敞开空间； </w:t>
      </w:r>
    </w:p>
    <w:p>
      <w:pPr>
        <w:pStyle w:val="BodyText"/>
        <w:rPr>
          <w:sz w:val="18"/>
        </w:rPr>
      </w:pPr>
    </w:p>
    <w:p>
      <w:pPr>
        <w:pStyle w:val="BodyText"/>
        <w:ind w:left="838"/>
      </w:pPr>
      <w:r>
        <w:rPr/>
        <w:t>3 建筑屋顶上突出的局部设备用房、出屋面的楼梯间等。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3"/>
        </w:rPr>
      </w:pPr>
    </w:p>
    <w:p>
      <w:pPr>
        <w:pStyle w:val="BodyText"/>
        <w:spacing w:before="72"/>
        <w:ind w:left="3298"/>
      </w:pPr>
      <w:r>
        <w:rPr>
          <w:w w:val="100"/>
        </w:rPr>
        <w:t> </w:t>
      </w:r>
    </w:p>
    <w:p>
      <w:pPr>
        <w:spacing w:after="0"/>
        <w:sectPr>
          <w:pgSz w:w="11910" w:h="16850"/>
          <w:pgMar w:header="0" w:footer="1239" w:top="1180" w:bottom="1420" w:left="1260" w:right="0"/>
        </w:sectPr>
      </w:pPr>
    </w:p>
    <w:p>
      <w:pPr>
        <w:pStyle w:val="Heading4"/>
        <w:spacing w:before="55"/>
        <w:ind w:left="3337"/>
      </w:pPr>
      <w:r>
        <w:rPr/>
        <w:t>附录 B 防火间距的计算方法</w:t>
      </w:r>
      <w:r>
        <w:rPr>
          <w:w w:val="99"/>
        </w:rPr>
        <w:t> </w:t>
      </w:r>
    </w:p>
    <w:p>
      <w:pPr>
        <w:pStyle w:val="BodyText"/>
        <w:rPr>
          <w:b/>
          <w:sz w:val="24"/>
        </w:rPr>
      </w:pPr>
    </w:p>
    <w:p>
      <w:pPr>
        <w:pStyle w:val="ListParagraph"/>
        <w:numPr>
          <w:ilvl w:val="0"/>
          <w:numId w:val="308"/>
        </w:numPr>
        <w:tabs>
          <w:tab w:pos="1053" w:val="left" w:leader="none"/>
        </w:tabs>
        <w:spacing w:line="446" w:lineRule="auto" w:before="176" w:after="0"/>
        <w:ind w:left="418" w:right="1604" w:firstLine="422"/>
        <w:jc w:val="left"/>
        <w:rPr>
          <w:sz w:val="21"/>
        </w:rPr>
      </w:pPr>
      <w:r>
        <w:rPr>
          <w:b/>
          <w:sz w:val="21"/>
        </w:rPr>
        <w:t>1</w:t>
      </w:r>
      <w:r>
        <w:rPr>
          <w:b/>
          <w:spacing w:val="39"/>
          <w:sz w:val="21"/>
        </w:rPr>
        <w:t> </w:t>
      </w:r>
      <w:r>
        <w:rPr>
          <w:spacing w:val="-3"/>
          <w:sz w:val="21"/>
        </w:rPr>
        <w:t>建筑物之间的防火间距应按相邻建筑外墙的最近水平距离计算，当外墙有凸出的可燃或难燃构件时，应从其凸出部分外缘算起。</w:t>
      </w:r>
      <w:r>
        <w:rPr>
          <w:sz w:val="21"/>
        </w:rPr>
        <w:t> </w:t>
      </w:r>
    </w:p>
    <w:p>
      <w:pPr>
        <w:pStyle w:val="BodyText"/>
        <w:spacing w:line="446" w:lineRule="auto"/>
        <w:ind w:left="418" w:right="1609" w:firstLine="419"/>
      </w:pPr>
      <w:r>
        <w:rPr/>
        <w:t>建筑物与储罐、堆场的防火间距，应为建筑外墙至储罐外壁或堆场中相邻堆垛外缘的最近水平距离。 </w:t>
      </w:r>
    </w:p>
    <w:p>
      <w:pPr>
        <w:pStyle w:val="BodyText"/>
        <w:ind w:left="840"/>
      </w:pPr>
      <w:r>
        <w:rPr>
          <w:b/>
        </w:rPr>
        <w:t>B.2 </w:t>
      </w:r>
      <w:r>
        <w:rPr/>
        <w:t>储罐之间的防火间距应为相邻两储罐外壁的最近水平距离。 </w:t>
      </w:r>
    </w:p>
    <w:p>
      <w:pPr>
        <w:pStyle w:val="BodyText"/>
        <w:rPr>
          <w:sz w:val="18"/>
        </w:rPr>
      </w:pPr>
    </w:p>
    <w:p>
      <w:pPr>
        <w:pStyle w:val="BodyText"/>
        <w:spacing w:line="446" w:lineRule="auto"/>
        <w:ind w:left="840" w:right="2554" w:hanging="3"/>
      </w:pPr>
      <w:r>
        <w:rPr/>
        <w:t>储罐与堆场的防火间距应为储罐外壁至堆场中相邻堆垛外缘的最近水平距离。</w:t>
      </w:r>
      <w:r>
        <w:rPr>
          <w:b/>
        </w:rPr>
        <w:t>B.3 </w:t>
      </w:r>
      <w:r>
        <w:rPr/>
        <w:t>堆场之间的防火间距应为两堆场中相邻堆垛外缘的最近水平距离。 </w:t>
      </w:r>
    </w:p>
    <w:p>
      <w:pPr>
        <w:pStyle w:val="BodyText"/>
        <w:ind w:left="840"/>
      </w:pPr>
      <w:r>
        <w:rPr>
          <w:b/>
        </w:rPr>
        <w:t>B.4 </w:t>
      </w:r>
      <w:r>
        <w:rPr/>
        <w:t>变压器之间的防火间距应为相邻变压器外壁的最近水平距离。 </w:t>
      </w:r>
    </w:p>
    <w:p>
      <w:pPr>
        <w:pStyle w:val="BodyText"/>
        <w:spacing w:before="12"/>
        <w:rPr>
          <w:sz w:val="17"/>
        </w:rPr>
      </w:pPr>
    </w:p>
    <w:p>
      <w:pPr>
        <w:pStyle w:val="BodyText"/>
        <w:spacing w:line="446" w:lineRule="auto"/>
        <w:ind w:left="418" w:right="1609" w:firstLine="419"/>
      </w:pPr>
      <w:r>
        <w:rPr/>
        <w:t>变压器与建筑物、储罐或堆场的防火间距，应为变压器外壁至建筑外墙、储罐外壁或相邻堆垛外缘的最近水平距离。 </w:t>
      </w:r>
    </w:p>
    <w:p>
      <w:pPr>
        <w:pStyle w:val="ListParagraph"/>
        <w:numPr>
          <w:ilvl w:val="0"/>
          <w:numId w:val="309"/>
        </w:numPr>
        <w:tabs>
          <w:tab w:pos="1053" w:val="left" w:leader="none"/>
        </w:tabs>
        <w:spacing w:line="446" w:lineRule="auto" w:before="0" w:after="0"/>
        <w:ind w:left="418" w:right="1604" w:firstLine="422"/>
        <w:jc w:val="left"/>
        <w:rPr>
          <w:sz w:val="21"/>
        </w:rPr>
      </w:pPr>
      <w:r>
        <w:rPr>
          <w:b/>
          <w:sz w:val="21"/>
        </w:rPr>
        <w:t>5</w:t>
      </w:r>
      <w:r>
        <w:rPr>
          <w:b/>
          <w:spacing w:val="39"/>
          <w:sz w:val="21"/>
        </w:rPr>
        <w:t> </w:t>
      </w:r>
      <w:r>
        <w:rPr>
          <w:spacing w:val="-3"/>
          <w:sz w:val="21"/>
        </w:rPr>
        <w:t>建筑物、储罐或堆场与道路、铁路的防火间距，应为建筑外墙、储罐外壁或相邻堆垛外缘距道路最近一侧路边或铁路中心线的最小水平距离。</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pPr>
    </w:p>
    <w:p>
      <w:pPr>
        <w:pStyle w:val="BodyText"/>
        <w:spacing w:before="72"/>
        <w:ind w:left="3298"/>
      </w:pPr>
      <w:r>
        <w:rPr>
          <w:w w:val="100"/>
        </w:rPr>
        <w:t> </w:t>
      </w:r>
    </w:p>
    <w:p>
      <w:pPr>
        <w:spacing w:after="0"/>
        <w:sectPr>
          <w:pgSz w:w="11910" w:h="16850"/>
          <w:pgMar w:header="0" w:footer="1239" w:top="1180" w:bottom="1420" w:left="1260" w:right="0"/>
        </w:sectPr>
      </w:pPr>
    </w:p>
    <w:p>
      <w:pPr>
        <w:pStyle w:val="Heading4"/>
        <w:spacing w:before="115"/>
        <w:ind w:left="1166"/>
        <w:rPr>
          <w:sz w:val="32"/>
        </w:rPr>
      </w:pPr>
      <w:r>
        <w:rPr/>
        <w:t>附录 C 隧道内承重结构体的耐火极限试验升温曲线和相应的判定标准</w:t>
      </w:r>
      <w:r>
        <w:rPr>
          <w:w w:val="98"/>
          <w:sz w:val="32"/>
        </w:rPr>
        <w:t> </w:t>
      </w:r>
    </w:p>
    <w:p>
      <w:pPr>
        <w:pStyle w:val="BodyText"/>
        <w:spacing w:before="9"/>
        <w:rPr>
          <w:b/>
          <w:sz w:val="37"/>
        </w:rPr>
      </w:pPr>
    </w:p>
    <w:p>
      <w:pPr>
        <w:pStyle w:val="ListParagraph"/>
        <w:numPr>
          <w:ilvl w:val="0"/>
          <w:numId w:val="309"/>
        </w:numPr>
        <w:tabs>
          <w:tab w:pos="1053" w:val="left" w:leader="none"/>
        </w:tabs>
        <w:spacing w:line="446" w:lineRule="auto" w:before="1" w:after="0"/>
        <w:ind w:left="418" w:right="1554" w:firstLine="422"/>
        <w:jc w:val="left"/>
        <w:rPr>
          <w:sz w:val="21"/>
        </w:rPr>
      </w:pPr>
      <w:r>
        <w:rPr>
          <w:b/>
          <w:sz w:val="21"/>
        </w:rPr>
        <w:t>1</w:t>
      </w:r>
      <w:r>
        <w:rPr>
          <w:b/>
          <w:spacing w:val="10"/>
          <w:sz w:val="21"/>
        </w:rPr>
        <w:t> </w:t>
      </w:r>
      <w:r>
        <w:rPr>
          <w:sz w:val="21"/>
        </w:rPr>
        <w:t>RABT</w:t>
      </w:r>
      <w:r>
        <w:rPr>
          <w:spacing w:val="-14"/>
          <w:sz w:val="21"/>
        </w:rPr>
        <w:t> 和 </w:t>
      </w:r>
      <w:r>
        <w:rPr>
          <w:sz w:val="21"/>
        </w:rPr>
        <w:t>HC</w:t>
      </w:r>
      <w:r>
        <w:rPr>
          <w:spacing w:val="-3"/>
          <w:sz w:val="21"/>
        </w:rPr>
        <w:t> 标准升温曲线应符合现行国家标准《建筑构件耐火试验可供选择和附加的试验程序》</w:t>
      </w:r>
      <w:r>
        <w:rPr>
          <w:sz w:val="21"/>
        </w:rPr>
        <w:t>GB/T 26784</w:t>
      </w:r>
      <w:r>
        <w:rPr>
          <w:spacing w:val="-3"/>
          <w:sz w:val="21"/>
        </w:rPr>
        <w:t> 的规定。</w:t>
      </w:r>
      <w:r>
        <w:rPr>
          <w:sz w:val="21"/>
        </w:rPr>
        <w:t> </w:t>
      </w:r>
    </w:p>
    <w:p>
      <w:pPr>
        <w:pStyle w:val="BodyText"/>
        <w:ind w:left="840"/>
      </w:pPr>
      <w:r>
        <w:rPr>
          <w:b/>
        </w:rPr>
        <w:t>C.2 </w:t>
      </w:r>
      <w:r>
        <w:rPr/>
        <w:t>耐火极限判定标准应符合下列规定： </w:t>
      </w:r>
    </w:p>
    <w:p>
      <w:pPr>
        <w:pStyle w:val="BodyText"/>
        <w:spacing w:before="12"/>
        <w:rPr>
          <w:sz w:val="17"/>
        </w:rPr>
      </w:pPr>
    </w:p>
    <w:p>
      <w:pPr>
        <w:pStyle w:val="BodyText"/>
        <w:ind w:left="838"/>
        <w:jc w:val="both"/>
      </w:pPr>
      <w:r>
        <w:rPr/>
        <w:t>1 当采用 HC 标准升温曲线测试时，耐火极限的判定标准为：受火后，当距离混凝土底表面</w:t>
      </w:r>
    </w:p>
    <w:p>
      <w:pPr>
        <w:pStyle w:val="BodyText"/>
        <w:spacing w:before="1"/>
        <w:rPr>
          <w:sz w:val="18"/>
        </w:rPr>
      </w:pPr>
    </w:p>
    <w:p>
      <w:pPr>
        <w:pStyle w:val="BodyText"/>
        <w:spacing w:line="446" w:lineRule="auto" w:before="1"/>
        <w:ind w:left="418" w:right="1820"/>
        <w:jc w:val="both"/>
      </w:pPr>
      <w:r>
        <w:rPr/>
        <w:t>25mm</w:t>
      </w:r>
      <w:r>
        <w:rPr>
          <w:spacing w:val="-6"/>
        </w:rPr>
        <w:t> 处钢筋的温度超过 </w:t>
      </w:r>
      <w:r>
        <w:rPr/>
        <w:t>250</w:t>
      </w:r>
      <w:r>
        <w:rPr>
          <w:spacing w:val="-6"/>
        </w:rPr>
        <w:t>℃，或者混凝土表面的温度超过 </w:t>
      </w:r>
      <w:r>
        <w:rPr/>
        <w:t>380</w:t>
      </w:r>
      <w:r>
        <w:rPr>
          <w:spacing w:val="-3"/>
        </w:rPr>
        <w:t>℃时，则判定为达到耐火极限。</w:t>
      </w:r>
      <w:r>
        <w:rPr/>
        <w:t> </w:t>
      </w:r>
    </w:p>
    <w:p>
      <w:pPr>
        <w:pStyle w:val="BodyText"/>
        <w:spacing w:line="446" w:lineRule="auto"/>
        <w:ind w:left="418" w:right="1431" w:firstLine="419"/>
        <w:jc w:val="both"/>
      </w:pPr>
      <w:r>
        <w:rPr/>
        <w:t>2</w:t>
      </w:r>
      <w:r>
        <w:rPr>
          <w:spacing w:val="-5"/>
        </w:rPr>
        <w:t> 当采用 </w:t>
      </w:r>
      <w:r>
        <w:rPr/>
        <w:t>RABT</w:t>
      </w:r>
      <w:r>
        <w:rPr>
          <w:spacing w:val="-3"/>
        </w:rPr>
        <w:t> 标准升温曲线测试时，耐火极限的判定标准为：受火后，当距离混凝土底表</w:t>
      </w:r>
      <w:r>
        <w:rPr>
          <w:spacing w:val="-14"/>
        </w:rPr>
        <w:t>面 </w:t>
      </w:r>
      <w:r>
        <w:rPr/>
        <w:t>25mm 处钢筋的温度超过 300</w:t>
      </w:r>
      <w:r>
        <w:rPr>
          <w:spacing w:val="-5"/>
        </w:rPr>
        <w:t>℃，或者混凝土表面的温度超过 </w:t>
      </w:r>
      <w:r>
        <w:rPr/>
        <w:t>380</w:t>
      </w:r>
      <w:r>
        <w:rPr>
          <w:spacing w:val="-3"/>
        </w:rPr>
        <w:t>℃时，则判定为达到耐火极限。</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p>
    <w:p>
      <w:pPr>
        <w:pStyle w:val="BodyText"/>
        <w:spacing w:before="72"/>
        <w:ind w:left="838"/>
      </w:pPr>
      <w:r>
        <w:rPr>
          <w:w w:val="100"/>
        </w:rPr>
        <w:t> </w:t>
      </w:r>
    </w:p>
    <w:p>
      <w:pPr>
        <w:spacing w:after="0"/>
        <w:sectPr>
          <w:pgSz w:w="11910" w:h="16850"/>
          <w:pgMar w:header="0" w:footer="1239" w:top="1120" w:bottom="1420" w:left="1260" w:right="0"/>
        </w:sectPr>
      </w:pPr>
    </w:p>
    <w:p>
      <w:pPr>
        <w:pStyle w:val="Heading2"/>
        <w:ind w:right="868"/>
      </w:pPr>
      <w:bookmarkStart w:name="_bookmark12" w:id="13"/>
      <w:bookmarkEnd w:id="13"/>
      <w:r>
        <w:rPr>
          <w:b w:val="0"/>
        </w:rPr>
      </w:r>
      <w:r>
        <w:rPr/>
        <w:t>消火栓箱</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本标准规定了消火栓箱（以下简称栓箱）的分类、要求、试验方法、检验规则、标志、使用说明书、包装、运输和贮存等。 </w:t>
      </w:r>
    </w:p>
    <w:p>
      <w:pPr>
        <w:pStyle w:val="BodyText"/>
        <w:ind w:left="838"/>
      </w:pPr>
      <w:r>
        <w:rPr/>
        <w:t>本标准适用于建筑物内室内消火栓给水系统用栓箱。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8" w:firstLine="419"/>
        <w:jc w:val="both"/>
      </w:pPr>
      <w:r>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 </w:t>
      </w:r>
    </w:p>
    <w:p>
      <w:pPr>
        <w:pStyle w:val="BodyText"/>
        <w:spacing w:line="269" w:lineRule="exact"/>
        <w:ind w:left="838"/>
        <w:jc w:val="both"/>
      </w:pPr>
      <w:r>
        <w:rPr/>
        <w:t>GB/T1173 铸造铝合金 </w:t>
      </w:r>
    </w:p>
    <w:p>
      <w:pPr>
        <w:pStyle w:val="BodyText"/>
        <w:rPr>
          <w:sz w:val="18"/>
        </w:rPr>
      </w:pPr>
    </w:p>
    <w:p>
      <w:pPr>
        <w:pStyle w:val="BodyText"/>
        <w:spacing w:line="446" w:lineRule="auto"/>
        <w:ind w:left="838" w:right="3452"/>
      </w:pPr>
      <w:r>
        <w:rPr/>
        <w:t>GB/T1176 铸造铜合金技术条件(GB 1176—1987，neq ISO 1338—77) GB 3265 内扣式消防接口 </w:t>
      </w:r>
    </w:p>
    <w:p>
      <w:pPr>
        <w:pStyle w:val="BodyText"/>
        <w:ind w:left="838"/>
      </w:pPr>
      <w:r>
        <w:rPr/>
        <w:t>GB 3445—1993 室内消火栓 </w:t>
      </w:r>
    </w:p>
    <w:p>
      <w:pPr>
        <w:pStyle w:val="BodyText"/>
        <w:spacing w:before="12"/>
        <w:rPr>
          <w:sz w:val="17"/>
        </w:rPr>
      </w:pPr>
    </w:p>
    <w:p>
      <w:pPr>
        <w:pStyle w:val="BodyText"/>
        <w:spacing w:line="446" w:lineRule="auto"/>
        <w:ind w:left="838" w:right="3608"/>
      </w:pPr>
      <w:r>
        <w:rPr/>
        <w:t>GB/T 4942.2—1993 低压电器外壳防护等级(eqv IEC 947-1:1988) GB 6246 有衬里消防水带性能要求和试验方法 </w:t>
      </w:r>
    </w:p>
    <w:p>
      <w:pPr>
        <w:pStyle w:val="BodyText"/>
        <w:spacing w:line="446" w:lineRule="auto"/>
        <w:ind w:left="838" w:right="6181"/>
      </w:pPr>
      <w:r>
        <w:rPr/>
        <w:t>GB 8181</w:t>
      </w:r>
      <w:r>
        <w:rPr>
          <w:spacing w:val="-9"/>
        </w:rPr>
        <w:t> 消防水枪性能要求和试验方法</w:t>
      </w:r>
      <w:r>
        <w:rPr/>
        <w:t>GB 9969. 1</w:t>
      </w:r>
      <w:r>
        <w:rPr>
          <w:spacing w:val="-8"/>
        </w:rPr>
        <w:t> 工业产品使用说明书总则</w:t>
      </w:r>
      <w:r>
        <w:rPr/>
        <w:t>HG</w:t>
      </w:r>
      <w:r>
        <w:rPr>
          <w:spacing w:val="1"/>
        </w:rPr>
        <w:t> </w:t>
      </w:r>
      <w:r>
        <w:rPr/>
        <w:t>2184</w:t>
      </w:r>
      <w:r>
        <w:rPr>
          <w:spacing w:val="-9"/>
        </w:rPr>
        <w:t> 输水、通用橡胶软管</w:t>
      </w:r>
      <w:r>
        <w:rPr/>
        <w:t> </w:t>
      </w:r>
    </w:p>
    <w:p>
      <w:pPr>
        <w:pStyle w:val="Heading4"/>
        <w:spacing w:line="277" w:lineRule="exact"/>
      </w:pPr>
      <w:r>
        <w:rPr/>
        <w:t>3 术语和定义</w:t>
      </w:r>
      <w:r>
        <w:rPr>
          <w:w w:val="99"/>
        </w:rPr>
        <w:t> </w:t>
      </w:r>
    </w:p>
    <w:p>
      <w:pPr>
        <w:pStyle w:val="BodyText"/>
        <w:spacing w:before="4"/>
        <w:rPr>
          <w:b/>
          <w:sz w:val="17"/>
        </w:rPr>
      </w:pPr>
    </w:p>
    <w:p>
      <w:pPr>
        <w:pStyle w:val="BodyText"/>
        <w:ind w:left="838"/>
      </w:pPr>
      <w:r>
        <w:rPr/>
        <w:t>下列术语和定义适用于本标准。 </w:t>
      </w:r>
    </w:p>
    <w:p>
      <w:pPr>
        <w:pStyle w:val="BodyText"/>
        <w:rPr>
          <w:sz w:val="18"/>
        </w:rPr>
      </w:pPr>
    </w:p>
    <w:p>
      <w:pPr>
        <w:pStyle w:val="BodyText"/>
        <w:ind w:left="840"/>
        <w:jc w:val="both"/>
      </w:pPr>
      <w:r>
        <w:rPr>
          <w:b/>
        </w:rPr>
        <w:t>3.1</w:t>
      </w:r>
      <w:r>
        <w:rPr>
          <w:b/>
          <w:spacing w:val="-51"/>
        </w:rPr>
        <w:t> </w:t>
      </w:r>
      <w:r>
        <w:rPr>
          <w:spacing w:val="-3"/>
        </w:rPr>
        <w:t>消火栓箱 </w:t>
      </w:r>
      <w:r>
        <w:rPr/>
        <w:t>Fire hydrant box </w:t>
      </w:r>
    </w:p>
    <w:p>
      <w:pPr>
        <w:pStyle w:val="BodyText"/>
        <w:spacing w:before="1"/>
        <w:rPr>
          <w:sz w:val="18"/>
        </w:rPr>
      </w:pPr>
    </w:p>
    <w:p>
      <w:pPr>
        <w:pStyle w:val="BodyText"/>
        <w:spacing w:line="446" w:lineRule="auto" w:before="1"/>
        <w:ind w:left="418" w:right="1608" w:firstLine="419"/>
        <w:jc w:val="both"/>
      </w:pPr>
      <w:r>
        <w:rPr/>
        <w:t>指安装在建筑物内的消防给水管路上，由箱体、室内消火栓、消防接口、水带、水枪、消防软管卷盘及电器设备等消防器材组成的具有给水、灭火、控制、报警等功能的箱状固定式消防装置。 </w:t>
      </w:r>
    </w:p>
    <w:p>
      <w:pPr>
        <w:pStyle w:val="Heading4"/>
        <w:spacing w:line="277" w:lineRule="exact"/>
      </w:pPr>
      <w:r>
        <w:rPr/>
        <w:t>4 分类</w:t>
      </w:r>
      <w:r>
        <w:rPr>
          <w:w w:val="99"/>
        </w:rPr>
        <w:t> </w:t>
      </w:r>
    </w:p>
    <w:p>
      <w:pPr>
        <w:pStyle w:val="BodyText"/>
        <w:spacing w:before="3"/>
        <w:rPr>
          <w:b/>
          <w:sz w:val="17"/>
        </w:rPr>
      </w:pPr>
    </w:p>
    <w:p>
      <w:pPr>
        <w:pStyle w:val="ListParagraph"/>
        <w:numPr>
          <w:ilvl w:val="1"/>
          <w:numId w:val="310"/>
        </w:numPr>
        <w:tabs>
          <w:tab w:pos="1159" w:val="left" w:leader="none"/>
        </w:tabs>
        <w:spacing w:line="240" w:lineRule="auto" w:before="1" w:after="0"/>
        <w:ind w:left="1158" w:right="0" w:hanging="319"/>
        <w:jc w:val="left"/>
        <w:rPr>
          <w:b/>
          <w:sz w:val="21"/>
        </w:rPr>
      </w:pPr>
      <w:r>
        <w:rPr>
          <w:spacing w:val="-3"/>
          <w:sz w:val="21"/>
        </w:rPr>
        <w:t>形式</w:t>
      </w:r>
      <w:r>
        <w:rPr>
          <w:b/>
          <w:w w:val="99"/>
          <w:sz w:val="21"/>
        </w:rPr>
        <w:t> </w:t>
      </w:r>
    </w:p>
    <w:p>
      <w:pPr>
        <w:spacing w:after="0" w:line="240" w:lineRule="auto"/>
        <w:jc w:val="left"/>
        <w:rPr>
          <w:sz w:val="21"/>
        </w:rPr>
        <w:sectPr>
          <w:pgSz w:w="11910" w:h="16850"/>
          <w:pgMar w:header="0" w:footer="1239" w:top="1140" w:bottom="1420" w:left="1260" w:right="0"/>
        </w:sectPr>
      </w:pPr>
    </w:p>
    <w:p>
      <w:pPr>
        <w:pStyle w:val="ListParagraph"/>
        <w:numPr>
          <w:ilvl w:val="2"/>
          <w:numId w:val="310"/>
        </w:numPr>
        <w:tabs>
          <w:tab w:pos="1371" w:val="left" w:leader="none"/>
        </w:tabs>
        <w:spacing w:line="446" w:lineRule="auto" w:before="47" w:after="0"/>
        <w:ind w:left="838" w:right="6753" w:firstLine="2"/>
        <w:jc w:val="left"/>
        <w:rPr>
          <w:sz w:val="21"/>
        </w:rPr>
      </w:pPr>
      <w:r>
        <w:rPr>
          <w:spacing w:val="-3"/>
          <w:sz w:val="21"/>
        </w:rPr>
        <w:t>栓箱按安装方式可分为： </w:t>
      </w:r>
      <w:r>
        <w:rPr>
          <w:sz w:val="21"/>
        </w:rPr>
        <w:t>a)</w:t>
      </w:r>
      <w:r>
        <w:rPr>
          <w:spacing w:val="-3"/>
          <w:sz w:val="21"/>
        </w:rPr>
        <w:t> 明装式；</w:t>
      </w:r>
      <w:r>
        <w:rPr>
          <w:sz w:val="21"/>
        </w:rPr>
        <w:t> </w:t>
      </w:r>
    </w:p>
    <w:p>
      <w:pPr>
        <w:pStyle w:val="BodyText"/>
        <w:spacing w:line="446" w:lineRule="auto"/>
        <w:ind w:left="838" w:right="8335"/>
      </w:pPr>
      <w:r>
        <w:rPr/>
        <w:t>b)  暗装式； c)</w:t>
      </w:r>
      <w:r>
        <w:rPr>
          <w:spacing w:val="-2"/>
        </w:rPr>
        <w:t> 半暗装式。</w:t>
      </w:r>
      <w:r>
        <w:rPr/>
        <w:t> </w:t>
      </w:r>
    </w:p>
    <w:p>
      <w:pPr>
        <w:pStyle w:val="ListParagraph"/>
        <w:numPr>
          <w:ilvl w:val="2"/>
          <w:numId w:val="310"/>
        </w:numPr>
        <w:tabs>
          <w:tab w:pos="1370" w:val="left" w:leader="none"/>
        </w:tabs>
        <w:spacing w:line="446" w:lineRule="auto" w:before="0" w:after="0"/>
        <w:ind w:left="838" w:right="6753" w:firstLine="2"/>
        <w:jc w:val="left"/>
        <w:rPr>
          <w:sz w:val="21"/>
        </w:rPr>
      </w:pPr>
      <w:r>
        <w:rPr>
          <w:spacing w:val="-3"/>
          <w:sz w:val="21"/>
        </w:rPr>
        <w:t>栓箱按箱门形式可分为： </w:t>
      </w:r>
      <w:r>
        <w:rPr>
          <w:sz w:val="21"/>
        </w:rPr>
        <w:t>a)</w:t>
      </w:r>
      <w:r>
        <w:rPr>
          <w:spacing w:val="-3"/>
          <w:sz w:val="21"/>
        </w:rPr>
        <w:t> 左开门式；</w:t>
      </w:r>
      <w:r>
        <w:rPr>
          <w:sz w:val="21"/>
        </w:rPr>
        <w:t> </w:t>
      </w:r>
    </w:p>
    <w:p>
      <w:pPr>
        <w:pStyle w:val="BodyText"/>
        <w:spacing w:line="446" w:lineRule="auto"/>
        <w:ind w:left="838" w:right="8229"/>
        <w:jc w:val="both"/>
      </w:pPr>
      <w:r>
        <w:rPr/>
        <w:t>b) 右开门式； c) 双开门式； d)</w:t>
      </w:r>
      <w:r>
        <w:rPr>
          <w:spacing w:val="-3"/>
        </w:rPr>
        <w:t>前后开门式；</w:t>
      </w:r>
      <w:r>
        <w:rPr/>
        <w:t> </w:t>
      </w:r>
    </w:p>
    <w:p>
      <w:pPr>
        <w:pStyle w:val="ListParagraph"/>
        <w:numPr>
          <w:ilvl w:val="2"/>
          <w:numId w:val="310"/>
        </w:numPr>
        <w:tabs>
          <w:tab w:pos="1371" w:val="left" w:leader="none"/>
        </w:tabs>
        <w:spacing w:line="446" w:lineRule="auto" w:before="0" w:after="0"/>
        <w:ind w:left="838" w:right="6753" w:firstLine="2"/>
        <w:jc w:val="left"/>
        <w:rPr>
          <w:sz w:val="21"/>
        </w:rPr>
      </w:pPr>
      <w:r>
        <w:rPr>
          <w:spacing w:val="-3"/>
          <w:sz w:val="21"/>
        </w:rPr>
        <w:t>栓箱按箱门材料可分为： </w:t>
      </w:r>
      <w:r>
        <w:rPr>
          <w:sz w:val="21"/>
        </w:rPr>
        <w:t>a)</w:t>
      </w:r>
      <w:r>
        <w:rPr>
          <w:spacing w:val="-3"/>
          <w:sz w:val="21"/>
        </w:rPr>
        <w:t> 全钢型；</w:t>
      </w:r>
      <w:r>
        <w:rPr>
          <w:sz w:val="21"/>
        </w:rPr>
        <w:t> </w:t>
      </w:r>
    </w:p>
    <w:p>
      <w:pPr>
        <w:pStyle w:val="ListParagraph"/>
        <w:numPr>
          <w:ilvl w:val="0"/>
          <w:numId w:val="311"/>
        </w:numPr>
        <w:tabs>
          <w:tab w:pos="1051" w:val="left" w:leader="none"/>
        </w:tabs>
        <w:spacing w:line="267" w:lineRule="exact" w:before="0" w:after="0"/>
        <w:ind w:left="1050" w:right="0" w:hanging="213"/>
        <w:jc w:val="left"/>
        <w:rPr>
          <w:sz w:val="21"/>
        </w:rPr>
      </w:pPr>
      <w:r>
        <w:rPr>
          <w:spacing w:val="-3"/>
          <w:sz w:val="21"/>
        </w:rPr>
        <w:t>钢框镶玻璃型；</w:t>
      </w:r>
      <w:r>
        <w:rPr>
          <w:sz w:val="21"/>
        </w:rPr>
        <w:t> </w:t>
      </w:r>
    </w:p>
    <w:p>
      <w:pPr>
        <w:pStyle w:val="BodyText"/>
        <w:spacing w:before="12"/>
        <w:rPr>
          <w:sz w:val="17"/>
        </w:rPr>
      </w:pPr>
    </w:p>
    <w:p>
      <w:pPr>
        <w:pStyle w:val="ListParagraph"/>
        <w:numPr>
          <w:ilvl w:val="0"/>
          <w:numId w:val="311"/>
        </w:numPr>
        <w:tabs>
          <w:tab w:pos="1051" w:val="left" w:leader="none"/>
        </w:tabs>
        <w:spacing w:line="446" w:lineRule="auto" w:before="0" w:after="0"/>
        <w:ind w:left="838" w:right="7494" w:firstLine="0"/>
        <w:jc w:val="left"/>
        <w:rPr>
          <w:sz w:val="21"/>
        </w:rPr>
      </w:pPr>
      <w:r>
        <w:rPr>
          <w:spacing w:val="-3"/>
          <w:sz w:val="21"/>
        </w:rPr>
        <w:t>铝合金框镶玻璃型； </w:t>
      </w:r>
      <w:r>
        <w:rPr>
          <w:sz w:val="21"/>
        </w:rPr>
        <w:t>d)</w:t>
      </w:r>
      <w:r>
        <w:rPr>
          <w:spacing w:val="-3"/>
          <w:sz w:val="21"/>
        </w:rPr>
        <w:t> 其他材料型。</w:t>
      </w:r>
      <w:r>
        <w:rPr>
          <w:sz w:val="21"/>
        </w:rPr>
        <w:t> </w:t>
      </w:r>
    </w:p>
    <w:p>
      <w:pPr>
        <w:pStyle w:val="ListParagraph"/>
        <w:numPr>
          <w:ilvl w:val="2"/>
          <w:numId w:val="310"/>
        </w:numPr>
        <w:tabs>
          <w:tab w:pos="1370" w:val="left" w:leader="none"/>
        </w:tabs>
        <w:spacing w:line="446" w:lineRule="auto" w:before="0" w:after="0"/>
        <w:ind w:left="838" w:right="6333" w:firstLine="2"/>
        <w:jc w:val="left"/>
        <w:rPr>
          <w:sz w:val="21"/>
        </w:rPr>
      </w:pPr>
      <w:r>
        <w:rPr>
          <w:spacing w:val="-3"/>
          <w:sz w:val="21"/>
        </w:rPr>
        <w:t>栓箱按水带安置方式可分为： </w:t>
      </w:r>
      <w:r>
        <w:rPr>
          <w:sz w:val="21"/>
        </w:rPr>
        <w:t>a)</w:t>
      </w:r>
      <w:r>
        <w:rPr>
          <w:spacing w:val="-3"/>
          <w:sz w:val="21"/>
        </w:rPr>
        <w:t> 挂置式</w:t>
      </w:r>
      <w:r>
        <w:rPr>
          <w:sz w:val="21"/>
        </w:rPr>
        <w:t>（</w:t>
      </w:r>
      <w:r>
        <w:rPr>
          <w:spacing w:val="-19"/>
          <w:sz w:val="21"/>
        </w:rPr>
        <w:t>见图 </w:t>
      </w:r>
      <w:r>
        <w:rPr>
          <w:sz w:val="21"/>
        </w:rPr>
        <w:t>1)； </w:t>
      </w:r>
    </w:p>
    <w:p>
      <w:pPr>
        <w:pStyle w:val="BodyText"/>
        <w:spacing w:line="446" w:lineRule="auto"/>
        <w:ind w:left="838" w:right="7384"/>
      </w:pPr>
      <w:r>
        <w:rPr/>
        <w:t>b)</w:t>
      </w:r>
      <w:r>
        <w:rPr>
          <w:spacing w:val="20"/>
        </w:rPr>
        <w:t> 盘卷式</w:t>
      </w:r>
      <w:r>
        <w:rPr/>
        <w:t>（</w:t>
      </w:r>
      <w:r>
        <w:rPr>
          <w:spacing w:val="11"/>
        </w:rPr>
        <w:t>见图 </w:t>
      </w:r>
      <w:r>
        <w:rPr/>
        <w:t>2)； C)</w:t>
      </w:r>
      <w:r>
        <w:rPr>
          <w:spacing w:val="20"/>
        </w:rPr>
        <w:t> 卷置式</w:t>
      </w:r>
      <w:r>
        <w:rPr/>
        <w:t>（</w:t>
      </w:r>
      <w:r>
        <w:rPr>
          <w:spacing w:val="11"/>
        </w:rPr>
        <w:t>见图 </w:t>
      </w:r>
      <w:r>
        <w:rPr/>
        <w:t>3)； d)</w:t>
      </w:r>
      <w:r>
        <w:rPr>
          <w:spacing w:val="7"/>
        </w:rPr>
        <w:t> 托架式</w:t>
      </w:r>
      <w:r>
        <w:rPr/>
        <w:t>（</w:t>
      </w:r>
      <w:r>
        <w:rPr>
          <w:spacing w:val="-7"/>
        </w:rPr>
        <w:t>见图 </w:t>
      </w:r>
      <w:r>
        <w:rPr/>
        <w:t>4</w:t>
      </w:r>
      <w:r>
        <w:rPr>
          <w:spacing w:val="-2"/>
        </w:rPr>
        <w:t>)。</w:t>
      </w:r>
      <w:r>
        <w:rPr>
          <w:b/>
        </w:rPr>
        <w:t>4.2</w:t>
      </w:r>
      <w:r>
        <w:rPr>
          <w:b/>
          <w:spacing w:val="6"/>
        </w:rPr>
        <w:t> </w:t>
      </w:r>
      <w:r>
        <w:rPr>
          <w:spacing w:val="-3"/>
        </w:rPr>
        <w:t>基本参数及基本型号</w:t>
      </w:r>
      <w:r>
        <w:rPr/>
        <w:t> </w:t>
      </w:r>
    </w:p>
    <w:p>
      <w:pPr>
        <w:spacing w:line="267" w:lineRule="exact" w:before="0"/>
        <w:ind w:left="840" w:right="0" w:firstLine="0"/>
        <w:jc w:val="left"/>
        <w:rPr>
          <w:b/>
          <w:sz w:val="21"/>
        </w:rPr>
      </w:pPr>
      <w:r>
        <w:rPr>
          <w:b/>
          <w:sz w:val="21"/>
        </w:rPr>
        <w:t>4.2.1</w:t>
      </w:r>
      <w:r>
        <w:rPr>
          <w:b/>
          <w:spacing w:val="5"/>
          <w:sz w:val="21"/>
        </w:rPr>
        <w:t> </w:t>
      </w:r>
      <w:r>
        <w:rPr>
          <w:spacing w:val="-3"/>
          <w:sz w:val="21"/>
        </w:rPr>
        <w:t>基本参数</w:t>
      </w:r>
      <w:r>
        <w:rPr>
          <w:b/>
          <w:w w:val="99"/>
          <w:sz w:val="21"/>
        </w:rPr>
        <w:t> </w:t>
      </w:r>
    </w:p>
    <w:p>
      <w:pPr>
        <w:pStyle w:val="BodyText"/>
        <w:spacing w:before="12"/>
        <w:rPr>
          <w:b/>
          <w:sz w:val="17"/>
        </w:rPr>
      </w:pPr>
    </w:p>
    <w:p>
      <w:pPr>
        <w:pStyle w:val="BodyText"/>
        <w:spacing w:line="446" w:lineRule="auto"/>
        <w:ind w:left="840" w:right="3764" w:hanging="3"/>
        <w:rPr>
          <w:b/>
        </w:rPr>
      </w:pPr>
      <w:r>
        <w:rPr>
          <w:spacing w:val="-3"/>
        </w:rPr>
        <w:t>栓箱的基本参数以箱体的长边、短边和厚度尺寸表示</w:t>
      </w:r>
      <w:r>
        <w:rPr/>
        <w:t>（</w:t>
      </w:r>
      <w:r>
        <w:rPr>
          <w:spacing w:val="-16"/>
        </w:rPr>
        <w:t>见表 </w:t>
      </w:r>
      <w:r>
        <w:rPr/>
        <w:t>1</w:t>
      </w:r>
      <w:r>
        <w:rPr>
          <w:spacing w:val="-2"/>
        </w:rPr>
        <w:t>)。</w:t>
      </w:r>
      <w:r>
        <w:rPr>
          <w:b/>
        </w:rPr>
        <w:t>4.2.2</w:t>
      </w:r>
      <w:r>
        <w:rPr>
          <w:b/>
          <w:spacing w:val="1"/>
        </w:rPr>
        <w:t> </w:t>
      </w:r>
      <w:r>
        <w:rPr>
          <w:spacing w:val="-3"/>
        </w:rPr>
        <w:t>基本型号</w:t>
      </w:r>
      <w:r>
        <w:rPr>
          <w:b/>
          <w:w w:val="99"/>
        </w:rPr>
        <w:t> </w:t>
      </w:r>
    </w:p>
    <w:p>
      <w:pPr>
        <w:pStyle w:val="BodyText"/>
        <w:spacing w:line="446" w:lineRule="auto"/>
        <w:ind w:left="840" w:right="1978" w:hanging="3"/>
      </w:pPr>
      <w:r>
        <w:rPr/>
        <w:t>栓箱的基本型号表示箱体的基本参数以及箱内主要消防器材的配置情况（见表 1）。</w:t>
      </w:r>
      <w:r>
        <w:rPr>
          <w:b/>
        </w:rPr>
        <w:t>4.3 </w:t>
      </w:r>
      <w:r>
        <w:rPr/>
        <w:t>栓箱型号表示方法 </w:t>
      </w:r>
    </w:p>
    <w:p>
      <w:pPr>
        <w:pStyle w:val="BodyText"/>
        <w:ind w:left="838"/>
      </w:pPr>
      <w:r>
        <w:rPr/>
        <w:t>栓箱型号由“基本型号”和“形式代号”两部分组成。其形式如下： </w:t>
      </w:r>
    </w:p>
    <w:p>
      <w:pPr>
        <w:pStyle w:val="BodyText"/>
        <w:rPr>
          <w:sz w:val="20"/>
        </w:rPr>
      </w:pPr>
    </w:p>
    <w:p>
      <w:pPr>
        <w:pStyle w:val="BodyText"/>
        <w:rPr>
          <w:sz w:val="20"/>
        </w:rPr>
      </w:pPr>
    </w:p>
    <w:p>
      <w:pPr>
        <w:pStyle w:val="BodyText"/>
        <w:spacing w:before="12"/>
        <w:rPr>
          <w:sz w:val="16"/>
        </w:rPr>
      </w:pPr>
    </w:p>
    <w:p>
      <w:pPr>
        <w:pStyle w:val="BodyText"/>
        <w:ind w:left="838"/>
      </w:pPr>
      <w:r>
        <w:rPr>
          <w:w w:val="100"/>
        </w:rPr>
        <w:t> </w:t>
      </w:r>
    </w:p>
    <w:p>
      <w:pPr>
        <w:spacing w:after="0"/>
        <w:sectPr>
          <w:pgSz w:w="11910" w:h="16850"/>
          <w:pgMar w:header="0" w:footer="1239" w:top="1220" w:bottom="1420" w:left="1260" w:right="0"/>
        </w:sectPr>
      </w:pPr>
    </w:p>
    <w:p>
      <w:pPr>
        <w:pStyle w:val="BodyText"/>
        <w:spacing w:before="7"/>
      </w:pPr>
    </w:p>
    <w:p>
      <w:pPr>
        <w:pStyle w:val="BodyText"/>
        <w:ind w:left="748"/>
        <w:rPr>
          <w:sz w:val="20"/>
        </w:rPr>
      </w:pPr>
      <w:r>
        <w:rPr>
          <w:sz w:val="20"/>
        </w:rPr>
        <w:drawing>
          <wp:inline distT="0" distB="0" distL="0" distR="0">
            <wp:extent cx="4681854" cy="3133725"/>
            <wp:effectExtent l="0" t="0" r="0" b="0"/>
            <wp:docPr id="249" name="image153.jpeg"/>
            <wp:cNvGraphicFramePr>
              <a:graphicFrameLocks noChangeAspect="1"/>
            </wp:cNvGraphicFramePr>
            <a:graphic>
              <a:graphicData uri="http://schemas.openxmlformats.org/drawingml/2006/picture">
                <pic:pic>
                  <pic:nvPicPr>
                    <pic:cNvPr id="250" name="image153.jpeg"/>
                    <pic:cNvPicPr/>
                  </pic:nvPicPr>
                  <pic:blipFill>
                    <a:blip r:embed="rId168" cstate="print"/>
                    <a:stretch>
                      <a:fillRect/>
                    </a:stretch>
                  </pic:blipFill>
                  <pic:spPr>
                    <a:xfrm>
                      <a:off x="0" y="0"/>
                      <a:ext cx="4681854" cy="3133725"/>
                    </a:xfrm>
                    <a:prstGeom prst="rect">
                      <a:avLst/>
                    </a:prstGeom>
                  </pic:spPr>
                </pic:pic>
              </a:graphicData>
            </a:graphic>
          </wp:inline>
        </w:drawing>
      </w:r>
      <w:r>
        <w:rPr>
          <w:sz w:val="20"/>
        </w:rPr>
      </w:r>
    </w:p>
    <w:p>
      <w:pPr>
        <w:pStyle w:val="BodyText"/>
        <w:rPr>
          <w:sz w:val="20"/>
        </w:rPr>
      </w:pPr>
    </w:p>
    <w:p>
      <w:pPr>
        <w:pStyle w:val="BodyText"/>
        <w:spacing w:before="6"/>
        <w:rPr>
          <w:sz w:val="28"/>
        </w:rPr>
      </w:pPr>
    </w:p>
    <w:p>
      <w:pPr>
        <w:spacing w:before="71"/>
        <w:ind w:left="840" w:right="0" w:firstLine="0"/>
        <w:jc w:val="left"/>
        <w:rPr>
          <w:b/>
          <w:sz w:val="21"/>
        </w:rPr>
      </w:pPr>
      <w:r>
        <w:rPr>
          <w:b/>
          <w:sz w:val="21"/>
        </w:rPr>
        <w:t>4.3.1 </w:t>
      </w:r>
      <w:r>
        <w:rPr>
          <w:sz w:val="21"/>
        </w:rPr>
        <w:t>基本型号</w:t>
      </w:r>
      <w:r>
        <w:rPr>
          <w:b/>
          <w:w w:val="99"/>
          <w:sz w:val="21"/>
        </w:rPr>
        <w:t> </w:t>
      </w:r>
    </w:p>
    <w:p>
      <w:pPr>
        <w:pStyle w:val="BodyText"/>
        <w:rPr>
          <w:b/>
          <w:sz w:val="18"/>
        </w:rPr>
      </w:pPr>
    </w:p>
    <w:p>
      <w:pPr>
        <w:pStyle w:val="BodyText"/>
        <w:ind w:left="838"/>
      </w:pPr>
      <w:r>
        <w:rPr/>
        <w:t>箱体的长短边尺寸代号按表 1 规定。 </w:t>
      </w:r>
    </w:p>
    <w:p>
      <w:pPr>
        <w:pStyle w:val="BodyText"/>
        <w:rPr>
          <w:sz w:val="18"/>
        </w:rPr>
      </w:pPr>
    </w:p>
    <w:p>
      <w:pPr>
        <w:pStyle w:val="BodyText"/>
        <w:spacing w:line="446" w:lineRule="auto"/>
        <w:ind w:left="840" w:right="3294" w:hanging="3"/>
        <w:rPr>
          <w:b/>
        </w:rPr>
      </w:pPr>
      <w:r>
        <w:rPr/>
        <w:t>栓箱内配置消防软管卷盘时用代号“Z”表示，不配置者不标注代号。</w:t>
      </w:r>
      <w:r>
        <w:rPr>
          <w:b/>
        </w:rPr>
        <w:t>4.3.2 </w:t>
      </w:r>
      <w:r>
        <w:rPr/>
        <w:t>形式代号</w:t>
      </w:r>
      <w:r>
        <w:rPr>
          <w:b/>
          <w:w w:val="99"/>
        </w:rPr>
        <w:t> </w:t>
      </w:r>
    </w:p>
    <w:p>
      <w:pPr>
        <w:spacing w:before="0"/>
        <w:ind w:left="840" w:right="0" w:firstLine="0"/>
        <w:jc w:val="left"/>
        <w:rPr>
          <w:sz w:val="21"/>
        </w:rPr>
      </w:pPr>
      <w:r>
        <w:rPr>
          <w:b/>
          <w:sz w:val="21"/>
        </w:rPr>
        <w:t>4.3.2.1 </w:t>
      </w:r>
      <w:r>
        <w:rPr>
          <w:sz w:val="21"/>
        </w:rPr>
        <w:t>水带安置方式代号 </w:t>
      </w:r>
    </w:p>
    <w:p>
      <w:pPr>
        <w:pStyle w:val="BodyText"/>
        <w:spacing w:before="12"/>
        <w:rPr>
          <w:sz w:val="17"/>
        </w:rPr>
      </w:pPr>
    </w:p>
    <w:p>
      <w:pPr>
        <w:pStyle w:val="BodyText"/>
        <w:ind w:left="838"/>
      </w:pPr>
      <w:r>
        <w:rPr/>
        <w:t>水带为挂置式不用代号表示，其余方式分别用下述代号表示： </w:t>
      </w:r>
    </w:p>
    <w:p>
      <w:pPr>
        <w:pStyle w:val="BodyText"/>
        <w:spacing w:before="2"/>
        <w:rPr>
          <w:sz w:val="18"/>
        </w:rPr>
      </w:pPr>
    </w:p>
    <w:p>
      <w:pPr>
        <w:pStyle w:val="BodyText"/>
        <w:ind w:left="838"/>
      </w:pPr>
      <w:r>
        <w:rPr>
          <w:w w:val="100"/>
        </w:rPr>
        <w:t> </w:t>
      </w:r>
      <w:r>
        <w:rPr/>
        <w:t>“P”（盘)——盘卷式； </w:t>
      </w:r>
    </w:p>
    <w:p>
      <w:pPr>
        <w:pStyle w:val="BodyText"/>
        <w:rPr>
          <w:sz w:val="18"/>
        </w:rPr>
      </w:pPr>
    </w:p>
    <w:p>
      <w:pPr>
        <w:pStyle w:val="BodyText"/>
        <w:ind w:left="838"/>
      </w:pPr>
      <w:r>
        <w:rPr>
          <w:w w:val="100"/>
        </w:rPr>
        <w:t> </w:t>
      </w:r>
      <w:r>
        <w:rPr>
          <w:spacing w:val="-1"/>
        </w:rPr>
        <w:t>“J</w:t>
      </w:r>
      <w:r>
        <w:rPr>
          <w:spacing w:val="-3"/>
        </w:rPr>
        <w:t>”(卷)一卷置式； </w:t>
      </w:r>
    </w:p>
    <w:p>
      <w:pPr>
        <w:pStyle w:val="BodyText"/>
        <w:spacing w:before="12"/>
        <w:rPr>
          <w:sz w:val="17"/>
        </w:rPr>
      </w:pPr>
    </w:p>
    <w:p>
      <w:pPr>
        <w:spacing w:line="446" w:lineRule="auto" w:before="0"/>
        <w:ind w:left="840" w:right="7389" w:hanging="3"/>
        <w:jc w:val="left"/>
        <w:rPr>
          <w:sz w:val="21"/>
        </w:rPr>
      </w:pPr>
      <w:r>
        <w:rPr>
          <w:w w:val="100"/>
          <w:sz w:val="21"/>
        </w:rPr>
        <w:t> </w:t>
      </w:r>
      <w:r>
        <w:rPr>
          <w:sz w:val="21"/>
        </w:rPr>
        <w:t>“T</w:t>
      </w:r>
      <w:r>
        <w:rPr>
          <w:spacing w:val="-1"/>
          <w:sz w:val="21"/>
        </w:rPr>
        <w:t>”(托)——托架式。</w:t>
      </w:r>
      <w:r>
        <w:rPr>
          <w:b/>
          <w:spacing w:val="-1"/>
          <w:sz w:val="21"/>
        </w:rPr>
        <w:t>4.3.2.2</w:t>
      </w:r>
      <w:r>
        <w:rPr>
          <w:b/>
          <w:spacing w:val="1"/>
          <w:sz w:val="21"/>
        </w:rPr>
        <w:t> </w:t>
      </w:r>
      <w:r>
        <w:rPr>
          <w:spacing w:val="-3"/>
          <w:sz w:val="21"/>
        </w:rPr>
        <w:t>箱门形式代号</w:t>
      </w:r>
      <w:r>
        <w:rPr>
          <w:sz w:val="21"/>
        </w:rPr>
        <w:t> </w:t>
      </w:r>
    </w:p>
    <w:p>
      <w:pPr>
        <w:pStyle w:val="BodyText"/>
        <w:ind w:left="838"/>
      </w:pPr>
      <w:r>
        <w:rPr/>
        <w:t>箱门为单开门形式不用代号表示，其余形式分别用下述代号表示： </w:t>
      </w:r>
    </w:p>
    <w:p>
      <w:pPr>
        <w:pStyle w:val="BodyText"/>
        <w:spacing w:before="12"/>
        <w:rPr>
          <w:sz w:val="17"/>
        </w:rPr>
      </w:pPr>
    </w:p>
    <w:p>
      <w:pPr>
        <w:pStyle w:val="BodyText"/>
        <w:spacing w:before="1"/>
        <w:ind w:left="838"/>
      </w:pPr>
      <w:r>
        <w:rPr>
          <w:w w:val="100"/>
        </w:rPr>
        <w:t> </w:t>
      </w:r>
      <w:r>
        <w:rPr/>
        <w:t>“S”（双)——双开门式； </w:t>
      </w:r>
    </w:p>
    <w:p>
      <w:pPr>
        <w:pStyle w:val="BodyText"/>
        <w:spacing w:before="1"/>
        <w:rPr>
          <w:sz w:val="18"/>
        </w:rPr>
      </w:pPr>
    </w:p>
    <w:p>
      <w:pPr>
        <w:spacing w:line="446" w:lineRule="auto" w:before="0"/>
        <w:ind w:left="840" w:right="6969" w:hanging="3"/>
        <w:jc w:val="left"/>
        <w:rPr>
          <w:b/>
          <w:sz w:val="21"/>
        </w:rPr>
      </w:pPr>
      <w:r>
        <w:rPr>
          <w:w w:val="100"/>
          <w:sz w:val="21"/>
        </w:rPr>
        <w:t> </w:t>
      </w:r>
      <w:r>
        <w:rPr>
          <w:sz w:val="21"/>
        </w:rPr>
        <w:t>“H”(后)——前后开门式。</w:t>
      </w:r>
      <w:r>
        <w:rPr>
          <w:b/>
          <w:sz w:val="21"/>
        </w:rPr>
        <w:t>4.3.3 </w:t>
      </w:r>
      <w:r>
        <w:rPr>
          <w:sz w:val="21"/>
        </w:rPr>
        <w:t>标记示例</w:t>
      </w:r>
      <w:r>
        <w:rPr>
          <w:b/>
          <w:w w:val="99"/>
          <w:sz w:val="21"/>
        </w:rPr>
        <w:t> </w:t>
      </w:r>
    </w:p>
    <w:p>
      <w:pPr>
        <w:pStyle w:val="BodyText"/>
        <w:spacing w:line="267" w:lineRule="exact"/>
        <w:ind w:left="838"/>
      </w:pPr>
      <w:r>
        <w:rPr/>
        <w:t>箱门为双开门式，水带为盘卷式安置，内配消防软管卷盘及公称通径为 65mm 室内消火栓，</w:t>
      </w:r>
    </w:p>
    <w:p>
      <w:pPr>
        <w:pStyle w:val="BodyText"/>
        <w:spacing w:before="2"/>
        <w:rPr>
          <w:sz w:val="18"/>
        </w:rPr>
      </w:pPr>
    </w:p>
    <w:p>
      <w:pPr>
        <w:pStyle w:val="BodyText"/>
        <w:ind w:left="418"/>
      </w:pPr>
      <w:r>
        <w:rPr/>
        <w:t>箱体外形尺寸为 1000mm×700mm×240mm 的栓箱： </w:t>
      </w:r>
    </w:p>
    <w:p>
      <w:pPr>
        <w:spacing w:after="0"/>
        <w:sectPr>
          <w:pgSz w:w="11910" w:h="16850"/>
          <w:pgMar w:header="0" w:footer="1239" w:top="1600" w:bottom="1420" w:left="1260" w:right="0"/>
        </w:sectPr>
      </w:pPr>
    </w:p>
    <w:p>
      <w:pPr>
        <w:pStyle w:val="BodyText"/>
        <w:spacing w:before="47"/>
        <w:ind w:left="838"/>
      </w:pPr>
      <w:r>
        <w:rPr/>
        <w:t>栓箱 SG24B65Z — PS </w:t>
      </w:r>
    </w:p>
    <w:p>
      <w:pPr>
        <w:pStyle w:val="BodyText"/>
        <w:spacing w:before="12"/>
        <w:rPr>
          <w:sz w:val="12"/>
        </w:rPr>
      </w:pPr>
      <w:r>
        <w:rPr/>
        <w:pict>
          <v:group style="position:absolute;margin-left:146.149994pt;margin-top:10.256875pt;width:314.850pt;height:283.45pt;mso-position-horizontal-relative:page;mso-position-vertical-relative:paragraph;z-index:-251544576;mso-wrap-distance-left:0;mso-wrap-distance-right:0" coordorigin="2923,205" coordsize="6297,5669">
            <v:shape style="position:absolute;left:4859;top:205;width:3136;height:4950" type="#_x0000_t75" stroked="false">
              <v:imagedata r:id="rId169" o:title=""/>
            </v:shape>
            <v:shape style="position:absolute;left:2923;top:489;width:6297;height:5385" type="#_x0000_t75" stroked="false">
              <v:imagedata r:id="rId170" o:title=""/>
            </v:shape>
            <w10:wrap type="topAndBottom"/>
          </v:group>
        </w:pict>
      </w:r>
    </w:p>
    <w:p>
      <w:pPr>
        <w:pStyle w:val="BodyText"/>
        <w:rPr>
          <w:sz w:val="20"/>
        </w:rPr>
      </w:pPr>
    </w:p>
    <w:p>
      <w:pPr>
        <w:pStyle w:val="BodyText"/>
        <w:spacing w:before="1"/>
        <w:rPr>
          <w:sz w:val="22"/>
        </w:rPr>
      </w:pPr>
      <w:r>
        <w:rPr/>
        <w:drawing>
          <wp:anchor distT="0" distB="0" distL="0" distR="0" allowOverlap="1" layoutInCell="1" locked="0" behindDoc="0" simplePos="0" relativeHeight="112">
            <wp:simplePos x="0" y="0"/>
            <wp:positionH relativeFrom="page">
              <wp:posOffset>2265679</wp:posOffset>
            </wp:positionH>
            <wp:positionV relativeFrom="paragraph">
              <wp:posOffset>204406</wp:posOffset>
            </wp:positionV>
            <wp:extent cx="2825389" cy="2777109"/>
            <wp:effectExtent l="0" t="0" r="0" b="0"/>
            <wp:wrapTopAndBottom/>
            <wp:docPr id="251" name="image156.jpeg"/>
            <wp:cNvGraphicFramePr>
              <a:graphicFrameLocks noChangeAspect="1"/>
            </wp:cNvGraphicFramePr>
            <a:graphic>
              <a:graphicData uri="http://schemas.openxmlformats.org/drawingml/2006/picture">
                <pic:pic>
                  <pic:nvPicPr>
                    <pic:cNvPr id="252" name="image156.jpeg"/>
                    <pic:cNvPicPr/>
                  </pic:nvPicPr>
                  <pic:blipFill>
                    <a:blip r:embed="rId171" cstate="print"/>
                    <a:stretch>
                      <a:fillRect/>
                    </a:stretch>
                  </pic:blipFill>
                  <pic:spPr>
                    <a:xfrm>
                      <a:off x="0" y="0"/>
                      <a:ext cx="2825389" cy="2777109"/>
                    </a:xfrm>
                    <a:prstGeom prst="rect">
                      <a:avLst/>
                    </a:prstGeom>
                  </pic:spPr>
                </pic:pic>
              </a:graphicData>
            </a:graphic>
          </wp:anchor>
        </w:drawing>
      </w:r>
    </w:p>
    <w:p>
      <w:pPr>
        <w:pStyle w:val="BodyText"/>
        <w:rPr>
          <w:sz w:val="20"/>
        </w:rPr>
      </w:pPr>
    </w:p>
    <w:p>
      <w:pPr>
        <w:pStyle w:val="BodyText"/>
        <w:spacing w:before="11"/>
        <w:rPr>
          <w:sz w:val="23"/>
        </w:rPr>
      </w:pPr>
    </w:p>
    <w:p>
      <w:pPr>
        <w:pStyle w:val="BodyText"/>
        <w:spacing w:before="72"/>
        <w:ind w:right="912"/>
        <w:jc w:val="center"/>
      </w:pPr>
      <w:r>
        <w:rPr>
          <w:w w:val="100"/>
        </w:rPr>
        <w:t> </w:t>
      </w:r>
    </w:p>
    <w:p>
      <w:pPr>
        <w:spacing w:after="0"/>
        <w:jc w:val="center"/>
        <w:sectPr>
          <w:pgSz w:w="11910" w:h="16850"/>
          <w:pgMar w:header="0" w:footer="1239" w:top="1220" w:bottom="1420" w:left="1260" w:right="0"/>
        </w:sectPr>
      </w:pPr>
    </w:p>
    <w:p>
      <w:pPr>
        <w:pStyle w:val="BodyText"/>
        <w:rPr>
          <w:sz w:val="20"/>
        </w:rPr>
      </w:pPr>
    </w:p>
    <w:p>
      <w:pPr>
        <w:pStyle w:val="BodyText"/>
        <w:spacing w:before="5"/>
        <w:rPr>
          <w:sz w:val="22"/>
        </w:rPr>
      </w:pPr>
    </w:p>
    <w:p>
      <w:pPr>
        <w:pStyle w:val="BodyText"/>
        <w:ind w:left="2069"/>
        <w:rPr>
          <w:sz w:val="20"/>
        </w:rPr>
      </w:pPr>
      <w:r>
        <w:rPr>
          <w:sz w:val="20"/>
        </w:rPr>
        <w:drawing>
          <wp:inline distT="0" distB="0" distL="0" distR="0">
            <wp:extent cx="2742907" cy="3619500"/>
            <wp:effectExtent l="0" t="0" r="0" b="0"/>
            <wp:docPr id="253" name="image157.jpeg"/>
            <wp:cNvGraphicFramePr>
              <a:graphicFrameLocks noChangeAspect="1"/>
            </wp:cNvGraphicFramePr>
            <a:graphic>
              <a:graphicData uri="http://schemas.openxmlformats.org/drawingml/2006/picture">
                <pic:pic>
                  <pic:nvPicPr>
                    <pic:cNvPr id="254" name="image157.jpeg"/>
                    <pic:cNvPicPr/>
                  </pic:nvPicPr>
                  <pic:blipFill>
                    <a:blip r:embed="rId173" cstate="print"/>
                    <a:stretch>
                      <a:fillRect/>
                    </a:stretch>
                  </pic:blipFill>
                  <pic:spPr>
                    <a:xfrm>
                      <a:off x="0" y="0"/>
                      <a:ext cx="2742907" cy="3619500"/>
                    </a:xfrm>
                    <a:prstGeom prst="rect">
                      <a:avLst/>
                    </a:prstGeom>
                  </pic:spPr>
                </pic:pic>
              </a:graphicData>
            </a:graphic>
          </wp:inline>
        </w:drawing>
      </w:r>
      <w:r>
        <w:rPr>
          <w:sz w:val="20"/>
        </w:rPr>
      </w:r>
    </w:p>
    <w:p>
      <w:pPr>
        <w:pStyle w:val="BodyText"/>
        <w:rPr>
          <w:sz w:val="15"/>
        </w:rPr>
      </w:pPr>
    </w:p>
    <w:p>
      <w:pPr>
        <w:pStyle w:val="Heading4"/>
        <w:spacing w:before="67"/>
      </w:pPr>
      <w:r>
        <w:rPr/>
        <w:t>5 要求</w:t>
      </w:r>
      <w:r>
        <w:rPr>
          <w:w w:val="99"/>
        </w:rPr>
        <w:t> </w:t>
      </w:r>
    </w:p>
    <w:p>
      <w:pPr>
        <w:pStyle w:val="BodyText"/>
        <w:spacing w:before="3"/>
        <w:rPr>
          <w:b/>
          <w:sz w:val="17"/>
        </w:rPr>
      </w:pPr>
    </w:p>
    <w:p>
      <w:pPr>
        <w:pStyle w:val="ListParagraph"/>
        <w:numPr>
          <w:ilvl w:val="1"/>
          <w:numId w:val="312"/>
        </w:numPr>
        <w:tabs>
          <w:tab w:pos="1159" w:val="left" w:leader="none"/>
        </w:tabs>
        <w:spacing w:line="240" w:lineRule="auto" w:before="1" w:after="0"/>
        <w:ind w:left="1158" w:right="0" w:hanging="319"/>
        <w:jc w:val="left"/>
        <w:rPr>
          <w:sz w:val="21"/>
        </w:rPr>
      </w:pPr>
      <w:r>
        <w:rPr>
          <w:spacing w:val="-3"/>
          <w:sz w:val="21"/>
        </w:rPr>
        <w:t>箱内消防器材的配置</w:t>
      </w:r>
      <w:r>
        <w:rPr>
          <w:sz w:val="21"/>
        </w:rPr>
        <w:t> </w:t>
      </w:r>
    </w:p>
    <w:p>
      <w:pPr>
        <w:pStyle w:val="BodyText"/>
        <w:spacing w:before="12"/>
        <w:rPr>
          <w:sz w:val="17"/>
        </w:rPr>
      </w:pPr>
    </w:p>
    <w:p>
      <w:pPr>
        <w:pStyle w:val="BodyText"/>
        <w:ind w:left="838"/>
      </w:pPr>
      <w:r>
        <w:rPr/>
        <w:t>箱内消防器材的配置应符合表 1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6"/>
        </w:rPr>
      </w:pPr>
    </w:p>
    <w:p>
      <w:pPr>
        <w:pStyle w:val="Heading6"/>
        <w:spacing w:before="71"/>
        <w:ind w:left="840"/>
      </w:pPr>
      <w:r>
        <w:rPr>
          <w:w w:val="99"/>
        </w:rPr>
        <w:t> </w:t>
      </w:r>
    </w:p>
    <w:p>
      <w:pPr>
        <w:spacing w:after="0"/>
        <w:sectPr>
          <w:footerReference w:type="default" r:id="rId172"/>
          <w:pgSz w:w="11910" w:h="16850"/>
          <w:pgMar w:footer="1239" w:header="0" w:top="1600" w:bottom="1420" w:left="1260" w:right="0"/>
          <w:pgNumType w:start="1070"/>
        </w:sectPr>
      </w:pPr>
    </w:p>
    <w:p>
      <w:pPr>
        <w:pStyle w:val="BodyText"/>
        <w:ind w:left="1049"/>
        <w:rPr>
          <w:sz w:val="20"/>
        </w:rPr>
      </w:pPr>
      <w:r>
        <w:rPr>
          <w:sz w:val="20"/>
        </w:rPr>
        <w:drawing>
          <wp:inline distT="0" distB="0" distL="0" distR="0">
            <wp:extent cx="4789991" cy="6581775"/>
            <wp:effectExtent l="0" t="0" r="0" b="0"/>
            <wp:docPr id="255" name="image158.jpeg"/>
            <wp:cNvGraphicFramePr>
              <a:graphicFrameLocks noChangeAspect="1"/>
            </wp:cNvGraphicFramePr>
            <a:graphic>
              <a:graphicData uri="http://schemas.openxmlformats.org/drawingml/2006/picture">
                <pic:pic>
                  <pic:nvPicPr>
                    <pic:cNvPr id="256" name="image158.jpeg"/>
                    <pic:cNvPicPr/>
                  </pic:nvPicPr>
                  <pic:blipFill>
                    <a:blip r:embed="rId174" cstate="print"/>
                    <a:stretch>
                      <a:fillRect/>
                    </a:stretch>
                  </pic:blipFill>
                  <pic:spPr>
                    <a:xfrm>
                      <a:off x="0" y="0"/>
                      <a:ext cx="4789991" cy="6581775"/>
                    </a:xfrm>
                    <a:prstGeom prst="rect">
                      <a:avLst/>
                    </a:prstGeom>
                  </pic:spPr>
                </pic:pic>
              </a:graphicData>
            </a:graphic>
          </wp:inline>
        </w:drawing>
      </w:r>
      <w:r>
        <w:rPr>
          <w:sz w:val="20"/>
        </w:rPr>
      </w:r>
    </w:p>
    <w:p>
      <w:pPr>
        <w:pStyle w:val="BodyText"/>
        <w:spacing w:before="11"/>
        <w:rPr>
          <w:b/>
          <w:sz w:val="6"/>
        </w:rPr>
      </w:pPr>
    </w:p>
    <w:p>
      <w:pPr>
        <w:pStyle w:val="ListParagraph"/>
        <w:numPr>
          <w:ilvl w:val="1"/>
          <w:numId w:val="312"/>
        </w:numPr>
        <w:tabs>
          <w:tab w:pos="1159" w:val="left" w:leader="none"/>
        </w:tabs>
        <w:spacing w:line="240" w:lineRule="auto" w:before="72" w:after="0"/>
        <w:ind w:left="1158" w:right="0" w:hanging="319"/>
        <w:jc w:val="left"/>
        <w:rPr>
          <w:b/>
          <w:sz w:val="21"/>
        </w:rPr>
      </w:pPr>
      <w:r>
        <w:rPr>
          <w:spacing w:val="-3"/>
          <w:sz w:val="21"/>
        </w:rPr>
        <w:t>室内消火栓</w:t>
      </w:r>
      <w:r>
        <w:rPr>
          <w:b/>
          <w:w w:val="99"/>
          <w:sz w:val="21"/>
        </w:rPr>
        <w:t> </w:t>
      </w:r>
    </w:p>
    <w:p>
      <w:pPr>
        <w:pStyle w:val="BodyText"/>
        <w:spacing w:before="12"/>
        <w:rPr>
          <w:b/>
          <w:sz w:val="17"/>
        </w:rPr>
      </w:pPr>
    </w:p>
    <w:p>
      <w:pPr>
        <w:pStyle w:val="BodyText"/>
        <w:spacing w:line="446" w:lineRule="auto"/>
        <w:ind w:left="840" w:right="5396" w:hanging="3"/>
        <w:rPr>
          <w:b/>
        </w:rPr>
      </w:pPr>
      <w:r>
        <w:rPr>
          <w:spacing w:val="-8"/>
        </w:rPr>
        <w:t>室内消火栓应是符合 </w:t>
      </w:r>
      <w:r>
        <w:rPr/>
        <w:t>GB3445</w:t>
      </w:r>
      <w:r>
        <w:rPr>
          <w:spacing w:val="-10"/>
        </w:rPr>
        <w:t> 规定的合格产品。</w:t>
      </w:r>
      <w:r>
        <w:rPr>
          <w:b/>
        </w:rPr>
        <w:t>5.2.1</w:t>
      </w:r>
      <w:r>
        <w:rPr>
          <w:b/>
          <w:spacing w:val="-1"/>
        </w:rPr>
        <w:t> </w:t>
      </w:r>
      <w:r>
        <w:rPr>
          <w:spacing w:val="-3"/>
        </w:rPr>
        <w:t>密封性能</w:t>
      </w:r>
      <w:r>
        <w:rPr>
          <w:b/>
          <w:w w:val="99"/>
        </w:rPr>
        <w:t> </w:t>
      </w:r>
    </w:p>
    <w:p>
      <w:pPr>
        <w:pStyle w:val="BodyText"/>
        <w:spacing w:line="446" w:lineRule="auto"/>
        <w:ind w:left="840" w:right="2612" w:hanging="3"/>
        <w:rPr>
          <w:b/>
        </w:rPr>
      </w:pPr>
      <w:r>
        <w:rPr>
          <w:spacing w:val="-6"/>
        </w:rPr>
        <w:t>室内消火栓各密封部位应能承受 </w:t>
      </w:r>
      <w:r>
        <w:rPr/>
        <w:t>1.6MPa</w:t>
      </w:r>
      <w:r>
        <w:rPr>
          <w:spacing w:val="-15"/>
        </w:rPr>
        <w:t> 的水压，保压 </w:t>
      </w:r>
      <w:r>
        <w:rPr/>
        <w:t>2min</w:t>
      </w:r>
      <w:r>
        <w:rPr>
          <w:spacing w:val="-3"/>
        </w:rPr>
        <w:t>，应无渗漏现象。</w:t>
      </w:r>
      <w:r>
        <w:rPr>
          <w:b/>
        </w:rPr>
        <w:t>5.2.2</w:t>
      </w:r>
      <w:r>
        <w:rPr>
          <w:b/>
          <w:spacing w:val="-1"/>
        </w:rPr>
        <w:t> </w:t>
      </w:r>
      <w:r>
        <w:rPr>
          <w:spacing w:val="-3"/>
        </w:rPr>
        <w:t>水压强度</w:t>
      </w:r>
      <w:r>
        <w:rPr>
          <w:b/>
          <w:w w:val="99"/>
        </w:rPr>
        <w:t> </w:t>
      </w:r>
    </w:p>
    <w:p>
      <w:pPr>
        <w:pStyle w:val="BodyText"/>
        <w:spacing w:line="446" w:lineRule="auto"/>
        <w:ind w:left="840" w:right="1719" w:hanging="3"/>
      </w:pPr>
      <w:r>
        <w:rPr>
          <w:spacing w:val="-6"/>
        </w:rPr>
        <w:t>室内消火栓的阀体和阀盖应能承受 </w:t>
      </w:r>
      <w:r>
        <w:rPr/>
        <w:t>2.4MPa</w:t>
      </w:r>
      <w:r>
        <w:rPr>
          <w:spacing w:val="-14"/>
        </w:rPr>
        <w:t> 的水压，保压 </w:t>
      </w:r>
      <w:r>
        <w:rPr/>
        <w:t>2min</w:t>
      </w:r>
      <w:r>
        <w:rPr>
          <w:spacing w:val="-8"/>
        </w:rPr>
        <w:t> 不得有破裂和渗漏现象。</w:t>
      </w:r>
      <w:r>
        <w:rPr>
          <w:b/>
        </w:rPr>
        <w:t>5.3 </w:t>
      </w:r>
      <w:r>
        <w:rPr>
          <w:spacing w:val="-3"/>
        </w:rPr>
        <w:t>消防接口</w:t>
      </w:r>
      <w:r>
        <w:rPr/>
        <w:t> </w:t>
      </w:r>
    </w:p>
    <w:p>
      <w:pPr>
        <w:spacing w:after="0" w:line="446" w:lineRule="auto"/>
        <w:sectPr>
          <w:pgSz w:w="11910" w:h="16850"/>
          <w:pgMar w:header="0" w:footer="1239" w:top="1300" w:bottom="1420" w:left="1260" w:right="0"/>
        </w:sectPr>
      </w:pPr>
    </w:p>
    <w:p>
      <w:pPr>
        <w:pStyle w:val="BodyText"/>
        <w:spacing w:line="446" w:lineRule="auto" w:before="47"/>
        <w:ind w:left="840" w:right="5605" w:hanging="3"/>
        <w:rPr>
          <w:b/>
        </w:rPr>
      </w:pPr>
      <w:r>
        <w:rPr/>
        <w:t>消防接口应是符合 GB3265 规定的合格产品。</w:t>
      </w:r>
      <w:r>
        <w:rPr>
          <w:b/>
        </w:rPr>
        <w:t>5.3.1 </w:t>
      </w:r>
      <w:r>
        <w:rPr/>
        <w:t>密封性能</w:t>
      </w:r>
      <w:r>
        <w:rPr>
          <w:b/>
          <w:w w:val="99"/>
        </w:rPr>
        <w:t> </w:t>
      </w:r>
    </w:p>
    <w:p>
      <w:pPr>
        <w:pStyle w:val="BodyText"/>
        <w:spacing w:line="446" w:lineRule="auto"/>
        <w:ind w:left="418" w:right="1611" w:firstLine="419"/>
      </w:pPr>
      <w:r>
        <w:rPr/>
        <w:t>KN</w:t>
      </w:r>
      <w:r>
        <w:rPr>
          <w:spacing w:val="-13"/>
        </w:rPr>
        <w:t> 型内螺纹固定接口在 </w:t>
      </w:r>
      <w:r>
        <w:rPr/>
        <w:t>1.6MPa</w:t>
      </w:r>
      <w:r>
        <w:rPr>
          <w:spacing w:val="-14"/>
        </w:rPr>
        <w:t> 水压下，保压 </w:t>
      </w:r>
      <w:r>
        <w:rPr/>
        <w:t>2min，</w:t>
      </w:r>
      <w:r>
        <w:rPr>
          <w:spacing w:val="-3"/>
        </w:rPr>
        <w:t>接口与相应规格的接口闷盖间应无渗漏现象。</w:t>
      </w:r>
      <w:r>
        <w:rPr/>
        <w:t> </w:t>
      </w:r>
    </w:p>
    <w:p>
      <w:pPr>
        <w:pStyle w:val="BodyText"/>
        <w:spacing w:line="446" w:lineRule="auto"/>
        <w:ind w:left="840" w:right="3180" w:hanging="3"/>
        <w:rPr>
          <w:b/>
        </w:rPr>
      </w:pPr>
      <w:r>
        <w:rPr/>
        <w:t>水带接口成对连接后，在 1.6MPa 水压下，保压 2min，应无渗漏现象。</w:t>
      </w:r>
      <w:r>
        <w:rPr>
          <w:b/>
        </w:rPr>
        <w:t>5.3.2 </w:t>
      </w:r>
      <w:r>
        <w:rPr/>
        <w:t>水压强度</w:t>
      </w:r>
      <w:r>
        <w:rPr>
          <w:b/>
          <w:w w:val="99"/>
        </w:rPr>
        <w:t> </w:t>
      </w:r>
    </w:p>
    <w:p>
      <w:pPr>
        <w:pStyle w:val="BodyText"/>
        <w:spacing w:line="446" w:lineRule="auto"/>
        <w:ind w:left="418" w:right="1455" w:firstLine="419"/>
      </w:pPr>
      <w:r>
        <w:rPr>
          <w:spacing w:val="-7"/>
        </w:rPr>
        <w:t>成对连接的固定接口在 </w:t>
      </w:r>
      <w:r>
        <w:rPr/>
        <w:t>2.4MPa</w:t>
      </w:r>
      <w:r>
        <w:rPr>
          <w:spacing w:val="-14"/>
        </w:rPr>
        <w:t> 水压下，保压 </w:t>
      </w:r>
      <w:r>
        <w:rPr/>
        <w:t>2min，</w:t>
      </w:r>
      <w:r>
        <w:rPr>
          <w:spacing w:val="-3"/>
        </w:rPr>
        <w:t>不应出现裂纹或断裂现象。试验后应能正常操作。</w:t>
      </w:r>
      <w:r>
        <w:rPr/>
        <w:t> </w:t>
      </w:r>
    </w:p>
    <w:p>
      <w:pPr>
        <w:spacing w:line="267" w:lineRule="exact" w:before="0"/>
        <w:ind w:left="840" w:right="0" w:firstLine="0"/>
        <w:jc w:val="left"/>
        <w:rPr>
          <w:b/>
          <w:sz w:val="21"/>
        </w:rPr>
      </w:pPr>
      <w:r>
        <w:rPr>
          <w:b/>
          <w:sz w:val="21"/>
        </w:rPr>
        <w:t>5.3.3 </w:t>
      </w:r>
      <w:r>
        <w:rPr>
          <w:sz w:val="21"/>
        </w:rPr>
        <w:t>水带接口抗跌落性</w:t>
      </w:r>
      <w:r>
        <w:rPr>
          <w:b/>
          <w:w w:val="99"/>
          <w:sz w:val="21"/>
        </w:rPr>
        <w:t> </w:t>
      </w:r>
    </w:p>
    <w:p>
      <w:pPr>
        <w:pStyle w:val="BodyText"/>
        <w:rPr>
          <w:b/>
          <w:sz w:val="18"/>
        </w:rPr>
      </w:pPr>
    </w:p>
    <w:p>
      <w:pPr>
        <w:pStyle w:val="BodyText"/>
        <w:spacing w:line="446" w:lineRule="auto"/>
        <w:ind w:left="840" w:right="3817" w:hanging="3"/>
        <w:rPr>
          <w:b/>
        </w:rPr>
      </w:pPr>
      <w:r>
        <w:rPr/>
        <w:t>水带接口从 1.50m 高处自由跌落五次，应无损坏并能正常操作。</w:t>
      </w:r>
      <w:r>
        <w:rPr>
          <w:b/>
        </w:rPr>
        <w:t>5.4 </w:t>
      </w:r>
      <w:r>
        <w:rPr/>
        <w:t>消防水带</w:t>
      </w:r>
      <w:r>
        <w:rPr>
          <w:b/>
          <w:w w:val="99"/>
        </w:rPr>
        <w:t> </w:t>
      </w:r>
    </w:p>
    <w:p>
      <w:pPr>
        <w:pStyle w:val="BodyText"/>
        <w:spacing w:line="446" w:lineRule="auto"/>
        <w:ind w:left="840" w:right="5605" w:hanging="3"/>
        <w:rPr>
          <w:b/>
        </w:rPr>
      </w:pPr>
      <w:r>
        <w:rPr/>
        <w:drawing>
          <wp:anchor distT="0" distB="0" distL="0" distR="0" allowOverlap="1" layoutInCell="1" locked="0" behindDoc="0" simplePos="0" relativeHeight="113">
            <wp:simplePos x="0" y="0"/>
            <wp:positionH relativeFrom="page">
              <wp:posOffset>1808479</wp:posOffset>
            </wp:positionH>
            <wp:positionV relativeFrom="paragraph">
              <wp:posOffset>653541</wp:posOffset>
            </wp:positionV>
            <wp:extent cx="2895599" cy="295275"/>
            <wp:effectExtent l="0" t="0" r="0" b="0"/>
            <wp:wrapTopAndBottom/>
            <wp:docPr id="257" name="image159.jpeg"/>
            <wp:cNvGraphicFramePr>
              <a:graphicFrameLocks noChangeAspect="1"/>
            </wp:cNvGraphicFramePr>
            <a:graphic>
              <a:graphicData uri="http://schemas.openxmlformats.org/drawingml/2006/picture">
                <pic:pic>
                  <pic:nvPicPr>
                    <pic:cNvPr id="258" name="image159.jpeg"/>
                    <pic:cNvPicPr/>
                  </pic:nvPicPr>
                  <pic:blipFill>
                    <a:blip r:embed="rId175" cstate="print"/>
                    <a:stretch>
                      <a:fillRect/>
                    </a:stretch>
                  </pic:blipFill>
                  <pic:spPr>
                    <a:xfrm>
                      <a:off x="0" y="0"/>
                      <a:ext cx="2895599" cy="295275"/>
                    </a:xfrm>
                    <a:prstGeom prst="rect">
                      <a:avLst/>
                    </a:prstGeom>
                  </pic:spPr>
                </pic:pic>
              </a:graphicData>
            </a:graphic>
          </wp:anchor>
        </w:drawing>
      </w:r>
      <w:r>
        <w:rPr/>
        <w:t>消防水带应是符合 GB6246 规定的合格产品。</w:t>
      </w:r>
      <w:r>
        <w:rPr>
          <w:b/>
        </w:rPr>
        <w:t>5.4.1 </w:t>
      </w:r>
      <w:r>
        <w:rPr/>
        <w:t>长度及公差  </w:t>
      </w:r>
      <w:r>
        <w:rPr>
          <w:b/>
          <w:w w:val="99"/>
        </w:rPr>
        <w:t> </w:t>
      </w:r>
    </w:p>
    <w:p>
      <w:pPr>
        <w:spacing w:before="179"/>
        <w:ind w:left="840" w:right="0" w:firstLine="0"/>
        <w:jc w:val="left"/>
        <w:rPr>
          <w:b/>
          <w:sz w:val="21"/>
        </w:rPr>
      </w:pPr>
      <w:r>
        <w:rPr>
          <w:b/>
          <w:sz w:val="21"/>
        </w:rPr>
        <w:t>5.4.2</w:t>
      </w:r>
      <w:r>
        <w:rPr>
          <w:b/>
          <w:spacing w:val="5"/>
          <w:sz w:val="21"/>
        </w:rPr>
        <w:t> </w:t>
      </w:r>
      <w:r>
        <w:rPr>
          <w:spacing w:val="-3"/>
          <w:sz w:val="21"/>
        </w:rPr>
        <w:t>密封性能</w:t>
      </w:r>
      <w:r>
        <w:rPr>
          <w:b/>
          <w:w w:val="99"/>
          <w:sz w:val="21"/>
        </w:rPr>
        <w:t> </w:t>
      </w:r>
    </w:p>
    <w:p>
      <w:pPr>
        <w:pStyle w:val="BodyText"/>
        <w:spacing w:before="12"/>
        <w:rPr>
          <w:b/>
          <w:sz w:val="17"/>
        </w:rPr>
      </w:pPr>
    </w:p>
    <w:p>
      <w:pPr>
        <w:pStyle w:val="BodyText"/>
        <w:spacing w:line="446" w:lineRule="auto"/>
        <w:ind w:left="840" w:right="3767" w:hanging="3"/>
        <w:rPr>
          <w:b/>
        </w:rPr>
      </w:pPr>
      <w:r>
        <w:rPr>
          <w:spacing w:val="-10"/>
        </w:rPr>
        <w:t>消防水带在 </w:t>
      </w:r>
      <w:r>
        <w:rPr/>
        <w:t>0.8MPa</w:t>
      </w:r>
      <w:r>
        <w:rPr>
          <w:spacing w:val="-15"/>
        </w:rPr>
        <w:t> 水压下，保压 </w:t>
      </w:r>
      <w:r>
        <w:rPr/>
        <w:t>5min</w:t>
      </w:r>
      <w:r>
        <w:rPr>
          <w:spacing w:val="-3"/>
        </w:rPr>
        <w:t>,水带全长应无泄漏现象。</w:t>
      </w:r>
      <w:r>
        <w:rPr>
          <w:b/>
        </w:rPr>
        <w:t>5.4.3</w:t>
      </w:r>
      <w:r>
        <w:rPr>
          <w:b/>
          <w:spacing w:val="1"/>
        </w:rPr>
        <w:t> </w:t>
      </w:r>
      <w:r>
        <w:rPr>
          <w:spacing w:val="-3"/>
        </w:rPr>
        <w:t>耐压性能</w:t>
      </w:r>
      <w:r>
        <w:rPr>
          <w:b/>
          <w:w w:val="99"/>
        </w:rPr>
        <w:t> </w:t>
      </w:r>
    </w:p>
    <w:p>
      <w:pPr>
        <w:pStyle w:val="BodyText"/>
        <w:spacing w:line="446" w:lineRule="auto"/>
        <w:ind w:left="418" w:right="1510" w:firstLine="419"/>
      </w:pPr>
      <w:r>
        <w:rPr>
          <w:spacing w:val="-10"/>
        </w:rPr>
        <w:t>消防水带在 </w:t>
      </w:r>
      <w:r>
        <w:rPr/>
        <w:t>1.2MPa</w:t>
      </w:r>
      <w:r>
        <w:rPr>
          <w:spacing w:val="-15"/>
        </w:rPr>
        <w:t> 水压下，保持 </w:t>
      </w:r>
      <w:r>
        <w:rPr/>
        <w:t>5min</w:t>
      </w:r>
      <w:r>
        <w:rPr>
          <w:spacing w:val="-8"/>
        </w:rPr>
        <w:t>,应无渗漏现象。在 </w:t>
      </w:r>
      <w:r>
        <w:rPr/>
        <w:t>2.4MPa</w:t>
      </w:r>
      <w:r>
        <w:rPr>
          <w:spacing w:val="-15"/>
        </w:rPr>
        <w:t> 水压下，保压 </w:t>
      </w:r>
      <w:r>
        <w:rPr/>
        <w:t>5min</w:t>
      </w:r>
      <w:r>
        <w:rPr>
          <w:spacing w:val="-3"/>
        </w:rPr>
        <w:t>,不应</w:t>
      </w:r>
      <w:r>
        <w:rPr>
          <w:spacing w:val="-1"/>
        </w:rPr>
        <w:t>爆破。</w:t>
      </w:r>
      <w:r>
        <w:rPr/>
        <w:t> </w:t>
      </w:r>
    </w:p>
    <w:p>
      <w:pPr>
        <w:spacing w:line="267" w:lineRule="exact" w:before="0"/>
        <w:ind w:left="840" w:right="0" w:firstLine="0"/>
        <w:jc w:val="left"/>
        <w:rPr>
          <w:b/>
          <w:sz w:val="21"/>
        </w:rPr>
      </w:pPr>
      <w:r>
        <w:rPr>
          <w:b/>
          <w:sz w:val="21"/>
        </w:rPr>
        <w:t>5.4.4 </w:t>
      </w:r>
      <w:r>
        <w:rPr>
          <w:sz w:val="21"/>
        </w:rPr>
        <w:t>扭转方向</w:t>
      </w:r>
      <w:r>
        <w:rPr>
          <w:b/>
          <w:w w:val="99"/>
          <w:sz w:val="21"/>
        </w:rPr>
        <w:t> </w:t>
      </w:r>
    </w:p>
    <w:p>
      <w:pPr>
        <w:pStyle w:val="BodyText"/>
        <w:spacing w:before="1"/>
        <w:rPr>
          <w:b/>
          <w:sz w:val="18"/>
        </w:rPr>
      </w:pPr>
    </w:p>
    <w:p>
      <w:pPr>
        <w:pStyle w:val="BodyText"/>
        <w:spacing w:line="446" w:lineRule="auto" w:before="1"/>
        <w:ind w:left="840" w:right="3817" w:hanging="3"/>
        <w:rPr>
          <w:b/>
        </w:rPr>
      </w:pPr>
      <w:r>
        <w:rPr/>
        <w:t>在水压作用下，沿水流方向看，消防水带不得产生逆时针扭转。</w:t>
      </w:r>
      <w:r>
        <w:rPr>
          <w:b/>
        </w:rPr>
        <w:t>5.5 </w:t>
      </w:r>
      <w:r>
        <w:rPr/>
        <w:t>消防水枪</w:t>
      </w:r>
      <w:r>
        <w:rPr>
          <w:b/>
          <w:w w:val="99"/>
        </w:rPr>
        <w:t> </w:t>
      </w:r>
    </w:p>
    <w:p>
      <w:pPr>
        <w:pStyle w:val="BodyText"/>
        <w:spacing w:line="446" w:lineRule="auto"/>
        <w:ind w:left="840" w:right="5605" w:hanging="3"/>
        <w:rPr>
          <w:b/>
        </w:rPr>
      </w:pPr>
      <w:r>
        <w:rPr>
          <w:spacing w:val="-8"/>
        </w:rPr>
        <w:t>消防水枪应是符合 </w:t>
      </w:r>
      <w:r>
        <w:rPr/>
        <w:t>GB8181</w:t>
      </w:r>
      <w:r>
        <w:rPr>
          <w:spacing w:val="-10"/>
        </w:rPr>
        <w:t> 规定的合格产品。</w:t>
      </w:r>
      <w:r>
        <w:rPr>
          <w:b/>
        </w:rPr>
        <w:t>5.5.1 </w:t>
      </w:r>
      <w:r>
        <w:rPr>
          <w:spacing w:val="-3"/>
        </w:rPr>
        <w:t>密封性能</w:t>
      </w:r>
      <w:r>
        <w:rPr>
          <w:b/>
          <w:w w:val="99"/>
        </w:rPr>
        <w:t> </w:t>
      </w:r>
    </w:p>
    <w:p>
      <w:pPr>
        <w:pStyle w:val="BodyText"/>
        <w:spacing w:line="446" w:lineRule="auto"/>
        <w:ind w:left="840" w:right="4763" w:hanging="3"/>
        <w:rPr>
          <w:b/>
        </w:rPr>
      </w:pPr>
      <w:r>
        <w:rPr>
          <w:spacing w:val="-14"/>
        </w:rPr>
        <w:t>水枪在 </w:t>
      </w:r>
      <w:r>
        <w:rPr/>
        <w:t>0.9MPa</w:t>
      </w:r>
      <w:r>
        <w:rPr>
          <w:spacing w:val="-9"/>
        </w:rPr>
        <w:t> 水压下，枪体及各密封部位应无泄漏。</w:t>
      </w:r>
      <w:r>
        <w:rPr>
          <w:b/>
          <w:spacing w:val="-9"/>
        </w:rPr>
        <w:t>5.5.2</w:t>
      </w:r>
      <w:r>
        <w:rPr>
          <w:b/>
          <w:spacing w:val="1"/>
        </w:rPr>
        <w:t> </w:t>
      </w:r>
      <w:r>
        <w:rPr>
          <w:spacing w:val="-3"/>
        </w:rPr>
        <w:t>水压强度</w:t>
      </w:r>
      <w:r>
        <w:rPr>
          <w:b/>
          <w:w w:val="99"/>
        </w:rPr>
        <w:t> </w:t>
      </w:r>
    </w:p>
    <w:p>
      <w:pPr>
        <w:pStyle w:val="BodyText"/>
        <w:ind w:left="838"/>
      </w:pPr>
      <w:r>
        <w:rPr/>
        <w:t>水枪在 1.6MPa 水压下，水枪应无破裂和影响正常使用的残余变形。 </w:t>
      </w:r>
    </w:p>
    <w:p>
      <w:pPr>
        <w:pStyle w:val="BodyText"/>
        <w:spacing w:before="9"/>
        <w:rPr>
          <w:sz w:val="17"/>
        </w:rPr>
      </w:pPr>
    </w:p>
    <w:p>
      <w:pPr>
        <w:pStyle w:val="ListParagraph"/>
        <w:numPr>
          <w:ilvl w:val="1"/>
          <w:numId w:val="313"/>
        </w:numPr>
        <w:tabs>
          <w:tab w:pos="1159" w:val="left" w:leader="none"/>
        </w:tabs>
        <w:spacing w:line="240" w:lineRule="auto" w:before="1" w:after="0"/>
        <w:ind w:left="1158" w:right="0" w:hanging="319"/>
        <w:jc w:val="left"/>
        <w:rPr>
          <w:sz w:val="21"/>
        </w:rPr>
      </w:pPr>
      <w:r>
        <w:rPr>
          <w:spacing w:val="-3"/>
          <w:sz w:val="21"/>
        </w:rPr>
        <w:t>消防软管卷盘</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313"/>
        </w:numPr>
        <w:tabs>
          <w:tab w:pos="1371" w:val="left" w:leader="none"/>
        </w:tabs>
        <w:spacing w:line="240" w:lineRule="auto" w:before="47" w:after="0"/>
        <w:ind w:left="1370" w:right="0" w:hanging="531"/>
        <w:jc w:val="left"/>
        <w:rPr>
          <w:b/>
          <w:sz w:val="21"/>
        </w:rPr>
      </w:pPr>
      <w:r>
        <w:rPr>
          <w:spacing w:val="-3"/>
          <w:sz w:val="21"/>
        </w:rPr>
        <w:t>性能参数</w:t>
      </w:r>
      <w:r>
        <w:rPr>
          <w:b/>
          <w:w w:val="99"/>
          <w:sz w:val="21"/>
        </w:rPr>
        <w:t> </w:t>
      </w:r>
    </w:p>
    <w:p>
      <w:pPr>
        <w:pStyle w:val="BodyText"/>
        <w:rPr>
          <w:b/>
          <w:sz w:val="18"/>
        </w:rPr>
      </w:pPr>
    </w:p>
    <w:p>
      <w:pPr>
        <w:pStyle w:val="BodyText"/>
        <w:ind w:left="838"/>
      </w:pPr>
      <w:r>
        <w:rPr/>
        <w:t>消防软管卷盘的主要性能参数应符合表 2 的规定。 </w:t>
      </w:r>
    </w:p>
    <w:p>
      <w:pPr>
        <w:pStyle w:val="BodyText"/>
        <w:rPr>
          <w:sz w:val="18"/>
        </w:rPr>
      </w:pPr>
    </w:p>
    <w:p>
      <w:pPr>
        <w:pStyle w:val="Heading6"/>
        <w:ind w:left="2677"/>
      </w:pPr>
      <w:r>
        <w:rPr/>
        <w:t>表 2 消防软管卷盘的主要性能参数及喷射性能</w:t>
      </w:r>
      <w:r>
        <w:rPr>
          <w:w w:val="99"/>
        </w:rPr>
        <w:t> </w:t>
      </w:r>
    </w:p>
    <w:p>
      <w:pPr>
        <w:pStyle w:val="BodyText"/>
        <w:spacing w:before="4"/>
        <w:rPr>
          <w:b/>
          <w:sz w:val="12"/>
        </w:rPr>
      </w:pPr>
      <w:r>
        <w:rPr/>
        <w:drawing>
          <wp:anchor distT="0" distB="0" distL="0" distR="0" allowOverlap="1" layoutInCell="1" locked="0" behindDoc="0" simplePos="0" relativeHeight="114">
            <wp:simplePos x="0" y="0"/>
            <wp:positionH relativeFrom="page">
              <wp:posOffset>1664335</wp:posOffset>
            </wp:positionH>
            <wp:positionV relativeFrom="paragraph">
              <wp:posOffset>124944</wp:posOffset>
            </wp:positionV>
            <wp:extent cx="4113636" cy="1221771"/>
            <wp:effectExtent l="0" t="0" r="0" b="0"/>
            <wp:wrapTopAndBottom/>
            <wp:docPr id="259" name="image160.jpeg"/>
            <wp:cNvGraphicFramePr>
              <a:graphicFrameLocks noChangeAspect="1"/>
            </wp:cNvGraphicFramePr>
            <a:graphic>
              <a:graphicData uri="http://schemas.openxmlformats.org/drawingml/2006/picture">
                <pic:pic>
                  <pic:nvPicPr>
                    <pic:cNvPr id="260" name="image160.jpeg"/>
                    <pic:cNvPicPr/>
                  </pic:nvPicPr>
                  <pic:blipFill>
                    <a:blip r:embed="rId176" cstate="print"/>
                    <a:stretch>
                      <a:fillRect/>
                    </a:stretch>
                  </pic:blipFill>
                  <pic:spPr>
                    <a:xfrm>
                      <a:off x="0" y="0"/>
                      <a:ext cx="4113636" cy="1221771"/>
                    </a:xfrm>
                    <a:prstGeom prst="rect">
                      <a:avLst/>
                    </a:prstGeom>
                  </pic:spPr>
                </pic:pic>
              </a:graphicData>
            </a:graphic>
          </wp:anchor>
        </w:drawing>
      </w:r>
    </w:p>
    <w:p>
      <w:pPr>
        <w:pStyle w:val="ListParagraph"/>
        <w:numPr>
          <w:ilvl w:val="2"/>
          <w:numId w:val="313"/>
        </w:numPr>
        <w:tabs>
          <w:tab w:pos="1371" w:val="left" w:leader="none"/>
        </w:tabs>
        <w:spacing w:line="240" w:lineRule="auto" w:before="161" w:after="0"/>
        <w:ind w:left="1370" w:right="0" w:hanging="531"/>
        <w:jc w:val="left"/>
        <w:rPr>
          <w:b/>
          <w:sz w:val="21"/>
        </w:rPr>
      </w:pPr>
      <w:r>
        <w:rPr>
          <w:spacing w:val="-3"/>
          <w:sz w:val="21"/>
        </w:rPr>
        <w:t>操作性能</w:t>
      </w:r>
      <w:r>
        <w:rPr>
          <w:b/>
          <w:w w:val="99"/>
          <w:sz w:val="21"/>
        </w:rPr>
        <w:t> </w:t>
      </w:r>
    </w:p>
    <w:p>
      <w:pPr>
        <w:pStyle w:val="BodyText"/>
        <w:spacing w:before="2"/>
        <w:rPr>
          <w:b/>
          <w:sz w:val="18"/>
        </w:rPr>
      </w:pPr>
    </w:p>
    <w:p>
      <w:pPr>
        <w:pStyle w:val="BodyText"/>
        <w:spacing w:line="446" w:lineRule="auto"/>
        <w:ind w:left="418" w:right="1505" w:firstLine="419"/>
      </w:pPr>
      <w:r>
        <w:rPr/>
        <w:t>摇臂应能从箱体内向外作水平摆动，摆动角≥90%，摆动时应无卡阻和松动，驱使摆动的力不得大于 50N。消防软管卷盘转动的启动力矩不得大于 20 N·m。 </w:t>
      </w:r>
    </w:p>
    <w:p>
      <w:pPr>
        <w:pStyle w:val="ListParagraph"/>
        <w:numPr>
          <w:ilvl w:val="2"/>
          <w:numId w:val="313"/>
        </w:numPr>
        <w:tabs>
          <w:tab w:pos="1370" w:val="left" w:leader="none"/>
        </w:tabs>
        <w:spacing w:line="267" w:lineRule="exact" w:before="0" w:after="0"/>
        <w:ind w:left="1369" w:right="0" w:hanging="530"/>
        <w:jc w:val="left"/>
        <w:rPr>
          <w:b/>
          <w:sz w:val="21"/>
        </w:rPr>
      </w:pPr>
      <w:r>
        <w:rPr>
          <w:spacing w:val="-3"/>
          <w:sz w:val="21"/>
        </w:rPr>
        <w:t>抗冲击性能</w:t>
      </w:r>
      <w:r>
        <w:rPr>
          <w:b/>
          <w:w w:val="99"/>
          <w:sz w:val="21"/>
        </w:rPr>
        <w:t> </w:t>
      </w:r>
    </w:p>
    <w:p>
      <w:pPr>
        <w:pStyle w:val="BodyText"/>
        <w:spacing w:before="2"/>
        <w:rPr>
          <w:b/>
          <w:sz w:val="18"/>
        </w:rPr>
      </w:pPr>
    </w:p>
    <w:p>
      <w:pPr>
        <w:pStyle w:val="BodyText"/>
        <w:spacing w:line="446" w:lineRule="auto"/>
        <w:ind w:left="418" w:right="1611" w:firstLine="419"/>
      </w:pPr>
      <w:r>
        <w:rPr>
          <w:spacing w:val="-24"/>
        </w:rPr>
        <w:t>按 </w:t>
      </w:r>
      <w:r>
        <w:rPr/>
        <w:t>6.6.3</w:t>
      </w:r>
      <w:r>
        <w:rPr>
          <w:spacing w:val="-11"/>
        </w:rPr>
        <w:t> 方法试验后，消防软管卷盘不得产生影响正常使用的变形；在 </w:t>
      </w:r>
      <w:r>
        <w:rPr/>
        <w:t>0.8 MPa</w:t>
      </w:r>
      <w:r>
        <w:rPr>
          <w:spacing w:val="-11"/>
        </w:rPr>
        <w:t> 水压条件</w:t>
      </w:r>
      <w:r>
        <w:rPr>
          <w:spacing w:val="-6"/>
        </w:rPr>
        <w:t>下各连接部位不得有渗漏现象。</w:t>
      </w:r>
      <w:r>
        <w:rPr/>
        <w:t> </w:t>
      </w:r>
    </w:p>
    <w:p>
      <w:pPr>
        <w:pStyle w:val="ListParagraph"/>
        <w:numPr>
          <w:ilvl w:val="2"/>
          <w:numId w:val="313"/>
        </w:numPr>
        <w:tabs>
          <w:tab w:pos="1371" w:val="left" w:leader="none"/>
        </w:tabs>
        <w:spacing w:line="267" w:lineRule="exact" w:before="0" w:after="0"/>
        <w:ind w:left="1370" w:right="0" w:hanging="531"/>
        <w:jc w:val="left"/>
        <w:rPr>
          <w:b/>
          <w:sz w:val="21"/>
        </w:rPr>
      </w:pPr>
      <w:r>
        <w:rPr>
          <w:spacing w:val="-3"/>
          <w:sz w:val="21"/>
        </w:rPr>
        <w:t>负荷性能</w:t>
      </w:r>
      <w:r>
        <w:rPr>
          <w:b/>
          <w:w w:val="99"/>
          <w:sz w:val="21"/>
        </w:rPr>
        <w:t> </w:t>
      </w:r>
    </w:p>
    <w:p>
      <w:pPr>
        <w:pStyle w:val="BodyText"/>
        <w:spacing w:before="2"/>
        <w:rPr>
          <w:b/>
          <w:sz w:val="18"/>
        </w:rPr>
      </w:pPr>
    </w:p>
    <w:p>
      <w:pPr>
        <w:pStyle w:val="BodyText"/>
        <w:spacing w:line="446" w:lineRule="auto"/>
        <w:ind w:left="418" w:right="1611" w:firstLine="419"/>
      </w:pPr>
      <w:r>
        <w:rPr>
          <w:spacing w:val="-24"/>
        </w:rPr>
        <w:t>按 </w:t>
      </w:r>
      <w:r>
        <w:rPr/>
        <w:t>6.6.4</w:t>
      </w:r>
      <w:r>
        <w:rPr>
          <w:spacing w:val="-11"/>
        </w:rPr>
        <w:t> 方法试验后，消防软管卷盘不得产生影响正常使用的变形；在 </w:t>
      </w:r>
      <w:r>
        <w:rPr/>
        <w:t>0.8 MPa</w:t>
      </w:r>
      <w:r>
        <w:rPr>
          <w:spacing w:val="-11"/>
        </w:rPr>
        <w:t> 水压条件</w:t>
      </w:r>
      <w:r>
        <w:rPr>
          <w:spacing w:val="-6"/>
        </w:rPr>
        <w:t>下各连接部位不得有渗漏现象。</w:t>
      </w:r>
      <w:r>
        <w:rPr/>
        <w:t> </w:t>
      </w:r>
    </w:p>
    <w:p>
      <w:pPr>
        <w:pStyle w:val="ListParagraph"/>
        <w:numPr>
          <w:ilvl w:val="2"/>
          <w:numId w:val="313"/>
        </w:numPr>
        <w:tabs>
          <w:tab w:pos="1371" w:val="left" w:leader="none"/>
        </w:tabs>
        <w:spacing w:line="267" w:lineRule="exact" w:before="0" w:after="0"/>
        <w:ind w:left="1370" w:right="0" w:hanging="531"/>
        <w:jc w:val="left"/>
        <w:rPr>
          <w:b/>
          <w:sz w:val="21"/>
        </w:rPr>
      </w:pPr>
      <w:r>
        <w:rPr>
          <w:spacing w:val="-3"/>
          <w:sz w:val="21"/>
        </w:rPr>
        <w:t>连接性能</w:t>
      </w:r>
      <w:r>
        <w:rPr>
          <w:b/>
          <w:w w:val="99"/>
          <w:sz w:val="21"/>
        </w:rPr>
        <w:t> </w:t>
      </w:r>
    </w:p>
    <w:p>
      <w:pPr>
        <w:pStyle w:val="BodyText"/>
        <w:spacing w:before="2"/>
        <w:rPr>
          <w:b/>
          <w:sz w:val="18"/>
        </w:rPr>
      </w:pPr>
    </w:p>
    <w:p>
      <w:pPr>
        <w:pStyle w:val="BodyText"/>
        <w:spacing w:line="446" w:lineRule="auto"/>
        <w:ind w:left="418" w:right="1508" w:firstLine="419"/>
      </w:pPr>
      <w:r>
        <w:rPr>
          <w:spacing w:val="-3"/>
        </w:rPr>
        <w:t>消防软管卷盘的卷盘轴与弯管、软管与软管盘进出口、软管与进水控制阀、软管与喷枪的</w:t>
      </w:r>
      <w:r>
        <w:rPr>
          <w:spacing w:val="-8"/>
        </w:rPr>
        <w:t>连接应牢固可靠，在 </w:t>
      </w:r>
      <w:r>
        <w:rPr/>
        <w:t>0.8MPa</w:t>
      </w:r>
      <w:r>
        <w:rPr>
          <w:spacing w:val="-12"/>
        </w:rPr>
        <w:t> 水压下不得有脱离及渗漏现象。在 </w:t>
      </w:r>
      <w:r>
        <w:rPr/>
        <w:t>1.2 MPa</w:t>
      </w:r>
      <w:r>
        <w:rPr>
          <w:spacing w:val="-9"/>
        </w:rPr>
        <w:t> 水压下，各零件不得产</w:t>
      </w:r>
      <w:r>
        <w:rPr>
          <w:spacing w:val="-5"/>
        </w:rPr>
        <w:t>生影响正常使用的变形和损坏。</w:t>
      </w:r>
      <w:r>
        <w:rPr/>
        <w:t> </w:t>
      </w:r>
    </w:p>
    <w:p>
      <w:pPr>
        <w:pStyle w:val="ListParagraph"/>
        <w:numPr>
          <w:ilvl w:val="2"/>
          <w:numId w:val="313"/>
        </w:numPr>
        <w:tabs>
          <w:tab w:pos="1371" w:val="left" w:leader="none"/>
        </w:tabs>
        <w:spacing w:line="268" w:lineRule="exact" w:before="0" w:after="0"/>
        <w:ind w:left="1370" w:right="0" w:hanging="531"/>
        <w:jc w:val="left"/>
        <w:rPr>
          <w:b/>
          <w:sz w:val="21"/>
        </w:rPr>
      </w:pPr>
      <w:r>
        <w:rPr>
          <w:spacing w:val="-3"/>
          <w:sz w:val="21"/>
        </w:rPr>
        <w:t>软管性能</w:t>
      </w:r>
      <w:r>
        <w:rPr>
          <w:b/>
          <w:w w:val="99"/>
          <w:sz w:val="21"/>
        </w:rPr>
        <w:t> </w:t>
      </w:r>
    </w:p>
    <w:p>
      <w:pPr>
        <w:pStyle w:val="BodyText"/>
        <w:spacing w:before="12"/>
        <w:rPr>
          <w:b/>
          <w:sz w:val="17"/>
        </w:rPr>
      </w:pPr>
    </w:p>
    <w:p>
      <w:pPr>
        <w:pStyle w:val="BodyText"/>
        <w:spacing w:line="446" w:lineRule="auto"/>
        <w:ind w:left="838" w:right="4019"/>
      </w:pPr>
      <w:r>
        <w:rPr/>
        <w:t>消防软管卷盘的软管应是符合 HG 2184 规定的合格产品。5.6.6.1 软管在 0.8MPa 压力下，外径的膨胀率应不大于 4%。 </w:t>
      </w:r>
    </w:p>
    <w:p>
      <w:pPr>
        <w:pStyle w:val="BodyText"/>
        <w:spacing w:line="446" w:lineRule="auto"/>
        <w:ind w:left="418" w:right="1611" w:firstLine="419"/>
      </w:pPr>
      <w:r>
        <w:rPr/>
        <w:t>5.6.6.2</w:t>
      </w:r>
      <w:r>
        <w:rPr>
          <w:spacing w:val="-10"/>
        </w:rPr>
        <w:t> 软管在 </w:t>
      </w:r>
      <w:r>
        <w:rPr/>
        <w:t>1.2MPa</w:t>
      </w:r>
      <w:r>
        <w:rPr>
          <w:spacing w:val="-11"/>
        </w:rPr>
        <w:t> 压力下，不得有渗漏现象；在 </w:t>
      </w:r>
      <w:r>
        <w:rPr/>
        <w:t>2.4MPa</w:t>
      </w:r>
      <w:r>
        <w:rPr>
          <w:spacing w:val="-8"/>
        </w:rPr>
        <w:t> 压力下，软管不应爆破，膨</w:t>
      </w:r>
      <w:r>
        <w:rPr>
          <w:spacing w:val="-5"/>
        </w:rPr>
        <w:t>胀应均匀、 无局部凸起现象。</w:t>
      </w:r>
      <w:r>
        <w:rPr/>
        <w:t> </w:t>
      </w:r>
    </w:p>
    <w:p>
      <w:pPr>
        <w:pStyle w:val="ListParagraph"/>
        <w:numPr>
          <w:ilvl w:val="2"/>
          <w:numId w:val="313"/>
        </w:numPr>
        <w:tabs>
          <w:tab w:pos="1371" w:val="left" w:leader="none"/>
        </w:tabs>
        <w:spacing w:line="267" w:lineRule="exact" w:before="0" w:after="0"/>
        <w:ind w:left="1370" w:right="0" w:hanging="531"/>
        <w:jc w:val="left"/>
        <w:rPr>
          <w:b/>
          <w:sz w:val="21"/>
        </w:rPr>
      </w:pPr>
      <w:r>
        <w:rPr>
          <w:spacing w:val="-3"/>
          <w:sz w:val="21"/>
        </w:rPr>
        <w:t>进水控制阀的水压强度性能</w:t>
      </w:r>
      <w:r>
        <w:rPr>
          <w:b/>
          <w:w w:val="99"/>
          <w:sz w:val="21"/>
        </w:rPr>
        <w:t> </w:t>
      </w:r>
    </w:p>
    <w:p>
      <w:pPr>
        <w:pStyle w:val="BodyText"/>
        <w:spacing w:before="2"/>
        <w:rPr>
          <w:b/>
          <w:sz w:val="18"/>
        </w:rPr>
      </w:pPr>
    </w:p>
    <w:p>
      <w:pPr>
        <w:pStyle w:val="BodyText"/>
        <w:spacing w:line="446" w:lineRule="auto"/>
        <w:ind w:left="418" w:right="1817" w:firstLine="419"/>
      </w:pPr>
      <w:r>
        <w:rPr>
          <w:spacing w:val="-6"/>
        </w:rPr>
        <w:t>消防水喉进水控制阀选用公称通径 </w:t>
      </w:r>
      <w:r>
        <w:rPr/>
        <w:t>20mm</w:t>
      </w:r>
      <w:r>
        <w:rPr>
          <w:spacing w:val="-30"/>
        </w:rPr>
        <w:t> 或 </w:t>
      </w:r>
      <w:r>
        <w:rPr/>
        <w:t>25mm</w:t>
      </w:r>
      <w:r>
        <w:rPr>
          <w:spacing w:val="-8"/>
        </w:rPr>
        <w:t> 的球阀和闸阀时，必须通过水压强度试</w:t>
      </w:r>
      <w:r>
        <w:rPr>
          <w:spacing w:val="-17"/>
        </w:rPr>
        <w:t>验。在 </w:t>
      </w:r>
      <w:r>
        <w:rPr/>
        <w:t>2.4MPa</w:t>
      </w:r>
      <w:r>
        <w:rPr>
          <w:spacing w:val="-16"/>
        </w:rPr>
        <w:t> 水压下，保压 </w:t>
      </w:r>
      <w:r>
        <w:rPr/>
        <w:t>2min</w:t>
      </w:r>
      <w:r>
        <w:rPr>
          <w:spacing w:val="-3"/>
        </w:rPr>
        <w:t>，阀体不得有破裂和渗漏现象。</w:t>
      </w:r>
      <w:r>
        <w:rPr/>
        <w:t> </w:t>
      </w:r>
    </w:p>
    <w:p>
      <w:pPr>
        <w:spacing w:after="0" w:line="446" w:lineRule="auto"/>
        <w:sectPr>
          <w:pgSz w:w="11910" w:h="16850"/>
          <w:pgMar w:header="0" w:footer="1239" w:top="1220" w:bottom="1420" w:left="1260" w:right="0"/>
        </w:sectPr>
      </w:pPr>
    </w:p>
    <w:p>
      <w:pPr>
        <w:pStyle w:val="ListParagraph"/>
        <w:numPr>
          <w:ilvl w:val="1"/>
          <w:numId w:val="313"/>
        </w:numPr>
        <w:tabs>
          <w:tab w:pos="1159" w:val="left" w:leader="none"/>
        </w:tabs>
        <w:spacing w:line="240" w:lineRule="auto" w:before="47" w:after="0"/>
        <w:ind w:left="1158" w:right="0" w:hanging="319"/>
        <w:jc w:val="left"/>
        <w:rPr>
          <w:sz w:val="21"/>
        </w:rPr>
      </w:pPr>
      <w:r>
        <w:rPr>
          <w:spacing w:val="-3"/>
          <w:sz w:val="21"/>
        </w:rPr>
        <w:t>电器设备</w:t>
      </w:r>
      <w:r>
        <w:rPr>
          <w:sz w:val="21"/>
        </w:rPr>
        <w:t> </w:t>
      </w:r>
    </w:p>
    <w:p>
      <w:pPr>
        <w:pStyle w:val="BodyText"/>
        <w:rPr>
          <w:sz w:val="18"/>
        </w:rPr>
      </w:pPr>
    </w:p>
    <w:p>
      <w:pPr>
        <w:pStyle w:val="ListParagraph"/>
        <w:numPr>
          <w:ilvl w:val="2"/>
          <w:numId w:val="313"/>
        </w:numPr>
        <w:tabs>
          <w:tab w:pos="1371" w:val="left" w:leader="none"/>
        </w:tabs>
        <w:spacing w:line="446" w:lineRule="auto" w:before="0" w:after="0"/>
        <w:ind w:left="418" w:right="1604" w:firstLine="422"/>
        <w:jc w:val="left"/>
        <w:rPr>
          <w:sz w:val="21"/>
        </w:rPr>
      </w:pPr>
      <w:r>
        <w:rPr>
          <w:spacing w:val="-3"/>
          <w:sz w:val="21"/>
        </w:rPr>
        <w:t>控制按钮应有防止误动作措施，且至少应有一对常开和一对常闭触点，触点间的接</w:t>
      </w:r>
      <w:r>
        <w:rPr>
          <w:spacing w:val="-6"/>
          <w:sz w:val="21"/>
        </w:rPr>
        <w:t>触电阻在正常的大气条件下不得大于 </w:t>
      </w:r>
      <w:r>
        <w:rPr>
          <w:sz w:val="21"/>
        </w:rPr>
        <w:t>0.1Ω</w:t>
      </w:r>
      <w:r>
        <w:rPr>
          <w:spacing w:val="-3"/>
          <w:sz w:val="21"/>
        </w:rPr>
        <w:t>。</w:t>
      </w:r>
      <w:r>
        <w:rPr>
          <w:sz w:val="21"/>
        </w:rPr>
        <w:t> </w:t>
      </w:r>
    </w:p>
    <w:p>
      <w:pPr>
        <w:pStyle w:val="ListParagraph"/>
        <w:numPr>
          <w:ilvl w:val="2"/>
          <w:numId w:val="313"/>
        </w:numPr>
        <w:tabs>
          <w:tab w:pos="1370" w:val="left" w:leader="none"/>
        </w:tabs>
        <w:spacing w:line="240" w:lineRule="auto" w:before="0" w:after="0"/>
        <w:ind w:left="1369" w:right="0" w:hanging="530"/>
        <w:jc w:val="left"/>
        <w:rPr>
          <w:sz w:val="21"/>
        </w:rPr>
      </w:pPr>
      <w:r>
        <w:rPr>
          <w:spacing w:val="-5"/>
          <w:sz w:val="21"/>
        </w:rPr>
        <w:t>指示灯应具有防水、防尘能力，其指示灯光为红色，在光照度 </w:t>
      </w:r>
      <w:r>
        <w:rPr>
          <w:sz w:val="21"/>
        </w:rPr>
        <w:t>1000lx</w:t>
      </w:r>
      <w:r>
        <w:rPr>
          <w:spacing w:val="-17"/>
          <w:sz w:val="21"/>
        </w:rPr>
        <w:t> 环境下，距 </w:t>
      </w:r>
      <w:r>
        <w:rPr>
          <w:sz w:val="21"/>
        </w:rPr>
        <w:t>3m</w:t>
      </w:r>
    </w:p>
    <w:p>
      <w:pPr>
        <w:pStyle w:val="BodyText"/>
        <w:spacing w:before="12"/>
        <w:rPr>
          <w:sz w:val="17"/>
        </w:rPr>
      </w:pPr>
    </w:p>
    <w:p>
      <w:pPr>
        <w:pStyle w:val="BodyText"/>
        <w:ind w:left="418"/>
      </w:pPr>
      <w:r>
        <w:rPr/>
        <w:t>远处应清晰可见。 </w:t>
      </w:r>
    </w:p>
    <w:p>
      <w:pPr>
        <w:pStyle w:val="BodyText"/>
        <w:rPr>
          <w:sz w:val="18"/>
        </w:rPr>
      </w:pPr>
    </w:p>
    <w:p>
      <w:pPr>
        <w:pStyle w:val="ListParagraph"/>
        <w:numPr>
          <w:ilvl w:val="2"/>
          <w:numId w:val="313"/>
        </w:numPr>
        <w:tabs>
          <w:tab w:pos="1370" w:val="left" w:leader="none"/>
        </w:tabs>
        <w:spacing w:line="446" w:lineRule="auto" w:before="0" w:after="0"/>
        <w:ind w:left="418" w:right="1500" w:firstLine="422"/>
        <w:jc w:val="left"/>
        <w:rPr>
          <w:sz w:val="21"/>
        </w:rPr>
      </w:pPr>
      <w:r>
        <w:rPr>
          <w:spacing w:val="-5"/>
          <w:sz w:val="21"/>
        </w:rPr>
        <w:t>配置音响警报器件的栓箱，其警报音响在额定工作电压下，距离 </w:t>
      </w:r>
      <w:r>
        <w:rPr>
          <w:sz w:val="21"/>
        </w:rPr>
        <w:t>1m</w:t>
      </w:r>
      <w:r>
        <w:rPr>
          <w:spacing w:val="-8"/>
          <w:sz w:val="21"/>
        </w:rPr>
        <w:t> 远处的声压级应</w:t>
      </w:r>
      <w:r>
        <w:rPr>
          <w:spacing w:val="-17"/>
          <w:sz w:val="21"/>
        </w:rPr>
        <w:t>不低于 </w:t>
      </w:r>
      <w:r>
        <w:rPr>
          <w:sz w:val="21"/>
        </w:rPr>
        <w:t>65dB(A</w:t>
      </w:r>
      <w:r>
        <w:rPr>
          <w:spacing w:val="-14"/>
          <w:sz w:val="21"/>
        </w:rPr>
        <w:t>)。在 </w:t>
      </w:r>
      <w:r>
        <w:rPr>
          <w:sz w:val="21"/>
        </w:rPr>
        <w:t>85</w:t>
      </w:r>
      <w:r>
        <w:rPr>
          <w:spacing w:val="-3"/>
          <w:sz w:val="21"/>
        </w:rPr>
        <w:t>%额定工作电压条件下能发出音响。</w:t>
      </w:r>
      <w:r>
        <w:rPr>
          <w:sz w:val="21"/>
        </w:rPr>
        <w:t> </w:t>
      </w:r>
    </w:p>
    <w:p>
      <w:pPr>
        <w:pStyle w:val="ListParagraph"/>
        <w:numPr>
          <w:ilvl w:val="2"/>
          <w:numId w:val="313"/>
        </w:numPr>
        <w:tabs>
          <w:tab w:pos="1371" w:val="left" w:leader="none"/>
        </w:tabs>
        <w:spacing w:line="240" w:lineRule="auto" w:before="0" w:after="0"/>
        <w:ind w:left="1370" w:right="0" w:hanging="531"/>
        <w:jc w:val="left"/>
        <w:rPr>
          <w:sz w:val="21"/>
        </w:rPr>
      </w:pPr>
      <w:r>
        <w:rPr>
          <w:spacing w:val="-6"/>
          <w:sz w:val="21"/>
        </w:rPr>
        <w:t>栓箱内各电器设备的额定工作电压应为 </w:t>
      </w:r>
      <w:r>
        <w:rPr>
          <w:sz w:val="21"/>
        </w:rPr>
        <w:t>220</w:t>
      </w:r>
      <w:r>
        <w:rPr>
          <w:spacing w:val="-2"/>
          <w:sz w:val="21"/>
        </w:rPr>
        <w:t> </w:t>
      </w:r>
      <w:r>
        <w:rPr>
          <w:sz w:val="21"/>
        </w:rPr>
        <w:t>Va.</w:t>
      </w:r>
      <w:r>
        <w:rPr>
          <w:spacing w:val="1"/>
          <w:sz w:val="21"/>
        </w:rPr>
        <w:t> </w:t>
      </w:r>
      <w:r>
        <w:rPr>
          <w:sz w:val="21"/>
        </w:rPr>
        <w:t>c</w:t>
      </w:r>
      <w:r>
        <w:rPr>
          <w:spacing w:val="-18"/>
          <w:sz w:val="21"/>
        </w:rPr>
        <w:t>.或 </w:t>
      </w:r>
      <w:r>
        <w:rPr>
          <w:sz w:val="21"/>
        </w:rPr>
        <w:t>24</w:t>
      </w:r>
      <w:r>
        <w:rPr>
          <w:spacing w:val="1"/>
          <w:sz w:val="21"/>
        </w:rPr>
        <w:t> </w:t>
      </w:r>
      <w:r>
        <w:rPr>
          <w:sz w:val="21"/>
        </w:rPr>
        <w:t>Vd.c</w:t>
      </w:r>
      <w:r>
        <w:rPr>
          <w:spacing w:val="-3"/>
          <w:sz w:val="21"/>
        </w:rPr>
        <w:t>。</w:t>
      </w:r>
      <w:r>
        <w:rPr>
          <w:sz w:val="21"/>
        </w:rPr>
        <w:t> </w:t>
      </w:r>
    </w:p>
    <w:p>
      <w:pPr>
        <w:pStyle w:val="BodyText"/>
        <w:rPr>
          <w:sz w:val="18"/>
        </w:rPr>
      </w:pPr>
    </w:p>
    <w:p>
      <w:pPr>
        <w:pStyle w:val="ListParagraph"/>
        <w:numPr>
          <w:ilvl w:val="2"/>
          <w:numId w:val="313"/>
        </w:numPr>
        <w:tabs>
          <w:tab w:pos="1370" w:val="left" w:leader="none"/>
        </w:tabs>
        <w:spacing w:line="446" w:lineRule="auto" w:before="0" w:after="0"/>
        <w:ind w:left="418" w:right="1604" w:firstLine="422"/>
        <w:jc w:val="left"/>
        <w:rPr>
          <w:sz w:val="21"/>
        </w:rPr>
      </w:pPr>
      <w:r>
        <w:rPr>
          <w:spacing w:val="-3"/>
          <w:sz w:val="21"/>
        </w:rPr>
        <w:t>栓箱内各电器设备的接线端子均不得裸露，各接线端子与箱体之间的绝缘电阻，在</w:t>
      </w:r>
      <w:r>
        <w:rPr>
          <w:spacing w:val="-8"/>
          <w:sz w:val="21"/>
        </w:rPr>
        <w:t>正常大气条件下不得小于 </w:t>
      </w:r>
      <w:r>
        <w:rPr>
          <w:sz w:val="21"/>
        </w:rPr>
        <w:t>50MΩ</w:t>
      </w:r>
      <w:r>
        <w:rPr>
          <w:spacing w:val="-3"/>
          <w:sz w:val="21"/>
        </w:rPr>
        <w:t>。</w:t>
      </w:r>
      <w:r>
        <w:rPr>
          <w:sz w:val="21"/>
        </w:rPr>
        <w:t> </w:t>
      </w:r>
    </w:p>
    <w:p>
      <w:pPr>
        <w:pStyle w:val="ListParagraph"/>
        <w:numPr>
          <w:ilvl w:val="2"/>
          <w:numId w:val="313"/>
        </w:numPr>
        <w:tabs>
          <w:tab w:pos="1370" w:val="left" w:leader="none"/>
        </w:tabs>
        <w:spacing w:line="240" w:lineRule="auto" w:before="0" w:after="0"/>
        <w:ind w:left="1369" w:right="0" w:hanging="530"/>
        <w:jc w:val="left"/>
        <w:rPr>
          <w:sz w:val="21"/>
        </w:rPr>
      </w:pPr>
      <w:r>
        <w:rPr>
          <w:spacing w:val="-6"/>
          <w:sz w:val="21"/>
        </w:rPr>
        <w:t>栓箱内各电器设备的外壳防护等级应为 </w:t>
      </w:r>
      <w:r>
        <w:rPr>
          <w:sz w:val="21"/>
        </w:rPr>
        <w:t>IPX5。 </w:t>
      </w:r>
    </w:p>
    <w:p>
      <w:pPr>
        <w:pStyle w:val="BodyText"/>
        <w:spacing w:before="12"/>
        <w:rPr>
          <w:sz w:val="17"/>
        </w:rPr>
      </w:pPr>
    </w:p>
    <w:p>
      <w:pPr>
        <w:pStyle w:val="ListParagraph"/>
        <w:numPr>
          <w:ilvl w:val="1"/>
          <w:numId w:val="313"/>
        </w:numPr>
        <w:tabs>
          <w:tab w:pos="1159" w:val="left" w:leader="none"/>
        </w:tabs>
        <w:spacing w:line="240" w:lineRule="auto" w:before="0" w:after="0"/>
        <w:ind w:left="1158" w:right="0" w:hanging="319"/>
        <w:jc w:val="left"/>
        <w:rPr>
          <w:b/>
          <w:sz w:val="21"/>
        </w:rPr>
      </w:pPr>
      <w:r>
        <w:rPr>
          <w:spacing w:val="-3"/>
          <w:sz w:val="21"/>
        </w:rPr>
        <w:t>连接性能</w:t>
      </w:r>
      <w:r>
        <w:rPr>
          <w:b/>
          <w:w w:val="99"/>
          <w:sz w:val="21"/>
        </w:rPr>
        <w:t> </w:t>
      </w:r>
    </w:p>
    <w:p>
      <w:pPr>
        <w:pStyle w:val="BodyText"/>
        <w:spacing w:before="2"/>
        <w:rPr>
          <w:b/>
          <w:sz w:val="18"/>
        </w:rPr>
      </w:pPr>
    </w:p>
    <w:p>
      <w:pPr>
        <w:pStyle w:val="ListParagraph"/>
        <w:numPr>
          <w:ilvl w:val="2"/>
          <w:numId w:val="313"/>
        </w:numPr>
        <w:tabs>
          <w:tab w:pos="1371" w:val="left" w:leader="none"/>
        </w:tabs>
        <w:spacing w:line="240" w:lineRule="auto" w:before="0" w:after="0"/>
        <w:ind w:left="1370" w:right="0" w:hanging="531"/>
        <w:jc w:val="left"/>
        <w:rPr>
          <w:sz w:val="21"/>
        </w:rPr>
      </w:pPr>
      <w:r>
        <w:rPr>
          <w:spacing w:val="-6"/>
          <w:sz w:val="21"/>
        </w:rPr>
        <w:t>消防水带与接口的连接应牢固可靠，在 </w:t>
      </w:r>
      <w:r>
        <w:rPr>
          <w:sz w:val="21"/>
        </w:rPr>
        <w:t>0.8MPa</w:t>
      </w:r>
      <w:r>
        <w:rPr>
          <w:spacing w:val="-9"/>
          <w:sz w:val="21"/>
        </w:rPr>
        <w:t> 水压下不得有脱离及泄漏现象。</w:t>
      </w:r>
      <w:r>
        <w:rPr>
          <w:sz w:val="21"/>
        </w:rPr>
        <w:t> </w:t>
      </w:r>
    </w:p>
    <w:p>
      <w:pPr>
        <w:pStyle w:val="BodyText"/>
        <w:rPr>
          <w:sz w:val="18"/>
        </w:rPr>
      </w:pPr>
    </w:p>
    <w:p>
      <w:pPr>
        <w:pStyle w:val="ListParagraph"/>
        <w:numPr>
          <w:ilvl w:val="2"/>
          <w:numId w:val="313"/>
        </w:numPr>
        <w:tabs>
          <w:tab w:pos="1370" w:val="left" w:leader="none"/>
        </w:tabs>
        <w:spacing w:line="240" w:lineRule="auto" w:before="0" w:after="0"/>
        <w:ind w:left="1369" w:right="0" w:hanging="530"/>
        <w:jc w:val="left"/>
        <w:rPr>
          <w:sz w:val="21"/>
        </w:rPr>
      </w:pPr>
      <w:r>
        <w:rPr>
          <w:spacing w:val="-5"/>
          <w:sz w:val="21"/>
        </w:rPr>
        <w:t>室内消火栓与消防水带之间、消防水带与消防水枪之间通过接口连接后，在 </w:t>
      </w:r>
      <w:r>
        <w:rPr>
          <w:sz w:val="21"/>
        </w:rPr>
        <w:t>0.8MPa</w:t>
      </w:r>
    </w:p>
    <w:p>
      <w:pPr>
        <w:pStyle w:val="BodyText"/>
        <w:spacing w:before="12"/>
        <w:rPr>
          <w:sz w:val="17"/>
        </w:rPr>
      </w:pPr>
    </w:p>
    <w:p>
      <w:pPr>
        <w:pStyle w:val="BodyText"/>
        <w:spacing w:line="446" w:lineRule="auto"/>
        <w:ind w:left="840" w:right="6337" w:hanging="423"/>
        <w:rPr>
          <w:b/>
        </w:rPr>
      </w:pPr>
      <w:r>
        <w:rPr/>
        <w:t>水压下，其各连接部位不得有泄漏现象。</w:t>
      </w:r>
      <w:r>
        <w:rPr>
          <w:b/>
        </w:rPr>
        <w:t>5.9 </w:t>
      </w:r>
      <w:r>
        <w:rPr/>
        <w:t>喷射性能</w:t>
      </w:r>
      <w:r>
        <w:rPr>
          <w:b/>
          <w:w w:val="99"/>
        </w:rPr>
        <w:t> </w:t>
      </w:r>
    </w:p>
    <w:p>
      <w:pPr>
        <w:pStyle w:val="BodyText"/>
        <w:ind w:left="838"/>
      </w:pPr>
      <w:r>
        <w:rPr/>
        <w:t>室内消火栓、消防水带、消防水枪连接后，在 0.35MPa 水压下，其流量不应小于</w:t>
      </w:r>
    </w:p>
    <w:p>
      <w:pPr>
        <w:pStyle w:val="BodyText"/>
        <w:spacing w:before="12"/>
        <w:rPr>
          <w:sz w:val="17"/>
        </w:rPr>
      </w:pPr>
    </w:p>
    <w:p>
      <w:pPr>
        <w:pStyle w:val="BodyText"/>
        <w:spacing w:before="1"/>
        <w:ind w:left="418"/>
      </w:pPr>
      <w:r>
        <w:rPr/>
        <w:t>300L/min，水枪的充实水柱不应小于 13m。 </w:t>
      </w:r>
    </w:p>
    <w:p>
      <w:pPr>
        <w:pStyle w:val="BodyText"/>
        <w:spacing w:before="1"/>
        <w:rPr>
          <w:sz w:val="18"/>
        </w:rPr>
      </w:pPr>
    </w:p>
    <w:p>
      <w:pPr>
        <w:pStyle w:val="ListParagraph"/>
        <w:numPr>
          <w:ilvl w:val="1"/>
          <w:numId w:val="314"/>
        </w:numPr>
        <w:tabs>
          <w:tab w:pos="1266" w:val="left" w:leader="none"/>
        </w:tabs>
        <w:spacing w:line="240" w:lineRule="auto" w:before="0" w:after="0"/>
        <w:ind w:left="1265" w:right="0" w:hanging="426"/>
        <w:jc w:val="left"/>
        <w:rPr>
          <w:sz w:val="19"/>
        </w:rPr>
      </w:pPr>
      <w:r>
        <w:rPr>
          <w:spacing w:val="-3"/>
          <w:sz w:val="21"/>
        </w:rPr>
        <w:t>外观</w:t>
      </w:r>
      <w:r>
        <w:rPr>
          <w:sz w:val="21"/>
        </w:rPr>
        <w:t> </w:t>
      </w:r>
    </w:p>
    <w:p>
      <w:pPr>
        <w:pStyle w:val="BodyText"/>
        <w:rPr>
          <w:sz w:val="18"/>
        </w:rPr>
      </w:pPr>
    </w:p>
    <w:p>
      <w:pPr>
        <w:pStyle w:val="ListParagraph"/>
        <w:numPr>
          <w:ilvl w:val="2"/>
          <w:numId w:val="314"/>
        </w:numPr>
        <w:tabs>
          <w:tab w:pos="1478" w:val="left" w:leader="none"/>
        </w:tabs>
        <w:spacing w:line="240" w:lineRule="auto" w:before="1" w:after="0"/>
        <w:ind w:left="1477" w:right="0" w:hanging="638"/>
        <w:jc w:val="left"/>
        <w:rPr>
          <w:b/>
          <w:sz w:val="21"/>
        </w:rPr>
      </w:pPr>
      <w:r>
        <w:rPr>
          <w:spacing w:val="-3"/>
          <w:sz w:val="21"/>
        </w:rPr>
        <w:t>外观质量</w:t>
      </w:r>
      <w:r>
        <w:rPr>
          <w:b/>
          <w:w w:val="99"/>
          <w:sz w:val="21"/>
        </w:rPr>
        <w:t> </w:t>
      </w:r>
    </w:p>
    <w:p>
      <w:pPr>
        <w:pStyle w:val="BodyText"/>
        <w:spacing w:before="12"/>
        <w:rPr>
          <w:b/>
          <w:sz w:val="17"/>
        </w:rPr>
      </w:pPr>
    </w:p>
    <w:p>
      <w:pPr>
        <w:pStyle w:val="ListParagraph"/>
        <w:numPr>
          <w:ilvl w:val="3"/>
          <w:numId w:val="314"/>
        </w:numPr>
        <w:tabs>
          <w:tab w:pos="1682" w:val="left" w:leader="none"/>
        </w:tabs>
        <w:spacing w:line="446" w:lineRule="auto" w:before="0" w:after="0"/>
        <w:ind w:left="418" w:right="1714" w:firstLine="419"/>
        <w:jc w:val="left"/>
        <w:rPr>
          <w:sz w:val="21"/>
        </w:rPr>
      </w:pPr>
      <w:r>
        <w:rPr>
          <w:spacing w:val="-3"/>
          <w:sz w:val="21"/>
        </w:rPr>
        <w:t>栓箱内配置的消防器材按规定装配完毕后，箱体应端正，不得有歪斜翘曲等现象。各表面应无凹凸不平等加工缺陷及磕碰痕迹。</w:t>
      </w:r>
      <w:r>
        <w:rPr>
          <w:sz w:val="21"/>
        </w:rPr>
        <w:t> </w:t>
      </w:r>
    </w:p>
    <w:p>
      <w:pPr>
        <w:pStyle w:val="ListParagraph"/>
        <w:numPr>
          <w:ilvl w:val="3"/>
          <w:numId w:val="314"/>
        </w:numPr>
        <w:tabs>
          <w:tab w:pos="1682" w:val="left" w:leader="none"/>
        </w:tabs>
        <w:spacing w:line="446" w:lineRule="auto" w:before="0" w:after="0"/>
        <w:ind w:left="418" w:right="1505" w:firstLine="419"/>
        <w:jc w:val="left"/>
        <w:rPr>
          <w:sz w:val="21"/>
        </w:rPr>
      </w:pPr>
      <w:r>
        <w:rPr>
          <w:spacing w:val="-3"/>
          <w:sz w:val="21"/>
        </w:rPr>
        <w:t>箱体内外表面应作防腐处理。进行涂漆防腐处理的箱体，其涂层应均匀一致、平整光亮。明装式栓箱的箱体外表及其他形式栓箱的外露部位涂层应色泽美观，不得有流痕、气泡、剥落等缺陷。</w:t>
      </w:r>
      <w:r>
        <w:rPr>
          <w:sz w:val="21"/>
        </w:rPr>
        <w:t> </w:t>
      </w:r>
    </w:p>
    <w:p>
      <w:pPr>
        <w:pStyle w:val="ListParagraph"/>
        <w:numPr>
          <w:ilvl w:val="3"/>
          <w:numId w:val="314"/>
        </w:numPr>
        <w:tabs>
          <w:tab w:pos="1682" w:val="left" w:leader="none"/>
        </w:tabs>
        <w:spacing w:line="446" w:lineRule="auto" w:before="0" w:after="0"/>
        <w:ind w:left="838" w:right="2662" w:firstLine="0"/>
        <w:jc w:val="left"/>
        <w:rPr>
          <w:b/>
          <w:sz w:val="21"/>
        </w:rPr>
      </w:pPr>
      <w:r>
        <w:rPr>
          <w:spacing w:val="-3"/>
          <w:sz w:val="21"/>
        </w:rPr>
        <w:t>焊缝或焊点应平整均匀、焊接牢固，应无烧穿、疤瘤等焊接缺陷。 铆接应严实美观。铆钉排列应整齐，铆接后铆钉连接应紧固无歪斜。   </w:t>
      </w:r>
      <w:r>
        <w:rPr>
          <w:b/>
          <w:sz w:val="21"/>
        </w:rPr>
        <w:t>5.10.2</w:t>
      </w:r>
      <w:r>
        <w:rPr>
          <w:b/>
          <w:spacing w:val="-1"/>
          <w:sz w:val="21"/>
        </w:rPr>
        <w:t> </w:t>
      </w:r>
      <w:r>
        <w:rPr>
          <w:spacing w:val="-3"/>
          <w:sz w:val="21"/>
        </w:rPr>
        <w:t>外形尺寸</w:t>
      </w:r>
      <w:r>
        <w:rPr>
          <w:b/>
          <w:w w:val="99"/>
          <w:sz w:val="21"/>
        </w:rPr>
        <w:t> </w:t>
      </w:r>
    </w:p>
    <w:p>
      <w:pPr>
        <w:spacing w:after="0" w:line="446" w:lineRule="auto"/>
        <w:jc w:val="left"/>
        <w:rPr>
          <w:sz w:val="21"/>
        </w:rPr>
        <w:sectPr>
          <w:pgSz w:w="11910" w:h="16850"/>
          <w:pgMar w:header="0" w:footer="1239" w:top="1220" w:bottom="1420" w:left="1260" w:right="0"/>
        </w:sectPr>
      </w:pPr>
    </w:p>
    <w:p>
      <w:pPr>
        <w:pStyle w:val="ListParagraph"/>
        <w:numPr>
          <w:ilvl w:val="3"/>
          <w:numId w:val="315"/>
        </w:numPr>
        <w:tabs>
          <w:tab w:pos="1682" w:val="left" w:leader="none"/>
        </w:tabs>
        <w:spacing w:line="240" w:lineRule="auto" w:before="47" w:after="0"/>
        <w:ind w:left="1681" w:right="0" w:hanging="844"/>
        <w:jc w:val="left"/>
        <w:rPr>
          <w:sz w:val="21"/>
        </w:rPr>
      </w:pPr>
      <w:r>
        <w:rPr>
          <w:spacing w:val="-6"/>
          <w:sz w:val="21"/>
        </w:rPr>
        <w:t>箱体的长边、短边及厚度尺寸应符合表 </w:t>
      </w:r>
      <w:r>
        <w:rPr>
          <w:sz w:val="21"/>
        </w:rPr>
        <w:t>1</w:t>
      </w:r>
      <w:r>
        <w:rPr>
          <w:spacing w:val="-15"/>
          <w:sz w:val="21"/>
        </w:rPr>
        <w:t> 要求。</w:t>
      </w:r>
      <w:r>
        <w:rPr>
          <w:sz w:val="21"/>
        </w:rPr>
        <w:t> </w:t>
      </w:r>
    </w:p>
    <w:p>
      <w:pPr>
        <w:pStyle w:val="BodyText"/>
        <w:rPr>
          <w:sz w:val="18"/>
        </w:rPr>
      </w:pPr>
    </w:p>
    <w:p>
      <w:pPr>
        <w:pStyle w:val="ListParagraph"/>
        <w:numPr>
          <w:ilvl w:val="3"/>
          <w:numId w:val="315"/>
        </w:numPr>
        <w:tabs>
          <w:tab w:pos="1682" w:val="left" w:leader="none"/>
        </w:tabs>
        <w:spacing w:line="240" w:lineRule="auto" w:before="0" w:after="0"/>
        <w:ind w:left="1681" w:right="0" w:hanging="844"/>
        <w:jc w:val="left"/>
        <w:rPr>
          <w:sz w:val="21"/>
        </w:rPr>
      </w:pPr>
      <w:r>
        <w:rPr>
          <w:spacing w:val="-5"/>
          <w:sz w:val="21"/>
        </w:rPr>
        <w:t>箱门关闭到位后，应与四周框面平齐，其不平的最大允差为 </w:t>
      </w:r>
      <w:r>
        <w:rPr>
          <w:sz w:val="21"/>
        </w:rPr>
        <w:t>2.0mm。 </w:t>
      </w:r>
    </w:p>
    <w:p>
      <w:pPr>
        <w:pStyle w:val="BodyText"/>
        <w:rPr>
          <w:sz w:val="18"/>
        </w:rPr>
      </w:pPr>
    </w:p>
    <w:p>
      <w:pPr>
        <w:pStyle w:val="ListParagraph"/>
        <w:numPr>
          <w:ilvl w:val="3"/>
          <w:numId w:val="315"/>
        </w:numPr>
        <w:tabs>
          <w:tab w:pos="1682" w:val="left" w:leader="none"/>
        </w:tabs>
        <w:spacing w:line="240" w:lineRule="auto" w:before="0" w:after="0"/>
        <w:ind w:left="1681" w:right="0" w:hanging="844"/>
        <w:jc w:val="left"/>
        <w:rPr>
          <w:sz w:val="21"/>
        </w:rPr>
      </w:pPr>
      <w:r>
        <w:rPr>
          <w:spacing w:val="-6"/>
          <w:sz w:val="21"/>
        </w:rPr>
        <w:t>箱门与框之间的间隙应均匀平直，最大间隙不超过 </w:t>
      </w:r>
      <w:r>
        <w:rPr>
          <w:sz w:val="21"/>
        </w:rPr>
        <w:t>2.5mm</w:t>
      </w:r>
      <w:r>
        <w:rPr>
          <w:spacing w:val="-3"/>
          <w:sz w:val="21"/>
        </w:rPr>
        <w:t>。</w:t>
      </w:r>
      <w:r>
        <w:rPr>
          <w:sz w:val="21"/>
        </w:rPr>
        <w:t> </w:t>
      </w:r>
    </w:p>
    <w:p>
      <w:pPr>
        <w:pStyle w:val="BodyText"/>
        <w:spacing w:before="1"/>
        <w:rPr>
          <w:sz w:val="18"/>
        </w:rPr>
      </w:pPr>
    </w:p>
    <w:p>
      <w:pPr>
        <w:pStyle w:val="ListParagraph"/>
        <w:numPr>
          <w:ilvl w:val="3"/>
          <w:numId w:val="315"/>
        </w:numPr>
        <w:tabs>
          <w:tab w:pos="1682" w:val="left" w:leader="none"/>
        </w:tabs>
        <w:spacing w:line="446" w:lineRule="auto" w:before="1" w:after="0"/>
        <w:ind w:left="418" w:right="1454" w:firstLine="419"/>
        <w:jc w:val="left"/>
        <w:rPr>
          <w:sz w:val="21"/>
        </w:rPr>
      </w:pPr>
      <w:r>
        <w:rPr>
          <w:spacing w:val="-5"/>
          <w:sz w:val="21"/>
        </w:rPr>
        <w:t>栓箱正面上的零部件，凸出箱门外表平面的高度不得大于 </w:t>
      </w:r>
      <w:r>
        <w:rPr>
          <w:sz w:val="21"/>
        </w:rPr>
        <w:t>15.0mm</w:t>
      </w:r>
      <w:r>
        <w:rPr>
          <w:spacing w:val="-2"/>
          <w:sz w:val="21"/>
        </w:rPr>
        <w:t>；其余各面的零</w:t>
      </w:r>
      <w:r>
        <w:rPr>
          <w:spacing w:val="-6"/>
          <w:sz w:val="21"/>
        </w:rPr>
        <w:t>部件，凸出该面外表平面的高度不得超过 </w:t>
      </w:r>
      <w:r>
        <w:rPr>
          <w:sz w:val="21"/>
        </w:rPr>
        <w:t>10.0mm。 </w:t>
      </w:r>
    </w:p>
    <w:p>
      <w:pPr>
        <w:pStyle w:val="ListParagraph"/>
        <w:numPr>
          <w:ilvl w:val="1"/>
          <w:numId w:val="314"/>
        </w:numPr>
        <w:tabs>
          <w:tab w:pos="1264" w:val="left" w:leader="none"/>
        </w:tabs>
        <w:spacing w:line="267" w:lineRule="exact" w:before="0" w:after="0"/>
        <w:ind w:left="1263" w:right="0" w:hanging="424"/>
        <w:jc w:val="left"/>
        <w:rPr>
          <w:sz w:val="19"/>
        </w:rPr>
      </w:pPr>
      <w:r>
        <w:rPr>
          <w:spacing w:val="-3"/>
          <w:sz w:val="21"/>
        </w:rPr>
        <w:t>材料</w:t>
      </w:r>
      <w:r>
        <w:rPr>
          <w:sz w:val="21"/>
        </w:rPr>
        <w:t> </w:t>
      </w:r>
    </w:p>
    <w:p>
      <w:pPr>
        <w:pStyle w:val="BodyText"/>
        <w:spacing w:before="1"/>
        <w:rPr>
          <w:sz w:val="18"/>
        </w:rPr>
      </w:pPr>
    </w:p>
    <w:p>
      <w:pPr>
        <w:pStyle w:val="ListParagraph"/>
        <w:numPr>
          <w:ilvl w:val="2"/>
          <w:numId w:val="314"/>
        </w:numPr>
        <w:tabs>
          <w:tab w:pos="1478" w:val="left" w:leader="none"/>
        </w:tabs>
        <w:spacing w:line="240" w:lineRule="auto" w:before="1" w:after="0"/>
        <w:ind w:left="1477" w:right="0" w:hanging="638"/>
        <w:jc w:val="left"/>
        <w:rPr>
          <w:sz w:val="21"/>
        </w:rPr>
      </w:pPr>
      <w:r>
        <w:rPr>
          <w:spacing w:val="-8"/>
          <w:sz w:val="21"/>
        </w:rPr>
        <w:t>箱体应使用厚度不小于 </w:t>
      </w:r>
      <w:r>
        <w:rPr>
          <w:sz w:val="21"/>
        </w:rPr>
        <w:t>1.2mm</w:t>
      </w:r>
      <w:r>
        <w:rPr>
          <w:spacing w:val="-8"/>
          <w:sz w:val="21"/>
        </w:rPr>
        <w:t> 的薄钢板或铝合金材料制造，也可使用符合本标准</w:t>
      </w:r>
    </w:p>
    <w:p>
      <w:pPr>
        <w:pStyle w:val="BodyText"/>
        <w:spacing w:before="12"/>
        <w:rPr>
          <w:sz w:val="17"/>
        </w:rPr>
      </w:pPr>
    </w:p>
    <w:p>
      <w:pPr>
        <w:pStyle w:val="ListParagraph"/>
        <w:numPr>
          <w:ilvl w:val="1"/>
          <w:numId w:val="314"/>
        </w:numPr>
        <w:tabs>
          <w:tab w:pos="891" w:val="left" w:leader="none"/>
        </w:tabs>
        <w:spacing w:line="240" w:lineRule="auto" w:before="0" w:after="0"/>
        <w:ind w:left="890" w:right="0" w:hanging="473"/>
        <w:jc w:val="left"/>
        <w:rPr>
          <w:sz w:val="21"/>
        </w:rPr>
      </w:pPr>
      <w:r>
        <w:rPr>
          <w:spacing w:val="-3"/>
          <w:sz w:val="21"/>
        </w:rPr>
        <w:t>要求的其他材料。</w:t>
      </w:r>
      <w:r>
        <w:rPr>
          <w:sz w:val="21"/>
        </w:rPr>
        <w:t> </w:t>
      </w:r>
    </w:p>
    <w:p>
      <w:pPr>
        <w:pStyle w:val="BodyText"/>
        <w:rPr>
          <w:sz w:val="18"/>
        </w:rPr>
      </w:pPr>
    </w:p>
    <w:p>
      <w:pPr>
        <w:pStyle w:val="ListParagraph"/>
        <w:numPr>
          <w:ilvl w:val="2"/>
          <w:numId w:val="316"/>
        </w:numPr>
        <w:tabs>
          <w:tab w:pos="1478" w:val="left" w:leader="none"/>
        </w:tabs>
        <w:spacing w:line="446" w:lineRule="auto" w:before="0" w:after="0"/>
        <w:ind w:left="418" w:right="1496" w:firstLine="422"/>
        <w:jc w:val="left"/>
        <w:rPr>
          <w:sz w:val="21"/>
        </w:rPr>
      </w:pPr>
      <w:r>
        <w:rPr>
          <w:spacing w:val="-3"/>
          <w:sz w:val="21"/>
        </w:rPr>
        <w:t>栓箱箱门材料可根据消防工程特点，结合室内建筑装饰要求确定，镶玻璃的箱门玻</w:t>
      </w:r>
      <w:r>
        <w:rPr>
          <w:spacing w:val="-10"/>
          <w:sz w:val="21"/>
        </w:rPr>
        <w:t>璃厚度不得小于 </w:t>
      </w:r>
      <w:r>
        <w:rPr>
          <w:sz w:val="21"/>
        </w:rPr>
        <w:t>4mm</w:t>
      </w:r>
      <w:r>
        <w:rPr>
          <w:spacing w:val="-3"/>
          <w:sz w:val="21"/>
        </w:rPr>
        <w:t>。</w:t>
      </w:r>
      <w:r>
        <w:rPr>
          <w:sz w:val="21"/>
        </w:rPr>
        <w:t> </w:t>
      </w:r>
    </w:p>
    <w:p>
      <w:pPr>
        <w:pStyle w:val="ListParagraph"/>
        <w:numPr>
          <w:ilvl w:val="2"/>
          <w:numId w:val="316"/>
        </w:numPr>
        <w:tabs>
          <w:tab w:pos="1478" w:val="left" w:leader="none"/>
        </w:tabs>
        <w:spacing w:line="446" w:lineRule="auto" w:before="0" w:after="0"/>
        <w:ind w:left="418" w:right="1705" w:firstLine="422"/>
        <w:jc w:val="left"/>
        <w:rPr>
          <w:sz w:val="21"/>
        </w:rPr>
      </w:pPr>
      <w:r>
        <w:rPr>
          <w:spacing w:val="-3"/>
          <w:sz w:val="21"/>
        </w:rPr>
        <w:t>水带挂架、托架和水带盘应用耐腐蚀材料制成，若用其他材料必须进行耐腐蚀处理。</w:t>
      </w:r>
      <w:r>
        <w:rPr>
          <w:sz w:val="21"/>
        </w:rPr>
        <w:t> </w:t>
      </w:r>
    </w:p>
    <w:p>
      <w:pPr>
        <w:pStyle w:val="ListParagraph"/>
        <w:numPr>
          <w:ilvl w:val="2"/>
          <w:numId w:val="316"/>
        </w:numPr>
        <w:tabs>
          <w:tab w:pos="1478" w:val="left" w:leader="none"/>
        </w:tabs>
        <w:spacing w:line="446" w:lineRule="auto" w:before="0" w:after="0"/>
        <w:ind w:left="418" w:right="1498" w:firstLine="422"/>
        <w:jc w:val="both"/>
        <w:rPr>
          <w:sz w:val="21"/>
        </w:rPr>
      </w:pPr>
      <w:r>
        <w:rPr>
          <w:spacing w:val="-3"/>
          <w:sz w:val="21"/>
        </w:rPr>
        <w:t>箱内配置的消防软管卷盘的开关喷嘴、卷盘轴、弯管及水路系统零部件，应用铜合金或铝合金材料制造，也可用强度和耐腐蚀性能（或经过耐腐蚀处理)符合设计要求的其他材料代用。</w:t>
      </w:r>
      <w:r>
        <w:rPr>
          <w:sz w:val="21"/>
        </w:rPr>
        <w:t> </w:t>
      </w:r>
    </w:p>
    <w:p>
      <w:pPr>
        <w:pStyle w:val="ListParagraph"/>
        <w:numPr>
          <w:ilvl w:val="2"/>
          <w:numId w:val="316"/>
        </w:numPr>
        <w:tabs>
          <w:tab w:pos="1478" w:val="left" w:leader="none"/>
        </w:tabs>
        <w:spacing w:line="268" w:lineRule="exact" w:before="0" w:after="0"/>
        <w:ind w:left="1477" w:right="0" w:hanging="638"/>
        <w:jc w:val="both"/>
        <w:rPr>
          <w:sz w:val="21"/>
        </w:rPr>
      </w:pPr>
      <w:r>
        <w:rPr>
          <w:spacing w:val="-10"/>
          <w:sz w:val="21"/>
        </w:rPr>
        <w:t>铜合金应符合 </w:t>
      </w:r>
      <w:r>
        <w:rPr>
          <w:sz w:val="21"/>
        </w:rPr>
        <w:t>GB/T</w:t>
      </w:r>
      <w:r>
        <w:rPr>
          <w:spacing w:val="6"/>
          <w:sz w:val="21"/>
        </w:rPr>
        <w:t> </w:t>
      </w:r>
      <w:r>
        <w:rPr>
          <w:sz w:val="21"/>
        </w:rPr>
        <w:t>1176</w:t>
      </w:r>
      <w:r>
        <w:rPr>
          <w:spacing w:val="-13"/>
          <w:sz w:val="21"/>
        </w:rPr>
        <w:t> 的规定。</w:t>
      </w:r>
      <w:r>
        <w:rPr>
          <w:sz w:val="21"/>
        </w:rPr>
        <w:t> </w:t>
      </w:r>
    </w:p>
    <w:p>
      <w:pPr>
        <w:pStyle w:val="BodyText"/>
        <w:spacing w:before="12"/>
        <w:rPr>
          <w:sz w:val="17"/>
        </w:rPr>
      </w:pPr>
    </w:p>
    <w:p>
      <w:pPr>
        <w:pStyle w:val="ListParagraph"/>
        <w:numPr>
          <w:ilvl w:val="2"/>
          <w:numId w:val="316"/>
        </w:numPr>
        <w:tabs>
          <w:tab w:pos="1478" w:val="left" w:leader="none"/>
        </w:tabs>
        <w:spacing w:line="240" w:lineRule="auto" w:before="0" w:after="0"/>
        <w:ind w:left="1477" w:right="0" w:hanging="638"/>
        <w:jc w:val="left"/>
        <w:rPr>
          <w:sz w:val="21"/>
        </w:rPr>
      </w:pPr>
      <w:r>
        <w:rPr>
          <w:spacing w:val="-10"/>
          <w:sz w:val="21"/>
        </w:rPr>
        <w:t>铝合金应符合 </w:t>
      </w:r>
      <w:r>
        <w:rPr>
          <w:sz w:val="21"/>
        </w:rPr>
        <w:t>GB/T</w:t>
      </w:r>
      <w:r>
        <w:rPr>
          <w:spacing w:val="6"/>
          <w:sz w:val="21"/>
        </w:rPr>
        <w:t> </w:t>
      </w:r>
      <w:r>
        <w:rPr>
          <w:sz w:val="21"/>
        </w:rPr>
        <w:t>1173</w:t>
      </w:r>
      <w:r>
        <w:rPr>
          <w:spacing w:val="-13"/>
          <w:sz w:val="21"/>
        </w:rPr>
        <w:t> 的规定。</w:t>
      </w:r>
      <w:r>
        <w:rPr>
          <w:sz w:val="21"/>
        </w:rPr>
        <w:t> </w:t>
      </w:r>
    </w:p>
    <w:p>
      <w:pPr>
        <w:pStyle w:val="BodyText"/>
        <w:spacing w:before="12"/>
        <w:rPr>
          <w:sz w:val="17"/>
        </w:rPr>
      </w:pPr>
    </w:p>
    <w:p>
      <w:pPr>
        <w:pStyle w:val="ListParagraph"/>
        <w:numPr>
          <w:ilvl w:val="1"/>
          <w:numId w:val="317"/>
        </w:numPr>
        <w:tabs>
          <w:tab w:pos="1264" w:val="left" w:leader="none"/>
        </w:tabs>
        <w:spacing w:line="240" w:lineRule="auto" w:before="0" w:after="0"/>
        <w:ind w:left="1263" w:right="0" w:hanging="424"/>
        <w:jc w:val="left"/>
        <w:rPr>
          <w:sz w:val="21"/>
        </w:rPr>
      </w:pPr>
      <w:r>
        <w:rPr>
          <w:spacing w:val="-3"/>
          <w:sz w:val="21"/>
        </w:rPr>
        <w:t>箱体刚度</w:t>
      </w:r>
      <w:r>
        <w:rPr>
          <w:sz w:val="21"/>
        </w:rPr>
        <w:t> </w:t>
      </w:r>
    </w:p>
    <w:p>
      <w:pPr>
        <w:pStyle w:val="BodyText"/>
        <w:spacing w:before="2"/>
        <w:rPr>
          <w:sz w:val="18"/>
        </w:rPr>
      </w:pPr>
    </w:p>
    <w:p>
      <w:pPr>
        <w:pStyle w:val="ListParagraph"/>
        <w:numPr>
          <w:ilvl w:val="2"/>
          <w:numId w:val="317"/>
        </w:numPr>
        <w:tabs>
          <w:tab w:pos="1478" w:val="left" w:leader="none"/>
        </w:tabs>
        <w:spacing w:line="446" w:lineRule="auto" w:before="0" w:after="0"/>
        <w:ind w:left="418" w:right="1447" w:firstLine="422"/>
        <w:jc w:val="left"/>
        <w:rPr>
          <w:sz w:val="21"/>
        </w:rPr>
      </w:pPr>
      <w:r>
        <w:rPr>
          <w:spacing w:val="-7"/>
          <w:sz w:val="21"/>
        </w:rPr>
        <w:t>安装消防水喉的箱体侧面，在 </w:t>
      </w:r>
      <w:r>
        <w:rPr>
          <w:sz w:val="21"/>
        </w:rPr>
        <w:t>150N•m</w:t>
      </w:r>
      <w:r>
        <w:rPr>
          <w:spacing w:val="-11"/>
          <w:sz w:val="21"/>
        </w:rPr>
        <w:t> 的力矩下的最大凹陷变形不得超过 </w:t>
      </w:r>
      <w:r>
        <w:rPr>
          <w:sz w:val="21"/>
        </w:rPr>
        <w:t>2mm</w:t>
      </w:r>
      <w:r>
        <w:rPr>
          <w:spacing w:val="-2"/>
          <w:sz w:val="21"/>
        </w:rPr>
        <w:t>，消防</w:t>
      </w:r>
      <w:r>
        <w:rPr>
          <w:spacing w:val="-3"/>
          <w:sz w:val="21"/>
        </w:rPr>
        <w:t>水喉固定座不得出现变形、开焊等缺陷。</w:t>
      </w:r>
      <w:r>
        <w:rPr>
          <w:sz w:val="21"/>
        </w:rPr>
        <w:t> </w:t>
      </w:r>
    </w:p>
    <w:p>
      <w:pPr>
        <w:pStyle w:val="ListParagraph"/>
        <w:numPr>
          <w:ilvl w:val="2"/>
          <w:numId w:val="317"/>
        </w:numPr>
        <w:tabs>
          <w:tab w:pos="1478" w:val="left" w:leader="none"/>
        </w:tabs>
        <w:spacing w:line="267" w:lineRule="exact" w:before="0" w:after="0"/>
        <w:ind w:left="1477" w:right="0" w:hanging="638"/>
        <w:jc w:val="left"/>
        <w:rPr>
          <w:sz w:val="21"/>
        </w:rPr>
      </w:pPr>
      <w:r>
        <w:rPr>
          <w:spacing w:val="-6"/>
          <w:sz w:val="21"/>
        </w:rPr>
        <w:t>挂置式栓箱其固定水带挂架的箱面，在 </w:t>
      </w:r>
      <w:r>
        <w:rPr>
          <w:sz w:val="21"/>
        </w:rPr>
        <w:t>40N•m</w:t>
      </w:r>
      <w:r>
        <w:rPr>
          <w:spacing w:val="-9"/>
          <w:sz w:val="21"/>
        </w:rPr>
        <w:t> 的力矩下最大凹陷变形不得超过</w:t>
      </w:r>
    </w:p>
    <w:p>
      <w:pPr>
        <w:pStyle w:val="BodyText"/>
        <w:spacing w:before="2"/>
        <w:rPr>
          <w:sz w:val="18"/>
        </w:rPr>
      </w:pPr>
    </w:p>
    <w:p>
      <w:pPr>
        <w:pStyle w:val="BodyText"/>
        <w:ind w:left="418"/>
      </w:pPr>
      <w:r>
        <w:rPr/>
        <w:t>2mm，水带托架不得出现变形、开焊等缺陷。 </w:t>
      </w:r>
    </w:p>
    <w:p>
      <w:pPr>
        <w:pStyle w:val="BodyText"/>
        <w:rPr>
          <w:sz w:val="18"/>
        </w:rPr>
      </w:pPr>
    </w:p>
    <w:p>
      <w:pPr>
        <w:pStyle w:val="ListParagraph"/>
        <w:numPr>
          <w:ilvl w:val="2"/>
          <w:numId w:val="317"/>
        </w:numPr>
        <w:tabs>
          <w:tab w:pos="1478" w:val="left" w:leader="none"/>
        </w:tabs>
        <w:spacing w:line="240" w:lineRule="auto" w:before="0" w:after="0"/>
        <w:ind w:left="1477" w:right="0" w:hanging="638"/>
        <w:jc w:val="left"/>
        <w:rPr>
          <w:sz w:val="21"/>
        </w:rPr>
      </w:pPr>
      <w:r>
        <w:rPr>
          <w:spacing w:val="-6"/>
          <w:sz w:val="21"/>
        </w:rPr>
        <w:t>托架式栓箱其固定水带托架的箱面，在 </w:t>
      </w:r>
      <w:r>
        <w:rPr>
          <w:sz w:val="21"/>
        </w:rPr>
        <w:t>40N•m</w:t>
      </w:r>
      <w:r>
        <w:rPr>
          <w:spacing w:val="-9"/>
          <w:sz w:val="21"/>
        </w:rPr>
        <w:t> 的力矩下最大凹陷变形不得超过</w:t>
      </w:r>
    </w:p>
    <w:p>
      <w:pPr>
        <w:pStyle w:val="BodyText"/>
        <w:spacing w:before="12"/>
        <w:rPr>
          <w:sz w:val="17"/>
        </w:rPr>
      </w:pPr>
    </w:p>
    <w:p>
      <w:pPr>
        <w:pStyle w:val="BodyText"/>
        <w:ind w:left="418"/>
      </w:pPr>
      <w:r>
        <w:rPr/>
        <w:t>2mm，水带托架不得出现变形、开焊等缺陷。 </w:t>
      </w:r>
    </w:p>
    <w:p>
      <w:pPr>
        <w:pStyle w:val="BodyText"/>
        <w:spacing w:before="2"/>
        <w:rPr>
          <w:sz w:val="18"/>
        </w:rPr>
      </w:pPr>
    </w:p>
    <w:p>
      <w:pPr>
        <w:pStyle w:val="ListParagraph"/>
        <w:numPr>
          <w:ilvl w:val="1"/>
          <w:numId w:val="317"/>
        </w:numPr>
        <w:tabs>
          <w:tab w:pos="1264" w:val="left" w:leader="none"/>
        </w:tabs>
        <w:spacing w:line="240" w:lineRule="auto" w:before="0" w:after="0"/>
        <w:ind w:left="1263" w:right="0" w:hanging="424"/>
        <w:jc w:val="left"/>
        <w:rPr>
          <w:b/>
          <w:sz w:val="21"/>
        </w:rPr>
      </w:pPr>
      <w:r>
        <w:rPr>
          <w:spacing w:val="-3"/>
          <w:sz w:val="21"/>
        </w:rPr>
        <w:t>箱门</w:t>
      </w:r>
      <w:r>
        <w:rPr>
          <w:b/>
          <w:w w:val="99"/>
          <w:sz w:val="21"/>
        </w:rPr>
        <w:t> </w:t>
      </w:r>
    </w:p>
    <w:p>
      <w:pPr>
        <w:pStyle w:val="BodyText"/>
        <w:rPr>
          <w:b/>
          <w:sz w:val="18"/>
        </w:rPr>
      </w:pPr>
    </w:p>
    <w:p>
      <w:pPr>
        <w:pStyle w:val="ListParagraph"/>
        <w:numPr>
          <w:ilvl w:val="2"/>
          <w:numId w:val="317"/>
        </w:numPr>
        <w:tabs>
          <w:tab w:pos="1478" w:val="left" w:leader="none"/>
        </w:tabs>
        <w:spacing w:line="240" w:lineRule="auto" w:before="0" w:after="0"/>
        <w:ind w:left="1477" w:right="0" w:hanging="638"/>
        <w:jc w:val="left"/>
        <w:rPr>
          <w:sz w:val="21"/>
        </w:rPr>
      </w:pPr>
      <w:r>
        <w:rPr>
          <w:spacing w:val="-3"/>
          <w:sz w:val="21"/>
        </w:rPr>
        <w:t>栓箱应设置门锁或箱门关紧装置。</w:t>
      </w:r>
      <w:r>
        <w:rPr>
          <w:sz w:val="21"/>
        </w:rPr>
        <w:t> </w:t>
      </w:r>
    </w:p>
    <w:p>
      <w:pPr>
        <w:pStyle w:val="BodyText"/>
        <w:spacing w:before="12"/>
        <w:rPr>
          <w:sz w:val="17"/>
        </w:rPr>
      </w:pPr>
    </w:p>
    <w:p>
      <w:pPr>
        <w:pStyle w:val="ListParagraph"/>
        <w:numPr>
          <w:ilvl w:val="2"/>
          <w:numId w:val="317"/>
        </w:numPr>
        <w:tabs>
          <w:tab w:pos="1478" w:val="left" w:leader="none"/>
        </w:tabs>
        <w:spacing w:line="446" w:lineRule="auto" w:before="0" w:after="0"/>
        <w:ind w:left="418" w:right="1496" w:firstLine="422"/>
        <w:jc w:val="left"/>
        <w:rPr>
          <w:sz w:val="21"/>
        </w:rPr>
      </w:pPr>
      <w:r>
        <w:rPr>
          <w:spacing w:val="-3"/>
          <w:sz w:val="21"/>
        </w:rPr>
        <w:t>设置门锁的栓箱，除箱门安装玻璃者以及能被击碎的透明材料外，均应设置箱门紧急开启的手动机构，应保证在没有钥匙的情况下开启灵活、可靠。</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317"/>
        </w:numPr>
        <w:tabs>
          <w:tab w:pos="1478" w:val="left" w:leader="none"/>
        </w:tabs>
        <w:spacing w:line="240" w:lineRule="auto" w:before="47" w:after="0"/>
        <w:ind w:left="1477" w:right="0" w:hanging="638"/>
        <w:jc w:val="left"/>
        <w:rPr>
          <w:sz w:val="21"/>
        </w:rPr>
      </w:pPr>
      <w:r>
        <w:rPr>
          <w:spacing w:val="-8"/>
          <w:sz w:val="21"/>
        </w:rPr>
        <w:t>箱门的开启角度不得小于 </w:t>
      </w:r>
      <w:r>
        <w:rPr>
          <w:sz w:val="21"/>
        </w:rPr>
        <w:t>160</w:t>
      </w:r>
      <w:r>
        <w:rPr>
          <w:spacing w:val="-2"/>
          <w:sz w:val="21"/>
        </w:rPr>
        <w:t>°。</w:t>
      </w:r>
      <w:r>
        <w:rPr>
          <w:sz w:val="21"/>
        </w:rPr>
        <w:t> </w:t>
      </w:r>
    </w:p>
    <w:p>
      <w:pPr>
        <w:pStyle w:val="BodyText"/>
        <w:rPr>
          <w:sz w:val="18"/>
        </w:rPr>
      </w:pPr>
    </w:p>
    <w:p>
      <w:pPr>
        <w:pStyle w:val="ListParagraph"/>
        <w:numPr>
          <w:ilvl w:val="2"/>
          <w:numId w:val="317"/>
        </w:numPr>
        <w:tabs>
          <w:tab w:pos="1478" w:val="left" w:leader="none"/>
        </w:tabs>
        <w:spacing w:line="240" w:lineRule="auto" w:before="0" w:after="0"/>
        <w:ind w:left="1477" w:right="0" w:hanging="638"/>
        <w:jc w:val="left"/>
        <w:rPr>
          <w:sz w:val="21"/>
        </w:rPr>
      </w:pPr>
      <w:r>
        <w:rPr>
          <w:spacing w:val="-5"/>
          <w:sz w:val="21"/>
        </w:rPr>
        <w:t>箱门开启应轻便灵活，无卡阻现象。开启拉力不得大于 </w:t>
      </w:r>
      <w:r>
        <w:rPr>
          <w:sz w:val="21"/>
        </w:rPr>
        <w:t>50N</w:t>
      </w:r>
      <w:r>
        <w:rPr>
          <w:spacing w:val="-3"/>
          <w:sz w:val="21"/>
        </w:rPr>
        <w:t>。</w:t>
      </w:r>
      <w:r>
        <w:rPr>
          <w:sz w:val="21"/>
        </w:rPr>
        <w:t> </w:t>
      </w:r>
    </w:p>
    <w:p>
      <w:pPr>
        <w:pStyle w:val="BodyText"/>
        <w:rPr>
          <w:sz w:val="18"/>
        </w:rPr>
      </w:pPr>
    </w:p>
    <w:p>
      <w:pPr>
        <w:pStyle w:val="ListParagraph"/>
        <w:numPr>
          <w:ilvl w:val="1"/>
          <w:numId w:val="317"/>
        </w:numPr>
        <w:tabs>
          <w:tab w:pos="1264" w:val="left" w:leader="none"/>
        </w:tabs>
        <w:spacing w:line="240" w:lineRule="auto" w:before="0" w:after="0"/>
        <w:ind w:left="1263" w:right="0" w:hanging="424"/>
        <w:jc w:val="left"/>
        <w:rPr>
          <w:b/>
          <w:sz w:val="21"/>
        </w:rPr>
      </w:pPr>
      <w:r>
        <w:rPr>
          <w:spacing w:val="-3"/>
          <w:sz w:val="21"/>
        </w:rPr>
        <w:t>水带安置</w:t>
      </w:r>
      <w:r>
        <w:rPr>
          <w:b/>
          <w:w w:val="99"/>
          <w:sz w:val="21"/>
        </w:rPr>
        <w:t> </w:t>
      </w:r>
    </w:p>
    <w:p>
      <w:pPr>
        <w:pStyle w:val="BodyText"/>
        <w:spacing w:before="1"/>
        <w:rPr>
          <w:b/>
          <w:sz w:val="18"/>
        </w:rPr>
      </w:pPr>
    </w:p>
    <w:p>
      <w:pPr>
        <w:pStyle w:val="ListParagraph"/>
        <w:numPr>
          <w:ilvl w:val="2"/>
          <w:numId w:val="317"/>
        </w:numPr>
        <w:tabs>
          <w:tab w:pos="1478" w:val="left" w:leader="none"/>
        </w:tabs>
        <w:spacing w:line="446" w:lineRule="auto" w:before="1" w:after="0"/>
        <w:ind w:left="418" w:right="1498" w:firstLine="422"/>
        <w:jc w:val="left"/>
        <w:rPr>
          <w:b/>
          <w:sz w:val="21"/>
        </w:rPr>
      </w:pPr>
      <w:r>
        <w:rPr>
          <w:spacing w:val="-3"/>
          <w:sz w:val="21"/>
        </w:rPr>
        <w:t>水带以挂置式、盘卷式、卷置式或托架式置于栓箱内，不得影响其他器材的合理安置和操作使用。</w:t>
      </w:r>
      <w:r>
        <w:rPr>
          <w:b/>
          <w:w w:val="99"/>
          <w:sz w:val="21"/>
        </w:rPr>
        <w:t> </w:t>
      </w:r>
    </w:p>
    <w:p>
      <w:pPr>
        <w:pStyle w:val="ListParagraph"/>
        <w:numPr>
          <w:ilvl w:val="2"/>
          <w:numId w:val="317"/>
        </w:numPr>
        <w:tabs>
          <w:tab w:pos="1478" w:val="left" w:leader="none"/>
        </w:tabs>
        <w:spacing w:line="446" w:lineRule="auto" w:before="0" w:after="0"/>
        <w:ind w:left="418" w:right="1448" w:firstLine="422"/>
        <w:jc w:val="left"/>
        <w:rPr>
          <w:sz w:val="21"/>
        </w:rPr>
      </w:pPr>
      <w:r>
        <w:rPr>
          <w:spacing w:val="-5"/>
          <w:sz w:val="21"/>
        </w:rPr>
        <w:t>挂置式栓箱的水带挂架相邻两梳齿的空隙不应小于 </w:t>
      </w:r>
      <w:r>
        <w:rPr>
          <w:sz w:val="21"/>
        </w:rPr>
        <w:t>20mm</w:t>
      </w:r>
      <w:r>
        <w:rPr>
          <w:spacing w:val="-3"/>
          <w:sz w:val="21"/>
        </w:rPr>
        <w:t>，挂置水带后挂架横臂不得变形；盘卷式栓箱的水带盘从挂臂上取出无卡阻；托架式栓箱的水带托架应转动灵活，水带从 托架中拉出无卡阻。</w:t>
      </w:r>
      <w:r>
        <w:rPr>
          <w:sz w:val="21"/>
        </w:rPr>
        <w:t> </w:t>
      </w:r>
    </w:p>
    <w:p>
      <w:pPr>
        <w:pStyle w:val="Heading4"/>
        <w:spacing w:line="277" w:lineRule="exact"/>
      </w:pPr>
      <w:r>
        <w:rPr/>
        <w:t>6 试验方法</w:t>
      </w:r>
      <w:r>
        <w:rPr>
          <w:w w:val="99"/>
        </w:rPr>
        <w:t> </w:t>
      </w:r>
    </w:p>
    <w:p>
      <w:pPr>
        <w:pStyle w:val="BodyText"/>
        <w:spacing w:before="3"/>
        <w:rPr>
          <w:b/>
          <w:sz w:val="17"/>
        </w:rPr>
      </w:pPr>
    </w:p>
    <w:p>
      <w:pPr>
        <w:pStyle w:val="ListParagraph"/>
        <w:numPr>
          <w:ilvl w:val="1"/>
          <w:numId w:val="318"/>
        </w:numPr>
        <w:tabs>
          <w:tab w:pos="1159" w:val="left" w:leader="none"/>
        </w:tabs>
        <w:spacing w:line="240" w:lineRule="auto" w:before="0" w:after="0"/>
        <w:ind w:left="1158" w:right="0" w:hanging="319"/>
        <w:jc w:val="left"/>
        <w:rPr>
          <w:b/>
          <w:sz w:val="21"/>
        </w:rPr>
      </w:pPr>
      <w:r>
        <w:rPr>
          <w:spacing w:val="-3"/>
          <w:sz w:val="21"/>
        </w:rPr>
        <w:t>栓箱形式、基本参数及基本型号的检验</w:t>
      </w:r>
      <w:r>
        <w:rPr>
          <w:b/>
          <w:w w:val="99"/>
          <w:sz w:val="21"/>
        </w:rPr>
        <w:t> </w:t>
      </w:r>
    </w:p>
    <w:p>
      <w:pPr>
        <w:pStyle w:val="BodyText"/>
        <w:rPr>
          <w:b/>
          <w:sz w:val="18"/>
        </w:rPr>
      </w:pPr>
    </w:p>
    <w:p>
      <w:pPr>
        <w:pStyle w:val="BodyText"/>
        <w:spacing w:line="446" w:lineRule="auto"/>
        <w:ind w:left="418" w:right="1609" w:firstLine="419"/>
      </w:pPr>
      <w:r>
        <w:rPr/>
        <w:t>利用目视对栓箱箱内消防器材的配置情况进行检査，利用通用量具测量箱体外形尺寸，其结果应符合 4.1、4.2、5.1 的规定。 </w:t>
      </w:r>
    </w:p>
    <w:p>
      <w:pPr>
        <w:pStyle w:val="ListParagraph"/>
        <w:numPr>
          <w:ilvl w:val="1"/>
          <w:numId w:val="318"/>
        </w:numPr>
        <w:tabs>
          <w:tab w:pos="1159" w:val="left" w:leader="none"/>
        </w:tabs>
        <w:spacing w:line="240" w:lineRule="auto" w:before="0" w:after="0"/>
        <w:ind w:left="1158" w:right="0" w:hanging="319"/>
        <w:jc w:val="left"/>
        <w:rPr>
          <w:sz w:val="21"/>
        </w:rPr>
      </w:pPr>
      <w:r>
        <w:rPr>
          <w:spacing w:val="-3"/>
          <w:sz w:val="21"/>
        </w:rPr>
        <w:t>室内消火栓性能检验</w:t>
      </w:r>
      <w:r>
        <w:rPr>
          <w:sz w:val="21"/>
        </w:rPr>
        <w:t> </w:t>
      </w:r>
    </w:p>
    <w:p>
      <w:pPr>
        <w:pStyle w:val="BodyText"/>
        <w:rPr>
          <w:sz w:val="18"/>
        </w:rPr>
      </w:pPr>
    </w:p>
    <w:p>
      <w:pPr>
        <w:pStyle w:val="ListParagraph"/>
        <w:numPr>
          <w:ilvl w:val="2"/>
          <w:numId w:val="318"/>
        </w:numPr>
        <w:tabs>
          <w:tab w:pos="1371" w:val="left" w:leader="none"/>
        </w:tabs>
        <w:spacing w:line="240" w:lineRule="auto" w:before="0" w:after="0"/>
        <w:ind w:left="1370" w:right="0" w:hanging="531"/>
        <w:jc w:val="left"/>
        <w:rPr>
          <w:sz w:val="21"/>
        </w:rPr>
      </w:pPr>
      <w:r>
        <w:rPr>
          <w:spacing w:val="-7"/>
          <w:sz w:val="21"/>
        </w:rPr>
        <w:t>室内消火栓密封性能的试验方法按 </w:t>
      </w:r>
      <w:r>
        <w:rPr>
          <w:sz w:val="21"/>
        </w:rPr>
        <w:t>GB 3445—1993</w:t>
      </w:r>
      <w:r>
        <w:rPr>
          <w:spacing w:val="-36"/>
          <w:sz w:val="21"/>
        </w:rPr>
        <w:t> 中 </w:t>
      </w:r>
      <w:r>
        <w:rPr>
          <w:sz w:val="21"/>
        </w:rPr>
        <w:t>5.7</w:t>
      </w:r>
      <w:r>
        <w:rPr>
          <w:spacing w:val="-9"/>
          <w:sz w:val="21"/>
        </w:rPr>
        <w:t> 的规定进行。结果应符合</w:t>
      </w:r>
    </w:p>
    <w:p>
      <w:pPr>
        <w:pStyle w:val="BodyText"/>
        <w:spacing w:before="12"/>
        <w:rPr>
          <w:sz w:val="17"/>
        </w:rPr>
      </w:pPr>
    </w:p>
    <w:p>
      <w:pPr>
        <w:pStyle w:val="ListParagraph"/>
        <w:numPr>
          <w:ilvl w:val="2"/>
          <w:numId w:val="319"/>
        </w:numPr>
        <w:tabs>
          <w:tab w:pos="948" w:val="left" w:leader="none"/>
        </w:tabs>
        <w:spacing w:line="240" w:lineRule="auto" w:before="0" w:after="0"/>
        <w:ind w:left="947" w:right="0" w:hanging="530"/>
        <w:jc w:val="left"/>
        <w:rPr>
          <w:sz w:val="21"/>
        </w:rPr>
      </w:pPr>
      <w:r>
        <w:rPr>
          <w:spacing w:val="-3"/>
          <w:sz w:val="21"/>
        </w:rPr>
        <w:t>规定。</w:t>
      </w:r>
      <w:r>
        <w:rPr>
          <w:sz w:val="21"/>
        </w:rPr>
        <w:t> </w:t>
      </w:r>
    </w:p>
    <w:p>
      <w:pPr>
        <w:pStyle w:val="BodyText"/>
        <w:spacing w:before="2"/>
        <w:rPr>
          <w:sz w:val="18"/>
        </w:rPr>
      </w:pPr>
    </w:p>
    <w:p>
      <w:pPr>
        <w:pStyle w:val="BodyText"/>
        <w:ind w:left="840"/>
      </w:pPr>
      <w:r>
        <w:rPr>
          <w:b/>
        </w:rPr>
        <w:t>6.2.2 </w:t>
      </w:r>
      <w:r>
        <w:rPr/>
        <w:t>室内消火栓水压强度的试验方法按 GB 3445—1993 中 5.6 的规定进行。结果应符合</w:t>
      </w:r>
    </w:p>
    <w:p>
      <w:pPr>
        <w:pStyle w:val="BodyText"/>
        <w:spacing w:before="12"/>
        <w:rPr>
          <w:sz w:val="17"/>
        </w:rPr>
      </w:pPr>
    </w:p>
    <w:p>
      <w:pPr>
        <w:pStyle w:val="ListParagraph"/>
        <w:numPr>
          <w:ilvl w:val="2"/>
          <w:numId w:val="319"/>
        </w:numPr>
        <w:tabs>
          <w:tab w:pos="948" w:val="left" w:leader="none"/>
        </w:tabs>
        <w:spacing w:line="240" w:lineRule="auto" w:before="0" w:after="0"/>
        <w:ind w:left="947" w:right="0" w:hanging="530"/>
        <w:jc w:val="left"/>
        <w:rPr>
          <w:sz w:val="21"/>
        </w:rPr>
      </w:pPr>
      <w:r>
        <w:rPr>
          <w:spacing w:val="-3"/>
          <w:sz w:val="21"/>
        </w:rPr>
        <w:t>规定。</w:t>
      </w:r>
      <w:r>
        <w:rPr>
          <w:sz w:val="21"/>
        </w:rPr>
        <w:t> </w:t>
      </w:r>
    </w:p>
    <w:p>
      <w:pPr>
        <w:pStyle w:val="BodyText"/>
        <w:rPr>
          <w:sz w:val="18"/>
        </w:rPr>
      </w:pPr>
    </w:p>
    <w:p>
      <w:pPr>
        <w:pStyle w:val="ListParagraph"/>
        <w:numPr>
          <w:ilvl w:val="1"/>
          <w:numId w:val="318"/>
        </w:numPr>
        <w:tabs>
          <w:tab w:pos="1159" w:val="left" w:leader="none"/>
        </w:tabs>
        <w:spacing w:line="240" w:lineRule="auto" w:before="0" w:after="0"/>
        <w:ind w:left="1158" w:right="0" w:hanging="319"/>
        <w:jc w:val="left"/>
        <w:rPr>
          <w:b/>
          <w:sz w:val="21"/>
        </w:rPr>
      </w:pPr>
      <w:r>
        <w:rPr>
          <w:spacing w:val="-3"/>
          <w:sz w:val="21"/>
        </w:rPr>
        <w:t>消防接口性能检验</w:t>
      </w:r>
      <w:r>
        <w:rPr>
          <w:b/>
          <w:w w:val="99"/>
          <w:sz w:val="21"/>
        </w:rPr>
        <w:t> </w:t>
      </w:r>
    </w:p>
    <w:p>
      <w:pPr>
        <w:pStyle w:val="BodyText"/>
        <w:spacing w:before="2"/>
        <w:rPr>
          <w:b/>
          <w:sz w:val="18"/>
        </w:rPr>
      </w:pPr>
    </w:p>
    <w:p>
      <w:pPr>
        <w:pStyle w:val="ListParagraph"/>
        <w:numPr>
          <w:ilvl w:val="2"/>
          <w:numId w:val="318"/>
        </w:numPr>
        <w:tabs>
          <w:tab w:pos="1371" w:val="left" w:leader="none"/>
        </w:tabs>
        <w:spacing w:line="240" w:lineRule="auto" w:before="0" w:after="0"/>
        <w:ind w:left="1370" w:right="0" w:hanging="531"/>
        <w:jc w:val="left"/>
        <w:rPr>
          <w:b/>
          <w:sz w:val="21"/>
        </w:rPr>
      </w:pPr>
      <w:r>
        <w:rPr>
          <w:spacing w:val="-3"/>
          <w:sz w:val="21"/>
        </w:rPr>
        <w:t>接口的密封性能试验</w:t>
      </w:r>
      <w:r>
        <w:rPr>
          <w:b/>
          <w:spacing w:val="-3"/>
          <w:w w:val="99"/>
          <w:sz w:val="21"/>
        </w:rPr>
        <w:t> </w:t>
      </w:r>
    </w:p>
    <w:p>
      <w:pPr>
        <w:pStyle w:val="BodyText"/>
        <w:rPr>
          <w:b/>
          <w:sz w:val="18"/>
        </w:rPr>
      </w:pPr>
    </w:p>
    <w:p>
      <w:pPr>
        <w:pStyle w:val="ListParagraph"/>
        <w:numPr>
          <w:ilvl w:val="3"/>
          <w:numId w:val="318"/>
        </w:numPr>
        <w:tabs>
          <w:tab w:pos="1576" w:val="left" w:leader="none"/>
        </w:tabs>
        <w:spacing w:line="240" w:lineRule="auto" w:before="0" w:after="0"/>
        <w:ind w:left="1575" w:right="0" w:hanging="738"/>
        <w:jc w:val="left"/>
        <w:rPr>
          <w:sz w:val="21"/>
        </w:rPr>
      </w:pPr>
      <w:r>
        <w:rPr>
          <w:spacing w:val="-3"/>
          <w:sz w:val="21"/>
        </w:rPr>
        <w:t>试验装置</w:t>
      </w:r>
      <w:r>
        <w:rPr>
          <w:sz w:val="21"/>
        </w:rPr>
        <w:t> </w:t>
      </w:r>
    </w:p>
    <w:p>
      <w:pPr>
        <w:pStyle w:val="BodyText"/>
        <w:spacing w:before="12"/>
        <w:rPr>
          <w:sz w:val="17"/>
        </w:rPr>
      </w:pPr>
    </w:p>
    <w:p>
      <w:pPr>
        <w:pStyle w:val="ListParagraph"/>
        <w:numPr>
          <w:ilvl w:val="0"/>
          <w:numId w:val="320"/>
        </w:numPr>
        <w:tabs>
          <w:tab w:pos="1051" w:val="left" w:leader="none"/>
        </w:tabs>
        <w:spacing w:line="240" w:lineRule="auto" w:before="0" w:after="0"/>
        <w:ind w:left="1050" w:right="0" w:hanging="213"/>
        <w:jc w:val="left"/>
        <w:rPr>
          <w:sz w:val="21"/>
        </w:rPr>
      </w:pPr>
      <w:r>
        <w:rPr>
          <w:spacing w:val="-3"/>
          <w:sz w:val="21"/>
        </w:rPr>
        <w:t>试压泵并配置稳压装置； </w:t>
      </w:r>
    </w:p>
    <w:p>
      <w:pPr>
        <w:pStyle w:val="BodyText"/>
        <w:spacing w:before="2"/>
        <w:rPr>
          <w:sz w:val="18"/>
        </w:rPr>
      </w:pPr>
    </w:p>
    <w:p>
      <w:pPr>
        <w:pStyle w:val="ListParagraph"/>
        <w:numPr>
          <w:ilvl w:val="0"/>
          <w:numId w:val="320"/>
        </w:numPr>
        <w:tabs>
          <w:tab w:pos="1051" w:val="left" w:leader="none"/>
        </w:tabs>
        <w:spacing w:line="446" w:lineRule="auto" w:before="0" w:after="0"/>
        <w:ind w:left="838" w:right="5027" w:firstLine="0"/>
        <w:jc w:val="left"/>
        <w:rPr>
          <w:sz w:val="21"/>
        </w:rPr>
      </w:pPr>
      <w:r>
        <w:rPr>
          <w:spacing w:val="-8"/>
          <w:sz w:val="21"/>
        </w:rPr>
        <w:t>压力表：精度不低于 </w:t>
      </w:r>
      <w:r>
        <w:rPr>
          <w:sz w:val="21"/>
        </w:rPr>
        <w:t>1.5</w:t>
      </w:r>
      <w:r>
        <w:rPr>
          <w:spacing w:val="-14"/>
          <w:sz w:val="21"/>
        </w:rPr>
        <w:t> 级，量程不超过 </w:t>
      </w:r>
      <w:r>
        <w:rPr>
          <w:sz w:val="21"/>
        </w:rPr>
        <w:t>6MPa； c)</w:t>
      </w:r>
      <w:r>
        <w:rPr>
          <w:spacing w:val="-3"/>
          <w:sz w:val="21"/>
        </w:rPr>
        <w:t>秒表。</w:t>
      </w:r>
      <w:r>
        <w:rPr>
          <w:sz w:val="21"/>
        </w:rPr>
        <w:t> </w:t>
      </w:r>
    </w:p>
    <w:p>
      <w:pPr>
        <w:pStyle w:val="ListParagraph"/>
        <w:numPr>
          <w:ilvl w:val="3"/>
          <w:numId w:val="318"/>
        </w:numPr>
        <w:tabs>
          <w:tab w:pos="1576" w:val="left" w:leader="none"/>
        </w:tabs>
        <w:spacing w:line="267" w:lineRule="exact" w:before="0" w:after="0"/>
        <w:ind w:left="1575" w:right="0" w:hanging="738"/>
        <w:jc w:val="left"/>
        <w:rPr>
          <w:sz w:val="21"/>
        </w:rPr>
      </w:pPr>
      <w:r>
        <w:rPr>
          <w:spacing w:val="-3"/>
          <w:sz w:val="21"/>
        </w:rPr>
        <w:t>试验步骤</w:t>
      </w:r>
      <w:r>
        <w:rPr>
          <w:sz w:val="21"/>
        </w:rPr>
        <w:t> </w:t>
      </w:r>
    </w:p>
    <w:p>
      <w:pPr>
        <w:pStyle w:val="BodyText"/>
        <w:spacing w:before="2"/>
        <w:rPr>
          <w:sz w:val="18"/>
        </w:rPr>
      </w:pPr>
    </w:p>
    <w:p>
      <w:pPr>
        <w:pStyle w:val="BodyText"/>
        <w:spacing w:line="446" w:lineRule="auto"/>
        <w:ind w:left="418" w:right="1505" w:firstLine="419"/>
      </w:pPr>
      <w:r>
        <w:rPr>
          <w:spacing w:val="-17"/>
        </w:rPr>
        <w:t>将 </w:t>
      </w:r>
      <w:r>
        <w:rPr/>
        <w:t>KN</w:t>
      </w:r>
      <w:r>
        <w:rPr>
          <w:spacing w:val="-7"/>
        </w:rPr>
        <w:t> 型固定接口试样与相应规格的接口闷盖连接后，安装在试验装置上，灌水并排除试样</w:t>
      </w:r>
      <w:r>
        <w:rPr>
          <w:spacing w:val="-8"/>
        </w:rPr>
        <w:t>中空气，缓慢而均匀地升压 </w:t>
      </w:r>
      <w:r>
        <w:rPr/>
        <w:t>1.6MPa</w:t>
      </w:r>
      <w:r>
        <w:rPr>
          <w:spacing w:val="-12"/>
        </w:rPr>
        <w:t>,保压 </w:t>
      </w:r>
      <w:r>
        <w:rPr/>
        <w:t>2min</w:t>
      </w:r>
      <w:r>
        <w:rPr>
          <w:spacing w:val="-3"/>
        </w:rPr>
        <w:t>，观察保压过程中试样的状况，测试结果应符合</w:t>
      </w:r>
    </w:p>
    <w:p>
      <w:pPr>
        <w:pStyle w:val="BodyText"/>
        <w:spacing w:line="267" w:lineRule="exact"/>
        <w:ind w:left="418"/>
      </w:pPr>
      <w:r>
        <w:rPr/>
        <w:t>5.3.1 规定。 </w:t>
      </w:r>
    </w:p>
    <w:p>
      <w:pPr>
        <w:spacing w:after="0" w:line="267" w:lineRule="exact"/>
        <w:sectPr>
          <w:pgSz w:w="11910" w:h="16850"/>
          <w:pgMar w:header="0" w:footer="1239" w:top="1220" w:bottom="1420" w:left="1260" w:right="0"/>
        </w:sectPr>
      </w:pPr>
    </w:p>
    <w:p>
      <w:pPr>
        <w:pStyle w:val="BodyText"/>
        <w:spacing w:before="47"/>
        <w:ind w:left="838"/>
      </w:pPr>
      <w:r>
        <w:rPr/>
        <w:t>将水带接口成对连接后，安装在试验装置上，灌水并排除试样中空气，缓慢而均匀地升压</w:t>
      </w:r>
    </w:p>
    <w:p>
      <w:pPr>
        <w:pStyle w:val="BodyText"/>
        <w:rPr>
          <w:sz w:val="18"/>
        </w:rPr>
      </w:pPr>
    </w:p>
    <w:p>
      <w:pPr>
        <w:pStyle w:val="BodyText"/>
        <w:ind w:left="418"/>
      </w:pPr>
      <w:r>
        <w:rPr/>
        <w:t>1.6MPa, 保压 2min,观察保压过程中试样的状况，测试结果应符合 5.3.1 规定。 </w:t>
      </w:r>
    </w:p>
    <w:p>
      <w:pPr>
        <w:pStyle w:val="BodyText"/>
        <w:rPr>
          <w:sz w:val="18"/>
        </w:rPr>
      </w:pPr>
    </w:p>
    <w:p>
      <w:pPr>
        <w:pStyle w:val="ListParagraph"/>
        <w:numPr>
          <w:ilvl w:val="2"/>
          <w:numId w:val="321"/>
        </w:numPr>
        <w:tabs>
          <w:tab w:pos="1370" w:val="left" w:leader="none"/>
        </w:tabs>
        <w:spacing w:line="240" w:lineRule="auto" w:before="0" w:after="0"/>
        <w:ind w:left="1369" w:right="0" w:hanging="530"/>
        <w:jc w:val="left"/>
        <w:rPr>
          <w:b/>
          <w:sz w:val="21"/>
        </w:rPr>
      </w:pPr>
      <w:r>
        <w:rPr>
          <w:spacing w:val="-3"/>
          <w:sz w:val="21"/>
        </w:rPr>
        <w:t>固定接口的水压强度试验</w:t>
      </w:r>
      <w:r>
        <w:rPr>
          <w:b/>
          <w:w w:val="99"/>
          <w:sz w:val="21"/>
        </w:rPr>
        <w:t> </w:t>
      </w:r>
    </w:p>
    <w:p>
      <w:pPr>
        <w:pStyle w:val="BodyText"/>
        <w:spacing w:before="1"/>
        <w:rPr>
          <w:b/>
          <w:sz w:val="18"/>
        </w:rPr>
      </w:pPr>
    </w:p>
    <w:p>
      <w:pPr>
        <w:pStyle w:val="ListParagraph"/>
        <w:numPr>
          <w:ilvl w:val="3"/>
          <w:numId w:val="321"/>
        </w:numPr>
        <w:tabs>
          <w:tab w:pos="1576" w:val="left" w:leader="none"/>
        </w:tabs>
        <w:spacing w:line="240" w:lineRule="auto" w:before="1" w:after="0"/>
        <w:ind w:left="1575" w:right="0" w:hanging="738"/>
        <w:jc w:val="left"/>
        <w:rPr>
          <w:sz w:val="21"/>
        </w:rPr>
      </w:pPr>
      <w:r>
        <w:rPr>
          <w:spacing w:val="-3"/>
          <w:sz w:val="21"/>
        </w:rPr>
        <w:t>试验装置</w:t>
      </w:r>
      <w:r>
        <w:rPr>
          <w:sz w:val="21"/>
        </w:rPr>
        <w:t> </w:t>
      </w:r>
    </w:p>
    <w:p>
      <w:pPr>
        <w:pStyle w:val="BodyText"/>
        <w:spacing w:before="12"/>
        <w:rPr>
          <w:sz w:val="17"/>
        </w:rPr>
      </w:pPr>
    </w:p>
    <w:p>
      <w:pPr>
        <w:pStyle w:val="BodyText"/>
        <w:spacing w:line="446" w:lineRule="auto"/>
        <w:ind w:left="838" w:right="7653"/>
      </w:pPr>
      <w:r>
        <w:rPr/>
        <w:t>试验装置同 6.3.1.1。6.3.2.2 试验步骤 </w:t>
      </w:r>
    </w:p>
    <w:p>
      <w:pPr>
        <w:pStyle w:val="BodyText"/>
        <w:spacing w:line="446" w:lineRule="auto"/>
        <w:ind w:left="840" w:right="1928" w:hanging="3"/>
        <w:rPr>
          <w:b/>
        </w:rPr>
      </w:pPr>
      <w:r>
        <w:rPr>
          <w:spacing w:val="-26"/>
        </w:rPr>
        <w:t>用 </w:t>
      </w:r>
      <w:r>
        <w:rPr/>
        <w:t>6.3.1.2</w:t>
      </w:r>
      <w:r>
        <w:rPr>
          <w:spacing w:val="-12"/>
        </w:rPr>
        <w:t> 试验方法将水压升压至 </w:t>
      </w:r>
      <w:r>
        <w:rPr/>
        <w:t>2.4MPa</w:t>
      </w:r>
      <w:r>
        <w:rPr>
          <w:spacing w:val="-13"/>
        </w:rPr>
        <w:t>，保压 </w:t>
      </w:r>
      <w:r>
        <w:rPr/>
        <w:t>2min</w:t>
      </w:r>
      <w:r>
        <w:rPr>
          <w:spacing w:val="-9"/>
        </w:rPr>
        <w:t>,测试结果应符合 </w:t>
      </w:r>
      <w:r>
        <w:rPr/>
        <w:t>5.3.2</w:t>
      </w:r>
      <w:r>
        <w:rPr>
          <w:spacing w:val="-15"/>
        </w:rPr>
        <w:t> 规定。</w:t>
      </w:r>
      <w:r>
        <w:rPr>
          <w:b/>
        </w:rPr>
        <w:t>6.3.3 </w:t>
      </w:r>
      <w:r>
        <w:rPr>
          <w:spacing w:val="-3"/>
        </w:rPr>
        <w:t>水带接口的跌落试验</w:t>
      </w:r>
      <w:r>
        <w:rPr>
          <w:b/>
          <w:spacing w:val="-3"/>
          <w:w w:val="99"/>
        </w:rPr>
        <w:t> </w:t>
      </w:r>
    </w:p>
    <w:p>
      <w:pPr>
        <w:pStyle w:val="BodyText"/>
        <w:spacing w:line="446" w:lineRule="auto"/>
        <w:ind w:left="418" w:right="1507" w:firstLine="419"/>
        <w:jc w:val="both"/>
      </w:pPr>
      <w:r>
        <w:rPr>
          <w:spacing w:val="-5"/>
        </w:rPr>
        <w:t>将试样的扣爪向下，装夹在试验架上，使试样最低点至底座距离为 </w:t>
      </w:r>
      <w:r>
        <w:rPr/>
        <w:t>1.50m±0.05m</w:t>
      </w:r>
      <w:r>
        <w:rPr>
          <w:spacing w:val="-1"/>
        </w:rPr>
        <w:t>，待试样</w:t>
      </w:r>
      <w:r>
        <w:rPr>
          <w:spacing w:val="-5"/>
        </w:rPr>
        <w:t>静止后，让其自由落在底座上。试验架底座为厚 </w:t>
      </w:r>
      <w:r>
        <w:rPr/>
        <w:t>10cm</w:t>
      </w:r>
      <w:r>
        <w:rPr>
          <w:spacing w:val="-7"/>
        </w:rPr>
        <w:t> 的钢筋水泥台。每个试样重复试验五次， </w:t>
      </w:r>
      <w:r>
        <w:rPr>
          <w:spacing w:val="-13"/>
        </w:rPr>
        <w:t>结果应符合 </w:t>
      </w:r>
      <w:r>
        <w:rPr/>
        <w:t>5.3.3</w:t>
      </w:r>
      <w:r>
        <w:rPr>
          <w:spacing w:val="-15"/>
        </w:rPr>
        <w:t> 规定。 </w:t>
      </w:r>
    </w:p>
    <w:p>
      <w:pPr>
        <w:pStyle w:val="ListParagraph"/>
        <w:numPr>
          <w:ilvl w:val="1"/>
          <w:numId w:val="322"/>
        </w:numPr>
        <w:tabs>
          <w:tab w:pos="1159" w:val="left" w:leader="none"/>
        </w:tabs>
        <w:spacing w:line="268" w:lineRule="exact" w:before="0" w:after="0"/>
        <w:ind w:left="1158" w:right="0" w:hanging="319"/>
        <w:jc w:val="left"/>
        <w:rPr>
          <w:sz w:val="21"/>
        </w:rPr>
      </w:pPr>
      <w:r>
        <w:rPr>
          <w:spacing w:val="-3"/>
          <w:sz w:val="21"/>
        </w:rPr>
        <w:t>消防水带性能检验</w:t>
      </w:r>
      <w:r>
        <w:rPr>
          <w:sz w:val="21"/>
        </w:rPr>
        <w:t> </w:t>
      </w:r>
    </w:p>
    <w:p>
      <w:pPr>
        <w:pStyle w:val="BodyText"/>
        <w:rPr>
          <w:sz w:val="18"/>
        </w:rPr>
      </w:pPr>
    </w:p>
    <w:p>
      <w:pPr>
        <w:pStyle w:val="ListParagraph"/>
        <w:numPr>
          <w:ilvl w:val="2"/>
          <w:numId w:val="322"/>
        </w:numPr>
        <w:tabs>
          <w:tab w:pos="1370" w:val="left" w:leader="none"/>
        </w:tabs>
        <w:spacing w:line="240" w:lineRule="auto" w:before="0" w:after="0"/>
        <w:ind w:left="1369" w:right="0" w:hanging="530"/>
        <w:jc w:val="left"/>
        <w:rPr>
          <w:b/>
          <w:sz w:val="21"/>
        </w:rPr>
      </w:pPr>
      <w:r>
        <w:rPr>
          <w:spacing w:val="-3"/>
          <w:sz w:val="21"/>
        </w:rPr>
        <w:t>消防水带的密封性能试验</w:t>
      </w:r>
      <w:r>
        <w:rPr>
          <w:b/>
          <w:w w:val="99"/>
          <w:sz w:val="21"/>
        </w:rPr>
        <w:t> </w:t>
      </w:r>
    </w:p>
    <w:p>
      <w:pPr>
        <w:pStyle w:val="BodyText"/>
        <w:rPr>
          <w:b/>
          <w:sz w:val="18"/>
        </w:rPr>
      </w:pPr>
    </w:p>
    <w:p>
      <w:pPr>
        <w:pStyle w:val="BodyText"/>
        <w:spacing w:line="446" w:lineRule="auto"/>
        <w:ind w:left="418" w:right="1505" w:firstLine="419"/>
      </w:pPr>
      <w:r>
        <w:rPr>
          <w:spacing w:val="-3"/>
        </w:rPr>
        <w:t>将消防水带全长平直放置，一端与室内消火栓连接，另一端连接带有开关的水枪，室内消</w:t>
      </w:r>
      <w:r>
        <w:rPr>
          <w:spacing w:val="-5"/>
        </w:rPr>
        <w:t>火栓与水力试验给水管路连接。充水排气后关闭水枪，将压力逐渐上升至 </w:t>
      </w:r>
      <w:r>
        <w:rPr/>
        <w:t>0.8MPa</w:t>
      </w:r>
      <w:r>
        <w:rPr>
          <w:spacing w:val="-11"/>
        </w:rPr>
        <w:t>，保压 </w:t>
      </w:r>
      <w:r>
        <w:rPr/>
        <w:t>2min， </w:t>
      </w:r>
      <w:r>
        <w:rPr>
          <w:spacing w:val="-7"/>
        </w:rPr>
        <w:t>检查水带全长。测试结果应符合 </w:t>
      </w:r>
      <w:r>
        <w:rPr/>
        <w:t>5.4.2</w:t>
      </w:r>
      <w:r>
        <w:rPr>
          <w:spacing w:val="-15"/>
        </w:rPr>
        <w:t> 规定。</w:t>
      </w:r>
      <w:r>
        <w:rPr/>
        <w:t> </w:t>
      </w:r>
    </w:p>
    <w:p>
      <w:pPr>
        <w:pStyle w:val="ListParagraph"/>
        <w:numPr>
          <w:ilvl w:val="2"/>
          <w:numId w:val="322"/>
        </w:numPr>
        <w:tabs>
          <w:tab w:pos="1370" w:val="left" w:leader="none"/>
        </w:tabs>
        <w:spacing w:line="268" w:lineRule="exact" w:before="0" w:after="0"/>
        <w:ind w:left="1369" w:right="0" w:hanging="530"/>
        <w:jc w:val="left"/>
        <w:rPr>
          <w:b/>
          <w:sz w:val="21"/>
        </w:rPr>
      </w:pPr>
      <w:r>
        <w:rPr>
          <w:spacing w:val="-3"/>
          <w:sz w:val="21"/>
        </w:rPr>
        <w:t>消防水带的耐压性能试验</w:t>
      </w:r>
      <w:r>
        <w:rPr>
          <w:b/>
          <w:w w:val="99"/>
          <w:sz w:val="21"/>
        </w:rPr>
        <w:t> </w:t>
      </w:r>
    </w:p>
    <w:p>
      <w:pPr>
        <w:pStyle w:val="BodyText"/>
        <w:spacing w:before="12"/>
        <w:rPr>
          <w:b/>
          <w:sz w:val="17"/>
        </w:rPr>
      </w:pPr>
    </w:p>
    <w:p>
      <w:pPr>
        <w:pStyle w:val="ListParagraph"/>
        <w:numPr>
          <w:ilvl w:val="3"/>
          <w:numId w:val="322"/>
        </w:numPr>
        <w:tabs>
          <w:tab w:pos="1576" w:val="left" w:leader="none"/>
        </w:tabs>
        <w:spacing w:line="240" w:lineRule="auto" w:before="0" w:after="0"/>
        <w:ind w:left="1575" w:right="0" w:hanging="738"/>
        <w:jc w:val="left"/>
        <w:rPr>
          <w:sz w:val="21"/>
        </w:rPr>
      </w:pPr>
      <w:r>
        <w:rPr>
          <w:spacing w:val="-3"/>
          <w:sz w:val="21"/>
        </w:rPr>
        <w:t>试验装置</w:t>
      </w:r>
      <w:r>
        <w:rPr>
          <w:sz w:val="21"/>
        </w:rPr>
        <w:t> </w:t>
      </w:r>
    </w:p>
    <w:p>
      <w:pPr>
        <w:pStyle w:val="BodyText"/>
        <w:spacing w:before="2"/>
        <w:rPr>
          <w:sz w:val="18"/>
        </w:rPr>
      </w:pPr>
    </w:p>
    <w:p>
      <w:pPr>
        <w:pStyle w:val="BodyText"/>
        <w:spacing w:line="446" w:lineRule="auto"/>
        <w:ind w:left="838" w:right="7653"/>
      </w:pPr>
      <w:r>
        <w:rPr>
          <w:spacing w:val="-11"/>
        </w:rPr>
        <w:t>试验装置同 </w:t>
      </w:r>
      <w:r>
        <w:rPr/>
        <w:t>6.3.1.1</w:t>
      </w:r>
      <w:r>
        <w:rPr>
          <w:spacing w:val="-3"/>
        </w:rPr>
        <w:t>。</w:t>
      </w:r>
      <w:r>
        <w:rPr/>
        <w:t>6.4.2.2</w:t>
      </w:r>
      <w:r>
        <w:rPr>
          <w:spacing w:val="-3"/>
        </w:rPr>
        <w:t> 试验准备</w:t>
      </w:r>
      <w:r>
        <w:rPr/>
        <w:t> </w:t>
      </w:r>
    </w:p>
    <w:p>
      <w:pPr>
        <w:pStyle w:val="BodyText"/>
        <w:spacing w:line="446" w:lineRule="auto"/>
        <w:ind w:left="838" w:right="2765"/>
      </w:pPr>
      <w:r>
        <w:rPr>
          <w:spacing w:val="-9"/>
        </w:rPr>
        <w:t>将消防水带截取 </w:t>
      </w:r>
      <w:r>
        <w:rPr/>
        <w:t>1.20m</w:t>
      </w:r>
      <w:r>
        <w:rPr>
          <w:spacing w:val="-8"/>
        </w:rPr>
        <w:t> 长的试样，用专用夹具将试样夹紧，保持试样平直。</w:t>
      </w:r>
      <w:r>
        <w:rPr/>
        <w:t>6.4.2.3</w:t>
      </w:r>
      <w:r>
        <w:rPr>
          <w:spacing w:val="-3"/>
        </w:rPr>
        <w:t> 试验步骤</w:t>
      </w:r>
      <w:r>
        <w:rPr/>
        <w:t> </w:t>
      </w:r>
    </w:p>
    <w:p>
      <w:pPr>
        <w:pStyle w:val="BodyText"/>
        <w:spacing w:line="446" w:lineRule="auto"/>
        <w:ind w:left="418" w:right="1609" w:firstLine="419"/>
        <w:jc w:val="both"/>
      </w:pPr>
      <w:r>
        <w:rPr>
          <w:spacing w:val="-3"/>
        </w:rPr>
        <w:t>将试样一端与水压源相接，另一端用带有排气阀的专用夹具封闭。试样灌满水并排尽其中</w:t>
      </w:r>
      <w:r>
        <w:rPr>
          <w:spacing w:val="-6"/>
        </w:rPr>
        <w:t>空气，关闭排气阀，缓慢而均匀地升压至 </w:t>
      </w:r>
      <w:r>
        <w:rPr/>
        <w:t>1.2MPa</w:t>
      </w:r>
      <w:r>
        <w:rPr>
          <w:spacing w:val="-12"/>
        </w:rPr>
        <w:t>,保压 </w:t>
      </w:r>
      <w:r>
        <w:rPr/>
        <w:t>5min</w:t>
      </w:r>
      <w:r>
        <w:rPr>
          <w:spacing w:val="-10"/>
        </w:rPr>
        <w:t>，结果应符合 </w:t>
      </w:r>
      <w:r>
        <w:rPr/>
        <w:t>5.4.3</w:t>
      </w:r>
      <w:r>
        <w:rPr>
          <w:spacing w:val="-9"/>
        </w:rPr>
        <w:t> 规定。然后继</w:t>
      </w:r>
      <w:r>
        <w:rPr>
          <w:spacing w:val="-16"/>
        </w:rPr>
        <w:t>续升压至 </w:t>
      </w:r>
      <w:r>
        <w:rPr/>
        <w:t>2.4MPa</w:t>
      </w:r>
      <w:r>
        <w:rPr>
          <w:spacing w:val="-15"/>
        </w:rPr>
        <w:t>,保压 </w:t>
      </w:r>
      <w:r>
        <w:rPr/>
        <w:t>5min,</w:t>
      </w:r>
      <w:r>
        <w:rPr>
          <w:spacing w:val="-12"/>
        </w:rPr>
        <w:t>结果应符合 </w:t>
      </w:r>
      <w:r>
        <w:rPr/>
        <w:t>5.4.3</w:t>
      </w:r>
      <w:r>
        <w:rPr>
          <w:spacing w:val="-13"/>
        </w:rPr>
        <w:t> 的规定。</w:t>
      </w:r>
      <w:r>
        <w:rPr/>
        <w:t> </w:t>
      </w:r>
    </w:p>
    <w:p>
      <w:pPr>
        <w:pStyle w:val="ListParagraph"/>
        <w:numPr>
          <w:ilvl w:val="2"/>
          <w:numId w:val="322"/>
        </w:numPr>
        <w:tabs>
          <w:tab w:pos="1370" w:val="left" w:leader="none"/>
        </w:tabs>
        <w:spacing w:line="268" w:lineRule="exact" w:before="0" w:after="0"/>
        <w:ind w:left="1369" w:right="0" w:hanging="530"/>
        <w:jc w:val="left"/>
        <w:rPr>
          <w:b/>
          <w:sz w:val="21"/>
        </w:rPr>
      </w:pPr>
      <w:r>
        <w:rPr>
          <w:spacing w:val="-3"/>
          <w:sz w:val="21"/>
        </w:rPr>
        <w:t>消防水带的扭转方向试验</w:t>
      </w:r>
      <w:r>
        <w:rPr>
          <w:b/>
          <w:w w:val="99"/>
          <w:sz w:val="21"/>
        </w:rPr>
        <w:t> </w:t>
      </w:r>
    </w:p>
    <w:p>
      <w:pPr>
        <w:pStyle w:val="BodyText"/>
        <w:spacing w:before="10"/>
        <w:rPr>
          <w:b/>
          <w:sz w:val="17"/>
        </w:rPr>
      </w:pPr>
    </w:p>
    <w:p>
      <w:pPr>
        <w:pStyle w:val="BodyText"/>
        <w:spacing w:line="446" w:lineRule="auto"/>
        <w:ind w:left="840" w:right="1919" w:hanging="3"/>
        <w:rPr>
          <w:b/>
        </w:rPr>
      </w:pPr>
      <w:r>
        <w:rPr/>
        <w:t>试验方法同 6.4.1。在水压作用下，沿水流方向看，其扭转方向应符合 5.4.4 规定。</w:t>
      </w:r>
      <w:r>
        <w:rPr>
          <w:b/>
        </w:rPr>
        <w:t>6.5 </w:t>
      </w:r>
      <w:r>
        <w:rPr/>
        <w:t>消防水枪性能检验</w:t>
      </w:r>
      <w:r>
        <w:rPr>
          <w:b/>
          <w:w w:val="99"/>
        </w:rPr>
        <w:t> </w:t>
      </w:r>
    </w:p>
    <w:p>
      <w:pPr>
        <w:spacing w:after="0" w:line="446" w:lineRule="auto"/>
        <w:sectPr>
          <w:pgSz w:w="11910" w:h="16850"/>
          <w:pgMar w:header="0" w:footer="1239" w:top="1220" w:bottom="1420" w:left="1260" w:right="0"/>
        </w:sectPr>
      </w:pPr>
    </w:p>
    <w:p>
      <w:pPr>
        <w:pStyle w:val="ListParagraph"/>
        <w:numPr>
          <w:ilvl w:val="2"/>
          <w:numId w:val="323"/>
        </w:numPr>
        <w:tabs>
          <w:tab w:pos="1370" w:val="left" w:leader="none"/>
        </w:tabs>
        <w:spacing w:line="240" w:lineRule="auto" w:before="47" w:after="0"/>
        <w:ind w:left="1369" w:right="0" w:hanging="530"/>
        <w:jc w:val="left"/>
        <w:rPr>
          <w:b/>
          <w:sz w:val="21"/>
        </w:rPr>
      </w:pPr>
      <w:r>
        <w:rPr>
          <w:spacing w:val="-3"/>
          <w:sz w:val="21"/>
        </w:rPr>
        <w:t>消防水枪的密封性能试验</w:t>
      </w:r>
      <w:r>
        <w:rPr>
          <w:b/>
          <w:w w:val="99"/>
          <w:sz w:val="21"/>
        </w:rPr>
        <w:t> </w:t>
      </w:r>
    </w:p>
    <w:p>
      <w:pPr>
        <w:pStyle w:val="BodyText"/>
        <w:rPr>
          <w:b/>
          <w:sz w:val="18"/>
        </w:rPr>
      </w:pPr>
    </w:p>
    <w:p>
      <w:pPr>
        <w:pStyle w:val="ListParagraph"/>
        <w:numPr>
          <w:ilvl w:val="3"/>
          <w:numId w:val="323"/>
        </w:numPr>
        <w:tabs>
          <w:tab w:pos="1576" w:val="left" w:leader="none"/>
        </w:tabs>
        <w:spacing w:line="240" w:lineRule="auto" w:before="0" w:after="0"/>
        <w:ind w:left="1575" w:right="0" w:hanging="738"/>
        <w:jc w:val="left"/>
        <w:rPr>
          <w:sz w:val="21"/>
        </w:rPr>
      </w:pPr>
      <w:r>
        <w:rPr>
          <w:spacing w:val="-3"/>
          <w:sz w:val="21"/>
        </w:rPr>
        <w:t>试验装置</w:t>
      </w:r>
      <w:r>
        <w:rPr>
          <w:sz w:val="21"/>
        </w:rPr>
        <w:t> </w:t>
      </w:r>
    </w:p>
    <w:p>
      <w:pPr>
        <w:pStyle w:val="BodyText"/>
        <w:rPr>
          <w:sz w:val="18"/>
        </w:rPr>
      </w:pPr>
    </w:p>
    <w:p>
      <w:pPr>
        <w:pStyle w:val="BodyText"/>
        <w:spacing w:line="446" w:lineRule="auto"/>
        <w:ind w:left="838" w:right="7653"/>
      </w:pPr>
      <w:r>
        <w:rPr/>
        <w:t>试验装置同 6.3.1.1。6.5.1.2 试验步骤 </w:t>
      </w:r>
    </w:p>
    <w:p>
      <w:pPr>
        <w:pStyle w:val="BodyText"/>
        <w:spacing w:line="446" w:lineRule="auto"/>
        <w:ind w:left="418" w:right="1352" w:firstLine="419"/>
      </w:pPr>
      <w:r>
        <w:rPr>
          <w:spacing w:val="-3"/>
        </w:rPr>
        <w:t>将水枪的进口端通过接口与试验装置相连，然后对水枪加压，加压过程中必须先排除枪体  </w:t>
      </w:r>
      <w:r>
        <w:rPr>
          <w:spacing w:val="-6"/>
        </w:rPr>
        <w:t>内的空气，封死水枪的出水端，当压力至 </w:t>
      </w:r>
      <w:r>
        <w:rPr/>
        <w:t>0.9MPa</w:t>
      </w:r>
      <w:r>
        <w:rPr>
          <w:spacing w:val="-18"/>
        </w:rPr>
        <w:t> 后，保压 </w:t>
      </w:r>
      <w:r>
        <w:rPr/>
        <w:t>2min</w:t>
      </w:r>
      <w:r>
        <w:rPr>
          <w:spacing w:val="-8"/>
        </w:rPr>
        <w:t>，检査结果应符合 </w:t>
      </w:r>
      <w:r>
        <w:rPr/>
        <w:t>5.5.1</w:t>
      </w:r>
      <w:r>
        <w:rPr>
          <w:spacing w:val="-15"/>
        </w:rPr>
        <w:t> 规定。</w:t>
      </w:r>
      <w:r>
        <w:rPr/>
        <w:t> </w:t>
      </w:r>
    </w:p>
    <w:p>
      <w:pPr>
        <w:pStyle w:val="ListParagraph"/>
        <w:numPr>
          <w:ilvl w:val="2"/>
          <w:numId w:val="323"/>
        </w:numPr>
        <w:tabs>
          <w:tab w:pos="1371" w:val="left" w:leader="none"/>
        </w:tabs>
        <w:spacing w:line="240" w:lineRule="auto" w:before="0" w:after="0"/>
        <w:ind w:left="1370" w:right="0" w:hanging="531"/>
        <w:jc w:val="left"/>
        <w:rPr>
          <w:b/>
          <w:sz w:val="21"/>
        </w:rPr>
      </w:pPr>
      <w:r>
        <w:rPr>
          <w:spacing w:val="-3"/>
          <w:sz w:val="21"/>
        </w:rPr>
        <w:t>消防水枪的强度试验</w:t>
      </w:r>
      <w:r>
        <w:rPr>
          <w:b/>
          <w:spacing w:val="-3"/>
          <w:w w:val="99"/>
          <w:sz w:val="21"/>
        </w:rPr>
        <w:t> </w:t>
      </w:r>
    </w:p>
    <w:p>
      <w:pPr>
        <w:pStyle w:val="BodyText"/>
        <w:spacing w:before="12"/>
        <w:rPr>
          <w:b/>
          <w:sz w:val="17"/>
        </w:rPr>
      </w:pPr>
    </w:p>
    <w:p>
      <w:pPr>
        <w:pStyle w:val="BodyText"/>
        <w:ind w:left="838"/>
      </w:pPr>
      <w:r>
        <w:rPr/>
        <w:t>试验装置及步骤同 6.5.1，密封试验后继续加压至 1.6MPa,保压 2min，检査结果应符合</w:t>
      </w:r>
    </w:p>
    <w:p>
      <w:pPr>
        <w:pStyle w:val="BodyText"/>
        <w:rPr>
          <w:sz w:val="18"/>
        </w:rPr>
      </w:pPr>
    </w:p>
    <w:p>
      <w:pPr>
        <w:pStyle w:val="BodyText"/>
        <w:ind w:left="418"/>
      </w:pPr>
      <w:r>
        <w:rPr/>
        <w:t>5.5.2 规定。 </w:t>
      </w:r>
    </w:p>
    <w:p>
      <w:pPr>
        <w:pStyle w:val="BodyText"/>
        <w:spacing w:before="2"/>
        <w:rPr>
          <w:sz w:val="18"/>
        </w:rPr>
      </w:pPr>
    </w:p>
    <w:p>
      <w:pPr>
        <w:pStyle w:val="ListParagraph"/>
        <w:numPr>
          <w:ilvl w:val="1"/>
          <w:numId w:val="324"/>
        </w:numPr>
        <w:tabs>
          <w:tab w:pos="1159" w:val="left" w:leader="none"/>
        </w:tabs>
        <w:spacing w:line="240" w:lineRule="auto" w:before="0" w:after="0"/>
        <w:ind w:left="1158" w:right="0" w:hanging="319"/>
        <w:jc w:val="left"/>
        <w:rPr>
          <w:b/>
          <w:sz w:val="21"/>
        </w:rPr>
      </w:pPr>
      <w:r>
        <w:rPr>
          <w:spacing w:val="-3"/>
          <w:sz w:val="21"/>
        </w:rPr>
        <w:t>消防软管卷盘性能检验</w:t>
      </w:r>
      <w:r>
        <w:rPr>
          <w:b/>
          <w:spacing w:val="-3"/>
          <w:w w:val="99"/>
          <w:sz w:val="21"/>
        </w:rPr>
        <w:t> </w:t>
      </w:r>
    </w:p>
    <w:p>
      <w:pPr>
        <w:pStyle w:val="BodyText"/>
        <w:spacing w:before="12"/>
        <w:rPr>
          <w:b/>
          <w:sz w:val="17"/>
        </w:rPr>
      </w:pPr>
    </w:p>
    <w:p>
      <w:pPr>
        <w:pStyle w:val="ListParagraph"/>
        <w:numPr>
          <w:ilvl w:val="2"/>
          <w:numId w:val="324"/>
        </w:numPr>
        <w:tabs>
          <w:tab w:pos="1370" w:val="left" w:leader="none"/>
        </w:tabs>
        <w:spacing w:line="240" w:lineRule="auto" w:before="0" w:after="0"/>
        <w:ind w:left="1369" w:right="0" w:hanging="530"/>
        <w:jc w:val="left"/>
        <w:rPr>
          <w:b/>
          <w:sz w:val="21"/>
        </w:rPr>
      </w:pPr>
      <w:r>
        <w:rPr>
          <w:spacing w:val="-3"/>
          <w:sz w:val="21"/>
        </w:rPr>
        <w:t>消防软管卷盘的喷射性能试验</w:t>
      </w:r>
      <w:r>
        <w:rPr>
          <w:b/>
          <w:w w:val="99"/>
          <w:sz w:val="21"/>
        </w:rPr>
        <w:t> </w:t>
      </w:r>
    </w:p>
    <w:p>
      <w:pPr>
        <w:pStyle w:val="BodyText"/>
        <w:spacing w:before="12"/>
        <w:rPr>
          <w:b/>
          <w:sz w:val="17"/>
        </w:rPr>
      </w:pPr>
    </w:p>
    <w:p>
      <w:pPr>
        <w:pStyle w:val="BodyText"/>
        <w:spacing w:line="446" w:lineRule="auto" w:before="1"/>
        <w:ind w:left="418" w:right="1450" w:firstLine="419"/>
      </w:pPr>
      <w:r>
        <w:rPr>
          <w:spacing w:val="-4"/>
        </w:rPr>
        <w:t>将软管从软管盘内全长拉出，开关喷嘴置于喷射架上，调整喷嘴轴线的仰角为 </w:t>
      </w:r>
      <w:r>
        <w:rPr/>
        <w:t>30°±1°， </w:t>
      </w:r>
      <w:r>
        <w:rPr>
          <w:spacing w:val="-7"/>
        </w:rPr>
        <w:t>并使喷嘴出口中心距地面 </w:t>
      </w:r>
      <w:r>
        <w:rPr/>
        <w:t>1m</w:t>
      </w:r>
      <w:r>
        <w:rPr>
          <w:spacing w:val="-27"/>
        </w:rPr>
        <w:t> 士 </w:t>
      </w:r>
      <w:r>
        <w:rPr/>
        <w:t>0.01m</w:t>
      </w:r>
      <w:r>
        <w:rPr>
          <w:spacing w:val="-7"/>
        </w:rPr>
        <w:t>，从开关喷嘴出口端前方 </w:t>
      </w:r>
      <w:r>
        <w:rPr/>
        <w:t>5m</w:t>
      </w:r>
      <w:r>
        <w:rPr>
          <w:spacing w:val="-8"/>
        </w:rPr>
        <w:t> 开始，顺着喷射方向，每隔1m</w:t>
      </w:r>
      <w:r>
        <w:rPr>
          <w:spacing w:val="-14"/>
        </w:rPr>
        <w:t> 竖立标杆，直至 </w:t>
      </w:r>
      <w:r>
        <w:rPr/>
        <w:t>15m。 </w:t>
      </w:r>
    </w:p>
    <w:p>
      <w:pPr>
        <w:pStyle w:val="BodyText"/>
        <w:spacing w:line="268" w:lineRule="exact"/>
        <w:ind w:left="838"/>
      </w:pPr>
      <w:r>
        <w:rPr/>
        <w:t>在外界风速小于 3m/s 条件下，作顺风方向喷射试验。 </w:t>
      </w:r>
    </w:p>
    <w:p>
      <w:pPr>
        <w:pStyle w:val="BodyText"/>
        <w:spacing w:before="1"/>
        <w:rPr>
          <w:sz w:val="18"/>
        </w:rPr>
      </w:pPr>
    </w:p>
    <w:p>
      <w:pPr>
        <w:pStyle w:val="BodyText"/>
        <w:ind w:left="838"/>
      </w:pPr>
      <w:r>
        <w:rPr/>
        <w:t>开启消防软管卷盘进水阀门，调节开关喷嘴至开启状态，当消防水喉进口压力升至 0.4MPa</w:t>
      </w:r>
    </w:p>
    <w:p>
      <w:pPr>
        <w:pStyle w:val="BodyText"/>
        <w:rPr>
          <w:sz w:val="18"/>
        </w:rPr>
      </w:pPr>
    </w:p>
    <w:p>
      <w:pPr>
        <w:pStyle w:val="BodyText"/>
        <w:ind w:left="418"/>
      </w:pPr>
      <w:r>
        <w:rPr/>
        <w:t>并稳定后，利用地面标杆目测射流洒落集中区中心至喷嘴口的水平距离，应符合 5.6.1 规定。 </w:t>
      </w:r>
    </w:p>
    <w:p>
      <w:pPr>
        <w:pStyle w:val="BodyText"/>
        <w:spacing w:before="12"/>
        <w:rPr>
          <w:sz w:val="17"/>
        </w:rPr>
      </w:pPr>
    </w:p>
    <w:p>
      <w:pPr>
        <w:pStyle w:val="BodyText"/>
        <w:spacing w:line="446" w:lineRule="auto"/>
        <w:ind w:left="840" w:right="5288" w:hanging="3"/>
        <w:rPr>
          <w:b/>
        </w:rPr>
      </w:pPr>
      <w:r>
        <w:rPr/>
        <w:t>流量可从流量计上读取，也应符合 5.6.1 规定。</w:t>
      </w:r>
      <w:r>
        <w:rPr>
          <w:b/>
        </w:rPr>
        <w:t>6.6.2 </w:t>
      </w:r>
      <w:r>
        <w:rPr/>
        <w:t>消防软管卷盘的操作性能试验</w:t>
      </w:r>
      <w:r>
        <w:rPr>
          <w:b/>
          <w:w w:val="99"/>
        </w:rPr>
        <w:t> </w:t>
      </w:r>
    </w:p>
    <w:p>
      <w:pPr>
        <w:pStyle w:val="ListParagraph"/>
        <w:numPr>
          <w:ilvl w:val="3"/>
          <w:numId w:val="325"/>
        </w:numPr>
        <w:tabs>
          <w:tab w:pos="1576" w:val="left" w:leader="none"/>
        </w:tabs>
        <w:spacing w:line="240" w:lineRule="auto" w:before="1" w:after="0"/>
        <w:ind w:left="1575" w:right="0" w:hanging="738"/>
        <w:jc w:val="left"/>
        <w:rPr>
          <w:sz w:val="19"/>
        </w:rPr>
      </w:pPr>
      <w:r>
        <w:rPr>
          <w:spacing w:val="-3"/>
          <w:sz w:val="21"/>
        </w:rPr>
        <w:t>试验准备</w:t>
      </w:r>
      <w:r>
        <w:rPr>
          <w:sz w:val="21"/>
        </w:rPr>
        <w:t> </w:t>
      </w:r>
    </w:p>
    <w:p>
      <w:pPr>
        <w:spacing w:after="0" w:line="240" w:lineRule="auto"/>
        <w:jc w:val="left"/>
        <w:rPr>
          <w:sz w:val="19"/>
        </w:rPr>
        <w:sectPr>
          <w:pgSz w:w="11910" w:h="16850"/>
          <w:pgMar w:header="0" w:footer="1239" w:top="1220" w:bottom="1420" w:left="1260" w:right="0"/>
        </w:sectPr>
      </w:pPr>
    </w:p>
    <w:p>
      <w:pPr>
        <w:pStyle w:val="BodyText"/>
        <w:spacing w:line="436" w:lineRule="auto" w:before="47"/>
        <w:ind w:left="418" w:right="1618" w:firstLine="199"/>
      </w:pPr>
      <w:r>
        <w:rPr/>
        <w:drawing>
          <wp:anchor distT="0" distB="0" distL="0" distR="0" allowOverlap="1" layoutInCell="1" locked="0" behindDoc="1" simplePos="0" relativeHeight="215751680">
            <wp:simplePos x="0" y="0"/>
            <wp:positionH relativeFrom="page">
              <wp:posOffset>1389380</wp:posOffset>
            </wp:positionH>
            <wp:positionV relativeFrom="paragraph">
              <wp:posOffset>578230</wp:posOffset>
            </wp:positionV>
            <wp:extent cx="4570730" cy="3486150"/>
            <wp:effectExtent l="0" t="0" r="0" b="0"/>
            <wp:wrapNone/>
            <wp:docPr id="261" name="image161.jpeg"/>
            <wp:cNvGraphicFramePr>
              <a:graphicFrameLocks noChangeAspect="1"/>
            </wp:cNvGraphicFramePr>
            <a:graphic>
              <a:graphicData uri="http://schemas.openxmlformats.org/drawingml/2006/picture">
                <pic:pic>
                  <pic:nvPicPr>
                    <pic:cNvPr id="262" name="image161.jpeg"/>
                    <pic:cNvPicPr/>
                  </pic:nvPicPr>
                  <pic:blipFill>
                    <a:blip r:embed="rId177" cstate="print"/>
                    <a:stretch>
                      <a:fillRect/>
                    </a:stretch>
                  </pic:blipFill>
                  <pic:spPr>
                    <a:xfrm>
                      <a:off x="0" y="0"/>
                      <a:ext cx="4570730" cy="3486150"/>
                    </a:xfrm>
                    <a:prstGeom prst="rect">
                      <a:avLst/>
                    </a:prstGeom>
                  </pic:spPr>
                </pic:pic>
              </a:graphicData>
            </a:graphic>
          </wp:anchor>
        </w:drawing>
      </w:r>
      <w:r>
        <w:rPr/>
        <w:t>将箱体按使用安装位置置于刚度试验台上，在箱体上面及左右侧面的中间处垂直平面方向， 按图 5 所示的要求用 5</w:t>
      </w:r>
      <w:r>
        <w:rPr>
          <w:position w:val="11"/>
          <w:sz w:val="11"/>
        </w:rPr>
        <w:t>#</w:t>
      </w:r>
      <w:r>
        <w:rPr/>
        <w:t>槽钢支撑定位。各支点施加于槽钢上的力不超过 10N。 </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9"/>
        <w:rPr>
          <w:sz w:val="32"/>
        </w:rPr>
      </w:pPr>
    </w:p>
    <w:p>
      <w:pPr>
        <w:pStyle w:val="ListParagraph"/>
        <w:numPr>
          <w:ilvl w:val="3"/>
          <w:numId w:val="325"/>
        </w:numPr>
        <w:tabs>
          <w:tab w:pos="1360" w:val="left" w:leader="none"/>
        </w:tabs>
        <w:spacing w:line="240" w:lineRule="auto" w:before="0" w:after="0"/>
        <w:ind w:left="1359" w:right="0" w:hanging="743"/>
        <w:jc w:val="left"/>
        <w:rPr>
          <w:sz w:val="19"/>
        </w:rPr>
      </w:pPr>
      <w:r>
        <w:rPr>
          <w:spacing w:val="-3"/>
          <w:sz w:val="21"/>
        </w:rPr>
        <w:t>试验步骤</w:t>
      </w:r>
      <w:r>
        <w:rPr>
          <w:sz w:val="21"/>
        </w:rPr>
        <w:t> </w:t>
      </w:r>
    </w:p>
    <w:p>
      <w:pPr>
        <w:pStyle w:val="BodyText"/>
        <w:spacing w:before="2"/>
        <w:rPr>
          <w:sz w:val="18"/>
        </w:rPr>
      </w:pPr>
    </w:p>
    <w:p>
      <w:pPr>
        <w:pStyle w:val="BodyText"/>
        <w:spacing w:line="446" w:lineRule="auto"/>
        <w:ind w:left="418" w:right="1618" w:firstLine="199"/>
      </w:pPr>
      <w:r>
        <w:rPr/>
        <w:t>在软管盘回转中心处垂直于盘轮平面方向，用测力计测出驱使消防水喉作水平摆动的最大拉力，用量角仪测量其摆动角度并观察摆动时的现象，应符合 5.6.2 规定。 </w:t>
      </w:r>
    </w:p>
    <w:p>
      <w:pPr>
        <w:pStyle w:val="BodyText"/>
        <w:spacing w:line="446" w:lineRule="auto"/>
        <w:ind w:left="418" w:right="1618" w:firstLine="199"/>
      </w:pPr>
      <w:r>
        <w:rPr/>
        <w:t>使软管完全缠绕，在软管盘两侧外沿连线中点悬挂重物，逐渐增加悬挂物质量，直至软管盘开始旋转。计算悬挂物所产生的力矩，结果应符合 5.6.2 规定。 </w:t>
      </w:r>
    </w:p>
    <w:p>
      <w:pPr>
        <w:spacing w:before="0"/>
        <w:ind w:left="840" w:right="0" w:firstLine="0"/>
        <w:jc w:val="left"/>
        <w:rPr>
          <w:b/>
          <w:sz w:val="21"/>
        </w:rPr>
      </w:pPr>
      <w:r>
        <w:rPr>
          <w:b/>
          <w:sz w:val="21"/>
        </w:rPr>
        <w:t>6.6.3 </w:t>
      </w:r>
      <w:r>
        <w:rPr>
          <w:sz w:val="21"/>
        </w:rPr>
        <w:t>消防软管卷盘的抗冲击性能试验</w:t>
      </w:r>
      <w:r>
        <w:rPr>
          <w:b/>
          <w:w w:val="99"/>
          <w:sz w:val="21"/>
        </w:rPr>
        <w:t> </w:t>
      </w:r>
    </w:p>
    <w:p>
      <w:pPr>
        <w:pStyle w:val="BodyText"/>
        <w:spacing w:before="10"/>
        <w:rPr>
          <w:b/>
          <w:sz w:val="17"/>
        </w:rPr>
      </w:pPr>
    </w:p>
    <w:p>
      <w:pPr>
        <w:pStyle w:val="BodyText"/>
        <w:spacing w:line="446" w:lineRule="auto"/>
        <w:ind w:left="418" w:right="1505" w:firstLine="199"/>
      </w:pPr>
      <w:r>
        <w:rPr>
          <w:spacing w:val="-15"/>
        </w:rPr>
        <w:t>如图 </w:t>
      </w:r>
      <w:r>
        <w:rPr/>
        <w:t>6</w:t>
      </w:r>
      <w:r>
        <w:rPr>
          <w:spacing w:val="-8"/>
        </w:rPr>
        <w:t> 所示，利用摇臂将消防软管卷盘紧固在冲击试验架上，软管盘转轴处于水平位置。用</w:t>
      </w:r>
      <w:r>
        <w:rPr>
          <w:spacing w:val="-15"/>
        </w:rPr>
        <w:t>一截面为 </w:t>
      </w:r>
      <w:r>
        <w:rPr/>
        <w:t>100mm×25mm</w:t>
      </w:r>
      <w:r>
        <w:rPr>
          <w:spacing w:val="-11"/>
        </w:rPr>
        <w:t> 的钢梁架于盘轮上方正中位置，质量为 </w:t>
      </w:r>
      <w:r>
        <w:rPr/>
        <w:t>25kg</w:t>
      </w:r>
      <w:r>
        <w:rPr>
          <w:spacing w:val="-15"/>
        </w:rPr>
        <w:t> 的圆形重锤从 </w:t>
      </w:r>
      <w:r>
        <w:rPr/>
        <w:t>300mm</w:t>
      </w:r>
      <w:r>
        <w:rPr>
          <w:spacing w:val="-14"/>
        </w:rPr>
        <w:t> 高处自</w:t>
      </w:r>
      <w:r>
        <w:rPr>
          <w:spacing w:val="-7"/>
        </w:rPr>
        <w:t>由落下，冲击钢梁中部。</w:t>
      </w:r>
      <w:r>
        <w:rPr/>
        <w:t> </w:t>
      </w:r>
    </w:p>
    <w:p>
      <w:pPr>
        <w:pStyle w:val="BodyText"/>
        <w:spacing w:line="446" w:lineRule="auto"/>
        <w:ind w:left="418" w:right="1618" w:firstLine="199"/>
      </w:pPr>
      <w:r>
        <w:rPr/>
        <w:t>冲击一次后，将软管从软管盘内全长拉出，从入口加压力水，待腔内和管路系统内空气排除后，关闭开关喷嘴，将压力逐渐上升至 0.8MPa,保压 2min，结果应符合 5.6.3 规定。 </w:t>
      </w:r>
    </w:p>
    <w:p>
      <w:pPr>
        <w:spacing w:after="0" w:line="446" w:lineRule="auto"/>
        <w:sectPr>
          <w:pgSz w:w="11910" w:h="16850"/>
          <w:pgMar w:header="0" w:footer="1239" w:top="1220" w:bottom="1420" w:left="1260" w:right="0"/>
        </w:sectPr>
      </w:pPr>
    </w:p>
    <w:p>
      <w:pPr>
        <w:pStyle w:val="BodyText"/>
        <w:ind w:left="643"/>
        <w:rPr>
          <w:sz w:val="20"/>
        </w:rPr>
      </w:pPr>
      <w:r>
        <w:rPr>
          <w:sz w:val="20"/>
        </w:rPr>
        <w:drawing>
          <wp:inline distT="0" distB="0" distL="0" distR="0">
            <wp:extent cx="5010504" cy="4467225"/>
            <wp:effectExtent l="0" t="0" r="0" b="0"/>
            <wp:docPr id="263" name="image162.jpeg"/>
            <wp:cNvGraphicFramePr>
              <a:graphicFrameLocks noChangeAspect="1"/>
            </wp:cNvGraphicFramePr>
            <a:graphic>
              <a:graphicData uri="http://schemas.openxmlformats.org/drawingml/2006/picture">
                <pic:pic>
                  <pic:nvPicPr>
                    <pic:cNvPr id="264" name="image162.jpeg"/>
                    <pic:cNvPicPr/>
                  </pic:nvPicPr>
                  <pic:blipFill>
                    <a:blip r:embed="rId179" cstate="print"/>
                    <a:stretch>
                      <a:fillRect/>
                    </a:stretch>
                  </pic:blipFill>
                  <pic:spPr>
                    <a:xfrm>
                      <a:off x="0" y="0"/>
                      <a:ext cx="5010504" cy="4467225"/>
                    </a:xfrm>
                    <a:prstGeom prst="rect">
                      <a:avLst/>
                    </a:prstGeom>
                  </pic:spPr>
                </pic:pic>
              </a:graphicData>
            </a:graphic>
          </wp:inline>
        </w:drawing>
      </w:r>
      <w:r>
        <w:rPr>
          <w:sz w:val="20"/>
        </w:rPr>
      </w:r>
    </w:p>
    <w:p>
      <w:pPr>
        <w:pStyle w:val="BodyText"/>
        <w:rPr>
          <w:sz w:val="20"/>
        </w:rPr>
      </w:pPr>
    </w:p>
    <w:p>
      <w:pPr>
        <w:pStyle w:val="BodyText"/>
        <w:spacing w:before="9"/>
        <w:rPr>
          <w:sz w:val="27"/>
        </w:rPr>
      </w:pPr>
    </w:p>
    <w:p>
      <w:pPr>
        <w:spacing w:line="446" w:lineRule="auto" w:before="71"/>
        <w:ind w:left="840" w:right="4014" w:firstLine="2259"/>
        <w:jc w:val="left"/>
        <w:rPr>
          <w:b/>
          <w:sz w:val="21"/>
        </w:rPr>
      </w:pPr>
      <w:r>
        <w:rPr>
          <w:b/>
          <w:sz w:val="21"/>
        </w:rPr>
        <w:t>图 6 消防软管卷盘的抗冲击性能试验6.6.4 </w:t>
      </w:r>
      <w:r>
        <w:rPr>
          <w:sz w:val="21"/>
        </w:rPr>
        <w:t>消防软管卷盘的负荷性能试验</w:t>
      </w:r>
      <w:r>
        <w:rPr>
          <w:b/>
          <w:w w:val="99"/>
          <w:sz w:val="21"/>
        </w:rPr>
        <w:t> </w:t>
      </w:r>
    </w:p>
    <w:p>
      <w:pPr>
        <w:pStyle w:val="BodyText"/>
        <w:spacing w:line="446" w:lineRule="auto"/>
        <w:ind w:left="418" w:right="1507" w:firstLine="419"/>
      </w:pPr>
      <w:r>
        <w:rPr>
          <w:spacing w:val="-15"/>
        </w:rPr>
        <w:t>如图 </w:t>
      </w:r>
      <w:r>
        <w:rPr/>
        <w:t>7</w:t>
      </w:r>
      <w:r>
        <w:rPr>
          <w:spacing w:val="-8"/>
        </w:rPr>
        <w:t> 所示，利用摇臂将消防软管卷盘紧固在试验架上，软管盘转轴处于水平位置。用细</w:t>
      </w:r>
      <w:r>
        <w:rPr>
          <w:spacing w:val="-12"/>
        </w:rPr>
        <w:t>钢丝绳将质量为 </w:t>
      </w:r>
      <w:r>
        <w:rPr/>
        <w:t>80kg</w:t>
      </w:r>
      <w:r>
        <w:rPr>
          <w:spacing w:val="-11"/>
        </w:rPr>
        <w:t> 的重锤悬挂于外侧盘轮的轮缘上，静载 </w:t>
      </w:r>
      <w:r>
        <w:rPr/>
        <w:t>72h</w:t>
      </w:r>
      <w:r>
        <w:rPr>
          <w:spacing w:val="-21"/>
        </w:rPr>
        <w:t> 后，按 </w:t>
      </w:r>
      <w:r>
        <w:rPr/>
        <w:t>6.6.3</w:t>
      </w:r>
      <w:r>
        <w:rPr>
          <w:spacing w:val="-8"/>
        </w:rPr>
        <w:t> 中规定的冲击后的试验方法进行试验，其结果应符合 </w:t>
      </w:r>
      <w:r>
        <w:rPr/>
        <w:t>5.6.4</w:t>
      </w:r>
      <w:r>
        <w:rPr>
          <w:spacing w:val="-15"/>
        </w:rPr>
        <w:t> 规定。</w:t>
      </w:r>
      <w:r>
        <w:rPr/>
        <w:t> </w:t>
      </w:r>
      <w:r>
        <w:rPr>
          <w:spacing w:val="1"/>
        </w:rPr>
        <w:t> </w:t>
      </w:r>
      <w:r>
        <w:rPr>
          <w:w w:val="100"/>
        </w:rPr>
        <w:t> </w:t>
      </w:r>
    </w:p>
    <w:p>
      <w:pPr>
        <w:spacing w:after="0" w:line="446" w:lineRule="auto"/>
        <w:sectPr>
          <w:footerReference w:type="default" r:id="rId178"/>
          <w:pgSz w:w="11910" w:h="16850"/>
          <w:pgMar w:footer="1239" w:header="0" w:top="1200" w:bottom="1420" w:left="1260" w:right="0"/>
          <w:pgNumType w:start="1080"/>
        </w:sectPr>
      </w:pPr>
    </w:p>
    <w:p>
      <w:pPr>
        <w:pStyle w:val="BodyText"/>
        <w:spacing w:before="10"/>
        <w:rPr>
          <w:sz w:val="11"/>
        </w:rPr>
      </w:pPr>
    </w:p>
    <w:p>
      <w:pPr>
        <w:pStyle w:val="BodyText"/>
        <w:ind w:left="1198"/>
        <w:rPr>
          <w:sz w:val="20"/>
        </w:rPr>
      </w:pPr>
      <w:r>
        <w:rPr>
          <w:sz w:val="20"/>
        </w:rPr>
        <w:drawing>
          <wp:inline distT="0" distB="0" distL="0" distR="0">
            <wp:extent cx="4638674" cy="4419600"/>
            <wp:effectExtent l="0" t="0" r="0" b="0"/>
            <wp:docPr id="265" name="image163.jpeg"/>
            <wp:cNvGraphicFramePr>
              <a:graphicFrameLocks noChangeAspect="1"/>
            </wp:cNvGraphicFramePr>
            <a:graphic>
              <a:graphicData uri="http://schemas.openxmlformats.org/drawingml/2006/picture">
                <pic:pic>
                  <pic:nvPicPr>
                    <pic:cNvPr id="266" name="image163.jpeg"/>
                    <pic:cNvPicPr/>
                  </pic:nvPicPr>
                  <pic:blipFill>
                    <a:blip r:embed="rId180" cstate="print"/>
                    <a:stretch>
                      <a:fillRect/>
                    </a:stretch>
                  </pic:blipFill>
                  <pic:spPr>
                    <a:xfrm>
                      <a:off x="0" y="0"/>
                      <a:ext cx="4638674" cy="441960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8"/>
        <w:rPr>
          <w:sz w:val="18"/>
        </w:rPr>
      </w:pPr>
    </w:p>
    <w:p>
      <w:pPr>
        <w:spacing w:line="446" w:lineRule="auto" w:before="0"/>
        <w:ind w:left="840" w:right="4119" w:firstLine="2364"/>
        <w:jc w:val="left"/>
        <w:rPr>
          <w:b/>
          <w:sz w:val="21"/>
        </w:rPr>
      </w:pPr>
      <w:r>
        <w:rPr>
          <w:b/>
          <w:sz w:val="21"/>
        </w:rPr>
        <w:t>图 7 消防软管卷盘的负荷性能试验6.6.5 </w:t>
      </w:r>
      <w:r>
        <w:rPr>
          <w:sz w:val="21"/>
        </w:rPr>
        <w:t>消防软管卷盘的连接性能试验</w:t>
      </w:r>
      <w:r>
        <w:rPr>
          <w:b/>
          <w:w w:val="99"/>
          <w:sz w:val="21"/>
        </w:rPr>
        <w:t> </w:t>
      </w:r>
    </w:p>
    <w:p>
      <w:pPr>
        <w:pStyle w:val="BodyText"/>
        <w:spacing w:line="446" w:lineRule="auto"/>
        <w:ind w:left="418" w:right="1507" w:firstLine="419"/>
      </w:pPr>
      <w:r>
        <w:rPr>
          <w:spacing w:val="-3"/>
        </w:rPr>
        <w:t>把软管从软管盘内全长拉出，将进水口与水压试验台相连，待腔内和管路系统内空气排除</w:t>
      </w:r>
      <w:r>
        <w:rPr>
          <w:spacing w:val="-6"/>
        </w:rPr>
        <w:t>后，关闭开关喷嘴，将压力逐渐上升至 </w:t>
      </w:r>
      <w:r>
        <w:rPr/>
        <w:t>0.8MPa</w:t>
      </w:r>
      <w:r>
        <w:rPr>
          <w:spacing w:val="-12"/>
        </w:rPr>
        <w:t>，保压 </w:t>
      </w:r>
      <w:r>
        <w:rPr/>
        <w:t>2min</w:t>
      </w:r>
      <w:r>
        <w:rPr>
          <w:spacing w:val="-3"/>
        </w:rPr>
        <w:t>，检査软管与软管盘进、出口的连接</w:t>
      </w:r>
      <w:r>
        <w:rPr>
          <w:spacing w:val="-13"/>
        </w:rPr>
        <w:t>应符合 </w:t>
      </w:r>
      <w:r>
        <w:rPr/>
        <w:t>5.6.5</w:t>
      </w:r>
      <w:r>
        <w:rPr>
          <w:spacing w:val="-8"/>
        </w:rPr>
        <w:t> 的规定；检査软管盘内各密封部位、软管与软管盘连接部位、软管与开关喷嘴连接部位、软管与进口阀连接部位应符合 </w:t>
      </w:r>
      <w:r>
        <w:rPr/>
        <w:t>5.6.5</w:t>
      </w:r>
      <w:r>
        <w:rPr>
          <w:spacing w:val="-12"/>
        </w:rPr>
        <w:t> 规定。然后将压力逐渐上升至 </w:t>
      </w:r>
      <w:r>
        <w:rPr/>
        <w:t>1.2MPa</w:t>
      </w:r>
      <w:r>
        <w:rPr>
          <w:spacing w:val="-3"/>
        </w:rPr>
        <w:t>,保压</w:t>
      </w:r>
      <w:r>
        <w:rPr/>
        <w:t>2min</w:t>
      </w:r>
      <w:r>
        <w:rPr>
          <w:spacing w:val="-10"/>
        </w:rPr>
        <w:t>，其结果应符合 </w:t>
      </w:r>
      <w:r>
        <w:rPr/>
        <w:t>5.6.5</w:t>
      </w:r>
      <w:r>
        <w:rPr>
          <w:spacing w:val="-13"/>
        </w:rPr>
        <w:t> 的规定。</w:t>
      </w:r>
      <w:r>
        <w:rPr/>
        <w:t> </w:t>
      </w:r>
    </w:p>
    <w:p>
      <w:pPr>
        <w:pStyle w:val="ListParagraph"/>
        <w:numPr>
          <w:ilvl w:val="2"/>
          <w:numId w:val="326"/>
        </w:numPr>
        <w:tabs>
          <w:tab w:pos="1370" w:val="left" w:leader="none"/>
        </w:tabs>
        <w:spacing w:line="268" w:lineRule="exact" w:before="0" w:after="0"/>
        <w:ind w:left="1369" w:right="0" w:hanging="530"/>
        <w:jc w:val="left"/>
        <w:rPr>
          <w:b/>
          <w:sz w:val="21"/>
        </w:rPr>
      </w:pPr>
      <w:r>
        <w:rPr>
          <w:spacing w:val="-3"/>
          <w:sz w:val="21"/>
        </w:rPr>
        <w:t>消防软管卷盘的软管性能试验</w:t>
      </w:r>
      <w:r>
        <w:rPr>
          <w:b/>
          <w:w w:val="99"/>
          <w:sz w:val="21"/>
        </w:rPr>
        <w:t> </w:t>
      </w:r>
    </w:p>
    <w:p>
      <w:pPr>
        <w:pStyle w:val="BodyText"/>
        <w:spacing w:before="12"/>
        <w:rPr>
          <w:b/>
          <w:sz w:val="17"/>
        </w:rPr>
      </w:pPr>
    </w:p>
    <w:p>
      <w:pPr>
        <w:pStyle w:val="ListParagraph"/>
        <w:numPr>
          <w:ilvl w:val="3"/>
          <w:numId w:val="326"/>
        </w:numPr>
        <w:tabs>
          <w:tab w:pos="1576" w:val="left" w:leader="none"/>
        </w:tabs>
        <w:spacing w:line="446" w:lineRule="auto" w:before="0" w:after="0"/>
        <w:ind w:left="418" w:right="1455" w:firstLine="419"/>
        <w:jc w:val="left"/>
        <w:rPr>
          <w:sz w:val="21"/>
        </w:rPr>
      </w:pPr>
      <w:r>
        <w:rPr>
          <w:spacing w:val="-3"/>
          <w:sz w:val="21"/>
        </w:rPr>
        <w:t>把软管从软管盘内全长拉出，将进水口与水压试验台相连，待腔内和管路系统内空</w:t>
      </w:r>
      <w:r>
        <w:rPr>
          <w:spacing w:val="-5"/>
          <w:sz w:val="21"/>
        </w:rPr>
        <w:t>气排除后， 关闭开关喷嘴，将输入软管的压力逐渐上升至 </w:t>
      </w:r>
      <w:r>
        <w:rPr>
          <w:sz w:val="21"/>
        </w:rPr>
        <w:t>0.8MPa</w:t>
      </w:r>
      <w:r>
        <w:rPr>
          <w:spacing w:val="-10"/>
          <w:sz w:val="21"/>
        </w:rPr>
        <w:t>，在任选的 </w:t>
      </w:r>
      <w:r>
        <w:rPr>
          <w:sz w:val="21"/>
        </w:rPr>
        <w:t>15m</w:t>
      </w:r>
      <w:r>
        <w:rPr>
          <w:spacing w:val="-9"/>
          <w:sz w:val="21"/>
        </w:rPr>
        <w:t> 长度范围内的</w:t>
      </w:r>
      <w:r>
        <w:rPr>
          <w:spacing w:val="-6"/>
          <w:sz w:val="21"/>
        </w:rPr>
        <w:t>两端及中部共三处，分别测出其周长膨胀的算术平均值，应符合 </w:t>
      </w:r>
      <w:r>
        <w:rPr>
          <w:sz w:val="21"/>
        </w:rPr>
        <w:t>5.6.6.1</w:t>
      </w:r>
      <w:r>
        <w:rPr>
          <w:spacing w:val="-13"/>
          <w:sz w:val="21"/>
        </w:rPr>
        <w:t> 规定.。</w:t>
      </w:r>
      <w:r>
        <w:rPr>
          <w:sz w:val="21"/>
        </w:rPr>
        <w:t> </w:t>
      </w:r>
    </w:p>
    <w:p>
      <w:pPr>
        <w:pStyle w:val="ListParagraph"/>
        <w:numPr>
          <w:ilvl w:val="3"/>
          <w:numId w:val="326"/>
        </w:numPr>
        <w:tabs>
          <w:tab w:pos="1576" w:val="left" w:leader="none"/>
        </w:tabs>
        <w:spacing w:line="268" w:lineRule="exact" w:before="0" w:after="0"/>
        <w:ind w:left="1575" w:right="0" w:hanging="738"/>
        <w:jc w:val="left"/>
        <w:rPr>
          <w:sz w:val="21"/>
        </w:rPr>
      </w:pPr>
      <w:r>
        <w:rPr>
          <w:spacing w:val="-8"/>
          <w:sz w:val="21"/>
        </w:rPr>
        <w:t>在软管全长上任意截取 </w:t>
      </w:r>
      <w:r>
        <w:rPr>
          <w:sz w:val="21"/>
        </w:rPr>
        <w:t>1m</w:t>
      </w:r>
      <w:r>
        <w:rPr>
          <w:spacing w:val="-9"/>
          <w:sz w:val="21"/>
        </w:rPr>
        <w:t> 长试样，一端与水源相接，另一端封闭固定，充水并排</w:t>
      </w:r>
    </w:p>
    <w:p>
      <w:pPr>
        <w:spacing w:after="0" w:line="268" w:lineRule="exact"/>
        <w:jc w:val="left"/>
        <w:rPr>
          <w:sz w:val="21"/>
        </w:rPr>
        <w:sectPr>
          <w:pgSz w:w="11910" w:h="16850"/>
          <w:pgMar w:header="0" w:footer="1239" w:top="1600" w:bottom="1420" w:left="1260" w:right="0"/>
        </w:sectPr>
      </w:pPr>
    </w:p>
    <w:p>
      <w:pPr>
        <w:pStyle w:val="BodyText"/>
        <w:spacing w:line="446" w:lineRule="auto" w:before="47"/>
        <w:ind w:left="840" w:right="4126" w:hanging="423"/>
        <w:rPr>
          <w:b/>
        </w:rPr>
      </w:pPr>
      <w:r>
        <w:rPr/>
        <w:t>尽空气后，逐渐升压至 2.4MPa，其结果应符合 5.6.6.2 的规定。</w:t>
      </w:r>
      <w:r>
        <w:rPr>
          <w:b/>
        </w:rPr>
        <w:t>6.6.7 </w:t>
      </w:r>
      <w:r>
        <w:rPr/>
        <w:t>消防软管卷盘进水控制阀的水压强度试验</w:t>
      </w:r>
      <w:r>
        <w:rPr>
          <w:b/>
          <w:w w:val="99"/>
        </w:rPr>
        <w:t> </w:t>
      </w:r>
    </w:p>
    <w:p>
      <w:pPr>
        <w:pStyle w:val="BodyText"/>
        <w:spacing w:line="446" w:lineRule="auto"/>
        <w:ind w:left="418" w:right="1609" w:firstLine="419"/>
      </w:pPr>
      <w:r>
        <w:rPr/>
        <w:t>将消防软管卷盘进水控制阀进水口与水压试验台相连，待腔内空气排除后封住出水口，压力逐渐上升至 2.4MPa 后，保压 2min，其结果应符合 5.6.7 规定。 </w:t>
      </w:r>
    </w:p>
    <w:p>
      <w:pPr>
        <w:pStyle w:val="ListParagraph"/>
        <w:numPr>
          <w:ilvl w:val="1"/>
          <w:numId w:val="324"/>
        </w:numPr>
        <w:tabs>
          <w:tab w:pos="1159" w:val="left" w:leader="none"/>
        </w:tabs>
        <w:spacing w:line="240" w:lineRule="auto" w:before="0" w:after="0"/>
        <w:ind w:left="1158" w:right="0" w:hanging="319"/>
        <w:jc w:val="left"/>
        <w:rPr>
          <w:sz w:val="21"/>
        </w:rPr>
      </w:pPr>
      <w:r>
        <w:rPr>
          <w:spacing w:val="-3"/>
          <w:sz w:val="21"/>
        </w:rPr>
        <w:t>电器设备性能检验</w:t>
      </w:r>
      <w:r>
        <w:rPr>
          <w:sz w:val="21"/>
        </w:rPr>
        <w:t> </w:t>
      </w:r>
    </w:p>
    <w:p>
      <w:pPr>
        <w:pStyle w:val="BodyText"/>
        <w:spacing w:before="10"/>
        <w:rPr>
          <w:sz w:val="17"/>
        </w:rPr>
      </w:pPr>
    </w:p>
    <w:p>
      <w:pPr>
        <w:pStyle w:val="ListParagraph"/>
        <w:numPr>
          <w:ilvl w:val="2"/>
          <w:numId w:val="324"/>
        </w:numPr>
        <w:tabs>
          <w:tab w:pos="1370" w:val="left" w:leader="none"/>
        </w:tabs>
        <w:spacing w:line="240" w:lineRule="auto" w:before="0" w:after="0"/>
        <w:ind w:left="1369" w:right="0" w:hanging="530"/>
        <w:jc w:val="left"/>
        <w:rPr>
          <w:b/>
          <w:sz w:val="21"/>
        </w:rPr>
      </w:pPr>
      <w:r>
        <w:rPr>
          <w:spacing w:val="-3"/>
          <w:sz w:val="21"/>
        </w:rPr>
        <w:t>绝缘电阻测定</w:t>
      </w:r>
      <w:r>
        <w:rPr>
          <w:b/>
          <w:w w:val="99"/>
          <w:sz w:val="21"/>
        </w:rPr>
        <w:t> </w:t>
      </w:r>
    </w:p>
    <w:p>
      <w:pPr>
        <w:pStyle w:val="BodyText"/>
        <w:spacing w:before="2"/>
        <w:rPr>
          <w:b/>
          <w:sz w:val="18"/>
        </w:rPr>
      </w:pPr>
    </w:p>
    <w:p>
      <w:pPr>
        <w:pStyle w:val="BodyText"/>
        <w:ind w:left="838"/>
      </w:pPr>
      <w:r>
        <w:rPr/>
        <w:t>试验设备应满足下列要求： </w:t>
      </w:r>
    </w:p>
    <w:p>
      <w:pPr>
        <w:pStyle w:val="BodyText"/>
        <w:rPr>
          <w:sz w:val="18"/>
        </w:rPr>
      </w:pPr>
    </w:p>
    <w:p>
      <w:pPr>
        <w:pStyle w:val="BodyText"/>
        <w:ind w:left="838"/>
      </w:pPr>
      <w:r>
        <w:rPr/>
        <w:t>试验电压：500Vd.c.士 50Vd.c.； </w:t>
      </w:r>
    </w:p>
    <w:p>
      <w:pPr>
        <w:pStyle w:val="BodyText"/>
        <w:spacing w:line="352" w:lineRule="auto" w:before="163"/>
        <w:ind w:left="838" w:right="7389"/>
      </w:pPr>
      <w:r>
        <w:rPr/>
        <w:t>测试范围：0</w:t>
      </w:r>
      <w:r>
        <w:rPr>
          <w:rFonts w:ascii="微软雅黑" w:hAnsi="微软雅黑" w:eastAsia="微软雅黑" w:hint="eastAsia"/>
        </w:rPr>
        <w:t>〜</w:t>
      </w:r>
      <w:r>
        <w:rPr/>
        <w:t>500 MΩ； 最小分度：0.1MΩ； </w:t>
      </w:r>
    </w:p>
    <w:p>
      <w:pPr>
        <w:pStyle w:val="BodyText"/>
        <w:spacing w:before="104"/>
        <w:ind w:left="838"/>
      </w:pPr>
      <w:r>
        <w:rPr/>
        <w:t>计时：60s 土 5s。 </w:t>
      </w:r>
    </w:p>
    <w:p>
      <w:pPr>
        <w:pStyle w:val="BodyText"/>
        <w:spacing w:before="12"/>
        <w:rPr>
          <w:sz w:val="17"/>
        </w:rPr>
      </w:pPr>
    </w:p>
    <w:p>
      <w:pPr>
        <w:pStyle w:val="BodyText"/>
        <w:ind w:left="838"/>
      </w:pPr>
      <w:r>
        <w:rPr/>
        <w:t>在不具备专用测试装置的条件下，也可用兆欧表或摇表测试。 </w:t>
      </w:r>
    </w:p>
    <w:p>
      <w:pPr>
        <w:pStyle w:val="BodyText"/>
        <w:spacing w:before="2"/>
        <w:rPr>
          <w:sz w:val="18"/>
        </w:rPr>
      </w:pPr>
    </w:p>
    <w:p>
      <w:pPr>
        <w:pStyle w:val="BodyText"/>
        <w:spacing w:line="446" w:lineRule="auto"/>
        <w:ind w:left="418" w:right="1506" w:firstLine="419"/>
      </w:pPr>
      <w:r>
        <w:rPr>
          <w:spacing w:val="-5"/>
        </w:rPr>
        <w:t>试验时，通过绝缘电阻试验装置，分别对试样被试的部位施加 </w:t>
      </w:r>
      <w:r>
        <w:rPr/>
        <w:t>500Vd.c</w:t>
      </w:r>
      <w:r>
        <w:rPr>
          <w:spacing w:val="-15"/>
        </w:rPr>
        <w:t>.士 </w:t>
      </w:r>
      <w:r>
        <w:rPr/>
        <w:t>50Vd.c</w:t>
      </w:r>
      <w:r>
        <w:rPr>
          <w:spacing w:val="-1"/>
        </w:rPr>
        <w:t>.直流电</w:t>
      </w:r>
      <w:r>
        <w:rPr>
          <w:spacing w:val="-11"/>
        </w:rPr>
        <w:t>压，持续 </w:t>
      </w:r>
      <w:r>
        <w:rPr/>
        <w:t>60s</w:t>
      </w:r>
      <w:r>
        <w:rPr>
          <w:spacing w:val="-30"/>
        </w:rPr>
        <w:t> 士 </w:t>
      </w:r>
      <w:r>
        <w:rPr/>
        <w:t>5s</w:t>
      </w:r>
      <w:r>
        <w:rPr>
          <w:spacing w:val="-8"/>
        </w:rPr>
        <w:t> 后，测量其绝缘电阻值。试验时，应保证接触点有可靠的接触，引线间的绝</w:t>
      </w:r>
      <w:r>
        <w:rPr>
          <w:spacing w:val="-5"/>
        </w:rPr>
        <w:t>缘电阻应足够大，以保证读数正确。</w:t>
      </w:r>
      <w:r>
        <w:rPr/>
        <w:t> </w:t>
      </w:r>
    </w:p>
    <w:p>
      <w:pPr>
        <w:spacing w:line="446" w:lineRule="auto" w:before="0"/>
        <w:ind w:left="840" w:right="6757" w:hanging="3"/>
        <w:jc w:val="left"/>
        <w:rPr>
          <w:b/>
          <w:sz w:val="21"/>
        </w:rPr>
      </w:pPr>
      <w:r>
        <w:rPr>
          <w:sz w:val="21"/>
        </w:rPr>
        <w:t>试验结果应符合 5.7.5 的要求。</w:t>
      </w:r>
      <w:r>
        <w:rPr>
          <w:b/>
          <w:sz w:val="21"/>
        </w:rPr>
        <w:t>6.7.2 </w:t>
      </w:r>
      <w:r>
        <w:rPr>
          <w:sz w:val="21"/>
        </w:rPr>
        <w:t>触点接触电阻测定</w:t>
      </w:r>
      <w:r>
        <w:rPr>
          <w:b/>
          <w:w w:val="99"/>
          <w:sz w:val="21"/>
        </w:rPr>
        <w:t> </w:t>
      </w:r>
    </w:p>
    <w:p>
      <w:pPr>
        <w:pStyle w:val="BodyText"/>
        <w:spacing w:line="446" w:lineRule="auto"/>
        <w:ind w:left="418" w:right="1608" w:firstLine="419"/>
        <w:jc w:val="both"/>
      </w:pPr>
      <w:r>
        <w:rPr/>
        <w:t>可用数字毫欧表，直接测量触点的接触电阻，也可用测触点间电压降的方法，换算出触点的接触电阻，同时用两种方法测量时，则选取数值较大者作为测试结果。测试结果取连续测量五次的平均值，并应符合 5.7.1 的要求。 </w:t>
      </w:r>
    </w:p>
    <w:p>
      <w:pPr>
        <w:spacing w:line="268" w:lineRule="exact" w:before="0"/>
        <w:ind w:left="840" w:right="0" w:firstLine="0"/>
        <w:jc w:val="left"/>
        <w:rPr>
          <w:b/>
          <w:sz w:val="21"/>
        </w:rPr>
      </w:pPr>
      <w:r>
        <w:rPr>
          <w:b/>
          <w:sz w:val="21"/>
        </w:rPr>
        <w:t>6.7.3 </w:t>
      </w:r>
      <w:r>
        <w:rPr>
          <w:sz w:val="21"/>
        </w:rPr>
        <w:t>外壳防护等级试验</w:t>
      </w:r>
      <w:r>
        <w:rPr>
          <w:b/>
          <w:w w:val="99"/>
          <w:sz w:val="21"/>
        </w:rPr>
        <w:t> </w:t>
      </w:r>
    </w:p>
    <w:p>
      <w:pPr>
        <w:pStyle w:val="BodyText"/>
        <w:spacing w:before="11"/>
        <w:rPr>
          <w:b/>
          <w:sz w:val="17"/>
        </w:rPr>
      </w:pPr>
    </w:p>
    <w:p>
      <w:pPr>
        <w:pStyle w:val="BodyText"/>
        <w:spacing w:line="446" w:lineRule="auto"/>
        <w:ind w:left="840" w:right="2768" w:hanging="3"/>
        <w:rPr>
          <w:b/>
        </w:rPr>
      </w:pPr>
      <w:r>
        <w:rPr>
          <w:spacing w:val="-26"/>
        </w:rPr>
        <w:t>按 </w:t>
      </w:r>
      <w:r>
        <w:rPr/>
        <w:t>GB/T 4942.2—1993</w:t>
      </w:r>
      <w:r>
        <w:rPr>
          <w:spacing w:val="-36"/>
        </w:rPr>
        <w:t> 中 </w:t>
      </w:r>
      <w:r>
        <w:rPr/>
        <w:t>8.2.1</w:t>
      </w:r>
      <w:r>
        <w:rPr>
          <w:spacing w:val="-12"/>
        </w:rPr>
        <w:t> 规定的方法进行。结果应符合 </w:t>
      </w:r>
      <w:r>
        <w:rPr/>
        <w:t>5.7.6</w:t>
      </w:r>
      <w:r>
        <w:rPr>
          <w:spacing w:val="-14"/>
        </w:rPr>
        <w:t> 规定。</w:t>
      </w:r>
      <w:r>
        <w:rPr>
          <w:b/>
          <w:spacing w:val="-14"/>
        </w:rPr>
        <w:t>6.8 </w:t>
      </w:r>
      <w:r>
        <w:rPr>
          <w:spacing w:val="-3"/>
        </w:rPr>
        <w:t>连接性能检验</w:t>
      </w:r>
      <w:r>
        <w:rPr>
          <w:b/>
          <w:w w:val="99"/>
        </w:rPr>
        <w:t> </w:t>
      </w:r>
    </w:p>
    <w:p>
      <w:pPr>
        <w:pStyle w:val="ListParagraph"/>
        <w:numPr>
          <w:ilvl w:val="2"/>
          <w:numId w:val="327"/>
        </w:numPr>
        <w:tabs>
          <w:tab w:pos="1370" w:val="left" w:leader="none"/>
        </w:tabs>
        <w:spacing w:line="446" w:lineRule="auto" w:before="0" w:after="0"/>
        <w:ind w:left="418" w:right="1558" w:firstLine="422"/>
        <w:jc w:val="both"/>
        <w:rPr>
          <w:sz w:val="21"/>
        </w:rPr>
      </w:pPr>
      <w:r>
        <w:rPr>
          <w:spacing w:val="-3"/>
          <w:sz w:val="21"/>
        </w:rPr>
        <w:t>将装好接口的消防水带全长平直放置，一端与室内消火栓连接，另一端连接带有开 关的水枪，室内消火栓与水力试验用给水管路连接。充水排气后关闭水枪，将压力逐渐上升至0.8MPa</w:t>
      </w:r>
      <w:r>
        <w:rPr>
          <w:spacing w:val="-13"/>
          <w:sz w:val="21"/>
        </w:rPr>
        <w:t>,保压 </w:t>
      </w:r>
      <w:r>
        <w:rPr>
          <w:sz w:val="21"/>
        </w:rPr>
        <w:t>5min,</w:t>
      </w:r>
      <w:r>
        <w:rPr>
          <w:spacing w:val="-6"/>
          <w:sz w:val="21"/>
        </w:rPr>
        <w:t> 然后迅速启闭水枪开关一次，保压 </w:t>
      </w:r>
      <w:r>
        <w:rPr>
          <w:sz w:val="21"/>
        </w:rPr>
        <w:t>2min</w:t>
      </w:r>
      <w:r>
        <w:rPr>
          <w:spacing w:val="-8"/>
          <w:sz w:val="21"/>
        </w:rPr>
        <w:t> 后，再迅速启闭水枪开关一次，检査水带与接口的连接部位，其结果应符合 </w:t>
      </w:r>
      <w:r>
        <w:rPr>
          <w:sz w:val="21"/>
        </w:rPr>
        <w:t>5.8.1</w:t>
      </w:r>
      <w:r>
        <w:rPr>
          <w:spacing w:val="-15"/>
          <w:sz w:val="21"/>
        </w:rPr>
        <w:t> 规定。</w:t>
      </w:r>
      <w:r>
        <w:rPr>
          <w:sz w:val="21"/>
        </w:rPr>
        <w:t> </w:t>
      </w:r>
    </w:p>
    <w:p>
      <w:pPr>
        <w:pStyle w:val="ListParagraph"/>
        <w:numPr>
          <w:ilvl w:val="2"/>
          <w:numId w:val="327"/>
        </w:numPr>
        <w:tabs>
          <w:tab w:pos="1371" w:val="left" w:leader="none"/>
        </w:tabs>
        <w:spacing w:line="240" w:lineRule="auto" w:before="0" w:after="0"/>
        <w:ind w:left="1370" w:right="0" w:hanging="531"/>
        <w:jc w:val="left"/>
        <w:rPr>
          <w:sz w:val="21"/>
        </w:rPr>
      </w:pPr>
      <w:r>
        <w:rPr>
          <w:spacing w:val="-3"/>
          <w:sz w:val="21"/>
        </w:rPr>
        <w:t>将装好接口的消防水带全长平直放置，一端与室内消火栓连接，另一端与箱内配置</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08"/>
        <w:jc w:val="both"/>
      </w:pPr>
      <w:r>
        <w:rPr>
          <w:spacing w:val="-3"/>
        </w:rPr>
        <w:t>的消防水枪相连，室内消火栓与水力试验用给水管路连接。充水排气后将水枪封闭，将压力逐</w:t>
      </w:r>
      <w:r>
        <w:rPr>
          <w:spacing w:val="-12"/>
        </w:rPr>
        <w:t>渐上升至 </w:t>
      </w:r>
      <w:r>
        <w:rPr/>
        <w:t>0.8MPa</w:t>
      </w:r>
      <w:r>
        <w:rPr>
          <w:spacing w:val="-7"/>
        </w:rPr>
        <w:t>， 保压 </w:t>
      </w:r>
      <w:r>
        <w:rPr/>
        <w:t>5min</w:t>
      </w:r>
      <w:r>
        <w:rPr>
          <w:spacing w:val="-3"/>
        </w:rPr>
        <w:t>，检査消火栓与消防水带接口之间、消防水带接口与消防水枪之</w:t>
      </w:r>
      <w:r>
        <w:rPr>
          <w:spacing w:val="-12"/>
        </w:rPr>
        <w:t>间，应符合 </w:t>
      </w:r>
      <w:r>
        <w:rPr/>
        <w:t>5.8.2</w:t>
      </w:r>
      <w:r>
        <w:rPr>
          <w:spacing w:val="-15"/>
        </w:rPr>
        <w:t> 规定。 </w:t>
      </w:r>
    </w:p>
    <w:p>
      <w:pPr>
        <w:spacing w:line="268" w:lineRule="exact" w:before="0"/>
        <w:ind w:left="840" w:right="0" w:firstLine="0"/>
        <w:jc w:val="left"/>
        <w:rPr>
          <w:b/>
          <w:sz w:val="21"/>
        </w:rPr>
      </w:pPr>
      <w:r>
        <w:rPr>
          <w:b/>
          <w:sz w:val="21"/>
        </w:rPr>
        <w:t>6.9 </w:t>
      </w:r>
      <w:r>
        <w:rPr>
          <w:sz w:val="21"/>
        </w:rPr>
        <w:t>喷射性能检验</w:t>
      </w:r>
      <w:r>
        <w:rPr>
          <w:b/>
          <w:w w:val="99"/>
          <w:sz w:val="21"/>
        </w:rPr>
        <w:t> </w:t>
      </w:r>
    </w:p>
    <w:p>
      <w:pPr>
        <w:pStyle w:val="BodyText"/>
        <w:rPr>
          <w:b/>
          <w:sz w:val="18"/>
        </w:rPr>
      </w:pPr>
    </w:p>
    <w:p>
      <w:pPr>
        <w:pStyle w:val="BodyText"/>
        <w:spacing w:line="446" w:lineRule="auto"/>
        <w:ind w:left="418" w:right="1558" w:firstLine="419"/>
      </w:pPr>
      <w:r>
        <w:rPr>
          <w:spacing w:val="-3"/>
        </w:rPr>
        <w:t>消火栓、消防水带、消防水枪按实际使用条件安装好，把水带全长平直放置，将水枪置于喷射架上，调整好水枪轴线与水平线的夹角（</w:t>
      </w:r>
      <w:r>
        <w:rPr>
          <w:spacing w:val="-2"/>
        </w:rPr>
        <w:t>仰角</w:t>
      </w:r>
      <w:r>
        <w:rPr/>
        <w:t>）</w:t>
      </w:r>
      <w:r>
        <w:rPr>
          <w:spacing w:val="-9"/>
        </w:rPr>
        <w:t>小于 </w:t>
      </w:r>
      <w:r>
        <w:rPr/>
        <w:t>30</w:t>
      </w:r>
      <w:r>
        <w:rPr>
          <w:spacing w:val="-3"/>
        </w:rPr>
        <w:t>°，调整喷嘴出口端中心至地面的</w:t>
      </w:r>
      <w:r>
        <w:rPr>
          <w:spacing w:val="-14"/>
        </w:rPr>
        <w:t>高度到 </w:t>
      </w:r>
      <w:r>
        <w:rPr/>
        <w:t>1m</w:t>
      </w:r>
      <w:r>
        <w:rPr>
          <w:spacing w:val="-33"/>
        </w:rPr>
        <w:t> 士 </w:t>
      </w:r>
      <w:r>
        <w:rPr/>
        <w:t>0.01m</w:t>
      </w:r>
      <w:r>
        <w:rPr>
          <w:spacing w:val="-6"/>
        </w:rPr>
        <w:t>。 顺风向布置，要求外界风速小于 </w:t>
      </w:r>
      <w:r>
        <w:rPr/>
        <w:t>3m/s</w:t>
      </w:r>
      <w:r>
        <w:rPr>
          <w:spacing w:val="-3"/>
        </w:rPr>
        <w:t>。启动水泵，调整工作压力，当消</w:t>
      </w:r>
      <w:r>
        <w:rPr>
          <w:spacing w:val="-9"/>
        </w:rPr>
        <w:t>火栓进口压力达到 </w:t>
      </w:r>
      <w:r>
        <w:rPr/>
        <w:t>0.35MPa</w:t>
      </w:r>
      <w:r>
        <w:rPr>
          <w:spacing w:val="-11"/>
        </w:rPr>
        <w:t> 时，连续喷射，测量由水枪喷嘴起到射流 </w:t>
      </w:r>
      <w:r>
        <w:rPr/>
        <w:t>90</w:t>
      </w:r>
      <w:r>
        <w:rPr>
          <w:spacing w:val="-3"/>
        </w:rPr>
        <w:t>%水柱水量穿过直径38cm</w:t>
      </w:r>
      <w:r>
        <w:rPr>
          <w:spacing w:val="-9"/>
        </w:rPr>
        <w:t> 圆圈处的一段射流长度</w:t>
      </w:r>
      <w:r>
        <w:rPr/>
        <w:t>（</w:t>
      </w:r>
      <w:r>
        <w:rPr>
          <w:spacing w:val="-3"/>
        </w:rPr>
        <w:t>即为充实水柱)在地面上的投影距离。</w:t>
      </w:r>
      <w:r>
        <w:rPr/>
        <w:t> </w:t>
      </w:r>
    </w:p>
    <w:p>
      <w:pPr>
        <w:pStyle w:val="BodyText"/>
        <w:spacing w:line="268" w:lineRule="exact"/>
        <w:ind w:left="838"/>
      </w:pPr>
      <w:r>
        <w:rPr/>
        <w:t>充实水柱计算公式： </w:t>
      </w:r>
    </w:p>
    <w:p>
      <w:pPr>
        <w:pStyle w:val="BodyText"/>
        <w:spacing w:before="4"/>
        <w:rPr>
          <w:sz w:val="25"/>
        </w:rPr>
      </w:pPr>
      <w:r>
        <w:rPr/>
        <w:drawing>
          <wp:anchor distT="0" distB="0" distL="0" distR="0" allowOverlap="1" layoutInCell="1" locked="0" behindDoc="0" simplePos="0" relativeHeight="116">
            <wp:simplePos x="0" y="0"/>
            <wp:positionH relativeFrom="page">
              <wp:posOffset>1713229</wp:posOffset>
            </wp:positionH>
            <wp:positionV relativeFrom="paragraph">
              <wp:posOffset>230917</wp:posOffset>
            </wp:positionV>
            <wp:extent cx="3124199" cy="1143000"/>
            <wp:effectExtent l="0" t="0" r="0" b="0"/>
            <wp:wrapTopAndBottom/>
            <wp:docPr id="267" name="image164.jpeg"/>
            <wp:cNvGraphicFramePr>
              <a:graphicFrameLocks noChangeAspect="1"/>
            </wp:cNvGraphicFramePr>
            <a:graphic>
              <a:graphicData uri="http://schemas.openxmlformats.org/drawingml/2006/picture">
                <pic:pic>
                  <pic:nvPicPr>
                    <pic:cNvPr id="268" name="image164.jpeg"/>
                    <pic:cNvPicPr/>
                  </pic:nvPicPr>
                  <pic:blipFill>
                    <a:blip r:embed="rId181" cstate="print"/>
                    <a:stretch>
                      <a:fillRect/>
                    </a:stretch>
                  </pic:blipFill>
                  <pic:spPr>
                    <a:xfrm>
                      <a:off x="0" y="0"/>
                      <a:ext cx="3124199" cy="1143000"/>
                    </a:xfrm>
                    <a:prstGeom prst="rect">
                      <a:avLst/>
                    </a:prstGeom>
                  </pic:spPr>
                </pic:pic>
              </a:graphicData>
            </a:graphic>
          </wp:anchor>
        </w:drawing>
      </w:r>
    </w:p>
    <w:p>
      <w:pPr>
        <w:pStyle w:val="BodyText"/>
        <w:rPr>
          <w:sz w:val="20"/>
        </w:rPr>
      </w:pPr>
    </w:p>
    <w:p>
      <w:pPr>
        <w:pStyle w:val="BodyText"/>
        <w:rPr>
          <w:sz w:val="20"/>
        </w:rPr>
      </w:pPr>
    </w:p>
    <w:p>
      <w:pPr>
        <w:pStyle w:val="BodyText"/>
        <w:spacing w:before="6"/>
        <w:rPr>
          <w:sz w:val="16"/>
        </w:rPr>
      </w:pPr>
    </w:p>
    <w:p>
      <w:pPr>
        <w:pStyle w:val="BodyText"/>
        <w:ind w:left="838"/>
      </w:pPr>
      <w:r>
        <w:rPr/>
        <w:t>流量值可以从流量计上读得。 </w:t>
      </w:r>
    </w:p>
    <w:p>
      <w:pPr>
        <w:pStyle w:val="BodyText"/>
        <w:spacing w:before="12"/>
        <w:rPr>
          <w:sz w:val="17"/>
        </w:rPr>
      </w:pPr>
    </w:p>
    <w:p>
      <w:pPr>
        <w:pStyle w:val="BodyText"/>
        <w:spacing w:line="446" w:lineRule="auto"/>
        <w:ind w:left="840" w:right="5497" w:hanging="3"/>
        <w:rPr>
          <w:b/>
        </w:rPr>
      </w:pPr>
      <w:r>
        <w:rPr/>
        <w:t>充实水柱和流量的测量结果应符合 5.9 规定。</w:t>
      </w:r>
      <w:r>
        <w:rPr>
          <w:b/>
        </w:rPr>
        <w:t>6.10 </w:t>
      </w:r>
      <w:r>
        <w:rPr/>
        <w:t>外观检验</w:t>
      </w:r>
      <w:r>
        <w:rPr>
          <w:b/>
          <w:w w:val="99"/>
        </w:rPr>
        <w:t> </w:t>
      </w:r>
    </w:p>
    <w:p>
      <w:pPr>
        <w:pStyle w:val="BodyText"/>
        <w:spacing w:line="446" w:lineRule="auto"/>
        <w:ind w:left="840" w:right="1613" w:hanging="3"/>
        <w:rPr>
          <w:b/>
        </w:rPr>
      </w:pPr>
      <w:r>
        <w:rPr/>
        <w:t>利用目视和通用量具，对箱体进行外观质量及外形尺寸检査，其结果应符合 5.10 规定。</w:t>
      </w:r>
      <w:r>
        <w:rPr>
          <w:b/>
        </w:rPr>
        <w:t>6.11 </w:t>
      </w:r>
      <w:r>
        <w:rPr/>
        <w:t>箱体刚度检验</w:t>
      </w:r>
      <w:r>
        <w:rPr>
          <w:b/>
          <w:w w:val="99"/>
        </w:rPr>
        <w:t> </w:t>
      </w:r>
    </w:p>
    <w:p>
      <w:pPr>
        <w:spacing w:before="1"/>
        <w:ind w:left="840" w:right="0" w:firstLine="0"/>
        <w:jc w:val="left"/>
        <w:rPr>
          <w:b/>
          <w:sz w:val="21"/>
        </w:rPr>
      </w:pPr>
      <w:r>
        <w:rPr>
          <w:b/>
          <w:sz w:val="21"/>
        </w:rPr>
        <w:t>6.11.1 </w:t>
      </w:r>
      <w:r>
        <w:rPr>
          <w:sz w:val="21"/>
        </w:rPr>
        <w:t>试验准备</w:t>
      </w:r>
      <w:r>
        <w:rPr>
          <w:b/>
          <w:w w:val="99"/>
          <w:sz w:val="21"/>
        </w:rPr>
        <w:t> </w:t>
      </w:r>
    </w:p>
    <w:p>
      <w:pPr>
        <w:pStyle w:val="BodyText"/>
        <w:spacing w:before="12"/>
        <w:rPr>
          <w:b/>
          <w:sz w:val="17"/>
        </w:rPr>
      </w:pPr>
    </w:p>
    <w:p>
      <w:pPr>
        <w:pStyle w:val="BodyText"/>
        <w:spacing w:line="446" w:lineRule="auto"/>
        <w:ind w:left="840" w:right="3923" w:hanging="3"/>
        <w:rPr>
          <w:b/>
        </w:rPr>
      </w:pPr>
      <w:r>
        <w:rPr/>
        <w:t>试验准备同 6.6.2.1。测量质量和长度的器具精度不低于 1‰。</w:t>
      </w:r>
      <w:r>
        <w:rPr>
          <w:b/>
        </w:rPr>
        <w:t>6.11.2 </w:t>
      </w:r>
      <w:r>
        <w:rPr/>
        <w:t>配置消防软管卷盘栓箱的试验</w:t>
      </w:r>
      <w:r>
        <w:rPr>
          <w:b/>
          <w:w w:val="99"/>
        </w:rPr>
        <w:t> </w:t>
      </w:r>
    </w:p>
    <w:p>
      <w:pPr>
        <w:pStyle w:val="BodyText"/>
        <w:spacing w:line="446" w:lineRule="auto"/>
        <w:ind w:left="838" w:right="2348"/>
      </w:pPr>
      <w:r>
        <w:rPr>
          <w:spacing w:val="-10"/>
        </w:rPr>
        <w:t>试验时按图 </w:t>
      </w:r>
      <w:r>
        <w:rPr/>
        <w:t>8</w:t>
      </w:r>
      <w:r>
        <w:rPr>
          <w:spacing w:val="-14"/>
        </w:rPr>
        <w:t> 所示，重锤静载 </w:t>
      </w:r>
      <w:r>
        <w:rPr/>
        <w:t>5min</w:t>
      </w:r>
      <w:r>
        <w:rPr>
          <w:spacing w:val="-12"/>
        </w:rPr>
        <w:t> 后，检査箱体变形情况应符合 </w:t>
      </w:r>
      <w:r>
        <w:rPr/>
        <w:t>5.12.1</w:t>
      </w:r>
      <w:r>
        <w:rPr>
          <w:spacing w:val="-15"/>
        </w:rPr>
        <w:t> 规定。</w:t>
      </w:r>
      <w:r>
        <w:rPr>
          <w:spacing w:val="-6"/>
        </w:rPr>
        <w:t>重锤质量按式(</w:t>
      </w:r>
      <w:r>
        <w:rPr/>
        <w:t>1</w:t>
      </w:r>
      <w:r>
        <w:rPr>
          <w:spacing w:val="-2"/>
        </w:rPr>
        <w:t>)计算： </w:t>
      </w:r>
    </w:p>
    <w:p>
      <w:pPr>
        <w:spacing w:after="0" w:line="446" w:lineRule="auto"/>
        <w:sectPr>
          <w:pgSz w:w="11910" w:h="16850"/>
          <w:pgMar w:header="0" w:footer="1239" w:top="1220" w:bottom="1420" w:left="1260" w:right="0"/>
        </w:sectPr>
      </w:pPr>
    </w:p>
    <w:p>
      <w:pPr>
        <w:pStyle w:val="BodyText"/>
        <w:ind w:left="983"/>
        <w:rPr>
          <w:sz w:val="20"/>
        </w:rPr>
      </w:pPr>
      <w:r>
        <w:rPr>
          <w:sz w:val="20"/>
        </w:rPr>
        <w:drawing>
          <wp:inline distT="0" distB="0" distL="0" distR="0">
            <wp:extent cx="4794567" cy="1139190"/>
            <wp:effectExtent l="0" t="0" r="0" b="0"/>
            <wp:docPr id="269" name="image165.jpeg"/>
            <wp:cNvGraphicFramePr>
              <a:graphicFrameLocks noChangeAspect="1"/>
            </wp:cNvGraphicFramePr>
            <a:graphic>
              <a:graphicData uri="http://schemas.openxmlformats.org/drawingml/2006/picture">
                <pic:pic>
                  <pic:nvPicPr>
                    <pic:cNvPr id="270" name="image165.jpeg"/>
                    <pic:cNvPicPr/>
                  </pic:nvPicPr>
                  <pic:blipFill>
                    <a:blip r:embed="rId182" cstate="print"/>
                    <a:stretch>
                      <a:fillRect/>
                    </a:stretch>
                  </pic:blipFill>
                  <pic:spPr>
                    <a:xfrm>
                      <a:off x="0" y="0"/>
                      <a:ext cx="4794567" cy="113919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6"/>
        </w:rPr>
      </w:pPr>
      <w:r>
        <w:rPr/>
        <w:drawing>
          <wp:anchor distT="0" distB="0" distL="0" distR="0" allowOverlap="1" layoutInCell="1" locked="0" behindDoc="0" simplePos="0" relativeHeight="117">
            <wp:simplePos x="0" y="0"/>
            <wp:positionH relativeFrom="page">
              <wp:posOffset>1637029</wp:posOffset>
            </wp:positionH>
            <wp:positionV relativeFrom="paragraph">
              <wp:posOffset>160686</wp:posOffset>
            </wp:positionV>
            <wp:extent cx="3962799" cy="3767328"/>
            <wp:effectExtent l="0" t="0" r="0" b="0"/>
            <wp:wrapTopAndBottom/>
            <wp:docPr id="271" name="image166.jpeg"/>
            <wp:cNvGraphicFramePr>
              <a:graphicFrameLocks noChangeAspect="1"/>
            </wp:cNvGraphicFramePr>
            <a:graphic>
              <a:graphicData uri="http://schemas.openxmlformats.org/drawingml/2006/picture">
                <pic:pic>
                  <pic:nvPicPr>
                    <pic:cNvPr id="272" name="image166.jpeg"/>
                    <pic:cNvPicPr/>
                  </pic:nvPicPr>
                  <pic:blipFill>
                    <a:blip r:embed="rId183" cstate="print"/>
                    <a:stretch>
                      <a:fillRect/>
                    </a:stretch>
                  </pic:blipFill>
                  <pic:spPr>
                    <a:xfrm>
                      <a:off x="0" y="0"/>
                      <a:ext cx="3962799" cy="3767328"/>
                    </a:xfrm>
                    <a:prstGeom prst="rect">
                      <a:avLst/>
                    </a:prstGeom>
                  </pic:spPr>
                </pic:pic>
              </a:graphicData>
            </a:graphic>
          </wp:anchor>
        </w:drawing>
      </w:r>
    </w:p>
    <w:p>
      <w:pPr>
        <w:pStyle w:val="BodyText"/>
        <w:rPr>
          <w:sz w:val="9"/>
        </w:rPr>
      </w:pPr>
    </w:p>
    <w:p>
      <w:pPr>
        <w:pStyle w:val="Heading6"/>
        <w:spacing w:before="71"/>
        <w:ind w:left="3205"/>
      </w:pPr>
      <w:r>
        <w:rPr/>
        <w:t>图 8 消防软管卷盘栓箱的刚度试验</w:t>
      </w:r>
      <w:r>
        <w:rPr>
          <w:w w:val="99"/>
        </w:rPr>
        <w:t> </w:t>
      </w:r>
    </w:p>
    <w:p>
      <w:pPr>
        <w:pStyle w:val="BodyText"/>
        <w:rPr>
          <w:b/>
          <w:sz w:val="20"/>
        </w:rPr>
      </w:pPr>
    </w:p>
    <w:p>
      <w:pPr>
        <w:pStyle w:val="BodyText"/>
        <w:rPr>
          <w:b/>
          <w:sz w:val="20"/>
        </w:rPr>
      </w:pPr>
    </w:p>
    <w:p>
      <w:pPr>
        <w:pStyle w:val="BodyText"/>
        <w:spacing w:before="2"/>
        <w:rPr>
          <w:b/>
          <w:sz w:val="17"/>
        </w:rPr>
      </w:pPr>
    </w:p>
    <w:p>
      <w:pPr>
        <w:pStyle w:val="ListParagraph"/>
        <w:numPr>
          <w:ilvl w:val="2"/>
          <w:numId w:val="328"/>
        </w:numPr>
        <w:tabs>
          <w:tab w:pos="1478" w:val="left" w:leader="none"/>
        </w:tabs>
        <w:spacing w:line="240" w:lineRule="auto" w:before="0" w:after="0"/>
        <w:ind w:left="1477" w:right="0" w:hanging="638"/>
        <w:jc w:val="left"/>
        <w:rPr>
          <w:b/>
          <w:sz w:val="21"/>
        </w:rPr>
      </w:pPr>
      <w:r>
        <w:rPr>
          <w:spacing w:val="-3"/>
          <w:sz w:val="21"/>
        </w:rPr>
        <w:t>挂置式、托架式栓箱的试验</w:t>
      </w:r>
      <w:r>
        <w:rPr>
          <w:b/>
          <w:w w:val="99"/>
          <w:sz w:val="21"/>
        </w:rPr>
        <w:t> </w:t>
      </w:r>
    </w:p>
    <w:p>
      <w:pPr>
        <w:pStyle w:val="BodyText"/>
        <w:spacing w:before="12"/>
        <w:rPr>
          <w:b/>
          <w:sz w:val="17"/>
        </w:rPr>
      </w:pPr>
    </w:p>
    <w:p>
      <w:pPr>
        <w:pStyle w:val="BodyText"/>
        <w:spacing w:line="446" w:lineRule="auto"/>
        <w:ind w:left="418" w:right="1510" w:firstLine="419"/>
      </w:pPr>
      <w:r>
        <w:rPr>
          <w:spacing w:val="-10"/>
        </w:rPr>
        <w:t>试验时按图 </w:t>
      </w:r>
      <w:r>
        <w:rPr/>
        <w:t>9</w:t>
      </w:r>
      <w:r>
        <w:rPr>
          <w:spacing w:val="-26"/>
        </w:rPr>
        <w:t> 或图 </w:t>
      </w:r>
      <w:r>
        <w:rPr/>
        <w:t>10</w:t>
      </w:r>
      <w:r>
        <w:rPr>
          <w:spacing w:val="-14"/>
        </w:rPr>
        <w:t> 所示，重锤静载 </w:t>
      </w:r>
      <w:r>
        <w:rPr/>
        <w:t>5min</w:t>
      </w:r>
      <w:r>
        <w:rPr>
          <w:spacing w:val="-12"/>
        </w:rPr>
        <w:t> 后，检査箱体变形情况应符合 </w:t>
      </w:r>
      <w:r>
        <w:rPr/>
        <w:t>5.12.2</w:t>
      </w:r>
      <w:r>
        <w:rPr>
          <w:spacing w:val="-12"/>
        </w:rPr>
        <w:t> 规定。重</w:t>
      </w:r>
      <w:r>
        <w:rPr>
          <w:spacing w:val="-7"/>
        </w:rPr>
        <w:t>锤质量按式</w:t>
      </w:r>
      <w:r>
        <w:rPr/>
        <w:t>(2</w:t>
      </w:r>
      <w:r>
        <w:rPr>
          <w:spacing w:val="-2"/>
        </w:rPr>
        <w:t>)计算：</w:t>
      </w:r>
      <w:r>
        <w:rPr/>
        <w:t> </w:t>
      </w:r>
    </w:p>
    <w:p>
      <w:pPr>
        <w:pStyle w:val="BodyText"/>
        <w:rPr>
          <w:sz w:val="20"/>
        </w:rPr>
      </w:pPr>
    </w:p>
    <w:p>
      <w:pPr>
        <w:pStyle w:val="BodyText"/>
        <w:rPr>
          <w:sz w:val="19"/>
        </w:rPr>
      </w:pPr>
    </w:p>
    <w:p>
      <w:pPr>
        <w:pStyle w:val="BodyText"/>
        <w:ind w:left="838"/>
      </w:pPr>
      <w:r>
        <w:rPr>
          <w:w w:val="100"/>
        </w:rPr>
        <w:t> </w:t>
      </w:r>
    </w:p>
    <w:p>
      <w:pPr>
        <w:spacing w:after="0"/>
        <w:sectPr>
          <w:pgSz w:w="11910" w:h="16850"/>
          <w:pgMar w:header="0" w:footer="1239" w:top="1280" w:bottom="1420" w:left="1260" w:right="0"/>
        </w:sectPr>
      </w:pPr>
    </w:p>
    <w:p>
      <w:pPr>
        <w:pStyle w:val="BodyText"/>
        <w:ind w:left="987"/>
        <w:rPr>
          <w:sz w:val="20"/>
        </w:rPr>
      </w:pPr>
      <w:r>
        <w:rPr>
          <w:sz w:val="20"/>
        </w:rPr>
        <w:pict>
          <v:group style="width:359.3pt;height:346.5pt;mso-position-horizontal-relative:char;mso-position-vertical-relative:line" coordorigin="0,0" coordsize="7186,6930">
            <v:shape style="position:absolute;left:0;top:0;width:7186;height:1315" type="#_x0000_t75" stroked="false">
              <v:imagedata r:id="rId184" o:title=""/>
            </v:shape>
            <v:shape style="position:absolute;left:180;top:1210;width:6430;height:5720" type="#_x0000_t75" stroked="false">
              <v:imagedata r:id="rId185" o:title=""/>
            </v:shape>
          </v:group>
        </w:pict>
      </w:r>
      <w:r>
        <w:rPr>
          <w:sz w:val="20"/>
        </w:rPr>
      </w:r>
    </w:p>
    <w:p>
      <w:pPr>
        <w:pStyle w:val="BodyText"/>
        <w:spacing w:before="6"/>
        <w:rPr>
          <w:sz w:val="18"/>
        </w:rPr>
      </w:pPr>
      <w:r>
        <w:rPr/>
        <w:drawing>
          <wp:anchor distT="0" distB="0" distL="0" distR="0" allowOverlap="1" layoutInCell="1" locked="0" behindDoc="0" simplePos="0" relativeHeight="119">
            <wp:simplePos x="0" y="0"/>
            <wp:positionH relativeFrom="page">
              <wp:posOffset>1637029</wp:posOffset>
            </wp:positionH>
            <wp:positionV relativeFrom="paragraph">
              <wp:posOffset>175141</wp:posOffset>
            </wp:positionV>
            <wp:extent cx="3378196" cy="2876550"/>
            <wp:effectExtent l="0" t="0" r="0" b="0"/>
            <wp:wrapTopAndBottom/>
            <wp:docPr id="273" name="image169.jpeg"/>
            <wp:cNvGraphicFramePr>
              <a:graphicFrameLocks noChangeAspect="1"/>
            </wp:cNvGraphicFramePr>
            <a:graphic>
              <a:graphicData uri="http://schemas.openxmlformats.org/drawingml/2006/picture">
                <pic:pic>
                  <pic:nvPicPr>
                    <pic:cNvPr id="274" name="image169.jpeg"/>
                    <pic:cNvPicPr/>
                  </pic:nvPicPr>
                  <pic:blipFill>
                    <a:blip r:embed="rId186" cstate="print"/>
                    <a:stretch>
                      <a:fillRect/>
                    </a:stretch>
                  </pic:blipFill>
                  <pic:spPr>
                    <a:xfrm>
                      <a:off x="0" y="0"/>
                      <a:ext cx="3378196" cy="287655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spacing w:before="3"/>
        <w:rPr>
          <w:sz w:val="25"/>
        </w:rPr>
      </w:pPr>
    </w:p>
    <w:p>
      <w:pPr>
        <w:pStyle w:val="ListParagraph"/>
        <w:numPr>
          <w:ilvl w:val="2"/>
          <w:numId w:val="328"/>
        </w:numPr>
        <w:tabs>
          <w:tab w:pos="1478" w:val="left" w:leader="none"/>
        </w:tabs>
        <w:spacing w:line="240" w:lineRule="auto" w:before="72" w:after="0"/>
        <w:ind w:left="1477" w:right="0" w:hanging="638"/>
        <w:jc w:val="left"/>
        <w:rPr>
          <w:b/>
          <w:sz w:val="21"/>
        </w:rPr>
      </w:pPr>
      <w:r>
        <w:rPr>
          <w:spacing w:val="-3"/>
          <w:sz w:val="21"/>
        </w:rPr>
        <w:t>盘卷式栓箱的试验</w:t>
      </w:r>
      <w:r>
        <w:rPr>
          <w:b/>
          <w:w w:val="99"/>
          <w:sz w:val="21"/>
        </w:rPr>
        <w:t> </w:t>
      </w:r>
    </w:p>
    <w:p>
      <w:pPr>
        <w:spacing w:after="0" w:line="240" w:lineRule="auto"/>
        <w:jc w:val="left"/>
        <w:rPr>
          <w:sz w:val="21"/>
        </w:rPr>
        <w:sectPr>
          <w:pgSz w:w="11910" w:h="16850"/>
          <w:pgMar w:header="0" w:footer="1239" w:top="1500" w:bottom="1420" w:left="1260" w:right="0"/>
        </w:sectPr>
      </w:pPr>
    </w:p>
    <w:p>
      <w:pPr>
        <w:pStyle w:val="BodyText"/>
        <w:spacing w:line="446" w:lineRule="auto" w:before="47"/>
        <w:ind w:left="418" w:right="1507" w:firstLine="419"/>
      </w:pPr>
      <w:r>
        <w:rPr/>
        <w:drawing>
          <wp:anchor distT="0" distB="0" distL="0" distR="0" allowOverlap="1" layoutInCell="1" locked="0" behindDoc="0" simplePos="0" relativeHeight="120">
            <wp:simplePos x="0" y="0"/>
            <wp:positionH relativeFrom="page">
              <wp:posOffset>2237104</wp:posOffset>
            </wp:positionH>
            <wp:positionV relativeFrom="paragraph">
              <wp:posOffset>683005</wp:posOffset>
            </wp:positionV>
            <wp:extent cx="3429000" cy="381000"/>
            <wp:effectExtent l="0" t="0" r="0" b="0"/>
            <wp:wrapTopAndBottom/>
            <wp:docPr id="275" name="image170.jpeg"/>
            <wp:cNvGraphicFramePr>
              <a:graphicFrameLocks noChangeAspect="1"/>
            </wp:cNvGraphicFramePr>
            <a:graphic>
              <a:graphicData uri="http://schemas.openxmlformats.org/drawingml/2006/picture">
                <pic:pic>
                  <pic:nvPicPr>
                    <pic:cNvPr id="276" name="image170.jpeg"/>
                    <pic:cNvPicPr/>
                  </pic:nvPicPr>
                  <pic:blipFill>
                    <a:blip r:embed="rId187" cstate="print"/>
                    <a:stretch>
                      <a:fillRect/>
                    </a:stretch>
                  </pic:blipFill>
                  <pic:spPr>
                    <a:xfrm>
                      <a:off x="0" y="0"/>
                      <a:ext cx="3429000" cy="381000"/>
                    </a:xfrm>
                    <a:prstGeom prst="rect">
                      <a:avLst/>
                    </a:prstGeom>
                  </pic:spPr>
                </pic:pic>
              </a:graphicData>
            </a:graphic>
          </wp:anchor>
        </w:drawing>
      </w:r>
      <w:r>
        <w:rPr>
          <w:spacing w:val="-10"/>
        </w:rPr>
        <w:t>试验时按图 </w:t>
      </w:r>
      <w:r>
        <w:rPr/>
        <w:t>11</w:t>
      </w:r>
      <w:r>
        <w:rPr>
          <w:spacing w:val="-14"/>
        </w:rPr>
        <w:t> 所示，重锤静载 </w:t>
      </w:r>
      <w:r>
        <w:rPr/>
        <w:t>5min</w:t>
      </w:r>
      <w:r>
        <w:rPr>
          <w:spacing w:val="-11"/>
        </w:rPr>
        <w:t> 后，检査箱体变形情况应符合 </w:t>
      </w:r>
      <w:r>
        <w:rPr/>
        <w:t>5.12.2</w:t>
      </w:r>
      <w:r>
        <w:rPr>
          <w:spacing w:val="-9"/>
        </w:rPr>
        <w:t> 规定。重锤质量按式(3</w:t>
      </w:r>
      <w:r>
        <w:rPr>
          <w:spacing w:val="-4"/>
        </w:rPr>
        <w:t>)计算：</w:t>
      </w:r>
      <w:r>
        <w:rPr/>
        <w:t> </w:t>
      </w:r>
    </w:p>
    <w:p>
      <w:pPr>
        <w:pStyle w:val="BodyText"/>
        <w:rPr>
          <w:sz w:val="20"/>
        </w:rPr>
      </w:pPr>
    </w:p>
    <w:p>
      <w:pPr>
        <w:pStyle w:val="BodyText"/>
        <w:spacing w:before="12"/>
        <w:rPr>
          <w:sz w:val="10"/>
        </w:rPr>
      </w:pPr>
      <w:r>
        <w:rPr/>
        <w:drawing>
          <wp:anchor distT="0" distB="0" distL="0" distR="0" allowOverlap="1" layoutInCell="1" locked="0" behindDoc="0" simplePos="0" relativeHeight="121">
            <wp:simplePos x="0" y="0"/>
            <wp:positionH relativeFrom="page">
              <wp:posOffset>2475229</wp:posOffset>
            </wp:positionH>
            <wp:positionV relativeFrom="paragraph">
              <wp:posOffset>114141</wp:posOffset>
            </wp:positionV>
            <wp:extent cx="2895599" cy="609600"/>
            <wp:effectExtent l="0" t="0" r="0" b="0"/>
            <wp:wrapTopAndBottom/>
            <wp:docPr id="277" name="image171.jpeg"/>
            <wp:cNvGraphicFramePr>
              <a:graphicFrameLocks noChangeAspect="1"/>
            </wp:cNvGraphicFramePr>
            <a:graphic>
              <a:graphicData uri="http://schemas.openxmlformats.org/drawingml/2006/picture">
                <pic:pic>
                  <pic:nvPicPr>
                    <pic:cNvPr id="278" name="image171.jpeg"/>
                    <pic:cNvPicPr/>
                  </pic:nvPicPr>
                  <pic:blipFill>
                    <a:blip r:embed="rId188" cstate="print"/>
                    <a:stretch>
                      <a:fillRect/>
                    </a:stretch>
                  </pic:blipFill>
                  <pic:spPr>
                    <a:xfrm>
                      <a:off x="0" y="0"/>
                      <a:ext cx="2895599" cy="609600"/>
                    </a:xfrm>
                    <a:prstGeom prst="rect">
                      <a:avLst/>
                    </a:prstGeom>
                  </pic:spPr>
                </pic:pic>
              </a:graphicData>
            </a:graphic>
          </wp:anchor>
        </w:drawing>
      </w:r>
      <w:r>
        <w:rPr/>
        <w:drawing>
          <wp:anchor distT="0" distB="0" distL="0" distR="0" allowOverlap="1" layoutInCell="1" locked="0" behindDoc="0" simplePos="0" relativeHeight="122">
            <wp:simplePos x="0" y="0"/>
            <wp:positionH relativeFrom="page">
              <wp:posOffset>1646554</wp:posOffset>
            </wp:positionH>
            <wp:positionV relativeFrom="paragraph">
              <wp:posOffset>880586</wp:posOffset>
            </wp:positionV>
            <wp:extent cx="3886200" cy="3581400"/>
            <wp:effectExtent l="0" t="0" r="0" b="0"/>
            <wp:wrapTopAndBottom/>
            <wp:docPr id="279" name="image172.jpeg"/>
            <wp:cNvGraphicFramePr>
              <a:graphicFrameLocks noChangeAspect="1"/>
            </wp:cNvGraphicFramePr>
            <a:graphic>
              <a:graphicData uri="http://schemas.openxmlformats.org/drawingml/2006/picture">
                <pic:pic>
                  <pic:nvPicPr>
                    <pic:cNvPr id="280" name="image172.jpeg"/>
                    <pic:cNvPicPr/>
                  </pic:nvPicPr>
                  <pic:blipFill>
                    <a:blip r:embed="rId189" cstate="print"/>
                    <a:stretch>
                      <a:fillRect/>
                    </a:stretch>
                  </pic:blipFill>
                  <pic:spPr>
                    <a:xfrm>
                      <a:off x="0" y="0"/>
                      <a:ext cx="3886200" cy="3581400"/>
                    </a:xfrm>
                    <a:prstGeom prst="rect">
                      <a:avLst/>
                    </a:prstGeom>
                  </pic:spPr>
                </pic:pic>
              </a:graphicData>
            </a:graphic>
          </wp:anchor>
        </w:drawing>
      </w:r>
    </w:p>
    <w:p>
      <w:pPr>
        <w:pStyle w:val="BodyText"/>
        <w:spacing w:before="12"/>
        <w:rPr>
          <w:sz w:val="13"/>
        </w:rPr>
      </w:pPr>
    </w:p>
    <w:p>
      <w:pPr>
        <w:pStyle w:val="BodyText"/>
        <w:rPr>
          <w:sz w:val="20"/>
        </w:rPr>
      </w:pPr>
    </w:p>
    <w:p>
      <w:pPr>
        <w:pStyle w:val="BodyText"/>
        <w:rPr>
          <w:sz w:val="20"/>
        </w:rPr>
      </w:pPr>
    </w:p>
    <w:p>
      <w:pPr>
        <w:pStyle w:val="BodyText"/>
        <w:spacing w:before="11"/>
        <w:rPr>
          <w:sz w:val="18"/>
        </w:rPr>
      </w:pPr>
    </w:p>
    <w:p>
      <w:pPr>
        <w:pStyle w:val="ListParagraph"/>
        <w:numPr>
          <w:ilvl w:val="1"/>
          <w:numId w:val="329"/>
        </w:numPr>
        <w:tabs>
          <w:tab w:pos="1264" w:val="left" w:leader="none"/>
        </w:tabs>
        <w:spacing w:line="240" w:lineRule="auto" w:before="0" w:after="0"/>
        <w:ind w:left="1263" w:right="0" w:hanging="424"/>
        <w:jc w:val="left"/>
        <w:rPr>
          <w:b/>
          <w:sz w:val="21"/>
        </w:rPr>
      </w:pPr>
      <w:r>
        <w:rPr>
          <w:spacing w:val="-3"/>
          <w:sz w:val="21"/>
        </w:rPr>
        <w:t>箱门检验</w:t>
      </w:r>
      <w:r>
        <w:rPr>
          <w:b/>
          <w:w w:val="99"/>
          <w:sz w:val="21"/>
        </w:rPr>
        <w:t> </w:t>
      </w:r>
    </w:p>
    <w:p>
      <w:pPr>
        <w:pStyle w:val="BodyText"/>
        <w:rPr>
          <w:b/>
          <w:sz w:val="18"/>
        </w:rPr>
      </w:pPr>
    </w:p>
    <w:p>
      <w:pPr>
        <w:pStyle w:val="ListParagraph"/>
        <w:numPr>
          <w:ilvl w:val="2"/>
          <w:numId w:val="329"/>
        </w:numPr>
        <w:tabs>
          <w:tab w:pos="1478" w:val="left" w:leader="none"/>
        </w:tabs>
        <w:spacing w:line="240" w:lineRule="auto" w:before="0" w:after="0"/>
        <w:ind w:left="1477" w:right="0" w:hanging="638"/>
        <w:jc w:val="left"/>
        <w:rPr>
          <w:b/>
          <w:sz w:val="21"/>
        </w:rPr>
      </w:pPr>
      <w:r>
        <w:rPr>
          <w:spacing w:val="-3"/>
          <w:sz w:val="21"/>
        </w:rPr>
        <w:t>试验准备</w:t>
      </w:r>
      <w:r>
        <w:rPr>
          <w:b/>
          <w:w w:val="99"/>
          <w:sz w:val="21"/>
        </w:rPr>
        <w:t> </w:t>
      </w:r>
    </w:p>
    <w:p>
      <w:pPr>
        <w:pStyle w:val="BodyText"/>
        <w:spacing w:before="12"/>
        <w:rPr>
          <w:b/>
          <w:sz w:val="17"/>
        </w:rPr>
      </w:pPr>
    </w:p>
    <w:p>
      <w:pPr>
        <w:spacing w:line="446" w:lineRule="auto" w:before="0"/>
        <w:ind w:left="840" w:right="7278" w:hanging="3"/>
        <w:jc w:val="left"/>
        <w:rPr>
          <w:b/>
          <w:sz w:val="21"/>
        </w:rPr>
      </w:pPr>
      <w:r>
        <w:rPr>
          <w:spacing w:val="-11"/>
          <w:sz w:val="21"/>
        </w:rPr>
        <w:t>试验准备同 </w:t>
      </w:r>
      <w:r>
        <w:rPr>
          <w:sz w:val="21"/>
        </w:rPr>
        <w:t>6.6.2.1</w:t>
      </w:r>
      <w:r>
        <w:rPr>
          <w:spacing w:val="-3"/>
          <w:sz w:val="21"/>
        </w:rPr>
        <w:t>。</w:t>
      </w:r>
      <w:r>
        <w:rPr>
          <w:b/>
          <w:sz w:val="21"/>
        </w:rPr>
        <w:t>6.12.2</w:t>
      </w:r>
      <w:r>
        <w:rPr>
          <w:b/>
          <w:spacing w:val="10"/>
          <w:sz w:val="21"/>
        </w:rPr>
        <w:t> </w:t>
      </w:r>
      <w:r>
        <w:rPr>
          <w:spacing w:val="-3"/>
          <w:sz w:val="21"/>
        </w:rPr>
        <w:t>箱门开启角度试验</w:t>
      </w:r>
      <w:r>
        <w:rPr>
          <w:b/>
          <w:w w:val="99"/>
          <w:sz w:val="21"/>
        </w:rPr>
        <w:t> </w:t>
      </w:r>
    </w:p>
    <w:p>
      <w:pPr>
        <w:pStyle w:val="BodyText"/>
        <w:spacing w:line="446" w:lineRule="auto"/>
        <w:ind w:left="840" w:right="1613" w:hanging="3"/>
        <w:rPr>
          <w:b/>
        </w:rPr>
      </w:pPr>
      <w:r>
        <w:rPr>
          <w:spacing w:val="-5"/>
        </w:rPr>
        <w:t>将箱门开启至最大位置，用量角器测出箱门外表面与门框间的夹角应符合 </w:t>
      </w:r>
      <w:r>
        <w:rPr/>
        <w:t>5.13.3</w:t>
      </w:r>
      <w:r>
        <w:rPr>
          <w:spacing w:val="-14"/>
        </w:rPr>
        <w:t> 规定。</w:t>
      </w:r>
      <w:r>
        <w:rPr>
          <w:b/>
        </w:rPr>
        <w:t>6.12.3</w:t>
      </w:r>
      <w:r>
        <w:rPr>
          <w:b/>
          <w:spacing w:val="-1"/>
        </w:rPr>
        <w:t> </w:t>
      </w:r>
      <w:r>
        <w:rPr>
          <w:spacing w:val="-3"/>
        </w:rPr>
        <w:t>箱门开启拉力试验</w:t>
      </w:r>
      <w:r>
        <w:rPr>
          <w:b/>
          <w:w w:val="99"/>
        </w:rPr>
        <w:t> </w:t>
      </w:r>
    </w:p>
    <w:p>
      <w:pPr>
        <w:pStyle w:val="BodyText"/>
        <w:spacing w:line="446" w:lineRule="auto"/>
        <w:ind w:left="418" w:right="1714" w:firstLine="419"/>
      </w:pPr>
      <w:r>
        <w:rPr>
          <w:spacing w:val="-6"/>
        </w:rPr>
        <w:t>在垂直箱门方向，用精度不低于 </w:t>
      </w:r>
      <w:r>
        <w:rPr/>
        <w:t>2</w:t>
      </w:r>
      <w:r>
        <w:rPr>
          <w:spacing w:val="-10"/>
        </w:rPr>
        <w:t> 级的测力计测出箱手把处的开启拉力应符合 </w:t>
      </w:r>
      <w:r>
        <w:rPr/>
        <w:t>5.13.4</w:t>
      </w:r>
      <w:r>
        <w:rPr>
          <w:spacing w:val="-23"/>
        </w:rPr>
        <w:t> 规</w:t>
      </w:r>
      <w:r>
        <w:rPr>
          <w:spacing w:val="-13"/>
        </w:rPr>
        <w:t>定。</w:t>
      </w:r>
      <w:r>
        <w:rPr/>
        <w:t> </w:t>
      </w:r>
    </w:p>
    <w:p>
      <w:pPr>
        <w:pStyle w:val="ListParagraph"/>
        <w:numPr>
          <w:ilvl w:val="1"/>
          <w:numId w:val="329"/>
        </w:numPr>
        <w:tabs>
          <w:tab w:pos="1264" w:val="left" w:leader="none"/>
        </w:tabs>
        <w:spacing w:line="267" w:lineRule="exact" w:before="0" w:after="0"/>
        <w:ind w:left="1263" w:right="0" w:hanging="424"/>
        <w:jc w:val="left"/>
        <w:rPr>
          <w:sz w:val="21"/>
        </w:rPr>
      </w:pPr>
      <w:r>
        <w:rPr>
          <w:spacing w:val="-3"/>
          <w:sz w:val="21"/>
        </w:rPr>
        <w:t>水带安置检验</w:t>
      </w:r>
      <w:r>
        <w:rPr>
          <w:sz w:val="21"/>
        </w:rPr>
        <w:t> </w:t>
      </w:r>
    </w:p>
    <w:p>
      <w:pPr>
        <w:spacing w:after="0" w:line="267" w:lineRule="exact"/>
        <w:jc w:val="left"/>
        <w:rPr>
          <w:sz w:val="21"/>
        </w:rPr>
        <w:sectPr>
          <w:pgSz w:w="11910" w:h="16850"/>
          <w:pgMar w:header="0" w:footer="1239" w:top="1220" w:bottom="1420" w:left="1260" w:right="0"/>
        </w:sectPr>
      </w:pPr>
    </w:p>
    <w:p>
      <w:pPr>
        <w:pStyle w:val="BodyText"/>
        <w:spacing w:before="47"/>
        <w:ind w:left="838"/>
      </w:pPr>
      <w:r>
        <w:rPr/>
        <w:t>利用目视和通用量具，检査栓箱水带安置情况，应符合 5.14 规定。 </w:t>
      </w:r>
    </w:p>
    <w:p>
      <w:pPr>
        <w:pStyle w:val="BodyText"/>
        <w:spacing w:before="8"/>
        <w:rPr>
          <w:sz w:val="15"/>
        </w:rPr>
      </w:pPr>
    </w:p>
    <w:p>
      <w:pPr>
        <w:pStyle w:val="Heading4"/>
        <w:spacing w:before="1"/>
      </w:pPr>
      <w:r>
        <w:rPr/>
        <w:t>7 检验规则</w:t>
      </w:r>
      <w:r>
        <w:rPr>
          <w:w w:val="99"/>
        </w:rPr>
        <w:t> </w:t>
      </w:r>
    </w:p>
    <w:p>
      <w:pPr>
        <w:pStyle w:val="BodyText"/>
        <w:spacing w:before="3"/>
        <w:rPr>
          <w:b/>
          <w:sz w:val="17"/>
        </w:rPr>
      </w:pPr>
    </w:p>
    <w:p>
      <w:pPr>
        <w:spacing w:line="446" w:lineRule="auto" w:before="1"/>
        <w:ind w:left="840" w:right="6757" w:hanging="3"/>
        <w:jc w:val="left"/>
        <w:rPr>
          <w:b/>
          <w:sz w:val="21"/>
        </w:rPr>
      </w:pPr>
      <w:r>
        <w:rPr>
          <w:spacing w:val="-3"/>
          <w:sz w:val="21"/>
        </w:rPr>
        <w:t>栓箱分为形式检验和出厂检验。</w:t>
      </w:r>
      <w:r>
        <w:rPr>
          <w:b/>
          <w:sz w:val="21"/>
        </w:rPr>
        <w:t>7.1</w:t>
      </w:r>
      <w:r>
        <w:rPr>
          <w:b/>
          <w:spacing w:val="2"/>
          <w:sz w:val="21"/>
        </w:rPr>
        <w:t> </w:t>
      </w:r>
      <w:r>
        <w:rPr>
          <w:spacing w:val="-3"/>
          <w:sz w:val="21"/>
        </w:rPr>
        <w:t>形式检验</w:t>
      </w:r>
      <w:r>
        <w:rPr>
          <w:b/>
          <w:w w:val="99"/>
          <w:sz w:val="21"/>
        </w:rPr>
        <w:t> </w:t>
      </w:r>
    </w:p>
    <w:p>
      <w:pPr>
        <w:pStyle w:val="BodyText"/>
        <w:spacing w:line="446" w:lineRule="auto"/>
        <w:ind w:left="840" w:right="5917" w:hanging="3"/>
      </w:pPr>
      <w:r>
        <w:rPr>
          <w:spacing w:val="-9"/>
        </w:rPr>
        <w:t>形式检验应按表 </w:t>
      </w:r>
      <w:r>
        <w:rPr/>
        <w:t>3</w:t>
      </w:r>
      <w:r>
        <w:rPr>
          <w:spacing w:val="-8"/>
        </w:rPr>
        <w:t> 进行全部项目的检验。</w:t>
      </w:r>
      <w:r>
        <w:rPr>
          <w:b/>
        </w:rPr>
        <w:t>7.2 </w:t>
      </w:r>
      <w:r>
        <w:rPr>
          <w:spacing w:val="-3"/>
        </w:rPr>
        <w:t>出厂检验</w:t>
      </w:r>
      <w:r>
        <w:rPr/>
        <w:t> </w:t>
      </w:r>
    </w:p>
    <w:p>
      <w:pPr>
        <w:spacing w:line="446" w:lineRule="auto" w:before="0"/>
        <w:ind w:left="840" w:right="6757" w:hanging="3"/>
        <w:jc w:val="left"/>
        <w:rPr>
          <w:b/>
          <w:sz w:val="21"/>
        </w:rPr>
      </w:pPr>
      <w:r>
        <w:rPr>
          <w:sz w:val="21"/>
        </w:rPr>
        <w:t>出厂检验应按表 3 的规定进行。</w:t>
      </w:r>
      <w:r>
        <w:rPr>
          <w:b/>
          <w:sz w:val="21"/>
        </w:rPr>
        <w:t>7.3 </w:t>
      </w:r>
      <w:r>
        <w:rPr>
          <w:sz w:val="21"/>
        </w:rPr>
        <w:t>抽样</w:t>
      </w:r>
      <w:r>
        <w:rPr>
          <w:b/>
          <w:w w:val="99"/>
          <w:sz w:val="21"/>
        </w:rPr>
        <w:t> </w:t>
      </w:r>
    </w:p>
    <w:p>
      <w:pPr>
        <w:pStyle w:val="BodyText"/>
        <w:spacing w:line="267" w:lineRule="exact"/>
        <w:ind w:left="838"/>
      </w:pPr>
      <w:r>
        <w:rPr/>
        <w:t>抽样方法采取随机抽样，每 50 台消火栓箱为一抽样批量，抽检数为 2 台；不满 50 台时也</w:t>
      </w:r>
    </w:p>
    <w:p>
      <w:pPr>
        <w:pStyle w:val="BodyText"/>
        <w:spacing w:before="1"/>
        <w:rPr>
          <w:sz w:val="18"/>
        </w:rPr>
      </w:pPr>
    </w:p>
    <w:p>
      <w:pPr>
        <w:spacing w:line="446" w:lineRule="auto" w:before="0"/>
        <w:ind w:left="840" w:right="8436" w:hanging="423"/>
        <w:jc w:val="left"/>
        <w:rPr>
          <w:b/>
          <w:sz w:val="21"/>
        </w:rPr>
      </w:pPr>
      <w:r>
        <w:rPr>
          <w:spacing w:val="-10"/>
          <w:sz w:val="21"/>
        </w:rPr>
        <w:t>必须抽检 </w:t>
      </w:r>
      <w:r>
        <w:rPr>
          <w:sz w:val="21"/>
        </w:rPr>
        <w:t>2</w:t>
      </w:r>
      <w:r>
        <w:rPr>
          <w:spacing w:val="-17"/>
          <w:sz w:val="21"/>
        </w:rPr>
        <w:t> 台。</w:t>
      </w:r>
      <w:r>
        <w:rPr>
          <w:b/>
          <w:sz w:val="21"/>
        </w:rPr>
        <w:t>7.4</w:t>
      </w:r>
      <w:r>
        <w:rPr>
          <w:b/>
          <w:spacing w:val="3"/>
          <w:sz w:val="21"/>
        </w:rPr>
        <w:t> </w:t>
      </w:r>
      <w:r>
        <w:rPr>
          <w:spacing w:val="-3"/>
          <w:sz w:val="21"/>
        </w:rPr>
        <w:t>判定规则</w:t>
      </w:r>
      <w:r>
        <w:rPr>
          <w:b/>
          <w:w w:val="99"/>
          <w:sz w:val="21"/>
        </w:rPr>
        <w:t> </w:t>
      </w:r>
    </w:p>
    <w:p>
      <w:pPr>
        <w:pStyle w:val="ListParagraph"/>
        <w:numPr>
          <w:ilvl w:val="2"/>
          <w:numId w:val="330"/>
        </w:numPr>
        <w:tabs>
          <w:tab w:pos="1370" w:val="left" w:leader="none"/>
        </w:tabs>
        <w:spacing w:line="267" w:lineRule="exact" w:before="0" w:after="0"/>
        <w:ind w:left="1369" w:right="0" w:hanging="530"/>
        <w:jc w:val="left"/>
        <w:rPr>
          <w:b/>
          <w:sz w:val="21"/>
        </w:rPr>
      </w:pPr>
      <w:r>
        <w:rPr>
          <w:spacing w:val="-3"/>
          <w:sz w:val="21"/>
        </w:rPr>
        <w:t>形式检验</w:t>
      </w:r>
      <w:r>
        <w:rPr>
          <w:b/>
          <w:w w:val="99"/>
          <w:sz w:val="21"/>
        </w:rPr>
        <w:t> </w:t>
      </w:r>
    </w:p>
    <w:p>
      <w:pPr>
        <w:pStyle w:val="BodyText"/>
        <w:spacing w:before="2"/>
        <w:rPr>
          <w:b/>
          <w:sz w:val="18"/>
        </w:rPr>
      </w:pPr>
    </w:p>
    <w:p>
      <w:pPr>
        <w:pStyle w:val="BodyText"/>
        <w:spacing w:line="446" w:lineRule="auto"/>
        <w:ind w:left="418" w:right="1453" w:firstLine="419"/>
      </w:pPr>
      <w:r>
        <w:rPr>
          <w:spacing w:val="-16"/>
        </w:rPr>
        <w:t>按表 </w:t>
      </w:r>
      <w:r>
        <w:rPr/>
        <w:t>3</w:t>
      </w:r>
      <w:r>
        <w:rPr>
          <w:spacing w:val="-10"/>
        </w:rPr>
        <w:t> 中规定的全部项目检验合格时，该产品为合格品。若有一项 </w:t>
      </w:r>
      <w:r>
        <w:rPr/>
        <w:t>A</w:t>
      </w:r>
      <w:r>
        <w:rPr>
          <w:spacing w:val="-8"/>
        </w:rPr>
        <w:t> 类项目不合格，则该</w:t>
      </w:r>
      <w:r>
        <w:rPr>
          <w:spacing w:val="-9"/>
        </w:rPr>
        <w:t>产品为不合格品。若有 </w:t>
      </w:r>
      <w:r>
        <w:rPr/>
        <w:t>B</w:t>
      </w:r>
      <w:r>
        <w:rPr>
          <w:spacing w:val="-8"/>
        </w:rPr>
        <w:t> 类项目不合格，允许加倍抽样检验，仍有两项不合格，则判该产品不</w:t>
      </w:r>
      <w:r>
        <w:rPr>
          <w:spacing w:val="-7"/>
        </w:rPr>
        <w:t>合格。</w:t>
      </w:r>
      <w:r>
        <w:rPr/>
        <w:t>C</w:t>
      </w:r>
      <w:r>
        <w:rPr>
          <w:spacing w:val="-6"/>
        </w:rPr>
        <w:t> 类项目不合格数大于或等于四项，即判该产品不合格，若已有一项</w:t>
      </w:r>
      <w:r>
        <w:rPr/>
        <w:t>B</w:t>
      </w:r>
      <w:r>
        <w:rPr>
          <w:spacing w:val="-7"/>
        </w:rPr>
        <w:t> 类项目不合格时， C</w:t>
      </w:r>
      <w:r>
        <w:rPr>
          <w:spacing w:val="-9"/>
        </w:rPr>
        <w:t> 类项目不合格数大于或等于二项，则该产品判为不合格。</w:t>
      </w:r>
      <w:r>
        <w:rPr/>
        <w:t> </w:t>
      </w:r>
    </w:p>
    <w:p>
      <w:pPr>
        <w:pStyle w:val="ListParagraph"/>
        <w:numPr>
          <w:ilvl w:val="2"/>
          <w:numId w:val="330"/>
        </w:numPr>
        <w:tabs>
          <w:tab w:pos="1370" w:val="left" w:leader="none"/>
        </w:tabs>
        <w:spacing w:line="267" w:lineRule="exact" w:before="0" w:after="0"/>
        <w:ind w:left="1369" w:right="0" w:hanging="530"/>
        <w:jc w:val="left"/>
        <w:rPr>
          <w:b/>
          <w:sz w:val="21"/>
        </w:rPr>
      </w:pPr>
      <w:r>
        <w:rPr>
          <w:spacing w:val="-3"/>
          <w:sz w:val="21"/>
        </w:rPr>
        <w:t>出厂检验</w:t>
      </w:r>
      <w:r>
        <w:rPr>
          <w:b/>
          <w:w w:val="99"/>
          <w:sz w:val="21"/>
        </w:rPr>
        <w:t> </w:t>
      </w:r>
    </w:p>
    <w:p>
      <w:pPr>
        <w:pStyle w:val="BodyText"/>
        <w:spacing w:before="12"/>
        <w:rPr>
          <w:b/>
          <w:sz w:val="17"/>
        </w:rPr>
      </w:pPr>
    </w:p>
    <w:p>
      <w:pPr>
        <w:pStyle w:val="BodyText"/>
        <w:spacing w:line="446" w:lineRule="auto"/>
        <w:ind w:left="418" w:right="1506" w:firstLine="419"/>
      </w:pPr>
      <w:r>
        <w:rPr>
          <w:spacing w:val="-22"/>
        </w:rPr>
        <w:t>表 </w:t>
      </w:r>
      <w:r>
        <w:rPr/>
        <w:t>3</w:t>
      </w:r>
      <w:r>
        <w:rPr>
          <w:spacing w:val="-8"/>
        </w:rPr>
        <w:t> 中规定的产品全检项目和抽检项目全部合格，则该产品为合格品。若该批产品的全检</w:t>
      </w:r>
      <w:r>
        <w:rPr>
          <w:spacing w:val="-5"/>
        </w:rPr>
        <w:t>项目中有一项不合格,则该批产品被判为不合格；若该批产品的抽检项目中出现不合格，允许加</w:t>
      </w:r>
      <w:r>
        <w:rPr>
          <w:spacing w:val="-4"/>
        </w:rPr>
        <w:t>倍抽样检验，仍不合格时，即判该批产品为不合格产品。</w:t>
      </w:r>
      <w:r>
        <w:rPr/>
        <w:t> </w:t>
      </w:r>
    </w:p>
    <w:p>
      <w:pPr>
        <w:pStyle w:val="Heading4"/>
        <w:spacing w:line="277" w:lineRule="exact"/>
      </w:pPr>
      <w:r>
        <w:rPr/>
        <w:t>8 标志</w:t>
      </w:r>
      <w:r>
        <w:rPr>
          <w:w w:val="99"/>
        </w:rPr>
        <w:t> </w:t>
      </w:r>
    </w:p>
    <w:p>
      <w:pPr>
        <w:pStyle w:val="BodyText"/>
        <w:spacing w:before="7"/>
        <w:rPr>
          <w:b/>
          <w:sz w:val="17"/>
        </w:rPr>
      </w:pPr>
    </w:p>
    <w:p>
      <w:pPr>
        <w:pStyle w:val="ListParagraph"/>
        <w:numPr>
          <w:ilvl w:val="1"/>
          <w:numId w:val="331"/>
        </w:numPr>
        <w:tabs>
          <w:tab w:pos="1160" w:val="left" w:leader="none"/>
        </w:tabs>
        <w:spacing w:line="240" w:lineRule="auto" w:before="0" w:after="0"/>
        <w:ind w:left="1159" w:right="0" w:hanging="320"/>
        <w:jc w:val="left"/>
        <w:rPr>
          <w:sz w:val="21"/>
        </w:rPr>
      </w:pPr>
      <w:r>
        <w:rPr>
          <w:spacing w:val="-3"/>
          <w:sz w:val="21"/>
        </w:rPr>
        <w:t>栓箱箱门正面应以直观、醒目、匀整的字体标注“消火栓”字样</w:t>
      </w:r>
      <w:r>
        <w:rPr>
          <w:sz w:val="21"/>
        </w:rPr>
        <w:t> </w:t>
      </w:r>
    </w:p>
    <w:p>
      <w:pPr>
        <w:pStyle w:val="BodyText"/>
        <w:spacing w:before="12"/>
        <w:rPr>
          <w:sz w:val="17"/>
        </w:rPr>
      </w:pPr>
    </w:p>
    <w:p>
      <w:pPr>
        <w:pStyle w:val="BodyText"/>
        <w:spacing w:line="446" w:lineRule="auto"/>
        <w:ind w:left="418" w:right="1611" w:firstLine="419"/>
      </w:pPr>
      <w:r>
        <w:rPr>
          <w:spacing w:val="-8"/>
        </w:rPr>
        <w:t>字体不得小于：高 </w:t>
      </w:r>
      <w:r>
        <w:rPr/>
        <w:t>100mm</w:t>
      </w:r>
      <w:r>
        <w:rPr>
          <w:spacing w:val="-16"/>
        </w:rPr>
        <w:t>，宽 </w:t>
      </w:r>
      <w:r>
        <w:rPr/>
        <w:t>80mm</w:t>
      </w:r>
      <w:r>
        <w:rPr>
          <w:spacing w:val="-3"/>
        </w:rPr>
        <w:t>。如需同时标注英文“</w:t>
      </w:r>
      <w:r>
        <w:rPr/>
        <w:t>FIRE HYDRANT</w:t>
      </w:r>
      <w:r>
        <w:rPr>
          <w:spacing w:val="-3"/>
        </w:rPr>
        <w:t>”字样者，应在订货时说明。</w:t>
      </w:r>
      <w:r>
        <w:rPr/>
        <w:t> </w:t>
      </w:r>
    </w:p>
    <w:p>
      <w:pPr>
        <w:pStyle w:val="ListParagraph"/>
        <w:numPr>
          <w:ilvl w:val="1"/>
          <w:numId w:val="331"/>
        </w:numPr>
        <w:tabs>
          <w:tab w:pos="1159" w:val="left" w:leader="none"/>
        </w:tabs>
        <w:spacing w:line="446" w:lineRule="auto" w:before="0" w:after="0"/>
        <w:ind w:left="838" w:right="4232" w:firstLine="2"/>
        <w:jc w:val="left"/>
        <w:rPr>
          <w:b/>
          <w:sz w:val="21"/>
        </w:rPr>
      </w:pPr>
      <w:r>
        <w:rPr>
          <w:spacing w:val="-3"/>
          <w:sz w:val="21"/>
        </w:rPr>
        <w:t>箱体表面上应设置耐久性铭牌，铭牌应包括以下内容： </w:t>
      </w:r>
      <w:r>
        <w:rPr>
          <w:sz w:val="21"/>
        </w:rPr>
        <w:t>a)</w:t>
      </w:r>
      <w:r>
        <w:rPr>
          <w:spacing w:val="-3"/>
          <w:sz w:val="21"/>
        </w:rPr>
        <w:t> 产品名称；</w:t>
      </w:r>
      <w:r>
        <w:rPr>
          <w:b/>
          <w:w w:val="99"/>
          <w:sz w:val="21"/>
        </w:rPr>
        <w:t> </w:t>
      </w:r>
    </w:p>
    <w:p>
      <w:pPr>
        <w:pStyle w:val="ListParagraph"/>
        <w:numPr>
          <w:ilvl w:val="0"/>
          <w:numId w:val="332"/>
        </w:numPr>
        <w:tabs>
          <w:tab w:pos="1051" w:val="left" w:leader="none"/>
        </w:tabs>
        <w:spacing w:line="267" w:lineRule="exact" w:before="0" w:after="0"/>
        <w:ind w:left="1050" w:right="0" w:hanging="213"/>
        <w:jc w:val="left"/>
        <w:rPr>
          <w:b/>
          <w:sz w:val="21"/>
        </w:rPr>
      </w:pPr>
      <w:r>
        <w:rPr>
          <w:spacing w:val="-3"/>
          <w:sz w:val="21"/>
        </w:rPr>
        <w:t>产品型号；</w:t>
      </w:r>
      <w:r>
        <w:rPr>
          <w:b/>
          <w:w w:val="99"/>
          <w:sz w:val="21"/>
        </w:rPr>
        <w:t> </w:t>
      </w:r>
    </w:p>
    <w:p>
      <w:pPr>
        <w:pStyle w:val="BodyText"/>
        <w:spacing w:before="2"/>
        <w:rPr>
          <w:b/>
          <w:sz w:val="18"/>
        </w:rPr>
      </w:pPr>
    </w:p>
    <w:p>
      <w:pPr>
        <w:pStyle w:val="ListParagraph"/>
        <w:numPr>
          <w:ilvl w:val="0"/>
          <w:numId w:val="332"/>
        </w:numPr>
        <w:tabs>
          <w:tab w:pos="1051" w:val="left" w:leader="none"/>
        </w:tabs>
        <w:spacing w:line="240" w:lineRule="auto" w:before="0" w:after="0"/>
        <w:ind w:left="1050" w:right="0" w:hanging="213"/>
        <w:jc w:val="left"/>
        <w:rPr>
          <w:b/>
          <w:sz w:val="21"/>
        </w:rPr>
      </w:pPr>
      <w:r>
        <w:rPr>
          <w:spacing w:val="-3"/>
          <w:sz w:val="21"/>
        </w:rPr>
        <w:t>批准文件的编号；</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332"/>
        </w:numPr>
        <w:tabs>
          <w:tab w:pos="1051" w:val="left" w:leader="none"/>
        </w:tabs>
        <w:spacing w:line="446" w:lineRule="auto" w:before="47" w:after="0"/>
        <w:ind w:left="838" w:right="7705" w:firstLine="0"/>
        <w:jc w:val="left"/>
        <w:rPr>
          <w:b/>
          <w:sz w:val="21"/>
        </w:rPr>
      </w:pPr>
      <w:r>
        <w:rPr>
          <w:spacing w:val="-3"/>
          <w:sz w:val="21"/>
        </w:rPr>
        <w:t>注册商标或厂名； </w:t>
      </w:r>
      <w:r>
        <w:rPr>
          <w:sz w:val="21"/>
        </w:rPr>
        <w:t>e)</w:t>
      </w:r>
      <w:r>
        <w:rPr>
          <w:spacing w:val="-3"/>
          <w:sz w:val="21"/>
        </w:rPr>
        <w:t> 生产日期；</w:t>
      </w:r>
      <w:r>
        <w:rPr>
          <w:b/>
          <w:w w:val="99"/>
          <w:sz w:val="21"/>
        </w:rPr>
        <w:t> </w:t>
      </w:r>
    </w:p>
    <w:p>
      <w:pPr>
        <w:pStyle w:val="BodyText"/>
        <w:spacing w:line="267" w:lineRule="exact"/>
        <w:ind w:left="838"/>
        <w:rPr>
          <w:b/>
        </w:rPr>
      </w:pPr>
      <w:r>
        <w:rPr/>
        <w:t>f)执行标准。</w:t>
      </w:r>
      <w:r>
        <w:rPr>
          <w:b/>
          <w:w w:val="99"/>
        </w:rPr>
        <w:t> </w:t>
      </w:r>
    </w:p>
    <w:p>
      <w:pPr>
        <w:pStyle w:val="BodyText"/>
        <w:spacing w:before="2"/>
        <w:rPr>
          <w:b/>
          <w:sz w:val="18"/>
        </w:rPr>
      </w:pPr>
    </w:p>
    <w:p>
      <w:pPr>
        <w:pStyle w:val="ListParagraph"/>
        <w:numPr>
          <w:ilvl w:val="1"/>
          <w:numId w:val="331"/>
        </w:numPr>
        <w:tabs>
          <w:tab w:pos="1159" w:val="left" w:leader="none"/>
        </w:tabs>
        <w:spacing w:line="240" w:lineRule="auto" w:before="0" w:after="0"/>
        <w:ind w:left="1158" w:right="0" w:hanging="319"/>
        <w:jc w:val="left"/>
        <w:rPr>
          <w:sz w:val="21"/>
        </w:rPr>
      </w:pPr>
      <w:r>
        <w:rPr>
          <w:spacing w:val="-3"/>
          <w:sz w:val="21"/>
        </w:rPr>
        <w:t>在箱门的背面应标注操作说明。</w:t>
      </w:r>
      <w:r>
        <w:rPr>
          <w:sz w:val="21"/>
        </w:rPr>
        <w:t> </w:t>
      </w:r>
    </w:p>
    <w:p>
      <w:pPr>
        <w:pStyle w:val="BodyText"/>
        <w:spacing w:before="8"/>
        <w:rPr>
          <w:sz w:val="15"/>
        </w:rPr>
      </w:pPr>
    </w:p>
    <w:p>
      <w:pPr>
        <w:pStyle w:val="Heading4"/>
      </w:pPr>
      <w:r>
        <w:rPr/>
        <w:t>9 使用说明书</w:t>
      </w:r>
      <w:r>
        <w:rPr>
          <w:w w:val="99"/>
        </w:rPr>
        <w:t> </w:t>
      </w:r>
    </w:p>
    <w:p>
      <w:pPr>
        <w:pStyle w:val="BodyText"/>
        <w:spacing w:before="4"/>
        <w:rPr>
          <w:b/>
          <w:sz w:val="17"/>
        </w:rPr>
      </w:pPr>
    </w:p>
    <w:p>
      <w:pPr>
        <w:pStyle w:val="BodyText"/>
        <w:spacing w:line="446" w:lineRule="auto"/>
        <w:ind w:left="838" w:right="3078"/>
        <w:rPr>
          <w:b/>
        </w:rPr>
      </w:pPr>
      <w:r>
        <w:rPr>
          <w:spacing w:val="-9"/>
        </w:rPr>
        <w:t>使用说明书应按 </w:t>
      </w:r>
      <w:r>
        <w:rPr/>
        <w:t>GB</w:t>
      </w:r>
      <w:r>
        <w:rPr>
          <w:spacing w:val="9"/>
        </w:rPr>
        <w:t> </w:t>
      </w:r>
      <w:r>
        <w:rPr/>
        <w:t>9969.1</w:t>
      </w:r>
      <w:r>
        <w:rPr>
          <w:spacing w:val="-8"/>
        </w:rPr>
        <w:t> 进行编写，使用说明书应至少包括下列内容： </w:t>
      </w:r>
      <w:r>
        <w:rPr/>
        <w:t>a)</w:t>
      </w:r>
      <w:r>
        <w:rPr>
          <w:spacing w:val="-3"/>
        </w:rPr>
        <w:t> 栓箱简介；</w:t>
      </w:r>
      <w:r>
        <w:rPr>
          <w:b/>
          <w:w w:val="99"/>
        </w:rPr>
        <w:t> </w:t>
      </w:r>
    </w:p>
    <w:p>
      <w:pPr>
        <w:pStyle w:val="BodyText"/>
        <w:spacing w:line="446" w:lineRule="auto" w:before="1"/>
        <w:ind w:left="838" w:right="6654"/>
        <w:jc w:val="both"/>
        <w:rPr>
          <w:b/>
        </w:rPr>
      </w:pPr>
      <w:r>
        <w:rPr/>
        <w:t>b) 栓箱的技术特性、型号规格； c) 栓箱的结构特征与工作原理； d) 电器设备接线图；</w:t>
      </w:r>
      <w:r>
        <w:rPr>
          <w:b/>
          <w:w w:val="99"/>
        </w:rPr>
        <w:t> </w:t>
      </w:r>
    </w:p>
    <w:p>
      <w:pPr>
        <w:pStyle w:val="BodyText"/>
        <w:spacing w:line="446" w:lineRule="auto"/>
        <w:ind w:left="838" w:right="6076"/>
        <w:rPr>
          <w:b/>
        </w:rPr>
      </w:pPr>
      <w:r>
        <w:rPr/>
        <w:t>e) 安装、使用及维护说明、注意事项； f) 售后服务；</w:t>
      </w:r>
      <w:r>
        <w:rPr>
          <w:b/>
          <w:w w:val="99"/>
        </w:rPr>
        <w:t> </w:t>
      </w:r>
    </w:p>
    <w:p>
      <w:pPr>
        <w:pStyle w:val="BodyText"/>
        <w:ind w:left="838"/>
        <w:rPr>
          <w:b/>
        </w:rPr>
      </w:pPr>
      <w:r>
        <w:rPr/>
        <w:t>g) 生产单位名称、详细地址、邮编和电话</w:t>
      </w:r>
      <w:r>
        <w:rPr>
          <w:b/>
          <w:w w:val="99"/>
        </w:rPr>
        <w:t> </w:t>
      </w:r>
    </w:p>
    <w:p>
      <w:pPr>
        <w:pStyle w:val="BodyText"/>
        <w:spacing w:before="6"/>
        <w:rPr>
          <w:b/>
          <w:sz w:val="15"/>
        </w:rPr>
      </w:pPr>
    </w:p>
    <w:p>
      <w:pPr>
        <w:pStyle w:val="Heading4"/>
      </w:pPr>
      <w:r>
        <w:rPr/>
        <w:t>10 包装、运输和贮存</w:t>
      </w:r>
      <w:r>
        <w:rPr>
          <w:w w:val="99"/>
        </w:rPr>
        <w:t> </w:t>
      </w:r>
    </w:p>
    <w:p>
      <w:pPr>
        <w:pStyle w:val="BodyText"/>
        <w:spacing w:before="4"/>
        <w:rPr>
          <w:b/>
          <w:sz w:val="17"/>
        </w:rPr>
      </w:pPr>
    </w:p>
    <w:p>
      <w:pPr>
        <w:pStyle w:val="ListParagraph"/>
        <w:numPr>
          <w:ilvl w:val="1"/>
          <w:numId w:val="333"/>
        </w:numPr>
        <w:tabs>
          <w:tab w:pos="1264" w:val="left" w:leader="none"/>
        </w:tabs>
        <w:spacing w:line="240" w:lineRule="auto" w:before="0" w:after="0"/>
        <w:ind w:left="1263" w:right="0" w:hanging="424"/>
        <w:jc w:val="left"/>
        <w:rPr>
          <w:b/>
          <w:sz w:val="21"/>
        </w:rPr>
      </w:pPr>
      <w:r>
        <w:rPr>
          <w:spacing w:val="-3"/>
          <w:sz w:val="21"/>
        </w:rPr>
        <w:t>包装</w:t>
      </w:r>
      <w:r>
        <w:rPr>
          <w:b/>
          <w:w w:val="99"/>
          <w:sz w:val="21"/>
        </w:rPr>
        <w:t> </w:t>
      </w:r>
    </w:p>
    <w:p>
      <w:pPr>
        <w:pStyle w:val="BodyText"/>
        <w:spacing w:before="2"/>
        <w:rPr>
          <w:b/>
          <w:sz w:val="18"/>
        </w:rPr>
      </w:pPr>
    </w:p>
    <w:p>
      <w:pPr>
        <w:pStyle w:val="ListParagraph"/>
        <w:numPr>
          <w:ilvl w:val="2"/>
          <w:numId w:val="333"/>
        </w:numPr>
        <w:tabs>
          <w:tab w:pos="1478" w:val="left" w:leader="none"/>
        </w:tabs>
        <w:spacing w:line="446" w:lineRule="auto" w:before="0" w:after="0"/>
        <w:ind w:left="418" w:right="1604" w:firstLine="422"/>
        <w:jc w:val="left"/>
        <w:rPr>
          <w:sz w:val="21"/>
        </w:rPr>
      </w:pPr>
      <w:r>
        <w:rPr>
          <w:spacing w:val="-3"/>
          <w:sz w:val="21"/>
        </w:rPr>
        <w:t>每套产品均应用防潮物品包裹并装入硬质纸制包装箱内，封口后用打包带作“#” 字形捆扎，捆扎应牢固、可靠。</w:t>
      </w:r>
      <w:r>
        <w:rPr>
          <w:sz w:val="21"/>
        </w:rPr>
        <w:t> </w:t>
      </w:r>
    </w:p>
    <w:p>
      <w:pPr>
        <w:pStyle w:val="ListParagraph"/>
        <w:numPr>
          <w:ilvl w:val="2"/>
          <w:numId w:val="333"/>
        </w:numPr>
        <w:tabs>
          <w:tab w:pos="1478" w:val="left" w:leader="none"/>
        </w:tabs>
        <w:spacing w:line="446" w:lineRule="auto" w:before="0" w:after="0"/>
        <w:ind w:left="838" w:right="6436" w:firstLine="2"/>
        <w:jc w:val="left"/>
        <w:rPr>
          <w:b/>
          <w:sz w:val="21"/>
        </w:rPr>
      </w:pPr>
      <w:r>
        <w:rPr>
          <w:spacing w:val="-3"/>
          <w:sz w:val="21"/>
        </w:rPr>
        <w:t>包装箱上应注明下列内容： </w:t>
      </w:r>
      <w:r>
        <w:rPr>
          <w:sz w:val="21"/>
        </w:rPr>
        <w:t>a)</w:t>
      </w:r>
      <w:r>
        <w:rPr>
          <w:spacing w:val="-3"/>
          <w:sz w:val="21"/>
        </w:rPr>
        <w:t> 产品名称、型号规格；</w:t>
      </w:r>
      <w:r>
        <w:rPr>
          <w:b/>
          <w:w w:val="99"/>
          <w:sz w:val="21"/>
        </w:rPr>
        <w:t> </w:t>
      </w:r>
    </w:p>
    <w:p>
      <w:pPr>
        <w:pStyle w:val="BodyText"/>
        <w:spacing w:line="446" w:lineRule="auto"/>
        <w:ind w:left="838" w:right="6076"/>
        <w:rPr>
          <w:b/>
        </w:rPr>
      </w:pPr>
      <w:r>
        <w:rPr/>
        <w:t>b) 包装箱外形尺寸：长×宽×高(mm)； c) 总质量(kg)；</w:t>
      </w:r>
      <w:r>
        <w:rPr>
          <w:b/>
          <w:w w:val="99"/>
        </w:rPr>
        <w:t> </w:t>
      </w:r>
    </w:p>
    <w:p>
      <w:pPr>
        <w:pStyle w:val="ListParagraph"/>
        <w:numPr>
          <w:ilvl w:val="0"/>
          <w:numId w:val="334"/>
        </w:numPr>
        <w:tabs>
          <w:tab w:pos="1051" w:val="left" w:leader="none"/>
        </w:tabs>
        <w:spacing w:line="240" w:lineRule="auto" w:before="0" w:after="0"/>
        <w:ind w:left="1050" w:right="0" w:hanging="213"/>
        <w:jc w:val="left"/>
        <w:rPr>
          <w:b/>
          <w:sz w:val="21"/>
        </w:rPr>
      </w:pPr>
      <w:r>
        <w:rPr>
          <w:spacing w:val="-3"/>
          <w:sz w:val="21"/>
        </w:rPr>
        <w:t>出厂日期；</w:t>
      </w:r>
      <w:r>
        <w:rPr>
          <w:b/>
          <w:w w:val="99"/>
          <w:sz w:val="21"/>
        </w:rPr>
        <w:t> </w:t>
      </w:r>
    </w:p>
    <w:p>
      <w:pPr>
        <w:pStyle w:val="BodyText"/>
        <w:spacing w:before="10"/>
        <w:rPr>
          <w:b/>
          <w:sz w:val="17"/>
        </w:rPr>
      </w:pPr>
    </w:p>
    <w:p>
      <w:pPr>
        <w:pStyle w:val="ListParagraph"/>
        <w:numPr>
          <w:ilvl w:val="0"/>
          <w:numId w:val="334"/>
        </w:numPr>
        <w:tabs>
          <w:tab w:pos="1051" w:val="left" w:leader="none"/>
        </w:tabs>
        <w:spacing w:line="240" w:lineRule="auto" w:before="0" w:after="0"/>
        <w:ind w:left="1050" w:right="0" w:hanging="213"/>
        <w:jc w:val="left"/>
        <w:rPr>
          <w:b/>
          <w:sz w:val="21"/>
        </w:rPr>
      </w:pPr>
      <w:r>
        <w:rPr>
          <w:spacing w:val="-3"/>
          <w:sz w:val="21"/>
        </w:rPr>
        <w:t>生产厂名及地址；</w:t>
      </w:r>
      <w:r>
        <w:rPr>
          <w:b/>
          <w:w w:val="99"/>
          <w:sz w:val="21"/>
        </w:rPr>
        <w:t> </w:t>
      </w:r>
    </w:p>
    <w:p>
      <w:pPr>
        <w:pStyle w:val="BodyText"/>
        <w:rPr>
          <w:b/>
          <w:sz w:val="18"/>
        </w:rPr>
      </w:pPr>
    </w:p>
    <w:p>
      <w:pPr>
        <w:pStyle w:val="ListParagraph"/>
        <w:numPr>
          <w:ilvl w:val="0"/>
          <w:numId w:val="334"/>
        </w:numPr>
        <w:tabs>
          <w:tab w:pos="1051" w:val="left" w:leader="none"/>
        </w:tabs>
        <w:spacing w:line="240" w:lineRule="auto" w:before="0" w:after="0"/>
        <w:ind w:left="1050" w:right="0" w:hanging="213"/>
        <w:jc w:val="left"/>
        <w:rPr>
          <w:b/>
          <w:sz w:val="21"/>
        </w:rPr>
      </w:pPr>
      <w:r>
        <w:rPr>
          <w:spacing w:val="-3"/>
          <w:sz w:val="21"/>
        </w:rPr>
        <w:t>对运输及贮存的要求。</w:t>
      </w:r>
      <w:r>
        <w:rPr>
          <w:b/>
          <w:w w:val="99"/>
          <w:sz w:val="21"/>
        </w:rPr>
        <w:t> </w:t>
      </w:r>
    </w:p>
    <w:p>
      <w:pPr>
        <w:pStyle w:val="BodyText"/>
        <w:spacing w:before="2"/>
        <w:rPr>
          <w:b/>
          <w:sz w:val="18"/>
        </w:rPr>
      </w:pPr>
    </w:p>
    <w:p>
      <w:pPr>
        <w:pStyle w:val="ListParagraph"/>
        <w:numPr>
          <w:ilvl w:val="2"/>
          <w:numId w:val="333"/>
        </w:numPr>
        <w:tabs>
          <w:tab w:pos="1478" w:val="left" w:leader="none"/>
        </w:tabs>
        <w:spacing w:line="240" w:lineRule="auto" w:before="0" w:after="0"/>
        <w:ind w:left="1477" w:right="0" w:hanging="638"/>
        <w:jc w:val="left"/>
        <w:rPr>
          <w:sz w:val="21"/>
        </w:rPr>
      </w:pPr>
      <w:r>
        <w:rPr>
          <w:spacing w:val="-3"/>
          <w:sz w:val="21"/>
        </w:rPr>
        <w:t>包装箱内应装有产品合格证、使用说明书、随机附件清单等。</w:t>
      </w:r>
      <w:r>
        <w:rPr>
          <w:sz w:val="21"/>
        </w:rPr>
        <w:t> </w:t>
      </w:r>
    </w:p>
    <w:p>
      <w:pPr>
        <w:pStyle w:val="BodyText"/>
        <w:rPr>
          <w:sz w:val="18"/>
        </w:rPr>
      </w:pPr>
    </w:p>
    <w:p>
      <w:pPr>
        <w:pStyle w:val="ListParagraph"/>
        <w:numPr>
          <w:ilvl w:val="1"/>
          <w:numId w:val="333"/>
        </w:numPr>
        <w:tabs>
          <w:tab w:pos="1264" w:val="left" w:leader="none"/>
        </w:tabs>
        <w:spacing w:line="240" w:lineRule="auto" w:before="0" w:after="0"/>
        <w:ind w:left="1263" w:right="0" w:hanging="424"/>
        <w:jc w:val="left"/>
        <w:rPr>
          <w:b/>
          <w:sz w:val="21"/>
        </w:rPr>
      </w:pPr>
      <w:r>
        <w:rPr>
          <w:spacing w:val="-3"/>
          <w:sz w:val="21"/>
        </w:rPr>
        <w:t>运输</w:t>
      </w:r>
      <w:r>
        <w:rPr>
          <w:b/>
          <w:w w:val="99"/>
          <w:sz w:val="21"/>
        </w:rPr>
        <w:t> </w:t>
      </w:r>
    </w:p>
    <w:p>
      <w:pPr>
        <w:pStyle w:val="BodyText"/>
        <w:spacing w:before="12"/>
        <w:rPr>
          <w:b/>
          <w:sz w:val="17"/>
        </w:rPr>
      </w:pPr>
    </w:p>
    <w:p>
      <w:pPr>
        <w:pStyle w:val="BodyText"/>
        <w:spacing w:line="446" w:lineRule="auto"/>
        <w:ind w:left="840" w:right="4866" w:hanging="3"/>
        <w:rPr>
          <w:b/>
        </w:rPr>
      </w:pPr>
      <w:r>
        <w:rPr/>
        <w:t>在运输及装卸时应防止重压，避免碰撞及雨雪淋袭。</w:t>
      </w:r>
      <w:r>
        <w:rPr>
          <w:b/>
        </w:rPr>
        <w:t>10.3 </w:t>
      </w:r>
      <w:r>
        <w:rPr/>
        <w:t>贮存</w:t>
      </w:r>
      <w:r>
        <w:rPr>
          <w:b/>
          <w:w w:val="99"/>
        </w:rPr>
        <w:t> </w:t>
      </w:r>
    </w:p>
    <w:p>
      <w:pPr>
        <w:spacing w:after="0" w:line="446" w:lineRule="auto"/>
        <w:sectPr>
          <w:pgSz w:w="11910" w:h="16850"/>
          <w:pgMar w:header="0" w:footer="1239" w:top="1220" w:bottom="1420" w:left="1260" w:right="0"/>
        </w:sectPr>
      </w:pPr>
    </w:p>
    <w:p>
      <w:pPr>
        <w:pStyle w:val="BodyText"/>
        <w:spacing w:before="47"/>
        <w:ind w:left="838"/>
      </w:pPr>
      <w:r>
        <w:rPr/>
        <w:t>产品应贮存在干燥通风处，防止受潮，不允许倒置，应远离有腐蚀性的物体。 </w:t>
      </w:r>
    </w:p>
    <w:p>
      <w:pPr>
        <w:pStyle w:val="BodyText"/>
        <w:rPr>
          <w:sz w:val="18"/>
        </w:rPr>
      </w:pPr>
    </w:p>
    <w:p>
      <w:pPr>
        <w:pStyle w:val="BodyText"/>
        <w:ind w:left="838"/>
      </w:pPr>
      <w:r>
        <w:rPr>
          <w:w w:val="100"/>
        </w:rPr>
        <w:t> </w:t>
      </w:r>
    </w:p>
    <w:p>
      <w:pPr>
        <w:spacing w:after="0"/>
        <w:sectPr>
          <w:pgSz w:w="11910" w:h="16850"/>
          <w:pgMar w:header="0" w:footer="1239" w:top="1220" w:bottom="1420" w:left="1260" w:right="0"/>
        </w:sectPr>
      </w:pPr>
    </w:p>
    <w:p>
      <w:pPr>
        <w:pStyle w:val="Heading2"/>
        <w:ind w:left="3157"/>
        <w:jc w:val="left"/>
      </w:pPr>
      <w:bookmarkStart w:name="_bookmark13" w:id="14"/>
      <w:bookmarkEnd w:id="14"/>
      <w:r>
        <w:rPr>
          <w:b w:val="0"/>
        </w:rPr>
      </w:r>
      <w:r>
        <w:rPr/>
        <w:t>建筑灭火器配置设计规范</w:t>
      </w:r>
      <w:r>
        <w:rPr>
          <w:w w:val="99"/>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335"/>
        </w:numPr>
        <w:tabs>
          <w:tab w:pos="1159" w:val="left" w:leader="none"/>
        </w:tabs>
        <w:spacing w:line="446" w:lineRule="auto" w:before="0" w:after="0"/>
        <w:ind w:left="418" w:right="1685" w:firstLine="422"/>
        <w:jc w:val="left"/>
        <w:rPr>
          <w:sz w:val="21"/>
        </w:rPr>
      </w:pPr>
      <w:r>
        <w:rPr>
          <w:spacing w:val="-9"/>
          <w:sz w:val="21"/>
        </w:rPr>
        <w:t>为了合理配置建筑灭火器</w:t>
      </w:r>
      <w:r>
        <w:rPr>
          <w:spacing w:val="-5"/>
          <w:sz w:val="21"/>
        </w:rPr>
        <w:t>（</w:t>
      </w:r>
      <w:r>
        <w:rPr>
          <w:spacing w:val="-7"/>
          <w:sz w:val="21"/>
        </w:rPr>
        <w:t>以下可简称灭火器</w:t>
      </w:r>
      <w:r>
        <w:rPr>
          <w:spacing w:val="-27"/>
          <w:sz w:val="21"/>
        </w:rPr>
        <w:t>），</w:t>
      </w:r>
      <w:r>
        <w:rPr>
          <w:spacing w:val="-8"/>
          <w:sz w:val="21"/>
        </w:rPr>
        <w:t>有效地扑救工业与民用建筑初起火灾</w:t>
      </w:r>
      <w:r>
        <w:rPr>
          <w:spacing w:val="-9"/>
          <w:sz w:val="21"/>
        </w:rPr>
        <w:t>，减少火灾损失，保护人身和财产的安全，制定本规范。</w:t>
      </w:r>
      <w:r>
        <w:rPr>
          <w:spacing w:val="-15"/>
          <w:sz w:val="21"/>
        </w:rPr>
        <w:t> </w:t>
      </w:r>
      <w:r>
        <w:rPr>
          <w:sz w:val="21"/>
        </w:rPr>
        <w:t> </w:t>
      </w:r>
    </w:p>
    <w:p>
      <w:pPr>
        <w:pStyle w:val="ListParagraph"/>
        <w:numPr>
          <w:ilvl w:val="1"/>
          <w:numId w:val="335"/>
        </w:numPr>
        <w:tabs>
          <w:tab w:pos="1160" w:val="left" w:leader="none"/>
        </w:tabs>
        <w:spacing w:line="240" w:lineRule="auto" w:before="0" w:after="0"/>
        <w:ind w:left="1159" w:right="0" w:hanging="320"/>
        <w:jc w:val="left"/>
        <w:rPr>
          <w:sz w:val="21"/>
        </w:rPr>
      </w:pPr>
      <w:r>
        <w:rPr>
          <w:spacing w:val="-3"/>
          <w:sz w:val="21"/>
        </w:rPr>
        <w:t>本规范适用于生产、使用或储存可燃物的新建、改建、扩建的工业与民用建筑工程。 </w:t>
      </w:r>
    </w:p>
    <w:p>
      <w:pPr>
        <w:pStyle w:val="BodyText"/>
        <w:spacing w:before="12"/>
        <w:rPr>
          <w:sz w:val="17"/>
        </w:rPr>
      </w:pPr>
    </w:p>
    <w:p>
      <w:pPr>
        <w:pStyle w:val="BodyText"/>
        <w:ind w:left="418"/>
      </w:pPr>
      <w:r>
        <w:rPr/>
        <w:t>本规范不适用于生产或储存炸药、弹药、火工品、花炮的厂房或库房。  </w:t>
      </w:r>
      <w:r>
        <w:rPr>
          <w:w w:val="100"/>
        </w:rPr>
        <w:t> </w:t>
      </w:r>
    </w:p>
    <w:p>
      <w:pPr>
        <w:pStyle w:val="BodyText"/>
        <w:rPr>
          <w:sz w:val="18"/>
        </w:rPr>
      </w:pPr>
    </w:p>
    <w:p>
      <w:pPr>
        <w:pStyle w:val="ListParagraph"/>
        <w:numPr>
          <w:ilvl w:val="1"/>
          <w:numId w:val="335"/>
        </w:numPr>
        <w:tabs>
          <w:tab w:pos="1159" w:val="left" w:leader="none"/>
        </w:tabs>
        <w:spacing w:line="446" w:lineRule="auto" w:before="0" w:after="0"/>
        <w:ind w:left="418" w:right="1594" w:firstLine="422"/>
        <w:jc w:val="left"/>
        <w:rPr>
          <w:sz w:val="21"/>
        </w:rPr>
      </w:pPr>
      <w:r>
        <w:rPr>
          <w:spacing w:val="-12"/>
          <w:sz w:val="21"/>
        </w:rPr>
        <w:t>灭火器的配置类型、规格、数量及其设置位置应作为建筑消防工程设计的内容，并应在</w:t>
      </w:r>
      <w:r>
        <w:rPr>
          <w:spacing w:val="-5"/>
          <w:sz w:val="21"/>
        </w:rPr>
        <w:t>工程设计图上标明。</w:t>
      </w:r>
      <w:r>
        <w:rPr>
          <w:sz w:val="21"/>
        </w:rPr>
        <w:t> </w:t>
      </w:r>
      <w:r>
        <w:rPr>
          <w:spacing w:val="15"/>
          <w:sz w:val="21"/>
        </w:rPr>
        <w:t> </w:t>
      </w:r>
      <w:r>
        <w:rPr>
          <w:w w:val="100"/>
          <w:sz w:val="21"/>
        </w:rPr>
        <w:t> </w:t>
      </w:r>
    </w:p>
    <w:p>
      <w:pPr>
        <w:pStyle w:val="ListParagraph"/>
        <w:numPr>
          <w:ilvl w:val="1"/>
          <w:numId w:val="335"/>
        </w:numPr>
        <w:tabs>
          <w:tab w:pos="1159" w:val="left" w:leader="none"/>
        </w:tabs>
        <w:spacing w:line="240" w:lineRule="auto" w:before="0" w:after="0"/>
        <w:ind w:left="1158" w:right="0" w:hanging="319"/>
        <w:jc w:val="left"/>
        <w:rPr>
          <w:sz w:val="21"/>
        </w:rPr>
      </w:pPr>
      <w:r>
        <w:rPr>
          <w:spacing w:val="-8"/>
          <w:sz w:val="21"/>
        </w:rPr>
        <w:t>灭火器的配置，除执行本规范外，尚应符合国家现行有关标准、规范的规定。</w:t>
      </w:r>
      <w:r>
        <w:rPr>
          <w:sz w:val="21"/>
        </w:rPr>
        <w:t> </w:t>
      </w:r>
    </w:p>
    <w:p>
      <w:pPr>
        <w:pStyle w:val="BodyText"/>
        <w:spacing w:before="8"/>
        <w:rPr>
          <w:sz w:val="15"/>
        </w:rPr>
      </w:pPr>
    </w:p>
    <w:p>
      <w:pPr>
        <w:pStyle w:val="Heading4"/>
      </w:pPr>
      <w:r>
        <w:rPr/>
        <w:t>2 术语和符号</w:t>
      </w:r>
      <w:r>
        <w:rPr>
          <w:w w:val="99"/>
        </w:rPr>
        <w:t> </w:t>
      </w:r>
    </w:p>
    <w:p>
      <w:pPr>
        <w:pStyle w:val="BodyText"/>
        <w:spacing w:before="6"/>
        <w:rPr>
          <w:b/>
          <w:sz w:val="17"/>
        </w:rPr>
      </w:pPr>
    </w:p>
    <w:p>
      <w:pPr>
        <w:pStyle w:val="ListParagraph"/>
        <w:numPr>
          <w:ilvl w:val="1"/>
          <w:numId w:val="336"/>
        </w:numPr>
        <w:tabs>
          <w:tab w:pos="1159" w:val="left" w:leader="none"/>
        </w:tabs>
        <w:spacing w:line="240" w:lineRule="auto" w:before="0" w:after="0"/>
        <w:ind w:left="1158" w:right="0" w:hanging="319"/>
        <w:jc w:val="left"/>
        <w:rPr>
          <w:b/>
          <w:sz w:val="21"/>
        </w:rPr>
      </w:pPr>
      <w:r>
        <w:rPr>
          <w:spacing w:val="-3"/>
          <w:sz w:val="21"/>
        </w:rPr>
        <w:t>术语</w:t>
      </w:r>
      <w:r>
        <w:rPr>
          <w:b/>
          <w:w w:val="99"/>
          <w:sz w:val="21"/>
        </w:rPr>
        <w:t> </w:t>
      </w:r>
    </w:p>
    <w:p>
      <w:pPr>
        <w:pStyle w:val="BodyText"/>
        <w:rPr>
          <w:b/>
          <w:sz w:val="18"/>
        </w:rPr>
      </w:pPr>
    </w:p>
    <w:p>
      <w:pPr>
        <w:pStyle w:val="BodyText"/>
        <w:ind w:left="838"/>
      </w:pPr>
      <w:r>
        <w:rPr/>
        <w:t>灭火器配置场所 distribution place of fire extinguisher </w:t>
      </w:r>
    </w:p>
    <w:p>
      <w:pPr>
        <w:pStyle w:val="BodyText"/>
        <w:rPr>
          <w:sz w:val="18"/>
        </w:rPr>
      </w:pPr>
    </w:p>
    <w:p>
      <w:pPr>
        <w:pStyle w:val="BodyText"/>
        <w:spacing w:line="446" w:lineRule="auto"/>
        <w:ind w:left="418" w:right="1716" w:firstLine="419"/>
      </w:pPr>
      <w:r>
        <w:rPr/>
        <w:t>存在可燃的气体、液体、固体等物质，需要配置灭火器的场所。计算单元 calculation unit </w:t>
      </w:r>
    </w:p>
    <w:p>
      <w:pPr>
        <w:pStyle w:val="BodyText"/>
        <w:ind w:left="838"/>
      </w:pPr>
      <w:r>
        <w:rPr/>
        <w:t>灭火器配置的计算区域。保护距离 travel distance </w:t>
      </w:r>
    </w:p>
    <w:p>
      <w:pPr>
        <w:pStyle w:val="BodyText"/>
        <w:spacing w:before="12"/>
        <w:rPr>
          <w:sz w:val="17"/>
        </w:rPr>
      </w:pPr>
    </w:p>
    <w:p>
      <w:pPr>
        <w:pStyle w:val="BodyText"/>
        <w:spacing w:line="446" w:lineRule="auto"/>
        <w:ind w:left="418" w:right="1714" w:firstLine="419"/>
        <w:jc w:val="both"/>
      </w:pPr>
      <w:r>
        <w:rPr>
          <w:spacing w:val="-3"/>
        </w:rPr>
        <w:t>灭火器配置场所内，灭火器设置点到最不利点的直线行走距离。灭火级别 </w:t>
      </w:r>
      <w:r>
        <w:rPr/>
        <w:t>fire rating </w:t>
      </w:r>
      <w:r>
        <w:rPr>
          <w:spacing w:val="-3"/>
        </w:rPr>
        <w:t>表示灭火器能够扑灭不同种类火灾的效能。由表示灭火效能的数字和灭火种类的字母组成。建筑灭火器配置类型、规格和灭火级别基本参数举例见本规范附录 </w:t>
      </w:r>
      <w:r>
        <w:rPr/>
        <w:t>A</w:t>
      </w:r>
      <w:r>
        <w:rPr>
          <w:spacing w:val="-3"/>
        </w:rPr>
        <w:t>。</w:t>
      </w:r>
      <w:r>
        <w:rPr/>
        <w:t> </w:t>
      </w:r>
      <w:r>
        <w:rPr>
          <w:spacing w:val="-5"/>
        </w:rPr>
        <w:t> </w:t>
      </w:r>
      <w:r>
        <w:rPr>
          <w:w w:val="100"/>
        </w:rPr>
        <w:t> </w:t>
      </w:r>
    </w:p>
    <w:p>
      <w:pPr>
        <w:pStyle w:val="ListParagraph"/>
        <w:numPr>
          <w:ilvl w:val="1"/>
          <w:numId w:val="336"/>
        </w:numPr>
        <w:tabs>
          <w:tab w:pos="1159" w:val="left" w:leader="none"/>
        </w:tabs>
        <w:spacing w:line="268" w:lineRule="exact" w:before="0" w:after="0"/>
        <w:ind w:left="1158" w:right="0" w:hanging="319"/>
        <w:jc w:val="left"/>
        <w:rPr>
          <w:b/>
          <w:sz w:val="21"/>
        </w:rPr>
      </w:pPr>
      <w:r>
        <w:rPr>
          <w:spacing w:val="-3"/>
          <w:sz w:val="21"/>
        </w:rPr>
        <w:t>符号</w:t>
      </w:r>
      <w:r>
        <w:rPr>
          <w:b/>
          <w:w w:val="99"/>
          <w:sz w:val="21"/>
        </w:rPr>
        <w:t> </w:t>
      </w:r>
    </w:p>
    <w:p>
      <w:pPr>
        <w:pStyle w:val="BodyText"/>
        <w:spacing w:before="2"/>
        <w:rPr>
          <w:b/>
          <w:sz w:val="18"/>
        </w:rPr>
      </w:pPr>
    </w:p>
    <w:p>
      <w:pPr>
        <w:pStyle w:val="ListParagraph"/>
        <w:numPr>
          <w:ilvl w:val="2"/>
          <w:numId w:val="336"/>
        </w:numPr>
        <w:tabs>
          <w:tab w:pos="1370" w:val="left" w:leader="none"/>
        </w:tabs>
        <w:spacing w:line="240" w:lineRule="auto" w:before="1" w:after="0"/>
        <w:ind w:left="1369" w:right="0" w:hanging="530"/>
        <w:jc w:val="left"/>
        <w:rPr>
          <w:b/>
          <w:sz w:val="21"/>
        </w:rPr>
      </w:pPr>
      <w:r>
        <w:rPr>
          <w:spacing w:val="-3"/>
          <w:sz w:val="21"/>
        </w:rPr>
        <w:t>灭火器配置设计计算符号：</w:t>
      </w:r>
      <w:r>
        <w:rPr>
          <w:b/>
          <w:w w:val="99"/>
          <w:sz w:val="21"/>
        </w:rPr>
        <w:t> </w:t>
      </w:r>
    </w:p>
    <w:p>
      <w:pPr>
        <w:pStyle w:val="BodyText"/>
        <w:spacing w:before="2"/>
        <w:rPr>
          <w:b/>
          <w:sz w:val="17"/>
        </w:rPr>
      </w:pPr>
    </w:p>
    <w:p>
      <w:pPr>
        <w:pStyle w:val="BodyText"/>
        <w:ind w:left="838"/>
        <w:rPr>
          <w:b/>
        </w:rPr>
      </w:pPr>
      <w:r>
        <w:rPr>
          <w:i/>
          <w:w w:val="96"/>
          <w:sz w:val="22"/>
        </w:rPr>
        <w:t>Q </w:t>
      </w:r>
      <w:r>
        <w:rPr>
          <w:spacing w:val="-3"/>
          <w:w w:val="100"/>
        </w:rPr>
        <w:t> ——计算单元的最小需配灭火级别</w:t>
      </w:r>
      <w:r>
        <w:rPr>
          <w:w w:val="100"/>
        </w:rPr>
        <w:t>（A</w:t>
      </w:r>
      <w:r>
        <w:rPr>
          <w:spacing w:val="-2"/>
          <w:w w:val="100"/>
        </w:rPr>
        <w:t> 或 B</w:t>
      </w:r>
      <w:r>
        <w:rPr>
          <w:spacing w:val="-106"/>
          <w:w w:val="100"/>
        </w:rPr>
        <w:t>）</w:t>
      </w:r>
      <w:r>
        <w:rPr>
          <w:spacing w:val="-3"/>
          <w:w w:val="100"/>
        </w:rPr>
        <w:t>；</w:t>
      </w:r>
      <w:r>
        <w:rPr>
          <w:b/>
          <w:w w:val="99"/>
        </w:rPr>
        <w:t> </w:t>
      </w:r>
    </w:p>
    <w:p>
      <w:pPr>
        <w:pStyle w:val="BodyText"/>
        <w:spacing w:before="12"/>
        <w:rPr>
          <w:b/>
          <w:sz w:val="16"/>
        </w:rPr>
      </w:pPr>
    </w:p>
    <w:p>
      <w:pPr>
        <w:pStyle w:val="BodyText"/>
        <w:ind w:left="838"/>
        <w:rPr>
          <w:b/>
        </w:rPr>
      </w:pPr>
      <w:r>
        <w:rPr>
          <w:i/>
          <w:w w:val="96"/>
          <w:sz w:val="22"/>
        </w:rPr>
        <w:t>S</w:t>
      </w:r>
      <w:r>
        <w:rPr>
          <w:spacing w:val="-3"/>
          <w:w w:val="100"/>
        </w:rPr>
        <w:t>   ——计算单元的保护面积（</w:t>
      </w:r>
      <w:r>
        <w:rPr>
          <w:w w:val="100"/>
        </w:rPr>
        <w:t>㎡</w:t>
      </w:r>
      <w:r>
        <w:rPr>
          <w:spacing w:val="-108"/>
          <w:w w:val="100"/>
        </w:rPr>
        <w:t>）</w:t>
      </w:r>
      <w:r>
        <w:rPr>
          <w:spacing w:val="-3"/>
          <w:w w:val="100"/>
        </w:rPr>
        <w:t>；</w:t>
      </w:r>
      <w:r>
        <w:rPr>
          <w:b/>
          <w:w w:val="99"/>
        </w:rPr>
        <w:t> </w:t>
      </w:r>
    </w:p>
    <w:p>
      <w:pPr>
        <w:pStyle w:val="BodyText"/>
        <w:spacing w:before="2"/>
        <w:rPr>
          <w:b/>
          <w:sz w:val="17"/>
        </w:rPr>
      </w:pPr>
    </w:p>
    <w:p>
      <w:pPr>
        <w:pStyle w:val="BodyText"/>
        <w:ind w:left="838"/>
        <w:rPr>
          <w:b/>
        </w:rPr>
      </w:pPr>
      <w:r>
        <w:rPr>
          <w:i/>
          <w:w w:val="96"/>
          <w:sz w:val="22"/>
        </w:rPr>
        <w:t>U </w:t>
      </w:r>
      <w:r>
        <w:rPr>
          <w:spacing w:val="-2"/>
          <w:w w:val="100"/>
        </w:rPr>
        <w:t> —</w:t>
      </w:r>
      <w:r>
        <w:rPr>
          <w:w w:val="100"/>
        </w:rPr>
        <w:t>—A</w:t>
      </w:r>
      <w:r>
        <w:rPr>
          <w:spacing w:val="-3"/>
          <w:w w:val="100"/>
        </w:rPr>
        <w:t> 类或 </w:t>
      </w:r>
      <w:r>
        <w:rPr>
          <w:w w:val="100"/>
        </w:rPr>
        <w:t>B</w:t>
      </w:r>
      <w:r>
        <w:rPr>
          <w:spacing w:val="-3"/>
          <w:w w:val="100"/>
        </w:rPr>
        <w:t> 类火灾场所单位灭火级别最大保护面积</w:t>
      </w:r>
      <w:r>
        <w:rPr>
          <w:w w:val="100"/>
        </w:rPr>
        <w:t>（</w:t>
      </w:r>
      <w:r>
        <w:rPr>
          <w:spacing w:val="-3"/>
          <w:w w:val="100"/>
        </w:rPr>
        <w:t>㎡</w:t>
      </w:r>
      <w:r>
        <w:rPr>
          <w:w w:val="100"/>
        </w:rPr>
        <w:t>/A</w:t>
      </w:r>
      <w:r>
        <w:rPr>
          <w:spacing w:val="-3"/>
          <w:w w:val="100"/>
        </w:rPr>
        <w:t> 或 ㎡</w:t>
      </w:r>
      <w:r>
        <w:rPr>
          <w:w w:val="100"/>
        </w:rPr>
        <w:t>/B</w:t>
      </w:r>
      <w:r>
        <w:rPr>
          <w:spacing w:val="-108"/>
          <w:w w:val="100"/>
        </w:rPr>
        <w:t>）</w:t>
      </w:r>
      <w:r>
        <w:rPr>
          <w:spacing w:val="-2"/>
          <w:w w:val="100"/>
        </w:rPr>
        <w:t>；</w:t>
      </w:r>
      <w:r>
        <w:rPr>
          <w:b/>
          <w:w w:val="99"/>
        </w:rPr>
        <w:t> </w:t>
      </w:r>
    </w:p>
    <w:p>
      <w:pPr>
        <w:pStyle w:val="BodyText"/>
        <w:spacing w:before="12"/>
        <w:rPr>
          <w:b/>
          <w:sz w:val="16"/>
        </w:rPr>
      </w:pPr>
    </w:p>
    <w:p>
      <w:pPr>
        <w:spacing w:before="0"/>
        <w:ind w:left="838" w:right="0" w:firstLine="0"/>
        <w:jc w:val="left"/>
        <w:rPr>
          <w:b/>
          <w:sz w:val="21"/>
        </w:rPr>
      </w:pPr>
      <w:r>
        <w:rPr>
          <w:i/>
          <w:sz w:val="22"/>
        </w:rPr>
        <w:t>K</w:t>
      </w:r>
      <w:r>
        <w:rPr>
          <w:i/>
          <w:spacing w:val="96"/>
          <w:sz w:val="22"/>
        </w:rPr>
        <w:t> </w:t>
      </w:r>
      <w:r>
        <w:rPr>
          <w:spacing w:val="-2"/>
          <w:sz w:val="21"/>
        </w:rPr>
        <w:t>——修正系数；</w:t>
      </w:r>
      <w:r>
        <w:rPr>
          <w:b/>
          <w:spacing w:val="-2"/>
          <w:w w:val="99"/>
          <w:sz w:val="21"/>
        </w:rPr>
        <w:t> </w:t>
      </w:r>
    </w:p>
    <w:p>
      <w:pPr>
        <w:pStyle w:val="BodyText"/>
        <w:spacing w:before="12"/>
        <w:rPr>
          <w:b/>
          <w:sz w:val="16"/>
        </w:rPr>
      </w:pPr>
    </w:p>
    <w:p>
      <w:pPr>
        <w:pStyle w:val="BodyText"/>
        <w:spacing w:line="427" w:lineRule="auto"/>
        <w:ind w:left="838" w:right="3133"/>
        <w:rPr>
          <w:b/>
        </w:rPr>
      </w:pPr>
      <w:r>
        <w:rPr>
          <w:i/>
          <w:position w:val="1"/>
          <w:sz w:val="22"/>
        </w:rPr>
        <w:t>Q</w:t>
      </w:r>
      <w:r>
        <w:rPr>
          <w:sz w:val="11"/>
        </w:rPr>
        <w:t>e</w:t>
      </w:r>
      <w:r>
        <w:rPr>
          <w:spacing w:val="8"/>
          <w:position w:val="1"/>
          <w:sz w:val="11"/>
        </w:rPr>
        <w:t> </w:t>
      </w:r>
      <w:r>
        <w:rPr>
          <w:spacing w:val="-3"/>
          <w:position w:val="1"/>
        </w:rPr>
        <w:t>——计算单元中每个灭火器设置点的最小需配灭火级别</w:t>
      </w:r>
      <w:r>
        <w:rPr>
          <w:position w:val="1"/>
        </w:rPr>
        <w:t>（A</w:t>
      </w:r>
      <w:r>
        <w:rPr>
          <w:spacing w:val="7"/>
          <w:position w:val="1"/>
        </w:rPr>
        <w:t> 或 </w:t>
      </w:r>
      <w:r>
        <w:rPr>
          <w:position w:val="1"/>
        </w:rPr>
        <w:t>B）； </w:t>
      </w:r>
      <w:r>
        <w:rPr>
          <w:i/>
          <w:sz w:val="22"/>
        </w:rPr>
        <w:t>N</w:t>
      </w:r>
      <w:r>
        <w:rPr>
          <w:i/>
          <w:spacing w:val="98"/>
          <w:sz w:val="22"/>
        </w:rPr>
        <w:t> </w:t>
      </w:r>
      <w:r>
        <w:rPr>
          <w:spacing w:val="-3"/>
        </w:rPr>
        <w:t>——计算单元中的灭火器设置点数（</w:t>
      </w:r>
      <w:r>
        <w:rPr/>
        <w:t>个</w:t>
      </w:r>
      <w:r>
        <w:rPr>
          <w:spacing w:val="-108"/>
        </w:rPr>
        <w:t>）</w:t>
      </w:r>
      <w:r>
        <w:rPr>
          <w:spacing w:val="-3"/>
        </w:rPr>
        <w:t>。</w:t>
      </w:r>
      <w:r>
        <w:rPr>
          <w:b/>
          <w:w w:val="99"/>
        </w:rPr>
        <w:t> </w:t>
      </w:r>
    </w:p>
    <w:p>
      <w:pPr>
        <w:pStyle w:val="ListParagraph"/>
        <w:numPr>
          <w:ilvl w:val="2"/>
          <w:numId w:val="336"/>
        </w:numPr>
        <w:tabs>
          <w:tab w:pos="1370" w:val="left" w:leader="none"/>
          <w:tab w:pos="5458" w:val="left" w:leader="none"/>
        </w:tabs>
        <w:spacing w:line="240" w:lineRule="auto" w:before="9" w:after="0"/>
        <w:ind w:left="1369" w:right="0" w:hanging="530"/>
        <w:jc w:val="left"/>
        <w:rPr>
          <w:b/>
          <w:sz w:val="21"/>
        </w:rPr>
      </w:pPr>
      <w:r>
        <w:rPr>
          <w:spacing w:val="-3"/>
          <w:sz w:val="21"/>
        </w:rPr>
        <w:t>灭</w:t>
      </w:r>
      <w:r>
        <w:rPr>
          <w:sz w:val="21"/>
        </w:rPr>
        <w:t>火</w:t>
      </w:r>
      <w:r>
        <w:rPr>
          <w:spacing w:val="-3"/>
          <w:sz w:val="21"/>
        </w:rPr>
        <w:t>器</w:t>
      </w:r>
      <w:r>
        <w:rPr>
          <w:sz w:val="21"/>
        </w:rPr>
        <w:t>配</w:t>
      </w:r>
      <w:r>
        <w:rPr>
          <w:spacing w:val="-3"/>
          <w:sz w:val="21"/>
        </w:rPr>
        <w:t>置</w:t>
      </w:r>
      <w:r>
        <w:rPr>
          <w:sz w:val="21"/>
        </w:rPr>
        <w:t>设</w:t>
      </w:r>
      <w:r>
        <w:rPr>
          <w:spacing w:val="-3"/>
          <w:sz w:val="21"/>
        </w:rPr>
        <w:t>计图</w:t>
      </w:r>
      <w:r>
        <w:rPr>
          <w:sz w:val="21"/>
        </w:rPr>
        <w:t>例见</w:t>
      </w:r>
      <w:r>
        <w:rPr>
          <w:spacing w:val="-3"/>
          <w:sz w:val="21"/>
        </w:rPr>
        <w:t>本</w:t>
      </w:r>
      <w:r>
        <w:rPr>
          <w:sz w:val="21"/>
        </w:rPr>
        <w:t>规</w:t>
      </w:r>
      <w:r>
        <w:rPr>
          <w:spacing w:val="-3"/>
          <w:sz w:val="21"/>
        </w:rPr>
        <w:t>范</w:t>
      </w:r>
      <w:r>
        <w:rPr>
          <w:sz w:val="21"/>
        </w:rPr>
        <w:t>附</w:t>
      </w:r>
      <w:r>
        <w:rPr>
          <w:spacing w:val="-3"/>
          <w:sz w:val="21"/>
        </w:rPr>
        <w:t>录</w:t>
      </w:r>
      <w:r>
        <w:rPr>
          <w:spacing w:val="18"/>
          <w:sz w:val="21"/>
        </w:rPr>
        <w:t> </w:t>
      </w:r>
      <w:r>
        <w:rPr>
          <w:sz w:val="21"/>
        </w:rPr>
        <w:t>B。 </w:t>
        <w:tab/>
      </w:r>
      <w:r>
        <w:rPr>
          <w:b/>
          <w:w w:val="99"/>
          <w:sz w:val="21"/>
        </w:rPr>
        <w:t> </w:t>
      </w:r>
    </w:p>
    <w:p>
      <w:pPr>
        <w:spacing w:after="0" w:line="240" w:lineRule="auto"/>
        <w:jc w:val="left"/>
        <w:rPr>
          <w:sz w:val="21"/>
        </w:rPr>
        <w:sectPr>
          <w:footerReference w:type="default" r:id="rId190"/>
          <w:pgSz w:w="11910" w:h="16850"/>
          <w:pgMar w:footer="1159" w:header="0" w:top="1140" w:bottom="1340" w:left="1260" w:right="0"/>
          <w:pgNumType w:start="1090"/>
        </w:sectPr>
      </w:pPr>
    </w:p>
    <w:p>
      <w:pPr>
        <w:pStyle w:val="Heading4"/>
        <w:spacing w:before="37"/>
      </w:pPr>
      <w:r>
        <w:rPr/>
        <w:t>3 灭火器配置场所的火灾种类和危险等级</w:t>
      </w:r>
      <w:r>
        <w:rPr>
          <w:w w:val="99"/>
        </w:rPr>
        <w:t> </w:t>
      </w:r>
    </w:p>
    <w:p>
      <w:pPr>
        <w:pStyle w:val="BodyText"/>
        <w:spacing w:before="4"/>
        <w:rPr>
          <w:b/>
          <w:sz w:val="17"/>
        </w:rPr>
      </w:pPr>
    </w:p>
    <w:p>
      <w:pPr>
        <w:pStyle w:val="ListParagraph"/>
        <w:numPr>
          <w:ilvl w:val="1"/>
          <w:numId w:val="337"/>
        </w:numPr>
        <w:tabs>
          <w:tab w:pos="1160" w:val="left" w:leader="none"/>
        </w:tabs>
        <w:spacing w:line="240" w:lineRule="auto" w:before="1" w:after="0"/>
        <w:ind w:left="1159" w:right="0" w:hanging="320"/>
        <w:jc w:val="left"/>
        <w:rPr>
          <w:sz w:val="21"/>
        </w:rPr>
      </w:pPr>
      <w:r>
        <w:rPr>
          <w:spacing w:val="-3"/>
          <w:sz w:val="21"/>
        </w:rPr>
        <w:t>火灾种类</w:t>
      </w:r>
      <w:r>
        <w:rPr>
          <w:sz w:val="21"/>
        </w:rPr>
        <w:t> </w:t>
      </w:r>
    </w:p>
    <w:p>
      <w:pPr>
        <w:pStyle w:val="BodyText"/>
        <w:spacing w:before="12"/>
        <w:rPr>
          <w:sz w:val="17"/>
        </w:rPr>
      </w:pPr>
    </w:p>
    <w:p>
      <w:pPr>
        <w:pStyle w:val="ListParagraph"/>
        <w:numPr>
          <w:ilvl w:val="2"/>
          <w:numId w:val="337"/>
        </w:numPr>
        <w:tabs>
          <w:tab w:pos="1371" w:val="left" w:leader="none"/>
        </w:tabs>
        <w:spacing w:line="240" w:lineRule="auto" w:before="0" w:after="0"/>
        <w:ind w:left="1370" w:right="0" w:hanging="531"/>
        <w:jc w:val="left"/>
        <w:rPr>
          <w:sz w:val="21"/>
        </w:rPr>
      </w:pPr>
      <w:r>
        <w:rPr>
          <w:spacing w:val="-3"/>
          <w:sz w:val="21"/>
        </w:rPr>
        <w:t>灭火器配置场所的火灾种类应根据该场所内的物质及其燃烧特性进行分类 </w:t>
      </w:r>
      <w:r>
        <w:rPr>
          <w:spacing w:val="-9"/>
          <w:sz w:val="21"/>
        </w:rPr>
        <w:t> </w:t>
      </w:r>
      <w:r>
        <w:rPr>
          <w:w w:val="100"/>
          <w:sz w:val="21"/>
        </w:rPr>
        <w:t> </w:t>
      </w:r>
    </w:p>
    <w:p>
      <w:pPr>
        <w:pStyle w:val="BodyText"/>
        <w:spacing w:before="2"/>
        <w:rPr>
          <w:sz w:val="18"/>
        </w:rPr>
      </w:pPr>
    </w:p>
    <w:p>
      <w:pPr>
        <w:pStyle w:val="ListParagraph"/>
        <w:numPr>
          <w:ilvl w:val="2"/>
          <w:numId w:val="337"/>
        </w:numPr>
        <w:tabs>
          <w:tab w:pos="1370" w:val="left" w:leader="none"/>
        </w:tabs>
        <w:spacing w:line="240" w:lineRule="auto" w:before="0" w:after="0"/>
        <w:ind w:left="1369" w:right="0" w:hanging="530"/>
        <w:jc w:val="left"/>
        <w:rPr>
          <w:sz w:val="21"/>
        </w:rPr>
      </w:pPr>
      <w:r>
        <w:rPr>
          <w:spacing w:val="-3"/>
          <w:sz w:val="21"/>
        </w:rPr>
        <w:t>灭火器配置场所的火灾种类可划分为以下五类：</w:t>
      </w:r>
      <w:r>
        <w:rPr>
          <w:sz w:val="21"/>
        </w:rPr>
        <w:t> </w:t>
      </w:r>
    </w:p>
    <w:p>
      <w:pPr>
        <w:pStyle w:val="BodyText"/>
        <w:spacing w:before="12"/>
        <w:rPr>
          <w:sz w:val="17"/>
        </w:rPr>
      </w:pPr>
    </w:p>
    <w:p>
      <w:pPr>
        <w:pStyle w:val="ListParagraph"/>
        <w:numPr>
          <w:ilvl w:val="0"/>
          <w:numId w:val="338"/>
        </w:numPr>
        <w:tabs>
          <w:tab w:pos="1367" w:val="left" w:leader="none"/>
        </w:tabs>
        <w:spacing w:line="240" w:lineRule="auto" w:before="0" w:after="0"/>
        <w:ind w:left="1367" w:right="0" w:hanging="529"/>
        <w:jc w:val="left"/>
        <w:rPr>
          <w:b/>
          <w:sz w:val="21"/>
        </w:rPr>
      </w:pPr>
      <w:r>
        <w:rPr>
          <w:spacing w:val="-3"/>
          <w:sz w:val="21"/>
        </w:rPr>
        <w:t>A 类火灾：固体物质火灾。</w:t>
      </w:r>
      <w:r>
        <w:rPr>
          <w:b/>
          <w:w w:val="99"/>
          <w:sz w:val="21"/>
        </w:rPr>
        <w:t> </w:t>
      </w:r>
    </w:p>
    <w:p>
      <w:pPr>
        <w:pStyle w:val="BodyText"/>
        <w:spacing w:before="12"/>
        <w:rPr>
          <w:b/>
          <w:sz w:val="17"/>
        </w:rPr>
      </w:pPr>
    </w:p>
    <w:p>
      <w:pPr>
        <w:pStyle w:val="ListParagraph"/>
        <w:numPr>
          <w:ilvl w:val="0"/>
          <w:numId w:val="338"/>
        </w:numPr>
        <w:tabs>
          <w:tab w:pos="1367" w:val="left" w:leader="none"/>
        </w:tabs>
        <w:spacing w:line="240" w:lineRule="auto" w:before="0" w:after="0"/>
        <w:ind w:left="1367" w:right="0" w:hanging="529"/>
        <w:jc w:val="left"/>
        <w:rPr>
          <w:b/>
          <w:sz w:val="21"/>
        </w:rPr>
      </w:pPr>
      <w:r>
        <w:rPr>
          <w:spacing w:val="-3"/>
          <w:sz w:val="21"/>
        </w:rPr>
        <w:t>B 类火灾：液体火灾或可熔化固体物质火灾。</w:t>
      </w:r>
      <w:r>
        <w:rPr>
          <w:b/>
          <w:w w:val="99"/>
          <w:sz w:val="21"/>
        </w:rPr>
        <w:t> </w:t>
      </w:r>
    </w:p>
    <w:p>
      <w:pPr>
        <w:pStyle w:val="BodyText"/>
        <w:spacing w:before="2"/>
        <w:rPr>
          <w:b/>
          <w:sz w:val="18"/>
        </w:rPr>
      </w:pPr>
    </w:p>
    <w:p>
      <w:pPr>
        <w:pStyle w:val="ListParagraph"/>
        <w:numPr>
          <w:ilvl w:val="0"/>
          <w:numId w:val="338"/>
        </w:numPr>
        <w:tabs>
          <w:tab w:pos="1367" w:val="left" w:leader="none"/>
        </w:tabs>
        <w:spacing w:line="240" w:lineRule="auto" w:before="0" w:after="0"/>
        <w:ind w:left="1367" w:right="0" w:hanging="529"/>
        <w:jc w:val="left"/>
        <w:rPr>
          <w:b/>
          <w:sz w:val="21"/>
        </w:rPr>
      </w:pPr>
      <w:r>
        <w:rPr>
          <w:spacing w:val="-3"/>
          <w:sz w:val="21"/>
        </w:rPr>
        <w:t>C 类火灾：气体火灾。</w:t>
      </w:r>
      <w:r>
        <w:rPr>
          <w:b/>
          <w:spacing w:val="-3"/>
          <w:w w:val="99"/>
          <w:sz w:val="21"/>
        </w:rPr>
        <w:t> </w:t>
      </w:r>
    </w:p>
    <w:p>
      <w:pPr>
        <w:pStyle w:val="BodyText"/>
        <w:rPr>
          <w:b/>
          <w:sz w:val="18"/>
        </w:rPr>
      </w:pPr>
    </w:p>
    <w:p>
      <w:pPr>
        <w:pStyle w:val="ListParagraph"/>
        <w:numPr>
          <w:ilvl w:val="0"/>
          <w:numId w:val="338"/>
        </w:numPr>
        <w:tabs>
          <w:tab w:pos="1367" w:val="left" w:leader="none"/>
        </w:tabs>
        <w:spacing w:line="240" w:lineRule="auto" w:before="1" w:after="0"/>
        <w:ind w:left="1367" w:right="0" w:hanging="529"/>
        <w:jc w:val="left"/>
        <w:rPr>
          <w:b/>
          <w:sz w:val="21"/>
        </w:rPr>
      </w:pPr>
      <w:r>
        <w:rPr>
          <w:spacing w:val="-3"/>
          <w:sz w:val="21"/>
        </w:rPr>
        <w:t>D 类火灾：金属火灾。</w:t>
      </w:r>
      <w:r>
        <w:rPr>
          <w:b/>
          <w:spacing w:val="-3"/>
          <w:w w:val="99"/>
          <w:sz w:val="21"/>
        </w:rPr>
        <w:t> </w:t>
      </w:r>
    </w:p>
    <w:p>
      <w:pPr>
        <w:pStyle w:val="BodyText"/>
        <w:spacing w:before="12"/>
        <w:rPr>
          <w:b/>
          <w:sz w:val="17"/>
        </w:rPr>
      </w:pPr>
    </w:p>
    <w:p>
      <w:pPr>
        <w:pStyle w:val="ListParagraph"/>
        <w:numPr>
          <w:ilvl w:val="0"/>
          <w:numId w:val="338"/>
        </w:numPr>
        <w:tabs>
          <w:tab w:pos="1367" w:val="left" w:leader="none"/>
        </w:tabs>
        <w:spacing w:line="446" w:lineRule="auto" w:before="0" w:after="0"/>
        <w:ind w:left="840" w:right="4554" w:hanging="3"/>
        <w:jc w:val="left"/>
        <w:rPr>
          <w:sz w:val="21"/>
        </w:rPr>
      </w:pPr>
      <w:r>
        <w:rPr>
          <w:w w:val="100"/>
          <w:sz w:val="21"/>
        </w:rPr>
        <w:t>E</w:t>
      </w:r>
      <w:r>
        <w:rPr>
          <w:spacing w:val="-3"/>
          <w:w w:val="100"/>
          <w:sz w:val="21"/>
        </w:rPr>
        <w:t> 类火灾</w:t>
      </w:r>
      <w:r>
        <w:rPr>
          <w:w w:val="100"/>
          <w:sz w:val="21"/>
        </w:rPr>
        <w:t>（</w:t>
      </w:r>
      <w:r>
        <w:rPr>
          <w:spacing w:val="-3"/>
          <w:w w:val="100"/>
          <w:sz w:val="21"/>
        </w:rPr>
        <w:t>带电火灾</w:t>
      </w:r>
      <w:r>
        <w:rPr>
          <w:spacing w:val="-106"/>
          <w:w w:val="100"/>
          <w:sz w:val="21"/>
        </w:rPr>
        <w:t>）</w:t>
      </w:r>
      <w:r>
        <w:rPr>
          <w:spacing w:val="-3"/>
          <w:w w:val="100"/>
          <w:sz w:val="21"/>
        </w:rPr>
        <w:t>：物体带电燃烧的火灾。</w:t>
      </w:r>
      <w:r>
        <w:rPr>
          <w:b/>
          <w:spacing w:val="-3"/>
          <w:w w:val="99"/>
          <w:sz w:val="21"/>
        </w:rPr>
        <w:t> </w:t>
      </w:r>
      <w:hyperlink r:id="rId191">
        <w:r>
          <w:rPr>
            <w:b/>
            <w:w w:val="99"/>
            <w:sz w:val="21"/>
          </w:rPr>
          <w:t> </w:t>
        </w:r>
      </w:hyperlink>
      <w:r>
        <w:rPr>
          <w:b/>
          <w:w w:val="99"/>
          <w:sz w:val="21"/>
        </w:rPr>
        <w:t> </w:t>
      </w:r>
      <w:r>
        <w:rPr>
          <w:b/>
          <w:sz w:val="21"/>
        </w:rPr>
        <w:t>3.2</w:t>
      </w:r>
      <w:r>
        <w:rPr>
          <w:b/>
          <w:spacing w:val="1"/>
          <w:sz w:val="21"/>
        </w:rPr>
        <w:t> </w:t>
      </w:r>
      <w:r>
        <w:rPr>
          <w:spacing w:val="-3"/>
          <w:sz w:val="21"/>
        </w:rPr>
        <w:t>危险等级</w:t>
      </w:r>
      <w:r>
        <w:rPr>
          <w:sz w:val="21"/>
        </w:rPr>
        <w:t> </w:t>
      </w:r>
    </w:p>
    <w:p>
      <w:pPr>
        <w:pStyle w:val="ListParagraph"/>
        <w:numPr>
          <w:ilvl w:val="2"/>
          <w:numId w:val="339"/>
        </w:numPr>
        <w:tabs>
          <w:tab w:pos="1370" w:val="left" w:leader="none"/>
        </w:tabs>
        <w:spacing w:line="446" w:lineRule="auto" w:before="0" w:after="0"/>
        <w:ind w:left="418" w:right="1604" w:firstLine="422"/>
        <w:jc w:val="left"/>
        <w:rPr>
          <w:sz w:val="21"/>
        </w:rPr>
      </w:pPr>
      <w:r>
        <w:rPr>
          <w:spacing w:val="-3"/>
          <w:sz w:val="21"/>
        </w:rPr>
        <w:t>工业建筑灭火器配置场所的危险等级，应根据其生产、使用、储存物品的火灾危险性，可燃物 数量，火灾蔓延速度，扑救难易程度等因素，划分为以下三级：</w:t>
      </w:r>
      <w:r>
        <w:rPr>
          <w:sz w:val="21"/>
        </w:rPr>
        <w:t> </w:t>
      </w:r>
    </w:p>
    <w:p>
      <w:pPr>
        <w:pStyle w:val="ListParagraph"/>
        <w:numPr>
          <w:ilvl w:val="0"/>
          <w:numId w:val="340"/>
        </w:numPr>
        <w:tabs>
          <w:tab w:pos="1367" w:val="left" w:leader="none"/>
        </w:tabs>
        <w:spacing w:line="446" w:lineRule="auto" w:before="0" w:after="0"/>
        <w:ind w:left="418" w:right="1714" w:firstLine="419"/>
        <w:jc w:val="left"/>
        <w:rPr>
          <w:sz w:val="21"/>
        </w:rPr>
      </w:pPr>
      <w:r>
        <w:rPr>
          <w:spacing w:val="-3"/>
          <w:sz w:val="21"/>
        </w:rPr>
        <w:t>严重危险级：火灾危险性大，可燃物多，起火后蔓延迅速，扑救困难，容易造成重大财产损失 的场所；</w:t>
      </w:r>
      <w:r>
        <w:rPr>
          <w:sz w:val="21"/>
        </w:rPr>
        <w:t> </w:t>
      </w:r>
    </w:p>
    <w:p>
      <w:pPr>
        <w:pStyle w:val="ListParagraph"/>
        <w:numPr>
          <w:ilvl w:val="0"/>
          <w:numId w:val="340"/>
        </w:numPr>
        <w:tabs>
          <w:tab w:pos="1367" w:val="left" w:leader="none"/>
        </w:tabs>
        <w:spacing w:line="267" w:lineRule="exact" w:before="0" w:after="0"/>
        <w:ind w:left="1367" w:right="0" w:hanging="529"/>
        <w:jc w:val="left"/>
        <w:rPr>
          <w:sz w:val="21"/>
        </w:rPr>
      </w:pPr>
      <w:r>
        <w:rPr>
          <w:spacing w:val="-3"/>
          <w:sz w:val="21"/>
        </w:rPr>
        <w:t>中危险级：火灾危险性较大，可燃物较多，起火后蔓延较迅速，扑救较难的场所；</w:t>
      </w:r>
      <w:r>
        <w:rPr>
          <w:sz w:val="21"/>
        </w:rPr>
        <w:t> </w:t>
      </w:r>
    </w:p>
    <w:p>
      <w:pPr>
        <w:pStyle w:val="BodyText"/>
        <w:spacing w:before="1"/>
        <w:rPr>
          <w:sz w:val="18"/>
        </w:rPr>
      </w:pPr>
    </w:p>
    <w:p>
      <w:pPr>
        <w:pStyle w:val="ListParagraph"/>
        <w:numPr>
          <w:ilvl w:val="0"/>
          <w:numId w:val="340"/>
        </w:numPr>
        <w:tabs>
          <w:tab w:pos="1367" w:val="left" w:leader="none"/>
          <w:tab w:pos="6298" w:val="left" w:leader="none"/>
        </w:tabs>
        <w:spacing w:line="446" w:lineRule="auto" w:before="1" w:after="0"/>
        <w:ind w:left="418" w:right="1611" w:firstLine="419"/>
        <w:jc w:val="left"/>
        <w:rPr>
          <w:sz w:val="21"/>
        </w:rPr>
      </w:pPr>
      <w:r>
        <w:rPr>
          <w:sz w:val="21"/>
        </w:rPr>
        <w:t>轻</w:t>
      </w:r>
      <w:r>
        <w:rPr>
          <w:spacing w:val="-3"/>
          <w:sz w:val="21"/>
        </w:rPr>
        <w:t>危</w:t>
      </w:r>
      <w:r>
        <w:rPr>
          <w:sz w:val="21"/>
        </w:rPr>
        <w:t>险</w:t>
      </w:r>
      <w:r>
        <w:rPr>
          <w:spacing w:val="-3"/>
          <w:sz w:val="21"/>
        </w:rPr>
        <w:t>级</w:t>
      </w:r>
      <w:r>
        <w:rPr>
          <w:sz w:val="21"/>
        </w:rPr>
        <w:t>：</w:t>
      </w:r>
      <w:r>
        <w:rPr>
          <w:spacing w:val="-3"/>
          <w:sz w:val="21"/>
        </w:rPr>
        <w:t>火</w:t>
      </w:r>
      <w:r>
        <w:rPr>
          <w:sz w:val="21"/>
        </w:rPr>
        <w:t>灾</w:t>
      </w:r>
      <w:r>
        <w:rPr>
          <w:spacing w:val="-3"/>
          <w:sz w:val="21"/>
        </w:rPr>
        <w:t>危险</w:t>
      </w:r>
      <w:r>
        <w:rPr>
          <w:sz w:val="21"/>
        </w:rPr>
        <w:t>性较</w:t>
      </w:r>
      <w:r>
        <w:rPr>
          <w:spacing w:val="-3"/>
          <w:sz w:val="21"/>
        </w:rPr>
        <w:t>小</w:t>
      </w:r>
      <w:r>
        <w:rPr>
          <w:sz w:val="21"/>
        </w:rPr>
        <w:t>，</w:t>
      </w:r>
      <w:r>
        <w:rPr>
          <w:spacing w:val="-3"/>
          <w:sz w:val="21"/>
        </w:rPr>
        <w:t>可</w:t>
      </w:r>
      <w:r>
        <w:rPr>
          <w:sz w:val="21"/>
        </w:rPr>
        <w:t>燃</w:t>
      </w:r>
      <w:r>
        <w:rPr>
          <w:spacing w:val="-3"/>
          <w:sz w:val="21"/>
        </w:rPr>
        <w:t>物</w:t>
      </w:r>
      <w:r>
        <w:rPr>
          <w:sz w:val="21"/>
        </w:rPr>
        <w:t>较</w:t>
      </w:r>
      <w:r>
        <w:rPr>
          <w:spacing w:val="-3"/>
          <w:sz w:val="21"/>
        </w:rPr>
        <w:t>少</w:t>
      </w:r>
      <w:r>
        <w:rPr>
          <w:sz w:val="21"/>
        </w:rPr>
        <w:t>，</w:t>
      </w:r>
      <w:r>
        <w:rPr>
          <w:spacing w:val="-3"/>
          <w:sz w:val="21"/>
        </w:rPr>
        <w:t>起</w:t>
      </w:r>
      <w:r>
        <w:rPr>
          <w:sz w:val="21"/>
        </w:rPr>
        <w:t>火后</w:t>
      </w:r>
      <w:r>
        <w:rPr>
          <w:spacing w:val="-3"/>
          <w:sz w:val="21"/>
        </w:rPr>
        <w:t>蔓</w:t>
      </w:r>
      <w:r>
        <w:rPr>
          <w:sz w:val="21"/>
        </w:rPr>
        <w:t>延</w:t>
      </w:r>
      <w:r>
        <w:rPr>
          <w:spacing w:val="-3"/>
          <w:sz w:val="21"/>
        </w:rPr>
        <w:t>较</w:t>
      </w:r>
      <w:r>
        <w:rPr>
          <w:sz w:val="21"/>
        </w:rPr>
        <w:t>缓</w:t>
      </w:r>
      <w:r>
        <w:rPr>
          <w:spacing w:val="-3"/>
          <w:sz w:val="21"/>
        </w:rPr>
        <w:t>慢</w:t>
      </w:r>
      <w:r>
        <w:rPr>
          <w:sz w:val="21"/>
        </w:rPr>
        <w:t>，</w:t>
      </w:r>
      <w:r>
        <w:rPr>
          <w:spacing w:val="-3"/>
          <w:sz w:val="21"/>
        </w:rPr>
        <w:t>扑</w:t>
      </w:r>
      <w:r>
        <w:rPr>
          <w:sz w:val="21"/>
        </w:rPr>
        <w:t>救</w:t>
      </w:r>
      <w:r>
        <w:rPr>
          <w:spacing w:val="-3"/>
          <w:sz w:val="21"/>
        </w:rPr>
        <w:t>较</w:t>
      </w:r>
      <w:r>
        <w:rPr>
          <w:sz w:val="21"/>
        </w:rPr>
        <w:t>易的</w:t>
      </w:r>
      <w:r>
        <w:rPr>
          <w:spacing w:val="-3"/>
          <w:sz w:val="21"/>
        </w:rPr>
        <w:t>场</w:t>
      </w:r>
      <w:r>
        <w:rPr>
          <w:sz w:val="21"/>
        </w:rPr>
        <w:t>所</w:t>
      </w:r>
      <w:r>
        <w:rPr>
          <w:spacing w:val="-3"/>
          <w:sz w:val="21"/>
        </w:rPr>
        <w:t>。</w:t>
      </w:r>
      <w:r>
        <w:rPr>
          <w:sz w:val="21"/>
        </w:rPr>
        <w:t>工业</w:t>
      </w:r>
      <w:r>
        <w:rPr>
          <w:spacing w:val="-3"/>
          <w:sz w:val="21"/>
        </w:rPr>
        <w:t>建</w:t>
      </w:r>
      <w:r>
        <w:rPr>
          <w:sz w:val="21"/>
        </w:rPr>
        <w:t>筑</w:t>
      </w:r>
      <w:r>
        <w:rPr>
          <w:spacing w:val="-3"/>
          <w:sz w:val="21"/>
        </w:rPr>
        <w:t>灭</w:t>
      </w:r>
      <w:r>
        <w:rPr>
          <w:sz w:val="21"/>
        </w:rPr>
        <w:t>火</w:t>
      </w:r>
      <w:r>
        <w:rPr>
          <w:spacing w:val="-3"/>
          <w:sz w:val="21"/>
        </w:rPr>
        <w:t>器</w:t>
      </w:r>
      <w:r>
        <w:rPr>
          <w:sz w:val="21"/>
        </w:rPr>
        <w:t>配</w:t>
      </w:r>
      <w:r>
        <w:rPr>
          <w:spacing w:val="-3"/>
          <w:sz w:val="21"/>
        </w:rPr>
        <w:t>置</w:t>
      </w:r>
      <w:r>
        <w:rPr>
          <w:sz w:val="21"/>
        </w:rPr>
        <w:t>场</w:t>
      </w:r>
      <w:r>
        <w:rPr>
          <w:spacing w:val="-3"/>
          <w:sz w:val="21"/>
        </w:rPr>
        <w:t>所</w:t>
      </w:r>
      <w:r>
        <w:rPr>
          <w:sz w:val="21"/>
        </w:rPr>
        <w:t>的危</w:t>
      </w:r>
      <w:r>
        <w:rPr>
          <w:spacing w:val="-3"/>
          <w:sz w:val="21"/>
        </w:rPr>
        <w:t>险</w:t>
      </w:r>
      <w:r>
        <w:rPr>
          <w:sz w:val="21"/>
        </w:rPr>
        <w:t>等</w:t>
      </w:r>
      <w:r>
        <w:rPr>
          <w:spacing w:val="-3"/>
          <w:sz w:val="21"/>
        </w:rPr>
        <w:t>级</w:t>
      </w:r>
      <w:r>
        <w:rPr>
          <w:sz w:val="21"/>
        </w:rPr>
        <w:t>举</w:t>
      </w:r>
      <w:r>
        <w:rPr>
          <w:spacing w:val="-3"/>
          <w:sz w:val="21"/>
        </w:rPr>
        <w:t>例</w:t>
      </w:r>
      <w:r>
        <w:rPr>
          <w:sz w:val="21"/>
        </w:rPr>
        <w:t>见</w:t>
      </w:r>
      <w:r>
        <w:rPr>
          <w:spacing w:val="-3"/>
          <w:sz w:val="21"/>
        </w:rPr>
        <w:t>本</w:t>
      </w:r>
      <w:r>
        <w:rPr>
          <w:sz w:val="21"/>
        </w:rPr>
        <w:t>规</w:t>
      </w:r>
      <w:r>
        <w:rPr>
          <w:spacing w:val="-3"/>
          <w:sz w:val="21"/>
        </w:rPr>
        <w:t>范</w:t>
      </w:r>
      <w:r>
        <w:rPr>
          <w:sz w:val="21"/>
        </w:rPr>
        <w:t>附录</w:t>
      </w:r>
      <w:r>
        <w:rPr>
          <w:spacing w:val="31"/>
          <w:sz w:val="21"/>
        </w:rPr>
        <w:t> </w:t>
      </w:r>
      <w:r>
        <w:rPr>
          <w:spacing w:val="-3"/>
          <w:sz w:val="21"/>
        </w:rPr>
        <w:t>C。</w:t>
      </w:r>
      <w:r>
        <w:rPr>
          <w:sz w:val="21"/>
        </w:rPr>
        <w:t> </w:t>
        <w:tab/>
      </w:r>
      <w:hyperlink r:id="rId192">
        <w:r>
          <w:rPr>
            <w:w w:val="100"/>
            <w:sz w:val="21"/>
          </w:rPr>
          <w:t> </w:t>
        </w:r>
      </w:hyperlink>
      <w:r>
        <w:rPr>
          <w:w w:val="100"/>
          <w:sz w:val="21"/>
        </w:rPr>
        <w:t> </w:t>
      </w:r>
    </w:p>
    <w:p>
      <w:pPr>
        <w:pStyle w:val="ListParagraph"/>
        <w:numPr>
          <w:ilvl w:val="2"/>
          <w:numId w:val="339"/>
        </w:numPr>
        <w:tabs>
          <w:tab w:pos="1370" w:val="left" w:leader="none"/>
        </w:tabs>
        <w:spacing w:line="446" w:lineRule="auto" w:before="0" w:after="0"/>
        <w:ind w:left="418" w:right="1604" w:firstLine="422"/>
        <w:jc w:val="left"/>
        <w:rPr>
          <w:sz w:val="21"/>
        </w:rPr>
      </w:pPr>
      <w:r>
        <w:rPr>
          <w:spacing w:val="-3"/>
          <w:sz w:val="21"/>
        </w:rPr>
        <w:t>民用建筑灭火器配置场所的危险等级，应根据其使用性质，人员密集程度，用电用火情况，可燃物数量，火灾蔓延速度，扑救难易程度等因素，划分为以下三级：</w:t>
      </w:r>
      <w:r>
        <w:rPr>
          <w:sz w:val="21"/>
        </w:rPr>
        <w:t> </w:t>
      </w:r>
    </w:p>
    <w:p>
      <w:pPr>
        <w:pStyle w:val="ListParagraph"/>
        <w:numPr>
          <w:ilvl w:val="0"/>
          <w:numId w:val="341"/>
        </w:numPr>
        <w:tabs>
          <w:tab w:pos="1367" w:val="left" w:leader="none"/>
        </w:tabs>
        <w:spacing w:line="446" w:lineRule="auto" w:before="0" w:after="0"/>
        <w:ind w:left="418" w:right="1925" w:firstLine="419"/>
        <w:jc w:val="left"/>
        <w:rPr>
          <w:sz w:val="21"/>
        </w:rPr>
      </w:pPr>
      <w:r>
        <w:rPr>
          <w:spacing w:val="-3"/>
          <w:sz w:val="21"/>
        </w:rPr>
        <w:t>严重危险级：使用性质重要，人员密集，用电用火多，可燃物多，起火后蔓延迅速，扑救困难，容易造成重大财产损失或人员群死群伤的场所；</w:t>
      </w:r>
      <w:r>
        <w:rPr>
          <w:sz w:val="21"/>
        </w:rPr>
        <w:t> </w:t>
      </w:r>
    </w:p>
    <w:p>
      <w:pPr>
        <w:pStyle w:val="ListParagraph"/>
        <w:numPr>
          <w:ilvl w:val="0"/>
          <w:numId w:val="341"/>
        </w:numPr>
        <w:tabs>
          <w:tab w:pos="1367" w:val="left" w:leader="none"/>
        </w:tabs>
        <w:spacing w:line="446" w:lineRule="auto" w:before="0" w:after="0"/>
        <w:ind w:left="418" w:right="1714" w:firstLine="419"/>
        <w:jc w:val="left"/>
        <w:rPr>
          <w:sz w:val="21"/>
        </w:rPr>
      </w:pPr>
      <w:r>
        <w:rPr>
          <w:spacing w:val="-3"/>
          <w:sz w:val="21"/>
        </w:rPr>
        <w:t>中危险级：使用性质较重要，人员较密集，用电用火较多，可燃物较多，起火后蔓延较迅速， 扑救较难的场所；</w:t>
      </w:r>
      <w:r>
        <w:rPr>
          <w:sz w:val="21"/>
        </w:rPr>
        <w:t> </w:t>
      </w:r>
    </w:p>
    <w:p>
      <w:pPr>
        <w:pStyle w:val="ListParagraph"/>
        <w:numPr>
          <w:ilvl w:val="0"/>
          <w:numId w:val="341"/>
        </w:numPr>
        <w:tabs>
          <w:tab w:pos="1367" w:val="left" w:leader="none"/>
        </w:tabs>
        <w:spacing w:line="446" w:lineRule="auto" w:before="0" w:after="0"/>
        <w:ind w:left="418" w:right="1609" w:firstLine="419"/>
        <w:jc w:val="left"/>
        <w:rPr>
          <w:sz w:val="21"/>
        </w:rPr>
      </w:pPr>
      <w:r>
        <w:rPr>
          <w:spacing w:val="-3"/>
          <w:sz w:val="21"/>
        </w:rPr>
        <w:t>轻危险级：使用性质一般，人员不密集，用电用火较少，可燃物较少，起火后蔓延较缓慢，扑救较易的场所。 </w:t>
      </w:r>
    </w:p>
    <w:p>
      <w:pPr>
        <w:pStyle w:val="BodyText"/>
        <w:tabs>
          <w:tab w:pos="6718" w:val="left" w:leader="none"/>
        </w:tabs>
        <w:ind w:left="838"/>
      </w:pPr>
      <w:r>
        <w:rPr/>
        <w:t>民用</w:t>
      </w:r>
      <w:r>
        <w:rPr>
          <w:spacing w:val="-3"/>
        </w:rPr>
        <w:t>建</w:t>
      </w:r>
      <w:r>
        <w:rPr/>
        <w:t>筑</w:t>
      </w:r>
      <w:r>
        <w:rPr>
          <w:spacing w:val="-3"/>
        </w:rPr>
        <w:t>灭</w:t>
      </w:r>
      <w:r>
        <w:rPr/>
        <w:t>火</w:t>
      </w:r>
      <w:r>
        <w:rPr>
          <w:spacing w:val="-3"/>
        </w:rPr>
        <w:t>器</w:t>
      </w:r>
      <w:r>
        <w:rPr/>
        <w:t>配</w:t>
      </w:r>
      <w:r>
        <w:rPr>
          <w:spacing w:val="-3"/>
        </w:rPr>
        <w:t>置</w:t>
      </w:r>
      <w:r>
        <w:rPr/>
        <w:t>场</w:t>
      </w:r>
      <w:r>
        <w:rPr>
          <w:spacing w:val="-3"/>
        </w:rPr>
        <w:t>所</w:t>
      </w:r>
      <w:r>
        <w:rPr/>
        <w:t>的危</w:t>
      </w:r>
      <w:r>
        <w:rPr>
          <w:spacing w:val="-3"/>
        </w:rPr>
        <w:t>险</w:t>
      </w:r>
      <w:r>
        <w:rPr/>
        <w:t>等</w:t>
      </w:r>
      <w:r>
        <w:rPr>
          <w:spacing w:val="-3"/>
        </w:rPr>
        <w:t>级</w:t>
      </w:r>
      <w:r>
        <w:rPr/>
        <w:t>举</w:t>
      </w:r>
      <w:r>
        <w:rPr>
          <w:spacing w:val="-3"/>
        </w:rPr>
        <w:t>例</w:t>
      </w:r>
      <w:r>
        <w:rPr/>
        <w:t>见</w:t>
      </w:r>
      <w:r>
        <w:rPr>
          <w:spacing w:val="-3"/>
        </w:rPr>
        <w:t>本</w:t>
      </w:r>
      <w:r>
        <w:rPr/>
        <w:t>规</w:t>
      </w:r>
      <w:r>
        <w:rPr>
          <w:spacing w:val="-3"/>
        </w:rPr>
        <w:t>范</w:t>
      </w:r>
      <w:r>
        <w:rPr/>
        <w:t>附录</w:t>
      </w:r>
      <w:r>
        <w:rPr>
          <w:spacing w:val="31"/>
        </w:rPr>
        <w:t> </w:t>
      </w:r>
      <w:r>
        <w:rPr>
          <w:spacing w:val="-3"/>
        </w:rPr>
        <w:t>D。</w:t>
      </w:r>
      <w:r>
        <w:rPr/>
        <w:t> </w:t>
        <w:tab/>
      </w:r>
      <w:hyperlink r:id="rId193">
        <w:r>
          <w:rPr>
            <w:w w:val="100"/>
          </w:rPr>
          <w:t> </w:t>
        </w:r>
      </w:hyperlink>
      <w:r>
        <w:rPr>
          <w:w w:val="100"/>
        </w:rPr>
        <w:t> </w:t>
      </w:r>
    </w:p>
    <w:p>
      <w:pPr>
        <w:pStyle w:val="BodyText"/>
        <w:spacing w:before="3"/>
        <w:rPr>
          <w:sz w:val="15"/>
        </w:rPr>
      </w:pPr>
    </w:p>
    <w:p>
      <w:pPr>
        <w:pStyle w:val="Heading4"/>
      </w:pPr>
      <w:r>
        <w:rPr/>
        <w:t>4 灭火器的选择</w:t>
      </w:r>
      <w:r>
        <w:rPr>
          <w:w w:val="99"/>
        </w:rPr>
        <w:t> </w:t>
      </w:r>
    </w:p>
    <w:p>
      <w:pPr>
        <w:pStyle w:val="BodyText"/>
        <w:spacing w:before="6"/>
        <w:rPr>
          <w:b/>
          <w:sz w:val="17"/>
        </w:rPr>
      </w:pPr>
    </w:p>
    <w:p>
      <w:pPr>
        <w:pStyle w:val="ListParagraph"/>
        <w:numPr>
          <w:ilvl w:val="1"/>
          <w:numId w:val="342"/>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spacing w:after="0" w:line="240" w:lineRule="auto"/>
        <w:jc w:val="left"/>
        <w:rPr>
          <w:sz w:val="21"/>
        </w:rPr>
        <w:sectPr>
          <w:pgSz w:w="11910" w:h="16850"/>
          <w:pgMar w:header="0" w:footer="1159" w:top="1200" w:bottom="1420" w:left="1260" w:right="0"/>
        </w:sectPr>
      </w:pPr>
    </w:p>
    <w:p>
      <w:pPr>
        <w:pStyle w:val="ListParagraph"/>
        <w:numPr>
          <w:ilvl w:val="2"/>
          <w:numId w:val="342"/>
        </w:numPr>
        <w:tabs>
          <w:tab w:pos="1371" w:val="left" w:leader="none"/>
        </w:tabs>
        <w:spacing w:line="240" w:lineRule="auto" w:before="47" w:after="0"/>
        <w:ind w:left="1370" w:right="0" w:hanging="531"/>
        <w:jc w:val="left"/>
        <w:rPr>
          <w:sz w:val="19"/>
        </w:rPr>
      </w:pPr>
      <w:r>
        <w:rPr>
          <w:spacing w:val="-3"/>
          <w:sz w:val="21"/>
        </w:rPr>
        <w:t>灭火器的选择应考虑下列因素：</w:t>
      </w:r>
      <w:r>
        <w:rPr>
          <w:sz w:val="21"/>
        </w:rPr>
        <w:t> </w:t>
      </w:r>
    </w:p>
    <w:p>
      <w:pPr>
        <w:pStyle w:val="BodyText"/>
        <w:rPr>
          <w:sz w:val="18"/>
        </w:rPr>
      </w:pPr>
    </w:p>
    <w:p>
      <w:pPr>
        <w:pStyle w:val="ListParagraph"/>
        <w:numPr>
          <w:ilvl w:val="0"/>
          <w:numId w:val="343"/>
        </w:numPr>
        <w:tabs>
          <w:tab w:pos="1367" w:val="left" w:leader="none"/>
        </w:tabs>
        <w:spacing w:line="240" w:lineRule="auto" w:before="0" w:after="0"/>
        <w:ind w:left="1367" w:right="0" w:hanging="529"/>
        <w:jc w:val="left"/>
        <w:rPr>
          <w:sz w:val="21"/>
        </w:rPr>
      </w:pPr>
      <w:r>
        <w:rPr>
          <w:spacing w:val="-3"/>
          <w:sz w:val="21"/>
        </w:rPr>
        <w:t>灭火器配置场所的火灾种类；</w:t>
      </w:r>
      <w:r>
        <w:rPr>
          <w:sz w:val="21"/>
        </w:rPr>
        <w:t> </w:t>
      </w:r>
    </w:p>
    <w:p>
      <w:pPr>
        <w:pStyle w:val="BodyText"/>
        <w:rPr>
          <w:sz w:val="18"/>
        </w:rPr>
      </w:pPr>
    </w:p>
    <w:p>
      <w:pPr>
        <w:pStyle w:val="ListParagraph"/>
        <w:numPr>
          <w:ilvl w:val="0"/>
          <w:numId w:val="343"/>
        </w:numPr>
        <w:tabs>
          <w:tab w:pos="1367" w:val="left" w:leader="none"/>
        </w:tabs>
        <w:spacing w:line="240" w:lineRule="auto" w:before="0" w:after="0"/>
        <w:ind w:left="1367" w:right="0" w:hanging="529"/>
        <w:jc w:val="left"/>
        <w:rPr>
          <w:sz w:val="21"/>
        </w:rPr>
      </w:pPr>
      <w:r>
        <w:rPr>
          <w:spacing w:val="-3"/>
          <w:sz w:val="21"/>
        </w:rPr>
        <w:t>灭火器配置场所的危险等级；</w:t>
      </w:r>
      <w:r>
        <w:rPr>
          <w:sz w:val="21"/>
        </w:rPr>
        <w:t> </w:t>
      </w:r>
    </w:p>
    <w:p>
      <w:pPr>
        <w:pStyle w:val="BodyText"/>
        <w:spacing w:before="1"/>
        <w:rPr>
          <w:sz w:val="18"/>
        </w:rPr>
      </w:pPr>
    </w:p>
    <w:p>
      <w:pPr>
        <w:pStyle w:val="ListParagraph"/>
        <w:numPr>
          <w:ilvl w:val="0"/>
          <w:numId w:val="343"/>
        </w:numPr>
        <w:tabs>
          <w:tab w:pos="1367" w:val="left" w:leader="none"/>
        </w:tabs>
        <w:spacing w:line="240" w:lineRule="auto" w:before="1" w:after="0"/>
        <w:ind w:left="1367" w:right="0" w:hanging="529"/>
        <w:jc w:val="left"/>
        <w:rPr>
          <w:sz w:val="21"/>
        </w:rPr>
      </w:pPr>
      <w:r>
        <w:rPr>
          <w:spacing w:val="-3"/>
          <w:sz w:val="21"/>
        </w:rPr>
        <w:t>灭火器的灭火效能和通用性；</w:t>
      </w:r>
      <w:r>
        <w:rPr>
          <w:sz w:val="21"/>
        </w:rPr>
        <w:t> </w:t>
      </w:r>
    </w:p>
    <w:p>
      <w:pPr>
        <w:pStyle w:val="BodyText"/>
        <w:spacing w:before="12"/>
        <w:rPr>
          <w:sz w:val="17"/>
        </w:rPr>
      </w:pPr>
    </w:p>
    <w:p>
      <w:pPr>
        <w:pStyle w:val="ListParagraph"/>
        <w:numPr>
          <w:ilvl w:val="0"/>
          <w:numId w:val="343"/>
        </w:numPr>
        <w:tabs>
          <w:tab w:pos="1367" w:val="left" w:leader="none"/>
        </w:tabs>
        <w:spacing w:line="240" w:lineRule="auto" w:before="0" w:after="0"/>
        <w:ind w:left="1367" w:right="0" w:hanging="529"/>
        <w:jc w:val="left"/>
        <w:rPr>
          <w:sz w:val="21"/>
        </w:rPr>
      </w:pPr>
      <w:r>
        <w:rPr>
          <w:spacing w:val="-3"/>
          <w:sz w:val="21"/>
        </w:rPr>
        <w:t>灭火剂对保护物品的污损程度；</w:t>
      </w:r>
      <w:r>
        <w:rPr>
          <w:sz w:val="21"/>
        </w:rPr>
        <w:t> </w:t>
      </w:r>
    </w:p>
    <w:p>
      <w:pPr>
        <w:pStyle w:val="BodyText"/>
        <w:spacing w:before="12"/>
        <w:rPr>
          <w:sz w:val="17"/>
        </w:rPr>
      </w:pPr>
    </w:p>
    <w:p>
      <w:pPr>
        <w:pStyle w:val="ListParagraph"/>
        <w:numPr>
          <w:ilvl w:val="0"/>
          <w:numId w:val="343"/>
        </w:numPr>
        <w:tabs>
          <w:tab w:pos="1367" w:val="left" w:leader="none"/>
        </w:tabs>
        <w:spacing w:line="240" w:lineRule="auto" w:before="0" w:after="0"/>
        <w:ind w:left="1367" w:right="0" w:hanging="529"/>
        <w:jc w:val="left"/>
        <w:rPr>
          <w:sz w:val="21"/>
        </w:rPr>
      </w:pPr>
      <w:r>
        <w:rPr>
          <w:spacing w:val="-3"/>
          <w:sz w:val="21"/>
        </w:rPr>
        <w:t>灭火器设置点的环境温度；</w:t>
      </w:r>
      <w:r>
        <w:rPr>
          <w:sz w:val="21"/>
        </w:rPr>
        <w:t> </w:t>
      </w:r>
    </w:p>
    <w:p>
      <w:pPr>
        <w:pStyle w:val="BodyText"/>
        <w:spacing w:before="2"/>
        <w:rPr>
          <w:sz w:val="18"/>
        </w:rPr>
      </w:pPr>
    </w:p>
    <w:p>
      <w:pPr>
        <w:pStyle w:val="ListParagraph"/>
        <w:numPr>
          <w:ilvl w:val="0"/>
          <w:numId w:val="343"/>
        </w:numPr>
        <w:tabs>
          <w:tab w:pos="1367" w:val="left" w:leader="none"/>
          <w:tab w:pos="5367" w:val="left" w:leader="none"/>
        </w:tabs>
        <w:spacing w:line="240" w:lineRule="auto" w:before="0" w:after="0"/>
        <w:ind w:left="1367" w:right="0" w:hanging="529"/>
        <w:jc w:val="left"/>
        <w:rPr>
          <w:b/>
          <w:sz w:val="21"/>
        </w:rPr>
      </w:pPr>
      <w:r>
        <w:rPr>
          <w:sz w:val="21"/>
        </w:rPr>
        <w:t>使</w:t>
      </w:r>
      <w:r>
        <w:rPr>
          <w:spacing w:val="-3"/>
          <w:sz w:val="21"/>
        </w:rPr>
        <w:t>用</w:t>
      </w:r>
      <w:r>
        <w:rPr>
          <w:sz w:val="21"/>
        </w:rPr>
        <w:t>灭</w:t>
      </w:r>
      <w:r>
        <w:rPr>
          <w:spacing w:val="-3"/>
          <w:sz w:val="21"/>
        </w:rPr>
        <w:t>火</w:t>
      </w:r>
      <w:r>
        <w:rPr>
          <w:sz w:val="21"/>
        </w:rPr>
        <w:t>器</w:t>
      </w:r>
      <w:r>
        <w:rPr>
          <w:spacing w:val="-3"/>
          <w:sz w:val="21"/>
        </w:rPr>
        <w:t>人</w:t>
      </w:r>
      <w:r>
        <w:rPr>
          <w:sz w:val="21"/>
        </w:rPr>
        <w:t>员</w:t>
      </w:r>
      <w:r>
        <w:rPr>
          <w:spacing w:val="-3"/>
          <w:sz w:val="21"/>
        </w:rPr>
        <w:t>的体</w:t>
      </w:r>
      <w:r>
        <w:rPr>
          <w:sz w:val="21"/>
        </w:rPr>
        <w:t>能</w:t>
      </w:r>
      <w:r>
        <w:rPr>
          <w:spacing w:val="-3"/>
          <w:sz w:val="21"/>
        </w:rPr>
        <w:t>。</w:t>
      </w:r>
      <w:r>
        <w:rPr>
          <w:b/>
          <w:w w:val="99"/>
          <w:sz w:val="21"/>
        </w:rPr>
        <w:t> </w:t>
      </w:r>
      <w:r>
        <w:rPr>
          <w:b/>
          <w:sz w:val="21"/>
        </w:rPr>
        <w:tab/>
      </w:r>
      <w:hyperlink r:id="rId194">
        <w:r>
          <w:rPr>
            <w:b/>
            <w:w w:val="99"/>
            <w:sz w:val="21"/>
          </w:rPr>
          <w:t> </w:t>
        </w:r>
      </w:hyperlink>
      <w:r>
        <w:rPr>
          <w:b/>
          <w:w w:val="99"/>
          <w:sz w:val="21"/>
        </w:rPr>
        <w:t> </w:t>
      </w:r>
    </w:p>
    <w:p>
      <w:pPr>
        <w:pStyle w:val="BodyText"/>
        <w:rPr>
          <w:b/>
          <w:sz w:val="18"/>
        </w:rPr>
      </w:pPr>
    </w:p>
    <w:p>
      <w:pPr>
        <w:pStyle w:val="ListParagraph"/>
        <w:numPr>
          <w:ilvl w:val="2"/>
          <w:numId w:val="342"/>
        </w:numPr>
        <w:tabs>
          <w:tab w:pos="1371" w:val="left" w:leader="none"/>
          <w:tab w:pos="5367" w:val="left" w:leader="none"/>
        </w:tabs>
        <w:spacing w:line="446" w:lineRule="auto" w:before="0" w:after="0"/>
        <w:ind w:left="418" w:right="1604" w:firstLine="422"/>
        <w:jc w:val="left"/>
        <w:rPr>
          <w:sz w:val="19"/>
        </w:rPr>
      </w:pPr>
      <w:r>
        <w:rPr>
          <w:spacing w:val="-3"/>
          <w:sz w:val="21"/>
        </w:rPr>
        <w:t>在</w:t>
      </w:r>
      <w:r>
        <w:rPr>
          <w:sz w:val="21"/>
        </w:rPr>
        <w:t>同</w:t>
      </w:r>
      <w:r>
        <w:rPr>
          <w:spacing w:val="-3"/>
          <w:sz w:val="21"/>
        </w:rPr>
        <w:t>一</w:t>
      </w:r>
      <w:r>
        <w:rPr>
          <w:sz w:val="21"/>
        </w:rPr>
        <w:t>灭</w:t>
      </w:r>
      <w:r>
        <w:rPr>
          <w:spacing w:val="-3"/>
          <w:sz w:val="21"/>
        </w:rPr>
        <w:t>火</w:t>
      </w:r>
      <w:r>
        <w:rPr>
          <w:sz w:val="21"/>
        </w:rPr>
        <w:t>器</w:t>
      </w:r>
      <w:r>
        <w:rPr>
          <w:spacing w:val="-3"/>
          <w:sz w:val="21"/>
        </w:rPr>
        <w:t>配置</w:t>
      </w:r>
      <w:r>
        <w:rPr>
          <w:sz w:val="21"/>
        </w:rPr>
        <w:t>场所</w:t>
      </w:r>
      <w:r>
        <w:rPr>
          <w:spacing w:val="-3"/>
          <w:sz w:val="21"/>
        </w:rPr>
        <w:t>，</w:t>
      </w:r>
      <w:r>
        <w:rPr>
          <w:sz w:val="21"/>
        </w:rPr>
        <w:t>宜</w:t>
      </w:r>
      <w:r>
        <w:rPr>
          <w:spacing w:val="-3"/>
          <w:sz w:val="21"/>
        </w:rPr>
        <w:t>选</w:t>
      </w:r>
      <w:r>
        <w:rPr>
          <w:sz w:val="21"/>
        </w:rPr>
        <w:t>用</w:t>
      </w:r>
      <w:r>
        <w:rPr>
          <w:spacing w:val="-3"/>
          <w:sz w:val="21"/>
        </w:rPr>
        <w:t>相</w:t>
      </w:r>
      <w:r>
        <w:rPr>
          <w:sz w:val="21"/>
        </w:rPr>
        <w:t>同</w:t>
      </w:r>
      <w:r>
        <w:rPr>
          <w:spacing w:val="-3"/>
          <w:sz w:val="21"/>
        </w:rPr>
        <w:t>类</w:t>
      </w:r>
      <w:r>
        <w:rPr>
          <w:sz w:val="21"/>
        </w:rPr>
        <w:t>型</w:t>
      </w:r>
      <w:r>
        <w:rPr>
          <w:spacing w:val="-3"/>
          <w:sz w:val="21"/>
        </w:rPr>
        <w:t>和</w:t>
      </w:r>
      <w:r>
        <w:rPr>
          <w:sz w:val="21"/>
        </w:rPr>
        <w:t>操作</w:t>
      </w:r>
      <w:r>
        <w:rPr>
          <w:spacing w:val="-3"/>
          <w:sz w:val="21"/>
        </w:rPr>
        <w:t>方</w:t>
      </w:r>
      <w:r>
        <w:rPr>
          <w:sz w:val="21"/>
        </w:rPr>
        <w:t>法</w:t>
      </w:r>
      <w:r>
        <w:rPr>
          <w:spacing w:val="-3"/>
          <w:sz w:val="21"/>
        </w:rPr>
        <w:t>的</w:t>
      </w:r>
      <w:r>
        <w:rPr>
          <w:sz w:val="21"/>
        </w:rPr>
        <w:t>灭</w:t>
      </w:r>
      <w:r>
        <w:rPr>
          <w:spacing w:val="-3"/>
          <w:sz w:val="21"/>
        </w:rPr>
        <w:t>火</w:t>
      </w:r>
      <w:r>
        <w:rPr>
          <w:sz w:val="21"/>
        </w:rPr>
        <w:t>器</w:t>
      </w:r>
      <w:r>
        <w:rPr>
          <w:spacing w:val="-3"/>
          <w:sz w:val="21"/>
        </w:rPr>
        <w:t>。</w:t>
      </w:r>
      <w:r>
        <w:rPr>
          <w:sz w:val="21"/>
        </w:rPr>
        <w:t>当</w:t>
      </w:r>
      <w:r>
        <w:rPr>
          <w:spacing w:val="-3"/>
          <w:sz w:val="21"/>
        </w:rPr>
        <w:t>同</w:t>
      </w:r>
      <w:r>
        <w:rPr>
          <w:sz w:val="21"/>
        </w:rPr>
        <w:t>一灭</w:t>
      </w:r>
      <w:r>
        <w:rPr>
          <w:spacing w:val="-3"/>
          <w:sz w:val="21"/>
        </w:rPr>
        <w:t>火</w:t>
      </w:r>
      <w:r>
        <w:rPr>
          <w:sz w:val="21"/>
        </w:rPr>
        <w:t>器</w:t>
      </w:r>
      <w:r>
        <w:rPr>
          <w:spacing w:val="-3"/>
          <w:sz w:val="21"/>
        </w:rPr>
        <w:t>配</w:t>
      </w:r>
      <w:r>
        <w:rPr>
          <w:sz w:val="21"/>
        </w:rPr>
        <w:t>置场所</w:t>
      </w:r>
      <w:r>
        <w:rPr>
          <w:spacing w:val="-3"/>
          <w:sz w:val="21"/>
        </w:rPr>
        <w:t>存</w:t>
      </w:r>
      <w:r>
        <w:rPr>
          <w:sz w:val="21"/>
        </w:rPr>
        <w:t>在</w:t>
      </w:r>
      <w:r>
        <w:rPr>
          <w:spacing w:val="-3"/>
          <w:sz w:val="21"/>
        </w:rPr>
        <w:t>不</w:t>
      </w:r>
      <w:r>
        <w:rPr>
          <w:sz w:val="21"/>
        </w:rPr>
        <w:t>同</w:t>
      </w:r>
      <w:r>
        <w:rPr>
          <w:spacing w:val="-3"/>
          <w:sz w:val="21"/>
        </w:rPr>
        <w:t>火</w:t>
      </w:r>
      <w:r>
        <w:rPr>
          <w:sz w:val="21"/>
        </w:rPr>
        <w:t>灾</w:t>
      </w:r>
      <w:r>
        <w:rPr>
          <w:spacing w:val="-3"/>
          <w:sz w:val="21"/>
        </w:rPr>
        <w:t>种</w:t>
      </w:r>
      <w:r>
        <w:rPr>
          <w:sz w:val="21"/>
        </w:rPr>
        <w:t>类</w:t>
      </w:r>
      <w:r>
        <w:rPr>
          <w:spacing w:val="-3"/>
          <w:sz w:val="21"/>
        </w:rPr>
        <w:t>时</w:t>
      </w:r>
      <w:r>
        <w:rPr>
          <w:sz w:val="21"/>
        </w:rPr>
        <w:t>，应</w:t>
      </w:r>
      <w:r>
        <w:rPr>
          <w:spacing w:val="-3"/>
          <w:sz w:val="21"/>
        </w:rPr>
        <w:t>选</w:t>
      </w:r>
      <w:r>
        <w:rPr>
          <w:sz w:val="21"/>
        </w:rPr>
        <w:t>用</w:t>
      </w:r>
      <w:r>
        <w:rPr>
          <w:spacing w:val="-3"/>
          <w:sz w:val="21"/>
        </w:rPr>
        <w:t>通</w:t>
      </w:r>
      <w:r>
        <w:rPr>
          <w:sz w:val="21"/>
        </w:rPr>
        <w:t>用</w:t>
      </w:r>
      <w:r>
        <w:rPr>
          <w:spacing w:val="-3"/>
          <w:sz w:val="21"/>
        </w:rPr>
        <w:t>型</w:t>
      </w:r>
      <w:r>
        <w:rPr>
          <w:sz w:val="21"/>
        </w:rPr>
        <w:t>灭</w:t>
      </w:r>
      <w:r>
        <w:rPr>
          <w:spacing w:val="-3"/>
          <w:sz w:val="21"/>
        </w:rPr>
        <w:t>火</w:t>
      </w:r>
      <w:r>
        <w:rPr>
          <w:sz w:val="21"/>
        </w:rPr>
        <w:t>器</w:t>
      </w:r>
      <w:r>
        <w:rPr>
          <w:spacing w:val="-3"/>
          <w:sz w:val="21"/>
        </w:rPr>
        <w:t>。</w:t>
      </w:r>
      <w:r>
        <w:rPr>
          <w:sz w:val="21"/>
        </w:rPr>
        <w:t> </w:t>
        <w:tab/>
      </w:r>
      <w:hyperlink r:id="rId195">
        <w:r>
          <w:rPr>
            <w:w w:val="100"/>
            <w:sz w:val="21"/>
          </w:rPr>
          <w:t> </w:t>
        </w:r>
      </w:hyperlink>
      <w:r>
        <w:rPr>
          <w:w w:val="100"/>
          <w:sz w:val="21"/>
        </w:rPr>
        <w:t> </w:t>
      </w:r>
    </w:p>
    <w:p>
      <w:pPr>
        <w:pStyle w:val="ListParagraph"/>
        <w:numPr>
          <w:ilvl w:val="2"/>
          <w:numId w:val="342"/>
        </w:numPr>
        <w:tabs>
          <w:tab w:pos="1370" w:val="left" w:leader="none"/>
        </w:tabs>
        <w:spacing w:line="446" w:lineRule="auto" w:before="0" w:after="0"/>
        <w:ind w:left="418" w:right="1604" w:firstLine="422"/>
        <w:jc w:val="left"/>
        <w:rPr>
          <w:sz w:val="19"/>
        </w:rPr>
      </w:pPr>
      <w:r>
        <w:rPr>
          <w:spacing w:val="-3"/>
          <w:sz w:val="21"/>
        </w:rPr>
        <w:t>在同一灭火器配置场所，当选用两种或两种以上类型灭火器时，应采用灭火剂相容的灭火器。</w:t>
      </w:r>
      <w:r>
        <w:rPr>
          <w:sz w:val="21"/>
        </w:rPr>
        <w:t> </w:t>
      </w:r>
    </w:p>
    <w:p>
      <w:pPr>
        <w:pStyle w:val="ListParagraph"/>
        <w:numPr>
          <w:ilvl w:val="2"/>
          <w:numId w:val="342"/>
        </w:numPr>
        <w:tabs>
          <w:tab w:pos="1370" w:val="left" w:leader="none"/>
        </w:tabs>
        <w:spacing w:line="267" w:lineRule="exact" w:before="0" w:after="0"/>
        <w:ind w:left="1369" w:right="0" w:hanging="530"/>
        <w:jc w:val="left"/>
        <w:rPr>
          <w:sz w:val="19"/>
        </w:rPr>
      </w:pPr>
      <w:r>
        <w:rPr>
          <w:spacing w:val="-3"/>
          <w:sz w:val="21"/>
        </w:rPr>
        <w:t>不相容的灭火剂举例见本规范附录 </w:t>
      </w:r>
      <w:r>
        <w:rPr>
          <w:sz w:val="21"/>
        </w:rPr>
        <w:t>E</w:t>
      </w:r>
      <w:r>
        <w:rPr>
          <w:spacing w:val="-3"/>
          <w:sz w:val="21"/>
        </w:rPr>
        <w:t> 的规定。 </w:t>
      </w:r>
    </w:p>
    <w:p>
      <w:pPr>
        <w:pStyle w:val="BodyText"/>
        <w:spacing w:before="2"/>
        <w:rPr>
          <w:sz w:val="18"/>
        </w:rPr>
      </w:pPr>
    </w:p>
    <w:p>
      <w:pPr>
        <w:pStyle w:val="ListParagraph"/>
        <w:numPr>
          <w:ilvl w:val="1"/>
          <w:numId w:val="342"/>
        </w:numPr>
        <w:tabs>
          <w:tab w:pos="1159" w:val="left" w:leader="none"/>
        </w:tabs>
        <w:spacing w:line="240" w:lineRule="auto" w:before="0" w:after="0"/>
        <w:ind w:left="1158" w:right="0" w:hanging="319"/>
        <w:jc w:val="left"/>
        <w:rPr>
          <w:sz w:val="21"/>
        </w:rPr>
      </w:pPr>
      <w:r>
        <w:rPr>
          <w:spacing w:val="-3"/>
          <w:sz w:val="21"/>
        </w:rPr>
        <w:t>灭火器的类型选择</w:t>
      </w:r>
      <w:r>
        <w:rPr>
          <w:sz w:val="21"/>
        </w:rPr>
        <w:t> </w:t>
      </w:r>
    </w:p>
    <w:p>
      <w:pPr>
        <w:pStyle w:val="BodyText"/>
        <w:rPr>
          <w:sz w:val="18"/>
        </w:rPr>
      </w:pPr>
    </w:p>
    <w:p>
      <w:pPr>
        <w:pStyle w:val="ListParagraph"/>
        <w:numPr>
          <w:ilvl w:val="2"/>
          <w:numId w:val="342"/>
        </w:numPr>
        <w:tabs>
          <w:tab w:pos="1367" w:val="left" w:leader="none"/>
        </w:tabs>
        <w:spacing w:line="446" w:lineRule="auto" w:before="0" w:after="0"/>
        <w:ind w:left="418" w:right="1609" w:firstLine="419"/>
        <w:jc w:val="left"/>
        <w:rPr>
          <w:sz w:val="19"/>
        </w:rPr>
      </w:pPr>
      <w:r>
        <w:rPr>
          <w:sz w:val="21"/>
        </w:rPr>
        <w:t>A</w:t>
      </w:r>
      <w:r>
        <w:rPr>
          <w:spacing w:val="-3"/>
          <w:sz w:val="21"/>
        </w:rPr>
        <w:t> 类火灾场所应选择水型灭火器、磷酸铵盐干粉灭火器、泡沫灭火器或卤代烷灭火器。</w:t>
      </w:r>
      <w:r>
        <w:rPr>
          <w:sz w:val="21"/>
        </w:rPr>
        <w:t> </w:t>
      </w:r>
    </w:p>
    <w:p>
      <w:pPr>
        <w:pStyle w:val="ListParagraph"/>
        <w:numPr>
          <w:ilvl w:val="2"/>
          <w:numId w:val="342"/>
        </w:numPr>
        <w:tabs>
          <w:tab w:pos="1367" w:val="left" w:leader="none"/>
          <w:tab w:pos="6298" w:val="left" w:leader="none"/>
        </w:tabs>
        <w:spacing w:line="446" w:lineRule="auto" w:before="0" w:after="0"/>
        <w:ind w:left="418" w:right="1609" w:firstLine="419"/>
        <w:jc w:val="left"/>
        <w:rPr>
          <w:sz w:val="19"/>
        </w:rPr>
      </w:pPr>
      <w:r>
        <w:rPr>
          <w:sz w:val="21"/>
        </w:rPr>
        <w:t>B</w:t>
      </w:r>
      <w:r>
        <w:rPr>
          <w:spacing w:val="19"/>
          <w:sz w:val="21"/>
        </w:rPr>
        <w:t> </w:t>
      </w:r>
      <w:r>
        <w:rPr>
          <w:spacing w:val="-3"/>
          <w:sz w:val="21"/>
        </w:rPr>
        <w:t>类</w:t>
      </w:r>
      <w:r>
        <w:rPr>
          <w:sz w:val="21"/>
        </w:rPr>
        <w:t>火</w:t>
      </w:r>
      <w:r>
        <w:rPr>
          <w:spacing w:val="-3"/>
          <w:sz w:val="21"/>
        </w:rPr>
        <w:t>灾</w:t>
      </w:r>
      <w:r>
        <w:rPr>
          <w:sz w:val="21"/>
        </w:rPr>
        <w:t>场</w:t>
      </w:r>
      <w:r>
        <w:rPr>
          <w:spacing w:val="-3"/>
          <w:sz w:val="21"/>
        </w:rPr>
        <w:t>所</w:t>
      </w:r>
      <w:r>
        <w:rPr>
          <w:sz w:val="21"/>
        </w:rPr>
        <w:t>应</w:t>
      </w:r>
      <w:r>
        <w:rPr>
          <w:spacing w:val="-3"/>
          <w:sz w:val="21"/>
        </w:rPr>
        <w:t>选</w:t>
      </w:r>
      <w:r>
        <w:rPr>
          <w:sz w:val="21"/>
        </w:rPr>
        <w:t>择泡</w:t>
      </w:r>
      <w:r>
        <w:rPr>
          <w:spacing w:val="-3"/>
          <w:sz w:val="21"/>
        </w:rPr>
        <w:t>沫</w:t>
      </w:r>
      <w:r>
        <w:rPr>
          <w:sz w:val="21"/>
        </w:rPr>
        <w:t>灭</w:t>
      </w:r>
      <w:r>
        <w:rPr>
          <w:spacing w:val="-3"/>
          <w:sz w:val="21"/>
        </w:rPr>
        <w:t>火</w:t>
      </w:r>
      <w:r>
        <w:rPr>
          <w:sz w:val="21"/>
        </w:rPr>
        <w:t>器</w:t>
      </w:r>
      <w:r>
        <w:rPr>
          <w:spacing w:val="-3"/>
          <w:sz w:val="21"/>
        </w:rPr>
        <w:t>、</w:t>
      </w:r>
      <w:r>
        <w:rPr>
          <w:sz w:val="21"/>
        </w:rPr>
        <w:t>碳</w:t>
      </w:r>
      <w:r>
        <w:rPr>
          <w:spacing w:val="-3"/>
          <w:sz w:val="21"/>
        </w:rPr>
        <w:t>酸</w:t>
      </w:r>
      <w:r>
        <w:rPr>
          <w:sz w:val="21"/>
        </w:rPr>
        <w:t>氢</w:t>
      </w:r>
      <w:r>
        <w:rPr>
          <w:spacing w:val="-3"/>
          <w:sz w:val="21"/>
        </w:rPr>
        <w:t>钠</w:t>
      </w:r>
      <w:r>
        <w:rPr>
          <w:sz w:val="21"/>
        </w:rPr>
        <w:t>干粉</w:t>
      </w:r>
      <w:r>
        <w:rPr>
          <w:spacing w:val="-3"/>
          <w:sz w:val="21"/>
        </w:rPr>
        <w:t>灭</w:t>
      </w:r>
      <w:r>
        <w:rPr>
          <w:sz w:val="21"/>
        </w:rPr>
        <w:t>火</w:t>
      </w:r>
      <w:r>
        <w:rPr>
          <w:spacing w:val="-3"/>
          <w:sz w:val="21"/>
        </w:rPr>
        <w:t>器</w:t>
      </w:r>
      <w:r>
        <w:rPr>
          <w:sz w:val="21"/>
        </w:rPr>
        <w:t>、</w:t>
      </w:r>
      <w:r>
        <w:rPr>
          <w:spacing w:val="-3"/>
          <w:sz w:val="21"/>
        </w:rPr>
        <w:t>磷</w:t>
      </w:r>
      <w:r>
        <w:rPr>
          <w:sz w:val="21"/>
        </w:rPr>
        <w:t>酸</w:t>
      </w:r>
      <w:r>
        <w:rPr>
          <w:spacing w:val="-3"/>
          <w:sz w:val="21"/>
        </w:rPr>
        <w:t>铵</w:t>
      </w:r>
      <w:r>
        <w:rPr>
          <w:sz w:val="21"/>
        </w:rPr>
        <w:t>盐</w:t>
      </w:r>
      <w:r>
        <w:rPr>
          <w:spacing w:val="-3"/>
          <w:sz w:val="21"/>
        </w:rPr>
        <w:t>干</w:t>
      </w:r>
      <w:r>
        <w:rPr>
          <w:sz w:val="21"/>
        </w:rPr>
        <w:t>粉灭</w:t>
      </w:r>
      <w:r>
        <w:rPr>
          <w:spacing w:val="-3"/>
          <w:sz w:val="21"/>
        </w:rPr>
        <w:t>火</w:t>
      </w:r>
      <w:r>
        <w:rPr>
          <w:sz w:val="21"/>
        </w:rPr>
        <w:t>器</w:t>
      </w:r>
      <w:r>
        <w:rPr>
          <w:spacing w:val="-3"/>
          <w:sz w:val="21"/>
        </w:rPr>
        <w:t>、</w:t>
      </w:r>
      <w:r>
        <w:rPr>
          <w:sz w:val="21"/>
        </w:rPr>
        <w:t>二氧化</w:t>
      </w:r>
      <w:r>
        <w:rPr>
          <w:spacing w:val="-3"/>
          <w:sz w:val="21"/>
        </w:rPr>
        <w:t>碳</w:t>
      </w:r>
      <w:r>
        <w:rPr>
          <w:sz w:val="21"/>
        </w:rPr>
        <w:t>灭</w:t>
      </w:r>
      <w:r>
        <w:rPr>
          <w:spacing w:val="-3"/>
          <w:sz w:val="21"/>
        </w:rPr>
        <w:t>火</w:t>
      </w:r>
      <w:r>
        <w:rPr>
          <w:sz w:val="21"/>
        </w:rPr>
        <w:t>器</w:t>
      </w:r>
      <w:r>
        <w:rPr>
          <w:spacing w:val="-3"/>
          <w:sz w:val="21"/>
        </w:rPr>
        <w:t>、</w:t>
      </w:r>
      <w:r>
        <w:rPr>
          <w:sz w:val="21"/>
        </w:rPr>
        <w:t>灭</w:t>
      </w:r>
      <w:r>
        <w:rPr>
          <w:spacing w:val="15"/>
          <w:sz w:val="21"/>
        </w:rPr>
        <w:t> </w:t>
      </w:r>
      <w:r>
        <w:rPr>
          <w:spacing w:val="-3"/>
          <w:sz w:val="21"/>
        </w:rPr>
        <w:t>B</w:t>
      </w:r>
      <w:r>
        <w:rPr>
          <w:spacing w:val="15"/>
          <w:sz w:val="21"/>
        </w:rPr>
        <w:t> </w:t>
      </w:r>
      <w:r>
        <w:rPr>
          <w:spacing w:val="-3"/>
          <w:sz w:val="21"/>
        </w:rPr>
        <w:t>类火</w:t>
      </w:r>
      <w:r>
        <w:rPr>
          <w:sz w:val="21"/>
        </w:rPr>
        <w:t>灾的</w:t>
      </w:r>
      <w:r>
        <w:rPr>
          <w:spacing w:val="-3"/>
          <w:sz w:val="21"/>
        </w:rPr>
        <w:t>水</w:t>
      </w:r>
      <w:r>
        <w:rPr>
          <w:sz w:val="21"/>
        </w:rPr>
        <w:t>型</w:t>
      </w:r>
      <w:r>
        <w:rPr>
          <w:spacing w:val="-3"/>
          <w:sz w:val="21"/>
        </w:rPr>
        <w:t>灭</w:t>
      </w:r>
      <w:r>
        <w:rPr>
          <w:sz w:val="21"/>
        </w:rPr>
        <w:t>火</w:t>
      </w:r>
      <w:r>
        <w:rPr>
          <w:spacing w:val="-3"/>
          <w:sz w:val="21"/>
        </w:rPr>
        <w:t>器</w:t>
      </w:r>
      <w:r>
        <w:rPr>
          <w:sz w:val="21"/>
        </w:rPr>
        <w:t>或</w:t>
      </w:r>
      <w:r>
        <w:rPr>
          <w:spacing w:val="-3"/>
          <w:sz w:val="21"/>
        </w:rPr>
        <w:t>卤</w:t>
      </w:r>
      <w:r>
        <w:rPr>
          <w:sz w:val="21"/>
        </w:rPr>
        <w:t>代</w:t>
      </w:r>
      <w:r>
        <w:rPr>
          <w:spacing w:val="-3"/>
          <w:sz w:val="21"/>
        </w:rPr>
        <w:t>烷</w:t>
      </w:r>
      <w:r>
        <w:rPr>
          <w:sz w:val="21"/>
        </w:rPr>
        <w:t>灭火</w:t>
      </w:r>
      <w:r>
        <w:rPr>
          <w:spacing w:val="-3"/>
          <w:sz w:val="21"/>
        </w:rPr>
        <w:t>器。</w:t>
      </w:r>
      <w:r>
        <w:rPr>
          <w:sz w:val="21"/>
        </w:rPr>
        <w:t> </w:t>
        <w:tab/>
      </w:r>
      <w:hyperlink r:id="rId196">
        <w:r>
          <w:rPr>
            <w:w w:val="100"/>
            <w:sz w:val="21"/>
          </w:rPr>
          <w:t> </w:t>
        </w:r>
      </w:hyperlink>
      <w:r>
        <w:rPr>
          <w:w w:val="100"/>
          <w:sz w:val="21"/>
        </w:rPr>
        <w:t> </w:t>
      </w:r>
    </w:p>
    <w:p>
      <w:pPr>
        <w:pStyle w:val="BodyText"/>
        <w:spacing w:line="267" w:lineRule="exact"/>
        <w:ind w:left="838"/>
      </w:pPr>
      <w:r>
        <w:rPr/>
        <w:t>极性溶剂的 B 类火灾场所应选择灭 B 类火灾的抗溶性灭火器。 </w:t>
      </w:r>
    </w:p>
    <w:p>
      <w:pPr>
        <w:pStyle w:val="BodyText"/>
        <w:spacing w:before="2"/>
        <w:rPr>
          <w:sz w:val="18"/>
        </w:rPr>
      </w:pPr>
    </w:p>
    <w:p>
      <w:pPr>
        <w:pStyle w:val="ListParagraph"/>
        <w:numPr>
          <w:ilvl w:val="2"/>
          <w:numId w:val="342"/>
        </w:numPr>
        <w:tabs>
          <w:tab w:pos="1367" w:val="left" w:leader="none"/>
          <w:tab w:pos="5367" w:val="left" w:leader="none"/>
        </w:tabs>
        <w:spacing w:line="446" w:lineRule="auto" w:before="0" w:after="0"/>
        <w:ind w:left="418" w:right="1609" w:firstLine="419"/>
        <w:jc w:val="left"/>
        <w:rPr>
          <w:sz w:val="19"/>
        </w:rPr>
      </w:pPr>
      <w:r>
        <w:rPr>
          <w:sz w:val="21"/>
        </w:rPr>
        <w:t>C</w:t>
      </w:r>
      <w:r>
        <w:rPr>
          <w:spacing w:val="19"/>
          <w:sz w:val="21"/>
        </w:rPr>
        <w:t> </w:t>
      </w:r>
      <w:r>
        <w:rPr>
          <w:spacing w:val="-3"/>
          <w:sz w:val="21"/>
        </w:rPr>
        <w:t>类</w:t>
      </w:r>
      <w:r>
        <w:rPr>
          <w:sz w:val="21"/>
        </w:rPr>
        <w:t>火</w:t>
      </w:r>
      <w:r>
        <w:rPr>
          <w:spacing w:val="-3"/>
          <w:sz w:val="21"/>
        </w:rPr>
        <w:t>灾</w:t>
      </w:r>
      <w:r>
        <w:rPr>
          <w:sz w:val="21"/>
        </w:rPr>
        <w:t>场</w:t>
      </w:r>
      <w:r>
        <w:rPr>
          <w:spacing w:val="-3"/>
          <w:sz w:val="21"/>
        </w:rPr>
        <w:t>所</w:t>
      </w:r>
      <w:r>
        <w:rPr>
          <w:sz w:val="21"/>
        </w:rPr>
        <w:t>应</w:t>
      </w:r>
      <w:r>
        <w:rPr>
          <w:spacing w:val="-3"/>
          <w:sz w:val="21"/>
        </w:rPr>
        <w:t>选</w:t>
      </w:r>
      <w:r>
        <w:rPr>
          <w:sz w:val="21"/>
        </w:rPr>
        <w:t>择磷</w:t>
      </w:r>
      <w:r>
        <w:rPr>
          <w:spacing w:val="-3"/>
          <w:sz w:val="21"/>
        </w:rPr>
        <w:t>酸</w:t>
      </w:r>
      <w:r>
        <w:rPr>
          <w:sz w:val="21"/>
        </w:rPr>
        <w:t>铵</w:t>
      </w:r>
      <w:r>
        <w:rPr>
          <w:spacing w:val="-3"/>
          <w:sz w:val="21"/>
        </w:rPr>
        <w:t>盐</w:t>
      </w:r>
      <w:r>
        <w:rPr>
          <w:sz w:val="21"/>
        </w:rPr>
        <w:t>干</w:t>
      </w:r>
      <w:r>
        <w:rPr>
          <w:spacing w:val="-3"/>
          <w:sz w:val="21"/>
        </w:rPr>
        <w:t>粉</w:t>
      </w:r>
      <w:r>
        <w:rPr>
          <w:sz w:val="21"/>
        </w:rPr>
        <w:t>灭</w:t>
      </w:r>
      <w:r>
        <w:rPr>
          <w:spacing w:val="-3"/>
          <w:sz w:val="21"/>
        </w:rPr>
        <w:t>火</w:t>
      </w:r>
      <w:r>
        <w:rPr>
          <w:sz w:val="21"/>
        </w:rPr>
        <w:t>器</w:t>
      </w:r>
      <w:r>
        <w:rPr>
          <w:spacing w:val="-3"/>
          <w:sz w:val="21"/>
        </w:rPr>
        <w:t>、</w:t>
      </w:r>
      <w:r>
        <w:rPr>
          <w:sz w:val="21"/>
        </w:rPr>
        <w:t>碳酸</w:t>
      </w:r>
      <w:r>
        <w:rPr>
          <w:spacing w:val="-3"/>
          <w:sz w:val="21"/>
        </w:rPr>
        <w:t>氢</w:t>
      </w:r>
      <w:r>
        <w:rPr>
          <w:sz w:val="21"/>
        </w:rPr>
        <w:t>钠</w:t>
      </w:r>
      <w:r>
        <w:rPr>
          <w:spacing w:val="-3"/>
          <w:sz w:val="21"/>
        </w:rPr>
        <w:t>干</w:t>
      </w:r>
      <w:r>
        <w:rPr>
          <w:sz w:val="21"/>
        </w:rPr>
        <w:t>粉</w:t>
      </w:r>
      <w:r>
        <w:rPr>
          <w:spacing w:val="-3"/>
          <w:sz w:val="21"/>
        </w:rPr>
        <w:t>灭</w:t>
      </w:r>
      <w:r>
        <w:rPr>
          <w:sz w:val="21"/>
        </w:rPr>
        <w:t>火</w:t>
      </w:r>
      <w:r>
        <w:rPr>
          <w:spacing w:val="-3"/>
          <w:sz w:val="21"/>
        </w:rPr>
        <w:t>器</w:t>
      </w:r>
      <w:r>
        <w:rPr>
          <w:sz w:val="21"/>
        </w:rPr>
        <w:t>、</w:t>
      </w:r>
      <w:r>
        <w:rPr>
          <w:spacing w:val="-3"/>
          <w:sz w:val="21"/>
        </w:rPr>
        <w:t>二</w:t>
      </w:r>
      <w:r>
        <w:rPr>
          <w:sz w:val="21"/>
        </w:rPr>
        <w:t>氧化</w:t>
      </w:r>
      <w:r>
        <w:rPr>
          <w:spacing w:val="-3"/>
          <w:sz w:val="21"/>
        </w:rPr>
        <w:t>碳</w:t>
      </w:r>
      <w:r>
        <w:rPr>
          <w:sz w:val="21"/>
        </w:rPr>
        <w:t>灭</w:t>
      </w:r>
      <w:r>
        <w:rPr>
          <w:spacing w:val="-3"/>
          <w:sz w:val="21"/>
        </w:rPr>
        <w:t>火</w:t>
      </w:r>
      <w:r>
        <w:rPr>
          <w:sz w:val="21"/>
        </w:rPr>
        <w:t>器或卤</w:t>
      </w:r>
      <w:r>
        <w:rPr>
          <w:spacing w:val="-3"/>
          <w:sz w:val="21"/>
        </w:rPr>
        <w:t>代</w:t>
      </w:r>
      <w:r>
        <w:rPr>
          <w:sz w:val="21"/>
        </w:rPr>
        <w:t>烷</w:t>
      </w:r>
      <w:r>
        <w:rPr>
          <w:spacing w:val="-3"/>
          <w:sz w:val="21"/>
        </w:rPr>
        <w:t>灭</w:t>
      </w:r>
      <w:r>
        <w:rPr>
          <w:spacing w:val="10"/>
          <w:sz w:val="21"/>
        </w:rPr>
        <w:t> </w:t>
      </w:r>
      <w:r>
        <w:rPr>
          <w:spacing w:val="-3"/>
          <w:sz w:val="21"/>
        </w:rPr>
        <w:t>火</w:t>
      </w:r>
      <w:r>
        <w:rPr>
          <w:sz w:val="21"/>
        </w:rPr>
        <w:t>器</w:t>
      </w:r>
      <w:r>
        <w:rPr>
          <w:spacing w:val="-3"/>
          <w:sz w:val="21"/>
        </w:rPr>
        <w:t>。</w:t>
      </w:r>
      <w:r>
        <w:rPr>
          <w:sz w:val="21"/>
        </w:rPr>
        <w:t> </w:t>
        <w:tab/>
      </w:r>
      <w:hyperlink r:id="rId196">
        <w:r>
          <w:rPr>
            <w:w w:val="100"/>
            <w:sz w:val="21"/>
          </w:rPr>
          <w:t> </w:t>
        </w:r>
      </w:hyperlink>
      <w:r>
        <w:rPr>
          <w:w w:val="100"/>
          <w:sz w:val="21"/>
        </w:rPr>
        <w:t> </w:t>
      </w:r>
    </w:p>
    <w:p>
      <w:pPr>
        <w:pStyle w:val="ListParagraph"/>
        <w:numPr>
          <w:ilvl w:val="2"/>
          <w:numId w:val="342"/>
        </w:numPr>
        <w:tabs>
          <w:tab w:pos="1367" w:val="left" w:leader="none"/>
        </w:tabs>
        <w:spacing w:line="267" w:lineRule="exact" w:before="0" w:after="0"/>
        <w:ind w:left="1367" w:right="0" w:hanging="529"/>
        <w:jc w:val="left"/>
        <w:rPr>
          <w:sz w:val="19"/>
        </w:rPr>
      </w:pPr>
      <w:r>
        <w:rPr>
          <w:sz w:val="21"/>
        </w:rPr>
        <w:t>D</w:t>
      </w:r>
      <w:r>
        <w:rPr>
          <w:spacing w:val="-3"/>
          <w:sz w:val="21"/>
        </w:rPr>
        <w:t> 类火灾场所应选择扑灭金属火灾的专用灭火器。</w:t>
      </w:r>
      <w:r>
        <w:rPr>
          <w:sz w:val="21"/>
        </w:rPr>
        <w:t> </w:t>
      </w:r>
      <w:r>
        <w:rPr>
          <w:spacing w:val="-5"/>
          <w:sz w:val="21"/>
        </w:rPr>
        <w:t> </w:t>
      </w:r>
      <w:hyperlink r:id="rId196">
        <w:r>
          <w:rPr>
            <w:w w:val="100"/>
            <w:sz w:val="21"/>
          </w:rPr>
          <w:t> </w:t>
        </w:r>
      </w:hyperlink>
      <w:r>
        <w:rPr>
          <w:w w:val="100"/>
          <w:sz w:val="21"/>
        </w:rPr>
        <w:t> </w:t>
      </w:r>
    </w:p>
    <w:p>
      <w:pPr>
        <w:pStyle w:val="BodyText"/>
        <w:spacing w:before="2"/>
        <w:rPr>
          <w:sz w:val="18"/>
        </w:rPr>
      </w:pPr>
    </w:p>
    <w:p>
      <w:pPr>
        <w:pStyle w:val="ListParagraph"/>
        <w:numPr>
          <w:ilvl w:val="2"/>
          <w:numId w:val="342"/>
        </w:numPr>
        <w:tabs>
          <w:tab w:pos="1367" w:val="left" w:leader="none"/>
          <w:tab w:pos="7138" w:val="left" w:leader="none"/>
        </w:tabs>
        <w:spacing w:line="446" w:lineRule="auto" w:before="0" w:after="0"/>
        <w:ind w:left="418" w:right="1609" w:firstLine="419"/>
        <w:jc w:val="left"/>
        <w:rPr>
          <w:sz w:val="19"/>
        </w:rPr>
      </w:pPr>
      <w:r>
        <w:rPr>
          <w:sz w:val="21"/>
        </w:rPr>
        <w:t>E</w:t>
      </w:r>
      <w:r>
        <w:rPr>
          <w:spacing w:val="19"/>
          <w:sz w:val="21"/>
        </w:rPr>
        <w:t> </w:t>
      </w:r>
      <w:r>
        <w:rPr>
          <w:spacing w:val="-3"/>
          <w:sz w:val="21"/>
        </w:rPr>
        <w:t>类</w:t>
      </w:r>
      <w:r>
        <w:rPr>
          <w:sz w:val="21"/>
        </w:rPr>
        <w:t>火</w:t>
      </w:r>
      <w:r>
        <w:rPr>
          <w:spacing w:val="-3"/>
          <w:sz w:val="21"/>
        </w:rPr>
        <w:t>灾</w:t>
      </w:r>
      <w:r>
        <w:rPr>
          <w:sz w:val="21"/>
        </w:rPr>
        <w:t>场</w:t>
      </w:r>
      <w:r>
        <w:rPr>
          <w:spacing w:val="-3"/>
          <w:sz w:val="21"/>
        </w:rPr>
        <w:t>所</w:t>
      </w:r>
      <w:r>
        <w:rPr>
          <w:sz w:val="21"/>
        </w:rPr>
        <w:t>应</w:t>
      </w:r>
      <w:r>
        <w:rPr>
          <w:spacing w:val="-3"/>
          <w:sz w:val="21"/>
        </w:rPr>
        <w:t>选</w:t>
      </w:r>
      <w:r>
        <w:rPr>
          <w:sz w:val="21"/>
        </w:rPr>
        <w:t>择磷</w:t>
      </w:r>
      <w:r>
        <w:rPr>
          <w:spacing w:val="-3"/>
          <w:sz w:val="21"/>
        </w:rPr>
        <w:t>酸</w:t>
      </w:r>
      <w:r>
        <w:rPr>
          <w:sz w:val="21"/>
        </w:rPr>
        <w:t>铵</w:t>
      </w:r>
      <w:r>
        <w:rPr>
          <w:spacing w:val="-3"/>
          <w:sz w:val="21"/>
        </w:rPr>
        <w:t>盐</w:t>
      </w:r>
      <w:r>
        <w:rPr>
          <w:sz w:val="21"/>
        </w:rPr>
        <w:t>干</w:t>
      </w:r>
      <w:r>
        <w:rPr>
          <w:spacing w:val="-3"/>
          <w:sz w:val="21"/>
        </w:rPr>
        <w:t>粉</w:t>
      </w:r>
      <w:r>
        <w:rPr>
          <w:sz w:val="21"/>
        </w:rPr>
        <w:t>灭</w:t>
      </w:r>
      <w:r>
        <w:rPr>
          <w:spacing w:val="-3"/>
          <w:sz w:val="21"/>
        </w:rPr>
        <w:t>火</w:t>
      </w:r>
      <w:r>
        <w:rPr>
          <w:sz w:val="21"/>
        </w:rPr>
        <w:t>器</w:t>
      </w:r>
      <w:r>
        <w:rPr>
          <w:spacing w:val="-3"/>
          <w:sz w:val="21"/>
        </w:rPr>
        <w:t>、</w:t>
      </w:r>
      <w:r>
        <w:rPr>
          <w:sz w:val="21"/>
        </w:rPr>
        <w:t>碳酸</w:t>
      </w:r>
      <w:r>
        <w:rPr>
          <w:spacing w:val="-3"/>
          <w:sz w:val="21"/>
        </w:rPr>
        <w:t>氢</w:t>
      </w:r>
      <w:r>
        <w:rPr>
          <w:sz w:val="21"/>
        </w:rPr>
        <w:t>钠</w:t>
      </w:r>
      <w:r>
        <w:rPr>
          <w:spacing w:val="-3"/>
          <w:sz w:val="21"/>
        </w:rPr>
        <w:t>干</w:t>
      </w:r>
      <w:r>
        <w:rPr>
          <w:sz w:val="21"/>
        </w:rPr>
        <w:t>粉</w:t>
      </w:r>
      <w:r>
        <w:rPr>
          <w:spacing w:val="-3"/>
          <w:sz w:val="21"/>
        </w:rPr>
        <w:t>灭</w:t>
      </w:r>
      <w:r>
        <w:rPr>
          <w:sz w:val="21"/>
        </w:rPr>
        <w:t>火</w:t>
      </w:r>
      <w:r>
        <w:rPr>
          <w:spacing w:val="-3"/>
          <w:sz w:val="21"/>
        </w:rPr>
        <w:t>器</w:t>
      </w:r>
      <w:r>
        <w:rPr>
          <w:sz w:val="21"/>
        </w:rPr>
        <w:t>、</w:t>
      </w:r>
      <w:r>
        <w:rPr>
          <w:spacing w:val="-3"/>
          <w:sz w:val="21"/>
        </w:rPr>
        <w:t>卤</w:t>
      </w:r>
      <w:r>
        <w:rPr>
          <w:sz w:val="21"/>
        </w:rPr>
        <w:t>代烷</w:t>
      </w:r>
      <w:r>
        <w:rPr>
          <w:spacing w:val="-3"/>
          <w:sz w:val="21"/>
        </w:rPr>
        <w:t>灭</w:t>
      </w:r>
      <w:r>
        <w:rPr>
          <w:sz w:val="21"/>
        </w:rPr>
        <w:t>火</w:t>
      </w:r>
      <w:r>
        <w:rPr>
          <w:spacing w:val="-3"/>
          <w:sz w:val="21"/>
        </w:rPr>
        <w:t>器</w:t>
      </w:r>
      <w:r>
        <w:rPr>
          <w:sz w:val="21"/>
        </w:rPr>
        <w:t>或二氧</w:t>
      </w:r>
      <w:r>
        <w:rPr>
          <w:spacing w:val="-3"/>
          <w:sz w:val="21"/>
        </w:rPr>
        <w:t>化</w:t>
      </w:r>
      <w:r>
        <w:rPr>
          <w:sz w:val="21"/>
        </w:rPr>
        <w:t>碳</w:t>
      </w:r>
      <w:r>
        <w:rPr>
          <w:spacing w:val="-3"/>
          <w:sz w:val="21"/>
        </w:rPr>
        <w:t>灭</w:t>
      </w:r>
      <w:r>
        <w:rPr>
          <w:sz w:val="21"/>
        </w:rPr>
        <w:t>火</w:t>
      </w:r>
      <w:r>
        <w:rPr>
          <w:spacing w:val="-3"/>
          <w:sz w:val="21"/>
        </w:rPr>
        <w:t>器</w:t>
      </w:r>
      <w:r>
        <w:rPr>
          <w:sz w:val="21"/>
        </w:rPr>
        <w:t>，</w:t>
      </w:r>
      <w:r>
        <w:rPr>
          <w:spacing w:val="-3"/>
          <w:sz w:val="21"/>
        </w:rPr>
        <w:t>但</w:t>
      </w:r>
      <w:r>
        <w:rPr>
          <w:sz w:val="21"/>
        </w:rPr>
        <w:t>不</w:t>
      </w:r>
      <w:r>
        <w:rPr>
          <w:spacing w:val="-3"/>
          <w:sz w:val="21"/>
        </w:rPr>
        <w:t>得</w:t>
      </w:r>
      <w:r>
        <w:rPr>
          <w:sz w:val="21"/>
        </w:rPr>
        <w:t>选用</w:t>
      </w:r>
      <w:r>
        <w:rPr>
          <w:spacing w:val="-3"/>
          <w:sz w:val="21"/>
        </w:rPr>
        <w:t>装</w:t>
      </w:r>
      <w:r>
        <w:rPr>
          <w:sz w:val="21"/>
        </w:rPr>
        <w:t>有</w:t>
      </w:r>
      <w:r>
        <w:rPr>
          <w:spacing w:val="-3"/>
          <w:sz w:val="21"/>
        </w:rPr>
        <w:t>金</w:t>
      </w:r>
      <w:r>
        <w:rPr>
          <w:sz w:val="21"/>
        </w:rPr>
        <w:t>属</w:t>
      </w:r>
      <w:r>
        <w:rPr>
          <w:spacing w:val="-3"/>
          <w:sz w:val="21"/>
        </w:rPr>
        <w:t>喇</w:t>
      </w:r>
      <w:r>
        <w:rPr>
          <w:sz w:val="21"/>
        </w:rPr>
        <w:t>叭</w:t>
      </w:r>
      <w:r>
        <w:rPr>
          <w:spacing w:val="-3"/>
          <w:sz w:val="21"/>
        </w:rPr>
        <w:t>喷</w:t>
      </w:r>
      <w:r>
        <w:rPr>
          <w:sz w:val="21"/>
        </w:rPr>
        <w:t>筒</w:t>
      </w:r>
      <w:r>
        <w:rPr>
          <w:spacing w:val="-3"/>
          <w:sz w:val="21"/>
        </w:rPr>
        <w:t>的</w:t>
      </w:r>
      <w:r>
        <w:rPr>
          <w:sz w:val="21"/>
        </w:rPr>
        <w:t>二氧</w:t>
      </w:r>
      <w:r>
        <w:rPr>
          <w:spacing w:val="-3"/>
          <w:sz w:val="21"/>
        </w:rPr>
        <w:t>化</w:t>
      </w:r>
      <w:r>
        <w:rPr>
          <w:sz w:val="21"/>
        </w:rPr>
        <w:t>碳</w:t>
      </w:r>
      <w:r>
        <w:rPr>
          <w:spacing w:val="-3"/>
          <w:sz w:val="21"/>
        </w:rPr>
        <w:t>灭</w:t>
      </w:r>
      <w:r>
        <w:rPr>
          <w:sz w:val="21"/>
        </w:rPr>
        <w:t>火</w:t>
      </w:r>
      <w:r>
        <w:rPr>
          <w:spacing w:val="-3"/>
          <w:sz w:val="21"/>
        </w:rPr>
        <w:t>器。</w:t>
      </w:r>
      <w:r>
        <w:rPr>
          <w:sz w:val="21"/>
        </w:rPr>
        <w:t> </w:t>
        <w:tab/>
      </w:r>
      <w:hyperlink r:id="rId196">
        <w:r>
          <w:rPr>
            <w:w w:val="100"/>
            <w:sz w:val="21"/>
          </w:rPr>
          <w:t> </w:t>
        </w:r>
      </w:hyperlink>
      <w:r>
        <w:rPr>
          <w:w w:val="100"/>
          <w:sz w:val="21"/>
        </w:rPr>
        <w:t> </w:t>
      </w:r>
    </w:p>
    <w:p>
      <w:pPr>
        <w:pStyle w:val="ListParagraph"/>
        <w:numPr>
          <w:ilvl w:val="2"/>
          <w:numId w:val="342"/>
        </w:numPr>
        <w:tabs>
          <w:tab w:pos="1371" w:val="left" w:leader="none"/>
          <w:tab w:pos="5367" w:val="left" w:leader="none"/>
        </w:tabs>
        <w:spacing w:line="446" w:lineRule="auto" w:before="0" w:after="0"/>
        <w:ind w:left="418" w:right="1606" w:firstLine="422"/>
        <w:jc w:val="left"/>
        <w:rPr>
          <w:b/>
          <w:sz w:val="19"/>
        </w:rPr>
      </w:pPr>
      <w:r>
        <w:rPr>
          <w:spacing w:val="-3"/>
          <w:sz w:val="21"/>
        </w:rPr>
        <w:t>非</w:t>
      </w:r>
      <w:r>
        <w:rPr>
          <w:sz w:val="21"/>
        </w:rPr>
        <w:t>必</w:t>
      </w:r>
      <w:r>
        <w:rPr>
          <w:spacing w:val="-3"/>
          <w:sz w:val="21"/>
        </w:rPr>
        <w:t>要</w:t>
      </w:r>
      <w:r>
        <w:rPr>
          <w:sz w:val="21"/>
        </w:rPr>
        <w:t>场</w:t>
      </w:r>
      <w:r>
        <w:rPr>
          <w:spacing w:val="-3"/>
          <w:sz w:val="21"/>
        </w:rPr>
        <w:t>所</w:t>
      </w:r>
      <w:r>
        <w:rPr>
          <w:sz w:val="21"/>
        </w:rPr>
        <w:t>不</w:t>
      </w:r>
      <w:r>
        <w:rPr>
          <w:spacing w:val="-3"/>
          <w:sz w:val="21"/>
        </w:rPr>
        <w:t>应配</w:t>
      </w:r>
      <w:r>
        <w:rPr>
          <w:sz w:val="21"/>
        </w:rPr>
        <w:t>置卤</w:t>
      </w:r>
      <w:r>
        <w:rPr>
          <w:spacing w:val="-3"/>
          <w:sz w:val="21"/>
        </w:rPr>
        <w:t>代</w:t>
      </w:r>
      <w:r>
        <w:rPr>
          <w:sz w:val="21"/>
        </w:rPr>
        <w:t>烷</w:t>
      </w:r>
      <w:r>
        <w:rPr>
          <w:spacing w:val="-3"/>
          <w:sz w:val="21"/>
        </w:rPr>
        <w:t>灭</w:t>
      </w:r>
      <w:r>
        <w:rPr>
          <w:sz w:val="21"/>
        </w:rPr>
        <w:t>火</w:t>
      </w:r>
      <w:r>
        <w:rPr>
          <w:spacing w:val="-3"/>
          <w:sz w:val="21"/>
        </w:rPr>
        <w:t>器</w:t>
      </w:r>
      <w:r>
        <w:rPr>
          <w:sz w:val="21"/>
        </w:rPr>
        <w:t>。</w:t>
      </w:r>
      <w:r>
        <w:rPr>
          <w:spacing w:val="-3"/>
          <w:sz w:val="21"/>
        </w:rPr>
        <w:t>非</w:t>
      </w:r>
      <w:r>
        <w:rPr>
          <w:sz w:val="21"/>
        </w:rPr>
        <w:t>必</w:t>
      </w:r>
      <w:r>
        <w:rPr>
          <w:spacing w:val="-3"/>
          <w:sz w:val="21"/>
        </w:rPr>
        <w:t>要</w:t>
      </w:r>
      <w:r>
        <w:rPr>
          <w:sz w:val="21"/>
        </w:rPr>
        <w:t>场所</w:t>
      </w:r>
      <w:r>
        <w:rPr>
          <w:spacing w:val="-3"/>
          <w:sz w:val="21"/>
        </w:rPr>
        <w:t>的</w:t>
      </w:r>
      <w:r>
        <w:rPr>
          <w:sz w:val="21"/>
        </w:rPr>
        <w:t>举</w:t>
      </w:r>
      <w:r>
        <w:rPr>
          <w:spacing w:val="-3"/>
          <w:sz w:val="21"/>
        </w:rPr>
        <w:t>例</w:t>
      </w:r>
      <w:r>
        <w:rPr>
          <w:sz w:val="21"/>
        </w:rPr>
        <w:t>见</w:t>
      </w:r>
      <w:r>
        <w:rPr>
          <w:spacing w:val="-3"/>
          <w:sz w:val="21"/>
        </w:rPr>
        <w:t>本</w:t>
      </w:r>
      <w:r>
        <w:rPr>
          <w:sz w:val="21"/>
        </w:rPr>
        <w:t>规</w:t>
      </w:r>
      <w:r>
        <w:rPr>
          <w:spacing w:val="-3"/>
          <w:sz w:val="21"/>
        </w:rPr>
        <w:t>范</w:t>
      </w:r>
      <w:r>
        <w:rPr>
          <w:sz w:val="21"/>
        </w:rPr>
        <w:t>附</w:t>
      </w:r>
      <w:r>
        <w:rPr>
          <w:spacing w:val="-3"/>
          <w:sz w:val="21"/>
        </w:rPr>
        <w:t>录</w:t>
      </w:r>
      <w:r>
        <w:rPr>
          <w:spacing w:val="16"/>
          <w:sz w:val="21"/>
        </w:rPr>
        <w:t> </w:t>
      </w:r>
      <w:r>
        <w:rPr>
          <w:sz w:val="21"/>
        </w:rPr>
        <w:t>F。</w:t>
      </w:r>
      <w:r>
        <w:rPr>
          <w:spacing w:val="-3"/>
          <w:sz w:val="21"/>
        </w:rPr>
        <w:t>必</w:t>
      </w:r>
      <w:r>
        <w:rPr>
          <w:sz w:val="21"/>
        </w:rPr>
        <w:t>要</w:t>
      </w:r>
      <w:r>
        <w:rPr>
          <w:spacing w:val="-3"/>
          <w:sz w:val="21"/>
        </w:rPr>
        <w:t>场</w:t>
      </w:r>
      <w:r>
        <w:rPr>
          <w:sz w:val="21"/>
        </w:rPr>
        <w:t>所可配</w:t>
      </w:r>
      <w:r>
        <w:rPr>
          <w:spacing w:val="-3"/>
          <w:sz w:val="21"/>
        </w:rPr>
        <w:t>置</w:t>
      </w:r>
      <w:r>
        <w:rPr>
          <w:sz w:val="21"/>
        </w:rPr>
        <w:t>卤</w:t>
      </w:r>
      <w:r>
        <w:rPr>
          <w:spacing w:val="-3"/>
          <w:sz w:val="21"/>
        </w:rPr>
        <w:t>代</w:t>
      </w:r>
      <w:r>
        <w:rPr>
          <w:sz w:val="21"/>
        </w:rPr>
        <w:t>烷</w:t>
      </w:r>
      <w:r>
        <w:rPr>
          <w:spacing w:val="-3"/>
          <w:sz w:val="21"/>
        </w:rPr>
        <w:t>灭</w:t>
      </w:r>
      <w:r>
        <w:rPr>
          <w:sz w:val="21"/>
        </w:rPr>
        <w:t>火</w:t>
      </w:r>
      <w:r>
        <w:rPr>
          <w:spacing w:val="-3"/>
          <w:sz w:val="21"/>
        </w:rPr>
        <w:t>器。</w:t>
      </w:r>
      <w:r>
        <w:rPr>
          <w:b/>
          <w:w w:val="99"/>
          <w:sz w:val="21"/>
        </w:rPr>
        <w:t> </w:t>
      </w:r>
      <w:r>
        <w:rPr>
          <w:b/>
          <w:sz w:val="21"/>
        </w:rPr>
        <w:tab/>
      </w:r>
      <w:hyperlink r:id="rId197">
        <w:r>
          <w:rPr>
            <w:b/>
            <w:w w:val="99"/>
            <w:sz w:val="21"/>
          </w:rPr>
          <w:t> </w:t>
        </w:r>
      </w:hyperlink>
      <w:r>
        <w:rPr>
          <w:b/>
          <w:w w:val="99"/>
          <w:sz w:val="21"/>
        </w:rPr>
        <w:t> </w:t>
      </w:r>
    </w:p>
    <w:p>
      <w:pPr>
        <w:pStyle w:val="Heading4"/>
        <w:spacing w:line="278" w:lineRule="exact"/>
      </w:pPr>
      <w:r>
        <w:rPr/>
        <w:t>5 灭火器的设置</w:t>
      </w:r>
      <w:r>
        <w:rPr>
          <w:w w:val="99"/>
        </w:rPr>
        <w:t> </w:t>
      </w:r>
    </w:p>
    <w:p>
      <w:pPr>
        <w:pStyle w:val="BodyText"/>
        <w:spacing w:before="1"/>
        <w:rPr>
          <w:b/>
          <w:sz w:val="17"/>
        </w:rPr>
      </w:pPr>
    </w:p>
    <w:p>
      <w:pPr>
        <w:pStyle w:val="ListParagraph"/>
        <w:numPr>
          <w:ilvl w:val="1"/>
          <w:numId w:val="344"/>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2"/>
        <w:rPr>
          <w:sz w:val="18"/>
        </w:rPr>
      </w:pPr>
    </w:p>
    <w:p>
      <w:pPr>
        <w:pStyle w:val="ListParagraph"/>
        <w:numPr>
          <w:ilvl w:val="2"/>
          <w:numId w:val="344"/>
        </w:numPr>
        <w:tabs>
          <w:tab w:pos="1370" w:val="left" w:leader="none"/>
        </w:tabs>
        <w:spacing w:line="240" w:lineRule="auto" w:before="0" w:after="0"/>
        <w:ind w:left="1369" w:right="0" w:hanging="530"/>
        <w:jc w:val="left"/>
        <w:rPr>
          <w:sz w:val="21"/>
        </w:rPr>
      </w:pPr>
      <w:r>
        <w:rPr>
          <w:spacing w:val="-3"/>
          <w:sz w:val="21"/>
        </w:rPr>
        <w:t>灭火器应设置在位置明显和便于取用的地点，且不得影响安全疏散。 </w:t>
      </w:r>
      <w:r>
        <w:rPr>
          <w:spacing w:val="-9"/>
          <w:sz w:val="21"/>
        </w:rPr>
        <w:t> </w:t>
      </w:r>
      <w:hyperlink r:id="rId198">
        <w:r>
          <w:rPr>
            <w:w w:val="100"/>
            <w:sz w:val="21"/>
          </w:rPr>
          <w:t> </w:t>
        </w:r>
      </w:hyperlink>
      <w:r>
        <w:rPr>
          <w:w w:val="100"/>
          <w:sz w:val="21"/>
        </w:rPr>
        <w:t> </w:t>
      </w:r>
    </w:p>
    <w:p>
      <w:pPr>
        <w:spacing w:after="0" w:line="240" w:lineRule="auto"/>
        <w:jc w:val="left"/>
        <w:rPr>
          <w:sz w:val="21"/>
        </w:rPr>
        <w:sectPr>
          <w:pgSz w:w="11910" w:h="16850"/>
          <w:pgMar w:header="0" w:footer="1159" w:top="1220" w:bottom="1420" w:left="1260" w:right="0"/>
        </w:sectPr>
      </w:pPr>
    </w:p>
    <w:p>
      <w:pPr>
        <w:pStyle w:val="ListParagraph"/>
        <w:numPr>
          <w:ilvl w:val="2"/>
          <w:numId w:val="344"/>
        </w:numPr>
        <w:tabs>
          <w:tab w:pos="1370" w:val="left" w:leader="none"/>
        </w:tabs>
        <w:spacing w:line="240" w:lineRule="auto" w:before="47" w:after="0"/>
        <w:ind w:left="1369" w:right="0" w:hanging="530"/>
        <w:jc w:val="both"/>
        <w:rPr>
          <w:sz w:val="21"/>
        </w:rPr>
      </w:pPr>
      <w:r>
        <w:rPr>
          <w:spacing w:val="-3"/>
          <w:sz w:val="21"/>
        </w:rPr>
        <w:t>对有视线障碍的灭火器设置点，应设置指示其位置的发光标志。</w:t>
      </w:r>
      <w:r>
        <w:rPr>
          <w:sz w:val="21"/>
        </w:rPr>
        <w:t> </w:t>
      </w:r>
      <w:r>
        <w:rPr>
          <w:spacing w:val="-9"/>
          <w:sz w:val="21"/>
        </w:rPr>
        <w:t> </w:t>
      </w:r>
      <w:hyperlink r:id="rId199">
        <w:r>
          <w:rPr>
            <w:w w:val="100"/>
            <w:sz w:val="21"/>
          </w:rPr>
          <w:t> </w:t>
        </w:r>
      </w:hyperlink>
      <w:r>
        <w:rPr>
          <w:w w:val="100"/>
          <w:sz w:val="21"/>
        </w:rPr>
        <w:t> </w:t>
      </w:r>
    </w:p>
    <w:p>
      <w:pPr>
        <w:pStyle w:val="BodyText"/>
        <w:rPr>
          <w:sz w:val="18"/>
        </w:rPr>
      </w:pPr>
    </w:p>
    <w:p>
      <w:pPr>
        <w:pStyle w:val="ListParagraph"/>
        <w:numPr>
          <w:ilvl w:val="2"/>
          <w:numId w:val="344"/>
        </w:numPr>
        <w:tabs>
          <w:tab w:pos="1370" w:val="left" w:leader="none"/>
        </w:tabs>
        <w:spacing w:line="446" w:lineRule="auto" w:before="0" w:after="0"/>
        <w:ind w:left="418" w:right="1604" w:firstLine="422"/>
        <w:jc w:val="both"/>
        <w:rPr>
          <w:sz w:val="21"/>
        </w:rPr>
      </w:pPr>
      <w:r>
        <w:rPr>
          <w:spacing w:val="-3"/>
          <w:sz w:val="21"/>
        </w:rPr>
        <w:t>灭火器的摆放应稳固，其铭牌应朝外。手提式灭火器宜设置在灭火器箱内或挂钩、</w:t>
      </w:r>
      <w:r>
        <w:rPr>
          <w:spacing w:val="-2"/>
          <w:sz w:val="21"/>
        </w:rPr>
        <w:t>托架上，其顶部离地面高度不应大于 </w:t>
      </w:r>
      <w:r>
        <w:rPr>
          <w:sz w:val="21"/>
        </w:rPr>
        <w:t>1.50m</w:t>
      </w:r>
      <w:r>
        <w:rPr>
          <w:spacing w:val="-2"/>
          <w:sz w:val="21"/>
        </w:rPr>
        <w:t>；底部离地面高度不宜小于 </w:t>
      </w:r>
      <w:r>
        <w:rPr>
          <w:sz w:val="21"/>
        </w:rPr>
        <w:t>0.08m</w:t>
      </w:r>
      <w:r>
        <w:rPr>
          <w:spacing w:val="-3"/>
          <w:sz w:val="21"/>
        </w:rPr>
        <w:t>。灭火器箱不得</w:t>
      </w:r>
      <w:r>
        <w:rPr>
          <w:spacing w:val="-1"/>
          <w:sz w:val="21"/>
        </w:rPr>
        <w:t>上锁。</w:t>
      </w:r>
      <w:hyperlink r:id="rId200">
        <w:r>
          <w:rPr>
            <w:sz w:val="21"/>
          </w:rPr>
          <w:t> </w:t>
        </w:r>
        <w:r>
          <w:rPr>
            <w:spacing w:val="-3"/>
            <w:sz w:val="21"/>
          </w:rPr>
          <w:t> </w:t>
        </w:r>
      </w:hyperlink>
      <w:r>
        <w:rPr>
          <w:sz w:val="21"/>
        </w:rPr>
        <w:t> </w:t>
      </w:r>
    </w:p>
    <w:p>
      <w:pPr>
        <w:pStyle w:val="BodyText"/>
        <w:spacing w:line="446" w:lineRule="auto"/>
        <w:ind w:left="418" w:right="1918" w:firstLine="422"/>
      </w:pPr>
      <w:r>
        <w:rPr>
          <w:b/>
          <w:w w:val="99"/>
        </w:rPr>
        <w:t> </w:t>
      </w:r>
      <w:r>
        <w:rPr>
          <w:b/>
        </w:rPr>
        <w:t>5.1.4 </w:t>
      </w:r>
      <w:r>
        <w:rPr/>
        <w:t>灭火器不宜设置在潮湿或强腐蚀性的地点。当必须设置时，应有相应的保护措施。 </w:t>
      </w:r>
    </w:p>
    <w:p>
      <w:pPr>
        <w:pStyle w:val="BodyText"/>
        <w:tabs>
          <w:tab w:pos="5367" w:val="left" w:leader="none"/>
        </w:tabs>
        <w:ind w:left="838"/>
      </w:pPr>
      <w:r>
        <w:rPr/>
        <w:t>灭火</w:t>
      </w:r>
      <w:r>
        <w:rPr>
          <w:spacing w:val="-3"/>
        </w:rPr>
        <w:t>器</w:t>
      </w:r>
      <w:r>
        <w:rPr/>
        <w:t>设</w:t>
      </w:r>
      <w:r>
        <w:rPr>
          <w:spacing w:val="-3"/>
        </w:rPr>
        <w:t>置</w:t>
      </w:r>
      <w:r>
        <w:rPr/>
        <w:t>在</w:t>
      </w:r>
      <w:r>
        <w:rPr>
          <w:spacing w:val="-3"/>
        </w:rPr>
        <w:t>室</w:t>
      </w:r>
      <w:r>
        <w:rPr/>
        <w:t>外</w:t>
      </w:r>
      <w:r>
        <w:rPr>
          <w:spacing w:val="-3"/>
        </w:rPr>
        <w:t>时</w:t>
      </w:r>
      <w:r>
        <w:rPr/>
        <w:t>，</w:t>
      </w:r>
      <w:r>
        <w:rPr>
          <w:spacing w:val="-3"/>
        </w:rPr>
        <w:t>应</w:t>
      </w:r>
      <w:r>
        <w:rPr/>
        <w:t>有相</w:t>
      </w:r>
      <w:r>
        <w:rPr>
          <w:spacing w:val="-3"/>
        </w:rPr>
        <w:t>应</w:t>
      </w:r>
      <w:r>
        <w:rPr/>
        <w:t>的</w:t>
      </w:r>
      <w:r>
        <w:rPr>
          <w:spacing w:val="-3"/>
        </w:rPr>
        <w:t>保</w:t>
      </w:r>
      <w:r>
        <w:rPr/>
        <w:t>护</w:t>
      </w:r>
      <w:r>
        <w:rPr>
          <w:spacing w:val="-3"/>
        </w:rPr>
        <w:t>措</w:t>
      </w:r>
      <w:r>
        <w:rPr/>
        <w:t>施</w:t>
      </w:r>
      <w:r>
        <w:rPr>
          <w:spacing w:val="-3"/>
        </w:rPr>
        <w:t>。</w:t>
      </w:r>
      <w:r>
        <w:rPr/>
        <w:t> </w:t>
        <w:tab/>
      </w:r>
      <w:hyperlink r:id="rId201">
        <w:r>
          <w:rPr>
            <w:w w:val="100"/>
          </w:rPr>
          <w:t> </w:t>
        </w:r>
      </w:hyperlink>
      <w:r>
        <w:rPr>
          <w:w w:val="100"/>
        </w:rPr>
        <w:t> </w:t>
      </w:r>
    </w:p>
    <w:p>
      <w:pPr>
        <w:pStyle w:val="BodyText"/>
        <w:spacing w:before="11"/>
        <w:rPr>
          <w:sz w:val="17"/>
        </w:rPr>
      </w:pPr>
    </w:p>
    <w:p>
      <w:pPr>
        <w:tabs>
          <w:tab w:pos="6298" w:val="left" w:leader="none"/>
        </w:tabs>
        <w:spacing w:before="1"/>
        <w:ind w:left="840" w:right="0" w:firstLine="0"/>
        <w:jc w:val="left"/>
        <w:rPr>
          <w:b/>
          <w:sz w:val="21"/>
        </w:rPr>
      </w:pPr>
      <w:r>
        <w:rPr>
          <w:b/>
          <w:sz w:val="21"/>
        </w:rPr>
        <w:t>5.1.5</w:t>
      </w:r>
      <w:r>
        <w:rPr>
          <w:b/>
          <w:spacing w:val="25"/>
          <w:sz w:val="21"/>
        </w:rPr>
        <w:t> </w:t>
      </w:r>
      <w:r>
        <w:rPr>
          <w:spacing w:val="-3"/>
          <w:sz w:val="21"/>
        </w:rPr>
        <w:t>灭</w:t>
      </w:r>
      <w:r>
        <w:rPr>
          <w:sz w:val="21"/>
        </w:rPr>
        <w:t>火</w:t>
      </w:r>
      <w:r>
        <w:rPr>
          <w:spacing w:val="-3"/>
          <w:sz w:val="21"/>
        </w:rPr>
        <w:t>器</w:t>
      </w:r>
      <w:r>
        <w:rPr>
          <w:sz w:val="21"/>
        </w:rPr>
        <w:t>不</w:t>
      </w:r>
      <w:r>
        <w:rPr>
          <w:spacing w:val="-3"/>
          <w:sz w:val="21"/>
        </w:rPr>
        <w:t>得</w:t>
      </w:r>
      <w:r>
        <w:rPr>
          <w:sz w:val="21"/>
        </w:rPr>
        <w:t>设</w:t>
      </w:r>
      <w:r>
        <w:rPr>
          <w:spacing w:val="-3"/>
          <w:sz w:val="21"/>
        </w:rPr>
        <w:t>置在</w:t>
      </w:r>
      <w:r>
        <w:rPr>
          <w:sz w:val="21"/>
        </w:rPr>
        <w:t>超出</w:t>
      </w:r>
      <w:r>
        <w:rPr>
          <w:spacing w:val="-3"/>
          <w:sz w:val="21"/>
        </w:rPr>
        <w:t>其</w:t>
      </w:r>
      <w:r>
        <w:rPr>
          <w:sz w:val="21"/>
        </w:rPr>
        <w:t>使</w:t>
      </w:r>
      <w:r>
        <w:rPr>
          <w:spacing w:val="-3"/>
          <w:sz w:val="21"/>
        </w:rPr>
        <w:t>用</w:t>
      </w:r>
      <w:r>
        <w:rPr>
          <w:sz w:val="21"/>
        </w:rPr>
        <w:t>温</w:t>
      </w:r>
      <w:r>
        <w:rPr>
          <w:spacing w:val="-3"/>
          <w:sz w:val="21"/>
        </w:rPr>
        <w:t>度</w:t>
      </w:r>
      <w:r>
        <w:rPr>
          <w:sz w:val="21"/>
        </w:rPr>
        <w:t>范</w:t>
      </w:r>
      <w:r>
        <w:rPr>
          <w:spacing w:val="-3"/>
          <w:sz w:val="21"/>
        </w:rPr>
        <w:t>围</w:t>
      </w:r>
      <w:r>
        <w:rPr>
          <w:sz w:val="21"/>
        </w:rPr>
        <w:t>的</w:t>
      </w:r>
      <w:r>
        <w:rPr>
          <w:spacing w:val="-3"/>
          <w:sz w:val="21"/>
        </w:rPr>
        <w:t>地</w:t>
      </w:r>
      <w:r>
        <w:rPr>
          <w:sz w:val="21"/>
        </w:rPr>
        <w:t>点</w:t>
      </w:r>
      <w:r>
        <w:rPr>
          <w:spacing w:val="-3"/>
          <w:sz w:val="21"/>
        </w:rPr>
        <w:t>。</w:t>
      </w:r>
      <w:r>
        <w:rPr>
          <w:b/>
          <w:w w:val="99"/>
          <w:sz w:val="21"/>
        </w:rPr>
        <w:t> </w:t>
      </w:r>
      <w:r>
        <w:rPr>
          <w:b/>
          <w:sz w:val="21"/>
        </w:rPr>
        <w:tab/>
      </w:r>
      <w:hyperlink r:id="rId202">
        <w:r>
          <w:rPr>
            <w:b/>
            <w:w w:val="99"/>
            <w:sz w:val="21"/>
          </w:rPr>
          <w:t> </w:t>
        </w:r>
      </w:hyperlink>
      <w:r>
        <w:rPr>
          <w:b/>
          <w:w w:val="99"/>
          <w:sz w:val="21"/>
        </w:rPr>
        <w:t> </w:t>
      </w:r>
    </w:p>
    <w:p>
      <w:pPr>
        <w:pStyle w:val="BodyText"/>
        <w:spacing w:before="12"/>
        <w:rPr>
          <w:b/>
          <w:sz w:val="17"/>
        </w:rPr>
      </w:pPr>
    </w:p>
    <w:p>
      <w:pPr>
        <w:pStyle w:val="ListParagraph"/>
        <w:numPr>
          <w:ilvl w:val="1"/>
          <w:numId w:val="344"/>
        </w:numPr>
        <w:tabs>
          <w:tab w:pos="1160" w:val="left" w:leader="none"/>
        </w:tabs>
        <w:spacing w:line="240" w:lineRule="auto" w:before="0" w:after="0"/>
        <w:ind w:left="1159" w:right="0" w:hanging="320"/>
        <w:jc w:val="left"/>
        <w:rPr>
          <w:sz w:val="21"/>
        </w:rPr>
      </w:pPr>
      <w:r>
        <w:rPr>
          <w:spacing w:val="-3"/>
          <w:sz w:val="21"/>
        </w:rPr>
        <w:t>灭火器的最大保护距离 </w:t>
      </w:r>
    </w:p>
    <w:p>
      <w:pPr>
        <w:pStyle w:val="BodyText"/>
        <w:spacing w:before="2"/>
        <w:rPr>
          <w:sz w:val="18"/>
        </w:rPr>
      </w:pPr>
    </w:p>
    <w:p>
      <w:pPr>
        <w:pStyle w:val="ListParagraph"/>
        <w:numPr>
          <w:ilvl w:val="2"/>
          <w:numId w:val="344"/>
        </w:numPr>
        <w:tabs>
          <w:tab w:pos="1371" w:val="left" w:leader="none"/>
        </w:tabs>
        <w:spacing w:line="240" w:lineRule="auto" w:before="0" w:after="0"/>
        <w:ind w:left="1370" w:right="0" w:hanging="531"/>
        <w:jc w:val="left"/>
        <w:rPr>
          <w:sz w:val="21"/>
        </w:rPr>
      </w:pPr>
      <w:r>
        <w:rPr>
          <w:spacing w:val="-2"/>
          <w:sz w:val="21"/>
        </w:rPr>
        <w:t>设置在 </w:t>
      </w:r>
      <w:r>
        <w:rPr>
          <w:sz w:val="21"/>
        </w:rPr>
        <w:t>A</w:t>
      </w:r>
      <w:r>
        <w:rPr>
          <w:spacing w:val="-3"/>
          <w:sz w:val="21"/>
        </w:rPr>
        <w:t> 类火灾场所的灭火器，其最大保护距离应符合表 </w:t>
      </w:r>
      <w:r>
        <w:rPr>
          <w:sz w:val="21"/>
        </w:rPr>
        <w:t>5.2.1</w:t>
      </w:r>
      <w:r>
        <w:rPr>
          <w:spacing w:val="-3"/>
          <w:sz w:val="21"/>
        </w:rPr>
        <w:t> 的规</w:t>
      </w:r>
      <w:hyperlink r:id="rId203">
        <w:r>
          <w:rPr>
            <w:sz w:val="21"/>
          </w:rPr>
          <w:t>定。 </w:t>
        </w:r>
        <w:r>
          <w:rPr>
            <w:spacing w:val="-3"/>
            <w:sz w:val="21"/>
          </w:rPr>
          <w:t> </w:t>
        </w:r>
      </w:hyperlink>
      <w:r>
        <w:rPr>
          <w:sz w:val="21"/>
        </w:rPr>
        <w:t> </w:t>
      </w:r>
    </w:p>
    <w:p>
      <w:pPr>
        <w:pStyle w:val="Heading4"/>
        <w:spacing w:before="92" w:after="43"/>
        <w:ind w:left="1301"/>
      </w:pPr>
      <w:r>
        <w:rPr>
          <w:spacing w:val="-53"/>
        </w:rPr>
        <w:t>表 </w:t>
      </w:r>
      <w:r>
        <w:rPr/>
        <w:t>5.2.1 A</w:t>
      </w:r>
      <w:r>
        <w:rPr>
          <w:spacing w:val="-13"/>
        </w:rPr>
        <w:t> 类火灾场所的灭火器最大保护距离</w:t>
      </w:r>
      <w:r>
        <w:rPr/>
        <w:t>（m）</w:t>
      </w:r>
      <w:r>
        <w:rPr>
          <w:w w:val="99"/>
        </w:rPr>
        <w:t> </w:t>
      </w:r>
    </w:p>
    <w:tbl>
      <w:tblPr>
        <w:tblW w:w="0" w:type="auto"/>
        <w:jc w:val="left"/>
        <w:tblInd w:w="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32"/>
        <w:gridCol w:w="2780"/>
        <w:gridCol w:w="2665"/>
      </w:tblGrid>
      <w:tr>
        <w:trPr>
          <w:trHeight w:val="580" w:hRule="atLeast"/>
        </w:trPr>
        <w:tc>
          <w:tcPr>
            <w:tcW w:w="3332" w:type="dxa"/>
            <w:tcBorders>
              <w:left w:val="single" w:sz="6" w:space="0" w:color="000000"/>
              <w:bottom w:val="single" w:sz="6" w:space="0" w:color="000000"/>
              <w:right w:val="single" w:sz="6" w:space="0" w:color="000000"/>
            </w:tcBorders>
          </w:tcPr>
          <w:p>
            <w:pPr>
              <w:pStyle w:val="TableParagraph"/>
              <w:spacing w:before="16"/>
              <w:ind w:left="107"/>
              <w:rPr>
                <w:sz w:val="21"/>
              </w:rPr>
            </w:pPr>
            <w:r>
              <w:rPr>
                <w:sz w:val="21"/>
              </w:rPr>
              <w:t>灭火器形式 危险等级 </w:t>
            </w:r>
          </w:p>
        </w:tc>
        <w:tc>
          <w:tcPr>
            <w:tcW w:w="2780" w:type="dxa"/>
            <w:tcBorders>
              <w:top w:val="single" w:sz="6" w:space="0" w:color="000000"/>
              <w:left w:val="single" w:sz="6" w:space="0" w:color="000000"/>
              <w:bottom w:val="single" w:sz="6" w:space="0" w:color="000000"/>
              <w:right w:val="single" w:sz="6" w:space="0" w:color="000000"/>
            </w:tcBorders>
          </w:tcPr>
          <w:p>
            <w:pPr>
              <w:pStyle w:val="TableParagraph"/>
              <w:spacing w:before="85"/>
              <w:ind w:left="135" w:right="1329"/>
              <w:jc w:val="center"/>
              <w:rPr>
                <w:sz w:val="21"/>
              </w:rPr>
            </w:pPr>
            <w:r>
              <w:rPr>
                <w:sz w:val="21"/>
              </w:rPr>
              <w:t>手提式灭火器 </w:t>
            </w:r>
          </w:p>
        </w:tc>
        <w:tc>
          <w:tcPr>
            <w:tcW w:w="2665" w:type="dxa"/>
            <w:tcBorders>
              <w:top w:val="single" w:sz="6" w:space="0" w:color="000000"/>
              <w:left w:val="single" w:sz="6" w:space="0" w:color="000000"/>
              <w:bottom w:val="single" w:sz="6" w:space="0" w:color="000000"/>
              <w:right w:val="single" w:sz="6" w:space="0" w:color="000000"/>
            </w:tcBorders>
          </w:tcPr>
          <w:p>
            <w:pPr>
              <w:pStyle w:val="TableParagraph"/>
              <w:spacing w:before="85"/>
              <w:ind w:left="135" w:right="1214"/>
              <w:jc w:val="center"/>
              <w:rPr>
                <w:sz w:val="21"/>
              </w:rPr>
            </w:pPr>
            <w:r>
              <w:rPr>
                <w:sz w:val="21"/>
              </w:rPr>
              <w:t>推车式灭火器 </w:t>
            </w:r>
          </w:p>
        </w:tc>
      </w:tr>
      <w:tr>
        <w:trPr>
          <w:trHeight w:val="292" w:hRule="atLeast"/>
        </w:trPr>
        <w:tc>
          <w:tcPr>
            <w:tcW w:w="3332"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07"/>
              <w:rPr>
                <w:sz w:val="21"/>
              </w:rPr>
            </w:pPr>
            <w:r>
              <w:rPr>
                <w:sz w:val="21"/>
              </w:rPr>
              <w:t>严重危险级 </w:t>
            </w:r>
          </w:p>
        </w:tc>
        <w:tc>
          <w:tcPr>
            <w:tcW w:w="2780"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20"/>
              <w:ind w:left="135" w:right="1195"/>
              <w:jc w:val="center"/>
              <w:rPr>
                <w:sz w:val="21"/>
              </w:rPr>
            </w:pPr>
            <w:r>
              <w:rPr>
                <w:sz w:val="21"/>
              </w:rPr>
              <w:t>15 </w:t>
            </w:r>
          </w:p>
        </w:tc>
        <w:tc>
          <w:tcPr>
            <w:tcW w:w="2665"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20"/>
              <w:ind w:left="135" w:right="1200"/>
              <w:jc w:val="center"/>
              <w:rPr>
                <w:sz w:val="21"/>
              </w:rPr>
            </w:pPr>
            <w:r>
              <w:rPr>
                <w:sz w:val="21"/>
              </w:rPr>
              <w:t>30 </w:t>
            </w:r>
          </w:p>
        </w:tc>
      </w:tr>
      <w:tr>
        <w:trPr>
          <w:trHeight w:val="289" w:hRule="atLeast"/>
        </w:trPr>
        <w:tc>
          <w:tcPr>
            <w:tcW w:w="3332"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741"/>
              <w:rPr>
                <w:sz w:val="21"/>
              </w:rPr>
            </w:pPr>
            <w:r>
              <w:rPr>
                <w:sz w:val="21"/>
              </w:rPr>
              <w:t>中危险级 </w:t>
            </w:r>
          </w:p>
        </w:tc>
        <w:tc>
          <w:tcPr>
            <w:tcW w:w="2780"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17"/>
              <w:ind w:left="135" w:right="1195"/>
              <w:jc w:val="center"/>
              <w:rPr>
                <w:sz w:val="21"/>
              </w:rPr>
            </w:pPr>
            <w:r>
              <w:rPr>
                <w:sz w:val="21"/>
              </w:rPr>
              <w:t>20 </w:t>
            </w:r>
          </w:p>
        </w:tc>
        <w:tc>
          <w:tcPr>
            <w:tcW w:w="2665"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17"/>
              <w:ind w:left="135" w:right="1200"/>
              <w:jc w:val="center"/>
              <w:rPr>
                <w:sz w:val="21"/>
              </w:rPr>
            </w:pPr>
            <w:r>
              <w:rPr>
                <w:sz w:val="21"/>
              </w:rPr>
              <w:t>40 </w:t>
            </w:r>
          </w:p>
        </w:tc>
      </w:tr>
      <w:tr>
        <w:trPr>
          <w:trHeight w:val="299" w:hRule="atLeast"/>
        </w:trPr>
        <w:tc>
          <w:tcPr>
            <w:tcW w:w="3332" w:type="dxa"/>
            <w:tcBorders>
              <w:top w:val="single" w:sz="6" w:space="0" w:color="000000"/>
              <w:left w:val="single" w:sz="6" w:space="0" w:color="000000"/>
              <w:bottom w:val="single" w:sz="6" w:space="0" w:color="000000"/>
              <w:right w:val="single" w:sz="6" w:space="0" w:color="000000"/>
            </w:tcBorders>
          </w:tcPr>
          <w:p>
            <w:pPr>
              <w:pStyle w:val="TableParagraph"/>
              <w:spacing w:line="263" w:lineRule="exact"/>
              <w:ind w:left="741"/>
              <w:rPr>
                <w:sz w:val="21"/>
              </w:rPr>
            </w:pPr>
            <w:r>
              <w:rPr>
                <w:sz w:val="21"/>
              </w:rPr>
              <w:t>轻危险级 </w:t>
            </w:r>
          </w:p>
        </w:tc>
        <w:tc>
          <w:tcPr>
            <w:tcW w:w="2780" w:type="dxa"/>
            <w:tcBorders>
              <w:top w:val="single" w:sz="6" w:space="0" w:color="000000"/>
              <w:left w:val="single" w:sz="6" w:space="0" w:color="000000"/>
              <w:bottom w:val="single" w:sz="6" w:space="0" w:color="000000"/>
              <w:right w:val="single" w:sz="6" w:space="0" w:color="000000"/>
            </w:tcBorders>
          </w:tcPr>
          <w:p>
            <w:pPr>
              <w:pStyle w:val="TableParagraph"/>
              <w:spacing w:line="257" w:lineRule="exact" w:before="23"/>
              <w:ind w:left="135" w:right="1195"/>
              <w:jc w:val="center"/>
              <w:rPr>
                <w:sz w:val="21"/>
              </w:rPr>
            </w:pPr>
            <w:r>
              <w:rPr>
                <w:sz w:val="21"/>
              </w:rPr>
              <w:t>25 </w:t>
            </w:r>
          </w:p>
        </w:tc>
        <w:tc>
          <w:tcPr>
            <w:tcW w:w="2665" w:type="dxa"/>
            <w:tcBorders>
              <w:top w:val="single" w:sz="6" w:space="0" w:color="000000"/>
              <w:left w:val="single" w:sz="6" w:space="0" w:color="000000"/>
              <w:bottom w:val="single" w:sz="6" w:space="0" w:color="000000"/>
              <w:right w:val="single" w:sz="6" w:space="0" w:color="000000"/>
            </w:tcBorders>
          </w:tcPr>
          <w:p>
            <w:pPr>
              <w:pStyle w:val="TableParagraph"/>
              <w:spacing w:line="257" w:lineRule="exact" w:before="23"/>
              <w:ind w:left="135" w:right="1200"/>
              <w:jc w:val="center"/>
              <w:rPr>
                <w:sz w:val="21"/>
              </w:rPr>
            </w:pPr>
            <w:r>
              <w:rPr>
                <w:sz w:val="21"/>
              </w:rPr>
              <w:t>50 </w:t>
            </w:r>
          </w:p>
        </w:tc>
      </w:tr>
    </w:tbl>
    <w:p>
      <w:pPr>
        <w:pStyle w:val="BodyText"/>
        <w:spacing w:before="3"/>
        <w:rPr>
          <w:b/>
          <w:sz w:val="9"/>
        </w:rPr>
      </w:pPr>
    </w:p>
    <w:p>
      <w:pPr>
        <w:pStyle w:val="ListParagraph"/>
        <w:numPr>
          <w:ilvl w:val="2"/>
          <w:numId w:val="344"/>
        </w:numPr>
        <w:tabs>
          <w:tab w:pos="1371" w:val="left" w:leader="none"/>
        </w:tabs>
        <w:spacing w:line="240" w:lineRule="auto" w:before="72" w:after="0"/>
        <w:ind w:left="1370" w:right="0" w:hanging="531"/>
        <w:jc w:val="left"/>
        <w:rPr>
          <w:sz w:val="21"/>
        </w:rPr>
      </w:pPr>
      <w:r>
        <w:rPr>
          <w:spacing w:val="-30"/>
          <w:w w:val="100"/>
          <w:sz w:val="21"/>
        </w:rPr>
        <w:t>设置在 </w:t>
      </w:r>
      <w:r>
        <w:rPr>
          <w:spacing w:val="-3"/>
          <w:w w:val="100"/>
          <w:sz w:val="21"/>
        </w:rPr>
        <w:t>B</w:t>
      </w:r>
      <w:r>
        <w:rPr>
          <w:w w:val="100"/>
          <w:sz w:val="21"/>
        </w:rPr>
        <w:t>、</w:t>
      </w:r>
      <w:r>
        <w:rPr>
          <w:spacing w:val="-3"/>
          <w:w w:val="100"/>
          <w:sz w:val="21"/>
        </w:rPr>
        <w:t>C</w:t>
      </w:r>
      <w:r>
        <w:rPr>
          <w:spacing w:val="-106"/>
          <w:w w:val="100"/>
          <w:sz w:val="21"/>
        </w:rPr>
        <w:t>类 </w:t>
      </w:r>
      <w:r>
        <w:rPr>
          <w:spacing w:val="-2"/>
          <w:sz w:val="21"/>
        </w:rPr>
        <w:t> </w:t>
      </w:r>
      <w:r>
        <w:rPr>
          <w:spacing w:val="-8"/>
          <w:w w:val="100"/>
          <w:sz w:val="21"/>
        </w:rPr>
        <w:t>火灾场所的灭火器，其最大保护距离应符合表</w:t>
      </w:r>
      <w:r>
        <w:rPr>
          <w:w w:val="100"/>
          <w:sz w:val="21"/>
        </w:rPr>
        <w:t>5</w:t>
      </w:r>
      <w:r>
        <w:rPr>
          <w:spacing w:val="-106"/>
          <w:w w:val="100"/>
          <w:sz w:val="21"/>
        </w:rPr>
        <w:t>. </w:t>
      </w:r>
      <w:r>
        <w:rPr>
          <w:sz w:val="21"/>
        </w:rPr>
        <w:t> </w:t>
      </w:r>
      <w:r>
        <w:rPr>
          <w:spacing w:val="-3"/>
          <w:w w:val="100"/>
          <w:sz w:val="21"/>
        </w:rPr>
        <w:t>2</w:t>
      </w:r>
      <w:r>
        <w:rPr>
          <w:w w:val="100"/>
          <w:sz w:val="21"/>
        </w:rPr>
        <w:t>.</w:t>
      </w:r>
      <w:r>
        <w:rPr>
          <w:spacing w:val="-3"/>
          <w:w w:val="100"/>
          <w:sz w:val="21"/>
        </w:rPr>
        <w:t>2的规定。</w:t>
      </w:r>
      <w:r>
        <w:rPr>
          <w:spacing w:val="-942"/>
          <w:w w:val="100"/>
          <w:sz w:val="21"/>
        </w:rPr>
        <w:t> </w:t>
      </w:r>
      <w:r>
        <w:rPr>
          <w:spacing w:val="-106"/>
          <w:w w:val="100"/>
          <w:sz w:val="21"/>
        </w:rPr>
        <w:t> </w:t>
      </w:r>
    </w:p>
    <w:p>
      <w:pPr>
        <w:pStyle w:val="Heading6"/>
        <w:spacing w:before="43" w:after="30"/>
        <w:ind w:left="2569"/>
      </w:pPr>
      <w:r>
        <w:rPr/>
        <w:t>表</w:t>
      </w:r>
      <w:r>
        <w:rPr>
          <w:spacing w:val="-106"/>
        </w:rPr>
        <w:t>5</w:t>
      </w:r>
      <w:r>
        <w:rPr>
          <w:spacing w:val="-1"/>
        </w:rPr>
        <w:t> .</w:t>
      </w:r>
      <w:r>
        <w:rPr/>
        <w:t>2.2 </w:t>
      </w:r>
      <w:r>
        <w:rPr>
          <w:spacing w:val="-3"/>
        </w:rPr>
        <w:t>B</w:t>
      </w:r>
      <w:r>
        <w:rPr/>
        <w:t>、C</w:t>
      </w:r>
      <w:r>
        <w:rPr>
          <w:spacing w:val="-6"/>
        </w:rPr>
        <w:t>类火灾场所的灭火器最大保护距离</w:t>
      </w:r>
      <w:r>
        <w:rPr>
          <w:spacing w:val="-3"/>
        </w:rPr>
        <w:t>（m）</w:t>
      </w:r>
      <w:r>
        <w:rPr>
          <w:spacing w:val="-3"/>
          <w:w w:val="99"/>
        </w:rPr>
        <w:t> </w:t>
      </w: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78"/>
        <w:gridCol w:w="2647"/>
        <w:gridCol w:w="2650"/>
      </w:tblGrid>
      <w:tr>
        <w:trPr>
          <w:trHeight w:val="623" w:hRule="atLeast"/>
        </w:trPr>
        <w:tc>
          <w:tcPr>
            <w:tcW w:w="3478" w:type="dxa"/>
          </w:tcPr>
          <w:p>
            <w:pPr>
              <w:pStyle w:val="TableParagraph"/>
              <w:spacing w:before="7"/>
              <w:rPr>
                <w:b/>
                <w:sz w:val="2"/>
              </w:rPr>
            </w:pPr>
          </w:p>
          <w:p>
            <w:pPr>
              <w:pStyle w:val="TableParagraph"/>
              <w:spacing w:line="20" w:lineRule="exact"/>
              <w:ind w:left="268"/>
              <w:rPr>
                <w:sz w:val="2"/>
              </w:rPr>
            </w:pPr>
            <w:r>
              <w:rPr>
                <w:sz w:val="2"/>
              </w:rPr>
              <w:pict>
                <v:group style="width:144.25pt;height:.5pt;mso-position-horizontal-relative:char;mso-position-vertical-relative:line" coordorigin="0,0" coordsize="2885,10">
                  <v:line style="position:absolute" from="0,5" to="2885,5" stroked="true" strokeweight=".48pt" strokecolor="#000000">
                    <v:stroke dashstyle="solid"/>
                  </v:line>
                </v:group>
              </w:pict>
            </w:r>
            <w:r>
              <w:rPr>
                <w:sz w:val="2"/>
              </w:rPr>
            </w:r>
          </w:p>
          <w:p>
            <w:pPr>
              <w:pStyle w:val="TableParagraph"/>
              <w:spacing w:before="8"/>
              <w:ind w:left="107"/>
              <w:rPr>
                <w:sz w:val="21"/>
              </w:rPr>
            </w:pPr>
            <w:r>
              <w:rPr>
                <w:sz w:val="21"/>
              </w:rPr>
              <w:t>灭火器形式 危险等级 </w:t>
            </w:r>
          </w:p>
        </w:tc>
        <w:tc>
          <w:tcPr>
            <w:tcW w:w="2647" w:type="dxa"/>
          </w:tcPr>
          <w:p>
            <w:pPr>
              <w:pStyle w:val="TableParagraph"/>
              <w:spacing w:line="135" w:lineRule="exact"/>
              <w:ind w:left="107"/>
              <w:rPr>
                <w:sz w:val="12"/>
              </w:rPr>
            </w:pPr>
            <w:r>
              <w:rPr>
                <w:sz w:val="12"/>
              </w:rPr>
              <w:t> </w:t>
            </w:r>
          </w:p>
          <w:p>
            <w:pPr>
              <w:pStyle w:val="TableParagraph"/>
              <w:spacing w:line="265" w:lineRule="exact"/>
              <w:ind w:left="107"/>
              <w:rPr>
                <w:sz w:val="21"/>
              </w:rPr>
            </w:pPr>
            <w:r>
              <w:rPr>
                <w:sz w:val="21"/>
              </w:rPr>
              <w:t>手提式灭火器 </w:t>
            </w:r>
          </w:p>
        </w:tc>
        <w:tc>
          <w:tcPr>
            <w:tcW w:w="2650" w:type="dxa"/>
          </w:tcPr>
          <w:p>
            <w:pPr>
              <w:pStyle w:val="TableParagraph"/>
              <w:spacing w:line="135" w:lineRule="exact"/>
              <w:ind w:left="110"/>
              <w:rPr>
                <w:sz w:val="12"/>
              </w:rPr>
            </w:pPr>
            <w:r>
              <w:rPr>
                <w:sz w:val="12"/>
              </w:rPr>
              <w:t> </w:t>
            </w:r>
          </w:p>
          <w:p>
            <w:pPr>
              <w:pStyle w:val="TableParagraph"/>
              <w:spacing w:line="265" w:lineRule="exact"/>
              <w:ind w:left="110"/>
              <w:rPr>
                <w:sz w:val="21"/>
              </w:rPr>
            </w:pPr>
            <w:r>
              <w:rPr>
                <w:sz w:val="21"/>
              </w:rPr>
              <w:t>推车式灭火器 </w:t>
            </w:r>
          </w:p>
        </w:tc>
      </w:tr>
      <w:tr>
        <w:trPr>
          <w:trHeight w:val="256" w:hRule="atLeast"/>
        </w:trPr>
        <w:tc>
          <w:tcPr>
            <w:tcW w:w="3478" w:type="dxa"/>
          </w:tcPr>
          <w:p>
            <w:pPr>
              <w:pStyle w:val="TableParagraph"/>
              <w:spacing w:line="236" w:lineRule="exact"/>
              <w:ind w:left="107"/>
              <w:rPr>
                <w:sz w:val="21"/>
              </w:rPr>
            </w:pPr>
            <w:r>
              <w:rPr>
                <w:sz w:val="21"/>
              </w:rPr>
              <w:t>严重危险级 </w:t>
            </w:r>
          </w:p>
        </w:tc>
        <w:tc>
          <w:tcPr>
            <w:tcW w:w="2647" w:type="dxa"/>
          </w:tcPr>
          <w:p>
            <w:pPr>
              <w:pStyle w:val="TableParagraph"/>
              <w:spacing w:line="223" w:lineRule="exact" w:before="13"/>
              <w:ind w:left="683"/>
              <w:rPr>
                <w:sz w:val="21"/>
              </w:rPr>
            </w:pPr>
            <w:r>
              <w:rPr>
                <w:sz w:val="21"/>
              </w:rPr>
              <w:t>9 </w:t>
            </w:r>
          </w:p>
        </w:tc>
        <w:tc>
          <w:tcPr>
            <w:tcW w:w="2650" w:type="dxa"/>
          </w:tcPr>
          <w:p>
            <w:pPr>
              <w:pStyle w:val="TableParagraph"/>
              <w:spacing w:line="223" w:lineRule="exact" w:before="13"/>
              <w:ind w:left="634"/>
              <w:rPr>
                <w:sz w:val="21"/>
              </w:rPr>
            </w:pPr>
            <w:r>
              <w:rPr>
                <w:sz w:val="21"/>
              </w:rPr>
              <w:t>18 </w:t>
            </w:r>
          </w:p>
        </w:tc>
      </w:tr>
      <w:tr>
        <w:trPr>
          <w:trHeight w:val="263" w:hRule="atLeast"/>
        </w:trPr>
        <w:tc>
          <w:tcPr>
            <w:tcW w:w="3478" w:type="dxa"/>
          </w:tcPr>
          <w:p>
            <w:pPr>
              <w:pStyle w:val="TableParagraph"/>
              <w:spacing w:line="243" w:lineRule="exact"/>
              <w:ind w:left="107"/>
              <w:rPr>
                <w:sz w:val="21"/>
              </w:rPr>
            </w:pPr>
            <w:r>
              <w:rPr>
                <w:sz w:val="21"/>
              </w:rPr>
              <w:t>中危险级 </w:t>
            </w:r>
          </w:p>
        </w:tc>
        <w:tc>
          <w:tcPr>
            <w:tcW w:w="2647" w:type="dxa"/>
          </w:tcPr>
          <w:p>
            <w:pPr>
              <w:pStyle w:val="TableParagraph"/>
              <w:spacing w:line="228" w:lineRule="exact" w:before="15"/>
              <w:ind w:left="631"/>
              <w:rPr>
                <w:sz w:val="21"/>
              </w:rPr>
            </w:pPr>
            <w:r>
              <w:rPr>
                <w:sz w:val="21"/>
              </w:rPr>
              <w:t>12 </w:t>
            </w:r>
          </w:p>
        </w:tc>
        <w:tc>
          <w:tcPr>
            <w:tcW w:w="2650" w:type="dxa"/>
          </w:tcPr>
          <w:p>
            <w:pPr>
              <w:pStyle w:val="TableParagraph"/>
              <w:spacing w:line="228" w:lineRule="exact" w:before="15"/>
              <w:ind w:left="634"/>
              <w:rPr>
                <w:sz w:val="21"/>
              </w:rPr>
            </w:pPr>
            <w:r>
              <w:rPr>
                <w:sz w:val="21"/>
              </w:rPr>
              <w:t>24 </w:t>
            </w:r>
          </w:p>
        </w:tc>
      </w:tr>
      <w:tr>
        <w:trPr>
          <w:trHeight w:val="273" w:hRule="atLeast"/>
        </w:trPr>
        <w:tc>
          <w:tcPr>
            <w:tcW w:w="3478" w:type="dxa"/>
          </w:tcPr>
          <w:p>
            <w:pPr>
              <w:pStyle w:val="TableParagraph"/>
              <w:spacing w:line="253" w:lineRule="exact"/>
              <w:ind w:left="107"/>
              <w:rPr>
                <w:sz w:val="21"/>
              </w:rPr>
            </w:pPr>
            <w:r>
              <w:rPr>
                <w:sz w:val="21"/>
              </w:rPr>
              <w:t>轻危险级 </w:t>
            </w:r>
          </w:p>
        </w:tc>
        <w:tc>
          <w:tcPr>
            <w:tcW w:w="2647" w:type="dxa"/>
          </w:tcPr>
          <w:p>
            <w:pPr>
              <w:pStyle w:val="TableParagraph"/>
              <w:spacing w:line="233" w:lineRule="exact" w:before="20"/>
              <w:ind w:left="631"/>
              <w:rPr>
                <w:sz w:val="21"/>
              </w:rPr>
            </w:pPr>
            <w:r>
              <w:rPr>
                <w:sz w:val="21"/>
              </w:rPr>
              <w:t>15 </w:t>
            </w:r>
          </w:p>
        </w:tc>
        <w:tc>
          <w:tcPr>
            <w:tcW w:w="2650" w:type="dxa"/>
          </w:tcPr>
          <w:p>
            <w:pPr>
              <w:pStyle w:val="TableParagraph"/>
              <w:spacing w:line="233" w:lineRule="exact" w:before="20"/>
              <w:ind w:left="634"/>
              <w:rPr>
                <w:sz w:val="21"/>
              </w:rPr>
            </w:pPr>
            <w:r>
              <w:rPr>
                <w:sz w:val="21"/>
              </w:rPr>
              <w:t>30 </w:t>
            </w:r>
          </w:p>
        </w:tc>
      </w:tr>
    </w:tbl>
    <w:p>
      <w:pPr>
        <w:pStyle w:val="BodyText"/>
        <w:spacing w:before="11"/>
        <w:rPr>
          <w:b/>
          <w:sz w:val="14"/>
        </w:rPr>
      </w:pPr>
    </w:p>
    <w:p>
      <w:pPr>
        <w:pStyle w:val="ListParagraph"/>
        <w:numPr>
          <w:ilvl w:val="2"/>
          <w:numId w:val="344"/>
        </w:numPr>
        <w:tabs>
          <w:tab w:pos="1371" w:val="left" w:leader="none"/>
        </w:tabs>
        <w:spacing w:line="240" w:lineRule="auto" w:before="0" w:after="0"/>
        <w:ind w:left="1370" w:right="0" w:hanging="531"/>
        <w:jc w:val="left"/>
        <w:rPr>
          <w:sz w:val="21"/>
        </w:rPr>
      </w:pPr>
      <w:r>
        <w:rPr>
          <w:sz w:val="21"/>
        </w:rPr>
        <w:t>D</w:t>
      </w:r>
      <w:r>
        <w:rPr>
          <w:spacing w:val="-9"/>
          <w:sz w:val="21"/>
        </w:rPr>
        <w:t> 类火灾场所的灭火器，其最大保护距离应根据具体情况研究确定。 </w:t>
      </w:r>
      <w:r>
        <w:rPr>
          <w:spacing w:val="41"/>
          <w:sz w:val="21"/>
        </w:rPr>
        <w:t> </w:t>
      </w:r>
      <w:hyperlink r:id="rId204">
        <w:r>
          <w:rPr>
            <w:w w:val="100"/>
            <w:sz w:val="21"/>
          </w:rPr>
          <w:t> </w:t>
        </w:r>
      </w:hyperlink>
      <w:r>
        <w:rPr>
          <w:w w:val="100"/>
          <w:sz w:val="21"/>
        </w:rPr>
        <w:t> </w:t>
      </w:r>
    </w:p>
    <w:p>
      <w:pPr>
        <w:pStyle w:val="BodyText"/>
        <w:spacing w:before="2"/>
        <w:rPr>
          <w:sz w:val="18"/>
        </w:rPr>
      </w:pPr>
    </w:p>
    <w:p>
      <w:pPr>
        <w:pStyle w:val="ListParagraph"/>
        <w:numPr>
          <w:ilvl w:val="2"/>
          <w:numId w:val="344"/>
        </w:numPr>
        <w:tabs>
          <w:tab w:pos="1371" w:val="left" w:leader="none"/>
        </w:tabs>
        <w:spacing w:line="446" w:lineRule="auto" w:before="1" w:after="0"/>
        <w:ind w:left="418" w:right="1656" w:firstLine="422"/>
        <w:jc w:val="left"/>
        <w:rPr>
          <w:sz w:val="21"/>
        </w:rPr>
      </w:pPr>
      <w:r>
        <w:rPr>
          <w:sz w:val="21"/>
        </w:rPr>
        <w:t>E</w:t>
      </w:r>
      <w:r>
        <w:rPr>
          <w:spacing w:val="-9"/>
          <w:sz w:val="21"/>
        </w:rPr>
        <w:t> 类火灾场所的灭火器，其最大保护距离不应低于该场所内 </w:t>
      </w:r>
      <w:r>
        <w:rPr>
          <w:sz w:val="21"/>
        </w:rPr>
        <w:t>A</w:t>
      </w:r>
      <w:r>
        <w:rPr>
          <w:spacing w:val="2"/>
          <w:sz w:val="21"/>
        </w:rPr>
        <w:t> 类或 </w:t>
      </w:r>
      <w:r>
        <w:rPr>
          <w:spacing w:val="-3"/>
          <w:sz w:val="21"/>
        </w:rPr>
        <w:t>B</w:t>
      </w:r>
      <w:r>
        <w:rPr>
          <w:spacing w:val="-1"/>
          <w:sz w:val="21"/>
        </w:rPr>
        <w:t> 类火灾的规</w:t>
      </w:r>
      <w:r>
        <w:rPr>
          <w:spacing w:val="-2"/>
          <w:sz w:val="21"/>
        </w:rPr>
        <w:t>定。</w:t>
      </w:r>
      <w:r>
        <w:rPr>
          <w:sz w:val="21"/>
        </w:rPr>
        <w:t> </w:t>
      </w:r>
    </w:p>
    <w:p>
      <w:pPr>
        <w:pStyle w:val="Heading4"/>
        <w:spacing w:line="275" w:lineRule="exact"/>
      </w:pPr>
      <w:r>
        <w:rPr/>
        <w:t>6 灭火器的配置</w:t>
      </w:r>
      <w:r>
        <w:rPr>
          <w:w w:val="99"/>
        </w:rPr>
        <w:t> </w:t>
      </w:r>
    </w:p>
    <w:p>
      <w:pPr>
        <w:pStyle w:val="BodyText"/>
        <w:spacing w:before="6"/>
        <w:rPr>
          <w:b/>
          <w:sz w:val="17"/>
        </w:rPr>
      </w:pPr>
    </w:p>
    <w:p>
      <w:pPr>
        <w:pStyle w:val="ListParagraph"/>
        <w:numPr>
          <w:ilvl w:val="1"/>
          <w:numId w:val="345"/>
        </w:numPr>
        <w:tabs>
          <w:tab w:pos="1160" w:val="left" w:leader="none"/>
        </w:tabs>
        <w:spacing w:line="240" w:lineRule="auto" w:before="0" w:after="0"/>
        <w:ind w:left="1159" w:right="0" w:hanging="320"/>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345"/>
        </w:numPr>
        <w:tabs>
          <w:tab w:pos="1371" w:val="left" w:leader="none"/>
        </w:tabs>
        <w:spacing w:line="240" w:lineRule="auto" w:before="0" w:after="0"/>
        <w:ind w:left="1370" w:right="0" w:hanging="531"/>
        <w:jc w:val="left"/>
        <w:rPr>
          <w:sz w:val="21"/>
        </w:rPr>
      </w:pPr>
      <w:r>
        <w:rPr>
          <w:spacing w:val="-3"/>
          <w:sz w:val="21"/>
        </w:rPr>
        <w:t>一个计算单元内配置的灭火器数量不得少于 </w:t>
      </w:r>
      <w:r>
        <w:rPr>
          <w:sz w:val="21"/>
        </w:rPr>
        <w:t>2</w:t>
      </w:r>
      <w:r>
        <w:rPr>
          <w:spacing w:val="-1"/>
          <w:sz w:val="21"/>
        </w:rPr>
        <w:t> 具。</w:t>
      </w:r>
      <w:r>
        <w:rPr>
          <w:spacing w:val="-8"/>
          <w:sz w:val="21"/>
        </w:rPr>
        <w:t> </w:t>
      </w:r>
      <w:hyperlink r:id="rId205">
        <w:r>
          <w:rPr>
            <w:sz w:val="21"/>
          </w:rPr>
          <w:t> </w:t>
        </w:r>
      </w:hyperlink>
      <w:r>
        <w:rPr>
          <w:sz w:val="21"/>
        </w:rPr>
        <w:t> </w:t>
      </w:r>
    </w:p>
    <w:p>
      <w:pPr>
        <w:pStyle w:val="BodyText"/>
        <w:rPr>
          <w:sz w:val="18"/>
        </w:rPr>
      </w:pPr>
    </w:p>
    <w:p>
      <w:pPr>
        <w:pStyle w:val="ListParagraph"/>
        <w:numPr>
          <w:ilvl w:val="2"/>
          <w:numId w:val="345"/>
        </w:numPr>
        <w:tabs>
          <w:tab w:pos="1370" w:val="left" w:leader="none"/>
        </w:tabs>
        <w:spacing w:line="240" w:lineRule="auto" w:before="0" w:after="0"/>
        <w:ind w:left="1369" w:right="0" w:hanging="530"/>
        <w:jc w:val="left"/>
        <w:rPr>
          <w:sz w:val="21"/>
        </w:rPr>
      </w:pPr>
      <w:r>
        <w:rPr>
          <w:spacing w:val="-3"/>
          <w:sz w:val="21"/>
        </w:rPr>
        <w:t>每个设置点的灭火器数量不宜多于 </w:t>
      </w:r>
      <w:r>
        <w:rPr>
          <w:sz w:val="21"/>
        </w:rPr>
        <w:t>5 具。</w:t>
      </w:r>
      <w:hyperlink r:id="rId206">
        <w:r>
          <w:rPr>
            <w:b/>
            <w:w w:val="99"/>
            <w:sz w:val="21"/>
          </w:rPr>
          <w:t> </w:t>
        </w:r>
      </w:hyperlink>
      <w:r>
        <w:rPr>
          <w:w w:val="100"/>
          <w:sz w:val="21"/>
        </w:rPr>
        <w:t> </w:t>
      </w:r>
    </w:p>
    <w:p>
      <w:pPr>
        <w:pStyle w:val="BodyText"/>
        <w:spacing w:before="2"/>
        <w:rPr>
          <w:sz w:val="18"/>
        </w:rPr>
      </w:pPr>
    </w:p>
    <w:p>
      <w:pPr>
        <w:pStyle w:val="ListParagraph"/>
        <w:numPr>
          <w:ilvl w:val="2"/>
          <w:numId w:val="345"/>
        </w:numPr>
        <w:tabs>
          <w:tab w:pos="1370" w:val="left" w:leader="none"/>
        </w:tabs>
        <w:spacing w:line="446" w:lineRule="auto" w:before="0" w:after="0"/>
        <w:ind w:left="418" w:right="1606" w:firstLine="422"/>
        <w:jc w:val="left"/>
        <w:rPr>
          <w:sz w:val="21"/>
        </w:rPr>
      </w:pPr>
      <w:r>
        <w:rPr>
          <w:spacing w:val="-3"/>
          <w:sz w:val="21"/>
        </w:rPr>
        <w:t>当住宅楼每层的公共部位建筑面积超过 </w:t>
      </w:r>
      <w:r>
        <w:rPr>
          <w:sz w:val="21"/>
        </w:rPr>
        <w:t>100</w:t>
      </w:r>
      <w:r>
        <w:rPr>
          <w:spacing w:val="-2"/>
          <w:sz w:val="21"/>
        </w:rPr>
        <w:t> ㎡时，应配置 </w:t>
      </w:r>
      <w:r>
        <w:rPr>
          <w:spacing w:val="-3"/>
          <w:sz w:val="21"/>
        </w:rPr>
        <w:t>1</w:t>
      </w:r>
      <w:r>
        <w:rPr>
          <w:spacing w:val="2"/>
          <w:sz w:val="21"/>
        </w:rPr>
        <w:t> 具 </w:t>
      </w:r>
      <w:r>
        <w:rPr>
          <w:sz w:val="21"/>
        </w:rPr>
        <w:t>1A</w:t>
      </w:r>
      <w:r>
        <w:rPr>
          <w:spacing w:val="-1"/>
          <w:sz w:val="21"/>
        </w:rPr>
        <w:t> 的手提式灭火</w:t>
      </w:r>
      <w:r>
        <w:rPr>
          <w:spacing w:val="-3"/>
          <w:sz w:val="21"/>
        </w:rPr>
        <w:t>器；每增加 </w:t>
      </w:r>
      <w:r>
        <w:rPr>
          <w:sz w:val="21"/>
        </w:rPr>
        <w:t>100</w:t>
      </w:r>
      <w:r>
        <w:rPr>
          <w:spacing w:val="-10"/>
          <w:sz w:val="21"/>
        </w:rPr>
        <w:t> ㎡时，增配 </w:t>
      </w:r>
      <w:r>
        <w:rPr>
          <w:sz w:val="21"/>
        </w:rPr>
        <w:t>1</w:t>
      </w:r>
      <w:r>
        <w:rPr>
          <w:spacing w:val="-1"/>
          <w:sz w:val="21"/>
        </w:rPr>
        <w:t> 具 </w:t>
      </w:r>
      <w:r>
        <w:rPr>
          <w:sz w:val="21"/>
        </w:rPr>
        <w:t>1A</w:t>
      </w:r>
      <w:r>
        <w:rPr>
          <w:spacing w:val="-3"/>
          <w:sz w:val="21"/>
        </w:rPr>
        <w:t> 的手提式灭火器。</w:t>
      </w:r>
      <w:r>
        <w:rPr>
          <w:sz w:val="21"/>
        </w:rPr>
        <w:t>  </w:t>
      </w:r>
      <w:r>
        <w:rPr>
          <w:spacing w:val="-52"/>
          <w:sz w:val="21"/>
        </w:rPr>
        <w:t> </w:t>
      </w:r>
      <w:hyperlink r:id="rId207">
        <w:r>
          <w:rPr>
            <w:b/>
            <w:w w:val="99"/>
            <w:sz w:val="21"/>
          </w:rPr>
          <w:t> </w:t>
        </w:r>
      </w:hyperlink>
      <w:r>
        <w:rPr>
          <w:w w:val="100"/>
          <w:sz w:val="21"/>
        </w:rPr>
        <w:t> </w:t>
      </w:r>
    </w:p>
    <w:p>
      <w:pPr>
        <w:pStyle w:val="ListParagraph"/>
        <w:numPr>
          <w:ilvl w:val="1"/>
          <w:numId w:val="345"/>
        </w:numPr>
        <w:tabs>
          <w:tab w:pos="1159" w:val="left" w:leader="none"/>
        </w:tabs>
        <w:spacing w:line="267" w:lineRule="exact" w:before="0" w:after="0"/>
        <w:ind w:left="1158" w:right="0" w:hanging="319"/>
        <w:jc w:val="left"/>
        <w:rPr>
          <w:b/>
          <w:sz w:val="21"/>
        </w:rPr>
      </w:pPr>
      <w:r>
        <w:rPr>
          <w:spacing w:val="-3"/>
          <w:sz w:val="21"/>
        </w:rPr>
        <w:t>灭火器的最低配置基准</w:t>
      </w:r>
      <w:r>
        <w:rPr>
          <w:b/>
          <w:spacing w:val="-3"/>
          <w:w w:val="99"/>
          <w:sz w:val="21"/>
        </w:rPr>
        <w:t> </w:t>
      </w:r>
    </w:p>
    <w:p>
      <w:pPr>
        <w:spacing w:after="0" w:line="267" w:lineRule="exact"/>
        <w:jc w:val="left"/>
        <w:rPr>
          <w:sz w:val="21"/>
        </w:rPr>
        <w:sectPr>
          <w:pgSz w:w="11910" w:h="16850"/>
          <w:pgMar w:header="0" w:footer="1159" w:top="1220" w:bottom="1420" w:left="1260" w:right="0"/>
        </w:sectPr>
      </w:pPr>
    </w:p>
    <w:p>
      <w:pPr>
        <w:pStyle w:val="ListParagraph"/>
        <w:numPr>
          <w:ilvl w:val="2"/>
          <w:numId w:val="345"/>
        </w:numPr>
        <w:tabs>
          <w:tab w:pos="1371" w:val="left" w:leader="none"/>
        </w:tabs>
        <w:spacing w:line="309" w:lineRule="auto" w:before="47" w:after="0"/>
        <w:ind w:left="2775" w:right="3128" w:hanging="1935"/>
        <w:jc w:val="left"/>
        <w:rPr>
          <w:b/>
          <w:sz w:val="21"/>
        </w:rPr>
      </w:pPr>
      <w:r>
        <w:rPr>
          <w:sz w:val="21"/>
        </w:rPr>
        <w:t>A</w:t>
      </w:r>
      <w:r>
        <w:rPr>
          <w:spacing w:val="1"/>
          <w:sz w:val="21"/>
        </w:rPr>
        <w:t> 类火灾场所灭火器的最低配置基准应符合表 </w:t>
      </w:r>
      <w:r>
        <w:rPr>
          <w:sz w:val="21"/>
        </w:rPr>
        <w:t>6.2.1</w:t>
      </w:r>
      <w:r>
        <w:rPr>
          <w:spacing w:val="15"/>
          <w:sz w:val="21"/>
        </w:rPr>
        <w:t> 的规定。</w:t>
      </w:r>
      <w:r>
        <w:rPr>
          <w:b/>
          <w:sz w:val="21"/>
        </w:rPr>
        <w:t>表6.2.1 A</w:t>
      </w:r>
      <w:r>
        <w:rPr>
          <w:b/>
          <w:spacing w:val="-6"/>
          <w:sz w:val="21"/>
        </w:rPr>
        <w:t>类火灾场所灭火器的最低配置基准</w:t>
      </w:r>
      <w:r>
        <w:rPr>
          <w:b/>
          <w:w w:val="99"/>
          <w:sz w:val="21"/>
        </w:rPr>
        <w:t> </w:t>
      </w: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92"/>
        <w:gridCol w:w="1695"/>
        <w:gridCol w:w="1695"/>
        <w:gridCol w:w="1696"/>
      </w:tblGrid>
      <w:tr>
        <w:trPr>
          <w:trHeight w:val="277" w:hRule="atLeast"/>
        </w:trPr>
        <w:tc>
          <w:tcPr>
            <w:tcW w:w="3692" w:type="dxa"/>
          </w:tcPr>
          <w:p>
            <w:pPr>
              <w:pStyle w:val="TableParagraph"/>
              <w:spacing w:line="221" w:lineRule="exact"/>
              <w:ind w:left="1455" w:right="1341"/>
              <w:jc w:val="center"/>
              <w:rPr>
                <w:sz w:val="21"/>
              </w:rPr>
            </w:pPr>
            <w:r>
              <w:rPr>
                <w:sz w:val="21"/>
              </w:rPr>
              <w:t>危险等级 </w:t>
            </w:r>
          </w:p>
        </w:tc>
        <w:tc>
          <w:tcPr>
            <w:tcW w:w="1695" w:type="dxa"/>
          </w:tcPr>
          <w:p>
            <w:pPr>
              <w:pStyle w:val="TableParagraph"/>
              <w:spacing w:line="221" w:lineRule="exact"/>
              <w:ind w:left="107"/>
              <w:rPr>
                <w:sz w:val="21"/>
              </w:rPr>
            </w:pPr>
            <w:r>
              <w:rPr>
                <w:sz w:val="21"/>
              </w:rPr>
              <w:t>严重危险级 </w:t>
            </w:r>
          </w:p>
        </w:tc>
        <w:tc>
          <w:tcPr>
            <w:tcW w:w="1695" w:type="dxa"/>
          </w:tcPr>
          <w:p>
            <w:pPr>
              <w:pStyle w:val="TableParagraph"/>
              <w:spacing w:line="221" w:lineRule="exact"/>
              <w:ind w:right="629"/>
              <w:jc w:val="right"/>
              <w:rPr>
                <w:sz w:val="21"/>
              </w:rPr>
            </w:pPr>
            <w:r>
              <w:rPr>
                <w:sz w:val="21"/>
              </w:rPr>
              <w:t>中危险级 </w:t>
            </w:r>
          </w:p>
        </w:tc>
        <w:tc>
          <w:tcPr>
            <w:tcW w:w="1696" w:type="dxa"/>
          </w:tcPr>
          <w:p>
            <w:pPr>
              <w:pStyle w:val="TableParagraph"/>
              <w:spacing w:line="221" w:lineRule="exact"/>
              <w:ind w:right="630"/>
              <w:jc w:val="right"/>
              <w:rPr>
                <w:sz w:val="21"/>
              </w:rPr>
            </w:pPr>
            <w:r>
              <w:rPr>
                <w:sz w:val="21"/>
              </w:rPr>
              <w:t>轻危险级 </w:t>
            </w:r>
          </w:p>
        </w:tc>
      </w:tr>
      <w:tr>
        <w:trPr>
          <w:trHeight w:val="294" w:hRule="atLeast"/>
        </w:trPr>
        <w:tc>
          <w:tcPr>
            <w:tcW w:w="3692" w:type="dxa"/>
          </w:tcPr>
          <w:p>
            <w:pPr>
              <w:pStyle w:val="TableParagraph"/>
              <w:spacing w:line="226" w:lineRule="exact"/>
              <w:ind w:left="107"/>
              <w:rPr>
                <w:sz w:val="21"/>
              </w:rPr>
            </w:pPr>
            <w:r>
              <w:rPr>
                <w:sz w:val="21"/>
              </w:rPr>
              <w:t>单具灭火器最小配置灭火级别 </w:t>
            </w:r>
          </w:p>
        </w:tc>
        <w:tc>
          <w:tcPr>
            <w:tcW w:w="1695" w:type="dxa"/>
          </w:tcPr>
          <w:p>
            <w:pPr>
              <w:pStyle w:val="TableParagraph"/>
              <w:spacing w:line="255" w:lineRule="exact"/>
              <w:ind w:left="772" w:right="654"/>
              <w:jc w:val="center"/>
              <w:rPr>
                <w:sz w:val="21"/>
              </w:rPr>
            </w:pPr>
            <w:r>
              <w:rPr>
                <w:sz w:val="21"/>
              </w:rPr>
              <w:t>3A </w:t>
            </w:r>
          </w:p>
        </w:tc>
        <w:tc>
          <w:tcPr>
            <w:tcW w:w="1695" w:type="dxa"/>
          </w:tcPr>
          <w:p>
            <w:pPr>
              <w:pStyle w:val="TableParagraph"/>
              <w:spacing w:line="255" w:lineRule="exact"/>
              <w:ind w:right="620"/>
              <w:jc w:val="right"/>
              <w:rPr>
                <w:sz w:val="21"/>
              </w:rPr>
            </w:pPr>
            <w:r>
              <w:rPr>
                <w:sz w:val="21"/>
              </w:rPr>
              <w:t>2A </w:t>
            </w:r>
          </w:p>
        </w:tc>
        <w:tc>
          <w:tcPr>
            <w:tcW w:w="1696" w:type="dxa"/>
          </w:tcPr>
          <w:p>
            <w:pPr>
              <w:pStyle w:val="TableParagraph"/>
              <w:spacing w:line="255" w:lineRule="exact"/>
              <w:ind w:right="623"/>
              <w:jc w:val="right"/>
              <w:rPr>
                <w:sz w:val="21"/>
              </w:rPr>
            </w:pPr>
            <w:r>
              <w:rPr>
                <w:sz w:val="21"/>
              </w:rPr>
              <w:t>1A </w:t>
            </w:r>
          </w:p>
        </w:tc>
      </w:tr>
      <w:tr>
        <w:trPr>
          <w:trHeight w:val="285" w:hRule="atLeast"/>
        </w:trPr>
        <w:tc>
          <w:tcPr>
            <w:tcW w:w="3692" w:type="dxa"/>
          </w:tcPr>
          <w:p>
            <w:pPr>
              <w:pStyle w:val="TableParagraph"/>
              <w:spacing w:line="236" w:lineRule="exact"/>
              <w:ind w:left="107"/>
              <w:rPr>
                <w:sz w:val="21"/>
              </w:rPr>
            </w:pPr>
            <w:r>
              <w:rPr>
                <w:sz w:val="21"/>
              </w:rPr>
              <w:t>单位灭火级别最大保护面积（㎡/A） </w:t>
            </w:r>
          </w:p>
        </w:tc>
        <w:tc>
          <w:tcPr>
            <w:tcW w:w="1695" w:type="dxa"/>
          </w:tcPr>
          <w:p>
            <w:pPr>
              <w:pStyle w:val="TableParagraph"/>
              <w:spacing w:line="250" w:lineRule="exact"/>
              <w:ind w:left="770" w:right="656"/>
              <w:jc w:val="center"/>
              <w:rPr>
                <w:sz w:val="21"/>
              </w:rPr>
            </w:pPr>
            <w:r>
              <w:rPr>
                <w:sz w:val="21"/>
              </w:rPr>
              <w:t>50 </w:t>
            </w:r>
          </w:p>
        </w:tc>
        <w:tc>
          <w:tcPr>
            <w:tcW w:w="1695" w:type="dxa"/>
          </w:tcPr>
          <w:p>
            <w:pPr>
              <w:pStyle w:val="TableParagraph"/>
              <w:spacing w:line="250" w:lineRule="exact"/>
              <w:ind w:left="433"/>
              <w:rPr>
                <w:sz w:val="21"/>
              </w:rPr>
            </w:pPr>
            <w:r>
              <w:rPr>
                <w:sz w:val="21"/>
              </w:rPr>
              <w:t>75 </w:t>
            </w:r>
          </w:p>
        </w:tc>
        <w:tc>
          <w:tcPr>
            <w:tcW w:w="1696" w:type="dxa"/>
          </w:tcPr>
          <w:p>
            <w:pPr>
              <w:pStyle w:val="TableParagraph"/>
              <w:spacing w:line="250" w:lineRule="exact"/>
              <w:ind w:left="380"/>
              <w:rPr>
                <w:sz w:val="21"/>
              </w:rPr>
            </w:pPr>
            <w:r>
              <w:rPr>
                <w:sz w:val="21"/>
              </w:rPr>
              <w:t>100 </w:t>
            </w:r>
          </w:p>
        </w:tc>
      </w:tr>
    </w:tbl>
    <w:p>
      <w:pPr>
        <w:pStyle w:val="ListParagraph"/>
        <w:numPr>
          <w:ilvl w:val="2"/>
          <w:numId w:val="345"/>
        </w:numPr>
        <w:tabs>
          <w:tab w:pos="1371" w:val="left" w:leader="none"/>
        </w:tabs>
        <w:spacing w:line="240" w:lineRule="auto" w:before="0" w:after="0"/>
        <w:ind w:left="1370" w:right="0" w:hanging="531"/>
        <w:jc w:val="left"/>
        <w:rPr>
          <w:sz w:val="21"/>
        </w:rPr>
      </w:pPr>
      <w:r>
        <w:rPr>
          <w:spacing w:val="-3"/>
          <w:sz w:val="21"/>
        </w:rPr>
        <w:t>B</w:t>
      </w:r>
      <w:r>
        <w:rPr>
          <w:spacing w:val="-5"/>
          <w:sz w:val="21"/>
        </w:rPr>
        <w:t>、</w:t>
      </w:r>
      <w:r>
        <w:rPr>
          <w:spacing w:val="-3"/>
          <w:sz w:val="21"/>
        </w:rPr>
        <w:t>C</w:t>
      </w:r>
      <w:r>
        <w:rPr>
          <w:spacing w:val="-8"/>
          <w:sz w:val="21"/>
        </w:rPr>
        <w:t>类火灾场所灭火器的最低配置基准应符合表</w:t>
      </w:r>
      <w:r>
        <w:rPr>
          <w:sz w:val="21"/>
        </w:rPr>
        <w:t>6.2.2</w:t>
      </w:r>
      <w:r>
        <w:rPr>
          <w:spacing w:val="-4"/>
          <w:sz w:val="21"/>
        </w:rPr>
        <w:t>的规定。</w:t>
      </w:r>
      <w:r>
        <w:rPr>
          <w:sz w:val="21"/>
        </w:rPr>
        <w:t> </w:t>
      </w:r>
    </w:p>
    <w:p>
      <w:pPr>
        <w:pStyle w:val="BodyText"/>
        <w:spacing w:before="11"/>
        <w:ind w:left="838"/>
      </w:pPr>
      <w:r>
        <w:rPr>
          <w:w w:val="100"/>
        </w:rPr>
        <w:t> </w:t>
      </w:r>
    </w:p>
    <w:p>
      <w:pPr>
        <w:pStyle w:val="Heading6"/>
        <w:spacing w:before="79" w:after="33"/>
        <w:ind w:left="2621"/>
      </w:pPr>
      <w:r>
        <w:rPr/>
        <w:t>表</w:t>
      </w:r>
      <w:r>
        <w:rPr>
          <w:spacing w:val="-106"/>
        </w:rPr>
        <w:t>6</w:t>
      </w:r>
      <w:r>
        <w:rPr>
          <w:spacing w:val="-1"/>
        </w:rPr>
        <w:t> .</w:t>
      </w:r>
      <w:r>
        <w:rPr/>
        <w:t>2.2 </w:t>
      </w:r>
      <w:r>
        <w:rPr>
          <w:spacing w:val="-3"/>
        </w:rPr>
        <w:t>B</w:t>
      </w:r>
      <w:r>
        <w:rPr/>
        <w:t>、C</w:t>
      </w:r>
      <w:r>
        <w:rPr>
          <w:spacing w:val="-6"/>
        </w:rPr>
        <w:t>类火灾场所灭火器的最低配置基准</w:t>
      </w:r>
      <w:r>
        <w:rPr>
          <w:w w:val="99"/>
        </w:rPr>
        <w:t> </w:t>
      </w: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56"/>
        <w:gridCol w:w="1709"/>
        <w:gridCol w:w="1706"/>
        <w:gridCol w:w="1704"/>
      </w:tblGrid>
      <w:tr>
        <w:trPr>
          <w:trHeight w:val="272" w:hRule="atLeast"/>
        </w:trPr>
        <w:tc>
          <w:tcPr>
            <w:tcW w:w="3656" w:type="dxa"/>
          </w:tcPr>
          <w:p>
            <w:pPr>
              <w:pStyle w:val="TableParagraph"/>
              <w:spacing w:line="253" w:lineRule="exact"/>
              <w:ind w:left="1439" w:right="1322"/>
              <w:jc w:val="center"/>
              <w:rPr>
                <w:sz w:val="21"/>
              </w:rPr>
            </w:pPr>
            <w:r>
              <w:rPr>
                <w:sz w:val="21"/>
              </w:rPr>
              <w:t>危险等级 </w:t>
            </w:r>
          </w:p>
        </w:tc>
        <w:tc>
          <w:tcPr>
            <w:tcW w:w="1709" w:type="dxa"/>
          </w:tcPr>
          <w:p>
            <w:pPr>
              <w:pStyle w:val="TableParagraph"/>
              <w:spacing w:line="253" w:lineRule="exact"/>
              <w:ind w:left="107"/>
              <w:rPr>
                <w:sz w:val="21"/>
              </w:rPr>
            </w:pPr>
            <w:r>
              <w:rPr>
                <w:sz w:val="21"/>
              </w:rPr>
              <w:t>严重危险级 </w:t>
            </w:r>
          </w:p>
        </w:tc>
        <w:tc>
          <w:tcPr>
            <w:tcW w:w="1706" w:type="dxa"/>
          </w:tcPr>
          <w:p>
            <w:pPr>
              <w:pStyle w:val="TableParagraph"/>
              <w:spacing w:line="253" w:lineRule="exact"/>
              <w:ind w:left="107"/>
              <w:rPr>
                <w:sz w:val="21"/>
              </w:rPr>
            </w:pPr>
            <w:r>
              <w:rPr>
                <w:sz w:val="21"/>
              </w:rPr>
              <w:t>中危险级 </w:t>
            </w:r>
          </w:p>
        </w:tc>
        <w:tc>
          <w:tcPr>
            <w:tcW w:w="1704" w:type="dxa"/>
          </w:tcPr>
          <w:p>
            <w:pPr>
              <w:pStyle w:val="TableParagraph"/>
              <w:spacing w:line="253" w:lineRule="exact"/>
              <w:ind w:right="637"/>
              <w:jc w:val="right"/>
              <w:rPr>
                <w:sz w:val="21"/>
              </w:rPr>
            </w:pPr>
            <w:r>
              <w:rPr>
                <w:sz w:val="21"/>
              </w:rPr>
              <w:t>轻危险级 </w:t>
            </w:r>
          </w:p>
        </w:tc>
      </w:tr>
      <w:tr>
        <w:trPr>
          <w:trHeight w:val="285" w:hRule="atLeast"/>
        </w:trPr>
        <w:tc>
          <w:tcPr>
            <w:tcW w:w="3656" w:type="dxa"/>
          </w:tcPr>
          <w:p>
            <w:pPr>
              <w:pStyle w:val="TableParagraph"/>
              <w:spacing w:line="256" w:lineRule="exact"/>
              <w:ind w:left="107"/>
              <w:rPr>
                <w:sz w:val="21"/>
              </w:rPr>
            </w:pPr>
            <w:r>
              <w:rPr>
                <w:sz w:val="21"/>
              </w:rPr>
              <w:t>单具灭火器最小配置灭火级别 </w:t>
            </w:r>
          </w:p>
        </w:tc>
        <w:tc>
          <w:tcPr>
            <w:tcW w:w="1709" w:type="dxa"/>
          </w:tcPr>
          <w:p>
            <w:pPr>
              <w:pStyle w:val="TableParagraph"/>
              <w:spacing w:line="247" w:lineRule="exact" w:before="17"/>
              <w:ind w:left="728" w:right="611"/>
              <w:jc w:val="center"/>
              <w:rPr>
                <w:sz w:val="21"/>
              </w:rPr>
            </w:pPr>
            <w:r>
              <w:rPr>
                <w:sz w:val="21"/>
              </w:rPr>
              <w:t>89B </w:t>
            </w:r>
          </w:p>
        </w:tc>
        <w:tc>
          <w:tcPr>
            <w:tcW w:w="1706" w:type="dxa"/>
          </w:tcPr>
          <w:p>
            <w:pPr>
              <w:pStyle w:val="TableParagraph"/>
              <w:spacing w:line="247" w:lineRule="exact" w:before="17"/>
              <w:ind w:right="575"/>
              <w:jc w:val="right"/>
              <w:rPr>
                <w:sz w:val="21"/>
              </w:rPr>
            </w:pPr>
            <w:r>
              <w:rPr>
                <w:sz w:val="21"/>
              </w:rPr>
              <w:t>55B </w:t>
            </w:r>
          </w:p>
        </w:tc>
        <w:tc>
          <w:tcPr>
            <w:tcW w:w="1704" w:type="dxa"/>
          </w:tcPr>
          <w:p>
            <w:pPr>
              <w:pStyle w:val="TableParagraph"/>
              <w:spacing w:line="247" w:lineRule="exact" w:before="17"/>
              <w:ind w:right="572"/>
              <w:jc w:val="right"/>
              <w:rPr>
                <w:sz w:val="21"/>
              </w:rPr>
            </w:pPr>
            <w:r>
              <w:rPr>
                <w:sz w:val="21"/>
              </w:rPr>
              <w:t>21B </w:t>
            </w:r>
          </w:p>
        </w:tc>
      </w:tr>
      <w:tr>
        <w:trPr>
          <w:trHeight w:val="273" w:hRule="atLeast"/>
        </w:trPr>
        <w:tc>
          <w:tcPr>
            <w:tcW w:w="3656" w:type="dxa"/>
          </w:tcPr>
          <w:p>
            <w:pPr>
              <w:pStyle w:val="TableParagraph"/>
              <w:spacing w:line="254" w:lineRule="exact"/>
              <w:ind w:left="107"/>
              <w:rPr>
                <w:sz w:val="21"/>
              </w:rPr>
            </w:pPr>
            <w:r>
              <w:rPr>
                <w:sz w:val="21"/>
              </w:rPr>
              <w:t>单位灭火级别最大保护面积（㎡/B） </w:t>
            </w:r>
          </w:p>
        </w:tc>
        <w:tc>
          <w:tcPr>
            <w:tcW w:w="1709" w:type="dxa"/>
          </w:tcPr>
          <w:p>
            <w:pPr>
              <w:pStyle w:val="TableParagraph"/>
              <w:spacing w:line="243" w:lineRule="exact" w:before="10"/>
              <w:ind w:left="728" w:right="611"/>
              <w:jc w:val="center"/>
              <w:rPr>
                <w:sz w:val="21"/>
              </w:rPr>
            </w:pPr>
            <w:r>
              <w:rPr>
                <w:sz w:val="21"/>
              </w:rPr>
              <w:t>0.5 </w:t>
            </w:r>
          </w:p>
        </w:tc>
        <w:tc>
          <w:tcPr>
            <w:tcW w:w="1706" w:type="dxa"/>
          </w:tcPr>
          <w:p>
            <w:pPr>
              <w:pStyle w:val="TableParagraph"/>
              <w:spacing w:line="243" w:lineRule="exact" w:before="10"/>
              <w:ind w:right="573"/>
              <w:jc w:val="right"/>
              <w:rPr>
                <w:sz w:val="21"/>
              </w:rPr>
            </w:pPr>
            <w:r>
              <w:rPr>
                <w:sz w:val="21"/>
              </w:rPr>
              <w:t>1.0 </w:t>
            </w:r>
          </w:p>
        </w:tc>
        <w:tc>
          <w:tcPr>
            <w:tcW w:w="1704" w:type="dxa"/>
          </w:tcPr>
          <w:p>
            <w:pPr>
              <w:pStyle w:val="TableParagraph"/>
              <w:spacing w:line="243" w:lineRule="exact" w:before="10"/>
              <w:ind w:right="572"/>
              <w:jc w:val="right"/>
              <w:rPr>
                <w:sz w:val="21"/>
              </w:rPr>
            </w:pPr>
            <w:r>
              <w:rPr>
                <w:sz w:val="21"/>
              </w:rPr>
              <w:t>1.5 </w:t>
            </w:r>
          </w:p>
        </w:tc>
      </w:tr>
    </w:tbl>
    <w:p>
      <w:pPr>
        <w:pStyle w:val="BodyText"/>
        <w:spacing w:before="11"/>
        <w:rPr>
          <w:b/>
          <w:sz w:val="14"/>
        </w:rPr>
      </w:pPr>
    </w:p>
    <w:p>
      <w:pPr>
        <w:pStyle w:val="ListParagraph"/>
        <w:numPr>
          <w:ilvl w:val="2"/>
          <w:numId w:val="345"/>
        </w:numPr>
        <w:tabs>
          <w:tab w:pos="1371" w:val="left" w:leader="none"/>
        </w:tabs>
        <w:spacing w:line="446" w:lineRule="auto" w:before="0" w:after="0"/>
        <w:ind w:left="418" w:right="1863" w:firstLine="422"/>
        <w:jc w:val="left"/>
        <w:rPr>
          <w:sz w:val="21"/>
        </w:rPr>
      </w:pPr>
      <w:r>
        <w:rPr>
          <w:sz w:val="21"/>
        </w:rPr>
        <w:t>D</w:t>
      </w:r>
      <w:r>
        <w:rPr>
          <w:spacing w:val="-8"/>
          <w:sz w:val="21"/>
        </w:rPr>
        <w:t> 类火灾场所的灭火器最低配置基准应根据金属的种类、物态及其特性等研究确</w:t>
      </w:r>
      <w:r>
        <w:rPr>
          <w:spacing w:val="-6"/>
          <w:sz w:val="21"/>
        </w:rPr>
        <w:t>定。</w:t>
      </w:r>
      <w:r>
        <w:rPr>
          <w:sz w:val="21"/>
        </w:rPr>
        <w:t> </w:t>
      </w:r>
    </w:p>
    <w:p>
      <w:pPr>
        <w:pStyle w:val="ListParagraph"/>
        <w:numPr>
          <w:ilvl w:val="2"/>
          <w:numId w:val="345"/>
        </w:numPr>
        <w:tabs>
          <w:tab w:pos="1371" w:val="left" w:leader="none"/>
        </w:tabs>
        <w:spacing w:line="446" w:lineRule="auto" w:before="0" w:after="0"/>
        <w:ind w:left="418" w:right="1654" w:firstLine="422"/>
        <w:jc w:val="left"/>
        <w:rPr>
          <w:b/>
          <w:sz w:val="21"/>
        </w:rPr>
      </w:pPr>
      <w:r>
        <w:rPr>
          <w:sz w:val="21"/>
        </w:rPr>
        <w:t>E</w:t>
      </w:r>
      <w:r>
        <w:rPr>
          <w:spacing w:val="-9"/>
          <w:sz w:val="21"/>
        </w:rPr>
        <w:t> 类火灾场所的灭火器最低配置基准不应低于该场所内 </w:t>
      </w:r>
      <w:r>
        <w:rPr>
          <w:sz w:val="21"/>
        </w:rPr>
        <w:t>A</w:t>
      </w:r>
      <w:r>
        <w:rPr>
          <w:spacing w:val="2"/>
          <w:sz w:val="21"/>
        </w:rPr>
        <w:t> 类</w:t>
      </w:r>
      <w:r>
        <w:rPr>
          <w:spacing w:val="-3"/>
          <w:sz w:val="21"/>
        </w:rPr>
        <w:t>（</w:t>
      </w:r>
      <w:r>
        <w:rPr>
          <w:spacing w:val="3"/>
          <w:sz w:val="21"/>
        </w:rPr>
        <w:t>或 </w:t>
      </w:r>
      <w:r>
        <w:rPr>
          <w:sz w:val="21"/>
        </w:rPr>
        <w:t>B</w:t>
      </w:r>
      <w:r>
        <w:rPr>
          <w:spacing w:val="3"/>
          <w:sz w:val="21"/>
        </w:rPr>
        <w:t> 类</w:t>
      </w:r>
      <w:r>
        <w:rPr>
          <w:sz w:val="21"/>
        </w:rPr>
        <w:t>）</w:t>
      </w:r>
      <w:r>
        <w:rPr>
          <w:spacing w:val="-3"/>
          <w:sz w:val="21"/>
        </w:rPr>
        <w:t>火灾的规定。</w:t>
      </w:r>
      <w:r>
        <w:rPr>
          <w:b/>
          <w:w w:val="99"/>
          <w:sz w:val="21"/>
        </w:rPr>
        <w:t> </w:t>
      </w:r>
    </w:p>
    <w:p>
      <w:pPr>
        <w:pStyle w:val="Heading4"/>
        <w:spacing w:line="277" w:lineRule="exact"/>
      </w:pPr>
      <w:r>
        <w:rPr/>
        <w:t>7 灭火器配置设计计算</w:t>
      </w:r>
      <w:r>
        <w:rPr>
          <w:w w:val="99"/>
        </w:rPr>
        <w:t> </w:t>
      </w:r>
    </w:p>
    <w:p>
      <w:pPr>
        <w:pStyle w:val="BodyText"/>
        <w:spacing w:before="1"/>
        <w:rPr>
          <w:b/>
          <w:sz w:val="17"/>
        </w:rPr>
      </w:pPr>
    </w:p>
    <w:p>
      <w:pPr>
        <w:pStyle w:val="ListParagraph"/>
        <w:numPr>
          <w:ilvl w:val="1"/>
          <w:numId w:val="346"/>
        </w:numPr>
        <w:tabs>
          <w:tab w:pos="1160" w:val="left" w:leader="none"/>
        </w:tabs>
        <w:spacing w:line="240" w:lineRule="auto" w:before="0" w:after="0"/>
        <w:ind w:left="1159" w:right="0" w:hanging="320"/>
        <w:jc w:val="left"/>
        <w:rPr>
          <w:b/>
          <w:sz w:val="21"/>
        </w:rPr>
      </w:pPr>
      <w:r>
        <w:rPr>
          <w:spacing w:val="-3"/>
          <w:sz w:val="21"/>
        </w:rPr>
        <w:t>一般规定</w:t>
      </w:r>
      <w:r>
        <w:rPr>
          <w:b/>
          <w:w w:val="99"/>
          <w:sz w:val="21"/>
        </w:rPr>
        <w:t> </w:t>
      </w:r>
    </w:p>
    <w:p>
      <w:pPr>
        <w:pStyle w:val="BodyText"/>
        <w:spacing w:before="3"/>
        <w:rPr>
          <w:b/>
          <w:sz w:val="18"/>
        </w:rPr>
      </w:pPr>
    </w:p>
    <w:p>
      <w:pPr>
        <w:pStyle w:val="ListParagraph"/>
        <w:numPr>
          <w:ilvl w:val="2"/>
          <w:numId w:val="346"/>
        </w:numPr>
        <w:tabs>
          <w:tab w:pos="1370" w:val="left" w:leader="none"/>
          <w:tab w:pos="5367" w:val="left" w:leader="none"/>
        </w:tabs>
        <w:spacing w:line="446" w:lineRule="auto" w:before="0" w:after="0"/>
        <w:ind w:left="418" w:right="1604" w:firstLine="422"/>
        <w:jc w:val="left"/>
        <w:rPr>
          <w:b/>
          <w:sz w:val="21"/>
        </w:rPr>
      </w:pPr>
      <w:r>
        <w:rPr>
          <w:spacing w:val="-3"/>
          <w:sz w:val="21"/>
        </w:rPr>
        <w:t>灭</w:t>
      </w:r>
      <w:r>
        <w:rPr>
          <w:sz w:val="21"/>
        </w:rPr>
        <w:t>火</w:t>
      </w:r>
      <w:r>
        <w:rPr>
          <w:spacing w:val="-3"/>
          <w:sz w:val="21"/>
        </w:rPr>
        <w:t>器</w:t>
      </w:r>
      <w:r>
        <w:rPr>
          <w:sz w:val="21"/>
        </w:rPr>
        <w:t>配</w:t>
      </w:r>
      <w:r>
        <w:rPr>
          <w:spacing w:val="-3"/>
          <w:sz w:val="21"/>
        </w:rPr>
        <w:t>置</w:t>
      </w:r>
      <w:r>
        <w:rPr>
          <w:sz w:val="21"/>
        </w:rPr>
        <w:t>的</w:t>
      </w:r>
      <w:r>
        <w:rPr>
          <w:spacing w:val="-3"/>
          <w:sz w:val="21"/>
        </w:rPr>
        <w:t>设计</w:t>
      </w:r>
      <w:r>
        <w:rPr>
          <w:sz w:val="21"/>
        </w:rPr>
        <w:t>与计</w:t>
      </w:r>
      <w:r>
        <w:rPr>
          <w:spacing w:val="-3"/>
          <w:sz w:val="21"/>
        </w:rPr>
        <w:t>算</w:t>
      </w:r>
      <w:r>
        <w:rPr>
          <w:sz w:val="21"/>
        </w:rPr>
        <w:t>应</w:t>
      </w:r>
      <w:r>
        <w:rPr>
          <w:spacing w:val="-3"/>
          <w:sz w:val="21"/>
        </w:rPr>
        <w:t>按</w:t>
      </w:r>
      <w:r>
        <w:rPr>
          <w:sz w:val="21"/>
        </w:rPr>
        <w:t>计</w:t>
      </w:r>
      <w:r>
        <w:rPr>
          <w:spacing w:val="-3"/>
          <w:sz w:val="21"/>
        </w:rPr>
        <w:t>算</w:t>
      </w:r>
      <w:r>
        <w:rPr>
          <w:sz w:val="21"/>
        </w:rPr>
        <w:t>单</w:t>
      </w:r>
      <w:r>
        <w:rPr>
          <w:spacing w:val="-3"/>
          <w:sz w:val="21"/>
        </w:rPr>
        <w:t>元</w:t>
      </w:r>
      <w:r>
        <w:rPr>
          <w:sz w:val="21"/>
        </w:rPr>
        <w:t>进</w:t>
      </w:r>
      <w:r>
        <w:rPr>
          <w:spacing w:val="-3"/>
          <w:sz w:val="21"/>
        </w:rPr>
        <w:t>行</w:t>
      </w:r>
      <w:r>
        <w:rPr>
          <w:sz w:val="21"/>
        </w:rPr>
        <w:t>。灭</w:t>
      </w:r>
      <w:r>
        <w:rPr>
          <w:spacing w:val="-3"/>
          <w:sz w:val="21"/>
        </w:rPr>
        <w:t>火</w:t>
      </w:r>
      <w:r>
        <w:rPr>
          <w:sz w:val="21"/>
        </w:rPr>
        <w:t>器</w:t>
      </w:r>
      <w:r>
        <w:rPr>
          <w:spacing w:val="-3"/>
          <w:sz w:val="21"/>
        </w:rPr>
        <w:t>最</w:t>
      </w:r>
      <w:r>
        <w:rPr>
          <w:sz w:val="21"/>
        </w:rPr>
        <w:t>小</w:t>
      </w:r>
      <w:r>
        <w:rPr>
          <w:spacing w:val="-3"/>
          <w:sz w:val="21"/>
        </w:rPr>
        <w:t>需</w:t>
      </w:r>
      <w:r>
        <w:rPr>
          <w:sz w:val="21"/>
        </w:rPr>
        <w:t>配</w:t>
      </w:r>
      <w:r>
        <w:rPr>
          <w:spacing w:val="-3"/>
          <w:sz w:val="21"/>
        </w:rPr>
        <w:t>灭</w:t>
      </w:r>
      <w:r>
        <w:rPr>
          <w:sz w:val="21"/>
        </w:rPr>
        <w:t>火</w:t>
      </w:r>
      <w:r>
        <w:rPr>
          <w:spacing w:val="-3"/>
          <w:sz w:val="21"/>
        </w:rPr>
        <w:t>级</w:t>
      </w:r>
      <w:r>
        <w:rPr>
          <w:sz w:val="21"/>
        </w:rPr>
        <w:t>别和</w:t>
      </w:r>
      <w:r>
        <w:rPr>
          <w:spacing w:val="-3"/>
          <w:sz w:val="21"/>
        </w:rPr>
        <w:t>最</w:t>
      </w:r>
      <w:r>
        <w:rPr>
          <w:sz w:val="21"/>
        </w:rPr>
        <w:t>少</w:t>
      </w:r>
      <w:r>
        <w:rPr>
          <w:spacing w:val="-3"/>
          <w:sz w:val="21"/>
        </w:rPr>
        <w:t>需</w:t>
      </w:r>
      <w:r>
        <w:rPr>
          <w:sz w:val="21"/>
        </w:rPr>
        <w:t>配数量</w:t>
      </w:r>
      <w:r>
        <w:rPr>
          <w:spacing w:val="-3"/>
          <w:sz w:val="21"/>
        </w:rPr>
        <w:t>的</w:t>
      </w:r>
      <w:r>
        <w:rPr>
          <w:sz w:val="21"/>
        </w:rPr>
        <w:t>计</w:t>
      </w:r>
      <w:r>
        <w:rPr>
          <w:spacing w:val="-3"/>
          <w:sz w:val="21"/>
        </w:rPr>
        <w:t>算</w:t>
      </w:r>
      <w:r>
        <w:rPr>
          <w:spacing w:val="14"/>
          <w:sz w:val="21"/>
        </w:rPr>
        <w:t> </w:t>
      </w:r>
      <w:r>
        <w:rPr>
          <w:spacing w:val="-3"/>
          <w:sz w:val="21"/>
        </w:rPr>
        <w:t>值</w:t>
      </w:r>
      <w:r>
        <w:rPr>
          <w:sz w:val="21"/>
        </w:rPr>
        <w:t>应</w:t>
      </w:r>
      <w:r>
        <w:rPr>
          <w:spacing w:val="-3"/>
          <w:sz w:val="21"/>
        </w:rPr>
        <w:t>进</w:t>
      </w:r>
      <w:r>
        <w:rPr>
          <w:sz w:val="21"/>
        </w:rPr>
        <w:t>位</w:t>
      </w:r>
      <w:r>
        <w:rPr>
          <w:spacing w:val="-3"/>
          <w:sz w:val="21"/>
        </w:rPr>
        <w:t>取整</w:t>
      </w:r>
      <w:r>
        <w:rPr>
          <w:sz w:val="21"/>
        </w:rPr>
        <w:t>。</w:t>
      </w:r>
      <w:r>
        <w:rPr>
          <w:b/>
          <w:w w:val="99"/>
          <w:sz w:val="21"/>
        </w:rPr>
        <w:t> </w:t>
      </w:r>
      <w:r>
        <w:rPr>
          <w:b/>
          <w:sz w:val="21"/>
        </w:rPr>
        <w:tab/>
      </w:r>
      <w:hyperlink r:id="rId208">
        <w:r>
          <w:rPr>
            <w:b/>
            <w:w w:val="99"/>
            <w:sz w:val="21"/>
          </w:rPr>
          <w:t> </w:t>
        </w:r>
      </w:hyperlink>
      <w:r>
        <w:rPr>
          <w:b/>
          <w:w w:val="99"/>
          <w:sz w:val="21"/>
        </w:rPr>
        <w:t> </w:t>
      </w:r>
    </w:p>
    <w:p>
      <w:pPr>
        <w:pStyle w:val="ListParagraph"/>
        <w:numPr>
          <w:ilvl w:val="2"/>
          <w:numId w:val="346"/>
        </w:numPr>
        <w:tabs>
          <w:tab w:pos="1370" w:val="left" w:leader="none"/>
          <w:tab w:pos="5367" w:val="left" w:leader="none"/>
        </w:tabs>
        <w:spacing w:line="446" w:lineRule="auto" w:before="0" w:after="0"/>
        <w:ind w:left="418" w:right="1604" w:firstLine="422"/>
        <w:jc w:val="left"/>
        <w:rPr>
          <w:b/>
          <w:sz w:val="21"/>
        </w:rPr>
      </w:pPr>
      <w:r>
        <w:rPr>
          <w:spacing w:val="-3"/>
          <w:sz w:val="21"/>
        </w:rPr>
        <w:t>每</w:t>
      </w:r>
      <w:r>
        <w:rPr>
          <w:sz w:val="21"/>
        </w:rPr>
        <w:t>个</w:t>
      </w:r>
      <w:r>
        <w:rPr>
          <w:spacing w:val="-3"/>
          <w:sz w:val="21"/>
        </w:rPr>
        <w:t>灭</w:t>
      </w:r>
      <w:r>
        <w:rPr>
          <w:sz w:val="21"/>
        </w:rPr>
        <w:t>火</w:t>
      </w:r>
      <w:r>
        <w:rPr>
          <w:spacing w:val="-3"/>
          <w:sz w:val="21"/>
        </w:rPr>
        <w:t>器</w:t>
      </w:r>
      <w:r>
        <w:rPr>
          <w:sz w:val="21"/>
        </w:rPr>
        <w:t>设</w:t>
      </w:r>
      <w:r>
        <w:rPr>
          <w:spacing w:val="-3"/>
          <w:sz w:val="21"/>
        </w:rPr>
        <w:t>置点</w:t>
      </w:r>
      <w:r>
        <w:rPr>
          <w:sz w:val="21"/>
        </w:rPr>
        <w:t>实配</w:t>
      </w:r>
      <w:r>
        <w:rPr>
          <w:spacing w:val="-3"/>
          <w:sz w:val="21"/>
        </w:rPr>
        <w:t>灭</w:t>
      </w:r>
      <w:r>
        <w:rPr>
          <w:sz w:val="21"/>
        </w:rPr>
        <w:t>火</w:t>
      </w:r>
      <w:r>
        <w:rPr>
          <w:spacing w:val="-3"/>
          <w:sz w:val="21"/>
        </w:rPr>
        <w:t>器</w:t>
      </w:r>
      <w:r>
        <w:rPr>
          <w:sz w:val="21"/>
        </w:rPr>
        <w:t>的</w:t>
      </w:r>
      <w:r>
        <w:rPr>
          <w:spacing w:val="-3"/>
          <w:sz w:val="21"/>
        </w:rPr>
        <w:t>灭</w:t>
      </w:r>
      <w:r>
        <w:rPr>
          <w:sz w:val="21"/>
        </w:rPr>
        <w:t>火</w:t>
      </w:r>
      <w:r>
        <w:rPr>
          <w:spacing w:val="-3"/>
          <w:sz w:val="21"/>
        </w:rPr>
        <w:t>级</w:t>
      </w:r>
      <w:r>
        <w:rPr>
          <w:sz w:val="21"/>
        </w:rPr>
        <w:t>别</w:t>
      </w:r>
      <w:r>
        <w:rPr>
          <w:spacing w:val="-3"/>
          <w:sz w:val="21"/>
        </w:rPr>
        <w:t>和</w:t>
      </w:r>
      <w:r>
        <w:rPr>
          <w:sz w:val="21"/>
        </w:rPr>
        <w:t>数量</w:t>
      </w:r>
      <w:r>
        <w:rPr>
          <w:spacing w:val="-3"/>
          <w:sz w:val="21"/>
        </w:rPr>
        <w:t>不</w:t>
      </w:r>
      <w:r>
        <w:rPr>
          <w:sz w:val="21"/>
        </w:rPr>
        <w:t>得</w:t>
      </w:r>
      <w:r>
        <w:rPr>
          <w:spacing w:val="-3"/>
          <w:sz w:val="21"/>
        </w:rPr>
        <w:t>小</w:t>
      </w:r>
      <w:r>
        <w:rPr>
          <w:sz w:val="21"/>
        </w:rPr>
        <w:t>于</w:t>
      </w:r>
      <w:r>
        <w:rPr>
          <w:spacing w:val="-3"/>
          <w:sz w:val="21"/>
        </w:rPr>
        <w:t>最</w:t>
      </w:r>
      <w:r>
        <w:rPr>
          <w:sz w:val="21"/>
        </w:rPr>
        <w:t>小</w:t>
      </w:r>
      <w:r>
        <w:rPr>
          <w:spacing w:val="-3"/>
          <w:sz w:val="21"/>
        </w:rPr>
        <w:t>需</w:t>
      </w:r>
      <w:r>
        <w:rPr>
          <w:sz w:val="21"/>
        </w:rPr>
        <w:t>配</w:t>
      </w:r>
      <w:r>
        <w:rPr>
          <w:spacing w:val="-3"/>
          <w:sz w:val="21"/>
        </w:rPr>
        <w:t>灭</w:t>
      </w:r>
      <w:r>
        <w:rPr>
          <w:sz w:val="21"/>
        </w:rPr>
        <w:t>火级</w:t>
      </w:r>
      <w:r>
        <w:rPr>
          <w:spacing w:val="-3"/>
          <w:sz w:val="21"/>
        </w:rPr>
        <w:t>别</w:t>
      </w:r>
      <w:r>
        <w:rPr>
          <w:sz w:val="21"/>
        </w:rPr>
        <w:t>和</w:t>
      </w:r>
      <w:r>
        <w:rPr>
          <w:spacing w:val="-3"/>
          <w:sz w:val="21"/>
        </w:rPr>
        <w:t>数</w:t>
      </w:r>
      <w:r>
        <w:rPr>
          <w:sz w:val="21"/>
        </w:rPr>
        <w:t>量的计</w:t>
      </w:r>
      <w:r>
        <w:rPr>
          <w:spacing w:val="-3"/>
          <w:sz w:val="21"/>
        </w:rPr>
        <w:t>算</w:t>
      </w:r>
      <w:r>
        <w:rPr>
          <w:spacing w:val="6"/>
          <w:sz w:val="21"/>
        </w:rPr>
        <w:t> </w:t>
      </w:r>
      <w:r>
        <w:rPr>
          <w:spacing w:val="-3"/>
          <w:sz w:val="21"/>
        </w:rPr>
        <w:t>值。</w:t>
      </w:r>
      <w:r>
        <w:rPr>
          <w:b/>
          <w:w w:val="99"/>
          <w:sz w:val="21"/>
        </w:rPr>
        <w:t> </w:t>
      </w:r>
      <w:r>
        <w:rPr>
          <w:b/>
          <w:sz w:val="21"/>
        </w:rPr>
        <w:tab/>
      </w:r>
      <w:hyperlink r:id="rId209">
        <w:r>
          <w:rPr>
            <w:b/>
            <w:w w:val="99"/>
            <w:sz w:val="21"/>
          </w:rPr>
          <w:t> </w:t>
        </w:r>
      </w:hyperlink>
      <w:r>
        <w:rPr>
          <w:b/>
          <w:w w:val="99"/>
          <w:sz w:val="21"/>
        </w:rPr>
        <w:t> </w:t>
      </w:r>
    </w:p>
    <w:p>
      <w:pPr>
        <w:pStyle w:val="ListParagraph"/>
        <w:numPr>
          <w:ilvl w:val="2"/>
          <w:numId w:val="346"/>
        </w:numPr>
        <w:tabs>
          <w:tab w:pos="1371" w:val="left" w:leader="none"/>
        </w:tabs>
        <w:spacing w:line="446" w:lineRule="auto" w:before="0" w:after="0"/>
        <w:ind w:left="418" w:right="1604" w:firstLine="422"/>
        <w:jc w:val="left"/>
        <w:rPr>
          <w:sz w:val="21"/>
        </w:rPr>
      </w:pPr>
      <w:r>
        <w:rPr>
          <w:spacing w:val="-3"/>
          <w:sz w:val="21"/>
        </w:rPr>
        <w:t>灭火器设置点的位置和数量应根据灭火器的最大保护距离确定，并应保证最不利点至少在 </w:t>
      </w:r>
      <w:r>
        <w:rPr>
          <w:sz w:val="21"/>
        </w:rPr>
        <w:t>1</w:t>
      </w:r>
      <w:r>
        <w:rPr>
          <w:spacing w:val="-3"/>
          <w:sz w:val="21"/>
        </w:rPr>
        <w:t> 具灭火器的保护范围内。</w:t>
      </w:r>
      <w:r>
        <w:rPr>
          <w:sz w:val="21"/>
        </w:rPr>
        <w:t> </w:t>
      </w:r>
    </w:p>
    <w:p>
      <w:pPr>
        <w:pStyle w:val="ListParagraph"/>
        <w:numPr>
          <w:ilvl w:val="1"/>
          <w:numId w:val="346"/>
        </w:numPr>
        <w:tabs>
          <w:tab w:pos="1160" w:val="left" w:leader="none"/>
        </w:tabs>
        <w:spacing w:line="240" w:lineRule="auto" w:before="0" w:after="0"/>
        <w:ind w:left="1159" w:right="0" w:hanging="320"/>
        <w:jc w:val="left"/>
        <w:rPr>
          <w:b/>
          <w:sz w:val="21"/>
        </w:rPr>
      </w:pPr>
      <w:r>
        <w:rPr>
          <w:spacing w:val="-3"/>
          <w:sz w:val="21"/>
        </w:rPr>
        <w:t>计算单元</w:t>
      </w:r>
      <w:r>
        <w:rPr>
          <w:b/>
          <w:w w:val="99"/>
          <w:sz w:val="21"/>
        </w:rPr>
        <w:t> </w:t>
      </w:r>
    </w:p>
    <w:p>
      <w:pPr>
        <w:pStyle w:val="BodyText"/>
        <w:spacing w:before="10"/>
        <w:rPr>
          <w:b/>
          <w:sz w:val="17"/>
        </w:rPr>
      </w:pPr>
    </w:p>
    <w:p>
      <w:pPr>
        <w:pStyle w:val="ListParagraph"/>
        <w:numPr>
          <w:ilvl w:val="2"/>
          <w:numId w:val="346"/>
        </w:numPr>
        <w:tabs>
          <w:tab w:pos="1370" w:val="left" w:leader="none"/>
        </w:tabs>
        <w:spacing w:line="240" w:lineRule="auto" w:before="0" w:after="0"/>
        <w:ind w:left="1369" w:right="0" w:hanging="530"/>
        <w:jc w:val="left"/>
        <w:rPr>
          <w:b/>
          <w:sz w:val="21"/>
        </w:rPr>
      </w:pPr>
      <w:r>
        <w:rPr>
          <w:spacing w:val="-3"/>
          <w:sz w:val="21"/>
        </w:rPr>
        <w:t>灭火器配置设计的计算单元应按下列规定划分：</w:t>
      </w:r>
      <w:r>
        <w:rPr>
          <w:b/>
          <w:w w:val="99"/>
          <w:sz w:val="21"/>
        </w:rPr>
        <w:t> </w:t>
      </w:r>
    </w:p>
    <w:p>
      <w:pPr>
        <w:pStyle w:val="BodyText"/>
        <w:spacing w:before="12"/>
        <w:rPr>
          <w:b/>
          <w:sz w:val="17"/>
        </w:rPr>
      </w:pPr>
    </w:p>
    <w:p>
      <w:pPr>
        <w:pStyle w:val="ListParagraph"/>
        <w:numPr>
          <w:ilvl w:val="0"/>
          <w:numId w:val="347"/>
        </w:numPr>
        <w:tabs>
          <w:tab w:pos="1367" w:val="left" w:leader="none"/>
          <w:tab w:pos="5367" w:val="left" w:leader="none"/>
        </w:tabs>
        <w:spacing w:line="446" w:lineRule="auto" w:before="0" w:after="0"/>
        <w:ind w:left="418" w:right="1714" w:firstLine="419"/>
        <w:jc w:val="left"/>
        <w:rPr>
          <w:sz w:val="21"/>
        </w:rPr>
      </w:pPr>
      <w:r>
        <w:rPr>
          <w:sz w:val="21"/>
        </w:rPr>
        <w:t>当</w:t>
      </w:r>
      <w:r>
        <w:rPr>
          <w:spacing w:val="-3"/>
          <w:sz w:val="21"/>
        </w:rPr>
        <w:t>一</w:t>
      </w:r>
      <w:r>
        <w:rPr>
          <w:sz w:val="21"/>
        </w:rPr>
        <w:t>个</w:t>
      </w:r>
      <w:r>
        <w:rPr>
          <w:spacing w:val="-3"/>
          <w:sz w:val="21"/>
        </w:rPr>
        <w:t>楼</w:t>
      </w:r>
      <w:r>
        <w:rPr>
          <w:sz w:val="21"/>
        </w:rPr>
        <w:t>层</w:t>
      </w:r>
      <w:r>
        <w:rPr>
          <w:spacing w:val="-3"/>
          <w:sz w:val="21"/>
        </w:rPr>
        <w:t>或</w:t>
      </w:r>
      <w:r>
        <w:rPr>
          <w:sz w:val="21"/>
        </w:rPr>
        <w:t>一</w:t>
      </w:r>
      <w:r>
        <w:rPr>
          <w:spacing w:val="-3"/>
          <w:sz w:val="21"/>
        </w:rPr>
        <w:t>个水</w:t>
      </w:r>
      <w:r>
        <w:rPr>
          <w:sz w:val="21"/>
        </w:rPr>
        <w:t>平防</w:t>
      </w:r>
      <w:r>
        <w:rPr>
          <w:spacing w:val="-3"/>
          <w:sz w:val="21"/>
        </w:rPr>
        <w:t>火</w:t>
      </w:r>
      <w:r>
        <w:rPr>
          <w:sz w:val="21"/>
        </w:rPr>
        <w:t>分</w:t>
      </w:r>
      <w:r>
        <w:rPr>
          <w:spacing w:val="-3"/>
          <w:sz w:val="21"/>
        </w:rPr>
        <w:t>区</w:t>
      </w:r>
      <w:r>
        <w:rPr>
          <w:sz w:val="21"/>
        </w:rPr>
        <w:t>内</w:t>
      </w:r>
      <w:r>
        <w:rPr>
          <w:spacing w:val="-3"/>
          <w:sz w:val="21"/>
        </w:rPr>
        <w:t>各</w:t>
      </w:r>
      <w:r>
        <w:rPr>
          <w:sz w:val="21"/>
        </w:rPr>
        <w:t>场</w:t>
      </w:r>
      <w:r>
        <w:rPr>
          <w:spacing w:val="-3"/>
          <w:sz w:val="21"/>
        </w:rPr>
        <w:t>所</w:t>
      </w:r>
      <w:r>
        <w:rPr>
          <w:sz w:val="21"/>
        </w:rPr>
        <w:t>的</w:t>
      </w:r>
      <w:r>
        <w:rPr>
          <w:spacing w:val="-3"/>
          <w:sz w:val="21"/>
        </w:rPr>
        <w:t>危</w:t>
      </w:r>
      <w:r>
        <w:rPr>
          <w:sz w:val="21"/>
        </w:rPr>
        <w:t>险等</w:t>
      </w:r>
      <w:r>
        <w:rPr>
          <w:spacing w:val="-3"/>
          <w:sz w:val="21"/>
        </w:rPr>
        <w:t>级</w:t>
      </w:r>
      <w:r>
        <w:rPr>
          <w:sz w:val="21"/>
        </w:rPr>
        <w:t>和</w:t>
      </w:r>
      <w:r>
        <w:rPr>
          <w:spacing w:val="-3"/>
          <w:sz w:val="21"/>
        </w:rPr>
        <w:t>火</w:t>
      </w:r>
      <w:r>
        <w:rPr>
          <w:sz w:val="21"/>
        </w:rPr>
        <w:t>灾</w:t>
      </w:r>
      <w:r>
        <w:rPr>
          <w:spacing w:val="-3"/>
          <w:sz w:val="21"/>
        </w:rPr>
        <w:t>种</w:t>
      </w:r>
      <w:r>
        <w:rPr>
          <w:sz w:val="21"/>
        </w:rPr>
        <w:t>类</w:t>
      </w:r>
      <w:r>
        <w:rPr>
          <w:spacing w:val="-3"/>
          <w:sz w:val="21"/>
        </w:rPr>
        <w:t>相</w:t>
      </w:r>
      <w:r>
        <w:rPr>
          <w:sz w:val="21"/>
        </w:rPr>
        <w:t>同</w:t>
      </w:r>
      <w:r>
        <w:rPr>
          <w:spacing w:val="-3"/>
          <w:sz w:val="21"/>
        </w:rPr>
        <w:t>时</w:t>
      </w:r>
      <w:r>
        <w:rPr>
          <w:sz w:val="21"/>
        </w:rPr>
        <w:t>，可</w:t>
      </w:r>
      <w:r>
        <w:rPr>
          <w:spacing w:val="-3"/>
          <w:sz w:val="21"/>
        </w:rPr>
        <w:t>将</w:t>
      </w:r>
      <w:r>
        <w:rPr>
          <w:sz w:val="21"/>
        </w:rPr>
        <w:t>其作为一</w:t>
      </w:r>
      <w:r>
        <w:rPr>
          <w:spacing w:val="-3"/>
          <w:sz w:val="21"/>
        </w:rPr>
        <w:t>个</w:t>
      </w:r>
      <w:r>
        <w:rPr>
          <w:sz w:val="21"/>
        </w:rPr>
        <w:t>计</w:t>
      </w:r>
      <w:r>
        <w:rPr>
          <w:spacing w:val="-3"/>
          <w:sz w:val="21"/>
        </w:rPr>
        <w:t>算</w:t>
      </w:r>
      <w:r>
        <w:rPr>
          <w:spacing w:val="10"/>
          <w:sz w:val="21"/>
        </w:rPr>
        <w:t> </w:t>
      </w:r>
      <w:r>
        <w:rPr>
          <w:spacing w:val="-3"/>
          <w:sz w:val="21"/>
        </w:rPr>
        <w:t>单</w:t>
      </w:r>
      <w:r>
        <w:rPr>
          <w:sz w:val="21"/>
        </w:rPr>
        <w:t>元</w:t>
      </w:r>
      <w:r>
        <w:rPr>
          <w:spacing w:val="-3"/>
          <w:sz w:val="21"/>
        </w:rPr>
        <w:t>。</w:t>
      </w:r>
      <w:r>
        <w:rPr>
          <w:sz w:val="21"/>
        </w:rPr>
        <w:t> </w:t>
        <w:tab/>
      </w:r>
      <w:hyperlink r:id="rId210">
        <w:r>
          <w:rPr>
            <w:w w:val="100"/>
            <w:sz w:val="21"/>
          </w:rPr>
          <w:t> </w:t>
        </w:r>
      </w:hyperlink>
      <w:r>
        <w:rPr>
          <w:w w:val="100"/>
          <w:sz w:val="21"/>
        </w:rPr>
        <w:t> </w:t>
      </w:r>
    </w:p>
    <w:p>
      <w:pPr>
        <w:pStyle w:val="ListParagraph"/>
        <w:numPr>
          <w:ilvl w:val="0"/>
          <w:numId w:val="347"/>
        </w:numPr>
        <w:tabs>
          <w:tab w:pos="1367" w:val="left" w:leader="none"/>
        </w:tabs>
        <w:spacing w:line="446" w:lineRule="auto" w:before="0" w:after="0"/>
        <w:ind w:left="418" w:right="1714" w:firstLine="419"/>
        <w:jc w:val="left"/>
        <w:rPr>
          <w:sz w:val="21"/>
        </w:rPr>
      </w:pPr>
      <w:r>
        <w:rPr>
          <w:spacing w:val="-3"/>
          <w:sz w:val="21"/>
        </w:rPr>
        <w:t>当一个楼层或一个水平防火分区内各场所的危险等级和火灾种类不相同时，应将其分别作为不 同的计算单元。 </w:t>
      </w:r>
    </w:p>
    <w:p>
      <w:pPr>
        <w:pStyle w:val="ListParagraph"/>
        <w:numPr>
          <w:ilvl w:val="0"/>
          <w:numId w:val="347"/>
        </w:numPr>
        <w:tabs>
          <w:tab w:pos="1367" w:val="left" w:leader="none"/>
        </w:tabs>
        <w:spacing w:line="446" w:lineRule="auto" w:before="0" w:after="0"/>
        <w:ind w:left="840" w:right="5072" w:hanging="3"/>
        <w:jc w:val="left"/>
        <w:rPr>
          <w:b/>
          <w:sz w:val="21"/>
        </w:rPr>
      </w:pPr>
      <w:r>
        <w:rPr>
          <w:spacing w:val="-3"/>
          <w:sz w:val="21"/>
        </w:rPr>
        <w:t>同一计算单元不得跨越防火分区和楼层。</w:t>
      </w:r>
      <w:r>
        <w:rPr>
          <w:b/>
          <w:sz w:val="21"/>
        </w:rPr>
        <w:t>7.2.2</w:t>
      </w:r>
      <w:r>
        <w:rPr>
          <w:b/>
          <w:spacing w:val="12"/>
          <w:sz w:val="21"/>
        </w:rPr>
        <w:t> </w:t>
      </w:r>
      <w:r>
        <w:rPr>
          <w:spacing w:val="-3"/>
          <w:sz w:val="21"/>
        </w:rPr>
        <w:t>计算单元保护面积的确定应符合下列规定：</w:t>
      </w:r>
      <w:r>
        <w:rPr>
          <w:b/>
          <w:w w:val="99"/>
          <w:sz w:val="21"/>
        </w:rPr>
        <w:t> </w:t>
      </w:r>
    </w:p>
    <w:p>
      <w:pPr>
        <w:pStyle w:val="ListParagraph"/>
        <w:numPr>
          <w:ilvl w:val="0"/>
          <w:numId w:val="348"/>
        </w:numPr>
        <w:tabs>
          <w:tab w:pos="1367" w:val="left" w:leader="none"/>
        </w:tabs>
        <w:spacing w:line="267" w:lineRule="exact" w:before="0" w:after="0"/>
        <w:ind w:left="1367" w:right="0" w:hanging="529"/>
        <w:jc w:val="left"/>
        <w:rPr>
          <w:sz w:val="21"/>
        </w:rPr>
      </w:pPr>
      <w:r>
        <w:rPr>
          <w:spacing w:val="-3"/>
          <w:sz w:val="21"/>
        </w:rPr>
        <w:t>建筑物应按其建筑面积确定；</w:t>
      </w:r>
      <w:r>
        <w:rPr>
          <w:sz w:val="21"/>
        </w:rPr>
        <w:t> </w:t>
      </w:r>
    </w:p>
    <w:p>
      <w:pPr>
        <w:spacing w:after="0" w:line="267" w:lineRule="exact"/>
        <w:jc w:val="left"/>
        <w:rPr>
          <w:sz w:val="21"/>
        </w:rPr>
        <w:sectPr>
          <w:pgSz w:w="11910" w:h="16850"/>
          <w:pgMar w:header="0" w:footer="1159" w:top="1220" w:bottom="1420" w:left="1260" w:right="0"/>
        </w:sectPr>
      </w:pPr>
    </w:p>
    <w:p>
      <w:pPr>
        <w:pStyle w:val="ListParagraph"/>
        <w:numPr>
          <w:ilvl w:val="0"/>
          <w:numId w:val="348"/>
        </w:numPr>
        <w:tabs>
          <w:tab w:pos="1367" w:val="left" w:leader="none"/>
        </w:tabs>
        <w:spacing w:line="446" w:lineRule="auto" w:before="47" w:after="0"/>
        <w:ind w:left="418" w:right="1714" w:firstLine="419"/>
        <w:jc w:val="left"/>
        <w:rPr>
          <w:sz w:val="21"/>
        </w:rPr>
      </w:pPr>
      <w:r>
        <w:rPr>
          <w:spacing w:val="-3"/>
          <w:sz w:val="21"/>
        </w:rPr>
        <w:t>可燃物露天堆场，甲、乙、丙类液体储罐区，可燃气体储罐区应按堆垛、储罐的占地面积确定。</w:t>
      </w:r>
      <w:r>
        <w:rPr>
          <w:sz w:val="21"/>
        </w:rPr>
        <w:t> </w:t>
      </w:r>
    </w:p>
    <w:p>
      <w:pPr>
        <w:pStyle w:val="ListParagraph"/>
        <w:numPr>
          <w:ilvl w:val="1"/>
          <w:numId w:val="346"/>
        </w:numPr>
        <w:tabs>
          <w:tab w:pos="1159" w:val="left" w:leader="none"/>
        </w:tabs>
        <w:spacing w:line="267" w:lineRule="exact" w:before="0" w:after="0"/>
        <w:ind w:left="1158" w:right="0" w:hanging="319"/>
        <w:jc w:val="left"/>
        <w:rPr>
          <w:b/>
          <w:sz w:val="21"/>
        </w:rPr>
      </w:pPr>
      <w:r>
        <w:rPr>
          <w:spacing w:val="-3"/>
          <w:sz w:val="21"/>
        </w:rPr>
        <w:t>配置设计计算</w:t>
      </w:r>
      <w:r>
        <w:rPr>
          <w:b/>
          <w:w w:val="99"/>
          <w:sz w:val="21"/>
        </w:rPr>
        <w:t> </w:t>
      </w:r>
    </w:p>
    <w:p>
      <w:pPr>
        <w:pStyle w:val="BodyText"/>
        <w:spacing w:before="2"/>
        <w:rPr>
          <w:b/>
          <w:sz w:val="18"/>
        </w:rPr>
      </w:pPr>
    </w:p>
    <w:p>
      <w:pPr>
        <w:pStyle w:val="ListParagraph"/>
        <w:numPr>
          <w:ilvl w:val="2"/>
          <w:numId w:val="346"/>
        </w:numPr>
        <w:tabs>
          <w:tab w:pos="1370" w:val="left" w:leader="none"/>
        </w:tabs>
        <w:spacing w:line="240" w:lineRule="auto" w:before="0" w:after="0"/>
        <w:ind w:left="1369" w:right="0" w:hanging="530"/>
        <w:jc w:val="left"/>
        <w:rPr>
          <w:sz w:val="21"/>
        </w:rPr>
      </w:pPr>
      <w:r>
        <w:rPr>
          <w:spacing w:val="-3"/>
          <w:sz w:val="21"/>
        </w:rPr>
        <w:t>计算单元的最小需配灭火级别应按下式计算： </w:t>
      </w:r>
    </w:p>
    <w:p>
      <w:pPr>
        <w:pStyle w:val="BodyText"/>
        <w:spacing w:before="11"/>
        <w:rPr>
          <w:sz w:val="14"/>
        </w:rPr>
      </w:pPr>
    </w:p>
    <w:p>
      <w:pPr>
        <w:spacing w:before="0"/>
        <w:ind w:left="3372" w:right="0" w:firstLine="0"/>
        <w:jc w:val="left"/>
        <w:rPr>
          <w:sz w:val="24"/>
        </w:rPr>
      </w:pPr>
      <w:r>
        <w:rPr>
          <w:i/>
          <w:sz w:val="25"/>
        </w:rPr>
        <w:t>Q</w:t>
      </w:r>
      <w:r>
        <w:rPr>
          <w:sz w:val="24"/>
        </w:rPr>
        <w:t>＝</w:t>
      </w:r>
      <w:r>
        <w:rPr>
          <w:i/>
          <w:sz w:val="25"/>
        </w:rPr>
        <w:t>KS</w:t>
      </w:r>
      <w:r>
        <w:rPr>
          <w:sz w:val="24"/>
        </w:rPr>
        <w:t>/</w:t>
      </w:r>
      <w:r>
        <w:rPr>
          <w:i/>
          <w:sz w:val="25"/>
        </w:rPr>
        <w:t>U </w:t>
      </w:r>
      <w:r>
        <w:rPr>
          <w:sz w:val="24"/>
        </w:rPr>
        <w:t>(7.3.1) </w:t>
      </w:r>
    </w:p>
    <w:p>
      <w:pPr>
        <w:pStyle w:val="Heading5"/>
        <w:spacing w:before="181"/>
        <w:ind w:left="898"/>
        <w:rPr>
          <w:b/>
          <w:sz w:val="21"/>
        </w:rPr>
      </w:pPr>
      <w:r>
        <w:rPr/>
        <w:t>式中 </w:t>
      </w:r>
      <w:r>
        <w:rPr>
          <w:i/>
          <w:sz w:val="25"/>
        </w:rPr>
        <w:t>Q </w:t>
      </w:r>
      <w:r>
        <w:rPr/>
        <w:t>——计算单元的最小需配灭火级别（A 或 B）；</w:t>
      </w:r>
      <w:r>
        <w:rPr>
          <w:b/>
          <w:w w:val="99"/>
          <w:sz w:val="21"/>
        </w:rPr>
        <w:t> </w:t>
      </w:r>
    </w:p>
    <w:p>
      <w:pPr>
        <w:spacing w:before="179"/>
        <w:ind w:left="1617" w:right="0" w:firstLine="0"/>
        <w:jc w:val="left"/>
        <w:rPr>
          <w:b/>
          <w:sz w:val="21"/>
        </w:rPr>
      </w:pPr>
      <w:r>
        <w:rPr>
          <w:i/>
          <w:sz w:val="25"/>
        </w:rPr>
        <w:t>S</w:t>
      </w:r>
      <w:r>
        <w:rPr>
          <w:i/>
          <w:spacing w:val="-16"/>
          <w:sz w:val="25"/>
        </w:rPr>
        <w:t> </w:t>
      </w:r>
      <w:r>
        <w:rPr>
          <w:spacing w:val="-6"/>
          <w:sz w:val="24"/>
        </w:rPr>
        <w:t>——计算单元的保护面积</w:t>
      </w:r>
      <w:r>
        <w:rPr>
          <w:sz w:val="24"/>
        </w:rPr>
        <w:t>（</w:t>
      </w:r>
      <w:r>
        <w:rPr>
          <w:spacing w:val="-5"/>
          <w:sz w:val="24"/>
        </w:rPr>
        <w:t>㎡</w:t>
      </w:r>
      <w:r>
        <w:rPr>
          <w:sz w:val="24"/>
        </w:rPr>
        <w:t>）；</w:t>
      </w:r>
      <w:r>
        <w:rPr>
          <w:b/>
          <w:w w:val="99"/>
          <w:sz w:val="21"/>
        </w:rPr>
        <w:t> </w:t>
      </w:r>
    </w:p>
    <w:p>
      <w:pPr>
        <w:pStyle w:val="BodyText"/>
        <w:tabs>
          <w:tab w:pos="5367" w:val="left" w:leader="none"/>
        </w:tabs>
        <w:spacing w:line="424" w:lineRule="auto" w:before="212"/>
        <w:ind w:left="1469" w:right="2031"/>
      </w:pPr>
      <w:r>
        <w:rPr>
          <w:i/>
          <w:sz w:val="22"/>
        </w:rPr>
        <w:t>U</w:t>
      </w:r>
      <w:r>
        <w:rPr>
          <w:i/>
          <w:spacing w:val="1"/>
          <w:sz w:val="22"/>
        </w:rPr>
        <w:t> </w:t>
      </w:r>
      <w:r>
        <w:rPr/>
        <w:t>——A</w:t>
      </w:r>
      <w:r>
        <w:rPr>
          <w:spacing w:val="7"/>
        </w:rPr>
        <w:t> </w:t>
      </w:r>
      <w:r>
        <w:rPr>
          <w:spacing w:val="-3"/>
        </w:rPr>
        <w:t>类</w:t>
      </w:r>
      <w:r>
        <w:rPr/>
        <w:t>或</w:t>
      </w:r>
      <w:r>
        <w:rPr>
          <w:spacing w:val="7"/>
        </w:rPr>
        <w:t> </w:t>
      </w:r>
      <w:r>
        <w:rPr>
          <w:spacing w:val="-3"/>
        </w:rPr>
        <w:t>B</w:t>
      </w:r>
      <w:r>
        <w:rPr>
          <w:spacing w:val="6"/>
        </w:rPr>
        <w:t> </w:t>
      </w:r>
      <w:r>
        <w:rPr>
          <w:spacing w:val="-3"/>
        </w:rPr>
        <w:t>类</w:t>
      </w:r>
      <w:r>
        <w:rPr/>
        <w:t>火</w:t>
      </w:r>
      <w:r>
        <w:rPr>
          <w:spacing w:val="-3"/>
        </w:rPr>
        <w:t>灾场</w:t>
      </w:r>
      <w:r>
        <w:rPr/>
        <w:t>所单</w:t>
      </w:r>
      <w:r>
        <w:rPr>
          <w:spacing w:val="-3"/>
        </w:rPr>
        <w:t>位</w:t>
      </w:r>
      <w:r>
        <w:rPr/>
        <w:t>灭</w:t>
      </w:r>
      <w:r>
        <w:rPr>
          <w:spacing w:val="-3"/>
        </w:rPr>
        <w:t>火</w:t>
      </w:r>
      <w:r>
        <w:rPr/>
        <w:t>级</w:t>
      </w:r>
      <w:r>
        <w:rPr>
          <w:spacing w:val="-3"/>
        </w:rPr>
        <w:t>别</w:t>
      </w:r>
      <w:r>
        <w:rPr/>
        <w:t>最</w:t>
      </w:r>
      <w:r>
        <w:rPr>
          <w:spacing w:val="-3"/>
        </w:rPr>
        <w:t>大</w:t>
      </w:r>
      <w:r>
        <w:rPr/>
        <w:t>保</w:t>
      </w:r>
      <w:r>
        <w:rPr>
          <w:spacing w:val="-3"/>
        </w:rPr>
        <w:t>护</w:t>
      </w:r>
      <w:r>
        <w:rPr/>
        <w:t>面积</w:t>
      </w:r>
      <w:r>
        <w:rPr>
          <w:spacing w:val="-3"/>
        </w:rPr>
        <w:t>（</w:t>
      </w:r>
      <w:r>
        <w:rPr/>
        <w:t>㎡/A</w:t>
      </w:r>
      <w:r>
        <w:rPr>
          <w:spacing w:val="6"/>
        </w:rPr>
        <w:t> </w:t>
      </w:r>
      <w:r>
        <w:rPr/>
        <w:t>或</w:t>
      </w:r>
      <w:r>
        <w:rPr>
          <w:spacing w:val="5"/>
        </w:rPr>
        <w:t> </w:t>
      </w:r>
      <w:r>
        <w:rPr/>
        <w:t>㎡/B）； </w:t>
      </w:r>
      <w:r>
        <w:rPr>
          <w:i/>
          <w:sz w:val="22"/>
        </w:rPr>
        <w:t>K</w:t>
      </w:r>
      <w:r>
        <w:rPr>
          <w:i/>
          <w:spacing w:val="-6"/>
          <w:sz w:val="22"/>
        </w:rPr>
        <w:t> </w:t>
      </w:r>
      <w:r>
        <w:rPr/>
        <w:t>——修</w:t>
      </w:r>
      <w:r>
        <w:rPr>
          <w:spacing w:val="-3"/>
        </w:rPr>
        <w:t>正</w:t>
      </w:r>
      <w:r>
        <w:rPr/>
        <w:t>系</w:t>
      </w:r>
      <w:r>
        <w:rPr>
          <w:spacing w:val="-3"/>
        </w:rPr>
        <w:t>数</w:t>
      </w:r>
      <w:r>
        <w:rPr/>
        <w:t>。</w:t>
      </w:r>
      <w:r>
        <w:rPr>
          <w:b/>
          <w:w w:val="99"/>
        </w:rPr>
        <w:t> </w:t>
      </w:r>
      <w:r>
        <w:rPr>
          <w:b/>
        </w:rPr>
        <w:tab/>
      </w:r>
      <w:hyperlink r:id="rId211">
        <w:r>
          <w:rPr>
            <w:w w:val="100"/>
          </w:rPr>
          <w:t> </w:t>
        </w:r>
      </w:hyperlink>
      <w:r>
        <w:rPr>
          <w:w w:val="100"/>
        </w:rPr>
        <w:t> </w:t>
      </w:r>
    </w:p>
    <w:p>
      <w:pPr>
        <w:pStyle w:val="ListParagraph"/>
        <w:numPr>
          <w:ilvl w:val="2"/>
          <w:numId w:val="346"/>
        </w:numPr>
        <w:tabs>
          <w:tab w:pos="1371" w:val="left" w:leader="none"/>
        </w:tabs>
        <w:spacing w:line="240" w:lineRule="auto" w:before="11" w:after="0"/>
        <w:ind w:left="1370" w:right="0" w:hanging="531"/>
        <w:jc w:val="left"/>
        <w:rPr>
          <w:b/>
          <w:sz w:val="21"/>
        </w:rPr>
      </w:pPr>
      <w:r>
        <w:rPr>
          <w:spacing w:val="-3"/>
          <w:sz w:val="21"/>
        </w:rPr>
        <w:t>修正系数应按表 </w:t>
      </w:r>
      <w:r>
        <w:rPr>
          <w:sz w:val="21"/>
        </w:rPr>
        <w:t>7.3.2</w:t>
      </w:r>
      <w:r>
        <w:rPr>
          <w:spacing w:val="-3"/>
          <w:sz w:val="21"/>
        </w:rPr>
        <w:t> 的规定取值。</w:t>
      </w:r>
      <w:r>
        <w:rPr>
          <w:b/>
          <w:w w:val="99"/>
          <w:sz w:val="21"/>
        </w:rPr>
        <w:t> </w:t>
      </w:r>
    </w:p>
    <w:p>
      <w:pPr>
        <w:pStyle w:val="Heading6"/>
        <w:spacing w:before="91" w:after="15"/>
        <w:ind w:left="3867"/>
      </w:pPr>
      <w:r>
        <w:rPr>
          <w:spacing w:val="-51"/>
        </w:rPr>
        <w:t>表 </w:t>
      </w:r>
      <w:r>
        <w:rPr/>
        <w:t>7.3.2</w:t>
      </w:r>
      <w:r>
        <w:rPr>
          <w:spacing w:val="19"/>
        </w:rPr>
        <w:t> 修正系数</w:t>
      </w:r>
      <w:r>
        <w:rPr>
          <w:spacing w:val="19"/>
          <w:w w:val="99"/>
        </w:rPr>
        <w:t> </w:t>
      </w: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4"/>
        <w:gridCol w:w="3262"/>
      </w:tblGrid>
      <w:tr>
        <w:trPr>
          <w:trHeight w:val="272" w:hRule="atLeast"/>
        </w:trPr>
        <w:tc>
          <w:tcPr>
            <w:tcW w:w="5514" w:type="dxa"/>
          </w:tcPr>
          <w:p>
            <w:pPr>
              <w:pStyle w:val="TableParagraph"/>
              <w:spacing w:line="251" w:lineRule="exact"/>
              <w:ind w:left="2158" w:right="2041"/>
              <w:jc w:val="center"/>
              <w:rPr>
                <w:sz w:val="21"/>
              </w:rPr>
            </w:pPr>
            <w:r>
              <w:rPr>
                <w:sz w:val="21"/>
              </w:rPr>
              <w:t>计算单元 </w:t>
            </w:r>
          </w:p>
        </w:tc>
        <w:tc>
          <w:tcPr>
            <w:tcW w:w="3262" w:type="dxa"/>
          </w:tcPr>
          <w:p>
            <w:pPr>
              <w:pStyle w:val="TableParagraph"/>
              <w:spacing w:line="242" w:lineRule="exact" w:before="10"/>
              <w:ind w:left="1609" w:right="1492"/>
              <w:jc w:val="center"/>
              <w:rPr>
                <w:sz w:val="21"/>
              </w:rPr>
            </w:pPr>
            <w:r>
              <w:rPr>
                <w:sz w:val="21"/>
              </w:rPr>
              <w:t>K </w:t>
            </w:r>
          </w:p>
        </w:tc>
      </w:tr>
      <w:tr>
        <w:trPr>
          <w:trHeight w:val="299" w:hRule="atLeast"/>
        </w:trPr>
        <w:tc>
          <w:tcPr>
            <w:tcW w:w="5514" w:type="dxa"/>
          </w:tcPr>
          <w:p>
            <w:pPr>
              <w:pStyle w:val="TableParagraph"/>
              <w:spacing w:line="263" w:lineRule="exact"/>
              <w:ind w:left="107"/>
              <w:rPr>
                <w:sz w:val="21"/>
              </w:rPr>
            </w:pPr>
            <w:r>
              <w:rPr>
                <w:sz w:val="21"/>
              </w:rPr>
              <w:t>未设室内消火栓系统和灭火系统 </w:t>
            </w:r>
          </w:p>
        </w:tc>
        <w:tc>
          <w:tcPr>
            <w:tcW w:w="3262" w:type="dxa"/>
          </w:tcPr>
          <w:p>
            <w:pPr>
              <w:pStyle w:val="TableParagraph"/>
              <w:spacing w:line="257" w:lineRule="exact" w:before="22"/>
              <w:ind w:left="829"/>
              <w:rPr>
                <w:sz w:val="21"/>
              </w:rPr>
            </w:pPr>
            <w:r>
              <w:rPr>
                <w:sz w:val="21"/>
              </w:rPr>
              <w:t>1.0 </w:t>
            </w:r>
          </w:p>
        </w:tc>
      </w:tr>
      <w:tr>
        <w:trPr>
          <w:trHeight w:val="272" w:hRule="atLeast"/>
        </w:trPr>
        <w:tc>
          <w:tcPr>
            <w:tcW w:w="5514" w:type="dxa"/>
          </w:tcPr>
          <w:p>
            <w:pPr>
              <w:pStyle w:val="TableParagraph"/>
              <w:spacing w:line="251" w:lineRule="exact"/>
              <w:ind w:left="107"/>
              <w:rPr>
                <w:sz w:val="21"/>
              </w:rPr>
            </w:pPr>
            <w:r>
              <w:rPr>
                <w:sz w:val="21"/>
              </w:rPr>
              <w:t>设有室内消火栓系统 </w:t>
            </w:r>
          </w:p>
        </w:tc>
        <w:tc>
          <w:tcPr>
            <w:tcW w:w="3262" w:type="dxa"/>
          </w:tcPr>
          <w:p>
            <w:pPr>
              <w:pStyle w:val="TableParagraph"/>
              <w:spacing w:line="243" w:lineRule="exact" w:before="10"/>
              <w:ind w:left="829"/>
              <w:rPr>
                <w:sz w:val="21"/>
              </w:rPr>
            </w:pPr>
            <w:r>
              <w:rPr>
                <w:sz w:val="21"/>
              </w:rPr>
              <w:t>0.9 </w:t>
            </w:r>
          </w:p>
        </w:tc>
      </w:tr>
      <w:tr>
        <w:trPr>
          <w:trHeight w:val="273" w:hRule="atLeast"/>
        </w:trPr>
        <w:tc>
          <w:tcPr>
            <w:tcW w:w="5514" w:type="dxa"/>
          </w:tcPr>
          <w:p>
            <w:pPr>
              <w:pStyle w:val="TableParagraph"/>
              <w:spacing w:line="251" w:lineRule="exact"/>
              <w:ind w:left="2158" w:right="2041"/>
              <w:jc w:val="center"/>
              <w:rPr>
                <w:sz w:val="21"/>
              </w:rPr>
            </w:pPr>
            <w:r>
              <w:rPr>
                <w:sz w:val="21"/>
              </w:rPr>
              <w:t>设有灭火系统 </w:t>
            </w:r>
          </w:p>
        </w:tc>
        <w:tc>
          <w:tcPr>
            <w:tcW w:w="3262" w:type="dxa"/>
          </w:tcPr>
          <w:p>
            <w:pPr>
              <w:pStyle w:val="TableParagraph"/>
              <w:spacing w:line="240" w:lineRule="exact" w:before="13"/>
              <w:ind w:left="829"/>
              <w:rPr>
                <w:sz w:val="21"/>
              </w:rPr>
            </w:pPr>
            <w:r>
              <w:rPr>
                <w:sz w:val="21"/>
              </w:rPr>
              <w:t>0.7 </w:t>
            </w:r>
          </w:p>
        </w:tc>
      </w:tr>
      <w:tr>
        <w:trPr>
          <w:trHeight w:val="273" w:hRule="atLeast"/>
        </w:trPr>
        <w:tc>
          <w:tcPr>
            <w:tcW w:w="5514" w:type="dxa"/>
          </w:tcPr>
          <w:p>
            <w:pPr>
              <w:pStyle w:val="TableParagraph"/>
              <w:spacing w:line="253" w:lineRule="exact"/>
              <w:ind w:left="107"/>
              <w:rPr>
                <w:sz w:val="21"/>
              </w:rPr>
            </w:pPr>
            <w:r>
              <w:rPr>
                <w:sz w:val="21"/>
              </w:rPr>
              <w:t>设有室内消火栓系统和灭火系统 </w:t>
            </w:r>
          </w:p>
        </w:tc>
        <w:tc>
          <w:tcPr>
            <w:tcW w:w="3262" w:type="dxa"/>
          </w:tcPr>
          <w:p>
            <w:pPr>
              <w:pStyle w:val="TableParagraph"/>
              <w:spacing w:line="242" w:lineRule="exact" w:before="11"/>
              <w:ind w:left="829"/>
              <w:rPr>
                <w:sz w:val="21"/>
              </w:rPr>
            </w:pPr>
            <w:r>
              <w:rPr>
                <w:sz w:val="21"/>
              </w:rPr>
              <w:t>0.5 </w:t>
            </w:r>
          </w:p>
        </w:tc>
      </w:tr>
      <w:tr>
        <w:trPr>
          <w:trHeight w:val="916" w:hRule="atLeast"/>
        </w:trPr>
        <w:tc>
          <w:tcPr>
            <w:tcW w:w="5514" w:type="dxa"/>
          </w:tcPr>
          <w:p>
            <w:pPr>
              <w:pStyle w:val="TableParagraph"/>
              <w:spacing w:line="213" w:lineRule="auto" w:before="12"/>
              <w:ind w:left="1386" w:right="1349" w:hanging="1198"/>
              <w:rPr>
                <w:sz w:val="21"/>
              </w:rPr>
            </w:pPr>
            <w:r>
              <w:rPr>
                <w:sz w:val="21"/>
              </w:rPr>
              <w:t>可燃物露天堆场 甲、乙、丙类液体储罐区可燃气体储罐区 </w:t>
            </w:r>
          </w:p>
        </w:tc>
        <w:tc>
          <w:tcPr>
            <w:tcW w:w="3262" w:type="dxa"/>
          </w:tcPr>
          <w:p>
            <w:pPr>
              <w:pStyle w:val="TableParagraph"/>
              <w:spacing w:line="115" w:lineRule="exact"/>
              <w:ind w:left="107"/>
              <w:rPr>
                <w:sz w:val="13"/>
              </w:rPr>
            </w:pPr>
            <w:r>
              <w:rPr>
                <w:w w:val="99"/>
                <w:sz w:val="13"/>
              </w:rPr>
              <w:t> </w:t>
            </w:r>
          </w:p>
          <w:p>
            <w:pPr>
              <w:pStyle w:val="TableParagraph"/>
              <w:spacing w:line="224" w:lineRule="exact"/>
              <w:ind w:left="107"/>
              <w:rPr>
                <w:sz w:val="20"/>
              </w:rPr>
            </w:pPr>
            <w:r>
              <w:rPr>
                <w:w w:val="99"/>
                <w:sz w:val="20"/>
              </w:rPr>
              <w:t> </w:t>
            </w:r>
          </w:p>
          <w:p>
            <w:pPr>
              <w:pStyle w:val="TableParagraph"/>
              <w:spacing w:line="262" w:lineRule="exact"/>
              <w:ind w:left="829"/>
              <w:rPr>
                <w:sz w:val="21"/>
              </w:rPr>
            </w:pPr>
            <w:r>
              <w:rPr>
                <w:sz w:val="21"/>
              </w:rPr>
              <w:t>0.3 </w:t>
            </w:r>
          </w:p>
        </w:tc>
      </w:tr>
    </w:tbl>
    <w:p>
      <w:pPr>
        <w:pStyle w:val="BodyText"/>
        <w:spacing w:before="12"/>
        <w:rPr>
          <w:b/>
          <w:sz w:val="14"/>
        </w:rPr>
      </w:pPr>
    </w:p>
    <w:p>
      <w:pPr>
        <w:pStyle w:val="ListParagraph"/>
        <w:numPr>
          <w:ilvl w:val="2"/>
          <w:numId w:val="346"/>
        </w:numPr>
        <w:tabs>
          <w:tab w:pos="1371" w:val="left" w:leader="none"/>
        </w:tabs>
        <w:spacing w:line="391" w:lineRule="auto" w:before="0" w:after="0"/>
        <w:ind w:left="418" w:right="1788" w:firstLine="422"/>
        <w:jc w:val="left"/>
        <w:rPr>
          <w:sz w:val="24"/>
        </w:rPr>
      </w:pPr>
      <w:r>
        <w:rPr>
          <w:spacing w:val="-12"/>
          <w:sz w:val="24"/>
        </w:rPr>
        <w:t>歌舞娱乐放映游艺场所、网吧、商场、寺庙以及地下场所等的计算单元</w:t>
      </w:r>
      <w:r>
        <w:rPr>
          <w:spacing w:val="-7"/>
          <w:sz w:val="24"/>
        </w:rPr>
        <w:t>的最小需配灭火级别应 按下式计算： </w:t>
      </w:r>
      <w:r>
        <w:rPr>
          <w:spacing w:val="26"/>
          <w:sz w:val="24"/>
        </w:rPr>
        <w:t> </w:t>
      </w:r>
      <w:r>
        <w:rPr>
          <w:sz w:val="24"/>
        </w:rPr>
        <w:t> </w:t>
      </w:r>
    </w:p>
    <w:p>
      <w:pPr>
        <w:spacing w:before="20"/>
        <w:ind w:left="1193" w:right="0" w:firstLine="0"/>
        <w:jc w:val="left"/>
        <w:rPr>
          <w:sz w:val="24"/>
        </w:rPr>
      </w:pPr>
      <w:r>
        <w:rPr>
          <w:i/>
          <w:sz w:val="25"/>
        </w:rPr>
        <w:t>Q </w:t>
      </w:r>
      <w:r>
        <w:rPr>
          <w:sz w:val="24"/>
        </w:rPr>
        <w:t>＝ 1.3 </w:t>
      </w:r>
      <w:r>
        <w:rPr>
          <w:i/>
          <w:sz w:val="25"/>
        </w:rPr>
        <w:t>KS </w:t>
      </w:r>
      <w:r>
        <w:rPr>
          <w:sz w:val="24"/>
        </w:rPr>
        <w:t>/ </w:t>
      </w:r>
      <w:r>
        <w:rPr>
          <w:i/>
          <w:sz w:val="25"/>
        </w:rPr>
        <w:t>U </w:t>
      </w:r>
      <w:r>
        <w:rPr>
          <w:sz w:val="24"/>
        </w:rPr>
        <w:t>( 7 . 3 . 3 )  </w:t>
      </w:r>
    </w:p>
    <w:p>
      <w:pPr>
        <w:pStyle w:val="BodyText"/>
        <w:spacing w:before="9"/>
        <w:rPr>
          <w:sz w:val="19"/>
        </w:rPr>
      </w:pPr>
    </w:p>
    <w:p>
      <w:pPr>
        <w:pStyle w:val="ListParagraph"/>
        <w:numPr>
          <w:ilvl w:val="2"/>
          <w:numId w:val="346"/>
        </w:numPr>
        <w:tabs>
          <w:tab w:pos="1528" w:val="left" w:leader="none"/>
        </w:tabs>
        <w:spacing w:line="240" w:lineRule="auto" w:before="0" w:after="0"/>
        <w:ind w:left="1527" w:right="0" w:hanging="530"/>
        <w:jc w:val="left"/>
        <w:rPr>
          <w:sz w:val="21"/>
        </w:rPr>
      </w:pPr>
      <w:r>
        <w:rPr>
          <w:spacing w:val="-3"/>
          <w:sz w:val="21"/>
        </w:rPr>
        <w:t>计算单元中每个灭火器设置点的最小需配灭火级别应按下式计算：</w:t>
      </w:r>
      <w:r>
        <w:rPr>
          <w:sz w:val="21"/>
        </w:rPr>
        <w:t> </w:t>
      </w:r>
    </w:p>
    <w:p>
      <w:pPr>
        <w:pStyle w:val="BodyText"/>
        <w:rPr>
          <w:sz w:val="15"/>
        </w:rPr>
      </w:pPr>
    </w:p>
    <w:p>
      <w:pPr>
        <w:spacing w:before="0"/>
        <w:ind w:left="2981" w:right="0" w:firstLine="0"/>
        <w:jc w:val="left"/>
        <w:rPr>
          <w:sz w:val="24"/>
        </w:rPr>
      </w:pPr>
      <w:r>
        <w:rPr>
          <w:i/>
          <w:w w:val="96"/>
          <w:position w:val="2"/>
          <w:sz w:val="25"/>
        </w:rPr>
        <w:t>Q</w:t>
      </w:r>
      <w:r>
        <w:rPr>
          <w:sz w:val="12"/>
        </w:rPr>
        <w:t>e＝</w:t>
      </w:r>
      <w:r>
        <w:rPr>
          <w:position w:val="2"/>
          <w:sz w:val="24"/>
        </w:rPr>
        <w:t>Q/</w:t>
      </w:r>
      <w:r>
        <w:rPr>
          <w:i/>
          <w:w w:val="96"/>
          <w:position w:val="2"/>
          <w:sz w:val="25"/>
        </w:rPr>
        <w:t>N                  </w:t>
      </w:r>
      <w:r>
        <w:rPr>
          <w:position w:val="2"/>
          <w:sz w:val="24"/>
        </w:rPr>
        <w:t>(7.3.4) </w:t>
      </w:r>
    </w:p>
    <w:p>
      <w:pPr>
        <w:pStyle w:val="BodyText"/>
        <w:spacing w:before="9"/>
        <w:rPr>
          <w:sz w:val="20"/>
        </w:rPr>
      </w:pPr>
    </w:p>
    <w:p>
      <w:pPr>
        <w:pStyle w:val="BodyText"/>
        <w:ind w:left="838"/>
      </w:pPr>
      <w:r>
        <w:rPr/>
        <w:t>式中 </w:t>
      </w:r>
      <w:r>
        <w:rPr>
          <w:i/>
          <w:sz w:val="22"/>
        </w:rPr>
        <w:t>Q</w:t>
      </w:r>
      <w:r>
        <w:rPr>
          <w:position w:val="-2"/>
          <w:sz w:val="11"/>
        </w:rPr>
        <w:t>e</w:t>
      </w:r>
      <w:r>
        <w:rPr/>
        <w:t>——计算单元中每个灭火器设置点的最小需配灭火级别（A 或 B） ； </w:t>
      </w:r>
    </w:p>
    <w:p>
      <w:pPr>
        <w:pStyle w:val="BodyText"/>
        <w:spacing w:before="1"/>
        <w:rPr>
          <w:sz w:val="17"/>
        </w:rPr>
      </w:pPr>
    </w:p>
    <w:p>
      <w:pPr>
        <w:tabs>
          <w:tab w:pos="5367" w:val="left" w:leader="none"/>
          <w:tab w:pos="5878" w:val="left" w:leader="none"/>
        </w:tabs>
        <w:spacing w:line="477" w:lineRule="auto" w:before="1"/>
        <w:ind w:left="840" w:right="4554" w:hanging="3"/>
        <w:jc w:val="left"/>
        <w:rPr>
          <w:sz w:val="21"/>
        </w:rPr>
      </w:pPr>
      <w:r>
        <w:rPr>
          <w:i/>
          <w:sz w:val="22"/>
        </w:rPr>
        <w:t>N</w:t>
      </w:r>
      <w:r>
        <w:rPr>
          <w:i/>
          <w:spacing w:val="14"/>
          <w:sz w:val="22"/>
        </w:rPr>
        <w:t> </w:t>
      </w:r>
      <w:r>
        <w:rPr>
          <w:spacing w:val="-6"/>
          <w:sz w:val="21"/>
        </w:rPr>
        <w:t>——</w:t>
      </w:r>
      <w:r>
        <w:rPr>
          <w:spacing w:val="-5"/>
          <w:sz w:val="21"/>
        </w:rPr>
        <w:t>计</w:t>
      </w:r>
      <w:r>
        <w:rPr>
          <w:spacing w:val="-3"/>
          <w:sz w:val="21"/>
        </w:rPr>
        <w:t>算</w:t>
      </w:r>
      <w:r>
        <w:rPr>
          <w:spacing w:val="-8"/>
          <w:sz w:val="21"/>
        </w:rPr>
        <w:t>单</w:t>
      </w:r>
      <w:r>
        <w:rPr>
          <w:spacing w:val="-3"/>
          <w:sz w:val="21"/>
        </w:rPr>
        <w:t>元</w:t>
      </w:r>
      <w:r>
        <w:rPr>
          <w:spacing w:val="-8"/>
          <w:sz w:val="21"/>
        </w:rPr>
        <w:t>中</w:t>
      </w:r>
      <w:r>
        <w:rPr>
          <w:spacing w:val="-5"/>
          <w:sz w:val="21"/>
        </w:rPr>
        <w:t>的</w:t>
      </w:r>
      <w:r>
        <w:rPr>
          <w:spacing w:val="-3"/>
          <w:sz w:val="21"/>
        </w:rPr>
        <w:t>灭火</w:t>
      </w:r>
      <w:r>
        <w:rPr>
          <w:spacing w:val="-5"/>
          <w:sz w:val="21"/>
        </w:rPr>
        <w:t>器</w:t>
      </w:r>
      <w:r>
        <w:rPr>
          <w:spacing w:val="-3"/>
          <w:sz w:val="21"/>
        </w:rPr>
        <w:t>设</w:t>
      </w:r>
      <w:r>
        <w:rPr>
          <w:spacing w:val="-8"/>
          <w:sz w:val="21"/>
        </w:rPr>
        <w:t>置</w:t>
      </w:r>
      <w:r>
        <w:rPr>
          <w:spacing w:val="-3"/>
          <w:sz w:val="21"/>
        </w:rPr>
        <w:t>点</w:t>
      </w:r>
      <w:r>
        <w:rPr>
          <w:spacing w:val="-5"/>
          <w:sz w:val="21"/>
        </w:rPr>
        <w:t>数</w:t>
      </w:r>
      <w:r>
        <w:rPr>
          <w:spacing w:val="-3"/>
          <w:sz w:val="21"/>
        </w:rPr>
        <w:t>（</w:t>
      </w:r>
      <w:r>
        <w:rPr>
          <w:spacing w:val="-8"/>
          <w:sz w:val="21"/>
        </w:rPr>
        <w:t>个</w:t>
      </w:r>
      <w:r>
        <w:rPr>
          <w:sz w:val="21"/>
        </w:rPr>
        <w:t>）</w:t>
      </w:r>
      <w:r>
        <w:rPr>
          <w:spacing w:val="-3"/>
          <w:sz w:val="21"/>
        </w:rPr>
        <w:t>。</w:t>
      </w:r>
      <w:r>
        <w:rPr>
          <w:b/>
          <w:w w:val="99"/>
          <w:sz w:val="21"/>
        </w:rPr>
        <w:t> </w:t>
      </w:r>
      <w:r>
        <w:rPr>
          <w:b/>
          <w:sz w:val="21"/>
        </w:rPr>
        <w:tab/>
      </w:r>
      <w:hyperlink r:id="rId212">
        <w:r>
          <w:rPr>
            <w:b/>
            <w:w w:val="99"/>
            <w:sz w:val="21"/>
          </w:rPr>
          <w:t> </w:t>
        </w:r>
      </w:hyperlink>
      <w:r>
        <w:rPr>
          <w:b/>
          <w:w w:val="99"/>
          <w:sz w:val="21"/>
        </w:rPr>
        <w:t>  </w:t>
      </w:r>
      <w:r>
        <w:rPr>
          <w:b/>
          <w:sz w:val="21"/>
        </w:rPr>
        <w:t>7.3.5 </w:t>
      </w:r>
      <w:r>
        <w:rPr>
          <w:b/>
          <w:spacing w:val="11"/>
          <w:sz w:val="21"/>
        </w:rPr>
        <w:t> </w:t>
      </w:r>
      <w:r>
        <w:rPr>
          <w:spacing w:val="-3"/>
          <w:sz w:val="21"/>
        </w:rPr>
        <w:t>灭</w:t>
      </w:r>
      <w:r>
        <w:rPr>
          <w:spacing w:val="-5"/>
          <w:sz w:val="21"/>
        </w:rPr>
        <w:t>火</w:t>
      </w:r>
      <w:r>
        <w:rPr>
          <w:spacing w:val="-3"/>
          <w:sz w:val="21"/>
        </w:rPr>
        <w:t>器</w:t>
      </w:r>
      <w:r>
        <w:rPr>
          <w:spacing w:val="-8"/>
          <w:sz w:val="21"/>
        </w:rPr>
        <w:t>配</w:t>
      </w:r>
      <w:r>
        <w:rPr>
          <w:sz w:val="21"/>
        </w:rPr>
        <w:t>置</w:t>
      </w:r>
      <w:r>
        <w:rPr>
          <w:spacing w:val="-5"/>
          <w:sz w:val="21"/>
        </w:rPr>
        <w:t>的</w:t>
      </w:r>
      <w:r>
        <w:rPr>
          <w:spacing w:val="-3"/>
          <w:sz w:val="21"/>
        </w:rPr>
        <w:t>设</w:t>
      </w:r>
      <w:r>
        <w:rPr>
          <w:spacing w:val="-8"/>
          <w:sz w:val="21"/>
        </w:rPr>
        <w:t>计</w:t>
      </w:r>
      <w:r>
        <w:rPr>
          <w:spacing w:val="-5"/>
          <w:sz w:val="21"/>
        </w:rPr>
        <w:t>计</w:t>
      </w:r>
      <w:r>
        <w:rPr>
          <w:spacing w:val="-3"/>
          <w:sz w:val="21"/>
        </w:rPr>
        <w:t>算可</w:t>
      </w:r>
      <w:r>
        <w:rPr>
          <w:spacing w:val="-5"/>
          <w:sz w:val="21"/>
        </w:rPr>
        <w:t>按</w:t>
      </w:r>
      <w:r>
        <w:rPr>
          <w:spacing w:val="-3"/>
          <w:sz w:val="21"/>
        </w:rPr>
        <w:t>下</w:t>
      </w:r>
      <w:r>
        <w:rPr>
          <w:spacing w:val="-8"/>
          <w:sz w:val="21"/>
        </w:rPr>
        <w:t>述</w:t>
      </w:r>
      <w:r>
        <w:rPr>
          <w:spacing w:val="-3"/>
          <w:sz w:val="21"/>
        </w:rPr>
        <w:t>程</w:t>
      </w:r>
      <w:r>
        <w:rPr>
          <w:spacing w:val="-5"/>
          <w:sz w:val="21"/>
        </w:rPr>
        <w:t>序</w:t>
      </w:r>
      <w:r>
        <w:rPr>
          <w:sz w:val="21"/>
        </w:rPr>
        <w:t>进</w:t>
      </w:r>
      <w:r>
        <w:rPr>
          <w:spacing w:val="-8"/>
          <w:sz w:val="21"/>
        </w:rPr>
        <w:t>行</w:t>
      </w:r>
      <w:r>
        <w:rPr>
          <w:spacing w:val="-3"/>
          <w:sz w:val="21"/>
        </w:rPr>
        <w:t>：</w:t>
      </w:r>
      <w:r>
        <w:rPr>
          <w:sz w:val="21"/>
        </w:rPr>
        <w:t> </w:t>
        <w:tab/>
      </w:r>
      <w:hyperlink r:id="rId213">
        <w:r>
          <w:rPr>
            <w:color w:val="D0CECE"/>
            <w:w w:val="100"/>
            <w:sz w:val="21"/>
            <w:u w:val="single" w:color="D0CECE"/>
          </w:rPr>
          <w:t> </w:t>
        </w:r>
      </w:hyperlink>
      <w:r>
        <w:rPr>
          <w:w w:val="100"/>
          <w:sz w:val="21"/>
        </w:rPr>
        <w:t> </w:t>
      </w:r>
    </w:p>
    <w:p>
      <w:pPr>
        <w:pStyle w:val="ListParagraph"/>
        <w:numPr>
          <w:ilvl w:val="0"/>
          <w:numId w:val="349"/>
        </w:numPr>
        <w:tabs>
          <w:tab w:pos="1367" w:val="left" w:leader="none"/>
        </w:tabs>
        <w:spacing w:line="240" w:lineRule="auto" w:before="10" w:after="0"/>
        <w:ind w:left="1367" w:right="0" w:hanging="529"/>
        <w:jc w:val="left"/>
        <w:rPr>
          <w:sz w:val="21"/>
        </w:rPr>
      </w:pPr>
      <w:r>
        <w:rPr>
          <w:spacing w:val="-8"/>
          <w:sz w:val="21"/>
        </w:rPr>
        <w:t>确定各灭火器配置场所的火灾种类和危险等级；</w:t>
      </w:r>
      <w:r>
        <w:rPr>
          <w:sz w:val="21"/>
        </w:rPr>
        <w:t> </w:t>
      </w:r>
    </w:p>
    <w:p>
      <w:pPr>
        <w:pStyle w:val="BodyText"/>
        <w:spacing w:before="12"/>
      </w:pPr>
    </w:p>
    <w:p>
      <w:pPr>
        <w:pStyle w:val="ListParagraph"/>
        <w:numPr>
          <w:ilvl w:val="0"/>
          <w:numId w:val="349"/>
        </w:numPr>
        <w:tabs>
          <w:tab w:pos="1367" w:val="left" w:leader="none"/>
        </w:tabs>
        <w:spacing w:line="240" w:lineRule="auto" w:before="0" w:after="0"/>
        <w:ind w:left="1367" w:right="0" w:hanging="529"/>
        <w:jc w:val="left"/>
        <w:rPr>
          <w:sz w:val="21"/>
        </w:rPr>
      </w:pPr>
      <w:r>
        <w:rPr>
          <w:spacing w:val="-8"/>
          <w:sz w:val="21"/>
        </w:rPr>
        <w:t>划分计算单元，计算各计算单元的保护面积；</w:t>
      </w:r>
      <w:r>
        <w:rPr>
          <w:sz w:val="21"/>
        </w:rPr>
        <w:t> </w:t>
      </w:r>
    </w:p>
    <w:p>
      <w:pPr>
        <w:pStyle w:val="BodyText"/>
        <w:spacing w:before="9"/>
      </w:pPr>
    </w:p>
    <w:p>
      <w:pPr>
        <w:pStyle w:val="ListParagraph"/>
        <w:numPr>
          <w:ilvl w:val="0"/>
          <w:numId w:val="349"/>
        </w:numPr>
        <w:tabs>
          <w:tab w:pos="1367" w:val="left" w:leader="none"/>
        </w:tabs>
        <w:spacing w:line="240" w:lineRule="auto" w:before="0" w:after="0"/>
        <w:ind w:left="1367" w:right="0" w:hanging="529"/>
        <w:jc w:val="left"/>
        <w:rPr>
          <w:sz w:val="21"/>
        </w:rPr>
      </w:pPr>
      <w:r>
        <w:rPr>
          <w:spacing w:val="-7"/>
          <w:sz w:val="21"/>
        </w:rPr>
        <w:t>计算各计算单元的最小需配灭火级别；</w:t>
      </w:r>
      <w:r>
        <w:rPr>
          <w:sz w:val="21"/>
        </w:rPr>
        <w:t> </w:t>
      </w:r>
    </w:p>
    <w:p>
      <w:pPr>
        <w:pStyle w:val="BodyText"/>
        <w:spacing w:before="1"/>
        <w:rPr>
          <w:sz w:val="22"/>
        </w:rPr>
      </w:pPr>
    </w:p>
    <w:p>
      <w:pPr>
        <w:pStyle w:val="ListParagraph"/>
        <w:numPr>
          <w:ilvl w:val="0"/>
          <w:numId w:val="349"/>
        </w:numPr>
        <w:tabs>
          <w:tab w:pos="1367" w:val="left" w:leader="none"/>
        </w:tabs>
        <w:spacing w:line="240" w:lineRule="auto" w:before="0" w:after="0"/>
        <w:ind w:left="1367" w:right="0" w:hanging="529"/>
        <w:jc w:val="left"/>
        <w:rPr>
          <w:sz w:val="21"/>
        </w:rPr>
      </w:pPr>
      <w:r>
        <w:rPr>
          <w:spacing w:val="-8"/>
          <w:sz w:val="21"/>
        </w:rPr>
        <w:t>确定各计算单元中的灭火器设置点的位置和数量；</w:t>
      </w:r>
      <w:r>
        <w:rPr>
          <w:sz w:val="21"/>
        </w:rPr>
        <w:t> </w:t>
      </w:r>
    </w:p>
    <w:p>
      <w:pPr>
        <w:spacing w:after="0" w:line="240" w:lineRule="auto"/>
        <w:jc w:val="left"/>
        <w:rPr>
          <w:sz w:val="21"/>
        </w:rPr>
        <w:sectPr>
          <w:pgSz w:w="11910" w:h="16850"/>
          <w:pgMar w:header="0" w:footer="1159" w:top="1220" w:bottom="1420" w:left="1260" w:right="0"/>
        </w:sectPr>
      </w:pPr>
    </w:p>
    <w:p>
      <w:pPr>
        <w:pStyle w:val="ListParagraph"/>
        <w:numPr>
          <w:ilvl w:val="0"/>
          <w:numId w:val="349"/>
        </w:numPr>
        <w:tabs>
          <w:tab w:pos="1367" w:val="left" w:leader="none"/>
        </w:tabs>
        <w:spacing w:line="240" w:lineRule="auto" w:before="45" w:after="0"/>
        <w:ind w:left="1367" w:right="0" w:hanging="529"/>
        <w:jc w:val="left"/>
        <w:rPr>
          <w:sz w:val="21"/>
        </w:rPr>
      </w:pPr>
      <w:r>
        <w:rPr>
          <w:spacing w:val="-8"/>
          <w:sz w:val="21"/>
        </w:rPr>
        <w:t>计算每个灭火器设置点的最小需配灭火级别； </w:t>
      </w:r>
    </w:p>
    <w:p>
      <w:pPr>
        <w:pStyle w:val="BodyText"/>
        <w:spacing w:before="12"/>
      </w:pPr>
    </w:p>
    <w:p>
      <w:pPr>
        <w:pStyle w:val="ListParagraph"/>
        <w:numPr>
          <w:ilvl w:val="0"/>
          <w:numId w:val="349"/>
        </w:numPr>
        <w:tabs>
          <w:tab w:pos="1367" w:val="left" w:leader="none"/>
        </w:tabs>
        <w:spacing w:line="240" w:lineRule="auto" w:before="0" w:after="0"/>
        <w:ind w:left="1367" w:right="0" w:hanging="529"/>
        <w:jc w:val="left"/>
        <w:rPr>
          <w:sz w:val="21"/>
        </w:rPr>
      </w:pPr>
      <w:r>
        <w:rPr>
          <w:spacing w:val="-8"/>
          <w:sz w:val="21"/>
        </w:rPr>
        <w:t>确定每个设置点灭火器的类型、规格与数量；</w:t>
      </w:r>
      <w:r>
        <w:rPr>
          <w:sz w:val="21"/>
        </w:rPr>
        <w:t> </w:t>
      </w:r>
    </w:p>
    <w:p>
      <w:pPr>
        <w:pStyle w:val="BodyText"/>
        <w:spacing w:before="11"/>
      </w:pPr>
    </w:p>
    <w:p>
      <w:pPr>
        <w:pStyle w:val="ListParagraph"/>
        <w:numPr>
          <w:ilvl w:val="0"/>
          <w:numId w:val="349"/>
        </w:numPr>
        <w:tabs>
          <w:tab w:pos="1367" w:val="left" w:leader="none"/>
        </w:tabs>
        <w:spacing w:line="240" w:lineRule="auto" w:before="0" w:after="0"/>
        <w:ind w:left="1367" w:right="0" w:hanging="529"/>
        <w:jc w:val="left"/>
        <w:rPr>
          <w:sz w:val="21"/>
        </w:rPr>
      </w:pPr>
      <w:r>
        <w:rPr>
          <w:spacing w:val="-7"/>
          <w:sz w:val="21"/>
        </w:rPr>
        <w:t>确定每具灭火器的设置方式和要求；</w:t>
      </w:r>
      <w:r>
        <w:rPr>
          <w:sz w:val="21"/>
        </w:rPr>
        <w:t> </w:t>
      </w:r>
    </w:p>
    <w:p>
      <w:pPr>
        <w:pStyle w:val="BodyText"/>
        <w:spacing w:before="12"/>
      </w:pPr>
    </w:p>
    <w:p>
      <w:pPr>
        <w:pStyle w:val="ListParagraph"/>
        <w:numPr>
          <w:ilvl w:val="0"/>
          <w:numId w:val="349"/>
        </w:numPr>
        <w:tabs>
          <w:tab w:pos="1367" w:val="left" w:leader="none"/>
        </w:tabs>
        <w:spacing w:line="240" w:lineRule="auto" w:before="0" w:after="0"/>
        <w:ind w:left="1367" w:right="0" w:hanging="529"/>
        <w:jc w:val="left"/>
        <w:rPr>
          <w:sz w:val="21"/>
        </w:rPr>
      </w:pPr>
      <w:r>
        <w:rPr>
          <w:spacing w:val="-8"/>
          <w:sz w:val="21"/>
        </w:rPr>
        <w:t>在工程设计图上用灭火器图例和文字标明灭火器的型号、数量与设置位置。</w:t>
      </w:r>
      <w:r>
        <w:rPr>
          <w:sz w:val="21"/>
        </w:rPr>
        <w:t> </w:t>
      </w:r>
    </w:p>
    <w:p>
      <w:pPr>
        <w:spacing w:after="0" w:line="240" w:lineRule="auto"/>
        <w:jc w:val="left"/>
        <w:rPr>
          <w:sz w:val="21"/>
        </w:rPr>
        <w:sectPr>
          <w:pgSz w:w="11910" w:h="16850"/>
          <w:pgMar w:header="0" w:footer="1159" w:top="1220" w:bottom="1420" w:left="1260" w:right="0"/>
        </w:sectPr>
      </w:pPr>
    </w:p>
    <w:p>
      <w:pPr>
        <w:pStyle w:val="Heading4"/>
        <w:spacing w:before="37"/>
        <w:ind w:left="1858"/>
      </w:pPr>
      <w:r>
        <w:rPr/>
        <w:t>附录 A 建筑灭火器配置类型、规格和灭火级别基本参数举例</w:t>
      </w:r>
      <w:r>
        <w:rPr>
          <w:w w:val="99"/>
        </w:rPr>
        <w:t> </w:t>
      </w:r>
    </w:p>
    <w:p>
      <w:pPr>
        <w:pStyle w:val="Heading6"/>
        <w:spacing w:before="193"/>
        <w:ind w:left="2677"/>
        <w:rPr>
          <w:sz w:val="18"/>
        </w:rPr>
      </w:pPr>
      <w:r>
        <w:rPr/>
        <w:t>表 A.0.1 手提式灭火器类型、规格和灭火级别</w:t>
      </w:r>
      <w:r>
        <w:rPr>
          <w:w w:val="99"/>
          <w:sz w:val="18"/>
        </w:rPr>
        <w:t> </w:t>
      </w:r>
    </w:p>
    <w:p>
      <w:pPr>
        <w:pStyle w:val="BodyText"/>
        <w:rPr>
          <w:b/>
          <w:sz w:val="20"/>
        </w:rPr>
      </w:pPr>
    </w:p>
    <w:p>
      <w:pPr>
        <w:pStyle w:val="BodyText"/>
        <w:spacing w:before="6"/>
        <w:rPr>
          <w:b/>
          <w:sz w:val="18"/>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0"/>
        <w:gridCol w:w="1241"/>
        <w:gridCol w:w="1250"/>
        <w:gridCol w:w="2530"/>
        <w:gridCol w:w="1335"/>
        <w:gridCol w:w="617"/>
      </w:tblGrid>
      <w:tr>
        <w:trPr>
          <w:trHeight w:val="299" w:hRule="atLeast"/>
        </w:trPr>
        <w:tc>
          <w:tcPr>
            <w:tcW w:w="1970" w:type="dxa"/>
            <w:vMerge w:val="restart"/>
          </w:tcPr>
          <w:p>
            <w:pPr>
              <w:pStyle w:val="TableParagraph"/>
              <w:spacing w:before="154"/>
              <w:ind w:left="458"/>
              <w:rPr>
                <w:sz w:val="24"/>
              </w:rPr>
            </w:pPr>
            <w:r>
              <w:rPr>
                <w:sz w:val="21"/>
              </w:rPr>
              <w:t>灭火器类型</w:t>
            </w:r>
            <w:r>
              <w:rPr>
                <w:sz w:val="24"/>
              </w:rPr>
              <w:t> </w:t>
            </w:r>
          </w:p>
        </w:tc>
        <w:tc>
          <w:tcPr>
            <w:tcW w:w="2491" w:type="dxa"/>
            <w:gridSpan w:val="2"/>
          </w:tcPr>
          <w:p>
            <w:pPr>
              <w:pStyle w:val="TableParagraph"/>
              <w:spacing w:line="264" w:lineRule="exact" w:before="15"/>
              <w:ind w:left="194"/>
              <w:rPr>
                <w:sz w:val="24"/>
              </w:rPr>
            </w:pPr>
            <w:r>
              <w:rPr>
                <w:sz w:val="21"/>
              </w:rPr>
              <w:t>灭火剂充装量（规格）</w:t>
            </w:r>
            <w:r>
              <w:rPr>
                <w:sz w:val="24"/>
              </w:rPr>
              <w:t> </w:t>
            </w:r>
          </w:p>
        </w:tc>
        <w:tc>
          <w:tcPr>
            <w:tcW w:w="2530" w:type="dxa"/>
            <w:vMerge w:val="restart"/>
          </w:tcPr>
          <w:p>
            <w:pPr>
              <w:pStyle w:val="TableParagraph"/>
              <w:spacing w:before="20"/>
              <w:ind w:left="351" w:right="239"/>
              <w:jc w:val="center"/>
              <w:rPr>
                <w:sz w:val="21"/>
              </w:rPr>
            </w:pPr>
            <w:r>
              <w:rPr>
                <w:sz w:val="21"/>
              </w:rPr>
              <w:t>灭火器类型规格代码 </w:t>
            </w:r>
          </w:p>
          <w:p>
            <w:pPr>
              <w:pStyle w:val="TableParagraph"/>
              <w:spacing w:before="2"/>
              <w:ind w:left="351" w:right="224"/>
              <w:jc w:val="center"/>
              <w:rPr>
                <w:sz w:val="24"/>
              </w:rPr>
            </w:pPr>
            <w:r>
              <w:rPr>
                <w:sz w:val="21"/>
              </w:rPr>
              <w:t>（型号）</w:t>
            </w:r>
            <w:r>
              <w:rPr>
                <w:sz w:val="24"/>
              </w:rPr>
              <w:t> </w:t>
            </w:r>
          </w:p>
        </w:tc>
        <w:tc>
          <w:tcPr>
            <w:tcW w:w="1952" w:type="dxa"/>
            <w:gridSpan w:val="2"/>
          </w:tcPr>
          <w:p>
            <w:pPr>
              <w:pStyle w:val="TableParagraph"/>
              <w:spacing w:line="264" w:lineRule="exact" w:before="15"/>
              <w:ind w:left="555"/>
              <w:rPr>
                <w:sz w:val="24"/>
              </w:rPr>
            </w:pPr>
            <w:r>
              <w:rPr>
                <w:sz w:val="21"/>
              </w:rPr>
              <w:t>灭火级别</w:t>
            </w:r>
            <w:r>
              <w:rPr>
                <w:sz w:val="24"/>
              </w:rPr>
              <w:t> </w:t>
            </w:r>
          </w:p>
        </w:tc>
      </w:tr>
      <w:tr>
        <w:trPr>
          <w:trHeight w:val="270" w:hRule="atLeast"/>
        </w:trPr>
        <w:tc>
          <w:tcPr>
            <w:tcW w:w="1970" w:type="dxa"/>
            <w:vMerge/>
            <w:tcBorders>
              <w:top w:val="nil"/>
            </w:tcBorders>
          </w:tcPr>
          <w:p>
            <w:pPr>
              <w:rPr>
                <w:sz w:val="2"/>
                <w:szCs w:val="2"/>
              </w:rPr>
            </w:pPr>
          </w:p>
        </w:tc>
        <w:tc>
          <w:tcPr>
            <w:tcW w:w="1241" w:type="dxa"/>
          </w:tcPr>
          <w:p>
            <w:pPr>
              <w:pStyle w:val="TableParagraph"/>
              <w:spacing w:line="250" w:lineRule="exact" w:before="1"/>
              <w:ind w:right="436"/>
              <w:jc w:val="right"/>
              <w:rPr>
                <w:sz w:val="24"/>
              </w:rPr>
            </w:pPr>
            <w:r>
              <w:rPr>
                <w:sz w:val="21"/>
              </w:rPr>
              <w:t>L</w:t>
            </w:r>
            <w:r>
              <w:rPr>
                <w:sz w:val="24"/>
              </w:rPr>
              <w:t> </w:t>
            </w:r>
          </w:p>
        </w:tc>
        <w:tc>
          <w:tcPr>
            <w:tcW w:w="1250" w:type="dxa"/>
          </w:tcPr>
          <w:p>
            <w:pPr>
              <w:pStyle w:val="TableParagraph"/>
              <w:spacing w:line="250" w:lineRule="exact" w:before="1"/>
              <w:ind w:right="387"/>
              <w:jc w:val="right"/>
              <w:rPr>
                <w:sz w:val="24"/>
              </w:rPr>
            </w:pPr>
            <w:r>
              <w:rPr>
                <w:sz w:val="21"/>
              </w:rPr>
              <w:t>kg</w:t>
            </w:r>
            <w:r>
              <w:rPr>
                <w:sz w:val="24"/>
              </w:rPr>
              <w:t> </w:t>
            </w:r>
          </w:p>
        </w:tc>
        <w:tc>
          <w:tcPr>
            <w:tcW w:w="2530" w:type="dxa"/>
            <w:vMerge/>
            <w:tcBorders>
              <w:top w:val="nil"/>
            </w:tcBorders>
          </w:tcPr>
          <w:p>
            <w:pPr>
              <w:rPr>
                <w:sz w:val="2"/>
                <w:szCs w:val="2"/>
              </w:rPr>
            </w:pPr>
          </w:p>
        </w:tc>
        <w:tc>
          <w:tcPr>
            <w:tcW w:w="1335" w:type="dxa"/>
          </w:tcPr>
          <w:p>
            <w:pPr>
              <w:pStyle w:val="TableParagraph"/>
              <w:spacing w:line="250" w:lineRule="exact" w:before="1"/>
              <w:ind w:left="286" w:right="156"/>
              <w:jc w:val="center"/>
              <w:rPr>
                <w:sz w:val="24"/>
              </w:rPr>
            </w:pPr>
            <w:r>
              <w:rPr>
                <w:sz w:val="21"/>
              </w:rPr>
              <w:t>A 类</w:t>
            </w:r>
            <w:r>
              <w:rPr>
                <w:sz w:val="24"/>
              </w:rPr>
              <w:t> </w:t>
            </w:r>
          </w:p>
        </w:tc>
        <w:tc>
          <w:tcPr>
            <w:tcW w:w="617" w:type="dxa"/>
          </w:tcPr>
          <w:p>
            <w:pPr>
              <w:pStyle w:val="TableParagraph"/>
              <w:spacing w:line="250" w:lineRule="exact" w:before="1"/>
              <w:ind w:left="142" w:right="2"/>
              <w:jc w:val="center"/>
              <w:rPr>
                <w:sz w:val="24"/>
              </w:rPr>
            </w:pPr>
            <w:r>
              <w:rPr>
                <w:sz w:val="21"/>
              </w:rPr>
              <w:t>B</w:t>
            </w:r>
            <w:r>
              <w:rPr>
                <w:spacing w:val="-28"/>
                <w:sz w:val="21"/>
              </w:rPr>
              <w:t> 类</w:t>
            </w:r>
            <w:r>
              <w:rPr>
                <w:sz w:val="24"/>
              </w:rPr>
              <w:t> </w:t>
            </w:r>
          </w:p>
        </w:tc>
      </w:tr>
      <w:tr>
        <w:trPr>
          <w:trHeight w:val="301" w:hRule="atLeast"/>
        </w:trPr>
        <w:tc>
          <w:tcPr>
            <w:tcW w:w="1970" w:type="dxa"/>
            <w:vMerge w:val="restart"/>
          </w:tcPr>
          <w:p>
            <w:pPr>
              <w:pStyle w:val="TableParagraph"/>
              <w:rPr>
                <w:b/>
                <w:sz w:val="24"/>
              </w:rPr>
            </w:pPr>
          </w:p>
          <w:p>
            <w:pPr>
              <w:pStyle w:val="TableParagraph"/>
              <w:spacing w:before="5"/>
              <w:rPr>
                <w:b/>
                <w:sz w:val="32"/>
              </w:rPr>
            </w:pPr>
          </w:p>
          <w:p>
            <w:pPr>
              <w:pStyle w:val="TableParagraph"/>
              <w:spacing w:before="1"/>
              <w:ind w:left="774"/>
              <w:rPr>
                <w:sz w:val="24"/>
              </w:rPr>
            </w:pPr>
            <w:r>
              <w:rPr>
                <w:sz w:val="21"/>
              </w:rPr>
              <w:t>水型</w:t>
            </w:r>
            <w:r>
              <w:rPr>
                <w:sz w:val="24"/>
              </w:rPr>
              <w:t> </w:t>
            </w:r>
          </w:p>
        </w:tc>
        <w:tc>
          <w:tcPr>
            <w:tcW w:w="1241" w:type="dxa"/>
            <w:vMerge w:val="restart"/>
          </w:tcPr>
          <w:p>
            <w:pPr>
              <w:pStyle w:val="TableParagraph"/>
              <w:spacing w:before="157"/>
              <w:ind w:left="607" w:right="479"/>
              <w:jc w:val="center"/>
              <w:rPr>
                <w:sz w:val="24"/>
              </w:rPr>
            </w:pPr>
            <w:r>
              <w:rPr>
                <w:sz w:val="21"/>
              </w:rPr>
              <w:t>3</w:t>
            </w:r>
            <w:r>
              <w:rPr>
                <w:sz w:val="24"/>
              </w:rPr>
              <w:t> </w:t>
            </w:r>
          </w:p>
        </w:tc>
        <w:tc>
          <w:tcPr>
            <w:tcW w:w="1250" w:type="dxa"/>
            <w:vMerge w:val="restart"/>
          </w:tcPr>
          <w:p>
            <w:pPr>
              <w:pStyle w:val="TableParagraph"/>
              <w:spacing w:before="157"/>
              <w:ind w:left="518"/>
              <w:rPr>
                <w:sz w:val="24"/>
              </w:rPr>
            </w:pPr>
            <w:r>
              <w:rPr>
                <w:sz w:val="21"/>
              </w:rPr>
              <w:t>―</w:t>
            </w:r>
            <w:r>
              <w:rPr>
                <w:sz w:val="24"/>
              </w:rPr>
              <w:t> </w:t>
            </w:r>
          </w:p>
        </w:tc>
        <w:tc>
          <w:tcPr>
            <w:tcW w:w="2530" w:type="dxa"/>
          </w:tcPr>
          <w:p>
            <w:pPr>
              <w:pStyle w:val="TableParagraph"/>
              <w:spacing w:line="267" w:lineRule="exact" w:before="15"/>
              <w:ind w:left="351" w:right="222"/>
              <w:jc w:val="center"/>
              <w:rPr>
                <w:sz w:val="24"/>
              </w:rPr>
            </w:pPr>
            <w:r>
              <w:rPr>
                <w:sz w:val="21"/>
              </w:rPr>
              <w:t>MS/Q3</w:t>
            </w:r>
            <w:r>
              <w:rPr>
                <w:sz w:val="24"/>
              </w:rPr>
              <w:t> </w:t>
            </w:r>
          </w:p>
        </w:tc>
        <w:tc>
          <w:tcPr>
            <w:tcW w:w="1335" w:type="dxa"/>
            <w:vMerge w:val="restart"/>
          </w:tcPr>
          <w:p>
            <w:pPr>
              <w:pStyle w:val="TableParagraph"/>
              <w:spacing w:before="157"/>
              <w:ind w:left="560"/>
              <w:rPr>
                <w:sz w:val="24"/>
              </w:rPr>
            </w:pPr>
            <w:r>
              <w:rPr>
                <w:sz w:val="21"/>
              </w:rPr>
              <w:t>1A</w:t>
            </w:r>
            <w:r>
              <w:rPr>
                <w:sz w:val="24"/>
              </w:rPr>
              <w:t> </w:t>
            </w:r>
          </w:p>
        </w:tc>
        <w:tc>
          <w:tcPr>
            <w:tcW w:w="617" w:type="dxa"/>
          </w:tcPr>
          <w:p>
            <w:pPr>
              <w:pStyle w:val="TableParagraph"/>
              <w:spacing w:line="267" w:lineRule="exact" w:before="15"/>
              <w:ind w:left="131" w:right="2"/>
              <w:jc w:val="center"/>
              <w:rPr>
                <w:sz w:val="24"/>
              </w:rPr>
            </w:pPr>
            <w:r>
              <w:rPr>
                <w:sz w:val="21"/>
              </w:rPr>
              <w:t>-</w:t>
            </w:r>
            <w:r>
              <w:rPr>
                <w:sz w:val="24"/>
              </w:rPr>
              <w:t> </w:t>
            </w:r>
          </w:p>
        </w:tc>
      </w:tr>
      <w:tr>
        <w:trPr>
          <w:trHeight w:val="270" w:hRule="atLeast"/>
        </w:trPr>
        <w:tc>
          <w:tcPr>
            <w:tcW w:w="1970" w:type="dxa"/>
            <w:vMerge/>
            <w:tcBorders>
              <w:top w:val="nil"/>
            </w:tcBorders>
          </w:tcPr>
          <w:p>
            <w:pPr>
              <w:rPr>
                <w:sz w:val="2"/>
                <w:szCs w:val="2"/>
              </w:rPr>
            </w:pPr>
          </w:p>
        </w:tc>
        <w:tc>
          <w:tcPr>
            <w:tcW w:w="1241" w:type="dxa"/>
            <w:vMerge/>
            <w:tcBorders>
              <w:top w:val="nil"/>
            </w:tcBorders>
          </w:tcPr>
          <w:p>
            <w:pPr>
              <w:rPr>
                <w:sz w:val="2"/>
                <w:szCs w:val="2"/>
              </w:rPr>
            </w:pPr>
          </w:p>
        </w:tc>
        <w:tc>
          <w:tcPr>
            <w:tcW w:w="1250" w:type="dxa"/>
            <w:vMerge/>
            <w:tcBorders>
              <w:top w:val="nil"/>
            </w:tcBorders>
          </w:tcPr>
          <w:p>
            <w:pPr>
              <w:rPr>
                <w:sz w:val="2"/>
                <w:szCs w:val="2"/>
              </w:rPr>
            </w:pPr>
          </w:p>
        </w:tc>
        <w:tc>
          <w:tcPr>
            <w:tcW w:w="2530" w:type="dxa"/>
          </w:tcPr>
          <w:p>
            <w:pPr>
              <w:pStyle w:val="TableParagraph"/>
              <w:spacing w:line="250" w:lineRule="exact" w:before="1"/>
              <w:ind w:left="351" w:right="222"/>
              <w:jc w:val="center"/>
              <w:rPr>
                <w:sz w:val="24"/>
              </w:rPr>
            </w:pPr>
            <w:r>
              <w:rPr>
                <w:sz w:val="21"/>
              </w:rPr>
              <w:t>MS/T3</w:t>
            </w:r>
            <w:r>
              <w:rPr>
                <w:sz w:val="24"/>
              </w:rPr>
              <w:t> </w:t>
            </w:r>
          </w:p>
        </w:tc>
        <w:tc>
          <w:tcPr>
            <w:tcW w:w="1335" w:type="dxa"/>
            <w:vMerge/>
            <w:tcBorders>
              <w:top w:val="nil"/>
            </w:tcBorders>
          </w:tcPr>
          <w:p>
            <w:pPr>
              <w:rPr>
                <w:sz w:val="2"/>
                <w:szCs w:val="2"/>
              </w:rPr>
            </w:pPr>
          </w:p>
        </w:tc>
        <w:tc>
          <w:tcPr>
            <w:tcW w:w="617" w:type="dxa"/>
          </w:tcPr>
          <w:p>
            <w:pPr>
              <w:pStyle w:val="TableParagraph"/>
              <w:spacing w:line="250" w:lineRule="exact" w:before="1"/>
              <w:ind w:left="133" w:right="2"/>
              <w:jc w:val="center"/>
              <w:rPr>
                <w:sz w:val="24"/>
              </w:rPr>
            </w:pPr>
            <w:r>
              <w:rPr>
                <w:sz w:val="21"/>
              </w:rPr>
              <w:t>55B</w:t>
            </w:r>
            <w:r>
              <w:rPr>
                <w:sz w:val="24"/>
              </w:rPr>
              <w:t> </w:t>
            </w:r>
          </w:p>
        </w:tc>
      </w:tr>
      <w:tr>
        <w:trPr>
          <w:trHeight w:val="273" w:hRule="atLeast"/>
        </w:trPr>
        <w:tc>
          <w:tcPr>
            <w:tcW w:w="1970" w:type="dxa"/>
            <w:vMerge/>
            <w:tcBorders>
              <w:top w:val="nil"/>
            </w:tcBorders>
          </w:tcPr>
          <w:p>
            <w:pPr>
              <w:rPr>
                <w:sz w:val="2"/>
                <w:szCs w:val="2"/>
              </w:rPr>
            </w:pPr>
          </w:p>
        </w:tc>
        <w:tc>
          <w:tcPr>
            <w:tcW w:w="1241" w:type="dxa"/>
            <w:vMerge w:val="restart"/>
          </w:tcPr>
          <w:p>
            <w:pPr>
              <w:pStyle w:val="TableParagraph"/>
              <w:spacing w:before="142"/>
              <w:ind w:left="607" w:right="479"/>
              <w:jc w:val="center"/>
              <w:rPr>
                <w:sz w:val="24"/>
              </w:rPr>
            </w:pPr>
            <w:r>
              <w:rPr>
                <w:sz w:val="21"/>
              </w:rPr>
              <w:t>6</w:t>
            </w:r>
            <w:r>
              <w:rPr>
                <w:sz w:val="24"/>
              </w:rPr>
              <w:t> </w:t>
            </w:r>
          </w:p>
        </w:tc>
        <w:tc>
          <w:tcPr>
            <w:tcW w:w="1250" w:type="dxa"/>
            <w:vMerge w:val="restart"/>
          </w:tcPr>
          <w:p>
            <w:pPr>
              <w:pStyle w:val="TableParagraph"/>
              <w:spacing w:before="142"/>
              <w:ind w:left="518"/>
              <w:rPr>
                <w:sz w:val="24"/>
              </w:rPr>
            </w:pPr>
            <w:r>
              <w:rPr>
                <w:sz w:val="21"/>
              </w:rPr>
              <w:t>―</w:t>
            </w:r>
            <w:r>
              <w:rPr>
                <w:sz w:val="24"/>
              </w:rPr>
              <w:t> </w:t>
            </w:r>
          </w:p>
        </w:tc>
        <w:tc>
          <w:tcPr>
            <w:tcW w:w="2530" w:type="dxa"/>
          </w:tcPr>
          <w:p>
            <w:pPr>
              <w:pStyle w:val="TableParagraph"/>
              <w:spacing w:line="252" w:lineRule="exact" w:before="1"/>
              <w:ind w:left="351" w:right="222"/>
              <w:jc w:val="center"/>
              <w:rPr>
                <w:sz w:val="24"/>
              </w:rPr>
            </w:pPr>
            <w:r>
              <w:rPr>
                <w:sz w:val="21"/>
              </w:rPr>
              <w:t>MS/Q6</w:t>
            </w:r>
            <w:r>
              <w:rPr>
                <w:sz w:val="24"/>
              </w:rPr>
              <w:t> </w:t>
            </w:r>
          </w:p>
        </w:tc>
        <w:tc>
          <w:tcPr>
            <w:tcW w:w="1335" w:type="dxa"/>
            <w:vMerge w:val="restart"/>
          </w:tcPr>
          <w:p>
            <w:pPr>
              <w:pStyle w:val="TableParagraph"/>
              <w:spacing w:before="142"/>
              <w:ind w:left="560"/>
              <w:rPr>
                <w:sz w:val="24"/>
              </w:rPr>
            </w:pPr>
            <w:r>
              <w:rPr>
                <w:sz w:val="21"/>
              </w:rPr>
              <w:t>1A</w:t>
            </w:r>
            <w:r>
              <w:rPr>
                <w:sz w:val="24"/>
              </w:rPr>
              <w:t> </w:t>
            </w:r>
          </w:p>
        </w:tc>
        <w:tc>
          <w:tcPr>
            <w:tcW w:w="617" w:type="dxa"/>
          </w:tcPr>
          <w:p>
            <w:pPr>
              <w:pStyle w:val="TableParagraph"/>
              <w:spacing w:line="252" w:lineRule="exact" w:before="1"/>
              <w:ind w:left="131" w:right="2"/>
              <w:jc w:val="center"/>
              <w:rPr>
                <w:sz w:val="24"/>
              </w:rPr>
            </w:pPr>
            <w:r>
              <w:rPr>
                <w:sz w:val="21"/>
              </w:rPr>
              <w:t>-</w:t>
            </w:r>
            <w:r>
              <w:rPr>
                <w:sz w:val="24"/>
              </w:rPr>
              <w:t> </w:t>
            </w:r>
          </w:p>
        </w:tc>
      </w:tr>
      <w:tr>
        <w:trPr>
          <w:trHeight w:val="273" w:hRule="atLeast"/>
        </w:trPr>
        <w:tc>
          <w:tcPr>
            <w:tcW w:w="1970" w:type="dxa"/>
            <w:vMerge/>
            <w:tcBorders>
              <w:top w:val="nil"/>
            </w:tcBorders>
          </w:tcPr>
          <w:p>
            <w:pPr>
              <w:rPr>
                <w:sz w:val="2"/>
                <w:szCs w:val="2"/>
              </w:rPr>
            </w:pPr>
          </w:p>
        </w:tc>
        <w:tc>
          <w:tcPr>
            <w:tcW w:w="1241" w:type="dxa"/>
            <w:vMerge/>
            <w:tcBorders>
              <w:top w:val="nil"/>
            </w:tcBorders>
          </w:tcPr>
          <w:p>
            <w:pPr>
              <w:rPr>
                <w:sz w:val="2"/>
                <w:szCs w:val="2"/>
              </w:rPr>
            </w:pPr>
          </w:p>
        </w:tc>
        <w:tc>
          <w:tcPr>
            <w:tcW w:w="1250" w:type="dxa"/>
            <w:vMerge/>
            <w:tcBorders>
              <w:top w:val="nil"/>
            </w:tcBorders>
          </w:tcPr>
          <w:p>
            <w:pPr>
              <w:rPr>
                <w:sz w:val="2"/>
                <w:szCs w:val="2"/>
              </w:rPr>
            </w:pPr>
          </w:p>
        </w:tc>
        <w:tc>
          <w:tcPr>
            <w:tcW w:w="2530" w:type="dxa"/>
          </w:tcPr>
          <w:p>
            <w:pPr>
              <w:pStyle w:val="TableParagraph"/>
              <w:spacing w:line="252" w:lineRule="exact" w:before="1"/>
              <w:ind w:left="351" w:right="222"/>
              <w:jc w:val="center"/>
              <w:rPr>
                <w:sz w:val="24"/>
              </w:rPr>
            </w:pPr>
            <w:r>
              <w:rPr>
                <w:sz w:val="21"/>
              </w:rPr>
              <w:t>MS/T6</w:t>
            </w:r>
            <w:r>
              <w:rPr>
                <w:sz w:val="24"/>
              </w:rPr>
              <w:t> </w:t>
            </w:r>
          </w:p>
        </w:tc>
        <w:tc>
          <w:tcPr>
            <w:tcW w:w="1335" w:type="dxa"/>
            <w:vMerge/>
            <w:tcBorders>
              <w:top w:val="nil"/>
            </w:tcBorders>
          </w:tcPr>
          <w:p>
            <w:pPr>
              <w:rPr>
                <w:sz w:val="2"/>
                <w:szCs w:val="2"/>
              </w:rPr>
            </w:pPr>
          </w:p>
        </w:tc>
        <w:tc>
          <w:tcPr>
            <w:tcW w:w="617" w:type="dxa"/>
          </w:tcPr>
          <w:p>
            <w:pPr>
              <w:pStyle w:val="TableParagraph"/>
              <w:spacing w:line="252" w:lineRule="exact" w:before="1"/>
              <w:ind w:left="133" w:right="2"/>
              <w:jc w:val="center"/>
              <w:rPr>
                <w:sz w:val="24"/>
              </w:rPr>
            </w:pPr>
            <w:r>
              <w:rPr>
                <w:sz w:val="21"/>
              </w:rPr>
              <w:t>55B</w:t>
            </w:r>
            <w:r>
              <w:rPr>
                <w:sz w:val="24"/>
              </w:rPr>
              <w:t> </w:t>
            </w:r>
          </w:p>
        </w:tc>
      </w:tr>
      <w:tr>
        <w:trPr>
          <w:trHeight w:val="270" w:hRule="atLeast"/>
        </w:trPr>
        <w:tc>
          <w:tcPr>
            <w:tcW w:w="1970" w:type="dxa"/>
            <w:vMerge/>
            <w:tcBorders>
              <w:top w:val="nil"/>
            </w:tcBorders>
          </w:tcPr>
          <w:p>
            <w:pPr>
              <w:rPr>
                <w:sz w:val="2"/>
                <w:szCs w:val="2"/>
              </w:rPr>
            </w:pPr>
          </w:p>
        </w:tc>
        <w:tc>
          <w:tcPr>
            <w:tcW w:w="1241" w:type="dxa"/>
            <w:vMerge w:val="restart"/>
          </w:tcPr>
          <w:p>
            <w:pPr>
              <w:pStyle w:val="TableParagraph"/>
              <w:spacing w:before="142"/>
              <w:ind w:left="607" w:right="479"/>
              <w:jc w:val="center"/>
              <w:rPr>
                <w:sz w:val="24"/>
              </w:rPr>
            </w:pPr>
            <w:r>
              <w:rPr>
                <w:sz w:val="21"/>
              </w:rPr>
              <w:t>9</w:t>
            </w:r>
            <w:r>
              <w:rPr>
                <w:sz w:val="24"/>
              </w:rPr>
              <w:t> </w:t>
            </w:r>
          </w:p>
        </w:tc>
        <w:tc>
          <w:tcPr>
            <w:tcW w:w="1250" w:type="dxa"/>
            <w:vMerge w:val="restart"/>
          </w:tcPr>
          <w:p>
            <w:pPr>
              <w:pStyle w:val="TableParagraph"/>
              <w:spacing w:before="142"/>
              <w:ind w:left="518"/>
              <w:rPr>
                <w:sz w:val="24"/>
              </w:rPr>
            </w:pPr>
            <w:r>
              <w:rPr>
                <w:sz w:val="21"/>
              </w:rPr>
              <w:t>―</w:t>
            </w:r>
            <w:r>
              <w:rPr>
                <w:sz w:val="24"/>
              </w:rPr>
              <w:t> </w:t>
            </w:r>
          </w:p>
        </w:tc>
        <w:tc>
          <w:tcPr>
            <w:tcW w:w="2530" w:type="dxa"/>
          </w:tcPr>
          <w:p>
            <w:pPr>
              <w:pStyle w:val="TableParagraph"/>
              <w:spacing w:line="250" w:lineRule="exact" w:before="1"/>
              <w:ind w:left="351" w:right="222"/>
              <w:jc w:val="center"/>
              <w:rPr>
                <w:sz w:val="24"/>
              </w:rPr>
            </w:pPr>
            <w:r>
              <w:rPr>
                <w:sz w:val="21"/>
              </w:rPr>
              <w:t>MS/Q9</w:t>
            </w:r>
            <w:r>
              <w:rPr>
                <w:sz w:val="24"/>
              </w:rPr>
              <w:t> </w:t>
            </w:r>
          </w:p>
        </w:tc>
        <w:tc>
          <w:tcPr>
            <w:tcW w:w="1335" w:type="dxa"/>
            <w:vMerge w:val="restart"/>
          </w:tcPr>
          <w:p>
            <w:pPr>
              <w:pStyle w:val="TableParagraph"/>
              <w:spacing w:before="142"/>
              <w:ind w:left="560"/>
              <w:rPr>
                <w:sz w:val="24"/>
              </w:rPr>
            </w:pPr>
            <w:r>
              <w:rPr>
                <w:sz w:val="21"/>
              </w:rPr>
              <w:t>2A</w:t>
            </w:r>
            <w:r>
              <w:rPr>
                <w:sz w:val="24"/>
              </w:rPr>
              <w:t> </w:t>
            </w:r>
          </w:p>
        </w:tc>
        <w:tc>
          <w:tcPr>
            <w:tcW w:w="617" w:type="dxa"/>
          </w:tcPr>
          <w:p>
            <w:pPr>
              <w:pStyle w:val="TableParagraph"/>
              <w:spacing w:line="250" w:lineRule="exact" w:before="1"/>
              <w:ind w:left="131" w:right="2"/>
              <w:jc w:val="center"/>
              <w:rPr>
                <w:sz w:val="24"/>
              </w:rPr>
            </w:pPr>
            <w:r>
              <w:rPr>
                <w:sz w:val="21"/>
              </w:rPr>
              <w:t>-</w:t>
            </w:r>
            <w:r>
              <w:rPr>
                <w:sz w:val="24"/>
              </w:rPr>
              <w:t> </w:t>
            </w:r>
          </w:p>
        </w:tc>
      </w:tr>
      <w:tr>
        <w:trPr>
          <w:trHeight w:val="273" w:hRule="atLeast"/>
        </w:trPr>
        <w:tc>
          <w:tcPr>
            <w:tcW w:w="1970" w:type="dxa"/>
            <w:vMerge/>
            <w:tcBorders>
              <w:top w:val="nil"/>
            </w:tcBorders>
          </w:tcPr>
          <w:p>
            <w:pPr>
              <w:rPr>
                <w:sz w:val="2"/>
                <w:szCs w:val="2"/>
              </w:rPr>
            </w:pPr>
          </w:p>
        </w:tc>
        <w:tc>
          <w:tcPr>
            <w:tcW w:w="1241" w:type="dxa"/>
            <w:vMerge/>
            <w:tcBorders>
              <w:top w:val="nil"/>
            </w:tcBorders>
          </w:tcPr>
          <w:p>
            <w:pPr>
              <w:rPr>
                <w:sz w:val="2"/>
                <w:szCs w:val="2"/>
              </w:rPr>
            </w:pPr>
          </w:p>
        </w:tc>
        <w:tc>
          <w:tcPr>
            <w:tcW w:w="1250" w:type="dxa"/>
            <w:vMerge/>
            <w:tcBorders>
              <w:top w:val="nil"/>
            </w:tcBorders>
          </w:tcPr>
          <w:p>
            <w:pPr>
              <w:rPr>
                <w:sz w:val="2"/>
                <w:szCs w:val="2"/>
              </w:rPr>
            </w:pPr>
          </w:p>
        </w:tc>
        <w:tc>
          <w:tcPr>
            <w:tcW w:w="2530" w:type="dxa"/>
          </w:tcPr>
          <w:p>
            <w:pPr>
              <w:pStyle w:val="TableParagraph"/>
              <w:spacing w:line="253" w:lineRule="exact" w:before="1"/>
              <w:ind w:left="351" w:right="222"/>
              <w:jc w:val="center"/>
              <w:rPr>
                <w:sz w:val="24"/>
              </w:rPr>
            </w:pPr>
            <w:r>
              <w:rPr>
                <w:sz w:val="21"/>
              </w:rPr>
              <w:t>MS/T9</w:t>
            </w:r>
            <w:r>
              <w:rPr>
                <w:sz w:val="24"/>
              </w:rPr>
              <w:t> </w:t>
            </w:r>
          </w:p>
        </w:tc>
        <w:tc>
          <w:tcPr>
            <w:tcW w:w="1335" w:type="dxa"/>
            <w:vMerge/>
            <w:tcBorders>
              <w:top w:val="nil"/>
            </w:tcBorders>
          </w:tcPr>
          <w:p>
            <w:pPr>
              <w:rPr>
                <w:sz w:val="2"/>
                <w:szCs w:val="2"/>
              </w:rPr>
            </w:pPr>
          </w:p>
        </w:tc>
        <w:tc>
          <w:tcPr>
            <w:tcW w:w="617" w:type="dxa"/>
          </w:tcPr>
          <w:p>
            <w:pPr>
              <w:pStyle w:val="TableParagraph"/>
              <w:spacing w:line="253" w:lineRule="exact" w:before="1"/>
              <w:ind w:left="133" w:right="2"/>
              <w:jc w:val="center"/>
              <w:rPr>
                <w:sz w:val="24"/>
              </w:rPr>
            </w:pPr>
            <w:r>
              <w:rPr>
                <w:sz w:val="21"/>
              </w:rPr>
              <w:t>89B</w:t>
            </w:r>
            <w:r>
              <w:rPr>
                <w:sz w:val="24"/>
              </w:rPr>
              <w:t> </w:t>
            </w:r>
          </w:p>
        </w:tc>
      </w:tr>
      <w:tr>
        <w:trPr>
          <w:trHeight w:val="359" w:hRule="atLeast"/>
        </w:trPr>
        <w:tc>
          <w:tcPr>
            <w:tcW w:w="1970" w:type="dxa"/>
            <w:vMerge w:val="restart"/>
          </w:tcPr>
          <w:p>
            <w:pPr>
              <w:pStyle w:val="TableParagraph"/>
              <w:rPr>
                <w:b/>
                <w:sz w:val="24"/>
              </w:rPr>
            </w:pPr>
          </w:p>
          <w:p>
            <w:pPr>
              <w:pStyle w:val="TableParagraph"/>
              <w:spacing w:before="11"/>
              <w:rPr>
                <w:b/>
                <w:sz w:val="22"/>
              </w:rPr>
            </w:pPr>
          </w:p>
          <w:p>
            <w:pPr>
              <w:pStyle w:val="TableParagraph"/>
              <w:ind w:left="774"/>
              <w:rPr>
                <w:sz w:val="24"/>
              </w:rPr>
            </w:pPr>
            <w:r>
              <w:rPr>
                <w:sz w:val="21"/>
              </w:rPr>
              <w:t>泡沫</w:t>
            </w:r>
            <w:r>
              <w:rPr>
                <w:sz w:val="24"/>
              </w:rPr>
              <w:t> </w:t>
            </w:r>
          </w:p>
        </w:tc>
        <w:tc>
          <w:tcPr>
            <w:tcW w:w="1241" w:type="dxa"/>
          </w:tcPr>
          <w:p>
            <w:pPr>
              <w:pStyle w:val="TableParagraph"/>
              <w:spacing w:before="44"/>
              <w:ind w:right="436"/>
              <w:jc w:val="right"/>
              <w:rPr>
                <w:sz w:val="24"/>
              </w:rPr>
            </w:pPr>
            <w:r>
              <w:rPr>
                <w:sz w:val="21"/>
              </w:rPr>
              <w:t>3</w:t>
            </w:r>
            <w:r>
              <w:rPr>
                <w:sz w:val="24"/>
              </w:rPr>
              <w:t> </w:t>
            </w:r>
          </w:p>
        </w:tc>
        <w:tc>
          <w:tcPr>
            <w:tcW w:w="1250" w:type="dxa"/>
          </w:tcPr>
          <w:p>
            <w:pPr>
              <w:pStyle w:val="TableParagraph"/>
              <w:spacing w:before="44"/>
              <w:ind w:right="387"/>
              <w:jc w:val="right"/>
              <w:rPr>
                <w:sz w:val="24"/>
              </w:rPr>
            </w:pPr>
            <w:r>
              <w:rPr>
                <w:sz w:val="21"/>
              </w:rPr>
              <w:t>―</w:t>
            </w:r>
            <w:r>
              <w:rPr>
                <w:sz w:val="24"/>
              </w:rPr>
              <w:t> </w:t>
            </w:r>
          </w:p>
        </w:tc>
        <w:tc>
          <w:tcPr>
            <w:tcW w:w="2530" w:type="dxa"/>
          </w:tcPr>
          <w:p>
            <w:pPr>
              <w:pStyle w:val="TableParagraph"/>
              <w:spacing w:before="44"/>
              <w:ind w:left="351" w:right="222"/>
              <w:jc w:val="center"/>
              <w:rPr>
                <w:sz w:val="24"/>
              </w:rPr>
            </w:pPr>
            <w:r>
              <w:rPr>
                <w:sz w:val="21"/>
              </w:rPr>
              <w:t>MP3、MP/AR3</w:t>
            </w:r>
            <w:r>
              <w:rPr>
                <w:sz w:val="24"/>
              </w:rPr>
              <w:t> </w:t>
            </w:r>
          </w:p>
        </w:tc>
        <w:tc>
          <w:tcPr>
            <w:tcW w:w="1335" w:type="dxa"/>
          </w:tcPr>
          <w:p>
            <w:pPr>
              <w:pStyle w:val="TableParagraph"/>
              <w:spacing w:before="44"/>
              <w:ind w:left="286" w:right="159"/>
              <w:jc w:val="center"/>
              <w:rPr>
                <w:sz w:val="24"/>
              </w:rPr>
            </w:pPr>
            <w:r>
              <w:rPr>
                <w:sz w:val="21"/>
              </w:rPr>
              <w:t>1A</w:t>
            </w:r>
            <w:r>
              <w:rPr>
                <w:sz w:val="24"/>
              </w:rPr>
              <w:t> </w:t>
            </w:r>
          </w:p>
        </w:tc>
        <w:tc>
          <w:tcPr>
            <w:tcW w:w="617" w:type="dxa"/>
          </w:tcPr>
          <w:p>
            <w:pPr>
              <w:pStyle w:val="TableParagraph"/>
              <w:spacing w:before="44"/>
              <w:ind w:left="133" w:right="2"/>
              <w:jc w:val="center"/>
              <w:rPr>
                <w:sz w:val="24"/>
              </w:rPr>
            </w:pPr>
            <w:r>
              <w:rPr>
                <w:sz w:val="21"/>
              </w:rPr>
              <w:t>55B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436"/>
              <w:jc w:val="right"/>
              <w:rPr>
                <w:sz w:val="24"/>
              </w:rPr>
            </w:pPr>
            <w:r>
              <w:rPr>
                <w:sz w:val="21"/>
              </w:rPr>
              <w:t>4</w:t>
            </w:r>
            <w:r>
              <w:rPr>
                <w:sz w:val="24"/>
              </w:rPr>
              <w:t> </w:t>
            </w:r>
          </w:p>
        </w:tc>
        <w:tc>
          <w:tcPr>
            <w:tcW w:w="1250" w:type="dxa"/>
          </w:tcPr>
          <w:p>
            <w:pPr>
              <w:pStyle w:val="TableParagraph"/>
              <w:spacing w:before="44"/>
              <w:ind w:right="387"/>
              <w:jc w:val="right"/>
              <w:rPr>
                <w:sz w:val="24"/>
              </w:rPr>
            </w:pPr>
            <w:r>
              <w:rPr>
                <w:sz w:val="21"/>
              </w:rPr>
              <w:t>―</w:t>
            </w:r>
            <w:r>
              <w:rPr>
                <w:sz w:val="24"/>
              </w:rPr>
              <w:t> </w:t>
            </w:r>
          </w:p>
        </w:tc>
        <w:tc>
          <w:tcPr>
            <w:tcW w:w="2530" w:type="dxa"/>
          </w:tcPr>
          <w:p>
            <w:pPr>
              <w:pStyle w:val="TableParagraph"/>
              <w:spacing w:before="44"/>
              <w:ind w:left="351" w:right="222"/>
              <w:jc w:val="center"/>
              <w:rPr>
                <w:sz w:val="24"/>
              </w:rPr>
            </w:pPr>
            <w:r>
              <w:rPr>
                <w:sz w:val="21"/>
              </w:rPr>
              <w:t>MP4、MP/AR4</w:t>
            </w:r>
            <w:r>
              <w:rPr>
                <w:sz w:val="24"/>
              </w:rPr>
              <w:t> </w:t>
            </w:r>
          </w:p>
        </w:tc>
        <w:tc>
          <w:tcPr>
            <w:tcW w:w="1335" w:type="dxa"/>
          </w:tcPr>
          <w:p>
            <w:pPr>
              <w:pStyle w:val="TableParagraph"/>
              <w:spacing w:before="44"/>
              <w:ind w:left="286" w:right="159"/>
              <w:jc w:val="center"/>
              <w:rPr>
                <w:sz w:val="24"/>
              </w:rPr>
            </w:pPr>
            <w:r>
              <w:rPr>
                <w:sz w:val="21"/>
              </w:rPr>
              <w:t>1A</w:t>
            </w:r>
            <w:r>
              <w:rPr>
                <w:sz w:val="24"/>
              </w:rPr>
              <w:t> </w:t>
            </w:r>
          </w:p>
        </w:tc>
        <w:tc>
          <w:tcPr>
            <w:tcW w:w="617" w:type="dxa"/>
          </w:tcPr>
          <w:p>
            <w:pPr>
              <w:pStyle w:val="TableParagraph"/>
              <w:spacing w:before="44"/>
              <w:ind w:left="133" w:right="2"/>
              <w:jc w:val="center"/>
              <w:rPr>
                <w:sz w:val="24"/>
              </w:rPr>
            </w:pPr>
            <w:r>
              <w:rPr>
                <w:sz w:val="21"/>
              </w:rPr>
              <w:t>55B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6"/>
              <w:ind w:right="436"/>
              <w:jc w:val="right"/>
              <w:rPr>
                <w:sz w:val="24"/>
              </w:rPr>
            </w:pPr>
            <w:r>
              <w:rPr>
                <w:sz w:val="21"/>
              </w:rPr>
              <w:t>6</w:t>
            </w:r>
            <w:r>
              <w:rPr>
                <w:sz w:val="24"/>
              </w:rPr>
              <w:t> </w:t>
            </w:r>
          </w:p>
        </w:tc>
        <w:tc>
          <w:tcPr>
            <w:tcW w:w="1250" w:type="dxa"/>
          </w:tcPr>
          <w:p>
            <w:pPr>
              <w:pStyle w:val="TableParagraph"/>
              <w:spacing w:before="46"/>
              <w:ind w:right="387"/>
              <w:jc w:val="right"/>
              <w:rPr>
                <w:sz w:val="24"/>
              </w:rPr>
            </w:pPr>
            <w:r>
              <w:rPr>
                <w:sz w:val="21"/>
              </w:rPr>
              <w:t>―</w:t>
            </w:r>
            <w:r>
              <w:rPr>
                <w:sz w:val="24"/>
              </w:rPr>
              <w:t> </w:t>
            </w:r>
          </w:p>
        </w:tc>
        <w:tc>
          <w:tcPr>
            <w:tcW w:w="2530" w:type="dxa"/>
          </w:tcPr>
          <w:p>
            <w:pPr>
              <w:pStyle w:val="TableParagraph"/>
              <w:spacing w:before="46"/>
              <w:ind w:left="351" w:right="222"/>
              <w:jc w:val="center"/>
              <w:rPr>
                <w:sz w:val="24"/>
              </w:rPr>
            </w:pPr>
            <w:r>
              <w:rPr>
                <w:sz w:val="21"/>
              </w:rPr>
              <w:t>MP6、MP/AR6</w:t>
            </w:r>
            <w:r>
              <w:rPr>
                <w:sz w:val="24"/>
              </w:rPr>
              <w:t> </w:t>
            </w:r>
          </w:p>
        </w:tc>
        <w:tc>
          <w:tcPr>
            <w:tcW w:w="1335" w:type="dxa"/>
          </w:tcPr>
          <w:p>
            <w:pPr>
              <w:pStyle w:val="TableParagraph"/>
              <w:spacing w:before="46"/>
              <w:ind w:left="286" w:right="159"/>
              <w:jc w:val="center"/>
              <w:rPr>
                <w:sz w:val="24"/>
              </w:rPr>
            </w:pPr>
            <w:r>
              <w:rPr>
                <w:sz w:val="21"/>
              </w:rPr>
              <w:t>1A</w:t>
            </w:r>
            <w:r>
              <w:rPr>
                <w:sz w:val="24"/>
              </w:rPr>
              <w:t> </w:t>
            </w:r>
          </w:p>
        </w:tc>
        <w:tc>
          <w:tcPr>
            <w:tcW w:w="617" w:type="dxa"/>
          </w:tcPr>
          <w:p>
            <w:pPr>
              <w:pStyle w:val="TableParagraph"/>
              <w:spacing w:before="46"/>
              <w:ind w:left="133" w:right="2"/>
              <w:jc w:val="center"/>
              <w:rPr>
                <w:sz w:val="24"/>
              </w:rPr>
            </w:pPr>
            <w:r>
              <w:rPr>
                <w:sz w:val="21"/>
              </w:rPr>
              <w:t>55B</w:t>
            </w:r>
            <w:r>
              <w:rPr>
                <w:sz w:val="24"/>
              </w:rPr>
              <w:t> </w:t>
            </w:r>
          </w:p>
        </w:tc>
      </w:tr>
      <w:tr>
        <w:trPr>
          <w:trHeight w:val="362" w:hRule="atLeast"/>
        </w:trPr>
        <w:tc>
          <w:tcPr>
            <w:tcW w:w="1970" w:type="dxa"/>
            <w:vMerge/>
            <w:tcBorders>
              <w:top w:val="nil"/>
            </w:tcBorders>
          </w:tcPr>
          <w:p>
            <w:pPr>
              <w:rPr>
                <w:sz w:val="2"/>
                <w:szCs w:val="2"/>
              </w:rPr>
            </w:pPr>
          </w:p>
        </w:tc>
        <w:tc>
          <w:tcPr>
            <w:tcW w:w="1241" w:type="dxa"/>
          </w:tcPr>
          <w:p>
            <w:pPr>
              <w:pStyle w:val="TableParagraph"/>
              <w:spacing w:before="46"/>
              <w:ind w:right="436"/>
              <w:jc w:val="right"/>
              <w:rPr>
                <w:sz w:val="24"/>
              </w:rPr>
            </w:pPr>
            <w:r>
              <w:rPr>
                <w:sz w:val="21"/>
              </w:rPr>
              <w:t>9</w:t>
            </w:r>
            <w:r>
              <w:rPr>
                <w:sz w:val="24"/>
              </w:rPr>
              <w:t> </w:t>
            </w:r>
          </w:p>
        </w:tc>
        <w:tc>
          <w:tcPr>
            <w:tcW w:w="1250" w:type="dxa"/>
          </w:tcPr>
          <w:p>
            <w:pPr>
              <w:pStyle w:val="TableParagraph"/>
              <w:spacing w:before="46"/>
              <w:ind w:right="387"/>
              <w:jc w:val="right"/>
              <w:rPr>
                <w:sz w:val="24"/>
              </w:rPr>
            </w:pPr>
            <w:r>
              <w:rPr>
                <w:sz w:val="21"/>
              </w:rPr>
              <w:t>―</w:t>
            </w:r>
            <w:r>
              <w:rPr>
                <w:sz w:val="24"/>
              </w:rPr>
              <w:t> </w:t>
            </w:r>
          </w:p>
        </w:tc>
        <w:tc>
          <w:tcPr>
            <w:tcW w:w="2530" w:type="dxa"/>
          </w:tcPr>
          <w:p>
            <w:pPr>
              <w:pStyle w:val="TableParagraph"/>
              <w:spacing w:before="46"/>
              <w:ind w:left="351" w:right="222"/>
              <w:jc w:val="center"/>
              <w:rPr>
                <w:sz w:val="24"/>
              </w:rPr>
            </w:pPr>
            <w:r>
              <w:rPr>
                <w:sz w:val="21"/>
              </w:rPr>
              <w:t>MP9、MP/AR9</w:t>
            </w:r>
            <w:r>
              <w:rPr>
                <w:sz w:val="24"/>
              </w:rPr>
              <w:t> </w:t>
            </w:r>
          </w:p>
        </w:tc>
        <w:tc>
          <w:tcPr>
            <w:tcW w:w="1335" w:type="dxa"/>
          </w:tcPr>
          <w:p>
            <w:pPr>
              <w:pStyle w:val="TableParagraph"/>
              <w:spacing w:before="46"/>
              <w:ind w:left="286" w:right="159"/>
              <w:jc w:val="center"/>
              <w:rPr>
                <w:sz w:val="24"/>
              </w:rPr>
            </w:pPr>
            <w:r>
              <w:rPr>
                <w:sz w:val="21"/>
              </w:rPr>
              <w:t>2A</w:t>
            </w:r>
            <w:r>
              <w:rPr>
                <w:sz w:val="24"/>
              </w:rPr>
              <w:t> </w:t>
            </w:r>
          </w:p>
        </w:tc>
        <w:tc>
          <w:tcPr>
            <w:tcW w:w="617" w:type="dxa"/>
          </w:tcPr>
          <w:p>
            <w:pPr>
              <w:pStyle w:val="TableParagraph"/>
              <w:spacing w:before="46"/>
              <w:ind w:left="133" w:right="2"/>
              <w:jc w:val="center"/>
              <w:rPr>
                <w:sz w:val="24"/>
              </w:rPr>
            </w:pPr>
            <w:r>
              <w:rPr>
                <w:sz w:val="21"/>
              </w:rPr>
              <w:t>89B</w:t>
            </w:r>
            <w:r>
              <w:rPr>
                <w:sz w:val="24"/>
              </w:rPr>
              <w:t> </w:t>
            </w:r>
          </w:p>
        </w:tc>
      </w:tr>
      <w:tr>
        <w:trPr>
          <w:trHeight w:val="388" w:hRule="atLeast"/>
        </w:trPr>
        <w:tc>
          <w:tcPr>
            <w:tcW w:w="1970"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15"/>
              </w:rPr>
            </w:pPr>
          </w:p>
          <w:p>
            <w:pPr>
              <w:pStyle w:val="TableParagraph"/>
              <w:ind w:left="380" w:right="265"/>
              <w:jc w:val="center"/>
              <w:rPr>
                <w:sz w:val="21"/>
              </w:rPr>
            </w:pPr>
            <w:r>
              <w:rPr>
                <w:sz w:val="21"/>
              </w:rPr>
              <w:t>干粉 </w:t>
            </w:r>
          </w:p>
          <w:p>
            <w:pPr>
              <w:pStyle w:val="TableParagraph"/>
              <w:spacing w:before="5"/>
              <w:ind w:left="394" w:right="265"/>
              <w:jc w:val="center"/>
              <w:rPr>
                <w:sz w:val="24"/>
              </w:rPr>
            </w:pPr>
            <w:r>
              <w:rPr>
                <w:sz w:val="21"/>
              </w:rPr>
              <w:t>（碳酸氢钠）</w:t>
            </w:r>
            <w:r>
              <w:rPr>
                <w:sz w:val="24"/>
              </w:rPr>
              <w:t> </w:t>
            </w:r>
          </w:p>
        </w:tc>
        <w:tc>
          <w:tcPr>
            <w:tcW w:w="1241" w:type="dxa"/>
          </w:tcPr>
          <w:p>
            <w:pPr>
              <w:pStyle w:val="TableParagraph"/>
              <w:spacing w:before="58"/>
              <w:ind w:right="383"/>
              <w:jc w:val="right"/>
              <w:rPr>
                <w:sz w:val="24"/>
              </w:rPr>
            </w:pPr>
            <w:r>
              <w:rPr>
                <w:sz w:val="21"/>
              </w:rPr>
              <w:t>―</w:t>
            </w:r>
            <w:r>
              <w:rPr>
                <w:sz w:val="24"/>
              </w:rPr>
              <w:t> </w:t>
            </w:r>
          </w:p>
        </w:tc>
        <w:tc>
          <w:tcPr>
            <w:tcW w:w="1250" w:type="dxa"/>
          </w:tcPr>
          <w:p>
            <w:pPr>
              <w:pStyle w:val="TableParagraph"/>
              <w:spacing w:before="58"/>
              <w:ind w:right="440"/>
              <w:jc w:val="right"/>
              <w:rPr>
                <w:sz w:val="24"/>
              </w:rPr>
            </w:pPr>
            <w:r>
              <w:rPr>
                <w:sz w:val="21"/>
              </w:rPr>
              <w:t>1</w:t>
            </w:r>
            <w:r>
              <w:rPr>
                <w:sz w:val="24"/>
              </w:rPr>
              <w:t> </w:t>
            </w:r>
          </w:p>
        </w:tc>
        <w:tc>
          <w:tcPr>
            <w:tcW w:w="2530" w:type="dxa"/>
          </w:tcPr>
          <w:p>
            <w:pPr>
              <w:pStyle w:val="TableParagraph"/>
              <w:spacing w:before="58"/>
              <w:ind w:left="351" w:right="222"/>
              <w:jc w:val="center"/>
              <w:rPr>
                <w:sz w:val="24"/>
              </w:rPr>
            </w:pPr>
            <w:r>
              <w:rPr>
                <w:sz w:val="21"/>
              </w:rPr>
              <w:t>MF1</w:t>
            </w:r>
            <w:r>
              <w:rPr>
                <w:sz w:val="24"/>
              </w:rPr>
              <w:t> </w:t>
            </w:r>
          </w:p>
        </w:tc>
        <w:tc>
          <w:tcPr>
            <w:tcW w:w="1335" w:type="dxa"/>
          </w:tcPr>
          <w:p>
            <w:pPr>
              <w:pStyle w:val="TableParagraph"/>
              <w:spacing w:before="58"/>
              <w:ind w:left="286" w:right="159"/>
              <w:jc w:val="center"/>
              <w:rPr>
                <w:sz w:val="24"/>
              </w:rPr>
            </w:pPr>
            <w:r>
              <w:rPr>
                <w:sz w:val="21"/>
              </w:rPr>
              <w:t>―</w:t>
            </w:r>
            <w:r>
              <w:rPr>
                <w:sz w:val="24"/>
              </w:rPr>
              <w:t> </w:t>
            </w:r>
          </w:p>
        </w:tc>
        <w:tc>
          <w:tcPr>
            <w:tcW w:w="617" w:type="dxa"/>
          </w:tcPr>
          <w:p>
            <w:pPr>
              <w:pStyle w:val="TableParagraph"/>
              <w:spacing w:before="58"/>
              <w:ind w:left="133" w:right="2"/>
              <w:jc w:val="center"/>
              <w:rPr>
                <w:sz w:val="24"/>
              </w:rPr>
            </w:pPr>
            <w:r>
              <w:rPr>
                <w:sz w:val="21"/>
              </w:rPr>
              <w:t>21B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6"/>
              <w:ind w:right="383"/>
              <w:jc w:val="right"/>
              <w:rPr>
                <w:sz w:val="24"/>
              </w:rPr>
            </w:pPr>
            <w:r>
              <w:rPr>
                <w:sz w:val="21"/>
              </w:rPr>
              <w:t>―</w:t>
            </w:r>
            <w:r>
              <w:rPr>
                <w:sz w:val="24"/>
              </w:rPr>
              <w:t> </w:t>
            </w:r>
          </w:p>
        </w:tc>
        <w:tc>
          <w:tcPr>
            <w:tcW w:w="1250" w:type="dxa"/>
          </w:tcPr>
          <w:p>
            <w:pPr>
              <w:pStyle w:val="TableParagraph"/>
              <w:spacing w:before="46"/>
              <w:ind w:right="440"/>
              <w:jc w:val="right"/>
              <w:rPr>
                <w:sz w:val="24"/>
              </w:rPr>
            </w:pPr>
            <w:r>
              <w:rPr>
                <w:sz w:val="21"/>
              </w:rPr>
              <w:t>2</w:t>
            </w:r>
            <w:r>
              <w:rPr>
                <w:sz w:val="24"/>
              </w:rPr>
              <w:t> </w:t>
            </w:r>
          </w:p>
        </w:tc>
        <w:tc>
          <w:tcPr>
            <w:tcW w:w="2530" w:type="dxa"/>
          </w:tcPr>
          <w:p>
            <w:pPr>
              <w:pStyle w:val="TableParagraph"/>
              <w:spacing w:before="46"/>
              <w:ind w:left="351" w:right="222"/>
              <w:jc w:val="center"/>
              <w:rPr>
                <w:sz w:val="24"/>
              </w:rPr>
            </w:pPr>
            <w:r>
              <w:rPr>
                <w:sz w:val="21"/>
              </w:rPr>
              <w:t>MF2</w:t>
            </w:r>
            <w:r>
              <w:rPr>
                <w:sz w:val="24"/>
              </w:rPr>
              <w:t> </w:t>
            </w:r>
          </w:p>
        </w:tc>
        <w:tc>
          <w:tcPr>
            <w:tcW w:w="1335" w:type="dxa"/>
          </w:tcPr>
          <w:p>
            <w:pPr>
              <w:pStyle w:val="TableParagraph"/>
              <w:spacing w:before="46"/>
              <w:ind w:left="286" w:right="159"/>
              <w:jc w:val="center"/>
              <w:rPr>
                <w:sz w:val="24"/>
              </w:rPr>
            </w:pPr>
            <w:r>
              <w:rPr>
                <w:sz w:val="21"/>
              </w:rPr>
              <w:t>―</w:t>
            </w:r>
            <w:r>
              <w:rPr>
                <w:sz w:val="24"/>
              </w:rPr>
              <w:t> </w:t>
            </w:r>
          </w:p>
        </w:tc>
        <w:tc>
          <w:tcPr>
            <w:tcW w:w="617" w:type="dxa"/>
          </w:tcPr>
          <w:p>
            <w:pPr>
              <w:pStyle w:val="TableParagraph"/>
              <w:spacing w:before="46"/>
              <w:ind w:left="133" w:right="2"/>
              <w:jc w:val="center"/>
              <w:rPr>
                <w:sz w:val="24"/>
              </w:rPr>
            </w:pPr>
            <w:r>
              <w:rPr>
                <w:sz w:val="21"/>
              </w:rPr>
              <w:t>21B</w:t>
            </w:r>
            <w:r>
              <w:rPr>
                <w:sz w:val="24"/>
              </w:rPr>
              <w:t> </w:t>
            </w:r>
          </w:p>
        </w:tc>
      </w:tr>
      <w:tr>
        <w:trPr>
          <w:trHeight w:val="361" w:hRule="atLeast"/>
        </w:trPr>
        <w:tc>
          <w:tcPr>
            <w:tcW w:w="1970" w:type="dxa"/>
            <w:vMerge/>
            <w:tcBorders>
              <w:top w:val="nil"/>
            </w:tcBorders>
          </w:tcPr>
          <w:p>
            <w:pPr>
              <w:rPr>
                <w:sz w:val="2"/>
                <w:szCs w:val="2"/>
              </w:rPr>
            </w:pPr>
          </w:p>
        </w:tc>
        <w:tc>
          <w:tcPr>
            <w:tcW w:w="1241" w:type="dxa"/>
          </w:tcPr>
          <w:p>
            <w:pPr>
              <w:pStyle w:val="TableParagraph"/>
              <w:spacing w:before="46"/>
              <w:ind w:right="383"/>
              <w:jc w:val="right"/>
              <w:rPr>
                <w:sz w:val="24"/>
              </w:rPr>
            </w:pPr>
            <w:r>
              <w:rPr>
                <w:sz w:val="21"/>
              </w:rPr>
              <w:t>―</w:t>
            </w:r>
            <w:r>
              <w:rPr>
                <w:sz w:val="24"/>
              </w:rPr>
              <w:t> </w:t>
            </w:r>
          </w:p>
        </w:tc>
        <w:tc>
          <w:tcPr>
            <w:tcW w:w="1250" w:type="dxa"/>
          </w:tcPr>
          <w:p>
            <w:pPr>
              <w:pStyle w:val="TableParagraph"/>
              <w:spacing w:before="46"/>
              <w:ind w:right="440"/>
              <w:jc w:val="right"/>
              <w:rPr>
                <w:sz w:val="24"/>
              </w:rPr>
            </w:pPr>
            <w:r>
              <w:rPr>
                <w:sz w:val="21"/>
              </w:rPr>
              <w:t>3</w:t>
            </w:r>
            <w:r>
              <w:rPr>
                <w:sz w:val="24"/>
              </w:rPr>
              <w:t> </w:t>
            </w:r>
          </w:p>
        </w:tc>
        <w:tc>
          <w:tcPr>
            <w:tcW w:w="2530" w:type="dxa"/>
          </w:tcPr>
          <w:p>
            <w:pPr>
              <w:pStyle w:val="TableParagraph"/>
              <w:spacing w:before="46"/>
              <w:ind w:left="351" w:right="222"/>
              <w:jc w:val="center"/>
              <w:rPr>
                <w:sz w:val="24"/>
              </w:rPr>
            </w:pPr>
            <w:r>
              <w:rPr>
                <w:sz w:val="21"/>
              </w:rPr>
              <w:t>MF3</w:t>
            </w:r>
            <w:r>
              <w:rPr>
                <w:sz w:val="24"/>
              </w:rPr>
              <w:t> </w:t>
            </w:r>
          </w:p>
        </w:tc>
        <w:tc>
          <w:tcPr>
            <w:tcW w:w="1335" w:type="dxa"/>
          </w:tcPr>
          <w:p>
            <w:pPr>
              <w:pStyle w:val="TableParagraph"/>
              <w:spacing w:before="46"/>
              <w:ind w:left="286" w:right="159"/>
              <w:jc w:val="center"/>
              <w:rPr>
                <w:sz w:val="24"/>
              </w:rPr>
            </w:pPr>
            <w:r>
              <w:rPr>
                <w:sz w:val="21"/>
              </w:rPr>
              <w:t>―</w:t>
            </w:r>
            <w:r>
              <w:rPr>
                <w:sz w:val="24"/>
              </w:rPr>
              <w:t> </w:t>
            </w:r>
          </w:p>
        </w:tc>
        <w:tc>
          <w:tcPr>
            <w:tcW w:w="617" w:type="dxa"/>
          </w:tcPr>
          <w:p>
            <w:pPr>
              <w:pStyle w:val="TableParagraph"/>
              <w:spacing w:before="46"/>
              <w:ind w:left="133" w:right="2"/>
              <w:jc w:val="center"/>
              <w:rPr>
                <w:sz w:val="24"/>
              </w:rPr>
            </w:pPr>
            <w:r>
              <w:rPr>
                <w:sz w:val="21"/>
              </w:rPr>
              <w:t>34B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4</w:t>
            </w:r>
            <w:r>
              <w:rPr>
                <w:sz w:val="24"/>
              </w:rPr>
              <w:t> </w:t>
            </w:r>
          </w:p>
        </w:tc>
        <w:tc>
          <w:tcPr>
            <w:tcW w:w="2530" w:type="dxa"/>
          </w:tcPr>
          <w:p>
            <w:pPr>
              <w:pStyle w:val="TableParagraph"/>
              <w:spacing w:before="44"/>
              <w:ind w:left="351" w:right="222"/>
              <w:jc w:val="center"/>
              <w:rPr>
                <w:sz w:val="24"/>
              </w:rPr>
            </w:pPr>
            <w:r>
              <w:rPr>
                <w:sz w:val="21"/>
              </w:rPr>
              <w:t>MF4</w:t>
            </w:r>
            <w:r>
              <w:rPr>
                <w:sz w:val="24"/>
              </w:rPr>
              <w:t> </w:t>
            </w:r>
          </w:p>
        </w:tc>
        <w:tc>
          <w:tcPr>
            <w:tcW w:w="1335" w:type="dxa"/>
          </w:tcPr>
          <w:p>
            <w:pPr>
              <w:pStyle w:val="TableParagraph"/>
              <w:spacing w:before="44"/>
              <w:ind w:left="286" w:right="159"/>
              <w:jc w:val="center"/>
              <w:rPr>
                <w:sz w:val="24"/>
              </w:rPr>
            </w:pPr>
            <w:r>
              <w:rPr>
                <w:sz w:val="21"/>
              </w:rPr>
              <w:t>―</w:t>
            </w:r>
            <w:r>
              <w:rPr>
                <w:sz w:val="24"/>
              </w:rPr>
              <w:t> </w:t>
            </w:r>
          </w:p>
        </w:tc>
        <w:tc>
          <w:tcPr>
            <w:tcW w:w="617" w:type="dxa"/>
          </w:tcPr>
          <w:p>
            <w:pPr>
              <w:pStyle w:val="TableParagraph"/>
              <w:spacing w:before="44"/>
              <w:ind w:left="133" w:right="2"/>
              <w:jc w:val="center"/>
              <w:rPr>
                <w:sz w:val="24"/>
              </w:rPr>
            </w:pPr>
            <w:r>
              <w:rPr>
                <w:sz w:val="21"/>
              </w:rPr>
              <w:t>55B</w:t>
            </w:r>
            <w:r>
              <w:rPr>
                <w:sz w:val="24"/>
              </w:rPr>
              <w:t> </w:t>
            </w:r>
          </w:p>
        </w:tc>
      </w:tr>
      <w:tr>
        <w:trPr>
          <w:trHeight w:val="360"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5</w:t>
            </w:r>
            <w:r>
              <w:rPr>
                <w:sz w:val="24"/>
              </w:rPr>
              <w:t> </w:t>
            </w:r>
          </w:p>
        </w:tc>
        <w:tc>
          <w:tcPr>
            <w:tcW w:w="2530" w:type="dxa"/>
          </w:tcPr>
          <w:p>
            <w:pPr>
              <w:pStyle w:val="TableParagraph"/>
              <w:spacing w:before="44"/>
              <w:ind w:left="351" w:right="222"/>
              <w:jc w:val="center"/>
              <w:rPr>
                <w:sz w:val="24"/>
              </w:rPr>
            </w:pPr>
            <w:r>
              <w:rPr>
                <w:sz w:val="21"/>
              </w:rPr>
              <w:t>MF5</w:t>
            </w:r>
            <w:r>
              <w:rPr>
                <w:sz w:val="24"/>
              </w:rPr>
              <w:t> </w:t>
            </w:r>
          </w:p>
        </w:tc>
        <w:tc>
          <w:tcPr>
            <w:tcW w:w="1335" w:type="dxa"/>
          </w:tcPr>
          <w:p>
            <w:pPr>
              <w:pStyle w:val="TableParagraph"/>
              <w:spacing w:before="44"/>
              <w:ind w:left="286" w:right="159"/>
              <w:jc w:val="center"/>
              <w:rPr>
                <w:sz w:val="24"/>
              </w:rPr>
            </w:pPr>
            <w:r>
              <w:rPr>
                <w:sz w:val="21"/>
              </w:rPr>
              <w:t>―</w:t>
            </w:r>
            <w:r>
              <w:rPr>
                <w:sz w:val="24"/>
              </w:rPr>
              <w:t> </w:t>
            </w:r>
          </w:p>
        </w:tc>
        <w:tc>
          <w:tcPr>
            <w:tcW w:w="617" w:type="dxa"/>
          </w:tcPr>
          <w:p>
            <w:pPr>
              <w:pStyle w:val="TableParagraph"/>
              <w:spacing w:before="44"/>
              <w:ind w:left="133" w:right="2"/>
              <w:jc w:val="center"/>
              <w:rPr>
                <w:sz w:val="24"/>
              </w:rPr>
            </w:pPr>
            <w:r>
              <w:rPr>
                <w:sz w:val="21"/>
              </w:rPr>
              <w:t>89B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6</w:t>
            </w:r>
            <w:r>
              <w:rPr>
                <w:sz w:val="24"/>
              </w:rPr>
              <w:t> </w:t>
            </w:r>
          </w:p>
        </w:tc>
        <w:tc>
          <w:tcPr>
            <w:tcW w:w="2530" w:type="dxa"/>
          </w:tcPr>
          <w:p>
            <w:pPr>
              <w:pStyle w:val="TableParagraph"/>
              <w:spacing w:before="44"/>
              <w:ind w:left="351" w:right="222"/>
              <w:jc w:val="center"/>
              <w:rPr>
                <w:sz w:val="24"/>
              </w:rPr>
            </w:pPr>
            <w:r>
              <w:rPr>
                <w:sz w:val="21"/>
              </w:rPr>
              <w:t>MF6</w:t>
            </w:r>
            <w:r>
              <w:rPr>
                <w:sz w:val="24"/>
              </w:rPr>
              <w:t> </w:t>
            </w:r>
          </w:p>
        </w:tc>
        <w:tc>
          <w:tcPr>
            <w:tcW w:w="1335" w:type="dxa"/>
          </w:tcPr>
          <w:p>
            <w:pPr>
              <w:pStyle w:val="TableParagraph"/>
              <w:spacing w:before="44"/>
              <w:ind w:left="286" w:right="159"/>
              <w:jc w:val="center"/>
              <w:rPr>
                <w:sz w:val="24"/>
              </w:rPr>
            </w:pPr>
            <w:r>
              <w:rPr>
                <w:sz w:val="21"/>
              </w:rPr>
              <w:t>―</w:t>
            </w:r>
            <w:r>
              <w:rPr>
                <w:sz w:val="24"/>
              </w:rPr>
              <w:t> </w:t>
            </w:r>
          </w:p>
        </w:tc>
        <w:tc>
          <w:tcPr>
            <w:tcW w:w="617" w:type="dxa"/>
          </w:tcPr>
          <w:p>
            <w:pPr>
              <w:pStyle w:val="TableParagraph"/>
              <w:spacing w:before="44"/>
              <w:ind w:left="133" w:right="2"/>
              <w:jc w:val="center"/>
              <w:rPr>
                <w:sz w:val="24"/>
              </w:rPr>
            </w:pPr>
            <w:r>
              <w:rPr>
                <w:sz w:val="21"/>
              </w:rPr>
              <w:t>89B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8</w:t>
            </w:r>
            <w:r>
              <w:rPr>
                <w:sz w:val="24"/>
              </w:rPr>
              <w:t> </w:t>
            </w:r>
          </w:p>
        </w:tc>
        <w:tc>
          <w:tcPr>
            <w:tcW w:w="2530" w:type="dxa"/>
          </w:tcPr>
          <w:p>
            <w:pPr>
              <w:pStyle w:val="TableParagraph"/>
              <w:spacing w:before="44"/>
              <w:ind w:left="351" w:right="222"/>
              <w:jc w:val="center"/>
              <w:rPr>
                <w:sz w:val="24"/>
              </w:rPr>
            </w:pPr>
            <w:r>
              <w:rPr>
                <w:sz w:val="21"/>
              </w:rPr>
              <w:t>MF8</w:t>
            </w:r>
            <w:r>
              <w:rPr>
                <w:sz w:val="24"/>
              </w:rPr>
              <w:t> </w:t>
            </w:r>
          </w:p>
        </w:tc>
        <w:tc>
          <w:tcPr>
            <w:tcW w:w="1335" w:type="dxa"/>
          </w:tcPr>
          <w:p>
            <w:pPr>
              <w:pStyle w:val="TableParagraph"/>
              <w:spacing w:before="44"/>
              <w:ind w:left="286" w:right="159"/>
              <w:jc w:val="center"/>
              <w:rPr>
                <w:sz w:val="24"/>
              </w:rPr>
            </w:pPr>
            <w:r>
              <w:rPr>
                <w:sz w:val="21"/>
              </w:rPr>
              <w:t>―</w:t>
            </w:r>
            <w:r>
              <w:rPr>
                <w:sz w:val="24"/>
              </w:rPr>
              <w:t> </w:t>
            </w:r>
          </w:p>
        </w:tc>
        <w:tc>
          <w:tcPr>
            <w:tcW w:w="617" w:type="dxa"/>
          </w:tcPr>
          <w:p>
            <w:pPr>
              <w:pStyle w:val="TableParagraph"/>
              <w:spacing w:before="44"/>
              <w:ind w:left="145" w:right="2"/>
              <w:jc w:val="center"/>
              <w:rPr>
                <w:sz w:val="24"/>
              </w:rPr>
            </w:pPr>
            <w:r>
              <w:rPr>
                <w:sz w:val="21"/>
              </w:rPr>
              <w:t>144B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6"/>
              <w:ind w:right="383"/>
              <w:jc w:val="right"/>
              <w:rPr>
                <w:sz w:val="24"/>
              </w:rPr>
            </w:pPr>
            <w:r>
              <w:rPr>
                <w:sz w:val="21"/>
              </w:rPr>
              <w:t>―</w:t>
            </w:r>
            <w:r>
              <w:rPr>
                <w:sz w:val="24"/>
              </w:rPr>
              <w:t> </w:t>
            </w:r>
          </w:p>
        </w:tc>
        <w:tc>
          <w:tcPr>
            <w:tcW w:w="1250" w:type="dxa"/>
          </w:tcPr>
          <w:p>
            <w:pPr>
              <w:pStyle w:val="TableParagraph"/>
              <w:spacing w:before="46"/>
              <w:ind w:right="387"/>
              <w:jc w:val="right"/>
              <w:rPr>
                <w:sz w:val="24"/>
              </w:rPr>
            </w:pPr>
            <w:r>
              <w:rPr>
                <w:sz w:val="21"/>
              </w:rPr>
              <w:t>10</w:t>
            </w:r>
            <w:r>
              <w:rPr>
                <w:sz w:val="24"/>
              </w:rPr>
              <w:t> </w:t>
            </w:r>
          </w:p>
        </w:tc>
        <w:tc>
          <w:tcPr>
            <w:tcW w:w="2530" w:type="dxa"/>
          </w:tcPr>
          <w:p>
            <w:pPr>
              <w:pStyle w:val="TableParagraph"/>
              <w:spacing w:before="46"/>
              <w:ind w:left="351" w:right="222"/>
              <w:jc w:val="center"/>
              <w:rPr>
                <w:sz w:val="24"/>
              </w:rPr>
            </w:pPr>
            <w:r>
              <w:rPr>
                <w:sz w:val="21"/>
              </w:rPr>
              <w:t>MF10</w:t>
            </w:r>
            <w:r>
              <w:rPr>
                <w:sz w:val="24"/>
              </w:rPr>
              <w:t> </w:t>
            </w:r>
          </w:p>
        </w:tc>
        <w:tc>
          <w:tcPr>
            <w:tcW w:w="1335" w:type="dxa"/>
          </w:tcPr>
          <w:p>
            <w:pPr>
              <w:pStyle w:val="TableParagraph"/>
              <w:spacing w:before="46"/>
              <w:ind w:left="286" w:right="159"/>
              <w:jc w:val="center"/>
              <w:rPr>
                <w:sz w:val="24"/>
              </w:rPr>
            </w:pPr>
            <w:r>
              <w:rPr>
                <w:sz w:val="21"/>
              </w:rPr>
              <w:t>―</w:t>
            </w:r>
            <w:r>
              <w:rPr>
                <w:sz w:val="24"/>
              </w:rPr>
              <w:t> </w:t>
            </w:r>
          </w:p>
        </w:tc>
        <w:tc>
          <w:tcPr>
            <w:tcW w:w="617" w:type="dxa"/>
          </w:tcPr>
          <w:p>
            <w:pPr>
              <w:pStyle w:val="TableParagraph"/>
              <w:spacing w:before="46"/>
              <w:ind w:left="145" w:right="2"/>
              <w:jc w:val="center"/>
              <w:rPr>
                <w:sz w:val="24"/>
              </w:rPr>
            </w:pPr>
            <w:r>
              <w:rPr>
                <w:sz w:val="21"/>
              </w:rPr>
              <w:t>144B</w:t>
            </w:r>
            <w:r>
              <w:rPr>
                <w:sz w:val="24"/>
              </w:rPr>
              <w:t> </w:t>
            </w:r>
          </w:p>
        </w:tc>
      </w:tr>
      <w:tr>
        <w:trPr>
          <w:trHeight w:val="361" w:hRule="atLeast"/>
        </w:trPr>
        <w:tc>
          <w:tcPr>
            <w:tcW w:w="1970"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
              <w:rPr>
                <w:b/>
                <w:sz w:val="14"/>
              </w:rPr>
            </w:pPr>
          </w:p>
          <w:p>
            <w:pPr>
              <w:pStyle w:val="TableParagraph"/>
              <w:ind w:left="380" w:right="265"/>
              <w:jc w:val="center"/>
              <w:rPr>
                <w:sz w:val="21"/>
              </w:rPr>
            </w:pPr>
            <w:r>
              <w:rPr>
                <w:sz w:val="21"/>
              </w:rPr>
              <w:t>干粉 </w:t>
            </w:r>
          </w:p>
          <w:p>
            <w:pPr>
              <w:pStyle w:val="TableParagraph"/>
              <w:spacing w:before="2"/>
              <w:ind w:left="394" w:right="265"/>
              <w:jc w:val="center"/>
              <w:rPr>
                <w:sz w:val="24"/>
              </w:rPr>
            </w:pPr>
            <w:r>
              <w:rPr>
                <w:sz w:val="21"/>
              </w:rPr>
              <w:t>（磷酸铵盐）</w:t>
            </w:r>
            <w:r>
              <w:rPr>
                <w:sz w:val="24"/>
              </w:rPr>
              <w:t> </w:t>
            </w:r>
          </w:p>
        </w:tc>
        <w:tc>
          <w:tcPr>
            <w:tcW w:w="1241" w:type="dxa"/>
          </w:tcPr>
          <w:p>
            <w:pPr>
              <w:pStyle w:val="TableParagraph"/>
              <w:spacing w:before="46"/>
              <w:ind w:right="383"/>
              <w:jc w:val="right"/>
              <w:rPr>
                <w:sz w:val="24"/>
              </w:rPr>
            </w:pPr>
            <w:r>
              <w:rPr>
                <w:sz w:val="21"/>
              </w:rPr>
              <w:t>―</w:t>
            </w:r>
            <w:r>
              <w:rPr>
                <w:sz w:val="24"/>
              </w:rPr>
              <w:t> </w:t>
            </w:r>
          </w:p>
        </w:tc>
        <w:tc>
          <w:tcPr>
            <w:tcW w:w="1250" w:type="dxa"/>
          </w:tcPr>
          <w:p>
            <w:pPr>
              <w:pStyle w:val="TableParagraph"/>
              <w:spacing w:before="46"/>
              <w:ind w:right="440"/>
              <w:jc w:val="right"/>
              <w:rPr>
                <w:sz w:val="24"/>
              </w:rPr>
            </w:pPr>
            <w:r>
              <w:rPr>
                <w:sz w:val="21"/>
              </w:rPr>
              <w:t>1</w:t>
            </w:r>
            <w:r>
              <w:rPr>
                <w:sz w:val="24"/>
              </w:rPr>
              <w:t> </w:t>
            </w:r>
          </w:p>
        </w:tc>
        <w:tc>
          <w:tcPr>
            <w:tcW w:w="2530" w:type="dxa"/>
          </w:tcPr>
          <w:p>
            <w:pPr>
              <w:pStyle w:val="TableParagraph"/>
              <w:spacing w:before="46"/>
              <w:ind w:left="351" w:right="224"/>
              <w:jc w:val="center"/>
              <w:rPr>
                <w:sz w:val="24"/>
              </w:rPr>
            </w:pPr>
            <w:r>
              <w:rPr>
                <w:sz w:val="21"/>
              </w:rPr>
              <w:t>MF/ABC1</w:t>
            </w:r>
            <w:r>
              <w:rPr>
                <w:sz w:val="24"/>
              </w:rPr>
              <w:t> </w:t>
            </w:r>
          </w:p>
        </w:tc>
        <w:tc>
          <w:tcPr>
            <w:tcW w:w="1335" w:type="dxa"/>
          </w:tcPr>
          <w:p>
            <w:pPr>
              <w:pStyle w:val="TableParagraph"/>
              <w:spacing w:before="46"/>
              <w:ind w:left="286" w:right="159"/>
              <w:jc w:val="center"/>
              <w:rPr>
                <w:sz w:val="24"/>
              </w:rPr>
            </w:pPr>
            <w:r>
              <w:rPr>
                <w:sz w:val="21"/>
              </w:rPr>
              <w:t>1A</w:t>
            </w:r>
            <w:r>
              <w:rPr>
                <w:sz w:val="24"/>
              </w:rPr>
              <w:t> </w:t>
            </w:r>
          </w:p>
        </w:tc>
        <w:tc>
          <w:tcPr>
            <w:tcW w:w="617" w:type="dxa"/>
          </w:tcPr>
          <w:p>
            <w:pPr>
              <w:pStyle w:val="TableParagraph"/>
              <w:spacing w:before="46"/>
              <w:ind w:left="133" w:right="2"/>
              <w:jc w:val="center"/>
              <w:rPr>
                <w:sz w:val="24"/>
              </w:rPr>
            </w:pPr>
            <w:r>
              <w:rPr>
                <w:sz w:val="21"/>
              </w:rPr>
              <w:t>21B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2</w:t>
            </w:r>
            <w:r>
              <w:rPr>
                <w:sz w:val="24"/>
              </w:rPr>
              <w:t> </w:t>
            </w:r>
          </w:p>
        </w:tc>
        <w:tc>
          <w:tcPr>
            <w:tcW w:w="2530" w:type="dxa"/>
          </w:tcPr>
          <w:p>
            <w:pPr>
              <w:pStyle w:val="TableParagraph"/>
              <w:spacing w:before="44"/>
              <w:ind w:left="351" w:right="224"/>
              <w:jc w:val="center"/>
              <w:rPr>
                <w:sz w:val="24"/>
              </w:rPr>
            </w:pPr>
            <w:r>
              <w:rPr>
                <w:sz w:val="21"/>
              </w:rPr>
              <w:t>MF/ABC2</w:t>
            </w:r>
            <w:r>
              <w:rPr>
                <w:sz w:val="24"/>
              </w:rPr>
              <w:t> </w:t>
            </w:r>
          </w:p>
        </w:tc>
        <w:tc>
          <w:tcPr>
            <w:tcW w:w="1335" w:type="dxa"/>
          </w:tcPr>
          <w:p>
            <w:pPr>
              <w:pStyle w:val="TableParagraph"/>
              <w:spacing w:before="44"/>
              <w:ind w:left="286" w:right="159"/>
              <w:jc w:val="center"/>
              <w:rPr>
                <w:sz w:val="24"/>
              </w:rPr>
            </w:pPr>
            <w:r>
              <w:rPr>
                <w:sz w:val="21"/>
              </w:rPr>
              <w:t>1A</w:t>
            </w:r>
            <w:r>
              <w:rPr>
                <w:sz w:val="24"/>
              </w:rPr>
              <w:t> </w:t>
            </w:r>
          </w:p>
        </w:tc>
        <w:tc>
          <w:tcPr>
            <w:tcW w:w="617" w:type="dxa"/>
          </w:tcPr>
          <w:p>
            <w:pPr>
              <w:pStyle w:val="TableParagraph"/>
              <w:spacing w:before="44"/>
              <w:ind w:left="133" w:right="2"/>
              <w:jc w:val="center"/>
              <w:rPr>
                <w:sz w:val="24"/>
              </w:rPr>
            </w:pPr>
            <w:r>
              <w:rPr>
                <w:sz w:val="21"/>
              </w:rPr>
              <w:t>21B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3</w:t>
            </w:r>
            <w:r>
              <w:rPr>
                <w:sz w:val="24"/>
              </w:rPr>
              <w:t> </w:t>
            </w:r>
          </w:p>
        </w:tc>
        <w:tc>
          <w:tcPr>
            <w:tcW w:w="2530" w:type="dxa"/>
          </w:tcPr>
          <w:p>
            <w:pPr>
              <w:pStyle w:val="TableParagraph"/>
              <w:spacing w:before="44"/>
              <w:ind w:left="351" w:right="224"/>
              <w:jc w:val="center"/>
              <w:rPr>
                <w:sz w:val="24"/>
              </w:rPr>
            </w:pPr>
            <w:r>
              <w:rPr>
                <w:sz w:val="21"/>
              </w:rPr>
              <w:t>MF/ABC3</w:t>
            </w:r>
            <w:r>
              <w:rPr>
                <w:sz w:val="24"/>
              </w:rPr>
              <w:t> </w:t>
            </w:r>
          </w:p>
        </w:tc>
        <w:tc>
          <w:tcPr>
            <w:tcW w:w="1335" w:type="dxa"/>
          </w:tcPr>
          <w:p>
            <w:pPr>
              <w:pStyle w:val="TableParagraph"/>
              <w:spacing w:before="44"/>
              <w:ind w:left="286" w:right="159"/>
              <w:jc w:val="center"/>
              <w:rPr>
                <w:sz w:val="24"/>
              </w:rPr>
            </w:pPr>
            <w:r>
              <w:rPr>
                <w:sz w:val="21"/>
              </w:rPr>
              <w:t>2A</w:t>
            </w:r>
            <w:r>
              <w:rPr>
                <w:sz w:val="24"/>
              </w:rPr>
              <w:t> </w:t>
            </w:r>
          </w:p>
        </w:tc>
        <w:tc>
          <w:tcPr>
            <w:tcW w:w="617" w:type="dxa"/>
          </w:tcPr>
          <w:p>
            <w:pPr>
              <w:pStyle w:val="TableParagraph"/>
              <w:spacing w:before="44"/>
              <w:ind w:left="133" w:right="2"/>
              <w:jc w:val="center"/>
              <w:rPr>
                <w:sz w:val="24"/>
              </w:rPr>
            </w:pPr>
            <w:r>
              <w:rPr>
                <w:sz w:val="21"/>
              </w:rPr>
              <w:t>34B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4</w:t>
            </w:r>
            <w:r>
              <w:rPr>
                <w:sz w:val="24"/>
              </w:rPr>
              <w:t> </w:t>
            </w:r>
          </w:p>
        </w:tc>
        <w:tc>
          <w:tcPr>
            <w:tcW w:w="2530" w:type="dxa"/>
          </w:tcPr>
          <w:p>
            <w:pPr>
              <w:pStyle w:val="TableParagraph"/>
              <w:spacing w:before="44"/>
              <w:ind w:left="351" w:right="224"/>
              <w:jc w:val="center"/>
              <w:rPr>
                <w:sz w:val="24"/>
              </w:rPr>
            </w:pPr>
            <w:r>
              <w:rPr>
                <w:sz w:val="21"/>
              </w:rPr>
              <w:t>MF/ABC4</w:t>
            </w:r>
            <w:r>
              <w:rPr>
                <w:sz w:val="24"/>
              </w:rPr>
              <w:t> </w:t>
            </w:r>
          </w:p>
        </w:tc>
        <w:tc>
          <w:tcPr>
            <w:tcW w:w="1335" w:type="dxa"/>
          </w:tcPr>
          <w:p>
            <w:pPr>
              <w:pStyle w:val="TableParagraph"/>
              <w:spacing w:before="44"/>
              <w:ind w:left="286" w:right="159"/>
              <w:jc w:val="center"/>
              <w:rPr>
                <w:sz w:val="24"/>
              </w:rPr>
            </w:pPr>
            <w:r>
              <w:rPr>
                <w:sz w:val="21"/>
              </w:rPr>
              <w:t>2A</w:t>
            </w:r>
            <w:r>
              <w:rPr>
                <w:sz w:val="24"/>
              </w:rPr>
              <w:t> </w:t>
            </w:r>
          </w:p>
        </w:tc>
        <w:tc>
          <w:tcPr>
            <w:tcW w:w="617" w:type="dxa"/>
          </w:tcPr>
          <w:p>
            <w:pPr>
              <w:pStyle w:val="TableParagraph"/>
              <w:spacing w:before="44"/>
              <w:ind w:left="133" w:right="2"/>
              <w:jc w:val="center"/>
              <w:rPr>
                <w:sz w:val="24"/>
              </w:rPr>
            </w:pPr>
            <w:r>
              <w:rPr>
                <w:sz w:val="21"/>
              </w:rPr>
              <w:t>55B</w:t>
            </w:r>
            <w:r>
              <w:rPr>
                <w:sz w:val="24"/>
              </w:rPr>
              <w:t> </w:t>
            </w:r>
          </w:p>
        </w:tc>
      </w:tr>
      <w:tr>
        <w:trPr>
          <w:trHeight w:val="360" w:hRule="atLeast"/>
        </w:trPr>
        <w:tc>
          <w:tcPr>
            <w:tcW w:w="1970" w:type="dxa"/>
            <w:vMerge/>
            <w:tcBorders>
              <w:top w:val="nil"/>
            </w:tcBorders>
          </w:tcPr>
          <w:p>
            <w:pPr>
              <w:rPr>
                <w:sz w:val="2"/>
                <w:szCs w:val="2"/>
              </w:rPr>
            </w:pPr>
          </w:p>
        </w:tc>
        <w:tc>
          <w:tcPr>
            <w:tcW w:w="1241" w:type="dxa"/>
          </w:tcPr>
          <w:p>
            <w:pPr>
              <w:pStyle w:val="TableParagraph"/>
              <w:spacing w:before="45"/>
              <w:ind w:right="383"/>
              <w:jc w:val="right"/>
              <w:rPr>
                <w:sz w:val="24"/>
              </w:rPr>
            </w:pPr>
            <w:r>
              <w:rPr>
                <w:sz w:val="21"/>
              </w:rPr>
              <w:t>―</w:t>
            </w:r>
            <w:r>
              <w:rPr>
                <w:sz w:val="24"/>
              </w:rPr>
              <w:t> </w:t>
            </w:r>
          </w:p>
        </w:tc>
        <w:tc>
          <w:tcPr>
            <w:tcW w:w="1250" w:type="dxa"/>
          </w:tcPr>
          <w:p>
            <w:pPr>
              <w:pStyle w:val="TableParagraph"/>
              <w:spacing w:before="45"/>
              <w:ind w:right="440"/>
              <w:jc w:val="right"/>
              <w:rPr>
                <w:sz w:val="24"/>
              </w:rPr>
            </w:pPr>
            <w:r>
              <w:rPr>
                <w:sz w:val="21"/>
              </w:rPr>
              <w:t>5</w:t>
            </w:r>
            <w:r>
              <w:rPr>
                <w:sz w:val="24"/>
              </w:rPr>
              <w:t> </w:t>
            </w:r>
          </w:p>
        </w:tc>
        <w:tc>
          <w:tcPr>
            <w:tcW w:w="2530" w:type="dxa"/>
          </w:tcPr>
          <w:p>
            <w:pPr>
              <w:pStyle w:val="TableParagraph"/>
              <w:spacing w:before="45"/>
              <w:ind w:left="351" w:right="224"/>
              <w:jc w:val="center"/>
              <w:rPr>
                <w:sz w:val="24"/>
              </w:rPr>
            </w:pPr>
            <w:r>
              <w:rPr>
                <w:sz w:val="21"/>
              </w:rPr>
              <w:t>MF/ABC5</w:t>
            </w:r>
            <w:r>
              <w:rPr>
                <w:sz w:val="24"/>
              </w:rPr>
              <w:t> </w:t>
            </w:r>
          </w:p>
        </w:tc>
        <w:tc>
          <w:tcPr>
            <w:tcW w:w="1335" w:type="dxa"/>
          </w:tcPr>
          <w:p>
            <w:pPr>
              <w:pStyle w:val="TableParagraph"/>
              <w:spacing w:before="45"/>
              <w:ind w:left="286" w:right="159"/>
              <w:jc w:val="center"/>
              <w:rPr>
                <w:sz w:val="24"/>
              </w:rPr>
            </w:pPr>
            <w:r>
              <w:rPr>
                <w:sz w:val="21"/>
              </w:rPr>
              <w:t>3A</w:t>
            </w:r>
            <w:r>
              <w:rPr>
                <w:sz w:val="24"/>
              </w:rPr>
              <w:t> </w:t>
            </w:r>
          </w:p>
        </w:tc>
        <w:tc>
          <w:tcPr>
            <w:tcW w:w="617" w:type="dxa"/>
          </w:tcPr>
          <w:p>
            <w:pPr>
              <w:pStyle w:val="TableParagraph"/>
              <w:spacing w:before="45"/>
              <w:ind w:left="133" w:right="2"/>
              <w:jc w:val="center"/>
              <w:rPr>
                <w:sz w:val="24"/>
              </w:rPr>
            </w:pPr>
            <w:r>
              <w:rPr>
                <w:sz w:val="21"/>
              </w:rPr>
              <w:t>89B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6"/>
              <w:ind w:right="383"/>
              <w:jc w:val="right"/>
              <w:rPr>
                <w:sz w:val="24"/>
              </w:rPr>
            </w:pPr>
            <w:r>
              <w:rPr>
                <w:sz w:val="21"/>
              </w:rPr>
              <w:t>―</w:t>
            </w:r>
            <w:r>
              <w:rPr>
                <w:sz w:val="24"/>
              </w:rPr>
              <w:t> </w:t>
            </w:r>
          </w:p>
        </w:tc>
        <w:tc>
          <w:tcPr>
            <w:tcW w:w="1250" w:type="dxa"/>
          </w:tcPr>
          <w:p>
            <w:pPr>
              <w:pStyle w:val="TableParagraph"/>
              <w:spacing w:before="46"/>
              <w:ind w:right="440"/>
              <w:jc w:val="right"/>
              <w:rPr>
                <w:sz w:val="24"/>
              </w:rPr>
            </w:pPr>
            <w:r>
              <w:rPr>
                <w:sz w:val="21"/>
              </w:rPr>
              <w:t>6</w:t>
            </w:r>
            <w:r>
              <w:rPr>
                <w:sz w:val="24"/>
              </w:rPr>
              <w:t> </w:t>
            </w:r>
          </w:p>
        </w:tc>
        <w:tc>
          <w:tcPr>
            <w:tcW w:w="2530" w:type="dxa"/>
          </w:tcPr>
          <w:p>
            <w:pPr>
              <w:pStyle w:val="TableParagraph"/>
              <w:spacing w:before="46"/>
              <w:ind w:left="351" w:right="224"/>
              <w:jc w:val="center"/>
              <w:rPr>
                <w:sz w:val="24"/>
              </w:rPr>
            </w:pPr>
            <w:r>
              <w:rPr>
                <w:sz w:val="21"/>
              </w:rPr>
              <w:t>MF/ABC6</w:t>
            </w:r>
            <w:r>
              <w:rPr>
                <w:sz w:val="24"/>
              </w:rPr>
              <w:t> </w:t>
            </w:r>
          </w:p>
        </w:tc>
        <w:tc>
          <w:tcPr>
            <w:tcW w:w="1335" w:type="dxa"/>
          </w:tcPr>
          <w:p>
            <w:pPr>
              <w:pStyle w:val="TableParagraph"/>
              <w:spacing w:before="46"/>
              <w:ind w:left="286" w:right="159"/>
              <w:jc w:val="center"/>
              <w:rPr>
                <w:sz w:val="24"/>
              </w:rPr>
            </w:pPr>
            <w:r>
              <w:rPr>
                <w:sz w:val="21"/>
              </w:rPr>
              <w:t>3A</w:t>
            </w:r>
            <w:r>
              <w:rPr>
                <w:sz w:val="24"/>
              </w:rPr>
              <w:t> </w:t>
            </w:r>
          </w:p>
        </w:tc>
        <w:tc>
          <w:tcPr>
            <w:tcW w:w="617" w:type="dxa"/>
          </w:tcPr>
          <w:p>
            <w:pPr>
              <w:pStyle w:val="TableParagraph"/>
              <w:spacing w:before="46"/>
              <w:ind w:left="133" w:right="2"/>
              <w:jc w:val="center"/>
              <w:rPr>
                <w:sz w:val="24"/>
              </w:rPr>
            </w:pPr>
            <w:r>
              <w:rPr>
                <w:sz w:val="21"/>
              </w:rPr>
              <w:t>89B</w:t>
            </w:r>
            <w:r>
              <w:rPr>
                <w:sz w:val="24"/>
              </w:rPr>
              <w:t> </w:t>
            </w:r>
          </w:p>
        </w:tc>
      </w:tr>
      <w:tr>
        <w:trPr>
          <w:trHeight w:val="361" w:hRule="atLeast"/>
        </w:trPr>
        <w:tc>
          <w:tcPr>
            <w:tcW w:w="1970" w:type="dxa"/>
            <w:vMerge/>
            <w:tcBorders>
              <w:top w:val="nil"/>
            </w:tcBorders>
          </w:tcPr>
          <w:p>
            <w:pPr>
              <w:rPr>
                <w:sz w:val="2"/>
                <w:szCs w:val="2"/>
              </w:rPr>
            </w:pPr>
          </w:p>
        </w:tc>
        <w:tc>
          <w:tcPr>
            <w:tcW w:w="1241" w:type="dxa"/>
          </w:tcPr>
          <w:p>
            <w:pPr>
              <w:pStyle w:val="TableParagraph"/>
              <w:spacing w:before="46"/>
              <w:ind w:right="383"/>
              <w:jc w:val="right"/>
              <w:rPr>
                <w:sz w:val="24"/>
              </w:rPr>
            </w:pPr>
            <w:r>
              <w:rPr>
                <w:sz w:val="21"/>
              </w:rPr>
              <w:t>―</w:t>
            </w:r>
            <w:r>
              <w:rPr>
                <w:sz w:val="24"/>
              </w:rPr>
              <w:t> </w:t>
            </w:r>
          </w:p>
        </w:tc>
        <w:tc>
          <w:tcPr>
            <w:tcW w:w="1250" w:type="dxa"/>
          </w:tcPr>
          <w:p>
            <w:pPr>
              <w:pStyle w:val="TableParagraph"/>
              <w:spacing w:before="46"/>
              <w:ind w:right="440"/>
              <w:jc w:val="right"/>
              <w:rPr>
                <w:sz w:val="24"/>
              </w:rPr>
            </w:pPr>
            <w:r>
              <w:rPr>
                <w:sz w:val="21"/>
              </w:rPr>
              <w:t>8</w:t>
            </w:r>
            <w:r>
              <w:rPr>
                <w:sz w:val="24"/>
              </w:rPr>
              <w:t> </w:t>
            </w:r>
          </w:p>
        </w:tc>
        <w:tc>
          <w:tcPr>
            <w:tcW w:w="2530" w:type="dxa"/>
          </w:tcPr>
          <w:p>
            <w:pPr>
              <w:pStyle w:val="TableParagraph"/>
              <w:spacing w:before="46"/>
              <w:ind w:left="351" w:right="224"/>
              <w:jc w:val="center"/>
              <w:rPr>
                <w:sz w:val="24"/>
              </w:rPr>
            </w:pPr>
            <w:r>
              <w:rPr>
                <w:sz w:val="21"/>
              </w:rPr>
              <w:t>MF/ABC8</w:t>
            </w:r>
            <w:r>
              <w:rPr>
                <w:sz w:val="24"/>
              </w:rPr>
              <w:t> </w:t>
            </w:r>
          </w:p>
        </w:tc>
        <w:tc>
          <w:tcPr>
            <w:tcW w:w="1335" w:type="dxa"/>
          </w:tcPr>
          <w:p>
            <w:pPr>
              <w:pStyle w:val="TableParagraph"/>
              <w:spacing w:before="46"/>
              <w:ind w:left="286" w:right="159"/>
              <w:jc w:val="center"/>
              <w:rPr>
                <w:sz w:val="24"/>
              </w:rPr>
            </w:pPr>
            <w:r>
              <w:rPr>
                <w:sz w:val="21"/>
              </w:rPr>
              <w:t>4A</w:t>
            </w:r>
            <w:r>
              <w:rPr>
                <w:sz w:val="24"/>
              </w:rPr>
              <w:t> </w:t>
            </w:r>
          </w:p>
        </w:tc>
        <w:tc>
          <w:tcPr>
            <w:tcW w:w="617" w:type="dxa"/>
          </w:tcPr>
          <w:p>
            <w:pPr>
              <w:pStyle w:val="TableParagraph"/>
              <w:spacing w:before="46"/>
              <w:ind w:left="145" w:right="2"/>
              <w:jc w:val="center"/>
              <w:rPr>
                <w:sz w:val="24"/>
              </w:rPr>
            </w:pPr>
            <w:r>
              <w:rPr>
                <w:sz w:val="21"/>
              </w:rPr>
              <w:t>144B</w:t>
            </w:r>
            <w:r>
              <w:rPr>
                <w:sz w:val="24"/>
              </w:rPr>
              <w:t> </w:t>
            </w:r>
          </w:p>
        </w:tc>
      </w:tr>
      <w:tr>
        <w:trPr>
          <w:trHeight w:val="359" w:hRule="atLeast"/>
        </w:trPr>
        <w:tc>
          <w:tcPr>
            <w:tcW w:w="1970" w:type="dxa"/>
            <w:vMerge/>
            <w:tcBorders>
              <w:top w:val="nil"/>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387"/>
              <w:jc w:val="right"/>
              <w:rPr>
                <w:sz w:val="24"/>
              </w:rPr>
            </w:pPr>
            <w:r>
              <w:rPr>
                <w:sz w:val="21"/>
              </w:rPr>
              <w:t>10</w:t>
            </w:r>
            <w:r>
              <w:rPr>
                <w:sz w:val="24"/>
              </w:rPr>
              <w:t> </w:t>
            </w:r>
          </w:p>
        </w:tc>
        <w:tc>
          <w:tcPr>
            <w:tcW w:w="2530" w:type="dxa"/>
          </w:tcPr>
          <w:p>
            <w:pPr>
              <w:pStyle w:val="TableParagraph"/>
              <w:spacing w:before="44"/>
              <w:ind w:left="351" w:right="224"/>
              <w:jc w:val="center"/>
              <w:rPr>
                <w:sz w:val="24"/>
              </w:rPr>
            </w:pPr>
            <w:r>
              <w:rPr>
                <w:sz w:val="21"/>
              </w:rPr>
              <w:t>MF/ABC10</w:t>
            </w:r>
            <w:r>
              <w:rPr>
                <w:sz w:val="24"/>
              </w:rPr>
              <w:t> </w:t>
            </w:r>
          </w:p>
        </w:tc>
        <w:tc>
          <w:tcPr>
            <w:tcW w:w="1335" w:type="dxa"/>
          </w:tcPr>
          <w:p>
            <w:pPr>
              <w:pStyle w:val="TableParagraph"/>
              <w:spacing w:before="44"/>
              <w:ind w:left="286" w:right="159"/>
              <w:jc w:val="center"/>
              <w:rPr>
                <w:sz w:val="24"/>
              </w:rPr>
            </w:pPr>
            <w:r>
              <w:rPr>
                <w:sz w:val="21"/>
              </w:rPr>
              <w:t>6A</w:t>
            </w:r>
            <w:r>
              <w:rPr>
                <w:sz w:val="24"/>
              </w:rPr>
              <w:t> </w:t>
            </w:r>
          </w:p>
        </w:tc>
        <w:tc>
          <w:tcPr>
            <w:tcW w:w="617" w:type="dxa"/>
          </w:tcPr>
          <w:p>
            <w:pPr>
              <w:pStyle w:val="TableParagraph"/>
              <w:spacing w:before="44"/>
              <w:ind w:left="145" w:right="2"/>
              <w:jc w:val="center"/>
              <w:rPr>
                <w:sz w:val="24"/>
              </w:rPr>
            </w:pPr>
            <w:r>
              <w:rPr>
                <w:sz w:val="21"/>
              </w:rPr>
              <w:t>144B</w:t>
            </w:r>
            <w:r>
              <w:rPr>
                <w:sz w:val="24"/>
              </w:rPr>
              <w:t> </w:t>
            </w:r>
          </w:p>
        </w:tc>
      </w:tr>
      <w:tr>
        <w:trPr>
          <w:trHeight w:val="357" w:hRule="atLeast"/>
        </w:trPr>
        <w:tc>
          <w:tcPr>
            <w:tcW w:w="1970" w:type="dxa"/>
            <w:vMerge w:val="restart"/>
            <w:tcBorders>
              <w:bottom w:val="single" w:sz="6" w:space="0" w:color="000000"/>
            </w:tcBorders>
          </w:tcPr>
          <w:p>
            <w:pPr>
              <w:pStyle w:val="TableParagraph"/>
              <w:rPr>
                <w:b/>
                <w:sz w:val="20"/>
              </w:rPr>
            </w:pPr>
          </w:p>
          <w:p>
            <w:pPr>
              <w:pStyle w:val="TableParagraph"/>
              <w:rPr>
                <w:b/>
                <w:sz w:val="20"/>
              </w:rPr>
            </w:pPr>
          </w:p>
          <w:p>
            <w:pPr>
              <w:pStyle w:val="TableParagraph"/>
              <w:spacing w:before="136"/>
              <w:ind w:left="380" w:right="265"/>
              <w:jc w:val="center"/>
              <w:rPr>
                <w:sz w:val="21"/>
              </w:rPr>
            </w:pPr>
            <w:r>
              <w:rPr>
                <w:sz w:val="21"/>
              </w:rPr>
              <w:t>卤代烷 </w:t>
            </w:r>
          </w:p>
          <w:p>
            <w:pPr>
              <w:pStyle w:val="TableParagraph"/>
              <w:spacing w:before="2"/>
              <w:ind w:left="392" w:right="265"/>
              <w:jc w:val="center"/>
              <w:rPr>
                <w:sz w:val="24"/>
              </w:rPr>
            </w:pPr>
            <w:r>
              <w:rPr>
                <w:sz w:val="21"/>
              </w:rPr>
              <w:t>（1211）</w:t>
            </w:r>
            <w:r>
              <w:rPr>
                <w:sz w:val="24"/>
              </w:rPr>
              <w:t> </w:t>
            </w: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1</w:t>
            </w:r>
            <w:r>
              <w:rPr>
                <w:sz w:val="24"/>
              </w:rPr>
              <w:t> </w:t>
            </w:r>
          </w:p>
        </w:tc>
        <w:tc>
          <w:tcPr>
            <w:tcW w:w="2530" w:type="dxa"/>
          </w:tcPr>
          <w:p>
            <w:pPr>
              <w:pStyle w:val="TableParagraph"/>
              <w:spacing w:before="44"/>
              <w:ind w:left="351" w:right="222"/>
              <w:jc w:val="center"/>
              <w:rPr>
                <w:sz w:val="24"/>
              </w:rPr>
            </w:pPr>
            <w:r>
              <w:rPr>
                <w:sz w:val="21"/>
              </w:rPr>
              <w:t>MY1</w:t>
            </w:r>
            <w:r>
              <w:rPr>
                <w:sz w:val="24"/>
              </w:rPr>
              <w:t> </w:t>
            </w:r>
          </w:p>
        </w:tc>
        <w:tc>
          <w:tcPr>
            <w:tcW w:w="1335" w:type="dxa"/>
          </w:tcPr>
          <w:p>
            <w:pPr>
              <w:pStyle w:val="TableParagraph"/>
              <w:spacing w:before="44"/>
              <w:ind w:left="286" w:right="159"/>
              <w:jc w:val="center"/>
              <w:rPr>
                <w:sz w:val="24"/>
              </w:rPr>
            </w:pPr>
            <w:r>
              <w:rPr>
                <w:sz w:val="21"/>
              </w:rPr>
              <w:t>―</w:t>
            </w:r>
            <w:r>
              <w:rPr>
                <w:sz w:val="24"/>
              </w:rPr>
              <w:t> </w:t>
            </w:r>
          </w:p>
        </w:tc>
        <w:tc>
          <w:tcPr>
            <w:tcW w:w="617" w:type="dxa"/>
          </w:tcPr>
          <w:p>
            <w:pPr>
              <w:pStyle w:val="TableParagraph"/>
              <w:spacing w:before="44"/>
              <w:ind w:left="133" w:right="2"/>
              <w:jc w:val="center"/>
              <w:rPr>
                <w:sz w:val="24"/>
              </w:rPr>
            </w:pPr>
            <w:r>
              <w:rPr>
                <w:sz w:val="21"/>
              </w:rPr>
              <w:t>21B</w:t>
            </w:r>
            <w:r>
              <w:rPr>
                <w:sz w:val="24"/>
              </w:rPr>
              <w:t> </w:t>
            </w:r>
          </w:p>
        </w:tc>
      </w:tr>
      <w:tr>
        <w:trPr>
          <w:trHeight w:val="354" w:hRule="atLeast"/>
        </w:trPr>
        <w:tc>
          <w:tcPr>
            <w:tcW w:w="1970" w:type="dxa"/>
            <w:vMerge/>
            <w:tcBorders>
              <w:top w:val="nil"/>
              <w:bottom w:val="single" w:sz="6" w:space="0" w:color="000000"/>
            </w:tcBorders>
          </w:tcPr>
          <w:p>
            <w:pPr>
              <w:rPr>
                <w:sz w:val="2"/>
                <w:szCs w:val="2"/>
              </w:rPr>
            </w:pPr>
          </w:p>
        </w:tc>
        <w:tc>
          <w:tcPr>
            <w:tcW w:w="1241" w:type="dxa"/>
          </w:tcPr>
          <w:p>
            <w:pPr>
              <w:pStyle w:val="TableParagraph"/>
              <w:spacing w:before="41"/>
              <w:ind w:right="383"/>
              <w:jc w:val="right"/>
              <w:rPr>
                <w:sz w:val="24"/>
              </w:rPr>
            </w:pPr>
            <w:r>
              <w:rPr>
                <w:sz w:val="21"/>
              </w:rPr>
              <w:t>―</w:t>
            </w:r>
            <w:r>
              <w:rPr>
                <w:sz w:val="24"/>
              </w:rPr>
              <w:t> </w:t>
            </w:r>
          </w:p>
        </w:tc>
        <w:tc>
          <w:tcPr>
            <w:tcW w:w="1250" w:type="dxa"/>
          </w:tcPr>
          <w:p>
            <w:pPr>
              <w:pStyle w:val="TableParagraph"/>
              <w:spacing w:before="41"/>
              <w:ind w:right="440"/>
              <w:jc w:val="right"/>
              <w:rPr>
                <w:sz w:val="24"/>
              </w:rPr>
            </w:pPr>
            <w:r>
              <w:rPr>
                <w:sz w:val="21"/>
              </w:rPr>
              <w:t>2</w:t>
            </w:r>
            <w:r>
              <w:rPr>
                <w:sz w:val="24"/>
              </w:rPr>
              <w:t> </w:t>
            </w:r>
          </w:p>
        </w:tc>
        <w:tc>
          <w:tcPr>
            <w:tcW w:w="2530" w:type="dxa"/>
          </w:tcPr>
          <w:p>
            <w:pPr>
              <w:pStyle w:val="TableParagraph"/>
              <w:spacing w:before="41"/>
              <w:ind w:left="351" w:right="222"/>
              <w:jc w:val="center"/>
              <w:rPr>
                <w:sz w:val="24"/>
              </w:rPr>
            </w:pPr>
            <w:r>
              <w:rPr>
                <w:sz w:val="21"/>
              </w:rPr>
              <w:t>MY2</w:t>
            </w:r>
            <w:r>
              <w:rPr>
                <w:sz w:val="24"/>
              </w:rPr>
              <w:t> </w:t>
            </w:r>
          </w:p>
        </w:tc>
        <w:tc>
          <w:tcPr>
            <w:tcW w:w="1335" w:type="dxa"/>
          </w:tcPr>
          <w:p>
            <w:pPr>
              <w:pStyle w:val="TableParagraph"/>
              <w:spacing w:before="41"/>
              <w:ind w:left="286" w:right="159"/>
              <w:jc w:val="center"/>
              <w:rPr>
                <w:sz w:val="24"/>
              </w:rPr>
            </w:pPr>
            <w:r>
              <w:rPr>
                <w:sz w:val="21"/>
              </w:rPr>
              <w:t>（0.5A）</w:t>
            </w:r>
            <w:r>
              <w:rPr>
                <w:sz w:val="24"/>
              </w:rPr>
              <w:t> </w:t>
            </w:r>
          </w:p>
        </w:tc>
        <w:tc>
          <w:tcPr>
            <w:tcW w:w="617" w:type="dxa"/>
          </w:tcPr>
          <w:p>
            <w:pPr>
              <w:pStyle w:val="TableParagraph"/>
              <w:spacing w:before="41"/>
              <w:ind w:left="133" w:right="2"/>
              <w:jc w:val="center"/>
              <w:rPr>
                <w:sz w:val="24"/>
              </w:rPr>
            </w:pPr>
            <w:r>
              <w:rPr>
                <w:sz w:val="21"/>
              </w:rPr>
              <w:t>21B</w:t>
            </w:r>
            <w:r>
              <w:rPr>
                <w:sz w:val="24"/>
              </w:rPr>
              <w:t> </w:t>
            </w:r>
          </w:p>
        </w:tc>
      </w:tr>
      <w:tr>
        <w:trPr>
          <w:trHeight w:val="354" w:hRule="atLeast"/>
        </w:trPr>
        <w:tc>
          <w:tcPr>
            <w:tcW w:w="1970" w:type="dxa"/>
            <w:vMerge/>
            <w:tcBorders>
              <w:top w:val="nil"/>
              <w:bottom w:val="single" w:sz="6" w:space="0" w:color="000000"/>
            </w:tcBorders>
          </w:tcPr>
          <w:p>
            <w:pPr>
              <w:rPr>
                <w:sz w:val="2"/>
                <w:szCs w:val="2"/>
              </w:rPr>
            </w:pPr>
          </w:p>
        </w:tc>
        <w:tc>
          <w:tcPr>
            <w:tcW w:w="1241" w:type="dxa"/>
          </w:tcPr>
          <w:p>
            <w:pPr>
              <w:pStyle w:val="TableParagraph"/>
              <w:spacing w:before="41"/>
              <w:ind w:right="383"/>
              <w:jc w:val="right"/>
              <w:rPr>
                <w:sz w:val="24"/>
              </w:rPr>
            </w:pPr>
            <w:r>
              <w:rPr>
                <w:sz w:val="21"/>
              </w:rPr>
              <w:t>―</w:t>
            </w:r>
            <w:r>
              <w:rPr>
                <w:sz w:val="24"/>
              </w:rPr>
              <w:t> </w:t>
            </w:r>
          </w:p>
        </w:tc>
        <w:tc>
          <w:tcPr>
            <w:tcW w:w="1250" w:type="dxa"/>
          </w:tcPr>
          <w:p>
            <w:pPr>
              <w:pStyle w:val="TableParagraph"/>
              <w:spacing w:before="41"/>
              <w:ind w:right="440"/>
              <w:jc w:val="right"/>
              <w:rPr>
                <w:sz w:val="24"/>
              </w:rPr>
            </w:pPr>
            <w:r>
              <w:rPr>
                <w:sz w:val="21"/>
              </w:rPr>
              <w:t>3</w:t>
            </w:r>
            <w:r>
              <w:rPr>
                <w:sz w:val="24"/>
              </w:rPr>
              <w:t> </w:t>
            </w:r>
          </w:p>
        </w:tc>
        <w:tc>
          <w:tcPr>
            <w:tcW w:w="2530" w:type="dxa"/>
          </w:tcPr>
          <w:p>
            <w:pPr>
              <w:pStyle w:val="TableParagraph"/>
              <w:spacing w:before="41"/>
              <w:ind w:left="351" w:right="222"/>
              <w:jc w:val="center"/>
              <w:rPr>
                <w:sz w:val="24"/>
              </w:rPr>
            </w:pPr>
            <w:r>
              <w:rPr>
                <w:sz w:val="21"/>
              </w:rPr>
              <w:t>MY3</w:t>
            </w:r>
            <w:r>
              <w:rPr>
                <w:sz w:val="24"/>
              </w:rPr>
              <w:t> </w:t>
            </w:r>
          </w:p>
        </w:tc>
        <w:tc>
          <w:tcPr>
            <w:tcW w:w="1335" w:type="dxa"/>
          </w:tcPr>
          <w:p>
            <w:pPr>
              <w:pStyle w:val="TableParagraph"/>
              <w:spacing w:before="41"/>
              <w:ind w:left="286" w:right="159"/>
              <w:jc w:val="center"/>
              <w:rPr>
                <w:sz w:val="24"/>
              </w:rPr>
            </w:pPr>
            <w:r>
              <w:rPr>
                <w:sz w:val="21"/>
              </w:rPr>
              <w:t>（0.5A）</w:t>
            </w:r>
            <w:r>
              <w:rPr>
                <w:sz w:val="24"/>
              </w:rPr>
              <w:t> </w:t>
            </w:r>
          </w:p>
        </w:tc>
        <w:tc>
          <w:tcPr>
            <w:tcW w:w="617" w:type="dxa"/>
          </w:tcPr>
          <w:p>
            <w:pPr>
              <w:pStyle w:val="TableParagraph"/>
              <w:spacing w:before="41"/>
              <w:ind w:left="133" w:right="2"/>
              <w:jc w:val="center"/>
              <w:rPr>
                <w:sz w:val="24"/>
              </w:rPr>
            </w:pPr>
            <w:r>
              <w:rPr>
                <w:sz w:val="21"/>
              </w:rPr>
              <w:t>34B</w:t>
            </w:r>
            <w:r>
              <w:rPr>
                <w:sz w:val="24"/>
              </w:rPr>
              <w:t> </w:t>
            </w:r>
          </w:p>
        </w:tc>
      </w:tr>
      <w:tr>
        <w:trPr>
          <w:trHeight w:val="354" w:hRule="atLeast"/>
        </w:trPr>
        <w:tc>
          <w:tcPr>
            <w:tcW w:w="1970" w:type="dxa"/>
            <w:vMerge/>
            <w:tcBorders>
              <w:top w:val="nil"/>
              <w:bottom w:val="single" w:sz="6" w:space="0" w:color="000000"/>
            </w:tcBorders>
          </w:tcPr>
          <w:p>
            <w:pPr>
              <w:rPr>
                <w:sz w:val="2"/>
                <w:szCs w:val="2"/>
              </w:rPr>
            </w:pPr>
          </w:p>
        </w:tc>
        <w:tc>
          <w:tcPr>
            <w:tcW w:w="1241" w:type="dxa"/>
          </w:tcPr>
          <w:p>
            <w:pPr>
              <w:pStyle w:val="TableParagraph"/>
              <w:spacing w:before="44"/>
              <w:ind w:right="383"/>
              <w:jc w:val="right"/>
              <w:rPr>
                <w:sz w:val="24"/>
              </w:rPr>
            </w:pPr>
            <w:r>
              <w:rPr>
                <w:sz w:val="21"/>
              </w:rPr>
              <w:t>―</w:t>
            </w:r>
            <w:r>
              <w:rPr>
                <w:sz w:val="24"/>
              </w:rPr>
              <w:t> </w:t>
            </w:r>
          </w:p>
        </w:tc>
        <w:tc>
          <w:tcPr>
            <w:tcW w:w="1250" w:type="dxa"/>
          </w:tcPr>
          <w:p>
            <w:pPr>
              <w:pStyle w:val="TableParagraph"/>
              <w:spacing w:before="44"/>
              <w:ind w:right="440"/>
              <w:jc w:val="right"/>
              <w:rPr>
                <w:sz w:val="24"/>
              </w:rPr>
            </w:pPr>
            <w:r>
              <w:rPr>
                <w:sz w:val="21"/>
              </w:rPr>
              <w:t>4</w:t>
            </w:r>
            <w:r>
              <w:rPr>
                <w:sz w:val="24"/>
              </w:rPr>
              <w:t> </w:t>
            </w:r>
          </w:p>
        </w:tc>
        <w:tc>
          <w:tcPr>
            <w:tcW w:w="2530" w:type="dxa"/>
          </w:tcPr>
          <w:p>
            <w:pPr>
              <w:pStyle w:val="TableParagraph"/>
              <w:spacing w:before="44"/>
              <w:ind w:left="351" w:right="222"/>
              <w:jc w:val="center"/>
              <w:rPr>
                <w:sz w:val="24"/>
              </w:rPr>
            </w:pPr>
            <w:r>
              <w:rPr>
                <w:sz w:val="21"/>
              </w:rPr>
              <w:t>MY4</w:t>
            </w:r>
            <w:r>
              <w:rPr>
                <w:sz w:val="24"/>
              </w:rPr>
              <w:t> </w:t>
            </w:r>
          </w:p>
        </w:tc>
        <w:tc>
          <w:tcPr>
            <w:tcW w:w="1335" w:type="dxa"/>
          </w:tcPr>
          <w:p>
            <w:pPr>
              <w:pStyle w:val="TableParagraph"/>
              <w:spacing w:before="44"/>
              <w:ind w:left="286" w:right="159"/>
              <w:jc w:val="center"/>
              <w:rPr>
                <w:sz w:val="24"/>
              </w:rPr>
            </w:pPr>
            <w:r>
              <w:rPr>
                <w:sz w:val="21"/>
              </w:rPr>
              <w:t>1A</w:t>
            </w:r>
            <w:r>
              <w:rPr>
                <w:sz w:val="24"/>
              </w:rPr>
              <w:t> </w:t>
            </w:r>
          </w:p>
        </w:tc>
        <w:tc>
          <w:tcPr>
            <w:tcW w:w="617" w:type="dxa"/>
          </w:tcPr>
          <w:p>
            <w:pPr>
              <w:pStyle w:val="TableParagraph"/>
              <w:spacing w:before="44"/>
              <w:ind w:left="133" w:right="2"/>
              <w:jc w:val="center"/>
              <w:rPr>
                <w:sz w:val="24"/>
              </w:rPr>
            </w:pPr>
            <w:r>
              <w:rPr>
                <w:sz w:val="21"/>
              </w:rPr>
              <w:t>34B</w:t>
            </w:r>
            <w:r>
              <w:rPr>
                <w:sz w:val="24"/>
              </w:rPr>
              <w:t> </w:t>
            </w:r>
          </w:p>
        </w:tc>
      </w:tr>
      <w:tr>
        <w:trPr>
          <w:trHeight w:val="357" w:hRule="atLeast"/>
        </w:trPr>
        <w:tc>
          <w:tcPr>
            <w:tcW w:w="1970" w:type="dxa"/>
            <w:vMerge/>
            <w:tcBorders>
              <w:top w:val="nil"/>
              <w:bottom w:val="single" w:sz="6" w:space="0" w:color="000000"/>
            </w:tcBorders>
          </w:tcPr>
          <w:p>
            <w:pPr>
              <w:rPr>
                <w:sz w:val="2"/>
                <w:szCs w:val="2"/>
              </w:rPr>
            </w:pPr>
          </w:p>
        </w:tc>
        <w:tc>
          <w:tcPr>
            <w:tcW w:w="1241" w:type="dxa"/>
            <w:tcBorders>
              <w:bottom w:val="single" w:sz="6" w:space="0" w:color="000000"/>
            </w:tcBorders>
          </w:tcPr>
          <w:p>
            <w:pPr>
              <w:pStyle w:val="TableParagraph"/>
              <w:spacing w:before="44"/>
              <w:ind w:right="383"/>
              <w:jc w:val="right"/>
              <w:rPr>
                <w:sz w:val="24"/>
              </w:rPr>
            </w:pPr>
            <w:r>
              <w:rPr>
                <w:sz w:val="21"/>
              </w:rPr>
              <w:t>―</w:t>
            </w:r>
            <w:r>
              <w:rPr>
                <w:sz w:val="24"/>
              </w:rPr>
              <w:t> </w:t>
            </w:r>
          </w:p>
        </w:tc>
        <w:tc>
          <w:tcPr>
            <w:tcW w:w="1250" w:type="dxa"/>
            <w:tcBorders>
              <w:bottom w:val="single" w:sz="6" w:space="0" w:color="000000"/>
            </w:tcBorders>
          </w:tcPr>
          <w:p>
            <w:pPr>
              <w:pStyle w:val="TableParagraph"/>
              <w:spacing w:before="44"/>
              <w:ind w:right="440"/>
              <w:jc w:val="right"/>
              <w:rPr>
                <w:sz w:val="24"/>
              </w:rPr>
            </w:pPr>
            <w:r>
              <w:rPr>
                <w:sz w:val="21"/>
              </w:rPr>
              <w:t>6</w:t>
            </w:r>
            <w:r>
              <w:rPr>
                <w:sz w:val="24"/>
              </w:rPr>
              <w:t> </w:t>
            </w:r>
          </w:p>
        </w:tc>
        <w:tc>
          <w:tcPr>
            <w:tcW w:w="2530" w:type="dxa"/>
            <w:tcBorders>
              <w:bottom w:val="single" w:sz="6" w:space="0" w:color="000000"/>
            </w:tcBorders>
          </w:tcPr>
          <w:p>
            <w:pPr>
              <w:pStyle w:val="TableParagraph"/>
              <w:spacing w:before="44"/>
              <w:ind w:left="351" w:right="222"/>
              <w:jc w:val="center"/>
              <w:rPr>
                <w:sz w:val="24"/>
              </w:rPr>
            </w:pPr>
            <w:r>
              <w:rPr>
                <w:sz w:val="21"/>
              </w:rPr>
              <w:t>MY6</w:t>
            </w:r>
            <w:r>
              <w:rPr>
                <w:sz w:val="24"/>
              </w:rPr>
              <w:t> </w:t>
            </w:r>
          </w:p>
        </w:tc>
        <w:tc>
          <w:tcPr>
            <w:tcW w:w="1335" w:type="dxa"/>
            <w:tcBorders>
              <w:bottom w:val="single" w:sz="6" w:space="0" w:color="000000"/>
            </w:tcBorders>
          </w:tcPr>
          <w:p>
            <w:pPr>
              <w:pStyle w:val="TableParagraph"/>
              <w:spacing w:before="44"/>
              <w:ind w:left="286" w:right="159"/>
              <w:jc w:val="center"/>
              <w:rPr>
                <w:sz w:val="24"/>
              </w:rPr>
            </w:pPr>
            <w:r>
              <w:rPr>
                <w:sz w:val="21"/>
              </w:rPr>
              <w:t>1A</w:t>
            </w:r>
            <w:r>
              <w:rPr>
                <w:sz w:val="24"/>
              </w:rPr>
              <w:t> </w:t>
            </w:r>
          </w:p>
        </w:tc>
        <w:tc>
          <w:tcPr>
            <w:tcW w:w="617" w:type="dxa"/>
            <w:tcBorders>
              <w:bottom w:val="single" w:sz="6" w:space="0" w:color="000000"/>
            </w:tcBorders>
          </w:tcPr>
          <w:p>
            <w:pPr>
              <w:pStyle w:val="TableParagraph"/>
              <w:spacing w:before="44"/>
              <w:ind w:left="133" w:right="2"/>
              <w:jc w:val="center"/>
              <w:rPr>
                <w:sz w:val="24"/>
              </w:rPr>
            </w:pPr>
            <w:r>
              <w:rPr>
                <w:sz w:val="21"/>
              </w:rPr>
              <w:t>55B</w:t>
            </w:r>
            <w:r>
              <w:rPr>
                <w:sz w:val="24"/>
              </w:rPr>
              <w:t> </w:t>
            </w:r>
          </w:p>
        </w:tc>
      </w:tr>
      <w:tr>
        <w:trPr>
          <w:trHeight w:val="400" w:hRule="atLeast"/>
        </w:trPr>
        <w:tc>
          <w:tcPr>
            <w:tcW w:w="1970" w:type="dxa"/>
            <w:vMerge w:val="restart"/>
            <w:tcBorders>
              <w:top w:val="single" w:sz="6" w:space="0" w:color="000000"/>
            </w:tcBorders>
          </w:tcPr>
          <w:p>
            <w:pPr>
              <w:pStyle w:val="TableParagraph"/>
              <w:rPr>
                <w:b/>
                <w:sz w:val="24"/>
              </w:rPr>
            </w:pPr>
          </w:p>
          <w:p>
            <w:pPr>
              <w:pStyle w:val="TableParagraph"/>
              <w:spacing w:before="171"/>
              <w:ind w:left="563"/>
              <w:rPr>
                <w:sz w:val="24"/>
              </w:rPr>
            </w:pPr>
            <w:r>
              <w:rPr>
                <w:sz w:val="21"/>
              </w:rPr>
              <w:t>二氧化碳</w:t>
            </w:r>
            <w:r>
              <w:rPr>
                <w:sz w:val="24"/>
              </w:rPr>
              <w:t> </w:t>
            </w:r>
          </w:p>
        </w:tc>
        <w:tc>
          <w:tcPr>
            <w:tcW w:w="1241" w:type="dxa"/>
            <w:tcBorders>
              <w:top w:val="single" w:sz="6" w:space="0" w:color="000000"/>
            </w:tcBorders>
          </w:tcPr>
          <w:p>
            <w:pPr>
              <w:pStyle w:val="TableParagraph"/>
              <w:spacing w:before="63"/>
              <w:ind w:right="383"/>
              <w:jc w:val="right"/>
              <w:rPr>
                <w:sz w:val="24"/>
              </w:rPr>
            </w:pPr>
            <w:r>
              <w:rPr>
                <w:sz w:val="21"/>
              </w:rPr>
              <w:t>―</w:t>
            </w:r>
            <w:r>
              <w:rPr>
                <w:sz w:val="24"/>
              </w:rPr>
              <w:t> </w:t>
            </w:r>
          </w:p>
        </w:tc>
        <w:tc>
          <w:tcPr>
            <w:tcW w:w="1250" w:type="dxa"/>
            <w:tcBorders>
              <w:top w:val="single" w:sz="6" w:space="0" w:color="000000"/>
            </w:tcBorders>
          </w:tcPr>
          <w:p>
            <w:pPr>
              <w:pStyle w:val="TableParagraph"/>
              <w:spacing w:before="63"/>
              <w:ind w:right="440"/>
              <w:jc w:val="right"/>
              <w:rPr>
                <w:sz w:val="24"/>
              </w:rPr>
            </w:pPr>
            <w:r>
              <w:rPr>
                <w:sz w:val="21"/>
              </w:rPr>
              <w:t>2</w:t>
            </w:r>
            <w:r>
              <w:rPr>
                <w:sz w:val="24"/>
              </w:rPr>
              <w:t> </w:t>
            </w:r>
          </w:p>
        </w:tc>
        <w:tc>
          <w:tcPr>
            <w:tcW w:w="2530" w:type="dxa"/>
            <w:tcBorders>
              <w:top w:val="single" w:sz="6" w:space="0" w:color="000000"/>
            </w:tcBorders>
          </w:tcPr>
          <w:p>
            <w:pPr>
              <w:pStyle w:val="TableParagraph"/>
              <w:spacing w:before="63"/>
              <w:ind w:left="351" w:right="222"/>
              <w:jc w:val="center"/>
              <w:rPr>
                <w:sz w:val="24"/>
              </w:rPr>
            </w:pPr>
            <w:r>
              <w:rPr>
                <w:sz w:val="21"/>
              </w:rPr>
              <w:t>MT2</w:t>
            </w:r>
            <w:r>
              <w:rPr>
                <w:sz w:val="24"/>
              </w:rPr>
              <w:t> </w:t>
            </w:r>
          </w:p>
        </w:tc>
        <w:tc>
          <w:tcPr>
            <w:tcW w:w="1335" w:type="dxa"/>
            <w:tcBorders>
              <w:top w:val="single" w:sz="6" w:space="0" w:color="000000"/>
            </w:tcBorders>
          </w:tcPr>
          <w:p>
            <w:pPr>
              <w:pStyle w:val="TableParagraph"/>
              <w:spacing w:before="63"/>
              <w:ind w:left="286" w:right="159"/>
              <w:jc w:val="center"/>
              <w:rPr>
                <w:sz w:val="24"/>
              </w:rPr>
            </w:pPr>
            <w:r>
              <w:rPr>
                <w:sz w:val="21"/>
              </w:rPr>
              <w:t>―</w:t>
            </w:r>
            <w:r>
              <w:rPr>
                <w:sz w:val="24"/>
              </w:rPr>
              <w:t> </w:t>
            </w:r>
          </w:p>
        </w:tc>
        <w:tc>
          <w:tcPr>
            <w:tcW w:w="617" w:type="dxa"/>
            <w:tcBorders>
              <w:top w:val="single" w:sz="6" w:space="0" w:color="000000"/>
            </w:tcBorders>
          </w:tcPr>
          <w:p>
            <w:pPr>
              <w:pStyle w:val="TableParagraph"/>
              <w:spacing w:before="63"/>
              <w:ind w:left="133" w:right="2"/>
              <w:jc w:val="center"/>
              <w:rPr>
                <w:sz w:val="24"/>
              </w:rPr>
            </w:pPr>
            <w:r>
              <w:rPr>
                <w:sz w:val="21"/>
              </w:rPr>
              <w:t>21B</w:t>
            </w:r>
            <w:r>
              <w:rPr>
                <w:sz w:val="24"/>
              </w:rPr>
              <w:t> </w:t>
            </w:r>
          </w:p>
        </w:tc>
      </w:tr>
      <w:tr>
        <w:trPr>
          <w:trHeight w:val="405" w:hRule="atLeast"/>
        </w:trPr>
        <w:tc>
          <w:tcPr>
            <w:tcW w:w="1970" w:type="dxa"/>
            <w:vMerge/>
            <w:tcBorders>
              <w:top w:val="nil"/>
            </w:tcBorders>
          </w:tcPr>
          <w:p>
            <w:pPr>
              <w:rPr>
                <w:sz w:val="2"/>
                <w:szCs w:val="2"/>
              </w:rPr>
            </w:pPr>
          </w:p>
        </w:tc>
        <w:tc>
          <w:tcPr>
            <w:tcW w:w="1241" w:type="dxa"/>
          </w:tcPr>
          <w:p>
            <w:pPr>
              <w:pStyle w:val="TableParagraph"/>
              <w:spacing w:before="68"/>
              <w:ind w:right="383"/>
              <w:jc w:val="right"/>
              <w:rPr>
                <w:sz w:val="24"/>
              </w:rPr>
            </w:pPr>
            <w:r>
              <w:rPr>
                <w:sz w:val="21"/>
              </w:rPr>
              <w:t>―</w:t>
            </w:r>
            <w:r>
              <w:rPr>
                <w:sz w:val="24"/>
              </w:rPr>
              <w:t> </w:t>
            </w:r>
          </w:p>
        </w:tc>
        <w:tc>
          <w:tcPr>
            <w:tcW w:w="1250" w:type="dxa"/>
          </w:tcPr>
          <w:p>
            <w:pPr>
              <w:pStyle w:val="TableParagraph"/>
              <w:spacing w:before="68"/>
              <w:ind w:right="440"/>
              <w:jc w:val="right"/>
              <w:rPr>
                <w:sz w:val="24"/>
              </w:rPr>
            </w:pPr>
            <w:r>
              <w:rPr>
                <w:sz w:val="21"/>
              </w:rPr>
              <w:t>3</w:t>
            </w:r>
            <w:r>
              <w:rPr>
                <w:sz w:val="24"/>
              </w:rPr>
              <w:t> </w:t>
            </w:r>
          </w:p>
        </w:tc>
        <w:tc>
          <w:tcPr>
            <w:tcW w:w="2530" w:type="dxa"/>
          </w:tcPr>
          <w:p>
            <w:pPr>
              <w:pStyle w:val="TableParagraph"/>
              <w:spacing w:before="68"/>
              <w:ind w:left="351" w:right="222"/>
              <w:jc w:val="center"/>
              <w:rPr>
                <w:sz w:val="24"/>
              </w:rPr>
            </w:pPr>
            <w:r>
              <w:rPr>
                <w:sz w:val="21"/>
              </w:rPr>
              <w:t>MT3</w:t>
            </w:r>
            <w:r>
              <w:rPr>
                <w:sz w:val="24"/>
              </w:rPr>
              <w:t> </w:t>
            </w:r>
          </w:p>
        </w:tc>
        <w:tc>
          <w:tcPr>
            <w:tcW w:w="1335" w:type="dxa"/>
          </w:tcPr>
          <w:p>
            <w:pPr>
              <w:pStyle w:val="TableParagraph"/>
              <w:spacing w:before="68"/>
              <w:ind w:left="286" w:right="159"/>
              <w:jc w:val="center"/>
              <w:rPr>
                <w:sz w:val="24"/>
              </w:rPr>
            </w:pPr>
            <w:r>
              <w:rPr>
                <w:sz w:val="21"/>
              </w:rPr>
              <w:t>―</w:t>
            </w:r>
            <w:r>
              <w:rPr>
                <w:sz w:val="24"/>
              </w:rPr>
              <w:t> </w:t>
            </w:r>
          </w:p>
        </w:tc>
        <w:tc>
          <w:tcPr>
            <w:tcW w:w="617" w:type="dxa"/>
          </w:tcPr>
          <w:p>
            <w:pPr>
              <w:pStyle w:val="TableParagraph"/>
              <w:spacing w:before="68"/>
              <w:ind w:left="133" w:right="2"/>
              <w:jc w:val="center"/>
              <w:rPr>
                <w:sz w:val="24"/>
              </w:rPr>
            </w:pPr>
            <w:r>
              <w:rPr>
                <w:sz w:val="21"/>
              </w:rPr>
              <w:t>21B</w:t>
            </w:r>
            <w:r>
              <w:rPr>
                <w:sz w:val="24"/>
              </w:rPr>
              <w:t> </w:t>
            </w:r>
          </w:p>
        </w:tc>
      </w:tr>
      <w:tr>
        <w:trPr>
          <w:trHeight w:val="405" w:hRule="atLeast"/>
        </w:trPr>
        <w:tc>
          <w:tcPr>
            <w:tcW w:w="1970" w:type="dxa"/>
            <w:vMerge/>
            <w:tcBorders>
              <w:top w:val="nil"/>
            </w:tcBorders>
          </w:tcPr>
          <w:p>
            <w:pPr>
              <w:rPr>
                <w:sz w:val="2"/>
                <w:szCs w:val="2"/>
              </w:rPr>
            </w:pPr>
          </w:p>
        </w:tc>
        <w:tc>
          <w:tcPr>
            <w:tcW w:w="1241" w:type="dxa"/>
          </w:tcPr>
          <w:p>
            <w:pPr>
              <w:pStyle w:val="TableParagraph"/>
              <w:spacing w:before="68"/>
              <w:ind w:right="383"/>
              <w:jc w:val="right"/>
              <w:rPr>
                <w:sz w:val="24"/>
              </w:rPr>
            </w:pPr>
            <w:r>
              <w:rPr>
                <w:sz w:val="21"/>
              </w:rPr>
              <w:t>―</w:t>
            </w:r>
            <w:r>
              <w:rPr>
                <w:sz w:val="24"/>
              </w:rPr>
              <w:t> </w:t>
            </w:r>
          </w:p>
        </w:tc>
        <w:tc>
          <w:tcPr>
            <w:tcW w:w="1250" w:type="dxa"/>
          </w:tcPr>
          <w:p>
            <w:pPr>
              <w:pStyle w:val="TableParagraph"/>
              <w:spacing w:before="68"/>
              <w:ind w:right="440"/>
              <w:jc w:val="right"/>
              <w:rPr>
                <w:sz w:val="24"/>
              </w:rPr>
            </w:pPr>
            <w:r>
              <w:rPr>
                <w:sz w:val="21"/>
              </w:rPr>
              <w:t>5</w:t>
            </w:r>
            <w:r>
              <w:rPr>
                <w:sz w:val="24"/>
              </w:rPr>
              <w:t> </w:t>
            </w:r>
          </w:p>
        </w:tc>
        <w:tc>
          <w:tcPr>
            <w:tcW w:w="2530" w:type="dxa"/>
          </w:tcPr>
          <w:p>
            <w:pPr>
              <w:pStyle w:val="TableParagraph"/>
              <w:spacing w:before="68"/>
              <w:ind w:left="351" w:right="222"/>
              <w:jc w:val="center"/>
              <w:rPr>
                <w:sz w:val="24"/>
              </w:rPr>
            </w:pPr>
            <w:r>
              <w:rPr>
                <w:sz w:val="21"/>
              </w:rPr>
              <w:t>MT5</w:t>
            </w:r>
            <w:r>
              <w:rPr>
                <w:sz w:val="24"/>
              </w:rPr>
              <w:t> </w:t>
            </w:r>
          </w:p>
        </w:tc>
        <w:tc>
          <w:tcPr>
            <w:tcW w:w="1335" w:type="dxa"/>
          </w:tcPr>
          <w:p>
            <w:pPr>
              <w:pStyle w:val="TableParagraph"/>
              <w:spacing w:before="68"/>
              <w:ind w:left="286" w:right="159"/>
              <w:jc w:val="center"/>
              <w:rPr>
                <w:sz w:val="24"/>
              </w:rPr>
            </w:pPr>
            <w:r>
              <w:rPr>
                <w:sz w:val="21"/>
              </w:rPr>
              <w:t>―</w:t>
            </w:r>
            <w:r>
              <w:rPr>
                <w:sz w:val="24"/>
              </w:rPr>
              <w:t> </w:t>
            </w:r>
          </w:p>
        </w:tc>
        <w:tc>
          <w:tcPr>
            <w:tcW w:w="617" w:type="dxa"/>
          </w:tcPr>
          <w:p>
            <w:pPr>
              <w:pStyle w:val="TableParagraph"/>
              <w:spacing w:before="68"/>
              <w:ind w:left="133" w:right="2"/>
              <w:jc w:val="center"/>
              <w:rPr>
                <w:sz w:val="24"/>
              </w:rPr>
            </w:pPr>
            <w:r>
              <w:rPr>
                <w:sz w:val="21"/>
              </w:rPr>
              <w:t>34B</w:t>
            </w:r>
            <w:r>
              <w:rPr>
                <w:sz w:val="24"/>
              </w:rPr>
              <w:t> </w:t>
            </w:r>
          </w:p>
        </w:tc>
      </w:tr>
    </w:tbl>
    <w:p>
      <w:pPr>
        <w:spacing w:after="0"/>
        <w:jc w:val="center"/>
        <w:rPr>
          <w:sz w:val="24"/>
        </w:rPr>
        <w:sectPr>
          <w:pgSz w:w="11910" w:h="16850"/>
          <w:pgMar w:header="0" w:footer="1159" w:top="1040" w:bottom="1420" w:left="1260" w:right="0"/>
        </w:sect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70"/>
        <w:gridCol w:w="1241"/>
        <w:gridCol w:w="1250"/>
        <w:gridCol w:w="2530"/>
        <w:gridCol w:w="1335"/>
        <w:gridCol w:w="617"/>
      </w:tblGrid>
      <w:tr>
        <w:trPr>
          <w:trHeight w:val="405" w:hRule="atLeast"/>
        </w:trPr>
        <w:tc>
          <w:tcPr>
            <w:tcW w:w="1970" w:type="dxa"/>
          </w:tcPr>
          <w:p>
            <w:pPr>
              <w:pStyle w:val="TableParagraph"/>
              <w:rPr>
                <w:rFonts w:ascii="Times New Roman"/>
                <w:sz w:val="20"/>
              </w:rPr>
            </w:pPr>
          </w:p>
        </w:tc>
        <w:tc>
          <w:tcPr>
            <w:tcW w:w="1241" w:type="dxa"/>
          </w:tcPr>
          <w:p>
            <w:pPr>
              <w:pStyle w:val="TableParagraph"/>
              <w:spacing w:before="65"/>
              <w:ind w:left="514"/>
              <w:rPr>
                <w:sz w:val="24"/>
              </w:rPr>
            </w:pPr>
            <w:r>
              <w:rPr>
                <w:sz w:val="21"/>
              </w:rPr>
              <w:t>―</w:t>
            </w:r>
            <w:r>
              <w:rPr>
                <w:sz w:val="24"/>
              </w:rPr>
              <w:t> </w:t>
            </w:r>
          </w:p>
        </w:tc>
        <w:tc>
          <w:tcPr>
            <w:tcW w:w="1250" w:type="dxa"/>
          </w:tcPr>
          <w:p>
            <w:pPr>
              <w:pStyle w:val="TableParagraph"/>
              <w:spacing w:before="65"/>
              <w:ind w:left="612" w:right="483"/>
              <w:jc w:val="center"/>
              <w:rPr>
                <w:sz w:val="24"/>
              </w:rPr>
            </w:pPr>
            <w:r>
              <w:rPr>
                <w:sz w:val="21"/>
              </w:rPr>
              <w:t>7</w:t>
            </w:r>
            <w:r>
              <w:rPr>
                <w:sz w:val="24"/>
              </w:rPr>
              <w:t> </w:t>
            </w:r>
          </w:p>
        </w:tc>
        <w:tc>
          <w:tcPr>
            <w:tcW w:w="2530" w:type="dxa"/>
          </w:tcPr>
          <w:p>
            <w:pPr>
              <w:pStyle w:val="TableParagraph"/>
              <w:spacing w:before="65"/>
              <w:ind w:left="351" w:right="222"/>
              <w:jc w:val="center"/>
              <w:rPr>
                <w:sz w:val="24"/>
              </w:rPr>
            </w:pPr>
            <w:r>
              <w:rPr>
                <w:sz w:val="21"/>
              </w:rPr>
              <w:t>MT7</w:t>
            </w:r>
            <w:r>
              <w:rPr>
                <w:sz w:val="24"/>
              </w:rPr>
              <w:t> </w:t>
            </w:r>
          </w:p>
        </w:tc>
        <w:tc>
          <w:tcPr>
            <w:tcW w:w="1335" w:type="dxa"/>
          </w:tcPr>
          <w:p>
            <w:pPr>
              <w:pStyle w:val="TableParagraph"/>
              <w:spacing w:before="65"/>
              <w:ind w:left="560"/>
              <w:rPr>
                <w:sz w:val="24"/>
              </w:rPr>
            </w:pPr>
            <w:r>
              <w:rPr>
                <w:sz w:val="21"/>
              </w:rPr>
              <w:t>―</w:t>
            </w:r>
            <w:r>
              <w:rPr>
                <w:sz w:val="24"/>
              </w:rPr>
              <w:t> </w:t>
            </w:r>
          </w:p>
        </w:tc>
        <w:tc>
          <w:tcPr>
            <w:tcW w:w="617" w:type="dxa"/>
          </w:tcPr>
          <w:p>
            <w:pPr>
              <w:pStyle w:val="TableParagraph"/>
              <w:spacing w:before="65"/>
              <w:ind w:left="152"/>
              <w:rPr>
                <w:sz w:val="24"/>
              </w:rPr>
            </w:pPr>
            <w:r>
              <w:rPr>
                <w:sz w:val="21"/>
              </w:rPr>
              <w:t>55B</w:t>
            </w:r>
            <w:r>
              <w:rPr>
                <w:sz w:val="24"/>
              </w:rPr>
              <w:t> </w:t>
            </w:r>
          </w:p>
        </w:tc>
      </w:tr>
    </w:tbl>
    <w:p>
      <w:pPr>
        <w:pStyle w:val="BodyText"/>
        <w:rPr>
          <w:b/>
          <w:sz w:val="20"/>
        </w:rPr>
      </w:pPr>
    </w:p>
    <w:p>
      <w:pPr>
        <w:pStyle w:val="BodyText"/>
        <w:spacing w:before="4"/>
        <w:rPr>
          <w:b/>
          <w:sz w:val="18"/>
        </w:rPr>
      </w:pPr>
    </w:p>
    <w:p>
      <w:pPr>
        <w:spacing w:before="71" w:after="40"/>
        <w:ind w:left="2677" w:right="0" w:firstLine="0"/>
        <w:jc w:val="left"/>
        <w:rPr>
          <w:b/>
          <w:sz w:val="21"/>
        </w:rPr>
      </w:pPr>
      <w:r>
        <w:rPr>
          <w:b/>
          <w:sz w:val="21"/>
        </w:rPr>
        <w:t>表 A.0.2 推车式灭火器类型、规格和灭火级别</w:t>
      </w:r>
      <w:r>
        <w:rPr>
          <w:b/>
          <w:w w:val="99"/>
          <w:sz w:val="21"/>
        </w:rPr>
        <w:t> </w:t>
      </w:r>
    </w:p>
    <w:tbl>
      <w:tblPr>
        <w:tblW w:w="0" w:type="auto"/>
        <w:jc w:val="left"/>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78"/>
        <w:gridCol w:w="1129"/>
        <w:gridCol w:w="1232"/>
        <w:gridCol w:w="2713"/>
        <w:gridCol w:w="1014"/>
        <w:gridCol w:w="454"/>
      </w:tblGrid>
      <w:tr>
        <w:trPr>
          <w:trHeight w:val="501" w:hRule="atLeast"/>
        </w:trPr>
        <w:tc>
          <w:tcPr>
            <w:tcW w:w="1978" w:type="dxa"/>
            <w:vMerge w:val="restart"/>
          </w:tcPr>
          <w:p>
            <w:pPr>
              <w:pStyle w:val="TableParagraph"/>
              <w:spacing w:before="1"/>
              <w:rPr>
                <w:b/>
                <w:sz w:val="35"/>
              </w:rPr>
            </w:pPr>
          </w:p>
          <w:p>
            <w:pPr>
              <w:pStyle w:val="TableParagraph"/>
              <w:ind w:left="462"/>
              <w:rPr>
                <w:sz w:val="24"/>
              </w:rPr>
            </w:pPr>
            <w:r>
              <w:rPr>
                <w:sz w:val="21"/>
              </w:rPr>
              <w:t>灭火器类型</w:t>
            </w:r>
            <w:r>
              <w:rPr>
                <w:sz w:val="24"/>
              </w:rPr>
              <w:t> </w:t>
            </w:r>
          </w:p>
        </w:tc>
        <w:tc>
          <w:tcPr>
            <w:tcW w:w="2361" w:type="dxa"/>
            <w:gridSpan w:val="2"/>
          </w:tcPr>
          <w:p>
            <w:pPr>
              <w:pStyle w:val="TableParagraph"/>
              <w:spacing w:before="193"/>
              <w:ind w:left="129" w:right="-15"/>
              <w:rPr>
                <w:sz w:val="24"/>
              </w:rPr>
            </w:pPr>
            <w:r>
              <w:rPr>
                <w:spacing w:val="-2"/>
                <w:sz w:val="21"/>
              </w:rPr>
              <w:t>灭火剂充装量</w:t>
            </w:r>
            <w:r>
              <w:rPr>
                <w:spacing w:val="-3"/>
                <w:sz w:val="21"/>
              </w:rPr>
              <w:t>（</w:t>
            </w:r>
            <w:r>
              <w:rPr>
                <w:spacing w:val="-2"/>
                <w:sz w:val="21"/>
              </w:rPr>
              <w:t>规格</w:t>
            </w:r>
            <w:r>
              <w:rPr>
                <w:spacing w:val="-3"/>
                <w:sz w:val="21"/>
              </w:rPr>
              <w:t>）</w:t>
            </w:r>
            <w:r>
              <w:rPr>
                <w:sz w:val="24"/>
              </w:rPr>
              <w:t> </w:t>
            </w:r>
          </w:p>
        </w:tc>
        <w:tc>
          <w:tcPr>
            <w:tcW w:w="2713" w:type="dxa"/>
            <w:vMerge w:val="restart"/>
          </w:tcPr>
          <w:p>
            <w:pPr>
              <w:pStyle w:val="TableParagraph"/>
              <w:spacing w:line="500" w:lineRule="exact" w:before="10"/>
              <w:ind w:left="1143" w:right="184" w:hanging="946"/>
              <w:rPr>
                <w:sz w:val="24"/>
              </w:rPr>
            </w:pPr>
            <w:r>
              <w:rPr>
                <w:sz w:val="21"/>
              </w:rPr>
              <w:t>灭火器类型规格代码（型号）</w:t>
            </w:r>
            <w:r>
              <w:rPr>
                <w:sz w:val="24"/>
              </w:rPr>
              <w:t> </w:t>
            </w:r>
          </w:p>
        </w:tc>
        <w:tc>
          <w:tcPr>
            <w:tcW w:w="1468" w:type="dxa"/>
            <w:gridSpan w:val="2"/>
          </w:tcPr>
          <w:p>
            <w:pPr>
              <w:pStyle w:val="TableParagraph"/>
              <w:spacing w:before="193"/>
              <w:ind w:left="310"/>
              <w:rPr>
                <w:sz w:val="24"/>
              </w:rPr>
            </w:pPr>
            <w:r>
              <w:rPr>
                <w:sz w:val="21"/>
              </w:rPr>
              <w:t>灭火级别</w:t>
            </w:r>
            <w:r>
              <w:rPr>
                <w:sz w:val="24"/>
              </w:rPr>
              <w:t> </w:t>
            </w:r>
          </w:p>
        </w:tc>
      </w:tr>
      <w:tr>
        <w:trPr>
          <w:trHeight w:val="500" w:hRule="atLeast"/>
        </w:trPr>
        <w:tc>
          <w:tcPr>
            <w:tcW w:w="1978" w:type="dxa"/>
            <w:vMerge/>
            <w:tcBorders>
              <w:top w:val="nil"/>
            </w:tcBorders>
          </w:tcPr>
          <w:p>
            <w:pPr>
              <w:rPr>
                <w:sz w:val="2"/>
                <w:szCs w:val="2"/>
              </w:rPr>
            </w:pPr>
          </w:p>
        </w:tc>
        <w:tc>
          <w:tcPr>
            <w:tcW w:w="1129" w:type="dxa"/>
          </w:tcPr>
          <w:p>
            <w:pPr>
              <w:pStyle w:val="TableParagraph"/>
              <w:spacing w:before="190"/>
              <w:ind w:left="548" w:right="420"/>
              <w:jc w:val="center"/>
              <w:rPr>
                <w:sz w:val="24"/>
              </w:rPr>
            </w:pPr>
            <w:r>
              <w:rPr>
                <w:sz w:val="21"/>
              </w:rPr>
              <w:t>L</w:t>
            </w:r>
            <w:r>
              <w:rPr>
                <w:sz w:val="24"/>
              </w:rPr>
              <w:t> </w:t>
            </w:r>
          </w:p>
        </w:tc>
        <w:tc>
          <w:tcPr>
            <w:tcW w:w="1232" w:type="dxa"/>
          </w:tcPr>
          <w:p>
            <w:pPr>
              <w:pStyle w:val="TableParagraph"/>
              <w:spacing w:before="190"/>
              <w:ind w:right="376"/>
              <w:jc w:val="right"/>
              <w:rPr>
                <w:sz w:val="24"/>
              </w:rPr>
            </w:pPr>
            <w:r>
              <w:rPr>
                <w:sz w:val="21"/>
              </w:rPr>
              <w:t>kg</w:t>
            </w:r>
            <w:r>
              <w:rPr>
                <w:sz w:val="24"/>
              </w:rPr>
              <w:t> </w:t>
            </w:r>
          </w:p>
        </w:tc>
        <w:tc>
          <w:tcPr>
            <w:tcW w:w="2713" w:type="dxa"/>
            <w:vMerge/>
            <w:tcBorders>
              <w:top w:val="nil"/>
            </w:tcBorders>
          </w:tcPr>
          <w:p>
            <w:pPr>
              <w:rPr>
                <w:sz w:val="2"/>
                <w:szCs w:val="2"/>
              </w:rPr>
            </w:pPr>
          </w:p>
        </w:tc>
        <w:tc>
          <w:tcPr>
            <w:tcW w:w="1014" w:type="dxa"/>
          </w:tcPr>
          <w:p>
            <w:pPr>
              <w:pStyle w:val="TableParagraph"/>
              <w:spacing w:before="190"/>
              <w:ind w:right="190"/>
              <w:jc w:val="right"/>
              <w:rPr>
                <w:sz w:val="24"/>
              </w:rPr>
            </w:pPr>
            <w:r>
              <w:rPr>
                <w:sz w:val="21"/>
              </w:rPr>
              <w:t>A 类</w:t>
            </w:r>
            <w:r>
              <w:rPr>
                <w:sz w:val="24"/>
              </w:rPr>
              <w:t> </w:t>
            </w:r>
          </w:p>
        </w:tc>
        <w:tc>
          <w:tcPr>
            <w:tcW w:w="454" w:type="dxa"/>
          </w:tcPr>
          <w:p>
            <w:pPr>
              <w:pStyle w:val="TableParagraph"/>
              <w:spacing w:before="11"/>
              <w:rPr>
                <w:b/>
                <w:sz w:val="14"/>
              </w:rPr>
            </w:pPr>
          </w:p>
          <w:p>
            <w:pPr>
              <w:pStyle w:val="TableParagraph"/>
              <w:ind w:left="37"/>
              <w:rPr>
                <w:sz w:val="21"/>
              </w:rPr>
            </w:pPr>
            <w:r>
              <w:rPr>
                <w:sz w:val="21"/>
              </w:rPr>
              <w:t>B</w:t>
            </w:r>
            <w:r>
              <w:rPr>
                <w:spacing w:val="-26"/>
                <w:sz w:val="21"/>
              </w:rPr>
              <w:t> 类</w:t>
            </w:r>
          </w:p>
        </w:tc>
      </w:tr>
      <w:tr>
        <w:trPr>
          <w:trHeight w:val="498" w:hRule="atLeast"/>
        </w:trPr>
        <w:tc>
          <w:tcPr>
            <w:tcW w:w="1978" w:type="dxa"/>
            <w:vMerge w:val="restart"/>
          </w:tcPr>
          <w:p>
            <w:pPr>
              <w:pStyle w:val="TableParagraph"/>
              <w:rPr>
                <w:b/>
                <w:sz w:val="24"/>
              </w:rPr>
            </w:pPr>
          </w:p>
          <w:p>
            <w:pPr>
              <w:pStyle w:val="TableParagraph"/>
              <w:rPr>
                <w:b/>
                <w:sz w:val="24"/>
              </w:rPr>
            </w:pPr>
          </w:p>
          <w:p>
            <w:pPr>
              <w:pStyle w:val="TableParagraph"/>
              <w:spacing w:before="2"/>
              <w:rPr>
                <w:b/>
                <w:sz w:val="27"/>
              </w:rPr>
            </w:pPr>
          </w:p>
          <w:p>
            <w:pPr>
              <w:pStyle w:val="TableParagraph"/>
              <w:ind w:left="777"/>
              <w:rPr>
                <w:sz w:val="24"/>
              </w:rPr>
            </w:pPr>
            <w:r>
              <w:rPr>
                <w:sz w:val="21"/>
              </w:rPr>
              <w:t>水型</w:t>
            </w:r>
            <w:r>
              <w:rPr>
                <w:sz w:val="24"/>
              </w:rPr>
              <w:t> </w:t>
            </w:r>
          </w:p>
        </w:tc>
        <w:tc>
          <w:tcPr>
            <w:tcW w:w="1129" w:type="dxa"/>
          </w:tcPr>
          <w:p>
            <w:pPr>
              <w:pStyle w:val="TableParagraph"/>
              <w:spacing w:before="190"/>
              <w:ind w:left="455"/>
              <w:rPr>
                <w:sz w:val="24"/>
              </w:rPr>
            </w:pPr>
            <w:r>
              <w:rPr>
                <w:sz w:val="21"/>
              </w:rPr>
              <w:t>20</w:t>
            </w:r>
            <w:r>
              <w:rPr>
                <w:sz w:val="24"/>
              </w:rPr>
              <w:t> </w:t>
            </w:r>
          </w:p>
        </w:tc>
        <w:tc>
          <w:tcPr>
            <w:tcW w:w="1232" w:type="dxa"/>
          </w:tcPr>
          <w:p>
            <w:pPr>
              <w:pStyle w:val="TableParagraph"/>
              <w:spacing w:before="160"/>
              <w:ind w:right="376"/>
              <w:jc w:val="right"/>
              <w:rPr>
                <w:sz w:val="24"/>
              </w:rPr>
            </w:pPr>
            <w:r>
              <w:rPr>
                <w:w w:val="100"/>
                <w:sz w:val="21"/>
              </w:rPr>
              <w:t> </w:t>
            </w:r>
            <w:r>
              <w:rPr>
                <w:sz w:val="21"/>
              </w:rPr>
              <w:t> </w:t>
            </w:r>
            <w:r>
              <w:rPr>
                <w:sz w:val="24"/>
              </w:rPr>
              <w:t> </w:t>
            </w:r>
          </w:p>
        </w:tc>
        <w:tc>
          <w:tcPr>
            <w:tcW w:w="2713" w:type="dxa"/>
          </w:tcPr>
          <w:p>
            <w:pPr>
              <w:pStyle w:val="TableParagraph"/>
              <w:spacing w:before="190"/>
              <w:ind w:left="604" w:right="476"/>
              <w:jc w:val="center"/>
              <w:rPr>
                <w:sz w:val="24"/>
              </w:rPr>
            </w:pPr>
            <w:r>
              <w:rPr>
                <w:sz w:val="21"/>
              </w:rPr>
              <w:t>MST20</w:t>
            </w:r>
            <w:r>
              <w:rPr>
                <w:sz w:val="24"/>
              </w:rPr>
              <w:t> </w:t>
            </w:r>
          </w:p>
        </w:tc>
        <w:tc>
          <w:tcPr>
            <w:tcW w:w="1014" w:type="dxa"/>
          </w:tcPr>
          <w:p>
            <w:pPr>
              <w:pStyle w:val="TableParagraph"/>
              <w:spacing w:before="190"/>
              <w:ind w:right="266"/>
              <w:jc w:val="right"/>
              <w:rPr>
                <w:sz w:val="24"/>
              </w:rPr>
            </w:pPr>
            <w:r>
              <w:rPr>
                <w:sz w:val="21"/>
              </w:rPr>
              <w:t>4A</w:t>
            </w:r>
            <w:r>
              <w:rPr>
                <w:sz w:val="24"/>
              </w:rPr>
              <w:t> </w:t>
            </w:r>
          </w:p>
        </w:tc>
        <w:tc>
          <w:tcPr>
            <w:tcW w:w="454" w:type="dxa"/>
          </w:tcPr>
          <w:p>
            <w:pPr>
              <w:pStyle w:val="TableParagraph"/>
              <w:spacing w:before="190"/>
              <w:ind w:right="-15"/>
              <w:jc w:val="right"/>
              <w:rPr>
                <w:sz w:val="24"/>
              </w:rPr>
            </w:pPr>
            <w:r>
              <w:rPr>
                <w:sz w:val="21"/>
              </w:rPr>
              <w:t>―</w:t>
            </w:r>
            <w:r>
              <w:rPr>
                <w:sz w:val="24"/>
              </w:rPr>
              <w:t> </w:t>
            </w:r>
          </w:p>
        </w:tc>
      </w:tr>
      <w:tr>
        <w:trPr>
          <w:trHeight w:val="501"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45</w:t>
            </w:r>
            <w:r>
              <w:rPr>
                <w:sz w:val="24"/>
              </w:rPr>
              <w:t> </w:t>
            </w:r>
          </w:p>
        </w:tc>
        <w:tc>
          <w:tcPr>
            <w:tcW w:w="1232" w:type="dxa"/>
          </w:tcPr>
          <w:p>
            <w:pPr>
              <w:pStyle w:val="TableParagraph"/>
              <w:spacing w:before="160"/>
              <w:ind w:right="376"/>
              <w:jc w:val="right"/>
              <w:rPr>
                <w:sz w:val="24"/>
              </w:rPr>
            </w:pPr>
            <w:r>
              <w:rPr>
                <w:w w:val="100"/>
                <w:sz w:val="21"/>
              </w:rPr>
              <w:t> </w:t>
            </w:r>
            <w:r>
              <w:rPr>
                <w:sz w:val="21"/>
              </w:rPr>
              <w:t> </w:t>
            </w:r>
            <w:r>
              <w:rPr>
                <w:sz w:val="24"/>
              </w:rPr>
              <w:t> </w:t>
            </w:r>
          </w:p>
        </w:tc>
        <w:tc>
          <w:tcPr>
            <w:tcW w:w="2713" w:type="dxa"/>
          </w:tcPr>
          <w:p>
            <w:pPr>
              <w:pStyle w:val="TableParagraph"/>
              <w:spacing w:before="190"/>
              <w:ind w:left="604" w:right="476"/>
              <w:jc w:val="center"/>
              <w:rPr>
                <w:sz w:val="24"/>
              </w:rPr>
            </w:pPr>
            <w:r>
              <w:rPr>
                <w:sz w:val="21"/>
              </w:rPr>
              <w:t>MST40</w:t>
            </w:r>
            <w:r>
              <w:rPr>
                <w:sz w:val="24"/>
              </w:rPr>
              <w:t> </w:t>
            </w:r>
          </w:p>
        </w:tc>
        <w:tc>
          <w:tcPr>
            <w:tcW w:w="1014" w:type="dxa"/>
          </w:tcPr>
          <w:p>
            <w:pPr>
              <w:pStyle w:val="TableParagraph"/>
              <w:spacing w:before="190"/>
              <w:ind w:right="266"/>
              <w:jc w:val="right"/>
              <w:rPr>
                <w:sz w:val="24"/>
              </w:rPr>
            </w:pPr>
            <w:r>
              <w:rPr>
                <w:sz w:val="21"/>
              </w:rPr>
              <w:t>4A</w:t>
            </w:r>
            <w:r>
              <w:rPr>
                <w:sz w:val="24"/>
              </w:rPr>
              <w:t> </w:t>
            </w:r>
          </w:p>
        </w:tc>
        <w:tc>
          <w:tcPr>
            <w:tcW w:w="454" w:type="dxa"/>
          </w:tcPr>
          <w:p>
            <w:pPr>
              <w:pStyle w:val="TableParagraph"/>
              <w:spacing w:before="190"/>
              <w:ind w:right="-15"/>
              <w:jc w:val="right"/>
              <w:rPr>
                <w:sz w:val="24"/>
              </w:rPr>
            </w:pPr>
            <w:r>
              <w:rPr>
                <w:sz w:val="21"/>
              </w:rPr>
              <w:t>―</w:t>
            </w:r>
            <w:r>
              <w:rPr>
                <w:sz w:val="24"/>
              </w:rPr>
              <w:t> </w:t>
            </w:r>
          </w:p>
        </w:tc>
      </w:tr>
      <w:tr>
        <w:trPr>
          <w:trHeight w:val="499" w:hRule="atLeast"/>
        </w:trPr>
        <w:tc>
          <w:tcPr>
            <w:tcW w:w="1978" w:type="dxa"/>
            <w:vMerge/>
            <w:tcBorders>
              <w:top w:val="nil"/>
            </w:tcBorders>
          </w:tcPr>
          <w:p>
            <w:pPr>
              <w:rPr>
                <w:sz w:val="2"/>
                <w:szCs w:val="2"/>
              </w:rPr>
            </w:pPr>
          </w:p>
        </w:tc>
        <w:tc>
          <w:tcPr>
            <w:tcW w:w="1129" w:type="dxa"/>
          </w:tcPr>
          <w:p>
            <w:pPr>
              <w:pStyle w:val="TableParagraph"/>
              <w:spacing w:before="191"/>
              <w:ind w:left="455"/>
              <w:rPr>
                <w:sz w:val="24"/>
              </w:rPr>
            </w:pPr>
            <w:r>
              <w:rPr>
                <w:sz w:val="21"/>
              </w:rPr>
              <w:t>60</w:t>
            </w:r>
            <w:r>
              <w:rPr>
                <w:sz w:val="24"/>
              </w:rPr>
              <w:t> </w:t>
            </w:r>
          </w:p>
        </w:tc>
        <w:tc>
          <w:tcPr>
            <w:tcW w:w="1232" w:type="dxa"/>
          </w:tcPr>
          <w:p>
            <w:pPr>
              <w:pStyle w:val="TableParagraph"/>
              <w:spacing w:before="161"/>
              <w:ind w:right="376"/>
              <w:jc w:val="right"/>
              <w:rPr>
                <w:sz w:val="24"/>
              </w:rPr>
            </w:pPr>
            <w:r>
              <w:rPr>
                <w:w w:val="100"/>
                <w:sz w:val="21"/>
              </w:rPr>
              <w:t> </w:t>
            </w:r>
            <w:r>
              <w:rPr>
                <w:sz w:val="21"/>
              </w:rPr>
              <w:t> </w:t>
            </w:r>
            <w:r>
              <w:rPr>
                <w:sz w:val="24"/>
              </w:rPr>
              <w:t> </w:t>
            </w:r>
          </w:p>
        </w:tc>
        <w:tc>
          <w:tcPr>
            <w:tcW w:w="2713" w:type="dxa"/>
          </w:tcPr>
          <w:p>
            <w:pPr>
              <w:pStyle w:val="TableParagraph"/>
              <w:spacing w:before="191"/>
              <w:ind w:left="604" w:right="476"/>
              <w:jc w:val="center"/>
              <w:rPr>
                <w:sz w:val="24"/>
              </w:rPr>
            </w:pPr>
            <w:r>
              <w:rPr>
                <w:sz w:val="21"/>
              </w:rPr>
              <w:t>MST60</w:t>
            </w:r>
            <w:r>
              <w:rPr>
                <w:sz w:val="24"/>
              </w:rPr>
              <w:t> </w:t>
            </w:r>
          </w:p>
        </w:tc>
        <w:tc>
          <w:tcPr>
            <w:tcW w:w="1014" w:type="dxa"/>
          </w:tcPr>
          <w:p>
            <w:pPr>
              <w:pStyle w:val="TableParagraph"/>
              <w:spacing w:before="191"/>
              <w:ind w:right="266"/>
              <w:jc w:val="right"/>
              <w:rPr>
                <w:sz w:val="24"/>
              </w:rPr>
            </w:pPr>
            <w:r>
              <w:rPr>
                <w:sz w:val="21"/>
              </w:rPr>
              <w:t>4A</w:t>
            </w:r>
            <w:r>
              <w:rPr>
                <w:sz w:val="24"/>
              </w:rPr>
              <w:t> </w:t>
            </w:r>
          </w:p>
        </w:tc>
        <w:tc>
          <w:tcPr>
            <w:tcW w:w="454" w:type="dxa"/>
          </w:tcPr>
          <w:p>
            <w:pPr>
              <w:pStyle w:val="TableParagraph"/>
              <w:spacing w:before="191"/>
              <w:ind w:right="-15"/>
              <w:jc w:val="right"/>
              <w:rPr>
                <w:sz w:val="24"/>
              </w:rPr>
            </w:pPr>
            <w:r>
              <w:rPr>
                <w:sz w:val="21"/>
              </w:rPr>
              <w:t>―</w:t>
            </w:r>
            <w:r>
              <w:rPr>
                <w:sz w:val="24"/>
              </w:rPr>
              <w:t> </w:t>
            </w:r>
          </w:p>
        </w:tc>
      </w:tr>
      <w:tr>
        <w:trPr>
          <w:trHeight w:val="501" w:hRule="atLeast"/>
        </w:trPr>
        <w:tc>
          <w:tcPr>
            <w:tcW w:w="1978" w:type="dxa"/>
            <w:vMerge/>
            <w:tcBorders>
              <w:top w:val="nil"/>
            </w:tcBorders>
          </w:tcPr>
          <w:p>
            <w:pPr>
              <w:rPr>
                <w:sz w:val="2"/>
                <w:szCs w:val="2"/>
              </w:rPr>
            </w:pPr>
          </w:p>
        </w:tc>
        <w:tc>
          <w:tcPr>
            <w:tcW w:w="1129" w:type="dxa"/>
          </w:tcPr>
          <w:p>
            <w:pPr>
              <w:pStyle w:val="TableParagraph"/>
              <w:spacing w:before="193"/>
              <w:ind w:left="405"/>
              <w:rPr>
                <w:sz w:val="24"/>
              </w:rPr>
            </w:pPr>
            <w:r>
              <w:rPr>
                <w:sz w:val="21"/>
              </w:rPr>
              <w:t>125</w:t>
            </w:r>
            <w:r>
              <w:rPr>
                <w:sz w:val="24"/>
              </w:rPr>
              <w:t> </w:t>
            </w:r>
          </w:p>
        </w:tc>
        <w:tc>
          <w:tcPr>
            <w:tcW w:w="1232" w:type="dxa"/>
          </w:tcPr>
          <w:p>
            <w:pPr>
              <w:pStyle w:val="TableParagraph"/>
              <w:spacing w:before="163"/>
              <w:ind w:right="376"/>
              <w:jc w:val="right"/>
              <w:rPr>
                <w:sz w:val="24"/>
              </w:rPr>
            </w:pPr>
            <w:r>
              <w:rPr>
                <w:w w:val="100"/>
                <w:sz w:val="21"/>
              </w:rPr>
              <w:t> </w:t>
            </w:r>
            <w:r>
              <w:rPr>
                <w:sz w:val="21"/>
              </w:rPr>
              <w:t> </w:t>
            </w:r>
            <w:r>
              <w:rPr>
                <w:sz w:val="24"/>
              </w:rPr>
              <w:t> </w:t>
            </w:r>
          </w:p>
        </w:tc>
        <w:tc>
          <w:tcPr>
            <w:tcW w:w="2713" w:type="dxa"/>
          </w:tcPr>
          <w:p>
            <w:pPr>
              <w:pStyle w:val="TableParagraph"/>
              <w:spacing w:before="193"/>
              <w:ind w:left="604" w:right="476"/>
              <w:jc w:val="center"/>
              <w:rPr>
                <w:sz w:val="24"/>
              </w:rPr>
            </w:pPr>
            <w:r>
              <w:rPr>
                <w:sz w:val="21"/>
              </w:rPr>
              <w:t>MST125</w:t>
            </w:r>
            <w:r>
              <w:rPr>
                <w:sz w:val="24"/>
              </w:rPr>
              <w:t> </w:t>
            </w:r>
          </w:p>
        </w:tc>
        <w:tc>
          <w:tcPr>
            <w:tcW w:w="1014" w:type="dxa"/>
          </w:tcPr>
          <w:p>
            <w:pPr>
              <w:pStyle w:val="TableParagraph"/>
              <w:spacing w:before="193"/>
              <w:ind w:right="266"/>
              <w:jc w:val="right"/>
              <w:rPr>
                <w:sz w:val="24"/>
              </w:rPr>
            </w:pPr>
            <w:r>
              <w:rPr>
                <w:sz w:val="21"/>
              </w:rPr>
              <w:t>6A</w:t>
            </w:r>
            <w:r>
              <w:rPr>
                <w:sz w:val="24"/>
              </w:rPr>
              <w:t> </w:t>
            </w:r>
          </w:p>
        </w:tc>
        <w:tc>
          <w:tcPr>
            <w:tcW w:w="454" w:type="dxa"/>
          </w:tcPr>
          <w:p>
            <w:pPr>
              <w:pStyle w:val="TableParagraph"/>
              <w:spacing w:before="193"/>
              <w:ind w:right="-15"/>
              <w:jc w:val="right"/>
              <w:rPr>
                <w:sz w:val="24"/>
              </w:rPr>
            </w:pPr>
            <w:r>
              <w:rPr>
                <w:sz w:val="21"/>
              </w:rPr>
              <w:t>―</w:t>
            </w:r>
            <w:r>
              <w:rPr>
                <w:sz w:val="24"/>
              </w:rPr>
              <w:t> </w:t>
            </w:r>
          </w:p>
        </w:tc>
      </w:tr>
      <w:tr>
        <w:trPr>
          <w:trHeight w:val="500" w:hRule="atLeast"/>
        </w:trPr>
        <w:tc>
          <w:tcPr>
            <w:tcW w:w="1978" w:type="dxa"/>
            <w:vMerge w:val="restart"/>
          </w:tcPr>
          <w:p>
            <w:pPr>
              <w:pStyle w:val="TableParagraph"/>
              <w:rPr>
                <w:b/>
                <w:sz w:val="24"/>
              </w:rPr>
            </w:pPr>
          </w:p>
          <w:p>
            <w:pPr>
              <w:pStyle w:val="TableParagraph"/>
              <w:rPr>
                <w:b/>
                <w:sz w:val="24"/>
              </w:rPr>
            </w:pPr>
          </w:p>
          <w:p>
            <w:pPr>
              <w:pStyle w:val="TableParagraph"/>
              <w:rPr>
                <w:b/>
                <w:sz w:val="24"/>
              </w:rPr>
            </w:pPr>
          </w:p>
          <w:p>
            <w:pPr>
              <w:pStyle w:val="TableParagraph"/>
              <w:spacing w:before="8"/>
              <w:rPr>
                <w:b/>
                <w:sz w:val="22"/>
              </w:rPr>
            </w:pPr>
          </w:p>
          <w:p>
            <w:pPr>
              <w:pStyle w:val="TableParagraph"/>
              <w:ind w:left="777"/>
              <w:rPr>
                <w:sz w:val="24"/>
              </w:rPr>
            </w:pPr>
            <w:r>
              <w:rPr>
                <w:sz w:val="21"/>
              </w:rPr>
              <w:t>泡沫</w:t>
            </w:r>
            <w:r>
              <w:rPr>
                <w:sz w:val="24"/>
              </w:rPr>
              <w:t> </w:t>
            </w:r>
          </w:p>
        </w:tc>
        <w:tc>
          <w:tcPr>
            <w:tcW w:w="1129" w:type="dxa"/>
          </w:tcPr>
          <w:p>
            <w:pPr>
              <w:pStyle w:val="TableParagraph"/>
              <w:spacing w:before="190"/>
              <w:ind w:left="455"/>
              <w:rPr>
                <w:sz w:val="24"/>
              </w:rPr>
            </w:pPr>
            <w:r>
              <w:rPr>
                <w:sz w:val="21"/>
              </w:rPr>
              <w:t>20</w:t>
            </w:r>
            <w:r>
              <w:rPr>
                <w:sz w:val="24"/>
              </w:rPr>
              <w:t> </w:t>
            </w:r>
          </w:p>
        </w:tc>
        <w:tc>
          <w:tcPr>
            <w:tcW w:w="1232" w:type="dxa"/>
          </w:tcPr>
          <w:p>
            <w:pPr>
              <w:pStyle w:val="TableParagraph"/>
              <w:spacing w:before="160"/>
              <w:ind w:right="376"/>
              <w:jc w:val="right"/>
              <w:rPr>
                <w:sz w:val="24"/>
              </w:rPr>
            </w:pPr>
            <w:r>
              <w:rPr>
                <w:w w:val="100"/>
                <w:sz w:val="21"/>
              </w:rPr>
              <w:t> </w:t>
            </w:r>
            <w:r>
              <w:rPr>
                <w:sz w:val="21"/>
              </w:rPr>
              <w:t> </w:t>
            </w:r>
            <w:r>
              <w:rPr>
                <w:sz w:val="24"/>
              </w:rPr>
              <w:t> </w:t>
            </w:r>
          </w:p>
        </w:tc>
        <w:tc>
          <w:tcPr>
            <w:tcW w:w="2713" w:type="dxa"/>
          </w:tcPr>
          <w:p>
            <w:pPr>
              <w:pStyle w:val="TableParagraph"/>
              <w:spacing w:before="190"/>
              <w:ind w:left="606" w:right="476"/>
              <w:jc w:val="center"/>
              <w:rPr>
                <w:sz w:val="24"/>
              </w:rPr>
            </w:pPr>
            <w:r>
              <w:rPr>
                <w:sz w:val="21"/>
              </w:rPr>
              <w:t>MPT20、MPT/AR20</w:t>
            </w:r>
            <w:r>
              <w:rPr>
                <w:sz w:val="24"/>
              </w:rPr>
              <w:t> </w:t>
            </w:r>
          </w:p>
        </w:tc>
        <w:tc>
          <w:tcPr>
            <w:tcW w:w="1014" w:type="dxa"/>
          </w:tcPr>
          <w:p>
            <w:pPr>
              <w:pStyle w:val="TableParagraph"/>
              <w:spacing w:before="190"/>
              <w:ind w:right="266"/>
              <w:jc w:val="right"/>
              <w:rPr>
                <w:sz w:val="24"/>
              </w:rPr>
            </w:pPr>
            <w:r>
              <w:rPr>
                <w:sz w:val="21"/>
              </w:rPr>
              <w:t>4A</w:t>
            </w:r>
            <w:r>
              <w:rPr>
                <w:sz w:val="24"/>
              </w:rPr>
              <w:t> </w:t>
            </w:r>
          </w:p>
        </w:tc>
        <w:tc>
          <w:tcPr>
            <w:tcW w:w="454" w:type="dxa"/>
          </w:tcPr>
          <w:p>
            <w:pPr>
              <w:pStyle w:val="TableParagraph"/>
              <w:spacing w:before="11"/>
              <w:rPr>
                <w:b/>
                <w:sz w:val="14"/>
              </w:rPr>
            </w:pPr>
          </w:p>
          <w:p>
            <w:pPr>
              <w:pStyle w:val="TableParagraph"/>
              <w:ind w:left="11"/>
              <w:rPr>
                <w:sz w:val="21"/>
              </w:rPr>
            </w:pPr>
            <w:r>
              <w:rPr>
                <w:sz w:val="21"/>
              </w:rPr>
              <w:t>113B</w:t>
            </w:r>
          </w:p>
        </w:tc>
      </w:tr>
      <w:tr>
        <w:trPr>
          <w:trHeight w:val="498"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45</w:t>
            </w:r>
            <w:r>
              <w:rPr>
                <w:sz w:val="24"/>
              </w:rPr>
              <w:t> </w:t>
            </w:r>
          </w:p>
        </w:tc>
        <w:tc>
          <w:tcPr>
            <w:tcW w:w="1232" w:type="dxa"/>
          </w:tcPr>
          <w:p>
            <w:pPr>
              <w:pStyle w:val="TableParagraph"/>
              <w:spacing w:before="160"/>
              <w:ind w:right="376"/>
              <w:jc w:val="right"/>
              <w:rPr>
                <w:sz w:val="24"/>
              </w:rPr>
            </w:pPr>
            <w:r>
              <w:rPr>
                <w:w w:val="100"/>
                <w:sz w:val="21"/>
              </w:rPr>
              <w:t> </w:t>
            </w:r>
            <w:r>
              <w:rPr>
                <w:sz w:val="21"/>
              </w:rPr>
              <w:t> </w:t>
            </w:r>
            <w:r>
              <w:rPr>
                <w:sz w:val="24"/>
              </w:rPr>
              <w:t> </w:t>
            </w:r>
          </w:p>
        </w:tc>
        <w:tc>
          <w:tcPr>
            <w:tcW w:w="2713" w:type="dxa"/>
          </w:tcPr>
          <w:p>
            <w:pPr>
              <w:pStyle w:val="TableParagraph"/>
              <w:spacing w:before="190"/>
              <w:ind w:left="606" w:right="476"/>
              <w:jc w:val="center"/>
              <w:rPr>
                <w:sz w:val="24"/>
              </w:rPr>
            </w:pPr>
            <w:r>
              <w:rPr>
                <w:sz w:val="21"/>
              </w:rPr>
              <w:t>MPT40、MPT/AR40</w:t>
            </w:r>
            <w:r>
              <w:rPr>
                <w:sz w:val="24"/>
              </w:rPr>
              <w:t> </w:t>
            </w:r>
          </w:p>
        </w:tc>
        <w:tc>
          <w:tcPr>
            <w:tcW w:w="1014" w:type="dxa"/>
          </w:tcPr>
          <w:p>
            <w:pPr>
              <w:pStyle w:val="TableParagraph"/>
              <w:spacing w:before="190"/>
              <w:ind w:right="266"/>
              <w:jc w:val="right"/>
              <w:rPr>
                <w:sz w:val="24"/>
              </w:rPr>
            </w:pPr>
            <w:r>
              <w:rPr>
                <w:sz w:val="21"/>
              </w:rPr>
              <w:t>4A</w:t>
            </w:r>
            <w:r>
              <w:rPr>
                <w:sz w:val="24"/>
              </w:rPr>
              <w:t> </w:t>
            </w:r>
          </w:p>
        </w:tc>
        <w:tc>
          <w:tcPr>
            <w:tcW w:w="454" w:type="dxa"/>
          </w:tcPr>
          <w:p>
            <w:pPr>
              <w:pStyle w:val="TableParagraph"/>
              <w:spacing w:before="11"/>
              <w:rPr>
                <w:b/>
                <w:sz w:val="14"/>
              </w:rPr>
            </w:pPr>
          </w:p>
          <w:p>
            <w:pPr>
              <w:pStyle w:val="TableParagraph"/>
              <w:ind w:left="11"/>
              <w:rPr>
                <w:sz w:val="21"/>
              </w:rPr>
            </w:pPr>
            <w:r>
              <w:rPr>
                <w:sz w:val="21"/>
              </w:rPr>
              <w:t>144B</w:t>
            </w:r>
          </w:p>
        </w:tc>
      </w:tr>
      <w:tr>
        <w:trPr>
          <w:trHeight w:val="500"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60</w:t>
            </w:r>
            <w:r>
              <w:rPr>
                <w:sz w:val="24"/>
              </w:rPr>
              <w:t> </w:t>
            </w:r>
          </w:p>
        </w:tc>
        <w:tc>
          <w:tcPr>
            <w:tcW w:w="1232" w:type="dxa"/>
          </w:tcPr>
          <w:p>
            <w:pPr>
              <w:pStyle w:val="TableParagraph"/>
              <w:spacing w:before="160"/>
              <w:ind w:right="376"/>
              <w:jc w:val="right"/>
              <w:rPr>
                <w:sz w:val="24"/>
              </w:rPr>
            </w:pPr>
            <w:r>
              <w:rPr>
                <w:w w:val="100"/>
                <w:sz w:val="21"/>
              </w:rPr>
              <w:t> </w:t>
            </w:r>
            <w:r>
              <w:rPr>
                <w:sz w:val="21"/>
              </w:rPr>
              <w:t> </w:t>
            </w:r>
            <w:r>
              <w:rPr>
                <w:sz w:val="24"/>
              </w:rPr>
              <w:t> </w:t>
            </w:r>
          </w:p>
        </w:tc>
        <w:tc>
          <w:tcPr>
            <w:tcW w:w="2713" w:type="dxa"/>
          </w:tcPr>
          <w:p>
            <w:pPr>
              <w:pStyle w:val="TableParagraph"/>
              <w:spacing w:before="190"/>
              <w:ind w:left="606" w:right="476"/>
              <w:jc w:val="center"/>
              <w:rPr>
                <w:sz w:val="24"/>
              </w:rPr>
            </w:pPr>
            <w:r>
              <w:rPr>
                <w:sz w:val="21"/>
              </w:rPr>
              <w:t>MPT60、MPT/AR60</w:t>
            </w:r>
            <w:r>
              <w:rPr>
                <w:sz w:val="24"/>
              </w:rPr>
              <w:t> </w:t>
            </w:r>
          </w:p>
        </w:tc>
        <w:tc>
          <w:tcPr>
            <w:tcW w:w="1014" w:type="dxa"/>
          </w:tcPr>
          <w:p>
            <w:pPr>
              <w:pStyle w:val="TableParagraph"/>
              <w:spacing w:before="190"/>
              <w:ind w:right="266"/>
              <w:jc w:val="right"/>
              <w:rPr>
                <w:sz w:val="24"/>
              </w:rPr>
            </w:pPr>
            <w:r>
              <w:rPr>
                <w:sz w:val="21"/>
              </w:rPr>
              <w:t>4A</w:t>
            </w:r>
            <w:r>
              <w:rPr>
                <w:sz w:val="24"/>
              </w:rPr>
              <w:t> </w:t>
            </w:r>
          </w:p>
        </w:tc>
        <w:tc>
          <w:tcPr>
            <w:tcW w:w="454" w:type="dxa"/>
          </w:tcPr>
          <w:p>
            <w:pPr>
              <w:pStyle w:val="TableParagraph"/>
              <w:spacing w:before="11"/>
              <w:rPr>
                <w:b/>
                <w:sz w:val="14"/>
              </w:rPr>
            </w:pPr>
          </w:p>
          <w:p>
            <w:pPr>
              <w:pStyle w:val="TableParagraph"/>
              <w:ind w:left="11"/>
              <w:rPr>
                <w:sz w:val="21"/>
              </w:rPr>
            </w:pPr>
            <w:r>
              <w:rPr>
                <w:sz w:val="21"/>
              </w:rPr>
              <w:t>233B</w:t>
            </w:r>
          </w:p>
        </w:tc>
      </w:tr>
      <w:tr>
        <w:trPr>
          <w:trHeight w:val="1000" w:hRule="atLeast"/>
        </w:trPr>
        <w:tc>
          <w:tcPr>
            <w:tcW w:w="1978" w:type="dxa"/>
            <w:vMerge/>
            <w:tcBorders>
              <w:top w:val="nil"/>
            </w:tcBorders>
          </w:tcPr>
          <w:p>
            <w:pPr>
              <w:rPr>
                <w:sz w:val="2"/>
                <w:szCs w:val="2"/>
              </w:rPr>
            </w:pPr>
          </w:p>
        </w:tc>
        <w:tc>
          <w:tcPr>
            <w:tcW w:w="1129" w:type="dxa"/>
          </w:tcPr>
          <w:p>
            <w:pPr>
              <w:pStyle w:val="TableParagraph"/>
              <w:spacing w:before="4"/>
              <w:rPr>
                <w:b/>
                <w:sz w:val="34"/>
              </w:rPr>
            </w:pPr>
          </w:p>
          <w:p>
            <w:pPr>
              <w:pStyle w:val="TableParagraph"/>
              <w:ind w:left="405"/>
              <w:rPr>
                <w:sz w:val="24"/>
              </w:rPr>
            </w:pPr>
            <w:r>
              <w:rPr>
                <w:sz w:val="21"/>
              </w:rPr>
              <w:t>125</w:t>
            </w:r>
            <w:r>
              <w:rPr>
                <w:sz w:val="24"/>
              </w:rPr>
              <w:t> </w:t>
            </w:r>
          </w:p>
        </w:tc>
        <w:tc>
          <w:tcPr>
            <w:tcW w:w="1232" w:type="dxa"/>
          </w:tcPr>
          <w:p>
            <w:pPr>
              <w:pStyle w:val="TableParagraph"/>
              <w:rPr>
                <w:b/>
                <w:sz w:val="32"/>
              </w:rPr>
            </w:pPr>
          </w:p>
          <w:p>
            <w:pPr>
              <w:pStyle w:val="TableParagraph"/>
              <w:ind w:right="376"/>
              <w:jc w:val="right"/>
              <w:rPr>
                <w:sz w:val="24"/>
              </w:rPr>
            </w:pPr>
            <w:r>
              <w:rPr>
                <w:w w:val="100"/>
                <w:sz w:val="21"/>
              </w:rPr>
              <w:t> </w:t>
            </w:r>
            <w:r>
              <w:rPr>
                <w:sz w:val="21"/>
              </w:rPr>
              <w:t> </w:t>
            </w:r>
            <w:r>
              <w:rPr>
                <w:sz w:val="24"/>
              </w:rPr>
              <w:t> </w:t>
            </w:r>
          </w:p>
        </w:tc>
        <w:tc>
          <w:tcPr>
            <w:tcW w:w="2713" w:type="dxa"/>
          </w:tcPr>
          <w:p>
            <w:pPr>
              <w:pStyle w:val="TableParagraph"/>
              <w:spacing w:line="500" w:lineRule="exact"/>
              <w:ind w:left="881" w:right="184" w:firstLine="156"/>
              <w:rPr>
                <w:sz w:val="24"/>
              </w:rPr>
            </w:pPr>
            <w:r>
              <w:rPr>
                <w:sz w:val="21"/>
              </w:rPr>
              <w:t>MPT125 MPT/AR125</w:t>
            </w:r>
            <w:r>
              <w:rPr>
                <w:sz w:val="24"/>
              </w:rPr>
              <w:t> </w:t>
            </w:r>
          </w:p>
        </w:tc>
        <w:tc>
          <w:tcPr>
            <w:tcW w:w="1014" w:type="dxa"/>
          </w:tcPr>
          <w:p>
            <w:pPr>
              <w:pStyle w:val="TableParagraph"/>
              <w:spacing w:before="4"/>
              <w:rPr>
                <w:b/>
                <w:sz w:val="34"/>
              </w:rPr>
            </w:pPr>
          </w:p>
          <w:p>
            <w:pPr>
              <w:pStyle w:val="TableParagraph"/>
              <w:ind w:right="266"/>
              <w:jc w:val="right"/>
              <w:rPr>
                <w:sz w:val="24"/>
              </w:rPr>
            </w:pPr>
            <w:r>
              <w:rPr>
                <w:sz w:val="21"/>
              </w:rPr>
              <w:t>6A</w:t>
            </w:r>
            <w:r>
              <w:rPr>
                <w:sz w:val="24"/>
              </w:rPr>
              <w:t> </w:t>
            </w:r>
          </w:p>
        </w:tc>
        <w:tc>
          <w:tcPr>
            <w:tcW w:w="454" w:type="dxa"/>
          </w:tcPr>
          <w:p>
            <w:pPr>
              <w:pStyle w:val="TableParagraph"/>
              <w:rPr>
                <w:b/>
                <w:sz w:val="20"/>
              </w:rPr>
            </w:pPr>
          </w:p>
          <w:p>
            <w:pPr>
              <w:pStyle w:val="TableParagraph"/>
              <w:spacing w:before="4"/>
              <w:rPr>
                <w:b/>
                <w:sz w:val="14"/>
              </w:rPr>
            </w:pPr>
          </w:p>
          <w:p>
            <w:pPr>
              <w:pStyle w:val="TableParagraph"/>
              <w:ind w:left="11"/>
              <w:rPr>
                <w:sz w:val="21"/>
              </w:rPr>
            </w:pPr>
            <w:r>
              <w:rPr>
                <w:sz w:val="21"/>
              </w:rPr>
              <w:t>297B</w:t>
            </w:r>
          </w:p>
        </w:tc>
      </w:tr>
      <w:tr>
        <w:trPr>
          <w:trHeight w:val="498" w:hRule="atLeast"/>
        </w:trPr>
        <w:tc>
          <w:tcPr>
            <w:tcW w:w="1978" w:type="dxa"/>
            <w:vMerge w:val="restart"/>
          </w:tcPr>
          <w:p>
            <w:pPr>
              <w:pStyle w:val="TableParagraph"/>
              <w:rPr>
                <w:b/>
                <w:sz w:val="20"/>
              </w:rPr>
            </w:pPr>
          </w:p>
          <w:p>
            <w:pPr>
              <w:pStyle w:val="TableParagraph"/>
              <w:rPr>
                <w:b/>
                <w:sz w:val="20"/>
              </w:rPr>
            </w:pPr>
          </w:p>
          <w:p>
            <w:pPr>
              <w:pStyle w:val="TableParagraph"/>
              <w:spacing w:before="9"/>
              <w:rPr>
                <w:b/>
                <w:sz w:val="15"/>
              </w:rPr>
            </w:pPr>
          </w:p>
          <w:p>
            <w:pPr>
              <w:pStyle w:val="TableParagraph"/>
              <w:ind w:left="383" w:right="266"/>
              <w:jc w:val="center"/>
              <w:rPr>
                <w:sz w:val="21"/>
              </w:rPr>
            </w:pPr>
            <w:r>
              <w:rPr>
                <w:sz w:val="21"/>
              </w:rPr>
              <w:t>干粉 </w:t>
            </w:r>
          </w:p>
          <w:p>
            <w:pPr>
              <w:pStyle w:val="TableParagraph"/>
              <w:spacing w:before="12"/>
              <w:rPr>
                <w:b/>
                <w:sz w:val="17"/>
              </w:rPr>
            </w:pPr>
          </w:p>
          <w:p>
            <w:pPr>
              <w:pStyle w:val="TableParagraph"/>
              <w:ind w:left="397" w:right="266"/>
              <w:jc w:val="center"/>
              <w:rPr>
                <w:sz w:val="24"/>
              </w:rPr>
            </w:pPr>
            <w:r>
              <w:rPr>
                <w:sz w:val="21"/>
              </w:rPr>
              <w:t>（碳酸氢钠）</w:t>
            </w:r>
            <w:r>
              <w:rPr>
                <w:sz w:val="24"/>
              </w:rPr>
              <w:t> </w:t>
            </w: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76"/>
              <w:jc w:val="right"/>
              <w:rPr>
                <w:sz w:val="24"/>
              </w:rPr>
            </w:pPr>
            <w:r>
              <w:rPr>
                <w:sz w:val="21"/>
              </w:rPr>
              <w:t>20</w:t>
            </w:r>
            <w:r>
              <w:rPr>
                <w:sz w:val="24"/>
              </w:rPr>
              <w:t> </w:t>
            </w:r>
          </w:p>
        </w:tc>
        <w:tc>
          <w:tcPr>
            <w:tcW w:w="2713" w:type="dxa"/>
          </w:tcPr>
          <w:p>
            <w:pPr>
              <w:pStyle w:val="TableParagraph"/>
              <w:spacing w:before="190"/>
              <w:ind w:left="604" w:right="476"/>
              <w:jc w:val="center"/>
              <w:rPr>
                <w:sz w:val="24"/>
              </w:rPr>
            </w:pPr>
            <w:r>
              <w:rPr>
                <w:sz w:val="21"/>
              </w:rPr>
              <w:t>MFT20</w:t>
            </w:r>
            <w:r>
              <w:rPr>
                <w:sz w:val="24"/>
              </w:rPr>
              <w:t> </w:t>
            </w:r>
          </w:p>
        </w:tc>
        <w:tc>
          <w:tcPr>
            <w:tcW w:w="1014" w:type="dxa"/>
          </w:tcPr>
          <w:p>
            <w:pPr>
              <w:pStyle w:val="TableParagraph"/>
              <w:spacing w:before="190"/>
              <w:ind w:right="266"/>
              <w:jc w:val="right"/>
              <w:rPr>
                <w:sz w:val="24"/>
              </w:rPr>
            </w:pPr>
            <w:r>
              <w:rPr>
                <w:sz w:val="21"/>
              </w:rPr>
              <w:t>―</w:t>
            </w:r>
            <w:r>
              <w:rPr>
                <w:sz w:val="24"/>
              </w:rPr>
              <w:t> </w:t>
            </w:r>
          </w:p>
        </w:tc>
        <w:tc>
          <w:tcPr>
            <w:tcW w:w="454" w:type="dxa"/>
          </w:tcPr>
          <w:p>
            <w:pPr>
              <w:pStyle w:val="TableParagraph"/>
              <w:spacing w:before="11"/>
              <w:rPr>
                <w:b/>
                <w:sz w:val="14"/>
              </w:rPr>
            </w:pPr>
          </w:p>
          <w:p>
            <w:pPr>
              <w:pStyle w:val="TableParagraph"/>
              <w:ind w:left="11"/>
              <w:rPr>
                <w:sz w:val="21"/>
              </w:rPr>
            </w:pPr>
            <w:r>
              <w:rPr>
                <w:sz w:val="21"/>
              </w:rPr>
              <w:t>183B</w:t>
            </w:r>
          </w:p>
        </w:tc>
      </w:tr>
      <w:tr>
        <w:trPr>
          <w:trHeight w:val="501"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76"/>
              <w:jc w:val="right"/>
              <w:rPr>
                <w:sz w:val="24"/>
              </w:rPr>
            </w:pPr>
            <w:r>
              <w:rPr>
                <w:sz w:val="21"/>
              </w:rPr>
              <w:t>50</w:t>
            </w:r>
            <w:r>
              <w:rPr>
                <w:sz w:val="24"/>
              </w:rPr>
              <w:t> </w:t>
            </w:r>
          </w:p>
        </w:tc>
        <w:tc>
          <w:tcPr>
            <w:tcW w:w="2713" w:type="dxa"/>
          </w:tcPr>
          <w:p>
            <w:pPr>
              <w:pStyle w:val="TableParagraph"/>
              <w:spacing w:before="190"/>
              <w:ind w:left="604" w:right="476"/>
              <w:jc w:val="center"/>
              <w:rPr>
                <w:sz w:val="24"/>
              </w:rPr>
            </w:pPr>
            <w:r>
              <w:rPr>
                <w:sz w:val="21"/>
              </w:rPr>
              <w:t>MFT50</w:t>
            </w:r>
            <w:r>
              <w:rPr>
                <w:sz w:val="24"/>
              </w:rPr>
              <w:t> </w:t>
            </w:r>
          </w:p>
        </w:tc>
        <w:tc>
          <w:tcPr>
            <w:tcW w:w="1014" w:type="dxa"/>
          </w:tcPr>
          <w:p>
            <w:pPr>
              <w:pStyle w:val="TableParagraph"/>
              <w:spacing w:before="190"/>
              <w:ind w:right="266"/>
              <w:jc w:val="right"/>
              <w:rPr>
                <w:sz w:val="24"/>
              </w:rPr>
            </w:pPr>
            <w:r>
              <w:rPr>
                <w:sz w:val="21"/>
              </w:rPr>
              <w:t>―</w:t>
            </w:r>
            <w:r>
              <w:rPr>
                <w:sz w:val="24"/>
              </w:rPr>
              <w:t> </w:t>
            </w:r>
          </w:p>
        </w:tc>
        <w:tc>
          <w:tcPr>
            <w:tcW w:w="454" w:type="dxa"/>
          </w:tcPr>
          <w:p>
            <w:pPr>
              <w:pStyle w:val="TableParagraph"/>
              <w:spacing w:before="11"/>
              <w:rPr>
                <w:b/>
                <w:sz w:val="14"/>
              </w:rPr>
            </w:pPr>
          </w:p>
          <w:p>
            <w:pPr>
              <w:pStyle w:val="TableParagraph"/>
              <w:ind w:left="11"/>
              <w:rPr>
                <w:sz w:val="21"/>
              </w:rPr>
            </w:pPr>
            <w:r>
              <w:rPr>
                <w:sz w:val="21"/>
              </w:rPr>
              <w:t>297B</w:t>
            </w:r>
          </w:p>
        </w:tc>
      </w:tr>
      <w:tr>
        <w:trPr>
          <w:trHeight w:val="498"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23"/>
              <w:jc w:val="right"/>
              <w:rPr>
                <w:sz w:val="24"/>
              </w:rPr>
            </w:pPr>
            <w:r>
              <w:rPr>
                <w:sz w:val="21"/>
              </w:rPr>
              <w:t>100</w:t>
            </w:r>
            <w:r>
              <w:rPr>
                <w:sz w:val="24"/>
              </w:rPr>
              <w:t> </w:t>
            </w:r>
          </w:p>
        </w:tc>
        <w:tc>
          <w:tcPr>
            <w:tcW w:w="2713" w:type="dxa"/>
          </w:tcPr>
          <w:p>
            <w:pPr>
              <w:pStyle w:val="TableParagraph"/>
              <w:spacing w:before="190"/>
              <w:ind w:left="604" w:right="476"/>
              <w:jc w:val="center"/>
              <w:rPr>
                <w:sz w:val="24"/>
              </w:rPr>
            </w:pPr>
            <w:r>
              <w:rPr>
                <w:sz w:val="21"/>
              </w:rPr>
              <w:t>MFT100</w:t>
            </w:r>
            <w:r>
              <w:rPr>
                <w:sz w:val="24"/>
              </w:rPr>
              <w:t> </w:t>
            </w:r>
          </w:p>
        </w:tc>
        <w:tc>
          <w:tcPr>
            <w:tcW w:w="1014" w:type="dxa"/>
          </w:tcPr>
          <w:p>
            <w:pPr>
              <w:pStyle w:val="TableParagraph"/>
              <w:spacing w:before="190"/>
              <w:ind w:right="266"/>
              <w:jc w:val="right"/>
              <w:rPr>
                <w:sz w:val="24"/>
              </w:rPr>
            </w:pPr>
            <w:r>
              <w:rPr>
                <w:sz w:val="21"/>
              </w:rPr>
              <w:t>―</w:t>
            </w:r>
            <w:r>
              <w:rPr>
                <w:sz w:val="24"/>
              </w:rPr>
              <w:t> </w:t>
            </w:r>
          </w:p>
        </w:tc>
        <w:tc>
          <w:tcPr>
            <w:tcW w:w="454" w:type="dxa"/>
          </w:tcPr>
          <w:p>
            <w:pPr>
              <w:pStyle w:val="TableParagraph"/>
              <w:spacing w:before="11"/>
              <w:rPr>
                <w:b/>
                <w:sz w:val="14"/>
              </w:rPr>
            </w:pPr>
          </w:p>
          <w:p>
            <w:pPr>
              <w:pStyle w:val="TableParagraph"/>
              <w:ind w:left="11"/>
              <w:rPr>
                <w:sz w:val="21"/>
              </w:rPr>
            </w:pPr>
            <w:r>
              <w:rPr>
                <w:sz w:val="21"/>
              </w:rPr>
              <w:t>297B</w:t>
            </w:r>
          </w:p>
        </w:tc>
      </w:tr>
      <w:tr>
        <w:trPr>
          <w:trHeight w:val="500" w:hRule="atLeast"/>
        </w:trPr>
        <w:tc>
          <w:tcPr>
            <w:tcW w:w="1978" w:type="dxa"/>
            <w:vMerge/>
            <w:tcBorders>
              <w:top w:val="nil"/>
            </w:tcBorders>
          </w:tcPr>
          <w:p>
            <w:pPr>
              <w:rPr>
                <w:sz w:val="2"/>
                <w:szCs w:val="2"/>
              </w:rPr>
            </w:pPr>
          </w:p>
        </w:tc>
        <w:tc>
          <w:tcPr>
            <w:tcW w:w="1129" w:type="dxa"/>
          </w:tcPr>
          <w:p>
            <w:pPr>
              <w:pStyle w:val="TableParagraph"/>
              <w:spacing w:before="193"/>
              <w:ind w:left="455"/>
              <w:rPr>
                <w:sz w:val="24"/>
              </w:rPr>
            </w:pPr>
            <w:r>
              <w:rPr>
                <w:sz w:val="21"/>
              </w:rPr>
              <w:t>―</w:t>
            </w:r>
            <w:r>
              <w:rPr>
                <w:sz w:val="24"/>
              </w:rPr>
              <w:t> </w:t>
            </w:r>
          </w:p>
        </w:tc>
        <w:tc>
          <w:tcPr>
            <w:tcW w:w="1232" w:type="dxa"/>
          </w:tcPr>
          <w:p>
            <w:pPr>
              <w:pStyle w:val="TableParagraph"/>
              <w:spacing w:before="193"/>
              <w:ind w:right="323"/>
              <w:jc w:val="right"/>
              <w:rPr>
                <w:sz w:val="24"/>
              </w:rPr>
            </w:pPr>
            <w:r>
              <w:rPr>
                <w:sz w:val="21"/>
              </w:rPr>
              <w:t>125</w:t>
            </w:r>
            <w:r>
              <w:rPr>
                <w:sz w:val="24"/>
              </w:rPr>
              <w:t> </w:t>
            </w:r>
          </w:p>
        </w:tc>
        <w:tc>
          <w:tcPr>
            <w:tcW w:w="2713" w:type="dxa"/>
          </w:tcPr>
          <w:p>
            <w:pPr>
              <w:pStyle w:val="TableParagraph"/>
              <w:spacing w:before="193"/>
              <w:ind w:left="604" w:right="476"/>
              <w:jc w:val="center"/>
              <w:rPr>
                <w:sz w:val="24"/>
              </w:rPr>
            </w:pPr>
            <w:r>
              <w:rPr>
                <w:sz w:val="21"/>
              </w:rPr>
              <w:t>MFT125</w:t>
            </w:r>
            <w:r>
              <w:rPr>
                <w:sz w:val="24"/>
              </w:rPr>
              <w:t> </w:t>
            </w:r>
          </w:p>
        </w:tc>
        <w:tc>
          <w:tcPr>
            <w:tcW w:w="1014" w:type="dxa"/>
          </w:tcPr>
          <w:p>
            <w:pPr>
              <w:pStyle w:val="TableParagraph"/>
              <w:spacing w:before="193"/>
              <w:ind w:right="266"/>
              <w:jc w:val="right"/>
              <w:rPr>
                <w:sz w:val="24"/>
              </w:rPr>
            </w:pPr>
            <w:r>
              <w:rPr>
                <w:sz w:val="21"/>
              </w:rPr>
              <w:t>―</w:t>
            </w:r>
            <w:r>
              <w:rPr>
                <w:sz w:val="24"/>
              </w:rPr>
              <w:t> </w:t>
            </w:r>
          </w:p>
        </w:tc>
        <w:tc>
          <w:tcPr>
            <w:tcW w:w="454" w:type="dxa"/>
          </w:tcPr>
          <w:p>
            <w:pPr>
              <w:pStyle w:val="TableParagraph"/>
              <w:rPr>
                <w:b/>
                <w:sz w:val="15"/>
              </w:rPr>
            </w:pPr>
          </w:p>
          <w:p>
            <w:pPr>
              <w:pStyle w:val="TableParagraph"/>
              <w:ind w:left="11"/>
              <w:rPr>
                <w:sz w:val="21"/>
              </w:rPr>
            </w:pPr>
            <w:r>
              <w:rPr>
                <w:sz w:val="21"/>
              </w:rPr>
              <w:t>297B</w:t>
            </w:r>
          </w:p>
        </w:tc>
      </w:tr>
      <w:tr>
        <w:trPr>
          <w:trHeight w:val="500" w:hRule="atLeast"/>
        </w:trPr>
        <w:tc>
          <w:tcPr>
            <w:tcW w:w="1978" w:type="dxa"/>
            <w:vMerge w:val="restart"/>
          </w:tcPr>
          <w:p>
            <w:pPr>
              <w:pStyle w:val="TableParagraph"/>
              <w:rPr>
                <w:b/>
                <w:sz w:val="20"/>
              </w:rPr>
            </w:pPr>
          </w:p>
          <w:p>
            <w:pPr>
              <w:pStyle w:val="TableParagraph"/>
              <w:rPr>
                <w:b/>
                <w:sz w:val="20"/>
              </w:rPr>
            </w:pPr>
          </w:p>
          <w:p>
            <w:pPr>
              <w:pStyle w:val="TableParagraph"/>
              <w:spacing w:before="9"/>
              <w:rPr>
                <w:b/>
                <w:sz w:val="15"/>
              </w:rPr>
            </w:pPr>
          </w:p>
          <w:p>
            <w:pPr>
              <w:pStyle w:val="TableParagraph"/>
              <w:ind w:left="383" w:right="266"/>
              <w:jc w:val="center"/>
              <w:rPr>
                <w:sz w:val="21"/>
              </w:rPr>
            </w:pPr>
            <w:r>
              <w:rPr>
                <w:sz w:val="21"/>
              </w:rPr>
              <w:t>干粉 </w:t>
            </w:r>
          </w:p>
          <w:p>
            <w:pPr>
              <w:pStyle w:val="TableParagraph"/>
              <w:rPr>
                <w:b/>
                <w:sz w:val="18"/>
              </w:rPr>
            </w:pPr>
          </w:p>
          <w:p>
            <w:pPr>
              <w:pStyle w:val="TableParagraph"/>
              <w:ind w:left="397" w:right="266"/>
              <w:jc w:val="center"/>
              <w:rPr>
                <w:sz w:val="24"/>
              </w:rPr>
            </w:pPr>
            <w:r>
              <w:rPr>
                <w:sz w:val="21"/>
              </w:rPr>
              <w:t>（磷酸铵盐）</w:t>
            </w:r>
            <w:r>
              <w:rPr>
                <w:sz w:val="24"/>
              </w:rPr>
              <w:t> </w:t>
            </w: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76"/>
              <w:jc w:val="right"/>
              <w:rPr>
                <w:sz w:val="24"/>
              </w:rPr>
            </w:pPr>
            <w:r>
              <w:rPr>
                <w:sz w:val="21"/>
              </w:rPr>
              <w:t>20</w:t>
            </w:r>
            <w:r>
              <w:rPr>
                <w:sz w:val="24"/>
              </w:rPr>
              <w:t> </w:t>
            </w:r>
          </w:p>
        </w:tc>
        <w:tc>
          <w:tcPr>
            <w:tcW w:w="2713" w:type="dxa"/>
          </w:tcPr>
          <w:p>
            <w:pPr>
              <w:pStyle w:val="TableParagraph"/>
              <w:spacing w:before="190"/>
              <w:ind w:left="606" w:right="476"/>
              <w:jc w:val="center"/>
              <w:rPr>
                <w:sz w:val="24"/>
              </w:rPr>
            </w:pPr>
            <w:r>
              <w:rPr>
                <w:sz w:val="21"/>
              </w:rPr>
              <w:t>MFT/ABC20</w:t>
            </w:r>
            <w:r>
              <w:rPr>
                <w:sz w:val="24"/>
              </w:rPr>
              <w:t> </w:t>
            </w:r>
          </w:p>
        </w:tc>
        <w:tc>
          <w:tcPr>
            <w:tcW w:w="1014" w:type="dxa"/>
          </w:tcPr>
          <w:p>
            <w:pPr>
              <w:pStyle w:val="TableParagraph"/>
              <w:spacing w:before="190"/>
              <w:ind w:right="266"/>
              <w:jc w:val="right"/>
              <w:rPr>
                <w:sz w:val="24"/>
              </w:rPr>
            </w:pPr>
            <w:r>
              <w:rPr>
                <w:sz w:val="21"/>
              </w:rPr>
              <w:t>6A</w:t>
            </w:r>
            <w:r>
              <w:rPr>
                <w:sz w:val="24"/>
              </w:rPr>
              <w:t> </w:t>
            </w:r>
          </w:p>
        </w:tc>
        <w:tc>
          <w:tcPr>
            <w:tcW w:w="454" w:type="dxa"/>
          </w:tcPr>
          <w:p>
            <w:pPr>
              <w:pStyle w:val="TableParagraph"/>
              <w:spacing w:before="11"/>
              <w:rPr>
                <w:b/>
                <w:sz w:val="14"/>
              </w:rPr>
            </w:pPr>
          </w:p>
          <w:p>
            <w:pPr>
              <w:pStyle w:val="TableParagraph"/>
              <w:ind w:left="11"/>
              <w:rPr>
                <w:sz w:val="21"/>
              </w:rPr>
            </w:pPr>
            <w:r>
              <w:rPr>
                <w:sz w:val="21"/>
              </w:rPr>
              <w:t>183B</w:t>
            </w:r>
          </w:p>
        </w:tc>
      </w:tr>
      <w:tr>
        <w:trPr>
          <w:trHeight w:val="499" w:hRule="atLeast"/>
        </w:trPr>
        <w:tc>
          <w:tcPr>
            <w:tcW w:w="1978" w:type="dxa"/>
            <w:vMerge/>
            <w:tcBorders>
              <w:top w:val="nil"/>
            </w:tcBorders>
          </w:tcPr>
          <w:p>
            <w:pPr>
              <w:rPr>
                <w:sz w:val="2"/>
                <w:szCs w:val="2"/>
              </w:rPr>
            </w:pPr>
          </w:p>
        </w:tc>
        <w:tc>
          <w:tcPr>
            <w:tcW w:w="1129" w:type="dxa"/>
          </w:tcPr>
          <w:p>
            <w:pPr>
              <w:pStyle w:val="TableParagraph"/>
              <w:spacing w:before="191"/>
              <w:ind w:left="455"/>
              <w:rPr>
                <w:sz w:val="24"/>
              </w:rPr>
            </w:pPr>
            <w:r>
              <w:rPr>
                <w:sz w:val="21"/>
              </w:rPr>
              <w:t>―</w:t>
            </w:r>
            <w:r>
              <w:rPr>
                <w:sz w:val="24"/>
              </w:rPr>
              <w:t> </w:t>
            </w:r>
          </w:p>
        </w:tc>
        <w:tc>
          <w:tcPr>
            <w:tcW w:w="1232" w:type="dxa"/>
          </w:tcPr>
          <w:p>
            <w:pPr>
              <w:pStyle w:val="TableParagraph"/>
              <w:spacing w:before="191"/>
              <w:ind w:right="376"/>
              <w:jc w:val="right"/>
              <w:rPr>
                <w:sz w:val="24"/>
              </w:rPr>
            </w:pPr>
            <w:r>
              <w:rPr>
                <w:sz w:val="21"/>
              </w:rPr>
              <w:t>50</w:t>
            </w:r>
            <w:r>
              <w:rPr>
                <w:sz w:val="24"/>
              </w:rPr>
              <w:t> </w:t>
            </w:r>
          </w:p>
        </w:tc>
        <w:tc>
          <w:tcPr>
            <w:tcW w:w="2713" w:type="dxa"/>
          </w:tcPr>
          <w:p>
            <w:pPr>
              <w:pStyle w:val="TableParagraph"/>
              <w:spacing w:before="191"/>
              <w:ind w:left="606" w:right="476"/>
              <w:jc w:val="center"/>
              <w:rPr>
                <w:sz w:val="24"/>
              </w:rPr>
            </w:pPr>
            <w:r>
              <w:rPr>
                <w:sz w:val="21"/>
              </w:rPr>
              <w:t>MFT/ABC50</w:t>
            </w:r>
            <w:r>
              <w:rPr>
                <w:sz w:val="24"/>
              </w:rPr>
              <w:t> </w:t>
            </w:r>
          </w:p>
        </w:tc>
        <w:tc>
          <w:tcPr>
            <w:tcW w:w="1014" w:type="dxa"/>
          </w:tcPr>
          <w:p>
            <w:pPr>
              <w:pStyle w:val="TableParagraph"/>
              <w:spacing w:before="191"/>
              <w:ind w:right="266"/>
              <w:jc w:val="right"/>
              <w:rPr>
                <w:sz w:val="24"/>
              </w:rPr>
            </w:pPr>
            <w:r>
              <w:rPr>
                <w:sz w:val="21"/>
              </w:rPr>
              <w:t>8A</w:t>
            </w:r>
            <w:r>
              <w:rPr>
                <w:sz w:val="24"/>
              </w:rPr>
              <w:t> </w:t>
            </w:r>
          </w:p>
        </w:tc>
        <w:tc>
          <w:tcPr>
            <w:tcW w:w="454" w:type="dxa"/>
          </w:tcPr>
          <w:p>
            <w:pPr>
              <w:pStyle w:val="TableParagraph"/>
              <w:spacing w:before="11"/>
              <w:rPr>
                <w:b/>
                <w:sz w:val="14"/>
              </w:rPr>
            </w:pPr>
          </w:p>
          <w:p>
            <w:pPr>
              <w:pStyle w:val="TableParagraph"/>
              <w:ind w:left="11"/>
              <w:rPr>
                <w:sz w:val="21"/>
              </w:rPr>
            </w:pPr>
            <w:r>
              <w:rPr>
                <w:sz w:val="21"/>
              </w:rPr>
              <w:t>297B</w:t>
            </w:r>
          </w:p>
        </w:tc>
      </w:tr>
      <w:tr>
        <w:trPr>
          <w:trHeight w:val="501"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23"/>
              <w:jc w:val="right"/>
              <w:rPr>
                <w:sz w:val="24"/>
              </w:rPr>
            </w:pPr>
            <w:r>
              <w:rPr>
                <w:sz w:val="21"/>
              </w:rPr>
              <w:t>100</w:t>
            </w:r>
            <w:r>
              <w:rPr>
                <w:sz w:val="24"/>
              </w:rPr>
              <w:t> </w:t>
            </w:r>
          </w:p>
        </w:tc>
        <w:tc>
          <w:tcPr>
            <w:tcW w:w="2713" w:type="dxa"/>
          </w:tcPr>
          <w:p>
            <w:pPr>
              <w:pStyle w:val="TableParagraph"/>
              <w:spacing w:before="190"/>
              <w:ind w:left="606" w:right="476"/>
              <w:jc w:val="center"/>
              <w:rPr>
                <w:sz w:val="24"/>
              </w:rPr>
            </w:pPr>
            <w:r>
              <w:rPr>
                <w:sz w:val="21"/>
              </w:rPr>
              <w:t>MFT/ABC100</w:t>
            </w:r>
            <w:r>
              <w:rPr>
                <w:sz w:val="24"/>
              </w:rPr>
              <w:t> </w:t>
            </w:r>
          </w:p>
        </w:tc>
        <w:tc>
          <w:tcPr>
            <w:tcW w:w="1014" w:type="dxa"/>
          </w:tcPr>
          <w:p>
            <w:pPr>
              <w:pStyle w:val="TableParagraph"/>
              <w:spacing w:before="190"/>
              <w:ind w:right="216"/>
              <w:jc w:val="right"/>
              <w:rPr>
                <w:sz w:val="24"/>
              </w:rPr>
            </w:pPr>
            <w:r>
              <w:rPr>
                <w:sz w:val="21"/>
              </w:rPr>
              <w:t>10A</w:t>
            </w:r>
            <w:r>
              <w:rPr>
                <w:sz w:val="24"/>
              </w:rPr>
              <w:t> </w:t>
            </w:r>
          </w:p>
        </w:tc>
        <w:tc>
          <w:tcPr>
            <w:tcW w:w="454" w:type="dxa"/>
          </w:tcPr>
          <w:p>
            <w:pPr>
              <w:pStyle w:val="TableParagraph"/>
              <w:spacing w:before="11"/>
              <w:rPr>
                <w:b/>
                <w:sz w:val="14"/>
              </w:rPr>
            </w:pPr>
          </w:p>
          <w:p>
            <w:pPr>
              <w:pStyle w:val="TableParagraph"/>
              <w:ind w:left="11"/>
              <w:rPr>
                <w:sz w:val="21"/>
              </w:rPr>
            </w:pPr>
            <w:r>
              <w:rPr>
                <w:sz w:val="21"/>
              </w:rPr>
              <w:t>297B</w:t>
            </w:r>
          </w:p>
        </w:tc>
      </w:tr>
      <w:tr>
        <w:trPr>
          <w:trHeight w:val="498"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23"/>
              <w:jc w:val="right"/>
              <w:rPr>
                <w:sz w:val="24"/>
              </w:rPr>
            </w:pPr>
            <w:r>
              <w:rPr>
                <w:sz w:val="21"/>
              </w:rPr>
              <w:t>125</w:t>
            </w:r>
            <w:r>
              <w:rPr>
                <w:sz w:val="24"/>
              </w:rPr>
              <w:t> </w:t>
            </w:r>
          </w:p>
        </w:tc>
        <w:tc>
          <w:tcPr>
            <w:tcW w:w="2713" w:type="dxa"/>
          </w:tcPr>
          <w:p>
            <w:pPr>
              <w:pStyle w:val="TableParagraph"/>
              <w:spacing w:before="190"/>
              <w:ind w:left="606" w:right="476"/>
              <w:jc w:val="center"/>
              <w:rPr>
                <w:sz w:val="24"/>
              </w:rPr>
            </w:pPr>
            <w:r>
              <w:rPr>
                <w:sz w:val="21"/>
              </w:rPr>
              <w:t>MFT/ABC125</w:t>
            </w:r>
            <w:r>
              <w:rPr>
                <w:sz w:val="24"/>
              </w:rPr>
              <w:t> </w:t>
            </w:r>
          </w:p>
        </w:tc>
        <w:tc>
          <w:tcPr>
            <w:tcW w:w="1014" w:type="dxa"/>
          </w:tcPr>
          <w:p>
            <w:pPr>
              <w:pStyle w:val="TableParagraph"/>
              <w:spacing w:before="190"/>
              <w:ind w:right="216"/>
              <w:jc w:val="right"/>
              <w:rPr>
                <w:sz w:val="24"/>
              </w:rPr>
            </w:pPr>
            <w:r>
              <w:rPr>
                <w:sz w:val="21"/>
              </w:rPr>
              <w:t>10A</w:t>
            </w:r>
            <w:r>
              <w:rPr>
                <w:sz w:val="24"/>
              </w:rPr>
              <w:t> </w:t>
            </w:r>
          </w:p>
        </w:tc>
        <w:tc>
          <w:tcPr>
            <w:tcW w:w="454" w:type="dxa"/>
          </w:tcPr>
          <w:p>
            <w:pPr>
              <w:pStyle w:val="TableParagraph"/>
              <w:spacing w:before="11"/>
              <w:rPr>
                <w:b/>
                <w:sz w:val="14"/>
              </w:rPr>
            </w:pPr>
          </w:p>
          <w:p>
            <w:pPr>
              <w:pStyle w:val="TableParagraph"/>
              <w:ind w:left="11"/>
              <w:rPr>
                <w:sz w:val="21"/>
              </w:rPr>
            </w:pPr>
            <w:r>
              <w:rPr>
                <w:sz w:val="21"/>
              </w:rPr>
              <w:t>297B</w:t>
            </w:r>
          </w:p>
        </w:tc>
      </w:tr>
      <w:tr>
        <w:trPr>
          <w:trHeight w:val="500" w:hRule="atLeast"/>
        </w:trPr>
        <w:tc>
          <w:tcPr>
            <w:tcW w:w="1978" w:type="dxa"/>
            <w:vMerge w:val="restart"/>
          </w:tcPr>
          <w:p>
            <w:pPr>
              <w:pStyle w:val="TableParagraph"/>
              <w:rPr>
                <w:b/>
                <w:sz w:val="20"/>
              </w:rPr>
            </w:pPr>
          </w:p>
          <w:p>
            <w:pPr>
              <w:pStyle w:val="TableParagraph"/>
              <w:rPr>
                <w:b/>
                <w:sz w:val="20"/>
              </w:rPr>
            </w:pPr>
          </w:p>
          <w:p>
            <w:pPr>
              <w:pStyle w:val="TableParagraph"/>
              <w:spacing w:before="9"/>
              <w:rPr>
                <w:b/>
                <w:sz w:val="15"/>
              </w:rPr>
            </w:pPr>
          </w:p>
          <w:p>
            <w:pPr>
              <w:pStyle w:val="TableParagraph"/>
              <w:ind w:left="671"/>
              <w:rPr>
                <w:sz w:val="21"/>
              </w:rPr>
            </w:pPr>
            <w:r>
              <w:rPr>
                <w:sz w:val="21"/>
              </w:rPr>
              <w:t>卤代烷 </w:t>
            </w:r>
          </w:p>
          <w:p>
            <w:pPr>
              <w:pStyle w:val="TableParagraph"/>
              <w:spacing w:before="1"/>
              <w:rPr>
                <w:b/>
                <w:sz w:val="18"/>
              </w:rPr>
            </w:pPr>
          </w:p>
          <w:p>
            <w:pPr>
              <w:pStyle w:val="TableParagraph"/>
              <w:spacing w:before="1"/>
              <w:ind w:left="568"/>
              <w:rPr>
                <w:sz w:val="24"/>
              </w:rPr>
            </w:pPr>
            <w:r>
              <w:rPr>
                <w:sz w:val="21"/>
              </w:rPr>
              <w:t>（1211）</w:t>
            </w:r>
            <w:r>
              <w:rPr>
                <w:sz w:val="24"/>
              </w:rPr>
              <w:t> </w:t>
            </w:r>
          </w:p>
        </w:tc>
        <w:tc>
          <w:tcPr>
            <w:tcW w:w="1129" w:type="dxa"/>
          </w:tcPr>
          <w:p>
            <w:pPr>
              <w:pStyle w:val="TableParagraph"/>
              <w:spacing w:before="193"/>
              <w:ind w:left="455"/>
              <w:rPr>
                <w:sz w:val="24"/>
              </w:rPr>
            </w:pPr>
            <w:r>
              <w:rPr>
                <w:sz w:val="21"/>
              </w:rPr>
              <w:t>―</w:t>
            </w:r>
            <w:r>
              <w:rPr>
                <w:sz w:val="24"/>
              </w:rPr>
              <w:t> </w:t>
            </w:r>
          </w:p>
        </w:tc>
        <w:tc>
          <w:tcPr>
            <w:tcW w:w="1232" w:type="dxa"/>
          </w:tcPr>
          <w:p>
            <w:pPr>
              <w:pStyle w:val="TableParagraph"/>
              <w:spacing w:before="193"/>
              <w:ind w:right="376"/>
              <w:jc w:val="right"/>
              <w:rPr>
                <w:sz w:val="24"/>
              </w:rPr>
            </w:pPr>
            <w:r>
              <w:rPr>
                <w:sz w:val="21"/>
              </w:rPr>
              <w:t>10</w:t>
            </w:r>
            <w:r>
              <w:rPr>
                <w:sz w:val="24"/>
              </w:rPr>
              <w:t> </w:t>
            </w:r>
          </w:p>
        </w:tc>
        <w:tc>
          <w:tcPr>
            <w:tcW w:w="2713" w:type="dxa"/>
          </w:tcPr>
          <w:p>
            <w:pPr>
              <w:pStyle w:val="TableParagraph"/>
              <w:spacing w:before="193"/>
              <w:ind w:left="604" w:right="476"/>
              <w:jc w:val="center"/>
              <w:rPr>
                <w:sz w:val="24"/>
              </w:rPr>
            </w:pPr>
            <w:r>
              <w:rPr>
                <w:sz w:val="21"/>
              </w:rPr>
              <w:t>MYT10</w:t>
            </w:r>
            <w:r>
              <w:rPr>
                <w:sz w:val="24"/>
              </w:rPr>
              <w:t> </w:t>
            </w:r>
          </w:p>
        </w:tc>
        <w:tc>
          <w:tcPr>
            <w:tcW w:w="1014" w:type="dxa"/>
          </w:tcPr>
          <w:p>
            <w:pPr>
              <w:pStyle w:val="TableParagraph"/>
              <w:spacing w:before="193"/>
              <w:ind w:right="266"/>
              <w:jc w:val="right"/>
              <w:rPr>
                <w:sz w:val="24"/>
              </w:rPr>
            </w:pPr>
            <w:r>
              <w:rPr>
                <w:sz w:val="21"/>
              </w:rPr>
              <w:t>―</w:t>
            </w:r>
            <w:r>
              <w:rPr>
                <w:sz w:val="24"/>
              </w:rPr>
              <w:t> </w:t>
            </w:r>
          </w:p>
        </w:tc>
        <w:tc>
          <w:tcPr>
            <w:tcW w:w="454" w:type="dxa"/>
          </w:tcPr>
          <w:p>
            <w:pPr>
              <w:pStyle w:val="TableParagraph"/>
              <w:spacing w:before="193"/>
              <w:ind w:left="64" w:right="-72"/>
              <w:rPr>
                <w:sz w:val="24"/>
              </w:rPr>
            </w:pPr>
            <w:r>
              <w:rPr>
                <w:sz w:val="21"/>
              </w:rPr>
              <w:t>70B</w:t>
            </w:r>
            <w:r>
              <w:rPr>
                <w:sz w:val="24"/>
              </w:rPr>
              <w:t> </w:t>
            </w:r>
          </w:p>
        </w:tc>
      </w:tr>
      <w:tr>
        <w:trPr>
          <w:trHeight w:val="498"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76"/>
              <w:jc w:val="right"/>
              <w:rPr>
                <w:sz w:val="24"/>
              </w:rPr>
            </w:pPr>
            <w:r>
              <w:rPr>
                <w:sz w:val="21"/>
              </w:rPr>
              <w:t>20</w:t>
            </w:r>
            <w:r>
              <w:rPr>
                <w:sz w:val="24"/>
              </w:rPr>
              <w:t> </w:t>
            </w:r>
          </w:p>
        </w:tc>
        <w:tc>
          <w:tcPr>
            <w:tcW w:w="2713" w:type="dxa"/>
          </w:tcPr>
          <w:p>
            <w:pPr>
              <w:pStyle w:val="TableParagraph"/>
              <w:spacing w:before="190"/>
              <w:ind w:left="604" w:right="476"/>
              <w:jc w:val="center"/>
              <w:rPr>
                <w:sz w:val="24"/>
              </w:rPr>
            </w:pPr>
            <w:r>
              <w:rPr>
                <w:sz w:val="21"/>
              </w:rPr>
              <w:t>MYT20</w:t>
            </w:r>
            <w:r>
              <w:rPr>
                <w:sz w:val="24"/>
              </w:rPr>
              <w:t> </w:t>
            </w:r>
          </w:p>
        </w:tc>
        <w:tc>
          <w:tcPr>
            <w:tcW w:w="1014" w:type="dxa"/>
          </w:tcPr>
          <w:p>
            <w:pPr>
              <w:pStyle w:val="TableParagraph"/>
              <w:spacing w:before="190"/>
              <w:ind w:right="266"/>
              <w:jc w:val="right"/>
              <w:rPr>
                <w:sz w:val="24"/>
              </w:rPr>
            </w:pPr>
            <w:r>
              <w:rPr>
                <w:sz w:val="21"/>
              </w:rPr>
              <w:t>―</w:t>
            </w:r>
            <w:r>
              <w:rPr>
                <w:sz w:val="24"/>
              </w:rPr>
              <w:t> </w:t>
            </w:r>
          </w:p>
        </w:tc>
        <w:tc>
          <w:tcPr>
            <w:tcW w:w="454" w:type="dxa"/>
          </w:tcPr>
          <w:p>
            <w:pPr>
              <w:pStyle w:val="TableParagraph"/>
              <w:spacing w:before="11"/>
              <w:rPr>
                <w:b/>
                <w:sz w:val="14"/>
              </w:rPr>
            </w:pPr>
          </w:p>
          <w:p>
            <w:pPr>
              <w:pStyle w:val="TableParagraph"/>
              <w:ind w:left="11"/>
              <w:rPr>
                <w:sz w:val="21"/>
              </w:rPr>
            </w:pPr>
            <w:r>
              <w:rPr>
                <w:sz w:val="21"/>
              </w:rPr>
              <w:t>144B</w:t>
            </w:r>
          </w:p>
        </w:tc>
      </w:tr>
      <w:tr>
        <w:trPr>
          <w:trHeight w:val="500" w:hRule="atLeast"/>
        </w:trPr>
        <w:tc>
          <w:tcPr>
            <w:tcW w:w="1978" w:type="dxa"/>
            <w:vMerge/>
            <w:tcBorders>
              <w:top w:val="nil"/>
            </w:tcBorders>
          </w:tcPr>
          <w:p>
            <w:pPr>
              <w:rPr>
                <w:sz w:val="2"/>
                <w:szCs w:val="2"/>
              </w:rPr>
            </w:pPr>
          </w:p>
        </w:tc>
        <w:tc>
          <w:tcPr>
            <w:tcW w:w="1129" w:type="dxa"/>
          </w:tcPr>
          <w:p>
            <w:pPr>
              <w:pStyle w:val="TableParagraph"/>
              <w:spacing w:before="193"/>
              <w:ind w:left="455"/>
              <w:rPr>
                <w:sz w:val="24"/>
              </w:rPr>
            </w:pPr>
            <w:r>
              <w:rPr>
                <w:sz w:val="21"/>
              </w:rPr>
              <w:t>―</w:t>
            </w:r>
            <w:r>
              <w:rPr>
                <w:sz w:val="24"/>
              </w:rPr>
              <w:t> </w:t>
            </w:r>
          </w:p>
        </w:tc>
        <w:tc>
          <w:tcPr>
            <w:tcW w:w="1232" w:type="dxa"/>
          </w:tcPr>
          <w:p>
            <w:pPr>
              <w:pStyle w:val="TableParagraph"/>
              <w:spacing w:before="193"/>
              <w:ind w:right="376"/>
              <w:jc w:val="right"/>
              <w:rPr>
                <w:sz w:val="24"/>
              </w:rPr>
            </w:pPr>
            <w:r>
              <w:rPr>
                <w:sz w:val="21"/>
              </w:rPr>
              <w:t>30</w:t>
            </w:r>
            <w:r>
              <w:rPr>
                <w:sz w:val="24"/>
              </w:rPr>
              <w:t> </w:t>
            </w:r>
          </w:p>
        </w:tc>
        <w:tc>
          <w:tcPr>
            <w:tcW w:w="2713" w:type="dxa"/>
          </w:tcPr>
          <w:p>
            <w:pPr>
              <w:pStyle w:val="TableParagraph"/>
              <w:spacing w:before="193"/>
              <w:ind w:left="604" w:right="476"/>
              <w:jc w:val="center"/>
              <w:rPr>
                <w:sz w:val="24"/>
              </w:rPr>
            </w:pPr>
            <w:r>
              <w:rPr>
                <w:sz w:val="21"/>
              </w:rPr>
              <w:t>MYT30</w:t>
            </w:r>
            <w:r>
              <w:rPr>
                <w:sz w:val="24"/>
              </w:rPr>
              <w:t> </w:t>
            </w:r>
          </w:p>
        </w:tc>
        <w:tc>
          <w:tcPr>
            <w:tcW w:w="1014" w:type="dxa"/>
          </w:tcPr>
          <w:p>
            <w:pPr>
              <w:pStyle w:val="TableParagraph"/>
              <w:spacing w:before="193"/>
              <w:ind w:right="266"/>
              <w:jc w:val="right"/>
              <w:rPr>
                <w:sz w:val="24"/>
              </w:rPr>
            </w:pPr>
            <w:r>
              <w:rPr>
                <w:sz w:val="21"/>
              </w:rPr>
              <w:t>―</w:t>
            </w:r>
            <w:r>
              <w:rPr>
                <w:sz w:val="24"/>
              </w:rPr>
              <w:t> </w:t>
            </w:r>
          </w:p>
        </w:tc>
        <w:tc>
          <w:tcPr>
            <w:tcW w:w="454" w:type="dxa"/>
          </w:tcPr>
          <w:p>
            <w:pPr>
              <w:pStyle w:val="TableParagraph"/>
              <w:rPr>
                <w:b/>
                <w:sz w:val="15"/>
              </w:rPr>
            </w:pPr>
          </w:p>
          <w:p>
            <w:pPr>
              <w:pStyle w:val="TableParagraph"/>
              <w:ind w:left="11"/>
              <w:rPr>
                <w:sz w:val="21"/>
              </w:rPr>
            </w:pPr>
            <w:r>
              <w:rPr>
                <w:sz w:val="21"/>
              </w:rPr>
              <w:t>183B</w:t>
            </w:r>
          </w:p>
        </w:tc>
      </w:tr>
      <w:tr>
        <w:trPr>
          <w:trHeight w:val="501" w:hRule="atLeast"/>
        </w:trPr>
        <w:tc>
          <w:tcPr>
            <w:tcW w:w="1978" w:type="dxa"/>
            <w:vMerge/>
            <w:tcBorders>
              <w:top w:val="nil"/>
            </w:tcBorders>
          </w:tcPr>
          <w:p>
            <w:pPr>
              <w:rPr>
                <w:sz w:val="2"/>
                <w:szCs w:val="2"/>
              </w:rPr>
            </w:pPr>
          </w:p>
        </w:tc>
        <w:tc>
          <w:tcPr>
            <w:tcW w:w="1129" w:type="dxa"/>
          </w:tcPr>
          <w:p>
            <w:pPr>
              <w:pStyle w:val="TableParagraph"/>
              <w:spacing w:before="191"/>
              <w:ind w:left="455"/>
              <w:rPr>
                <w:sz w:val="24"/>
              </w:rPr>
            </w:pPr>
            <w:r>
              <w:rPr>
                <w:sz w:val="21"/>
              </w:rPr>
              <w:t>―</w:t>
            </w:r>
            <w:r>
              <w:rPr>
                <w:sz w:val="24"/>
              </w:rPr>
              <w:t> </w:t>
            </w:r>
          </w:p>
        </w:tc>
        <w:tc>
          <w:tcPr>
            <w:tcW w:w="1232" w:type="dxa"/>
          </w:tcPr>
          <w:p>
            <w:pPr>
              <w:pStyle w:val="TableParagraph"/>
              <w:spacing w:before="191"/>
              <w:ind w:right="376"/>
              <w:jc w:val="right"/>
              <w:rPr>
                <w:sz w:val="24"/>
              </w:rPr>
            </w:pPr>
            <w:r>
              <w:rPr>
                <w:sz w:val="21"/>
              </w:rPr>
              <w:t>50</w:t>
            </w:r>
            <w:r>
              <w:rPr>
                <w:sz w:val="24"/>
              </w:rPr>
              <w:t> </w:t>
            </w:r>
          </w:p>
        </w:tc>
        <w:tc>
          <w:tcPr>
            <w:tcW w:w="2713" w:type="dxa"/>
          </w:tcPr>
          <w:p>
            <w:pPr>
              <w:pStyle w:val="TableParagraph"/>
              <w:spacing w:before="191"/>
              <w:ind w:left="604" w:right="476"/>
              <w:jc w:val="center"/>
              <w:rPr>
                <w:sz w:val="24"/>
              </w:rPr>
            </w:pPr>
            <w:r>
              <w:rPr>
                <w:sz w:val="21"/>
              </w:rPr>
              <w:t>MYT50</w:t>
            </w:r>
            <w:r>
              <w:rPr>
                <w:sz w:val="24"/>
              </w:rPr>
              <w:t> </w:t>
            </w:r>
          </w:p>
        </w:tc>
        <w:tc>
          <w:tcPr>
            <w:tcW w:w="1014" w:type="dxa"/>
          </w:tcPr>
          <w:p>
            <w:pPr>
              <w:pStyle w:val="TableParagraph"/>
              <w:spacing w:before="191"/>
              <w:ind w:right="266"/>
              <w:jc w:val="right"/>
              <w:rPr>
                <w:sz w:val="24"/>
              </w:rPr>
            </w:pPr>
            <w:r>
              <w:rPr>
                <w:sz w:val="21"/>
              </w:rPr>
              <w:t>―</w:t>
            </w:r>
            <w:r>
              <w:rPr>
                <w:sz w:val="24"/>
              </w:rPr>
              <w:t> </w:t>
            </w:r>
          </w:p>
        </w:tc>
        <w:tc>
          <w:tcPr>
            <w:tcW w:w="454" w:type="dxa"/>
          </w:tcPr>
          <w:p>
            <w:pPr>
              <w:pStyle w:val="TableParagraph"/>
              <w:spacing w:before="11"/>
              <w:rPr>
                <w:b/>
                <w:sz w:val="14"/>
              </w:rPr>
            </w:pPr>
          </w:p>
          <w:p>
            <w:pPr>
              <w:pStyle w:val="TableParagraph"/>
              <w:ind w:left="11"/>
              <w:rPr>
                <w:sz w:val="21"/>
              </w:rPr>
            </w:pPr>
            <w:r>
              <w:rPr>
                <w:sz w:val="21"/>
              </w:rPr>
              <w:t>297B</w:t>
            </w:r>
          </w:p>
        </w:tc>
      </w:tr>
      <w:tr>
        <w:trPr>
          <w:trHeight w:val="498" w:hRule="atLeast"/>
        </w:trPr>
        <w:tc>
          <w:tcPr>
            <w:tcW w:w="1978" w:type="dxa"/>
            <w:vMerge w:val="restart"/>
          </w:tcPr>
          <w:p>
            <w:pPr>
              <w:pStyle w:val="TableParagraph"/>
              <w:spacing w:before="11"/>
              <w:rPr>
                <w:b/>
                <w:sz w:val="34"/>
              </w:rPr>
            </w:pPr>
          </w:p>
          <w:p>
            <w:pPr>
              <w:pStyle w:val="TableParagraph"/>
              <w:ind w:left="568"/>
              <w:rPr>
                <w:sz w:val="24"/>
              </w:rPr>
            </w:pPr>
            <w:r>
              <w:rPr>
                <w:sz w:val="21"/>
              </w:rPr>
              <w:t>二氧化碳</w:t>
            </w:r>
            <w:r>
              <w:rPr>
                <w:sz w:val="24"/>
              </w:rPr>
              <w:t> </w:t>
            </w: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76"/>
              <w:jc w:val="right"/>
              <w:rPr>
                <w:sz w:val="24"/>
              </w:rPr>
            </w:pPr>
            <w:r>
              <w:rPr>
                <w:sz w:val="21"/>
              </w:rPr>
              <w:t>10</w:t>
            </w:r>
            <w:r>
              <w:rPr>
                <w:sz w:val="24"/>
              </w:rPr>
              <w:t> </w:t>
            </w:r>
          </w:p>
        </w:tc>
        <w:tc>
          <w:tcPr>
            <w:tcW w:w="2713" w:type="dxa"/>
          </w:tcPr>
          <w:p>
            <w:pPr>
              <w:pStyle w:val="TableParagraph"/>
              <w:spacing w:before="190"/>
              <w:ind w:left="604" w:right="476"/>
              <w:jc w:val="center"/>
              <w:rPr>
                <w:sz w:val="24"/>
              </w:rPr>
            </w:pPr>
            <w:r>
              <w:rPr>
                <w:sz w:val="21"/>
              </w:rPr>
              <w:t>MTT10</w:t>
            </w:r>
            <w:r>
              <w:rPr>
                <w:sz w:val="24"/>
              </w:rPr>
              <w:t> </w:t>
            </w:r>
          </w:p>
        </w:tc>
        <w:tc>
          <w:tcPr>
            <w:tcW w:w="1014" w:type="dxa"/>
          </w:tcPr>
          <w:p>
            <w:pPr>
              <w:pStyle w:val="TableParagraph"/>
              <w:spacing w:before="190"/>
              <w:ind w:right="266"/>
              <w:jc w:val="right"/>
              <w:rPr>
                <w:sz w:val="24"/>
              </w:rPr>
            </w:pPr>
            <w:r>
              <w:rPr>
                <w:sz w:val="21"/>
              </w:rPr>
              <w:t>―</w:t>
            </w:r>
            <w:r>
              <w:rPr>
                <w:sz w:val="24"/>
              </w:rPr>
              <w:t> </w:t>
            </w:r>
          </w:p>
        </w:tc>
        <w:tc>
          <w:tcPr>
            <w:tcW w:w="454" w:type="dxa"/>
          </w:tcPr>
          <w:p>
            <w:pPr>
              <w:pStyle w:val="TableParagraph"/>
              <w:spacing w:before="190"/>
              <w:ind w:left="64" w:right="-72"/>
              <w:rPr>
                <w:sz w:val="24"/>
              </w:rPr>
            </w:pPr>
            <w:r>
              <w:rPr>
                <w:sz w:val="21"/>
              </w:rPr>
              <w:t>55B</w:t>
            </w:r>
            <w:r>
              <w:rPr>
                <w:sz w:val="24"/>
              </w:rPr>
              <w:t> </w:t>
            </w:r>
          </w:p>
        </w:tc>
      </w:tr>
      <w:tr>
        <w:trPr>
          <w:trHeight w:val="500" w:hRule="atLeast"/>
        </w:trPr>
        <w:tc>
          <w:tcPr>
            <w:tcW w:w="1978" w:type="dxa"/>
            <w:vMerge/>
            <w:tcBorders>
              <w:top w:val="nil"/>
            </w:tcBorders>
          </w:tcPr>
          <w:p>
            <w:pPr>
              <w:rPr>
                <w:sz w:val="2"/>
                <w:szCs w:val="2"/>
              </w:rPr>
            </w:pPr>
          </w:p>
        </w:tc>
        <w:tc>
          <w:tcPr>
            <w:tcW w:w="1129" w:type="dxa"/>
          </w:tcPr>
          <w:p>
            <w:pPr>
              <w:pStyle w:val="TableParagraph"/>
              <w:spacing w:before="190"/>
              <w:ind w:left="455"/>
              <w:rPr>
                <w:sz w:val="24"/>
              </w:rPr>
            </w:pPr>
            <w:r>
              <w:rPr>
                <w:sz w:val="21"/>
              </w:rPr>
              <w:t>―</w:t>
            </w:r>
            <w:r>
              <w:rPr>
                <w:sz w:val="24"/>
              </w:rPr>
              <w:t> </w:t>
            </w:r>
          </w:p>
        </w:tc>
        <w:tc>
          <w:tcPr>
            <w:tcW w:w="1232" w:type="dxa"/>
          </w:tcPr>
          <w:p>
            <w:pPr>
              <w:pStyle w:val="TableParagraph"/>
              <w:spacing w:before="190"/>
              <w:ind w:right="376"/>
              <w:jc w:val="right"/>
              <w:rPr>
                <w:sz w:val="24"/>
              </w:rPr>
            </w:pPr>
            <w:r>
              <w:rPr>
                <w:sz w:val="21"/>
              </w:rPr>
              <w:t>20</w:t>
            </w:r>
            <w:r>
              <w:rPr>
                <w:sz w:val="24"/>
              </w:rPr>
              <w:t> </w:t>
            </w:r>
          </w:p>
        </w:tc>
        <w:tc>
          <w:tcPr>
            <w:tcW w:w="2713" w:type="dxa"/>
          </w:tcPr>
          <w:p>
            <w:pPr>
              <w:pStyle w:val="TableParagraph"/>
              <w:spacing w:before="190"/>
              <w:ind w:left="604" w:right="476"/>
              <w:jc w:val="center"/>
              <w:rPr>
                <w:sz w:val="24"/>
              </w:rPr>
            </w:pPr>
            <w:r>
              <w:rPr>
                <w:sz w:val="21"/>
              </w:rPr>
              <w:t>MTT20</w:t>
            </w:r>
            <w:r>
              <w:rPr>
                <w:sz w:val="24"/>
              </w:rPr>
              <w:t> </w:t>
            </w:r>
          </w:p>
        </w:tc>
        <w:tc>
          <w:tcPr>
            <w:tcW w:w="1014" w:type="dxa"/>
          </w:tcPr>
          <w:p>
            <w:pPr>
              <w:pStyle w:val="TableParagraph"/>
              <w:spacing w:before="190"/>
              <w:ind w:right="266"/>
              <w:jc w:val="right"/>
              <w:rPr>
                <w:sz w:val="24"/>
              </w:rPr>
            </w:pPr>
            <w:r>
              <w:rPr>
                <w:sz w:val="21"/>
              </w:rPr>
              <w:t>―</w:t>
            </w:r>
            <w:r>
              <w:rPr>
                <w:sz w:val="24"/>
              </w:rPr>
              <w:t> </w:t>
            </w:r>
          </w:p>
        </w:tc>
        <w:tc>
          <w:tcPr>
            <w:tcW w:w="454" w:type="dxa"/>
          </w:tcPr>
          <w:p>
            <w:pPr>
              <w:pStyle w:val="TableParagraph"/>
              <w:spacing w:before="190"/>
              <w:ind w:left="64" w:right="-72"/>
              <w:rPr>
                <w:sz w:val="24"/>
              </w:rPr>
            </w:pPr>
            <w:r>
              <w:rPr>
                <w:sz w:val="21"/>
              </w:rPr>
              <w:t>70B</w:t>
            </w:r>
            <w:r>
              <w:rPr>
                <w:sz w:val="24"/>
              </w:rPr>
              <w:t> </w:t>
            </w:r>
          </w:p>
        </w:tc>
      </w:tr>
    </w:tbl>
    <w:p>
      <w:pPr>
        <w:spacing w:after="0"/>
        <w:rPr>
          <w:sz w:val="24"/>
        </w:rPr>
        <w:sectPr>
          <w:pgSz w:w="11910" w:h="16850"/>
          <w:pgMar w:header="0" w:footer="1159" w:top="1080" w:bottom="1420" w:left="1260" w:right="0"/>
        </w:sectPr>
      </w:pPr>
    </w:p>
    <w:tbl>
      <w:tblPr>
        <w:tblW w:w="0" w:type="auto"/>
        <w:jc w:val="left"/>
        <w:tblInd w:w="5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78"/>
        <w:gridCol w:w="1129"/>
        <w:gridCol w:w="1232"/>
        <w:gridCol w:w="2713"/>
        <w:gridCol w:w="1014"/>
        <w:gridCol w:w="454"/>
      </w:tblGrid>
      <w:tr>
        <w:trPr>
          <w:trHeight w:val="499" w:hRule="atLeast"/>
        </w:trPr>
        <w:tc>
          <w:tcPr>
            <w:tcW w:w="1978" w:type="dxa"/>
            <w:vMerge w:val="restart"/>
          </w:tcPr>
          <w:p>
            <w:pPr>
              <w:pStyle w:val="TableParagraph"/>
              <w:rPr>
                <w:rFonts w:ascii="Times New Roman"/>
                <w:sz w:val="20"/>
              </w:rPr>
            </w:pPr>
          </w:p>
        </w:tc>
        <w:tc>
          <w:tcPr>
            <w:tcW w:w="1129" w:type="dxa"/>
          </w:tcPr>
          <w:p>
            <w:pPr>
              <w:pStyle w:val="TableParagraph"/>
              <w:spacing w:before="187"/>
              <w:ind w:right="324"/>
              <w:jc w:val="right"/>
              <w:rPr>
                <w:sz w:val="24"/>
              </w:rPr>
            </w:pPr>
            <w:r>
              <w:rPr>
                <w:sz w:val="21"/>
              </w:rPr>
              <w:t>―</w:t>
            </w:r>
            <w:r>
              <w:rPr>
                <w:sz w:val="24"/>
              </w:rPr>
              <w:t> </w:t>
            </w:r>
          </w:p>
        </w:tc>
        <w:tc>
          <w:tcPr>
            <w:tcW w:w="1232" w:type="dxa"/>
          </w:tcPr>
          <w:p>
            <w:pPr>
              <w:pStyle w:val="TableParagraph"/>
              <w:spacing w:before="187"/>
              <w:ind w:right="376"/>
              <w:jc w:val="right"/>
              <w:rPr>
                <w:sz w:val="24"/>
              </w:rPr>
            </w:pPr>
            <w:r>
              <w:rPr>
                <w:sz w:val="21"/>
              </w:rPr>
              <w:t>30</w:t>
            </w:r>
            <w:r>
              <w:rPr>
                <w:sz w:val="24"/>
              </w:rPr>
              <w:t> </w:t>
            </w:r>
          </w:p>
        </w:tc>
        <w:tc>
          <w:tcPr>
            <w:tcW w:w="2713" w:type="dxa"/>
          </w:tcPr>
          <w:p>
            <w:pPr>
              <w:pStyle w:val="TableParagraph"/>
              <w:spacing w:before="187"/>
              <w:ind w:right="959"/>
              <w:jc w:val="right"/>
              <w:rPr>
                <w:sz w:val="24"/>
              </w:rPr>
            </w:pPr>
            <w:r>
              <w:rPr>
                <w:sz w:val="21"/>
              </w:rPr>
              <w:t>MTT30</w:t>
            </w:r>
            <w:r>
              <w:rPr>
                <w:sz w:val="24"/>
              </w:rPr>
              <w:t> </w:t>
            </w:r>
          </w:p>
        </w:tc>
        <w:tc>
          <w:tcPr>
            <w:tcW w:w="1014" w:type="dxa"/>
          </w:tcPr>
          <w:p>
            <w:pPr>
              <w:pStyle w:val="TableParagraph"/>
              <w:spacing w:before="187"/>
              <w:ind w:right="266"/>
              <w:jc w:val="right"/>
              <w:rPr>
                <w:sz w:val="24"/>
              </w:rPr>
            </w:pPr>
            <w:r>
              <w:rPr>
                <w:sz w:val="21"/>
              </w:rPr>
              <w:t>―</w:t>
            </w:r>
            <w:r>
              <w:rPr>
                <w:sz w:val="24"/>
              </w:rPr>
              <w:t> </w:t>
            </w:r>
          </w:p>
        </w:tc>
        <w:tc>
          <w:tcPr>
            <w:tcW w:w="454" w:type="dxa"/>
          </w:tcPr>
          <w:p>
            <w:pPr>
              <w:pStyle w:val="TableParagraph"/>
              <w:spacing w:before="7"/>
              <w:rPr>
                <w:b/>
                <w:sz w:val="14"/>
              </w:rPr>
            </w:pPr>
          </w:p>
          <w:p>
            <w:pPr>
              <w:pStyle w:val="TableParagraph"/>
              <w:spacing w:before="1"/>
              <w:ind w:left="5"/>
              <w:jc w:val="center"/>
              <w:rPr>
                <w:sz w:val="21"/>
              </w:rPr>
            </w:pPr>
            <w:r>
              <w:rPr>
                <w:sz w:val="21"/>
              </w:rPr>
              <w:t>113B</w:t>
            </w:r>
          </w:p>
        </w:tc>
      </w:tr>
      <w:tr>
        <w:trPr>
          <w:trHeight w:val="500" w:hRule="atLeast"/>
        </w:trPr>
        <w:tc>
          <w:tcPr>
            <w:tcW w:w="1978" w:type="dxa"/>
            <w:vMerge/>
            <w:tcBorders>
              <w:top w:val="nil"/>
            </w:tcBorders>
          </w:tcPr>
          <w:p>
            <w:pPr>
              <w:rPr>
                <w:sz w:val="2"/>
                <w:szCs w:val="2"/>
              </w:rPr>
            </w:pPr>
          </w:p>
        </w:tc>
        <w:tc>
          <w:tcPr>
            <w:tcW w:w="1129" w:type="dxa"/>
          </w:tcPr>
          <w:p>
            <w:pPr>
              <w:pStyle w:val="TableParagraph"/>
              <w:spacing w:before="189"/>
              <w:ind w:right="324"/>
              <w:jc w:val="right"/>
              <w:rPr>
                <w:sz w:val="24"/>
              </w:rPr>
            </w:pPr>
            <w:r>
              <w:rPr>
                <w:sz w:val="21"/>
              </w:rPr>
              <w:t>―</w:t>
            </w:r>
            <w:r>
              <w:rPr>
                <w:sz w:val="24"/>
              </w:rPr>
              <w:t> </w:t>
            </w:r>
          </w:p>
        </w:tc>
        <w:tc>
          <w:tcPr>
            <w:tcW w:w="1232" w:type="dxa"/>
          </w:tcPr>
          <w:p>
            <w:pPr>
              <w:pStyle w:val="TableParagraph"/>
              <w:spacing w:before="189"/>
              <w:ind w:right="376"/>
              <w:jc w:val="right"/>
              <w:rPr>
                <w:sz w:val="24"/>
              </w:rPr>
            </w:pPr>
            <w:r>
              <w:rPr>
                <w:sz w:val="21"/>
              </w:rPr>
              <w:t>50</w:t>
            </w:r>
            <w:r>
              <w:rPr>
                <w:sz w:val="24"/>
              </w:rPr>
              <w:t> </w:t>
            </w:r>
          </w:p>
        </w:tc>
        <w:tc>
          <w:tcPr>
            <w:tcW w:w="2713" w:type="dxa"/>
          </w:tcPr>
          <w:p>
            <w:pPr>
              <w:pStyle w:val="TableParagraph"/>
              <w:spacing w:before="189"/>
              <w:ind w:right="959"/>
              <w:jc w:val="right"/>
              <w:rPr>
                <w:sz w:val="24"/>
              </w:rPr>
            </w:pPr>
            <w:r>
              <w:rPr>
                <w:sz w:val="21"/>
              </w:rPr>
              <w:t>MTT50</w:t>
            </w:r>
            <w:r>
              <w:rPr>
                <w:sz w:val="24"/>
              </w:rPr>
              <w:t> </w:t>
            </w:r>
          </w:p>
        </w:tc>
        <w:tc>
          <w:tcPr>
            <w:tcW w:w="1014" w:type="dxa"/>
          </w:tcPr>
          <w:p>
            <w:pPr>
              <w:pStyle w:val="TableParagraph"/>
              <w:spacing w:before="189"/>
              <w:ind w:right="266"/>
              <w:jc w:val="right"/>
              <w:rPr>
                <w:sz w:val="24"/>
              </w:rPr>
            </w:pPr>
            <w:r>
              <w:rPr>
                <w:sz w:val="21"/>
              </w:rPr>
              <w:t>―</w:t>
            </w:r>
            <w:r>
              <w:rPr>
                <w:sz w:val="24"/>
              </w:rPr>
              <w:t> </w:t>
            </w:r>
          </w:p>
        </w:tc>
        <w:tc>
          <w:tcPr>
            <w:tcW w:w="454" w:type="dxa"/>
          </w:tcPr>
          <w:p>
            <w:pPr>
              <w:pStyle w:val="TableParagraph"/>
              <w:spacing w:before="10"/>
              <w:rPr>
                <w:b/>
                <w:sz w:val="14"/>
              </w:rPr>
            </w:pPr>
          </w:p>
          <w:p>
            <w:pPr>
              <w:pStyle w:val="TableParagraph"/>
              <w:ind w:left="5"/>
              <w:jc w:val="center"/>
              <w:rPr>
                <w:sz w:val="21"/>
              </w:rPr>
            </w:pPr>
            <w:r>
              <w:rPr>
                <w:sz w:val="21"/>
              </w:rPr>
              <w:t>183B</w:t>
            </w:r>
          </w:p>
        </w:tc>
      </w:tr>
    </w:tbl>
    <w:p>
      <w:pPr>
        <w:spacing w:after="0"/>
        <w:jc w:val="center"/>
        <w:rPr>
          <w:sz w:val="21"/>
        </w:rPr>
        <w:sectPr>
          <w:pgSz w:w="11910" w:h="16850"/>
          <w:pgMar w:header="0" w:footer="1159" w:top="1080" w:bottom="1340" w:left="1260" w:right="0"/>
        </w:sectPr>
      </w:pPr>
    </w:p>
    <w:p>
      <w:pPr>
        <w:spacing w:before="37"/>
        <w:ind w:left="3094" w:right="0" w:firstLine="0"/>
        <w:jc w:val="left"/>
        <w:rPr>
          <w:b/>
          <w:sz w:val="24"/>
        </w:rPr>
      </w:pPr>
      <w:r>
        <w:rPr/>
        <w:pict>
          <v:group style="position:absolute;margin-left:82.463997pt;margin-top:94.43998pt;width:442.4pt;height:658.6pt;mso-position-horizontal-relative:page;mso-position-vertical-relative:page;z-index:-287555584" coordorigin="1649,1889" coordsize="8848,13172">
            <v:rect style="position:absolute;left:1649;top:4889;width:8848;height:375" filled="true" fillcolor="#ffffff" stroked="false">
              <v:fill type="solid"/>
            </v:rect>
            <v:shape style="position:absolute;left:1767;top:1888;width:8599;height:2984" type="#_x0000_t75" stroked="false">
              <v:imagedata r:id="rId215" o:title=""/>
            </v:shape>
            <v:rect style="position:absolute;left:1649;top:14685;width:8848;height:375" filled="true" fillcolor="#ffffff" stroked="false">
              <v:fill type="solid"/>
            </v:rect>
            <v:shape style="position:absolute;left:1797;top:5263;width:8530;height:9412" type="#_x0000_t75" stroked="false">
              <v:imagedata r:id="rId216" o:title=""/>
            </v:shape>
            <w10:wrap type="none"/>
          </v:group>
        </w:pict>
      </w:r>
      <w:r>
        <w:rPr>
          <w:b/>
          <w:sz w:val="24"/>
        </w:rPr>
        <w:t>附录 B 建筑灭火器配置设计图例</w:t>
      </w:r>
      <w:r>
        <w:rPr>
          <w:b/>
          <w:w w:val="99"/>
          <w:sz w:val="24"/>
        </w:rPr>
        <w:t> </w:t>
      </w:r>
    </w:p>
    <w:p>
      <w:pPr>
        <w:spacing w:before="193"/>
        <w:ind w:left="3046" w:right="0" w:firstLine="0"/>
        <w:jc w:val="left"/>
        <w:rPr>
          <w:b/>
          <w:sz w:val="21"/>
        </w:rPr>
      </w:pPr>
      <w:r>
        <w:rPr>
          <w:b/>
          <w:sz w:val="21"/>
        </w:rPr>
        <w:t>表 B.0.1 手提式、推车式灭火器图例</w:t>
      </w:r>
      <w:r>
        <w:rPr>
          <w:b/>
          <w:w w:val="99"/>
          <w:sz w:val="21"/>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72"/>
        <w:ind w:left="0" w:right="914" w:firstLine="0"/>
        <w:jc w:val="center"/>
        <w:rPr>
          <w:b/>
          <w:sz w:val="21"/>
        </w:rPr>
      </w:pPr>
      <w:r>
        <w:rPr>
          <w:b/>
          <w:sz w:val="21"/>
        </w:rPr>
        <w:t>表 B.0.2 灭火剂种类图例</w:t>
      </w:r>
      <w:r>
        <w:rPr>
          <w:b/>
          <w:w w:val="99"/>
          <w:sz w:val="21"/>
        </w:rPr>
        <w:t> </w:t>
      </w:r>
    </w:p>
    <w:p>
      <w:pPr>
        <w:spacing w:after="0"/>
        <w:jc w:val="center"/>
        <w:rPr>
          <w:sz w:val="21"/>
        </w:rPr>
        <w:sectPr>
          <w:footerReference w:type="default" r:id="rId214"/>
          <w:pgSz w:w="11910" w:h="16850"/>
          <w:pgMar w:footer="1159" w:header="0" w:top="1040" w:bottom="1340" w:left="1260" w:right="0"/>
          <w:pgNumType w:start="1100"/>
        </w:sectPr>
      </w:pPr>
    </w:p>
    <w:p>
      <w:pPr>
        <w:spacing w:before="61"/>
        <w:ind w:left="0" w:right="912" w:firstLine="0"/>
        <w:jc w:val="center"/>
        <w:rPr>
          <w:b/>
          <w:sz w:val="21"/>
        </w:rPr>
      </w:pPr>
      <w:r>
        <w:rPr>
          <w:b/>
          <w:w w:val="99"/>
          <w:sz w:val="21"/>
        </w:rPr>
        <w:t> </w:t>
      </w:r>
    </w:p>
    <w:p>
      <w:pPr>
        <w:spacing w:before="106"/>
        <w:ind w:left="0" w:right="914" w:firstLine="0"/>
        <w:jc w:val="center"/>
        <w:rPr>
          <w:b/>
          <w:sz w:val="21"/>
        </w:rPr>
      </w:pPr>
      <w:r>
        <w:rPr>
          <w:b/>
          <w:sz w:val="21"/>
        </w:rPr>
        <w:t>表 B.0.3 灭火器图例举例</w:t>
      </w:r>
      <w:r>
        <w:rPr>
          <w:b/>
          <w:w w:val="99"/>
          <w:sz w:val="21"/>
        </w:rPr>
        <w:t> </w:t>
      </w:r>
    </w:p>
    <w:p>
      <w:pPr>
        <w:pStyle w:val="BodyText"/>
        <w:ind w:left="687"/>
        <w:rPr>
          <w:sz w:val="20"/>
        </w:rPr>
      </w:pPr>
      <w:r>
        <w:rPr>
          <w:sz w:val="20"/>
        </w:rPr>
        <w:drawing>
          <wp:inline distT="0" distB="0" distL="0" distR="0">
            <wp:extent cx="5218975" cy="4800600"/>
            <wp:effectExtent l="0" t="0" r="0" b="0"/>
            <wp:docPr id="281" name="image175.jpeg"/>
            <wp:cNvGraphicFramePr>
              <a:graphicFrameLocks noChangeAspect="1"/>
            </wp:cNvGraphicFramePr>
            <a:graphic>
              <a:graphicData uri="http://schemas.openxmlformats.org/drawingml/2006/picture">
                <pic:pic>
                  <pic:nvPicPr>
                    <pic:cNvPr id="282" name="image175.jpeg"/>
                    <pic:cNvPicPr/>
                  </pic:nvPicPr>
                  <pic:blipFill>
                    <a:blip r:embed="rId217" cstate="print"/>
                    <a:stretch>
                      <a:fillRect/>
                    </a:stretch>
                  </pic:blipFill>
                  <pic:spPr>
                    <a:xfrm>
                      <a:off x="0" y="0"/>
                      <a:ext cx="5218975" cy="4800600"/>
                    </a:xfrm>
                    <a:prstGeom prst="rect">
                      <a:avLst/>
                    </a:prstGeom>
                  </pic:spPr>
                </pic:pic>
              </a:graphicData>
            </a:graphic>
          </wp:inline>
        </w:drawing>
      </w:r>
      <w:r>
        <w:rPr>
          <w:sz w:val="20"/>
        </w:rPr>
      </w:r>
    </w:p>
    <w:p>
      <w:pPr>
        <w:pStyle w:val="BodyText"/>
        <w:spacing w:before="4"/>
        <w:rPr>
          <w:b/>
          <w:sz w:val="6"/>
        </w:rPr>
      </w:pPr>
      <w:r>
        <w:rPr/>
        <w:pict>
          <v:group style="position:absolute;margin-left:82.463997pt;margin-top:6.04pt;width:442.4pt;height:18.850pt;mso-position-horizontal-relative:page;mso-position-vertical-relative:paragraph;z-index:-251529216;mso-wrap-distance-left:0;mso-wrap-distance-right:0" coordorigin="1649,121" coordsize="8848,377">
            <v:rect style="position:absolute;left:1649;top:120;width:8848;height:377" filled="true" fillcolor="#ffffff" stroked="false">
              <v:fill type="solid"/>
            </v:rect>
            <v:shape style="position:absolute;left:6073;top:287;width:110;height:180" type="#_x0000_t202" filled="false" stroked="false">
              <v:textbox inset="0,0,0,0">
                <w:txbxContent>
                  <w:p>
                    <w:pPr>
                      <w:spacing w:line="180" w:lineRule="exact" w:before="0"/>
                      <w:ind w:left="0" w:right="0" w:firstLine="0"/>
                      <w:jc w:val="left"/>
                      <w:rPr>
                        <w:sz w:val="18"/>
                      </w:rPr>
                    </w:pPr>
                    <w:r>
                      <w:rPr>
                        <w:sz w:val="18"/>
                      </w:rPr>
                      <w:t> </w:t>
                    </w:r>
                  </w:p>
                </w:txbxContent>
              </v:textbox>
              <w10:wrap type="none"/>
            </v:shape>
            <w10:wrap type="topAndBottom"/>
          </v:group>
        </w:pict>
      </w:r>
    </w:p>
    <w:p>
      <w:pPr>
        <w:spacing w:after="0"/>
        <w:rPr>
          <w:sz w:val="6"/>
        </w:rPr>
        <w:sectPr>
          <w:pgSz w:w="11910" w:h="16850"/>
          <w:pgMar w:header="0" w:footer="1159" w:top="1120" w:bottom="1420" w:left="1260" w:right="0"/>
        </w:sectPr>
      </w:pPr>
    </w:p>
    <w:p>
      <w:pPr>
        <w:spacing w:before="55"/>
        <w:ind w:left="0" w:right="898" w:firstLine="0"/>
        <w:jc w:val="center"/>
        <w:rPr>
          <w:b/>
          <w:sz w:val="24"/>
        </w:rPr>
      </w:pPr>
      <w:r>
        <w:rPr>
          <w:b/>
          <w:sz w:val="24"/>
        </w:rPr>
        <w:t>附录 C 工业建筑灭火器配置场所的危险等级举例</w:t>
      </w:r>
      <w:r>
        <w:rPr>
          <w:b/>
          <w:w w:val="99"/>
          <w:sz w:val="24"/>
        </w:rPr>
        <w:t> </w:t>
      </w:r>
    </w:p>
    <w:p>
      <w:pPr>
        <w:pStyle w:val="BodyText"/>
        <w:rPr>
          <w:b/>
          <w:sz w:val="24"/>
        </w:rPr>
      </w:pPr>
    </w:p>
    <w:p>
      <w:pPr>
        <w:spacing w:before="176" w:after="42"/>
        <w:ind w:left="0" w:right="914" w:firstLine="0"/>
        <w:jc w:val="center"/>
        <w:rPr>
          <w:b/>
          <w:sz w:val="21"/>
        </w:rPr>
      </w:pPr>
      <w:r>
        <w:rPr>
          <w:b/>
          <w:sz w:val="21"/>
        </w:rPr>
        <w:t>表 C 工业建筑灭火器配置场所的危险等级举例</w:t>
      </w:r>
      <w:r>
        <w:rPr>
          <w:b/>
          <w:w w:val="99"/>
          <w:sz w:val="21"/>
        </w:rPr>
        <w:t> </w:t>
      </w: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2"/>
        <w:gridCol w:w="4683"/>
        <w:gridCol w:w="2501"/>
      </w:tblGrid>
      <w:tr>
        <w:trPr>
          <w:trHeight w:val="498" w:hRule="atLeast"/>
        </w:trPr>
        <w:tc>
          <w:tcPr>
            <w:tcW w:w="1212" w:type="dxa"/>
            <w:vMerge w:val="restart"/>
          </w:tcPr>
          <w:p>
            <w:pPr>
              <w:pStyle w:val="TableParagraph"/>
              <w:spacing w:before="9"/>
              <w:rPr>
                <w:b/>
                <w:sz w:val="34"/>
              </w:rPr>
            </w:pPr>
          </w:p>
          <w:p>
            <w:pPr>
              <w:pStyle w:val="TableParagraph"/>
              <w:ind w:left="184"/>
              <w:rPr>
                <w:sz w:val="24"/>
              </w:rPr>
            </w:pPr>
            <w:r>
              <w:rPr>
                <w:sz w:val="21"/>
              </w:rPr>
              <w:t>危险等级</w:t>
            </w:r>
            <w:r>
              <w:rPr>
                <w:sz w:val="24"/>
              </w:rPr>
              <w:t> </w:t>
            </w:r>
          </w:p>
        </w:tc>
        <w:tc>
          <w:tcPr>
            <w:tcW w:w="7184" w:type="dxa"/>
            <w:gridSpan w:val="2"/>
          </w:tcPr>
          <w:p>
            <w:pPr>
              <w:pStyle w:val="TableParagraph"/>
              <w:spacing w:before="190"/>
              <w:ind w:left="3317" w:right="3187"/>
              <w:jc w:val="center"/>
              <w:rPr>
                <w:sz w:val="24"/>
              </w:rPr>
            </w:pPr>
            <w:r>
              <w:rPr>
                <w:sz w:val="21"/>
              </w:rPr>
              <w:t>举  例</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90"/>
              <w:ind w:left="4"/>
              <w:rPr>
                <w:sz w:val="24"/>
              </w:rPr>
            </w:pPr>
            <w:r>
              <w:rPr>
                <w:sz w:val="21"/>
              </w:rPr>
              <w:t>厂房和露天、半露天生产装置区</w:t>
            </w:r>
            <w:r>
              <w:rPr>
                <w:sz w:val="24"/>
              </w:rPr>
              <w:t> </w:t>
            </w:r>
          </w:p>
        </w:tc>
        <w:tc>
          <w:tcPr>
            <w:tcW w:w="2501" w:type="dxa"/>
          </w:tcPr>
          <w:p>
            <w:pPr>
              <w:pStyle w:val="TableParagraph"/>
              <w:spacing w:before="190"/>
              <w:ind w:left="7"/>
              <w:rPr>
                <w:sz w:val="24"/>
              </w:rPr>
            </w:pPr>
            <w:r>
              <w:rPr>
                <w:sz w:val="21"/>
              </w:rPr>
              <w:t>库房和露天、半露天堆场</w:t>
            </w:r>
            <w:r>
              <w:rPr>
                <w:sz w:val="24"/>
              </w:rPr>
              <w:t> </w:t>
            </w:r>
          </w:p>
        </w:tc>
      </w:tr>
      <w:tr>
        <w:trPr>
          <w:trHeight w:val="437" w:hRule="atLeast"/>
        </w:trPr>
        <w:tc>
          <w:tcPr>
            <w:tcW w:w="1212" w:type="dxa"/>
            <w:tcBorders>
              <w:bottom w:val="nil"/>
            </w:tcBorders>
          </w:tcPr>
          <w:p>
            <w:pPr>
              <w:pStyle w:val="TableParagraph"/>
              <w:rPr>
                <w:rFonts w:ascii="Times New Roman"/>
                <w:sz w:val="20"/>
              </w:rPr>
            </w:pPr>
          </w:p>
        </w:tc>
        <w:tc>
          <w:tcPr>
            <w:tcW w:w="4683" w:type="dxa"/>
            <w:tcBorders>
              <w:bottom w:val="nil"/>
            </w:tcBorders>
          </w:tcPr>
          <w:p>
            <w:pPr>
              <w:pStyle w:val="TableParagraph"/>
              <w:spacing w:before="11"/>
              <w:rPr>
                <w:b/>
                <w:sz w:val="14"/>
              </w:rPr>
            </w:pPr>
          </w:p>
          <w:p>
            <w:pPr>
              <w:pStyle w:val="TableParagraph"/>
              <w:spacing w:line="227" w:lineRule="exact"/>
              <w:ind w:left="4"/>
              <w:rPr>
                <w:sz w:val="21"/>
              </w:rPr>
            </w:pPr>
            <w:r>
              <w:rPr>
                <w:sz w:val="21"/>
              </w:rPr>
              <w:t>1. 闪点＜60℃的油品和有机溶剂的提炼、回收、</w:t>
            </w:r>
          </w:p>
        </w:tc>
        <w:tc>
          <w:tcPr>
            <w:tcW w:w="2501" w:type="dxa"/>
            <w:tcBorders>
              <w:bottom w:val="nil"/>
            </w:tcBorders>
          </w:tcPr>
          <w:p>
            <w:pPr>
              <w:pStyle w:val="TableParagraph"/>
              <w:rPr>
                <w:rFonts w:ascii="Times New Roman"/>
                <w:sz w:val="20"/>
              </w:rPr>
            </w:pPr>
          </w:p>
        </w:tc>
      </w:tr>
      <w:tr>
        <w:trPr>
          <w:trHeight w:val="251" w:hRule="atLeast"/>
        </w:trPr>
        <w:tc>
          <w:tcPr>
            <w:tcW w:w="1212" w:type="dxa"/>
            <w:tcBorders>
              <w:top w:val="nil"/>
              <w:bottom w:val="nil"/>
            </w:tcBorders>
          </w:tcPr>
          <w:p>
            <w:pPr>
              <w:pStyle w:val="TableParagraph"/>
              <w:rPr>
                <w:rFonts w:ascii="Times New Roman"/>
                <w:sz w:val="18"/>
              </w:rPr>
            </w:pPr>
          </w:p>
        </w:tc>
        <w:tc>
          <w:tcPr>
            <w:tcW w:w="4683" w:type="dxa"/>
            <w:tcBorders>
              <w:top w:val="nil"/>
              <w:bottom w:val="nil"/>
            </w:tcBorders>
          </w:tcPr>
          <w:p>
            <w:pPr>
              <w:pStyle w:val="TableParagraph"/>
              <w:rPr>
                <w:rFonts w:ascii="Times New Roman"/>
                <w:sz w:val="18"/>
              </w:rPr>
            </w:pPr>
          </w:p>
        </w:tc>
        <w:tc>
          <w:tcPr>
            <w:tcW w:w="2501" w:type="dxa"/>
            <w:tcBorders>
              <w:top w:val="nil"/>
              <w:bottom w:val="nil"/>
            </w:tcBorders>
          </w:tcPr>
          <w:p>
            <w:pPr>
              <w:pStyle w:val="TableParagraph"/>
              <w:spacing w:line="229" w:lineRule="exact" w:before="3"/>
              <w:ind w:left="7"/>
              <w:rPr>
                <w:sz w:val="24"/>
              </w:rPr>
            </w:pPr>
            <w:r>
              <w:rPr>
                <w:sz w:val="21"/>
              </w:rPr>
              <w:t>1. 化学危险物品库房</w:t>
            </w:r>
            <w:r>
              <w:rPr>
                <w:sz w:val="24"/>
              </w:rPr>
              <w:t> </w:t>
            </w:r>
          </w:p>
        </w:tc>
      </w:tr>
      <w:tr>
        <w:trPr>
          <w:trHeight w:val="311" w:hRule="atLeast"/>
        </w:trPr>
        <w:tc>
          <w:tcPr>
            <w:tcW w:w="1212" w:type="dxa"/>
            <w:tcBorders>
              <w:top w:val="nil"/>
              <w:bottom w:val="nil"/>
            </w:tcBorders>
          </w:tcPr>
          <w:p>
            <w:pPr>
              <w:pStyle w:val="TableParagraph"/>
              <w:rPr>
                <w:rFonts w:ascii="Times New Roman"/>
                <w:sz w:val="20"/>
              </w:rPr>
            </w:pPr>
          </w:p>
        </w:tc>
        <w:tc>
          <w:tcPr>
            <w:tcW w:w="4683" w:type="dxa"/>
            <w:tcBorders>
              <w:top w:val="nil"/>
            </w:tcBorders>
          </w:tcPr>
          <w:p>
            <w:pPr>
              <w:pStyle w:val="TableParagraph"/>
              <w:spacing w:before="1"/>
              <w:ind w:left="4"/>
              <w:rPr>
                <w:sz w:val="24"/>
              </w:rPr>
            </w:pPr>
            <w:r>
              <w:rPr>
                <w:sz w:val="21"/>
              </w:rPr>
              <w:t>洗涤部位及其泵房、灌桶间</w:t>
            </w:r>
            <w:r>
              <w:rPr>
                <w:sz w:val="24"/>
              </w:rPr>
              <w:t> </w:t>
            </w:r>
          </w:p>
        </w:tc>
        <w:tc>
          <w:tcPr>
            <w:tcW w:w="2501" w:type="dxa"/>
            <w:tcBorders>
              <w:top w:val="nil"/>
            </w:tcBorders>
          </w:tcPr>
          <w:p>
            <w:pPr>
              <w:pStyle w:val="TableParagraph"/>
              <w:rPr>
                <w:rFonts w:ascii="Times New Roman"/>
                <w:sz w:val="20"/>
              </w:rPr>
            </w:pPr>
          </w:p>
        </w:tc>
      </w:tr>
      <w:tr>
        <w:trPr>
          <w:trHeight w:val="437" w:hRule="atLeast"/>
        </w:trPr>
        <w:tc>
          <w:tcPr>
            <w:tcW w:w="1212" w:type="dxa"/>
            <w:tcBorders>
              <w:top w:val="nil"/>
              <w:bottom w:val="nil"/>
            </w:tcBorders>
          </w:tcPr>
          <w:p>
            <w:pPr>
              <w:pStyle w:val="TableParagraph"/>
              <w:rPr>
                <w:rFonts w:ascii="Times New Roman"/>
                <w:sz w:val="20"/>
              </w:rPr>
            </w:pPr>
          </w:p>
        </w:tc>
        <w:tc>
          <w:tcPr>
            <w:tcW w:w="4683" w:type="dxa"/>
            <w:tcBorders>
              <w:bottom w:val="nil"/>
            </w:tcBorders>
          </w:tcPr>
          <w:p>
            <w:pPr>
              <w:pStyle w:val="TableParagraph"/>
              <w:rPr>
                <w:rFonts w:ascii="Times New Roman"/>
                <w:sz w:val="20"/>
              </w:rPr>
            </w:pPr>
          </w:p>
        </w:tc>
        <w:tc>
          <w:tcPr>
            <w:tcW w:w="2501" w:type="dxa"/>
            <w:tcBorders>
              <w:bottom w:val="nil"/>
            </w:tcBorders>
          </w:tcPr>
          <w:p>
            <w:pPr>
              <w:pStyle w:val="TableParagraph"/>
              <w:spacing w:before="11"/>
              <w:rPr>
                <w:b/>
                <w:sz w:val="14"/>
              </w:rPr>
            </w:pPr>
          </w:p>
          <w:p>
            <w:pPr>
              <w:pStyle w:val="TableParagraph"/>
              <w:spacing w:line="227" w:lineRule="exact" w:before="1"/>
              <w:ind w:left="7"/>
              <w:rPr>
                <w:sz w:val="21"/>
              </w:rPr>
            </w:pPr>
            <w:r>
              <w:rPr>
                <w:sz w:val="21"/>
              </w:rPr>
              <w:t>2. 装卸原油或化学危险物</w:t>
            </w:r>
          </w:p>
        </w:tc>
      </w:tr>
      <w:tr>
        <w:trPr>
          <w:trHeight w:val="251" w:hRule="atLeast"/>
        </w:trPr>
        <w:tc>
          <w:tcPr>
            <w:tcW w:w="1212" w:type="dxa"/>
            <w:tcBorders>
              <w:top w:val="nil"/>
              <w:bottom w:val="nil"/>
            </w:tcBorders>
          </w:tcPr>
          <w:p>
            <w:pPr>
              <w:pStyle w:val="TableParagraph"/>
              <w:rPr>
                <w:rFonts w:ascii="Times New Roman"/>
                <w:sz w:val="18"/>
              </w:rPr>
            </w:pPr>
          </w:p>
        </w:tc>
        <w:tc>
          <w:tcPr>
            <w:tcW w:w="4683" w:type="dxa"/>
            <w:tcBorders>
              <w:top w:val="nil"/>
              <w:bottom w:val="nil"/>
            </w:tcBorders>
          </w:tcPr>
          <w:p>
            <w:pPr>
              <w:pStyle w:val="TableParagraph"/>
              <w:spacing w:line="229" w:lineRule="exact" w:before="3"/>
              <w:ind w:left="4"/>
              <w:rPr>
                <w:sz w:val="24"/>
              </w:rPr>
            </w:pPr>
            <w:r>
              <w:rPr>
                <w:sz w:val="21"/>
              </w:rPr>
              <w:t>2. 橡胶制品的涂胶和胶浆部位</w:t>
            </w:r>
            <w:r>
              <w:rPr>
                <w:sz w:val="24"/>
              </w:rPr>
              <w:t> </w:t>
            </w:r>
          </w:p>
        </w:tc>
        <w:tc>
          <w:tcPr>
            <w:tcW w:w="2501" w:type="dxa"/>
            <w:tcBorders>
              <w:top w:val="nil"/>
              <w:bottom w:val="nil"/>
            </w:tcBorders>
          </w:tcPr>
          <w:p>
            <w:pPr>
              <w:pStyle w:val="TableParagraph"/>
              <w:rPr>
                <w:rFonts w:ascii="Times New Roman"/>
                <w:sz w:val="18"/>
              </w:rPr>
            </w:pPr>
          </w:p>
        </w:tc>
      </w:tr>
      <w:tr>
        <w:trPr>
          <w:trHeight w:val="309" w:hRule="atLeast"/>
        </w:trPr>
        <w:tc>
          <w:tcPr>
            <w:tcW w:w="1212" w:type="dxa"/>
            <w:tcBorders>
              <w:top w:val="nil"/>
              <w:bottom w:val="nil"/>
            </w:tcBorders>
          </w:tcPr>
          <w:p>
            <w:pPr>
              <w:pStyle w:val="TableParagraph"/>
              <w:rPr>
                <w:rFonts w:ascii="Times New Roman"/>
                <w:sz w:val="20"/>
              </w:rPr>
            </w:pPr>
          </w:p>
        </w:tc>
        <w:tc>
          <w:tcPr>
            <w:tcW w:w="4683" w:type="dxa"/>
            <w:tcBorders>
              <w:top w:val="nil"/>
            </w:tcBorders>
          </w:tcPr>
          <w:p>
            <w:pPr>
              <w:pStyle w:val="TableParagraph"/>
              <w:rPr>
                <w:rFonts w:ascii="Times New Roman"/>
                <w:sz w:val="20"/>
              </w:rPr>
            </w:pPr>
          </w:p>
        </w:tc>
        <w:tc>
          <w:tcPr>
            <w:tcW w:w="2501" w:type="dxa"/>
            <w:tcBorders>
              <w:top w:val="nil"/>
            </w:tcBorders>
          </w:tcPr>
          <w:p>
            <w:pPr>
              <w:pStyle w:val="TableParagraph"/>
              <w:spacing w:before="1"/>
              <w:ind w:left="7"/>
              <w:rPr>
                <w:sz w:val="24"/>
              </w:rPr>
            </w:pPr>
            <w:r>
              <w:rPr>
                <w:sz w:val="21"/>
              </w:rPr>
              <w:t>品的车站、码头</w:t>
            </w:r>
            <w:r>
              <w:rPr>
                <w:sz w:val="24"/>
              </w:rPr>
              <w:t> </w:t>
            </w:r>
          </w:p>
        </w:tc>
      </w:tr>
      <w:tr>
        <w:trPr>
          <w:trHeight w:val="439" w:hRule="atLeast"/>
        </w:trPr>
        <w:tc>
          <w:tcPr>
            <w:tcW w:w="1212" w:type="dxa"/>
            <w:tcBorders>
              <w:top w:val="nil"/>
              <w:bottom w:val="nil"/>
            </w:tcBorders>
          </w:tcPr>
          <w:p>
            <w:pPr>
              <w:pStyle w:val="TableParagraph"/>
              <w:rPr>
                <w:rFonts w:ascii="Times New Roman"/>
                <w:sz w:val="20"/>
              </w:rPr>
            </w:pPr>
          </w:p>
        </w:tc>
        <w:tc>
          <w:tcPr>
            <w:tcW w:w="4683" w:type="dxa"/>
            <w:tcBorders>
              <w:bottom w:val="nil"/>
            </w:tcBorders>
          </w:tcPr>
          <w:p>
            <w:pPr>
              <w:pStyle w:val="TableParagraph"/>
              <w:rPr>
                <w:rFonts w:ascii="Times New Roman"/>
                <w:sz w:val="20"/>
              </w:rPr>
            </w:pPr>
          </w:p>
        </w:tc>
        <w:tc>
          <w:tcPr>
            <w:tcW w:w="2501" w:type="dxa"/>
            <w:tcBorders>
              <w:bottom w:val="nil"/>
            </w:tcBorders>
          </w:tcPr>
          <w:p>
            <w:pPr>
              <w:pStyle w:val="TableParagraph"/>
              <w:rPr>
                <w:b/>
                <w:sz w:val="15"/>
              </w:rPr>
            </w:pPr>
          </w:p>
          <w:p>
            <w:pPr>
              <w:pStyle w:val="TableParagraph"/>
              <w:spacing w:line="227" w:lineRule="exact" w:before="1"/>
              <w:ind w:left="7"/>
              <w:rPr>
                <w:sz w:val="21"/>
              </w:rPr>
            </w:pPr>
            <w:r>
              <w:rPr>
                <w:sz w:val="21"/>
              </w:rPr>
              <w:t>3. 甲、乙类液体储罐区、</w:t>
            </w:r>
          </w:p>
        </w:tc>
      </w:tr>
      <w:tr>
        <w:trPr>
          <w:trHeight w:val="251" w:hRule="atLeast"/>
        </w:trPr>
        <w:tc>
          <w:tcPr>
            <w:tcW w:w="1212" w:type="dxa"/>
            <w:tcBorders>
              <w:top w:val="nil"/>
              <w:bottom w:val="nil"/>
            </w:tcBorders>
          </w:tcPr>
          <w:p>
            <w:pPr>
              <w:pStyle w:val="TableParagraph"/>
              <w:rPr>
                <w:rFonts w:ascii="Times New Roman"/>
                <w:sz w:val="18"/>
              </w:rPr>
            </w:pPr>
          </w:p>
        </w:tc>
        <w:tc>
          <w:tcPr>
            <w:tcW w:w="4683" w:type="dxa"/>
            <w:tcBorders>
              <w:top w:val="nil"/>
              <w:bottom w:val="nil"/>
            </w:tcBorders>
          </w:tcPr>
          <w:p>
            <w:pPr>
              <w:pStyle w:val="TableParagraph"/>
              <w:spacing w:line="229" w:lineRule="exact" w:before="3"/>
              <w:ind w:left="4"/>
              <w:rPr>
                <w:sz w:val="24"/>
              </w:rPr>
            </w:pPr>
            <w:r>
              <w:rPr>
                <w:sz w:val="21"/>
              </w:rPr>
              <w:t>3. 二硫化碳的粗馏、精馏工段及其应用部位</w:t>
            </w:r>
            <w:r>
              <w:rPr>
                <w:sz w:val="24"/>
              </w:rPr>
              <w:t> </w:t>
            </w:r>
          </w:p>
        </w:tc>
        <w:tc>
          <w:tcPr>
            <w:tcW w:w="2501" w:type="dxa"/>
            <w:tcBorders>
              <w:top w:val="nil"/>
              <w:bottom w:val="nil"/>
            </w:tcBorders>
          </w:tcPr>
          <w:p>
            <w:pPr>
              <w:pStyle w:val="TableParagraph"/>
              <w:rPr>
                <w:rFonts w:ascii="Times New Roman"/>
                <w:sz w:val="18"/>
              </w:rPr>
            </w:pPr>
          </w:p>
        </w:tc>
      </w:tr>
      <w:tr>
        <w:trPr>
          <w:trHeight w:val="309" w:hRule="atLeast"/>
        </w:trPr>
        <w:tc>
          <w:tcPr>
            <w:tcW w:w="1212" w:type="dxa"/>
            <w:tcBorders>
              <w:top w:val="nil"/>
              <w:bottom w:val="nil"/>
            </w:tcBorders>
          </w:tcPr>
          <w:p>
            <w:pPr>
              <w:pStyle w:val="TableParagraph"/>
              <w:rPr>
                <w:rFonts w:ascii="Times New Roman"/>
                <w:sz w:val="20"/>
              </w:rPr>
            </w:pPr>
          </w:p>
        </w:tc>
        <w:tc>
          <w:tcPr>
            <w:tcW w:w="4683" w:type="dxa"/>
            <w:tcBorders>
              <w:top w:val="nil"/>
            </w:tcBorders>
          </w:tcPr>
          <w:p>
            <w:pPr>
              <w:pStyle w:val="TableParagraph"/>
              <w:rPr>
                <w:rFonts w:ascii="Times New Roman"/>
                <w:sz w:val="20"/>
              </w:rPr>
            </w:pPr>
          </w:p>
        </w:tc>
        <w:tc>
          <w:tcPr>
            <w:tcW w:w="2501" w:type="dxa"/>
            <w:tcBorders>
              <w:top w:val="nil"/>
            </w:tcBorders>
          </w:tcPr>
          <w:p>
            <w:pPr>
              <w:pStyle w:val="TableParagraph"/>
              <w:spacing w:before="1"/>
              <w:ind w:left="7"/>
              <w:rPr>
                <w:sz w:val="24"/>
              </w:rPr>
            </w:pPr>
            <w:r>
              <w:rPr>
                <w:sz w:val="21"/>
              </w:rPr>
              <w:t>桶装库房、堆场</w:t>
            </w:r>
            <w:r>
              <w:rPr>
                <w:sz w:val="24"/>
              </w:rPr>
              <w:t> </w:t>
            </w:r>
          </w:p>
        </w:tc>
      </w:tr>
      <w:tr>
        <w:trPr>
          <w:trHeight w:val="563" w:hRule="atLeast"/>
        </w:trPr>
        <w:tc>
          <w:tcPr>
            <w:tcW w:w="1212" w:type="dxa"/>
            <w:tcBorders>
              <w:top w:val="nil"/>
              <w:bottom w:val="nil"/>
            </w:tcBorders>
          </w:tcPr>
          <w:p>
            <w:pPr>
              <w:pStyle w:val="TableParagraph"/>
              <w:rPr>
                <w:rFonts w:ascii="Times New Roman"/>
                <w:sz w:val="20"/>
              </w:rPr>
            </w:pPr>
          </w:p>
        </w:tc>
        <w:tc>
          <w:tcPr>
            <w:tcW w:w="4683" w:type="dxa"/>
            <w:tcBorders>
              <w:bottom w:val="nil"/>
            </w:tcBorders>
          </w:tcPr>
          <w:p>
            <w:pPr>
              <w:pStyle w:val="TableParagraph"/>
              <w:spacing w:before="11"/>
              <w:rPr>
                <w:b/>
                <w:sz w:val="14"/>
              </w:rPr>
            </w:pPr>
          </w:p>
          <w:p>
            <w:pPr>
              <w:pStyle w:val="TableParagraph"/>
              <w:ind w:left="4"/>
              <w:rPr>
                <w:sz w:val="21"/>
              </w:rPr>
            </w:pPr>
            <w:r>
              <w:rPr>
                <w:sz w:val="21"/>
              </w:rPr>
              <w:t>4. 甲醇、乙醇、丙酮、丁酮、异丙醇、醋酸乙</w:t>
            </w:r>
          </w:p>
        </w:tc>
        <w:tc>
          <w:tcPr>
            <w:tcW w:w="2501" w:type="dxa"/>
            <w:tcBorders>
              <w:bottom w:val="nil"/>
            </w:tcBorders>
          </w:tcPr>
          <w:p>
            <w:pPr>
              <w:pStyle w:val="TableParagraph"/>
              <w:spacing w:before="11"/>
              <w:rPr>
                <w:b/>
                <w:sz w:val="14"/>
              </w:rPr>
            </w:pPr>
          </w:p>
          <w:p>
            <w:pPr>
              <w:pStyle w:val="TableParagraph"/>
              <w:ind w:left="7"/>
              <w:rPr>
                <w:sz w:val="21"/>
              </w:rPr>
            </w:pPr>
            <w:r>
              <w:rPr>
                <w:sz w:val="21"/>
              </w:rPr>
              <w:t>4. 液化石油气储罐区、桶</w:t>
            </w:r>
          </w:p>
        </w:tc>
      </w:tr>
      <w:tr>
        <w:trPr>
          <w:trHeight w:val="437" w:hRule="atLeast"/>
        </w:trPr>
        <w:tc>
          <w:tcPr>
            <w:tcW w:w="1212" w:type="dxa"/>
            <w:tcBorders>
              <w:top w:val="nil"/>
              <w:bottom w:val="nil"/>
            </w:tcBorders>
          </w:tcPr>
          <w:p>
            <w:pPr>
              <w:pStyle w:val="TableParagraph"/>
              <w:rPr>
                <w:rFonts w:ascii="Times New Roman"/>
                <w:sz w:val="20"/>
              </w:rPr>
            </w:pPr>
          </w:p>
        </w:tc>
        <w:tc>
          <w:tcPr>
            <w:tcW w:w="4683" w:type="dxa"/>
            <w:tcBorders>
              <w:top w:val="nil"/>
            </w:tcBorders>
          </w:tcPr>
          <w:p>
            <w:pPr>
              <w:pStyle w:val="TableParagraph"/>
              <w:spacing w:before="129"/>
              <w:ind w:left="4"/>
              <w:rPr>
                <w:sz w:val="24"/>
              </w:rPr>
            </w:pPr>
            <w:r>
              <w:rPr>
                <w:sz w:val="21"/>
              </w:rPr>
              <w:t>酯、苯等的合成、精制厂房</w:t>
            </w:r>
            <w:r>
              <w:rPr>
                <w:sz w:val="24"/>
              </w:rPr>
              <w:t> </w:t>
            </w:r>
          </w:p>
        </w:tc>
        <w:tc>
          <w:tcPr>
            <w:tcW w:w="2501" w:type="dxa"/>
            <w:tcBorders>
              <w:top w:val="nil"/>
            </w:tcBorders>
          </w:tcPr>
          <w:p>
            <w:pPr>
              <w:pStyle w:val="TableParagraph"/>
              <w:spacing w:before="129"/>
              <w:ind w:left="7"/>
              <w:rPr>
                <w:sz w:val="24"/>
              </w:rPr>
            </w:pPr>
            <w:r>
              <w:rPr>
                <w:sz w:val="21"/>
              </w:rPr>
              <w:t>装库房、堆场</w:t>
            </w:r>
            <w:r>
              <w:rPr>
                <w:sz w:val="24"/>
              </w:rPr>
              <w:t> </w:t>
            </w:r>
          </w:p>
        </w:tc>
      </w:tr>
      <w:tr>
        <w:trPr>
          <w:trHeight w:val="501" w:hRule="atLeast"/>
        </w:trPr>
        <w:tc>
          <w:tcPr>
            <w:tcW w:w="1212" w:type="dxa"/>
            <w:tcBorders>
              <w:top w:val="nil"/>
              <w:bottom w:val="nil"/>
            </w:tcBorders>
          </w:tcPr>
          <w:p>
            <w:pPr>
              <w:pStyle w:val="TableParagraph"/>
              <w:rPr>
                <w:rFonts w:ascii="Times New Roman"/>
                <w:sz w:val="20"/>
              </w:rPr>
            </w:pPr>
          </w:p>
        </w:tc>
        <w:tc>
          <w:tcPr>
            <w:tcW w:w="4683" w:type="dxa"/>
          </w:tcPr>
          <w:p>
            <w:pPr>
              <w:pStyle w:val="TableParagraph"/>
              <w:spacing w:before="191"/>
              <w:ind w:left="4"/>
              <w:rPr>
                <w:sz w:val="24"/>
              </w:rPr>
            </w:pPr>
            <w:r>
              <w:rPr>
                <w:sz w:val="21"/>
              </w:rPr>
              <w:t>5. 植物油加工厂的浸出厂房</w:t>
            </w:r>
            <w:r>
              <w:rPr>
                <w:sz w:val="24"/>
              </w:rPr>
              <w:t> </w:t>
            </w:r>
          </w:p>
        </w:tc>
        <w:tc>
          <w:tcPr>
            <w:tcW w:w="2501" w:type="dxa"/>
          </w:tcPr>
          <w:p>
            <w:pPr>
              <w:pStyle w:val="TableParagraph"/>
              <w:spacing w:before="191"/>
              <w:ind w:left="7"/>
              <w:rPr>
                <w:sz w:val="24"/>
              </w:rPr>
            </w:pPr>
            <w:r>
              <w:rPr>
                <w:sz w:val="21"/>
              </w:rPr>
              <w:t>5. 棉花库房及散装堆场</w:t>
            </w:r>
            <w:r>
              <w:rPr>
                <w:sz w:val="24"/>
              </w:rPr>
              <w:t> </w:t>
            </w:r>
          </w:p>
        </w:tc>
      </w:tr>
      <w:tr>
        <w:trPr>
          <w:trHeight w:val="444" w:hRule="atLeast"/>
        </w:trPr>
        <w:tc>
          <w:tcPr>
            <w:tcW w:w="1212" w:type="dxa"/>
            <w:tcBorders>
              <w:top w:val="nil"/>
              <w:bottom w:val="nil"/>
            </w:tcBorders>
          </w:tcPr>
          <w:p>
            <w:pPr>
              <w:pStyle w:val="TableParagraph"/>
              <w:rPr>
                <w:b/>
                <w:sz w:val="16"/>
              </w:rPr>
            </w:pPr>
          </w:p>
          <w:p>
            <w:pPr>
              <w:pStyle w:val="TableParagraph"/>
              <w:spacing w:line="219" w:lineRule="exact"/>
              <w:ind w:right="384"/>
              <w:jc w:val="right"/>
              <w:rPr>
                <w:sz w:val="21"/>
              </w:rPr>
            </w:pPr>
            <w:r>
              <w:rPr>
                <w:sz w:val="21"/>
              </w:rPr>
              <w:t>严 </w:t>
            </w:r>
          </w:p>
        </w:tc>
        <w:tc>
          <w:tcPr>
            <w:tcW w:w="4683" w:type="dxa"/>
            <w:tcBorders>
              <w:bottom w:val="nil"/>
            </w:tcBorders>
          </w:tcPr>
          <w:p>
            <w:pPr>
              <w:pStyle w:val="TableParagraph"/>
              <w:rPr>
                <w:rFonts w:ascii="Times New Roman"/>
                <w:sz w:val="20"/>
              </w:rPr>
            </w:pPr>
          </w:p>
        </w:tc>
        <w:tc>
          <w:tcPr>
            <w:tcW w:w="2501" w:type="dxa"/>
            <w:tcBorders>
              <w:bottom w:val="nil"/>
            </w:tcBorders>
          </w:tcPr>
          <w:p>
            <w:pPr>
              <w:pStyle w:val="TableParagraph"/>
              <w:spacing w:before="11"/>
              <w:rPr>
                <w:b/>
                <w:sz w:val="14"/>
              </w:rPr>
            </w:pPr>
          </w:p>
          <w:p>
            <w:pPr>
              <w:pStyle w:val="TableParagraph"/>
              <w:spacing w:line="234" w:lineRule="exact"/>
              <w:ind w:left="7"/>
              <w:rPr>
                <w:sz w:val="21"/>
              </w:rPr>
            </w:pPr>
            <w:r>
              <w:rPr>
                <w:sz w:val="21"/>
              </w:rPr>
              <w:t>6. 稻草、芦苇、麦秸等堆</w:t>
            </w:r>
          </w:p>
        </w:tc>
      </w:tr>
      <w:tr>
        <w:trPr>
          <w:trHeight w:val="244" w:hRule="atLeast"/>
        </w:trPr>
        <w:tc>
          <w:tcPr>
            <w:tcW w:w="1212" w:type="dxa"/>
            <w:tcBorders>
              <w:top w:val="nil"/>
              <w:bottom w:val="nil"/>
            </w:tcBorders>
          </w:tcPr>
          <w:p>
            <w:pPr>
              <w:pStyle w:val="TableParagraph"/>
              <w:rPr>
                <w:rFonts w:ascii="Times New Roman"/>
                <w:sz w:val="16"/>
              </w:rPr>
            </w:pPr>
          </w:p>
        </w:tc>
        <w:tc>
          <w:tcPr>
            <w:tcW w:w="4683" w:type="dxa"/>
            <w:tcBorders>
              <w:top w:val="nil"/>
              <w:bottom w:val="nil"/>
            </w:tcBorders>
          </w:tcPr>
          <w:p>
            <w:pPr>
              <w:pStyle w:val="TableParagraph"/>
              <w:spacing w:line="224" w:lineRule="exact"/>
              <w:ind w:left="4"/>
              <w:rPr>
                <w:sz w:val="24"/>
              </w:rPr>
            </w:pPr>
            <w:r>
              <w:rPr>
                <w:sz w:val="21"/>
              </w:rPr>
              <w:t>6. 洗涤剂厂房石蜡裂解部位、冰醋酸裂解厂房</w:t>
            </w:r>
            <w:r>
              <w:rPr>
                <w:sz w:val="24"/>
              </w:rPr>
              <w:t> </w:t>
            </w:r>
          </w:p>
        </w:tc>
        <w:tc>
          <w:tcPr>
            <w:tcW w:w="2501" w:type="dxa"/>
            <w:tcBorders>
              <w:top w:val="nil"/>
              <w:bottom w:val="nil"/>
            </w:tcBorders>
          </w:tcPr>
          <w:p>
            <w:pPr>
              <w:pStyle w:val="TableParagraph"/>
              <w:rPr>
                <w:rFonts w:ascii="Times New Roman"/>
                <w:sz w:val="16"/>
              </w:rPr>
            </w:pPr>
          </w:p>
        </w:tc>
      </w:tr>
      <w:tr>
        <w:trPr>
          <w:trHeight w:val="309" w:hRule="atLeast"/>
        </w:trPr>
        <w:tc>
          <w:tcPr>
            <w:tcW w:w="1212" w:type="dxa"/>
            <w:tcBorders>
              <w:top w:val="nil"/>
              <w:bottom w:val="nil"/>
            </w:tcBorders>
          </w:tcPr>
          <w:p>
            <w:pPr>
              <w:pStyle w:val="TableParagraph"/>
              <w:spacing w:before="15"/>
              <w:ind w:right="384"/>
              <w:jc w:val="right"/>
              <w:rPr>
                <w:sz w:val="21"/>
              </w:rPr>
            </w:pPr>
            <w:r>
              <w:rPr>
                <w:sz w:val="21"/>
              </w:rPr>
              <w:t>重 </w:t>
            </w:r>
          </w:p>
        </w:tc>
        <w:tc>
          <w:tcPr>
            <w:tcW w:w="4683" w:type="dxa"/>
            <w:tcBorders>
              <w:top w:val="nil"/>
            </w:tcBorders>
          </w:tcPr>
          <w:p>
            <w:pPr>
              <w:pStyle w:val="TableParagraph"/>
              <w:rPr>
                <w:rFonts w:ascii="Times New Roman"/>
                <w:sz w:val="20"/>
              </w:rPr>
            </w:pPr>
          </w:p>
        </w:tc>
        <w:tc>
          <w:tcPr>
            <w:tcW w:w="2501" w:type="dxa"/>
            <w:tcBorders>
              <w:top w:val="nil"/>
            </w:tcBorders>
          </w:tcPr>
          <w:p>
            <w:pPr>
              <w:pStyle w:val="TableParagraph"/>
              <w:spacing w:before="1"/>
              <w:ind w:left="7"/>
              <w:rPr>
                <w:sz w:val="24"/>
              </w:rPr>
            </w:pPr>
            <w:r>
              <w:rPr>
                <w:sz w:val="21"/>
              </w:rPr>
              <w:t>场</w:t>
            </w:r>
            <w:r>
              <w:rPr>
                <w:sz w:val="24"/>
              </w:rPr>
              <w:t> </w:t>
            </w:r>
          </w:p>
        </w:tc>
      </w:tr>
      <w:tr>
        <w:trPr>
          <w:trHeight w:val="566" w:hRule="atLeast"/>
        </w:trPr>
        <w:tc>
          <w:tcPr>
            <w:tcW w:w="1212" w:type="dxa"/>
            <w:tcBorders>
              <w:top w:val="nil"/>
              <w:bottom w:val="nil"/>
            </w:tcBorders>
          </w:tcPr>
          <w:p>
            <w:pPr>
              <w:pStyle w:val="TableParagraph"/>
              <w:spacing w:before="5"/>
              <w:rPr>
                <w:b/>
                <w:sz w:val="15"/>
              </w:rPr>
            </w:pPr>
          </w:p>
          <w:p>
            <w:pPr>
              <w:pStyle w:val="TableParagraph"/>
              <w:ind w:right="384"/>
              <w:jc w:val="right"/>
              <w:rPr>
                <w:sz w:val="21"/>
              </w:rPr>
            </w:pPr>
            <w:r>
              <w:rPr>
                <w:sz w:val="21"/>
              </w:rPr>
              <w:t>危 </w:t>
            </w:r>
          </w:p>
        </w:tc>
        <w:tc>
          <w:tcPr>
            <w:tcW w:w="4683" w:type="dxa"/>
            <w:tcBorders>
              <w:bottom w:val="nil"/>
            </w:tcBorders>
          </w:tcPr>
          <w:p>
            <w:pPr>
              <w:pStyle w:val="TableParagraph"/>
              <w:rPr>
                <w:rFonts w:ascii="Times New Roman"/>
                <w:sz w:val="20"/>
              </w:rPr>
            </w:pPr>
          </w:p>
        </w:tc>
        <w:tc>
          <w:tcPr>
            <w:tcW w:w="2501" w:type="dxa"/>
            <w:tcBorders>
              <w:bottom w:val="nil"/>
            </w:tcBorders>
          </w:tcPr>
          <w:p>
            <w:pPr>
              <w:pStyle w:val="TableParagraph"/>
              <w:rPr>
                <w:b/>
                <w:sz w:val="15"/>
              </w:rPr>
            </w:pPr>
          </w:p>
          <w:p>
            <w:pPr>
              <w:pStyle w:val="TableParagraph"/>
              <w:spacing w:before="1"/>
              <w:ind w:left="7"/>
              <w:rPr>
                <w:sz w:val="21"/>
              </w:rPr>
            </w:pPr>
            <w:r>
              <w:rPr>
                <w:sz w:val="21"/>
              </w:rPr>
              <w:t>7. 赛璐珞及其制品、漆</w:t>
            </w:r>
          </w:p>
        </w:tc>
      </w:tr>
      <w:tr>
        <w:trPr>
          <w:trHeight w:val="499" w:hRule="atLeast"/>
        </w:trPr>
        <w:tc>
          <w:tcPr>
            <w:tcW w:w="1212" w:type="dxa"/>
            <w:tcBorders>
              <w:top w:val="nil"/>
              <w:bottom w:val="nil"/>
            </w:tcBorders>
          </w:tcPr>
          <w:p>
            <w:pPr>
              <w:pStyle w:val="TableParagraph"/>
              <w:spacing w:before="130"/>
              <w:ind w:right="384"/>
              <w:jc w:val="right"/>
              <w:rPr>
                <w:sz w:val="21"/>
              </w:rPr>
            </w:pPr>
            <w:r>
              <w:rPr>
                <w:sz w:val="21"/>
              </w:rPr>
              <w:t>险 </w:t>
            </w:r>
          </w:p>
        </w:tc>
        <w:tc>
          <w:tcPr>
            <w:tcW w:w="4683" w:type="dxa"/>
            <w:tcBorders>
              <w:top w:val="nil"/>
              <w:bottom w:val="nil"/>
            </w:tcBorders>
          </w:tcPr>
          <w:p>
            <w:pPr>
              <w:pStyle w:val="TableParagraph"/>
              <w:spacing w:before="125"/>
              <w:ind w:left="4"/>
              <w:rPr>
                <w:sz w:val="24"/>
              </w:rPr>
            </w:pPr>
            <w:r>
              <w:rPr>
                <w:sz w:val="21"/>
              </w:rPr>
              <w:t>7. 环氧氢丙烷、苯乙烯厂房或装置区</w:t>
            </w:r>
            <w:r>
              <w:rPr>
                <w:sz w:val="24"/>
              </w:rPr>
              <w:t> </w:t>
            </w:r>
          </w:p>
        </w:tc>
        <w:tc>
          <w:tcPr>
            <w:tcW w:w="2501" w:type="dxa"/>
            <w:tcBorders>
              <w:top w:val="nil"/>
              <w:bottom w:val="nil"/>
            </w:tcBorders>
          </w:tcPr>
          <w:p>
            <w:pPr>
              <w:pStyle w:val="TableParagraph"/>
              <w:spacing w:before="125"/>
              <w:ind w:left="7"/>
              <w:rPr>
                <w:sz w:val="21"/>
              </w:rPr>
            </w:pPr>
            <w:r>
              <w:rPr>
                <w:sz w:val="21"/>
              </w:rPr>
              <w:t>布、油布、油纸及其制</w:t>
            </w:r>
          </w:p>
        </w:tc>
      </w:tr>
      <w:tr>
        <w:trPr>
          <w:trHeight w:val="436" w:hRule="atLeast"/>
        </w:trPr>
        <w:tc>
          <w:tcPr>
            <w:tcW w:w="1212" w:type="dxa"/>
            <w:tcBorders>
              <w:top w:val="nil"/>
              <w:bottom w:val="nil"/>
            </w:tcBorders>
          </w:tcPr>
          <w:p>
            <w:pPr>
              <w:pStyle w:val="TableParagraph"/>
              <w:spacing w:before="130"/>
              <w:ind w:right="369"/>
              <w:jc w:val="right"/>
              <w:rPr>
                <w:sz w:val="24"/>
              </w:rPr>
            </w:pPr>
            <w:r>
              <w:rPr>
                <w:sz w:val="21"/>
              </w:rPr>
              <w:t>级</w:t>
            </w:r>
            <w:r>
              <w:rPr>
                <w:sz w:val="24"/>
              </w:rPr>
              <w:t> </w:t>
            </w:r>
          </w:p>
        </w:tc>
        <w:tc>
          <w:tcPr>
            <w:tcW w:w="4683" w:type="dxa"/>
            <w:tcBorders>
              <w:top w:val="nil"/>
            </w:tcBorders>
          </w:tcPr>
          <w:p>
            <w:pPr>
              <w:pStyle w:val="TableParagraph"/>
              <w:rPr>
                <w:rFonts w:ascii="Times New Roman"/>
                <w:sz w:val="20"/>
              </w:rPr>
            </w:pPr>
          </w:p>
        </w:tc>
        <w:tc>
          <w:tcPr>
            <w:tcW w:w="2501" w:type="dxa"/>
            <w:tcBorders>
              <w:top w:val="nil"/>
            </w:tcBorders>
          </w:tcPr>
          <w:p>
            <w:pPr>
              <w:pStyle w:val="TableParagraph"/>
              <w:spacing w:before="125"/>
              <w:ind w:left="7"/>
              <w:rPr>
                <w:sz w:val="24"/>
              </w:rPr>
            </w:pPr>
            <w:r>
              <w:rPr>
                <w:sz w:val="21"/>
              </w:rPr>
              <w:t>品，油绸及其制品库房</w:t>
            </w:r>
            <w:r>
              <w:rPr>
                <w:sz w:val="24"/>
              </w:rPr>
              <w:t> </w:t>
            </w:r>
          </w:p>
        </w:tc>
      </w:tr>
      <w:tr>
        <w:trPr>
          <w:trHeight w:val="437" w:hRule="atLeast"/>
        </w:trPr>
        <w:tc>
          <w:tcPr>
            <w:tcW w:w="1212" w:type="dxa"/>
            <w:tcBorders>
              <w:top w:val="nil"/>
              <w:bottom w:val="nil"/>
            </w:tcBorders>
          </w:tcPr>
          <w:p>
            <w:pPr>
              <w:pStyle w:val="TableParagraph"/>
              <w:rPr>
                <w:rFonts w:ascii="Times New Roman"/>
                <w:sz w:val="20"/>
              </w:rPr>
            </w:pPr>
          </w:p>
        </w:tc>
        <w:tc>
          <w:tcPr>
            <w:tcW w:w="4683" w:type="dxa"/>
            <w:tcBorders>
              <w:bottom w:val="nil"/>
            </w:tcBorders>
          </w:tcPr>
          <w:p>
            <w:pPr>
              <w:pStyle w:val="TableParagraph"/>
              <w:rPr>
                <w:rFonts w:ascii="Times New Roman"/>
                <w:sz w:val="20"/>
              </w:rPr>
            </w:pPr>
          </w:p>
        </w:tc>
        <w:tc>
          <w:tcPr>
            <w:tcW w:w="2501" w:type="dxa"/>
            <w:tcBorders>
              <w:bottom w:val="nil"/>
            </w:tcBorders>
          </w:tcPr>
          <w:p>
            <w:pPr>
              <w:pStyle w:val="TableParagraph"/>
              <w:spacing w:before="11"/>
              <w:rPr>
                <w:b/>
                <w:sz w:val="14"/>
              </w:rPr>
            </w:pPr>
          </w:p>
          <w:p>
            <w:pPr>
              <w:pStyle w:val="TableParagraph"/>
              <w:spacing w:line="227" w:lineRule="exact"/>
              <w:ind w:left="7"/>
              <w:rPr>
                <w:sz w:val="21"/>
              </w:rPr>
            </w:pPr>
            <w:r>
              <w:rPr>
                <w:sz w:val="21"/>
              </w:rPr>
              <w:t>8. 酒精度为 60 度以上的</w:t>
            </w:r>
          </w:p>
        </w:tc>
      </w:tr>
      <w:tr>
        <w:trPr>
          <w:trHeight w:val="251" w:hRule="atLeast"/>
        </w:trPr>
        <w:tc>
          <w:tcPr>
            <w:tcW w:w="1212" w:type="dxa"/>
            <w:tcBorders>
              <w:top w:val="nil"/>
              <w:bottom w:val="nil"/>
            </w:tcBorders>
          </w:tcPr>
          <w:p>
            <w:pPr>
              <w:pStyle w:val="TableParagraph"/>
              <w:rPr>
                <w:rFonts w:ascii="Times New Roman"/>
                <w:sz w:val="18"/>
              </w:rPr>
            </w:pPr>
          </w:p>
        </w:tc>
        <w:tc>
          <w:tcPr>
            <w:tcW w:w="4683" w:type="dxa"/>
            <w:tcBorders>
              <w:top w:val="nil"/>
              <w:bottom w:val="nil"/>
            </w:tcBorders>
          </w:tcPr>
          <w:p>
            <w:pPr>
              <w:pStyle w:val="TableParagraph"/>
              <w:spacing w:line="229" w:lineRule="exact" w:before="3"/>
              <w:ind w:left="4"/>
              <w:rPr>
                <w:sz w:val="24"/>
              </w:rPr>
            </w:pPr>
            <w:r>
              <w:rPr>
                <w:sz w:val="21"/>
              </w:rPr>
              <w:t>8. 液化石油气灌瓶间</w:t>
            </w:r>
            <w:r>
              <w:rPr>
                <w:sz w:val="24"/>
              </w:rPr>
              <w:t> </w:t>
            </w:r>
          </w:p>
        </w:tc>
        <w:tc>
          <w:tcPr>
            <w:tcW w:w="2501" w:type="dxa"/>
            <w:tcBorders>
              <w:top w:val="nil"/>
              <w:bottom w:val="nil"/>
            </w:tcBorders>
          </w:tcPr>
          <w:p>
            <w:pPr>
              <w:pStyle w:val="TableParagraph"/>
              <w:rPr>
                <w:rFonts w:ascii="Times New Roman"/>
                <w:sz w:val="18"/>
              </w:rPr>
            </w:pPr>
          </w:p>
        </w:tc>
      </w:tr>
      <w:tr>
        <w:trPr>
          <w:trHeight w:val="309" w:hRule="atLeast"/>
        </w:trPr>
        <w:tc>
          <w:tcPr>
            <w:tcW w:w="1212" w:type="dxa"/>
            <w:tcBorders>
              <w:top w:val="nil"/>
              <w:bottom w:val="nil"/>
            </w:tcBorders>
          </w:tcPr>
          <w:p>
            <w:pPr>
              <w:pStyle w:val="TableParagraph"/>
              <w:rPr>
                <w:rFonts w:ascii="Times New Roman"/>
                <w:sz w:val="20"/>
              </w:rPr>
            </w:pPr>
          </w:p>
        </w:tc>
        <w:tc>
          <w:tcPr>
            <w:tcW w:w="4683" w:type="dxa"/>
            <w:tcBorders>
              <w:top w:val="nil"/>
            </w:tcBorders>
          </w:tcPr>
          <w:p>
            <w:pPr>
              <w:pStyle w:val="TableParagraph"/>
              <w:rPr>
                <w:rFonts w:ascii="Times New Roman"/>
                <w:sz w:val="20"/>
              </w:rPr>
            </w:pPr>
          </w:p>
        </w:tc>
        <w:tc>
          <w:tcPr>
            <w:tcW w:w="2501" w:type="dxa"/>
            <w:tcBorders>
              <w:top w:val="nil"/>
            </w:tcBorders>
          </w:tcPr>
          <w:p>
            <w:pPr>
              <w:pStyle w:val="TableParagraph"/>
              <w:spacing w:before="1"/>
              <w:ind w:left="7"/>
              <w:rPr>
                <w:sz w:val="24"/>
              </w:rPr>
            </w:pPr>
            <w:r>
              <w:rPr>
                <w:sz w:val="21"/>
              </w:rPr>
              <w:t>白酒库房</w:t>
            </w:r>
            <w:r>
              <w:rPr>
                <w:sz w:val="24"/>
              </w:rPr>
              <w:t> </w:t>
            </w:r>
          </w:p>
        </w:tc>
      </w:tr>
      <w:tr>
        <w:trPr>
          <w:trHeight w:val="439" w:hRule="atLeast"/>
        </w:trPr>
        <w:tc>
          <w:tcPr>
            <w:tcW w:w="1212" w:type="dxa"/>
            <w:tcBorders>
              <w:top w:val="nil"/>
              <w:bottom w:val="nil"/>
            </w:tcBorders>
          </w:tcPr>
          <w:p>
            <w:pPr>
              <w:pStyle w:val="TableParagraph"/>
              <w:rPr>
                <w:rFonts w:ascii="Times New Roman"/>
                <w:sz w:val="20"/>
              </w:rPr>
            </w:pPr>
          </w:p>
        </w:tc>
        <w:tc>
          <w:tcPr>
            <w:tcW w:w="4683" w:type="dxa"/>
            <w:tcBorders>
              <w:bottom w:val="nil"/>
            </w:tcBorders>
          </w:tcPr>
          <w:p>
            <w:pPr>
              <w:pStyle w:val="TableParagraph"/>
              <w:rPr>
                <w:b/>
                <w:sz w:val="15"/>
              </w:rPr>
            </w:pPr>
          </w:p>
          <w:p>
            <w:pPr>
              <w:pStyle w:val="TableParagraph"/>
              <w:spacing w:line="227" w:lineRule="exact" w:before="1"/>
              <w:ind w:left="4"/>
              <w:rPr>
                <w:sz w:val="21"/>
              </w:rPr>
            </w:pPr>
            <w:r>
              <w:rPr>
                <w:sz w:val="21"/>
              </w:rPr>
              <w:t>9. 天然气、石油伴生气、水煤气或焦炉煤气的净</w:t>
            </w:r>
          </w:p>
        </w:tc>
        <w:tc>
          <w:tcPr>
            <w:tcW w:w="2501" w:type="dxa"/>
            <w:tcBorders>
              <w:bottom w:val="nil"/>
            </w:tcBorders>
          </w:tcPr>
          <w:p>
            <w:pPr>
              <w:pStyle w:val="TableParagraph"/>
              <w:rPr>
                <w:rFonts w:ascii="Times New Roman"/>
                <w:sz w:val="20"/>
              </w:rPr>
            </w:pPr>
          </w:p>
        </w:tc>
      </w:tr>
      <w:tr>
        <w:trPr>
          <w:trHeight w:val="251" w:hRule="atLeast"/>
        </w:trPr>
        <w:tc>
          <w:tcPr>
            <w:tcW w:w="1212" w:type="dxa"/>
            <w:tcBorders>
              <w:top w:val="nil"/>
              <w:bottom w:val="nil"/>
            </w:tcBorders>
          </w:tcPr>
          <w:p>
            <w:pPr>
              <w:pStyle w:val="TableParagraph"/>
              <w:rPr>
                <w:rFonts w:ascii="Times New Roman"/>
                <w:sz w:val="18"/>
              </w:rPr>
            </w:pPr>
          </w:p>
        </w:tc>
        <w:tc>
          <w:tcPr>
            <w:tcW w:w="4683" w:type="dxa"/>
            <w:tcBorders>
              <w:top w:val="nil"/>
              <w:bottom w:val="nil"/>
            </w:tcBorders>
          </w:tcPr>
          <w:p>
            <w:pPr>
              <w:pStyle w:val="TableParagraph"/>
              <w:rPr>
                <w:rFonts w:ascii="Times New Roman"/>
                <w:sz w:val="18"/>
              </w:rPr>
            </w:pPr>
          </w:p>
        </w:tc>
        <w:tc>
          <w:tcPr>
            <w:tcW w:w="2501" w:type="dxa"/>
            <w:tcBorders>
              <w:top w:val="nil"/>
              <w:bottom w:val="nil"/>
            </w:tcBorders>
          </w:tcPr>
          <w:p>
            <w:pPr>
              <w:pStyle w:val="TableParagraph"/>
              <w:spacing w:line="232" w:lineRule="exact"/>
              <w:ind w:left="7"/>
              <w:rPr>
                <w:sz w:val="24"/>
              </w:rPr>
            </w:pPr>
            <w:r>
              <w:rPr>
                <w:w w:val="100"/>
                <w:sz w:val="21"/>
              </w:rPr>
              <w:t> </w:t>
            </w:r>
            <w:r>
              <w:rPr>
                <w:sz w:val="21"/>
              </w:rPr>
              <w:t> </w:t>
            </w:r>
            <w:r>
              <w:rPr>
                <w:sz w:val="24"/>
              </w:rPr>
              <w:t> </w:t>
            </w:r>
          </w:p>
        </w:tc>
      </w:tr>
      <w:tr>
        <w:trPr>
          <w:trHeight w:val="309" w:hRule="atLeast"/>
        </w:trPr>
        <w:tc>
          <w:tcPr>
            <w:tcW w:w="1212" w:type="dxa"/>
            <w:tcBorders>
              <w:top w:val="nil"/>
              <w:bottom w:val="nil"/>
            </w:tcBorders>
          </w:tcPr>
          <w:p>
            <w:pPr>
              <w:pStyle w:val="TableParagraph"/>
              <w:rPr>
                <w:rFonts w:ascii="Times New Roman"/>
                <w:sz w:val="20"/>
              </w:rPr>
            </w:pPr>
          </w:p>
        </w:tc>
        <w:tc>
          <w:tcPr>
            <w:tcW w:w="4683" w:type="dxa"/>
            <w:tcBorders>
              <w:top w:val="nil"/>
            </w:tcBorders>
          </w:tcPr>
          <w:p>
            <w:pPr>
              <w:pStyle w:val="TableParagraph"/>
              <w:spacing w:before="1"/>
              <w:ind w:left="4"/>
              <w:rPr>
                <w:sz w:val="24"/>
              </w:rPr>
            </w:pPr>
            <w:r>
              <w:rPr>
                <w:sz w:val="21"/>
              </w:rPr>
              <w:t>化（如脱硫）厂房压缩机室及鼓风机室</w:t>
            </w:r>
            <w:r>
              <w:rPr>
                <w:sz w:val="24"/>
              </w:rPr>
              <w:t> </w:t>
            </w:r>
          </w:p>
        </w:tc>
        <w:tc>
          <w:tcPr>
            <w:tcW w:w="2501" w:type="dxa"/>
            <w:tcBorders>
              <w:top w:val="nil"/>
            </w:tcBorders>
          </w:tcPr>
          <w:p>
            <w:pPr>
              <w:pStyle w:val="TableParagraph"/>
              <w:rPr>
                <w:rFonts w:ascii="Times New Roman"/>
                <w:sz w:val="20"/>
              </w:rPr>
            </w:pPr>
          </w:p>
        </w:tc>
      </w:tr>
      <w:tr>
        <w:trPr>
          <w:trHeight w:val="501" w:hRule="atLeast"/>
        </w:trPr>
        <w:tc>
          <w:tcPr>
            <w:tcW w:w="1212" w:type="dxa"/>
            <w:tcBorders>
              <w:top w:val="nil"/>
              <w:bottom w:val="nil"/>
            </w:tcBorders>
          </w:tcPr>
          <w:p>
            <w:pPr>
              <w:pStyle w:val="TableParagraph"/>
              <w:rPr>
                <w:rFonts w:ascii="Times New Roman"/>
                <w:sz w:val="20"/>
              </w:rPr>
            </w:pPr>
          </w:p>
        </w:tc>
        <w:tc>
          <w:tcPr>
            <w:tcW w:w="4683" w:type="dxa"/>
          </w:tcPr>
          <w:p>
            <w:pPr>
              <w:pStyle w:val="TableParagraph"/>
              <w:spacing w:before="190"/>
              <w:ind w:left="4"/>
              <w:rPr>
                <w:sz w:val="24"/>
              </w:rPr>
            </w:pPr>
            <w:r>
              <w:rPr>
                <w:sz w:val="21"/>
              </w:rPr>
              <w:t>10. 乙炔站、氢气站、煤气站、氧气站</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r>
        <w:trPr>
          <w:trHeight w:val="498" w:hRule="atLeast"/>
        </w:trPr>
        <w:tc>
          <w:tcPr>
            <w:tcW w:w="1212" w:type="dxa"/>
            <w:tcBorders>
              <w:top w:val="nil"/>
              <w:bottom w:val="nil"/>
            </w:tcBorders>
          </w:tcPr>
          <w:p>
            <w:pPr>
              <w:pStyle w:val="TableParagraph"/>
              <w:rPr>
                <w:rFonts w:ascii="Times New Roman"/>
                <w:sz w:val="20"/>
              </w:rPr>
            </w:pPr>
          </w:p>
        </w:tc>
        <w:tc>
          <w:tcPr>
            <w:tcW w:w="4683" w:type="dxa"/>
          </w:tcPr>
          <w:p>
            <w:pPr>
              <w:pStyle w:val="TableParagraph"/>
              <w:spacing w:before="190"/>
              <w:ind w:left="4"/>
              <w:rPr>
                <w:sz w:val="24"/>
              </w:rPr>
            </w:pPr>
            <w:r>
              <w:rPr>
                <w:sz w:val="21"/>
              </w:rPr>
              <w:t>11. 硝化棉、赛璐珞厂房及其应用部位</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r>
        <w:trPr>
          <w:trHeight w:val="501" w:hRule="atLeast"/>
        </w:trPr>
        <w:tc>
          <w:tcPr>
            <w:tcW w:w="1212" w:type="dxa"/>
            <w:tcBorders>
              <w:top w:val="nil"/>
              <w:bottom w:val="nil"/>
            </w:tcBorders>
          </w:tcPr>
          <w:p>
            <w:pPr>
              <w:pStyle w:val="TableParagraph"/>
              <w:rPr>
                <w:rFonts w:ascii="Times New Roman"/>
                <w:sz w:val="20"/>
              </w:rPr>
            </w:pPr>
          </w:p>
        </w:tc>
        <w:tc>
          <w:tcPr>
            <w:tcW w:w="4683" w:type="dxa"/>
          </w:tcPr>
          <w:p>
            <w:pPr>
              <w:pStyle w:val="TableParagraph"/>
              <w:spacing w:before="190"/>
              <w:ind w:left="4"/>
              <w:rPr>
                <w:sz w:val="24"/>
              </w:rPr>
            </w:pPr>
            <w:r>
              <w:rPr>
                <w:sz w:val="21"/>
              </w:rPr>
              <w:t>12. 黄磷、赤磷制备厂房及其应用部位</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r>
        <w:trPr>
          <w:trHeight w:val="498" w:hRule="atLeast"/>
        </w:trPr>
        <w:tc>
          <w:tcPr>
            <w:tcW w:w="1212" w:type="dxa"/>
            <w:tcBorders>
              <w:top w:val="nil"/>
              <w:bottom w:val="nil"/>
            </w:tcBorders>
          </w:tcPr>
          <w:p>
            <w:pPr>
              <w:pStyle w:val="TableParagraph"/>
              <w:rPr>
                <w:rFonts w:ascii="Times New Roman"/>
                <w:sz w:val="20"/>
              </w:rPr>
            </w:pPr>
          </w:p>
        </w:tc>
        <w:tc>
          <w:tcPr>
            <w:tcW w:w="4683" w:type="dxa"/>
          </w:tcPr>
          <w:p>
            <w:pPr>
              <w:pStyle w:val="TableParagraph"/>
              <w:spacing w:before="190"/>
              <w:ind w:left="4"/>
              <w:rPr>
                <w:sz w:val="24"/>
              </w:rPr>
            </w:pPr>
            <w:r>
              <w:rPr>
                <w:sz w:val="21"/>
              </w:rPr>
              <w:t>13. 樟脑或松香提炼厂房，焦化厂精萘厂房</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r>
        <w:trPr>
          <w:trHeight w:val="501" w:hRule="atLeast"/>
        </w:trPr>
        <w:tc>
          <w:tcPr>
            <w:tcW w:w="1212" w:type="dxa"/>
            <w:tcBorders>
              <w:top w:val="nil"/>
            </w:tcBorders>
          </w:tcPr>
          <w:p>
            <w:pPr>
              <w:pStyle w:val="TableParagraph"/>
              <w:rPr>
                <w:rFonts w:ascii="Times New Roman"/>
                <w:sz w:val="20"/>
              </w:rPr>
            </w:pPr>
          </w:p>
        </w:tc>
        <w:tc>
          <w:tcPr>
            <w:tcW w:w="4683" w:type="dxa"/>
          </w:tcPr>
          <w:p>
            <w:pPr>
              <w:pStyle w:val="TableParagraph"/>
              <w:spacing w:before="190"/>
              <w:ind w:left="4"/>
              <w:rPr>
                <w:sz w:val="24"/>
              </w:rPr>
            </w:pPr>
            <w:r>
              <w:rPr>
                <w:sz w:val="21"/>
              </w:rPr>
              <w:t>14. 煤粉厂房和面粉厂房的碾磨部位</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bl>
    <w:p>
      <w:pPr>
        <w:spacing w:after="0"/>
        <w:rPr>
          <w:sz w:val="24"/>
        </w:rPr>
        <w:sectPr>
          <w:pgSz w:w="11910" w:h="16850"/>
          <w:pgMar w:header="0" w:footer="1159" w:top="1180" w:bottom="1420" w:left="1260" w:right="0"/>
        </w:sectPr>
      </w:pP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2"/>
        <w:gridCol w:w="4683"/>
        <w:gridCol w:w="2501"/>
      </w:tblGrid>
      <w:tr>
        <w:trPr>
          <w:trHeight w:val="499" w:hRule="atLeast"/>
        </w:trPr>
        <w:tc>
          <w:tcPr>
            <w:tcW w:w="1212" w:type="dxa"/>
            <w:vMerge w:val="restart"/>
          </w:tcPr>
          <w:p>
            <w:pPr>
              <w:pStyle w:val="TableParagraph"/>
              <w:rPr>
                <w:rFonts w:ascii="Times New Roman"/>
                <w:sz w:val="20"/>
              </w:rPr>
            </w:pPr>
          </w:p>
        </w:tc>
        <w:tc>
          <w:tcPr>
            <w:tcW w:w="4683" w:type="dxa"/>
          </w:tcPr>
          <w:p>
            <w:pPr>
              <w:pStyle w:val="TableParagraph"/>
              <w:spacing w:before="8"/>
              <w:rPr>
                <w:b/>
                <w:sz w:val="14"/>
              </w:rPr>
            </w:pPr>
          </w:p>
          <w:p>
            <w:pPr>
              <w:pStyle w:val="TableParagraph"/>
              <w:ind w:left="4"/>
              <w:rPr>
                <w:sz w:val="21"/>
              </w:rPr>
            </w:pPr>
            <w:r>
              <w:rPr>
                <w:sz w:val="21"/>
              </w:rPr>
              <w:t>15. 谷物筒仓工作塔、亚麻厂的除尘器和过滤器室</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16. 氯酸钾厂房及其应用部位</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17. 发烟硫酸或发烟硝酸浓缩部位</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18. 高锰酸钾、重铬酸钠厂房</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19. 过氧化钠、过氧化钾、次氯酸钙厂房</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20. 各工厂的总控制室、分控制室</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499"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21. 国家和省级重点工程的施工现场</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1000" w:hRule="atLeast"/>
        </w:trPr>
        <w:tc>
          <w:tcPr>
            <w:tcW w:w="1212" w:type="dxa"/>
            <w:vMerge/>
            <w:tcBorders>
              <w:top w:val="nil"/>
            </w:tcBorders>
          </w:tcPr>
          <w:p>
            <w:pPr>
              <w:rPr>
                <w:sz w:val="2"/>
                <w:szCs w:val="2"/>
              </w:rPr>
            </w:pPr>
          </w:p>
        </w:tc>
        <w:tc>
          <w:tcPr>
            <w:tcW w:w="4683" w:type="dxa"/>
          </w:tcPr>
          <w:p>
            <w:pPr>
              <w:pStyle w:val="TableParagraph"/>
              <w:spacing w:before="8"/>
              <w:rPr>
                <w:b/>
                <w:sz w:val="14"/>
              </w:rPr>
            </w:pPr>
          </w:p>
          <w:p>
            <w:pPr>
              <w:pStyle w:val="TableParagraph"/>
              <w:ind w:left="4"/>
              <w:rPr>
                <w:sz w:val="21"/>
              </w:rPr>
            </w:pPr>
            <w:r>
              <w:rPr>
                <w:sz w:val="21"/>
              </w:rPr>
              <w:t>22. 发电厂（站）和电网经营企业的控制室、设备</w:t>
            </w:r>
          </w:p>
          <w:p>
            <w:pPr>
              <w:pStyle w:val="TableParagraph"/>
              <w:spacing w:before="1"/>
              <w:rPr>
                <w:b/>
                <w:sz w:val="18"/>
              </w:rPr>
            </w:pPr>
          </w:p>
          <w:p>
            <w:pPr>
              <w:pStyle w:val="TableParagraph"/>
              <w:spacing w:before="1"/>
              <w:ind w:left="4"/>
              <w:rPr>
                <w:sz w:val="24"/>
              </w:rPr>
            </w:pPr>
            <w:r>
              <w:rPr>
                <w:sz w:val="21"/>
              </w:rPr>
              <w:t>间</w:t>
            </w:r>
            <w:r>
              <w:rPr>
                <w:sz w:val="24"/>
              </w:rPr>
              <w:t> </w:t>
            </w:r>
          </w:p>
        </w:tc>
        <w:tc>
          <w:tcPr>
            <w:tcW w:w="2501" w:type="dxa"/>
          </w:tcPr>
          <w:p>
            <w:pPr>
              <w:pStyle w:val="TableParagraph"/>
              <w:spacing w:before="12"/>
              <w:rPr>
                <w:b/>
                <w:sz w:val="31"/>
              </w:rPr>
            </w:pPr>
          </w:p>
          <w:p>
            <w:pPr>
              <w:pStyle w:val="TableParagraph"/>
              <w:ind w:left="7"/>
              <w:rPr>
                <w:sz w:val="24"/>
              </w:rPr>
            </w:pPr>
            <w:r>
              <w:rPr>
                <w:w w:val="100"/>
                <w:sz w:val="21"/>
              </w:rPr>
              <w:t> </w:t>
            </w:r>
            <w:r>
              <w:rPr>
                <w:sz w:val="21"/>
              </w:rPr>
              <w:t> </w:t>
            </w:r>
            <w:r>
              <w:rPr>
                <w:sz w:val="24"/>
              </w:rPr>
              <w:t> </w:t>
            </w:r>
          </w:p>
        </w:tc>
      </w:tr>
      <w:tr>
        <w:trPr>
          <w:trHeight w:val="1000" w:hRule="atLeast"/>
        </w:trPr>
        <w:tc>
          <w:tcPr>
            <w:tcW w:w="1212" w:type="dxa"/>
            <w:vMerge w:val="restart"/>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2"/>
              <w:rPr>
                <w:b/>
                <w:sz w:val="26"/>
              </w:rPr>
            </w:pPr>
          </w:p>
          <w:p>
            <w:pPr>
              <w:pStyle w:val="TableParagraph"/>
              <w:spacing w:line="446" w:lineRule="auto"/>
              <w:ind w:left="498" w:right="369"/>
              <w:jc w:val="both"/>
              <w:rPr>
                <w:sz w:val="24"/>
              </w:rPr>
            </w:pPr>
            <w:r>
              <w:rPr>
                <w:sz w:val="21"/>
              </w:rPr>
              <w:t>中危险级</w:t>
            </w:r>
            <w:r>
              <w:rPr>
                <w:sz w:val="24"/>
              </w:rPr>
              <w:t> </w:t>
            </w:r>
          </w:p>
        </w:tc>
        <w:tc>
          <w:tcPr>
            <w:tcW w:w="4683" w:type="dxa"/>
          </w:tcPr>
          <w:p>
            <w:pPr>
              <w:pStyle w:val="TableParagraph"/>
              <w:spacing w:before="8"/>
              <w:rPr>
                <w:b/>
                <w:sz w:val="14"/>
              </w:rPr>
            </w:pPr>
          </w:p>
          <w:p>
            <w:pPr>
              <w:pStyle w:val="TableParagraph"/>
              <w:ind w:left="4"/>
              <w:rPr>
                <w:sz w:val="21"/>
              </w:rPr>
            </w:pPr>
            <w:r>
              <w:rPr>
                <w:sz w:val="21"/>
              </w:rPr>
              <w:t>1. 闪点≥60℃的油品和有机溶剂的提炼、回收工</w:t>
            </w:r>
          </w:p>
          <w:p>
            <w:pPr>
              <w:pStyle w:val="TableParagraph"/>
              <w:spacing w:before="1"/>
              <w:rPr>
                <w:b/>
                <w:sz w:val="18"/>
              </w:rPr>
            </w:pPr>
          </w:p>
          <w:p>
            <w:pPr>
              <w:pStyle w:val="TableParagraph"/>
              <w:spacing w:before="1"/>
              <w:ind w:left="4"/>
              <w:rPr>
                <w:sz w:val="24"/>
              </w:rPr>
            </w:pPr>
            <w:r>
              <w:rPr>
                <w:sz w:val="21"/>
              </w:rPr>
              <w:t>段及其抽送泵房</w:t>
            </w:r>
            <w:r>
              <w:rPr>
                <w:sz w:val="24"/>
              </w:rPr>
              <w:t> </w:t>
            </w:r>
          </w:p>
        </w:tc>
        <w:tc>
          <w:tcPr>
            <w:tcW w:w="2501" w:type="dxa"/>
          </w:tcPr>
          <w:p>
            <w:pPr>
              <w:pStyle w:val="TableParagraph"/>
              <w:spacing w:before="8"/>
              <w:rPr>
                <w:b/>
                <w:sz w:val="14"/>
              </w:rPr>
            </w:pPr>
          </w:p>
          <w:p>
            <w:pPr>
              <w:pStyle w:val="TableParagraph"/>
              <w:ind w:left="7"/>
              <w:rPr>
                <w:sz w:val="21"/>
              </w:rPr>
            </w:pPr>
            <w:r>
              <w:rPr>
                <w:sz w:val="21"/>
              </w:rPr>
              <w:t>1. 丙类液体储罐区、桶装</w:t>
            </w:r>
          </w:p>
          <w:p>
            <w:pPr>
              <w:pStyle w:val="TableParagraph"/>
              <w:spacing w:before="1"/>
              <w:rPr>
                <w:b/>
                <w:sz w:val="18"/>
              </w:rPr>
            </w:pPr>
          </w:p>
          <w:p>
            <w:pPr>
              <w:pStyle w:val="TableParagraph"/>
              <w:spacing w:before="1"/>
              <w:ind w:left="7"/>
              <w:rPr>
                <w:sz w:val="24"/>
              </w:rPr>
            </w:pPr>
            <w:r>
              <w:rPr>
                <w:sz w:val="21"/>
              </w:rPr>
              <w:t>库房、堆场</w:t>
            </w:r>
            <w:r>
              <w:rPr>
                <w:sz w:val="24"/>
              </w:rPr>
              <w:t> </w:t>
            </w:r>
          </w:p>
        </w:tc>
      </w:tr>
      <w:tr>
        <w:trPr>
          <w:trHeight w:val="1500" w:hRule="atLeast"/>
        </w:trPr>
        <w:tc>
          <w:tcPr>
            <w:tcW w:w="1212" w:type="dxa"/>
            <w:vMerge/>
            <w:tcBorders>
              <w:top w:val="nil"/>
            </w:tcBorders>
          </w:tcPr>
          <w:p>
            <w:pPr>
              <w:rPr>
                <w:sz w:val="2"/>
                <w:szCs w:val="2"/>
              </w:rPr>
            </w:pPr>
          </w:p>
        </w:tc>
        <w:tc>
          <w:tcPr>
            <w:tcW w:w="4683" w:type="dxa"/>
          </w:tcPr>
          <w:p>
            <w:pPr>
              <w:pStyle w:val="TableParagraph"/>
              <w:rPr>
                <w:b/>
                <w:sz w:val="24"/>
              </w:rPr>
            </w:pPr>
          </w:p>
          <w:p>
            <w:pPr>
              <w:pStyle w:val="TableParagraph"/>
              <w:spacing w:before="7"/>
              <w:rPr>
                <w:b/>
                <w:sz w:val="29"/>
              </w:rPr>
            </w:pPr>
          </w:p>
          <w:p>
            <w:pPr>
              <w:pStyle w:val="TableParagraph"/>
              <w:ind w:left="4"/>
              <w:rPr>
                <w:sz w:val="24"/>
              </w:rPr>
            </w:pPr>
            <w:r>
              <w:rPr>
                <w:sz w:val="21"/>
              </w:rPr>
              <w:t>2. 柴油、机器油或变压器油灌桶间</w:t>
            </w:r>
            <w:r>
              <w:rPr>
                <w:sz w:val="24"/>
              </w:rPr>
              <w:t> </w:t>
            </w:r>
          </w:p>
        </w:tc>
        <w:tc>
          <w:tcPr>
            <w:tcW w:w="2501" w:type="dxa"/>
          </w:tcPr>
          <w:p>
            <w:pPr>
              <w:pStyle w:val="TableParagraph"/>
              <w:spacing w:before="8"/>
              <w:rPr>
                <w:b/>
                <w:sz w:val="14"/>
              </w:rPr>
            </w:pPr>
          </w:p>
          <w:p>
            <w:pPr>
              <w:pStyle w:val="TableParagraph"/>
              <w:spacing w:line="446" w:lineRule="auto"/>
              <w:ind w:left="7" w:right="64"/>
              <w:rPr>
                <w:sz w:val="21"/>
              </w:rPr>
            </w:pPr>
            <w:r>
              <w:rPr>
                <w:sz w:val="21"/>
              </w:rPr>
              <w:t>2. 化学、人造纤维及其织物和棉、毛、丝、麻及其</w:t>
            </w:r>
          </w:p>
          <w:p>
            <w:pPr>
              <w:pStyle w:val="TableParagraph"/>
              <w:ind w:left="7"/>
              <w:rPr>
                <w:sz w:val="24"/>
              </w:rPr>
            </w:pPr>
            <w:r>
              <w:rPr>
                <w:sz w:val="21"/>
              </w:rPr>
              <w:t>织物的库房、堆场</w:t>
            </w:r>
            <w:r>
              <w:rPr>
                <w:sz w:val="24"/>
              </w:rPr>
              <w:t> </w:t>
            </w:r>
          </w:p>
        </w:tc>
      </w:tr>
      <w:tr>
        <w:trPr>
          <w:trHeight w:val="1000" w:hRule="atLeast"/>
        </w:trPr>
        <w:tc>
          <w:tcPr>
            <w:tcW w:w="1212" w:type="dxa"/>
            <w:vMerge/>
            <w:tcBorders>
              <w:top w:val="nil"/>
            </w:tcBorders>
          </w:tcPr>
          <w:p>
            <w:pPr>
              <w:rPr>
                <w:sz w:val="2"/>
                <w:szCs w:val="2"/>
              </w:rPr>
            </w:pPr>
          </w:p>
        </w:tc>
        <w:tc>
          <w:tcPr>
            <w:tcW w:w="4683" w:type="dxa"/>
          </w:tcPr>
          <w:p>
            <w:pPr>
              <w:pStyle w:val="TableParagraph"/>
              <w:spacing w:before="1"/>
              <w:rPr>
                <w:b/>
                <w:sz w:val="34"/>
              </w:rPr>
            </w:pPr>
          </w:p>
          <w:p>
            <w:pPr>
              <w:pStyle w:val="TableParagraph"/>
              <w:ind w:left="4"/>
              <w:rPr>
                <w:sz w:val="24"/>
              </w:rPr>
            </w:pPr>
            <w:r>
              <w:rPr>
                <w:sz w:val="21"/>
              </w:rPr>
              <w:t>3. 润滑油再生部位或沥青加工厂房</w:t>
            </w:r>
            <w:r>
              <w:rPr>
                <w:sz w:val="24"/>
              </w:rPr>
              <w:t> </w:t>
            </w:r>
          </w:p>
        </w:tc>
        <w:tc>
          <w:tcPr>
            <w:tcW w:w="2501" w:type="dxa"/>
          </w:tcPr>
          <w:p>
            <w:pPr>
              <w:pStyle w:val="TableParagraph"/>
              <w:spacing w:before="8"/>
              <w:rPr>
                <w:b/>
                <w:sz w:val="14"/>
              </w:rPr>
            </w:pPr>
          </w:p>
          <w:p>
            <w:pPr>
              <w:pStyle w:val="TableParagraph"/>
              <w:ind w:left="7"/>
              <w:rPr>
                <w:sz w:val="21"/>
              </w:rPr>
            </w:pPr>
            <w:r>
              <w:rPr>
                <w:sz w:val="21"/>
              </w:rPr>
              <w:t>3. 纸、竹、木及其制品的</w:t>
            </w:r>
          </w:p>
          <w:p>
            <w:pPr>
              <w:pStyle w:val="TableParagraph"/>
              <w:spacing w:before="1"/>
              <w:rPr>
                <w:b/>
                <w:sz w:val="18"/>
              </w:rPr>
            </w:pPr>
          </w:p>
          <w:p>
            <w:pPr>
              <w:pStyle w:val="TableParagraph"/>
              <w:spacing w:before="1"/>
              <w:ind w:left="7"/>
              <w:rPr>
                <w:sz w:val="24"/>
              </w:rPr>
            </w:pPr>
            <w:r>
              <w:rPr>
                <w:sz w:val="21"/>
              </w:rPr>
              <w:t>库房、堆场</w:t>
            </w:r>
            <w:r>
              <w:rPr>
                <w:sz w:val="24"/>
              </w:rPr>
              <w:t> </w:t>
            </w:r>
          </w:p>
        </w:tc>
      </w:tr>
      <w:tr>
        <w:trPr>
          <w:trHeight w:val="1000" w:hRule="atLeast"/>
        </w:trPr>
        <w:tc>
          <w:tcPr>
            <w:tcW w:w="1212" w:type="dxa"/>
            <w:vMerge/>
            <w:tcBorders>
              <w:top w:val="nil"/>
            </w:tcBorders>
          </w:tcPr>
          <w:p>
            <w:pPr>
              <w:rPr>
                <w:sz w:val="2"/>
                <w:szCs w:val="2"/>
              </w:rPr>
            </w:pPr>
          </w:p>
        </w:tc>
        <w:tc>
          <w:tcPr>
            <w:tcW w:w="4683" w:type="dxa"/>
          </w:tcPr>
          <w:p>
            <w:pPr>
              <w:pStyle w:val="TableParagraph"/>
              <w:spacing w:before="1"/>
              <w:rPr>
                <w:b/>
                <w:sz w:val="34"/>
              </w:rPr>
            </w:pPr>
          </w:p>
          <w:p>
            <w:pPr>
              <w:pStyle w:val="TableParagraph"/>
              <w:ind w:left="4"/>
              <w:rPr>
                <w:sz w:val="24"/>
              </w:rPr>
            </w:pPr>
            <w:r>
              <w:rPr>
                <w:sz w:val="21"/>
              </w:rPr>
              <w:t>4. 植物油加工精炼部位</w:t>
            </w:r>
            <w:r>
              <w:rPr>
                <w:sz w:val="24"/>
              </w:rPr>
              <w:t> </w:t>
            </w:r>
          </w:p>
        </w:tc>
        <w:tc>
          <w:tcPr>
            <w:tcW w:w="2501" w:type="dxa"/>
          </w:tcPr>
          <w:p>
            <w:pPr>
              <w:pStyle w:val="TableParagraph"/>
              <w:spacing w:before="8"/>
              <w:rPr>
                <w:b/>
                <w:sz w:val="14"/>
              </w:rPr>
            </w:pPr>
          </w:p>
          <w:p>
            <w:pPr>
              <w:pStyle w:val="TableParagraph"/>
              <w:ind w:left="7"/>
              <w:rPr>
                <w:sz w:val="21"/>
              </w:rPr>
            </w:pPr>
            <w:r>
              <w:rPr>
                <w:sz w:val="21"/>
              </w:rPr>
              <w:t>4. 火柴、香烟、糖、茶叶</w:t>
            </w:r>
          </w:p>
          <w:p>
            <w:pPr>
              <w:pStyle w:val="TableParagraph"/>
              <w:spacing w:before="12"/>
              <w:rPr>
                <w:b/>
                <w:sz w:val="17"/>
              </w:rPr>
            </w:pPr>
          </w:p>
          <w:p>
            <w:pPr>
              <w:pStyle w:val="TableParagraph"/>
              <w:ind w:left="7"/>
              <w:rPr>
                <w:sz w:val="24"/>
              </w:rPr>
            </w:pPr>
            <w:r>
              <w:rPr>
                <w:sz w:val="21"/>
              </w:rPr>
              <w:t>库房</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5. 油浸变压器室和高、低压配电室</w:t>
            </w:r>
            <w:r>
              <w:rPr>
                <w:sz w:val="24"/>
              </w:rPr>
              <w:t> </w:t>
            </w:r>
          </w:p>
        </w:tc>
        <w:tc>
          <w:tcPr>
            <w:tcW w:w="2501" w:type="dxa"/>
          </w:tcPr>
          <w:p>
            <w:pPr>
              <w:pStyle w:val="TableParagraph"/>
              <w:spacing w:before="187"/>
              <w:ind w:left="7"/>
              <w:rPr>
                <w:sz w:val="24"/>
              </w:rPr>
            </w:pPr>
            <w:r>
              <w:rPr>
                <w:sz w:val="21"/>
              </w:rPr>
              <w:t>5. 中药材库房</w:t>
            </w:r>
            <w:r>
              <w:rPr>
                <w:sz w:val="24"/>
              </w:rPr>
              <w:t> </w:t>
            </w:r>
          </w:p>
        </w:tc>
      </w:tr>
      <w:tr>
        <w:trPr>
          <w:trHeight w:val="1000" w:hRule="atLeast"/>
        </w:trPr>
        <w:tc>
          <w:tcPr>
            <w:tcW w:w="1212" w:type="dxa"/>
            <w:vMerge/>
            <w:tcBorders>
              <w:top w:val="nil"/>
            </w:tcBorders>
          </w:tcPr>
          <w:p>
            <w:pPr>
              <w:rPr>
                <w:sz w:val="2"/>
                <w:szCs w:val="2"/>
              </w:rPr>
            </w:pPr>
          </w:p>
        </w:tc>
        <w:tc>
          <w:tcPr>
            <w:tcW w:w="4683" w:type="dxa"/>
          </w:tcPr>
          <w:p>
            <w:pPr>
              <w:pStyle w:val="TableParagraph"/>
              <w:spacing w:before="4"/>
              <w:rPr>
                <w:b/>
                <w:sz w:val="34"/>
              </w:rPr>
            </w:pPr>
          </w:p>
          <w:p>
            <w:pPr>
              <w:pStyle w:val="TableParagraph"/>
              <w:ind w:left="4"/>
              <w:rPr>
                <w:sz w:val="24"/>
              </w:rPr>
            </w:pPr>
            <w:r>
              <w:rPr>
                <w:sz w:val="21"/>
              </w:rPr>
              <w:t>6. 工业用燃油、燃气锅炉房</w:t>
            </w:r>
            <w:r>
              <w:rPr>
                <w:sz w:val="24"/>
              </w:rPr>
              <w:t> </w:t>
            </w:r>
          </w:p>
        </w:tc>
        <w:tc>
          <w:tcPr>
            <w:tcW w:w="2501" w:type="dxa"/>
          </w:tcPr>
          <w:p>
            <w:pPr>
              <w:pStyle w:val="TableParagraph"/>
              <w:spacing w:before="8"/>
              <w:rPr>
                <w:b/>
                <w:sz w:val="14"/>
              </w:rPr>
            </w:pPr>
          </w:p>
          <w:p>
            <w:pPr>
              <w:pStyle w:val="TableParagraph"/>
              <w:ind w:left="7"/>
              <w:rPr>
                <w:sz w:val="21"/>
              </w:rPr>
            </w:pPr>
            <w:r>
              <w:rPr>
                <w:sz w:val="21"/>
              </w:rPr>
              <w:t>6. 橡胶、塑料及其制品的</w:t>
            </w:r>
          </w:p>
          <w:p>
            <w:pPr>
              <w:pStyle w:val="TableParagraph"/>
              <w:spacing w:before="2"/>
              <w:rPr>
                <w:b/>
                <w:sz w:val="18"/>
              </w:rPr>
            </w:pPr>
          </w:p>
          <w:p>
            <w:pPr>
              <w:pStyle w:val="TableParagraph"/>
              <w:ind w:left="7"/>
              <w:rPr>
                <w:sz w:val="24"/>
              </w:rPr>
            </w:pPr>
            <w:r>
              <w:rPr>
                <w:sz w:val="21"/>
              </w:rPr>
              <w:t>库房</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7. 各种电缆廊道</w:t>
            </w:r>
            <w:r>
              <w:rPr>
                <w:sz w:val="24"/>
              </w:rPr>
              <w:t> </w:t>
            </w:r>
          </w:p>
        </w:tc>
        <w:tc>
          <w:tcPr>
            <w:tcW w:w="2501" w:type="dxa"/>
          </w:tcPr>
          <w:p>
            <w:pPr>
              <w:pStyle w:val="TableParagraph"/>
              <w:spacing w:before="187"/>
              <w:ind w:left="7" w:right="-58"/>
              <w:rPr>
                <w:sz w:val="24"/>
              </w:rPr>
            </w:pPr>
            <w:r>
              <w:rPr>
                <w:sz w:val="21"/>
              </w:rPr>
              <w:t>7.</w:t>
            </w:r>
            <w:r>
              <w:rPr>
                <w:spacing w:val="-3"/>
                <w:sz w:val="21"/>
              </w:rPr>
              <w:t> 粮食、食品库房、堆场</w:t>
            </w:r>
            <w:r>
              <w:rPr>
                <w:sz w:val="24"/>
              </w:rPr>
              <w:t> </w:t>
            </w:r>
          </w:p>
        </w:tc>
      </w:tr>
      <w:tr>
        <w:trPr>
          <w:trHeight w:val="1499" w:hRule="atLeast"/>
        </w:trPr>
        <w:tc>
          <w:tcPr>
            <w:tcW w:w="1212" w:type="dxa"/>
            <w:vMerge/>
            <w:tcBorders>
              <w:top w:val="nil"/>
            </w:tcBorders>
          </w:tcPr>
          <w:p>
            <w:pPr>
              <w:rPr>
                <w:sz w:val="2"/>
                <w:szCs w:val="2"/>
              </w:rPr>
            </w:pPr>
          </w:p>
        </w:tc>
        <w:tc>
          <w:tcPr>
            <w:tcW w:w="4683" w:type="dxa"/>
          </w:tcPr>
          <w:p>
            <w:pPr>
              <w:pStyle w:val="TableParagraph"/>
              <w:rPr>
                <w:b/>
                <w:sz w:val="24"/>
              </w:rPr>
            </w:pPr>
          </w:p>
          <w:p>
            <w:pPr>
              <w:pStyle w:val="TableParagraph"/>
              <w:spacing w:before="7"/>
              <w:rPr>
                <w:b/>
                <w:sz w:val="29"/>
              </w:rPr>
            </w:pPr>
          </w:p>
          <w:p>
            <w:pPr>
              <w:pStyle w:val="TableParagraph"/>
              <w:ind w:left="4"/>
              <w:rPr>
                <w:sz w:val="24"/>
              </w:rPr>
            </w:pPr>
            <w:r>
              <w:rPr>
                <w:sz w:val="21"/>
              </w:rPr>
              <w:t>8. 油淬火处理车间</w:t>
            </w:r>
            <w:r>
              <w:rPr>
                <w:sz w:val="24"/>
              </w:rPr>
              <w:t> </w:t>
            </w:r>
          </w:p>
        </w:tc>
        <w:tc>
          <w:tcPr>
            <w:tcW w:w="2501" w:type="dxa"/>
          </w:tcPr>
          <w:p>
            <w:pPr>
              <w:pStyle w:val="TableParagraph"/>
              <w:spacing w:before="8"/>
              <w:rPr>
                <w:b/>
                <w:sz w:val="14"/>
              </w:rPr>
            </w:pPr>
          </w:p>
          <w:p>
            <w:pPr>
              <w:pStyle w:val="TableParagraph"/>
              <w:ind w:left="7"/>
              <w:rPr>
                <w:sz w:val="21"/>
              </w:rPr>
            </w:pPr>
            <w:r>
              <w:rPr>
                <w:sz w:val="21"/>
              </w:rPr>
              <w:t>8. 电脑、电视机、收录机</w:t>
            </w:r>
          </w:p>
          <w:p>
            <w:pPr>
              <w:pStyle w:val="TableParagraph"/>
              <w:spacing w:line="500" w:lineRule="atLeast"/>
              <w:ind w:left="7" w:right="167"/>
              <w:rPr>
                <w:sz w:val="24"/>
              </w:rPr>
            </w:pPr>
            <w:r>
              <w:rPr>
                <w:sz w:val="21"/>
              </w:rPr>
              <w:t>等电子产品及家用电器库房</w:t>
            </w:r>
            <w:r>
              <w:rPr>
                <w:sz w:val="24"/>
              </w:rPr>
              <w:t> </w:t>
            </w:r>
          </w:p>
        </w:tc>
      </w:tr>
      <w:tr>
        <w:trPr>
          <w:trHeight w:val="1000" w:hRule="atLeast"/>
        </w:trPr>
        <w:tc>
          <w:tcPr>
            <w:tcW w:w="1212" w:type="dxa"/>
            <w:vMerge/>
            <w:tcBorders>
              <w:top w:val="nil"/>
            </w:tcBorders>
          </w:tcPr>
          <w:p>
            <w:pPr>
              <w:rPr>
                <w:sz w:val="2"/>
                <w:szCs w:val="2"/>
              </w:rPr>
            </w:pPr>
          </w:p>
        </w:tc>
        <w:tc>
          <w:tcPr>
            <w:tcW w:w="4683" w:type="dxa"/>
          </w:tcPr>
          <w:p>
            <w:pPr>
              <w:pStyle w:val="TableParagraph"/>
              <w:spacing w:before="1"/>
              <w:rPr>
                <w:b/>
                <w:sz w:val="34"/>
              </w:rPr>
            </w:pPr>
          </w:p>
          <w:p>
            <w:pPr>
              <w:pStyle w:val="TableParagraph"/>
              <w:ind w:left="4"/>
              <w:rPr>
                <w:sz w:val="24"/>
              </w:rPr>
            </w:pPr>
            <w:r>
              <w:rPr>
                <w:sz w:val="21"/>
              </w:rPr>
              <w:t>9. 橡胶制品压延、成型和硫化厂房</w:t>
            </w:r>
            <w:r>
              <w:rPr>
                <w:sz w:val="24"/>
              </w:rPr>
              <w:t> </w:t>
            </w:r>
          </w:p>
        </w:tc>
        <w:tc>
          <w:tcPr>
            <w:tcW w:w="2501" w:type="dxa"/>
          </w:tcPr>
          <w:p>
            <w:pPr>
              <w:pStyle w:val="TableParagraph"/>
              <w:spacing w:before="8"/>
              <w:rPr>
                <w:b/>
                <w:sz w:val="14"/>
              </w:rPr>
            </w:pPr>
          </w:p>
          <w:p>
            <w:pPr>
              <w:pStyle w:val="TableParagraph"/>
              <w:ind w:left="7"/>
              <w:rPr>
                <w:sz w:val="21"/>
              </w:rPr>
            </w:pPr>
            <w:r>
              <w:rPr>
                <w:sz w:val="21"/>
              </w:rPr>
              <w:t>9. 汽车、大型拖拉机停车</w:t>
            </w:r>
          </w:p>
          <w:p>
            <w:pPr>
              <w:pStyle w:val="TableParagraph"/>
              <w:spacing w:before="12"/>
              <w:rPr>
                <w:b/>
                <w:sz w:val="17"/>
              </w:rPr>
            </w:pPr>
          </w:p>
          <w:p>
            <w:pPr>
              <w:pStyle w:val="TableParagraph"/>
              <w:ind w:left="7"/>
              <w:rPr>
                <w:sz w:val="24"/>
              </w:rPr>
            </w:pPr>
            <w:r>
              <w:rPr>
                <w:sz w:val="21"/>
              </w:rPr>
              <w:t>库</w:t>
            </w:r>
            <w:r>
              <w:rPr>
                <w:sz w:val="24"/>
              </w:rPr>
              <w:t> </w:t>
            </w:r>
          </w:p>
        </w:tc>
      </w:tr>
    </w:tbl>
    <w:p>
      <w:pPr>
        <w:spacing w:after="0"/>
        <w:rPr>
          <w:sz w:val="24"/>
        </w:rPr>
        <w:sectPr>
          <w:pgSz w:w="11910" w:h="16850"/>
          <w:pgMar w:header="0" w:footer="1159" w:top="1080" w:bottom="1340" w:left="1260" w:right="0"/>
        </w:sectPr>
      </w:pP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2"/>
        <w:gridCol w:w="4683"/>
        <w:gridCol w:w="2501"/>
      </w:tblGrid>
      <w:tr>
        <w:trPr>
          <w:trHeight w:val="1000" w:hRule="atLeast"/>
        </w:trPr>
        <w:tc>
          <w:tcPr>
            <w:tcW w:w="1212" w:type="dxa"/>
            <w:vMerge w:val="restart"/>
          </w:tcPr>
          <w:p>
            <w:pPr>
              <w:pStyle w:val="TableParagraph"/>
              <w:rPr>
                <w:rFonts w:ascii="Times New Roman"/>
                <w:sz w:val="20"/>
              </w:rPr>
            </w:pPr>
          </w:p>
        </w:tc>
        <w:tc>
          <w:tcPr>
            <w:tcW w:w="4683" w:type="dxa"/>
          </w:tcPr>
          <w:p>
            <w:pPr>
              <w:pStyle w:val="TableParagraph"/>
              <w:spacing w:before="1"/>
              <w:rPr>
                <w:b/>
                <w:sz w:val="34"/>
              </w:rPr>
            </w:pPr>
          </w:p>
          <w:p>
            <w:pPr>
              <w:pStyle w:val="TableParagraph"/>
              <w:ind w:left="4"/>
              <w:rPr>
                <w:sz w:val="24"/>
              </w:rPr>
            </w:pPr>
            <w:r>
              <w:rPr>
                <w:sz w:val="21"/>
              </w:rPr>
              <w:t>10. 木工厂房和竹、藤加工厂房</w:t>
            </w:r>
            <w:r>
              <w:rPr>
                <w:sz w:val="24"/>
              </w:rPr>
              <w:t> </w:t>
            </w:r>
          </w:p>
        </w:tc>
        <w:tc>
          <w:tcPr>
            <w:tcW w:w="2501" w:type="dxa"/>
          </w:tcPr>
          <w:p>
            <w:pPr>
              <w:pStyle w:val="TableParagraph"/>
              <w:spacing w:before="8"/>
              <w:rPr>
                <w:b/>
                <w:sz w:val="14"/>
              </w:rPr>
            </w:pPr>
          </w:p>
          <w:p>
            <w:pPr>
              <w:pStyle w:val="TableParagraph"/>
              <w:ind w:left="7"/>
              <w:rPr>
                <w:sz w:val="21"/>
              </w:rPr>
            </w:pPr>
            <w:r>
              <w:rPr>
                <w:sz w:val="21"/>
              </w:rPr>
              <w:t>10.</w:t>
            </w:r>
            <w:r>
              <w:rPr>
                <w:spacing w:val="-9"/>
                <w:sz w:val="21"/>
              </w:rPr>
              <w:t> 酒精度小于 </w:t>
            </w:r>
            <w:r>
              <w:rPr>
                <w:sz w:val="21"/>
              </w:rPr>
              <w:t>60</w:t>
            </w:r>
            <w:r>
              <w:rPr>
                <w:spacing w:val="-15"/>
                <w:sz w:val="21"/>
              </w:rPr>
              <w:t> 度的白</w:t>
            </w:r>
          </w:p>
          <w:p>
            <w:pPr>
              <w:pStyle w:val="TableParagraph"/>
              <w:spacing w:before="12"/>
              <w:rPr>
                <w:b/>
                <w:sz w:val="17"/>
              </w:rPr>
            </w:pPr>
          </w:p>
          <w:p>
            <w:pPr>
              <w:pStyle w:val="TableParagraph"/>
              <w:ind w:left="7"/>
              <w:rPr>
                <w:sz w:val="24"/>
              </w:rPr>
            </w:pPr>
            <w:r>
              <w:rPr>
                <w:sz w:val="21"/>
              </w:rPr>
              <w:t>酒库房</w:t>
            </w:r>
            <w:r>
              <w:rPr>
                <w:sz w:val="24"/>
              </w:rPr>
              <w:t> </w:t>
            </w:r>
          </w:p>
        </w:tc>
      </w:tr>
      <w:tr>
        <w:trPr>
          <w:trHeight w:val="997" w:hRule="atLeast"/>
        </w:trPr>
        <w:tc>
          <w:tcPr>
            <w:tcW w:w="1212" w:type="dxa"/>
            <w:vMerge/>
            <w:tcBorders>
              <w:top w:val="nil"/>
            </w:tcBorders>
          </w:tcPr>
          <w:p>
            <w:pPr>
              <w:rPr>
                <w:sz w:val="2"/>
                <w:szCs w:val="2"/>
              </w:rPr>
            </w:pPr>
          </w:p>
        </w:tc>
        <w:tc>
          <w:tcPr>
            <w:tcW w:w="4683" w:type="dxa"/>
          </w:tcPr>
          <w:p>
            <w:pPr>
              <w:pStyle w:val="TableParagraph"/>
              <w:spacing w:before="8"/>
              <w:rPr>
                <w:b/>
                <w:sz w:val="14"/>
              </w:rPr>
            </w:pPr>
          </w:p>
          <w:p>
            <w:pPr>
              <w:pStyle w:val="TableParagraph"/>
              <w:ind w:left="4"/>
              <w:rPr>
                <w:sz w:val="21"/>
              </w:rPr>
            </w:pPr>
            <w:r>
              <w:rPr>
                <w:sz w:val="21"/>
              </w:rPr>
              <w:t>11. 针织品厂房和纺织、印染、化纤生产的干燥部</w:t>
            </w:r>
          </w:p>
          <w:p>
            <w:pPr>
              <w:pStyle w:val="TableParagraph"/>
              <w:spacing w:before="12"/>
              <w:rPr>
                <w:b/>
                <w:sz w:val="17"/>
              </w:rPr>
            </w:pPr>
          </w:p>
          <w:p>
            <w:pPr>
              <w:pStyle w:val="TableParagraph"/>
              <w:ind w:left="4"/>
              <w:rPr>
                <w:sz w:val="24"/>
              </w:rPr>
            </w:pPr>
            <w:r>
              <w:rPr>
                <w:sz w:val="21"/>
              </w:rPr>
              <w:t>位</w:t>
            </w:r>
            <w:r>
              <w:rPr>
                <w:sz w:val="24"/>
              </w:rPr>
              <w:t> </w:t>
            </w:r>
          </w:p>
        </w:tc>
        <w:tc>
          <w:tcPr>
            <w:tcW w:w="2501" w:type="dxa"/>
          </w:tcPr>
          <w:p>
            <w:pPr>
              <w:pStyle w:val="TableParagraph"/>
              <w:spacing w:before="1"/>
              <w:rPr>
                <w:b/>
                <w:sz w:val="34"/>
              </w:rPr>
            </w:pPr>
          </w:p>
          <w:p>
            <w:pPr>
              <w:pStyle w:val="TableParagraph"/>
              <w:ind w:left="7"/>
              <w:rPr>
                <w:sz w:val="24"/>
              </w:rPr>
            </w:pPr>
            <w:r>
              <w:rPr>
                <w:sz w:val="21"/>
              </w:rPr>
              <w:t>11. 低温冷库</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9"/>
              <w:ind w:left="4"/>
              <w:rPr>
                <w:sz w:val="24"/>
              </w:rPr>
            </w:pPr>
            <w:r>
              <w:rPr>
                <w:sz w:val="21"/>
              </w:rPr>
              <w:t>12. 服装加工厂房、印染厂成品厂房</w:t>
            </w:r>
            <w:r>
              <w:rPr>
                <w:sz w:val="24"/>
              </w:rPr>
              <w:t> </w:t>
            </w:r>
          </w:p>
        </w:tc>
        <w:tc>
          <w:tcPr>
            <w:tcW w:w="2501" w:type="dxa"/>
          </w:tcPr>
          <w:p>
            <w:pPr>
              <w:pStyle w:val="TableParagraph"/>
              <w:spacing w:before="159"/>
              <w:ind w:left="7"/>
              <w:rPr>
                <w:sz w:val="24"/>
              </w:rPr>
            </w:pPr>
            <w:r>
              <w:rPr>
                <w:w w:val="100"/>
                <w:sz w:val="21"/>
              </w:rPr>
              <w:t> </w:t>
            </w:r>
            <w:r>
              <w:rPr>
                <w:sz w:val="21"/>
              </w:rPr>
              <w:t> </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13. 麻纺厂粗加工厂房、毛涤厂选毛厂房</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9"/>
              <w:ind w:left="4"/>
              <w:rPr>
                <w:sz w:val="24"/>
              </w:rPr>
            </w:pPr>
            <w:r>
              <w:rPr>
                <w:sz w:val="21"/>
              </w:rPr>
              <w:t>14. 谷物加工厂房</w:t>
            </w:r>
            <w:r>
              <w:rPr>
                <w:sz w:val="24"/>
              </w:rPr>
              <w:t> </w:t>
            </w:r>
          </w:p>
        </w:tc>
        <w:tc>
          <w:tcPr>
            <w:tcW w:w="2501" w:type="dxa"/>
          </w:tcPr>
          <w:p>
            <w:pPr>
              <w:pStyle w:val="TableParagraph"/>
              <w:spacing w:before="159"/>
              <w:ind w:left="7"/>
              <w:rPr>
                <w:sz w:val="24"/>
              </w:rPr>
            </w:pPr>
            <w:r>
              <w:rPr>
                <w:w w:val="100"/>
                <w:sz w:val="21"/>
              </w:rPr>
              <w:t> </w:t>
            </w:r>
            <w:r>
              <w:rPr>
                <w:sz w:val="21"/>
              </w:rPr>
              <w:t> </w:t>
            </w:r>
            <w:r>
              <w:rPr>
                <w:sz w:val="24"/>
              </w:rPr>
              <w:t> </w:t>
            </w:r>
          </w:p>
        </w:tc>
      </w:tr>
      <w:tr>
        <w:trPr>
          <w:trHeight w:val="499" w:hRule="atLeast"/>
        </w:trPr>
        <w:tc>
          <w:tcPr>
            <w:tcW w:w="1212" w:type="dxa"/>
            <w:vMerge/>
            <w:tcBorders>
              <w:top w:val="nil"/>
            </w:tcBorders>
          </w:tcPr>
          <w:p>
            <w:pPr>
              <w:rPr>
                <w:sz w:val="2"/>
                <w:szCs w:val="2"/>
              </w:rPr>
            </w:pPr>
          </w:p>
        </w:tc>
        <w:tc>
          <w:tcPr>
            <w:tcW w:w="4683" w:type="dxa"/>
          </w:tcPr>
          <w:p>
            <w:pPr>
              <w:pStyle w:val="TableParagraph"/>
              <w:spacing w:before="188"/>
              <w:ind w:left="4"/>
              <w:rPr>
                <w:sz w:val="24"/>
              </w:rPr>
            </w:pPr>
            <w:r>
              <w:rPr>
                <w:sz w:val="21"/>
              </w:rPr>
              <w:t>15. 卷烟厂的切丝、卷制、包装厂房</w:t>
            </w:r>
            <w:r>
              <w:rPr>
                <w:sz w:val="24"/>
              </w:rPr>
              <w:t> </w:t>
            </w:r>
          </w:p>
        </w:tc>
        <w:tc>
          <w:tcPr>
            <w:tcW w:w="2501" w:type="dxa"/>
          </w:tcPr>
          <w:p>
            <w:pPr>
              <w:pStyle w:val="TableParagraph"/>
              <w:spacing w:before="158"/>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90"/>
              <w:ind w:left="4"/>
              <w:rPr>
                <w:sz w:val="24"/>
              </w:rPr>
            </w:pPr>
            <w:r>
              <w:rPr>
                <w:sz w:val="21"/>
              </w:rPr>
              <w:t>16. 印刷厂的印刷厂房</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17. 电视机、收录机装配厂房</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90"/>
              <w:ind w:left="4"/>
              <w:rPr>
                <w:sz w:val="24"/>
              </w:rPr>
            </w:pPr>
            <w:r>
              <w:rPr>
                <w:sz w:val="21"/>
              </w:rPr>
              <w:t>18. 显像管厂装配工煅烧车间</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19. 磁带装配厂房</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90"/>
              <w:ind w:left="4"/>
              <w:rPr>
                <w:sz w:val="24"/>
              </w:rPr>
            </w:pPr>
            <w:r>
              <w:rPr>
                <w:sz w:val="21"/>
              </w:rPr>
              <w:t>20. 泡沫塑料厂的发泡、成型、印片、压花部位</w:t>
            </w:r>
            <w:r>
              <w:rPr>
                <w:sz w:val="24"/>
              </w:rPr>
              <w:t> </w:t>
            </w:r>
          </w:p>
        </w:tc>
        <w:tc>
          <w:tcPr>
            <w:tcW w:w="2501" w:type="dxa"/>
          </w:tcPr>
          <w:p>
            <w:pPr>
              <w:pStyle w:val="TableParagraph"/>
              <w:spacing w:before="160"/>
              <w:ind w:left="7"/>
              <w:rPr>
                <w:sz w:val="24"/>
              </w:rPr>
            </w:pPr>
            <w:r>
              <w:rPr>
                <w:w w:val="100"/>
                <w:sz w:val="21"/>
              </w:rPr>
              <w:t> </w:t>
            </w:r>
            <w:r>
              <w:rPr>
                <w:sz w:val="21"/>
              </w:rPr>
              <w:t> </w:t>
            </w:r>
            <w:r>
              <w:rPr>
                <w:sz w:val="24"/>
              </w:rPr>
              <w:t> </w:t>
            </w:r>
          </w:p>
        </w:tc>
      </w:tr>
      <w:tr>
        <w:trPr>
          <w:trHeight w:val="499" w:hRule="atLeast"/>
        </w:trPr>
        <w:tc>
          <w:tcPr>
            <w:tcW w:w="1212" w:type="dxa"/>
            <w:vMerge/>
            <w:tcBorders>
              <w:top w:val="nil"/>
            </w:tcBorders>
          </w:tcPr>
          <w:p>
            <w:pPr>
              <w:rPr>
                <w:sz w:val="2"/>
                <w:szCs w:val="2"/>
              </w:rPr>
            </w:pPr>
          </w:p>
        </w:tc>
        <w:tc>
          <w:tcPr>
            <w:tcW w:w="4683" w:type="dxa"/>
          </w:tcPr>
          <w:p>
            <w:pPr>
              <w:pStyle w:val="TableParagraph"/>
              <w:spacing w:before="188"/>
              <w:ind w:left="4"/>
              <w:rPr>
                <w:sz w:val="24"/>
              </w:rPr>
            </w:pPr>
            <w:r>
              <w:rPr>
                <w:sz w:val="21"/>
              </w:rPr>
              <w:t>21. 饲料加工厂房</w:t>
            </w:r>
            <w:r>
              <w:rPr>
                <w:sz w:val="24"/>
              </w:rPr>
              <w:t> </w:t>
            </w:r>
          </w:p>
        </w:tc>
        <w:tc>
          <w:tcPr>
            <w:tcW w:w="2501" w:type="dxa"/>
          </w:tcPr>
          <w:p>
            <w:pPr>
              <w:pStyle w:val="TableParagraph"/>
              <w:spacing w:before="158"/>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9"/>
              <w:ind w:left="4"/>
              <w:rPr>
                <w:sz w:val="24"/>
              </w:rPr>
            </w:pPr>
            <w:r>
              <w:rPr>
                <w:sz w:val="21"/>
              </w:rPr>
              <w:t>22. 地市级及以下的重点工程的施工现场</w:t>
            </w:r>
            <w:r>
              <w:rPr>
                <w:sz w:val="24"/>
              </w:rPr>
              <w:t> </w:t>
            </w:r>
          </w:p>
        </w:tc>
        <w:tc>
          <w:tcPr>
            <w:tcW w:w="2501" w:type="dxa"/>
          </w:tcPr>
          <w:p>
            <w:pPr>
              <w:pStyle w:val="TableParagraph"/>
              <w:spacing w:before="159"/>
              <w:ind w:left="7"/>
              <w:rPr>
                <w:sz w:val="24"/>
              </w:rPr>
            </w:pPr>
            <w:r>
              <w:rPr>
                <w:w w:val="100"/>
                <w:sz w:val="21"/>
              </w:rPr>
              <w:t> </w:t>
            </w:r>
            <w:r>
              <w:rPr>
                <w:sz w:val="21"/>
              </w:rPr>
              <w:t> </w:t>
            </w:r>
            <w:r>
              <w:rPr>
                <w:sz w:val="24"/>
              </w:rPr>
              <w:t> </w:t>
            </w:r>
          </w:p>
        </w:tc>
      </w:tr>
      <w:tr>
        <w:trPr>
          <w:trHeight w:val="1000" w:hRule="atLeast"/>
        </w:trPr>
        <w:tc>
          <w:tcPr>
            <w:tcW w:w="1212" w:type="dxa"/>
            <w:vMerge w:val="restart"/>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4"/>
              <w:rPr>
                <w:b/>
                <w:sz w:val="25"/>
              </w:rPr>
            </w:pPr>
          </w:p>
          <w:p>
            <w:pPr>
              <w:pStyle w:val="TableParagraph"/>
              <w:spacing w:line="446" w:lineRule="auto"/>
              <w:ind w:left="498" w:right="369"/>
              <w:jc w:val="both"/>
              <w:rPr>
                <w:sz w:val="24"/>
              </w:rPr>
            </w:pPr>
            <w:r>
              <w:rPr>
                <w:sz w:val="21"/>
              </w:rPr>
              <w:t>轻危险级</w:t>
            </w:r>
            <w:r>
              <w:rPr>
                <w:sz w:val="24"/>
              </w:rPr>
              <w:t> </w:t>
            </w:r>
          </w:p>
        </w:tc>
        <w:tc>
          <w:tcPr>
            <w:tcW w:w="4683" w:type="dxa"/>
          </w:tcPr>
          <w:p>
            <w:pPr>
              <w:pStyle w:val="TableParagraph"/>
              <w:spacing w:before="8"/>
              <w:rPr>
                <w:b/>
                <w:sz w:val="14"/>
              </w:rPr>
            </w:pPr>
          </w:p>
          <w:p>
            <w:pPr>
              <w:pStyle w:val="TableParagraph"/>
              <w:ind w:left="4"/>
              <w:rPr>
                <w:sz w:val="21"/>
              </w:rPr>
            </w:pPr>
            <w:r>
              <w:rPr>
                <w:sz w:val="21"/>
              </w:rPr>
              <w:t>1. 金属冶炼、铸造、铆焊、热轧、锻造、热处理</w:t>
            </w:r>
          </w:p>
          <w:p>
            <w:pPr>
              <w:pStyle w:val="TableParagraph"/>
              <w:spacing w:before="12"/>
              <w:rPr>
                <w:b/>
                <w:sz w:val="17"/>
              </w:rPr>
            </w:pPr>
          </w:p>
          <w:p>
            <w:pPr>
              <w:pStyle w:val="TableParagraph"/>
              <w:ind w:left="4"/>
              <w:rPr>
                <w:sz w:val="24"/>
              </w:rPr>
            </w:pPr>
            <w:r>
              <w:rPr>
                <w:sz w:val="21"/>
              </w:rPr>
              <w:t>厂房</w:t>
            </w:r>
            <w:r>
              <w:rPr>
                <w:sz w:val="24"/>
              </w:rPr>
              <w:t> </w:t>
            </w:r>
          </w:p>
        </w:tc>
        <w:tc>
          <w:tcPr>
            <w:tcW w:w="2501" w:type="dxa"/>
          </w:tcPr>
          <w:p>
            <w:pPr>
              <w:pStyle w:val="TableParagraph"/>
              <w:spacing w:before="1"/>
              <w:rPr>
                <w:b/>
                <w:sz w:val="34"/>
              </w:rPr>
            </w:pPr>
          </w:p>
          <w:p>
            <w:pPr>
              <w:pStyle w:val="TableParagraph"/>
              <w:ind w:left="7"/>
              <w:rPr>
                <w:sz w:val="24"/>
              </w:rPr>
            </w:pPr>
            <w:r>
              <w:rPr>
                <w:sz w:val="21"/>
              </w:rPr>
              <w:t>1. 钢材库房、堆场</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2. 玻璃原料熔化厂房</w:t>
            </w:r>
            <w:r>
              <w:rPr>
                <w:sz w:val="24"/>
              </w:rPr>
              <w:t> </w:t>
            </w:r>
          </w:p>
        </w:tc>
        <w:tc>
          <w:tcPr>
            <w:tcW w:w="2501" w:type="dxa"/>
          </w:tcPr>
          <w:p>
            <w:pPr>
              <w:pStyle w:val="TableParagraph"/>
              <w:spacing w:before="187"/>
              <w:ind w:left="7"/>
              <w:rPr>
                <w:sz w:val="24"/>
              </w:rPr>
            </w:pPr>
            <w:r>
              <w:rPr>
                <w:sz w:val="21"/>
              </w:rPr>
              <w:t>2. 水泥库房、堆场</w:t>
            </w:r>
            <w:r>
              <w:rPr>
                <w:sz w:val="24"/>
              </w:rPr>
              <w:t> </w:t>
            </w:r>
          </w:p>
        </w:tc>
      </w:tr>
      <w:tr>
        <w:trPr>
          <w:trHeight w:val="1001" w:hRule="atLeast"/>
        </w:trPr>
        <w:tc>
          <w:tcPr>
            <w:tcW w:w="1212" w:type="dxa"/>
            <w:vMerge/>
            <w:tcBorders>
              <w:top w:val="nil"/>
            </w:tcBorders>
          </w:tcPr>
          <w:p>
            <w:pPr>
              <w:rPr>
                <w:sz w:val="2"/>
                <w:szCs w:val="2"/>
              </w:rPr>
            </w:pPr>
          </w:p>
        </w:tc>
        <w:tc>
          <w:tcPr>
            <w:tcW w:w="4683" w:type="dxa"/>
          </w:tcPr>
          <w:p>
            <w:pPr>
              <w:pStyle w:val="TableParagraph"/>
              <w:spacing w:before="4"/>
              <w:rPr>
                <w:b/>
                <w:sz w:val="34"/>
              </w:rPr>
            </w:pPr>
          </w:p>
          <w:p>
            <w:pPr>
              <w:pStyle w:val="TableParagraph"/>
              <w:ind w:left="4"/>
              <w:rPr>
                <w:sz w:val="24"/>
              </w:rPr>
            </w:pPr>
            <w:r>
              <w:rPr>
                <w:sz w:val="21"/>
              </w:rPr>
              <w:t>3. 陶瓷制品的烘干、烧成厂房</w:t>
            </w:r>
            <w:r>
              <w:rPr>
                <w:sz w:val="24"/>
              </w:rPr>
              <w:t> </w:t>
            </w:r>
          </w:p>
        </w:tc>
        <w:tc>
          <w:tcPr>
            <w:tcW w:w="2501" w:type="dxa"/>
          </w:tcPr>
          <w:p>
            <w:pPr>
              <w:pStyle w:val="TableParagraph"/>
              <w:spacing w:before="8"/>
              <w:rPr>
                <w:b/>
                <w:sz w:val="14"/>
              </w:rPr>
            </w:pPr>
          </w:p>
          <w:p>
            <w:pPr>
              <w:pStyle w:val="TableParagraph"/>
              <w:ind w:left="7"/>
              <w:rPr>
                <w:sz w:val="21"/>
              </w:rPr>
            </w:pPr>
            <w:r>
              <w:rPr>
                <w:sz w:val="21"/>
              </w:rPr>
              <w:t>3. 搪瓷、陶瓷制品库房、</w:t>
            </w:r>
          </w:p>
          <w:p>
            <w:pPr>
              <w:pStyle w:val="TableParagraph"/>
              <w:spacing w:before="2"/>
              <w:rPr>
                <w:b/>
                <w:sz w:val="18"/>
              </w:rPr>
            </w:pPr>
          </w:p>
          <w:p>
            <w:pPr>
              <w:pStyle w:val="TableParagraph"/>
              <w:ind w:left="7"/>
              <w:rPr>
                <w:sz w:val="24"/>
              </w:rPr>
            </w:pPr>
            <w:r>
              <w:rPr>
                <w:sz w:val="21"/>
              </w:rPr>
              <w:t>堆场</w:t>
            </w:r>
            <w:r>
              <w:rPr>
                <w:sz w:val="24"/>
              </w:rPr>
              <w:t> </w:t>
            </w:r>
          </w:p>
        </w:tc>
      </w:tr>
      <w:tr>
        <w:trPr>
          <w:trHeight w:val="1000" w:hRule="atLeast"/>
        </w:trPr>
        <w:tc>
          <w:tcPr>
            <w:tcW w:w="1212" w:type="dxa"/>
            <w:vMerge/>
            <w:tcBorders>
              <w:top w:val="nil"/>
            </w:tcBorders>
          </w:tcPr>
          <w:p>
            <w:pPr>
              <w:rPr>
                <w:sz w:val="2"/>
                <w:szCs w:val="2"/>
              </w:rPr>
            </w:pPr>
          </w:p>
        </w:tc>
        <w:tc>
          <w:tcPr>
            <w:tcW w:w="4683" w:type="dxa"/>
          </w:tcPr>
          <w:p>
            <w:pPr>
              <w:pStyle w:val="TableParagraph"/>
              <w:spacing w:before="1"/>
              <w:rPr>
                <w:b/>
                <w:sz w:val="34"/>
              </w:rPr>
            </w:pPr>
          </w:p>
          <w:p>
            <w:pPr>
              <w:pStyle w:val="TableParagraph"/>
              <w:ind w:left="4"/>
              <w:rPr>
                <w:sz w:val="24"/>
              </w:rPr>
            </w:pPr>
            <w:r>
              <w:rPr>
                <w:sz w:val="21"/>
              </w:rPr>
              <w:t>4. 酚醛泡沫塑料的加工厂房</w:t>
            </w:r>
            <w:r>
              <w:rPr>
                <w:sz w:val="24"/>
              </w:rPr>
              <w:t> </w:t>
            </w:r>
          </w:p>
        </w:tc>
        <w:tc>
          <w:tcPr>
            <w:tcW w:w="2501" w:type="dxa"/>
          </w:tcPr>
          <w:p>
            <w:pPr>
              <w:pStyle w:val="TableParagraph"/>
              <w:spacing w:before="8"/>
              <w:rPr>
                <w:b/>
                <w:sz w:val="14"/>
              </w:rPr>
            </w:pPr>
          </w:p>
          <w:p>
            <w:pPr>
              <w:pStyle w:val="TableParagraph"/>
              <w:ind w:left="7"/>
              <w:rPr>
                <w:sz w:val="21"/>
              </w:rPr>
            </w:pPr>
            <w:r>
              <w:rPr>
                <w:sz w:val="21"/>
              </w:rPr>
              <w:t>4. 难燃烧或非燃烧的建筑</w:t>
            </w:r>
          </w:p>
          <w:p>
            <w:pPr>
              <w:pStyle w:val="TableParagraph"/>
              <w:spacing w:before="1"/>
              <w:rPr>
                <w:b/>
                <w:sz w:val="18"/>
              </w:rPr>
            </w:pPr>
          </w:p>
          <w:p>
            <w:pPr>
              <w:pStyle w:val="TableParagraph"/>
              <w:spacing w:before="1"/>
              <w:ind w:left="7"/>
              <w:rPr>
                <w:sz w:val="24"/>
              </w:rPr>
            </w:pPr>
            <w:r>
              <w:rPr>
                <w:sz w:val="21"/>
              </w:rPr>
              <w:t>装饰材料库房、堆场</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5. 印染厂的漂炼部位</w:t>
            </w:r>
            <w:r>
              <w:rPr>
                <w:sz w:val="24"/>
              </w:rPr>
              <w:t> </w:t>
            </w:r>
          </w:p>
        </w:tc>
        <w:tc>
          <w:tcPr>
            <w:tcW w:w="2501" w:type="dxa"/>
          </w:tcPr>
          <w:p>
            <w:pPr>
              <w:pStyle w:val="TableParagraph"/>
              <w:spacing w:before="187"/>
              <w:ind w:left="7"/>
              <w:rPr>
                <w:sz w:val="24"/>
              </w:rPr>
            </w:pPr>
            <w:r>
              <w:rPr>
                <w:sz w:val="21"/>
              </w:rPr>
              <w:t>5. 原木库房、堆场</w:t>
            </w:r>
            <w:r>
              <w:rPr>
                <w:sz w:val="24"/>
              </w:rPr>
              <w:t> </w:t>
            </w:r>
          </w:p>
        </w:tc>
      </w:tr>
      <w:tr>
        <w:trPr>
          <w:trHeight w:val="1000" w:hRule="atLeast"/>
        </w:trPr>
        <w:tc>
          <w:tcPr>
            <w:tcW w:w="1212" w:type="dxa"/>
            <w:vMerge/>
            <w:tcBorders>
              <w:top w:val="nil"/>
            </w:tcBorders>
          </w:tcPr>
          <w:p>
            <w:pPr>
              <w:rPr>
                <w:sz w:val="2"/>
                <w:szCs w:val="2"/>
              </w:rPr>
            </w:pPr>
          </w:p>
        </w:tc>
        <w:tc>
          <w:tcPr>
            <w:tcW w:w="4683" w:type="dxa"/>
          </w:tcPr>
          <w:p>
            <w:pPr>
              <w:pStyle w:val="TableParagraph"/>
              <w:spacing w:before="3"/>
              <w:rPr>
                <w:b/>
                <w:sz w:val="34"/>
              </w:rPr>
            </w:pPr>
          </w:p>
          <w:p>
            <w:pPr>
              <w:pStyle w:val="TableParagraph"/>
              <w:ind w:left="4"/>
              <w:rPr>
                <w:sz w:val="24"/>
              </w:rPr>
            </w:pPr>
            <w:r>
              <w:rPr>
                <w:sz w:val="21"/>
              </w:rPr>
              <w:t>6. 化纤厂后加工润湿部位</w:t>
            </w:r>
            <w:r>
              <w:rPr>
                <w:sz w:val="24"/>
              </w:rPr>
              <w:t> </w:t>
            </w:r>
          </w:p>
        </w:tc>
        <w:tc>
          <w:tcPr>
            <w:tcW w:w="2501" w:type="dxa"/>
          </w:tcPr>
          <w:p>
            <w:pPr>
              <w:pStyle w:val="TableParagraph"/>
              <w:spacing w:line="500" w:lineRule="exact"/>
              <w:ind w:left="7" w:right="64"/>
              <w:rPr>
                <w:sz w:val="24"/>
              </w:rPr>
            </w:pPr>
            <w:r>
              <w:rPr>
                <w:sz w:val="21"/>
              </w:rPr>
              <w:t>6. 丁、戊类液体储罐区、桶装库房、堆场</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7. 造纸厂或化纤厂的浆粕蒸煮工段</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498"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8. 仪表、器械或车辆装配车间</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9. 不燃液体的泵房和阀门室</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bl>
    <w:p>
      <w:pPr>
        <w:spacing w:after="0"/>
        <w:rPr>
          <w:sz w:val="24"/>
        </w:rPr>
        <w:sectPr>
          <w:pgSz w:w="11910" w:h="16850"/>
          <w:pgMar w:header="0" w:footer="1159" w:top="1080" w:bottom="1340" w:left="1260" w:right="0"/>
        </w:sectPr>
      </w:pP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2"/>
        <w:gridCol w:w="4683"/>
        <w:gridCol w:w="2501"/>
      </w:tblGrid>
      <w:tr>
        <w:trPr>
          <w:trHeight w:val="499" w:hRule="atLeast"/>
        </w:trPr>
        <w:tc>
          <w:tcPr>
            <w:tcW w:w="1212" w:type="dxa"/>
            <w:vMerge w:val="restart"/>
          </w:tcPr>
          <w:p>
            <w:pPr>
              <w:pStyle w:val="TableParagraph"/>
              <w:rPr>
                <w:rFonts w:ascii="Times New Roman"/>
                <w:sz w:val="20"/>
              </w:rPr>
            </w:pPr>
          </w:p>
        </w:tc>
        <w:tc>
          <w:tcPr>
            <w:tcW w:w="4683" w:type="dxa"/>
          </w:tcPr>
          <w:p>
            <w:pPr>
              <w:pStyle w:val="TableParagraph"/>
              <w:spacing w:before="187"/>
              <w:ind w:left="4"/>
              <w:rPr>
                <w:sz w:val="24"/>
              </w:rPr>
            </w:pPr>
            <w:r>
              <w:rPr>
                <w:sz w:val="21"/>
              </w:rPr>
              <w:t>10. 金属（镁合金除外）冷加工车间</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r>
        <w:trPr>
          <w:trHeight w:val="501" w:hRule="atLeast"/>
        </w:trPr>
        <w:tc>
          <w:tcPr>
            <w:tcW w:w="1212" w:type="dxa"/>
            <w:vMerge/>
            <w:tcBorders>
              <w:top w:val="nil"/>
            </w:tcBorders>
          </w:tcPr>
          <w:p>
            <w:pPr>
              <w:rPr>
                <w:sz w:val="2"/>
                <w:szCs w:val="2"/>
              </w:rPr>
            </w:pPr>
          </w:p>
        </w:tc>
        <w:tc>
          <w:tcPr>
            <w:tcW w:w="4683" w:type="dxa"/>
          </w:tcPr>
          <w:p>
            <w:pPr>
              <w:pStyle w:val="TableParagraph"/>
              <w:spacing w:before="187"/>
              <w:ind w:left="4"/>
              <w:rPr>
                <w:sz w:val="24"/>
              </w:rPr>
            </w:pPr>
            <w:r>
              <w:rPr>
                <w:sz w:val="21"/>
              </w:rPr>
              <w:t>11. 氟里昂厂房</w:t>
            </w:r>
            <w:r>
              <w:rPr>
                <w:sz w:val="24"/>
              </w:rPr>
              <w:t> </w:t>
            </w:r>
          </w:p>
        </w:tc>
        <w:tc>
          <w:tcPr>
            <w:tcW w:w="2501" w:type="dxa"/>
          </w:tcPr>
          <w:p>
            <w:pPr>
              <w:pStyle w:val="TableParagraph"/>
              <w:spacing w:before="157"/>
              <w:ind w:left="7"/>
              <w:rPr>
                <w:sz w:val="24"/>
              </w:rPr>
            </w:pPr>
            <w:r>
              <w:rPr>
                <w:w w:val="100"/>
                <w:sz w:val="21"/>
              </w:rPr>
              <w:t> </w:t>
            </w:r>
            <w:r>
              <w:rPr>
                <w:sz w:val="21"/>
              </w:rPr>
              <w:t> </w:t>
            </w:r>
            <w:r>
              <w:rPr>
                <w:sz w:val="24"/>
              </w:rPr>
              <w:t> </w:t>
            </w:r>
          </w:p>
        </w:tc>
      </w:tr>
    </w:tbl>
    <w:p>
      <w:pPr>
        <w:pStyle w:val="BodyText"/>
        <w:spacing w:before="4"/>
        <w:rPr>
          <w:b/>
          <w:sz w:val="27"/>
        </w:rPr>
      </w:pPr>
    </w:p>
    <w:p>
      <w:pPr>
        <w:spacing w:before="67"/>
        <w:ind w:left="0" w:right="898" w:firstLine="0"/>
        <w:jc w:val="center"/>
        <w:rPr>
          <w:b/>
          <w:sz w:val="24"/>
        </w:rPr>
      </w:pPr>
      <w:r>
        <w:rPr>
          <w:b/>
          <w:sz w:val="24"/>
        </w:rPr>
        <w:t>附录 D 民用建筑灭火器配置场所的危险等级举例</w:t>
      </w:r>
      <w:r>
        <w:rPr>
          <w:b/>
          <w:w w:val="99"/>
          <w:sz w:val="24"/>
        </w:rPr>
        <w:t> </w:t>
      </w:r>
    </w:p>
    <w:p>
      <w:pPr>
        <w:pStyle w:val="BodyText"/>
        <w:rPr>
          <w:b/>
          <w:sz w:val="24"/>
        </w:rPr>
      </w:pPr>
    </w:p>
    <w:p>
      <w:pPr>
        <w:spacing w:before="175" w:after="40"/>
        <w:ind w:left="0" w:right="930" w:firstLine="0"/>
        <w:jc w:val="center"/>
        <w:rPr>
          <w:sz w:val="18"/>
        </w:rPr>
      </w:pPr>
      <w:r>
        <w:rPr>
          <w:b/>
          <w:sz w:val="21"/>
        </w:rPr>
        <w:t>表 D 民用建筑灭火器配置场所的危险等级举例</w:t>
      </w:r>
      <w:r>
        <w:rPr>
          <w:sz w:val="18"/>
        </w:rPr>
        <w:t> </w:t>
      </w: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6"/>
        <w:gridCol w:w="7101"/>
      </w:tblGrid>
      <w:tr>
        <w:trPr>
          <w:trHeight w:val="501" w:hRule="atLeast"/>
        </w:trPr>
        <w:tc>
          <w:tcPr>
            <w:tcW w:w="1296" w:type="dxa"/>
          </w:tcPr>
          <w:p>
            <w:pPr>
              <w:pStyle w:val="TableParagraph"/>
              <w:spacing w:before="190"/>
              <w:ind w:left="227"/>
              <w:rPr>
                <w:sz w:val="24"/>
              </w:rPr>
            </w:pPr>
            <w:r>
              <w:rPr>
                <w:sz w:val="21"/>
              </w:rPr>
              <w:t>危险等级</w:t>
            </w:r>
            <w:r>
              <w:rPr>
                <w:sz w:val="24"/>
              </w:rPr>
              <w:t> </w:t>
            </w:r>
          </w:p>
        </w:tc>
        <w:tc>
          <w:tcPr>
            <w:tcW w:w="7101" w:type="dxa"/>
          </w:tcPr>
          <w:p>
            <w:pPr>
              <w:pStyle w:val="TableParagraph"/>
              <w:spacing w:before="190"/>
              <w:ind w:left="3170" w:right="3041"/>
              <w:jc w:val="center"/>
              <w:rPr>
                <w:sz w:val="24"/>
              </w:rPr>
            </w:pPr>
            <w:r>
              <w:rPr>
                <w:sz w:val="21"/>
              </w:rPr>
              <w:t>举    例</w:t>
            </w:r>
            <w:r>
              <w:rPr>
                <w:sz w:val="24"/>
              </w:rPr>
              <w:t> </w:t>
            </w:r>
          </w:p>
        </w:tc>
      </w:tr>
      <w:tr>
        <w:trPr>
          <w:trHeight w:val="499" w:hRule="atLeast"/>
        </w:trPr>
        <w:tc>
          <w:tcPr>
            <w:tcW w:w="1296"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7"/>
              <w:rPr>
                <w:sz w:val="17"/>
              </w:rPr>
            </w:pPr>
          </w:p>
          <w:p>
            <w:pPr>
              <w:pStyle w:val="TableParagraph"/>
              <w:spacing w:line="446" w:lineRule="auto" w:before="1"/>
              <w:ind w:left="542" w:right="410"/>
              <w:jc w:val="both"/>
              <w:rPr>
                <w:sz w:val="24"/>
              </w:rPr>
            </w:pPr>
            <w:r>
              <w:rPr>
                <w:sz w:val="21"/>
              </w:rPr>
              <w:t>严重危险级</w:t>
            </w:r>
            <w:r>
              <w:rPr>
                <w:sz w:val="24"/>
              </w:rPr>
              <w:t> </w:t>
            </w:r>
          </w:p>
        </w:tc>
        <w:tc>
          <w:tcPr>
            <w:tcW w:w="7101" w:type="dxa"/>
          </w:tcPr>
          <w:p>
            <w:pPr>
              <w:pStyle w:val="TableParagraph"/>
              <w:spacing w:before="190"/>
              <w:ind w:left="4"/>
              <w:rPr>
                <w:sz w:val="24"/>
              </w:rPr>
            </w:pPr>
            <w:r>
              <w:rPr>
                <w:sz w:val="21"/>
              </w:rPr>
              <w:t>1. 县级及以上的文物保护单位、档案馆、博物馆的库房、展览室、阅览室</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2. 设备贵重或可燃物多的实验室</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3. 广播电台、电视台的演播室、道具间和发射塔楼</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4. 专用电子计算机房</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5. 城镇及以上的邮政信函和包裹分检房、邮袋库、通信枢纽及其电信机房</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6. 客房数在 50 间以上的旅馆、饭店的公共活动用房、多功能厅、厨房</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7. 体育场（馆）、电影院、剧院、会堂、礼堂的舞台及后台部位</w:t>
            </w:r>
            <w:r>
              <w:rPr>
                <w:sz w:val="24"/>
              </w:rPr>
              <w:t> </w:t>
            </w:r>
          </w:p>
        </w:tc>
      </w:tr>
      <w:tr>
        <w:trPr>
          <w:trHeight w:val="1000" w:hRule="atLeast"/>
        </w:trPr>
        <w:tc>
          <w:tcPr>
            <w:tcW w:w="1296" w:type="dxa"/>
            <w:vMerge/>
            <w:tcBorders>
              <w:top w:val="nil"/>
            </w:tcBorders>
          </w:tcPr>
          <w:p>
            <w:pPr>
              <w:rPr>
                <w:sz w:val="2"/>
                <w:szCs w:val="2"/>
              </w:rPr>
            </w:pPr>
          </w:p>
        </w:tc>
        <w:tc>
          <w:tcPr>
            <w:tcW w:w="7101" w:type="dxa"/>
          </w:tcPr>
          <w:p>
            <w:pPr>
              <w:pStyle w:val="TableParagraph"/>
              <w:spacing w:before="11"/>
              <w:rPr>
                <w:sz w:val="14"/>
              </w:rPr>
            </w:pPr>
          </w:p>
          <w:p>
            <w:pPr>
              <w:pStyle w:val="TableParagraph"/>
              <w:ind w:left="4"/>
              <w:rPr>
                <w:sz w:val="21"/>
              </w:rPr>
            </w:pPr>
            <w:r>
              <w:rPr>
                <w:sz w:val="21"/>
              </w:rPr>
              <w:t>8. 住院床位在 50 张及以上的医院的手术室、理疗室、透视室、心电图室、</w:t>
            </w:r>
          </w:p>
          <w:p>
            <w:pPr>
              <w:pStyle w:val="TableParagraph"/>
              <w:spacing w:before="2"/>
              <w:rPr>
                <w:sz w:val="18"/>
              </w:rPr>
            </w:pPr>
          </w:p>
          <w:p>
            <w:pPr>
              <w:pStyle w:val="TableParagraph"/>
              <w:ind w:left="4"/>
              <w:rPr>
                <w:sz w:val="24"/>
              </w:rPr>
            </w:pPr>
            <w:r>
              <w:rPr>
                <w:sz w:val="21"/>
              </w:rPr>
              <w:t>药房、住院部、门诊部、病历室</w:t>
            </w:r>
            <w:r>
              <w:rPr>
                <w:sz w:val="24"/>
              </w:rPr>
              <w:t> </w:t>
            </w:r>
          </w:p>
        </w:tc>
      </w:tr>
      <w:tr>
        <w:trPr>
          <w:trHeight w:val="1000" w:hRule="atLeast"/>
        </w:trPr>
        <w:tc>
          <w:tcPr>
            <w:tcW w:w="1296" w:type="dxa"/>
            <w:vMerge/>
            <w:tcBorders>
              <w:top w:val="nil"/>
            </w:tcBorders>
          </w:tcPr>
          <w:p>
            <w:pPr>
              <w:rPr>
                <w:sz w:val="2"/>
                <w:szCs w:val="2"/>
              </w:rPr>
            </w:pPr>
          </w:p>
        </w:tc>
        <w:tc>
          <w:tcPr>
            <w:tcW w:w="7101" w:type="dxa"/>
          </w:tcPr>
          <w:p>
            <w:pPr>
              <w:pStyle w:val="TableParagraph"/>
              <w:spacing w:before="11"/>
              <w:rPr>
                <w:sz w:val="14"/>
              </w:rPr>
            </w:pPr>
          </w:p>
          <w:p>
            <w:pPr>
              <w:pStyle w:val="TableParagraph"/>
              <w:ind w:left="4"/>
              <w:rPr>
                <w:sz w:val="21"/>
              </w:rPr>
            </w:pPr>
            <w:r>
              <w:rPr>
                <w:sz w:val="21"/>
              </w:rPr>
              <w:t>9. 建筑面积在 2000 ㎡及以上的图书馆、展览馆的珍藏室、阅览室、书库、</w:t>
            </w:r>
          </w:p>
          <w:p>
            <w:pPr>
              <w:pStyle w:val="TableParagraph"/>
              <w:spacing w:before="2"/>
              <w:rPr>
                <w:sz w:val="18"/>
              </w:rPr>
            </w:pPr>
          </w:p>
          <w:p>
            <w:pPr>
              <w:pStyle w:val="TableParagraph"/>
              <w:ind w:left="4"/>
              <w:rPr>
                <w:sz w:val="24"/>
              </w:rPr>
            </w:pPr>
            <w:r>
              <w:rPr>
                <w:sz w:val="21"/>
              </w:rPr>
              <w:t>展览厅</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10. 民用机场的候机厅、安检厅及空管中心、雷达机房</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93"/>
              <w:ind w:left="4"/>
              <w:rPr>
                <w:sz w:val="24"/>
              </w:rPr>
            </w:pPr>
            <w:r>
              <w:rPr>
                <w:sz w:val="21"/>
              </w:rPr>
              <w:t>11. 超高层建筑和一类高层建筑的写字楼、公寓楼</w:t>
            </w:r>
            <w:r>
              <w:rPr>
                <w:sz w:val="24"/>
              </w:rPr>
              <w:t> </w:t>
            </w:r>
          </w:p>
        </w:tc>
      </w:tr>
      <w:tr>
        <w:trPr>
          <w:trHeight w:val="499" w:hRule="atLeast"/>
        </w:trPr>
        <w:tc>
          <w:tcPr>
            <w:tcW w:w="1296" w:type="dxa"/>
            <w:vMerge/>
            <w:tcBorders>
              <w:top w:val="nil"/>
            </w:tcBorders>
          </w:tcPr>
          <w:p>
            <w:pPr>
              <w:rPr>
                <w:sz w:val="2"/>
                <w:szCs w:val="2"/>
              </w:rPr>
            </w:pPr>
          </w:p>
        </w:tc>
        <w:tc>
          <w:tcPr>
            <w:tcW w:w="7101" w:type="dxa"/>
          </w:tcPr>
          <w:p>
            <w:pPr>
              <w:pStyle w:val="TableParagraph"/>
              <w:spacing w:before="191"/>
              <w:ind w:left="4"/>
              <w:rPr>
                <w:sz w:val="24"/>
              </w:rPr>
            </w:pPr>
            <w:r>
              <w:rPr>
                <w:sz w:val="21"/>
              </w:rPr>
              <w:t>12. 电影、电视摄影棚</w:t>
            </w:r>
            <w:r>
              <w:rPr>
                <w:sz w:val="24"/>
              </w:rPr>
              <w:t> </w:t>
            </w:r>
          </w:p>
        </w:tc>
      </w:tr>
      <w:tr>
        <w:trPr>
          <w:trHeight w:val="1000" w:hRule="atLeast"/>
        </w:trPr>
        <w:tc>
          <w:tcPr>
            <w:tcW w:w="1296" w:type="dxa"/>
            <w:vMerge/>
            <w:tcBorders>
              <w:top w:val="nil"/>
            </w:tcBorders>
          </w:tcPr>
          <w:p>
            <w:pPr>
              <w:rPr>
                <w:sz w:val="2"/>
                <w:szCs w:val="2"/>
              </w:rPr>
            </w:pPr>
          </w:p>
        </w:tc>
        <w:tc>
          <w:tcPr>
            <w:tcW w:w="7101" w:type="dxa"/>
          </w:tcPr>
          <w:p>
            <w:pPr>
              <w:pStyle w:val="TableParagraph"/>
              <w:spacing w:line="500" w:lineRule="exact" w:before="3"/>
              <w:ind w:left="4" w:right="43"/>
              <w:rPr>
                <w:sz w:val="24"/>
              </w:rPr>
            </w:pPr>
            <w:r>
              <w:rPr>
                <w:sz w:val="21"/>
              </w:rPr>
              <w:t>13.</w:t>
            </w:r>
            <w:r>
              <w:rPr>
                <w:spacing w:val="-7"/>
                <w:sz w:val="21"/>
              </w:rPr>
              <w:t> 建筑面积在 </w:t>
            </w:r>
            <w:r>
              <w:rPr>
                <w:sz w:val="21"/>
              </w:rPr>
              <w:t>1000</w:t>
            </w:r>
            <w:r>
              <w:rPr>
                <w:spacing w:val="-8"/>
                <w:sz w:val="21"/>
              </w:rPr>
              <w:t> ㎡及以上的经营易燃易爆化学物品的商场、商店的库房</w:t>
            </w:r>
            <w:r>
              <w:rPr>
                <w:spacing w:val="-7"/>
                <w:sz w:val="21"/>
              </w:rPr>
              <w:t>及铺面</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88"/>
              <w:ind w:left="4"/>
              <w:rPr>
                <w:sz w:val="24"/>
              </w:rPr>
            </w:pPr>
            <w:r>
              <w:rPr>
                <w:sz w:val="21"/>
              </w:rPr>
              <w:t>14. 建筑面积在 200 ㎡及以上的公共娱乐场所</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15. 老人住宿床位在 50 张及以上的养老院</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16. 幼儿住宿床位在 50 张及以上的托儿所、幼儿园</w:t>
            </w:r>
            <w:r>
              <w:rPr>
                <w:sz w:val="24"/>
              </w:rPr>
              <w:t> </w:t>
            </w:r>
          </w:p>
        </w:tc>
      </w:tr>
      <w:tr>
        <w:trPr>
          <w:trHeight w:val="499" w:hRule="atLeast"/>
        </w:trPr>
        <w:tc>
          <w:tcPr>
            <w:tcW w:w="1296" w:type="dxa"/>
            <w:vMerge/>
            <w:tcBorders>
              <w:top w:val="nil"/>
            </w:tcBorders>
          </w:tcPr>
          <w:p>
            <w:pPr>
              <w:rPr>
                <w:sz w:val="2"/>
                <w:szCs w:val="2"/>
              </w:rPr>
            </w:pPr>
          </w:p>
        </w:tc>
        <w:tc>
          <w:tcPr>
            <w:tcW w:w="7101" w:type="dxa"/>
          </w:tcPr>
          <w:p>
            <w:pPr>
              <w:pStyle w:val="TableParagraph"/>
              <w:spacing w:before="191"/>
              <w:ind w:left="4"/>
              <w:rPr>
                <w:sz w:val="24"/>
              </w:rPr>
            </w:pPr>
            <w:r>
              <w:rPr>
                <w:sz w:val="21"/>
              </w:rPr>
              <w:t>17. 学生住宿床位在 100 张及以上的学校集体宿舍</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18. 县级及以上的党政机关办公大楼的会议室</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90"/>
              <w:ind w:left="4"/>
              <w:rPr>
                <w:sz w:val="24"/>
              </w:rPr>
            </w:pPr>
            <w:r>
              <w:rPr>
                <w:sz w:val="21"/>
              </w:rPr>
              <w:t>19. 建筑面积在 500 ㎡及以上的车站和码头的候车（船）室、行李房</w:t>
            </w:r>
            <w:r>
              <w:rPr>
                <w:sz w:val="24"/>
              </w:rPr>
              <w:t> </w:t>
            </w:r>
          </w:p>
        </w:tc>
      </w:tr>
    </w:tbl>
    <w:p>
      <w:pPr>
        <w:spacing w:after="0"/>
        <w:rPr>
          <w:sz w:val="24"/>
        </w:rPr>
        <w:sectPr>
          <w:pgSz w:w="11910" w:h="16850"/>
          <w:pgMar w:header="0" w:footer="1159" w:top="1080" w:bottom="1340" w:left="1260" w:right="0"/>
        </w:sectPr>
      </w:pP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6"/>
        <w:gridCol w:w="7101"/>
      </w:tblGrid>
      <w:tr>
        <w:trPr>
          <w:trHeight w:val="499" w:hRule="atLeast"/>
        </w:trPr>
        <w:tc>
          <w:tcPr>
            <w:tcW w:w="1296" w:type="dxa"/>
            <w:vMerge w:val="restart"/>
          </w:tcPr>
          <w:p>
            <w:pPr>
              <w:pStyle w:val="TableParagraph"/>
              <w:rPr>
                <w:rFonts w:ascii="Times New Roman"/>
                <w:sz w:val="20"/>
              </w:rPr>
            </w:pPr>
          </w:p>
        </w:tc>
        <w:tc>
          <w:tcPr>
            <w:tcW w:w="7101" w:type="dxa"/>
          </w:tcPr>
          <w:p>
            <w:pPr>
              <w:pStyle w:val="TableParagraph"/>
              <w:spacing w:before="187"/>
              <w:ind w:left="4"/>
              <w:rPr>
                <w:sz w:val="24"/>
              </w:rPr>
            </w:pPr>
            <w:r>
              <w:rPr>
                <w:sz w:val="21"/>
              </w:rPr>
              <w:t>20. 城市地下铁道、地下观光隧道</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87"/>
              <w:ind w:left="4"/>
              <w:rPr>
                <w:sz w:val="24"/>
              </w:rPr>
            </w:pPr>
            <w:r>
              <w:rPr>
                <w:sz w:val="21"/>
              </w:rPr>
              <w:t>21. 汽车加油站、加气站</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87"/>
              <w:ind w:left="4"/>
              <w:rPr>
                <w:sz w:val="24"/>
              </w:rPr>
            </w:pPr>
            <w:r>
              <w:rPr>
                <w:sz w:val="21"/>
              </w:rPr>
              <w:t>22. 机动车交易市场（包括旧机动车交易市场）及其展销厅</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87"/>
              <w:ind w:left="4"/>
              <w:rPr>
                <w:sz w:val="24"/>
              </w:rPr>
            </w:pPr>
            <w:r>
              <w:rPr>
                <w:sz w:val="21"/>
              </w:rPr>
              <w:t>23. 民用液化气、天然气灌装站、换瓶站、调压站</w:t>
            </w:r>
            <w:r>
              <w:rPr>
                <w:sz w:val="24"/>
              </w:rPr>
              <w:t> </w:t>
            </w:r>
          </w:p>
        </w:tc>
      </w:tr>
      <w:tr>
        <w:trPr>
          <w:trHeight w:val="498" w:hRule="atLeast"/>
        </w:trPr>
        <w:tc>
          <w:tcPr>
            <w:tcW w:w="1296" w:type="dxa"/>
            <w:tcBorders>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 县级以下的文物保护单位、档案馆、博物馆的库房、展览室、阅览室</w:t>
            </w:r>
            <w:r>
              <w:rPr>
                <w:sz w:val="24"/>
              </w:rPr>
              <w:t> </w:t>
            </w:r>
          </w:p>
        </w:tc>
      </w:tr>
      <w:tr>
        <w:trPr>
          <w:trHeight w:val="501"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2. 一般的实验室</w:t>
            </w:r>
            <w:r>
              <w:rPr>
                <w:sz w:val="24"/>
              </w:rPr>
              <w:t> </w:t>
            </w:r>
          </w:p>
        </w:tc>
      </w:tr>
      <w:tr>
        <w:trPr>
          <w:trHeight w:val="499"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3. 广播电台电视台的会议室、资料室</w:t>
            </w:r>
            <w:r>
              <w:rPr>
                <w:sz w:val="24"/>
              </w:rPr>
              <w:t> </w:t>
            </w:r>
          </w:p>
        </w:tc>
      </w:tr>
      <w:tr>
        <w:trPr>
          <w:trHeight w:val="501"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4. 设有集中空调、电子计算机、复印机等设备的办公室</w:t>
            </w:r>
            <w:r>
              <w:rPr>
                <w:sz w:val="24"/>
              </w:rPr>
              <w:t> </w:t>
            </w:r>
          </w:p>
        </w:tc>
      </w:tr>
      <w:tr>
        <w:trPr>
          <w:trHeight w:val="498"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5. 城镇以下的邮政信函和包裹分检房、邮袋库、通信枢纽及其电信机房</w:t>
            </w:r>
            <w:r>
              <w:rPr>
                <w:sz w:val="24"/>
              </w:rPr>
              <w:t> </w:t>
            </w:r>
          </w:p>
        </w:tc>
      </w:tr>
      <w:tr>
        <w:trPr>
          <w:trHeight w:val="501"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6. 客房数在 50 间以下的旅馆、饭店的公共活动用房、多功能厅和厨房</w:t>
            </w:r>
            <w:r>
              <w:rPr>
                <w:sz w:val="24"/>
              </w:rPr>
              <w:t> </w:t>
            </w:r>
          </w:p>
        </w:tc>
      </w:tr>
      <w:tr>
        <w:trPr>
          <w:trHeight w:val="498"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7. 体育场（馆）、电影院、剧院、会堂、礼堂的观众厅</w:t>
            </w:r>
            <w:r>
              <w:rPr>
                <w:sz w:val="24"/>
              </w:rPr>
              <w:t> </w:t>
            </w:r>
          </w:p>
        </w:tc>
      </w:tr>
      <w:tr>
        <w:trPr>
          <w:trHeight w:val="563" w:hRule="atLeast"/>
        </w:trPr>
        <w:tc>
          <w:tcPr>
            <w:tcW w:w="1296" w:type="dxa"/>
            <w:tcBorders>
              <w:top w:val="nil"/>
              <w:bottom w:val="nil"/>
            </w:tcBorders>
          </w:tcPr>
          <w:p>
            <w:pPr>
              <w:pStyle w:val="TableParagraph"/>
              <w:rPr>
                <w:rFonts w:ascii="Times New Roman"/>
                <w:sz w:val="20"/>
              </w:rPr>
            </w:pPr>
          </w:p>
        </w:tc>
        <w:tc>
          <w:tcPr>
            <w:tcW w:w="7101" w:type="dxa"/>
            <w:tcBorders>
              <w:bottom w:val="nil"/>
            </w:tcBorders>
          </w:tcPr>
          <w:p>
            <w:pPr>
              <w:pStyle w:val="TableParagraph"/>
              <w:spacing w:before="8"/>
              <w:rPr>
                <w:sz w:val="14"/>
              </w:rPr>
            </w:pPr>
          </w:p>
          <w:p>
            <w:pPr>
              <w:pStyle w:val="TableParagraph"/>
              <w:ind w:left="4"/>
              <w:rPr>
                <w:sz w:val="21"/>
              </w:rPr>
            </w:pPr>
            <w:r>
              <w:rPr>
                <w:sz w:val="21"/>
              </w:rPr>
              <w:t>8. 住院床位在 50 张以下的医院的手术室、理疗室、透视室、心电图室、药</w:t>
            </w:r>
          </w:p>
        </w:tc>
      </w:tr>
      <w:tr>
        <w:trPr>
          <w:trHeight w:val="437" w:hRule="atLeast"/>
        </w:trPr>
        <w:tc>
          <w:tcPr>
            <w:tcW w:w="1296" w:type="dxa"/>
            <w:tcBorders>
              <w:top w:val="nil"/>
              <w:bottom w:val="nil"/>
            </w:tcBorders>
          </w:tcPr>
          <w:p>
            <w:pPr>
              <w:pStyle w:val="TableParagraph"/>
              <w:rPr>
                <w:rFonts w:ascii="Times New Roman"/>
                <w:sz w:val="20"/>
              </w:rPr>
            </w:pPr>
          </w:p>
        </w:tc>
        <w:tc>
          <w:tcPr>
            <w:tcW w:w="7101" w:type="dxa"/>
            <w:tcBorders>
              <w:top w:val="nil"/>
            </w:tcBorders>
          </w:tcPr>
          <w:p>
            <w:pPr>
              <w:pStyle w:val="TableParagraph"/>
              <w:spacing w:before="126"/>
              <w:ind w:left="4"/>
              <w:rPr>
                <w:sz w:val="24"/>
              </w:rPr>
            </w:pPr>
            <w:r>
              <w:rPr>
                <w:sz w:val="21"/>
              </w:rPr>
              <w:t>房、住院部、门诊部、病历室</w:t>
            </w:r>
            <w:r>
              <w:rPr>
                <w:sz w:val="24"/>
              </w:rPr>
              <w:t> </w:t>
            </w:r>
          </w:p>
        </w:tc>
      </w:tr>
      <w:tr>
        <w:trPr>
          <w:trHeight w:val="563" w:hRule="atLeast"/>
        </w:trPr>
        <w:tc>
          <w:tcPr>
            <w:tcW w:w="1296" w:type="dxa"/>
            <w:tcBorders>
              <w:top w:val="nil"/>
              <w:bottom w:val="nil"/>
            </w:tcBorders>
          </w:tcPr>
          <w:p>
            <w:pPr>
              <w:pStyle w:val="TableParagraph"/>
              <w:rPr>
                <w:rFonts w:ascii="Times New Roman"/>
                <w:sz w:val="20"/>
              </w:rPr>
            </w:pPr>
          </w:p>
        </w:tc>
        <w:tc>
          <w:tcPr>
            <w:tcW w:w="7101" w:type="dxa"/>
            <w:tcBorders>
              <w:bottom w:val="nil"/>
            </w:tcBorders>
          </w:tcPr>
          <w:p>
            <w:pPr>
              <w:pStyle w:val="TableParagraph"/>
              <w:spacing w:before="8"/>
              <w:rPr>
                <w:sz w:val="14"/>
              </w:rPr>
            </w:pPr>
          </w:p>
          <w:p>
            <w:pPr>
              <w:pStyle w:val="TableParagraph"/>
              <w:ind w:left="4"/>
              <w:rPr>
                <w:sz w:val="21"/>
              </w:rPr>
            </w:pPr>
            <w:r>
              <w:rPr>
                <w:sz w:val="21"/>
              </w:rPr>
              <w:t>9. 建筑面积在 2000 ㎡以下的图书馆、展览馆的珍藏室、阅览室、书库、展</w:t>
            </w:r>
          </w:p>
        </w:tc>
      </w:tr>
      <w:tr>
        <w:trPr>
          <w:trHeight w:val="437" w:hRule="atLeast"/>
        </w:trPr>
        <w:tc>
          <w:tcPr>
            <w:tcW w:w="1296" w:type="dxa"/>
            <w:tcBorders>
              <w:top w:val="nil"/>
              <w:bottom w:val="nil"/>
            </w:tcBorders>
          </w:tcPr>
          <w:p>
            <w:pPr>
              <w:pStyle w:val="TableParagraph"/>
              <w:spacing w:before="145"/>
              <w:ind w:right="425"/>
              <w:jc w:val="right"/>
              <w:rPr>
                <w:sz w:val="21"/>
              </w:rPr>
            </w:pPr>
            <w:r>
              <w:rPr>
                <w:sz w:val="21"/>
              </w:rPr>
              <w:t>中 </w:t>
            </w:r>
          </w:p>
        </w:tc>
        <w:tc>
          <w:tcPr>
            <w:tcW w:w="7101" w:type="dxa"/>
            <w:tcBorders>
              <w:top w:val="nil"/>
            </w:tcBorders>
          </w:tcPr>
          <w:p>
            <w:pPr>
              <w:pStyle w:val="TableParagraph"/>
              <w:spacing w:before="126"/>
              <w:ind w:left="4"/>
              <w:rPr>
                <w:sz w:val="24"/>
              </w:rPr>
            </w:pPr>
            <w:r>
              <w:rPr>
                <w:sz w:val="21"/>
              </w:rPr>
              <w:t>览厅</w:t>
            </w:r>
            <w:r>
              <w:rPr>
                <w:sz w:val="24"/>
              </w:rPr>
              <w:t> </w:t>
            </w:r>
          </w:p>
        </w:tc>
      </w:tr>
      <w:tr>
        <w:trPr>
          <w:trHeight w:val="498" w:hRule="atLeast"/>
        </w:trPr>
        <w:tc>
          <w:tcPr>
            <w:tcW w:w="1296" w:type="dxa"/>
            <w:tcBorders>
              <w:top w:val="nil"/>
              <w:bottom w:val="nil"/>
            </w:tcBorders>
          </w:tcPr>
          <w:p>
            <w:pPr>
              <w:pStyle w:val="TableParagraph"/>
              <w:spacing w:before="4"/>
              <w:rPr>
                <w:sz w:val="15"/>
              </w:rPr>
            </w:pPr>
          </w:p>
          <w:p>
            <w:pPr>
              <w:pStyle w:val="TableParagraph"/>
              <w:spacing w:before="1"/>
              <w:ind w:right="425"/>
              <w:jc w:val="right"/>
              <w:rPr>
                <w:sz w:val="21"/>
              </w:rPr>
            </w:pPr>
            <w:r>
              <w:rPr>
                <w:sz w:val="21"/>
              </w:rPr>
              <w:t>危 </w:t>
            </w:r>
          </w:p>
        </w:tc>
        <w:tc>
          <w:tcPr>
            <w:tcW w:w="7101" w:type="dxa"/>
          </w:tcPr>
          <w:p>
            <w:pPr>
              <w:pStyle w:val="TableParagraph"/>
              <w:spacing w:before="187"/>
              <w:ind w:left="4"/>
              <w:rPr>
                <w:sz w:val="24"/>
              </w:rPr>
            </w:pPr>
            <w:r>
              <w:rPr>
                <w:sz w:val="21"/>
              </w:rPr>
              <w:t>10. 民用机场的检票厅、行李厅</w:t>
            </w:r>
            <w:r>
              <w:rPr>
                <w:sz w:val="24"/>
              </w:rPr>
              <w:t> </w:t>
            </w:r>
          </w:p>
        </w:tc>
      </w:tr>
      <w:tr>
        <w:trPr>
          <w:trHeight w:val="501" w:hRule="atLeast"/>
        </w:trPr>
        <w:tc>
          <w:tcPr>
            <w:tcW w:w="1296" w:type="dxa"/>
            <w:tcBorders>
              <w:top w:val="nil"/>
              <w:bottom w:val="nil"/>
            </w:tcBorders>
          </w:tcPr>
          <w:p>
            <w:pPr>
              <w:pStyle w:val="TableParagraph"/>
              <w:spacing w:before="10"/>
              <w:rPr>
                <w:sz w:val="14"/>
              </w:rPr>
            </w:pPr>
          </w:p>
          <w:p>
            <w:pPr>
              <w:pStyle w:val="TableParagraph"/>
              <w:ind w:right="425"/>
              <w:jc w:val="right"/>
              <w:rPr>
                <w:sz w:val="21"/>
              </w:rPr>
            </w:pPr>
            <w:r>
              <w:rPr>
                <w:sz w:val="21"/>
              </w:rPr>
              <w:t>险 </w:t>
            </w:r>
          </w:p>
        </w:tc>
        <w:tc>
          <w:tcPr>
            <w:tcW w:w="7101" w:type="dxa"/>
          </w:tcPr>
          <w:p>
            <w:pPr>
              <w:pStyle w:val="TableParagraph"/>
              <w:spacing w:before="189"/>
              <w:ind w:left="4"/>
              <w:rPr>
                <w:sz w:val="24"/>
              </w:rPr>
            </w:pPr>
            <w:r>
              <w:rPr>
                <w:sz w:val="21"/>
              </w:rPr>
              <w:t>11. 二类高层建筑的写字楼、公寓楼</w:t>
            </w:r>
            <w:r>
              <w:rPr>
                <w:sz w:val="24"/>
              </w:rPr>
              <w:t> </w:t>
            </w:r>
          </w:p>
        </w:tc>
      </w:tr>
      <w:tr>
        <w:trPr>
          <w:trHeight w:val="498" w:hRule="atLeast"/>
        </w:trPr>
        <w:tc>
          <w:tcPr>
            <w:tcW w:w="1296" w:type="dxa"/>
            <w:tcBorders>
              <w:top w:val="nil"/>
              <w:bottom w:val="nil"/>
            </w:tcBorders>
          </w:tcPr>
          <w:p>
            <w:pPr>
              <w:pStyle w:val="TableParagraph"/>
              <w:spacing w:before="177"/>
              <w:ind w:right="410"/>
              <w:jc w:val="right"/>
              <w:rPr>
                <w:sz w:val="24"/>
              </w:rPr>
            </w:pPr>
            <w:r>
              <w:rPr>
                <w:sz w:val="21"/>
              </w:rPr>
              <w:t>级</w:t>
            </w:r>
            <w:r>
              <w:rPr>
                <w:sz w:val="24"/>
              </w:rPr>
              <w:t> </w:t>
            </w:r>
          </w:p>
        </w:tc>
        <w:tc>
          <w:tcPr>
            <w:tcW w:w="7101" w:type="dxa"/>
          </w:tcPr>
          <w:p>
            <w:pPr>
              <w:pStyle w:val="TableParagraph"/>
              <w:spacing w:before="187"/>
              <w:ind w:left="4"/>
              <w:rPr>
                <w:sz w:val="24"/>
              </w:rPr>
            </w:pPr>
            <w:r>
              <w:rPr>
                <w:sz w:val="21"/>
              </w:rPr>
              <w:t>12. 高级住宅、别墅</w:t>
            </w:r>
            <w:r>
              <w:rPr>
                <w:sz w:val="24"/>
              </w:rPr>
              <w:t> </w:t>
            </w:r>
          </w:p>
        </w:tc>
      </w:tr>
      <w:tr>
        <w:trPr>
          <w:trHeight w:val="564" w:hRule="atLeast"/>
        </w:trPr>
        <w:tc>
          <w:tcPr>
            <w:tcW w:w="1296" w:type="dxa"/>
            <w:tcBorders>
              <w:top w:val="nil"/>
              <w:bottom w:val="nil"/>
            </w:tcBorders>
          </w:tcPr>
          <w:p>
            <w:pPr>
              <w:pStyle w:val="TableParagraph"/>
              <w:rPr>
                <w:rFonts w:ascii="Times New Roman"/>
                <w:sz w:val="20"/>
              </w:rPr>
            </w:pPr>
          </w:p>
        </w:tc>
        <w:tc>
          <w:tcPr>
            <w:tcW w:w="7101" w:type="dxa"/>
            <w:tcBorders>
              <w:bottom w:val="nil"/>
            </w:tcBorders>
          </w:tcPr>
          <w:p>
            <w:pPr>
              <w:pStyle w:val="TableParagraph"/>
              <w:spacing w:before="10"/>
              <w:rPr>
                <w:sz w:val="14"/>
              </w:rPr>
            </w:pPr>
          </w:p>
          <w:p>
            <w:pPr>
              <w:pStyle w:val="TableParagraph"/>
              <w:ind w:left="4"/>
              <w:rPr>
                <w:sz w:val="21"/>
              </w:rPr>
            </w:pPr>
            <w:r>
              <w:rPr>
                <w:sz w:val="21"/>
              </w:rPr>
              <w:t>13.</w:t>
            </w:r>
            <w:r>
              <w:rPr>
                <w:spacing w:val="-7"/>
                <w:sz w:val="21"/>
              </w:rPr>
              <w:t> 建筑面积在 </w:t>
            </w:r>
            <w:r>
              <w:rPr>
                <w:sz w:val="21"/>
              </w:rPr>
              <w:t>1000</w:t>
            </w:r>
            <w:r>
              <w:rPr>
                <w:spacing w:val="-9"/>
                <w:sz w:val="21"/>
              </w:rPr>
              <w:t> ㎡以下的经营易燃易爆化学物品的商场、商店的库房及</w:t>
            </w:r>
          </w:p>
        </w:tc>
      </w:tr>
      <w:tr>
        <w:trPr>
          <w:trHeight w:val="436" w:hRule="atLeast"/>
        </w:trPr>
        <w:tc>
          <w:tcPr>
            <w:tcW w:w="1296" w:type="dxa"/>
            <w:tcBorders>
              <w:top w:val="nil"/>
              <w:bottom w:val="nil"/>
            </w:tcBorders>
          </w:tcPr>
          <w:p>
            <w:pPr>
              <w:pStyle w:val="TableParagraph"/>
              <w:rPr>
                <w:rFonts w:ascii="Times New Roman"/>
                <w:sz w:val="20"/>
              </w:rPr>
            </w:pPr>
          </w:p>
        </w:tc>
        <w:tc>
          <w:tcPr>
            <w:tcW w:w="7101" w:type="dxa"/>
            <w:tcBorders>
              <w:top w:val="nil"/>
            </w:tcBorders>
          </w:tcPr>
          <w:p>
            <w:pPr>
              <w:pStyle w:val="TableParagraph"/>
              <w:spacing w:before="125"/>
              <w:ind w:left="4"/>
              <w:rPr>
                <w:sz w:val="24"/>
              </w:rPr>
            </w:pPr>
            <w:r>
              <w:rPr>
                <w:sz w:val="21"/>
              </w:rPr>
              <w:t>铺面</w:t>
            </w:r>
            <w:r>
              <w:rPr>
                <w:sz w:val="24"/>
              </w:rPr>
              <w:t> </w:t>
            </w:r>
          </w:p>
        </w:tc>
      </w:tr>
      <w:tr>
        <w:trPr>
          <w:trHeight w:val="501"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14. 建筑面积在 200 ㎡ 以下的公共娱乐场所</w:t>
            </w:r>
            <w:r>
              <w:rPr>
                <w:sz w:val="24"/>
              </w:rPr>
              <w:t> </w:t>
            </w:r>
          </w:p>
        </w:tc>
      </w:tr>
      <w:tr>
        <w:trPr>
          <w:trHeight w:val="498"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15. 老人住宿床位在 50 张以下的养老院</w:t>
            </w:r>
            <w:r>
              <w:rPr>
                <w:sz w:val="24"/>
              </w:rPr>
              <w:t> </w:t>
            </w:r>
          </w:p>
        </w:tc>
      </w:tr>
      <w:tr>
        <w:trPr>
          <w:trHeight w:val="501"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16. 幼儿住宿床位在 50 张以下的托儿所、幼儿园</w:t>
            </w:r>
            <w:r>
              <w:rPr>
                <w:sz w:val="24"/>
              </w:rPr>
              <w:t> </w:t>
            </w:r>
          </w:p>
        </w:tc>
      </w:tr>
      <w:tr>
        <w:trPr>
          <w:trHeight w:val="498"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17. 学生住宿床位在 100 张以下的学校集体宿舍</w:t>
            </w:r>
            <w:r>
              <w:rPr>
                <w:sz w:val="24"/>
              </w:rPr>
              <w:t> </w:t>
            </w:r>
          </w:p>
        </w:tc>
      </w:tr>
      <w:tr>
        <w:trPr>
          <w:trHeight w:val="501"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18. 县级以下的党政机关办公大楼的会议室</w:t>
            </w:r>
            <w:r>
              <w:rPr>
                <w:sz w:val="24"/>
              </w:rPr>
              <w:t> </w:t>
            </w:r>
          </w:p>
        </w:tc>
      </w:tr>
      <w:tr>
        <w:trPr>
          <w:trHeight w:val="499" w:hRule="atLeast"/>
        </w:trPr>
        <w:tc>
          <w:tcPr>
            <w:tcW w:w="1296" w:type="dxa"/>
            <w:tcBorders>
              <w:top w:val="nil"/>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19. 学校教室、教研室</w:t>
            </w:r>
            <w:r>
              <w:rPr>
                <w:sz w:val="24"/>
              </w:rPr>
              <w:t> </w:t>
            </w:r>
          </w:p>
        </w:tc>
      </w:tr>
      <w:tr>
        <w:trPr>
          <w:trHeight w:val="501" w:hRule="atLeast"/>
        </w:trPr>
        <w:tc>
          <w:tcPr>
            <w:tcW w:w="1296" w:type="dxa"/>
            <w:vMerge w:val="restart"/>
            <w:tcBorders>
              <w:top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20. 建筑面积在 500 ㎡ 以下的车站和码头的候车（船）室、行李房</w:t>
            </w:r>
            <w:r>
              <w:rPr>
                <w:sz w:val="24"/>
              </w:rPr>
              <w:t> </w:t>
            </w:r>
          </w:p>
        </w:tc>
      </w:tr>
      <w:tr>
        <w:trPr>
          <w:trHeight w:val="498" w:hRule="atLeast"/>
        </w:trPr>
        <w:tc>
          <w:tcPr>
            <w:tcW w:w="1296" w:type="dxa"/>
            <w:vMerge/>
            <w:tcBorders>
              <w:top w:val="nil"/>
            </w:tcBorders>
          </w:tcPr>
          <w:p>
            <w:pPr>
              <w:rPr>
                <w:sz w:val="2"/>
                <w:szCs w:val="2"/>
              </w:rPr>
            </w:pPr>
          </w:p>
        </w:tc>
        <w:tc>
          <w:tcPr>
            <w:tcW w:w="7101" w:type="dxa"/>
          </w:tcPr>
          <w:p>
            <w:pPr>
              <w:pStyle w:val="TableParagraph"/>
              <w:spacing w:before="187"/>
              <w:ind w:left="4"/>
              <w:rPr>
                <w:sz w:val="24"/>
              </w:rPr>
            </w:pPr>
            <w:r>
              <w:rPr>
                <w:sz w:val="21"/>
              </w:rPr>
              <w:t>21. 百货楼、超市、综合商场的库房、铺面</w:t>
            </w:r>
            <w:r>
              <w:rPr>
                <w:sz w:val="24"/>
              </w:rPr>
              <w:t> </w:t>
            </w:r>
          </w:p>
        </w:tc>
      </w:tr>
    </w:tbl>
    <w:p>
      <w:pPr>
        <w:spacing w:after="0"/>
        <w:rPr>
          <w:sz w:val="24"/>
        </w:rPr>
        <w:sectPr>
          <w:pgSz w:w="11910" w:h="16850"/>
          <w:pgMar w:header="0" w:footer="1159" w:top="1080" w:bottom="1340" w:left="1260" w:right="0"/>
        </w:sectPr>
      </w:pP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6"/>
        <w:gridCol w:w="7101"/>
      </w:tblGrid>
      <w:tr>
        <w:trPr>
          <w:trHeight w:val="499" w:hRule="atLeast"/>
        </w:trPr>
        <w:tc>
          <w:tcPr>
            <w:tcW w:w="1296" w:type="dxa"/>
            <w:vMerge w:val="restart"/>
          </w:tcPr>
          <w:p>
            <w:pPr>
              <w:pStyle w:val="TableParagraph"/>
              <w:rPr>
                <w:rFonts w:ascii="Times New Roman"/>
                <w:sz w:val="20"/>
              </w:rPr>
            </w:pPr>
          </w:p>
        </w:tc>
        <w:tc>
          <w:tcPr>
            <w:tcW w:w="7101" w:type="dxa"/>
          </w:tcPr>
          <w:p>
            <w:pPr>
              <w:pStyle w:val="TableParagraph"/>
              <w:spacing w:before="187"/>
              <w:ind w:left="4"/>
              <w:rPr>
                <w:sz w:val="24"/>
              </w:rPr>
            </w:pPr>
            <w:r>
              <w:rPr>
                <w:sz w:val="21"/>
              </w:rPr>
              <w:t>22. 民用燃油、燃气锅炉房</w:t>
            </w:r>
            <w:r>
              <w:rPr>
                <w:sz w:val="24"/>
              </w:rPr>
              <w:t> </w:t>
            </w:r>
          </w:p>
        </w:tc>
      </w:tr>
      <w:tr>
        <w:trPr>
          <w:trHeight w:val="501" w:hRule="atLeast"/>
        </w:trPr>
        <w:tc>
          <w:tcPr>
            <w:tcW w:w="1296" w:type="dxa"/>
            <w:vMerge/>
            <w:tcBorders>
              <w:top w:val="nil"/>
            </w:tcBorders>
          </w:tcPr>
          <w:p>
            <w:pPr>
              <w:rPr>
                <w:sz w:val="2"/>
                <w:szCs w:val="2"/>
              </w:rPr>
            </w:pPr>
          </w:p>
        </w:tc>
        <w:tc>
          <w:tcPr>
            <w:tcW w:w="7101" w:type="dxa"/>
          </w:tcPr>
          <w:p>
            <w:pPr>
              <w:pStyle w:val="TableParagraph"/>
              <w:spacing w:before="187"/>
              <w:ind w:left="4"/>
              <w:rPr>
                <w:sz w:val="24"/>
              </w:rPr>
            </w:pPr>
            <w:r>
              <w:rPr>
                <w:sz w:val="21"/>
              </w:rPr>
              <w:t>23. 民用的油浸变压器室和高、低压配电室</w:t>
            </w:r>
            <w:r>
              <w:rPr>
                <w:sz w:val="24"/>
              </w:rPr>
              <w:t> </w:t>
            </w:r>
          </w:p>
        </w:tc>
      </w:tr>
      <w:tr>
        <w:trPr>
          <w:trHeight w:val="498" w:hRule="atLeast"/>
        </w:trPr>
        <w:tc>
          <w:tcPr>
            <w:tcW w:w="1296" w:type="dxa"/>
            <w:tcBorders>
              <w:bottom w:val="nil"/>
            </w:tcBorders>
          </w:tcPr>
          <w:p>
            <w:pPr>
              <w:pStyle w:val="TableParagraph"/>
              <w:rPr>
                <w:rFonts w:ascii="Times New Roman"/>
                <w:sz w:val="20"/>
              </w:rPr>
            </w:pPr>
          </w:p>
        </w:tc>
        <w:tc>
          <w:tcPr>
            <w:tcW w:w="7101" w:type="dxa"/>
          </w:tcPr>
          <w:p>
            <w:pPr>
              <w:pStyle w:val="TableParagraph"/>
              <w:spacing w:before="187"/>
              <w:ind w:left="4"/>
              <w:rPr>
                <w:sz w:val="24"/>
              </w:rPr>
            </w:pPr>
            <w:r>
              <w:rPr>
                <w:sz w:val="21"/>
              </w:rPr>
              <w:t>1. 日常用品小卖店及经营难燃烧或非燃烧的建筑装饰材料商店</w:t>
            </w:r>
            <w:r>
              <w:rPr>
                <w:sz w:val="24"/>
              </w:rPr>
              <w:t> </w:t>
            </w:r>
          </w:p>
        </w:tc>
      </w:tr>
      <w:tr>
        <w:trPr>
          <w:trHeight w:val="501" w:hRule="atLeast"/>
        </w:trPr>
        <w:tc>
          <w:tcPr>
            <w:tcW w:w="1296" w:type="dxa"/>
            <w:tcBorders>
              <w:top w:val="nil"/>
              <w:bottom w:val="nil"/>
            </w:tcBorders>
          </w:tcPr>
          <w:p>
            <w:pPr>
              <w:pStyle w:val="TableParagraph"/>
              <w:spacing w:before="7"/>
              <w:rPr>
                <w:sz w:val="15"/>
              </w:rPr>
            </w:pPr>
          </w:p>
          <w:p>
            <w:pPr>
              <w:pStyle w:val="TableParagraph"/>
              <w:ind w:right="425"/>
              <w:jc w:val="right"/>
              <w:rPr>
                <w:sz w:val="21"/>
              </w:rPr>
            </w:pPr>
            <w:r>
              <w:rPr>
                <w:sz w:val="21"/>
              </w:rPr>
              <w:t>轻 </w:t>
            </w:r>
          </w:p>
        </w:tc>
        <w:tc>
          <w:tcPr>
            <w:tcW w:w="7101" w:type="dxa"/>
          </w:tcPr>
          <w:p>
            <w:pPr>
              <w:pStyle w:val="TableParagraph"/>
              <w:spacing w:before="187"/>
              <w:ind w:left="4"/>
              <w:rPr>
                <w:sz w:val="24"/>
              </w:rPr>
            </w:pPr>
            <w:r>
              <w:rPr>
                <w:sz w:val="21"/>
              </w:rPr>
              <w:t>2. 未设集中空调、电子计算机、复印机等设备的普通办公室</w:t>
            </w:r>
            <w:r>
              <w:rPr>
                <w:sz w:val="24"/>
              </w:rPr>
              <w:t> </w:t>
            </w:r>
          </w:p>
        </w:tc>
      </w:tr>
      <w:tr>
        <w:trPr>
          <w:trHeight w:val="498" w:hRule="atLeast"/>
        </w:trPr>
        <w:tc>
          <w:tcPr>
            <w:tcW w:w="1296" w:type="dxa"/>
            <w:tcBorders>
              <w:top w:val="nil"/>
              <w:bottom w:val="nil"/>
            </w:tcBorders>
          </w:tcPr>
          <w:p>
            <w:pPr>
              <w:pStyle w:val="TableParagraph"/>
              <w:spacing w:before="8"/>
              <w:rPr>
                <w:sz w:val="14"/>
              </w:rPr>
            </w:pPr>
          </w:p>
          <w:p>
            <w:pPr>
              <w:pStyle w:val="TableParagraph"/>
              <w:ind w:right="425"/>
              <w:jc w:val="right"/>
              <w:rPr>
                <w:sz w:val="21"/>
              </w:rPr>
            </w:pPr>
            <w:r>
              <w:rPr>
                <w:sz w:val="21"/>
              </w:rPr>
              <w:t>危 </w:t>
            </w:r>
          </w:p>
        </w:tc>
        <w:tc>
          <w:tcPr>
            <w:tcW w:w="7101" w:type="dxa"/>
          </w:tcPr>
          <w:p>
            <w:pPr>
              <w:pStyle w:val="TableParagraph"/>
              <w:spacing w:before="187"/>
              <w:ind w:left="4"/>
              <w:rPr>
                <w:sz w:val="24"/>
              </w:rPr>
            </w:pPr>
            <w:r>
              <w:rPr>
                <w:sz w:val="21"/>
              </w:rPr>
              <w:t>3. 旅馆、饭店的客房</w:t>
            </w:r>
            <w:r>
              <w:rPr>
                <w:sz w:val="24"/>
              </w:rPr>
              <w:t> </w:t>
            </w:r>
          </w:p>
        </w:tc>
      </w:tr>
      <w:tr>
        <w:trPr>
          <w:trHeight w:val="501" w:hRule="atLeast"/>
        </w:trPr>
        <w:tc>
          <w:tcPr>
            <w:tcW w:w="1296" w:type="dxa"/>
            <w:tcBorders>
              <w:top w:val="nil"/>
              <w:bottom w:val="nil"/>
            </w:tcBorders>
          </w:tcPr>
          <w:p>
            <w:pPr>
              <w:pStyle w:val="TableParagraph"/>
              <w:spacing w:before="178"/>
              <w:ind w:right="425"/>
              <w:jc w:val="right"/>
              <w:rPr>
                <w:sz w:val="21"/>
              </w:rPr>
            </w:pPr>
            <w:r>
              <w:rPr>
                <w:sz w:val="21"/>
              </w:rPr>
              <w:t>险 </w:t>
            </w:r>
          </w:p>
        </w:tc>
        <w:tc>
          <w:tcPr>
            <w:tcW w:w="7101" w:type="dxa"/>
          </w:tcPr>
          <w:p>
            <w:pPr>
              <w:pStyle w:val="TableParagraph"/>
              <w:spacing w:before="187"/>
              <w:ind w:left="4"/>
              <w:rPr>
                <w:sz w:val="24"/>
              </w:rPr>
            </w:pPr>
            <w:r>
              <w:rPr>
                <w:sz w:val="21"/>
              </w:rPr>
              <w:t>4. 普通住宅</w:t>
            </w:r>
            <w:r>
              <w:rPr>
                <w:sz w:val="24"/>
              </w:rPr>
              <w:t> </w:t>
            </w:r>
          </w:p>
        </w:tc>
      </w:tr>
      <w:tr>
        <w:trPr>
          <w:trHeight w:val="562" w:hRule="atLeast"/>
        </w:trPr>
        <w:tc>
          <w:tcPr>
            <w:tcW w:w="1296" w:type="dxa"/>
            <w:tcBorders>
              <w:top w:val="nil"/>
              <w:bottom w:val="nil"/>
            </w:tcBorders>
          </w:tcPr>
          <w:p>
            <w:pPr>
              <w:pStyle w:val="TableParagraph"/>
              <w:spacing w:before="168"/>
              <w:ind w:right="410"/>
              <w:jc w:val="right"/>
              <w:rPr>
                <w:sz w:val="24"/>
              </w:rPr>
            </w:pPr>
            <w:r>
              <w:rPr>
                <w:sz w:val="21"/>
              </w:rPr>
              <w:t>级</w:t>
            </w:r>
            <w:r>
              <w:rPr>
                <w:sz w:val="24"/>
              </w:rPr>
              <w:t> </w:t>
            </w:r>
          </w:p>
        </w:tc>
        <w:tc>
          <w:tcPr>
            <w:tcW w:w="7101" w:type="dxa"/>
            <w:tcBorders>
              <w:bottom w:val="nil"/>
            </w:tcBorders>
          </w:tcPr>
          <w:p>
            <w:pPr>
              <w:pStyle w:val="TableParagraph"/>
              <w:spacing w:before="8"/>
              <w:rPr>
                <w:sz w:val="14"/>
              </w:rPr>
            </w:pPr>
          </w:p>
          <w:p>
            <w:pPr>
              <w:pStyle w:val="TableParagraph"/>
              <w:ind w:left="4"/>
              <w:rPr>
                <w:sz w:val="21"/>
              </w:rPr>
            </w:pPr>
            <w:r>
              <w:rPr>
                <w:sz w:val="21"/>
              </w:rPr>
              <w:t>5. 各类建筑物中以难燃烧或非燃烧的建筑构件分隔的并主要存贮难燃烧或非</w:t>
            </w:r>
          </w:p>
        </w:tc>
      </w:tr>
      <w:tr>
        <w:trPr>
          <w:trHeight w:val="438" w:hRule="atLeast"/>
        </w:trPr>
        <w:tc>
          <w:tcPr>
            <w:tcW w:w="1296" w:type="dxa"/>
            <w:tcBorders>
              <w:top w:val="nil"/>
            </w:tcBorders>
          </w:tcPr>
          <w:p>
            <w:pPr>
              <w:pStyle w:val="TableParagraph"/>
              <w:rPr>
                <w:rFonts w:ascii="Times New Roman"/>
                <w:sz w:val="20"/>
              </w:rPr>
            </w:pPr>
          </w:p>
        </w:tc>
        <w:tc>
          <w:tcPr>
            <w:tcW w:w="7101" w:type="dxa"/>
            <w:tcBorders>
              <w:top w:val="nil"/>
            </w:tcBorders>
          </w:tcPr>
          <w:p>
            <w:pPr>
              <w:pStyle w:val="TableParagraph"/>
              <w:spacing w:before="125"/>
              <w:ind w:left="4"/>
              <w:rPr>
                <w:sz w:val="24"/>
              </w:rPr>
            </w:pPr>
            <w:r>
              <w:rPr>
                <w:sz w:val="21"/>
              </w:rPr>
              <w:t>燃烧材料的辅助房间</w:t>
            </w:r>
            <w:r>
              <w:rPr>
                <w:sz w:val="24"/>
              </w:rPr>
              <w:t> </w:t>
            </w:r>
          </w:p>
        </w:tc>
      </w:tr>
    </w:tbl>
    <w:p>
      <w:pPr>
        <w:pStyle w:val="BodyText"/>
        <w:spacing w:before="1"/>
        <w:rPr>
          <w:sz w:val="7"/>
        </w:rPr>
      </w:pPr>
    </w:p>
    <w:p>
      <w:pPr>
        <w:spacing w:before="67"/>
        <w:ind w:left="3298" w:right="0" w:firstLine="0"/>
        <w:jc w:val="left"/>
        <w:rPr>
          <w:b/>
          <w:sz w:val="24"/>
        </w:rPr>
      </w:pPr>
      <w:r>
        <w:rPr>
          <w:b/>
          <w:w w:val="99"/>
          <w:sz w:val="24"/>
        </w:rPr>
        <w:t> </w:t>
      </w:r>
    </w:p>
    <w:p>
      <w:pPr>
        <w:spacing w:after="0"/>
        <w:jc w:val="left"/>
        <w:rPr>
          <w:sz w:val="24"/>
        </w:rPr>
        <w:sectPr>
          <w:pgSz w:w="11910" w:h="16850"/>
          <w:pgMar w:header="0" w:footer="1159" w:top="1080" w:bottom="1340" w:left="1260" w:right="0"/>
        </w:sectPr>
      </w:pPr>
    </w:p>
    <w:p>
      <w:pPr>
        <w:spacing w:before="55"/>
        <w:ind w:left="0" w:right="898" w:firstLine="0"/>
        <w:jc w:val="center"/>
        <w:rPr>
          <w:b/>
          <w:sz w:val="24"/>
        </w:rPr>
      </w:pPr>
      <w:r>
        <w:rPr>
          <w:b/>
          <w:sz w:val="24"/>
        </w:rPr>
        <w:t>附录 E 不相容的灭火剂举例</w:t>
      </w:r>
      <w:r>
        <w:rPr>
          <w:b/>
          <w:w w:val="99"/>
          <w:sz w:val="24"/>
        </w:rPr>
        <w:t> </w:t>
      </w:r>
    </w:p>
    <w:p>
      <w:pPr>
        <w:pStyle w:val="BodyText"/>
        <w:rPr>
          <w:b/>
          <w:sz w:val="24"/>
        </w:rPr>
      </w:pPr>
    </w:p>
    <w:p>
      <w:pPr>
        <w:spacing w:before="176"/>
        <w:ind w:left="0" w:right="912" w:firstLine="0"/>
        <w:jc w:val="center"/>
        <w:rPr>
          <w:b/>
          <w:sz w:val="21"/>
        </w:rPr>
      </w:pPr>
      <w:r>
        <w:rPr>
          <w:b/>
          <w:sz w:val="21"/>
        </w:rPr>
        <w:t>表 E 不相容的灭火剂举例</w:t>
      </w:r>
      <w:r>
        <w:rPr>
          <w:b/>
          <w:w w:val="99"/>
          <w:sz w:val="21"/>
        </w:rPr>
        <w:t> </w:t>
      </w:r>
    </w:p>
    <w:p>
      <w:pPr>
        <w:pStyle w:val="BodyText"/>
        <w:rPr>
          <w:b/>
          <w:sz w:val="20"/>
        </w:rPr>
      </w:pPr>
    </w:p>
    <w:p>
      <w:pPr>
        <w:pStyle w:val="BodyText"/>
        <w:spacing w:before="3"/>
        <w:rPr>
          <w:b/>
          <w:sz w:val="22"/>
        </w:rPr>
      </w:pP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66"/>
        <w:gridCol w:w="3129"/>
        <w:gridCol w:w="3330"/>
      </w:tblGrid>
      <w:tr>
        <w:trPr>
          <w:trHeight w:val="501" w:hRule="atLeast"/>
        </w:trPr>
        <w:tc>
          <w:tcPr>
            <w:tcW w:w="1666" w:type="dxa"/>
          </w:tcPr>
          <w:p>
            <w:pPr>
              <w:pStyle w:val="TableParagraph"/>
              <w:spacing w:before="190"/>
              <w:ind w:right="173"/>
              <w:jc w:val="right"/>
              <w:rPr>
                <w:sz w:val="24"/>
              </w:rPr>
            </w:pPr>
            <w:r>
              <w:rPr>
                <w:sz w:val="21"/>
              </w:rPr>
              <w:t>灭火剂类型</w:t>
            </w:r>
            <w:r>
              <w:rPr>
                <w:sz w:val="24"/>
              </w:rPr>
              <w:t> </w:t>
            </w:r>
          </w:p>
        </w:tc>
        <w:tc>
          <w:tcPr>
            <w:tcW w:w="6459" w:type="dxa"/>
            <w:gridSpan w:val="2"/>
          </w:tcPr>
          <w:p>
            <w:pPr>
              <w:pStyle w:val="TableParagraph"/>
              <w:spacing w:before="190"/>
              <w:ind w:left="2531" w:right="2402"/>
              <w:jc w:val="center"/>
              <w:rPr>
                <w:sz w:val="24"/>
              </w:rPr>
            </w:pPr>
            <w:r>
              <w:rPr>
                <w:sz w:val="21"/>
              </w:rPr>
              <w:t>不相容的灭火剂</w:t>
            </w:r>
            <w:r>
              <w:rPr>
                <w:sz w:val="24"/>
              </w:rPr>
              <w:t> </w:t>
            </w:r>
          </w:p>
        </w:tc>
      </w:tr>
      <w:tr>
        <w:trPr>
          <w:trHeight w:val="954" w:hRule="atLeast"/>
        </w:trPr>
        <w:tc>
          <w:tcPr>
            <w:tcW w:w="1666" w:type="dxa"/>
          </w:tcPr>
          <w:p>
            <w:pPr>
              <w:pStyle w:val="TableParagraph"/>
              <w:spacing w:before="8"/>
              <w:rPr>
                <w:b/>
                <w:sz w:val="32"/>
              </w:rPr>
            </w:pPr>
          </w:p>
          <w:p>
            <w:pPr>
              <w:pStyle w:val="TableParagraph"/>
              <w:ind w:right="173"/>
              <w:jc w:val="right"/>
              <w:rPr>
                <w:sz w:val="24"/>
              </w:rPr>
            </w:pPr>
            <w:r>
              <w:rPr>
                <w:sz w:val="21"/>
              </w:rPr>
              <w:t>干粉与干粉</w:t>
            </w:r>
            <w:r>
              <w:rPr>
                <w:sz w:val="24"/>
              </w:rPr>
              <w:t> </w:t>
            </w:r>
          </w:p>
        </w:tc>
        <w:tc>
          <w:tcPr>
            <w:tcW w:w="3129" w:type="dxa"/>
          </w:tcPr>
          <w:p>
            <w:pPr>
              <w:pStyle w:val="TableParagraph"/>
              <w:spacing w:before="8"/>
              <w:rPr>
                <w:b/>
                <w:sz w:val="32"/>
              </w:rPr>
            </w:pPr>
          </w:p>
          <w:p>
            <w:pPr>
              <w:pStyle w:val="TableParagraph"/>
              <w:ind w:left="551" w:right="421"/>
              <w:jc w:val="center"/>
              <w:rPr>
                <w:sz w:val="24"/>
              </w:rPr>
            </w:pPr>
            <w:r>
              <w:rPr>
                <w:sz w:val="21"/>
              </w:rPr>
              <w:t>磷酸铵盐</w:t>
            </w:r>
            <w:r>
              <w:rPr>
                <w:sz w:val="24"/>
              </w:rPr>
              <w:t> </w:t>
            </w:r>
          </w:p>
        </w:tc>
        <w:tc>
          <w:tcPr>
            <w:tcW w:w="3330" w:type="dxa"/>
          </w:tcPr>
          <w:p>
            <w:pPr>
              <w:pStyle w:val="TableParagraph"/>
              <w:spacing w:before="8"/>
              <w:rPr>
                <w:b/>
                <w:sz w:val="32"/>
              </w:rPr>
            </w:pPr>
          </w:p>
          <w:p>
            <w:pPr>
              <w:pStyle w:val="TableParagraph"/>
              <w:ind w:left="759" w:right="626"/>
              <w:jc w:val="center"/>
              <w:rPr>
                <w:sz w:val="24"/>
              </w:rPr>
            </w:pPr>
            <w:r>
              <w:rPr>
                <w:sz w:val="21"/>
              </w:rPr>
              <w:t>碳酸氢钠、碳酸氢钾</w:t>
            </w:r>
            <w:r>
              <w:rPr>
                <w:sz w:val="24"/>
              </w:rPr>
              <w:t> </w:t>
            </w:r>
          </w:p>
        </w:tc>
      </w:tr>
      <w:tr>
        <w:trPr>
          <w:trHeight w:val="1173" w:hRule="atLeast"/>
        </w:trPr>
        <w:tc>
          <w:tcPr>
            <w:tcW w:w="1666" w:type="dxa"/>
          </w:tcPr>
          <w:p>
            <w:pPr>
              <w:pStyle w:val="TableParagraph"/>
              <w:rPr>
                <w:b/>
                <w:sz w:val="24"/>
              </w:rPr>
            </w:pPr>
          </w:p>
          <w:p>
            <w:pPr>
              <w:pStyle w:val="TableParagraph"/>
              <w:spacing w:before="1"/>
              <w:rPr>
                <w:b/>
                <w:sz w:val="17"/>
              </w:rPr>
            </w:pPr>
          </w:p>
          <w:p>
            <w:pPr>
              <w:pStyle w:val="TableParagraph"/>
              <w:ind w:right="173"/>
              <w:jc w:val="right"/>
              <w:rPr>
                <w:sz w:val="24"/>
              </w:rPr>
            </w:pPr>
            <w:r>
              <w:rPr>
                <w:sz w:val="21"/>
              </w:rPr>
              <w:t>干粉与泡沫</w:t>
            </w:r>
            <w:r>
              <w:rPr>
                <w:sz w:val="24"/>
              </w:rPr>
              <w:t> </w:t>
            </w:r>
          </w:p>
        </w:tc>
        <w:tc>
          <w:tcPr>
            <w:tcW w:w="3129" w:type="dxa"/>
          </w:tcPr>
          <w:p>
            <w:pPr>
              <w:pStyle w:val="TableParagraph"/>
              <w:rPr>
                <w:b/>
                <w:sz w:val="24"/>
              </w:rPr>
            </w:pPr>
          </w:p>
          <w:p>
            <w:pPr>
              <w:pStyle w:val="TableParagraph"/>
              <w:spacing w:before="1"/>
              <w:rPr>
                <w:b/>
                <w:sz w:val="17"/>
              </w:rPr>
            </w:pPr>
          </w:p>
          <w:p>
            <w:pPr>
              <w:pStyle w:val="TableParagraph"/>
              <w:ind w:left="551" w:right="421"/>
              <w:jc w:val="center"/>
              <w:rPr>
                <w:sz w:val="24"/>
              </w:rPr>
            </w:pPr>
            <w:r>
              <w:rPr>
                <w:sz w:val="21"/>
              </w:rPr>
              <w:t>碳酸氢钠、碳酸氢钾</w:t>
            </w:r>
            <w:r>
              <w:rPr>
                <w:sz w:val="24"/>
              </w:rPr>
              <w:t> </w:t>
            </w:r>
          </w:p>
        </w:tc>
        <w:tc>
          <w:tcPr>
            <w:tcW w:w="3330" w:type="dxa"/>
          </w:tcPr>
          <w:p>
            <w:pPr>
              <w:pStyle w:val="TableParagraph"/>
              <w:rPr>
                <w:b/>
                <w:sz w:val="24"/>
              </w:rPr>
            </w:pPr>
          </w:p>
          <w:p>
            <w:pPr>
              <w:pStyle w:val="TableParagraph"/>
              <w:spacing w:before="1"/>
              <w:rPr>
                <w:b/>
                <w:sz w:val="17"/>
              </w:rPr>
            </w:pPr>
          </w:p>
          <w:p>
            <w:pPr>
              <w:pStyle w:val="TableParagraph"/>
              <w:ind w:left="759" w:right="626"/>
              <w:jc w:val="center"/>
              <w:rPr>
                <w:sz w:val="24"/>
              </w:rPr>
            </w:pPr>
            <w:r>
              <w:rPr>
                <w:sz w:val="21"/>
              </w:rPr>
              <w:t>蛋白泡沫</w:t>
            </w:r>
            <w:r>
              <w:rPr>
                <w:sz w:val="24"/>
              </w:rPr>
              <w:t> </w:t>
            </w:r>
          </w:p>
        </w:tc>
      </w:tr>
      <w:tr>
        <w:trPr>
          <w:trHeight w:val="1139" w:hRule="atLeast"/>
        </w:trPr>
        <w:tc>
          <w:tcPr>
            <w:tcW w:w="1666" w:type="dxa"/>
          </w:tcPr>
          <w:p>
            <w:pPr>
              <w:pStyle w:val="TableParagraph"/>
              <w:rPr>
                <w:b/>
                <w:sz w:val="24"/>
              </w:rPr>
            </w:pPr>
          </w:p>
          <w:p>
            <w:pPr>
              <w:pStyle w:val="TableParagraph"/>
              <w:spacing w:before="202"/>
              <w:ind w:right="173"/>
              <w:jc w:val="right"/>
              <w:rPr>
                <w:sz w:val="24"/>
              </w:rPr>
            </w:pPr>
            <w:r>
              <w:rPr>
                <w:sz w:val="21"/>
              </w:rPr>
              <w:t>泡沫与泡沫</w:t>
            </w:r>
            <w:r>
              <w:rPr>
                <w:sz w:val="24"/>
              </w:rPr>
              <w:t> </w:t>
            </w:r>
          </w:p>
        </w:tc>
        <w:tc>
          <w:tcPr>
            <w:tcW w:w="3129" w:type="dxa"/>
          </w:tcPr>
          <w:p>
            <w:pPr>
              <w:pStyle w:val="TableParagraph"/>
              <w:rPr>
                <w:b/>
                <w:sz w:val="24"/>
              </w:rPr>
            </w:pPr>
          </w:p>
          <w:p>
            <w:pPr>
              <w:pStyle w:val="TableParagraph"/>
              <w:spacing w:before="202"/>
              <w:ind w:left="553" w:right="421"/>
              <w:jc w:val="center"/>
              <w:rPr>
                <w:sz w:val="24"/>
              </w:rPr>
            </w:pPr>
            <w:r>
              <w:rPr>
                <w:sz w:val="21"/>
              </w:rPr>
              <w:t>蛋白泡沫、氟蛋白泡沫</w:t>
            </w:r>
            <w:r>
              <w:rPr>
                <w:sz w:val="24"/>
              </w:rPr>
              <w:t> </w:t>
            </w:r>
          </w:p>
        </w:tc>
        <w:tc>
          <w:tcPr>
            <w:tcW w:w="3330" w:type="dxa"/>
          </w:tcPr>
          <w:p>
            <w:pPr>
              <w:pStyle w:val="TableParagraph"/>
              <w:rPr>
                <w:b/>
                <w:sz w:val="24"/>
              </w:rPr>
            </w:pPr>
          </w:p>
          <w:p>
            <w:pPr>
              <w:pStyle w:val="TableParagraph"/>
              <w:spacing w:before="202"/>
              <w:ind w:left="759" w:right="626"/>
              <w:jc w:val="center"/>
              <w:rPr>
                <w:sz w:val="24"/>
              </w:rPr>
            </w:pPr>
            <w:r>
              <w:rPr>
                <w:sz w:val="21"/>
              </w:rPr>
              <w:t>水成膜泡沫</w:t>
            </w:r>
            <w:r>
              <w:rPr>
                <w:sz w:val="24"/>
              </w:rPr>
              <w:t> </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9"/>
        </w:rPr>
      </w:pPr>
    </w:p>
    <w:p>
      <w:pPr>
        <w:spacing w:before="1"/>
        <w:ind w:left="3298" w:right="0" w:firstLine="0"/>
        <w:jc w:val="left"/>
        <w:rPr>
          <w:b/>
          <w:sz w:val="24"/>
        </w:rPr>
      </w:pPr>
      <w:r>
        <w:rPr>
          <w:b/>
          <w:w w:val="99"/>
          <w:sz w:val="24"/>
        </w:rPr>
        <w:t> </w:t>
      </w:r>
    </w:p>
    <w:p>
      <w:pPr>
        <w:spacing w:after="0"/>
        <w:jc w:val="left"/>
        <w:rPr>
          <w:sz w:val="24"/>
        </w:rPr>
        <w:sectPr>
          <w:pgSz w:w="11910" w:h="16850"/>
          <w:pgMar w:header="0" w:footer="1159" w:top="1180" w:bottom="1420" w:left="1260" w:right="0"/>
        </w:sectPr>
      </w:pPr>
    </w:p>
    <w:p>
      <w:pPr>
        <w:spacing w:before="55"/>
        <w:ind w:left="0" w:right="901" w:firstLine="0"/>
        <w:jc w:val="center"/>
        <w:rPr>
          <w:b/>
          <w:sz w:val="24"/>
        </w:rPr>
      </w:pPr>
      <w:r>
        <w:rPr>
          <w:b/>
          <w:sz w:val="24"/>
        </w:rPr>
        <w:t>附录 F 非必要配置卤代烷灭火器的场所举例</w:t>
      </w:r>
      <w:r>
        <w:rPr>
          <w:b/>
          <w:w w:val="99"/>
          <w:sz w:val="24"/>
        </w:rPr>
        <w:t> </w:t>
      </w:r>
    </w:p>
    <w:p>
      <w:pPr>
        <w:pStyle w:val="BodyText"/>
        <w:rPr>
          <w:b/>
          <w:sz w:val="24"/>
        </w:rPr>
      </w:pPr>
    </w:p>
    <w:p>
      <w:pPr>
        <w:spacing w:before="176" w:after="42"/>
        <w:ind w:left="0" w:right="915" w:firstLine="0"/>
        <w:jc w:val="center"/>
        <w:rPr>
          <w:b/>
          <w:sz w:val="21"/>
        </w:rPr>
      </w:pPr>
      <w:r>
        <w:rPr>
          <w:b/>
          <w:spacing w:val="-26"/>
          <w:sz w:val="21"/>
        </w:rPr>
        <w:t>表 </w:t>
      </w:r>
      <w:r>
        <w:rPr>
          <w:b/>
          <w:sz w:val="21"/>
        </w:rPr>
        <w:t>F.0.1</w:t>
      </w:r>
      <w:r>
        <w:rPr>
          <w:b/>
          <w:spacing w:val="-3"/>
          <w:sz w:val="21"/>
        </w:rPr>
        <w:t> 民用建筑类非必要配置卤代烷灭火器的场所举例</w:t>
      </w:r>
      <w:r>
        <w:rPr>
          <w:b/>
          <w:spacing w:val="-3"/>
          <w:w w:val="99"/>
          <w:sz w:val="21"/>
        </w:rPr>
        <w:t> </w:t>
      </w: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21"/>
        <w:gridCol w:w="6758"/>
      </w:tblGrid>
      <w:tr>
        <w:trPr>
          <w:trHeight w:val="498" w:hRule="atLeast"/>
        </w:trPr>
        <w:tc>
          <w:tcPr>
            <w:tcW w:w="1421" w:type="dxa"/>
          </w:tcPr>
          <w:p>
            <w:pPr>
              <w:pStyle w:val="TableParagraph"/>
              <w:spacing w:before="190"/>
              <w:ind w:left="538" w:right="407"/>
              <w:jc w:val="center"/>
              <w:rPr>
                <w:sz w:val="24"/>
              </w:rPr>
            </w:pPr>
            <w:r>
              <w:rPr>
                <w:sz w:val="21"/>
              </w:rPr>
              <w:t>序号</w:t>
            </w:r>
            <w:r>
              <w:rPr>
                <w:sz w:val="24"/>
              </w:rPr>
              <w:t> </w:t>
            </w:r>
          </w:p>
        </w:tc>
        <w:tc>
          <w:tcPr>
            <w:tcW w:w="6758" w:type="dxa"/>
          </w:tcPr>
          <w:p>
            <w:pPr>
              <w:pStyle w:val="TableParagraph"/>
              <w:spacing w:before="190"/>
              <w:ind w:left="1315" w:right="1187"/>
              <w:jc w:val="center"/>
              <w:rPr>
                <w:sz w:val="24"/>
              </w:rPr>
            </w:pPr>
            <w:r>
              <w:rPr>
                <w:sz w:val="21"/>
              </w:rPr>
              <w:t>名  称</w:t>
            </w:r>
            <w:r>
              <w:rPr>
                <w:sz w:val="24"/>
              </w:rPr>
              <w:t> </w:t>
            </w:r>
          </w:p>
        </w:tc>
      </w:tr>
      <w:tr>
        <w:trPr>
          <w:trHeight w:val="500" w:hRule="atLeast"/>
        </w:trPr>
        <w:tc>
          <w:tcPr>
            <w:tcW w:w="1421" w:type="dxa"/>
          </w:tcPr>
          <w:p>
            <w:pPr>
              <w:pStyle w:val="TableParagraph"/>
              <w:spacing w:before="193"/>
              <w:ind w:left="538" w:right="404"/>
              <w:jc w:val="center"/>
              <w:rPr>
                <w:sz w:val="24"/>
              </w:rPr>
            </w:pPr>
            <w:r>
              <w:rPr>
                <w:sz w:val="21"/>
              </w:rPr>
              <w:t>1</w:t>
            </w:r>
            <w:r>
              <w:rPr>
                <w:sz w:val="24"/>
              </w:rPr>
              <w:t> </w:t>
            </w:r>
          </w:p>
        </w:tc>
        <w:tc>
          <w:tcPr>
            <w:tcW w:w="6758" w:type="dxa"/>
          </w:tcPr>
          <w:p>
            <w:pPr>
              <w:pStyle w:val="TableParagraph"/>
              <w:spacing w:before="193"/>
              <w:ind w:left="1315" w:right="1187"/>
              <w:jc w:val="center"/>
              <w:rPr>
                <w:sz w:val="24"/>
              </w:rPr>
            </w:pPr>
            <w:r>
              <w:rPr>
                <w:sz w:val="21"/>
              </w:rPr>
              <w:t>电影院、剧院、会堂、礼堂、体育馆的观众厅</w:t>
            </w:r>
            <w:r>
              <w:rPr>
                <w:sz w:val="24"/>
              </w:rPr>
              <w:t> </w:t>
            </w:r>
          </w:p>
        </w:tc>
      </w:tr>
      <w:tr>
        <w:trPr>
          <w:trHeight w:val="501" w:hRule="atLeast"/>
        </w:trPr>
        <w:tc>
          <w:tcPr>
            <w:tcW w:w="1421" w:type="dxa"/>
          </w:tcPr>
          <w:p>
            <w:pPr>
              <w:pStyle w:val="TableParagraph"/>
              <w:spacing w:before="190"/>
              <w:ind w:left="538" w:right="404"/>
              <w:jc w:val="center"/>
              <w:rPr>
                <w:sz w:val="24"/>
              </w:rPr>
            </w:pPr>
            <w:r>
              <w:rPr>
                <w:sz w:val="21"/>
              </w:rPr>
              <w:t>2</w:t>
            </w:r>
            <w:r>
              <w:rPr>
                <w:sz w:val="24"/>
              </w:rPr>
              <w:t> </w:t>
            </w:r>
          </w:p>
        </w:tc>
        <w:tc>
          <w:tcPr>
            <w:tcW w:w="6758" w:type="dxa"/>
          </w:tcPr>
          <w:p>
            <w:pPr>
              <w:pStyle w:val="TableParagraph"/>
              <w:spacing w:before="190"/>
              <w:ind w:left="1315" w:right="1184"/>
              <w:jc w:val="center"/>
              <w:rPr>
                <w:sz w:val="24"/>
              </w:rPr>
            </w:pPr>
            <w:r>
              <w:rPr>
                <w:sz w:val="21"/>
              </w:rPr>
              <w:t>医院门诊部、住院部</w:t>
            </w:r>
            <w:r>
              <w:rPr>
                <w:sz w:val="24"/>
              </w:rPr>
              <w:t> </w:t>
            </w:r>
          </w:p>
        </w:tc>
      </w:tr>
      <w:tr>
        <w:trPr>
          <w:trHeight w:val="498" w:hRule="atLeast"/>
        </w:trPr>
        <w:tc>
          <w:tcPr>
            <w:tcW w:w="1421" w:type="dxa"/>
          </w:tcPr>
          <w:p>
            <w:pPr>
              <w:pStyle w:val="TableParagraph"/>
              <w:spacing w:before="190"/>
              <w:ind w:left="538" w:right="404"/>
              <w:jc w:val="center"/>
              <w:rPr>
                <w:sz w:val="24"/>
              </w:rPr>
            </w:pPr>
            <w:r>
              <w:rPr>
                <w:sz w:val="21"/>
              </w:rPr>
              <w:t>3</w:t>
            </w:r>
            <w:r>
              <w:rPr>
                <w:sz w:val="24"/>
              </w:rPr>
              <w:t> </w:t>
            </w:r>
          </w:p>
        </w:tc>
        <w:tc>
          <w:tcPr>
            <w:tcW w:w="6758" w:type="dxa"/>
          </w:tcPr>
          <w:p>
            <w:pPr>
              <w:pStyle w:val="TableParagraph"/>
              <w:spacing w:before="190"/>
              <w:ind w:left="1315" w:right="1184"/>
              <w:jc w:val="center"/>
              <w:rPr>
                <w:sz w:val="24"/>
              </w:rPr>
            </w:pPr>
            <w:r>
              <w:rPr>
                <w:sz w:val="21"/>
              </w:rPr>
              <w:t>学校教学楼、幼儿园与托儿所的活动室</w:t>
            </w:r>
            <w:r>
              <w:rPr>
                <w:sz w:val="24"/>
              </w:rPr>
              <w:t> </w:t>
            </w:r>
          </w:p>
        </w:tc>
      </w:tr>
      <w:tr>
        <w:trPr>
          <w:trHeight w:val="501" w:hRule="atLeast"/>
        </w:trPr>
        <w:tc>
          <w:tcPr>
            <w:tcW w:w="1421" w:type="dxa"/>
          </w:tcPr>
          <w:p>
            <w:pPr>
              <w:pStyle w:val="TableParagraph"/>
              <w:spacing w:before="191"/>
              <w:ind w:left="538" w:right="404"/>
              <w:jc w:val="center"/>
              <w:rPr>
                <w:sz w:val="24"/>
              </w:rPr>
            </w:pPr>
            <w:r>
              <w:rPr>
                <w:sz w:val="21"/>
              </w:rPr>
              <w:t>4</w:t>
            </w:r>
            <w:r>
              <w:rPr>
                <w:sz w:val="24"/>
              </w:rPr>
              <w:t> </w:t>
            </w:r>
          </w:p>
        </w:tc>
        <w:tc>
          <w:tcPr>
            <w:tcW w:w="6758" w:type="dxa"/>
          </w:tcPr>
          <w:p>
            <w:pPr>
              <w:pStyle w:val="TableParagraph"/>
              <w:spacing w:before="191"/>
              <w:ind w:left="1315" w:right="1187"/>
              <w:jc w:val="center"/>
              <w:rPr>
                <w:sz w:val="24"/>
              </w:rPr>
            </w:pPr>
            <w:r>
              <w:rPr>
                <w:sz w:val="21"/>
              </w:rPr>
              <w:t>办公楼</w:t>
            </w:r>
            <w:r>
              <w:rPr>
                <w:sz w:val="24"/>
              </w:rPr>
              <w:t> </w:t>
            </w:r>
          </w:p>
        </w:tc>
      </w:tr>
      <w:tr>
        <w:trPr>
          <w:trHeight w:val="498" w:hRule="atLeast"/>
        </w:trPr>
        <w:tc>
          <w:tcPr>
            <w:tcW w:w="1421" w:type="dxa"/>
          </w:tcPr>
          <w:p>
            <w:pPr>
              <w:pStyle w:val="TableParagraph"/>
              <w:spacing w:before="190"/>
              <w:ind w:left="538" w:right="404"/>
              <w:jc w:val="center"/>
              <w:rPr>
                <w:sz w:val="24"/>
              </w:rPr>
            </w:pPr>
            <w:r>
              <w:rPr>
                <w:sz w:val="21"/>
              </w:rPr>
              <w:t>5</w:t>
            </w:r>
            <w:r>
              <w:rPr>
                <w:sz w:val="24"/>
              </w:rPr>
              <w:t> </w:t>
            </w:r>
          </w:p>
        </w:tc>
        <w:tc>
          <w:tcPr>
            <w:tcW w:w="6758" w:type="dxa"/>
          </w:tcPr>
          <w:p>
            <w:pPr>
              <w:pStyle w:val="TableParagraph"/>
              <w:spacing w:before="190"/>
              <w:ind w:left="1315" w:right="1184"/>
              <w:jc w:val="center"/>
              <w:rPr>
                <w:sz w:val="24"/>
              </w:rPr>
            </w:pPr>
            <w:r>
              <w:rPr>
                <w:sz w:val="21"/>
              </w:rPr>
              <w:t>车站、码头、机场的候车、候船、候机厅</w:t>
            </w:r>
            <w:r>
              <w:rPr>
                <w:sz w:val="24"/>
              </w:rPr>
              <w:t> </w:t>
            </w:r>
          </w:p>
        </w:tc>
      </w:tr>
      <w:tr>
        <w:trPr>
          <w:trHeight w:val="501" w:hRule="atLeast"/>
        </w:trPr>
        <w:tc>
          <w:tcPr>
            <w:tcW w:w="1421" w:type="dxa"/>
          </w:tcPr>
          <w:p>
            <w:pPr>
              <w:pStyle w:val="TableParagraph"/>
              <w:spacing w:before="193"/>
              <w:ind w:left="538" w:right="404"/>
              <w:jc w:val="center"/>
              <w:rPr>
                <w:sz w:val="24"/>
              </w:rPr>
            </w:pPr>
            <w:r>
              <w:rPr>
                <w:sz w:val="21"/>
              </w:rPr>
              <w:t>6</w:t>
            </w:r>
            <w:r>
              <w:rPr>
                <w:sz w:val="24"/>
              </w:rPr>
              <w:t> </w:t>
            </w:r>
          </w:p>
        </w:tc>
        <w:tc>
          <w:tcPr>
            <w:tcW w:w="6758" w:type="dxa"/>
          </w:tcPr>
          <w:p>
            <w:pPr>
              <w:pStyle w:val="TableParagraph"/>
              <w:spacing w:before="193"/>
              <w:ind w:left="1315" w:right="1184"/>
              <w:jc w:val="center"/>
              <w:rPr>
                <w:sz w:val="24"/>
              </w:rPr>
            </w:pPr>
            <w:r>
              <w:rPr>
                <w:sz w:val="21"/>
              </w:rPr>
              <w:t>旅馆的公共场所、走廊、客房</w:t>
            </w:r>
            <w:r>
              <w:rPr>
                <w:sz w:val="24"/>
              </w:rPr>
              <w:t> </w:t>
            </w:r>
          </w:p>
        </w:tc>
      </w:tr>
      <w:tr>
        <w:trPr>
          <w:trHeight w:val="498" w:hRule="atLeast"/>
        </w:trPr>
        <w:tc>
          <w:tcPr>
            <w:tcW w:w="1421" w:type="dxa"/>
          </w:tcPr>
          <w:p>
            <w:pPr>
              <w:pStyle w:val="TableParagraph"/>
              <w:spacing w:before="190"/>
              <w:ind w:left="538" w:right="404"/>
              <w:jc w:val="center"/>
              <w:rPr>
                <w:sz w:val="24"/>
              </w:rPr>
            </w:pPr>
            <w:r>
              <w:rPr>
                <w:sz w:val="21"/>
              </w:rPr>
              <w:t>7</w:t>
            </w:r>
            <w:r>
              <w:rPr>
                <w:sz w:val="24"/>
              </w:rPr>
              <w:t> </w:t>
            </w:r>
          </w:p>
        </w:tc>
        <w:tc>
          <w:tcPr>
            <w:tcW w:w="6758" w:type="dxa"/>
          </w:tcPr>
          <w:p>
            <w:pPr>
              <w:pStyle w:val="TableParagraph"/>
              <w:spacing w:before="190"/>
              <w:ind w:left="1315" w:right="1187"/>
              <w:jc w:val="center"/>
              <w:rPr>
                <w:sz w:val="24"/>
              </w:rPr>
            </w:pPr>
            <w:r>
              <w:rPr>
                <w:sz w:val="21"/>
              </w:rPr>
              <w:t>商店</w:t>
            </w:r>
            <w:r>
              <w:rPr>
                <w:sz w:val="24"/>
              </w:rPr>
              <w:t> </w:t>
            </w:r>
          </w:p>
        </w:tc>
      </w:tr>
      <w:tr>
        <w:trPr>
          <w:trHeight w:val="501" w:hRule="atLeast"/>
        </w:trPr>
        <w:tc>
          <w:tcPr>
            <w:tcW w:w="1421" w:type="dxa"/>
          </w:tcPr>
          <w:p>
            <w:pPr>
              <w:pStyle w:val="TableParagraph"/>
              <w:spacing w:before="193"/>
              <w:ind w:left="538" w:right="404"/>
              <w:jc w:val="center"/>
              <w:rPr>
                <w:sz w:val="24"/>
              </w:rPr>
            </w:pPr>
            <w:r>
              <w:rPr>
                <w:sz w:val="21"/>
              </w:rPr>
              <w:t>8</w:t>
            </w:r>
            <w:r>
              <w:rPr>
                <w:sz w:val="24"/>
              </w:rPr>
              <w:t> </w:t>
            </w:r>
          </w:p>
        </w:tc>
        <w:tc>
          <w:tcPr>
            <w:tcW w:w="6758" w:type="dxa"/>
          </w:tcPr>
          <w:p>
            <w:pPr>
              <w:pStyle w:val="TableParagraph"/>
              <w:spacing w:before="193"/>
              <w:ind w:left="1315" w:right="1187"/>
              <w:jc w:val="center"/>
              <w:rPr>
                <w:sz w:val="24"/>
              </w:rPr>
            </w:pPr>
            <w:r>
              <w:rPr>
                <w:sz w:val="21"/>
              </w:rPr>
              <w:t>百货楼、营业厅、综合商场</w:t>
            </w:r>
            <w:r>
              <w:rPr>
                <w:sz w:val="24"/>
              </w:rPr>
              <w:t> </w:t>
            </w:r>
          </w:p>
        </w:tc>
      </w:tr>
      <w:tr>
        <w:trPr>
          <w:trHeight w:val="501" w:hRule="atLeast"/>
        </w:trPr>
        <w:tc>
          <w:tcPr>
            <w:tcW w:w="1421" w:type="dxa"/>
          </w:tcPr>
          <w:p>
            <w:pPr>
              <w:pStyle w:val="TableParagraph"/>
              <w:spacing w:before="190"/>
              <w:ind w:left="538" w:right="404"/>
              <w:jc w:val="center"/>
              <w:rPr>
                <w:sz w:val="24"/>
              </w:rPr>
            </w:pPr>
            <w:r>
              <w:rPr>
                <w:sz w:val="21"/>
              </w:rPr>
              <w:t>9</w:t>
            </w:r>
            <w:r>
              <w:rPr>
                <w:sz w:val="24"/>
              </w:rPr>
              <w:t> </w:t>
            </w:r>
          </w:p>
        </w:tc>
        <w:tc>
          <w:tcPr>
            <w:tcW w:w="6758" w:type="dxa"/>
          </w:tcPr>
          <w:p>
            <w:pPr>
              <w:pStyle w:val="TableParagraph"/>
              <w:spacing w:before="190"/>
              <w:ind w:left="1315" w:right="1187"/>
              <w:jc w:val="center"/>
              <w:rPr>
                <w:sz w:val="24"/>
              </w:rPr>
            </w:pPr>
            <w:r>
              <w:rPr>
                <w:sz w:val="21"/>
              </w:rPr>
              <w:t>图书馆一般书库</w:t>
            </w:r>
            <w:r>
              <w:rPr>
                <w:sz w:val="24"/>
              </w:rPr>
              <w:t> </w:t>
            </w:r>
          </w:p>
        </w:tc>
      </w:tr>
      <w:tr>
        <w:trPr>
          <w:trHeight w:val="498" w:hRule="atLeast"/>
        </w:trPr>
        <w:tc>
          <w:tcPr>
            <w:tcW w:w="1421" w:type="dxa"/>
          </w:tcPr>
          <w:p>
            <w:pPr>
              <w:pStyle w:val="TableParagraph"/>
              <w:spacing w:before="191"/>
              <w:ind w:left="538" w:right="404"/>
              <w:jc w:val="center"/>
              <w:rPr>
                <w:sz w:val="24"/>
              </w:rPr>
            </w:pPr>
            <w:r>
              <w:rPr>
                <w:sz w:val="21"/>
              </w:rPr>
              <w:t>10</w:t>
            </w:r>
            <w:r>
              <w:rPr>
                <w:sz w:val="24"/>
              </w:rPr>
              <w:t> </w:t>
            </w:r>
          </w:p>
        </w:tc>
        <w:tc>
          <w:tcPr>
            <w:tcW w:w="6758" w:type="dxa"/>
          </w:tcPr>
          <w:p>
            <w:pPr>
              <w:pStyle w:val="TableParagraph"/>
              <w:spacing w:before="191"/>
              <w:ind w:left="1315" w:right="1187"/>
              <w:jc w:val="center"/>
              <w:rPr>
                <w:sz w:val="24"/>
              </w:rPr>
            </w:pPr>
            <w:r>
              <w:rPr>
                <w:sz w:val="21"/>
              </w:rPr>
              <w:t>展览厅</w:t>
            </w:r>
            <w:r>
              <w:rPr>
                <w:sz w:val="24"/>
              </w:rPr>
              <w:t> </w:t>
            </w:r>
          </w:p>
        </w:tc>
      </w:tr>
      <w:tr>
        <w:trPr>
          <w:trHeight w:val="501" w:hRule="atLeast"/>
        </w:trPr>
        <w:tc>
          <w:tcPr>
            <w:tcW w:w="1421" w:type="dxa"/>
          </w:tcPr>
          <w:p>
            <w:pPr>
              <w:pStyle w:val="TableParagraph"/>
              <w:spacing w:before="190"/>
              <w:ind w:left="538" w:right="404"/>
              <w:jc w:val="center"/>
              <w:rPr>
                <w:sz w:val="24"/>
              </w:rPr>
            </w:pPr>
            <w:r>
              <w:rPr>
                <w:sz w:val="21"/>
              </w:rPr>
              <w:t>11</w:t>
            </w:r>
            <w:r>
              <w:rPr>
                <w:sz w:val="24"/>
              </w:rPr>
              <w:t> </w:t>
            </w:r>
          </w:p>
        </w:tc>
        <w:tc>
          <w:tcPr>
            <w:tcW w:w="6758" w:type="dxa"/>
          </w:tcPr>
          <w:p>
            <w:pPr>
              <w:pStyle w:val="TableParagraph"/>
              <w:spacing w:before="190"/>
              <w:ind w:left="1315" w:right="1187"/>
              <w:jc w:val="center"/>
              <w:rPr>
                <w:sz w:val="24"/>
              </w:rPr>
            </w:pPr>
            <w:r>
              <w:rPr>
                <w:sz w:val="21"/>
              </w:rPr>
              <w:t>住宅</w:t>
            </w:r>
            <w:r>
              <w:rPr>
                <w:sz w:val="24"/>
              </w:rPr>
              <w:t> </w:t>
            </w:r>
          </w:p>
        </w:tc>
      </w:tr>
      <w:tr>
        <w:trPr>
          <w:trHeight w:val="501" w:hRule="atLeast"/>
        </w:trPr>
        <w:tc>
          <w:tcPr>
            <w:tcW w:w="1421" w:type="dxa"/>
          </w:tcPr>
          <w:p>
            <w:pPr>
              <w:pStyle w:val="TableParagraph"/>
              <w:spacing w:before="190"/>
              <w:ind w:left="538" w:right="404"/>
              <w:jc w:val="center"/>
              <w:rPr>
                <w:sz w:val="24"/>
              </w:rPr>
            </w:pPr>
            <w:r>
              <w:rPr>
                <w:sz w:val="21"/>
              </w:rPr>
              <w:t>12</w:t>
            </w:r>
            <w:r>
              <w:rPr>
                <w:sz w:val="24"/>
              </w:rPr>
              <w:t> </w:t>
            </w:r>
          </w:p>
        </w:tc>
        <w:tc>
          <w:tcPr>
            <w:tcW w:w="6758" w:type="dxa"/>
          </w:tcPr>
          <w:p>
            <w:pPr>
              <w:pStyle w:val="TableParagraph"/>
              <w:spacing w:before="190"/>
              <w:ind w:left="1315" w:right="1187"/>
              <w:jc w:val="center"/>
              <w:rPr>
                <w:sz w:val="24"/>
              </w:rPr>
            </w:pPr>
            <w:r>
              <w:rPr>
                <w:sz w:val="21"/>
              </w:rPr>
              <w:t>民用燃油、燃气锅炉房</w:t>
            </w:r>
            <w:r>
              <w:rPr>
                <w:sz w:val="24"/>
              </w:rPr>
              <w:t> </w:t>
            </w:r>
          </w:p>
        </w:tc>
      </w:tr>
    </w:tbl>
    <w:p>
      <w:pPr>
        <w:pStyle w:val="BodyText"/>
        <w:rPr>
          <w:b/>
          <w:sz w:val="20"/>
        </w:rPr>
      </w:pPr>
    </w:p>
    <w:p>
      <w:pPr>
        <w:pStyle w:val="BodyText"/>
        <w:rPr>
          <w:b/>
          <w:sz w:val="20"/>
        </w:rPr>
      </w:pPr>
    </w:p>
    <w:p>
      <w:pPr>
        <w:spacing w:before="177" w:after="40"/>
        <w:ind w:left="0" w:right="915" w:firstLine="0"/>
        <w:jc w:val="center"/>
        <w:rPr>
          <w:b/>
          <w:sz w:val="21"/>
        </w:rPr>
      </w:pPr>
      <w:r>
        <w:rPr>
          <w:b/>
          <w:spacing w:val="-26"/>
          <w:sz w:val="21"/>
        </w:rPr>
        <w:t>表 </w:t>
      </w:r>
      <w:r>
        <w:rPr>
          <w:b/>
          <w:sz w:val="21"/>
        </w:rPr>
        <w:t>F.0.2</w:t>
      </w:r>
      <w:r>
        <w:rPr>
          <w:b/>
          <w:spacing w:val="-3"/>
          <w:sz w:val="21"/>
        </w:rPr>
        <w:t> 工业建筑类非必要配置卤代烷灭火器的场所举例</w:t>
      </w:r>
      <w:r>
        <w:rPr>
          <w:b/>
          <w:spacing w:val="-3"/>
          <w:w w:val="99"/>
          <w:sz w:val="21"/>
        </w:rPr>
        <w:t> </w:t>
      </w: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82"/>
        <w:gridCol w:w="6796"/>
      </w:tblGrid>
      <w:tr>
        <w:trPr>
          <w:trHeight w:val="501" w:hRule="atLeast"/>
        </w:trPr>
        <w:tc>
          <w:tcPr>
            <w:tcW w:w="1382" w:type="dxa"/>
          </w:tcPr>
          <w:p>
            <w:pPr>
              <w:pStyle w:val="TableParagraph"/>
              <w:spacing w:before="193"/>
              <w:ind w:left="519" w:right="387"/>
              <w:jc w:val="center"/>
              <w:rPr>
                <w:sz w:val="24"/>
              </w:rPr>
            </w:pPr>
            <w:r>
              <w:rPr>
                <w:sz w:val="21"/>
              </w:rPr>
              <w:t>序号</w:t>
            </w:r>
            <w:r>
              <w:rPr>
                <w:sz w:val="24"/>
              </w:rPr>
              <w:t> </w:t>
            </w:r>
          </w:p>
        </w:tc>
        <w:tc>
          <w:tcPr>
            <w:tcW w:w="6796" w:type="dxa"/>
          </w:tcPr>
          <w:p>
            <w:pPr>
              <w:pStyle w:val="TableParagraph"/>
              <w:spacing w:before="193"/>
              <w:ind w:left="706" w:right="571"/>
              <w:jc w:val="center"/>
              <w:rPr>
                <w:sz w:val="24"/>
              </w:rPr>
            </w:pPr>
            <w:r>
              <w:rPr>
                <w:sz w:val="21"/>
              </w:rPr>
              <w:t>名  称</w:t>
            </w:r>
            <w:r>
              <w:rPr>
                <w:sz w:val="24"/>
              </w:rPr>
              <w:t> </w:t>
            </w:r>
          </w:p>
        </w:tc>
      </w:tr>
      <w:tr>
        <w:trPr>
          <w:trHeight w:val="499" w:hRule="atLeast"/>
        </w:trPr>
        <w:tc>
          <w:tcPr>
            <w:tcW w:w="1382" w:type="dxa"/>
          </w:tcPr>
          <w:p>
            <w:pPr>
              <w:pStyle w:val="TableParagraph"/>
              <w:spacing w:before="191"/>
              <w:ind w:left="516" w:right="387"/>
              <w:jc w:val="center"/>
              <w:rPr>
                <w:sz w:val="24"/>
              </w:rPr>
            </w:pPr>
            <w:r>
              <w:rPr>
                <w:sz w:val="21"/>
              </w:rPr>
              <w:t>1</w:t>
            </w:r>
            <w:r>
              <w:rPr>
                <w:sz w:val="24"/>
              </w:rPr>
              <w:t> </w:t>
            </w:r>
          </w:p>
        </w:tc>
        <w:tc>
          <w:tcPr>
            <w:tcW w:w="6796" w:type="dxa"/>
          </w:tcPr>
          <w:p>
            <w:pPr>
              <w:pStyle w:val="TableParagraph"/>
              <w:spacing w:before="191"/>
              <w:ind w:left="706" w:right="574"/>
              <w:jc w:val="center"/>
              <w:rPr>
                <w:sz w:val="24"/>
              </w:rPr>
            </w:pPr>
            <w:r>
              <w:rPr>
                <w:sz w:val="21"/>
              </w:rPr>
              <w:t>橡胶制品的涂胶和胶浆部位；压延成型和硫化厂房</w:t>
            </w:r>
            <w:r>
              <w:rPr>
                <w:sz w:val="24"/>
              </w:rPr>
              <w:t> </w:t>
            </w:r>
          </w:p>
        </w:tc>
      </w:tr>
      <w:tr>
        <w:trPr>
          <w:trHeight w:val="501" w:hRule="atLeast"/>
        </w:trPr>
        <w:tc>
          <w:tcPr>
            <w:tcW w:w="1382" w:type="dxa"/>
          </w:tcPr>
          <w:p>
            <w:pPr>
              <w:pStyle w:val="TableParagraph"/>
              <w:spacing w:before="193"/>
              <w:ind w:left="516" w:right="387"/>
              <w:jc w:val="center"/>
              <w:rPr>
                <w:sz w:val="24"/>
              </w:rPr>
            </w:pPr>
            <w:r>
              <w:rPr>
                <w:sz w:val="21"/>
              </w:rPr>
              <w:t>2</w:t>
            </w:r>
            <w:r>
              <w:rPr>
                <w:sz w:val="24"/>
              </w:rPr>
              <w:t> </w:t>
            </w:r>
          </w:p>
        </w:tc>
        <w:tc>
          <w:tcPr>
            <w:tcW w:w="6796" w:type="dxa"/>
          </w:tcPr>
          <w:p>
            <w:pPr>
              <w:pStyle w:val="TableParagraph"/>
              <w:spacing w:before="193"/>
              <w:ind w:left="706" w:right="571"/>
              <w:jc w:val="center"/>
              <w:rPr>
                <w:sz w:val="24"/>
              </w:rPr>
            </w:pPr>
            <w:r>
              <w:rPr>
                <w:sz w:val="21"/>
              </w:rPr>
              <w:t>橡胶、塑料及其制品库房</w:t>
            </w:r>
            <w:r>
              <w:rPr>
                <w:sz w:val="24"/>
              </w:rPr>
              <w:t> </w:t>
            </w:r>
          </w:p>
        </w:tc>
      </w:tr>
      <w:tr>
        <w:trPr>
          <w:trHeight w:val="501" w:hRule="atLeast"/>
        </w:trPr>
        <w:tc>
          <w:tcPr>
            <w:tcW w:w="1382" w:type="dxa"/>
          </w:tcPr>
          <w:p>
            <w:pPr>
              <w:pStyle w:val="TableParagraph"/>
              <w:spacing w:before="190"/>
              <w:ind w:left="516" w:right="387"/>
              <w:jc w:val="center"/>
              <w:rPr>
                <w:sz w:val="24"/>
              </w:rPr>
            </w:pPr>
            <w:r>
              <w:rPr>
                <w:sz w:val="21"/>
              </w:rPr>
              <w:t>3</w:t>
            </w:r>
            <w:r>
              <w:rPr>
                <w:sz w:val="24"/>
              </w:rPr>
              <w:t> </w:t>
            </w:r>
          </w:p>
        </w:tc>
        <w:tc>
          <w:tcPr>
            <w:tcW w:w="6796" w:type="dxa"/>
          </w:tcPr>
          <w:p>
            <w:pPr>
              <w:pStyle w:val="TableParagraph"/>
              <w:spacing w:before="190"/>
              <w:ind w:left="706" w:right="574"/>
              <w:jc w:val="center"/>
              <w:rPr>
                <w:sz w:val="24"/>
              </w:rPr>
            </w:pPr>
            <w:r>
              <w:rPr>
                <w:sz w:val="21"/>
              </w:rPr>
              <w:t>植物油加工厂的浸出厂房；植物油加工精炼部位</w:t>
            </w:r>
            <w:r>
              <w:rPr>
                <w:sz w:val="24"/>
              </w:rPr>
              <w:t> </w:t>
            </w:r>
          </w:p>
        </w:tc>
      </w:tr>
      <w:tr>
        <w:trPr>
          <w:trHeight w:val="498" w:hRule="atLeast"/>
        </w:trPr>
        <w:tc>
          <w:tcPr>
            <w:tcW w:w="1382" w:type="dxa"/>
          </w:tcPr>
          <w:p>
            <w:pPr>
              <w:pStyle w:val="TableParagraph"/>
              <w:spacing w:before="190"/>
              <w:ind w:left="516" w:right="387"/>
              <w:jc w:val="center"/>
              <w:rPr>
                <w:sz w:val="24"/>
              </w:rPr>
            </w:pPr>
            <w:r>
              <w:rPr>
                <w:sz w:val="21"/>
              </w:rPr>
              <w:t>4</w:t>
            </w:r>
            <w:r>
              <w:rPr>
                <w:sz w:val="24"/>
              </w:rPr>
              <w:t> </w:t>
            </w:r>
          </w:p>
        </w:tc>
        <w:tc>
          <w:tcPr>
            <w:tcW w:w="6796" w:type="dxa"/>
          </w:tcPr>
          <w:p>
            <w:pPr>
              <w:pStyle w:val="TableParagraph"/>
              <w:spacing w:before="190"/>
              <w:ind w:left="706" w:right="571"/>
              <w:jc w:val="center"/>
              <w:rPr>
                <w:sz w:val="24"/>
              </w:rPr>
            </w:pPr>
            <w:r>
              <w:rPr>
                <w:sz w:val="21"/>
              </w:rPr>
              <w:t>黄磷、赤磷制备厂房及其应用部位</w:t>
            </w:r>
            <w:r>
              <w:rPr>
                <w:sz w:val="24"/>
              </w:rPr>
              <w:t> </w:t>
            </w:r>
          </w:p>
        </w:tc>
      </w:tr>
      <w:tr>
        <w:trPr>
          <w:trHeight w:val="500" w:hRule="atLeast"/>
        </w:trPr>
        <w:tc>
          <w:tcPr>
            <w:tcW w:w="1382" w:type="dxa"/>
          </w:tcPr>
          <w:p>
            <w:pPr>
              <w:pStyle w:val="TableParagraph"/>
              <w:spacing w:before="190"/>
              <w:ind w:left="516" w:right="387"/>
              <w:jc w:val="center"/>
              <w:rPr>
                <w:sz w:val="24"/>
              </w:rPr>
            </w:pPr>
            <w:r>
              <w:rPr>
                <w:sz w:val="21"/>
              </w:rPr>
              <w:t>5</w:t>
            </w:r>
            <w:r>
              <w:rPr>
                <w:sz w:val="24"/>
              </w:rPr>
              <w:t> </w:t>
            </w:r>
          </w:p>
        </w:tc>
        <w:tc>
          <w:tcPr>
            <w:tcW w:w="6796" w:type="dxa"/>
          </w:tcPr>
          <w:p>
            <w:pPr>
              <w:pStyle w:val="TableParagraph"/>
              <w:spacing w:before="190"/>
              <w:ind w:left="706" w:right="574"/>
              <w:jc w:val="center"/>
              <w:rPr>
                <w:sz w:val="24"/>
              </w:rPr>
            </w:pPr>
            <w:r>
              <w:rPr>
                <w:sz w:val="21"/>
              </w:rPr>
              <w:t>樟脑或松香提炼厂房、焦化厂精萘厂房</w:t>
            </w:r>
            <w:r>
              <w:rPr>
                <w:sz w:val="24"/>
              </w:rPr>
              <w:t> </w:t>
            </w:r>
          </w:p>
        </w:tc>
      </w:tr>
      <w:tr>
        <w:trPr>
          <w:trHeight w:val="498" w:hRule="atLeast"/>
        </w:trPr>
        <w:tc>
          <w:tcPr>
            <w:tcW w:w="1382" w:type="dxa"/>
          </w:tcPr>
          <w:p>
            <w:pPr>
              <w:pStyle w:val="TableParagraph"/>
              <w:spacing w:before="190"/>
              <w:ind w:left="516" w:right="387"/>
              <w:jc w:val="center"/>
              <w:rPr>
                <w:sz w:val="24"/>
              </w:rPr>
            </w:pPr>
            <w:r>
              <w:rPr>
                <w:sz w:val="21"/>
              </w:rPr>
              <w:t>6</w:t>
            </w:r>
            <w:r>
              <w:rPr>
                <w:sz w:val="24"/>
              </w:rPr>
              <w:t> </w:t>
            </w:r>
          </w:p>
        </w:tc>
        <w:tc>
          <w:tcPr>
            <w:tcW w:w="6796" w:type="dxa"/>
          </w:tcPr>
          <w:p>
            <w:pPr>
              <w:pStyle w:val="TableParagraph"/>
              <w:spacing w:before="190"/>
              <w:ind w:left="706" w:right="574"/>
              <w:jc w:val="center"/>
              <w:rPr>
                <w:sz w:val="24"/>
              </w:rPr>
            </w:pPr>
            <w:r>
              <w:rPr>
                <w:sz w:val="21"/>
              </w:rPr>
              <w:t>煤粉厂房和面粉厂房的碾磨部位</w:t>
            </w:r>
            <w:r>
              <w:rPr>
                <w:sz w:val="24"/>
              </w:rPr>
              <w:t> </w:t>
            </w:r>
          </w:p>
        </w:tc>
      </w:tr>
      <w:tr>
        <w:trPr>
          <w:trHeight w:val="501" w:hRule="atLeast"/>
        </w:trPr>
        <w:tc>
          <w:tcPr>
            <w:tcW w:w="1382" w:type="dxa"/>
          </w:tcPr>
          <w:p>
            <w:pPr>
              <w:pStyle w:val="TableParagraph"/>
              <w:spacing w:before="193"/>
              <w:ind w:left="516" w:right="387"/>
              <w:jc w:val="center"/>
              <w:rPr>
                <w:sz w:val="24"/>
              </w:rPr>
            </w:pPr>
            <w:r>
              <w:rPr>
                <w:sz w:val="21"/>
              </w:rPr>
              <w:t>7</w:t>
            </w:r>
            <w:r>
              <w:rPr>
                <w:sz w:val="24"/>
              </w:rPr>
              <w:t> </w:t>
            </w:r>
          </w:p>
        </w:tc>
        <w:tc>
          <w:tcPr>
            <w:tcW w:w="6796" w:type="dxa"/>
          </w:tcPr>
          <w:p>
            <w:pPr>
              <w:pStyle w:val="TableParagraph"/>
              <w:spacing w:before="193"/>
              <w:ind w:left="706" w:right="571"/>
              <w:jc w:val="center"/>
              <w:rPr>
                <w:sz w:val="24"/>
              </w:rPr>
            </w:pPr>
            <w:r>
              <w:rPr>
                <w:sz w:val="21"/>
              </w:rPr>
              <w:t>谷物筒仓工作塔、亚麻厂的除尘器和过滤器室</w:t>
            </w:r>
            <w:r>
              <w:rPr>
                <w:sz w:val="24"/>
              </w:rPr>
              <w:t> </w:t>
            </w:r>
          </w:p>
        </w:tc>
      </w:tr>
      <w:tr>
        <w:trPr>
          <w:trHeight w:val="501" w:hRule="atLeast"/>
        </w:trPr>
        <w:tc>
          <w:tcPr>
            <w:tcW w:w="1382" w:type="dxa"/>
          </w:tcPr>
          <w:p>
            <w:pPr>
              <w:pStyle w:val="TableParagraph"/>
              <w:spacing w:before="190"/>
              <w:ind w:left="516" w:right="387"/>
              <w:jc w:val="center"/>
              <w:rPr>
                <w:sz w:val="24"/>
              </w:rPr>
            </w:pPr>
            <w:r>
              <w:rPr>
                <w:sz w:val="21"/>
              </w:rPr>
              <w:t>8</w:t>
            </w:r>
            <w:r>
              <w:rPr>
                <w:sz w:val="24"/>
              </w:rPr>
              <w:t> </w:t>
            </w:r>
          </w:p>
        </w:tc>
        <w:tc>
          <w:tcPr>
            <w:tcW w:w="6796" w:type="dxa"/>
          </w:tcPr>
          <w:p>
            <w:pPr>
              <w:pStyle w:val="TableParagraph"/>
              <w:spacing w:before="190"/>
              <w:ind w:left="706" w:right="571"/>
              <w:jc w:val="center"/>
              <w:rPr>
                <w:sz w:val="24"/>
              </w:rPr>
            </w:pPr>
            <w:r>
              <w:rPr>
                <w:sz w:val="21"/>
              </w:rPr>
              <w:t>散装棉花堆场</w:t>
            </w:r>
            <w:r>
              <w:rPr>
                <w:sz w:val="24"/>
              </w:rPr>
              <w:t> </w:t>
            </w:r>
          </w:p>
        </w:tc>
      </w:tr>
      <w:tr>
        <w:trPr>
          <w:trHeight w:val="498" w:hRule="atLeast"/>
        </w:trPr>
        <w:tc>
          <w:tcPr>
            <w:tcW w:w="1382" w:type="dxa"/>
          </w:tcPr>
          <w:p>
            <w:pPr>
              <w:pStyle w:val="TableParagraph"/>
              <w:spacing w:before="190"/>
              <w:ind w:left="516" w:right="387"/>
              <w:jc w:val="center"/>
              <w:rPr>
                <w:sz w:val="24"/>
              </w:rPr>
            </w:pPr>
            <w:r>
              <w:rPr>
                <w:sz w:val="21"/>
              </w:rPr>
              <w:t>9</w:t>
            </w:r>
            <w:r>
              <w:rPr>
                <w:sz w:val="24"/>
              </w:rPr>
              <w:t> </w:t>
            </w:r>
          </w:p>
        </w:tc>
        <w:tc>
          <w:tcPr>
            <w:tcW w:w="6796" w:type="dxa"/>
          </w:tcPr>
          <w:p>
            <w:pPr>
              <w:pStyle w:val="TableParagraph"/>
              <w:spacing w:before="190"/>
              <w:ind w:left="706" w:right="571"/>
              <w:jc w:val="center"/>
              <w:rPr>
                <w:sz w:val="24"/>
              </w:rPr>
            </w:pPr>
            <w:r>
              <w:rPr>
                <w:sz w:val="21"/>
              </w:rPr>
              <w:t>稻草、芦苇、麦秸等堆场</w:t>
            </w:r>
            <w:r>
              <w:rPr>
                <w:sz w:val="24"/>
              </w:rPr>
              <w:t> </w:t>
            </w:r>
          </w:p>
        </w:tc>
      </w:tr>
    </w:tbl>
    <w:p>
      <w:pPr>
        <w:spacing w:after="0"/>
        <w:jc w:val="center"/>
        <w:rPr>
          <w:sz w:val="24"/>
        </w:rPr>
        <w:sectPr>
          <w:pgSz w:w="11910" w:h="16850"/>
          <w:pgMar w:header="0" w:footer="1159" w:top="1180" w:bottom="1420" w:left="1260" w:right="0"/>
        </w:sectPr>
      </w:pPr>
    </w:p>
    <w:tbl>
      <w:tblPr>
        <w:tblW w:w="0" w:type="auto"/>
        <w:jc w:val="left"/>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82"/>
        <w:gridCol w:w="6796"/>
      </w:tblGrid>
      <w:tr>
        <w:trPr>
          <w:trHeight w:val="499" w:hRule="atLeast"/>
        </w:trPr>
        <w:tc>
          <w:tcPr>
            <w:tcW w:w="1382" w:type="dxa"/>
          </w:tcPr>
          <w:p>
            <w:pPr>
              <w:pStyle w:val="TableParagraph"/>
              <w:spacing w:before="187"/>
              <w:ind w:right="450"/>
              <w:jc w:val="right"/>
              <w:rPr>
                <w:sz w:val="24"/>
              </w:rPr>
            </w:pPr>
            <w:r>
              <w:rPr>
                <w:sz w:val="21"/>
              </w:rPr>
              <w:t>10</w:t>
            </w:r>
            <w:r>
              <w:rPr>
                <w:sz w:val="24"/>
              </w:rPr>
              <w:t> </w:t>
            </w:r>
          </w:p>
        </w:tc>
        <w:tc>
          <w:tcPr>
            <w:tcW w:w="6796" w:type="dxa"/>
          </w:tcPr>
          <w:p>
            <w:pPr>
              <w:pStyle w:val="TableParagraph"/>
              <w:spacing w:before="187"/>
              <w:ind w:left="706" w:right="571"/>
              <w:jc w:val="center"/>
              <w:rPr>
                <w:sz w:val="24"/>
              </w:rPr>
            </w:pPr>
            <w:r>
              <w:rPr>
                <w:sz w:val="21"/>
              </w:rPr>
              <w:t>谷物加工厂房</w:t>
            </w:r>
            <w:r>
              <w:rPr>
                <w:sz w:val="24"/>
              </w:rPr>
              <w:t> </w:t>
            </w:r>
          </w:p>
        </w:tc>
      </w:tr>
      <w:tr>
        <w:trPr>
          <w:trHeight w:val="500" w:hRule="atLeast"/>
        </w:trPr>
        <w:tc>
          <w:tcPr>
            <w:tcW w:w="1382" w:type="dxa"/>
          </w:tcPr>
          <w:p>
            <w:pPr>
              <w:pStyle w:val="TableParagraph"/>
              <w:spacing w:before="189"/>
              <w:ind w:right="450"/>
              <w:jc w:val="right"/>
              <w:rPr>
                <w:sz w:val="24"/>
              </w:rPr>
            </w:pPr>
            <w:r>
              <w:rPr>
                <w:sz w:val="21"/>
              </w:rPr>
              <w:t>11</w:t>
            </w:r>
            <w:r>
              <w:rPr>
                <w:sz w:val="24"/>
              </w:rPr>
              <w:t> </w:t>
            </w:r>
          </w:p>
        </w:tc>
        <w:tc>
          <w:tcPr>
            <w:tcW w:w="6796" w:type="dxa"/>
          </w:tcPr>
          <w:p>
            <w:pPr>
              <w:pStyle w:val="TableParagraph"/>
              <w:spacing w:before="189"/>
              <w:ind w:left="706" w:right="571"/>
              <w:jc w:val="center"/>
              <w:rPr>
                <w:sz w:val="24"/>
              </w:rPr>
            </w:pPr>
            <w:r>
              <w:rPr>
                <w:sz w:val="21"/>
              </w:rPr>
              <w:t>饲料加工厂房</w:t>
            </w:r>
            <w:r>
              <w:rPr>
                <w:sz w:val="24"/>
              </w:rPr>
              <w:t> </w:t>
            </w:r>
          </w:p>
        </w:tc>
      </w:tr>
      <w:tr>
        <w:trPr>
          <w:trHeight w:val="501" w:hRule="atLeast"/>
        </w:trPr>
        <w:tc>
          <w:tcPr>
            <w:tcW w:w="1382" w:type="dxa"/>
          </w:tcPr>
          <w:p>
            <w:pPr>
              <w:pStyle w:val="TableParagraph"/>
              <w:spacing w:before="187"/>
              <w:ind w:right="450"/>
              <w:jc w:val="right"/>
              <w:rPr>
                <w:sz w:val="24"/>
              </w:rPr>
            </w:pPr>
            <w:r>
              <w:rPr>
                <w:sz w:val="21"/>
              </w:rPr>
              <w:t>12</w:t>
            </w:r>
            <w:r>
              <w:rPr>
                <w:sz w:val="24"/>
              </w:rPr>
              <w:t> </w:t>
            </w:r>
          </w:p>
        </w:tc>
        <w:tc>
          <w:tcPr>
            <w:tcW w:w="6796" w:type="dxa"/>
          </w:tcPr>
          <w:p>
            <w:pPr>
              <w:pStyle w:val="TableParagraph"/>
              <w:spacing w:before="187"/>
              <w:ind w:left="706" w:right="571"/>
              <w:jc w:val="center"/>
              <w:rPr>
                <w:sz w:val="24"/>
              </w:rPr>
            </w:pPr>
            <w:r>
              <w:rPr>
                <w:sz w:val="21"/>
              </w:rPr>
              <w:t>粮食、食品库房及粮食堆场</w:t>
            </w:r>
            <w:r>
              <w:rPr>
                <w:sz w:val="24"/>
              </w:rPr>
              <w:t> </w:t>
            </w:r>
          </w:p>
        </w:tc>
      </w:tr>
      <w:tr>
        <w:trPr>
          <w:trHeight w:val="498" w:hRule="atLeast"/>
        </w:trPr>
        <w:tc>
          <w:tcPr>
            <w:tcW w:w="1382" w:type="dxa"/>
          </w:tcPr>
          <w:p>
            <w:pPr>
              <w:pStyle w:val="TableParagraph"/>
              <w:spacing w:before="187"/>
              <w:ind w:right="450"/>
              <w:jc w:val="right"/>
              <w:rPr>
                <w:sz w:val="24"/>
              </w:rPr>
            </w:pPr>
            <w:r>
              <w:rPr>
                <w:sz w:val="21"/>
              </w:rPr>
              <w:t>13</w:t>
            </w:r>
            <w:r>
              <w:rPr>
                <w:sz w:val="24"/>
              </w:rPr>
              <w:t> </w:t>
            </w:r>
          </w:p>
        </w:tc>
        <w:tc>
          <w:tcPr>
            <w:tcW w:w="6796" w:type="dxa"/>
          </w:tcPr>
          <w:p>
            <w:pPr>
              <w:pStyle w:val="TableParagraph"/>
              <w:spacing w:before="187"/>
              <w:ind w:left="706" w:right="571"/>
              <w:jc w:val="center"/>
              <w:rPr>
                <w:sz w:val="24"/>
              </w:rPr>
            </w:pPr>
            <w:r>
              <w:rPr>
                <w:sz w:val="21"/>
              </w:rPr>
              <w:t>高锰酸钾、重铬酸钠厂房</w:t>
            </w:r>
            <w:r>
              <w:rPr>
                <w:sz w:val="24"/>
              </w:rPr>
              <w:t> </w:t>
            </w:r>
          </w:p>
        </w:tc>
      </w:tr>
      <w:tr>
        <w:trPr>
          <w:trHeight w:val="501" w:hRule="atLeast"/>
        </w:trPr>
        <w:tc>
          <w:tcPr>
            <w:tcW w:w="1382" w:type="dxa"/>
          </w:tcPr>
          <w:p>
            <w:pPr>
              <w:pStyle w:val="TableParagraph"/>
              <w:spacing w:before="187"/>
              <w:ind w:right="450"/>
              <w:jc w:val="right"/>
              <w:rPr>
                <w:sz w:val="24"/>
              </w:rPr>
            </w:pPr>
            <w:r>
              <w:rPr>
                <w:sz w:val="21"/>
              </w:rPr>
              <w:t>14</w:t>
            </w:r>
            <w:r>
              <w:rPr>
                <w:sz w:val="24"/>
              </w:rPr>
              <w:t> </w:t>
            </w:r>
          </w:p>
        </w:tc>
        <w:tc>
          <w:tcPr>
            <w:tcW w:w="6796" w:type="dxa"/>
          </w:tcPr>
          <w:p>
            <w:pPr>
              <w:pStyle w:val="TableParagraph"/>
              <w:spacing w:before="187"/>
              <w:ind w:left="706" w:right="571"/>
              <w:jc w:val="center"/>
              <w:rPr>
                <w:sz w:val="24"/>
              </w:rPr>
            </w:pPr>
            <w:r>
              <w:rPr>
                <w:sz w:val="21"/>
              </w:rPr>
              <w:t>过氧化钠、过氧化钾、次氯酸钙厂房</w:t>
            </w:r>
            <w:r>
              <w:rPr>
                <w:sz w:val="24"/>
              </w:rPr>
              <w:t> </w:t>
            </w:r>
          </w:p>
        </w:tc>
      </w:tr>
      <w:tr>
        <w:trPr>
          <w:trHeight w:val="498" w:hRule="atLeast"/>
        </w:trPr>
        <w:tc>
          <w:tcPr>
            <w:tcW w:w="1382" w:type="dxa"/>
          </w:tcPr>
          <w:p>
            <w:pPr>
              <w:pStyle w:val="TableParagraph"/>
              <w:spacing w:before="187"/>
              <w:ind w:right="450"/>
              <w:jc w:val="right"/>
              <w:rPr>
                <w:sz w:val="24"/>
              </w:rPr>
            </w:pPr>
            <w:r>
              <w:rPr>
                <w:sz w:val="21"/>
              </w:rPr>
              <w:t>15</w:t>
            </w:r>
            <w:r>
              <w:rPr>
                <w:sz w:val="24"/>
              </w:rPr>
              <w:t> </w:t>
            </w:r>
          </w:p>
        </w:tc>
        <w:tc>
          <w:tcPr>
            <w:tcW w:w="6796" w:type="dxa"/>
          </w:tcPr>
          <w:p>
            <w:pPr>
              <w:pStyle w:val="TableParagraph"/>
              <w:spacing w:before="187"/>
              <w:ind w:left="706" w:right="571"/>
              <w:jc w:val="center"/>
              <w:rPr>
                <w:sz w:val="24"/>
              </w:rPr>
            </w:pPr>
            <w:r>
              <w:rPr>
                <w:sz w:val="21"/>
              </w:rPr>
              <w:t>可燃材料工棚</w:t>
            </w:r>
            <w:r>
              <w:rPr>
                <w:sz w:val="24"/>
              </w:rPr>
              <w:t> </w:t>
            </w:r>
          </w:p>
        </w:tc>
      </w:tr>
      <w:tr>
        <w:trPr>
          <w:trHeight w:val="501" w:hRule="atLeast"/>
        </w:trPr>
        <w:tc>
          <w:tcPr>
            <w:tcW w:w="1382" w:type="dxa"/>
          </w:tcPr>
          <w:p>
            <w:pPr>
              <w:pStyle w:val="TableParagraph"/>
              <w:spacing w:before="189"/>
              <w:ind w:right="450"/>
              <w:jc w:val="right"/>
              <w:rPr>
                <w:sz w:val="24"/>
              </w:rPr>
            </w:pPr>
            <w:r>
              <w:rPr>
                <w:sz w:val="21"/>
              </w:rPr>
              <w:t>16</w:t>
            </w:r>
            <w:r>
              <w:rPr>
                <w:sz w:val="24"/>
              </w:rPr>
              <w:t> </w:t>
            </w:r>
          </w:p>
        </w:tc>
        <w:tc>
          <w:tcPr>
            <w:tcW w:w="6796" w:type="dxa"/>
          </w:tcPr>
          <w:p>
            <w:pPr>
              <w:pStyle w:val="TableParagraph"/>
              <w:spacing w:before="189"/>
              <w:ind w:left="706" w:right="574"/>
              <w:jc w:val="center"/>
              <w:rPr>
                <w:sz w:val="24"/>
              </w:rPr>
            </w:pPr>
            <w:r>
              <w:rPr>
                <w:sz w:val="21"/>
              </w:rPr>
              <w:t>可燃液体贮罐、桶装库房或堆场</w:t>
            </w:r>
            <w:r>
              <w:rPr>
                <w:sz w:val="24"/>
              </w:rPr>
              <w:t> </w:t>
            </w:r>
          </w:p>
        </w:tc>
      </w:tr>
      <w:tr>
        <w:trPr>
          <w:trHeight w:val="498" w:hRule="atLeast"/>
        </w:trPr>
        <w:tc>
          <w:tcPr>
            <w:tcW w:w="1382" w:type="dxa"/>
          </w:tcPr>
          <w:p>
            <w:pPr>
              <w:pStyle w:val="TableParagraph"/>
              <w:spacing w:before="187"/>
              <w:ind w:right="450"/>
              <w:jc w:val="right"/>
              <w:rPr>
                <w:sz w:val="24"/>
              </w:rPr>
            </w:pPr>
            <w:r>
              <w:rPr>
                <w:sz w:val="21"/>
              </w:rPr>
              <w:t>17</w:t>
            </w:r>
            <w:r>
              <w:rPr>
                <w:sz w:val="24"/>
              </w:rPr>
              <w:t> </w:t>
            </w:r>
          </w:p>
        </w:tc>
        <w:tc>
          <w:tcPr>
            <w:tcW w:w="6796" w:type="dxa"/>
          </w:tcPr>
          <w:p>
            <w:pPr>
              <w:pStyle w:val="TableParagraph"/>
              <w:spacing w:before="187"/>
              <w:ind w:left="706" w:right="574"/>
              <w:jc w:val="center"/>
              <w:rPr>
                <w:sz w:val="24"/>
              </w:rPr>
            </w:pPr>
            <w:r>
              <w:rPr>
                <w:sz w:val="21"/>
              </w:rPr>
              <w:t>柴油、机器油或变压器油灌桶间</w:t>
            </w:r>
            <w:r>
              <w:rPr>
                <w:sz w:val="24"/>
              </w:rPr>
              <w:t> </w:t>
            </w:r>
          </w:p>
        </w:tc>
      </w:tr>
      <w:tr>
        <w:trPr>
          <w:trHeight w:val="501" w:hRule="atLeast"/>
        </w:trPr>
        <w:tc>
          <w:tcPr>
            <w:tcW w:w="1382" w:type="dxa"/>
          </w:tcPr>
          <w:p>
            <w:pPr>
              <w:pStyle w:val="TableParagraph"/>
              <w:spacing w:before="189"/>
              <w:ind w:right="450"/>
              <w:jc w:val="right"/>
              <w:rPr>
                <w:sz w:val="24"/>
              </w:rPr>
            </w:pPr>
            <w:r>
              <w:rPr>
                <w:sz w:val="21"/>
              </w:rPr>
              <w:t>18</w:t>
            </w:r>
            <w:r>
              <w:rPr>
                <w:sz w:val="24"/>
              </w:rPr>
              <w:t> </w:t>
            </w:r>
          </w:p>
        </w:tc>
        <w:tc>
          <w:tcPr>
            <w:tcW w:w="6796" w:type="dxa"/>
          </w:tcPr>
          <w:p>
            <w:pPr>
              <w:pStyle w:val="TableParagraph"/>
              <w:spacing w:before="189"/>
              <w:ind w:left="706" w:right="574"/>
              <w:jc w:val="center"/>
              <w:rPr>
                <w:sz w:val="24"/>
              </w:rPr>
            </w:pPr>
            <w:r>
              <w:rPr>
                <w:sz w:val="21"/>
              </w:rPr>
              <w:t>润滑油再生部位或沥青加工厂房</w:t>
            </w:r>
            <w:r>
              <w:rPr>
                <w:sz w:val="24"/>
              </w:rPr>
              <w:t> </w:t>
            </w:r>
          </w:p>
        </w:tc>
      </w:tr>
      <w:tr>
        <w:trPr>
          <w:trHeight w:val="500" w:hRule="atLeast"/>
        </w:trPr>
        <w:tc>
          <w:tcPr>
            <w:tcW w:w="1382" w:type="dxa"/>
          </w:tcPr>
          <w:p>
            <w:pPr>
              <w:pStyle w:val="TableParagraph"/>
              <w:spacing w:before="187"/>
              <w:ind w:right="450"/>
              <w:jc w:val="right"/>
              <w:rPr>
                <w:sz w:val="24"/>
              </w:rPr>
            </w:pPr>
            <w:r>
              <w:rPr>
                <w:sz w:val="21"/>
              </w:rPr>
              <w:t>19</w:t>
            </w:r>
            <w:r>
              <w:rPr>
                <w:sz w:val="24"/>
              </w:rPr>
              <w:t> </w:t>
            </w:r>
          </w:p>
        </w:tc>
        <w:tc>
          <w:tcPr>
            <w:tcW w:w="6796" w:type="dxa"/>
          </w:tcPr>
          <w:p>
            <w:pPr>
              <w:pStyle w:val="TableParagraph"/>
              <w:spacing w:before="187"/>
              <w:ind w:left="706" w:right="571"/>
              <w:jc w:val="center"/>
              <w:rPr>
                <w:sz w:val="24"/>
              </w:rPr>
            </w:pPr>
            <w:r>
              <w:rPr>
                <w:sz w:val="21"/>
              </w:rPr>
              <w:t>泡沫塑料厂的发泡、成型、印片、压花部位</w:t>
            </w:r>
            <w:r>
              <w:rPr>
                <w:sz w:val="24"/>
              </w:rPr>
              <w:t> </w:t>
            </w:r>
          </w:p>
        </w:tc>
      </w:tr>
      <w:tr>
        <w:trPr>
          <w:trHeight w:val="498" w:hRule="atLeast"/>
        </w:trPr>
        <w:tc>
          <w:tcPr>
            <w:tcW w:w="1382" w:type="dxa"/>
          </w:tcPr>
          <w:p>
            <w:pPr>
              <w:pStyle w:val="TableParagraph"/>
              <w:spacing w:before="187"/>
              <w:ind w:right="450"/>
              <w:jc w:val="right"/>
              <w:rPr>
                <w:sz w:val="24"/>
              </w:rPr>
            </w:pPr>
            <w:r>
              <w:rPr>
                <w:sz w:val="21"/>
              </w:rPr>
              <w:t>20</w:t>
            </w:r>
            <w:r>
              <w:rPr>
                <w:sz w:val="24"/>
              </w:rPr>
              <w:t> </w:t>
            </w:r>
          </w:p>
        </w:tc>
        <w:tc>
          <w:tcPr>
            <w:tcW w:w="6796" w:type="dxa"/>
          </w:tcPr>
          <w:p>
            <w:pPr>
              <w:pStyle w:val="TableParagraph"/>
              <w:spacing w:before="187"/>
              <w:ind w:left="706" w:right="574"/>
              <w:jc w:val="center"/>
              <w:rPr>
                <w:sz w:val="24"/>
              </w:rPr>
            </w:pPr>
            <w:r>
              <w:rPr>
                <w:sz w:val="21"/>
              </w:rPr>
              <w:t>化学、人造纤维及其织物和棉、毛、丝、麻及其织物的库房</w:t>
            </w:r>
            <w:r>
              <w:rPr>
                <w:sz w:val="24"/>
              </w:rPr>
              <w:t> </w:t>
            </w:r>
          </w:p>
        </w:tc>
      </w:tr>
      <w:tr>
        <w:trPr>
          <w:trHeight w:val="501" w:hRule="atLeast"/>
        </w:trPr>
        <w:tc>
          <w:tcPr>
            <w:tcW w:w="1382" w:type="dxa"/>
          </w:tcPr>
          <w:p>
            <w:pPr>
              <w:pStyle w:val="TableParagraph"/>
              <w:spacing w:before="187"/>
              <w:ind w:right="450"/>
              <w:jc w:val="right"/>
              <w:rPr>
                <w:sz w:val="24"/>
              </w:rPr>
            </w:pPr>
            <w:r>
              <w:rPr>
                <w:sz w:val="21"/>
              </w:rPr>
              <w:t>21</w:t>
            </w:r>
            <w:r>
              <w:rPr>
                <w:sz w:val="24"/>
              </w:rPr>
              <w:t> </w:t>
            </w:r>
          </w:p>
        </w:tc>
        <w:tc>
          <w:tcPr>
            <w:tcW w:w="6796" w:type="dxa"/>
          </w:tcPr>
          <w:p>
            <w:pPr>
              <w:pStyle w:val="TableParagraph"/>
              <w:spacing w:before="187"/>
              <w:ind w:left="706" w:right="571"/>
              <w:jc w:val="center"/>
              <w:rPr>
                <w:sz w:val="24"/>
              </w:rPr>
            </w:pPr>
            <w:r>
              <w:rPr>
                <w:sz w:val="21"/>
              </w:rPr>
              <w:t>酚醛泡沫塑料的加工厂房</w:t>
            </w:r>
            <w:r>
              <w:rPr>
                <w:sz w:val="24"/>
              </w:rPr>
              <w:t> </w:t>
            </w:r>
          </w:p>
        </w:tc>
      </w:tr>
      <w:tr>
        <w:trPr>
          <w:trHeight w:val="498" w:hRule="atLeast"/>
        </w:trPr>
        <w:tc>
          <w:tcPr>
            <w:tcW w:w="1382" w:type="dxa"/>
          </w:tcPr>
          <w:p>
            <w:pPr>
              <w:pStyle w:val="TableParagraph"/>
              <w:spacing w:before="187"/>
              <w:ind w:right="450"/>
              <w:jc w:val="right"/>
              <w:rPr>
                <w:sz w:val="24"/>
              </w:rPr>
            </w:pPr>
            <w:r>
              <w:rPr>
                <w:sz w:val="21"/>
              </w:rPr>
              <w:t>22</w:t>
            </w:r>
            <w:r>
              <w:rPr>
                <w:sz w:val="24"/>
              </w:rPr>
              <w:t> </w:t>
            </w:r>
          </w:p>
        </w:tc>
        <w:tc>
          <w:tcPr>
            <w:tcW w:w="6796" w:type="dxa"/>
          </w:tcPr>
          <w:p>
            <w:pPr>
              <w:pStyle w:val="TableParagraph"/>
              <w:spacing w:before="187"/>
              <w:ind w:left="706" w:right="571"/>
              <w:jc w:val="center"/>
              <w:rPr>
                <w:sz w:val="24"/>
              </w:rPr>
            </w:pPr>
            <w:r>
              <w:rPr>
                <w:sz w:val="21"/>
              </w:rPr>
              <w:t>化纤厂后加工润湿部位；印染厂的漂炼部位</w:t>
            </w:r>
            <w:r>
              <w:rPr>
                <w:sz w:val="24"/>
              </w:rPr>
              <w:t> </w:t>
            </w:r>
          </w:p>
        </w:tc>
      </w:tr>
      <w:tr>
        <w:trPr>
          <w:trHeight w:val="501" w:hRule="atLeast"/>
        </w:trPr>
        <w:tc>
          <w:tcPr>
            <w:tcW w:w="1382" w:type="dxa"/>
          </w:tcPr>
          <w:p>
            <w:pPr>
              <w:pStyle w:val="TableParagraph"/>
              <w:spacing w:before="189"/>
              <w:ind w:right="450"/>
              <w:jc w:val="right"/>
              <w:rPr>
                <w:sz w:val="24"/>
              </w:rPr>
            </w:pPr>
            <w:r>
              <w:rPr>
                <w:sz w:val="21"/>
              </w:rPr>
              <w:t>23</w:t>
            </w:r>
            <w:r>
              <w:rPr>
                <w:sz w:val="24"/>
              </w:rPr>
              <w:t> </w:t>
            </w:r>
          </w:p>
        </w:tc>
        <w:tc>
          <w:tcPr>
            <w:tcW w:w="6796" w:type="dxa"/>
          </w:tcPr>
          <w:p>
            <w:pPr>
              <w:pStyle w:val="TableParagraph"/>
              <w:spacing w:before="189"/>
              <w:ind w:left="706" w:right="571"/>
              <w:jc w:val="center"/>
              <w:rPr>
                <w:sz w:val="24"/>
              </w:rPr>
            </w:pPr>
            <w:r>
              <w:rPr>
                <w:sz w:val="21"/>
              </w:rPr>
              <w:t>木工厂房和竹、藤加工厂房</w:t>
            </w:r>
            <w:r>
              <w:rPr>
                <w:sz w:val="24"/>
              </w:rPr>
              <w:t> </w:t>
            </w:r>
          </w:p>
        </w:tc>
      </w:tr>
      <w:tr>
        <w:trPr>
          <w:trHeight w:val="501" w:hRule="atLeast"/>
        </w:trPr>
        <w:tc>
          <w:tcPr>
            <w:tcW w:w="1382" w:type="dxa"/>
          </w:tcPr>
          <w:p>
            <w:pPr>
              <w:pStyle w:val="TableParagraph"/>
              <w:spacing w:before="187"/>
              <w:ind w:right="450"/>
              <w:jc w:val="right"/>
              <w:rPr>
                <w:sz w:val="24"/>
              </w:rPr>
            </w:pPr>
            <w:r>
              <w:rPr>
                <w:sz w:val="21"/>
              </w:rPr>
              <w:t>24</w:t>
            </w:r>
            <w:r>
              <w:rPr>
                <w:sz w:val="24"/>
              </w:rPr>
              <w:t> </w:t>
            </w:r>
          </w:p>
        </w:tc>
        <w:tc>
          <w:tcPr>
            <w:tcW w:w="6796" w:type="dxa"/>
          </w:tcPr>
          <w:p>
            <w:pPr>
              <w:pStyle w:val="TableParagraph"/>
              <w:spacing w:before="187"/>
              <w:ind w:left="706" w:right="571"/>
              <w:jc w:val="center"/>
              <w:rPr>
                <w:sz w:val="24"/>
              </w:rPr>
            </w:pPr>
            <w:r>
              <w:rPr>
                <w:sz w:val="21"/>
              </w:rPr>
              <w:t>纸张、竹、木及其制品的库房、堆场</w:t>
            </w:r>
            <w:r>
              <w:rPr>
                <w:sz w:val="24"/>
              </w:rPr>
              <w:t> </w:t>
            </w:r>
          </w:p>
        </w:tc>
      </w:tr>
      <w:tr>
        <w:trPr>
          <w:trHeight w:val="498" w:hRule="atLeast"/>
        </w:trPr>
        <w:tc>
          <w:tcPr>
            <w:tcW w:w="1382" w:type="dxa"/>
          </w:tcPr>
          <w:p>
            <w:pPr>
              <w:pStyle w:val="TableParagraph"/>
              <w:spacing w:before="187"/>
              <w:ind w:right="450"/>
              <w:jc w:val="right"/>
              <w:rPr>
                <w:sz w:val="24"/>
              </w:rPr>
            </w:pPr>
            <w:r>
              <w:rPr>
                <w:sz w:val="21"/>
              </w:rPr>
              <w:t>25</w:t>
            </w:r>
            <w:r>
              <w:rPr>
                <w:sz w:val="24"/>
              </w:rPr>
              <w:t> </w:t>
            </w:r>
          </w:p>
        </w:tc>
        <w:tc>
          <w:tcPr>
            <w:tcW w:w="6796" w:type="dxa"/>
          </w:tcPr>
          <w:p>
            <w:pPr>
              <w:pStyle w:val="TableParagraph"/>
              <w:spacing w:before="187"/>
              <w:ind w:left="706" w:right="574"/>
              <w:jc w:val="center"/>
              <w:rPr>
                <w:sz w:val="24"/>
              </w:rPr>
            </w:pPr>
            <w:r>
              <w:rPr>
                <w:sz w:val="21"/>
              </w:rPr>
              <w:t>造纸厂或化纤厂的浆粕蒸煮工段</w:t>
            </w:r>
            <w:r>
              <w:rPr>
                <w:sz w:val="24"/>
              </w:rPr>
              <w:t> </w:t>
            </w:r>
          </w:p>
        </w:tc>
      </w:tr>
      <w:tr>
        <w:trPr>
          <w:trHeight w:val="501" w:hRule="atLeast"/>
        </w:trPr>
        <w:tc>
          <w:tcPr>
            <w:tcW w:w="1382" w:type="dxa"/>
          </w:tcPr>
          <w:p>
            <w:pPr>
              <w:pStyle w:val="TableParagraph"/>
              <w:spacing w:before="187"/>
              <w:ind w:right="450"/>
              <w:jc w:val="right"/>
              <w:rPr>
                <w:sz w:val="24"/>
              </w:rPr>
            </w:pPr>
            <w:r>
              <w:rPr>
                <w:sz w:val="21"/>
              </w:rPr>
              <w:t>26</w:t>
            </w:r>
            <w:r>
              <w:rPr>
                <w:sz w:val="24"/>
              </w:rPr>
              <w:t> </w:t>
            </w:r>
          </w:p>
        </w:tc>
        <w:tc>
          <w:tcPr>
            <w:tcW w:w="6796" w:type="dxa"/>
          </w:tcPr>
          <w:p>
            <w:pPr>
              <w:pStyle w:val="TableParagraph"/>
              <w:spacing w:before="187"/>
              <w:ind w:left="706" w:right="574"/>
              <w:jc w:val="center"/>
              <w:rPr>
                <w:sz w:val="24"/>
              </w:rPr>
            </w:pPr>
            <w:r>
              <w:rPr>
                <w:sz w:val="21"/>
              </w:rPr>
              <w:t>玻璃原料熔化厂房</w:t>
            </w:r>
            <w:r>
              <w:rPr>
                <w:sz w:val="24"/>
              </w:rPr>
              <w:t> </w:t>
            </w:r>
          </w:p>
        </w:tc>
      </w:tr>
      <w:tr>
        <w:trPr>
          <w:trHeight w:val="498" w:hRule="atLeast"/>
        </w:trPr>
        <w:tc>
          <w:tcPr>
            <w:tcW w:w="1382" w:type="dxa"/>
          </w:tcPr>
          <w:p>
            <w:pPr>
              <w:pStyle w:val="TableParagraph"/>
              <w:spacing w:before="187"/>
              <w:ind w:right="450"/>
              <w:jc w:val="right"/>
              <w:rPr>
                <w:sz w:val="24"/>
              </w:rPr>
            </w:pPr>
            <w:r>
              <w:rPr>
                <w:sz w:val="21"/>
              </w:rPr>
              <w:t>27</w:t>
            </w:r>
            <w:r>
              <w:rPr>
                <w:sz w:val="24"/>
              </w:rPr>
              <w:t> </w:t>
            </w:r>
          </w:p>
        </w:tc>
        <w:tc>
          <w:tcPr>
            <w:tcW w:w="6796" w:type="dxa"/>
          </w:tcPr>
          <w:p>
            <w:pPr>
              <w:pStyle w:val="TableParagraph"/>
              <w:spacing w:before="187"/>
              <w:ind w:left="706" w:right="571"/>
              <w:jc w:val="center"/>
              <w:rPr>
                <w:sz w:val="24"/>
              </w:rPr>
            </w:pPr>
            <w:r>
              <w:rPr>
                <w:sz w:val="21"/>
              </w:rPr>
              <w:t>陶瓷制品的烘干、烧成厂房</w:t>
            </w:r>
            <w:r>
              <w:rPr>
                <w:sz w:val="24"/>
              </w:rPr>
              <w:t> </w:t>
            </w:r>
          </w:p>
        </w:tc>
      </w:tr>
      <w:tr>
        <w:trPr>
          <w:trHeight w:val="501" w:hRule="atLeast"/>
        </w:trPr>
        <w:tc>
          <w:tcPr>
            <w:tcW w:w="1382" w:type="dxa"/>
          </w:tcPr>
          <w:p>
            <w:pPr>
              <w:pStyle w:val="TableParagraph"/>
              <w:spacing w:before="189"/>
              <w:ind w:right="450"/>
              <w:jc w:val="right"/>
              <w:rPr>
                <w:sz w:val="24"/>
              </w:rPr>
            </w:pPr>
            <w:r>
              <w:rPr>
                <w:sz w:val="21"/>
              </w:rPr>
              <w:t>28</w:t>
            </w:r>
            <w:r>
              <w:rPr>
                <w:sz w:val="24"/>
              </w:rPr>
              <w:t> </w:t>
            </w:r>
          </w:p>
        </w:tc>
        <w:tc>
          <w:tcPr>
            <w:tcW w:w="6796" w:type="dxa"/>
          </w:tcPr>
          <w:p>
            <w:pPr>
              <w:pStyle w:val="TableParagraph"/>
              <w:spacing w:before="189"/>
              <w:ind w:left="706" w:right="574"/>
              <w:jc w:val="center"/>
              <w:rPr>
                <w:sz w:val="24"/>
              </w:rPr>
            </w:pPr>
            <w:r>
              <w:rPr>
                <w:sz w:val="21"/>
              </w:rPr>
              <w:t>金属（镁合金除外）冷加工车间</w:t>
            </w:r>
            <w:r>
              <w:rPr>
                <w:sz w:val="24"/>
              </w:rPr>
              <w:t> </w:t>
            </w:r>
          </w:p>
        </w:tc>
      </w:tr>
      <w:tr>
        <w:trPr>
          <w:trHeight w:val="498" w:hRule="atLeast"/>
        </w:trPr>
        <w:tc>
          <w:tcPr>
            <w:tcW w:w="1382" w:type="dxa"/>
          </w:tcPr>
          <w:p>
            <w:pPr>
              <w:pStyle w:val="TableParagraph"/>
              <w:spacing w:before="187"/>
              <w:ind w:right="450"/>
              <w:jc w:val="right"/>
              <w:rPr>
                <w:sz w:val="24"/>
              </w:rPr>
            </w:pPr>
            <w:r>
              <w:rPr>
                <w:sz w:val="21"/>
              </w:rPr>
              <w:t>29</w:t>
            </w:r>
            <w:r>
              <w:rPr>
                <w:sz w:val="24"/>
              </w:rPr>
              <w:t> </w:t>
            </w:r>
          </w:p>
        </w:tc>
        <w:tc>
          <w:tcPr>
            <w:tcW w:w="6796" w:type="dxa"/>
          </w:tcPr>
          <w:p>
            <w:pPr>
              <w:pStyle w:val="TableParagraph"/>
              <w:spacing w:before="187"/>
              <w:ind w:left="706" w:right="571"/>
              <w:jc w:val="center"/>
              <w:rPr>
                <w:sz w:val="24"/>
              </w:rPr>
            </w:pPr>
            <w:r>
              <w:rPr>
                <w:sz w:val="21"/>
              </w:rPr>
              <w:t>钢材库房、堆场</w:t>
            </w:r>
            <w:r>
              <w:rPr>
                <w:sz w:val="24"/>
              </w:rPr>
              <w:t> </w:t>
            </w:r>
          </w:p>
        </w:tc>
      </w:tr>
      <w:tr>
        <w:trPr>
          <w:trHeight w:val="501" w:hRule="atLeast"/>
        </w:trPr>
        <w:tc>
          <w:tcPr>
            <w:tcW w:w="1382" w:type="dxa"/>
          </w:tcPr>
          <w:p>
            <w:pPr>
              <w:pStyle w:val="TableParagraph"/>
              <w:spacing w:before="189"/>
              <w:ind w:right="450"/>
              <w:jc w:val="right"/>
              <w:rPr>
                <w:sz w:val="24"/>
              </w:rPr>
            </w:pPr>
            <w:r>
              <w:rPr>
                <w:sz w:val="21"/>
              </w:rPr>
              <w:t>30</w:t>
            </w:r>
            <w:r>
              <w:rPr>
                <w:sz w:val="24"/>
              </w:rPr>
              <w:t> </w:t>
            </w:r>
          </w:p>
        </w:tc>
        <w:tc>
          <w:tcPr>
            <w:tcW w:w="6796" w:type="dxa"/>
          </w:tcPr>
          <w:p>
            <w:pPr>
              <w:pStyle w:val="TableParagraph"/>
              <w:spacing w:before="189"/>
              <w:ind w:left="706" w:right="574"/>
              <w:jc w:val="center"/>
              <w:rPr>
                <w:sz w:val="24"/>
              </w:rPr>
            </w:pPr>
            <w:r>
              <w:rPr>
                <w:sz w:val="21"/>
              </w:rPr>
              <w:t>水泥库房</w:t>
            </w:r>
            <w:r>
              <w:rPr>
                <w:sz w:val="24"/>
              </w:rPr>
              <w:t> </w:t>
            </w:r>
          </w:p>
        </w:tc>
      </w:tr>
      <w:tr>
        <w:trPr>
          <w:trHeight w:val="501" w:hRule="atLeast"/>
        </w:trPr>
        <w:tc>
          <w:tcPr>
            <w:tcW w:w="1382" w:type="dxa"/>
          </w:tcPr>
          <w:p>
            <w:pPr>
              <w:pStyle w:val="TableParagraph"/>
              <w:spacing w:before="187"/>
              <w:ind w:right="450"/>
              <w:jc w:val="right"/>
              <w:rPr>
                <w:sz w:val="24"/>
              </w:rPr>
            </w:pPr>
            <w:r>
              <w:rPr>
                <w:sz w:val="21"/>
              </w:rPr>
              <w:t>31</w:t>
            </w:r>
            <w:r>
              <w:rPr>
                <w:sz w:val="24"/>
              </w:rPr>
              <w:t> </w:t>
            </w:r>
          </w:p>
        </w:tc>
        <w:tc>
          <w:tcPr>
            <w:tcW w:w="6796" w:type="dxa"/>
          </w:tcPr>
          <w:p>
            <w:pPr>
              <w:pStyle w:val="TableParagraph"/>
              <w:spacing w:before="187"/>
              <w:ind w:left="706" w:right="574"/>
              <w:jc w:val="center"/>
              <w:rPr>
                <w:sz w:val="24"/>
              </w:rPr>
            </w:pPr>
            <w:r>
              <w:rPr>
                <w:sz w:val="21"/>
              </w:rPr>
              <w:t>搪瓷、陶瓷制品库房</w:t>
            </w:r>
            <w:r>
              <w:rPr>
                <w:sz w:val="24"/>
              </w:rPr>
              <w:t> </w:t>
            </w:r>
          </w:p>
        </w:tc>
      </w:tr>
      <w:tr>
        <w:trPr>
          <w:trHeight w:val="498" w:hRule="atLeast"/>
        </w:trPr>
        <w:tc>
          <w:tcPr>
            <w:tcW w:w="1382" w:type="dxa"/>
          </w:tcPr>
          <w:p>
            <w:pPr>
              <w:pStyle w:val="TableParagraph"/>
              <w:spacing w:before="187"/>
              <w:ind w:right="450"/>
              <w:jc w:val="right"/>
              <w:rPr>
                <w:sz w:val="24"/>
              </w:rPr>
            </w:pPr>
            <w:r>
              <w:rPr>
                <w:sz w:val="21"/>
              </w:rPr>
              <w:t>32</w:t>
            </w:r>
            <w:r>
              <w:rPr>
                <w:sz w:val="24"/>
              </w:rPr>
              <w:t> </w:t>
            </w:r>
          </w:p>
        </w:tc>
        <w:tc>
          <w:tcPr>
            <w:tcW w:w="6796" w:type="dxa"/>
          </w:tcPr>
          <w:p>
            <w:pPr>
              <w:pStyle w:val="TableParagraph"/>
              <w:spacing w:before="187"/>
              <w:ind w:left="706" w:right="571"/>
              <w:jc w:val="center"/>
              <w:rPr>
                <w:sz w:val="24"/>
              </w:rPr>
            </w:pPr>
            <w:r>
              <w:rPr>
                <w:sz w:val="21"/>
              </w:rPr>
              <w:t>难燃烧或非燃烧的建筑装饰材料库房</w:t>
            </w:r>
            <w:r>
              <w:rPr>
                <w:sz w:val="24"/>
              </w:rPr>
              <w:t> </w:t>
            </w:r>
          </w:p>
        </w:tc>
      </w:tr>
      <w:tr>
        <w:trPr>
          <w:trHeight w:val="500" w:hRule="atLeast"/>
        </w:trPr>
        <w:tc>
          <w:tcPr>
            <w:tcW w:w="1382" w:type="dxa"/>
          </w:tcPr>
          <w:p>
            <w:pPr>
              <w:pStyle w:val="TableParagraph"/>
              <w:spacing w:before="187"/>
              <w:ind w:right="450"/>
              <w:jc w:val="right"/>
              <w:rPr>
                <w:sz w:val="24"/>
              </w:rPr>
            </w:pPr>
            <w:r>
              <w:rPr>
                <w:sz w:val="21"/>
              </w:rPr>
              <w:t>33</w:t>
            </w:r>
            <w:r>
              <w:rPr>
                <w:sz w:val="24"/>
              </w:rPr>
              <w:t> </w:t>
            </w:r>
          </w:p>
        </w:tc>
        <w:tc>
          <w:tcPr>
            <w:tcW w:w="6796" w:type="dxa"/>
          </w:tcPr>
          <w:p>
            <w:pPr>
              <w:pStyle w:val="TableParagraph"/>
              <w:spacing w:before="187"/>
              <w:ind w:left="706" w:right="574"/>
              <w:jc w:val="center"/>
              <w:rPr>
                <w:sz w:val="24"/>
              </w:rPr>
            </w:pPr>
            <w:r>
              <w:rPr>
                <w:sz w:val="21"/>
              </w:rPr>
              <w:t>原木堆场</w:t>
            </w:r>
            <w:r>
              <w:rPr>
                <w:sz w:val="24"/>
              </w:rPr>
              <w:t> </w:t>
            </w:r>
          </w:p>
        </w:tc>
      </w:tr>
    </w:tbl>
    <w:p>
      <w:pPr>
        <w:spacing w:before="97"/>
        <w:ind w:left="3298" w:right="0" w:firstLine="0"/>
        <w:jc w:val="left"/>
        <w:rPr>
          <w:b/>
          <w:sz w:val="30"/>
        </w:rPr>
      </w:pPr>
      <w:r>
        <w:rPr>
          <w:b/>
          <w:w w:val="99"/>
          <w:sz w:val="30"/>
        </w:rPr>
        <w:t> </w:t>
      </w:r>
    </w:p>
    <w:p>
      <w:pPr>
        <w:spacing w:after="0"/>
        <w:jc w:val="left"/>
        <w:rPr>
          <w:sz w:val="30"/>
        </w:rPr>
        <w:sectPr>
          <w:footerReference w:type="default" r:id="rId218"/>
          <w:pgSz w:w="11910" w:h="16850"/>
          <w:pgMar w:footer="1239" w:header="0" w:top="1080" w:bottom="1420" w:left="1260" w:right="0"/>
          <w:pgNumType w:start="1110"/>
        </w:sectPr>
      </w:pPr>
    </w:p>
    <w:p>
      <w:pPr>
        <w:spacing w:before="37"/>
        <w:ind w:left="3305" w:right="0" w:firstLine="0"/>
        <w:jc w:val="left"/>
        <w:rPr>
          <w:b/>
          <w:sz w:val="30"/>
        </w:rPr>
      </w:pPr>
      <w:bookmarkStart w:name="_bookmark14" w:id="15"/>
      <w:bookmarkEnd w:id="15"/>
      <w:r>
        <w:rPr/>
      </w:r>
      <w:r>
        <w:rPr>
          <w:b/>
          <w:sz w:val="30"/>
        </w:rPr>
        <w:t>气体灭火系统设计规范</w:t>
      </w:r>
      <w:r>
        <w:rPr>
          <w:b/>
          <w:w w:val="99"/>
          <w:sz w:val="30"/>
        </w:rPr>
        <w:t> </w:t>
      </w:r>
    </w:p>
    <w:p>
      <w:pPr>
        <w:pStyle w:val="BodyText"/>
        <w:rPr>
          <w:b/>
          <w:sz w:val="20"/>
        </w:rPr>
      </w:pPr>
    </w:p>
    <w:p>
      <w:pPr>
        <w:pStyle w:val="BodyText"/>
        <w:spacing w:before="5"/>
        <w:rPr>
          <w:b/>
          <w:sz w:val="14"/>
        </w:rPr>
      </w:pPr>
    </w:p>
    <w:p>
      <w:pPr>
        <w:spacing w:before="66"/>
        <w:ind w:left="418" w:right="0" w:firstLine="0"/>
        <w:jc w:val="left"/>
        <w:rPr>
          <w:b/>
          <w:sz w:val="24"/>
        </w:rPr>
      </w:pPr>
      <w:r>
        <w:rPr>
          <w:b/>
          <w:sz w:val="24"/>
        </w:rPr>
        <w:t>1 总则</w:t>
      </w:r>
      <w:r>
        <w:rPr>
          <w:b/>
          <w:w w:val="99"/>
          <w:sz w:val="24"/>
        </w:rPr>
        <w:t> </w:t>
      </w:r>
    </w:p>
    <w:p>
      <w:pPr>
        <w:pStyle w:val="BodyText"/>
        <w:spacing w:before="4"/>
        <w:rPr>
          <w:b/>
          <w:sz w:val="17"/>
        </w:rPr>
      </w:pPr>
    </w:p>
    <w:p>
      <w:pPr>
        <w:pStyle w:val="ListParagraph"/>
        <w:numPr>
          <w:ilvl w:val="1"/>
          <w:numId w:val="350"/>
        </w:numPr>
        <w:tabs>
          <w:tab w:pos="1159" w:val="left" w:leader="none"/>
        </w:tabs>
        <w:spacing w:line="240" w:lineRule="auto" w:before="0" w:after="0"/>
        <w:ind w:left="1158" w:right="0" w:hanging="319"/>
        <w:jc w:val="left"/>
        <w:rPr>
          <w:sz w:val="21"/>
        </w:rPr>
      </w:pPr>
      <w:r>
        <w:rPr>
          <w:spacing w:val="-3"/>
          <w:sz w:val="21"/>
        </w:rPr>
        <w:t>为合理设计气体灭火系统，减少火灾危害，保护人身和财产的安全，制定本规范。</w:t>
      </w:r>
      <w:r>
        <w:rPr>
          <w:sz w:val="21"/>
        </w:rPr>
        <w:t> </w:t>
      </w:r>
    </w:p>
    <w:p>
      <w:pPr>
        <w:pStyle w:val="BodyText"/>
        <w:spacing w:before="12"/>
        <w:rPr>
          <w:sz w:val="17"/>
        </w:rPr>
      </w:pPr>
    </w:p>
    <w:p>
      <w:pPr>
        <w:pStyle w:val="ListParagraph"/>
        <w:numPr>
          <w:ilvl w:val="1"/>
          <w:numId w:val="350"/>
        </w:numPr>
        <w:tabs>
          <w:tab w:pos="1160" w:val="left" w:leader="none"/>
        </w:tabs>
        <w:spacing w:line="446" w:lineRule="auto" w:before="0" w:after="0"/>
        <w:ind w:left="418" w:right="1431" w:firstLine="422"/>
        <w:jc w:val="left"/>
        <w:rPr>
          <w:sz w:val="21"/>
        </w:rPr>
      </w:pPr>
      <w:r>
        <w:rPr>
          <w:spacing w:val="-3"/>
          <w:sz w:val="21"/>
        </w:rPr>
        <w:t>本规范适用于新建、改建、扩建的工业和民用建筑中设置的七氟丙烷、</w:t>
      </w:r>
      <w:r>
        <w:rPr>
          <w:sz w:val="21"/>
        </w:rPr>
        <w:t>IG541</w:t>
      </w:r>
      <w:r>
        <w:rPr>
          <w:spacing w:val="-11"/>
          <w:sz w:val="21"/>
        </w:rPr>
        <w:t> 混合气体</w:t>
      </w:r>
      <w:r>
        <w:rPr>
          <w:spacing w:val="-6"/>
          <w:sz w:val="21"/>
        </w:rPr>
        <w:t>和热气溶胶全淹没灭火系统的设计。</w:t>
      </w:r>
      <w:r>
        <w:rPr>
          <w:sz w:val="21"/>
        </w:rPr>
        <w:t> </w:t>
      </w:r>
    </w:p>
    <w:p>
      <w:pPr>
        <w:pStyle w:val="ListParagraph"/>
        <w:numPr>
          <w:ilvl w:val="1"/>
          <w:numId w:val="350"/>
        </w:numPr>
        <w:tabs>
          <w:tab w:pos="1159" w:val="left" w:leader="none"/>
        </w:tabs>
        <w:spacing w:line="446" w:lineRule="auto" w:before="0" w:after="0"/>
        <w:ind w:left="418" w:right="1431" w:firstLine="422"/>
        <w:jc w:val="left"/>
        <w:rPr>
          <w:sz w:val="21"/>
        </w:rPr>
      </w:pPr>
      <w:r>
        <w:rPr>
          <w:spacing w:val="-7"/>
          <w:sz w:val="21"/>
        </w:rPr>
        <w:t>气体灭火系统的设计，应遵循国家有关方针和政策，做到安全可靠，技术先进，经济合</w:t>
      </w:r>
      <w:r>
        <w:rPr>
          <w:spacing w:val="-5"/>
          <w:sz w:val="21"/>
        </w:rPr>
        <w:t>理。</w:t>
      </w:r>
      <w:r>
        <w:rPr>
          <w:sz w:val="21"/>
        </w:rPr>
        <w:t> </w:t>
      </w:r>
    </w:p>
    <w:p>
      <w:pPr>
        <w:pStyle w:val="ListParagraph"/>
        <w:numPr>
          <w:ilvl w:val="1"/>
          <w:numId w:val="350"/>
        </w:numPr>
        <w:tabs>
          <w:tab w:pos="1160" w:val="left" w:leader="none"/>
        </w:tabs>
        <w:spacing w:line="240" w:lineRule="auto" w:before="1" w:after="0"/>
        <w:ind w:left="1159" w:right="0" w:hanging="320"/>
        <w:jc w:val="left"/>
        <w:rPr>
          <w:sz w:val="21"/>
        </w:rPr>
      </w:pPr>
      <w:r>
        <w:rPr>
          <w:spacing w:val="-3"/>
          <w:sz w:val="21"/>
        </w:rPr>
        <w:t>设计采用的系统产品及组件，必须符合国家有关标准和规定的要求。</w:t>
      </w:r>
      <w:r>
        <w:rPr>
          <w:sz w:val="21"/>
        </w:rPr>
        <w:t> </w:t>
      </w:r>
    </w:p>
    <w:p>
      <w:pPr>
        <w:pStyle w:val="BodyText"/>
        <w:spacing w:before="12"/>
        <w:rPr>
          <w:sz w:val="17"/>
        </w:rPr>
      </w:pPr>
    </w:p>
    <w:p>
      <w:pPr>
        <w:pStyle w:val="ListParagraph"/>
        <w:numPr>
          <w:ilvl w:val="1"/>
          <w:numId w:val="350"/>
        </w:numPr>
        <w:tabs>
          <w:tab w:pos="1160" w:val="left" w:leader="none"/>
        </w:tabs>
        <w:spacing w:line="240" w:lineRule="auto" w:before="0" w:after="0"/>
        <w:ind w:left="1159" w:right="0" w:hanging="320"/>
        <w:jc w:val="left"/>
        <w:rPr>
          <w:sz w:val="21"/>
        </w:rPr>
      </w:pPr>
      <w:r>
        <w:rPr>
          <w:spacing w:val="-3"/>
          <w:sz w:val="21"/>
        </w:rPr>
        <w:t>气体灭火系统设计，除应符合本规范外，还应符合国家现行有关标准的规定。 </w:t>
      </w:r>
    </w:p>
    <w:p>
      <w:pPr>
        <w:pStyle w:val="BodyText"/>
        <w:spacing w:before="8"/>
        <w:rPr>
          <w:sz w:val="15"/>
        </w:rPr>
      </w:pPr>
    </w:p>
    <w:p>
      <w:pPr>
        <w:pStyle w:val="Heading4"/>
      </w:pPr>
      <w:r>
        <w:rPr/>
        <w:t>2 术语和符号</w:t>
      </w:r>
      <w:r>
        <w:rPr>
          <w:w w:val="99"/>
        </w:rPr>
        <w:t> </w:t>
      </w:r>
    </w:p>
    <w:p>
      <w:pPr>
        <w:pStyle w:val="BodyText"/>
        <w:spacing w:before="6"/>
        <w:rPr>
          <w:b/>
          <w:sz w:val="17"/>
        </w:rPr>
      </w:pPr>
    </w:p>
    <w:p>
      <w:pPr>
        <w:pStyle w:val="ListParagraph"/>
        <w:numPr>
          <w:ilvl w:val="1"/>
          <w:numId w:val="351"/>
        </w:numPr>
        <w:tabs>
          <w:tab w:pos="1159" w:val="left" w:leader="none"/>
        </w:tabs>
        <w:spacing w:line="240" w:lineRule="auto" w:before="0" w:after="0"/>
        <w:ind w:left="1158" w:right="0" w:hanging="319"/>
        <w:jc w:val="left"/>
        <w:rPr>
          <w:b/>
          <w:sz w:val="21"/>
        </w:rPr>
      </w:pPr>
      <w:r>
        <w:rPr>
          <w:spacing w:val="-3"/>
          <w:sz w:val="21"/>
        </w:rPr>
        <w:t>术语</w:t>
      </w:r>
      <w:r>
        <w:rPr>
          <w:b/>
          <w:w w:val="99"/>
          <w:sz w:val="21"/>
        </w:rPr>
        <w:t> </w:t>
      </w:r>
    </w:p>
    <w:p>
      <w:pPr>
        <w:pStyle w:val="BodyText"/>
        <w:rPr>
          <w:b/>
          <w:sz w:val="18"/>
        </w:rPr>
      </w:pPr>
    </w:p>
    <w:p>
      <w:pPr>
        <w:pStyle w:val="ListParagraph"/>
        <w:numPr>
          <w:ilvl w:val="2"/>
          <w:numId w:val="351"/>
        </w:numPr>
        <w:tabs>
          <w:tab w:pos="1371" w:val="left" w:leader="none"/>
        </w:tabs>
        <w:spacing w:line="240" w:lineRule="auto" w:before="0" w:after="0"/>
        <w:ind w:left="1370" w:right="0" w:hanging="531"/>
        <w:jc w:val="left"/>
        <w:rPr>
          <w:sz w:val="21"/>
        </w:rPr>
      </w:pPr>
      <w:r>
        <w:rPr>
          <w:spacing w:val="-3"/>
          <w:sz w:val="21"/>
        </w:rPr>
        <w:t>防护区 </w:t>
      </w:r>
      <w:r>
        <w:rPr>
          <w:sz w:val="21"/>
        </w:rPr>
        <w:t>protected</w:t>
      </w:r>
      <w:r>
        <w:rPr>
          <w:spacing w:val="-2"/>
          <w:sz w:val="21"/>
        </w:rPr>
        <w:t> </w:t>
      </w:r>
      <w:r>
        <w:rPr>
          <w:sz w:val="21"/>
        </w:rPr>
        <w:t>area </w:t>
      </w:r>
    </w:p>
    <w:p>
      <w:pPr>
        <w:pStyle w:val="BodyText"/>
        <w:spacing w:before="12"/>
        <w:rPr>
          <w:sz w:val="17"/>
        </w:rPr>
      </w:pPr>
    </w:p>
    <w:p>
      <w:pPr>
        <w:pStyle w:val="BodyText"/>
        <w:ind w:left="838"/>
      </w:pPr>
      <w:r>
        <w:rPr/>
        <w:t>满足全淹没灭火系统要求的有限封闭空间。 </w:t>
      </w:r>
    </w:p>
    <w:p>
      <w:pPr>
        <w:pStyle w:val="BodyText"/>
        <w:spacing w:before="2"/>
        <w:rPr>
          <w:sz w:val="18"/>
        </w:rPr>
      </w:pPr>
    </w:p>
    <w:p>
      <w:pPr>
        <w:pStyle w:val="ListParagraph"/>
        <w:numPr>
          <w:ilvl w:val="2"/>
          <w:numId w:val="351"/>
        </w:numPr>
        <w:tabs>
          <w:tab w:pos="1371" w:val="left" w:leader="none"/>
        </w:tabs>
        <w:spacing w:line="240" w:lineRule="auto" w:before="0" w:after="0"/>
        <w:ind w:left="1370" w:right="0" w:hanging="531"/>
        <w:jc w:val="left"/>
        <w:rPr>
          <w:sz w:val="21"/>
        </w:rPr>
      </w:pPr>
      <w:r>
        <w:rPr>
          <w:spacing w:val="-3"/>
          <w:sz w:val="21"/>
        </w:rPr>
        <w:t>全淹没灭火系统 </w:t>
      </w:r>
      <w:r>
        <w:rPr>
          <w:sz w:val="21"/>
        </w:rPr>
        <w:t>total</w:t>
      </w:r>
      <w:r>
        <w:rPr>
          <w:spacing w:val="1"/>
          <w:sz w:val="21"/>
        </w:rPr>
        <w:t> </w:t>
      </w:r>
      <w:r>
        <w:rPr>
          <w:sz w:val="21"/>
        </w:rPr>
        <w:t>flooding extinguishing</w:t>
      </w:r>
      <w:r>
        <w:rPr>
          <w:spacing w:val="1"/>
          <w:sz w:val="21"/>
        </w:rPr>
        <w:t> </w:t>
      </w:r>
      <w:r>
        <w:rPr>
          <w:sz w:val="21"/>
        </w:rPr>
        <w:t>system </w:t>
      </w:r>
    </w:p>
    <w:p>
      <w:pPr>
        <w:pStyle w:val="BodyText"/>
        <w:rPr>
          <w:sz w:val="18"/>
        </w:rPr>
      </w:pPr>
    </w:p>
    <w:p>
      <w:pPr>
        <w:pStyle w:val="BodyText"/>
        <w:spacing w:line="446" w:lineRule="auto"/>
        <w:ind w:left="418" w:right="1431" w:firstLine="419"/>
      </w:pPr>
      <w:r>
        <w:rPr>
          <w:spacing w:val="-6"/>
        </w:rPr>
        <w:t>在规定的时间内，向防护区喷放设计规定用量的灭火剂，并使其均匀地充满整个防护区的灭</w:t>
      </w:r>
      <w:r>
        <w:rPr>
          <w:spacing w:val="-5"/>
        </w:rPr>
        <w:t>火系统。</w:t>
      </w:r>
      <w:r>
        <w:rPr/>
        <w:t> </w:t>
      </w:r>
    </w:p>
    <w:p>
      <w:pPr>
        <w:pStyle w:val="ListParagraph"/>
        <w:numPr>
          <w:ilvl w:val="2"/>
          <w:numId w:val="351"/>
        </w:numPr>
        <w:tabs>
          <w:tab w:pos="1370" w:val="left" w:leader="none"/>
        </w:tabs>
        <w:spacing w:line="240" w:lineRule="auto" w:before="0" w:after="0"/>
        <w:ind w:left="1369" w:right="0" w:hanging="530"/>
        <w:jc w:val="left"/>
        <w:rPr>
          <w:sz w:val="21"/>
        </w:rPr>
      </w:pPr>
      <w:r>
        <w:rPr>
          <w:spacing w:val="-3"/>
          <w:sz w:val="21"/>
        </w:rPr>
        <w:t>管网灭火系统 </w:t>
      </w:r>
      <w:r>
        <w:rPr>
          <w:sz w:val="21"/>
        </w:rPr>
        <w:t>piping</w:t>
      </w:r>
      <w:r>
        <w:rPr>
          <w:spacing w:val="1"/>
          <w:sz w:val="21"/>
        </w:rPr>
        <w:t> </w:t>
      </w:r>
      <w:r>
        <w:rPr>
          <w:sz w:val="21"/>
        </w:rPr>
        <w:t>extinguishing system </w:t>
      </w:r>
    </w:p>
    <w:p>
      <w:pPr>
        <w:pStyle w:val="BodyText"/>
        <w:spacing w:before="12"/>
        <w:rPr>
          <w:sz w:val="17"/>
        </w:rPr>
      </w:pPr>
    </w:p>
    <w:p>
      <w:pPr>
        <w:pStyle w:val="BodyText"/>
        <w:spacing w:line="446" w:lineRule="auto"/>
        <w:ind w:left="418" w:right="1410" w:firstLine="419"/>
      </w:pPr>
      <w:r>
        <w:rPr/>
        <w:t>按一定的应用条件进行设计计算，将灭火剂从储存装置经由干管支管输送至喷放组件实施喷放的灭火系统。 </w:t>
      </w:r>
    </w:p>
    <w:p>
      <w:pPr>
        <w:pStyle w:val="ListParagraph"/>
        <w:numPr>
          <w:ilvl w:val="2"/>
          <w:numId w:val="351"/>
        </w:numPr>
        <w:tabs>
          <w:tab w:pos="1370" w:val="left" w:leader="none"/>
        </w:tabs>
        <w:spacing w:line="240" w:lineRule="auto" w:before="1" w:after="0"/>
        <w:ind w:left="1369" w:right="0" w:hanging="530"/>
        <w:jc w:val="left"/>
        <w:rPr>
          <w:sz w:val="21"/>
        </w:rPr>
      </w:pPr>
      <w:r>
        <w:rPr>
          <w:spacing w:val="-3"/>
          <w:sz w:val="21"/>
        </w:rPr>
        <w:t>预制灭火系统 </w:t>
      </w:r>
      <w:r>
        <w:rPr>
          <w:sz w:val="21"/>
        </w:rPr>
        <w:t>pre-engineered</w:t>
      </w:r>
      <w:r>
        <w:rPr>
          <w:spacing w:val="1"/>
          <w:sz w:val="21"/>
        </w:rPr>
        <w:t> </w:t>
      </w:r>
      <w:r>
        <w:rPr>
          <w:sz w:val="21"/>
        </w:rPr>
        <w:t>systems </w:t>
      </w:r>
    </w:p>
    <w:p>
      <w:pPr>
        <w:pStyle w:val="BodyText"/>
        <w:spacing w:before="12"/>
        <w:rPr>
          <w:sz w:val="17"/>
        </w:rPr>
      </w:pPr>
    </w:p>
    <w:p>
      <w:pPr>
        <w:pStyle w:val="BodyText"/>
        <w:spacing w:line="446" w:lineRule="auto"/>
        <w:ind w:left="418" w:right="1431" w:firstLine="419"/>
      </w:pPr>
      <w:r>
        <w:rPr>
          <w:spacing w:val="-6"/>
        </w:rPr>
        <w:t>按一定的应用条件，将灭火剂储存装置和喷放组件等预先设计、组装成套且具有联动控制功</w:t>
      </w:r>
      <w:r>
        <w:rPr>
          <w:spacing w:val="-4"/>
        </w:rPr>
        <w:t>能的灭火系统。</w:t>
      </w:r>
      <w:r>
        <w:rPr/>
        <w:t> </w:t>
      </w:r>
    </w:p>
    <w:p>
      <w:pPr>
        <w:pStyle w:val="ListParagraph"/>
        <w:numPr>
          <w:ilvl w:val="2"/>
          <w:numId w:val="351"/>
        </w:numPr>
        <w:tabs>
          <w:tab w:pos="1371" w:val="left" w:leader="none"/>
        </w:tabs>
        <w:spacing w:line="240" w:lineRule="auto" w:before="0" w:after="0"/>
        <w:ind w:left="1370" w:right="0" w:hanging="531"/>
        <w:jc w:val="left"/>
        <w:rPr>
          <w:sz w:val="21"/>
        </w:rPr>
      </w:pPr>
      <w:r>
        <w:rPr>
          <w:spacing w:val="-3"/>
          <w:sz w:val="21"/>
        </w:rPr>
        <w:t>组合分配系统 </w:t>
      </w:r>
      <w:r>
        <w:rPr>
          <w:sz w:val="21"/>
        </w:rPr>
        <w:t>combined</w:t>
      </w:r>
      <w:r>
        <w:rPr>
          <w:spacing w:val="1"/>
          <w:sz w:val="21"/>
        </w:rPr>
        <w:t> </w:t>
      </w:r>
      <w:r>
        <w:rPr>
          <w:sz w:val="21"/>
        </w:rPr>
        <w:t>distribution</w:t>
      </w:r>
      <w:r>
        <w:rPr>
          <w:spacing w:val="-3"/>
          <w:sz w:val="21"/>
        </w:rPr>
        <w:t> </w:t>
      </w:r>
      <w:r>
        <w:rPr>
          <w:sz w:val="21"/>
        </w:rPr>
        <w:t>systems </w:t>
      </w:r>
    </w:p>
    <w:p>
      <w:pPr>
        <w:pStyle w:val="BodyText"/>
        <w:spacing w:before="12"/>
        <w:rPr>
          <w:sz w:val="17"/>
        </w:rPr>
      </w:pPr>
    </w:p>
    <w:p>
      <w:pPr>
        <w:pStyle w:val="BodyText"/>
        <w:spacing w:line="446" w:lineRule="auto"/>
        <w:ind w:left="840" w:right="1330" w:hanging="3"/>
      </w:pPr>
      <w:r>
        <w:rPr/>
        <w:t>用一套气体灭火剂储存装置通过管网的选择分配，保护两个或两个以上防护区的灭火系统。</w:t>
      </w:r>
      <w:r>
        <w:rPr>
          <w:b/>
        </w:rPr>
        <w:t>2.1.6 </w:t>
      </w:r>
      <w:r>
        <w:rPr/>
        <w:t>灭火浓度 flame extinguishing concentration </w:t>
      </w:r>
    </w:p>
    <w:p>
      <w:pPr>
        <w:pStyle w:val="BodyText"/>
        <w:spacing w:line="446" w:lineRule="auto"/>
        <w:ind w:left="418" w:right="1431" w:firstLine="419"/>
      </w:pPr>
      <w:r>
        <w:rPr>
          <w:spacing w:val="-21"/>
        </w:rPr>
        <w:t>在 </w:t>
      </w:r>
      <w:r>
        <w:rPr/>
        <w:t>101 kPa</w:t>
      </w:r>
      <w:r>
        <w:rPr>
          <w:spacing w:val="-8"/>
        </w:rPr>
        <w:t> 大气压和规定的温度条件下，扑灭某种火灾所需气体灭火剂在空气中的最小体积</w:t>
      </w:r>
      <w:r>
        <w:rPr>
          <w:spacing w:val="-6"/>
        </w:rPr>
        <w:t>百分比。</w:t>
      </w:r>
      <w:r>
        <w:rPr/>
        <w:t> </w:t>
      </w:r>
    </w:p>
    <w:p>
      <w:pPr>
        <w:spacing w:after="0" w:line="446" w:lineRule="auto"/>
        <w:sectPr>
          <w:pgSz w:w="11910" w:h="16850"/>
          <w:pgMar w:header="0" w:footer="1239" w:top="1140" w:bottom="1420" w:left="1260" w:right="0"/>
        </w:sectPr>
      </w:pPr>
    </w:p>
    <w:p>
      <w:pPr>
        <w:pStyle w:val="ListParagraph"/>
        <w:numPr>
          <w:ilvl w:val="2"/>
          <w:numId w:val="352"/>
        </w:numPr>
        <w:tabs>
          <w:tab w:pos="1370" w:val="left" w:leader="none"/>
        </w:tabs>
        <w:spacing w:line="240" w:lineRule="auto" w:before="47" w:after="0"/>
        <w:ind w:left="1369" w:right="0" w:hanging="530"/>
        <w:jc w:val="left"/>
        <w:rPr>
          <w:sz w:val="21"/>
        </w:rPr>
      </w:pPr>
      <w:r>
        <w:rPr>
          <w:spacing w:val="-3"/>
          <w:sz w:val="21"/>
        </w:rPr>
        <w:t>灭火密度 </w:t>
      </w:r>
      <w:r>
        <w:rPr>
          <w:sz w:val="21"/>
        </w:rPr>
        <w:t>flame</w:t>
      </w:r>
      <w:r>
        <w:rPr>
          <w:spacing w:val="-2"/>
          <w:sz w:val="21"/>
        </w:rPr>
        <w:t> </w:t>
      </w:r>
      <w:r>
        <w:rPr>
          <w:sz w:val="21"/>
        </w:rPr>
        <w:t>extinguishing density </w:t>
      </w:r>
    </w:p>
    <w:p>
      <w:pPr>
        <w:pStyle w:val="BodyText"/>
        <w:rPr>
          <w:sz w:val="18"/>
        </w:rPr>
      </w:pPr>
    </w:p>
    <w:p>
      <w:pPr>
        <w:pStyle w:val="BodyText"/>
        <w:spacing w:line="446" w:lineRule="auto"/>
        <w:ind w:left="418" w:right="1431" w:firstLine="419"/>
      </w:pPr>
      <w:r>
        <w:rPr>
          <w:spacing w:val="-21"/>
        </w:rPr>
        <w:t>在 </w:t>
      </w:r>
      <w:r>
        <w:rPr/>
        <w:t>101 kPa</w:t>
      </w:r>
      <w:r>
        <w:rPr>
          <w:spacing w:val="-8"/>
        </w:rPr>
        <w:t> 大气压和规定的温度条件下，扑灭单位容积内某种火灾所需固体热气溶胶发生剂</w:t>
      </w:r>
      <w:r>
        <w:rPr>
          <w:spacing w:val="-6"/>
        </w:rPr>
        <w:t>的质量。</w:t>
      </w:r>
      <w:r>
        <w:rPr/>
        <w:t> </w:t>
      </w:r>
    </w:p>
    <w:p>
      <w:pPr>
        <w:pStyle w:val="ListParagraph"/>
        <w:numPr>
          <w:ilvl w:val="2"/>
          <w:numId w:val="352"/>
        </w:numPr>
        <w:tabs>
          <w:tab w:pos="1371" w:val="left" w:leader="none"/>
        </w:tabs>
        <w:spacing w:line="240" w:lineRule="auto" w:before="0" w:after="0"/>
        <w:ind w:left="1370" w:right="0" w:hanging="531"/>
        <w:jc w:val="left"/>
        <w:rPr>
          <w:sz w:val="21"/>
        </w:rPr>
      </w:pPr>
      <w:r>
        <w:rPr>
          <w:spacing w:val="-3"/>
          <w:sz w:val="21"/>
        </w:rPr>
        <w:t>惰化浓度 </w:t>
      </w:r>
      <w:r>
        <w:rPr>
          <w:sz w:val="21"/>
        </w:rPr>
        <w:t>inerting</w:t>
      </w:r>
      <w:r>
        <w:rPr>
          <w:spacing w:val="1"/>
          <w:sz w:val="21"/>
        </w:rPr>
        <w:t> </w:t>
      </w:r>
      <w:r>
        <w:rPr>
          <w:sz w:val="21"/>
        </w:rPr>
        <w:t>concentration </w:t>
      </w:r>
    </w:p>
    <w:p>
      <w:pPr>
        <w:pStyle w:val="BodyText"/>
        <w:spacing w:before="12"/>
        <w:rPr>
          <w:sz w:val="17"/>
        </w:rPr>
      </w:pPr>
    </w:p>
    <w:p>
      <w:pPr>
        <w:pStyle w:val="BodyText"/>
        <w:spacing w:line="446" w:lineRule="auto"/>
        <w:ind w:left="418" w:right="1431" w:firstLine="419"/>
      </w:pPr>
      <w:r>
        <w:rPr>
          <w:spacing w:val="-8"/>
        </w:rPr>
        <w:t>有火源引入时，在 </w:t>
      </w:r>
      <w:r>
        <w:rPr/>
        <w:t>101 kPa</w:t>
      </w:r>
      <w:r>
        <w:rPr>
          <w:spacing w:val="-8"/>
        </w:rPr>
        <w:t> 大气压和规定的温度条件下，能抑制空气中任意浓度的易燃可燃</w:t>
      </w:r>
      <w:r>
        <w:rPr>
          <w:spacing w:val="-5"/>
        </w:rPr>
        <w:t>气体或易燃可燃液体蒸气的燃烧发生所需的气体灭火剂在空气中的最小体积百分比。</w:t>
      </w:r>
      <w:r>
        <w:rPr/>
        <w:t> </w:t>
      </w:r>
    </w:p>
    <w:p>
      <w:pPr>
        <w:pStyle w:val="ListParagraph"/>
        <w:numPr>
          <w:ilvl w:val="2"/>
          <w:numId w:val="352"/>
        </w:numPr>
        <w:tabs>
          <w:tab w:pos="1371" w:val="left" w:leader="none"/>
        </w:tabs>
        <w:spacing w:line="240" w:lineRule="auto" w:before="0" w:after="0"/>
        <w:ind w:left="1370" w:right="0" w:hanging="531"/>
        <w:jc w:val="left"/>
        <w:rPr>
          <w:sz w:val="21"/>
        </w:rPr>
      </w:pPr>
      <w:r>
        <w:rPr>
          <w:spacing w:val="-3"/>
          <w:sz w:val="21"/>
        </w:rPr>
        <w:t>浸渍时间 </w:t>
      </w:r>
      <w:r>
        <w:rPr>
          <w:sz w:val="21"/>
        </w:rPr>
        <w:t>soaking</w:t>
      </w:r>
      <w:r>
        <w:rPr>
          <w:spacing w:val="-2"/>
          <w:sz w:val="21"/>
        </w:rPr>
        <w:t> </w:t>
      </w:r>
      <w:r>
        <w:rPr>
          <w:sz w:val="21"/>
        </w:rPr>
        <w:t>time </w:t>
      </w:r>
    </w:p>
    <w:p>
      <w:pPr>
        <w:pStyle w:val="BodyText"/>
        <w:rPr>
          <w:sz w:val="18"/>
        </w:rPr>
      </w:pPr>
    </w:p>
    <w:p>
      <w:pPr>
        <w:pStyle w:val="BodyText"/>
        <w:spacing w:line="446" w:lineRule="auto"/>
        <w:ind w:left="840" w:right="3186" w:hanging="3"/>
      </w:pPr>
      <w:r>
        <w:rPr/>
        <w:t>在防护区内维持设计规定的灭火剂浓度，使火灾完全熄灭所需的时间。</w:t>
      </w:r>
      <w:r>
        <w:rPr>
          <w:b/>
        </w:rPr>
        <w:t>2.1.10 </w:t>
      </w:r>
      <w:r>
        <w:rPr/>
        <w:t>泄压口 pressure relief opening </w:t>
      </w:r>
    </w:p>
    <w:p>
      <w:pPr>
        <w:pStyle w:val="BodyText"/>
        <w:spacing w:line="446" w:lineRule="auto"/>
        <w:ind w:left="840" w:right="3606" w:hanging="3"/>
      </w:pPr>
      <w:r>
        <w:rPr/>
        <w:t>灭火剂喷放时，防止防护区内压超过允许压强，泄放压力的开口。</w:t>
      </w:r>
      <w:r>
        <w:rPr>
          <w:b/>
        </w:rPr>
        <w:t>2.1.11 </w:t>
      </w:r>
      <w:r>
        <w:rPr/>
        <w:t>过程中点 course middle point </w:t>
      </w:r>
    </w:p>
    <w:p>
      <w:pPr>
        <w:pStyle w:val="BodyText"/>
        <w:spacing w:line="446" w:lineRule="auto"/>
        <w:ind w:left="838" w:right="3968"/>
      </w:pPr>
      <w:r>
        <w:rPr/>
        <w:t>喷放过程中，当灭火剂喷出量为设计用量 50%时的系统状态。</w:t>
      </w:r>
      <w:r>
        <w:rPr>
          <w:b/>
        </w:rPr>
        <w:t>2.1.12 </w:t>
      </w:r>
      <w:r>
        <w:rPr/>
        <w:t>无毒性反应浓度（NOAEL 浓度） NOAEL concentration 观察不到由灭火剂毒性影响产生生理反应的灭火剂最大浓度。</w:t>
      </w:r>
      <w:r>
        <w:rPr>
          <w:b/>
        </w:rPr>
        <w:t>2.1.13 </w:t>
      </w:r>
      <w:r>
        <w:rPr/>
        <w:t>有毒性反应浓度（LOAEL 浓度） LOAEL concentration 能观察到由灭火剂毒性影响产生生理反应的灭火剂最小浓度。</w:t>
      </w:r>
      <w:r>
        <w:rPr>
          <w:b/>
        </w:rPr>
        <w:t>2.1.14 </w:t>
      </w:r>
      <w:r>
        <w:rPr/>
        <w:t>热气溶胶 condensed fire extinguishing aerosol </w:t>
      </w:r>
    </w:p>
    <w:p>
      <w:pPr>
        <w:pStyle w:val="BodyText"/>
        <w:spacing w:line="446" w:lineRule="auto"/>
        <w:ind w:left="418" w:right="1433" w:firstLine="419"/>
      </w:pPr>
      <w:r>
        <w:rPr>
          <w:spacing w:val="-5"/>
        </w:rPr>
        <w:t>由固体化学混合物</w:t>
      </w:r>
      <w:r>
        <w:rPr/>
        <w:t>（</w:t>
      </w:r>
      <w:r>
        <w:rPr>
          <w:spacing w:val="-3"/>
        </w:rPr>
        <w:t>热气溶胶发生剂</w:t>
      </w:r>
      <w:r>
        <w:rPr>
          <w:spacing w:val="-13"/>
        </w:rPr>
        <w:t>）</w:t>
      </w:r>
      <w:r>
        <w:rPr>
          <w:spacing w:val="-6"/>
        </w:rPr>
        <w:t>经化学反应生成的具有灭火性质的气溶胶，包括 </w:t>
      </w:r>
      <w:r>
        <w:rPr/>
        <w:t>S</w:t>
      </w:r>
      <w:r>
        <w:rPr>
          <w:spacing w:val="-18"/>
        </w:rPr>
        <w:t> 型</w:t>
      </w:r>
      <w:r>
        <w:rPr>
          <w:spacing w:val="-9"/>
        </w:rPr>
        <w:t>热气溶胶、</w:t>
      </w:r>
      <w:r>
        <w:rPr/>
        <w:t>K</w:t>
      </w:r>
      <w:r>
        <w:rPr>
          <w:spacing w:val="-9"/>
        </w:rPr>
        <w:t> 型热气溶胶和其他型热气溶胶。</w:t>
      </w:r>
      <w:r>
        <w:rPr/>
        <w:t> </w:t>
      </w:r>
    </w:p>
    <w:p>
      <w:pPr>
        <w:pStyle w:val="ListParagraph"/>
        <w:numPr>
          <w:ilvl w:val="1"/>
          <w:numId w:val="351"/>
        </w:numPr>
        <w:tabs>
          <w:tab w:pos="1160" w:val="left" w:leader="none"/>
        </w:tabs>
        <w:spacing w:line="240" w:lineRule="auto" w:before="0" w:after="0"/>
        <w:ind w:left="1159" w:right="0" w:hanging="320"/>
        <w:jc w:val="left"/>
        <w:rPr>
          <w:sz w:val="21"/>
        </w:rPr>
      </w:pPr>
      <w:r>
        <w:rPr>
          <w:spacing w:val="-3"/>
          <w:sz w:val="21"/>
        </w:rPr>
        <w:t>符号</w:t>
      </w:r>
      <w:r>
        <w:rPr>
          <w:sz w:val="21"/>
        </w:rPr>
        <w:t> </w:t>
      </w:r>
    </w:p>
    <w:p>
      <w:pPr>
        <w:pStyle w:val="BodyText"/>
        <w:spacing w:before="10"/>
        <w:rPr>
          <w:sz w:val="16"/>
        </w:rPr>
      </w:pPr>
    </w:p>
    <w:p>
      <w:pPr>
        <w:pStyle w:val="BodyText"/>
        <w:spacing w:line="427" w:lineRule="auto" w:before="1"/>
        <w:ind w:left="838" w:right="5917"/>
      </w:pPr>
      <w:r>
        <w:rPr>
          <w:i/>
          <w:position w:val="1"/>
          <w:sz w:val="22"/>
        </w:rPr>
        <w:t>C</w:t>
      </w:r>
      <w:r>
        <w:rPr>
          <w:sz w:val="11"/>
        </w:rPr>
        <w:t>1</w:t>
      </w:r>
      <w:r>
        <w:rPr>
          <w:position w:val="1"/>
        </w:rPr>
        <w:t>——灭火设计浓度或惰化设计浓度； </w:t>
      </w:r>
      <w:r>
        <w:rPr>
          <w:i/>
          <w:position w:val="1"/>
          <w:sz w:val="22"/>
        </w:rPr>
        <w:t>C</w:t>
      </w:r>
      <w:r>
        <w:rPr>
          <w:sz w:val="11"/>
        </w:rPr>
        <w:t>2</w:t>
      </w:r>
      <w:r>
        <w:rPr>
          <w:position w:val="1"/>
        </w:rPr>
        <w:t>——灭火设计灭火密度； </w:t>
      </w:r>
    </w:p>
    <w:p>
      <w:pPr>
        <w:pStyle w:val="BodyText"/>
        <w:spacing w:line="280" w:lineRule="exact"/>
        <w:ind w:left="838"/>
      </w:pPr>
      <w:r>
        <w:rPr>
          <w:i/>
          <w:sz w:val="22"/>
        </w:rPr>
        <w:t>D </w:t>
      </w:r>
      <w:r>
        <w:rPr/>
        <w:t>——管道内径； </w:t>
      </w:r>
    </w:p>
    <w:p>
      <w:pPr>
        <w:pStyle w:val="BodyText"/>
        <w:spacing w:before="11"/>
        <w:rPr>
          <w:sz w:val="16"/>
        </w:rPr>
      </w:pPr>
    </w:p>
    <w:p>
      <w:pPr>
        <w:pStyle w:val="BodyText"/>
        <w:spacing w:line="427" w:lineRule="auto" w:before="1"/>
        <w:ind w:left="838" w:right="7228"/>
        <w:jc w:val="both"/>
      </w:pPr>
      <w:r>
        <w:rPr>
          <w:i/>
          <w:position w:val="1"/>
          <w:sz w:val="22"/>
        </w:rPr>
        <w:t>F</w:t>
      </w:r>
      <w:r>
        <w:rPr>
          <w:sz w:val="11"/>
        </w:rPr>
        <w:t>C</w:t>
      </w:r>
      <w:r>
        <w:rPr>
          <w:position w:val="1"/>
        </w:rPr>
        <w:t>——喷头等效孔口面积； </w:t>
      </w:r>
      <w:r>
        <w:rPr>
          <w:i/>
          <w:position w:val="1"/>
          <w:sz w:val="22"/>
        </w:rPr>
        <w:t>F</w:t>
      </w:r>
      <w:r>
        <w:rPr>
          <w:sz w:val="11"/>
        </w:rPr>
        <w:t>K</w:t>
      </w:r>
      <w:r>
        <w:rPr>
          <w:position w:val="1"/>
        </w:rPr>
        <w:t>——减压孔板孔口面积； </w:t>
      </w:r>
      <w:r>
        <w:rPr>
          <w:i/>
          <w:position w:val="1"/>
          <w:sz w:val="22"/>
        </w:rPr>
        <w:t>F</w:t>
      </w:r>
      <w:r>
        <w:rPr>
          <w:sz w:val="11"/>
        </w:rPr>
        <w:t>x</w:t>
      </w:r>
      <w:r>
        <w:rPr>
          <w:position w:val="1"/>
        </w:rPr>
        <w:t>——泄压口面积； </w:t>
      </w:r>
    </w:p>
    <w:p>
      <w:pPr>
        <w:pStyle w:val="BodyText"/>
        <w:spacing w:line="277" w:lineRule="exact"/>
        <w:ind w:left="838"/>
      </w:pPr>
      <w:r>
        <w:rPr>
          <w:i/>
          <w:sz w:val="22"/>
        </w:rPr>
        <w:t>g </w:t>
      </w:r>
      <w:r>
        <w:rPr/>
        <w:t>——重力加速度； </w:t>
      </w:r>
    </w:p>
    <w:p>
      <w:pPr>
        <w:pStyle w:val="BodyText"/>
        <w:spacing w:before="1"/>
        <w:rPr>
          <w:sz w:val="17"/>
        </w:rPr>
      </w:pPr>
    </w:p>
    <w:p>
      <w:pPr>
        <w:pStyle w:val="BodyText"/>
        <w:spacing w:before="1"/>
        <w:ind w:left="838"/>
      </w:pPr>
      <w:r>
        <w:rPr>
          <w:i/>
          <w:sz w:val="22"/>
        </w:rPr>
        <w:t>H </w:t>
      </w:r>
      <w:r>
        <w:rPr/>
        <w:t>——过程中点时,喷头高度相对储存容器内液面的位差； </w:t>
      </w:r>
    </w:p>
    <w:p>
      <w:pPr>
        <w:spacing w:after="0"/>
        <w:sectPr>
          <w:pgSz w:w="11910" w:h="16850"/>
          <w:pgMar w:header="0" w:footer="1239" w:top="1220" w:bottom="1420" w:left="1260" w:right="0"/>
        </w:sectPr>
      </w:pPr>
    </w:p>
    <w:p>
      <w:pPr>
        <w:pStyle w:val="BodyText"/>
        <w:spacing w:line="424" w:lineRule="auto" w:before="57"/>
        <w:ind w:left="838" w:right="7127"/>
      </w:pPr>
      <w:r>
        <w:rPr>
          <w:i/>
          <w:sz w:val="22"/>
        </w:rPr>
        <w:t>K </w:t>
      </w:r>
      <w:r>
        <w:rPr/>
        <w:t>——海拔高度修正系数； </w:t>
      </w:r>
      <w:r>
        <w:rPr>
          <w:i/>
          <w:position w:val="1"/>
          <w:sz w:val="22"/>
        </w:rPr>
        <w:t>K</w:t>
      </w:r>
      <w:r>
        <w:rPr>
          <w:sz w:val="11"/>
        </w:rPr>
        <w:t>v</w:t>
      </w:r>
      <w:r>
        <w:rPr>
          <w:position w:val="1"/>
        </w:rPr>
        <w:t>——容积修正系数； </w:t>
      </w:r>
    </w:p>
    <w:p>
      <w:pPr>
        <w:pStyle w:val="BodyText"/>
        <w:spacing w:line="427" w:lineRule="auto" w:before="1"/>
        <w:ind w:left="838" w:right="7427"/>
      </w:pPr>
      <w:r>
        <w:rPr>
          <w:i/>
          <w:sz w:val="22"/>
        </w:rPr>
        <w:t>L</w:t>
      </w:r>
      <w:r>
        <w:rPr>
          <w:i/>
          <w:spacing w:val="54"/>
          <w:sz w:val="22"/>
        </w:rPr>
        <w:t>  </w:t>
      </w:r>
      <w:r>
        <w:rPr>
          <w:spacing w:val="-3"/>
        </w:rPr>
        <w:t>——管道计算长度； </w:t>
      </w:r>
      <w:r>
        <w:rPr>
          <w:i/>
          <w:sz w:val="22"/>
        </w:rPr>
        <w:t>n</w:t>
      </w:r>
      <w:r>
        <w:rPr>
          <w:i/>
          <w:spacing w:val="-3"/>
          <w:sz w:val="22"/>
        </w:rPr>
        <w:t> </w:t>
      </w:r>
      <w:r>
        <w:rPr>
          <w:spacing w:val="-3"/>
        </w:rPr>
        <w:t>——储存容器的数量；</w:t>
      </w:r>
      <w:r>
        <w:rPr/>
        <w:t> </w:t>
      </w:r>
    </w:p>
    <w:p>
      <w:pPr>
        <w:pStyle w:val="BodyText"/>
        <w:spacing w:line="279" w:lineRule="exact"/>
        <w:ind w:left="838"/>
      </w:pPr>
      <w:r>
        <w:rPr>
          <w:i/>
          <w:position w:val="1"/>
          <w:sz w:val="22"/>
        </w:rPr>
        <w:t>N</w:t>
      </w:r>
      <w:r>
        <w:rPr>
          <w:sz w:val="11"/>
        </w:rPr>
        <w:t>d</w:t>
      </w:r>
      <w:r>
        <w:rPr>
          <w:position w:val="1"/>
        </w:rPr>
        <w:t>——流程中计算管段的数量； </w:t>
      </w:r>
    </w:p>
    <w:p>
      <w:pPr>
        <w:pStyle w:val="BodyText"/>
        <w:rPr>
          <w:sz w:val="17"/>
        </w:rPr>
      </w:pPr>
    </w:p>
    <w:p>
      <w:pPr>
        <w:pStyle w:val="BodyText"/>
        <w:spacing w:line="427" w:lineRule="auto"/>
        <w:ind w:left="838" w:right="5709"/>
      </w:pPr>
      <w:r>
        <w:rPr>
          <w:i/>
          <w:position w:val="1"/>
          <w:sz w:val="22"/>
        </w:rPr>
        <w:t>N</w:t>
      </w:r>
      <w:r>
        <w:rPr>
          <w:sz w:val="11"/>
        </w:rPr>
        <w:t>g</w:t>
      </w:r>
      <w:r>
        <w:rPr>
          <w:position w:val="1"/>
        </w:rPr>
        <w:t>——安装在计算支管下游的喷头数量； </w:t>
      </w:r>
      <w:r>
        <w:rPr>
          <w:i/>
          <w:position w:val="1"/>
          <w:sz w:val="22"/>
        </w:rPr>
        <w:t>P</w:t>
      </w:r>
      <w:r>
        <w:rPr>
          <w:sz w:val="11"/>
        </w:rPr>
        <w:t>o</w:t>
      </w:r>
      <w:r>
        <w:rPr>
          <w:position w:val="1"/>
        </w:rPr>
        <w:t>——灭火剂储存容器充压(或增压)压力； </w:t>
      </w:r>
      <w:r>
        <w:rPr>
          <w:i/>
          <w:position w:val="1"/>
          <w:sz w:val="22"/>
        </w:rPr>
        <w:t>P</w:t>
      </w:r>
      <w:r>
        <w:rPr>
          <w:sz w:val="11"/>
        </w:rPr>
        <w:t>1</w:t>
      </w:r>
      <w:r>
        <w:rPr>
          <w:position w:val="1"/>
        </w:rPr>
        <w:t>——减压孔板前压力； </w:t>
      </w:r>
    </w:p>
    <w:p>
      <w:pPr>
        <w:pStyle w:val="BodyText"/>
        <w:spacing w:line="427" w:lineRule="auto"/>
        <w:ind w:left="838" w:right="7127"/>
      </w:pPr>
      <w:r>
        <w:rPr>
          <w:i/>
          <w:position w:val="1"/>
          <w:sz w:val="22"/>
        </w:rPr>
        <w:t>P</w:t>
      </w:r>
      <w:r>
        <w:rPr>
          <w:sz w:val="11"/>
        </w:rPr>
        <w:t>2</w:t>
      </w:r>
      <w:r>
        <w:rPr>
          <w:position w:val="1"/>
        </w:rPr>
        <w:t>——减压孔板后压力； </w:t>
      </w:r>
      <w:r>
        <w:rPr>
          <w:i/>
          <w:position w:val="1"/>
          <w:sz w:val="22"/>
        </w:rPr>
        <w:t>P</w:t>
      </w:r>
      <w:r>
        <w:rPr>
          <w:sz w:val="11"/>
        </w:rPr>
        <w:t>c</w:t>
      </w:r>
      <w:r>
        <w:rPr>
          <w:position w:val="1"/>
        </w:rPr>
        <w:t>——喷头工作压力； </w:t>
      </w:r>
    </w:p>
    <w:p>
      <w:pPr>
        <w:pStyle w:val="BodyText"/>
        <w:spacing w:line="424" w:lineRule="auto"/>
        <w:ind w:left="838" w:right="5917"/>
      </w:pPr>
      <w:r>
        <w:rPr>
          <w:i/>
          <w:position w:val="1"/>
          <w:sz w:val="22"/>
        </w:rPr>
        <w:t>P</w:t>
      </w:r>
      <w:r>
        <w:rPr>
          <w:sz w:val="11"/>
        </w:rPr>
        <w:t>f</w:t>
      </w:r>
      <w:r>
        <w:rPr>
          <w:position w:val="1"/>
        </w:rPr>
        <w:t>——围护结构承受内压的允许压强； </w:t>
      </w:r>
      <w:r>
        <w:rPr>
          <w:i/>
          <w:position w:val="1"/>
          <w:sz w:val="22"/>
        </w:rPr>
        <w:t>P</w:t>
      </w:r>
      <w:r>
        <w:rPr>
          <w:sz w:val="11"/>
        </w:rPr>
        <w:t>h</w:t>
      </w:r>
      <w:r>
        <w:rPr>
          <w:position w:val="1"/>
        </w:rPr>
        <w:t>——高程压头； </w:t>
      </w:r>
    </w:p>
    <w:p>
      <w:pPr>
        <w:pStyle w:val="BodyText"/>
        <w:spacing w:line="424" w:lineRule="auto"/>
        <w:ind w:left="838" w:right="6435"/>
      </w:pPr>
      <w:r>
        <w:rPr>
          <w:i/>
          <w:position w:val="1"/>
          <w:sz w:val="22"/>
        </w:rPr>
        <w:t>P</w:t>
      </w:r>
      <w:r>
        <w:rPr>
          <w:sz w:val="11"/>
        </w:rPr>
        <w:t>m</w:t>
      </w:r>
      <w:r>
        <w:rPr>
          <w:spacing w:val="-3"/>
          <w:position w:val="1"/>
        </w:rPr>
        <w:t>——过程中点时储存容器内压力； </w:t>
      </w:r>
      <w:r>
        <w:rPr>
          <w:i/>
          <w:sz w:val="22"/>
        </w:rPr>
        <w:t>Q</w:t>
      </w:r>
      <w:r>
        <w:rPr>
          <w:i/>
          <w:spacing w:val="-5"/>
          <w:sz w:val="22"/>
        </w:rPr>
        <w:t> </w:t>
      </w:r>
      <w:r>
        <w:rPr>
          <w:spacing w:val="-3"/>
        </w:rPr>
        <w:t>——管道设计流量；</w:t>
      </w:r>
      <w:r>
        <w:rPr/>
        <w:t> </w:t>
      </w:r>
    </w:p>
    <w:p>
      <w:pPr>
        <w:pStyle w:val="BodyText"/>
        <w:spacing w:line="424" w:lineRule="auto"/>
        <w:ind w:left="838" w:right="6918"/>
      </w:pPr>
      <w:r>
        <w:rPr>
          <w:i/>
          <w:position w:val="1"/>
          <w:sz w:val="22"/>
        </w:rPr>
        <w:t>Q</w:t>
      </w:r>
      <w:r>
        <w:rPr>
          <w:sz w:val="11"/>
        </w:rPr>
        <w:t>c</w:t>
      </w:r>
      <w:r>
        <w:rPr>
          <w:position w:val="1"/>
        </w:rPr>
        <w:t>——单个喷头的设计流量； </w:t>
      </w:r>
      <w:r>
        <w:rPr>
          <w:i/>
          <w:position w:val="1"/>
          <w:sz w:val="22"/>
        </w:rPr>
        <w:t>Q</w:t>
      </w:r>
      <w:r>
        <w:rPr>
          <w:sz w:val="11"/>
        </w:rPr>
        <w:t>g</w:t>
      </w:r>
      <w:r>
        <w:rPr>
          <w:position w:val="1"/>
        </w:rPr>
        <w:t>——支管平均设计流量； </w:t>
      </w:r>
      <w:r>
        <w:rPr>
          <w:i/>
          <w:position w:val="1"/>
          <w:sz w:val="22"/>
        </w:rPr>
        <w:t>Q</w:t>
      </w:r>
      <w:r>
        <w:rPr>
          <w:sz w:val="11"/>
        </w:rPr>
        <w:t>k</w:t>
      </w:r>
      <w:r>
        <w:rPr>
          <w:position w:val="1"/>
        </w:rPr>
        <w:t>——减压孔板设计流量； </w:t>
      </w:r>
      <w:r>
        <w:rPr>
          <w:i/>
          <w:position w:val="1"/>
          <w:sz w:val="22"/>
        </w:rPr>
        <w:t>Q</w:t>
      </w:r>
      <w:r>
        <w:rPr>
          <w:sz w:val="11"/>
        </w:rPr>
        <w:t>w</w:t>
      </w:r>
      <w:r>
        <w:rPr>
          <w:position w:val="1"/>
        </w:rPr>
        <w:t>——主干管平均设计流量； </w:t>
      </w:r>
    </w:p>
    <w:p>
      <w:pPr>
        <w:pStyle w:val="BodyText"/>
        <w:spacing w:line="424" w:lineRule="auto" w:before="2"/>
        <w:ind w:left="838" w:right="5709"/>
      </w:pPr>
      <w:r>
        <w:rPr>
          <w:i/>
          <w:position w:val="1"/>
          <w:sz w:val="22"/>
        </w:rPr>
        <w:t>Q</w:t>
      </w:r>
      <w:r>
        <w:rPr>
          <w:sz w:val="11"/>
        </w:rPr>
        <w:t>x</w:t>
      </w:r>
      <w:r>
        <w:rPr>
          <w:position w:val="1"/>
        </w:rPr>
        <w:t>——灭火剂在防护区的平均喷放速率； </w:t>
      </w:r>
      <w:r>
        <w:rPr>
          <w:i/>
          <w:position w:val="1"/>
          <w:sz w:val="22"/>
        </w:rPr>
        <w:t>q</w:t>
      </w:r>
      <w:r>
        <w:rPr>
          <w:sz w:val="11"/>
        </w:rPr>
        <w:t>c</w:t>
      </w:r>
      <w:r>
        <w:rPr>
          <w:position w:val="1"/>
        </w:rPr>
        <w:t>——等效孔口单位面积喷射率； </w:t>
      </w:r>
    </w:p>
    <w:p>
      <w:pPr>
        <w:pStyle w:val="BodyText"/>
        <w:spacing w:before="2"/>
        <w:ind w:left="838"/>
      </w:pPr>
      <w:r>
        <w:rPr>
          <w:i/>
          <w:sz w:val="22"/>
        </w:rPr>
        <w:t>S </w:t>
      </w:r>
      <w:r>
        <w:rPr/>
        <w:t>——灭火剂过热蒸气或灭火剂气体在101kPa 大气压和防护区最低环境温度下的质量体积； </w:t>
      </w:r>
    </w:p>
    <w:p>
      <w:pPr>
        <w:pStyle w:val="BodyText"/>
        <w:spacing w:before="2"/>
        <w:rPr>
          <w:sz w:val="17"/>
        </w:rPr>
      </w:pPr>
    </w:p>
    <w:p>
      <w:pPr>
        <w:pStyle w:val="BodyText"/>
        <w:spacing w:line="424" w:lineRule="auto"/>
        <w:ind w:left="838" w:right="6969"/>
        <w:jc w:val="both"/>
      </w:pPr>
      <w:r>
        <w:rPr>
          <w:i/>
          <w:sz w:val="22"/>
        </w:rPr>
        <w:t>T</w:t>
      </w:r>
      <w:r>
        <w:rPr>
          <w:i/>
          <w:spacing w:val="12"/>
          <w:sz w:val="22"/>
        </w:rPr>
        <w:t> </w:t>
      </w:r>
      <w:r>
        <w:rPr>
          <w:spacing w:val="-3"/>
        </w:rPr>
        <w:t>——防护区最低环境温度； </w:t>
      </w:r>
      <w:r>
        <w:rPr>
          <w:i/>
          <w:sz w:val="22"/>
        </w:rPr>
        <w:t>t</w:t>
      </w:r>
      <w:r>
        <w:rPr>
          <w:i/>
          <w:spacing w:val="12"/>
          <w:sz w:val="22"/>
        </w:rPr>
        <w:t> </w:t>
      </w:r>
      <w:r>
        <w:rPr>
          <w:spacing w:val="-3"/>
        </w:rPr>
        <w:t>——灭火剂设计喷放时间； </w:t>
      </w:r>
      <w:r>
        <w:rPr>
          <w:i/>
          <w:sz w:val="22"/>
        </w:rPr>
        <w:t>V</w:t>
      </w:r>
      <w:r>
        <w:rPr>
          <w:i/>
          <w:spacing w:val="-4"/>
          <w:sz w:val="22"/>
        </w:rPr>
        <w:t> </w:t>
      </w:r>
      <w:r>
        <w:rPr>
          <w:spacing w:val="-3"/>
        </w:rPr>
        <w:t>——防护区的净容积；</w:t>
      </w:r>
      <w:r>
        <w:rPr/>
        <w:t> </w:t>
      </w:r>
    </w:p>
    <w:p>
      <w:pPr>
        <w:pStyle w:val="BodyText"/>
        <w:spacing w:before="3"/>
        <w:ind w:left="838"/>
        <w:jc w:val="both"/>
      </w:pPr>
      <w:r>
        <w:rPr>
          <w:i/>
          <w:w w:val="96"/>
          <w:position w:val="1"/>
          <w:sz w:val="22"/>
        </w:rPr>
        <w:t>V</w:t>
      </w:r>
      <w:r>
        <w:rPr>
          <w:w w:val="100"/>
          <w:sz w:val="11"/>
        </w:rPr>
        <w:t>o</w:t>
      </w:r>
      <w:r>
        <w:rPr>
          <w:spacing w:val="-3"/>
          <w:w w:val="100"/>
          <w:position w:val="1"/>
        </w:rPr>
        <w:t>——喷放前，全部储存容器内的气相总容积（</w:t>
      </w:r>
      <w:r>
        <w:rPr>
          <w:w w:val="100"/>
          <w:position w:val="1"/>
        </w:rPr>
        <w:t>对</w:t>
      </w:r>
      <w:r>
        <w:rPr>
          <w:spacing w:val="-55"/>
          <w:position w:val="1"/>
        </w:rPr>
        <w:t> </w:t>
      </w:r>
      <w:r>
        <w:rPr>
          <w:w w:val="100"/>
          <w:position w:val="1"/>
        </w:rPr>
        <w:t>IG541</w:t>
      </w:r>
      <w:r>
        <w:rPr>
          <w:spacing w:val="-55"/>
          <w:position w:val="1"/>
        </w:rPr>
        <w:t> </w:t>
      </w:r>
      <w:r>
        <w:rPr>
          <w:spacing w:val="-3"/>
          <w:w w:val="100"/>
          <w:position w:val="1"/>
        </w:rPr>
        <w:t>系统为全部储存容器的总容积</w:t>
      </w:r>
      <w:r>
        <w:rPr>
          <w:spacing w:val="-106"/>
          <w:w w:val="100"/>
          <w:position w:val="1"/>
        </w:rPr>
        <w:t>）</w:t>
      </w:r>
      <w:r>
        <w:rPr>
          <w:spacing w:val="-3"/>
          <w:w w:val="100"/>
          <w:position w:val="1"/>
        </w:rPr>
        <w:t>；</w:t>
      </w:r>
      <w:r>
        <w:rPr>
          <w:w w:val="100"/>
          <w:position w:val="1"/>
        </w:rPr>
        <w:t> </w:t>
      </w:r>
    </w:p>
    <w:p>
      <w:pPr>
        <w:pStyle w:val="BodyText"/>
        <w:spacing w:before="12"/>
        <w:rPr>
          <w:sz w:val="16"/>
        </w:rPr>
      </w:pPr>
    </w:p>
    <w:p>
      <w:pPr>
        <w:pStyle w:val="BodyText"/>
        <w:spacing w:line="427" w:lineRule="auto"/>
        <w:ind w:left="838" w:right="6599"/>
        <w:jc w:val="both"/>
      </w:pPr>
      <w:r>
        <w:rPr>
          <w:i/>
          <w:position w:val="1"/>
          <w:sz w:val="22"/>
        </w:rPr>
        <w:t>V</w:t>
      </w:r>
      <w:r>
        <w:rPr>
          <w:sz w:val="11"/>
        </w:rPr>
        <w:t>1</w:t>
      </w:r>
      <w:r>
        <w:rPr>
          <w:position w:val="1"/>
        </w:rPr>
        <w:t>——减压孔板前管网管道容积； </w:t>
      </w:r>
      <w:r>
        <w:rPr>
          <w:i/>
          <w:position w:val="1"/>
          <w:sz w:val="22"/>
        </w:rPr>
        <w:t>V</w:t>
      </w:r>
      <w:r>
        <w:rPr>
          <w:sz w:val="11"/>
        </w:rPr>
        <w:t>2</w:t>
      </w:r>
      <w:r>
        <w:rPr>
          <w:position w:val="1"/>
        </w:rPr>
        <w:t>——减压孔板后管网管道容积； </w:t>
      </w:r>
      <w:r>
        <w:rPr>
          <w:i/>
          <w:position w:val="1"/>
          <w:sz w:val="22"/>
        </w:rPr>
        <w:t>V</w:t>
      </w:r>
      <w:r>
        <w:rPr>
          <w:sz w:val="11"/>
        </w:rPr>
        <w:t>b</w:t>
      </w:r>
      <w:r>
        <w:rPr>
          <w:position w:val="1"/>
        </w:rPr>
        <w:t>——储存容器的容量； </w:t>
      </w:r>
    </w:p>
    <w:p>
      <w:pPr>
        <w:spacing w:after="0" w:line="427" w:lineRule="auto"/>
        <w:jc w:val="both"/>
        <w:sectPr>
          <w:pgSz w:w="11910" w:h="16850"/>
          <w:pgMar w:header="0" w:footer="1239" w:top="1200" w:bottom="1420" w:left="1260" w:right="0"/>
        </w:sectPr>
      </w:pPr>
    </w:p>
    <w:p>
      <w:pPr>
        <w:pStyle w:val="BodyText"/>
        <w:spacing w:before="57"/>
        <w:ind w:left="838"/>
      </w:pPr>
      <w:r>
        <w:rPr>
          <w:i/>
          <w:spacing w:val="-1"/>
          <w:position w:val="1"/>
          <w:sz w:val="22"/>
        </w:rPr>
        <w:t>V</w:t>
      </w:r>
      <w:r>
        <w:rPr>
          <w:spacing w:val="-1"/>
          <w:sz w:val="11"/>
        </w:rPr>
        <w:t>P</w:t>
      </w:r>
      <w:r>
        <w:rPr>
          <w:spacing w:val="-3"/>
          <w:position w:val="1"/>
        </w:rPr>
        <w:t>——管网的管道内容积； </w:t>
      </w:r>
    </w:p>
    <w:p>
      <w:pPr>
        <w:pStyle w:val="BodyText"/>
        <w:rPr>
          <w:sz w:val="17"/>
        </w:rPr>
      </w:pPr>
    </w:p>
    <w:p>
      <w:pPr>
        <w:pStyle w:val="BodyText"/>
        <w:spacing w:line="424" w:lineRule="auto"/>
        <w:ind w:left="838" w:right="5917"/>
      </w:pPr>
      <w:r>
        <w:rPr>
          <w:i/>
          <w:sz w:val="22"/>
        </w:rPr>
        <w:t>W</w:t>
      </w:r>
      <w:r>
        <w:rPr>
          <w:i/>
          <w:spacing w:val="1"/>
          <w:sz w:val="22"/>
        </w:rPr>
        <w:t> </w:t>
      </w:r>
      <w:r>
        <w:rPr>
          <w:spacing w:val="-3"/>
        </w:rPr>
        <w:t>——灭火设计用量或惰化设计用量； </w:t>
      </w:r>
      <w:r>
        <w:rPr>
          <w:i/>
          <w:position w:val="1"/>
          <w:sz w:val="22"/>
        </w:rPr>
        <w:t>W</w:t>
      </w:r>
      <w:r>
        <w:rPr>
          <w:sz w:val="11"/>
        </w:rPr>
        <w:t>o</w:t>
      </w:r>
      <w:r>
        <w:rPr>
          <w:spacing w:val="-3"/>
          <w:position w:val="1"/>
        </w:rPr>
        <w:t>——系统灭火剂储存量； </w:t>
      </w:r>
    </w:p>
    <w:p>
      <w:pPr>
        <w:pStyle w:val="BodyText"/>
        <w:spacing w:line="424" w:lineRule="auto" w:before="3"/>
        <w:ind w:left="838" w:right="6865"/>
      </w:pPr>
      <w:r>
        <w:rPr>
          <w:i/>
          <w:position w:val="1"/>
          <w:sz w:val="22"/>
        </w:rPr>
        <w:t>W</w:t>
      </w:r>
      <w:r>
        <w:rPr>
          <w:sz w:val="11"/>
        </w:rPr>
        <w:t>s</w:t>
      </w:r>
      <w:r>
        <w:rPr>
          <w:spacing w:val="-3"/>
          <w:position w:val="1"/>
        </w:rPr>
        <w:t>——系统灭火剂剩余量； </w:t>
      </w:r>
      <w:r>
        <w:rPr>
          <w:i/>
          <w:spacing w:val="-3"/>
          <w:position w:val="1"/>
          <w:sz w:val="22"/>
        </w:rPr>
        <w:t>Y</w:t>
      </w:r>
      <w:r>
        <w:rPr>
          <w:spacing w:val="-3"/>
          <w:sz w:val="11"/>
        </w:rPr>
        <w:t>1</w:t>
      </w:r>
      <w:r>
        <w:rPr>
          <w:spacing w:val="-3"/>
          <w:position w:val="1"/>
        </w:rPr>
        <w:t>——计算管段始端压力系数； </w:t>
      </w:r>
      <w:r>
        <w:rPr>
          <w:i/>
          <w:position w:val="1"/>
          <w:sz w:val="22"/>
        </w:rPr>
        <w:t>Y</w:t>
      </w:r>
      <w:r>
        <w:rPr>
          <w:sz w:val="11"/>
        </w:rPr>
        <w:t>2</w:t>
      </w:r>
      <w:r>
        <w:rPr>
          <w:spacing w:val="-3"/>
          <w:position w:val="1"/>
        </w:rPr>
        <w:t>——计算管段末端压力系数； </w:t>
      </w:r>
      <w:r>
        <w:rPr>
          <w:i/>
          <w:position w:val="1"/>
          <w:sz w:val="22"/>
        </w:rPr>
        <w:t>Z</w:t>
      </w:r>
      <w:r>
        <w:rPr>
          <w:sz w:val="11"/>
        </w:rPr>
        <w:t>1</w:t>
      </w:r>
      <w:r>
        <w:rPr>
          <w:spacing w:val="-3"/>
          <w:position w:val="1"/>
        </w:rPr>
        <w:t>——计算管段始端密度系数； </w:t>
      </w:r>
      <w:r>
        <w:rPr>
          <w:i/>
          <w:position w:val="1"/>
          <w:sz w:val="22"/>
        </w:rPr>
        <w:t>Z</w:t>
      </w:r>
      <w:r>
        <w:rPr>
          <w:sz w:val="11"/>
        </w:rPr>
        <w:t>2</w:t>
      </w:r>
      <w:r>
        <w:rPr>
          <w:spacing w:val="-3"/>
          <w:position w:val="1"/>
        </w:rPr>
        <w:t>——计算管段末端密度系数； </w:t>
      </w:r>
      <w:r>
        <w:rPr>
          <w:i/>
          <w:sz w:val="22"/>
        </w:rPr>
        <w:t>γ</w:t>
      </w:r>
      <w:r>
        <w:rPr>
          <w:i/>
          <w:spacing w:val="28"/>
          <w:sz w:val="22"/>
        </w:rPr>
        <w:t>  </w:t>
      </w:r>
      <w:r>
        <w:rPr>
          <w:spacing w:val="-3"/>
        </w:rPr>
        <w:t>——七氟丙烷液体密度； </w:t>
      </w:r>
      <w:r>
        <w:rPr>
          <w:i/>
          <w:sz w:val="22"/>
        </w:rPr>
        <w:t>δ</w:t>
      </w:r>
      <w:r>
        <w:rPr>
          <w:i/>
          <w:spacing w:val="99"/>
          <w:sz w:val="22"/>
        </w:rPr>
        <w:t> </w:t>
      </w:r>
      <w:r>
        <w:rPr>
          <w:spacing w:val="-3"/>
        </w:rPr>
        <w:t>——落压比；</w:t>
      </w:r>
      <w:r>
        <w:rPr/>
        <w:t> </w:t>
      </w:r>
    </w:p>
    <w:p>
      <w:pPr>
        <w:spacing w:before="8"/>
        <w:ind w:left="838" w:right="0" w:firstLine="0"/>
        <w:jc w:val="left"/>
        <w:rPr>
          <w:sz w:val="21"/>
        </w:rPr>
      </w:pPr>
      <w:r>
        <w:rPr>
          <w:i/>
          <w:sz w:val="22"/>
        </w:rPr>
        <w:t>η </w:t>
      </w:r>
      <w:r>
        <w:rPr>
          <w:sz w:val="21"/>
        </w:rPr>
        <w:t>——充装量； </w:t>
      </w:r>
    </w:p>
    <w:p>
      <w:pPr>
        <w:pStyle w:val="BodyText"/>
        <w:spacing w:before="11"/>
        <w:rPr>
          <w:sz w:val="16"/>
        </w:rPr>
      </w:pPr>
    </w:p>
    <w:p>
      <w:pPr>
        <w:pStyle w:val="BodyText"/>
        <w:ind w:left="838"/>
      </w:pPr>
      <w:r>
        <w:rPr>
          <w:i/>
          <w:position w:val="1"/>
          <w:sz w:val="22"/>
        </w:rPr>
        <w:t>μ</w:t>
      </w:r>
      <w:r>
        <w:rPr>
          <w:sz w:val="11"/>
        </w:rPr>
        <w:t>k</w:t>
      </w:r>
      <w:r>
        <w:rPr>
          <w:position w:val="1"/>
        </w:rPr>
        <w:t>——减压孔板流量系数； </w:t>
      </w:r>
    </w:p>
    <w:p>
      <w:pPr>
        <w:pStyle w:val="BodyText"/>
        <w:spacing w:before="3"/>
        <w:rPr>
          <w:sz w:val="17"/>
        </w:rPr>
      </w:pPr>
    </w:p>
    <w:p>
      <w:pPr>
        <w:pStyle w:val="BodyText"/>
        <w:ind w:left="838"/>
      </w:pPr>
      <w:r>
        <w:rPr/>
        <w:t>Δ</w:t>
      </w:r>
      <w:r>
        <w:rPr>
          <w:i/>
          <w:sz w:val="22"/>
        </w:rPr>
        <w:t>P</w:t>
      </w:r>
      <w:r>
        <w:rPr/>
        <w:t>——计算管段阻力损失； </w:t>
      </w:r>
    </w:p>
    <w:p>
      <w:pPr>
        <w:pStyle w:val="BodyText"/>
        <w:spacing w:before="12"/>
        <w:rPr>
          <w:sz w:val="16"/>
        </w:rPr>
      </w:pPr>
    </w:p>
    <w:p>
      <w:pPr>
        <w:pStyle w:val="BodyText"/>
        <w:spacing w:line="424" w:lineRule="auto"/>
        <w:ind w:left="838" w:right="6179"/>
      </w:pPr>
      <w:r>
        <w:rPr>
          <w:position w:val="1"/>
        </w:rPr>
        <w:t>Δ</w:t>
      </w:r>
      <w:r>
        <w:rPr>
          <w:i/>
          <w:position w:val="1"/>
          <w:sz w:val="22"/>
        </w:rPr>
        <w:t>W</w:t>
      </w:r>
      <w:r>
        <w:rPr>
          <w:sz w:val="11"/>
        </w:rPr>
        <w:t>1</w:t>
      </w:r>
      <w:r>
        <w:rPr>
          <w:position w:val="1"/>
        </w:rPr>
        <w:t>——储存容器内的灭火剂剩余量； Δ</w:t>
      </w:r>
      <w:r>
        <w:rPr>
          <w:i/>
          <w:position w:val="1"/>
          <w:sz w:val="22"/>
        </w:rPr>
        <w:t>W</w:t>
      </w:r>
      <w:r>
        <w:rPr>
          <w:sz w:val="11"/>
        </w:rPr>
        <w:t>2</w:t>
      </w:r>
      <w:r>
        <w:rPr>
          <w:position w:val="1"/>
        </w:rPr>
        <w:t>——管道内的灭火剂剩余量。 </w:t>
      </w:r>
    </w:p>
    <w:p>
      <w:pPr>
        <w:pStyle w:val="Heading4"/>
        <w:spacing w:line="291" w:lineRule="exact"/>
      </w:pPr>
      <w:r>
        <w:rPr/>
        <w:t>3 设计要求</w:t>
      </w:r>
      <w:r>
        <w:rPr>
          <w:w w:val="99"/>
        </w:rPr>
        <w:t> </w:t>
      </w:r>
    </w:p>
    <w:p>
      <w:pPr>
        <w:pStyle w:val="BodyText"/>
        <w:spacing w:before="4"/>
        <w:rPr>
          <w:b/>
          <w:sz w:val="17"/>
        </w:rPr>
      </w:pPr>
    </w:p>
    <w:p>
      <w:pPr>
        <w:pStyle w:val="ListParagraph"/>
        <w:numPr>
          <w:ilvl w:val="1"/>
          <w:numId w:val="353"/>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353"/>
        </w:numPr>
        <w:tabs>
          <w:tab w:pos="1371" w:val="left" w:leader="none"/>
        </w:tabs>
        <w:spacing w:line="446" w:lineRule="auto" w:before="0" w:after="0"/>
        <w:ind w:left="418" w:right="1431" w:firstLine="422"/>
        <w:jc w:val="left"/>
        <w:rPr>
          <w:sz w:val="21"/>
        </w:rPr>
      </w:pPr>
      <w:r>
        <w:rPr>
          <w:spacing w:val="-6"/>
          <w:sz w:val="21"/>
        </w:rPr>
        <w:t>采用气体灭火系统保护的防护区，其灭火设计用量或惰化设计用量，应根据防护区内</w:t>
      </w:r>
      <w:r>
        <w:rPr>
          <w:spacing w:val="-4"/>
          <w:sz w:val="21"/>
        </w:rPr>
        <w:t>可燃物相应的灭火设计浓度或惰化设计浓度经计算确定。</w:t>
      </w:r>
      <w:r>
        <w:rPr>
          <w:sz w:val="21"/>
        </w:rPr>
        <w:t> </w:t>
      </w:r>
    </w:p>
    <w:p>
      <w:pPr>
        <w:pStyle w:val="ListParagraph"/>
        <w:numPr>
          <w:ilvl w:val="2"/>
          <w:numId w:val="353"/>
        </w:numPr>
        <w:tabs>
          <w:tab w:pos="1370" w:val="left" w:leader="none"/>
        </w:tabs>
        <w:spacing w:line="446" w:lineRule="auto" w:before="1" w:after="0"/>
        <w:ind w:left="418" w:right="1431" w:firstLine="422"/>
        <w:jc w:val="left"/>
        <w:rPr>
          <w:sz w:val="21"/>
        </w:rPr>
      </w:pPr>
      <w:r>
        <w:rPr>
          <w:spacing w:val="-18"/>
          <w:sz w:val="21"/>
        </w:rPr>
        <w:t>有爆炸危险的气体、液体类火灾的防护区，应采用惰化设计浓度；无爆炸危险的气体、</w:t>
      </w:r>
      <w:r>
        <w:rPr>
          <w:spacing w:val="-7"/>
          <w:sz w:val="21"/>
        </w:rPr>
        <w:t>液体类火灾和固体类火灾的防护区，应采用灭火设计浓度。</w:t>
      </w:r>
      <w:r>
        <w:rPr>
          <w:sz w:val="21"/>
        </w:rPr>
        <w:t> </w:t>
      </w:r>
    </w:p>
    <w:p>
      <w:pPr>
        <w:pStyle w:val="ListParagraph"/>
        <w:numPr>
          <w:ilvl w:val="2"/>
          <w:numId w:val="353"/>
        </w:numPr>
        <w:tabs>
          <w:tab w:pos="1370" w:val="left" w:leader="none"/>
        </w:tabs>
        <w:spacing w:line="446" w:lineRule="auto" w:before="0" w:after="0"/>
        <w:ind w:left="418" w:right="1431" w:firstLine="422"/>
        <w:jc w:val="left"/>
        <w:rPr>
          <w:sz w:val="21"/>
        </w:rPr>
      </w:pPr>
      <w:r>
        <w:rPr>
          <w:spacing w:val="-6"/>
          <w:sz w:val="21"/>
        </w:rPr>
        <w:t>几种可燃物共存或混合时，灭火设计浓度或惰化设计浓度，应按其中最大的灭火设计</w:t>
      </w:r>
      <w:r>
        <w:rPr>
          <w:spacing w:val="-4"/>
          <w:sz w:val="21"/>
        </w:rPr>
        <w:t>浓度或惰化设计浓度确定。 </w:t>
      </w:r>
    </w:p>
    <w:p>
      <w:pPr>
        <w:pStyle w:val="ListParagraph"/>
        <w:numPr>
          <w:ilvl w:val="2"/>
          <w:numId w:val="353"/>
        </w:numPr>
        <w:tabs>
          <w:tab w:pos="1370" w:val="left" w:leader="none"/>
        </w:tabs>
        <w:spacing w:line="446" w:lineRule="auto" w:before="0" w:after="0"/>
        <w:ind w:left="418" w:right="1431" w:firstLine="422"/>
        <w:jc w:val="left"/>
        <w:rPr>
          <w:sz w:val="21"/>
        </w:rPr>
      </w:pPr>
      <w:r>
        <w:rPr>
          <w:spacing w:val="-5"/>
          <w:sz w:val="21"/>
        </w:rPr>
        <w:t>两个或两个以上的防护区采用组合分配系统时，一个组合分配系统所保护的防护区不</w:t>
      </w:r>
      <w:r>
        <w:rPr>
          <w:spacing w:val="-16"/>
          <w:sz w:val="21"/>
        </w:rPr>
        <w:t>应超过 </w:t>
      </w:r>
      <w:r>
        <w:rPr>
          <w:sz w:val="21"/>
        </w:rPr>
        <w:t>8</w:t>
      </w:r>
      <w:r>
        <w:rPr>
          <w:spacing w:val="-20"/>
          <w:sz w:val="21"/>
        </w:rPr>
        <w:t> 个。</w:t>
      </w:r>
      <w:r>
        <w:rPr>
          <w:sz w:val="21"/>
        </w:rPr>
        <w:t> </w:t>
      </w:r>
    </w:p>
    <w:p>
      <w:pPr>
        <w:pStyle w:val="ListParagraph"/>
        <w:numPr>
          <w:ilvl w:val="2"/>
          <w:numId w:val="353"/>
        </w:numPr>
        <w:tabs>
          <w:tab w:pos="1370" w:val="left" w:leader="none"/>
        </w:tabs>
        <w:spacing w:line="240" w:lineRule="auto" w:before="0" w:after="0"/>
        <w:ind w:left="1369" w:right="0" w:hanging="530"/>
        <w:jc w:val="left"/>
        <w:rPr>
          <w:sz w:val="21"/>
        </w:rPr>
      </w:pPr>
      <w:r>
        <w:rPr>
          <w:spacing w:val="-3"/>
          <w:sz w:val="21"/>
        </w:rPr>
        <w:t>组合分配系统的灭火剂储存量，应按储存量最大的防护区确定。</w:t>
      </w:r>
      <w:r>
        <w:rPr>
          <w:sz w:val="21"/>
        </w:rPr>
        <w:t> </w:t>
      </w:r>
    </w:p>
    <w:p>
      <w:pPr>
        <w:pStyle w:val="BodyText"/>
        <w:spacing w:before="10"/>
        <w:rPr>
          <w:sz w:val="17"/>
        </w:rPr>
      </w:pPr>
    </w:p>
    <w:p>
      <w:pPr>
        <w:pStyle w:val="ListParagraph"/>
        <w:numPr>
          <w:ilvl w:val="2"/>
          <w:numId w:val="353"/>
        </w:numPr>
        <w:tabs>
          <w:tab w:pos="1371" w:val="left" w:leader="none"/>
        </w:tabs>
        <w:spacing w:line="446" w:lineRule="auto" w:before="0" w:after="0"/>
        <w:ind w:left="418" w:right="1431" w:firstLine="422"/>
        <w:jc w:val="left"/>
        <w:rPr>
          <w:sz w:val="21"/>
        </w:rPr>
      </w:pPr>
      <w:r>
        <w:rPr>
          <w:spacing w:val="-6"/>
          <w:sz w:val="21"/>
        </w:rPr>
        <w:t>灭火系统的灭火剂储存量，应为防护区的灭火设计用量、储存容器内的灭火剂剩余量</w:t>
      </w:r>
      <w:r>
        <w:rPr>
          <w:spacing w:val="-4"/>
          <w:sz w:val="21"/>
        </w:rPr>
        <w:t>和管网内的灭火剂剩余量之和。</w:t>
      </w:r>
      <w:r>
        <w:rPr>
          <w:sz w:val="21"/>
        </w:rPr>
        <w:t> </w:t>
      </w:r>
    </w:p>
    <w:p>
      <w:pPr>
        <w:spacing w:after="0" w:line="446" w:lineRule="auto"/>
        <w:jc w:val="left"/>
        <w:rPr>
          <w:sz w:val="21"/>
        </w:rPr>
        <w:sectPr>
          <w:pgSz w:w="11910" w:h="16850"/>
          <w:pgMar w:header="0" w:footer="1239" w:top="1200" w:bottom="1420" w:left="1260" w:right="0"/>
        </w:sectPr>
      </w:pPr>
    </w:p>
    <w:p>
      <w:pPr>
        <w:pStyle w:val="ListParagraph"/>
        <w:numPr>
          <w:ilvl w:val="2"/>
          <w:numId w:val="353"/>
        </w:numPr>
        <w:tabs>
          <w:tab w:pos="1371" w:val="left" w:leader="none"/>
        </w:tabs>
        <w:spacing w:line="240" w:lineRule="auto" w:before="47" w:after="0"/>
        <w:ind w:left="1370" w:right="0" w:hanging="531"/>
        <w:jc w:val="left"/>
        <w:rPr>
          <w:sz w:val="21"/>
        </w:rPr>
      </w:pPr>
      <w:r>
        <w:rPr>
          <w:spacing w:val="-8"/>
          <w:sz w:val="21"/>
        </w:rPr>
        <w:t>灭火系统的储存装置 </w:t>
      </w:r>
      <w:r>
        <w:rPr>
          <w:sz w:val="21"/>
        </w:rPr>
        <w:t>72</w:t>
      </w:r>
      <w:r>
        <w:rPr>
          <w:spacing w:val="-11"/>
          <w:sz w:val="21"/>
        </w:rPr>
        <w:t> 小时内不能重新充装恢复工作的，应按系统原储存量的 </w:t>
      </w:r>
      <w:r>
        <w:rPr>
          <w:sz w:val="21"/>
        </w:rPr>
        <w:t>100%</w:t>
      </w:r>
    </w:p>
    <w:p>
      <w:pPr>
        <w:pStyle w:val="BodyText"/>
        <w:rPr>
          <w:sz w:val="18"/>
        </w:rPr>
      </w:pPr>
    </w:p>
    <w:p>
      <w:pPr>
        <w:pStyle w:val="BodyText"/>
        <w:ind w:left="418"/>
      </w:pPr>
      <w:r>
        <w:rPr/>
        <w:t>设置备用量。 </w:t>
      </w:r>
    </w:p>
    <w:p>
      <w:pPr>
        <w:pStyle w:val="BodyText"/>
        <w:rPr>
          <w:sz w:val="18"/>
        </w:rPr>
      </w:pPr>
    </w:p>
    <w:p>
      <w:pPr>
        <w:pStyle w:val="ListParagraph"/>
        <w:numPr>
          <w:ilvl w:val="2"/>
          <w:numId w:val="353"/>
        </w:numPr>
        <w:tabs>
          <w:tab w:pos="1370" w:val="left" w:leader="none"/>
        </w:tabs>
        <w:spacing w:line="240" w:lineRule="auto" w:before="0" w:after="0"/>
        <w:ind w:left="1369" w:right="0" w:hanging="530"/>
        <w:jc w:val="left"/>
        <w:rPr>
          <w:sz w:val="21"/>
        </w:rPr>
      </w:pPr>
      <w:r>
        <w:rPr>
          <w:spacing w:val="-7"/>
          <w:sz w:val="21"/>
        </w:rPr>
        <w:t>灭火系统的设计温度，应采用 </w:t>
      </w:r>
      <w:r>
        <w:rPr>
          <w:sz w:val="21"/>
        </w:rPr>
        <w:t>20</w:t>
      </w:r>
      <w:r>
        <w:rPr>
          <w:spacing w:val="-2"/>
          <w:sz w:val="21"/>
        </w:rPr>
        <w:t>℃。</w:t>
      </w:r>
      <w:r>
        <w:rPr>
          <w:sz w:val="21"/>
        </w:rPr>
        <w:t> </w:t>
      </w:r>
    </w:p>
    <w:p>
      <w:pPr>
        <w:pStyle w:val="BodyText"/>
        <w:spacing w:before="1"/>
        <w:rPr>
          <w:sz w:val="18"/>
        </w:rPr>
      </w:pPr>
    </w:p>
    <w:p>
      <w:pPr>
        <w:pStyle w:val="ListParagraph"/>
        <w:numPr>
          <w:ilvl w:val="2"/>
          <w:numId w:val="353"/>
        </w:numPr>
        <w:tabs>
          <w:tab w:pos="1371" w:val="left" w:leader="none"/>
        </w:tabs>
        <w:spacing w:line="240" w:lineRule="auto" w:before="1" w:after="0"/>
        <w:ind w:left="1370" w:right="0" w:hanging="531"/>
        <w:jc w:val="left"/>
        <w:rPr>
          <w:sz w:val="21"/>
        </w:rPr>
      </w:pPr>
      <w:r>
        <w:rPr>
          <w:spacing w:val="-3"/>
          <w:sz w:val="21"/>
        </w:rPr>
        <w:t>同一集流管上的储存容器，其规格、充压压力和充装量应相同。</w:t>
      </w:r>
      <w:r>
        <w:rPr>
          <w:sz w:val="21"/>
        </w:rPr>
        <w:t> </w:t>
      </w:r>
    </w:p>
    <w:p>
      <w:pPr>
        <w:pStyle w:val="BodyText"/>
        <w:spacing w:before="12"/>
        <w:rPr>
          <w:sz w:val="17"/>
        </w:rPr>
      </w:pPr>
    </w:p>
    <w:p>
      <w:pPr>
        <w:pStyle w:val="ListParagraph"/>
        <w:numPr>
          <w:ilvl w:val="2"/>
          <w:numId w:val="353"/>
        </w:numPr>
        <w:tabs>
          <w:tab w:pos="1478" w:val="left" w:leader="none"/>
        </w:tabs>
        <w:spacing w:line="446" w:lineRule="auto" w:before="0" w:after="0"/>
        <w:ind w:left="418" w:right="1433" w:firstLine="422"/>
        <w:jc w:val="left"/>
        <w:rPr>
          <w:sz w:val="21"/>
        </w:rPr>
      </w:pPr>
      <w:r>
        <w:rPr>
          <w:spacing w:val="-3"/>
          <w:sz w:val="21"/>
        </w:rPr>
        <w:t>同一防护区，当设计两套或三套管网时，集流管可分别设置，系统启动装置必须共 用。各管网上喷头流量均应按同一灭火设计浓度、同一喷放时间进行设计。</w:t>
      </w:r>
      <w:r>
        <w:rPr>
          <w:sz w:val="21"/>
        </w:rPr>
        <w:t> </w:t>
      </w:r>
    </w:p>
    <w:p>
      <w:pPr>
        <w:pStyle w:val="ListParagraph"/>
        <w:numPr>
          <w:ilvl w:val="2"/>
          <w:numId w:val="353"/>
        </w:numPr>
        <w:tabs>
          <w:tab w:pos="1478" w:val="left" w:leader="none"/>
        </w:tabs>
        <w:spacing w:line="240" w:lineRule="auto" w:before="0" w:after="0"/>
        <w:ind w:left="1477" w:right="0" w:hanging="638"/>
        <w:jc w:val="left"/>
        <w:rPr>
          <w:sz w:val="21"/>
        </w:rPr>
      </w:pPr>
      <w:r>
        <w:rPr>
          <w:spacing w:val="-3"/>
          <w:sz w:val="21"/>
        </w:rPr>
        <w:t>管网上不应采用四通管件进行分流。</w:t>
      </w:r>
      <w:r>
        <w:rPr>
          <w:sz w:val="21"/>
        </w:rPr>
        <w:t> </w:t>
      </w:r>
    </w:p>
    <w:p>
      <w:pPr>
        <w:pStyle w:val="BodyText"/>
        <w:rPr>
          <w:sz w:val="18"/>
        </w:rPr>
      </w:pPr>
    </w:p>
    <w:p>
      <w:pPr>
        <w:pStyle w:val="ListParagraph"/>
        <w:numPr>
          <w:ilvl w:val="2"/>
          <w:numId w:val="353"/>
        </w:numPr>
        <w:tabs>
          <w:tab w:pos="1478" w:val="left" w:leader="none"/>
        </w:tabs>
        <w:spacing w:line="240" w:lineRule="auto" w:before="0" w:after="0"/>
        <w:ind w:left="1477" w:right="0" w:hanging="638"/>
        <w:jc w:val="left"/>
        <w:rPr>
          <w:sz w:val="21"/>
        </w:rPr>
      </w:pPr>
      <w:r>
        <w:rPr>
          <w:spacing w:val="-3"/>
          <w:sz w:val="21"/>
        </w:rPr>
        <w:t>喷头的保护高度和保护半径，应符合下列规定：</w:t>
      </w:r>
      <w:r>
        <w:rPr>
          <w:sz w:val="21"/>
        </w:rPr>
        <w:t> </w:t>
      </w:r>
    </w:p>
    <w:p>
      <w:pPr>
        <w:pStyle w:val="BodyText"/>
        <w:spacing w:before="12"/>
        <w:rPr>
          <w:sz w:val="17"/>
        </w:rPr>
      </w:pPr>
    </w:p>
    <w:p>
      <w:pPr>
        <w:pStyle w:val="ListParagraph"/>
        <w:numPr>
          <w:ilvl w:val="0"/>
          <w:numId w:val="354"/>
        </w:numPr>
        <w:tabs>
          <w:tab w:pos="1367" w:val="left" w:leader="none"/>
        </w:tabs>
        <w:spacing w:line="240" w:lineRule="auto" w:before="0" w:after="0"/>
        <w:ind w:left="1367" w:right="0" w:hanging="529"/>
        <w:jc w:val="left"/>
        <w:rPr>
          <w:sz w:val="21"/>
        </w:rPr>
      </w:pPr>
      <w:r>
        <w:rPr>
          <w:spacing w:val="-8"/>
          <w:sz w:val="21"/>
        </w:rPr>
        <w:t>最大保护高度不宜大于 </w:t>
      </w:r>
      <w:r>
        <w:rPr>
          <w:sz w:val="21"/>
        </w:rPr>
        <w:t>6.5m； </w:t>
      </w:r>
    </w:p>
    <w:p>
      <w:pPr>
        <w:pStyle w:val="BodyText"/>
        <w:spacing w:before="2"/>
        <w:rPr>
          <w:sz w:val="18"/>
        </w:rPr>
      </w:pPr>
    </w:p>
    <w:p>
      <w:pPr>
        <w:pStyle w:val="ListParagraph"/>
        <w:numPr>
          <w:ilvl w:val="0"/>
          <w:numId w:val="354"/>
        </w:numPr>
        <w:tabs>
          <w:tab w:pos="1367" w:val="left" w:leader="none"/>
        </w:tabs>
        <w:spacing w:line="240" w:lineRule="auto" w:before="0" w:after="0"/>
        <w:ind w:left="1367" w:right="0" w:hanging="529"/>
        <w:jc w:val="left"/>
        <w:rPr>
          <w:sz w:val="21"/>
        </w:rPr>
      </w:pPr>
      <w:r>
        <w:rPr>
          <w:spacing w:val="-8"/>
          <w:sz w:val="21"/>
        </w:rPr>
        <w:t>最小保护高度不应小于 </w:t>
      </w:r>
      <w:r>
        <w:rPr>
          <w:sz w:val="21"/>
        </w:rPr>
        <w:t>0.3 m； </w:t>
      </w:r>
    </w:p>
    <w:p>
      <w:pPr>
        <w:pStyle w:val="BodyText"/>
        <w:rPr>
          <w:sz w:val="18"/>
        </w:rPr>
      </w:pPr>
    </w:p>
    <w:p>
      <w:pPr>
        <w:pStyle w:val="ListParagraph"/>
        <w:numPr>
          <w:ilvl w:val="0"/>
          <w:numId w:val="354"/>
        </w:numPr>
        <w:tabs>
          <w:tab w:pos="1367" w:val="left" w:leader="none"/>
        </w:tabs>
        <w:spacing w:line="240" w:lineRule="auto" w:before="0" w:after="0"/>
        <w:ind w:left="1367" w:right="0" w:hanging="529"/>
        <w:jc w:val="left"/>
        <w:rPr>
          <w:sz w:val="21"/>
        </w:rPr>
      </w:pPr>
      <w:r>
        <w:rPr>
          <w:spacing w:val="-9"/>
          <w:sz w:val="21"/>
        </w:rPr>
        <w:t>喷头安装高度小于 </w:t>
      </w:r>
      <w:r>
        <w:rPr>
          <w:sz w:val="21"/>
        </w:rPr>
        <w:t>1.5</w:t>
      </w:r>
      <w:r>
        <w:rPr>
          <w:spacing w:val="1"/>
          <w:sz w:val="21"/>
        </w:rPr>
        <w:t> </w:t>
      </w:r>
      <w:r>
        <w:rPr>
          <w:sz w:val="21"/>
        </w:rPr>
        <w:t>m</w:t>
      </w:r>
      <w:r>
        <w:rPr>
          <w:spacing w:val="-13"/>
          <w:sz w:val="21"/>
        </w:rPr>
        <w:t> 时，保护半径不宜大于 </w:t>
      </w:r>
      <w:r>
        <w:rPr>
          <w:sz w:val="21"/>
        </w:rPr>
        <w:t>4.5</w:t>
      </w:r>
      <w:r>
        <w:rPr>
          <w:spacing w:val="1"/>
          <w:sz w:val="21"/>
        </w:rPr>
        <w:t> </w:t>
      </w:r>
      <w:r>
        <w:rPr>
          <w:sz w:val="21"/>
        </w:rPr>
        <w:t>m； </w:t>
      </w:r>
    </w:p>
    <w:p>
      <w:pPr>
        <w:pStyle w:val="BodyText"/>
        <w:spacing w:before="12"/>
        <w:rPr>
          <w:sz w:val="17"/>
        </w:rPr>
      </w:pPr>
    </w:p>
    <w:p>
      <w:pPr>
        <w:pStyle w:val="ListParagraph"/>
        <w:numPr>
          <w:ilvl w:val="0"/>
          <w:numId w:val="354"/>
        </w:numPr>
        <w:tabs>
          <w:tab w:pos="1367" w:val="left" w:leader="none"/>
        </w:tabs>
        <w:spacing w:line="240" w:lineRule="auto" w:before="0" w:after="0"/>
        <w:ind w:left="1367" w:right="0" w:hanging="529"/>
        <w:jc w:val="left"/>
        <w:rPr>
          <w:sz w:val="21"/>
        </w:rPr>
      </w:pPr>
      <w:r>
        <w:rPr>
          <w:spacing w:val="-8"/>
          <w:sz w:val="21"/>
        </w:rPr>
        <w:t>喷头安装高度不小于 </w:t>
      </w:r>
      <w:r>
        <w:rPr>
          <w:sz w:val="21"/>
        </w:rPr>
        <w:t>1.5m</w:t>
      </w:r>
      <w:r>
        <w:rPr>
          <w:spacing w:val="-13"/>
          <w:sz w:val="21"/>
        </w:rPr>
        <w:t> 时，保护半径不应大于 </w:t>
      </w:r>
      <w:r>
        <w:rPr>
          <w:sz w:val="21"/>
        </w:rPr>
        <w:t>7.5</w:t>
      </w:r>
      <w:r>
        <w:rPr>
          <w:spacing w:val="10"/>
          <w:sz w:val="21"/>
        </w:rPr>
        <w:t> </w:t>
      </w:r>
      <w:r>
        <w:rPr>
          <w:spacing w:val="-3"/>
          <w:sz w:val="21"/>
        </w:rPr>
        <w:t>m。</w:t>
      </w:r>
      <w:r>
        <w:rPr>
          <w:sz w:val="21"/>
        </w:rPr>
        <w:t> </w:t>
      </w:r>
    </w:p>
    <w:p>
      <w:pPr>
        <w:pStyle w:val="BodyText"/>
        <w:spacing w:before="2"/>
        <w:rPr>
          <w:sz w:val="18"/>
        </w:rPr>
      </w:pPr>
    </w:p>
    <w:p>
      <w:pPr>
        <w:pStyle w:val="ListParagraph"/>
        <w:numPr>
          <w:ilvl w:val="2"/>
          <w:numId w:val="353"/>
        </w:numPr>
        <w:tabs>
          <w:tab w:pos="1478" w:val="left" w:leader="none"/>
        </w:tabs>
        <w:spacing w:line="240" w:lineRule="auto" w:before="0" w:after="0"/>
        <w:ind w:left="1477" w:right="0" w:hanging="638"/>
        <w:jc w:val="left"/>
        <w:rPr>
          <w:sz w:val="21"/>
        </w:rPr>
      </w:pPr>
      <w:r>
        <w:rPr>
          <w:spacing w:val="-5"/>
          <w:sz w:val="21"/>
        </w:rPr>
        <w:t>喷头宜贴近防护区顶面安装，距顶面的最大距离不宜大于 </w:t>
      </w:r>
      <w:r>
        <w:rPr>
          <w:sz w:val="21"/>
        </w:rPr>
        <w:t>0.5</w:t>
      </w:r>
      <w:r>
        <w:rPr>
          <w:spacing w:val="20"/>
          <w:sz w:val="21"/>
        </w:rPr>
        <w:t> </w:t>
      </w:r>
      <w:r>
        <w:rPr>
          <w:spacing w:val="-3"/>
          <w:sz w:val="21"/>
        </w:rPr>
        <w:t>m</w:t>
      </w:r>
      <w:r>
        <w:rPr>
          <w:sz w:val="21"/>
        </w:rPr>
        <w:t>。 </w:t>
      </w:r>
    </w:p>
    <w:p>
      <w:pPr>
        <w:pStyle w:val="BodyText"/>
        <w:rPr>
          <w:sz w:val="18"/>
        </w:rPr>
      </w:pPr>
    </w:p>
    <w:p>
      <w:pPr>
        <w:pStyle w:val="ListParagraph"/>
        <w:numPr>
          <w:ilvl w:val="2"/>
          <w:numId w:val="353"/>
        </w:numPr>
        <w:tabs>
          <w:tab w:pos="1478" w:val="left" w:leader="none"/>
        </w:tabs>
        <w:spacing w:line="240" w:lineRule="auto" w:before="0" w:after="0"/>
        <w:ind w:left="1477" w:right="0" w:hanging="638"/>
        <w:jc w:val="left"/>
        <w:rPr>
          <w:sz w:val="21"/>
        </w:rPr>
      </w:pPr>
      <w:r>
        <w:rPr>
          <w:spacing w:val="-5"/>
          <w:sz w:val="21"/>
        </w:rPr>
        <w:t>一个防护区设置的预制灭火系统，其装置数量不宜超过 </w:t>
      </w:r>
      <w:r>
        <w:rPr>
          <w:sz w:val="21"/>
        </w:rPr>
        <w:t>10</w:t>
      </w:r>
      <w:r>
        <w:rPr>
          <w:spacing w:val="-20"/>
          <w:sz w:val="21"/>
        </w:rPr>
        <w:t> 台。</w:t>
      </w:r>
      <w:r>
        <w:rPr>
          <w:sz w:val="21"/>
        </w:rPr>
        <w:t> </w:t>
      </w:r>
    </w:p>
    <w:p>
      <w:pPr>
        <w:pStyle w:val="BodyText"/>
        <w:spacing w:before="12"/>
        <w:rPr>
          <w:sz w:val="17"/>
        </w:rPr>
      </w:pPr>
    </w:p>
    <w:p>
      <w:pPr>
        <w:pStyle w:val="ListParagraph"/>
        <w:numPr>
          <w:ilvl w:val="2"/>
          <w:numId w:val="353"/>
        </w:numPr>
        <w:tabs>
          <w:tab w:pos="1478" w:val="left" w:leader="none"/>
        </w:tabs>
        <w:spacing w:line="446" w:lineRule="auto" w:before="0" w:after="0"/>
        <w:ind w:left="418" w:right="1431" w:firstLine="422"/>
        <w:jc w:val="left"/>
        <w:rPr>
          <w:b/>
          <w:sz w:val="21"/>
        </w:rPr>
      </w:pPr>
      <w:r>
        <w:rPr>
          <w:spacing w:val="-6"/>
          <w:sz w:val="21"/>
        </w:rPr>
        <w:t>同一防护区内的预制灭火系统装置多于 </w:t>
      </w:r>
      <w:r>
        <w:rPr>
          <w:sz w:val="21"/>
        </w:rPr>
        <w:t>1</w:t>
      </w:r>
      <w:r>
        <w:rPr>
          <w:spacing w:val="-11"/>
          <w:sz w:val="21"/>
        </w:rPr>
        <w:t> 台时，必须能同时启动,其动作响应时差不</w:t>
      </w:r>
      <w:r>
        <w:rPr>
          <w:spacing w:val="-18"/>
          <w:sz w:val="21"/>
        </w:rPr>
        <w:t>得大于 </w:t>
      </w:r>
      <w:r>
        <w:rPr>
          <w:sz w:val="21"/>
        </w:rPr>
        <w:t>2s</w:t>
      </w:r>
      <w:r>
        <w:rPr>
          <w:spacing w:val="-3"/>
          <w:sz w:val="21"/>
        </w:rPr>
        <w:t>。</w:t>
      </w:r>
      <w:r>
        <w:rPr>
          <w:b/>
          <w:w w:val="99"/>
          <w:sz w:val="21"/>
        </w:rPr>
        <w:t> </w:t>
      </w:r>
    </w:p>
    <w:p>
      <w:pPr>
        <w:pStyle w:val="ListParagraph"/>
        <w:numPr>
          <w:ilvl w:val="2"/>
          <w:numId w:val="353"/>
        </w:numPr>
        <w:tabs>
          <w:tab w:pos="1478" w:val="left" w:leader="none"/>
        </w:tabs>
        <w:spacing w:line="446" w:lineRule="auto" w:before="0" w:after="0"/>
        <w:ind w:left="418" w:right="1431" w:firstLine="422"/>
        <w:jc w:val="left"/>
        <w:rPr>
          <w:sz w:val="21"/>
        </w:rPr>
      </w:pPr>
      <w:r>
        <w:rPr>
          <w:spacing w:val="-5"/>
          <w:sz w:val="21"/>
        </w:rPr>
        <w:t>单台热气溶胶预制灭火系统装置的保护容积不应大于 </w:t>
      </w:r>
      <w:r>
        <w:rPr>
          <w:spacing w:val="-9"/>
          <w:sz w:val="21"/>
        </w:rPr>
        <w:t>160m³；设置多台装置时，其相</w:t>
      </w:r>
      <w:r>
        <w:rPr>
          <w:spacing w:val="-10"/>
          <w:sz w:val="21"/>
        </w:rPr>
        <w:t>互间的距离不得大于 </w:t>
      </w:r>
      <w:r>
        <w:rPr>
          <w:sz w:val="21"/>
        </w:rPr>
        <w:t>10m。 </w:t>
      </w:r>
    </w:p>
    <w:p>
      <w:pPr>
        <w:pStyle w:val="ListParagraph"/>
        <w:numPr>
          <w:ilvl w:val="2"/>
          <w:numId w:val="353"/>
        </w:numPr>
        <w:tabs>
          <w:tab w:pos="1478" w:val="left" w:leader="none"/>
        </w:tabs>
        <w:spacing w:line="240" w:lineRule="auto" w:before="0" w:after="0"/>
        <w:ind w:left="1477" w:right="0" w:hanging="638"/>
        <w:jc w:val="left"/>
        <w:rPr>
          <w:sz w:val="21"/>
        </w:rPr>
      </w:pPr>
      <w:r>
        <w:rPr>
          <w:spacing w:val="-5"/>
          <w:sz w:val="21"/>
        </w:rPr>
        <w:t>采用热气溶胶预制灭火系统的防护区，其高度不宜大于 </w:t>
      </w:r>
      <w:r>
        <w:rPr>
          <w:sz w:val="21"/>
        </w:rPr>
        <w:t>6.0m</w:t>
      </w:r>
      <w:r>
        <w:rPr>
          <w:spacing w:val="-3"/>
          <w:sz w:val="21"/>
        </w:rPr>
        <w:t>。</w:t>
      </w:r>
      <w:r>
        <w:rPr>
          <w:sz w:val="21"/>
        </w:rPr>
        <w:t> </w:t>
      </w:r>
    </w:p>
    <w:p>
      <w:pPr>
        <w:pStyle w:val="BodyText"/>
        <w:rPr>
          <w:sz w:val="18"/>
        </w:rPr>
      </w:pPr>
    </w:p>
    <w:p>
      <w:pPr>
        <w:pStyle w:val="ListParagraph"/>
        <w:numPr>
          <w:ilvl w:val="2"/>
          <w:numId w:val="353"/>
        </w:numPr>
        <w:tabs>
          <w:tab w:pos="1478" w:val="left" w:leader="none"/>
        </w:tabs>
        <w:spacing w:line="240" w:lineRule="auto" w:before="0" w:after="0"/>
        <w:ind w:left="1477" w:right="0" w:hanging="638"/>
        <w:jc w:val="left"/>
        <w:rPr>
          <w:sz w:val="21"/>
        </w:rPr>
      </w:pPr>
      <w:r>
        <w:rPr>
          <w:spacing w:val="-6"/>
          <w:sz w:val="21"/>
        </w:rPr>
        <w:t>热气溶胶预制灭火系统装置的喷口宜高于防护区地面 </w:t>
      </w:r>
      <w:r>
        <w:rPr>
          <w:sz w:val="21"/>
        </w:rPr>
        <w:t>2.0m</w:t>
      </w:r>
      <w:r>
        <w:rPr>
          <w:spacing w:val="-3"/>
          <w:sz w:val="21"/>
        </w:rPr>
        <w:t>。</w:t>
      </w:r>
      <w:r>
        <w:rPr>
          <w:sz w:val="21"/>
        </w:rPr>
        <w:t> </w:t>
      </w:r>
    </w:p>
    <w:p>
      <w:pPr>
        <w:pStyle w:val="BodyText"/>
        <w:spacing w:before="12"/>
        <w:rPr>
          <w:sz w:val="17"/>
        </w:rPr>
      </w:pPr>
    </w:p>
    <w:p>
      <w:pPr>
        <w:pStyle w:val="ListParagraph"/>
        <w:numPr>
          <w:ilvl w:val="1"/>
          <w:numId w:val="353"/>
        </w:numPr>
        <w:tabs>
          <w:tab w:pos="1159" w:val="left" w:leader="none"/>
        </w:tabs>
        <w:spacing w:line="240" w:lineRule="auto" w:before="0" w:after="0"/>
        <w:ind w:left="1158" w:right="0" w:hanging="319"/>
        <w:jc w:val="left"/>
        <w:rPr>
          <w:sz w:val="21"/>
        </w:rPr>
      </w:pPr>
      <w:r>
        <w:rPr>
          <w:spacing w:val="-3"/>
          <w:sz w:val="21"/>
        </w:rPr>
        <w:t>系统设置</w:t>
      </w:r>
      <w:r>
        <w:rPr>
          <w:sz w:val="21"/>
        </w:rPr>
        <w:t> </w:t>
      </w:r>
    </w:p>
    <w:p>
      <w:pPr>
        <w:pStyle w:val="BodyText"/>
        <w:spacing w:before="2"/>
        <w:rPr>
          <w:sz w:val="18"/>
        </w:rPr>
      </w:pPr>
    </w:p>
    <w:p>
      <w:pPr>
        <w:pStyle w:val="ListParagraph"/>
        <w:numPr>
          <w:ilvl w:val="2"/>
          <w:numId w:val="353"/>
        </w:numPr>
        <w:tabs>
          <w:tab w:pos="1370" w:val="left" w:leader="none"/>
        </w:tabs>
        <w:spacing w:line="240" w:lineRule="auto" w:before="0" w:after="0"/>
        <w:ind w:left="1369" w:right="0" w:hanging="530"/>
        <w:jc w:val="left"/>
        <w:rPr>
          <w:sz w:val="21"/>
        </w:rPr>
      </w:pPr>
      <w:r>
        <w:rPr>
          <w:spacing w:val="-3"/>
          <w:sz w:val="21"/>
        </w:rPr>
        <w:t>气体灭火系统适用于扑救下列火灾：</w:t>
      </w:r>
      <w:r>
        <w:rPr>
          <w:sz w:val="21"/>
        </w:rPr>
        <w:t> </w:t>
      </w:r>
    </w:p>
    <w:p>
      <w:pPr>
        <w:pStyle w:val="BodyText"/>
        <w:rPr>
          <w:sz w:val="18"/>
        </w:rPr>
      </w:pPr>
    </w:p>
    <w:p>
      <w:pPr>
        <w:pStyle w:val="ListParagraph"/>
        <w:numPr>
          <w:ilvl w:val="0"/>
          <w:numId w:val="355"/>
        </w:numPr>
        <w:tabs>
          <w:tab w:pos="1367" w:val="left" w:leader="none"/>
        </w:tabs>
        <w:spacing w:line="240" w:lineRule="auto" w:before="0" w:after="0"/>
        <w:ind w:left="1367" w:right="0" w:hanging="529"/>
        <w:jc w:val="left"/>
        <w:rPr>
          <w:sz w:val="21"/>
        </w:rPr>
      </w:pPr>
      <w:r>
        <w:rPr>
          <w:spacing w:val="-3"/>
          <w:sz w:val="21"/>
        </w:rPr>
        <w:t>电气火灾；</w:t>
      </w:r>
      <w:r>
        <w:rPr>
          <w:sz w:val="21"/>
        </w:rPr>
        <w:t> </w:t>
      </w:r>
    </w:p>
    <w:p>
      <w:pPr>
        <w:pStyle w:val="BodyText"/>
        <w:spacing w:before="12"/>
        <w:rPr>
          <w:sz w:val="17"/>
        </w:rPr>
      </w:pPr>
    </w:p>
    <w:p>
      <w:pPr>
        <w:pStyle w:val="ListParagraph"/>
        <w:numPr>
          <w:ilvl w:val="0"/>
          <w:numId w:val="355"/>
        </w:numPr>
        <w:tabs>
          <w:tab w:pos="1367" w:val="left" w:leader="none"/>
        </w:tabs>
        <w:spacing w:line="240" w:lineRule="auto" w:before="0" w:after="0"/>
        <w:ind w:left="1367" w:right="0" w:hanging="529"/>
        <w:jc w:val="left"/>
        <w:rPr>
          <w:sz w:val="21"/>
        </w:rPr>
      </w:pPr>
      <w:r>
        <w:rPr>
          <w:spacing w:val="-3"/>
          <w:sz w:val="21"/>
        </w:rPr>
        <w:t>固体表面火灾；</w:t>
      </w:r>
      <w:r>
        <w:rPr>
          <w:sz w:val="21"/>
        </w:rPr>
        <w:t> </w:t>
      </w:r>
    </w:p>
    <w:p>
      <w:pPr>
        <w:pStyle w:val="BodyText"/>
        <w:spacing w:before="2"/>
        <w:rPr>
          <w:sz w:val="18"/>
        </w:rPr>
      </w:pPr>
    </w:p>
    <w:p>
      <w:pPr>
        <w:pStyle w:val="ListParagraph"/>
        <w:numPr>
          <w:ilvl w:val="0"/>
          <w:numId w:val="355"/>
        </w:numPr>
        <w:tabs>
          <w:tab w:pos="1367" w:val="left" w:leader="none"/>
        </w:tabs>
        <w:spacing w:line="240" w:lineRule="auto" w:before="0" w:after="0"/>
        <w:ind w:left="1367" w:right="0" w:hanging="529"/>
        <w:jc w:val="left"/>
        <w:rPr>
          <w:sz w:val="21"/>
        </w:rPr>
      </w:pPr>
      <w:r>
        <w:rPr>
          <w:spacing w:val="-3"/>
          <w:sz w:val="21"/>
        </w:rPr>
        <w:t>液体火灾；</w:t>
      </w:r>
      <w:r>
        <w:rPr>
          <w:sz w:val="21"/>
        </w:rPr>
        <w:t> </w:t>
      </w:r>
    </w:p>
    <w:p>
      <w:pPr>
        <w:pStyle w:val="BodyText"/>
        <w:rPr>
          <w:sz w:val="18"/>
        </w:rPr>
      </w:pPr>
    </w:p>
    <w:p>
      <w:pPr>
        <w:pStyle w:val="ListParagraph"/>
        <w:numPr>
          <w:ilvl w:val="0"/>
          <w:numId w:val="355"/>
        </w:numPr>
        <w:tabs>
          <w:tab w:pos="1367" w:val="left" w:leader="none"/>
        </w:tabs>
        <w:spacing w:line="240" w:lineRule="auto" w:before="0" w:after="0"/>
        <w:ind w:left="1367" w:right="0" w:hanging="529"/>
        <w:jc w:val="left"/>
        <w:rPr>
          <w:sz w:val="21"/>
        </w:rPr>
      </w:pPr>
      <w:r>
        <w:rPr>
          <w:spacing w:val="-3"/>
          <w:sz w:val="21"/>
        </w:rPr>
        <w:t>灭火前能切断气源的气体火灾。</w:t>
      </w:r>
      <w:r>
        <w:rPr>
          <w:sz w:val="21"/>
        </w:rPr>
        <w:t> </w:t>
      </w:r>
    </w:p>
    <w:p>
      <w:pPr>
        <w:pStyle w:val="BodyText"/>
        <w:spacing w:before="12"/>
        <w:rPr>
          <w:sz w:val="17"/>
        </w:rPr>
      </w:pPr>
    </w:p>
    <w:p>
      <w:pPr>
        <w:pStyle w:val="BodyText"/>
        <w:spacing w:line="446" w:lineRule="auto"/>
        <w:ind w:left="418" w:right="1382" w:firstLine="419"/>
      </w:pPr>
      <w:r>
        <w:rPr/>
        <w:t>注：除电缆隧道（夹层、井）及自备发电机房外，K 型和其他型热气溶胶预制灭火系统不得用于其他电气火灾。 </w:t>
      </w:r>
    </w:p>
    <w:p>
      <w:pPr>
        <w:spacing w:after="0" w:line="446" w:lineRule="auto"/>
        <w:sectPr>
          <w:pgSz w:w="11910" w:h="16850"/>
          <w:pgMar w:header="0" w:footer="1239" w:top="1220" w:bottom="1420" w:left="1260" w:right="0"/>
        </w:sectPr>
      </w:pPr>
    </w:p>
    <w:p>
      <w:pPr>
        <w:pStyle w:val="ListParagraph"/>
        <w:numPr>
          <w:ilvl w:val="2"/>
          <w:numId w:val="353"/>
        </w:numPr>
        <w:tabs>
          <w:tab w:pos="1370" w:val="left" w:leader="none"/>
        </w:tabs>
        <w:spacing w:line="240" w:lineRule="auto" w:before="47" w:after="0"/>
        <w:ind w:left="1369" w:right="0" w:hanging="530"/>
        <w:jc w:val="left"/>
        <w:rPr>
          <w:sz w:val="21"/>
        </w:rPr>
      </w:pPr>
      <w:r>
        <w:rPr>
          <w:spacing w:val="-3"/>
          <w:sz w:val="21"/>
        </w:rPr>
        <w:t>气体灭火系统不适用于扑救下列火灾：</w:t>
      </w:r>
      <w:r>
        <w:rPr>
          <w:sz w:val="21"/>
        </w:rPr>
        <w:t> </w:t>
      </w:r>
    </w:p>
    <w:p>
      <w:pPr>
        <w:pStyle w:val="BodyText"/>
        <w:rPr>
          <w:sz w:val="18"/>
        </w:rPr>
      </w:pPr>
    </w:p>
    <w:p>
      <w:pPr>
        <w:pStyle w:val="ListParagraph"/>
        <w:numPr>
          <w:ilvl w:val="0"/>
          <w:numId w:val="356"/>
        </w:numPr>
        <w:tabs>
          <w:tab w:pos="1367" w:val="left" w:leader="none"/>
        </w:tabs>
        <w:spacing w:line="240" w:lineRule="auto" w:before="0" w:after="0"/>
        <w:ind w:left="1367" w:right="0" w:hanging="529"/>
        <w:jc w:val="left"/>
        <w:rPr>
          <w:sz w:val="21"/>
        </w:rPr>
      </w:pPr>
      <w:r>
        <w:rPr>
          <w:spacing w:val="-3"/>
          <w:sz w:val="21"/>
        </w:rPr>
        <w:t>硝化纤维、硝酸钠等氧化剂或含氧化剂的化学制品火灾；</w:t>
      </w:r>
      <w:r>
        <w:rPr>
          <w:sz w:val="21"/>
        </w:rPr>
        <w:t> </w:t>
      </w:r>
    </w:p>
    <w:p>
      <w:pPr>
        <w:pStyle w:val="BodyText"/>
        <w:rPr>
          <w:sz w:val="18"/>
        </w:rPr>
      </w:pPr>
    </w:p>
    <w:p>
      <w:pPr>
        <w:pStyle w:val="ListParagraph"/>
        <w:numPr>
          <w:ilvl w:val="0"/>
          <w:numId w:val="356"/>
        </w:numPr>
        <w:tabs>
          <w:tab w:pos="1367" w:val="left" w:leader="none"/>
        </w:tabs>
        <w:spacing w:line="240" w:lineRule="auto" w:before="0" w:after="0"/>
        <w:ind w:left="1367" w:right="0" w:hanging="529"/>
        <w:jc w:val="left"/>
        <w:rPr>
          <w:sz w:val="21"/>
        </w:rPr>
      </w:pPr>
      <w:r>
        <w:rPr>
          <w:spacing w:val="-3"/>
          <w:sz w:val="21"/>
        </w:rPr>
        <w:t>钾、镁、钠、钛、锆、铀等活泼金属火灾；</w:t>
      </w:r>
      <w:r>
        <w:rPr>
          <w:sz w:val="21"/>
        </w:rPr>
        <w:t> </w:t>
      </w:r>
    </w:p>
    <w:p>
      <w:pPr>
        <w:pStyle w:val="BodyText"/>
        <w:spacing w:before="1"/>
        <w:rPr>
          <w:sz w:val="18"/>
        </w:rPr>
      </w:pPr>
    </w:p>
    <w:p>
      <w:pPr>
        <w:pStyle w:val="ListParagraph"/>
        <w:numPr>
          <w:ilvl w:val="0"/>
          <w:numId w:val="356"/>
        </w:numPr>
        <w:tabs>
          <w:tab w:pos="1367" w:val="left" w:leader="none"/>
        </w:tabs>
        <w:spacing w:line="240" w:lineRule="auto" w:before="1" w:after="0"/>
        <w:ind w:left="1367" w:right="0" w:hanging="529"/>
        <w:jc w:val="left"/>
        <w:rPr>
          <w:sz w:val="21"/>
        </w:rPr>
      </w:pPr>
      <w:r>
        <w:rPr>
          <w:spacing w:val="-3"/>
          <w:sz w:val="21"/>
        </w:rPr>
        <w:t>氢化钾、氢化钠等金属氢化物火灾；</w:t>
      </w:r>
      <w:r>
        <w:rPr>
          <w:sz w:val="21"/>
        </w:rPr>
        <w:t> </w:t>
      </w:r>
    </w:p>
    <w:p>
      <w:pPr>
        <w:pStyle w:val="BodyText"/>
        <w:spacing w:before="12"/>
        <w:rPr>
          <w:sz w:val="17"/>
        </w:rPr>
      </w:pPr>
    </w:p>
    <w:p>
      <w:pPr>
        <w:pStyle w:val="ListParagraph"/>
        <w:numPr>
          <w:ilvl w:val="0"/>
          <w:numId w:val="356"/>
        </w:numPr>
        <w:tabs>
          <w:tab w:pos="1367" w:val="left" w:leader="none"/>
        </w:tabs>
        <w:spacing w:line="240" w:lineRule="auto" w:before="0" w:after="0"/>
        <w:ind w:left="1367" w:right="0" w:hanging="529"/>
        <w:jc w:val="left"/>
        <w:rPr>
          <w:sz w:val="21"/>
        </w:rPr>
      </w:pPr>
      <w:r>
        <w:rPr>
          <w:spacing w:val="-3"/>
          <w:sz w:val="21"/>
        </w:rPr>
        <w:t>过氧化氢、联胺等能自行分解的化学物质火灾。 </w:t>
      </w:r>
    </w:p>
    <w:p>
      <w:pPr>
        <w:pStyle w:val="BodyText"/>
        <w:spacing w:before="12"/>
        <w:rPr>
          <w:sz w:val="17"/>
        </w:rPr>
      </w:pPr>
    </w:p>
    <w:p>
      <w:pPr>
        <w:pStyle w:val="ListParagraph"/>
        <w:numPr>
          <w:ilvl w:val="0"/>
          <w:numId w:val="356"/>
        </w:numPr>
        <w:tabs>
          <w:tab w:pos="1367" w:val="left" w:leader="none"/>
        </w:tabs>
        <w:spacing w:line="240" w:lineRule="auto" w:before="0" w:after="0"/>
        <w:ind w:left="1367" w:right="0" w:hanging="529"/>
        <w:jc w:val="left"/>
        <w:rPr>
          <w:sz w:val="21"/>
        </w:rPr>
      </w:pPr>
      <w:r>
        <w:rPr>
          <w:spacing w:val="-3"/>
          <w:sz w:val="21"/>
        </w:rPr>
        <w:t>可燃固体物质的深位火灾。</w:t>
      </w:r>
      <w:r>
        <w:rPr>
          <w:sz w:val="21"/>
        </w:rPr>
        <w:t> </w:t>
      </w:r>
    </w:p>
    <w:p>
      <w:pPr>
        <w:pStyle w:val="BodyText"/>
        <w:spacing w:before="2"/>
        <w:rPr>
          <w:sz w:val="18"/>
        </w:rPr>
      </w:pPr>
    </w:p>
    <w:p>
      <w:pPr>
        <w:pStyle w:val="ListParagraph"/>
        <w:numPr>
          <w:ilvl w:val="2"/>
          <w:numId w:val="353"/>
        </w:numPr>
        <w:tabs>
          <w:tab w:pos="1370" w:val="left" w:leader="none"/>
        </w:tabs>
        <w:spacing w:line="446" w:lineRule="auto" w:before="0" w:after="0"/>
        <w:ind w:left="418" w:right="1431" w:firstLine="422"/>
        <w:jc w:val="left"/>
        <w:rPr>
          <w:sz w:val="21"/>
        </w:rPr>
      </w:pPr>
      <w:r>
        <w:rPr>
          <w:spacing w:val="-5"/>
          <w:sz w:val="21"/>
        </w:rPr>
        <w:t>热气溶胶预制灭火系统不应设置在人员密集场所、有爆炸危险性的场所及有超净要求</w:t>
      </w:r>
      <w:r>
        <w:rPr>
          <w:spacing w:val="-4"/>
          <w:sz w:val="21"/>
        </w:rPr>
        <w:t>的场所。</w:t>
      </w:r>
      <w:r>
        <w:rPr>
          <w:sz w:val="21"/>
        </w:rPr>
        <w:t>K</w:t>
      </w:r>
      <w:r>
        <w:rPr>
          <w:spacing w:val="-8"/>
          <w:sz w:val="21"/>
        </w:rPr>
        <w:t> 型及其他型热气溶胶预制灭火系统不得用于电子计算机房、通讯机房等场所。</w:t>
      </w:r>
      <w:r>
        <w:rPr>
          <w:sz w:val="21"/>
        </w:rPr>
        <w:t> </w:t>
      </w:r>
    </w:p>
    <w:p>
      <w:pPr>
        <w:pStyle w:val="ListParagraph"/>
        <w:numPr>
          <w:ilvl w:val="2"/>
          <w:numId w:val="353"/>
        </w:numPr>
        <w:tabs>
          <w:tab w:pos="1370" w:val="left" w:leader="none"/>
        </w:tabs>
        <w:spacing w:line="267" w:lineRule="exact" w:before="0" w:after="0"/>
        <w:ind w:left="1369" w:right="0" w:hanging="530"/>
        <w:jc w:val="left"/>
        <w:rPr>
          <w:sz w:val="21"/>
        </w:rPr>
      </w:pPr>
      <w:r>
        <w:rPr>
          <w:spacing w:val="-3"/>
          <w:sz w:val="21"/>
        </w:rPr>
        <w:t>防护区划分应符合下列规定：</w:t>
      </w:r>
      <w:r>
        <w:rPr>
          <w:sz w:val="21"/>
        </w:rPr>
        <w:t> </w:t>
      </w:r>
    </w:p>
    <w:p>
      <w:pPr>
        <w:pStyle w:val="BodyText"/>
        <w:spacing w:before="2"/>
        <w:rPr>
          <w:sz w:val="18"/>
        </w:rPr>
      </w:pPr>
    </w:p>
    <w:p>
      <w:pPr>
        <w:pStyle w:val="ListParagraph"/>
        <w:numPr>
          <w:ilvl w:val="0"/>
          <w:numId w:val="357"/>
        </w:numPr>
        <w:tabs>
          <w:tab w:pos="1367" w:val="left" w:leader="none"/>
        </w:tabs>
        <w:spacing w:line="446" w:lineRule="auto" w:before="0" w:after="0"/>
        <w:ind w:left="418" w:right="1431" w:firstLine="419"/>
        <w:jc w:val="left"/>
        <w:rPr>
          <w:sz w:val="21"/>
        </w:rPr>
      </w:pPr>
      <w:r>
        <w:rPr>
          <w:spacing w:val="-9"/>
          <w:sz w:val="21"/>
        </w:rPr>
        <w:t>防护区宜以单个封闭空间划分；同一区间的吊顶层和地板下需同时保护时，可合为一 </w:t>
      </w:r>
      <w:r>
        <w:rPr>
          <w:spacing w:val="-7"/>
          <w:sz w:val="21"/>
        </w:rPr>
        <w:t>个防护区；</w:t>
      </w:r>
      <w:r>
        <w:rPr>
          <w:sz w:val="21"/>
        </w:rPr>
        <w:t> </w:t>
      </w:r>
    </w:p>
    <w:p>
      <w:pPr>
        <w:pStyle w:val="ListParagraph"/>
        <w:numPr>
          <w:ilvl w:val="0"/>
          <w:numId w:val="357"/>
        </w:numPr>
        <w:tabs>
          <w:tab w:pos="1367" w:val="left" w:leader="none"/>
        </w:tabs>
        <w:spacing w:line="267" w:lineRule="exact" w:before="0" w:after="0"/>
        <w:ind w:left="1367" w:right="0" w:hanging="529"/>
        <w:jc w:val="left"/>
        <w:rPr>
          <w:sz w:val="21"/>
        </w:rPr>
      </w:pPr>
      <w:r>
        <w:rPr>
          <w:spacing w:val="-6"/>
          <w:sz w:val="21"/>
        </w:rPr>
        <w:t>采用管网灭火系统时，一个防护区的面积不宜大于 </w:t>
      </w:r>
      <w:r>
        <w:rPr>
          <w:sz w:val="21"/>
        </w:rPr>
        <w:t>800m²</w:t>
      </w:r>
      <w:r>
        <w:rPr>
          <w:spacing w:val="-9"/>
          <w:sz w:val="21"/>
        </w:rPr>
        <w:t>，且容积不宜大于 </w:t>
      </w:r>
      <w:r>
        <w:rPr>
          <w:sz w:val="21"/>
        </w:rPr>
        <w:t>3600m³； </w:t>
      </w:r>
    </w:p>
    <w:p>
      <w:pPr>
        <w:pStyle w:val="BodyText"/>
        <w:spacing w:before="2"/>
        <w:rPr>
          <w:sz w:val="18"/>
        </w:rPr>
      </w:pPr>
    </w:p>
    <w:p>
      <w:pPr>
        <w:pStyle w:val="ListParagraph"/>
        <w:numPr>
          <w:ilvl w:val="0"/>
          <w:numId w:val="357"/>
        </w:numPr>
        <w:tabs>
          <w:tab w:pos="1367" w:val="left" w:leader="none"/>
        </w:tabs>
        <w:spacing w:line="446" w:lineRule="auto" w:before="0" w:after="0"/>
        <w:ind w:left="840" w:right="1330" w:hanging="3"/>
        <w:jc w:val="left"/>
        <w:rPr>
          <w:sz w:val="21"/>
        </w:rPr>
      </w:pPr>
      <w:r>
        <w:rPr>
          <w:spacing w:val="-5"/>
          <w:sz w:val="21"/>
        </w:rPr>
        <w:t>采用预制灭火系统时，一个防护区的面积不宜大于 </w:t>
      </w:r>
      <w:r>
        <w:rPr>
          <w:sz w:val="21"/>
        </w:rPr>
        <w:t>500m²</w:t>
      </w:r>
      <w:r>
        <w:rPr>
          <w:spacing w:val="-8"/>
          <w:sz w:val="21"/>
        </w:rPr>
        <w:t>，且容积不宜大于 </w:t>
      </w:r>
      <w:r>
        <w:rPr>
          <w:sz w:val="21"/>
        </w:rPr>
        <w:t>1600m³</w:t>
      </w:r>
      <w:r>
        <w:rPr>
          <w:spacing w:val="-3"/>
          <w:sz w:val="21"/>
        </w:rPr>
        <w:t>。</w:t>
      </w:r>
      <w:r>
        <w:rPr>
          <w:b/>
          <w:w w:val="99"/>
          <w:sz w:val="21"/>
        </w:rPr>
        <w:t>3.2.</w:t>
      </w:r>
      <w:r>
        <w:rPr>
          <w:b/>
          <w:spacing w:val="2"/>
          <w:w w:val="99"/>
          <w:sz w:val="21"/>
        </w:rPr>
        <w:t>5</w:t>
      </w:r>
      <w:r>
        <w:rPr>
          <w:spacing w:val="-2"/>
          <w:w w:val="100"/>
          <w:sz w:val="21"/>
        </w:rPr>
        <w:t> 防护区围护结构及门窗的耐火极限均不宜低于</w:t>
      </w:r>
      <w:r>
        <w:rPr>
          <w:w w:val="100"/>
          <w:sz w:val="21"/>
        </w:rPr>
        <w:t>0.5</w:t>
      </w:r>
      <w:r>
        <w:rPr>
          <w:spacing w:val="-3"/>
          <w:w w:val="100"/>
          <w:sz w:val="21"/>
        </w:rPr>
        <w:t>h</w:t>
      </w:r>
      <w:r>
        <w:rPr>
          <w:spacing w:val="-11"/>
          <w:w w:val="100"/>
          <w:sz w:val="21"/>
        </w:rPr>
        <w:t>；吊顶的耐火极限不宜低于</w:t>
      </w:r>
      <w:r>
        <w:rPr>
          <w:w w:val="100"/>
          <w:sz w:val="21"/>
        </w:rPr>
        <w:t>0.2</w:t>
      </w:r>
      <w:r>
        <w:rPr>
          <w:spacing w:val="-3"/>
          <w:w w:val="100"/>
          <w:sz w:val="21"/>
        </w:rPr>
        <w:t>5</w:t>
      </w:r>
      <w:r>
        <w:rPr>
          <w:spacing w:val="-1"/>
          <w:w w:val="100"/>
          <w:sz w:val="21"/>
        </w:rPr>
        <w:t>h</w:t>
      </w:r>
      <w:r>
        <w:rPr>
          <w:spacing w:val="-108"/>
          <w:w w:val="100"/>
          <w:sz w:val="21"/>
        </w:rPr>
        <w:t>。</w:t>
      </w:r>
      <w:r>
        <w:rPr>
          <w:w w:val="100"/>
          <w:sz w:val="21"/>
        </w:rPr>
        <w:t> </w:t>
      </w:r>
    </w:p>
    <w:p>
      <w:pPr>
        <w:pStyle w:val="ListParagraph"/>
        <w:numPr>
          <w:ilvl w:val="2"/>
          <w:numId w:val="358"/>
        </w:numPr>
        <w:tabs>
          <w:tab w:pos="1371" w:val="left" w:leader="none"/>
        </w:tabs>
        <w:spacing w:line="267" w:lineRule="exact" w:before="0" w:after="0"/>
        <w:ind w:left="1370" w:right="0" w:hanging="531"/>
        <w:jc w:val="left"/>
        <w:rPr>
          <w:sz w:val="21"/>
        </w:rPr>
      </w:pPr>
      <w:r>
        <w:rPr>
          <w:spacing w:val="-6"/>
          <w:sz w:val="21"/>
        </w:rPr>
        <w:t>防护区围护结构承受内压的允许压强，不宜低于 </w:t>
      </w:r>
      <w:r>
        <w:rPr>
          <w:sz w:val="21"/>
        </w:rPr>
        <w:t>1200Pa</w:t>
      </w:r>
      <w:r>
        <w:rPr>
          <w:spacing w:val="-3"/>
          <w:sz w:val="21"/>
        </w:rPr>
        <w:t>。</w:t>
      </w:r>
      <w:r>
        <w:rPr>
          <w:sz w:val="21"/>
        </w:rPr>
        <w:t> </w:t>
      </w:r>
    </w:p>
    <w:p>
      <w:pPr>
        <w:pStyle w:val="BodyText"/>
        <w:spacing w:before="2"/>
        <w:rPr>
          <w:sz w:val="18"/>
        </w:rPr>
      </w:pPr>
    </w:p>
    <w:p>
      <w:pPr>
        <w:pStyle w:val="ListParagraph"/>
        <w:numPr>
          <w:ilvl w:val="2"/>
          <w:numId w:val="358"/>
        </w:numPr>
        <w:tabs>
          <w:tab w:pos="1370" w:val="left" w:leader="none"/>
        </w:tabs>
        <w:spacing w:line="240" w:lineRule="auto" w:before="0" w:after="0"/>
        <w:ind w:left="1369" w:right="0" w:hanging="530"/>
        <w:jc w:val="left"/>
        <w:rPr>
          <w:sz w:val="21"/>
        </w:rPr>
      </w:pPr>
      <w:r>
        <w:rPr>
          <w:spacing w:val="-5"/>
          <w:sz w:val="21"/>
        </w:rPr>
        <w:t>防护区应设置泄压口，七氟丙烷灭火系统的泄压口应位于防护区净高的 </w:t>
      </w:r>
      <w:r>
        <w:rPr>
          <w:sz w:val="21"/>
        </w:rPr>
        <w:t>2/3</w:t>
      </w:r>
      <w:r>
        <w:rPr>
          <w:spacing w:val="-15"/>
          <w:sz w:val="21"/>
        </w:rPr>
        <w:t> 以上。</w:t>
      </w:r>
      <w:r>
        <w:rPr>
          <w:sz w:val="21"/>
        </w:rPr>
        <w:t> </w:t>
      </w:r>
    </w:p>
    <w:p>
      <w:pPr>
        <w:pStyle w:val="BodyText"/>
        <w:spacing w:before="12"/>
        <w:rPr>
          <w:sz w:val="17"/>
        </w:rPr>
      </w:pPr>
    </w:p>
    <w:p>
      <w:pPr>
        <w:pStyle w:val="ListParagraph"/>
        <w:numPr>
          <w:ilvl w:val="2"/>
          <w:numId w:val="358"/>
        </w:numPr>
        <w:tabs>
          <w:tab w:pos="1371" w:val="left" w:leader="none"/>
        </w:tabs>
        <w:spacing w:line="240" w:lineRule="auto" w:before="0" w:after="0"/>
        <w:ind w:left="1370" w:right="0" w:hanging="531"/>
        <w:jc w:val="left"/>
        <w:rPr>
          <w:sz w:val="21"/>
        </w:rPr>
      </w:pPr>
      <w:r>
        <w:rPr>
          <w:spacing w:val="-17"/>
          <w:sz w:val="21"/>
        </w:rPr>
        <w:t>防护区设置的泄压口，宜设在外墙上。泄压口面积按相应气体灭火系统设计规定计算。</w:t>
      </w:r>
      <w:r>
        <w:rPr>
          <w:sz w:val="21"/>
        </w:rPr>
        <w:t> </w:t>
      </w:r>
    </w:p>
    <w:p>
      <w:pPr>
        <w:pStyle w:val="BodyText"/>
        <w:rPr>
          <w:sz w:val="18"/>
        </w:rPr>
      </w:pPr>
    </w:p>
    <w:p>
      <w:pPr>
        <w:pStyle w:val="ListParagraph"/>
        <w:numPr>
          <w:ilvl w:val="2"/>
          <w:numId w:val="358"/>
        </w:numPr>
        <w:tabs>
          <w:tab w:pos="1370" w:val="left" w:leader="none"/>
        </w:tabs>
        <w:spacing w:line="240" w:lineRule="auto" w:before="0" w:after="0"/>
        <w:ind w:left="1369" w:right="0" w:hanging="530"/>
        <w:jc w:val="left"/>
        <w:rPr>
          <w:sz w:val="21"/>
        </w:rPr>
      </w:pPr>
      <w:r>
        <w:rPr>
          <w:spacing w:val="-3"/>
          <w:sz w:val="21"/>
        </w:rPr>
        <w:t>喷放灭火剂前，防护区内除泄压口外的开口应能自行关闭。</w:t>
      </w:r>
      <w:r>
        <w:rPr>
          <w:sz w:val="21"/>
        </w:rPr>
        <w:t> </w:t>
      </w:r>
    </w:p>
    <w:p>
      <w:pPr>
        <w:pStyle w:val="BodyText"/>
        <w:spacing w:before="1"/>
        <w:rPr>
          <w:sz w:val="18"/>
        </w:rPr>
      </w:pPr>
    </w:p>
    <w:p>
      <w:pPr>
        <w:pStyle w:val="ListParagraph"/>
        <w:numPr>
          <w:ilvl w:val="2"/>
          <w:numId w:val="358"/>
        </w:numPr>
        <w:tabs>
          <w:tab w:pos="1478" w:val="left" w:leader="none"/>
        </w:tabs>
        <w:spacing w:line="240" w:lineRule="auto" w:before="1" w:after="0"/>
        <w:ind w:left="1477" w:right="0" w:hanging="638"/>
        <w:jc w:val="left"/>
        <w:rPr>
          <w:sz w:val="21"/>
        </w:rPr>
      </w:pPr>
      <w:r>
        <w:rPr>
          <w:spacing w:val="-3"/>
          <w:sz w:val="21"/>
        </w:rPr>
        <w:t>防护区的最低环境温度不应低于-</w:t>
      </w:r>
      <w:r>
        <w:rPr>
          <w:sz w:val="21"/>
        </w:rPr>
        <w:t>10℃。 </w:t>
      </w:r>
    </w:p>
    <w:p>
      <w:pPr>
        <w:pStyle w:val="BodyText"/>
        <w:rPr>
          <w:sz w:val="18"/>
        </w:rPr>
      </w:pPr>
    </w:p>
    <w:p>
      <w:pPr>
        <w:pStyle w:val="ListParagraph"/>
        <w:numPr>
          <w:ilvl w:val="1"/>
          <w:numId w:val="353"/>
        </w:numPr>
        <w:tabs>
          <w:tab w:pos="1159" w:val="left" w:leader="none"/>
        </w:tabs>
        <w:spacing w:line="240" w:lineRule="auto" w:before="0" w:after="0"/>
        <w:ind w:left="1158" w:right="0" w:hanging="319"/>
        <w:jc w:val="left"/>
        <w:rPr>
          <w:b/>
          <w:sz w:val="21"/>
        </w:rPr>
      </w:pPr>
      <w:r>
        <w:rPr>
          <w:spacing w:val="-3"/>
          <w:sz w:val="21"/>
        </w:rPr>
        <w:t>七氟丙烷灭火系统</w:t>
      </w:r>
      <w:r>
        <w:rPr>
          <w:b/>
          <w:w w:val="99"/>
          <w:sz w:val="21"/>
        </w:rPr>
        <w:t> </w:t>
      </w:r>
    </w:p>
    <w:p>
      <w:pPr>
        <w:pStyle w:val="BodyText"/>
        <w:spacing w:before="12"/>
        <w:rPr>
          <w:b/>
          <w:sz w:val="17"/>
        </w:rPr>
      </w:pPr>
    </w:p>
    <w:p>
      <w:pPr>
        <w:pStyle w:val="ListParagraph"/>
        <w:numPr>
          <w:ilvl w:val="2"/>
          <w:numId w:val="353"/>
        </w:numPr>
        <w:tabs>
          <w:tab w:pos="1370" w:val="left" w:leader="none"/>
        </w:tabs>
        <w:spacing w:line="240" w:lineRule="auto" w:before="0" w:after="0"/>
        <w:ind w:left="1369" w:right="0" w:hanging="530"/>
        <w:jc w:val="left"/>
        <w:rPr>
          <w:sz w:val="21"/>
        </w:rPr>
      </w:pPr>
      <w:r>
        <w:rPr>
          <w:spacing w:val="-5"/>
          <w:sz w:val="21"/>
        </w:rPr>
        <w:t>七氟丙烷灭火系统的灭火设计浓度不应小于灭火浓度的 </w:t>
      </w:r>
      <w:r>
        <w:rPr>
          <w:sz w:val="21"/>
        </w:rPr>
        <w:t>1.3</w:t>
      </w:r>
      <w:r>
        <w:rPr>
          <w:spacing w:val="-11"/>
          <w:sz w:val="21"/>
        </w:rPr>
        <w:t> 倍，惰化设计浓度不应小</w:t>
      </w:r>
    </w:p>
    <w:p>
      <w:pPr>
        <w:pStyle w:val="BodyText"/>
        <w:spacing w:before="2"/>
        <w:rPr>
          <w:sz w:val="18"/>
        </w:rPr>
      </w:pPr>
    </w:p>
    <w:p>
      <w:pPr>
        <w:pStyle w:val="BodyText"/>
        <w:ind w:left="418"/>
        <w:jc w:val="both"/>
      </w:pPr>
      <w:r>
        <w:rPr/>
        <w:t>于惰化浓度的 1.1 倍。 </w:t>
      </w:r>
    </w:p>
    <w:p>
      <w:pPr>
        <w:pStyle w:val="BodyText"/>
        <w:spacing w:before="12"/>
        <w:rPr>
          <w:sz w:val="17"/>
        </w:rPr>
      </w:pPr>
    </w:p>
    <w:p>
      <w:pPr>
        <w:pStyle w:val="ListParagraph"/>
        <w:numPr>
          <w:ilvl w:val="2"/>
          <w:numId w:val="353"/>
        </w:numPr>
        <w:tabs>
          <w:tab w:pos="1371" w:val="left" w:leader="none"/>
        </w:tabs>
        <w:spacing w:line="446" w:lineRule="auto" w:before="0" w:after="0"/>
        <w:ind w:left="418" w:right="1433" w:firstLine="422"/>
        <w:jc w:val="both"/>
        <w:rPr>
          <w:sz w:val="21"/>
        </w:rPr>
      </w:pPr>
      <w:r>
        <w:rPr>
          <w:spacing w:val="-6"/>
          <w:sz w:val="21"/>
        </w:rPr>
        <w:t>固体表面火灾的灭火浓度为 </w:t>
      </w:r>
      <w:r>
        <w:rPr>
          <w:sz w:val="21"/>
        </w:rPr>
        <w:t>5.8</w:t>
      </w:r>
      <w:r>
        <w:rPr>
          <w:spacing w:val="-6"/>
          <w:sz w:val="21"/>
        </w:rPr>
        <w:t>%，其他灭火浓度可按本规范附录 </w:t>
      </w:r>
      <w:r>
        <w:rPr>
          <w:sz w:val="21"/>
        </w:rPr>
        <w:t>A</w:t>
      </w:r>
      <w:r>
        <w:rPr>
          <w:spacing w:val="-18"/>
          <w:sz w:val="21"/>
        </w:rPr>
        <w:t> 中表 </w:t>
      </w:r>
      <w:r>
        <w:rPr>
          <w:sz w:val="21"/>
        </w:rPr>
        <w:t>A-1</w:t>
      </w:r>
      <w:r>
        <w:rPr>
          <w:spacing w:val="-10"/>
          <w:sz w:val="21"/>
        </w:rPr>
        <w:t> 的规定</w:t>
      </w:r>
      <w:r>
        <w:rPr>
          <w:spacing w:val="-9"/>
          <w:sz w:val="21"/>
        </w:rPr>
        <w:t>取值，惰化浓度可按本规范附录 </w:t>
      </w:r>
      <w:r>
        <w:rPr>
          <w:sz w:val="21"/>
        </w:rPr>
        <w:t>A</w:t>
      </w:r>
      <w:r>
        <w:rPr>
          <w:spacing w:val="-24"/>
          <w:sz w:val="21"/>
        </w:rPr>
        <w:t> 中表 </w:t>
      </w:r>
      <w:r>
        <w:rPr>
          <w:sz w:val="21"/>
        </w:rPr>
        <w:t>A-2</w:t>
      </w:r>
      <w:r>
        <w:rPr>
          <w:spacing w:val="-5"/>
          <w:sz w:val="21"/>
        </w:rPr>
        <w:t> 的规定取值。本规范附录</w:t>
      </w:r>
      <w:r>
        <w:rPr>
          <w:sz w:val="21"/>
        </w:rPr>
        <w:t>A</w:t>
      </w:r>
      <w:r>
        <w:rPr>
          <w:spacing w:val="-9"/>
          <w:sz w:val="21"/>
        </w:rPr>
        <w:t> 中未列出的，应经试验确</w:t>
      </w:r>
      <w:r>
        <w:rPr>
          <w:spacing w:val="-6"/>
          <w:sz w:val="21"/>
        </w:rPr>
        <w:t>定。</w:t>
      </w:r>
      <w:r>
        <w:rPr>
          <w:sz w:val="21"/>
        </w:rPr>
        <w:t> </w:t>
      </w:r>
    </w:p>
    <w:p>
      <w:pPr>
        <w:pStyle w:val="ListParagraph"/>
        <w:numPr>
          <w:ilvl w:val="2"/>
          <w:numId w:val="353"/>
        </w:numPr>
        <w:tabs>
          <w:tab w:pos="1371" w:val="left" w:leader="none"/>
        </w:tabs>
        <w:spacing w:line="268" w:lineRule="exact" w:before="0" w:after="0"/>
        <w:ind w:left="1370" w:right="0" w:hanging="531"/>
        <w:jc w:val="both"/>
        <w:rPr>
          <w:sz w:val="21"/>
        </w:rPr>
      </w:pPr>
      <w:r>
        <w:rPr>
          <w:spacing w:val="-5"/>
          <w:sz w:val="21"/>
        </w:rPr>
        <w:t>图书、档案、票据和文物资料库等防护区，灭火设计浓度宜采用 </w:t>
      </w:r>
      <w:r>
        <w:rPr>
          <w:sz w:val="21"/>
        </w:rPr>
        <w:t>10%。 </w:t>
      </w:r>
    </w:p>
    <w:p>
      <w:pPr>
        <w:pStyle w:val="BodyText"/>
        <w:rPr>
          <w:sz w:val="18"/>
        </w:rPr>
      </w:pPr>
    </w:p>
    <w:p>
      <w:pPr>
        <w:pStyle w:val="ListParagraph"/>
        <w:numPr>
          <w:ilvl w:val="2"/>
          <w:numId w:val="353"/>
        </w:numPr>
        <w:tabs>
          <w:tab w:pos="1371" w:val="left" w:leader="none"/>
        </w:tabs>
        <w:spacing w:line="240" w:lineRule="auto" w:before="0" w:after="0"/>
        <w:ind w:left="1370" w:right="0" w:hanging="531"/>
        <w:jc w:val="left"/>
        <w:rPr>
          <w:sz w:val="21"/>
        </w:rPr>
      </w:pPr>
      <w:r>
        <w:rPr>
          <w:spacing w:val="-17"/>
          <w:sz w:val="21"/>
        </w:rPr>
        <w:t>油浸变压器室、带油开关的配电室和自备发电机房等防护区，灭火设计浓度宜采用 </w:t>
      </w:r>
      <w:r>
        <w:rPr>
          <w:sz w:val="21"/>
        </w:rPr>
        <w:t>9</w:t>
      </w:r>
      <w:r>
        <w:rPr>
          <w:spacing w:val="-56"/>
          <w:sz w:val="21"/>
        </w:rPr>
        <w:t>%。</w:t>
      </w:r>
      <w:r>
        <w:rPr>
          <w:sz w:val="21"/>
        </w:rPr>
        <w:t> </w:t>
      </w:r>
    </w:p>
    <w:p>
      <w:pPr>
        <w:pStyle w:val="BodyText"/>
        <w:spacing w:before="2"/>
        <w:rPr>
          <w:sz w:val="18"/>
        </w:rPr>
      </w:pPr>
    </w:p>
    <w:p>
      <w:pPr>
        <w:pStyle w:val="ListParagraph"/>
        <w:numPr>
          <w:ilvl w:val="2"/>
          <w:numId w:val="353"/>
        </w:numPr>
        <w:tabs>
          <w:tab w:pos="1371" w:val="left" w:leader="none"/>
        </w:tabs>
        <w:spacing w:line="240" w:lineRule="auto" w:before="0" w:after="0"/>
        <w:ind w:left="1370" w:right="0" w:hanging="531"/>
        <w:jc w:val="left"/>
        <w:rPr>
          <w:sz w:val="21"/>
        </w:rPr>
      </w:pPr>
      <w:r>
        <w:rPr>
          <w:spacing w:val="-5"/>
          <w:sz w:val="21"/>
        </w:rPr>
        <w:t>通信机房和电子计算机房等防护区，灭火设计浓度宜采用 </w:t>
      </w:r>
      <w:r>
        <w:rPr>
          <w:sz w:val="21"/>
        </w:rPr>
        <w:t>8</w:t>
      </w:r>
      <w:r>
        <w:rPr>
          <w:spacing w:val="-2"/>
          <w:sz w:val="21"/>
        </w:rPr>
        <w:t>%。</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353"/>
        </w:numPr>
        <w:tabs>
          <w:tab w:pos="1371" w:val="left" w:leader="none"/>
        </w:tabs>
        <w:spacing w:line="240" w:lineRule="auto" w:before="47" w:after="0"/>
        <w:ind w:left="1370" w:right="0" w:hanging="531"/>
        <w:jc w:val="left"/>
        <w:rPr>
          <w:sz w:val="21"/>
        </w:rPr>
      </w:pPr>
      <w:r>
        <w:rPr>
          <w:spacing w:val="-6"/>
          <w:sz w:val="21"/>
        </w:rPr>
        <w:t>防护区实际应用的浓度不应大于灭火设计浓度的 </w:t>
      </w:r>
      <w:r>
        <w:rPr>
          <w:sz w:val="21"/>
        </w:rPr>
        <w:t>1.1</w:t>
      </w:r>
      <w:r>
        <w:rPr>
          <w:spacing w:val="-20"/>
          <w:sz w:val="21"/>
        </w:rPr>
        <w:t> 倍。</w:t>
      </w:r>
      <w:r>
        <w:rPr>
          <w:sz w:val="21"/>
        </w:rPr>
        <w:t> </w:t>
      </w:r>
    </w:p>
    <w:p>
      <w:pPr>
        <w:pStyle w:val="BodyText"/>
        <w:rPr>
          <w:sz w:val="18"/>
        </w:rPr>
      </w:pPr>
    </w:p>
    <w:p>
      <w:pPr>
        <w:pStyle w:val="ListParagraph"/>
        <w:numPr>
          <w:ilvl w:val="2"/>
          <w:numId w:val="353"/>
        </w:numPr>
        <w:tabs>
          <w:tab w:pos="1370" w:val="left" w:leader="none"/>
        </w:tabs>
        <w:spacing w:line="446" w:lineRule="auto" w:before="0" w:after="0"/>
        <w:ind w:left="418" w:right="1434" w:firstLine="422"/>
        <w:jc w:val="left"/>
        <w:rPr>
          <w:sz w:val="21"/>
        </w:rPr>
      </w:pPr>
      <w:r>
        <w:rPr>
          <w:spacing w:val="-7"/>
          <w:sz w:val="21"/>
        </w:rPr>
        <w:t>在通讯机房和电子计算机房等防护区，设计喷放时间不应大于 </w:t>
      </w:r>
      <w:r>
        <w:rPr>
          <w:spacing w:val="-12"/>
          <w:sz w:val="21"/>
        </w:rPr>
        <w:t>8s</w:t>
      </w:r>
      <w:r>
        <w:rPr>
          <w:spacing w:val="-8"/>
          <w:sz w:val="21"/>
        </w:rPr>
        <w:t>；在其他防护区，设</w:t>
      </w:r>
      <w:r>
        <w:rPr>
          <w:spacing w:val="-10"/>
          <w:sz w:val="21"/>
        </w:rPr>
        <w:t>计喷放时间不应大于 </w:t>
      </w:r>
      <w:r>
        <w:rPr>
          <w:sz w:val="21"/>
        </w:rPr>
        <w:t>10s。 </w:t>
      </w:r>
    </w:p>
    <w:p>
      <w:pPr>
        <w:pStyle w:val="ListParagraph"/>
        <w:numPr>
          <w:ilvl w:val="2"/>
          <w:numId w:val="353"/>
        </w:numPr>
        <w:tabs>
          <w:tab w:pos="1371" w:val="left" w:leader="none"/>
        </w:tabs>
        <w:spacing w:line="240" w:lineRule="auto" w:before="0" w:after="0"/>
        <w:ind w:left="1370" w:right="0" w:hanging="531"/>
        <w:jc w:val="left"/>
        <w:rPr>
          <w:sz w:val="21"/>
        </w:rPr>
      </w:pPr>
      <w:r>
        <w:rPr>
          <w:spacing w:val="-3"/>
          <w:sz w:val="21"/>
        </w:rPr>
        <w:t>灭火浸渍时间应符合下列规定：</w:t>
      </w:r>
      <w:r>
        <w:rPr>
          <w:sz w:val="21"/>
        </w:rPr>
        <w:t> </w:t>
      </w:r>
    </w:p>
    <w:p>
      <w:pPr>
        <w:pStyle w:val="BodyText"/>
        <w:spacing w:before="12"/>
        <w:rPr>
          <w:sz w:val="17"/>
        </w:rPr>
      </w:pPr>
    </w:p>
    <w:p>
      <w:pPr>
        <w:pStyle w:val="ListParagraph"/>
        <w:numPr>
          <w:ilvl w:val="0"/>
          <w:numId w:val="359"/>
        </w:numPr>
        <w:tabs>
          <w:tab w:pos="1367" w:val="left" w:leader="none"/>
        </w:tabs>
        <w:spacing w:line="240" w:lineRule="auto" w:before="0" w:after="0"/>
        <w:ind w:left="1367" w:right="0" w:hanging="529"/>
        <w:jc w:val="left"/>
        <w:rPr>
          <w:sz w:val="21"/>
        </w:rPr>
      </w:pPr>
      <w:r>
        <w:rPr>
          <w:spacing w:val="-6"/>
          <w:sz w:val="21"/>
        </w:rPr>
        <w:t>木材、纸张、织物等固体表面火灾，宜采用 </w:t>
      </w:r>
      <w:r>
        <w:rPr>
          <w:sz w:val="21"/>
        </w:rPr>
        <w:t>20min； </w:t>
      </w:r>
    </w:p>
    <w:p>
      <w:pPr>
        <w:pStyle w:val="BodyText"/>
        <w:rPr>
          <w:sz w:val="18"/>
        </w:rPr>
      </w:pPr>
    </w:p>
    <w:p>
      <w:pPr>
        <w:pStyle w:val="ListParagraph"/>
        <w:numPr>
          <w:ilvl w:val="0"/>
          <w:numId w:val="359"/>
        </w:numPr>
        <w:tabs>
          <w:tab w:pos="1367" w:val="left" w:leader="none"/>
        </w:tabs>
        <w:spacing w:line="240" w:lineRule="auto" w:before="0" w:after="0"/>
        <w:ind w:left="1367" w:right="0" w:hanging="529"/>
        <w:jc w:val="left"/>
        <w:rPr>
          <w:sz w:val="21"/>
        </w:rPr>
      </w:pPr>
      <w:r>
        <w:rPr>
          <w:spacing w:val="-6"/>
          <w:sz w:val="21"/>
        </w:rPr>
        <w:t>通信机房、电子计算机房内的电气设备火灾，应采用 </w:t>
      </w:r>
      <w:r>
        <w:rPr>
          <w:sz w:val="21"/>
        </w:rPr>
        <w:t>5min； </w:t>
      </w:r>
    </w:p>
    <w:p>
      <w:pPr>
        <w:pStyle w:val="BodyText"/>
        <w:spacing w:before="2"/>
        <w:rPr>
          <w:sz w:val="18"/>
        </w:rPr>
      </w:pPr>
    </w:p>
    <w:p>
      <w:pPr>
        <w:pStyle w:val="ListParagraph"/>
        <w:numPr>
          <w:ilvl w:val="0"/>
          <w:numId w:val="359"/>
        </w:numPr>
        <w:tabs>
          <w:tab w:pos="1367" w:val="left" w:leader="none"/>
        </w:tabs>
        <w:spacing w:line="240" w:lineRule="auto" w:before="0" w:after="0"/>
        <w:ind w:left="1367" w:right="0" w:hanging="529"/>
        <w:jc w:val="left"/>
        <w:rPr>
          <w:sz w:val="21"/>
        </w:rPr>
      </w:pPr>
      <w:r>
        <w:rPr>
          <w:spacing w:val="-7"/>
          <w:sz w:val="21"/>
        </w:rPr>
        <w:t>其他固体表面火灾，宜采用 </w:t>
      </w:r>
      <w:r>
        <w:rPr>
          <w:sz w:val="21"/>
        </w:rPr>
        <w:t>10</w:t>
      </w:r>
      <w:r>
        <w:rPr>
          <w:spacing w:val="-3"/>
          <w:sz w:val="21"/>
        </w:rPr>
        <w:t> </w:t>
      </w:r>
      <w:r>
        <w:rPr>
          <w:sz w:val="21"/>
        </w:rPr>
        <w:t>min； </w:t>
      </w:r>
    </w:p>
    <w:p>
      <w:pPr>
        <w:pStyle w:val="BodyText"/>
        <w:rPr>
          <w:sz w:val="18"/>
        </w:rPr>
      </w:pPr>
    </w:p>
    <w:p>
      <w:pPr>
        <w:pStyle w:val="ListParagraph"/>
        <w:numPr>
          <w:ilvl w:val="0"/>
          <w:numId w:val="359"/>
        </w:numPr>
        <w:tabs>
          <w:tab w:pos="1367" w:val="left" w:leader="none"/>
        </w:tabs>
        <w:spacing w:line="240" w:lineRule="auto" w:before="0" w:after="0"/>
        <w:ind w:left="1367" w:right="0" w:hanging="529"/>
        <w:jc w:val="left"/>
        <w:rPr>
          <w:sz w:val="21"/>
        </w:rPr>
      </w:pPr>
      <w:r>
        <w:rPr>
          <w:spacing w:val="-7"/>
          <w:sz w:val="21"/>
        </w:rPr>
        <w:t>气体和液体火灾，不应小于 </w:t>
      </w:r>
      <w:r>
        <w:rPr>
          <w:sz w:val="21"/>
        </w:rPr>
        <w:t>1 min</w:t>
      </w:r>
      <w:r>
        <w:rPr>
          <w:spacing w:val="-3"/>
          <w:sz w:val="21"/>
        </w:rPr>
        <w:t>。</w:t>
      </w:r>
      <w:r>
        <w:rPr>
          <w:sz w:val="21"/>
        </w:rPr>
        <w:t> </w:t>
      </w:r>
    </w:p>
    <w:p>
      <w:pPr>
        <w:pStyle w:val="BodyText"/>
        <w:spacing w:before="12"/>
        <w:rPr>
          <w:sz w:val="17"/>
        </w:rPr>
      </w:pPr>
    </w:p>
    <w:p>
      <w:pPr>
        <w:pStyle w:val="ListParagraph"/>
        <w:numPr>
          <w:ilvl w:val="2"/>
          <w:numId w:val="353"/>
        </w:numPr>
        <w:tabs>
          <w:tab w:pos="1370" w:val="left" w:leader="none"/>
        </w:tabs>
        <w:spacing w:line="240" w:lineRule="auto" w:before="0" w:after="0"/>
        <w:ind w:left="1369" w:right="0" w:hanging="530"/>
        <w:jc w:val="left"/>
        <w:rPr>
          <w:sz w:val="21"/>
        </w:rPr>
      </w:pPr>
      <w:r>
        <w:rPr>
          <w:spacing w:val="-5"/>
          <w:sz w:val="21"/>
        </w:rPr>
        <w:t>七氟丙烷灭火系统应采用氮气增压输送。氮气的含水量不应大于 </w:t>
      </w:r>
      <w:r>
        <w:rPr>
          <w:sz w:val="21"/>
        </w:rPr>
        <w:t>0.006%</w:t>
      </w:r>
      <w:r>
        <w:rPr>
          <w:spacing w:val="-3"/>
          <w:sz w:val="21"/>
        </w:rPr>
        <w:t>。</w:t>
      </w:r>
      <w:r>
        <w:rPr>
          <w:sz w:val="21"/>
        </w:rPr>
        <w:t> </w:t>
      </w:r>
    </w:p>
    <w:p>
      <w:pPr>
        <w:pStyle w:val="BodyText"/>
        <w:spacing w:before="2"/>
        <w:rPr>
          <w:sz w:val="18"/>
        </w:rPr>
      </w:pPr>
    </w:p>
    <w:p>
      <w:pPr>
        <w:pStyle w:val="BodyText"/>
        <w:ind w:left="838"/>
      </w:pPr>
      <w:r>
        <w:rPr/>
        <w:t>储存容器的增压压力宜分为三级，并应符合下列规定： </w:t>
      </w:r>
    </w:p>
    <w:p>
      <w:pPr>
        <w:pStyle w:val="BodyText"/>
        <w:rPr>
          <w:sz w:val="18"/>
        </w:rPr>
      </w:pPr>
    </w:p>
    <w:p>
      <w:pPr>
        <w:pStyle w:val="BodyText"/>
        <w:ind w:left="838"/>
      </w:pPr>
      <w:r>
        <w:rPr>
          <w:w w:val="100"/>
        </w:rPr>
        <w:t>（1</w:t>
      </w:r>
      <w:r>
        <w:rPr>
          <w:spacing w:val="-3"/>
          <w:w w:val="100"/>
        </w:rPr>
        <w:t>）</w:t>
      </w:r>
      <w:r>
        <w:rPr>
          <w:spacing w:val="-2"/>
          <w:w w:val="100"/>
        </w:rPr>
        <w:t>一级 </w:t>
      </w:r>
      <w:r>
        <w:rPr/>
        <w:t> </w:t>
      </w:r>
      <w:r>
        <w:rPr>
          <w:w w:val="100"/>
        </w:rPr>
        <w:t>2.</w:t>
      </w:r>
      <w:r>
        <w:rPr>
          <w:spacing w:val="-3"/>
          <w:w w:val="100"/>
        </w:rPr>
        <w:t>5</w:t>
      </w:r>
      <w:r>
        <w:rPr>
          <w:w w:val="100"/>
        </w:rPr>
        <w:t>+0.</w:t>
      </w:r>
      <w:r>
        <w:rPr>
          <w:spacing w:val="-3"/>
          <w:w w:val="100"/>
        </w:rPr>
        <w:t>1</w:t>
      </w:r>
      <w:r>
        <w:rPr>
          <w:w w:val="100"/>
        </w:rPr>
        <w:t>MP</w:t>
      </w:r>
      <w:r>
        <w:rPr>
          <w:spacing w:val="-2"/>
          <w:w w:val="100"/>
        </w:rPr>
        <w:t>a</w:t>
      </w:r>
      <w:r>
        <w:rPr>
          <w:spacing w:val="-3"/>
          <w:w w:val="100"/>
        </w:rPr>
        <w:t>（</w:t>
      </w:r>
      <w:r>
        <w:rPr>
          <w:w w:val="100"/>
        </w:rPr>
        <w:t>表压</w:t>
      </w:r>
      <w:r>
        <w:rPr>
          <w:spacing w:val="-108"/>
          <w:w w:val="100"/>
        </w:rPr>
        <w:t>）</w:t>
      </w:r>
      <w:r>
        <w:rPr>
          <w:spacing w:val="-3"/>
          <w:w w:val="100"/>
        </w:rPr>
        <w:t>；</w:t>
      </w:r>
      <w:r>
        <w:rPr>
          <w:w w:val="100"/>
        </w:rPr>
        <w:t> </w:t>
      </w:r>
    </w:p>
    <w:p>
      <w:pPr>
        <w:pStyle w:val="BodyText"/>
        <w:spacing w:before="12"/>
        <w:rPr>
          <w:sz w:val="17"/>
        </w:rPr>
      </w:pPr>
    </w:p>
    <w:p>
      <w:pPr>
        <w:pStyle w:val="BodyText"/>
        <w:ind w:left="838"/>
      </w:pPr>
      <w:r>
        <w:rPr>
          <w:w w:val="100"/>
        </w:rPr>
        <w:t>（2</w:t>
      </w:r>
      <w:r>
        <w:rPr>
          <w:spacing w:val="-3"/>
          <w:w w:val="100"/>
        </w:rPr>
        <w:t>）</w:t>
      </w:r>
      <w:r>
        <w:rPr>
          <w:spacing w:val="-2"/>
          <w:w w:val="100"/>
        </w:rPr>
        <w:t>二级 </w:t>
      </w:r>
      <w:r>
        <w:rPr/>
        <w:t> </w:t>
      </w:r>
      <w:r>
        <w:rPr>
          <w:w w:val="100"/>
        </w:rPr>
        <w:t>4.</w:t>
      </w:r>
      <w:r>
        <w:rPr>
          <w:spacing w:val="-3"/>
          <w:w w:val="100"/>
        </w:rPr>
        <w:t>2</w:t>
      </w:r>
      <w:r>
        <w:rPr>
          <w:w w:val="100"/>
        </w:rPr>
        <w:t>+0.</w:t>
      </w:r>
      <w:r>
        <w:rPr>
          <w:spacing w:val="-3"/>
          <w:w w:val="100"/>
        </w:rPr>
        <w:t>1</w:t>
      </w:r>
      <w:r>
        <w:rPr>
          <w:w w:val="100"/>
        </w:rPr>
        <w:t>MP</w:t>
      </w:r>
      <w:r>
        <w:rPr>
          <w:spacing w:val="-2"/>
          <w:w w:val="100"/>
        </w:rPr>
        <w:t>a</w:t>
      </w:r>
      <w:r>
        <w:rPr>
          <w:spacing w:val="-3"/>
          <w:w w:val="100"/>
        </w:rPr>
        <w:t>（</w:t>
      </w:r>
      <w:r>
        <w:rPr>
          <w:w w:val="100"/>
        </w:rPr>
        <w:t>表压</w:t>
      </w:r>
      <w:r>
        <w:rPr>
          <w:spacing w:val="-108"/>
          <w:w w:val="100"/>
        </w:rPr>
        <w:t>）</w:t>
      </w:r>
      <w:r>
        <w:rPr>
          <w:spacing w:val="-3"/>
          <w:w w:val="100"/>
        </w:rPr>
        <w:t>；</w:t>
      </w:r>
      <w:r>
        <w:rPr>
          <w:w w:val="100"/>
        </w:rPr>
        <w:t> </w:t>
      </w:r>
    </w:p>
    <w:p>
      <w:pPr>
        <w:pStyle w:val="BodyText"/>
        <w:spacing w:before="2"/>
        <w:rPr>
          <w:sz w:val="18"/>
        </w:rPr>
      </w:pPr>
    </w:p>
    <w:p>
      <w:pPr>
        <w:pStyle w:val="BodyText"/>
        <w:ind w:left="838"/>
      </w:pPr>
      <w:r>
        <w:rPr/>
        <w:t>（3）</w:t>
      </w:r>
      <w:r>
        <w:rPr>
          <w:spacing w:val="-2"/>
        </w:rPr>
        <w:t> 三级 </w:t>
      </w:r>
      <w:r>
        <w:rPr/>
        <w:t>5.6+0.1MPa（</w:t>
      </w:r>
      <w:r>
        <w:rPr>
          <w:spacing w:val="-2"/>
        </w:rPr>
        <w:t>表压</w:t>
      </w:r>
      <w:r>
        <w:rPr>
          <w:spacing w:val="-106"/>
        </w:rPr>
        <w:t>）</w:t>
      </w:r>
      <w:r>
        <w:rPr>
          <w:spacing w:val="-3"/>
        </w:rPr>
        <w:t>。</w:t>
      </w:r>
      <w:r>
        <w:rPr/>
        <w:t> </w:t>
      </w:r>
    </w:p>
    <w:p>
      <w:pPr>
        <w:pStyle w:val="BodyText"/>
        <w:rPr>
          <w:sz w:val="18"/>
        </w:rPr>
      </w:pPr>
    </w:p>
    <w:p>
      <w:pPr>
        <w:pStyle w:val="ListParagraph"/>
        <w:numPr>
          <w:ilvl w:val="2"/>
          <w:numId w:val="353"/>
        </w:numPr>
        <w:tabs>
          <w:tab w:pos="1478" w:val="left" w:leader="none"/>
        </w:tabs>
        <w:spacing w:line="240" w:lineRule="auto" w:before="0" w:after="0"/>
        <w:ind w:left="1477" w:right="0" w:hanging="638"/>
        <w:jc w:val="left"/>
        <w:rPr>
          <w:sz w:val="21"/>
        </w:rPr>
      </w:pPr>
      <w:r>
        <w:rPr>
          <w:spacing w:val="-3"/>
          <w:sz w:val="21"/>
        </w:rPr>
        <w:t>七氟丙烷单位容积的充装量应符合下列规定： </w:t>
      </w:r>
    </w:p>
    <w:p>
      <w:pPr>
        <w:pStyle w:val="BodyText"/>
        <w:spacing w:before="12"/>
        <w:rPr>
          <w:sz w:val="17"/>
        </w:rPr>
      </w:pPr>
    </w:p>
    <w:p>
      <w:pPr>
        <w:pStyle w:val="ListParagraph"/>
        <w:numPr>
          <w:ilvl w:val="0"/>
          <w:numId w:val="360"/>
        </w:numPr>
        <w:tabs>
          <w:tab w:pos="1367" w:val="left" w:leader="none"/>
        </w:tabs>
        <w:spacing w:line="240" w:lineRule="auto" w:before="0" w:after="0"/>
        <w:ind w:left="1367" w:right="0" w:hanging="529"/>
        <w:jc w:val="left"/>
        <w:rPr>
          <w:sz w:val="21"/>
        </w:rPr>
      </w:pPr>
      <w:r>
        <w:rPr>
          <w:spacing w:val="-7"/>
          <w:sz w:val="21"/>
        </w:rPr>
        <w:t>一级增压储存容器，不应大于 </w:t>
      </w:r>
      <w:r>
        <w:rPr>
          <w:sz w:val="21"/>
        </w:rPr>
        <w:t>1120kg/m³； </w:t>
      </w:r>
    </w:p>
    <w:p>
      <w:pPr>
        <w:pStyle w:val="BodyText"/>
        <w:spacing w:before="2"/>
        <w:rPr>
          <w:sz w:val="18"/>
        </w:rPr>
      </w:pPr>
    </w:p>
    <w:p>
      <w:pPr>
        <w:pStyle w:val="ListParagraph"/>
        <w:numPr>
          <w:ilvl w:val="0"/>
          <w:numId w:val="360"/>
        </w:numPr>
        <w:tabs>
          <w:tab w:pos="1367" w:val="left" w:leader="none"/>
        </w:tabs>
        <w:spacing w:line="240" w:lineRule="auto" w:before="0" w:after="0"/>
        <w:ind w:left="1367" w:right="0" w:hanging="529"/>
        <w:jc w:val="left"/>
        <w:rPr>
          <w:sz w:val="21"/>
        </w:rPr>
      </w:pPr>
      <w:r>
        <w:rPr>
          <w:spacing w:val="-6"/>
          <w:sz w:val="21"/>
        </w:rPr>
        <w:t>二级增压焊接结构储存容器，不应大于 </w:t>
      </w:r>
      <w:r>
        <w:rPr>
          <w:sz w:val="21"/>
        </w:rPr>
        <w:t>950kg/m³； </w:t>
      </w:r>
    </w:p>
    <w:p>
      <w:pPr>
        <w:pStyle w:val="BodyText"/>
        <w:spacing w:before="12"/>
        <w:rPr>
          <w:sz w:val="17"/>
        </w:rPr>
      </w:pPr>
    </w:p>
    <w:p>
      <w:pPr>
        <w:pStyle w:val="ListParagraph"/>
        <w:numPr>
          <w:ilvl w:val="0"/>
          <w:numId w:val="360"/>
        </w:numPr>
        <w:tabs>
          <w:tab w:pos="1367" w:val="left" w:leader="none"/>
        </w:tabs>
        <w:spacing w:line="240" w:lineRule="auto" w:before="0" w:after="0"/>
        <w:ind w:left="1367" w:right="0" w:hanging="529"/>
        <w:jc w:val="left"/>
        <w:rPr>
          <w:sz w:val="21"/>
        </w:rPr>
      </w:pPr>
      <w:r>
        <w:rPr>
          <w:spacing w:val="-6"/>
          <w:sz w:val="21"/>
        </w:rPr>
        <w:t>二级增压无缝结构储存容器，不应大于 </w:t>
      </w:r>
      <w:r>
        <w:rPr>
          <w:sz w:val="21"/>
        </w:rPr>
        <w:t>1120kg/m³； </w:t>
      </w:r>
    </w:p>
    <w:p>
      <w:pPr>
        <w:pStyle w:val="BodyText"/>
        <w:rPr>
          <w:sz w:val="18"/>
        </w:rPr>
      </w:pPr>
    </w:p>
    <w:p>
      <w:pPr>
        <w:pStyle w:val="ListParagraph"/>
        <w:numPr>
          <w:ilvl w:val="0"/>
          <w:numId w:val="360"/>
        </w:numPr>
        <w:tabs>
          <w:tab w:pos="1367" w:val="left" w:leader="none"/>
        </w:tabs>
        <w:spacing w:line="240" w:lineRule="auto" w:before="0" w:after="0"/>
        <w:ind w:left="1367" w:right="0" w:hanging="529"/>
        <w:jc w:val="left"/>
        <w:rPr>
          <w:sz w:val="21"/>
        </w:rPr>
      </w:pPr>
      <w:r>
        <w:rPr>
          <w:spacing w:val="-7"/>
          <w:sz w:val="21"/>
        </w:rPr>
        <w:t>三级增压储存容器，不应大于 </w:t>
      </w:r>
      <w:r>
        <w:rPr>
          <w:sz w:val="21"/>
        </w:rPr>
        <w:t>1080kg/m³。 </w:t>
      </w:r>
    </w:p>
    <w:p>
      <w:pPr>
        <w:pStyle w:val="BodyText"/>
        <w:spacing w:before="2"/>
        <w:rPr>
          <w:sz w:val="18"/>
        </w:rPr>
      </w:pPr>
    </w:p>
    <w:p>
      <w:pPr>
        <w:pStyle w:val="ListParagraph"/>
        <w:numPr>
          <w:ilvl w:val="2"/>
          <w:numId w:val="353"/>
        </w:numPr>
        <w:tabs>
          <w:tab w:pos="1478" w:val="left" w:leader="none"/>
        </w:tabs>
        <w:spacing w:line="240" w:lineRule="auto" w:before="0" w:after="0"/>
        <w:ind w:left="1477" w:right="0" w:hanging="638"/>
        <w:jc w:val="left"/>
        <w:rPr>
          <w:sz w:val="21"/>
        </w:rPr>
      </w:pPr>
      <w:r>
        <w:rPr>
          <w:spacing w:val="-5"/>
          <w:sz w:val="21"/>
        </w:rPr>
        <w:t>管网的管道内容积，不应大于流经该管网的七氟丙烷储存量体积的 </w:t>
      </w:r>
      <w:r>
        <w:rPr>
          <w:sz w:val="21"/>
        </w:rPr>
        <w:t>80</w:t>
      </w:r>
      <w:r>
        <w:rPr>
          <w:spacing w:val="-2"/>
          <w:sz w:val="21"/>
        </w:rPr>
        <w:t>%。</w:t>
      </w:r>
      <w:r>
        <w:rPr>
          <w:sz w:val="21"/>
        </w:rPr>
        <w:t> </w:t>
      </w:r>
    </w:p>
    <w:p>
      <w:pPr>
        <w:pStyle w:val="BodyText"/>
        <w:rPr>
          <w:sz w:val="18"/>
        </w:rPr>
      </w:pPr>
    </w:p>
    <w:p>
      <w:pPr>
        <w:pStyle w:val="ListParagraph"/>
        <w:numPr>
          <w:ilvl w:val="2"/>
          <w:numId w:val="353"/>
        </w:numPr>
        <w:tabs>
          <w:tab w:pos="1478" w:val="left" w:leader="none"/>
        </w:tabs>
        <w:spacing w:line="240" w:lineRule="auto" w:before="0" w:after="0"/>
        <w:ind w:left="1477" w:right="0" w:hanging="638"/>
        <w:jc w:val="left"/>
        <w:rPr>
          <w:sz w:val="21"/>
        </w:rPr>
      </w:pPr>
      <w:r>
        <w:rPr>
          <w:spacing w:val="-3"/>
          <w:sz w:val="21"/>
        </w:rPr>
        <w:t>管网布置宜设计为均衡系统，并应符合下列规定：</w:t>
      </w:r>
      <w:r>
        <w:rPr>
          <w:sz w:val="21"/>
        </w:rPr>
        <w:t> </w:t>
      </w:r>
    </w:p>
    <w:p>
      <w:pPr>
        <w:pStyle w:val="BodyText"/>
        <w:spacing w:before="12"/>
        <w:rPr>
          <w:sz w:val="17"/>
        </w:rPr>
      </w:pPr>
    </w:p>
    <w:p>
      <w:pPr>
        <w:pStyle w:val="ListParagraph"/>
        <w:numPr>
          <w:ilvl w:val="0"/>
          <w:numId w:val="361"/>
        </w:numPr>
        <w:tabs>
          <w:tab w:pos="1367" w:val="left" w:leader="none"/>
        </w:tabs>
        <w:spacing w:line="240" w:lineRule="auto" w:before="0" w:after="0"/>
        <w:ind w:left="1367" w:right="0" w:hanging="529"/>
        <w:jc w:val="left"/>
        <w:rPr>
          <w:sz w:val="21"/>
        </w:rPr>
      </w:pPr>
      <w:r>
        <w:rPr>
          <w:spacing w:val="-3"/>
          <w:sz w:val="21"/>
        </w:rPr>
        <w:t>喷头设计流量应相等； </w:t>
      </w:r>
    </w:p>
    <w:p>
      <w:pPr>
        <w:pStyle w:val="BodyText"/>
        <w:spacing w:before="2"/>
        <w:rPr>
          <w:sz w:val="18"/>
        </w:rPr>
      </w:pPr>
    </w:p>
    <w:p>
      <w:pPr>
        <w:pStyle w:val="ListParagraph"/>
        <w:numPr>
          <w:ilvl w:val="0"/>
          <w:numId w:val="361"/>
        </w:numPr>
        <w:tabs>
          <w:tab w:pos="1367" w:val="left" w:leader="none"/>
        </w:tabs>
        <w:spacing w:line="446" w:lineRule="auto" w:before="0" w:after="0"/>
        <w:ind w:left="840" w:right="1664" w:hanging="3"/>
        <w:jc w:val="left"/>
        <w:rPr>
          <w:sz w:val="21"/>
        </w:rPr>
      </w:pPr>
      <w:r>
        <w:rPr>
          <w:spacing w:val="-12"/>
          <w:sz w:val="21"/>
        </w:rPr>
        <w:t>管网的第 </w:t>
      </w:r>
      <w:r>
        <w:rPr>
          <w:sz w:val="21"/>
        </w:rPr>
        <w:t>1</w:t>
      </w:r>
      <w:r>
        <w:rPr>
          <w:spacing w:val="-10"/>
          <w:sz w:val="21"/>
        </w:rPr>
        <w:t> 分流点至各喷头的管道阻力损失，其相互间的最大差值不应大于 </w:t>
      </w:r>
      <w:r>
        <w:rPr>
          <w:sz w:val="21"/>
        </w:rPr>
        <w:t>20</w:t>
      </w:r>
      <w:r>
        <w:rPr>
          <w:spacing w:val="-2"/>
          <w:sz w:val="21"/>
        </w:rPr>
        <w:t>%。</w:t>
      </w:r>
      <w:r>
        <w:rPr>
          <w:b/>
          <w:sz w:val="21"/>
        </w:rPr>
        <w:t>3.3.13 </w:t>
      </w:r>
      <w:r>
        <w:rPr>
          <w:spacing w:val="-3"/>
          <w:sz w:val="21"/>
        </w:rPr>
        <w:t>防护区的泄压口面积，宜按下式计算： </w:t>
      </w:r>
    </w:p>
    <w:p>
      <w:pPr>
        <w:pStyle w:val="BodyText"/>
        <w:spacing w:before="12"/>
        <w:rPr>
          <w:sz w:val="16"/>
        </w:rPr>
      </w:pPr>
      <w:r>
        <w:rPr/>
        <w:drawing>
          <wp:anchor distT="0" distB="0" distL="0" distR="0" allowOverlap="1" layoutInCell="1" locked="0" behindDoc="0" simplePos="0" relativeHeight="127">
            <wp:simplePos x="0" y="0"/>
            <wp:positionH relativeFrom="page">
              <wp:posOffset>1579880</wp:posOffset>
            </wp:positionH>
            <wp:positionV relativeFrom="paragraph">
              <wp:posOffset>162679</wp:posOffset>
            </wp:positionV>
            <wp:extent cx="2514599" cy="447675"/>
            <wp:effectExtent l="0" t="0" r="0" b="0"/>
            <wp:wrapTopAndBottom/>
            <wp:docPr id="283" name="image176.jpeg"/>
            <wp:cNvGraphicFramePr>
              <a:graphicFrameLocks noChangeAspect="1"/>
            </wp:cNvGraphicFramePr>
            <a:graphic>
              <a:graphicData uri="http://schemas.openxmlformats.org/drawingml/2006/picture">
                <pic:pic>
                  <pic:nvPicPr>
                    <pic:cNvPr id="284" name="image176.jpeg"/>
                    <pic:cNvPicPr/>
                  </pic:nvPicPr>
                  <pic:blipFill>
                    <a:blip r:embed="rId219" cstate="print"/>
                    <a:stretch>
                      <a:fillRect/>
                    </a:stretch>
                  </pic:blipFill>
                  <pic:spPr>
                    <a:xfrm>
                      <a:off x="0" y="0"/>
                      <a:ext cx="2514599" cy="447675"/>
                    </a:xfrm>
                    <a:prstGeom prst="rect">
                      <a:avLst/>
                    </a:prstGeom>
                  </pic:spPr>
                </pic:pic>
              </a:graphicData>
            </a:graphic>
          </wp:anchor>
        </w:drawing>
      </w:r>
    </w:p>
    <w:p>
      <w:pPr>
        <w:pStyle w:val="BodyText"/>
        <w:spacing w:before="169"/>
        <w:ind w:left="838"/>
      </w:pPr>
      <w:r>
        <w:rPr>
          <w:spacing w:val="-1"/>
          <w:w w:val="100"/>
          <w:position w:val="1"/>
        </w:rPr>
        <w:t>式中 </w:t>
      </w:r>
      <w:r>
        <w:rPr>
          <w:i/>
          <w:w w:val="96"/>
          <w:position w:val="1"/>
          <w:sz w:val="22"/>
        </w:rPr>
        <w:t> </w:t>
      </w:r>
      <w:r>
        <w:rPr>
          <w:i/>
          <w:spacing w:val="-5"/>
          <w:position w:val="1"/>
          <w:sz w:val="22"/>
        </w:rPr>
        <w:t> </w:t>
      </w:r>
      <w:r>
        <w:rPr>
          <w:i/>
          <w:w w:val="96"/>
          <w:position w:val="1"/>
          <w:sz w:val="22"/>
        </w:rPr>
        <w:t>F</w:t>
      </w:r>
      <w:r>
        <w:rPr>
          <w:i/>
          <w:spacing w:val="-3"/>
          <w:w w:val="100"/>
          <w:sz w:val="11"/>
        </w:rPr>
        <w:t>x</w:t>
      </w:r>
      <w:r>
        <w:rPr>
          <w:spacing w:val="-3"/>
          <w:w w:val="100"/>
          <w:position w:val="1"/>
        </w:rPr>
        <w:t>——泄压口面积</w:t>
      </w:r>
      <w:r>
        <w:rPr>
          <w:w w:val="100"/>
          <w:position w:val="1"/>
        </w:rPr>
        <w:t>（m²</w:t>
      </w:r>
      <w:r>
        <w:rPr>
          <w:spacing w:val="-108"/>
          <w:w w:val="100"/>
          <w:position w:val="1"/>
        </w:rPr>
        <w:t>）</w:t>
      </w:r>
      <w:r>
        <w:rPr>
          <w:spacing w:val="-3"/>
          <w:w w:val="100"/>
          <w:position w:val="1"/>
        </w:rPr>
        <w:t>；</w:t>
      </w:r>
      <w:r>
        <w:rPr>
          <w:w w:val="100"/>
          <w:position w:val="1"/>
        </w:rPr>
        <w:t> </w:t>
      </w:r>
    </w:p>
    <w:p>
      <w:pPr>
        <w:pStyle w:val="BodyText"/>
        <w:spacing w:before="12"/>
        <w:rPr>
          <w:sz w:val="16"/>
        </w:rPr>
      </w:pPr>
    </w:p>
    <w:p>
      <w:pPr>
        <w:pStyle w:val="BodyText"/>
        <w:ind w:left="838"/>
      </w:pPr>
      <w:r>
        <w:rPr>
          <w:i/>
          <w:w w:val="96"/>
          <w:position w:val="1"/>
          <w:sz w:val="22"/>
        </w:rPr>
        <w:t>Q</w:t>
      </w:r>
      <w:r>
        <w:rPr>
          <w:i/>
          <w:w w:val="100"/>
          <w:sz w:val="11"/>
        </w:rPr>
        <w:t>x</w:t>
      </w:r>
      <w:r>
        <w:rPr>
          <w:spacing w:val="-3"/>
          <w:w w:val="100"/>
          <w:position w:val="1"/>
        </w:rPr>
        <w:t>——灭火剂在防护区的平均喷放速率（</w:t>
      </w:r>
      <w:r>
        <w:rPr>
          <w:w w:val="100"/>
          <w:position w:val="1"/>
        </w:rPr>
        <w:t>kg/</w:t>
      </w:r>
      <w:r>
        <w:rPr>
          <w:spacing w:val="-3"/>
          <w:w w:val="100"/>
          <w:position w:val="1"/>
        </w:rPr>
        <w:t>s</w:t>
      </w:r>
      <w:r>
        <w:rPr>
          <w:spacing w:val="-106"/>
          <w:w w:val="100"/>
          <w:position w:val="1"/>
        </w:rPr>
        <w:t>）</w:t>
      </w:r>
      <w:r>
        <w:rPr>
          <w:spacing w:val="-2"/>
          <w:w w:val="100"/>
          <w:position w:val="1"/>
        </w:rPr>
        <w:t>；</w:t>
      </w:r>
      <w:r>
        <w:rPr>
          <w:w w:val="100"/>
          <w:position w:val="1"/>
        </w:rPr>
        <w:t> </w:t>
      </w:r>
    </w:p>
    <w:p>
      <w:pPr>
        <w:pStyle w:val="BodyText"/>
        <w:spacing w:before="2"/>
        <w:rPr>
          <w:sz w:val="17"/>
        </w:rPr>
      </w:pPr>
    </w:p>
    <w:p>
      <w:pPr>
        <w:pStyle w:val="BodyText"/>
        <w:ind w:left="838"/>
      </w:pPr>
      <w:r>
        <w:rPr>
          <w:i/>
          <w:w w:val="96"/>
          <w:position w:val="1"/>
          <w:sz w:val="22"/>
        </w:rPr>
        <w:t>P</w:t>
      </w:r>
      <w:r>
        <w:rPr>
          <w:i/>
          <w:w w:val="100"/>
          <w:sz w:val="11"/>
        </w:rPr>
        <w:t>f</w:t>
      </w:r>
      <w:r>
        <w:rPr>
          <w:spacing w:val="-3"/>
          <w:w w:val="100"/>
          <w:position w:val="1"/>
        </w:rPr>
        <w:t>——围护结构承受内压的允许压强</w:t>
      </w:r>
      <w:r>
        <w:rPr>
          <w:w w:val="100"/>
          <w:position w:val="1"/>
        </w:rPr>
        <w:t>（P</w:t>
      </w:r>
      <w:r>
        <w:rPr>
          <w:spacing w:val="-3"/>
          <w:w w:val="100"/>
          <w:position w:val="1"/>
        </w:rPr>
        <w:t>a</w:t>
      </w:r>
      <w:r>
        <w:rPr>
          <w:spacing w:val="-106"/>
          <w:w w:val="100"/>
          <w:position w:val="1"/>
        </w:rPr>
        <w:t>）</w:t>
      </w:r>
      <w:r>
        <w:rPr>
          <w:spacing w:val="-3"/>
          <w:w w:val="100"/>
          <w:position w:val="1"/>
        </w:rPr>
        <w:t>。</w:t>
      </w:r>
      <w:r>
        <w:rPr>
          <w:w w:val="100"/>
          <w:position w:val="1"/>
        </w:rPr>
        <w:t> </w:t>
      </w:r>
    </w:p>
    <w:p>
      <w:pPr>
        <w:spacing w:after="0"/>
        <w:sectPr>
          <w:pgSz w:w="11910" w:h="16850"/>
          <w:pgMar w:header="0" w:footer="1239" w:top="1220" w:bottom="1420" w:left="1260" w:right="0"/>
        </w:sectPr>
      </w:pPr>
    </w:p>
    <w:p>
      <w:pPr>
        <w:pStyle w:val="BodyText"/>
        <w:spacing w:before="47"/>
        <w:ind w:left="840"/>
      </w:pPr>
      <w:r>
        <w:rPr>
          <w:b/>
        </w:rPr>
        <w:t>3.3.14 </w:t>
      </w:r>
      <w:r>
        <w:rPr/>
        <w:t>灭火设计用量或惰化设计用量和系统灭火剂储存量，应符合下列规定： </w:t>
      </w:r>
    </w:p>
    <w:p>
      <w:pPr>
        <w:pStyle w:val="BodyText"/>
        <w:rPr>
          <w:sz w:val="18"/>
        </w:rPr>
      </w:pPr>
    </w:p>
    <w:p>
      <w:pPr>
        <w:pStyle w:val="ListParagraph"/>
        <w:numPr>
          <w:ilvl w:val="0"/>
          <w:numId w:val="362"/>
        </w:numPr>
        <w:tabs>
          <w:tab w:pos="1367" w:val="left" w:leader="none"/>
        </w:tabs>
        <w:spacing w:line="240" w:lineRule="auto" w:before="0" w:after="0"/>
        <w:ind w:left="1367" w:right="0" w:hanging="529"/>
        <w:jc w:val="left"/>
        <w:rPr>
          <w:sz w:val="21"/>
        </w:rPr>
      </w:pPr>
      <w:r>
        <w:rPr>
          <w:spacing w:val="-3"/>
          <w:sz w:val="21"/>
        </w:rPr>
        <w:t>防护区灭火设计用量或惰化设计用量应按下式计算：</w:t>
      </w:r>
      <w:r>
        <w:rPr>
          <w:sz w:val="21"/>
        </w:rPr>
        <w:t> </w:t>
      </w:r>
    </w:p>
    <w:p>
      <w:pPr>
        <w:pStyle w:val="BodyText"/>
        <w:rPr>
          <w:sz w:val="20"/>
        </w:rPr>
      </w:pPr>
    </w:p>
    <w:p>
      <w:pPr>
        <w:pStyle w:val="BodyText"/>
        <w:spacing w:before="1"/>
        <w:rPr>
          <w:sz w:val="12"/>
        </w:rPr>
      </w:pPr>
      <w:r>
        <w:rPr/>
        <w:drawing>
          <wp:anchor distT="0" distB="0" distL="0" distR="0" allowOverlap="1" layoutInCell="1" locked="0" behindDoc="0" simplePos="0" relativeHeight="128">
            <wp:simplePos x="0" y="0"/>
            <wp:positionH relativeFrom="page">
              <wp:posOffset>1417955</wp:posOffset>
            </wp:positionH>
            <wp:positionV relativeFrom="paragraph">
              <wp:posOffset>123317</wp:posOffset>
            </wp:positionV>
            <wp:extent cx="2666999" cy="390525"/>
            <wp:effectExtent l="0" t="0" r="0" b="0"/>
            <wp:wrapTopAndBottom/>
            <wp:docPr id="285" name="image177.jpeg"/>
            <wp:cNvGraphicFramePr>
              <a:graphicFrameLocks noChangeAspect="1"/>
            </wp:cNvGraphicFramePr>
            <a:graphic>
              <a:graphicData uri="http://schemas.openxmlformats.org/drawingml/2006/picture">
                <pic:pic>
                  <pic:nvPicPr>
                    <pic:cNvPr id="286" name="image177.jpeg"/>
                    <pic:cNvPicPr/>
                  </pic:nvPicPr>
                  <pic:blipFill>
                    <a:blip r:embed="rId220" cstate="print"/>
                    <a:stretch>
                      <a:fillRect/>
                    </a:stretch>
                  </pic:blipFill>
                  <pic:spPr>
                    <a:xfrm>
                      <a:off x="0" y="0"/>
                      <a:ext cx="2666999" cy="390525"/>
                    </a:xfrm>
                    <a:prstGeom prst="rect">
                      <a:avLst/>
                    </a:prstGeom>
                  </pic:spPr>
                </pic:pic>
              </a:graphicData>
            </a:graphic>
          </wp:anchor>
        </w:drawing>
      </w:r>
    </w:p>
    <w:p>
      <w:pPr>
        <w:pStyle w:val="BodyText"/>
        <w:spacing w:before="5"/>
        <w:rPr>
          <w:sz w:val="22"/>
        </w:rPr>
      </w:pPr>
    </w:p>
    <w:p>
      <w:pPr>
        <w:pStyle w:val="BodyText"/>
        <w:spacing w:before="1"/>
        <w:ind w:left="838"/>
      </w:pPr>
      <w:r>
        <w:rPr>
          <w:spacing w:val="-1"/>
          <w:w w:val="100"/>
        </w:rPr>
        <w:t>式中  </w:t>
      </w:r>
      <w:r>
        <w:rPr/>
        <w:t> </w:t>
      </w:r>
      <w:r>
        <w:rPr>
          <w:i/>
          <w:w w:val="96"/>
          <w:sz w:val="22"/>
        </w:rPr>
        <w:t>W</w:t>
      </w:r>
      <w:r>
        <w:rPr>
          <w:i/>
          <w:spacing w:val="-3"/>
          <w:w w:val="96"/>
          <w:sz w:val="22"/>
        </w:rPr>
        <w:t>—</w:t>
      </w:r>
      <w:r>
        <w:rPr>
          <w:spacing w:val="-3"/>
          <w:w w:val="100"/>
        </w:rPr>
        <w:t>—灭火设计用量或惰化设计用量（</w:t>
      </w:r>
      <w:r>
        <w:rPr>
          <w:w w:val="100"/>
        </w:rPr>
        <w:t>kg</w:t>
      </w:r>
      <w:r>
        <w:rPr>
          <w:spacing w:val="-108"/>
          <w:w w:val="100"/>
        </w:rPr>
        <w:t>）</w:t>
      </w:r>
      <w:r>
        <w:rPr>
          <w:spacing w:val="-3"/>
          <w:w w:val="100"/>
        </w:rPr>
        <w:t>；</w:t>
      </w:r>
      <w:r>
        <w:rPr>
          <w:w w:val="100"/>
        </w:rPr>
        <w:t> </w:t>
      </w:r>
    </w:p>
    <w:p>
      <w:pPr>
        <w:pStyle w:val="BodyText"/>
        <w:spacing w:before="11"/>
        <w:rPr>
          <w:sz w:val="16"/>
        </w:rPr>
      </w:pPr>
    </w:p>
    <w:p>
      <w:pPr>
        <w:pStyle w:val="BodyText"/>
        <w:spacing w:before="1"/>
        <w:ind w:left="838"/>
      </w:pPr>
      <w:r>
        <w:rPr>
          <w:i/>
          <w:w w:val="96"/>
          <w:position w:val="1"/>
          <w:sz w:val="22"/>
        </w:rPr>
        <w:t>C</w:t>
      </w:r>
      <w:r>
        <w:rPr>
          <w:w w:val="100"/>
          <w:sz w:val="11"/>
        </w:rPr>
        <w:t>1</w:t>
      </w:r>
      <w:r>
        <w:rPr>
          <w:spacing w:val="-3"/>
          <w:w w:val="100"/>
          <w:position w:val="1"/>
        </w:rPr>
        <w:t>——灭火设计浓度或惰化设计浓度</w:t>
      </w:r>
      <w:r>
        <w:rPr>
          <w:w w:val="100"/>
          <w:position w:val="1"/>
        </w:rPr>
        <w:t>（%</w:t>
      </w:r>
      <w:r>
        <w:rPr>
          <w:spacing w:val="-108"/>
          <w:w w:val="100"/>
          <w:position w:val="1"/>
        </w:rPr>
        <w:t>）</w:t>
      </w:r>
      <w:r>
        <w:rPr>
          <w:spacing w:val="-3"/>
          <w:w w:val="100"/>
          <w:position w:val="1"/>
        </w:rPr>
        <w:t>；</w:t>
      </w:r>
      <w:r>
        <w:rPr>
          <w:w w:val="100"/>
          <w:position w:val="1"/>
        </w:rPr>
        <w:t> </w:t>
      </w:r>
    </w:p>
    <w:p>
      <w:pPr>
        <w:pStyle w:val="BodyText"/>
        <w:spacing w:before="12"/>
        <w:rPr>
          <w:sz w:val="16"/>
        </w:rPr>
      </w:pPr>
    </w:p>
    <w:p>
      <w:pPr>
        <w:pStyle w:val="BodyText"/>
        <w:ind w:left="838"/>
      </w:pPr>
      <w:r>
        <w:rPr>
          <w:i/>
          <w:w w:val="96"/>
          <w:sz w:val="22"/>
        </w:rPr>
        <w:t>S</w:t>
      </w:r>
      <w:r>
        <w:rPr>
          <w:spacing w:val="-3"/>
          <w:w w:val="100"/>
        </w:rPr>
        <w:t>——灭火剂过热蒸汽在</w:t>
      </w:r>
      <w:r>
        <w:rPr>
          <w:spacing w:val="-55"/>
        </w:rPr>
        <w:t> </w:t>
      </w:r>
      <w:r>
        <w:rPr>
          <w:spacing w:val="-3"/>
          <w:w w:val="100"/>
        </w:rPr>
        <w:t>1</w:t>
      </w:r>
      <w:r>
        <w:rPr>
          <w:w w:val="100"/>
        </w:rPr>
        <w:t>01kPa</w:t>
      </w:r>
      <w:r>
        <w:rPr>
          <w:spacing w:val="-55"/>
        </w:rPr>
        <w:t> </w:t>
      </w:r>
      <w:r>
        <w:rPr>
          <w:spacing w:val="-3"/>
          <w:w w:val="100"/>
        </w:rPr>
        <w:t>大气压和防护区最低环境温度下的质量体积</w:t>
      </w:r>
      <w:r>
        <w:rPr>
          <w:w w:val="100"/>
        </w:rPr>
        <w:t>（m³/</w:t>
      </w:r>
      <w:r>
        <w:rPr>
          <w:spacing w:val="-3"/>
          <w:w w:val="100"/>
        </w:rPr>
        <w:t>k</w:t>
      </w:r>
      <w:r>
        <w:rPr>
          <w:spacing w:val="-1"/>
          <w:w w:val="100"/>
        </w:rPr>
        <w:t>g</w:t>
      </w:r>
      <w:r>
        <w:rPr>
          <w:spacing w:val="-106"/>
          <w:w w:val="100"/>
        </w:rPr>
        <w:t>）</w:t>
      </w:r>
      <w:r>
        <w:rPr>
          <w:spacing w:val="-3"/>
          <w:w w:val="100"/>
        </w:rPr>
        <w:t>；</w:t>
      </w:r>
      <w:r>
        <w:rPr>
          <w:w w:val="100"/>
        </w:rPr>
        <w:t> </w:t>
      </w:r>
    </w:p>
    <w:p>
      <w:pPr>
        <w:pStyle w:val="BodyText"/>
        <w:spacing w:before="3"/>
        <w:rPr>
          <w:sz w:val="17"/>
        </w:rPr>
      </w:pPr>
    </w:p>
    <w:p>
      <w:pPr>
        <w:pStyle w:val="BodyText"/>
        <w:ind w:left="838"/>
      </w:pPr>
      <w:r>
        <w:rPr>
          <w:i/>
          <w:w w:val="96"/>
          <w:sz w:val="22"/>
        </w:rPr>
        <w:t>V</w:t>
      </w:r>
      <w:r>
        <w:rPr>
          <w:spacing w:val="-3"/>
          <w:w w:val="100"/>
        </w:rPr>
        <w:t>——防护区的净容积</w:t>
      </w:r>
      <w:r>
        <w:rPr>
          <w:w w:val="100"/>
        </w:rPr>
        <w:t>（</w:t>
      </w:r>
      <w:r>
        <w:rPr>
          <w:spacing w:val="-3"/>
          <w:w w:val="100"/>
        </w:rPr>
        <w:t>m³</w:t>
      </w:r>
      <w:r>
        <w:rPr>
          <w:spacing w:val="-106"/>
          <w:w w:val="100"/>
        </w:rPr>
        <w:t>）</w:t>
      </w:r>
      <w:r>
        <w:rPr>
          <w:spacing w:val="-3"/>
          <w:w w:val="100"/>
        </w:rPr>
        <w:t>；</w:t>
      </w:r>
      <w:r>
        <w:rPr>
          <w:w w:val="100"/>
        </w:rPr>
        <w:t> </w:t>
      </w:r>
    </w:p>
    <w:p>
      <w:pPr>
        <w:pStyle w:val="BodyText"/>
        <w:spacing w:before="12"/>
        <w:rPr>
          <w:sz w:val="16"/>
        </w:rPr>
      </w:pPr>
    </w:p>
    <w:p>
      <w:pPr>
        <w:pStyle w:val="BodyText"/>
        <w:ind w:left="838"/>
      </w:pPr>
      <w:r>
        <w:rPr>
          <w:i/>
          <w:sz w:val="22"/>
        </w:rPr>
        <w:t>K</w:t>
      </w:r>
      <w:r>
        <w:rPr/>
        <w:t>——海拔高度修正系数，可按本规范附录 B 的规定取值。 </w:t>
      </w:r>
    </w:p>
    <w:p>
      <w:pPr>
        <w:pStyle w:val="BodyText"/>
        <w:spacing w:before="9"/>
        <w:rPr>
          <w:sz w:val="17"/>
        </w:rPr>
      </w:pPr>
    </w:p>
    <w:p>
      <w:pPr>
        <w:pStyle w:val="ListParagraph"/>
        <w:numPr>
          <w:ilvl w:val="0"/>
          <w:numId w:val="362"/>
        </w:numPr>
        <w:tabs>
          <w:tab w:pos="1367" w:val="left" w:leader="none"/>
        </w:tabs>
        <w:spacing w:line="240" w:lineRule="auto" w:before="1" w:after="0"/>
        <w:ind w:left="1367" w:right="0" w:hanging="529"/>
        <w:jc w:val="left"/>
        <w:rPr>
          <w:sz w:val="21"/>
        </w:rPr>
      </w:pPr>
      <w:r>
        <w:rPr>
          <w:spacing w:val="1"/>
          <w:sz w:val="21"/>
        </w:rPr>
        <w:t>灭火剂过热蒸气在</w:t>
      </w:r>
      <w:r>
        <w:rPr>
          <w:sz w:val="21"/>
        </w:rPr>
        <w:t>101kPa</w:t>
      </w:r>
      <w:r>
        <w:rPr>
          <w:spacing w:val="-15"/>
          <w:sz w:val="21"/>
        </w:rPr>
        <w:t> 大气压和防护区最低环境温度下的质量体积，应按下式计算：</w:t>
      </w:r>
      <w:r>
        <w:rPr>
          <w:sz w:val="21"/>
        </w:rPr>
        <w:t> </w:t>
      </w:r>
    </w:p>
    <w:p>
      <w:pPr>
        <w:pStyle w:val="BodyText"/>
        <w:spacing w:before="11"/>
        <w:rPr>
          <w:sz w:val="7"/>
        </w:rPr>
      </w:pPr>
      <w:r>
        <w:rPr/>
        <w:drawing>
          <wp:anchor distT="0" distB="0" distL="0" distR="0" allowOverlap="1" layoutInCell="1" locked="0" behindDoc="0" simplePos="0" relativeHeight="129">
            <wp:simplePos x="0" y="0"/>
            <wp:positionH relativeFrom="page">
              <wp:posOffset>1332230</wp:posOffset>
            </wp:positionH>
            <wp:positionV relativeFrom="paragraph">
              <wp:posOffset>88939</wp:posOffset>
            </wp:positionV>
            <wp:extent cx="2705099" cy="180975"/>
            <wp:effectExtent l="0" t="0" r="0" b="0"/>
            <wp:wrapTopAndBottom/>
            <wp:docPr id="287" name="image178.jpeg"/>
            <wp:cNvGraphicFramePr>
              <a:graphicFrameLocks noChangeAspect="1"/>
            </wp:cNvGraphicFramePr>
            <a:graphic>
              <a:graphicData uri="http://schemas.openxmlformats.org/drawingml/2006/picture">
                <pic:pic>
                  <pic:nvPicPr>
                    <pic:cNvPr id="288" name="image178.jpeg"/>
                    <pic:cNvPicPr/>
                  </pic:nvPicPr>
                  <pic:blipFill>
                    <a:blip r:embed="rId221" cstate="print"/>
                    <a:stretch>
                      <a:fillRect/>
                    </a:stretch>
                  </pic:blipFill>
                  <pic:spPr>
                    <a:xfrm>
                      <a:off x="0" y="0"/>
                      <a:ext cx="2705099" cy="180975"/>
                    </a:xfrm>
                    <a:prstGeom prst="rect">
                      <a:avLst/>
                    </a:prstGeom>
                  </pic:spPr>
                </pic:pic>
              </a:graphicData>
            </a:graphic>
          </wp:anchor>
        </w:drawing>
      </w:r>
    </w:p>
    <w:p>
      <w:pPr>
        <w:pStyle w:val="BodyText"/>
        <w:spacing w:before="11"/>
        <w:rPr>
          <w:sz w:val="20"/>
        </w:rPr>
      </w:pPr>
    </w:p>
    <w:p>
      <w:pPr>
        <w:pStyle w:val="BodyText"/>
        <w:ind w:left="838"/>
      </w:pPr>
      <w:r>
        <w:rPr>
          <w:w w:val="100"/>
        </w:rPr>
        <w:t>式中 </w:t>
      </w:r>
      <w:r>
        <w:rPr>
          <w:spacing w:val="-2"/>
        </w:rPr>
        <w:t> </w:t>
      </w:r>
      <w:r>
        <w:rPr>
          <w:w w:val="100"/>
        </w:rPr>
        <w:t> </w:t>
      </w:r>
      <w:r>
        <w:rPr/>
        <w:t> </w:t>
      </w:r>
      <w:r>
        <w:rPr>
          <w:i/>
          <w:spacing w:val="-3"/>
          <w:w w:val="96"/>
          <w:sz w:val="22"/>
        </w:rPr>
        <w:t>T</w:t>
      </w:r>
      <w:r>
        <w:rPr>
          <w:spacing w:val="-3"/>
          <w:w w:val="100"/>
        </w:rPr>
        <w:t>——防护区最低环境温度（</w:t>
      </w:r>
      <w:r>
        <w:rPr>
          <w:w w:val="100"/>
        </w:rPr>
        <w:t>℃</w:t>
      </w:r>
      <w:r>
        <w:rPr>
          <w:spacing w:val="-108"/>
          <w:w w:val="100"/>
        </w:rPr>
        <w:t>）</w:t>
      </w:r>
      <w:r>
        <w:rPr>
          <w:spacing w:val="-3"/>
          <w:w w:val="100"/>
        </w:rPr>
        <w:t>。</w:t>
      </w:r>
      <w:r>
        <w:rPr>
          <w:w w:val="100"/>
        </w:rPr>
        <w:t> </w:t>
      </w:r>
    </w:p>
    <w:p>
      <w:pPr>
        <w:pStyle w:val="BodyText"/>
        <w:spacing w:before="9"/>
        <w:rPr>
          <w:sz w:val="17"/>
        </w:rPr>
      </w:pPr>
    </w:p>
    <w:p>
      <w:pPr>
        <w:pStyle w:val="ListParagraph"/>
        <w:numPr>
          <w:ilvl w:val="0"/>
          <w:numId w:val="362"/>
        </w:numPr>
        <w:tabs>
          <w:tab w:pos="1367" w:val="left" w:leader="none"/>
        </w:tabs>
        <w:spacing w:line="240" w:lineRule="auto" w:before="1" w:after="0"/>
        <w:ind w:left="1367" w:right="0" w:hanging="529"/>
        <w:jc w:val="left"/>
        <w:rPr>
          <w:sz w:val="21"/>
        </w:rPr>
      </w:pPr>
      <w:r>
        <w:rPr>
          <w:spacing w:val="-3"/>
          <w:sz w:val="21"/>
        </w:rPr>
        <w:t>系统灭火剂储存量应按下式计算：</w:t>
      </w:r>
      <w:r>
        <w:rPr>
          <w:sz w:val="21"/>
        </w:rPr>
        <w:t> </w:t>
      </w:r>
    </w:p>
    <w:p>
      <w:pPr>
        <w:pStyle w:val="BodyText"/>
        <w:rPr>
          <w:sz w:val="20"/>
        </w:rPr>
      </w:pPr>
    </w:p>
    <w:p>
      <w:pPr>
        <w:pStyle w:val="BodyText"/>
        <w:rPr>
          <w:sz w:val="23"/>
        </w:rPr>
      </w:pPr>
      <w:r>
        <w:rPr/>
        <w:drawing>
          <wp:anchor distT="0" distB="0" distL="0" distR="0" allowOverlap="1" layoutInCell="1" locked="0" behindDoc="0" simplePos="0" relativeHeight="130">
            <wp:simplePos x="0" y="0"/>
            <wp:positionH relativeFrom="page">
              <wp:posOffset>1837054</wp:posOffset>
            </wp:positionH>
            <wp:positionV relativeFrom="paragraph">
              <wp:posOffset>211931</wp:posOffset>
            </wp:positionV>
            <wp:extent cx="2695574" cy="257175"/>
            <wp:effectExtent l="0" t="0" r="0" b="0"/>
            <wp:wrapTopAndBottom/>
            <wp:docPr id="289" name="image179.jpeg"/>
            <wp:cNvGraphicFramePr>
              <a:graphicFrameLocks noChangeAspect="1"/>
            </wp:cNvGraphicFramePr>
            <a:graphic>
              <a:graphicData uri="http://schemas.openxmlformats.org/drawingml/2006/picture">
                <pic:pic>
                  <pic:nvPicPr>
                    <pic:cNvPr id="290" name="image179.jpeg"/>
                    <pic:cNvPicPr/>
                  </pic:nvPicPr>
                  <pic:blipFill>
                    <a:blip r:embed="rId222" cstate="print"/>
                    <a:stretch>
                      <a:fillRect/>
                    </a:stretch>
                  </pic:blipFill>
                  <pic:spPr>
                    <a:xfrm>
                      <a:off x="0" y="0"/>
                      <a:ext cx="2695574" cy="257175"/>
                    </a:xfrm>
                    <a:prstGeom prst="rect">
                      <a:avLst/>
                    </a:prstGeom>
                  </pic:spPr>
                </pic:pic>
              </a:graphicData>
            </a:graphic>
          </wp:anchor>
        </w:drawing>
      </w:r>
    </w:p>
    <w:p>
      <w:pPr>
        <w:pStyle w:val="BodyText"/>
        <w:spacing w:before="4"/>
        <w:rPr>
          <w:sz w:val="15"/>
        </w:rPr>
      </w:pPr>
    </w:p>
    <w:p>
      <w:pPr>
        <w:pStyle w:val="BodyText"/>
        <w:spacing w:line="427" w:lineRule="auto"/>
        <w:ind w:left="838" w:right="5653"/>
      </w:pPr>
      <w:r>
        <w:rPr>
          <w:w w:val="100"/>
          <w:position w:val="1"/>
        </w:rPr>
        <w:t>式中 </w:t>
      </w:r>
      <w:r>
        <w:rPr>
          <w:spacing w:val="-2"/>
          <w:position w:val="1"/>
        </w:rPr>
        <w:t> </w:t>
      </w:r>
      <w:r>
        <w:rPr>
          <w:i/>
          <w:w w:val="96"/>
          <w:position w:val="1"/>
          <w:sz w:val="22"/>
        </w:rPr>
        <w:t>W</w:t>
      </w:r>
      <w:r>
        <w:rPr>
          <w:w w:val="100"/>
          <w:sz w:val="11"/>
        </w:rPr>
        <w:t>o</w:t>
      </w:r>
      <w:r>
        <w:rPr>
          <w:spacing w:val="-3"/>
          <w:w w:val="100"/>
          <w:position w:val="1"/>
        </w:rPr>
        <w:t>——系统灭火剂储存量</w:t>
      </w:r>
      <w:r>
        <w:rPr>
          <w:w w:val="100"/>
          <w:position w:val="1"/>
        </w:rPr>
        <w:t>（k</w:t>
      </w:r>
      <w:r>
        <w:rPr>
          <w:spacing w:val="-3"/>
          <w:w w:val="100"/>
          <w:position w:val="1"/>
        </w:rPr>
        <w:t>g</w:t>
      </w:r>
      <w:r>
        <w:rPr>
          <w:spacing w:val="-106"/>
          <w:w w:val="100"/>
          <w:position w:val="1"/>
        </w:rPr>
        <w:t>）</w:t>
      </w:r>
      <w:r>
        <w:rPr>
          <w:spacing w:val="-3"/>
          <w:w w:val="100"/>
          <w:position w:val="1"/>
        </w:rPr>
        <w:t>；</w:t>
      </w:r>
      <w:r>
        <w:rPr>
          <w:w w:val="100"/>
          <w:position w:val="1"/>
        </w:rPr>
        <w:t> Δ</w:t>
      </w:r>
      <w:r>
        <w:rPr>
          <w:i/>
          <w:w w:val="96"/>
          <w:position w:val="1"/>
          <w:sz w:val="22"/>
        </w:rPr>
        <w:t>W</w:t>
      </w:r>
      <w:r>
        <w:rPr>
          <w:w w:val="100"/>
          <w:sz w:val="11"/>
        </w:rPr>
        <w:t>1</w:t>
      </w:r>
      <w:r>
        <w:rPr>
          <w:spacing w:val="-3"/>
          <w:w w:val="100"/>
          <w:position w:val="1"/>
        </w:rPr>
        <w:t>——储存容器内的灭火剂剩余量</w:t>
      </w:r>
      <w:r>
        <w:rPr>
          <w:w w:val="100"/>
          <w:position w:val="1"/>
        </w:rPr>
        <w:t>（k</w:t>
      </w:r>
      <w:r>
        <w:rPr>
          <w:spacing w:val="-3"/>
          <w:w w:val="100"/>
          <w:position w:val="1"/>
        </w:rPr>
        <w:t>g</w:t>
      </w:r>
      <w:r>
        <w:rPr>
          <w:spacing w:val="-106"/>
          <w:w w:val="100"/>
          <w:position w:val="1"/>
        </w:rPr>
        <w:t>）</w:t>
      </w:r>
      <w:r>
        <w:rPr>
          <w:spacing w:val="-3"/>
          <w:w w:val="100"/>
          <w:position w:val="1"/>
        </w:rPr>
        <w:t>；</w:t>
      </w:r>
      <w:r>
        <w:rPr>
          <w:w w:val="100"/>
          <w:position w:val="1"/>
        </w:rPr>
        <w:t> Δ</w:t>
      </w:r>
      <w:r>
        <w:rPr>
          <w:i/>
          <w:w w:val="96"/>
          <w:position w:val="1"/>
          <w:sz w:val="22"/>
        </w:rPr>
        <w:t>W</w:t>
      </w:r>
      <w:r>
        <w:rPr>
          <w:w w:val="100"/>
          <w:sz w:val="11"/>
        </w:rPr>
        <w:t>2</w:t>
      </w:r>
      <w:r>
        <w:rPr>
          <w:spacing w:val="-3"/>
          <w:w w:val="100"/>
          <w:position w:val="1"/>
        </w:rPr>
        <w:t>——管道内的灭火剂剩余量</w:t>
      </w:r>
      <w:r>
        <w:rPr>
          <w:w w:val="100"/>
          <w:position w:val="1"/>
        </w:rPr>
        <w:t>（k</w:t>
      </w:r>
      <w:r>
        <w:rPr>
          <w:spacing w:val="-3"/>
          <w:w w:val="100"/>
          <w:position w:val="1"/>
        </w:rPr>
        <w:t>g</w:t>
      </w:r>
      <w:r>
        <w:rPr>
          <w:spacing w:val="-106"/>
          <w:w w:val="100"/>
          <w:position w:val="1"/>
        </w:rPr>
        <w:t>）</w:t>
      </w:r>
      <w:r>
        <w:rPr>
          <w:spacing w:val="-3"/>
          <w:w w:val="100"/>
          <w:position w:val="1"/>
        </w:rPr>
        <w:t>。</w:t>
      </w:r>
      <w:r>
        <w:rPr>
          <w:w w:val="100"/>
          <w:position w:val="1"/>
        </w:rPr>
        <w:t> </w:t>
      </w:r>
    </w:p>
    <w:p>
      <w:pPr>
        <w:pStyle w:val="ListParagraph"/>
        <w:numPr>
          <w:ilvl w:val="0"/>
          <w:numId w:val="362"/>
        </w:numPr>
        <w:tabs>
          <w:tab w:pos="1367" w:val="left" w:leader="none"/>
        </w:tabs>
        <w:spacing w:line="240" w:lineRule="auto" w:before="5" w:after="0"/>
        <w:ind w:left="1367" w:right="0" w:hanging="529"/>
        <w:jc w:val="left"/>
        <w:rPr>
          <w:sz w:val="21"/>
        </w:rPr>
      </w:pPr>
      <w:r>
        <w:rPr>
          <w:spacing w:val="-3"/>
          <w:sz w:val="21"/>
        </w:rPr>
        <w:t>储存容器内的灭火剂剩余量，可按储存容器内引升管管口以下的容器容积量换算。</w:t>
      </w:r>
      <w:r>
        <w:rPr>
          <w:sz w:val="21"/>
        </w:rPr>
        <w:t> </w:t>
      </w:r>
    </w:p>
    <w:p>
      <w:pPr>
        <w:pStyle w:val="BodyText"/>
        <w:spacing w:before="3"/>
        <w:rPr>
          <w:sz w:val="18"/>
        </w:rPr>
      </w:pPr>
    </w:p>
    <w:p>
      <w:pPr>
        <w:pStyle w:val="ListParagraph"/>
        <w:numPr>
          <w:ilvl w:val="0"/>
          <w:numId w:val="362"/>
        </w:numPr>
        <w:tabs>
          <w:tab w:pos="1367" w:val="left" w:leader="none"/>
        </w:tabs>
        <w:spacing w:line="446" w:lineRule="auto" w:before="0" w:after="0"/>
        <w:ind w:left="838" w:right="1431" w:firstLine="0"/>
        <w:jc w:val="left"/>
        <w:rPr>
          <w:sz w:val="21"/>
        </w:rPr>
      </w:pPr>
      <w:r>
        <w:rPr>
          <w:spacing w:val="-3"/>
          <w:sz w:val="21"/>
        </w:rPr>
        <w:t>均衡管网和只含一个封闭空间的非均衡管网，其管网内的灭火剂剩余量均可不计。  </w:t>
      </w:r>
      <w:r>
        <w:rPr>
          <w:spacing w:val="-5"/>
          <w:sz w:val="21"/>
        </w:rPr>
        <w:t>防护区中含两个或两个以上封闭空间的非均衡管网，其管网内的灭火剂剩余量，可按各支管</w:t>
      </w:r>
    </w:p>
    <w:p>
      <w:pPr>
        <w:pStyle w:val="BodyText"/>
        <w:spacing w:line="446" w:lineRule="auto"/>
        <w:ind w:left="840" w:right="6337" w:hanging="423"/>
      </w:pPr>
      <w:r>
        <w:rPr/>
        <w:t>与最短支管之间长度差值的容积量计算。</w:t>
      </w:r>
      <w:r>
        <w:rPr>
          <w:b/>
        </w:rPr>
        <w:t>3.3.15 </w:t>
      </w:r>
      <w:r>
        <w:rPr/>
        <w:t>管网计算应符合下列规定： </w:t>
      </w:r>
    </w:p>
    <w:p>
      <w:pPr>
        <w:pStyle w:val="ListParagraph"/>
        <w:numPr>
          <w:ilvl w:val="0"/>
          <w:numId w:val="363"/>
        </w:numPr>
        <w:tabs>
          <w:tab w:pos="1367" w:val="left" w:leader="none"/>
        </w:tabs>
        <w:spacing w:line="240" w:lineRule="auto" w:before="0" w:after="0"/>
        <w:ind w:left="1367" w:right="0" w:hanging="529"/>
        <w:jc w:val="left"/>
        <w:rPr>
          <w:sz w:val="21"/>
        </w:rPr>
      </w:pPr>
      <w:r>
        <w:rPr>
          <w:spacing w:val="-3"/>
          <w:sz w:val="21"/>
        </w:rPr>
        <w:t>管网计算时，各管道中灭火剂的流量，宜采用平均设计流量。</w:t>
      </w:r>
      <w:r>
        <w:rPr>
          <w:sz w:val="21"/>
        </w:rPr>
        <w:t> </w:t>
      </w:r>
    </w:p>
    <w:p>
      <w:pPr>
        <w:pStyle w:val="BodyText"/>
        <w:spacing w:before="10"/>
        <w:rPr>
          <w:sz w:val="17"/>
        </w:rPr>
      </w:pPr>
    </w:p>
    <w:p>
      <w:pPr>
        <w:pStyle w:val="ListParagraph"/>
        <w:numPr>
          <w:ilvl w:val="0"/>
          <w:numId w:val="363"/>
        </w:numPr>
        <w:tabs>
          <w:tab w:pos="1367" w:val="left" w:leader="none"/>
        </w:tabs>
        <w:spacing w:line="240" w:lineRule="auto" w:before="0" w:after="0"/>
        <w:ind w:left="1367" w:right="0" w:hanging="529"/>
        <w:jc w:val="left"/>
        <w:rPr>
          <w:sz w:val="21"/>
        </w:rPr>
      </w:pPr>
      <w:r>
        <w:rPr>
          <w:spacing w:val="-3"/>
          <w:sz w:val="21"/>
        </w:rPr>
        <w:t>主干管平均设计流量，应按下式计算：</w:t>
      </w:r>
      <w:r>
        <w:rPr>
          <w:sz w:val="21"/>
        </w:rPr>
        <w:t> </w:t>
      </w:r>
    </w:p>
    <w:p>
      <w:pPr>
        <w:pStyle w:val="BodyText"/>
        <w:spacing w:before="6"/>
        <w:rPr>
          <w:sz w:val="25"/>
        </w:rPr>
      </w:pPr>
      <w:r>
        <w:rPr/>
        <w:drawing>
          <wp:anchor distT="0" distB="0" distL="0" distR="0" allowOverlap="1" layoutInCell="1" locked="0" behindDoc="0" simplePos="0" relativeHeight="131">
            <wp:simplePos x="0" y="0"/>
            <wp:positionH relativeFrom="page">
              <wp:posOffset>1910079</wp:posOffset>
            </wp:positionH>
            <wp:positionV relativeFrom="paragraph">
              <wp:posOffset>232505</wp:posOffset>
            </wp:positionV>
            <wp:extent cx="2212063" cy="461772"/>
            <wp:effectExtent l="0" t="0" r="0" b="0"/>
            <wp:wrapTopAndBottom/>
            <wp:docPr id="291" name="image180.jpeg"/>
            <wp:cNvGraphicFramePr>
              <a:graphicFrameLocks noChangeAspect="1"/>
            </wp:cNvGraphicFramePr>
            <a:graphic>
              <a:graphicData uri="http://schemas.openxmlformats.org/drawingml/2006/picture">
                <pic:pic>
                  <pic:nvPicPr>
                    <pic:cNvPr id="292" name="image180.jpeg"/>
                    <pic:cNvPicPr/>
                  </pic:nvPicPr>
                  <pic:blipFill>
                    <a:blip r:embed="rId223" cstate="print"/>
                    <a:stretch>
                      <a:fillRect/>
                    </a:stretch>
                  </pic:blipFill>
                  <pic:spPr>
                    <a:xfrm>
                      <a:off x="0" y="0"/>
                      <a:ext cx="2212063" cy="461772"/>
                    </a:xfrm>
                    <a:prstGeom prst="rect">
                      <a:avLst/>
                    </a:prstGeom>
                  </pic:spPr>
                </pic:pic>
              </a:graphicData>
            </a:graphic>
          </wp:anchor>
        </w:drawing>
      </w:r>
    </w:p>
    <w:p>
      <w:pPr>
        <w:pStyle w:val="BodyText"/>
        <w:rPr>
          <w:sz w:val="15"/>
        </w:rPr>
      </w:pPr>
    </w:p>
    <w:p>
      <w:pPr>
        <w:pStyle w:val="BodyText"/>
        <w:spacing w:before="1"/>
        <w:ind w:left="838"/>
      </w:pPr>
      <w:r>
        <w:rPr>
          <w:w w:val="100"/>
        </w:rPr>
        <w:t> </w:t>
      </w:r>
    </w:p>
    <w:p>
      <w:pPr>
        <w:spacing w:after="0"/>
        <w:sectPr>
          <w:pgSz w:w="11910" w:h="16850"/>
          <w:pgMar w:header="0" w:footer="1239" w:top="1220" w:bottom="1420" w:left="1260" w:right="0"/>
        </w:sectPr>
      </w:pPr>
    </w:p>
    <w:p>
      <w:pPr>
        <w:pStyle w:val="BodyText"/>
        <w:spacing w:before="57"/>
        <w:ind w:left="838"/>
      </w:pPr>
      <w:r>
        <w:rPr>
          <w:spacing w:val="-1"/>
          <w:w w:val="100"/>
          <w:position w:val="1"/>
        </w:rPr>
        <w:t>式中  </w:t>
      </w:r>
      <w:r>
        <w:rPr>
          <w:i/>
          <w:w w:val="96"/>
          <w:position w:val="1"/>
          <w:sz w:val="22"/>
        </w:rPr>
        <w:t>Q</w:t>
      </w:r>
      <w:r>
        <w:rPr>
          <w:w w:val="100"/>
          <w:sz w:val="11"/>
        </w:rPr>
        <w:t>w</w:t>
      </w:r>
      <w:r>
        <w:rPr>
          <w:spacing w:val="-3"/>
          <w:w w:val="100"/>
          <w:position w:val="1"/>
        </w:rPr>
        <w:t>——主干管平均设计流量（</w:t>
      </w:r>
      <w:r>
        <w:rPr>
          <w:w w:val="100"/>
          <w:position w:val="1"/>
        </w:rPr>
        <w:t>kg/</w:t>
      </w:r>
      <w:r>
        <w:rPr>
          <w:spacing w:val="-3"/>
          <w:w w:val="100"/>
          <w:position w:val="1"/>
        </w:rPr>
        <w:t>s</w:t>
      </w:r>
      <w:r>
        <w:rPr>
          <w:spacing w:val="-106"/>
          <w:w w:val="100"/>
          <w:position w:val="1"/>
        </w:rPr>
        <w:t>）</w:t>
      </w:r>
      <w:r>
        <w:rPr>
          <w:spacing w:val="-3"/>
          <w:w w:val="100"/>
          <w:position w:val="1"/>
        </w:rPr>
        <w:t>；</w:t>
      </w:r>
      <w:r>
        <w:rPr>
          <w:w w:val="100"/>
          <w:position w:val="1"/>
        </w:rPr>
        <w:t> </w:t>
      </w:r>
    </w:p>
    <w:p>
      <w:pPr>
        <w:pStyle w:val="BodyText"/>
        <w:rPr>
          <w:sz w:val="17"/>
        </w:rPr>
      </w:pPr>
    </w:p>
    <w:p>
      <w:pPr>
        <w:pStyle w:val="BodyText"/>
        <w:ind w:left="838"/>
      </w:pPr>
      <w:r>
        <w:rPr>
          <w:i/>
          <w:w w:val="96"/>
          <w:sz w:val="22"/>
        </w:rPr>
        <w:t>t</w:t>
      </w:r>
      <w:r>
        <w:rPr>
          <w:spacing w:val="-3"/>
          <w:w w:val="100"/>
        </w:rPr>
        <w:t>——灭火剂设计喷放时间</w:t>
      </w:r>
      <w:r>
        <w:rPr>
          <w:w w:val="100"/>
        </w:rPr>
        <w:t>（s</w:t>
      </w:r>
      <w:r>
        <w:rPr>
          <w:spacing w:val="-106"/>
          <w:w w:val="100"/>
        </w:rPr>
        <w:t>）</w:t>
      </w:r>
      <w:r>
        <w:rPr>
          <w:spacing w:val="-3"/>
          <w:w w:val="100"/>
        </w:rPr>
        <w:t>。</w:t>
      </w:r>
      <w:r>
        <w:rPr>
          <w:w w:val="100"/>
        </w:rPr>
        <w:t> </w:t>
      </w:r>
    </w:p>
    <w:p>
      <w:pPr>
        <w:pStyle w:val="BodyText"/>
        <w:spacing w:before="10"/>
        <w:rPr>
          <w:sz w:val="17"/>
        </w:rPr>
      </w:pPr>
    </w:p>
    <w:p>
      <w:pPr>
        <w:pStyle w:val="ListParagraph"/>
        <w:numPr>
          <w:ilvl w:val="0"/>
          <w:numId w:val="363"/>
        </w:numPr>
        <w:tabs>
          <w:tab w:pos="1367" w:val="left" w:leader="none"/>
        </w:tabs>
        <w:spacing w:line="240" w:lineRule="auto" w:before="0" w:after="0"/>
        <w:ind w:left="1367" w:right="0" w:hanging="529"/>
        <w:jc w:val="left"/>
        <w:rPr>
          <w:sz w:val="21"/>
        </w:rPr>
      </w:pPr>
      <w:r>
        <w:rPr>
          <w:spacing w:val="-3"/>
          <w:sz w:val="21"/>
        </w:rPr>
        <w:t>支管平均设计流量，应按下式计算：</w:t>
      </w:r>
      <w:r>
        <w:rPr>
          <w:sz w:val="21"/>
        </w:rPr>
        <w:t> </w:t>
      </w:r>
    </w:p>
    <w:p>
      <w:pPr>
        <w:pStyle w:val="BodyText"/>
        <w:rPr>
          <w:sz w:val="29"/>
        </w:rPr>
      </w:pPr>
      <w:r>
        <w:rPr/>
        <w:drawing>
          <wp:anchor distT="0" distB="0" distL="0" distR="0" allowOverlap="1" layoutInCell="1" locked="0" behindDoc="0" simplePos="0" relativeHeight="132">
            <wp:simplePos x="0" y="0"/>
            <wp:positionH relativeFrom="page">
              <wp:posOffset>1719579</wp:posOffset>
            </wp:positionH>
            <wp:positionV relativeFrom="paragraph">
              <wp:posOffset>260834</wp:posOffset>
            </wp:positionV>
            <wp:extent cx="2603587" cy="466725"/>
            <wp:effectExtent l="0" t="0" r="0" b="0"/>
            <wp:wrapTopAndBottom/>
            <wp:docPr id="293" name="image181.jpeg"/>
            <wp:cNvGraphicFramePr>
              <a:graphicFrameLocks noChangeAspect="1"/>
            </wp:cNvGraphicFramePr>
            <a:graphic>
              <a:graphicData uri="http://schemas.openxmlformats.org/drawingml/2006/picture">
                <pic:pic>
                  <pic:nvPicPr>
                    <pic:cNvPr id="294" name="image181.jpeg"/>
                    <pic:cNvPicPr/>
                  </pic:nvPicPr>
                  <pic:blipFill>
                    <a:blip r:embed="rId224" cstate="print"/>
                    <a:stretch>
                      <a:fillRect/>
                    </a:stretch>
                  </pic:blipFill>
                  <pic:spPr>
                    <a:xfrm>
                      <a:off x="0" y="0"/>
                      <a:ext cx="2603587" cy="466725"/>
                    </a:xfrm>
                    <a:prstGeom prst="rect">
                      <a:avLst/>
                    </a:prstGeom>
                  </pic:spPr>
                </pic:pic>
              </a:graphicData>
            </a:graphic>
          </wp:anchor>
        </w:drawing>
      </w:r>
    </w:p>
    <w:p>
      <w:pPr>
        <w:pStyle w:val="BodyText"/>
        <w:spacing w:before="7"/>
        <w:rPr>
          <w:sz w:val="17"/>
        </w:rPr>
      </w:pPr>
    </w:p>
    <w:p>
      <w:pPr>
        <w:pStyle w:val="BodyText"/>
        <w:spacing w:line="427" w:lineRule="auto" w:before="1"/>
        <w:ind w:left="838" w:right="5444"/>
      </w:pPr>
      <w:r>
        <w:rPr>
          <w:w w:val="100"/>
          <w:position w:val="1"/>
        </w:rPr>
        <w:t>式中 </w:t>
      </w:r>
      <w:r>
        <w:rPr>
          <w:i/>
          <w:spacing w:val="-3"/>
          <w:w w:val="96"/>
          <w:position w:val="1"/>
          <w:sz w:val="22"/>
        </w:rPr>
        <w:t> </w:t>
      </w:r>
      <w:r>
        <w:rPr>
          <w:i/>
          <w:w w:val="96"/>
          <w:position w:val="1"/>
          <w:sz w:val="22"/>
        </w:rPr>
        <w:t>Q</w:t>
      </w:r>
      <w:r>
        <w:rPr>
          <w:w w:val="100"/>
          <w:sz w:val="11"/>
        </w:rPr>
        <w:t>g</w:t>
      </w:r>
      <w:r>
        <w:rPr>
          <w:spacing w:val="-3"/>
          <w:w w:val="100"/>
          <w:position w:val="1"/>
        </w:rPr>
        <w:t>——支管平均设计流量</w:t>
      </w:r>
      <w:r>
        <w:rPr>
          <w:w w:val="100"/>
          <w:position w:val="1"/>
        </w:rPr>
        <w:t>（k</w:t>
      </w:r>
      <w:r>
        <w:rPr>
          <w:spacing w:val="-3"/>
          <w:w w:val="100"/>
          <w:position w:val="1"/>
        </w:rPr>
        <w:t>g</w:t>
      </w:r>
      <w:r>
        <w:rPr>
          <w:w w:val="100"/>
          <w:position w:val="1"/>
        </w:rPr>
        <w:t>/</w:t>
      </w:r>
      <w:r>
        <w:rPr>
          <w:spacing w:val="-1"/>
          <w:w w:val="100"/>
          <w:position w:val="1"/>
        </w:rPr>
        <w:t>s</w:t>
      </w:r>
      <w:r>
        <w:rPr>
          <w:spacing w:val="-108"/>
          <w:w w:val="100"/>
          <w:position w:val="1"/>
        </w:rPr>
        <w:t>）</w:t>
      </w:r>
      <w:r>
        <w:rPr>
          <w:spacing w:val="-3"/>
          <w:w w:val="100"/>
          <w:position w:val="1"/>
        </w:rPr>
        <w:t>；</w:t>
      </w:r>
      <w:r>
        <w:rPr>
          <w:w w:val="100"/>
          <w:position w:val="1"/>
        </w:rPr>
        <w:t> </w:t>
      </w:r>
      <w:r>
        <w:rPr>
          <w:i/>
          <w:w w:val="96"/>
          <w:position w:val="1"/>
          <w:sz w:val="22"/>
        </w:rPr>
        <w:t>N</w:t>
      </w:r>
      <w:r>
        <w:rPr>
          <w:w w:val="100"/>
          <w:sz w:val="11"/>
        </w:rPr>
        <w:t>g</w:t>
      </w:r>
      <w:r>
        <w:rPr>
          <w:spacing w:val="-3"/>
          <w:w w:val="100"/>
          <w:position w:val="1"/>
        </w:rPr>
        <w:t>——安装在计算支管下游的喷头数量（</w:t>
      </w:r>
      <w:r>
        <w:rPr>
          <w:w w:val="100"/>
          <w:position w:val="1"/>
        </w:rPr>
        <w:t>个</w:t>
      </w:r>
      <w:r>
        <w:rPr>
          <w:spacing w:val="-108"/>
          <w:w w:val="100"/>
          <w:position w:val="1"/>
        </w:rPr>
        <w:t>）</w:t>
      </w:r>
      <w:r>
        <w:rPr>
          <w:spacing w:val="-3"/>
          <w:w w:val="100"/>
          <w:position w:val="1"/>
        </w:rPr>
        <w:t>；</w:t>
      </w:r>
      <w:r>
        <w:rPr>
          <w:w w:val="100"/>
          <w:position w:val="1"/>
        </w:rPr>
        <w:t> </w:t>
      </w:r>
      <w:r>
        <w:rPr>
          <w:i/>
          <w:w w:val="96"/>
          <w:position w:val="1"/>
          <w:sz w:val="22"/>
        </w:rPr>
        <w:t>Q</w:t>
      </w:r>
      <w:r>
        <w:rPr>
          <w:i/>
          <w:w w:val="100"/>
          <w:sz w:val="11"/>
        </w:rPr>
        <w:t>c</w:t>
      </w:r>
      <w:r>
        <w:rPr>
          <w:spacing w:val="-3"/>
          <w:w w:val="100"/>
          <w:position w:val="1"/>
        </w:rPr>
        <w:t>——单个喷头的设计流量</w:t>
      </w:r>
      <w:r>
        <w:rPr>
          <w:w w:val="100"/>
          <w:position w:val="1"/>
        </w:rPr>
        <w:t>（k</w:t>
      </w:r>
      <w:r>
        <w:rPr>
          <w:spacing w:val="-3"/>
          <w:w w:val="100"/>
          <w:position w:val="1"/>
        </w:rPr>
        <w:t>g</w:t>
      </w:r>
      <w:r>
        <w:rPr>
          <w:w w:val="100"/>
          <w:position w:val="1"/>
        </w:rPr>
        <w:t>/</w:t>
      </w:r>
      <w:r>
        <w:rPr>
          <w:spacing w:val="-1"/>
          <w:w w:val="100"/>
          <w:position w:val="1"/>
        </w:rPr>
        <w:t>s</w:t>
      </w:r>
      <w:r>
        <w:rPr>
          <w:spacing w:val="-108"/>
          <w:w w:val="100"/>
          <w:position w:val="1"/>
        </w:rPr>
        <w:t>）</w:t>
      </w:r>
      <w:r>
        <w:rPr>
          <w:spacing w:val="-3"/>
          <w:w w:val="100"/>
          <w:position w:val="1"/>
        </w:rPr>
        <w:t>。</w:t>
      </w:r>
      <w:r>
        <w:rPr>
          <w:w w:val="100"/>
          <w:position w:val="1"/>
        </w:rPr>
        <w:t> </w:t>
      </w:r>
    </w:p>
    <w:p>
      <w:pPr>
        <w:pStyle w:val="ListParagraph"/>
        <w:numPr>
          <w:ilvl w:val="0"/>
          <w:numId w:val="364"/>
        </w:numPr>
        <w:tabs>
          <w:tab w:pos="1367" w:val="left" w:leader="none"/>
        </w:tabs>
        <w:spacing w:line="240" w:lineRule="auto" w:before="5" w:after="0"/>
        <w:ind w:left="1367" w:right="0" w:hanging="529"/>
        <w:jc w:val="left"/>
        <w:rPr>
          <w:sz w:val="21"/>
        </w:rPr>
      </w:pPr>
      <w:r>
        <w:rPr>
          <w:spacing w:val="-3"/>
          <w:sz w:val="21"/>
        </w:rPr>
        <w:t>过程中点时储存容器内压力，宜按下式计算： </w:t>
      </w:r>
    </w:p>
    <w:p>
      <w:pPr>
        <w:pStyle w:val="BodyText"/>
        <w:rPr>
          <w:sz w:val="20"/>
        </w:rPr>
      </w:pPr>
    </w:p>
    <w:p>
      <w:pPr>
        <w:pStyle w:val="BodyText"/>
        <w:spacing w:before="11"/>
      </w:pPr>
      <w:r>
        <w:rPr/>
        <w:drawing>
          <wp:anchor distT="0" distB="0" distL="0" distR="0" allowOverlap="1" layoutInCell="1" locked="0" behindDoc="0" simplePos="0" relativeHeight="133">
            <wp:simplePos x="0" y="0"/>
            <wp:positionH relativeFrom="page">
              <wp:posOffset>1703704</wp:posOffset>
            </wp:positionH>
            <wp:positionV relativeFrom="paragraph">
              <wp:posOffset>202985</wp:posOffset>
            </wp:positionV>
            <wp:extent cx="4591049" cy="1285875"/>
            <wp:effectExtent l="0" t="0" r="0" b="0"/>
            <wp:wrapTopAndBottom/>
            <wp:docPr id="295" name="image182.jpeg"/>
            <wp:cNvGraphicFramePr>
              <a:graphicFrameLocks noChangeAspect="1"/>
            </wp:cNvGraphicFramePr>
            <a:graphic>
              <a:graphicData uri="http://schemas.openxmlformats.org/drawingml/2006/picture">
                <pic:pic>
                  <pic:nvPicPr>
                    <pic:cNvPr id="296" name="image182.jpeg"/>
                    <pic:cNvPicPr/>
                  </pic:nvPicPr>
                  <pic:blipFill>
                    <a:blip r:embed="rId225" cstate="print"/>
                    <a:stretch>
                      <a:fillRect/>
                    </a:stretch>
                  </pic:blipFill>
                  <pic:spPr>
                    <a:xfrm>
                      <a:off x="0" y="0"/>
                      <a:ext cx="4591049" cy="1285875"/>
                    </a:xfrm>
                    <a:prstGeom prst="rect">
                      <a:avLst/>
                    </a:prstGeom>
                  </pic:spPr>
                </pic:pic>
              </a:graphicData>
            </a:graphic>
          </wp:anchor>
        </w:drawing>
      </w:r>
    </w:p>
    <w:p>
      <w:pPr>
        <w:pStyle w:val="BodyText"/>
        <w:spacing w:before="8"/>
        <w:rPr>
          <w:sz w:val="7"/>
        </w:rPr>
      </w:pPr>
    </w:p>
    <w:p>
      <w:pPr>
        <w:pStyle w:val="BodyText"/>
        <w:spacing w:line="424" w:lineRule="auto" w:before="71"/>
        <w:ind w:left="838" w:right="3819"/>
      </w:pPr>
      <w:r>
        <w:rPr>
          <w:spacing w:val="-1"/>
          <w:w w:val="100"/>
          <w:position w:val="1"/>
        </w:rPr>
        <w:t>式中  </w:t>
      </w:r>
      <w:r>
        <w:rPr>
          <w:position w:val="1"/>
        </w:rPr>
        <w:t> </w:t>
      </w:r>
      <w:r>
        <w:rPr>
          <w:i/>
          <w:w w:val="96"/>
          <w:position w:val="1"/>
          <w:sz w:val="22"/>
        </w:rPr>
        <w:t>P</w:t>
      </w:r>
      <w:r>
        <w:rPr>
          <w:spacing w:val="-3"/>
          <w:w w:val="100"/>
          <w:sz w:val="11"/>
        </w:rPr>
        <w:t>m</w:t>
      </w:r>
      <w:r>
        <w:rPr>
          <w:spacing w:val="-3"/>
          <w:w w:val="100"/>
          <w:position w:val="1"/>
        </w:rPr>
        <w:t>——过程中点时储存容器内压力</w:t>
      </w:r>
      <w:r>
        <w:rPr>
          <w:w w:val="100"/>
          <w:position w:val="1"/>
        </w:rPr>
        <w:t>（M</w:t>
      </w:r>
      <w:r>
        <w:rPr>
          <w:spacing w:val="-3"/>
          <w:w w:val="100"/>
          <w:position w:val="1"/>
        </w:rPr>
        <w:t>P</w:t>
      </w:r>
      <w:r>
        <w:rPr>
          <w:w w:val="100"/>
          <w:position w:val="1"/>
        </w:rPr>
        <w:t>a</w:t>
      </w:r>
      <w:r>
        <w:rPr>
          <w:spacing w:val="-3"/>
          <w:w w:val="100"/>
          <w:position w:val="1"/>
        </w:rPr>
        <w:t>，绝对压力</w:t>
      </w:r>
      <w:r>
        <w:rPr>
          <w:spacing w:val="-106"/>
          <w:w w:val="100"/>
          <w:position w:val="1"/>
        </w:rPr>
        <w:t>）</w:t>
      </w:r>
      <w:r>
        <w:rPr>
          <w:spacing w:val="-3"/>
          <w:w w:val="100"/>
          <w:position w:val="1"/>
        </w:rPr>
        <w:t>；</w:t>
      </w:r>
      <w:r>
        <w:rPr>
          <w:w w:val="100"/>
          <w:position w:val="1"/>
        </w:rPr>
        <w:t> </w:t>
      </w:r>
      <w:r>
        <w:rPr>
          <w:i/>
          <w:w w:val="96"/>
          <w:position w:val="1"/>
          <w:sz w:val="22"/>
        </w:rPr>
        <w:t>P</w:t>
      </w:r>
      <w:r>
        <w:rPr>
          <w:w w:val="100"/>
          <w:sz w:val="11"/>
        </w:rPr>
        <w:t>0</w:t>
      </w:r>
      <w:r>
        <w:rPr>
          <w:spacing w:val="-3"/>
          <w:w w:val="100"/>
          <w:position w:val="1"/>
        </w:rPr>
        <w:t>——灭火剂储存容器增压压力</w:t>
      </w:r>
      <w:r>
        <w:rPr>
          <w:w w:val="100"/>
          <w:position w:val="1"/>
        </w:rPr>
        <w:t>（M</w:t>
      </w:r>
      <w:r>
        <w:rPr>
          <w:spacing w:val="-3"/>
          <w:w w:val="100"/>
          <w:position w:val="1"/>
        </w:rPr>
        <w:t>P</w:t>
      </w:r>
      <w:r>
        <w:rPr>
          <w:spacing w:val="-1"/>
          <w:w w:val="100"/>
          <w:position w:val="1"/>
        </w:rPr>
        <w:t>a</w:t>
      </w:r>
      <w:r>
        <w:rPr>
          <w:spacing w:val="-3"/>
          <w:w w:val="100"/>
          <w:position w:val="1"/>
        </w:rPr>
        <w:t>，绝对压力</w:t>
      </w:r>
      <w:r>
        <w:rPr>
          <w:spacing w:val="-108"/>
          <w:w w:val="100"/>
          <w:position w:val="1"/>
        </w:rPr>
        <w:t>）</w:t>
      </w:r>
      <w:r>
        <w:rPr>
          <w:w w:val="100"/>
          <w:position w:val="1"/>
        </w:rPr>
        <w:t>； </w:t>
      </w:r>
    </w:p>
    <w:p>
      <w:pPr>
        <w:pStyle w:val="BodyText"/>
        <w:ind w:left="838"/>
      </w:pPr>
      <w:r>
        <w:rPr>
          <w:i/>
          <w:w w:val="96"/>
          <w:position w:val="1"/>
          <w:sz w:val="22"/>
        </w:rPr>
        <w:t>V</w:t>
      </w:r>
      <w:r>
        <w:rPr>
          <w:w w:val="100"/>
          <w:sz w:val="11"/>
        </w:rPr>
        <w:t>0</w:t>
      </w:r>
      <w:r>
        <w:rPr>
          <w:spacing w:val="-3"/>
          <w:w w:val="100"/>
          <w:position w:val="1"/>
        </w:rPr>
        <w:t>——喷放前，全部储存容器内的气相总容积</w:t>
      </w:r>
      <w:r>
        <w:rPr>
          <w:w w:val="100"/>
          <w:position w:val="1"/>
        </w:rPr>
        <w:t>（m</w:t>
      </w:r>
      <w:r>
        <w:rPr>
          <w:spacing w:val="-3"/>
          <w:w w:val="100"/>
          <w:position w:val="1"/>
        </w:rPr>
        <w:t>³</w:t>
      </w:r>
      <w:r>
        <w:rPr>
          <w:spacing w:val="-108"/>
          <w:w w:val="100"/>
          <w:position w:val="1"/>
        </w:rPr>
        <w:t>）</w:t>
      </w:r>
      <w:r>
        <w:rPr>
          <w:spacing w:val="-1"/>
          <w:w w:val="100"/>
          <w:position w:val="1"/>
        </w:rPr>
        <w:t>；</w:t>
      </w:r>
      <w:r>
        <w:rPr>
          <w:w w:val="100"/>
          <w:position w:val="1"/>
        </w:rPr>
        <w:t> </w:t>
      </w:r>
    </w:p>
    <w:p>
      <w:pPr>
        <w:pStyle w:val="BodyText"/>
        <w:spacing w:before="2"/>
        <w:rPr>
          <w:sz w:val="17"/>
        </w:rPr>
      </w:pPr>
    </w:p>
    <w:p>
      <w:pPr>
        <w:pStyle w:val="BodyText"/>
        <w:ind w:left="838"/>
      </w:pPr>
      <w:r>
        <w:rPr>
          <w:i/>
          <w:w w:val="96"/>
          <w:sz w:val="22"/>
        </w:rPr>
        <w:t>γ</w:t>
      </w:r>
      <w:r>
        <w:rPr>
          <w:spacing w:val="-3"/>
          <w:w w:val="100"/>
        </w:rPr>
        <w:t>——七氟丙烷液体密度</w:t>
      </w:r>
      <w:r>
        <w:rPr>
          <w:w w:val="100"/>
        </w:rPr>
        <w:t>（kg</w:t>
      </w:r>
      <w:r>
        <w:rPr>
          <w:spacing w:val="-3"/>
          <w:w w:val="100"/>
        </w:rPr>
        <w:t>/</w:t>
      </w:r>
      <w:r>
        <w:rPr>
          <w:w w:val="100"/>
        </w:rPr>
        <w:t> </w:t>
      </w:r>
      <w:r>
        <w:rPr/>
        <w:t> </w:t>
      </w:r>
      <w:r>
        <w:rPr>
          <w:w w:val="100"/>
        </w:rPr>
        <w:t>m³</w:t>
      </w:r>
      <w:r>
        <w:rPr>
          <w:spacing w:val="-108"/>
          <w:w w:val="100"/>
        </w:rPr>
        <w:t>）</w:t>
      </w:r>
      <w:r>
        <w:rPr>
          <w:spacing w:val="-1"/>
          <w:w w:val="100"/>
        </w:rPr>
        <w:t>，</w:t>
      </w:r>
      <w:r>
        <w:rPr>
          <w:w w:val="100"/>
        </w:rPr>
        <w:t>2</w:t>
      </w:r>
      <w:r>
        <w:rPr>
          <w:spacing w:val="-3"/>
          <w:w w:val="100"/>
        </w:rPr>
        <w:t>0</w:t>
      </w:r>
      <w:r>
        <w:rPr>
          <w:spacing w:val="-2"/>
          <w:w w:val="100"/>
        </w:rPr>
        <w:t>℃时为</w:t>
      </w:r>
      <w:r>
        <w:rPr>
          <w:spacing w:val="-52"/>
        </w:rPr>
        <w:t> </w:t>
      </w:r>
      <w:r>
        <w:rPr>
          <w:spacing w:val="-3"/>
          <w:w w:val="100"/>
        </w:rPr>
        <w:t>14</w:t>
      </w:r>
      <w:r>
        <w:rPr>
          <w:w w:val="100"/>
        </w:rPr>
        <w:t>07kg</w:t>
      </w:r>
      <w:r>
        <w:rPr>
          <w:spacing w:val="-3"/>
          <w:w w:val="100"/>
        </w:rPr>
        <w:t>/</w:t>
      </w:r>
      <w:r>
        <w:rPr>
          <w:w w:val="100"/>
        </w:rPr>
        <w:t> </w:t>
      </w:r>
      <w:r>
        <w:rPr/>
        <w:t> </w:t>
      </w:r>
      <w:r>
        <w:rPr>
          <w:w w:val="100"/>
        </w:rPr>
        <w:t>m</w:t>
      </w:r>
      <w:r>
        <w:rPr>
          <w:spacing w:val="-3"/>
          <w:w w:val="100"/>
        </w:rPr>
        <w:t>³；</w:t>
      </w:r>
      <w:r>
        <w:rPr>
          <w:w w:val="100"/>
        </w:rPr>
        <w:t> </w:t>
      </w:r>
    </w:p>
    <w:p>
      <w:pPr>
        <w:pStyle w:val="BodyText"/>
        <w:spacing w:before="12"/>
        <w:rPr>
          <w:sz w:val="16"/>
        </w:rPr>
      </w:pPr>
    </w:p>
    <w:p>
      <w:pPr>
        <w:pStyle w:val="BodyText"/>
        <w:spacing w:line="427" w:lineRule="auto"/>
        <w:ind w:left="838" w:right="6705"/>
      </w:pPr>
      <w:r>
        <w:rPr>
          <w:i/>
          <w:w w:val="96"/>
          <w:position w:val="1"/>
          <w:sz w:val="22"/>
        </w:rPr>
        <w:t>V</w:t>
      </w:r>
      <w:r>
        <w:rPr>
          <w:w w:val="100"/>
          <w:sz w:val="11"/>
        </w:rPr>
        <w:t>P</w:t>
      </w:r>
      <w:r>
        <w:rPr>
          <w:spacing w:val="-3"/>
          <w:w w:val="100"/>
          <w:position w:val="1"/>
        </w:rPr>
        <w:t>——管网的管道内容积</w:t>
      </w:r>
      <w:r>
        <w:rPr>
          <w:w w:val="100"/>
          <w:position w:val="1"/>
        </w:rPr>
        <w:t>（m³</w:t>
      </w:r>
      <w:r>
        <w:rPr>
          <w:spacing w:val="-108"/>
          <w:w w:val="100"/>
          <w:position w:val="1"/>
        </w:rPr>
        <w:t>）</w:t>
      </w:r>
      <w:r>
        <w:rPr>
          <w:spacing w:val="-3"/>
          <w:w w:val="100"/>
          <w:position w:val="1"/>
        </w:rPr>
        <w:t>；</w:t>
      </w:r>
      <w:r>
        <w:rPr>
          <w:w w:val="100"/>
          <w:position w:val="1"/>
        </w:rPr>
        <w:t> </w:t>
      </w:r>
      <w:r>
        <w:rPr>
          <w:i/>
          <w:w w:val="96"/>
          <w:sz w:val="22"/>
        </w:rPr>
        <w:t>n</w:t>
      </w:r>
      <w:r>
        <w:rPr>
          <w:spacing w:val="-3"/>
          <w:w w:val="100"/>
        </w:rPr>
        <w:t>——储存容器的数量（个</w:t>
      </w:r>
      <w:r>
        <w:rPr>
          <w:spacing w:val="-106"/>
          <w:w w:val="100"/>
        </w:rPr>
        <w:t>）</w:t>
      </w:r>
      <w:r>
        <w:rPr>
          <w:spacing w:val="-3"/>
          <w:w w:val="100"/>
        </w:rPr>
        <w:t>；</w:t>
      </w:r>
      <w:r>
        <w:rPr>
          <w:w w:val="100"/>
        </w:rPr>
        <w:t> </w:t>
      </w:r>
      <w:r>
        <w:rPr>
          <w:i/>
          <w:w w:val="96"/>
          <w:position w:val="1"/>
          <w:sz w:val="22"/>
        </w:rPr>
        <w:t>V</w:t>
      </w:r>
      <w:r>
        <w:rPr>
          <w:w w:val="100"/>
          <w:sz w:val="11"/>
        </w:rPr>
        <w:t>b</w:t>
      </w:r>
      <w:r>
        <w:rPr>
          <w:spacing w:val="-3"/>
          <w:w w:val="100"/>
          <w:position w:val="1"/>
        </w:rPr>
        <w:t>——储存容器的容量（m</w:t>
      </w:r>
      <w:r>
        <w:rPr>
          <w:w w:val="100"/>
          <w:position w:val="1"/>
        </w:rPr>
        <w:t>³</w:t>
      </w:r>
      <w:r>
        <w:rPr>
          <w:spacing w:val="-106"/>
          <w:w w:val="100"/>
          <w:position w:val="1"/>
        </w:rPr>
        <w:t>）</w:t>
      </w:r>
      <w:r>
        <w:rPr>
          <w:spacing w:val="-3"/>
          <w:w w:val="100"/>
          <w:position w:val="1"/>
        </w:rPr>
        <w:t>；</w:t>
      </w:r>
      <w:r>
        <w:rPr>
          <w:w w:val="100"/>
          <w:position w:val="1"/>
        </w:rPr>
        <w:t> </w:t>
      </w:r>
      <w:r>
        <w:rPr>
          <w:i/>
          <w:w w:val="96"/>
          <w:sz w:val="22"/>
        </w:rPr>
        <w:t>η</w:t>
      </w:r>
      <w:r>
        <w:rPr>
          <w:spacing w:val="-3"/>
          <w:w w:val="100"/>
        </w:rPr>
        <w:t>——充装量（</w:t>
      </w:r>
      <w:r>
        <w:rPr>
          <w:w w:val="100"/>
        </w:rPr>
        <w:t>kg</w:t>
      </w:r>
      <w:r>
        <w:rPr>
          <w:spacing w:val="-2"/>
          <w:w w:val="100"/>
        </w:rPr>
        <w:t>/</w:t>
      </w:r>
      <w:r>
        <w:rPr>
          <w:w w:val="100"/>
        </w:rPr>
        <w:t> </w:t>
      </w:r>
      <w:r>
        <w:rPr/>
        <w:t> </w:t>
      </w:r>
      <w:r>
        <w:rPr>
          <w:w w:val="100"/>
        </w:rPr>
        <w:t>m³</w:t>
      </w:r>
      <w:r>
        <w:rPr>
          <w:spacing w:val="-108"/>
          <w:w w:val="100"/>
        </w:rPr>
        <w:t>）</w:t>
      </w:r>
      <w:r>
        <w:rPr>
          <w:spacing w:val="-1"/>
          <w:w w:val="100"/>
        </w:rPr>
        <w:t>。</w:t>
      </w:r>
      <w:r>
        <w:rPr>
          <w:w w:val="100"/>
        </w:rPr>
        <w:t> </w:t>
      </w:r>
    </w:p>
    <w:p>
      <w:pPr>
        <w:pStyle w:val="ListParagraph"/>
        <w:numPr>
          <w:ilvl w:val="0"/>
          <w:numId w:val="364"/>
        </w:numPr>
        <w:tabs>
          <w:tab w:pos="1367" w:val="left" w:leader="none"/>
        </w:tabs>
        <w:spacing w:line="240" w:lineRule="auto" w:before="4" w:after="0"/>
        <w:ind w:left="1367" w:right="0" w:hanging="529"/>
        <w:jc w:val="left"/>
        <w:rPr>
          <w:sz w:val="21"/>
        </w:rPr>
      </w:pPr>
      <w:r>
        <w:rPr>
          <w:spacing w:val="-8"/>
          <w:sz w:val="21"/>
        </w:rPr>
        <w:t>管网的阻力损失应根据管道种类确定。当采用镀锌钢管时，其阻力损失可按下式计算：</w:t>
      </w:r>
      <w:r>
        <w:rPr>
          <w:sz w:val="21"/>
        </w:rPr>
        <w:t> </w:t>
      </w:r>
    </w:p>
    <w:p>
      <w:pPr>
        <w:pStyle w:val="BodyText"/>
        <w:rPr>
          <w:sz w:val="20"/>
        </w:rPr>
      </w:pPr>
    </w:p>
    <w:p>
      <w:pPr>
        <w:pStyle w:val="BodyText"/>
        <w:spacing w:before="12"/>
        <w:rPr>
          <w:sz w:val="20"/>
        </w:rPr>
      </w:pPr>
      <w:r>
        <w:rPr/>
        <w:drawing>
          <wp:anchor distT="0" distB="0" distL="0" distR="0" allowOverlap="1" layoutInCell="1" locked="0" behindDoc="0" simplePos="0" relativeHeight="134">
            <wp:simplePos x="0" y="0"/>
            <wp:positionH relativeFrom="page">
              <wp:posOffset>1617980</wp:posOffset>
            </wp:positionH>
            <wp:positionV relativeFrom="paragraph">
              <wp:posOffset>195357</wp:posOffset>
            </wp:positionV>
            <wp:extent cx="2886074" cy="619125"/>
            <wp:effectExtent l="0" t="0" r="0" b="0"/>
            <wp:wrapTopAndBottom/>
            <wp:docPr id="297" name="image183.jpeg"/>
            <wp:cNvGraphicFramePr>
              <a:graphicFrameLocks noChangeAspect="1"/>
            </wp:cNvGraphicFramePr>
            <a:graphic>
              <a:graphicData uri="http://schemas.openxmlformats.org/drawingml/2006/picture">
                <pic:pic>
                  <pic:nvPicPr>
                    <pic:cNvPr id="298" name="image183.jpeg"/>
                    <pic:cNvPicPr/>
                  </pic:nvPicPr>
                  <pic:blipFill>
                    <a:blip r:embed="rId226" cstate="print"/>
                    <a:stretch>
                      <a:fillRect/>
                    </a:stretch>
                  </pic:blipFill>
                  <pic:spPr>
                    <a:xfrm>
                      <a:off x="0" y="0"/>
                      <a:ext cx="2886074" cy="619125"/>
                    </a:xfrm>
                    <a:prstGeom prst="rect">
                      <a:avLst/>
                    </a:prstGeom>
                  </pic:spPr>
                </pic:pic>
              </a:graphicData>
            </a:graphic>
          </wp:anchor>
        </w:drawing>
      </w:r>
    </w:p>
    <w:p>
      <w:pPr>
        <w:pStyle w:val="BodyText"/>
        <w:spacing w:before="8"/>
        <w:rPr>
          <w:sz w:val="7"/>
        </w:rPr>
      </w:pPr>
    </w:p>
    <w:p>
      <w:pPr>
        <w:pStyle w:val="BodyText"/>
        <w:spacing w:before="71"/>
        <w:ind w:left="838"/>
      </w:pPr>
      <w:r>
        <w:rPr>
          <w:w w:val="100"/>
        </w:rPr>
        <w:t>式中 </w:t>
      </w:r>
      <w:r>
        <w:rPr>
          <w:spacing w:val="-2"/>
        </w:rPr>
        <w:t> </w:t>
      </w:r>
      <w:r>
        <w:rPr>
          <w:w w:val="100"/>
        </w:rPr>
        <w:t> </w:t>
      </w:r>
      <w:r>
        <w:rPr/>
        <w:t> </w:t>
      </w:r>
      <w:r>
        <w:rPr>
          <w:spacing w:val="-3"/>
          <w:w w:val="100"/>
        </w:rPr>
        <w:t>Δ</w:t>
      </w:r>
      <w:r>
        <w:rPr>
          <w:i/>
          <w:w w:val="96"/>
          <w:sz w:val="22"/>
        </w:rPr>
        <w:t>P</w:t>
      </w:r>
      <w:r>
        <w:rPr>
          <w:spacing w:val="-3"/>
          <w:w w:val="100"/>
        </w:rPr>
        <w:t>——计算管段阻力损失（</w:t>
      </w:r>
      <w:r>
        <w:rPr>
          <w:w w:val="100"/>
        </w:rPr>
        <w:t>MPa</w:t>
      </w:r>
      <w:r>
        <w:rPr>
          <w:spacing w:val="-108"/>
          <w:w w:val="100"/>
        </w:rPr>
        <w:t>）</w:t>
      </w:r>
      <w:r>
        <w:rPr>
          <w:spacing w:val="-3"/>
          <w:w w:val="100"/>
        </w:rPr>
        <w:t>；</w:t>
      </w:r>
      <w:r>
        <w:rPr>
          <w:w w:val="100"/>
        </w:rPr>
        <w:t> </w:t>
      </w:r>
    </w:p>
    <w:p>
      <w:pPr>
        <w:pStyle w:val="BodyText"/>
        <w:rPr>
          <w:sz w:val="17"/>
        </w:rPr>
      </w:pPr>
    </w:p>
    <w:p>
      <w:pPr>
        <w:pStyle w:val="BodyText"/>
        <w:ind w:left="838"/>
      </w:pPr>
      <w:r>
        <w:rPr>
          <w:i/>
          <w:w w:val="96"/>
          <w:sz w:val="22"/>
        </w:rPr>
        <w:t>L</w:t>
      </w:r>
      <w:r>
        <w:rPr>
          <w:spacing w:val="-3"/>
          <w:w w:val="100"/>
        </w:rPr>
        <w:t>——管道计算长度</w:t>
      </w:r>
      <w:r>
        <w:rPr>
          <w:w w:val="100"/>
        </w:rPr>
        <w:t>（m</w:t>
      </w:r>
      <w:r>
        <w:rPr>
          <w:spacing w:val="-108"/>
          <w:w w:val="100"/>
        </w:rPr>
        <w:t>）</w:t>
      </w:r>
      <w:r>
        <w:rPr>
          <w:spacing w:val="-3"/>
          <w:w w:val="100"/>
        </w:rPr>
        <w:t>，为计算管段中沿程长度与局部损失当量长度之和；</w:t>
      </w:r>
      <w:r>
        <w:rPr>
          <w:w w:val="100"/>
        </w:rPr>
        <w:t> </w:t>
      </w:r>
    </w:p>
    <w:p>
      <w:pPr>
        <w:spacing w:after="0"/>
        <w:sectPr>
          <w:pgSz w:w="11910" w:h="16850"/>
          <w:pgMar w:header="0" w:footer="1239" w:top="1200" w:bottom="1420" w:left="1260" w:right="0"/>
        </w:sectPr>
      </w:pPr>
    </w:p>
    <w:p>
      <w:pPr>
        <w:pStyle w:val="BodyText"/>
        <w:spacing w:before="57"/>
        <w:ind w:left="838"/>
      </w:pPr>
      <w:r>
        <w:rPr>
          <w:i/>
          <w:w w:val="96"/>
          <w:sz w:val="22"/>
        </w:rPr>
        <w:t>Q</w:t>
      </w:r>
      <w:r>
        <w:rPr>
          <w:spacing w:val="-3"/>
          <w:w w:val="100"/>
        </w:rPr>
        <w:t>——管道设计流量</w:t>
      </w:r>
      <w:r>
        <w:rPr>
          <w:w w:val="100"/>
        </w:rPr>
        <w:t>（kg</w:t>
      </w:r>
      <w:r>
        <w:rPr>
          <w:spacing w:val="-3"/>
          <w:w w:val="100"/>
        </w:rPr>
        <w:t>/s</w:t>
      </w:r>
      <w:r>
        <w:rPr>
          <w:spacing w:val="-106"/>
          <w:w w:val="100"/>
        </w:rPr>
        <w:t>）</w:t>
      </w:r>
      <w:r>
        <w:rPr>
          <w:spacing w:val="-3"/>
          <w:w w:val="100"/>
        </w:rPr>
        <w:t>；</w:t>
      </w:r>
      <w:r>
        <w:rPr>
          <w:w w:val="100"/>
        </w:rPr>
        <w:t> </w:t>
      </w:r>
    </w:p>
    <w:p>
      <w:pPr>
        <w:pStyle w:val="BodyText"/>
        <w:rPr>
          <w:sz w:val="17"/>
        </w:rPr>
      </w:pPr>
    </w:p>
    <w:p>
      <w:pPr>
        <w:pStyle w:val="BodyText"/>
        <w:ind w:left="838"/>
      </w:pPr>
      <w:r>
        <w:rPr>
          <w:i/>
          <w:w w:val="96"/>
          <w:sz w:val="22"/>
        </w:rPr>
        <w:t>D</w:t>
      </w:r>
      <w:r>
        <w:rPr>
          <w:spacing w:val="-3"/>
          <w:w w:val="100"/>
        </w:rPr>
        <w:t>——管道内径</w:t>
      </w:r>
      <w:r>
        <w:rPr>
          <w:spacing w:val="-1"/>
          <w:w w:val="100"/>
        </w:rPr>
        <w:t>（</w:t>
      </w:r>
      <w:r>
        <w:rPr>
          <w:w w:val="100"/>
        </w:rPr>
        <w:t>mm</w:t>
      </w:r>
      <w:r>
        <w:rPr>
          <w:spacing w:val="-108"/>
          <w:w w:val="100"/>
        </w:rPr>
        <w:t>）</w:t>
      </w:r>
      <w:r>
        <w:rPr>
          <w:spacing w:val="-3"/>
          <w:w w:val="100"/>
        </w:rPr>
        <w:t>。</w:t>
      </w:r>
      <w:r>
        <w:rPr>
          <w:w w:val="100"/>
        </w:rPr>
        <w:t> </w:t>
      </w:r>
    </w:p>
    <w:p>
      <w:pPr>
        <w:pStyle w:val="BodyText"/>
        <w:rPr>
          <w:sz w:val="26"/>
        </w:rPr>
      </w:pPr>
      <w:r>
        <w:rPr/>
        <w:drawing>
          <wp:anchor distT="0" distB="0" distL="0" distR="0" allowOverlap="1" layoutInCell="1" locked="0" behindDoc="0" simplePos="0" relativeHeight="135">
            <wp:simplePos x="0" y="0"/>
            <wp:positionH relativeFrom="page">
              <wp:posOffset>1332230</wp:posOffset>
            </wp:positionH>
            <wp:positionV relativeFrom="paragraph">
              <wp:posOffset>236624</wp:posOffset>
            </wp:positionV>
            <wp:extent cx="2743199" cy="314325"/>
            <wp:effectExtent l="0" t="0" r="0" b="0"/>
            <wp:wrapTopAndBottom/>
            <wp:docPr id="299" name="image184.jpeg"/>
            <wp:cNvGraphicFramePr>
              <a:graphicFrameLocks noChangeAspect="1"/>
            </wp:cNvGraphicFramePr>
            <a:graphic>
              <a:graphicData uri="http://schemas.openxmlformats.org/drawingml/2006/picture">
                <pic:pic>
                  <pic:nvPicPr>
                    <pic:cNvPr id="300" name="image184.jpeg"/>
                    <pic:cNvPicPr/>
                  </pic:nvPicPr>
                  <pic:blipFill>
                    <a:blip r:embed="rId228" cstate="print"/>
                    <a:stretch>
                      <a:fillRect/>
                    </a:stretch>
                  </pic:blipFill>
                  <pic:spPr>
                    <a:xfrm>
                      <a:off x="0" y="0"/>
                      <a:ext cx="2743199" cy="314325"/>
                    </a:xfrm>
                    <a:prstGeom prst="rect">
                      <a:avLst/>
                    </a:prstGeom>
                  </pic:spPr>
                </pic:pic>
              </a:graphicData>
            </a:graphic>
          </wp:anchor>
        </w:drawing>
      </w:r>
    </w:p>
    <w:p>
      <w:pPr>
        <w:pStyle w:val="BodyText"/>
        <w:spacing w:before="7"/>
        <w:rPr>
          <w:sz w:val="18"/>
        </w:rPr>
      </w:pPr>
    </w:p>
    <w:p>
      <w:pPr>
        <w:pStyle w:val="ListParagraph"/>
        <w:numPr>
          <w:ilvl w:val="0"/>
          <w:numId w:val="364"/>
        </w:numPr>
        <w:tabs>
          <w:tab w:pos="1367" w:val="left" w:leader="none"/>
        </w:tabs>
        <w:spacing w:line="436" w:lineRule="auto" w:before="0" w:after="0"/>
        <w:ind w:left="838" w:right="4554" w:firstLine="0"/>
        <w:jc w:val="left"/>
        <w:rPr>
          <w:sz w:val="21"/>
        </w:rPr>
      </w:pPr>
      <w:r>
        <w:rPr>
          <w:spacing w:val="-3"/>
          <w:sz w:val="21"/>
        </w:rPr>
        <w:t>初选管径可按管道设计流量，参照下列公式计算： </w:t>
      </w:r>
      <w:r>
        <w:rPr>
          <w:spacing w:val="-27"/>
          <w:sz w:val="21"/>
        </w:rPr>
        <w:t>当 </w:t>
      </w:r>
      <w:r>
        <w:rPr>
          <w:i/>
          <w:sz w:val="22"/>
        </w:rPr>
        <w:t>Q</w:t>
      </w:r>
      <w:r>
        <w:rPr>
          <w:sz w:val="21"/>
        </w:rPr>
        <w:t>≤6.0kg/s</w:t>
      </w:r>
      <w:r>
        <w:rPr>
          <w:spacing w:val="-19"/>
          <w:sz w:val="21"/>
        </w:rPr>
        <w:t> 时， </w:t>
      </w:r>
    </w:p>
    <w:p>
      <w:pPr>
        <w:pStyle w:val="BodyText"/>
        <w:spacing w:line="265" w:lineRule="exact"/>
        <w:ind w:left="838"/>
      </w:pPr>
      <w:r>
        <w:rPr/>
        <w:t>当 6.0kg/s＜Q＜160.0kg/s 时， </w:t>
      </w:r>
    </w:p>
    <w:p>
      <w:pPr>
        <w:pStyle w:val="BodyText"/>
        <w:rPr>
          <w:sz w:val="11"/>
        </w:rPr>
      </w:pPr>
      <w:r>
        <w:rPr/>
        <w:drawing>
          <wp:anchor distT="0" distB="0" distL="0" distR="0" allowOverlap="1" layoutInCell="1" locked="0" behindDoc="0" simplePos="0" relativeHeight="136">
            <wp:simplePos x="0" y="0"/>
            <wp:positionH relativeFrom="page">
              <wp:posOffset>1627504</wp:posOffset>
            </wp:positionH>
            <wp:positionV relativeFrom="paragraph">
              <wp:posOffset>114879</wp:posOffset>
            </wp:positionV>
            <wp:extent cx="2666999" cy="238125"/>
            <wp:effectExtent l="0" t="0" r="0" b="0"/>
            <wp:wrapTopAndBottom/>
            <wp:docPr id="301" name="image185.jpeg"/>
            <wp:cNvGraphicFramePr>
              <a:graphicFrameLocks noChangeAspect="1"/>
            </wp:cNvGraphicFramePr>
            <a:graphic>
              <a:graphicData uri="http://schemas.openxmlformats.org/drawingml/2006/picture">
                <pic:pic>
                  <pic:nvPicPr>
                    <pic:cNvPr id="302" name="image185.jpeg"/>
                    <pic:cNvPicPr/>
                  </pic:nvPicPr>
                  <pic:blipFill>
                    <a:blip r:embed="rId229" cstate="print"/>
                    <a:stretch>
                      <a:fillRect/>
                    </a:stretch>
                  </pic:blipFill>
                  <pic:spPr>
                    <a:xfrm>
                      <a:off x="0" y="0"/>
                      <a:ext cx="2666999" cy="238125"/>
                    </a:xfrm>
                    <a:prstGeom prst="rect">
                      <a:avLst/>
                    </a:prstGeom>
                  </pic:spPr>
                </pic:pic>
              </a:graphicData>
            </a:graphic>
          </wp:anchor>
        </w:drawing>
      </w:r>
    </w:p>
    <w:p>
      <w:pPr>
        <w:pStyle w:val="BodyText"/>
        <w:spacing w:before="6"/>
        <w:rPr>
          <w:sz w:val="18"/>
        </w:rPr>
      </w:pPr>
    </w:p>
    <w:p>
      <w:pPr>
        <w:pStyle w:val="ListParagraph"/>
        <w:numPr>
          <w:ilvl w:val="0"/>
          <w:numId w:val="364"/>
        </w:numPr>
        <w:tabs>
          <w:tab w:pos="1367" w:val="left" w:leader="none"/>
        </w:tabs>
        <w:spacing w:line="240" w:lineRule="auto" w:before="0" w:after="0"/>
        <w:ind w:left="1367" w:right="0" w:hanging="529"/>
        <w:jc w:val="left"/>
        <w:rPr>
          <w:sz w:val="21"/>
        </w:rPr>
      </w:pPr>
      <w:r>
        <w:rPr>
          <w:spacing w:val="-3"/>
          <w:sz w:val="21"/>
        </w:rPr>
        <w:t>喷头工作压力应按下式计算：</w:t>
      </w:r>
      <w:r>
        <w:rPr>
          <w:sz w:val="21"/>
        </w:rPr>
        <w:t> </w:t>
      </w:r>
    </w:p>
    <w:p>
      <w:pPr>
        <w:pStyle w:val="BodyText"/>
        <w:spacing w:before="4"/>
        <w:rPr>
          <w:sz w:val="17"/>
        </w:rPr>
      </w:pPr>
    </w:p>
    <w:p>
      <w:pPr>
        <w:pStyle w:val="BodyText"/>
        <w:ind w:left="838"/>
      </w:pPr>
      <w:r>
        <w:rPr/>
        <w:drawing>
          <wp:anchor distT="0" distB="0" distL="0" distR="0" allowOverlap="1" layoutInCell="1" locked="0" behindDoc="0" simplePos="0" relativeHeight="137">
            <wp:simplePos x="0" y="0"/>
            <wp:positionH relativeFrom="page">
              <wp:posOffset>1513205</wp:posOffset>
            </wp:positionH>
            <wp:positionV relativeFrom="paragraph">
              <wp:posOffset>262128</wp:posOffset>
            </wp:positionV>
            <wp:extent cx="2752724" cy="466725"/>
            <wp:effectExtent l="0" t="0" r="0" b="0"/>
            <wp:wrapTopAndBottom/>
            <wp:docPr id="303" name="image186.jpeg"/>
            <wp:cNvGraphicFramePr>
              <a:graphicFrameLocks noChangeAspect="1"/>
            </wp:cNvGraphicFramePr>
            <a:graphic>
              <a:graphicData uri="http://schemas.openxmlformats.org/drawingml/2006/picture">
                <pic:pic>
                  <pic:nvPicPr>
                    <pic:cNvPr id="304" name="image186.jpeg"/>
                    <pic:cNvPicPr/>
                  </pic:nvPicPr>
                  <pic:blipFill>
                    <a:blip r:embed="rId230" cstate="print"/>
                    <a:stretch>
                      <a:fillRect/>
                    </a:stretch>
                  </pic:blipFill>
                  <pic:spPr>
                    <a:xfrm>
                      <a:off x="0" y="0"/>
                      <a:ext cx="2752724" cy="466725"/>
                    </a:xfrm>
                    <a:prstGeom prst="rect">
                      <a:avLst/>
                    </a:prstGeom>
                  </pic:spPr>
                </pic:pic>
              </a:graphicData>
            </a:graphic>
          </wp:anchor>
        </w:drawing>
      </w:r>
      <w:r>
        <w:rPr>
          <w:w w:val="100"/>
          <w:position w:val="1"/>
        </w:rPr>
        <w:t>式中 </w:t>
      </w:r>
      <w:r>
        <w:rPr>
          <w:spacing w:val="-2"/>
          <w:position w:val="1"/>
        </w:rPr>
        <w:t> </w:t>
      </w:r>
      <w:r>
        <w:rPr>
          <w:i/>
          <w:w w:val="96"/>
          <w:position w:val="1"/>
          <w:sz w:val="22"/>
        </w:rPr>
        <w:t>P</w:t>
      </w:r>
      <w:r>
        <w:rPr>
          <w:w w:val="100"/>
          <w:sz w:val="11"/>
        </w:rPr>
        <w:t>c</w:t>
      </w:r>
      <w:r>
        <w:rPr>
          <w:spacing w:val="-3"/>
          <w:w w:val="100"/>
          <w:position w:val="1"/>
        </w:rPr>
        <w:t>——喷头工作压力</w:t>
      </w:r>
      <w:r>
        <w:rPr>
          <w:w w:val="100"/>
          <w:position w:val="1"/>
        </w:rPr>
        <w:t>（M</w:t>
      </w:r>
      <w:r>
        <w:rPr>
          <w:spacing w:val="-3"/>
          <w:w w:val="100"/>
          <w:position w:val="1"/>
        </w:rPr>
        <w:t>P</w:t>
      </w:r>
      <w:r>
        <w:rPr>
          <w:spacing w:val="-1"/>
          <w:w w:val="100"/>
          <w:position w:val="1"/>
        </w:rPr>
        <w:t>a</w:t>
      </w:r>
      <w:r>
        <w:rPr>
          <w:spacing w:val="-3"/>
          <w:w w:val="100"/>
          <w:position w:val="1"/>
        </w:rPr>
        <w:t>，绝对压力</w:t>
      </w:r>
      <w:r>
        <w:rPr>
          <w:spacing w:val="-108"/>
          <w:w w:val="100"/>
          <w:position w:val="1"/>
        </w:rPr>
        <w:t>）</w:t>
      </w:r>
      <w:r>
        <w:rPr>
          <w:spacing w:val="-3"/>
          <w:w w:val="100"/>
          <w:position w:val="1"/>
        </w:rPr>
        <w:t>；</w:t>
      </w:r>
      <w:r>
        <w:rPr>
          <w:w w:val="100"/>
          <w:position w:val="1"/>
        </w:rPr>
        <w:t> </w:t>
      </w:r>
    </w:p>
    <w:p>
      <w:pPr>
        <w:pStyle w:val="BodyText"/>
        <w:spacing w:before="167"/>
        <w:ind w:left="838"/>
      </w:pPr>
      <w:r>
        <w:rPr>
          <w:position w:val="1"/>
        </w:rPr>
        <w:t>式中 </w:t>
      </w:r>
      <w:r>
        <w:rPr>
          <w:i/>
          <w:position w:val="1"/>
          <w:sz w:val="22"/>
        </w:rPr>
        <w:t>N</w:t>
      </w:r>
      <w:r>
        <w:rPr>
          <w:i/>
          <w:sz w:val="11"/>
        </w:rPr>
        <w:t>d</w:t>
      </w:r>
      <w:r>
        <w:rPr>
          <w:position w:val="1"/>
        </w:rPr>
        <w:t>——流程中计算管段的数量； </w:t>
      </w:r>
    </w:p>
    <w:p>
      <w:pPr>
        <w:pStyle w:val="BodyText"/>
        <w:rPr>
          <w:sz w:val="17"/>
        </w:rPr>
      </w:pPr>
    </w:p>
    <w:p>
      <w:pPr>
        <w:pStyle w:val="BodyText"/>
        <w:ind w:left="838"/>
      </w:pPr>
      <w:r>
        <w:rPr>
          <w:i/>
          <w:w w:val="96"/>
          <w:position w:val="1"/>
          <w:sz w:val="22"/>
        </w:rPr>
        <w:t>P</w:t>
      </w:r>
      <w:r>
        <w:rPr>
          <w:i/>
          <w:w w:val="100"/>
          <w:sz w:val="11"/>
        </w:rPr>
        <w:t>h</w:t>
      </w:r>
      <w:r>
        <w:rPr>
          <w:spacing w:val="-3"/>
          <w:w w:val="100"/>
          <w:position w:val="1"/>
        </w:rPr>
        <w:t>——高程压头</w:t>
      </w:r>
      <w:r>
        <w:rPr>
          <w:spacing w:val="-1"/>
          <w:w w:val="100"/>
          <w:position w:val="1"/>
        </w:rPr>
        <w:t>（</w:t>
      </w:r>
      <w:r>
        <w:rPr>
          <w:w w:val="100"/>
          <w:position w:val="1"/>
        </w:rPr>
        <w:t>M</w:t>
      </w:r>
      <w:r>
        <w:rPr>
          <w:spacing w:val="-3"/>
          <w:w w:val="100"/>
          <w:position w:val="1"/>
        </w:rPr>
        <w:t>P</w:t>
      </w:r>
      <w:r>
        <w:rPr>
          <w:w w:val="100"/>
          <w:position w:val="1"/>
        </w:rPr>
        <w:t>a</w:t>
      </w:r>
      <w:r>
        <w:rPr>
          <w:spacing w:val="-106"/>
          <w:w w:val="100"/>
          <w:position w:val="1"/>
        </w:rPr>
        <w:t>）</w:t>
      </w:r>
      <w:r>
        <w:rPr>
          <w:spacing w:val="-3"/>
          <w:w w:val="100"/>
          <w:position w:val="1"/>
        </w:rPr>
        <w:t>。</w:t>
      </w:r>
      <w:r>
        <w:rPr>
          <w:w w:val="100"/>
          <w:position w:val="1"/>
        </w:rPr>
        <w:t> </w:t>
      </w:r>
    </w:p>
    <w:p>
      <w:pPr>
        <w:pStyle w:val="BodyText"/>
        <w:spacing w:before="12"/>
        <w:rPr>
          <w:sz w:val="17"/>
        </w:rPr>
      </w:pPr>
    </w:p>
    <w:p>
      <w:pPr>
        <w:pStyle w:val="ListParagraph"/>
        <w:numPr>
          <w:ilvl w:val="0"/>
          <w:numId w:val="364"/>
        </w:numPr>
        <w:tabs>
          <w:tab w:pos="1367" w:val="left" w:leader="none"/>
        </w:tabs>
        <w:spacing w:line="240" w:lineRule="auto" w:before="0" w:after="0"/>
        <w:ind w:left="1367" w:right="0" w:hanging="529"/>
        <w:jc w:val="left"/>
        <w:rPr>
          <w:sz w:val="21"/>
        </w:rPr>
      </w:pPr>
      <w:r>
        <w:rPr>
          <w:spacing w:val="-3"/>
          <w:sz w:val="21"/>
        </w:rPr>
        <w:t>高程压头应按下式计算：</w:t>
      </w:r>
      <w:r>
        <w:rPr>
          <w:sz w:val="21"/>
        </w:rPr>
        <w:t> </w:t>
      </w:r>
    </w:p>
    <w:p>
      <w:pPr>
        <w:pStyle w:val="BodyText"/>
        <w:spacing w:before="4"/>
        <w:rPr>
          <w:sz w:val="16"/>
        </w:rPr>
      </w:pPr>
      <w:r>
        <w:rPr/>
        <w:pict>
          <v:group style="position:absolute;margin-left:104.900002pt;margin-top:12.428125pt;width:259.5pt;height:63.65pt;mso-position-horizontal-relative:page;mso-position-vertical-relative:paragraph;z-index:-251515904;mso-wrap-distance-left:0;mso-wrap-distance-right:0" coordorigin="2098,249" coordsize="5190,1273">
            <v:shape style="position:absolute;left:2098;top:1089;width:4687;height:384" type="#_x0000_t75" stroked="false">
              <v:imagedata r:id="rId231" o:title=""/>
            </v:shape>
            <v:shape style="position:absolute;left:2982;top:248;width:4306;height:840" type="#_x0000_t75" stroked="false">
              <v:imagedata r:id="rId232" o:title=""/>
            </v:shape>
            <v:shape style="position:absolute;left:6839;top:1310;width:126;height:212" type="#_x0000_t202" filled="false" stroked="false">
              <v:textbox inset="0,0,0,0">
                <w:txbxContent>
                  <w:p>
                    <w:pPr>
                      <w:spacing w:line="211" w:lineRule="exact" w:before="0"/>
                      <w:ind w:left="0" w:right="0" w:firstLine="0"/>
                      <w:jc w:val="left"/>
                      <w:rPr>
                        <w:sz w:val="21"/>
                      </w:rPr>
                    </w:pPr>
                    <w:r>
                      <w:rPr>
                        <w:w w:val="100"/>
                        <w:sz w:val="21"/>
                      </w:rPr>
                      <w:t> </w:t>
                    </w:r>
                  </w:p>
                </w:txbxContent>
              </v:textbox>
              <w10:wrap type="none"/>
            </v:shape>
            <w10:wrap type="topAndBottom"/>
          </v:group>
        </w:pict>
      </w:r>
    </w:p>
    <w:p>
      <w:pPr>
        <w:pStyle w:val="BodyText"/>
        <w:spacing w:before="8"/>
        <w:rPr>
          <w:sz w:val="11"/>
        </w:rPr>
      </w:pPr>
    </w:p>
    <w:p>
      <w:pPr>
        <w:pStyle w:val="BodyText"/>
        <w:spacing w:before="71"/>
        <w:ind w:left="838"/>
      </w:pPr>
      <w:r>
        <w:rPr>
          <w:w w:val="100"/>
        </w:rPr>
        <w:t>式中 </w:t>
      </w:r>
      <w:r>
        <w:rPr>
          <w:spacing w:val="-2"/>
        </w:rPr>
        <w:t> </w:t>
      </w:r>
      <w:r>
        <w:rPr>
          <w:w w:val="100"/>
        </w:rPr>
        <w:t> </w:t>
      </w:r>
      <w:r>
        <w:rPr>
          <w:i/>
          <w:w w:val="96"/>
          <w:sz w:val="22"/>
        </w:rPr>
        <w:t>H</w:t>
      </w:r>
      <w:r>
        <w:rPr>
          <w:spacing w:val="-3"/>
          <w:w w:val="100"/>
        </w:rPr>
        <w:t>——过程中点时，喷头高度相对储存容器内液面的位差（</w:t>
      </w:r>
      <w:r>
        <w:rPr>
          <w:w w:val="100"/>
        </w:rPr>
        <w:t>m</w:t>
      </w:r>
      <w:r>
        <w:rPr>
          <w:spacing w:val="-106"/>
          <w:w w:val="100"/>
        </w:rPr>
        <w:t>）</w:t>
      </w:r>
      <w:r>
        <w:rPr>
          <w:spacing w:val="-3"/>
          <w:w w:val="100"/>
        </w:rPr>
        <w:t>；</w:t>
      </w:r>
      <w:r>
        <w:rPr>
          <w:w w:val="100"/>
        </w:rPr>
        <w:t> </w:t>
      </w:r>
    </w:p>
    <w:p>
      <w:pPr>
        <w:pStyle w:val="BodyText"/>
        <w:rPr>
          <w:sz w:val="17"/>
        </w:rPr>
      </w:pPr>
    </w:p>
    <w:p>
      <w:pPr>
        <w:pStyle w:val="BodyText"/>
        <w:ind w:left="1469"/>
      </w:pPr>
      <w:r>
        <w:rPr>
          <w:i/>
          <w:w w:val="96"/>
          <w:sz w:val="22"/>
        </w:rPr>
        <w:t>g</w:t>
      </w:r>
      <w:r>
        <w:rPr>
          <w:spacing w:val="-3"/>
          <w:w w:val="100"/>
        </w:rPr>
        <w:t>——重力加速度</w:t>
      </w:r>
      <w:r>
        <w:rPr>
          <w:w w:val="100"/>
        </w:rPr>
        <w:t>（</w:t>
      </w:r>
      <w:r>
        <w:rPr>
          <w:spacing w:val="-3"/>
          <w:w w:val="100"/>
        </w:rPr>
        <w:t>m</w:t>
      </w:r>
      <w:r>
        <w:rPr>
          <w:w w:val="100"/>
        </w:rPr>
        <w:t>/</w:t>
      </w:r>
      <w:r>
        <w:rPr>
          <w:spacing w:val="-1"/>
          <w:w w:val="100"/>
        </w:rPr>
        <w:t>s</w:t>
      </w:r>
      <w:r>
        <w:rPr>
          <w:w w:val="100"/>
        </w:rPr>
        <w:t>²</w:t>
      </w:r>
      <w:r>
        <w:rPr>
          <w:spacing w:val="-108"/>
          <w:w w:val="100"/>
        </w:rPr>
        <w:t>）</w:t>
      </w:r>
      <w:r>
        <w:rPr>
          <w:spacing w:val="-1"/>
          <w:w w:val="100"/>
        </w:rPr>
        <w:t>。</w:t>
      </w:r>
      <w:r>
        <w:rPr>
          <w:w w:val="100"/>
        </w:rPr>
        <w:t> </w:t>
      </w:r>
    </w:p>
    <w:p>
      <w:pPr>
        <w:pStyle w:val="BodyText"/>
        <w:spacing w:before="12"/>
        <w:rPr>
          <w:sz w:val="17"/>
        </w:rPr>
      </w:pPr>
    </w:p>
    <w:p>
      <w:pPr>
        <w:pStyle w:val="BodyText"/>
        <w:ind w:left="840"/>
      </w:pPr>
      <w:r>
        <w:rPr>
          <w:b/>
        </w:rPr>
        <w:t>3.3.16 </w:t>
      </w:r>
      <w:r>
        <w:rPr/>
        <w:t>七氟丙烷气体灭火系统的喷头工作压力的计算结果，应符合下列规定： </w:t>
      </w:r>
    </w:p>
    <w:p>
      <w:pPr>
        <w:pStyle w:val="BodyText"/>
        <w:spacing w:before="2"/>
        <w:rPr>
          <w:sz w:val="17"/>
        </w:rPr>
      </w:pPr>
    </w:p>
    <w:p>
      <w:pPr>
        <w:pStyle w:val="BodyText"/>
        <w:spacing w:line="434" w:lineRule="auto"/>
        <w:ind w:left="838" w:right="4026"/>
      </w:pPr>
      <w:r>
        <w:rPr/>
        <w:drawing>
          <wp:anchor distT="0" distB="0" distL="0" distR="0" allowOverlap="1" layoutInCell="1" locked="0" behindDoc="0" simplePos="0" relativeHeight="140">
            <wp:simplePos x="0" y="0"/>
            <wp:positionH relativeFrom="page">
              <wp:posOffset>1818004</wp:posOffset>
            </wp:positionH>
            <wp:positionV relativeFrom="paragraph">
              <wp:posOffset>696848</wp:posOffset>
            </wp:positionV>
            <wp:extent cx="1857374" cy="381000"/>
            <wp:effectExtent l="0" t="0" r="0" b="0"/>
            <wp:wrapTopAndBottom/>
            <wp:docPr id="305" name="image189.jpeg"/>
            <wp:cNvGraphicFramePr>
              <a:graphicFrameLocks noChangeAspect="1"/>
            </wp:cNvGraphicFramePr>
            <a:graphic>
              <a:graphicData uri="http://schemas.openxmlformats.org/drawingml/2006/picture">
                <pic:pic>
                  <pic:nvPicPr>
                    <pic:cNvPr id="306" name="image189.jpeg"/>
                    <pic:cNvPicPr/>
                  </pic:nvPicPr>
                  <pic:blipFill>
                    <a:blip r:embed="rId233" cstate="print"/>
                    <a:stretch>
                      <a:fillRect/>
                    </a:stretch>
                  </pic:blipFill>
                  <pic:spPr>
                    <a:xfrm>
                      <a:off x="0" y="0"/>
                      <a:ext cx="1857374" cy="381000"/>
                    </a:xfrm>
                    <a:prstGeom prst="rect">
                      <a:avLst/>
                    </a:prstGeom>
                  </pic:spPr>
                </pic:pic>
              </a:graphicData>
            </a:graphic>
          </wp:anchor>
        </w:drawing>
      </w:r>
      <w:r>
        <w:rPr>
          <w:w w:val="100"/>
          <w:position w:val="1"/>
        </w:rPr>
        <w:t>（1</w:t>
      </w:r>
      <w:r>
        <w:rPr>
          <w:spacing w:val="-3"/>
          <w:w w:val="100"/>
          <w:position w:val="1"/>
        </w:rPr>
        <w:t>）一级增压储存容器的系统</w:t>
      </w:r>
      <w:r>
        <w:rPr>
          <w:spacing w:val="-53"/>
          <w:position w:val="1"/>
        </w:rPr>
        <w:t> </w:t>
      </w:r>
      <w:r>
        <w:rPr>
          <w:i/>
          <w:w w:val="96"/>
          <w:position w:val="1"/>
          <w:sz w:val="22"/>
        </w:rPr>
        <w:t>P</w:t>
      </w:r>
      <w:r>
        <w:rPr>
          <w:spacing w:val="-3"/>
          <w:w w:val="100"/>
          <w:sz w:val="11"/>
        </w:rPr>
        <w:t>c</w:t>
      </w:r>
      <w:r>
        <w:rPr>
          <w:w w:val="100"/>
          <w:position w:val="1"/>
        </w:rPr>
        <w:t> </w:t>
      </w:r>
      <w:r>
        <w:rPr>
          <w:position w:val="1"/>
        </w:rPr>
        <w:t> </w:t>
      </w:r>
      <w:r>
        <w:rPr>
          <w:spacing w:val="-3"/>
          <w:w w:val="100"/>
          <w:position w:val="1"/>
        </w:rPr>
        <w:t>≥</w:t>
      </w:r>
      <w:r>
        <w:rPr>
          <w:w w:val="100"/>
          <w:position w:val="1"/>
        </w:rPr>
        <w:t>0.</w:t>
      </w:r>
      <w:r>
        <w:rPr>
          <w:spacing w:val="-3"/>
          <w:w w:val="100"/>
          <w:position w:val="1"/>
        </w:rPr>
        <w:t>6</w:t>
      </w:r>
      <w:r>
        <w:rPr>
          <w:w w:val="100"/>
          <w:position w:val="1"/>
        </w:rPr>
        <w:t>（MP</w:t>
      </w:r>
      <w:r>
        <w:rPr>
          <w:spacing w:val="-2"/>
          <w:w w:val="100"/>
          <w:position w:val="1"/>
        </w:rPr>
        <w:t>a</w:t>
      </w:r>
      <w:r>
        <w:rPr>
          <w:spacing w:val="-3"/>
          <w:w w:val="100"/>
          <w:position w:val="1"/>
        </w:rPr>
        <w:t>，绝对压力</w:t>
      </w:r>
      <w:r>
        <w:rPr>
          <w:spacing w:val="-106"/>
          <w:w w:val="100"/>
          <w:position w:val="1"/>
        </w:rPr>
        <w:t>）</w:t>
      </w:r>
      <w:r>
        <w:rPr>
          <w:spacing w:val="-3"/>
          <w:w w:val="100"/>
          <w:position w:val="1"/>
        </w:rPr>
        <w:t>；</w:t>
      </w:r>
      <w:r>
        <w:rPr>
          <w:w w:val="100"/>
          <w:position w:val="1"/>
        </w:rPr>
        <w:t> </w:t>
      </w:r>
      <w:r>
        <w:rPr>
          <w:spacing w:val="1"/>
          <w:w w:val="100"/>
          <w:position w:val="1"/>
        </w:rPr>
        <w:t>二级增压储存容器的系统</w:t>
      </w:r>
      <w:r>
        <w:rPr>
          <w:w w:val="100"/>
          <w:position w:val="1"/>
        </w:rPr>
        <w:t>P</w:t>
      </w:r>
      <w:r>
        <w:rPr>
          <w:w w:val="100"/>
          <w:sz w:val="11"/>
        </w:rPr>
        <w:t>c</w:t>
      </w:r>
      <w:r>
        <w:rPr>
          <w:w w:val="100"/>
          <w:position w:val="1"/>
        </w:rPr>
        <w:t> </w:t>
      </w:r>
      <w:r>
        <w:rPr>
          <w:position w:val="1"/>
        </w:rPr>
        <w:t> </w:t>
      </w:r>
      <w:r>
        <w:rPr>
          <w:spacing w:val="-3"/>
          <w:w w:val="100"/>
          <w:position w:val="1"/>
        </w:rPr>
        <w:t>≥</w:t>
      </w:r>
      <w:r>
        <w:rPr>
          <w:w w:val="100"/>
          <w:position w:val="1"/>
        </w:rPr>
        <w:t>0.</w:t>
      </w:r>
      <w:r>
        <w:rPr>
          <w:spacing w:val="-3"/>
          <w:w w:val="100"/>
          <w:position w:val="1"/>
        </w:rPr>
        <w:t>7</w:t>
      </w:r>
      <w:r>
        <w:rPr>
          <w:w w:val="100"/>
          <w:position w:val="1"/>
        </w:rPr>
        <w:t>（MP</w:t>
      </w:r>
      <w:r>
        <w:rPr>
          <w:spacing w:val="-3"/>
          <w:w w:val="100"/>
          <w:position w:val="1"/>
        </w:rPr>
        <w:t>a，绝对压力</w:t>
      </w:r>
      <w:r>
        <w:rPr>
          <w:spacing w:val="-106"/>
          <w:w w:val="100"/>
          <w:position w:val="1"/>
        </w:rPr>
        <w:t>）</w:t>
      </w:r>
      <w:r>
        <w:rPr>
          <w:spacing w:val="-3"/>
          <w:w w:val="100"/>
          <w:position w:val="1"/>
        </w:rPr>
        <w:t>；</w:t>
      </w:r>
      <w:r>
        <w:rPr>
          <w:w w:val="100"/>
          <w:position w:val="1"/>
        </w:rPr>
        <w:t> </w:t>
      </w:r>
    </w:p>
    <w:p>
      <w:pPr>
        <w:pStyle w:val="BodyText"/>
        <w:spacing w:line="436" w:lineRule="auto" w:before="152" w:after="106"/>
        <w:ind w:left="840" w:right="4551" w:hanging="3"/>
      </w:pPr>
      <w:r>
        <w:rPr>
          <w:spacing w:val="-8"/>
          <w:position w:val="1"/>
        </w:rPr>
        <w:t>三级增压储存容器的系统 </w:t>
      </w:r>
      <w:r>
        <w:rPr>
          <w:i/>
          <w:position w:val="1"/>
          <w:sz w:val="22"/>
        </w:rPr>
        <w:t>P</w:t>
      </w:r>
      <w:r>
        <w:rPr>
          <w:sz w:val="11"/>
        </w:rPr>
        <w:t>c</w:t>
      </w:r>
      <w:r>
        <w:rPr>
          <w:spacing w:val="54"/>
          <w:position w:val="1"/>
          <w:sz w:val="11"/>
        </w:rPr>
        <w:t> </w:t>
      </w:r>
      <w:r>
        <w:rPr>
          <w:position w:val="1"/>
        </w:rPr>
        <w:t>≥0.8（MPa</w:t>
      </w:r>
      <w:r>
        <w:rPr>
          <w:spacing w:val="-3"/>
          <w:position w:val="1"/>
        </w:rPr>
        <w:t>，绝对压力</w:t>
      </w:r>
      <w:r>
        <w:rPr>
          <w:spacing w:val="-106"/>
          <w:position w:val="1"/>
        </w:rPr>
        <w:t>）</w:t>
      </w:r>
      <w:r>
        <w:rPr>
          <w:spacing w:val="-3"/>
          <w:position w:val="1"/>
        </w:rPr>
        <w:t>。</w:t>
      </w:r>
      <w:r>
        <w:rPr>
          <w:b/>
        </w:rPr>
        <w:t>3.3.17 </w:t>
      </w:r>
      <w:r>
        <w:rPr>
          <w:spacing w:val="-3"/>
        </w:rPr>
        <w:t>喷头等效孔口面积应按下式计算：</w:t>
      </w:r>
      <w:r>
        <w:rPr/>
        <w:t> </w:t>
      </w:r>
    </w:p>
    <w:p>
      <w:pPr>
        <w:pStyle w:val="BodyText"/>
        <w:ind w:left="1033"/>
        <w:rPr>
          <w:sz w:val="20"/>
        </w:rPr>
      </w:pPr>
      <w:r>
        <w:rPr>
          <w:sz w:val="20"/>
        </w:rPr>
        <w:drawing>
          <wp:inline distT="0" distB="0" distL="0" distR="0">
            <wp:extent cx="2362199" cy="390525"/>
            <wp:effectExtent l="0" t="0" r="0" b="0"/>
            <wp:docPr id="307" name="image190.jpeg"/>
            <wp:cNvGraphicFramePr>
              <a:graphicFrameLocks noChangeAspect="1"/>
            </wp:cNvGraphicFramePr>
            <a:graphic>
              <a:graphicData uri="http://schemas.openxmlformats.org/drawingml/2006/picture">
                <pic:pic>
                  <pic:nvPicPr>
                    <pic:cNvPr id="308" name="image190.jpeg"/>
                    <pic:cNvPicPr/>
                  </pic:nvPicPr>
                  <pic:blipFill>
                    <a:blip r:embed="rId234" cstate="print"/>
                    <a:stretch>
                      <a:fillRect/>
                    </a:stretch>
                  </pic:blipFill>
                  <pic:spPr>
                    <a:xfrm>
                      <a:off x="0" y="0"/>
                      <a:ext cx="2362199" cy="390525"/>
                    </a:xfrm>
                    <a:prstGeom prst="rect">
                      <a:avLst/>
                    </a:prstGeom>
                  </pic:spPr>
                </pic:pic>
              </a:graphicData>
            </a:graphic>
          </wp:inline>
        </w:drawing>
      </w:r>
      <w:r>
        <w:rPr>
          <w:sz w:val="20"/>
        </w:rPr>
      </w:r>
    </w:p>
    <w:p>
      <w:pPr>
        <w:spacing w:after="0"/>
        <w:rPr>
          <w:sz w:val="20"/>
        </w:rPr>
        <w:sectPr>
          <w:footerReference w:type="default" r:id="rId227"/>
          <w:pgSz w:w="11910" w:h="16850"/>
          <w:pgMar w:footer="1239" w:header="0" w:top="1200" w:bottom="1420" w:left="1260" w:right="0"/>
          <w:pgNumType w:start="1120"/>
        </w:sectPr>
      </w:pPr>
    </w:p>
    <w:p>
      <w:pPr>
        <w:pStyle w:val="BodyText"/>
        <w:spacing w:before="57"/>
        <w:ind w:left="838"/>
      </w:pPr>
      <w:r>
        <w:rPr>
          <w:w w:val="100"/>
          <w:position w:val="1"/>
        </w:rPr>
        <w:t>式中 </w:t>
      </w:r>
      <w:r>
        <w:rPr>
          <w:i/>
          <w:spacing w:val="-3"/>
          <w:w w:val="96"/>
          <w:position w:val="1"/>
          <w:sz w:val="22"/>
        </w:rPr>
        <w:t>F</w:t>
      </w:r>
      <w:r>
        <w:rPr>
          <w:i/>
          <w:w w:val="100"/>
          <w:sz w:val="11"/>
        </w:rPr>
        <w:t>c</w:t>
      </w:r>
      <w:r>
        <w:rPr>
          <w:i/>
          <w:spacing w:val="-3"/>
          <w:w w:val="96"/>
          <w:position w:val="1"/>
          <w:sz w:val="22"/>
        </w:rPr>
        <w:t>—</w:t>
      </w:r>
      <w:r>
        <w:rPr>
          <w:spacing w:val="-3"/>
          <w:w w:val="100"/>
          <w:position w:val="1"/>
        </w:rPr>
        <w:t>—喷头等效孔口面积（</w:t>
      </w:r>
      <w:r>
        <w:rPr>
          <w:w w:val="100"/>
          <w:position w:val="1"/>
        </w:rPr>
        <w:t>cm²</w:t>
      </w:r>
      <w:r>
        <w:rPr>
          <w:spacing w:val="-108"/>
          <w:w w:val="100"/>
          <w:position w:val="1"/>
        </w:rPr>
        <w:t>）</w:t>
      </w:r>
      <w:r>
        <w:rPr>
          <w:spacing w:val="-3"/>
          <w:w w:val="100"/>
          <w:position w:val="1"/>
        </w:rPr>
        <w:t>；</w:t>
      </w:r>
      <w:r>
        <w:rPr>
          <w:w w:val="100"/>
          <w:position w:val="1"/>
        </w:rPr>
        <w:t> </w:t>
      </w:r>
    </w:p>
    <w:p>
      <w:pPr>
        <w:pStyle w:val="BodyText"/>
        <w:rPr>
          <w:sz w:val="17"/>
        </w:rPr>
      </w:pPr>
    </w:p>
    <w:p>
      <w:pPr>
        <w:pStyle w:val="BodyText"/>
        <w:ind w:left="838"/>
      </w:pPr>
      <w:r>
        <w:rPr>
          <w:i/>
          <w:position w:val="1"/>
          <w:sz w:val="22"/>
        </w:rPr>
        <w:t>q</w:t>
      </w:r>
      <w:r>
        <w:rPr>
          <w:i/>
          <w:sz w:val="11"/>
        </w:rPr>
        <w:t>c</w:t>
      </w:r>
      <w:r>
        <w:rPr>
          <w:position w:val="1"/>
        </w:rPr>
        <w:t>——等效孔口单位面积喷射率[kg/（s</w:t>
      </w:r>
      <w:r>
        <w:rPr>
          <w:rFonts w:ascii="MS Gothic" w:hAnsi="MS Gothic" w:eastAsia="MS Gothic" w:hint="eastAsia"/>
          <w:position w:val="1"/>
        </w:rPr>
        <w:t>▪</w:t>
      </w:r>
      <w:r>
        <w:rPr>
          <w:position w:val="1"/>
        </w:rPr>
        <w:t>cm²）]，可按本规范附录 C 采用。 </w:t>
      </w:r>
    </w:p>
    <w:p>
      <w:pPr>
        <w:pStyle w:val="BodyText"/>
        <w:spacing w:before="10"/>
        <w:rPr>
          <w:sz w:val="17"/>
        </w:rPr>
      </w:pPr>
    </w:p>
    <w:p>
      <w:pPr>
        <w:pStyle w:val="BodyText"/>
        <w:ind w:left="840"/>
      </w:pPr>
      <w:r>
        <w:rPr>
          <w:b/>
        </w:rPr>
        <w:t>3.3.18 </w:t>
      </w:r>
      <w:r>
        <w:rPr/>
        <w:t>喷头的实际孔口面积，应经试验确定，喷头规格应符合本规范附录 D 的规定。 </w:t>
      </w:r>
    </w:p>
    <w:p>
      <w:pPr>
        <w:pStyle w:val="BodyText"/>
        <w:spacing w:before="1"/>
        <w:rPr>
          <w:sz w:val="18"/>
        </w:rPr>
      </w:pPr>
    </w:p>
    <w:p>
      <w:pPr>
        <w:pStyle w:val="ListParagraph"/>
        <w:numPr>
          <w:ilvl w:val="1"/>
          <w:numId w:val="353"/>
        </w:numPr>
        <w:tabs>
          <w:tab w:pos="1160" w:val="left" w:leader="none"/>
        </w:tabs>
        <w:spacing w:line="240" w:lineRule="auto" w:before="1" w:after="0"/>
        <w:ind w:left="1159" w:right="0" w:hanging="320"/>
        <w:jc w:val="both"/>
        <w:rPr>
          <w:b/>
          <w:sz w:val="21"/>
        </w:rPr>
      </w:pPr>
      <w:r>
        <w:rPr>
          <w:sz w:val="21"/>
        </w:rPr>
        <w:t>IG541</w:t>
      </w:r>
      <w:r>
        <w:rPr>
          <w:spacing w:val="-9"/>
          <w:sz w:val="21"/>
        </w:rPr>
        <w:t> 混合气体灭火系统</w:t>
      </w:r>
      <w:r>
        <w:rPr>
          <w:b/>
          <w:w w:val="99"/>
          <w:sz w:val="21"/>
        </w:rPr>
        <w:t> </w:t>
      </w:r>
    </w:p>
    <w:p>
      <w:pPr>
        <w:pStyle w:val="BodyText"/>
        <w:spacing w:before="12"/>
        <w:rPr>
          <w:b/>
          <w:sz w:val="17"/>
        </w:rPr>
      </w:pPr>
    </w:p>
    <w:p>
      <w:pPr>
        <w:pStyle w:val="ListParagraph"/>
        <w:numPr>
          <w:ilvl w:val="2"/>
          <w:numId w:val="353"/>
        </w:numPr>
        <w:tabs>
          <w:tab w:pos="1371" w:val="left" w:leader="none"/>
        </w:tabs>
        <w:spacing w:line="446" w:lineRule="auto" w:before="0" w:after="0"/>
        <w:ind w:left="418" w:right="1431" w:firstLine="422"/>
        <w:jc w:val="both"/>
        <w:rPr>
          <w:sz w:val="21"/>
        </w:rPr>
      </w:pPr>
      <w:r>
        <w:rPr>
          <w:sz w:val="21"/>
        </w:rPr>
        <w:t>IG541</w:t>
      </w:r>
      <w:r>
        <w:rPr>
          <w:spacing w:val="-11"/>
          <w:sz w:val="21"/>
        </w:rPr>
        <w:t> 混合气体灭火系统的灭火设计浓度不应小于灭火浓度的 </w:t>
      </w:r>
      <w:r>
        <w:rPr>
          <w:sz w:val="21"/>
        </w:rPr>
        <w:t>1.3</w:t>
      </w:r>
      <w:r>
        <w:rPr>
          <w:spacing w:val="-8"/>
          <w:sz w:val="21"/>
        </w:rPr>
        <w:t> 倍，惰化设计浓度</w:t>
      </w:r>
      <w:r>
        <w:rPr>
          <w:spacing w:val="-10"/>
          <w:sz w:val="21"/>
        </w:rPr>
        <w:t>不应小于惰化浓度的 </w:t>
      </w:r>
      <w:r>
        <w:rPr>
          <w:sz w:val="21"/>
        </w:rPr>
        <w:t>1.1</w:t>
      </w:r>
      <w:r>
        <w:rPr>
          <w:spacing w:val="-19"/>
          <w:sz w:val="21"/>
        </w:rPr>
        <w:t> 倍。</w:t>
      </w:r>
      <w:r>
        <w:rPr>
          <w:sz w:val="21"/>
        </w:rPr>
        <w:t> </w:t>
      </w:r>
    </w:p>
    <w:p>
      <w:pPr>
        <w:pStyle w:val="ListParagraph"/>
        <w:numPr>
          <w:ilvl w:val="2"/>
          <w:numId w:val="353"/>
        </w:numPr>
        <w:tabs>
          <w:tab w:pos="1371" w:val="left" w:leader="none"/>
        </w:tabs>
        <w:spacing w:line="446" w:lineRule="auto" w:before="0" w:after="0"/>
        <w:ind w:left="418" w:right="1433" w:firstLine="422"/>
        <w:jc w:val="both"/>
        <w:rPr>
          <w:sz w:val="21"/>
        </w:rPr>
      </w:pPr>
      <w:r>
        <w:rPr>
          <w:spacing w:val="-7"/>
          <w:sz w:val="21"/>
        </w:rPr>
        <w:t>固体表面火灾的灭火浓度为 </w:t>
      </w:r>
      <w:r>
        <w:rPr>
          <w:sz w:val="21"/>
        </w:rPr>
        <w:t>28.1</w:t>
      </w:r>
      <w:r>
        <w:rPr>
          <w:spacing w:val="-6"/>
          <w:sz w:val="21"/>
        </w:rPr>
        <w:t>%，其他灭火浓度可按本规范附录 </w:t>
      </w:r>
      <w:r>
        <w:rPr>
          <w:sz w:val="21"/>
        </w:rPr>
        <w:t>A</w:t>
      </w:r>
      <w:r>
        <w:rPr>
          <w:spacing w:val="-25"/>
          <w:sz w:val="21"/>
        </w:rPr>
        <w:t> 中表 </w:t>
      </w:r>
      <w:r>
        <w:rPr>
          <w:sz w:val="21"/>
        </w:rPr>
        <w:t>A-3</w:t>
      </w:r>
      <w:r>
        <w:rPr>
          <w:spacing w:val="-15"/>
          <w:sz w:val="21"/>
        </w:rPr>
        <w:t> 的规定</w:t>
      </w:r>
      <w:r>
        <w:rPr>
          <w:spacing w:val="-7"/>
          <w:sz w:val="21"/>
        </w:rPr>
        <w:t>取值，惰化浓度可按本规范附录 </w:t>
      </w:r>
      <w:r>
        <w:rPr>
          <w:sz w:val="21"/>
        </w:rPr>
        <w:t>A</w:t>
      </w:r>
      <w:r>
        <w:rPr>
          <w:spacing w:val="-24"/>
          <w:sz w:val="21"/>
        </w:rPr>
        <w:t> 中表 </w:t>
      </w:r>
      <w:r>
        <w:rPr>
          <w:sz w:val="21"/>
        </w:rPr>
        <w:t>A-4</w:t>
      </w:r>
      <w:r>
        <w:rPr>
          <w:spacing w:val="-5"/>
          <w:sz w:val="21"/>
        </w:rPr>
        <w:t> 的规定取值。本规范附录</w:t>
      </w:r>
      <w:r>
        <w:rPr>
          <w:sz w:val="21"/>
        </w:rPr>
        <w:t>A</w:t>
      </w:r>
      <w:r>
        <w:rPr>
          <w:spacing w:val="-9"/>
          <w:sz w:val="21"/>
        </w:rPr>
        <w:t> 中未列出的，应经试验确</w:t>
      </w:r>
      <w:r>
        <w:rPr>
          <w:spacing w:val="-6"/>
          <w:sz w:val="21"/>
        </w:rPr>
        <w:t>定。</w:t>
      </w:r>
      <w:r>
        <w:rPr>
          <w:sz w:val="21"/>
        </w:rPr>
        <w:t> </w:t>
      </w:r>
    </w:p>
    <w:p>
      <w:pPr>
        <w:pStyle w:val="ListParagraph"/>
        <w:numPr>
          <w:ilvl w:val="2"/>
          <w:numId w:val="353"/>
        </w:numPr>
        <w:tabs>
          <w:tab w:pos="1371" w:val="left" w:leader="none"/>
        </w:tabs>
        <w:spacing w:line="446" w:lineRule="auto" w:before="0" w:after="0"/>
        <w:ind w:left="418" w:right="1433" w:firstLine="422"/>
        <w:jc w:val="both"/>
        <w:rPr>
          <w:sz w:val="21"/>
        </w:rPr>
      </w:pPr>
      <w:r>
        <w:rPr>
          <w:b/>
          <w:spacing w:val="-23"/>
          <w:sz w:val="21"/>
        </w:rPr>
        <w:t>当 </w:t>
      </w:r>
      <w:r>
        <w:rPr>
          <w:b/>
          <w:sz w:val="21"/>
        </w:rPr>
        <w:t>I</w:t>
      </w:r>
      <w:r>
        <w:rPr>
          <w:sz w:val="21"/>
        </w:rPr>
        <w:t>G541</w:t>
      </w:r>
      <w:r>
        <w:rPr>
          <w:spacing w:val="-11"/>
          <w:sz w:val="21"/>
        </w:rPr>
        <w:t> 混合气体灭火剂喷放至设计用量的 </w:t>
      </w:r>
      <w:r>
        <w:rPr>
          <w:sz w:val="21"/>
        </w:rPr>
        <w:t>95%</w:t>
      </w:r>
      <w:r>
        <w:rPr>
          <w:spacing w:val="-7"/>
          <w:sz w:val="21"/>
        </w:rPr>
        <w:t>时，其喷放时间不应大于 </w:t>
      </w:r>
      <w:r>
        <w:rPr>
          <w:sz w:val="21"/>
        </w:rPr>
        <w:t>60s</w:t>
      </w:r>
      <w:r>
        <w:rPr>
          <w:spacing w:val="-2"/>
          <w:sz w:val="21"/>
        </w:rPr>
        <w:t>，且不</w:t>
      </w:r>
      <w:r>
        <w:rPr>
          <w:spacing w:val="-15"/>
          <w:sz w:val="21"/>
        </w:rPr>
        <w:t>应小于 </w:t>
      </w:r>
      <w:r>
        <w:rPr>
          <w:sz w:val="21"/>
        </w:rPr>
        <w:t>48s</w:t>
      </w:r>
      <w:r>
        <w:rPr>
          <w:spacing w:val="-3"/>
          <w:sz w:val="21"/>
        </w:rPr>
        <w:t>。</w:t>
      </w:r>
      <w:r>
        <w:rPr>
          <w:sz w:val="21"/>
        </w:rPr>
        <w:t> </w:t>
      </w:r>
    </w:p>
    <w:p>
      <w:pPr>
        <w:pStyle w:val="ListParagraph"/>
        <w:numPr>
          <w:ilvl w:val="2"/>
          <w:numId w:val="353"/>
        </w:numPr>
        <w:tabs>
          <w:tab w:pos="1370" w:val="left" w:leader="none"/>
        </w:tabs>
        <w:spacing w:line="267" w:lineRule="exact" w:before="0" w:after="0"/>
        <w:ind w:left="1369" w:right="0" w:hanging="530"/>
        <w:jc w:val="left"/>
        <w:rPr>
          <w:sz w:val="21"/>
        </w:rPr>
      </w:pPr>
      <w:r>
        <w:rPr>
          <w:spacing w:val="-3"/>
          <w:sz w:val="21"/>
        </w:rPr>
        <w:t>灭火浸渍时间应符合下列规定：</w:t>
      </w:r>
      <w:r>
        <w:rPr>
          <w:sz w:val="21"/>
        </w:rPr>
        <w:t> </w:t>
      </w:r>
    </w:p>
    <w:p>
      <w:pPr>
        <w:pStyle w:val="BodyText"/>
        <w:spacing w:before="1"/>
        <w:rPr>
          <w:sz w:val="18"/>
        </w:rPr>
      </w:pPr>
    </w:p>
    <w:p>
      <w:pPr>
        <w:pStyle w:val="ListParagraph"/>
        <w:numPr>
          <w:ilvl w:val="0"/>
          <w:numId w:val="365"/>
        </w:numPr>
        <w:tabs>
          <w:tab w:pos="1367" w:val="left" w:leader="none"/>
        </w:tabs>
        <w:spacing w:line="240" w:lineRule="auto" w:before="0" w:after="0"/>
        <w:ind w:left="1367" w:right="0" w:hanging="529"/>
        <w:jc w:val="both"/>
        <w:rPr>
          <w:sz w:val="21"/>
        </w:rPr>
      </w:pPr>
      <w:r>
        <w:rPr>
          <w:spacing w:val="-6"/>
          <w:sz w:val="21"/>
        </w:rPr>
        <w:t>木材、纸张、织物等固体表面火灾，宜采用 </w:t>
      </w:r>
      <w:r>
        <w:rPr>
          <w:sz w:val="21"/>
        </w:rPr>
        <w:t>20min； </w:t>
      </w:r>
    </w:p>
    <w:p>
      <w:pPr>
        <w:pStyle w:val="BodyText"/>
        <w:rPr>
          <w:sz w:val="18"/>
        </w:rPr>
      </w:pPr>
    </w:p>
    <w:p>
      <w:pPr>
        <w:pStyle w:val="ListParagraph"/>
        <w:numPr>
          <w:ilvl w:val="0"/>
          <w:numId w:val="365"/>
        </w:numPr>
        <w:tabs>
          <w:tab w:pos="1367" w:val="left" w:leader="none"/>
        </w:tabs>
        <w:spacing w:line="240" w:lineRule="auto" w:before="0" w:after="0"/>
        <w:ind w:left="1367" w:right="0" w:hanging="529"/>
        <w:jc w:val="left"/>
        <w:rPr>
          <w:sz w:val="21"/>
        </w:rPr>
      </w:pPr>
      <w:r>
        <w:rPr>
          <w:spacing w:val="-6"/>
          <w:sz w:val="21"/>
        </w:rPr>
        <w:t>通信机房、电子计算机房内的电气设备火灾，宜采用 </w:t>
      </w:r>
      <w:r>
        <w:rPr>
          <w:sz w:val="21"/>
        </w:rPr>
        <w:t>10min； </w:t>
      </w:r>
    </w:p>
    <w:p>
      <w:pPr>
        <w:pStyle w:val="BodyText"/>
        <w:spacing w:before="12"/>
        <w:rPr>
          <w:sz w:val="17"/>
        </w:rPr>
      </w:pPr>
    </w:p>
    <w:p>
      <w:pPr>
        <w:pStyle w:val="ListParagraph"/>
        <w:numPr>
          <w:ilvl w:val="0"/>
          <w:numId w:val="365"/>
        </w:numPr>
        <w:tabs>
          <w:tab w:pos="1367" w:val="left" w:leader="none"/>
        </w:tabs>
        <w:spacing w:line="446" w:lineRule="auto" w:before="0" w:after="0"/>
        <w:ind w:left="840" w:right="5867" w:hanging="3"/>
        <w:jc w:val="left"/>
        <w:rPr>
          <w:sz w:val="21"/>
        </w:rPr>
      </w:pPr>
      <w:r>
        <w:rPr>
          <w:spacing w:val="-7"/>
          <w:sz w:val="21"/>
        </w:rPr>
        <w:t>其他固体表面火灾，宜采用 </w:t>
      </w:r>
      <w:r>
        <w:rPr>
          <w:sz w:val="21"/>
        </w:rPr>
        <w:t>10min</w:t>
      </w:r>
      <w:r>
        <w:rPr>
          <w:spacing w:val="-3"/>
          <w:sz w:val="21"/>
        </w:rPr>
        <w:t>。</w:t>
      </w:r>
      <w:r>
        <w:rPr>
          <w:b/>
          <w:sz w:val="21"/>
        </w:rPr>
        <w:t>3.4.5</w:t>
      </w:r>
      <w:r>
        <w:rPr>
          <w:b/>
          <w:spacing w:val="8"/>
          <w:sz w:val="21"/>
        </w:rPr>
        <w:t> </w:t>
      </w:r>
      <w:r>
        <w:rPr>
          <w:spacing w:val="-3"/>
          <w:sz w:val="21"/>
        </w:rPr>
        <w:t>储存容器充装量应符合下列规定：</w:t>
      </w:r>
      <w:r>
        <w:rPr>
          <w:sz w:val="21"/>
        </w:rPr>
        <w:t> </w:t>
      </w:r>
    </w:p>
    <w:p>
      <w:pPr>
        <w:pStyle w:val="ListParagraph"/>
        <w:numPr>
          <w:ilvl w:val="0"/>
          <w:numId w:val="366"/>
        </w:numPr>
        <w:tabs>
          <w:tab w:pos="1367" w:val="left" w:leader="none"/>
        </w:tabs>
        <w:spacing w:line="240" w:lineRule="auto" w:before="0" w:after="0"/>
        <w:ind w:left="1367" w:right="0" w:hanging="529"/>
        <w:jc w:val="left"/>
        <w:rPr>
          <w:sz w:val="21"/>
        </w:rPr>
      </w:pPr>
      <w:r>
        <w:rPr>
          <w:spacing w:val="-3"/>
          <w:sz w:val="21"/>
        </w:rPr>
        <w:t>一级充压</w:t>
      </w:r>
      <w:r>
        <w:rPr>
          <w:sz w:val="21"/>
        </w:rPr>
        <w:t>（15.0MPa）</w:t>
      </w:r>
      <w:r>
        <w:rPr>
          <w:spacing w:val="-9"/>
          <w:sz w:val="21"/>
        </w:rPr>
        <w:t>系统，充装量应为 </w:t>
      </w:r>
      <w:r>
        <w:rPr>
          <w:sz w:val="21"/>
        </w:rPr>
        <w:t>211.15kg/m³； </w:t>
      </w:r>
    </w:p>
    <w:p>
      <w:pPr>
        <w:pStyle w:val="BodyText"/>
        <w:spacing w:before="12"/>
        <w:rPr>
          <w:sz w:val="17"/>
        </w:rPr>
      </w:pPr>
    </w:p>
    <w:p>
      <w:pPr>
        <w:pStyle w:val="ListParagraph"/>
        <w:numPr>
          <w:ilvl w:val="0"/>
          <w:numId w:val="366"/>
        </w:numPr>
        <w:tabs>
          <w:tab w:pos="1367" w:val="left" w:leader="none"/>
        </w:tabs>
        <w:spacing w:line="446" w:lineRule="auto" w:before="0" w:after="0"/>
        <w:ind w:left="840" w:right="4081" w:hanging="3"/>
        <w:jc w:val="left"/>
        <w:rPr>
          <w:sz w:val="21"/>
        </w:rPr>
      </w:pPr>
      <w:r>
        <w:rPr>
          <w:spacing w:val="-3"/>
          <w:sz w:val="21"/>
        </w:rPr>
        <w:t>二级充压</w:t>
      </w:r>
      <w:r>
        <w:rPr>
          <w:sz w:val="21"/>
        </w:rPr>
        <w:t>（20.0MPa）</w:t>
      </w:r>
      <w:r>
        <w:rPr>
          <w:spacing w:val="-9"/>
          <w:sz w:val="21"/>
        </w:rPr>
        <w:t>系统，充装量应为 </w:t>
      </w:r>
      <w:r>
        <w:rPr>
          <w:sz w:val="21"/>
        </w:rPr>
        <w:t>281.06kg/m³</w:t>
      </w:r>
      <w:r>
        <w:rPr>
          <w:spacing w:val="-3"/>
          <w:sz w:val="21"/>
        </w:rPr>
        <w:t>。</w:t>
      </w:r>
      <w:r>
        <w:rPr>
          <w:b/>
          <w:sz w:val="21"/>
        </w:rPr>
        <w:t>3.4.6</w:t>
      </w:r>
      <w:r>
        <w:rPr>
          <w:b/>
          <w:spacing w:val="3"/>
          <w:sz w:val="21"/>
        </w:rPr>
        <w:t> </w:t>
      </w:r>
      <w:r>
        <w:rPr>
          <w:spacing w:val="-3"/>
          <w:sz w:val="21"/>
        </w:rPr>
        <w:t>防护区的泄压口面积，宜按下式计算：</w:t>
      </w:r>
      <w:r>
        <w:rPr>
          <w:sz w:val="21"/>
        </w:rPr>
        <w:t> </w:t>
      </w:r>
    </w:p>
    <w:p>
      <w:pPr>
        <w:pStyle w:val="BodyText"/>
        <w:rPr>
          <w:sz w:val="12"/>
        </w:rPr>
      </w:pPr>
      <w:r>
        <w:rPr/>
        <w:drawing>
          <wp:anchor distT="0" distB="0" distL="0" distR="0" allowOverlap="1" layoutInCell="1" locked="0" behindDoc="0" simplePos="0" relativeHeight="141">
            <wp:simplePos x="0" y="0"/>
            <wp:positionH relativeFrom="page">
              <wp:posOffset>1957479</wp:posOffset>
            </wp:positionH>
            <wp:positionV relativeFrom="paragraph">
              <wp:posOffset>122955</wp:posOffset>
            </wp:positionV>
            <wp:extent cx="3428590" cy="447675"/>
            <wp:effectExtent l="0" t="0" r="0" b="0"/>
            <wp:wrapTopAndBottom/>
            <wp:docPr id="309" name="image191.jpeg"/>
            <wp:cNvGraphicFramePr>
              <a:graphicFrameLocks noChangeAspect="1"/>
            </wp:cNvGraphicFramePr>
            <a:graphic>
              <a:graphicData uri="http://schemas.openxmlformats.org/drawingml/2006/picture">
                <pic:pic>
                  <pic:nvPicPr>
                    <pic:cNvPr id="310" name="image191.jpeg"/>
                    <pic:cNvPicPr/>
                  </pic:nvPicPr>
                  <pic:blipFill>
                    <a:blip r:embed="rId235" cstate="print"/>
                    <a:stretch>
                      <a:fillRect/>
                    </a:stretch>
                  </pic:blipFill>
                  <pic:spPr>
                    <a:xfrm>
                      <a:off x="0" y="0"/>
                      <a:ext cx="3428590" cy="447675"/>
                    </a:xfrm>
                    <a:prstGeom prst="rect">
                      <a:avLst/>
                    </a:prstGeom>
                  </pic:spPr>
                </pic:pic>
              </a:graphicData>
            </a:graphic>
          </wp:anchor>
        </w:drawing>
      </w:r>
    </w:p>
    <w:p>
      <w:pPr>
        <w:pStyle w:val="BodyText"/>
        <w:spacing w:before="169"/>
        <w:ind w:left="838"/>
      </w:pPr>
      <w:r>
        <w:rPr>
          <w:spacing w:val="-1"/>
          <w:w w:val="100"/>
          <w:position w:val="1"/>
        </w:rPr>
        <w:t>式中  </w:t>
      </w:r>
      <w:r>
        <w:rPr>
          <w:i/>
          <w:w w:val="96"/>
          <w:position w:val="1"/>
          <w:sz w:val="22"/>
        </w:rPr>
        <w:t>F</w:t>
      </w:r>
      <w:r>
        <w:rPr>
          <w:i/>
          <w:w w:val="100"/>
          <w:sz w:val="11"/>
        </w:rPr>
        <w:t>x</w:t>
      </w:r>
      <w:r>
        <w:rPr>
          <w:spacing w:val="-3"/>
          <w:w w:val="100"/>
          <w:position w:val="1"/>
        </w:rPr>
        <w:t>——泄压口面积</w:t>
      </w:r>
      <w:r>
        <w:rPr>
          <w:w w:val="100"/>
          <w:position w:val="1"/>
        </w:rPr>
        <w:t>（m²</w:t>
      </w:r>
      <w:r>
        <w:rPr>
          <w:spacing w:val="-108"/>
          <w:w w:val="100"/>
          <w:position w:val="1"/>
        </w:rPr>
        <w:t>）</w:t>
      </w:r>
      <w:r>
        <w:rPr>
          <w:spacing w:val="-3"/>
          <w:w w:val="100"/>
          <w:position w:val="1"/>
        </w:rPr>
        <w:t>；</w:t>
      </w:r>
      <w:r>
        <w:rPr>
          <w:w w:val="100"/>
          <w:position w:val="1"/>
        </w:rPr>
        <w:t> </w:t>
      </w:r>
    </w:p>
    <w:p>
      <w:pPr>
        <w:pStyle w:val="BodyText"/>
        <w:rPr>
          <w:sz w:val="17"/>
        </w:rPr>
      </w:pPr>
    </w:p>
    <w:p>
      <w:pPr>
        <w:pStyle w:val="BodyText"/>
        <w:ind w:left="1469"/>
      </w:pPr>
      <w:r>
        <w:rPr>
          <w:i/>
          <w:w w:val="96"/>
          <w:position w:val="1"/>
          <w:sz w:val="22"/>
        </w:rPr>
        <w:t>Q</w:t>
      </w:r>
      <w:r>
        <w:rPr>
          <w:i/>
          <w:w w:val="100"/>
          <w:sz w:val="11"/>
        </w:rPr>
        <w:t>x</w:t>
      </w:r>
      <w:r>
        <w:rPr>
          <w:spacing w:val="-3"/>
          <w:w w:val="100"/>
          <w:position w:val="1"/>
        </w:rPr>
        <w:t>——灭火剂在防护区的平均喷放速率</w:t>
      </w:r>
      <w:r>
        <w:rPr>
          <w:spacing w:val="-2"/>
          <w:w w:val="100"/>
          <w:position w:val="1"/>
        </w:rPr>
        <w:t>（</w:t>
      </w:r>
      <w:r>
        <w:rPr>
          <w:w w:val="100"/>
          <w:position w:val="1"/>
        </w:rPr>
        <w:t>kg/</w:t>
      </w:r>
      <w:r>
        <w:rPr>
          <w:spacing w:val="-3"/>
          <w:w w:val="100"/>
          <w:position w:val="1"/>
        </w:rPr>
        <w:t>s</w:t>
      </w:r>
      <w:r>
        <w:rPr>
          <w:spacing w:val="-106"/>
          <w:w w:val="100"/>
          <w:position w:val="1"/>
        </w:rPr>
        <w:t>）</w:t>
      </w:r>
      <w:r>
        <w:rPr>
          <w:spacing w:val="-3"/>
          <w:w w:val="100"/>
          <w:position w:val="1"/>
        </w:rPr>
        <w:t>；</w:t>
      </w:r>
      <w:r>
        <w:rPr>
          <w:w w:val="100"/>
          <w:position w:val="1"/>
        </w:rPr>
        <w:t> </w:t>
      </w:r>
    </w:p>
    <w:p>
      <w:pPr>
        <w:pStyle w:val="BodyText"/>
        <w:spacing w:before="12"/>
        <w:rPr>
          <w:sz w:val="16"/>
        </w:rPr>
      </w:pPr>
    </w:p>
    <w:p>
      <w:pPr>
        <w:pStyle w:val="BodyText"/>
        <w:ind w:left="1469"/>
      </w:pPr>
      <w:r>
        <w:rPr>
          <w:i/>
          <w:w w:val="96"/>
          <w:position w:val="1"/>
          <w:sz w:val="22"/>
        </w:rPr>
        <w:t>P</w:t>
      </w:r>
      <w:r>
        <w:rPr>
          <w:i/>
          <w:w w:val="100"/>
          <w:sz w:val="11"/>
        </w:rPr>
        <w:t>f</w:t>
      </w:r>
      <w:r>
        <w:rPr>
          <w:spacing w:val="-3"/>
          <w:w w:val="100"/>
          <w:position w:val="1"/>
        </w:rPr>
        <w:t>——围护结构承受内压的允许压强</w:t>
      </w:r>
      <w:r>
        <w:rPr>
          <w:w w:val="100"/>
          <w:position w:val="1"/>
        </w:rPr>
        <w:t>（P</w:t>
      </w:r>
      <w:r>
        <w:rPr>
          <w:spacing w:val="-2"/>
          <w:w w:val="100"/>
          <w:position w:val="1"/>
        </w:rPr>
        <w:t>a</w:t>
      </w:r>
      <w:r>
        <w:rPr>
          <w:spacing w:val="-106"/>
          <w:w w:val="100"/>
          <w:position w:val="1"/>
        </w:rPr>
        <w:t>）</w:t>
      </w:r>
      <w:r>
        <w:rPr>
          <w:spacing w:val="-3"/>
          <w:w w:val="100"/>
          <w:position w:val="1"/>
        </w:rPr>
        <w:t>。</w:t>
      </w:r>
      <w:r>
        <w:rPr>
          <w:w w:val="100"/>
          <w:position w:val="1"/>
        </w:rPr>
        <w:t> </w:t>
      </w:r>
    </w:p>
    <w:p>
      <w:pPr>
        <w:pStyle w:val="BodyText"/>
        <w:spacing w:before="12"/>
        <w:rPr>
          <w:sz w:val="17"/>
        </w:rPr>
      </w:pPr>
    </w:p>
    <w:p>
      <w:pPr>
        <w:pStyle w:val="ListParagraph"/>
        <w:numPr>
          <w:ilvl w:val="2"/>
          <w:numId w:val="367"/>
        </w:numPr>
        <w:tabs>
          <w:tab w:pos="1370" w:val="left" w:leader="none"/>
        </w:tabs>
        <w:spacing w:line="240" w:lineRule="auto" w:before="0" w:after="0"/>
        <w:ind w:left="1369" w:right="0" w:hanging="530"/>
        <w:jc w:val="left"/>
        <w:rPr>
          <w:sz w:val="21"/>
        </w:rPr>
      </w:pPr>
      <w:r>
        <w:rPr>
          <w:spacing w:val="-3"/>
          <w:sz w:val="21"/>
        </w:rPr>
        <w:t>灭火设计用量或惰化设计用量和系统灭火剂储存量，应符合下列规定： </w:t>
      </w:r>
    </w:p>
    <w:p>
      <w:pPr>
        <w:pStyle w:val="BodyText"/>
        <w:rPr>
          <w:sz w:val="18"/>
        </w:rPr>
      </w:pPr>
    </w:p>
    <w:p>
      <w:pPr>
        <w:pStyle w:val="ListParagraph"/>
        <w:numPr>
          <w:ilvl w:val="0"/>
          <w:numId w:val="368"/>
        </w:numPr>
        <w:tabs>
          <w:tab w:pos="1367" w:val="left" w:leader="none"/>
        </w:tabs>
        <w:spacing w:line="240" w:lineRule="auto" w:before="0" w:after="0"/>
        <w:ind w:left="1367" w:right="0" w:hanging="529"/>
        <w:jc w:val="left"/>
        <w:rPr>
          <w:sz w:val="21"/>
        </w:rPr>
      </w:pPr>
      <w:r>
        <w:rPr>
          <w:spacing w:val="-3"/>
          <w:sz w:val="21"/>
        </w:rPr>
        <w:t>防护区灭火设计用量或惰化设计用量应按下式计算：</w:t>
      </w:r>
      <w:r>
        <w:rPr>
          <w:sz w:val="21"/>
        </w:rPr>
        <w:t> </w:t>
      </w:r>
    </w:p>
    <w:p>
      <w:pPr>
        <w:spacing w:after="0" w:line="240" w:lineRule="auto"/>
        <w:jc w:val="left"/>
        <w:rPr>
          <w:sz w:val="21"/>
        </w:rPr>
        <w:sectPr>
          <w:pgSz w:w="11910" w:h="16850"/>
          <w:pgMar w:header="0" w:footer="1239" w:top="1200" w:bottom="1420" w:left="1260" w:right="0"/>
        </w:sectPr>
      </w:pPr>
    </w:p>
    <w:p>
      <w:pPr>
        <w:pStyle w:val="BodyText"/>
        <w:ind w:left="1711"/>
        <w:rPr>
          <w:sz w:val="20"/>
        </w:rPr>
      </w:pPr>
      <w:r>
        <w:rPr>
          <w:sz w:val="20"/>
        </w:rPr>
        <w:drawing>
          <wp:inline distT="0" distB="0" distL="0" distR="0">
            <wp:extent cx="3460115" cy="428625"/>
            <wp:effectExtent l="0" t="0" r="0" b="0"/>
            <wp:docPr id="311" name="image192.jpeg"/>
            <wp:cNvGraphicFramePr>
              <a:graphicFrameLocks noChangeAspect="1"/>
            </wp:cNvGraphicFramePr>
            <a:graphic>
              <a:graphicData uri="http://schemas.openxmlformats.org/drawingml/2006/picture">
                <pic:pic>
                  <pic:nvPicPr>
                    <pic:cNvPr id="312" name="image192.jpeg"/>
                    <pic:cNvPicPr/>
                  </pic:nvPicPr>
                  <pic:blipFill>
                    <a:blip r:embed="rId236" cstate="print"/>
                    <a:stretch>
                      <a:fillRect/>
                    </a:stretch>
                  </pic:blipFill>
                  <pic:spPr>
                    <a:xfrm>
                      <a:off x="0" y="0"/>
                      <a:ext cx="3460115" cy="428625"/>
                    </a:xfrm>
                    <a:prstGeom prst="rect">
                      <a:avLst/>
                    </a:prstGeom>
                  </pic:spPr>
                </pic:pic>
              </a:graphicData>
            </a:graphic>
          </wp:inline>
        </w:drawing>
      </w:r>
      <w:r>
        <w:rPr>
          <w:sz w:val="20"/>
        </w:rPr>
      </w:r>
    </w:p>
    <w:p>
      <w:pPr>
        <w:pStyle w:val="BodyText"/>
        <w:spacing w:before="6"/>
        <w:rPr>
          <w:sz w:val="9"/>
        </w:rPr>
      </w:pPr>
    </w:p>
    <w:p>
      <w:pPr>
        <w:pStyle w:val="BodyText"/>
        <w:spacing w:line="424" w:lineRule="auto" w:before="72"/>
        <w:ind w:left="1469" w:right="5077" w:hanging="632"/>
      </w:pPr>
      <w:r>
        <w:rPr>
          <w:spacing w:val="-1"/>
          <w:w w:val="100"/>
        </w:rPr>
        <w:t>式中   </w:t>
      </w:r>
      <w:r>
        <w:rPr>
          <w:i/>
          <w:w w:val="96"/>
          <w:sz w:val="22"/>
        </w:rPr>
        <w:t>W</w:t>
      </w:r>
      <w:r>
        <w:rPr>
          <w:spacing w:val="-3"/>
          <w:w w:val="100"/>
        </w:rPr>
        <w:t>——灭火设计用量或惰化设计用量（</w:t>
      </w:r>
      <w:r>
        <w:rPr>
          <w:w w:val="100"/>
        </w:rPr>
        <w:t>kg</w:t>
      </w:r>
      <w:r>
        <w:rPr>
          <w:spacing w:val="-108"/>
          <w:w w:val="100"/>
        </w:rPr>
        <w:t>）</w:t>
      </w:r>
      <w:r>
        <w:rPr>
          <w:spacing w:val="-3"/>
          <w:w w:val="100"/>
        </w:rPr>
        <w:t>；</w:t>
      </w:r>
      <w:r>
        <w:rPr>
          <w:w w:val="100"/>
        </w:rPr>
        <w:t> </w:t>
      </w:r>
      <w:r>
        <w:rPr>
          <w:i/>
          <w:w w:val="96"/>
          <w:position w:val="1"/>
          <w:sz w:val="22"/>
        </w:rPr>
        <w:t>C</w:t>
      </w:r>
      <w:r>
        <w:rPr>
          <w:w w:val="100"/>
          <w:sz w:val="11"/>
        </w:rPr>
        <w:t>1</w:t>
      </w:r>
      <w:r>
        <w:rPr>
          <w:spacing w:val="-3"/>
          <w:w w:val="100"/>
          <w:position w:val="1"/>
        </w:rPr>
        <w:t>——灭火设计浓度或惰化设计浓度</w:t>
      </w:r>
      <w:r>
        <w:rPr>
          <w:w w:val="100"/>
          <w:position w:val="1"/>
        </w:rPr>
        <w:t>（%</w:t>
      </w:r>
      <w:r>
        <w:rPr>
          <w:spacing w:val="-108"/>
          <w:w w:val="100"/>
          <w:position w:val="1"/>
        </w:rPr>
        <w:t>）</w:t>
      </w:r>
      <w:r>
        <w:rPr>
          <w:spacing w:val="-3"/>
          <w:w w:val="100"/>
          <w:position w:val="1"/>
        </w:rPr>
        <w:t>；</w:t>
      </w:r>
      <w:r>
        <w:rPr>
          <w:w w:val="100"/>
          <w:position w:val="1"/>
        </w:rPr>
        <w:t> </w:t>
      </w:r>
      <w:r>
        <w:rPr>
          <w:i/>
          <w:w w:val="96"/>
          <w:sz w:val="22"/>
        </w:rPr>
        <w:t>V</w:t>
      </w:r>
      <w:r>
        <w:rPr>
          <w:spacing w:val="-3"/>
          <w:w w:val="100"/>
        </w:rPr>
        <w:t>——防护区的净容积</w:t>
      </w:r>
      <w:r>
        <w:rPr>
          <w:w w:val="100"/>
        </w:rPr>
        <w:t>（</w:t>
      </w:r>
      <w:r>
        <w:rPr>
          <w:spacing w:val="-3"/>
          <w:w w:val="100"/>
        </w:rPr>
        <w:t>m³</w:t>
      </w:r>
      <w:r>
        <w:rPr>
          <w:spacing w:val="-106"/>
          <w:w w:val="100"/>
        </w:rPr>
        <w:t>）</w:t>
      </w:r>
      <w:r>
        <w:rPr>
          <w:spacing w:val="-3"/>
          <w:w w:val="100"/>
        </w:rPr>
        <w:t>；</w:t>
      </w:r>
      <w:r>
        <w:rPr>
          <w:w w:val="100"/>
        </w:rPr>
        <w:t> </w:t>
      </w:r>
    </w:p>
    <w:p>
      <w:pPr>
        <w:pStyle w:val="BodyText"/>
        <w:spacing w:before="3"/>
        <w:ind w:left="1469"/>
      </w:pPr>
      <w:r>
        <w:rPr>
          <w:i/>
          <w:w w:val="96"/>
          <w:sz w:val="22"/>
        </w:rPr>
        <w:t>S</w:t>
      </w:r>
      <w:r>
        <w:rPr>
          <w:spacing w:val="-3"/>
          <w:w w:val="100"/>
        </w:rPr>
        <w:t>——灭火剂气体在</w:t>
      </w:r>
      <w:r>
        <w:rPr>
          <w:spacing w:val="-55"/>
        </w:rPr>
        <w:t> </w:t>
      </w:r>
      <w:r>
        <w:rPr>
          <w:w w:val="100"/>
        </w:rPr>
        <w:t>101</w:t>
      </w:r>
      <w:r>
        <w:rPr>
          <w:spacing w:val="-3"/>
          <w:w w:val="100"/>
        </w:rPr>
        <w:t>kP</w:t>
      </w:r>
      <w:r>
        <w:rPr>
          <w:w w:val="100"/>
        </w:rPr>
        <w:t>a</w:t>
      </w:r>
      <w:r>
        <w:rPr>
          <w:spacing w:val="-53"/>
        </w:rPr>
        <w:t> </w:t>
      </w:r>
      <w:r>
        <w:rPr>
          <w:spacing w:val="-3"/>
          <w:w w:val="100"/>
        </w:rPr>
        <w:t>大气压和防护区最低环境温度下的质量体积</w:t>
      </w:r>
      <w:r>
        <w:rPr>
          <w:w w:val="100"/>
        </w:rPr>
        <w:t>（m</w:t>
      </w:r>
      <w:r>
        <w:rPr>
          <w:spacing w:val="-3"/>
          <w:w w:val="100"/>
        </w:rPr>
        <w:t>³/</w:t>
      </w:r>
      <w:r>
        <w:rPr>
          <w:w w:val="100"/>
        </w:rPr>
        <w:t>k</w:t>
      </w:r>
      <w:r>
        <w:rPr>
          <w:spacing w:val="-1"/>
          <w:w w:val="100"/>
        </w:rPr>
        <w:t>g</w:t>
      </w:r>
      <w:r>
        <w:rPr>
          <w:spacing w:val="-106"/>
          <w:w w:val="100"/>
        </w:rPr>
        <w:t>）</w:t>
      </w:r>
      <w:r>
        <w:rPr>
          <w:spacing w:val="-3"/>
          <w:w w:val="100"/>
        </w:rPr>
        <w:t>；</w:t>
      </w:r>
      <w:r>
        <w:rPr>
          <w:w w:val="100"/>
        </w:rPr>
        <w:t> </w:t>
      </w:r>
    </w:p>
    <w:p>
      <w:pPr>
        <w:pStyle w:val="BodyText"/>
        <w:spacing w:before="12"/>
        <w:rPr>
          <w:sz w:val="16"/>
        </w:rPr>
      </w:pPr>
    </w:p>
    <w:p>
      <w:pPr>
        <w:pStyle w:val="BodyText"/>
        <w:ind w:left="1469"/>
      </w:pPr>
      <w:r>
        <w:rPr>
          <w:i/>
          <w:sz w:val="22"/>
        </w:rPr>
        <w:t>K</w:t>
      </w:r>
      <w:r>
        <w:rPr/>
        <w:t>——海拔高度修正系数，可按本规范附录 B 的规定取值。 </w:t>
      </w:r>
    </w:p>
    <w:p>
      <w:pPr>
        <w:pStyle w:val="BodyText"/>
        <w:spacing w:before="10"/>
        <w:rPr>
          <w:sz w:val="17"/>
        </w:rPr>
      </w:pPr>
    </w:p>
    <w:p>
      <w:pPr>
        <w:pStyle w:val="ListParagraph"/>
        <w:numPr>
          <w:ilvl w:val="0"/>
          <w:numId w:val="368"/>
        </w:numPr>
        <w:tabs>
          <w:tab w:pos="1367" w:val="left" w:leader="none"/>
        </w:tabs>
        <w:spacing w:line="240" w:lineRule="auto" w:before="0" w:after="0"/>
        <w:ind w:left="1367" w:right="0" w:hanging="529"/>
        <w:jc w:val="left"/>
        <w:rPr>
          <w:sz w:val="21"/>
        </w:rPr>
      </w:pPr>
      <w:r>
        <w:rPr>
          <w:spacing w:val="-11"/>
          <w:sz w:val="21"/>
        </w:rPr>
        <w:t>灭火剂气体在 </w:t>
      </w:r>
      <w:r>
        <w:rPr>
          <w:sz w:val="21"/>
        </w:rPr>
        <w:t>101kPa</w:t>
      </w:r>
      <w:r>
        <w:rPr>
          <w:spacing w:val="-9"/>
          <w:sz w:val="21"/>
        </w:rPr>
        <w:t> 大气压和防护区最低环境温度下的质量体积，应按下式计算：</w:t>
      </w:r>
      <w:r>
        <w:rPr>
          <w:sz w:val="21"/>
        </w:rPr>
        <w:t> </w:t>
      </w:r>
    </w:p>
    <w:p>
      <w:pPr>
        <w:pStyle w:val="BodyText"/>
        <w:spacing w:before="11"/>
        <w:rPr>
          <w:sz w:val="7"/>
        </w:rPr>
      </w:pPr>
      <w:r>
        <w:rPr/>
        <w:drawing>
          <wp:anchor distT="0" distB="0" distL="0" distR="0" allowOverlap="1" layoutInCell="1" locked="0" behindDoc="0" simplePos="0" relativeHeight="142">
            <wp:simplePos x="0" y="0"/>
            <wp:positionH relativeFrom="page">
              <wp:posOffset>1332230</wp:posOffset>
            </wp:positionH>
            <wp:positionV relativeFrom="paragraph">
              <wp:posOffset>89221</wp:posOffset>
            </wp:positionV>
            <wp:extent cx="3910965" cy="190500"/>
            <wp:effectExtent l="0" t="0" r="0" b="0"/>
            <wp:wrapTopAndBottom/>
            <wp:docPr id="313" name="image193.jpeg"/>
            <wp:cNvGraphicFramePr>
              <a:graphicFrameLocks noChangeAspect="1"/>
            </wp:cNvGraphicFramePr>
            <a:graphic>
              <a:graphicData uri="http://schemas.openxmlformats.org/drawingml/2006/picture">
                <pic:pic>
                  <pic:nvPicPr>
                    <pic:cNvPr id="314" name="image193.jpeg"/>
                    <pic:cNvPicPr/>
                  </pic:nvPicPr>
                  <pic:blipFill>
                    <a:blip r:embed="rId237" cstate="print"/>
                    <a:stretch>
                      <a:fillRect/>
                    </a:stretch>
                  </pic:blipFill>
                  <pic:spPr>
                    <a:xfrm>
                      <a:off x="0" y="0"/>
                      <a:ext cx="3910965" cy="190500"/>
                    </a:xfrm>
                    <a:prstGeom prst="rect">
                      <a:avLst/>
                    </a:prstGeom>
                  </pic:spPr>
                </pic:pic>
              </a:graphicData>
            </a:graphic>
          </wp:anchor>
        </w:drawing>
      </w:r>
    </w:p>
    <w:p>
      <w:pPr>
        <w:pStyle w:val="BodyText"/>
        <w:spacing w:before="9"/>
        <w:rPr>
          <w:sz w:val="19"/>
        </w:rPr>
      </w:pPr>
    </w:p>
    <w:p>
      <w:pPr>
        <w:pStyle w:val="BodyText"/>
        <w:ind w:left="838"/>
      </w:pPr>
      <w:r>
        <w:rPr>
          <w:spacing w:val="-1"/>
          <w:w w:val="100"/>
        </w:rPr>
        <w:t>式中  </w:t>
      </w:r>
      <w:r>
        <w:rPr>
          <w:i/>
          <w:w w:val="96"/>
          <w:sz w:val="22"/>
        </w:rPr>
        <w:t>T</w:t>
      </w:r>
      <w:r>
        <w:rPr>
          <w:spacing w:val="-3"/>
          <w:w w:val="100"/>
        </w:rPr>
        <w:t>——防护区最低环境温度</w:t>
      </w:r>
      <w:r>
        <w:rPr>
          <w:w w:val="100"/>
        </w:rPr>
        <w:t>（</w:t>
      </w:r>
      <w:r>
        <w:rPr>
          <w:spacing w:val="-3"/>
          <w:w w:val="100"/>
        </w:rPr>
        <w:t>℃</w:t>
      </w:r>
      <w:r>
        <w:rPr>
          <w:spacing w:val="-106"/>
          <w:w w:val="100"/>
        </w:rPr>
        <w:t>）</w:t>
      </w:r>
      <w:r>
        <w:rPr>
          <w:spacing w:val="-3"/>
          <w:w w:val="100"/>
        </w:rPr>
        <w:t>；</w:t>
      </w:r>
      <w:r>
        <w:rPr>
          <w:w w:val="100"/>
        </w:rPr>
        <w:t> </w:t>
      </w:r>
    </w:p>
    <w:p>
      <w:pPr>
        <w:pStyle w:val="BodyText"/>
        <w:spacing w:before="10"/>
        <w:rPr>
          <w:sz w:val="17"/>
        </w:rPr>
      </w:pPr>
    </w:p>
    <w:p>
      <w:pPr>
        <w:pStyle w:val="ListParagraph"/>
        <w:numPr>
          <w:ilvl w:val="0"/>
          <w:numId w:val="368"/>
        </w:numPr>
        <w:tabs>
          <w:tab w:pos="1367" w:val="left" w:leader="none"/>
        </w:tabs>
        <w:spacing w:line="446" w:lineRule="auto" w:before="0" w:after="0"/>
        <w:ind w:left="418" w:right="1431" w:firstLine="419"/>
        <w:jc w:val="left"/>
        <w:rPr>
          <w:sz w:val="21"/>
        </w:rPr>
      </w:pPr>
      <w:r>
        <w:rPr/>
        <w:drawing>
          <wp:anchor distT="0" distB="0" distL="0" distR="0" allowOverlap="1" layoutInCell="1" locked="0" behindDoc="1" simplePos="0" relativeHeight="215781376">
            <wp:simplePos x="0" y="0"/>
            <wp:positionH relativeFrom="page">
              <wp:posOffset>1393783</wp:posOffset>
            </wp:positionH>
            <wp:positionV relativeFrom="paragraph">
              <wp:posOffset>538988</wp:posOffset>
            </wp:positionV>
            <wp:extent cx="3533181" cy="219075"/>
            <wp:effectExtent l="0" t="0" r="0" b="0"/>
            <wp:wrapNone/>
            <wp:docPr id="315" name="image194.jpeg"/>
            <wp:cNvGraphicFramePr>
              <a:graphicFrameLocks noChangeAspect="1"/>
            </wp:cNvGraphicFramePr>
            <a:graphic>
              <a:graphicData uri="http://schemas.openxmlformats.org/drawingml/2006/picture">
                <pic:pic>
                  <pic:nvPicPr>
                    <pic:cNvPr id="316" name="image194.jpeg"/>
                    <pic:cNvPicPr/>
                  </pic:nvPicPr>
                  <pic:blipFill>
                    <a:blip r:embed="rId238" cstate="print"/>
                    <a:stretch>
                      <a:fillRect/>
                    </a:stretch>
                  </pic:blipFill>
                  <pic:spPr>
                    <a:xfrm>
                      <a:off x="0" y="0"/>
                      <a:ext cx="3533181" cy="219075"/>
                    </a:xfrm>
                    <a:prstGeom prst="rect">
                      <a:avLst/>
                    </a:prstGeom>
                  </pic:spPr>
                </pic:pic>
              </a:graphicData>
            </a:graphic>
          </wp:anchor>
        </w:drawing>
      </w:r>
      <w:r>
        <w:rPr>
          <w:spacing w:val="-10"/>
          <w:sz w:val="21"/>
        </w:rPr>
        <w:t>系统灭火剂储存量，应为防护区灭火设计用量及系统灭火剂剩余量之和，系统灭火剂 </w:t>
      </w:r>
      <w:r>
        <w:rPr>
          <w:spacing w:val="-3"/>
          <w:sz w:val="21"/>
        </w:rPr>
        <w:t>剩余量应按下式计算：</w:t>
      </w:r>
      <w:r>
        <w:rPr>
          <w:sz w:val="21"/>
        </w:rPr>
        <w:t> </w:t>
      </w:r>
    </w:p>
    <w:p>
      <w:pPr>
        <w:pStyle w:val="BodyText"/>
        <w:rPr>
          <w:sz w:val="20"/>
        </w:rPr>
      </w:pPr>
    </w:p>
    <w:p>
      <w:pPr>
        <w:pStyle w:val="BodyText"/>
        <w:spacing w:before="2"/>
        <w:rPr>
          <w:sz w:val="18"/>
        </w:rPr>
      </w:pPr>
    </w:p>
    <w:p>
      <w:pPr>
        <w:pStyle w:val="BodyText"/>
        <w:ind w:left="838"/>
      </w:pPr>
      <w:r>
        <w:rPr>
          <w:spacing w:val="-1"/>
          <w:w w:val="100"/>
          <w:position w:val="1"/>
        </w:rPr>
        <w:t>式中  </w:t>
      </w:r>
      <w:r>
        <w:rPr>
          <w:i/>
          <w:w w:val="96"/>
          <w:position w:val="1"/>
          <w:sz w:val="22"/>
        </w:rPr>
        <w:t>W</w:t>
      </w:r>
      <w:r>
        <w:rPr>
          <w:i/>
          <w:w w:val="100"/>
          <w:sz w:val="11"/>
        </w:rPr>
        <w:t>s</w:t>
      </w:r>
      <w:r>
        <w:rPr>
          <w:spacing w:val="-3"/>
          <w:w w:val="100"/>
          <w:position w:val="1"/>
        </w:rPr>
        <w:t>——系统灭火剂剩余量</w:t>
      </w:r>
      <w:r>
        <w:rPr>
          <w:w w:val="100"/>
          <w:position w:val="1"/>
        </w:rPr>
        <w:t>（k</w:t>
      </w:r>
      <w:r>
        <w:rPr>
          <w:spacing w:val="-3"/>
          <w:w w:val="100"/>
          <w:position w:val="1"/>
        </w:rPr>
        <w:t>g</w:t>
      </w:r>
      <w:r>
        <w:rPr>
          <w:spacing w:val="-106"/>
          <w:w w:val="100"/>
          <w:position w:val="1"/>
        </w:rPr>
        <w:t>）</w:t>
      </w:r>
      <w:r>
        <w:rPr>
          <w:spacing w:val="-3"/>
          <w:w w:val="100"/>
          <w:position w:val="1"/>
        </w:rPr>
        <w:t>；</w:t>
      </w:r>
      <w:r>
        <w:rPr>
          <w:w w:val="100"/>
          <w:position w:val="1"/>
        </w:rPr>
        <w:t> </w:t>
      </w:r>
    </w:p>
    <w:p>
      <w:pPr>
        <w:pStyle w:val="BodyText"/>
        <w:spacing w:before="2"/>
        <w:rPr>
          <w:sz w:val="17"/>
        </w:rPr>
      </w:pPr>
    </w:p>
    <w:p>
      <w:pPr>
        <w:pStyle w:val="BodyText"/>
        <w:spacing w:line="424" w:lineRule="auto"/>
        <w:ind w:left="1469" w:right="5233"/>
      </w:pPr>
      <w:r>
        <w:rPr>
          <w:i/>
          <w:w w:val="96"/>
          <w:position w:val="1"/>
          <w:sz w:val="22"/>
        </w:rPr>
        <w:t>V</w:t>
      </w:r>
      <w:r>
        <w:rPr>
          <w:w w:val="100"/>
          <w:sz w:val="11"/>
        </w:rPr>
        <w:t>o</w:t>
      </w:r>
      <w:r>
        <w:rPr>
          <w:spacing w:val="-3"/>
          <w:w w:val="100"/>
          <w:position w:val="1"/>
        </w:rPr>
        <w:t>——系统全部储存容器的总容积（</w:t>
      </w:r>
      <w:r>
        <w:rPr>
          <w:w w:val="100"/>
          <w:position w:val="1"/>
        </w:rPr>
        <w:t>m³</w:t>
      </w:r>
      <w:r>
        <w:rPr>
          <w:spacing w:val="-108"/>
          <w:w w:val="100"/>
          <w:position w:val="1"/>
        </w:rPr>
        <w:t>）</w:t>
      </w:r>
      <w:r>
        <w:rPr>
          <w:spacing w:val="-3"/>
          <w:w w:val="100"/>
          <w:position w:val="1"/>
        </w:rPr>
        <w:t>；</w:t>
      </w:r>
      <w:r>
        <w:rPr>
          <w:w w:val="100"/>
          <w:position w:val="1"/>
        </w:rPr>
        <w:t> </w:t>
      </w:r>
      <w:r>
        <w:rPr>
          <w:i/>
          <w:w w:val="96"/>
          <w:position w:val="1"/>
          <w:sz w:val="22"/>
        </w:rPr>
        <w:t>V</w:t>
      </w:r>
      <w:r>
        <w:rPr>
          <w:i/>
          <w:w w:val="100"/>
          <w:sz w:val="11"/>
        </w:rPr>
        <w:t>p</w:t>
      </w:r>
      <w:r>
        <w:rPr>
          <w:spacing w:val="-3"/>
          <w:w w:val="100"/>
          <w:position w:val="1"/>
        </w:rPr>
        <w:t>——管网的管道内容积</w:t>
      </w:r>
      <w:r>
        <w:rPr>
          <w:w w:val="100"/>
          <w:position w:val="1"/>
        </w:rPr>
        <w:t>（m³</w:t>
      </w:r>
      <w:r>
        <w:rPr>
          <w:spacing w:val="-108"/>
          <w:w w:val="100"/>
          <w:position w:val="1"/>
        </w:rPr>
        <w:t>）</w:t>
      </w:r>
      <w:r>
        <w:rPr>
          <w:spacing w:val="-3"/>
          <w:w w:val="100"/>
          <w:position w:val="1"/>
        </w:rPr>
        <w:t>。</w:t>
      </w:r>
      <w:r>
        <w:rPr>
          <w:w w:val="100"/>
          <w:position w:val="1"/>
        </w:rPr>
        <w:t> </w:t>
      </w:r>
    </w:p>
    <w:p>
      <w:pPr>
        <w:pStyle w:val="ListParagraph"/>
        <w:numPr>
          <w:ilvl w:val="2"/>
          <w:numId w:val="367"/>
        </w:numPr>
        <w:tabs>
          <w:tab w:pos="1370" w:val="left" w:leader="none"/>
        </w:tabs>
        <w:spacing w:line="240" w:lineRule="auto" w:before="11" w:after="0"/>
        <w:ind w:left="1369" w:right="0" w:hanging="530"/>
        <w:jc w:val="left"/>
        <w:rPr>
          <w:sz w:val="21"/>
        </w:rPr>
      </w:pPr>
      <w:r>
        <w:rPr>
          <w:spacing w:val="-3"/>
          <w:sz w:val="21"/>
        </w:rPr>
        <w:t>管网计算应符合下列规定：</w:t>
      </w:r>
      <w:r>
        <w:rPr>
          <w:sz w:val="21"/>
        </w:rPr>
        <w:t> </w:t>
      </w:r>
    </w:p>
    <w:p>
      <w:pPr>
        <w:pStyle w:val="BodyText"/>
        <w:spacing w:before="2"/>
        <w:rPr>
          <w:sz w:val="18"/>
        </w:rPr>
      </w:pPr>
    </w:p>
    <w:p>
      <w:pPr>
        <w:pStyle w:val="ListParagraph"/>
        <w:numPr>
          <w:ilvl w:val="0"/>
          <w:numId w:val="369"/>
        </w:numPr>
        <w:tabs>
          <w:tab w:pos="1367" w:val="left" w:leader="none"/>
        </w:tabs>
        <w:spacing w:line="240" w:lineRule="auto" w:before="0" w:after="0"/>
        <w:ind w:left="1367" w:right="0" w:hanging="529"/>
        <w:jc w:val="left"/>
        <w:rPr>
          <w:sz w:val="21"/>
        </w:rPr>
      </w:pPr>
      <w:r>
        <w:rPr>
          <w:spacing w:val="-3"/>
          <w:sz w:val="21"/>
        </w:rPr>
        <w:t>管道流量宜采用平均设计流量。</w:t>
      </w:r>
      <w:r>
        <w:rPr>
          <w:sz w:val="21"/>
        </w:rPr>
        <w:t> </w:t>
      </w:r>
    </w:p>
    <w:p>
      <w:pPr>
        <w:pStyle w:val="BodyText"/>
        <w:spacing w:before="12"/>
        <w:rPr>
          <w:sz w:val="17"/>
        </w:rPr>
      </w:pPr>
    </w:p>
    <w:p>
      <w:pPr>
        <w:pStyle w:val="BodyText"/>
        <w:ind w:left="838"/>
      </w:pPr>
      <w:r>
        <w:rPr>
          <w:spacing w:val="-3"/>
        </w:rPr>
        <w:t>主干管、支管的平均设计流量，应按下列公式计算： </w:t>
      </w:r>
    </w:p>
    <w:p>
      <w:pPr>
        <w:pStyle w:val="BodyText"/>
        <w:spacing w:before="2"/>
        <w:rPr>
          <w:sz w:val="15"/>
        </w:rPr>
      </w:pPr>
      <w:r>
        <w:rPr/>
        <w:drawing>
          <wp:anchor distT="0" distB="0" distL="0" distR="0" allowOverlap="1" layoutInCell="1" locked="0" behindDoc="0" simplePos="0" relativeHeight="143">
            <wp:simplePos x="0" y="0"/>
            <wp:positionH relativeFrom="page">
              <wp:posOffset>1627504</wp:posOffset>
            </wp:positionH>
            <wp:positionV relativeFrom="paragraph">
              <wp:posOffset>148550</wp:posOffset>
            </wp:positionV>
            <wp:extent cx="2371724" cy="838200"/>
            <wp:effectExtent l="0" t="0" r="0" b="0"/>
            <wp:wrapTopAndBottom/>
            <wp:docPr id="317" name="image195.jpeg"/>
            <wp:cNvGraphicFramePr>
              <a:graphicFrameLocks noChangeAspect="1"/>
            </wp:cNvGraphicFramePr>
            <a:graphic>
              <a:graphicData uri="http://schemas.openxmlformats.org/drawingml/2006/picture">
                <pic:pic>
                  <pic:nvPicPr>
                    <pic:cNvPr id="318" name="image195.jpeg"/>
                    <pic:cNvPicPr/>
                  </pic:nvPicPr>
                  <pic:blipFill>
                    <a:blip r:embed="rId239" cstate="print"/>
                    <a:stretch>
                      <a:fillRect/>
                    </a:stretch>
                  </pic:blipFill>
                  <pic:spPr>
                    <a:xfrm>
                      <a:off x="0" y="0"/>
                      <a:ext cx="2371724" cy="838200"/>
                    </a:xfrm>
                    <a:prstGeom prst="rect">
                      <a:avLst/>
                    </a:prstGeom>
                  </pic:spPr>
                </pic:pic>
              </a:graphicData>
            </a:graphic>
          </wp:anchor>
        </w:drawing>
      </w:r>
    </w:p>
    <w:p>
      <w:pPr>
        <w:pStyle w:val="BodyText"/>
        <w:spacing w:before="4"/>
        <w:rPr>
          <w:sz w:val="14"/>
        </w:rPr>
      </w:pPr>
    </w:p>
    <w:p>
      <w:pPr>
        <w:pStyle w:val="BodyText"/>
        <w:spacing w:line="427" w:lineRule="auto"/>
        <w:ind w:left="1469" w:right="5550" w:hanging="632"/>
      </w:pPr>
      <w:r>
        <w:rPr>
          <w:spacing w:val="-1"/>
          <w:w w:val="100"/>
          <w:position w:val="1"/>
        </w:rPr>
        <w:t>式中   </w:t>
      </w:r>
      <w:r>
        <w:rPr>
          <w:i/>
          <w:w w:val="96"/>
          <w:position w:val="1"/>
          <w:sz w:val="22"/>
        </w:rPr>
        <w:t>Q</w:t>
      </w:r>
      <w:r>
        <w:rPr>
          <w:i/>
          <w:spacing w:val="-3"/>
          <w:w w:val="100"/>
          <w:sz w:val="11"/>
        </w:rPr>
        <w:t>w</w:t>
      </w:r>
      <w:r>
        <w:rPr>
          <w:spacing w:val="-3"/>
          <w:w w:val="100"/>
          <w:position w:val="1"/>
        </w:rPr>
        <w:t>——主干管平均设计流量（</w:t>
      </w:r>
      <w:r>
        <w:rPr>
          <w:w w:val="100"/>
          <w:position w:val="1"/>
        </w:rPr>
        <w:t>kg/</w:t>
      </w:r>
      <w:r>
        <w:rPr>
          <w:spacing w:val="-3"/>
          <w:w w:val="100"/>
          <w:position w:val="1"/>
        </w:rPr>
        <w:t>s</w:t>
      </w:r>
      <w:r>
        <w:rPr>
          <w:spacing w:val="-106"/>
          <w:w w:val="100"/>
          <w:position w:val="1"/>
        </w:rPr>
        <w:t>）</w:t>
      </w:r>
      <w:r>
        <w:rPr>
          <w:spacing w:val="-3"/>
          <w:w w:val="100"/>
          <w:position w:val="1"/>
        </w:rPr>
        <w:t>；</w:t>
      </w:r>
      <w:r>
        <w:rPr>
          <w:w w:val="100"/>
          <w:position w:val="1"/>
        </w:rPr>
        <w:t> </w:t>
      </w:r>
      <w:r>
        <w:rPr>
          <w:i/>
          <w:w w:val="96"/>
          <w:sz w:val="22"/>
        </w:rPr>
        <w:t>t</w:t>
      </w:r>
      <w:r>
        <w:rPr>
          <w:spacing w:val="-3"/>
          <w:w w:val="100"/>
        </w:rPr>
        <w:t>——灭火剂设计喷放时间</w:t>
      </w:r>
      <w:r>
        <w:rPr>
          <w:w w:val="100"/>
        </w:rPr>
        <w:t>（s</w:t>
      </w:r>
      <w:r>
        <w:rPr>
          <w:spacing w:val="-106"/>
          <w:w w:val="100"/>
        </w:rPr>
        <w:t>）</w:t>
      </w:r>
      <w:r>
        <w:rPr>
          <w:spacing w:val="-3"/>
          <w:w w:val="100"/>
        </w:rPr>
        <w:t>。</w:t>
      </w:r>
      <w:r>
        <w:rPr>
          <w:w w:val="100"/>
        </w:rPr>
        <w:t> </w:t>
      </w:r>
      <w:r>
        <w:rPr>
          <w:i/>
          <w:w w:val="96"/>
          <w:position w:val="1"/>
          <w:sz w:val="22"/>
        </w:rPr>
        <w:t>Q</w:t>
      </w:r>
      <w:r>
        <w:rPr>
          <w:i/>
          <w:w w:val="100"/>
          <w:sz w:val="11"/>
        </w:rPr>
        <w:t>g</w:t>
      </w:r>
      <w:r>
        <w:rPr>
          <w:spacing w:val="-3"/>
          <w:w w:val="100"/>
          <w:position w:val="1"/>
        </w:rPr>
        <w:t>——支管平均设计流量</w:t>
      </w:r>
      <w:r>
        <w:rPr>
          <w:w w:val="100"/>
          <w:position w:val="1"/>
        </w:rPr>
        <w:t>（kg/</w:t>
      </w:r>
      <w:r>
        <w:rPr>
          <w:spacing w:val="-3"/>
          <w:w w:val="100"/>
          <w:position w:val="1"/>
        </w:rPr>
        <w:t>s</w:t>
      </w:r>
      <w:r>
        <w:rPr>
          <w:spacing w:val="-106"/>
          <w:w w:val="100"/>
          <w:position w:val="1"/>
        </w:rPr>
        <w:t>）</w:t>
      </w:r>
      <w:r>
        <w:rPr>
          <w:spacing w:val="-3"/>
          <w:w w:val="100"/>
          <w:position w:val="1"/>
        </w:rPr>
        <w:t>；</w:t>
      </w:r>
      <w:r>
        <w:rPr>
          <w:w w:val="100"/>
          <w:position w:val="1"/>
        </w:rPr>
        <w:t> </w:t>
      </w:r>
    </w:p>
    <w:p>
      <w:pPr>
        <w:pStyle w:val="BodyText"/>
        <w:spacing w:line="424" w:lineRule="auto"/>
        <w:ind w:left="1469" w:right="4813"/>
      </w:pPr>
      <w:r>
        <w:rPr>
          <w:i/>
          <w:w w:val="96"/>
          <w:position w:val="1"/>
          <w:sz w:val="22"/>
        </w:rPr>
        <w:t>N</w:t>
      </w:r>
      <w:r>
        <w:rPr>
          <w:i/>
          <w:w w:val="100"/>
          <w:sz w:val="11"/>
        </w:rPr>
        <w:t>g</w:t>
      </w:r>
      <w:r>
        <w:rPr>
          <w:spacing w:val="-3"/>
          <w:w w:val="100"/>
          <w:position w:val="1"/>
        </w:rPr>
        <w:t>——安装在计算支管下游的喷头数量（</w:t>
      </w:r>
      <w:r>
        <w:rPr>
          <w:w w:val="100"/>
          <w:position w:val="1"/>
        </w:rPr>
        <w:t>个</w:t>
      </w:r>
      <w:r>
        <w:rPr>
          <w:spacing w:val="-108"/>
          <w:w w:val="100"/>
          <w:position w:val="1"/>
        </w:rPr>
        <w:t>）</w:t>
      </w:r>
      <w:r>
        <w:rPr>
          <w:spacing w:val="-3"/>
          <w:w w:val="100"/>
          <w:position w:val="1"/>
        </w:rPr>
        <w:t>；</w:t>
      </w:r>
      <w:r>
        <w:rPr>
          <w:w w:val="100"/>
          <w:position w:val="1"/>
        </w:rPr>
        <w:t> </w:t>
      </w:r>
      <w:r>
        <w:rPr>
          <w:i/>
          <w:w w:val="96"/>
          <w:position w:val="1"/>
          <w:sz w:val="22"/>
        </w:rPr>
        <w:t>Q</w:t>
      </w:r>
      <w:r>
        <w:rPr>
          <w:i/>
          <w:w w:val="100"/>
          <w:sz w:val="11"/>
        </w:rPr>
        <w:t>c</w:t>
      </w:r>
      <w:r>
        <w:rPr>
          <w:spacing w:val="-3"/>
          <w:w w:val="100"/>
          <w:position w:val="1"/>
        </w:rPr>
        <w:t>——单个喷头的设计流量</w:t>
      </w:r>
      <w:r>
        <w:rPr>
          <w:w w:val="100"/>
          <w:position w:val="1"/>
        </w:rPr>
        <w:t>（k</w:t>
      </w:r>
      <w:r>
        <w:rPr>
          <w:spacing w:val="-3"/>
          <w:w w:val="100"/>
          <w:position w:val="1"/>
        </w:rPr>
        <w:t>g</w:t>
      </w:r>
      <w:r>
        <w:rPr>
          <w:w w:val="100"/>
          <w:position w:val="1"/>
        </w:rPr>
        <w:t>/</w:t>
      </w:r>
      <w:r>
        <w:rPr>
          <w:spacing w:val="-1"/>
          <w:w w:val="100"/>
          <w:position w:val="1"/>
        </w:rPr>
        <w:t>s</w:t>
      </w:r>
      <w:r>
        <w:rPr>
          <w:spacing w:val="-108"/>
          <w:w w:val="100"/>
          <w:position w:val="1"/>
        </w:rPr>
        <w:t>）</w:t>
      </w:r>
      <w:r>
        <w:rPr>
          <w:spacing w:val="-3"/>
          <w:w w:val="100"/>
          <w:position w:val="1"/>
        </w:rPr>
        <w:t>。</w:t>
      </w:r>
      <w:r>
        <w:rPr>
          <w:w w:val="100"/>
          <w:position w:val="1"/>
        </w:rPr>
        <w:t> </w:t>
      </w:r>
    </w:p>
    <w:p>
      <w:pPr>
        <w:pStyle w:val="ListParagraph"/>
        <w:numPr>
          <w:ilvl w:val="0"/>
          <w:numId w:val="369"/>
        </w:numPr>
        <w:tabs>
          <w:tab w:pos="1367" w:val="left" w:leader="none"/>
        </w:tabs>
        <w:spacing w:line="240" w:lineRule="auto" w:before="8" w:after="0"/>
        <w:ind w:left="1367" w:right="0" w:hanging="529"/>
        <w:jc w:val="left"/>
        <w:rPr>
          <w:sz w:val="21"/>
        </w:rPr>
      </w:pPr>
      <w:r>
        <w:rPr>
          <w:spacing w:val="-3"/>
          <w:sz w:val="21"/>
        </w:rPr>
        <w:t>管道内径宜按下式计算：</w:t>
      </w:r>
      <w:r>
        <w:rPr>
          <w:sz w:val="21"/>
        </w:rPr>
        <w:t> </w:t>
      </w:r>
    </w:p>
    <w:p>
      <w:pPr>
        <w:spacing w:after="0" w:line="240" w:lineRule="auto"/>
        <w:jc w:val="left"/>
        <w:rPr>
          <w:sz w:val="21"/>
        </w:rPr>
        <w:sectPr>
          <w:pgSz w:w="11910" w:h="16850"/>
          <w:pgMar w:header="0" w:footer="1239" w:top="1460" w:bottom="1420" w:left="1260" w:right="0"/>
        </w:sectPr>
      </w:pPr>
    </w:p>
    <w:p>
      <w:pPr>
        <w:pStyle w:val="BodyText"/>
        <w:ind w:left="838"/>
        <w:rPr>
          <w:sz w:val="20"/>
        </w:rPr>
      </w:pPr>
      <w:r>
        <w:rPr>
          <w:sz w:val="20"/>
        </w:rPr>
        <w:drawing>
          <wp:inline distT="0" distB="0" distL="0" distR="0">
            <wp:extent cx="2669428" cy="217170"/>
            <wp:effectExtent l="0" t="0" r="0" b="0"/>
            <wp:docPr id="319" name="image196.jpeg"/>
            <wp:cNvGraphicFramePr>
              <a:graphicFrameLocks noChangeAspect="1"/>
            </wp:cNvGraphicFramePr>
            <a:graphic>
              <a:graphicData uri="http://schemas.openxmlformats.org/drawingml/2006/picture">
                <pic:pic>
                  <pic:nvPicPr>
                    <pic:cNvPr id="320" name="image196.jpeg"/>
                    <pic:cNvPicPr/>
                  </pic:nvPicPr>
                  <pic:blipFill>
                    <a:blip r:embed="rId240" cstate="print"/>
                    <a:stretch>
                      <a:fillRect/>
                    </a:stretch>
                  </pic:blipFill>
                  <pic:spPr>
                    <a:xfrm>
                      <a:off x="0" y="0"/>
                      <a:ext cx="2669428" cy="217170"/>
                    </a:xfrm>
                    <a:prstGeom prst="rect">
                      <a:avLst/>
                    </a:prstGeom>
                  </pic:spPr>
                </pic:pic>
              </a:graphicData>
            </a:graphic>
          </wp:inline>
        </w:drawing>
      </w:r>
      <w:r>
        <w:rPr>
          <w:sz w:val="20"/>
        </w:rPr>
      </w:r>
    </w:p>
    <w:p>
      <w:pPr>
        <w:pStyle w:val="BodyText"/>
        <w:spacing w:before="7"/>
        <w:rPr>
          <w:sz w:val="20"/>
        </w:rPr>
      </w:pPr>
    </w:p>
    <w:p>
      <w:pPr>
        <w:pStyle w:val="BodyText"/>
        <w:spacing w:before="72"/>
        <w:ind w:left="838"/>
      </w:pPr>
      <w:r>
        <w:rPr>
          <w:spacing w:val="-1"/>
          <w:w w:val="100"/>
        </w:rPr>
        <w:t>式中   </w:t>
      </w:r>
      <w:r>
        <w:rPr>
          <w:i/>
          <w:w w:val="96"/>
          <w:sz w:val="22"/>
        </w:rPr>
        <w:t>D</w:t>
      </w:r>
      <w:r>
        <w:rPr>
          <w:spacing w:val="-3"/>
          <w:w w:val="100"/>
        </w:rPr>
        <w:t>——管道内径</w:t>
      </w:r>
      <w:r>
        <w:rPr>
          <w:spacing w:val="-2"/>
          <w:w w:val="100"/>
        </w:rPr>
        <w:t>（</w:t>
      </w:r>
      <w:r>
        <w:rPr>
          <w:spacing w:val="-3"/>
          <w:w w:val="100"/>
        </w:rPr>
        <w:t>m</w:t>
      </w:r>
      <w:r>
        <w:rPr>
          <w:w w:val="100"/>
        </w:rPr>
        <w:t>m</w:t>
      </w:r>
      <w:r>
        <w:rPr>
          <w:spacing w:val="-106"/>
          <w:w w:val="100"/>
        </w:rPr>
        <w:t>）</w:t>
      </w:r>
      <w:r>
        <w:rPr>
          <w:spacing w:val="-3"/>
          <w:w w:val="100"/>
        </w:rPr>
        <w:t>；</w:t>
      </w:r>
      <w:r>
        <w:rPr>
          <w:w w:val="100"/>
        </w:rPr>
        <w:t> </w:t>
      </w:r>
    </w:p>
    <w:p>
      <w:pPr>
        <w:pStyle w:val="BodyText"/>
        <w:spacing w:before="12"/>
        <w:rPr>
          <w:sz w:val="16"/>
        </w:rPr>
      </w:pPr>
    </w:p>
    <w:p>
      <w:pPr>
        <w:pStyle w:val="BodyText"/>
        <w:ind w:left="1469"/>
      </w:pPr>
      <w:r>
        <w:rPr>
          <w:i/>
          <w:w w:val="96"/>
          <w:sz w:val="22"/>
        </w:rPr>
        <w:t>Q</w:t>
      </w:r>
      <w:r>
        <w:rPr>
          <w:spacing w:val="-3"/>
          <w:w w:val="100"/>
        </w:rPr>
        <w:t>——管道设计流量</w:t>
      </w:r>
      <w:r>
        <w:rPr>
          <w:w w:val="100"/>
        </w:rPr>
        <w:t>（kg</w:t>
      </w:r>
      <w:r>
        <w:rPr>
          <w:spacing w:val="-3"/>
          <w:w w:val="100"/>
        </w:rPr>
        <w:t>/s</w:t>
      </w:r>
      <w:r>
        <w:rPr>
          <w:spacing w:val="-106"/>
          <w:w w:val="100"/>
        </w:rPr>
        <w:t>）</w:t>
      </w:r>
      <w:r>
        <w:rPr>
          <w:spacing w:val="-3"/>
          <w:w w:val="100"/>
        </w:rPr>
        <w:t>；</w:t>
      </w:r>
      <w:r>
        <w:rPr>
          <w:w w:val="100"/>
        </w:rPr>
        <w:t> </w:t>
      </w:r>
    </w:p>
    <w:p>
      <w:pPr>
        <w:pStyle w:val="BodyText"/>
        <w:spacing w:before="12"/>
        <w:rPr>
          <w:sz w:val="17"/>
        </w:rPr>
      </w:pPr>
    </w:p>
    <w:p>
      <w:pPr>
        <w:pStyle w:val="ListParagraph"/>
        <w:numPr>
          <w:ilvl w:val="0"/>
          <w:numId w:val="369"/>
        </w:numPr>
        <w:tabs>
          <w:tab w:pos="1367" w:val="left" w:leader="none"/>
        </w:tabs>
        <w:spacing w:line="446" w:lineRule="auto" w:before="0" w:after="0"/>
        <w:ind w:left="418" w:right="1433" w:firstLine="419"/>
        <w:jc w:val="left"/>
        <w:rPr>
          <w:sz w:val="21"/>
        </w:rPr>
      </w:pPr>
      <w:r>
        <w:rPr>
          <w:spacing w:val="-10"/>
          <w:sz w:val="21"/>
        </w:rPr>
        <w:t>灭火剂释放时，管网应进行减压。减压装置宜采用减压孔板。减压孔板宜设在系统的 </w:t>
      </w:r>
      <w:r>
        <w:rPr>
          <w:spacing w:val="-7"/>
          <w:sz w:val="21"/>
        </w:rPr>
        <w:t>源头或干管入口处。</w:t>
      </w:r>
      <w:r>
        <w:rPr>
          <w:sz w:val="21"/>
        </w:rPr>
        <w:t> </w:t>
      </w:r>
    </w:p>
    <w:p>
      <w:pPr>
        <w:pStyle w:val="BodyText"/>
        <w:spacing w:line="267" w:lineRule="exact"/>
        <w:ind w:left="838"/>
      </w:pPr>
      <w:r>
        <w:rPr>
          <w:w w:val="100"/>
        </w:rPr>
        <w:t> </w:t>
      </w:r>
      <w:r>
        <w:rPr/>
        <w:t>（4）减压孔板前的压力，应按下式计算： </w:t>
      </w:r>
    </w:p>
    <w:p>
      <w:pPr>
        <w:pStyle w:val="BodyText"/>
        <w:rPr>
          <w:sz w:val="20"/>
        </w:rPr>
      </w:pPr>
    </w:p>
    <w:p>
      <w:pPr>
        <w:pStyle w:val="BodyText"/>
        <w:spacing w:before="9"/>
        <w:rPr>
          <w:sz w:val="11"/>
        </w:rPr>
      </w:pPr>
      <w:r>
        <w:rPr/>
        <w:drawing>
          <wp:anchor distT="0" distB="0" distL="0" distR="0" allowOverlap="1" layoutInCell="1" locked="0" behindDoc="0" simplePos="0" relativeHeight="145">
            <wp:simplePos x="0" y="0"/>
            <wp:positionH relativeFrom="page">
              <wp:posOffset>1332230</wp:posOffset>
            </wp:positionH>
            <wp:positionV relativeFrom="paragraph">
              <wp:posOffset>120443</wp:posOffset>
            </wp:positionV>
            <wp:extent cx="3038474" cy="514350"/>
            <wp:effectExtent l="0" t="0" r="0" b="0"/>
            <wp:wrapTopAndBottom/>
            <wp:docPr id="321" name="image197.jpeg"/>
            <wp:cNvGraphicFramePr>
              <a:graphicFrameLocks noChangeAspect="1"/>
            </wp:cNvGraphicFramePr>
            <a:graphic>
              <a:graphicData uri="http://schemas.openxmlformats.org/drawingml/2006/picture">
                <pic:pic>
                  <pic:nvPicPr>
                    <pic:cNvPr id="322" name="image197.jpeg"/>
                    <pic:cNvPicPr/>
                  </pic:nvPicPr>
                  <pic:blipFill>
                    <a:blip r:embed="rId241" cstate="print"/>
                    <a:stretch>
                      <a:fillRect/>
                    </a:stretch>
                  </pic:blipFill>
                  <pic:spPr>
                    <a:xfrm>
                      <a:off x="0" y="0"/>
                      <a:ext cx="3038474" cy="514350"/>
                    </a:xfrm>
                    <a:prstGeom prst="rect">
                      <a:avLst/>
                    </a:prstGeom>
                  </pic:spPr>
                </pic:pic>
              </a:graphicData>
            </a:graphic>
          </wp:anchor>
        </w:drawing>
      </w:r>
    </w:p>
    <w:p>
      <w:pPr>
        <w:pStyle w:val="BodyText"/>
        <w:spacing w:line="427" w:lineRule="auto" w:before="152"/>
        <w:ind w:left="1469" w:right="4382" w:hanging="632"/>
      </w:pPr>
      <w:r>
        <w:rPr>
          <w:spacing w:val="-1"/>
          <w:w w:val="100"/>
          <w:position w:val="1"/>
        </w:rPr>
        <w:t>式中   </w:t>
      </w:r>
      <w:r>
        <w:rPr>
          <w:i/>
          <w:w w:val="96"/>
          <w:position w:val="1"/>
          <w:sz w:val="22"/>
        </w:rPr>
        <w:t>P</w:t>
      </w:r>
      <w:r>
        <w:rPr>
          <w:spacing w:val="-3"/>
          <w:w w:val="100"/>
          <w:sz w:val="11"/>
        </w:rPr>
        <w:t>1</w:t>
      </w:r>
      <w:r>
        <w:rPr>
          <w:spacing w:val="-3"/>
          <w:w w:val="100"/>
          <w:position w:val="1"/>
        </w:rPr>
        <w:t>——减压孔板前的压力</w:t>
      </w:r>
      <w:r>
        <w:rPr>
          <w:w w:val="100"/>
          <w:position w:val="1"/>
        </w:rPr>
        <w:t>（M</w:t>
      </w:r>
      <w:r>
        <w:rPr>
          <w:spacing w:val="-3"/>
          <w:w w:val="100"/>
          <w:position w:val="1"/>
        </w:rPr>
        <w:t>P</w:t>
      </w:r>
      <w:r>
        <w:rPr>
          <w:spacing w:val="-1"/>
          <w:w w:val="100"/>
          <w:position w:val="1"/>
        </w:rPr>
        <w:t>a</w:t>
      </w:r>
      <w:r>
        <w:rPr>
          <w:spacing w:val="-3"/>
          <w:w w:val="100"/>
          <w:position w:val="1"/>
        </w:rPr>
        <w:t>，绝对压力</w:t>
      </w:r>
      <w:r>
        <w:rPr>
          <w:spacing w:val="-108"/>
          <w:w w:val="100"/>
          <w:position w:val="1"/>
        </w:rPr>
        <w:t>）</w:t>
      </w:r>
      <w:r>
        <w:rPr>
          <w:w w:val="100"/>
          <w:position w:val="1"/>
        </w:rPr>
        <w:t>； </w:t>
      </w:r>
      <w:r>
        <w:rPr>
          <w:i/>
          <w:w w:val="96"/>
          <w:position w:val="1"/>
          <w:sz w:val="22"/>
        </w:rPr>
        <w:t>P</w:t>
      </w:r>
      <w:r>
        <w:rPr>
          <w:w w:val="100"/>
          <w:sz w:val="11"/>
        </w:rPr>
        <w:t>o</w:t>
      </w:r>
      <w:r>
        <w:rPr>
          <w:spacing w:val="-3"/>
          <w:w w:val="100"/>
          <w:position w:val="1"/>
        </w:rPr>
        <w:t>——灭火剂储存容器充压压力</w:t>
      </w:r>
      <w:r>
        <w:rPr>
          <w:w w:val="100"/>
          <w:position w:val="1"/>
        </w:rPr>
        <w:t>（M</w:t>
      </w:r>
      <w:r>
        <w:rPr>
          <w:spacing w:val="-3"/>
          <w:w w:val="100"/>
          <w:position w:val="1"/>
        </w:rPr>
        <w:t>P</w:t>
      </w:r>
      <w:r>
        <w:rPr>
          <w:spacing w:val="-1"/>
          <w:w w:val="100"/>
          <w:position w:val="1"/>
        </w:rPr>
        <w:t>a</w:t>
      </w:r>
      <w:r>
        <w:rPr>
          <w:spacing w:val="-3"/>
          <w:w w:val="100"/>
          <w:position w:val="1"/>
        </w:rPr>
        <w:t>，绝对压力</w:t>
      </w:r>
      <w:r>
        <w:rPr>
          <w:spacing w:val="-108"/>
          <w:w w:val="100"/>
          <w:position w:val="1"/>
        </w:rPr>
        <w:t>）</w:t>
      </w:r>
      <w:r>
        <w:rPr>
          <w:w w:val="100"/>
          <w:position w:val="1"/>
        </w:rPr>
        <w:t>； </w:t>
      </w:r>
      <w:r>
        <w:rPr>
          <w:i/>
          <w:w w:val="96"/>
          <w:position w:val="1"/>
          <w:sz w:val="22"/>
        </w:rPr>
        <w:t>V</w:t>
      </w:r>
      <w:r>
        <w:rPr>
          <w:w w:val="100"/>
          <w:sz w:val="11"/>
        </w:rPr>
        <w:t>o</w:t>
      </w:r>
      <w:r>
        <w:rPr>
          <w:spacing w:val="-3"/>
          <w:w w:val="100"/>
          <w:position w:val="1"/>
        </w:rPr>
        <w:t>——系统全部储存容器的总容积（</w:t>
      </w:r>
      <w:r>
        <w:rPr>
          <w:w w:val="100"/>
          <w:position w:val="1"/>
        </w:rPr>
        <w:t>m³</w:t>
      </w:r>
      <w:r>
        <w:rPr>
          <w:spacing w:val="-108"/>
          <w:w w:val="100"/>
          <w:position w:val="1"/>
        </w:rPr>
        <w:t>）</w:t>
      </w:r>
      <w:r>
        <w:rPr>
          <w:spacing w:val="-3"/>
          <w:w w:val="100"/>
          <w:position w:val="1"/>
        </w:rPr>
        <w:t>；</w:t>
      </w:r>
      <w:r>
        <w:rPr>
          <w:w w:val="100"/>
          <w:position w:val="1"/>
        </w:rPr>
        <w:t> </w:t>
      </w:r>
    </w:p>
    <w:p>
      <w:pPr>
        <w:pStyle w:val="BodyText"/>
        <w:spacing w:line="424" w:lineRule="auto"/>
        <w:ind w:left="838" w:right="5442" w:firstLine="631"/>
      </w:pPr>
      <w:r>
        <w:rPr>
          <w:i/>
          <w:w w:val="96"/>
          <w:position w:val="1"/>
          <w:sz w:val="22"/>
        </w:rPr>
        <w:t>V</w:t>
      </w:r>
      <w:r>
        <w:rPr>
          <w:w w:val="100"/>
          <w:sz w:val="11"/>
        </w:rPr>
        <w:t>1</w:t>
      </w:r>
      <w:r>
        <w:rPr>
          <w:spacing w:val="-3"/>
          <w:w w:val="100"/>
          <w:position w:val="1"/>
        </w:rPr>
        <w:t>——减压孔板前管网管道容积</w:t>
      </w:r>
      <w:r>
        <w:rPr>
          <w:w w:val="100"/>
          <w:position w:val="1"/>
        </w:rPr>
        <w:t>（m</w:t>
      </w:r>
      <w:r>
        <w:rPr>
          <w:spacing w:val="-3"/>
          <w:w w:val="100"/>
          <w:position w:val="1"/>
        </w:rPr>
        <w:t>³</w:t>
      </w:r>
      <w:r>
        <w:rPr>
          <w:spacing w:val="-106"/>
          <w:w w:val="100"/>
          <w:position w:val="1"/>
        </w:rPr>
        <w:t>）</w:t>
      </w:r>
      <w:r>
        <w:rPr>
          <w:spacing w:val="-3"/>
          <w:w w:val="100"/>
          <w:position w:val="1"/>
        </w:rPr>
        <w:t>；</w:t>
      </w:r>
      <w:r>
        <w:rPr>
          <w:w w:val="100"/>
          <w:position w:val="1"/>
        </w:rPr>
        <w:t> </w:t>
      </w:r>
      <w:r>
        <w:rPr>
          <w:i/>
          <w:w w:val="96"/>
          <w:position w:val="1"/>
          <w:sz w:val="22"/>
        </w:rPr>
        <w:t>V</w:t>
      </w:r>
      <w:r>
        <w:rPr>
          <w:w w:val="100"/>
          <w:sz w:val="11"/>
        </w:rPr>
        <w:t>2</w:t>
      </w:r>
      <w:r>
        <w:rPr>
          <w:spacing w:val="-3"/>
          <w:w w:val="100"/>
          <w:position w:val="1"/>
        </w:rPr>
        <w:t>——减压孔板后管网管道容积</w:t>
      </w:r>
      <w:r>
        <w:rPr>
          <w:w w:val="100"/>
          <w:position w:val="1"/>
        </w:rPr>
        <w:t>（m</w:t>
      </w:r>
      <w:r>
        <w:rPr>
          <w:spacing w:val="-3"/>
          <w:w w:val="100"/>
          <w:position w:val="1"/>
        </w:rPr>
        <w:t>³</w:t>
      </w:r>
      <w:r>
        <w:rPr>
          <w:spacing w:val="-106"/>
          <w:w w:val="100"/>
          <w:position w:val="1"/>
        </w:rPr>
        <w:t>）</w:t>
      </w:r>
      <w:r>
        <w:rPr>
          <w:spacing w:val="-3"/>
          <w:w w:val="100"/>
          <w:position w:val="1"/>
        </w:rPr>
        <w:t>。</w:t>
      </w:r>
      <w:r>
        <w:rPr>
          <w:w w:val="100"/>
          <w:position w:val="1"/>
        </w:rPr>
        <w:t> </w:t>
      </w:r>
    </w:p>
    <w:p>
      <w:pPr>
        <w:pStyle w:val="ListParagraph"/>
        <w:numPr>
          <w:ilvl w:val="0"/>
          <w:numId w:val="370"/>
        </w:numPr>
        <w:tabs>
          <w:tab w:pos="1367" w:val="left" w:leader="none"/>
        </w:tabs>
        <w:spacing w:line="240" w:lineRule="auto" w:before="9" w:after="0"/>
        <w:ind w:left="1367" w:right="0" w:hanging="529"/>
        <w:jc w:val="left"/>
        <w:rPr>
          <w:sz w:val="21"/>
        </w:rPr>
      </w:pPr>
      <w:r>
        <w:rPr>
          <w:spacing w:val="-3"/>
          <w:sz w:val="21"/>
        </w:rPr>
        <w:t>减压孔板后的压力，应按下式计算：</w:t>
      </w:r>
      <w:r>
        <w:rPr>
          <w:sz w:val="21"/>
        </w:rPr>
        <w:t> </w:t>
      </w:r>
    </w:p>
    <w:p>
      <w:pPr>
        <w:pStyle w:val="BodyText"/>
        <w:spacing w:before="2"/>
        <w:rPr>
          <w:sz w:val="20"/>
        </w:rPr>
      </w:pPr>
      <w:r>
        <w:rPr/>
        <w:drawing>
          <wp:anchor distT="0" distB="0" distL="0" distR="0" allowOverlap="1" layoutInCell="1" locked="0" behindDoc="0" simplePos="0" relativeHeight="146">
            <wp:simplePos x="0" y="0"/>
            <wp:positionH relativeFrom="page">
              <wp:posOffset>1656079</wp:posOffset>
            </wp:positionH>
            <wp:positionV relativeFrom="paragraph">
              <wp:posOffset>189158</wp:posOffset>
            </wp:positionV>
            <wp:extent cx="2209799" cy="238125"/>
            <wp:effectExtent l="0" t="0" r="0" b="0"/>
            <wp:wrapTopAndBottom/>
            <wp:docPr id="323" name="image198.jpeg"/>
            <wp:cNvGraphicFramePr>
              <a:graphicFrameLocks noChangeAspect="1"/>
            </wp:cNvGraphicFramePr>
            <a:graphic>
              <a:graphicData uri="http://schemas.openxmlformats.org/drawingml/2006/picture">
                <pic:pic>
                  <pic:nvPicPr>
                    <pic:cNvPr id="324" name="image198.jpeg"/>
                    <pic:cNvPicPr/>
                  </pic:nvPicPr>
                  <pic:blipFill>
                    <a:blip r:embed="rId242" cstate="print"/>
                    <a:stretch>
                      <a:fillRect/>
                    </a:stretch>
                  </pic:blipFill>
                  <pic:spPr>
                    <a:xfrm>
                      <a:off x="0" y="0"/>
                      <a:ext cx="2209799" cy="238125"/>
                    </a:xfrm>
                    <a:prstGeom prst="rect">
                      <a:avLst/>
                    </a:prstGeom>
                  </pic:spPr>
                </pic:pic>
              </a:graphicData>
            </a:graphic>
          </wp:anchor>
        </w:drawing>
      </w:r>
    </w:p>
    <w:p>
      <w:pPr>
        <w:pStyle w:val="BodyText"/>
        <w:rPr>
          <w:sz w:val="20"/>
        </w:rPr>
      </w:pPr>
    </w:p>
    <w:p>
      <w:pPr>
        <w:pStyle w:val="BodyText"/>
        <w:rPr>
          <w:sz w:val="20"/>
        </w:rPr>
      </w:pPr>
    </w:p>
    <w:p>
      <w:pPr>
        <w:pStyle w:val="BodyText"/>
        <w:spacing w:before="2"/>
        <w:rPr>
          <w:sz w:val="19"/>
        </w:rPr>
      </w:pPr>
    </w:p>
    <w:p>
      <w:pPr>
        <w:pStyle w:val="BodyText"/>
        <w:ind w:left="838"/>
      </w:pPr>
      <w:r>
        <w:rPr>
          <w:spacing w:val="-1"/>
          <w:w w:val="100"/>
          <w:position w:val="1"/>
        </w:rPr>
        <w:t>式中   </w:t>
      </w:r>
      <w:r>
        <w:rPr>
          <w:i/>
          <w:w w:val="96"/>
          <w:position w:val="1"/>
          <w:sz w:val="22"/>
        </w:rPr>
        <w:t>P</w:t>
      </w:r>
      <w:r>
        <w:rPr>
          <w:spacing w:val="-3"/>
          <w:w w:val="100"/>
          <w:sz w:val="11"/>
        </w:rPr>
        <w:t>2</w:t>
      </w:r>
      <w:r>
        <w:rPr>
          <w:spacing w:val="-3"/>
          <w:w w:val="100"/>
          <w:position w:val="1"/>
        </w:rPr>
        <w:t>——减压孔板后的压力</w:t>
      </w:r>
      <w:r>
        <w:rPr>
          <w:w w:val="100"/>
          <w:position w:val="1"/>
        </w:rPr>
        <w:t>（M</w:t>
      </w:r>
      <w:r>
        <w:rPr>
          <w:spacing w:val="-3"/>
          <w:w w:val="100"/>
          <w:position w:val="1"/>
        </w:rPr>
        <w:t>P</w:t>
      </w:r>
      <w:r>
        <w:rPr>
          <w:spacing w:val="-1"/>
          <w:w w:val="100"/>
          <w:position w:val="1"/>
        </w:rPr>
        <w:t>a</w:t>
      </w:r>
      <w:r>
        <w:rPr>
          <w:spacing w:val="-3"/>
          <w:w w:val="100"/>
          <w:position w:val="1"/>
        </w:rPr>
        <w:t>，绝对压力</w:t>
      </w:r>
      <w:r>
        <w:rPr>
          <w:spacing w:val="-108"/>
          <w:w w:val="100"/>
          <w:position w:val="1"/>
        </w:rPr>
        <w:t>）</w:t>
      </w:r>
      <w:r>
        <w:rPr>
          <w:w w:val="100"/>
          <w:position w:val="1"/>
        </w:rPr>
        <w:t>； </w:t>
      </w:r>
    </w:p>
    <w:p>
      <w:pPr>
        <w:pStyle w:val="BodyText"/>
        <w:rPr>
          <w:sz w:val="17"/>
        </w:rPr>
      </w:pPr>
    </w:p>
    <w:p>
      <w:pPr>
        <w:pStyle w:val="BodyText"/>
        <w:ind w:left="1469"/>
      </w:pPr>
      <w:r>
        <w:rPr>
          <w:i/>
          <w:w w:val="96"/>
          <w:sz w:val="22"/>
        </w:rPr>
        <w:t>δ</w:t>
      </w:r>
      <w:r>
        <w:rPr>
          <w:spacing w:val="-4"/>
          <w:w w:val="100"/>
        </w:rPr>
        <w:t>——落压比</w:t>
      </w:r>
      <w:r>
        <w:rPr>
          <w:w w:val="100"/>
        </w:rPr>
        <w:t>（</w:t>
      </w:r>
      <w:r>
        <w:rPr>
          <w:spacing w:val="-4"/>
          <w:w w:val="100"/>
        </w:rPr>
        <w:t>临界落压比：</w:t>
      </w:r>
      <w:r>
        <w:rPr>
          <w:i/>
          <w:w w:val="96"/>
          <w:sz w:val="22"/>
        </w:rPr>
        <w:t>δ</w:t>
      </w:r>
      <w:r>
        <w:rPr>
          <w:w w:val="100"/>
        </w:rPr>
        <w:t>=0</w:t>
      </w:r>
      <w:r>
        <w:rPr>
          <w:spacing w:val="-3"/>
          <w:w w:val="100"/>
        </w:rPr>
        <w:t>.</w:t>
      </w:r>
      <w:r>
        <w:rPr>
          <w:w w:val="100"/>
        </w:rPr>
        <w:t>5</w:t>
      </w:r>
      <w:r>
        <w:rPr>
          <w:spacing w:val="-1"/>
          <w:w w:val="100"/>
        </w:rPr>
        <w:t>2</w:t>
      </w:r>
      <w:r>
        <w:rPr>
          <w:spacing w:val="-108"/>
          <w:w w:val="100"/>
        </w:rPr>
        <w:t>）</w:t>
      </w:r>
      <w:r>
        <w:rPr>
          <w:spacing w:val="-4"/>
          <w:w w:val="100"/>
        </w:rPr>
        <w:t>。一级充压</w:t>
      </w:r>
      <w:r>
        <w:rPr>
          <w:w w:val="100"/>
        </w:rPr>
        <w:t>（15</w:t>
      </w:r>
      <w:r>
        <w:rPr>
          <w:spacing w:val="-3"/>
          <w:w w:val="100"/>
        </w:rPr>
        <w:t>M</w:t>
      </w:r>
      <w:r>
        <w:rPr>
          <w:w w:val="100"/>
        </w:rPr>
        <w:t>P</w:t>
      </w:r>
      <w:r>
        <w:rPr>
          <w:spacing w:val="-3"/>
          <w:w w:val="100"/>
        </w:rPr>
        <w:t>a</w:t>
      </w:r>
      <w:r>
        <w:rPr>
          <w:spacing w:val="-5"/>
          <w:w w:val="100"/>
        </w:rPr>
        <w:t>）</w:t>
      </w:r>
      <w:r>
        <w:rPr>
          <w:spacing w:val="-4"/>
          <w:w w:val="100"/>
        </w:rPr>
        <w:t>的系统，可在</w:t>
      </w:r>
      <w:r>
        <w:rPr>
          <w:i/>
          <w:spacing w:val="-3"/>
          <w:w w:val="96"/>
          <w:sz w:val="22"/>
        </w:rPr>
        <w:t>δ</w:t>
      </w:r>
      <w:r>
        <w:rPr>
          <w:w w:val="100"/>
        </w:rPr>
        <w:t>=0.5</w:t>
      </w:r>
      <w:r>
        <w:rPr>
          <w:spacing w:val="-3"/>
          <w:w w:val="100"/>
        </w:rPr>
        <w:t>2</w:t>
      </w:r>
      <w:r>
        <w:rPr>
          <w:w w:val="100"/>
        </w:rPr>
        <w:t>～</w:t>
      </w:r>
    </w:p>
    <w:p>
      <w:pPr>
        <w:pStyle w:val="BodyText"/>
        <w:rPr>
          <w:sz w:val="17"/>
        </w:rPr>
      </w:pPr>
    </w:p>
    <w:p>
      <w:pPr>
        <w:pStyle w:val="BodyText"/>
        <w:ind w:left="418"/>
      </w:pPr>
      <w:r>
        <w:rPr/>
        <w:t>0.60 中选用；二级充压（20MPa）的系统，可在</w:t>
      </w:r>
      <w:r>
        <w:rPr>
          <w:i/>
          <w:sz w:val="22"/>
        </w:rPr>
        <w:t>δ</w:t>
      </w:r>
      <w:r>
        <w:rPr/>
        <w:t>=0.52～0.55 中选用。  </w:t>
      </w:r>
      <w:r>
        <w:rPr>
          <w:w w:val="100"/>
        </w:rPr>
        <w:t> </w:t>
      </w:r>
      <w:r>
        <w:rPr/>
        <w:t> </w:t>
      </w:r>
      <w:r>
        <w:rPr>
          <w:w w:val="100"/>
        </w:rPr>
        <w:t> </w:t>
      </w:r>
    </w:p>
    <w:p>
      <w:pPr>
        <w:pStyle w:val="BodyText"/>
        <w:spacing w:before="12"/>
        <w:rPr>
          <w:sz w:val="17"/>
        </w:rPr>
      </w:pPr>
    </w:p>
    <w:p>
      <w:pPr>
        <w:pStyle w:val="ListParagraph"/>
        <w:numPr>
          <w:ilvl w:val="0"/>
          <w:numId w:val="370"/>
        </w:numPr>
        <w:tabs>
          <w:tab w:pos="1367" w:val="left" w:leader="none"/>
        </w:tabs>
        <w:spacing w:line="240" w:lineRule="auto" w:before="0" w:after="0"/>
        <w:ind w:left="1367" w:right="0" w:hanging="529"/>
        <w:jc w:val="left"/>
        <w:rPr>
          <w:sz w:val="21"/>
        </w:rPr>
      </w:pPr>
      <w:r>
        <w:rPr>
          <w:spacing w:val="-3"/>
          <w:sz w:val="21"/>
        </w:rPr>
        <w:t>减压孔板孔口面积，宜按下式计算：</w:t>
      </w:r>
      <w:r>
        <w:rPr>
          <w:sz w:val="21"/>
        </w:rPr>
        <w:t> </w:t>
      </w:r>
    </w:p>
    <w:p>
      <w:pPr>
        <w:pStyle w:val="BodyText"/>
        <w:rPr>
          <w:sz w:val="20"/>
        </w:rPr>
      </w:pPr>
    </w:p>
    <w:p>
      <w:pPr>
        <w:pStyle w:val="BodyText"/>
        <w:spacing w:before="4"/>
        <w:rPr>
          <w:sz w:val="19"/>
        </w:rPr>
      </w:pPr>
      <w:r>
        <w:rPr/>
        <w:drawing>
          <wp:anchor distT="0" distB="0" distL="0" distR="0" allowOverlap="1" layoutInCell="1" locked="0" behindDoc="0" simplePos="0" relativeHeight="147">
            <wp:simplePos x="0" y="0"/>
            <wp:positionH relativeFrom="page">
              <wp:posOffset>1408430</wp:posOffset>
            </wp:positionH>
            <wp:positionV relativeFrom="paragraph">
              <wp:posOffset>182046</wp:posOffset>
            </wp:positionV>
            <wp:extent cx="2828924" cy="457200"/>
            <wp:effectExtent l="0" t="0" r="0" b="0"/>
            <wp:wrapTopAndBottom/>
            <wp:docPr id="325" name="image199.jpeg"/>
            <wp:cNvGraphicFramePr>
              <a:graphicFrameLocks noChangeAspect="1"/>
            </wp:cNvGraphicFramePr>
            <a:graphic>
              <a:graphicData uri="http://schemas.openxmlformats.org/drawingml/2006/picture">
                <pic:pic>
                  <pic:nvPicPr>
                    <pic:cNvPr id="326" name="image199.jpeg"/>
                    <pic:cNvPicPr/>
                  </pic:nvPicPr>
                  <pic:blipFill>
                    <a:blip r:embed="rId243" cstate="print"/>
                    <a:stretch>
                      <a:fillRect/>
                    </a:stretch>
                  </pic:blipFill>
                  <pic:spPr>
                    <a:xfrm>
                      <a:off x="0" y="0"/>
                      <a:ext cx="2828924" cy="457200"/>
                    </a:xfrm>
                    <a:prstGeom prst="rect">
                      <a:avLst/>
                    </a:prstGeom>
                  </pic:spPr>
                </pic:pic>
              </a:graphicData>
            </a:graphic>
          </wp:anchor>
        </w:drawing>
      </w:r>
    </w:p>
    <w:p>
      <w:pPr>
        <w:pStyle w:val="BodyText"/>
        <w:rPr>
          <w:sz w:val="20"/>
        </w:rPr>
      </w:pPr>
    </w:p>
    <w:p>
      <w:pPr>
        <w:pStyle w:val="BodyText"/>
        <w:rPr>
          <w:sz w:val="20"/>
        </w:rPr>
      </w:pPr>
    </w:p>
    <w:p>
      <w:pPr>
        <w:pStyle w:val="BodyText"/>
        <w:spacing w:before="11"/>
        <w:rPr>
          <w:sz w:val="14"/>
        </w:rPr>
      </w:pPr>
    </w:p>
    <w:p>
      <w:pPr>
        <w:pStyle w:val="BodyText"/>
        <w:spacing w:line="424" w:lineRule="auto" w:before="71"/>
        <w:ind w:left="1469" w:right="5862" w:hanging="632"/>
        <w:jc w:val="both"/>
      </w:pPr>
      <w:r>
        <w:rPr>
          <w:spacing w:val="-1"/>
          <w:w w:val="100"/>
          <w:position w:val="1"/>
        </w:rPr>
        <w:t>式中  </w:t>
      </w:r>
      <w:r>
        <w:rPr>
          <w:i/>
          <w:w w:val="96"/>
          <w:position w:val="1"/>
          <w:sz w:val="22"/>
        </w:rPr>
        <w:t> F</w:t>
      </w:r>
      <w:r>
        <w:rPr>
          <w:i/>
          <w:spacing w:val="-3"/>
          <w:w w:val="100"/>
          <w:sz w:val="11"/>
        </w:rPr>
        <w:t>k</w:t>
      </w:r>
      <w:r>
        <w:rPr>
          <w:spacing w:val="-3"/>
          <w:w w:val="100"/>
          <w:position w:val="1"/>
        </w:rPr>
        <w:t>——减压孔板孔口面积</w:t>
      </w:r>
      <w:r>
        <w:rPr>
          <w:w w:val="100"/>
          <w:position w:val="1"/>
        </w:rPr>
        <w:t>（c</w:t>
      </w:r>
      <w:r>
        <w:rPr>
          <w:spacing w:val="-3"/>
          <w:w w:val="100"/>
          <w:position w:val="1"/>
        </w:rPr>
        <w:t>m</w:t>
      </w:r>
      <w:r>
        <w:rPr>
          <w:w w:val="100"/>
          <w:position w:val="1"/>
        </w:rPr>
        <w:t>²</w:t>
      </w:r>
      <w:r>
        <w:rPr>
          <w:spacing w:val="-106"/>
          <w:w w:val="100"/>
          <w:position w:val="1"/>
        </w:rPr>
        <w:t>）</w:t>
      </w:r>
      <w:r>
        <w:rPr>
          <w:spacing w:val="-3"/>
          <w:w w:val="100"/>
          <w:position w:val="1"/>
        </w:rPr>
        <w:t>；</w:t>
      </w:r>
      <w:r>
        <w:rPr>
          <w:w w:val="100"/>
          <w:position w:val="1"/>
        </w:rPr>
        <w:t> </w:t>
      </w:r>
      <w:r>
        <w:rPr>
          <w:i/>
          <w:w w:val="96"/>
          <w:position w:val="1"/>
          <w:sz w:val="22"/>
        </w:rPr>
        <w:t>Q</w:t>
      </w:r>
      <w:r>
        <w:rPr>
          <w:i/>
          <w:w w:val="100"/>
          <w:sz w:val="11"/>
        </w:rPr>
        <w:t>k</w:t>
      </w:r>
      <w:r>
        <w:rPr>
          <w:spacing w:val="-3"/>
          <w:w w:val="100"/>
          <w:position w:val="1"/>
        </w:rPr>
        <w:t>——减压孔板设计流量</w:t>
      </w:r>
      <w:r>
        <w:rPr>
          <w:w w:val="100"/>
          <w:position w:val="1"/>
        </w:rPr>
        <w:t>（kg/</w:t>
      </w:r>
      <w:r>
        <w:rPr>
          <w:spacing w:val="-3"/>
          <w:w w:val="100"/>
          <w:position w:val="1"/>
        </w:rPr>
        <w:t>s</w:t>
      </w:r>
      <w:r>
        <w:rPr>
          <w:spacing w:val="-106"/>
          <w:w w:val="100"/>
          <w:position w:val="1"/>
        </w:rPr>
        <w:t>）</w:t>
      </w:r>
      <w:r>
        <w:rPr>
          <w:spacing w:val="-3"/>
          <w:w w:val="100"/>
          <w:position w:val="1"/>
        </w:rPr>
        <w:t>；</w:t>
      </w:r>
      <w:r>
        <w:rPr>
          <w:w w:val="100"/>
          <w:position w:val="1"/>
        </w:rPr>
        <w:t> </w:t>
      </w:r>
      <w:r>
        <w:rPr>
          <w:i/>
          <w:position w:val="1"/>
          <w:sz w:val="22"/>
        </w:rPr>
        <w:t>μ</w:t>
      </w:r>
      <w:r>
        <w:rPr>
          <w:i/>
          <w:sz w:val="11"/>
        </w:rPr>
        <w:t>k</w:t>
      </w:r>
      <w:r>
        <w:rPr>
          <w:spacing w:val="-3"/>
          <w:position w:val="1"/>
        </w:rPr>
        <w:t>——减压孔板流量系数。 </w:t>
      </w:r>
    </w:p>
    <w:p>
      <w:pPr>
        <w:spacing w:after="0" w:line="424" w:lineRule="auto"/>
        <w:jc w:val="both"/>
        <w:sectPr>
          <w:pgSz w:w="11910" w:h="16850"/>
          <w:pgMar w:header="0" w:footer="1239" w:top="1080" w:bottom="1420" w:left="1260" w:right="0"/>
        </w:sectPr>
      </w:pPr>
    </w:p>
    <w:p>
      <w:pPr>
        <w:pStyle w:val="ListParagraph"/>
        <w:numPr>
          <w:ilvl w:val="0"/>
          <w:numId w:val="370"/>
        </w:numPr>
        <w:tabs>
          <w:tab w:pos="1367" w:val="left" w:leader="none"/>
        </w:tabs>
        <w:spacing w:line="446" w:lineRule="auto" w:before="47" w:after="0"/>
        <w:ind w:left="418" w:right="1436" w:firstLine="419"/>
        <w:jc w:val="left"/>
        <w:rPr>
          <w:sz w:val="21"/>
        </w:rPr>
      </w:pPr>
      <w:r>
        <w:rPr>
          <w:spacing w:val="-6"/>
          <w:sz w:val="21"/>
        </w:rPr>
        <w:t>系统的阻力损失宜从减压孔板后算起，并按下列公式计算，压力系数和密度系数，应</w:t>
      </w:r>
      <w:r>
        <w:rPr>
          <w:spacing w:val="-8"/>
          <w:sz w:val="21"/>
        </w:rPr>
        <w:t>依据计算点压力按本规范附录 </w:t>
      </w:r>
      <w:r>
        <w:rPr>
          <w:sz w:val="21"/>
        </w:rPr>
        <w:t>E</w:t>
      </w:r>
      <w:r>
        <w:rPr>
          <w:spacing w:val="-16"/>
          <w:sz w:val="21"/>
        </w:rPr>
        <w:t> 确定。</w:t>
      </w:r>
      <w:r>
        <w:rPr>
          <w:sz w:val="21"/>
        </w:rPr>
        <w:t> </w:t>
      </w:r>
    </w:p>
    <w:p>
      <w:pPr>
        <w:pStyle w:val="BodyText"/>
        <w:spacing w:before="10"/>
      </w:pPr>
      <w:r>
        <w:rPr/>
        <w:drawing>
          <wp:anchor distT="0" distB="0" distL="0" distR="0" allowOverlap="1" layoutInCell="1" locked="0" behindDoc="0" simplePos="0" relativeHeight="148">
            <wp:simplePos x="0" y="0"/>
            <wp:positionH relativeFrom="page">
              <wp:posOffset>1408430</wp:posOffset>
            </wp:positionH>
            <wp:positionV relativeFrom="paragraph">
              <wp:posOffset>202112</wp:posOffset>
            </wp:positionV>
            <wp:extent cx="3581400" cy="352425"/>
            <wp:effectExtent l="0" t="0" r="0" b="0"/>
            <wp:wrapTopAndBottom/>
            <wp:docPr id="327" name="image200.jpeg"/>
            <wp:cNvGraphicFramePr>
              <a:graphicFrameLocks noChangeAspect="1"/>
            </wp:cNvGraphicFramePr>
            <a:graphic>
              <a:graphicData uri="http://schemas.openxmlformats.org/drawingml/2006/picture">
                <pic:pic>
                  <pic:nvPicPr>
                    <pic:cNvPr id="328" name="image200.jpeg"/>
                    <pic:cNvPicPr/>
                  </pic:nvPicPr>
                  <pic:blipFill>
                    <a:blip r:embed="rId244" cstate="print"/>
                    <a:stretch>
                      <a:fillRect/>
                    </a:stretch>
                  </pic:blipFill>
                  <pic:spPr>
                    <a:xfrm>
                      <a:off x="0" y="0"/>
                      <a:ext cx="3581400" cy="352425"/>
                    </a:xfrm>
                    <a:prstGeom prst="rect">
                      <a:avLst/>
                    </a:prstGeom>
                  </pic:spPr>
                </pic:pic>
              </a:graphicData>
            </a:graphic>
          </wp:anchor>
        </w:drawing>
      </w:r>
    </w:p>
    <w:p>
      <w:pPr>
        <w:pStyle w:val="BodyText"/>
        <w:spacing w:before="166"/>
        <w:ind w:left="838"/>
      </w:pPr>
      <w:r>
        <w:rPr>
          <w:spacing w:val="-1"/>
          <w:w w:val="100"/>
        </w:rPr>
        <w:t>式中   </w:t>
      </w:r>
      <w:r>
        <w:rPr>
          <w:i/>
          <w:w w:val="96"/>
          <w:sz w:val="22"/>
        </w:rPr>
        <w:t>Q</w:t>
      </w:r>
      <w:r>
        <w:rPr>
          <w:spacing w:val="-3"/>
          <w:w w:val="100"/>
        </w:rPr>
        <w:t>——管道设计流量</w:t>
      </w:r>
      <w:r>
        <w:rPr>
          <w:w w:val="100"/>
        </w:rPr>
        <w:t>（k</w:t>
      </w:r>
      <w:r>
        <w:rPr>
          <w:spacing w:val="-3"/>
          <w:w w:val="100"/>
        </w:rPr>
        <w:t>g</w:t>
      </w:r>
      <w:r>
        <w:rPr>
          <w:w w:val="100"/>
        </w:rPr>
        <w:t>/</w:t>
      </w:r>
      <w:r>
        <w:rPr>
          <w:spacing w:val="-1"/>
          <w:w w:val="100"/>
        </w:rPr>
        <w:t>s</w:t>
      </w:r>
      <w:r>
        <w:rPr>
          <w:spacing w:val="-108"/>
          <w:w w:val="100"/>
        </w:rPr>
        <w:t>）</w:t>
      </w:r>
      <w:r>
        <w:rPr>
          <w:spacing w:val="-3"/>
          <w:w w:val="100"/>
        </w:rPr>
        <w:t>；</w:t>
      </w:r>
      <w:r>
        <w:rPr>
          <w:w w:val="100"/>
        </w:rPr>
        <w:t> </w:t>
      </w:r>
    </w:p>
    <w:p>
      <w:pPr>
        <w:pStyle w:val="BodyText"/>
        <w:spacing w:before="2"/>
        <w:rPr>
          <w:sz w:val="17"/>
        </w:rPr>
      </w:pPr>
    </w:p>
    <w:p>
      <w:pPr>
        <w:pStyle w:val="BodyText"/>
        <w:ind w:right="4767"/>
        <w:jc w:val="center"/>
      </w:pPr>
      <w:r>
        <w:rPr>
          <w:i/>
          <w:w w:val="96"/>
          <w:sz w:val="22"/>
        </w:rPr>
        <w:t>L</w:t>
      </w:r>
      <w:r>
        <w:rPr>
          <w:spacing w:val="-3"/>
          <w:w w:val="100"/>
        </w:rPr>
        <w:t>——管道计算长度</w:t>
      </w:r>
      <w:r>
        <w:rPr>
          <w:w w:val="100"/>
        </w:rPr>
        <w:t>（m</w:t>
      </w:r>
      <w:r>
        <w:rPr>
          <w:spacing w:val="-108"/>
          <w:w w:val="100"/>
        </w:rPr>
        <w:t>）</w:t>
      </w:r>
      <w:r>
        <w:rPr>
          <w:spacing w:val="-3"/>
          <w:w w:val="100"/>
        </w:rPr>
        <w:t>；</w:t>
      </w:r>
      <w:r>
        <w:rPr>
          <w:w w:val="100"/>
        </w:rPr>
        <w:t> </w:t>
      </w:r>
    </w:p>
    <w:p>
      <w:pPr>
        <w:pStyle w:val="BodyText"/>
        <w:spacing w:before="12"/>
        <w:rPr>
          <w:sz w:val="16"/>
        </w:rPr>
      </w:pPr>
    </w:p>
    <w:p>
      <w:pPr>
        <w:pStyle w:val="BodyText"/>
        <w:ind w:left="1469"/>
        <w:jc w:val="both"/>
      </w:pPr>
      <w:r>
        <w:rPr>
          <w:i/>
          <w:w w:val="96"/>
          <w:sz w:val="22"/>
        </w:rPr>
        <w:t>D</w:t>
      </w:r>
      <w:r>
        <w:rPr>
          <w:spacing w:val="-3"/>
          <w:w w:val="100"/>
        </w:rPr>
        <w:t>——管道内径</w:t>
      </w:r>
      <w:r>
        <w:rPr>
          <w:w w:val="100"/>
        </w:rPr>
        <w:t>（mm</w:t>
      </w:r>
      <w:r>
        <w:rPr>
          <w:spacing w:val="-108"/>
          <w:w w:val="100"/>
        </w:rPr>
        <w:t>）</w:t>
      </w:r>
      <w:r>
        <w:rPr>
          <w:spacing w:val="-3"/>
          <w:w w:val="100"/>
        </w:rPr>
        <w:t>；</w:t>
      </w:r>
      <w:r>
        <w:rPr>
          <w:w w:val="100"/>
        </w:rPr>
        <w:t> </w:t>
      </w:r>
    </w:p>
    <w:p>
      <w:pPr>
        <w:pStyle w:val="BodyText"/>
        <w:rPr>
          <w:sz w:val="17"/>
        </w:rPr>
      </w:pPr>
    </w:p>
    <w:p>
      <w:pPr>
        <w:pStyle w:val="BodyText"/>
        <w:spacing w:line="424" w:lineRule="auto"/>
        <w:ind w:left="1469" w:right="4491"/>
        <w:jc w:val="both"/>
      </w:pPr>
      <w:r>
        <w:rPr/>
        <w:pict>
          <v:shape style="position:absolute;margin-left:141.740005pt;margin-top:6.736274pt;width:2.8pt;height:5.55pt;mso-position-horizontal-relative:page;mso-position-vertical-relative:paragraph;z-index:-287528960" type="#_x0000_t202" filled="false" stroked="false">
            <v:textbox inset="0,0,0,0">
              <w:txbxContent>
                <w:p>
                  <w:pPr>
                    <w:spacing w:line="110" w:lineRule="exact" w:before="0"/>
                    <w:ind w:left="0" w:right="0" w:firstLine="0"/>
                    <w:jc w:val="left"/>
                    <w:rPr>
                      <w:sz w:val="11"/>
                    </w:rPr>
                  </w:pPr>
                  <w:r>
                    <w:rPr>
                      <w:w w:val="100"/>
                      <w:sz w:val="11"/>
                    </w:rPr>
                    <w:t>1</w:t>
                  </w:r>
                </w:p>
              </w:txbxContent>
            </v:textbox>
            <w10:wrap type="none"/>
          </v:shape>
        </w:pict>
      </w:r>
      <w:r>
        <w:rPr/>
        <w:pict>
          <v:shape style="position:absolute;margin-left:141.740005pt;margin-top:31.816275pt;width:2.8pt;height:5.55pt;mso-position-horizontal-relative:page;mso-position-vertical-relative:paragraph;z-index:-287527936" type="#_x0000_t202" filled="false" stroked="false">
            <v:textbox inset="0,0,0,0">
              <w:txbxContent>
                <w:p>
                  <w:pPr>
                    <w:spacing w:line="110" w:lineRule="exact" w:before="0"/>
                    <w:ind w:left="0" w:right="0" w:firstLine="0"/>
                    <w:jc w:val="left"/>
                    <w:rPr>
                      <w:sz w:val="11"/>
                    </w:rPr>
                  </w:pPr>
                  <w:r>
                    <w:rPr>
                      <w:w w:val="100"/>
                      <w:sz w:val="11"/>
                    </w:rPr>
                    <w:t>2</w:t>
                  </w:r>
                </w:p>
              </w:txbxContent>
            </v:textbox>
            <w10:wrap type="none"/>
          </v:shape>
        </w:pict>
      </w:r>
      <w:r>
        <w:rPr>
          <w:i/>
          <w:w w:val="96"/>
          <w:sz w:val="22"/>
        </w:rPr>
        <w:t>Y</w:t>
      </w:r>
      <w:r>
        <w:rPr>
          <w:i/>
          <w:spacing w:val="-55"/>
          <w:sz w:val="22"/>
        </w:rPr>
        <w:t> </w:t>
      </w:r>
      <w:r>
        <w:rPr>
          <w:spacing w:val="-3"/>
          <w:w w:val="100"/>
        </w:rPr>
        <w:t>——计算管段始端压力系数（</w:t>
      </w:r>
      <w:r>
        <w:rPr>
          <w:w w:val="100"/>
        </w:rPr>
        <w:t>10</w:t>
      </w:r>
      <w:r>
        <w:rPr>
          <w:w w:val="100"/>
          <w:position w:val="11"/>
          <w:sz w:val="11"/>
        </w:rPr>
        <w:t>-1</w:t>
      </w:r>
      <w:r>
        <w:rPr>
          <w:spacing w:val="-3"/>
          <w:w w:val="100"/>
        </w:rPr>
        <w:t>M</w:t>
      </w:r>
      <w:r>
        <w:rPr>
          <w:w w:val="100"/>
        </w:rPr>
        <w:t>P</w:t>
      </w:r>
      <w:r>
        <w:rPr>
          <w:spacing w:val="-1"/>
          <w:w w:val="100"/>
        </w:rPr>
        <w:t>a</w:t>
      </w:r>
      <w:r>
        <w:rPr>
          <w:spacing w:val="-2"/>
          <w:w w:val="100"/>
        </w:rPr>
        <w:t>·</w:t>
      </w:r>
      <w:r>
        <w:rPr>
          <w:w w:val="100"/>
        </w:rPr>
        <w:t>kg/</w:t>
      </w:r>
      <w:r>
        <w:rPr>
          <w:spacing w:val="-3"/>
          <w:w w:val="100"/>
        </w:rPr>
        <w:t>m</w:t>
      </w:r>
      <w:r>
        <w:rPr>
          <w:w w:val="100"/>
        </w:rPr>
        <w:t>³</w:t>
      </w:r>
      <w:r>
        <w:rPr>
          <w:spacing w:val="-106"/>
          <w:w w:val="100"/>
        </w:rPr>
        <w:t>）</w:t>
      </w:r>
      <w:r>
        <w:rPr>
          <w:spacing w:val="-3"/>
          <w:w w:val="100"/>
        </w:rPr>
        <w:t>；</w:t>
      </w:r>
      <w:r>
        <w:rPr>
          <w:w w:val="100"/>
        </w:rPr>
        <w:t> </w:t>
      </w:r>
      <w:r>
        <w:rPr>
          <w:i/>
          <w:w w:val="96"/>
          <w:sz w:val="22"/>
        </w:rPr>
        <w:t>Y</w:t>
      </w:r>
      <w:r>
        <w:rPr>
          <w:i/>
          <w:spacing w:val="-55"/>
          <w:sz w:val="22"/>
        </w:rPr>
        <w:t> </w:t>
      </w:r>
      <w:r>
        <w:rPr>
          <w:spacing w:val="-3"/>
          <w:w w:val="100"/>
        </w:rPr>
        <w:t>——计算管段末端压力系数（</w:t>
      </w:r>
      <w:r>
        <w:rPr>
          <w:w w:val="100"/>
        </w:rPr>
        <w:t>10</w:t>
      </w:r>
      <w:r>
        <w:rPr>
          <w:w w:val="100"/>
          <w:position w:val="11"/>
          <w:sz w:val="11"/>
        </w:rPr>
        <w:t>-1</w:t>
      </w:r>
      <w:r>
        <w:rPr>
          <w:spacing w:val="-3"/>
          <w:w w:val="100"/>
        </w:rPr>
        <w:t>M</w:t>
      </w:r>
      <w:r>
        <w:rPr>
          <w:w w:val="100"/>
        </w:rPr>
        <w:t>P</w:t>
      </w:r>
      <w:r>
        <w:rPr>
          <w:spacing w:val="-1"/>
          <w:w w:val="100"/>
        </w:rPr>
        <w:t>a</w:t>
      </w:r>
      <w:r>
        <w:rPr>
          <w:spacing w:val="-2"/>
          <w:w w:val="100"/>
        </w:rPr>
        <w:t>·</w:t>
      </w:r>
      <w:r>
        <w:rPr>
          <w:w w:val="100"/>
        </w:rPr>
        <w:t>kg/</w:t>
      </w:r>
      <w:r>
        <w:rPr>
          <w:spacing w:val="-3"/>
          <w:w w:val="100"/>
        </w:rPr>
        <w:t>m</w:t>
      </w:r>
      <w:r>
        <w:rPr>
          <w:w w:val="100"/>
        </w:rPr>
        <w:t>³</w:t>
      </w:r>
      <w:r>
        <w:rPr>
          <w:spacing w:val="-106"/>
          <w:w w:val="100"/>
        </w:rPr>
        <w:t>）</w:t>
      </w:r>
      <w:r>
        <w:rPr>
          <w:spacing w:val="-3"/>
          <w:w w:val="100"/>
        </w:rPr>
        <w:t>；</w:t>
      </w:r>
      <w:r>
        <w:rPr>
          <w:w w:val="100"/>
        </w:rPr>
        <w:t> </w:t>
      </w:r>
      <w:r>
        <w:rPr>
          <w:i/>
          <w:position w:val="1"/>
          <w:sz w:val="22"/>
        </w:rPr>
        <w:t>Z</w:t>
      </w:r>
      <w:r>
        <w:rPr>
          <w:sz w:val="11"/>
        </w:rPr>
        <w:t>1</w:t>
      </w:r>
      <w:r>
        <w:rPr>
          <w:spacing w:val="-3"/>
          <w:position w:val="1"/>
        </w:rPr>
        <w:t>——计算管段始端密度系数；</w:t>
      </w:r>
      <w:r>
        <w:rPr>
          <w:position w:val="1"/>
        </w:rPr>
        <w:t> </w:t>
      </w:r>
    </w:p>
    <w:p>
      <w:pPr>
        <w:pStyle w:val="BodyText"/>
        <w:spacing w:before="3"/>
        <w:ind w:right="4707"/>
        <w:jc w:val="center"/>
      </w:pPr>
      <w:r>
        <w:rPr>
          <w:i/>
          <w:position w:val="1"/>
          <w:sz w:val="22"/>
        </w:rPr>
        <w:t>Z</w:t>
      </w:r>
      <w:r>
        <w:rPr>
          <w:sz w:val="11"/>
        </w:rPr>
        <w:t>2</w:t>
      </w:r>
      <w:r>
        <w:rPr>
          <w:position w:val="1"/>
        </w:rPr>
        <w:t>——计算管段末端密度系数。 </w:t>
      </w:r>
    </w:p>
    <w:p>
      <w:pPr>
        <w:pStyle w:val="BodyText"/>
        <w:spacing w:before="12"/>
        <w:rPr>
          <w:sz w:val="17"/>
        </w:rPr>
      </w:pPr>
    </w:p>
    <w:p>
      <w:pPr>
        <w:pStyle w:val="ListParagraph"/>
        <w:numPr>
          <w:ilvl w:val="2"/>
          <w:numId w:val="367"/>
        </w:numPr>
        <w:tabs>
          <w:tab w:pos="1371" w:val="left" w:leader="none"/>
        </w:tabs>
        <w:spacing w:line="240" w:lineRule="auto" w:before="0" w:after="0"/>
        <w:ind w:left="1370" w:right="0" w:hanging="531"/>
        <w:jc w:val="left"/>
        <w:rPr>
          <w:sz w:val="21"/>
        </w:rPr>
      </w:pPr>
      <w:r>
        <w:rPr>
          <w:sz w:val="21"/>
        </w:rPr>
        <w:t>IG541</w:t>
      </w:r>
      <w:r>
        <w:rPr>
          <w:spacing w:val="-9"/>
          <w:sz w:val="21"/>
        </w:rPr>
        <w:t> 混合气体灭火系统的喷头工作压力的计算结果，应符合下列规定： </w:t>
      </w:r>
    </w:p>
    <w:p>
      <w:pPr>
        <w:pStyle w:val="BodyText"/>
        <w:rPr>
          <w:sz w:val="18"/>
        </w:rPr>
      </w:pPr>
    </w:p>
    <w:p>
      <w:pPr>
        <w:pStyle w:val="ListParagraph"/>
        <w:numPr>
          <w:ilvl w:val="0"/>
          <w:numId w:val="371"/>
        </w:numPr>
        <w:tabs>
          <w:tab w:pos="1367" w:val="left" w:leader="none"/>
        </w:tabs>
        <w:spacing w:line="240" w:lineRule="auto" w:before="0" w:after="0"/>
        <w:ind w:left="1367" w:right="0" w:hanging="529"/>
        <w:jc w:val="left"/>
        <w:rPr>
          <w:sz w:val="21"/>
        </w:rPr>
      </w:pPr>
      <w:r>
        <w:rPr>
          <w:spacing w:val="-3"/>
          <w:w w:val="100"/>
          <w:sz w:val="21"/>
        </w:rPr>
        <w:t>一级充压</w:t>
      </w:r>
      <w:r>
        <w:rPr>
          <w:spacing w:val="-1"/>
          <w:w w:val="100"/>
          <w:sz w:val="21"/>
        </w:rPr>
        <w:t>（</w:t>
      </w:r>
      <w:r>
        <w:rPr>
          <w:w w:val="100"/>
          <w:sz w:val="21"/>
        </w:rPr>
        <w:t>15</w:t>
      </w:r>
      <w:r>
        <w:rPr>
          <w:spacing w:val="-3"/>
          <w:w w:val="100"/>
          <w:sz w:val="21"/>
        </w:rPr>
        <w:t>M</w:t>
      </w:r>
      <w:r>
        <w:rPr>
          <w:w w:val="100"/>
          <w:sz w:val="21"/>
        </w:rPr>
        <w:t>Pa</w:t>
      </w:r>
      <w:r>
        <w:rPr>
          <w:spacing w:val="-3"/>
          <w:w w:val="100"/>
          <w:sz w:val="21"/>
        </w:rPr>
        <w:t>）</w:t>
      </w:r>
      <w:r>
        <w:rPr>
          <w:spacing w:val="-1"/>
          <w:w w:val="100"/>
          <w:sz w:val="21"/>
        </w:rPr>
        <w:t>系统， </w:t>
      </w:r>
      <w:r>
        <w:rPr>
          <w:w w:val="100"/>
          <w:sz w:val="21"/>
        </w:rPr>
        <w:t>P</w:t>
      </w:r>
      <w:r>
        <w:rPr>
          <w:spacing w:val="-3"/>
          <w:w w:val="100"/>
          <w:sz w:val="21"/>
        </w:rPr>
        <w:t>c</w:t>
      </w:r>
      <w:r>
        <w:rPr>
          <w:w w:val="100"/>
          <w:sz w:val="21"/>
        </w:rPr>
        <w:t>≥2.</w:t>
      </w:r>
      <w:r>
        <w:rPr>
          <w:spacing w:val="-3"/>
          <w:w w:val="100"/>
          <w:sz w:val="21"/>
        </w:rPr>
        <w:t>0</w:t>
      </w:r>
      <w:r>
        <w:rPr>
          <w:w w:val="100"/>
          <w:sz w:val="21"/>
        </w:rPr>
        <w:t>（M</w:t>
      </w:r>
      <w:r>
        <w:rPr>
          <w:spacing w:val="-3"/>
          <w:w w:val="100"/>
          <w:sz w:val="21"/>
        </w:rPr>
        <w:t>P</w:t>
      </w:r>
      <w:r>
        <w:rPr>
          <w:w w:val="100"/>
          <w:sz w:val="21"/>
        </w:rPr>
        <w:t>a</w:t>
      </w:r>
      <w:r>
        <w:rPr>
          <w:spacing w:val="-3"/>
          <w:w w:val="100"/>
          <w:sz w:val="21"/>
        </w:rPr>
        <w:t>，绝对压力</w:t>
      </w:r>
      <w:r>
        <w:rPr>
          <w:spacing w:val="-106"/>
          <w:w w:val="100"/>
          <w:sz w:val="21"/>
        </w:rPr>
        <w:t>）</w:t>
      </w:r>
      <w:r>
        <w:rPr>
          <w:spacing w:val="-3"/>
          <w:w w:val="100"/>
          <w:sz w:val="21"/>
        </w:rPr>
        <w:t>；</w:t>
      </w:r>
      <w:r>
        <w:rPr>
          <w:w w:val="100"/>
          <w:sz w:val="21"/>
        </w:rPr>
        <w:t> </w:t>
      </w:r>
    </w:p>
    <w:p>
      <w:pPr>
        <w:pStyle w:val="BodyText"/>
        <w:rPr>
          <w:sz w:val="18"/>
        </w:rPr>
      </w:pPr>
    </w:p>
    <w:p>
      <w:pPr>
        <w:pStyle w:val="ListParagraph"/>
        <w:numPr>
          <w:ilvl w:val="0"/>
          <w:numId w:val="371"/>
        </w:numPr>
        <w:tabs>
          <w:tab w:pos="1367" w:val="left" w:leader="none"/>
        </w:tabs>
        <w:spacing w:line="446" w:lineRule="auto" w:before="0" w:after="0"/>
        <w:ind w:left="840" w:right="4028" w:hanging="3"/>
        <w:jc w:val="left"/>
        <w:rPr>
          <w:sz w:val="21"/>
        </w:rPr>
      </w:pPr>
      <w:r>
        <w:rPr>
          <w:spacing w:val="-3"/>
          <w:sz w:val="21"/>
        </w:rPr>
        <w:t>二级充压</w:t>
      </w:r>
      <w:r>
        <w:rPr>
          <w:sz w:val="21"/>
        </w:rPr>
        <w:t>（20MPa）系统， Pc≥2.1（MPa</w:t>
      </w:r>
      <w:r>
        <w:rPr>
          <w:spacing w:val="-3"/>
          <w:sz w:val="21"/>
        </w:rPr>
        <w:t>，绝对压力</w:t>
      </w:r>
      <w:r>
        <w:rPr>
          <w:spacing w:val="-106"/>
          <w:sz w:val="21"/>
        </w:rPr>
        <w:t>）</w:t>
      </w:r>
      <w:r>
        <w:rPr>
          <w:spacing w:val="-3"/>
          <w:sz w:val="21"/>
        </w:rPr>
        <w:t>。</w:t>
      </w:r>
      <w:r>
        <w:rPr>
          <w:b/>
          <w:sz w:val="21"/>
        </w:rPr>
        <w:t>3.4.10 </w:t>
      </w:r>
      <w:r>
        <w:rPr>
          <w:spacing w:val="-3"/>
          <w:sz w:val="21"/>
        </w:rPr>
        <w:t>喷头等效孔口面积，应按下式计算：</w:t>
      </w:r>
      <w:r>
        <w:rPr>
          <w:sz w:val="21"/>
        </w:rPr>
        <w:t> </w:t>
      </w:r>
    </w:p>
    <w:p>
      <w:pPr>
        <w:pStyle w:val="BodyText"/>
        <w:spacing w:before="4"/>
        <w:rPr>
          <w:sz w:val="23"/>
        </w:rPr>
      </w:pPr>
      <w:r>
        <w:rPr/>
        <w:drawing>
          <wp:anchor distT="0" distB="0" distL="0" distR="0" allowOverlap="1" layoutInCell="1" locked="0" behindDoc="0" simplePos="0" relativeHeight="149">
            <wp:simplePos x="0" y="0"/>
            <wp:positionH relativeFrom="page">
              <wp:posOffset>2418714</wp:posOffset>
            </wp:positionH>
            <wp:positionV relativeFrom="paragraph">
              <wp:posOffset>214641</wp:posOffset>
            </wp:positionV>
            <wp:extent cx="2954772" cy="457200"/>
            <wp:effectExtent l="0" t="0" r="0" b="0"/>
            <wp:wrapTopAndBottom/>
            <wp:docPr id="329" name="image201.jpeg"/>
            <wp:cNvGraphicFramePr>
              <a:graphicFrameLocks noChangeAspect="1"/>
            </wp:cNvGraphicFramePr>
            <a:graphic>
              <a:graphicData uri="http://schemas.openxmlformats.org/drawingml/2006/picture">
                <pic:pic>
                  <pic:nvPicPr>
                    <pic:cNvPr id="330" name="image201.jpeg"/>
                    <pic:cNvPicPr/>
                  </pic:nvPicPr>
                  <pic:blipFill>
                    <a:blip r:embed="rId245" cstate="print"/>
                    <a:stretch>
                      <a:fillRect/>
                    </a:stretch>
                  </pic:blipFill>
                  <pic:spPr>
                    <a:xfrm>
                      <a:off x="0" y="0"/>
                      <a:ext cx="2954772" cy="457200"/>
                    </a:xfrm>
                    <a:prstGeom prst="rect">
                      <a:avLst/>
                    </a:prstGeom>
                  </pic:spPr>
                </pic:pic>
              </a:graphicData>
            </a:graphic>
          </wp:anchor>
        </w:drawing>
      </w:r>
    </w:p>
    <w:p>
      <w:pPr>
        <w:pStyle w:val="BodyText"/>
        <w:spacing w:before="1"/>
        <w:rPr>
          <w:sz w:val="11"/>
        </w:rPr>
      </w:pPr>
    </w:p>
    <w:p>
      <w:pPr>
        <w:pStyle w:val="BodyText"/>
        <w:spacing w:before="71"/>
        <w:ind w:left="838"/>
      </w:pPr>
      <w:r>
        <w:rPr>
          <w:spacing w:val="-1"/>
          <w:w w:val="100"/>
          <w:position w:val="1"/>
        </w:rPr>
        <w:t>式中  </w:t>
      </w:r>
      <w:r>
        <w:rPr>
          <w:i/>
          <w:w w:val="96"/>
          <w:position w:val="1"/>
          <w:sz w:val="22"/>
        </w:rPr>
        <w:t> F</w:t>
      </w:r>
      <w:r>
        <w:rPr>
          <w:i/>
          <w:spacing w:val="-3"/>
          <w:w w:val="100"/>
          <w:sz w:val="11"/>
        </w:rPr>
        <w:t>C</w:t>
      </w:r>
      <w:r>
        <w:rPr>
          <w:spacing w:val="-3"/>
          <w:w w:val="100"/>
          <w:position w:val="1"/>
        </w:rPr>
        <w:t>——喷头等效孔口面积</w:t>
      </w:r>
      <w:r>
        <w:rPr>
          <w:w w:val="100"/>
          <w:position w:val="1"/>
        </w:rPr>
        <w:t>（c</w:t>
      </w:r>
      <w:r>
        <w:rPr>
          <w:spacing w:val="-3"/>
          <w:w w:val="100"/>
          <w:position w:val="1"/>
        </w:rPr>
        <w:t>m</w:t>
      </w:r>
      <w:r>
        <w:rPr>
          <w:w w:val="100"/>
          <w:position w:val="1"/>
        </w:rPr>
        <w:t>²</w:t>
      </w:r>
      <w:r>
        <w:rPr>
          <w:spacing w:val="-106"/>
          <w:w w:val="100"/>
          <w:position w:val="1"/>
        </w:rPr>
        <w:t>）</w:t>
      </w:r>
      <w:r>
        <w:rPr>
          <w:spacing w:val="-3"/>
          <w:w w:val="100"/>
          <w:position w:val="1"/>
        </w:rPr>
        <w:t>；</w:t>
      </w:r>
      <w:r>
        <w:rPr>
          <w:w w:val="100"/>
          <w:position w:val="1"/>
        </w:rPr>
        <w:t> </w:t>
      </w:r>
    </w:p>
    <w:p>
      <w:pPr>
        <w:pStyle w:val="BodyText"/>
        <w:rPr>
          <w:sz w:val="17"/>
        </w:rPr>
      </w:pPr>
    </w:p>
    <w:p>
      <w:pPr>
        <w:pStyle w:val="BodyText"/>
        <w:spacing w:line="436" w:lineRule="auto"/>
        <w:ind w:left="840" w:right="1815" w:firstLine="628"/>
      </w:pPr>
      <w:r>
        <w:rPr>
          <w:i/>
          <w:position w:val="1"/>
          <w:sz w:val="22"/>
        </w:rPr>
        <w:t>q</w:t>
      </w:r>
      <w:r>
        <w:rPr>
          <w:i/>
          <w:sz w:val="11"/>
        </w:rPr>
        <w:t>c</w:t>
      </w:r>
      <w:r>
        <w:rPr>
          <w:position w:val="1"/>
        </w:rPr>
        <w:t>——等效孔口单位面积喷射率[kg/（s·cm²）]，可按本规范附录 F 采用。</w:t>
      </w:r>
      <w:r>
        <w:rPr>
          <w:b/>
        </w:rPr>
        <w:t>3.4.11 </w:t>
      </w:r>
      <w:r>
        <w:rPr/>
        <w:t>喷头的实际孔口面积，应经试验确定，喷头规格应符合本规范附录 D 的规定。 </w:t>
      </w:r>
    </w:p>
    <w:p>
      <w:pPr>
        <w:pStyle w:val="ListParagraph"/>
        <w:numPr>
          <w:ilvl w:val="1"/>
          <w:numId w:val="372"/>
        </w:numPr>
        <w:tabs>
          <w:tab w:pos="1266" w:val="left" w:leader="none"/>
        </w:tabs>
        <w:spacing w:line="286" w:lineRule="exact" w:before="0" w:after="0"/>
        <w:ind w:left="1265" w:right="0" w:hanging="366"/>
        <w:jc w:val="left"/>
        <w:rPr>
          <w:b/>
          <w:sz w:val="21"/>
        </w:rPr>
      </w:pPr>
      <w:r>
        <w:rPr>
          <w:spacing w:val="-3"/>
          <w:sz w:val="21"/>
        </w:rPr>
        <w:t>热气溶胶预制灭火系统</w:t>
      </w:r>
      <w:r>
        <w:rPr>
          <w:b/>
          <w:spacing w:val="-3"/>
          <w:w w:val="99"/>
          <w:sz w:val="21"/>
        </w:rPr>
        <w:t> </w:t>
      </w:r>
    </w:p>
    <w:p>
      <w:pPr>
        <w:pStyle w:val="BodyText"/>
        <w:spacing w:before="4"/>
        <w:rPr>
          <w:b/>
          <w:sz w:val="17"/>
        </w:rPr>
      </w:pPr>
    </w:p>
    <w:p>
      <w:pPr>
        <w:pStyle w:val="ListParagraph"/>
        <w:numPr>
          <w:ilvl w:val="2"/>
          <w:numId w:val="372"/>
        </w:numPr>
        <w:tabs>
          <w:tab w:pos="1370" w:val="left" w:leader="none"/>
        </w:tabs>
        <w:spacing w:line="240" w:lineRule="auto" w:before="0" w:after="0"/>
        <w:ind w:left="1369" w:right="0" w:hanging="530"/>
        <w:jc w:val="left"/>
        <w:rPr>
          <w:sz w:val="21"/>
        </w:rPr>
      </w:pPr>
      <w:r>
        <w:rPr>
          <w:spacing w:val="-5"/>
          <w:sz w:val="21"/>
        </w:rPr>
        <w:t>热气溶胶预制灭火系统的灭火设计密度不应小于灭火密度的 </w:t>
      </w:r>
      <w:r>
        <w:rPr>
          <w:sz w:val="21"/>
        </w:rPr>
        <w:t>1.3</w:t>
      </w:r>
      <w:r>
        <w:rPr>
          <w:spacing w:val="-18"/>
          <w:sz w:val="21"/>
        </w:rPr>
        <w:t> 倍。 </w:t>
      </w:r>
    </w:p>
    <w:p>
      <w:pPr>
        <w:pStyle w:val="BodyText"/>
        <w:spacing w:before="1"/>
        <w:rPr>
          <w:sz w:val="18"/>
        </w:rPr>
      </w:pPr>
    </w:p>
    <w:p>
      <w:pPr>
        <w:pStyle w:val="ListParagraph"/>
        <w:numPr>
          <w:ilvl w:val="2"/>
          <w:numId w:val="372"/>
        </w:numPr>
        <w:tabs>
          <w:tab w:pos="1371" w:val="left" w:leader="none"/>
        </w:tabs>
        <w:spacing w:line="240" w:lineRule="auto" w:before="1" w:after="0"/>
        <w:ind w:left="1370" w:right="0" w:hanging="531"/>
        <w:jc w:val="left"/>
        <w:rPr>
          <w:sz w:val="21"/>
        </w:rPr>
      </w:pPr>
      <w:r>
        <w:rPr>
          <w:sz w:val="21"/>
        </w:rPr>
        <w:t>S</w:t>
      </w:r>
      <w:r>
        <w:rPr>
          <w:spacing w:val="-2"/>
          <w:sz w:val="21"/>
        </w:rPr>
        <w:t> 型和</w:t>
      </w:r>
      <w:r>
        <w:rPr>
          <w:sz w:val="21"/>
        </w:rPr>
        <w:t>K</w:t>
      </w:r>
      <w:r>
        <w:rPr>
          <w:spacing w:val="-12"/>
          <w:sz w:val="21"/>
        </w:rPr>
        <w:t> 型热气溶胶灭固体表面火灾的灭火密度为 </w:t>
      </w:r>
      <w:r>
        <w:rPr>
          <w:sz w:val="21"/>
        </w:rPr>
        <w:t>100g/m³</w:t>
      </w:r>
      <w:r>
        <w:rPr>
          <w:spacing w:val="-3"/>
          <w:sz w:val="21"/>
        </w:rPr>
        <w:t>。</w:t>
      </w:r>
      <w:r>
        <w:rPr>
          <w:sz w:val="21"/>
        </w:rPr>
        <w:t> </w:t>
      </w:r>
    </w:p>
    <w:p>
      <w:pPr>
        <w:pStyle w:val="BodyText"/>
        <w:spacing w:before="12"/>
        <w:rPr>
          <w:sz w:val="17"/>
        </w:rPr>
      </w:pPr>
    </w:p>
    <w:p>
      <w:pPr>
        <w:pStyle w:val="ListParagraph"/>
        <w:numPr>
          <w:ilvl w:val="2"/>
          <w:numId w:val="372"/>
        </w:numPr>
        <w:tabs>
          <w:tab w:pos="1371" w:val="left" w:leader="none"/>
        </w:tabs>
        <w:spacing w:line="446" w:lineRule="auto" w:before="0" w:after="0"/>
        <w:ind w:left="418" w:right="1431" w:firstLine="422"/>
        <w:jc w:val="left"/>
        <w:rPr>
          <w:sz w:val="21"/>
        </w:rPr>
      </w:pPr>
      <w:r>
        <w:rPr>
          <w:spacing w:val="-7"/>
          <w:w w:val="100"/>
          <w:sz w:val="21"/>
        </w:rPr>
        <w:t>通讯机房和电子计算机房等场所的电气设备火灾，</w:t>
      </w:r>
      <w:r>
        <w:rPr>
          <w:w w:val="100"/>
          <w:sz w:val="21"/>
        </w:rPr>
        <w:t>S</w:t>
      </w:r>
      <w:r>
        <w:rPr>
          <w:spacing w:val="-55"/>
          <w:sz w:val="21"/>
        </w:rPr>
        <w:t> </w:t>
      </w:r>
      <w:r>
        <w:rPr>
          <w:spacing w:val="-3"/>
          <w:w w:val="100"/>
          <w:sz w:val="21"/>
        </w:rPr>
        <w:t>型热气溶胶的灭火设计密度不应小</w:t>
      </w:r>
      <w:r>
        <w:rPr>
          <w:spacing w:val="-28"/>
          <w:sz w:val="21"/>
        </w:rPr>
        <w:t>于 </w:t>
      </w:r>
      <w:r>
        <w:rPr>
          <w:sz w:val="21"/>
        </w:rPr>
        <w:t>130g/m³</w:t>
      </w:r>
      <w:r>
        <w:rPr>
          <w:spacing w:val="-3"/>
          <w:sz w:val="21"/>
        </w:rPr>
        <w:t>。</w:t>
      </w:r>
      <w:r>
        <w:rPr>
          <w:sz w:val="21"/>
        </w:rPr>
        <w:t> </w:t>
      </w:r>
    </w:p>
    <w:p>
      <w:pPr>
        <w:pStyle w:val="ListParagraph"/>
        <w:numPr>
          <w:ilvl w:val="2"/>
          <w:numId w:val="372"/>
        </w:numPr>
        <w:tabs>
          <w:tab w:pos="1370" w:val="left" w:leader="none"/>
        </w:tabs>
        <w:spacing w:line="446" w:lineRule="auto" w:before="0" w:after="0"/>
        <w:ind w:left="418" w:right="1431" w:firstLine="422"/>
        <w:jc w:val="left"/>
        <w:rPr>
          <w:sz w:val="21"/>
        </w:rPr>
      </w:pPr>
      <w:r>
        <w:rPr>
          <w:spacing w:val="-9"/>
          <w:sz w:val="21"/>
        </w:rPr>
        <w:t>电缆隧道</w:t>
      </w:r>
      <w:r>
        <w:rPr>
          <w:sz w:val="21"/>
        </w:rPr>
        <w:t>（</w:t>
      </w:r>
      <w:r>
        <w:rPr>
          <w:spacing w:val="-8"/>
          <w:sz w:val="21"/>
        </w:rPr>
        <w:t>夹层、井</w:t>
      </w:r>
      <w:r>
        <w:rPr>
          <w:spacing w:val="-25"/>
          <w:sz w:val="21"/>
        </w:rPr>
        <w:t>）</w:t>
      </w:r>
      <w:r>
        <w:rPr>
          <w:spacing w:val="-4"/>
          <w:sz w:val="21"/>
        </w:rPr>
        <w:t>及自备发电机房火灾，</w:t>
      </w:r>
      <w:r>
        <w:rPr>
          <w:spacing w:val="-11"/>
          <w:sz w:val="21"/>
        </w:rPr>
        <w:t>S</w:t>
      </w:r>
      <w:r>
        <w:rPr>
          <w:spacing w:val="4"/>
          <w:sz w:val="21"/>
        </w:rPr>
        <w:t> 型和</w:t>
      </w:r>
      <w:r>
        <w:rPr>
          <w:sz w:val="21"/>
        </w:rPr>
        <w:t>K</w:t>
      </w:r>
      <w:r>
        <w:rPr>
          <w:spacing w:val="-7"/>
          <w:sz w:val="21"/>
        </w:rPr>
        <w:t> 型热气溶胶的灭火设计密度不应</w:t>
      </w:r>
      <w:r>
        <w:rPr>
          <w:spacing w:val="-19"/>
          <w:sz w:val="21"/>
        </w:rPr>
        <w:t>小于 </w:t>
      </w:r>
      <w:r>
        <w:rPr>
          <w:sz w:val="21"/>
        </w:rPr>
        <w:t>140g/m³</w:t>
      </w:r>
      <w:r>
        <w:rPr>
          <w:spacing w:val="-3"/>
          <w:sz w:val="21"/>
        </w:rPr>
        <w:t>。</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372"/>
        </w:numPr>
        <w:tabs>
          <w:tab w:pos="1370" w:val="left" w:leader="none"/>
        </w:tabs>
        <w:spacing w:line="446" w:lineRule="auto" w:before="47" w:after="0"/>
        <w:ind w:left="418" w:right="1431" w:firstLine="422"/>
        <w:jc w:val="both"/>
        <w:rPr>
          <w:sz w:val="21"/>
        </w:rPr>
      </w:pPr>
      <w:r>
        <w:rPr>
          <w:spacing w:val="-11"/>
          <w:sz w:val="21"/>
        </w:rPr>
        <w:t>在通信机房、电子计算机房等防护区，灭火剂喷放时间不应大于 </w:t>
      </w:r>
      <w:r>
        <w:rPr>
          <w:spacing w:val="-9"/>
          <w:sz w:val="21"/>
        </w:rPr>
        <w:t>90s</w:t>
      </w:r>
      <w:r>
        <w:rPr>
          <w:spacing w:val="-4"/>
          <w:sz w:val="21"/>
        </w:rPr>
        <w:t>，喷口温度不应大</w:t>
      </w:r>
      <w:r>
        <w:rPr>
          <w:spacing w:val="-29"/>
          <w:sz w:val="21"/>
        </w:rPr>
        <w:t>于 </w:t>
      </w:r>
      <w:r>
        <w:rPr>
          <w:sz w:val="21"/>
        </w:rPr>
        <w:t>150</w:t>
      </w:r>
      <w:r>
        <w:rPr>
          <w:spacing w:val="-6"/>
          <w:sz w:val="21"/>
        </w:rPr>
        <w:t>℃;在其他防护区，喷放时间不应大于 </w:t>
      </w:r>
      <w:r>
        <w:rPr>
          <w:sz w:val="21"/>
        </w:rPr>
        <w:t>120s</w:t>
      </w:r>
      <w:r>
        <w:rPr>
          <w:spacing w:val="-8"/>
          <w:sz w:val="21"/>
        </w:rPr>
        <w:t>，喷口温度不应大于 </w:t>
      </w:r>
      <w:r>
        <w:rPr>
          <w:sz w:val="21"/>
        </w:rPr>
        <w:t>180℃。 </w:t>
      </w:r>
    </w:p>
    <w:p>
      <w:pPr>
        <w:pStyle w:val="ListParagraph"/>
        <w:numPr>
          <w:ilvl w:val="2"/>
          <w:numId w:val="372"/>
        </w:numPr>
        <w:tabs>
          <w:tab w:pos="1370" w:val="left" w:leader="none"/>
        </w:tabs>
        <w:spacing w:line="267" w:lineRule="exact" w:before="0" w:after="0"/>
        <w:ind w:left="1369" w:right="0" w:hanging="530"/>
        <w:jc w:val="left"/>
        <w:rPr>
          <w:sz w:val="21"/>
        </w:rPr>
      </w:pPr>
      <w:r>
        <w:rPr>
          <w:sz w:val="21"/>
        </w:rPr>
        <w:t>S</w:t>
      </w:r>
      <w:r>
        <w:rPr>
          <w:spacing w:val="-2"/>
          <w:sz w:val="21"/>
        </w:rPr>
        <w:t> 型和</w:t>
      </w:r>
      <w:r>
        <w:rPr>
          <w:sz w:val="21"/>
        </w:rPr>
        <w:t>K</w:t>
      </w:r>
      <w:r>
        <w:rPr>
          <w:spacing w:val="-9"/>
          <w:sz w:val="21"/>
        </w:rPr>
        <w:t> 型热气溶胶对其他可燃物的灭火密度应经试验确定。</w:t>
      </w:r>
      <w:r>
        <w:rPr>
          <w:sz w:val="21"/>
        </w:rPr>
        <w:t> </w:t>
      </w:r>
    </w:p>
    <w:p>
      <w:pPr>
        <w:pStyle w:val="BodyText"/>
        <w:spacing w:before="2"/>
        <w:rPr>
          <w:sz w:val="18"/>
        </w:rPr>
      </w:pPr>
    </w:p>
    <w:p>
      <w:pPr>
        <w:pStyle w:val="ListParagraph"/>
        <w:numPr>
          <w:ilvl w:val="2"/>
          <w:numId w:val="372"/>
        </w:numPr>
        <w:tabs>
          <w:tab w:pos="1370" w:val="left" w:leader="none"/>
        </w:tabs>
        <w:spacing w:line="240" w:lineRule="auto" w:before="0" w:after="0"/>
        <w:ind w:left="1369" w:right="0" w:hanging="530"/>
        <w:jc w:val="left"/>
        <w:rPr>
          <w:sz w:val="21"/>
        </w:rPr>
      </w:pPr>
      <w:r>
        <w:rPr>
          <w:spacing w:val="-3"/>
          <w:sz w:val="21"/>
        </w:rPr>
        <w:t>其他型热气溶胶的灭火密度应经试验确定。</w:t>
      </w:r>
      <w:r>
        <w:rPr>
          <w:sz w:val="21"/>
        </w:rPr>
        <w:t> </w:t>
      </w:r>
    </w:p>
    <w:p>
      <w:pPr>
        <w:pStyle w:val="BodyText"/>
        <w:rPr>
          <w:sz w:val="18"/>
        </w:rPr>
      </w:pPr>
    </w:p>
    <w:p>
      <w:pPr>
        <w:pStyle w:val="ListParagraph"/>
        <w:numPr>
          <w:ilvl w:val="2"/>
          <w:numId w:val="372"/>
        </w:numPr>
        <w:tabs>
          <w:tab w:pos="1371" w:val="left" w:leader="none"/>
        </w:tabs>
        <w:spacing w:line="240" w:lineRule="auto" w:before="0" w:after="0"/>
        <w:ind w:left="1370" w:right="0" w:hanging="531"/>
        <w:jc w:val="left"/>
        <w:rPr>
          <w:sz w:val="21"/>
        </w:rPr>
      </w:pPr>
      <w:r>
        <w:rPr>
          <w:spacing w:val="-3"/>
          <w:sz w:val="21"/>
        </w:rPr>
        <w:t>灭火浸渍时间应符合下列规定：</w:t>
      </w:r>
      <w:r>
        <w:rPr>
          <w:sz w:val="21"/>
        </w:rPr>
        <w:t> </w:t>
      </w:r>
    </w:p>
    <w:p>
      <w:pPr>
        <w:pStyle w:val="BodyText"/>
        <w:spacing w:before="12"/>
        <w:rPr>
          <w:sz w:val="17"/>
        </w:rPr>
      </w:pPr>
    </w:p>
    <w:p>
      <w:pPr>
        <w:pStyle w:val="ListParagraph"/>
        <w:numPr>
          <w:ilvl w:val="0"/>
          <w:numId w:val="373"/>
        </w:numPr>
        <w:tabs>
          <w:tab w:pos="1367" w:val="left" w:leader="none"/>
        </w:tabs>
        <w:spacing w:line="240" w:lineRule="auto" w:before="0" w:after="0"/>
        <w:ind w:left="1367" w:right="0" w:hanging="529"/>
        <w:jc w:val="left"/>
        <w:rPr>
          <w:sz w:val="21"/>
        </w:rPr>
      </w:pPr>
      <w:r>
        <w:rPr>
          <w:spacing w:val="-6"/>
          <w:sz w:val="21"/>
        </w:rPr>
        <w:t>木材、纸张、织物等固体表面火灾，应采用 </w:t>
      </w:r>
      <w:r>
        <w:rPr>
          <w:sz w:val="21"/>
        </w:rPr>
        <w:t>20min； </w:t>
      </w:r>
    </w:p>
    <w:p>
      <w:pPr>
        <w:pStyle w:val="BodyText"/>
        <w:spacing w:before="2"/>
        <w:rPr>
          <w:sz w:val="18"/>
        </w:rPr>
      </w:pPr>
    </w:p>
    <w:p>
      <w:pPr>
        <w:pStyle w:val="ListParagraph"/>
        <w:numPr>
          <w:ilvl w:val="0"/>
          <w:numId w:val="373"/>
        </w:numPr>
        <w:tabs>
          <w:tab w:pos="1367" w:val="left" w:leader="none"/>
        </w:tabs>
        <w:spacing w:line="240" w:lineRule="auto" w:before="0" w:after="0"/>
        <w:ind w:left="1367" w:right="0" w:hanging="529"/>
        <w:jc w:val="left"/>
        <w:rPr>
          <w:sz w:val="21"/>
        </w:rPr>
      </w:pPr>
      <w:r>
        <w:rPr>
          <w:spacing w:val="-5"/>
          <w:sz w:val="21"/>
        </w:rPr>
        <w:t>通信机房、电子计算机房等防护区火灾及其他固体表面火灾，应采用 </w:t>
      </w:r>
      <w:r>
        <w:rPr>
          <w:sz w:val="21"/>
        </w:rPr>
        <w:t>10min</w:t>
      </w:r>
      <w:r>
        <w:rPr>
          <w:spacing w:val="-3"/>
          <w:sz w:val="21"/>
        </w:rPr>
        <w:t>。</w:t>
      </w:r>
      <w:r>
        <w:rPr>
          <w:sz w:val="21"/>
        </w:rPr>
        <w:t> </w:t>
      </w:r>
    </w:p>
    <w:p>
      <w:pPr>
        <w:pStyle w:val="BodyText"/>
        <w:rPr>
          <w:sz w:val="20"/>
        </w:rPr>
      </w:pPr>
    </w:p>
    <w:p>
      <w:pPr>
        <w:pStyle w:val="BodyText"/>
        <w:spacing w:before="6"/>
        <w:rPr>
          <w:sz w:val="10"/>
        </w:rPr>
      </w:pPr>
      <w:r>
        <w:rPr/>
        <w:drawing>
          <wp:anchor distT="0" distB="0" distL="0" distR="0" allowOverlap="1" layoutInCell="1" locked="0" behindDoc="0" simplePos="0" relativeHeight="152">
            <wp:simplePos x="0" y="0"/>
            <wp:positionH relativeFrom="page">
              <wp:posOffset>2068195</wp:posOffset>
            </wp:positionH>
            <wp:positionV relativeFrom="paragraph">
              <wp:posOffset>109950</wp:posOffset>
            </wp:positionV>
            <wp:extent cx="3349384" cy="228600"/>
            <wp:effectExtent l="0" t="0" r="0" b="0"/>
            <wp:wrapTopAndBottom/>
            <wp:docPr id="331" name="image202.jpeg"/>
            <wp:cNvGraphicFramePr>
              <a:graphicFrameLocks noChangeAspect="1"/>
            </wp:cNvGraphicFramePr>
            <a:graphic>
              <a:graphicData uri="http://schemas.openxmlformats.org/drawingml/2006/picture">
                <pic:pic>
                  <pic:nvPicPr>
                    <pic:cNvPr id="332" name="image202.jpeg"/>
                    <pic:cNvPicPr/>
                  </pic:nvPicPr>
                  <pic:blipFill>
                    <a:blip r:embed="rId246" cstate="print"/>
                    <a:stretch>
                      <a:fillRect/>
                    </a:stretch>
                  </pic:blipFill>
                  <pic:spPr>
                    <a:xfrm>
                      <a:off x="0" y="0"/>
                      <a:ext cx="3349384" cy="228600"/>
                    </a:xfrm>
                    <a:prstGeom prst="rect">
                      <a:avLst/>
                    </a:prstGeom>
                  </pic:spPr>
                </pic:pic>
              </a:graphicData>
            </a:graphic>
          </wp:anchor>
        </w:drawing>
      </w:r>
    </w:p>
    <w:p>
      <w:pPr>
        <w:pStyle w:val="ListParagraph"/>
        <w:numPr>
          <w:ilvl w:val="2"/>
          <w:numId w:val="372"/>
        </w:numPr>
        <w:tabs>
          <w:tab w:pos="1367" w:val="left" w:leader="none"/>
        </w:tabs>
        <w:spacing w:line="240" w:lineRule="auto" w:before="164" w:after="0"/>
        <w:ind w:left="1367" w:right="0" w:hanging="529"/>
        <w:jc w:val="left"/>
        <w:rPr>
          <w:sz w:val="21"/>
        </w:rPr>
      </w:pPr>
      <w:r>
        <w:rPr>
          <w:spacing w:val="-3"/>
          <w:sz w:val="21"/>
        </w:rPr>
        <w:t>灭火设计用量应按下式计算：</w:t>
      </w:r>
      <w:r>
        <w:rPr>
          <w:sz w:val="21"/>
        </w:rPr>
        <w:t> </w:t>
      </w:r>
    </w:p>
    <w:p>
      <w:pPr>
        <w:pStyle w:val="BodyText"/>
        <w:spacing w:before="2"/>
        <w:rPr>
          <w:sz w:val="17"/>
        </w:rPr>
      </w:pPr>
    </w:p>
    <w:p>
      <w:pPr>
        <w:pStyle w:val="BodyText"/>
        <w:ind w:left="838"/>
      </w:pPr>
      <w:r>
        <w:rPr>
          <w:w w:val="100"/>
        </w:rPr>
        <w:t> </w:t>
      </w:r>
      <w:r>
        <w:rPr/>
        <w:t> </w:t>
      </w:r>
      <w:r>
        <w:rPr>
          <w:spacing w:val="-1"/>
          <w:w w:val="100"/>
        </w:rPr>
        <w:t>式中   </w:t>
      </w:r>
      <w:r>
        <w:rPr>
          <w:i/>
          <w:spacing w:val="-3"/>
          <w:w w:val="96"/>
          <w:sz w:val="22"/>
        </w:rPr>
        <w:t>W</w:t>
      </w:r>
      <w:r>
        <w:rPr>
          <w:spacing w:val="-3"/>
          <w:w w:val="100"/>
        </w:rPr>
        <w:t>——灭火设计用量</w:t>
      </w:r>
      <w:r>
        <w:rPr>
          <w:spacing w:val="-2"/>
          <w:w w:val="100"/>
        </w:rPr>
        <w:t>（</w:t>
      </w:r>
      <w:r>
        <w:rPr>
          <w:w w:val="100"/>
        </w:rPr>
        <w:t>kg</w:t>
      </w:r>
      <w:r>
        <w:rPr>
          <w:spacing w:val="-108"/>
          <w:w w:val="100"/>
        </w:rPr>
        <w:t>）</w:t>
      </w:r>
      <w:r>
        <w:rPr>
          <w:spacing w:val="-3"/>
          <w:w w:val="100"/>
        </w:rPr>
        <w:t>；</w:t>
      </w:r>
      <w:r>
        <w:rPr>
          <w:w w:val="100"/>
        </w:rPr>
        <w:t> </w:t>
      </w:r>
    </w:p>
    <w:p>
      <w:pPr>
        <w:pStyle w:val="BodyText"/>
        <w:spacing w:before="12"/>
        <w:rPr>
          <w:sz w:val="16"/>
        </w:rPr>
      </w:pPr>
    </w:p>
    <w:p>
      <w:pPr>
        <w:pStyle w:val="BodyText"/>
        <w:spacing w:line="427" w:lineRule="auto"/>
        <w:ind w:left="1469" w:right="5709" w:firstLine="208"/>
      </w:pPr>
      <w:r>
        <w:rPr>
          <w:i/>
          <w:w w:val="96"/>
          <w:position w:val="1"/>
          <w:sz w:val="22"/>
        </w:rPr>
        <w:t>C</w:t>
      </w:r>
      <w:r>
        <w:rPr>
          <w:w w:val="100"/>
          <w:sz w:val="11"/>
        </w:rPr>
        <w:t>2</w:t>
      </w:r>
      <w:r>
        <w:rPr>
          <w:spacing w:val="-3"/>
          <w:w w:val="100"/>
          <w:position w:val="1"/>
        </w:rPr>
        <w:t>——灭火设计密度</w:t>
      </w:r>
      <w:r>
        <w:rPr>
          <w:w w:val="100"/>
          <w:position w:val="1"/>
        </w:rPr>
        <w:t>（k</w:t>
      </w:r>
      <w:r>
        <w:rPr>
          <w:spacing w:val="-3"/>
          <w:w w:val="100"/>
          <w:position w:val="1"/>
        </w:rPr>
        <w:t>g/</w:t>
      </w:r>
      <w:r>
        <w:rPr>
          <w:spacing w:val="-1"/>
          <w:w w:val="100"/>
          <w:position w:val="1"/>
        </w:rPr>
        <w:t>m</w:t>
      </w:r>
      <w:r>
        <w:rPr>
          <w:w w:val="100"/>
          <w:position w:val="1"/>
        </w:rPr>
        <w:t>³</w:t>
      </w:r>
      <w:r>
        <w:rPr>
          <w:spacing w:val="-106"/>
          <w:w w:val="100"/>
          <w:position w:val="1"/>
        </w:rPr>
        <w:t>）</w:t>
      </w:r>
      <w:r>
        <w:rPr>
          <w:spacing w:val="-3"/>
          <w:w w:val="100"/>
          <w:position w:val="1"/>
        </w:rPr>
        <w:t>；</w:t>
      </w:r>
      <w:r>
        <w:rPr>
          <w:w w:val="100"/>
          <w:position w:val="1"/>
        </w:rPr>
        <w:t> </w:t>
      </w:r>
      <w:r>
        <w:rPr>
          <w:i/>
          <w:w w:val="96"/>
          <w:sz w:val="22"/>
        </w:rPr>
        <w:t>V</w:t>
      </w:r>
      <w:r>
        <w:rPr>
          <w:spacing w:val="-3"/>
          <w:w w:val="100"/>
        </w:rPr>
        <w:t>——防护区净容积</w:t>
      </w:r>
      <w:r>
        <w:rPr>
          <w:w w:val="100"/>
        </w:rPr>
        <w:t>（m³</w:t>
      </w:r>
      <w:r>
        <w:rPr>
          <w:spacing w:val="-108"/>
          <w:w w:val="100"/>
        </w:rPr>
        <w:t>）</w:t>
      </w:r>
      <w:r>
        <w:rPr>
          <w:spacing w:val="-1"/>
          <w:w w:val="100"/>
        </w:rPr>
        <w:t>；</w:t>
      </w:r>
      <w:r>
        <w:rPr>
          <w:w w:val="100"/>
        </w:rPr>
        <w:t> </w:t>
      </w:r>
    </w:p>
    <w:p>
      <w:pPr>
        <w:pStyle w:val="BodyText"/>
        <w:spacing w:line="279" w:lineRule="exact"/>
        <w:ind w:left="418"/>
      </w:pPr>
      <w:r>
        <w:rPr>
          <w:i/>
          <w:position w:val="1"/>
          <w:sz w:val="22"/>
        </w:rPr>
        <w:t>K</w:t>
      </w:r>
      <w:r>
        <w:rPr>
          <w:sz w:val="11"/>
        </w:rPr>
        <w:t>v</w:t>
      </w:r>
      <w:r>
        <w:rPr>
          <w:position w:val="1"/>
        </w:rPr>
        <w:t>——容积修正系数。V＜500m³，</w:t>
      </w:r>
      <w:r>
        <w:rPr>
          <w:i/>
          <w:position w:val="1"/>
          <w:sz w:val="22"/>
        </w:rPr>
        <w:t>K</w:t>
      </w:r>
      <w:r>
        <w:rPr>
          <w:sz w:val="11"/>
        </w:rPr>
        <w:t>v</w:t>
      </w:r>
      <w:r>
        <w:rPr>
          <w:position w:val="1"/>
        </w:rPr>
        <w:t>＝1.0；500m³≤</w:t>
      </w:r>
      <w:r>
        <w:rPr>
          <w:i/>
          <w:position w:val="1"/>
          <w:sz w:val="22"/>
        </w:rPr>
        <w:t>V</w:t>
      </w:r>
      <w:r>
        <w:rPr>
          <w:position w:val="1"/>
        </w:rPr>
        <w:t>＜1000m³，</w:t>
      </w:r>
      <w:r>
        <w:rPr>
          <w:i/>
          <w:position w:val="1"/>
          <w:sz w:val="22"/>
        </w:rPr>
        <w:t>K</w:t>
      </w:r>
      <w:r>
        <w:rPr>
          <w:sz w:val="11"/>
        </w:rPr>
        <w:t>v</w:t>
      </w:r>
      <w:r>
        <w:rPr>
          <w:position w:val="1"/>
        </w:rPr>
        <w:t>＝1.1；</w:t>
      </w:r>
      <w:r>
        <w:rPr>
          <w:i/>
          <w:position w:val="1"/>
          <w:sz w:val="22"/>
        </w:rPr>
        <w:t>V</w:t>
      </w:r>
      <w:r>
        <w:rPr>
          <w:position w:val="1"/>
        </w:rPr>
        <w:t>≥1000m³，K</w:t>
      </w:r>
      <w:r>
        <w:rPr>
          <w:sz w:val="11"/>
        </w:rPr>
        <w:t>v</w:t>
      </w:r>
      <w:r>
        <w:rPr>
          <w:position w:val="1"/>
        </w:rPr>
        <w:t>＝1.2</w:t>
      </w:r>
      <w:r>
        <w:rPr>
          <w:spacing w:val="-108"/>
          <w:position w:val="1"/>
        </w:rPr>
        <w:t>。</w:t>
      </w:r>
      <w:r>
        <w:rPr>
          <w:position w:val="1"/>
        </w:rPr>
        <w:t> </w:t>
      </w:r>
    </w:p>
    <w:p>
      <w:pPr>
        <w:pStyle w:val="BodyText"/>
        <w:spacing w:before="5"/>
        <w:rPr>
          <w:sz w:val="15"/>
        </w:rPr>
      </w:pPr>
    </w:p>
    <w:p>
      <w:pPr>
        <w:pStyle w:val="Heading4"/>
        <w:spacing w:before="1"/>
      </w:pPr>
      <w:r>
        <w:rPr/>
        <w:t>4 系统组件</w:t>
      </w:r>
      <w:r>
        <w:rPr>
          <w:w w:val="99"/>
        </w:rPr>
        <w:t> </w:t>
      </w:r>
    </w:p>
    <w:p>
      <w:pPr>
        <w:pStyle w:val="BodyText"/>
        <w:spacing w:before="6"/>
        <w:rPr>
          <w:b/>
          <w:sz w:val="17"/>
        </w:rPr>
      </w:pPr>
    </w:p>
    <w:p>
      <w:pPr>
        <w:pStyle w:val="ListParagraph"/>
        <w:numPr>
          <w:ilvl w:val="1"/>
          <w:numId w:val="374"/>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374"/>
        </w:numPr>
        <w:tabs>
          <w:tab w:pos="1371" w:val="left" w:leader="none"/>
        </w:tabs>
        <w:spacing w:line="240" w:lineRule="auto" w:before="0" w:after="0"/>
        <w:ind w:left="1370" w:right="0" w:hanging="531"/>
        <w:jc w:val="both"/>
        <w:rPr>
          <w:sz w:val="21"/>
        </w:rPr>
      </w:pPr>
      <w:r>
        <w:rPr>
          <w:spacing w:val="-3"/>
          <w:sz w:val="21"/>
        </w:rPr>
        <w:t>储存装置应符合下列规定：</w:t>
      </w:r>
      <w:r>
        <w:rPr>
          <w:sz w:val="21"/>
        </w:rPr>
        <w:t> </w:t>
      </w:r>
    </w:p>
    <w:p>
      <w:pPr>
        <w:pStyle w:val="BodyText"/>
        <w:rPr>
          <w:sz w:val="18"/>
        </w:rPr>
      </w:pPr>
    </w:p>
    <w:p>
      <w:pPr>
        <w:pStyle w:val="ListParagraph"/>
        <w:numPr>
          <w:ilvl w:val="0"/>
          <w:numId w:val="375"/>
        </w:numPr>
        <w:tabs>
          <w:tab w:pos="1367" w:val="left" w:leader="none"/>
        </w:tabs>
        <w:spacing w:line="446" w:lineRule="auto" w:before="0" w:after="0"/>
        <w:ind w:left="418" w:right="1431" w:firstLine="419"/>
        <w:jc w:val="both"/>
        <w:rPr>
          <w:sz w:val="21"/>
        </w:rPr>
      </w:pPr>
      <w:r>
        <w:rPr>
          <w:spacing w:val="-3"/>
          <w:sz w:val="21"/>
        </w:rPr>
        <w:t>管网系统的储存装置应由储存容器、容器阀和集流管等组成；七氟丙烷和 </w:t>
      </w:r>
      <w:r>
        <w:rPr>
          <w:sz w:val="21"/>
        </w:rPr>
        <w:t>IG541 预制</w:t>
      </w:r>
      <w:r>
        <w:rPr>
          <w:spacing w:val="-6"/>
          <w:sz w:val="21"/>
        </w:rPr>
        <w:t>灭火系统的储存装置，应由储存容器、容器阀等组成；热气溶胶预制灭火系统的储存装置应由发</w:t>
      </w:r>
      <w:r>
        <w:rPr>
          <w:spacing w:val="-4"/>
          <w:sz w:val="21"/>
        </w:rPr>
        <w:t>生剂罐、引发器和保护箱</w:t>
      </w:r>
      <w:r>
        <w:rPr>
          <w:sz w:val="21"/>
        </w:rPr>
        <w:t>（壳</w:t>
      </w:r>
      <w:r>
        <w:rPr>
          <w:spacing w:val="-3"/>
          <w:sz w:val="21"/>
        </w:rPr>
        <w:t>）体等组成；</w:t>
      </w:r>
      <w:r>
        <w:rPr>
          <w:sz w:val="21"/>
        </w:rPr>
        <w:t> </w:t>
      </w:r>
    </w:p>
    <w:p>
      <w:pPr>
        <w:pStyle w:val="ListParagraph"/>
        <w:numPr>
          <w:ilvl w:val="0"/>
          <w:numId w:val="375"/>
        </w:numPr>
        <w:tabs>
          <w:tab w:pos="1367" w:val="left" w:leader="none"/>
        </w:tabs>
        <w:spacing w:line="268" w:lineRule="exact" w:before="0" w:after="0"/>
        <w:ind w:left="1367" w:right="0" w:hanging="529"/>
        <w:jc w:val="left"/>
        <w:rPr>
          <w:sz w:val="21"/>
        </w:rPr>
      </w:pPr>
      <w:r>
        <w:rPr>
          <w:spacing w:val="-3"/>
          <w:sz w:val="21"/>
        </w:rPr>
        <w:t>容器阀和集流管之间应采用挠性连接。储存容器和集流管应采用支架固定；</w:t>
      </w:r>
      <w:r>
        <w:rPr>
          <w:sz w:val="21"/>
        </w:rPr>
        <w:t> </w:t>
      </w:r>
    </w:p>
    <w:p>
      <w:pPr>
        <w:pStyle w:val="BodyText"/>
        <w:spacing w:before="2"/>
        <w:rPr>
          <w:sz w:val="18"/>
        </w:rPr>
      </w:pPr>
    </w:p>
    <w:p>
      <w:pPr>
        <w:pStyle w:val="ListParagraph"/>
        <w:numPr>
          <w:ilvl w:val="0"/>
          <w:numId w:val="375"/>
        </w:numPr>
        <w:tabs>
          <w:tab w:pos="1367" w:val="left" w:leader="none"/>
        </w:tabs>
        <w:spacing w:line="446" w:lineRule="auto" w:before="0" w:after="0"/>
        <w:ind w:left="418" w:right="1434" w:firstLine="419"/>
        <w:jc w:val="left"/>
        <w:rPr>
          <w:sz w:val="21"/>
        </w:rPr>
      </w:pPr>
      <w:r>
        <w:rPr>
          <w:spacing w:val="-16"/>
          <w:sz w:val="21"/>
        </w:rPr>
        <w:t>储存装置上应设耐久的固定铭牌，并应标明每个容器的编号、容积、皮重、灭火剂名称</w:t>
      </w:r>
      <w:r>
        <w:rPr>
          <w:spacing w:val="-3"/>
          <w:sz w:val="21"/>
        </w:rPr>
        <w:t>、充装量、充装日期和充压压力等；</w:t>
      </w:r>
      <w:r>
        <w:rPr>
          <w:sz w:val="21"/>
        </w:rPr>
        <w:t> </w:t>
      </w:r>
    </w:p>
    <w:p>
      <w:pPr>
        <w:pStyle w:val="ListParagraph"/>
        <w:numPr>
          <w:ilvl w:val="0"/>
          <w:numId w:val="375"/>
        </w:numPr>
        <w:tabs>
          <w:tab w:pos="1367" w:val="left" w:leader="none"/>
        </w:tabs>
        <w:spacing w:line="446" w:lineRule="auto" w:before="0" w:after="0"/>
        <w:ind w:left="418" w:right="1431" w:firstLine="419"/>
        <w:jc w:val="both"/>
        <w:rPr>
          <w:sz w:val="21"/>
        </w:rPr>
      </w:pPr>
      <w:r>
        <w:rPr>
          <w:spacing w:val="-8"/>
          <w:sz w:val="21"/>
        </w:rPr>
        <w:t>管网灭火系统的储存装置宜设在专用储瓶间内。储瓶间宜靠近防护区，并应符合建筑 </w:t>
      </w:r>
      <w:r>
        <w:rPr>
          <w:spacing w:val="-5"/>
          <w:sz w:val="21"/>
        </w:rPr>
        <w:t>物耐火等级不低于二级的有关规定及有关压力容器存放的规定，且应有直接通向室外或疏散走道</w:t>
      </w:r>
      <w:r>
        <w:rPr>
          <w:spacing w:val="-3"/>
          <w:sz w:val="21"/>
        </w:rPr>
        <w:t>的出口。储瓶间和设置预制灭火系统的防护区的环境温度应为-</w:t>
      </w:r>
      <w:r>
        <w:rPr>
          <w:sz w:val="21"/>
        </w:rPr>
        <w:t>10～50℃； </w:t>
      </w:r>
    </w:p>
    <w:p>
      <w:pPr>
        <w:pStyle w:val="ListParagraph"/>
        <w:numPr>
          <w:ilvl w:val="0"/>
          <w:numId w:val="375"/>
        </w:numPr>
        <w:tabs>
          <w:tab w:pos="1367" w:val="left" w:leader="none"/>
        </w:tabs>
        <w:spacing w:line="446" w:lineRule="auto" w:before="0" w:after="0"/>
        <w:ind w:left="418" w:right="1433" w:firstLine="419"/>
        <w:jc w:val="both"/>
        <w:rPr>
          <w:sz w:val="21"/>
        </w:rPr>
      </w:pPr>
      <w:r>
        <w:rPr>
          <w:spacing w:val="-11"/>
          <w:sz w:val="21"/>
        </w:rPr>
        <w:t>储存装置的布置，应便于操作、维修及避免阳光照射。操作面距墙面或两操作面之间 </w:t>
      </w:r>
      <w:r>
        <w:rPr>
          <w:spacing w:val="-13"/>
          <w:sz w:val="21"/>
        </w:rPr>
        <w:t>的距离，不宜小于 </w:t>
      </w:r>
      <w:r>
        <w:rPr>
          <w:sz w:val="21"/>
        </w:rPr>
        <w:t>1.0m</w:t>
      </w:r>
      <w:r>
        <w:rPr>
          <w:spacing w:val="-7"/>
          <w:sz w:val="21"/>
        </w:rPr>
        <w:t>，且不应小于储存容器外径的 </w:t>
      </w:r>
      <w:r>
        <w:rPr>
          <w:sz w:val="21"/>
        </w:rPr>
        <w:t>1.5</w:t>
      </w:r>
      <w:r>
        <w:rPr>
          <w:spacing w:val="-20"/>
          <w:sz w:val="21"/>
        </w:rPr>
        <w:t> 倍。</w:t>
      </w:r>
      <w:r>
        <w:rPr>
          <w:sz w:val="21"/>
        </w:rPr>
        <w:t> </w:t>
      </w:r>
    </w:p>
    <w:p>
      <w:pPr>
        <w:pStyle w:val="ListParagraph"/>
        <w:numPr>
          <w:ilvl w:val="2"/>
          <w:numId w:val="374"/>
        </w:numPr>
        <w:tabs>
          <w:tab w:pos="1371" w:val="left" w:leader="none"/>
        </w:tabs>
        <w:spacing w:line="240" w:lineRule="auto" w:before="0" w:after="0"/>
        <w:ind w:left="1370" w:right="0" w:hanging="531"/>
        <w:jc w:val="both"/>
        <w:rPr>
          <w:sz w:val="21"/>
        </w:rPr>
      </w:pPr>
      <w:r>
        <w:rPr>
          <w:spacing w:val="-12"/>
          <w:sz w:val="21"/>
        </w:rPr>
        <w:t>储存容器、驱动气体储瓶的设计与使用应符合国家现行《气瓶安全监察规程》及《压</w:t>
      </w:r>
    </w:p>
    <w:p>
      <w:pPr>
        <w:spacing w:after="0" w:line="240" w:lineRule="auto"/>
        <w:jc w:val="both"/>
        <w:rPr>
          <w:sz w:val="21"/>
        </w:rPr>
        <w:sectPr>
          <w:pgSz w:w="11910" w:h="16850"/>
          <w:pgMar w:header="0" w:footer="1239" w:top="1220" w:bottom="1420" w:left="1260" w:right="0"/>
        </w:sectPr>
      </w:pPr>
    </w:p>
    <w:p>
      <w:pPr>
        <w:pStyle w:val="BodyText"/>
        <w:spacing w:before="47"/>
        <w:ind w:left="418"/>
      </w:pPr>
      <w:r>
        <w:rPr/>
        <w:t>力容器安全技术监察规程》的规定。 </w:t>
      </w:r>
    </w:p>
    <w:p>
      <w:pPr>
        <w:pStyle w:val="BodyText"/>
        <w:rPr>
          <w:sz w:val="18"/>
        </w:rPr>
      </w:pPr>
    </w:p>
    <w:p>
      <w:pPr>
        <w:pStyle w:val="ListParagraph"/>
        <w:numPr>
          <w:ilvl w:val="2"/>
          <w:numId w:val="374"/>
        </w:numPr>
        <w:tabs>
          <w:tab w:pos="1370" w:val="left" w:leader="none"/>
        </w:tabs>
        <w:spacing w:line="446" w:lineRule="auto" w:before="0" w:after="0"/>
        <w:ind w:left="418" w:right="1437" w:firstLine="422"/>
        <w:jc w:val="left"/>
        <w:rPr>
          <w:sz w:val="21"/>
        </w:rPr>
      </w:pPr>
      <w:r>
        <w:rPr>
          <w:spacing w:val="-1"/>
          <w:sz w:val="21"/>
        </w:rPr>
        <w:t>储存装置的储存容器与其他组件的公称工作压力，不应小于在最高环境温度下所承受</w:t>
      </w:r>
      <w:r>
        <w:rPr>
          <w:spacing w:val="-3"/>
          <w:sz w:val="21"/>
        </w:rPr>
        <w:t>的工作压力。</w:t>
      </w:r>
      <w:r>
        <w:rPr>
          <w:sz w:val="21"/>
        </w:rPr>
        <w:t> </w:t>
      </w:r>
    </w:p>
    <w:p>
      <w:pPr>
        <w:pStyle w:val="ListParagraph"/>
        <w:numPr>
          <w:ilvl w:val="2"/>
          <w:numId w:val="374"/>
        </w:numPr>
        <w:tabs>
          <w:tab w:pos="1370" w:val="left" w:leader="none"/>
        </w:tabs>
        <w:spacing w:line="446" w:lineRule="auto" w:before="0" w:after="0"/>
        <w:ind w:left="418" w:right="1431" w:firstLine="422"/>
        <w:jc w:val="left"/>
        <w:rPr>
          <w:sz w:val="21"/>
        </w:rPr>
      </w:pPr>
      <w:r>
        <w:rPr>
          <w:spacing w:val="-12"/>
          <w:sz w:val="21"/>
        </w:rPr>
        <w:t>在储存容器或容器阀上，应设安全泄压装置和压力表。组合分配系统的集流管，应设安</w:t>
      </w:r>
      <w:r>
        <w:rPr>
          <w:spacing w:val="-5"/>
          <w:sz w:val="21"/>
        </w:rPr>
        <w:t>全泄压装置。安全泄压装置的动作压力，应符合相应气体灭火系统的设计规定。</w:t>
      </w:r>
      <w:r>
        <w:rPr>
          <w:sz w:val="21"/>
        </w:rPr>
        <w:t> </w:t>
      </w:r>
    </w:p>
    <w:p>
      <w:pPr>
        <w:pStyle w:val="ListParagraph"/>
        <w:numPr>
          <w:ilvl w:val="2"/>
          <w:numId w:val="374"/>
        </w:numPr>
        <w:tabs>
          <w:tab w:pos="1370" w:val="left" w:leader="none"/>
        </w:tabs>
        <w:spacing w:line="267" w:lineRule="exact" w:before="0" w:after="0"/>
        <w:ind w:left="1369" w:right="0" w:hanging="530"/>
        <w:jc w:val="left"/>
        <w:rPr>
          <w:sz w:val="21"/>
        </w:rPr>
      </w:pPr>
      <w:r>
        <w:rPr>
          <w:spacing w:val="-3"/>
          <w:sz w:val="21"/>
        </w:rPr>
        <w:t>在通向每个防护区的灭火系统主管道上，应设压力讯号器或流量讯号器。 </w:t>
      </w:r>
    </w:p>
    <w:p>
      <w:pPr>
        <w:pStyle w:val="BodyText"/>
        <w:spacing w:before="2"/>
        <w:rPr>
          <w:sz w:val="18"/>
        </w:rPr>
      </w:pPr>
    </w:p>
    <w:p>
      <w:pPr>
        <w:pStyle w:val="ListParagraph"/>
        <w:numPr>
          <w:ilvl w:val="2"/>
          <w:numId w:val="374"/>
        </w:numPr>
        <w:tabs>
          <w:tab w:pos="1370" w:val="left" w:leader="none"/>
        </w:tabs>
        <w:spacing w:line="446" w:lineRule="auto" w:before="0" w:after="0"/>
        <w:ind w:left="418" w:right="1438" w:firstLine="422"/>
        <w:jc w:val="left"/>
        <w:rPr>
          <w:sz w:val="21"/>
        </w:rPr>
      </w:pPr>
      <w:r>
        <w:rPr>
          <w:spacing w:val="-1"/>
          <w:sz w:val="21"/>
        </w:rPr>
        <w:t>组合分配系统中的每个防护区应设置控制灭火剂流向的选择阀，其公称直径应与该防</w:t>
      </w:r>
      <w:r>
        <w:rPr>
          <w:spacing w:val="-3"/>
          <w:sz w:val="21"/>
        </w:rPr>
        <w:t>护区灭火系统的主管道公称直径相等。</w:t>
      </w:r>
      <w:r>
        <w:rPr>
          <w:sz w:val="21"/>
        </w:rPr>
        <w:t> </w:t>
      </w:r>
    </w:p>
    <w:p>
      <w:pPr>
        <w:pStyle w:val="BodyText"/>
        <w:spacing w:line="446" w:lineRule="auto"/>
        <w:ind w:left="840" w:right="1330" w:hanging="3"/>
      </w:pPr>
      <w:r>
        <w:rPr/>
        <w:t>选择阀的位置应靠近储存容器且便于操作。选择阀应设有标明其工作防护区的永久性铭牌</w:t>
      </w:r>
      <w:r>
        <w:rPr>
          <w:spacing w:val="-108"/>
        </w:rPr>
        <w:t>。</w:t>
      </w:r>
      <w:r>
        <w:rPr>
          <w:b/>
        </w:rPr>
        <w:t>4.1.7 </w:t>
      </w:r>
      <w:r>
        <w:rPr>
          <w:spacing w:val="-13"/>
        </w:rPr>
        <w:t>喷头应有型号、规格的永久性标识。设置在有粉尘、油雾等防护区的喷头，应有防护</w:t>
      </w:r>
    </w:p>
    <w:p>
      <w:pPr>
        <w:pStyle w:val="BodyText"/>
        <w:ind w:left="418"/>
      </w:pPr>
      <w:r>
        <w:rPr/>
        <w:t>装置。 </w:t>
      </w:r>
    </w:p>
    <w:p>
      <w:pPr>
        <w:pStyle w:val="BodyText"/>
        <w:spacing w:before="10"/>
        <w:rPr>
          <w:sz w:val="17"/>
        </w:rPr>
      </w:pPr>
    </w:p>
    <w:p>
      <w:pPr>
        <w:pStyle w:val="ListParagraph"/>
        <w:numPr>
          <w:ilvl w:val="2"/>
          <w:numId w:val="376"/>
        </w:numPr>
        <w:tabs>
          <w:tab w:pos="1370" w:val="left" w:leader="none"/>
        </w:tabs>
        <w:spacing w:line="446" w:lineRule="auto" w:before="0" w:after="0"/>
        <w:ind w:left="418" w:right="1438" w:firstLine="422"/>
        <w:jc w:val="both"/>
        <w:rPr>
          <w:sz w:val="21"/>
        </w:rPr>
      </w:pPr>
      <w:r>
        <w:rPr>
          <w:spacing w:val="-1"/>
          <w:sz w:val="21"/>
        </w:rPr>
        <w:t>喷头的布置应满足喷放后气体灭火剂在防护区内均匀分布的要求。当保护对象属可燃</w:t>
      </w:r>
      <w:r>
        <w:rPr>
          <w:spacing w:val="-3"/>
          <w:sz w:val="21"/>
        </w:rPr>
        <w:t>液体时，喷头射流方向不应朝向液体表面。</w:t>
      </w:r>
      <w:r>
        <w:rPr>
          <w:sz w:val="21"/>
        </w:rPr>
        <w:t> </w:t>
      </w:r>
    </w:p>
    <w:p>
      <w:pPr>
        <w:pStyle w:val="ListParagraph"/>
        <w:numPr>
          <w:ilvl w:val="2"/>
          <w:numId w:val="376"/>
        </w:numPr>
        <w:tabs>
          <w:tab w:pos="1371" w:val="left" w:leader="none"/>
        </w:tabs>
        <w:spacing w:line="240" w:lineRule="auto" w:before="1" w:after="0"/>
        <w:ind w:left="1370" w:right="0" w:hanging="531"/>
        <w:jc w:val="both"/>
        <w:rPr>
          <w:sz w:val="21"/>
        </w:rPr>
      </w:pPr>
      <w:r>
        <w:rPr>
          <w:spacing w:val="-3"/>
          <w:sz w:val="21"/>
        </w:rPr>
        <w:t>管道及管道附件应符合下列规定：</w:t>
      </w:r>
      <w:r>
        <w:rPr>
          <w:sz w:val="21"/>
        </w:rPr>
        <w:t> </w:t>
      </w:r>
    </w:p>
    <w:p>
      <w:pPr>
        <w:pStyle w:val="BodyText"/>
        <w:spacing w:before="12"/>
        <w:rPr>
          <w:sz w:val="17"/>
        </w:rPr>
      </w:pPr>
    </w:p>
    <w:p>
      <w:pPr>
        <w:pStyle w:val="ListParagraph"/>
        <w:numPr>
          <w:ilvl w:val="0"/>
          <w:numId w:val="377"/>
        </w:numPr>
        <w:tabs>
          <w:tab w:pos="1367" w:val="left" w:leader="none"/>
        </w:tabs>
        <w:spacing w:line="446" w:lineRule="auto" w:before="0" w:after="0"/>
        <w:ind w:left="418" w:right="1431" w:firstLine="419"/>
        <w:jc w:val="both"/>
        <w:rPr>
          <w:sz w:val="21"/>
        </w:rPr>
      </w:pPr>
      <w:r>
        <w:rPr>
          <w:spacing w:val="-8"/>
          <w:sz w:val="21"/>
        </w:rPr>
        <w:t>输送气体灭火剂的管道应采用无缝钢管。其质量应符合现行国家标准《输送流体用无 </w:t>
      </w:r>
      <w:r>
        <w:rPr>
          <w:spacing w:val="-7"/>
          <w:sz w:val="21"/>
        </w:rPr>
        <w:t>缝钢管》</w:t>
      </w:r>
      <w:r>
        <w:rPr>
          <w:sz w:val="21"/>
        </w:rPr>
        <w:t>GB/T8163</w:t>
      </w:r>
      <w:r>
        <w:rPr>
          <w:spacing w:val="-14"/>
          <w:sz w:val="21"/>
        </w:rPr>
        <w:t>、《高压锅炉用无缝钢管》</w:t>
      </w:r>
      <w:r>
        <w:rPr>
          <w:sz w:val="21"/>
        </w:rPr>
        <w:t>GB5310</w:t>
      </w:r>
      <w:r>
        <w:rPr>
          <w:spacing w:val="-3"/>
          <w:sz w:val="21"/>
        </w:rPr>
        <w:t> 等的规定。无缝钢管内外应进行防腐处理， 防腐处理宜采用符合环保要求的方式；</w:t>
      </w:r>
      <w:r>
        <w:rPr>
          <w:sz w:val="21"/>
        </w:rPr>
        <w:t> </w:t>
      </w:r>
    </w:p>
    <w:p>
      <w:pPr>
        <w:pStyle w:val="ListParagraph"/>
        <w:numPr>
          <w:ilvl w:val="0"/>
          <w:numId w:val="377"/>
        </w:numPr>
        <w:tabs>
          <w:tab w:pos="1367" w:val="left" w:leader="none"/>
        </w:tabs>
        <w:spacing w:line="446" w:lineRule="auto" w:before="0" w:after="0"/>
        <w:ind w:left="418" w:right="1433" w:firstLine="419"/>
        <w:jc w:val="both"/>
        <w:rPr>
          <w:sz w:val="21"/>
        </w:rPr>
      </w:pPr>
      <w:r>
        <w:rPr>
          <w:spacing w:val="-7"/>
          <w:sz w:val="21"/>
        </w:rPr>
        <w:t>输送气体灭火剂的管道安装在腐蚀性较大的环境里，宜采用不锈钢管。其质量应符合 </w:t>
      </w:r>
      <w:r>
        <w:rPr>
          <w:spacing w:val="-3"/>
          <w:sz w:val="21"/>
        </w:rPr>
        <w:t>现行国家标准《流体输送用不锈钢无缝钢管》</w:t>
      </w:r>
      <w:r>
        <w:rPr>
          <w:sz w:val="21"/>
        </w:rPr>
        <w:t>GB/T14976</w:t>
      </w:r>
      <w:r>
        <w:rPr>
          <w:spacing w:val="-13"/>
          <w:sz w:val="21"/>
        </w:rPr>
        <w:t> 的规定；</w:t>
      </w:r>
      <w:r>
        <w:rPr>
          <w:sz w:val="21"/>
        </w:rPr>
        <w:t> </w:t>
      </w:r>
    </w:p>
    <w:p>
      <w:pPr>
        <w:pStyle w:val="ListParagraph"/>
        <w:numPr>
          <w:ilvl w:val="0"/>
          <w:numId w:val="377"/>
        </w:numPr>
        <w:tabs>
          <w:tab w:pos="1367" w:val="left" w:leader="none"/>
        </w:tabs>
        <w:spacing w:line="446" w:lineRule="auto" w:before="0" w:after="0"/>
        <w:ind w:left="418" w:right="1431" w:firstLine="419"/>
        <w:jc w:val="both"/>
        <w:rPr>
          <w:sz w:val="21"/>
        </w:rPr>
      </w:pPr>
      <w:r>
        <w:rPr>
          <w:spacing w:val="-12"/>
          <w:sz w:val="21"/>
        </w:rPr>
        <w:t>输送启动气体的管道，宜采用铜管，其质量应符合现行国家标准《拉制铜管》</w:t>
      </w:r>
      <w:r>
        <w:rPr>
          <w:sz w:val="21"/>
        </w:rPr>
        <w:t>GB1527 </w:t>
      </w:r>
      <w:r>
        <w:rPr>
          <w:spacing w:val="-1"/>
          <w:sz w:val="21"/>
        </w:rPr>
        <w:t>的规定；</w:t>
      </w:r>
      <w:r>
        <w:rPr>
          <w:sz w:val="21"/>
        </w:rPr>
        <w:t> </w:t>
      </w:r>
    </w:p>
    <w:p>
      <w:pPr>
        <w:pStyle w:val="ListParagraph"/>
        <w:numPr>
          <w:ilvl w:val="0"/>
          <w:numId w:val="377"/>
        </w:numPr>
        <w:tabs>
          <w:tab w:pos="1365" w:val="left" w:leader="none"/>
        </w:tabs>
        <w:spacing w:line="446" w:lineRule="auto" w:before="0" w:after="0"/>
        <w:ind w:left="418" w:right="1431" w:firstLine="419"/>
        <w:jc w:val="both"/>
        <w:rPr>
          <w:sz w:val="21"/>
        </w:rPr>
      </w:pPr>
      <w:r>
        <w:rPr>
          <w:spacing w:val="-10"/>
          <w:sz w:val="21"/>
        </w:rPr>
        <w:t>管道的连接，当公称直径小于或等于 </w:t>
      </w:r>
      <w:r>
        <w:rPr>
          <w:sz w:val="21"/>
        </w:rPr>
        <w:t>80mm</w:t>
      </w:r>
      <w:r>
        <w:rPr>
          <w:spacing w:val="-14"/>
          <w:sz w:val="21"/>
        </w:rPr>
        <w:t> 时，宜采用螺纹连接；大于 </w:t>
      </w:r>
      <w:r>
        <w:rPr>
          <w:sz w:val="21"/>
        </w:rPr>
        <w:t>80mm</w:t>
      </w:r>
      <w:r>
        <w:rPr>
          <w:spacing w:val="-16"/>
          <w:sz w:val="21"/>
        </w:rPr>
        <w:t> 时，宜采 </w:t>
      </w:r>
      <w:r>
        <w:rPr>
          <w:spacing w:val="-10"/>
          <w:sz w:val="21"/>
        </w:rPr>
        <w:t>用法兰连接。钢制管道附件应内外防腐处理，防腐处理宜采用符合环保要求的方式。使用在腐蚀</w:t>
      </w:r>
      <w:r>
        <w:rPr>
          <w:spacing w:val="-3"/>
          <w:sz w:val="21"/>
        </w:rPr>
        <w:t>性较大的环境里，应采用不锈钢的管道附件。</w:t>
      </w:r>
      <w:r>
        <w:rPr>
          <w:sz w:val="21"/>
        </w:rPr>
        <w:t> </w:t>
      </w:r>
    </w:p>
    <w:p>
      <w:pPr>
        <w:pStyle w:val="ListParagraph"/>
        <w:numPr>
          <w:ilvl w:val="2"/>
          <w:numId w:val="376"/>
        </w:numPr>
        <w:tabs>
          <w:tab w:pos="1478" w:val="left" w:leader="none"/>
        </w:tabs>
        <w:spacing w:line="268" w:lineRule="exact" w:before="0" w:after="0"/>
        <w:ind w:left="1477" w:right="0" w:hanging="638"/>
        <w:jc w:val="both"/>
        <w:rPr>
          <w:sz w:val="21"/>
        </w:rPr>
      </w:pPr>
      <w:r>
        <w:rPr>
          <w:spacing w:val="-3"/>
          <w:sz w:val="21"/>
        </w:rPr>
        <w:t>系统组件与管道的公称工作压力，不应小于在最高环境温度下所承受的工作压力。</w:t>
      </w:r>
      <w:r>
        <w:rPr>
          <w:sz w:val="21"/>
        </w:rPr>
        <w:t> </w:t>
      </w:r>
    </w:p>
    <w:p>
      <w:pPr>
        <w:pStyle w:val="BodyText"/>
        <w:spacing w:before="11"/>
        <w:rPr>
          <w:sz w:val="17"/>
        </w:rPr>
      </w:pPr>
    </w:p>
    <w:p>
      <w:pPr>
        <w:pStyle w:val="ListParagraph"/>
        <w:numPr>
          <w:ilvl w:val="2"/>
          <w:numId w:val="376"/>
        </w:numPr>
        <w:tabs>
          <w:tab w:pos="1478" w:val="left" w:leader="none"/>
        </w:tabs>
        <w:spacing w:line="240" w:lineRule="auto" w:before="1" w:after="0"/>
        <w:ind w:left="1477" w:right="0" w:hanging="638"/>
        <w:jc w:val="both"/>
        <w:rPr>
          <w:sz w:val="21"/>
        </w:rPr>
      </w:pPr>
      <w:r>
        <w:rPr>
          <w:spacing w:val="-3"/>
          <w:sz w:val="21"/>
        </w:rPr>
        <w:t>系统组件的特性参数应由国家法定检测机构验证或测定。</w:t>
      </w:r>
      <w:r>
        <w:rPr>
          <w:sz w:val="21"/>
        </w:rPr>
        <w:t> </w:t>
      </w:r>
    </w:p>
    <w:p>
      <w:pPr>
        <w:pStyle w:val="BodyText"/>
        <w:spacing w:before="12"/>
        <w:rPr>
          <w:sz w:val="17"/>
        </w:rPr>
      </w:pPr>
    </w:p>
    <w:p>
      <w:pPr>
        <w:pStyle w:val="ListParagraph"/>
        <w:numPr>
          <w:ilvl w:val="1"/>
          <w:numId w:val="374"/>
        </w:numPr>
        <w:tabs>
          <w:tab w:pos="1159" w:val="left" w:leader="none"/>
        </w:tabs>
        <w:spacing w:line="240" w:lineRule="auto" w:before="0" w:after="0"/>
        <w:ind w:left="1158" w:right="0" w:hanging="319"/>
        <w:jc w:val="left"/>
        <w:rPr>
          <w:sz w:val="21"/>
        </w:rPr>
      </w:pPr>
      <w:r>
        <w:rPr>
          <w:spacing w:val="-3"/>
          <w:sz w:val="21"/>
        </w:rPr>
        <w:t>七氟丙烷灭火系统组件专用要求</w:t>
      </w:r>
      <w:r>
        <w:rPr>
          <w:sz w:val="21"/>
        </w:rPr>
        <w:t> </w:t>
      </w:r>
    </w:p>
    <w:p>
      <w:pPr>
        <w:pStyle w:val="BodyText"/>
        <w:spacing w:before="2"/>
        <w:rPr>
          <w:sz w:val="18"/>
        </w:rPr>
      </w:pPr>
    </w:p>
    <w:p>
      <w:pPr>
        <w:pStyle w:val="ListParagraph"/>
        <w:numPr>
          <w:ilvl w:val="2"/>
          <w:numId w:val="374"/>
        </w:numPr>
        <w:tabs>
          <w:tab w:pos="1371" w:val="left" w:leader="none"/>
        </w:tabs>
        <w:spacing w:line="240" w:lineRule="auto" w:before="0" w:after="0"/>
        <w:ind w:left="1370" w:right="0" w:hanging="531"/>
        <w:jc w:val="left"/>
        <w:rPr>
          <w:sz w:val="21"/>
        </w:rPr>
      </w:pPr>
      <w:r>
        <w:rPr>
          <w:sz w:val="21"/>
        </w:rPr>
        <w:t>储存容器或容器阀以及组合分配系统集流管上的安全泄压装置的动作压力，应符合</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下列规定： </w:t>
      </w:r>
    </w:p>
    <w:p>
      <w:pPr>
        <w:pStyle w:val="BodyText"/>
        <w:rPr>
          <w:sz w:val="18"/>
        </w:rPr>
      </w:pPr>
    </w:p>
    <w:p>
      <w:pPr>
        <w:pStyle w:val="ListParagraph"/>
        <w:numPr>
          <w:ilvl w:val="0"/>
          <w:numId w:val="378"/>
        </w:numPr>
        <w:tabs>
          <w:tab w:pos="1367" w:val="left" w:leader="none"/>
        </w:tabs>
        <w:spacing w:line="240" w:lineRule="auto" w:before="0" w:after="0"/>
        <w:ind w:left="1367" w:right="0" w:hanging="529"/>
        <w:jc w:val="left"/>
        <w:rPr>
          <w:sz w:val="21"/>
        </w:rPr>
      </w:pPr>
      <w:r>
        <w:rPr>
          <w:spacing w:val="-8"/>
          <w:sz w:val="21"/>
        </w:rPr>
        <w:t>储存容器增压压力为 </w:t>
      </w:r>
      <w:r>
        <w:rPr>
          <w:sz w:val="21"/>
        </w:rPr>
        <w:t>2.5MPa</w:t>
      </w:r>
      <w:r>
        <w:rPr>
          <w:spacing w:val="-20"/>
          <w:sz w:val="21"/>
        </w:rPr>
        <w:t> 时，应为 </w:t>
      </w:r>
      <w:r>
        <w:rPr>
          <w:sz w:val="21"/>
        </w:rPr>
        <w:t>5.0±0.25MPa</w:t>
      </w:r>
      <w:r>
        <w:rPr>
          <w:spacing w:val="-3"/>
          <w:sz w:val="21"/>
        </w:rPr>
        <w:t>(表压)；</w:t>
      </w:r>
      <w:r>
        <w:rPr>
          <w:sz w:val="21"/>
        </w:rPr>
        <w:t> </w:t>
      </w:r>
    </w:p>
    <w:p>
      <w:pPr>
        <w:pStyle w:val="BodyText"/>
        <w:spacing w:before="2"/>
        <w:rPr>
          <w:sz w:val="17"/>
        </w:rPr>
      </w:pPr>
    </w:p>
    <w:p>
      <w:pPr>
        <w:pStyle w:val="ListParagraph"/>
        <w:numPr>
          <w:ilvl w:val="0"/>
          <w:numId w:val="378"/>
        </w:numPr>
        <w:tabs>
          <w:tab w:pos="1367" w:val="left" w:leader="none"/>
        </w:tabs>
        <w:spacing w:line="439" w:lineRule="auto" w:before="1" w:after="0"/>
        <w:ind w:left="418" w:right="1325" w:firstLine="419"/>
        <w:jc w:val="left"/>
        <w:rPr>
          <w:sz w:val="21"/>
        </w:rPr>
      </w:pPr>
      <w:r>
        <w:rPr>
          <w:spacing w:val="-7"/>
          <w:sz w:val="21"/>
        </w:rPr>
        <w:t>储存容器增压压力为 </w:t>
      </w:r>
      <w:r>
        <w:rPr>
          <w:sz w:val="21"/>
        </w:rPr>
        <w:t>4.2MPa</w:t>
      </w:r>
      <w:r>
        <w:rPr>
          <w:spacing w:val="-7"/>
          <w:sz w:val="21"/>
        </w:rPr>
        <w:t>，最大充装量为 </w:t>
      </w:r>
      <w:r>
        <w:rPr>
          <w:sz w:val="21"/>
        </w:rPr>
        <w:t>950kg/m</w:t>
      </w:r>
      <w:r>
        <w:rPr>
          <w:position w:val="11"/>
          <w:sz w:val="11"/>
        </w:rPr>
        <w:t>3</w:t>
      </w:r>
      <w:r>
        <w:rPr>
          <w:spacing w:val="-19"/>
          <w:position w:val="11"/>
          <w:sz w:val="11"/>
        </w:rPr>
        <w:t> </w:t>
      </w:r>
      <w:r>
        <w:rPr>
          <w:spacing w:val="-10"/>
          <w:sz w:val="21"/>
        </w:rPr>
        <w:t>时，应为 </w:t>
      </w:r>
      <w:r>
        <w:rPr>
          <w:sz w:val="21"/>
        </w:rPr>
        <w:t>7.0±0.35MPa</w:t>
      </w:r>
      <w:r>
        <w:rPr>
          <w:spacing w:val="-2"/>
          <w:sz w:val="21"/>
        </w:rPr>
        <w:t>(表压)； </w:t>
      </w:r>
      <w:r>
        <w:rPr>
          <w:spacing w:val="-11"/>
          <w:sz w:val="21"/>
        </w:rPr>
        <w:t>最大充装量为 </w:t>
      </w:r>
      <w:r>
        <w:rPr>
          <w:sz w:val="21"/>
        </w:rPr>
        <w:t>1120kg/m</w:t>
      </w:r>
      <w:r>
        <w:rPr>
          <w:position w:val="11"/>
          <w:sz w:val="11"/>
        </w:rPr>
        <w:t>3</w:t>
      </w:r>
      <w:r>
        <w:rPr>
          <w:spacing w:val="-29"/>
          <w:position w:val="11"/>
          <w:sz w:val="11"/>
        </w:rPr>
        <w:t> </w:t>
      </w:r>
      <w:r>
        <w:rPr>
          <w:spacing w:val="-13"/>
          <w:sz w:val="21"/>
        </w:rPr>
        <w:t>时，应为 </w:t>
      </w:r>
      <w:r>
        <w:rPr>
          <w:sz w:val="21"/>
        </w:rPr>
        <w:t>8.4±0.42MPa</w:t>
      </w:r>
      <w:r>
        <w:rPr>
          <w:spacing w:val="-2"/>
          <w:sz w:val="21"/>
        </w:rPr>
        <w:t>(表压)； </w:t>
      </w:r>
    </w:p>
    <w:p>
      <w:pPr>
        <w:pStyle w:val="ListParagraph"/>
        <w:numPr>
          <w:ilvl w:val="0"/>
          <w:numId w:val="378"/>
        </w:numPr>
        <w:tabs>
          <w:tab w:pos="1367" w:val="left" w:leader="none"/>
        </w:tabs>
        <w:spacing w:line="240" w:lineRule="auto" w:before="6" w:after="0"/>
        <w:ind w:left="1367" w:right="0" w:hanging="529"/>
        <w:jc w:val="left"/>
        <w:rPr>
          <w:sz w:val="21"/>
        </w:rPr>
      </w:pPr>
      <w:r>
        <w:rPr>
          <w:spacing w:val="-8"/>
          <w:sz w:val="21"/>
        </w:rPr>
        <w:t>储存容器增压压力为 </w:t>
      </w:r>
      <w:r>
        <w:rPr>
          <w:sz w:val="21"/>
        </w:rPr>
        <w:t>5.6MPa</w:t>
      </w:r>
      <w:r>
        <w:rPr>
          <w:spacing w:val="-20"/>
          <w:sz w:val="21"/>
        </w:rPr>
        <w:t> 时，应为 </w:t>
      </w:r>
      <w:r>
        <w:rPr>
          <w:sz w:val="21"/>
        </w:rPr>
        <w:t>10.0±0.50MPa</w:t>
      </w:r>
      <w:r>
        <w:rPr>
          <w:spacing w:val="-2"/>
          <w:sz w:val="21"/>
        </w:rPr>
        <w:t>(表压)。</w:t>
      </w:r>
      <w:r>
        <w:rPr>
          <w:sz w:val="21"/>
        </w:rPr>
        <w:t> </w:t>
      </w:r>
    </w:p>
    <w:p>
      <w:pPr>
        <w:pStyle w:val="BodyText"/>
        <w:spacing w:before="12"/>
        <w:rPr>
          <w:sz w:val="17"/>
        </w:rPr>
      </w:pPr>
    </w:p>
    <w:p>
      <w:pPr>
        <w:pStyle w:val="ListParagraph"/>
        <w:numPr>
          <w:ilvl w:val="2"/>
          <w:numId w:val="374"/>
        </w:numPr>
        <w:tabs>
          <w:tab w:pos="1426" w:val="left" w:leader="none"/>
        </w:tabs>
        <w:spacing w:line="446" w:lineRule="auto" w:before="0" w:after="0"/>
        <w:ind w:left="418" w:right="1430" w:firstLine="422"/>
        <w:jc w:val="left"/>
        <w:rPr>
          <w:sz w:val="21"/>
        </w:rPr>
      </w:pPr>
      <w:r>
        <w:rPr>
          <w:spacing w:val="-10"/>
          <w:sz w:val="21"/>
        </w:rPr>
        <w:t>增压压力为 </w:t>
      </w:r>
      <w:r>
        <w:rPr>
          <w:sz w:val="21"/>
        </w:rPr>
        <w:t>2.5MPa</w:t>
      </w:r>
      <w:r>
        <w:rPr>
          <w:spacing w:val="-10"/>
          <w:sz w:val="21"/>
        </w:rPr>
        <w:t> 的储存容器宜采用焊接容器；增压压力为 </w:t>
      </w:r>
      <w:r>
        <w:rPr>
          <w:sz w:val="21"/>
        </w:rPr>
        <w:t>4.2MPa</w:t>
      </w:r>
      <w:r>
        <w:rPr>
          <w:spacing w:val="-8"/>
          <w:sz w:val="21"/>
        </w:rPr>
        <w:t> 的储存容器，可采用焊接容器或无缝容器；增压压力为 </w:t>
      </w:r>
      <w:r>
        <w:rPr>
          <w:sz w:val="21"/>
        </w:rPr>
        <w:t>5.6MPa</w:t>
      </w:r>
      <w:r>
        <w:rPr>
          <w:spacing w:val="-9"/>
          <w:sz w:val="21"/>
        </w:rPr>
        <w:t> 的储存容器，应采用无缝容器。 </w:t>
      </w:r>
    </w:p>
    <w:p>
      <w:pPr>
        <w:pStyle w:val="ListParagraph"/>
        <w:numPr>
          <w:ilvl w:val="2"/>
          <w:numId w:val="374"/>
        </w:numPr>
        <w:tabs>
          <w:tab w:pos="1371" w:val="left" w:leader="none"/>
        </w:tabs>
        <w:spacing w:line="240" w:lineRule="auto" w:before="0" w:after="0"/>
        <w:ind w:left="1370" w:right="0" w:hanging="531"/>
        <w:jc w:val="left"/>
        <w:rPr>
          <w:sz w:val="21"/>
        </w:rPr>
      </w:pPr>
      <w:r>
        <w:rPr>
          <w:spacing w:val="-3"/>
          <w:sz w:val="21"/>
        </w:rPr>
        <w:t>在容器阀和集流管之间的管道上应设单向阀。 </w:t>
      </w:r>
    </w:p>
    <w:p>
      <w:pPr>
        <w:pStyle w:val="BodyText"/>
        <w:rPr>
          <w:sz w:val="18"/>
        </w:rPr>
      </w:pPr>
    </w:p>
    <w:p>
      <w:pPr>
        <w:pStyle w:val="ListParagraph"/>
        <w:numPr>
          <w:ilvl w:val="1"/>
          <w:numId w:val="374"/>
        </w:numPr>
        <w:tabs>
          <w:tab w:pos="1159" w:val="left" w:leader="none"/>
        </w:tabs>
        <w:spacing w:line="240" w:lineRule="auto" w:before="0" w:after="0"/>
        <w:ind w:left="1158" w:right="0" w:hanging="319"/>
        <w:jc w:val="left"/>
        <w:rPr>
          <w:b/>
          <w:sz w:val="21"/>
        </w:rPr>
      </w:pPr>
      <w:r>
        <w:rPr>
          <w:sz w:val="21"/>
        </w:rPr>
        <w:t>IG541</w:t>
      </w:r>
      <w:r>
        <w:rPr>
          <w:spacing w:val="-8"/>
          <w:sz w:val="21"/>
        </w:rPr>
        <w:t> 混合气体灭火系统组件专用要求</w:t>
      </w:r>
      <w:r>
        <w:rPr>
          <w:b/>
          <w:w w:val="99"/>
          <w:sz w:val="21"/>
        </w:rPr>
        <w:t> </w:t>
      </w:r>
    </w:p>
    <w:p>
      <w:pPr>
        <w:pStyle w:val="BodyText"/>
        <w:spacing w:before="2"/>
        <w:rPr>
          <w:b/>
          <w:sz w:val="18"/>
        </w:rPr>
      </w:pPr>
    </w:p>
    <w:p>
      <w:pPr>
        <w:pStyle w:val="ListParagraph"/>
        <w:numPr>
          <w:ilvl w:val="2"/>
          <w:numId w:val="374"/>
        </w:numPr>
        <w:tabs>
          <w:tab w:pos="1438" w:val="left" w:leader="none"/>
        </w:tabs>
        <w:spacing w:line="446" w:lineRule="auto" w:before="0" w:after="0"/>
        <w:ind w:left="418" w:right="1431" w:firstLine="422"/>
        <w:jc w:val="left"/>
        <w:rPr>
          <w:sz w:val="21"/>
        </w:rPr>
      </w:pPr>
      <w:r>
        <w:rPr>
          <w:spacing w:val="-3"/>
          <w:sz w:val="21"/>
        </w:rPr>
        <w:t>储存容器或容器阀以及组合分配系统集流管上的安全泄压装置的动作压力，应符合下列规定：</w:t>
      </w:r>
      <w:r>
        <w:rPr>
          <w:sz w:val="21"/>
        </w:rPr>
        <w:t> </w:t>
      </w:r>
    </w:p>
    <w:p>
      <w:pPr>
        <w:pStyle w:val="BodyText"/>
        <w:spacing w:line="267" w:lineRule="exact"/>
        <w:ind w:left="838"/>
      </w:pPr>
      <w:r>
        <w:rPr/>
        <w:t>（1）</w:t>
      </w:r>
      <w:r>
        <w:rPr>
          <w:spacing w:val="-2"/>
        </w:rPr>
        <w:t>一级充压(</w:t>
      </w:r>
      <w:r>
        <w:rPr/>
        <w:t>15.0MPa</w:t>
      </w:r>
      <w:r>
        <w:rPr>
          <w:spacing w:val="-9"/>
        </w:rPr>
        <w:t>)系统，应为 </w:t>
      </w:r>
      <w:r>
        <w:rPr/>
        <w:t>20.7±1.0MPa</w:t>
      </w:r>
      <w:r>
        <w:rPr>
          <w:spacing w:val="-2"/>
        </w:rPr>
        <w:t>(表压)；</w:t>
      </w:r>
      <w:r>
        <w:rPr/>
        <w:t> </w:t>
      </w:r>
    </w:p>
    <w:p>
      <w:pPr>
        <w:pStyle w:val="BodyText"/>
        <w:spacing w:before="2"/>
        <w:rPr>
          <w:sz w:val="18"/>
        </w:rPr>
      </w:pPr>
    </w:p>
    <w:p>
      <w:pPr>
        <w:pStyle w:val="BodyText"/>
        <w:ind w:left="838"/>
      </w:pPr>
      <w:r>
        <w:rPr/>
        <w:t>（2）</w:t>
      </w:r>
      <w:r>
        <w:rPr>
          <w:spacing w:val="-2"/>
        </w:rPr>
        <w:t>二级充压(</w:t>
      </w:r>
      <w:r>
        <w:rPr/>
        <w:t>20.0MPa</w:t>
      </w:r>
      <w:r>
        <w:rPr>
          <w:spacing w:val="-9"/>
        </w:rPr>
        <w:t>)系统，应为 </w:t>
      </w:r>
      <w:r>
        <w:rPr/>
        <w:t>27.6±1.4MPa</w:t>
      </w:r>
      <w:r>
        <w:rPr>
          <w:spacing w:val="-2"/>
        </w:rPr>
        <w:t>(表压)。</w:t>
      </w:r>
      <w:r>
        <w:rPr/>
        <w:t> </w:t>
      </w:r>
    </w:p>
    <w:p>
      <w:pPr>
        <w:pStyle w:val="BodyText"/>
        <w:spacing w:before="12"/>
        <w:rPr>
          <w:sz w:val="17"/>
        </w:rPr>
      </w:pPr>
    </w:p>
    <w:p>
      <w:pPr>
        <w:pStyle w:val="ListParagraph"/>
        <w:numPr>
          <w:ilvl w:val="2"/>
          <w:numId w:val="374"/>
        </w:numPr>
        <w:tabs>
          <w:tab w:pos="1424" w:val="left" w:leader="none"/>
        </w:tabs>
        <w:spacing w:line="240" w:lineRule="auto" w:before="0" w:after="0"/>
        <w:ind w:left="1423" w:right="0" w:hanging="584"/>
        <w:jc w:val="left"/>
        <w:rPr>
          <w:sz w:val="21"/>
        </w:rPr>
      </w:pPr>
      <w:r>
        <w:rPr>
          <w:spacing w:val="-3"/>
          <w:sz w:val="21"/>
        </w:rPr>
        <w:t>储存容器应采用无缝容器。</w:t>
      </w:r>
      <w:r>
        <w:rPr>
          <w:sz w:val="21"/>
        </w:rPr>
        <w:t> </w:t>
      </w:r>
    </w:p>
    <w:p>
      <w:pPr>
        <w:pStyle w:val="BodyText"/>
        <w:rPr>
          <w:sz w:val="18"/>
        </w:rPr>
      </w:pPr>
    </w:p>
    <w:p>
      <w:pPr>
        <w:pStyle w:val="ListParagraph"/>
        <w:numPr>
          <w:ilvl w:val="1"/>
          <w:numId w:val="374"/>
        </w:numPr>
        <w:tabs>
          <w:tab w:pos="1159" w:val="left" w:leader="none"/>
        </w:tabs>
        <w:spacing w:line="240" w:lineRule="auto" w:before="0" w:after="0"/>
        <w:ind w:left="1158" w:right="0" w:hanging="319"/>
        <w:jc w:val="left"/>
        <w:rPr>
          <w:b/>
          <w:sz w:val="21"/>
        </w:rPr>
      </w:pPr>
      <w:r>
        <w:rPr>
          <w:spacing w:val="-3"/>
          <w:sz w:val="21"/>
        </w:rPr>
        <w:t>热气溶胶预制灭火系统组件专用要求</w:t>
      </w:r>
      <w:r>
        <w:rPr>
          <w:b/>
          <w:w w:val="99"/>
          <w:sz w:val="21"/>
        </w:rPr>
        <w:t> </w:t>
      </w:r>
    </w:p>
    <w:p>
      <w:pPr>
        <w:pStyle w:val="BodyText"/>
        <w:spacing w:before="2"/>
        <w:rPr>
          <w:b/>
          <w:sz w:val="18"/>
        </w:rPr>
      </w:pPr>
    </w:p>
    <w:p>
      <w:pPr>
        <w:pStyle w:val="ListParagraph"/>
        <w:numPr>
          <w:ilvl w:val="2"/>
          <w:numId w:val="374"/>
        </w:numPr>
        <w:tabs>
          <w:tab w:pos="1424" w:val="left" w:leader="none"/>
        </w:tabs>
        <w:spacing w:line="446" w:lineRule="auto" w:before="0" w:after="0"/>
        <w:ind w:left="840" w:right="4074" w:firstLine="0"/>
        <w:jc w:val="left"/>
        <w:rPr>
          <w:b/>
          <w:sz w:val="21"/>
        </w:rPr>
      </w:pPr>
      <w:r>
        <w:rPr>
          <w:spacing w:val="-3"/>
          <w:sz w:val="21"/>
        </w:rPr>
        <w:t>一台以上灭火装置之间的电启动线路应采用串联连接。</w:t>
      </w:r>
      <w:r>
        <w:rPr>
          <w:b/>
          <w:sz w:val="21"/>
        </w:rPr>
        <w:t>4.4.2</w:t>
      </w:r>
      <w:r>
        <w:rPr>
          <w:b/>
          <w:spacing w:val="105"/>
          <w:sz w:val="21"/>
        </w:rPr>
        <w:t> </w:t>
      </w:r>
      <w:r>
        <w:rPr>
          <w:spacing w:val="-3"/>
          <w:sz w:val="21"/>
        </w:rPr>
        <w:t>每台灭火装置均应具备启动反馈功能。</w:t>
      </w:r>
      <w:r>
        <w:rPr>
          <w:b/>
          <w:spacing w:val="-3"/>
          <w:w w:val="99"/>
          <w:sz w:val="21"/>
        </w:rPr>
        <w:t> </w:t>
      </w:r>
    </w:p>
    <w:p>
      <w:pPr>
        <w:pStyle w:val="Heading4"/>
        <w:spacing w:line="275" w:lineRule="exact"/>
      </w:pPr>
      <w:r>
        <w:rPr/>
        <w:t>5 操作与控制</w:t>
      </w:r>
      <w:r>
        <w:rPr>
          <w:w w:val="99"/>
        </w:rPr>
        <w:t> </w:t>
      </w:r>
    </w:p>
    <w:p>
      <w:pPr>
        <w:pStyle w:val="BodyText"/>
        <w:spacing w:before="6"/>
        <w:rPr>
          <w:b/>
          <w:sz w:val="17"/>
        </w:rPr>
      </w:pPr>
    </w:p>
    <w:p>
      <w:pPr>
        <w:pStyle w:val="ListParagraph"/>
        <w:numPr>
          <w:ilvl w:val="1"/>
          <w:numId w:val="379"/>
        </w:numPr>
        <w:tabs>
          <w:tab w:pos="1213" w:val="left" w:leader="none"/>
        </w:tabs>
        <w:spacing w:line="446" w:lineRule="auto" w:before="0" w:after="0"/>
        <w:ind w:left="418" w:right="1433" w:firstLine="422"/>
        <w:jc w:val="both"/>
        <w:rPr>
          <w:sz w:val="21"/>
        </w:rPr>
      </w:pPr>
      <w:r>
        <w:rPr>
          <w:spacing w:val="-9"/>
          <w:sz w:val="21"/>
        </w:rPr>
        <w:t>采用气体灭火系统的防护区，应设置火灾自动报警系统,其设计应符合现行国家标准《火</w:t>
      </w:r>
      <w:r>
        <w:rPr>
          <w:spacing w:val="-5"/>
          <w:sz w:val="21"/>
        </w:rPr>
        <w:t>灾自动报警系统设计规范》</w:t>
      </w:r>
      <w:r>
        <w:rPr>
          <w:sz w:val="21"/>
        </w:rPr>
        <w:t>GB50116</w:t>
      </w:r>
      <w:r>
        <w:rPr>
          <w:spacing w:val="-8"/>
          <w:sz w:val="21"/>
        </w:rPr>
        <w:t> 的规定，并应选用灵敏度级别高的火灾探测器。</w:t>
      </w:r>
      <w:r>
        <w:rPr>
          <w:sz w:val="21"/>
        </w:rPr>
        <w:t> </w:t>
      </w:r>
    </w:p>
    <w:p>
      <w:pPr>
        <w:pStyle w:val="ListParagraph"/>
        <w:numPr>
          <w:ilvl w:val="1"/>
          <w:numId w:val="379"/>
        </w:numPr>
        <w:tabs>
          <w:tab w:pos="1159" w:val="left" w:leader="none"/>
        </w:tabs>
        <w:spacing w:line="446" w:lineRule="auto" w:before="0" w:after="0"/>
        <w:ind w:left="418" w:right="1438" w:firstLine="422"/>
        <w:jc w:val="both"/>
        <w:rPr>
          <w:sz w:val="21"/>
        </w:rPr>
      </w:pPr>
      <w:r>
        <w:rPr>
          <w:spacing w:val="-1"/>
          <w:sz w:val="21"/>
        </w:rPr>
        <w:t>管网灭火系统应设自动控制、手动控制和机械应急操作三种启动方式。预制灭火系统应</w:t>
      </w:r>
      <w:r>
        <w:rPr>
          <w:spacing w:val="-3"/>
          <w:sz w:val="21"/>
        </w:rPr>
        <w:t>设自动控制和手动控制两种启动方式。</w:t>
      </w:r>
      <w:r>
        <w:rPr>
          <w:sz w:val="21"/>
        </w:rPr>
        <w:t> </w:t>
      </w:r>
    </w:p>
    <w:p>
      <w:pPr>
        <w:pStyle w:val="ListParagraph"/>
        <w:numPr>
          <w:ilvl w:val="1"/>
          <w:numId w:val="379"/>
        </w:numPr>
        <w:tabs>
          <w:tab w:pos="1218" w:val="left" w:leader="none"/>
        </w:tabs>
        <w:spacing w:line="446" w:lineRule="auto" w:before="0" w:after="0"/>
        <w:ind w:left="418" w:right="1431" w:firstLine="422"/>
        <w:jc w:val="both"/>
        <w:rPr>
          <w:sz w:val="21"/>
        </w:rPr>
      </w:pPr>
      <w:r>
        <w:rPr>
          <w:spacing w:val="-4"/>
          <w:sz w:val="21"/>
        </w:rPr>
        <w:t>采用自动控制启动方式时，根据人员安全撤离防护区的需要，应有不大于 </w:t>
      </w:r>
      <w:r>
        <w:rPr>
          <w:sz w:val="21"/>
        </w:rPr>
        <w:t>30s</w:t>
      </w:r>
      <w:r>
        <w:rPr>
          <w:spacing w:val="-8"/>
          <w:sz w:val="21"/>
        </w:rPr>
        <w:t> 的可控延</w:t>
      </w:r>
      <w:r>
        <w:rPr>
          <w:spacing w:val="-5"/>
          <w:sz w:val="21"/>
        </w:rPr>
        <w:t>迟喷射；对于平时无人工作的防护区，可设置为无延迟的喷射。</w:t>
      </w:r>
      <w:r>
        <w:rPr>
          <w:sz w:val="21"/>
        </w:rPr>
        <w:t> </w:t>
      </w:r>
    </w:p>
    <w:p>
      <w:pPr>
        <w:pStyle w:val="ListParagraph"/>
        <w:numPr>
          <w:ilvl w:val="1"/>
          <w:numId w:val="379"/>
        </w:numPr>
        <w:tabs>
          <w:tab w:pos="1246" w:val="left" w:leader="none"/>
        </w:tabs>
        <w:spacing w:line="446" w:lineRule="auto" w:before="0" w:after="0"/>
        <w:ind w:left="418" w:right="1431" w:firstLine="422"/>
        <w:jc w:val="both"/>
        <w:rPr>
          <w:sz w:val="21"/>
        </w:rPr>
      </w:pPr>
      <w:r>
        <w:rPr>
          <w:spacing w:val="-3"/>
          <w:sz w:val="21"/>
        </w:rPr>
        <w:t>灭火设计浓度或实际使用浓度大于无毒性反应浓度(</w:t>
      </w:r>
      <w:r>
        <w:rPr>
          <w:sz w:val="21"/>
        </w:rPr>
        <w:t>NOAEL</w:t>
      </w:r>
      <w:r>
        <w:rPr>
          <w:spacing w:val="-3"/>
          <w:sz w:val="21"/>
        </w:rPr>
        <w:t> 浓度)的防护区和采用热气溶</w:t>
      </w:r>
      <w:r>
        <w:rPr>
          <w:spacing w:val="-6"/>
          <w:sz w:val="21"/>
        </w:rPr>
        <w:t>胶预制灭火系统的防护区，应设手动与自动控制的转换装置。当人员进入防护区时，应能将灭火</w:t>
      </w:r>
      <w:r>
        <w:rPr>
          <w:spacing w:val="-8"/>
          <w:sz w:val="21"/>
        </w:rPr>
        <w:t>系统转换为手动控制方式；当人员离开时，应能恢复为自动控制方式。防护区内外应设手动、自</w:t>
      </w:r>
      <w:r>
        <w:rPr>
          <w:spacing w:val="-5"/>
          <w:sz w:val="21"/>
        </w:rPr>
        <w:t>动控制状态的显示装置。</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1"/>
          <w:numId w:val="379"/>
        </w:numPr>
        <w:tabs>
          <w:tab w:pos="1230" w:val="left" w:leader="none"/>
        </w:tabs>
        <w:spacing w:line="446" w:lineRule="auto" w:before="47" w:after="0"/>
        <w:ind w:left="418" w:right="1431" w:firstLine="422"/>
        <w:jc w:val="both"/>
        <w:rPr>
          <w:sz w:val="21"/>
        </w:rPr>
      </w:pPr>
      <w:r>
        <w:rPr>
          <w:spacing w:val="-3"/>
          <w:sz w:val="21"/>
        </w:rPr>
        <w:t>自动控制装置应在接到两个独立的火灾信号后才能启动。手动控制装置和手动与自动转</w:t>
      </w:r>
      <w:r>
        <w:rPr>
          <w:spacing w:val="-6"/>
          <w:sz w:val="21"/>
        </w:rPr>
        <w:t>换装置应设在防护区疏散出口的门外便于操作的地方，安装高度为中心点距地面 </w:t>
      </w:r>
      <w:r>
        <w:rPr>
          <w:sz w:val="21"/>
        </w:rPr>
        <w:t>1.5m</w:t>
      </w:r>
      <w:r>
        <w:rPr>
          <w:spacing w:val="-10"/>
          <w:sz w:val="21"/>
        </w:rPr>
        <w:t>。机械应急</w:t>
      </w:r>
      <w:r>
        <w:rPr>
          <w:spacing w:val="-5"/>
          <w:sz w:val="21"/>
        </w:rPr>
        <w:t>操作装置应设在储瓶间内或防护区疏散出口门外便于操作的地方。</w:t>
      </w:r>
      <w:r>
        <w:rPr>
          <w:sz w:val="21"/>
        </w:rPr>
        <w:t> </w:t>
      </w:r>
    </w:p>
    <w:p>
      <w:pPr>
        <w:pStyle w:val="ListParagraph"/>
        <w:numPr>
          <w:ilvl w:val="1"/>
          <w:numId w:val="379"/>
        </w:numPr>
        <w:tabs>
          <w:tab w:pos="1230" w:val="left" w:leader="none"/>
        </w:tabs>
        <w:spacing w:line="446" w:lineRule="auto" w:before="0" w:after="0"/>
        <w:ind w:left="418" w:right="1431" w:firstLine="422"/>
        <w:jc w:val="both"/>
        <w:rPr>
          <w:sz w:val="21"/>
        </w:rPr>
      </w:pPr>
      <w:r>
        <w:rPr>
          <w:spacing w:val="-3"/>
          <w:sz w:val="21"/>
        </w:rPr>
        <w:t>气体灭火系统的操作与控制，应包括对开口封闭装置、通风机械和防火阀等设备的联动操作与控制。</w:t>
      </w:r>
      <w:r>
        <w:rPr>
          <w:sz w:val="21"/>
        </w:rPr>
        <w:t> </w:t>
      </w:r>
    </w:p>
    <w:p>
      <w:pPr>
        <w:pStyle w:val="ListParagraph"/>
        <w:numPr>
          <w:ilvl w:val="1"/>
          <w:numId w:val="379"/>
        </w:numPr>
        <w:tabs>
          <w:tab w:pos="1213" w:val="left" w:leader="none"/>
        </w:tabs>
        <w:spacing w:line="446" w:lineRule="auto" w:before="0" w:after="0"/>
        <w:ind w:left="840" w:right="1431" w:firstLine="0"/>
        <w:jc w:val="both"/>
        <w:rPr>
          <w:sz w:val="21"/>
        </w:rPr>
      </w:pPr>
      <w:r>
        <w:rPr>
          <w:spacing w:val="-3"/>
          <w:sz w:val="21"/>
        </w:rPr>
        <w:t>设有消防控制室的场所，各防护区灭火控制系统的有关信息，应传送给消防控制室。</w:t>
      </w:r>
      <w:r>
        <w:rPr>
          <w:b/>
          <w:sz w:val="21"/>
        </w:rPr>
        <w:t>5.8</w:t>
      </w:r>
      <w:r>
        <w:rPr>
          <w:b/>
          <w:spacing w:val="43"/>
          <w:sz w:val="21"/>
        </w:rPr>
        <w:t> </w:t>
      </w:r>
      <w:r>
        <w:rPr>
          <w:spacing w:val="-12"/>
          <w:sz w:val="21"/>
        </w:rPr>
        <w:t>气体灭火系统的电源，应符合国家现行有关消防技术标准的规定；采用气动力源时，应</w:t>
      </w:r>
    </w:p>
    <w:p>
      <w:pPr>
        <w:pStyle w:val="BodyText"/>
        <w:ind w:left="418"/>
      </w:pPr>
      <w:r>
        <w:rPr/>
        <w:t>保证系统操作和控制需要的压力和气量。 </w:t>
      </w:r>
    </w:p>
    <w:p>
      <w:pPr>
        <w:pStyle w:val="BodyText"/>
        <w:spacing w:before="9"/>
        <w:rPr>
          <w:sz w:val="17"/>
        </w:rPr>
      </w:pPr>
    </w:p>
    <w:p>
      <w:pPr>
        <w:pStyle w:val="BodyText"/>
        <w:spacing w:before="1"/>
        <w:ind w:left="840"/>
        <w:jc w:val="both"/>
      </w:pPr>
      <w:r>
        <w:rPr>
          <w:b/>
        </w:rPr>
        <w:t>5.9 </w:t>
      </w:r>
      <w:r>
        <w:rPr/>
        <w:t>组合分配系统启动时，选择阀应在容器阀开启前或同时打开。 </w:t>
      </w:r>
    </w:p>
    <w:p>
      <w:pPr>
        <w:pStyle w:val="BodyText"/>
        <w:spacing w:before="10"/>
        <w:rPr>
          <w:sz w:val="15"/>
        </w:rPr>
      </w:pPr>
    </w:p>
    <w:p>
      <w:pPr>
        <w:pStyle w:val="Heading4"/>
      </w:pPr>
      <w:r>
        <w:rPr/>
        <w:t>6 安全要求</w:t>
      </w:r>
      <w:r>
        <w:rPr>
          <w:w w:val="99"/>
        </w:rPr>
        <w:t> </w:t>
      </w:r>
    </w:p>
    <w:p>
      <w:pPr>
        <w:pStyle w:val="BodyText"/>
        <w:spacing w:before="4"/>
        <w:rPr>
          <w:b/>
          <w:sz w:val="17"/>
        </w:rPr>
      </w:pPr>
    </w:p>
    <w:p>
      <w:pPr>
        <w:pStyle w:val="ListParagraph"/>
        <w:numPr>
          <w:ilvl w:val="1"/>
          <w:numId w:val="380"/>
        </w:numPr>
        <w:tabs>
          <w:tab w:pos="1160" w:val="left" w:leader="none"/>
        </w:tabs>
        <w:spacing w:line="240" w:lineRule="auto" w:before="0" w:after="0"/>
        <w:ind w:left="1159" w:right="0" w:hanging="320"/>
        <w:jc w:val="both"/>
        <w:rPr>
          <w:sz w:val="21"/>
        </w:rPr>
      </w:pPr>
      <w:r>
        <w:rPr>
          <w:spacing w:val="-8"/>
          <w:sz w:val="21"/>
        </w:rPr>
        <w:t>防护区应有保证人员在 </w:t>
      </w:r>
      <w:r>
        <w:rPr>
          <w:sz w:val="21"/>
        </w:rPr>
        <w:t>30s</w:t>
      </w:r>
      <w:r>
        <w:rPr>
          <w:spacing w:val="-9"/>
          <w:sz w:val="21"/>
        </w:rPr>
        <w:t> 内疏散完毕的通道和出口。</w:t>
      </w:r>
      <w:r>
        <w:rPr>
          <w:sz w:val="21"/>
        </w:rPr>
        <w:t> </w:t>
      </w:r>
    </w:p>
    <w:p>
      <w:pPr>
        <w:pStyle w:val="BodyText"/>
        <w:spacing w:before="12"/>
        <w:rPr>
          <w:sz w:val="17"/>
        </w:rPr>
      </w:pPr>
    </w:p>
    <w:p>
      <w:pPr>
        <w:pStyle w:val="ListParagraph"/>
        <w:numPr>
          <w:ilvl w:val="1"/>
          <w:numId w:val="380"/>
        </w:numPr>
        <w:tabs>
          <w:tab w:pos="1159" w:val="left" w:leader="none"/>
        </w:tabs>
        <w:spacing w:line="446" w:lineRule="auto" w:before="0" w:after="0"/>
        <w:ind w:left="418" w:right="1431" w:firstLine="422"/>
        <w:jc w:val="both"/>
        <w:rPr>
          <w:sz w:val="21"/>
        </w:rPr>
      </w:pPr>
      <w:r>
        <w:rPr>
          <w:sz w:val="21"/>
        </w:rPr>
        <w:t>防护区内的疏散通道及出口，应设应急照明与疏散指示标志。防护区内应设火灾声报警</w:t>
      </w:r>
      <w:r>
        <w:rPr>
          <w:spacing w:val="-19"/>
          <w:sz w:val="21"/>
        </w:rPr>
        <w:t>器，必要时，可增设闪光报警器。防护区的入口处应设火灾声、光报警器和灭火剂喷放指示灯，以</w:t>
      </w:r>
      <w:r>
        <w:rPr>
          <w:spacing w:val="-8"/>
          <w:sz w:val="21"/>
        </w:rPr>
        <w:t>及防护区采用的相应气体灭火系统的永久性标志牌。灭火剂喷放指示灯信号，应保持到防护区通</w:t>
      </w:r>
      <w:r>
        <w:rPr>
          <w:spacing w:val="-4"/>
          <w:sz w:val="21"/>
        </w:rPr>
        <w:t>风换气后，以手动方式解除。</w:t>
      </w:r>
      <w:r>
        <w:rPr>
          <w:sz w:val="21"/>
        </w:rPr>
        <w:t> </w:t>
      </w:r>
    </w:p>
    <w:p>
      <w:pPr>
        <w:pStyle w:val="ListParagraph"/>
        <w:numPr>
          <w:ilvl w:val="1"/>
          <w:numId w:val="380"/>
        </w:numPr>
        <w:tabs>
          <w:tab w:pos="1159" w:val="left" w:leader="none"/>
        </w:tabs>
        <w:spacing w:line="240" w:lineRule="auto" w:before="0" w:after="0"/>
        <w:ind w:left="1158" w:right="0" w:hanging="319"/>
        <w:jc w:val="both"/>
        <w:rPr>
          <w:sz w:val="21"/>
        </w:rPr>
      </w:pPr>
      <w:r>
        <w:rPr>
          <w:spacing w:val="-12"/>
          <w:sz w:val="21"/>
        </w:rPr>
        <w:t>防护区的门应向疏散方向开启，并能自行关闭；用于疏散的门必须能从防护区内打开。</w:t>
      </w:r>
      <w:r>
        <w:rPr>
          <w:sz w:val="21"/>
        </w:rPr>
        <w:t> </w:t>
      </w:r>
    </w:p>
    <w:p>
      <w:pPr>
        <w:pStyle w:val="BodyText"/>
        <w:rPr>
          <w:sz w:val="18"/>
        </w:rPr>
      </w:pPr>
    </w:p>
    <w:p>
      <w:pPr>
        <w:pStyle w:val="ListParagraph"/>
        <w:numPr>
          <w:ilvl w:val="1"/>
          <w:numId w:val="380"/>
        </w:numPr>
        <w:tabs>
          <w:tab w:pos="1159" w:val="left" w:leader="none"/>
        </w:tabs>
        <w:spacing w:line="446" w:lineRule="auto" w:before="0" w:after="0"/>
        <w:ind w:left="418" w:right="1430" w:firstLine="422"/>
        <w:jc w:val="both"/>
        <w:rPr>
          <w:sz w:val="21"/>
        </w:rPr>
      </w:pPr>
      <w:r>
        <w:rPr>
          <w:sz w:val="21"/>
        </w:rPr>
        <w:t>灭火后的防护区应通风换气，地下防护区和无窗或设固定窗扇的地上防护区，应设置机</w:t>
      </w:r>
      <w:r>
        <w:rPr>
          <w:spacing w:val="-7"/>
          <w:sz w:val="21"/>
        </w:rPr>
        <w:t>械排风装置，排风口宜设在防护区的下部并应直通室外。通信机房、电子计算机房等场所的通风</w:t>
      </w:r>
      <w:r>
        <w:rPr>
          <w:spacing w:val="-9"/>
          <w:sz w:val="21"/>
        </w:rPr>
        <w:t>换气次数应不少于每小时 </w:t>
      </w:r>
      <w:r>
        <w:rPr>
          <w:sz w:val="21"/>
        </w:rPr>
        <w:t>5</w:t>
      </w:r>
      <w:r>
        <w:rPr>
          <w:spacing w:val="-20"/>
          <w:sz w:val="21"/>
        </w:rPr>
        <w:t> 次。</w:t>
      </w:r>
      <w:r>
        <w:rPr>
          <w:sz w:val="21"/>
        </w:rPr>
        <w:t> </w:t>
      </w:r>
    </w:p>
    <w:p>
      <w:pPr>
        <w:pStyle w:val="ListParagraph"/>
        <w:numPr>
          <w:ilvl w:val="1"/>
          <w:numId w:val="380"/>
        </w:numPr>
        <w:tabs>
          <w:tab w:pos="1160" w:val="left" w:leader="none"/>
        </w:tabs>
        <w:spacing w:line="446" w:lineRule="auto" w:before="0" w:after="0"/>
        <w:ind w:left="418" w:right="1433" w:firstLine="422"/>
        <w:jc w:val="both"/>
        <w:rPr>
          <w:sz w:val="21"/>
        </w:rPr>
      </w:pPr>
      <w:r>
        <w:rPr>
          <w:spacing w:val="-12"/>
          <w:sz w:val="21"/>
        </w:rPr>
        <w:t>储瓶间的门应向外开启，储瓶间内应设应急照明；储瓶间应有良好的通风条件，地下储瓶</w:t>
      </w:r>
      <w:r>
        <w:rPr>
          <w:spacing w:val="-5"/>
          <w:sz w:val="21"/>
        </w:rPr>
        <w:t>间应设机械排风装置，排风口应设在下部，可通过排风管排出室外。</w:t>
      </w:r>
      <w:r>
        <w:rPr>
          <w:sz w:val="21"/>
        </w:rPr>
        <w:t> </w:t>
      </w:r>
    </w:p>
    <w:p>
      <w:pPr>
        <w:pStyle w:val="ListParagraph"/>
        <w:numPr>
          <w:ilvl w:val="1"/>
          <w:numId w:val="380"/>
        </w:numPr>
        <w:tabs>
          <w:tab w:pos="1159" w:val="left" w:leader="none"/>
        </w:tabs>
        <w:spacing w:line="446" w:lineRule="auto" w:before="0" w:after="0"/>
        <w:ind w:left="418" w:right="1431" w:firstLine="422"/>
        <w:jc w:val="both"/>
        <w:rPr>
          <w:sz w:val="21"/>
        </w:rPr>
      </w:pPr>
      <w:r>
        <w:rPr>
          <w:spacing w:val="-13"/>
          <w:sz w:val="21"/>
        </w:rPr>
        <w:t>经过有爆炸危险和变电、配电场所的管网、以及布设在以上场所的金属箱体等，应设防静</w:t>
      </w:r>
      <w:r>
        <w:rPr>
          <w:spacing w:val="-6"/>
          <w:sz w:val="21"/>
        </w:rPr>
        <w:t>电接地。</w:t>
      </w:r>
      <w:r>
        <w:rPr>
          <w:sz w:val="21"/>
        </w:rPr>
        <w:t> </w:t>
      </w:r>
    </w:p>
    <w:p>
      <w:pPr>
        <w:pStyle w:val="ListParagraph"/>
        <w:numPr>
          <w:ilvl w:val="1"/>
          <w:numId w:val="380"/>
        </w:numPr>
        <w:tabs>
          <w:tab w:pos="1159" w:val="left" w:leader="none"/>
        </w:tabs>
        <w:spacing w:line="446" w:lineRule="auto" w:before="0" w:after="0"/>
        <w:ind w:left="418" w:right="1431" w:firstLine="422"/>
        <w:jc w:val="both"/>
        <w:rPr>
          <w:sz w:val="21"/>
        </w:rPr>
      </w:pPr>
      <w:r>
        <w:rPr>
          <w:spacing w:val="-3"/>
          <w:sz w:val="21"/>
        </w:rPr>
        <w:t>有人工作防护区的灭火设计浓度或实际使用浓度，不应大于有毒性反应浓度(</w:t>
      </w:r>
      <w:r>
        <w:rPr>
          <w:sz w:val="21"/>
        </w:rPr>
        <w:t>LOAEL</w:t>
      </w:r>
      <w:r>
        <w:rPr>
          <w:spacing w:val="-3"/>
          <w:sz w:val="21"/>
        </w:rPr>
        <w:t> 浓度</w:t>
      </w:r>
      <w:r>
        <w:rPr>
          <w:spacing w:val="-7"/>
          <w:sz w:val="21"/>
        </w:rPr>
        <w:t>)，该值应符合本规范附录 </w:t>
      </w:r>
      <w:r>
        <w:rPr>
          <w:sz w:val="21"/>
        </w:rPr>
        <w:t>G</w:t>
      </w:r>
      <w:r>
        <w:rPr>
          <w:spacing w:val="-13"/>
          <w:sz w:val="21"/>
        </w:rPr>
        <w:t> 的规定。</w:t>
      </w:r>
      <w:r>
        <w:rPr>
          <w:sz w:val="21"/>
        </w:rPr>
        <w:t> </w:t>
      </w:r>
    </w:p>
    <w:p>
      <w:pPr>
        <w:pStyle w:val="ListParagraph"/>
        <w:numPr>
          <w:ilvl w:val="1"/>
          <w:numId w:val="380"/>
        </w:numPr>
        <w:tabs>
          <w:tab w:pos="1160" w:val="left" w:leader="none"/>
        </w:tabs>
        <w:spacing w:line="240" w:lineRule="auto" w:before="0" w:after="0"/>
        <w:ind w:left="1159" w:right="0" w:hanging="320"/>
        <w:jc w:val="both"/>
        <w:rPr>
          <w:sz w:val="21"/>
        </w:rPr>
      </w:pPr>
      <w:r>
        <w:rPr>
          <w:spacing w:val="-6"/>
          <w:sz w:val="21"/>
        </w:rPr>
        <w:t>防护区内设置的预制灭火系统的充压压力不应大于 </w:t>
      </w:r>
      <w:r>
        <w:rPr>
          <w:sz w:val="21"/>
        </w:rPr>
        <w:t>2.5  MPa</w:t>
      </w:r>
      <w:r>
        <w:rPr>
          <w:spacing w:val="-3"/>
          <w:sz w:val="21"/>
        </w:rPr>
        <w:t>。</w:t>
      </w:r>
      <w:r>
        <w:rPr>
          <w:sz w:val="21"/>
        </w:rPr>
        <w:t> </w:t>
      </w:r>
    </w:p>
    <w:p>
      <w:pPr>
        <w:pStyle w:val="BodyText"/>
        <w:spacing w:before="9"/>
        <w:rPr>
          <w:sz w:val="17"/>
        </w:rPr>
      </w:pPr>
    </w:p>
    <w:p>
      <w:pPr>
        <w:pStyle w:val="ListParagraph"/>
        <w:numPr>
          <w:ilvl w:val="1"/>
          <w:numId w:val="380"/>
        </w:numPr>
        <w:tabs>
          <w:tab w:pos="1159" w:val="left" w:leader="none"/>
        </w:tabs>
        <w:spacing w:line="240" w:lineRule="auto" w:before="0" w:after="0"/>
        <w:ind w:left="1158" w:right="0" w:hanging="319"/>
        <w:jc w:val="both"/>
        <w:rPr>
          <w:sz w:val="21"/>
        </w:rPr>
      </w:pPr>
      <w:r>
        <w:rPr>
          <w:spacing w:val="-3"/>
          <w:sz w:val="21"/>
        </w:rPr>
        <w:t>灭火系统的手动控制与应急操作应有防止误操作的警示显示与措施。</w:t>
      </w:r>
      <w:r>
        <w:rPr>
          <w:sz w:val="21"/>
        </w:rPr>
        <w:t> </w:t>
      </w:r>
    </w:p>
    <w:p>
      <w:pPr>
        <w:pStyle w:val="BodyText"/>
        <w:spacing w:before="2"/>
        <w:rPr>
          <w:sz w:val="18"/>
        </w:rPr>
      </w:pPr>
    </w:p>
    <w:p>
      <w:pPr>
        <w:pStyle w:val="ListParagraph"/>
        <w:numPr>
          <w:ilvl w:val="1"/>
          <w:numId w:val="380"/>
        </w:numPr>
        <w:tabs>
          <w:tab w:pos="1264" w:val="left" w:leader="none"/>
        </w:tabs>
        <w:spacing w:line="240" w:lineRule="auto" w:before="0" w:after="0"/>
        <w:ind w:left="1263" w:right="0" w:hanging="424"/>
        <w:jc w:val="both"/>
        <w:rPr>
          <w:sz w:val="21"/>
        </w:rPr>
      </w:pPr>
      <w:r>
        <w:rPr>
          <w:spacing w:val="-7"/>
          <w:sz w:val="21"/>
        </w:rPr>
        <w:t>热气溶胶灭火系统装置的喷口前 </w:t>
      </w:r>
      <w:r>
        <w:rPr>
          <w:sz w:val="21"/>
        </w:rPr>
        <w:t>1.0m</w:t>
      </w:r>
      <w:r>
        <w:rPr>
          <w:spacing w:val="-15"/>
          <w:sz w:val="21"/>
        </w:rPr>
        <w:t> 内，装置的背面、侧面、顶部 </w:t>
      </w:r>
      <w:r>
        <w:rPr>
          <w:sz w:val="21"/>
        </w:rPr>
        <w:t>0.2</w:t>
      </w:r>
      <w:r>
        <w:rPr>
          <w:spacing w:val="4"/>
          <w:sz w:val="21"/>
        </w:rPr>
        <w:t> </w:t>
      </w:r>
      <w:r>
        <w:rPr>
          <w:sz w:val="21"/>
        </w:rPr>
        <w:t>m</w:t>
      </w:r>
      <w:r>
        <w:rPr>
          <w:spacing w:val="-12"/>
          <w:sz w:val="21"/>
        </w:rPr>
        <w:t> 内不应设</w:t>
      </w:r>
    </w:p>
    <w:p>
      <w:pPr>
        <w:spacing w:after="0" w:line="240" w:lineRule="auto"/>
        <w:jc w:val="both"/>
        <w:rPr>
          <w:sz w:val="21"/>
        </w:rPr>
        <w:sectPr>
          <w:pgSz w:w="11910" w:h="16850"/>
          <w:pgMar w:header="0" w:footer="1239" w:top="1220" w:bottom="1420" w:left="1260" w:right="0"/>
        </w:sectPr>
      </w:pPr>
    </w:p>
    <w:p>
      <w:pPr>
        <w:pStyle w:val="BodyText"/>
        <w:spacing w:before="47"/>
        <w:ind w:left="418"/>
      </w:pPr>
      <w:r>
        <w:rPr/>
        <w:t>置或存放设备、器具等。 </w:t>
      </w:r>
    </w:p>
    <w:p>
      <w:pPr>
        <w:pStyle w:val="BodyText"/>
        <w:rPr>
          <w:sz w:val="18"/>
        </w:rPr>
      </w:pPr>
    </w:p>
    <w:p>
      <w:pPr>
        <w:pStyle w:val="ListParagraph"/>
        <w:numPr>
          <w:ilvl w:val="1"/>
          <w:numId w:val="380"/>
        </w:numPr>
        <w:tabs>
          <w:tab w:pos="1264" w:val="left" w:leader="none"/>
        </w:tabs>
        <w:spacing w:line="240" w:lineRule="auto" w:before="0" w:after="0"/>
        <w:ind w:left="1263" w:right="0" w:hanging="424"/>
        <w:jc w:val="left"/>
        <w:rPr>
          <w:sz w:val="21"/>
        </w:rPr>
      </w:pPr>
      <w:r>
        <w:rPr>
          <w:spacing w:val="-3"/>
          <w:sz w:val="21"/>
        </w:rPr>
        <w:t>设有气体灭火系统的场所，宜配置空气呼吸器。</w:t>
      </w:r>
      <w:r>
        <w:rPr>
          <w:sz w:val="21"/>
        </w:rPr>
        <w:t> </w:t>
      </w:r>
    </w:p>
    <w:p>
      <w:pPr>
        <w:spacing w:after="0" w:line="240" w:lineRule="auto"/>
        <w:jc w:val="left"/>
        <w:rPr>
          <w:sz w:val="21"/>
        </w:rPr>
        <w:sectPr>
          <w:pgSz w:w="11910" w:h="16850"/>
          <w:pgMar w:header="0" w:footer="1239" w:top="1220" w:bottom="1420" w:left="1260" w:right="0"/>
        </w:sectPr>
      </w:pPr>
    </w:p>
    <w:p>
      <w:pPr>
        <w:pStyle w:val="BodyText"/>
        <w:spacing w:before="1"/>
        <w:rPr>
          <w:sz w:val="28"/>
        </w:rPr>
      </w:pPr>
    </w:p>
    <w:p>
      <w:pPr>
        <w:pStyle w:val="Heading2"/>
        <w:spacing w:before="58"/>
        <w:ind w:left="2703"/>
        <w:jc w:val="left"/>
      </w:pPr>
      <w:bookmarkStart w:name="_bookmark15" w:id="16"/>
      <w:bookmarkEnd w:id="16"/>
      <w:r>
        <w:rPr>
          <w:b w:val="0"/>
        </w:rPr>
      </w:r>
      <w:r>
        <w:rPr/>
        <w:t>城市消防远程监控系统技术规范</w:t>
      </w:r>
      <w:r>
        <w:rPr>
          <w:w w:val="99"/>
        </w:rPr>
        <w:t> </w:t>
      </w:r>
    </w:p>
    <w:p>
      <w:pPr>
        <w:pStyle w:val="BodyText"/>
        <w:rPr>
          <w:b/>
          <w:sz w:val="20"/>
        </w:rPr>
      </w:pPr>
    </w:p>
    <w:p>
      <w:pPr>
        <w:pStyle w:val="BodyText"/>
        <w:spacing w:before="4"/>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381"/>
        </w:numPr>
        <w:tabs>
          <w:tab w:pos="1159" w:val="left" w:leader="none"/>
        </w:tabs>
        <w:spacing w:line="446" w:lineRule="auto" w:before="0" w:after="0"/>
        <w:ind w:left="418" w:right="1604" w:firstLine="422"/>
        <w:jc w:val="both"/>
        <w:rPr>
          <w:sz w:val="21"/>
        </w:rPr>
      </w:pPr>
      <w:r>
        <w:rPr>
          <w:spacing w:val="-3"/>
          <w:sz w:val="21"/>
        </w:rPr>
        <w:t>为了合理设计和建设城市消防远程监控系统（以下简称远程监控系统</w:t>
      </w:r>
      <w:r>
        <w:rPr>
          <w:sz w:val="21"/>
        </w:rPr>
        <w:t>）</w:t>
      </w:r>
      <w:r>
        <w:rPr>
          <w:spacing w:val="-2"/>
          <w:sz w:val="21"/>
        </w:rPr>
        <w:t>，保障远程监</w:t>
      </w:r>
      <w:r>
        <w:rPr>
          <w:spacing w:val="-3"/>
          <w:sz w:val="21"/>
        </w:rPr>
        <w:t>控系统的设计和施工质量，实现火灾的早期报警和建筑消防设施运行状态的集中监控，提高单位消防安全管理水平，制定本规范。</w:t>
      </w:r>
      <w:r>
        <w:rPr>
          <w:sz w:val="21"/>
        </w:rPr>
        <w:t> </w:t>
      </w:r>
    </w:p>
    <w:p>
      <w:pPr>
        <w:pStyle w:val="ListParagraph"/>
        <w:numPr>
          <w:ilvl w:val="1"/>
          <w:numId w:val="381"/>
        </w:numPr>
        <w:tabs>
          <w:tab w:pos="1159" w:val="left" w:leader="none"/>
        </w:tabs>
        <w:spacing w:line="268" w:lineRule="exact" w:before="0" w:after="0"/>
        <w:ind w:left="1158" w:right="0" w:hanging="319"/>
        <w:jc w:val="left"/>
        <w:rPr>
          <w:sz w:val="21"/>
        </w:rPr>
      </w:pPr>
      <w:r>
        <w:rPr>
          <w:spacing w:val="-3"/>
          <w:sz w:val="21"/>
        </w:rPr>
        <w:t>本规范适用于远程监控系统的设计、施工、验收及运行维护。</w:t>
      </w:r>
      <w:r>
        <w:rPr>
          <w:sz w:val="21"/>
        </w:rPr>
        <w:t> </w:t>
      </w:r>
    </w:p>
    <w:p>
      <w:pPr>
        <w:pStyle w:val="BodyText"/>
        <w:rPr>
          <w:sz w:val="18"/>
        </w:rPr>
      </w:pPr>
    </w:p>
    <w:p>
      <w:pPr>
        <w:pStyle w:val="ListParagraph"/>
        <w:numPr>
          <w:ilvl w:val="1"/>
          <w:numId w:val="381"/>
        </w:numPr>
        <w:tabs>
          <w:tab w:pos="1159" w:val="left" w:leader="none"/>
        </w:tabs>
        <w:spacing w:line="446" w:lineRule="auto" w:before="0" w:after="0"/>
        <w:ind w:left="418" w:right="1604" w:firstLine="422"/>
        <w:jc w:val="left"/>
        <w:rPr>
          <w:sz w:val="21"/>
        </w:rPr>
      </w:pPr>
      <w:r>
        <w:rPr>
          <w:spacing w:val="-3"/>
          <w:sz w:val="21"/>
        </w:rPr>
        <w:t>远程监控系统的设计和施工，应与城市消防通信指挥系统及公用通信网络系统等相适应，做到安全可靠、技术先进、经济合理。</w:t>
      </w:r>
      <w:r>
        <w:rPr>
          <w:sz w:val="21"/>
        </w:rPr>
        <w:t> </w:t>
      </w:r>
    </w:p>
    <w:p>
      <w:pPr>
        <w:pStyle w:val="ListParagraph"/>
        <w:numPr>
          <w:ilvl w:val="1"/>
          <w:numId w:val="381"/>
        </w:numPr>
        <w:tabs>
          <w:tab w:pos="1159" w:val="left" w:leader="none"/>
        </w:tabs>
        <w:spacing w:line="446" w:lineRule="auto" w:before="0" w:after="0"/>
        <w:ind w:left="418" w:right="1604" w:firstLine="422"/>
        <w:jc w:val="left"/>
        <w:rPr>
          <w:sz w:val="21"/>
        </w:rPr>
      </w:pPr>
      <w:r>
        <w:rPr>
          <w:spacing w:val="-3"/>
          <w:sz w:val="21"/>
        </w:rPr>
        <w:t>远程监控系统的设计、施工、验收及运行维护除应执行本规范外，尚应符合国家现行有关标准的规定。</w:t>
      </w:r>
      <w:r>
        <w:rPr>
          <w:sz w:val="21"/>
        </w:rPr>
        <w:t> </w:t>
      </w:r>
    </w:p>
    <w:p>
      <w:pPr>
        <w:pStyle w:val="Heading4"/>
        <w:spacing w:line="277" w:lineRule="exact"/>
      </w:pPr>
      <w:r>
        <w:rPr/>
        <w:t>2 术语</w:t>
      </w:r>
      <w:r>
        <w:rPr>
          <w:w w:val="99"/>
        </w:rPr>
        <w:t> </w:t>
      </w:r>
    </w:p>
    <w:p>
      <w:pPr>
        <w:pStyle w:val="BodyText"/>
        <w:spacing w:before="4"/>
        <w:rPr>
          <w:b/>
          <w:sz w:val="17"/>
        </w:rPr>
      </w:pPr>
    </w:p>
    <w:p>
      <w:pPr>
        <w:pStyle w:val="ListParagraph"/>
        <w:numPr>
          <w:ilvl w:val="1"/>
          <w:numId w:val="382"/>
        </w:numPr>
        <w:tabs>
          <w:tab w:pos="1160" w:val="left" w:leader="none"/>
        </w:tabs>
        <w:spacing w:line="240" w:lineRule="auto" w:before="0" w:after="0"/>
        <w:ind w:left="1159" w:right="0" w:hanging="320"/>
        <w:jc w:val="left"/>
        <w:rPr>
          <w:sz w:val="21"/>
        </w:rPr>
      </w:pPr>
      <w:r>
        <w:rPr>
          <w:spacing w:val="-3"/>
          <w:sz w:val="21"/>
        </w:rPr>
        <w:t>城市消防远程监控系统 </w:t>
      </w:r>
      <w:r>
        <w:rPr>
          <w:sz w:val="21"/>
        </w:rPr>
        <w:t>remote-monitoring system</w:t>
      </w:r>
      <w:r>
        <w:rPr>
          <w:spacing w:val="1"/>
          <w:sz w:val="21"/>
        </w:rPr>
        <w:t> </w:t>
      </w:r>
      <w:r>
        <w:rPr>
          <w:sz w:val="21"/>
        </w:rPr>
        <w:t>for urban</w:t>
      </w:r>
      <w:r>
        <w:rPr>
          <w:spacing w:val="1"/>
          <w:sz w:val="21"/>
        </w:rPr>
        <w:t> </w:t>
      </w:r>
      <w:r>
        <w:rPr>
          <w:sz w:val="21"/>
        </w:rPr>
        <w:t>fire protection </w:t>
      </w:r>
    </w:p>
    <w:p>
      <w:pPr>
        <w:pStyle w:val="BodyText"/>
        <w:spacing w:before="12"/>
        <w:rPr>
          <w:sz w:val="17"/>
        </w:rPr>
      </w:pPr>
    </w:p>
    <w:p>
      <w:pPr>
        <w:pStyle w:val="BodyText"/>
        <w:spacing w:line="446" w:lineRule="auto"/>
        <w:ind w:left="418" w:right="1608" w:firstLine="419"/>
        <w:jc w:val="both"/>
      </w:pPr>
      <w:r>
        <w:rPr/>
        <w:t>对联网用户的火灾报警信息、建筑消防设施运行状态信息、消防安全管理信息进行接收、处理和管理，向城市消防通信指挥中心或其他接处警中心发送经确认的火灾报警信息，为公安消防部门提供查询，并为联网用户提供信息服务的系统。 </w:t>
      </w:r>
    </w:p>
    <w:p>
      <w:pPr>
        <w:pStyle w:val="ListParagraph"/>
        <w:numPr>
          <w:ilvl w:val="1"/>
          <w:numId w:val="382"/>
        </w:numPr>
        <w:tabs>
          <w:tab w:pos="1159" w:val="left" w:leader="none"/>
        </w:tabs>
        <w:spacing w:line="268" w:lineRule="exact" w:before="0" w:after="0"/>
        <w:ind w:left="1158" w:right="0" w:hanging="319"/>
        <w:jc w:val="left"/>
        <w:rPr>
          <w:sz w:val="21"/>
        </w:rPr>
      </w:pPr>
      <w:r>
        <w:rPr>
          <w:spacing w:val="-3"/>
          <w:sz w:val="21"/>
        </w:rPr>
        <w:t>监控中心 </w:t>
      </w:r>
      <w:r>
        <w:rPr>
          <w:sz w:val="21"/>
        </w:rPr>
        <w:t>monitoring</w:t>
      </w:r>
      <w:r>
        <w:rPr>
          <w:spacing w:val="1"/>
          <w:sz w:val="21"/>
        </w:rPr>
        <w:t> </w:t>
      </w:r>
      <w:r>
        <w:rPr>
          <w:sz w:val="21"/>
        </w:rPr>
        <w:t>centre </w:t>
      </w:r>
    </w:p>
    <w:p>
      <w:pPr>
        <w:pStyle w:val="BodyText"/>
        <w:spacing w:before="2"/>
        <w:rPr>
          <w:sz w:val="18"/>
        </w:rPr>
      </w:pPr>
    </w:p>
    <w:p>
      <w:pPr>
        <w:pStyle w:val="BodyText"/>
        <w:spacing w:line="446" w:lineRule="auto"/>
        <w:ind w:left="840" w:right="5497" w:hanging="3"/>
      </w:pPr>
      <w:r>
        <w:rPr/>
        <w:t>对远程监控系统的信息进行集中管理的节点。</w:t>
      </w:r>
      <w:r>
        <w:rPr>
          <w:b/>
        </w:rPr>
        <w:t>2.3 </w:t>
      </w:r>
      <w:r>
        <w:rPr/>
        <w:t>联网用户 network users </w:t>
      </w:r>
    </w:p>
    <w:p>
      <w:pPr>
        <w:pStyle w:val="BodyText"/>
        <w:spacing w:line="446" w:lineRule="auto"/>
        <w:ind w:left="418" w:right="1609" w:firstLine="419"/>
      </w:pPr>
      <w:r>
        <w:rPr/>
        <w:t>将火灾报警信息、建筑消防设施运行状态信息和消防安全管理信息传送到监控中心，并能接收监控中心发送的相关信息的单位。 </w:t>
      </w:r>
    </w:p>
    <w:p>
      <w:pPr>
        <w:pStyle w:val="ListParagraph"/>
        <w:numPr>
          <w:ilvl w:val="1"/>
          <w:numId w:val="383"/>
        </w:numPr>
        <w:tabs>
          <w:tab w:pos="1159" w:val="left" w:leader="none"/>
        </w:tabs>
        <w:spacing w:line="240" w:lineRule="auto" w:before="0" w:after="0"/>
        <w:ind w:left="1158" w:right="0" w:hanging="319"/>
        <w:jc w:val="left"/>
        <w:rPr>
          <w:sz w:val="21"/>
        </w:rPr>
      </w:pPr>
      <w:r>
        <w:rPr>
          <w:spacing w:val="-3"/>
          <w:sz w:val="21"/>
        </w:rPr>
        <w:t>报警传输网络 </w:t>
      </w:r>
      <w:r>
        <w:rPr>
          <w:sz w:val="21"/>
        </w:rPr>
        <w:t>alarm</w:t>
      </w:r>
      <w:r>
        <w:rPr>
          <w:spacing w:val="-2"/>
          <w:sz w:val="21"/>
        </w:rPr>
        <w:t> </w:t>
      </w:r>
      <w:r>
        <w:rPr>
          <w:sz w:val="21"/>
        </w:rPr>
        <w:t>transmission network </w:t>
      </w:r>
    </w:p>
    <w:p>
      <w:pPr>
        <w:pStyle w:val="BodyText"/>
        <w:spacing w:before="10"/>
        <w:rPr>
          <w:sz w:val="17"/>
        </w:rPr>
      </w:pPr>
    </w:p>
    <w:p>
      <w:pPr>
        <w:pStyle w:val="BodyText"/>
        <w:spacing w:line="446" w:lineRule="auto"/>
        <w:ind w:left="418" w:right="1609" w:firstLine="419"/>
      </w:pPr>
      <w:r>
        <w:rPr/>
        <w:t>利用公用通信网或专用通信网传输联网用户的火灾报警信息、建筑消防设施运行状态信息的网络。 </w:t>
      </w:r>
    </w:p>
    <w:p>
      <w:pPr>
        <w:pStyle w:val="ListParagraph"/>
        <w:numPr>
          <w:ilvl w:val="1"/>
          <w:numId w:val="383"/>
        </w:numPr>
        <w:tabs>
          <w:tab w:pos="1160" w:val="left" w:leader="none"/>
        </w:tabs>
        <w:spacing w:line="240" w:lineRule="auto" w:before="1" w:after="0"/>
        <w:ind w:left="1159" w:right="0" w:hanging="320"/>
        <w:jc w:val="left"/>
        <w:rPr>
          <w:sz w:val="21"/>
        </w:rPr>
      </w:pPr>
      <w:r>
        <w:rPr>
          <w:spacing w:val="-3"/>
          <w:sz w:val="21"/>
        </w:rPr>
        <w:t>用户信息传输装置 </w:t>
      </w:r>
      <w:r>
        <w:rPr>
          <w:sz w:val="21"/>
        </w:rPr>
        <w:t>user</w:t>
      </w:r>
      <w:r>
        <w:rPr>
          <w:spacing w:val="1"/>
          <w:sz w:val="21"/>
        </w:rPr>
        <w:t> </w:t>
      </w:r>
      <w:r>
        <w:rPr>
          <w:sz w:val="21"/>
        </w:rPr>
        <w:t>information transmission</w:t>
      </w:r>
      <w:r>
        <w:rPr>
          <w:spacing w:val="1"/>
          <w:sz w:val="21"/>
        </w:rPr>
        <w:t> </w:t>
      </w:r>
      <w:r>
        <w:rPr>
          <w:sz w:val="21"/>
        </w:rPr>
        <w:t>device </w:t>
      </w:r>
    </w:p>
    <w:p>
      <w:pPr>
        <w:pStyle w:val="BodyText"/>
        <w:spacing w:before="12"/>
        <w:rPr>
          <w:sz w:val="17"/>
        </w:rPr>
      </w:pPr>
    </w:p>
    <w:p>
      <w:pPr>
        <w:pStyle w:val="BodyText"/>
        <w:spacing w:line="446" w:lineRule="auto"/>
        <w:ind w:left="840" w:right="2977" w:hanging="3"/>
      </w:pPr>
      <w:r>
        <w:rPr/>
        <w:t>设置在联网用户端，通过报警传输网络与监控中心进行信息传输的装置。</w:t>
      </w:r>
      <w:r>
        <w:rPr>
          <w:b/>
        </w:rPr>
        <w:t>2.6 </w:t>
      </w:r>
      <w:r>
        <w:rPr/>
        <w:t>报警受理系统 alarm receiving and handling system </w:t>
      </w:r>
    </w:p>
    <w:p>
      <w:pPr>
        <w:spacing w:after="0" w:line="446" w:lineRule="auto"/>
        <w:sectPr>
          <w:footerReference w:type="default" r:id="rId247"/>
          <w:pgSz w:w="11910" w:h="16850"/>
          <w:pgMar w:footer="1239" w:header="0" w:top="1600" w:bottom="1420" w:left="1260" w:right="0"/>
          <w:pgNumType w:start="1130"/>
        </w:sectPr>
      </w:pPr>
    </w:p>
    <w:p>
      <w:pPr>
        <w:pStyle w:val="BodyText"/>
        <w:spacing w:line="446" w:lineRule="auto" w:before="47"/>
        <w:ind w:left="418" w:right="1609" w:firstLine="419"/>
      </w:pPr>
      <w:r>
        <w:rPr/>
        <w:t>设置在监控中心，接收、处理联网用户按规定协议发送的火灾报警信息、建筑消防设施运行状态信息，并能向城市消防通信指挥中心或其他接处警中心发送火灾报警信息的系统。 </w:t>
      </w:r>
    </w:p>
    <w:p>
      <w:pPr>
        <w:pStyle w:val="BodyText"/>
        <w:spacing w:line="267" w:lineRule="exact"/>
        <w:ind w:left="840"/>
      </w:pPr>
      <w:r>
        <w:rPr>
          <w:b/>
        </w:rPr>
        <w:t>2.7 </w:t>
      </w:r>
      <w:r>
        <w:rPr/>
        <w:t>信息查询系统 information inquiry system </w:t>
      </w:r>
    </w:p>
    <w:p>
      <w:pPr>
        <w:pStyle w:val="BodyText"/>
        <w:spacing w:before="2"/>
        <w:rPr>
          <w:sz w:val="18"/>
        </w:rPr>
      </w:pPr>
    </w:p>
    <w:p>
      <w:pPr>
        <w:pStyle w:val="BodyText"/>
        <w:spacing w:line="446" w:lineRule="auto"/>
        <w:ind w:left="838" w:right="5915"/>
      </w:pPr>
      <w:r>
        <w:rPr>
          <w:spacing w:val="-3"/>
        </w:rPr>
        <w:t>为公安消防部门提供信息查询的系统。 </w:t>
      </w:r>
      <w:r>
        <w:rPr>
          <w:b/>
        </w:rPr>
        <w:t>2.8 </w:t>
      </w:r>
      <w:r>
        <w:rPr>
          <w:spacing w:val="-3"/>
        </w:rPr>
        <w:t>用户服务系统 </w:t>
      </w:r>
      <w:r>
        <w:rPr/>
        <w:t>user</w:t>
      </w:r>
      <w:r>
        <w:rPr>
          <w:spacing w:val="-2"/>
        </w:rPr>
        <w:t> </w:t>
      </w:r>
      <w:r>
        <w:rPr/>
        <w:t>service</w:t>
      </w:r>
      <w:r>
        <w:rPr>
          <w:spacing w:val="1"/>
        </w:rPr>
        <w:t> </w:t>
      </w:r>
      <w:r>
        <w:rPr/>
        <w:t>system </w:t>
      </w:r>
      <w:r>
        <w:rPr>
          <w:spacing w:val="-3"/>
        </w:rPr>
        <w:t>为联网用户提供信息服务的系统。</w:t>
      </w:r>
      <w:r>
        <w:rPr/>
        <w:t> </w:t>
      </w:r>
    </w:p>
    <w:p>
      <w:pPr>
        <w:pStyle w:val="Heading4"/>
        <w:spacing w:line="276" w:lineRule="exact"/>
      </w:pPr>
      <w:r>
        <w:rPr/>
        <w:t>3 基本规定</w:t>
      </w:r>
      <w:r>
        <w:rPr>
          <w:w w:val="99"/>
        </w:rPr>
        <w:t> </w:t>
      </w:r>
    </w:p>
    <w:p>
      <w:pPr>
        <w:pStyle w:val="BodyText"/>
        <w:spacing w:before="5"/>
        <w:rPr>
          <w:b/>
          <w:sz w:val="17"/>
        </w:rPr>
      </w:pPr>
    </w:p>
    <w:p>
      <w:pPr>
        <w:pStyle w:val="BodyText"/>
        <w:ind w:left="840"/>
      </w:pPr>
      <w:r>
        <w:rPr>
          <w:b/>
        </w:rPr>
        <w:t>3.1 </w:t>
      </w:r>
      <w:r>
        <w:rPr/>
        <w:t>远程监控系统的设置应符合下列要求： </w:t>
      </w:r>
    </w:p>
    <w:p>
      <w:pPr>
        <w:pStyle w:val="BodyText"/>
        <w:spacing w:before="12"/>
        <w:rPr>
          <w:sz w:val="17"/>
        </w:rPr>
      </w:pPr>
    </w:p>
    <w:p>
      <w:pPr>
        <w:pStyle w:val="ListParagraph"/>
        <w:numPr>
          <w:ilvl w:val="0"/>
          <w:numId w:val="384"/>
        </w:numPr>
        <w:tabs>
          <w:tab w:pos="1367" w:val="left" w:leader="none"/>
        </w:tabs>
        <w:spacing w:line="446" w:lineRule="auto" w:before="0" w:after="0"/>
        <w:ind w:left="418" w:right="1609" w:firstLine="419"/>
        <w:jc w:val="left"/>
        <w:rPr>
          <w:sz w:val="21"/>
        </w:rPr>
      </w:pPr>
      <w:r>
        <w:rPr>
          <w:spacing w:val="-3"/>
          <w:sz w:val="21"/>
        </w:rPr>
        <w:t>地级及以上城市应设置一个或多个远程监控系统，单个远程监控系统的联网用户数</w:t>
      </w:r>
      <w:r>
        <w:rPr>
          <w:spacing w:val="-12"/>
          <w:sz w:val="21"/>
        </w:rPr>
        <w:t>量不宜大于 </w:t>
      </w:r>
      <w:r>
        <w:rPr>
          <w:sz w:val="21"/>
        </w:rPr>
        <w:t>5000</w:t>
      </w:r>
      <w:r>
        <w:rPr>
          <w:spacing w:val="-20"/>
          <w:sz w:val="21"/>
        </w:rPr>
        <w:t> 个。</w:t>
      </w:r>
      <w:r>
        <w:rPr>
          <w:sz w:val="21"/>
        </w:rPr>
        <w:t> </w:t>
      </w:r>
    </w:p>
    <w:p>
      <w:pPr>
        <w:pStyle w:val="ListParagraph"/>
        <w:numPr>
          <w:ilvl w:val="0"/>
          <w:numId w:val="384"/>
        </w:numPr>
        <w:tabs>
          <w:tab w:pos="1367" w:val="left" w:leader="none"/>
        </w:tabs>
        <w:spacing w:line="446" w:lineRule="auto" w:before="0" w:after="0"/>
        <w:ind w:left="840" w:right="2451" w:hanging="3"/>
        <w:jc w:val="left"/>
        <w:rPr>
          <w:sz w:val="21"/>
        </w:rPr>
      </w:pPr>
      <w:r>
        <w:rPr>
          <w:spacing w:val="-3"/>
          <w:sz w:val="21"/>
        </w:rPr>
        <w:t>县级城市宜设置远程监控系统，或与地级及以上城市远程监控系统合用。</w:t>
      </w:r>
      <w:r>
        <w:rPr>
          <w:b/>
          <w:spacing w:val="-3"/>
          <w:sz w:val="21"/>
        </w:rPr>
        <w:t>3.2 </w:t>
      </w:r>
      <w:r>
        <w:rPr>
          <w:spacing w:val="-3"/>
          <w:sz w:val="21"/>
        </w:rPr>
        <w:t>远程监控系统的监控中心应符合下列要求：</w:t>
      </w:r>
      <w:r>
        <w:rPr>
          <w:sz w:val="21"/>
        </w:rPr>
        <w:t> </w:t>
      </w:r>
    </w:p>
    <w:p>
      <w:pPr>
        <w:pStyle w:val="ListParagraph"/>
        <w:numPr>
          <w:ilvl w:val="0"/>
          <w:numId w:val="385"/>
        </w:numPr>
        <w:tabs>
          <w:tab w:pos="1367" w:val="left" w:leader="none"/>
        </w:tabs>
        <w:spacing w:line="446" w:lineRule="auto" w:before="0" w:after="0"/>
        <w:ind w:left="418" w:right="1714" w:firstLine="419"/>
        <w:jc w:val="left"/>
        <w:rPr>
          <w:sz w:val="21"/>
        </w:rPr>
      </w:pPr>
      <w:r>
        <w:rPr>
          <w:spacing w:val="-3"/>
          <w:sz w:val="21"/>
        </w:rPr>
        <w:t>为城市消防通信指挥中心或其他接处警中心的火警信息终端提供确认的火灾报警信息。</w:t>
      </w:r>
      <w:r>
        <w:rPr>
          <w:sz w:val="21"/>
        </w:rPr>
        <w:t> </w:t>
      </w:r>
    </w:p>
    <w:p>
      <w:pPr>
        <w:pStyle w:val="ListParagraph"/>
        <w:numPr>
          <w:ilvl w:val="0"/>
          <w:numId w:val="385"/>
        </w:numPr>
        <w:tabs>
          <w:tab w:pos="1367" w:val="left" w:leader="none"/>
        </w:tabs>
        <w:spacing w:line="446" w:lineRule="auto" w:before="0" w:after="0"/>
        <w:ind w:left="418" w:right="1505" w:firstLine="419"/>
        <w:jc w:val="left"/>
        <w:rPr>
          <w:sz w:val="21"/>
        </w:rPr>
      </w:pPr>
      <w:r>
        <w:rPr>
          <w:spacing w:val="-3"/>
          <w:sz w:val="21"/>
        </w:rPr>
        <w:t>为公安消防部门提供火灾报警信息、建筑消防设施运行状态信息及消防安全管理信息查询。</w:t>
      </w:r>
      <w:r>
        <w:rPr>
          <w:sz w:val="21"/>
        </w:rPr>
        <w:t> </w:t>
      </w:r>
    </w:p>
    <w:p>
      <w:pPr>
        <w:pStyle w:val="ListParagraph"/>
        <w:numPr>
          <w:ilvl w:val="0"/>
          <w:numId w:val="385"/>
        </w:numPr>
        <w:tabs>
          <w:tab w:pos="1367" w:val="left" w:leader="none"/>
        </w:tabs>
        <w:spacing w:line="446" w:lineRule="auto" w:before="0" w:after="0"/>
        <w:ind w:left="418" w:right="1505" w:firstLine="419"/>
        <w:jc w:val="left"/>
        <w:rPr>
          <w:sz w:val="21"/>
        </w:rPr>
      </w:pPr>
      <w:r>
        <w:rPr>
          <w:spacing w:val="-3"/>
          <w:sz w:val="21"/>
        </w:rPr>
        <w:t>为联网用户提供自身的火灾报警信息、建筑消防设施运行状态信息查询和消防安全管理信息等服务。</w:t>
      </w:r>
      <w:r>
        <w:rPr>
          <w:sz w:val="21"/>
        </w:rPr>
        <w:t> </w:t>
      </w:r>
    </w:p>
    <w:p>
      <w:pPr>
        <w:pStyle w:val="BodyText"/>
        <w:ind w:left="840"/>
      </w:pPr>
      <w:r>
        <w:rPr>
          <w:b/>
        </w:rPr>
        <w:t>3.3 </w:t>
      </w:r>
      <w:r>
        <w:rPr/>
        <w:t>远程监控系统的联网用户应符合下列要求： </w:t>
      </w:r>
    </w:p>
    <w:p>
      <w:pPr>
        <w:pStyle w:val="BodyText"/>
        <w:spacing w:before="10"/>
        <w:rPr>
          <w:sz w:val="17"/>
        </w:rPr>
      </w:pPr>
    </w:p>
    <w:p>
      <w:pPr>
        <w:pStyle w:val="ListParagraph"/>
        <w:numPr>
          <w:ilvl w:val="0"/>
          <w:numId w:val="386"/>
        </w:numPr>
        <w:tabs>
          <w:tab w:pos="1367" w:val="left" w:leader="none"/>
        </w:tabs>
        <w:spacing w:line="446" w:lineRule="auto" w:before="0" w:after="0"/>
        <w:ind w:left="418" w:right="1505" w:firstLine="419"/>
        <w:jc w:val="left"/>
        <w:rPr>
          <w:sz w:val="21"/>
        </w:rPr>
      </w:pPr>
      <w:r>
        <w:rPr>
          <w:spacing w:val="-3"/>
          <w:sz w:val="21"/>
        </w:rPr>
        <w:t>设置火灾自动报警系统的单位，应列为系统的联网用户；未设置火灾自动报警系统的单位，宜列为系统的联网用户。</w:t>
      </w:r>
      <w:r>
        <w:rPr>
          <w:sz w:val="21"/>
        </w:rPr>
        <w:t> </w:t>
      </w:r>
    </w:p>
    <w:p>
      <w:pPr>
        <w:pStyle w:val="ListParagraph"/>
        <w:numPr>
          <w:ilvl w:val="0"/>
          <w:numId w:val="386"/>
        </w:numPr>
        <w:tabs>
          <w:tab w:pos="1367" w:val="left" w:leader="none"/>
        </w:tabs>
        <w:spacing w:line="240" w:lineRule="auto" w:before="0" w:after="0"/>
        <w:ind w:left="1367" w:right="0" w:hanging="529"/>
        <w:jc w:val="left"/>
        <w:rPr>
          <w:sz w:val="21"/>
        </w:rPr>
      </w:pPr>
      <w:r>
        <w:rPr>
          <w:spacing w:val="3"/>
          <w:sz w:val="21"/>
        </w:rPr>
        <w:t>联网用户应按附录</w:t>
      </w:r>
      <w:r>
        <w:rPr>
          <w:sz w:val="21"/>
        </w:rPr>
        <w:t>A</w:t>
      </w:r>
      <w:r>
        <w:rPr>
          <w:spacing w:val="-9"/>
          <w:sz w:val="21"/>
        </w:rPr>
        <w:t> 的内容将建筑消防设施运行状态信息实时发送至监控中心。</w:t>
      </w:r>
      <w:r>
        <w:rPr>
          <w:sz w:val="21"/>
        </w:rPr>
        <w:t> </w:t>
      </w:r>
    </w:p>
    <w:p>
      <w:pPr>
        <w:pStyle w:val="BodyText"/>
        <w:rPr>
          <w:sz w:val="18"/>
        </w:rPr>
      </w:pPr>
    </w:p>
    <w:p>
      <w:pPr>
        <w:pStyle w:val="ListParagraph"/>
        <w:numPr>
          <w:ilvl w:val="0"/>
          <w:numId w:val="386"/>
        </w:numPr>
        <w:tabs>
          <w:tab w:pos="1367" w:val="left" w:leader="none"/>
        </w:tabs>
        <w:spacing w:line="446" w:lineRule="auto" w:before="0" w:after="0"/>
        <w:ind w:left="418" w:right="1505" w:firstLine="419"/>
        <w:jc w:val="left"/>
        <w:rPr>
          <w:sz w:val="21"/>
        </w:rPr>
      </w:pPr>
      <w:r>
        <w:rPr>
          <w:spacing w:val="3"/>
          <w:sz w:val="21"/>
        </w:rPr>
        <w:t>联网用户应按附录</w:t>
      </w:r>
      <w:r>
        <w:rPr>
          <w:sz w:val="21"/>
        </w:rPr>
        <w:t>B</w:t>
      </w:r>
      <w:r>
        <w:rPr>
          <w:spacing w:val="-6"/>
          <w:sz w:val="21"/>
        </w:rPr>
        <w:t> 的内容将消防安全管理信息发送至监控中心。其中，日常防火巡</w:t>
      </w:r>
      <w:r>
        <w:rPr>
          <w:spacing w:val="-4"/>
          <w:sz w:val="21"/>
        </w:rPr>
        <w:t>查信息和消防设施定期检查信息应在检查完毕后的当日内发送至监控中心，其他发生变化的消</w:t>
      </w:r>
      <w:r>
        <w:rPr>
          <w:spacing w:val="-8"/>
          <w:sz w:val="21"/>
        </w:rPr>
        <w:t>防安全管理信息应在 </w:t>
      </w:r>
      <w:r>
        <w:rPr>
          <w:sz w:val="21"/>
        </w:rPr>
        <w:t>3</w:t>
      </w:r>
      <w:r>
        <w:rPr>
          <w:spacing w:val="-9"/>
          <w:sz w:val="21"/>
        </w:rPr>
        <w:t> 日内发送至监控中心。</w:t>
      </w:r>
      <w:r>
        <w:rPr>
          <w:sz w:val="21"/>
        </w:rPr>
        <w:t> </w:t>
      </w:r>
    </w:p>
    <w:p>
      <w:pPr>
        <w:pStyle w:val="Heading4"/>
        <w:spacing w:line="277" w:lineRule="exact"/>
      </w:pPr>
      <w:r>
        <w:rPr/>
        <w:t>4 系统设计</w:t>
      </w:r>
      <w:r>
        <w:rPr>
          <w:w w:val="99"/>
        </w:rPr>
        <w:t> </w:t>
      </w:r>
    </w:p>
    <w:p>
      <w:pPr>
        <w:pStyle w:val="BodyText"/>
        <w:spacing w:before="3"/>
        <w:rPr>
          <w:b/>
          <w:sz w:val="17"/>
        </w:rPr>
      </w:pPr>
    </w:p>
    <w:p>
      <w:pPr>
        <w:pStyle w:val="ListParagraph"/>
        <w:numPr>
          <w:ilvl w:val="1"/>
          <w:numId w:val="387"/>
        </w:numPr>
        <w:tabs>
          <w:tab w:pos="1159" w:val="left" w:leader="none"/>
        </w:tabs>
        <w:spacing w:line="240" w:lineRule="auto" w:before="1" w:after="0"/>
        <w:ind w:left="1158" w:right="0" w:hanging="319"/>
        <w:jc w:val="left"/>
        <w:rPr>
          <w:sz w:val="21"/>
        </w:rPr>
      </w:pPr>
      <w:r>
        <w:rPr>
          <w:spacing w:val="-3"/>
          <w:sz w:val="21"/>
        </w:rPr>
        <w:t>一般规定</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387"/>
        </w:numPr>
        <w:tabs>
          <w:tab w:pos="1370" w:val="left" w:leader="none"/>
        </w:tabs>
        <w:spacing w:line="446" w:lineRule="auto" w:before="47" w:after="0"/>
        <w:ind w:left="418" w:right="1603" w:firstLine="422"/>
        <w:jc w:val="left"/>
        <w:rPr>
          <w:sz w:val="21"/>
        </w:rPr>
      </w:pPr>
      <w:r>
        <w:rPr>
          <w:spacing w:val="-3"/>
          <w:sz w:val="21"/>
        </w:rPr>
        <w:t>监控中心应设置在耐火等级为一、二级的建筑中，并宜设置在火灾危险性较小的部位；监控中心周围不应设置电磁场干扰较强或其他影响监控中心正常工作的设备。</w:t>
      </w:r>
      <w:r>
        <w:rPr>
          <w:sz w:val="21"/>
        </w:rPr>
        <w:t> </w:t>
      </w:r>
    </w:p>
    <w:p>
      <w:pPr>
        <w:pStyle w:val="ListParagraph"/>
        <w:numPr>
          <w:ilvl w:val="2"/>
          <w:numId w:val="387"/>
        </w:numPr>
        <w:tabs>
          <w:tab w:pos="1370" w:val="left" w:leader="none"/>
        </w:tabs>
        <w:spacing w:line="446" w:lineRule="auto" w:before="0" w:after="0"/>
        <w:ind w:left="418" w:right="1604" w:firstLine="422"/>
        <w:jc w:val="left"/>
        <w:rPr>
          <w:sz w:val="21"/>
        </w:rPr>
      </w:pPr>
      <w:r>
        <w:rPr>
          <w:spacing w:val="-3"/>
          <w:sz w:val="21"/>
        </w:rPr>
        <w:t>用户信息传输装置应设置在联网用户的消防控制室内。联网用户未设置消防控制室时，用户信息传输装置宜设置在有人值班的部位。</w:t>
      </w:r>
      <w:r>
        <w:rPr>
          <w:sz w:val="21"/>
        </w:rPr>
        <w:t> </w:t>
      </w:r>
    </w:p>
    <w:p>
      <w:pPr>
        <w:pStyle w:val="ListParagraph"/>
        <w:numPr>
          <w:ilvl w:val="2"/>
          <w:numId w:val="387"/>
        </w:numPr>
        <w:tabs>
          <w:tab w:pos="1370" w:val="left" w:leader="none"/>
        </w:tabs>
        <w:spacing w:line="446" w:lineRule="auto" w:before="0" w:after="0"/>
        <w:ind w:left="418" w:right="1604" w:firstLine="422"/>
        <w:jc w:val="left"/>
        <w:rPr>
          <w:sz w:val="21"/>
        </w:rPr>
      </w:pPr>
      <w:r>
        <w:rPr>
          <w:spacing w:val="-3"/>
          <w:sz w:val="21"/>
        </w:rPr>
        <w:t>远程监控系统的联网用户容量和监控中心的通信传输信道容量、信息存储能力等， 应留有一定的余量。</w:t>
      </w:r>
      <w:r>
        <w:rPr>
          <w:sz w:val="21"/>
        </w:rPr>
        <w:t> </w:t>
      </w:r>
    </w:p>
    <w:p>
      <w:pPr>
        <w:pStyle w:val="ListParagraph"/>
        <w:numPr>
          <w:ilvl w:val="2"/>
          <w:numId w:val="387"/>
        </w:numPr>
        <w:tabs>
          <w:tab w:pos="1370" w:val="left" w:leader="none"/>
        </w:tabs>
        <w:spacing w:line="446" w:lineRule="auto" w:before="0" w:after="0"/>
        <w:ind w:left="418" w:right="1604" w:firstLine="422"/>
        <w:jc w:val="left"/>
        <w:rPr>
          <w:sz w:val="21"/>
        </w:rPr>
      </w:pPr>
      <w:r>
        <w:rPr>
          <w:spacing w:val="-3"/>
          <w:sz w:val="21"/>
        </w:rPr>
        <w:t>远程监控系统使用的设备、材料及配件应选用符合国家有关标准和市场准入制度的产品。</w:t>
      </w:r>
      <w:r>
        <w:rPr>
          <w:sz w:val="21"/>
        </w:rPr>
        <w:t> </w:t>
      </w:r>
    </w:p>
    <w:p>
      <w:pPr>
        <w:pStyle w:val="ListParagraph"/>
        <w:numPr>
          <w:ilvl w:val="2"/>
          <w:numId w:val="387"/>
        </w:numPr>
        <w:tabs>
          <w:tab w:pos="1370" w:val="left" w:leader="none"/>
        </w:tabs>
        <w:spacing w:line="267" w:lineRule="exact" w:before="0" w:after="0"/>
        <w:ind w:left="1369" w:right="0" w:hanging="530"/>
        <w:jc w:val="left"/>
        <w:rPr>
          <w:sz w:val="21"/>
        </w:rPr>
      </w:pPr>
      <w:r>
        <w:rPr>
          <w:spacing w:val="-3"/>
          <w:sz w:val="21"/>
        </w:rPr>
        <w:t>远程监控系统的通信协议和数据格式等应符合国家的有关标准要求。 </w:t>
      </w:r>
    </w:p>
    <w:p>
      <w:pPr>
        <w:pStyle w:val="BodyText"/>
        <w:rPr>
          <w:sz w:val="18"/>
        </w:rPr>
      </w:pPr>
    </w:p>
    <w:p>
      <w:pPr>
        <w:pStyle w:val="ListParagraph"/>
        <w:numPr>
          <w:ilvl w:val="1"/>
          <w:numId w:val="387"/>
        </w:numPr>
        <w:tabs>
          <w:tab w:pos="1159" w:val="left" w:leader="none"/>
        </w:tabs>
        <w:spacing w:line="240" w:lineRule="auto" w:before="0" w:after="0"/>
        <w:ind w:left="1158" w:right="0" w:hanging="319"/>
        <w:jc w:val="left"/>
        <w:rPr>
          <w:sz w:val="21"/>
        </w:rPr>
      </w:pPr>
      <w:r>
        <w:rPr>
          <w:spacing w:val="-3"/>
          <w:sz w:val="21"/>
        </w:rPr>
        <w:t>系统功能和性能要求</w:t>
      </w:r>
      <w:r>
        <w:rPr>
          <w:sz w:val="21"/>
        </w:rPr>
        <w:t> </w:t>
      </w:r>
    </w:p>
    <w:p>
      <w:pPr>
        <w:pStyle w:val="BodyText"/>
        <w:spacing w:before="12"/>
        <w:rPr>
          <w:sz w:val="17"/>
        </w:rPr>
      </w:pPr>
    </w:p>
    <w:p>
      <w:pPr>
        <w:pStyle w:val="ListParagraph"/>
        <w:numPr>
          <w:ilvl w:val="2"/>
          <w:numId w:val="387"/>
        </w:numPr>
        <w:tabs>
          <w:tab w:pos="1370" w:val="left" w:leader="none"/>
        </w:tabs>
        <w:spacing w:line="240" w:lineRule="auto" w:before="0" w:after="0"/>
        <w:ind w:left="1369" w:right="0" w:hanging="530"/>
        <w:jc w:val="left"/>
        <w:rPr>
          <w:sz w:val="21"/>
        </w:rPr>
      </w:pPr>
      <w:r>
        <w:rPr>
          <w:spacing w:val="-3"/>
          <w:sz w:val="21"/>
        </w:rPr>
        <w:t>远程监控系统应具有下列功能：</w:t>
      </w:r>
      <w:r>
        <w:rPr>
          <w:sz w:val="21"/>
        </w:rPr>
        <w:t> </w:t>
      </w:r>
    </w:p>
    <w:p>
      <w:pPr>
        <w:pStyle w:val="BodyText"/>
        <w:rPr>
          <w:sz w:val="18"/>
        </w:rPr>
      </w:pPr>
    </w:p>
    <w:p>
      <w:pPr>
        <w:pStyle w:val="ListParagraph"/>
        <w:numPr>
          <w:ilvl w:val="0"/>
          <w:numId w:val="388"/>
        </w:numPr>
        <w:tabs>
          <w:tab w:pos="1367" w:val="left" w:leader="none"/>
        </w:tabs>
        <w:spacing w:line="446" w:lineRule="auto" w:before="0" w:after="0"/>
        <w:ind w:left="418" w:right="1505" w:firstLine="419"/>
        <w:jc w:val="left"/>
        <w:rPr>
          <w:sz w:val="21"/>
        </w:rPr>
      </w:pPr>
      <w:r>
        <w:rPr>
          <w:spacing w:val="-3"/>
          <w:sz w:val="21"/>
        </w:rPr>
        <w:t>接收联网用户的火灾报警信息，向城市消防通信指挥中心或其他接处警中心传送经确认的火灾报警信息。</w:t>
      </w:r>
      <w:r>
        <w:rPr>
          <w:sz w:val="21"/>
        </w:rPr>
        <w:t> </w:t>
      </w:r>
    </w:p>
    <w:p>
      <w:pPr>
        <w:pStyle w:val="ListParagraph"/>
        <w:numPr>
          <w:ilvl w:val="0"/>
          <w:numId w:val="388"/>
        </w:numPr>
        <w:tabs>
          <w:tab w:pos="1367" w:val="left" w:leader="none"/>
        </w:tabs>
        <w:spacing w:line="240" w:lineRule="auto" w:before="0" w:after="0"/>
        <w:ind w:left="1367" w:right="0" w:hanging="529"/>
        <w:jc w:val="left"/>
        <w:rPr>
          <w:sz w:val="21"/>
        </w:rPr>
      </w:pPr>
      <w:r>
        <w:rPr>
          <w:spacing w:val="-3"/>
          <w:sz w:val="21"/>
        </w:rPr>
        <w:t>接收联网用户发送的建筑消防设施运行状态信息。</w:t>
      </w:r>
      <w:r>
        <w:rPr>
          <w:sz w:val="21"/>
        </w:rPr>
        <w:t> </w:t>
      </w:r>
    </w:p>
    <w:p>
      <w:pPr>
        <w:pStyle w:val="BodyText"/>
        <w:spacing w:before="12"/>
        <w:rPr>
          <w:sz w:val="17"/>
        </w:rPr>
      </w:pPr>
    </w:p>
    <w:p>
      <w:pPr>
        <w:pStyle w:val="ListParagraph"/>
        <w:numPr>
          <w:ilvl w:val="0"/>
          <w:numId w:val="388"/>
        </w:numPr>
        <w:tabs>
          <w:tab w:pos="1367" w:val="left" w:leader="none"/>
        </w:tabs>
        <w:spacing w:line="446" w:lineRule="auto" w:before="0" w:after="0"/>
        <w:ind w:left="418" w:right="1505" w:firstLine="419"/>
        <w:jc w:val="left"/>
        <w:rPr>
          <w:sz w:val="21"/>
        </w:rPr>
      </w:pPr>
      <w:r>
        <w:rPr>
          <w:spacing w:val="-3"/>
          <w:sz w:val="21"/>
        </w:rPr>
        <w:t>为公安消防部门提供查询联网用户的火灾报警信息、建筑消防设施运行状态信息及消防安全管理信息。</w:t>
      </w:r>
      <w:r>
        <w:rPr>
          <w:sz w:val="21"/>
        </w:rPr>
        <w:t> </w:t>
      </w:r>
    </w:p>
    <w:p>
      <w:pPr>
        <w:pStyle w:val="ListParagraph"/>
        <w:numPr>
          <w:ilvl w:val="0"/>
          <w:numId w:val="388"/>
        </w:numPr>
        <w:tabs>
          <w:tab w:pos="1367" w:val="left" w:leader="none"/>
        </w:tabs>
        <w:spacing w:line="446" w:lineRule="auto" w:before="0" w:after="0"/>
        <w:ind w:left="418" w:right="1505" w:firstLine="419"/>
        <w:jc w:val="left"/>
        <w:rPr>
          <w:sz w:val="21"/>
        </w:rPr>
      </w:pPr>
      <w:r>
        <w:rPr>
          <w:spacing w:val="-3"/>
          <w:sz w:val="21"/>
        </w:rPr>
        <w:t>为联网用户提供自身的火灾报警信息、建筑消防设施运行状态信息查询和消防安全管理信息。</w:t>
      </w:r>
      <w:r>
        <w:rPr>
          <w:sz w:val="21"/>
        </w:rPr>
        <w:t> </w:t>
      </w:r>
    </w:p>
    <w:p>
      <w:pPr>
        <w:pStyle w:val="ListParagraph"/>
        <w:numPr>
          <w:ilvl w:val="0"/>
          <w:numId w:val="388"/>
        </w:numPr>
        <w:tabs>
          <w:tab w:pos="1367" w:val="left" w:leader="none"/>
        </w:tabs>
        <w:spacing w:line="446" w:lineRule="auto" w:before="0" w:after="0"/>
        <w:ind w:left="840" w:right="1611" w:hanging="3"/>
        <w:jc w:val="left"/>
        <w:rPr>
          <w:sz w:val="21"/>
        </w:rPr>
      </w:pPr>
      <w:r>
        <w:rPr>
          <w:spacing w:val="-3"/>
          <w:sz w:val="21"/>
        </w:rPr>
        <w:t>对联网用户发送的建筑消防设施运行状态和消防安全管理信息进行数据实时更新。</w:t>
      </w:r>
      <w:r>
        <w:rPr>
          <w:b/>
          <w:sz w:val="21"/>
        </w:rPr>
        <w:t>4.2.2 </w:t>
      </w:r>
      <w:r>
        <w:rPr>
          <w:spacing w:val="-3"/>
          <w:sz w:val="21"/>
        </w:rPr>
        <w:t>远程监控系统的性能指标应符合下列要求：</w:t>
      </w:r>
      <w:r>
        <w:rPr>
          <w:sz w:val="21"/>
        </w:rPr>
        <w:t> </w:t>
      </w:r>
    </w:p>
    <w:p>
      <w:pPr>
        <w:pStyle w:val="ListParagraph"/>
        <w:numPr>
          <w:ilvl w:val="0"/>
          <w:numId w:val="389"/>
        </w:numPr>
        <w:tabs>
          <w:tab w:pos="1367" w:val="left" w:leader="none"/>
        </w:tabs>
        <w:spacing w:line="267" w:lineRule="exact" w:before="0" w:after="0"/>
        <w:ind w:left="1367" w:right="0" w:hanging="529"/>
        <w:jc w:val="left"/>
        <w:rPr>
          <w:sz w:val="21"/>
        </w:rPr>
      </w:pPr>
      <w:r>
        <w:rPr>
          <w:spacing w:val="-6"/>
          <w:sz w:val="21"/>
        </w:rPr>
        <w:t>监控中心应能同时接收和处理不少于 </w:t>
      </w:r>
      <w:r>
        <w:rPr>
          <w:sz w:val="21"/>
        </w:rPr>
        <w:t>3</w:t>
      </w:r>
      <w:r>
        <w:rPr>
          <w:spacing w:val="-8"/>
          <w:sz w:val="21"/>
        </w:rPr>
        <w:t> 个联网用户的火灾报警信息。 </w:t>
      </w:r>
    </w:p>
    <w:p>
      <w:pPr>
        <w:pStyle w:val="BodyText"/>
        <w:spacing w:before="2"/>
        <w:rPr>
          <w:sz w:val="18"/>
        </w:rPr>
      </w:pPr>
    </w:p>
    <w:p>
      <w:pPr>
        <w:pStyle w:val="ListParagraph"/>
        <w:numPr>
          <w:ilvl w:val="0"/>
          <w:numId w:val="389"/>
        </w:numPr>
        <w:tabs>
          <w:tab w:pos="1367" w:val="left" w:leader="none"/>
        </w:tabs>
        <w:spacing w:line="240" w:lineRule="auto" w:before="0" w:after="0"/>
        <w:ind w:left="1367" w:right="0" w:hanging="529"/>
        <w:jc w:val="left"/>
        <w:rPr>
          <w:sz w:val="21"/>
        </w:rPr>
      </w:pPr>
      <w:r>
        <w:rPr>
          <w:spacing w:val="-3"/>
          <w:sz w:val="21"/>
        </w:rPr>
        <w:t>从用户信息传输装置获取火灾报警信息到监控中心接收显示的响应时间不应大于</w:t>
      </w:r>
    </w:p>
    <w:p>
      <w:pPr>
        <w:pStyle w:val="BodyText"/>
        <w:spacing w:before="12"/>
        <w:rPr>
          <w:sz w:val="17"/>
        </w:rPr>
      </w:pPr>
    </w:p>
    <w:p>
      <w:pPr>
        <w:pStyle w:val="BodyText"/>
        <w:ind w:left="418"/>
      </w:pPr>
      <w:r>
        <w:rPr/>
        <w:t>20s。 </w:t>
      </w:r>
    </w:p>
    <w:p>
      <w:pPr>
        <w:pStyle w:val="BodyText"/>
        <w:rPr>
          <w:sz w:val="18"/>
        </w:rPr>
      </w:pPr>
    </w:p>
    <w:p>
      <w:pPr>
        <w:pStyle w:val="ListParagraph"/>
        <w:numPr>
          <w:ilvl w:val="0"/>
          <w:numId w:val="389"/>
        </w:numPr>
        <w:tabs>
          <w:tab w:pos="1367" w:val="left" w:leader="none"/>
        </w:tabs>
        <w:spacing w:line="446" w:lineRule="auto" w:before="0" w:after="0"/>
        <w:ind w:left="418" w:right="1505" w:firstLine="419"/>
        <w:jc w:val="left"/>
        <w:rPr>
          <w:sz w:val="21"/>
        </w:rPr>
      </w:pPr>
      <w:r>
        <w:rPr>
          <w:spacing w:val="-3"/>
          <w:sz w:val="21"/>
        </w:rPr>
        <w:t>监控中心向城市消防通信指挥中心或其他接处警中心转发经确认的火灾报警信息的时</w:t>
      </w:r>
      <w:r>
        <w:rPr>
          <w:spacing w:val="-12"/>
          <w:sz w:val="21"/>
        </w:rPr>
        <w:t>间不应大于 </w:t>
      </w:r>
      <w:r>
        <w:rPr>
          <w:sz w:val="21"/>
        </w:rPr>
        <w:t>3s</w:t>
      </w:r>
      <w:r>
        <w:rPr>
          <w:spacing w:val="-3"/>
          <w:sz w:val="21"/>
        </w:rPr>
        <w:t>。</w:t>
      </w:r>
      <w:r>
        <w:rPr>
          <w:sz w:val="21"/>
        </w:rPr>
        <w:t> </w:t>
      </w:r>
    </w:p>
    <w:p>
      <w:pPr>
        <w:pStyle w:val="ListParagraph"/>
        <w:numPr>
          <w:ilvl w:val="0"/>
          <w:numId w:val="389"/>
        </w:numPr>
        <w:tabs>
          <w:tab w:pos="1367" w:val="left" w:leader="none"/>
        </w:tabs>
        <w:spacing w:line="446" w:lineRule="auto" w:before="0" w:after="0"/>
        <w:ind w:left="418" w:right="1455" w:firstLine="419"/>
        <w:jc w:val="left"/>
        <w:rPr>
          <w:sz w:val="21"/>
        </w:rPr>
      </w:pPr>
      <w:r>
        <w:rPr>
          <w:spacing w:val="-4"/>
          <w:sz w:val="21"/>
        </w:rPr>
        <w:t>监控中心与用户信息传输装置之间通信巡检周期不应大于 </w:t>
      </w:r>
      <w:r>
        <w:rPr>
          <w:sz w:val="21"/>
        </w:rPr>
        <w:t>2h</w:t>
      </w:r>
      <w:r>
        <w:rPr>
          <w:spacing w:val="-3"/>
          <w:sz w:val="21"/>
        </w:rPr>
        <w:t>，并能动态设置巡检方式和时间。</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389"/>
        </w:numPr>
        <w:tabs>
          <w:tab w:pos="1367" w:val="left" w:leader="none"/>
        </w:tabs>
        <w:spacing w:line="446" w:lineRule="auto" w:before="47" w:after="0"/>
        <w:ind w:left="418" w:right="1505" w:firstLine="419"/>
        <w:jc w:val="left"/>
        <w:rPr>
          <w:sz w:val="21"/>
        </w:rPr>
      </w:pPr>
      <w:r>
        <w:rPr>
          <w:spacing w:val="-3"/>
          <w:sz w:val="21"/>
        </w:rPr>
        <w:t>监控中心的火灾报警信息、建筑消防设施运行状态信息等记录应备份，其保存周期不</w:t>
      </w:r>
      <w:r>
        <w:rPr>
          <w:spacing w:val="-15"/>
          <w:sz w:val="21"/>
        </w:rPr>
        <w:t>应小于 </w:t>
      </w:r>
      <w:r>
        <w:rPr>
          <w:sz w:val="21"/>
        </w:rPr>
        <w:t>1</w:t>
      </w:r>
      <w:r>
        <w:rPr>
          <w:spacing w:val="-9"/>
          <w:sz w:val="21"/>
        </w:rPr>
        <w:t> 年。当按年度进行统计处理时，应保存至光盘、磁带等存储介质中。 </w:t>
      </w:r>
    </w:p>
    <w:p>
      <w:pPr>
        <w:pStyle w:val="ListParagraph"/>
        <w:numPr>
          <w:ilvl w:val="0"/>
          <w:numId w:val="389"/>
        </w:numPr>
        <w:tabs>
          <w:tab w:pos="1367" w:val="left" w:leader="none"/>
        </w:tabs>
        <w:spacing w:line="267" w:lineRule="exact" w:before="0" w:after="0"/>
        <w:ind w:left="1367" w:right="0" w:hanging="529"/>
        <w:jc w:val="left"/>
        <w:rPr>
          <w:sz w:val="21"/>
        </w:rPr>
      </w:pPr>
      <w:r>
        <w:rPr>
          <w:spacing w:val="-7"/>
          <w:sz w:val="21"/>
        </w:rPr>
        <w:t>录音文件的保存周期不应少于 </w:t>
      </w:r>
      <w:r>
        <w:rPr>
          <w:sz w:val="21"/>
        </w:rPr>
        <w:t>6</w:t>
      </w:r>
      <w:r>
        <w:rPr>
          <w:spacing w:val="-16"/>
          <w:sz w:val="21"/>
        </w:rPr>
        <w:t> 个月。</w:t>
      </w:r>
      <w:r>
        <w:rPr>
          <w:sz w:val="21"/>
        </w:rPr>
        <w:t> </w:t>
      </w:r>
    </w:p>
    <w:p>
      <w:pPr>
        <w:pStyle w:val="BodyText"/>
        <w:spacing w:before="2"/>
        <w:rPr>
          <w:sz w:val="18"/>
        </w:rPr>
      </w:pPr>
    </w:p>
    <w:p>
      <w:pPr>
        <w:pStyle w:val="ListParagraph"/>
        <w:numPr>
          <w:ilvl w:val="0"/>
          <w:numId w:val="389"/>
        </w:numPr>
        <w:tabs>
          <w:tab w:pos="1367" w:val="left" w:leader="none"/>
        </w:tabs>
        <w:spacing w:line="446" w:lineRule="auto" w:before="0" w:after="0"/>
        <w:ind w:left="418" w:right="3661" w:firstLine="419"/>
        <w:jc w:val="left"/>
        <w:rPr>
          <w:b/>
          <w:sz w:val="21"/>
        </w:rPr>
      </w:pPr>
      <w:r>
        <w:rPr>
          <w:spacing w:val="-5"/>
          <w:sz w:val="21"/>
        </w:rPr>
        <w:t>远程监控系统应有统一的时钟管理，累计误差不应大于 </w:t>
      </w:r>
      <w:r>
        <w:rPr>
          <w:sz w:val="21"/>
        </w:rPr>
        <w:t>5s</w:t>
      </w:r>
      <w:r>
        <w:rPr>
          <w:spacing w:val="-3"/>
          <w:sz w:val="21"/>
        </w:rPr>
        <w:t>。</w:t>
      </w:r>
      <w:r>
        <w:rPr>
          <w:b/>
          <w:sz w:val="21"/>
        </w:rPr>
        <w:t>4.3</w:t>
      </w:r>
      <w:r>
        <w:rPr>
          <w:b/>
          <w:spacing w:val="-1"/>
          <w:sz w:val="21"/>
        </w:rPr>
        <w:t> 系统构成</w:t>
      </w:r>
      <w:r>
        <w:rPr>
          <w:b/>
          <w:spacing w:val="-1"/>
          <w:w w:val="99"/>
          <w:sz w:val="21"/>
        </w:rPr>
        <w:t> </w:t>
      </w:r>
    </w:p>
    <w:p>
      <w:pPr>
        <w:pStyle w:val="BodyText"/>
        <w:rPr>
          <w:b/>
          <w:sz w:val="20"/>
        </w:rPr>
      </w:pPr>
    </w:p>
    <w:p>
      <w:pPr>
        <w:pStyle w:val="BodyText"/>
        <w:spacing w:before="12"/>
        <w:rPr>
          <w:b/>
          <w:sz w:val="18"/>
        </w:rPr>
      </w:pPr>
    </w:p>
    <w:p>
      <w:pPr>
        <w:pStyle w:val="ListParagraph"/>
        <w:numPr>
          <w:ilvl w:val="2"/>
          <w:numId w:val="390"/>
        </w:numPr>
        <w:tabs>
          <w:tab w:pos="1370" w:val="left" w:leader="none"/>
        </w:tabs>
        <w:spacing w:line="446" w:lineRule="auto" w:before="0" w:after="0"/>
        <w:ind w:left="418" w:right="1604" w:firstLine="422"/>
        <w:jc w:val="left"/>
        <w:rPr>
          <w:sz w:val="21"/>
        </w:rPr>
      </w:pPr>
      <w:r>
        <w:rPr>
          <w:spacing w:val="-3"/>
          <w:sz w:val="21"/>
        </w:rPr>
        <w:t>远程监控系统应由用户信息传输装置、报警传输网络、报警受理系统、信息查询系统、用户服务系统及相关终端和接口构成（</w:t>
      </w:r>
      <w:r>
        <w:rPr>
          <w:spacing w:val="-27"/>
          <w:sz w:val="21"/>
        </w:rPr>
        <w:t>图 </w:t>
      </w:r>
      <w:r>
        <w:rPr>
          <w:sz w:val="21"/>
        </w:rPr>
        <w:t>4.3.1）</w:t>
      </w:r>
      <w:r>
        <w:rPr>
          <w:spacing w:val="-3"/>
          <w:sz w:val="21"/>
        </w:rPr>
        <w:t>。</w:t>
      </w:r>
      <w:r>
        <w:rPr>
          <w:sz w:val="21"/>
        </w:rPr>
        <w:t> </w:t>
      </w:r>
    </w:p>
    <w:p>
      <w:pPr>
        <w:pStyle w:val="Heading6"/>
        <w:spacing w:line="267" w:lineRule="exact"/>
        <w:ind w:left="3310"/>
        <w:rPr>
          <w:b w:val="0"/>
        </w:rPr>
      </w:pPr>
      <w:r>
        <w:rPr/>
        <w:t>图 4.3.1 城市消防远程监控系统构成</w:t>
      </w:r>
      <w:r>
        <w:rPr>
          <w:b w:val="0"/>
          <w:w w:val="100"/>
        </w:rPr>
        <w:t> </w:t>
      </w:r>
    </w:p>
    <w:p>
      <w:pPr>
        <w:pStyle w:val="BodyText"/>
        <w:rPr>
          <w:sz w:val="20"/>
        </w:rPr>
      </w:pPr>
    </w:p>
    <w:p>
      <w:pPr>
        <w:pStyle w:val="BodyText"/>
        <w:spacing w:before="9"/>
        <w:rPr>
          <w:sz w:val="11"/>
        </w:rPr>
      </w:pPr>
      <w:r>
        <w:rPr/>
        <w:drawing>
          <wp:anchor distT="0" distB="0" distL="0" distR="0" allowOverlap="1" layoutInCell="1" locked="0" behindDoc="0" simplePos="0" relativeHeight="153">
            <wp:simplePos x="0" y="0"/>
            <wp:positionH relativeFrom="page">
              <wp:posOffset>1170305</wp:posOffset>
            </wp:positionH>
            <wp:positionV relativeFrom="paragraph">
              <wp:posOffset>120404</wp:posOffset>
            </wp:positionV>
            <wp:extent cx="5212714" cy="2895600"/>
            <wp:effectExtent l="0" t="0" r="0" b="0"/>
            <wp:wrapTopAndBottom/>
            <wp:docPr id="333" name="image203.jpeg"/>
            <wp:cNvGraphicFramePr>
              <a:graphicFrameLocks noChangeAspect="1"/>
            </wp:cNvGraphicFramePr>
            <a:graphic>
              <a:graphicData uri="http://schemas.openxmlformats.org/drawingml/2006/picture">
                <pic:pic>
                  <pic:nvPicPr>
                    <pic:cNvPr id="334" name="image203.jpeg"/>
                    <pic:cNvPicPr/>
                  </pic:nvPicPr>
                  <pic:blipFill>
                    <a:blip r:embed="rId248" cstate="print"/>
                    <a:stretch>
                      <a:fillRect/>
                    </a:stretch>
                  </pic:blipFill>
                  <pic:spPr>
                    <a:xfrm>
                      <a:off x="0" y="0"/>
                      <a:ext cx="5212714" cy="2895600"/>
                    </a:xfrm>
                    <a:prstGeom prst="rect">
                      <a:avLst/>
                    </a:prstGeom>
                  </pic:spPr>
                </pic:pic>
              </a:graphicData>
            </a:graphic>
          </wp:anchor>
        </w:drawing>
      </w:r>
    </w:p>
    <w:p>
      <w:pPr>
        <w:pStyle w:val="BodyText"/>
        <w:spacing w:before="7"/>
        <w:rPr>
          <w:sz w:val="17"/>
        </w:rPr>
      </w:pPr>
    </w:p>
    <w:p>
      <w:pPr>
        <w:pStyle w:val="ListParagraph"/>
        <w:numPr>
          <w:ilvl w:val="2"/>
          <w:numId w:val="390"/>
        </w:numPr>
        <w:tabs>
          <w:tab w:pos="1371" w:val="left" w:leader="none"/>
        </w:tabs>
        <w:spacing w:line="240" w:lineRule="auto" w:before="0" w:after="0"/>
        <w:ind w:left="1370" w:right="0" w:hanging="531"/>
        <w:jc w:val="left"/>
        <w:rPr>
          <w:sz w:val="21"/>
        </w:rPr>
      </w:pPr>
      <w:r>
        <w:rPr>
          <w:spacing w:val="-3"/>
          <w:sz w:val="21"/>
        </w:rPr>
        <w:t>报警受理系统、信息查询系统、用户服务系统应设置在监控中心。</w:t>
      </w:r>
      <w:r>
        <w:rPr>
          <w:sz w:val="21"/>
        </w:rPr>
        <w:t> </w:t>
      </w:r>
    </w:p>
    <w:p>
      <w:pPr>
        <w:pStyle w:val="BodyText"/>
        <w:spacing w:before="12"/>
        <w:rPr>
          <w:sz w:val="17"/>
        </w:rPr>
      </w:pPr>
    </w:p>
    <w:p>
      <w:pPr>
        <w:pStyle w:val="ListParagraph"/>
        <w:numPr>
          <w:ilvl w:val="1"/>
          <w:numId w:val="391"/>
        </w:numPr>
        <w:tabs>
          <w:tab w:pos="1159" w:val="left" w:leader="none"/>
        </w:tabs>
        <w:spacing w:line="240" w:lineRule="auto" w:before="0" w:after="0"/>
        <w:ind w:left="1158" w:right="0" w:hanging="319"/>
        <w:jc w:val="left"/>
        <w:rPr>
          <w:sz w:val="21"/>
        </w:rPr>
      </w:pPr>
      <w:r>
        <w:rPr>
          <w:spacing w:val="-3"/>
          <w:sz w:val="21"/>
        </w:rPr>
        <w:t>报警传输网络</w:t>
      </w:r>
      <w:r>
        <w:rPr>
          <w:sz w:val="21"/>
        </w:rPr>
        <w:t> </w:t>
      </w:r>
    </w:p>
    <w:p>
      <w:pPr>
        <w:pStyle w:val="BodyText"/>
        <w:rPr>
          <w:sz w:val="18"/>
        </w:rPr>
      </w:pPr>
    </w:p>
    <w:p>
      <w:pPr>
        <w:pStyle w:val="ListParagraph"/>
        <w:numPr>
          <w:ilvl w:val="2"/>
          <w:numId w:val="391"/>
        </w:numPr>
        <w:tabs>
          <w:tab w:pos="1370" w:val="left" w:leader="none"/>
        </w:tabs>
        <w:spacing w:line="240" w:lineRule="auto" w:before="0" w:after="0"/>
        <w:ind w:left="1369" w:right="0" w:hanging="530"/>
        <w:jc w:val="left"/>
        <w:rPr>
          <w:sz w:val="21"/>
        </w:rPr>
      </w:pPr>
      <w:r>
        <w:rPr>
          <w:spacing w:val="-3"/>
          <w:sz w:val="21"/>
        </w:rPr>
        <w:t>信息传输可采用有线通信或无线通信方式。</w:t>
      </w:r>
      <w:r>
        <w:rPr>
          <w:sz w:val="21"/>
        </w:rPr>
        <w:t> </w:t>
      </w:r>
    </w:p>
    <w:p>
      <w:pPr>
        <w:pStyle w:val="BodyText"/>
        <w:spacing w:before="1"/>
        <w:rPr>
          <w:sz w:val="18"/>
        </w:rPr>
      </w:pPr>
    </w:p>
    <w:p>
      <w:pPr>
        <w:pStyle w:val="ListParagraph"/>
        <w:numPr>
          <w:ilvl w:val="2"/>
          <w:numId w:val="391"/>
        </w:numPr>
        <w:tabs>
          <w:tab w:pos="1371" w:val="left" w:leader="none"/>
        </w:tabs>
        <w:spacing w:line="240" w:lineRule="auto" w:before="1" w:after="0"/>
        <w:ind w:left="1370" w:right="0" w:hanging="531"/>
        <w:jc w:val="left"/>
        <w:rPr>
          <w:sz w:val="21"/>
        </w:rPr>
      </w:pPr>
      <w:r>
        <w:rPr>
          <w:spacing w:val="-3"/>
          <w:sz w:val="21"/>
        </w:rPr>
        <w:t>报警传输网络可采用公用通信网或专用通信网构建。 </w:t>
      </w:r>
      <w:r>
        <w:rPr>
          <w:spacing w:val="-2"/>
          <w:sz w:val="21"/>
        </w:rPr>
        <w:t> </w:t>
      </w:r>
      <w:r>
        <w:rPr>
          <w:w w:val="100"/>
          <w:sz w:val="21"/>
        </w:rPr>
        <w:t> </w:t>
      </w:r>
    </w:p>
    <w:p>
      <w:pPr>
        <w:pStyle w:val="BodyText"/>
        <w:spacing w:before="12"/>
        <w:rPr>
          <w:sz w:val="17"/>
        </w:rPr>
      </w:pPr>
    </w:p>
    <w:p>
      <w:pPr>
        <w:pStyle w:val="ListParagraph"/>
        <w:numPr>
          <w:ilvl w:val="2"/>
          <w:numId w:val="391"/>
        </w:numPr>
        <w:tabs>
          <w:tab w:pos="1371" w:val="left" w:leader="none"/>
        </w:tabs>
        <w:spacing w:line="240" w:lineRule="auto" w:before="0" w:after="0"/>
        <w:ind w:left="1370" w:right="0" w:hanging="531"/>
        <w:jc w:val="left"/>
        <w:rPr>
          <w:sz w:val="21"/>
        </w:rPr>
      </w:pPr>
      <w:r>
        <w:rPr>
          <w:spacing w:val="-3"/>
          <w:sz w:val="21"/>
        </w:rPr>
        <w:t>远程监控系统采用有线通信方式传输时可选择下列接入方式：</w:t>
      </w:r>
      <w:r>
        <w:rPr>
          <w:sz w:val="21"/>
        </w:rPr>
        <w:t> </w:t>
      </w:r>
    </w:p>
    <w:p>
      <w:pPr>
        <w:pStyle w:val="BodyText"/>
        <w:spacing w:before="12"/>
        <w:rPr>
          <w:sz w:val="17"/>
        </w:rPr>
      </w:pPr>
    </w:p>
    <w:p>
      <w:pPr>
        <w:pStyle w:val="ListParagraph"/>
        <w:numPr>
          <w:ilvl w:val="0"/>
          <w:numId w:val="392"/>
        </w:numPr>
        <w:tabs>
          <w:tab w:pos="1367" w:val="left" w:leader="none"/>
        </w:tabs>
        <w:spacing w:line="240" w:lineRule="auto" w:before="0" w:after="0"/>
        <w:ind w:left="1367" w:right="0" w:hanging="529"/>
        <w:jc w:val="left"/>
        <w:rPr>
          <w:sz w:val="21"/>
        </w:rPr>
      </w:pPr>
      <w:r>
        <w:rPr>
          <w:spacing w:val="-3"/>
          <w:sz w:val="21"/>
        </w:rPr>
        <w:t>用户信息传输装置和报警受理系统通过电话用户线或电话中继线接入公用电话网。</w:t>
      </w:r>
      <w:r>
        <w:rPr>
          <w:sz w:val="21"/>
        </w:rPr>
        <w:t> </w:t>
      </w:r>
    </w:p>
    <w:p>
      <w:pPr>
        <w:pStyle w:val="BodyText"/>
        <w:spacing w:before="2"/>
        <w:rPr>
          <w:sz w:val="18"/>
        </w:rPr>
      </w:pPr>
    </w:p>
    <w:p>
      <w:pPr>
        <w:pStyle w:val="ListParagraph"/>
        <w:numPr>
          <w:ilvl w:val="0"/>
          <w:numId w:val="392"/>
        </w:numPr>
        <w:tabs>
          <w:tab w:pos="1367" w:val="left" w:leader="none"/>
        </w:tabs>
        <w:spacing w:line="240" w:lineRule="auto" w:before="1" w:after="0"/>
        <w:ind w:left="1367" w:right="0" w:hanging="529"/>
        <w:jc w:val="left"/>
        <w:rPr>
          <w:sz w:val="21"/>
        </w:rPr>
      </w:pPr>
      <w:r>
        <w:rPr>
          <w:spacing w:val="-3"/>
          <w:sz w:val="21"/>
        </w:rPr>
        <w:t>用户信息传输装置和报警受理系统通过电话用户线或光纤接入公用宽带网。</w:t>
      </w:r>
      <w:r>
        <w:rPr>
          <w:sz w:val="21"/>
        </w:rPr>
        <w:t> </w:t>
      </w:r>
    </w:p>
    <w:p>
      <w:pPr>
        <w:pStyle w:val="BodyText"/>
        <w:spacing w:before="12"/>
        <w:rPr>
          <w:sz w:val="17"/>
        </w:rPr>
      </w:pPr>
    </w:p>
    <w:p>
      <w:pPr>
        <w:pStyle w:val="ListParagraph"/>
        <w:numPr>
          <w:ilvl w:val="0"/>
          <w:numId w:val="392"/>
        </w:numPr>
        <w:tabs>
          <w:tab w:pos="1367" w:val="left" w:leader="none"/>
        </w:tabs>
        <w:spacing w:line="240" w:lineRule="auto" w:before="0" w:after="0"/>
        <w:ind w:left="1367" w:right="0" w:hanging="529"/>
        <w:jc w:val="left"/>
        <w:rPr>
          <w:sz w:val="21"/>
        </w:rPr>
      </w:pPr>
      <w:r>
        <w:rPr>
          <w:spacing w:val="-3"/>
          <w:sz w:val="21"/>
        </w:rPr>
        <w:t>用户信息传输装置和报警受理系统通过模拟专线或数据专线接入专用通信网。</w:t>
      </w:r>
      <w:r>
        <w:rPr>
          <w:sz w:val="21"/>
        </w:rPr>
        <w:t> </w:t>
      </w:r>
    </w:p>
    <w:p>
      <w:pPr>
        <w:pStyle w:val="BodyText"/>
        <w:spacing w:before="12"/>
        <w:rPr>
          <w:sz w:val="17"/>
        </w:rPr>
      </w:pPr>
    </w:p>
    <w:p>
      <w:pPr>
        <w:pStyle w:val="ListParagraph"/>
        <w:numPr>
          <w:ilvl w:val="2"/>
          <w:numId w:val="391"/>
        </w:numPr>
        <w:tabs>
          <w:tab w:pos="1424" w:val="left" w:leader="none"/>
        </w:tabs>
        <w:spacing w:line="240" w:lineRule="auto" w:before="0" w:after="0"/>
        <w:ind w:left="1423" w:right="0" w:hanging="584"/>
        <w:jc w:val="left"/>
        <w:rPr>
          <w:sz w:val="21"/>
        </w:rPr>
      </w:pPr>
      <w:r>
        <w:rPr>
          <w:spacing w:val="-3"/>
          <w:sz w:val="21"/>
        </w:rPr>
        <w:t>远程监控系统采用无线通信方式传输时可选择下列接入方式：</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393"/>
        </w:numPr>
        <w:tabs>
          <w:tab w:pos="1367" w:val="left" w:leader="none"/>
        </w:tabs>
        <w:spacing w:line="240" w:lineRule="auto" w:before="47" w:after="0"/>
        <w:ind w:left="1367" w:right="0" w:hanging="529"/>
        <w:jc w:val="left"/>
        <w:rPr>
          <w:sz w:val="21"/>
        </w:rPr>
      </w:pPr>
      <w:r>
        <w:rPr>
          <w:spacing w:val="-3"/>
          <w:sz w:val="21"/>
        </w:rPr>
        <w:t>用户信息传输装置和报警受理系统通过移动通信模块接入公用移动网。 </w:t>
      </w:r>
    </w:p>
    <w:p>
      <w:pPr>
        <w:pStyle w:val="BodyText"/>
        <w:rPr>
          <w:sz w:val="18"/>
        </w:rPr>
      </w:pPr>
    </w:p>
    <w:p>
      <w:pPr>
        <w:pStyle w:val="ListParagraph"/>
        <w:numPr>
          <w:ilvl w:val="0"/>
          <w:numId w:val="393"/>
        </w:numPr>
        <w:tabs>
          <w:tab w:pos="1367" w:val="left" w:leader="none"/>
        </w:tabs>
        <w:spacing w:line="240" w:lineRule="auto" w:before="0" w:after="0"/>
        <w:ind w:left="1367" w:right="0" w:hanging="529"/>
        <w:jc w:val="left"/>
        <w:rPr>
          <w:sz w:val="21"/>
        </w:rPr>
      </w:pPr>
      <w:r>
        <w:rPr>
          <w:spacing w:val="-3"/>
          <w:sz w:val="21"/>
        </w:rPr>
        <w:t>用户信息传输装置和报警受理系统通过无线电收发设备接入无线专用通信网络。</w:t>
      </w:r>
      <w:r>
        <w:rPr>
          <w:sz w:val="21"/>
        </w:rPr>
        <w:t> </w:t>
      </w:r>
    </w:p>
    <w:p>
      <w:pPr>
        <w:pStyle w:val="BodyText"/>
        <w:rPr>
          <w:sz w:val="18"/>
        </w:rPr>
      </w:pPr>
    </w:p>
    <w:p>
      <w:pPr>
        <w:pStyle w:val="ListParagraph"/>
        <w:numPr>
          <w:ilvl w:val="0"/>
          <w:numId w:val="393"/>
        </w:numPr>
        <w:tabs>
          <w:tab w:pos="1367" w:val="left" w:leader="none"/>
        </w:tabs>
        <w:spacing w:line="446" w:lineRule="auto" w:before="0" w:after="0"/>
        <w:ind w:left="418" w:right="1505" w:firstLine="419"/>
        <w:jc w:val="left"/>
        <w:rPr>
          <w:sz w:val="21"/>
        </w:rPr>
      </w:pPr>
      <w:r>
        <w:rPr>
          <w:spacing w:val="-3"/>
          <w:sz w:val="21"/>
        </w:rPr>
        <w:t>用户信息传输装置和报警受理系统通过集群语音通路或数据通路接入无线电集群专用通信网络。</w:t>
      </w:r>
      <w:r>
        <w:rPr>
          <w:sz w:val="21"/>
        </w:rPr>
        <w:t> </w:t>
      </w:r>
    </w:p>
    <w:p>
      <w:pPr>
        <w:pStyle w:val="ListParagraph"/>
        <w:numPr>
          <w:ilvl w:val="1"/>
          <w:numId w:val="391"/>
        </w:numPr>
        <w:tabs>
          <w:tab w:pos="1159" w:val="left" w:leader="none"/>
        </w:tabs>
        <w:spacing w:line="240" w:lineRule="auto" w:before="0" w:after="0"/>
        <w:ind w:left="1158" w:right="0" w:hanging="319"/>
        <w:jc w:val="left"/>
        <w:rPr>
          <w:sz w:val="21"/>
        </w:rPr>
      </w:pPr>
      <w:r>
        <w:rPr>
          <w:spacing w:val="-3"/>
          <w:sz w:val="21"/>
        </w:rPr>
        <w:t>系统连接与信息传输</w:t>
      </w:r>
      <w:r>
        <w:rPr>
          <w:sz w:val="21"/>
        </w:rPr>
        <w:t> </w:t>
      </w:r>
    </w:p>
    <w:p>
      <w:pPr>
        <w:pStyle w:val="BodyText"/>
        <w:spacing w:before="12"/>
        <w:rPr>
          <w:sz w:val="17"/>
        </w:rPr>
      </w:pPr>
    </w:p>
    <w:p>
      <w:pPr>
        <w:pStyle w:val="ListParagraph"/>
        <w:numPr>
          <w:ilvl w:val="2"/>
          <w:numId w:val="391"/>
        </w:numPr>
        <w:tabs>
          <w:tab w:pos="1424" w:val="left" w:leader="none"/>
        </w:tabs>
        <w:spacing w:line="240" w:lineRule="auto" w:before="0" w:after="0"/>
        <w:ind w:left="1423" w:right="0" w:hanging="584"/>
        <w:jc w:val="left"/>
        <w:rPr>
          <w:sz w:val="21"/>
        </w:rPr>
      </w:pPr>
      <w:r>
        <w:rPr>
          <w:spacing w:val="-3"/>
          <w:sz w:val="21"/>
        </w:rPr>
        <w:t>联网用户的火灾报警和建筑消防设施运行状态信息的传输应符合下列要求： </w:t>
      </w:r>
    </w:p>
    <w:p>
      <w:pPr>
        <w:pStyle w:val="BodyText"/>
        <w:spacing w:before="2"/>
        <w:rPr>
          <w:sz w:val="18"/>
        </w:rPr>
      </w:pPr>
    </w:p>
    <w:p>
      <w:pPr>
        <w:pStyle w:val="ListParagraph"/>
        <w:numPr>
          <w:ilvl w:val="0"/>
          <w:numId w:val="394"/>
        </w:numPr>
        <w:tabs>
          <w:tab w:pos="1367" w:val="left" w:leader="none"/>
        </w:tabs>
        <w:spacing w:line="446" w:lineRule="auto" w:before="0" w:after="0"/>
        <w:ind w:left="418" w:right="1505" w:firstLine="419"/>
        <w:jc w:val="left"/>
        <w:rPr>
          <w:sz w:val="21"/>
        </w:rPr>
      </w:pPr>
      <w:r>
        <w:rPr>
          <w:spacing w:val="-3"/>
          <w:sz w:val="21"/>
        </w:rPr>
        <w:t>设有火灾自动报警系统的联网用户应采用火灾自动报警系统向用户信息传输装置提供火灾报警和建筑消防设施运行状态信息。</w:t>
      </w:r>
      <w:r>
        <w:rPr>
          <w:sz w:val="21"/>
        </w:rPr>
        <w:t> </w:t>
      </w:r>
    </w:p>
    <w:p>
      <w:pPr>
        <w:pStyle w:val="ListParagraph"/>
        <w:numPr>
          <w:ilvl w:val="0"/>
          <w:numId w:val="394"/>
        </w:numPr>
        <w:tabs>
          <w:tab w:pos="1367" w:val="left" w:leader="none"/>
        </w:tabs>
        <w:spacing w:line="446" w:lineRule="auto" w:before="0" w:after="0"/>
        <w:ind w:left="418" w:right="1505" w:firstLine="419"/>
        <w:jc w:val="left"/>
        <w:rPr>
          <w:sz w:val="21"/>
        </w:rPr>
      </w:pPr>
      <w:r>
        <w:rPr>
          <w:spacing w:val="-3"/>
          <w:sz w:val="21"/>
        </w:rPr>
        <w:t>未设火灾自动报警系统的联网用户应采用报警按钮向用户信息传输装置提供火灾报警信息，或通过自动触发装置向用户信息传输装置提供火灾报警和建筑消防设施运行状态信息。</w:t>
      </w:r>
      <w:r>
        <w:rPr>
          <w:sz w:val="21"/>
        </w:rPr>
        <w:t> </w:t>
      </w:r>
    </w:p>
    <w:p>
      <w:pPr>
        <w:pStyle w:val="ListParagraph"/>
        <w:numPr>
          <w:ilvl w:val="0"/>
          <w:numId w:val="394"/>
        </w:numPr>
        <w:tabs>
          <w:tab w:pos="1367" w:val="left" w:leader="none"/>
        </w:tabs>
        <w:spacing w:line="240" w:lineRule="auto" w:before="0" w:after="0"/>
        <w:ind w:left="1367" w:right="0" w:hanging="529"/>
        <w:jc w:val="left"/>
        <w:rPr>
          <w:sz w:val="21"/>
        </w:rPr>
      </w:pPr>
      <w:r>
        <w:rPr>
          <w:spacing w:val="-3"/>
          <w:sz w:val="21"/>
        </w:rPr>
        <w:t>用户信息传输装置与监控中心的信息传输应通过报警监控传输网络进行。 </w:t>
      </w:r>
    </w:p>
    <w:p>
      <w:pPr>
        <w:pStyle w:val="BodyText"/>
        <w:spacing w:before="10"/>
        <w:rPr>
          <w:sz w:val="17"/>
        </w:rPr>
      </w:pPr>
    </w:p>
    <w:p>
      <w:pPr>
        <w:pStyle w:val="ListParagraph"/>
        <w:numPr>
          <w:ilvl w:val="2"/>
          <w:numId w:val="391"/>
        </w:numPr>
        <w:tabs>
          <w:tab w:pos="1371" w:val="left" w:leader="none"/>
        </w:tabs>
        <w:spacing w:line="446" w:lineRule="auto" w:before="0" w:after="0"/>
        <w:ind w:left="418" w:right="1604" w:firstLine="422"/>
        <w:jc w:val="left"/>
        <w:rPr>
          <w:sz w:val="21"/>
        </w:rPr>
      </w:pPr>
      <w:r>
        <w:rPr>
          <w:spacing w:val="-3"/>
          <w:sz w:val="21"/>
        </w:rPr>
        <w:t>联网用户的消防安全管理信息宜通过报警监控传输网络或公用通信网与监控中心进行信息传输。</w:t>
      </w:r>
      <w:r>
        <w:rPr>
          <w:sz w:val="21"/>
        </w:rPr>
        <w:t> </w:t>
      </w:r>
    </w:p>
    <w:p>
      <w:pPr>
        <w:pStyle w:val="ListParagraph"/>
        <w:numPr>
          <w:ilvl w:val="2"/>
          <w:numId w:val="391"/>
        </w:numPr>
        <w:tabs>
          <w:tab w:pos="1371" w:val="left" w:leader="none"/>
        </w:tabs>
        <w:spacing w:line="240" w:lineRule="auto" w:before="0" w:after="0"/>
        <w:ind w:left="1370" w:right="0" w:hanging="531"/>
        <w:jc w:val="left"/>
        <w:rPr>
          <w:sz w:val="21"/>
        </w:rPr>
      </w:pPr>
      <w:r>
        <w:rPr>
          <w:spacing w:val="-3"/>
          <w:sz w:val="21"/>
        </w:rPr>
        <w:t>火警信息终端应设置在城市消防通信指挥中心或其他接处警中心，并应通过专线</w:t>
      </w:r>
    </w:p>
    <w:p>
      <w:pPr>
        <w:pStyle w:val="BodyText"/>
        <w:rPr>
          <w:sz w:val="18"/>
        </w:rPr>
      </w:pPr>
    </w:p>
    <w:p>
      <w:pPr>
        <w:pStyle w:val="BodyText"/>
        <w:ind w:left="418"/>
      </w:pPr>
      <w:r>
        <w:rPr/>
        <w:t>（网）与监控中心进行信息传输。 </w:t>
      </w:r>
    </w:p>
    <w:p>
      <w:pPr>
        <w:pStyle w:val="BodyText"/>
        <w:spacing w:before="2"/>
        <w:rPr>
          <w:sz w:val="18"/>
        </w:rPr>
      </w:pPr>
    </w:p>
    <w:p>
      <w:pPr>
        <w:pStyle w:val="ListParagraph"/>
        <w:numPr>
          <w:ilvl w:val="2"/>
          <w:numId w:val="391"/>
        </w:numPr>
        <w:tabs>
          <w:tab w:pos="1370" w:val="left" w:leader="none"/>
        </w:tabs>
        <w:spacing w:line="446" w:lineRule="auto" w:before="0" w:after="0"/>
        <w:ind w:left="418" w:right="1604" w:firstLine="422"/>
        <w:jc w:val="left"/>
        <w:rPr>
          <w:sz w:val="21"/>
        </w:rPr>
      </w:pPr>
      <w:r>
        <w:rPr>
          <w:spacing w:val="-3"/>
          <w:sz w:val="21"/>
        </w:rPr>
        <w:t>监控中心与信息查询接口、信息服务接口的火灾报警、建筑消防设施运行状态信息和消防安全管理信息传输应通过公用通信网进行。</w:t>
      </w:r>
      <w:r>
        <w:rPr>
          <w:sz w:val="21"/>
        </w:rPr>
        <w:t> </w:t>
      </w:r>
    </w:p>
    <w:p>
      <w:pPr>
        <w:pStyle w:val="ListParagraph"/>
        <w:numPr>
          <w:ilvl w:val="1"/>
          <w:numId w:val="391"/>
        </w:numPr>
        <w:tabs>
          <w:tab w:pos="1159" w:val="left" w:leader="none"/>
        </w:tabs>
        <w:spacing w:line="267" w:lineRule="exact" w:before="0" w:after="0"/>
        <w:ind w:left="1158" w:right="0" w:hanging="319"/>
        <w:jc w:val="left"/>
        <w:rPr>
          <w:b/>
          <w:sz w:val="21"/>
        </w:rPr>
      </w:pPr>
      <w:r>
        <w:rPr>
          <w:spacing w:val="-3"/>
          <w:sz w:val="21"/>
        </w:rPr>
        <w:t>系统安全</w:t>
      </w:r>
      <w:r>
        <w:rPr>
          <w:b/>
          <w:w w:val="99"/>
          <w:sz w:val="21"/>
        </w:rPr>
        <w:t> </w:t>
      </w:r>
    </w:p>
    <w:p>
      <w:pPr>
        <w:pStyle w:val="BodyText"/>
        <w:spacing w:before="2"/>
        <w:rPr>
          <w:b/>
          <w:sz w:val="18"/>
        </w:rPr>
      </w:pPr>
    </w:p>
    <w:p>
      <w:pPr>
        <w:pStyle w:val="ListParagraph"/>
        <w:numPr>
          <w:ilvl w:val="2"/>
          <w:numId w:val="391"/>
        </w:numPr>
        <w:tabs>
          <w:tab w:pos="1424" w:val="left" w:leader="none"/>
        </w:tabs>
        <w:spacing w:line="240" w:lineRule="auto" w:before="0" w:after="0"/>
        <w:ind w:left="1423" w:right="0" w:hanging="584"/>
        <w:jc w:val="left"/>
        <w:rPr>
          <w:sz w:val="21"/>
        </w:rPr>
      </w:pPr>
      <w:r>
        <w:rPr>
          <w:spacing w:val="-3"/>
          <w:sz w:val="21"/>
        </w:rPr>
        <w:t>远程监控系统的网络安全应符合下列要求：</w:t>
      </w:r>
      <w:r>
        <w:rPr>
          <w:sz w:val="21"/>
        </w:rPr>
        <w:t> </w:t>
      </w:r>
    </w:p>
    <w:p>
      <w:pPr>
        <w:pStyle w:val="BodyText"/>
        <w:rPr>
          <w:sz w:val="18"/>
        </w:rPr>
      </w:pPr>
    </w:p>
    <w:p>
      <w:pPr>
        <w:pStyle w:val="ListParagraph"/>
        <w:numPr>
          <w:ilvl w:val="0"/>
          <w:numId w:val="395"/>
        </w:numPr>
        <w:tabs>
          <w:tab w:pos="1367" w:val="left" w:leader="none"/>
        </w:tabs>
        <w:spacing w:line="240" w:lineRule="auto" w:before="0" w:after="0"/>
        <w:ind w:left="1367" w:right="0" w:hanging="529"/>
        <w:jc w:val="left"/>
        <w:rPr>
          <w:sz w:val="21"/>
        </w:rPr>
      </w:pPr>
      <w:r>
        <w:rPr>
          <w:spacing w:val="-3"/>
          <w:sz w:val="21"/>
        </w:rPr>
        <w:t>各类系统接入远程监控系统时，应保证网络连接安全。</w:t>
      </w:r>
      <w:r>
        <w:rPr>
          <w:sz w:val="21"/>
        </w:rPr>
        <w:t> </w:t>
      </w:r>
    </w:p>
    <w:p>
      <w:pPr>
        <w:pStyle w:val="BodyText"/>
        <w:spacing w:before="12"/>
        <w:rPr>
          <w:sz w:val="17"/>
        </w:rPr>
      </w:pPr>
    </w:p>
    <w:p>
      <w:pPr>
        <w:pStyle w:val="ListParagraph"/>
        <w:numPr>
          <w:ilvl w:val="0"/>
          <w:numId w:val="395"/>
        </w:numPr>
        <w:tabs>
          <w:tab w:pos="1367" w:val="left" w:leader="none"/>
        </w:tabs>
        <w:spacing w:line="240" w:lineRule="auto" w:before="0" w:after="0"/>
        <w:ind w:left="1367" w:right="0" w:hanging="529"/>
        <w:jc w:val="left"/>
        <w:rPr>
          <w:sz w:val="21"/>
        </w:rPr>
      </w:pPr>
      <w:r>
        <w:rPr>
          <w:spacing w:val="-3"/>
          <w:sz w:val="21"/>
        </w:rPr>
        <w:t>对远程监控系统资源的访问应有身份认证和授权。</w:t>
      </w:r>
      <w:r>
        <w:rPr>
          <w:sz w:val="21"/>
        </w:rPr>
        <w:t> </w:t>
      </w:r>
    </w:p>
    <w:p>
      <w:pPr>
        <w:pStyle w:val="BodyText"/>
        <w:spacing w:before="2"/>
        <w:rPr>
          <w:sz w:val="18"/>
        </w:rPr>
      </w:pPr>
    </w:p>
    <w:p>
      <w:pPr>
        <w:pStyle w:val="ListParagraph"/>
        <w:numPr>
          <w:ilvl w:val="0"/>
          <w:numId w:val="395"/>
        </w:numPr>
        <w:tabs>
          <w:tab w:pos="1367" w:val="left" w:leader="none"/>
        </w:tabs>
        <w:spacing w:line="446" w:lineRule="auto" w:before="0" w:after="0"/>
        <w:ind w:left="840" w:right="2979" w:hanging="3"/>
        <w:jc w:val="left"/>
        <w:rPr>
          <w:sz w:val="21"/>
        </w:rPr>
      </w:pPr>
      <w:r>
        <w:rPr>
          <w:spacing w:val="-3"/>
          <w:sz w:val="21"/>
        </w:rPr>
        <w:t>建立网管系统，设置防火墙，对计算机病毒进行实时监控和报警。. </w:t>
      </w:r>
      <w:r>
        <w:rPr>
          <w:b/>
          <w:sz w:val="21"/>
        </w:rPr>
        <w:t>4.6.2 </w:t>
      </w:r>
      <w:r>
        <w:rPr>
          <w:spacing w:val="-3"/>
          <w:sz w:val="21"/>
        </w:rPr>
        <w:t>远程监控系统的应用安全应符合下列要求：</w:t>
      </w:r>
      <w:r>
        <w:rPr>
          <w:sz w:val="21"/>
        </w:rPr>
        <w:t> </w:t>
      </w:r>
    </w:p>
    <w:p>
      <w:pPr>
        <w:pStyle w:val="ListParagraph"/>
        <w:numPr>
          <w:ilvl w:val="0"/>
          <w:numId w:val="396"/>
        </w:numPr>
        <w:tabs>
          <w:tab w:pos="1367" w:val="left" w:leader="none"/>
        </w:tabs>
        <w:spacing w:line="267" w:lineRule="exact" w:before="0" w:after="0"/>
        <w:ind w:left="1367" w:right="0" w:hanging="529"/>
        <w:jc w:val="left"/>
        <w:rPr>
          <w:sz w:val="21"/>
        </w:rPr>
      </w:pPr>
      <w:r>
        <w:rPr>
          <w:spacing w:val="-3"/>
          <w:sz w:val="21"/>
        </w:rPr>
        <w:t>数据库服务器应有备份功能。</w:t>
      </w:r>
      <w:r>
        <w:rPr>
          <w:sz w:val="21"/>
        </w:rPr>
        <w:t> </w:t>
      </w:r>
    </w:p>
    <w:p>
      <w:pPr>
        <w:pStyle w:val="BodyText"/>
        <w:spacing w:before="2"/>
        <w:rPr>
          <w:sz w:val="18"/>
        </w:rPr>
      </w:pPr>
    </w:p>
    <w:p>
      <w:pPr>
        <w:pStyle w:val="ListParagraph"/>
        <w:numPr>
          <w:ilvl w:val="0"/>
          <w:numId w:val="396"/>
        </w:numPr>
        <w:tabs>
          <w:tab w:pos="1367" w:val="left" w:leader="none"/>
        </w:tabs>
        <w:spacing w:line="240" w:lineRule="auto" w:before="0" w:after="0"/>
        <w:ind w:left="1367" w:right="0" w:hanging="529"/>
        <w:jc w:val="left"/>
        <w:rPr>
          <w:sz w:val="21"/>
        </w:rPr>
      </w:pPr>
      <w:r>
        <w:rPr>
          <w:spacing w:val="-3"/>
          <w:sz w:val="21"/>
        </w:rPr>
        <w:t>监控中心应有火灾报警信息接收的应急备份功能。</w:t>
      </w:r>
      <w:r>
        <w:rPr>
          <w:sz w:val="21"/>
        </w:rPr>
        <w:t> </w:t>
      </w:r>
    </w:p>
    <w:p>
      <w:pPr>
        <w:pStyle w:val="BodyText"/>
        <w:rPr>
          <w:sz w:val="18"/>
        </w:rPr>
      </w:pPr>
    </w:p>
    <w:p>
      <w:pPr>
        <w:pStyle w:val="ListParagraph"/>
        <w:numPr>
          <w:ilvl w:val="0"/>
          <w:numId w:val="396"/>
        </w:numPr>
        <w:tabs>
          <w:tab w:pos="1367" w:val="left" w:leader="none"/>
        </w:tabs>
        <w:spacing w:line="446" w:lineRule="auto" w:before="0" w:after="0"/>
        <w:ind w:left="418" w:right="1505" w:firstLine="419"/>
        <w:jc w:val="left"/>
        <w:rPr>
          <w:sz w:val="21"/>
        </w:rPr>
      </w:pPr>
      <w:r>
        <w:rPr>
          <w:spacing w:val="-3"/>
          <w:sz w:val="21"/>
        </w:rPr>
        <w:t>应有防止修改火灾报警信息、建筑消防设施运行状态信息和消防安全管理信息等原始数据的功能。</w:t>
      </w:r>
      <w:r>
        <w:rPr>
          <w:sz w:val="21"/>
        </w:rPr>
        <w:t> </w:t>
      </w:r>
    </w:p>
    <w:p>
      <w:pPr>
        <w:pStyle w:val="ListParagraph"/>
        <w:numPr>
          <w:ilvl w:val="0"/>
          <w:numId w:val="396"/>
        </w:numPr>
        <w:tabs>
          <w:tab w:pos="1367" w:val="left" w:leader="none"/>
        </w:tabs>
        <w:spacing w:line="240" w:lineRule="auto" w:before="0" w:after="0"/>
        <w:ind w:left="1367" w:right="0" w:hanging="529"/>
        <w:jc w:val="left"/>
        <w:rPr>
          <w:sz w:val="21"/>
        </w:rPr>
      </w:pPr>
      <w:r>
        <w:rPr>
          <w:spacing w:val="-3"/>
          <w:sz w:val="21"/>
        </w:rPr>
        <w:t>应有系统运行记录。</w:t>
      </w:r>
      <w:r>
        <w:rPr>
          <w:sz w:val="21"/>
        </w:rPr>
        <w:t> </w:t>
      </w:r>
    </w:p>
    <w:p>
      <w:pPr>
        <w:spacing w:after="0" w:line="240" w:lineRule="auto"/>
        <w:jc w:val="left"/>
        <w:rPr>
          <w:sz w:val="21"/>
        </w:rPr>
        <w:sectPr>
          <w:pgSz w:w="11910" w:h="16850"/>
          <w:pgMar w:header="0" w:footer="1239" w:top="1220" w:bottom="1420" w:left="1260" w:right="0"/>
        </w:sectPr>
      </w:pPr>
    </w:p>
    <w:p>
      <w:pPr>
        <w:pStyle w:val="Heading4"/>
        <w:spacing w:before="37"/>
      </w:pPr>
      <w:r>
        <w:rPr/>
        <w:t>5 系统配置和设备功能要求</w:t>
      </w:r>
      <w:r>
        <w:rPr>
          <w:w w:val="99"/>
        </w:rPr>
        <w:t> </w:t>
      </w:r>
    </w:p>
    <w:p>
      <w:pPr>
        <w:pStyle w:val="BodyText"/>
        <w:spacing w:before="4"/>
        <w:rPr>
          <w:b/>
          <w:sz w:val="17"/>
        </w:rPr>
      </w:pPr>
    </w:p>
    <w:p>
      <w:pPr>
        <w:pStyle w:val="ListParagraph"/>
        <w:numPr>
          <w:ilvl w:val="1"/>
          <w:numId w:val="397"/>
        </w:numPr>
        <w:tabs>
          <w:tab w:pos="1159" w:val="left" w:leader="none"/>
        </w:tabs>
        <w:spacing w:line="240" w:lineRule="auto" w:before="1" w:after="0"/>
        <w:ind w:left="1158" w:right="0" w:hanging="319"/>
        <w:jc w:val="left"/>
        <w:rPr>
          <w:sz w:val="21"/>
        </w:rPr>
      </w:pPr>
      <w:r>
        <w:rPr>
          <w:spacing w:val="-3"/>
          <w:sz w:val="21"/>
        </w:rPr>
        <w:t>系统配置</w:t>
      </w:r>
      <w:r>
        <w:rPr>
          <w:sz w:val="21"/>
        </w:rPr>
        <w:t> </w:t>
      </w:r>
    </w:p>
    <w:p>
      <w:pPr>
        <w:pStyle w:val="BodyText"/>
        <w:spacing w:before="12"/>
        <w:rPr>
          <w:sz w:val="17"/>
        </w:rPr>
      </w:pPr>
    </w:p>
    <w:p>
      <w:pPr>
        <w:pStyle w:val="ListParagraph"/>
        <w:numPr>
          <w:ilvl w:val="2"/>
          <w:numId w:val="397"/>
        </w:numPr>
        <w:tabs>
          <w:tab w:pos="1367" w:val="left" w:leader="none"/>
        </w:tabs>
        <w:spacing w:line="240" w:lineRule="auto" w:before="0" w:after="0"/>
        <w:ind w:left="1367" w:right="0" w:hanging="529"/>
        <w:jc w:val="left"/>
        <w:rPr>
          <w:sz w:val="19"/>
        </w:rPr>
      </w:pPr>
      <w:r>
        <w:rPr>
          <w:spacing w:val="-7"/>
          <w:sz w:val="21"/>
        </w:rPr>
        <w:t>远程监控系统配置应符合表 </w:t>
      </w:r>
      <w:r>
        <w:rPr>
          <w:sz w:val="21"/>
        </w:rPr>
        <w:t>5.1.1</w:t>
      </w:r>
      <w:r>
        <w:rPr>
          <w:spacing w:val="-13"/>
          <w:sz w:val="21"/>
        </w:rPr>
        <w:t> 的要求。</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Heading6"/>
        <w:spacing w:before="97"/>
        <w:ind w:left="3413"/>
        <w:rPr>
          <w:sz w:val="24"/>
        </w:rPr>
      </w:pPr>
      <w:r>
        <w:rPr/>
        <w:t>表 5.1.1 远程监控系统配置表</w:t>
      </w:r>
      <w:r>
        <w:rPr>
          <w:w w:val="99"/>
          <w:sz w:val="24"/>
        </w:rPr>
        <w:t> </w:t>
      </w:r>
    </w:p>
    <w:p>
      <w:pPr>
        <w:pStyle w:val="BodyText"/>
        <w:spacing w:before="12"/>
        <w:rPr>
          <w:b/>
          <w:sz w:val="17"/>
        </w:rPr>
      </w:pPr>
      <w:r>
        <w:rPr/>
        <w:drawing>
          <wp:anchor distT="0" distB="0" distL="0" distR="0" allowOverlap="1" layoutInCell="1" locked="0" behindDoc="0" simplePos="0" relativeHeight="154">
            <wp:simplePos x="0" y="0"/>
            <wp:positionH relativeFrom="page">
              <wp:posOffset>1671954</wp:posOffset>
            </wp:positionH>
            <wp:positionV relativeFrom="paragraph">
              <wp:posOffset>171021</wp:posOffset>
            </wp:positionV>
            <wp:extent cx="4620321" cy="3358324"/>
            <wp:effectExtent l="0" t="0" r="0" b="0"/>
            <wp:wrapTopAndBottom/>
            <wp:docPr id="335" name="image204.jpeg"/>
            <wp:cNvGraphicFramePr>
              <a:graphicFrameLocks noChangeAspect="1"/>
            </wp:cNvGraphicFramePr>
            <a:graphic>
              <a:graphicData uri="http://schemas.openxmlformats.org/drawingml/2006/picture">
                <pic:pic>
                  <pic:nvPicPr>
                    <pic:cNvPr id="336" name="image204.jpeg"/>
                    <pic:cNvPicPr/>
                  </pic:nvPicPr>
                  <pic:blipFill>
                    <a:blip r:embed="rId249" cstate="print"/>
                    <a:stretch>
                      <a:fillRect/>
                    </a:stretch>
                  </pic:blipFill>
                  <pic:spPr>
                    <a:xfrm>
                      <a:off x="0" y="0"/>
                      <a:ext cx="4620321" cy="3358324"/>
                    </a:xfrm>
                    <a:prstGeom prst="rect">
                      <a:avLst/>
                    </a:prstGeom>
                  </pic:spPr>
                </pic:pic>
              </a:graphicData>
            </a:graphic>
          </wp:anchor>
        </w:drawing>
      </w:r>
    </w:p>
    <w:p>
      <w:pPr>
        <w:pStyle w:val="ListParagraph"/>
        <w:numPr>
          <w:ilvl w:val="1"/>
          <w:numId w:val="397"/>
        </w:numPr>
        <w:tabs>
          <w:tab w:pos="1159" w:val="left" w:leader="none"/>
        </w:tabs>
        <w:spacing w:line="240" w:lineRule="auto" w:before="152" w:after="0"/>
        <w:ind w:left="1158" w:right="0" w:hanging="319"/>
        <w:jc w:val="left"/>
        <w:rPr>
          <w:sz w:val="21"/>
        </w:rPr>
      </w:pPr>
      <w:r>
        <w:rPr>
          <w:spacing w:val="-3"/>
          <w:sz w:val="21"/>
        </w:rPr>
        <w:t>主要设备功能要求</w:t>
      </w:r>
      <w:r>
        <w:rPr>
          <w:sz w:val="21"/>
        </w:rPr>
        <w:t> </w:t>
      </w:r>
    </w:p>
    <w:p>
      <w:pPr>
        <w:pStyle w:val="BodyText"/>
        <w:spacing w:before="12"/>
        <w:rPr>
          <w:sz w:val="17"/>
        </w:rPr>
      </w:pPr>
    </w:p>
    <w:p>
      <w:pPr>
        <w:pStyle w:val="ListParagraph"/>
        <w:numPr>
          <w:ilvl w:val="2"/>
          <w:numId w:val="397"/>
        </w:numPr>
        <w:tabs>
          <w:tab w:pos="1370" w:val="left" w:leader="none"/>
        </w:tabs>
        <w:spacing w:line="240" w:lineRule="auto" w:before="0" w:after="0"/>
        <w:ind w:left="1369" w:right="0" w:hanging="530"/>
        <w:jc w:val="left"/>
        <w:rPr>
          <w:b/>
          <w:sz w:val="19"/>
        </w:rPr>
      </w:pPr>
      <w:r>
        <w:rPr>
          <w:spacing w:val="-3"/>
          <w:sz w:val="21"/>
        </w:rPr>
        <w:t>用户信息传输装置应具有下列功能：</w:t>
      </w:r>
      <w:r>
        <w:rPr>
          <w:b/>
          <w:w w:val="99"/>
          <w:sz w:val="21"/>
        </w:rPr>
        <w:t> </w:t>
      </w:r>
    </w:p>
    <w:p>
      <w:pPr>
        <w:pStyle w:val="BodyText"/>
        <w:spacing w:before="2"/>
        <w:rPr>
          <w:b/>
          <w:sz w:val="18"/>
        </w:rPr>
      </w:pPr>
    </w:p>
    <w:p>
      <w:pPr>
        <w:pStyle w:val="ListParagraph"/>
        <w:numPr>
          <w:ilvl w:val="0"/>
          <w:numId w:val="398"/>
        </w:numPr>
        <w:tabs>
          <w:tab w:pos="1367" w:val="left" w:leader="none"/>
        </w:tabs>
        <w:spacing w:line="240" w:lineRule="auto" w:before="0" w:after="0"/>
        <w:ind w:left="1367" w:right="0" w:hanging="529"/>
        <w:jc w:val="left"/>
        <w:rPr>
          <w:sz w:val="21"/>
        </w:rPr>
      </w:pPr>
      <w:r>
        <w:rPr>
          <w:spacing w:val="-3"/>
          <w:sz w:val="21"/>
        </w:rPr>
        <w:t>接收联网用户的火灾报警信息，并将信息通过报警传输网络发送给监控中心。</w:t>
      </w:r>
      <w:r>
        <w:rPr>
          <w:sz w:val="21"/>
        </w:rPr>
        <w:t> </w:t>
      </w:r>
    </w:p>
    <w:p>
      <w:pPr>
        <w:pStyle w:val="BodyText"/>
        <w:rPr>
          <w:sz w:val="18"/>
        </w:rPr>
      </w:pPr>
    </w:p>
    <w:p>
      <w:pPr>
        <w:pStyle w:val="ListParagraph"/>
        <w:numPr>
          <w:ilvl w:val="0"/>
          <w:numId w:val="398"/>
        </w:numPr>
        <w:tabs>
          <w:tab w:pos="1367" w:val="left" w:leader="none"/>
        </w:tabs>
        <w:spacing w:line="240" w:lineRule="auto" w:before="0" w:after="0"/>
        <w:ind w:left="1367" w:right="0" w:hanging="529"/>
        <w:jc w:val="left"/>
        <w:rPr>
          <w:sz w:val="21"/>
        </w:rPr>
      </w:pPr>
      <w:r>
        <w:rPr>
          <w:spacing w:val="-3"/>
          <w:sz w:val="21"/>
        </w:rPr>
        <w:t>接收建筑消防设施运行状态信息，并将信息通过报警传输网络发送给监控中心。</w:t>
      </w:r>
      <w:r>
        <w:rPr>
          <w:sz w:val="21"/>
        </w:rPr>
        <w:t> </w:t>
      </w:r>
    </w:p>
    <w:p>
      <w:pPr>
        <w:pStyle w:val="BodyText"/>
        <w:spacing w:before="12"/>
        <w:rPr>
          <w:sz w:val="17"/>
        </w:rPr>
      </w:pPr>
    </w:p>
    <w:p>
      <w:pPr>
        <w:pStyle w:val="ListParagraph"/>
        <w:numPr>
          <w:ilvl w:val="0"/>
          <w:numId w:val="398"/>
        </w:numPr>
        <w:tabs>
          <w:tab w:pos="1367" w:val="left" w:leader="none"/>
        </w:tabs>
        <w:spacing w:line="240" w:lineRule="auto" w:before="0" w:after="0"/>
        <w:ind w:left="1367" w:right="0" w:hanging="529"/>
        <w:jc w:val="left"/>
        <w:rPr>
          <w:sz w:val="21"/>
        </w:rPr>
      </w:pPr>
      <w:r>
        <w:rPr>
          <w:spacing w:val="-3"/>
          <w:sz w:val="21"/>
        </w:rPr>
        <w:t>优先传送火灾报警信息和手动报警信息。</w:t>
      </w:r>
      <w:r>
        <w:rPr>
          <w:sz w:val="21"/>
        </w:rPr>
        <w:t> </w:t>
      </w:r>
    </w:p>
    <w:p>
      <w:pPr>
        <w:pStyle w:val="BodyText"/>
        <w:spacing w:before="2"/>
        <w:rPr>
          <w:sz w:val="18"/>
        </w:rPr>
      </w:pPr>
    </w:p>
    <w:p>
      <w:pPr>
        <w:pStyle w:val="ListParagraph"/>
        <w:numPr>
          <w:ilvl w:val="0"/>
          <w:numId w:val="398"/>
        </w:numPr>
        <w:tabs>
          <w:tab w:pos="1367" w:val="left" w:leader="none"/>
        </w:tabs>
        <w:spacing w:line="240" w:lineRule="auto" w:before="0" w:after="0"/>
        <w:ind w:left="1367" w:right="0" w:hanging="529"/>
        <w:jc w:val="left"/>
        <w:rPr>
          <w:sz w:val="21"/>
        </w:rPr>
      </w:pPr>
      <w:r>
        <w:rPr>
          <w:spacing w:val="-3"/>
          <w:sz w:val="21"/>
        </w:rPr>
        <w:t>具有设备自检和故障报警功能。</w:t>
      </w:r>
      <w:r>
        <w:rPr>
          <w:sz w:val="21"/>
        </w:rPr>
        <w:t> </w:t>
      </w:r>
    </w:p>
    <w:p>
      <w:pPr>
        <w:pStyle w:val="BodyText"/>
        <w:rPr>
          <w:sz w:val="18"/>
        </w:rPr>
      </w:pPr>
    </w:p>
    <w:p>
      <w:pPr>
        <w:pStyle w:val="ListParagraph"/>
        <w:numPr>
          <w:ilvl w:val="0"/>
          <w:numId w:val="398"/>
        </w:numPr>
        <w:tabs>
          <w:tab w:pos="1367" w:val="left" w:leader="none"/>
        </w:tabs>
        <w:spacing w:line="446" w:lineRule="auto" w:before="0" w:after="0"/>
        <w:ind w:left="418" w:right="1505" w:firstLine="419"/>
        <w:jc w:val="left"/>
        <w:rPr>
          <w:sz w:val="21"/>
        </w:rPr>
      </w:pPr>
      <w:r>
        <w:rPr>
          <w:spacing w:val="-3"/>
          <w:sz w:val="21"/>
        </w:rPr>
        <w:t>具有主、备用电源自动转换功能，备用电源的容量应能保证用户信息传输装置连续正</w:t>
      </w:r>
      <w:r>
        <w:rPr>
          <w:spacing w:val="-9"/>
          <w:sz w:val="21"/>
        </w:rPr>
        <w:t>常工作时间不小于 </w:t>
      </w:r>
      <w:r>
        <w:rPr>
          <w:sz w:val="21"/>
        </w:rPr>
        <w:t>8h。 </w:t>
      </w:r>
    </w:p>
    <w:p>
      <w:pPr>
        <w:spacing w:after="0" w:line="446" w:lineRule="auto"/>
        <w:jc w:val="left"/>
        <w:rPr>
          <w:sz w:val="21"/>
        </w:rPr>
        <w:sectPr>
          <w:pgSz w:w="11910" w:h="16850"/>
          <w:pgMar w:header="0" w:footer="1239" w:top="1200" w:bottom="1420" w:left="1260" w:right="0"/>
        </w:sectPr>
      </w:pPr>
    </w:p>
    <w:p>
      <w:pPr>
        <w:pStyle w:val="ListParagraph"/>
        <w:numPr>
          <w:ilvl w:val="2"/>
          <w:numId w:val="397"/>
        </w:numPr>
        <w:tabs>
          <w:tab w:pos="1371" w:val="left" w:leader="none"/>
        </w:tabs>
        <w:spacing w:line="240" w:lineRule="auto" w:before="47" w:after="0"/>
        <w:ind w:left="1370" w:right="0" w:hanging="531"/>
        <w:jc w:val="left"/>
        <w:rPr>
          <w:b/>
          <w:sz w:val="19"/>
        </w:rPr>
      </w:pPr>
      <w:r>
        <w:rPr>
          <w:spacing w:val="-3"/>
          <w:sz w:val="21"/>
        </w:rPr>
        <w:t>报警受理系统应具有下列功能：</w:t>
      </w:r>
      <w:r>
        <w:rPr>
          <w:b/>
          <w:w w:val="99"/>
          <w:sz w:val="21"/>
        </w:rPr>
        <w:t> </w:t>
      </w:r>
    </w:p>
    <w:p>
      <w:pPr>
        <w:pStyle w:val="BodyText"/>
        <w:rPr>
          <w:b/>
          <w:sz w:val="18"/>
        </w:rPr>
      </w:pPr>
    </w:p>
    <w:p>
      <w:pPr>
        <w:pStyle w:val="ListParagraph"/>
        <w:numPr>
          <w:ilvl w:val="0"/>
          <w:numId w:val="399"/>
        </w:numPr>
        <w:tabs>
          <w:tab w:pos="1367" w:val="left" w:leader="none"/>
        </w:tabs>
        <w:spacing w:line="240" w:lineRule="auto" w:before="0" w:after="0"/>
        <w:ind w:left="1367" w:right="0" w:hanging="529"/>
        <w:jc w:val="left"/>
        <w:rPr>
          <w:sz w:val="21"/>
        </w:rPr>
      </w:pPr>
      <w:r>
        <w:rPr>
          <w:spacing w:val="-3"/>
          <w:sz w:val="21"/>
        </w:rPr>
        <w:t>接收、处理用户信息传输装置发送的火灾报警信息。</w:t>
      </w:r>
      <w:r>
        <w:rPr>
          <w:sz w:val="21"/>
        </w:rPr>
        <w:t> </w:t>
      </w:r>
    </w:p>
    <w:p>
      <w:pPr>
        <w:pStyle w:val="BodyText"/>
        <w:rPr>
          <w:sz w:val="18"/>
        </w:rPr>
      </w:pPr>
    </w:p>
    <w:p>
      <w:pPr>
        <w:pStyle w:val="ListParagraph"/>
        <w:numPr>
          <w:ilvl w:val="0"/>
          <w:numId w:val="399"/>
        </w:numPr>
        <w:tabs>
          <w:tab w:pos="1367" w:val="left" w:leader="none"/>
        </w:tabs>
        <w:spacing w:line="446" w:lineRule="auto" w:before="0" w:after="0"/>
        <w:ind w:left="418" w:right="1505" w:firstLine="419"/>
        <w:jc w:val="left"/>
        <w:rPr>
          <w:sz w:val="21"/>
        </w:rPr>
      </w:pPr>
      <w:r>
        <w:rPr>
          <w:spacing w:val="-3"/>
          <w:sz w:val="21"/>
        </w:rPr>
        <w:t>显示报警联网用户的报警时间、名称、地址、联系电话、内部报警点位置、地理信息等。</w:t>
      </w:r>
      <w:r>
        <w:rPr>
          <w:sz w:val="21"/>
        </w:rPr>
        <w:t> </w:t>
      </w:r>
    </w:p>
    <w:p>
      <w:pPr>
        <w:pStyle w:val="ListParagraph"/>
        <w:numPr>
          <w:ilvl w:val="0"/>
          <w:numId w:val="399"/>
        </w:numPr>
        <w:tabs>
          <w:tab w:pos="1367" w:val="left" w:leader="none"/>
        </w:tabs>
        <w:spacing w:line="446" w:lineRule="auto" w:before="0" w:after="0"/>
        <w:ind w:left="418" w:right="1608" w:firstLine="419"/>
        <w:jc w:val="left"/>
        <w:rPr>
          <w:sz w:val="21"/>
        </w:rPr>
      </w:pPr>
      <w:r>
        <w:rPr>
          <w:spacing w:val="-3"/>
          <w:sz w:val="21"/>
        </w:rPr>
        <w:t>对火灾报警信息进行核实和确认，确认后应将报警联网用户的名称、地址、联系电话、内部报警点位置、监控中心接警员等信息向城市消防通信指挥中心或其他接处警中心的火警信息终端传送，并显示火警信息终端的应答信息。 </w:t>
      </w:r>
    </w:p>
    <w:p>
      <w:pPr>
        <w:pStyle w:val="ListParagraph"/>
        <w:numPr>
          <w:ilvl w:val="0"/>
          <w:numId w:val="399"/>
        </w:numPr>
        <w:tabs>
          <w:tab w:pos="1367" w:val="left" w:leader="none"/>
        </w:tabs>
        <w:spacing w:line="446" w:lineRule="auto" w:before="0" w:after="0"/>
        <w:ind w:left="418" w:right="1505" w:firstLine="419"/>
        <w:jc w:val="left"/>
        <w:rPr>
          <w:sz w:val="21"/>
        </w:rPr>
      </w:pPr>
      <w:r>
        <w:rPr>
          <w:spacing w:val="-3"/>
          <w:sz w:val="21"/>
        </w:rPr>
        <w:t>接收、存储用户信息传输装置发送的建筑消防设施运行状态信息，对建筑消防设施的故障信息进行跟踪、记录、查询和统计，并发送至相应联网用户。</w:t>
      </w:r>
      <w:r>
        <w:rPr>
          <w:sz w:val="21"/>
        </w:rPr>
        <w:t> </w:t>
      </w:r>
    </w:p>
    <w:p>
      <w:pPr>
        <w:pStyle w:val="ListParagraph"/>
        <w:numPr>
          <w:ilvl w:val="0"/>
          <w:numId w:val="399"/>
        </w:numPr>
        <w:tabs>
          <w:tab w:pos="1367" w:val="left" w:leader="none"/>
        </w:tabs>
        <w:spacing w:line="240" w:lineRule="auto" w:before="0" w:after="0"/>
        <w:ind w:left="1367" w:right="0" w:hanging="529"/>
        <w:jc w:val="left"/>
        <w:rPr>
          <w:sz w:val="21"/>
        </w:rPr>
      </w:pPr>
      <w:r>
        <w:rPr>
          <w:spacing w:val="-3"/>
          <w:sz w:val="21"/>
        </w:rPr>
        <w:t>自动或人工对用户信息传输装置进行巡检测试，并显示巡检测试结果。 </w:t>
      </w:r>
    </w:p>
    <w:p>
      <w:pPr>
        <w:pStyle w:val="BodyText"/>
        <w:spacing w:before="11"/>
        <w:rPr>
          <w:sz w:val="17"/>
        </w:rPr>
      </w:pPr>
    </w:p>
    <w:p>
      <w:pPr>
        <w:pStyle w:val="ListParagraph"/>
        <w:numPr>
          <w:ilvl w:val="0"/>
          <w:numId w:val="399"/>
        </w:numPr>
        <w:tabs>
          <w:tab w:pos="1367" w:val="left" w:leader="none"/>
        </w:tabs>
        <w:spacing w:line="240" w:lineRule="auto" w:before="0" w:after="0"/>
        <w:ind w:left="1367" w:right="0" w:hanging="529"/>
        <w:jc w:val="left"/>
        <w:rPr>
          <w:sz w:val="21"/>
        </w:rPr>
      </w:pPr>
      <w:r>
        <w:rPr>
          <w:spacing w:val="-3"/>
          <w:sz w:val="21"/>
        </w:rPr>
        <w:t>显示、查询报警信息的历史记录和相关信息。</w:t>
      </w:r>
      <w:r>
        <w:rPr>
          <w:sz w:val="21"/>
        </w:rPr>
        <w:t> </w:t>
      </w:r>
    </w:p>
    <w:p>
      <w:pPr>
        <w:pStyle w:val="BodyText"/>
        <w:spacing w:before="12"/>
        <w:rPr>
          <w:sz w:val="17"/>
        </w:rPr>
      </w:pPr>
    </w:p>
    <w:p>
      <w:pPr>
        <w:pStyle w:val="ListParagraph"/>
        <w:numPr>
          <w:ilvl w:val="0"/>
          <w:numId w:val="399"/>
        </w:numPr>
        <w:tabs>
          <w:tab w:pos="1367" w:val="left" w:leader="none"/>
        </w:tabs>
        <w:spacing w:line="240" w:lineRule="auto" w:before="0" w:after="0"/>
        <w:ind w:left="1367" w:right="0" w:hanging="529"/>
        <w:jc w:val="left"/>
        <w:rPr>
          <w:sz w:val="21"/>
        </w:rPr>
      </w:pPr>
      <w:r>
        <w:rPr>
          <w:spacing w:val="-3"/>
          <w:sz w:val="21"/>
        </w:rPr>
        <w:t>与联网用户进行语音、数据或图像通信。</w:t>
      </w:r>
      <w:r>
        <w:rPr>
          <w:sz w:val="21"/>
        </w:rPr>
        <w:t> </w:t>
      </w:r>
    </w:p>
    <w:p>
      <w:pPr>
        <w:pStyle w:val="BodyText"/>
        <w:spacing w:before="2"/>
        <w:rPr>
          <w:sz w:val="18"/>
        </w:rPr>
      </w:pPr>
    </w:p>
    <w:p>
      <w:pPr>
        <w:pStyle w:val="ListParagraph"/>
        <w:numPr>
          <w:ilvl w:val="0"/>
          <w:numId w:val="399"/>
        </w:numPr>
        <w:tabs>
          <w:tab w:pos="1367" w:val="left" w:leader="none"/>
        </w:tabs>
        <w:spacing w:line="240" w:lineRule="auto" w:before="0" w:after="0"/>
        <w:ind w:left="1367" w:right="0" w:hanging="529"/>
        <w:jc w:val="left"/>
        <w:rPr>
          <w:sz w:val="21"/>
        </w:rPr>
      </w:pPr>
      <w:r>
        <w:rPr>
          <w:spacing w:val="-3"/>
          <w:sz w:val="21"/>
        </w:rPr>
        <w:t>实时记录报警受理的语音及相应时间，且原始记录信息不能被修改。 </w:t>
      </w:r>
    </w:p>
    <w:p>
      <w:pPr>
        <w:pStyle w:val="BodyText"/>
        <w:rPr>
          <w:sz w:val="18"/>
        </w:rPr>
      </w:pPr>
    </w:p>
    <w:p>
      <w:pPr>
        <w:pStyle w:val="ListParagraph"/>
        <w:numPr>
          <w:ilvl w:val="0"/>
          <w:numId w:val="399"/>
        </w:numPr>
        <w:tabs>
          <w:tab w:pos="1367" w:val="left" w:leader="none"/>
        </w:tabs>
        <w:spacing w:line="240" w:lineRule="auto" w:before="0" w:after="0"/>
        <w:ind w:left="1367" w:right="0" w:hanging="529"/>
        <w:jc w:val="left"/>
        <w:rPr>
          <w:sz w:val="21"/>
        </w:rPr>
      </w:pPr>
      <w:r>
        <w:rPr>
          <w:spacing w:val="-3"/>
          <w:sz w:val="21"/>
        </w:rPr>
        <w:t>具有系统自检及故障报警功能。</w:t>
      </w:r>
      <w:r>
        <w:rPr>
          <w:sz w:val="21"/>
        </w:rPr>
        <w:t> </w:t>
      </w:r>
    </w:p>
    <w:p>
      <w:pPr>
        <w:pStyle w:val="BodyText"/>
        <w:rPr>
          <w:sz w:val="18"/>
        </w:rPr>
      </w:pPr>
    </w:p>
    <w:p>
      <w:pPr>
        <w:pStyle w:val="ListParagraph"/>
        <w:numPr>
          <w:ilvl w:val="0"/>
          <w:numId w:val="399"/>
        </w:numPr>
        <w:tabs>
          <w:tab w:pos="1473" w:val="left" w:leader="none"/>
        </w:tabs>
        <w:spacing w:line="240" w:lineRule="auto" w:before="0" w:after="0"/>
        <w:ind w:left="1472" w:right="0" w:hanging="635"/>
        <w:jc w:val="left"/>
        <w:rPr>
          <w:sz w:val="21"/>
        </w:rPr>
      </w:pPr>
      <w:r>
        <w:rPr>
          <w:spacing w:val="-3"/>
          <w:sz w:val="21"/>
        </w:rPr>
        <w:t>具有系统启、停时间的记录和查询功能。</w:t>
      </w:r>
      <w:r>
        <w:rPr>
          <w:sz w:val="21"/>
        </w:rPr>
        <w:t> </w:t>
      </w:r>
    </w:p>
    <w:p>
      <w:pPr>
        <w:pStyle w:val="BodyText"/>
        <w:spacing w:before="1"/>
        <w:rPr>
          <w:sz w:val="18"/>
        </w:rPr>
      </w:pPr>
    </w:p>
    <w:p>
      <w:pPr>
        <w:pStyle w:val="ListParagraph"/>
        <w:numPr>
          <w:ilvl w:val="0"/>
          <w:numId w:val="399"/>
        </w:numPr>
        <w:tabs>
          <w:tab w:pos="1473" w:val="left" w:leader="none"/>
        </w:tabs>
        <w:spacing w:line="446" w:lineRule="auto" w:before="1" w:after="0"/>
        <w:ind w:left="840" w:right="5917" w:hanging="3"/>
        <w:jc w:val="left"/>
        <w:rPr>
          <w:b/>
          <w:sz w:val="21"/>
        </w:rPr>
      </w:pPr>
      <w:r>
        <w:rPr>
          <w:spacing w:val="-3"/>
          <w:sz w:val="21"/>
        </w:rPr>
        <w:t>具有消防地理信息系统基本功能。</w:t>
      </w:r>
      <w:r>
        <w:rPr>
          <w:b/>
          <w:sz w:val="21"/>
        </w:rPr>
        <w:t>5.2.3</w:t>
      </w:r>
      <w:r>
        <w:rPr>
          <w:b/>
          <w:spacing w:val="5"/>
          <w:sz w:val="21"/>
        </w:rPr>
        <w:t> </w:t>
      </w:r>
      <w:r>
        <w:rPr>
          <w:spacing w:val="-3"/>
          <w:sz w:val="21"/>
        </w:rPr>
        <w:t>信息查询系统应具有下列功能：</w:t>
      </w:r>
      <w:r>
        <w:rPr>
          <w:b/>
          <w:w w:val="99"/>
          <w:sz w:val="21"/>
        </w:rPr>
        <w:t> </w:t>
      </w:r>
    </w:p>
    <w:p>
      <w:pPr>
        <w:pStyle w:val="ListParagraph"/>
        <w:numPr>
          <w:ilvl w:val="0"/>
          <w:numId w:val="400"/>
        </w:numPr>
        <w:tabs>
          <w:tab w:pos="1367" w:val="left" w:leader="none"/>
        </w:tabs>
        <w:spacing w:line="267" w:lineRule="exact" w:before="0" w:after="0"/>
        <w:ind w:left="1367" w:right="0" w:hanging="529"/>
        <w:jc w:val="left"/>
        <w:rPr>
          <w:sz w:val="21"/>
        </w:rPr>
      </w:pPr>
      <w:r>
        <w:rPr>
          <w:spacing w:val="-3"/>
          <w:sz w:val="21"/>
        </w:rPr>
        <w:t>查询联网用户的火灾报警信息。</w:t>
      </w:r>
      <w:r>
        <w:rPr>
          <w:sz w:val="21"/>
        </w:rPr>
        <w:t> </w:t>
      </w:r>
    </w:p>
    <w:p>
      <w:pPr>
        <w:pStyle w:val="BodyText"/>
        <w:spacing w:before="1"/>
        <w:rPr>
          <w:sz w:val="18"/>
        </w:rPr>
      </w:pPr>
    </w:p>
    <w:p>
      <w:pPr>
        <w:pStyle w:val="ListParagraph"/>
        <w:numPr>
          <w:ilvl w:val="0"/>
          <w:numId w:val="400"/>
        </w:numPr>
        <w:tabs>
          <w:tab w:pos="1367" w:val="left" w:leader="none"/>
        </w:tabs>
        <w:spacing w:line="240" w:lineRule="auto" w:before="1" w:after="0"/>
        <w:ind w:left="1367" w:right="0" w:hanging="529"/>
        <w:jc w:val="left"/>
        <w:rPr>
          <w:sz w:val="21"/>
        </w:rPr>
      </w:pPr>
      <w:r>
        <w:rPr>
          <w:spacing w:val="-15"/>
          <w:sz w:val="21"/>
        </w:rPr>
        <w:t>按附录 </w:t>
      </w:r>
      <w:r>
        <w:rPr>
          <w:sz w:val="21"/>
        </w:rPr>
        <w:t>A</w:t>
      </w:r>
      <w:r>
        <w:rPr>
          <w:spacing w:val="-9"/>
          <w:sz w:val="21"/>
        </w:rPr>
        <w:t> 所列内容查询联网用户的建筑消防设施运行状态信息。</w:t>
      </w:r>
      <w:r>
        <w:rPr>
          <w:sz w:val="21"/>
        </w:rPr>
        <w:t> </w:t>
      </w:r>
    </w:p>
    <w:p>
      <w:pPr>
        <w:pStyle w:val="BodyText"/>
        <w:spacing w:before="12"/>
        <w:rPr>
          <w:sz w:val="17"/>
        </w:rPr>
      </w:pPr>
    </w:p>
    <w:p>
      <w:pPr>
        <w:pStyle w:val="ListParagraph"/>
        <w:numPr>
          <w:ilvl w:val="0"/>
          <w:numId w:val="400"/>
        </w:numPr>
        <w:tabs>
          <w:tab w:pos="1367" w:val="left" w:leader="none"/>
        </w:tabs>
        <w:spacing w:line="240" w:lineRule="auto" w:before="0" w:after="0"/>
        <w:ind w:left="1367" w:right="0" w:hanging="529"/>
        <w:jc w:val="left"/>
        <w:rPr>
          <w:sz w:val="21"/>
        </w:rPr>
      </w:pPr>
      <w:r>
        <w:rPr>
          <w:spacing w:val="-15"/>
          <w:sz w:val="21"/>
        </w:rPr>
        <w:t>按附录 </w:t>
      </w:r>
      <w:r>
        <w:rPr>
          <w:sz w:val="21"/>
        </w:rPr>
        <w:t>B</w:t>
      </w:r>
      <w:r>
        <w:rPr>
          <w:spacing w:val="-9"/>
          <w:sz w:val="21"/>
        </w:rPr>
        <w:t> 所列内容查询联网用户的消防安全管理信息。</w:t>
      </w:r>
      <w:r>
        <w:rPr>
          <w:sz w:val="21"/>
        </w:rPr>
        <w:t> </w:t>
      </w:r>
    </w:p>
    <w:p>
      <w:pPr>
        <w:pStyle w:val="BodyText"/>
        <w:rPr>
          <w:sz w:val="18"/>
        </w:rPr>
      </w:pPr>
    </w:p>
    <w:p>
      <w:pPr>
        <w:pStyle w:val="ListParagraph"/>
        <w:numPr>
          <w:ilvl w:val="0"/>
          <w:numId w:val="400"/>
        </w:numPr>
        <w:tabs>
          <w:tab w:pos="1367" w:val="left" w:leader="none"/>
        </w:tabs>
        <w:spacing w:line="240" w:lineRule="auto" w:before="0" w:after="0"/>
        <w:ind w:left="1367" w:right="0" w:hanging="529"/>
        <w:jc w:val="left"/>
        <w:rPr>
          <w:sz w:val="21"/>
        </w:rPr>
      </w:pPr>
      <w:r>
        <w:rPr>
          <w:spacing w:val="-3"/>
          <w:sz w:val="21"/>
        </w:rPr>
        <w:t>查询联网用户的日常值班、在岗等信息。</w:t>
      </w:r>
      <w:r>
        <w:rPr>
          <w:sz w:val="21"/>
        </w:rPr>
        <w:t> </w:t>
      </w:r>
    </w:p>
    <w:p>
      <w:pPr>
        <w:pStyle w:val="ListParagraph"/>
        <w:numPr>
          <w:ilvl w:val="0"/>
          <w:numId w:val="400"/>
        </w:numPr>
        <w:tabs>
          <w:tab w:pos="1367" w:val="left" w:leader="none"/>
        </w:tabs>
        <w:spacing w:line="350" w:lineRule="auto" w:before="165" w:after="0"/>
        <w:ind w:left="418" w:right="1608" w:firstLine="419"/>
        <w:jc w:val="left"/>
        <w:rPr>
          <w:sz w:val="21"/>
        </w:rPr>
      </w:pPr>
      <w:r>
        <w:rPr>
          <w:spacing w:val="-9"/>
          <w:sz w:val="21"/>
        </w:rPr>
        <w:t>对本条第 </w:t>
      </w:r>
      <w:r>
        <w:rPr>
          <w:sz w:val="21"/>
        </w:rPr>
        <w:t>1</w:t>
      </w:r>
      <w:r>
        <w:rPr>
          <w:rFonts w:ascii="微软雅黑" w:eastAsia="微软雅黑" w:hint="eastAsia"/>
          <w:sz w:val="21"/>
        </w:rPr>
        <w:t>〜</w:t>
      </w:r>
      <w:r>
        <w:rPr>
          <w:sz w:val="21"/>
        </w:rPr>
        <w:t>4</w:t>
      </w:r>
      <w:r>
        <w:rPr>
          <w:spacing w:val="-7"/>
          <w:sz w:val="21"/>
        </w:rPr>
        <w:t> 款的信息，能按日期、单位名称、单位类型、建筑物类型、建筑消防</w:t>
      </w:r>
      <w:r>
        <w:rPr>
          <w:spacing w:val="-5"/>
          <w:sz w:val="21"/>
        </w:rPr>
        <w:t>设施类型、信息类型等检索项进行检索和统计。</w:t>
      </w:r>
      <w:r>
        <w:rPr>
          <w:sz w:val="21"/>
        </w:rPr>
        <w:t> </w:t>
      </w:r>
    </w:p>
    <w:p>
      <w:pPr>
        <w:spacing w:before="108"/>
        <w:ind w:left="840" w:right="0" w:firstLine="0"/>
        <w:jc w:val="left"/>
        <w:rPr>
          <w:b/>
          <w:sz w:val="21"/>
        </w:rPr>
      </w:pPr>
      <w:r>
        <w:rPr>
          <w:b/>
          <w:sz w:val="21"/>
        </w:rPr>
        <w:t>5.2.4</w:t>
      </w:r>
      <w:r>
        <w:rPr>
          <w:b/>
          <w:spacing w:val="17"/>
          <w:sz w:val="21"/>
        </w:rPr>
        <w:t> </w:t>
      </w:r>
      <w:r>
        <w:rPr>
          <w:spacing w:val="-3"/>
          <w:sz w:val="21"/>
        </w:rPr>
        <w:t>用户服务系统应具有下列功能：</w:t>
      </w:r>
      <w:r>
        <w:rPr>
          <w:b/>
          <w:w w:val="99"/>
          <w:sz w:val="21"/>
        </w:rPr>
        <w:t> </w:t>
      </w:r>
    </w:p>
    <w:p>
      <w:pPr>
        <w:pStyle w:val="BodyText"/>
        <w:spacing w:before="2"/>
        <w:rPr>
          <w:b/>
          <w:sz w:val="18"/>
        </w:rPr>
      </w:pPr>
    </w:p>
    <w:p>
      <w:pPr>
        <w:pStyle w:val="ListParagraph"/>
        <w:numPr>
          <w:ilvl w:val="0"/>
          <w:numId w:val="401"/>
        </w:numPr>
        <w:tabs>
          <w:tab w:pos="1367" w:val="left" w:leader="none"/>
        </w:tabs>
        <w:spacing w:line="446" w:lineRule="auto" w:before="0" w:after="0"/>
        <w:ind w:left="418" w:right="1505" w:firstLine="419"/>
        <w:jc w:val="left"/>
        <w:rPr>
          <w:sz w:val="21"/>
        </w:rPr>
      </w:pPr>
      <w:r>
        <w:rPr>
          <w:spacing w:val="-3"/>
          <w:sz w:val="21"/>
        </w:rPr>
        <w:t>为联网用户提供查询其自身的火灾报警、建筑消防设施运行状态信息及消防安全管理信息的服务平台。</w:t>
      </w:r>
      <w:r>
        <w:rPr>
          <w:sz w:val="21"/>
        </w:rPr>
        <w:t> </w:t>
      </w:r>
    </w:p>
    <w:p>
      <w:pPr>
        <w:pStyle w:val="ListParagraph"/>
        <w:numPr>
          <w:ilvl w:val="0"/>
          <w:numId w:val="401"/>
        </w:numPr>
        <w:tabs>
          <w:tab w:pos="1367" w:val="left" w:leader="none"/>
        </w:tabs>
        <w:spacing w:line="267" w:lineRule="exact" w:before="0" w:after="0"/>
        <w:ind w:left="1367" w:right="0" w:hanging="529"/>
        <w:jc w:val="left"/>
        <w:rPr>
          <w:sz w:val="21"/>
        </w:rPr>
      </w:pPr>
      <w:r>
        <w:rPr>
          <w:spacing w:val="-3"/>
          <w:sz w:val="21"/>
        </w:rPr>
        <w:t>对联网用户的建筑消防设施日常维护保养情况进行管理。</w:t>
      </w:r>
      <w:r>
        <w:rPr>
          <w:sz w:val="21"/>
        </w:rPr>
        <w:t> </w:t>
      </w:r>
    </w:p>
    <w:p>
      <w:pPr>
        <w:pStyle w:val="BodyText"/>
        <w:spacing w:before="2"/>
        <w:rPr>
          <w:sz w:val="18"/>
        </w:rPr>
      </w:pPr>
    </w:p>
    <w:p>
      <w:pPr>
        <w:pStyle w:val="ListParagraph"/>
        <w:numPr>
          <w:ilvl w:val="0"/>
          <w:numId w:val="401"/>
        </w:numPr>
        <w:tabs>
          <w:tab w:pos="1367" w:val="left" w:leader="none"/>
        </w:tabs>
        <w:spacing w:line="240" w:lineRule="auto" w:before="0" w:after="0"/>
        <w:ind w:left="1367" w:right="0" w:hanging="529"/>
        <w:jc w:val="left"/>
        <w:rPr>
          <w:sz w:val="21"/>
        </w:rPr>
      </w:pPr>
      <w:r>
        <w:rPr>
          <w:spacing w:val="-3"/>
          <w:sz w:val="21"/>
        </w:rPr>
        <w:t>为联网用户提供消防安全管理信息的数据录入、编辑服务。</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401"/>
        </w:numPr>
        <w:tabs>
          <w:tab w:pos="1367" w:val="left" w:leader="none"/>
        </w:tabs>
        <w:spacing w:line="446" w:lineRule="auto" w:before="47" w:after="0"/>
        <w:ind w:left="418" w:right="1714" w:firstLine="419"/>
        <w:jc w:val="left"/>
        <w:rPr>
          <w:sz w:val="21"/>
        </w:rPr>
      </w:pPr>
      <w:r>
        <w:rPr>
          <w:spacing w:val="-3"/>
          <w:sz w:val="21"/>
        </w:rPr>
        <w:t>通过随机查岗，实现联网用户的消防安全负责人对值班人员日常值班工作的远程监督。</w:t>
      </w:r>
      <w:r>
        <w:rPr>
          <w:sz w:val="21"/>
        </w:rPr>
        <w:t> </w:t>
      </w:r>
    </w:p>
    <w:p>
      <w:pPr>
        <w:pStyle w:val="ListParagraph"/>
        <w:numPr>
          <w:ilvl w:val="0"/>
          <w:numId w:val="401"/>
        </w:numPr>
        <w:tabs>
          <w:tab w:pos="1367" w:val="left" w:leader="none"/>
        </w:tabs>
        <w:spacing w:line="267" w:lineRule="exact" w:before="0" w:after="0"/>
        <w:ind w:left="1367" w:right="0" w:hanging="529"/>
        <w:jc w:val="left"/>
        <w:rPr>
          <w:sz w:val="21"/>
        </w:rPr>
      </w:pPr>
      <w:r>
        <w:rPr>
          <w:spacing w:val="-3"/>
          <w:sz w:val="21"/>
        </w:rPr>
        <w:t>为联网用户提供使用权限。</w:t>
      </w:r>
      <w:r>
        <w:rPr>
          <w:sz w:val="21"/>
        </w:rPr>
        <w:t> </w:t>
      </w:r>
    </w:p>
    <w:p>
      <w:pPr>
        <w:pStyle w:val="BodyText"/>
        <w:spacing w:before="2"/>
        <w:rPr>
          <w:sz w:val="18"/>
        </w:rPr>
      </w:pPr>
    </w:p>
    <w:p>
      <w:pPr>
        <w:pStyle w:val="ListParagraph"/>
        <w:numPr>
          <w:ilvl w:val="0"/>
          <w:numId w:val="401"/>
        </w:numPr>
        <w:tabs>
          <w:tab w:pos="1367" w:val="left" w:leader="none"/>
        </w:tabs>
        <w:spacing w:line="446" w:lineRule="auto" w:before="0" w:after="0"/>
        <w:ind w:left="840" w:right="3503" w:hanging="3"/>
        <w:jc w:val="left"/>
        <w:rPr>
          <w:b/>
          <w:sz w:val="21"/>
        </w:rPr>
      </w:pPr>
      <w:r>
        <w:rPr>
          <w:spacing w:val="-3"/>
          <w:sz w:val="21"/>
        </w:rPr>
        <w:t>为联网用户提供消防法律法规、消防常识和火灾情况等信息。</w:t>
      </w:r>
      <w:r>
        <w:rPr>
          <w:b/>
          <w:sz w:val="21"/>
        </w:rPr>
        <w:t>5.2.5 </w:t>
      </w:r>
      <w:r>
        <w:rPr>
          <w:spacing w:val="-3"/>
          <w:sz w:val="21"/>
        </w:rPr>
        <w:t>火警信息终端应具有下列功能：</w:t>
      </w:r>
      <w:r>
        <w:rPr>
          <w:b/>
          <w:w w:val="99"/>
          <w:sz w:val="21"/>
        </w:rPr>
        <w:t> </w:t>
      </w:r>
    </w:p>
    <w:p>
      <w:pPr>
        <w:pStyle w:val="ListParagraph"/>
        <w:numPr>
          <w:ilvl w:val="0"/>
          <w:numId w:val="402"/>
        </w:numPr>
        <w:tabs>
          <w:tab w:pos="1367" w:val="left" w:leader="none"/>
        </w:tabs>
        <w:spacing w:line="446" w:lineRule="auto" w:before="0" w:after="0"/>
        <w:ind w:left="418" w:right="1508" w:firstLine="419"/>
        <w:jc w:val="left"/>
        <w:rPr>
          <w:sz w:val="21"/>
        </w:rPr>
      </w:pPr>
      <w:r>
        <w:rPr>
          <w:spacing w:val="-3"/>
          <w:sz w:val="21"/>
        </w:rPr>
        <w:t>接收监控中心发送的联网用户火灾报警信息，向其反馈接收确认信号，并发出明显的声、光提示信号。</w:t>
      </w:r>
      <w:r>
        <w:rPr>
          <w:sz w:val="21"/>
        </w:rPr>
        <w:t> </w:t>
      </w:r>
    </w:p>
    <w:p>
      <w:pPr>
        <w:pStyle w:val="ListParagraph"/>
        <w:numPr>
          <w:ilvl w:val="0"/>
          <w:numId w:val="402"/>
        </w:numPr>
        <w:tabs>
          <w:tab w:pos="1367" w:val="left" w:leader="none"/>
        </w:tabs>
        <w:spacing w:line="446" w:lineRule="auto" w:before="0" w:after="0"/>
        <w:ind w:left="418" w:right="1505" w:firstLine="419"/>
        <w:jc w:val="left"/>
        <w:rPr>
          <w:sz w:val="21"/>
        </w:rPr>
      </w:pPr>
      <w:r>
        <w:rPr>
          <w:spacing w:val="-3"/>
          <w:sz w:val="21"/>
        </w:rPr>
        <w:t>显示报警联网用户的名称、地址、联系电话、内部报警点位置、监控中心接警员、火警信息终端警情接收时间等信息。</w:t>
      </w:r>
      <w:r>
        <w:rPr>
          <w:sz w:val="21"/>
        </w:rPr>
        <w:t> </w:t>
      </w:r>
    </w:p>
    <w:p>
      <w:pPr>
        <w:pStyle w:val="ListParagraph"/>
        <w:numPr>
          <w:ilvl w:val="0"/>
          <w:numId w:val="402"/>
        </w:numPr>
        <w:tabs>
          <w:tab w:pos="1367" w:val="left" w:leader="none"/>
        </w:tabs>
        <w:spacing w:line="446" w:lineRule="auto" w:before="0" w:after="0"/>
        <w:ind w:left="840" w:right="6234" w:hanging="3"/>
        <w:jc w:val="left"/>
        <w:rPr>
          <w:b/>
          <w:sz w:val="21"/>
        </w:rPr>
      </w:pPr>
      <w:r>
        <w:rPr>
          <w:spacing w:val="-3"/>
          <w:sz w:val="21"/>
        </w:rPr>
        <w:t>具有设备自检及故障报警功能。</w:t>
      </w:r>
      <w:r>
        <w:rPr>
          <w:b/>
          <w:sz w:val="21"/>
        </w:rPr>
        <w:t>5.3</w:t>
      </w:r>
      <w:r>
        <w:rPr>
          <w:b/>
          <w:spacing w:val="2"/>
          <w:sz w:val="21"/>
        </w:rPr>
        <w:t> </w:t>
      </w:r>
      <w:r>
        <w:rPr>
          <w:spacing w:val="-3"/>
          <w:sz w:val="21"/>
        </w:rPr>
        <w:t>系统电源要求</w:t>
      </w:r>
      <w:r>
        <w:rPr>
          <w:b/>
          <w:w w:val="99"/>
          <w:sz w:val="21"/>
        </w:rPr>
        <w:t> </w:t>
      </w:r>
    </w:p>
    <w:p>
      <w:pPr>
        <w:pStyle w:val="ListParagraph"/>
        <w:numPr>
          <w:ilvl w:val="2"/>
          <w:numId w:val="403"/>
        </w:numPr>
        <w:tabs>
          <w:tab w:pos="1371" w:val="left" w:leader="none"/>
        </w:tabs>
        <w:spacing w:line="446" w:lineRule="auto" w:before="0" w:after="0"/>
        <w:ind w:left="418" w:right="1604" w:firstLine="422"/>
        <w:jc w:val="left"/>
        <w:rPr>
          <w:sz w:val="21"/>
        </w:rPr>
      </w:pPr>
      <w:r>
        <w:rPr>
          <w:spacing w:val="-3"/>
          <w:sz w:val="21"/>
        </w:rPr>
        <w:t>监控中心的电源应按所在建筑物的最高等级配置，且不应低于二级负荷，并应保证不间断供电。</w:t>
      </w:r>
      <w:r>
        <w:rPr>
          <w:sz w:val="21"/>
        </w:rPr>
        <w:t> </w:t>
      </w:r>
    </w:p>
    <w:p>
      <w:pPr>
        <w:pStyle w:val="ListParagraph"/>
        <w:numPr>
          <w:ilvl w:val="2"/>
          <w:numId w:val="403"/>
        </w:numPr>
        <w:tabs>
          <w:tab w:pos="1370" w:val="left" w:leader="none"/>
        </w:tabs>
        <w:spacing w:line="446" w:lineRule="auto" w:before="0" w:after="0"/>
        <w:ind w:left="418" w:right="1604" w:firstLine="422"/>
        <w:jc w:val="left"/>
        <w:rPr>
          <w:sz w:val="21"/>
        </w:rPr>
      </w:pPr>
      <w:r>
        <w:rPr>
          <w:spacing w:val="-3"/>
          <w:sz w:val="21"/>
        </w:rPr>
        <w:t>用户信息传输装置的主电源应有明显标识，并应直接与消防电源连接，不应使用电源插头；用户信息传输装置与其外接备用电源之间应直接连接。</w:t>
      </w:r>
      <w:r>
        <w:rPr>
          <w:sz w:val="21"/>
        </w:rPr>
        <w:t> </w:t>
      </w:r>
    </w:p>
    <w:p>
      <w:pPr>
        <w:pStyle w:val="Heading4"/>
        <w:spacing w:line="277" w:lineRule="exact"/>
      </w:pPr>
      <w:r>
        <w:rPr/>
        <w:t>6 系统施工</w:t>
      </w:r>
      <w:r>
        <w:rPr>
          <w:w w:val="99"/>
        </w:rPr>
        <w:t> </w:t>
      </w:r>
    </w:p>
    <w:p>
      <w:pPr>
        <w:pStyle w:val="BodyText"/>
        <w:rPr>
          <w:b/>
          <w:sz w:val="17"/>
        </w:rPr>
      </w:pPr>
    </w:p>
    <w:p>
      <w:pPr>
        <w:pStyle w:val="ListParagraph"/>
        <w:numPr>
          <w:ilvl w:val="1"/>
          <w:numId w:val="404"/>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404"/>
        </w:numPr>
        <w:tabs>
          <w:tab w:pos="1370" w:val="left" w:leader="none"/>
        </w:tabs>
        <w:spacing w:line="446" w:lineRule="auto" w:before="0" w:after="0"/>
        <w:ind w:left="418" w:right="1813" w:firstLine="422"/>
        <w:jc w:val="left"/>
        <w:rPr>
          <w:sz w:val="21"/>
        </w:rPr>
      </w:pPr>
      <w:r>
        <w:rPr>
          <w:spacing w:val="-3"/>
          <w:sz w:val="21"/>
        </w:rPr>
        <w:t>远程监控系统的施工单位应有消防、计算机网络、通信、机房安装等相应技术人员。</w:t>
      </w:r>
      <w:r>
        <w:rPr>
          <w:sz w:val="21"/>
        </w:rPr>
        <w:t> </w:t>
      </w:r>
    </w:p>
    <w:p>
      <w:pPr>
        <w:pStyle w:val="ListParagraph"/>
        <w:numPr>
          <w:ilvl w:val="2"/>
          <w:numId w:val="404"/>
        </w:numPr>
        <w:tabs>
          <w:tab w:pos="1370" w:val="left" w:leader="none"/>
        </w:tabs>
        <w:spacing w:line="240" w:lineRule="auto" w:before="1" w:after="0"/>
        <w:ind w:left="1369" w:right="0" w:hanging="530"/>
        <w:jc w:val="left"/>
        <w:rPr>
          <w:sz w:val="21"/>
        </w:rPr>
      </w:pPr>
      <w:r>
        <w:rPr>
          <w:spacing w:val="-3"/>
          <w:sz w:val="21"/>
        </w:rPr>
        <w:t>远程监控系统施工应按照工程设计文件和施工技术标准进行。</w:t>
      </w:r>
      <w:r>
        <w:rPr>
          <w:sz w:val="21"/>
        </w:rPr>
        <w:t> </w:t>
      </w:r>
    </w:p>
    <w:p>
      <w:pPr>
        <w:pStyle w:val="BodyText"/>
        <w:spacing w:before="12"/>
        <w:rPr>
          <w:sz w:val="17"/>
        </w:rPr>
      </w:pPr>
    </w:p>
    <w:p>
      <w:pPr>
        <w:pStyle w:val="ListParagraph"/>
        <w:numPr>
          <w:ilvl w:val="2"/>
          <w:numId w:val="404"/>
        </w:numPr>
        <w:tabs>
          <w:tab w:pos="1370" w:val="left" w:leader="none"/>
        </w:tabs>
        <w:spacing w:line="446" w:lineRule="auto" w:before="0" w:after="0"/>
        <w:ind w:left="418" w:right="1604" w:firstLine="422"/>
        <w:jc w:val="both"/>
        <w:rPr>
          <w:sz w:val="21"/>
        </w:rPr>
      </w:pPr>
      <w:r>
        <w:rPr>
          <w:spacing w:val="-3"/>
          <w:sz w:val="21"/>
        </w:rPr>
        <w:t>远程监控系统施工前，应具备系统图、设备布置平面图、网络拓扑图、网络布线连接图、防雷接地与防静电接地布线连接图及火灾自动报警系统等建筑消防设施的对外输出接口技术参数、通信协议、系统调试方案等必要的技术文件。</w:t>
      </w:r>
      <w:r>
        <w:rPr>
          <w:sz w:val="21"/>
        </w:rPr>
        <w:t> </w:t>
      </w:r>
    </w:p>
    <w:p>
      <w:pPr>
        <w:pStyle w:val="ListParagraph"/>
        <w:numPr>
          <w:ilvl w:val="2"/>
          <w:numId w:val="404"/>
        </w:numPr>
        <w:tabs>
          <w:tab w:pos="1370" w:val="left" w:leader="none"/>
        </w:tabs>
        <w:spacing w:line="446" w:lineRule="auto" w:before="0" w:after="0"/>
        <w:ind w:left="418" w:right="1604" w:firstLine="422"/>
        <w:jc w:val="both"/>
        <w:rPr>
          <w:sz w:val="21"/>
        </w:rPr>
      </w:pPr>
      <w:r>
        <w:rPr>
          <w:spacing w:val="-3"/>
          <w:sz w:val="21"/>
        </w:rPr>
        <w:t>远程监控系统施工前，应对设备、材料及配件进行进场检查，检查不合格者不得使用。设备、材料及配件进入施工现场应有清单、使用说明书、产品合格证书、国家法定检验机构的检验报告等文件，且规格、型号应符合设计要求。</w:t>
      </w:r>
      <w:r>
        <w:rPr>
          <w:sz w:val="21"/>
        </w:rPr>
        <w:t> </w:t>
      </w:r>
    </w:p>
    <w:p>
      <w:pPr>
        <w:pStyle w:val="ListParagraph"/>
        <w:numPr>
          <w:ilvl w:val="2"/>
          <w:numId w:val="404"/>
        </w:numPr>
        <w:tabs>
          <w:tab w:pos="1370" w:val="left" w:leader="none"/>
        </w:tabs>
        <w:spacing w:line="268" w:lineRule="exact" w:before="0" w:after="0"/>
        <w:ind w:left="1369" w:right="0" w:hanging="530"/>
        <w:jc w:val="left"/>
        <w:rPr>
          <w:sz w:val="21"/>
        </w:rPr>
      </w:pPr>
      <w:r>
        <w:rPr>
          <w:spacing w:val="-3"/>
          <w:sz w:val="21"/>
        </w:rPr>
        <w:t>远程监控系统施工过程中，施工单位应做好设计变更、安装调试等相关记录。</w:t>
      </w:r>
      <w:r>
        <w:rPr>
          <w:sz w:val="21"/>
        </w:rPr>
        <w:t> </w:t>
      </w:r>
    </w:p>
    <w:p>
      <w:pPr>
        <w:pStyle w:val="BodyText"/>
        <w:rPr>
          <w:sz w:val="18"/>
        </w:rPr>
      </w:pPr>
    </w:p>
    <w:p>
      <w:pPr>
        <w:pStyle w:val="ListParagraph"/>
        <w:numPr>
          <w:ilvl w:val="2"/>
          <w:numId w:val="404"/>
        </w:numPr>
        <w:tabs>
          <w:tab w:pos="1370" w:val="left" w:leader="none"/>
        </w:tabs>
        <w:spacing w:line="240" w:lineRule="auto" w:before="0" w:after="0"/>
        <w:ind w:left="1369" w:right="0" w:hanging="530"/>
        <w:jc w:val="left"/>
        <w:rPr>
          <w:sz w:val="21"/>
        </w:rPr>
      </w:pPr>
      <w:r>
        <w:rPr>
          <w:spacing w:val="-3"/>
          <w:sz w:val="21"/>
        </w:rPr>
        <w:t>远程监控系统的施工过程质量控制应符合下列要求：</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405"/>
        </w:numPr>
        <w:tabs>
          <w:tab w:pos="1367" w:val="left" w:leader="none"/>
        </w:tabs>
        <w:spacing w:line="446" w:lineRule="auto" w:before="47" w:after="0"/>
        <w:ind w:left="418" w:right="1505" w:firstLine="419"/>
        <w:jc w:val="left"/>
        <w:rPr>
          <w:sz w:val="21"/>
        </w:rPr>
      </w:pPr>
      <w:r>
        <w:rPr>
          <w:spacing w:val="-3"/>
          <w:sz w:val="21"/>
        </w:rPr>
        <w:t>各工序应按施工技术标准进行质量控制，每道工序完成并检查合格后，方可进行下道工序。检查不合格，应进行整改。</w:t>
      </w:r>
      <w:r>
        <w:rPr>
          <w:sz w:val="21"/>
        </w:rPr>
        <w:t> </w:t>
      </w:r>
    </w:p>
    <w:p>
      <w:pPr>
        <w:pStyle w:val="ListParagraph"/>
        <w:numPr>
          <w:ilvl w:val="0"/>
          <w:numId w:val="405"/>
        </w:numPr>
        <w:tabs>
          <w:tab w:pos="1367" w:val="left" w:leader="none"/>
        </w:tabs>
        <w:spacing w:line="267" w:lineRule="exact" w:before="0" w:after="0"/>
        <w:ind w:left="1367" w:right="0" w:hanging="529"/>
        <w:jc w:val="left"/>
        <w:rPr>
          <w:sz w:val="21"/>
        </w:rPr>
      </w:pPr>
      <w:r>
        <w:rPr>
          <w:spacing w:val="-3"/>
          <w:sz w:val="21"/>
        </w:rPr>
        <w:t>隐蔽工程在隐蔽前应进行验收，并形成验收文件。</w:t>
      </w:r>
      <w:r>
        <w:rPr>
          <w:sz w:val="21"/>
        </w:rPr>
        <w:t> </w:t>
      </w:r>
    </w:p>
    <w:p>
      <w:pPr>
        <w:pStyle w:val="BodyText"/>
        <w:spacing w:before="2"/>
        <w:rPr>
          <w:sz w:val="18"/>
        </w:rPr>
      </w:pPr>
    </w:p>
    <w:p>
      <w:pPr>
        <w:pStyle w:val="ListParagraph"/>
        <w:numPr>
          <w:ilvl w:val="0"/>
          <w:numId w:val="405"/>
        </w:numPr>
        <w:tabs>
          <w:tab w:pos="1367" w:val="left" w:leader="none"/>
        </w:tabs>
        <w:spacing w:line="446" w:lineRule="auto" w:before="0" w:after="0"/>
        <w:ind w:left="418" w:right="1714" w:firstLine="419"/>
        <w:jc w:val="left"/>
        <w:rPr>
          <w:sz w:val="21"/>
        </w:rPr>
      </w:pPr>
      <w:r>
        <w:rPr>
          <w:spacing w:val="-3"/>
          <w:sz w:val="21"/>
        </w:rPr>
        <w:t>相关各专业工种之间应进行交接检验，并经监理工程师签字确认后方可进行下道工序。</w:t>
      </w:r>
      <w:r>
        <w:rPr>
          <w:sz w:val="21"/>
        </w:rPr>
        <w:t> </w:t>
      </w:r>
    </w:p>
    <w:p>
      <w:pPr>
        <w:pStyle w:val="ListParagraph"/>
        <w:numPr>
          <w:ilvl w:val="0"/>
          <w:numId w:val="405"/>
        </w:numPr>
        <w:tabs>
          <w:tab w:pos="1367" w:val="left" w:leader="none"/>
        </w:tabs>
        <w:spacing w:line="446" w:lineRule="auto" w:before="0" w:after="0"/>
        <w:ind w:left="418" w:right="1505" w:firstLine="419"/>
        <w:jc w:val="left"/>
        <w:rPr>
          <w:sz w:val="21"/>
        </w:rPr>
      </w:pPr>
      <w:r>
        <w:rPr>
          <w:spacing w:val="-3"/>
          <w:sz w:val="21"/>
        </w:rPr>
        <w:t>安装完成后，施工单位应对远程监控系统的安装质量进行全数检查，并按有关专业调试规定进行调试。</w:t>
      </w:r>
      <w:r>
        <w:rPr>
          <w:sz w:val="21"/>
        </w:rPr>
        <w:t> </w:t>
      </w:r>
    </w:p>
    <w:p>
      <w:pPr>
        <w:pStyle w:val="ListParagraph"/>
        <w:numPr>
          <w:ilvl w:val="0"/>
          <w:numId w:val="405"/>
        </w:numPr>
        <w:tabs>
          <w:tab w:pos="1367" w:val="left" w:leader="none"/>
        </w:tabs>
        <w:spacing w:line="446" w:lineRule="auto" w:before="0" w:after="0"/>
        <w:ind w:left="418" w:right="1505" w:firstLine="419"/>
        <w:jc w:val="left"/>
        <w:rPr>
          <w:sz w:val="21"/>
        </w:rPr>
      </w:pPr>
      <w:r>
        <w:rPr>
          <w:spacing w:val="-6"/>
          <w:sz w:val="21"/>
        </w:rPr>
        <w:t>施工过程质量检查记录应按附录 </w:t>
      </w:r>
      <w:r>
        <w:rPr>
          <w:sz w:val="21"/>
        </w:rPr>
        <w:t>C</w:t>
      </w:r>
      <w:r>
        <w:rPr>
          <w:spacing w:val="-7"/>
          <w:sz w:val="21"/>
        </w:rPr>
        <w:t> 填写“城市消防远程监控系统施工过程质量检查记</w:t>
      </w:r>
      <w:r>
        <w:rPr>
          <w:spacing w:val="-6"/>
          <w:sz w:val="21"/>
        </w:rPr>
        <w:t>录”。</w:t>
      </w:r>
      <w:r>
        <w:rPr>
          <w:sz w:val="21"/>
        </w:rPr>
        <w:t> </w:t>
      </w:r>
    </w:p>
    <w:p>
      <w:pPr>
        <w:pStyle w:val="ListParagraph"/>
        <w:numPr>
          <w:ilvl w:val="1"/>
          <w:numId w:val="404"/>
        </w:numPr>
        <w:tabs>
          <w:tab w:pos="1159" w:val="left" w:leader="none"/>
        </w:tabs>
        <w:spacing w:line="240" w:lineRule="auto" w:before="0" w:after="0"/>
        <w:ind w:left="1158" w:right="0" w:hanging="319"/>
        <w:jc w:val="left"/>
        <w:rPr>
          <w:b/>
          <w:sz w:val="21"/>
        </w:rPr>
      </w:pPr>
      <w:r>
        <w:rPr>
          <w:spacing w:val="-3"/>
          <w:sz w:val="21"/>
        </w:rPr>
        <w:t>安装</w:t>
      </w:r>
      <w:r>
        <w:rPr>
          <w:b/>
          <w:w w:val="99"/>
          <w:sz w:val="21"/>
        </w:rPr>
        <w:t> </w:t>
      </w:r>
    </w:p>
    <w:p>
      <w:pPr>
        <w:pStyle w:val="BodyText"/>
        <w:spacing w:before="10"/>
        <w:rPr>
          <w:b/>
          <w:sz w:val="17"/>
        </w:rPr>
      </w:pPr>
    </w:p>
    <w:p>
      <w:pPr>
        <w:pStyle w:val="ListParagraph"/>
        <w:numPr>
          <w:ilvl w:val="2"/>
          <w:numId w:val="404"/>
        </w:numPr>
        <w:tabs>
          <w:tab w:pos="1370" w:val="left" w:leader="none"/>
        </w:tabs>
        <w:spacing w:line="240" w:lineRule="auto" w:before="0" w:after="0"/>
        <w:ind w:left="1369" w:right="0" w:hanging="530"/>
        <w:jc w:val="left"/>
        <w:rPr>
          <w:sz w:val="21"/>
        </w:rPr>
      </w:pPr>
      <w:r>
        <w:rPr>
          <w:spacing w:val="-3"/>
          <w:sz w:val="21"/>
        </w:rPr>
        <w:t>远程监控系统安装环境应符合下列要求：</w:t>
      </w:r>
      <w:r>
        <w:rPr>
          <w:sz w:val="21"/>
        </w:rPr>
        <w:t> </w:t>
      </w:r>
    </w:p>
    <w:p>
      <w:pPr>
        <w:pStyle w:val="BodyText"/>
        <w:rPr>
          <w:sz w:val="18"/>
        </w:rPr>
      </w:pPr>
    </w:p>
    <w:p>
      <w:pPr>
        <w:pStyle w:val="ListParagraph"/>
        <w:numPr>
          <w:ilvl w:val="0"/>
          <w:numId w:val="406"/>
        </w:numPr>
        <w:tabs>
          <w:tab w:pos="1367" w:val="left" w:leader="none"/>
        </w:tabs>
        <w:spacing w:line="446" w:lineRule="auto" w:before="0" w:after="0"/>
        <w:ind w:left="418" w:right="1400" w:firstLine="419"/>
        <w:jc w:val="left"/>
        <w:rPr>
          <w:sz w:val="21"/>
        </w:rPr>
      </w:pPr>
      <w:r>
        <w:rPr>
          <w:spacing w:val="-3"/>
          <w:sz w:val="21"/>
        </w:rPr>
        <w:t>远程监控系统的室内布线应符合现行国家标准《建筑电气工程施工质量验收规范》</w:t>
      </w:r>
      <w:r>
        <w:rPr>
          <w:sz w:val="21"/>
        </w:rPr>
        <w:t>GB 50303</w:t>
      </w:r>
      <w:r>
        <w:rPr>
          <w:spacing w:val="-10"/>
          <w:sz w:val="21"/>
        </w:rPr>
        <w:t> 的有关要求。</w:t>
      </w:r>
      <w:r>
        <w:rPr>
          <w:sz w:val="21"/>
        </w:rPr>
        <w:t> </w:t>
      </w:r>
    </w:p>
    <w:p>
      <w:pPr>
        <w:pStyle w:val="ListParagraph"/>
        <w:numPr>
          <w:ilvl w:val="0"/>
          <w:numId w:val="406"/>
        </w:numPr>
        <w:tabs>
          <w:tab w:pos="1367" w:val="left" w:leader="none"/>
        </w:tabs>
        <w:spacing w:line="240" w:lineRule="auto" w:before="0" w:after="0"/>
        <w:ind w:left="1367" w:right="0" w:hanging="529"/>
        <w:jc w:val="left"/>
        <w:rPr>
          <w:sz w:val="21"/>
        </w:rPr>
      </w:pPr>
      <w:r>
        <w:rPr>
          <w:spacing w:val="-3"/>
          <w:sz w:val="21"/>
        </w:rPr>
        <w:t>远程监控系统的防雷接地应符合现行国家标准《建筑物电子信息系统防雷技术规范》</w:t>
      </w:r>
    </w:p>
    <w:p>
      <w:pPr>
        <w:pStyle w:val="BodyText"/>
        <w:rPr>
          <w:sz w:val="18"/>
        </w:rPr>
      </w:pPr>
    </w:p>
    <w:p>
      <w:pPr>
        <w:pStyle w:val="BodyText"/>
        <w:ind w:left="418"/>
      </w:pPr>
      <w:r>
        <w:rPr/>
        <w:t>GB 50343 的有关要求。 </w:t>
      </w:r>
    </w:p>
    <w:p>
      <w:pPr>
        <w:pStyle w:val="BodyText"/>
        <w:spacing w:before="1"/>
        <w:rPr>
          <w:sz w:val="18"/>
        </w:rPr>
      </w:pPr>
    </w:p>
    <w:p>
      <w:pPr>
        <w:pStyle w:val="ListParagraph"/>
        <w:numPr>
          <w:ilvl w:val="2"/>
          <w:numId w:val="404"/>
        </w:numPr>
        <w:tabs>
          <w:tab w:pos="1370" w:val="left" w:leader="none"/>
        </w:tabs>
        <w:spacing w:line="240" w:lineRule="auto" w:before="1" w:after="0"/>
        <w:ind w:left="1369" w:right="0" w:hanging="530"/>
        <w:jc w:val="left"/>
        <w:rPr>
          <w:sz w:val="21"/>
        </w:rPr>
      </w:pPr>
      <w:r>
        <w:rPr>
          <w:spacing w:val="-3"/>
          <w:sz w:val="21"/>
        </w:rPr>
        <w:t>远程监控系统设备的安装应符合下列要求：</w:t>
      </w:r>
      <w:r>
        <w:rPr>
          <w:sz w:val="21"/>
        </w:rPr>
        <w:t> </w:t>
      </w:r>
    </w:p>
    <w:p>
      <w:pPr>
        <w:pStyle w:val="BodyText"/>
        <w:spacing w:before="12"/>
        <w:rPr>
          <w:sz w:val="17"/>
        </w:rPr>
      </w:pPr>
    </w:p>
    <w:p>
      <w:pPr>
        <w:pStyle w:val="ListParagraph"/>
        <w:numPr>
          <w:ilvl w:val="0"/>
          <w:numId w:val="407"/>
        </w:numPr>
        <w:tabs>
          <w:tab w:pos="1367" w:val="left" w:leader="none"/>
        </w:tabs>
        <w:spacing w:line="446" w:lineRule="auto" w:before="0" w:after="0"/>
        <w:ind w:left="418" w:right="1505" w:firstLine="419"/>
        <w:jc w:val="left"/>
        <w:rPr>
          <w:sz w:val="21"/>
        </w:rPr>
      </w:pPr>
      <w:r>
        <w:rPr>
          <w:spacing w:val="-3"/>
          <w:sz w:val="21"/>
        </w:rPr>
        <w:t>远程监控系统设备应根据实际工作环境合理摆放，安装牢固，便于人员操作，并留有检查、维护的空间。</w:t>
      </w:r>
      <w:r>
        <w:rPr>
          <w:sz w:val="21"/>
        </w:rPr>
        <w:t> </w:t>
      </w:r>
    </w:p>
    <w:p>
      <w:pPr>
        <w:pStyle w:val="ListParagraph"/>
        <w:numPr>
          <w:ilvl w:val="0"/>
          <w:numId w:val="407"/>
        </w:numPr>
        <w:tabs>
          <w:tab w:pos="1367" w:val="left" w:leader="none"/>
        </w:tabs>
        <w:spacing w:line="240" w:lineRule="auto" w:before="0" w:after="0"/>
        <w:ind w:left="1367" w:right="0" w:hanging="529"/>
        <w:jc w:val="left"/>
        <w:rPr>
          <w:sz w:val="21"/>
        </w:rPr>
      </w:pPr>
      <w:r>
        <w:rPr>
          <w:spacing w:val="-3"/>
          <w:sz w:val="21"/>
        </w:rPr>
        <w:t>远程监控系统设备和线缆应设永久性标识，且标识应正确、清晰。</w:t>
      </w:r>
      <w:r>
        <w:rPr>
          <w:sz w:val="21"/>
        </w:rPr>
        <w:t> </w:t>
      </w:r>
    </w:p>
    <w:p>
      <w:pPr>
        <w:pStyle w:val="BodyText"/>
        <w:rPr>
          <w:sz w:val="18"/>
        </w:rPr>
      </w:pPr>
    </w:p>
    <w:p>
      <w:pPr>
        <w:pStyle w:val="ListParagraph"/>
        <w:numPr>
          <w:ilvl w:val="0"/>
          <w:numId w:val="407"/>
        </w:numPr>
        <w:tabs>
          <w:tab w:pos="1367" w:val="left" w:leader="none"/>
        </w:tabs>
        <w:spacing w:line="446" w:lineRule="auto" w:before="0" w:after="0"/>
        <w:ind w:left="418" w:right="1505" w:firstLine="419"/>
        <w:jc w:val="left"/>
        <w:rPr>
          <w:sz w:val="21"/>
        </w:rPr>
      </w:pPr>
      <w:r>
        <w:rPr>
          <w:spacing w:val="-3"/>
          <w:sz w:val="21"/>
        </w:rPr>
        <w:t>远程监控系统设备连线应连接可靠、捆扎固定、排列整齐，不得有扭绞、压扁和保护层断裂等现象。</w:t>
      </w:r>
      <w:r>
        <w:rPr>
          <w:sz w:val="21"/>
        </w:rPr>
        <w:t> </w:t>
      </w:r>
    </w:p>
    <w:p>
      <w:pPr>
        <w:pStyle w:val="ListParagraph"/>
        <w:numPr>
          <w:ilvl w:val="0"/>
          <w:numId w:val="407"/>
        </w:numPr>
        <w:tabs>
          <w:tab w:pos="1367" w:val="left" w:leader="none"/>
        </w:tabs>
        <w:spacing w:line="446" w:lineRule="auto" w:before="0" w:after="0"/>
        <w:ind w:left="418" w:right="1505" w:firstLine="419"/>
        <w:jc w:val="left"/>
        <w:rPr>
          <w:sz w:val="21"/>
        </w:rPr>
      </w:pPr>
      <w:r>
        <w:rPr>
          <w:spacing w:val="-3"/>
          <w:sz w:val="21"/>
        </w:rPr>
        <w:t>远程监控系统的用户信息传输装置采用壁挂方式安装时，应符合现行国家标准《火灾自动报警系统设计规范》</w:t>
      </w:r>
      <w:r>
        <w:rPr>
          <w:sz w:val="21"/>
        </w:rPr>
        <w:t>GB</w:t>
      </w:r>
      <w:r>
        <w:rPr>
          <w:spacing w:val="2"/>
          <w:sz w:val="21"/>
        </w:rPr>
        <w:t> </w:t>
      </w:r>
      <w:r>
        <w:rPr>
          <w:sz w:val="21"/>
        </w:rPr>
        <w:t>50116</w:t>
      </w:r>
      <w:r>
        <w:rPr>
          <w:spacing w:val="-9"/>
          <w:sz w:val="21"/>
        </w:rPr>
        <w:t> 对火灾报警控制器类设备的安装要求。</w:t>
      </w:r>
      <w:r>
        <w:rPr>
          <w:sz w:val="21"/>
        </w:rPr>
        <w:t> </w:t>
      </w:r>
    </w:p>
    <w:p>
      <w:pPr>
        <w:pStyle w:val="ListParagraph"/>
        <w:numPr>
          <w:ilvl w:val="2"/>
          <w:numId w:val="404"/>
        </w:numPr>
        <w:tabs>
          <w:tab w:pos="1370" w:val="left" w:leader="none"/>
        </w:tabs>
        <w:spacing w:line="446" w:lineRule="auto" w:before="0" w:after="0"/>
        <w:ind w:left="418" w:right="1604" w:firstLine="422"/>
        <w:jc w:val="left"/>
        <w:rPr>
          <w:sz w:val="21"/>
        </w:rPr>
      </w:pPr>
      <w:r>
        <w:rPr>
          <w:spacing w:val="-3"/>
          <w:sz w:val="21"/>
        </w:rPr>
        <w:t>远程监控系统使用的操作系统、数据库系统等平台软件应具有软件使用</w:t>
      </w:r>
      <w:r>
        <w:rPr>
          <w:sz w:val="21"/>
        </w:rPr>
        <w:t>（</w:t>
      </w:r>
      <w:r>
        <w:rPr>
          <w:spacing w:val="-2"/>
          <w:sz w:val="21"/>
        </w:rPr>
        <w:t>授权</w:t>
      </w:r>
      <w:r>
        <w:rPr>
          <w:spacing w:val="-3"/>
          <w:sz w:val="21"/>
        </w:rPr>
        <w:t>）</w:t>
      </w:r>
      <w:r>
        <w:rPr>
          <w:sz w:val="21"/>
        </w:rPr>
        <w:t>许</w:t>
      </w:r>
      <w:r>
        <w:rPr>
          <w:spacing w:val="-3"/>
          <w:sz w:val="21"/>
        </w:rPr>
        <w:t>可证，并宜采用技术成熟的商业化软件产品。</w:t>
      </w:r>
      <w:r>
        <w:rPr>
          <w:sz w:val="21"/>
        </w:rPr>
        <w:t> </w:t>
      </w:r>
    </w:p>
    <w:p>
      <w:pPr>
        <w:pStyle w:val="ListParagraph"/>
        <w:numPr>
          <w:ilvl w:val="1"/>
          <w:numId w:val="404"/>
        </w:numPr>
        <w:tabs>
          <w:tab w:pos="1159" w:val="left" w:leader="none"/>
        </w:tabs>
        <w:spacing w:line="240" w:lineRule="auto" w:before="0" w:after="0"/>
        <w:ind w:left="1158" w:right="0" w:hanging="319"/>
        <w:jc w:val="left"/>
        <w:rPr>
          <w:b/>
          <w:sz w:val="21"/>
        </w:rPr>
      </w:pPr>
      <w:r>
        <w:rPr>
          <w:spacing w:val="-3"/>
          <w:sz w:val="21"/>
        </w:rPr>
        <w:t>调试</w:t>
      </w:r>
      <w:r>
        <w:rPr>
          <w:b/>
          <w:w w:val="99"/>
          <w:sz w:val="21"/>
        </w:rPr>
        <w:t> </w:t>
      </w:r>
    </w:p>
    <w:p>
      <w:pPr>
        <w:pStyle w:val="BodyText"/>
        <w:spacing w:before="10"/>
        <w:rPr>
          <w:b/>
          <w:sz w:val="17"/>
        </w:rPr>
      </w:pPr>
    </w:p>
    <w:p>
      <w:pPr>
        <w:pStyle w:val="ListParagraph"/>
        <w:numPr>
          <w:ilvl w:val="2"/>
          <w:numId w:val="404"/>
        </w:numPr>
        <w:tabs>
          <w:tab w:pos="1371" w:val="left" w:leader="none"/>
        </w:tabs>
        <w:spacing w:line="240" w:lineRule="auto" w:before="0" w:after="0"/>
        <w:ind w:left="1370" w:right="0" w:hanging="531"/>
        <w:jc w:val="left"/>
        <w:rPr>
          <w:sz w:val="21"/>
        </w:rPr>
      </w:pPr>
      <w:r>
        <w:rPr>
          <w:spacing w:val="-3"/>
          <w:sz w:val="21"/>
        </w:rPr>
        <w:t>远程监控系统正式投入使用前应对系统进行调试。</w:t>
      </w:r>
      <w:r>
        <w:rPr>
          <w:sz w:val="21"/>
        </w:rPr>
        <w:t> </w:t>
      </w:r>
    </w:p>
    <w:p>
      <w:pPr>
        <w:pStyle w:val="BodyText"/>
        <w:spacing w:before="2"/>
        <w:rPr>
          <w:sz w:val="18"/>
        </w:rPr>
      </w:pPr>
    </w:p>
    <w:p>
      <w:pPr>
        <w:pStyle w:val="ListParagraph"/>
        <w:numPr>
          <w:ilvl w:val="2"/>
          <w:numId w:val="404"/>
        </w:numPr>
        <w:tabs>
          <w:tab w:pos="1370" w:val="left" w:leader="none"/>
        </w:tabs>
        <w:spacing w:line="240" w:lineRule="auto" w:before="0" w:after="0"/>
        <w:ind w:left="1369" w:right="0" w:hanging="530"/>
        <w:jc w:val="left"/>
        <w:rPr>
          <w:sz w:val="21"/>
        </w:rPr>
      </w:pPr>
      <w:r>
        <w:rPr>
          <w:spacing w:val="-3"/>
          <w:sz w:val="21"/>
        </w:rPr>
        <w:t>远程监控系统调试前应具备下列条件：</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408"/>
        </w:numPr>
        <w:tabs>
          <w:tab w:pos="1367" w:val="left" w:leader="none"/>
        </w:tabs>
        <w:spacing w:line="240" w:lineRule="auto" w:before="47" w:after="0"/>
        <w:ind w:left="1367" w:right="0" w:hanging="529"/>
        <w:jc w:val="left"/>
        <w:rPr>
          <w:sz w:val="21"/>
        </w:rPr>
      </w:pPr>
      <w:r>
        <w:rPr>
          <w:spacing w:val="-3"/>
          <w:sz w:val="21"/>
        </w:rPr>
        <w:t>各设备和平台软件按设计要求安装完毕。 </w:t>
      </w:r>
    </w:p>
    <w:p>
      <w:pPr>
        <w:pStyle w:val="BodyText"/>
        <w:rPr>
          <w:sz w:val="18"/>
        </w:rPr>
      </w:pPr>
    </w:p>
    <w:p>
      <w:pPr>
        <w:pStyle w:val="ListParagraph"/>
        <w:numPr>
          <w:ilvl w:val="0"/>
          <w:numId w:val="408"/>
        </w:numPr>
        <w:tabs>
          <w:tab w:pos="1367" w:val="left" w:leader="none"/>
        </w:tabs>
        <w:spacing w:line="240" w:lineRule="auto" w:before="0" w:after="0"/>
        <w:ind w:left="1367" w:right="0" w:hanging="529"/>
        <w:jc w:val="left"/>
        <w:rPr>
          <w:sz w:val="21"/>
        </w:rPr>
      </w:pPr>
      <w:r>
        <w:rPr>
          <w:spacing w:val="-6"/>
          <w:sz w:val="21"/>
        </w:rPr>
        <w:t>远程监控系统的安装环境符合本规范第 </w:t>
      </w:r>
      <w:r>
        <w:rPr>
          <w:sz w:val="21"/>
        </w:rPr>
        <w:t>6.2.1</w:t>
      </w:r>
      <w:r>
        <w:rPr>
          <w:spacing w:val="-10"/>
          <w:sz w:val="21"/>
        </w:rPr>
        <w:t> 条的有关要求。</w:t>
      </w:r>
      <w:r>
        <w:rPr>
          <w:sz w:val="21"/>
        </w:rPr>
        <w:t> </w:t>
      </w:r>
    </w:p>
    <w:p>
      <w:pPr>
        <w:pStyle w:val="BodyText"/>
        <w:rPr>
          <w:sz w:val="18"/>
        </w:rPr>
      </w:pPr>
    </w:p>
    <w:p>
      <w:pPr>
        <w:pStyle w:val="ListParagraph"/>
        <w:numPr>
          <w:ilvl w:val="0"/>
          <w:numId w:val="408"/>
        </w:numPr>
        <w:tabs>
          <w:tab w:pos="1367" w:val="left" w:leader="none"/>
        </w:tabs>
        <w:spacing w:line="240" w:lineRule="auto" w:before="0" w:after="0"/>
        <w:ind w:left="1367" w:right="0" w:hanging="529"/>
        <w:jc w:val="left"/>
        <w:rPr>
          <w:sz w:val="21"/>
        </w:rPr>
      </w:pPr>
      <w:r>
        <w:rPr>
          <w:spacing w:val="-3"/>
          <w:sz w:val="21"/>
        </w:rPr>
        <w:t>对系统中的各用电设备分别进行单机通电检查。 </w:t>
      </w:r>
    </w:p>
    <w:p>
      <w:pPr>
        <w:pStyle w:val="BodyText"/>
        <w:spacing w:before="1"/>
        <w:rPr>
          <w:sz w:val="18"/>
        </w:rPr>
      </w:pPr>
    </w:p>
    <w:p>
      <w:pPr>
        <w:pStyle w:val="ListParagraph"/>
        <w:numPr>
          <w:ilvl w:val="0"/>
          <w:numId w:val="408"/>
        </w:numPr>
        <w:tabs>
          <w:tab w:pos="1367" w:val="left" w:leader="none"/>
        </w:tabs>
        <w:spacing w:line="240" w:lineRule="auto" w:before="1" w:after="0"/>
        <w:ind w:left="1367" w:right="0" w:hanging="529"/>
        <w:jc w:val="left"/>
        <w:rPr>
          <w:sz w:val="21"/>
        </w:rPr>
      </w:pPr>
      <w:r>
        <w:rPr>
          <w:spacing w:val="-3"/>
          <w:sz w:val="21"/>
        </w:rPr>
        <w:t>制定调试和试运行方案。</w:t>
      </w:r>
      <w:r>
        <w:rPr>
          <w:sz w:val="21"/>
        </w:rPr>
        <w:t> </w:t>
      </w:r>
    </w:p>
    <w:p>
      <w:pPr>
        <w:pStyle w:val="BodyText"/>
        <w:spacing w:before="12"/>
        <w:rPr>
          <w:sz w:val="17"/>
        </w:rPr>
      </w:pPr>
    </w:p>
    <w:p>
      <w:pPr>
        <w:pStyle w:val="ListParagraph"/>
        <w:numPr>
          <w:ilvl w:val="0"/>
          <w:numId w:val="408"/>
        </w:numPr>
        <w:tabs>
          <w:tab w:pos="1367" w:val="left" w:leader="none"/>
        </w:tabs>
        <w:spacing w:line="446" w:lineRule="auto" w:before="0" w:after="0"/>
        <w:ind w:left="840" w:right="4134" w:hanging="3"/>
        <w:jc w:val="left"/>
        <w:rPr>
          <w:sz w:val="21"/>
        </w:rPr>
      </w:pPr>
      <w:r>
        <w:rPr>
          <w:spacing w:val="-10"/>
          <w:sz w:val="21"/>
        </w:rPr>
        <w:t>备齐本规范第 </w:t>
      </w:r>
      <w:r>
        <w:rPr>
          <w:sz w:val="21"/>
        </w:rPr>
        <w:t>6.1.3</w:t>
      </w:r>
      <w:r>
        <w:rPr>
          <w:spacing w:val="-22"/>
          <w:sz w:val="21"/>
        </w:rPr>
        <w:t> 条和第 </w:t>
      </w:r>
      <w:r>
        <w:rPr>
          <w:sz w:val="21"/>
        </w:rPr>
        <w:t>6.1.4</w:t>
      </w:r>
      <w:r>
        <w:rPr>
          <w:spacing w:val="-9"/>
          <w:sz w:val="21"/>
        </w:rPr>
        <w:t> 条规定的技术文件。</w:t>
      </w:r>
      <w:r>
        <w:rPr>
          <w:b/>
          <w:sz w:val="21"/>
        </w:rPr>
        <w:t>6.3.3</w:t>
      </w:r>
      <w:r>
        <w:rPr>
          <w:b/>
          <w:spacing w:val="3"/>
          <w:sz w:val="21"/>
        </w:rPr>
        <w:t> </w:t>
      </w:r>
      <w:r>
        <w:rPr>
          <w:spacing w:val="-3"/>
          <w:sz w:val="21"/>
        </w:rPr>
        <w:t>用户信息传输装置的调试应符合下列要求：</w:t>
      </w:r>
      <w:r>
        <w:rPr>
          <w:sz w:val="21"/>
        </w:rPr>
        <w:t> </w:t>
      </w:r>
    </w:p>
    <w:p>
      <w:pPr>
        <w:pStyle w:val="ListParagraph"/>
        <w:numPr>
          <w:ilvl w:val="0"/>
          <w:numId w:val="409"/>
        </w:numPr>
        <w:tabs>
          <w:tab w:pos="1367" w:val="left" w:leader="none"/>
        </w:tabs>
        <w:spacing w:line="446" w:lineRule="auto" w:before="0" w:after="0"/>
        <w:ind w:left="418" w:right="1505" w:firstLine="419"/>
        <w:jc w:val="left"/>
        <w:rPr>
          <w:sz w:val="21"/>
        </w:rPr>
      </w:pPr>
      <w:r>
        <w:rPr>
          <w:spacing w:val="-3"/>
          <w:sz w:val="21"/>
        </w:rPr>
        <w:t>模拟一起火灾报警，检查用户信息传输装置接收火灾报警信息的完整性，用户信息传输装置应按照规定的通信协议和数据格式将信息通过报警传输网络传送到监控中心。</w:t>
      </w:r>
      <w:r>
        <w:rPr>
          <w:sz w:val="21"/>
        </w:rPr>
        <w:t> </w:t>
      </w:r>
    </w:p>
    <w:p>
      <w:pPr>
        <w:pStyle w:val="ListParagraph"/>
        <w:numPr>
          <w:ilvl w:val="0"/>
          <w:numId w:val="409"/>
        </w:numPr>
        <w:tabs>
          <w:tab w:pos="1367" w:val="left" w:leader="none"/>
        </w:tabs>
        <w:spacing w:line="267" w:lineRule="exact" w:before="0" w:after="0"/>
        <w:ind w:left="1367" w:right="0" w:hanging="529"/>
        <w:jc w:val="left"/>
        <w:rPr>
          <w:sz w:val="21"/>
        </w:rPr>
      </w:pPr>
      <w:r>
        <w:rPr>
          <w:spacing w:val="-3"/>
          <w:sz w:val="21"/>
        </w:rPr>
        <w:t>模拟建筑消防设施的各种状态，检查用户信息传输装置接收信息的完整性，用户信息</w:t>
      </w:r>
      <w:r>
        <w:rPr>
          <w:sz w:val="21"/>
        </w:rPr>
        <w:t> </w:t>
      </w:r>
    </w:p>
    <w:p>
      <w:pPr>
        <w:pStyle w:val="BodyText"/>
        <w:spacing w:before="2"/>
        <w:rPr>
          <w:sz w:val="18"/>
        </w:rPr>
      </w:pPr>
    </w:p>
    <w:p>
      <w:pPr>
        <w:pStyle w:val="ListParagraph"/>
        <w:numPr>
          <w:ilvl w:val="0"/>
          <w:numId w:val="409"/>
        </w:numPr>
        <w:tabs>
          <w:tab w:pos="1367" w:val="left" w:leader="none"/>
        </w:tabs>
        <w:spacing w:line="446" w:lineRule="auto" w:before="0" w:after="0"/>
        <w:ind w:left="418" w:right="1505" w:firstLine="419"/>
        <w:jc w:val="left"/>
        <w:rPr>
          <w:sz w:val="21"/>
        </w:rPr>
      </w:pPr>
      <w:r>
        <w:rPr>
          <w:spacing w:val="-3"/>
          <w:sz w:val="21"/>
        </w:rPr>
        <w:t>同时模拟一起火灾报警和建筑消防设施运行状态，检查监控中心接收信息的顺序是否体现火警优先原则。</w:t>
      </w:r>
      <w:r>
        <w:rPr>
          <w:sz w:val="21"/>
        </w:rPr>
        <w:t> </w:t>
      </w:r>
    </w:p>
    <w:p>
      <w:pPr>
        <w:pStyle w:val="ListParagraph"/>
        <w:numPr>
          <w:ilvl w:val="0"/>
          <w:numId w:val="409"/>
        </w:numPr>
        <w:tabs>
          <w:tab w:pos="1367" w:val="left" w:leader="none"/>
        </w:tabs>
        <w:spacing w:line="267" w:lineRule="exact" w:before="0" w:after="0"/>
        <w:ind w:left="1367" w:right="0" w:hanging="529"/>
        <w:jc w:val="left"/>
        <w:rPr>
          <w:sz w:val="21"/>
        </w:rPr>
      </w:pPr>
      <w:r>
        <w:rPr>
          <w:spacing w:val="-3"/>
          <w:sz w:val="21"/>
        </w:rPr>
        <w:t>模拟手动报警，检查监控中心接收火灾报警信息的完整性。</w:t>
      </w:r>
      <w:r>
        <w:rPr>
          <w:sz w:val="21"/>
        </w:rPr>
        <w:t> </w:t>
      </w:r>
    </w:p>
    <w:p>
      <w:pPr>
        <w:pStyle w:val="BodyText"/>
        <w:spacing w:before="1"/>
        <w:rPr>
          <w:sz w:val="18"/>
        </w:rPr>
      </w:pPr>
    </w:p>
    <w:p>
      <w:pPr>
        <w:pStyle w:val="ListParagraph"/>
        <w:numPr>
          <w:ilvl w:val="0"/>
          <w:numId w:val="409"/>
        </w:numPr>
        <w:tabs>
          <w:tab w:pos="1367" w:val="left" w:leader="none"/>
        </w:tabs>
        <w:spacing w:line="240" w:lineRule="auto" w:before="1" w:after="0"/>
        <w:ind w:left="1367" w:right="0" w:hanging="529"/>
        <w:jc w:val="left"/>
        <w:rPr>
          <w:sz w:val="21"/>
        </w:rPr>
      </w:pPr>
      <w:r>
        <w:rPr>
          <w:spacing w:val="-3"/>
          <w:sz w:val="21"/>
        </w:rPr>
        <w:t>进行自检操作，检查自检情况。</w:t>
      </w:r>
      <w:r>
        <w:rPr>
          <w:sz w:val="21"/>
        </w:rPr>
        <w:t> </w:t>
      </w:r>
    </w:p>
    <w:p>
      <w:pPr>
        <w:pStyle w:val="BodyText"/>
        <w:spacing w:before="12"/>
        <w:rPr>
          <w:sz w:val="17"/>
        </w:rPr>
      </w:pPr>
    </w:p>
    <w:p>
      <w:pPr>
        <w:pStyle w:val="ListParagraph"/>
        <w:numPr>
          <w:ilvl w:val="0"/>
          <w:numId w:val="409"/>
        </w:numPr>
        <w:tabs>
          <w:tab w:pos="1367" w:val="left" w:leader="none"/>
        </w:tabs>
        <w:spacing w:line="240" w:lineRule="auto" w:before="0" w:after="0"/>
        <w:ind w:left="1367" w:right="0" w:hanging="529"/>
        <w:jc w:val="left"/>
        <w:rPr>
          <w:sz w:val="21"/>
        </w:rPr>
      </w:pPr>
      <w:r>
        <w:rPr>
          <w:spacing w:val="-3"/>
          <w:sz w:val="21"/>
        </w:rPr>
        <w:t>模拟用户信息传输装置故障，检查故障声、光信号提示情况。</w:t>
      </w:r>
      <w:r>
        <w:rPr>
          <w:sz w:val="21"/>
        </w:rPr>
        <w:t> </w:t>
      </w:r>
    </w:p>
    <w:p>
      <w:pPr>
        <w:pStyle w:val="BodyText"/>
        <w:rPr>
          <w:sz w:val="18"/>
        </w:rPr>
      </w:pPr>
    </w:p>
    <w:p>
      <w:pPr>
        <w:pStyle w:val="ListParagraph"/>
        <w:numPr>
          <w:ilvl w:val="0"/>
          <w:numId w:val="409"/>
        </w:numPr>
        <w:tabs>
          <w:tab w:pos="1367" w:val="left" w:leader="none"/>
        </w:tabs>
        <w:spacing w:line="446" w:lineRule="auto" w:before="0" w:after="0"/>
        <w:ind w:left="840" w:right="4763" w:hanging="3"/>
        <w:jc w:val="left"/>
        <w:rPr>
          <w:sz w:val="21"/>
        </w:rPr>
      </w:pPr>
      <w:r>
        <w:rPr>
          <w:spacing w:val="-3"/>
          <w:sz w:val="21"/>
        </w:rPr>
        <w:t>模拟主电断电，检查主、备电源自动转换功能。</w:t>
      </w:r>
      <w:r>
        <w:rPr>
          <w:b/>
          <w:spacing w:val="-3"/>
          <w:sz w:val="21"/>
        </w:rPr>
        <w:t>6.3.4</w:t>
      </w:r>
      <w:r>
        <w:rPr>
          <w:b/>
          <w:spacing w:val="2"/>
          <w:sz w:val="21"/>
        </w:rPr>
        <w:t> </w:t>
      </w:r>
      <w:r>
        <w:rPr>
          <w:spacing w:val="-3"/>
          <w:sz w:val="21"/>
        </w:rPr>
        <w:t>报警受理系统的调试应符合下列要求：</w:t>
      </w:r>
      <w:r>
        <w:rPr>
          <w:sz w:val="21"/>
        </w:rPr>
        <w:t> </w:t>
      </w:r>
    </w:p>
    <w:p>
      <w:pPr>
        <w:pStyle w:val="ListParagraph"/>
        <w:numPr>
          <w:ilvl w:val="0"/>
          <w:numId w:val="410"/>
        </w:numPr>
        <w:tabs>
          <w:tab w:pos="1367" w:val="left" w:leader="none"/>
        </w:tabs>
        <w:spacing w:line="446" w:lineRule="auto" w:before="0" w:after="0"/>
        <w:ind w:left="418" w:right="1505" w:firstLine="419"/>
        <w:jc w:val="left"/>
        <w:rPr>
          <w:sz w:val="21"/>
        </w:rPr>
      </w:pPr>
      <w:r>
        <w:rPr>
          <w:spacing w:val="-3"/>
          <w:sz w:val="21"/>
        </w:rPr>
        <w:t>模拟一起火灾报警，检查报警受理系统接收用户信息传输装置发送的火灾报警信息的正确性，检查报警受理系统接收并显示火灾报警信息的完整性，检查报警受理系统与发出模拟火灾报警信息的联网用户进行警情核实和确认的功能，并检查城市消防通信指挥中心接收经确认的火灾报警信息的内容完整性。</w:t>
      </w:r>
      <w:r>
        <w:rPr>
          <w:sz w:val="21"/>
        </w:rPr>
        <w:t> </w:t>
      </w:r>
    </w:p>
    <w:p>
      <w:pPr>
        <w:pStyle w:val="ListParagraph"/>
        <w:numPr>
          <w:ilvl w:val="0"/>
          <w:numId w:val="410"/>
        </w:numPr>
        <w:tabs>
          <w:tab w:pos="1367" w:val="left" w:leader="none"/>
        </w:tabs>
        <w:spacing w:line="446" w:lineRule="auto" w:before="0" w:after="0"/>
        <w:ind w:left="418" w:right="1505" w:firstLine="419"/>
        <w:jc w:val="left"/>
        <w:rPr>
          <w:sz w:val="21"/>
        </w:rPr>
      </w:pPr>
      <w:r>
        <w:rPr>
          <w:spacing w:val="-3"/>
          <w:sz w:val="21"/>
        </w:rPr>
        <w:t>模拟各种建筑消防设施的运行状态变化，检查报警受理系统接收并存储建筑消防设施运行状态信息的完整性，检查对建筑消防设施故障的信息跟踪、记录和查询功能，并检查故障报警信息是否能够发送到联网用户的相关人员。</w:t>
      </w:r>
      <w:r>
        <w:rPr>
          <w:sz w:val="21"/>
        </w:rPr>
        <w:t> </w:t>
      </w:r>
    </w:p>
    <w:p>
      <w:pPr>
        <w:pStyle w:val="ListParagraph"/>
        <w:numPr>
          <w:ilvl w:val="0"/>
          <w:numId w:val="410"/>
        </w:numPr>
        <w:tabs>
          <w:tab w:pos="1367" w:val="left" w:leader="none"/>
        </w:tabs>
        <w:spacing w:line="446" w:lineRule="auto" w:before="0" w:after="0"/>
        <w:ind w:left="418" w:right="1505" w:firstLine="419"/>
        <w:jc w:val="left"/>
        <w:rPr>
          <w:sz w:val="21"/>
        </w:rPr>
      </w:pPr>
      <w:r>
        <w:rPr>
          <w:spacing w:val="-3"/>
          <w:sz w:val="21"/>
        </w:rPr>
        <w:t>向用户信息传输装置发送巡检测试指令，检查用户信息传输装置接收巡检测试指令的完整性。</w:t>
      </w:r>
      <w:r>
        <w:rPr>
          <w:sz w:val="21"/>
        </w:rPr>
        <w:t> </w:t>
      </w:r>
    </w:p>
    <w:p>
      <w:pPr>
        <w:pStyle w:val="ListParagraph"/>
        <w:numPr>
          <w:ilvl w:val="0"/>
          <w:numId w:val="410"/>
        </w:numPr>
        <w:tabs>
          <w:tab w:pos="1367" w:val="left" w:leader="none"/>
        </w:tabs>
        <w:spacing w:line="240" w:lineRule="auto" w:before="0" w:after="0"/>
        <w:ind w:left="1367" w:right="0" w:hanging="529"/>
        <w:jc w:val="left"/>
        <w:rPr>
          <w:sz w:val="21"/>
        </w:rPr>
      </w:pPr>
      <w:r>
        <w:rPr>
          <w:spacing w:val="-3"/>
          <w:sz w:val="21"/>
        </w:rPr>
        <w:t>检查报警信息的历史记录查询功能。</w:t>
      </w:r>
      <w:r>
        <w:rPr>
          <w:sz w:val="21"/>
        </w:rPr>
        <w:t> </w:t>
      </w:r>
    </w:p>
    <w:p>
      <w:pPr>
        <w:pStyle w:val="BodyText"/>
        <w:spacing w:before="9"/>
        <w:rPr>
          <w:sz w:val="17"/>
        </w:rPr>
      </w:pPr>
    </w:p>
    <w:p>
      <w:pPr>
        <w:pStyle w:val="ListParagraph"/>
        <w:numPr>
          <w:ilvl w:val="0"/>
          <w:numId w:val="410"/>
        </w:numPr>
        <w:tabs>
          <w:tab w:pos="1367" w:val="left" w:leader="none"/>
        </w:tabs>
        <w:spacing w:line="240" w:lineRule="auto" w:before="0" w:after="0"/>
        <w:ind w:left="1367" w:right="0" w:hanging="529"/>
        <w:jc w:val="left"/>
        <w:rPr>
          <w:sz w:val="21"/>
        </w:rPr>
      </w:pPr>
      <w:r>
        <w:rPr>
          <w:spacing w:val="-3"/>
          <w:sz w:val="21"/>
        </w:rPr>
        <w:t>检查报警受理系统与联网用户进行语音、数据或图像通信功能。</w:t>
      </w:r>
      <w:r>
        <w:rPr>
          <w:sz w:val="21"/>
        </w:rPr>
        <w:t> </w:t>
      </w:r>
    </w:p>
    <w:p>
      <w:pPr>
        <w:pStyle w:val="BodyText"/>
        <w:spacing w:before="2"/>
        <w:rPr>
          <w:sz w:val="18"/>
        </w:rPr>
      </w:pPr>
    </w:p>
    <w:p>
      <w:pPr>
        <w:pStyle w:val="ListParagraph"/>
        <w:numPr>
          <w:ilvl w:val="0"/>
          <w:numId w:val="410"/>
        </w:numPr>
        <w:tabs>
          <w:tab w:pos="1367" w:val="left" w:leader="none"/>
        </w:tabs>
        <w:spacing w:line="240" w:lineRule="auto" w:before="0" w:after="0"/>
        <w:ind w:left="1367" w:right="0" w:hanging="529"/>
        <w:jc w:val="left"/>
        <w:rPr>
          <w:sz w:val="21"/>
        </w:rPr>
      </w:pPr>
      <w:r>
        <w:rPr>
          <w:spacing w:val="-3"/>
          <w:sz w:val="21"/>
        </w:rPr>
        <w:t>检查报警受理系统报警受理的语音和相应时间记录功能。</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410"/>
        </w:numPr>
        <w:tabs>
          <w:tab w:pos="1367" w:val="left" w:leader="none"/>
        </w:tabs>
        <w:spacing w:line="240" w:lineRule="auto" w:before="47" w:after="0"/>
        <w:ind w:left="1367" w:right="0" w:hanging="529"/>
        <w:jc w:val="left"/>
        <w:rPr>
          <w:sz w:val="21"/>
        </w:rPr>
      </w:pPr>
      <w:r>
        <w:rPr>
          <w:spacing w:val="-3"/>
          <w:sz w:val="21"/>
        </w:rPr>
        <w:t>模拟报警受理系统故障，检查声、光提示功能。 </w:t>
      </w:r>
    </w:p>
    <w:p>
      <w:pPr>
        <w:pStyle w:val="BodyText"/>
        <w:rPr>
          <w:sz w:val="18"/>
        </w:rPr>
      </w:pPr>
    </w:p>
    <w:p>
      <w:pPr>
        <w:pStyle w:val="ListParagraph"/>
        <w:numPr>
          <w:ilvl w:val="0"/>
          <w:numId w:val="410"/>
        </w:numPr>
        <w:tabs>
          <w:tab w:pos="1367" w:val="left" w:leader="none"/>
        </w:tabs>
        <w:spacing w:line="240" w:lineRule="auto" w:before="0" w:after="0"/>
        <w:ind w:left="1367" w:right="0" w:hanging="529"/>
        <w:jc w:val="left"/>
        <w:rPr>
          <w:sz w:val="21"/>
        </w:rPr>
      </w:pPr>
      <w:r>
        <w:rPr>
          <w:spacing w:val="-3"/>
          <w:sz w:val="21"/>
        </w:rPr>
        <w:t>检查报警受理系统启、停时间记录和查询功能。 </w:t>
      </w:r>
    </w:p>
    <w:p>
      <w:pPr>
        <w:pStyle w:val="BodyText"/>
        <w:rPr>
          <w:sz w:val="18"/>
        </w:rPr>
      </w:pPr>
    </w:p>
    <w:p>
      <w:pPr>
        <w:pStyle w:val="ListParagraph"/>
        <w:numPr>
          <w:ilvl w:val="0"/>
          <w:numId w:val="410"/>
        </w:numPr>
        <w:tabs>
          <w:tab w:pos="1367" w:val="left" w:leader="none"/>
        </w:tabs>
        <w:spacing w:line="446" w:lineRule="auto" w:before="0" w:after="0"/>
        <w:ind w:left="418" w:right="1505" w:firstLine="419"/>
        <w:jc w:val="left"/>
        <w:rPr>
          <w:sz w:val="21"/>
        </w:rPr>
      </w:pPr>
      <w:r>
        <w:rPr>
          <w:spacing w:val="-3"/>
          <w:sz w:val="21"/>
        </w:rPr>
        <w:t>检查消防地理信息系统是否具有显示城市行政区域、道路、建筑、水源、联网用户、消防站及责任区等地理信息及其属性信息，并对信息提供编辑、修改、放大、缩小、移动、导航、全屏显示、图层管理等功能。</w:t>
      </w:r>
      <w:r>
        <w:rPr>
          <w:sz w:val="21"/>
        </w:rPr>
        <w:t> </w:t>
      </w:r>
    </w:p>
    <w:p>
      <w:pPr>
        <w:pStyle w:val="ListParagraph"/>
        <w:numPr>
          <w:ilvl w:val="2"/>
          <w:numId w:val="411"/>
        </w:numPr>
        <w:tabs>
          <w:tab w:pos="1370" w:val="left" w:leader="none"/>
        </w:tabs>
        <w:spacing w:line="268" w:lineRule="exact" w:before="0" w:after="0"/>
        <w:ind w:left="1369" w:right="0" w:hanging="530"/>
        <w:jc w:val="left"/>
        <w:rPr>
          <w:sz w:val="21"/>
        </w:rPr>
      </w:pPr>
      <w:r>
        <w:rPr>
          <w:spacing w:val="-3"/>
          <w:sz w:val="21"/>
        </w:rPr>
        <w:t>信息查询系统的调试应符合下列要求：</w:t>
      </w:r>
      <w:r>
        <w:rPr>
          <w:sz w:val="21"/>
        </w:rPr>
        <w:t> </w:t>
      </w:r>
    </w:p>
    <w:p>
      <w:pPr>
        <w:pStyle w:val="BodyText"/>
        <w:spacing w:before="1"/>
        <w:rPr>
          <w:sz w:val="18"/>
        </w:rPr>
      </w:pPr>
    </w:p>
    <w:p>
      <w:pPr>
        <w:pStyle w:val="ListParagraph"/>
        <w:numPr>
          <w:ilvl w:val="0"/>
          <w:numId w:val="412"/>
        </w:numPr>
        <w:tabs>
          <w:tab w:pos="1367" w:val="left" w:leader="none"/>
        </w:tabs>
        <w:spacing w:line="240" w:lineRule="auto" w:before="1" w:after="0"/>
        <w:ind w:left="1367" w:right="0" w:hanging="529"/>
        <w:jc w:val="left"/>
        <w:rPr>
          <w:sz w:val="21"/>
        </w:rPr>
      </w:pPr>
      <w:r>
        <w:rPr>
          <w:spacing w:val="-3"/>
          <w:sz w:val="21"/>
        </w:rPr>
        <w:t>选择联网用户，查询该用户的火灾报警信息。</w:t>
      </w:r>
      <w:r>
        <w:rPr>
          <w:sz w:val="21"/>
        </w:rPr>
        <w:t> </w:t>
      </w:r>
    </w:p>
    <w:p>
      <w:pPr>
        <w:pStyle w:val="BodyText"/>
        <w:rPr>
          <w:sz w:val="18"/>
        </w:rPr>
      </w:pPr>
    </w:p>
    <w:p>
      <w:pPr>
        <w:pStyle w:val="ListParagraph"/>
        <w:numPr>
          <w:ilvl w:val="0"/>
          <w:numId w:val="412"/>
        </w:numPr>
        <w:tabs>
          <w:tab w:pos="1367" w:val="left" w:leader="none"/>
        </w:tabs>
        <w:spacing w:line="240" w:lineRule="auto" w:before="0" w:after="0"/>
        <w:ind w:left="1367" w:right="0" w:hanging="529"/>
        <w:jc w:val="left"/>
        <w:rPr>
          <w:sz w:val="21"/>
        </w:rPr>
      </w:pPr>
      <w:r>
        <w:rPr>
          <w:spacing w:val="-3"/>
          <w:sz w:val="21"/>
        </w:rPr>
        <w:t>选择联网用户，查询该用户的建筑消防设施运行状态信息。</w:t>
      </w:r>
      <w:r>
        <w:rPr>
          <w:sz w:val="21"/>
        </w:rPr>
        <w:t> </w:t>
      </w:r>
    </w:p>
    <w:p>
      <w:pPr>
        <w:pStyle w:val="BodyText"/>
        <w:spacing w:before="12"/>
        <w:rPr>
          <w:sz w:val="17"/>
        </w:rPr>
      </w:pPr>
    </w:p>
    <w:p>
      <w:pPr>
        <w:pStyle w:val="ListParagraph"/>
        <w:numPr>
          <w:ilvl w:val="0"/>
          <w:numId w:val="412"/>
        </w:numPr>
        <w:tabs>
          <w:tab w:pos="1367" w:val="left" w:leader="none"/>
        </w:tabs>
        <w:spacing w:line="240" w:lineRule="auto" w:before="0" w:after="0"/>
        <w:ind w:left="1367" w:right="0" w:hanging="529"/>
        <w:jc w:val="left"/>
        <w:rPr>
          <w:sz w:val="21"/>
        </w:rPr>
      </w:pPr>
      <w:r>
        <w:rPr>
          <w:spacing w:val="-3"/>
          <w:sz w:val="21"/>
        </w:rPr>
        <w:t>选择联网用户，查询该用户的消防安全管理信息。</w:t>
      </w:r>
      <w:r>
        <w:rPr>
          <w:sz w:val="21"/>
        </w:rPr>
        <w:t> </w:t>
      </w:r>
    </w:p>
    <w:p>
      <w:pPr>
        <w:pStyle w:val="BodyText"/>
        <w:spacing w:before="2"/>
        <w:rPr>
          <w:sz w:val="18"/>
        </w:rPr>
      </w:pPr>
    </w:p>
    <w:p>
      <w:pPr>
        <w:pStyle w:val="ListParagraph"/>
        <w:numPr>
          <w:ilvl w:val="0"/>
          <w:numId w:val="412"/>
        </w:numPr>
        <w:tabs>
          <w:tab w:pos="1367" w:val="left" w:leader="none"/>
        </w:tabs>
        <w:spacing w:line="240" w:lineRule="auto" w:before="0" w:after="0"/>
        <w:ind w:left="1367" w:right="0" w:hanging="529"/>
        <w:jc w:val="left"/>
        <w:rPr>
          <w:sz w:val="21"/>
        </w:rPr>
      </w:pPr>
      <w:r>
        <w:rPr>
          <w:spacing w:val="-3"/>
          <w:sz w:val="21"/>
        </w:rPr>
        <w:t>选择联网用户，查询该用户的日常值班、在岗等信息。</w:t>
      </w:r>
      <w:r>
        <w:rPr>
          <w:sz w:val="21"/>
        </w:rPr>
        <w:t> </w:t>
      </w:r>
    </w:p>
    <w:p>
      <w:pPr>
        <w:pStyle w:val="BodyText"/>
        <w:spacing w:before="12"/>
        <w:rPr>
          <w:sz w:val="17"/>
        </w:rPr>
      </w:pPr>
    </w:p>
    <w:p>
      <w:pPr>
        <w:pStyle w:val="ListParagraph"/>
        <w:numPr>
          <w:ilvl w:val="0"/>
          <w:numId w:val="412"/>
        </w:numPr>
        <w:tabs>
          <w:tab w:pos="1367" w:val="left" w:leader="none"/>
        </w:tabs>
        <w:spacing w:line="386" w:lineRule="auto" w:before="0" w:after="0"/>
        <w:ind w:left="418" w:right="1505" w:firstLine="419"/>
        <w:jc w:val="left"/>
        <w:rPr>
          <w:sz w:val="21"/>
        </w:rPr>
      </w:pPr>
      <w:r>
        <w:rPr>
          <w:spacing w:val="-3"/>
          <w:sz w:val="21"/>
        </w:rPr>
        <w:t>按照日期、单位名称、单位类型、建筑物类型、建筑消防设施类型、信息类型等检索</w:t>
      </w:r>
      <w:r>
        <w:rPr>
          <w:spacing w:val="-8"/>
          <w:sz w:val="21"/>
        </w:rPr>
        <w:t>项查询、统计本条第 </w:t>
      </w:r>
      <w:r>
        <w:rPr>
          <w:sz w:val="21"/>
        </w:rPr>
        <w:t>1</w:t>
      </w:r>
      <w:r>
        <w:rPr>
          <w:rFonts w:ascii="微软雅黑" w:eastAsia="微软雅黑" w:hint="eastAsia"/>
          <w:sz w:val="21"/>
        </w:rPr>
        <w:t>〜</w:t>
      </w:r>
      <w:r>
        <w:rPr>
          <w:sz w:val="21"/>
        </w:rPr>
        <w:t>4</w:t>
      </w:r>
      <w:r>
        <w:rPr>
          <w:spacing w:val="-11"/>
          <w:sz w:val="21"/>
        </w:rPr>
        <w:t> 款的信息。</w:t>
      </w:r>
      <w:r>
        <w:rPr>
          <w:sz w:val="21"/>
        </w:rPr>
        <w:t> </w:t>
      </w:r>
    </w:p>
    <w:p>
      <w:pPr>
        <w:pStyle w:val="ListParagraph"/>
        <w:numPr>
          <w:ilvl w:val="2"/>
          <w:numId w:val="411"/>
        </w:numPr>
        <w:tabs>
          <w:tab w:pos="1370" w:val="left" w:leader="none"/>
        </w:tabs>
        <w:spacing w:line="213" w:lineRule="exact" w:before="0" w:after="0"/>
        <w:ind w:left="1369" w:right="0" w:hanging="530"/>
        <w:jc w:val="left"/>
        <w:rPr>
          <w:sz w:val="21"/>
        </w:rPr>
      </w:pPr>
      <w:r>
        <w:rPr>
          <w:spacing w:val="-3"/>
          <w:sz w:val="21"/>
        </w:rPr>
        <w:t>用户管理服务系统的调试应符合下列要求：</w:t>
      </w:r>
      <w:r>
        <w:rPr>
          <w:sz w:val="21"/>
        </w:rPr>
        <w:t> </w:t>
      </w:r>
    </w:p>
    <w:p>
      <w:pPr>
        <w:pStyle w:val="BodyText"/>
        <w:rPr>
          <w:sz w:val="18"/>
        </w:rPr>
      </w:pPr>
    </w:p>
    <w:p>
      <w:pPr>
        <w:pStyle w:val="ListParagraph"/>
        <w:numPr>
          <w:ilvl w:val="0"/>
          <w:numId w:val="413"/>
        </w:numPr>
        <w:tabs>
          <w:tab w:pos="1367" w:val="left" w:leader="none"/>
        </w:tabs>
        <w:spacing w:line="240" w:lineRule="auto" w:before="0" w:after="0"/>
        <w:ind w:left="1367" w:right="0" w:hanging="529"/>
        <w:jc w:val="left"/>
        <w:rPr>
          <w:sz w:val="21"/>
        </w:rPr>
      </w:pPr>
      <w:r>
        <w:rPr>
          <w:spacing w:val="-3"/>
          <w:sz w:val="21"/>
        </w:rPr>
        <w:t>选择联网用户，检查该用户登录系统使用权限的正确性。</w:t>
      </w:r>
      <w:r>
        <w:rPr>
          <w:sz w:val="21"/>
        </w:rPr>
        <w:t> </w:t>
      </w:r>
    </w:p>
    <w:p>
      <w:pPr>
        <w:pStyle w:val="BodyText"/>
        <w:rPr>
          <w:sz w:val="18"/>
        </w:rPr>
      </w:pPr>
    </w:p>
    <w:p>
      <w:pPr>
        <w:pStyle w:val="ListParagraph"/>
        <w:numPr>
          <w:ilvl w:val="0"/>
          <w:numId w:val="413"/>
        </w:numPr>
        <w:tabs>
          <w:tab w:pos="1367" w:val="left" w:leader="none"/>
        </w:tabs>
        <w:spacing w:line="446" w:lineRule="auto" w:before="0" w:after="0"/>
        <w:ind w:left="418" w:right="1505" w:firstLine="419"/>
        <w:jc w:val="left"/>
        <w:rPr>
          <w:sz w:val="21"/>
        </w:rPr>
      </w:pPr>
      <w:r>
        <w:rPr>
          <w:spacing w:val="-3"/>
          <w:sz w:val="21"/>
        </w:rPr>
        <w:t>模拟一起火灾报警，查询该用户火灾报警、建筑消防设施运行状态等信息是否与报警受理系统的报警信息相同。 </w:t>
      </w:r>
    </w:p>
    <w:p>
      <w:pPr>
        <w:pStyle w:val="ListParagraph"/>
        <w:numPr>
          <w:ilvl w:val="0"/>
          <w:numId w:val="413"/>
        </w:numPr>
        <w:tabs>
          <w:tab w:pos="1367" w:val="left" w:leader="none"/>
        </w:tabs>
        <w:spacing w:line="446" w:lineRule="auto" w:before="0" w:after="0"/>
        <w:ind w:left="418" w:right="1505" w:firstLine="419"/>
        <w:jc w:val="left"/>
        <w:rPr>
          <w:sz w:val="21"/>
        </w:rPr>
      </w:pPr>
      <w:r>
        <w:rPr>
          <w:spacing w:val="-3"/>
          <w:sz w:val="21"/>
        </w:rPr>
        <w:t>检查建筑消防设施日常管理功能，检查对消防设施的日常维护保养情况执行录入、修改、删除、查看等操作是否正常。</w:t>
      </w:r>
      <w:r>
        <w:rPr>
          <w:sz w:val="21"/>
        </w:rPr>
        <w:t> </w:t>
      </w:r>
    </w:p>
    <w:p>
      <w:pPr>
        <w:pStyle w:val="ListParagraph"/>
        <w:numPr>
          <w:ilvl w:val="0"/>
          <w:numId w:val="413"/>
        </w:numPr>
        <w:tabs>
          <w:tab w:pos="1367" w:val="left" w:leader="none"/>
        </w:tabs>
        <w:spacing w:line="240" w:lineRule="auto" w:before="0" w:after="0"/>
        <w:ind w:left="1367" w:right="0" w:hanging="529"/>
        <w:jc w:val="left"/>
        <w:rPr>
          <w:sz w:val="21"/>
        </w:rPr>
      </w:pPr>
      <w:r>
        <w:rPr>
          <w:spacing w:val="-3"/>
          <w:sz w:val="21"/>
        </w:rPr>
        <w:t>检查联网用户的消防安全重点单位信息系统数据录入、编辑功能。</w:t>
      </w:r>
      <w:r>
        <w:rPr>
          <w:sz w:val="21"/>
        </w:rPr>
        <w:t> </w:t>
      </w:r>
    </w:p>
    <w:p>
      <w:pPr>
        <w:pStyle w:val="BodyText"/>
        <w:spacing w:before="12"/>
        <w:rPr>
          <w:sz w:val="17"/>
        </w:rPr>
      </w:pPr>
    </w:p>
    <w:p>
      <w:pPr>
        <w:pStyle w:val="ListParagraph"/>
        <w:numPr>
          <w:ilvl w:val="0"/>
          <w:numId w:val="413"/>
        </w:numPr>
        <w:tabs>
          <w:tab w:pos="1367" w:val="left" w:leader="none"/>
        </w:tabs>
        <w:spacing w:line="446" w:lineRule="auto" w:before="0" w:after="0"/>
        <w:ind w:left="840" w:right="1611" w:hanging="3"/>
        <w:jc w:val="left"/>
        <w:rPr>
          <w:sz w:val="21"/>
        </w:rPr>
      </w:pPr>
      <w:r>
        <w:rPr>
          <w:spacing w:val="-3"/>
          <w:sz w:val="21"/>
        </w:rPr>
        <w:t>检查随机查岗功能，检查联网用户值班人员是否在岗，并检查是否收到在岗应答。</w:t>
      </w:r>
      <w:r>
        <w:rPr>
          <w:b/>
          <w:sz w:val="21"/>
        </w:rPr>
        <w:t>6.3.7 </w:t>
      </w:r>
      <w:r>
        <w:rPr>
          <w:spacing w:val="-3"/>
          <w:sz w:val="21"/>
        </w:rPr>
        <w:t>火警信息终端的调试应符合下列要求：</w:t>
      </w:r>
      <w:r>
        <w:rPr>
          <w:sz w:val="21"/>
        </w:rPr>
        <w:t> </w:t>
      </w:r>
    </w:p>
    <w:p>
      <w:pPr>
        <w:pStyle w:val="ListParagraph"/>
        <w:numPr>
          <w:ilvl w:val="0"/>
          <w:numId w:val="414"/>
        </w:numPr>
        <w:tabs>
          <w:tab w:pos="1367" w:val="left" w:leader="none"/>
        </w:tabs>
        <w:spacing w:line="446" w:lineRule="auto" w:before="0" w:after="0"/>
        <w:ind w:left="418" w:right="1505" w:firstLine="419"/>
        <w:jc w:val="left"/>
        <w:rPr>
          <w:sz w:val="21"/>
        </w:rPr>
      </w:pPr>
      <w:r>
        <w:rPr>
          <w:spacing w:val="-3"/>
          <w:sz w:val="21"/>
        </w:rPr>
        <w:t>模拟一起火灾报警，由报警受理系统向火警信息终端发送联网用户火灾报警信息，检查火警信息终端的声、光提示情况。</w:t>
      </w:r>
      <w:r>
        <w:rPr>
          <w:sz w:val="21"/>
        </w:rPr>
        <w:t> </w:t>
      </w:r>
    </w:p>
    <w:p>
      <w:pPr>
        <w:pStyle w:val="ListParagraph"/>
        <w:numPr>
          <w:ilvl w:val="0"/>
          <w:numId w:val="414"/>
        </w:numPr>
        <w:tabs>
          <w:tab w:pos="1367" w:val="left" w:leader="none"/>
        </w:tabs>
        <w:spacing w:line="267" w:lineRule="exact" w:before="0" w:after="0"/>
        <w:ind w:left="1367" w:right="0" w:hanging="529"/>
        <w:jc w:val="left"/>
        <w:rPr>
          <w:sz w:val="21"/>
        </w:rPr>
      </w:pPr>
      <w:r>
        <w:rPr>
          <w:spacing w:val="-3"/>
          <w:sz w:val="21"/>
        </w:rPr>
        <w:t>检查火警信息终端显示的火灾报警信息完整性。 </w:t>
      </w:r>
    </w:p>
    <w:p>
      <w:pPr>
        <w:pStyle w:val="BodyText"/>
        <w:spacing w:before="2"/>
        <w:rPr>
          <w:sz w:val="18"/>
        </w:rPr>
      </w:pPr>
    </w:p>
    <w:p>
      <w:pPr>
        <w:pStyle w:val="ListParagraph"/>
        <w:numPr>
          <w:ilvl w:val="0"/>
          <w:numId w:val="414"/>
        </w:numPr>
        <w:tabs>
          <w:tab w:pos="1367" w:val="left" w:leader="none"/>
        </w:tabs>
        <w:spacing w:line="240" w:lineRule="auto" w:before="0" w:after="0"/>
        <w:ind w:left="1367" w:right="0" w:hanging="529"/>
        <w:jc w:val="left"/>
        <w:rPr>
          <w:sz w:val="21"/>
        </w:rPr>
      </w:pPr>
      <w:r>
        <w:rPr>
          <w:spacing w:val="-3"/>
          <w:sz w:val="21"/>
        </w:rPr>
        <w:t>进行自检操作，检查自检情况。</w:t>
      </w:r>
      <w:r>
        <w:rPr>
          <w:sz w:val="21"/>
        </w:rPr>
        <w:t> </w:t>
      </w:r>
    </w:p>
    <w:p>
      <w:pPr>
        <w:pStyle w:val="BodyText"/>
        <w:rPr>
          <w:sz w:val="18"/>
        </w:rPr>
      </w:pPr>
    </w:p>
    <w:p>
      <w:pPr>
        <w:pStyle w:val="ListParagraph"/>
        <w:numPr>
          <w:ilvl w:val="0"/>
          <w:numId w:val="414"/>
        </w:numPr>
        <w:tabs>
          <w:tab w:pos="1367" w:val="left" w:leader="none"/>
        </w:tabs>
        <w:spacing w:line="240" w:lineRule="auto" w:before="0" w:after="0"/>
        <w:ind w:left="1367" w:right="0" w:hanging="529"/>
        <w:jc w:val="left"/>
        <w:rPr>
          <w:sz w:val="21"/>
        </w:rPr>
      </w:pPr>
      <w:r>
        <w:rPr>
          <w:spacing w:val="-3"/>
          <w:sz w:val="21"/>
        </w:rPr>
        <w:t>模拟火警信息终端故障，检查声、光报警情况。 </w:t>
      </w:r>
    </w:p>
    <w:p>
      <w:pPr>
        <w:pStyle w:val="BodyText"/>
        <w:spacing w:before="12"/>
        <w:rPr>
          <w:sz w:val="17"/>
        </w:rPr>
      </w:pPr>
    </w:p>
    <w:p>
      <w:pPr>
        <w:pStyle w:val="ListParagraph"/>
        <w:numPr>
          <w:ilvl w:val="2"/>
          <w:numId w:val="415"/>
        </w:numPr>
        <w:tabs>
          <w:tab w:pos="1371" w:val="left" w:leader="none"/>
        </w:tabs>
        <w:spacing w:line="240" w:lineRule="auto" w:before="0" w:after="0"/>
        <w:ind w:left="1370" w:right="0" w:hanging="531"/>
        <w:jc w:val="left"/>
        <w:rPr>
          <w:sz w:val="21"/>
        </w:rPr>
      </w:pPr>
      <w:r>
        <w:rPr>
          <w:spacing w:val="-5"/>
          <w:sz w:val="21"/>
        </w:rPr>
        <w:t>远程监控系统在各项功能调试后应进行试运行，试运行时间不应少于 </w:t>
      </w:r>
      <w:r>
        <w:rPr>
          <w:sz w:val="21"/>
        </w:rPr>
        <w:t>1</w:t>
      </w:r>
      <w:r>
        <w:rPr>
          <w:spacing w:val="-15"/>
          <w:sz w:val="21"/>
        </w:rPr>
        <w:t> 个月。</w:t>
      </w:r>
      <w:r>
        <w:rPr>
          <w:sz w:val="21"/>
        </w:rPr>
        <w:t> </w:t>
      </w:r>
    </w:p>
    <w:p>
      <w:pPr>
        <w:pStyle w:val="BodyText"/>
        <w:spacing w:before="2"/>
        <w:rPr>
          <w:sz w:val="18"/>
        </w:rPr>
      </w:pPr>
    </w:p>
    <w:p>
      <w:pPr>
        <w:pStyle w:val="ListParagraph"/>
        <w:numPr>
          <w:ilvl w:val="2"/>
          <w:numId w:val="415"/>
        </w:numPr>
        <w:tabs>
          <w:tab w:pos="1371" w:val="left" w:leader="none"/>
        </w:tabs>
        <w:spacing w:line="240" w:lineRule="auto" w:before="0" w:after="0"/>
        <w:ind w:left="1370" w:right="0" w:hanging="531"/>
        <w:jc w:val="left"/>
        <w:rPr>
          <w:sz w:val="21"/>
        </w:rPr>
      </w:pPr>
      <w:r>
        <w:rPr>
          <w:spacing w:val="-3"/>
          <w:sz w:val="21"/>
        </w:rPr>
        <w:t>远程监控系统的设计文件和调试记录等文件应形成技术文档，存储备查。 </w:t>
      </w:r>
    </w:p>
    <w:p>
      <w:pPr>
        <w:spacing w:after="0" w:line="240" w:lineRule="auto"/>
        <w:jc w:val="left"/>
        <w:rPr>
          <w:sz w:val="21"/>
        </w:rPr>
        <w:sectPr>
          <w:footerReference w:type="default" r:id="rId250"/>
          <w:pgSz w:w="11910" w:h="16850"/>
          <w:pgMar w:footer="1239" w:header="0" w:top="1220" w:bottom="1420" w:left="1260" w:right="0"/>
          <w:pgNumType w:start="1140"/>
        </w:sectPr>
      </w:pPr>
    </w:p>
    <w:p>
      <w:pPr>
        <w:pStyle w:val="Heading4"/>
        <w:spacing w:before="137"/>
      </w:pPr>
      <w:r>
        <w:rPr/>
        <w:t>7 系统验收</w:t>
      </w:r>
      <w:r>
        <w:rPr>
          <w:w w:val="99"/>
        </w:rPr>
        <w:t> </w:t>
      </w:r>
    </w:p>
    <w:p>
      <w:pPr>
        <w:pStyle w:val="BodyText"/>
        <w:spacing w:before="4"/>
        <w:rPr>
          <w:b/>
          <w:sz w:val="17"/>
        </w:rPr>
      </w:pPr>
    </w:p>
    <w:p>
      <w:pPr>
        <w:pStyle w:val="ListParagraph"/>
        <w:numPr>
          <w:ilvl w:val="1"/>
          <w:numId w:val="416"/>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2"/>
        <w:rPr>
          <w:b/>
          <w:sz w:val="18"/>
        </w:rPr>
      </w:pPr>
    </w:p>
    <w:p>
      <w:pPr>
        <w:pStyle w:val="ListParagraph"/>
        <w:numPr>
          <w:ilvl w:val="2"/>
          <w:numId w:val="416"/>
        </w:numPr>
        <w:tabs>
          <w:tab w:pos="1371" w:val="left" w:leader="none"/>
        </w:tabs>
        <w:spacing w:line="446" w:lineRule="auto" w:before="0" w:after="0"/>
        <w:ind w:left="418" w:right="1604" w:firstLine="422"/>
        <w:jc w:val="left"/>
        <w:rPr>
          <w:sz w:val="21"/>
        </w:rPr>
      </w:pPr>
      <w:r>
        <w:rPr>
          <w:spacing w:val="-3"/>
          <w:sz w:val="21"/>
        </w:rPr>
        <w:t>远程监控系统竣工后必须进行工程验收。工程验收前接入的测试联网用户数量不应</w:t>
      </w:r>
      <w:r>
        <w:rPr>
          <w:spacing w:val="-20"/>
          <w:sz w:val="21"/>
        </w:rPr>
        <w:t>少于 </w:t>
      </w:r>
      <w:r>
        <w:rPr>
          <w:sz w:val="21"/>
        </w:rPr>
        <w:t>5</w:t>
      </w:r>
      <w:r>
        <w:rPr>
          <w:spacing w:val="-9"/>
          <w:sz w:val="21"/>
        </w:rPr>
        <w:t> 个，验收不合格不得投入使用。</w:t>
      </w:r>
      <w:r>
        <w:rPr>
          <w:sz w:val="21"/>
        </w:rPr>
        <w:t> </w:t>
      </w:r>
    </w:p>
    <w:p>
      <w:pPr>
        <w:pStyle w:val="ListParagraph"/>
        <w:numPr>
          <w:ilvl w:val="2"/>
          <w:numId w:val="416"/>
        </w:numPr>
        <w:tabs>
          <w:tab w:pos="1371" w:val="left" w:leader="none"/>
        </w:tabs>
        <w:spacing w:line="267" w:lineRule="exact" w:before="0" w:after="0"/>
        <w:ind w:left="1370" w:right="0" w:hanging="531"/>
        <w:jc w:val="left"/>
        <w:rPr>
          <w:sz w:val="21"/>
        </w:rPr>
      </w:pPr>
      <w:r>
        <w:rPr>
          <w:spacing w:val="-3"/>
          <w:sz w:val="21"/>
        </w:rPr>
        <w:t>远程监控系统应由建设单位组织设计、施工、监理等单位进行验收。 </w:t>
      </w:r>
    </w:p>
    <w:p>
      <w:pPr>
        <w:pStyle w:val="BodyText"/>
        <w:spacing w:before="1"/>
        <w:rPr>
          <w:sz w:val="18"/>
        </w:rPr>
      </w:pPr>
    </w:p>
    <w:p>
      <w:pPr>
        <w:pStyle w:val="ListParagraph"/>
        <w:numPr>
          <w:ilvl w:val="2"/>
          <w:numId w:val="416"/>
        </w:numPr>
        <w:tabs>
          <w:tab w:pos="1370" w:val="left" w:leader="none"/>
        </w:tabs>
        <w:spacing w:line="240" w:lineRule="auto" w:before="1" w:after="0"/>
        <w:ind w:left="1369" w:right="0" w:hanging="530"/>
        <w:jc w:val="left"/>
        <w:rPr>
          <w:sz w:val="21"/>
        </w:rPr>
      </w:pPr>
      <w:r>
        <w:rPr>
          <w:spacing w:val="-3"/>
          <w:sz w:val="21"/>
        </w:rPr>
        <w:t>远程监控系统验收应包括主要设备的验收和系统集成验收，并应符合下列要求：</w:t>
      </w:r>
      <w:r>
        <w:rPr>
          <w:sz w:val="21"/>
        </w:rPr>
        <w:t> </w:t>
      </w:r>
    </w:p>
    <w:p>
      <w:pPr>
        <w:pStyle w:val="BodyText"/>
        <w:rPr>
          <w:sz w:val="18"/>
        </w:rPr>
      </w:pPr>
    </w:p>
    <w:p>
      <w:pPr>
        <w:pStyle w:val="ListParagraph"/>
        <w:numPr>
          <w:ilvl w:val="0"/>
          <w:numId w:val="417"/>
        </w:numPr>
        <w:tabs>
          <w:tab w:pos="1367" w:val="left" w:leader="none"/>
        </w:tabs>
        <w:spacing w:line="240" w:lineRule="auto" w:before="0" w:after="0"/>
        <w:ind w:left="1367" w:right="0" w:hanging="529"/>
        <w:jc w:val="left"/>
        <w:rPr>
          <w:sz w:val="21"/>
        </w:rPr>
      </w:pPr>
      <w:r>
        <w:rPr>
          <w:spacing w:val="-5"/>
          <w:sz w:val="21"/>
        </w:rPr>
        <w:t>远程监控系统中各设备功能均应检查、试验 </w:t>
      </w:r>
      <w:r>
        <w:rPr>
          <w:sz w:val="21"/>
        </w:rPr>
        <w:t>1</w:t>
      </w:r>
      <w:r>
        <w:rPr>
          <w:spacing w:val="-7"/>
          <w:sz w:val="21"/>
        </w:rPr>
        <w:t> 次，并应满足要求。</w:t>
      </w:r>
      <w:r>
        <w:rPr>
          <w:sz w:val="21"/>
        </w:rPr>
        <w:t> </w:t>
      </w:r>
    </w:p>
    <w:p>
      <w:pPr>
        <w:pStyle w:val="BodyText"/>
        <w:spacing w:before="12"/>
        <w:rPr>
          <w:sz w:val="17"/>
        </w:rPr>
      </w:pPr>
    </w:p>
    <w:p>
      <w:pPr>
        <w:pStyle w:val="ListParagraph"/>
        <w:numPr>
          <w:ilvl w:val="0"/>
          <w:numId w:val="417"/>
        </w:numPr>
        <w:tabs>
          <w:tab w:pos="1367" w:val="left" w:leader="none"/>
        </w:tabs>
        <w:spacing w:line="240" w:lineRule="auto" w:before="0" w:after="0"/>
        <w:ind w:left="1367" w:right="0" w:hanging="529"/>
        <w:jc w:val="left"/>
        <w:rPr>
          <w:sz w:val="21"/>
        </w:rPr>
      </w:pPr>
      <w:r>
        <w:rPr>
          <w:spacing w:val="-5"/>
          <w:sz w:val="21"/>
        </w:rPr>
        <w:t>远程监控系统中各软件功能均应检查、试验 </w:t>
      </w:r>
      <w:r>
        <w:rPr>
          <w:sz w:val="21"/>
        </w:rPr>
        <w:t>1</w:t>
      </w:r>
      <w:r>
        <w:rPr>
          <w:spacing w:val="-7"/>
          <w:sz w:val="21"/>
        </w:rPr>
        <w:t> 次，并应满足要求。</w:t>
      </w:r>
      <w:r>
        <w:rPr>
          <w:sz w:val="21"/>
        </w:rPr>
        <w:t> </w:t>
      </w:r>
    </w:p>
    <w:p>
      <w:pPr>
        <w:pStyle w:val="BodyText"/>
        <w:spacing w:before="2"/>
        <w:rPr>
          <w:sz w:val="18"/>
        </w:rPr>
      </w:pPr>
    </w:p>
    <w:p>
      <w:pPr>
        <w:pStyle w:val="ListParagraph"/>
        <w:numPr>
          <w:ilvl w:val="0"/>
          <w:numId w:val="417"/>
        </w:numPr>
        <w:tabs>
          <w:tab w:pos="1367" w:val="left" w:leader="none"/>
        </w:tabs>
        <w:spacing w:line="240" w:lineRule="auto" w:before="0" w:after="0"/>
        <w:ind w:left="1367" w:right="0" w:hanging="529"/>
        <w:jc w:val="left"/>
        <w:rPr>
          <w:sz w:val="21"/>
        </w:rPr>
      </w:pPr>
      <w:r>
        <w:rPr>
          <w:spacing w:val="-6"/>
          <w:sz w:val="21"/>
        </w:rPr>
        <w:t>远程监控系统各项通信功能均应进行 </w:t>
      </w:r>
      <w:r>
        <w:rPr>
          <w:sz w:val="21"/>
        </w:rPr>
        <w:t>3</w:t>
      </w:r>
      <w:r>
        <w:rPr>
          <w:spacing w:val="-8"/>
          <w:sz w:val="21"/>
        </w:rPr>
        <w:t> 次通信试验，每次试验均应正常。 </w:t>
      </w:r>
    </w:p>
    <w:p>
      <w:pPr>
        <w:pStyle w:val="BodyText"/>
        <w:spacing w:before="12"/>
        <w:rPr>
          <w:sz w:val="17"/>
        </w:rPr>
      </w:pPr>
    </w:p>
    <w:p>
      <w:pPr>
        <w:pStyle w:val="ListParagraph"/>
        <w:numPr>
          <w:ilvl w:val="0"/>
          <w:numId w:val="417"/>
        </w:numPr>
        <w:tabs>
          <w:tab w:pos="1367" w:val="left" w:leader="none"/>
        </w:tabs>
        <w:spacing w:line="446" w:lineRule="auto" w:before="0" w:after="0"/>
        <w:ind w:left="840" w:right="3714" w:hanging="3"/>
        <w:jc w:val="left"/>
        <w:rPr>
          <w:sz w:val="21"/>
        </w:rPr>
      </w:pPr>
      <w:r>
        <w:rPr>
          <w:spacing w:val="-6"/>
          <w:sz w:val="21"/>
        </w:rPr>
        <w:t>远程监控系统集成功能应检查、试验 </w:t>
      </w:r>
      <w:r>
        <w:rPr>
          <w:sz w:val="21"/>
        </w:rPr>
        <w:t>2</w:t>
      </w:r>
      <w:r>
        <w:rPr>
          <w:spacing w:val="-8"/>
          <w:sz w:val="21"/>
        </w:rPr>
        <w:t> 次，并应满足要求。</w:t>
      </w:r>
      <w:r>
        <w:rPr>
          <w:b/>
          <w:sz w:val="21"/>
        </w:rPr>
        <w:t>7.1.4</w:t>
      </w:r>
      <w:r>
        <w:rPr>
          <w:b/>
          <w:spacing w:val="7"/>
          <w:sz w:val="21"/>
        </w:rPr>
        <w:t> </w:t>
      </w:r>
      <w:r>
        <w:rPr>
          <w:spacing w:val="-3"/>
          <w:sz w:val="21"/>
        </w:rPr>
        <w:t>远程监控系统验收时，施工单位应提供下列技术文件：</w:t>
      </w:r>
      <w:r>
        <w:rPr>
          <w:sz w:val="21"/>
        </w:rPr>
        <w:t> </w:t>
      </w:r>
    </w:p>
    <w:p>
      <w:pPr>
        <w:pStyle w:val="ListParagraph"/>
        <w:numPr>
          <w:ilvl w:val="0"/>
          <w:numId w:val="418"/>
        </w:numPr>
        <w:tabs>
          <w:tab w:pos="1367" w:val="left" w:leader="none"/>
        </w:tabs>
        <w:spacing w:line="240" w:lineRule="auto" w:before="0" w:after="0"/>
        <w:ind w:left="1367" w:right="0" w:hanging="529"/>
        <w:jc w:val="left"/>
        <w:rPr>
          <w:sz w:val="21"/>
        </w:rPr>
      </w:pPr>
      <w:r>
        <w:rPr>
          <w:spacing w:val="-3"/>
          <w:sz w:val="21"/>
        </w:rPr>
        <w:t>竣工验收申请报告；</w:t>
      </w:r>
      <w:r>
        <w:rPr>
          <w:sz w:val="21"/>
        </w:rPr>
        <w:t> </w:t>
      </w:r>
    </w:p>
    <w:p>
      <w:pPr>
        <w:pStyle w:val="BodyText"/>
        <w:rPr>
          <w:sz w:val="20"/>
        </w:rPr>
      </w:pPr>
    </w:p>
    <w:p>
      <w:pPr>
        <w:pStyle w:val="BodyText"/>
        <w:rPr>
          <w:sz w:val="20"/>
        </w:rPr>
      </w:pPr>
    </w:p>
    <w:p>
      <w:pPr>
        <w:pStyle w:val="BodyText"/>
        <w:spacing w:before="12"/>
        <w:rPr>
          <w:sz w:val="16"/>
        </w:rPr>
      </w:pPr>
    </w:p>
    <w:p>
      <w:pPr>
        <w:pStyle w:val="ListParagraph"/>
        <w:numPr>
          <w:ilvl w:val="0"/>
          <w:numId w:val="418"/>
        </w:numPr>
        <w:tabs>
          <w:tab w:pos="1367" w:val="left" w:leader="none"/>
        </w:tabs>
        <w:spacing w:line="446" w:lineRule="auto" w:before="0" w:after="0"/>
        <w:ind w:left="418" w:right="1505" w:firstLine="419"/>
        <w:jc w:val="left"/>
        <w:rPr>
          <w:sz w:val="21"/>
        </w:rPr>
      </w:pPr>
      <w:r>
        <w:rPr>
          <w:spacing w:val="-3"/>
          <w:sz w:val="21"/>
        </w:rPr>
        <w:t>系统设计文件、施工技术标准、工程合同、设计变更通知书、竣工图、隐蔽工程验收文件；</w:t>
      </w:r>
      <w:r>
        <w:rPr>
          <w:sz w:val="21"/>
        </w:rPr>
        <w:t> </w:t>
      </w:r>
    </w:p>
    <w:p>
      <w:pPr>
        <w:pStyle w:val="ListParagraph"/>
        <w:numPr>
          <w:ilvl w:val="0"/>
          <w:numId w:val="418"/>
        </w:numPr>
        <w:tabs>
          <w:tab w:pos="1367" w:val="left" w:leader="none"/>
        </w:tabs>
        <w:spacing w:line="240" w:lineRule="auto" w:before="0" w:after="0"/>
        <w:ind w:left="1367" w:right="0" w:hanging="529"/>
        <w:jc w:val="left"/>
        <w:rPr>
          <w:sz w:val="21"/>
        </w:rPr>
      </w:pPr>
      <w:r>
        <w:rPr>
          <w:spacing w:val="-3"/>
          <w:sz w:val="21"/>
        </w:rPr>
        <w:t>施工现场质量管理检查记录；</w:t>
      </w:r>
      <w:r>
        <w:rPr>
          <w:sz w:val="21"/>
        </w:rPr>
        <w:t> </w:t>
      </w:r>
    </w:p>
    <w:p>
      <w:pPr>
        <w:pStyle w:val="BodyText"/>
        <w:rPr>
          <w:sz w:val="18"/>
        </w:rPr>
      </w:pPr>
    </w:p>
    <w:p>
      <w:pPr>
        <w:pStyle w:val="ListParagraph"/>
        <w:numPr>
          <w:ilvl w:val="0"/>
          <w:numId w:val="418"/>
        </w:numPr>
        <w:tabs>
          <w:tab w:pos="1367" w:val="left" w:leader="none"/>
        </w:tabs>
        <w:spacing w:line="240" w:lineRule="auto" w:before="0" w:after="0"/>
        <w:ind w:left="1367" w:right="0" w:hanging="529"/>
        <w:jc w:val="left"/>
        <w:rPr>
          <w:sz w:val="21"/>
        </w:rPr>
      </w:pPr>
      <w:r>
        <w:rPr>
          <w:spacing w:val="-3"/>
          <w:sz w:val="21"/>
        </w:rPr>
        <w:t>系统施工过程质量检查记录；</w:t>
      </w:r>
      <w:r>
        <w:rPr>
          <w:sz w:val="21"/>
        </w:rPr>
        <w:t> </w:t>
      </w:r>
    </w:p>
    <w:p>
      <w:pPr>
        <w:pStyle w:val="BodyText"/>
        <w:spacing w:before="2"/>
        <w:rPr>
          <w:sz w:val="18"/>
        </w:rPr>
      </w:pPr>
    </w:p>
    <w:p>
      <w:pPr>
        <w:pStyle w:val="ListParagraph"/>
        <w:numPr>
          <w:ilvl w:val="0"/>
          <w:numId w:val="418"/>
        </w:numPr>
        <w:tabs>
          <w:tab w:pos="1367" w:val="left" w:leader="none"/>
        </w:tabs>
        <w:spacing w:line="240" w:lineRule="auto" w:before="0" w:after="0"/>
        <w:ind w:left="1367" w:right="0" w:hanging="529"/>
        <w:jc w:val="left"/>
        <w:rPr>
          <w:sz w:val="21"/>
        </w:rPr>
      </w:pPr>
      <w:r>
        <w:rPr>
          <w:spacing w:val="-3"/>
          <w:sz w:val="21"/>
        </w:rPr>
        <w:t>系统的检验报告、合格证及相关材料；</w:t>
      </w:r>
      <w:r>
        <w:rPr>
          <w:sz w:val="21"/>
        </w:rPr>
        <w:t> </w:t>
      </w:r>
    </w:p>
    <w:p>
      <w:pPr>
        <w:pStyle w:val="BodyText"/>
        <w:rPr>
          <w:sz w:val="18"/>
        </w:rPr>
      </w:pPr>
    </w:p>
    <w:p>
      <w:pPr>
        <w:pStyle w:val="ListParagraph"/>
        <w:numPr>
          <w:ilvl w:val="0"/>
          <w:numId w:val="418"/>
        </w:numPr>
        <w:tabs>
          <w:tab w:pos="1367" w:val="left" w:leader="none"/>
        </w:tabs>
        <w:spacing w:line="240" w:lineRule="auto" w:before="0" w:after="0"/>
        <w:ind w:left="1367" w:right="0" w:hanging="529"/>
        <w:jc w:val="left"/>
        <w:rPr>
          <w:sz w:val="21"/>
        </w:rPr>
      </w:pPr>
      <w:r>
        <w:rPr>
          <w:spacing w:val="-3"/>
          <w:sz w:val="21"/>
        </w:rPr>
        <w:t>系统设备清单。</w:t>
      </w:r>
      <w:r>
        <w:rPr>
          <w:sz w:val="21"/>
        </w:rPr>
        <w:t> </w:t>
      </w:r>
    </w:p>
    <w:p>
      <w:pPr>
        <w:pStyle w:val="BodyText"/>
        <w:spacing w:before="12"/>
        <w:rPr>
          <w:sz w:val="17"/>
        </w:rPr>
      </w:pPr>
    </w:p>
    <w:p>
      <w:pPr>
        <w:pStyle w:val="BodyText"/>
        <w:spacing w:line="446" w:lineRule="auto"/>
        <w:ind w:left="418" w:right="1604" w:firstLine="422"/>
      </w:pPr>
      <w:r>
        <w:rPr>
          <w:b/>
        </w:rPr>
        <w:t>7.1.5 </w:t>
      </w:r>
      <w:r>
        <w:rPr/>
        <w:t>系统验收应按附录D 填写“城市消防远程监控系统验收记录”，验收记录应由建设单位填写，验收结论由参加验收的各方共同商定并签章。 </w:t>
      </w:r>
    </w:p>
    <w:p>
      <w:pPr>
        <w:pStyle w:val="ListParagraph"/>
        <w:numPr>
          <w:ilvl w:val="1"/>
          <w:numId w:val="416"/>
        </w:numPr>
        <w:tabs>
          <w:tab w:pos="1159" w:val="left" w:leader="none"/>
        </w:tabs>
        <w:spacing w:line="240" w:lineRule="auto" w:before="0" w:after="0"/>
        <w:ind w:left="1158" w:right="0" w:hanging="319"/>
        <w:jc w:val="left"/>
        <w:rPr>
          <w:b/>
          <w:sz w:val="21"/>
        </w:rPr>
      </w:pPr>
      <w:r>
        <w:rPr>
          <w:spacing w:val="-3"/>
          <w:sz w:val="21"/>
        </w:rPr>
        <w:t>主要设备和系统集成验收</w:t>
      </w:r>
      <w:r>
        <w:rPr>
          <w:b/>
          <w:w w:val="99"/>
          <w:sz w:val="21"/>
        </w:rPr>
        <w:t> </w:t>
      </w:r>
    </w:p>
    <w:p>
      <w:pPr>
        <w:pStyle w:val="BodyText"/>
        <w:spacing w:before="12"/>
        <w:rPr>
          <w:b/>
          <w:sz w:val="17"/>
        </w:rPr>
      </w:pPr>
    </w:p>
    <w:p>
      <w:pPr>
        <w:pStyle w:val="ListParagraph"/>
        <w:numPr>
          <w:ilvl w:val="2"/>
          <w:numId w:val="416"/>
        </w:numPr>
        <w:tabs>
          <w:tab w:pos="1371" w:val="left" w:leader="none"/>
        </w:tabs>
        <w:spacing w:line="240" w:lineRule="auto" w:before="0" w:after="0"/>
        <w:ind w:left="1370" w:right="0" w:hanging="531"/>
        <w:jc w:val="left"/>
        <w:rPr>
          <w:b/>
          <w:sz w:val="21"/>
        </w:rPr>
      </w:pPr>
      <w:r>
        <w:rPr>
          <w:spacing w:val="-3"/>
          <w:sz w:val="21"/>
        </w:rPr>
        <w:t>应对远程监控系统中下列主要设备的功能进行验收：</w:t>
      </w:r>
      <w:r>
        <w:rPr>
          <w:b/>
          <w:w w:val="99"/>
          <w:sz w:val="21"/>
        </w:rPr>
        <w:t> </w:t>
      </w:r>
    </w:p>
    <w:p>
      <w:pPr>
        <w:pStyle w:val="BodyText"/>
        <w:spacing w:before="2"/>
        <w:rPr>
          <w:b/>
          <w:sz w:val="18"/>
        </w:rPr>
      </w:pPr>
    </w:p>
    <w:p>
      <w:pPr>
        <w:pStyle w:val="ListParagraph"/>
        <w:numPr>
          <w:ilvl w:val="0"/>
          <w:numId w:val="419"/>
        </w:numPr>
        <w:tabs>
          <w:tab w:pos="1367" w:val="left" w:leader="none"/>
        </w:tabs>
        <w:spacing w:line="240" w:lineRule="auto" w:before="0" w:after="0"/>
        <w:ind w:left="1367" w:right="0" w:hanging="529"/>
        <w:jc w:val="left"/>
        <w:rPr>
          <w:b/>
          <w:sz w:val="21"/>
        </w:rPr>
      </w:pPr>
      <w:r>
        <w:rPr>
          <w:spacing w:val="-7"/>
          <w:sz w:val="21"/>
        </w:rPr>
        <w:t>用户信息传输装置应符合本规范第 </w:t>
      </w:r>
      <w:r>
        <w:rPr>
          <w:sz w:val="21"/>
        </w:rPr>
        <w:t>5.2.1</w:t>
      </w:r>
      <w:r>
        <w:rPr>
          <w:spacing w:val="-11"/>
          <w:sz w:val="21"/>
        </w:rPr>
        <w:t> 条的要求。</w:t>
      </w:r>
      <w:r>
        <w:rPr>
          <w:b/>
          <w:w w:val="99"/>
          <w:sz w:val="21"/>
        </w:rPr>
        <w:t> </w:t>
      </w:r>
    </w:p>
    <w:p>
      <w:pPr>
        <w:pStyle w:val="BodyText"/>
        <w:rPr>
          <w:b/>
          <w:sz w:val="18"/>
        </w:rPr>
      </w:pPr>
    </w:p>
    <w:p>
      <w:pPr>
        <w:pStyle w:val="ListParagraph"/>
        <w:numPr>
          <w:ilvl w:val="0"/>
          <w:numId w:val="419"/>
        </w:numPr>
        <w:tabs>
          <w:tab w:pos="1367" w:val="left" w:leader="none"/>
        </w:tabs>
        <w:spacing w:line="240" w:lineRule="auto" w:before="0" w:after="0"/>
        <w:ind w:left="1367" w:right="0" w:hanging="529"/>
        <w:jc w:val="left"/>
        <w:rPr>
          <w:b/>
          <w:sz w:val="21"/>
        </w:rPr>
      </w:pPr>
      <w:r>
        <w:rPr>
          <w:spacing w:val="-6"/>
          <w:sz w:val="21"/>
        </w:rPr>
        <w:t>报警受理系统应符合本规范第 </w:t>
      </w:r>
      <w:r>
        <w:rPr>
          <w:sz w:val="21"/>
        </w:rPr>
        <w:t>5.2.2</w:t>
      </w:r>
      <w:r>
        <w:rPr>
          <w:spacing w:val="-10"/>
          <w:sz w:val="21"/>
        </w:rPr>
        <w:t> 条的要求。</w:t>
      </w:r>
      <w:r>
        <w:rPr>
          <w:b/>
          <w:spacing w:val="-10"/>
          <w:w w:val="99"/>
          <w:sz w:val="21"/>
        </w:rPr>
        <w:t> </w:t>
      </w:r>
    </w:p>
    <w:p>
      <w:pPr>
        <w:pStyle w:val="BodyText"/>
        <w:rPr>
          <w:b/>
          <w:sz w:val="18"/>
        </w:rPr>
      </w:pPr>
    </w:p>
    <w:p>
      <w:pPr>
        <w:pStyle w:val="ListParagraph"/>
        <w:numPr>
          <w:ilvl w:val="0"/>
          <w:numId w:val="419"/>
        </w:numPr>
        <w:tabs>
          <w:tab w:pos="1367" w:val="left" w:leader="none"/>
        </w:tabs>
        <w:spacing w:line="240" w:lineRule="auto" w:before="0" w:after="0"/>
        <w:ind w:left="1367" w:right="0" w:hanging="529"/>
        <w:jc w:val="left"/>
        <w:rPr>
          <w:b/>
          <w:sz w:val="21"/>
        </w:rPr>
      </w:pPr>
      <w:r>
        <w:rPr>
          <w:spacing w:val="-6"/>
          <w:sz w:val="21"/>
        </w:rPr>
        <w:t>信息查询系统应符合本规范第 </w:t>
      </w:r>
      <w:r>
        <w:rPr>
          <w:sz w:val="21"/>
        </w:rPr>
        <w:t>5.2.3</w:t>
      </w:r>
      <w:r>
        <w:rPr>
          <w:spacing w:val="-10"/>
          <w:sz w:val="21"/>
        </w:rPr>
        <w:t> 条的要求。</w:t>
      </w:r>
      <w:r>
        <w:rPr>
          <w:b/>
          <w:spacing w:val="-10"/>
          <w:w w:val="99"/>
          <w:sz w:val="21"/>
        </w:rPr>
        <w:t> </w:t>
      </w:r>
    </w:p>
    <w:p>
      <w:pPr>
        <w:pStyle w:val="BodyText"/>
        <w:spacing w:before="1"/>
        <w:rPr>
          <w:b/>
          <w:sz w:val="18"/>
        </w:rPr>
      </w:pPr>
    </w:p>
    <w:p>
      <w:pPr>
        <w:pStyle w:val="ListParagraph"/>
        <w:numPr>
          <w:ilvl w:val="0"/>
          <w:numId w:val="419"/>
        </w:numPr>
        <w:tabs>
          <w:tab w:pos="1367" w:val="left" w:leader="none"/>
        </w:tabs>
        <w:spacing w:line="240" w:lineRule="auto" w:before="1" w:after="0"/>
        <w:ind w:left="1367" w:right="0" w:hanging="529"/>
        <w:jc w:val="left"/>
        <w:rPr>
          <w:b/>
          <w:sz w:val="21"/>
        </w:rPr>
      </w:pPr>
      <w:r>
        <w:rPr>
          <w:spacing w:val="-6"/>
          <w:sz w:val="21"/>
        </w:rPr>
        <w:t>用户服务系统应符合本规范第 </w:t>
      </w:r>
      <w:r>
        <w:rPr>
          <w:sz w:val="21"/>
        </w:rPr>
        <w:t>5.2.4</w:t>
      </w:r>
      <w:r>
        <w:rPr>
          <w:spacing w:val="-10"/>
          <w:sz w:val="21"/>
        </w:rPr>
        <w:t> 条的要求。</w:t>
      </w:r>
      <w:r>
        <w:rPr>
          <w:b/>
          <w:spacing w:val="-10"/>
          <w:w w:val="99"/>
          <w:sz w:val="21"/>
        </w:rPr>
        <w:t> </w:t>
      </w:r>
    </w:p>
    <w:p>
      <w:pPr>
        <w:spacing w:after="0" w:line="240" w:lineRule="auto"/>
        <w:jc w:val="left"/>
        <w:rPr>
          <w:sz w:val="21"/>
        </w:rPr>
        <w:sectPr>
          <w:pgSz w:w="11910" w:h="16850"/>
          <w:pgMar w:header="0" w:footer="1239" w:top="1600" w:bottom="1420" w:left="1260" w:right="0"/>
        </w:sectPr>
      </w:pPr>
    </w:p>
    <w:p>
      <w:pPr>
        <w:pStyle w:val="ListParagraph"/>
        <w:numPr>
          <w:ilvl w:val="0"/>
          <w:numId w:val="419"/>
        </w:numPr>
        <w:tabs>
          <w:tab w:pos="1367" w:val="left" w:leader="none"/>
        </w:tabs>
        <w:spacing w:line="446" w:lineRule="auto" w:before="47" w:after="0"/>
        <w:ind w:left="840" w:right="4763" w:hanging="3"/>
        <w:jc w:val="left"/>
        <w:rPr>
          <w:b/>
          <w:sz w:val="21"/>
        </w:rPr>
      </w:pPr>
      <w:r>
        <w:rPr>
          <w:spacing w:val="-7"/>
          <w:sz w:val="21"/>
        </w:rPr>
        <w:t>火警信息终端应符合本规范第 </w:t>
      </w:r>
      <w:r>
        <w:rPr>
          <w:sz w:val="21"/>
        </w:rPr>
        <w:t>5.2.5</w:t>
      </w:r>
      <w:r>
        <w:rPr>
          <w:spacing w:val="-10"/>
          <w:sz w:val="21"/>
        </w:rPr>
        <w:t> 条的要求。</w:t>
      </w:r>
      <w:r>
        <w:rPr>
          <w:b/>
          <w:spacing w:val="-10"/>
          <w:sz w:val="21"/>
        </w:rPr>
        <w:t>7.2.2 </w:t>
      </w:r>
      <w:r>
        <w:rPr>
          <w:spacing w:val="-3"/>
          <w:sz w:val="21"/>
        </w:rPr>
        <w:t>远程监控系统集成验收应包括：</w:t>
      </w:r>
      <w:r>
        <w:rPr>
          <w:b/>
          <w:w w:val="99"/>
          <w:sz w:val="21"/>
        </w:rPr>
        <w:t> </w:t>
      </w:r>
    </w:p>
    <w:p>
      <w:pPr>
        <w:pStyle w:val="ListParagraph"/>
        <w:numPr>
          <w:ilvl w:val="0"/>
          <w:numId w:val="420"/>
        </w:numPr>
        <w:tabs>
          <w:tab w:pos="1367" w:val="left" w:leader="none"/>
        </w:tabs>
        <w:spacing w:line="267" w:lineRule="exact" w:before="0" w:after="0"/>
        <w:ind w:left="1367" w:right="0" w:hanging="529"/>
        <w:jc w:val="left"/>
        <w:rPr>
          <w:b/>
          <w:sz w:val="21"/>
        </w:rPr>
      </w:pPr>
      <w:r>
        <w:rPr>
          <w:spacing w:val="-6"/>
          <w:sz w:val="21"/>
        </w:rPr>
        <w:t>远程监控系统主要功能应符合本规范第 </w:t>
      </w:r>
      <w:r>
        <w:rPr>
          <w:sz w:val="21"/>
        </w:rPr>
        <w:t>4.2.1</w:t>
      </w:r>
      <w:r>
        <w:rPr>
          <w:spacing w:val="-29"/>
          <w:sz w:val="21"/>
        </w:rPr>
        <w:t> 条</w:t>
      </w:r>
      <w:r>
        <w:rPr>
          <w:b/>
          <w:sz w:val="21"/>
        </w:rPr>
        <w:t>的</w:t>
      </w:r>
      <w:r>
        <w:rPr>
          <w:spacing w:val="-3"/>
          <w:sz w:val="21"/>
        </w:rPr>
        <w:t>要求。</w:t>
      </w:r>
      <w:r>
        <w:rPr>
          <w:b/>
          <w:w w:val="99"/>
          <w:sz w:val="21"/>
        </w:rPr>
        <w:t> </w:t>
      </w:r>
    </w:p>
    <w:p>
      <w:pPr>
        <w:pStyle w:val="BodyText"/>
        <w:spacing w:before="2"/>
        <w:rPr>
          <w:b/>
          <w:sz w:val="18"/>
        </w:rPr>
      </w:pPr>
    </w:p>
    <w:p>
      <w:pPr>
        <w:pStyle w:val="ListParagraph"/>
        <w:numPr>
          <w:ilvl w:val="0"/>
          <w:numId w:val="420"/>
        </w:numPr>
        <w:tabs>
          <w:tab w:pos="1367" w:val="left" w:leader="none"/>
        </w:tabs>
        <w:spacing w:line="240" w:lineRule="auto" w:before="0" w:after="0"/>
        <w:ind w:left="1367" w:right="0" w:hanging="529"/>
        <w:jc w:val="left"/>
        <w:rPr>
          <w:sz w:val="21"/>
        </w:rPr>
      </w:pPr>
      <w:r>
        <w:rPr>
          <w:spacing w:val="-6"/>
          <w:sz w:val="21"/>
        </w:rPr>
        <w:t>远程监控系统主要性能指标应符合本规范第 </w:t>
      </w:r>
      <w:r>
        <w:rPr>
          <w:sz w:val="21"/>
        </w:rPr>
        <w:t>4.2.2</w:t>
      </w:r>
      <w:r>
        <w:rPr>
          <w:spacing w:val="-11"/>
          <w:sz w:val="21"/>
        </w:rPr>
        <w:t> 条的要求。</w:t>
      </w:r>
      <w:r>
        <w:rPr>
          <w:sz w:val="21"/>
        </w:rPr>
        <w:t> </w:t>
      </w:r>
    </w:p>
    <w:p>
      <w:pPr>
        <w:pStyle w:val="BodyText"/>
        <w:rPr>
          <w:sz w:val="18"/>
        </w:rPr>
      </w:pPr>
    </w:p>
    <w:p>
      <w:pPr>
        <w:pStyle w:val="ListParagraph"/>
        <w:numPr>
          <w:ilvl w:val="0"/>
          <w:numId w:val="420"/>
        </w:numPr>
        <w:tabs>
          <w:tab w:pos="1367" w:val="left" w:leader="none"/>
        </w:tabs>
        <w:spacing w:line="240" w:lineRule="auto" w:before="0" w:after="0"/>
        <w:ind w:left="1367" w:right="0" w:hanging="529"/>
        <w:jc w:val="left"/>
        <w:rPr>
          <w:sz w:val="21"/>
        </w:rPr>
      </w:pPr>
      <w:r>
        <w:rPr>
          <w:spacing w:val="-5"/>
          <w:sz w:val="21"/>
        </w:rPr>
        <w:t>远程监控系统网络安全性应符合本规范第 </w:t>
      </w:r>
      <w:r>
        <w:rPr>
          <w:sz w:val="21"/>
        </w:rPr>
        <w:t>4.6.1</w:t>
      </w:r>
      <w:r>
        <w:rPr>
          <w:spacing w:val="-10"/>
          <w:sz w:val="21"/>
        </w:rPr>
        <w:t> 条的要求。</w:t>
      </w:r>
      <w:r>
        <w:rPr>
          <w:sz w:val="21"/>
        </w:rPr>
        <w:t> </w:t>
      </w:r>
    </w:p>
    <w:p>
      <w:pPr>
        <w:pStyle w:val="BodyText"/>
        <w:spacing w:before="12"/>
        <w:rPr>
          <w:sz w:val="17"/>
        </w:rPr>
      </w:pPr>
    </w:p>
    <w:p>
      <w:pPr>
        <w:pStyle w:val="ListParagraph"/>
        <w:numPr>
          <w:ilvl w:val="0"/>
          <w:numId w:val="420"/>
        </w:numPr>
        <w:tabs>
          <w:tab w:pos="1367" w:val="left" w:leader="none"/>
        </w:tabs>
        <w:spacing w:line="240" w:lineRule="auto" w:before="0" w:after="0"/>
        <w:ind w:left="1367" w:right="0" w:hanging="529"/>
        <w:jc w:val="left"/>
        <w:rPr>
          <w:sz w:val="21"/>
        </w:rPr>
      </w:pPr>
      <w:r>
        <w:rPr>
          <w:spacing w:val="-5"/>
          <w:sz w:val="21"/>
        </w:rPr>
        <w:t>远程监控系统应用安全性应符合本规范第 </w:t>
      </w:r>
      <w:r>
        <w:rPr>
          <w:sz w:val="21"/>
        </w:rPr>
        <w:t>4.6.2</w:t>
      </w:r>
      <w:r>
        <w:rPr>
          <w:spacing w:val="-10"/>
          <w:sz w:val="21"/>
        </w:rPr>
        <w:t> 条的要求。</w:t>
      </w:r>
      <w:r>
        <w:rPr>
          <w:sz w:val="21"/>
        </w:rPr>
        <w:t> </w:t>
      </w:r>
    </w:p>
    <w:p>
      <w:pPr>
        <w:pStyle w:val="BodyText"/>
        <w:spacing w:before="2"/>
        <w:rPr>
          <w:sz w:val="18"/>
        </w:rPr>
      </w:pPr>
    </w:p>
    <w:p>
      <w:pPr>
        <w:pStyle w:val="ListParagraph"/>
        <w:numPr>
          <w:ilvl w:val="0"/>
          <w:numId w:val="420"/>
        </w:numPr>
        <w:tabs>
          <w:tab w:pos="1367" w:val="left" w:leader="none"/>
        </w:tabs>
        <w:spacing w:line="240" w:lineRule="auto" w:before="0" w:after="0"/>
        <w:ind w:left="1367" w:right="0" w:hanging="529"/>
        <w:jc w:val="left"/>
        <w:rPr>
          <w:sz w:val="21"/>
        </w:rPr>
      </w:pPr>
      <w:r>
        <w:rPr>
          <w:spacing w:val="-6"/>
          <w:sz w:val="21"/>
        </w:rPr>
        <w:t>远程监控系统安装环境应符合本规范第 </w:t>
      </w:r>
      <w:r>
        <w:rPr>
          <w:sz w:val="21"/>
        </w:rPr>
        <w:t>6.2.1</w:t>
      </w:r>
      <w:r>
        <w:rPr>
          <w:spacing w:val="-11"/>
          <w:sz w:val="21"/>
        </w:rPr>
        <w:t> 条的要求。</w:t>
      </w:r>
      <w:r>
        <w:rPr>
          <w:sz w:val="21"/>
        </w:rPr>
        <w:t> </w:t>
      </w:r>
    </w:p>
    <w:p>
      <w:pPr>
        <w:pStyle w:val="BodyText"/>
        <w:rPr>
          <w:sz w:val="18"/>
        </w:rPr>
      </w:pPr>
    </w:p>
    <w:p>
      <w:pPr>
        <w:pStyle w:val="ListParagraph"/>
        <w:numPr>
          <w:ilvl w:val="0"/>
          <w:numId w:val="420"/>
        </w:numPr>
        <w:tabs>
          <w:tab w:pos="1367" w:val="left" w:leader="none"/>
        </w:tabs>
        <w:spacing w:line="446" w:lineRule="auto" w:before="0" w:after="0"/>
        <w:ind w:left="840" w:right="3505" w:hanging="3"/>
        <w:jc w:val="left"/>
        <w:rPr>
          <w:b/>
          <w:sz w:val="21"/>
        </w:rPr>
      </w:pPr>
      <w:r>
        <w:rPr>
          <w:spacing w:val="-6"/>
          <w:sz w:val="21"/>
        </w:rPr>
        <w:t>远程监控系统验收技术文件应符合本规范第 </w:t>
      </w:r>
      <w:r>
        <w:rPr>
          <w:sz w:val="21"/>
        </w:rPr>
        <w:t>7.1.4</w:t>
      </w:r>
      <w:r>
        <w:rPr>
          <w:spacing w:val="-11"/>
          <w:sz w:val="21"/>
        </w:rPr>
        <w:t> 条的要求。</w:t>
      </w:r>
      <w:r>
        <w:rPr>
          <w:b/>
          <w:sz w:val="21"/>
        </w:rPr>
        <w:t>7.3</w:t>
      </w:r>
      <w:r>
        <w:rPr>
          <w:b/>
          <w:spacing w:val="2"/>
          <w:sz w:val="21"/>
        </w:rPr>
        <w:t> </w:t>
      </w:r>
      <w:r>
        <w:rPr>
          <w:spacing w:val="-3"/>
          <w:sz w:val="21"/>
        </w:rPr>
        <w:t>系统验收判定条件</w:t>
      </w:r>
      <w:r>
        <w:rPr>
          <w:b/>
          <w:w w:val="99"/>
          <w:sz w:val="21"/>
        </w:rPr>
        <w:t> </w:t>
      </w:r>
    </w:p>
    <w:p>
      <w:pPr>
        <w:pStyle w:val="ListParagraph"/>
        <w:numPr>
          <w:ilvl w:val="2"/>
          <w:numId w:val="421"/>
        </w:numPr>
        <w:tabs>
          <w:tab w:pos="1372" w:val="left" w:leader="none"/>
        </w:tabs>
        <w:spacing w:line="240" w:lineRule="auto" w:before="0" w:after="0"/>
        <w:ind w:left="1371" w:right="0" w:hanging="532"/>
        <w:jc w:val="left"/>
        <w:rPr>
          <w:sz w:val="21"/>
        </w:rPr>
      </w:pPr>
      <w:r>
        <w:rPr>
          <w:spacing w:val="-6"/>
          <w:sz w:val="21"/>
        </w:rPr>
        <w:t>远程监控系统验收合格判定条件应为：本规范第 </w:t>
      </w:r>
      <w:r>
        <w:rPr>
          <w:sz w:val="21"/>
        </w:rPr>
        <w:t>4.2.1</w:t>
      </w:r>
      <w:r>
        <w:rPr>
          <w:spacing w:val="-23"/>
          <w:sz w:val="21"/>
        </w:rPr>
        <w:t> 条的第 </w:t>
      </w:r>
      <w:r>
        <w:rPr>
          <w:spacing w:val="-3"/>
          <w:sz w:val="21"/>
        </w:rPr>
        <w:t>1</w:t>
      </w:r>
      <w:r>
        <w:rPr>
          <w:sz w:val="21"/>
        </w:rPr>
        <w:t>、2</w:t>
      </w:r>
      <w:r>
        <w:rPr>
          <w:spacing w:val="-3"/>
          <w:sz w:val="21"/>
        </w:rPr>
        <w:t>、</w:t>
      </w:r>
      <w:r>
        <w:rPr>
          <w:sz w:val="21"/>
        </w:rPr>
        <w:t>3、5</w:t>
      </w:r>
      <w:r>
        <w:rPr>
          <w:spacing w:val="-15"/>
          <w:sz w:val="21"/>
        </w:rPr>
        <w:t> 款、第</w:t>
      </w:r>
    </w:p>
    <w:p>
      <w:pPr>
        <w:pStyle w:val="BodyText"/>
        <w:spacing w:before="12"/>
        <w:rPr>
          <w:sz w:val="17"/>
        </w:rPr>
      </w:pPr>
    </w:p>
    <w:p>
      <w:pPr>
        <w:pStyle w:val="BodyText"/>
        <w:ind w:left="418"/>
      </w:pPr>
      <w:r>
        <w:rPr/>
        <w:t>4.2.2、4.6.1、4.6.2、5.2.1、5.2.2、5.2.3、5.2.5、5.3.1、5.3.2、6.2.1、7.1.4 条中的所</w:t>
      </w:r>
    </w:p>
    <w:p>
      <w:pPr>
        <w:pStyle w:val="BodyText"/>
        <w:rPr>
          <w:sz w:val="18"/>
        </w:rPr>
      </w:pPr>
    </w:p>
    <w:p>
      <w:pPr>
        <w:pStyle w:val="BodyText"/>
        <w:ind w:left="418"/>
      </w:pPr>
      <w:r>
        <w:rPr/>
        <w:t>有款项不合格数量为 0 项，否则为不合格。 </w:t>
      </w:r>
    </w:p>
    <w:p>
      <w:pPr>
        <w:pStyle w:val="BodyText"/>
        <w:spacing w:before="2"/>
        <w:rPr>
          <w:sz w:val="18"/>
        </w:rPr>
      </w:pPr>
    </w:p>
    <w:p>
      <w:pPr>
        <w:pStyle w:val="ListParagraph"/>
        <w:numPr>
          <w:ilvl w:val="2"/>
          <w:numId w:val="421"/>
        </w:numPr>
        <w:tabs>
          <w:tab w:pos="1371" w:val="left" w:leader="none"/>
        </w:tabs>
        <w:spacing w:line="446" w:lineRule="auto" w:before="0" w:after="0"/>
        <w:ind w:left="418" w:right="1604" w:firstLine="422"/>
        <w:jc w:val="left"/>
        <w:rPr>
          <w:sz w:val="21"/>
        </w:rPr>
      </w:pPr>
      <w:r>
        <w:rPr>
          <w:spacing w:val="-3"/>
          <w:sz w:val="21"/>
        </w:rPr>
        <w:t>远程监控系统验收不合格的，应进行整改。整改完毕后应进行试运行，试运行时间</w:t>
      </w:r>
      <w:r>
        <w:rPr>
          <w:spacing w:val="-13"/>
          <w:sz w:val="21"/>
        </w:rPr>
        <w:t>不应少于 </w:t>
      </w:r>
      <w:r>
        <w:rPr>
          <w:sz w:val="21"/>
        </w:rPr>
        <w:t>1</w:t>
      </w:r>
      <w:r>
        <w:rPr>
          <w:spacing w:val="-8"/>
          <w:sz w:val="21"/>
        </w:rPr>
        <w:t> 个月，复验合格后，方可通过验收。</w:t>
      </w:r>
      <w:r>
        <w:rPr>
          <w:sz w:val="21"/>
        </w:rPr>
        <w:t> </w:t>
      </w:r>
    </w:p>
    <w:p>
      <w:pPr>
        <w:pStyle w:val="Heading4"/>
        <w:spacing w:line="275" w:lineRule="exact"/>
      </w:pPr>
      <w:r>
        <w:rPr/>
        <w:t>8 系统的运行及维护</w:t>
      </w:r>
      <w:r>
        <w:rPr>
          <w:w w:val="99"/>
        </w:rPr>
        <w:t> </w:t>
      </w:r>
    </w:p>
    <w:p>
      <w:pPr>
        <w:pStyle w:val="BodyText"/>
        <w:spacing w:before="6"/>
        <w:rPr>
          <w:b/>
          <w:sz w:val="17"/>
        </w:rPr>
      </w:pPr>
    </w:p>
    <w:p>
      <w:pPr>
        <w:pStyle w:val="ListParagraph"/>
        <w:numPr>
          <w:ilvl w:val="1"/>
          <w:numId w:val="422"/>
        </w:numPr>
        <w:tabs>
          <w:tab w:pos="1160" w:val="left" w:leader="none"/>
        </w:tabs>
        <w:spacing w:line="240" w:lineRule="auto" w:before="0" w:after="0"/>
        <w:ind w:left="1159" w:right="0" w:hanging="320"/>
        <w:jc w:val="left"/>
        <w:rPr>
          <w:sz w:val="21"/>
        </w:rPr>
      </w:pPr>
      <w:r>
        <w:rPr>
          <w:spacing w:val="-3"/>
          <w:sz w:val="21"/>
        </w:rPr>
        <w:t>一般规定</w:t>
      </w:r>
      <w:r>
        <w:rPr>
          <w:sz w:val="21"/>
        </w:rPr>
        <w:t> </w:t>
      </w:r>
    </w:p>
    <w:p>
      <w:pPr>
        <w:pStyle w:val="BodyText"/>
        <w:spacing w:before="12"/>
        <w:rPr>
          <w:sz w:val="17"/>
        </w:rPr>
      </w:pPr>
    </w:p>
    <w:p>
      <w:pPr>
        <w:pStyle w:val="ListParagraph"/>
        <w:numPr>
          <w:ilvl w:val="2"/>
          <w:numId w:val="422"/>
        </w:numPr>
        <w:tabs>
          <w:tab w:pos="1370" w:val="left" w:leader="none"/>
        </w:tabs>
        <w:spacing w:line="446" w:lineRule="auto" w:before="0" w:after="0"/>
        <w:ind w:left="418" w:right="1604" w:firstLine="422"/>
        <w:jc w:val="both"/>
        <w:rPr>
          <w:sz w:val="21"/>
        </w:rPr>
      </w:pPr>
      <w:r>
        <w:rPr>
          <w:spacing w:val="-3"/>
          <w:sz w:val="21"/>
        </w:rPr>
        <w:t>远程监控系统的运行及维护应由具有独立法人资格的单位承担，该单位的主要技术</w:t>
      </w:r>
      <w:r>
        <w:rPr>
          <w:spacing w:val="-5"/>
          <w:sz w:val="21"/>
        </w:rPr>
        <w:t>人员应由从事火灾报警、消防设备、计算机软件、网络通信等专业 </w:t>
      </w:r>
      <w:r>
        <w:rPr>
          <w:sz w:val="21"/>
        </w:rPr>
        <w:t>5</w:t>
      </w:r>
      <w:r>
        <w:rPr>
          <w:spacing w:val="-13"/>
          <w:sz w:val="21"/>
        </w:rPr>
        <w:t> 年以上</w:t>
      </w:r>
      <w:r>
        <w:rPr>
          <w:sz w:val="21"/>
        </w:rPr>
        <w:t>（</w:t>
      </w:r>
      <w:r>
        <w:rPr>
          <w:spacing w:val="-21"/>
          <w:sz w:val="21"/>
        </w:rPr>
        <w:t>含 </w:t>
      </w:r>
      <w:r>
        <w:rPr>
          <w:sz w:val="21"/>
        </w:rPr>
        <w:t>5</w:t>
      </w:r>
      <w:r>
        <w:rPr>
          <w:spacing w:val="-23"/>
          <w:sz w:val="21"/>
        </w:rPr>
        <w:t> 年</w:t>
      </w:r>
      <w:r>
        <w:rPr>
          <w:spacing w:val="-3"/>
          <w:sz w:val="21"/>
        </w:rPr>
        <w:t>）</w:t>
      </w:r>
      <w:r>
        <w:rPr>
          <w:spacing w:val="-2"/>
          <w:sz w:val="21"/>
        </w:rPr>
        <w:t>经历的</w:t>
      </w:r>
      <w:r>
        <w:rPr>
          <w:spacing w:val="-3"/>
          <w:sz w:val="21"/>
        </w:rPr>
        <w:t>人员构成。</w:t>
      </w:r>
      <w:r>
        <w:rPr>
          <w:sz w:val="21"/>
        </w:rPr>
        <w:t> </w:t>
      </w:r>
    </w:p>
    <w:p>
      <w:pPr>
        <w:pStyle w:val="ListParagraph"/>
        <w:numPr>
          <w:ilvl w:val="2"/>
          <w:numId w:val="422"/>
        </w:numPr>
        <w:tabs>
          <w:tab w:pos="1371" w:val="left" w:leader="none"/>
        </w:tabs>
        <w:spacing w:line="268" w:lineRule="exact" w:before="0" w:after="0"/>
        <w:ind w:left="1370" w:right="0" w:hanging="531"/>
        <w:jc w:val="left"/>
        <w:rPr>
          <w:sz w:val="21"/>
        </w:rPr>
      </w:pPr>
      <w:r>
        <w:rPr>
          <w:spacing w:val="-3"/>
          <w:sz w:val="21"/>
        </w:rPr>
        <w:t>远程监控系统的运行操作人员上岗前应具备熟练操作设备的能力。</w:t>
      </w:r>
      <w:r>
        <w:rPr>
          <w:sz w:val="21"/>
        </w:rPr>
        <w:t> </w:t>
      </w:r>
    </w:p>
    <w:p>
      <w:pPr>
        <w:pStyle w:val="BodyText"/>
        <w:rPr>
          <w:sz w:val="18"/>
        </w:rPr>
      </w:pPr>
    </w:p>
    <w:p>
      <w:pPr>
        <w:pStyle w:val="ListParagraph"/>
        <w:numPr>
          <w:ilvl w:val="2"/>
          <w:numId w:val="422"/>
        </w:numPr>
        <w:tabs>
          <w:tab w:pos="1371" w:val="left" w:leader="none"/>
        </w:tabs>
        <w:spacing w:line="240" w:lineRule="auto" w:before="0" w:after="0"/>
        <w:ind w:left="1370" w:right="0" w:hanging="531"/>
        <w:jc w:val="left"/>
        <w:rPr>
          <w:sz w:val="21"/>
        </w:rPr>
      </w:pPr>
      <w:r>
        <w:rPr>
          <w:spacing w:val="-5"/>
          <w:sz w:val="21"/>
        </w:rPr>
        <w:t>远程监控系统的检查应按本章相关规定进行，并应按附录 </w:t>
      </w:r>
      <w:r>
        <w:rPr>
          <w:sz w:val="21"/>
        </w:rPr>
        <w:t>E</w:t>
      </w:r>
      <w:r>
        <w:rPr>
          <w:spacing w:val="-36"/>
          <w:sz w:val="21"/>
        </w:rPr>
        <w:t> 表 </w:t>
      </w:r>
      <w:r>
        <w:rPr>
          <w:sz w:val="21"/>
        </w:rPr>
        <w:t>E.0.1</w:t>
      </w:r>
      <w:r>
        <w:rPr>
          <w:spacing w:val="-15"/>
          <w:sz w:val="21"/>
        </w:rPr>
        <w:t> 填写。</w:t>
      </w:r>
      <w:r>
        <w:rPr>
          <w:sz w:val="21"/>
        </w:rPr>
        <w:t> </w:t>
      </w:r>
    </w:p>
    <w:p>
      <w:pPr>
        <w:pStyle w:val="BodyText"/>
        <w:spacing w:before="2"/>
        <w:rPr>
          <w:sz w:val="18"/>
        </w:rPr>
      </w:pPr>
    </w:p>
    <w:p>
      <w:pPr>
        <w:pStyle w:val="ListParagraph"/>
        <w:numPr>
          <w:ilvl w:val="1"/>
          <w:numId w:val="422"/>
        </w:numPr>
        <w:tabs>
          <w:tab w:pos="1159" w:val="left" w:leader="none"/>
        </w:tabs>
        <w:spacing w:line="240" w:lineRule="auto" w:before="0" w:after="0"/>
        <w:ind w:left="1158" w:right="0" w:hanging="319"/>
        <w:jc w:val="left"/>
        <w:rPr>
          <w:b/>
          <w:sz w:val="21"/>
        </w:rPr>
      </w:pPr>
      <w:r>
        <w:rPr>
          <w:spacing w:val="-3"/>
          <w:sz w:val="21"/>
        </w:rPr>
        <w:t>监控中心的运行及维护</w:t>
      </w:r>
      <w:r>
        <w:rPr>
          <w:b/>
          <w:spacing w:val="-3"/>
          <w:w w:val="99"/>
          <w:sz w:val="21"/>
        </w:rPr>
        <w:t> </w:t>
      </w:r>
    </w:p>
    <w:p>
      <w:pPr>
        <w:pStyle w:val="BodyText"/>
        <w:spacing w:before="12"/>
        <w:rPr>
          <w:b/>
          <w:sz w:val="17"/>
        </w:rPr>
      </w:pPr>
    </w:p>
    <w:p>
      <w:pPr>
        <w:pStyle w:val="ListParagraph"/>
        <w:numPr>
          <w:ilvl w:val="2"/>
          <w:numId w:val="422"/>
        </w:numPr>
        <w:tabs>
          <w:tab w:pos="1370" w:val="left" w:leader="none"/>
        </w:tabs>
        <w:spacing w:line="240" w:lineRule="auto" w:before="0" w:after="0"/>
        <w:ind w:left="1369" w:right="0" w:hanging="530"/>
        <w:jc w:val="left"/>
        <w:rPr>
          <w:b/>
          <w:sz w:val="21"/>
        </w:rPr>
      </w:pPr>
      <w:r>
        <w:rPr>
          <w:spacing w:val="-3"/>
          <w:sz w:val="21"/>
        </w:rPr>
        <w:t>监控中心应有下列技术文档：</w:t>
      </w:r>
      <w:r>
        <w:rPr>
          <w:b/>
          <w:w w:val="99"/>
          <w:sz w:val="21"/>
        </w:rPr>
        <w:t> </w:t>
      </w:r>
    </w:p>
    <w:p>
      <w:pPr>
        <w:pStyle w:val="BodyText"/>
        <w:spacing w:before="12"/>
        <w:rPr>
          <w:b/>
          <w:sz w:val="17"/>
        </w:rPr>
      </w:pPr>
    </w:p>
    <w:p>
      <w:pPr>
        <w:pStyle w:val="ListParagraph"/>
        <w:numPr>
          <w:ilvl w:val="0"/>
          <w:numId w:val="423"/>
        </w:numPr>
        <w:tabs>
          <w:tab w:pos="1367" w:val="left" w:leader="none"/>
        </w:tabs>
        <w:spacing w:line="240" w:lineRule="auto" w:before="0" w:after="0"/>
        <w:ind w:left="1367" w:right="0" w:hanging="529"/>
        <w:jc w:val="left"/>
        <w:rPr>
          <w:sz w:val="21"/>
        </w:rPr>
      </w:pPr>
      <w:r>
        <w:rPr>
          <w:spacing w:val="-3"/>
          <w:sz w:val="21"/>
        </w:rPr>
        <w:t>机房管理制度；</w:t>
      </w:r>
      <w:r>
        <w:rPr>
          <w:sz w:val="21"/>
        </w:rPr>
        <w:t> </w:t>
      </w:r>
    </w:p>
    <w:p>
      <w:pPr>
        <w:pStyle w:val="BodyText"/>
        <w:spacing w:before="2"/>
        <w:rPr>
          <w:sz w:val="18"/>
        </w:rPr>
      </w:pPr>
    </w:p>
    <w:p>
      <w:pPr>
        <w:pStyle w:val="ListParagraph"/>
        <w:numPr>
          <w:ilvl w:val="0"/>
          <w:numId w:val="423"/>
        </w:numPr>
        <w:tabs>
          <w:tab w:pos="1367" w:val="left" w:leader="none"/>
        </w:tabs>
        <w:spacing w:line="240" w:lineRule="auto" w:before="0" w:after="0"/>
        <w:ind w:left="1367" w:right="0" w:hanging="529"/>
        <w:jc w:val="left"/>
        <w:rPr>
          <w:sz w:val="21"/>
        </w:rPr>
      </w:pPr>
      <w:r>
        <w:rPr>
          <w:spacing w:val="-3"/>
          <w:sz w:val="21"/>
        </w:rPr>
        <w:t>操作人员管理制度；</w:t>
      </w:r>
      <w:r>
        <w:rPr>
          <w:sz w:val="21"/>
        </w:rPr>
        <w:t> </w:t>
      </w:r>
    </w:p>
    <w:p>
      <w:pPr>
        <w:pStyle w:val="BodyText"/>
        <w:rPr>
          <w:sz w:val="18"/>
        </w:rPr>
      </w:pPr>
    </w:p>
    <w:p>
      <w:pPr>
        <w:pStyle w:val="ListParagraph"/>
        <w:numPr>
          <w:ilvl w:val="0"/>
          <w:numId w:val="423"/>
        </w:numPr>
        <w:tabs>
          <w:tab w:pos="1367" w:val="left" w:leader="none"/>
        </w:tabs>
        <w:spacing w:line="240" w:lineRule="auto" w:before="0" w:after="0"/>
        <w:ind w:left="1367" w:right="0" w:hanging="529"/>
        <w:jc w:val="left"/>
        <w:rPr>
          <w:sz w:val="21"/>
        </w:rPr>
      </w:pPr>
      <w:r>
        <w:rPr>
          <w:spacing w:val="-3"/>
          <w:sz w:val="21"/>
        </w:rPr>
        <w:t>值班日志；</w:t>
      </w:r>
      <w:r>
        <w:rPr>
          <w:sz w:val="21"/>
        </w:rPr>
        <w:t> </w:t>
      </w:r>
    </w:p>
    <w:p>
      <w:pPr>
        <w:pStyle w:val="BodyText"/>
        <w:rPr>
          <w:sz w:val="18"/>
        </w:rPr>
      </w:pPr>
    </w:p>
    <w:p>
      <w:pPr>
        <w:pStyle w:val="ListParagraph"/>
        <w:numPr>
          <w:ilvl w:val="0"/>
          <w:numId w:val="423"/>
        </w:numPr>
        <w:tabs>
          <w:tab w:pos="1367" w:val="left" w:leader="none"/>
        </w:tabs>
        <w:spacing w:line="240" w:lineRule="auto" w:before="0" w:after="0"/>
        <w:ind w:left="1367" w:right="0" w:hanging="529"/>
        <w:jc w:val="left"/>
        <w:rPr>
          <w:sz w:val="21"/>
        </w:rPr>
      </w:pPr>
      <w:r>
        <w:rPr>
          <w:spacing w:val="-3"/>
          <w:sz w:val="21"/>
        </w:rPr>
        <w:t>交接班登记表；</w:t>
      </w:r>
      <w:r>
        <w:rPr>
          <w:sz w:val="21"/>
        </w:rPr>
        <w:t> </w:t>
      </w:r>
    </w:p>
    <w:p>
      <w:pPr>
        <w:pStyle w:val="BodyText"/>
        <w:spacing w:before="1"/>
        <w:rPr>
          <w:sz w:val="18"/>
        </w:rPr>
      </w:pPr>
    </w:p>
    <w:p>
      <w:pPr>
        <w:pStyle w:val="ListParagraph"/>
        <w:numPr>
          <w:ilvl w:val="0"/>
          <w:numId w:val="423"/>
        </w:numPr>
        <w:tabs>
          <w:tab w:pos="1367" w:val="left" w:leader="none"/>
        </w:tabs>
        <w:spacing w:line="240" w:lineRule="auto" w:before="1" w:after="0"/>
        <w:ind w:left="1367" w:right="0" w:hanging="529"/>
        <w:jc w:val="left"/>
        <w:rPr>
          <w:sz w:val="21"/>
        </w:rPr>
      </w:pPr>
      <w:r>
        <w:rPr>
          <w:spacing w:val="-3"/>
          <w:sz w:val="21"/>
        </w:rPr>
        <w:t>接处警登记表；</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423"/>
        </w:numPr>
        <w:tabs>
          <w:tab w:pos="1367" w:val="left" w:leader="none"/>
        </w:tabs>
        <w:spacing w:line="240" w:lineRule="auto" w:before="47" w:after="0"/>
        <w:ind w:left="1367" w:right="0" w:hanging="529"/>
        <w:jc w:val="left"/>
        <w:rPr>
          <w:sz w:val="21"/>
        </w:rPr>
      </w:pPr>
      <w:r>
        <w:rPr>
          <w:spacing w:val="-3"/>
          <w:sz w:val="21"/>
        </w:rPr>
        <w:t>值班人员工作通话录音录时电子文档；</w:t>
      </w:r>
      <w:r>
        <w:rPr>
          <w:sz w:val="21"/>
        </w:rPr>
        <w:t> </w:t>
      </w:r>
    </w:p>
    <w:p>
      <w:pPr>
        <w:pStyle w:val="BodyText"/>
        <w:rPr>
          <w:sz w:val="18"/>
        </w:rPr>
      </w:pPr>
    </w:p>
    <w:p>
      <w:pPr>
        <w:pStyle w:val="ListParagraph"/>
        <w:numPr>
          <w:ilvl w:val="0"/>
          <w:numId w:val="423"/>
        </w:numPr>
        <w:tabs>
          <w:tab w:pos="1367" w:val="left" w:leader="none"/>
        </w:tabs>
        <w:spacing w:line="240" w:lineRule="auto" w:before="0" w:after="0"/>
        <w:ind w:left="1367" w:right="0" w:hanging="529"/>
        <w:jc w:val="left"/>
        <w:rPr>
          <w:sz w:val="21"/>
        </w:rPr>
      </w:pPr>
      <w:r>
        <w:rPr>
          <w:spacing w:val="-3"/>
          <w:sz w:val="21"/>
        </w:rPr>
        <w:t>设备运行、巡检及故障记录；</w:t>
      </w:r>
      <w:r>
        <w:rPr>
          <w:sz w:val="21"/>
        </w:rPr>
        <w:t> </w:t>
      </w:r>
    </w:p>
    <w:p>
      <w:pPr>
        <w:pStyle w:val="BodyText"/>
        <w:rPr>
          <w:sz w:val="18"/>
        </w:rPr>
      </w:pPr>
    </w:p>
    <w:p>
      <w:pPr>
        <w:pStyle w:val="ListParagraph"/>
        <w:numPr>
          <w:ilvl w:val="0"/>
          <w:numId w:val="423"/>
        </w:numPr>
        <w:tabs>
          <w:tab w:pos="1367" w:val="left" w:leader="none"/>
        </w:tabs>
        <w:spacing w:line="240" w:lineRule="auto" w:before="0" w:after="0"/>
        <w:ind w:left="1367" w:right="0" w:hanging="529"/>
        <w:jc w:val="left"/>
        <w:rPr>
          <w:sz w:val="21"/>
        </w:rPr>
      </w:pPr>
      <w:r>
        <w:rPr>
          <w:spacing w:val="-3"/>
          <w:sz w:val="21"/>
        </w:rPr>
        <w:t>系统操作与运行安全制度；</w:t>
      </w:r>
      <w:r>
        <w:rPr>
          <w:sz w:val="21"/>
        </w:rPr>
        <w:t> </w:t>
      </w:r>
    </w:p>
    <w:p>
      <w:pPr>
        <w:pStyle w:val="BodyText"/>
        <w:spacing w:before="1"/>
        <w:rPr>
          <w:sz w:val="18"/>
        </w:rPr>
      </w:pPr>
    </w:p>
    <w:p>
      <w:pPr>
        <w:pStyle w:val="ListParagraph"/>
        <w:numPr>
          <w:ilvl w:val="0"/>
          <w:numId w:val="423"/>
        </w:numPr>
        <w:tabs>
          <w:tab w:pos="1367" w:val="left" w:leader="none"/>
        </w:tabs>
        <w:spacing w:line="240" w:lineRule="auto" w:before="1" w:after="0"/>
        <w:ind w:left="1367" w:right="0" w:hanging="529"/>
        <w:jc w:val="left"/>
        <w:rPr>
          <w:sz w:val="21"/>
        </w:rPr>
      </w:pPr>
      <w:r>
        <w:rPr>
          <w:spacing w:val="-3"/>
          <w:sz w:val="21"/>
        </w:rPr>
        <w:t>应急管理制度；</w:t>
      </w:r>
      <w:r>
        <w:rPr>
          <w:sz w:val="21"/>
        </w:rPr>
        <w:t> </w:t>
      </w:r>
    </w:p>
    <w:p>
      <w:pPr>
        <w:pStyle w:val="BodyText"/>
        <w:spacing w:before="12"/>
        <w:rPr>
          <w:sz w:val="17"/>
        </w:rPr>
      </w:pPr>
    </w:p>
    <w:p>
      <w:pPr>
        <w:pStyle w:val="ListParagraph"/>
        <w:numPr>
          <w:ilvl w:val="0"/>
          <w:numId w:val="423"/>
        </w:numPr>
        <w:tabs>
          <w:tab w:pos="1473" w:val="left" w:leader="none"/>
        </w:tabs>
        <w:spacing w:line="240" w:lineRule="auto" w:before="0" w:after="0"/>
        <w:ind w:left="1472" w:right="0" w:hanging="635"/>
        <w:jc w:val="left"/>
        <w:rPr>
          <w:sz w:val="21"/>
        </w:rPr>
      </w:pPr>
      <w:r>
        <w:rPr>
          <w:spacing w:val="-3"/>
          <w:sz w:val="21"/>
        </w:rPr>
        <w:t>网络安全管理制度； </w:t>
      </w:r>
    </w:p>
    <w:p>
      <w:pPr>
        <w:pStyle w:val="BodyText"/>
        <w:spacing w:before="12"/>
        <w:rPr>
          <w:sz w:val="17"/>
        </w:rPr>
      </w:pPr>
    </w:p>
    <w:p>
      <w:pPr>
        <w:pStyle w:val="ListParagraph"/>
        <w:numPr>
          <w:ilvl w:val="0"/>
          <w:numId w:val="423"/>
        </w:numPr>
        <w:tabs>
          <w:tab w:pos="1473" w:val="left" w:leader="none"/>
        </w:tabs>
        <w:spacing w:line="240" w:lineRule="auto" w:before="0" w:after="0"/>
        <w:ind w:left="1472" w:right="0" w:hanging="635"/>
        <w:jc w:val="left"/>
        <w:rPr>
          <w:sz w:val="21"/>
        </w:rPr>
      </w:pPr>
      <w:r>
        <w:rPr>
          <w:spacing w:val="-3"/>
          <w:sz w:val="21"/>
        </w:rPr>
        <w:t>数据备份与恢复方案。</w:t>
      </w:r>
      <w:r>
        <w:rPr>
          <w:sz w:val="21"/>
        </w:rPr>
        <w:t> </w:t>
      </w:r>
    </w:p>
    <w:p>
      <w:pPr>
        <w:pStyle w:val="BodyText"/>
        <w:spacing w:before="2"/>
        <w:rPr>
          <w:sz w:val="18"/>
        </w:rPr>
      </w:pPr>
    </w:p>
    <w:p>
      <w:pPr>
        <w:pStyle w:val="ListParagraph"/>
        <w:numPr>
          <w:ilvl w:val="2"/>
          <w:numId w:val="422"/>
        </w:numPr>
        <w:tabs>
          <w:tab w:pos="1372" w:val="left" w:leader="none"/>
        </w:tabs>
        <w:spacing w:line="240" w:lineRule="auto" w:before="0" w:after="0"/>
        <w:ind w:left="1371" w:right="0" w:hanging="532"/>
        <w:jc w:val="left"/>
        <w:rPr>
          <w:b/>
          <w:sz w:val="21"/>
        </w:rPr>
      </w:pPr>
      <w:r>
        <w:rPr>
          <w:spacing w:val="-3"/>
          <w:sz w:val="21"/>
        </w:rPr>
        <w:t>监控中心应按下列要求定期进行检查和测试：</w:t>
      </w:r>
      <w:r>
        <w:rPr>
          <w:b/>
          <w:spacing w:val="-3"/>
          <w:w w:val="99"/>
          <w:sz w:val="21"/>
        </w:rPr>
        <w:t> </w:t>
      </w:r>
    </w:p>
    <w:p>
      <w:pPr>
        <w:pStyle w:val="BodyText"/>
        <w:rPr>
          <w:b/>
          <w:sz w:val="18"/>
        </w:rPr>
      </w:pPr>
    </w:p>
    <w:p>
      <w:pPr>
        <w:pStyle w:val="ListParagraph"/>
        <w:numPr>
          <w:ilvl w:val="0"/>
          <w:numId w:val="424"/>
        </w:numPr>
        <w:tabs>
          <w:tab w:pos="1367" w:val="left" w:leader="none"/>
        </w:tabs>
        <w:spacing w:line="446" w:lineRule="auto" w:before="0" w:after="0"/>
        <w:ind w:left="418" w:right="1609" w:firstLine="419"/>
        <w:jc w:val="left"/>
        <w:rPr>
          <w:sz w:val="21"/>
        </w:rPr>
      </w:pPr>
      <w:r>
        <w:rPr>
          <w:spacing w:val="-12"/>
          <w:sz w:val="21"/>
        </w:rPr>
        <w:t>每日进行 </w:t>
      </w:r>
      <w:r>
        <w:rPr>
          <w:sz w:val="21"/>
        </w:rPr>
        <w:t>1</w:t>
      </w:r>
      <w:r>
        <w:rPr>
          <w:spacing w:val="-8"/>
          <w:sz w:val="21"/>
        </w:rPr>
        <w:t> 次与设置在城市消防通信指挥中心或其他接处警中心的火警信息终端之</w:t>
      </w:r>
      <w:r>
        <w:rPr>
          <w:spacing w:val="-5"/>
          <w:sz w:val="21"/>
        </w:rPr>
        <w:t>问的通信测试。</w:t>
      </w:r>
      <w:r>
        <w:rPr>
          <w:sz w:val="21"/>
        </w:rPr>
        <w:t> </w:t>
      </w:r>
    </w:p>
    <w:p>
      <w:pPr>
        <w:pStyle w:val="ListParagraph"/>
        <w:numPr>
          <w:ilvl w:val="0"/>
          <w:numId w:val="424"/>
        </w:numPr>
        <w:tabs>
          <w:tab w:pos="1367" w:val="left" w:leader="none"/>
        </w:tabs>
        <w:spacing w:line="240" w:lineRule="auto" w:before="0" w:after="0"/>
        <w:ind w:left="1367" w:right="0" w:hanging="529"/>
        <w:jc w:val="left"/>
        <w:rPr>
          <w:sz w:val="21"/>
        </w:rPr>
      </w:pPr>
      <w:r>
        <w:rPr>
          <w:spacing w:val="-12"/>
          <w:sz w:val="21"/>
        </w:rPr>
        <w:t>每日检查 </w:t>
      </w:r>
      <w:r>
        <w:rPr>
          <w:sz w:val="21"/>
        </w:rPr>
        <w:t>1</w:t>
      </w:r>
      <w:r>
        <w:rPr>
          <w:spacing w:val="-9"/>
          <w:sz w:val="21"/>
        </w:rPr>
        <w:t> 次各设备的时钟。</w:t>
      </w:r>
      <w:r>
        <w:rPr>
          <w:sz w:val="21"/>
        </w:rPr>
        <w:t> </w:t>
      </w:r>
    </w:p>
    <w:p>
      <w:pPr>
        <w:pStyle w:val="BodyText"/>
        <w:rPr>
          <w:sz w:val="18"/>
        </w:rPr>
      </w:pPr>
    </w:p>
    <w:p>
      <w:pPr>
        <w:pStyle w:val="ListParagraph"/>
        <w:numPr>
          <w:ilvl w:val="0"/>
          <w:numId w:val="424"/>
        </w:numPr>
        <w:tabs>
          <w:tab w:pos="1367" w:val="left" w:leader="none"/>
        </w:tabs>
        <w:spacing w:line="240" w:lineRule="auto" w:before="0" w:after="0"/>
        <w:ind w:left="1367" w:right="0" w:hanging="529"/>
        <w:jc w:val="left"/>
        <w:rPr>
          <w:sz w:val="21"/>
        </w:rPr>
      </w:pPr>
      <w:r>
        <w:rPr>
          <w:spacing w:val="-3"/>
          <w:sz w:val="21"/>
        </w:rPr>
        <w:t>定期进行系统运行日志整理。</w:t>
      </w:r>
      <w:r>
        <w:rPr>
          <w:sz w:val="21"/>
        </w:rPr>
        <w:t> </w:t>
      </w:r>
    </w:p>
    <w:p>
      <w:pPr>
        <w:pStyle w:val="BodyText"/>
        <w:spacing w:before="12"/>
        <w:rPr>
          <w:sz w:val="17"/>
        </w:rPr>
      </w:pPr>
    </w:p>
    <w:p>
      <w:pPr>
        <w:pStyle w:val="ListParagraph"/>
        <w:numPr>
          <w:ilvl w:val="0"/>
          <w:numId w:val="424"/>
        </w:numPr>
        <w:tabs>
          <w:tab w:pos="1367" w:val="left" w:leader="none"/>
        </w:tabs>
        <w:spacing w:line="240" w:lineRule="auto" w:before="0" w:after="0"/>
        <w:ind w:left="1367" w:right="0" w:hanging="529"/>
        <w:jc w:val="left"/>
        <w:rPr>
          <w:sz w:val="21"/>
        </w:rPr>
      </w:pPr>
      <w:r>
        <w:rPr>
          <w:spacing w:val="-3"/>
          <w:sz w:val="21"/>
        </w:rPr>
        <w:t>定期检查数据库使用情况，必要时对硬盘进行扩充。</w:t>
      </w:r>
      <w:r>
        <w:rPr>
          <w:sz w:val="21"/>
        </w:rPr>
        <w:t> </w:t>
      </w:r>
    </w:p>
    <w:p>
      <w:pPr>
        <w:pStyle w:val="BodyText"/>
        <w:spacing w:before="2"/>
        <w:rPr>
          <w:sz w:val="18"/>
        </w:rPr>
      </w:pPr>
    </w:p>
    <w:p>
      <w:pPr>
        <w:pStyle w:val="BodyText"/>
        <w:ind w:left="838"/>
      </w:pPr>
      <w:r>
        <w:rPr>
          <w:w w:val="100"/>
        </w:rPr>
        <w:t> </w:t>
      </w:r>
      <w:r>
        <w:rPr/>
        <w:t>（5）每半年应按照本规范第 7.2.2 条的要求进行系统集成功能检查、测试。 </w:t>
      </w:r>
    </w:p>
    <w:p>
      <w:pPr>
        <w:pStyle w:val="BodyText"/>
        <w:rPr>
          <w:sz w:val="18"/>
        </w:rPr>
      </w:pPr>
    </w:p>
    <w:p>
      <w:pPr>
        <w:pStyle w:val="BodyText"/>
        <w:ind w:left="838"/>
      </w:pPr>
      <w:r>
        <w:rPr/>
        <w:t>（6）定期向联网用户采集消防安全管理信息。 </w:t>
      </w:r>
    </w:p>
    <w:p>
      <w:pPr>
        <w:pStyle w:val="BodyText"/>
        <w:spacing w:before="12"/>
        <w:rPr>
          <w:sz w:val="17"/>
        </w:rPr>
      </w:pPr>
    </w:p>
    <w:p>
      <w:pPr>
        <w:pStyle w:val="ListParagraph"/>
        <w:numPr>
          <w:ilvl w:val="2"/>
          <w:numId w:val="422"/>
        </w:numPr>
        <w:tabs>
          <w:tab w:pos="1371" w:val="left" w:leader="none"/>
        </w:tabs>
        <w:spacing w:line="240" w:lineRule="auto" w:before="0" w:after="0"/>
        <w:ind w:left="1370" w:right="0" w:hanging="531"/>
        <w:jc w:val="left"/>
        <w:rPr>
          <w:b/>
          <w:sz w:val="21"/>
        </w:rPr>
      </w:pPr>
      <w:r>
        <w:rPr>
          <w:spacing w:val="-3"/>
          <w:sz w:val="21"/>
        </w:rPr>
        <w:t>远程监控系统的城市消防地理信息应及时更新。</w:t>
      </w:r>
      <w:r>
        <w:rPr>
          <w:b/>
          <w:w w:val="99"/>
          <w:sz w:val="21"/>
        </w:rPr>
        <w:t> </w:t>
      </w:r>
    </w:p>
    <w:p>
      <w:pPr>
        <w:pStyle w:val="BodyText"/>
        <w:spacing w:before="2"/>
        <w:rPr>
          <w:b/>
          <w:sz w:val="18"/>
        </w:rPr>
      </w:pPr>
    </w:p>
    <w:p>
      <w:pPr>
        <w:pStyle w:val="ListParagraph"/>
        <w:numPr>
          <w:ilvl w:val="1"/>
          <w:numId w:val="422"/>
        </w:numPr>
        <w:tabs>
          <w:tab w:pos="1159" w:val="left" w:leader="none"/>
        </w:tabs>
        <w:spacing w:line="240" w:lineRule="auto" w:before="0" w:after="0"/>
        <w:ind w:left="1158" w:right="0" w:hanging="319"/>
        <w:jc w:val="left"/>
        <w:rPr>
          <w:sz w:val="21"/>
        </w:rPr>
      </w:pPr>
      <w:r>
        <w:rPr>
          <w:spacing w:val="-3"/>
          <w:sz w:val="21"/>
        </w:rPr>
        <w:t>用户信息传输装置的运行及维护</w:t>
      </w:r>
      <w:r>
        <w:rPr>
          <w:sz w:val="21"/>
        </w:rPr>
        <w:t> </w:t>
      </w:r>
    </w:p>
    <w:p>
      <w:pPr>
        <w:pStyle w:val="BodyText"/>
        <w:spacing w:before="12"/>
        <w:rPr>
          <w:sz w:val="17"/>
        </w:rPr>
      </w:pPr>
    </w:p>
    <w:p>
      <w:pPr>
        <w:pStyle w:val="ListParagraph"/>
        <w:numPr>
          <w:ilvl w:val="2"/>
          <w:numId w:val="422"/>
        </w:numPr>
        <w:tabs>
          <w:tab w:pos="1370" w:val="left" w:leader="none"/>
        </w:tabs>
        <w:spacing w:line="240" w:lineRule="auto" w:before="0" w:after="0"/>
        <w:ind w:left="1369" w:right="0" w:hanging="530"/>
        <w:jc w:val="left"/>
        <w:rPr>
          <w:sz w:val="21"/>
        </w:rPr>
      </w:pPr>
      <w:r>
        <w:rPr>
          <w:spacing w:val="-3"/>
          <w:sz w:val="21"/>
        </w:rPr>
        <w:t>用户信息传输装置应按下列要求定期进行检查和测试：</w:t>
      </w:r>
      <w:r>
        <w:rPr>
          <w:sz w:val="21"/>
        </w:rPr>
        <w:t> </w:t>
      </w:r>
    </w:p>
    <w:p>
      <w:pPr>
        <w:pStyle w:val="BodyText"/>
        <w:rPr>
          <w:sz w:val="18"/>
        </w:rPr>
      </w:pPr>
    </w:p>
    <w:p>
      <w:pPr>
        <w:pStyle w:val="ListParagraph"/>
        <w:numPr>
          <w:ilvl w:val="0"/>
          <w:numId w:val="425"/>
        </w:numPr>
        <w:tabs>
          <w:tab w:pos="1367" w:val="left" w:leader="none"/>
        </w:tabs>
        <w:spacing w:line="240" w:lineRule="auto" w:before="0" w:after="0"/>
        <w:ind w:left="1367" w:right="0" w:hanging="529"/>
        <w:jc w:val="left"/>
        <w:rPr>
          <w:sz w:val="21"/>
        </w:rPr>
      </w:pPr>
      <w:r>
        <w:rPr>
          <w:spacing w:val="-13"/>
          <w:sz w:val="21"/>
        </w:rPr>
        <w:t>每日进行 </w:t>
      </w:r>
      <w:r>
        <w:rPr>
          <w:sz w:val="21"/>
        </w:rPr>
        <w:t>1</w:t>
      </w:r>
      <w:r>
        <w:rPr>
          <w:spacing w:val="-10"/>
          <w:sz w:val="21"/>
        </w:rPr>
        <w:t> 次自检功能检查。</w:t>
      </w:r>
      <w:r>
        <w:rPr>
          <w:sz w:val="21"/>
        </w:rPr>
        <w:t> </w:t>
      </w:r>
    </w:p>
    <w:p>
      <w:pPr>
        <w:pStyle w:val="BodyText"/>
        <w:spacing w:before="2"/>
        <w:rPr>
          <w:sz w:val="18"/>
        </w:rPr>
      </w:pPr>
    </w:p>
    <w:p>
      <w:pPr>
        <w:pStyle w:val="ListParagraph"/>
        <w:numPr>
          <w:ilvl w:val="0"/>
          <w:numId w:val="425"/>
        </w:numPr>
        <w:tabs>
          <w:tab w:pos="1367" w:val="left" w:leader="none"/>
        </w:tabs>
        <w:spacing w:line="240" w:lineRule="auto" w:before="0" w:after="0"/>
        <w:ind w:left="1367" w:right="0" w:hanging="529"/>
        <w:jc w:val="left"/>
        <w:rPr>
          <w:sz w:val="21"/>
        </w:rPr>
      </w:pPr>
      <w:r>
        <w:rPr>
          <w:spacing w:val="-3"/>
          <w:sz w:val="21"/>
        </w:rPr>
        <w:t>每半年现场断开设备电源，进行设备检查与除尘。</w:t>
      </w:r>
      <w:r>
        <w:rPr>
          <w:sz w:val="21"/>
        </w:rPr>
        <w:t> </w:t>
      </w:r>
    </w:p>
    <w:p>
      <w:pPr>
        <w:pStyle w:val="BodyText"/>
        <w:rPr>
          <w:sz w:val="18"/>
        </w:rPr>
      </w:pPr>
    </w:p>
    <w:p>
      <w:pPr>
        <w:pStyle w:val="ListParagraph"/>
        <w:numPr>
          <w:ilvl w:val="0"/>
          <w:numId w:val="425"/>
        </w:numPr>
        <w:tabs>
          <w:tab w:pos="1367" w:val="left" w:leader="none"/>
        </w:tabs>
        <w:spacing w:line="446" w:lineRule="auto" w:before="0" w:after="0"/>
        <w:ind w:left="418" w:right="1505" w:firstLine="419"/>
        <w:jc w:val="left"/>
        <w:rPr>
          <w:sz w:val="21"/>
        </w:rPr>
      </w:pPr>
      <w:r>
        <w:rPr>
          <w:spacing w:val="-3"/>
          <w:sz w:val="21"/>
        </w:rPr>
        <w:t>由火灾自动报警系统等建筑消防设施模拟生成火警，进行火灾报警信息发送试验，每</w:t>
      </w:r>
      <w:r>
        <w:rPr>
          <w:spacing w:val="-8"/>
          <w:sz w:val="21"/>
        </w:rPr>
        <w:t>个月试验次数不应少于 </w:t>
      </w:r>
      <w:r>
        <w:rPr>
          <w:sz w:val="21"/>
        </w:rPr>
        <w:t>2</w:t>
      </w:r>
      <w:r>
        <w:rPr>
          <w:spacing w:val="-20"/>
          <w:sz w:val="21"/>
        </w:rPr>
        <w:t> 次。</w:t>
      </w:r>
      <w:r>
        <w:rPr>
          <w:sz w:val="21"/>
        </w:rPr>
        <w:t> </w:t>
      </w:r>
    </w:p>
    <w:p>
      <w:pPr>
        <w:pStyle w:val="ListParagraph"/>
        <w:numPr>
          <w:ilvl w:val="0"/>
          <w:numId w:val="425"/>
        </w:numPr>
        <w:tabs>
          <w:tab w:pos="1367" w:val="left" w:leader="none"/>
        </w:tabs>
        <w:spacing w:line="240" w:lineRule="auto" w:before="0" w:after="0"/>
        <w:ind w:left="1367" w:right="0" w:hanging="529"/>
        <w:jc w:val="left"/>
        <w:rPr>
          <w:sz w:val="21"/>
        </w:rPr>
      </w:pPr>
      <w:r>
        <w:rPr>
          <w:spacing w:val="-3"/>
          <w:sz w:val="21"/>
        </w:rPr>
        <w:t>对用户信息传输装置的主电源和备用电源进行切换试验，每半年的试验次数不应少于</w:t>
      </w:r>
    </w:p>
    <w:p>
      <w:pPr>
        <w:pStyle w:val="BodyText"/>
        <w:spacing w:before="12"/>
        <w:rPr>
          <w:sz w:val="17"/>
        </w:rPr>
      </w:pPr>
    </w:p>
    <w:p>
      <w:pPr>
        <w:pStyle w:val="BodyText"/>
        <w:ind w:left="418"/>
      </w:pPr>
      <w:r>
        <w:rPr/>
        <w:t>1 次。 </w:t>
      </w:r>
    </w:p>
    <w:p>
      <w:pPr>
        <w:pStyle w:val="BodyText"/>
        <w:spacing w:before="12"/>
        <w:rPr>
          <w:sz w:val="17"/>
        </w:rPr>
      </w:pPr>
    </w:p>
    <w:p>
      <w:pPr>
        <w:pStyle w:val="ListParagraph"/>
        <w:numPr>
          <w:ilvl w:val="2"/>
          <w:numId w:val="422"/>
        </w:numPr>
        <w:tabs>
          <w:tab w:pos="1371" w:val="left" w:leader="none"/>
        </w:tabs>
        <w:spacing w:line="446" w:lineRule="auto" w:before="0" w:after="0"/>
        <w:ind w:left="418" w:right="1604" w:firstLine="422"/>
        <w:jc w:val="left"/>
        <w:rPr>
          <w:sz w:val="21"/>
        </w:rPr>
      </w:pPr>
      <w:r>
        <w:rPr>
          <w:spacing w:val="-3"/>
          <w:sz w:val="21"/>
        </w:rPr>
        <w:t>监控中心通过用户服务系统向远程监控系统的联网用户提供该单位火灾报警和建筑消防设施故障情况统计月报表。</w:t>
      </w:r>
      <w:r>
        <w:rPr>
          <w:sz w:val="21"/>
        </w:rPr>
        <w:t> </w:t>
      </w:r>
    </w:p>
    <w:p>
      <w:pPr>
        <w:pStyle w:val="ListParagraph"/>
        <w:numPr>
          <w:ilvl w:val="2"/>
          <w:numId w:val="422"/>
        </w:numPr>
        <w:tabs>
          <w:tab w:pos="1371" w:val="left" w:leader="none"/>
        </w:tabs>
        <w:spacing w:line="446" w:lineRule="auto" w:before="1" w:after="0"/>
        <w:ind w:left="418" w:right="1507" w:firstLine="422"/>
        <w:jc w:val="left"/>
        <w:rPr>
          <w:sz w:val="21"/>
        </w:rPr>
      </w:pPr>
      <w:r>
        <w:rPr>
          <w:spacing w:val="-2"/>
          <w:sz w:val="21"/>
        </w:rPr>
        <w:t>联网用户人为停止火灾自动报警系统等建筑消防设施运行时，应提前通知监控中 心</w:t>
      </w:r>
      <w:r>
        <w:rPr>
          <w:spacing w:val="-5"/>
          <w:sz w:val="21"/>
        </w:rPr>
        <w:t>；联网用户的建筑消防设施故障造成误报警超过 </w:t>
      </w:r>
      <w:r>
        <w:rPr>
          <w:sz w:val="21"/>
        </w:rPr>
        <w:t>5</w:t>
      </w:r>
      <w:r>
        <w:rPr>
          <w:spacing w:val="-17"/>
          <w:sz w:val="21"/>
        </w:rPr>
        <w:t> 次</w:t>
      </w:r>
      <w:r>
        <w:rPr>
          <w:spacing w:val="-3"/>
          <w:sz w:val="21"/>
        </w:rPr>
        <w:t>/日，且不能及时修复时，应与监控中心协商处理办法。</w:t>
      </w:r>
      <w:r>
        <w:rPr>
          <w:sz w:val="21"/>
        </w:rPr>
        <w:t> </w:t>
      </w:r>
    </w:p>
    <w:p>
      <w:pPr>
        <w:spacing w:after="0" w:line="446" w:lineRule="auto"/>
        <w:jc w:val="left"/>
        <w:rPr>
          <w:sz w:val="21"/>
        </w:rPr>
        <w:sectPr>
          <w:pgSz w:w="11910" w:h="16850"/>
          <w:pgMar w:header="0" w:footer="1239" w:top="1220" w:bottom="1420" w:left="1260" w:right="0"/>
        </w:sectPr>
      </w:pPr>
    </w:p>
    <w:p>
      <w:pPr>
        <w:pStyle w:val="Heading2"/>
        <w:ind w:right="868"/>
      </w:pPr>
      <w:bookmarkStart w:name="_bookmark16" w:id="17"/>
      <w:bookmarkEnd w:id="17"/>
      <w:r>
        <w:rPr>
          <w:b w:val="0"/>
        </w:rPr>
      </w:r>
      <w:r>
        <w:rPr/>
        <w:t>防火门</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本标准规定了防火门的分类、代号与标记、要求、试验方法、检验规则、标志、包装、运输和贮存等内容。 </w:t>
      </w:r>
    </w:p>
    <w:p>
      <w:pPr>
        <w:pStyle w:val="BodyText"/>
        <w:spacing w:line="446" w:lineRule="auto"/>
        <w:ind w:left="418" w:right="1609" w:firstLine="419"/>
      </w:pPr>
      <w:r>
        <w:rPr/>
        <w:t>本标准适用于平开式木质、钢质、钢木质防火门和其他材质防火门。其他开启方式的防火门，可参照本标准执行。 </w:t>
      </w:r>
    </w:p>
    <w:p>
      <w:pPr>
        <w:pStyle w:val="Heading4"/>
        <w:spacing w:line="276" w:lineRule="exact"/>
      </w:pPr>
      <w:r>
        <w:rPr/>
        <w:t>2 规范性引用文件</w:t>
      </w:r>
      <w:r>
        <w:rPr>
          <w:w w:val="99"/>
        </w:rPr>
        <w:t> </w:t>
      </w:r>
    </w:p>
    <w:p>
      <w:pPr>
        <w:pStyle w:val="BodyText"/>
        <w:spacing w:before="6"/>
        <w:rPr>
          <w:b/>
          <w:sz w:val="17"/>
        </w:rPr>
      </w:pPr>
    </w:p>
    <w:p>
      <w:pPr>
        <w:pStyle w:val="BodyText"/>
        <w:spacing w:line="446" w:lineRule="auto"/>
        <w:ind w:left="418" w:right="1608" w:firstLine="419"/>
        <w:jc w:val="both"/>
      </w:pPr>
      <w:r>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 </w:t>
      </w:r>
    </w:p>
    <w:p>
      <w:pPr>
        <w:pStyle w:val="BodyText"/>
        <w:spacing w:line="446" w:lineRule="auto"/>
        <w:ind w:left="838" w:right="4134"/>
        <w:jc w:val="both"/>
      </w:pPr>
      <w:r>
        <w:rPr/>
        <w:t>GB/T 708 冷轧钢板和钢带的尺寸、外形、重量及允许偏差GB/T 709 热轧钢板和钢带的尺寸、外形、重量及允许偏差 </w:t>
      </w:r>
    </w:p>
    <w:p>
      <w:pPr>
        <w:pStyle w:val="BodyText"/>
        <w:spacing w:line="446" w:lineRule="auto"/>
        <w:ind w:left="418" w:right="1611" w:firstLine="419"/>
        <w:jc w:val="both"/>
      </w:pPr>
      <w:r>
        <w:rPr/>
        <w:t>GB/T 2828.1</w:t>
      </w:r>
      <w:r>
        <w:rPr>
          <w:spacing w:val="-6"/>
        </w:rPr>
        <w:t>  计数抽样检验程序   第 </w:t>
      </w:r>
      <w:r>
        <w:rPr/>
        <w:t>1</w:t>
      </w:r>
      <w:r>
        <w:rPr>
          <w:spacing w:val="-9"/>
        </w:rPr>
        <w:t> 部分：按接收质量限</w:t>
      </w:r>
      <w:r>
        <w:rPr/>
        <w:t>（AQL）</w:t>
      </w:r>
      <w:r>
        <w:rPr>
          <w:spacing w:val="-3"/>
        </w:rPr>
        <w:t>检索的逐批检验抽样计划</w:t>
      </w:r>
      <w:r>
        <w:rPr/>
        <w:t>（GB/T 2828.1—2003，ISO 2859—1：1999，IDT） </w:t>
      </w:r>
    </w:p>
    <w:p>
      <w:pPr>
        <w:pStyle w:val="BodyText"/>
        <w:spacing w:line="446" w:lineRule="auto"/>
        <w:ind w:left="838" w:right="4659"/>
      </w:pPr>
      <w:r>
        <w:rPr/>
        <w:t>GB/T 4823—1995 锯材缺陷（eqv ISO 1029：1974） GB/T 5823—1986 建筑门窗术语 </w:t>
      </w:r>
    </w:p>
    <w:p>
      <w:pPr>
        <w:pStyle w:val="BodyText"/>
        <w:ind w:left="838"/>
      </w:pPr>
      <w:r>
        <w:rPr/>
        <w:t>GB/T 5824 建筑门窗洞口尺寸系列 </w:t>
      </w:r>
    </w:p>
    <w:p>
      <w:pPr>
        <w:pStyle w:val="BodyText"/>
        <w:spacing w:before="7"/>
        <w:rPr>
          <w:sz w:val="17"/>
        </w:rPr>
      </w:pPr>
    </w:p>
    <w:p>
      <w:pPr>
        <w:pStyle w:val="BodyText"/>
        <w:spacing w:line="448" w:lineRule="auto" w:before="1"/>
        <w:ind w:left="838" w:right="5394"/>
      </w:pPr>
      <w:r>
        <w:rPr/>
        <w:t>GB/T 5907—1986  消防基本术语  第一部分GB/T 6388 运输包装收发货标志 </w:t>
      </w:r>
    </w:p>
    <w:p>
      <w:pPr>
        <w:pStyle w:val="BodyText"/>
        <w:spacing w:line="264" w:lineRule="exact"/>
        <w:ind w:left="838"/>
      </w:pPr>
      <w:r>
        <w:rPr/>
        <w:t>GB/T 7633 门和卷帘的耐火试验方法 </w:t>
      </w:r>
    </w:p>
    <w:p>
      <w:pPr>
        <w:pStyle w:val="BodyText"/>
        <w:spacing w:before="12"/>
        <w:rPr>
          <w:sz w:val="17"/>
        </w:rPr>
      </w:pPr>
    </w:p>
    <w:p>
      <w:pPr>
        <w:pStyle w:val="BodyText"/>
        <w:spacing w:line="446" w:lineRule="auto"/>
        <w:ind w:left="838" w:right="5288"/>
      </w:pPr>
      <w:r>
        <w:rPr/>
        <w:t>GB 8624—2006</w:t>
      </w:r>
      <w:r>
        <w:rPr>
          <w:spacing w:val="-3"/>
        </w:rPr>
        <w:t> 建筑材料及制品燃烧性能分级GB/T</w:t>
      </w:r>
      <w:r>
        <w:rPr>
          <w:spacing w:val="63"/>
        </w:rPr>
        <w:t> </w:t>
      </w:r>
      <w:r>
        <w:rPr/>
        <w:t>8625—2005</w:t>
      </w:r>
      <w:r>
        <w:rPr>
          <w:spacing w:val="-1"/>
        </w:rPr>
        <w:t>   建筑材料难燃性试验方法</w:t>
      </w:r>
      <w:r>
        <w:rPr/>
        <w:t>GB</w:t>
      </w:r>
      <w:r>
        <w:rPr>
          <w:spacing w:val="79"/>
        </w:rPr>
        <w:t> </w:t>
      </w:r>
      <w:r>
        <w:rPr/>
        <w:t>9969.1</w:t>
      </w:r>
      <w:r>
        <w:rPr>
          <w:spacing w:val="4"/>
        </w:rPr>
        <w:t>   工业产品使用说明书   总则 </w:t>
      </w:r>
      <w:r>
        <w:rPr/>
        <w:t>GB/T 13306</w:t>
      </w:r>
      <w:r>
        <w:rPr>
          <w:spacing w:val="25"/>
        </w:rPr>
        <w:t> 标 牌 </w:t>
      </w:r>
    </w:p>
    <w:p>
      <w:pPr>
        <w:pStyle w:val="BodyText"/>
        <w:spacing w:line="446" w:lineRule="auto"/>
        <w:ind w:left="838" w:right="5711"/>
      </w:pPr>
      <w:r>
        <w:rPr/>
        <w:t>GB/T 14436   工业产品保证文件   总则GB 15763.1 建筑用安全玻璃 防火玻璃 </w:t>
      </w:r>
    </w:p>
    <w:p>
      <w:pPr>
        <w:spacing w:after="0" w:line="446" w:lineRule="auto"/>
        <w:sectPr>
          <w:pgSz w:w="11910" w:h="16850"/>
          <w:pgMar w:header="0" w:footer="1239" w:top="1140" w:bottom="1420" w:left="1260" w:right="0"/>
        </w:sectPr>
      </w:pPr>
    </w:p>
    <w:p>
      <w:pPr>
        <w:pStyle w:val="BodyText"/>
        <w:spacing w:before="47"/>
        <w:ind w:left="838"/>
      </w:pPr>
      <w:r>
        <w:rPr/>
        <w:t>GB 16807 防火膨胀密封件 </w:t>
      </w:r>
    </w:p>
    <w:p>
      <w:pPr>
        <w:pStyle w:val="BodyText"/>
        <w:rPr>
          <w:sz w:val="18"/>
        </w:rPr>
      </w:pPr>
    </w:p>
    <w:p>
      <w:pPr>
        <w:pStyle w:val="BodyText"/>
        <w:spacing w:line="446" w:lineRule="auto"/>
        <w:ind w:left="838" w:right="5605"/>
      </w:pPr>
      <w:r>
        <w:rPr/>
        <w:t>GB/T 20285—2006   材料产烟毒性危险分级GA 93 防火门闭门器 </w:t>
      </w:r>
    </w:p>
    <w:p>
      <w:pPr>
        <w:pStyle w:val="BodyText"/>
        <w:spacing w:line="446" w:lineRule="auto"/>
        <w:ind w:left="838" w:right="6445"/>
      </w:pPr>
      <w:r>
        <w:rPr/>
        <w:t>JG/T 122—2000 建筑木门、木窗QB/T 2474 弹子插芯门锁 </w:t>
      </w:r>
    </w:p>
    <w:p>
      <w:pPr>
        <w:pStyle w:val="Heading4"/>
        <w:spacing w:line="275" w:lineRule="exact"/>
      </w:pPr>
      <w:r>
        <w:rPr/>
        <w:t>3 术语和定义</w:t>
      </w:r>
      <w:r>
        <w:rPr>
          <w:w w:val="99"/>
        </w:rPr>
        <w:t> </w:t>
      </w:r>
    </w:p>
    <w:p>
      <w:pPr>
        <w:pStyle w:val="BodyText"/>
        <w:spacing w:before="6"/>
        <w:rPr>
          <w:b/>
          <w:sz w:val="17"/>
        </w:rPr>
      </w:pPr>
    </w:p>
    <w:p>
      <w:pPr>
        <w:pStyle w:val="BodyText"/>
        <w:ind w:left="838"/>
      </w:pPr>
      <w:r>
        <w:rPr/>
        <w:t>GB/T 5823—1986 和 GB/T 5907—1986 确立的以及下列术语和定义适用于本标准。 </w:t>
      </w:r>
    </w:p>
    <w:p>
      <w:pPr>
        <w:pStyle w:val="BodyText"/>
        <w:rPr>
          <w:sz w:val="18"/>
        </w:rPr>
      </w:pPr>
    </w:p>
    <w:p>
      <w:pPr>
        <w:pStyle w:val="ListParagraph"/>
        <w:numPr>
          <w:ilvl w:val="1"/>
          <w:numId w:val="426"/>
        </w:numPr>
        <w:tabs>
          <w:tab w:pos="1213" w:val="left" w:leader="none"/>
        </w:tabs>
        <w:spacing w:line="240" w:lineRule="auto" w:before="1" w:after="0"/>
        <w:ind w:left="1212" w:right="0" w:hanging="373"/>
        <w:jc w:val="left"/>
        <w:rPr>
          <w:b/>
          <w:sz w:val="21"/>
        </w:rPr>
      </w:pPr>
      <w:r>
        <w:rPr>
          <w:spacing w:val="12"/>
          <w:sz w:val="21"/>
        </w:rPr>
        <w:t>平开式防火门 </w:t>
      </w:r>
      <w:r>
        <w:rPr>
          <w:sz w:val="21"/>
        </w:rPr>
        <w:t>fire resistant</w:t>
      </w:r>
      <w:r>
        <w:rPr>
          <w:spacing w:val="1"/>
          <w:sz w:val="21"/>
        </w:rPr>
        <w:t> </w:t>
      </w:r>
      <w:r>
        <w:rPr>
          <w:sz w:val="21"/>
        </w:rPr>
        <w:t>side hung</w:t>
      </w:r>
      <w:r>
        <w:rPr>
          <w:spacing w:val="1"/>
          <w:sz w:val="21"/>
        </w:rPr>
        <w:t> </w:t>
      </w:r>
      <w:r>
        <w:rPr>
          <w:sz w:val="21"/>
        </w:rPr>
        <w:t>doorsets</w:t>
      </w:r>
      <w:r>
        <w:rPr>
          <w:b/>
          <w:w w:val="99"/>
          <w:sz w:val="21"/>
        </w:rPr>
        <w:t> </w:t>
      </w:r>
    </w:p>
    <w:p>
      <w:pPr>
        <w:pStyle w:val="BodyText"/>
        <w:spacing w:before="12"/>
        <w:rPr>
          <w:b/>
          <w:sz w:val="17"/>
        </w:rPr>
      </w:pPr>
    </w:p>
    <w:p>
      <w:pPr>
        <w:pStyle w:val="BodyText"/>
        <w:spacing w:line="446" w:lineRule="auto"/>
        <w:ind w:left="418" w:right="1609" w:firstLine="419"/>
      </w:pPr>
      <w:r>
        <w:rPr/>
        <w:t>由门框、门扇和防火铰链、防火锁等防火五金配件构成的，以铰链为轴垂直于地面，该轴可以沿顺时针或逆时针单一方向旋转以开启或关闭门扇的防火门。 </w:t>
      </w:r>
    </w:p>
    <w:p>
      <w:pPr>
        <w:pStyle w:val="ListParagraph"/>
        <w:numPr>
          <w:ilvl w:val="1"/>
          <w:numId w:val="426"/>
        </w:numPr>
        <w:tabs>
          <w:tab w:pos="1213" w:val="left" w:leader="none"/>
        </w:tabs>
        <w:spacing w:line="240" w:lineRule="auto" w:before="0" w:after="0"/>
        <w:ind w:left="1212" w:right="0" w:hanging="373"/>
        <w:jc w:val="left"/>
        <w:rPr>
          <w:b/>
          <w:sz w:val="21"/>
        </w:rPr>
      </w:pPr>
      <w:r>
        <w:rPr>
          <w:spacing w:val="14"/>
          <w:sz w:val="21"/>
        </w:rPr>
        <w:t>木质防火门 </w:t>
      </w:r>
      <w:r>
        <w:rPr>
          <w:sz w:val="21"/>
        </w:rPr>
        <w:t>fire</w:t>
      </w:r>
      <w:r>
        <w:rPr>
          <w:spacing w:val="1"/>
          <w:sz w:val="21"/>
        </w:rPr>
        <w:t> </w:t>
      </w:r>
      <w:r>
        <w:rPr>
          <w:sz w:val="21"/>
        </w:rPr>
        <w:t>resistant</w:t>
      </w:r>
      <w:r>
        <w:rPr>
          <w:spacing w:val="1"/>
          <w:sz w:val="21"/>
        </w:rPr>
        <w:t> </w:t>
      </w:r>
      <w:r>
        <w:rPr>
          <w:sz w:val="21"/>
        </w:rPr>
        <w:t>timber doorsets</w:t>
      </w:r>
      <w:r>
        <w:rPr>
          <w:b/>
          <w:w w:val="99"/>
          <w:sz w:val="21"/>
        </w:rPr>
        <w:t> </w:t>
      </w:r>
    </w:p>
    <w:p>
      <w:pPr>
        <w:pStyle w:val="BodyText"/>
        <w:spacing w:before="12"/>
        <w:rPr>
          <w:b/>
          <w:sz w:val="17"/>
        </w:rPr>
      </w:pPr>
    </w:p>
    <w:p>
      <w:pPr>
        <w:pStyle w:val="BodyText"/>
        <w:spacing w:line="446" w:lineRule="auto"/>
        <w:ind w:left="418" w:right="1609" w:firstLine="419"/>
      </w:pPr>
      <w:r>
        <w:rPr/>
        <w:t>用难燃木材或难燃木材制品作门框、门扇骨架和门扇面板，门扇内若填充材料，则填充对人体无毒无害的防火隔热材料，并配以防火五金配件所组成的具有一定耐火性能的门。 </w:t>
      </w:r>
    </w:p>
    <w:p>
      <w:pPr>
        <w:pStyle w:val="ListParagraph"/>
        <w:numPr>
          <w:ilvl w:val="1"/>
          <w:numId w:val="426"/>
        </w:numPr>
        <w:tabs>
          <w:tab w:pos="1213" w:val="left" w:leader="none"/>
        </w:tabs>
        <w:spacing w:line="240" w:lineRule="auto" w:before="0" w:after="0"/>
        <w:ind w:left="1212" w:right="0" w:hanging="373"/>
        <w:jc w:val="left"/>
        <w:rPr>
          <w:sz w:val="21"/>
        </w:rPr>
      </w:pPr>
      <w:r>
        <w:rPr>
          <w:spacing w:val="14"/>
          <w:sz w:val="21"/>
        </w:rPr>
        <w:t>钢质防火门 </w:t>
      </w:r>
      <w:r>
        <w:rPr>
          <w:sz w:val="21"/>
        </w:rPr>
        <w:t>fire resistant</w:t>
      </w:r>
      <w:r>
        <w:rPr>
          <w:spacing w:val="1"/>
          <w:sz w:val="21"/>
        </w:rPr>
        <w:t> </w:t>
      </w:r>
      <w:r>
        <w:rPr>
          <w:sz w:val="21"/>
        </w:rPr>
        <w:t>steel doorsets </w:t>
      </w:r>
    </w:p>
    <w:p>
      <w:pPr>
        <w:pStyle w:val="BodyText"/>
        <w:rPr>
          <w:sz w:val="18"/>
        </w:rPr>
      </w:pPr>
    </w:p>
    <w:p>
      <w:pPr>
        <w:pStyle w:val="BodyText"/>
        <w:spacing w:line="446" w:lineRule="auto"/>
        <w:ind w:left="418" w:right="1609" w:firstLine="419"/>
      </w:pPr>
      <w:r>
        <w:rPr/>
        <w:t>用钢质材料制作门框、门扇骨架和门扇面板，门扇内若填充材料，则填充对人体无毒无害的防火隔热材料，并配以防火五金配件所组成的具有一定耐火性能的门。 </w:t>
      </w:r>
    </w:p>
    <w:p>
      <w:pPr>
        <w:pStyle w:val="ListParagraph"/>
        <w:numPr>
          <w:ilvl w:val="1"/>
          <w:numId w:val="426"/>
        </w:numPr>
        <w:tabs>
          <w:tab w:pos="1213" w:val="left" w:leader="none"/>
        </w:tabs>
        <w:spacing w:line="240" w:lineRule="auto" w:before="0" w:after="0"/>
        <w:ind w:left="1212" w:right="0" w:hanging="373"/>
        <w:jc w:val="left"/>
        <w:rPr>
          <w:sz w:val="21"/>
        </w:rPr>
      </w:pPr>
      <w:r>
        <w:rPr>
          <w:spacing w:val="12"/>
          <w:sz w:val="21"/>
        </w:rPr>
        <w:t>钢木质防火门 </w:t>
      </w:r>
      <w:r>
        <w:rPr>
          <w:sz w:val="21"/>
        </w:rPr>
        <w:t>fire</w:t>
      </w:r>
      <w:r>
        <w:rPr>
          <w:spacing w:val="1"/>
          <w:sz w:val="21"/>
        </w:rPr>
        <w:t> </w:t>
      </w:r>
      <w:r>
        <w:rPr>
          <w:sz w:val="21"/>
        </w:rPr>
        <w:t>resistant timber</w:t>
      </w:r>
      <w:r>
        <w:rPr>
          <w:spacing w:val="-2"/>
          <w:sz w:val="21"/>
        </w:rPr>
        <w:t> </w:t>
      </w:r>
      <w:r>
        <w:rPr>
          <w:sz w:val="21"/>
        </w:rPr>
        <w:t>doorsets</w:t>
      </w:r>
      <w:r>
        <w:rPr>
          <w:spacing w:val="1"/>
          <w:sz w:val="21"/>
        </w:rPr>
        <w:t> </w:t>
      </w:r>
      <w:r>
        <w:rPr>
          <w:sz w:val="21"/>
        </w:rPr>
        <w:t>with steel</w:t>
      </w:r>
      <w:r>
        <w:rPr>
          <w:spacing w:val="1"/>
          <w:sz w:val="21"/>
        </w:rPr>
        <w:t> </w:t>
      </w:r>
      <w:r>
        <w:rPr>
          <w:sz w:val="21"/>
        </w:rPr>
        <w:t>structure </w:t>
      </w:r>
    </w:p>
    <w:p>
      <w:pPr>
        <w:pStyle w:val="BodyText"/>
        <w:spacing w:before="12"/>
        <w:rPr>
          <w:sz w:val="17"/>
        </w:rPr>
      </w:pPr>
    </w:p>
    <w:p>
      <w:pPr>
        <w:pStyle w:val="BodyText"/>
        <w:spacing w:line="446" w:lineRule="auto"/>
        <w:ind w:left="418" w:right="1608" w:firstLine="419"/>
        <w:jc w:val="both"/>
      </w:pPr>
      <w:r>
        <w:rPr/>
        <w:t>用钢质和难燃木质材料或难燃木材制品制作门框、门扇骨架、门扇面板，门扇内若填充材料，则填充对人体无毒无害的防火隔热材料，并配以防火五金配件所组成的具有一定耐火性能的门。 </w:t>
      </w:r>
    </w:p>
    <w:p>
      <w:pPr>
        <w:pStyle w:val="ListParagraph"/>
        <w:numPr>
          <w:ilvl w:val="1"/>
          <w:numId w:val="426"/>
        </w:numPr>
        <w:tabs>
          <w:tab w:pos="1213" w:val="left" w:leader="none"/>
        </w:tabs>
        <w:spacing w:line="268" w:lineRule="exact" w:before="0" w:after="0"/>
        <w:ind w:left="1212" w:right="0" w:hanging="373"/>
        <w:jc w:val="both"/>
        <w:rPr>
          <w:b/>
          <w:sz w:val="21"/>
        </w:rPr>
      </w:pPr>
      <w:r>
        <w:rPr>
          <w:spacing w:val="10"/>
          <w:sz w:val="21"/>
        </w:rPr>
        <w:t>其他材质防火门 </w:t>
      </w:r>
      <w:r>
        <w:rPr>
          <w:sz w:val="21"/>
        </w:rPr>
        <w:t>other material</w:t>
      </w:r>
      <w:r>
        <w:rPr>
          <w:spacing w:val="1"/>
          <w:sz w:val="21"/>
        </w:rPr>
        <w:t> </w:t>
      </w:r>
      <w:r>
        <w:rPr>
          <w:sz w:val="21"/>
        </w:rPr>
        <w:t>fire</w:t>
      </w:r>
      <w:r>
        <w:rPr>
          <w:spacing w:val="-2"/>
          <w:sz w:val="21"/>
        </w:rPr>
        <w:t> </w:t>
      </w:r>
      <w:r>
        <w:rPr>
          <w:sz w:val="21"/>
        </w:rPr>
        <w:t>resistant doorsets</w:t>
      </w:r>
      <w:r>
        <w:rPr>
          <w:b/>
          <w:w w:val="99"/>
          <w:sz w:val="21"/>
        </w:rPr>
        <w:t> </w:t>
      </w:r>
    </w:p>
    <w:p>
      <w:pPr>
        <w:pStyle w:val="BodyText"/>
        <w:spacing w:before="2"/>
        <w:rPr>
          <w:b/>
          <w:sz w:val="18"/>
        </w:rPr>
      </w:pPr>
    </w:p>
    <w:p>
      <w:pPr>
        <w:pStyle w:val="BodyText"/>
        <w:spacing w:line="446" w:lineRule="auto"/>
        <w:ind w:left="418" w:right="1608" w:firstLine="419"/>
        <w:jc w:val="both"/>
      </w:pPr>
      <w:r>
        <w:rPr/>
        <w:t>采用除钢质、难燃木材或难燃木材制品之外的无机不燃材料或部分采用钢质、难燃木材、难燃木材制品制作门框、门扇骨架和门扇面板，门扇内若填充材料，则填充对人体无毒无害的防火隔热材料，并配以防火五金配件所组成的具有一定耐火性能的门。 </w:t>
      </w:r>
    </w:p>
    <w:p>
      <w:pPr>
        <w:pStyle w:val="ListParagraph"/>
        <w:numPr>
          <w:ilvl w:val="1"/>
          <w:numId w:val="426"/>
        </w:numPr>
        <w:tabs>
          <w:tab w:pos="1213" w:val="left" w:leader="none"/>
        </w:tabs>
        <w:spacing w:line="268" w:lineRule="exact" w:before="0" w:after="0"/>
        <w:ind w:left="1212" w:right="0" w:hanging="373"/>
        <w:jc w:val="both"/>
        <w:rPr>
          <w:sz w:val="21"/>
        </w:rPr>
      </w:pPr>
      <w:r>
        <w:rPr>
          <w:spacing w:val="-3"/>
          <w:sz w:val="21"/>
        </w:rPr>
        <w:t>隔热防火门</w:t>
      </w:r>
      <w:r>
        <w:rPr>
          <w:sz w:val="21"/>
        </w:rPr>
        <w:t>（A</w:t>
      </w:r>
      <w:r>
        <w:rPr>
          <w:spacing w:val="-27"/>
          <w:sz w:val="21"/>
        </w:rPr>
        <w:t> 类</w:t>
      </w:r>
      <w:r>
        <w:rPr>
          <w:sz w:val="21"/>
        </w:rPr>
        <w:t>）</w:t>
      </w:r>
      <w:r>
        <w:rPr>
          <w:spacing w:val="-3"/>
          <w:sz w:val="21"/>
        </w:rPr>
        <w:t> </w:t>
      </w:r>
      <w:r>
        <w:rPr>
          <w:sz w:val="21"/>
        </w:rPr>
        <w:t>fully</w:t>
      </w:r>
      <w:r>
        <w:rPr>
          <w:spacing w:val="1"/>
          <w:sz w:val="21"/>
        </w:rPr>
        <w:t> </w:t>
      </w:r>
      <w:r>
        <w:rPr>
          <w:sz w:val="21"/>
        </w:rPr>
        <w:t>insulated doorsets </w:t>
      </w:r>
    </w:p>
    <w:p>
      <w:pPr>
        <w:pStyle w:val="BodyText"/>
        <w:rPr>
          <w:sz w:val="18"/>
        </w:rPr>
      </w:pPr>
    </w:p>
    <w:p>
      <w:pPr>
        <w:pStyle w:val="BodyText"/>
        <w:ind w:left="838"/>
      </w:pPr>
      <w:r>
        <w:rPr/>
        <w:t>在规定时间内，能同时满足耐火完整性和隔热性要求的防火门。 </w:t>
      </w:r>
    </w:p>
    <w:p>
      <w:pPr>
        <w:pStyle w:val="BodyText"/>
        <w:spacing w:before="12"/>
        <w:rPr>
          <w:sz w:val="17"/>
        </w:rPr>
      </w:pPr>
    </w:p>
    <w:p>
      <w:pPr>
        <w:pStyle w:val="ListParagraph"/>
        <w:numPr>
          <w:ilvl w:val="1"/>
          <w:numId w:val="426"/>
        </w:numPr>
        <w:tabs>
          <w:tab w:pos="1213" w:val="left" w:leader="none"/>
        </w:tabs>
        <w:spacing w:line="240" w:lineRule="auto" w:before="0" w:after="0"/>
        <w:ind w:left="1212" w:right="0" w:hanging="373"/>
        <w:jc w:val="left"/>
        <w:rPr>
          <w:sz w:val="21"/>
        </w:rPr>
      </w:pPr>
      <w:r>
        <w:rPr>
          <w:spacing w:val="-3"/>
          <w:sz w:val="21"/>
        </w:rPr>
        <w:t>部分隔热防火门</w:t>
      </w:r>
      <w:r>
        <w:rPr>
          <w:sz w:val="21"/>
        </w:rPr>
        <w:t>（B</w:t>
      </w:r>
      <w:r>
        <w:rPr>
          <w:spacing w:val="-29"/>
          <w:sz w:val="21"/>
        </w:rPr>
        <w:t> 类</w:t>
      </w:r>
      <w:r>
        <w:rPr>
          <w:sz w:val="21"/>
        </w:rPr>
        <w:t>） partially</w:t>
      </w:r>
      <w:r>
        <w:rPr>
          <w:spacing w:val="1"/>
          <w:sz w:val="21"/>
        </w:rPr>
        <w:t> </w:t>
      </w:r>
      <w:r>
        <w:rPr>
          <w:sz w:val="21"/>
        </w:rPr>
        <w:t>insulated</w:t>
      </w:r>
      <w:r>
        <w:rPr>
          <w:spacing w:val="-2"/>
          <w:sz w:val="21"/>
        </w:rPr>
        <w:t> </w:t>
      </w:r>
      <w:r>
        <w:rPr>
          <w:sz w:val="21"/>
        </w:rPr>
        <w:t>doorsets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11" w:firstLine="419"/>
      </w:pPr>
      <w:r>
        <w:rPr>
          <w:spacing w:val="-9"/>
        </w:rPr>
        <w:t>在规定大于等于 </w:t>
      </w:r>
      <w:r>
        <w:rPr/>
        <w:t>0.50 h</w:t>
      </w:r>
      <w:r>
        <w:rPr>
          <w:spacing w:val="-10"/>
        </w:rPr>
        <w:t> 内，满足耐火完整性和隔热性要求，在大于 </w:t>
      </w:r>
      <w:r>
        <w:rPr/>
        <w:t>0.50 h</w:t>
      </w:r>
      <w:r>
        <w:rPr>
          <w:spacing w:val="-9"/>
        </w:rPr>
        <w:t> 后所规定的时</w:t>
      </w:r>
      <w:r>
        <w:rPr>
          <w:spacing w:val="-5"/>
        </w:rPr>
        <w:t>间内，能满足耐火完整性要求的防火门。</w:t>
      </w:r>
      <w:r>
        <w:rPr/>
        <w:t> </w:t>
      </w:r>
    </w:p>
    <w:p>
      <w:pPr>
        <w:pStyle w:val="ListParagraph"/>
        <w:numPr>
          <w:ilvl w:val="1"/>
          <w:numId w:val="426"/>
        </w:numPr>
        <w:tabs>
          <w:tab w:pos="1213" w:val="left" w:leader="none"/>
        </w:tabs>
        <w:spacing w:line="446" w:lineRule="auto" w:before="0" w:after="0"/>
        <w:ind w:left="838" w:right="4969" w:firstLine="2"/>
        <w:jc w:val="left"/>
        <w:rPr>
          <w:sz w:val="21"/>
        </w:rPr>
      </w:pPr>
      <w:r>
        <w:rPr>
          <w:spacing w:val="-3"/>
          <w:sz w:val="21"/>
        </w:rPr>
        <w:t>非隔热防火门</w:t>
      </w:r>
      <w:r>
        <w:rPr>
          <w:sz w:val="21"/>
        </w:rPr>
        <w:t>（C</w:t>
      </w:r>
      <w:r>
        <w:rPr>
          <w:spacing w:val="-28"/>
          <w:sz w:val="21"/>
        </w:rPr>
        <w:t> 类</w:t>
      </w:r>
      <w:r>
        <w:rPr>
          <w:spacing w:val="-3"/>
          <w:sz w:val="21"/>
        </w:rPr>
        <w:t>）</w:t>
      </w:r>
      <w:r>
        <w:rPr>
          <w:spacing w:val="3"/>
          <w:sz w:val="21"/>
        </w:rPr>
        <w:t> </w:t>
      </w:r>
      <w:r>
        <w:rPr>
          <w:sz w:val="21"/>
        </w:rPr>
        <w:t>no</w:t>
      </w:r>
      <w:r>
        <w:rPr>
          <w:spacing w:val="2"/>
          <w:sz w:val="21"/>
        </w:rPr>
        <w:t> </w:t>
      </w:r>
      <w:r>
        <w:rPr>
          <w:sz w:val="21"/>
        </w:rPr>
        <w:t>insulated</w:t>
      </w:r>
      <w:r>
        <w:rPr>
          <w:spacing w:val="-1"/>
          <w:sz w:val="21"/>
        </w:rPr>
        <w:t> </w:t>
      </w:r>
      <w:r>
        <w:rPr>
          <w:sz w:val="21"/>
        </w:rPr>
        <w:t>doorsets </w:t>
      </w:r>
      <w:r>
        <w:rPr>
          <w:spacing w:val="-3"/>
          <w:sz w:val="21"/>
        </w:rPr>
        <w:t>在规定时间内，能满足耐火完整性要求的防火门。</w:t>
      </w:r>
      <w:r>
        <w:rPr>
          <w:sz w:val="21"/>
        </w:rPr>
        <w:t> </w:t>
      </w:r>
    </w:p>
    <w:p>
      <w:pPr>
        <w:pStyle w:val="Heading4"/>
        <w:spacing w:line="277" w:lineRule="exact"/>
      </w:pPr>
      <w:r>
        <w:rPr/>
        <w:t>4 分类、代号与标记</w:t>
      </w:r>
      <w:r>
        <w:rPr>
          <w:w w:val="99"/>
        </w:rPr>
        <w:t> </w:t>
      </w:r>
    </w:p>
    <w:p>
      <w:pPr>
        <w:pStyle w:val="BodyText"/>
        <w:spacing w:before="2"/>
        <w:rPr>
          <w:b/>
          <w:sz w:val="17"/>
        </w:rPr>
      </w:pPr>
    </w:p>
    <w:p>
      <w:pPr>
        <w:pStyle w:val="ListParagraph"/>
        <w:numPr>
          <w:ilvl w:val="1"/>
          <w:numId w:val="427"/>
        </w:numPr>
        <w:tabs>
          <w:tab w:pos="1160" w:val="left" w:leader="none"/>
        </w:tabs>
        <w:spacing w:line="240" w:lineRule="auto" w:before="0" w:after="0"/>
        <w:ind w:left="1159" w:right="0" w:hanging="320"/>
        <w:jc w:val="left"/>
        <w:rPr>
          <w:sz w:val="21"/>
        </w:rPr>
      </w:pPr>
      <w:r>
        <w:rPr>
          <w:spacing w:val="-3"/>
          <w:sz w:val="21"/>
        </w:rPr>
        <w:t>按材质分类及代号</w:t>
      </w:r>
      <w:r>
        <w:rPr>
          <w:sz w:val="21"/>
        </w:rPr>
        <w:t> </w:t>
      </w:r>
    </w:p>
    <w:p>
      <w:pPr>
        <w:pStyle w:val="BodyText"/>
        <w:spacing w:before="2"/>
        <w:rPr>
          <w:sz w:val="18"/>
        </w:rPr>
      </w:pPr>
    </w:p>
    <w:p>
      <w:pPr>
        <w:pStyle w:val="ListParagraph"/>
        <w:numPr>
          <w:ilvl w:val="2"/>
          <w:numId w:val="427"/>
        </w:numPr>
        <w:tabs>
          <w:tab w:pos="1371" w:val="left" w:leader="none"/>
        </w:tabs>
        <w:spacing w:line="240" w:lineRule="auto" w:before="0" w:after="0"/>
        <w:ind w:left="1370" w:right="0" w:hanging="531"/>
        <w:jc w:val="left"/>
        <w:rPr>
          <w:b/>
          <w:sz w:val="21"/>
        </w:rPr>
      </w:pPr>
      <w:r>
        <w:rPr>
          <w:spacing w:val="-3"/>
          <w:sz w:val="21"/>
        </w:rPr>
        <w:t>木质防火门，代号</w:t>
      </w:r>
      <w:r>
        <w:rPr>
          <w:sz w:val="21"/>
        </w:rPr>
        <w:t>：MFM</w:t>
      </w:r>
      <w:r>
        <w:rPr>
          <w:spacing w:val="-3"/>
          <w:sz w:val="21"/>
        </w:rPr>
        <w:t>。</w:t>
      </w:r>
      <w:r>
        <w:rPr>
          <w:b/>
          <w:w w:val="99"/>
          <w:sz w:val="21"/>
        </w:rPr>
        <w:t> </w:t>
      </w:r>
    </w:p>
    <w:p>
      <w:pPr>
        <w:pStyle w:val="BodyText"/>
        <w:rPr>
          <w:b/>
          <w:sz w:val="18"/>
        </w:rPr>
      </w:pPr>
    </w:p>
    <w:p>
      <w:pPr>
        <w:pStyle w:val="ListParagraph"/>
        <w:numPr>
          <w:ilvl w:val="2"/>
          <w:numId w:val="427"/>
        </w:numPr>
        <w:tabs>
          <w:tab w:pos="1370" w:val="left" w:leader="none"/>
        </w:tabs>
        <w:spacing w:line="240" w:lineRule="auto" w:before="0" w:after="0"/>
        <w:ind w:left="1369" w:right="0" w:hanging="530"/>
        <w:jc w:val="left"/>
        <w:rPr>
          <w:b/>
          <w:sz w:val="21"/>
        </w:rPr>
      </w:pPr>
      <w:r>
        <w:rPr>
          <w:spacing w:val="-3"/>
          <w:sz w:val="21"/>
        </w:rPr>
        <w:t>钢质防火门，代号</w:t>
      </w:r>
      <w:r>
        <w:rPr>
          <w:sz w:val="21"/>
        </w:rPr>
        <w:t>：GFM</w:t>
      </w:r>
      <w:r>
        <w:rPr>
          <w:spacing w:val="-3"/>
          <w:sz w:val="21"/>
        </w:rPr>
        <w:t>。</w:t>
      </w:r>
      <w:r>
        <w:rPr>
          <w:b/>
          <w:w w:val="99"/>
          <w:sz w:val="21"/>
        </w:rPr>
        <w:t> </w:t>
      </w:r>
    </w:p>
    <w:p>
      <w:pPr>
        <w:pStyle w:val="BodyText"/>
        <w:spacing w:before="12"/>
        <w:rPr>
          <w:b/>
          <w:sz w:val="17"/>
        </w:rPr>
      </w:pPr>
    </w:p>
    <w:p>
      <w:pPr>
        <w:pStyle w:val="ListParagraph"/>
        <w:numPr>
          <w:ilvl w:val="2"/>
          <w:numId w:val="427"/>
        </w:numPr>
        <w:tabs>
          <w:tab w:pos="1370" w:val="left" w:leader="none"/>
        </w:tabs>
        <w:spacing w:line="240" w:lineRule="auto" w:before="0" w:after="0"/>
        <w:ind w:left="1369" w:right="0" w:hanging="530"/>
        <w:jc w:val="left"/>
        <w:rPr>
          <w:b/>
          <w:sz w:val="21"/>
        </w:rPr>
      </w:pPr>
      <w:r>
        <w:rPr>
          <w:spacing w:val="-3"/>
          <w:sz w:val="21"/>
        </w:rPr>
        <w:t>钢木质防火门，代号</w:t>
      </w:r>
      <w:r>
        <w:rPr>
          <w:sz w:val="21"/>
        </w:rPr>
        <w:t>：GMFM</w:t>
      </w:r>
      <w:r>
        <w:rPr>
          <w:spacing w:val="-3"/>
          <w:sz w:val="21"/>
        </w:rPr>
        <w:t>。</w:t>
      </w:r>
      <w:r>
        <w:rPr>
          <w:b/>
          <w:w w:val="99"/>
          <w:sz w:val="21"/>
        </w:rPr>
        <w:t> </w:t>
      </w:r>
    </w:p>
    <w:p>
      <w:pPr>
        <w:pStyle w:val="BodyText"/>
        <w:spacing w:before="2"/>
        <w:rPr>
          <w:b/>
          <w:sz w:val="18"/>
        </w:rPr>
      </w:pPr>
    </w:p>
    <w:p>
      <w:pPr>
        <w:pStyle w:val="ListParagraph"/>
        <w:numPr>
          <w:ilvl w:val="2"/>
          <w:numId w:val="427"/>
        </w:numPr>
        <w:tabs>
          <w:tab w:pos="1370" w:val="left" w:leader="none"/>
        </w:tabs>
        <w:spacing w:line="240" w:lineRule="auto" w:before="0" w:after="0"/>
        <w:ind w:left="1369" w:right="0" w:hanging="530"/>
        <w:jc w:val="left"/>
        <w:rPr>
          <w:b/>
          <w:sz w:val="21"/>
        </w:rPr>
      </w:pPr>
      <w:r>
        <w:rPr>
          <w:spacing w:val="-3"/>
          <w:sz w:val="21"/>
        </w:rPr>
        <w:t>其他材质防火门，代号：</w:t>
      </w:r>
      <w:r>
        <w:rPr>
          <w:sz w:val="21"/>
        </w:rPr>
        <w:t>**FM。（**</w:t>
      </w:r>
      <w:r>
        <w:rPr>
          <w:spacing w:val="-3"/>
          <w:sz w:val="21"/>
        </w:rPr>
        <w:t>代表其他材质的具体表述大写拼音字母）</w:t>
      </w:r>
      <w:r>
        <w:rPr>
          <w:b/>
          <w:w w:val="99"/>
          <w:sz w:val="21"/>
        </w:rPr>
        <w:t> </w:t>
      </w:r>
    </w:p>
    <w:p>
      <w:pPr>
        <w:pStyle w:val="BodyText"/>
        <w:rPr>
          <w:b/>
          <w:sz w:val="18"/>
        </w:rPr>
      </w:pPr>
    </w:p>
    <w:p>
      <w:pPr>
        <w:pStyle w:val="ListParagraph"/>
        <w:numPr>
          <w:ilvl w:val="1"/>
          <w:numId w:val="427"/>
        </w:numPr>
        <w:tabs>
          <w:tab w:pos="1159" w:val="left" w:leader="none"/>
        </w:tabs>
        <w:spacing w:line="240" w:lineRule="auto" w:before="0" w:after="0"/>
        <w:ind w:left="1158" w:right="0" w:hanging="319"/>
        <w:jc w:val="left"/>
        <w:rPr>
          <w:sz w:val="21"/>
        </w:rPr>
      </w:pPr>
      <w:r>
        <w:rPr>
          <w:spacing w:val="-3"/>
          <w:sz w:val="21"/>
        </w:rPr>
        <w:t>按门扇数量分类及代号 </w:t>
      </w:r>
    </w:p>
    <w:p>
      <w:pPr>
        <w:pStyle w:val="BodyText"/>
        <w:spacing w:before="12"/>
        <w:rPr>
          <w:sz w:val="17"/>
        </w:rPr>
      </w:pPr>
    </w:p>
    <w:p>
      <w:pPr>
        <w:pStyle w:val="ListParagraph"/>
        <w:numPr>
          <w:ilvl w:val="2"/>
          <w:numId w:val="427"/>
        </w:numPr>
        <w:tabs>
          <w:tab w:pos="1371" w:val="left" w:leader="none"/>
        </w:tabs>
        <w:spacing w:line="240" w:lineRule="auto" w:before="0" w:after="0"/>
        <w:ind w:left="1370" w:right="0" w:hanging="531"/>
        <w:jc w:val="left"/>
        <w:rPr>
          <w:sz w:val="21"/>
        </w:rPr>
      </w:pPr>
      <w:r>
        <w:rPr>
          <w:spacing w:val="-7"/>
          <w:sz w:val="21"/>
        </w:rPr>
        <w:t>单扇防火门，代号为 </w:t>
      </w:r>
      <w:r>
        <w:rPr>
          <w:sz w:val="21"/>
        </w:rPr>
        <w:t>1</w:t>
      </w:r>
      <w:r>
        <w:rPr>
          <w:spacing w:val="-3"/>
          <w:sz w:val="21"/>
        </w:rPr>
        <w:t>。</w:t>
      </w:r>
      <w:r>
        <w:rPr>
          <w:sz w:val="21"/>
        </w:rPr>
        <w:t> </w:t>
      </w:r>
    </w:p>
    <w:p>
      <w:pPr>
        <w:pStyle w:val="BodyText"/>
        <w:spacing w:before="2"/>
        <w:rPr>
          <w:sz w:val="18"/>
        </w:rPr>
      </w:pPr>
    </w:p>
    <w:p>
      <w:pPr>
        <w:pStyle w:val="ListParagraph"/>
        <w:numPr>
          <w:ilvl w:val="2"/>
          <w:numId w:val="427"/>
        </w:numPr>
        <w:tabs>
          <w:tab w:pos="1371" w:val="left" w:leader="none"/>
        </w:tabs>
        <w:spacing w:line="240" w:lineRule="auto" w:before="0" w:after="0"/>
        <w:ind w:left="1370" w:right="0" w:hanging="531"/>
        <w:jc w:val="left"/>
        <w:rPr>
          <w:sz w:val="21"/>
        </w:rPr>
      </w:pPr>
      <w:r>
        <w:rPr>
          <w:spacing w:val="-7"/>
          <w:sz w:val="21"/>
        </w:rPr>
        <w:t>双扇防火门，代号为 </w:t>
      </w:r>
      <w:r>
        <w:rPr>
          <w:sz w:val="21"/>
        </w:rPr>
        <w:t>2</w:t>
      </w:r>
      <w:r>
        <w:rPr>
          <w:spacing w:val="-3"/>
          <w:sz w:val="21"/>
        </w:rPr>
        <w:t>。</w:t>
      </w:r>
      <w:r>
        <w:rPr>
          <w:sz w:val="21"/>
        </w:rPr>
        <w:t> </w:t>
      </w:r>
    </w:p>
    <w:p>
      <w:pPr>
        <w:pStyle w:val="BodyText"/>
        <w:rPr>
          <w:sz w:val="18"/>
        </w:rPr>
      </w:pPr>
    </w:p>
    <w:p>
      <w:pPr>
        <w:pStyle w:val="ListParagraph"/>
        <w:numPr>
          <w:ilvl w:val="2"/>
          <w:numId w:val="427"/>
        </w:numPr>
        <w:tabs>
          <w:tab w:pos="1370" w:val="left" w:leader="none"/>
        </w:tabs>
        <w:spacing w:line="240" w:lineRule="auto" w:before="0" w:after="0"/>
        <w:ind w:left="1369" w:right="0" w:hanging="530"/>
        <w:jc w:val="left"/>
        <w:rPr>
          <w:sz w:val="21"/>
        </w:rPr>
      </w:pPr>
      <w:r>
        <w:rPr>
          <w:spacing w:val="-3"/>
          <w:sz w:val="21"/>
        </w:rPr>
        <w:t>多扇防火门</w:t>
      </w:r>
      <w:r>
        <w:rPr>
          <w:sz w:val="21"/>
        </w:rPr>
        <w:t>（</w:t>
      </w:r>
      <w:r>
        <w:rPr>
          <w:spacing w:val="-3"/>
          <w:sz w:val="21"/>
        </w:rPr>
        <w:t>含有两个以上门扇的防火门</w:t>
      </w:r>
      <w:r>
        <w:rPr>
          <w:sz w:val="21"/>
        </w:rPr>
        <w:t>）</w:t>
      </w:r>
      <w:r>
        <w:rPr>
          <w:spacing w:val="-3"/>
          <w:sz w:val="21"/>
        </w:rPr>
        <w:t>，代号为门扇数量用数字表示。 </w:t>
      </w:r>
    </w:p>
    <w:p>
      <w:pPr>
        <w:pStyle w:val="BodyText"/>
        <w:spacing w:before="12"/>
        <w:rPr>
          <w:sz w:val="17"/>
        </w:rPr>
      </w:pPr>
    </w:p>
    <w:p>
      <w:pPr>
        <w:pStyle w:val="ListParagraph"/>
        <w:numPr>
          <w:ilvl w:val="1"/>
          <w:numId w:val="427"/>
        </w:numPr>
        <w:tabs>
          <w:tab w:pos="1159" w:val="left" w:leader="none"/>
        </w:tabs>
        <w:spacing w:line="240" w:lineRule="auto" w:before="0" w:after="0"/>
        <w:ind w:left="1158" w:right="0" w:hanging="319"/>
        <w:jc w:val="left"/>
        <w:rPr>
          <w:sz w:val="21"/>
        </w:rPr>
      </w:pPr>
      <w:r>
        <w:rPr>
          <w:spacing w:val="-3"/>
          <w:sz w:val="21"/>
        </w:rPr>
        <w:t>按结构形式分类及代号 </w:t>
      </w:r>
    </w:p>
    <w:p>
      <w:pPr>
        <w:pStyle w:val="BodyText"/>
        <w:spacing w:before="2"/>
        <w:rPr>
          <w:sz w:val="18"/>
        </w:rPr>
      </w:pPr>
    </w:p>
    <w:p>
      <w:pPr>
        <w:pStyle w:val="ListParagraph"/>
        <w:numPr>
          <w:ilvl w:val="2"/>
          <w:numId w:val="427"/>
        </w:numPr>
        <w:tabs>
          <w:tab w:pos="1370" w:val="left" w:leader="none"/>
        </w:tabs>
        <w:spacing w:line="240" w:lineRule="auto" w:before="0" w:after="0"/>
        <w:ind w:left="1369" w:right="0" w:hanging="530"/>
        <w:jc w:val="left"/>
        <w:rPr>
          <w:sz w:val="21"/>
        </w:rPr>
      </w:pPr>
      <w:r>
        <w:rPr>
          <w:spacing w:val="-6"/>
          <w:sz w:val="21"/>
        </w:rPr>
        <w:t>门扇上带防火玻璃的防火门，代号为 </w:t>
      </w:r>
      <w:r>
        <w:rPr>
          <w:spacing w:val="-3"/>
          <w:sz w:val="21"/>
        </w:rPr>
        <w:t>b</w:t>
      </w:r>
      <w:r>
        <w:rPr>
          <w:sz w:val="21"/>
        </w:rPr>
        <w:t>。 </w:t>
      </w:r>
    </w:p>
    <w:p>
      <w:pPr>
        <w:pStyle w:val="BodyText"/>
        <w:rPr>
          <w:sz w:val="18"/>
        </w:rPr>
      </w:pPr>
    </w:p>
    <w:p>
      <w:pPr>
        <w:pStyle w:val="ListParagraph"/>
        <w:numPr>
          <w:ilvl w:val="2"/>
          <w:numId w:val="427"/>
        </w:numPr>
        <w:tabs>
          <w:tab w:pos="1371" w:val="left" w:leader="none"/>
        </w:tabs>
        <w:spacing w:line="240" w:lineRule="auto" w:before="0" w:after="0"/>
        <w:ind w:left="1370" w:right="0" w:hanging="531"/>
        <w:jc w:val="left"/>
        <w:rPr>
          <w:sz w:val="21"/>
        </w:rPr>
      </w:pPr>
      <w:r>
        <w:rPr>
          <w:spacing w:val="-7"/>
          <w:sz w:val="21"/>
        </w:rPr>
        <w:t>防火门门框：门框双槽口代号为 </w:t>
      </w:r>
      <w:r>
        <w:rPr>
          <w:sz w:val="21"/>
        </w:rPr>
        <w:t>s</w:t>
      </w:r>
      <w:r>
        <w:rPr>
          <w:spacing w:val="-10"/>
          <w:sz w:val="21"/>
        </w:rPr>
        <w:t>，单槽口代号为 </w:t>
      </w:r>
      <w:r>
        <w:rPr>
          <w:sz w:val="21"/>
        </w:rPr>
        <w:t>d</w:t>
      </w:r>
      <w:r>
        <w:rPr>
          <w:spacing w:val="-3"/>
          <w:sz w:val="21"/>
        </w:rPr>
        <w:t>。</w:t>
      </w:r>
      <w:r>
        <w:rPr>
          <w:sz w:val="21"/>
        </w:rPr>
        <w:t> </w:t>
      </w:r>
    </w:p>
    <w:p>
      <w:pPr>
        <w:pStyle w:val="BodyText"/>
        <w:spacing w:before="12"/>
        <w:rPr>
          <w:sz w:val="17"/>
        </w:rPr>
      </w:pPr>
    </w:p>
    <w:p>
      <w:pPr>
        <w:pStyle w:val="ListParagraph"/>
        <w:numPr>
          <w:ilvl w:val="2"/>
          <w:numId w:val="427"/>
        </w:numPr>
        <w:tabs>
          <w:tab w:pos="1371" w:val="left" w:leader="none"/>
        </w:tabs>
        <w:spacing w:line="240" w:lineRule="auto" w:before="0" w:after="0"/>
        <w:ind w:left="1370" w:right="0" w:hanging="531"/>
        <w:jc w:val="left"/>
        <w:rPr>
          <w:sz w:val="21"/>
        </w:rPr>
      </w:pPr>
      <w:r>
        <w:rPr>
          <w:spacing w:val="-8"/>
          <w:sz w:val="21"/>
        </w:rPr>
        <w:t>带亮窗防火门，代号为 </w:t>
      </w:r>
      <w:r>
        <w:rPr>
          <w:spacing w:val="-3"/>
          <w:sz w:val="21"/>
        </w:rPr>
        <w:t>l。</w:t>
      </w:r>
      <w:r>
        <w:rPr>
          <w:sz w:val="21"/>
        </w:rPr>
        <w:t> </w:t>
      </w:r>
    </w:p>
    <w:p>
      <w:pPr>
        <w:pStyle w:val="BodyText"/>
        <w:spacing w:before="2"/>
        <w:rPr>
          <w:sz w:val="18"/>
        </w:rPr>
      </w:pPr>
    </w:p>
    <w:p>
      <w:pPr>
        <w:pStyle w:val="ListParagraph"/>
        <w:numPr>
          <w:ilvl w:val="2"/>
          <w:numId w:val="427"/>
        </w:numPr>
        <w:tabs>
          <w:tab w:pos="1371" w:val="left" w:leader="none"/>
        </w:tabs>
        <w:spacing w:line="240" w:lineRule="auto" w:before="0" w:after="0"/>
        <w:ind w:left="1370" w:right="0" w:hanging="531"/>
        <w:jc w:val="left"/>
        <w:rPr>
          <w:sz w:val="21"/>
        </w:rPr>
      </w:pPr>
      <w:r>
        <w:rPr>
          <w:spacing w:val="-7"/>
          <w:sz w:val="21"/>
        </w:rPr>
        <w:t>带玻璃带亮窗防火门，代号为 </w:t>
      </w:r>
      <w:r>
        <w:rPr>
          <w:sz w:val="21"/>
        </w:rPr>
        <w:t>bl</w:t>
      </w:r>
      <w:r>
        <w:rPr>
          <w:spacing w:val="-3"/>
          <w:sz w:val="21"/>
        </w:rPr>
        <w:t>。</w:t>
      </w:r>
      <w:r>
        <w:rPr>
          <w:sz w:val="21"/>
        </w:rPr>
        <w:t> </w:t>
      </w:r>
    </w:p>
    <w:p>
      <w:pPr>
        <w:pStyle w:val="BodyText"/>
        <w:rPr>
          <w:sz w:val="18"/>
        </w:rPr>
      </w:pPr>
    </w:p>
    <w:p>
      <w:pPr>
        <w:pStyle w:val="ListParagraph"/>
        <w:numPr>
          <w:ilvl w:val="2"/>
          <w:numId w:val="427"/>
        </w:numPr>
        <w:tabs>
          <w:tab w:pos="1371" w:val="left" w:leader="none"/>
        </w:tabs>
        <w:spacing w:line="240" w:lineRule="auto" w:before="0" w:after="0"/>
        <w:ind w:left="1370" w:right="0" w:hanging="531"/>
        <w:jc w:val="left"/>
        <w:rPr>
          <w:sz w:val="21"/>
        </w:rPr>
      </w:pPr>
      <w:r>
        <w:rPr>
          <w:spacing w:val="-3"/>
          <w:sz w:val="21"/>
        </w:rPr>
        <w:t>无玻璃防火门，代号略。</w:t>
      </w:r>
      <w:r>
        <w:rPr>
          <w:sz w:val="21"/>
        </w:rPr>
        <w:t> </w:t>
      </w:r>
    </w:p>
    <w:p>
      <w:pPr>
        <w:pStyle w:val="BodyText"/>
        <w:spacing w:before="12"/>
        <w:rPr>
          <w:sz w:val="17"/>
        </w:rPr>
      </w:pPr>
    </w:p>
    <w:p>
      <w:pPr>
        <w:pStyle w:val="ListParagraph"/>
        <w:numPr>
          <w:ilvl w:val="1"/>
          <w:numId w:val="427"/>
        </w:numPr>
        <w:tabs>
          <w:tab w:pos="1160" w:val="left" w:leader="none"/>
        </w:tabs>
        <w:spacing w:line="240" w:lineRule="auto" w:before="0" w:after="0"/>
        <w:ind w:left="1159" w:right="0" w:hanging="320"/>
        <w:jc w:val="left"/>
        <w:rPr>
          <w:b/>
          <w:sz w:val="21"/>
        </w:rPr>
      </w:pPr>
      <w:r>
        <w:rPr>
          <w:spacing w:val="-3"/>
          <w:sz w:val="21"/>
        </w:rPr>
        <w:t>按耐火性能分类及代号</w:t>
      </w:r>
      <w:r>
        <w:rPr>
          <w:b/>
          <w:spacing w:val="-3"/>
          <w:w w:val="99"/>
          <w:sz w:val="21"/>
        </w:rPr>
        <w:t> </w:t>
      </w:r>
    </w:p>
    <w:p>
      <w:pPr>
        <w:pStyle w:val="BodyText"/>
        <w:spacing w:before="2"/>
        <w:rPr>
          <w:b/>
          <w:sz w:val="18"/>
        </w:rPr>
      </w:pPr>
    </w:p>
    <w:p>
      <w:pPr>
        <w:pStyle w:val="BodyText"/>
        <w:ind w:left="838"/>
      </w:pPr>
      <w:r>
        <w:rPr/>
        <w:t>防火门按耐火性能的分类及代号见表 1。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6"/>
        <w:spacing w:before="71"/>
        <w:ind w:right="490"/>
        <w:jc w:val="center"/>
      </w:pPr>
      <w:r>
        <w:rPr>
          <w:w w:val="99"/>
        </w:rPr>
        <w:t> </w:t>
      </w:r>
    </w:p>
    <w:p>
      <w:pPr>
        <w:spacing w:after="0"/>
        <w:jc w:val="center"/>
        <w:sectPr>
          <w:pgSz w:w="11910" w:h="16850"/>
          <w:pgMar w:header="0" w:footer="1239" w:top="1220" w:bottom="1420" w:left="126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4"/>
        </w:rPr>
      </w:pPr>
    </w:p>
    <w:p>
      <w:pPr>
        <w:spacing w:before="72"/>
        <w:ind w:left="0" w:right="492" w:firstLine="0"/>
        <w:jc w:val="center"/>
        <w:rPr>
          <w:b/>
          <w:sz w:val="21"/>
        </w:rPr>
      </w:pPr>
      <w:r>
        <w:rPr>
          <w:b/>
          <w:sz w:val="21"/>
        </w:rPr>
        <w:t>表 1 按耐火性能分类</w:t>
      </w:r>
      <w:r>
        <w:rPr>
          <w:b/>
          <w:w w:val="99"/>
          <w:sz w:val="21"/>
        </w:rPr>
        <w:t> </w:t>
      </w:r>
    </w:p>
    <w:p>
      <w:pPr>
        <w:pStyle w:val="BodyText"/>
        <w:spacing w:before="4"/>
        <w:rPr>
          <w:b/>
          <w:sz w:val="15"/>
        </w:rPr>
      </w:pPr>
      <w:r>
        <w:rPr/>
        <w:drawing>
          <wp:anchor distT="0" distB="0" distL="0" distR="0" allowOverlap="1" layoutInCell="1" locked="0" behindDoc="0" simplePos="0" relativeHeight="155">
            <wp:simplePos x="0" y="0"/>
            <wp:positionH relativeFrom="page">
              <wp:posOffset>1389380</wp:posOffset>
            </wp:positionH>
            <wp:positionV relativeFrom="paragraph">
              <wp:posOffset>149471</wp:posOffset>
            </wp:positionV>
            <wp:extent cx="4924912" cy="5229225"/>
            <wp:effectExtent l="0" t="0" r="0" b="0"/>
            <wp:wrapTopAndBottom/>
            <wp:docPr id="337" name="image205.jpeg"/>
            <wp:cNvGraphicFramePr>
              <a:graphicFrameLocks noChangeAspect="1"/>
            </wp:cNvGraphicFramePr>
            <a:graphic>
              <a:graphicData uri="http://schemas.openxmlformats.org/drawingml/2006/picture">
                <pic:pic>
                  <pic:nvPicPr>
                    <pic:cNvPr id="338" name="image205.jpeg"/>
                    <pic:cNvPicPr/>
                  </pic:nvPicPr>
                  <pic:blipFill>
                    <a:blip r:embed="rId251" cstate="print"/>
                    <a:stretch>
                      <a:fillRect/>
                    </a:stretch>
                  </pic:blipFill>
                  <pic:spPr>
                    <a:xfrm>
                      <a:off x="0" y="0"/>
                      <a:ext cx="4924912" cy="5229225"/>
                    </a:xfrm>
                    <a:prstGeom prst="rect">
                      <a:avLst/>
                    </a:prstGeom>
                  </pic:spPr>
                </pic:pic>
              </a:graphicData>
            </a:graphic>
          </wp:anchor>
        </w:drawing>
      </w:r>
    </w:p>
    <w:p>
      <w:pPr>
        <w:pStyle w:val="BodyText"/>
        <w:rPr>
          <w:b/>
          <w:sz w:val="20"/>
        </w:rPr>
      </w:pPr>
    </w:p>
    <w:p>
      <w:pPr>
        <w:pStyle w:val="BodyText"/>
        <w:rPr>
          <w:b/>
          <w:sz w:val="20"/>
        </w:rPr>
      </w:pPr>
    </w:p>
    <w:p>
      <w:pPr>
        <w:pStyle w:val="ListParagraph"/>
        <w:numPr>
          <w:ilvl w:val="1"/>
          <w:numId w:val="427"/>
        </w:numPr>
        <w:tabs>
          <w:tab w:pos="1159" w:val="left" w:leader="none"/>
        </w:tabs>
        <w:spacing w:line="240" w:lineRule="auto" w:before="148" w:after="0"/>
        <w:ind w:left="1158" w:right="0" w:hanging="319"/>
        <w:jc w:val="left"/>
        <w:rPr>
          <w:sz w:val="21"/>
        </w:rPr>
      </w:pPr>
      <w:r>
        <w:rPr>
          <w:spacing w:val="-3"/>
          <w:sz w:val="21"/>
        </w:rPr>
        <w:t>其他代号、标记</w:t>
      </w:r>
      <w:r>
        <w:rPr>
          <w:sz w:val="21"/>
        </w:rPr>
        <w:t> </w:t>
      </w:r>
    </w:p>
    <w:p>
      <w:pPr>
        <w:pStyle w:val="BodyText"/>
        <w:spacing w:before="12"/>
        <w:rPr>
          <w:sz w:val="17"/>
        </w:rPr>
      </w:pPr>
    </w:p>
    <w:p>
      <w:pPr>
        <w:pStyle w:val="ListParagraph"/>
        <w:numPr>
          <w:ilvl w:val="2"/>
          <w:numId w:val="427"/>
        </w:numPr>
        <w:tabs>
          <w:tab w:pos="1370" w:val="left" w:leader="none"/>
        </w:tabs>
        <w:spacing w:line="240" w:lineRule="auto" w:before="0" w:after="0"/>
        <w:ind w:left="1369" w:right="0" w:hanging="530"/>
        <w:jc w:val="left"/>
        <w:rPr>
          <w:b/>
          <w:sz w:val="21"/>
        </w:rPr>
      </w:pPr>
      <w:r>
        <w:rPr>
          <w:spacing w:val="-3"/>
          <w:sz w:val="21"/>
        </w:rPr>
        <w:t>其他代号</w:t>
      </w:r>
      <w:r>
        <w:rPr>
          <w:b/>
          <w:w w:val="99"/>
          <w:sz w:val="21"/>
        </w:rPr>
        <w:t> </w:t>
      </w:r>
    </w:p>
    <w:p>
      <w:pPr>
        <w:pStyle w:val="BodyText"/>
        <w:rPr>
          <w:b/>
          <w:sz w:val="18"/>
        </w:rPr>
      </w:pPr>
    </w:p>
    <w:p>
      <w:pPr>
        <w:pStyle w:val="ListParagraph"/>
        <w:numPr>
          <w:ilvl w:val="3"/>
          <w:numId w:val="427"/>
        </w:numPr>
        <w:tabs>
          <w:tab w:pos="1576" w:val="left" w:leader="none"/>
        </w:tabs>
        <w:spacing w:line="240" w:lineRule="auto" w:before="0" w:after="0"/>
        <w:ind w:left="1575" w:right="0" w:hanging="738"/>
        <w:jc w:val="left"/>
        <w:rPr>
          <w:sz w:val="21"/>
        </w:rPr>
      </w:pPr>
      <w:r>
        <w:rPr>
          <w:spacing w:val="-3"/>
          <w:sz w:val="21"/>
        </w:rPr>
        <w:t>下框代号</w:t>
      </w:r>
      <w:r>
        <w:rPr>
          <w:sz w:val="21"/>
        </w:rPr>
        <w:t> </w:t>
      </w:r>
    </w:p>
    <w:p>
      <w:pPr>
        <w:pStyle w:val="BodyText"/>
        <w:spacing w:before="2"/>
        <w:rPr>
          <w:sz w:val="18"/>
        </w:rPr>
      </w:pPr>
    </w:p>
    <w:p>
      <w:pPr>
        <w:pStyle w:val="BodyText"/>
        <w:spacing w:line="446" w:lineRule="auto"/>
        <w:ind w:left="838" w:right="6549"/>
      </w:pPr>
      <w:r>
        <w:rPr>
          <w:spacing w:val="-1"/>
        </w:rPr>
        <w:t>有下框的防火门代号为 </w:t>
      </w:r>
      <w:r>
        <w:rPr>
          <w:spacing w:val="-3"/>
        </w:rPr>
        <w:t>k</w:t>
      </w:r>
      <w:r>
        <w:rPr/>
        <w:t>。4.5.1.2</w:t>
      </w:r>
      <w:r>
        <w:rPr>
          <w:spacing w:val="13"/>
        </w:rPr>
        <w:t> </w:t>
      </w:r>
      <w:r>
        <w:rPr>
          <w:spacing w:val="-3"/>
        </w:rPr>
        <w:t>平开门门扇关闭方向代号</w:t>
      </w:r>
      <w:r>
        <w:rPr/>
        <w:t> </w:t>
      </w:r>
    </w:p>
    <w:p>
      <w:pPr>
        <w:spacing w:after="0" w:line="446" w:lineRule="auto"/>
        <w:sectPr>
          <w:pgSz w:w="11910" w:h="16850"/>
          <w:pgMar w:header="0" w:footer="1239" w:top="1600" w:bottom="1420" w:left="1260" w:right="0"/>
        </w:sectPr>
      </w:pPr>
    </w:p>
    <w:p>
      <w:pPr>
        <w:pStyle w:val="BodyText"/>
        <w:spacing w:before="47"/>
        <w:ind w:left="838"/>
      </w:pPr>
      <w:r>
        <w:rPr/>
        <w:t>平开门门扇关闭方向代号见表 2。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6"/>
        <w:spacing w:before="71"/>
        <w:ind w:right="490"/>
        <w:jc w:val="center"/>
      </w:pPr>
      <w:r>
        <w:rPr/>
        <w:t>表 2 平开门门扇关闭方向代号</w:t>
      </w:r>
      <w:r>
        <w:rPr>
          <w:w w:val="99"/>
        </w:rPr>
        <w:t> </w:t>
      </w:r>
    </w:p>
    <w:p>
      <w:pPr>
        <w:pStyle w:val="BodyText"/>
        <w:spacing w:before="11"/>
        <w:rPr>
          <w:b/>
          <w:sz w:val="22"/>
        </w:rPr>
      </w:pPr>
      <w:r>
        <w:rPr/>
        <w:drawing>
          <wp:anchor distT="0" distB="0" distL="0" distR="0" allowOverlap="1" layoutInCell="1" locked="0" behindDoc="0" simplePos="0" relativeHeight="156">
            <wp:simplePos x="0" y="0"/>
            <wp:positionH relativeFrom="page">
              <wp:posOffset>1330325</wp:posOffset>
            </wp:positionH>
            <wp:positionV relativeFrom="paragraph">
              <wp:posOffset>210748</wp:posOffset>
            </wp:positionV>
            <wp:extent cx="4405136" cy="3048000"/>
            <wp:effectExtent l="0" t="0" r="0" b="0"/>
            <wp:wrapTopAndBottom/>
            <wp:docPr id="339" name="image206.jpeg"/>
            <wp:cNvGraphicFramePr>
              <a:graphicFrameLocks noChangeAspect="1"/>
            </wp:cNvGraphicFramePr>
            <a:graphic>
              <a:graphicData uri="http://schemas.openxmlformats.org/drawingml/2006/picture">
                <pic:pic>
                  <pic:nvPicPr>
                    <pic:cNvPr id="340" name="image206.jpeg"/>
                    <pic:cNvPicPr/>
                  </pic:nvPicPr>
                  <pic:blipFill>
                    <a:blip r:embed="rId252" cstate="print"/>
                    <a:stretch>
                      <a:fillRect/>
                    </a:stretch>
                  </pic:blipFill>
                  <pic:spPr>
                    <a:xfrm>
                      <a:off x="0" y="0"/>
                      <a:ext cx="4405136" cy="3048000"/>
                    </a:xfrm>
                    <a:prstGeom prst="rect">
                      <a:avLst/>
                    </a:prstGeom>
                  </pic:spPr>
                </pic:pic>
              </a:graphicData>
            </a:graphic>
          </wp:anchor>
        </w:drawing>
      </w:r>
    </w:p>
    <w:p>
      <w:pPr>
        <w:pStyle w:val="BodyText"/>
        <w:spacing w:before="4"/>
        <w:rPr>
          <w:b/>
          <w:sz w:val="16"/>
        </w:rPr>
      </w:pPr>
    </w:p>
    <w:p>
      <w:pPr>
        <w:pStyle w:val="BodyText"/>
        <w:spacing w:line="446" w:lineRule="auto"/>
        <w:ind w:left="840" w:right="3817" w:hanging="3"/>
        <w:rPr>
          <w:b/>
        </w:rPr>
      </w:pPr>
      <w:r>
        <w:rPr/>
        <w:t>注：双扇防火门关闭方向代号，以安装锁的门扇关闭方向表示。</w:t>
      </w:r>
      <w:r>
        <w:rPr>
          <w:b/>
        </w:rPr>
        <w:t>4.5.2 </w:t>
      </w:r>
      <w:r>
        <w:rPr/>
        <w:t>标记</w:t>
      </w:r>
      <w:r>
        <w:rPr>
          <w:b/>
          <w:w w:val="99"/>
        </w:rPr>
        <w:t> </w:t>
      </w:r>
    </w:p>
    <w:p>
      <w:pPr>
        <w:pStyle w:val="BodyText"/>
        <w:spacing w:before="1"/>
        <w:ind w:left="838"/>
      </w:pPr>
      <w:r>
        <w:rPr/>
        <w:t>防火门标记为： </w:t>
      </w:r>
    </w:p>
    <w:p>
      <w:pPr>
        <w:spacing w:after="0"/>
        <w:sectPr>
          <w:pgSz w:w="11910" w:h="16850"/>
          <w:pgMar w:header="0" w:footer="1239" w:top="1220" w:bottom="1420" w:left="1260" w:right="0"/>
        </w:sectPr>
      </w:pPr>
    </w:p>
    <w:p>
      <w:pPr>
        <w:pStyle w:val="BodyText"/>
        <w:ind w:left="1078"/>
        <w:rPr>
          <w:sz w:val="20"/>
        </w:rPr>
      </w:pPr>
      <w:r>
        <w:rPr>
          <w:sz w:val="20"/>
        </w:rPr>
        <w:drawing>
          <wp:inline distT="0" distB="0" distL="0" distR="0">
            <wp:extent cx="4345893" cy="2133600"/>
            <wp:effectExtent l="0" t="0" r="0" b="0"/>
            <wp:docPr id="341" name="image207.jpeg"/>
            <wp:cNvGraphicFramePr>
              <a:graphicFrameLocks noChangeAspect="1"/>
            </wp:cNvGraphicFramePr>
            <a:graphic>
              <a:graphicData uri="http://schemas.openxmlformats.org/drawingml/2006/picture">
                <pic:pic>
                  <pic:nvPicPr>
                    <pic:cNvPr id="342" name="image207.jpeg"/>
                    <pic:cNvPicPr/>
                  </pic:nvPicPr>
                  <pic:blipFill>
                    <a:blip r:embed="rId253" cstate="print"/>
                    <a:stretch>
                      <a:fillRect/>
                    </a:stretch>
                  </pic:blipFill>
                  <pic:spPr>
                    <a:xfrm>
                      <a:off x="0" y="0"/>
                      <a:ext cx="4345893" cy="213360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9"/>
        </w:rPr>
      </w:pPr>
    </w:p>
    <w:p>
      <w:pPr>
        <w:pStyle w:val="BodyText"/>
        <w:spacing w:line="446" w:lineRule="auto" w:before="71"/>
        <w:ind w:left="418" w:right="1455" w:firstLine="419"/>
        <w:jc w:val="both"/>
      </w:pPr>
      <w:r>
        <w:rPr>
          <w:spacing w:val="-17"/>
        </w:rPr>
        <w:t>示例 </w:t>
      </w:r>
      <w:r>
        <w:rPr/>
        <w:t>1：GFM-0924-bslk5 A1.50（</w:t>
      </w:r>
      <w:r>
        <w:rPr>
          <w:spacing w:val="-2"/>
        </w:rPr>
        <w:t>甲级</w:t>
      </w:r>
      <w:r>
        <w:rPr/>
        <w:t>）-1</w:t>
      </w:r>
      <w:r>
        <w:rPr>
          <w:spacing w:val="-3"/>
        </w:rPr>
        <w:t>。表示隔热</w:t>
      </w:r>
      <w:r>
        <w:rPr/>
        <w:t>（A</w:t>
      </w:r>
      <w:r>
        <w:rPr>
          <w:spacing w:val="-26"/>
        </w:rPr>
        <w:t> 类</w:t>
      </w:r>
      <w:r>
        <w:rPr>
          <w:spacing w:val="-3"/>
        </w:rPr>
        <w:t>）钢质防火门，其洞口宽度为900 </w:t>
      </w:r>
      <w:r>
        <w:rPr/>
        <w:t>mm</w:t>
      </w:r>
      <w:r>
        <w:rPr>
          <w:spacing w:val="-10"/>
        </w:rPr>
        <w:t>，洞口高度为 </w:t>
      </w:r>
      <w:r>
        <w:rPr/>
        <w:t>2400 mm</w:t>
      </w:r>
      <w:r>
        <w:rPr>
          <w:spacing w:val="-3"/>
        </w:rPr>
        <w:t>，门扇镶玻璃、门框双槽口、带亮窗、有下框，门扇顺时针方向关</w:t>
      </w:r>
      <w:r>
        <w:rPr>
          <w:spacing w:val="-6"/>
        </w:rPr>
        <w:t>闭，耐火完整性和耐火隔热性的时间均不小于 </w:t>
      </w:r>
      <w:r>
        <w:rPr/>
        <w:t>1.50 h</w:t>
      </w:r>
      <w:r>
        <w:rPr>
          <w:spacing w:val="-9"/>
        </w:rPr>
        <w:t> 的甲级单扇防火门。</w:t>
      </w:r>
      <w:r>
        <w:rPr/>
        <w:t> </w:t>
      </w:r>
    </w:p>
    <w:p>
      <w:pPr>
        <w:pStyle w:val="BodyText"/>
        <w:spacing w:line="446" w:lineRule="auto"/>
        <w:ind w:left="418" w:right="1450" w:firstLine="419"/>
      </w:pPr>
      <w:r>
        <w:rPr>
          <w:spacing w:val="-17"/>
        </w:rPr>
        <w:t>示例 </w:t>
      </w:r>
      <w:r>
        <w:rPr/>
        <w:t>2：MFM-1221-d6B1.00-2</w:t>
      </w:r>
      <w:r>
        <w:rPr>
          <w:spacing w:val="-3"/>
        </w:rPr>
        <w:t>。表示半隔热</w:t>
      </w:r>
      <w:r>
        <w:rPr/>
        <w:t>（B</w:t>
      </w:r>
      <w:r>
        <w:rPr>
          <w:spacing w:val="-27"/>
        </w:rPr>
        <w:t> 类</w:t>
      </w:r>
      <w:r>
        <w:rPr>
          <w:spacing w:val="-3"/>
        </w:rPr>
        <w:t>）</w:t>
      </w:r>
      <w:r>
        <w:rPr>
          <w:spacing w:val="-7"/>
        </w:rPr>
        <w:t>木质防火门，其洞口宽度为 </w:t>
      </w:r>
      <w:r>
        <w:rPr/>
        <w:t>1200 mm， </w:t>
      </w:r>
      <w:r>
        <w:rPr>
          <w:spacing w:val="-9"/>
        </w:rPr>
        <w:t>洞口高度为 </w:t>
      </w:r>
      <w:r>
        <w:rPr/>
        <w:t>2100 mm</w:t>
      </w:r>
      <w:r>
        <w:rPr>
          <w:spacing w:val="-3"/>
        </w:rPr>
        <w:t>，门扇无玻璃、门框单槽口、无亮窗、无下框门扇逆时针方向关闭，其耐火</w:t>
      </w:r>
      <w:r>
        <w:rPr>
          <w:spacing w:val="-8"/>
        </w:rPr>
        <w:t>完整性的时间不小于 </w:t>
      </w:r>
      <w:r>
        <w:rPr/>
        <w:t>1.00 h</w:t>
      </w:r>
      <w:r>
        <w:rPr>
          <w:spacing w:val="-7"/>
        </w:rPr>
        <w:t>、耐火隔热性的时间不小于 </w:t>
      </w:r>
      <w:r>
        <w:rPr/>
        <w:t>0.50 h</w:t>
      </w:r>
      <w:r>
        <w:rPr>
          <w:spacing w:val="-9"/>
        </w:rPr>
        <w:t> 的双扇防火门。 </w:t>
      </w:r>
    </w:p>
    <w:p>
      <w:pPr>
        <w:spacing w:line="268" w:lineRule="exact" w:before="0"/>
        <w:ind w:left="840" w:right="0" w:firstLine="0"/>
        <w:jc w:val="left"/>
        <w:rPr>
          <w:b/>
          <w:sz w:val="21"/>
        </w:rPr>
      </w:pPr>
      <w:r>
        <w:rPr>
          <w:b/>
          <w:sz w:val="21"/>
        </w:rPr>
        <w:t>4.5.3 </w:t>
      </w:r>
      <w:r>
        <w:rPr>
          <w:sz w:val="21"/>
        </w:rPr>
        <w:t>规格</w:t>
      </w:r>
      <w:r>
        <w:rPr>
          <w:b/>
          <w:w w:val="99"/>
          <w:sz w:val="21"/>
        </w:rPr>
        <w:t> </w:t>
      </w:r>
    </w:p>
    <w:p>
      <w:pPr>
        <w:pStyle w:val="BodyText"/>
        <w:spacing w:before="11"/>
        <w:rPr>
          <w:b/>
          <w:sz w:val="17"/>
        </w:rPr>
      </w:pPr>
    </w:p>
    <w:p>
      <w:pPr>
        <w:pStyle w:val="BodyText"/>
        <w:spacing w:line="446" w:lineRule="auto"/>
        <w:ind w:left="418" w:right="1611" w:firstLine="419"/>
      </w:pPr>
      <w:r>
        <w:rPr>
          <w:spacing w:val="-5"/>
        </w:rPr>
        <w:t>防火门规格用洞口尺寸表示，洞口尺寸应符合 </w:t>
      </w:r>
      <w:r>
        <w:rPr/>
        <w:t>GB/T 5824</w:t>
      </w:r>
      <w:r>
        <w:rPr>
          <w:spacing w:val="-8"/>
        </w:rPr>
        <w:t> 的相关规定，特殊洞口尺寸可由</w:t>
      </w:r>
      <w:r>
        <w:rPr>
          <w:spacing w:val="-5"/>
        </w:rPr>
        <w:t>生产厂方和使用方按需要协商确定。</w:t>
      </w:r>
      <w:r>
        <w:rPr/>
        <w:t> </w:t>
      </w:r>
    </w:p>
    <w:p>
      <w:pPr>
        <w:pStyle w:val="Heading4"/>
        <w:spacing w:line="277" w:lineRule="exact"/>
      </w:pPr>
      <w:r>
        <w:rPr/>
        <w:t>5 要求</w:t>
      </w:r>
      <w:r>
        <w:rPr>
          <w:w w:val="99"/>
        </w:rPr>
        <w:t> </w:t>
      </w:r>
    </w:p>
    <w:p>
      <w:pPr>
        <w:pStyle w:val="BodyText"/>
        <w:spacing w:before="5"/>
        <w:rPr>
          <w:b/>
          <w:sz w:val="17"/>
        </w:rPr>
      </w:pPr>
    </w:p>
    <w:p>
      <w:pPr>
        <w:spacing w:before="0"/>
        <w:ind w:left="840" w:right="0" w:firstLine="0"/>
        <w:jc w:val="left"/>
        <w:rPr>
          <w:b/>
          <w:sz w:val="21"/>
        </w:rPr>
      </w:pPr>
      <w:r>
        <w:rPr>
          <w:b/>
          <w:sz w:val="21"/>
        </w:rPr>
        <w:t>5.1 </w:t>
      </w:r>
      <w:r>
        <w:rPr>
          <w:sz w:val="21"/>
        </w:rPr>
        <w:t>一般要求</w:t>
      </w:r>
      <w:r>
        <w:rPr>
          <w:b/>
          <w:w w:val="99"/>
          <w:sz w:val="21"/>
        </w:rPr>
        <w:t> </w:t>
      </w:r>
    </w:p>
    <w:p>
      <w:pPr>
        <w:pStyle w:val="BodyText"/>
        <w:spacing w:before="2"/>
        <w:rPr>
          <w:b/>
          <w:sz w:val="18"/>
        </w:rPr>
      </w:pPr>
    </w:p>
    <w:p>
      <w:pPr>
        <w:pStyle w:val="BodyText"/>
        <w:spacing w:line="446" w:lineRule="auto"/>
        <w:ind w:left="840" w:right="3186" w:hanging="3"/>
      </w:pPr>
      <w:r>
        <w:rPr/>
        <w:t>防火门应符合本标准要求，并按规定程序批准的图样及技术文件制造。</w:t>
      </w:r>
      <w:r>
        <w:rPr>
          <w:b/>
        </w:rPr>
        <w:t>5.2 </w:t>
      </w:r>
      <w:r>
        <w:rPr/>
        <w:t>材料 </w:t>
      </w:r>
    </w:p>
    <w:p>
      <w:pPr>
        <w:pStyle w:val="ListParagraph"/>
        <w:numPr>
          <w:ilvl w:val="2"/>
          <w:numId w:val="428"/>
        </w:numPr>
        <w:tabs>
          <w:tab w:pos="1371" w:val="left" w:leader="none"/>
        </w:tabs>
        <w:spacing w:line="267" w:lineRule="exact" w:before="0" w:after="0"/>
        <w:ind w:left="1370" w:right="0" w:hanging="531"/>
        <w:jc w:val="left"/>
        <w:rPr>
          <w:b/>
          <w:sz w:val="21"/>
        </w:rPr>
      </w:pPr>
      <w:r>
        <w:rPr>
          <w:spacing w:val="-2"/>
          <w:sz w:val="21"/>
        </w:rPr>
        <w:t>填充材料</w:t>
      </w:r>
      <w:r>
        <w:rPr>
          <w:b/>
          <w:w w:val="99"/>
          <w:sz w:val="21"/>
        </w:rPr>
        <w:t> </w:t>
      </w:r>
    </w:p>
    <w:p>
      <w:pPr>
        <w:pStyle w:val="BodyText"/>
        <w:spacing w:before="2"/>
        <w:rPr>
          <w:b/>
          <w:sz w:val="18"/>
        </w:rPr>
      </w:pPr>
    </w:p>
    <w:p>
      <w:pPr>
        <w:pStyle w:val="ListParagraph"/>
        <w:numPr>
          <w:ilvl w:val="3"/>
          <w:numId w:val="428"/>
        </w:numPr>
        <w:tabs>
          <w:tab w:pos="1576" w:val="left" w:leader="none"/>
        </w:tabs>
        <w:spacing w:line="240" w:lineRule="auto" w:before="0" w:after="0"/>
        <w:ind w:left="1575" w:right="0" w:hanging="738"/>
        <w:jc w:val="left"/>
        <w:rPr>
          <w:sz w:val="21"/>
        </w:rPr>
      </w:pPr>
      <w:r>
        <w:rPr>
          <w:spacing w:val="-3"/>
          <w:sz w:val="21"/>
        </w:rPr>
        <w:t>防火门的门扇内若填充材料，则应填充对人体无毒无害的防火隔热材料。 </w:t>
      </w:r>
    </w:p>
    <w:p>
      <w:pPr>
        <w:pStyle w:val="BodyText"/>
        <w:spacing w:before="12"/>
        <w:rPr>
          <w:sz w:val="17"/>
        </w:rPr>
      </w:pPr>
    </w:p>
    <w:p>
      <w:pPr>
        <w:pStyle w:val="ListParagraph"/>
        <w:numPr>
          <w:ilvl w:val="3"/>
          <w:numId w:val="428"/>
        </w:numPr>
        <w:tabs>
          <w:tab w:pos="1576" w:val="left" w:leader="none"/>
        </w:tabs>
        <w:spacing w:line="446" w:lineRule="auto" w:before="0" w:after="0"/>
        <w:ind w:left="418" w:right="1609" w:firstLine="419"/>
        <w:jc w:val="left"/>
        <w:rPr>
          <w:sz w:val="21"/>
        </w:rPr>
      </w:pPr>
      <w:r>
        <w:rPr>
          <w:spacing w:val="-3"/>
          <w:sz w:val="21"/>
        </w:rPr>
        <w:t>防火门门扇填充的对人体无毒无害的防火隔热材料，应经国家认可授权检测机构</w:t>
      </w:r>
      <w:r>
        <w:rPr>
          <w:spacing w:val="-13"/>
          <w:position w:val="1"/>
          <w:sz w:val="21"/>
        </w:rPr>
        <w:t>检验达到 </w:t>
      </w:r>
      <w:r>
        <w:rPr>
          <w:position w:val="1"/>
          <w:sz w:val="21"/>
        </w:rPr>
        <w:t>GB</w:t>
      </w:r>
      <w:r>
        <w:rPr>
          <w:spacing w:val="5"/>
          <w:position w:val="1"/>
          <w:sz w:val="21"/>
        </w:rPr>
        <w:t> </w:t>
      </w:r>
      <w:r>
        <w:rPr>
          <w:position w:val="1"/>
          <w:sz w:val="21"/>
        </w:rPr>
        <w:t>8624—2006</w:t>
      </w:r>
      <w:r>
        <w:rPr>
          <w:spacing w:val="-16"/>
          <w:position w:val="1"/>
          <w:sz w:val="21"/>
        </w:rPr>
        <w:t> 规定燃烧性能 </w:t>
      </w:r>
      <w:r>
        <w:rPr>
          <w:position w:val="1"/>
          <w:sz w:val="21"/>
        </w:rPr>
        <w:t>A</w:t>
      </w:r>
      <w:r>
        <w:rPr>
          <w:sz w:val="11"/>
        </w:rPr>
        <w:t>1</w:t>
      </w:r>
      <w:r>
        <w:rPr>
          <w:spacing w:val="-28"/>
          <w:sz w:val="11"/>
        </w:rPr>
        <w:t> </w:t>
      </w:r>
      <w:r>
        <w:rPr>
          <w:spacing w:val="-13"/>
          <w:position w:val="1"/>
          <w:sz w:val="21"/>
        </w:rPr>
        <w:t>级要求和 </w:t>
      </w:r>
      <w:r>
        <w:rPr>
          <w:position w:val="1"/>
          <w:sz w:val="21"/>
        </w:rPr>
        <w:t>GB/T</w:t>
      </w:r>
      <w:r>
        <w:rPr>
          <w:spacing w:val="6"/>
          <w:position w:val="1"/>
          <w:sz w:val="21"/>
        </w:rPr>
        <w:t> </w:t>
      </w:r>
      <w:r>
        <w:rPr>
          <w:position w:val="1"/>
          <w:sz w:val="21"/>
        </w:rPr>
        <w:t>20285—2006</w:t>
      </w:r>
      <w:r>
        <w:rPr>
          <w:spacing w:val="-8"/>
          <w:position w:val="1"/>
          <w:sz w:val="21"/>
        </w:rPr>
        <w:t> 规定产烟毒性危险分级ZA</w:t>
      </w:r>
      <w:r>
        <w:rPr>
          <w:spacing w:val="-8"/>
          <w:sz w:val="11"/>
        </w:rPr>
        <w:t>2</w:t>
      </w:r>
      <w:r>
        <w:rPr>
          <w:spacing w:val="-29"/>
          <w:sz w:val="11"/>
        </w:rPr>
        <w:t> </w:t>
      </w:r>
      <w:r>
        <w:rPr>
          <w:spacing w:val="-3"/>
          <w:position w:val="1"/>
          <w:sz w:val="21"/>
        </w:rPr>
        <w:t>级要求。</w:t>
      </w:r>
      <w:r>
        <w:rPr>
          <w:position w:val="1"/>
          <w:sz w:val="21"/>
        </w:rPr>
        <w:t> </w:t>
      </w:r>
    </w:p>
    <w:p>
      <w:pPr>
        <w:pStyle w:val="ListParagraph"/>
        <w:numPr>
          <w:ilvl w:val="2"/>
          <w:numId w:val="428"/>
        </w:numPr>
        <w:tabs>
          <w:tab w:pos="1370" w:val="left" w:leader="none"/>
        </w:tabs>
        <w:spacing w:line="268" w:lineRule="exact" w:before="0" w:after="0"/>
        <w:ind w:left="1369" w:right="0" w:hanging="530"/>
        <w:jc w:val="left"/>
        <w:rPr>
          <w:b/>
          <w:sz w:val="21"/>
        </w:rPr>
      </w:pPr>
      <w:r>
        <w:rPr>
          <w:spacing w:val="-3"/>
          <w:sz w:val="21"/>
        </w:rPr>
        <w:t>木材</w:t>
      </w:r>
      <w:r>
        <w:rPr>
          <w:b/>
          <w:w w:val="99"/>
          <w:sz w:val="21"/>
        </w:rPr>
        <w:t> </w:t>
      </w:r>
    </w:p>
    <w:p>
      <w:pPr>
        <w:spacing w:after="0" w:line="268" w:lineRule="exact"/>
        <w:jc w:val="left"/>
        <w:rPr>
          <w:sz w:val="21"/>
        </w:rPr>
        <w:sectPr>
          <w:pgSz w:w="11910" w:h="16850"/>
          <w:pgMar w:header="0" w:footer="1239" w:top="1520" w:bottom="1420" w:left="1260" w:right="0"/>
        </w:sectPr>
      </w:pPr>
    </w:p>
    <w:p>
      <w:pPr>
        <w:pStyle w:val="ListParagraph"/>
        <w:numPr>
          <w:ilvl w:val="3"/>
          <w:numId w:val="428"/>
        </w:numPr>
        <w:tabs>
          <w:tab w:pos="1576" w:val="left" w:leader="none"/>
        </w:tabs>
        <w:spacing w:line="446" w:lineRule="auto" w:before="47" w:after="0"/>
        <w:ind w:left="418" w:right="1503" w:firstLine="419"/>
        <w:jc w:val="left"/>
        <w:rPr>
          <w:sz w:val="21"/>
        </w:rPr>
      </w:pPr>
      <w:r>
        <w:rPr>
          <w:spacing w:val="-8"/>
          <w:sz w:val="21"/>
        </w:rPr>
        <w:t>防火门所用木材应符合 </w:t>
      </w:r>
      <w:r>
        <w:rPr>
          <w:sz w:val="21"/>
        </w:rPr>
        <w:t>JG/T</w:t>
      </w:r>
      <w:r>
        <w:rPr>
          <w:spacing w:val="6"/>
          <w:sz w:val="21"/>
        </w:rPr>
        <w:t> </w:t>
      </w:r>
      <w:r>
        <w:rPr>
          <w:sz w:val="21"/>
        </w:rPr>
        <w:t>122—2000</w:t>
      </w:r>
      <w:r>
        <w:rPr>
          <w:spacing w:val="-34"/>
          <w:sz w:val="21"/>
        </w:rPr>
        <w:t> 第 </w:t>
      </w:r>
      <w:r>
        <w:rPr>
          <w:sz w:val="21"/>
        </w:rPr>
        <w:t>5.1.1.1</w:t>
      </w:r>
      <w:r>
        <w:rPr>
          <w:spacing w:val="-12"/>
          <w:sz w:val="21"/>
        </w:rPr>
        <w:t> 条中对Ⅱ</w:t>
      </w:r>
      <w:r>
        <w:rPr>
          <w:sz w:val="21"/>
        </w:rPr>
        <w:t>（</w:t>
      </w:r>
      <w:r>
        <w:rPr>
          <w:spacing w:val="-3"/>
          <w:sz w:val="21"/>
        </w:rPr>
        <w:t>中</w:t>
      </w:r>
      <w:r>
        <w:rPr>
          <w:sz w:val="21"/>
        </w:rPr>
        <w:t>）</w:t>
      </w:r>
      <w:r>
        <w:rPr>
          <w:spacing w:val="-3"/>
          <w:sz w:val="21"/>
        </w:rPr>
        <w:t>级木材的有关材质要求。</w:t>
      </w:r>
      <w:r>
        <w:rPr>
          <w:sz w:val="21"/>
        </w:rPr>
        <w:t> </w:t>
      </w:r>
    </w:p>
    <w:p>
      <w:pPr>
        <w:pStyle w:val="ListParagraph"/>
        <w:numPr>
          <w:ilvl w:val="3"/>
          <w:numId w:val="428"/>
        </w:numPr>
        <w:tabs>
          <w:tab w:pos="1576" w:val="left" w:leader="none"/>
        </w:tabs>
        <w:spacing w:line="446" w:lineRule="auto" w:before="0" w:after="0"/>
        <w:ind w:left="418" w:right="1609" w:firstLine="419"/>
        <w:jc w:val="left"/>
        <w:rPr>
          <w:sz w:val="21"/>
        </w:rPr>
      </w:pPr>
      <w:r>
        <w:rPr>
          <w:spacing w:val="-3"/>
          <w:sz w:val="21"/>
        </w:rPr>
        <w:t>防火门所用木材应为阻燃木材或采用防火板包裹的复合材，并经国家认可授权检</w:t>
      </w:r>
      <w:r>
        <w:rPr>
          <w:spacing w:val="-12"/>
          <w:sz w:val="21"/>
        </w:rPr>
        <w:t>测机构按照 </w:t>
      </w:r>
      <w:r>
        <w:rPr>
          <w:sz w:val="21"/>
        </w:rPr>
        <w:t>GB/T</w:t>
      </w:r>
      <w:r>
        <w:rPr>
          <w:spacing w:val="1"/>
          <w:sz w:val="21"/>
        </w:rPr>
        <w:t> </w:t>
      </w:r>
      <w:r>
        <w:rPr>
          <w:sz w:val="21"/>
        </w:rPr>
        <w:t>8625—2005</w:t>
      </w:r>
      <w:r>
        <w:rPr>
          <w:spacing w:val="-14"/>
          <w:sz w:val="21"/>
        </w:rPr>
        <w:t> 检验达到该标准第 </w:t>
      </w:r>
      <w:r>
        <w:rPr>
          <w:sz w:val="21"/>
        </w:rPr>
        <w:t>7</w:t>
      </w:r>
      <w:r>
        <w:rPr>
          <w:spacing w:val="-10"/>
          <w:sz w:val="21"/>
        </w:rPr>
        <w:t> 章难燃性要求。</w:t>
      </w:r>
      <w:r>
        <w:rPr>
          <w:sz w:val="21"/>
        </w:rPr>
        <w:t> </w:t>
      </w:r>
    </w:p>
    <w:p>
      <w:pPr>
        <w:pStyle w:val="ListParagraph"/>
        <w:numPr>
          <w:ilvl w:val="3"/>
          <w:numId w:val="428"/>
        </w:numPr>
        <w:tabs>
          <w:tab w:pos="1576" w:val="left" w:leader="none"/>
        </w:tabs>
        <w:spacing w:line="446" w:lineRule="auto" w:before="0" w:after="0"/>
        <w:ind w:left="418" w:right="1452" w:firstLine="419"/>
        <w:jc w:val="left"/>
        <w:rPr>
          <w:sz w:val="21"/>
        </w:rPr>
      </w:pPr>
      <w:r>
        <w:rPr>
          <w:spacing w:val="-5"/>
          <w:sz w:val="21"/>
        </w:rPr>
        <w:t>防火门所用木材进行阻燃处理再进行干燥处理后的含水率不应大于 </w:t>
      </w:r>
      <w:r>
        <w:rPr>
          <w:sz w:val="21"/>
        </w:rPr>
        <w:t>12%</w:t>
      </w:r>
      <w:r>
        <w:rPr>
          <w:spacing w:val="-1"/>
          <w:sz w:val="21"/>
        </w:rPr>
        <w:t>；木材在制</w:t>
      </w:r>
      <w:r>
        <w:rPr>
          <w:spacing w:val="-3"/>
          <w:sz w:val="21"/>
        </w:rPr>
        <w:t>成防火门后的含水率不应大于当地的平衡含水率。</w:t>
      </w:r>
      <w:r>
        <w:rPr>
          <w:sz w:val="21"/>
        </w:rPr>
        <w:t> </w:t>
      </w:r>
    </w:p>
    <w:p>
      <w:pPr>
        <w:pStyle w:val="ListParagraph"/>
        <w:numPr>
          <w:ilvl w:val="2"/>
          <w:numId w:val="428"/>
        </w:numPr>
        <w:tabs>
          <w:tab w:pos="1370" w:val="left" w:leader="none"/>
        </w:tabs>
        <w:spacing w:line="240" w:lineRule="auto" w:before="0" w:after="0"/>
        <w:ind w:left="1369" w:right="0" w:hanging="530"/>
        <w:jc w:val="left"/>
        <w:rPr>
          <w:b/>
          <w:sz w:val="21"/>
        </w:rPr>
      </w:pPr>
      <w:r>
        <w:rPr>
          <w:spacing w:val="-3"/>
          <w:sz w:val="21"/>
        </w:rPr>
        <w:t>人造板</w:t>
      </w:r>
      <w:r>
        <w:rPr>
          <w:b/>
          <w:w w:val="99"/>
          <w:sz w:val="21"/>
        </w:rPr>
        <w:t> </w:t>
      </w:r>
    </w:p>
    <w:p>
      <w:pPr>
        <w:pStyle w:val="BodyText"/>
        <w:spacing w:before="11"/>
        <w:rPr>
          <w:b/>
          <w:sz w:val="17"/>
        </w:rPr>
      </w:pPr>
    </w:p>
    <w:p>
      <w:pPr>
        <w:pStyle w:val="ListParagraph"/>
        <w:numPr>
          <w:ilvl w:val="3"/>
          <w:numId w:val="428"/>
        </w:numPr>
        <w:tabs>
          <w:tab w:pos="1576" w:val="left" w:leader="none"/>
        </w:tabs>
        <w:spacing w:line="446" w:lineRule="auto" w:before="0" w:after="0"/>
        <w:ind w:left="418" w:right="1505" w:firstLine="419"/>
        <w:jc w:val="left"/>
        <w:rPr>
          <w:sz w:val="21"/>
        </w:rPr>
      </w:pPr>
      <w:r>
        <w:rPr>
          <w:spacing w:val="-7"/>
          <w:sz w:val="21"/>
        </w:rPr>
        <w:t>防火门所用人造板应符合 </w:t>
      </w:r>
      <w:r>
        <w:rPr>
          <w:sz w:val="21"/>
        </w:rPr>
        <w:t>JG/T</w:t>
      </w:r>
      <w:r>
        <w:rPr>
          <w:spacing w:val="3"/>
          <w:sz w:val="21"/>
        </w:rPr>
        <w:t> </w:t>
      </w:r>
      <w:r>
        <w:rPr>
          <w:sz w:val="21"/>
        </w:rPr>
        <w:t>122—2000</w:t>
      </w:r>
      <w:r>
        <w:rPr>
          <w:spacing w:val="-34"/>
          <w:sz w:val="21"/>
        </w:rPr>
        <w:t> 第 </w:t>
      </w:r>
      <w:r>
        <w:rPr>
          <w:sz w:val="21"/>
        </w:rPr>
        <w:t>5.1.2.2</w:t>
      </w:r>
      <w:r>
        <w:rPr>
          <w:spacing w:val="-12"/>
          <w:sz w:val="21"/>
        </w:rPr>
        <w:t> 条中对Ⅱ</w:t>
      </w:r>
      <w:r>
        <w:rPr>
          <w:sz w:val="21"/>
        </w:rPr>
        <w:t>（</w:t>
      </w:r>
      <w:r>
        <w:rPr>
          <w:spacing w:val="-3"/>
          <w:sz w:val="21"/>
        </w:rPr>
        <w:t>中</w:t>
      </w:r>
      <w:r>
        <w:rPr>
          <w:sz w:val="21"/>
        </w:rPr>
        <w:t>）</w:t>
      </w:r>
      <w:r>
        <w:rPr>
          <w:spacing w:val="-3"/>
          <w:sz w:val="21"/>
        </w:rPr>
        <w:t>级人造板的有关材质要求。</w:t>
      </w:r>
      <w:r>
        <w:rPr>
          <w:sz w:val="21"/>
        </w:rPr>
        <w:t> </w:t>
      </w:r>
    </w:p>
    <w:p>
      <w:pPr>
        <w:pStyle w:val="ListParagraph"/>
        <w:numPr>
          <w:ilvl w:val="3"/>
          <w:numId w:val="428"/>
        </w:numPr>
        <w:tabs>
          <w:tab w:pos="1576" w:val="left" w:leader="none"/>
        </w:tabs>
        <w:spacing w:line="446" w:lineRule="auto" w:before="0" w:after="0"/>
        <w:ind w:left="418" w:right="1611" w:firstLine="419"/>
        <w:jc w:val="left"/>
        <w:rPr>
          <w:sz w:val="21"/>
        </w:rPr>
      </w:pPr>
      <w:r>
        <w:rPr>
          <w:spacing w:val="-5"/>
          <w:sz w:val="21"/>
        </w:rPr>
        <w:t>防火门所用人造板应经国家认可授权检测机构按照 </w:t>
      </w:r>
      <w:r>
        <w:rPr>
          <w:sz w:val="21"/>
        </w:rPr>
        <w:t>GB/T</w:t>
      </w:r>
      <w:r>
        <w:rPr>
          <w:spacing w:val="7"/>
          <w:sz w:val="21"/>
        </w:rPr>
        <w:t> </w:t>
      </w:r>
      <w:r>
        <w:rPr>
          <w:sz w:val="21"/>
        </w:rPr>
        <w:t>8625—2005</w:t>
      </w:r>
      <w:r>
        <w:rPr>
          <w:spacing w:val="-10"/>
          <w:sz w:val="21"/>
        </w:rPr>
        <w:t> 检验达到该</w:t>
      </w:r>
      <w:r>
        <w:rPr>
          <w:spacing w:val="-17"/>
          <w:sz w:val="21"/>
        </w:rPr>
        <w:t>标准第 </w:t>
      </w:r>
      <w:r>
        <w:rPr>
          <w:sz w:val="21"/>
        </w:rPr>
        <w:t>7</w:t>
      </w:r>
      <w:r>
        <w:rPr>
          <w:spacing w:val="-10"/>
          <w:sz w:val="21"/>
        </w:rPr>
        <w:t> 章难燃性要求。</w:t>
      </w:r>
      <w:r>
        <w:rPr>
          <w:sz w:val="21"/>
        </w:rPr>
        <w:t> </w:t>
      </w:r>
    </w:p>
    <w:p>
      <w:pPr>
        <w:pStyle w:val="ListParagraph"/>
        <w:numPr>
          <w:ilvl w:val="3"/>
          <w:numId w:val="428"/>
        </w:numPr>
        <w:tabs>
          <w:tab w:pos="1576" w:val="left" w:leader="none"/>
        </w:tabs>
        <w:spacing w:line="446" w:lineRule="auto" w:before="0" w:after="0"/>
        <w:ind w:left="418" w:right="1450" w:firstLine="419"/>
        <w:jc w:val="left"/>
        <w:rPr>
          <w:sz w:val="21"/>
        </w:rPr>
      </w:pPr>
      <w:r>
        <w:rPr>
          <w:spacing w:val="-5"/>
          <w:sz w:val="21"/>
        </w:rPr>
        <w:t>防火门所用人造板进行阻燃处理再进行干燥处理后的含水率不应大于 </w:t>
      </w:r>
      <w:r>
        <w:rPr>
          <w:sz w:val="21"/>
        </w:rPr>
        <w:t>12</w:t>
      </w:r>
      <w:r>
        <w:rPr>
          <w:spacing w:val="-1"/>
          <w:sz w:val="21"/>
        </w:rPr>
        <w:t>%；人造板</w:t>
      </w:r>
      <w:r>
        <w:rPr>
          <w:spacing w:val="-3"/>
          <w:sz w:val="21"/>
        </w:rPr>
        <w:t>在制成防火门后的含水率不应大于当地的平衡含水率。</w:t>
      </w:r>
      <w:r>
        <w:rPr>
          <w:sz w:val="21"/>
        </w:rPr>
        <w:t> </w:t>
      </w:r>
    </w:p>
    <w:p>
      <w:pPr>
        <w:pStyle w:val="ListParagraph"/>
        <w:numPr>
          <w:ilvl w:val="2"/>
          <w:numId w:val="428"/>
        </w:numPr>
        <w:tabs>
          <w:tab w:pos="1370" w:val="left" w:leader="none"/>
        </w:tabs>
        <w:spacing w:line="240" w:lineRule="auto" w:before="0" w:after="0"/>
        <w:ind w:left="1369" w:right="0" w:hanging="530"/>
        <w:jc w:val="left"/>
        <w:rPr>
          <w:b/>
          <w:sz w:val="21"/>
        </w:rPr>
      </w:pPr>
      <w:r>
        <w:rPr>
          <w:spacing w:val="-3"/>
          <w:sz w:val="21"/>
        </w:rPr>
        <w:t>钢材</w:t>
      </w:r>
      <w:r>
        <w:rPr>
          <w:b/>
          <w:w w:val="99"/>
          <w:sz w:val="21"/>
        </w:rPr>
        <w:t> </w:t>
      </w:r>
    </w:p>
    <w:p>
      <w:pPr>
        <w:pStyle w:val="BodyText"/>
        <w:spacing w:before="10"/>
        <w:rPr>
          <w:b/>
          <w:sz w:val="17"/>
        </w:rPr>
      </w:pPr>
    </w:p>
    <w:p>
      <w:pPr>
        <w:pStyle w:val="ListParagraph"/>
        <w:numPr>
          <w:ilvl w:val="3"/>
          <w:numId w:val="428"/>
        </w:numPr>
        <w:tabs>
          <w:tab w:pos="1576" w:val="left" w:leader="none"/>
        </w:tabs>
        <w:spacing w:line="240" w:lineRule="auto" w:before="0" w:after="0"/>
        <w:ind w:left="1575" w:right="0" w:hanging="738"/>
        <w:jc w:val="left"/>
        <w:rPr>
          <w:sz w:val="21"/>
        </w:rPr>
      </w:pPr>
      <w:r>
        <w:rPr>
          <w:spacing w:val="-2"/>
          <w:sz w:val="21"/>
        </w:rPr>
        <w:t>材质</w:t>
      </w:r>
      <w:r>
        <w:rPr>
          <w:sz w:val="21"/>
        </w:rPr>
        <w:t> </w:t>
      </w:r>
    </w:p>
    <w:p>
      <w:pPr>
        <w:pStyle w:val="BodyText"/>
        <w:spacing w:before="2"/>
        <w:rPr>
          <w:sz w:val="18"/>
        </w:rPr>
      </w:pPr>
    </w:p>
    <w:p>
      <w:pPr>
        <w:pStyle w:val="ListParagraph"/>
        <w:numPr>
          <w:ilvl w:val="0"/>
          <w:numId w:val="429"/>
        </w:numPr>
        <w:tabs>
          <w:tab w:pos="1156" w:val="left" w:leader="none"/>
        </w:tabs>
        <w:spacing w:line="446" w:lineRule="auto" w:before="0" w:after="0"/>
        <w:ind w:left="418" w:right="1347" w:firstLine="419"/>
        <w:jc w:val="left"/>
        <w:rPr>
          <w:sz w:val="21"/>
        </w:rPr>
      </w:pPr>
      <w:r>
        <w:rPr>
          <w:spacing w:val="-4"/>
          <w:sz w:val="21"/>
        </w:rPr>
        <w:t>防火门框、门扇面板应采用性能不低于冷轧薄钢板的钢质材料，冷轧薄钢板应符合 </w:t>
      </w:r>
      <w:r>
        <w:rPr>
          <w:sz w:val="21"/>
        </w:rPr>
        <w:t>GB/T 708</w:t>
      </w:r>
      <w:r>
        <w:rPr>
          <w:spacing w:val="-13"/>
          <w:sz w:val="21"/>
        </w:rPr>
        <w:t> 的规定。</w:t>
      </w:r>
      <w:r>
        <w:rPr>
          <w:sz w:val="21"/>
        </w:rPr>
        <w:t> </w:t>
      </w:r>
    </w:p>
    <w:p>
      <w:pPr>
        <w:pStyle w:val="ListParagraph"/>
        <w:numPr>
          <w:ilvl w:val="0"/>
          <w:numId w:val="429"/>
        </w:numPr>
        <w:tabs>
          <w:tab w:pos="1156" w:val="left" w:leader="none"/>
        </w:tabs>
        <w:spacing w:line="267" w:lineRule="exact" w:before="0" w:after="0"/>
        <w:ind w:left="1155" w:right="0" w:hanging="318"/>
        <w:jc w:val="left"/>
        <w:rPr>
          <w:sz w:val="21"/>
        </w:rPr>
      </w:pPr>
      <w:r>
        <w:rPr>
          <w:spacing w:val="-5"/>
          <w:sz w:val="21"/>
        </w:rPr>
        <w:t>防火门所用加固件可采用性能不低于热轧钢材的钢质材料，热轧钢材应符合 </w:t>
      </w:r>
      <w:r>
        <w:rPr>
          <w:sz w:val="21"/>
        </w:rPr>
        <w:t>GB/T</w:t>
      </w:r>
      <w:r>
        <w:rPr>
          <w:spacing w:val="2"/>
          <w:sz w:val="21"/>
        </w:rPr>
        <w:t> </w:t>
      </w:r>
      <w:r>
        <w:rPr>
          <w:sz w:val="21"/>
        </w:rPr>
        <w:t>709</w:t>
      </w:r>
    </w:p>
    <w:p>
      <w:pPr>
        <w:pStyle w:val="BodyText"/>
        <w:spacing w:before="2"/>
        <w:rPr>
          <w:sz w:val="18"/>
        </w:rPr>
      </w:pPr>
    </w:p>
    <w:p>
      <w:pPr>
        <w:pStyle w:val="BodyText"/>
        <w:ind w:left="418"/>
      </w:pPr>
      <w:r>
        <w:rPr/>
        <w:t>的规定。 </w:t>
      </w:r>
    </w:p>
    <w:p>
      <w:pPr>
        <w:pStyle w:val="BodyText"/>
        <w:rPr>
          <w:sz w:val="18"/>
        </w:rPr>
      </w:pPr>
    </w:p>
    <w:p>
      <w:pPr>
        <w:pStyle w:val="ListParagraph"/>
        <w:numPr>
          <w:ilvl w:val="3"/>
          <w:numId w:val="428"/>
        </w:numPr>
        <w:tabs>
          <w:tab w:pos="1576" w:val="left" w:leader="none"/>
        </w:tabs>
        <w:spacing w:line="240" w:lineRule="auto" w:before="0" w:after="0"/>
        <w:ind w:left="1575" w:right="0" w:hanging="738"/>
        <w:jc w:val="left"/>
        <w:rPr>
          <w:sz w:val="21"/>
        </w:rPr>
      </w:pPr>
      <w:r>
        <w:rPr>
          <w:spacing w:val="-2"/>
          <w:sz w:val="21"/>
        </w:rPr>
        <w:t>材料厚度 </w:t>
      </w:r>
    </w:p>
    <w:p>
      <w:pPr>
        <w:pStyle w:val="BodyText"/>
        <w:spacing w:before="12"/>
        <w:rPr>
          <w:sz w:val="17"/>
        </w:rPr>
      </w:pPr>
    </w:p>
    <w:p>
      <w:pPr>
        <w:pStyle w:val="BodyText"/>
        <w:ind w:left="838"/>
      </w:pPr>
      <w:r>
        <w:rPr/>
        <w:t>防火门所用钢质材料厚度应符合表 3 的规定。 </w:t>
      </w:r>
    </w:p>
    <w:p>
      <w:pPr>
        <w:pStyle w:val="BodyText"/>
        <w:spacing w:before="2"/>
        <w:rPr>
          <w:sz w:val="18"/>
        </w:rPr>
      </w:pPr>
    </w:p>
    <w:p>
      <w:pPr>
        <w:pStyle w:val="Heading6"/>
        <w:ind w:left="3416"/>
      </w:pPr>
      <w:r>
        <w:rPr/>
        <w:t>表 3 钢质材料厚度（单位为毫米）</w:t>
      </w:r>
      <w:r>
        <w:rPr>
          <w:w w:val="99"/>
        </w:rPr>
        <w:t> </w:t>
      </w:r>
    </w:p>
    <w:p>
      <w:pPr>
        <w:pStyle w:val="BodyText"/>
        <w:spacing w:before="10"/>
        <w:rPr>
          <w:b/>
          <w:sz w:val="12"/>
        </w:rPr>
      </w:pPr>
      <w:r>
        <w:rPr/>
        <w:drawing>
          <wp:anchor distT="0" distB="0" distL="0" distR="0" allowOverlap="1" layoutInCell="1" locked="0" behindDoc="0" simplePos="0" relativeHeight="157">
            <wp:simplePos x="0" y="0"/>
            <wp:positionH relativeFrom="page">
              <wp:posOffset>1236980</wp:posOffset>
            </wp:positionH>
            <wp:positionV relativeFrom="paragraph">
              <wp:posOffset>128833</wp:posOffset>
            </wp:positionV>
            <wp:extent cx="5438775" cy="1866900"/>
            <wp:effectExtent l="0" t="0" r="0" b="0"/>
            <wp:wrapTopAndBottom/>
            <wp:docPr id="343" name="image208.jpeg"/>
            <wp:cNvGraphicFramePr>
              <a:graphicFrameLocks noChangeAspect="1"/>
            </wp:cNvGraphicFramePr>
            <a:graphic>
              <a:graphicData uri="http://schemas.openxmlformats.org/drawingml/2006/picture">
                <pic:pic>
                  <pic:nvPicPr>
                    <pic:cNvPr id="344" name="image208.jpeg"/>
                    <pic:cNvPicPr/>
                  </pic:nvPicPr>
                  <pic:blipFill>
                    <a:blip r:embed="rId255" cstate="print"/>
                    <a:stretch>
                      <a:fillRect/>
                    </a:stretch>
                  </pic:blipFill>
                  <pic:spPr>
                    <a:xfrm>
                      <a:off x="0" y="0"/>
                      <a:ext cx="5438775" cy="1866900"/>
                    </a:xfrm>
                    <a:prstGeom prst="rect">
                      <a:avLst/>
                    </a:prstGeom>
                  </pic:spPr>
                </pic:pic>
              </a:graphicData>
            </a:graphic>
          </wp:anchor>
        </w:drawing>
      </w:r>
    </w:p>
    <w:p>
      <w:pPr>
        <w:spacing w:after="0"/>
        <w:rPr>
          <w:sz w:val="12"/>
        </w:rPr>
        <w:sectPr>
          <w:footerReference w:type="default" r:id="rId254"/>
          <w:pgSz w:w="11910" w:h="16850"/>
          <w:pgMar w:footer="1239" w:header="0" w:top="1220" w:bottom="1420" w:left="1260" w:right="0"/>
          <w:pgNumType w:start="1150"/>
        </w:sectPr>
      </w:pPr>
    </w:p>
    <w:p>
      <w:pPr>
        <w:pStyle w:val="ListParagraph"/>
        <w:numPr>
          <w:ilvl w:val="2"/>
          <w:numId w:val="428"/>
        </w:numPr>
        <w:tabs>
          <w:tab w:pos="1370" w:val="left" w:leader="none"/>
        </w:tabs>
        <w:spacing w:line="240" w:lineRule="auto" w:before="47" w:after="0"/>
        <w:ind w:left="1369" w:right="0" w:hanging="530"/>
        <w:jc w:val="left"/>
        <w:rPr>
          <w:b/>
          <w:sz w:val="21"/>
        </w:rPr>
      </w:pPr>
      <w:r>
        <w:rPr>
          <w:spacing w:val="-3"/>
          <w:sz w:val="21"/>
        </w:rPr>
        <w:t>其他材质材料</w:t>
      </w:r>
      <w:r>
        <w:rPr>
          <w:b/>
          <w:w w:val="99"/>
          <w:sz w:val="21"/>
        </w:rPr>
        <w:t> </w:t>
      </w:r>
    </w:p>
    <w:p>
      <w:pPr>
        <w:pStyle w:val="BodyText"/>
        <w:rPr>
          <w:b/>
          <w:sz w:val="18"/>
        </w:rPr>
      </w:pPr>
    </w:p>
    <w:p>
      <w:pPr>
        <w:pStyle w:val="ListParagraph"/>
        <w:numPr>
          <w:ilvl w:val="3"/>
          <w:numId w:val="428"/>
        </w:numPr>
        <w:tabs>
          <w:tab w:pos="1576" w:val="left" w:leader="none"/>
        </w:tabs>
        <w:spacing w:line="444" w:lineRule="auto" w:before="0" w:after="0"/>
        <w:ind w:left="418" w:right="1609" w:firstLine="419"/>
        <w:jc w:val="left"/>
        <w:rPr>
          <w:sz w:val="21"/>
        </w:rPr>
      </w:pPr>
      <w:r>
        <w:rPr>
          <w:spacing w:val="-3"/>
          <w:sz w:val="21"/>
        </w:rPr>
        <w:t>防火门所用其他材质材料应对人体无毒无害，应经国家认可授权检测机构检验达</w:t>
      </w:r>
      <w:r>
        <w:rPr>
          <w:spacing w:val="-28"/>
          <w:position w:val="1"/>
          <w:sz w:val="21"/>
        </w:rPr>
        <w:t>到 </w:t>
      </w:r>
      <w:r>
        <w:rPr>
          <w:position w:val="1"/>
          <w:sz w:val="21"/>
        </w:rPr>
        <w:t>GB/T</w:t>
      </w:r>
      <w:r>
        <w:rPr>
          <w:spacing w:val="1"/>
          <w:position w:val="1"/>
          <w:sz w:val="21"/>
        </w:rPr>
        <w:t> </w:t>
      </w:r>
      <w:r>
        <w:rPr>
          <w:position w:val="1"/>
          <w:sz w:val="21"/>
        </w:rPr>
        <w:t>20285—2006</w:t>
      </w:r>
      <w:r>
        <w:rPr>
          <w:spacing w:val="-13"/>
          <w:position w:val="1"/>
          <w:sz w:val="21"/>
        </w:rPr>
        <w:t> 规定产烟毒性危险分级 </w:t>
      </w:r>
      <w:r>
        <w:rPr>
          <w:position w:val="1"/>
          <w:sz w:val="21"/>
        </w:rPr>
        <w:t>ZA</w:t>
      </w:r>
      <w:r>
        <w:rPr>
          <w:sz w:val="11"/>
        </w:rPr>
        <w:t>2</w:t>
      </w:r>
      <w:r>
        <w:rPr>
          <w:spacing w:val="-29"/>
          <w:sz w:val="11"/>
        </w:rPr>
        <w:t> </w:t>
      </w:r>
      <w:r>
        <w:rPr>
          <w:spacing w:val="-3"/>
          <w:position w:val="1"/>
          <w:sz w:val="21"/>
        </w:rPr>
        <w:t>级要求。</w:t>
      </w:r>
      <w:r>
        <w:rPr>
          <w:position w:val="1"/>
          <w:sz w:val="21"/>
        </w:rPr>
        <w:t> </w:t>
      </w:r>
    </w:p>
    <w:p>
      <w:pPr>
        <w:pStyle w:val="ListParagraph"/>
        <w:numPr>
          <w:ilvl w:val="3"/>
          <w:numId w:val="428"/>
        </w:numPr>
        <w:tabs>
          <w:tab w:pos="1576" w:val="left" w:leader="none"/>
        </w:tabs>
        <w:spacing w:line="446" w:lineRule="auto" w:before="5" w:after="0"/>
        <w:ind w:left="418" w:right="1582" w:firstLine="419"/>
        <w:jc w:val="left"/>
        <w:rPr>
          <w:sz w:val="21"/>
        </w:rPr>
      </w:pPr>
      <w:r>
        <w:rPr>
          <w:spacing w:val="-5"/>
          <w:sz w:val="21"/>
        </w:rPr>
        <w:t>防火门所用其他材质材料应经国家认可授权检测机构检验达到 </w:t>
      </w:r>
      <w:r>
        <w:rPr>
          <w:sz w:val="21"/>
        </w:rPr>
        <w:t>GB/T</w:t>
      </w:r>
      <w:r>
        <w:rPr>
          <w:spacing w:val="15"/>
          <w:sz w:val="21"/>
        </w:rPr>
        <w:t> </w:t>
      </w:r>
      <w:r>
        <w:rPr>
          <w:sz w:val="21"/>
        </w:rPr>
        <w:t>8625—2005 </w:t>
      </w:r>
      <w:r>
        <w:rPr>
          <w:spacing w:val="-24"/>
          <w:position w:val="1"/>
          <w:sz w:val="21"/>
        </w:rPr>
        <w:t>第 </w:t>
      </w:r>
      <w:r>
        <w:rPr>
          <w:position w:val="1"/>
          <w:sz w:val="21"/>
        </w:rPr>
        <w:t>7</w:t>
      </w:r>
      <w:r>
        <w:rPr>
          <w:spacing w:val="-13"/>
          <w:position w:val="1"/>
          <w:sz w:val="21"/>
        </w:rPr>
        <w:t> 章规定难燃性要求或 </w:t>
      </w:r>
      <w:r>
        <w:rPr>
          <w:position w:val="1"/>
          <w:sz w:val="21"/>
        </w:rPr>
        <w:t>GB</w:t>
      </w:r>
      <w:r>
        <w:rPr>
          <w:spacing w:val="10"/>
          <w:position w:val="1"/>
          <w:sz w:val="21"/>
        </w:rPr>
        <w:t> </w:t>
      </w:r>
      <w:r>
        <w:rPr>
          <w:position w:val="1"/>
          <w:sz w:val="21"/>
        </w:rPr>
        <w:t>8624—2006</w:t>
      </w:r>
      <w:r>
        <w:rPr>
          <w:spacing w:val="-14"/>
          <w:position w:val="1"/>
          <w:sz w:val="21"/>
        </w:rPr>
        <w:t> 规定燃烧性能 </w:t>
      </w:r>
      <w:r>
        <w:rPr>
          <w:position w:val="1"/>
          <w:sz w:val="21"/>
        </w:rPr>
        <w:t>A</w:t>
      </w:r>
      <w:r>
        <w:rPr>
          <w:sz w:val="11"/>
        </w:rPr>
        <w:t>1</w:t>
      </w:r>
      <w:r>
        <w:rPr>
          <w:spacing w:val="-26"/>
          <w:sz w:val="11"/>
        </w:rPr>
        <w:t> </w:t>
      </w:r>
      <w:r>
        <w:rPr>
          <w:spacing w:val="-3"/>
          <w:position w:val="1"/>
          <w:sz w:val="21"/>
        </w:rPr>
        <w:t>级要求，其力学性能应达到有关标准</w:t>
      </w:r>
      <w:r>
        <w:rPr>
          <w:spacing w:val="-3"/>
          <w:sz w:val="21"/>
        </w:rPr>
        <w:t>的相关规定并满足制作防火门的有关要求。</w:t>
      </w:r>
      <w:r>
        <w:rPr>
          <w:sz w:val="21"/>
        </w:rPr>
        <w:t> </w:t>
      </w:r>
    </w:p>
    <w:p>
      <w:pPr>
        <w:pStyle w:val="ListParagraph"/>
        <w:numPr>
          <w:ilvl w:val="2"/>
          <w:numId w:val="428"/>
        </w:numPr>
        <w:tabs>
          <w:tab w:pos="1370" w:val="left" w:leader="none"/>
        </w:tabs>
        <w:spacing w:line="268" w:lineRule="exact" w:before="0" w:after="0"/>
        <w:ind w:left="1369" w:right="0" w:hanging="530"/>
        <w:jc w:val="left"/>
        <w:rPr>
          <w:b/>
          <w:sz w:val="21"/>
        </w:rPr>
      </w:pPr>
      <w:r>
        <w:rPr>
          <w:spacing w:val="-3"/>
          <w:sz w:val="21"/>
        </w:rPr>
        <w:t>黏结剂</w:t>
      </w:r>
      <w:r>
        <w:rPr>
          <w:b/>
          <w:w w:val="99"/>
          <w:sz w:val="21"/>
        </w:rPr>
        <w:t> </w:t>
      </w:r>
    </w:p>
    <w:p>
      <w:pPr>
        <w:pStyle w:val="BodyText"/>
        <w:rPr>
          <w:b/>
          <w:sz w:val="18"/>
        </w:rPr>
      </w:pPr>
    </w:p>
    <w:p>
      <w:pPr>
        <w:pStyle w:val="ListParagraph"/>
        <w:numPr>
          <w:ilvl w:val="3"/>
          <w:numId w:val="428"/>
        </w:numPr>
        <w:tabs>
          <w:tab w:pos="1576" w:val="left" w:leader="none"/>
        </w:tabs>
        <w:spacing w:line="240" w:lineRule="auto" w:before="1" w:after="0"/>
        <w:ind w:left="1575" w:right="0" w:hanging="738"/>
        <w:jc w:val="left"/>
        <w:rPr>
          <w:sz w:val="21"/>
        </w:rPr>
      </w:pPr>
      <w:r>
        <w:rPr>
          <w:spacing w:val="-3"/>
          <w:sz w:val="21"/>
        </w:rPr>
        <w:t>防火门所用粘结剂应是对人体无毒无害的产品。</w:t>
      </w:r>
      <w:r>
        <w:rPr>
          <w:sz w:val="21"/>
        </w:rPr>
        <w:t> </w:t>
      </w:r>
    </w:p>
    <w:p>
      <w:pPr>
        <w:pStyle w:val="BodyText"/>
        <w:spacing w:before="12"/>
        <w:rPr>
          <w:sz w:val="17"/>
        </w:rPr>
      </w:pPr>
    </w:p>
    <w:p>
      <w:pPr>
        <w:pStyle w:val="ListParagraph"/>
        <w:numPr>
          <w:ilvl w:val="3"/>
          <w:numId w:val="428"/>
        </w:numPr>
        <w:tabs>
          <w:tab w:pos="1576" w:val="left" w:leader="none"/>
        </w:tabs>
        <w:spacing w:line="446" w:lineRule="auto" w:before="0" w:after="0"/>
        <w:ind w:left="418" w:right="1611" w:firstLine="419"/>
        <w:jc w:val="left"/>
        <w:rPr>
          <w:sz w:val="21"/>
        </w:rPr>
      </w:pPr>
      <w:r>
        <w:rPr>
          <w:spacing w:val="-5"/>
          <w:sz w:val="21"/>
        </w:rPr>
        <w:t>防火门所用粘结剂应经国家认可授权检测机构检验达到 </w:t>
      </w:r>
      <w:r>
        <w:rPr>
          <w:sz w:val="21"/>
        </w:rPr>
        <w:t>GB/T</w:t>
      </w:r>
      <w:r>
        <w:rPr>
          <w:spacing w:val="7"/>
          <w:sz w:val="21"/>
        </w:rPr>
        <w:t> </w:t>
      </w:r>
      <w:r>
        <w:rPr>
          <w:sz w:val="21"/>
        </w:rPr>
        <w:t>20285-2006</w:t>
      </w:r>
      <w:r>
        <w:rPr>
          <w:spacing w:val="-14"/>
          <w:sz w:val="21"/>
        </w:rPr>
        <w:t> 规定产</w:t>
      </w:r>
      <w:r>
        <w:rPr>
          <w:spacing w:val="-13"/>
          <w:position w:val="1"/>
          <w:sz w:val="21"/>
        </w:rPr>
        <w:t>烟毒性危险分级 </w:t>
      </w:r>
      <w:r>
        <w:rPr>
          <w:position w:val="1"/>
          <w:sz w:val="21"/>
        </w:rPr>
        <w:t>ZA</w:t>
      </w:r>
      <w:r>
        <w:rPr>
          <w:sz w:val="11"/>
        </w:rPr>
        <w:t>2</w:t>
      </w:r>
      <w:r>
        <w:rPr>
          <w:spacing w:val="-29"/>
          <w:sz w:val="11"/>
        </w:rPr>
        <w:t> </w:t>
      </w:r>
      <w:r>
        <w:rPr>
          <w:spacing w:val="-3"/>
          <w:position w:val="1"/>
          <w:sz w:val="21"/>
        </w:rPr>
        <w:t>级要求。 </w:t>
      </w:r>
    </w:p>
    <w:p>
      <w:pPr>
        <w:pStyle w:val="ListParagraph"/>
        <w:numPr>
          <w:ilvl w:val="1"/>
          <w:numId w:val="430"/>
        </w:numPr>
        <w:tabs>
          <w:tab w:pos="1159" w:val="left" w:leader="none"/>
        </w:tabs>
        <w:spacing w:line="240" w:lineRule="auto" w:before="0" w:after="0"/>
        <w:ind w:left="1158" w:right="0" w:hanging="319"/>
        <w:jc w:val="left"/>
        <w:rPr>
          <w:b/>
          <w:sz w:val="21"/>
        </w:rPr>
      </w:pPr>
      <w:r>
        <w:rPr>
          <w:spacing w:val="-3"/>
          <w:sz w:val="21"/>
        </w:rPr>
        <w:t>配件</w:t>
      </w:r>
      <w:r>
        <w:rPr>
          <w:b/>
          <w:w w:val="99"/>
          <w:sz w:val="21"/>
        </w:rPr>
        <w:t> </w:t>
      </w:r>
    </w:p>
    <w:p>
      <w:pPr>
        <w:pStyle w:val="BodyText"/>
        <w:spacing w:before="12"/>
        <w:rPr>
          <w:b/>
          <w:sz w:val="17"/>
        </w:rPr>
      </w:pPr>
    </w:p>
    <w:p>
      <w:pPr>
        <w:pStyle w:val="ListParagraph"/>
        <w:numPr>
          <w:ilvl w:val="2"/>
          <w:numId w:val="430"/>
        </w:numPr>
        <w:tabs>
          <w:tab w:pos="1370" w:val="left" w:leader="none"/>
        </w:tabs>
        <w:spacing w:line="240" w:lineRule="auto" w:before="0" w:after="0"/>
        <w:ind w:left="1369" w:right="0" w:hanging="530"/>
        <w:jc w:val="left"/>
        <w:rPr>
          <w:b/>
          <w:sz w:val="21"/>
        </w:rPr>
      </w:pPr>
      <w:r>
        <w:rPr>
          <w:spacing w:val="-3"/>
          <w:sz w:val="21"/>
        </w:rPr>
        <w:t>防火锁</w:t>
      </w:r>
      <w:r>
        <w:rPr>
          <w:b/>
          <w:w w:val="99"/>
          <w:sz w:val="21"/>
        </w:rPr>
        <w:t> </w:t>
      </w:r>
    </w:p>
    <w:p>
      <w:pPr>
        <w:pStyle w:val="BodyText"/>
        <w:spacing w:before="2"/>
        <w:rPr>
          <w:b/>
          <w:sz w:val="18"/>
        </w:rPr>
      </w:pPr>
    </w:p>
    <w:p>
      <w:pPr>
        <w:pStyle w:val="ListParagraph"/>
        <w:numPr>
          <w:ilvl w:val="3"/>
          <w:numId w:val="430"/>
        </w:numPr>
        <w:tabs>
          <w:tab w:pos="1576" w:val="left" w:leader="none"/>
        </w:tabs>
        <w:spacing w:line="240" w:lineRule="auto" w:before="0" w:after="0"/>
        <w:ind w:left="1575" w:right="0" w:hanging="738"/>
        <w:jc w:val="left"/>
        <w:rPr>
          <w:sz w:val="21"/>
        </w:rPr>
      </w:pPr>
      <w:r>
        <w:rPr>
          <w:spacing w:val="-3"/>
          <w:sz w:val="21"/>
        </w:rPr>
        <w:t>防火门安装的门锁应是防火锁。</w:t>
      </w:r>
      <w:r>
        <w:rPr>
          <w:sz w:val="21"/>
        </w:rPr>
        <w:t> </w:t>
      </w:r>
    </w:p>
    <w:p>
      <w:pPr>
        <w:pStyle w:val="BodyText"/>
        <w:rPr>
          <w:sz w:val="18"/>
        </w:rPr>
      </w:pPr>
    </w:p>
    <w:p>
      <w:pPr>
        <w:pStyle w:val="ListParagraph"/>
        <w:numPr>
          <w:ilvl w:val="3"/>
          <w:numId w:val="430"/>
        </w:numPr>
        <w:tabs>
          <w:tab w:pos="1576" w:val="left" w:leader="none"/>
        </w:tabs>
        <w:spacing w:line="446" w:lineRule="auto" w:before="0" w:after="0"/>
        <w:ind w:left="418" w:right="1609" w:firstLine="419"/>
        <w:jc w:val="left"/>
        <w:rPr>
          <w:sz w:val="21"/>
        </w:rPr>
      </w:pPr>
      <w:r>
        <w:rPr>
          <w:spacing w:val="-3"/>
          <w:sz w:val="21"/>
        </w:rPr>
        <w:t>在门扇的有锁芯机构处，防火锁均应有执手或推杠机构，不允许以圆形或球形旋钮代替执手</w:t>
      </w:r>
      <w:r>
        <w:rPr>
          <w:sz w:val="21"/>
        </w:rPr>
        <w:t>（</w:t>
      </w:r>
      <w:r>
        <w:rPr>
          <w:spacing w:val="-3"/>
          <w:sz w:val="21"/>
        </w:rPr>
        <w:t>特殊部位使用除外，如管道井门等）</w:t>
      </w:r>
      <w:r>
        <w:rPr>
          <w:sz w:val="21"/>
        </w:rPr>
        <w:t>。 </w:t>
      </w:r>
    </w:p>
    <w:p>
      <w:pPr>
        <w:pStyle w:val="ListParagraph"/>
        <w:numPr>
          <w:ilvl w:val="3"/>
          <w:numId w:val="430"/>
        </w:numPr>
        <w:tabs>
          <w:tab w:pos="1576" w:val="left" w:leader="none"/>
        </w:tabs>
        <w:spacing w:line="240" w:lineRule="auto" w:before="0" w:after="0"/>
        <w:ind w:left="1575" w:right="0" w:hanging="738"/>
        <w:jc w:val="left"/>
        <w:rPr>
          <w:sz w:val="21"/>
        </w:rPr>
      </w:pPr>
      <w:r>
        <w:rPr>
          <w:spacing w:val="-5"/>
          <w:sz w:val="21"/>
        </w:rPr>
        <w:t>防火锁应经国家认可授权检测机构检验合格，其耐火性能应符合附录 </w:t>
      </w:r>
      <w:r>
        <w:rPr>
          <w:sz w:val="21"/>
        </w:rPr>
        <w:t>A</w:t>
      </w:r>
      <w:r>
        <w:rPr>
          <w:spacing w:val="-13"/>
          <w:sz w:val="21"/>
        </w:rPr>
        <w:t> 的规定。</w:t>
      </w:r>
      <w:r>
        <w:rPr>
          <w:sz w:val="21"/>
        </w:rPr>
        <w:t> </w:t>
      </w:r>
    </w:p>
    <w:p>
      <w:pPr>
        <w:pStyle w:val="BodyText"/>
        <w:spacing w:before="12"/>
        <w:rPr>
          <w:sz w:val="17"/>
        </w:rPr>
      </w:pPr>
    </w:p>
    <w:p>
      <w:pPr>
        <w:pStyle w:val="ListParagraph"/>
        <w:numPr>
          <w:ilvl w:val="2"/>
          <w:numId w:val="430"/>
        </w:numPr>
        <w:tabs>
          <w:tab w:pos="1370" w:val="left" w:leader="none"/>
        </w:tabs>
        <w:spacing w:line="240" w:lineRule="auto" w:before="0" w:after="0"/>
        <w:ind w:left="1369" w:right="0" w:hanging="530"/>
        <w:jc w:val="left"/>
        <w:rPr>
          <w:b/>
          <w:sz w:val="21"/>
        </w:rPr>
      </w:pPr>
      <w:r>
        <w:rPr>
          <w:spacing w:val="-3"/>
          <w:sz w:val="21"/>
        </w:rPr>
        <w:t>防火合页（</w:t>
      </w:r>
      <w:r>
        <w:rPr>
          <w:spacing w:val="-2"/>
          <w:sz w:val="21"/>
        </w:rPr>
        <w:t>铰链</w:t>
      </w:r>
      <w:r>
        <w:rPr>
          <w:spacing w:val="-3"/>
          <w:sz w:val="21"/>
        </w:rPr>
        <w:t>）</w:t>
      </w:r>
      <w:r>
        <w:rPr>
          <w:b/>
          <w:w w:val="99"/>
          <w:sz w:val="21"/>
        </w:rPr>
        <w:t> </w:t>
      </w:r>
    </w:p>
    <w:p>
      <w:pPr>
        <w:pStyle w:val="BodyText"/>
        <w:spacing w:before="12"/>
        <w:rPr>
          <w:b/>
          <w:sz w:val="17"/>
        </w:rPr>
      </w:pPr>
    </w:p>
    <w:p>
      <w:pPr>
        <w:pStyle w:val="BodyText"/>
        <w:spacing w:line="446" w:lineRule="auto"/>
        <w:ind w:left="840" w:right="2443" w:hanging="3"/>
        <w:rPr>
          <w:b/>
        </w:rPr>
      </w:pPr>
      <w:r>
        <w:rPr/>
        <w:t>防火门用合页（铰链）板厚应不少于 3 mm，其耐火性能应符合附录 B 的规定。</w:t>
      </w:r>
      <w:r>
        <w:rPr>
          <w:b/>
        </w:rPr>
        <w:t>5.3.3 </w:t>
      </w:r>
      <w:r>
        <w:rPr/>
        <w:t>防火闭门装置</w:t>
      </w:r>
      <w:r>
        <w:rPr>
          <w:b/>
          <w:w w:val="99"/>
        </w:rPr>
        <w:t> </w:t>
      </w:r>
    </w:p>
    <w:p>
      <w:pPr>
        <w:pStyle w:val="ListParagraph"/>
        <w:numPr>
          <w:ilvl w:val="3"/>
          <w:numId w:val="431"/>
        </w:numPr>
        <w:tabs>
          <w:tab w:pos="1576" w:val="left" w:leader="none"/>
        </w:tabs>
        <w:spacing w:line="446" w:lineRule="auto" w:before="1" w:after="0"/>
        <w:ind w:left="418" w:right="1609" w:firstLine="419"/>
        <w:jc w:val="left"/>
        <w:rPr>
          <w:sz w:val="21"/>
        </w:rPr>
      </w:pPr>
      <w:r>
        <w:rPr>
          <w:spacing w:val="-3"/>
          <w:sz w:val="21"/>
        </w:rPr>
        <w:t>防火门应安装防火门闭门器，或设置让常开防火门在火灾发生时能自动关闭门扇的闭门装置</w:t>
      </w:r>
      <w:r>
        <w:rPr>
          <w:sz w:val="21"/>
        </w:rPr>
        <w:t>（</w:t>
      </w:r>
      <w:r>
        <w:rPr>
          <w:spacing w:val="-3"/>
          <w:sz w:val="21"/>
        </w:rPr>
        <w:t>特殊部位使用除外，如管道井门等）</w:t>
      </w:r>
      <w:r>
        <w:rPr>
          <w:sz w:val="21"/>
        </w:rPr>
        <w:t>。 </w:t>
      </w:r>
    </w:p>
    <w:p>
      <w:pPr>
        <w:pStyle w:val="ListParagraph"/>
        <w:numPr>
          <w:ilvl w:val="3"/>
          <w:numId w:val="431"/>
        </w:numPr>
        <w:tabs>
          <w:tab w:pos="1576" w:val="left" w:leader="none"/>
        </w:tabs>
        <w:spacing w:line="446" w:lineRule="auto" w:before="0" w:after="0"/>
        <w:ind w:left="418" w:right="1820" w:firstLine="419"/>
        <w:jc w:val="left"/>
        <w:rPr>
          <w:sz w:val="21"/>
        </w:rPr>
      </w:pPr>
      <w:r>
        <w:rPr>
          <w:spacing w:val="-5"/>
          <w:sz w:val="21"/>
        </w:rPr>
        <w:t>防火门闭门器应经国家认可授权检测机构检验合格，其性能应符合 </w:t>
      </w:r>
      <w:r>
        <w:rPr>
          <w:sz w:val="21"/>
        </w:rPr>
        <w:t>GA</w:t>
      </w:r>
      <w:r>
        <w:rPr>
          <w:spacing w:val="13"/>
          <w:sz w:val="21"/>
        </w:rPr>
        <w:t> </w:t>
      </w:r>
      <w:r>
        <w:rPr>
          <w:sz w:val="21"/>
        </w:rPr>
        <w:t>93</w:t>
      </w:r>
      <w:r>
        <w:rPr>
          <w:spacing w:val="-17"/>
          <w:sz w:val="21"/>
        </w:rPr>
        <w:t> 的规</w:t>
      </w:r>
      <w:r>
        <w:rPr>
          <w:spacing w:val="-10"/>
          <w:sz w:val="21"/>
        </w:rPr>
        <w:t>定。</w:t>
      </w:r>
      <w:r>
        <w:rPr>
          <w:sz w:val="21"/>
        </w:rPr>
        <w:t> </w:t>
      </w:r>
    </w:p>
    <w:p>
      <w:pPr>
        <w:pStyle w:val="ListParagraph"/>
        <w:numPr>
          <w:ilvl w:val="3"/>
          <w:numId w:val="431"/>
        </w:numPr>
        <w:tabs>
          <w:tab w:pos="1576" w:val="left" w:leader="none"/>
        </w:tabs>
        <w:spacing w:line="267" w:lineRule="exact" w:before="0" w:after="0"/>
        <w:ind w:left="1575" w:right="0" w:hanging="738"/>
        <w:jc w:val="left"/>
        <w:rPr>
          <w:sz w:val="21"/>
        </w:rPr>
      </w:pPr>
      <w:r>
        <w:rPr>
          <w:spacing w:val="-3"/>
          <w:sz w:val="21"/>
        </w:rPr>
        <w:t>自动关闭门扇的闭门装置，应经国家认可授权检测机构检验合格。 </w:t>
      </w:r>
    </w:p>
    <w:p>
      <w:pPr>
        <w:pStyle w:val="BodyText"/>
        <w:spacing w:before="2"/>
        <w:rPr>
          <w:sz w:val="18"/>
        </w:rPr>
      </w:pPr>
    </w:p>
    <w:p>
      <w:pPr>
        <w:pStyle w:val="ListParagraph"/>
        <w:numPr>
          <w:ilvl w:val="2"/>
          <w:numId w:val="432"/>
        </w:numPr>
        <w:tabs>
          <w:tab w:pos="1370" w:val="left" w:leader="none"/>
        </w:tabs>
        <w:spacing w:line="240" w:lineRule="auto" w:before="0" w:after="0"/>
        <w:ind w:left="1369" w:right="0" w:hanging="530"/>
        <w:jc w:val="left"/>
        <w:rPr>
          <w:b/>
          <w:sz w:val="21"/>
        </w:rPr>
      </w:pPr>
      <w:r>
        <w:rPr>
          <w:spacing w:val="-3"/>
          <w:sz w:val="21"/>
        </w:rPr>
        <w:t>防火顺序器</w:t>
      </w:r>
      <w:r>
        <w:rPr>
          <w:b/>
          <w:spacing w:val="-3"/>
          <w:w w:val="99"/>
          <w:sz w:val="21"/>
        </w:rPr>
        <w:t> </w:t>
      </w:r>
    </w:p>
    <w:p>
      <w:pPr>
        <w:pStyle w:val="BodyText"/>
        <w:spacing w:before="12"/>
        <w:rPr>
          <w:b/>
          <w:sz w:val="17"/>
        </w:rPr>
      </w:pPr>
    </w:p>
    <w:p>
      <w:pPr>
        <w:pStyle w:val="BodyText"/>
        <w:spacing w:line="446" w:lineRule="auto" w:before="1"/>
        <w:ind w:left="418" w:right="1609" w:firstLine="419"/>
      </w:pPr>
      <w:r>
        <w:rPr/>
        <w:t>双扇、多扇防火门设置盖缝板或止口的应安装顺序器（特殊部位使用除外），其耐火性能应符合附录C 的规定。 </w:t>
      </w:r>
    </w:p>
    <w:p>
      <w:pPr>
        <w:pStyle w:val="ListParagraph"/>
        <w:numPr>
          <w:ilvl w:val="2"/>
          <w:numId w:val="432"/>
        </w:numPr>
        <w:tabs>
          <w:tab w:pos="1370" w:val="left" w:leader="none"/>
        </w:tabs>
        <w:spacing w:line="240" w:lineRule="auto" w:before="0" w:after="0"/>
        <w:ind w:left="1369" w:right="0" w:hanging="530"/>
        <w:jc w:val="left"/>
        <w:rPr>
          <w:b/>
          <w:sz w:val="21"/>
        </w:rPr>
      </w:pPr>
      <w:r>
        <w:rPr>
          <w:spacing w:val="-3"/>
          <w:sz w:val="21"/>
        </w:rPr>
        <w:t>防火插销</w:t>
      </w:r>
      <w:r>
        <w:rPr>
          <w:b/>
          <w:w w:val="99"/>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t>采用钢质防火插销，应安装在双扇防火门或多扇防火门的相对固定一侧的门扇上（若有要求时），其耐火性能应符合附录 D 的规定。 </w:t>
      </w:r>
    </w:p>
    <w:p>
      <w:pPr>
        <w:pStyle w:val="ListParagraph"/>
        <w:numPr>
          <w:ilvl w:val="2"/>
          <w:numId w:val="432"/>
        </w:numPr>
        <w:tabs>
          <w:tab w:pos="1370" w:val="left" w:leader="none"/>
        </w:tabs>
        <w:spacing w:line="267" w:lineRule="exact" w:before="0" w:after="0"/>
        <w:ind w:left="1369" w:right="0" w:hanging="530"/>
        <w:jc w:val="left"/>
        <w:rPr>
          <w:b/>
          <w:sz w:val="21"/>
        </w:rPr>
      </w:pPr>
      <w:r>
        <w:rPr>
          <w:spacing w:val="-3"/>
          <w:sz w:val="21"/>
        </w:rPr>
        <w:t>盖缝板</w:t>
      </w:r>
      <w:r>
        <w:rPr>
          <w:b/>
          <w:w w:val="99"/>
          <w:sz w:val="21"/>
        </w:rPr>
        <w:t> </w:t>
      </w:r>
    </w:p>
    <w:p>
      <w:pPr>
        <w:pStyle w:val="BodyText"/>
        <w:spacing w:before="2"/>
        <w:rPr>
          <w:b/>
          <w:sz w:val="18"/>
        </w:rPr>
      </w:pPr>
    </w:p>
    <w:p>
      <w:pPr>
        <w:pStyle w:val="ListParagraph"/>
        <w:numPr>
          <w:ilvl w:val="3"/>
          <w:numId w:val="432"/>
        </w:numPr>
        <w:tabs>
          <w:tab w:pos="1576" w:val="left" w:leader="none"/>
        </w:tabs>
        <w:spacing w:line="240" w:lineRule="auto" w:before="0" w:after="0"/>
        <w:ind w:left="1575" w:right="0" w:hanging="738"/>
        <w:jc w:val="left"/>
        <w:rPr>
          <w:sz w:val="21"/>
        </w:rPr>
      </w:pPr>
      <w:r>
        <w:rPr>
          <w:spacing w:val="-3"/>
          <w:sz w:val="21"/>
        </w:rPr>
        <w:t>平口或止口结构的双扇防火门宜设盖缝板。 </w:t>
      </w:r>
    </w:p>
    <w:p>
      <w:pPr>
        <w:pStyle w:val="BodyText"/>
        <w:rPr>
          <w:sz w:val="18"/>
        </w:rPr>
      </w:pPr>
    </w:p>
    <w:p>
      <w:pPr>
        <w:pStyle w:val="ListParagraph"/>
        <w:numPr>
          <w:ilvl w:val="3"/>
          <w:numId w:val="432"/>
        </w:numPr>
        <w:tabs>
          <w:tab w:pos="1576" w:val="left" w:leader="none"/>
        </w:tabs>
        <w:spacing w:line="240" w:lineRule="auto" w:before="0" w:after="0"/>
        <w:ind w:left="1575" w:right="0" w:hanging="738"/>
        <w:jc w:val="left"/>
        <w:rPr>
          <w:sz w:val="21"/>
        </w:rPr>
      </w:pPr>
      <w:r>
        <w:rPr>
          <w:spacing w:val="-3"/>
          <w:sz w:val="21"/>
        </w:rPr>
        <w:t>盖缝板与门扇连接应牢固。</w:t>
      </w:r>
      <w:r>
        <w:rPr>
          <w:sz w:val="21"/>
        </w:rPr>
        <w:t> </w:t>
      </w:r>
    </w:p>
    <w:p>
      <w:pPr>
        <w:pStyle w:val="BodyText"/>
        <w:spacing w:before="12"/>
        <w:rPr>
          <w:sz w:val="17"/>
        </w:rPr>
      </w:pPr>
    </w:p>
    <w:p>
      <w:pPr>
        <w:pStyle w:val="ListParagraph"/>
        <w:numPr>
          <w:ilvl w:val="3"/>
          <w:numId w:val="432"/>
        </w:numPr>
        <w:tabs>
          <w:tab w:pos="1576" w:val="left" w:leader="none"/>
        </w:tabs>
        <w:spacing w:line="240" w:lineRule="auto" w:before="0" w:after="0"/>
        <w:ind w:left="1575" w:right="0" w:hanging="738"/>
        <w:jc w:val="left"/>
        <w:rPr>
          <w:sz w:val="21"/>
        </w:rPr>
      </w:pPr>
      <w:r>
        <w:rPr>
          <w:spacing w:val="-3"/>
          <w:sz w:val="21"/>
        </w:rPr>
        <w:t>盖缝板不应妨碍门扇的正常启闭。</w:t>
      </w:r>
      <w:r>
        <w:rPr>
          <w:sz w:val="21"/>
        </w:rPr>
        <w:t> </w:t>
      </w:r>
    </w:p>
    <w:p>
      <w:pPr>
        <w:pStyle w:val="BodyText"/>
        <w:spacing w:before="2"/>
        <w:rPr>
          <w:sz w:val="18"/>
        </w:rPr>
      </w:pPr>
    </w:p>
    <w:p>
      <w:pPr>
        <w:pStyle w:val="ListParagraph"/>
        <w:numPr>
          <w:ilvl w:val="2"/>
          <w:numId w:val="432"/>
        </w:numPr>
        <w:tabs>
          <w:tab w:pos="1371" w:val="left" w:leader="none"/>
        </w:tabs>
        <w:spacing w:line="240" w:lineRule="auto" w:before="0" w:after="0"/>
        <w:ind w:left="1370" w:right="0" w:hanging="531"/>
        <w:jc w:val="left"/>
        <w:rPr>
          <w:b/>
          <w:sz w:val="21"/>
        </w:rPr>
      </w:pPr>
      <w:r>
        <w:rPr>
          <w:spacing w:val="-1"/>
          <w:sz w:val="21"/>
        </w:rPr>
        <w:t>防火密封件</w:t>
      </w:r>
      <w:r>
        <w:rPr>
          <w:b/>
          <w:spacing w:val="-1"/>
          <w:w w:val="99"/>
          <w:sz w:val="21"/>
        </w:rPr>
        <w:t> </w:t>
      </w:r>
    </w:p>
    <w:p>
      <w:pPr>
        <w:pStyle w:val="BodyText"/>
        <w:rPr>
          <w:b/>
          <w:sz w:val="18"/>
        </w:rPr>
      </w:pPr>
    </w:p>
    <w:p>
      <w:pPr>
        <w:pStyle w:val="ListParagraph"/>
        <w:numPr>
          <w:ilvl w:val="3"/>
          <w:numId w:val="432"/>
        </w:numPr>
        <w:tabs>
          <w:tab w:pos="1576" w:val="left" w:leader="none"/>
        </w:tabs>
        <w:spacing w:line="240" w:lineRule="auto" w:before="0" w:after="0"/>
        <w:ind w:left="1575" w:right="0" w:hanging="738"/>
        <w:jc w:val="left"/>
        <w:rPr>
          <w:sz w:val="21"/>
        </w:rPr>
      </w:pPr>
      <w:r>
        <w:rPr>
          <w:spacing w:val="-3"/>
          <w:sz w:val="21"/>
        </w:rPr>
        <w:t>防火门门框与门扇、门扇与门扇的缝隙处应嵌装防火密封件。</w:t>
      </w:r>
      <w:r>
        <w:rPr>
          <w:sz w:val="21"/>
        </w:rPr>
        <w:t> </w:t>
      </w:r>
    </w:p>
    <w:p>
      <w:pPr>
        <w:pStyle w:val="BodyText"/>
        <w:spacing w:before="12"/>
        <w:rPr>
          <w:sz w:val="17"/>
        </w:rPr>
      </w:pPr>
    </w:p>
    <w:p>
      <w:pPr>
        <w:pStyle w:val="ListParagraph"/>
        <w:numPr>
          <w:ilvl w:val="3"/>
          <w:numId w:val="432"/>
        </w:numPr>
        <w:tabs>
          <w:tab w:pos="1576" w:val="left" w:leader="none"/>
        </w:tabs>
        <w:spacing w:line="446" w:lineRule="auto" w:before="0" w:after="0"/>
        <w:ind w:left="418" w:right="1719" w:firstLine="419"/>
        <w:jc w:val="left"/>
        <w:rPr>
          <w:sz w:val="21"/>
        </w:rPr>
      </w:pPr>
      <w:r>
        <w:rPr>
          <w:spacing w:val="-5"/>
          <w:sz w:val="21"/>
        </w:rPr>
        <w:t>防火密封件应经国家认可授权检测机构检验合格，其性能应符合 </w:t>
      </w:r>
      <w:r>
        <w:rPr>
          <w:spacing w:val="-3"/>
          <w:sz w:val="21"/>
        </w:rPr>
        <w:t>GB</w:t>
      </w:r>
      <w:r>
        <w:rPr>
          <w:spacing w:val="13"/>
          <w:sz w:val="21"/>
        </w:rPr>
        <w:t> </w:t>
      </w:r>
      <w:r>
        <w:rPr>
          <w:sz w:val="21"/>
        </w:rPr>
        <w:t>16807</w:t>
      </w:r>
      <w:r>
        <w:rPr>
          <w:spacing w:val="-19"/>
          <w:sz w:val="21"/>
        </w:rPr>
        <w:t> 的规</w:t>
      </w:r>
      <w:r>
        <w:rPr>
          <w:spacing w:val="-2"/>
          <w:sz w:val="21"/>
        </w:rPr>
        <w:t>定。</w:t>
      </w:r>
      <w:r>
        <w:rPr>
          <w:sz w:val="21"/>
        </w:rPr>
        <w:t> </w:t>
      </w:r>
    </w:p>
    <w:p>
      <w:pPr>
        <w:pStyle w:val="ListParagraph"/>
        <w:numPr>
          <w:ilvl w:val="2"/>
          <w:numId w:val="432"/>
        </w:numPr>
        <w:tabs>
          <w:tab w:pos="1370" w:val="left" w:leader="none"/>
        </w:tabs>
        <w:spacing w:line="240" w:lineRule="auto" w:before="0" w:after="0"/>
        <w:ind w:left="1369" w:right="0" w:hanging="530"/>
        <w:jc w:val="left"/>
        <w:rPr>
          <w:b/>
          <w:sz w:val="21"/>
        </w:rPr>
      </w:pPr>
      <w:r>
        <w:rPr>
          <w:spacing w:val="-3"/>
          <w:sz w:val="21"/>
        </w:rPr>
        <w:t>防火玻璃</w:t>
      </w:r>
      <w:r>
        <w:rPr>
          <w:b/>
          <w:w w:val="99"/>
          <w:sz w:val="21"/>
        </w:rPr>
        <w:t> </w:t>
      </w:r>
    </w:p>
    <w:p>
      <w:pPr>
        <w:pStyle w:val="BodyText"/>
        <w:rPr>
          <w:b/>
          <w:sz w:val="18"/>
        </w:rPr>
      </w:pPr>
    </w:p>
    <w:p>
      <w:pPr>
        <w:pStyle w:val="ListParagraph"/>
        <w:numPr>
          <w:ilvl w:val="3"/>
          <w:numId w:val="432"/>
        </w:numPr>
        <w:tabs>
          <w:tab w:pos="1576" w:val="left" w:leader="none"/>
        </w:tabs>
        <w:spacing w:line="240" w:lineRule="auto" w:before="0" w:after="0"/>
        <w:ind w:left="1575" w:right="0" w:hanging="738"/>
        <w:jc w:val="left"/>
        <w:rPr>
          <w:sz w:val="21"/>
        </w:rPr>
      </w:pPr>
      <w:r>
        <w:rPr>
          <w:spacing w:val="-3"/>
          <w:sz w:val="21"/>
        </w:rPr>
        <w:t>防火门上镶嵌防火玻璃的类型</w:t>
      </w:r>
      <w:r>
        <w:rPr>
          <w:sz w:val="21"/>
        </w:rPr>
        <w:t> </w:t>
      </w:r>
    </w:p>
    <w:p>
      <w:pPr>
        <w:pStyle w:val="BodyText"/>
        <w:spacing w:before="2"/>
        <w:rPr>
          <w:sz w:val="18"/>
        </w:rPr>
      </w:pPr>
    </w:p>
    <w:p>
      <w:pPr>
        <w:pStyle w:val="ListParagraph"/>
        <w:numPr>
          <w:ilvl w:val="4"/>
          <w:numId w:val="432"/>
        </w:numPr>
        <w:tabs>
          <w:tab w:pos="1788" w:val="left" w:leader="none"/>
        </w:tabs>
        <w:spacing w:line="240" w:lineRule="auto" w:before="0" w:after="0"/>
        <w:ind w:left="1787" w:right="0" w:hanging="950"/>
        <w:jc w:val="left"/>
        <w:rPr>
          <w:sz w:val="21"/>
        </w:rPr>
      </w:pPr>
      <w:r>
        <w:rPr>
          <w:sz w:val="21"/>
        </w:rPr>
        <w:t>A</w:t>
      </w:r>
      <w:r>
        <w:rPr>
          <w:spacing w:val="-10"/>
          <w:sz w:val="21"/>
        </w:rPr>
        <w:t> 类防火门若镶嵌防火玻璃，其耐火性能应符合 </w:t>
      </w:r>
      <w:r>
        <w:rPr>
          <w:sz w:val="21"/>
        </w:rPr>
        <w:t>A</w:t>
      </w:r>
      <w:r>
        <w:rPr>
          <w:spacing w:val="-8"/>
          <w:sz w:val="21"/>
        </w:rPr>
        <w:t> 类防火门的条件。</w:t>
      </w:r>
      <w:r>
        <w:rPr>
          <w:sz w:val="21"/>
        </w:rPr>
        <w:t> </w:t>
      </w:r>
    </w:p>
    <w:p>
      <w:pPr>
        <w:pStyle w:val="BodyText"/>
        <w:spacing w:before="12"/>
        <w:rPr>
          <w:sz w:val="17"/>
        </w:rPr>
      </w:pPr>
    </w:p>
    <w:p>
      <w:pPr>
        <w:pStyle w:val="ListParagraph"/>
        <w:numPr>
          <w:ilvl w:val="4"/>
          <w:numId w:val="432"/>
        </w:numPr>
        <w:tabs>
          <w:tab w:pos="1788" w:val="left" w:leader="none"/>
        </w:tabs>
        <w:spacing w:line="240" w:lineRule="auto" w:before="0" w:after="0"/>
        <w:ind w:left="1787" w:right="0" w:hanging="950"/>
        <w:jc w:val="left"/>
        <w:rPr>
          <w:sz w:val="21"/>
        </w:rPr>
      </w:pPr>
      <w:r>
        <w:rPr>
          <w:sz w:val="21"/>
        </w:rPr>
        <w:t>B</w:t>
      </w:r>
      <w:r>
        <w:rPr>
          <w:spacing w:val="-10"/>
          <w:sz w:val="21"/>
        </w:rPr>
        <w:t> 类防火门若镶嵌防火玻璃，其耐火性能应符合 </w:t>
      </w:r>
      <w:r>
        <w:rPr>
          <w:sz w:val="21"/>
        </w:rPr>
        <w:t>B</w:t>
      </w:r>
      <w:r>
        <w:rPr>
          <w:spacing w:val="-8"/>
          <w:sz w:val="21"/>
        </w:rPr>
        <w:t> 类防火门的条件。</w:t>
      </w:r>
      <w:r>
        <w:rPr>
          <w:sz w:val="21"/>
        </w:rPr>
        <w:t> </w:t>
      </w:r>
    </w:p>
    <w:p>
      <w:pPr>
        <w:pStyle w:val="BodyText"/>
        <w:rPr>
          <w:sz w:val="18"/>
        </w:rPr>
      </w:pPr>
    </w:p>
    <w:p>
      <w:pPr>
        <w:pStyle w:val="ListParagraph"/>
        <w:numPr>
          <w:ilvl w:val="4"/>
          <w:numId w:val="432"/>
        </w:numPr>
        <w:tabs>
          <w:tab w:pos="1788" w:val="left" w:leader="none"/>
        </w:tabs>
        <w:spacing w:line="240" w:lineRule="auto" w:before="0" w:after="0"/>
        <w:ind w:left="1787" w:right="0" w:hanging="950"/>
        <w:jc w:val="left"/>
        <w:rPr>
          <w:sz w:val="21"/>
        </w:rPr>
      </w:pPr>
      <w:r>
        <w:rPr>
          <w:sz w:val="21"/>
        </w:rPr>
        <w:t>C</w:t>
      </w:r>
      <w:r>
        <w:rPr>
          <w:spacing w:val="-10"/>
          <w:sz w:val="21"/>
        </w:rPr>
        <w:t> 类防火门若镶嵌防火玻璃，其耐火性能应符合 </w:t>
      </w:r>
      <w:r>
        <w:rPr>
          <w:sz w:val="21"/>
        </w:rPr>
        <w:t>C</w:t>
      </w:r>
      <w:r>
        <w:rPr>
          <w:spacing w:val="-8"/>
          <w:sz w:val="21"/>
        </w:rPr>
        <w:t> 类防火门的条件。</w:t>
      </w:r>
      <w:r>
        <w:rPr>
          <w:sz w:val="21"/>
        </w:rPr>
        <w:t> </w:t>
      </w:r>
    </w:p>
    <w:p>
      <w:pPr>
        <w:pStyle w:val="BodyText"/>
        <w:spacing w:before="2"/>
        <w:rPr>
          <w:sz w:val="18"/>
        </w:rPr>
      </w:pPr>
    </w:p>
    <w:p>
      <w:pPr>
        <w:pStyle w:val="ListParagraph"/>
        <w:numPr>
          <w:ilvl w:val="3"/>
          <w:numId w:val="432"/>
        </w:numPr>
        <w:tabs>
          <w:tab w:pos="1576" w:val="left" w:leader="none"/>
        </w:tabs>
        <w:spacing w:line="446" w:lineRule="auto" w:before="0" w:after="0"/>
        <w:ind w:left="418" w:right="1719" w:firstLine="419"/>
        <w:jc w:val="left"/>
        <w:rPr>
          <w:sz w:val="21"/>
        </w:rPr>
      </w:pPr>
      <w:r>
        <w:rPr>
          <w:spacing w:val="-5"/>
          <w:sz w:val="21"/>
        </w:rPr>
        <w:t>防火玻璃应经国家认可授权检测机构检验合格，其性能应符合 </w:t>
      </w:r>
      <w:r>
        <w:rPr>
          <w:sz w:val="21"/>
        </w:rPr>
        <w:t>GB</w:t>
      </w:r>
      <w:r>
        <w:rPr>
          <w:spacing w:val="8"/>
          <w:sz w:val="21"/>
        </w:rPr>
        <w:t> </w:t>
      </w:r>
      <w:r>
        <w:rPr>
          <w:sz w:val="21"/>
        </w:rPr>
        <w:t>15763.1</w:t>
      </w:r>
      <w:r>
        <w:rPr>
          <w:spacing w:val="-18"/>
          <w:sz w:val="21"/>
        </w:rPr>
        <w:t> 的规</w:t>
      </w:r>
      <w:r>
        <w:rPr>
          <w:spacing w:val="-2"/>
          <w:sz w:val="21"/>
        </w:rPr>
        <w:t>定。</w:t>
      </w:r>
      <w:r>
        <w:rPr>
          <w:sz w:val="21"/>
        </w:rPr>
        <w:t> </w:t>
      </w:r>
    </w:p>
    <w:p>
      <w:pPr>
        <w:pStyle w:val="ListParagraph"/>
        <w:numPr>
          <w:ilvl w:val="1"/>
          <w:numId w:val="430"/>
        </w:numPr>
        <w:tabs>
          <w:tab w:pos="1160" w:val="left" w:leader="none"/>
        </w:tabs>
        <w:spacing w:line="267" w:lineRule="exact" w:before="0" w:after="0"/>
        <w:ind w:left="1159" w:right="0" w:hanging="320"/>
        <w:jc w:val="left"/>
        <w:rPr>
          <w:b/>
          <w:sz w:val="21"/>
        </w:rPr>
      </w:pPr>
      <w:r>
        <w:rPr>
          <w:spacing w:val="-3"/>
          <w:sz w:val="21"/>
        </w:rPr>
        <w:t>加工工艺和外观质量</w:t>
      </w:r>
      <w:r>
        <w:rPr>
          <w:b/>
          <w:spacing w:val="-3"/>
          <w:w w:val="99"/>
          <w:sz w:val="21"/>
        </w:rPr>
        <w:t> </w:t>
      </w:r>
    </w:p>
    <w:p>
      <w:pPr>
        <w:pStyle w:val="BodyText"/>
        <w:spacing w:before="2"/>
        <w:rPr>
          <w:b/>
          <w:sz w:val="18"/>
        </w:rPr>
      </w:pPr>
    </w:p>
    <w:p>
      <w:pPr>
        <w:pStyle w:val="ListParagraph"/>
        <w:numPr>
          <w:ilvl w:val="2"/>
          <w:numId w:val="430"/>
        </w:numPr>
        <w:tabs>
          <w:tab w:pos="1371" w:val="left" w:leader="none"/>
        </w:tabs>
        <w:spacing w:line="240" w:lineRule="auto" w:before="0" w:after="0"/>
        <w:ind w:left="1370" w:right="0" w:hanging="531"/>
        <w:jc w:val="both"/>
        <w:rPr>
          <w:b/>
          <w:sz w:val="21"/>
        </w:rPr>
      </w:pPr>
      <w:r>
        <w:rPr>
          <w:spacing w:val="-2"/>
          <w:sz w:val="21"/>
        </w:rPr>
        <w:t>加工工艺质量</w:t>
      </w:r>
      <w:r>
        <w:rPr>
          <w:b/>
          <w:spacing w:val="-2"/>
          <w:w w:val="99"/>
          <w:sz w:val="21"/>
        </w:rPr>
        <w:t> </w:t>
      </w:r>
    </w:p>
    <w:p>
      <w:pPr>
        <w:pStyle w:val="BodyText"/>
        <w:rPr>
          <w:b/>
          <w:sz w:val="18"/>
        </w:rPr>
      </w:pPr>
    </w:p>
    <w:p>
      <w:pPr>
        <w:pStyle w:val="BodyText"/>
        <w:spacing w:line="446" w:lineRule="auto"/>
        <w:ind w:left="418" w:right="1608" w:firstLine="419"/>
        <w:jc w:val="both"/>
      </w:pPr>
      <w:r>
        <w:rPr/>
        <w:t>使用钢质材料或难燃木材，或难燃人造板材料，或其他材质材料制作防火门的门框、门扇骨架和门扇面板，门扇内若填充材料，则应填充对人体无毒无害的防火隔热材料，与防火五金配件等共同装配成防火门，其加工工艺质量应符合 5.5、5.6、5.7 的要求。 </w:t>
      </w:r>
    </w:p>
    <w:p>
      <w:pPr>
        <w:pStyle w:val="ListParagraph"/>
        <w:numPr>
          <w:ilvl w:val="2"/>
          <w:numId w:val="430"/>
        </w:numPr>
        <w:tabs>
          <w:tab w:pos="1370" w:val="left" w:leader="none"/>
        </w:tabs>
        <w:spacing w:line="268" w:lineRule="exact" w:before="0" w:after="0"/>
        <w:ind w:left="1369" w:right="0" w:hanging="530"/>
        <w:jc w:val="both"/>
        <w:rPr>
          <w:sz w:val="21"/>
        </w:rPr>
      </w:pPr>
      <w:r>
        <w:rPr>
          <w:spacing w:val="-3"/>
          <w:sz w:val="21"/>
        </w:rPr>
        <w:t>外观质量</w:t>
      </w:r>
      <w:r>
        <w:rPr>
          <w:sz w:val="21"/>
        </w:rPr>
        <w:t> </w:t>
      </w:r>
    </w:p>
    <w:p>
      <w:pPr>
        <w:pStyle w:val="BodyText"/>
        <w:spacing w:before="12"/>
        <w:rPr>
          <w:sz w:val="17"/>
        </w:rPr>
      </w:pPr>
    </w:p>
    <w:p>
      <w:pPr>
        <w:pStyle w:val="BodyText"/>
        <w:ind w:left="838"/>
      </w:pPr>
      <w:r>
        <w:rPr/>
        <w:t>采用不同材质材料制造的防火门，其外观质量应分别符合以下相应规定： </w:t>
      </w:r>
    </w:p>
    <w:p>
      <w:pPr>
        <w:pStyle w:val="BodyText"/>
        <w:spacing w:before="2"/>
        <w:rPr>
          <w:sz w:val="18"/>
        </w:rPr>
      </w:pPr>
    </w:p>
    <w:p>
      <w:pPr>
        <w:pStyle w:val="ListParagraph"/>
        <w:numPr>
          <w:ilvl w:val="0"/>
          <w:numId w:val="433"/>
        </w:numPr>
        <w:tabs>
          <w:tab w:pos="1156" w:val="left" w:leader="none"/>
        </w:tabs>
        <w:spacing w:line="446" w:lineRule="auto" w:before="0" w:after="0"/>
        <w:ind w:left="418" w:right="1505" w:firstLine="419"/>
        <w:jc w:val="left"/>
        <w:rPr>
          <w:sz w:val="21"/>
        </w:rPr>
      </w:pPr>
      <w:r>
        <w:rPr>
          <w:spacing w:val="-3"/>
          <w:sz w:val="21"/>
        </w:rPr>
        <w:t>、木质防火门：割角、拼缝应严实平整；胶合板不允许刨透表层单板和戗槎；表面应净光或砂磨，并不得有刨痕、毛刺和锤印；涂层应均匀、平整、光滑，不应有堆漆、气泡、漏涂以及流淌等现象；</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433"/>
        </w:numPr>
        <w:tabs>
          <w:tab w:pos="1156" w:val="left" w:leader="none"/>
        </w:tabs>
        <w:spacing w:line="446" w:lineRule="auto" w:before="47" w:after="0"/>
        <w:ind w:left="418" w:right="1608" w:firstLine="419"/>
        <w:jc w:val="left"/>
        <w:rPr>
          <w:sz w:val="21"/>
        </w:rPr>
      </w:pPr>
      <w:r>
        <w:rPr>
          <w:spacing w:val="-3"/>
          <w:sz w:val="21"/>
        </w:rPr>
        <w:t>、钢质防火门：外观应平整、光洁、无明显凹痕或机械损伤；涂层、镀层应均匀、平整、光滑，不应有堆漆、麻点、气泡、漏涂以及流淌等现象；焊接应牢固、焊点分布均匀，不允许有假焊、烧穿、漏焊、夹渣或疏松等现象，外表面焊接应打磨平整；</w:t>
      </w:r>
      <w:r>
        <w:rPr>
          <w:sz w:val="21"/>
        </w:rPr>
        <w:t> </w:t>
      </w:r>
    </w:p>
    <w:p>
      <w:pPr>
        <w:pStyle w:val="ListParagraph"/>
        <w:numPr>
          <w:ilvl w:val="0"/>
          <w:numId w:val="433"/>
        </w:numPr>
        <w:tabs>
          <w:tab w:pos="1156" w:val="left" w:leader="none"/>
        </w:tabs>
        <w:spacing w:line="268" w:lineRule="exact" w:before="0" w:after="0"/>
        <w:ind w:left="1155" w:right="0" w:hanging="318"/>
        <w:jc w:val="left"/>
        <w:rPr>
          <w:sz w:val="21"/>
        </w:rPr>
      </w:pPr>
      <w:r>
        <w:rPr>
          <w:spacing w:val="-7"/>
          <w:sz w:val="21"/>
        </w:rPr>
        <w:t>、钢木质防火门：外观质量应满足 </w:t>
      </w:r>
      <w:r>
        <w:rPr>
          <w:sz w:val="21"/>
        </w:rPr>
        <w:t>a）、b）</w:t>
      </w:r>
      <w:r>
        <w:rPr>
          <w:spacing w:val="-3"/>
          <w:sz w:val="21"/>
        </w:rPr>
        <w:t>项的相关要求。</w:t>
      </w:r>
      <w:r>
        <w:rPr>
          <w:sz w:val="21"/>
        </w:rPr>
        <w:t> </w:t>
      </w:r>
    </w:p>
    <w:p>
      <w:pPr>
        <w:pStyle w:val="BodyText"/>
        <w:rPr>
          <w:sz w:val="18"/>
        </w:rPr>
      </w:pPr>
    </w:p>
    <w:p>
      <w:pPr>
        <w:pStyle w:val="ListParagraph"/>
        <w:numPr>
          <w:ilvl w:val="0"/>
          <w:numId w:val="433"/>
        </w:numPr>
        <w:tabs>
          <w:tab w:pos="1156" w:val="left" w:leader="none"/>
        </w:tabs>
        <w:spacing w:line="446" w:lineRule="auto" w:before="0" w:after="0"/>
        <w:ind w:left="418" w:right="1505" w:firstLine="419"/>
        <w:jc w:val="left"/>
        <w:rPr>
          <w:sz w:val="21"/>
        </w:rPr>
      </w:pPr>
      <w:r>
        <w:rPr>
          <w:spacing w:val="-3"/>
          <w:sz w:val="21"/>
        </w:rPr>
        <w:t>、其他材质防火门：外观应平整、光洁，无明显凹痕、裂痕等现象，带有木质或钢质部</w:t>
      </w:r>
      <w:r>
        <w:rPr>
          <w:spacing w:val="3"/>
          <w:sz w:val="21"/>
        </w:rPr>
        <w:t>件的部分应分别满足</w:t>
      </w:r>
      <w:r>
        <w:rPr>
          <w:sz w:val="21"/>
        </w:rPr>
        <w:t>a）、b）</w:t>
      </w:r>
      <w:r>
        <w:rPr>
          <w:spacing w:val="-3"/>
          <w:sz w:val="21"/>
        </w:rPr>
        <w:t>项的相关要求。</w:t>
      </w:r>
      <w:r>
        <w:rPr>
          <w:sz w:val="21"/>
        </w:rPr>
        <w:t> </w:t>
      </w:r>
    </w:p>
    <w:p>
      <w:pPr>
        <w:pStyle w:val="ListParagraph"/>
        <w:numPr>
          <w:ilvl w:val="1"/>
          <w:numId w:val="430"/>
        </w:numPr>
        <w:tabs>
          <w:tab w:pos="1160" w:val="left" w:leader="none"/>
        </w:tabs>
        <w:spacing w:line="240" w:lineRule="auto" w:before="0" w:after="0"/>
        <w:ind w:left="1159" w:right="0" w:hanging="320"/>
        <w:jc w:val="left"/>
        <w:rPr>
          <w:b/>
          <w:sz w:val="21"/>
        </w:rPr>
      </w:pPr>
      <w:r>
        <w:rPr>
          <w:spacing w:val="-3"/>
          <w:sz w:val="21"/>
        </w:rPr>
        <w:t>门扇质量</w:t>
      </w:r>
      <w:r>
        <w:rPr>
          <w:b/>
          <w:w w:val="99"/>
          <w:sz w:val="21"/>
        </w:rPr>
        <w:t> </w:t>
      </w:r>
    </w:p>
    <w:p>
      <w:pPr>
        <w:pStyle w:val="BodyText"/>
        <w:rPr>
          <w:b/>
          <w:sz w:val="18"/>
        </w:rPr>
      </w:pPr>
    </w:p>
    <w:p>
      <w:pPr>
        <w:pStyle w:val="BodyText"/>
        <w:spacing w:line="446" w:lineRule="auto"/>
        <w:ind w:left="838" w:right="6337"/>
      </w:pPr>
      <w:r>
        <w:rPr/>
        <w:t>门扇质量不应小于门扇的设计质量。注：指门扇的重量。 </w:t>
      </w:r>
    </w:p>
    <w:p>
      <w:pPr>
        <w:pStyle w:val="ListParagraph"/>
        <w:numPr>
          <w:ilvl w:val="1"/>
          <w:numId w:val="430"/>
        </w:numPr>
        <w:tabs>
          <w:tab w:pos="1159" w:val="left" w:leader="none"/>
        </w:tabs>
        <w:spacing w:line="240" w:lineRule="auto" w:before="0" w:after="0"/>
        <w:ind w:left="1158" w:right="0" w:hanging="319"/>
        <w:jc w:val="left"/>
        <w:rPr>
          <w:b/>
          <w:sz w:val="21"/>
        </w:rPr>
      </w:pPr>
      <w:r>
        <w:rPr>
          <w:spacing w:val="-3"/>
          <w:sz w:val="21"/>
        </w:rPr>
        <w:t>尺寸极限偏差</w:t>
      </w:r>
      <w:r>
        <w:rPr>
          <w:b/>
          <w:w w:val="99"/>
          <w:sz w:val="21"/>
        </w:rPr>
        <w:t> </w:t>
      </w:r>
    </w:p>
    <w:p>
      <w:pPr>
        <w:pStyle w:val="BodyText"/>
        <w:spacing w:before="12"/>
        <w:rPr>
          <w:b/>
          <w:sz w:val="17"/>
        </w:rPr>
      </w:pPr>
    </w:p>
    <w:p>
      <w:pPr>
        <w:pStyle w:val="BodyText"/>
        <w:ind w:left="838"/>
      </w:pPr>
      <w:r>
        <w:rPr/>
        <w:t>防火门门扇、门框的尺寸极限偏差应符合表 4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6"/>
        </w:rPr>
      </w:pPr>
    </w:p>
    <w:p>
      <w:pPr>
        <w:pStyle w:val="Heading6"/>
        <w:spacing w:before="72"/>
        <w:ind w:left="3416"/>
      </w:pPr>
      <w:r>
        <w:rPr/>
        <w:t>表 4 尺寸极限偏差（单位为毫米）</w:t>
      </w:r>
      <w:r>
        <w:rPr>
          <w:w w:val="99"/>
        </w:rPr>
        <w:t> </w:t>
      </w:r>
    </w:p>
    <w:p>
      <w:pPr>
        <w:pStyle w:val="BodyText"/>
        <w:spacing w:before="2"/>
        <w:rPr>
          <w:b/>
          <w:sz w:val="19"/>
        </w:rPr>
      </w:pPr>
      <w:r>
        <w:rPr/>
        <w:drawing>
          <wp:anchor distT="0" distB="0" distL="0" distR="0" allowOverlap="1" layoutInCell="1" locked="0" behindDoc="0" simplePos="0" relativeHeight="158">
            <wp:simplePos x="0" y="0"/>
            <wp:positionH relativeFrom="page">
              <wp:posOffset>1284605</wp:posOffset>
            </wp:positionH>
            <wp:positionV relativeFrom="paragraph">
              <wp:posOffset>180800</wp:posOffset>
            </wp:positionV>
            <wp:extent cx="5337796" cy="2114550"/>
            <wp:effectExtent l="0" t="0" r="0" b="0"/>
            <wp:wrapTopAndBottom/>
            <wp:docPr id="345" name="image209.jpeg"/>
            <wp:cNvGraphicFramePr>
              <a:graphicFrameLocks noChangeAspect="1"/>
            </wp:cNvGraphicFramePr>
            <a:graphic>
              <a:graphicData uri="http://schemas.openxmlformats.org/drawingml/2006/picture">
                <pic:pic>
                  <pic:nvPicPr>
                    <pic:cNvPr id="346" name="image209.jpeg"/>
                    <pic:cNvPicPr/>
                  </pic:nvPicPr>
                  <pic:blipFill>
                    <a:blip r:embed="rId256" cstate="print"/>
                    <a:stretch>
                      <a:fillRect/>
                    </a:stretch>
                  </pic:blipFill>
                  <pic:spPr>
                    <a:xfrm>
                      <a:off x="0" y="0"/>
                      <a:ext cx="5337796" cy="2114550"/>
                    </a:xfrm>
                    <a:prstGeom prst="rect">
                      <a:avLst/>
                    </a:prstGeom>
                  </pic:spPr>
                </pic:pic>
              </a:graphicData>
            </a:graphic>
          </wp:anchor>
        </w:drawing>
      </w:r>
    </w:p>
    <w:p>
      <w:pPr>
        <w:pStyle w:val="ListParagraph"/>
        <w:numPr>
          <w:ilvl w:val="1"/>
          <w:numId w:val="430"/>
        </w:numPr>
        <w:tabs>
          <w:tab w:pos="1160" w:val="left" w:leader="none"/>
        </w:tabs>
        <w:spacing w:line="240" w:lineRule="auto" w:before="163" w:after="0"/>
        <w:ind w:left="1159" w:right="0" w:hanging="320"/>
        <w:jc w:val="left"/>
        <w:rPr>
          <w:b/>
          <w:sz w:val="21"/>
        </w:rPr>
      </w:pPr>
      <w:r>
        <w:rPr>
          <w:spacing w:val="-3"/>
          <w:sz w:val="21"/>
        </w:rPr>
        <w:t>形位公差</w:t>
      </w:r>
      <w:r>
        <w:rPr>
          <w:b/>
          <w:w w:val="99"/>
          <w:sz w:val="21"/>
        </w:rPr>
        <w:t> </w:t>
      </w:r>
    </w:p>
    <w:p>
      <w:pPr>
        <w:pStyle w:val="BodyText"/>
        <w:spacing w:before="2"/>
        <w:rPr>
          <w:b/>
          <w:sz w:val="18"/>
        </w:rPr>
      </w:pPr>
    </w:p>
    <w:p>
      <w:pPr>
        <w:pStyle w:val="BodyText"/>
        <w:ind w:left="838"/>
      </w:pPr>
      <w:r>
        <w:rPr/>
        <w:t>门扇、门框形位公差应符合表 5 的规定。 </w:t>
      </w:r>
    </w:p>
    <w:p>
      <w:pPr>
        <w:spacing w:after="0"/>
        <w:sectPr>
          <w:pgSz w:w="11910" w:h="16850"/>
          <w:pgMar w:header="0" w:footer="1239" w:top="1220" w:bottom="1420" w:left="1260" w:right="0"/>
        </w:sectPr>
      </w:pPr>
    </w:p>
    <w:p>
      <w:pPr>
        <w:pStyle w:val="Heading6"/>
        <w:spacing w:before="47"/>
        <w:ind w:right="492"/>
        <w:jc w:val="center"/>
      </w:pPr>
      <w:r>
        <w:rPr/>
        <w:drawing>
          <wp:anchor distT="0" distB="0" distL="0" distR="0" allowOverlap="1" layoutInCell="1" locked="0" behindDoc="0" simplePos="0" relativeHeight="159">
            <wp:simplePos x="0" y="0"/>
            <wp:positionH relativeFrom="page">
              <wp:posOffset>1166494</wp:posOffset>
            </wp:positionH>
            <wp:positionV relativeFrom="paragraph">
              <wp:posOffset>281685</wp:posOffset>
            </wp:positionV>
            <wp:extent cx="5194970" cy="1419225"/>
            <wp:effectExtent l="0" t="0" r="0" b="0"/>
            <wp:wrapTopAndBottom/>
            <wp:docPr id="347" name="image210.jpeg"/>
            <wp:cNvGraphicFramePr>
              <a:graphicFrameLocks noChangeAspect="1"/>
            </wp:cNvGraphicFramePr>
            <a:graphic>
              <a:graphicData uri="http://schemas.openxmlformats.org/drawingml/2006/picture">
                <pic:pic>
                  <pic:nvPicPr>
                    <pic:cNvPr id="348" name="image210.jpeg"/>
                    <pic:cNvPicPr/>
                  </pic:nvPicPr>
                  <pic:blipFill>
                    <a:blip r:embed="rId257" cstate="print"/>
                    <a:stretch>
                      <a:fillRect/>
                    </a:stretch>
                  </pic:blipFill>
                  <pic:spPr>
                    <a:xfrm>
                      <a:off x="0" y="0"/>
                      <a:ext cx="5194970" cy="1419225"/>
                    </a:xfrm>
                    <a:prstGeom prst="rect">
                      <a:avLst/>
                    </a:prstGeom>
                  </pic:spPr>
                </pic:pic>
              </a:graphicData>
            </a:graphic>
          </wp:anchor>
        </w:drawing>
      </w:r>
      <w:r>
        <w:rPr/>
        <w:t>表 5 形位公差</w:t>
      </w:r>
      <w:r>
        <w:rPr>
          <w:w w:val="99"/>
        </w:rPr>
        <w:t> </w:t>
      </w:r>
    </w:p>
    <w:p>
      <w:pPr>
        <w:pStyle w:val="ListParagraph"/>
        <w:numPr>
          <w:ilvl w:val="1"/>
          <w:numId w:val="430"/>
        </w:numPr>
        <w:tabs>
          <w:tab w:pos="1159" w:val="left" w:leader="none"/>
        </w:tabs>
        <w:spacing w:line="240" w:lineRule="auto" w:before="176" w:after="0"/>
        <w:ind w:left="1158" w:right="0" w:hanging="319"/>
        <w:jc w:val="left"/>
        <w:rPr>
          <w:b/>
          <w:sz w:val="21"/>
        </w:rPr>
      </w:pPr>
      <w:r>
        <w:rPr>
          <w:spacing w:val="-3"/>
          <w:sz w:val="21"/>
        </w:rPr>
        <w:t>配合公差</w:t>
      </w:r>
      <w:r>
        <w:rPr>
          <w:b/>
          <w:w w:val="99"/>
          <w:sz w:val="21"/>
        </w:rPr>
        <w:t> </w:t>
      </w:r>
    </w:p>
    <w:p>
      <w:pPr>
        <w:pStyle w:val="BodyText"/>
        <w:spacing w:before="3"/>
        <w:rPr>
          <w:b/>
          <w:sz w:val="18"/>
        </w:rPr>
      </w:pPr>
    </w:p>
    <w:p>
      <w:pPr>
        <w:pStyle w:val="ListParagraph"/>
        <w:numPr>
          <w:ilvl w:val="2"/>
          <w:numId w:val="430"/>
        </w:numPr>
        <w:tabs>
          <w:tab w:pos="1370" w:val="left" w:leader="none"/>
        </w:tabs>
        <w:spacing w:line="446" w:lineRule="auto" w:before="0" w:after="0"/>
        <w:ind w:left="838" w:right="5757" w:firstLine="2"/>
        <w:jc w:val="left"/>
        <w:rPr>
          <w:b/>
          <w:sz w:val="21"/>
        </w:rPr>
      </w:pPr>
      <w:r>
        <w:rPr>
          <w:spacing w:val="-3"/>
          <w:sz w:val="21"/>
        </w:rPr>
        <w:t>门扇与门框的搭接尺寸（</w:t>
      </w:r>
      <w:r>
        <w:rPr>
          <w:spacing w:val="-18"/>
          <w:sz w:val="21"/>
        </w:rPr>
        <w:t>见图 </w:t>
      </w:r>
      <w:r>
        <w:rPr>
          <w:sz w:val="21"/>
        </w:rPr>
        <w:t>14）</w:t>
      </w:r>
      <w:r>
        <w:rPr>
          <w:spacing w:val="4"/>
          <w:sz w:val="21"/>
        </w:rPr>
        <w:t> 门</w:t>
      </w:r>
      <w:r>
        <w:rPr>
          <w:spacing w:val="-7"/>
          <w:sz w:val="21"/>
        </w:rPr>
        <w:t>扇与门框的搭接尺寸不应小于 </w:t>
      </w:r>
      <w:r>
        <w:rPr>
          <w:sz w:val="21"/>
        </w:rPr>
        <w:t>12mm</w:t>
      </w:r>
      <w:r>
        <w:rPr>
          <w:spacing w:val="3"/>
          <w:sz w:val="21"/>
        </w:rPr>
        <w:t>。 </w:t>
      </w:r>
      <w:r>
        <w:rPr>
          <w:b/>
          <w:sz w:val="21"/>
        </w:rPr>
        <w:t>5.8.2 </w:t>
      </w:r>
      <w:r>
        <w:rPr>
          <w:spacing w:val="-3"/>
          <w:sz w:val="21"/>
        </w:rPr>
        <w:t>门扇与门框的配合活动间隙</w:t>
      </w:r>
      <w:r>
        <w:rPr>
          <w:b/>
          <w:w w:val="99"/>
          <w:sz w:val="21"/>
        </w:rPr>
        <w:t> </w:t>
      </w:r>
    </w:p>
    <w:p>
      <w:pPr>
        <w:pStyle w:val="ListParagraph"/>
        <w:numPr>
          <w:ilvl w:val="3"/>
          <w:numId w:val="434"/>
        </w:numPr>
        <w:tabs>
          <w:tab w:pos="1576" w:val="left" w:leader="none"/>
        </w:tabs>
        <w:spacing w:line="268" w:lineRule="exact" w:before="0" w:after="0"/>
        <w:ind w:left="1575" w:right="0" w:hanging="738"/>
        <w:jc w:val="left"/>
        <w:rPr>
          <w:sz w:val="21"/>
        </w:rPr>
      </w:pPr>
      <w:r>
        <w:rPr>
          <w:spacing w:val="-3"/>
          <w:sz w:val="21"/>
        </w:rPr>
        <w:t>门扇与门框有合页一侧的配合活动间隙不应大于设计图纸规定的尺寸公差。 </w:t>
      </w:r>
    </w:p>
    <w:p>
      <w:pPr>
        <w:pStyle w:val="BodyText"/>
        <w:spacing w:before="12"/>
        <w:rPr>
          <w:sz w:val="17"/>
        </w:rPr>
      </w:pPr>
    </w:p>
    <w:p>
      <w:pPr>
        <w:pStyle w:val="ListParagraph"/>
        <w:numPr>
          <w:ilvl w:val="3"/>
          <w:numId w:val="434"/>
        </w:numPr>
        <w:tabs>
          <w:tab w:pos="1576" w:val="left" w:leader="none"/>
        </w:tabs>
        <w:spacing w:line="240" w:lineRule="auto" w:before="0" w:after="0"/>
        <w:ind w:left="1575" w:right="0" w:hanging="738"/>
        <w:jc w:val="left"/>
        <w:rPr>
          <w:sz w:val="21"/>
        </w:rPr>
      </w:pPr>
      <w:r>
        <w:rPr>
          <w:spacing w:val="-3"/>
          <w:sz w:val="21"/>
        </w:rPr>
        <w:t>门扇与门框有锁一侧的配合活动间隙不应大于设计图纸规定的尺寸公差。 </w:t>
      </w:r>
    </w:p>
    <w:p>
      <w:pPr>
        <w:pStyle w:val="BodyText"/>
        <w:spacing w:before="12"/>
        <w:rPr>
          <w:sz w:val="17"/>
        </w:rPr>
      </w:pPr>
    </w:p>
    <w:p>
      <w:pPr>
        <w:pStyle w:val="ListParagraph"/>
        <w:numPr>
          <w:ilvl w:val="3"/>
          <w:numId w:val="434"/>
        </w:numPr>
        <w:tabs>
          <w:tab w:pos="1576" w:val="left" w:leader="none"/>
        </w:tabs>
        <w:spacing w:line="240" w:lineRule="auto" w:before="0" w:after="0"/>
        <w:ind w:left="1575" w:right="0" w:hanging="738"/>
        <w:jc w:val="left"/>
        <w:rPr>
          <w:sz w:val="21"/>
        </w:rPr>
      </w:pPr>
      <w:r>
        <w:rPr>
          <w:spacing w:val="-6"/>
          <w:sz w:val="21"/>
        </w:rPr>
        <w:t>门扇与上框的配合活动间隙不应大于 </w:t>
      </w:r>
      <w:r>
        <w:rPr>
          <w:sz w:val="21"/>
        </w:rPr>
        <w:t>3</w:t>
      </w:r>
      <w:r>
        <w:rPr>
          <w:spacing w:val="1"/>
          <w:sz w:val="21"/>
        </w:rPr>
        <w:t> </w:t>
      </w:r>
      <w:r>
        <w:rPr>
          <w:spacing w:val="-3"/>
          <w:sz w:val="21"/>
        </w:rPr>
        <w:t>mm</w:t>
      </w:r>
      <w:r>
        <w:rPr>
          <w:sz w:val="21"/>
        </w:rPr>
        <w:t>。 </w:t>
      </w:r>
    </w:p>
    <w:p>
      <w:pPr>
        <w:pStyle w:val="BodyText"/>
        <w:spacing w:before="3"/>
        <w:rPr>
          <w:sz w:val="18"/>
        </w:rPr>
      </w:pPr>
    </w:p>
    <w:p>
      <w:pPr>
        <w:pStyle w:val="ListParagraph"/>
        <w:numPr>
          <w:ilvl w:val="3"/>
          <w:numId w:val="434"/>
        </w:numPr>
        <w:tabs>
          <w:tab w:pos="1576" w:val="left" w:leader="none"/>
        </w:tabs>
        <w:spacing w:line="240" w:lineRule="auto" w:before="0" w:after="0"/>
        <w:ind w:left="1575" w:right="0" w:hanging="738"/>
        <w:jc w:val="left"/>
        <w:rPr>
          <w:sz w:val="21"/>
        </w:rPr>
      </w:pPr>
      <w:r>
        <w:rPr>
          <w:spacing w:val="-5"/>
          <w:sz w:val="21"/>
        </w:rPr>
        <w:t>双扇、多扇门的门扇之间缝隙不应大于 </w:t>
      </w:r>
      <w:r>
        <w:rPr>
          <w:sz w:val="21"/>
        </w:rPr>
        <w:t>3mm</w:t>
      </w:r>
      <w:r>
        <w:rPr>
          <w:spacing w:val="-3"/>
          <w:sz w:val="21"/>
        </w:rPr>
        <w:t>。</w:t>
      </w:r>
      <w:r>
        <w:rPr>
          <w:sz w:val="21"/>
        </w:rPr>
        <w:t> </w:t>
      </w:r>
    </w:p>
    <w:p>
      <w:pPr>
        <w:pStyle w:val="BodyText"/>
        <w:spacing w:before="12"/>
        <w:rPr>
          <w:sz w:val="17"/>
        </w:rPr>
      </w:pPr>
    </w:p>
    <w:p>
      <w:pPr>
        <w:pStyle w:val="ListParagraph"/>
        <w:numPr>
          <w:ilvl w:val="3"/>
          <w:numId w:val="434"/>
        </w:numPr>
        <w:tabs>
          <w:tab w:pos="1576" w:val="left" w:leader="none"/>
        </w:tabs>
        <w:spacing w:line="240" w:lineRule="auto" w:before="0" w:after="0"/>
        <w:ind w:left="1575" w:right="0" w:hanging="738"/>
        <w:jc w:val="left"/>
        <w:rPr>
          <w:sz w:val="21"/>
        </w:rPr>
      </w:pPr>
      <w:r>
        <w:rPr>
          <w:spacing w:val="-5"/>
          <w:sz w:val="21"/>
        </w:rPr>
        <w:t>门扇与下框或地面的活动间隙不应大于 </w:t>
      </w:r>
      <w:r>
        <w:rPr>
          <w:sz w:val="21"/>
        </w:rPr>
        <w:t>9mm</w:t>
      </w:r>
      <w:r>
        <w:rPr>
          <w:spacing w:val="-3"/>
          <w:sz w:val="21"/>
        </w:rPr>
        <w:t>。</w:t>
      </w:r>
      <w:r>
        <w:rPr>
          <w:sz w:val="21"/>
        </w:rPr>
        <w:t> </w:t>
      </w:r>
    </w:p>
    <w:p>
      <w:pPr>
        <w:pStyle w:val="BodyText"/>
        <w:spacing w:before="12"/>
        <w:rPr>
          <w:sz w:val="17"/>
        </w:rPr>
      </w:pPr>
    </w:p>
    <w:p>
      <w:pPr>
        <w:pStyle w:val="ListParagraph"/>
        <w:numPr>
          <w:ilvl w:val="3"/>
          <w:numId w:val="434"/>
        </w:numPr>
        <w:tabs>
          <w:tab w:pos="1576" w:val="left" w:leader="none"/>
        </w:tabs>
        <w:spacing w:line="446" w:lineRule="auto" w:before="0" w:after="0"/>
        <w:ind w:left="418" w:right="1558" w:firstLine="419"/>
        <w:jc w:val="left"/>
        <w:rPr>
          <w:sz w:val="21"/>
        </w:rPr>
      </w:pPr>
      <w:r>
        <w:rPr>
          <w:spacing w:val="-3"/>
          <w:sz w:val="21"/>
        </w:rPr>
        <w:t>门扇与门框贴合面间隙</w:t>
      </w:r>
      <w:r>
        <w:rPr>
          <w:sz w:val="21"/>
        </w:rPr>
        <w:t>（</w:t>
      </w:r>
      <w:r>
        <w:rPr>
          <w:spacing w:val="-16"/>
          <w:sz w:val="21"/>
        </w:rPr>
        <w:t>见图 </w:t>
      </w:r>
      <w:r>
        <w:rPr>
          <w:sz w:val="21"/>
        </w:rPr>
        <w:t>14）</w:t>
      </w:r>
      <w:r>
        <w:rPr>
          <w:spacing w:val="-3"/>
          <w:sz w:val="21"/>
        </w:rPr>
        <w:t>，门扇与门框有合页一侧、有锁一侧及上框的</w:t>
      </w:r>
      <w:r>
        <w:rPr>
          <w:spacing w:val="-8"/>
          <w:sz w:val="21"/>
        </w:rPr>
        <w:t>贴合面间隙均不应大于 </w:t>
      </w:r>
      <w:r>
        <w:rPr>
          <w:spacing w:val="-3"/>
          <w:sz w:val="21"/>
        </w:rPr>
        <w:t>3 </w:t>
      </w:r>
      <w:r>
        <w:rPr>
          <w:sz w:val="21"/>
        </w:rPr>
        <w:t>mm</w:t>
      </w:r>
      <w:r>
        <w:rPr>
          <w:spacing w:val="-3"/>
          <w:sz w:val="21"/>
        </w:rPr>
        <w:t>。</w:t>
      </w:r>
      <w:r>
        <w:rPr>
          <w:sz w:val="21"/>
        </w:rPr>
        <w:t> </w:t>
      </w:r>
    </w:p>
    <w:p>
      <w:pPr>
        <w:spacing w:before="0"/>
        <w:ind w:left="840" w:right="0" w:firstLine="0"/>
        <w:jc w:val="left"/>
        <w:rPr>
          <w:b/>
          <w:sz w:val="21"/>
        </w:rPr>
      </w:pPr>
      <w:r>
        <w:rPr>
          <w:b/>
          <w:sz w:val="21"/>
        </w:rPr>
        <w:t>5.8.3 </w:t>
      </w:r>
      <w:r>
        <w:rPr>
          <w:sz w:val="21"/>
        </w:rPr>
        <w:t>门扇与门框的平面高低差 R</w:t>
      </w:r>
      <w:r>
        <w:rPr>
          <w:b/>
          <w:w w:val="99"/>
          <w:sz w:val="21"/>
        </w:rPr>
        <w:t> </w:t>
      </w:r>
    </w:p>
    <w:p>
      <w:pPr>
        <w:pStyle w:val="BodyText"/>
        <w:rPr>
          <w:b/>
          <w:sz w:val="18"/>
        </w:rPr>
      </w:pPr>
    </w:p>
    <w:p>
      <w:pPr>
        <w:pStyle w:val="BodyText"/>
        <w:spacing w:line="446" w:lineRule="auto"/>
        <w:ind w:left="840" w:right="4607" w:hanging="3"/>
        <w:rPr>
          <w:b/>
        </w:rPr>
      </w:pPr>
      <w:r>
        <w:rPr/>
        <w:t>防火门开面上门框与门扇的平面高低差不应大于 1 mm。</w:t>
      </w:r>
      <w:r>
        <w:rPr>
          <w:b/>
        </w:rPr>
        <w:t>5.9 </w:t>
      </w:r>
      <w:r>
        <w:rPr/>
        <w:t>灵活性</w:t>
      </w:r>
      <w:r>
        <w:rPr>
          <w:b/>
          <w:w w:val="99"/>
        </w:rPr>
        <w:t> </w:t>
      </w:r>
    </w:p>
    <w:p>
      <w:pPr>
        <w:spacing w:before="0"/>
        <w:ind w:left="840" w:right="0" w:firstLine="0"/>
        <w:jc w:val="left"/>
        <w:rPr>
          <w:b/>
          <w:sz w:val="21"/>
        </w:rPr>
      </w:pPr>
      <w:r>
        <w:rPr>
          <w:b/>
          <w:sz w:val="21"/>
        </w:rPr>
        <w:t>5.9.1</w:t>
      </w:r>
      <w:r>
        <w:rPr>
          <w:b/>
          <w:spacing w:val="2"/>
          <w:sz w:val="21"/>
        </w:rPr>
        <w:t>  </w:t>
      </w:r>
      <w:r>
        <w:rPr>
          <w:spacing w:val="-3"/>
          <w:sz w:val="21"/>
        </w:rPr>
        <w:t>启闭灵活性</w:t>
      </w:r>
      <w:r>
        <w:rPr>
          <w:b/>
          <w:spacing w:val="-3"/>
          <w:w w:val="99"/>
          <w:sz w:val="21"/>
        </w:rPr>
        <w:t> </w:t>
      </w:r>
    </w:p>
    <w:p>
      <w:pPr>
        <w:pStyle w:val="BodyText"/>
        <w:rPr>
          <w:b/>
          <w:sz w:val="18"/>
        </w:rPr>
      </w:pPr>
    </w:p>
    <w:p>
      <w:pPr>
        <w:spacing w:line="446" w:lineRule="auto" w:before="0"/>
        <w:ind w:left="840" w:right="6549" w:hanging="3"/>
        <w:jc w:val="left"/>
        <w:rPr>
          <w:b/>
          <w:sz w:val="21"/>
        </w:rPr>
      </w:pPr>
      <w:r>
        <w:rPr>
          <w:spacing w:val="-3"/>
          <w:sz w:val="21"/>
        </w:rPr>
        <w:t>防火门应启闭灵活、无卡阻现象。</w:t>
      </w:r>
      <w:r>
        <w:rPr>
          <w:b/>
          <w:sz w:val="21"/>
        </w:rPr>
        <w:t>5.9.2</w:t>
      </w:r>
      <w:r>
        <w:rPr>
          <w:b/>
          <w:spacing w:val="103"/>
          <w:sz w:val="21"/>
        </w:rPr>
        <w:t> </w:t>
      </w:r>
      <w:r>
        <w:rPr>
          <w:spacing w:val="-1"/>
          <w:sz w:val="21"/>
        </w:rPr>
        <w:t>门扇开启力</w:t>
      </w:r>
      <w:r>
        <w:rPr>
          <w:b/>
          <w:spacing w:val="-1"/>
          <w:w w:val="99"/>
          <w:sz w:val="21"/>
        </w:rPr>
        <w:t> </w:t>
      </w:r>
    </w:p>
    <w:p>
      <w:pPr>
        <w:pStyle w:val="BodyText"/>
        <w:spacing w:line="446" w:lineRule="auto"/>
        <w:ind w:left="838" w:right="6337"/>
      </w:pPr>
      <w:r>
        <w:rPr/>
        <w:t>防火门门扇开启力不应大于 80 N。注：在特殊场合使用的防火门除外。</w:t>
      </w:r>
      <w:r>
        <w:rPr>
          <w:b/>
        </w:rPr>
        <w:t>5.10 </w:t>
      </w:r>
      <w:r>
        <w:rPr/>
        <w:t>可靠性 </w:t>
      </w:r>
    </w:p>
    <w:p>
      <w:pPr>
        <w:pStyle w:val="BodyText"/>
        <w:spacing w:line="446" w:lineRule="auto"/>
        <w:ind w:left="840" w:right="2134" w:hanging="3"/>
      </w:pPr>
      <w:r>
        <w:rPr/>
        <w:t>在进行 500 次启闭试验后，防火门不应有松动、脱落、严重变形和启闭卡阻现象。</w:t>
      </w:r>
      <w:r>
        <w:rPr>
          <w:b/>
        </w:rPr>
        <w:t>5.11 </w:t>
      </w:r>
      <w:r>
        <w:rPr/>
        <w:t>耐火性能 </w:t>
      </w:r>
    </w:p>
    <w:p>
      <w:pPr>
        <w:spacing w:after="0" w:line="446" w:lineRule="auto"/>
        <w:sectPr>
          <w:pgSz w:w="11910" w:h="16850"/>
          <w:pgMar w:header="0" w:footer="1239" w:top="1220" w:bottom="1420" w:left="1260" w:right="0"/>
        </w:sectPr>
      </w:pPr>
    </w:p>
    <w:p>
      <w:pPr>
        <w:pStyle w:val="BodyText"/>
        <w:spacing w:before="47"/>
        <w:ind w:left="838"/>
      </w:pPr>
      <w:r>
        <w:rPr/>
        <w:t>防火门的耐火性能应符合表 1 的规定。 </w:t>
      </w:r>
    </w:p>
    <w:p>
      <w:pPr>
        <w:pStyle w:val="BodyText"/>
        <w:spacing w:before="8"/>
        <w:rPr>
          <w:sz w:val="15"/>
        </w:rPr>
      </w:pPr>
    </w:p>
    <w:p>
      <w:pPr>
        <w:pStyle w:val="Heading4"/>
        <w:spacing w:before="1"/>
      </w:pPr>
      <w:r>
        <w:rPr/>
        <w:t>6 试验方法</w:t>
      </w:r>
      <w:r>
        <w:rPr>
          <w:w w:val="99"/>
        </w:rPr>
        <w:t> </w:t>
      </w:r>
    </w:p>
    <w:p>
      <w:pPr>
        <w:pStyle w:val="BodyText"/>
        <w:spacing w:before="3"/>
        <w:rPr>
          <w:b/>
          <w:sz w:val="17"/>
        </w:rPr>
      </w:pPr>
    </w:p>
    <w:p>
      <w:pPr>
        <w:spacing w:before="1"/>
        <w:ind w:left="840" w:right="0" w:firstLine="0"/>
        <w:jc w:val="left"/>
        <w:rPr>
          <w:sz w:val="21"/>
        </w:rPr>
      </w:pPr>
      <w:r>
        <w:rPr>
          <w:b/>
          <w:sz w:val="21"/>
        </w:rPr>
        <w:t>6.1 </w:t>
      </w:r>
      <w:r>
        <w:rPr>
          <w:sz w:val="21"/>
        </w:rPr>
        <w:t>试件要求 </w:t>
      </w:r>
    </w:p>
    <w:p>
      <w:pPr>
        <w:pStyle w:val="BodyText"/>
        <w:spacing w:before="1"/>
        <w:rPr>
          <w:sz w:val="18"/>
        </w:rPr>
      </w:pPr>
    </w:p>
    <w:p>
      <w:pPr>
        <w:pStyle w:val="BodyText"/>
        <w:spacing w:line="446" w:lineRule="auto"/>
        <w:ind w:left="418" w:right="1609" w:firstLine="419"/>
      </w:pPr>
      <w:r>
        <w:rPr/>
        <w:t>防火门试件结构和门扇内若填充材料应填充对人体无毒无害的防火隔热材料以及防火五金配件的安装情况等应与实际使用情况相符。 </w:t>
      </w:r>
    </w:p>
    <w:p>
      <w:pPr>
        <w:pStyle w:val="BodyText"/>
        <w:spacing w:line="446" w:lineRule="auto"/>
        <w:ind w:left="840" w:right="2134" w:hanging="3"/>
        <w:rPr>
          <w:b/>
        </w:rPr>
      </w:pPr>
      <w:r>
        <w:rPr/>
        <w:t>除非有特殊规定，防火门试件应按本标准第 5 章的要求内容顺序，逐项进行检验。</w:t>
      </w:r>
      <w:r>
        <w:rPr>
          <w:b/>
        </w:rPr>
        <w:t>6.2 </w:t>
      </w:r>
      <w:r>
        <w:rPr/>
        <w:t>仪器设备的准确度</w:t>
      </w:r>
      <w:r>
        <w:rPr>
          <w:b/>
          <w:w w:val="99"/>
        </w:rPr>
        <w:t> </w:t>
      </w:r>
    </w:p>
    <w:p>
      <w:pPr>
        <w:pStyle w:val="BodyText"/>
        <w:spacing w:before="12"/>
        <w:rPr>
          <w:b/>
          <w:sz w:val="7"/>
        </w:rPr>
      </w:pPr>
      <w:r>
        <w:rPr/>
        <w:drawing>
          <wp:anchor distT="0" distB="0" distL="0" distR="0" allowOverlap="1" layoutInCell="1" locked="0" behindDoc="0" simplePos="0" relativeHeight="160">
            <wp:simplePos x="0" y="0"/>
            <wp:positionH relativeFrom="page">
              <wp:posOffset>1998979</wp:posOffset>
            </wp:positionH>
            <wp:positionV relativeFrom="paragraph">
              <wp:posOffset>89614</wp:posOffset>
            </wp:positionV>
            <wp:extent cx="2932406" cy="2895600"/>
            <wp:effectExtent l="0" t="0" r="0" b="0"/>
            <wp:wrapTopAndBottom/>
            <wp:docPr id="349" name="image211.jpeg"/>
            <wp:cNvGraphicFramePr>
              <a:graphicFrameLocks noChangeAspect="1"/>
            </wp:cNvGraphicFramePr>
            <a:graphic>
              <a:graphicData uri="http://schemas.openxmlformats.org/drawingml/2006/picture">
                <pic:pic>
                  <pic:nvPicPr>
                    <pic:cNvPr id="350" name="image211.jpeg"/>
                    <pic:cNvPicPr/>
                  </pic:nvPicPr>
                  <pic:blipFill>
                    <a:blip r:embed="rId258" cstate="print"/>
                    <a:stretch>
                      <a:fillRect/>
                    </a:stretch>
                  </pic:blipFill>
                  <pic:spPr>
                    <a:xfrm>
                      <a:off x="0" y="0"/>
                      <a:ext cx="2932406" cy="2895600"/>
                    </a:xfrm>
                    <a:prstGeom prst="rect">
                      <a:avLst/>
                    </a:prstGeom>
                  </pic:spPr>
                </pic:pic>
              </a:graphicData>
            </a:graphic>
          </wp:anchor>
        </w:drawing>
      </w:r>
    </w:p>
    <w:p>
      <w:pPr>
        <w:pStyle w:val="BodyText"/>
        <w:rPr>
          <w:b/>
          <w:sz w:val="20"/>
        </w:rPr>
      </w:pPr>
    </w:p>
    <w:p>
      <w:pPr>
        <w:pStyle w:val="BodyText"/>
        <w:spacing w:before="3"/>
        <w:rPr>
          <w:b/>
          <w:sz w:val="26"/>
        </w:rPr>
      </w:pPr>
    </w:p>
    <w:p>
      <w:pPr>
        <w:pStyle w:val="ListParagraph"/>
        <w:numPr>
          <w:ilvl w:val="1"/>
          <w:numId w:val="435"/>
        </w:numPr>
        <w:tabs>
          <w:tab w:pos="1160" w:val="left" w:leader="none"/>
        </w:tabs>
        <w:spacing w:line="240" w:lineRule="auto" w:before="72" w:after="0"/>
        <w:ind w:left="1159" w:right="0" w:hanging="320"/>
        <w:jc w:val="left"/>
        <w:rPr>
          <w:b/>
          <w:sz w:val="21"/>
        </w:rPr>
      </w:pPr>
      <w:r>
        <w:rPr>
          <w:spacing w:val="-3"/>
          <w:sz w:val="21"/>
        </w:rPr>
        <w:t>材料</w:t>
      </w:r>
      <w:r>
        <w:rPr>
          <w:b/>
          <w:w w:val="99"/>
          <w:sz w:val="21"/>
        </w:rPr>
        <w:t> </w:t>
      </w:r>
    </w:p>
    <w:p>
      <w:pPr>
        <w:pStyle w:val="BodyText"/>
        <w:spacing w:before="12"/>
        <w:rPr>
          <w:b/>
          <w:sz w:val="17"/>
        </w:rPr>
      </w:pPr>
    </w:p>
    <w:p>
      <w:pPr>
        <w:pStyle w:val="ListParagraph"/>
        <w:numPr>
          <w:ilvl w:val="2"/>
          <w:numId w:val="435"/>
        </w:numPr>
        <w:tabs>
          <w:tab w:pos="1424" w:val="left" w:leader="none"/>
        </w:tabs>
        <w:spacing w:line="240" w:lineRule="auto" w:before="0" w:after="0"/>
        <w:ind w:left="1423" w:right="0" w:hanging="584"/>
        <w:jc w:val="both"/>
        <w:rPr>
          <w:b/>
          <w:sz w:val="21"/>
        </w:rPr>
      </w:pPr>
      <w:r>
        <w:rPr>
          <w:spacing w:val="-3"/>
          <w:sz w:val="21"/>
        </w:rPr>
        <w:t>填充材料</w:t>
      </w:r>
      <w:r>
        <w:rPr>
          <w:b/>
          <w:w w:val="99"/>
          <w:sz w:val="21"/>
        </w:rPr>
        <w:t> </w:t>
      </w:r>
    </w:p>
    <w:p>
      <w:pPr>
        <w:pStyle w:val="BodyText"/>
        <w:rPr>
          <w:b/>
          <w:sz w:val="18"/>
        </w:rPr>
      </w:pPr>
    </w:p>
    <w:p>
      <w:pPr>
        <w:pStyle w:val="BodyText"/>
        <w:spacing w:line="446" w:lineRule="auto"/>
        <w:ind w:left="418" w:right="1560" w:firstLine="419"/>
        <w:jc w:val="both"/>
      </w:pPr>
      <w:r>
        <w:rPr>
          <w:spacing w:val="-5"/>
        </w:rPr>
        <w:t>防火门门扇内填充对人体无毒无害的防火隔热材料，按照 </w:t>
      </w:r>
      <w:r>
        <w:rPr/>
        <w:t>GB 8624—2006</w:t>
      </w:r>
      <w:r>
        <w:rPr>
          <w:spacing w:val="-8"/>
        </w:rPr>
        <w:t> 的规定检验其燃</w:t>
      </w:r>
      <w:r>
        <w:rPr>
          <w:spacing w:val="3"/>
        </w:rPr>
        <w:t>烧性能，按照</w:t>
      </w:r>
      <w:r>
        <w:rPr/>
        <w:t>GB/T 20285—2006</w:t>
      </w:r>
      <w:r>
        <w:rPr>
          <w:spacing w:val="-11"/>
        </w:rPr>
        <w:t> 的规定检验其产烟毒性危险分级，结果应符合本标准 </w:t>
      </w:r>
      <w:r>
        <w:rPr/>
        <w:t>5.2.1.2 </w:t>
      </w:r>
      <w:r>
        <w:rPr>
          <w:spacing w:val="-3"/>
        </w:rPr>
        <w:t>的要求，或提供国家认可授权检测机构出具有效的相应检验报告。</w:t>
      </w:r>
      <w:r>
        <w:rPr/>
        <w:t> </w:t>
      </w:r>
    </w:p>
    <w:p>
      <w:pPr>
        <w:pStyle w:val="ListParagraph"/>
        <w:numPr>
          <w:ilvl w:val="2"/>
          <w:numId w:val="435"/>
        </w:numPr>
        <w:tabs>
          <w:tab w:pos="1424" w:val="left" w:leader="none"/>
        </w:tabs>
        <w:spacing w:line="268" w:lineRule="exact" w:before="0" w:after="0"/>
        <w:ind w:left="1423" w:right="0" w:hanging="584"/>
        <w:jc w:val="both"/>
        <w:rPr>
          <w:b/>
          <w:sz w:val="21"/>
        </w:rPr>
      </w:pPr>
      <w:r>
        <w:rPr>
          <w:spacing w:val="-3"/>
          <w:sz w:val="21"/>
        </w:rPr>
        <w:t>木材</w:t>
      </w:r>
      <w:r>
        <w:rPr>
          <w:b/>
          <w:w w:val="99"/>
          <w:sz w:val="21"/>
        </w:rPr>
        <w:t> </w:t>
      </w:r>
    </w:p>
    <w:p>
      <w:pPr>
        <w:pStyle w:val="BodyText"/>
        <w:spacing w:before="2"/>
        <w:rPr>
          <w:b/>
          <w:sz w:val="18"/>
        </w:rPr>
      </w:pPr>
    </w:p>
    <w:p>
      <w:pPr>
        <w:pStyle w:val="BodyText"/>
        <w:spacing w:line="446" w:lineRule="auto"/>
        <w:ind w:left="418" w:right="1608" w:firstLine="419"/>
        <w:jc w:val="both"/>
      </w:pPr>
      <w:r>
        <w:rPr>
          <w:spacing w:val="-15"/>
        </w:rPr>
        <w:t>按照 </w:t>
      </w:r>
      <w:r>
        <w:rPr/>
        <w:t>GB/T 4823—1995</w:t>
      </w:r>
      <w:r>
        <w:rPr>
          <w:spacing w:val="-8"/>
        </w:rPr>
        <w:t> 的规定，检验防火门门框、门扇各零部件使用木材的材质，结果应</w:t>
      </w:r>
      <w:r>
        <w:rPr>
          <w:spacing w:val="-13"/>
        </w:rPr>
        <w:t>符合本标准 </w:t>
      </w:r>
      <w:r>
        <w:rPr/>
        <w:t>5.2.2.1</w:t>
      </w:r>
      <w:r>
        <w:rPr>
          <w:spacing w:val="-12"/>
        </w:rPr>
        <w:t> 的要求。 </w:t>
      </w:r>
    </w:p>
    <w:p>
      <w:pPr>
        <w:pStyle w:val="BodyText"/>
        <w:spacing w:line="267" w:lineRule="exact"/>
        <w:ind w:left="838"/>
        <w:jc w:val="both"/>
      </w:pPr>
      <w:r>
        <w:rPr/>
        <w:t>按照 GB/T 8625—2005 的规定，检验防火门用木材的难燃性，结果应符合本标准 5.2.2.2</w:t>
      </w:r>
    </w:p>
    <w:p>
      <w:pPr>
        <w:pStyle w:val="BodyText"/>
        <w:spacing w:before="2"/>
        <w:rPr>
          <w:sz w:val="18"/>
        </w:rPr>
      </w:pPr>
    </w:p>
    <w:p>
      <w:pPr>
        <w:pStyle w:val="BodyText"/>
        <w:ind w:left="418"/>
      </w:pPr>
      <w:r>
        <w:rPr/>
        <w:t>的要求，或提供国家认可授权检测机构出具有效的相应检验报告。 </w:t>
      </w:r>
    </w:p>
    <w:p>
      <w:pPr>
        <w:spacing w:after="0"/>
        <w:sectPr>
          <w:pgSz w:w="11910" w:h="16850"/>
          <w:pgMar w:header="0" w:footer="1239" w:top="1220" w:bottom="1420" w:left="1260" w:right="0"/>
        </w:sectPr>
      </w:pPr>
    </w:p>
    <w:p>
      <w:pPr>
        <w:pStyle w:val="BodyText"/>
        <w:spacing w:line="446" w:lineRule="auto" w:before="47"/>
        <w:ind w:left="418" w:right="1817" w:firstLine="419"/>
      </w:pPr>
      <w:r>
        <w:rPr/>
        <w:t>难燃木材的含水率，使用含水率测定仪在防火门同一部件上任意测定三点，计算其平均值，结果应符合本标准 5.2.2.3 的要求。 </w:t>
      </w:r>
    </w:p>
    <w:p>
      <w:pPr>
        <w:pStyle w:val="ListParagraph"/>
        <w:numPr>
          <w:ilvl w:val="2"/>
          <w:numId w:val="435"/>
        </w:numPr>
        <w:tabs>
          <w:tab w:pos="1424" w:val="left" w:leader="none"/>
        </w:tabs>
        <w:spacing w:line="267" w:lineRule="exact" w:before="0" w:after="0"/>
        <w:ind w:left="1423" w:right="0" w:hanging="584"/>
        <w:jc w:val="left"/>
        <w:rPr>
          <w:b/>
          <w:sz w:val="21"/>
        </w:rPr>
      </w:pPr>
      <w:r>
        <w:rPr>
          <w:spacing w:val="-3"/>
          <w:sz w:val="21"/>
        </w:rPr>
        <w:t>人造板</w:t>
      </w:r>
      <w:r>
        <w:rPr>
          <w:b/>
          <w:w w:val="99"/>
          <w:sz w:val="21"/>
        </w:rPr>
        <w:t> </w:t>
      </w:r>
    </w:p>
    <w:p>
      <w:pPr>
        <w:pStyle w:val="BodyText"/>
        <w:spacing w:before="2"/>
        <w:rPr>
          <w:b/>
          <w:sz w:val="18"/>
        </w:rPr>
      </w:pPr>
    </w:p>
    <w:p>
      <w:pPr>
        <w:pStyle w:val="BodyText"/>
        <w:spacing w:line="446" w:lineRule="auto"/>
        <w:ind w:left="418" w:right="1609" w:firstLine="419"/>
      </w:pPr>
      <w:r>
        <w:rPr>
          <w:spacing w:val="-7"/>
        </w:rPr>
        <w:t>防火门使用的人造板，按照 </w:t>
      </w:r>
      <w:r>
        <w:rPr/>
        <w:t>GB/T 8625—2005</w:t>
      </w:r>
      <w:r>
        <w:rPr>
          <w:spacing w:val="-8"/>
        </w:rPr>
        <w:t> 的规定，检验防火门用人造板的难燃性，结</w:t>
      </w:r>
      <w:r>
        <w:rPr>
          <w:spacing w:val="-12"/>
        </w:rPr>
        <w:t>果应符合本标准 </w:t>
      </w:r>
      <w:r>
        <w:rPr/>
        <w:t>5.2.3.2</w:t>
      </w:r>
      <w:r>
        <w:rPr>
          <w:spacing w:val="-8"/>
        </w:rPr>
        <w:t> 的要求，或提供国家认可授权检测机构出具有效的相应检验报告。</w:t>
      </w:r>
      <w:r>
        <w:rPr/>
        <w:t> </w:t>
      </w:r>
    </w:p>
    <w:p>
      <w:pPr>
        <w:pStyle w:val="BodyText"/>
        <w:spacing w:line="446" w:lineRule="auto"/>
        <w:ind w:left="418" w:right="1609" w:firstLine="419"/>
      </w:pPr>
      <w:r>
        <w:rPr/>
        <w:t>难燃人造板的含水率，使用含水率测定仪在防火门同一部件上任意测定三点，计算其平均值，结果应符合本标准 5.2.3.3 的要求。 </w:t>
      </w:r>
    </w:p>
    <w:p>
      <w:pPr>
        <w:pStyle w:val="ListParagraph"/>
        <w:numPr>
          <w:ilvl w:val="2"/>
          <w:numId w:val="435"/>
        </w:numPr>
        <w:tabs>
          <w:tab w:pos="1424" w:val="left" w:leader="none"/>
        </w:tabs>
        <w:spacing w:line="240" w:lineRule="auto" w:before="0" w:after="0"/>
        <w:ind w:left="1423" w:right="0" w:hanging="584"/>
        <w:jc w:val="left"/>
        <w:rPr>
          <w:b/>
          <w:sz w:val="21"/>
        </w:rPr>
      </w:pPr>
      <w:r>
        <w:rPr>
          <w:spacing w:val="-3"/>
          <w:sz w:val="21"/>
        </w:rPr>
        <w:t>钢材</w:t>
      </w:r>
      <w:r>
        <w:rPr>
          <w:b/>
          <w:w w:val="99"/>
          <w:sz w:val="21"/>
        </w:rPr>
        <w:t> </w:t>
      </w:r>
    </w:p>
    <w:p>
      <w:pPr>
        <w:pStyle w:val="BodyText"/>
        <w:spacing w:before="10"/>
        <w:rPr>
          <w:b/>
          <w:sz w:val="17"/>
        </w:rPr>
      </w:pPr>
    </w:p>
    <w:p>
      <w:pPr>
        <w:pStyle w:val="ListParagraph"/>
        <w:numPr>
          <w:ilvl w:val="3"/>
          <w:numId w:val="435"/>
        </w:numPr>
        <w:tabs>
          <w:tab w:pos="1576" w:val="left" w:leader="none"/>
        </w:tabs>
        <w:spacing w:line="446" w:lineRule="auto" w:before="1" w:after="0"/>
        <w:ind w:left="418" w:right="1609" w:firstLine="419"/>
        <w:jc w:val="left"/>
        <w:rPr>
          <w:sz w:val="21"/>
        </w:rPr>
      </w:pPr>
      <w:r>
        <w:rPr>
          <w:spacing w:val="-3"/>
          <w:sz w:val="21"/>
        </w:rPr>
        <w:t>防火门门框、门扇和加固件使用钢质材料的性能应有生产厂商提供的合格材质检验报告。</w:t>
      </w:r>
      <w:r>
        <w:rPr>
          <w:sz w:val="21"/>
        </w:rPr>
        <w:t> </w:t>
      </w:r>
    </w:p>
    <w:p>
      <w:pPr>
        <w:pStyle w:val="ListParagraph"/>
        <w:numPr>
          <w:ilvl w:val="3"/>
          <w:numId w:val="435"/>
        </w:numPr>
        <w:tabs>
          <w:tab w:pos="1576" w:val="left" w:leader="none"/>
        </w:tabs>
        <w:spacing w:line="446" w:lineRule="auto" w:before="0" w:after="0"/>
        <w:ind w:left="418" w:right="1609" w:firstLine="419"/>
        <w:jc w:val="left"/>
        <w:rPr>
          <w:sz w:val="21"/>
        </w:rPr>
      </w:pPr>
      <w:r>
        <w:rPr>
          <w:spacing w:val="-3"/>
          <w:sz w:val="21"/>
        </w:rPr>
        <w:t>钢质材料的厚度采用千分尺测量，在防火门同一部件上任意测定三点，计算其平</w:t>
      </w:r>
      <w:r>
        <w:rPr>
          <w:spacing w:val="-7"/>
          <w:sz w:val="21"/>
        </w:rPr>
        <w:t>均值，结果应符合本标准表 </w:t>
      </w:r>
      <w:r>
        <w:rPr>
          <w:sz w:val="21"/>
        </w:rPr>
        <w:t>3</w:t>
      </w:r>
      <w:r>
        <w:rPr>
          <w:spacing w:val="-13"/>
          <w:sz w:val="21"/>
        </w:rPr>
        <w:t> 的要求。</w:t>
      </w:r>
      <w:r>
        <w:rPr>
          <w:sz w:val="21"/>
        </w:rPr>
        <w:t> </w:t>
      </w:r>
    </w:p>
    <w:p>
      <w:pPr>
        <w:pStyle w:val="ListParagraph"/>
        <w:numPr>
          <w:ilvl w:val="2"/>
          <w:numId w:val="435"/>
        </w:numPr>
        <w:tabs>
          <w:tab w:pos="1424" w:val="left" w:leader="none"/>
        </w:tabs>
        <w:spacing w:line="240" w:lineRule="auto" w:before="0" w:after="0"/>
        <w:ind w:left="1423" w:right="0" w:hanging="584"/>
        <w:jc w:val="left"/>
        <w:rPr>
          <w:b/>
          <w:sz w:val="21"/>
        </w:rPr>
      </w:pPr>
      <w:r>
        <w:rPr>
          <w:spacing w:val="-3"/>
          <w:sz w:val="21"/>
        </w:rPr>
        <w:t>其他材质材料</w:t>
      </w:r>
      <w:r>
        <w:rPr>
          <w:b/>
          <w:w w:val="99"/>
          <w:sz w:val="21"/>
        </w:rPr>
        <w:t> </w:t>
      </w:r>
    </w:p>
    <w:p>
      <w:pPr>
        <w:pStyle w:val="BodyText"/>
        <w:spacing w:before="12"/>
        <w:rPr>
          <w:b/>
          <w:sz w:val="17"/>
        </w:rPr>
      </w:pPr>
    </w:p>
    <w:p>
      <w:pPr>
        <w:pStyle w:val="BodyText"/>
        <w:spacing w:line="446" w:lineRule="auto"/>
        <w:ind w:left="418" w:right="1349" w:firstLine="419"/>
      </w:pPr>
      <w:r>
        <w:rPr>
          <w:spacing w:val="-6"/>
        </w:rPr>
        <w:t>防火门使用的其他材质材料，按照 </w:t>
      </w:r>
      <w:r>
        <w:rPr/>
        <w:t>GB/T 20285—2006</w:t>
      </w:r>
      <w:r>
        <w:rPr>
          <w:spacing w:val="-12"/>
        </w:rPr>
        <w:t> 的规定检验产烟毒性危险分级和 </w:t>
      </w:r>
      <w:r>
        <w:rPr/>
        <w:t>GB/T 8625—2005</w:t>
      </w:r>
      <w:r>
        <w:rPr>
          <w:spacing w:val="-11"/>
        </w:rPr>
        <w:t> 的规定检验难燃性或按照 </w:t>
      </w:r>
      <w:r>
        <w:rPr/>
        <w:t>GB 8624—2006</w:t>
      </w:r>
      <w:r>
        <w:rPr>
          <w:spacing w:val="-8"/>
        </w:rPr>
        <w:t> 的规定检验其燃烧性能，结果应符合本标</w:t>
      </w:r>
      <w:r>
        <w:rPr>
          <w:spacing w:val="-30"/>
        </w:rPr>
        <w:t>准 </w:t>
      </w:r>
      <w:r>
        <w:rPr/>
        <w:t>5.2.5</w:t>
      </w:r>
      <w:r>
        <w:rPr>
          <w:spacing w:val="-9"/>
        </w:rPr>
        <w:t> 的相应要求，或提供国家认可授权检测机构出具有效的相应检验报告。 </w:t>
      </w:r>
    </w:p>
    <w:p>
      <w:pPr>
        <w:pStyle w:val="ListParagraph"/>
        <w:numPr>
          <w:ilvl w:val="2"/>
          <w:numId w:val="435"/>
        </w:numPr>
        <w:tabs>
          <w:tab w:pos="1424" w:val="left" w:leader="none"/>
        </w:tabs>
        <w:spacing w:line="268" w:lineRule="exact" w:before="0" w:after="0"/>
        <w:ind w:left="1423" w:right="0" w:hanging="584"/>
        <w:jc w:val="left"/>
        <w:rPr>
          <w:b/>
          <w:sz w:val="21"/>
        </w:rPr>
      </w:pPr>
      <w:r>
        <w:rPr>
          <w:spacing w:val="-3"/>
          <w:sz w:val="21"/>
        </w:rPr>
        <w:t>黏结剂</w:t>
      </w:r>
      <w:r>
        <w:rPr>
          <w:b/>
          <w:w w:val="99"/>
          <w:sz w:val="21"/>
        </w:rPr>
        <w:t> </w:t>
      </w:r>
    </w:p>
    <w:p>
      <w:pPr>
        <w:pStyle w:val="BodyText"/>
        <w:spacing w:before="12"/>
        <w:rPr>
          <w:b/>
          <w:sz w:val="17"/>
        </w:rPr>
      </w:pPr>
    </w:p>
    <w:p>
      <w:pPr>
        <w:pStyle w:val="BodyText"/>
        <w:spacing w:line="446" w:lineRule="auto"/>
        <w:ind w:left="418" w:right="1505" w:firstLine="419"/>
      </w:pPr>
      <w:r>
        <w:rPr>
          <w:spacing w:val="-7"/>
        </w:rPr>
        <w:t>防火门使用的粘结剂，按照 </w:t>
      </w:r>
      <w:r>
        <w:rPr/>
        <w:t>GB/T 20285—2006</w:t>
      </w:r>
      <w:r>
        <w:rPr>
          <w:spacing w:val="-8"/>
        </w:rPr>
        <w:t> 的规定检验产烟毒性危险分级，结果应符合</w:t>
      </w:r>
      <w:r>
        <w:rPr>
          <w:spacing w:val="-16"/>
        </w:rPr>
        <w:t>本标准 </w:t>
      </w:r>
      <w:r>
        <w:rPr/>
        <w:t>5.2.6.2</w:t>
      </w:r>
      <w:r>
        <w:rPr>
          <w:spacing w:val="-9"/>
        </w:rPr>
        <w:t> 的要求，或提供国家认可授权检测机构出具有效的相应检验报告。 </w:t>
      </w:r>
    </w:p>
    <w:p>
      <w:pPr>
        <w:pStyle w:val="ListParagraph"/>
        <w:numPr>
          <w:ilvl w:val="1"/>
          <w:numId w:val="436"/>
        </w:numPr>
        <w:tabs>
          <w:tab w:pos="1159" w:val="left" w:leader="none"/>
        </w:tabs>
        <w:spacing w:line="240" w:lineRule="auto" w:before="1" w:after="0"/>
        <w:ind w:left="1158" w:right="0" w:hanging="319"/>
        <w:jc w:val="left"/>
        <w:rPr>
          <w:b/>
          <w:sz w:val="21"/>
        </w:rPr>
      </w:pPr>
      <w:r>
        <w:rPr>
          <w:spacing w:val="-3"/>
          <w:sz w:val="21"/>
        </w:rPr>
        <w:t>配件</w:t>
      </w:r>
      <w:r>
        <w:rPr>
          <w:b/>
          <w:w w:val="99"/>
          <w:sz w:val="21"/>
        </w:rPr>
        <w:t> </w:t>
      </w:r>
    </w:p>
    <w:p>
      <w:pPr>
        <w:pStyle w:val="BodyText"/>
        <w:spacing w:before="12"/>
        <w:rPr>
          <w:b/>
          <w:sz w:val="17"/>
        </w:rPr>
      </w:pPr>
    </w:p>
    <w:p>
      <w:pPr>
        <w:pStyle w:val="ListParagraph"/>
        <w:numPr>
          <w:ilvl w:val="2"/>
          <w:numId w:val="436"/>
        </w:numPr>
        <w:tabs>
          <w:tab w:pos="1424" w:val="left" w:leader="none"/>
        </w:tabs>
        <w:spacing w:line="240" w:lineRule="auto" w:before="0" w:after="0"/>
        <w:ind w:left="1423" w:right="0" w:hanging="584"/>
        <w:jc w:val="left"/>
        <w:rPr>
          <w:b/>
          <w:sz w:val="21"/>
        </w:rPr>
      </w:pPr>
      <w:r>
        <w:rPr>
          <w:spacing w:val="-3"/>
          <w:sz w:val="21"/>
        </w:rPr>
        <w:t>防火锁</w:t>
      </w:r>
      <w:r>
        <w:rPr>
          <w:b/>
          <w:w w:val="99"/>
          <w:sz w:val="21"/>
        </w:rPr>
        <w:t> </w:t>
      </w:r>
    </w:p>
    <w:p>
      <w:pPr>
        <w:pStyle w:val="BodyText"/>
        <w:spacing w:before="2"/>
        <w:rPr>
          <w:b/>
          <w:sz w:val="18"/>
        </w:rPr>
      </w:pPr>
    </w:p>
    <w:p>
      <w:pPr>
        <w:pStyle w:val="BodyText"/>
        <w:ind w:left="838"/>
      </w:pPr>
      <w:r>
        <w:rPr/>
        <w:t>按附录 A 的规定进行检验，或提供国家认可授权检测机构出具有效的相应检验报告。 </w:t>
      </w:r>
    </w:p>
    <w:p>
      <w:pPr>
        <w:pStyle w:val="BodyText"/>
        <w:spacing w:before="12"/>
        <w:rPr>
          <w:sz w:val="17"/>
        </w:rPr>
      </w:pPr>
    </w:p>
    <w:p>
      <w:pPr>
        <w:pStyle w:val="ListParagraph"/>
        <w:numPr>
          <w:ilvl w:val="2"/>
          <w:numId w:val="436"/>
        </w:numPr>
        <w:tabs>
          <w:tab w:pos="1424" w:val="left" w:leader="none"/>
        </w:tabs>
        <w:spacing w:line="240" w:lineRule="auto" w:before="0" w:after="0"/>
        <w:ind w:left="1423" w:right="0" w:hanging="584"/>
        <w:jc w:val="left"/>
        <w:rPr>
          <w:b/>
          <w:sz w:val="21"/>
        </w:rPr>
      </w:pPr>
      <w:r>
        <w:rPr>
          <w:spacing w:val="-3"/>
          <w:sz w:val="21"/>
        </w:rPr>
        <w:t>防火合页（</w:t>
      </w:r>
      <w:r>
        <w:rPr>
          <w:spacing w:val="-2"/>
          <w:sz w:val="21"/>
        </w:rPr>
        <w:t>铰链</w:t>
      </w:r>
      <w:r>
        <w:rPr>
          <w:spacing w:val="-3"/>
          <w:sz w:val="21"/>
        </w:rPr>
        <w:t>）</w:t>
      </w:r>
      <w:r>
        <w:rPr>
          <w:b/>
          <w:w w:val="99"/>
          <w:sz w:val="21"/>
        </w:rPr>
        <w:t> </w:t>
      </w:r>
    </w:p>
    <w:p>
      <w:pPr>
        <w:pStyle w:val="BodyText"/>
        <w:rPr>
          <w:b/>
          <w:sz w:val="18"/>
        </w:rPr>
      </w:pPr>
    </w:p>
    <w:p>
      <w:pPr>
        <w:pStyle w:val="BodyText"/>
        <w:ind w:left="838"/>
      </w:pPr>
      <w:r>
        <w:rPr/>
        <w:t>防火合页（铰链）板厚采用游标卡尺检验，任意测定三点，计算其平均值。 </w:t>
      </w:r>
    </w:p>
    <w:p>
      <w:pPr>
        <w:pStyle w:val="BodyText"/>
        <w:spacing w:before="2"/>
        <w:rPr>
          <w:sz w:val="18"/>
        </w:rPr>
      </w:pPr>
    </w:p>
    <w:p>
      <w:pPr>
        <w:pStyle w:val="BodyText"/>
        <w:spacing w:line="446" w:lineRule="auto"/>
        <w:ind w:left="418" w:right="1609" w:firstLine="419"/>
        <w:rPr>
          <w:b/>
        </w:rPr>
      </w:pPr>
      <w:r>
        <w:rPr>
          <w:spacing w:val="-1"/>
        </w:rPr>
        <w:t>防火合页</w:t>
      </w:r>
      <w:r>
        <w:rPr>
          <w:spacing w:val="-3"/>
        </w:rPr>
        <w:t>（</w:t>
      </w:r>
      <w:r>
        <w:rPr>
          <w:spacing w:val="-2"/>
        </w:rPr>
        <w:t>铰链</w:t>
      </w:r>
      <w:r>
        <w:rPr/>
        <w:t>）</w:t>
      </w:r>
      <w:r>
        <w:rPr>
          <w:spacing w:val="-7"/>
        </w:rPr>
        <w:t>的耐火性能应按附录 </w:t>
      </w:r>
      <w:r>
        <w:rPr/>
        <w:t>B</w:t>
      </w:r>
      <w:r>
        <w:rPr>
          <w:spacing w:val="-7"/>
        </w:rPr>
        <w:t> 的规定进行检验，或提供国家认可授权检测机构</w:t>
      </w:r>
      <w:r>
        <w:rPr>
          <w:spacing w:val="-5"/>
        </w:rPr>
        <w:t>出具有效的相应检验报告。</w:t>
      </w:r>
      <w:r>
        <w:rPr>
          <w:b/>
          <w:spacing w:val="-5"/>
          <w:w w:val="99"/>
        </w:rPr>
        <w:t> </w:t>
      </w:r>
    </w:p>
    <w:p>
      <w:pPr>
        <w:pStyle w:val="ListParagraph"/>
        <w:numPr>
          <w:ilvl w:val="2"/>
          <w:numId w:val="436"/>
        </w:numPr>
        <w:tabs>
          <w:tab w:pos="1424" w:val="left" w:leader="none"/>
        </w:tabs>
        <w:spacing w:line="267" w:lineRule="exact" w:before="0" w:after="0"/>
        <w:ind w:left="1423" w:right="0" w:hanging="584"/>
        <w:jc w:val="left"/>
        <w:rPr>
          <w:b/>
          <w:sz w:val="21"/>
        </w:rPr>
      </w:pPr>
      <w:r>
        <w:rPr>
          <w:spacing w:val="-3"/>
          <w:sz w:val="21"/>
        </w:rPr>
        <w:t>防火闭门装置</w:t>
      </w:r>
      <w:r>
        <w:rPr>
          <w:b/>
          <w:w w:val="99"/>
          <w:sz w:val="21"/>
        </w:rPr>
        <w:t> </w:t>
      </w:r>
    </w:p>
    <w:p>
      <w:pPr>
        <w:pStyle w:val="BodyText"/>
        <w:spacing w:before="2"/>
        <w:rPr>
          <w:b/>
          <w:sz w:val="18"/>
        </w:rPr>
      </w:pPr>
    </w:p>
    <w:p>
      <w:pPr>
        <w:pStyle w:val="BodyText"/>
        <w:ind w:left="838"/>
      </w:pPr>
      <w:r>
        <w:rPr/>
        <w:t>防火门用闭门器应按 GA 93 的规定进行检验，或提供国家认可授权检测机构出具有效的相</w:t>
      </w:r>
    </w:p>
    <w:p>
      <w:pPr>
        <w:spacing w:after="0"/>
        <w:sectPr>
          <w:pgSz w:w="11910" w:h="16850"/>
          <w:pgMar w:header="0" w:footer="1239" w:top="1220" w:bottom="1420" w:left="1260" w:right="0"/>
        </w:sectPr>
      </w:pPr>
    </w:p>
    <w:p>
      <w:pPr>
        <w:pStyle w:val="BodyText"/>
        <w:spacing w:before="47"/>
        <w:ind w:left="418"/>
      </w:pPr>
      <w:r>
        <w:rPr/>
        <w:t>应检验报告。 </w:t>
      </w:r>
    </w:p>
    <w:p>
      <w:pPr>
        <w:pStyle w:val="BodyText"/>
        <w:rPr>
          <w:sz w:val="18"/>
        </w:rPr>
      </w:pPr>
    </w:p>
    <w:p>
      <w:pPr>
        <w:pStyle w:val="BodyText"/>
        <w:spacing w:line="446" w:lineRule="auto"/>
        <w:ind w:left="418" w:right="1609" w:firstLine="419"/>
      </w:pPr>
      <w:r>
        <w:rPr/>
        <w:t>防火门用自动闭门装置在接收到火灾报警信号后应能自动关闭门扇，其他性能应按相应标准检验，或提供国家认可授权检测机构出具有效的相应检验报告。 </w:t>
      </w:r>
    </w:p>
    <w:p>
      <w:pPr>
        <w:pStyle w:val="ListParagraph"/>
        <w:numPr>
          <w:ilvl w:val="2"/>
          <w:numId w:val="436"/>
        </w:numPr>
        <w:tabs>
          <w:tab w:pos="1424" w:val="left" w:leader="none"/>
        </w:tabs>
        <w:spacing w:line="240" w:lineRule="auto" w:before="0" w:after="0"/>
        <w:ind w:left="1423" w:right="0" w:hanging="584"/>
        <w:jc w:val="left"/>
        <w:rPr>
          <w:b/>
          <w:sz w:val="21"/>
        </w:rPr>
      </w:pPr>
      <w:r>
        <w:rPr>
          <w:spacing w:val="-3"/>
          <w:sz w:val="21"/>
        </w:rPr>
        <w:t>防火顺序器</w:t>
      </w:r>
      <w:r>
        <w:rPr>
          <w:b/>
          <w:w w:val="99"/>
          <w:sz w:val="21"/>
        </w:rPr>
        <w:t> </w:t>
      </w:r>
    </w:p>
    <w:p>
      <w:pPr>
        <w:pStyle w:val="BodyText"/>
        <w:spacing w:before="12"/>
        <w:rPr>
          <w:b/>
          <w:sz w:val="17"/>
        </w:rPr>
      </w:pPr>
    </w:p>
    <w:p>
      <w:pPr>
        <w:pStyle w:val="BodyText"/>
        <w:spacing w:line="446" w:lineRule="auto"/>
        <w:ind w:left="418" w:right="1608" w:firstLine="419"/>
        <w:jc w:val="both"/>
      </w:pPr>
      <w:r>
        <w:rPr>
          <w:spacing w:val="-3"/>
        </w:rPr>
        <w:t>按实际使用状态将防火顺序器装配到防火门上，同时推开各个门扇，然后同时释放门扇， </w:t>
      </w:r>
      <w:r>
        <w:rPr>
          <w:spacing w:val="-4"/>
        </w:rPr>
        <w:t>目测防火顺序器能否使防火门门扇按顺序要求关闭；防火顺序器的耐火性能应按附录 </w:t>
      </w:r>
      <w:r>
        <w:rPr/>
        <w:t>C</w:t>
      </w:r>
      <w:r>
        <w:rPr>
          <w:spacing w:val="-10"/>
        </w:rPr>
        <w:t> 的规定</w:t>
      </w:r>
      <w:r>
        <w:rPr>
          <w:spacing w:val="-5"/>
        </w:rPr>
        <w:t>进行检验，或提供国家认可授权检测机构出具有效的相应检验报告。</w:t>
      </w:r>
      <w:r>
        <w:rPr/>
        <w:t> </w:t>
      </w:r>
    </w:p>
    <w:p>
      <w:pPr>
        <w:pStyle w:val="ListParagraph"/>
        <w:numPr>
          <w:ilvl w:val="2"/>
          <w:numId w:val="436"/>
        </w:numPr>
        <w:tabs>
          <w:tab w:pos="1424" w:val="left" w:leader="none"/>
        </w:tabs>
        <w:spacing w:line="268" w:lineRule="exact" w:before="0" w:after="0"/>
        <w:ind w:left="1423" w:right="0" w:hanging="584"/>
        <w:jc w:val="both"/>
        <w:rPr>
          <w:b/>
          <w:sz w:val="21"/>
        </w:rPr>
      </w:pPr>
      <w:r>
        <w:rPr>
          <w:spacing w:val="-3"/>
          <w:sz w:val="21"/>
        </w:rPr>
        <w:t>防火插销</w:t>
      </w:r>
      <w:r>
        <w:rPr>
          <w:b/>
          <w:w w:val="99"/>
          <w:sz w:val="21"/>
        </w:rPr>
        <w:t> </w:t>
      </w:r>
    </w:p>
    <w:p>
      <w:pPr>
        <w:pStyle w:val="BodyText"/>
        <w:rPr>
          <w:b/>
          <w:sz w:val="18"/>
        </w:rPr>
      </w:pPr>
    </w:p>
    <w:p>
      <w:pPr>
        <w:pStyle w:val="BodyText"/>
        <w:spacing w:line="446" w:lineRule="auto"/>
        <w:ind w:left="418" w:right="1609" w:firstLine="419"/>
        <w:jc w:val="both"/>
      </w:pPr>
      <w:r>
        <w:rPr/>
        <w:t>采用目测及手感相结合的方法检查防火门上安装防火插销的情况，防火插销的耐火性能应按附录 D 的规定进行检验，或提供国家认可授权检测机构出具有效的相应检验报告。 </w:t>
      </w:r>
    </w:p>
    <w:p>
      <w:pPr>
        <w:pStyle w:val="ListParagraph"/>
        <w:numPr>
          <w:ilvl w:val="2"/>
          <w:numId w:val="436"/>
        </w:numPr>
        <w:tabs>
          <w:tab w:pos="1424" w:val="left" w:leader="none"/>
        </w:tabs>
        <w:spacing w:line="240" w:lineRule="auto" w:before="0" w:after="0"/>
        <w:ind w:left="1423" w:right="0" w:hanging="584"/>
        <w:jc w:val="both"/>
        <w:rPr>
          <w:b/>
          <w:sz w:val="21"/>
        </w:rPr>
      </w:pPr>
      <w:r>
        <w:rPr>
          <w:spacing w:val="-3"/>
          <w:sz w:val="21"/>
        </w:rPr>
        <w:t>盖缝板</w:t>
      </w:r>
      <w:r>
        <w:rPr>
          <w:b/>
          <w:w w:val="99"/>
          <w:sz w:val="21"/>
        </w:rPr>
        <w:t> </w:t>
      </w:r>
    </w:p>
    <w:p>
      <w:pPr>
        <w:pStyle w:val="BodyText"/>
        <w:spacing w:before="12"/>
        <w:rPr>
          <w:b/>
          <w:sz w:val="17"/>
        </w:rPr>
      </w:pPr>
    </w:p>
    <w:p>
      <w:pPr>
        <w:pStyle w:val="BodyText"/>
        <w:ind w:left="838"/>
      </w:pPr>
      <w:r>
        <w:rPr/>
        <w:t>防火门盖缝板的安装情况，采用目测和手感相结合的方法进行检验。 </w:t>
      </w:r>
    </w:p>
    <w:p>
      <w:pPr>
        <w:pStyle w:val="BodyText"/>
        <w:spacing w:before="2"/>
        <w:rPr>
          <w:sz w:val="18"/>
        </w:rPr>
      </w:pPr>
    </w:p>
    <w:p>
      <w:pPr>
        <w:pStyle w:val="ListParagraph"/>
        <w:numPr>
          <w:ilvl w:val="2"/>
          <w:numId w:val="436"/>
        </w:numPr>
        <w:tabs>
          <w:tab w:pos="1424" w:val="left" w:leader="none"/>
        </w:tabs>
        <w:spacing w:line="240" w:lineRule="auto" w:before="0" w:after="0"/>
        <w:ind w:left="1423" w:right="0" w:hanging="584"/>
        <w:jc w:val="left"/>
        <w:rPr>
          <w:b/>
          <w:sz w:val="21"/>
        </w:rPr>
      </w:pPr>
      <w:r>
        <w:rPr>
          <w:spacing w:val="-3"/>
          <w:sz w:val="21"/>
        </w:rPr>
        <w:t>防火密封件</w:t>
      </w:r>
      <w:r>
        <w:rPr>
          <w:b/>
          <w:w w:val="99"/>
          <w:sz w:val="21"/>
        </w:rPr>
        <w:t> </w:t>
      </w:r>
    </w:p>
    <w:p>
      <w:pPr>
        <w:pStyle w:val="BodyText"/>
        <w:rPr>
          <w:b/>
          <w:sz w:val="18"/>
        </w:rPr>
      </w:pPr>
    </w:p>
    <w:p>
      <w:pPr>
        <w:pStyle w:val="BodyText"/>
        <w:spacing w:line="446" w:lineRule="auto"/>
        <w:ind w:left="418" w:right="1505" w:firstLine="419"/>
      </w:pPr>
      <w:r>
        <w:rPr>
          <w:spacing w:val="-5"/>
        </w:rPr>
        <w:t>目测门框与门扇、门扇与门扇的缝隙处是否设有防火密封件，其性能应按 </w:t>
      </w:r>
      <w:r>
        <w:rPr>
          <w:spacing w:val="-3"/>
        </w:rPr>
        <w:t>GB </w:t>
      </w:r>
      <w:r>
        <w:rPr/>
        <w:t>16807</w:t>
      </w:r>
      <w:r>
        <w:rPr>
          <w:spacing w:val="-12"/>
        </w:rPr>
        <w:t> 的规定</w:t>
      </w:r>
      <w:r>
        <w:rPr>
          <w:spacing w:val="-6"/>
        </w:rPr>
        <w:t>进行检验，或提供国家认可授权检测机构出具有效的相应检验报告。</w:t>
      </w:r>
      <w:r>
        <w:rPr/>
        <w:t> </w:t>
      </w:r>
    </w:p>
    <w:p>
      <w:pPr>
        <w:pStyle w:val="ListParagraph"/>
        <w:numPr>
          <w:ilvl w:val="2"/>
          <w:numId w:val="436"/>
        </w:numPr>
        <w:tabs>
          <w:tab w:pos="1424" w:val="left" w:leader="none"/>
        </w:tabs>
        <w:spacing w:line="240" w:lineRule="auto" w:before="0" w:after="0"/>
        <w:ind w:left="1423" w:right="0" w:hanging="584"/>
        <w:jc w:val="left"/>
        <w:rPr>
          <w:b/>
          <w:sz w:val="21"/>
        </w:rPr>
      </w:pPr>
      <w:r>
        <w:rPr>
          <w:spacing w:val="-3"/>
          <w:sz w:val="21"/>
        </w:rPr>
        <w:t>防火玻璃</w:t>
      </w:r>
      <w:r>
        <w:rPr>
          <w:b/>
          <w:w w:val="99"/>
          <w:sz w:val="21"/>
        </w:rPr>
        <w:t> </w:t>
      </w:r>
    </w:p>
    <w:p>
      <w:pPr>
        <w:pStyle w:val="BodyText"/>
        <w:spacing w:before="12"/>
        <w:rPr>
          <w:b/>
          <w:sz w:val="17"/>
        </w:rPr>
      </w:pPr>
    </w:p>
    <w:p>
      <w:pPr>
        <w:pStyle w:val="BodyText"/>
        <w:spacing w:line="446" w:lineRule="auto"/>
        <w:ind w:left="840" w:right="1402" w:hanging="3"/>
        <w:rPr>
          <w:b/>
        </w:rPr>
      </w:pPr>
      <w:r>
        <w:rPr>
          <w:spacing w:val="-16"/>
        </w:rPr>
        <w:t>应按 </w:t>
      </w:r>
      <w:r>
        <w:rPr/>
        <w:t>GB 15763.1</w:t>
      </w:r>
      <w:r>
        <w:rPr>
          <w:spacing w:val="-9"/>
        </w:rPr>
        <w:t> 规定进行检验，或提供国家认可授权检测机构出具有效的相应检验报告。</w:t>
      </w:r>
      <w:r>
        <w:rPr>
          <w:b/>
          <w:spacing w:val="-9"/>
        </w:rPr>
        <w:t>6.5</w:t>
      </w:r>
      <w:r>
        <w:rPr>
          <w:b/>
          <w:spacing w:val="1"/>
        </w:rPr>
        <w:t> </w:t>
      </w:r>
      <w:r>
        <w:rPr>
          <w:spacing w:val="-3"/>
        </w:rPr>
        <w:t>加工工艺和外观质量</w:t>
      </w:r>
      <w:r>
        <w:rPr>
          <w:b/>
          <w:w w:val="99"/>
        </w:rPr>
        <w:t> </w:t>
      </w:r>
    </w:p>
    <w:p>
      <w:pPr>
        <w:pStyle w:val="BodyText"/>
        <w:spacing w:line="446" w:lineRule="auto"/>
        <w:ind w:left="418" w:right="1817" w:firstLine="419"/>
      </w:pPr>
      <w:r>
        <w:rPr/>
        <w:t>由成型门扇或填充对人体无毒无害防火隔热材料的门扇、门框、防火五金配件组成防火门，其外观质量以目测方法检验，其加工工艺质量按 6.7、6.8、6.9 的规定检验。 </w:t>
      </w:r>
    </w:p>
    <w:p>
      <w:pPr>
        <w:spacing w:line="267" w:lineRule="exact" w:before="0"/>
        <w:ind w:left="840" w:right="0" w:firstLine="0"/>
        <w:jc w:val="left"/>
        <w:rPr>
          <w:b/>
          <w:sz w:val="21"/>
        </w:rPr>
      </w:pPr>
      <w:r>
        <w:rPr>
          <w:b/>
          <w:sz w:val="21"/>
        </w:rPr>
        <w:t>6.6</w:t>
      </w:r>
      <w:r>
        <w:rPr>
          <w:b/>
          <w:spacing w:val="5"/>
          <w:sz w:val="21"/>
        </w:rPr>
        <w:t> </w:t>
      </w:r>
      <w:r>
        <w:rPr>
          <w:spacing w:val="-3"/>
          <w:sz w:val="21"/>
        </w:rPr>
        <w:t>门扇质量</w:t>
      </w:r>
      <w:r>
        <w:rPr>
          <w:b/>
          <w:w w:val="99"/>
          <w:sz w:val="21"/>
        </w:rPr>
        <w:t> </w:t>
      </w:r>
    </w:p>
    <w:p>
      <w:pPr>
        <w:pStyle w:val="BodyText"/>
        <w:spacing w:before="2"/>
        <w:rPr>
          <w:b/>
          <w:sz w:val="18"/>
        </w:rPr>
      </w:pPr>
    </w:p>
    <w:p>
      <w:pPr>
        <w:pStyle w:val="BodyText"/>
        <w:spacing w:line="446" w:lineRule="auto"/>
        <w:ind w:left="840" w:right="1925" w:hanging="3"/>
      </w:pPr>
      <w:r>
        <w:rPr>
          <w:spacing w:val="-3"/>
        </w:rPr>
        <w:t>采用磅秤对每一门扇进行称重，任一门扇的质量（</w:t>
      </w:r>
      <w:r>
        <w:rPr/>
        <w:t>重量</w:t>
      </w:r>
      <w:r>
        <w:rPr>
          <w:spacing w:val="-3"/>
        </w:rPr>
        <w:t>）</w:t>
      </w:r>
      <w:r>
        <w:rPr>
          <w:spacing w:val="-9"/>
        </w:rPr>
        <w:t>应符合本标准 </w:t>
      </w:r>
      <w:r>
        <w:rPr/>
        <w:t>5.5</w:t>
      </w:r>
      <w:r>
        <w:rPr>
          <w:spacing w:val="-11"/>
        </w:rPr>
        <w:t> 的要求。</w:t>
      </w:r>
      <w:r>
        <w:rPr>
          <w:b/>
        </w:rPr>
        <w:t>6.7</w:t>
      </w:r>
      <w:r>
        <w:rPr>
          <w:b/>
          <w:spacing w:val="-1"/>
        </w:rPr>
        <w:t> </w:t>
      </w:r>
      <w:r>
        <w:rPr>
          <w:spacing w:val="-3"/>
        </w:rPr>
        <w:t>尺寸公差</w:t>
      </w:r>
      <w:r>
        <w:rPr/>
        <w:t> </w:t>
      </w:r>
    </w:p>
    <w:p>
      <w:pPr>
        <w:pStyle w:val="ListParagraph"/>
        <w:numPr>
          <w:ilvl w:val="2"/>
          <w:numId w:val="437"/>
        </w:numPr>
        <w:tabs>
          <w:tab w:pos="1424" w:val="left" w:leader="none"/>
        </w:tabs>
        <w:spacing w:line="267" w:lineRule="exact" w:before="0" w:after="0"/>
        <w:ind w:left="1423" w:right="0" w:hanging="584"/>
        <w:jc w:val="left"/>
        <w:rPr>
          <w:b/>
          <w:sz w:val="21"/>
        </w:rPr>
      </w:pPr>
      <w:r>
        <w:rPr>
          <w:spacing w:val="-13"/>
          <w:sz w:val="21"/>
        </w:rPr>
        <w:t>门扇高度 </w:t>
      </w:r>
      <w:r>
        <w:rPr>
          <w:spacing w:val="-3"/>
          <w:sz w:val="21"/>
        </w:rPr>
        <w:t>H</w:t>
      </w:r>
      <w:r>
        <w:rPr>
          <w:b/>
          <w:w w:val="99"/>
          <w:sz w:val="21"/>
        </w:rPr>
        <w:t> </w:t>
      </w:r>
    </w:p>
    <w:p>
      <w:pPr>
        <w:pStyle w:val="BodyText"/>
        <w:spacing w:before="2"/>
        <w:rPr>
          <w:b/>
          <w:sz w:val="18"/>
        </w:rPr>
      </w:pPr>
    </w:p>
    <w:p>
      <w:pPr>
        <w:pStyle w:val="BodyText"/>
        <w:spacing w:line="446" w:lineRule="auto"/>
        <w:ind w:left="418" w:right="1666" w:firstLine="419"/>
      </w:pPr>
      <w:r>
        <w:rPr>
          <w:spacing w:val="-6"/>
        </w:rPr>
        <w:t>采用钢卷尺测量，测量位置为距门扇两竖边各 </w:t>
      </w:r>
      <w:r>
        <w:rPr/>
        <w:t>50 mm</w:t>
      </w:r>
      <w:r>
        <w:rPr>
          <w:spacing w:val="-19"/>
        </w:rPr>
        <w:t> 处，见图 </w:t>
      </w:r>
      <w:r>
        <w:rPr/>
        <w:t>1</w:t>
      </w:r>
      <w:r>
        <w:rPr>
          <w:spacing w:val="-1"/>
        </w:rPr>
        <w:t> 所示的</w:t>
      </w:r>
      <w:r>
        <w:rPr/>
        <w:t>A-A</w:t>
      </w:r>
      <w:r>
        <w:rPr>
          <w:spacing w:val="-33"/>
        </w:rPr>
        <w:t> 和 </w:t>
      </w:r>
      <w:r>
        <w:rPr/>
        <w:t>A′-A</w:t>
      </w:r>
      <w:r>
        <w:rPr>
          <w:spacing w:val="-2"/>
        </w:rPr>
        <w:t>′位</w:t>
      </w:r>
      <w:r>
        <w:rPr>
          <w:spacing w:val="-3"/>
        </w:rPr>
        <w:t>置。检测值与产品设计图示门扇高度值相减，结果取其极值。</w:t>
      </w:r>
      <w:r>
        <w:rPr/>
        <w:t> </w:t>
      </w:r>
    </w:p>
    <w:p>
      <w:pPr>
        <w:spacing w:after="0" w:line="446" w:lineRule="auto"/>
        <w:sectPr>
          <w:pgSz w:w="11910" w:h="16850"/>
          <w:pgMar w:header="0" w:footer="1239" w:top="1220" w:bottom="1420" w:left="1260" w:right="0"/>
        </w:sectPr>
      </w:pPr>
    </w:p>
    <w:p>
      <w:pPr>
        <w:pStyle w:val="BodyText"/>
        <w:ind w:left="1357"/>
        <w:rPr>
          <w:sz w:val="20"/>
        </w:rPr>
      </w:pPr>
      <w:r>
        <w:rPr>
          <w:sz w:val="20"/>
        </w:rPr>
        <w:drawing>
          <wp:inline distT="0" distB="0" distL="0" distR="0">
            <wp:extent cx="4261116" cy="2133600"/>
            <wp:effectExtent l="0" t="0" r="0" b="0"/>
            <wp:docPr id="351" name="image212.jpeg"/>
            <wp:cNvGraphicFramePr>
              <a:graphicFrameLocks noChangeAspect="1"/>
            </wp:cNvGraphicFramePr>
            <a:graphic>
              <a:graphicData uri="http://schemas.openxmlformats.org/drawingml/2006/picture">
                <pic:pic>
                  <pic:nvPicPr>
                    <pic:cNvPr id="352" name="image212.jpeg"/>
                    <pic:cNvPicPr/>
                  </pic:nvPicPr>
                  <pic:blipFill>
                    <a:blip r:embed="rId259" cstate="print"/>
                    <a:stretch>
                      <a:fillRect/>
                    </a:stretch>
                  </pic:blipFill>
                  <pic:spPr>
                    <a:xfrm>
                      <a:off x="0" y="0"/>
                      <a:ext cx="4261116" cy="2133600"/>
                    </a:xfrm>
                    <a:prstGeom prst="rect">
                      <a:avLst/>
                    </a:prstGeom>
                  </pic:spPr>
                </pic:pic>
              </a:graphicData>
            </a:graphic>
          </wp:inline>
        </w:drawing>
      </w:r>
      <w:r>
        <w:rPr>
          <w:sz w:val="20"/>
        </w:rPr>
      </w:r>
    </w:p>
    <w:p>
      <w:pPr>
        <w:pStyle w:val="BodyText"/>
        <w:rPr>
          <w:sz w:val="20"/>
        </w:rPr>
      </w:pPr>
    </w:p>
    <w:p>
      <w:pPr>
        <w:pStyle w:val="BodyText"/>
        <w:spacing w:before="12"/>
        <w:rPr>
          <w:sz w:val="29"/>
        </w:rPr>
      </w:pPr>
    </w:p>
    <w:p>
      <w:pPr>
        <w:pStyle w:val="Heading6"/>
        <w:spacing w:before="72"/>
        <w:ind w:right="490"/>
        <w:jc w:val="center"/>
        <w:rPr>
          <w:b w:val="0"/>
        </w:rPr>
      </w:pPr>
      <w:r>
        <w:rPr/>
        <w:t>图 1 门扇高度测量位置示意图</w:t>
      </w:r>
      <w:r>
        <w:rPr>
          <w:b w:val="0"/>
          <w:w w:val="100"/>
        </w:rPr>
        <w:t> </w:t>
      </w:r>
    </w:p>
    <w:p>
      <w:pPr>
        <w:pStyle w:val="BodyText"/>
        <w:spacing w:before="4"/>
        <w:rPr>
          <w:sz w:val="12"/>
        </w:rPr>
      </w:pPr>
    </w:p>
    <w:p>
      <w:pPr>
        <w:pStyle w:val="ListParagraph"/>
        <w:numPr>
          <w:ilvl w:val="2"/>
          <w:numId w:val="437"/>
        </w:numPr>
        <w:tabs>
          <w:tab w:pos="1424" w:val="left" w:leader="none"/>
        </w:tabs>
        <w:spacing w:line="240" w:lineRule="auto" w:before="72" w:after="0"/>
        <w:ind w:left="1423" w:right="0" w:hanging="584"/>
        <w:jc w:val="left"/>
        <w:rPr>
          <w:b/>
          <w:sz w:val="21"/>
        </w:rPr>
      </w:pPr>
      <w:r>
        <w:rPr>
          <w:spacing w:val="-13"/>
          <w:sz w:val="21"/>
        </w:rPr>
        <w:t>门扇宽度 </w:t>
      </w:r>
      <w:r>
        <w:rPr>
          <w:spacing w:val="-3"/>
          <w:sz w:val="21"/>
        </w:rPr>
        <w:t>W</w:t>
      </w:r>
      <w:r>
        <w:rPr>
          <w:b/>
          <w:w w:val="99"/>
          <w:sz w:val="21"/>
        </w:rPr>
        <w:t> </w:t>
      </w:r>
    </w:p>
    <w:p>
      <w:pPr>
        <w:pStyle w:val="BodyText"/>
        <w:spacing w:before="2"/>
        <w:rPr>
          <w:b/>
          <w:sz w:val="18"/>
        </w:rPr>
      </w:pPr>
    </w:p>
    <w:p>
      <w:pPr>
        <w:pStyle w:val="BodyText"/>
        <w:spacing w:line="446" w:lineRule="auto"/>
        <w:ind w:left="418" w:right="1450" w:firstLine="422"/>
      </w:pPr>
      <w:r>
        <w:rPr>
          <w:spacing w:val="-6"/>
        </w:rPr>
        <w:t>采用钢卷尺测量，测量位置为距门扇上两横边各 </w:t>
      </w:r>
      <w:r>
        <w:rPr>
          <w:spacing w:val="-3"/>
        </w:rPr>
        <w:t>50 </w:t>
      </w:r>
      <w:r>
        <w:rPr/>
        <w:t>mm</w:t>
      </w:r>
      <w:r>
        <w:rPr>
          <w:spacing w:val="-19"/>
        </w:rPr>
        <w:t> 处，见图 </w:t>
      </w:r>
      <w:r>
        <w:rPr/>
        <w:t>2</w:t>
      </w:r>
      <w:r>
        <w:rPr>
          <w:spacing w:val="-22"/>
        </w:rPr>
        <w:t> 所示的 </w:t>
      </w:r>
      <w:r>
        <w:rPr/>
        <w:t>B-B</w:t>
      </w:r>
      <w:r>
        <w:rPr>
          <w:spacing w:val="-33"/>
        </w:rPr>
        <w:t> 和 </w:t>
      </w:r>
      <w:r>
        <w:rPr/>
        <w:t>B′-B′位</w:t>
      </w:r>
      <w:r>
        <w:rPr>
          <w:spacing w:val="-3"/>
        </w:rPr>
        <w:t>置。检测值与产品设计图示门扇宽度值相减，结果取其极值。</w:t>
      </w:r>
      <w:r>
        <w:rPr/>
        <w:t> </w:t>
      </w:r>
    </w:p>
    <w:p>
      <w:pPr>
        <w:pStyle w:val="BodyText"/>
        <w:spacing w:before="7"/>
        <w:rPr>
          <w:sz w:val="11"/>
        </w:rPr>
      </w:pPr>
      <w:r>
        <w:rPr/>
        <w:drawing>
          <wp:anchor distT="0" distB="0" distL="0" distR="0" allowOverlap="1" layoutInCell="1" locked="0" behindDoc="0" simplePos="0" relativeHeight="161">
            <wp:simplePos x="0" y="0"/>
            <wp:positionH relativeFrom="page">
              <wp:posOffset>1817981</wp:posOffset>
            </wp:positionH>
            <wp:positionV relativeFrom="paragraph">
              <wp:posOffset>118709</wp:posOffset>
            </wp:positionV>
            <wp:extent cx="3962210" cy="2362200"/>
            <wp:effectExtent l="0" t="0" r="0" b="0"/>
            <wp:wrapTopAndBottom/>
            <wp:docPr id="353" name="image213.jpeg"/>
            <wp:cNvGraphicFramePr>
              <a:graphicFrameLocks noChangeAspect="1"/>
            </wp:cNvGraphicFramePr>
            <a:graphic>
              <a:graphicData uri="http://schemas.openxmlformats.org/drawingml/2006/picture">
                <pic:pic>
                  <pic:nvPicPr>
                    <pic:cNvPr id="354" name="image213.jpeg"/>
                    <pic:cNvPicPr/>
                  </pic:nvPicPr>
                  <pic:blipFill>
                    <a:blip r:embed="rId260" cstate="print"/>
                    <a:stretch>
                      <a:fillRect/>
                    </a:stretch>
                  </pic:blipFill>
                  <pic:spPr>
                    <a:xfrm>
                      <a:off x="0" y="0"/>
                      <a:ext cx="3962210" cy="2362200"/>
                    </a:xfrm>
                    <a:prstGeom prst="rect">
                      <a:avLst/>
                    </a:prstGeom>
                  </pic:spPr>
                </pic:pic>
              </a:graphicData>
            </a:graphic>
          </wp:anchor>
        </w:drawing>
      </w:r>
    </w:p>
    <w:p>
      <w:pPr>
        <w:pStyle w:val="BodyText"/>
        <w:spacing w:before="1"/>
        <w:rPr>
          <w:sz w:val="15"/>
        </w:rPr>
      </w:pPr>
    </w:p>
    <w:p>
      <w:pPr>
        <w:pStyle w:val="Heading6"/>
        <w:ind w:right="490"/>
        <w:jc w:val="center"/>
      </w:pPr>
      <w:r>
        <w:rPr/>
        <w:t>图 2 门扇宽度测量位置示意图</w:t>
      </w:r>
      <w:r>
        <w:rPr>
          <w:w w:val="99"/>
        </w:rPr>
        <w:t> </w:t>
      </w:r>
    </w:p>
    <w:p>
      <w:pPr>
        <w:pStyle w:val="BodyText"/>
        <w:spacing w:before="1"/>
        <w:rPr>
          <w:b/>
          <w:sz w:val="18"/>
        </w:rPr>
      </w:pPr>
    </w:p>
    <w:p>
      <w:pPr>
        <w:pStyle w:val="ListParagraph"/>
        <w:numPr>
          <w:ilvl w:val="2"/>
          <w:numId w:val="437"/>
        </w:numPr>
        <w:tabs>
          <w:tab w:pos="1370" w:val="left" w:leader="none"/>
        </w:tabs>
        <w:spacing w:line="240" w:lineRule="auto" w:before="1" w:after="0"/>
        <w:ind w:left="1369" w:right="0" w:hanging="530"/>
        <w:jc w:val="left"/>
        <w:rPr>
          <w:b/>
          <w:sz w:val="21"/>
        </w:rPr>
      </w:pPr>
      <w:r>
        <w:rPr>
          <w:spacing w:val="-13"/>
          <w:sz w:val="21"/>
        </w:rPr>
        <w:t>门扇厚度 </w:t>
      </w:r>
      <w:r>
        <w:rPr>
          <w:spacing w:val="-3"/>
          <w:sz w:val="21"/>
        </w:rPr>
        <w:t>T</w:t>
      </w:r>
      <w:r>
        <w:rPr>
          <w:b/>
          <w:w w:val="99"/>
          <w:sz w:val="21"/>
        </w:rPr>
        <w:t> </w:t>
      </w:r>
    </w:p>
    <w:p>
      <w:pPr>
        <w:pStyle w:val="BodyText"/>
        <w:spacing w:before="11"/>
        <w:rPr>
          <w:b/>
          <w:sz w:val="17"/>
        </w:rPr>
      </w:pPr>
    </w:p>
    <w:p>
      <w:pPr>
        <w:pStyle w:val="BodyText"/>
        <w:spacing w:before="1"/>
        <w:ind w:left="838"/>
      </w:pPr>
      <w:r>
        <w:rPr>
          <w:position w:val="1"/>
        </w:rPr>
        <w:t>采用游标卡尺测量，测量位置见图 3 中 T</w:t>
      </w:r>
      <w:r>
        <w:rPr>
          <w:sz w:val="11"/>
        </w:rPr>
        <w:t>1</w:t>
      </w:r>
      <w:r>
        <w:rPr>
          <w:position w:val="1"/>
        </w:rPr>
        <w:t>、T</w:t>
      </w:r>
      <w:r>
        <w:rPr>
          <w:sz w:val="11"/>
        </w:rPr>
        <w:t>2</w:t>
      </w:r>
      <w:r>
        <w:rPr>
          <w:position w:val="1"/>
        </w:rPr>
        <w:t>、T</w:t>
      </w:r>
      <w:r>
        <w:rPr>
          <w:sz w:val="11"/>
        </w:rPr>
        <w:t>3</w:t>
      </w:r>
      <w:r>
        <w:rPr>
          <w:position w:val="1"/>
        </w:rPr>
        <w:t>……T</w:t>
      </w:r>
      <w:r>
        <w:rPr>
          <w:sz w:val="11"/>
        </w:rPr>
        <w:t>8 </w:t>
      </w:r>
      <w:r>
        <w:rPr>
          <w:position w:val="1"/>
        </w:rPr>
        <w:t>所标定的位置[注：遇锁具、合页</w:t>
      </w:r>
    </w:p>
    <w:p>
      <w:pPr>
        <w:pStyle w:val="BodyText"/>
        <w:spacing w:before="12"/>
        <w:rPr>
          <w:sz w:val="17"/>
        </w:rPr>
      </w:pPr>
    </w:p>
    <w:p>
      <w:pPr>
        <w:pStyle w:val="BodyText"/>
        <w:ind w:left="418"/>
      </w:pPr>
      <w:r>
        <w:rPr/>
        <w:t>（铰链）处相应避开 50 mm]，检测值与产品设计图示门扇厚度值相减，结果取其极值。 </w:t>
      </w:r>
    </w:p>
    <w:p>
      <w:pPr>
        <w:spacing w:after="0"/>
        <w:sectPr>
          <w:pgSz w:w="11910" w:h="16850"/>
          <w:pgMar w:header="0" w:footer="1239" w:top="1440" w:bottom="1420" w:left="1260" w:right="0"/>
        </w:sectPr>
      </w:pPr>
    </w:p>
    <w:p>
      <w:pPr>
        <w:pStyle w:val="BodyText"/>
        <w:ind w:left="1978"/>
        <w:rPr>
          <w:sz w:val="20"/>
        </w:rPr>
      </w:pPr>
      <w:r>
        <w:rPr>
          <w:sz w:val="20"/>
        </w:rPr>
        <w:drawing>
          <wp:inline distT="0" distB="0" distL="0" distR="0">
            <wp:extent cx="3436996" cy="2286000"/>
            <wp:effectExtent l="0" t="0" r="0" b="0"/>
            <wp:docPr id="355" name="image214.jpeg"/>
            <wp:cNvGraphicFramePr>
              <a:graphicFrameLocks noChangeAspect="1"/>
            </wp:cNvGraphicFramePr>
            <a:graphic>
              <a:graphicData uri="http://schemas.openxmlformats.org/drawingml/2006/picture">
                <pic:pic>
                  <pic:nvPicPr>
                    <pic:cNvPr id="356" name="image214.jpeg"/>
                    <pic:cNvPicPr/>
                  </pic:nvPicPr>
                  <pic:blipFill>
                    <a:blip r:embed="rId261" cstate="print"/>
                    <a:stretch>
                      <a:fillRect/>
                    </a:stretch>
                  </pic:blipFill>
                  <pic:spPr>
                    <a:xfrm>
                      <a:off x="0" y="0"/>
                      <a:ext cx="3436996" cy="228600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2"/>
        <w:rPr>
          <w:sz w:val="14"/>
        </w:rPr>
      </w:pPr>
    </w:p>
    <w:p>
      <w:pPr>
        <w:pStyle w:val="Heading6"/>
        <w:spacing w:before="72"/>
        <w:ind w:right="490"/>
        <w:jc w:val="center"/>
        <w:rPr>
          <w:b w:val="0"/>
        </w:rPr>
      </w:pPr>
      <w:r>
        <w:rPr/>
        <w:t>图 3 门扇厚度测量位置示意图</w:t>
      </w:r>
      <w:r>
        <w:rPr>
          <w:b w:val="0"/>
          <w:w w:val="100"/>
        </w:rPr>
        <w:t> </w:t>
      </w:r>
    </w:p>
    <w:p>
      <w:pPr>
        <w:pStyle w:val="BodyText"/>
        <w:spacing w:before="4"/>
        <w:rPr>
          <w:sz w:val="12"/>
        </w:rPr>
      </w:pPr>
    </w:p>
    <w:p>
      <w:pPr>
        <w:pStyle w:val="ListParagraph"/>
        <w:numPr>
          <w:ilvl w:val="2"/>
          <w:numId w:val="437"/>
        </w:numPr>
        <w:tabs>
          <w:tab w:pos="1370" w:val="left" w:leader="none"/>
        </w:tabs>
        <w:spacing w:line="240" w:lineRule="auto" w:before="72" w:after="0"/>
        <w:ind w:left="1369" w:right="0" w:hanging="530"/>
        <w:jc w:val="left"/>
        <w:rPr>
          <w:sz w:val="21"/>
        </w:rPr>
      </w:pPr>
      <w:r>
        <w:rPr>
          <w:spacing w:val="-10"/>
          <w:sz w:val="21"/>
        </w:rPr>
        <w:t>门框内裁口高度 </w:t>
      </w:r>
      <w:r>
        <w:rPr>
          <w:sz w:val="21"/>
        </w:rPr>
        <w:t>H′ </w:t>
      </w:r>
    </w:p>
    <w:p>
      <w:pPr>
        <w:pStyle w:val="BodyText"/>
        <w:spacing w:before="12"/>
        <w:rPr>
          <w:sz w:val="17"/>
        </w:rPr>
      </w:pPr>
    </w:p>
    <w:p>
      <w:pPr>
        <w:pStyle w:val="BodyText"/>
        <w:spacing w:line="446" w:lineRule="auto"/>
        <w:ind w:left="418" w:right="1555" w:firstLine="419"/>
      </w:pPr>
      <w:r>
        <w:rPr>
          <w:spacing w:val="-5"/>
        </w:rPr>
        <w:t>采用钢卷尺测量，分别测量门框内裁口的左竖边和右竖边，见图 </w:t>
      </w:r>
      <w:r>
        <w:rPr/>
        <w:t>4</w:t>
      </w:r>
      <w:r>
        <w:rPr>
          <w:spacing w:val="-23"/>
        </w:rPr>
        <w:t> 所示 </w:t>
      </w:r>
      <w:r>
        <w:rPr/>
        <w:t>C-C、C′-C′。检</w:t>
      </w:r>
      <w:r>
        <w:rPr>
          <w:spacing w:val="-3"/>
        </w:rPr>
        <w:t>测值与产品设计图示门框内裁口高度值相减，结果取其极值。</w:t>
      </w:r>
      <w:r>
        <w:rPr/>
        <w:t> </w:t>
      </w:r>
    </w:p>
    <w:p>
      <w:pPr>
        <w:pStyle w:val="BodyText"/>
        <w:spacing w:before="1"/>
        <w:rPr>
          <w:sz w:val="10"/>
        </w:rPr>
      </w:pPr>
      <w:r>
        <w:rPr/>
        <w:drawing>
          <wp:anchor distT="0" distB="0" distL="0" distR="0" allowOverlap="1" layoutInCell="1" locked="0" behindDoc="0" simplePos="0" relativeHeight="162">
            <wp:simplePos x="0" y="0"/>
            <wp:positionH relativeFrom="page">
              <wp:posOffset>2056117</wp:posOffset>
            </wp:positionH>
            <wp:positionV relativeFrom="paragraph">
              <wp:posOffset>107008</wp:posOffset>
            </wp:positionV>
            <wp:extent cx="3739678" cy="2057400"/>
            <wp:effectExtent l="0" t="0" r="0" b="0"/>
            <wp:wrapTopAndBottom/>
            <wp:docPr id="357" name="image215.jpeg"/>
            <wp:cNvGraphicFramePr>
              <a:graphicFrameLocks noChangeAspect="1"/>
            </wp:cNvGraphicFramePr>
            <a:graphic>
              <a:graphicData uri="http://schemas.openxmlformats.org/drawingml/2006/picture">
                <pic:pic>
                  <pic:nvPicPr>
                    <pic:cNvPr id="358" name="image215.jpeg"/>
                    <pic:cNvPicPr/>
                  </pic:nvPicPr>
                  <pic:blipFill>
                    <a:blip r:embed="rId262" cstate="print"/>
                    <a:stretch>
                      <a:fillRect/>
                    </a:stretch>
                  </pic:blipFill>
                  <pic:spPr>
                    <a:xfrm>
                      <a:off x="0" y="0"/>
                      <a:ext cx="3739678" cy="2057400"/>
                    </a:xfrm>
                    <a:prstGeom prst="rect">
                      <a:avLst/>
                    </a:prstGeom>
                  </pic:spPr>
                </pic:pic>
              </a:graphicData>
            </a:graphic>
          </wp:anchor>
        </w:drawing>
      </w:r>
    </w:p>
    <w:p>
      <w:pPr>
        <w:pStyle w:val="BodyText"/>
        <w:spacing w:before="2"/>
        <w:rPr>
          <w:sz w:val="22"/>
        </w:rPr>
      </w:pPr>
    </w:p>
    <w:p>
      <w:pPr>
        <w:spacing w:line="446" w:lineRule="auto" w:before="0"/>
        <w:ind w:left="840" w:right="3697" w:firstLine="2364"/>
        <w:jc w:val="left"/>
        <w:rPr>
          <w:b/>
          <w:sz w:val="21"/>
        </w:rPr>
      </w:pPr>
      <w:r>
        <w:rPr>
          <w:b/>
          <w:sz w:val="21"/>
        </w:rPr>
        <w:t>图 4 门框内裁口高度测量位置示意图6.7.5 </w:t>
      </w:r>
      <w:r>
        <w:rPr>
          <w:sz w:val="21"/>
        </w:rPr>
        <w:t>门框内裁口宽度 W′</w:t>
      </w:r>
      <w:r>
        <w:rPr>
          <w:b/>
          <w:w w:val="99"/>
          <w:sz w:val="21"/>
        </w:rPr>
        <w:t> </w:t>
      </w:r>
    </w:p>
    <w:p>
      <w:pPr>
        <w:pStyle w:val="BodyText"/>
        <w:spacing w:line="446" w:lineRule="auto"/>
        <w:ind w:left="418" w:right="1455" w:firstLine="419"/>
      </w:pPr>
      <w:r>
        <w:rPr>
          <w:spacing w:val="-6"/>
        </w:rPr>
        <w:t>采用钢卷尺测量，测量位置见图 </w:t>
      </w:r>
      <w:r>
        <w:rPr/>
        <w:t>5</w:t>
      </w:r>
      <w:r>
        <w:rPr>
          <w:spacing w:val="-20"/>
        </w:rPr>
        <w:t> 所示的 </w:t>
      </w:r>
      <w:r>
        <w:rPr/>
        <w:t>D-D、D′-D′</w:t>
      </w:r>
      <w:r>
        <w:rPr>
          <w:spacing w:val="-3"/>
        </w:rPr>
        <w:t>、</w:t>
      </w:r>
      <w:r>
        <w:rPr/>
        <w:t>D″-D</w:t>
      </w:r>
      <w:r>
        <w:rPr>
          <w:spacing w:val="-3"/>
        </w:rPr>
        <w:t>″。检测值与产品设计图示门框内裁口宽度值相减，结果取其极值。</w:t>
      </w:r>
      <w:r>
        <w:rPr/>
        <w:t> </w:t>
      </w:r>
    </w:p>
    <w:p>
      <w:pPr>
        <w:spacing w:after="0" w:line="446" w:lineRule="auto"/>
        <w:sectPr>
          <w:pgSz w:w="11910" w:h="16850"/>
          <w:pgMar w:header="0" w:footer="1239" w:top="1460" w:bottom="1420" w:left="1260" w:right="0"/>
        </w:sectPr>
      </w:pPr>
    </w:p>
    <w:p>
      <w:pPr>
        <w:pStyle w:val="BodyText"/>
        <w:ind w:left="2139"/>
        <w:rPr>
          <w:sz w:val="20"/>
        </w:rPr>
      </w:pPr>
      <w:r>
        <w:rPr>
          <w:sz w:val="20"/>
        </w:rPr>
        <w:drawing>
          <wp:inline distT="0" distB="0" distL="0" distR="0">
            <wp:extent cx="3881969" cy="2057400"/>
            <wp:effectExtent l="0" t="0" r="0" b="0"/>
            <wp:docPr id="359" name="image216.jpeg"/>
            <wp:cNvGraphicFramePr>
              <a:graphicFrameLocks noChangeAspect="1"/>
            </wp:cNvGraphicFramePr>
            <a:graphic>
              <a:graphicData uri="http://schemas.openxmlformats.org/drawingml/2006/picture">
                <pic:pic>
                  <pic:nvPicPr>
                    <pic:cNvPr id="360" name="image216.jpeg"/>
                    <pic:cNvPicPr/>
                  </pic:nvPicPr>
                  <pic:blipFill>
                    <a:blip r:embed="rId264" cstate="print"/>
                    <a:stretch>
                      <a:fillRect/>
                    </a:stretch>
                  </pic:blipFill>
                  <pic:spPr>
                    <a:xfrm>
                      <a:off x="0" y="0"/>
                      <a:ext cx="3881969" cy="205740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
        <w:rPr>
          <w:sz w:val="17"/>
        </w:rPr>
      </w:pPr>
    </w:p>
    <w:p>
      <w:pPr>
        <w:spacing w:line="446" w:lineRule="auto" w:before="71"/>
        <w:ind w:left="840" w:right="3803" w:firstLine="2470"/>
        <w:jc w:val="left"/>
        <w:rPr>
          <w:b/>
          <w:sz w:val="21"/>
        </w:rPr>
      </w:pPr>
      <w:r>
        <w:rPr>
          <w:b/>
          <w:sz w:val="21"/>
        </w:rPr>
        <w:t>图 5 门框内裁口宽度测量位置示意图6.7.6 </w:t>
      </w:r>
      <w:r>
        <w:rPr>
          <w:sz w:val="21"/>
        </w:rPr>
        <w:t>门框侧壁宽度 T′</w:t>
      </w:r>
      <w:r>
        <w:rPr>
          <w:b/>
          <w:w w:val="99"/>
          <w:sz w:val="21"/>
        </w:rPr>
        <w:t> </w:t>
      </w:r>
    </w:p>
    <w:p>
      <w:pPr>
        <w:pStyle w:val="BodyText"/>
        <w:spacing w:line="448" w:lineRule="auto"/>
        <w:ind w:left="418" w:right="1549" w:firstLine="419"/>
      </w:pPr>
      <w:r>
        <w:rPr>
          <w:spacing w:val="-6"/>
          <w:position w:val="1"/>
        </w:rPr>
        <w:t>采用游标卡尺测量，测量位置见图 </w:t>
      </w:r>
      <w:r>
        <w:rPr>
          <w:position w:val="1"/>
        </w:rPr>
        <w:t>6</w:t>
      </w:r>
      <w:r>
        <w:rPr>
          <w:spacing w:val="-20"/>
          <w:position w:val="1"/>
        </w:rPr>
        <w:t> 所示的 </w:t>
      </w:r>
      <w:r>
        <w:rPr>
          <w:position w:val="1"/>
        </w:rPr>
        <w:t>T</w:t>
      </w:r>
      <w:r>
        <w:rPr>
          <w:sz w:val="11"/>
        </w:rPr>
        <w:t>1</w:t>
      </w:r>
      <w:r>
        <w:rPr>
          <w:position w:val="1"/>
        </w:rPr>
        <w:t>′、T</w:t>
      </w:r>
      <w:r>
        <w:rPr>
          <w:sz w:val="11"/>
        </w:rPr>
        <w:t>2</w:t>
      </w:r>
      <w:r>
        <w:rPr>
          <w:position w:val="1"/>
        </w:rPr>
        <w:t>′、T</w:t>
      </w:r>
      <w:r>
        <w:rPr>
          <w:sz w:val="11"/>
        </w:rPr>
        <w:t>3</w:t>
      </w:r>
      <w:r>
        <w:rPr>
          <w:position w:val="1"/>
        </w:rPr>
        <w:t>′……T</w:t>
      </w:r>
      <w:r>
        <w:rPr>
          <w:sz w:val="11"/>
        </w:rPr>
        <w:t>6</w:t>
      </w:r>
      <w:r>
        <w:rPr>
          <w:spacing w:val="-3"/>
          <w:position w:val="1"/>
        </w:rPr>
        <w:t>′。检测值与产品设计</w:t>
      </w:r>
      <w:r>
        <w:rPr>
          <w:spacing w:val="-3"/>
        </w:rPr>
        <w:t>图示门框侧壁宽度值相减，结果取其极值。</w:t>
      </w:r>
      <w:r>
        <w:rPr/>
        <w:t> </w:t>
      </w:r>
    </w:p>
    <w:p>
      <w:pPr>
        <w:pStyle w:val="BodyText"/>
        <w:spacing w:before="1"/>
        <w:rPr>
          <w:sz w:val="16"/>
        </w:rPr>
      </w:pPr>
      <w:r>
        <w:rPr/>
        <w:drawing>
          <wp:anchor distT="0" distB="0" distL="0" distR="0" allowOverlap="1" layoutInCell="1" locked="0" behindDoc="0" simplePos="0" relativeHeight="163">
            <wp:simplePos x="0" y="0"/>
            <wp:positionH relativeFrom="page">
              <wp:posOffset>1903729</wp:posOffset>
            </wp:positionH>
            <wp:positionV relativeFrom="paragraph">
              <wp:posOffset>155966</wp:posOffset>
            </wp:positionV>
            <wp:extent cx="3891218" cy="2105025"/>
            <wp:effectExtent l="0" t="0" r="0" b="0"/>
            <wp:wrapTopAndBottom/>
            <wp:docPr id="361" name="image217.jpeg"/>
            <wp:cNvGraphicFramePr>
              <a:graphicFrameLocks noChangeAspect="1"/>
            </wp:cNvGraphicFramePr>
            <a:graphic>
              <a:graphicData uri="http://schemas.openxmlformats.org/drawingml/2006/picture">
                <pic:pic>
                  <pic:nvPicPr>
                    <pic:cNvPr id="362" name="image217.jpeg"/>
                    <pic:cNvPicPr/>
                  </pic:nvPicPr>
                  <pic:blipFill>
                    <a:blip r:embed="rId265" cstate="print"/>
                    <a:stretch>
                      <a:fillRect/>
                    </a:stretch>
                  </pic:blipFill>
                  <pic:spPr>
                    <a:xfrm>
                      <a:off x="0" y="0"/>
                      <a:ext cx="3891218" cy="2105025"/>
                    </a:xfrm>
                    <a:prstGeom prst="rect">
                      <a:avLst/>
                    </a:prstGeom>
                  </pic:spPr>
                </pic:pic>
              </a:graphicData>
            </a:graphic>
          </wp:anchor>
        </w:drawing>
      </w:r>
    </w:p>
    <w:p>
      <w:pPr>
        <w:pStyle w:val="BodyText"/>
        <w:spacing w:before="10"/>
        <w:rPr>
          <w:sz w:val="19"/>
        </w:rPr>
      </w:pPr>
    </w:p>
    <w:p>
      <w:pPr>
        <w:pStyle w:val="Heading6"/>
        <w:ind w:right="492"/>
        <w:jc w:val="center"/>
      </w:pPr>
      <w:r>
        <w:rPr/>
        <w:t>图 6 门框侧壁宽度测量位置示意图</w:t>
      </w:r>
      <w:r>
        <w:rPr>
          <w:w w:val="99"/>
        </w:rPr>
        <w:t> </w:t>
      </w:r>
    </w:p>
    <w:p>
      <w:pPr>
        <w:pStyle w:val="BodyText"/>
        <w:spacing w:before="12"/>
        <w:rPr>
          <w:b/>
          <w:sz w:val="17"/>
        </w:rPr>
      </w:pPr>
    </w:p>
    <w:p>
      <w:pPr>
        <w:pStyle w:val="ListParagraph"/>
        <w:numPr>
          <w:ilvl w:val="1"/>
          <w:numId w:val="438"/>
        </w:numPr>
        <w:tabs>
          <w:tab w:pos="1159" w:val="left" w:leader="none"/>
        </w:tabs>
        <w:spacing w:line="240" w:lineRule="auto" w:before="0" w:after="0"/>
        <w:ind w:left="1158" w:right="0" w:hanging="319"/>
        <w:jc w:val="left"/>
        <w:rPr>
          <w:b/>
          <w:sz w:val="21"/>
        </w:rPr>
      </w:pPr>
      <w:r>
        <w:rPr>
          <w:b/>
          <w:sz w:val="21"/>
        </w:rPr>
        <w:t>形位公差</w:t>
      </w:r>
      <w:r>
        <w:rPr>
          <w:b/>
          <w:w w:val="99"/>
          <w:sz w:val="21"/>
        </w:rPr>
        <w:t> </w:t>
      </w:r>
    </w:p>
    <w:p>
      <w:pPr>
        <w:pStyle w:val="BodyText"/>
        <w:spacing w:before="2"/>
        <w:rPr>
          <w:b/>
          <w:sz w:val="18"/>
        </w:rPr>
      </w:pPr>
    </w:p>
    <w:p>
      <w:pPr>
        <w:pStyle w:val="ListParagraph"/>
        <w:numPr>
          <w:ilvl w:val="2"/>
          <w:numId w:val="438"/>
        </w:numPr>
        <w:tabs>
          <w:tab w:pos="1370" w:val="left" w:leader="none"/>
        </w:tabs>
        <w:spacing w:line="240" w:lineRule="auto" w:before="0" w:after="0"/>
        <w:ind w:left="1369" w:right="0" w:hanging="530"/>
        <w:jc w:val="left"/>
        <w:rPr>
          <w:b/>
          <w:sz w:val="21"/>
        </w:rPr>
      </w:pPr>
      <w:r>
        <w:rPr>
          <w:spacing w:val="-3"/>
          <w:position w:val="1"/>
          <w:sz w:val="21"/>
        </w:rPr>
        <w:t>门扇两对角线长度差</w:t>
      </w:r>
      <w:r>
        <w:rPr>
          <w:position w:val="1"/>
          <w:sz w:val="21"/>
        </w:rPr>
        <w:t>|L</w:t>
      </w:r>
      <w:r>
        <w:rPr>
          <w:sz w:val="11"/>
        </w:rPr>
        <w:t>1</w:t>
      </w:r>
      <w:r>
        <w:rPr>
          <w:position w:val="1"/>
          <w:sz w:val="21"/>
        </w:rPr>
        <w:t>-L</w:t>
      </w:r>
      <w:r>
        <w:rPr>
          <w:sz w:val="11"/>
        </w:rPr>
        <w:t>2</w:t>
      </w:r>
      <w:r>
        <w:rPr>
          <w:position w:val="1"/>
          <w:sz w:val="21"/>
        </w:rPr>
        <w:t>|（</w:t>
      </w:r>
      <w:r>
        <w:rPr>
          <w:spacing w:val="-19"/>
          <w:position w:val="1"/>
          <w:sz w:val="21"/>
        </w:rPr>
        <w:t>见图 </w:t>
      </w:r>
      <w:r>
        <w:rPr>
          <w:position w:val="1"/>
          <w:sz w:val="21"/>
        </w:rPr>
        <w:t>7）</w:t>
      </w:r>
      <w:r>
        <w:rPr>
          <w:b/>
          <w:w w:val="99"/>
          <w:position w:val="1"/>
          <w:sz w:val="21"/>
        </w:rPr>
        <w:t> </w:t>
      </w:r>
    </w:p>
    <w:p>
      <w:pPr>
        <w:pStyle w:val="BodyText"/>
        <w:spacing w:before="12"/>
        <w:rPr>
          <w:b/>
          <w:sz w:val="17"/>
        </w:rPr>
      </w:pPr>
    </w:p>
    <w:p>
      <w:pPr>
        <w:pStyle w:val="BodyText"/>
        <w:ind w:left="838"/>
      </w:pPr>
      <w:r>
        <w:rPr>
          <w:w w:val="100"/>
        </w:rPr>
        <w:t> </w:t>
      </w:r>
      <w:r>
        <w:rPr/>
        <w:t>采用钢卷尺测量。 </w:t>
      </w:r>
    </w:p>
    <w:p>
      <w:pPr>
        <w:pStyle w:val="BodyText"/>
        <w:rPr>
          <w:sz w:val="18"/>
        </w:rPr>
      </w:pPr>
    </w:p>
    <w:p>
      <w:pPr>
        <w:pStyle w:val="BodyText"/>
        <w:ind w:right="495"/>
        <w:jc w:val="center"/>
      </w:pPr>
      <w:r>
        <w:rPr>
          <w:w w:val="100"/>
        </w:rPr>
        <w:t> </w:t>
      </w:r>
    </w:p>
    <w:p>
      <w:pPr>
        <w:spacing w:after="0"/>
        <w:jc w:val="center"/>
        <w:sectPr>
          <w:footerReference w:type="default" r:id="rId263"/>
          <w:pgSz w:w="11910" w:h="16850"/>
          <w:pgMar w:footer="1159" w:header="0" w:top="1260" w:bottom="1340" w:left="1260" w:right="0"/>
          <w:pgNumType w:start="1160"/>
        </w:sectPr>
      </w:pPr>
    </w:p>
    <w:p>
      <w:pPr>
        <w:pStyle w:val="BodyText"/>
        <w:ind w:left="2383"/>
        <w:rPr>
          <w:sz w:val="20"/>
        </w:rPr>
      </w:pPr>
      <w:r>
        <w:rPr>
          <w:sz w:val="20"/>
        </w:rPr>
        <w:drawing>
          <wp:inline distT="0" distB="0" distL="0" distR="0">
            <wp:extent cx="3425977" cy="1981200"/>
            <wp:effectExtent l="0" t="0" r="0" b="0"/>
            <wp:docPr id="363" name="image218.jpeg"/>
            <wp:cNvGraphicFramePr>
              <a:graphicFrameLocks noChangeAspect="1"/>
            </wp:cNvGraphicFramePr>
            <a:graphic>
              <a:graphicData uri="http://schemas.openxmlformats.org/drawingml/2006/picture">
                <pic:pic>
                  <pic:nvPicPr>
                    <pic:cNvPr id="364" name="image218.jpeg"/>
                    <pic:cNvPicPr/>
                  </pic:nvPicPr>
                  <pic:blipFill>
                    <a:blip r:embed="rId266" cstate="print"/>
                    <a:stretch>
                      <a:fillRect/>
                    </a:stretch>
                  </pic:blipFill>
                  <pic:spPr>
                    <a:xfrm>
                      <a:off x="0" y="0"/>
                      <a:ext cx="3425977" cy="198120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2"/>
        <w:rPr>
          <w:sz w:val="17"/>
        </w:rPr>
      </w:pPr>
    </w:p>
    <w:p>
      <w:pPr>
        <w:pStyle w:val="Heading6"/>
        <w:ind w:left="3205"/>
        <w:rPr>
          <w:b w:val="0"/>
        </w:rPr>
      </w:pPr>
      <w:r>
        <w:rPr/>
        <w:t>图 7 门扇对角线长度测量位置示意图</w:t>
      </w:r>
      <w:r>
        <w:rPr>
          <w:b w:val="0"/>
          <w:w w:val="100"/>
        </w:rPr>
        <w:t> </w:t>
      </w:r>
      <w:r>
        <w:rPr>
          <w:b w:val="0"/>
        </w:rPr>
        <w:t> </w:t>
      </w:r>
      <w:r>
        <w:rPr>
          <w:b w:val="0"/>
          <w:w w:val="100"/>
        </w:rPr>
        <w:t> </w:t>
      </w:r>
    </w:p>
    <w:p>
      <w:pPr>
        <w:pStyle w:val="BodyText"/>
        <w:spacing w:before="5"/>
        <w:rPr>
          <w:sz w:val="12"/>
        </w:rPr>
      </w:pPr>
    </w:p>
    <w:p>
      <w:pPr>
        <w:pStyle w:val="ListParagraph"/>
        <w:numPr>
          <w:ilvl w:val="2"/>
          <w:numId w:val="438"/>
        </w:numPr>
        <w:tabs>
          <w:tab w:pos="1371" w:val="left" w:leader="none"/>
        </w:tabs>
        <w:spacing w:line="240" w:lineRule="auto" w:before="72" w:after="0"/>
        <w:ind w:left="1370" w:right="0" w:hanging="531"/>
        <w:jc w:val="left"/>
        <w:rPr>
          <w:b/>
          <w:sz w:val="21"/>
        </w:rPr>
      </w:pPr>
      <w:r>
        <w:rPr>
          <w:spacing w:val="7"/>
          <w:sz w:val="21"/>
        </w:rPr>
        <w:t>门扇扭曲度</w:t>
      </w:r>
      <w:r>
        <w:rPr>
          <w:spacing w:val="-3"/>
          <w:sz w:val="21"/>
        </w:rPr>
        <w:t>D</w:t>
      </w:r>
      <w:r>
        <w:rPr>
          <w:b/>
          <w:w w:val="99"/>
          <w:sz w:val="21"/>
        </w:rPr>
        <w:t> </w:t>
      </w:r>
    </w:p>
    <w:p>
      <w:pPr>
        <w:pStyle w:val="BodyText"/>
        <w:spacing w:before="12"/>
        <w:rPr>
          <w:b/>
          <w:sz w:val="17"/>
        </w:rPr>
      </w:pPr>
    </w:p>
    <w:p>
      <w:pPr>
        <w:pStyle w:val="ListParagraph"/>
        <w:numPr>
          <w:ilvl w:val="3"/>
          <w:numId w:val="438"/>
        </w:numPr>
        <w:tabs>
          <w:tab w:pos="1576" w:val="left" w:leader="none"/>
        </w:tabs>
        <w:spacing w:line="240" w:lineRule="auto" w:before="0" w:after="0"/>
        <w:ind w:left="1575" w:right="0" w:hanging="738"/>
        <w:jc w:val="left"/>
        <w:rPr>
          <w:sz w:val="21"/>
        </w:rPr>
      </w:pPr>
      <w:r>
        <w:rPr>
          <w:spacing w:val="-2"/>
          <w:sz w:val="21"/>
        </w:rPr>
        <w:t>试验设备 </w:t>
      </w:r>
    </w:p>
    <w:p>
      <w:pPr>
        <w:pStyle w:val="BodyText"/>
        <w:spacing w:before="2"/>
        <w:rPr>
          <w:sz w:val="18"/>
        </w:rPr>
      </w:pPr>
    </w:p>
    <w:p>
      <w:pPr>
        <w:pStyle w:val="BodyText"/>
        <w:spacing w:line="446" w:lineRule="auto"/>
        <w:ind w:left="838" w:right="4395"/>
      </w:pPr>
      <w:r>
        <w:rPr/>
        <w:t>平台、三个顶尖、高度尺。平台的尺寸不应小于 1m×2m。6.8.2.2 试验步骤 </w:t>
      </w:r>
    </w:p>
    <w:p>
      <w:pPr>
        <w:pStyle w:val="ListParagraph"/>
        <w:numPr>
          <w:ilvl w:val="4"/>
          <w:numId w:val="439"/>
        </w:numPr>
        <w:tabs>
          <w:tab w:pos="1788" w:val="left" w:leader="none"/>
        </w:tabs>
        <w:spacing w:line="446" w:lineRule="auto" w:before="0" w:after="0"/>
        <w:ind w:left="418" w:right="1438" w:firstLine="419"/>
        <w:jc w:val="left"/>
        <w:rPr>
          <w:sz w:val="21"/>
        </w:rPr>
      </w:pPr>
      <w:r>
        <w:rPr>
          <w:spacing w:val="-5"/>
          <w:position w:val="1"/>
          <w:sz w:val="21"/>
        </w:rPr>
        <w:t>在门扇正反两面的四个角处分别标出四个测点，如一面为 </w:t>
      </w:r>
      <w:r>
        <w:rPr>
          <w:position w:val="1"/>
          <w:sz w:val="21"/>
        </w:rPr>
        <w:t>P</w:t>
      </w:r>
      <w:r>
        <w:rPr>
          <w:sz w:val="11"/>
        </w:rPr>
        <w:t>1</w:t>
      </w:r>
      <w:r>
        <w:rPr>
          <w:position w:val="1"/>
          <w:sz w:val="21"/>
        </w:rPr>
        <w:t>、P</w:t>
      </w:r>
      <w:r>
        <w:rPr>
          <w:sz w:val="11"/>
        </w:rPr>
        <w:t>2</w:t>
      </w:r>
      <w:r>
        <w:rPr>
          <w:position w:val="1"/>
          <w:sz w:val="21"/>
        </w:rPr>
        <w:t>、P</w:t>
      </w:r>
      <w:r>
        <w:rPr>
          <w:sz w:val="11"/>
        </w:rPr>
        <w:t>3</w:t>
      </w:r>
      <w:r>
        <w:rPr>
          <w:spacing w:val="-26"/>
          <w:sz w:val="11"/>
        </w:rPr>
        <w:t> </w:t>
      </w:r>
      <w:r>
        <w:rPr>
          <w:spacing w:val="-23"/>
          <w:position w:val="1"/>
          <w:sz w:val="21"/>
        </w:rPr>
        <w:t>和 </w:t>
      </w:r>
      <w:r>
        <w:rPr>
          <w:position w:val="1"/>
          <w:sz w:val="21"/>
        </w:rPr>
        <w:t>P</w:t>
      </w:r>
      <w:r>
        <w:rPr>
          <w:sz w:val="11"/>
        </w:rPr>
        <w:t>4</w:t>
      </w:r>
      <w:r>
        <w:rPr>
          <w:spacing w:val="-26"/>
          <w:sz w:val="11"/>
        </w:rPr>
        <w:t> </w:t>
      </w:r>
      <w:r>
        <w:rPr>
          <w:spacing w:val="-2"/>
          <w:position w:val="1"/>
          <w:sz w:val="21"/>
        </w:rPr>
        <w:t>测点， </w:t>
      </w:r>
      <w:r>
        <w:rPr>
          <w:spacing w:val="3"/>
          <w:position w:val="1"/>
          <w:sz w:val="21"/>
        </w:rPr>
        <w:t>则另一面为对应的</w:t>
      </w:r>
      <w:r>
        <w:rPr>
          <w:position w:val="1"/>
          <w:sz w:val="21"/>
        </w:rPr>
        <w:t>P</w:t>
      </w:r>
      <w:r>
        <w:rPr>
          <w:sz w:val="11"/>
        </w:rPr>
        <w:t>1</w:t>
      </w:r>
      <w:r>
        <w:rPr>
          <w:position w:val="1"/>
          <w:sz w:val="21"/>
        </w:rPr>
        <w:t>′、P</w:t>
      </w:r>
      <w:r>
        <w:rPr>
          <w:sz w:val="11"/>
        </w:rPr>
        <w:t>2</w:t>
      </w:r>
      <w:r>
        <w:rPr>
          <w:position w:val="1"/>
          <w:sz w:val="21"/>
        </w:rPr>
        <w:t>′、P</w:t>
      </w:r>
      <w:r>
        <w:rPr>
          <w:sz w:val="11"/>
        </w:rPr>
        <w:t>3</w:t>
      </w:r>
      <w:r>
        <w:rPr>
          <w:spacing w:val="-17"/>
          <w:position w:val="1"/>
          <w:sz w:val="21"/>
        </w:rPr>
        <w:t>′和 </w:t>
      </w:r>
      <w:r>
        <w:rPr>
          <w:position w:val="1"/>
          <w:sz w:val="21"/>
        </w:rPr>
        <w:t>P</w:t>
      </w:r>
      <w:r>
        <w:rPr>
          <w:sz w:val="11"/>
        </w:rPr>
        <w:t>4</w:t>
      </w:r>
      <w:r>
        <w:rPr>
          <w:spacing w:val="-6"/>
          <w:position w:val="1"/>
          <w:sz w:val="21"/>
        </w:rPr>
        <w:t>′测点，每个测点距门扇横边和竖边的距离均为 </w:t>
      </w:r>
      <w:r>
        <w:rPr>
          <w:position w:val="1"/>
          <w:sz w:val="21"/>
        </w:rPr>
        <w:t>20 </w:t>
      </w:r>
    </w:p>
    <w:p>
      <w:pPr>
        <w:pStyle w:val="BodyText"/>
        <w:spacing w:line="446" w:lineRule="auto"/>
        <w:ind w:left="418" w:right="1469"/>
      </w:pPr>
      <w:r>
        <w:rPr>
          <w:position w:val="1"/>
        </w:rPr>
        <w:t>mm</w:t>
      </w:r>
      <w:r>
        <w:rPr>
          <w:spacing w:val="-3"/>
          <w:position w:val="1"/>
        </w:rPr>
        <w:t>。三个顶尖分别放在门扇的三个任意测点处</w:t>
      </w:r>
      <w:r>
        <w:rPr>
          <w:position w:val="1"/>
        </w:rPr>
        <w:t>（P</w:t>
      </w:r>
      <w:r>
        <w:rPr>
          <w:sz w:val="11"/>
        </w:rPr>
        <w:t>1</w:t>
      </w:r>
      <w:r>
        <w:rPr>
          <w:position w:val="1"/>
        </w:rPr>
        <w:t>、P</w:t>
      </w:r>
      <w:r>
        <w:rPr>
          <w:sz w:val="11"/>
        </w:rPr>
        <w:t>2 </w:t>
      </w:r>
      <w:r>
        <w:rPr>
          <w:spacing w:val="-21"/>
          <w:position w:val="1"/>
        </w:rPr>
        <w:t>和 </w:t>
      </w:r>
      <w:r>
        <w:rPr>
          <w:position w:val="1"/>
        </w:rPr>
        <w:t>P</w:t>
      </w:r>
      <w:r>
        <w:rPr>
          <w:sz w:val="11"/>
        </w:rPr>
        <w:t>3</w:t>
      </w:r>
      <w:r>
        <w:rPr>
          <w:position w:val="1"/>
        </w:rPr>
        <w:t>）</w:t>
      </w:r>
      <w:r>
        <w:rPr>
          <w:spacing w:val="-8"/>
          <w:position w:val="1"/>
        </w:rPr>
        <w:t>将门扇顶起，如图 </w:t>
      </w:r>
      <w:r>
        <w:rPr>
          <w:position w:val="1"/>
        </w:rPr>
        <w:t>8</w:t>
      </w:r>
      <w:r>
        <w:rPr>
          <w:spacing w:val="-9"/>
          <w:position w:val="1"/>
        </w:rPr>
        <w:t> 所示。用高度</w:t>
      </w:r>
      <w:r>
        <w:rPr>
          <w:spacing w:val="2"/>
          <w:position w:val="1"/>
        </w:rPr>
        <w:t>尺测量第四个测点</w:t>
      </w:r>
      <w:r>
        <w:rPr>
          <w:position w:val="1"/>
        </w:rPr>
        <w:t>P</w:t>
      </w:r>
      <w:r>
        <w:rPr>
          <w:sz w:val="11"/>
        </w:rPr>
        <w:t>4 </w:t>
      </w:r>
      <w:r>
        <w:rPr>
          <w:spacing w:val="-10"/>
          <w:position w:val="1"/>
        </w:rPr>
        <w:t>与平台的距离 </w:t>
      </w:r>
      <w:r>
        <w:rPr>
          <w:position w:val="1"/>
        </w:rPr>
        <w:t>h</w:t>
      </w:r>
      <w:r>
        <w:rPr>
          <w:sz w:val="11"/>
        </w:rPr>
        <w:t>1</w:t>
      </w:r>
      <w:r>
        <w:rPr>
          <w:spacing w:val="-3"/>
          <w:position w:val="1"/>
        </w:rPr>
        <w:t>。</w:t>
      </w:r>
      <w:r>
        <w:rPr>
          <w:position w:val="1"/>
        </w:rPr>
        <w:t> </w:t>
      </w:r>
    </w:p>
    <w:p>
      <w:pPr>
        <w:pStyle w:val="ListParagraph"/>
        <w:numPr>
          <w:ilvl w:val="4"/>
          <w:numId w:val="439"/>
        </w:numPr>
        <w:tabs>
          <w:tab w:pos="1788" w:val="left" w:leader="none"/>
        </w:tabs>
        <w:spacing w:line="240" w:lineRule="auto" w:before="0" w:after="0"/>
        <w:ind w:left="1787" w:right="0" w:hanging="950"/>
        <w:jc w:val="left"/>
        <w:rPr>
          <w:sz w:val="21"/>
        </w:rPr>
      </w:pPr>
      <w:r>
        <w:rPr>
          <w:spacing w:val="-12"/>
          <w:position w:val="1"/>
          <w:sz w:val="21"/>
        </w:rPr>
        <w:t>将门扇反转 </w:t>
      </w:r>
      <w:r>
        <w:rPr>
          <w:position w:val="1"/>
          <w:sz w:val="21"/>
        </w:rPr>
        <w:t>180°</w:t>
      </w:r>
      <w:r>
        <w:rPr>
          <w:spacing w:val="-18"/>
          <w:position w:val="1"/>
          <w:sz w:val="21"/>
        </w:rPr>
        <w:t>，按 </w:t>
      </w:r>
      <w:r>
        <w:rPr>
          <w:position w:val="1"/>
          <w:sz w:val="21"/>
        </w:rPr>
        <w:t>6.8.2.2.1</w:t>
      </w:r>
      <w:r>
        <w:rPr>
          <w:spacing w:val="-12"/>
          <w:position w:val="1"/>
          <w:sz w:val="21"/>
        </w:rPr>
        <w:t> 的位置和方法测定平台至 </w:t>
      </w:r>
      <w:r>
        <w:rPr>
          <w:position w:val="1"/>
          <w:sz w:val="21"/>
        </w:rPr>
        <w:t>P</w:t>
      </w:r>
      <w:r>
        <w:rPr>
          <w:sz w:val="11"/>
        </w:rPr>
        <w:t>4</w:t>
      </w:r>
      <w:r>
        <w:rPr>
          <w:spacing w:val="-12"/>
          <w:position w:val="1"/>
          <w:sz w:val="21"/>
        </w:rPr>
        <w:t>′的距离 </w:t>
      </w:r>
      <w:r>
        <w:rPr>
          <w:position w:val="1"/>
          <w:sz w:val="21"/>
        </w:rPr>
        <w:t>h</w:t>
      </w:r>
      <w:r>
        <w:rPr>
          <w:sz w:val="11"/>
        </w:rPr>
        <w:t>2</w:t>
      </w:r>
      <w:r>
        <w:rPr>
          <w:spacing w:val="-3"/>
          <w:position w:val="1"/>
          <w:sz w:val="21"/>
        </w:rPr>
        <w:t>。</w:t>
      </w:r>
      <w:r>
        <w:rPr>
          <w:position w:val="1"/>
          <w:sz w:val="21"/>
        </w:rPr>
        <w:t> </w:t>
      </w:r>
    </w:p>
    <w:p>
      <w:pPr>
        <w:pStyle w:val="BodyText"/>
        <w:spacing w:before="10"/>
        <w:rPr>
          <w:sz w:val="17"/>
        </w:rPr>
      </w:pPr>
    </w:p>
    <w:p>
      <w:pPr>
        <w:pStyle w:val="ListParagraph"/>
        <w:numPr>
          <w:ilvl w:val="4"/>
          <w:numId w:val="439"/>
        </w:numPr>
        <w:tabs>
          <w:tab w:pos="1788" w:val="left" w:leader="none"/>
        </w:tabs>
        <w:spacing w:line="240" w:lineRule="auto" w:before="0" w:after="0"/>
        <w:ind w:left="1787" w:right="0" w:hanging="950"/>
        <w:jc w:val="left"/>
        <w:rPr>
          <w:sz w:val="21"/>
        </w:rPr>
      </w:pPr>
      <w:r>
        <w:rPr>
          <w:spacing w:val="-12"/>
          <w:sz w:val="21"/>
        </w:rPr>
        <w:t>门扇扭曲度 </w:t>
      </w:r>
      <w:r>
        <w:rPr>
          <w:sz w:val="21"/>
        </w:rPr>
        <w:t>D</w:t>
      </w:r>
      <w:r>
        <w:rPr>
          <w:spacing w:val="-19"/>
          <w:sz w:val="21"/>
        </w:rPr>
        <w:t> 按式</w:t>
      </w:r>
      <w:r>
        <w:rPr>
          <w:sz w:val="21"/>
        </w:rPr>
        <w:t>（1）</w:t>
      </w:r>
      <w:r>
        <w:rPr>
          <w:spacing w:val="-3"/>
          <w:sz w:val="21"/>
        </w:rPr>
        <w:t>计算：</w:t>
      </w:r>
      <w:r>
        <w:rPr>
          <w:sz w:val="21"/>
        </w:rPr>
        <w:t> </w:t>
      </w:r>
    </w:p>
    <w:p>
      <w:pPr>
        <w:pStyle w:val="BodyText"/>
        <w:rPr>
          <w:sz w:val="18"/>
        </w:rPr>
      </w:pPr>
    </w:p>
    <w:p>
      <w:pPr>
        <w:pStyle w:val="BodyText"/>
        <w:tabs>
          <w:tab w:pos="8231" w:val="left" w:leader="middleDot"/>
        </w:tabs>
        <w:ind w:left="1286"/>
      </w:pPr>
      <w:r>
        <w:rPr>
          <w:position w:val="1"/>
        </w:rPr>
        <w:t>D = | h</w:t>
      </w:r>
      <w:r>
        <w:rPr>
          <w:sz w:val="11"/>
        </w:rPr>
        <w:t>2</w:t>
      </w:r>
      <w:r>
        <w:rPr>
          <w:position w:val="1"/>
        </w:rPr>
        <w:t>–h</w:t>
      </w:r>
      <w:r>
        <w:rPr>
          <w:sz w:val="11"/>
        </w:rPr>
        <w:t>1  </w:t>
      </w:r>
      <w:r>
        <w:rPr>
          <w:position w:val="1"/>
        </w:rPr>
        <w:t>|</w:t>
      </w:r>
      <w:r>
        <w:rPr>
          <w:spacing w:val="-2"/>
          <w:position w:val="1"/>
        </w:rPr>
        <w:t> </w:t>
      </w:r>
      <w:r>
        <w:rPr>
          <w:position w:val="1"/>
        </w:rPr>
        <w:t>/</w:t>
      </w:r>
      <w:r>
        <w:rPr>
          <w:spacing w:val="1"/>
          <w:position w:val="1"/>
        </w:rPr>
        <w:t> </w:t>
      </w:r>
      <w:r>
        <w:rPr>
          <w:position w:val="1"/>
        </w:rPr>
        <w:t>2</w:t>
        <w:tab/>
        <w:t>（1） </w:t>
      </w:r>
    </w:p>
    <w:p>
      <w:pPr>
        <w:pStyle w:val="BodyText"/>
        <w:spacing w:before="2"/>
        <w:rPr>
          <w:sz w:val="18"/>
        </w:rPr>
      </w:pPr>
    </w:p>
    <w:p>
      <w:pPr>
        <w:pStyle w:val="BodyText"/>
        <w:ind w:left="838"/>
      </w:pPr>
      <w:r>
        <w:rPr/>
        <w:t>式中： </w:t>
      </w:r>
    </w:p>
    <w:p>
      <w:pPr>
        <w:pStyle w:val="BodyText"/>
        <w:spacing w:before="12"/>
        <w:rPr>
          <w:sz w:val="17"/>
        </w:rPr>
      </w:pPr>
    </w:p>
    <w:p>
      <w:pPr>
        <w:pStyle w:val="BodyText"/>
        <w:ind w:left="838"/>
      </w:pPr>
      <w:r>
        <w:rPr/>
        <w:t>D——门扇扭曲度，单位为毫米（mm）； </w:t>
      </w:r>
    </w:p>
    <w:p>
      <w:pPr>
        <w:pStyle w:val="BodyText"/>
        <w:spacing w:before="12"/>
        <w:rPr>
          <w:sz w:val="17"/>
        </w:rPr>
      </w:pPr>
    </w:p>
    <w:p>
      <w:pPr>
        <w:pStyle w:val="BodyText"/>
        <w:spacing w:line="446" w:lineRule="auto"/>
        <w:ind w:left="838" w:right="4914"/>
      </w:pPr>
      <w:r>
        <w:rPr>
          <w:position w:val="1"/>
        </w:rPr>
        <w:t>h</w:t>
      </w:r>
      <w:r>
        <w:rPr>
          <w:sz w:val="11"/>
        </w:rPr>
        <w:t>1</w:t>
      </w:r>
      <w:r>
        <w:rPr>
          <w:position w:val="1"/>
        </w:rPr>
        <w:t>——平台至测点 P</w:t>
      </w:r>
      <w:r>
        <w:rPr>
          <w:sz w:val="11"/>
        </w:rPr>
        <w:t>4 </w:t>
      </w:r>
      <w:r>
        <w:rPr>
          <w:position w:val="1"/>
        </w:rPr>
        <w:t>的距离，单位为毫米（mm）； h</w:t>
      </w:r>
      <w:r>
        <w:rPr>
          <w:sz w:val="11"/>
        </w:rPr>
        <w:t>2</w:t>
      </w:r>
      <w:r>
        <w:rPr>
          <w:position w:val="1"/>
        </w:rPr>
        <w:t>——平台至测点 P</w:t>
      </w:r>
      <w:r>
        <w:rPr>
          <w:sz w:val="11"/>
        </w:rPr>
        <w:t>4</w:t>
      </w:r>
      <w:r>
        <w:rPr>
          <w:position w:val="1"/>
        </w:rPr>
        <w:t>′的距离，单位为毫米（mm）。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pStyle w:val="BodyText"/>
        <w:ind w:right="495"/>
        <w:jc w:val="center"/>
      </w:pPr>
      <w:r>
        <w:rPr>
          <w:w w:val="100"/>
        </w:rPr>
        <w:t> </w:t>
      </w:r>
    </w:p>
    <w:p>
      <w:pPr>
        <w:spacing w:after="0"/>
        <w:jc w:val="center"/>
        <w:sectPr>
          <w:pgSz w:w="11910" w:h="16850"/>
          <w:pgMar w:header="0" w:footer="1159" w:top="1260" w:bottom="1420" w:left="1260" w:right="0"/>
        </w:sectPr>
      </w:pPr>
    </w:p>
    <w:p>
      <w:pPr>
        <w:pStyle w:val="BodyText"/>
        <w:rPr>
          <w:sz w:val="20"/>
        </w:rPr>
      </w:pPr>
    </w:p>
    <w:p>
      <w:pPr>
        <w:pStyle w:val="BodyText"/>
        <w:spacing w:after="1"/>
        <w:rPr>
          <w:sz w:val="26"/>
        </w:rPr>
      </w:pPr>
    </w:p>
    <w:p>
      <w:pPr>
        <w:pStyle w:val="BodyText"/>
        <w:ind w:left="2082"/>
        <w:rPr>
          <w:sz w:val="20"/>
        </w:rPr>
      </w:pPr>
      <w:r>
        <w:rPr>
          <w:sz w:val="20"/>
        </w:rPr>
        <w:drawing>
          <wp:inline distT="0" distB="0" distL="0" distR="0">
            <wp:extent cx="3808622" cy="1828800"/>
            <wp:effectExtent l="0" t="0" r="0" b="0"/>
            <wp:docPr id="365" name="image219.jpeg"/>
            <wp:cNvGraphicFramePr>
              <a:graphicFrameLocks noChangeAspect="1"/>
            </wp:cNvGraphicFramePr>
            <a:graphic>
              <a:graphicData uri="http://schemas.openxmlformats.org/drawingml/2006/picture">
                <pic:pic>
                  <pic:nvPicPr>
                    <pic:cNvPr id="366" name="image219.jpeg"/>
                    <pic:cNvPicPr/>
                  </pic:nvPicPr>
                  <pic:blipFill>
                    <a:blip r:embed="rId267" cstate="print"/>
                    <a:stretch>
                      <a:fillRect/>
                    </a:stretch>
                  </pic:blipFill>
                  <pic:spPr>
                    <a:xfrm>
                      <a:off x="0" y="0"/>
                      <a:ext cx="3808622" cy="1828800"/>
                    </a:xfrm>
                    <a:prstGeom prst="rect">
                      <a:avLst/>
                    </a:prstGeom>
                  </pic:spPr>
                </pic:pic>
              </a:graphicData>
            </a:graphic>
          </wp:inline>
        </w:drawing>
      </w:r>
      <w:r>
        <w:rPr>
          <w:sz w:val="20"/>
        </w:rPr>
      </w:r>
    </w:p>
    <w:p>
      <w:pPr>
        <w:pStyle w:val="BodyText"/>
        <w:spacing w:before="4"/>
        <w:rPr>
          <w:sz w:val="16"/>
        </w:rPr>
      </w:pPr>
    </w:p>
    <w:p>
      <w:pPr>
        <w:spacing w:line="446" w:lineRule="auto" w:before="71"/>
        <w:ind w:left="840" w:right="3713" w:firstLine="2892"/>
        <w:jc w:val="left"/>
        <w:rPr>
          <w:b/>
          <w:sz w:val="21"/>
        </w:rPr>
      </w:pPr>
      <w:r>
        <w:rPr>
          <w:b/>
          <w:sz w:val="21"/>
        </w:rPr>
        <w:t>图 8 门扇扭曲度测量示意图</w:t>
      </w:r>
      <w:r>
        <w:rPr>
          <w:b/>
          <w:position w:val="1"/>
          <w:sz w:val="21"/>
        </w:rPr>
        <w:t>6.8.3 </w:t>
      </w:r>
      <w:r>
        <w:rPr>
          <w:position w:val="1"/>
          <w:sz w:val="21"/>
        </w:rPr>
        <w:t>门扇宽度（高度）方向弯曲度 B</w:t>
      </w:r>
      <w:r>
        <w:rPr>
          <w:sz w:val="11"/>
        </w:rPr>
        <w:t>1</w:t>
      </w:r>
      <w:r>
        <w:rPr>
          <w:position w:val="1"/>
          <w:sz w:val="21"/>
        </w:rPr>
        <w:t>（B</w:t>
      </w:r>
      <w:r>
        <w:rPr>
          <w:sz w:val="11"/>
        </w:rPr>
        <w:t>2</w:t>
      </w:r>
      <w:r>
        <w:rPr>
          <w:position w:val="1"/>
          <w:sz w:val="21"/>
        </w:rPr>
        <w:t>）（见图 11、图 12）</w:t>
      </w:r>
      <w:r>
        <w:rPr>
          <w:b/>
          <w:w w:val="99"/>
          <w:position w:val="1"/>
          <w:sz w:val="21"/>
        </w:rPr>
        <w:t> </w:t>
      </w:r>
    </w:p>
    <w:p>
      <w:pPr>
        <w:pStyle w:val="BodyText"/>
        <w:ind w:left="838"/>
      </w:pPr>
      <w:r>
        <w:rPr/>
        <w:t>6.8.3.1</w:t>
      </w:r>
      <w:r>
        <w:rPr>
          <w:spacing w:val="-1"/>
        </w:rPr>
        <w:t>  试验设备 </w:t>
      </w:r>
    </w:p>
    <w:p>
      <w:pPr>
        <w:pStyle w:val="BodyText"/>
        <w:rPr>
          <w:sz w:val="18"/>
        </w:rPr>
      </w:pPr>
    </w:p>
    <w:p>
      <w:pPr>
        <w:pStyle w:val="BodyText"/>
        <w:spacing w:line="446" w:lineRule="auto"/>
        <w:ind w:left="838" w:right="2295"/>
      </w:pPr>
      <w:r>
        <w:rPr>
          <w:spacing w:val="-5"/>
        </w:rPr>
        <w:t>平台、四个顶尖、游标卡尺、尼龙线、吊线锥。平台的尺寸应不小于 </w:t>
      </w:r>
      <w:r>
        <w:rPr>
          <w:spacing w:val="-3"/>
        </w:rPr>
        <w:t>1</w:t>
      </w:r>
      <w:r>
        <w:rPr>
          <w:spacing w:val="11"/>
        </w:rPr>
        <w:t> </w:t>
      </w:r>
      <w:r>
        <w:rPr>
          <w:spacing w:val="-2"/>
        </w:rPr>
        <w:t>m×2</w:t>
      </w:r>
      <w:r>
        <w:rPr>
          <w:spacing w:val="12"/>
        </w:rPr>
        <w:t> </w:t>
      </w:r>
      <w:r>
        <w:rPr/>
        <w:t>m</w:t>
      </w:r>
      <w:r>
        <w:rPr>
          <w:spacing w:val="-3"/>
        </w:rPr>
        <w:t>。</w:t>
      </w:r>
      <w:r>
        <w:rPr/>
        <w:t>6.8.3.2</w:t>
      </w:r>
      <w:r>
        <w:rPr>
          <w:spacing w:val="19"/>
        </w:rPr>
        <w:t> 试验步骤 </w:t>
      </w:r>
    </w:p>
    <w:p>
      <w:pPr>
        <w:pStyle w:val="ListParagraph"/>
        <w:numPr>
          <w:ilvl w:val="4"/>
          <w:numId w:val="440"/>
        </w:numPr>
        <w:tabs>
          <w:tab w:pos="1788" w:val="left" w:leader="none"/>
        </w:tabs>
        <w:spacing w:line="446" w:lineRule="auto" w:before="0" w:after="0"/>
        <w:ind w:left="418" w:right="1450" w:firstLine="419"/>
        <w:jc w:val="left"/>
        <w:rPr>
          <w:sz w:val="21"/>
        </w:rPr>
      </w:pPr>
      <w:r>
        <w:rPr>
          <w:spacing w:val="-5"/>
          <w:sz w:val="21"/>
        </w:rPr>
        <w:t>将门扇平放在平台的四个顶尖上，顶尖距门扇横边和竖边的距离均为 </w:t>
      </w:r>
      <w:r>
        <w:rPr>
          <w:sz w:val="21"/>
        </w:rPr>
        <w:t>20</w:t>
      </w:r>
      <w:r>
        <w:rPr>
          <w:spacing w:val="13"/>
          <w:sz w:val="21"/>
        </w:rPr>
        <w:t> </w:t>
      </w:r>
      <w:r>
        <w:rPr>
          <w:sz w:val="21"/>
        </w:rPr>
        <w:t>mm，将</w:t>
      </w:r>
      <w:r>
        <w:rPr>
          <w:spacing w:val="-3"/>
          <w:sz w:val="21"/>
        </w:rPr>
        <w:t>两端带有吊线锥的细尼龙线横跨于门扇宽度（</w:t>
      </w:r>
      <w:r>
        <w:rPr>
          <w:spacing w:val="-2"/>
          <w:sz w:val="21"/>
        </w:rPr>
        <w:t>高度</w:t>
      </w:r>
      <w:r>
        <w:rPr>
          <w:sz w:val="21"/>
        </w:rPr>
        <w:t>）</w:t>
      </w:r>
      <w:r>
        <w:rPr>
          <w:spacing w:val="-12"/>
          <w:sz w:val="21"/>
        </w:rPr>
        <w:t>上，如图 </w:t>
      </w:r>
      <w:r>
        <w:rPr>
          <w:sz w:val="21"/>
        </w:rPr>
        <w:t>9</w:t>
      </w:r>
      <w:r>
        <w:rPr>
          <w:spacing w:val="-8"/>
          <w:sz w:val="21"/>
        </w:rPr>
        <w:t> 所示。用游标卡尺的深度尺在</w:t>
      </w:r>
      <w:r>
        <w:rPr>
          <w:spacing w:val="-6"/>
          <w:sz w:val="21"/>
        </w:rPr>
        <w:t>规定测量位置量出高度值，即为该规定测量点的弯曲度值。测量位置见图 </w:t>
      </w:r>
      <w:r>
        <w:rPr>
          <w:sz w:val="21"/>
        </w:rPr>
        <w:t>10</w:t>
      </w:r>
      <w:r>
        <w:rPr>
          <w:spacing w:val="-15"/>
          <w:sz w:val="21"/>
        </w:rPr>
        <w:t> 所示的 </w:t>
      </w:r>
      <w:r>
        <w:rPr>
          <w:sz w:val="21"/>
        </w:rPr>
        <w:t>E-E（F- F）、E′-E′（F′-F′）</w:t>
      </w:r>
      <w:r>
        <w:rPr>
          <w:spacing w:val="-27"/>
          <w:sz w:val="21"/>
        </w:rPr>
        <w:t>和 </w:t>
      </w:r>
      <w:r>
        <w:rPr>
          <w:sz w:val="21"/>
        </w:rPr>
        <w:t>E″-E″（F″-F″）</w:t>
      </w:r>
      <w:r>
        <w:rPr>
          <w:spacing w:val="-3"/>
          <w:sz w:val="21"/>
        </w:rPr>
        <w:t>的中点。</w:t>
      </w:r>
      <w:r>
        <w:rPr>
          <w:sz w:val="21"/>
        </w:rPr>
        <w:t> </w:t>
      </w:r>
    </w:p>
    <w:p>
      <w:pPr>
        <w:pStyle w:val="ListParagraph"/>
        <w:numPr>
          <w:ilvl w:val="4"/>
          <w:numId w:val="440"/>
        </w:numPr>
        <w:tabs>
          <w:tab w:pos="1788" w:val="left" w:leader="none"/>
        </w:tabs>
        <w:spacing w:line="266" w:lineRule="exact" w:before="0" w:after="0"/>
        <w:ind w:left="1787" w:right="0" w:hanging="950"/>
        <w:jc w:val="left"/>
        <w:rPr>
          <w:sz w:val="21"/>
        </w:rPr>
      </w:pPr>
      <w:r>
        <w:rPr>
          <w:spacing w:val="-13"/>
          <w:sz w:val="21"/>
        </w:rPr>
        <w:t>门扇反转 </w:t>
      </w:r>
      <w:r>
        <w:rPr>
          <w:sz w:val="21"/>
        </w:rPr>
        <w:t>180</w:t>
      </w:r>
      <w:r>
        <w:rPr>
          <w:spacing w:val="-3"/>
          <w:sz w:val="21"/>
        </w:rPr>
        <w:t>°，测定门扇另一面的弯曲度值，测量位置和测量方法同</w:t>
      </w:r>
    </w:p>
    <w:p>
      <w:pPr>
        <w:pStyle w:val="BodyText"/>
        <w:spacing w:before="2"/>
        <w:rPr>
          <w:sz w:val="18"/>
        </w:rPr>
      </w:pPr>
    </w:p>
    <w:p>
      <w:pPr>
        <w:pStyle w:val="BodyText"/>
        <w:ind w:left="418"/>
      </w:pPr>
      <w:r>
        <w:rPr/>
        <w:t>6.8.3.2.1。 </w:t>
      </w:r>
    </w:p>
    <w:p>
      <w:pPr>
        <w:pStyle w:val="BodyText"/>
        <w:rPr>
          <w:sz w:val="18"/>
        </w:rPr>
      </w:pPr>
    </w:p>
    <w:p>
      <w:pPr>
        <w:pStyle w:val="ListParagraph"/>
        <w:numPr>
          <w:ilvl w:val="4"/>
          <w:numId w:val="441"/>
        </w:numPr>
        <w:tabs>
          <w:tab w:pos="1788" w:val="left" w:leader="none"/>
        </w:tabs>
        <w:spacing w:line="240" w:lineRule="auto" w:before="0" w:after="0"/>
        <w:ind w:left="1787" w:right="0" w:hanging="950"/>
        <w:jc w:val="left"/>
        <w:rPr>
          <w:sz w:val="21"/>
        </w:rPr>
      </w:pPr>
      <w:r>
        <w:rPr>
          <w:spacing w:val="-3"/>
          <w:position w:val="1"/>
          <w:sz w:val="21"/>
        </w:rPr>
        <w:t>门扇宽度</w:t>
      </w:r>
      <w:r>
        <w:rPr>
          <w:position w:val="1"/>
          <w:sz w:val="21"/>
        </w:rPr>
        <w:t>（</w:t>
      </w:r>
      <w:r>
        <w:rPr>
          <w:spacing w:val="-2"/>
          <w:position w:val="1"/>
          <w:sz w:val="21"/>
        </w:rPr>
        <w:t>高度</w:t>
      </w:r>
      <w:r>
        <w:rPr>
          <w:position w:val="1"/>
          <w:sz w:val="21"/>
        </w:rPr>
        <w:t>）</w:t>
      </w:r>
      <w:r>
        <w:rPr>
          <w:spacing w:val="-7"/>
          <w:position w:val="1"/>
          <w:sz w:val="21"/>
        </w:rPr>
        <w:t>方向弯曲度值，取测量结果的极值 </w:t>
      </w:r>
      <w:r>
        <w:rPr>
          <w:position w:val="1"/>
          <w:sz w:val="21"/>
        </w:rPr>
        <w:t>h</w:t>
      </w:r>
      <w:r>
        <w:rPr>
          <w:sz w:val="11"/>
        </w:rPr>
        <w:t>3</w:t>
      </w:r>
      <w:r>
        <w:rPr>
          <w:position w:val="1"/>
          <w:sz w:val="21"/>
        </w:rPr>
        <w:t>（h</w:t>
      </w:r>
      <w:r>
        <w:rPr>
          <w:sz w:val="11"/>
        </w:rPr>
        <w:t>4</w:t>
      </w:r>
      <w:r>
        <w:rPr>
          <w:position w:val="1"/>
          <w:sz w:val="21"/>
        </w:rPr>
        <w:t>）。 </w:t>
      </w:r>
    </w:p>
    <w:p>
      <w:pPr>
        <w:pStyle w:val="BodyText"/>
        <w:rPr>
          <w:sz w:val="18"/>
        </w:rPr>
      </w:pPr>
    </w:p>
    <w:p>
      <w:pPr>
        <w:pStyle w:val="ListParagraph"/>
        <w:numPr>
          <w:ilvl w:val="4"/>
          <w:numId w:val="441"/>
        </w:numPr>
        <w:tabs>
          <w:tab w:pos="1788" w:val="left" w:leader="none"/>
        </w:tabs>
        <w:spacing w:line="240" w:lineRule="auto" w:before="0" w:after="0"/>
        <w:ind w:left="1787" w:right="0" w:hanging="950"/>
        <w:jc w:val="left"/>
        <w:rPr>
          <w:sz w:val="21"/>
        </w:rPr>
      </w:pPr>
      <w:r>
        <w:rPr>
          <w:spacing w:val="-3"/>
          <w:sz w:val="21"/>
        </w:rPr>
        <w:t>门扇宽度</w:t>
      </w:r>
      <w:r>
        <w:rPr>
          <w:sz w:val="21"/>
        </w:rPr>
        <w:t>（</w:t>
      </w:r>
      <w:r>
        <w:rPr>
          <w:spacing w:val="-2"/>
          <w:sz w:val="21"/>
        </w:rPr>
        <w:t>高度</w:t>
      </w:r>
      <w:r>
        <w:rPr>
          <w:sz w:val="21"/>
        </w:rPr>
        <w:t>）</w:t>
      </w:r>
      <w:r>
        <w:rPr>
          <w:spacing w:val="-3"/>
          <w:sz w:val="21"/>
        </w:rPr>
        <w:t>方向弯曲度按式</w:t>
      </w:r>
      <w:r>
        <w:rPr>
          <w:sz w:val="21"/>
        </w:rPr>
        <w:t>（2）</w:t>
      </w:r>
      <w:r>
        <w:rPr>
          <w:spacing w:val="-1"/>
          <w:sz w:val="21"/>
        </w:rPr>
        <w:t>计算：</w:t>
      </w:r>
      <w:r>
        <w:rPr>
          <w:sz w:val="21"/>
        </w:rPr>
        <w:t> </w:t>
      </w:r>
    </w:p>
    <w:p>
      <w:pPr>
        <w:pStyle w:val="BodyText"/>
        <w:spacing w:before="1"/>
        <w:rPr>
          <w:sz w:val="18"/>
        </w:rPr>
      </w:pPr>
    </w:p>
    <w:p>
      <w:pPr>
        <w:pStyle w:val="BodyText"/>
        <w:tabs>
          <w:tab w:pos="7993" w:val="left" w:leader="middleDot"/>
        </w:tabs>
        <w:ind w:left="838"/>
      </w:pPr>
      <w:r>
        <w:rPr>
          <w:position w:val="1"/>
        </w:rPr>
        <w:t>B</w:t>
      </w:r>
      <w:r>
        <w:rPr>
          <w:sz w:val="11"/>
        </w:rPr>
        <w:t>1</w:t>
      </w:r>
      <w:r>
        <w:rPr>
          <w:position w:val="1"/>
        </w:rPr>
        <w:t>（B</w:t>
      </w:r>
      <w:r>
        <w:rPr>
          <w:sz w:val="11"/>
        </w:rPr>
        <w:t>2</w:t>
      </w:r>
      <w:r>
        <w:rPr>
          <w:position w:val="1"/>
        </w:rPr>
        <w:t>）=</w:t>
      </w:r>
      <w:r>
        <w:rPr>
          <w:spacing w:val="1"/>
          <w:position w:val="1"/>
        </w:rPr>
        <w:t> </w:t>
      </w:r>
      <w:r>
        <w:rPr>
          <w:position w:val="1"/>
        </w:rPr>
        <w:t>h</w:t>
      </w:r>
      <w:r>
        <w:rPr>
          <w:sz w:val="11"/>
        </w:rPr>
        <w:t>3</w:t>
      </w:r>
      <w:r>
        <w:rPr>
          <w:position w:val="1"/>
        </w:rPr>
        <w:t>（h</w:t>
      </w:r>
      <w:r>
        <w:rPr>
          <w:sz w:val="11"/>
        </w:rPr>
        <w:t>4</w:t>
      </w:r>
      <w:r>
        <w:rPr>
          <w:position w:val="1"/>
        </w:rPr>
        <w:t>）/</w:t>
      </w:r>
      <w:r>
        <w:rPr>
          <w:spacing w:val="-2"/>
          <w:position w:val="1"/>
        </w:rPr>
        <w:t> </w:t>
      </w:r>
      <w:r>
        <w:rPr>
          <w:position w:val="1"/>
        </w:rPr>
        <w:t>W（H）×1000</w:t>
        <w:tab/>
        <w:t>（2） </w:t>
      </w:r>
    </w:p>
    <w:p>
      <w:pPr>
        <w:pStyle w:val="BodyText"/>
        <w:rPr>
          <w:sz w:val="18"/>
        </w:rPr>
      </w:pPr>
    </w:p>
    <w:p>
      <w:pPr>
        <w:pStyle w:val="BodyText"/>
        <w:spacing w:line="446" w:lineRule="auto"/>
        <w:ind w:left="1469" w:right="3923" w:hanging="632"/>
      </w:pPr>
      <w:r>
        <w:rPr>
          <w:position w:val="1"/>
        </w:rPr>
        <w:t>式中 B</w:t>
      </w:r>
      <w:r>
        <w:rPr>
          <w:sz w:val="11"/>
        </w:rPr>
        <w:t>1</w:t>
      </w:r>
      <w:r>
        <w:rPr>
          <w:position w:val="1"/>
        </w:rPr>
        <w:t>——门扇宽度方向弯曲度，单位为千分之一（‰）； B</w:t>
      </w:r>
      <w:r>
        <w:rPr>
          <w:sz w:val="11"/>
        </w:rPr>
        <w:t>2</w:t>
      </w:r>
      <w:r>
        <w:rPr>
          <w:position w:val="1"/>
        </w:rPr>
        <w:t>——门扇高度方向弯曲度，单位为千分之一（‰）； h</w:t>
      </w:r>
      <w:r>
        <w:rPr>
          <w:sz w:val="11"/>
        </w:rPr>
        <w:t>3</w:t>
      </w:r>
      <w:r>
        <w:rPr>
          <w:position w:val="1"/>
        </w:rPr>
        <w:t>——门扇宽度方向弯曲度值，单位为毫米（mm）； h</w:t>
      </w:r>
      <w:r>
        <w:rPr>
          <w:sz w:val="11"/>
        </w:rPr>
        <w:t>4</w:t>
      </w:r>
      <w:r>
        <w:rPr>
          <w:position w:val="1"/>
        </w:rPr>
        <w:t>——门扇高度方向弯曲度值，单位为毫米（mm）； </w:t>
      </w:r>
      <w:r>
        <w:rPr/>
        <w:t>W——门扇宽度，单位为毫米（mm）； </w:t>
      </w:r>
    </w:p>
    <w:p>
      <w:pPr>
        <w:pStyle w:val="BodyText"/>
        <w:spacing w:line="268" w:lineRule="exact"/>
        <w:ind w:left="1258"/>
      </w:pPr>
      <w:r>
        <w:rPr/>
        <w:t>H——门扇高度，单位为毫米（mm）。 </w:t>
      </w:r>
    </w:p>
    <w:p>
      <w:pPr>
        <w:spacing w:after="0" w:line="268" w:lineRule="exact"/>
        <w:sectPr>
          <w:pgSz w:w="11910" w:h="16850"/>
          <w:pgMar w:header="0" w:footer="1159" w:top="1600" w:bottom="1420" w:left="1260" w:right="0"/>
        </w:sectPr>
      </w:pPr>
    </w:p>
    <w:p>
      <w:pPr>
        <w:pStyle w:val="BodyText"/>
        <w:spacing w:before="47"/>
        <w:ind w:left="838"/>
      </w:pPr>
      <w:r>
        <w:rPr/>
        <w:t>注：括号内计算门扇高度方向弯曲度。 </w:t>
      </w:r>
    </w:p>
    <w:p>
      <w:pPr>
        <w:pStyle w:val="BodyText"/>
        <w:spacing w:before="8"/>
        <w:rPr>
          <w:sz w:val="14"/>
        </w:rPr>
      </w:pPr>
      <w:r>
        <w:rPr/>
        <w:drawing>
          <wp:anchor distT="0" distB="0" distL="0" distR="0" allowOverlap="1" layoutInCell="1" locked="0" behindDoc="0" simplePos="0" relativeHeight="164">
            <wp:simplePos x="0" y="0"/>
            <wp:positionH relativeFrom="page">
              <wp:posOffset>1294090</wp:posOffset>
            </wp:positionH>
            <wp:positionV relativeFrom="paragraph">
              <wp:posOffset>144232</wp:posOffset>
            </wp:positionV>
            <wp:extent cx="4729119" cy="2438400"/>
            <wp:effectExtent l="0" t="0" r="0" b="0"/>
            <wp:wrapTopAndBottom/>
            <wp:docPr id="367" name="image220.jpeg"/>
            <wp:cNvGraphicFramePr>
              <a:graphicFrameLocks noChangeAspect="1"/>
            </wp:cNvGraphicFramePr>
            <a:graphic>
              <a:graphicData uri="http://schemas.openxmlformats.org/drawingml/2006/picture">
                <pic:pic>
                  <pic:nvPicPr>
                    <pic:cNvPr id="368" name="image220.jpeg"/>
                    <pic:cNvPicPr/>
                  </pic:nvPicPr>
                  <pic:blipFill>
                    <a:blip r:embed="rId268" cstate="print"/>
                    <a:stretch>
                      <a:fillRect/>
                    </a:stretch>
                  </pic:blipFill>
                  <pic:spPr>
                    <a:xfrm>
                      <a:off x="0" y="0"/>
                      <a:ext cx="4729119" cy="2438400"/>
                    </a:xfrm>
                    <a:prstGeom prst="rect">
                      <a:avLst/>
                    </a:prstGeom>
                  </pic:spPr>
                </pic:pic>
              </a:graphicData>
            </a:graphic>
          </wp:anchor>
        </w:drawing>
      </w:r>
    </w:p>
    <w:p>
      <w:pPr>
        <w:pStyle w:val="BodyText"/>
        <w:rPr>
          <w:sz w:val="20"/>
        </w:rPr>
      </w:pPr>
    </w:p>
    <w:p>
      <w:pPr>
        <w:pStyle w:val="BodyText"/>
        <w:rPr>
          <w:sz w:val="20"/>
        </w:rPr>
      </w:pPr>
    </w:p>
    <w:p>
      <w:pPr>
        <w:pStyle w:val="BodyText"/>
      </w:pPr>
    </w:p>
    <w:p>
      <w:pPr>
        <w:pStyle w:val="Heading6"/>
        <w:ind w:right="490"/>
        <w:jc w:val="center"/>
        <w:rPr>
          <w:b w:val="0"/>
        </w:rPr>
      </w:pPr>
      <w:r>
        <w:rPr/>
        <w:t>图 9 门扇弯曲度测量示意图</w:t>
      </w:r>
      <w:r>
        <w:rPr>
          <w:w w:val="99"/>
        </w:rPr>
        <w:t> </w:t>
      </w:r>
      <w:r>
        <w:rPr/>
        <w:t> </w:t>
      </w:r>
      <w:r>
        <w:rPr>
          <w:b w:val="0"/>
          <w:w w:val="100"/>
        </w:rPr>
        <w:t> </w:t>
      </w:r>
    </w:p>
    <w:p>
      <w:pPr>
        <w:pStyle w:val="BodyText"/>
        <w:rPr>
          <w:sz w:val="20"/>
        </w:rPr>
      </w:pPr>
    </w:p>
    <w:p>
      <w:pPr>
        <w:pStyle w:val="BodyText"/>
        <w:spacing w:before="11"/>
        <w:rPr>
          <w:sz w:val="17"/>
        </w:rPr>
      </w:pPr>
      <w:r>
        <w:rPr/>
        <w:drawing>
          <wp:anchor distT="0" distB="0" distL="0" distR="0" allowOverlap="1" layoutInCell="1" locked="0" behindDoc="0" simplePos="0" relativeHeight="165">
            <wp:simplePos x="0" y="0"/>
            <wp:positionH relativeFrom="page">
              <wp:posOffset>2933696</wp:posOffset>
            </wp:positionH>
            <wp:positionV relativeFrom="paragraph">
              <wp:posOffset>170305</wp:posOffset>
            </wp:positionV>
            <wp:extent cx="2054250" cy="3048000"/>
            <wp:effectExtent l="0" t="0" r="0" b="0"/>
            <wp:wrapTopAndBottom/>
            <wp:docPr id="369" name="image221.jpeg"/>
            <wp:cNvGraphicFramePr>
              <a:graphicFrameLocks noChangeAspect="1"/>
            </wp:cNvGraphicFramePr>
            <a:graphic>
              <a:graphicData uri="http://schemas.openxmlformats.org/drawingml/2006/picture">
                <pic:pic>
                  <pic:nvPicPr>
                    <pic:cNvPr id="370" name="image221.jpeg"/>
                    <pic:cNvPicPr/>
                  </pic:nvPicPr>
                  <pic:blipFill>
                    <a:blip r:embed="rId269" cstate="print"/>
                    <a:stretch>
                      <a:fillRect/>
                    </a:stretch>
                  </pic:blipFill>
                  <pic:spPr>
                    <a:xfrm>
                      <a:off x="0" y="0"/>
                      <a:ext cx="2054250" cy="3048000"/>
                    </a:xfrm>
                    <a:prstGeom prst="rect">
                      <a:avLst/>
                    </a:prstGeom>
                  </pic:spPr>
                </pic:pic>
              </a:graphicData>
            </a:graphic>
          </wp:anchor>
        </w:drawing>
      </w:r>
    </w:p>
    <w:p>
      <w:pPr>
        <w:pStyle w:val="BodyText"/>
        <w:rPr>
          <w:sz w:val="20"/>
        </w:rPr>
      </w:pPr>
    </w:p>
    <w:p>
      <w:pPr>
        <w:pStyle w:val="BodyText"/>
        <w:rPr>
          <w:sz w:val="20"/>
        </w:rPr>
      </w:pPr>
    </w:p>
    <w:p>
      <w:pPr>
        <w:pStyle w:val="BodyText"/>
        <w:spacing w:before="10"/>
        <w:rPr>
          <w:sz w:val="18"/>
        </w:rPr>
      </w:pPr>
    </w:p>
    <w:p>
      <w:pPr>
        <w:spacing w:before="0"/>
        <w:ind w:left="2571" w:right="0" w:firstLine="0"/>
        <w:jc w:val="left"/>
        <w:rPr>
          <w:sz w:val="21"/>
        </w:rPr>
      </w:pPr>
      <w:r>
        <w:rPr>
          <w:b/>
          <w:sz w:val="21"/>
        </w:rPr>
        <w:t>图 10 门扇高度（宽度）方向弯曲度测量位置示意图</w:t>
      </w:r>
      <w:r>
        <w:rPr>
          <w:w w:val="100"/>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9"/>
        </w:rPr>
      </w:pPr>
    </w:p>
    <w:p>
      <w:pPr>
        <w:pStyle w:val="BodyText"/>
        <w:spacing w:before="72"/>
        <w:ind w:right="495"/>
        <w:jc w:val="center"/>
      </w:pPr>
      <w:r>
        <w:rPr>
          <w:w w:val="100"/>
        </w:rPr>
        <w:t> </w:t>
      </w:r>
    </w:p>
    <w:p>
      <w:pPr>
        <w:spacing w:after="0"/>
        <w:jc w:val="center"/>
        <w:sectPr>
          <w:pgSz w:w="11910" w:h="16850"/>
          <w:pgMar w:header="0" w:footer="1159" w:top="1220" w:bottom="1420" w:left="1260" w:right="0"/>
        </w:sectPr>
      </w:pPr>
    </w:p>
    <w:p>
      <w:pPr>
        <w:pStyle w:val="BodyText"/>
        <w:rPr>
          <w:sz w:val="20"/>
        </w:rPr>
      </w:pPr>
    </w:p>
    <w:p>
      <w:pPr>
        <w:pStyle w:val="BodyText"/>
        <w:spacing w:before="9"/>
        <w:rPr>
          <w:sz w:val="18"/>
        </w:rPr>
      </w:pPr>
    </w:p>
    <w:p>
      <w:pPr>
        <w:pStyle w:val="BodyText"/>
        <w:ind w:left="4167"/>
        <w:rPr>
          <w:sz w:val="20"/>
        </w:rPr>
      </w:pPr>
      <w:r>
        <w:rPr>
          <w:sz w:val="20"/>
        </w:rPr>
        <w:drawing>
          <wp:inline distT="0" distB="0" distL="0" distR="0">
            <wp:extent cx="1519595" cy="2743200"/>
            <wp:effectExtent l="0" t="0" r="0" b="0"/>
            <wp:docPr id="371" name="image222.jpeg"/>
            <wp:cNvGraphicFramePr>
              <a:graphicFrameLocks noChangeAspect="1"/>
            </wp:cNvGraphicFramePr>
            <a:graphic>
              <a:graphicData uri="http://schemas.openxmlformats.org/drawingml/2006/picture">
                <pic:pic>
                  <pic:nvPicPr>
                    <pic:cNvPr id="372" name="image222.jpeg"/>
                    <pic:cNvPicPr/>
                  </pic:nvPicPr>
                  <pic:blipFill>
                    <a:blip r:embed="rId270" cstate="print"/>
                    <a:stretch>
                      <a:fillRect/>
                    </a:stretch>
                  </pic:blipFill>
                  <pic:spPr>
                    <a:xfrm>
                      <a:off x="0" y="0"/>
                      <a:ext cx="1519595" cy="274320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9"/>
        <w:rPr>
          <w:sz w:val="17"/>
        </w:rPr>
      </w:pPr>
    </w:p>
    <w:p>
      <w:pPr>
        <w:pStyle w:val="Heading6"/>
        <w:spacing w:before="72"/>
        <w:ind w:left="3469"/>
      </w:pPr>
      <w:r>
        <w:rPr>
          <w:spacing w:val="-27"/>
        </w:rPr>
        <w:t>图 </w:t>
      </w:r>
      <w:r>
        <w:rPr/>
        <w:t>11</w:t>
      </w:r>
      <w:r>
        <w:rPr>
          <w:spacing w:val="-2"/>
        </w:rPr>
        <w:t> 门扇高度方向弯曲度示意图</w:t>
      </w:r>
      <w:r>
        <w:rPr>
          <w:w w:val="99"/>
        </w:rPr>
        <w:t> </w:t>
      </w:r>
    </w:p>
    <w:p>
      <w:pPr>
        <w:pStyle w:val="BodyText"/>
        <w:rPr>
          <w:b/>
          <w:sz w:val="20"/>
        </w:rPr>
      </w:pPr>
    </w:p>
    <w:p>
      <w:pPr>
        <w:pStyle w:val="BodyText"/>
        <w:rPr>
          <w:b/>
          <w:sz w:val="20"/>
        </w:rPr>
      </w:pPr>
    </w:p>
    <w:p>
      <w:pPr>
        <w:pStyle w:val="BodyText"/>
        <w:rPr>
          <w:b/>
          <w:sz w:val="20"/>
        </w:rPr>
      </w:pPr>
    </w:p>
    <w:p>
      <w:pPr>
        <w:pStyle w:val="BodyText"/>
        <w:spacing w:before="11"/>
        <w:rPr>
          <w:b/>
          <w:sz w:val="12"/>
        </w:rPr>
      </w:pPr>
      <w:r>
        <w:rPr/>
        <w:drawing>
          <wp:anchor distT="0" distB="0" distL="0" distR="0" allowOverlap="1" layoutInCell="1" locked="0" behindDoc="0" simplePos="0" relativeHeight="166">
            <wp:simplePos x="0" y="0"/>
            <wp:positionH relativeFrom="page">
              <wp:posOffset>2582419</wp:posOffset>
            </wp:positionH>
            <wp:positionV relativeFrom="paragraph">
              <wp:posOffset>129985</wp:posOffset>
            </wp:positionV>
            <wp:extent cx="2817086" cy="1905000"/>
            <wp:effectExtent l="0" t="0" r="0" b="0"/>
            <wp:wrapTopAndBottom/>
            <wp:docPr id="373" name="image223.jpeg"/>
            <wp:cNvGraphicFramePr>
              <a:graphicFrameLocks noChangeAspect="1"/>
            </wp:cNvGraphicFramePr>
            <a:graphic>
              <a:graphicData uri="http://schemas.openxmlformats.org/drawingml/2006/picture">
                <pic:pic>
                  <pic:nvPicPr>
                    <pic:cNvPr id="374" name="image223.jpeg"/>
                    <pic:cNvPicPr/>
                  </pic:nvPicPr>
                  <pic:blipFill>
                    <a:blip r:embed="rId271" cstate="print"/>
                    <a:stretch>
                      <a:fillRect/>
                    </a:stretch>
                  </pic:blipFill>
                  <pic:spPr>
                    <a:xfrm>
                      <a:off x="0" y="0"/>
                      <a:ext cx="2817086" cy="1905000"/>
                    </a:xfrm>
                    <a:prstGeom prst="rect">
                      <a:avLst/>
                    </a:prstGeom>
                  </pic:spPr>
                </pic:pic>
              </a:graphicData>
            </a:graphic>
          </wp:anchor>
        </w:drawing>
      </w:r>
    </w:p>
    <w:p>
      <w:pPr>
        <w:pStyle w:val="BodyText"/>
        <w:rPr>
          <w:b/>
          <w:sz w:val="26"/>
        </w:rPr>
      </w:pPr>
    </w:p>
    <w:p>
      <w:pPr>
        <w:spacing w:before="71"/>
        <w:ind w:left="3469" w:right="0" w:firstLine="0"/>
        <w:jc w:val="left"/>
        <w:rPr>
          <w:b/>
          <w:sz w:val="21"/>
        </w:rPr>
      </w:pPr>
      <w:r>
        <w:rPr>
          <w:b/>
          <w:spacing w:val="-27"/>
          <w:sz w:val="21"/>
        </w:rPr>
        <w:t>图 </w:t>
      </w:r>
      <w:r>
        <w:rPr>
          <w:b/>
          <w:sz w:val="21"/>
        </w:rPr>
        <w:t>12</w:t>
      </w:r>
      <w:r>
        <w:rPr>
          <w:b/>
          <w:spacing w:val="-2"/>
          <w:sz w:val="21"/>
        </w:rPr>
        <w:t> 门扇宽度方向弯曲度示意图</w:t>
      </w:r>
      <w:r>
        <w:rPr>
          <w:b/>
          <w:w w:val="99"/>
          <w:sz w:val="21"/>
        </w:rPr>
        <w:t> </w:t>
      </w:r>
    </w:p>
    <w:p>
      <w:pPr>
        <w:pStyle w:val="BodyText"/>
        <w:spacing w:before="12"/>
        <w:rPr>
          <w:b/>
          <w:sz w:val="17"/>
        </w:rPr>
      </w:pPr>
    </w:p>
    <w:p>
      <w:pPr>
        <w:spacing w:before="0"/>
        <w:ind w:left="838" w:right="0" w:firstLine="0"/>
        <w:jc w:val="left"/>
        <w:rPr>
          <w:sz w:val="21"/>
        </w:rPr>
      </w:pPr>
      <w:r>
        <w:rPr>
          <w:w w:val="100"/>
          <w:position w:val="1"/>
          <w:sz w:val="21"/>
        </w:rPr>
        <w:t> </w:t>
      </w:r>
      <w:r>
        <w:rPr>
          <w:position w:val="1"/>
          <w:sz w:val="21"/>
        </w:rPr>
        <w:t> </w:t>
      </w:r>
      <w:r>
        <w:rPr>
          <w:b/>
          <w:position w:val="1"/>
          <w:sz w:val="21"/>
        </w:rPr>
        <w:t>6.8.4</w:t>
      </w:r>
      <w:r>
        <w:rPr>
          <w:b/>
          <w:spacing w:val="105"/>
          <w:position w:val="1"/>
          <w:sz w:val="21"/>
        </w:rPr>
        <w:t> </w:t>
      </w:r>
      <w:r>
        <w:rPr>
          <w:spacing w:val="-3"/>
          <w:position w:val="1"/>
          <w:sz w:val="21"/>
        </w:rPr>
        <w:t>门框内裁口两对角线长度差</w:t>
      </w:r>
      <w:r>
        <w:rPr>
          <w:position w:val="1"/>
          <w:sz w:val="21"/>
        </w:rPr>
        <w:t>|L</w:t>
      </w:r>
      <w:r>
        <w:rPr>
          <w:sz w:val="11"/>
        </w:rPr>
        <w:t>1</w:t>
      </w:r>
      <w:r>
        <w:rPr>
          <w:position w:val="1"/>
          <w:sz w:val="21"/>
        </w:rPr>
        <w:t>′-L</w:t>
      </w:r>
      <w:r>
        <w:rPr>
          <w:sz w:val="11"/>
        </w:rPr>
        <w:t>2</w:t>
      </w:r>
      <w:r>
        <w:rPr>
          <w:position w:val="1"/>
          <w:sz w:val="21"/>
        </w:rPr>
        <w:t>′|（</w:t>
      </w:r>
      <w:r>
        <w:rPr>
          <w:spacing w:val="-18"/>
          <w:position w:val="1"/>
          <w:sz w:val="21"/>
        </w:rPr>
        <w:t>见图 </w:t>
      </w:r>
      <w:r>
        <w:rPr>
          <w:position w:val="1"/>
          <w:sz w:val="21"/>
        </w:rPr>
        <w:t>13） </w:t>
      </w:r>
    </w:p>
    <w:p>
      <w:pPr>
        <w:pStyle w:val="BodyText"/>
        <w:rPr>
          <w:sz w:val="18"/>
        </w:rPr>
      </w:pPr>
    </w:p>
    <w:p>
      <w:pPr>
        <w:pStyle w:val="BodyText"/>
        <w:ind w:left="838"/>
      </w:pPr>
      <w:r>
        <w:rPr>
          <w:w w:val="100"/>
        </w:rPr>
        <w:t> </w:t>
      </w:r>
      <w:r>
        <w:rPr/>
        <w:t>采用钢卷尺测量。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pStyle w:val="BodyText"/>
        <w:spacing w:before="71"/>
        <w:ind w:left="838"/>
      </w:pPr>
      <w:r>
        <w:rPr>
          <w:w w:val="100"/>
        </w:rPr>
        <w:t> </w:t>
      </w:r>
    </w:p>
    <w:p>
      <w:pPr>
        <w:spacing w:after="0"/>
        <w:sectPr>
          <w:pgSz w:w="11910" w:h="16850"/>
          <w:pgMar w:header="0" w:footer="1159" w:top="1600" w:bottom="1420" w:left="1260" w:right="0"/>
        </w:sectPr>
      </w:pPr>
    </w:p>
    <w:p>
      <w:pPr>
        <w:pStyle w:val="BodyText"/>
        <w:ind w:left="1115"/>
        <w:rPr>
          <w:sz w:val="20"/>
        </w:rPr>
      </w:pPr>
      <w:r>
        <w:rPr>
          <w:sz w:val="20"/>
        </w:rPr>
        <w:drawing>
          <wp:inline distT="0" distB="0" distL="0" distR="0">
            <wp:extent cx="3897407" cy="1828800"/>
            <wp:effectExtent l="0" t="0" r="0" b="0"/>
            <wp:docPr id="375" name="image224.jpeg"/>
            <wp:cNvGraphicFramePr>
              <a:graphicFrameLocks noChangeAspect="1"/>
            </wp:cNvGraphicFramePr>
            <a:graphic>
              <a:graphicData uri="http://schemas.openxmlformats.org/drawingml/2006/picture">
                <pic:pic>
                  <pic:nvPicPr>
                    <pic:cNvPr id="376" name="image224.jpeg"/>
                    <pic:cNvPicPr/>
                  </pic:nvPicPr>
                  <pic:blipFill>
                    <a:blip r:embed="rId272" cstate="print"/>
                    <a:stretch>
                      <a:fillRect/>
                    </a:stretch>
                  </pic:blipFill>
                  <pic:spPr>
                    <a:xfrm>
                      <a:off x="0" y="0"/>
                      <a:ext cx="3897407" cy="182880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19"/>
        </w:rPr>
      </w:pPr>
    </w:p>
    <w:p>
      <w:pPr>
        <w:pStyle w:val="Heading6"/>
        <w:ind w:left="2941"/>
      </w:pPr>
      <w:r>
        <w:rPr/>
        <w:t>图 13 门框内裁口对角线长度测量位置示意图</w:t>
      </w:r>
      <w:r>
        <w:rPr>
          <w:w w:val="99"/>
        </w:rPr>
        <w:t> </w:t>
      </w:r>
    </w:p>
    <w:p>
      <w:pPr>
        <w:pStyle w:val="BodyText"/>
        <w:spacing w:before="5"/>
        <w:rPr>
          <w:b/>
          <w:sz w:val="12"/>
        </w:rPr>
      </w:pPr>
    </w:p>
    <w:p>
      <w:pPr>
        <w:pStyle w:val="ListParagraph"/>
        <w:numPr>
          <w:ilvl w:val="1"/>
          <w:numId w:val="438"/>
        </w:numPr>
        <w:tabs>
          <w:tab w:pos="1159" w:val="left" w:leader="none"/>
        </w:tabs>
        <w:spacing w:line="240" w:lineRule="auto" w:before="72" w:after="0"/>
        <w:ind w:left="1158" w:right="0" w:hanging="319"/>
        <w:jc w:val="left"/>
        <w:rPr>
          <w:b/>
          <w:sz w:val="21"/>
        </w:rPr>
      </w:pPr>
      <w:r>
        <w:rPr>
          <w:spacing w:val="-3"/>
          <w:sz w:val="21"/>
        </w:rPr>
        <w:t>配合公差</w:t>
      </w:r>
      <w:r>
        <w:rPr>
          <w:b/>
          <w:w w:val="99"/>
          <w:sz w:val="21"/>
        </w:rPr>
        <w:t> </w:t>
      </w:r>
    </w:p>
    <w:p>
      <w:pPr>
        <w:pStyle w:val="BodyText"/>
        <w:spacing w:before="12"/>
        <w:rPr>
          <w:b/>
          <w:sz w:val="17"/>
        </w:rPr>
      </w:pPr>
    </w:p>
    <w:p>
      <w:pPr>
        <w:pStyle w:val="ListParagraph"/>
        <w:numPr>
          <w:ilvl w:val="2"/>
          <w:numId w:val="438"/>
        </w:numPr>
        <w:tabs>
          <w:tab w:pos="1370" w:val="left" w:leader="none"/>
        </w:tabs>
        <w:spacing w:line="240" w:lineRule="auto" w:before="0" w:after="0"/>
        <w:ind w:left="1369" w:right="0" w:hanging="530"/>
        <w:jc w:val="left"/>
        <w:rPr>
          <w:b/>
          <w:sz w:val="21"/>
        </w:rPr>
      </w:pPr>
      <w:r>
        <w:rPr>
          <w:spacing w:val="-3"/>
          <w:sz w:val="21"/>
        </w:rPr>
        <w:t>门扇与门框的搭接尺寸（</w:t>
      </w:r>
      <w:r>
        <w:rPr>
          <w:spacing w:val="-19"/>
          <w:sz w:val="21"/>
        </w:rPr>
        <w:t>见图 </w:t>
      </w:r>
      <w:r>
        <w:rPr>
          <w:sz w:val="21"/>
        </w:rPr>
        <w:t>14）</w:t>
      </w:r>
      <w:r>
        <w:rPr>
          <w:b/>
          <w:w w:val="99"/>
          <w:sz w:val="21"/>
        </w:rPr>
        <w:t> </w:t>
      </w:r>
    </w:p>
    <w:p>
      <w:pPr>
        <w:pStyle w:val="BodyText"/>
        <w:spacing w:before="2"/>
        <w:rPr>
          <w:b/>
          <w:sz w:val="18"/>
        </w:rPr>
      </w:pPr>
    </w:p>
    <w:p>
      <w:pPr>
        <w:pStyle w:val="ListParagraph"/>
        <w:numPr>
          <w:ilvl w:val="3"/>
          <w:numId w:val="438"/>
        </w:numPr>
        <w:tabs>
          <w:tab w:pos="1576" w:val="left" w:leader="none"/>
        </w:tabs>
        <w:spacing w:line="446" w:lineRule="auto" w:before="0" w:after="0"/>
        <w:ind w:left="418" w:right="1609" w:firstLine="419"/>
        <w:jc w:val="left"/>
        <w:rPr>
          <w:sz w:val="21"/>
        </w:rPr>
      </w:pPr>
      <w:r>
        <w:rPr>
          <w:spacing w:val="-3"/>
          <w:sz w:val="21"/>
        </w:rPr>
        <w:t>按使用状态，将试件安装在试验框架上，门扇处于关闭状态，用划刀在门扇与门框相交的左边、右边和上边的中部划线作出标记后，用钢板尺测量搭接宽度。 </w:t>
      </w:r>
    </w:p>
    <w:p>
      <w:pPr>
        <w:pStyle w:val="ListParagraph"/>
        <w:numPr>
          <w:ilvl w:val="3"/>
          <w:numId w:val="438"/>
        </w:numPr>
        <w:tabs>
          <w:tab w:pos="1576" w:val="left" w:leader="none"/>
        </w:tabs>
        <w:spacing w:line="267" w:lineRule="exact" w:before="0" w:after="0"/>
        <w:ind w:left="1575" w:right="0" w:hanging="738"/>
        <w:jc w:val="left"/>
        <w:rPr>
          <w:sz w:val="21"/>
        </w:rPr>
      </w:pPr>
      <w:r>
        <w:rPr>
          <w:spacing w:val="-3"/>
          <w:sz w:val="21"/>
        </w:rPr>
        <w:t>门扇与门框的搭接宽度取测量值的最小值。 </w:t>
      </w:r>
    </w:p>
    <w:p>
      <w:pPr>
        <w:pStyle w:val="BodyText"/>
        <w:spacing w:before="2"/>
        <w:rPr>
          <w:sz w:val="18"/>
        </w:rPr>
      </w:pPr>
    </w:p>
    <w:p>
      <w:pPr>
        <w:pStyle w:val="ListParagraph"/>
        <w:numPr>
          <w:ilvl w:val="2"/>
          <w:numId w:val="438"/>
        </w:numPr>
        <w:tabs>
          <w:tab w:pos="1370" w:val="left" w:leader="none"/>
        </w:tabs>
        <w:spacing w:line="240" w:lineRule="auto" w:before="0" w:after="0"/>
        <w:ind w:left="1369" w:right="0" w:hanging="530"/>
        <w:jc w:val="both"/>
        <w:rPr>
          <w:b/>
          <w:sz w:val="21"/>
        </w:rPr>
      </w:pPr>
      <w:r>
        <w:rPr>
          <w:spacing w:val="-3"/>
          <w:sz w:val="21"/>
        </w:rPr>
        <w:t>门扇与门框的配合活动间隙</w:t>
      </w:r>
      <w:r>
        <w:rPr>
          <w:b/>
          <w:w w:val="99"/>
          <w:sz w:val="21"/>
        </w:rPr>
        <w:t> </w:t>
      </w:r>
    </w:p>
    <w:p>
      <w:pPr>
        <w:pStyle w:val="BodyText"/>
        <w:rPr>
          <w:b/>
          <w:sz w:val="18"/>
        </w:rPr>
      </w:pPr>
    </w:p>
    <w:p>
      <w:pPr>
        <w:pStyle w:val="BodyText"/>
        <w:spacing w:line="446" w:lineRule="auto"/>
        <w:ind w:left="418" w:right="1608" w:firstLine="419"/>
        <w:jc w:val="both"/>
      </w:pPr>
      <w:r>
        <w:rPr/>
        <w:t>按使用状态，将试件安装在试验框架上，门扇处于关闭状态，门扇与门框有合页一侧、有锁一侧，以及门扇与上框、下框，双扇、多扇门的门扇之间的活动间隙以塞尺最大插入厚度作为测量值。 </w:t>
      </w:r>
    </w:p>
    <w:p>
      <w:pPr>
        <w:pStyle w:val="ListParagraph"/>
        <w:numPr>
          <w:ilvl w:val="2"/>
          <w:numId w:val="438"/>
        </w:numPr>
        <w:tabs>
          <w:tab w:pos="1370" w:val="left" w:leader="none"/>
        </w:tabs>
        <w:spacing w:line="268" w:lineRule="exact" w:before="0" w:after="0"/>
        <w:ind w:left="1369" w:right="0" w:hanging="530"/>
        <w:jc w:val="both"/>
        <w:rPr>
          <w:sz w:val="21"/>
        </w:rPr>
      </w:pPr>
      <w:r>
        <w:rPr>
          <w:spacing w:val="-3"/>
          <w:sz w:val="21"/>
        </w:rPr>
        <w:t>门扇与门框的贴合面间隙</w:t>
      </w:r>
      <w:r>
        <w:rPr>
          <w:sz w:val="21"/>
        </w:rPr>
        <w:t>（</w:t>
      </w:r>
      <w:r>
        <w:rPr>
          <w:spacing w:val="-19"/>
          <w:sz w:val="21"/>
        </w:rPr>
        <w:t>见图 </w:t>
      </w:r>
      <w:r>
        <w:rPr>
          <w:sz w:val="21"/>
        </w:rPr>
        <w:t>14） </w:t>
      </w:r>
    </w:p>
    <w:p>
      <w:pPr>
        <w:pStyle w:val="BodyText"/>
        <w:spacing w:before="12"/>
        <w:rPr>
          <w:sz w:val="17"/>
        </w:rPr>
      </w:pPr>
    </w:p>
    <w:p>
      <w:pPr>
        <w:pStyle w:val="BodyText"/>
        <w:spacing w:line="448" w:lineRule="auto"/>
        <w:ind w:left="418" w:right="1609" w:firstLine="419"/>
      </w:pPr>
      <w:r>
        <w:rPr/>
        <w:drawing>
          <wp:anchor distT="0" distB="0" distL="0" distR="0" allowOverlap="1" layoutInCell="1" locked="0" behindDoc="0" simplePos="0" relativeHeight="167">
            <wp:simplePos x="0" y="0"/>
            <wp:positionH relativeFrom="page">
              <wp:posOffset>2294254</wp:posOffset>
            </wp:positionH>
            <wp:positionV relativeFrom="paragraph">
              <wp:posOffset>662178</wp:posOffset>
            </wp:positionV>
            <wp:extent cx="3431358" cy="1828800"/>
            <wp:effectExtent l="0" t="0" r="0" b="0"/>
            <wp:wrapTopAndBottom/>
            <wp:docPr id="377" name="image225.jpeg"/>
            <wp:cNvGraphicFramePr>
              <a:graphicFrameLocks noChangeAspect="1"/>
            </wp:cNvGraphicFramePr>
            <a:graphic>
              <a:graphicData uri="http://schemas.openxmlformats.org/drawingml/2006/picture">
                <pic:pic>
                  <pic:nvPicPr>
                    <pic:cNvPr id="378" name="image225.jpeg"/>
                    <pic:cNvPicPr/>
                  </pic:nvPicPr>
                  <pic:blipFill>
                    <a:blip r:embed="rId273" cstate="print"/>
                    <a:stretch>
                      <a:fillRect/>
                    </a:stretch>
                  </pic:blipFill>
                  <pic:spPr>
                    <a:xfrm>
                      <a:off x="0" y="0"/>
                      <a:ext cx="3431358" cy="1828800"/>
                    </a:xfrm>
                    <a:prstGeom prst="rect">
                      <a:avLst/>
                    </a:prstGeom>
                  </pic:spPr>
                </pic:pic>
              </a:graphicData>
            </a:graphic>
          </wp:anchor>
        </w:drawing>
      </w:r>
      <w:r>
        <w:rPr/>
        <w:t>按使用状态，将试件安装在试验框架上，门扇处于关闭状态，门扇与门框贴合面间隙以塞尺最大插入厚度作为测量值。 </w:t>
      </w:r>
    </w:p>
    <w:p>
      <w:pPr>
        <w:pStyle w:val="BodyText"/>
        <w:spacing w:before="1"/>
        <w:rPr>
          <w:sz w:val="15"/>
        </w:rPr>
      </w:pPr>
    </w:p>
    <w:p>
      <w:pPr>
        <w:spacing w:line="446" w:lineRule="auto" w:before="1"/>
        <w:ind w:left="840" w:right="3222" w:firstLine="1889"/>
        <w:jc w:val="left"/>
        <w:rPr>
          <w:b/>
          <w:sz w:val="21"/>
        </w:rPr>
      </w:pPr>
      <w:r>
        <w:rPr>
          <w:b/>
          <w:sz w:val="21"/>
        </w:rPr>
        <w:t>图 14 门扇与门框的搭接尺寸和贴合面间隙示意图6.9.4 </w:t>
      </w:r>
      <w:r>
        <w:rPr>
          <w:sz w:val="21"/>
        </w:rPr>
        <w:t>门的开面上门框与门扇的平面高低差 R</w:t>
      </w:r>
      <w:r>
        <w:rPr>
          <w:b/>
          <w:w w:val="99"/>
          <w:sz w:val="21"/>
        </w:rPr>
        <w:t> </w:t>
      </w:r>
    </w:p>
    <w:p>
      <w:pPr>
        <w:spacing w:after="0" w:line="446" w:lineRule="auto"/>
        <w:jc w:val="left"/>
        <w:rPr>
          <w:sz w:val="21"/>
        </w:rPr>
        <w:sectPr>
          <w:pgSz w:w="11910" w:h="16850"/>
          <w:pgMar w:header="0" w:footer="1159" w:top="1100" w:bottom="1420" w:left="1260" w:right="0"/>
        </w:sectPr>
      </w:pPr>
    </w:p>
    <w:p>
      <w:pPr>
        <w:pStyle w:val="ListParagraph"/>
        <w:numPr>
          <w:ilvl w:val="3"/>
          <w:numId w:val="442"/>
        </w:numPr>
        <w:tabs>
          <w:tab w:pos="1576" w:val="left" w:leader="none"/>
        </w:tabs>
        <w:spacing w:line="446" w:lineRule="auto" w:before="47" w:after="0"/>
        <w:ind w:left="418" w:right="1503" w:firstLine="419"/>
        <w:jc w:val="left"/>
        <w:rPr>
          <w:sz w:val="21"/>
        </w:rPr>
      </w:pPr>
      <w:r>
        <w:rPr>
          <w:spacing w:val="-5"/>
          <w:sz w:val="21"/>
        </w:rPr>
        <w:t>门扇关闭，用游标卡尺测定门框与门扇的平面高低差。测量位置见图 </w:t>
      </w:r>
      <w:r>
        <w:rPr>
          <w:sz w:val="21"/>
        </w:rPr>
        <w:t>15</w:t>
      </w:r>
      <w:r>
        <w:rPr>
          <w:spacing w:val="-11"/>
          <w:sz w:val="21"/>
        </w:rPr>
        <w:t> 所标定的</w:t>
      </w:r>
      <w:r>
        <w:rPr>
          <w:spacing w:val="-26"/>
          <w:position w:val="1"/>
          <w:sz w:val="21"/>
        </w:rPr>
        <w:t>位置 </w:t>
      </w:r>
      <w:r>
        <w:rPr>
          <w:position w:val="1"/>
          <w:sz w:val="21"/>
        </w:rPr>
        <w:t>R</w:t>
      </w:r>
      <w:r>
        <w:rPr>
          <w:sz w:val="11"/>
        </w:rPr>
        <w:t>1</w:t>
      </w:r>
      <w:r>
        <w:rPr>
          <w:position w:val="1"/>
          <w:sz w:val="21"/>
        </w:rPr>
        <w:t>、R</w:t>
      </w:r>
      <w:r>
        <w:rPr>
          <w:sz w:val="11"/>
        </w:rPr>
        <w:t>2</w:t>
      </w:r>
      <w:r>
        <w:rPr>
          <w:position w:val="1"/>
          <w:sz w:val="21"/>
        </w:rPr>
        <w:t>、R</w:t>
      </w:r>
      <w:r>
        <w:rPr>
          <w:sz w:val="11"/>
        </w:rPr>
        <w:t>3</w:t>
      </w:r>
      <w:r>
        <w:rPr>
          <w:position w:val="1"/>
          <w:sz w:val="21"/>
        </w:rPr>
        <w:t>……R</w:t>
      </w:r>
      <w:r>
        <w:rPr>
          <w:sz w:val="11"/>
        </w:rPr>
        <w:t>6</w:t>
      </w:r>
      <w:r>
        <w:rPr>
          <w:position w:val="1"/>
          <w:sz w:val="21"/>
        </w:rPr>
        <w:t>。 </w:t>
      </w:r>
    </w:p>
    <w:p>
      <w:pPr>
        <w:pStyle w:val="ListParagraph"/>
        <w:numPr>
          <w:ilvl w:val="3"/>
          <w:numId w:val="442"/>
        </w:numPr>
        <w:tabs>
          <w:tab w:pos="1576" w:val="left" w:leader="none"/>
        </w:tabs>
        <w:spacing w:line="267" w:lineRule="exact" w:before="0" w:after="0"/>
        <w:ind w:left="1575" w:right="0" w:hanging="738"/>
        <w:jc w:val="left"/>
        <w:rPr>
          <w:sz w:val="21"/>
        </w:rPr>
      </w:pPr>
      <w:r>
        <w:rPr>
          <w:spacing w:val="-8"/>
          <w:sz w:val="21"/>
        </w:rPr>
        <w:t>门框与门扇的平面高低差 </w:t>
      </w:r>
      <w:r>
        <w:rPr>
          <w:sz w:val="21"/>
        </w:rPr>
        <w:t>R</w:t>
      </w:r>
      <w:r>
        <w:rPr>
          <w:spacing w:val="-9"/>
          <w:sz w:val="21"/>
        </w:rPr>
        <w:t> 取测量值的极值。</w:t>
      </w:r>
      <w:r>
        <w:rPr>
          <w:sz w:val="21"/>
        </w:rPr>
        <w:t> </w:t>
      </w:r>
    </w:p>
    <w:p>
      <w:pPr>
        <w:pStyle w:val="BodyText"/>
        <w:rPr>
          <w:sz w:val="20"/>
        </w:rPr>
      </w:pPr>
    </w:p>
    <w:p>
      <w:pPr>
        <w:pStyle w:val="BodyText"/>
        <w:rPr>
          <w:sz w:val="20"/>
        </w:rPr>
      </w:pPr>
    </w:p>
    <w:p>
      <w:pPr>
        <w:pStyle w:val="BodyText"/>
        <w:spacing w:before="10"/>
        <w:rPr>
          <w:sz w:val="26"/>
        </w:rPr>
      </w:pPr>
      <w:r>
        <w:rPr/>
        <w:drawing>
          <wp:anchor distT="0" distB="0" distL="0" distR="0" allowOverlap="1" layoutInCell="1" locked="0" behindDoc="0" simplePos="0" relativeHeight="168">
            <wp:simplePos x="0" y="0"/>
            <wp:positionH relativeFrom="page">
              <wp:posOffset>1744393</wp:posOffset>
            </wp:positionH>
            <wp:positionV relativeFrom="paragraph">
              <wp:posOffset>243101</wp:posOffset>
            </wp:positionV>
            <wp:extent cx="3878078" cy="2209800"/>
            <wp:effectExtent l="0" t="0" r="0" b="0"/>
            <wp:wrapTopAndBottom/>
            <wp:docPr id="379" name="image226.jpeg"/>
            <wp:cNvGraphicFramePr>
              <a:graphicFrameLocks noChangeAspect="1"/>
            </wp:cNvGraphicFramePr>
            <a:graphic>
              <a:graphicData uri="http://schemas.openxmlformats.org/drawingml/2006/picture">
                <pic:pic>
                  <pic:nvPicPr>
                    <pic:cNvPr id="380" name="image226.jpeg"/>
                    <pic:cNvPicPr/>
                  </pic:nvPicPr>
                  <pic:blipFill>
                    <a:blip r:embed="rId274" cstate="print"/>
                    <a:stretch>
                      <a:fillRect/>
                    </a:stretch>
                  </pic:blipFill>
                  <pic:spPr>
                    <a:xfrm>
                      <a:off x="0" y="0"/>
                      <a:ext cx="3878078" cy="2209800"/>
                    </a:xfrm>
                    <a:prstGeom prst="rect">
                      <a:avLst/>
                    </a:prstGeom>
                  </pic:spPr>
                </pic:pic>
              </a:graphicData>
            </a:graphic>
          </wp:anchor>
        </w:drawing>
      </w:r>
    </w:p>
    <w:p>
      <w:pPr>
        <w:pStyle w:val="BodyText"/>
        <w:rPr>
          <w:sz w:val="20"/>
        </w:rPr>
      </w:pPr>
    </w:p>
    <w:p>
      <w:pPr>
        <w:pStyle w:val="BodyText"/>
        <w:rPr>
          <w:sz w:val="20"/>
        </w:rPr>
      </w:pPr>
    </w:p>
    <w:p>
      <w:pPr>
        <w:pStyle w:val="BodyText"/>
        <w:spacing w:before="10"/>
        <w:rPr>
          <w:sz w:val="17"/>
        </w:rPr>
      </w:pPr>
    </w:p>
    <w:p>
      <w:pPr>
        <w:pStyle w:val="Heading6"/>
        <w:spacing w:before="72"/>
        <w:ind w:left="2941"/>
      </w:pPr>
      <w:r>
        <w:rPr/>
        <w:t>图 15 门框与门扇平面高低差测量位置示意图</w:t>
      </w:r>
      <w:r>
        <w:rPr>
          <w:w w:val="99"/>
        </w:rPr>
        <w:t> </w:t>
      </w:r>
    </w:p>
    <w:p>
      <w:pPr>
        <w:pStyle w:val="BodyText"/>
        <w:spacing w:before="7"/>
        <w:rPr>
          <w:b/>
          <w:sz w:val="12"/>
        </w:rPr>
      </w:pPr>
    </w:p>
    <w:p>
      <w:pPr>
        <w:pStyle w:val="ListParagraph"/>
        <w:numPr>
          <w:ilvl w:val="1"/>
          <w:numId w:val="438"/>
        </w:numPr>
        <w:tabs>
          <w:tab w:pos="1264" w:val="left" w:leader="none"/>
        </w:tabs>
        <w:spacing w:line="240" w:lineRule="auto" w:before="71" w:after="0"/>
        <w:ind w:left="1263" w:right="0" w:hanging="424"/>
        <w:jc w:val="left"/>
        <w:rPr>
          <w:b/>
          <w:sz w:val="21"/>
        </w:rPr>
      </w:pPr>
      <w:r>
        <w:rPr>
          <w:spacing w:val="-3"/>
          <w:sz w:val="21"/>
        </w:rPr>
        <w:t>灵活性</w:t>
      </w:r>
      <w:r>
        <w:rPr>
          <w:b/>
          <w:w w:val="99"/>
          <w:sz w:val="21"/>
        </w:rPr>
        <w:t> </w:t>
      </w:r>
    </w:p>
    <w:p>
      <w:pPr>
        <w:pStyle w:val="BodyText"/>
        <w:rPr>
          <w:b/>
          <w:sz w:val="18"/>
        </w:rPr>
      </w:pPr>
    </w:p>
    <w:p>
      <w:pPr>
        <w:pStyle w:val="ListParagraph"/>
        <w:numPr>
          <w:ilvl w:val="2"/>
          <w:numId w:val="438"/>
        </w:numPr>
        <w:tabs>
          <w:tab w:pos="1478" w:val="left" w:leader="none"/>
        </w:tabs>
        <w:spacing w:line="240" w:lineRule="auto" w:before="0" w:after="0"/>
        <w:ind w:left="1477" w:right="0" w:hanging="638"/>
        <w:jc w:val="left"/>
        <w:rPr>
          <w:b/>
          <w:sz w:val="21"/>
        </w:rPr>
      </w:pPr>
      <w:r>
        <w:rPr>
          <w:spacing w:val="-3"/>
          <w:sz w:val="21"/>
        </w:rPr>
        <w:t>启闭灵活性</w:t>
      </w:r>
      <w:r>
        <w:rPr>
          <w:b/>
          <w:spacing w:val="-3"/>
          <w:w w:val="99"/>
          <w:sz w:val="21"/>
        </w:rPr>
        <w:t> </w:t>
      </w:r>
    </w:p>
    <w:p>
      <w:pPr>
        <w:pStyle w:val="BodyText"/>
        <w:spacing w:before="12"/>
        <w:rPr>
          <w:b/>
          <w:sz w:val="17"/>
        </w:rPr>
      </w:pPr>
    </w:p>
    <w:p>
      <w:pPr>
        <w:pStyle w:val="BodyText"/>
        <w:spacing w:line="446" w:lineRule="auto"/>
        <w:ind w:left="840" w:right="2554" w:hanging="3"/>
        <w:rPr>
          <w:b/>
        </w:rPr>
      </w:pPr>
      <w:r>
        <w:rPr>
          <w:spacing w:val="-3"/>
        </w:rPr>
        <w:t>防火门处于使用状态，将试件安装在试验框架上，手感和目测其启闭灵活性。</w:t>
      </w:r>
      <w:r>
        <w:rPr>
          <w:b/>
          <w:spacing w:val="-3"/>
        </w:rPr>
        <w:t>6.10.2</w:t>
      </w:r>
      <w:r>
        <w:rPr>
          <w:b/>
          <w:spacing w:val="104"/>
        </w:rPr>
        <w:t> </w:t>
      </w:r>
      <w:r>
        <w:rPr>
          <w:spacing w:val="-12"/>
        </w:rPr>
        <w:t>门扇开启力 </w:t>
      </w:r>
      <w:r>
        <w:rPr>
          <w:spacing w:val="-3"/>
        </w:rPr>
        <w:t>F</w:t>
      </w:r>
      <w:r>
        <w:rPr>
          <w:b/>
          <w:w w:val="99"/>
        </w:rPr>
        <w:t> </w:t>
      </w:r>
    </w:p>
    <w:p>
      <w:pPr>
        <w:pStyle w:val="BodyText"/>
        <w:spacing w:line="446" w:lineRule="auto"/>
        <w:ind w:left="418" w:right="1609" w:firstLine="419"/>
      </w:pPr>
      <w:r>
        <w:rPr/>
        <w:t>按使用状态，将试件安装在试验框架上，门扇处于关闭状态，测力计作用于门执手处，并与门扇垂直，将门扇拉开，测量并记录门扇开启力F。 </w:t>
      </w:r>
    </w:p>
    <w:p>
      <w:pPr>
        <w:pStyle w:val="ListParagraph"/>
        <w:numPr>
          <w:ilvl w:val="1"/>
          <w:numId w:val="438"/>
        </w:numPr>
        <w:tabs>
          <w:tab w:pos="1264" w:val="left" w:leader="none"/>
        </w:tabs>
        <w:spacing w:line="240" w:lineRule="auto" w:before="1" w:after="0"/>
        <w:ind w:left="1263" w:right="0" w:hanging="424"/>
        <w:jc w:val="left"/>
        <w:rPr>
          <w:b/>
          <w:sz w:val="21"/>
        </w:rPr>
      </w:pPr>
      <w:r>
        <w:rPr>
          <w:spacing w:val="-3"/>
          <w:sz w:val="21"/>
        </w:rPr>
        <w:t>可靠性</w:t>
      </w:r>
      <w:r>
        <w:rPr>
          <w:b/>
          <w:w w:val="99"/>
          <w:sz w:val="21"/>
        </w:rPr>
        <w:t> </w:t>
      </w:r>
    </w:p>
    <w:p>
      <w:pPr>
        <w:pStyle w:val="BodyText"/>
        <w:spacing w:before="12"/>
        <w:rPr>
          <w:b/>
          <w:sz w:val="17"/>
        </w:rPr>
      </w:pPr>
    </w:p>
    <w:p>
      <w:pPr>
        <w:pStyle w:val="ListParagraph"/>
        <w:numPr>
          <w:ilvl w:val="2"/>
          <w:numId w:val="438"/>
        </w:numPr>
        <w:tabs>
          <w:tab w:pos="1478" w:val="left" w:leader="none"/>
        </w:tabs>
        <w:spacing w:line="240" w:lineRule="auto" w:before="0" w:after="0"/>
        <w:ind w:left="1477" w:right="0" w:hanging="638"/>
        <w:jc w:val="left"/>
        <w:rPr>
          <w:b/>
          <w:sz w:val="21"/>
        </w:rPr>
      </w:pPr>
      <w:r>
        <w:rPr>
          <w:spacing w:val="-3"/>
          <w:sz w:val="21"/>
        </w:rPr>
        <w:t>试验框架</w:t>
      </w:r>
      <w:r>
        <w:rPr>
          <w:b/>
          <w:w w:val="99"/>
          <w:sz w:val="21"/>
        </w:rPr>
        <w:t> </w:t>
      </w:r>
    </w:p>
    <w:p>
      <w:pPr>
        <w:pStyle w:val="BodyText"/>
        <w:spacing w:before="12"/>
        <w:rPr>
          <w:b/>
          <w:sz w:val="17"/>
        </w:rPr>
      </w:pPr>
    </w:p>
    <w:p>
      <w:pPr>
        <w:pStyle w:val="BodyText"/>
        <w:spacing w:line="446" w:lineRule="auto"/>
        <w:ind w:left="418" w:right="1609" w:firstLine="419"/>
      </w:pPr>
      <w:r>
        <w:rPr/>
        <w:t>为可调框架，以适合安装不同规格尺寸的防火门，框架应有足够的刚度，以免在试验过程中产生影响试验结果的变形。 </w:t>
      </w:r>
    </w:p>
    <w:p>
      <w:pPr>
        <w:pStyle w:val="ListParagraph"/>
        <w:numPr>
          <w:ilvl w:val="2"/>
          <w:numId w:val="438"/>
        </w:numPr>
        <w:tabs>
          <w:tab w:pos="1478" w:val="left" w:leader="none"/>
        </w:tabs>
        <w:spacing w:line="240" w:lineRule="auto" w:before="0" w:after="0"/>
        <w:ind w:left="1477" w:right="0" w:hanging="638"/>
        <w:jc w:val="left"/>
        <w:rPr>
          <w:b/>
          <w:sz w:val="21"/>
        </w:rPr>
      </w:pPr>
      <w:r>
        <w:rPr>
          <w:spacing w:val="-3"/>
          <w:sz w:val="21"/>
        </w:rPr>
        <w:t>试件</w:t>
      </w:r>
      <w:r>
        <w:rPr>
          <w:b/>
          <w:w w:val="99"/>
          <w:sz w:val="21"/>
        </w:rPr>
        <w:t> </w:t>
      </w:r>
    </w:p>
    <w:p>
      <w:pPr>
        <w:pStyle w:val="BodyText"/>
        <w:rPr>
          <w:b/>
          <w:sz w:val="18"/>
        </w:rPr>
      </w:pPr>
    </w:p>
    <w:p>
      <w:pPr>
        <w:pStyle w:val="BodyText"/>
        <w:spacing w:line="446" w:lineRule="auto"/>
        <w:ind w:left="418" w:right="1609" w:firstLine="419"/>
      </w:pPr>
      <w:r>
        <w:rPr/>
        <w:t>包括门框、门扇及实际使用中应配备的防火五金配件如防火锁、闭门器和顺序器等所组成的防火门。 </w:t>
      </w:r>
    </w:p>
    <w:p>
      <w:pPr>
        <w:pStyle w:val="ListParagraph"/>
        <w:numPr>
          <w:ilvl w:val="2"/>
          <w:numId w:val="438"/>
        </w:numPr>
        <w:tabs>
          <w:tab w:pos="1478" w:val="left" w:leader="none"/>
        </w:tabs>
        <w:spacing w:line="240" w:lineRule="auto" w:before="0" w:after="0"/>
        <w:ind w:left="1477" w:right="0" w:hanging="638"/>
        <w:jc w:val="left"/>
        <w:rPr>
          <w:b/>
          <w:sz w:val="21"/>
        </w:rPr>
      </w:pPr>
      <w:r>
        <w:rPr>
          <w:spacing w:val="-3"/>
          <w:sz w:val="21"/>
        </w:rPr>
        <w:t>试验步骤</w:t>
      </w:r>
      <w:r>
        <w:rPr>
          <w:b/>
          <w:w w:val="99"/>
          <w:sz w:val="21"/>
        </w:rPr>
        <w:t> </w:t>
      </w:r>
    </w:p>
    <w:p>
      <w:pPr>
        <w:spacing w:after="0" w:line="240" w:lineRule="auto"/>
        <w:jc w:val="left"/>
        <w:rPr>
          <w:sz w:val="21"/>
        </w:rPr>
        <w:sectPr>
          <w:pgSz w:w="11910" w:h="16850"/>
          <w:pgMar w:header="0" w:footer="1159" w:top="1220" w:bottom="1420" w:left="1260" w:right="0"/>
        </w:sectPr>
      </w:pPr>
    </w:p>
    <w:p>
      <w:pPr>
        <w:pStyle w:val="ListParagraph"/>
        <w:numPr>
          <w:ilvl w:val="3"/>
          <w:numId w:val="438"/>
        </w:numPr>
        <w:tabs>
          <w:tab w:pos="1682" w:val="left" w:leader="none"/>
        </w:tabs>
        <w:spacing w:line="240" w:lineRule="auto" w:before="47" w:after="0"/>
        <w:ind w:left="1681" w:right="0" w:hanging="844"/>
        <w:jc w:val="left"/>
        <w:rPr>
          <w:sz w:val="21"/>
        </w:rPr>
      </w:pPr>
      <w:r>
        <w:rPr>
          <w:spacing w:val="-3"/>
          <w:sz w:val="21"/>
        </w:rPr>
        <w:t>将试件固定在试验框架上。</w:t>
      </w:r>
      <w:r>
        <w:rPr>
          <w:sz w:val="21"/>
        </w:rPr>
        <w:t> </w:t>
      </w:r>
    </w:p>
    <w:p>
      <w:pPr>
        <w:pStyle w:val="BodyText"/>
        <w:rPr>
          <w:sz w:val="18"/>
        </w:rPr>
      </w:pPr>
    </w:p>
    <w:p>
      <w:pPr>
        <w:pStyle w:val="ListParagraph"/>
        <w:numPr>
          <w:ilvl w:val="3"/>
          <w:numId w:val="438"/>
        </w:numPr>
        <w:tabs>
          <w:tab w:pos="1682" w:val="left" w:leader="none"/>
        </w:tabs>
        <w:spacing w:line="446" w:lineRule="auto" w:before="0" w:after="0"/>
        <w:ind w:left="418" w:right="1507" w:firstLine="419"/>
        <w:jc w:val="left"/>
        <w:rPr>
          <w:sz w:val="21"/>
        </w:rPr>
      </w:pPr>
      <w:r>
        <w:rPr>
          <w:spacing w:val="-6"/>
          <w:sz w:val="21"/>
        </w:rPr>
        <w:t>门扇开启、关闭为运行一次，运行周期为 </w:t>
      </w:r>
      <w:r>
        <w:rPr>
          <w:sz w:val="21"/>
        </w:rPr>
        <w:t>8～14</w:t>
      </w:r>
      <w:r>
        <w:rPr>
          <w:spacing w:val="7"/>
          <w:sz w:val="21"/>
        </w:rPr>
        <w:t> </w:t>
      </w:r>
      <w:r>
        <w:rPr>
          <w:sz w:val="21"/>
        </w:rPr>
        <w:t>s</w:t>
      </w:r>
      <w:r>
        <w:rPr>
          <w:spacing w:val="-8"/>
          <w:sz w:val="21"/>
        </w:rPr>
        <w:t>，门扇开启角度为 </w:t>
      </w:r>
      <w:r>
        <w:rPr>
          <w:sz w:val="21"/>
        </w:rPr>
        <w:t>70°，记录</w:t>
      </w:r>
      <w:r>
        <w:rPr>
          <w:spacing w:val="-3"/>
          <w:sz w:val="21"/>
        </w:rPr>
        <w:t>运行次数。试验过程中应记录：防火门的各个配件是否松动、脱落、严重变形、启闭卡阻等现象。</w:t>
      </w:r>
      <w:r>
        <w:rPr>
          <w:sz w:val="21"/>
        </w:rPr>
        <w:t> </w:t>
      </w:r>
    </w:p>
    <w:p>
      <w:pPr>
        <w:pStyle w:val="ListParagraph"/>
        <w:numPr>
          <w:ilvl w:val="1"/>
          <w:numId w:val="438"/>
        </w:numPr>
        <w:tabs>
          <w:tab w:pos="1264" w:val="left" w:leader="none"/>
        </w:tabs>
        <w:spacing w:line="268" w:lineRule="exact" w:before="0" w:after="0"/>
        <w:ind w:left="1263" w:right="0" w:hanging="424"/>
        <w:jc w:val="left"/>
        <w:rPr>
          <w:b/>
          <w:sz w:val="21"/>
        </w:rPr>
      </w:pPr>
      <w:r>
        <w:rPr>
          <w:spacing w:val="-3"/>
          <w:sz w:val="21"/>
        </w:rPr>
        <w:t>耐火性能</w:t>
      </w:r>
      <w:r>
        <w:rPr>
          <w:b/>
          <w:w w:val="99"/>
          <w:sz w:val="21"/>
        </w:rPr>
        <w:t> </w:t>
      </w:r>
    </w:p>
    <w:p>
      <w:pPr>
        <w:pStyle w:val="BodyText"/>
        <w:rPr>
          <w:b/>
          <w:sz w:val="18"/>
        </w:rPr>
      </w:pPr>
    </w:p>
    <w:p>
      <w:pPr>
        <w:pStyle w:val="ListParagraph"/>
        <w:numPr>
          <w:ilvl w:val="2"/>
          <w:numId w:val="438"/>
        </w:numPr>
        <w:tabs>
          <w:tab w:pos="1478" w:val="left" w:leader="none"/>
        </w:tabs>
        <w:spacing w:line="240" w:lineRule="auto" w:before="0" w:after="0"/>
        <w:ind w:left="1477" w:right="0" w:hanging="638"/>
        <w:jc w:val="both"/>
        <w:rPr>
          <w:b/>
          <w:sz w:val="21"/>
        </w:rPr>
      </w:pPr>
      <w:r>
        <w:rPr>
          <w:spacing w:val="-3"/>
          <w:sz w:val="21"/>
        </w:rPr>
        <w:t>试验步骤</w:t>
      </w:r>
      <w:r>
        <w:rPr>
          <w:b/>
          <w:w w:val="99"/>
          <w:sz w:val="21"/>
        </w:rPr>
        <w:t> </w:t>
      </w:r>
    </w:p>
    <w:p>
      <w:pPr>
        <w:pStyle w:val="BodyText"/>
        <w:spacing w:before="1"/>
        <w:rPr>
          <w:b/>
          <w:sz w:val="18"/>
        </w:rPr>
      </w:pPr>
    </w:p>
    <w:p>
      <w:pPr>
        <w:pStyle w:val="BodyText"/>
        <w:spacing w:line="446" w:lineRule="auto" w:before="1"/>
        <w:ind w:left="418" w:right="1608" w:firstLine="419"/>
        <w:jc w:val="both"/>
      </w:pPr>
      <w:r>
        <w:rPr/>
        <w:t>按使用状态，将试件安装在试验框架上，耐火试验前检查试件，门扇应开启灵活。通过闭门器等闭门装置关闭门扇，使防火锁的斜舌碰上，不应用钥匙锁闭门扇；特殊使用的门（如管道井门），可用钥匙锁闭门扇，钥匙不应留在锁孔内。 </w:t>
      </w:r>
    </w:p>
    <w:p>
      <w:pPr>
        <w:pStyle w:val="BodyText"/>
        <w:spacing w:line="268" w:lineRule="exact"/>
        <w:ind w:left="838"/>
        <w:jc w:val="both"/>
      </w:pPr>
      <w:r>
        <w:rPr/>
        <w:t>按 GB/T 7633 的规定进行耐火试验。 </w:t>
      </w:r>
    </w:p>
    <w:p>
      <w:pPr>
        <w:pStyle w:val="BodyText"/>
        <w:spacing w:before="12"/>
        <w:rPr>
          <w:sz w:val="17"/>
        </w:rPr>
      </w:pPr>
    </w:p>
    <w:p>
      <w:pPr>
        <w:pStyle w:val="BodyText"/>
        <w:spacing w:line="446" w:lineRule="auto"/>
        <w:ind w:left="840" w:right="2345" w:hanging="3"/>
        <w:rPr>
          <w:b/>
        </w:rPr>
      </w:pPr>
      <w:r>
        <w:rPr>
          <w:spacing w:val="-3"/>
        </w:rPr>
        <w:t>注：试件应在同一框架、同一状态下进行配合公差、灵活性与耐火性能的检验。</w:t>
      </w:r>
      <w:r>
        <w:rPr>
          <w:b/>
          <w:spacing w:val="-3"/>
        </w:rPr>
        <w:t>6.12.2</w:t>
      </w:r>
      <w:r>
        <w:rPr>
          <w:b/>
          <w:spacing w:val="105"/>
        </w:rPr>
        <w:t> </w:t>
      </w:r>
      <w:r>
        <w:rPr>
          <w:spacing w:val="-3"/>
        </w:rPr>
        <w:t>耐火性能判定条件</w:t>
      </w:r>
      <w:r>
        <w:rPr>
          <w:b/>
          <w:spacing w:val="-3"/>
          <w:w w:val="99"/>
        </w:rPr>
        <w:t> </w:t>
      </w:r>
    </w:p>
    <w:p>
      <w:pPr>
        <w:pStyle w:val="BodyText"/>
        <w:ind w:left="838"/>
      </w:pPr>
      <w:r>
        <w:rPr/>
        <w:t>6.12.2.1</w:t>
      </w:r>
      <w:r>
        <w:rPr>
          <w:spacing w:val="-2"/>
        </w:rPr>
        <w:t>  耐火完整性 </w:t>
      </w:r>
    </w:p>
    <w:p>
      <w:pPr>
        <w:pStyle w:val="BodyText"/>
        <w:rPr>
          <w:sz w:val="18"/>
        </w:rPr>
      </w:pPr>
    </w:p>
    <w:p>
      <w:pPr>
        <w:pStyle w:val="BodyText"/>
        <w:spacing w:line="446" w:lineRule="auto"/>
        <w:ind w:left="838" w:right="6969"/>
      </w:pPr>
      <w:r>
        <w:rPr>
          <w:spacing w:val="-18"/>
        </w:rPr>
        <w:t>应按 </w:t>
      </w:r>
      <w:r>
        <w:rPr/>
        <w:t>GB/T</w:t>
      </w:r>
      <w:r>
        <w:rPr>
          <w:spacing w:val="1"/>
        </w:rPr>
        <w:t> </w:t>
      </w:r>
      <w:r>
        <w:rPr/>
        <w:t>7633</w:t>
      </w:r>
      <w:r>
        <w:rPr>
          <w:spacing w:val="-10"/>
        </w:rPr>
        <w:t> 的规定判定。6.12.2.2</w:t>
      </w:r>
      <w:r>
        <w:rPr>
          <w:spacing w:val="15"/>
        </w:rPr>
        <w:t> 耐火隔热性 </w:t>
      </w:r>
    </w:p>
    <w:p>
      <w:pPr>
        <w:pStyle w:val="BodyText"/>
        <w:ind w:left="838"/>
      </w:pPr>
      <w:r>
        <w:rPr/>
        <w:t>应按 GB/T 7633 的规定判定。 </w:t>
      </w:r>
    </w:p>
    <w:p>
      <w:pPr>
        <w:pStyle w:val="BodyText"/>
        <w:spacing w:before="7"/>
        <w:rPr>
          <w:sz w:val="15"/>
        </w:rPr>
      </w:pPr>
    </w:p>
    <w:p>
      <w:pPr>
        <w:pStyle w:val="Heading4"/>
        <w:spacing w:before="1"/>
      </w:pPr>
      <w:r>
        <w:rPr/>
        <w:t>7 检验规则</w:t>
      </w:r>
      <w:r>
        <w:rPr>
          <w:w w:val="99"/>
        </w:rPr>
        <w:t> </w:t>
      </w:r>
    </w:p>
    <w:p>
      <w:pPr>
        <w:pStyle w:val="BodyText"/>
        <w:spacing w:before="3"/>
        <w:rPr>
          <w:b/>
          <w:sz w:val="17"/>
        </w:rPr>
      </w:pPr>
    </w:p>
    <w:p>
      <w:pPr>
        <w:spacing w:before="0"/>
        <w:ind w:left="840" w:right="0" w:firstLine="0"/>
        <w:jc w:val="left"/>
        <w:rPr>
          <w:b/>
          <w:sz w:val="21"/>
        </w:rPr>
      </w:pPr>
      <w:r>
        <w:rPr>
          <w:b/>
          <w:sz w:val="21"/>
        </w:rPr>
        <w:t>7.1 </w:t>
      </w:r>
      <w:r>
        <w:rPr>
          <w:sz w:val="21"/>
        </w:rPr>
        <w:t>出厂检验</w:t>
      </w:r>
      <w:r>
        <w:rPr>
          <w:b/>
          <w:w w:val="99"/>
          <w:sz w:val="21"/>
        </w:rPr>
        <w:t> </w:t>
      </w:r>
    </w:p>
    <w:p>
      <w:pPr>
        <w:pStyle w:val="BodyText"/>
        <w:spacing w:before="2"/>
        <w:rPr>
          <w:b/>
          <w:sz w:val="18"/>
        </w:rPr>
      </w:pPr>
    </w:p>
    <w:p>
      <w:pPr>
        <w:pStyle w:val="BodyText"/>
        <w:ind w:left="840"/>
        <w:jc w:val="both"/>
      </w:pPr>
      <w:r>
        <w:rPr>
          <w:b/>
        </w:rPr>
        <w:t>7.1.1</w:t>
      </w:r>
      <w:r>
        <w:rPr>
          <w:b/>
          <w:spacing w:val="2"/>
        </w:rPr>
        <w:t> </w:t>
      </w:r>
      <w:r>
        <w:rPr>
          <w:spacing w:val="-8"/>
        </w:rPr>
        <w:t>常规出厂检验项目为 </w:t>
      </w:r>
      <w:r>
        <w:rPr/>
        <w:t>5.1、5.2.2.3、5.2.3.3、5.2.4.2、5.4.2、5.5、5.6</w:t>
      </w:r>
      <w:r>
        <w:rPr>
          <w:spacing w:val="-36"/>
        </w:rPr>
        <w:t> 和 </w:t>
      </w:r>
      <w:r>
        <w:rPr/>
        <w:t>5.7，</w:t>
      </w:r>
    </w:p>
    <w:p>
      <w:pPr>
        <w:pStyle w:val="BodyText"/>
        <w:rPr>
          <w:sz w:val="18"/>
        </w:rPr>
      </w:pPr>
    </w:p>
    <w:p>
      <w:pPr>
        <w:pStyle w:val="BodyText"/>
        <w:spacing w:before="1"/>
        <w:ind w:left="418"/>
      </w:pPr>
      <w:r>
        <w:rPr>
          <w:spacing w:val="-4"/>
        </w:rPr>
        <w:t>应对每一樘防火门的门框、门扇单独进行检验；防火门安装交付使用时的常规检验项目为 </w:t>
      </w:r>
      <w:r>
        <w:rPr/>
        <w:t>5.8、</w:t>
      </w:r>
    </w:p>
    <w:p>
      <w:pPr>
        <w:pStyle w:val="BodyText"/>
        <w:spacing w:before="12"/>
        <w:rPr>
          <w:sz w:val="17"/>
        </w:rPr>
      </w:pPr>
    </w:p>
    <w:p>
      <w:pPr>
        <w:pStyle w:val="BodyText"/>
        <w:spacing w:line="446" w:lineRule="auto"/>
        <w:ind w:left="418" w:right="1611"/>
      </w:pPr>
      <w:r>
        <w:rPr/>
        <w:t>5.9</w:t>
      </w:r>
      <w:r>
        <w:rPr>
          <w:spacing w:val="-30"/>
        </w:rPr>
        <w:t> 和 </w:t>
      </w:r>
      <w:r>
        <w:rPr/>
        <w:t>5.3</w:t>
      </w:r>
      <w:r>
        <w:rPr>
          <w:spacing w:val="-8"/>
        </w:rPr>
        <w:t> 中的配件安装情况，应对每一樘防火门进行检验；</w:t>
      </w:r>
      <w:r>
        <w:rPr/>
        <w:t>5.10</w:t>
      </w:r>
      <w:r>
        <w:rPr>
          <w:spacing w:val="-8"/>
        </w:rPr>
        <w:t> 为抽样检验项目，产品抽样</w:t>
      </w:r>
      <w:r>
        <w:rPr>
          <w:spacing w:val="-9"/>
        </w:rPr>
        <w:t>方法由生产厂根据生产批量，按 </w:t>
      </w:r>
      <w:r>
        <w:rPr/>
        <w:t>GB/T 2828.1</w:t>
      </w:r>
      <w:r>
        <w:rPr>
          <w:spacing w:val="-9"/>
        </w:rPr>
        <w:t> 的有关要求，制订相应的文件规定。 </w:t>
      </w:r>
    </w:p>
    <w:p>
      <w:pPr>
        <w:pStyle w:val="BodyText"/>
        <w:spacing w:line="446" w:lineRule="auto"/>
        <w:ind w:left="418" w:right="1604" w:firstLine="422"/>
      </w:pPr>
      <w:r>
        <w:rPr>
          <w:b/>
        </w:rPr>
        <w:t>7.1.2 </w:t>
      </w:r>
      <w:r>
        <w:rPr/>
        <w:t>防火门产品必须由生产厂的质量检验部门按出厂检验项目逐项检验合格，签发合格证后方可出厂，并安装验收合格交付使用。 </w:t>
      </w:r>
    </w:p>
    <w:p>
      <w:pPr>
        <w:pStyle w:val="ListParagraph"/>
        <w:numPr>
          <w:ilvl w:val="1"/>
          <w:numId w:val="443"/>
        </w:numPr>
        <w:tabs>
          <w:tab w:pos="1159" w:val="left" w:leader="none"/>
        </w:tabs>
        <w:spacing w:line="240" w:lineRule="auto" w:before="0" w:after="0"/>
        <w:ind w:left="1158" w:right="0" w:hanging="319"/>
        <w:jc w:val="left"/>
        <w:rPr>
          <w:b/>
          <w:sz w:val="21"/>
        </w:rPr>
      </w:pPr>
      <w:r>
        <w:rPr>
          <w:spacing w:val="-3"/>
          <w:sz w:val="21"/>
        </w:rPr>
        <w:t>形式检验</w:t>
      </w:r>
      <w:r>
        <w:rPr>
          <w:b/>
          <w:w w:val="99"/>
          <w:sz w:val="21"/>
        </w:rPr>
        <w:t> </w:t>
      </w:r>
    </w:p>
    <w:p>
      <w:pPr>
        <w:pStyle w:val="BodyText"/>
        <w:spacing w:before="12"/>
        <w:rPr>
          <w:b/>
          <w:sz w:val="17"/>
        </w:rPr>
      </w:pPr>
    </w:p>
    <w:p>
      <w:pPr>
        <w:pStyle w:val="ListParagraph"/>
        <w:numPr>
          <w:ilvl w:val="2"/>
          <w:numId w:val="443"/>
        </w:numPr>
        <w:tabs>
          <w:tab w:pos="1370" w:val="left" w:leader="none"/>
        </w:tabs>
        <w:spacing w:line="240" w:lineRule="auto" w:before="0" w:after="0"/>
        <w:ind w:left="1369" w:right="0" w:hanging="530"/>
        <w:jc w:val="both"/>
        <w:rPr>
          <w:b/>
          <w:sz w:val="21"/>
        </w:rPr>
      </w:pPr>
      <w:r>
        <w:rPr>
          <w:spacing w:val="-10"/>
          <w:sz w:val="21"/>
        </w:rPr>
        <w:t>检验项目见表 </w:t>
      </w:r>
      <w:r>
        <w:rPr>
          <w:sz w:val="21"/>
        </w:rPr>
        <w:t>6</w:t>
      </w:r>
      <w:r>
        <w:rPr>
          <w:spacing w:val="-3"/>
          <w:sz w:val="21"/>
        </w:rPr>
        <w:t>，按标准要求的顺序逐项进行检验。</w:t>
      </w:r>
      <w:r>
        <w:rPr>
          <w:b/>
          <w:w w:val="99"/>
          <w:sz w:val="21"/>
        </w:rPr>
        <w:t> </w:t>
      </w:r>
    </w:p>
    <w:p>
      <w:pPr>
        <w:pStyle w:val="BodyText"/>
        <w:rPr>
          <w:b/>
          <w:sz w:val="18"/>
        </w:rPr>
      </w:pPr>
    </w:p>
    <w:p>
      <w:pPr>
        <w:pStyle w:val="ListParagraph"/>
        <w:numPr>
          <w:ilvl w:val="2"/>
          <w:numId w:val="443"/>
        </w:numPr>
        <w:tabs>
          <w:tab w:pos="1371" w:val="left" w:leader="none"/>
        </w:tabs>
        <w:spacing w:line="240" w:lineRule="auto" w:before="0" w:after="0"/>
        <w:ind w:left="1370" w:right="0" w:hanging="531"/>
        <w:jc w:val="both"/>
        <w:rPr>
          <w:b/>
          <w:sz w:val="21"/>
        </w:rPr>
      </w:pPr>
      <w:r>
        <w:rPr>
          <w:spacing w:val="-8"/>
          <w:sz w:val="21"/>
        </w:rPr>
        <w:t>防火门的最小检验批量为 </w:t>
      </w:r>
      <w:r>
        <w:rPr>
          <w:sz w:val="21"/>
        </w:rPr>
        <w:t>9</w:t>
      </w:r>
      <w:r>
        <w:rPr>
          <w:spacing w:val="-9"/>
          <w:sz w:val="21"/>
        </w:rPr>
        <w:t> 樘，在生产单位成品库中抽取。</w:t>
      </w:r>
      <w:r>
        <w:rPr>
          <w:b/>
          <w:w w:val="99"/>
          <w:sz w:val="21"/>
        </w:rPr>
        <w:t> </w:t>
      </w:r>
    </w:p>
    <w:p>
      <w:pPr>
        <w:pStyle w:val="BodyText"/>
        <w:spacing w:before="2"/>
        <w:rPr>
          <w:b/>
          <w:sz w:val="18"/>
        </w:rPr>
      </w:pPr>
    </w:p>
    <w:p>
      <w:pPr>
        <w:pStyle w:val="ListParagraph"/>
        <w:numPr>
          <w:ilvl w:val="2"/>
          <w:numId w:val="443"/>
        </w:numPr>
        <w:tabs>
          <w:tab w:pos="1371" w:val="left" w:leader="none"/>
        </w:tabs>
        <w:spacing w:line="240" w:lineRule="auto" w:before="0" w:after="0"/>
        <w:ind w:left="1370" w:right="0" w:hanging="531"/>
        <w:jc w:val="left"/>
        <w:rPr>
          <w:b/>
          <w:sz w:val="21"/>
        </w:rPr>
      </w:pPr>
      <w:r>
        <w:rPr>
          <w:spacing w:val="-3"/>
          <w:sz w:val="21"/>
        </w:rPr>
        <w:t>有下列情况之一时应进行形式检验。</w:t>
      </w:r>
      <w:r>
        <w:rPr>
          <w:b/>
          <w:w w:val="99"/>
          <w:sz w:val="21"/>
        </w:rPr>
        <w:t> </w:t>
      </w:r>
    </w:p>
    <w:p>
      <w:pPr>
        <w:spacing w:after="0" w:line="240" w:lineRule="auto"/>
        <w:jc w:val="left"/>
        <w:rPr>
          <w:sz w:val="21"/>
        </w:rPr>
        <w:sectPr>
          <w:pgSz w:w="11910" w:h="16850"/>
          <w:pgMar w:header="0" w:footer="1159" w:top="1220" w:bottom="1420" w:left="1260" w:right="0"/>
        </w:sectPr>
      </w:pPr>
    </w:p>
    <w:p>
      <w:pPr>
        <w:pStyle w:val="ListParagraph"/>
        <w:numPr>
          <w:ilvl w:val="0"/>
          <w:numId w:val="444"/>
        </w:numPr>
        <w:tabs>
          <w:tab w:pos="1156" w:val="left" w:leader="none"/>
        </w:tabs>
        <w:spacing w:line="240" w:lineRule="auto" w:before="47" w:after="0"/>
        <w:ind w:left="1155" w:right="0" w:hanging="318"/>
        <w:jc w:val="left"/>
        <w:rPr>
          <w:sz w:val="21"/>
        </w:rPr>
      </w:pPr>
      <w:r>
        <w:rPr>
          <w:spacing w:val="-3"/>
          <w:sz w:val="21"/>
        </w:rPr>
        <w:t>新产品或老产品转厂生产时的试制定型鉴定；</w:t>
      </w:r>
      <w:r>
        <w:rPr>
          <w:sz w:val="21"/>
        </w:rPr>
        <w:t> </w:t>
      </w:r>
    </w:p>
    <w:p>
      <w:pPr>
        <w:pStyle w:val="BodyText"/>
        <w:rPr>
          <w:sz w:val="18"/>
        </w:rPr>
      </w:pPr>
    </w:p>
    <w:p>
      <w:pPr>
        <w:pStyle w:val="ListParagraph"/>
        <w:numPr>
          <w:ilvl w:val="0"/>
          <w:numId w:val="444"/>
        </w:numPr>
        <w:tabs>
          <w:tab w:pos="1156" w:val="left" w:leader="none"/>
        </w:tabs>
        <w:spacing w:line="446" w:lineRule="auto" w:before="0" w:after="0"/>
        <w:ind w:left="838" w:right="3294" w:firstLine="0"/>
        <w:jc w:val="left"/>
        <w:rPr>
          <w:sz w:val="21"/>
        </w:rPr>
      </w:pPr>
      <w:r>
        <w:rPr>
          <w:spacing w:val="-3"/>
          <w:sz w:val="21"/>
        </w:rPr>
        <w:t>结构、材料、生产工艺、关键工序和加工方法等有影响其性能时； </w:t>
      </w:r>
      <w:r>
        <w:rPr>
          <w:sz w:val="21"/>
        </w:rPr>
        <w:t>c）</w:t>
      </w:r>
      <w:r>
        <w:rPr>
          <w:spacing w:val="-3"/>
          <w:sz w:val="21"/>
        </w:rPr>
        <w:t>正常生产，每三年不少于一次；</w:t>
      </w:r>
      <w:r>
        <w:rPr>
          <w:sz w:val="21"/>
        </w:rPr>
        <w:t> </w:t>
      </w:r>
    </w:p>
    <w:p>
      <w:pPr>
        <w:pStyle w:val="ListParagraph"/>
        <w:numPr>
          <w:ilvl w:val="0"/>
          <w:numId w:val="445"/>
        </w:numPr>
        <w:tabs>
          <w:tab w:pos="1156" w:val="left" w:leader="none"/>
        </w:tabs>
        <w:spacing w:line="240" w:lineRule="auto" w:before="0" w:after="0"/>
        <w:ind w:left="1155" w:right="0" w:hanging="318"/>
        <w:jc w:val="left"/>
        <w:rPr>
          <w:sz w:val="21"/>
        </w:rPr>
      </w:pPr>
      <w:r>
        <w:rPr>
          <w:spacing w:val="-3"/>
          <w:sz w:val="21"/>
        </w:rPr>
        <w:t>停产一年以上恢复生产时；</w:t>
      </w:r>
      <w:r>
        <w:rPr>
          <w:sz w:val="21"/>
        </w:rPr>
        <w:t> </w:t>
      </w:r>
    </w:p>
    <w:p>
      <w:pPr>
        <w:pStyle w:val="BodyText"/>
        <w:spacing w:before="12"/>
        <w:rPr>
          <w:sz w:val="17"/>
        </w:rPr>
      </w:pPr>
    </w:p>
    <w:p>
      <w:pPr>
        <w:pStyle w:val="ListParagraph"/>
        <w:numPr>
          <w:ilvl w:val="0"/>
          <w:numId w:val="445"/>
        </w:numPr>
        <w:tabs>
          <w:tab w:pos="1156" w:val="left" w:leader="none"/>
        </w:tabs>
        <w:spacing w:line="446" w:lineRule="auto" w:before="0" w:after="0"/>
        <w:ind w:left="838" w:right="5185" w:firstLine="0"/>
        <w:jc w:val="left"/>
        <w:rPr>
          <w:sz w:val="21"/>
        </w:rPr>
      </w:pPr>
      <w:r>
        <w:rPr>
          <w:spacing w:val="-3"/>
          <w:sz w:val="21"/>
        </w:rPr>
        <w:t>出厂检验结果与上次形式检验有较大差异时； </w:t>
      </w:r>
      <w:r>
        <w:rPr>
          <w:sz w:val="21"/>
        </w:rPr>
        <w:t>f）</w:t>
      </w:r>
      <w:r>
        <w:rPr>
          <w:spacing w:val="-3"/>
          <w:sz w:val="21"/>
        </w:rPr>
        <w:t>发生重大质量事故时；</w:t>
      </w:r>
      <w:r>
        <w:rPr>
          <w:sz w:val="21"/>
        </w:rPr>
        <w:t> </w:t>
      </w:r>
    </w:p>
    <w:p>
      <w:pPr>
        <w:spacing w:line="446" w:lineRule="auto" w:before="0"/>
        <w:ind w:left="840" w:right="6865" w:hanging="3"/>
        <w:jc w:val="left"/>
        <w:rPr>
          <w:b/>
          <w:sz w:val="21"/>
        </w:rPr>
      </w:pPr>
      <w:r>
        <w:rPr>
          <w:sz w:val="21"/>
        </w:rPr>
        <w:t>g）质量监督机构提出要求时。</w:t>
      </w:r>
      <w:r>
        <w:rPr>
          <w:b/>
          <w:sz w:val="21"/>
        </w:rPr>
        <w:t>7.2.4 </w:t>
      </w:r>
      <w:r>
        <w:rPr>
          <w:sz w:val="21"/>
        </w:rPr>
        <w:t>判定准则</w:t>
      </w:r>
      <w:r>
        <w:rPr>
          <w:b/>
          <w:w w:val="99"/>
          <w:sz w:val="21"/>
        </w:rPr>
        <w:t> </w:t>
      </w:r>
    </w:p>
    <w:p>
      <w:pPr>
        <w:pStyle w:val="BodyText"/>
        <w:spacing w:line="267" w:lineRule="exact"/>
        <w:ind w:left="838"/>
      </w:pPr>
      <w:r>
        <w:rPr/>
        <w:t>表 6 所列检验项目的检验结果不含 A 类不合格项，B 类与C 类不合格项之和不大于四项，且</w:t>
      </w:r>
    </w:p>
    <w:p>
      <w:pPr>
        <w:pStyle w:val="BodyText"/>
        <w:spacing w:before="2"/>
        <w:rPr>
          <w:sz w:val="18"/>
        </w:rPr>
      </w:pPr>
    </w:p>
    <w:p>
      <w:pPr>
        <w:pStyle w:val="BodyText"/>
        <w:ind w:left="418"/>
      </w:pPr>
      <w:r>
        <w:rPr/>
        <w:t>B 类不合格项不大于一项，判该产品为合格。否则判该产品不合格。 </w:t>
      </w:r>
    </w:p>
    <w:p>
      <w:pPr>
        <w:pStyle w:val="BodyText"/>
        <w:rPr>
          <w:sz w:val="18"/>
        </w:rPr>
      </w:pPr>
    </w:p>
    <w:p>
      <w:pPr>
        <w:pStyle w:val="Heading6"/>
        <w:spacing w:after="39"/>
        <w:ind w:right="492"/>
        <w:jc w:val="center"/>
        <w:rPr>
          <w:b w:val="0"/>
        </w:rPr>
      </w:pPr>
      <w:r>
        <w:rPr/>
        <w:t>表 6 检验项目</w:t>
      </w:r>
      <w:r>
        <w:rPr>
          <w:b w:val="0"/>
          <w:w w:val="100"/>
        </w:rPr>
        <w:t> </w:t>
      </w:r>
    </w:p>
    <w:tbl>
      <w:tblPr>
        <w:tblW w:w="0" w:type="auto"/>
        <w:jc w:val="left"/>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70"/>
        <w:gridCol w:w="2610"/>
        <w:gridCol w:w="2377"/>
        <w:gridCol w:w="1547"/>
        <w:gridCol w:w="925"/>
      </w:tblGrid>
      <w:tr>
        <w:trPr>
          <w:trHeight w:val="1000" w:hRule="atLeast"/>
        </w:trPr>
        <w:tc>
          <w:tcPr>
            <w:tcW w:w="970" w:type="dxa"/>
          </w:tcPr>
          <w:p>
            <w:pPr>
              <w:pStyle w:val="TableParagraph"/>
              <w:rPr>
                <w:sz w:val="20"/>
              </w:rPr>
            </w:pPr>
          </w:p>
          <w:p>
            <w:pPr>
              <w:pStyle w:val="TableParagraph"/>
              <w:spacing w:before="6"/>
              <w:rPr>
                <w:sz w:val="14"/>
              </w:rPr>
            </w:pPr>
          </w:p>
          <w:p>
            <w:pPr>
              <w:pStyle w:val="TableParagraph"/>
              <w:spacing w:before="1"/>
              <w:ind w:left="484" w:right="-58"/>
              <w:jc w:val="center"/>
              <w:rPr>
                <w:sz w:val="21"/>
              </w:rPr>
            </w:pPr>
            <w:r>
              <w:rPr>
                <w:spacing w:val="-2"/>
                <w:sz w:val="21"/>
              </w:rPr>
              <w:t>序号</w:t>
            </w:r>
            <w:r>
              <w:rPr>
                <w:sz w:val="21"/>
              </w:rPr>
              <w:t> </w:t>
            </w:r>
          </w:p>
        </w:tc>
        <w:tc>
          <w:tcPr>
            <w:tcW w:w="2610" w:type="dxa"/>
          </w:tcPr>
          <w:p>
            <w:pPr>
              <w:pStyle w:val="TableParagraph"/>
              <w:rPr>
                <w:sz w:val="20"/>
              </w:rPr>
            </w:pPr>
          </w:p>
          <w:p>
            <w:pPr>
              <w:pStyle w:val="TableParagraph"/>
              <w:spacing w:before="6"/>
              <w:rPr>
                <w:sz w:val="14"/>
              </w:rPr>
            </w:pPr>
          </w:p>
          <w:p>
            <w:pPr>
              <w:pStyle w:val="TableParagraph"/>
              <w:spacing w:before="1"/>
              <w:ind w:left="601" w:right="62"/>
              <w:jc w:val="center"/>
              <w:rPr>
                <w:sz w:val="21"/>
              </w:rPr>
            </w:pPr>
            <w:r>
              <w:rPr>
                <w:sz w:val="21"/>
              </w:rPr>
              <w:t>检验项目 </w:t>
            </w:r>
          </w:p>
        </w:tc>
        <w:tc>
          <w:tcPr>
            <w:tcW w:w="2377" w:type="dxa"/>
          </w:tcPr>
          <w:p>
            <w:pPr>
              <w:pStyle w:val="TableParagraph"/>
              <w:rPr>
                <w:sz w:val="20"/>
              </w:rPr>
            </w:pPr>
          </w:p>
          <w:p>
            <w:pPr>
              <w:pStyle w:val="TableParagraph"/>
              <w:spacing w:before="6"/>
              <w:rPr>
                <w:sz w:val="14"/>
              </w:rPr>
            </w:pPr>
          </w:p>
          <w:p>
            <w:pPr>
              <w:pStyle w:val="TableParagraph"/>
              <w:spacing w:before="1"/>
              <w:ind w:left="1008" w:right="473"/>
              <w:jc w:val="center"/>
              <w:rPr>
                <w:sz w:val="21"/>
              </w:rPr>
            </w:pPr>
            <w:r>
              <w:rPr>
                <w:sz w:val="21"/>
              </w:rPr>
              <w:t>要求条款 </w:t>
            </w:r>
          </w:p>
        </w:tc>
        <w:tc>
          <w:tcPr>
            <w:tcW w:w="1547" w:type="dxa"/>
          </w:tcPr>
          <w:p>
            <w:pPr>
              <w:pStyle w:val="TableParagraph"/>
              <w:spacing w:line="500" w:lineRule="exact" w:before="3"/>
              <w:ind w:left="665" w:right="22" w:hanging="212"/>
              <w:rPr>
                <w:sz w:val="21"/>
              </w:rPr>
            </w:pPr>
            <w:r>
              <w:rPr>
                <w:sz w:val="21"/>
              </w:rPr>
              <w:t>试验方法条款 </w:t>
            </w:r>
          </w:p>
        </w:tc>
        <w:tc>
          <w:tcPr>
            <w:tcW w:w="925" w:type="dxa"/>
          </w:tcPr>
          <w:p>
            <w:pPr>
              <w:pStyle w:val="TableParagraph"/>
              <w:spacing w:line="500" w:lineRule="exact" w:before="3"/>
              <w:ind w:left="143" w:right="25" w:firstLine="316"/>
              <w:rPr>
                <w:sz w:val="21"/>
              </w:rPr>
            </w:pPr>
            <w:r>
              <w:rPr>
                <w:sz w:val="21"/>
              </w:rPr>
              <w:t>不合格分类 </w:t>
            </w:r>
          </w:p>
        </w:tc>
      </w:tr>
      <w:tr>
        <w:trPr>
          <w:trHeight w:val="498" w:hRule="atLeast"/>
        </w:trPr>
        <w:tc>
          <w:tcPr>
            <w:tcW w:w="970" w:type="dxa"/>
          </w:tcPr>
          <w:p>
            <w:pPr>
              <w:pStyle w:val="TableParagraph"/>
              <w:spacing w:before="11"/>
              <w:rPr>
                <w:sz w:val="14"/>
              </w:rPr>
            </w:pPr>
          </w:p>
          <w:p>
            <w:pPr>
              <w:pStyle w:val="TableParagraph"/>
              <w:ind w:left="623" w:right="82"/>
              <w:jc w:val="center"/>
              <w:rPr>
                <w:sz w:val="21"/>
              </w:rPr>
            </w:pPr>
            <w:r>
              <w:rPr>
                <w:sz w:val="21"/>
              </w:rPr>
              <w:t>1 </w:t>
            </w:r>
          </w:p>
        </w:tc>
        <w:tc>
          <w:tcPr>
            <w:tcW w:w="2610" w:type="dxa"/>
          </w:tcPr>
          <w:p>
            <w:pPr>
              <w:pStyle w:val="TableParagraph"/>
              <w:spacing w:before="11"/>
              <w:rPr>
                <w:sz w:val="14"/>
              </w:rPr>
            </w:pPr>
          </w:p>
          <w:p>
            <w:pPr>
              <w:pStyle w:val="TableParagraph"/>
              <w:ind w:left="601" w:right="62"/>
              <w:jc w:val="center"/>
              <w:rPr>
                <w:sz w:val="21"/>
              </w:rPr>
            </w:pPr>
            <w:r>
              <w:rPr>
                <w:sz w:val="21"/>
              </w:rPr>
              <w:t>填充材料 </w:t>
            </w:r>
          </w:p>
        </w:tc>
        <w:tc>
          <w:tcPr>
            <w:tcW w:w="2377" w:type="dxa"/>
          </w:tcPr>
          <w:p>
            <w:pPr>
              <w:pStyle w:val="TableParagraph"/>
              <w:spacing w:before="11"/>
              <w:rPr>
                <w:sz w:val="14"/>
              </w:rPr>
            </w:pPr>
          </w:p>
          <w:p>
            <w:pPr>
              <w:pStyle w:val="TableParagraph"/>
              <w:ind w:left="1005" w:right="473"/>
              <w:jc w:val="center"/>
              <w:rPr>
                <w:sz w:val="21"/>
              </w:rPr>
            </w:pPr>
            <w:r>
              <w:rPr>
                <w:sz w:val="21"/>
              </w:rPr>
              <w:t>5.2.1 </w:t>
            </w:r>
          </w:p>
        </w:tc>
        <w:tc>
          <w:tcPr>
            <w:tcW w:w="1547" w:type="dxa"/>
          </w:tcPr>
          <w:p>
            <w:pPr>
              <w:pStyle w:val="TableParagraph"/>
              <w:spacing w:before="11"/>
              <w:rPr>
                <w:sz w:val="14"/>
              </w:rPr>
            </w:pPr>
          </w:p>
          <w:p>
            <w:pPr>
              <w:pStyle w:val="TableParagraph"/>
              <w:ind w:left="698" w:right="163"/>
              <w:jc w:val="center"/>
              <w:rPr>
                <w:sz w:val="21"/>
              </w:rPr>
            </w:pPr>
            <w:r>
              <w:rPr>
                <w:sz w:val="21"/>
              </w:rPr>
              <w:t>6.3.1 </w:t>
            </w:r>
          </w:p>
        </w:tc>
        <w:tc>
          <w:tcPr>
            <w:tcW w:w="925" w:type="dxa"/>
          </w:tcPr>
          <w:p>
            <w:pPr>
              <w:pStyle w:val="TableParagraph"/>
              <w:spacing w:before="11"/>
              <w:rPr>
                <w:sz w:val="14"/>
              </w:rPr>
            </w:pPr>
          </w:p>
          <w:p>
            <w:pPr>
              <w:pStyle w:val="TableParagraph"/>
              <w:ind w:right="80"/>
              <w:jc w:val="right"/>
              <w:rPr>
                <w:sz w:val="21"/>
              </w:rPr>
            </w:pPr>
            <w:r>
              <w:rPr>
                <w:sz w:val="21"/>
              </w:rPr>
              <w:t>A </w:t>
            </w:r>
          </w:p>
        </w:tc>
      </w:tr>
      <w:tr>
        <w:trPr>
          <w:trHeight w:val="501" w:hRule="atLeast"/>
        </w:trPr>
        <w:tc>
          <w:tcPr>
            <w:tcW w:w="970" w:type="dxa"/>
          </w:tcPr>
          <w:p>
            <w:pPr>
              <w:pStyle w:val="TableParagraph"/>
              <w:spacing w:before="11"/>
              <w:rPr>
                <w:sz w:val="14"/>
              </w:rPr>
            </w:pPr>
          </w:p>
          <w:p>
            <w:pPr>
              <w:pStyle w:val="TableParagraph"/>
              <w:ind w:left="623" w:right="82"/>
              <w:jc w:val="center"/>
              <w:rPr>
                <w:sz w:val="21"/>
              </w:rPr>
            </w:pPr>
            <w:r>
              <w:rPr>
                <w:sz w:val="21"/>
              </w:rPr>
              <w:t>2 </w:t>
            </w:r>
          </w:p>
        </w:tc>
        <w:tc>
          <w:tcPr>
            <w:tcW w:w="2610" w:type="dxa"/>
          </w:tcPr>
          <w:p>
            <w:pPr>
              <w:pStyle w:val="TableParagraph"/>
              <w:spacing w:before="11"/>
              <w:rPr>
                <w:sz w:val="14"/>
              </w:rPr>
            </w:pPr>
          </w:p>
          <w:p>
            <w:pPr>
              <w:pStyle w:val="TableParagraph"/>
              <w:ind w:left="599" w:right="63"/>
              <w:jc w:val="center"/>
              <w:rPr>
                <w:sz w:val="21"/>
              </w:rPr>
            </w:pPr>
            <w:r>
              <w:rPr>
                <w:sz w:val="21"/>
              </w:rPr>
              <w:t>木材 </w:t>
            </w:r>
          </w:p>
        </w:tc>
        <w:tc>
          <w:tcPr>
            <w:tcW w:w="2377" w:type="dxa"/>
          </w:tcPr>
          <w:p>
            <w:pPr>
              <w:pStyle w:val="TableParagraph"/>
              <w:spacing w:before="11"/>
              <w:rPr>
                <w:sz w:val="14"/>
              </w:rPr>
            </w:pPr>
          </w:p>
          <w:p>
            <w:pPr>
              <w:pStyle w:val="TableParagraph"/>
              <w:ind w:left="1005" w:right="473"/>
              <w:jc w:val="center"/>
              <w:rPr>
                <w:sz w:val="21"/>
              </w:rPr>
            </w:pPr>
            <w:r>
              <w:rPr>
                <w:sz w:val="21"/>
              </w:rPr>
              <w:t>5.2.2 </w:t>
            </w:r>
          </w:p>
        </w:tc>
        <w:tc>
          <w:tcPr>
            <w:tcW w:w="1547" w:type="dxa"/>
          </w:tcPr>
          <w:p>
            <w:pPr>
              <w:pStyle w:val="TableParagraph"/>
              <w:spacing w:before="11"/>
              <w:rPr>
                <w:sz w:val="14"/>
              </w:rPr>
            </w:pPr>
          </w:p>
          <w:p>
            <w:pPr>
              <w:pStyle w:val="TableParagraph"/>
              <w:ind w:left="698" w:right="163"/>
              <w:jc w:val="center"/>
              <w:rPr>
                <w:sz w:val="21"/>
              </w:rPr>
            </w:pPr>
            <w:r>
              <w:rPr>
                <w:sz w:val="21"/>
              </w:rPr>
              <w:t>6.3.2 </w:t>
            </w:r>
          </w:p>
        </w:tc>
        <w:tc>
          <w:tcPr>
            <w:tcW w:w="925" w:type="dxa"/>
          </w:tcPr>
          <w:p>
            <w:pPr>
              <w:pStyle w:val="TableParagraph"/>
              <w:spacing w:before="11"/>
              <w:rPr>
                <w:sz w:val="14"/>
              </w:rPr>
            </w:pPr>
          </w:p>
          <w:p>
            <w:pPr>
              <w:pStyle w:val="TableParagraph"/>
              <w:ind w:right="80"/>
              <w:jc w:val="right"/>
              <w:rPr>
                <w:sz w:val="21"/>
              </w:rPr>
            </w:pPr>
            <w:r>
              <w:rPr>
                <w:sz w:val="21"/>
              </w:rPr>
              <w:t>A </w:t>
            </w:r>
          </w:p>
        </w:tc>
      </w:tr>
      <w:tr>
        <w:trPr>
          <w:trHeight w:val="498" w:hRule="atLeast"/>
        </w:trPr>
        <w:tc>
          <w:tcPr>
            <w:tcW w:w="970" w:type="dxa"/>
          </w:tcPr>
          <w:p>
            <w:pPr>
              <w:pStyle w:val="TableParagraph"/>
              <w:spacing w:before="11"/>
              <w:rPr>
                <w:sz w:val="14"/>
              </w:rPr>
            </w:pPr>
          </w:p>
          <w:p>
            <w:pPr>
              <w:pStyle w:val="TableParagraph"/>
              <w:ind w:left="623" w:right="82"/>
              <w:jc w:val="center"/>
              <w:rPr>
                <w:sz w:val="21"/>
              </w:rPr>
            </w:pPr>
            <w:r>
              <w:rPr>
                <w:sz w:val="21"/>
              </w:rPr>
              <w:t>3 </w:t>
            </w:r>
          </w:p>
        </w:tc>
        <w:tc>
          <w:tcPr>
            <w:tcW w:w="2610" w:type="dxa"/>
          </w:tcPr>
          <w:p>
            <w:pPr>
              <w:pStyle w:val="TableParagraph"/>
              <w:spacing w:before="11"/>
              <w:rPr>
                <w:sz w:val="14"/>
              </w:rPr>
            </w:pPr>
          </w:p>
          <w:p>
            <w:pPr>
              <w:pStyle w:val="TableParagraph"/>
              <w:ind w:left="599" w:right="63"/>
              <w:jc w:val="center"/>
              <w:rPr>
                <w:sz w:val="21"/>
              </w:rPr>
            </w:pPr>
            <w:r>
              <w:rPr>
                <w:sz w:val="21"/>
              </w:rPr>
              <w:t>人造板 </w:t>
            </w:r>
          </w:p>
        </w:tc>
        <w:tc>
          <w:tcPr>
            <w:tcW w:w="2377" w:type="dxa"/>
          </w:tcPr>
          <w:p>
            <w:pPr>
              <w:pStyle w:val="TableParagraph"/>
              <w:spacing w:before="11"/>
              <w:rPr>
                <w:sz w:val="14"/>
              </w:rPr>
            </w:pPr>
          </w:p>
          <w:p>
            <w:pPr>
              <w:pStyle w:val="TableParagraph"/>
              <w:ind w:left="1005" w:right="473"/>
              <w:jc w:val="center"/>
              <w:rPr>
                <w:sz w:val="21"/>
              </w:rPr>
            </w:pPr>
            <w:r>
              <w:rPr>
                <w:sz w:val="21"/>
              </w:rPr>
              <w:t>5.2.3 </w:t>
            </w:r>
          </w:p>
        </w:tc>
        <w:tc>
          <w:tcPr>
            <w:tcW w:w="1547" w:type="dxa"/>
          </w:tcPr>
          <w:p>
            <w:pPr>
              <w:pStyle w:val="TableParagraph"/>
              <w:spacing w:before="11"/>
              <w:rPr>
                <w:sz w:val="14"/>
              </w:rPr>
            </w:pPr>
          </w:p>
          <w:p>
            <w:pPr>
              <w:pStyle w:val="TableParagraph"/>
              <w:ind w:left="698" w:right="163"/>
              <w:jc w:val="center"/>
              <w:rPr>
                <w:sz w:val="21"/>
              </w:rPr>
            </w:pPr>
            <w:r>
              <w:rPr>
                <w:sz w:val="21"/>
              </w:rPr>
              <w:t>6.3.3 </w:t>
            </w:r>
          </w:p>
        </w:tc>
        <w:tc>
          <w:tcPr>
            <w:tcW w:w="925" w:type="dxa"/>
          </w:tcPr>
          <w:p>
            <w:pPr>
              <w:pStyle w:val="TableParagraph"/>
              <w:spacing w:before="11"/>
              <w:rPr>
                <w:sz w:val="14"/>
              </w:rPr>
            </w:pPr>
          </w:p>
          <w:p>
            <w:pPr>
              <w:pStyle w:val="TableParagraph"/>
              <w:ind w:right="80"/>
              <w:jc w:val="right"/>
              <w:rPr>
                <w:sz w:val="21"/>
              </w:rPr>
            </w:pPr>
            <w:r>
              <w:rPr>
                <w:sz w:val="21"/>
              </w:rPr>
              <w:t>A </w:t>
            </w:r>
          </w:p>
        </w:tc>
      </w:tr>
      <w:tr>
        <w:trPr>
          <w:trHeight w:val="501" w:hRule="atLeast"/>
        </w:trPr>
        <w:tc>
          <w:tcPr>
            <w:tcW w:w="970" w:type="dxa"/>
          </w:tcPr>
          <w:p>
            <w:pPr>
              <w:pStyle w:val="TableParagraph"/>
              <w:spacing w:before="11"/>
              <w:rPr>
                <w:sz w:val="14"/>
              </w:rPr>
            </w:pPr>
          </w:p>
          <w:p>
            <w:pPr>
              <w:pStyle w:val="TableParagraph"/>
              <w:ind w:left="623" w:right="82"/>
              <w:jc w:val="center"/>
              <w:rPr>
                <w:sz w:val="21"/>
              </w:rPr>
            </w:pPr>
            <w:r>
              <w:rPr>
                <w:sz w:val="21"/>
              </w:rPr>
              <w:t>4 </w:t>
            </w:r>
          </w:p>
        </w:tc>
        <w:tc>
          <w:tcPr>
            <w:tcW w:w="2610" w:type="dxa"/>
          </w:tcPr>
          <w:p>
            <w:pPr>
              <w:pStyle w:val="TableParagraph"/>
              <w:spacing w:before="11"/>
              <w:rPr>
                <w:sz w:val="14"/>
              </w:rPr>
            </w:pPr>
          </w:p>
          <w:p>
            <w:pPr>
              <w:pStyle w:val="TableParagraph"/>
              <w:ind w:left="599" w:right="63"/>
              <w:jc w:val="center"/>
              <w:rPr>
                <w:sz w:val="21"/>
              </w:rPr>
            </w:pPr>
            <w:r>
              <w:rPr>
                <w:sz w:val="21"/>
              </w:rPr>
              <w:t>钢材 </w:t>
            </w:r>
          </w:p>
        </w:tc>
        <w:tc>
          <w:tcPr>
            <w:tcW w:w="2377" w:type="dxa"/>
          </w:tcPr>
          <w:p>
            <w:pPr>
              <w:pStyle w:val="TableParagraph"/>
              <w:spacing w:before="11"/>
              <w:rPr>
                <w:sz w:val="14"/>
              </w:rPr>
            </w:pPr>
          </w:p>
          <w:p>
            <w:pPr>
              <w:pStyle w:val="TableParagraph"/>
              <w:ind w:left="1005" w:right="473"/>
              <w:jc w:val="center"/>
              <w:rPr>
                <w:sz w:val="21"/>
              </w:rPr>
            </w:pPr>
            <w:r>
              <w:rPr>
                <w:sz w:val="21"/>
              </w:rPr>
              <w:t>5.2.4 </w:t>
            </w:r>
          </w:p>
        </w:tc>
        <w:tc>
          <w:tcPr>
            <w:tcW w:w="1547" w:type="dxa"/>
          </w:tcPr>
          <w:p>
            <w:pPr>
              <w:pStyle w:val="TableParagraph"/>
              <w:spacing w:before="11"/>
              <w:rPr>
                <w:sz w:val="14"/>
              </w:rPr>
            </w:pPr>
          </w:p>
          <w:p>
            <w:pPr>
              <w:pStyle w:val="TableParagraph"/>
              <w:ind w:left="698" w:right="163"/>
              <w:jc w:val="center"/>
              <w:rPr>
                <w:sz w:val="21"/>
              </w:rPr>
            </w:pPr>
            <w:r>
              <w:rPr>
                <w:sz w:val="21"/>
              </w:rPr>
              <w:t>6.3.4 </w:t>
            </w:r>
          </w:p>
        </w:tc>
        <w:tc>
          <w:tcPr>
            <w:tcW w:w="925" w:type="dxa"/>
          </w:tcPr>
          <w:p>
            <w:pPr>
              <w:pStyle w:val="TableParagraph"/>
              <w:spacing w:before="11"/>
              <w:rPr>
                <w:sz w:val="14"/>
              </w:rPr>
            </w:pPr>
          </w:p>
          <w:p>
            <w:pPr>
              <w:pStyle w:val="TableParagraph"/>
              <w:ind w:right="80"/>
              <w:jc w:val="right"/>
              <w:rPr>
                <w:sz w:val="21"/>
              </w:rPr>
            </w:pPr>
            <w:r>
              <w:rPr>
                <w:sz w:val="21"/>
              </w:rPr>
              <w:t>A </w:t>
            </w:r>
          </w:p>
        </w:tc>
      </w:tr>
      <w:tr>
        <w:trPr>
          <w:trHeight w:val="498" w:hRule="atLeast"/>
        </w:trPr>
        <w:tc>
          <w:tcPr>
            <w:tcW w:w="970" w:type="dxa"/>
          </w:tcPr>
          <w:p>
            <w:pPr>
              <w:pStyle w:val="TableParagraph"/>
              <w:spacing w:before="11"/>
              <w:rPr>
                <w:sz w:val="14"/>
              </w:rPr>
            </w:pPr>
          </w:p>
          <w:p>
            <w:pPr>
              <w:pStyle w:val="TableParagraph"/>
              <w:ind w:left="623" w:right="82"/>
              <w:jc w:val="center"/>
              <w:rPr>
                <w:sz w:val="21"/>
              </w:rPr>
            </w:pPr>
            <w:r>
              <w:rPr>
                <w:sz w:val="21"/>
              </w:rPr>
              <w:t>5 </w:t>
            </w:r>
          </w:p>
        </w:tc>
        <w:tc>
          <w:tcPr>
            <w:tcW w:w="2610" w:type="dxa"/>
          </w:tcPr>
          <w:p>
            <w:pPr>
              <w:pStyle w:val="TableParagraph"/>
              <w:spacing w:before="11"/>
              <w:rPr>
                <w:sz w:val="14"/>
              </w:rPr>
            </w:pPr>
          </w:p>
          <w:p>
            <w:pPr>
              <w:pStyle w:val="TableParagraph"/>
              <w:ind w:left="599" w:right="63"/>
              <w:jc w:val="center"/>
              <w:rPr>
                <w:sz w:val="21"/>
              </w:rPr>
            </w:pPr>
            <w:r>
              <w:rPr>
                <w:sz w:val="21"/>
              </w:rPr>
              <w:t>其他材质材料 </w:t>
            </w:r>
          </w:p>
        </w:tc>
        <w:tc>
          <w:tcPr>
            <w:tcW w:w="2377" w:type="dxa"/>
          </w:tcPr>
          <w:p>
            <w:pPr>
              <w:pStyle w:val="TableParagraph"/>
              <w:spacing w:before="11"/>
              <w:rPr>
                <w:sz w:val="14"/>
              </w:rPr>
            </w:pPr>
          </w:p>
          <w:p>
            <w:pPr>
              <w:pStyle w:val="TableParagraph"/>
              <w:ind w:left="1005" w:right="473"/>
              <w:jc w:val="center"/>
              <w:rPr>
                <w:sz w:val="21"/>
              </w:rPr>
            </w:pPr>
            <w:r>
              <w:rPr>
                <w:sz w:val="21"/>
              </w:rPr>
              <w:t>5.2.5 </w:t>
            </w:r>
          </w:p>
        </w:tc>
        <w:tc>
          <w:tcPr>
            <w:tcW w:w="1547" w:type="dxa"/>
          </w:tcPr>
          <w:p>
            <w:pPr>
              <w:pStyle w:val="TableParagraph"/>
              <w:spacing w:before="11"/>
              <w:rPr>
                <w:sz w:val="14"/>
              </w:rPr>
            </w:pPr>
          </w:p>
          <w:p>
            <w:pPr>
              <w:pStyle w:val="TableParagraph"/>
              <w:ind w:left="698" w:right="163"/>
              <w:jc w:val="center"/>
              <w:rPr>
                <w:sz w:val="21"/>
              </w:rPr>
            </w:pPr>
            <w:r>
              <w:rPr>
                <w:sz w:val="21"/>
              </w:rPr>
              <w:t>6.3.5 </w:t>
            </w:r>
          </w:p>
        </w:tc>
        <w:tc>
          <w:tcPr>
            <w:tcW w:w="925" w:type="dxa"/>
          </w:tcPr>
          <w:p>
            <w:pPr>
              <w:pStyle w:val="TableParagraph"/>
              <w:spacing w:before="11"/>
              <w:rPr>
                <w:sz w:val="14"/>
              </w:rPr>
            </w:pPr>
          </w:p>
          <w:p>
            <w:pPr>
              <w:pStyle w:val="TableParagraph"/>
              <w:ind w:right="80"/>
              <w:jc w:val="right"/>
              <w:rPr>
                <w:sz w:val="21"/>
              </w:rPr>
            </w:pPr>
            <w:r>
              <w:rPr>
                <w:sz w:val="21"/>
              </w:rPr>
              <w:t>A </w:t>
            </w:r>
          </w:p>
        </w:tc>
      </w:tr>
      <w:tr>
        <w:trPr>
          <w:trHeight w:val="501" w:hRule="atLeast"/>
        </w:trPr>
        <w:tc>
          <w:tcPr>
            <w:tcW w:w="970" w:type="dxa"/>
          </w:tcPr>
          <w:p>
            <w:pPr>
              <w:pStyle w:val="TableParagraph"/>
              <w:rPr>
                <w:sz w:val="15"/>
              </w:rPr>
            </w:pPr>
          </w:p>
          <w:p>
            <w:pPr>
              <w:pStyle w:val="TableParagraph"/>
              <w:ind w:left="623" w:right="82"/>
              <w:jc w:val="center"/>
              <w:rPr>
                <w:sz w:val="21"/>
              </w:rPr>
            </w:pPr>
            <w:r>
              <w:rPr>
                <w:sz w:val="21"/>
              </w:rPr>
              <w:t>6 </w:t>
            </w:r>
          </w:p>
        </w:tc>
        <w:tc>
          <w:tcPr>
            <w:tcW w:w="2610" w:type="dxa"/>
          </w:tcPr>
          <w:p>
            <w:pPr>
              <w:pStyle w:val="TableParagraph"/>
              <w:rPr>
                <w:sz w:val="15"/>
              </w:rPr>
            </w:pPr>
          </w:p>
          <w:p>
            <w:pPr>
              <w:pStyle w:val="TableParagraph"/>
              <w:ind w:left="599" w:right="63"/>
              <w:jc w:val="center"/>
              <w:rPr>
                <w:sz w:val="21"/>
              </w:rPr>
            </w:pPr>
            <w:r>
              <w:rPr>
                <w:sz w:val="21"/>
              </w:rPr>
              <w:t>粘结剂 </w:t>
            </w:r>
          </w:p>
        </w:tc>
        <w:tc>
          <w:tcPr>
            <w:tcW w:w="2377" w:type="dxa"/>
          </w:tcPr>
          <w:p>
            <w:pPr>
              <w:pStyle w:val="TableParagraph"/>
              <w:rPr>
                <w:sz w:val="15"/>
              </w:rPr>
            </w:pPr>
          </w:p>
          <w:p>
            <w:pPr>
              <w:pStyle w:val="TableParagraph"/>
              <w:ind w:left="1005" w:right="473"/>
              <w:jc w:val="center"/>
              <w:rPr>
                <w:sz w:val="21"/>
              </w:rPr>
            </w:pPr>
            <w:r>
              <w:rPr>
                <w:sz w:val="21"/>
              </w:rPr>
              <w:t>5.2.6 </w:t>
            </w:r>
          </w:p>
        </w:tc>
        <w:tc>
          <w:tcPr>
            <w:tcW w:w="1547" w:type="dxa"/>
          </w:tcPr>
          <w:p>
            <w:pPr>
              <w:pStyle w:val="TableParagraph"/>
              <w:rPr>
                <w:sz w:val="15"/>
              </w:rPr>
            </w:pPr>
          </w:p>
          <w:p>
            <w:pPr>
              <w:pStyle w:val="TableParagraph"/>
              <w:ind w:left="698" w:right="163"/>
              <w:jc w:val="center"/>
              <w:rPr>
                <w:sz w:val="21"/>
              </w:rPr>
            </w:pPr>
            <w:r>
              <w:rPr>
                <w:sz w:val="21"/>
              </w:rPr>
              <w:t>6.3.6 </w:t>
            </w:r>
          </w:p>
        </w:tc>
        <w:tc>
          <w:tcPr>
            <w:tcW w:w="925" w:type="dxa"/>
          </w:tcPr>
          <w:p>
            <w:pPr>
              <w:pStyle w:val="TableParagraph"/>
              <w:rPr>
                <w:sz w:val="15"/>
              </w:rPr>
            </w:pPr>
          </w:p>
          <w:p>
            <w:pPr>
              <w:pStyle w:val="TableParagraph"/>
              <w:ind w:right="80"/>
              <w:jc w:val="right"/>
              <w:rPr>
                <w:sz w:val="21"/>
              </w:rPr>
            </w:pPr>
            <w:r>
              <w:rPr>
                <w:sz w:val="21"/>
              </w:rPr>
              <w:t>A </w:t>
            </w:r>
          </w:p>
        </w:tc>
      </w:tr>
      <w:tr>
        <w:trPr>
          <w:trHeight w:val="499" w:hRule="atLeast"/>
        </w:trPr>
        <w:tc>
          <w:tcPr>
            <w:tcW w:w="970" w:type="dxa"/>
          </w:tcPr>
          <w:p>
            <w:pPr>
              <w:pStyle w:val="TableParagraph"/>
              <w:spacing w:before="11"/>
              <w:rPr>
                <w:sz w:val="14"/>
              </w:rPr>
            </w:pPr>
          </w:p>
          <w:p>
            <w:pPr>
              <w:pStyle w:val="TableParagraph"/>
              <w:ind w:left="623" w:right="82"/>
              <w:jc w:val="center"/>
              <w:rPr>
                <w:sz w:val="21"/>
              </w:rPr>
            </w:pPr>
            <w:r>
              <w:rPr>
                <w:sz w:val="21"/>
              </w:rPr>
              <w:t>7 </w:t>
            </w:r>
          </w:p>
        </w:tc>
        <w:tc>
          <w:tcPr>
            <w:tcW w:w="2610" w:type="dxa"/>
          </w:tcPr>
          <w:p>
            <w:pPr>
              <w:pStyle w:val="TableParagraph"/>
              <w:spacing w:before="11"/>
              <w:rPr>
                <w:sz w:val="14"/>
              </w:rPr>
            </w:pPr>
          </w:p>
          <w:p>
            <w:pPr>
              <w:pStyle w:val="TableParagraph"/>
              <w:ind w:left="599" w:right="63"/>
              <w:jc w:val="center"/>
              <w:rPr>
                <w:sz w:val="21"/>
              </w:rPr>
            </w:pPr>
            <w:r>
              <w:rPr>
                <w:sz w:val="21"/>
              </w:rPr>
              <w:t>防火锁 </w:t>
            </w:r>
          </w:p>
        </w:tc>
        <w:tc>
          <w:tcPr>
            <w:tcW w:w="2377" w:type="dxa"/>
          </w:tcPr>
          <w:p>
            <w:pPr>
              <w:pStyle w:val="TableParagraph"/>
              <w:spacing w:before="11"/>
              <w:rPr>
                <w:sz w:val="14"/>
              </w:rPr>
            </w:pPr>
          </w:p>
          <w:p>
            <w:pPr>
              <w:pStyle w:val="TableParagraph"/>
              <w:ind w:left="1005" w:right="473"/>
              <w:jc w:val="center"/>
              <w:rPr>
                <w:sz w:val="21"/>
              </w:rPr>
            </w:pPr>
            <w:r>
              <w:rPr>
                <w:sz w:val="21"/>
              </w:rPr>
              <w:t>5.3.1 </w:t>
            </w:r>
          </w:p>
        </w:tc>
        <w:tc>
          <w:tcPr>
            <w:tcW w:w="1547" w:type="dxa"/>
          </w:tcPr>
          <w:p>
            <w:pPr>
              <w:pStyle w:val="TableParagraph"/>
              <w:spacing w:before="11"/>
              <w:rPr>
                <w:sz w:val="14"/>
              </w:rPr>
            </w:pPr>
          </w:p>
          <w:p>
            <w:pPr>
              <w:pStyle w:val="TableParagraph"/>
              <w:ind w:left="698" w:right="163"/>
              <w:jc w:val="center"/>
              <w:rPr>
                <w:sz w:val="21"/>
              </w:rPr>
            </w:pPr>
            <w:r>
              <w:rPr>
                <w:sz w:val="21"/>
              </w:rPr>
              <w:t>6.4.1 </w:t>
            </w:r>
          </w:p>
        </w:tc>
        <w:tc>
          <w:tcPr>
            <w:tcW w:w="925" w:type="dxa"/>
          </w:tcPr>
          <w:p>
            <w:pPr>
              <w:pStyle w:val="TableParagraph"/>
              <w:spacing w:before="11"/>
              <w:rPr>
                <w:sz w:val="14"/>
              </w:rPr>
            </w:pPr>
          </w:p>
          <w:p>
            <w:pPr>
              <w:pStyle w:val="TableParagraph"/>
              <w:ind w:right="80"/>
              <w:jc w:val="right"/>
              <w:rPr>
                <w:sz w:val="21"/>
              </w:rPr>
            </w:pPr>
            <w:r>
              <w:rPr>
                <w:sz w:val="21"/>
              </w:rPr>
              <w:t>B </w:t>
            </w:r>
          </w:p>
        </w:tc>
      </w:tr>
      <w:tr>
        <w:trPr>
          <w:trHeight w:val="501" w:hRule="atLeast"/>
        </w:trPr>
        <w:tc>
          <w:tcPr>
            <w:tcW w:w="970" w:type="dxa"/>
          </w:tcPr>
          <w:p>
            <w:pPr>
              <w:pStyle w:val="TableParagraph"/>
              <w:rPr>
                <w:sz w:val="15"/>
              </w:rPr>
            </w:pPr>
          </w:p>
          <w:p>
            <w:pPr>
              <w:pStyle w:val="TableParagraph"/>
              <w:ind w:left="623" w:right="82"/>
              <w:jc w:val="center"/>
              <w:rPr>
                <w:sz w:val="21"/>
              </w:rPr>
            </w:pPr>
            <w:r>
              <w:rPr>
                <w:sz w:val="21"/>
              </w:rPr>
              <w:t>8 </w:t>
            </w:r>
          </w:p>
        </w:tc>
        <w:tc>
          <w:tcPr>
            <w:tcW w:w="2610" w:type="dxa"/>
          </w:tcPr>
          <w:p>
            <w:pPr>
              <w:pStyle w:val="TableParagraph"/>
              <w:rPr>
                <w:sz w:val="15"/>
              </w:rPr>
            </w:pPr>
          </w:p>
          <w:p>
            <w:pPr>
              <w:pStyle w:val="TableParagraph"/>
              <w:ind w:left="601" w:right="63"/>
              <w:jc w:val="center"/>
              <w:rPr>
                <w:sz w:val="21"/>
              </w:rPr>
            </w:pPr>
            <w:r>
              <w:rPr>
                <w:sz w:val="21"/>
              </w:rPr>
              <w:t>防火合页（铰链） </w:t>
            </w:r>
          </w:p>
        </w:tc>
        <w:tc>
          <w:tcPr>
            <w:tcW w:w="2377" w:type="dxa"/>
          </w:tcPr>
          <w:p>
            <w:pPr>
              <w:pStyle w:val="TableParagraph"/>
              <w:rPr>
                <w:sz w:val="15"/>
              </w:rPr>
            </w:pPr>
          </w:p>
          <w:p>
            <w:pPr>
              <w:pStyle w:val="TableParagraph"/>
              <w:ind w:left="1005" w:right="473"/>
              <w:jc w:val="center"/>
              <w:rPr>
                <w:sz w:val="21"/>
              </w:rPr>
            </w:pPr>
            <w:r>
              <w:rPr>
                <w:sz w:val="21"/>
              </w:rPr>
              <w:t>5.3.2 </w:t>
            </w:r>
          </w:p>
        </w:tc>
        <w:tc>
          <w:tcPr>
            <w:tcW w:w="1547" w:type="dxa"/>
          </w:tcPr>
          <w:p>
            <w:pPr>
              <w:pStyle w:val="TableParagraph"/>
              <w:rPr>
                <w:sz w:val="15"/>
              </w:rPr>
            </w:pPr>
          </w:p>
          <w:p>
            <w:pPr>
              <w:pStyle w:val="TableParagraph"/>
              <w:ind w:left="698" w:right="163"/>
              <w:jc w:val="center"/>
              <w:rPr>
                <w:sz w:val="21"/>
              </w:rPr>
            </w:pPr>
            <w:r>
              <w:rPr>
                <w:sz w:val="21"/>
              </w:rPr>
              <w:t>6.4.2 </w:t>
            </w:r>
          </w:p>
        </w:tc>
        <w:tc>
          <w:tcPr>
            <w:tcW w:w="925" w:type="dxa"/>
          </w:tcPr>
          <w:p>
            <w:pPr>
              <w:pStyle w:val="TableParagraph"/>
              <w:rPr>
                <w:sz w:val="15"/>
              </w:rPr>
            </w:pPr>
          </w:p>
          <w:p>
            <w:pPr>
              <w:pStyle w:val="TableParagraph"/>
              <w:ind w:right="80"/>
              <w:jc w:val="right"/>
              <w:rPr>
                <w:sz w:val="21"/>
              </w:rPr>
            </w:pPr>
            <w:r>
              <w:rPr>
                <w:sz w:val="21"/>
              </w:rPr>
              <w:t>B </w:t>
            </w:r>
          </w:p>
        </w:tc>
      </w:tr>
      <w:tr>
        <w:trPr>
          <w:trHeight w:val="501" w:hRule="atLeast"/>
        </w:trPr>
        <w:tc>
          <w:tcPr>
            <w:tcW w:w="970" w:type="dxa"/>
          </w:tcPr>
          <w:p>
            <w:pPr>
              <w:pStyle w:val="TableParagraph"/>
              <w:spacing w:before="11"/>
              <w:rPr>
                <w:sz w:val="14"/>
              </w:rPr>
            </w:pPr>
          </w:p>
          <w:p>
            <w:pPr>
              <w:pStyle w:val="TableParagraph"/>
              <w:ind w:left="623" w:right="82"/>
              <w:jc w:val="center"/>
              <w:rPr>
                <w:sz w:val="21"/>
              </w:rPr>
            </w:pPr>
            <w:r>
              <w:rPr>
                <w:sz w:val="21"/>
              </w:rPr>
              <w:t>9 </w:t>
            </w:r>
          </w:p>
        </w:tc>
        <w:tc>
          <w:tcPr>
            <w:tcW w:w="2610" w:type="dxa"/>
          </w:tcPr>
          <w:p>
            <w:pPr>
              <w:pStyle w:val="TableParagraph"/>
              <w:spacing w:before="11"/>
              <w:rPr>
                <w:sz w:val="14"/>
              </w:rPr>
            </w:pPr>
          </w:p>
          <w:p>
            <w:pPr>
              <w:pStyle w:val="TableParagraph"/>
              <w:ind w:left="599" w:right="63"/>
              <w:jc w:val="center"/>
              <w:rPr>
                <w:sz w:val="21"/>
              </w:rPr>
            </w:pPr>
            <w:r>
              <w:rPr>
                <w:sz w:val="21"/>
              </w:rPr>
              <w:t>防火闭门装置 </w:t>
            </w:r>
          </w:p>
        </w:tc>
        <w:tc>
          <w:tcPr>
            <w:tcW w:w="2377" w:type="dxa"/>
          </w:tcPr>
          <w:p>
            <w:pPr>
              <w:pStyle w:val="TableParagraph"/>
              <w:spacing w:before="11"/>
              <w:rPr>
                <w:sz w:val="14"/>
              </w:rPr>
            </w:pPr>
          </w:p>
          <w:p>
            <w:pPr>
              <w:pStyle w:val="TableParagraph"/>
              <w:ind w:left="1005" w:right="473"/>
              <w:jc w:val="center"/>
              <w:rPr>
                <w:sz w:val="21"/>
              </w:rPr>
            </w:pPr>
            <w:r>
              <w:rPr>
                <w:sz w:val="21"/>
              </w:rPr>
              <w:t>5.3.3 </w:t>
            </w:r>
          </w:p>
        </w:tc>
        <w:tc>
          <w:tcPr>
            <w:tcW w:w="1547" w:type="dxa"/>
          </w:tcPr>
          <w:p>
            <w:pPr>
              <w:pStyle w:val="TableParagraph"/>
              <w:spacing w:before="11"/>
              <w:rPr>
                <w:sz w:val="14"/>
              </w:rPr>
            </w:pPr>
          </w:p>
          <w:p>
            <w:pPr>
              <w:pStyle w:val="TableParagraph"/>
              <w:ind w:left="698" w:right="163"/>
              <w:jc w:val="center"/>
              <w:rPr>
                <w:sz w:val="21"/>
              </w:rPr>
            </w:pPr>
            <w:r>
              <w:rPr>
                <w:sz w:val="21"/>
              </w:rPr>
              <w:t>6.4.3 </w:t>
            </w:r>
          </w:p>
        </w:tc>
        <w:tc>
          <w:tcPr>
            <w:tcW w:w="925" w:type="dxa"/>
          </w:tcPr>
          <w:p>
            <w:pPr>
              <w:pStyle w:val="TableParagraph"/>
              <w:spacing w:before="11"/>
              <w:rPr>
                <w:sz w:val="14"/>
              </w:rPr>
            </w:pPr>
          </w:p>
          <w:p>
            <w:pPr>
              <w:pStyle w:val="TableParagraph"/>
              <w:ind w:right="80"/>
              <w:jc w:val="right"/>
              <w:rPr>
                <w:sz w:val="21"/>
              </w:rPr>
            </w:pPr>
            <w:r>
              <w:rPr>
                <w:sz w:val="21"/>
              </w:rPr>
              <w:t>B </w:t>
            </w:r>
          </w:p>
        </w:tc>
      </w:tr>
      <w:tr>
        <w:trPr>
          <w:trHeight w:val="498" w:hRule="atLeast"/>
        </w:trPr>
        <w:tc>
          <w:tcPr>
            <w:tcW w:w="970" w:type="dxa"/>
          </w:tcPr>
          <w:p>
            <w:pPr>
              <w:pStyle w:val="TableParagraph"/>
              <w:spacing w:before="11"/>
              <w:rPr>
                <w:sz w:val="14"/>
              </w:rPr>
            </w:pPr>
          </w:p>
          <w:p>
            <w:pPr>
              <w:pStyle w:val="TableParagraph"/>
              <w:ind w:left="623" w:right="82"/>
              <w:jc w:val="center"/>
              <w:rPr>
                <w:sz w:val="21"/>
              </w:rPr>
            </w:pPr>
            <w:r>
              <w:rPr>
                <w:sz w:val="21"/>
              </w:rPr>
              <w:t>10 </w:t>
            </w:r>
          </w:p>
        </w:tc>
        <w:tc>
          <w:tcPr>
            <w:tcW w:w="2610" w:type="dxa"/>
          </w:tcPr>
          <w:p>
            <w:pPr>
              <w:pStyle w:val="TableParagraph"/>
              <w:spacing w:before="11"/>
              <w:rPr>
                <w:sz w:val="14"/>
              </w:rPr>
            </w:pPr>
          </w:p>
          <w:p>
            <w:pPr>
              <w:pStyle w:val="TableParagraph"/>
              <w:ind w:left="601" w:right="63"/>
              <w:jc w:val="center"/>
              <w:rPr>
                <w:sz w:val="21"/>
              </w:rPr>
            </w:pPr>
            <w:r>
              <w:rPr>
                <w:sz w:val="21"/>
              </w:rPr>
              <w:t>防火顺序器 </w:t>
            </w:r>
          </w:p>
        </w:tc>
        <w:tc>
          <w:tcPr>
            <w:tcW w:w="2377" w:type="dxa"/>
          </w:tcPr>
          <w:p>
            <w:pPr>
              <w:pStyle w:val="TableParagraph"/>
              <w:spacing w:before="11"/>
              <w:rPr>
                <w:sz w:val="14"/>
              </w:rPr>
            </w:pPr>
          </w:p>
          <w:p>
            <w:pPr>
              <w:pStyle w:val="TableParagraph"/>
              <w:ind w:left="1005" w:right="473"/>
              <w:jc w:val="center"/>
              <w:rPr>
                <w:sz w:val="21"/>
              </w:rPr>
            </w:pPr>
            <w:r>
              <w:rPr>
                <w:sz w:val="21"/>
              </w:rPr>
              <w:t>5.3.4 </w:t>
            </w:r>
          </w:p>
        </w:tc>
        <w:tc>
          <w:tcPr>
            <w:tcW w:w="1547" w:type="dxa"/>
          </w:tcPr>
          <w:p>
            <w:pPr>
              <w:pStyle w:val="TableParagraph"/>
              <w:spacing w:before="11"/>
              <w:rPr>
                <w:sz w:val="14"/>
              </w:rPr>
            </w:pPr>
          </w:p>
          <w:p>
            <w:pPr>
              <w:pStyle w:val="TableParagraph"/>
              <w:ind w:left="698" w:right="163"/>
              <w:jc w:val="center"/>
              <w:rPr>
                <w:sz w:val="21"/>
              </w:rPr>
            </w:pPr>
            <w:r>
              <w:rPr>
                <w:sz w:val="21"/>
              </w:rPr>
              <w:t>6.4.4 </w:t>
            </w:r>
          </w:p>
        </w:tc>
        <w:tc>
          <w:tcPr>
            <w:tcW w:w="925" w:type="dxa"/>
          </w:tcPr>
          <w:p>
            <w:pPr>
              <w:pStyle w:val="TableParagraph"/>
              <w:spacing w:before="11"/>
              <w:rPr>
                <w:sz w:val="14"/>
              </w:rPr>
            </w:pPr>
          </w:p>
          <w:p>
            <w:pPr>
              <w:pStyle w:val="TableParagraph"/>
              <w:ind w:right="80"/>
              <w:jc w:val="right"/>
              <w:rPr>
                <w:sz w:val="21"/>
              </w:rPr>
            </w:pPr>
            <w:r>
              <w:rPr>
                <w:sz w:val="21"/>
              </w:rPr>
              <w:t>B </w:t>
            </w:r>
          </w:p>
        </w:tc>
      </w:tr>
      <w:tr>
        <w:trPr>
          <w:trHeight w:val="500" w:hRule="atLeast"/>
        </w:trPr>
        <w:tc>
          <w:tcPr>
            <w:tcW w:w="970" w:type="dxa"/>
          </w:tcPr>
          <w:p>
            <w:pPr>
              <w:pStyle w:val="TableParagraph"/>
              <w:spacing w:before="11"/>
              <w:rPr>
                <w:sz w:val="14"/>
              </w:rPr>
            </w:pPr>
          </w:p>
          <w:p>
            <w:pPr>
              <w:pStyle w:val="TableParagraph"/>
              <w:ind w:left="623" w:right="82"/>
              <w:jc w:val="center"/>
              <w:rPr>
                <w:sz w:val="21"/>
              </w:rPr>
            </w:pPr>
            <w:r>
              <w:rPr>
                <w:sz w:val="21"/>
              </w:rPr>
              <w:t>11 </w:t>
            </w:r>
          </w:p>
        </w:tc>
        <w:tc>
          <w:tcPr>
            <w:tcW w:w="2610" w:type="dxa"/>
          </w:tcPr>
          <w:p>
            <w:pPr>
              <w:pStyle w:val="TableParagraph"/>
              <w:spacing w:before="11"/>
              <w:rPr>
                <w:sz w:val="14"/>
              </w:rPr>
            </w:pPr>
          </w:p>
          <w:p>
            <w:pPr>
              <w:pStyle w:val="TableParagraph"/>
              <w:ind w:left="601" w:right="62"/>
              <w:jc w:val="center"/>
              <w:rPr>
                <w:sz w:val="21"/>
              </w:rPr>
            </w:pPr>
            <w:r>
              <w:rPr>
                <w:sz w:val="21"/>
              </w:rPr>
              <w:t>防火插销 </w:t>
            </w:r>
          </w:p>
        </w:tc>
        <w:tc>
          <w:tcPr>
            <w:tcW w:w="2377" w:type="dxa"/>
          </w:tcPr>
          <w:p>
            <w:pPr>
              <w:pStyle w:val="TableParagraph"/>
              <w:spacing w:before="11"/>
              <w:rPr>
                <w:sz w:val="14"/>
              </w:rPr>
            </w:pPr>
          </w:p>
          <w:p>
            <w:pPr>
              <w:pStyle w:val="TableParagraph"/>
              <w:ind w:left="1005" w:right="473"/>
              <w:jc w:val="center"/>
              <w:rPr>
                <w:sz w:val="21"/>
              </w:rPr>
            </w:pPr>
            <w:r>
              <w:rPr>
                <w:sz w:val="21"/>
              </w:rPr>
              <w:t>5.3.5 </w:t>
            </w:r>
          </w:p>
        </w:tc>
        <w:tc>
          <w:tcPr>
            <w:tcW w:w="1547" w:type="dxa"/>
          </w:tcPr>
          <w:p>
            <w:pPr>
              <w:pStyle w:val="TableParagraph"/>
              <w:spacing w:before="11"/>
              <w:rPr>
                <w:sz w:val="14"/>
              </w:rPr>
            </w:pPr>
          </w:p>
          <w:p>
            <w:pPr>
              <w:pStyle w:val="TableParagraph"/>
              <w:ind w:left="698" w:right="163"/>
              <w:jc w:val="center"/>
              <w:rPr>
                <w:sz w:val="21"/>
              </w:rPr>
            </w:pPr>
            <w:r>
              <w:rPr>
                <w:sz w:val="21"/>
              </w:rPr>
              <w:t>6.4.5 </w:t>
            </w:r>
          </w:p>
        </w:tc>
        <w:tc>
          <w:tcPr>
            <w:tcW w:w="925" w:type="dxa"/>
          </w:tcPr>
          <w:p>
            <w:pPr>
              <w:pStyle w:val="TableParagraph"/>
              <w:spacing w:before="11"/>
              <w:rPr>
                <w:sz w:val="14"/>
              </w:rPr>
            </w:pPr>
          </w:p>
          <w:p>
            <w:pPr>
              <w:pStyle w:val="TableParagraph"/>
              <w:ind w:right="80"/>
              <w:jc w:val="right"/>
              <w:rPr>
                <w:sz w:val="21"/>
              </w:rPr>
            </w:pPr>
            <w:r>
              <w:rPr>
                <w:sz w:val="21"/>
              </w:rPr>
              <w:t>C </w:t>
            </w:r>
          </w:p>
        </w:tc>
      </w:tr>
      <w:tr>
        <w:trPr>
          <w:trHeight w:val="498" w:hRule="atLeast"/>
        </w:trPr>
        <w:tc>
          <w:tcPr>
            <w:tcW w:w="970" w:type="dxa"/>
          </w:tcPr>
          <w:p>
            <w:pPr>
              <w:pStyle w:val="TableParagraph"/>
              <w:spacing w:before="11"/>
              <w:rPr>
                <w:sz w:val="14"/>
              </w:rPr>
            </w:pPr>
          </w:p>
          <w:p>
            <w:pPr>
              <w:pStyle w:val="TableParagraph"/>
              <w:ind w:left="623" w:right="82"/>
              <w:jc w:val="center"/>
              <w:rPr>
                <w:sz w:val="21"/>
              </w:rPr>
            </w:pPr>
            <w:r>
              <w:rPr>
                <w:sz w:val="21"/>
              </w:rPr>
              <w:t>12 </w:t>
            </w:r>
          </w:p>
        </w:tc>
        <w:tc>
          <w:tcPr>
            <w:tcW w:w="2610" w:type="dxa"/>
          </w:tcPr>
          <w:p>
            <w:pPr>
              <w:pStyle w:val="TableParagraph"/>
              <w:spacing w:before="11"/>
              <w:rPr>
                <w:sz w:val="14"/>
              </w:rPr>
            </w:pPr>
          </w:p>
          <w:p>
            <w:pPr>
              <w:pStyle w:val="TableParagraph"/>
              <w:ind w:left="599" w:right="63"/>
              <w:jc w:val="center"/>
              <w:rPr>
                <w:sz w:val="21"/>
              </w:rPr>
            </w:pPr>
            <w:r>
              <w:rPr>
                <w:sz w:val="21"/>
              </w:rPr>
              <w:t>盖缝板 </w:t>
            </w:r>
          </w:p>
        </w:tc>
        <w:tc>
          <w:tcPr>
            <w:tcW w:w="2377" w:type="dxa"/>
          </w:tcPr>
          <w:p>
            <w:pPr>
              <w:pStyle w:val="TableParagraph"/>
              <w:spacing w:before="11"/>
              <w:rPr>
                <w:sz w:val="14"/>
              </w:rPr>
            </w:pPr>
          </w:p>
          <w:p>
            <w:pPr>
              <w:pStyle w:val="TableParagraph"/>
              <w:ind w:left="1005" w:right="473"/>
              <w:jc w:val="center"/>
              <w:rPr>
                <w:sz w:val="21"/>
              </w:rPr>
            </w:pPr>
            <w:r>
              <w:rPr>
                <w:sz w:val="21"/>
              </w:rPr>
              <w:t>5.3.6 </w:t>
            </w:r>
          </w:p>
        </w:tc>
        <w:tc>
          <w:tcPr>
            <w:tcW w:w="1547" w:type="dxa"/>
          </w:tcPr>
          <w:p>
            <w:pPr>
              <w:pStyle w:val="TableParagraph"/>
              <w:spacing w:before="11"/>
              <w:rPr>
                <w:sz w:val="14"/>
              </w:rPr>
            </w:pPr>
          </w:p>
          <w:p>
            <w:pPr>
              <w:pStyle w:val="TableParagraph"/>
              <w:ind w:left="698" w:right="163"/>
              <w:jc w:val="center"/>
              <w:rPr>
                <w:sz w:val="21"/>
              </w:rPr>
            </w:pPr>
            <w:r>
              <w:rPr>
                <w:sz w:val="21"/>
              </w:rPr>
              <w:t>6.4.6 </w:t>
            </w:r>
          </w:p>
        </w:tc>
        <w:tc>
          <w:tcPr>
            <w:tcW w:w="925" w:type="dxa"/>
          </w:tcPr>
          <w:p>
            <w:pPr>
              <w:pStyle w:val="TableParagraph"/>
              <w:spacing w:before="11"/>
              <w:rPr>
                <w:sz w:val="14"/>
              </w:rPr>
            </w:pPr>
          </w:p>
          <w:p>
            <w:pPr>
              <w:pStyle w:val="TableParagraph"/>
              <w:ind w:right="80"/>
              <w:jc w:val="right"/>
              <w:rPr>
                <w:sz w:val="21"/>
              </w:rPr>
            </w:pPr>
            <w:r>
              <w:rPr>
                <w:sz w:val="21"/>
              </w:rPr>
              <w:t>B </w:t>
            </w:r>
          </w:p>
        </w:tc>
      </w:tr>
      <w:tr>
        <w:trPr>
          <w:trHeight w:val="501" w:hRule="atLeast"/>
        </w:trPr>
        <w:tc>
          <w:tcPr>
            <w:tcW w:w="970" w:type="dxa"/>
          </w:tcPr>
          <w:p>
            <w:pPr>
              <w:pStyle w:val="TableParagraph"/>
              <w:spacing w:before="1"/>
              <w:rPr>
                <w:sz w:val="15"/>
              </w:rPr>
            </w:pPr>
          </w:p>
          <w:p>
            <w:pPr>
              <w:pStyle w:val="TableParagraph"/>
              <w:ind w:left="623" w:right="82"/>
              <w:jc w:val="center"/>
              <w:rPr>
                <w:sz w:val="21"/>
              </w:rPr>
            </w:pPr>
            <w:r>
              <w:rPr>
                <w:sz w:val="21"/>
              </w:rPr>
              <w:t>13 </w:t>
            </w:r>
          </w:p>
        </w:tc>
        <w:tc>
          <w:tcPr>
            <w:tcW w:w="2610" w:type="dxa"/>
          </w:tcPr>
          <w:p>
            <w:pPr>
              <w:pStyle w:val="TableParagraph"/>
              <w:spacing w:before="1"/>
              <w:rPr>
                <w:sz w:val="15"/>
              </w:rPr>
            </w:pPr>
          </w:p>
          <w:p>
            <w:pPr>
              <w:pStyle w:val="TableParagraph"/>
              <w:ind w:left="601" w:right="63"/>
              <w:jc w:val="center"/>
              <w:rPr>
                <w:sz w:val="21"/>
              </w:rPr>
            </w:pPr>
            <w:r>
              <w:rPr>
                <w:sz w:val="21"/>
              </w:rPr>
              <w:t>防火密封件 </w:t>
            </w:r>
          </w:p>
        </w:tc>
        <w:tc>
          <w:tcPr>
            <w:tcW w:w="2377" w:type="dxa"/>
          </w:tcPr>
          <w:p>
            <w:pPr>
              <w:pStyle w:val="TableParagraph"/>
              <w:spacing w:before="1"/>
              <w:rPr>
                <w:sz w:val="15"/>
              </w:rPr>
            </w:pPr>
          </w:p>
          <w:p>
            <w:pPr>
              <w:pStyle w:val="TableParagraph"/>
              <w:ind w:left="1005" w:right="473"/>
              <w:jc w:val="center"/>
              <w:rPr>
                <w:sz w:val="21"/>
              </w:rPr>
            </w:pPr>
            <w:r>
              <w:rPr>
                <w:sz w:val="21"/>
              </w:rPr>
              <w:t>5.3.7 </w:t>
            </w:r>
          </w:p>
        </w:tc>
        <w:tc>
          <w:tcPr>
            <w:tcW w:w="1547" w:type="dxa"/>
          </w:tcPr>
          <w:p>
            <w:pPr>
              <w:pStyle w:val="TableParagraph"/>
              <w:spacing w:before="1"/>
              <w:rPr>
                <w:sz w:val="15"/>
              </w:rPr>
            </w:pPr>
          </w:p>
          <w:p>
            <w:pPr>
              <w:pStyle w:val="TableParagraph"/>
              <w:ind w:left="698" w:right="163"/>
              <w:jc w:val="center"/>
              <w:rPr>
                <w:sz w:val="21"/>
              </w:rPr>
            </w:pPr>
            <w:r>
              <w:rPr>
                <w:sz w:val="21"/>
              </w:rPr>
              <w:t>6.4.7 </w:t>
            </w:r>
          </w:p>
        </w:tc>
        <w:tc>
          <w:tcPr>
            <w:tcW w:w="925" w:type="dxa"/>
          </w:tcPr>
          <w:p>
            <w:pPr>
              <w:pStyle w:val="TableParagraph"/>
              <w:spacing w:before="1"/>
              <w:rPr>
                <w:sz w:val="15"/>
              </w:rPr>
            </w:pPr>
          </w:p>
          <w:p>
            <w:pPr>
              <w:pStyle w:val="TableParagraph"/>
              <w:ind w:right="80"/>
              <w:jc w:val="right"/>
              <w:rPr>
                <w:sz w:val="21"/>
              </w:rPr>
            </w:pPr>
            <w:r>
              <w:rPr>
                <w:sz w:val="21"/>
              </w:rPr>
              <w:t>A </w:t>
            </w:r>
          </w:p>
        </w:tc>
      </w:tr>
      <w:tr>
        <w:trPr>
          <w:trHeight w:val="501" w:hRule="atLeast"/>
        </w:trPr>
        <w:tc>
          <w:tcPr>
            <w:tcW w:w="970" w:type="dxa"/>
          </w:tcPr>
          <w:p>
            <w:pPr>
              <w:pStyle w:val="TableParagraph"/>
              <w:spacing w:before="11"/>
              <w:rPr>
                <w:sz w:val="14"/>
              </w:rPr>
            </w:pPr>
          </w:p>
          <w:p>
            <w:pPr>
              <w:pStyle w:val="TableParagraph"/>
              <w:ind w:left="623" w:right="82"/>
              <w:jc w:val="center"/>
              <w:rPr>
                <w:sz w:val="21"/>
              </w:rPr>
            </w:pPr>
            <w:r>
              <w:rPr>
                <w:sz w:val="21"/>
              </w:rPr>
              <w:t>14 </w:t>
            </w:r>
          </w:p>
        </w:tc>
        <w:tc>
          <w:tcPr>
            <w:tcW w:w="2610" w:type="dxa"/>
          </w:tcPr>
          <w:p>
            <w:pPr>
              <w:pStyle w:val="TableParagraph"/>
              <w:spacing w:before="11"/>
              <w:rPr>
                <w:sz w:val="14"/>
              </w:rPr>
            </w:pPr>
          </w:p>
          <w:p>
            <w:pPr>
              <w:pStyle w:val="TableParagraph"/>
              <w:ind w:left="601" w:right="62"/>
              <w:jc w:val="center"/>
              <w:rPr>
                <w:sz w:val="21"/>
              </w:rPr>
            </w:pPr>
            <w:r>
              <w:rPr>
                <w:sz w:val="21"/>
              </w:rPr>
              <w:t>防火玻璃 </w:t>
            </w:r>
          </w:p>
        </w:tc>
        <w:tc>
          <w:tcPr>
            <w:tcW w:w="2377" w:type="dxa"/>
          </w:tcPr>
          <w:p>
            <w:pPr>
              <w:pStyle w:val="TableParagraph"/>
              <w:spacing w:before="11"/>
              <w:rPr>
                <w:sz w:val="14"/>
              </w:rPr>
            </w:pPr>
          </w:p>
          <w:p>
            <w:pPr>
              <w:pStyle w:val="TableParagraph"/>
              <w:ind w:left="1005" w:right="473"/>
              <w:jc w:val="center"/>
              <w:rPr>
                <w:sz w:val="21"/>
              </w:rPr>
            </w:pPr>
            <w:r>
              <w:rPr>
                <w:sz w:val="21"/>
              </w:rPr>
              <w:t>5.3.8 </w:t>
            </w:r>
          </w:p>
        </w:tc>
        <w:tc>
          <w:tcPr>
            <w:tcW w:w="1547" w:type="dxa"/>
          </w:tcPr>
          <w:p>
            <w:pPr>
              <w:pStyle w:val="TableParagraph"/>
              <w:spacing w:before="11"/>
              <w:rPr>
                <w:sz w:val="14"/>
              </w:rPr>
            </w:pPr>
          </w:p>
          <w:p>
            <w:pPr>
              <w:pStyle w:val="TableParagraph"/>
              <w:ind w:left="698" w:right="163"/>
              <w:jc w:val="center"/>
              <w:rPr>
                <w:sz w:val="21"/>
              </w:rPr>
            </w:pPr>
            <w:r>
              <w:rPr>
                <w:sz w:val="21"/>
              </w:rPr>
              <w:t>6.4.8 </w:t>
            </w:r>
          </w:p>
        </w:tc>
        <w:tc>
          <w:tcPr>
            <w:tcW w:w="925" w:type="dxa"/>
          </w:tcPr>
          <w:p>
            <w:pPr>
              <w:pStyle w:val="TableParagraph"/>
              <w:spacing w:before="11"/>
              <w:rPr>
                <w:sz w:val="14"/>
              </w:rPr>
            </w:pPr>
          </w:p>
          <w:p>
            <w:pPr>
              <w:pStyle w:val="TableParagraph"/>
              <w:ind w:right="80"/>
              <w:jc w:val="right"/>
              <w:rPr>
                <w:sz w:val="21"/>
              </w:rPr>
            </w:pPr>
            <w:r>
              <w:rPr>
                <w:sz w:val="21"/>
              </w:rPr>
              <w:t>A </w:t>
            </w:r>
          </w:p>
        </w:tc>
      </w:tr>
      <w:tr>
        <w:trPr>
          <w:trHeight w:val="498" w:hRule="atLeast"/>
        </w:trPr>
        <w:tc>
          <w:tcPr>
            <w:tcW w:w="970" w:type="dxa"/>
          </w:tcPr>
          <w:p>
            <w:pPr>
              <w:pStyle w:val="TableParagraph"/>
              <w:spacing w:before="11"/>
              <w:rPr>
                <w:sz w:val="14"/>
              </w:rPr>
            </w:pPr>
          </w:p>
          <w:p>
            <w:pPr>
              <w:pStyle w:val="TableParagraph"/>
              <w:ind w:left="623" w:right="82"/>
              <w:jc w:val="center"/>
              <w:rPr>
                <w:sz w:val="21"/>
              </w:rPr>
            </w:pPr>
            <w:r>
              <w:rPr>
                <w:sz w:val="21"/>
              </w:rPr>
              <w:t>15 </w:t>
            </w:r>
          </w:p>
        </w:tc>
        <w:tc>
          <w:tcPr>
            <w:tcW w:w="2610" w:type="dxa"/>
          </w:tcPr>
          <w:p>
            <w:pPr>
              <w:pStyle w:val="TableParagraph"/>
              <w:spacing w:before="11"/>
              <w:rPr>
                <w:sz w:val="14"/>
              </w:rPr>
            </w:pPr>
          </w:p>
          <w:p>
            <w:pPr>
              <w:pStyle w:val="TableParagraph"/>
              <w:ind w:left="601" w:right="63"/>
              <w:jc w:val="center"/>
              <w:rPr>
                <w:sz w:val="21"/>
              </w:rPr>
            </w:pPr>
            <w:r>
              <w:rPr>
                <w:sz w:val="21"/>
              </w:rPr>
              <w:t>加工工艺和外观质量 </w:t>
            </w:r>
          </w:p>
        </w:tc>
        <w:tc>
          <w:tcPr>
            <w:tcW w:w="2377" w:type="dxa"/>
          </w:tcPr>
          <w:p>
            <w:pPr>
              <w:pStyle w:val="TableParagraph"/>
              <w:spacing w:before="11"/>
              <w:rPr>
                <w:sz w:val="14"/>
              </w:rPr>
            </w:pPr>
          </w:p>
          <w:p>
            <w:pPr>
              <w:pStyle w:val="TableParagraph"/>
              <w:ind w:left="1005" w:right="473"/>
              <w:jc w:val="center"/>
              <w:rPr>
                <w:sz w:val="21"/>
              </w:rPr>
            </w:pPr>
            <w:r>
              <w:rPr>
                <w:sz w:val="21"/>
              </w:rPr>
              <w:t>5.4 </w:t>
            </w:r>
          </w:p>
        </w:tc>
        <w:tc>
          <w:tcPr>
            <w:tcW w:w="1547" w:type="dxa"/>
          </w:tcPr>
          <w:p>
            <w:pPr>
              <w:pStyle w:val="TableParagraph"/>
              <w:spacing w:before="11"/>
              <w:rPr>
                <w:sz w:val="14"/>
              </w:rPr>
            </w:pPr>
          </w:p>
          <w:p>
            <w:pPr>
              <w:pStyle w:val="TableParagraph"/>
              <w:ind w:left="698" w:right="163"/>
              <w:jc w:val="center"/>
              <w:rPr>
                <w:sz w:val="21"/>
              </w:rPr>
            </w:pPr>
            <w:r>
              <w:rPr>
                <w:sz w:val="21"/>
              </w:rPr>
              <w:t>6.5 </w:t>
            </w:r>
          </w:p>
        </w:tc>
        <w:tc>
          <w:tcPr>
            <w:tcW w:w="925" w:type="dxa"/>
          </w:tcPr>
          <w:p>
            <w:pPr>
              <w:pStyle w:val="TableParagraph"/>
              <w:spacing w:before="11"/>
              <w:rPr>
                <w:sz w:val="14"/>
              </w:rPr>
            </w:pPr>
          </w:p>
          <w:p>
            <w:pPr>
              <w:pStyle w:val="TableParagraph"/>
              <w:ind w:right="80"/>
              <w:jc w:val="right"/>
              <w:rPr>
                <w:sz w:val="21"/>
              </w:rPr>
            </w:pPr>
            <w:r>
              <w:rPr>
                <w:sz w:val="21"/>
              </w:rPr>
              <w:t>C </w:t>
            </w:r>
          </w:p>
        </w:tc>
      </w:tr>
    </w:tbl>
    <w:p>
      <w:pPr>
        <w:spacing w:after="0"/>
        <w:jc w:val="right"/>
        <w:rPr>
          <w:sz w:val="21"/>
        </w:rPr>
        <w:sectPr>
          <w:pgSz w:w="11910" w:h="16850"/>
          <w:pgMar w:header="0" w:footer="1159" w:top="1220" w:bottom="1420" w:left="1260" w:right="0"/>
        </w:sectPr>
      </w:pPr>
    </w:p>
    <w:tbl>
      <w:tblPr>
        <w:tblW w:w="0" w:type="auto"/>
        <w:jc w:val="left"/>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70"/>
        <w:gridCol w:w="2610"/>
        <w:gridCol w:w="2377"/>
        <w:gridCol w:w="1547"/>
        <w:gridCol w:w="925"/>
      </w:tblGrid>
      <w:tr>
        <w:trPr>
          <w:trHeight w:val="499" w:hRule="atLeast"/>
        </w:trPr>
        <w:tc>
          <w:tcPr>
            <w:tcW w:w="970" w:type="dxa"/>
          </w:tcPr>
          <w:p>
            <w:pPr>
              <w:pStyle w:val="TableParagraph"/>
              <w:spacing w:before="7"/>
              <w:rPr>
                <w:sz w:val="14"/>
              </w:rPr>
            </w:pPr>
          </w:p>
          <w:p>
            <w:pPr>
              <w:pStyle w:val="TableParagraph"/>
              <w:spacing w:before="1"/>
              <w:ind w:right="46"/>
              <w:jc w:val="right"/>
              <w:rPr>
                <w:sz w:val="21"/>
              </w:rPr>
            </w:pPr>
            <w:r>
              <w:rPr>
                <w:sz w:val="21"/>
              </w:rPr>
              <w:t>16 </w:t>
            </w:r>
          </w:p>
        </w:tc>
        <w:tc>
          <w:tcPr>
            <w:tcW w:w="2610" w:type="dxa"/>
          </w:tcPr>
          <w:p>
            <w:pPr>
              <w:pStyle w:val="TableParagraph"/>
              <w:spacing w:before="7"/>
              <w:rPr>
                <w:sz w:val="14"/>
              </w:rPr>
            </w:pPr>
          </w:p>
          <w:p>
            <w:pPr>
              <w:pStyle w:val="TableParagraph"/>
              <w:spacing w:before="1"/>
              <w:ind w:left="1094"/>
              <w:rPr>
                <w:sz w:val="21"/>
              </w:rPr>
            </w:pPr>
            <w:r>
              <w:rPr>
                <w:sz w:val="21"/>
              </w:rPr>
              <w:t>门扇质量 </w:t>
            </w:r>
          </w:p>
        </w:tc>
        <w:tc>
          <w:tcPr>
            <w:tcW w:w="2377" w:type="dxa"/>
          </w:tcPr>
          <w:p>
            <w:pPr>
              <w:pStyle w:val="TableParagraph"/>
              <w:spacing w:before="7"/>
              <w:rPr>
                <w:sz w:val="14"/>
              </w:rPr>
            </w:pPr>
          </w:p>
          <w:p>
            <w:pPr>
              <w:pStyle w:val="TableParagraph"/>
              <w:spacing w:before="1"/>
              <w:ind w:left="1005" w:right="473"/>
              <w:jc w:val="center"/>
              <w:rPr>
                <w:sz w:val="21"/>
              </w:rPr>
            </w:pPr>
            <w:r>
              <w:rPr>
                <w:sz w:val="21"/>
              </w:rPr>
              <w:t>5.5 </w:t>
            </w:r>
          </w:p>
        </w:tc>
        <w:tc>
          <w:tcPr>
            <w:tcW w:w="1547" w:type="dxa"/>
          </w:tcPr>
          <w:p>
            <w:pPr>
              <w:pStyle w:val="TableParagraph"/>
              <w:spacing w:before="7"/>
              <w:rPr>
                <w:sz w:val="14"/>
              </w:rPr>
            </w:pPr>
          </w:p>
          <w:p>
            <w:pPr>
              <w:pStyle w:val="TableParagraph"/>
              <w:spacing w:before="1"/>
              <w:ind w:left="698" w:right="163"/>
              <w:jc w:val="center"/>
              <w:rPr>
                <w:sz w:val="21"/>
              </w:rPr>
            </w:pPr>
            <w:r>
              <w:rPr>
                <w:sz w:val="21"/>
              </w:rPr>
              <w:t>6.6 </w:t>
            </w:r>
          </w:p>
        </w:tc>
        <w:tc>
          <w:tcPr>
            <w:tcW w:w="925" w:type="dxa"/>
          </w:tcPr>
          <w:p>
            <w:pPr>
              <w:pStyle w:val="TableParagraph"/>
              <w:spacing w:before="7"/>
              <w:rPr>
                <w:sz w:val="14"/>
              </w:rPr>
            </w:pPr>
          </w:p>
          <w:p>
            <w:pPr>
              <w:pStyle w:val="TableParagraph"/>
              <w:spacing w:before="1"/>
              <w:ind w:right="80"/>
              <w:jc w:val="right"/>
              <w:rPr>
                <w:sz w:val="21"/>
              </w:rPr>
            </w:pPr>
            <w:r>
              <w:rPr>
                <w:sz w:val="21"/>
              </w:rPr>
              <w:t>A </w:t>
            </w:r>
          </w:p>
        </w:tc>
      </w:tr>
      <w:tr>
        <w:trPr>
          <w:trHeight w:val="500" w:hRule="atLeast"/>
        </w:trPr>
        <w:tc>
          <w:tcPr>
            <w:tcW w:w="970" w:type="dxa"/>
          </w:tcPr>
          <w:p>
            <w:pPr>
              <w:pStyle w:val="TableParagraph"/>
              <w:spacing w:before="10"/>
              <w:rPr>
                <w:sz w:val="14"/>
              </w:rPr>
            </w:pPr>
          </w:p>
          <w:p>
            <w:pPr>
              <w:pStyle w:val="TableParagraph"/>
              <w:ind w:right="46"/>
              <w:jc w:val="right"/>
              <w:rPr>
                <w:sz w:val="21"/>
              </w:rPr>
            </w:pPr>
            <w:r>
              <w:rPr>
                <w:sz w:val="21"/>
              </w:rPr>
              <w:t>17 </w:t>
            </w:r>
          </w:p>
        </w:tc>
        <w:tc>
          <w:tcPr>
            <w:tcW w:w="2610" w:type="dxa"/>
          </w:tcPr>
          <w:p>
            <w:pPr>
              <w:pStyle w:val="TableParagraph"/>
              <w:spacing w:before="10"/>
              <w:rPr>
                <w:sz w:val="14"/>
              </w:rPr>
            </w:pPr>
          </w:p>
          <w:p>
            <w:pPr>
              <w:pStyle w:val="TableParagraph"/>
              <w:ind w:left="882"/>
              <w:rPr>
                <w:sz w:val="21"/>
              </w:rPr>
            </w:pPr>
            <w:r>
              <w:rPr>
                <w:sz w:val="21"/>
              </w:rPr>
              <w:t>门扇高度偏差 </w:t>
            </w:r>
          </w:p>
        </w:tc>
        <w:tc>
          <w:tcPr>
            <w:tcW w:w="2377" w:type="dxa"/>
          </w:tcPr>
          <w:p>
            <w:pPr>
              <w:pStyle w:val="TableParagraph"/>
              <w:spacing w:before="10"/>
              <w:rPr>
                <w:sz w:val="14"/>
              </w:rPr>
            </w:pPr>
          </w:p>
          <w:p>
            <w:pPr>
              <w:pStyle w:val="TableParagraph"/>
              <w:ind w:left="1005" w:right="473"/>
              <w:jc w:val="center"/>
              <w:rPr>
                <w:sz w:val="21"/>
              </w:rPr>
            </w:pPr>
            <w:r>
              <w:rPr>
                <w:sz w:val="21"/>
              </w:rPr>
              <w:t>5.6 </w:t>
            </w:r>
          </w:p>
        </w:tc>
        <w:tc>
          <w:tcPr>
            <w:tcW w:w="1547" w:type="dxa"/>
          </w:tcPr>
          <w:p>
            <w:pPr>
              <w:pStyle w:val="TableParagraph"/>
              <w:spacing w:before="10"/>
              <w:rPr>
                <w:sz w:val="14"/>
              </w:rPr>
            </w:pPr>
          </w:p>
          <w:p>
            <w:pPr>
              <w:pStyle w:val="TableParagraph"/>
              <w:ind w:left="698" w:right="163"/>
              <w:jc w:val="center"/>
              <w:rPr>
                <w:sz w:val="21"/>
              </w:rPr>
            </w:pPr>
            <w:r>
              <w:rPr>
                <w:sz w:val="21"/>
              </w:rPr>
              <w:t>6.7.1 </w:t>
            </w:r>
          </w:p>
        </w:tc>
        <w:tc>
          <w:tcPr>
            <w:tcW w:w="925" w:type="dxa"/>
          </w:tcPr>
          <w:p>
            <w:pPr>
              <w:pStyle w:val="TableParagraph"/>
              <w:spacing w:before="10"/>
              <w:rPr>
                <w:sz w:val="14"/>
              </w:rPr>
            </w:pPr>
          </w:p>
          <w:p>
            <w:pPr>
              <w:pStyle w:val="TableParagraph"/>
              <w:ind w:right="80"/>
              <w:jc w:val="right"/>
              <w:rPr>
                <w:sz w:val="21"/>
              </w:rPr>
            </w:pPr>
            <w:r>
              <w:rPr>
                <w:sz w:val="21"/>
              </w:rPr>
              <w:t>C </w:t>
            </w:r>
          </w:p>
        </w:tc>
      </w:tr>
      <w:tr>
        <w:trPr>
          <w:trHeight w:val="501" w:hRule="atLeast"/>
        </w:trPr>
        <w:tc>
          <w:tcPr>
            <w:tcW w:w="970" w:type="dxa"/>
          </w:tcPr>
          <w:p>
            <w:pPr>
              <w:pStyle w:val="TableParagraph"/>
              <w:spacing w:before="7"/>
              <w:rPr>
                <w:sz w:val="14"/>
              </w:rPr>
            </w:pPr>
          </w:p>
          <w:p>
            <w:pPr>
              <w:pStyle w:val="TableParagraph"/>
              <w:spacing w:before="1"/>
              <w:ind w:right="46"/>
              <w:jc w:val="right"/>
              <w:rPr>
                <w:sz w:val="21"/>
              </w:rPr>
            </w:pPr>
            <w:r>
              <w:rPr>
                <w:sz w:val="21"/>
              </w:rPr>
              <w:t>18 </w:t>
            </w:r>
          </w:p>
        </w:tc>
        <w:tc>
          <w:tcPr>
            <w:tcW w:w="2610" w:type="dxa"/>
          </w:tcPr>
          <w:p>
            <w:pPr>
              <w:pStyle w:val="TableParagraph"/>
              <w:spacing w:before="7"/>
              <w:rPr>
                <w:sz w:val="14"/>
              </w:rPr>
            </w:pPr>
          </w:p>
          <w:p>
            <w:pPr>
              <w:pStyle w:val="TableParagraph"/>
              <w:spacing w:before="1"/>
              <w:ind w:left="882"/>
              <w:rPr>
                <w:sz w:val="21"/>
              </w:rPr>
            </w:pPr>
            <w:r>
              <w:rPr>
                <w:sz w:val="21"/>
              </w:rPr>
              <w:t>门扇宽度偏差 </w:t>
            </w:r>
          </w:p>
        </w:tc>
        <w:tc>
          <w:tcPr>
            <w:tcW w:w="2377" w:type="dxa"/>
          </w:tcPr>
          <w:p>
            <w:pPr>
              <w:pStyle w:val="TableParagraph"/>
              <w:spacing w:before="7"/>
              <w:rPr>
                <w:sz w:val="14"/>
              </w:rPr>
            </w:pPr>
          </w:p>
          <w:p>
            <w:pPr>
              <w:pStyle w:val="TableParagraph"/>
              <w:spacing w:before="1"/>
              <w:ind w:left="1005" w:right="473"/>
              <w:jc w:val="center"/>
              <w:rPr>
                <w:sz w:val="21"/>
              </w:rPr>
            </w:pPr>
            <w:r>
              <w:rPr>
                <w:sz w:val="21"/>
              </w:rPr>
              <w:t>5.6 </w:t>
            </w:r>
          </w:p>
        </w:tc>
        <w:tc>
          <w:tcPr>
            <w:tcW w:w="1547" w:type="dxa"/>
          </w:tcPr>
          <w:p>
            <w:pPr>
              <w:pStyle w:val="TableParagraph"/>
              <w:spacing w:before="7"/>
              <w:rPr>
                <w:sz w:val="14"/>
              </w:rPr>
            </w:pPr>
          </w:p>
          <w:p>
            <w:pPr>
              <w:pStyle w:val="TableParagraph"/>
              <w:spacing w:before="1"/>
              <w:ind w:left="698" w:right="163"/>
              <w:jc w:val="center"/>
              <w:rPr>
                <w:sz w:val="21"/>
              </w:rPr>
            </w:pPr>
            <w:r>
              <w:rPr>
                <w:sz w:val="21"/>
              </w:rPr>
              <w:t>6.7.2 </w:t>
            </w:r>
          </w:p>
        </w:tc>
        <w:tc>
          <w:tcPr>
            <w:tcW w:w="925" w:type="dxa"/>
          </w:tcPr>
          <w:p>
            <w:pPr>
              <w:pStyle w:val="TableParagraph"/>
              <w:spacing w:before="7"/>
              <w:rPr>
                <w:sz w:val="14"/>
              </w:rPr>
            </w:pPr>
          </w:p>
          <w:p>
            <w:pPr>
              <w:pStyle w:val="TableParagraph"/>
              <w:spacing w:before="1"/>
              <w:ind w:right="80"/>
              <w:jc w:val="right"/>
              <w:rPr>
                <w:sz w:val="21"/>
              </w:rPr>
            </w:pPr>
            <w:r>
              <w:rPr>
                <w:sz w:val="21"/>
              </w:rPr>
              <w:t>C </w:t>
            </w:r>
          </w:p>
        </w:tc>
      </w:tr>
      <w:tr>
        <w:trPr>
          <w:trHeight w:val="498" w:hRule="atLeast"/>
        </w:trPr>
        <w:tc>
          <w:tcPr>
            <w:tcW w:w="970" w:type="dxa"/>
          </w:tcPr>
          <w:p>
            <w:pPr>
              <w:pStyle w:val="TableParagraph"/>
              <w:spacing w:before="7"/>
              <w:rPr>
                <w:sz w:val="14"/>
              </w:rPr>
            </w:pPr>
          </w:p>
          <w:p>
            <w:pPr>
              <w:pStyle w:val="TableParagraph"/>
              <w:spacing w:before="1"/>
              <w:ind w:right="46"/>
              <w:jc w:val="right"/>
              <w:rPr>
                <w:sz w:val="21"/>
              </w:rPr>
            </w:pPr>
            <w:r>
              <w:rPr>
                <w:sz w:val="21"/>
              </w:rPr>
              <w:t>19 </w:t>
            </w:r>
          </w:p>
        </w:tc>
        <w:tc>
          <w:tcPr>
            <w:tcW w:w="2610" w:type="dxa"/>
          </w:tcPr>
          <w:p>
            <w:pPr>
              <w:pStyle w:val="TableParagraph"/>
              <w:spacing w:before="7"/>
              <w:rPr>
                <w:sz w:val="14"/>
              </w:rPr>
            </w:pPr>
          </w:p>
          <w:p>
            <w:pPr>
              <w:pStyle w:val="TableParagraph"/>
              <w:spacing w:before="1"/>
              <w:ind w:left="882"/>
              <w:rPr>
                <w:sz w:val="21"/>
              </w:rPr>
            </w:pPr>
            <w:r>
              <w:rPr>
                <w:sz w:val="21"/>
              </w:rPr>
              <w:t>门扇厚度偏差 </w:t>
            </w:r>
          </w:p>
        </w:tc>
        <w:tc>
          <w:tcPr>
            <w:tcW w:w="2377" w:type="dxa"/>
          </w:tcPr>
          <w:p>
            <w:pPr>
              <w:pStyle w:val="TableParagraph"/>
              <w:spacing w:before="7"/>
              <w:rPr>
                <w:sz w:val="14"/>
              </w:rPr>
            </w:pPr>
          </w:p>
          <w:p>
            <w:pPr>
              <w:pStyle w:val="TableParagraph"/>
              <w:spacing w:before="1"/>
              <w:ind w:left="1005" w:right="473"/>
              <w:jc w:val="center"/>
              <w:rPr>
                <w:sz w:val="21"/>
              </w:rPr>
            </w:pPr>
            <w:r>
              <w:rPr>
                <w:sz w:val="21"/>
              </w:rPr>
              <w:t>5.6 </w:t>
            </w:r>
          </w:p>
        </w:tc>
        <w:tc>
          <w:tcPr>
            <w:tcW w:w="1547" w:type="dxa"/>
          </w:tcPr>
          <w:p>
            <w:pPr>
              <w:pStyle w:val="TableParagraph"/>
              <w:spacing w:before="7"/>
              <w:rPr>
                <w:sz w:val="14"/>
              </w:rPr>
            </w:pPr>
          </w:p>
          <w:p>
            <w:pPr>
              <w:pStyle w:val="TableParagraph"/>
              <w:spacing w:before="1"/>
              <w:ind w:left="698" w:right="163"/>
              <w:jc w:val="center"/>
              <w:rPr>
                <w:sz w:val="21"/>
              </w:rPr>
            </w:pPr>
            <w:r>
              <w:rPr>
                <w:sz w:val="21"/>
              </w:rPr>
              <w:t>6.7.3 </w:t>
            </w:r>
          </w:p>
        </w:tc>
        <w:tc>
          <w:tcPr>
            <w:tcW w:w="925" w:type="dxa"/>
          </w:tcPr>
          <w:p>
            <w:pPr>
              <w:pStyle w:val="TableParagraph"/>
              <w:spacing w:before="7"/>
              <w:rPr>
                <w:sz w:val="14"/>
              </w:rPr>
            </w:pPr>
          </w:p>
          <w:p>
            <w:pPr>
              <w:pStyle w:val="TableParagraph"/>
              <w:spacing w:before="1"/>
              <w:ind w:right="80"/>
              <w:jc w:val="right"/>
              <w:rPr>
                <w:sz w:val="21"/>
              </w:rPr>
            </w:pPr>
            <w:r>
              <w:rPr>
                <w:sz w:val="21"/>
              </w:rPr>
              <w:t>B </w:t>
            </w:r>
          </w:p>
        </w:tc>
      </w:tr>
      <w:tr>
        <w:trPr>
          <w:trHeight w:val="501" w:hRule="atLeast"/>
        </w:trPr>
        <w:tc>
          <w:tcPr>
            <w:tcW w:w="970" w:type="dxa"/>
          </w:tcPr>
          <w:p>
            <w:pPr>
              <w:pStyle w:val="TableParagraph"/>
              <w:spacing w:before="7"/>
              <w:rPr>
                <w:sz w:val="14"/>
              </w:rPr>
            </w:pPr>
          </w:p>
          <w:p>
            <w:pPr>
              <w:pStyle w:val="TableParagraph"/>
              <w:spacing w:before="1"/>
              <w:ind w:right="46"/>
              <w:jc w:val="right"/>
              <w:rPr>
                <w:sz w:val="21"/>
              </w:rPr>
            </w:pPr>
            <w:r>
              <w:rPr>
                <w:sz w:val="21"/>
              </w:rPr>
              <w:t>20 </w:t>
            </w:r>
          </w:p>
        </w:tc>
        <w:tc>
          <w:tcPr>
            <w:tcW w:w="2610" w:type="dxa"/>
          </w:tcPr>
          <w:p>
            <w:pPr>
              <w:pStyle w:val="TableParagraph"/>
              <w:spacing w:before="7"/>
              <w:rPr>
                <w:sz w:val="14"/>
              </w:rPr>
            </w:pPr>
          </w:p>
          <w:p>
            <w:pPr>
              <w:pStyle w:val="TableParagraph"/>
              <w:spacing w:before="1"/>
              <w:ind w:right="27"/>
              <w:jc w:val="right"/>
              <w:rPr>
                <w:sz w:val="21"/>
              </w:rPr>
            </w:pPr>
            <w:r>
              <w:rPr>
                <w:sz w:val="21"/>
              </w:rPr>
              <w:t>门框内裁口高度偏差 </w:t>
            </w:r>
          </w:p>
        </w:tc>
        <w:tc>
          <w:tcPr>
            <w:tcW w:w="2377" w:type="dxa"/>
          </w:tcPr>
          <w:p>
            <w:pPr>
              <w:pStyle w:val="TableParagraph"/>
              <w:spacing w:before="7"/>
              <w:rPr>
                <w:sz w:val="14"/>
              </w:rPr>
            </w:pPr>
          </w:p>
          <w:p>
            <w:pPr>
              <w:pStyle w:val="TableParagraph"/>
              <w:spacing w:before="1"/>
              <w:ind w:left="1005" w:right="473"/>
              <w:jc w:val="center"/>
              <w:rPr>
                <w:sz w:val="21"/>
              </w:rPr>
            </w:pPr>
            <w:r>
              <w:rPr>
                <w:sz w:val="21"/>
              </w:rPr>
              <w:t>5.6 </w:t>
            </w:r>
          </w:p>
        </w:tc>
        <w:tc>
          <w:tcPr>
            <w:tcW w:w="1547" w:type="dxa"/>
          </w:tcPr>
          <w:p>
            <w:pPr>
              <w:pStyle w:val="TableParagraph"/>
              <w:spacing w:before="7"/>
              <w:rPr>
                <w:sz w:val="14"/>
              </w:rPr>
            </w:pPr>
          </w:p>
          <w:p>
            <w:pPr>
              <w:pStyle w:val="TableParagraph"/>
              <w:spacing w:before="1"/>
              <w:ind w:left="698" w:right="163"/>
              <w:jc w:val="center"/>
              <w:rPr>
                <w:sz w:val="21"/>
              </w:rPr>
            </w:pPr>
            <w:r>
              <w:rPr>
                <w:sz w:val="21"/>
              </w:rPr>
              <w:t>6.7.4 </w:t>
            </w:r>
          </w:p>
        </w:tc>
        <w:tc>
          <w:tcPr>
            <w:tcW w:w="925" w:type="dxa"/>
          </w:tcPr>
          <w:p>
            <w:pPr>
              <w:pStyle w:val="TableParagraph"/>
              <w:spacing w:before="7"/>
              <w:rPr>
                <w:sz w:val="14"/>
              </w:rPr>
            </w:pPr>
          </w:p>
          <w:p>
            <w:pPr>
              <w:pStyle w:val="TableParagraph"/>
              <w:spacing w:before="1"/>
              <w:ind w:right="80"/>
              <w:jc w:val="right"/>
              <w:rPr>
                <w:sz w:val="21"/>
              </w:rPr>
            </w:pPr>
            <w:r>
              <w:rPr>
                <w:sz w:val="21"/>
              </w:rPr>
              <w:t>C </w:t>
            </w:r>
          </w:p>
        </w:tc>
      </w:tr>
      <w:tr>
        <w:trPr>
          <w:trHeight w:val="498" w:hRule="atLeast"/>
        </w:trPr>
        <w:tc>
          <w:tcPr>
            <w:tcW w:w="970" w:type="dxa"/>
          </w:tcPr>
          <w:p>
            <w:pPr>
              <w:pStyle w:val="TableParagraph"/>
              <w:spacing w:before="7"/>
              <w:rPr>
                <w:sz w:val="14"/>
              </w:rPr>
            </w:pPr>
          </w:p>
          <w:p>
            <w:pPr>
              <w:pStyle w:val="TableParagraph"/>
              <w:spacing w:before="1"/>
              <w:ind w:right="46"/>
              <w:jc w:val="right"/>
              <w:rPr>
                <w:sz w:val="21"/>
              </w:rPr>
            </w:pPr>
            <w:r>
              <w:rPr>
                <w:sz w:val="21"/>
              </w:rPr>
              <w:t>21 </w:t>
            </w:r>
          </w:p>
        </w:tc>
        <w:tc>
          <w:tcPr>
            <w:tcW w:w="2610" w:type="dxa"/>
          </w:tcPr>
          <w:p>
            <w:pPr>
              <w:pStyle w:val="TableParagraph"/>
              <w:spacing w:before="7"/>
              <w:rPr>
                <w:sz w:val="14"/>
              </w:rPr>
            </w:pPr>
          </w:p>
          <w:p>
            <w:pPr>
              <w:pStyle w:val="TableParagraph"/>
              <w:spacing w:before="1"/>
              <w:ind w:right="27"/>
              <w:jc w:val="right"/>
              <w:rPr>
                <w:sz w:val="21"/>
              </w:rPr>
            </w:pPr>
            <w:r>
              <w:rPr>
                <w:sz w:val="21"/>
              </w:rPr>
              <w:t>门框内裁口宽度偏差 </w:t>
            </w:r>
          </w:p>
        </w:tc>
        <w:tc>
          <w:tcPr>
            <w:tcW w:w="2377" w:type="dxa"/>
          </w:tcPr>
          <w:p>
            <w:pPr>
              <w:pStyle w:val="TableParagraph"/>
              <w:spacing w:before="7"/>
              <w:rPr>
                <w:sz w:val="14"/>
              </w:rPr>
            </w:pPr>
          </w:p>
          <w:p>
            <w:pPr>
              <w:pStyle w:val="TableParagraph"/>
              <w:spacing w:before="1"/>
              <w:ind w:left="1005" w:right="473"/>
              <w:jc w:val="center"/>
              <w:rPr>
                <w:sz w:val="21"/>
              </w:rPr>
            </w:pPr>
            <w:r>
              <w:rPr>
                <w:sz w:val="21"/>
              </w:rPr>
              <w:t>5.6 </w:t>
            </w:r>
          </w:p>
        </w:tc>
        <w:tc>
          <w:tcPr>
            <w:tcW w:w="1547" w:type="dxa"/>
          </w:tcPr>
          <w:p>
            <w:pPr>
              <w:pStyle w:val="TableParagraph"/>
              <w:spacing w:before="7"/>
              <w:rPr>
                <w:sz w:val="14"/>
              </w:rPr>
            </w:pPr>
          </w:p>
          <w:p>
            <w:pPr>
              <w:pStyle w:val="TableParagraph"/>
              <w:spacing w:before="1"/>
              <w:ind w:left="698" w:right="163"/>
              <w:jc w:val="center"/>
              <w:rPr>
                <w:sz w:val="21"/>
              </w:rPr>
            </w:pPr>
            <w:r>
              <w:rPr>
                <w:sz w:val="21"/>
              </w:rPr>
              <w:t>6.7.5 </w:t>
            </w:r>
          </w:p>
        </w:tc>
        <w:tc>
          <w:tcPr>
            <w:tcW w:w="925" w:type="dxa"/>
          </w:tcPr>
          <w:p>
            <w:pPr>
              <w:pStyle w:val="TableParagraph"/>
              <w:spacing w:before="7"/>
              <w:rPr>
                <w:sz w:val="14"/>
              </w:rPr>
            </w:pPr>
          </w:p>
          <w:p>
            <w:pPr>
              <w:pStyle w:val="TableParagraph"/>
              <w:spacing w:before="1"/>
              <w:ind w:right="80"/>
              <w:jc w:val="right"/>
              <w:rPr>
                <w:sz w:val="21"/>
              </w:rPr>
            </w:pPr>
            <w:r>
              <w:rPr>
                <w:sz w:val="21"/>
              </w:rPr>
              <w:t>C </w:t>
            </w:r>
          </w:p>
        </w:tc>
      </w:tr>
      <w:tr>
        <w:trPr>
          <w:trHeight w:val="501" w:hRule="atLeast"/>
        </w:trPr>
        <w:tc>
          <w:tcPr>
            <w:tcW w:w="970" w:type="dxa"/>
          </w:tcPr>
          <w:p>
            <w:pPr>
              <w:pStyle w:val="TableParagraph"/>
              <w:spacing w:before="10"/>
              <w:rPr>
                <w:sz w:val="14"/>
              </w:rPr>
            </w:pPr>
          </w:p>
          <w:p>
            <w:pPr>
              <w:pStyle w:val="TableParagraph"/>
              <w:ind w:right="46"/>
              <w:jc w:val="right"/>
              <w:rPr>
                <w:sz w:val="21"/>
              </w:rPr>
            </w:pPr>
            <w:r>
              <w:rPr>
                <w:sz w:val="21"/>
              </w:rPr>
              <w:t>22 </w:t>
            </w:r>
          </w:p>
        </w:tc>
        <w:tc>
          <w:tcPr>
            <w:tcW w:w="2610" w:type="dxa"/>
          </w:tcPr>
          <w:p>
            <w:pPr>
              <w:pStyle w:val="TableParagraph"/>
              <w:spacing w:before="10"/>
              <w:rPr>
                <w:sz w:val="14"/>
              </w:rPr>
            </w:pPr>
          </w:p>
          <w:p>
            <w:pPr>
              <w:pStyle w:val="TableParagraph"/>
              <w:ind w:left="673"/>
              <w:rPr>
                <w:sz w:val="21"/>
              </w:rPr>
            </w:pPr>
            <w:r>
              <w:rPr>
                <w:sz w:val="21"/>
              </w:rPr>
              <w:t>门框侧壁宽度偏差 </w:t>
            </w:r>
          </w:p>
        </w:tc>
        <w:tc>
          <w:tcPr>
            <w:tcW w:w="2377" w:type="dxa"/>
          </w:tcPr>
          <w:p>
            <w:pPr>
              <w:pStyle w:val="TableParagraph"/>
              <w:spacing w:before="10"/>
              <w:rPr>
                <w:sz w:val="14"/>
              </w:rPr>
            </w:pPr>
          </w:p>
          <w:p>
            <w:pPr>
              <w:pStyle w:val="TableParagraph"/>
              <w:ind w:left="1005" w:right="473"/>
              <w:jc w:val="center"/>
              <w:rPr>
                <w:sz w:val="21"/>
              </w:rPr>
            </w:pPr>
            <w:r>
              <w:rPr>
                <w:sz w:val="21"/>
              </w:rPr>
              <w:t>5.6 </w:t>
            </w:r>
          </w:p>
        </w:tc>
        <w:tc>
          <w:tcPr>
            <w:tcW w:w="1547" w:type="dxa"/>
          </w:tcPr>
          <w:p>
            <w:pPr>
              <w:pStyle w:val="TableParagraph"/>
              <w:spacing w:before="10"/>
              <w:rPr>
                <w:sz w:val="14"/>
              </w:rPr>
            </w:pPr>
          </w:p>
          <w:p>
            <w:pPr>
              <w:pStyle w:val="TableParagraph"/>
              <w:ind w:left="698" w:right="163"/>
              <w:jc w:val="center"/>
              <w:rPr>
                <w:sz w:val="21"/>
              </w:rPr>
            </w:pPr>
            <w:r>
              <w:rPr>
                <w:sz w:val="21"/>
              </w:rPr>
              <w:t>6.7.6 </w:t>
            </w:r>
          </w:p>
        </w:tc>
        <w:tc>
          <w:tcPr>
            <w:tcW w:w="925" w:type="dxa"/>
          </w:tcPr>
          <w:p>
            <w:pPr>
              <w:pStyle w:val="TableParagraph"/>
              <w:spacing w:before="10"/>
              <w:rPr>
                <w:sz w:val="14"/>
              </w:rPr>
            </w:pPr>
          </w:p>
          <w:p>
            <w:pPr>
              <w:pStyle w:val="TableParagraph"/>
              <w:ind w:right="80"/>
              <w:jc w:val="right"/>
              <w:rPr>
                <w:sz w:val="21"/>
              </w:rPr>
            </w:pPr>
            <w:r>
              <w:rPr>
                <w:sz w:val="21"/>
              </w:rPr>
              <w:t>C </w:t>
            </w:r>
          </w:p>
        </w:tc>
      </w:tr>
      <w:tr>
        <w:trPr>
          <w:trHeight w:val="498" w:hRule="atLeast"/>
        </w:trPr>
        <w:tc>
          <w:tcPr>
            <w:tcW w:w="970" w:type="dxa"/>
          </w:tcPr>
          <w:p>
            <w:pPr>
              <w:pStyle w:val="TableParagraph"/>
              <w:spacing w:before="7"/>
              <w:rPr>
                <w:sz w:val="14"/>
              </w:rPr>
            </w:pPr>
          </w:p>
          <w:p>
            <w:pPr>
              <w:pStyle w:val="TableParagraph"/>
              <w:spacing w:before="1"/>
              <w:ind w:right="46"/>
              <w:jc w:val="right"/>
              <w:rPr>
                <w:sz w:val="21"/>
              </w:rPr>
            </w:pPr>
            <w:r>
              <w:rPr>
                <w:sz w:val="21"/>
              </w:rPr>
              <w:t>23 </w:t>
            </w:r>
          </w:p>
        </w:tc>
        <w:tc>
          <w:tcPr>
            <w:tcW w:w="2610" w:type="dxa"/>
          </w:tcPr>
          <w:p>
            <w:pPr>
              <w:pStyle w:val="TableParagraph"/>
              <w:spacing w:before="7"/>
              <w:rPr>
                <w:sz w:val="14"/>
              </w:rPr>
            </w:pPr>
          </w:p>
          <w:p>
            <w:pPr>
              <w:pStyle w:val="TableParagraph"/>
              <w:spacing w:before="1"/>
              <w:ind w:right="27"/>
              <w:jc w:val="right"/>
              <w:rPr>
                <w:sz w:val="21"/>
              </w:rPr>
            </w:pPr>
            <w:r>
              <w:rPr>
                <w:sz w:val="21"/>
              </w:rPr>
              <w:t>门扇两对角线长度差 </w:t>
            </w:r>
          </w:p>
        </w:tc>
        <w:tc>
          <w:tcPr>
            <w:tcW w:w="2377" w:type="dxa"/>
          </w:tcPr>
          <w:p>
            <w:pPr>
              <w:pStyle w:val="TableParagraph"/>
              <w:spacing w:before="7"/>
              <w:rPr>
                <w:sz w:val="14"/>
              </w:rPr>
            </w:pPr>
          </w:p>
          <w:p>
            <w:pPr>
              <w:pStyle w:val="TableParagraph"/>
              <w:spacing w:before="1"/>
              <w:ind w:left="1005" w:right="473"/>
              <w:jc w:val="center"/>
              <w:rPr>
                <w:sz w:val="21"/>
              </w:rPr>
            </w:pPr>
            <w:r>
              <w:rPr>
                <w:sz w:val="21"/>
              </w:rPr>
              <w:t>5.7 </w:t>
            </w:r>
          </w:p>
        </w:tc>
        <w:tc>
          <w:tcPr>
            <w:tcW w:w="1547" w:type="dxa"/>
          </w:tcPr>
          <w:p>
            <w:pPr>
              <w:pStyle w:val="TableParagraph"/>
              <w:spacing w:before="7"/>
              <w:rPr>
                <w:sz w:val="14"/>
              </w:rPr>
            </w:pPr>
          </w:p>
          <w:p>
            <w:pPr>
              <w:pStyle w:val="TableParagraph"/>
              <w:spacing w:before="1"/>
              <w:ind w:left="698" w:right="163"/>
              <w:jc w:val="center"/>
              <w:rPr>
                <w:sz w:val="21"/>
              </w:rPr>
            </w:pPr>
            <w:r>
              <w:rPr>
                <w:sz w:val="21"/>
              </w:rPr>
              <w:t>6.8.1 </w:t>
            </w:r>
          </w:p>
        </w:tc>
        <w:tc>
          <w:tcPr>
            <w:tcW w:w="925" w:type="dxa"/>
          </w:tcPr>
          <w:p>
            <w:pPr>
              <w:pStyle w:val="TableParagraph"/>
              <w:spacing w:before="7"/>
              <w:rPr>
                <w:sz w:val="14"/>
              </w:rPr>
            </w:pPr>
          </w:p>
          <w:p>
            <w:pPr>
              <w:pStyle w:val="TableParagraph"/>
              <w:spacing w:before="1"/>
              <w:ind w:right="80"/>
              <w:jc w:val="right"/>
              <w:rPr>
                <w:sz w:val="21"/>
              </w:rPr>
            </w:pPr>
            <w:r>
              <w:rPr>
                <w:sz w:val="21"/>
              </w:rPr>
              <w:t>C </w:t>
            </w:r>
          </w:p>
        </w:tc>
      </w:tr>
      <w:tr>
        <w:trPr>
          <w:trHeight w:val="501" w:hRule="atLeast"/>
        </w:trPr>
        <w:tc>
          <w:tcPr>
            <w:tcW w:w="970" w:type="dxa"/>
          </w:tcPr>
          <w:p>
            <w:pPr>
              <w:pStyle w:val="TableParagraph"/>
              <w:spacing w:before="10"/>
              <w:rPr>
                <w:sz w:val="14"/>
              </w:rPr>
            </w:pPr>
          </w:p>
          <w:p>
            <w:pPr>
              <w:pStyle w:val="TableParagraph"/>
              <w:ind w:right="46"/>
              <w:jc w:val="right"/>
              <w:rPr>
                <w:sz w:val="21"/>
              </w:rPr>
            </w:pPr>
            <w:r>
              <w:rPr>
                <w:sz w:val="21"/>
              </w:rPr>
              <w:t>24 </w:t>
            </w:r>
          </w:p>
        </w:tc>
        <w:tc>
          <w:tcPr>
            <w:tcW w:w="2610" w:type="dxa"/>
          </w:tcPr>
          <w:p>
            <w:pPr>
              <w:pStyle w:val="TableParagraph"/>
              <w:spacing w:before="10"/>
              <w:rPr>
                <w:sz w:val="14"/>
              </w:rPr>
            </w:pPr>
          </w:p>
          <w:p>
            <w:pPr>
              <w:pStyle w:val="TableParagraph"/>
              <w:ind w:left="988"/>
              <w:rPr>
                <w:sz w:val="21"/>
              </w:rPr>
            </w:pPr>
            <w:r>
              <w:rPr>
                <w:sz w:val="21"/>
              </w:rPr>
              <w:t>门扇扭曲度 </w:t>
            </w:r>
          </w:p>
        </w:tc>
        <w:tc>
          <w:tcPr>
            <w:tcW w:w="2377" w:type="dxa"/>
          </w:tcPr>
          <w:p>
            <w:pPr>
              <w:pStyle w:val="TableParagraph"/>
              <w:spacing w:before="10"/>
              <w:rPr>
                <w:sz w:val="14"/>
              </w:rPr>
            </w:pPr>
          </w:p>
          <w:p>
            <w:pPr>
              <w:pStyle w:val="TableParagraph"/>
              <w:ind w:left="1005" w:right="473"/>
              <w:jc w:val="center"/>
              <w:rPr>
                <w:sz w:val="21"/>
              </w:rPr>
            </w:pPr>
            <w:r>
              <w:rPr>
                <w:sz w:val="21"/>
              </w:rPr>
              <w:t>5.7 </w:t>
            </w:r>
          </w:p>
        </w:tc>
        <w:tc>
          <w:tcPr>
            <w:tcW w:w="1547" w:type="dxa"/>
          </w:tcPr>
          <w:p>
            <w:pPr>
              <w:pStyle w:val="TableParagraph"/>
              <w:spacing w:before="10"/>
              <w:rPr>
                <w:sz w:val="14"/>
              </w:rPr>
            </w:pPr>
          </w:p>
          <w:p>
            <w:pPr>
              <w:pStyle w:val="TableParagraph"/>
              <w:ind w:left="698" w:right="163"/>
              <w:jc w:val="center"/>
              <w:rPr>
                <w:sz w:val="21"/>
              </w:rPr>
            </w:pPr>
            <w:r>
              <w:rPr>
                <w:sz w:val="21"/>
              </w:rPr>
              <w:t>6.8.2 </w:t>
            </w:r>
          </w:p>
        </w:tc>
        <w:tc>
          <w:tcPr>
            <w:tcW w:w="925" w:type="dxa"/>
          </w:tcPr>
          <w:p>
            <w:pPr>
              <w:pStyle w:val="TableParagraph"/>
              <w:spacing w:before="10"/>
              <w:rPr>
                <w:sz w:val="14"/>
              </w:rPr>
            </w:pPr>
          </w:p>
          <w:p>
            <w:pPr>
              <w:pStyle w:val="TableParagraph"/>
              <w:ind w:right="80"/>
              <w:jc w:val="right"/>
              <w:rPr>
                <w:sz w:val="21"/>
              </w:rPr>
            </w:pPr>
            <w:r>
              <w:rPr>
                <w:sz w:val="21"/>
              </w:rPr>
              <w:t>B </w:t>
            </w:r>
          </w:p>
        </w:tc>
      </w:tr>
      <w:tr>
        <w:trPr>
          <w:trHeight w:val="500" w:hRule="atLeast"/>
        </w:trPr>
        <w:tc>
          <w:tcPr>
            <w:tcW w:w="970" w:type="dxa"/>
          </w:tcPr>
          <w:p>
            <w:pPr>
              <w:pStyle w:val="TableParagraph"/>
              <w:spacing w:before="7"/>
              <w:rPr>
                <w:sz w:val="14"/>
              </w:rPr>
            </w:pPr>
          </w:p>
          <w:p>
            <w:pPr>
              <w:pStyle w:val="TableParagraph"/>
              <w:spacing w:before="1"/>
              <w:ind w:right="46"/>
              <w:jc w:val="right"/>
              <w:rPr>
                <w:sz w:val="21"/>
              </w:rPr>
            </w:pPr>
            <w:r>
              <w:rPr>
                <w:sz w:val="21"/>
              </w:rPr>
              <w:t>25 </w:t>
            </w:r>
          </w:p>
        </w:tc>
        <w:tc>
          <w:tcPr>
            <w:tcW w:w="2610" w:type="dxa"/>
          </w:tcPr>
          <w:p>
            <w:pPr>
              <w:pStyle w:val="TableParagraph"/>
              <w:spacing w:before="7"/>
              <w:rPr>
                <w:sz w:val="14"/>
              </w:rPr>
            </w:pPr>
          </w:p>
          <w:p>
            <w:pPr>
              <w:pStyle w:val="TableParagraph"/>
              <w:spacing w:before="1"/>
              <w:ind w:right="27"/>
              <w:jc w:val="right"/>
              <w:rPr>
                <w:sz w:val="21"/>
              </w:rPr>
            </w:pPr>
            <w:r>
              <w:rPr>
                <w:sz w:val="21"/>
              </w:rPr>
              <w:t>门扇宽度方向弯曲度 </w:t>
            </w:r>
          </w:p>
        </w:tc>
        <w:tc>
          <w:tcPr>
            <w:tcW w:w="2377" w:type="dxa"/>
          </w:tcPr>
          <w:p>
            <w:pPr>
              <w:pStyle w:val="TableParagraph"/>
              <w:spacing w:before="7"/>
              <w:rPr>
                <w:sz w:val="14"/>
              </w:rPr>
            </w:pPr>
          </w:p>
          <w:p>
            <w:pPr>
              <w:pStyle w:val="TableParagraph"/>
              <w:spacing w:before="1"/>
              <w:ind w:left="1005" w:right="473"/>
              <w:jc w:val="center"/>
              <w:rPr>
                <w:sz w:val="21"/>
              </w:rPr>
            </w:pPr>
            <w:r>
              <w:rPr>
                <w:sz w:val="21"/>
              </w:rPr>
              <w:t>5.7 </w:t>
            </w:r>
          </w:p>
        </w:tc>
        <w:tc>
          <w:tcPr>
            <w:tcW w:w="1547" w:type="dxa"/>
          </w:tcPr>
          <w:p>
            <w:pPr>
              <w:pStyle w:val="TableParagraph"/>
              <w:spacing w:before="7"/>
              <w:rPr>
                <w:sz w:val="14"/>
              </w:rPr>
            </w:pPr>
          </w:p>
          <w:p>
            <w:pPr>
              <w:pStyle w:val="TableParagraph"/>
              <w:spacing w:before="1"/>
              <w:ind w:left="698" w:right="163"/>
              <w:jc w:val="center"/>
              <w:rPr>
                <w:sz w:val="21"/>
              </w:rPr>
            </w:pPr>
            <w:r>
              <w:rPr>
                <w:sz w:val="21"/>
              </w:rPr>
              <w:t>6.8.3 </w:t>
            </w:r>
          </w:p>
        </w:tc>
        <w:tc>
          <w:tcPr>
            <w:tcW w:w="925" w:type="dxa"/>
          </w:tcPr>
          <w:p>
            <w:pPr>
              <w:pStyle w:val="TableParagraph"/>
              <w:spacing w:before="7"/>
              <w:rPr>
                <w:sz w:val="14"/>
              </w:rPr>
            </w:pPr>
          </w:p>
          <w:p>
            <w:pPr>
              <w:pStyle w:val="TableParagraph"/>
              <w:spacing w:before="1"/>
              <w:ind w:right="80"/>
              <w:jc w:val="right"/>
              <w:rPr>
                <w:sz w:val="21"/>
              </w:rPr>
            </w:pPr>
            <w:r>
              <w:rPr>
                <w:sz w:val="21"/>
              </w:rPr>
              <w:t>B </w:t>
            </w:r>
          </w:p>
        </w:tc>
      </w:tr>
      <w:tr>
        <w:trPr>
          <w:trHeight w:val="498" w:hRule="atLeast"/>
        </w:trPr>
        <w:tc>
          <w:tcPr>
            <w:tcW w:w="970" w:type="dxa"/>
          </w:tcPr>
          <w:p>
            <w:pPr>
              <w:pStyle w:val="TableParagraph"/>
              <w:spacing w:before="7"/>
              <w:rPr>
                <w:sz w:val="14"/>
              </w:rPr>
            </w:pPr>
          </w:p>
          <w:p>
            <w:pPr>
              <w:pStyle w:val="TableParagraph"/>
              <w:spacing w:before="1"/>
              <w:ind w:right="46"/>
              <w:jc w:val="right"/>
              <w:rPr>
                <w:sz w:val="21"/>
              </w:rPr>
            </w:pPr>
            <w:r>
              <w:rPr>
                <w:sz w:val="21"/>
              </w:rPr>
              <w:t>26 </w:t>
            </w:r>
          </w:p>
        </w:tc>
        <w:tc>
          <w:tcPr>
            <w:tcW w:w="2610" w:type="dxa"/>
          </w:tcPr>
          <w:p>
            <w:pPr>
              <w:pStyle w:val="TableParagraph"/>
              <w:spacing w:before="7"/>
              <w:rPr>
                <w:sz w:val="14"/>
              </w:rPr>
            </w:pPr>
          </w:p>
          <w:p>
            <w:pPr>
              <w:pStyle w:val="TableParagraph"/>
              <w:spacing w:before="1"/>
              <w:ind w:right="27"/>
              <w:jc w:val="right"/>
              <w:rPr>
                <w:sz w:val="21"/>
              </w:rPr>
            </w:pPr>
            <w:r>
              <w:rPr>
                <w:sz w:val="21"/>
              </w:rPr>
              <w:t>门扇高度方向弯曲度 </w:t>
            </w:r>
          </w:p>
        </w:tc>
        <w:tc>
          <w:tcPr>
            <w:tcW w:w="2377" w:type="dxa"/>
          </w:tcPr>
          <w:p>
            <w:pPr>
              <w:pStyle w:val="TableParagraph"/>
              <w:spacing w:before="7"/>
              <w:rPr>
                <w:sz w:val="14"/>
              </w:rPr>
            </w:pPr>
          </w:p>
          <w:p>
            <w:pPr>
              <w:pStyle w:val="TableParagraph"/>
              <w:spacing w:before="1"/>
              <w:ind w:left="1005" w:right="473"/>
              <w:jc w:val="center"/>
              <w:rPr>
                <w:sz w:val="21"/>
              </w:rPr>
            </w:pPr>
            <w:r>
              <w:rPr>
                <w:sz w:val="21"/>
              </w:rPr>
              <w:t>5.7 </w:t>
            </w:r>
          </w:p>
        </w:tc>
        <w:tc>
          <w:tcPr>
            <w:tcW w:w="1547" w:type="dxa"/>
          </w:tcPr>
          <w:p>
            <w:pPr>
              <w:pStyle w:val="TableParagraph"/>
              <w:spacing w:before="7"/>
              <w:rPr>
                <w:sz w:val="14"/>
              </w:rPr>
            </w:pPr>
          </w:p>
          <w:p>
            <w:pPr>
              <w:pStyle w:val="TableParagraph"/>
              <w:spacing w:before="1"/>
              <w:ind w:left="698" w:right="163"/>
              <w:jc w:val="center"/>
              <w:rPr>
                <w:sz w:val="21"/>
              </w:rPr>
            </w:pPr>
            <w:r>
              <w:rPr>
                <w:sz w:val="21"/>
              </w:rPr>
              <w:t>6.8.3 </w:t>
            </w:r>
          </w:p>
        </w:tc>
        <w:tc>
          <w:tcPr>
            <w:tcW w:w="925" w:type="dxa"/>
          </w:tcPr>
          <w:p>
            <w:pPr>
              <w:pStyle w:val="TableParagraph"/>
              <w:spacing w:before="7"/>
              <w:rPr>
                <w:sz w:val="14"/>
              </w:rPr>
            </w:pPr>
          </w:p>
          <w:p>
            <w:pPr>
              <w:pStyle w:val="TableParagraph"/>
              <w:spacing w:before="1"/>
              <w:ind w:right="80"/>
              <w:jc w:val="right"/>
              <w:rPr>
                <w:sz w:val="21"/>
              </w:rPr>
            </w:pPr>
            <w:r>
              <w:rPr>
                <w:sz w:val="21"/>
              </w:rPr>
              <w:t>B </w:t>
            </w:r>
          </w:p>
        </w:tc>
      </w:tr>
      <w:tr>
        <w:trPr>
          <w:trHeight w:val="1000" w:hRule="atLeast"/>
        </w:trPr>
        <w:tc>
          <w:tcPr>
            <w:tcW w:w="970" w:type="dxa"/>
          </w:tcPr>
          <w:p>
            <w:pPr>
              <w:pStyle w:val="TableParagraph"/>
              <w:rPr>
                <w:sz w:val="20"/>
              </w:rPr>
            </w:pPr>
          </w:p>
          <w:p>
            <w:pPr>
              <w:pStyle w:val="TableParagraph"/>
              <w:spacing w:before="3"/>
              <w:rPr>
                <w:sz w:val="14"/>
              </w:rPr>
            </w:pPr>
          </w:p>
          <w:p>
            <w:pPr>
              <w:pStyle w:val="TableParagraph"/>
              <w:ind w:right="46"/>
              <w:jc w:val="right"/>
              <w:rPr>
                <w:sz w:val="21"/>
              </w:rPr>
            </w:pPr>
            <w:r>
              <w:rPr>
                <w:sz w:val="21"/>
              </w:rPr>
              <w:t>27 </w:t>
            </w:r>
          </w:p>
        </w:tc>
        <w:tc>
          <w:tcPr>
            <w:tcW w:w="2610" w:type="dxa"/>
          </w:tcPr>
          <w:p>
            <w:pPr>
              <w:pStyle w:val="TableParagraph"/>
              <w:spacing w:before="7"/>
              <w:rPr>
                <w:sz w:val="14"/>
              </w:rPr>
            </w:pPr>
          </w:p>
          <w:p>
            <w:pPr>
              <w:pStyle w:val="TableParagraph"/>
              <w:spacing w:before="1"/>
              <w:ind w:left="462"/>
              <w:rPr>
                <w:sz w:val="21"/>
              </w:rPr>
            </w:pPr>
            <w:r>
              <w:rPr>
                <w:sz w:val="21"/>
              </w:rPr>
              <w:t>门框内裁口两对角线长</w:t>
            </w:r>
          </w:p>
          <w:p>
            <w:pPr>
              <w:pStyle w:val="TableParagraph"/>
              <w:spacing w:before="1"/>
              <w:rPr>
                <w:sz w:val="18"/>
              </w:rPr>
            </w:pPr>
          </w:p>
          <w:p>
            <w:pPr>
              <w:pStyle w:val="TableParagraph"/>
              <w:spacing w:before="1"/>
              <w:ind w:left="182" w:right="63"/>
              <w:jc w:val="center"/>
              <w:rPr>
                <w:sz w:val="21"/>
              </w:rPr>
            </w:pPr>
            <w:r>
              <w:rPr>
                <w:sz w:val="21"/>
              </w:rPr>
              <w:t>度差 </w:t>
            </w:r>
          </w:p>
        </w:tc>
        <w:tc>
          <w:tcPr>
            <w:tcW w:w="2377" w:type="dxa"/>
          </w:tcPr>
          <w:p>
            <w:pPr>
              <w:pStyle w:val="TableParagraph"/>
              <w:rPr>
                <w:sz w:val="20"/>
              </w:rPr>
            </w:pPr>
          </w:p>
          <w:p>
            <w:pPr>
              <w:pStyle w:val="TableParagraph"/>
              <w:spacing w:before="3"/>
              <w:rPr>
                <w:sz w:val="14"/>
              </w:rPr>
            </w:pPr>
          </w:p>
          <w:p>
            <w:pPr>
              <w:pStyle w:val="TableParagraph"/>
              <w:ind w:left="1005" w:right="473"/>
              <w:jc w:val="center"/>
              <w:rPr>
                <w:sz w:val="21"/>
              </w:rPr>
            </w:pPr>
            <w:r>
              <w:rPr>
                <w:sz w:val="21"/>
              </w:rPr>
              <w:t>5.7 </w:t>
            </w:r>
          </w:p>
        </w:tc>
        <w:tc>
          <w:tcPr>
            <w:tcW w:w="1547" w:type="dxa"/>
          </w:tcPr>
          <w:p>
            <w:pPr>
              <w:pStyle w:val="TableParagraph"/>
              <w:rPr>
                <w:sz w:val="20"/>
              </w:rPr>
            </w:pPr>
          </w:p>
          <w:p>
            <w:pPr>
              <w:pStyle w:val="TableParagraph"/>
              <w:spacing w:before="3"/>
              <w:rPr>
                <w:sz w:val="14"/>
              </w:rPr>
            </w:pPr>
          </w:p>
          <w:p>
            <w:pPr>
              <w:pStyle w:val="TableParagraph"/>
              <w:ind w:left="698" w:right="163"/>
              <w:jc w:val="center"/>
              <w:rPr>
                <w:sz w:val="21"/>
              </w:rPr>
            </w:pPr>
            <w:r>
              <w:rPr>
                <w:sz w:val="21"/>
              </w:rPr>
              <w:t>6.8.4 </w:t>
            </w:r>
          </w:p>
        </w:tc>
        <w:tc>
          <w:tcPr>
            <w:tcW w:w="925" w:type="dxa"/>
          </w:tcPr>
          <w:p>
            <w:pPr>
              <w:pStyle w:val="TableParagraph"/>
              <w:rPr>
                <w:sz w:val="20"/>
              </w:rPr>
            </w:pPr>
          </w:p>
          <w:p>
            <w:pPr>
              <w:pStyle w:val="TableParagraph"/>
              <w:spacing w:before="3"/>
              <w:rPr>
                <w:sz w:val="14"/>
              </w:rPr>
            </w:pPr>
          </w:p>
          <w:p>
            <w:pPr>
              <w:pStyle w:val="TableParagraph"/>
              <w:ind w:right="80"/>
              <w:jc w:val="right"/>
              <w:rPr>
                <w:sz w:val="21"/>
              </w:rPr>
            </w:pPr>
            <w:r>
              <w:rPr>
                <w:sz w:val="21"/>
              </w:rPr>
              <w:t>C </w:t>
            </w:r>
          </w:p>
        </w:tc>
      </w:tr>
      <w:tr>
        <w:trPr>
          <w:trHeight w:val="500" w:hRule="atLeast"/>
        </w:trPr>
        <w:tc>
          <w:tcPr>
            <w:tcW w:w="970" w:type="dxa"/>
          </w:tcPr>
          <w:p>
            <w:pPr>
              <w:pStyle w:val="TableParagraph"/>
              <w:spacing w:before="7"/>
              <w:rPr>
                <w:sz w:val="14"/>
              </w:rPr>
            </w:pPr>
          </w:p>
          <w:p>
            <w:pPr>
              <w:pStyle w:val="TableParagraph"/>
              <w:spacing w:before="1"/>
              <w:ind w:right="46"/>
              <w:jc w:val="right"/>
              <w:rPr>
                <w:sz w:val="21"/>
              </w:rPr>
            </w:pPr>
            <w:r>
              <w:rPr>
                <w:sz w:val="21"/>
              </w:rPr>
              <w:t>28 </w:t>
            </w:r>
          </w:p>
        </w:tc>
        <w:tc>
          <w:tcPr>
            <w:tcW w:w="2610" w:type="dxa"/>
          </w:tcPr>
          <w:p>
            <w:pPr>
              <w:pStyle w:val="TableParagraph"/>
              <w:spacing w:before="7"/>
              <w:rPr>
                <w:sz w:val="14"/>
              </w:rPr>
            </w:pPr>
          </w:p>
          <w:p>
            <w:pPr>
              <w:pStyle w:val="TableParagraph"/>
              <w:spacing w:before="1"/>
              <w:ind w:right="27"/>
              <w:jc w:val="right"/>
              <w:rPr>
                <w:sz w:val="21"/>
              </w:rPr>
            </w:pPr>
            <w:r>
              <w:rPr>
                <w:sz w:val="21"/>
              </w:rPr>
              <w:t>门扇与门框的搭接尺寸</w:t>
            </w:r>
          </w:p>
        </w:tc>
        <w:tc>
          <w:tcPr>
            <w:tcW w:w="2377" w:type="dxa"/>
          </w:tcPr>
          <w:p>
            <w:pPr>
              <w:pStyle w:val="TableParagraph"/>
              <w:spacing w:before="7"/>
              <w:rPr>
                <w:sz w:val="14"/>
              </w:rPr>
            </w:pPr>
          </w:p>
          <w:p>
            <w:pPr>
              <w:pStyle w:val="TableParagraph"/>
              <w:spacing w:before="1"/>
              <w:ind w:left="1005" w:right="473"/>
              <w:jc w:val="center"/>
              <w:rPr>
                <w:sz w:val="21"/>
              </w:rPr>
            </w:pPr>
            <w:r>
              <w:rPr>
                <w:sz w:val="21"/>
              </w:rPr>
              <w:t>5.8.1 </w:t>
            </w:r>
          </w:p>
        </w:tc>
        <w:tc>
          <w:tcPr>
            <w:tcW w:w="1547" w:type="dxa"/>
          </w:tcPr>
          <w:p>
            <w:pPr>
              <w:pStyle w:val="TableParagraph"/>
              <w:spacing w:before="7"/>
              <w:rPr>
                <w:sz w:val="14"/>
              </w:rPr>
            </w:pPr>
          </w:p>
          <w:p>
            <w:pPr>
              <w:pStyle w:val="TableParagraph"/>
              <w:spacing w:before="1"/>
              <w:ind w:left="698" w:right="163"/>
              <w:jc w:val="center"/>
              <w:rPr>
                <w:sz w:val="21"/>
              </w:rPr>
            </w:pPr>
            <w:r>
              <w:rPr>
                <w:sz w:val="21"/>
              </w:rPr>
              <w:t>6.9.1 </w:t>
            </w:r>
          </w:p>
        </w:tc>
        <w:tc>
          <w:tcPr>
            <w:tcW w:w="925" w:type="dxa"/>
          </w:tcPr>
          <w:p>
            <w:pPr>
              <w:pStyle w:val="TableParagraph"/>
              <w:spacing w:before="7"/>
              <w:rPr>
                <w:sz w:val="14"/>
              </w:rPr>
            </w:pPr>
          </w:p>
          <w:p>
            <w:pPr>
              <w:pStyle w:val="TableParagraph"/>
              <w:spacing w:before="1"/>
              <w:ind w:right="80"/>
              <w:jc w:val="right"/>
              <w:rPr>
                <w:sz w:val="21"/>
              </w:rPr>
            </w:pPr>
            <w:r>
              <w:rPr>
                <w:sz w:val="21"/>
              </w:rPr>
              <w:t>B </w:t>
            </w:r>
          </w:p>
        </w:tc>
      </w:tr>
      <w:tr>
        <w:trPr>
          <w:trHeight w:val="1000" w:hRule="atLeast"/>
        </w:trPr>
        <w:tc>
          <w:tcPr>
            <w:tcW w:w="970" w:type="dxa"/>
          </w:tcPr>
          <w:p>
            <w:pPr>
              <w:pStyle w:val="TableParagraph"/>
              <w:rPr>
                <w:sz w:val="20"/>
              </w:rPr>
            </w:pPr>
          </w:p>
          <w:p>
            <w:pPr>
              <w:pStyle w:val="TableParagraph"/>
              <w:spacing w:before="1"/>
              <w:rPr>
                <w:sz w:val="14"/>
              </w:rPr>
            </w:pPr>
          </w:p>
          <w:p>
            <w:pPr>
              <w:pStyle w:val="TableParagraph"/>
              <w:ind w:right="46"/>
              <w:jc w:val="right"/>
              <w:rPr>
                <w:sz w:val="21"/>
              </w:rPr>
            </w:pPr>
            <w:r>
              <w:rPr>
                <w:sz w:val="21"/>
              </w:rPr>
              <w:t>29 </w:t>
            </w:r>
          </w:p>
        </w:tc>
        <w:tc>
          <w:tcPr>
            <w:tcW w:w="2610" w:type="dxa"/>
          </w:tcPr>
          <w:p>
            <w:pPr>
              <w:pStyle w:val="TableParagraph"/>
              <w:spacing w:before="7"/>
              <w:rPr>
                <w:sz w:val="14"/>
              </w:rPr>
            </w:pPr>
          </w:p>
          <w:p>
            <w:pPr>
              <w:pStyle w:val="TableParagraph"/>
              <w:spacing w:before="1"/>
              <w:ind w:left="462"/>
              <w:rPr>
                <w:sz w:val="21"/>
              </w:rPr>
            </w:pPr>
            <w:r>
              <w:rPr>
                <w:sz w:val="21"/>
              </w:rPr>
              <w:t>门扇与门框的有合页一</w:t>
            </w:r>
          </w:p>
          <w:p>
            <w:pPr>
              <w:pStyle w:val="TableParagraph"/>
              <w:spacing w:before="12"/>
              <w:rPr>
                <w:sz w:val="17"/>
              </w:rPr>
            </w:pPr>
          </w:p>
          <w:p>
            <w:pPr>
              <w:pStyle w:val="TableParagraph"/>
              <w:ind w:left="462"/>
              <w:rPr>
                <w:sz w:val="21"/>
              </w:rPr>
            </w:pPr>
            <w:r>
              <w:rPr>
                <w:sz w:val="21"/>
              </w:rPr>
              <w:t>侧的配合活动间隙 </w:t>
            </w:r>
          </w:p>
        </w:tc>
        <w:tc>
          <w:tcPr>
            <w:tcW w:w="2377" w:type="dxa"/>
          </w:tcPr>
          <w:p>
            <w:pPr>
              <w:pStyle w:val="TableParagraph"/>
              <w:rPr>
                <w:sz w:val="20"/>
              </w:rPr>
            </w:pPr>
          </w:p>
          <w:p>
            <w:pPr>
              <w:pStyle w:val="TableParagraph"/>
              <w:spacing w:before="1"/>
              <w:rPr>
                <w:sz w:val="14"/>
              </w:rPr>
            </w:pPr>
          </w:p>
          <w:p>
            <w:pPr>
              <w:pStyle w:val="TableParagraph"/>
              <w:ind w:left="1008" w:right="473"/>
              <w:jc w:val="center"/>
              <w:rPr>
                <w:sz w:val="21"/>
              </w:rPr>
            </w:pPr>
            <w:r>
              <w:rPr>
                <w:sz w:val="21"/>
              </w:rPr>
              <w:t>5.8.2.1 </w:t>
            </w:r>
          </w:p>
        </w:tc>
        <w:tc>
          <w:tcPr>
            <w:tcW w:w="1547" w:type="dxa"/>
          </w:tcPr>
          <w:p>
            <w:pPr>
              <w:pStyle w:val="TableParagraph"/>
              <w:rPr>
                <w:sz w:val="20"/>
              </w:rPr>
            </w:pPr>
          </w:p>
          <w:p>
            <w:pPr>
              <w:pStyle w:val="TableParagraph"/>
              <w:spacing w:before="1"/>
              <w:rPr>
                <w:sz w:val="14"/>
              </w:rPr>
            </w:pPr>
          </w:p>
          <w:p>
            <w:pPr>
              <w:pStyle w:val="TableParagraph"/>
              <w:ind w:left="698" w:right="163"/>
              <w:jc w:val="center"/>
              <w:rPr>
                <w:sz w:val="21"/>
              </w:rPr>
            </w:pPr>
            <w:r>
              <w:rPr>
                <w:sz w:val="21"/>
              </w:rPr>
              <w:t>6.9.2 </w:t>
            </w:r>
          </w:p>
        </w:tc>
        <w:tc>
          <w:tcPr>
            <w:tcW w:w="925" w:type="dxa"/>
          </w:tcPr>
          <w:p>
            <w:pPr>
              <w:pStyle w:val="TableParagraph"/>
              <w:rPr>
                <w:sz w:val="20"/>
              </w:rPr>
            </w:pPr>
          </w:p>
          <w:p>
            <w:pPr>
              <w:pStyle w:val="TableParagraph"/>
              <w:spacing w:before="1"/>
              <w:rPr>
                <w:sz w:val="14"/>
              </w:rPr>
            </w:pPr>
          </w:p>
          <w:p>
            <w:pPr>
              <w:pStyle w:val="TableParagraph"/>
              <w:ind w:right="80"/>
              <w:jc w:val="right"/>
              <w:rPr>
                <w:sz w:val="21"/>
              </w:rPr>
            </w:pPr>
            <w:r>
              <w:rPr>
                <w:sz w:val="21"/>
              </w:rPr>
              <w:t>C </w:t>
            </w:r>
          </w:p>
        </w:tc>
      </w:tr>
      <w:tr>
        <w:trPr>
          <w:trHeight w:val="1000" w:hRule="atLeast"/>
        </w:trPr>
        <w:tc>
          <w:tcPr>
            <w:tcW w:w="970" w:type="dxa"/>
          </w:tcPr>
          <w:p>
            <w:pPr>
              <w:pStyle w:val="TableParagraph"/>
              <w:rPr>
                <w:sz w:val="20"/>
              </w:rPr>
            </w:pPr>
          </w:p>
          <w:p>
            <w:pPr>
              <w:pStyle w:val="TableParagraph"/>
              <w:spacing w:before="1"/>
              <w:rPr>
                <w:sz w:val="14"/>
              </w:rPr>
            </w:pPr>
          </w:p>
          <w:p>
            <w:pPr>
              <w:pStyle w:val="TableParagraph"/>
              <w:ind w:right="46"/>
              <w:jc w:val="right"/>
              <w:rPr>
                <w:sz w:val="21"/>
              </w:rPr>
            </w:pPr>
            <w:r>
              <w:rPr>
                <w:sz w:val="21"/>
              </w:rPr>
              <w:t>30 </w:t>
            </w:r>
          </w:p>
        </w:tc>
        <w:tc>
          <w:tcPr>
            <w:tcW w:w="2610" w:type="dxa"/>
          </w:tcPr>
          <w:p>
            <w:pPr>
              <w:pStyle w:val="TableParagraph"/>
              <w:spacing w:before="7"/>
              <w:rPr>
                <w:sz w:val="14"/>
              </w:rPr>
            </w:pPr>
          </w:p>
          <w:p>
            <w:pPr>
              <w:pStyle w:val="TableParagraph"/>
              <w:spacing w:before="1"/>
              <w:ind w:left="462"/>
              <w:rPr>
                <w:sz w:val="21"/>
              </w:rPr>
            </w:pPr>
            <w:r>
              <w:rPr>
                <w:sz w:val="21"/>
              </w:rPr>
              <w:t>门扇与门框的有锁一侧</w:t>
            </w:r>
          </w:p>
          <w:p>
            <w:pPr>
              <w:pStyle w:val="TableParagraph"/>
              <w:spacing w:before="12"/>
              <w:rPr>
                <w:sz w:val="17"/>
              </w:rPr>
            </w:pPr>
          </w:p>
          <w:p>
            <w:pPr>
              <w:pStyle w:val="TableParagraph"/>
              <w:ind w:left="568"/>
              <w:rPr>
                <w:sz w:val="21"/>
              </w:rPr>
            </w:pPr>
            <w:r>
              <w:rPr>
                <w:sz w:val="21"/>
              </w:rPr>
              <w:t>的配合活动间隙 </w:t>
            </w:r>
          </w:p>
        </w:tc>
        <w:tc>
          <w:tcPr>
            <w:tcW w:w="2377" w:type="dxa"/>
          </w:tcPr>
          <w:p>
            <w:pPr>
              <w:pStyle w:val="TableParagraph"/>
              <w:rPr>
                <w:sz w:val="20"/>
              </w:rPr>
            </w:pPr>
          </w:p>
          <w:p>
            <w:pPr>
              <w:pStyle w:val="TableParagraph"/>
              <w:spacing w:before="1"/>
              <w:rPr>
                <w:sz w:val="14"/>
              </w:rPr>
            </w:pPr>
          </w:p>
          <w:p>
            <w:pPr>
              <w:pStyle w:val="TableParagraph"/>
              <w:ind w:left="1008" w:right="473"/>
              <w:jc w:val="center"/>
              <w:rPr>
                <w:sz w:val="21"/>
              </w:rPr>
            </w:pPr>
            <w:r>
              <w:rPr>
                <w:sz w:val="21"/>
              </w:rPr>
              <w:t>5.8.2.2 </w:t>
            </w:r>
          </w:p>
        </w:tc>
        <w:tc>
          <w:tcPr>
            <w:tcW w:w="1547" w:type="dxa"/>
          </w:tcPr>
          <w:p>
            <w:pPr>
              <w:pStyle w:val="TableParagraph"/>
              <w:rPr>
                <w:sz w:val="20"/>
              </w:rPr>
            </w:pPr>
          </w:p>
          <w:p>
            <w:pPr>
              <w:pStyle w:val="TableParagraph"/>
              <w:spacing w:before="1"/>
              <w:rPr>
                <w:sz w:val="14"/>
              </w:rPr>
            </w:pPr>
          </w:p>
          <w:p>
            <w:pPr>
              <w:pStyle w:val="TableParagraph"/>
              <w:ind w:left="698" w:right="163"/>
              <w:jc w:val="center"/>
              <w:rPr>
                <w:sz w:val="21"/>
              </w:rPr>
            </w:pPr>
            <w:r>
              <w:rPr>
                <w:sz w:val="21"/>
              </w:rPr>
              <w:t>6.9.2 </w:t>
            </w:r>
          </w:p>
        </w:tc>
        <w:tc>
          <w:tcPr>
            <w:tcW w:w="925" w:type="dxa"/>
          </w:tcPr>
          <w:p>
            <w:pPr>
              <w:pStyle w:val="TableParagraph"/>
              <w:rPr>
                <w:sz w:val="20"/>
              </w:rPr>
            </w:pPr>
          </w:p>
          <w:p>
            <w:pPr>
              <w:pStyle w:val="TableParagraph"/>
              <w:spacing w:before="1"/>
              <w:rPr>
                <w:sz w:val="14"/>
              </w:rPr>
            </w:pPr>
          </w:p>
          <w:p>
            <w:pPr>
              <w:pStyle w:val="TableParagraph"/>
              <w:ind w:right="80"/>
              <w:jc w:val="right"/>
              <w:rPr>
                <w:sz w:val="21"/>
              </w:rPr>
            </w:pPr>
            <w:r>
              <w:rPr>
                <w:sz w:val="21"/>
              </w:rPr>
              <w:t>C </w:t>
            </w:r>
          </w:p>
        </w:tc>
      </w:tr>
      <w:tr>
        <w:trPr>
          <w:trHeight w:val="998" w:hRule="atLeast"/>
        </w:trPr>
        <w:tc>
          <w:tcPr>
            <w:tcW w:w="970" w:type="dxa"/>
          </w:tcPr>
          <w:p>
            <w:pPr>
              <w:pStyle w:val="TableParagraph"/>
              <w:rPr>
                <w:sz w:val="20"/>
              </w:rPr>
            </w:pPr>
          </w:p>
          <w:p>
            <w:pPr>
              <w:pStyle w:val="TableParagraph"/>
              <w:spacing w:before="1"/>
              <w:rPr>
                <w:sz w:val="14"/>
              </w:rPr>
            </w:pPr>
          </w:p>
          <w:p>
            <w:pPr>
              <w:pStyle w:val="TableParagraph"/>
              <w:spacing w:before="1"/>
              <w:ind w:right="46"/>
              <w:jc w:val="right"/>
              <w:rPr>
                <w:sz w:val="21"/>
              </w:rPr>
            </w:pPr>
            <w:r>
              <w:rPr>
                <w:sz w:val="21"/>
              </w:rPr>
              <w:t>31 </w:t>
            </w:r>
          </w:p>
        </w:tc>
        <w:tc>
          <w:tcPr>
            <w:tcW w:w="2610" w:type="dxa"/>
          </w:tcPr>
          <w:p>
            <w:pPr>
              <w:pStyle w:val="TableParagraph"/>
              <w:spacing w:before="7"/>
              <w:rPr>
                <w:sz w:val="14"/>
              </w:rPr>
            </w:pPr>
          </w:p>
          <w:p>
            <w:pPr>
              <w:pStyle w:val="TableParagraph"/>
              <w:spacing w:before="1"/>
              <w:ind w:left="462"/>
              <w:rPr>
                <w:sz w:val="21"/>
              </w:rPr>
            </w:pPr>
            <w:r>
              <w:rPr>
                <w:sz w:val="21"/>
              </w:rPr>
              <w:t>门扇与上框的配合活动</w:t>
            </w:r>
          </w:p>
          <w:p>
            <w:pPr>
              <w:pStyle w:val="TableParagraph"/>
              <w:rPr>
                <w:sz w:val="18"/>
              </w:rPr>
            </w:pPr>
          </w:p>
          <w:p>
            <w:pPr>
              <w:pStyle w:val="TableParagraph"/>
              <w:ind w:left="182" w:right="63"/>
              <w:jc w:val="center"/>
              <w:rPr>
                <w:sz w:val="21"/>
              </w:rPr>
            </w:pPr>
            <w:r>
              <w:rPr>
                <w:sz w:val="21"/>
              </w:rPr>
              <w:t>间隙 </w:t>
            </w:r>
          </w:p>
        </w:tc>
        <w:tc>
          <w:tcPr>
            <w:tcW w:w="2377" w:type="dxa"/>
          </w:tcPr>
          <w:p>
            <w:pPr>
              <w:pStyle w:val="TableParagraph"/>
              <w:rPr>
                <w:sz w:val="20"/>
              </w:rPr>
            </w:pPr>
          </w:p>
          <w:p>
            <w:pPr>
              <w:pStyle w:val="TableParagraph"/>
              <w:spacing w:before="1"/>
              <w:rPr>
                <w:sz w:val="14"/>
              </w:rPr>
            </w:pPr>
          </w:p>
          <w:p>
            <w:pPr>
              <w:pStyle w:val="TableParagraph"/>
              <w:spacing w:before="1"/>
              <w:ind w:left="1008" w:right="473"/>
              <w:jc w:val="center"/>
              <w:rPr>
                <w:sz w:val="21"/>
              </w:rPr>
            </w:pPr>
            <w:r>
              <w:rPr>
                <w:sz w:val="21"/>
              </w:rPr>
              <w:t>5.8.2.3 </w:t>
            </w:r>
          </w:p>
        </w:tc>
        <w:tc>
          <w:tcPr>
            <w:tcW w:w="1547" w:type="dxa"/>
          </w:tcPr>
          <w:p>
            <w:pPr>
              <w:pStyle w:val="TableParagraph"/>
              <w:rPr>
                <w:sz w:val="20"/>
              </w:rPr>
            </w:pPr>
          </w:p>
          <w:p>
            <w:pPr>
              <w:pStyle w:val="TableParagraph"/>
              <w:spacing w:before="1"/>
              <w:rPr>
                <w:sz w:val="14"/>
              </w:rPr>
            </w:pPr>
          </w:p>
          <w:p>
            <w:pPr>
              <w:pStyle w:val="TableParagraph"/>
              <w:spacing w:before="1"/>
              <w:ind w:left="698" w:right="163"/>
              <w:jc w:val="center"/>
              <w:rPr>
                <w:sz w:val="21"/>
              </w:rPr>
            </w:pPr>
            <w:r>
              <w:rPr>
                <w:sz w:val="21"/>
              </w:rPr>
              <w:t>6.9.2 </w:t>
            </w:r>
          </w:p>
        </w:tc>
        <w:tc>
          <w:tcPr>
            <w:tcW w:w="925" w:type="dxa"/>
          </w:tcPr>
          <w:p>
            <w:pPr>
              <w:pStyle w:val="TableParagraph"/>
              <w:rPr>
                <w:sz w:val="20"/>
              </w:rPr>
            </w:pPr>
          </w:p>
          <w:p>
            <w:pPr>
              <w:pStyle w:val="TableParagraph"/>
              <w:spacing w:before="1"/>
              <w:rPr>
                <w:sz w:val="14"/>
              </w:rPr>
            </w:pPr>
          </w:p>
          <w:p>
            <w:pPr>
              <w:pStyle w:val="TableParagraph"/>
              <w:spacing w:before="1"/>
              <w:ind w:right="80"/>
              <w:jc w:val="right"/>
              <w:rPr>
                <w:sz w:val="21"/>
              </w:rPr>
            </w:pPr>
            <w:r>
              <w:rPr>
                <w:sz w:val="21"/>
              </w:rPr>
              <w:t>C </w:t>
            </w:r>
          </w:p>
        </w:tc>
      </w:tr>
      <w:tr>
        <w:trPr>
          <w:trHeight w:val="501" w:hRule="atLeast"/>
        </w:trPr>
        <w:tc>
          <w:tcPr>
            <w:tcW w:w="970" w:type="dxa"/>
          </w:tcPr>
          <w:p>
            <w:pPr>
              <w:pStyle w:val="TableParagraph"/>
              <w:spacing w:before="10"/>
              <w:rPr>
                <w:sz w:val="14"/>
              </w:rPr>
            </w:pPr>
          </w:p>
          <w:p>
            <w:pPr>
              <w:pStyle w:val="TableParagraph"/>
              <w:ind w:right="46"/>
              <w:jc w:val="right"/>
              <w:rPr>
                <w:sz w:val="21"/>
              </w:rPr>
            </w:pPr>
            <w:r>
              <w:rPr>
                <w:sz w:val="21"/>
              </w:rPr>
              <w:t>32 </w:t>
            </w:r>
          </w:p>
        </w:tc>
        <w:tc>
          <w:tcPr>
            <w:tcW w:w="2610" w:type="dxa"/>
          </w:tcPr>
          <w:p>
            <w:pPr>
              <w:pStyle w:val="TableParagraph"/>
              <w:spacing w:before="10"/>
              <w:rPr>
                <w:sz w:val="14"/>
              </w:rPr>
            </w:pPr>
          </w:p>
          <w:p>
            <w:pPr>
              <w:pStyle w:val="TableParagraph"/>
              <w:ind w:left="776"/>
              <w:rPr>
                <w:sz w:val="21"/>
              </w:rPr>
            </w:pPr>
            <w:r>
              <w:rPr>
                <w:sz w:val="21"/>
              </w:rPr>
              <w:t>双扇门中间缝隙 </w:t>
            </w:r>
          </w:p>
        </w:tc>
        <w:tc>
          <w:tcPr>
            <w:tcW w:w="2377" w:type="dxa"/>
          </w:tcPr>
          <w:p>
            <w:pPr>
              <w:pStyle w:val="TableParagraph"/>
              <w:spacing w:before="10"/>
              <w:rPr>
                <w:sz w:val="14"/>
              </w:rPr>
            </w:pPr>
          </w:p>
          <w:p>
            <w:pPr>
              <w:pStyle w:val="TableParagraph"/>
              <w:ind w:left="1008" w:right="473"/>
              <w:jc w:val="center"/>
              <w:rPr>
                <w:sz w:val="21"/>
              </w:rPr>
            </w:pPr>
            <w:r>
              <w:rPr>
                <w:sz w:val="21"/>
              </w:rPr>
              <w:t>5.8.2.4 </w:t>
            </w:r>
          </w:p>
        </w:tc>
        <w:tc>
          <w:tcPr>
            <w:tcW w:w="1547" w:type="dxa"/>
          </w:tcPr>
          <w:p>
            <w:pPr>
              <w:pStyle w:val="TableParagraph"/>
              <w:spacing w:before="10"/>
              <w:rPr>
                <w:sz w:val="14"/>
              </w:rPr>
            </w:pPr>
          </w:p>
          <w:p>
            <w:pPr>
              <w:pStyle w:val="TableParagraph"/>
              <w:ind w:left="698" w:right="163"/>
              <w:jc w:val="center"/>
              <w:rPr>
                <w:sz w:val="21"/>
              </w:rPr>
            </w:pPr>
            <w:r>
              <w:rPr>
                <w:sz w:val="21"/>
              </w:rPr>
              <w:t>6.9.2 </w:t>
            </w:r>
          </w:p>
        </w:tc>
        <w:tc>
          <w:tcPr>
            <w:tcW w:w="925" w:type="dxa"/>
          </w:tcPr>
          <w:p>
            <w:pPr>
              <w:pStyle w:val="TableParagraph"/>
              <w:spacing w:before="10"/>
              <w:rPr>
                <w:sz w:val="14"/>
              </w:rPr>
            </w:pPr>
          </w:p>
          <w:p>
            <w:pPr>
              <w:pStyle w:val="TableParagraph"/>
              <w:ind w:right="80"/>
              <w:jc w:val="right"/>
              <w:rPr>
                <w:sz w:val="21"/>
              </w:rPr>
            </w:pPr>
            <w:r>
              <w:rPr>
                <w:sz w:val="21"/>
              </w:rPr>
              <w:t>C </w:t>
            </w:r>
          </w:p>
        </w:tc>
      </w:tr>
      <w:tr>
        <w:trPr>
          <w:trHeight w:val="501" w:hRule="atLeast"/>
        </w:trPr>
        <w:tc>
          <w:tcPr>
            <w:tcW w:w="970" w:type="dxa"/>
          </w:tcPr>
          <w:p>
            <w:pPr>
              <w:pStyle w:val="TableParagraph"/>
              <w:spacing w:before="7"/>
              <w:rPr>
                <w:sz w:val="14"/>
              </w:rPr>
            </w:pPr>
          </w:p>
          <w:p>
            <w:pPr>
              <w:pStyle w:val="TableParagraph"/>
              <w:spacing w:before="1"/>
              <w:ind w:right="46"/>
              <w:jc w:val="right"/>
              <w:rPr>
                <w:sz w:val="21"/>
              </w:rPr>
            </w:pPr>
            <w:r>
              <w:rPr>
                <w:sz w:val="21"/>
              </w:rPr>
              <w:t>33 </w:t>
            </w:r>
          </w:p>
        </w:tc>
        <w:tc>
          <w:tcPr>
            <w:tcW w:w="2610" w:type="dxa"/>
          </w:tcPr>
          <w:p>
            <w:pPr>
              <w:pStyle w:val="TableParagraph"/>
              <w:spacing w:before="7"/>
              <w:rPr>
                <w:sz w:val="14"/>
              </w:rPr>
            </w:pPr>
          </w:p>
          <w:p>
            <w:pPr>
              <w:pStyle w:val="TableParagraph"/>
              <w:spacing w:before="1"/>
              <w:ind w:right="27"/>
              <w:jc w:val="right"/>
              <w:rPr>
                <w:sz w:val="21"/>
              </w:rPr>
            </w:pPr>
            <w:r>
              <w:rPr>
                <w:sz w:val="21"/>
              </w:rPr>
              <w:t>门框与下框或地面间隙</w:t>
            </w:r>
          </w:p>
        </w:tc>
        <w:tc>
          <w:tcPr>
            <w:tcW w:w="2377" w:type="dxa"/>
          </w:tcPr>
          <w:p>
            <w:pPr>
              <w:pStyle w:val="TableParagraph"/>
              <w:spacing w:before="7"/>
              <w:rPr>
                <w:sz w:val="14"/>
              </w:rPr>
            </w:pPr>
          </w:p>
          <w:p>
            <w:pPr>
              <w:pStyle w:val="TableParagraph"/>
              <w:spacing w:before="1"/>
              <w:ind w:left="1008" w:right="473"/>
              <w:jc w:val="center"/>
              <w:rPr>
                <w:sz w:val="21"/>
              </w:rPr>
            </w:pPr>
            <w:r>
              <w:rPr>
                <w:sz w:val="21"/>
              </w:rPr>
              <w:t>5.8.2.5 </w:t>
            </w:r>
          </w:p>
        </w:tc>
        <w:tc>
          <w:tcPr>
            <w:tcW w:w="1547" w:type="dxa"/>
          </w:tcPr>
          <w:p>
            <w:pPr>
              <w:pStyle w:val="TableParagraph"/>
              <w:spacing w:before="7"/>
              <w:rPr>
                <w:sz w:val="14"/>
              </w:rPr>
            </w:pPr>
          </w:p>
          <w:p>
            <w:pPr>
              <w:pStyle w:val="TableParagraph"/>
              <w:spacing w:before="1"/>
              <w:ind w:left="698" w:right="163"/>
              <w:jc w:val="center"/>
              <w:rPr>
                <w:sz w:val="21"/>
              </w:rPr>
            </w:pPr>
            <w:r>
              <w:rPr>
                <w:sz w:val="21"/>
              </w:rPr>
              <w:t>6.9.2 </w:t>
            </w:r>
          </w:p>
        </w:tc>
        <w:tc>
          <w:tcPr>
            <w:tcW w:w="925" w:type="dxa"/>
          </w:tcPr>
          <w:p>
            <w:pPr>
              <w:pStyle w:val="TableParagraph"/>
              <w:spacing w:before="7"/>
              <w:rPr>
                <w:sz w:val="14"/>
              </w:rPr>
            </w:pPr>
          </w:p>
          <w:p>
            <w:pPr>
              <w:pStyle w:val="TableParagraph"/>
              <w:spacing w:before="1"/>
              <w:ind w:right="80"/>
              <w:jc w:val="right"/>
              <w:rPr>
                <w:sz w:val="21"/>
              </w:rPr>
            </w:pPr>
            <w:r>
              <w:rPr>
                <w:sz w:val="21"/>
              </w:rPr>
              <w:t>C </w:t>
            </w:r>
          </w:p>
        </w:tc>
      </w:tr>
      <w:tr>
        <w:trPr>
          <w:trHeight w:val="498" w:hRule="atLeast"/>
        </w:trPr>
        <w:tc>
          <w:tcPr>
            <w:tcW w:w="970" w:type="dxa"/>
          </w:tcPr>
          <w:p>
            <w:pPr>
              <w:pStyle w:val="TableParagraph"/>
              <w:spacing w:before="7"/>
              <w:rPr>
                <w:sz w:val="14"/>
              </w:rPr>
            </w:pPr>
          </w:p>
          <w:p>
            <w:pPr>
              <w:pStyle w:val="TableParagraph"/>
              <w:spacing w:before="1"/>
              <w:ind w:right="46"/>
              <w:jc w:val="right"/>
              <w:rPr>
                <w:sz w:val="21"/>
              </w:rPr>
            </w:pPr>
            <w:r>
              <w:rPr>
                <w:sz w:val="21"/>
              </w:rPr>
              <w:t>34 </w:t>
            </w:r>
          </w:p>
        </w:tc>
        <w:tc>
          <w:tcPr>
            <w:tcW w:w="2610" w:type="dxa"/>
          </w:tcPr>
          <w:p>
            <w:pPr>
              <w:pStyle w:val="TableParagraph"/>
              <w:spacing w:before="7"/>
              <w:rPr>
                <w:sz w:val="14"/>
              </w:rPr>
            </w:pPr>
          </w:p>
          <w:p>
            <w:pPr>
              <w:pStyle w:val="TableParagraph"/>
              <w:spacing w:before="1"/>
              <w:ind w:right="27"/>
              <w:jc w:val="right"/>
              <w:rPr>
                <w:sz w:val="21"/>
              </w:rPr>
            </w:pPr>
            <w:r>
              <w:rPr>
                <w:sz w:val="21"/>
              </w:rPr>
              <w:t>门扇与门框贴合面间隙</w:t>
            </w:r>
          </w:p>
        </w:tc>
        <w:tc>
          <w:tcPr>
            <w:tcW w:w="2377" w:type="dxa"/>
          </w:tcPr>
          <w:p>
            <w:pPr>
              <w:pStyle w:val="TableParagraph"/>
              <w:spacing w:before="7"/>
              <w:rPr>
                <w:sz w:val="14"/>
              </w:rPr>
            </w:pPr>
          </w:p>
          <w:p>
            <w:pPr>
              <w:pStyle w:val="TableParagraph"/>
              <w:spacing w:before="1"/>
              <w:ind w:left="1008" w:right="473"/>
              <w:jc w:val="center"/>
              <w:rPr>
                <w:sz w:val="21"/>
              </w:rPr>
            </w:pPr>
            <w:r>
              <w:rPr>
                <w:sz w:val="21"/>
              </w:rPr>
              <w:t>5.8.2.6 </w:t>
            </w:r>
          </w:p>
        </w:tc>
        <w:tc>
          <w:tcPr>
            <w:tcW w:w="1547" w:type="dxa"/>
          </w:tcPr>
          <w:p>
            <w:pPr>
              <w:pStyle w:val="TableParagraph"/>
              <w:spacing w:before="7"/>
              <w:rPr>
                <w:sz w:val="14"/>
              </w:rPr>
            </w:pPr>
          </w:p>
          <w:p>
            <w:pPr>
              <w:pStyle w:val="TableParagraph"/>
              <w:spacing w:before="1"/>
              <w:ind w:left="698" w:right="163"/>
              <w:jc w:val="center"/>
              <w:rPr>
                <w:sz w:val="21"/>
              </w:rPr>
            </w:pPr>
            <w:r>
              <w:rPr>
                <w:sz w:val="21"/>
              </w:rPr>
              <w:t>6.9.3 </w:t>
            </w:r>
          </w:p>
        </w:tc>
        <w:tc>
          <w:tcPr>
            <w:tcW w:w="925" w:type="dxa"/>
          </w:tcPr>
          <w:p>
            <w:pPr>
              <w:pStyle w:val="TableParagraph"/>
              <w:spacing w:before="7"/>
              <w:rPr>
                <w:sz w:val="14"/>
              </w:rPr>
            </w:pPr>
          </w:p>
          <w:p>
            <w:pPr>
              <w:pStyle w:val="TableParagraph"/>
              <w:spacing w:before="1"/>
              <w:ind w:right="80"/>
              <w:jc w:val="right"/>
              <w:rPr>
                <w:sz w:val="21"/>
              </w:rPr>
            </w:pPr>
            <w:r>
              <w:rPr>
                <w:sz w:val="21"/>
              </w:rPr>
              <w:t>C </w:t>
            </w:r>
          </w:p>
        </w:tc>
      </w:tr>
      <w:tr>
        <w:trPr>
          <w:trHeight w:val="1000" w:hRule="atLeast"/>
        </w:trPr>
        <w:tc>
          <w:tcPr>
            <w:tcW w:w="970" w:type="dxa"/>
          </w:tcPr>
          <w:p>
            <w:pPr>
              <w:pStyle w:val="TableParagraph"/>
              <w:rPr>
                <w:sz w:val="20"/>
              </w:rPr>
            </w:pPr>
          </w:p>
          <w:p>
            <w:pPr>
              <w:pStyle w:val="TableParagraph"/>
              <w:spacing w:before="3"/>
              <w:rPr>
                <w:sz w:val="14"/>
              </w:rPr>
            </w:pPr>
          </w:p>
          <w:p>
            <w:pPr>
              <w:pStyle w:val="TableParagraph"/>
              <w:ind w:right="46"/>
              <w:jc w:val="right"/>
              <w:rPr>
                <w:sz w:val="21"/>
              </w:rPr>
            </w:pPr>
            <w:r>
              <w:rPr>
                <w:sz w:val="21"/>
              </w:rPr>
              <w:t>35 </w:t>
            </w:r>
          </w:p>
        </w:tc>
        <w:tc>
          <w:tcPr>
            <w:tcW w:w="2610" w:type="dxa"/>
          </w:tcPr>
          <w:p>
            <w:pPr>
              <w:pStyle w:val="TableParagraph"/>
              <w:spacing w:before="7"/>
              <w:rPr>
                <w:sz w:val="14"/>
              </w:rPr>
            </w:pPr>
          </w:p>
          <w:p>
            <w:pPr>
              <w:pStyle w:val="TableParagraph"/>
              <w:spacing w:before="1"/>
              <w:ind w:left="462"/>
              <w:rPr>
                <w:sz w:val="21"/>
              </w:rPr>
            </w:pPr>
            <w:r>
              <w:rPr>
                <w:sz w:val="21"/>
              </w:rPr>
              <w:t>门框与门扇的平面高低</w:t>
            </w:r>
          </w:p>
          <w:p>
            <w:pPr>
              <w:pStyle w:val="TableParagraph"/>
              <w:spacing w:before="1"/>
              <w:rPr>
                <w:sz w:val="18"/>
              </w:rPr>
            </w:pPr>
          </w:p>
          <w:p>
            <w:pPr>
              <w:pStyle w:val="TableParagraph"/>
              <w:spacing w:before="1"/>
              <w:ind w:left="179" w:right="63"/>
              <w:jc w:val="center"/>
              <w:rPr>
                <w:sz w:val="21"/>
              </w:rPr>
            </w:pPr>
            <w:r>
              <w:rPr>
                <w:sz w:val="21"/>
              </w:rPr>
              <w:t>差 </w:t>
            </w:r>
          </w:p>
        </w:tc>
        <w:tc>
          <w:tcPr>
            <w:tcW w:w="2377" w:type="dxa"/>
          </w:tcPr>
          <w:p>
            <w:pPr>
              <w:pStyle w:val="TableParagraph"/>
              <w:rPr>
                <w:sz w:val="20"/>
              </w:rPr>
            </w:pPr>
          </w:p>
          <w:p>
            <w:pPr>
              <w:pStyle w:val="TableParagraph"/>
              <w:spacing w:before="3"/>
              <w:rPr>
                <w:sz w:val="14"/>
              </w:rPr>
            </w:pPr>
          </w:p>
          <w:p>
            <w:pPr>
              <w:pStyle w:val="TableParagraph"/>
              <w:ind w:left="1005" w:right="473"/>
              <w:jc w:val="center"/>
              <w:rPr>
                <w:sz w:val="21"/>
              </w:rPr>
            </w:pPr>
            <w:r>
              <w:rPr>
                <w:sz w:val="21"/>
              </w:rPr>
              <w:t>5.8.3 </w:t>
            </w:r>
          </w:p>
        </w:tc>
        <w:tc>
          <w:tcPr>
            <w:tcW w:w="1547" w:type="dxa"/>
          </w:tcPr>
          <w:p>
            <w:pPr>
              <w:pStyle w:val="TableParagraph"/>
              <w:rPr>
                <w:sz w:val="20"/>
              </w:rPr>
            </w:pPr>
          </w:p>
          <w:p>
            <w:pPr>
              <w:pStyle w:val="TableParagraph"/>
              <w:spacing w:before="3"/>
              <w:rPr>
                <w:sz w:val="14"/>
              </w:rPr>
            </w:pPr>
          </w:p>
          <w:p>
            <w:pPr>
              <w:pStyle w:val="TableParagraph"/>
              <w:ind w:left="698" w:right="163"/>
              <w:jc w:val="center"/>
              <w:rPr>
                <w:sz w:val="21"/>
              </w:rPr>
            </w:pPr>
            <w:r>
              <w:rPr>
                <w:sz w:val="21"/>
              </w:rPr>
              <w:t>6.9.4 </w:t>
            </w:r>
          </w:p>
        </w:tc>
        <w:tc>
          <w:tcPr>
            <w:tcW w:w="925" w:type="dxa"/>
          </w:tcPr>
          <w:p>
            <w:pPr>
              <w:pStyle w:val="TableParagraph"/>
              <w:rPr>
                <w:sz w:val="20"/>
              </w:rPr>
            </w:pPr>
          </w:p>
          <w:p>
            <w:pPr>
              <w:pStyle w:val="TableParagraph"/>
              <w:spacing w:before="3"/>
              <w:rPr>
                <w:sz w:val="14"/>
              </w:rPr>
            </w:pPr>
          </w:p>
          <w:p>
            <w:pPr>
              <w:pStyle w:val="TableParagraph"/>
              <w:ind w:right="80"/>
              <w:jc w:val="right"/>
              <w:rPr>
                <w:sz w:val="21"/>
              </w:rPr>
            </w:pPr>
            <w:r>
              <w:rPr>
                <w:sz w:val="21"/>
              </w:rPr>
              <w:t>C </w:t>
            </w:r>
          </w:p>
        </w:tc>
      </w:tr>
      <w:tr>
        <w:trPr>
          <w:trHeight w:val="501" w:hRule="atLeast"/>
        </w:trPr>
        <w:tc>
          <w:tcPr>
            <w:tcW w:w="970" w:type="dxa"/>
          </w:tcPr>
          <w:p>
            <w:pPr>
              <w:pStyle w:val="TableParagraph"/>
              <w:spacing w:before="8"/>
              <w:rPr>
                <w:sz w:val="14"/>
              </w:rPr>
            </w:pPr>
          </w:p>
          <w:p>
            <w:pPr>
              <w:pStyle w:val="TableParagraph"/>
              <w:ind w:right="46"/>
              <w:jc w:val="right"/>
              <w:rPr>
                <w:sz w:val="21"/>
              </w:rPr>
            </w:pPr>
            <w:r>
              <w:rPr>
                <w:sz w:val="21"/>
              </w:rPr>
              <w:t>36 </w:t>
            </w:r>
          </w:p>
        </w:tc>
        <w:tc>
          <w:tcPr>
            <w:tcW w:w="2610" w:type="dxa"/>
          </w:tcPr>
          <w:p>
            <w:pPr>
              <w:pStyle w:val="TableParagraph"/>
              <w:spacing w:before="8"/>
              <w:rPr>
                <w:sz w:val="14"/>
              </w:rPr>
            </w:pPr>
          </w:p>
          <w:p>
            <w:pPr>
              <w:pStyle w:val="TableParagraph"/>
              <w:ind w:left="988"/>
              <w:rPr>
                <w:sz w:val="21"/>
              </w:rPr>
            </w:pPr>
            <w:r>
              <w:rPr>
                <w:sz w:val="21"/>
              </w:rPr>
              <w:t>启闭灵活性 </w:t>
            </w:r>
          </w:p>
        </w:tc>
        <w:tc>
          <w:tcPr>
            <w:tcW w:w="2377" w:type="dxa"/>
          </w:tcPr>
          <w:p>
            <w:pPr>
              <w:pStyle w:val="TableParagraph"/>
              <w:spacing w:before="8"/>
              <w:rPr>
                <w:sz w:val="14"/>
              </w:rPr>
            </w:pPr>
          </w:p>
          <w:p>
            <w:pPr>
              <w:pStyle w:val="TableParagraph"/>
              <w:ind w:left="1005" w:right="473"/>
              <w:jc w:val="center"/>
              <w:rPr>
                <w:sz w:val="21"/>
              </w:rPr>
            </w:pPr>
            <w:r>
              <w:rPr>
                <w:sz w:val="21"/>
              </w:rPr>
              <w:t>5.9.1 </w:t>
            </w:r>
          </w:p>
        </w:tc>
        <w:tc>
          <w:tcPr>
            <w:tcW w:w="1547" w:type="dxa"/>
          </w:tcPr>
          <w:p>
            <w:pPr>
              <w:pStyle w:val="TableParagraph"/>
              <w:spacing w:before="8"/>
              <w:rPr>
                <w:sz w:val="14"/>
              </w:rPr>
            </w:pPr>
          </w:p>
          <w:p>
            <w:pPr>
              <w:pStyle w:val="TableParagraph"/>
              <w:ind w:left="698" w:right="163"/>
              <w:jc w:val="center"/>
              <w:rPr>
                <w:sz w:val="21"/>
              </w:rPr>
            </w:pPr>
            <w:r>
              <w:rPr>
                <w:sz w:val="21"/>
              </w:rPr>
              <w:t>6.10.1 </w:t>
            </w:r>
          </w:p>
        </w:tc>
        <w:tc>
          <w:tcPr>
            <w:tcW w:w="925" w:type="dxa"/>
          </w:tcPr>
          <w:p>
            <w:pPr>
              <w:pStyle w:val="TableParagraph"/>
              <w:spacing w:before="8"/>
              <w:rPr>
                <w:sz w:val="14"/>
              </w:rPr>
            </w:pPr>
          </w:p>
          <w:p>
            <w:pPr>
              <w:pStyle w:val="TableParagraph"/>
              <w:ind w:right="80"/>
              <w:jc w:val="right"/>
              <w:rPr>
                <w:sz w:val="21"/>
              </w:rPr>
            </w:pPr>
            <w:r>
              <w:rPr>
                <w:sz w:val="21"/>
              </w:rPr>
              <w:t>A </w:t>
            </w:r>
          </w:p>
        </w:tc>
      </w:tr>
      <w:tr>
        <w:trPr>
          <w:trHeight w:val="500" w:hRule="atLeast"/>
        </w:trPr>
        <w:tc>
          <w:tcPr>
            <w:tcW w:w="970" w:type="dxa"/>
          </w:tcPr>
          <w:p>
            <w:pPr>
              <w:pStyle w:val="TableParagraph"/>
              <w:spacing w:before="7"/>
              <w:rPr>
                <w:sz w:val="14"/>
              </w:rPr>
            </w:pPr>
          </w:p>
          <w:p>
            <w:pPr>
              <w:pStyle w:val="TableParagraph"/>
              <w:spacing w:before="1"/>
              <w:ind w:right="46"/>
              <w:jc w:val="right"/>
              <w:rPr>
                <w:sz w:val="21"/>
              </w:rPr>
            </w:pPr>
            <w:r>
              <w:rPr>
                <w:sz w:val="21"/>
              </w:rPr>
              <w:t>37 </w:t>
            </w:r>
          </w:p>
        </w:tc>
        <w:tc>
          <w:tcPr>
            <w:tcW w:w="2610" w:type="dxa"/>
          </w:tcPr>
          <w:p>
            <w:pPr>
              <w:pStyle w:val="TableParagraph"/>
              <w:spacing w:before="7"/>
              <w:rPr>
                <w:sz w:val="14"/>
              </w:rPr>
            </w:pPr>
          </w:p>
          <w:p>
            <w:pPr>
              <w:pStyle w:val="TableParagraph"/>
              <w:spacing w:before="1"/>
              <w:ind w:left="1197"/>
              <w:rPr>
                <w:sz w:val="21"/>
              </w:rPr>
            </w:pPr>
            <w:r>
              <w:rPr>
                <w:sz w:val="21"/>
              </w:rPr>
              <w:t>开启力 </w:t>
            </w:r>
          </w:p>
        </w:tc>
        <w:tc>
          <w:tcPr>
            <w:tcW w:w="2377" w:type="dxa"/>
          </w:tcPr>
          <w:p>
            <w:pPr>
              <w:pStyle w:val="TableParagraph"/>
              <w:spacing w:before="7"/>
              <w:rPr>
                <w:sz w:val="14"/>
              </w:rPr>
            </w:pPr>
          </w:p>
          <w:p>
            <w:pPr>
              <w:pStyle w:val="TableParagraph"/>
              <w:spacing w:before="1"/>
              <w:ind w:left="1005" w:right="473"/>
              <w:jc w:val="center"/>
              <w:rPr>
                <w:sz w:val="21"/>
              </w:rPr>
            </w:pPr>
            <w:r>
              <w:rPr>
                <w:sz w:val="21"/>
              </w:rPr>
              <w:t>5.9.2 </w:t>
            </w:r>
          </w:p>
        </w:tc>
        <w:tc>
          <w:tcPr>
            <w:tcW w:w="1547" w:type="dxa"/>
          </w:tcPr>
          <w:p>
            <w:pPr>
              <w:pStyle w:val="TableParagraph"/>
              <w:spacing w:before="7"/>
              <w:rPr>
                <w:sz w:val="14"/>
              </w:rPr>
            </w:pPr>
          </w:p>
          <w:p>
            <w:pPr>
              <w:pStyle w:val="TableParagraph"/>
              <w:spacing w:before="1"/>
              <w:ind w:left="698" w:right="163"/>
              <w:jc w:val="center"/>
              <w:rPr>
                <w:sz w:val="21"/>
              </w:rPr>
            </w:pPr>
            <w:r>
              <w:rPr>
                <w:sz w:val="21"/>
              </w:rPr>
              <w:t>6.10.2 </w:t>
            </w:r>
          </w:p>
        </w:tc>
        <w:tc>
          <w:tcPr>
            <w:tcW w:w="925" w:type="dxa"/>
          </w:tcPr>
          <w:p>
            <w:pPr>
              <w:pStyle w:val="TableParagraph"/>
              <w:spacing w:before="7"/>
              <w:rPr>
                <w:sz w:val="14"/>
              </w:rPr>
            </w:pPr>
          </w:p>
          <w:p>
            <w:pPr>
              <w:pStyle w:val="TableParagraph"/>
              <w:spacing w:before="1"/>
              <w:ind w:right="80"/>
              <w:jc w:val="right"/>
              <w:rPr>
                <w:sz w:val="21"/>
              </w:rPr>
            </w:pPr>
            <w:r>
              <w:rPr>
                <w:sz w:val="21"/>
              </w:rPr>
              <w:t>B </w:t>
            </w:r>
          </w:p>
        </w:tc>
      </w:tr>
    </w:tbl>
    <w:p>
      <w:pPr>
        <w:spacing w:after="0"/>
        <w:jc w:val="right"/>
        <w:rPr>
          <w:sz w:val="21"/>
        </w:rPr>
        <w:sectPr>
          <w:pgSz w:w="11910" w:h="16850"/>
          <w:pgMar w:header="0" w:footer="1159" w:top="1080" w:bottom="1340" w:left="1260" w:right="0"/>
        </w:sectPr>
      </w:pPr>
    </w:p>
    <w:tbl>
      <w:tblPr>
        <w:tblW w:w="0" w:type="auto"/>
        <w:jc w:val="left"/>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70"/>
        <w:gridCol w:w="2610"/>
        <w:gridCol w:w="2377"/>
        <w:gridCol w:w="1547"/>
        <w:gridCol w:w="925"/>
      </w:tblGrid>
      <w:tr>
        <w:trPr>
          <w:trHeight w:val="499" w:hRule="atLeast"/>
        </w:trPr>
        <w:tc>
          <w:tcPr>
            <w:tcW w:w="970" w:type="dxa"/>
          </w:tcPr>
          <w:p>
            <w:pPr>
              <w:pStyle w:val="TableParagraph"/>
              <w:spacing w:before="7"/>
              <w:rPr>
                <w:sz w:val="14"/>
              </w:rPr>
            </w:pPr>
          </w:p>
          <w:p>
            <w:pPr>
              <w:pStyle w:val="TableParagraph"/>
              <w:spacing w:before="1"/>
              <w:ind w:right="46"/>
              <w:jc w:val="right"/>
              <w:rPr>
                <w:sz w:val="21"/>
              </w:rPr>
            </w:pPr>
            <w:r>
              <w:rPr>
                <w:sz w:val="21"/>
              </w:rPr>
              <w:t>38 </w:t>
            </w:r>
          </w:p>
        </w:tc>
        <w:tc>
          <w:tcPr>
            <w:tcW w:w="2610" w:type="dxa"/>
          </w:tcPr>
          <w:p>
            <w:pPr>
              <w:pStyle w:val="TableParagraph"/>
              <w:spacing w:before="7"/>
              <w:rPr>
                <w:sz w:val="14"/>
              </w:rPr>
            </w:pPr>
          </w:p>
          <w:p>
            <w:pPr>
              <w:pStyle w:val="TableParagraph"/>
              <w:spacing w:before="1"/>
              <w:ind w:right="658"/>
              <w:jc w:val="right"/>
              <w:rPr>
                <w:sz w:val="21"/>
              </w:rPr>
            </w:pPr>
            <w:r>
              <w:rPr>
                <w:sz w:val="21"/>
              </w:rPr>
              <w:t>可靠性 </w:t>
            </w:r>
          </w:p>
        </w:tc>
        <w:tc>
          <w:tcPr>
            <w:tcW w:w="2377" w:type="dxa"/>
          </w:tcPr>
          <w:p>
            <w:pPr>
              <w:pStyle w:val="TableParagraph"/>
              <w:spacing w:before="7"/>
              <w:rPr>
                <w:sz w:val="14"/>
              </w:rPr>
            </w:pPr>
          </w:p>
          <w:p>
            <w:pPr>
              <w:pStyle w:val="TableParagraph"/>
              <w:spacing w:before="1"/>
              <w:ind w:right="649"/>
              <w:jc w:val="right"/>
              <w:rPr>
                <w:sz w:val="21"/>
              </w:rPr>
            </w:pPr>
            <w:r>
              <w:rPr>
                <w:sz w:val="21"/>
              </w:rPr>
              <w:t>5.10 </w:t>
            </w:r>
          </w:p>
        </w:tc>
        <w:tc>
          <w:tcPr>
            <w:tcW w:w="1547" w:type="dxa"/>
          </w:tcPr>
          <w:p>
            <w:pPr>
              <w:pStyle w:val="TableParagraph"/>
              <w:spacing w:before="7"/>
              <w:rPr>
                <w:sz w:val="14"/>
              </w:rPr>
            </w:pPr>
          </w:p>
          <w:p>
            <w:pPr>
              <w:pStyle w:val="TableParagraph"/>
              <w:spacing w:before="1"/>
              <w:ind w:right="232"/>
              <w:jc w:val="right"/>
              <w:rPr>
                <w:sz w:val="21"/>
              </w:rPr>
            </w:pPr>
            <w:r>
              <w:rPr>
                <w:sz w:val="21"/>
              </w:rPr>
              <w:t>6.11 </w:t>
            </w:r>
          </w:p>
        </w:tc>
        <w:tc>
          <w:tcPr>
            <w:tcW w:w="925" w:type="dxa"/>
          </w:tcPr>
          <w:p>
            <w:pPr>
              <w:pStyle w:val="TableParagraph"/>
              <w:spacing w:before="7"/>
              <w:rPr>
                <w:sz w:val="14"/>
              </w:rPr>
            </w:pPr>
          </w:p>
          <w:p>
            <w:pPr>
              <w:pStyle w:val="TableParagraph"/>
              <w:spacing w:before="1"/>
              <w:ind w:right="80"/>
              <w:jc w:val="right"/>
              <w:rPr>
                <w:sz w:val="21"/>
              </w:rPr>
            </w:pPr>
            <w:r>
              <w:rPr>
                <w:sz w:val="21"/>
              </w:rPr>
              <w:t>A </w:t>
            </w:r>
          </w:p>
        </w:tc>
      </w:tr>
      <w:tr>
        <w:trPr>
          <w:trHeight w:val="500" w:hRule="atLeast"/>
        </w:trPr>
        <w:tc>
          <w:tcPr>
            <w:tcW w:w="970" w:type="dxa"/>
          </w:tcPr>
          <w:p>
            <w:pPr>
              <w:pStyle w:val="TableParagraph"/>
              <w:spacing w:before="10"/>
              <w:rPr>
                <w:sz w:val="14"/>
              </w:rPr>
            </w:pPr>
          </w:p>
          <w:p>
            <w:pPr>
              <w:pStyle w:val="TableParagraph"/>
              <w:ind w:right="46"/>
              <w:jc w:val="right"/>
              <w:rPr>
                <w:sz w:val="21"/>
              </w:rPr>
            </w:pPr>
            <w:r>
              <w:rPr>
                <w:sz w:val="21"/>
              </w:rPr>
              <w:t>39 </w:t>
            </w:r>
          </w:p>
        </w:tc>
        <w:tc>
          <w:tcPr>
            <w:tcW w:w="2610" w:type="dxa"/>
          </w:tcPr>
          <w:p>
            <w:pPr>
              <w:pStyle w:val="TableParagraph"/>
              <w:spacing w:before="10"/>
              <w:rPr>
                <w:sz w:val="14"/>
              </w:rPr>
            </w:pPr>
          </w:p>
          <w:p>
            <w:pPr>
              <w:pStyle w:val="TableParagraph"/>
              <w:ind w:right="553"/>
              <w:jc w:val="right"/>
              <w:rPr>
                <w:sz w:val="21"/>
              </w:rPr>
            </w:pPr>
            <w:r>
              <w:rPr>
                <w:sz w:val="21"/>
              </w:rPr>
              <w:t>耐火性能 </w:t>
            </w:r>
          </w:p>
        </w:tc>
        <w:tc>
          <w:tcPr>
            <w:tcW w:w="2377" w:type="dxa"/>
          </w:tcPr>
          <w:p>
            <w:pPr>
              <w:pStyle w:val="TableParagraph"/>
              <w:spacing w:before="10"/>
              <w:rPr>
                <w:sz w:val="14"/>
              </w:rPr>
            </w:pPr>
          </w:p>
          <w:p>
            <w:pPr>
              <w:pStyle w:val="TableParagraph"/>
              <w:ind w:right="649"/>
              <w:jc w:val="right"/>
              <w:rPr>
                <w:sz w:val="21"/>
              </w:rPr>
            </w:pPr>
            <w:r>
              <w:rPr>
                <w:sz w:val="21"/>
              </w:rPr>
              <w:t>5.11 </w:t>
            </w:r>
          </w:p>
        </w:tc>
        <w:tc>
          <w:tcPr>
            <w:tcW w:w="1547" w:type="dxa"/>
          </w:tcPr>
          <w:p>
            <w:pPr>
              <w:pStyle w:val="TableParagraph"/>
              <w:spacing w:before="10"/>
              <w:rPr>
                <w:sz w:val="14"/>
              </w:rPr>
            </w:pPr>
          </w:p>
          <w:p>
            <w:pPr>
              <w:pStyle w:val="TableParagraph"/>
              <w:ind w:right="232"/>
              <w:jc w:val="right"/>
              <w:rPr>
                <w:sz w:val="21"/>
              </w:rPr>
            </w:pPr>
            <w:r>
              <w:rPr>
                <w:sz w:val="21"/>
              </w:rPr>
              <w:t>6.12 </w:t>
            </w:r>
          </w:p>
        </w:tc>
        <w:tc>
          <w:tcPr>
            <w:tcW w:w="925" w:type="dxa"/>
          </w:tcPr>
          <w:p>
            <w:pPr>
              <w:pStyle w:val="TableParagraph"/>
              <w:spacing w:before="10"/>
              <w:rPr>
                <w:sz w:val="14"/>
              </w:rPr>
            </w:pPr>
          </w:p>
          <w:p>
            <w:pPr>
              <w:pStyle w:val="TableParagraph"/>
              <w:ind w:right="80"/>
              <w:jc w:val="right"/>
              <w:rPr>
                <w:sz w:val="21"/>
              </w:rPr>
            </w:pPr>
            <w:r>
              <w:rPr>
                <w:sz w:val="21"/>
              </w:rPr>
              <w:t>A </w:t>
            </w:r>
          </w:p>
        </w:tc>
      </w:tr>
    </w:tbl>
    <w:p>
      <w:pPr>
        <w:pStyle w:val="BodyText"/>
        <w:spacing w:before="1"/>
        <w:rPr>
          <w:sz w:val="7"/>
        </w:rPr>
      </w:pPr>
    </w:p>
    <w:p>
      <w:pPr>
        <w:spacing w:before="67"/>
        <w:ind w:left="418" w:right="0" w:firstLine="0"/>
        <w:jc w:val="left"/>
        <w:rPr>
          <w:b/>
          <w:sz w:val="24"/>
        </w:rPr>
      </w:pPr>
      <w:r>
        <w:rPr>
          <w:b/>
          <w:sz w:val="24"/>
        </w:rPr>
        <w:t>8 标志、包装、运输和贮存</w:t>
      </w:r>
      <w:r>
        <w:rPr>
          <w:b/>
          <w:w w:val="99"/>
          <w:sz w:val="24"/>
        </w:rPr>
        <w:t> </w:t>
      </w:r>
    </w:p>
    <w:p>
      <w:pPr>
        <w:pStyle w:val="BodyText"/>
        <w:spacing w:before="6"/>
        <w:rPr>
          <w:b/>
          <w:sz w:val="17"/>
        </w:rPr>
      </w:pPr>
    </w:p>
    <w:p>
      <w:pPr>
        <w:pStyle w:val="ListParagraph"/>
        <w:numPr>
          <w:ilvl w:val="1"/>
          <w:numId w:val="446"/>
        </w:numPr>
        <w:tabs>
          <w:tab w:pos="1159" w:val="left" w:leader="none"/>
        </w:tabs>
        <w:spacing w:line="240" w:lineRule="auto" w:before="0" w:after="0"/>
        <w:ind w:left="1158" w:right="0" w:hanging="319"/>
        <w:jc w:val="left"/>
        <w:rPr>
          <w:b/>
          <w:sz w:val="21"/>
        </w:rPr>
      </w:pPr>
      <w:r>
        <w:rPr>
          <w:spacing w:val="-3"/>
          <w:sz w:val="21"/>
        </w:rPr>
        <w:t>标志</w:t>
      </w:r>
      <w:r>
        <w:rPr>
          <w:b/>
          <w:w w:val="99"/>
          <w:sz w:val="21"/>
        </w:rPr>
        <w:t> </w:t>
      </w:r>
    </w:p>
    <w:p>
      <w:pPr>
        <w:pStyle w:val="BodyText"/>
        <w:spacing w:before="12"/>
        <w:rPr>
          <w:b/>
          <w:sz w:val="17"/>
        </w:rPr>
      </w:pPr>
    </w:p>
    <w:p>
      <w:pPr>
        <w:pStyle w:val="ListParagraph"/>
        <w:numPr>
          <w:ilvl w:val="2"/>
          <w:numId w:val="446"/>
        </w:numPr>
        <w:tabs>
          <w:tab w:pos="1370" w:val="left" w:leader="none"/>
        </w:tabs>
        <w:spacing w:line="446" w:lineRule="auto" w:before="0" w:after="0"/>
        <w:ind w:left="838" w:right="2760" w:firstLine="2"/>
        <w:jc w:val="left"/>
        <w:rPr>
          <w:sz w:val="21"/>
        </w:rPr>
      </w:pPr>
      <w:r>
        <w:rPr>
          <w:spacing w:val="-3"/>
          <w:sz w:val="21"/>
        </w:rPr>
        <w:t>每樘防火门都应在明显位置固有永久性标牌，标牌应包括以下内容： a）产品名称、型号规格及商标（</w:t>
      </w:r>
      <w:r>
        <w:rPr>
          <w:spacing w:val="-2"/>
          <w:sz w:val="21"/>
        </w:rPr>
        <w:t>若有</w:t>
      </w:r>
      <w:r>
        <w:rPr>
          <w:sz w:val="21"/>
        </w:rPr>
        <w:t>）； </w:t>
      </w:r>
    </w:p>
    <w:p>
      <w:pPr>
        <w:pStyle w:val="BodyText"/>
        <w:spacing w:line="446" w:lineRule="auto"/>
        <w:ind w:left="838" w:right="6372"/>
      </w:pPr>
      <w:r>
        <w:rPr/>
        <w:t>b）</w:t>
      </w:r>
      <w:r>
        <w:rPr>
          <w:spacing w:val="-3"/>
        </w:rPr>
        <w:t>制造厂名称或制造厂标记和厂址； </w:t>
      </w:r>
      <w:r>
        <w:rPr/>
        <w:t>c）</w:t>
      </w:r>
      <w:r>
        <w:rPr>
          <w:spacing w:val="-3"/>
        </w:rPr>
        <w:t>出厂日期及产品生产批号；     </w:t>
      </w:r>
      <w:r>
        <w:rPr/>
        <w:t>d）</w:t>
      </w:r>
      <w:r>
        <w:rPr>
          <w:spacing w:val="-3"/>
        </w:rPr>
        <w:t>执行标准；</w:t>
      </w:r>
      <w:r>
        <w:rPr/>
        <w:t> </w:t>
      </w:r>
    </w:p>
    <w:p>
      <w:pPr>
        <w:pStyle w:val="ListParagraph"/>
        <w:numPr>
          <w:ilvl w:val="2"/>
          <w:numId w:val="446"/>
        </w:numPr>
        <w:tabs>
          <w:tab w:pos="1371" w:val="left" w:leader="none"/>
        </w:tabs>
        <w:spacing w:line="268" w:lineRule="exact" w:before="0" w:after="0"/>
        <w:ind w:left="1370" w:right="0" w:hanging="531"/>
        <w:jc w:val="left"/>
        <w:rPr>
          <w:b/>
          <w:sz w:val="21"/>
        </w:rPr>
      </w:pPr>
      <w:r>
        <w:rPr>
          <w:spacing w:val="-8"/>
          <w:sz w:val="21"/>
        </w:rPr>
        <w:t>产品标牌的制作应符合 </w:t>
      </w:r>
      <w:r>
        <w:rPr>
          <w:sz w:val="21"/>
        </w:rPr>
        <w:t>GB/T</w:t>
      </w:r>
      <w:r>
        <w:rPr>
          <w:spacing w:val="-2"/>
          <w:sz w:val="21"/>
        </w:rPr>
        <w:t> </w:t>
      </w:r>
      <w:r>
        <w:rPr>
          <w:sz w:val="21"/>
        </w:rPr>
        <w:t>13306</w:t>
      </w:r>
      <w:r>
        <w:rPr>
          <w:spacing w:val="-13"/>
          <w:sz w:val="21"/>
        </w:rPr>
        <w:t> 的规定。</w:t>
      </w:r>
      <w:r>
        <w:rPr>
          <w:b/>
          <w:w w:val="99"/>
          <w:sz w:val="21"/>
        </w:rPr>
        <w:t> </w:t>
      </w:r>
    </w:p>
    <w:p>
      <w:pPr>
        <w:pStyle w:val="BodyText"/>
        <w:spacing w:before="12"/>
        <w:rPr>
          <w:b/>
          <w:sz w:val="17"/>
        </w:rPr>
      </w:pPr>
    </w:p>
    <w:p>
      <w:pPr>
        <w:pStyle w:val="ListParagraph"/>
        <w:numPr>
          <w:ilvl w:val="1"/>
          <w:numId w:val="446"/>
        </w:numPr>
        <w:tabs>
          <w:tab w:pos="1160" w:val="left" w:leader="none"/>
        </w:tabs>
        <w:spacing w:line="240" w:lineRule="auto" w:before="0" w:after="0"/>
        <w:ind w:left="1159" w:right="0" w:hanging="320"/>
        <w:jc w:val="left"/>
        <w:rPr>
          <w:sz w:val="21"/>
        </w:rPr>
      </w:pPr>
      <w:r>
        <w:rPr>
          <w:spacing w:val="-3"/>
          <w:sz w:val="21"/>
        </w:rPr>
        <w:t>包装、运输和使用说明书</w:t>
      </w:r>
      <w:r>
        <w:rPr>
          <w:sz w:val="21"/>
        </w:rPr>
        <w:t> </w:t>
      </w:r>
    </w:p>
    <w:p>
      <w:pPr>
        <w:pStyle w:val="BodyText"/>
        <w:rPr>
          <w:sz w:val="18"/>
        </w:rPr>
      </w:pPr>
    </w:p>
    <w:p>
      <w:pPr>
        <w:pStyle w:val="BodyText"/>
        <w:ind w:left="838"/>
      </w:pPr>
      <w:r>
        <w:rPr/>
        <w:t>产品及其五金配件的包装应安全、可靠，并便于装卸、运输和贮存。包装、运输应符合</w:t>
      </w:r>
    </w:p>
    <w:p>
      <w:pPr>
        <w:pStyle w:val="BodyText"/>
        <w:spacing w:before="2"/>
        <w:rPr>
          <w:sz w:val="18"/>
        </w:rPr>
      </w:pPr>
    </w:p>
    <w:p>
      <w:pPr>
        <w:pStyle w:val="BodyText"/>
        <w:ind w:left="418"/>
      </w:pPr>
      <w:r>
        <w:rPr/>
        <w:t>GB/T 6388 的规定。 </w:t>
      </w:r>
    </w:p>
    <w:p>
      <w:pPr>
        <w:pStyle w:val="BodyText"/>
        <w:rPr>
          <w:sz w:val="18"/>
        </w:rPr>
      </w:pPr>
    </w:p>
    <w:p>
      <w:pPr>
        <w:pStyle w:val="BodyText"/>
        <w:ind w:left="838"/>
      </w:pPr>
      <w:r>
        <w:rPr/>
        <w:t>随产品应提供如下文字资料： </w:t>
      </w:r>
    </w:p>
    <w:p>
      <w:pPr>
        <w:pStyle w:val="BodyText"/>
        <w:spacing w:before="12"/>
        <w:rPr>
          <w:sz w:val="17"/>
        </w:rPr>
      </w:pPr>
    </w:p>
    <w:p>
      <w:pPr>
        <w:pStyle w:val="BodyText"/>
        <w:spacing w:line="446" w:lineRule="auto"/>
        <w:ind w:left="838" w:right="4857"/>
        <w:rPr>
          <w:b/>
        </w:rPr>
      </w:pPr>
      <w:r>
        <w:rPr/>
        <w:t>a）产品合格证，其表述应符合 GB/T 14436 的规定； b）产品说明书，其表述应符合 GB 9968.1 的规定； c）装箱单；</w:t>
      </w:r>
      <w:r>
        <w:rPr>
          <w:b/>
          <w:w w:val="99"/>
        </w:rPr>
        <w:t> </w:t>
      </w:r>
    </w:p>
    <w:p>
      <w:pPr>
        <w:pStyle w:val="ListParagraph"/>
        <w:numPr>
          <w:ilvl w:val="0"/>
          <w:numId w:val="447"/>
        </w:numPr>
        <w:tabs>
          <w:tab w:pos="1156" w:val="left" w:leader="none"/>
        </w:tabs>
        <w:spacing w:line="268" w:lineRule="exact" w:before="0" w:after="0"/>
        <w:ind w:left="1155" w:right="0" w:hanging="318"/>
        <w:jc w:val="left"/>
        <w:rPr>
          <w:b/>
          <w:sz w:val="21"/>
        </w:rPr>
      </w:pPr>
      <w:r>
        <w:rPr>
          <w:spacing w:val="-3"/>
          <w:sz w:val="21"/>
        </w:rPr>
        <w:t>产品安装图；</w:t>
      </w:r>
      <w:r>
        <w:rPr>
          <w:b/>
          <w:w w:val="99"/>
          <w:sz w:val="21"/>
        </w:rPr>
        <w:t> </w:t>
      </w:r>
    </w:p>
    <w:p>
      <w:pPr>
        <w:pStyle w:val="BodyText"/>
        <w:spacing w:before="2"/>
        <w:rPr>
          <w:b/>
          <w:sz w:val="18"/>
        </w:rPr>
      </w:pPr>
    </w:p>
    <w:p>
      <w:pPr>
        <w:pStyle w:val="ListParagraph"/>
        <w:numPr>
          <w:ilvl w:val="0"/>
          <w:numId w:val="447"/>
        </w:numPr>
        <w:tabs>
          <w:tab w:pos="1156" w:val="left" w:leader="none"/>
        </w:tabs>
        <w:spacing w:line="240" w:lineRule="auto" w:before="0" w:after="0"/>
        <w:ind w:left="1155" w:right="0" w:hanging="318"/>
        <w:jc w:val="left"/>
        <w:rPr>
          <w:b/>
          <w:sz w:val="21"/>
        </w:rPr>
      </w:pPr>
      <w:r>
        <w:rPr>
          <w:spacing w:val="-3"/>
          <w:sz w:val="21"/>
        </w:rPr>
        <w:t>防火五金配件及附件清单。</w:t>
      </w:r>
      <w:r>
        <w:rPr>
          <w:b/>
          <w:w w:val="99"/>
          <w:sz w:val="21"/>
        </w:rPr>
        <w:t> </w:t>
      </w:r>
    </w:p>
    <w:p>
      <w:pPr>
        <w:pStyle w:val="BodyText"/>
        <w:rPr>
          <w:b/>
          <w:sz w:val="18"/>
        </w:rPr>
      </w:pPr>
    </w:p>
    <w:p>
      <w:pPr>
        <w:pStyle w:val="BodyText"/>
        <w:ind w:left="838"/>
      </w:pPr>
      <w:r>
        <w:rPr/>
        <w:t>应把上述资料装入防水袋中。 </w:t>
      </w:r>
    </w:p>
    <w:p>
      <w:pPr>
        <w:pStyle w:val="BodyText"/>
        <w:spacing w:before="12"/>
        <w:rPr>
          <w:sz w:val="17"/>
        </w:rPr>
      </w:pPr>
    </w:p>
    <w:p>
      <w:pPr>
        <w:pStyle w:val="BodyText"/>
        <w:spacing w:line="446" w:lineRule="auto"/>
        <w:ind w:left="418" w:right="1609" w:firstLine="419"/>
      </w:pPr>
      <w:r>
        <w:rPr/>
        <w:t>产品在运输过程中应避免因行车时碰撞损坏包装，装卸时轻抬轻放，严格避免磕、摔、撬等行为，防止机械变形损坏产品，影响安装使用。 </w:t>
      </w:r>
    </w:p>
    <w:p>
      <w:pPr>
        <w:pStyle w:val="ListParagraph"/>
        <w:numPr>
          <w:ilvl w:val="1"/>
          <w:numId w:val="446"/>
        </w:numPr>
        <w:tabs>
          <w:tab w:pos="1160" w:val="left" w:leader="none"/>
        </w:tabs>
        <w:spacing w:line="240" w:lineRule="auto" w:before="0" w:after="0"/>
        <w:ind w:left="1159" w:right="0" w:hanging="320"/>
        <w:jc w:val="left"/>
        <w:rPr>
          <w:sz w:val="21"/>
        </w:rPr>
      </w:pPr>
      <w:r>
        <w:rPr>
          <w:spacing w:val="-3"/>
          <w:sz w:val="21"/>
        </w:rPr>
        <w:t>贮存</w:t>
      </w:r>
      <w:r>
        <w:rPr>
          <w:sz w:val="21"/>
        </w:rPr>
        <w:t> </w:t>
      </w:r>
    </w:p>
    <w:p>
      <w:pPr>
        <w:pStyle w:val="BodyText"/>
        <w:rPr>
          <w:sz w:val="18"/>
        </w:rPr>
      </w:pPr>
    </w:p>
    <w:p>
      <w:pPr>
        <w:pStyle w:val="BodyText"/>
        <w:spacing w:line="446" w:lineRule="auto"/>
        <w:ind w:left="418" w:right="1450" w:firstLine="419"/>
      </w:pPr>
      <w:r>
        <w:rPr>
          <w:spacing w:val="-3"/>
        </w:rPr>
        <w:t>产品应贮存在通风、干燥处，要避免和有腐蚀的物质及气体接触，并要采取防潮、防雨、 </w:t>
      </w:r>
      <w:r>
        <w:rPr>
          <w:spacing w:val="-5"/>
        </w:rPr>
        <w:t>防晒、防腐等措施。产品平放时底部须垫平，门框堆码高度不得超过 </w:t>
      </w:r>
      <w:r>
        <w:rPr/>
        <w:t>1.5</w:t>
      </w:r>
      <w:r>
        <w:rPr>
          <w:spacing w:val="27"/>
        </w:rPr>
        <w:t> </w:t>
      </w:r>
      <w:r>
        <w:rPr/>
        <w:t>m</w:t>
      </w:r>
      <w:r>
        <w:rPr>
          <w:spacing w:val="-3"/>
        </w:rPr>
        <w:t>，门扇堆放高度不超</w:t>
      </w:r>
      <w:r>
        <w:rPr>
          <w:spacing w:val="-28"/>
        </w:rPr>
        <w:t>过 </w:t>
      </w:r>
      <w:r>
        <w:rPr/>
        <w:t>1.2</w:t>
      </w:r>
      <w:r>
        <w:rPr>
          <w:spacing w:val="1"/>
        </w:rPr>
        <w:t> </w:t>
      </w:r>
      <w:r>
        <w:rPr/>
        <w:t>m</w:t>
      </w:r>
      <w:r>
        <w:rPr>
          <w:spacing w:val="-6"/>
        </w:rPr>
        <w:t>，产品竖放时，其倾斜角度不得大于 </w:t>
      </w:r>
      <w:r>
        <w:rPr/>
        <w:t>20°。 </w:t>
      </w:r>
    </w:p>
    <w:p>
      <w:pPr>
        <w:spacing w:after="0" w:line="446" w:lineRule="auto"/>
        <w:sectPr>
          <w:footerReference w:type="default" r:id="rId275"/>
          <w:pgSz w:w="11910" w:h="16850"/>
          <w:pgMar w:footer="1159" w:header="0" w:top="1080" w:bottom="1340" w:left="1260" w:right="0"/>
          <w:pgNumType w:start="1170"/>
        </w:sectPr>
      </w:pPr>
    </w:p>
    <w:p>
      <w:pPr>
        <w:pStyle w:val="Heading2"/>
        <w:ind w:right="868"/>
      </w:pPr>
      <w:bookmarkStart w:name="_bookmark17" w:id="18"/>
      <w:bookmarkEnd w:id="18"/>
      <w:r>
        <w:rPr>
          <w:b w:val="0"/>
        </w:rPr>
      </w:r>
      <w:r>
        <w:rPr/>
        <w:t>防火窗</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817" w:firstLine="419"/>
      </w:pPr>
      <w:r>
        <w:rPr/>
        <w:t>本标准规定了防火窗的产品命名、分类与代号、规格与型号、要求、试验方法、检验规则、标志、包装、运输和贮存等。 </w:t>
      </w:r>
    </w:p>
    <w:p>
      <w:pPr>
        <w:pStyle w:val="BodyText"/>
        <w:spacing w:line="446" w:lineRule="auto"/>
        <w:ind w:left="418" w:right="1609" w:firstLine="419"/>
      </w:pPr>
      <w:r>
        <w:rPr/>
        <w:t>本标准适用于建筑中具有采光功能的钢质防火窗、木质防火窗和钢木复合防火窗，建筑用其他防火窗可参照执行。 </w:t>
      </w:r>
    </w:p>
    <w:p>
      <w:pPr>
        <w:pStyle w:val="Heading4"/>
        <w:spacing w:line="276" w:lineRule="exact"/>
      </w:pPr>
      <w:r>
        <w:rPr/>
        <w:t>2 规范性引用文件</w:t>
      </w:r>
      <w:r>
        <w:rPr>
          <w:w w:val="99"/>
        </w:rPr>
        <w:t> </w:t>
      </w:r>
    </w:p>
    <w:p>
      <w:pPr>
        <w:pStyle w:val="BodyText"/>
        <w:spacing w:before="6"/>
        <w:rPr>
          <w:b/>
          <w:sz w:val="17"/>
        </w:rPr>
      </w:pPr>
    </w:p>
    <w:p>
      <w:pPr>
        <w:pStyle w:val="BodyText"/>
        <w:spacing w:line="446" w:lineRule="auto"/>
        <w:ind w:left="418" w:right="1608" w:firstLine="419"/>
        <w:jc w:val="both"/>
      </w:pPr>
      <w:r>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 </w:t>
      </w:r>
    </w:p>
    <w:p>
      <w:pPr>
        <w:pStyle w:val="BodyText"/>
        <w:spacing w:line="266" w:lineRule="exact"/>
        <w:ind w:left="838"/>
      </w:pPr>
      <w:r>
        <w:rPr/>
        <w:t>GB/T 5823-1986 建筑门窗术语 </w:t>
      </w:r>
    </w:p>
    <w:p>
      <w:pPr>
        <w:pStyle w:val="BodyText"/>
        <w:rPr>
          <w:sz w:val="18"/>
        </w:rPr>
      </w:pPr>
    </w:p>
    <w:p>
      <w:pPr>
        <w:pStyle w:val="BodyText"/>
        <w:ind w:left="838"/>
      </w:pPr>
      <w:r>
        <w:rPr/>
        <w:t>GB/T 5824-1986 建筑门窗洞口尺寸系列 </w:t>
      </w:r>
    </w:p>
    <w:p>
      <w:pPr>
        <w:pStyle w:val="BodyText"/>
        <w:spacing w:before="2"/>
        <w:rPr>
          <w:sz w:val="18"/>
        </w:rPr>
      </w:pPr>
    </w:p>
    <w:p>
      <w:pPr>
        <w:pStyle w:val="BodyText"/>
        <w:spacing w:line="446" w:lineRule="auto"/>
        <w:ind w:left="838" w:right="4763"/>
      </w:pPr>
      <w:r>
        <w:rPr/>
        <w:t>GB/T 7106-2002 建筑外窗抗风压性能分级及检测方法GB/T 7107-2002 建筑外窗气密性能分级及检测方法 </w:t>
      </w:r>
    </w:p>
    <w:p>
      <w:pPr>
        <w:pStyle w:val="BodyText"/>
        <w:spacing w:line="446" w:lineRule="auto"/>
        <w:ind w:left="418" w:right="1716" w:firstLine="419"/>
      </w:pPr>
      <w:r>
        <w:rPr/>
        <w:t>GB/T 12513 镶玻璃构件耐火试验方法（GB/T 12513-2006，ISO 3009︰2003，Fire resistance tests–Elements of building construction – Glazed elements，MOD） </w:t>
      </w:r>
    </w:p>
    <w:p>
      <w:pPr>
        <w:pStyle w:val="BodyText"/>
        <w:ind w:left="838"/>
      </w:pPr>
      <w:r>
        <w:rPr/>
        <w:t>GB 15763.1-2001 建筑用安全玻璃 防火玻璃 </w:t>
      </w:r>
    </w:p>
    <w:p>
      <w:pPr>
        <w:pStyle w:val="BodyText"/>
        <w:spacing w:before="5"/>
        <w:rPr>
          <w:sz w:val="15"/>
        </w:rPr>
      </w:pPr>
    </w:p>
    <w:p>
      <w:pPr>
        <w:pStyle w:val="Heading4"/>
      </w:pPr>
      <w:r>
        <w:rPr/>
        <w:t>3 术语和定义</w:t>
      </w:r>
      <w:r>
        <w:rPr>
          <w:w w:val="99"/>
        </w:rPr>
        <w:t> </w:t>
      </w:r>
    </w:p>
    <w:p>
      <w:pPr>
        <w:pStyle w:val="BodyText"/>
        <w:spacing w:before="7"/>
        <w:rPr>
          <w:b/>
          <w:sz w:val="17"/>
        </w:rPr>
      </w:pPr>
    </w:p>
    <w:p>
      <w:pPr>
        <w:pStyle w:val="BodyText"/>
        <w:spacing w:line="446" w:lineRule="auto"/>
        <w:ind w:left="840" w:right="2760" w:hanging="3"/>
        <w:rPr>
          <w:b/>
        </w:rPr>
      </w:pPr>
      <w:r>
        <w:rPr/>
        <w:t>GB/T 5823-1986 和 GB/T 12513 确立的以及下列术语和定义适用于本标准。</w:t>
      </w:r>
      <w:r>
        <w:rPr>
          <w:b/>
        </w:rPr>
        <w:t>3.1 </w:t>
      </w:r>
      <w:r>
        <w:rPr/>
        <w:t>固定式防火窗</w:t>
      </w:r>
      <w:r>
        <w:rPr>
          <w:b/>
          <w:w w:val="99"/>
        </w:rPr>
        <w:t> </w:t>
      </w:r>
    </w:p>
    <w:p>
      <w:pPr>
        <w:pStyle w:val="BodyText"/>
        <w:spacing w:line="446" w:lineRule="auto"/>
        <w:ind w:left="838" w:right="5920"/>
      </w:pPr>
      <w:r>
        <w:rPr/>
        <w:t>固定式防火窗 fixed style fire window 无可开启窗扇的防火窗。 </w:t>
      </w:r>
    </w:p>
    <w:p>
      <w:pPr>
        <w:spacing w:before="0"/>
        <w:ind w:left="840" w:right="0" w:firstLine="0"/>
        <w:jc w:val="left"/>
        <w:rPr>
          <w:b/>
          <w:sz w:val="21"/>
        </w:rPr>
      </w:pPr>
      <w:r>
        <w:rPr>
          <w:b/>
          <w:sz w:val="21"/>
        </w:rPr>
        <w:t>3.2 </w:t>
      </w:r>
      <w:r>
        <w:rPr>
          <w:sz w:val="21"/>
        </w:rPr>
        <w:t>活动式防火窗</w:t>
      </w:r>
      <w:r>
        <w:rPr>
          <w:b/>
          <w:w w:val="99"/>
          <w:sz w:val="21"/>
        </w:rPr>
        <w:t> </w:t>
      </w:r>
    </w:p>
    <w:p>
      <w:pPr>
        <w:pStyle w:val="BodyText"/>
        <w:spacing w:before="10"/>
        <w:rPr>
          <w:b/>
          <w:sz w:val="17"/>
        </w:rPr>
      </w:pPr>
    </w:p>
    <w:p>
      <w:pPr>
        <w:pStyle w:val="BodyText"/>
        <w:ind w:left="838"/>
      </w:pPr>
      <w:r>
        <w:rPr/>
        <w:t>活动式防火窗 automatic–closing fire window </w:t>
      </w:r>
    </w:p>
    <w:p>
      <w:pPr>
        <w:pStyle w:val="BodyText"/>
        <w:spacing w:before="2"/>
        <w:rPr>
          <w:sz w:val="18"/>
        </w:rPr>
      </w:pPr>
    </w:p>
    <w:p>
      <w:pPr>
        <w:pStyle w:val="BodyText"/>
        <w:spacing w:line="446" w:lineRule="auto"/>
        <w:ind w:left="840" w:right="3661" w:hanging="3"/>
        <w:rPr>
          <w:b/>
        </w:rPr>
      </w:pPr>
      <w:r>
        <w:rPr/>
        <w:t>有可开启窗扇，且装配有窗扇启闭控制装置（见 3.5）的防火窗。</w:t>
      </w:r>
      <w:r>
        <w:rPr>
          <w:b/>
        </w:rPr>
        <w:t>3.3 </w:t>
      </w:r>
      <w:r>
        <w:rPr/>
        <w:t>隔热防火窗（A 类）</w:t>
      </w:r>
      <w:r>
        <w:rPr>
          <w:b/>
          <w:w w:val="99"/>
        </w:rPr>
        <w:t> </w:t>
      </w:r>
    </w:p>
    <w:p>
      <w:pPr>
        <w:spacing w:after="0" w:line="446" w:lineRule="auto"/>
        <w:sectPr>
          <w:pgSz w:w="11910" w:h="16850"/>
          <w:pgMar w:header="0" w:footer="1159" w:top="1140" w:bottom="1420" w:left="1260" w:right="0"/>
        </w:sectPr>
      </w:pPr>
    </w:p>
    <w:p>
      <w:pPr>
        <w:pStyle w:val="BodyText"/>
        <w:spacing w:before="47"/>
        <w:ind w:left="838"/>
      </w:pPr>
      <w:r>
        <w:rPr/>
        <w:t>隔热防火窗（A 类） insulated fire window </w:t>
      </w:r>
    </w:p>
    <w:p>
      <w:pPr>
        <w:pStyle w:val="BodyText"/>
        <w:rPr>
          <w:sz w:val="18"/>
        </w:rPr>
      </w:pPr>
    </w:p>
    <w:p>
      <w:pPr>
        <w:pStyle w:val="BodyText"/>
        <w:spacing w:line="446" w:lineRule="auto"/>
        <w:ind w:left="840" w:right="3397" w:hanging="3"/>
        <w:rPr>
          <w:b/>
        </w:rPr>
      </w:pPr>
      <w:r>
        <w:rPr/>
        <w:t>在规定时间内，能同时满足耐火隔热性和耐火完整性要求的防火窗。</w:t>
      </w:r>
      <w:r>
        <w:rPr>
          <w:b/>
        </w:rPr>
        <w:t>3.4 </w:t>
      </w:r>
      <w:r>
        <w:rPr/>
        <w:t>非隔热防火窗（C 类）</w:t>
      </w:r>
      <w:r>
        <w:rPr>
          <w:b/>
          <w:w w:val="99"/>
        </w:rPr>
        <w:t> </w:t>
      </w:r>
    </w:p>
    <w:p>
      <w:pPr>
        <w:pStyle w:val="BodyText"/>
        <w:spacing w:line="446" w:lineRule="auto"/>
        <w:ind w:left="838" w:right="4859"/>
        <w:rPr>
          <w:b/>
        </w:rPr>
      </w:pPr>
      <w:r>
        <w:rPr/>
        <w:t>非隔热防火窗（C 类） un–insulated fire window 在规定时间内，能满足耐火完整性要求的防火窗。</w:t>
      </w:r>
      <w:r>
        <w:rPr>
          <w:b/>
        </w:rPr>
        <w:t>3.5 </w:t>
      </w:r>
      <w:r>
        <w:rPr/>
        <w:t>窗扇启闭控制装置</w:t>
      </w:r>
      <w:r>
        <w:rPr>
          <w:b/>
          <w:w w:val="99"/>
        </w:rPr>
        <w:t> </w:t>
      </w:r>
    </w:p>
    <w:p>
      <w:pPr>
        <w:pStyle w:val="BodyText"/>
        <w:spacing w:line="268" w:lineRule="exact"/>
        <w:ind w:left="838"/>
      </w:pPr>
      <w:r>
        <w:rPr/>
        <w:t>窗扇启闭控制装置 sash closing equipment </w:t>
      </w:r>
    </w:p>
    <w:p>
      <w:pPr>
        <w:pStyle w:val="BodyText"/>
        <w:rPr>
          <w:sz w:val="18"/>
        </w:rPr>
      </w:pPr>
    </w:p>
    <w:p>
      <w:pPr>
        <w:pStyle w:val="BodyText"/>
        <w:spacing w:line="446" w:lineRule="auto"/>
        <w:ind w:left="418" w:right="1609" w:firstLine="419"/>
      </w:pPr>
      <w:r>
        <w:rPr/>
        <w:t>活动式防火窗中，控制活动窗扇开启、关闭的装置，该装置具有手动控制启闭窗扇功能， 且至少具有易熔合金件或玻璃球等热敏感元件自动控制关闭窗扇的功能。 </w:t>
      </w:r>
    </w:p>
    <w:p>
      <w:pPr>
        <w:pStyle w:val="BodyText"/>
        <w:spacing w:line="446" w:lineRule="auto"/>
        <w:ind w:left="418" w:right="1609" w:firstLine="419"/>
      </w:pPr>
      <w:r>
        <w:rPr/>
        <w:t>注：窗扇的启闭控制方式可以附加有电动控制方式，如：电信号控制电磁铁关闭或开启、电信号控制电机关闭或开启、电信号气动机构关闭或开启等。 </w:t>
      </w:r>
    </w:p>
    <w:p>
      <w:pPr>
        <w:spacing w:line="267" w:lineRule="exact" w:before="0"/>
        <w:ind w:left="840" w:right="0" w:firstLine="0"/>
        <w:jc w:val="left"/>
        <w:rPr>
          <w:sz w:val="21"/>
        </w:rPr>
      </w:pPr>
      <w:r>
        <w:rPr>
          <w:b/>
          <w:sz w:val="21"/>
        </w:rPr>
        <w:t>3.6 </w:t>
      </w:r>
      <w:r>
        <w:rPr>
          <w:sz w:val="21"/>
        </w:rPr>
        <w:t>窗扇自动关闭时间 </w:t>
      </w:r>
    </w:p>
    <w:p>
      <w:pPr>
        <w:pStyle w:val="BodyText"/>
        <w:spacing w:before="2"/>
        <w:rPr>
          <w:sz w:val="18"/>
        </w:rPr>
      </w:pPr>
    </w:p>
    <w:p>
      <w:pPr>
        <w:pStyle w:val="BodyText"/>
        <w:ind w:left="838"/>
      </w:pPr>
      <w:r>
        <w:rPr/>
        <w:t>窗扇自动关闭时间 automatic-closing time </w:t>
      </w:r>
    </w:p>
    <w:p>
      <w:pPr>
        <w:pStyle w:val="BodyText"/>
        <w:rPr>
          <w:sz w:val="18"/>
        </w:rPr>
      </w:pPr>
    </w:p>
    <w:p>
      <w:pPr>
        <w:pStyle w:val="BodyText"/>
        <w:ind w:left="838"/>
      </w:pPr>
      <w:r>
        <w:rPr/>
        <w:t>从活动式防火窗进行耐火性能试验开始计时，至窗扇自动可靠关闭的时间。 </w:t>
      </w:r>
    </w:p>
    <w:p>
      <w:pPr>
        <w:pStyle w:val="BodyText"/>
        <w:spacing w:before="8"/>
        <w:rPr>
          <w:sz w:val="15"/>
        </w:rPr>
      </w:pPr>
    </w:p>
    <w:p>
      <w:pPr>
        <w:pStyle w:val="Heading4"/>
      </w:pPr>
      <w:r>
        <w:rPr/>
        <w:t>4 产品命名、分类与代号</w:t>
      </w:r>
      <w:r>
        <w:rPr>
          <w:w w:val="99"/>
        </w:rPr>
        <w:t> </w:t>
      </w:r>
    </w:p>
    <w:p>
      <w:pPr>
        <w:pStyle w:val="BodyText"/>
        <w:spacing w:before="6"/>
        <w:rPr>
          <w:b/>
          <w:sz w:val="17"/>
        </w:rPr>
      </w:pPr>
    </w:p>
    <w:p>
      <w:pPr>
        <w:pStyle w:val="ListParagraph"/>
        <w:numPr>
          <w:ilvl w:val="1"/>
          <w:numId w:val="448"/>
        </w:numPr>
        <w:tabs>
          <w:tab w:pos="1159" w:val="left" w:leader="none"/>
        </w:tabs>
        <w:spacing w:line="240" w:lineRule="auto" w:before="0" w:after="0"/>
        <w:ind w:left="1158" w:right="0" w:hanging="319"/>
        <w:jc w:val="left"/>
        <w:rPr>
          <w:b/>
          <w:sz w:val="21"/>
        </w:rPr>
      </w:pPr>
      <w:r>
        <w:rPr>
          <w:spacing w:val="-3"/>
          <w:sz w:val="21"/>
        </w:rPr>
        <w:t>产品命名</w:t>
      </w:r>
      <w:r>
        <w:rPr>
          <w:b/>
          <w:w w:val="99"/>
          <w:sz w:val="21"/>
        </w:rPr>
        <w:t> </w:t>
      </w:r>
    </w:p>
    <w:p>
      <w:pPr>
        <w:pStyle w:val="BodyText"/>
        <w:spacing w:before="12"/>
        <w:rPr>
          <w:b/>
          <w:sz w:val="17"/>
        </w:rPr>
      </w:pPr>
    </w:p>
    <w:p>
      <w:pPr>
        <w:pStyle w:val="BodyText"/>
        <w:ind w:left="838"/>
      </w:pPr>
      <w:r>
        <w:rPr/>
        <w:t>防火窗产品采用其窗框和窗扇框架的主要材料命名，具体名称见表 1。 </w:t>
      </w:r>
    </w:p>
    <w:p>
      <w:pPr>
        <w:pStyle w:val="BodyText"/>
        <w:rPr>
          <w:sz w:val="18"/>
        </w:rPr>
      </w:pPr>
    </w:p>
    <w:p>
      <w:pPr>
        <w:pStyle w:val="Heading6"/>
        <w:ind w:right="492"/>
        <w:jc w:val="center"/>
      </w:pPr>
      <w:r>
        <w:rPr/>
        <w:t>表 1 防火窗产品名称</w:t>
      </w:r>
      <w:r>
        <w:rPr>
          <w:w w:val="99"/>
        </w:rPr>
        <w:t> </w:t>
      </w:r>
    </w:p>
    <w:p>
      <w:pPr>
        <w:pStyle w:val="BodyText"/>
        <w:spacing w:before="8"/>
        <w:rPr>
          <w:b/>
          <w:sz w:val="8"/>
        </w:rPr>
      </w:pPr>
      <w:r>
        <w:rPr/>
        <w:drawing>
          <wp:anchor distT="0" distB="0" distL="0" distR="0" allowOverlap="1" layoutInCell="1" locked="0" behindDoc="0" simplePos="0" relativeHeight="169">
            <wp:simplePos x="0" y="0"/>
            <wp:positionH relativeFrom="page">
              <wp:posOffset>1113155</wp:posOffset>
            </wp:positionH>
            <wp:positionV relativeFrom="paragraph">
              <wp:posOffset>95273</wp:posOffset>
            </wp:positionV>
            <wp:extent cx="5308545" cy="1600200"/>
            <wp:effectExtent l="0" t="0" r="0" b="0"/>
            <wp:wrapTopAndBottom/>
            <wp:docPr id="381" name="image227.jpeg"/>
            <wp:cNvGraphicFramePr>
              <a:graphicFrameLocks noChangeAspect="1"/>
            </wp:cNvGraphicFramePr>
            <a:graphic>
              <a:graphicData uri="http://schemas.openxmlformats.org/drawingml/2006/picture">
                <pic:pic>
                  <pic:nvPicPr>
                    <pic:cNvPr id="382" name="image227.jpeg"/>
                    <pic:cNvPicPr/>
                  </pic:nvPicPr>
                  <pic:blipFill>
                    <a:blip r:embed="rId276" cstate="print"/>
                    <a:stretch>
                      <a:fillRect/>
                    </a:stretch>
                  </pic:blipFill>
                  <pic:spPr>
                    <a:xfrm>
                      <a:off x="0" y="0"/>
                      <a:ext cx="5308545" cy="1600200"/>
                    </a:xfrm>
                    <a:prstGeom prst="rect">
                      <a:avLst/>
                    </a:prstGeom>
                  </pic:spPr>
                </pic:pic>
              </a:graphicData>
            </a:graphic>
          </wp:anchor>
        </w:drawing>
      </w:r>
    </w:p>
    <w:p>
      <w:pPr>
        <w:pStyle w:val="BodyText"/>
        <w:spacing w:before="1"/>
        <w:rPr>
          <w:b/>
          <w:sz w:val="15"/>
        </w:rPr>
      </w:pPr>
    </w:p>
    <w:p>
      <w:pPr>
        <w:pStyle w:val="ListParagraph"/>
        <w:numPr>
          <w:ilvl w:val="1"/>
          <w:numId w:val="448"/>
        </w:numPr>
        <w:tabs>
          <w:tab w:pos="1159" w:val="left" w:leader="none"/>
        </w:tabs>
        <w:spacing w:line="240" w:lineRule="auto" w:before="0" w:after="0"/>
        <w:ind w:left="1158" w:right="0" w:hanging="319"/>
        <w:jc w:val="left"/>
        <w:rPr>
          <w:b/>
          <w:sz w:val="21"/>
        </w:rPr>
      </w:pPr>
      <w:r>
        <w:rPr>
          <w:spacing w:val="-3"/>
          <w:sz w:val="21"/>
        </w:rPr>
        <w:t>分类与代号</w:t>
      </w:r>
      <w:r>
        <w:rPr>
          <w:b/>
          <w:w w:val="99"/>
          <w:sz w:val="21"/>
        </w:rPr>
        <w:t> </w:t>
      </w:r>
    </w:p>
    <w:p>
      <w:pPr>
        <w:pStyle w:val="BodyText"/>
        <w:spacing w:before="12"/>
        <w:rPr>
          <w:b/>
          <w:sz w:val="17"/>
        </w:rPr>
      </w:pPr>
    </w:p>
    <w:p>
      <w:pPr>
        <w:pStyle w:val="ListParagraph"/>
        <w:numPr>
          <w:ilvl w:val="2"/>
          <w:numId w:val="448"/>
        </w:numPr>
        <w:tabs>
          <w:tab w:pos="1371" w:val="left" w:leader="none"/>
        </w:tabs>
        <w:spacing w:line="240" w:lineRule="auto" w:before="0" w:after="0"/>
        <w:ind w:left="1370" w:right="0" w:hanging="531"/>
        <w:jc w:val="left"/>
        <w:rPr>
          <w:sz w:val="21"/>
        </w:rPr>
      </w:pPr>
      <w:r>
        <w:rPr>
          <w:spacing w:val="-6"/>
          <w:sz w:val="21"/>
        </w:rPr>
        <w:t>防火窗按其使用功能的分类与代号见表 </w:t>
      </w:r>
      <w:r>
        <w:rPr>
          <w:sz w:val="21"/>
        </w:rPr>
        <w:t>2</w:t>
      </w:r>
      <w:r>
        <w:rPr>
          <w:spacing w:val="-3"/>
          <w:sz w:val="21"/>
        </w:rPr>
        <w:t>。</w:t>
      </w:r>
      <w:r>
        <w:rPr>
          <w:sz w:val="21"/>
        </w:rPr>
        <w:t> </w:t>
      </w:r>
    </w:p>
    <w:p>
      <w:pPr>
        <w:pStyle w:val="BodyText"/>
        <w:spacing w:before="3"/>
        <w:rPr>
          <w:sz w:val="18"/>
        </w:rPr>
      </w:pPr>
    </w:p>
    <w:p>
      <w:pPr>
        <w:pStyle w:val="Heading6"/>
        <w:ind w:right="492"/>
        <w:jc w:val="center"/>
      </w:pPr>
      <w:r>
        <w:rPr/>
        <w:t>表 2  防火窗的使用功能分类与代号</w:t>
      </w:r>
      <w:r>
        <w:rPr>
          <w:w w:val="99"/>
        </w:rPr>
        <w:t> </w:t>
      </w:r>
    </w:p>
    <w:p>
      <w:pPr>
        <w:pStyle w:val="BodyText"/>
        <w:rPr>
          <w:b/>
          <w:sz w:val="20"/>
        </w:rPr>
      </w:pPr>
    </w:p>
    <w:p>
      <w:pPr>
        <w:pStyle w:val="BodyText"/>
        <w:rPr>
          <w:b/>
          <w:sz w:val="20"/>
        </w:rPr>
      </w:pPr>
    </w:p>
    <w:p>
      <w:pPr>
        <w:pStyle w:val="BodyText"/>
        <w:spacing w:before="11"/>
        <w:rPr>
          <w:b/>
          <w:sz w:val="16"/>
        </w:rPr>
      </w:pPr>
    </w:p>
    <w:p>
      <w:pPr>
        <w:spacing w:before="1"/>
        <w:ind w:left="0" w:right="490" w:firstLine="0"/>
        <w:jc w:val="center"/>
        <w:rPr>
          <w:b/>
          <w:sz w:val="21"/>
        </w:rPr>
      </w:pPr>
      <w:r>
        <w:rPr>
          <w:b/>
          <w:w w:val="99"/>
          <w:sz w:val="21"/>
        </w:rPr>
        <w:t> </w:t>
      </w:r>
    </w:p>
    <w:p>
      <w:pPr>
        <w:spacing w:after="0"/>
        <w:jc w:val="center"/>
        <w:rPr>
          <w:sz w:val="21"/>
        </w:rPr>
        <w:sectPr>
          <w:pgSz w:w="11910" w:h="16850"/>
          <w:pgMar w:header="0" w:footer="1159" w:top="1220" w:bottom="1420" w:left="1260" w:right="0"/>
        </w:sectPr>
      </w:pPr>
    </w:p>
    <w:p>
      <w:pPr>
        <w:pStyle w:val="BodyText"/>
        <w:spacing w:before="6" w:after="1"/>
        <w:rPr>
          <w:b/>
          <w:sz w:val="14"/>
        </w:rPr>
      </w:pPr>
    </w:p>
    <w:p>
      <w:pPr>
        <w:pStyle w:val="BodyText"/>
        <w:ind w:left="553"/>
        <w:rPr>
          <w:sz w:val="20"/>
        </w:rPr>
      </w:pPr>
      <w:r>
        <w:rPr>
          <w:sz w:val="20"/>
        </w:rPr>
        <w:drawing>
          <wp:inline distT="0" distB="0" distL="0" distR="0">
            <wp:extent cx="5349368" cy="986313"/>
            <wp:effectExtent l="0" t="0" r="0" b="0"/>
            <wp:docPr id="383" name="image228.jpeg"/>
            <wp:cNvGraphicFramePr>
              <a:graphicFrameLocks noChangeAspect="1"/>
            </wp:cNvGraphicFramePr>
            <a:graphic>
              <a:graphicData uri="http://schemas.openxmlformats.org/drawingml/2006/picture">
                <pic:pic>
                  <pic:nvPicPr>
                    <pic:cNvPr id="384" name="image228.jpeg"/>
                    <pic:cNvPicPr/>
                  </pic:nvPicPr>
                  <pic:blipFill>
                    <a:blip r:embed="rId277" cstate="print"/>
                    <a:stretch>
                      <a:fillRect/>
                    </a:stretch>
                  </pic:blipFill>
                  <pic:spPr>
                    <a:xfrm>
                      <a:off x="0" y="0"/>
                      <a:ext cx="5349368" cy="986313"/>
                    </a:xfrm>
                    <a:prstGeom prst="rect">
                      <a:avLst/>
                    </a:prstGeom>
                  </pic:spPr>
                </pic:pic>
              </a:graphicData>
            </a:graphic>
          </wp:inline>
        </w:drawing>
      </w:r>
      <w:r>
        <w:rPr>
          <w:sz w:val="20"/>
        </w:rPr>
      </w:r>
    </w:p>
    <w:p>
      <w:pPr>
        <w:pStyle w:val="BodyText"/>
        <w:rPr>
          <w:b/>
          <w:sz w:val="20"/>
        </w:rPr>
      </w:pPr>
    </w:p>
    <w:p>
      <w:pPr>
        <w:pStyle w:val="BodyText"/>
        <w:spacing w:before="10"/>
        <w:rPr>
          <w:b/>
          <w:sz w:val="28"/>
        </w:rPr>
      </w:pPr>
    </w:p>
    <w:p>
      <w:pPr>
        <w:pStyle w:val="ListParagraph"/>
        <w:numPr>
          <w:ilvl w:val="2"/>
          <w:numId w:val="448"/>
        </w:numPr>
        <w:tabs>
          <w:tab w:pos="1371" w:val="left" w:leader="none"/>
        </w:tabs>
        <w:spacing w:line="240" w:lineRule="auto" w:before="72" w:after="0"/>
        <w:ind w:left="1370" w:right="0" w:hanging="531"/>
        <w:jc w:val="left"/>
        <w:rPr>
          <w:sz w:val="21"/>
        </w:rPr>
      </w:pPr>
      <w:r>
        <w:rPr>
          <w:spacing w:val="-6"/>
          <w:sz w:val="21"/>
        </w:rPr>
        <w:t>防火窗按其耐火性能的分类与耐火等级代号见表 </w:t>
      </w:r>
      <w:r>
        <w:rPr>
          <w:spacing w:val="-3"/>
          <w:sz w:val="21"/>
        </w:rPr>
        <w:t>3。</w:t>
      </w:r>
      <w:r>
        <w:rPr>
          <w:sz w:val="21"/>
        </w:rPr>
        <w:t> </w:t>
      </w:r>
    </w:p>
    <w:p>
      <w:pPr>
        <w:pStyle w:val="BodyText"/>
        <w:rPr>
          <w:sz w:val="18"/>
        </w:rPr>
      </w:pPr>
    </w:p>
    <w:p>
      <w:pPr>
        <w:pStyle w:val="Heading6"/>
        <w:ind w:left="2993"/>
      </w:pPr>
      <w:r>
        <w:rPr/>
        <w:drawing>
          <wp:anchor distT="0" distB="0" distL="0" distR="0" allowOverlap="1" layoutInCell="1" locked="0" behindDoc="0" simplePos="0" relativeHeight="170">
            <wp:simplePos x="0" y="0"/>
            <wp:positionH relativeFrom="page">
              <wp:posOffset>1293494</wp:posOffset>
            </wp:positionH>
            <wp:positionV relativeFrom="paragraph">
              <wp:posOffset>205613</wp:posOffset>
            </wp:positionV>
            <wp:extent cx="5136069" cy="3169634"/>
            <wp:effectExtent l="0" t="0" r="0" b="0"/>
            <wp:wrapTopAndBottom/>
            <wp:docPr id="385" name="image229.jpeg"/>
            <wp:cNvGraphicFramePr>
              <a:graphicFrameLocks noChangeAspect="1"/>
            </wp:cNvGraphicFramePr>
            <a:graphic>
              <a:graphicData uri="http://schemas.openxmlformats.org/drawingml/2006/picture">
                <pic:pic>
                  <pic:nvPicPr>
                    <pic:cNvPr id="386" name="image229.jpeg"/>
                    <pic:cNvPicPr/>
                  </pic:nvPicPr>
                  <pic:blipFill>
                    <a:blip r:embed="rId278" cstate="print"/>
                    <a:stretch>
                      <a:fillRect/>
                    </a:stretch>
                  </pic:blipFill>
                  <pic:spPr>
                    <a:xfrm>
                      <a:off x="0" y="0"/>
                      <a:ext cx="5136069" cy="3169634"/>
                    </a:xfrm>
                    <a:prstGeom prst="rect">
                      <a:avLst/>
                    </a:prstGeom>
                  </pic:spPr>
                </pic:pic>
              </a:graphicData>
            </a:graphic>
          </wp:anchor>
        </w:drawing>
      </w:r>
      <w:r>
        <w:rPr/>
        <w:t>表 3 防火窗的耐火性能分类与耐火等级代号</w:t>
      </w:r>
      <w:r>
        <w:rPr>
          <w:w w:val="99"/>
        </w:rPr>
        <w:t> </w:t>
      </w:r>
    </w:p>
    <w:p>
      <w:pPr>
        <w:pStyle w:val="BodyText"/>
        <w:rPr>
          <w:b/>
          <w:sz w:val="20"/>
        </w:rPr>
      </w:pPr>
    </w:p>
    <w:p>
      <w:pPr>
        <w:pStyle w:val="BodyText"/>
        <w:spacing w:before="9"/>
        <w:rPr>
          <w:b/>
          <w:sz w:val="27"/>
        </w:rPr>
      </w:pPr>
    </w:p>
    <w:p>
      <w:pPr>
        <w:spacing w:before="0"/>
        <w:ind w:left="418" w:right="0" w:firstLine="0"/>
        <w:jc w:val="left"/>
        <w:rPr>
          <w:b/>
          <w:sz w:val="24"/>
        </w:rPr>
      </w:pPr>
      <w:r>
        <w:rPr>
          <w:b/>
          <w:sz w:val="24"/>
        </w:rPr>
        <w:t>5 规格与型号</w:t>
      </w:r>
      <w:r>
        <w:rPr>
          <w:b/>
          <w:w w:val="99"/>
          <w:sz w:val="24"/>
        </w:rPr>
        <w:t> </w:t>
      </w:r>
    </w:p>
    <w:p>
      <w:pPr>
        <w:pStyle w:val="BodyText"/>
        <w:spacing w:before="7"/>
        <w:rPr>
          <w:b/>
          <w:sz w:val="17"/>
        </w:rPr>
      </w:pPr>
    </w:p>
    <w:p>
      <w:pPr>
        <w:pStyle w:val="ListParagraph"/>
        <w:numPr>
          <w:ilvl w:val="1"/>
          <w:numId w:val="449"/>
        </w:numPr>
        <w:tabs>
          <w:tab w:pos="1160" w:val="left" w:leader="none"/>
        </w:tabs>
        <w:spacing w:line="240" w:lineRule="auto" w:before="0" w:after="0"/>
        <w:ind w:left="1159" w:right="0" w:hanging="320"/>
        <w:jc w:val="left"/>
        <w:rPr>
          <w:b/>
          <w:sz w:val="21"/>
        </w:rPr>
      </w:pPr>
      <w:r>
        <w:rPr>
          <w:spacing w:val="-3"/>
          <w:sz w:val="21"/>
        </w:rPr>
        <w:t>规格</w:t>
      </w:r>
      <w:r>
        <w:rPr>
          <w:b/>
          <w:w w:val="99"/>
          <w:sz w:val="21"/>
        </w:rPr>
        <w:t> </w:t>
      </w:r>
    </w:p>
    <w:p>
      <w:pPr>
        <w:pStyle w:val="BodyText"/>
        <w:spacing w:before="12"/>
        <w:rPr>
          <w:b/>
          <w:sz w:val="17"/>
        </w:rPr>
      </w:pPr>
    </w:p>
    <w:p>
      <w:pPr>
        <w:pStyle w:val="BodyText"/>
        <w:spacing w:line="446" w:lineRule="auto"/>
        <w:ind w:left="418" w:right="1505" w:firstLine="419"/>
      </w:pPr>
      <w:r>
        <w:rPr>
          <w:spacing w:val="-5"/>
        </w:rPr>
        <w:t>防火窗的规格型号表示方法和一般洞口尺寸系列应符合 </w:t>
      </w:r>
      <w:r>
        <w:rPr/>
        <w:t>GB/T 5824-1986</w:t>
      </w:r>
      <w:r>
        <w:rPr>
          <w:spacing w:val="-8"/>
        </w:rPr>
        <w:t> 的规定，特殊洞口</w:t>
      </w:r>
      <w:r>
        <w:rPr>
          <w:spacing w:val="-5"/>
        </w:rPr>
        <w:t>尺寸由生产单位和顾客按需要协商确定。</w:t>
      </w:r>
      <w:r>
        <w:rPr/>
        <w:t> </w:t>
      </w:r>
    </w:p>
    <w:p>
      <w:pPr>
        <w:pStyle w:val="ListParagraph"/>
        <w:numPr>
          <w:ilvl w:val="1"/>
          <w:numId w:val="449"/>
        </w:numPr>
        <w:tabs>
          <w:tab w:pos="1159" w:val="left" w:leader="none"/>
        </w:tabs>
        <w:spacing w:line="240" w:lineRule="auto" w:before="0" w:after="0"/>
        <w:ind w:left="1158" w:right="0" w:hanging="319"/>
        <w:jc w:val="left"/>
        <w:rPr>
          <w:b/>
          <w:sz w:val="21"/>
        </w:rPr>
      </w:pPr>
      <w:r>
        <w:rPr>
          <w:spacing w:val="-3"/>
          <w:sz w:val="21"/>
        </w:rPr>
        <w:t>型号编制方法</w:t>
      </w:r>
      <w:r>
        <w:rPr>
          <w:b/>
          <w:w w:val="99"/>
          <w:sz w:val="21"/>
        </w:rPr>
        <w:t> </w:t>
      </w:r>
    </w:p>
    <w:p>
      <w:pPr>
        <w:pStyle w:val="BodyText"/>
        <w:rPr>
          <w:b/>
          <w:sz w:val="18"/>
        </w:rPr>
      </w:pPr>
    </w:p>
    <w:p>
      <w:pPr>
        <w:pStyle w:val="BodyText"/>
        <w:ind w:left="838"/>
      </w:pPr>
      <w:r>
        <w:rPr/>
        <w:t>防火窗的型号编制方法见图 1。 </w:t>
      </w:r>
    </w:p>
    <w:p>
      <w:pPr>
        <w:spacing w:after="0"/>
        <w:sectPr>
          <w:pgSz w:w="11910" w:h="16850"/>
          <w:pgMar w:header="0" w:footer="1159" w:top="1600" w:bottom="1420" w:left="1260" w:right="0"/>
        </w:sectPr>
      </w:pPr>
    </w:p>
    <w:p>
      <w:pPr>
        <w:pStyle w:val="BodyText"/>
        <w:spacing w:before="5" w:after="1"/>
        <w:rPr>
          <w:sz w:val="14"/>
        </w:rPr>
      </w:pPr>
    </w:p>
    <w:p>
      <w:pPr>
        <w:pStyle w:val="BodyText"/>
        <w:ind w:left="2878"/>
        <w:rPr>
          <w:sz w:val="20"/>
        </w:rPr>
      </w:pPr>
      <w:r>
        <w:rPr>
          <w:sz w:val="20"/>
        </w:rPr>
        <w:drawing>
          <wp:inline distT="0" distB="0" distL="0" distR="0">
            <wp:extent cx="2749319" cy="1231392"/>
            <wp:effectExtent l="0" t="0" r="0" b="0"/>
            <wp:docPr id="387" name="image230.jpeg"/>
            <wp:cNvGraphicFramePr>
              <a:graphicFrameLocks noChangeAspect="1"/>
            </wp:cNvGraphicFramePr>
            <a:graphic>
              <a:graphicData uri="http://schemas.openxmlformats.org/drawingml/2006/picture">
                <pic:pic>
                  <pic:nvPicPr>
                    <pic:cNvPr id="388" name="image230.jpeg"/>
                    <pic:cNvPicPr/>
                  </pic:nvPicPr>
                  <pic:blipFill>
                    <a:blip r:embed="rId279" cstate="print"/>
                    <a:stretch>
                      <a:fillRect/>
                    </a:stretch>
                  </pic:blipFill>
                  <pic:spPr>
                    <a:xfrm>
                      <a:off x="0" y="0"/>
                      <a:ext cx="2749319" cy="1231392"/>
                    </a:xfrm>
                    <a:prstGeom prst="rect">
                      <a:avLst/>
                    </a:prstGeom>
                  </pic:spPr>
                </pic:pic>
              </a:graphicData>
            </a:graphic>
          </wp:inline>
        </w:drawing>
      </w:r>
      <w:r>
        <w:rPr>
          <w:sz w:val="20"/>
        </w:rPr>
      </w:r>
    </w:p>
    <w:p>
      <w:pPr>
        <w:pStyle w:val="BodyText"/>
        <w:spacing w:before="2"/>
        <w:rPr>
          <w:sz w:val="10"/>
        </w:rPr>
      </w:pPr>
    </w:p>
    <w:p>
      <w:pPr>
        <w:pStyle w:val="Heading6"/>
        <w:spacing w:before="72"/>
        <w:ind w:right="490"/>
        <w:jc w:val="center"/>
        <w:rPr>
          <w:b w:val="0"/>
        </w:rPr>
      </w:pPr>
      <w:r>
        <w:rPr/>
        <w:t>图 1 防火窗的型号编制方法</w:t>
      </w:r>
      <w:r>
        <w:rPr>
          <w:w w:val="99"/>
        </w:rPr>
        <w:t> </w:t>
      </w:r>
      <w:r>
        <w:rPr/>
        <w:t> </w:t>
      </w:r>
      <w:r>
        <w:rPr>
          <w:b w:val="0"/>
          <w:w w:val="100"/>
        </w:rPr>
        <w:t> </w:t>
      </w:r>
    </w:p>
    <w:p>
      <w:pPr>
        <w:pStyle w:val="BodyText"/>
        <w:spacing w:before="12"/>
        <w:rPr>
          <w:sz w:val="17"/>
        </w:rPr>
      </w:pPr>
    </w:p>
    <w:p>
      <w:pPr>
        <w:pStyle w:val="BodyText"/>
        <w:ind w:left="838"/>
      </w:pPr>
      <w:r>
        <w:rPr/>
        <w:t>示例 1：防火窗的型号为MFC0909-D-A1.00（乙级），表示木质防火窗，规格型号为 0909</w:t>
      </w:r>
    </w:p>
    <w:p>
      <w:pPr>
        <w:pStyle w:val="BodyText"/>
        <w:rPr>
          <w:sz w:val="18"/>
        </w:rPr>
      </w:pPr>
    </w:p>
    <w:p>
      <w:pPr>
        <w:pStyle w:val="BodyText"/>
        <w:spacing w:line="446" w:lineRule="auto"/>
        <w:ind w:left="418" w:right="1503"/>
      </w:pPr>
      <w:r>
        <w:rPr/>
        <w:t>（</w:t>
      </w:r>
      <w:r>
        <w:rPr>
          <w:spacing w:val="-8"/>
        </w:rPr>
        <w:t>即洞口标志宽度 </w:t>
      </w:r>
      <w:r>
        <w:rPr/>
        <w:t>900mm），</w:t>
      </w:r>
      <w:r>
        <w:rPr>
          <w:spacing w:val="-6"/>
        </w:rPr>
        <w:t>使用功能为固定式，耐火等级为 </w:t>
      </w:r>
      <w:r>
        <w:rPr/>
        <w:t>A1.00（</w:t>
      </w:r>
      <w:r>
        <w:rPr>
          <w:spacing w:val="-2"/>
        </w:rPr>
        <w:t>乙级</w:t>
      </w:r>
      <w:r>
        <w:rPr/>
        <w:t>）（</w:t>
      </w:r>
      <w:r>
        <w:rPr>
          <w:spacing w:val="-3"/>
        </w:rPr>
        <w:t>即耐火隔热性≥ 1.00h，且耐火完整性≥</w:t>
      </w:r>
      <w:r>
        <w:rPr/>
        <w:t>1.00h）</w:t>
      </w:r>
      <w:r>
        <w:rPr>
          <w:spacing w:val="-3"/>
        </w:rPr>
        <w:t>。</w:t>
      </w:r>
      <w:r>
        <w:rPr/>
        <w:t> </w:t>
      </w:r>
    </w:p>
    <w:p>
      <w:pPr>
        <w:pStyle w:val="BodyText"/>
        <w:spacing w:line="446" w:lineRule="auto"/>
        <w:ind w:left="418" w:right="1455" w:firstLine="419"/>
      </w:pPr>
      <w:r>
        <w:rPr>
          <w:spacing w:val="-15"/>
        </w:rPr>
        <w:t>示例 </w:t>
      </w:r>
      <w:r>
        <w:rPr/>
        <w:t>2</w:t>
      </w:r>
      <w:r>
        <w:rPr>
          <w:spacing w:val="3"/>
        </w:rPr>
        <w:t>：防火窗的型号为</w:t>
      </w:r>
      <w:r>
        <w:rPr/>
        <w:t>GFC1521-H-C2.00</w:t>
      </w:r>
      <w:r>
        <w:rPr>
          <w:spacing w:val="-6"/>
        </w:rPr>
        <w:t>，表示钢质防火窗，规格型号为 </w:t>
      </w:r>
      <w:r>
        <w:rPr/>
        <w:t>1521（</w:t>
      </w:r>
      <w:r>
        <w:rPr>
          <w:spacing w:val="-3"/>
        </w:rPr>
        <w:t>即洞口标</w:t>
      </w:r>
      <w:r>
        <w:rPr>
          <w:spacing w:val="-14"/>
        </w:rPr>
        <w:t>志宽度 </w:t>
      </w:r>
      <w:r>
        <w:rPr/>
        <w:t>1500mm</w:t>
      </w:r>
      <w:r>
        <w:rPr>
          <w:spacing w:val="-11"/>
        </w:rPr>
        <w:t>，标志高度 </w:t>
      </w:r>
      <w:r>
        <w:rPr/>
        <w:t>2100mm）</w:t>
      </w:r>
      <w:r>
        <w:rPr>
          <w:spacing w:val="-6"/>
        </w:rPr>
        <w:t>，使用功能为活动式，耐火等级为 </w:t>
      </w:r>
      <w:r>
        <w:rPr/>
        <w:t>C2.00（</w:t>
      </w:r>
      <w:r>
        <w:rPr>
          <w:spacing w:val="-3"/>
        </w:rPr>
        <w:t>即耐火完整性时</w:t>
      </w:r>
      <w:r>
        <w:rPr>
          <w:spacing w:val="-13"/>
        </w:rPr>
        <w:t>间不小于 </w:t>
      </w:r>
      <w:r>
        <w:rPr/>
        <w:t>2.00h）</w:t>
      </w:r>
      <w:r>
        <w:rPr>
          <w:spacing w:val="-3"/>
        </w:rPr>
        <w:t>。</w:t>
      </w:r>
      <w:r>
        <w:rPr/>
        <w:t> </w:t>
      </w:r>
    </w:p>
    <w:p>
      <w:pPr>
        <w:pStyle w:val="Heading4"/>
        <w:spacing w:line="276" w:lineRule="exact"/>
      </w:pPr>
      <w:r>
        <w:rPr/>
        <w:t>6 材料及配件</w:t>
      </w:r>
      <w:r>
        <w:rPr>
          <w:w w:val="99"/>
        </w:rPr>
        <w:t> </w:t>
      </w:r>
    </w:p>
    <w:p>
      <w:pPr>
        <w:pStyle w:val="BodyText"/>
        <w:spacing w:before="4"/>
        <w:rPr>
          <w:b/>
          <w:sz w:val="17"/>
        </w:rPr>
      </w:pPr>
    </w:p>
    <w:p>
      <w:pPr>
        <w:pStyle w:val="ListParagraph"/>
        <w:numPr>
          <w:ilvl w:val="1"/>
          <w:numId w:val="450"/>
        </w:numPr>
        <w:tabs>
          <w:tab w:pos="1160" w:val="left" w:leader="none"/>
        </w:tabs>
        <w:spacing w:line="240" w:lineRule="auto" w:before="0" w:after="0"/>
        <w:ind w:left="1159" w:right="0" w:hanging="320"/>
        <w:jc w:val="left"/>
        <w:rPr>
          <w:sz w:val="21"/>
        </w:rPr>
      </w:pPr>
      <w:r>
        <w:rPr>
          <w:spacing w:val="-6"/>
          <w:sz w:val="21"/>
        </w:rPr>
        <w:t>防火窗用材料性能应符合有关标准的规定，参见附录 </w:t>
      </w:r>
      <w:r>
        <w:rPr>
          <w:sz w:val="21"/>
        </w:rPr>
        <w:t>A</w:t>
      </w:r>
      <w:r>
        <w:rPr>
          <w:spacing w:val="-3"/>
          <w:sz w:val="21"/>
        </w:rPr>
        <w:t>。</w:t>
      </w:r>
      <w:r>
        <w:rPr>
          <w:sz w:val="21"/>
        </w:rPr>
        <w:t> </w:t>
      </w:r>
    </w:p>
    <w:p>
      <w:pPr>
        <w:pStyle w:val="BodyText"/>
        <w:spacing w:before="2"/>
        <w:rPr>
          <w:sz w:val="18"/>
        </w:rPr>
      </w:pPr>
    </w:p>
    <w:p>
      <w:pPr>
        <w:pStyle w:val="ListParagraph"/>
        <w:numPr>
          <w:ilvl w:val="1"/>
          <w:numId w:val="450"/>
        </w:numPr>
        <w:tabs>
          <w:tab w:pos="1160" w:val="left" w:leader="none"/>
        </w:tabs>
        <w:spacing w:line="446" w:lineRule="auto" w:before="0" w:after="0"/>
        <w:ind w:left="418" w:right="1604" w:firstLine="422"/>
        <w:jc w:val="left"/>
        <w:rPr>
          <w:sz w:val="21"/>
        </w:rPr>
      </w:pPr>
      <w:r>
        <w:rPr>
          <w:spacing w:val="-3"/>
          <w:sz w:val="21"/>
        </w:rPr>
        <w:t>密封材料应根据具体防火窗产品的使用功能、框架材料与结构、耐火等级等特性来选用。</w:t>
      </w:r>
      <w:r>
        <w:rPr>
          <w:sz w:val="21"/>
        </w:rPr>
        <w:t> </w:t>
      </w:r>
    </w:p>
    <w:p>
      <w:pPr>
        <w:pStyle w:val="ListParagraph"/>
        <w:numPr>
          <w:ilvl w:val="1"/>
          <w:numId w:val="450"/>
        </w:numPr>
        <w:tabs>
          <w:tab w:pos="1159" w:val="left" w:leader="none"/>
        </w:tabs>
        <w:spacing w:line="446" w:lineRule="auto" w:before="0" w:after="0"/>
        <w:ind w:left="418" w:right="1604" w:firstLine="422"/>
        <w:jc w:val="left"/>
        <w:rPr>
          <w:sz w:val="21"/>
        </w:rPr>
      </w:pPr>
      <w:r>
        <w:rPr>
          <w:spacing w:val="-3"/>
          <w:sz w:val="21"/>
        </w:rPr>
        <w:t>五金件、附件、紧固件应满足功能要求，其安装应正确、齐全、牢固，具有足够的强度，启闭灵活，承受反复运动的五金件、附件应便于更换。</w:t>
      </w:r>
      <w:r>
        <w:rPr>
          <w:sz w:val="21"/>
        </w:rPr>
        <w:t> </w:t>
      </w:r>
    </w:p>
    <w:p>
      <w:pPr>
        <w:pStyle w:val="Heading4"/>
        <w:spacing w:line="277" w:lineRule="exact"/>
      </w:pPr>
      <w:r>
        <w:rPr/>
        <w:t>7 要求</w:t>
      </w:r>
      <w:r>
        <w:rPr>
          <w:w w:val="99"/>
        </w:rPr>
        <w:t> </w:t>
      </w:r>
    </w:p>
    <w:p>
      <w:pPr>
        <w:pStyle w:val="BodyText"/>
        <w:spacing w:before="2"/>
        <w:rPr>
          <w:b/>
          <w:sz w:val="17"/>
        </w:rPr>
      </w:pPr>
    </w:p>
    <w:p>
      <w:pPr>
        <w:pStyle w:val="ListParagraph"/>
        <w:numPr>
          <w:ilvl w:val="1"/>
          <w:numId w:val="451"/>
        </w:numPr>
        <w:tabs>
          <w:tab w:pos="1159" w:val="left" w:leader="none"/>
        </w:tabs>
        <w:spacing w:line="240" w:lineRule="auto" w:before="0" w:after="0"/>
        <w:ind w:left="1158" w:right="0" w:hanging="319"/>
        <w:jc w:val="left"/>
        <w:rPr>
          <w:b/>
          <w:sz w:val="21"/>
        </w:rPr>
      </w:pPr>
      <w:r>
        <w:rPr>
          <w:spacing w:val="-3"/>
          <w:sz w:val="21"/>
        </w:rPr>
        <w:t>防火窗通用要求</w:t>
      </w:r>
      <w:r>
        <w:rPr>
          <w:b/>
          <w:w w:val="99"/>
          <w:sz w:val="21"/>
        </w:rPr>
        <w:t> </w:t>
      </w:r>
    </w:p>
    <w:p>
      <w:pPr>
        <w:pStyle w:val="BodyText"/>
        <w:spacing w:before="2"/>
        <w:rPr>
          <w:b/>
          <w:sz w:val="18"/>
        </w:rPr>
      </w:pPr>
    </w:p>
    <w:p>
      <w:pPr>
        <w:pStyle w:val="ListParagraph"/>
        <w:numPr>
          <w:ilvl w:val="2"/>
          <w:numId w:val="451"/>
        </w:numPr>
        <w:tabs>
          <w:tab w:pos="1370" w:val="left" w:leader="none"/>
        </w:tabs>
        <w:spacing w:line="240" w:lineRule="auto" w:before="0" w:after="0"/>
        <w:ind w:left="1369" w:right="0" w:hanging="530"/>
        <w:jc w:val="left"/>
        <w:rPr>
          <w:b/>
          <w:sz w:val="21"/>
        </w:rPr>
      </w:pPr>
      <w:r>
        <w:rPr>
          <w:spacing w:val="-3"/>
          <w:sz w:val="21"/>
        </w:rPr>
        <w:t>外观质量</w:t>
      </w:r>
      <w:r>
        <w:rPr>
          <w:b/>
          <w:w w:val="99"/>
          <w:sz w:val="21"/>
        </w:rPr>
        <w:t> </w:t>
      </w:r>
    </w:p>
    <w:p>
      <w:pPr>
        <w:pStyle w:val="BodyText"/>
        <w:spacing w:before="12"/>
        <w:rPr>
          <w:b/>
          <w:sz w:val="17"/>
        </w:rPr>
      </w:pPr>
    </w:p>
    <w:p>
      <w:pPr>
        <w:pStyle w:val="BodyText"/>
        <w:spacing w:line="446" w:lineRule="auto"/>
        <w:ind w:left="418" w:right="1608" w:firstLine="419"/>
      </w:pPr>
      <w:r>
        <w:rPr>
          <w:spacing w:val="-3"/>
        </w:rPr>
        <w:t>防火窗各连接处的连接及零部件安装应牢固、可靠，不得有松动现象；表面应平整、光 滑，不应有毛剌、裂纹、压坑及明显的凹凸、孔洞等缺陷；表面涂刷的漆层应厚度均匀，不应有明显的堆漆、漏漆等缺陷。</w:t>
      </w:r>
      <w:r>
        <w:rPr/>
        <w:t> </w:t>
      </w:r>
    </w:p>
    <w:p>
      <w:pPr>
        <w:pStyle w:val="ListParagraph"/>
        <w:numPr>
          <w:ilvl w:val="2"/>
          <w:numId w:val="451"/>
        </w:numPr>
        <w:tabs>
          <w:tab w:pos="1370" w:val="left" w:leader="none"/>
        </w:tabs>
        <w:spacing w:line="268" w:lineRule="exact" w:before="0" w:after="0"/>
        <w:ind w:left="1369" w:right="0" w:hanging="530"/>
        <w:jc w:val="left"/>
        <w:rPr>
          <w:b/>
          <w:sz w:val="21"/>
        </w:rPr>
      </w:pPr>
      <w:r>
        <w:rPr>
          <w:spacing w:val="-3"/>
          <w:sz w:val="21"/>
        </w:rPr>
        <w:t>防火玻璃</w:t>
      </w:r>
      <w:r>
        <w:rPr>
          <w:b/>
          <w:w w:val="99"/>
          <w:sz w:val="21"/>
        </w:rPr>
        <w:t> </w:t>
      </w:r>
    </w:p>
    <w:p>
      <w:pPr>
        <w:pStyle w:val="BodyText"/>
        <w:rPr>
          <w:b/>
          <w:sz w:val="18"/>
        </w:rPr>
      </w:pPr>
    </w:p>
    <w:p>
      <w:pPr>
        <w:pStyle w:val="ListParagraph"/>
        <w:numPr>
          <w:ilvl w:val="3"/>
          <w:numId w:val="451"/>
        </w:numPr>
        <w:tabs>
          <w:tab w:pos="1583" w:val="left" w:leader="none"/>
        </w:tabs>
        <w:spacing w:line="446" w:lineRule="auto" w:before="0" w:after="0"/>
        <w:ind w:left="418" w:right="1601" w:firstLine="422"/>
        <w:jc w:val="left"/>
        <w:rPr>
          <w:sz w:val="21"/>
        </w:rPr>
      </w:pPr>
      <w:r>
        <w:rPr>
          <w:spacing w:val="-6"/>
          <w:sz w:val="21"/>
        </w:rPr>
        <w:t>防火窗上使用的复合防火玻璃的外观质量应符合 </w:t>
      </w:r>
      <w:r>
        <w:rPr>
          <w:sz w:val="21"/>
        </w:rPr>
        <w:t>GB</w:t>
      </w:r>
      <w:r>
        <w:rPr>
          <w:spacing w:val="5"/>
          <w:sz w:val="21"/>
        </w:rPr>
        <w:t> </w:t>
      </w:r>
      <w:r>
        <w:rPr>
          <w:sz w:val="21"/>
        </w:rPr>
        <w:t>15763.1-2001</w:t>
      </w:r>
      <w:r>
        <w:rPr>
          <w:spacing w:val="-33"/>
          <w:sz w:val="21"/>
        </w:rPr>
        <w:t> 表 </w:t>
      </w:r>
      <w:r>
        <w:rPr>
          <w:sz w:val="21"/>
        </w:rPr>
        <w:t>4</w:t>
      </w:r>
      <w:r>
        <w:rPr>
          <w:spacing w:val="-12"/>
          <w:sz w:val="21"/>
        </w:rPr>
        <w:t> 的规定， </w:t>
      </w:r>
      <w:r>
        <w:rPr>
          <w:spacing w:val="-10"/>
          <w:sz w:val="21"/>
        </w:rPr>
        <w:t>单片防火玻璃的外观质量应符合 </w:t>
      </w:r>
      <w:r>
        <w:rPr>
          <w:sz w:val="21"/>
        </w:rPr>
        <w:t>GB</w:t>
      </w:r>
      <w:r>
        <w:rPr>
          <w:spacing w:val="-2"/>
          <w:sz w:val="21"/>
        </w:rPr>
        <w:t> </w:t>
      </w:r>
      <w:r>
        <w:rPr>
          <w:sz w:val="21"/>
        </w:rPr>
        <w:t>15763.1-2001</w:t>
      </w:r>
      <w:r>
        <w:rPr>
          <w:spacing w:val="-36"/>
          <w:sz w:val="21"/>
        </w:rPr>
        <w:t> 表 </w:t>
      </w:r>
      <w:r>
        <w:rPr>
          <w:sz w:val="21"/>
        </w:rPr>
        <w:t>5</w:t>
      </w:r>
      <w:r>
        <w:rPr>
          <w:spacing w:val="-13"/>
          <w:sz w:val="21"/>
        </w:rPr>
        <w:t> 的规定。</w:t>
      </w:r>
      <w:r>
        <w:rPr>
          <w:sz w:val="21"/>
        </w:rPr>
        <w:t> </w:t>
      </w:r>
    </w:p>
    <w:p>
      <w:pPr>
        <w:spacing w:after="0" w:line="446" w:lineRule="auto"/>
        <w:jc w:val="left"/>
        <w:rPr>
          <w:sz w:val="21"/>
        </w:rPr>
        <w:sectPr>
          <w:pgSz w:w="11910" w:h="16850"/>
          <w:pgMar w:header="0" w:footer="1159" w:top="1600" w:bottom="1420" w:left="1260" w:right="0"/>
        </w:sectPr>
      </w:pPr>
    </w:p>
    <w:p>
      <w:pPr>
        <w:pStyle w:val="ListParagraph"/>
        <w:numPr>
          <w:ilvl w:val="3"/>
          <w:numId w:val="451"/>
        </w:numPr>
        <w:tabs>
          <w:tab w:pos="1583" w:val="left" w:leader="none"/>
        </w:tabs>
        <w:spacing w:line="446" w:lineRule="auto" w:before="47" w:after="0"/>
        <w:ind w:left="418" w:right="1606" w:firstLine="422"/>
        <w:jc w:val="left"/>
        <w:rPr>
          <w:sz w:val="21"/>
        </w:rPr>
      </w:pPr>
      <w:r>
        <w:rPr>
          <w:spacing w:val="-5"/>
          <w:sz w:val="21"/>
        </w:rPr>
        <w:t>防火窗上使用的复合防火玻璃的厚度允许偏差应符合 </w:t>
      </w:r>
      <w:r>
        <w:rPr>
          <w:sz w:val="21"/>
        </w:rPr>
        <w:t>GB</w:t>
      </w:r>
      <w:r>
        <w:rPr>
          <w:spacing w:val="5"/>
          <w:sz w:val="21"/>
        </w:rPr>
        <w:t> </w:t>
      </w:r>
      <w:r>
        <w:rPr>
          <w:sz w:val="21"/>
        </w:rPr>
        <w:t>15763.1-2001</w:t>
      </w:r>
      <w:r>
        <w:rPr>
          <w:spacing w:val="-34"/>
          <w:sz w:val="21"/>
        </w:rPr>
        <w:t> 表 </w:t>
      </w:r>
      <w:r>
        <w:rPr>
          <w:sz w:val="21"/>
        </w:rPr>
        <w:t>2</w:t>
      </w:r>
      <w:r>
        <w:rPr>
          <w:spacing w:val="-19"/>
          <w:sz w:val="21"/>
        </w:rPr>
        <w:t> 的规</w:t>
      </w:r>
      <w:r>
        <w:rPr>
          <w:spacing w:val="-6"/>
          <w:sz w:val="21"/>
        </w:rPr>
        <w:t>定，单片防火玻璃的厚度允许偏差应符合 </w:t>
      </w:r>
      <w:r>
        <w:rPr>
          <w:sz w:val="21"/>
        </w:rPr>
        <w:t>GB</w:t>
      </w:r>
      <w:r>
        <w:rPr>
          <w:spacing w:val="-1"/>
          <w:sz w:val="21"/>
        </w:rPr>
        <w:t> </w:t>
      </w:r>
      <w:r>
        <w:rPr>
          <w:sz w:val="21"/>
        </w:rPr>
        <w:t>15763.1-2001</w:t>
      </w:r>
      <w:r>
        <w:rPr>
          <w:spacing w:val="-36"/>
          <w:sz w:val="21"/>
        </w:rPr>
        <w:t> 表 </w:t>
      </w:r>
      <w:r>
        <w:rPr>
          <w:sz w:val="21"/>
        </w:rPr>
        <w:t>3</w:t>
      </w:r>
      <w:r>
        <w:rPr>
          <w:spacing w:val="-13"/>
          <w:sz w:val="21"/>
        </w:rPr>
        <w:t> 的规定。</w:t>
      </w:r>
      <w:r>
        <w:rPr>
          <w:sz w:val="21"/>
        </w:rPr>
        <w:t> </w:t>
      </w:r>
    </w:p>
    <w:p>
      <w:pPr>
        <w:pStyle w:val="ListParagraph"/>
        <w:numPr>
          <w:ilvl w:val="2"/>
          <w:numId w:val="451"/>
        </w:numPr>
        <w:tabs>
          <w:tab w:pos="1370" w:val="left" w:leader="none"/>
        </w:tabs>
        <w:spacing w:line="267" w:lineRule="exact" w:before="0" w:after="0"/>
        <w:ind w:left="1369" w:right="0" w:hanging="530"/>
        <w:jc w:val="left"/>
        <w:rPr>
          <w:b/>
          <w:sz w:val="21"/>
        </w:rPr>
      </w:pPr>
      <w:r>
        <w:rPr>
          <w:spacing w:val="-3"/>
          <w:sz w:val="21"/>
        </w:rPr>
        <w:t>尺寸偏差</w:t>
      </w:r>
      <w:r>
        <w:rPr>
          <w:b/>
          <w:w w:val="99"/>
          <w:sz w:val="21"/>
        </w:rPr>
        <w:t> </w:t>
      </w:r>
    </w:p>
    <w:p>
      <w:pPr>
        <w:pStyle w:val="BodyText"/>
        <w:spacing w:before="2"/>
        <w:rPr>
          <w:b/>
          <w:sz w:val="18"/>
        </w:rPr>
      </w:pPr>
    </w:p>
    <w:p>
      <w:pPr>
        <w:pStyle w:val="BodyText"/>
        <w:ind w:left="838"/>
      </w:pPr>
      <w:r>
        <w:rPr>
          <w:w w:val="100"/>
        </w:rPr>
        <w:t> </w:t>
      </w:r>
      <w:r>
        <w:rPr/>
        <w:t>防火窗的尺寸允许偏差按表 4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Heading6"/>
        <w:spacing w:before="72"/>
        <w:ind w:left="2098"/>
      </w:pPr>
      <w:r>
        <w:rPr>
          <w:w w:val="99"/>
        </w:rPr>
        <w:t>       </w:t>
      </w:r>
      <w:r>
        <w:rPr>
          <w:b w:val="0"/>
          <w:w w:val="100"/>
        </w:rPr>
        <w:t> </w:t>
      </w:r>
      <w:r>
        <w:rPr>
          <w:b w:val="0"/>
        </w:rPr>
        <w:t> </w:t>
      </w:r>
      <w:r>
        <w:rPr>
          <w:b w:val="0"/>
          <w:w w:val="100"/>
        </w:rPr>
        <w:t> </w:t>
      </w:r>
      <w:r>
        <w:rPr>
          <w:w w:val="99"/>
        </w:rPr>
        <w:t> </w:t>
      </w:r>
      <w:r>
        <w:rPr/>
        <w:t> 表 4 防火窗尺寸允许偏差 单位为毫米</w:t>
      </w:r>
      <w:r>
        <w:rPr>
          <w:w w:val="99"/>
        </w:rPr>
        <w:t> </w:t>
      </w:r>
      <w:r>
        <w:rPr/>
        <w:t> </w:t>
      </w:r>
      <w:r>
        <w:rPr>
          <w:w w:val="99"/>
        </w:rPr>
        <w:t> </w:t>
      </w:r>
    </w:p>
    <w:p>
      <w:pPr>
        <w:pStyle w:val="BodyText"/>
        <w:spacing w:before="4"/>
        <w:rPr>
          <w:b/>
          <w:sz w:val="13"/>
        </w:rPr>
      </w:pPr>
      <w:r>
        <w:rPr/>
        <w:drawing>
          <wp:anchor distT="0" distB="0" distL="0" distR="0" allowOverlap="1" layoutInCell="1" locked="0" behindDoc="0" simplePos="0" relativeHeight="171">
            <wp:simplePos x="0" y="0"/>
            <wp:positionH relativeFrom="page">
              <wp:posOffset>1256030</wp:posOffset>
            </wp:positionH>
            <wp:positionV relativeFrom="paragraph">
              <wp:posOffset>133207</wp:posOffset>
            </wp:positionV>
            <wp:extent cx="5257800" cy="819150"/>
            <wp:effectExtent l="0" t="0" r="0" b="0"/>
            <wp:wrapTopAndBottom/>
            <wp:docPr id="389" name="image231.jpeg"/>
            <wp:cNvGraphicFramePr>
              <a:graphicFrameLocks noChangeAspect="1"/>
            </wp:cNvGraphicFramePr>
            <a:graphic>
              <a:graphicData uri="http://schemas.openxmlformats.org/drawingml/2006/picture">
                <pic:pic>
                  <pic:nvPicPr>
                    <pic:cNvPr id="390" name="image231.jpeg"/>
                    <pic:cNvPicPr/>
                  </pic:nvPicPr>
                  <pic:blipFill>
                    <a:blip r:embed="rId280" cstate="print"/>
                    <a:stretch>
                      <a:fillRect/>
                    </a:stretch>
                  </pic:blipFill>
                  <pic:spPr>
                    <a:xfrm>
                      <a:off x="0" y="0"/>
                      <a:ext cx="5257800" cy="819150"/>
                    </a:xfrm>
                    <a:prstGeom prst="rect">
                      <a:avLst/>
                    </a:prstGeom>
                  </pic:spPr>
                </pic:pic>
              </a:graphicData>
            </a:graphic>
          </wp:anchor>
        </w:drawing>
      </w:r>
    </w:p>
    <w:p>
      <w:pPr>
        <w:pStyle w:val="ListParagraph"/>
        <w:numPr>
          <w:ilvl w:val="2"/>
          <w:numId w:val="451"/>
        </w:numPr>
        <w:tabs>
          <w:tab w:pos="1371" w:val="left" w:leader="none"/>
        </w:tabs>
        <w:spacing w:line="240" w:lineRule="auto" w:before="163" w:after="0"/>
        <w:ind w:left="1370" w:right="0" w:hanging="531"/>
        <w:jc w:val="left"/>
        <w:rPr>
          <w:b/>
          <w:sz w:val="21"/>
        </w:rPr>
      </w:pPr>
      <w:r>
        <w:rPr>
          <w:spacing w:val="-3"/>
          <w:sz w:val="21"/>
        </w:rPr>
        <w:t>抗风压性能</w:t>
      </w:r>
      <w:r>
        <w:rPr>
          <w:b/>
          <w:w w:val="99"/>
          <w:sz w:val="21"/>
        </w:rPr>
        <w:t> </w:t>
      </w:r>
    </w:p>
    <w:p>
      <w:pPr>
        <w:pStyle w:val="BodyText"/>
        <w:spacing w:before="12"/>
        <w:rPr>
          <w:b/>
          <w:sz w:val="17"/>
        </w:rPr>
      </w:pPr>
    </w:p>
    <w:p>
      <w:pPr>
        <w:pStyle w:val="BodyText"/>
        <w:spacing w:line="446" w:lineRule="auto"/>
        <w:ind w:left="418" w:right="1707" w:firstLine="419"/>
      </w:pPr>
      <w:r>
        <w:rPr/>
        <w:t>采用定级检测压力差为抗风压性能分级指标。防火窗的抗风压性能不应低于 GB/T 7106- 2002 表 1 规定的 4 级。 </w:t>
      </w:r>
    </w:p>
    <w:p>
      <w:pPr>
        <w:pStyle w:val="ListParagraph"/>
        <w:numPr>
          <w:ilvl w:val="2"/>
          <w:numId w:val="451"/>
        </w:numPr>
        <w:tabs>
          <w:tab w:pos="1424" w:val="left" w:leader="none"/>
        </w:tabs>
        <w:spacing w:line="240" w:lineRule="auto" w:before="1" w:after="0"/>
        <w:ind w:left="1423" w:right="0" w:hanging="584"/>
        <w:jc w:val="left"/>
        <w:rPr>
          <w:b/>
          <w:sz w:val="21"/>
        </w:rPr>
      </w:pPr>
      <w:r>
        <w:rPr>
          <w:spacing w:val="-3"/>
          <w:sz w:val="21"/>
        </w:rPr>
        <w:t>气密性能</w:t>
      </w:r>
      <w:r>
        <w:rPr>
          <w:b/>
          <w:w w:val="99"/>
          <w:sz w:val="21"/>
        </w:rPr>
        <w:t> </w:t>
      </w:r>
    </w:p>
    <w:p>
      <w:pPr>
        <w:pStyle w:val="BodyText"/>
        <w:spacing w:before="12"/>
        <w:rPr>
          <w:b/>
          <w:sz w:val="17"/>
        </w:rPr>
      </w:pPr>
    </w:p>
    <w:p>
      <w:pPr>
        <w:pStyle w:val="BodyText"/>
        <w:spacing w:line="446" w:lineRule="auto"/>
        <w:ind w:left="418" w:right="1497" w:firstLine="419"/>
      </w:pPr>
      <w:r>
        <w:rPr/>
        <w:t>采用单位面积空气渗透量作为气密性能分级指标。防火窗的气密性能不应低于 GB/T 7107- 2002 表 1 规定的 3 级。 </w:t>
      </w:r>
    </w:p>
    <w:p>
      <w:pPr>
        <w:pStyle w:val="ListParagraph"/>
        <w:numPr>
          <w:ilvl w:val="2"/>
          <w:numId w:val="451"/>
        </w:numPr>
        <w:tabs>
          <w:tab w:pos="1370" w:val="left" w:leader="none"/>
        </w:tabs>
        <w:spacing w:line="240" w:lineRule="auto" w:before="0" w:after="0"/>
        <w:ind w:left="1369" w:right="0" w:hanging="530"/>
        <w:jc w:val="left"/>
        <w:rPr>
          <w:b/>
          <w:sz w:val="21"/>
        </w:rPr>
      </w:pPr>
      <w:r>
        <w:rPr>
          <w:spacing w:val="-3"/>
          <w:sz w:val="21"/>
        </w:rPr>
        <w:t>耐火性能</w:t>
      </w:r>
      <w:r>
        <w:rPr>
          <w:b/>
          <w:w w:val="99"/>
          <w:sz w:val="21"/>
        </w:rPr>
        <w:t> </w:t>
      </w:r>
    </w:p>
    <w:p>
      <w:pPr>
        <w:pStyle w:val="BodyText"/>
        <w:spacing w:before="12"/>
        <w:rPr>
          <w:b/>
          <w:sz w:val="17"/>
        </w:rPr>
      </w:pPr>
    </w:p>
    <w:p>
      <w:pPr>
        <w:pStyle w:val="BodyText"/>
        <w:spacing w:line="446" w:lineRule="auto"/>
        <w:ind w:left="840" w:right="6129" w:hanging="3"/>
      </w:pPr>
      <w:r>
        <w:rPr>
          <w:spacing w:val="-7"/>
        </w:rPr>
        <w:t>防火窗的耐火性能应符合表 </w:t>
      </w:r>
      <w:r>
        <w:rPr/>
        <w:t>3</w:t>
      </w:r>
      <w:r>
        <w:rPr>
          <w:spacing w:val="-13"/>
        </w:rPr>
        <w:t> 的规定。</w:t>
      </w:r>
      <w:r>
        <w:rPr>
          <w:b/>
        </w:rPr>
        <w:t>7.2</w:t>
      </w:r>
      <w:r>
        <w:rPr>
          <w:b/>
          <w:spacing w:val="3"/>
        </w:rPr>
        <w:t> </w:t>
      </w:r>
      <w:r>
        <w:rPr>
          <w:spacing w:val="-3"/>
        </w:rPr>
        <w:t>活动式防火窗的附加要求</w:t>
      </w:r>
      <w:r>
        <w:rPr/>
        <w:t> </w:t>
      </w:r>
    </w:p>
    <w:p>
      <w:pPr>
        <w:spacing w:before="1"/>
        <w:ind w:left="840" w:right="0" w:firstLine="0"/>
        <w:jc w:val="left"/>
        <w:rPr>
          <w:b/>
          <w:sz w:val="21"/>
        </w:rPr>
      </w:pPr>
      <w:r>
        <w:rPr>
          <w:b/>
          <w:sz w:val="21"/>
        </w:rPr>
        <w:t>7.2.1 </w:t>
      </w:r>
      <w:r>
        <w:rPr>
          <w:sz w:val="21"/>
        </w:rPr>
        <w:t>热敏感元件的静态动作温度</w:t>
      </w:r>
      <w:r>
        <w:rPr>
          <w:b/>
          <w:w w:val="99"/>
          <w:sz w:val="21"/>
        </w:rPr>
        <w:t> </w:t>
      </w:r>
    </w:p>
    <w:p>
      <w:pPr>
        <w:pStyle w:val="BodyText"/>
        <w:spacing w:before="12"/>
        <w:rPr>
          <w:b/>
          <w:sz w:val="17"/>
        </w:rPr>
      </w:pPr>
    </w:p>
    <w:p>
      <w:pPr>
        <w:pStyle w:val="BodyText"/>
        <w:ind w:left="838"/>
      </w:pPr>
      <w:r>
        <w:rPr/>
        <w:t>活动式防火窗中窗扇启闭控制装置采用的热敏感元件，在（64±0.5）℃的温度下 5.0min</w:t>
      </w:r>
    </w:p>
    <w:p>
      <w:pPr>
        <w:pStyle w:val="BodyText"/>
        <w:spacing w:before="12"/>
        <w:rPr>
          <w:sz w:val="17"/>
        </w:rPr>
      </w:pPr>
    </w:p>
    <w:p>
      <w:pPr>
        <w:pStyle w:val="BodyText"/>
        <w:spacing w:line="446" w:lineRule="auto"/>
        <w:ind w:left="840" w:right="4451" w:hanging="423"/>
        <w:rPr>
          <w:b/>
        </w:rPr>
      </w:pPr>
      <w:r>
        <w:rPr/>
        <w:t>内不应动作，在（74±0.5）℃的温度下 1.0min 内应能动作。</w:t>
      </w:r>
      <w:r>
        <w:rPr>
          <w:b/>
        </w:rPr>
        <w:t>7.2.2 </w:t>
      </w:r>
      <w:r>
        <w:rPr/>
        <w:t>活动窗扇尺寸允许偏差</w:t>
      </w:r>
      <w:r>
        <w:rPr>
          <w:b/>
          <w:w w:val="99"/>
        </w:rPr>
        <w:t> </w:t>
      </w:r>
    </w:p>
    <w:p>
      <w:pPr>
        <w:pStyle w:val="BodyText"/>
        <w:ind w:left="838"/>
      </w:pPr>
      <w:r>
        <w:rPr/>
        <w:t>活动窗扇的尺寸允许偏差按表 5 的规定。 </w:t>
      </w:r>
    </w:p>
    <w:p>
      <w:pPr>
        <w:spacing w:after="0"/>
        <w:sectPr>
          <w:pgSz w:w="11910" w:h="16850"/>
          <w:pgMar w:header="0" w:footer="1159" w:top="1220" w:bottom="1420" w:left="1260" w:right="0"/>
        </w:sectPr>
      </w:pPr>
    </w:p>
    <w:p>
      <w:pPr>
        <w:pStyle w:val="Heading6"/>
        <w:spacing w:before="47"/>
        <w:ind w:left="840"/>
      </w:pPr>
      <w:r>
        <w:rPr>
          <w:w w:val="99"/>
        </w:rPr>
        <w:t>  </w:t>
      </w:r>
      <w:r>
        <w:rPr/>
        <w:t> </w:t>
      </w:r>
      <w:r>
        <w:rPr>
          <w:w w:val="99"/>
        </w:rPr>
        <w:t> </w:t>
      </w:r>
      <w:r>
        <w:rPr/>
        <w:t> </w:t>
      </w:r>
      <w:r>
        <w:rPr>
          <w:w w:val="99"/>
        </w:rPr>
        <w:t> </w:t>
      </w:r>
      <w:r>
        <w:rPr/>
        <w:t> 表 5 活动窗扇尺寸允许偏差 单位为毫米</w:t>
      </w:r>
      <w:r>
        <w:rPr>
          <w:w w:val="99"/>
        </w:rPr>
        <w:t> </w:t>
      </w:r>
      <w:r>
        <w:rPr/>
        <w:t> </w:t>
      </w:r>
      <w:r>
        <w:rPr>
          <w:w w:val="99"/>
        </w:rPr>
        <w:t> </w:t>
      </w:r>
    </w:p>
    <w:p>
      <w:pPr>
        <w:pStyle w:val="BodyText"/>
        <w:spacing w:before="4"/>
        <w:rPr>
          <w:b/>
          <w:sz w:val="8"/>
        </w:rPr>
      </w:pPr>
      <w:r>
        <w:rPr/>
        <w:drawing>
          <wp:anchor distT="0" distB="0" distL="0" distR="0" allowOverlap="1" layoutInCell="1" locked="0" behindDoc="0" simplePos="0" relativeHeight="172">
            <wp:simplePos x="0" y="0"/>
            <wp:positionH relativeFrom="page">
              <wp:posOffset>867410</wp:posOffset>
            </wp:positionH>
            <wp:positionV relativeFrom="paragraph">
              <wp:posOffset>92796</wp:posOffset>
            </wp:positionV>
            <wp:extent cx="5621903" cy="1714500"/>
            <wp:effectExtent l="0" t="0" r="0" b="0"/>
            <wp:wrapTopAndBottom/>
            <wp:docPr id="391" name="image232.jpeg"/>
            <wp:cNvGraphicFramePr>
              <a:graphicFrameLocks noChangeAspect="1"/>
            </wp:cNvGraphicFramePr>
            <a:graphic>
              <a:graphicData uri="http://schemas.openxmlformats.org/drawingml/2006/picture">
                <pic:pic>
                  <pic:nvPicPr>
                    <pic:cNvPr id="392" name="image232.jpeg"/>
                    <pic:cNvPicPr/>
                  </pic:nvPicPr>
                  <pic:blipFill>
                    <a:blip r:embed="rId281" cstate="print"/>
                    <a:stretch>
                      <a:fillRect/>
                    </a:stretch>
                  </pic:blipFill>
                  <pic:spPr>
                    <a:xfrm>
                      <a:off x="0" y="0"/>
                      <a:ext cx="5621903" cy="1714500"/>
                    </a:xfrm>
                    <a:prstGeom prst="rect">
                      <a:avLst/>
                    </a:prstGeom>
                  </pic:spPr>
                </pic:pic>
              </a:graphicData>
            </a:graphic>
          </wp:anchor>
        </w:drawing>
      </w:r>
    </w:p>
    <w:p>
      <w:pPr>
        <w:pStyle w:val="ListParagraph"/>
        <w:numPr>
          <w:ilvl w:val="2"/>
          <w:numId w:val="452"/>
        </w:numPr>
        <w:tabs>
          <w:tab w:pos="1371" w:val="left" w:leader="none"/>
        </w:tabs>
        <w:spacing w:line="240" w:lineRule="auto" w:before="157" w:after="0"/>
        <w:ind w:left="1370" w:right="0" w:hanging="531"/>
        <w:jc w:val="left"/>
        <w:rPr>
          <w:b/>
          <w:sz w:val="21"/>
        </w:rPr>
      </w:pPr>
      <w:r>
        <w:rPr>
          <w:spacing w:val="-3"/>
          <w:sz w:val="21"/>
        </w:rPr>
        <w:t>窗扇关闭可靠性</w:t>
      </w:r>
      <w:r>
        <w:rPr>
          <w:b/>
          <w:w w:val="99"/>
          <w:sz w:val="21"/>
        </w:rPr>
        <w:t> </w:t>
      </w:r>
    </w:p>
    <w:p>
      <w:pPr>
        <w:pStyle w:val="BodyText"/>
        <w:spacing w:before="2"/>
        <w:rPr>
          <w:b/>
          <w:sz w:val="18"/>
        </w:rPr>
      </w:pPr>
    </w:p>
    <w:p>
      <w:pPr>
        <w:pStyle w:val="BodyText"/>
        <w:spacing w:line="446" w:lineRule="auto"/>
        <w:ind w:left="418" w:right="1609" w:firstLine="419"/>
      </w:pPr>
      <w:r>
        <w:rPr>
          <w:spacing w:val="-5"/>
        </w:rPr>
        <w:t>手动控制窗扇启闭控制装置，在进行 </w:t>
      </w:r>
      <w:r>
        <w:rPr/>
        <w:t>100</w:t>
      </w:r>
      <w:r>
        <w:rPr>
          <w:spacing w:val="-7"/>
        </w:rPr>
        <w:t> 次的开启／关闭运行试验中，活动窗扇应能灵活</w:t>
      </w:r>
      <w:r>
        <w:rPr>
          <w:spacing w:val="-5"/>
        </w:rPr>
        <w:t>开启，并完全关闭，无启闭卡阻现象，各零部件无脱落和损坏现象。</w:t>
      </w:r>
      <w:r>
        <w:rPr/>
        <w:t> </w:t>
      </w:r>
    </w:p>
    <w:p>
      <w:pPr>
        <w:pStyle w:val="ListParagraph"/>
        <w:numPr>
          <w:ilvl w:val="2"/>
          <w:numId w:val="452"/>
        </w:numPr>
        <w:tabs>
          <w:tab w:pos="1370" w:val="left" w:leader="none"/>
        </w:tabs>
        <w:spacing w:line="267" w:lineRule="exact" w:before="0" w:after="0"/>
        <w:ind w:left="1369" w:right="0" w:hanging="530"/>
        <w:jc w:val="left"/>
        <w:rPr>
          <w:b/>
          <w:sz w:val="21"/>
        </w:rPr>
      </w:pPr>
      <w:r>
        <w:rPr>
          <w:spacing w:val="-3"/>
          <w:sz w:val="21"/>
        </w:rPr>
        <w:t>窗扇自动关闭时间</w:t>
      </w:r>
      <w:r>
        <w:rPr>
          <w:b/>
          <w:w w:val="99"/>
          <w:sz w:val="21"/>
        </w:rPr>
        <w:t> </w:t>
      </w:r>
    </w:p>
    <w:p>
      <w:pPr>
        <w:pStyle w:val="BodyText"/>
        <w:spacing w:before="2"/>
        <w:rPr>
          <w:b/>
          <w:sz w:val="18"/>
        </w:rPr>
      </w:pPr>
    </w:p>
    <w:p>
      <w:pPr>
        <w:pStyle w:val="BodyText"/>
        <w:ind w:left="838"/>
      </w:pPr>
      <w:r>
        <w:rPr/>
        <w:t>活动式防火窗的窗扇自动关闭时间不应大于 60s。 </w:t>
      </w:r>
    </w:p>
    <w:p>
      <w:pPr>
        <w:pStyle w:val="BodyText"/>
        <w:spacing w:before="8"/>
        <w:rPr>
          <w:sz w:val="15"/>
        </w:rPr>
      </w:pPr>
    </w:p>
    <w:p>
      <w:pPr>
        <w:pStyle w:val="Heading4"/>
      </w:pPr>
      <w:r>
        <w:rPr/>
        <w:t>8 试验方法</w:t>
      </w:r>
      <w:r>
        <w:rPr>
          <w:w w:val="99"/>
        </w:rPr>
        <w:t> </w:t>
      </w:r>
    </w:p>
    <w:p>
      <w:pPr>
        <w:pStyle w:val="BodyText"/>
        <w:spacing w:before="4"/>
        <w:rPr>
          <w:b/>
          <w:sz w:val="17"/>
        </w:rPr>
      </w:pPr>
    </w:p>
    <w:p>
      <w:pPr>
        <w:pStyle w:val="ListParagraph"/>
        <w:numPr>
          <w:ilvl w:val="1"/>
          <w:numId w:val="453"/>
        </w:numPr>
        <w:tabs>
          <w:tab w:pos="1159" w:val="left" w:leader="none"/>
        </w:tabs>
        <w:spacing w:line="240" w:lineRule="auto" w:before="0" w:after="0"/>
        <w:ind w:left="1158" w:right="0" w:hanging="319"/>
        <w:jc w:val="left"/>
        <w:rPr>
          <w:sz w:val="21"/>
        </w:rPr>
      </w:pPr>
      <w:r>
        <w:rPr>
          <w:spacing w:val="-3"/>
          <w:sz w:val="21"/>
        </w:rPr>
        <w:t>一般原则</w:t>
      </w:r>
      <w:r>
        <w:rPr>
          <w:sz w:val="21"/>
        </w:rPr>
        <w:t> </w:t>
      </w:r>
    </w:p>
    <w:p>
      <w:pPr>
        <w:pStyle w:val="BodyText"/>
        <w:spacing w:before="2"/>
        <w:rPr>
          <w:sz w:val="18"/>
        </w:rPr>
      </w:pPr>
    </w:p>
    <w:p>
      <w:pPr>
        <w:pStyle w:val="BodyText"/>
        <w:spacing w:line="446" w:lineRule="auto"/>
        <w:ind w:left="418" w:right="1817" w:firstLine="419"/>
      </w:pPr>
      <w:r>
        <w:rPr/>
        <w:t>用于检验的防火窗试件，其结构、材料及配件应与实际使用的同一型号、规格的产品相符。 </w:t>
      </w:r>
    </w:p>
    <w:p>
      <w:pPr>
        <w:pStyle w:val="ListParagraph"/>
        <w:numPr>
          <w:ilvl w:val="1"/>
          <w:numId w:val="453"/>
        </w:numPr>
        <w:tabs>
          <w:tab w:pos="1160" w:val="left" w:leader="none"/>
        </w:tabs>
        <w:spacing w:line="267" w:lineRule="exact" w:before="0" w:after="0"/>
        <w:ind w:left="1159" w:right="0" w:hanging="320"/>
        <w:jc w:val="left"/>
        <w:rPr>
          <w:b/>
          <w:sz w:val="21"/>
        </w:rPr>
      </w:pPr>
      <w:r>
        <w:rPr>
          <w:spacing w:val="-3"/>
          <w:sz w:val="21"/>
        </w:rPr>
        <w:t>外观质量</w:t>
      </w:r>
      <w:r>
        <w:rPr>
          <w:b/>
          <w:w w:val="99"/>
          <w:sz w:val="21"/>
        </w:rPr>
        <w:t> </w:t>
      </w:r>
    </w:p>
    <w:p>
      <w:pPr>
        <w:pStyle w:val="BodyText"/>
        <w:spacing w:before="2"/>
        <w:rPr>
          <w:b/>
          <w:sz w:val="18"/>
        </w:rPr>
      </w:pPr>
    </w:p>
    <w:p>
      <w:pPr>
        <w:pStyle w:val="BodyText"/>
        <w:spacing w:line="446" w:lineRule="auto"/>
        <w:ind w:left="840" w:right="4237" w:hanging="3"/>
      </w:pPr>
      <w:r>
        <w:rPr/>
        <w:t>防火窗的外观质量采用目测及手试相结合的方法进行检验。</w:t>
      </w:r>
      <w:r>
        <w:rPr>
          <w:b/>
        </w:rPr>
        <w:t>8.3 </w:t>
      </w:r>
      <w:r>
        <w:rPr/>
        <w:t>防火玻璃 </w:t>
      </w:r>
    </w:p>
    <w:p>
      <w:pPr>
        <w:pStyle w:val="ListParagraph"/>
        <w:numPr>
          <w:ilvl w:val="2"/>
          <w:numId w:val="454"/>
        </w:numPr>
        <w:tabs>
          <w:tab w:pos="1371" w:val="left" w:leader="none"/>
        </w:tabs>
        <w:spacing w:line="267" w:lineRule="exact" w:before="0" w:after="0"/>
        <w:ind w:left="1370" w:right="0" w:hanging="531"/>
        <w:jc w:val="left"/>
        <w:rPr>
          <w:sz w:val="21"/>
        </w:rPr>
      </w:pPr>
      <w:r>
        <w:rPr>
          <w:spacing w:val="-28"/>
          <w:sz w:val="21"/>
        </w:rPr>
        <w:t>按 </w:t>
      </w:r>
      <w:r>
        <w:rPr>
          <w:sz w:val="21"/>
        </w:rPr>
        <w:t>GB</w:t>
      </w:r>
      <w:r>
        <w:rPr>
          <w:spacing w:val="1"/>
          <w:sz w:val="21"/>
        </w:rPr>
        <w:t> </w:t>
      </w:r>
      <w:r>
        <w:rPr>
          <w:sz w:val="21"/>
        </w:rPr>
        <w:t>15763.1-2001</w:t>
      </w:r>
      <w:r>
        <w:rPr>
          <w:spacing w:val="-36"/>
          <w:sz w:val="21"/>
        </w:rPr>
        <w:t> 中 </w:t>
      </w:r>
      <w:r>
        <w:rPr>
          <w:sz w:val="21"/>
        </w:rPr>
        <w:t>6.2</w:t>
      </w:r>
      <w:r>
        <w:rPr>
          <w:spacing w:val="-9"/>
          <w:sz w:val="21"/>
        </w:rPr>
        <w:t> 的规定检验每一块防火玻璃的外观质量。</w:t>
      </w:r>
      <w:r>
        <w:rPr>
          <w:sz w:val="21"/>
        </w:rPr>
        <w:t> </w:t>
      </w:r>
    </w:p>
    <w:p>
      <w:pPr>
        <w:pStyle w:val="BodyText"/>
        <w:spacing w:before="2"/>
        <w:rPr>
          <w:sz w:val="18"/>
        </w:rPr>
      </w:pPr>
    </w:p>
    <w:p>
      <w:pPr>
        <w:pStyle w:val="ListParagraph"/>
        <w:numPr>
          <w:ilvl w:val="2"/>
          <w:numId w:val="454"/>
        </w:numPr>
        <w:tabs>
          <w:tab w:pos="1370" w:val="left" w:leader="none"/>
        </w:tabs>
        <w:spacing w:line="446" w:lineRule="auto" w:before="1" w:after="0"/>
        <w:ind w:left="418" w:right="1606" w:firstLine="422"/>
        <w:jc w:val="both"/>
        <w:rPr>
          <w:sz w:val="21"/>
        </w:rPr>
      </w:pPr>
      <w:r>
        <w:rPr>
          <w:spacing w:val="-6"/>
          <w:sz w:val="21"/>
        </w:rPr>
        <w:t>选防火窗上任意一块防火玻璃作为试样，按 </w:t>
      </w:r>
      <w:r>
        <w:rPr>
          <w:sz w:val="21"/>
        </w:rPr>
        <w:t>GB</w:t>
      </w:r>
      <w:r>
        <w:rPr>
          <w:spacing w:val="9"/>
          <w:sz w:val="21"/>
        </w:rPr>
        <w:t> </w:t>
      </w:r>
      <w:r>
        <w:rPr>
          <w:sz w:val="21"/>
        </w:rPr>
        <w:t>15763.1-2001</w:t>
      </w:r>
      <w:r>
        <w:rPr>
          <w:spacing w:val="-34"/>
          <w:sz w:val="21"/>
        </w:rPr>
        <w:t> 中 </w:t>
      </w:r>
      <w:r>
        <w:rPr>
          <w:sz w:val="21"/>
        </w:rPr>
        <w:t>6.1</w:t>
      </w:r>
      <w:r>
        <w:rPr>
          <w:spacing w:val="-10"/>
          <w:sz w:val="21"/>
        </w:rPr>
        <w:t> 的规定检验该</w:t>
      </w:r>
      <w:r>
        <w:rPr>
          <w:spacing w:val="-5"/>
          <w:sz w:val="21"/>
        </w:rPr>
        <w:t>块防火玻璃厚度值，与图纸标注或图纸技术要求规定的防火玻璃厚度值相减，差值为其厚度偏</w:t>
      </w:r>
      <w:r>
        <w:rPr>
          <w:spacing w:val="-4"/>
          <w:sz w:val="21"/>
        </w:rPr>
        <w:t>差。</w:t>
      </w:r>
      <w:r>
        <w:rPr>
          <w:sz w:val="21"/>
        </w:rPr>
        <w:t> </w:t>
      </w:r>
    </w:p>
    <w:p>
      <w:pPr>
        <w:spacing w:line="268" w:lineRule="exact" w:before="0"/>
        <w:ind w:left="840" w:right="0" w:firstLine="0"/>
        <w:jc w:val="left"/>
        <w:rPr>
          <w:b/>
          <w:sz w:val="21"/>
        </w:rPr>
      </w:pPr>
      <w:r>
        <w:rPr>
          <w:b/>
          <w:sz w:val="21"/>
        </w:rPr>
        <w:t>8.4 </w:t>
      </w:r>
      <w:r>
        <w:rPr>
          <w:sz w:val="21"/>
        </w:rPr>
        <w:t>热敏感元件的静态动作温度</w:t>
      </w:r>
      <w:r>
        <w:rPr>
          <w:b/>
          <w:w w:val="99"/>
          <w:sz w:val="21"/>
        </w:rPr>
        <w:t> </w:t>
      </w:r>
    </w:p>
    <w:p>
      <w:pPr>
        <w:pStyle w:val="BodyText"/>
        <w:spacing w:before="12"/>
        <w:rPr>
          <w:b/>
          <w:sz w:val="17"/>
        </w:rPr>
      </w:pPr>
    </w:p>
    <w:p>
      <w:pPr>
        <w:pStyle w:val="BodyText"/>
        <w:spacing w:line="446" w:lineRule="auto"/>
        <w:ind w:left="840" w:right="5761" w:hanging="3"/>
      </w:pPr>
      <w:r>
        <w:rPr/>
        <w:t>热敏感元件的静态动作温度试验见附录 B。</w:t>
      </w:r>
      <w:r>
        <w:rPr>
          <w:b/>
        </w:rPr>
        <w:t>8.5 </w:t>
      </w:r>
      <w:r>
        <w:rPr/>
        <w:t>防火窗的尺寸偏差 </w:t>
      </w:r>
    </w:p>
    <w:p>
      <w:pPr>
        <w:pStyle w:val="ListParagraph"/>
        <w:numPr>
          <w:ilvl w:val="2"/>
          <w:numId w:val="455"/>
        </w:numPr>
        <w:tabs>
          <w:tab w:pos="1371" w:val="left" w:leader="none"/>
        </w:tabs>
        <w:spacing w:line="240" w:lineRule="auto" w:before="0" w:after="0"/>
        <w:ind w:left="1370" w:right="0" w:hanging="531"/>
        <w:jc w:val="left"/>
        <w:rPr>
          <w:b/>
          <w:sz w:val="21"/>
        </w:rPr>
      </w:pPr>
      <w:r>
        <w:rPr>
          <w:spacing w:val="-3"/>
          <w:sz w:val="21"/>
        </w:rPr>
        <w:t>试验设备</w:t>
      </w:r>
      <w:r>
        <w:rPr>
          <w:b/>
          <w:w w:val="99"/>
          <w:sz w:val="21"/>
        </w:rPr>
        <w:t> </w:t>
      </w:r>
    </w:p>
    <w:p>
      <w:pPr>
        <w:pStyle w:val="BodyText"/>
        <w:spacing w:before="12"/>
        <w:rPr>
          <w:b/>
          <w:sz w:val="17"/>
        </w:rPr>
      </w:pPr>
    </w:p>
    <w:p>
      <w:pPr>
        <w:pStyle w:val="BodyText"/>
        <w:ind w:left="838"/>
      </w:pPr>
      <w:r>
        <w:rPr/>
        <w:t>钢卷尺：分度值为 1mm；游标卡尺：分度值为 0.02mm。 </w:t>
      </w:r>
    </w:p>
    <w:p>
      <w:pPr>
        <w:spacing w:after="0"/>
        <w:sectPr>
          <w:pgSz w:w="11910" w:h="16850"/>
          <w:pgMar w:header="0" w:footer="1159" w:top="1220" w:bottom="1420" w:left="1260" w:right="0"/>
        </w:sectPr>
      </w:pPr>
    </w:p>
    <w:p>
      <w:pPr>
        <w:pStyle w:val="ListParagraph"/>
        <w:numPr>
          <w:ilvl w:val="2"/>
          <w:numId w:val="455"/>
        </w:numPr>
        <w:tabs>
          <w:tab w:pos="1370" w:val="left" w:leader="none"/>
        </w:tabs>
        <w:spacing w:line="240" w:lineRule="auto" w:before="47" w:after="0"/>
        <w:ind w:left="1369" w:right="0" w:hanging="530"/>
        <w:jc w:val="left"/>
        <w:rPr>
          <w:b/>
          <w:sz w:val="21"/>
        </w:rPr>
      </w:pPr>
      <w:r>
        <w:rPr>
          <w:spacing w:val="-3"/>
          <w:sz w:val="21"/>
        </w:rPr>
        <w:t>试验步骤</w:t>
      </w:r>
      <w:r>
        <w:rPr>
          <w:b/>
          <w:w w:val="99"/>
          <w:sz w:val="21"/>
        </w:rPr>
        <w:t> </w:t>
      </w:r>
    </w:p>
    <w:p>
      <w:pPr>
        <w:pStyle w:val="BodyText"/>
        <w:rPr>
          <w:b/>
          <w:sz w:val="18"/>
        </w:rPr>
      </w:pPr>
    </w:p>
    <w:p>
      <w:pPr>
        <w:pStyle w:val="ListParagraph"/>
        <w:numPr>
          <w:ilvl w:val="3"/>
          <w:numId w:val="455"/>
        </w:numPr>
        <w:tabs>
          <w:tab w:pos="1576" w:val="left" w:leader="none"/>
        </w:tabs>
        <w:spacing w:line="240" w:lineRule="auto" w:before="0" w:after="0"/>
        <w:ind w:left="1575" w:right="0" w:hanging="738"/>
        <w:jc w:val="both"/>
        <w:rPr>
          <w:sz w:val="21"/>
        </w:rPr>
      </w:pPr>
      <w:r>
        <w:rPr>
          <w:spacing w:val="-5"/>
          <w:sz w:val="21"/>
        </w:rPr>
        <w:t>防火窗窗框高度采用钢卷尺测量，测量位置为距防火窗两边框各不少于 </w:t>
      </w:r>
      <w:r>
        <w:rPr>
          <w:sz w:val="21"/>
        </w:rPr>
        <w:t>100mm</w:t>
      </w:r>
      <w:r>
        <w:rPr>
          <w:spacing w:val="-27"/>
          <w:sz w:val="21"/>
        </w:rPr>
        <w:t> 处</w:t>
      </w:r>
    </w:p>
    <w:p>
      <w:pPr>
        <w:pStyle w:val="BodyText"/>
        <w:rPr>
          <w:sz w:val="18"/>
        </w:rPr>
      </w:pPr>
    </w:p>
    <w:p>
      <w:pPr>
        <w:pStyle w:val="BodyText"/>
        <w:spacing w:line="446" w:lineRule="auto"/>
        <w:ind w:left="418" w:right="1450"/>
        <w:jc w:val="both"/>
      </w:pPr>
      <w:r>
        <w:rPr/>
        <w:t>（</w:t>
      </w:r>
      <w:r>
        <w:rPr>
          <w:spacing w:val="-17"/>
        </w:rPr>
        <w:t>如图 </w:t>
      </w:r>
      <w:r>
        <w:rPr/>
        <w:t>2</w:t>
      </w:r>
      <w:r>
        <w:rPr>
          <w:spacing w:val="-31"/>
        </w:rPr>
        <w:t> 的 </w:t>
      </w:r>
      <w:r>
        <w:rPr/>
        <w:t>A-A</w:t>
      </w:r>
      <w:r>
        <w:rPr>
          <w:spacing w:val="-20"/>
        </w:rPr>
        <w:t> 位置和 </w:t>
      </w:r>
      <w:r>
        <w:rPr/>
        <w:t>A′-A</w:t>
      </w:r>
      <w:r>
        <w:rPr>
          <w:spacing w:val="-1"/>
        </w:rPr>
        <w:t>′位置</w:t>
      </w:r>
      <w:r>
        <w:rPr/>
        <w:t>）</w:t>
      </w:r>
      <w:r>
        <w:rPr>
          <w:spacing w:val="-3"/>
        </w:rPr>
        <w:t>，测量的高度值分别与图纸标注的防火窗高度值相减，取绝对值最大的差值为防火窗窗框高度偏差值。</w:t>
      </w:r>
      <w:r>
        <w:rPr/>
        <w:t> </w:t>
      </w:r>
    </w:p>
    <w:p>
      <w:pPr>
        <w:pStyle w:val="ListParagraph"/>
        <w:numPr>
          <w:ilvl w:val="3"/>
          <w:numId w:val="455"/>
        </w:numPr>
        <w:tabs>
          <w:tab w:pos="1576" w:val="left" w:leader="none"/>
        </w:tabs>
        <w:spacing w:line="240" w:lineRule="auto" w:before="0" w:after="0"/>
        <w:ind w:left="1575" w:right="0" w:hanging="738"/>
        <w:jc w:val="both"/>
        <w:rPr>
          <w:sz w:val="21"/>
        </w:rPr>
      </w:pPr>
      <w:r>
        <w:rPr>
          <w:spacing w:val="-5"/>
          <w:sz w:val="21"/>
        </w:rPr>
        <w:t>防火窗宽度采用钢卷尺测量，测量位置为距防火窗上框、下框各不少于 </w:t>
      </w:r>
      <w:r>
        <w:rPr>
          <w:sz w:val="21"/>
        </w:rPr>
        <w:t>100mm</w:t>
      </w:r>
      <w:r>
        <w:rPr>
          <w:spacing w:val="-27"/>
          <w:sz w:val="21"/>
        </w:rPr>
        <w:t> 处</w:t>
      </w:r>
    </w:p>
    <w:p>
      <w:pPr>
        <w:pStyle w:val="BodyText"/>
        <w:spacing w:before="12"/>
        <w:rPr>
          <w:sz w:val="17"/>
        </w:rPr>
      </w:pPr>
    </w:p>
    <w:p>
      <w:pPr>
        <w:pStyle w:val="BodyText"/>
        <w:spacing w:line="446" w:lineRule="auto"/>
        <w:ind w:left="418" w:right="1450"/>
        <w:jc w:val="both"/>
      </w:pPr>
      <w:r>
        <w:rPr/>
        <w:t>（</w:t>
      </w:r>
      <w:r>
        <w:rPr>
          <w:spacing w:val="-17"/>
        </w:rPr>
        <w:t>如图 </w:t>
      </w:r>
      <w:r>
        <w:rPr/>
        <w:t>2</w:t>
      </w:r>
      <w:r>
        <w:rPr>
          <w:spacing w:val="-31"/>
        </w:rPr>
        <w:t> 的 </w:t>
      </w:r>
      <w:r>
        <w:rPr/>
        <w:t>B-B</w:t>
      </w:r>
      <w:r>
        <w:rPr>
          <w:spacing w:val="-20"/>
        </w:rPr>
        <w:t> 位置和 </w:t>
      </w:r>
      <w:r>
        <w:rPr/>
        <w:t>B′-B</w:t>
      </w:r>
      <w:r>
        <w:rPr>
          <w:spacing w:val="-1"/>
        </w:rPr>
        <w:t>′位置</w:t>
      </w:r>
      <w:r>
        <w:rPr/>
        <w:t>）</w:t>
      </w:r>
      <w:r>
        <w:rPr>
          <w:spacing w:val="-3"/>
        </w:rPr>
        <w:t>，测量的宽度值分别与图纸标注的防火窗宽度值相减，取绝对值最大的差值为防火窗窗框宽度偏差值。</w:t>
      </w:r>
      <w:r>
        <w:rPr/>
        <w:t> </w:t>
      </w:r>
    </w:p>
    <w:p>
      <w:pPr>
        <w:pStyle w:val="ListParagraph"/>
        <w:numPr>
          <w:ilvl w:val="3"/>
          <w:numId w:val="455"/>
        </w:numPr>
        <w:tabs>
          <w:tab w:pos="1576" w:val="left" w:leader="none"/>
        </w:tabs>
        <w:spacing w:line="446" w:lineRule="auto" w:before="0" w:after="0"/>
        <w:ind w:left="418" w:right="1609" w:firstLine="419"/>
        <w:jc w:val="both"/>
        <w:rPr>
          <w:sz w:val="21"/>
        </w:rPr>
      </w:pPr>
      <w:r>
        <w:rPr>
          <w:spacing w:val="-3"/>
          <w:sz w:val="21"/>
        </w:rPr>
        <w:t>防火窗窗框厚度采用游标卡尺测量，测量位置为防火窗两边框、上框、下框的中部（</w:t>
      </w:r>
      <w:r>
        <w:rPr>
          <w:spacing w:val="-13"/>
          <w:sz w:val="21"/>
        </w:rPr>
        <w:t>如图 </w:t>
      </w:r>
      <w:r>
        <w:rPr>
          <w:sz w:val="21"/>
        </w:rPr>
        <w:t>2</w:t>
      </w:r>
      <w:r>
        <w:rPr>
          <w:spacing w:val="-8"/>
          <w:sz w:val="21"/>
        </w:rPr>
        <w:t> 中的圆圈位置</w:t>
      </w:r>
      <w:r>
        <w:rPr>
          <w:sz w:val="21"/>
        </w:rPr>
        <w:t>），</w:t>
      </w:r>
      <w:r>
        <w:rPr>
          <w:spacing w:val="-3"/>
          <w:sz w:val="21"/>
        </w:rPr>
        <w:t>测量的厚度值分别与图纸标注的窗框厚度值相减，取绝对值最大的差值为窗框厚度偏差值。 </w:t>
      </w:r>
    </w:p>
    <w:p>
      <w:pPr>
        <w:pStyle w:val="ListParagraph"/>
        <w:numPr>
          <w:ilvl w:val="3"/>
          <w:numId w:val="455"/>
        </w:numPr>
        <w:tabs>
          <w:tab w:pos="1576" w:val="left" w:leader="none"/>
        </w:tabs>
        <w:spacing w:line="446" w:lineRule="auto" w:before="0" w:after="0"/>
        <w:ind w:left="418" w:right="1609" w:firstLine="419"/>
        <w:jc w:val="left"/>
        <w:rPr>
          <w:sz w:val="21"/>
        </w:rPr>
      </w:pPr>
      <w:r>
        <w:rPr>
          <w:spacing w:val="-3"/>
          <w:sz w:val="21"/>
        </w:rPr>
        <w:t>防火窗的两对角线长度采用钢卷尺测量，测量位置为窗框内角，测量值之差的绝对值，即为防火窗对角线长度差。</w:t>
      </w:r>
      <w:r>
        <w:rPr>
          <w:sz w:val="21"/>
        </w:rPr>
        <w:t> </w:t>
      </w:r>
    </w:p>
    <w:p>
      <w:pPr>
        <w:pStyle w:val="BodyText"/>
        <w:rPr>
          <w:sz w:val="14"/>
        </w:rPr>
      </w:pPr>
      <w:r>
        <w:rPr/>
        <w:drawing>
          <wp:anchor distT="0" distB="0" distL="0" distR="0" allowOverlap="1" layoutInCell="1" locked="0" behindDoc="0" simplePos="0" relativeHeight="173">
            <wp:simplePos x="0" y="0"/>
            <wp:positionH relativeFrom="page">
              <wp:posOffset>1208405</wp:posOffset>
            </wp:positionH>
            <wp:positionV relativeFrom="paragraph">
              <wp:posOffset>138965</wp:posOffset>
            </wp:positionV>
            <wp:extent cx="4640384" cy="4572000"/>
            <wp:effectExtent l="0" t="0" r="0" b="0"/>
            <wp:wrapTopAndBottom/>
            <wp:docPr id="393" name="image233.jpeg"/>
            <wp:cNvGraphicFramePr>
              <a:graphicFrameLocks noChangeAspect="1"/>
            </wp:cNvGraphicFramePr>
            <a:graphic>
              <a:graphicData uri="http://schemas.openxmlformats.org/drawingml/2006/picture">
                <pic:pic>
                  <pic:nvPicPr>
                    <pic:cNvPr id="394" name="image233.jpeg"/>
                    <pic:cNvPicPr/>
                  </pic:nvPicPr>
                  <pic:blipFill>
                    <a:blip r:embed="rId282" cstate="print"/>
                    <a:stretch>
                      <a:fillRect/>
                    </a:stretch>
                  </pic:blipFill>
                  <pic:spPr>
                    <a:xfrm>
                      <a:off x="0" y="0"/>
                      <a:ext cx="4640384" cy="4572000"/>
                    </a:xfrm>
                    <a:prstGeom prst="rect">
                      <a:avLst/>
                    </a:prstGeom>
                  </pic:spPr>
                </pic:pic>
              </a:graphicData>
            </a:graphic>
          </wp:anchor>
        </w:drawing>
      </w:r>
    </w:p>
    <w:p>
      <w:pPr>
        <w:pStyle w:val="BodyText"/>
        <w:spacing w:before="5"/>
        <w:rPr>
          <w:sz w:val="17"/>
        </w:rPr>
      </w:pPr>
    </w:p>
    <w:p>
      <w:pPr>
        <w:pStyle w:val="Heading6"/>
        <w:ind w:left="3099"/>
        <w:rPr>
          <w:b w:val="0"/>
        </w:rPr>
      </w:pPr>
      <w:r>
        <w:rPr>
          <w:w w:val="99"/>
        </w:rPr>
        <w:t> </w:t>
      </w:r>
      <w:r>
        <w:rPr/>
        <w:t> 图 2 防火窗外形尺寸测量位置示意图</w:t>
      </w:r>
      <w:r>
        <w:rPr>
          <w:b w:val="0"/>
          <w:w w:val="100"/>
        </w:rPr>
        <w:t> </w:t>
      </w:r>
      <w:r>
        <w:rPr>
          <w:b w:val="0"/>
        </w:rPr>
        <w:t> </w:t>
      </w:r>
      <w:r>
        <w:rPr>
          <w:b w:val="0"/>
          <w:w w:val="100"/>
        </w:rPr>
        <w:t> </w:t>
      </w:r>
    </w:p>
    <w:p>
      <w:pPr>
        <w:spacing w:after="0"/>
        <w:sectPr>
          <w:pgSz w:w="11910" w:h="16850"/>
          <w:pgMar w:header="0" w:footer="1159" w:top="1220" w:bottom="1420" w:left="1260" w:right="0"/>
        </w:sectPr>
      </w:pPr>
    </w:p>
    <w:p>
      <w:pPr>
        <w:pStyle w:val="BodyText"/>
        <w:spacing w:line="434" w:lineRule="auto" w:before="57"/>
        <w:ind w:left="838" w:right="7285"/>
      </w:pPr>
      <w:r>
        <w:rPr/>
        <w:t>图中：</w:t>
      </w:r>
      <w:r>
        <w:rPr>
          <w:i/>
          <w:sz w:val="22"/>
        </w:rPr>
        <w:t>H</w:t>
      </w:r>
      <w:r>
        <w:rPr>
          <w:spacing w:val="-3"/>
        </w:rPr>
        <w:t>——防火窗高度； </w:t>
      </w:r>
      <w:r>
        <w:rPr>
          <w:i/>
          <w:sz w:val="22"/>
        </w:rPr>
        <w:t>W</w:t>
      </w:r>
      <w:r>
        <w:rPr>
          <w:spacing w:val="-2"/>
        </w:rPr>
        <w:t>——防火窗宽度；   O—</w:t>
      </w:r>
      <w:r>
        <w:rPr>
          <w:spacing w:val="-3"/>
        </w:rPr>
        <w:t>—窗框厚度测量位置。</w:t>
      </w:r>
      <w:r>
        <w:rPr>
          <w:b/>
        </w:rPr>
        <w:t>8.6</w:t>
      </w:r>
      <w:r>
        <w:rPr>
          <w:b/>
          <w:spacing w:val="5"/>
        </w:rPr>
        <w:t> </w:t>
      </w:r>
      <w:r>
        <w:rPr>
          <w:spacing w:val="-3"/>
        </w:rPr>
        <w:t>活动窗扇的尺寸偏差</w:t>
      </w:r>
      <w:r>
        <w:rPr/>
        <w:t> </w:t>
      </w:r>
    </w:p>
    <w:p>
      <w:pPr>
        <w:spacing w:before="16"/>
        <w:ind w:left="840" w:right="0" w:firstLine="0"/>
        <w:jc w:val="left"/>
        <w:rPr>
          <w:b/>
          <w:sz w:val="21"/>
        </w:rPr>
      </w:pPr>
      <w:r>
        <w:rPr>
          <w:b/>
          <w:sz w:val="21"/>
        </w:rPr>
        <w:t>8.6.1</w:t>
      </w:r>
      <w:r>
        <w:rPr>
          <w:b/>
          <w:spacing w:val="5"/>
          <w:sz w:val="21"/>
        </w:rPr>
        <w:t> </w:t>
      </w:r>
      <w:r>
        <w:rPr>
          <w:spacing w:val="-3"/>
          <w:sz w:val="21"/>
        </w:rPr>
        <w:t>试验设备</w:t>
      </w:r>
      <w:r>
        <w:rPr>
          <w:b/>
          <w:w w:val="99"/>
          <w:sz w:val="21"/>
        </w:rPr>
        <w:t> </w:t>
      </w:r>
    </w:p>
    <w:p>
      <w:pPr>
        <w:pStyle w:val="BodyText"/>
        <w:spacing w:before="12"/>
        <w:rPr>
          <w:b/>
          <w:sz w:val="17"/>
        </w:rPr>
      </w:pPr>
    </w:p>
    <w:p>
      <w:pPr>
        <w:pStyle w:val="BodyText"/>
        <w:spacing w:line="446" w:lineRule="auto"/>
        <w:ind w:left="840" w:right="4659" w:hanging="3"/>
        <w:rPr>
          <w:b/>
        </w:rPr>
      </w:pPr>
      <w:r>
        <w:rPr>
          <w:spacing w:val="-9"/>
        </w:rPr>
        <w:t>钢卷尺：分度值为 </w:t>
      </w:r>
      <w:r>
        <w:rPr/>
        <w:t>1mm</w:t>
      </w:r>
      <w:r>
        <w:rPr>
          <w:spacing w:val="-8"/>
        </w:rPr>
        <w:t>；游标卡尺：分度值为 </w:t>
      </w:r>
      <w:r>
        <w:rPr/>
        <w:t>0.02mm</w:t>
      </w:r>
      <w:r>
        <w:rPr>
          <w:spacing w:val="-3"/>
        </w:rPr>
        <w:t>。</w:t>
      </w:r>
      <w:r>
        <w:rPr>
          <w:b/>
        </w:rPr>
        <w:t>8.6.2</w:t>
      </w:r>
      <w:r>
        <w:rPr>
          <w:b/>
          <w:spacing w:val="-1"/>
        </w:rPr>
        <w:t> </w:t>
      </w:r>
      <w:r>
        <w:rPr>
          <w:spacing w:val="-3"/>
        </w:rPr>
        <w:t>试验步骤</w:t>
      </w:r>
      <w:r>
        <w:rPr>
          <w:b/>
          <w:w w:val="99"/>
        </w:rPr>
        <w:t> </w:t>
      </w:r>
    </w:p>
    <w:p>
      <w:pPr>
        <w:pStyle w:val="ListParagraph"/>
        <w:numPr>
          <w:ilvl w:val="3"/>
          <w:numId w:val="456"/>
        </w:numPr>
        <w:tabs>
          <w:tab w:pos="1576" w:val="left" w:leader="none"/>
        </w:tabs>
        <w:spacing w:line="240" w:lineRule="auto" w:before="0" w:after="0"/>
        <w:ind w:left="1575" w:right="0" w:hanging="738"/>
        <w:jc w:val="left"/>
        <w:rPr>
          <w:sz w:val="21"/>
        </w:rPr>
      </w:pPr>
      <w:r>
        <w:rPr>
          <w:spacing w:val="-5"/>
          <w:sz w:val="21"/>
        </w:rPr>
        <w:t>活动窗扇高度采用钢卷尺测量，测量位置为距窗扇两边梃各不少于 </w:t>
      </w:r>
      <w:r>
        <w:rPr>
          <w:sz w:val="21"/>
        </w:rPr>
        <w:t>50mm</w:t>
      </w:r>
      <w:r>
        <w:rPr>
          <w:spacing w:val="-27"/>
          <w:sz w:val="21"/>
        </w:rPr>
        <w:t> 处</w:t>
      </w:r>
      <w:r>
        <w:rPr>
          <w:spacing w:val="-3"/>
          <w:sz w:val="21"/>
        </w:rPr>
        <w:t>（</w:t>
      </w:r>
      <w:r>
        <w:rPr>
          <w:sz w:val="21"/>
        </w:rPr>
        <w:t>如图</w:t>
      </w:r>
    </w:p>
    <w:p>
      <w:pPr>
        <w:pStyle w:val="BodyText"/>
        <w:spacing w:before="12"/>
        <w:rPr>
          <w:sz w:val="17"/>
        </w:rPr>
      </w:pPr>
    </w:p>
    <w:p>
      <w:pPr>
        <w:pStyle w:val="BodyText"/>
        <w:spacing w:line="448" w:lineRule="auto"/>
        <w:ind w:left="418" w:right="1546"/>
      </w:pPr>
      <w:r>
        <w:rPr>
          <w:position w:val="1"/>
        </w:rPr>
        <w:t>3</w:t>
      </w:r>
      <w:r>
        <w:rPr>
          <w:spacing w:val="-29"/>
          <w:position w:val="1"/>
        </w:rPr>
        <w:t> 的 </w:t>
      </w:r>
      <w:r>
        <w:rPr>
          <w:position w:val="1"/>
        </w:rPr>
        <w:t>A</w:t>
      </w:r>
      <w:r>
        <w:rPr>
          <w:sz w:val="11"/>
        </w:rPr>
        <w:t>l</w:t>
      </w:r>
      <w:r>
        <w:rPr>
          <w:position w:val="1"/>
        </w:rPr>
        <w:t>-A</w:t>
      </w:r>
      <w:r>
        <w:rPr>
          <w:sz w:val="11"/>
        </w:rPr>
        <w:t>1</w:t>
      </w:r>
      <w:r>
        <w:rPr>
          <w:spacing w:val="-10"/>
          <w:position w:val="1"/>
        </w:rPr>
        <w:t>，位置和 </w:t>
      </w:r>
      <w:r>
        <w:rPr>
          <w:position w:val="1"/>
        </w:rPr>
        <w:t>A</w:t>
      </w:r>
      <w:r>
        <w:rPr>
          <w:sz w:val="11"/>
        </w:rPr>
        <w:t>1</w:t>
      </w:r>
      <w:r>
        <w:rPr>
          <w:position w:val="1"/>
        </w:rPr>
        <w:t>′-A</w:t>
      </w:r>
      <w:r>
        <w:rPr>
          <w:sz w:val="11"/>
        </w:rPr>
        <w:t>1</w:t>
      </w:r>
      <w:r>
        <w:rPr>
          <w:spacing w:val="-1"/>
          <w:position w:val="1"/>
        </w:rPr>
        <w:t>′位置</w:t>
      </w:r>
      <w:r>
        <w:rPr>
          <w:position w:val="1"/>
        </w:rPr>
        <w:t>）</w:t>
      </w:r>
      <w:r>
        <w:rPr>
          <w:spacing w:val="-3"/>
          <w:position w:val="1"/>
        </w:rPr>
        <w:t>，测量的高度值分别与图纸标注的窗扇高度值相减，取绝对</w:t>
      </w:r>
      <w:r>
        <w:rPr>
          <w:spacing w:val="-3"/>
        </w:rPr>
        <w:t>值最大的差值为活动窗扇高度偏差值。</w:t>
      </w:r>
      <w:r>
        <w:rPr/>
        <w:t> </w:t>
      </w:r>
    </w:p>
    <w:p>
      <w:pPr>
        <w:pStyle w:val="BodyText"/>
        <w:rPr>
          <w:sz w:val="20"/>
        </w:rPr>
      </w:pPr>
    </w:p>
    <w:p>
      <w:pPr>
        <w:pStyle w:val="BodyText"/>
        <w:rPr>
          <w:sz w:val="20"/>
        </w:rPr>
      </w:pPr>
    </w:p>
    <w:p>
      <w:pPr>
        <w:pStyle w:val="BodyText"/>
        <w:rPr>
          <w:sz w:val="20"/>
        </w:rPr>
      </w:pPr>
    </w:p>
    <w:p>
      <w:pPr>
        <w:pStyle w:val="BodyText"/>
        <w:spacing w:before="9"/>
        <w:rPr>
          <w:sz w:val="17"/>
        </w:rPr>
      </w:pPr>
    </w:p>
    <w:p>
      <w:pPr>
        <w:pStyle w:val="ListParagraph"/>
        <w:numPr>
          <w:ilvl w:val="3"/>
          <w:numId w:val="456"/>
        </w:numPr>
        <w:tabs>
          <w:tab w:pos="1628" w:val="left" w:leader="none"/>
        </w:tabs>
        <w:spacing w:line="240" w:lineRule="auto" w:before="0" w:after="0"/>
        <w:ind w:left="1627" w:right="0" w:hanging="790"/>
        <w:jc w:val="left"/>
        <w:rPr>
          <w:sz w:val="21"/>
        </w:rPr>
      </w:pPr>
      <w:r>
        <w:rPr>
          <w:spacing w:val="-5"/>
          <w:sz w:val="21"/>
        </w:rPr>
        <w:t>活动窗扇宽度采用钢卷尺测量，测量位置为距窗扇上梃、下梃各不少于 </w:t>
      </w:r>
      <w:r>
        <w:rPr>
          <w:sz w:val="21"/>
        </w:rPr>
        <w:t>50mm</w:t>
      </w:r>
      <w:r>
        <w:rPr>
          <w:spacing w:val="-27"/>
          <w:sz w:val="21"/>
        </w:rPr>
        <w:t> 处</w:t>
      </w:r>
    </w:p>
    <w:p>
      <w:pPr>
        <w:pStyle w:val="BodyText"/>
        <w:rPr>
          <w:sz w:val="18"/>
        </w:rPr>
      </w:pPr>
    </w:p>
    <w:p>
      <w:pPr>
        <w:pStyle w:val="BodyText"/>
        <w:spacing w:line="446" w:lineRule="auto"/>
        <w:ind w:left="418" w:right="1469"/>
      </w:pPr>
      <w:r>
        <w:rPr>
          <w:position w:val="1"/>
        </w:rPr>
        <w:t>（</w:t>
      </w:r>
      <w:r>
        <w:rPr>
          <w:spacing w:val="-17"/>
          <w:position w:val="1"/>
        </w:rPr>
        <w:t>如图 </w:t>
      </w:r>
      <w:r>
        <w:rPr>
          <w:position w:val="1"/>
        </w:rPr>
        <w:t>3</w:t>
      </w:r>
      <w:r>
        <w:rPr>
          <w:spacing w:val="-31"/>
          <w:position w:val="1"/>
        </w:rPr>
        <w:t> 的 </w:t>
      </w:r>
      <w:r>
        <w:rPr>
          <w:position w:val="1"/>
        </w:rPr>
        <w:t>B</w:t>
      </w:r>
      <w:r>
        <w:rPr>
          <w:sz w:val="11"/>
        </w:rPr>
        <w:t>1</w:t>
      </w:r>
      <w:r>
        <w:rPr>
          <w:position w:val="1"/>
        </w:rPr>
        <w:t>-B</w:t>
      </w:r>
      <w:r>
        <w:rPr>
          <w:sz w:val="11"/>
        </w:rPr>
        <w:t>1 </w:t>
      </w:r>
      <w:r>
        <w:rPr>
          <w:spacing w:val="-13"/>
          <w:position w:val="1"/>
        </w:rPr>
        <w:t>位置和 </w:t>
      </w:r>
      <w:r>
        <w:rPr>
          <w:position w:val="1"/>
        </w:rPr>
        <w:t>B</w:t>
      </w:r>
      <w:r>
        <w:rPr>
          <w:sz w:val="11"/>
        </w:rPr>
        <w:t>1</w:t>
      </w:r>
      <w:r>
        <w:rPr>
          <w:position w:val="1"/>
        </w:rPr>
        <w:t>′-B</w:t>
      </w:r>
      <w:r>
        <w:rPr>
          <w:sz w:val="11"/>
        </w:rPr>
        <w:t>1</w:t>
      </w:r>
      <w:r>
        <w:rPr>
          <w:spacing w:val="-2"/>
          <w:position w:val="1"/>
        </w:rPr>
        <w:t>′位置</w:t>
      </w:r>
      <w:r>
        <w:rPr>
          <w:position w:val="1"/>
        </w:rPr>
        <w:t>）</w:t>
      </w:r>
      <w:r>
        <w:rPr>
          <w:spacing w:val="-3"/>
          <w:position w:val="1"/>
        </w:rPr>
        <w:t>，测量的宽度值分别与图纸标注的窗扇宽度值相减，取</w:t>
      </w:r>
      <w:r>
        <w:rPr>
          <w:spacing w:val="-3"/>
        </w:rPr>
        <w:t>绝对值最大的差值为活动窗扇宽度偏差值。</w:t>
      </w:r>
      <w:r>
        <w:rPr/>
        <w:t> </w:t>
      </w:r>
    </w:p>
    <w:p>
      <w:pPr>
        <w:pStyle w:val="ListParagraph"/>
        <w:numPr>
          <w:ilvl w:val="3"/>
          <w:numId w:val="456"/>
        </w:numPr>
        <w:tabs>
          <w:tab w:pos="1576" w:val="left" w:leader="none"/>
        </w:tabs>
        <w:spacing w:line="240" w:lineRule="auto" w:before="0" w:after="0"/>
        <w:ind w:left="1575" w:right="0" w:hanging="738"/>
        <w:jc w:val="left"/>
        <w:rPr>
          <w:sz w:val="21"/>
        </w:rPr>
      </w:pPr>
      <w:r>
        <w:rPr/>
        <w:drawing>
          <wp:anchor distT="0" distB="0" distL="0" distR="0" allowOverlap="1" layoutInCell="1" locked="0" behindDoc="0" simplePos="0" relativeHeight="174">
            <wp:simplePos x="0" y="0"/>
            <wp:positionH relativeFrom="page">
              <wp:posOffset>2047875</wp:posOffset>
            </wp:positionH>
            <wp:positionV relativeFrom="paragraph">
              <wp:posOffset>198246</wp:posOffset>
            </wp:positionV>
            <wp:extent cx="5007342" cy="3505200"/>
            <wp:effectExtent l="0" t="0" r="0" b="0"/>
            <wp:wrapTopAndBottom/>
            <wp:docPr id="395" name="image234.jpeg"/>
            <wp:cNvGraphicFramePr>
              <a:graphicFrameLocks noChangeAspect="1"/>
            </wp:cNvGraphicFramePr>
            <a:graphic>
              <a:graphicData uri="http://schemas.openxmlformats.org/drawingml/2006/picture">
                <pic:pic>
                  <pic:nvPicPr>
                    <pic:cNvPr id="396" name="image234.jpeg"/>
                    <pic:cNvPicPr/>
                  </pic:nvPicPr>
                  <pic:blipFill>
                    <a:blip r:embed="rId283" cstate="print"/>
                    <a:stretch>
                      <a:fillRect/>
                    </a:stretch>
                  </pic:blipFill>
                  <pic:spPr>
                    <a:xfrm>
                      <a:off x="0" y="0"/>
                      <a:ext cx="5007342" cy="3505200"/>
                    </a:xfrm>
                    <a:prstGeom prst="rect">
                      <a:avLst/>
                    </a:prstGeom>
                  </pic:spPr>
                </pic:pic>
              </a:graphicData>
            </a:graphic>
          </wp:anchor>
        </w:drawing>
      </w:r>
      <w:r>
        <w:rPr>
          <w:spacing w:val="-3"/>
          <w:sz w:val="21"/>
        </w:rPr>
        <w:t>活动窗扇框架厚度采用游标卡尺测量，测量位置为窗扇两边梃、上梃、下梃的 </w:t>
      </w:r>
    </w:p>
    <w:p>
      <w:pPr>
        <w:pStyle w:val="BodyText"/>
        <w:spacing w:before="5"/>
        <w:rPr>
          <w:sz w:val="17"/>
        </w:rPr>
      </w:pPr>
    </w:p>
    <w:p>
      <w:pPr>
        <w:pStyle w:val="Heading6"/>
        <w:spacing w:before="1"/>
        <w:ind w:left="3416"/>
      </w:pPr>
      <w:r>
        <w:rPr/>
        <w:t>图 3 活动窗扇尺寸测量位置示意图</w:t>
      </w:r>
      <w:r>
        <w:rPr>
          <w:w w:val="99"/>
        </w:rPr>
        <w:t> </w:t>
      </w:r>
    </w:p>
    <w:p>
      <w:pPr>
        <w:spacing w:after="0"/>
        <w:sectPr>
          <w:pgSz w:w="11910" w:h="16850"/>
          <w:pgMar w:header="0" w:footer="1159" w:top="1200" w:bottom="1420" w:left="1260" w:right="0"/>
        </w:sectPr>
      </w:pPr>
    </w:p>
    <w:p>
      <w:pPr>
        <w:pStyle w:val="BodyText"/>
        <w:spacing w:line="446" w:lineRule="auto" w:before="47"/>
        <w:ind w:left="838" w:right="7285"/>
      </w:pPr>
      <w:r>
        <w:rPr/>
        <w:t>H—</w:t>
      </w:r>
      <w:r>
        <w:rPr>
          <w:spacing w:val="-2"/>
        </w:rPr>
        <w:t>—防火窗高度；   W—</w:t>
      </w:r>
      <w:r>
        <w:rPr>
          <w:spacing w:val="-3"/>
        </w:rPr>
        <w:t>—防火窗宽度；   O——窗框厚度测量位置。</w:t>
      </w:r>
      <w:r>
        <w:rPr/>
        <w:t> </w:t>
      </w:r>
    </w:p>
    <w:p>
      <w:pPr>
        <w:pStyle w:val="BodyText"/>
        <w:spacing w:line="446" w:lineRule="auto"/>
        <w:ind w:left="418" w:right="1609"/>
      </w:pPr>
      <w:r>
        <w:rPr/>
        <w:t>中部</w:t>
      </w:r>
      <w:r>
        <w:rPr>
          <w:spacing w:val="-3"/>
        </w:rPr>
        <w:t>（</w:t>
      </w:r>
      <w:r>
        <w:rPr>
          <w:spacing w:val="-13"/>
        </w:rPr>
        <w:t>如图 </w:t>
      </w:r>
      <w:r>
        <w:rPr/>
        <w:t>3</w:t>
      </w:r>
      <w:r>
        <w:rPr>
          <w:spacing w:val="-7"/>
        </w:rPr>
        <w:t> 中的圆圈位置</w:t>
      </w:r>
      <w:r>
        <w:rPr/>
        <w:t>）</w:t>
      </w:r>
      <w:r>
        <w:rPr>
          <w:spacing w:val="-3"/>
        </w:rPr>
        <w:t>，测量的厚度值分别与图纸标注的窗扇框架厚度值相减，取绝对值最大的差值为活动窗扇框架厚度偏差值。</w:t>
      </w:r>
      <w:r>
        <w:rPr/>
        <w:t> </w:t>
      </w:r>
    </w:p>
    <w:p>
      <w:pPr>
        <w:pStyle w:val="ListParagraph"/>
        <w:numPr>
          <w:ilvl w:val="3"/>
          <w:numId w:val="456"/>
        </w:numPr>
        <w:tabs>
          <w:tab w:pos="1576" w:val="left" w:leader="none"/>
        </w:tabs>
        <w:spacing w:line="446" w:lineRule="auto" w:before="0" w:after="0"/>
        <w:ind w:left="418" w:right="1609" w:firstLine="419"/>
        <w:jc w:val="left"/>
        <w:rPr>
          <w:sz w:val="21"/>
        </w:rPr>
      </w:pPr>
      <w:r>
        <w:rPr>
          <w:spacing w:val="-3"/>
          <w:sz w:val="21"/>
        </w:rPr>
        <w:t>活动窗扇的两对角线长度采用钢卷尺测量，测量位置为窗扇外角，两测量值之差的绝对值，即为窗扇对角线长度差。</w:t>
      </w:r>
      <w:r>
        <w:rPr>
          <w:sz w:val="21"/>
        </w:rPr>
        <w:t> </w:t>
      </w:r>
    </w:p>
    <w:p>
      <w:pPr>
        <w:pStyle w:val="ListParagraph"/>
        <w:numPr>
          <w:ilvl w:val="1"/>
          <w:numId w:val="457"/>
        </w:numPr>
        <w:tabs>
          <w:tab w:pos="1159" w:val="left" w:leader="none"/>
        </w:tabs>
        <w:spacing w:line="240" w:lineRule="auto" w:before="0" w:after="0"/>
        <w:ind w:left="1158" w:right="0" w:hanging="319"/>
        <w:jc w:val="left"/>
        <w:rPr>
          <w:sz w:val="21"/>
        </w:rPr>
      </w:pPr>
      <w:r>
        <w:rPr>
          <w:spacing w:val="-3"/>
          <w:sz w:val="21"/>
        </w:rPr>
        <w:t>活动窗扇与窗框的搭接宽度偏差</w:t>
      </w:r>
      <w:r>
        <w:rPr>
          <w:sz w:val="21"/>
        </w:rPr>
        <w:t> </w:t>
      </w:r>
    </w:p>
    <w:p>
      <w:pPr>
        <w:pStyle w:val="BodyText"/>
        <w:spacing w:before="9"/>
        <w:rPr>
          <w:sz w:val="17"/>
        </w:rPr>
      </w:pPr>
    </w:p>
    <w:p>
      <w:pPr>
        <w:pStyle w:val="ListParagraph"/>
        <w:numPr>
          <w:ilvl w:val="2"/>
          <w:numId w:val="457"/>
        </w:numPr>
        <w:tabs>
          <w:tab w:pos="1370" w:val="left" w:leader="none"/>
        </w:tabs>
        <w:spacing w:line="240" w:lineRule="auto" w:before="1" w:after="0"/>
        <w:ind w:left="1369" w:right="0" w:hanging="530"/>
        <w:jc w:val="left"/>
        <w:rPr>
          <w:sz w:val="21"/>
        </w:rPr>
      </w:pPr>
      <w:r>
        <w:rPr>
          <w:spacing w:val="-3"/>
          <w:sz w:val="21"/>
        </w:rPr>
        <w:t>将防火窗安装在试验框架上，活动窗扇处于关闭状态。</w:t>
      </w:r>
      <w:r>
        <w:rPr>
          <w:sz w:val="21"/>
        </w:rPr>
        <w:t> </w:t>
      </w:r>
    </w:p>
    <w:p>
      <w:pPr>
        <w:pStyle w:val="BodyText"/>
        <w:spacing w:before="1"/>
        <w:rPr>
          <w:sz w:val="18"/>
        </w:rPr>
      </w:pPr>
    </w:p>
    <w:p>
      <w:pPr>
        <w:pStyle w:val="ListParagraph"/>
        <w:numPr>
          <w:ilvl w:val="2"/>
          <w:numId w:val="457"/>
        </w:numPr>
        <w:tabs>
          <w:tab w:pos="1370" w:val="left" w:leader="none"/>
        </w:tabs>
        <w:spacing w:line="446" w:lineRule="auto" w:before="1" w:after="0"/>
        <w:ind w:left="418" w:right="1604" w:firstLine="422"/>
        <w:jc w:val="left"/>
        <w:rPr>
          <w:sz w:val="21"/>
        </w:rPr>
      </w:pPr>
      <w:r>
        <w:rPr>
          <w:spacing w:val="-3"/>
          <w:sz w:val="21"/>
        </w:rPr>
        <w:t>用划刀在活动窗扇上作搭接宽度测量标记线，标记线位置为活动窗扇与窗框各搭接边缘的中部。</w:t>
      </w:r>
      <w:r>
        <w:rPr>
          <w:sz w:val="21"/>
        </w:rPr>
        <w:t> </w:t>
      </w:r>
    </w:p>
    <w:p>
      <w:pPr>
        <w:pStyle w:val="ListParagraph"/>
        <w:numPr>
          <w:ilvl w:val="2"/>
          <w:numId w:val="457"/>
        </w:numPr>
        <w:tabs>
          <w:tab w:pos="1371" w:val="left" w:leader="none"/>
        </w:tabs>
        <w:spacing w:line="446" w:lineRule="auto" w:before="0" w:after="0"/>
        <w:ind w:left="418" w:right="1505" w:firstLine="422"/>
        <w:jc w:val="left"/>
        <w:rPr>
          <w:sz w:val="21"/>
        </w:rPr>
      </w:pPr>
      <w:r>
        <w:rPr>
          <w:spacing w:val="-3"/>
          <w:sz w:val="21"/>
        </w:rPr>
        <w:t>采用深度游标卡尺测量活动窗扇上各标记线与对应窗扇边沿间的距离，测量的搭接宽度值分别与图纸标注的值相减，取绝对值最大的差值为活动窗扇与窗框的搭接宽度偏差值。</w:t>
      </w:r>
      <w:r>
        <w:rPr>
          <w:sz w:val="21"/>
        </w:rPr>
        <w:t> </w:t>
      </w:r>
    </w:p>
    <w:p>
      <w:pPr>
        <w:pStyle w:val="ListParagraph"/>
        <w:numPr>
          <w:ilvl w:val="1"/>
          <w:numId w:val="457"/>
        </w:numPr>
        <w:tabs>
          <w:tab w:pos="1160" w:val="left" w:leader="none"/>
        </w:tabs>
        <w:spacing w:line="240" w:lineRule="auto" w:before="0" w:after="0"/>
        <w:ind w:left="1159" w:right="0" w:hanging="320"/>
        <w:jc w:val="left"/>
        <w:rPr>
          <w:b/>
          <w:sz w:val="21"/>
        </w:rPr>
      </w:pPr>
      <w:r>
        <w:rPr>
          <w:spacing w:val="-3"/>
          <w:sz w:val="21"/>
        </w:rPr>
        <w:t>窗扇扭曲度</w:t>
      </w:r>
      <w:r>
        <w:rPr>
          <w:b/>
          <w:w w:val="99"/>
          <w:sz w:val="21"/>
        </w:rPr>
        <w:t> </w:t>
      </w:r>
    </w:p>
    <w:p>
      <w:pPr>
        <w:pStyle w:val="BodyText"/>
        <w:spacing w:before="9"/>
        <w:rPr>
          <w:b/>
          <w:sz w:val="17"/>
        </w:rPr>
      </w:pPr>
    </w:p>
    <w:p>
      <w:pPr>
        <w:pStyle w:val="ListParagraph"/>
        <w:numPr>
          <w:ilvl w:val="2"/>
          <w:numId w:val="457"/>
        </w:numPr>
        <w:tabs>
          <w:tab w:pos="1371" w:val="left" w:leader="none"/>
        </w:tabs>
        <w:spacing w:line="240" w:lineRule="auto" w:before="1" w:after="0"/>
        <w:ind w:left="1370" w:right="0" w:hanging="531"/>
        <w:jc w:val="left"/>
        <w:rPr>
          <w:b/>
          <w:sz w:val="21"/>
        </w:rPr>
      </w:pPr>
      <w:r>
        <w:rPr>
          <w:spacing w:val="-3"/>
          <w:sz w:val="21"/>
        </w:rPr>
        <w:t>试验设备</w:t>
      </w:r>
      <w:r>
        <w:rPr>
          <w:b/>
          <w:w w:val="99"/>
          <w:sz w:val="21"/>
        </w:rPr>
        <w:t> </w:t>
      </w:r>
    </w:p>
    <w:p>
      <w:pPr>
        <w:pStyle w:val="BodyText"/>
        <w:spacing w:before="1"/>
        <w:rPr>
          <w:b/>
          <w:sz w:val="18"/>
        </w:rPr>
      </w:pPr>
    </w:p>
    <w:p>
      <w:pPr>
        <w:pStyle w:val="BodyText"/>
        <w:spacing w:line="446" w:lineRule="auto" w:before="1"/>
        <w:ind w:left="418" w:right="1609" w:firstLine="419"/>
      </w:pPr>
      <w:r>
        <w:rPr/>
        <w:t>试验平台：试验平台的长、宽尺寸应满足测量需求，其平面度不应低于三级；三个顶尖： 高度差不大于 0.5mm；高度尺：分度值为 0.02mm。 </w:t>
      </w:r>
    </w:p>
    <w:p>
      <w:pPr>
        <w:pStyle w:val="ListParagraph"/>
        <w:numPr>
          <w:ilvl w:val="2"/>
          <w:numId w:val="457"/>
        </w:numPr>
        <w:tabs>
          <w:tab w:pos="1370" w:val="left" w:leader="none"/>
        </w:tabs>
        <w:spacing w:line="267" w:lineRule="exact" w:before="0" w:after="0"/>
        <w:ind w:left="1369" w:right="0" w:hanging="530"/>
        <w:jc w:val="left"/>
        <w:rPr>
          <w:b/>
          <w:sz w:val="21"/>
        </w:rPr>
      </w:pPr>
      <w:r>
        <w:rPr>
          <w:spacing w:val="-3"/>
          <w:sz w:val="21"/>
        </w:rPr>
        <w:t>试验步骤</w:t>
      </w:r>
      <w:r>
        <w:rPr>
          <w:b/>
          <w:w w:val="99"/>
          <w:sz w:val="21"/>
        </w:rPr>
        <w:t> </w:t>
      </w:r>
    </w:p>
    <w:p>
      <w:pPr>
        <w:pStyle w:val="BodyText"/>
        <w:spacing w:before="1"/>
        <w:rPr>
          <w:b/>
          <w:sz w:val="18"/>
        </w:rPr>
      </w:pPr>
    </w:p>
    <w:p>
      <w:pPr>
        <w:pStyle w:val="ListParagraph"/>
        <w:numPr>
          <w:ilvl w:val="3"/>
          <w:numId w:val="457"/>
        </w:numPr>
        <w:tabs>
          <w:tab w:pos="1576" w:val="left" w:leader="none"/>
        </w:tabs>
        <w:spacing w:line="446" w:lineRule="auto" w:before="0" w:after="0"/>
        <w:ind w:left="418" w:right="1450" w:firstLine="419"/>
        <w:jc w:val="both"/>
        <w:rPr>
          <w:sz w:val="21"/>
        </w:rPr>
      </w:pPr>
      <w:r>
        <w:rPr>
          <w:spacing w:val="-5"/>
          <w:position w:val="1"/>
          <w:sz w:val="21"/>
        </w:rPr>
        <w:t>任意选定窗扇的三个角为顶尖支撑角，标记为 </w:t>
      </w:r>
      <w:r>
        <w:rPr>
          <w:position w:val="1"/>
          <w:sz w:val="21"/>
        </w:rPr>
        <w:t>P</w:t>
      </w:r>
      <w:r>
        <w:rPr>
          <w:sz w:val="11"/>
        </w:rPr>
        <w:t>l</w:t>
      </w:r>
      <w:r>
        <w:rPr>
          <w:position w:val="1"/>
          <w:sz w:val="21"/>
        </w:rPr>
        <w:t>、P</w:t>
      </w:r>
      <w:r>
        <w:rPr>
          <w:sz w:val="11"/>
        </w:rPr>
        <w:t>2</w:t>
      </w:r>
      <w:r>
        <w:rPr>
          <w:position w:val="1"/>
          <w:sz w:val="21"/>
        </w:rPr>
        <w:t>、P</w:t>
      </w:r>
      <w:r>
        <w:rPr>
          <w:sz w:val="11"/>
        </w:rPr>
        <w:t>3</w:t>
      </w:r>
      <w:r>
        <w:rPr>
          <w:spacing w:val="-25"/>
          <w:sz w:val="11"/>
        </w:rPr>
        <w:t> </w:t>
      </w:r>
      <w:r>
        <w:rPr>
          <w:spacing w:val="-3"/>
          <w:position w:val="1"/>
          <w:sz w:val="21"/>
        </w:rPr>
        <w:t>角，并在其正反面分别标</w:t>
      </w:r>
      <w:r>
        <w:rPr>
          <w:spacing w:val="-4"/>
          <w:sz w:val="21"/>
        </w:rPr>
        <w:t>记出顶尖的顶放位置点，每个点与两角边等距，且不小于 </w:t>
      </w:r>
      <w:r>
        <w:rPr>
          <w:sz w:val="21"/>
        </w:rPr>
        <w:t>5mm</w:t>
      </w:r>
      <w:r>
        <w:rPr>
          <w:spacing w:val="-3"/>
          <w:sz w:val="21"/>
        </w:rPr>
        <w:t>；窗扇剩余一角为测量角，标记为P4</w:t>
      </w:r>
      <w:r>
        <w:rPr>
          <w:spacing w:val="-19"/>
          <w:sz w:val="21"/>
        </w:rPr>
        <w:t> 角，见图 </w:t>
      </w:r>
      <w:r>
        <w:rPr>
          <w:sz w:val="21"/>
        </w:rPr>
        <w:t>4</w:t>
      </w:r>
      <w:r>
        <w:rPr>
          <w:spacing w:val="-3"/>
          <w:sz w:val="21"/>
        </w:rPr>
        <w:t>。</w:t>
      </w:r>
      <w:r>
        <w:rPr>
          <w:sz w:val="21"/>
        </w:rPr>
        <w:t> </w:t>
      </w:r>
    </w:p>
    <w:p>
      <w:pPr>
        <w:pStyle w:val="ListParagraph"/>
        <w:numPr>
          <w:ilvl w:val="3"/>
          <w:numId w:val="457"/>
        </w:numPr>
        <w:tabs>
          <w:tab w:pos="1576" w:val="left" w:leader="none"/>
        </w:tabs>
        <w:spacing w:line="446" w:lineRule="auto" w:before="0" w:after="0"/>
        <w:ind w:left="418" w:right="1810" w:firstLine="419"/>
        <w:jc w:val="left"/>
        <w:rPr>
          <w:sz w:val="21"/>
        </w:rPr>
      </w:pPr>
      <w:r>
        <w:rPr>
          <w:spacing w:val="-1"/>
          <w:position w:val="1"/>
          <w:sz w:val="21"/>
        </w:rPr>
        <w:t>在试验平台上，将三个顶尖分别顶在窗扇</w:t>
      </w:r>
      <w:r>
        <w:rPr>
          <w:position w:val="1"/>
          <w:sz w:val="21"/>
        </w:rPr>
        <w:t>P</w:t>
      </w:r>
      <w:r>
        <w:rPr>
          <w:sz w:val="11"/>
        </w:rPr>
        <w:t>l</w:t>
      </w:r>
      <w:r>
        <w:rPr>
          <w:position w:val="1"/>
          <w:sz w:val="21"/>
        </w:rPr>
        <w:t>、P</w:t>
      </w:r>
      <w:r>
        <w:rPr>
          <w:sz w:val="11"/>
        </w:rPr>
        <w:t>2</w:t>
      </w:r>
      <w:r>
        <w:rPr>
          <w:spacing w:val="-24"/>
          <w:sz w:val="11"/>
        </w:rPr>
        <w:t> </w:t>
      </w:r>
      <w:r>
        <w:rPr>
          <w:spacing w:val="50"/>
          <w:position w:val="1"/>
          <w:sz w:val="21"/>
        </w:rPr>
        <w:t>和</w:t>
      </w:r>
      <w:r>
        <w:rPr>
          <w:position w:val="1"/>
          <w:sz w:val="21"/>
        </w:rPr>
        <w:t>P</w:t>
      </w:r>
      <w:r>
        <w:rPr>
          <w:sz w:val="11"/>
        </w:rPr>
        <w:t>3</w:t>
      </w:r>
      <w:r>
        <w:rPr>
          <w:spacing w:val="-23"/>
          <w:sz w:val="11"/>
        </w:rPr>
        <w:t> </w:t>
      </w:r>
      <w:r>
        <w:rPr>
          <w:spacing w:val="-3"/>
          <w:position w:val="1"/>
          <w:sz w:val="21"/>
        </w:rPr>
        <w:t>角正面的三个顶放位置点</w:t>
      </w:r>
      <w:r>
        <w:rPr>
          <w:spacing w:val="-6"/>
          <w:position w:val="1"/>
          <w:sz w:val="21"/>
        </w:rPr>
        <w:t>上，并平稳放置，用高度尺测量试验平台与窗扇 </w:t>
      </w:r>
      <w:r>
        <w:rPr>
          <w:position w:val="1"/>
          <w:sz w:val="21"/>
        </w:rPr>
        <w:t>P</w:t>
      </w:r>
      <w:r>
        <w:rPr>
          <w:sz w:val="11"/>
        </w:rPr>
        <w:t>4</w:t>
      </w:r>
      <w:r>
        <w:rPr>
          <w:spacing w:val="-30"/>
          <w:sz w:val="11"/>
        </w:rPr>
        <w:t> </w:t>
      </w:r>
      <w:r>
        <w:rPr>
          <w:spacing w:val="-10"/>
          <w:position w:val="1"/>
          <w:sz w:val="21"/>
        </w:rPr>
        <w:t>角正面间的距离 </w:t>
      </w:r>
      <w:r>
        <w:rPr>
          <w:position w:val="1"/>
          <w:sz w:val="21"/>
        </w:rPr>
        <w:t>h</w:t>
      </w:r>
      <w:r>
        <w:rPr>
          <w:sz w:val="11"/>
        </w:rPr>
        <w:t>l</w:t>
      </w:r>
      <w:r>
        <w:rPr>
          <w:spacing w:val="-3"/>
          <w:position w:val="1"/>
          <w:sz w:val="21"/>
        </w:rPr>
        <w:t>。</w:t>
      </w:r>
      <w:r>
        <w:rPr>
          <w:position w:val="1"/>
          <w:sz w:val="21"/>
        </w:rPr>
        <w:t> </w:t>
      </w:r>
    </w:p>
    <w:p>
      <w:pPr>
        <w:pStyle w:val="ListParagraph"/>
        <w:numPr>
          <w:ilvl w:val="3"/>
          <w:numId w:val="457"/>
        </w:numPr>
        <w:tabs>
          <w:tab w:pos="1576" w:val="left" w:leader="none"/>
        </w:tabs>
        <w:spacing w:line="446" w:lineRule="auto" w:before="0" w:after="0"/>
        <w:ind w:left="418" w:right="1599" w:firstLine="419"/>
        <w:jc w:val="left"/>
        <w:rPr>
          <w:sz w:val="21"/>
        </w:rPr>
      </w:pPr>
      <w:r>
        <w:rPr>
          <w:spacing w:val="-6"/>
          <w:position w:val="1"/>
          <w:sz w:val="21"/>
        </w:rPr>
        <w:t>将窗扇反转，将三个顶尖分别顶在窗扇 </w:t>
      </w:r>
      <w:r>
        <w:rPr>
          <w:position w:val="1"/>
          <w:sz w:val="21"/>
        </w:rPr>
        <w:t>P</w:t>
      </w:r>
      <w:r>
        <w:rPr>
          <w:sz w:val="11"/>
        </w:rPr>
        <w:t>1</w:t>
      </w:r>
      <w:r>
        <w:rPr>
          <w:position w:val="1"/>
          <w:sz w:val="21"/>
        </w:rPr>
        <w:t>、P</w:t>
      </w:r>
      <w:r>
        <w:rPr>
          <w:sz w:val="11"/>
        </w:rPr>
        <w:t>2</w:t>
      </w:r>
      <w:r>
        <w:rPr>
          <w:spacing w:val="-26"/>
          <w:sz w:val="11"/>
        </w:rPr>
        <w:t> </w:t>
      </w:r>
      <w:r>
        <w:rPr>
          <w:spacing w:val="-23"/>
          <w:position w:val="1"/>
          <w:sz w:val="21"/>
        </w:rPr>
        <w:t>和 </w:t>
      </w:r>
      <w:r>
        <w:rPr>
          <w:position w:val="1"/>
          <w:sz w:val="21"/>
        </w:rPr>
        <w:t>P</w:t>
      </w:r>
      <w:r>
        <w:rPr>
          <w:sz w:val="11"/>
        </w:rPr>
        <w:t>3</w:t>
      </w:r>
      <w:r>
        <w:rPr>
          <w:spacing w:val="-25"/>
          <w:sz w:val="11"/>
        </w:rPr>
        <w:t> </w:t>
      </w:r>
      <w:r>
        <w:rPr>
          <w:spacing w:val="-3"/>
          <w:position w:val="1"/>
          <w:sz w:val="21"/>
        </w:rPr>
        <w:t>角反面的三个顶放位置点上， </w:t>
      </w:r>
      <w:r>
        <w:rPr>
          <w:spacing w:val="-6"/>
          <w:position w:val="1"/>
          <w:sz w:val="21"/>
        </w:rPr>
        <w:t>并平稳放置，用高度尺侧量试验平台与窗扇 </w:t>
      </w:r>
      <w:r>
        <w:rPr>
          <w:position w:val="1"/>
          <w:sz w:val="21"/>
        </w:rPr>
        <w:t>P</w:t>
      </w:r>
      <w:r>
        <w:rPr>
          <w:sz w:val="11"/>
        </w:rPr>
        <w:t>4</w:t>
      </w:r>
      <w:r>
        <w:rPr>
          <w:spacing w:val="-28"/>
          <w:sz w:val="11"/>
        </w:rPr>
        <w:t> </w:t>
      </w:r>
      <w:r>
        <w:rPr>
          <w:spacing w:val="-10"/>
          <w:position w:val="1"/>
          <w:sz w:val="21"/>
        </w:rPr>
        <w:t>角反面间的距离 </w:t>
      </w:r>
      <w:r>
        <w:rPr>
          <w:position w:val="1"/>
          <w:sz w:val="21"/>
        </w:rPr>
        <w:t>h</w:t>
      </w:r>
      <w:r>
        <w:rPr>
          <w:sz w:val="11"/>
        </w:rPr>
        <w:t>2</w:t>
      </w:r>
      <w:r>
        <w:rPr>
          <w:spacing w:val="-3"/>
          <w:position w:val="1"/>
          <w:sz w:val="21"/>
        </w:rPr>
        <w:t>。</w:t>
      </w:r>
      <w:r>
        <w:rPr>
          <w:position w:val="1"/>
          <w:sz w:val="21"/>
        </w:rPr>
        <w:t> </w:t>
      </w:r>
    </w:p>
    <w:p>
      <w:pPr>
        <w:pStyle w:val="ListParagraph"/>
        <w:numPr>
          <w:ilvl w:val="2"/>
          <w:numId w:val="457"/>
        </w:numPr>
        <w:tabs>
          <w:tab w:pos="1370" w:val="left" w:leader="none"/>
        </w:tabs>
        <w:spacing w:line="240" w:lineRule="auto" w:before="0" w:after="0"/>
        <w:ind w:left="1369" w:right="0" w:hanging="530"/>
        <w:jc w:val="left"/>
        <w:rPr>
          <w:b/>
          <w:sz w:val="21"/>
        </w:rPr>
      </w:pPr>
      <w:r>
        <w:rPr>
          <w:spacing w:val="-3"/>
          <w:sz w:val="21"/>
        </w:rPr>
        <w:t>试验结果</w:t>
      </w:r>
      <w:r>
        <w:rPr>
          <w:b/>
          <w:w w:val="99"/>
          <w:sz w:val="21"/>
        </w:rPr>
        <w:t> </w:t>
      </w:r>
    </w:p>
    <w:p>
      <w:pPr>
        <w:pStyle w:val="BodyText"/>
        <w:spacing w:before="10"/>
        <w:rPr>
          <w:b/>
          <w:sz w:val="17"/>
        </w:rPr>
      </w:pPr>
    </w:p>
    <w:p>
      <w:pPr>
        <w:pStyle w:val="BodyText"/>
        <w:ind w:left="838"/>
      </w:pPr>
      <w:r>
        <w:rPr/>
        <w:t>窗扇的扭曲度（D）按下式计算，结果保留小数后一位有效数字： </w:t>
      </w:r>
    </w:p>
    <w:p>
      <w:pPr>
        <w:pStyle w:val="BodyText"/>
        <w:spacing w:before="2"/>
        <w:rPr>
          <w:sz w:val="18"/>
        </w:rPr>
      </w:pPr>
    </w:p>
    <w:p>
      <w:pPr>
        <w:pStyle w:val="BodyText"/>
        <w:ind w:right="495"/>
        <w:jc w:val="center"/>
      </w:pPr>
      <w:r>
        <w:rPr>
          <w:w w:val="100"/>
        </w:rPr>
        <w:t> </w:t>
      </w:r>
    </w:p>
    <w:p>
      <w:pPr>
        <w:spacing w:after="0"/>
        <w:jc w:val="center"/>
        <w:sectPr>
          <w:pgSz w:w="11910" w:h="16850"/>
          <w:pgMar w:header="0" w:footer="1159" w:top="1220" w:bottom="1420" w:left="1260" w:right="0"/>
        </w:sectPr>
      </w:pPr>
    </w:p>
    <w:p>
      <w:pPr>
        <w:pStyle w:val="BodyText"/>
        <w:ind w:left="776"/>
        <w:rPr>
          <w:sz w:val="20"/>
        </w:rPr>
      </w:pPr>
      <w:r>
        <w:rPr>
          <w:sz w:val="20"/>
        </w:rPr>
        <w:drawing>
          <wp:inline distT="0" distB="0" distL="0" distR="0">
            <wp:extent cx="4961499" cy="2533650"/>
            <wp:effectExtent l="0" t="0" r="0" b="0"/>
            <wp:docPr id="397" name="image235.jpeg"/>
            <wp:cNvGraphicFramePr>
              <a:graphicFrameLocks noChangeAspect="1"/>
            </wp:cNvGraphicFramePr>
            <a:graphic>
              <a:graphicData uri="http://schemas.openxmlformats.org/drawingml/2006/picture">
                <pic:pic>
                  <pic:nvPicPr>
                    <pic:cNvPr id="398" name="image235.jpeg"/>
                    <pic:cNvPicPr/>
                  </pic:nvPicPr>
                  <pic:blipFill>
                    <a:blip r:embed="rId285" cstate="print"/>
                    <a:stretch>
                      <a:fillRect/>
                    </a:stretch>
                  </pic:blipFill>
                  <pic:spPr>
                    <a:xfrm>
                      <a:off x="0" y="0"/>
                      <a:ext cx="4961499" cy="2533650"/>
                    </a:xfrm>
                    <a:prstGeom prst="rect">
                      <a:avLst/>
                    </a:prstGeom>
                  </pic:spPr>
                </pic:pic>
              </a:graphicData>
            </a:graphic>
          </wp:inline>
        </w:drawing>
      </w:r>
      <w:r>
        <w:rPr>
          <w:sz w:val="20"/>
        </w:rPr>
      </w:r>
    </w:p>
    <w:p>
      <w:pPr>
        <w:pStyle w:val="BodyText"/>
        <w:spacing w:before="1"/>
        <w:rPr>
          <w:sz w:val="10"/>
        </w:rPr>
      </w:pPr>
    </w:p>
    <w:p>
      <w:pPr>
        <w:pStyle w:val="Heading6"/>
        <w:spacing w:before="72"/>
        <w:ind w:right="492"/>
        <w:jc w:val="center"/>
      </w:pPr>
      <w:r>
        <w:rPr/>
        <w:t>图 4 扭曲度测量示意图</w:t>
      </w:r>
      <w:r>
        <w:rPr>
          <w:w w:val="99"/>
        </w:rPr>
        <w:t> </w:t>
      </w:r>
    </w:p>
    <w:p>
      <w:pPr>
        <w:pStyle w:val="BodyText"/>
        <w:spacing w:before="7"/>
        <w:rPr>
          <w:b/>
          <w:sz w:val="12"/>
        </w:rPr>
      </w:pPr>
    </w:p>
    <w:p>
      <w:pPr>
        <w:pStyle w:val="BodyText"/>
        <w:spacing w:before="71"/>
        <w:ind w:left="838"/>
      </w:pPr>
      <w:r>
        <w:rPr/>
        <w:t>1——试验平台； </w:t>
      </w:r>
    </w:p>
    <w:p>
      <w:pPr>
        <w:pStyle w:val="BodyText"/>
        <w:rPr>
          <w:sz w:val="18"/>
        </w:rPr>
      </w:pPr>
    </w:p>
    <w:p>
      <w:pPr>
        <w:pStyle w:val="BodyText"/>
        <w:ind w:left="838"/>
      </w:pPr>
      <w:r>
        <w:rPr/>
        <w:t>2——高度尺； </w:t>
      </w:r>
    </w:p>
    <w:p>
      <w:pPr>
        <w:pStyle w:val="BodyText"/>
        <w:spacing w:before="12"/>
        <w:rPr>
          <w:sz w:val="17"/>
        </w:rPr>
      </w:pPr>
    </w:p>
    <w:p>
      <w:pPr>
        <w:pStyle w:val="BodyText"/>
        <w:ind w:left="838"/>
      </w:pPr>
      <w:r>
        <w:rPr/>
        <w:t>3——防火窗活动窗扇； </w:t>
      </w:r>
    </w:p>
    <w:p>
      <w:pPr>
        <w:pStyle w:val="BodyText"/>
        <w:spacing w:before="2"/>
        <w:rPr>
          <w:sz w:val="18"/>
        </w:rPr>
      </w:pPr>
    </w:p>
    <w:p>
      <w:pPr>
        <w:pStyle w:val="BodyText"/>
        <w:spacing w:before="1"/>
        <w:ind w:left="838"/>
      </w:pPr>
      <w:r>
        <w:rPr/>
        <w:t>4——顶尖。 </w:t>
      </w:r>
    </w:p>
    <w:p>
      <w:pPr>
        <w:pStyle w:val="BodyText"/>
        <w:spacing w:before="12"/>
        <w:rPr>
          <w:sz w:val="17"/>
        </w:rPr>
      </w:pPr>
    </w:p>
    <w:p>
      <w:pPr>
        <w:pStyle w:val="ListParagraph"/>
        <w:numPr>
          <w:ilvl w:val="1"/>
          <w:numId w:val="457"/>
        </w:numPr>
        <w:tabs>
          <w:tab w:pos="1159" w:val="left" w:leader="none"/>
        </w:tabs>
        <w:spacing w:line="240" w:lineRule="auto" w:before="0" w:after="0"/>
        <w:ind w:left="1158" w:right="0" w:hanging="319"/>
        <w:jc w:val="left"/>
        <w:rPr>
          <w:sz w:val="21"/>
        </w:rPr>
      </w:pPr>
      <w:r>
        <w:rPr>
          <w:spacing w:val="-3"/>
          <w:sz w:val="21"/>
        </w:rPr>
        <w:t>抗风压性能</w:t>
      </w:r>
      <w:r>
        <w:rPr>
          <w:sz w:val="21"/>
        </w:rPr>
        <w:t> </w:t>
      </w:r>
    </w:p>
    <w:p>
      <w:pPr>
        <w:pStyle w:val="BodyText"/>
        <w:spacing w:before="12"/>
        <w:rPr>
          <w:sz w:val="17"/>
        </w:rPr>
      </w:pPr>
    </w:p>
    <w:p>
      <w:pPr>
        <w:pStyle w:val="BodyText"/>
        <w:spacing w:line="446" w:lineRule="auto"/>
        <w:ind w:left="840" w:right="4345" w:hanging="3"/>
      </w:pPr>
      <w:r>
        <w:rPr/>
        <w:t>防火窗的抗风压性能按 GB/T 7106-2002 的规定进行检测。</w:t>
      </w:r>
      <w:r>
        <w:rPr>
          <w:b/>
        </w:rPr>
        <w:t>8.10 </w:t>
      </w:r>
      <w:r>
        <w:rPr/>
        <w:t>气密性能 </w:t>
      </w:r>
    </w:p>
    <w:p>
      <w:pPr>
        <w:pStyle w:val="BodyText"/>
        <w:spacing w:line="446" w:lineRule="auto"/>
        <w:ind w:left="840" w:right="4556" w:hanging="3"/>
      </w:pPr>
      <w:r>
        <w:rPr/>
        <w:t>防火窗的气密性能按 GB/T 7107-2002 的规定进行检测。</w:t>
      </w:r>
      <w:r>
        <w:rPr>
          <w:b/>
        </w:rPr>
        <w:t>8.11 </w:t>
      </w:r>
      <w:r>
        <w:rPr/>
        <w:t>窗扇关闭可靠性 </w:t>
      </w:r>
    </w:p>
    <w:p>
      <w:pPr>
        <w:pStyle w:val="ListParagraph"/>
        <w:numPr>
          <w:ilvl w:val="2"/>
          <w:numId w:val="458"/>
        </w:numPr>
        <w:tabs>
          <w:tab w:pos="1478" w:val="left" w:leader="none"/>
        </w:tabs>
        <w:spacing w:line="240" w:lineRule="auto" w:before="1" w:after="0"/>
        <w:ind w:left="1477" w:right="0" w:hanging="638"/>
        <w:jc w:val="left"/>
        <w:rPr>
          <w:sz w:val="21"/>
        </w:rPr>
      </w:pPr>
      <w:r>
        <w:rPr>
          <w:spacing w:val="-3"/>
          <w:sz w:val="21"/>
        </w:rPr>
        <w:t>将防火窗试件安装在试验框架上。</w:t>
      </w:r>
      <w:r>
        <w:rPr>
          <w:sz w:val="21"/>
        </w:rPr>
        <w:t> </w:t>
      </w:r>
    </w:p>
    <w:p>
      <w:pPr>
        <w:pStyle w:val="BodyText"/>
        <w:spacing w:before="12"/>
        <w:rPr>
          <w:sz w:val="17"/>
        </w:rPr>
      </w:pPr>
    </w:p>
    <w:p>
      <w:pPr>
        <w:pStyle w:val="ListParagraph"/>
        <w:numPr>
          <w:ilvl w:val="2"/>
          <w:numId w:val="458"/>
        </w:numPr>
        <w:tabs>
          <w:tab w:pos="1478" w:val="left" w:leader="none"/>
        </w:tabs>
        <w:spacing w:line="240" w:lineRule="auto" w:before="0" w:after="0"/>
        <w:ind w:left="1477" w:right="0" w:hanging="638"/>
        <w:jc w:val="left"/>
        <w:rPr>
          <w:sz w:val="21"/>
        </w:rPr>
      </w:pPr>
      <w:r>
        <w:rPr>
          <w:spacing w:val="-5"/>
          <w:sz w:val="21"/>
        </w:rPr>
        <w:t>开启窗扇，采用手动控制窗扇关闭装置关闭窗扇，完成 </w:t>
      </w:r>
      <w:r>
        <w:rPr>
          <w:sz w:val="21"/>
        </w:rPr>
        <w:t>1</w:t>
      </w:r>
      <w:r>
        <w:rPr>
          <w:spacing w:val="-15"/>
          <w:sz w:val="21"/>
        </w:rPr>
        <w:t> 次开启</w:t>
      </w:r>
      <w:r>
        <w:rPr>
          <w:sz w:val="21"/>
        </w:rPr>
        <w:t>/</w:t>
      </w:r>
      <w:r>
        <w:rPr>
          <w:spacing w:val="-3"/>
          <w:sz w:val="21"/>
        </w:rPr>
        <w:t>关闭运行试验。</w:t>
      </w:r>
      <w:r>
        <w:rPr>
          <w:sz w:val="21"/>
        </w:rPr>
        <w:t> </w:t>
      </w:r>
    </w:p>
    <w:p>
      <w:pPr>
        <w:pStyle w:val="BodyText"/>
        <w:spacing w:before="12"/>
        <w:rPr>
          <w:sz w:val="17"/>
        </w:rPr>
      </w:pPr>
    </w:p>
    <w:p>
      <w:pPr>
        <w:pStyle w:val="ListParagraph"/>
        <w:numPr>
          <w:ilvl w:val="2"/>
          <w:numId w:val="458"/>
        </w:numPr>
        <w:tabs>
          <w:tab w:pos="1478" w:val="left" w:leader="none"/>
        </w:tabs>
        <w:spacing w:line="240" w:lineRule="auto" w:before="0" w:after="0"/>
        <w:ind w:left="1477" w:right="0" w:hanging="638"/>
        <w:jc w:val="left"/>
        <w:rPr>
          <w:sz w:val="21"/>
        </w:rPr>
      </w:pPr>
      <w:r>
        <w:rPr>
          <w:spacing w:val="-19"/>
          <w:sz w:val="21"/>
        </w:rPr>
        <w:t>重复 </w:t>
      </w:r>
      <w:r>
        <w:rPr>
          <w:sz w:val="21"/>
        </w:rPr>
        <w:t>8.11.2</w:t>
      </w:r>
      <w:r>
        <w:rPr>
          <w:spacing w:val="-13"/>
          <w:sz w:val="21"/>
        </w:rPr>
        <w:t> 规定的试验，使窗扇共进行 </w:t>
      </w:r>
      <w:r>
        <w:rPr>
          <w:sz w:val="21"/>
        </w:rPr>
        <w:t>100</w:t>
      </w:r>
      <w:r>
        <w:rPr>
          <w:spacing w:val="-15"/>
          <w:sz w:val="21"/>
        </w:rPr>
        <w:t> 次开启</w:t>
      </w:r>
      <w:r>
        <w:rPr>
          <w:spacing w:val="-3"/>
          <w:sz w:val="21"/>
        </w:rPr>
        <w:t>/关闭运行试验。</w:t>
      </w:r>
      <w:r>
        <w:rPr>
          <w:sz w:val="21"/>
        </w:rPr>
        <w:t> </w:t>
      </w:r>
    </w:p>
    <w:p>
      <w:pPr>
        <w:pStyle w:val="BodyText"/>
        <w:spacing w:before="2"/>
        <w:rPr>
          <w:sz w:val="18"/>
        </w:rPr>
      </w:pPr>
    </w:p>
    <w:p>
      <w:pPr>
        <w:pStyle w:val="ListParagraph"/>
        <w:numPr>
          <w:ilvl w:val="2"/>
          <w:numId w:val="458"/>
        </w:numPr>
        <w:tabs>
          <w:tab w:pos="1478" w:val="left" w:leader="none"/>
        </w:tabs>
        <w:spacing w:line="240" w:lineRule="auto" w:before="0" w:after="0"/>
        <w:ind w:left="1477" w:right="0" w:hanging="638"/>
        <w:jc w:val="left"/>
        <w:rPr>
          <w:sz w:val="21"/>
        </w:rPr>
      </w:pPr>
      <w:r>
        <w:rPr>
          <w:spacing w:val="-3"/>
          <w:sz w:val="21"/>
        </w:rPr>
        <w:t>每次试验时，仔细观察窗扇的关闭运行状况。 </w:t>
      </w:r>
    </w:p>
    <w:p>
      <w:pPr>
        <w:pStyle w:val="BodyText"/>
        <w:spacing w:before="12"/>
        <w:rPr>
          <w:sz w:val="17"/>
        </w:rPr>
      </w:pPr>
    </w:p>
    <w:p>
      <w:pPr>
        <w:spacing w:before="0"/>
        <w:ind w:left="840" w:right="0" w:firstLine="0"/>
        <w:jc w:val="left"/>
        <w:rPr>
          <w:sz w:val="21"/>
        </w:rPr>
      </w:pPr>
      <w:r>
        <w:rPr>
          <w:b/>
          <w:sz w:val="21"/>
        </w:rPr>
        <w:t>8.12 </w:t>
      </w:r>
      <w:r>
        <w:rPr>
          <w:sz w:val="21"/>
        </w:rPr>
        <w:t>窗扇自动关闭时间 </w:t>
      </w:r>
    </w:p>
    <w:p>
      <w:pPr>
        <w:pStyle w:val="BodyText"/>
        <w:rPr>
          <w:sz w:val="18"/>
        </w:rPr>
      </w:pPr>
    </w:p>
    <w:p>
      <w:pPr>
        <w:pStyle w:val="BodyText"/>
        <w:spacing w:line="446" w:lineRule="auto"/>
        <w:ind w:left="840" w:right="4343" w:hanging="3"/>
      </w:pPr>
      <w:r>
        <w:rPr/>
        <w:t>活动式防火窗的窗扇自动关闭时间按 8.13.2 的规定测试。</w:t>
      </w:r>
      <w:r>
        <w:rPr>
          <w:b/>
        </w:rPr>
        <w:t>8.13 </w:t>
      </w:r>
      <w:r>
        <w:rPr/>
        <w:t>耐火性能 </w:t>
      </w:r>
    </w:p>
    <w:p>
      <w:pPr>
        <w:pStyle w:val="ListParagraph"/>
        <w:numPr>
          <w:ilvl w:val="2"/>
          <w:numId w:val="459"/>
        </w:numPr>
        <w:tabs>
          <w:tab w:pos="1478" w:val="left" w:leader="none"/>
        </w:tabs>
        <w:spacing w:line="240" w:lineRule="auto" w:before="0" w:after="0"/>
        <w:ind w:left="1477" w:right="0" w:hanging="638"/>
        <w:jc w:val="left"/>
        <w:rPr>
          <w:b/>
          <w:sz w:val="21"/>
        </w:rPr>
      </w:pPr>
      <w:r>
        <w:rPr>
          <w:spacing w:val="-8"/>
          <w:sz w:val="21"/>
        </w:rPr>
        <w:t>防火窗的耐火性能按 </w:t>
      </w:r>
      <w:r>
        <w:rPr>
          <w:sz w:val="21"/>
        </w:rPr>
        <w:t>GB/T</w:t>
      </w:r>
      <w:r>
        <w:rPr>
          <w:spacing w:val="1"/>
          <w:sz w:val="21"/>
        </w:rPr>
        <w:t> </w:t>
      </w:r>
      <w:r>
        <w:rPr>
          <w:sz w:val="21"/>
        </w:rPr>
        <w:t>12513</w:t>
      </w:r>
      <w:r>
        <w:rPr>
          <w:spacing w:val="-10"/>
          <w:sz w:val="21"/>
        </w:rPr>
        <w:t> 的规定进行试验。</w:t>
      </w:r>
      <w:r>
        <w:rPr>
          <w:b/>
          <w:w w:val="99"/>
          <w:sz w:val="21"/>
        </w:rPr>
        <w:t> </w:t>
      </w:r>
    </w:p>
    <w:p>
      <w:pPr>
        <w:pStyle w:val="BodyText"/>
        <w:rPr>
          <w:b/>
          <w:sz w:val="18"/>
        </w:rPr>
      </w:pPr>
    </w:p>
    <w:p>
      <w:pPr>
        <w:pStyle w:val="ListParagraph"/>
        <w:numPr>
          <w:ilvl w:val="2"/>
          <w:numId w:val="459"/>
        </w:numPr>
        <w:tabs>
          <w:tab w:pos="1478" w:val="left" w:leader="none"/>
        </w:tabs>
        <w:spacing w:line="240" w:lineRule="auto" w:before="0" w:after="0"/>
        <w:ind w:left="1477" w:right="0" w:hanging="638"/>
        <w:jc w:val="left"/>
        <w:rPr>
          <w:b/>
          <w:sz w:val="21"/>
        </w:rPr>
      </w:pPr>
      <w:r>
        <w:rPr>
          <w:spacing w:val="-6"/>
          <w:sz w:val="21"/>
        </w:rPr>
        <w:t>活动式防火窗的耐火性能试验，除满足 </w:t>
      </w:r>
      <w:r>
        <w:rPr>
          <w:sz w:val="21"/>
        </w:rPr>
        <w:t>8.13.1</w:t>
      </w:r>
      <w:r>
        <w:rPr>
          <w:spacing w:val="-9"/>
          <w:sz w:val="21"/>
        </w:rPr>
        <w:t> 的规定外，还应满足下述规定：</w:t>
      </w:r>
      <w:r>
        <w:rPr>
          <w:b/>
          <w:w w:val="99"/>
          <w:sz w:val="21"/>
        </w:rPr>
        <w:t> </w:t>
      </w:r>
    </w:p>
    <w:p>
      <w:pPr>
        <w:spacing w:after="0" w:line="240" w:lineRule="auto"/>
        <w:jc w:val="left"/>
        <w:rPr>
          <w:sz w:val="21"/>
        </w:rPr>
        <w:sectPr>
          <w:footerReference w:type="default" r:id="rId284"/>
          <w:pgSz w:w="11910" w:h="16850"/>
          <w:pgMar w:footer="1239" w:header="0" w:top="1520" w:bottom="1420" w:left="1260" w:right="0"/>
          <w:pgNumType w:start="1180"/>
        </w:sectPr>
      </w:pPr>
    </w:p>
    <w:p>
      <w:pPr>
        <w:pStyle w:val="ListParagraph"/>
        <w:numPr>
          <w:ilvl w:val="0"/>
          <w:numId w:val="460"/>
        </w:numPr>
        <w:tabs>
          <w:tab w:pos="1156" w:val="left" w:leader="none"/>
        </w:tabs>
        <w:spacing w:line="240" w:lineRule="auto" w:before="47" w:after="0"/>
        <w:ind w:left="1155" w:right="0" w:hanging="318"/>
        <w:jc w:val="left"/>
        <w:rPr>
          <w:sz w:val="21"/>
        </w:rPr>
      </w:pPr>
      <w:r>
        <w:rPr>
          <w:spacing w:val="-3"/>
          <w:sz w:val="21"/>
        </w:rPr>
        <w:t>开始试验前，活动窗扇处于开启状态；</w:t>
      </w:r>
      <w:r>
        <w:rPr>
          <w:sz w:val="21"/>
        </w:rPr>
        <w:t> </w:t>
      </w:r>
    </w:p>
    <w:p>
      <w:pPr>
        <w:pStyle w:val="BodyText"/>
        <w:rPr>
          <w:sz w:val="18"/>
        </w:rPr>
      </w:pPr>
    </w:p>
    <w:p>
      <w:pPr>
        <w:pStyle w:val="ListParagraph"/>
        <w:numPr>
          <w:ilvl w:val="0"/>
          <w:numId w:val="460"/>
        </w:numPr>
        <w:tabs>
          <w:tab w:pos="1156" w:val="left" w:leader="none"/>
        </w:tabs>
        <w:spacing w:line="240" w:lineRule="auto" w:before="0" w:after="0"/>
        <w:ind w:left="1155" w:right="0" w:hanging="318"/>
        <w:jc w:val="left"/>
        <w:rPr>
          <w:sz w:val="21"/>
        </w:rPr>
      </w:pPr>
      <w:r>
        <w:rPr>
          <w:spacing w:val="-3"/>
          <w:sz w:val="21"/>
        </w:rPr>
        <w:t>开始进行耐火试验的同时，采用秒表计时，观察并记录窗扇自动关闭时间； </w:t>
      </w:r>
    </w:p>
    <w:p>
      <w:pPr>
        <w:pStyle w:val="BodyText"/>
        <w:rPr>
          <w:sz w:val="18"/>
        </w:rPr>
      </w:pPr>
    </w:p>
    <w:p>
      <w:pPr>
        <w:pStyle w:val="ListParagraph"/>
        <w:numPr>
          <w:ilvl w:val="0"/>
          <w:numId w:val="460"/>
        </w:numPr>
        <w:tabs>
          <w:tab w:pos="1156" w:val="left" w:leader="none"/>
        </w:tabs>
        <w:spacing w:line="446" w:lineRule="auto" w:before="0" w:after="0"/>
        <w:ind w:left="418" w:right="1611" w:firstLine="419"/>
        <w:jc w:val="left"/>
        <w:rPr>
          <w:sz w:val="21"/>
        </w:rPr>
      </w:pPr>
      <w:r>
        <w:rPr>
          <w:spacing w:val="-6"/>
          <w:sz w:val="21"/>
        </w:rPr>
        <w:t>若窗扇在耐火试验开始 </w:t>
      </w:r>
      <w:r>
        <w:rPr>
          <w:sz w:val="21"/>
        </w:rPr>
        <w:t>60s（</w:t>
      </w:r>
      <w:r>
        <w:rPr>
          <w:spacing w:val="-20"/>
          <w:sz w:val="21"/>
        </w:rPr>
        <w:t>含 </w:t>
      </w:r>
      <w:r>
        <w:rPr>
          <w:sz w:val="21"/>
        </w:rPr>
        <w:t>60s）</w:t>
      </w:r>
      <w:r>
        <w:rPr>
          <w:spacing w:val="-3"/>
          <w:sz w:val="21"/>
        </w:rPr>
        <w:t>内可靠地自动关闭，则继续进行耐火试验，否则耐火试验可以停止。</w:t>
      </w:r>
      <w:r>
        <w:rPr>
          <w:sz w:val="21"/>
        </w:rPr>
        <w:t> </w:t>
      </w:r>
    </w:p>
    <w:p>
      <w:pPr>
        <w:pStyle w:val="ListParagraph"/>
        <w:numPr>
          <w:ilvl w:val="2"/>
          <w:numId w:val="459"/>
        </w:numPr>
        <w:tabs>
          <w:tab w:pos="1478" w:val="left" w:leader="none"/>
        </w:tabs>
        <w:spacing w:line="240" w:lineRule="auto" w:before="0" w:after="0"/>
        <w:ind w:left="1477" w:right="0" w:hanging="638"/>
        <w:jc w:val="left"/>
        <w:rPr>
          <w:b/>
          <w:sz w:val="21"/>
        </w:rPr>
      </w:pPr>
      <w:r>
        <w:rPr>
          <w:spacing w:val="-3"/>
          <w:sz w:val="21"/>
        </w:rPr>
        <w:t>防火窗的耐火性能判定准则为：</w:t>
      </w:r>
      <w:r>
        <w:rPr>
          <w:b/>
          <w:w w:val="99"/>
          <w:sz w:val="21"/>
        </w:rPr>
        <w:t> </w:t>
      </w:r>
    </w:p>
    <w:p>
      <w:pPr>
        <w:pStyle w:val="BodyText"/>
        <w:spacing w:before="12"/>
        <w:rPr>
          <w:b/>
          <w:sz w:val="17"/>
        </w:rPr>
      </w:pPr>
    </w:p>
    <w:p>
      <w:pPr>
        <w:pStyle w:val="BodyText"/>
        <w:spacing w:line="446" w:lineRule="auto"/>
        <w:ind w:left="418" w:right="1505" w:firstLine="419"/>
      </w:pPr>
      <w:r>
        <w:rPr>
          <w:w w:val="100"/>
        </w:rPr>
        <w:t> </w:t>
      </w:r>
      <w:r>
        <w:rPr/>
        <w:t>a）</w:t>
      </w:r>
      <w:r>
        <w:rPr>
          <w:spacing w:val="-7"/>
        </w:rPr>
        <w:t>隔热性防火窗的耐火性能按 </w:t>
      </w:r>
      <w:r>
        <w:rPr/>
        <w:t>GB/T 12513</w:t>
      </w:r>
      <w:r>
        <w:rPr>
          <w:spacing w:val="-8"/>
        </w:rPr>
        <w:t> 关于隔热性镶玻璃构件判定准则的规定进行判</w:t>
      </w:r>
      <w:r>
        <w:rPr>
          <w:spacing w:val="-6"/>
        </w:rPr>
        <w:t>定。</w:t>
      </w:r>
      <w:r>
        <w:rPr/>
        <w:t> </w:t>
      </w:r>
    </w:p>
    <w:p>
      <w:pPr>
        <w:pStyle w:val="BodyText"/>
        <w:spacing w:line="446" w:lineRule="auto"/>
        <w:ind w:left="418" w:right="1505" w:firstLine="419"/>
      </w:pPr>
      <w:r>
        <w:rPr>
          <w:w w:val="100"/>
        </w:rPr>
        <w:t> </w:t>
      </w:r>
      <w:r>
        <w:rPr/>
        <w:t>b）</w:t>
      </w:r>
      <w:r>
        <w:rPr>
          <w:spacing w:val="-6"/>
        </w:rPr>
        <w:t>非隔热性防火窗的耐火性能按 </w:t>
      </w:r>
      <w:r>
        <w:rPr/>
        <w:t>GB/T 12513</w:t>
      </w:r>
      <w:r>
        <w:rPr>
          <w:spacing w:val="-8"/>
        </w:rPr>
        <w:t> 关于非隔热性镶玻璃构件判定准则的规定进</w:t>
      </w:r>
      <w:r>
        <w:rPr>
          <w:spacing w:val="-6"/>
        </w:rPr>
        <w:t>行判定。</w:t>
      </w:r>
      <w:r>
        <w:rPr/>
        <w:t> </w:t>
      </w:r>
    </w:p>
    <w:p>
      <w:pPr>
        <w:pStyle w:val="Heading4"/>
        <w:spacing w:line="277" w:lineRule="exact"/>
      </w:pPr>
      <w:r>
        <w:rPr/>
        <w:t>9 检验规则</w:t>
      </w:r>
      <w:r>
        <w:rPr>
          <w:w w:val="99"/>
        </w:rPr>
        <w:t> </w:t>
      </w:r>
    </w:p>
    <w:p>
      <w:pPr>
        <w:pStyle w:val="BodyText"/>
        <w:spacing w:before="4"/>
        <w:rPr>
          <w:b/>
          <w:sz w:val="17"/>
        </w:rPr>
      </w:pPr>
    </w:p>
    <w:p>
      <w:pPr>
        <w:pStyle w:val="ListParagraph"/>
        <w:numPr>
          <w:ilvl w:val="1"/>
          <w:numId w:val="461"/>
        </w:numPr>
        <w:tabs>
          <w:tab w:pos="1159" w:val="left" w:leader="none"/>
        </w:tabs>
        <w:spacing w:line="240" w:lineRule="auto" w:before="0" w:after="0"/>
        <w:ind w:left="1158" w:right="0" w:hanging="319"/>
        <w:jc w:val="left"/>
        <w:rPr>
          <w:sz w:val="21"/>
        </w:rPr>
      </w:pPr>
      <w:r>
        <w:rPr>
          <w:spacing w:val="-3"/>
          <w:sz w:val="21"/>
        </w:rPr>
        <w:t>出厂检验</w:t>
      </w:r>
      <w:r>
        <w:rPr>
          <w:sz w:val="21"/>
        </w:rPr>
        <w:t> </w:t>
      </w:r>
    </w:p>
    <w:p>
      <w:pPr>
        <w:pStyle w:val="BodyText"/>
        <w:rPr>
          <w:sz w:val="18"/>
        </w:rPr>
      </w:pPr>
    </w:p>
    <w:p>
      <w:pPr>
        <w:pStyle w:val="BodyText"/>
        <w:spacing w:line="446" w:lineRule="auto"/>
        <w:ind w:left="418" w:right="1493" w:firstLine="422"/>
      </w:pPr>
      <w:r>
        <w:rPr>
          <w:b/>
        </w:rPr>
        <w:t>9.1.1 </w:t>
      </w:r>
      <w:r>
        <w:rPr/>
        <w:t>防火窗的出厂检验项目至少应包括 7.1.1、7.1.2、7.1.3、7.2.1、7.2.2、7.2.3， 出厂检验的抽样方法参见 GB/T 2828.1，抽样方案由生产企业自主确定。 </w:t>
      </w:r>
    </w:p>
    <w:p>
      <w:pPr>
        <w:pStyle w:val="ListParagraph"/>
        <w:numPr>
          <w:ilvl w:val="2"/>
          <w:numId w:val="462"/>
        </w:numPr>
        <w:tabs>
          <w:tab w:pos="1370" w:val="left" w:leader="none"/>
        </w:tabs>
        <w:spacing w:line="446" w:lineRule="auto" w:before="0" w:after="0"/>
        <w:ind w:left="418" w:right="1604" w:firstLine="422"/>
        <w:jc w:val="left"/>
        <w:rPr>
          <w:sz w:val="21"/>
        </w:rPr>
      </w:pPr>
      <w:r>
        <w:rPr>
          <w:spacing w:val="-3"/>
          <w:sz w:val="21"/>
        </w:rPr>
        <w:t>防火窗的出厂检验项目中任一项不合格时，允许通过调整、修复后重新检验，直至合格为止。</w:t>
      </w:r>
      <w:r>
        <w:rPr>
          <w:sz w:val="21"/>
        </w:rPr>
        <w:t> </w:t>
      </w:r>
    </w:p>
    <w:p>
      <w:pPr>
        <w:pStyle w:val="ListParagraph"/>
        <w:numPr>
          <w:ilvl w:val="2"/>
          <w:numId w:val="462"/>
        </w:numPr>
        <w:tabs>
          <w:tab w:pos="1371" w:val="left" w:leader="none"/>
        </w:tabs>
        <w:spacing w:line="446" w:lineRule="auto" w:before="0" w:after="0"/>
        <w:ind w:left="418" w:right="1604" w:firstLine="422"/>
        <w:jc w:val="left"/>
        <w:rPr>
          <w:sz w:val="21"/>
        </w:rPr>
      </w:pPr>
      <w:r>
        <w:rPr>
          <w:spacing w:val="-3"/>
          <w:sz w:val="21"/>
        </w:rPr>
        <w:t>防火窗必须经生产厂的质量检验部门按出厂检验项目逐项检验合格，并签发合格证后方可出厂。</w:t>
      </w:r>
      <w:r>
        <w:rPr>
          <w:sz w:val="21"/>
        </w:rPr>
        <w:t> </w:t>
      </w:r>
    </w:p>
    <w:p>
      <w:pPr>
        <w:pStyle w:val="ListParagraph"/>
        <w:numPr>
          <w:ilvl w:val="1"/>
          <w:numId w:val="461"/>
        </w:numPr>
        <w:tabs>
          <w:tab w:pos="1160" w:val="left" w:leader="none"/>
        </w:tabs>
        <w:spacing w:line="267" w:lineRule="exact" w:before="0" w:after="0"/>
        <w:ind w:left="1159" w:right="0" w:hanging="320"/>
        <w:jc w:val="left"/>
        <w:rPr>
          <w:b/>
          <w:sz w:val="21"/>
        </w:rPr>
      </w:pPr>
      <w:r>
        <w:rPr>
          <w:spacing w:val="-3"/>
          <w:sz w:val="21"/>
        </w:rPr>
        <w:t>形式检验</w:t>
      </w:r>
      <w:r>
        <w:rPr>
          <w:b/>
          <w:w w:val="99"/>
          <w:sz w:val="21"/>
        </w:rPr>
        <w:t> </w:t>
      </w:r>
    </w:p>
    <w:p>
      <w:pPr>
        <w:pStyle w:val="BodyText"/>
        <w:spacing w:before="2"/>
        <w:rPr>
          <w:b/>
          <w:sz w:val="18"/>
        </w:rPr>
      </w:pPr>
    </w:p>
    <w:p>
      <w:pPr>
        <w:pStyle w:val="ListParagraph"/>
        <w:numPr>
          <w:ilvl w:val="2"/>
          <w:numId w:val="461"/>
        </w:numPr>
        <w:tabs>
          <w:tab w:pos="1371" w:val="left" w:leader="none"/>
        </w:tabs>
        <w:spacing w:line="446" w:lineRule="auto" w:before="0" w:after="0"/>
        <w:ind w:left="418" w:right="1604" w:firstLine="422"/>
        <w:jc w:val="left"/>
        <w:rPr>
          <w:sz w:val="21"/>
        </w:rPr>
      </w:pPr>
      <w:r>
        <w:rPr>
          <w:spacing w:val="-6"/>
          <w:sz w:val="21"/>
        </w:rPr>
        <w:t>防火窗的形式检验项目为本标准第 </w:t>
      </w:r>
      <w:r>
        <w:rPr>
          <w:sz w:val="21"/>
        </w:rPr>
        <w:t>7</w:t>
      </w:r>
      <w:r>
        <w:rPr>
          <w:spacing w:val="-8"/>
          <w:sz w:val="21"/>
        </w:rPr>
        <w:t> 章规定的全部要求内容，防火窗的通用检验项</w:t>
      </w:r>
      <w:r>
        <w:rPr>
          <w:spacing w:val="-17"/>
          <w:sz w:val="21"/>
        </w:rPr>
        <w:t>目见表 </w:t>
      </w:r>
      <w:r>
        <w:rPr>
          <w:sz w:val="21"/>
        </w:rPr>
        <w:t>6</w:t>
      </w:r>
      <w:r>
        <w:rPr>
          <w:spacing w:val="-6"/>
          <w:sz w:val="21"/>
        </w:rPr>
        <w:t>，活动式防火窗的附加检验项目见表 </w:t>
      </w:r>
      <w:r>
        <w:rPr>
          <w:sz w:val="21"/>
        </w:rPr>
        <w:t>7</w:t>
      </w:r>
      <w:r>
        <w:rPr>
          <w:spacing w:val="-3"/>
          <w:sz w:val="21"/>
        </w:rPr>
        <w:t>。</w:t>
      </w:r>
      <w:r>
        <w:rPr>
          <w:sz w:val="21"/>
        </w:rPr>
        <w:t> </w:t>
      </w:r>
    </w:p>
    <w:p>
      <w:pPr>
        <w:pStyle w:val="ListParagraph"/>
        <w:numPr>
          <w:ilvl w:val="2"/>
          <w:numId w:val="461"/>
        </w:numPr>
        <w:tabs>
          <w:tab w:pos="1371" w:val="left" w:leader="none"/>
        </w:tabs>
        <w:spacing w:line="446" w:lineRule="auto" w:before="0" w:after="0"/>
        <w:ind w:left="418" w:right="1604" w:firstLine="422"/>
        <w:jc w:val="left"/>
        <w:rPr>
          <w:sz w:val="21"/>
        </w:rPr>
      </w:pPr>
      <w:r>
        <w:rPr>
          <w:spacing w:val="-5"/>
          <w:sz w:val="21"/>
        </w:rPr>
        <w:t>一种型号防火窗进行形式检验时，其抽样基数不应小于 </w:t>
      </w:r>
      <w:r>
        <w:rPr>
          <w:sz w:val="21"/>
        </w:rPr>
        <w:t>6</w:t>
      </w:r>
      <w:r>
        <w:rPr>
          <w:spacing w:val="-8"/>
          <w:sz w:val="21"/>
        </w:rPr>
        <w:t> 樘，且应是出厂检验合格的产品，抽取样品的数量和检验程序见图 </w:t>
      </w:r>
      <w:r>
        <w:rPr>
          <w:sz w:val="21"/>
        </w:rPr>
        <w:t>5</w:t>
      </w:r>
      <w:r>
        <w:rPr>
          <w:spacing w:val="-3"/>
          <w:sz w:val="21"/>
        </w:rPr>
        <w:t>。</w:t>
      </w:r>
      <w:r>
        <w:rPr>
          <w:sz w:val="21"/>
        </w:rPr>
        <w:t> </w:t>
      </w:r>
    </w:p>
    <w:p>
      <w:pPr>
        <w:pStyle w:val="BodyText"/>
        <w:ind w:left="5021"/>
      </w:pPr>
      <w:r>
        <w:rPr>
          <w:w w:val="100"/>
        </w:rPr>
        <w:t> </w:t>
      </w:r>
    </w:p>
    <w:p>
      <w:pPr>
        <w:spacing w:after="0"/>
        <w:sectPr>
          <w:pgSz w:w="11910" w:h="16850"/>
          <w:pgMar w:header="0" w:footer="1239" w:top="1220" w:bottom="1420" w:left="1260" w:right="0"/>
        </w:sectPr>
      </w:pPr>
    </w:p>
    <w:p>
      <w:pPr>
        <w:pStyle w:val="BodyText"/>
        <w:ind w:left="1062"/>
        <w:rPr>
          <w:sz w:val="20"/>
        </w:rPr>
      </w:pPr>
      <w:r>
        <w:rPr>
          <w:sz w:val="20"/>
        </w:rPr>
        <w:drawing>
          <wp:inline distT="0" distB="0" distL="0" distR="0">
            <wp:extent cx="4502816" cy="2438400"/>
            <wp:effectExtent l="0" t="0" r="0" b="0"/>
            <wp:docPr id="399" name="image236.jpeg"/>
            <wp:cNvGraphicFramePr>
              <a:graphicFrameLocks noChangeAspect="1"/>
            </wp:cNvGraphicFramePr>
            <a:graphic>
              <a:graphicData uri="http://schemas.openxmlformats.org/drawingml/2006/picture">
                <pic:pic>
                  <pic:nvPicPr>
                    <pic:cNvPr id="400" name="image236.jpeg"/>
                    <pic:cNvPicPr/>
                  </pic:nvPicPr>
                  <pic:blipFill>
                    <a:blip r:embed="rId286" cstate="print"/>
                    <a:stretch>
                      <a:fillRect/>
                    </a:stretch>
                  </pic:blipFill>
                  <pic:spPr>
                    <a:xfrm>
                      <a:off x="0" y="0"/>
                      <a:ext cx="4502816" cy="2438400"/>
                    </a:xfrm>
                    <a:prstGeom prst="rect">
                      <a:avLst/>
                    </a:prstGeom>
                  </pic:spPr>
                </pic:pic>
              </a:graphicData>
            </a:graphic>
          </wp:inline>
        </w:drawing>
      </w:r>
      <w:r>
        <w:rPr>
          <w:sz w:val="20"/>
        </w:rPr>
      </w:r>
    </w:p>
    <w:p>
      <w:pPr>
        <w:pStyle w:val="BodyText"/>
        <w:spacing w:before="1"/>
        <w:rPr>
          <w:sz w:val="16"/>
        </w:rPr>
      </w:pPr>
    </w:p>
    <w:p>
      <w:pPr>
        <w:pStyle w:val="Heading6"/>
        <w:spacing w:before="72"/>
        <w:ind w:left="3521"/>
        <w:rPr>
          <w:b w:val="0"/>
        </w:rPr>
      </w:pPr>
      <w:r>
        <w:rPr/>
        <w:t>图 5 防火窗试验程序和样品数量</w:t>
      </w:r>
      <w:r>
        <w:rPr>
          <w:b w:val="0"/>
          <w:w w:val="100"/>
        </w:rPr>
        <w:t> </w:t>
      </w:r>
    </w:p>
    <w:p>
      <w:pPr>
        <w:pStyle w:val="BodyText"/>
        <w:spacing w:before="12"/>
        <w:rPr>
          <w:sz w:val="17"/>
        </w:rPr>
      </w:pPr>
    </w:p>
    <w:p>
      <w:pPr>
        <w:pStyle w:val="BodyText"/>
        <w:ind w:left="838"/>
      </w:pPr>
      <w:r>
        <w:rPr>
          <w:spacing w:val="-3"/>
        </w:rPr>
        <w:t>注：方框中数字为样品数量。</w:t>
      </w:r>
      <w:r>
        <w:rPr/>
        <w:t> </w:t>
      </w:r>
    </w:p>
    <w:p>
      <w:pPr>
        <w:pStyle w:val="BodyText"/>
        <w:rPr>
          <w:sz w:val="18"/>
        </w:rPr>
      </w:pPr>
    </w:p>
    <w:p>
      <w:pPr>
        <w:pStyle w:val="ListParagraph"/>
        <w:numPr>
          <w:ilvl w:val="2"/>
          <w:numId w:val="461"/>
        </w:numPr>
        <w:tabs>
          <w:tab w:pos="1371" w:val="left" w:leader="none"/>
        </w:tabs>
        <w:spacing w:line="446" w:lineRule="auto" w:before="0" w:after="0"/>
        <w:ind w:left="838" w:right="5704" w:firstLine="2"/>
        <w:jc w:val="left"/>
        <w:rPr>
          <w:sz w:val="21"/>
        </w:rPr>
      </w:pPr>
      <w:r>
        <w:rPr>
          <w:spacing w:val="-3"/>
          <w:sz w:val="21"/>
        </w:rPr>
        <w:t>有下列情况之一时应进行形式检验： </w:t>
      </w:r>
      <w:r>
        <w:rPr>
          <w:sz w:val="21"/>
        </w:rPr>
        <w:t>a）</w:t>
      </w:r>
      <w:r>
        <w:rPr>
          <w:spacing w:val="-3"/>
          <w:sz w:val="21"/>
        </w:rPr>
        <w:t>新产品投产或老产品转厂生产时；</w:t>
      </w:r>
      <w:r>
        <w:rPr>
          <w:sz w:val="21"/>
        </w:rPr>
        <w:t> </w:t>
      </w:r>
    </w:p>
    <w:p>
      <w:pPr>
        <w:pStyle w:val="ListParagraph"/>
        <w:numPr>
          <w:ilvl w:val="0"/>
          <w:numId w:val="463"/>
        </w:numPr>
        <w:tabs>
          <w:tab w:pos="1156" w:val="left" w:leader="none"/>
        </w:tabs>
        <w:spacing w:line="446" w:lineRule="auto" w:before="0" w:after="0"/>
        <w:ind w:left="418" w:right="1505" w:firstLine="419"/>
        <w:jc w:val="left"/>
        <w:rPr>
          <w:sz w:val="21"/>
        </w:rPr>
      </w:pPr>
      <w:r>
        <w:rPr>
          <w:spacing w:val="-3"/>
          <w:sz w:val="21"/>
        </w:rPr>
        <w:t>正式生产后，产品的结构、材料、生产工艺、关键工序的加工方法等有较大改变，可能影响产品的性能时；</w:t>
      </w:r>
      <w:r>
        <w:rPr>
          <w:sz w:val="21"/>
        </w:rPr>
        <w:t> </w:t>
      </w:r>
    </w:p>
    <w:p>
      <w:pPr>
        <w:pStyle w:val="ListParagraph"/>
        <w:numPr>
          <w:ilvl w:val="0"/>
          <w:numId w:val="463"/>
        </w:numPr>
        <w:tabs>
          <w:tab w:pos="1156" w:val="left" w:leader="none"/>
        </w:tabs>
        <w:spacing w:line="446" w:lineRule="auto" w:before="0" w:after="0"/>
        <w:ind w:left="838" w:right="6234" w:firstLine="0"/>
        <w:jc w:val="left"/>
        <w:rPr>
          <w:sz w:val="21"/>
        </w:rPr>
      </w:pPr>
      <w:r>
        <w:rPr>
          <w:spacing w:val="-3"/>
          <w:sz w:val="21"/>
        </w:rPr>
        <w:t>正常生产，每三年不少于一次； </w:t>
      </w:r>
      <w:r>
        <w:rPr>
          <w:sz w:val="21"/>
        </w:rPr>
        <w:t>d）</w:t>
      </w:r>
      <w:r>
        <w:rPr>
          <w:spacing w:val="-3"/>
          <w:sz w:val="21"/>
        </w:rPr>
        <w:t>产品停产一年以上，恢复生产时；</w:t>
      </w:r>
      <w:r>
        <w:rPr>
          <w:sz w:val="21"/>
        </w:rPr>
        <w:t> </w:t>
      </w:r>
    </w:p>
    <w:p>
      <w:pPr>
        <w:pStyle w:val="BodyText"/>
        <w:spacing w:line="446" w:lineRule="auto"/>
        <w:ind w:left="838" w:right="4657"/>
      </w:pPr>
      <w:r>
        <w:rPr/>
        <w:t>e）出厂检验结果与上次形式检验结果有较大差异时； f）发生重大质量事故时； </w:t>
      </w:r>
    </w:p>
    <w:p>
      <w:pPr>
        <w:pStyle w:val="BodyText"/>
        <w:spacing w:line="446" w:lineRule="auto"/>
        <w:ind w:left="840" w:right="5605" w:hanging="3"/>
      </w:pPr>
      <w:r>
        <w:rPr/>
        <w:t>g）质量监督机构依法提出形式检验要求时。</w:t>
      </w:r>
      <w:r>
        <w:rPr>
          <w:b/>
        </w:rPr>
        <w:t>9.2.4 </w:t>
      </w:r>
      <w:r>
        <w:rPr/>
        <w:t>防火窗形式检验的判定准则为： </w:t>
      </w:r>
    </w:p>
    <w:p>
      <w:pPr>
        <w:pStyle w:val="ListParagraph"/>
        <w:numPr>
          <w:ilvl w:val="0"/>
          <w:numId w:val="464"/>
        </w:numPr>
        <w:tabs>
          <w:tab w:pos="1156" w:val="left" w:leader="none"/>
        </w:tabs>
        <w:spacing w:line="446" w:lineRule="auto" w:before="0" w:after="0"/>
        <w:ind w:left="418" w:right="1505" w:firstLine="419"/>
        <w:jc w:val="right"/>
        <w:rPr>
          <w:sz w:val="21"/>
        </w:rPr>
      </w:pPr>
      <w:r>
        <w:rPr>
          <w:spacing w:val="-8"/>
          <w:sz w:val="21"/>
        </w:rPr>
        <w:t>固定式防火窗按表 </w:t>
      </w:r>
      <w:r>
        <w:rPr>
          <w:sz w:val="21"/>
        </w:rPr>
        <w:t>6</w:t>
      </w:r>
      <w:r>
        <w:rPr>
          <w:spacing w:val="-11"/>
          <w:sz w:val="21"/>
        </w:rPr>
        <w:t> 所列项目的形式检验结果，不含 </w:t>
      </w:r>
      <w:r>
        <w:rPr>
          <w:sz w:val="21"/>
        </w:rPr>
        <w:t>A</w:t>
      </w:r>
      <w:r>
        <w:rPr>
          <w:spacing w:val="-9"/>
          <w:sz w:val="21"/>
        </w:rPr>
        <w:t> 类不合格项，</w:t>
      </w:r>
      <w:r>
        <w:rPr>
          <w:sz w:val="21"/>
        </w:rPr>
        <w:t>B</w:t>
      </w:r>
      <w:r>
        <w:rPr>
          <w:spacing w:val="-25"/>
          <w:sz w:val="21"/>
        </w:rPr>
        <w:t> 类和 </w:t>
      </w:r>
      <w:r>
        <w:rPr>
          <w:sz w:val="21"/>
        </w:rPr>
        <w:t>C</w:t>
      </w:r>
      <w:r>
        <w:rPr>
          <w:spacing w:val="-12"/>
          <w:sz w:val="21"/>
        </w:rPr>
        <w:t> 类不合格</w:t>
      </w:r>
      <w:r>
        <w:rPr>
          <w:spacing w:val="-8"/>
          <w:sz w:val="21"/>
        </w:rPr>
        <w:t>项之和不大于二项，且 </w:t>
      </w:r>
      <w:r>
        <w:rPr>
          <w:sz w:val="21"/>
        </w:rPr>
        <w:t>B</w:t>
      </w:r>
      <w:r>
        <w:rPr>
          <w:spacing w:val="-7"/>
          <w:sz w:val="21"/>
        </w:rPr>
        <w:t> 类不合格项不大于一项，判形式检验合格；否则判形式检验不合格。</w:t>
      </w:r>
      <w:r>
        <w:rPr>
          <w:w w:val="100"/>
          <w:sz w:val="21"/>
        </w:rPr>
        <w:t> </w:t>
      </w:r>
      <w:r>
        <w:rPr>
          <w:sz w:val="21"/>
        </w:rPr>
        <w:t>b）</w:t>
      </w:r>
      <w:r>
        <w:rPr>
          <w:spacing w:val="-8"/>
          <w:sz w:val="21"/>
        </w:rPr>
        <w:t>活动式防火窗按表 </w:t>
      </w:r>
      <w:r>
        <w:rPr>
          <w:sz w:val="21"/>
        </w:rPr>
        <w:t>6</w:t>
      </w:r>
      <w:r>
        <w:rPr>
          <w:spacing w:val="-26"/>
          <w:sz w:val="21"/>
        </w:rPr>
        <w:t> 和表 </w:t>
      </w:r>
      <w:r>
        <w:rPr>
          <w:sz w:val="21"/>
        </w:rPr>
        <w:t>7</w:t>
      </w:r>
      <w:r>
        <w:rPr>
          <w:spacing w:val="-12"/>
          <w:sz w:val="21"/>
        </w:rPr>
        <w:t> 所列项目的检验结果，不含 </w:t>
      </w:r>
      <w:r>
        <w:rPr>
          <w:sz w:val="21"/>
        </w:rPr>
        <w:t>A</w:t>
      </w:r>
      <w:r>
        <w:rPr>
          <w:spacing w:val="-11"/>
          <w:sz w:val="21"/>
        </w:rPr>
        <w:t> 类不合格项</w:t>
      </w:r>
      <w:r>
        <w:rPr>
          <w:sz w:val="21"/>
        </w:rPr>
        <w:t>，B</w:t>
      </w:r>
      <w:r>
        <w:rPr>
          <w:spacing w:val="-25"/>
          <w:sz w:val="21"/>
        </w:rPr>
        <w:t> 类和 </w:t>
      </w:r>
      <w:r>
        <w:rPr>
          <w:sz w:val="21"/>
        </w:rPr>
        <w:t>C</w:t>
      </w:r>
      <w:r>
        <w:rPr>
          <w:spacing w:val="-14"/>
          <w:sz w:val="21"/>
        </w:rPr>
        <w:t> 类不合</w:t>
      </w:r>
    </w:p>
    <w:p>
      <w:pPr>
        <w:pStyle w:val="BodyText"/>
        <w:spacing w:line="446" w:lineRule="auto"/>
        <w:ind w:left="418" w:right="1820"/>
      </w:pPr>
      <w:r>
        <w:rPr/>
        <w:t>格项之和不大于四项，且B 类不合格项不大于一项，判形式检验合格；否则判形式检验不合格。 </w:t>
      </w:r>
    </w:p>
    <w:p>
      <w:pPr>
        <w:pStyle w:val="BodyText"/>
        <w:rPr>
          <w:sz w:val="20"/>
        </w:rPr>
      </w:pPr>
    </w:p>
    <w:p>
      <w:pPr>
        <w:pStyle w:val="BodyText"/>
        <w:spacing w:before="9"/>
        <w:rPr>
          <w:sz w:val="18"/>
        </w:rPr>
      </w:pPr>
    </w:p>
    <w:p>
      <w:pPr>
        <w:pStyle w:val="Heading6"/>
        <w:ind w:right="490"/>
        <w:jc w:val="center"/>
        <w:rPr>
          <w:b w:val="0"/>
        </w:rPr>
      </w:pPr>
      <w:r>
        <w:rPr/>
        <w:t>表 6 防火窗通用检验项目</w:t>
      </w:r>
      <w:r>
        <w:rPr>
          <w:b w:val="0"/>
          <w:w w:val="100"/>
        </w:rPr>
        <w:t> </w:t>
      </w:r>
    </w:p>
    <w:p>
      <w:pPr>
        <w:spacing w:after="0"/>
        <w:jc w:val="center"/>
        <w:sectPr>
          <w:pgSz w:w="11910" w:h="16850"/>
          <w:pgMar w:header="0" w:footer="1239" w:top="1480" w:bottom="1420" w:left="1260" w:right="0"/>
        </w:sectPr>
      </w:pPr>
    </w:p>
    <w:p>
      <w:pPr>
        <w:pStyle w:val="BodyText"/>
        <w:spacing w:before="6"/>
        <w:rPr>
          <w:sz w:val="16"/>
        </w:rPr>
      </w:pPr>
    </w:p>
    <w:p>
      <w:pPr>
        <w:pStyle w:val="BodyText"/>
        <w:ind w:left="1216"/>
        <w:rPr>
          <w:sz w:val="20"/>
        </w:rPr>
      </w:pPr>
      <w:r>
        <w:rPr>
          <w:sz w:val="20"/>
        </w:rPr>
        <w:drawing>
          <wp:inline distT="0" distB="0" distL="0" distR="0">
            <wp:extent cx="4506760" cy="4844034"/>
            <wp:effectExtent l="0" t="0" r="0" b="0"/>
            <wp:docPr id="401" name="image237.jpeg"/>
            <wp:cNvGraphicFramePr>
              <a:graphicFrameLocks noChangeAspect="1"/>
            </wp:cNvGraphicFramePr>
            <a:graphic>
              <a:graphicData uri="http://schemas.openxmlformats.org/drawingml/2006/picture">
                <pic:pic>
                  <pic:nvPicPr>
                    <pic:cNvPr id="402" name="image237.jpeg"/>
                    <pic:cNvPicPr/>
                  </pic:nvPicPr>
                  <pic:blipFill>
                    <a:blip r:embed="rId287" cstate="print"/>
                    <a:stretch>
                      <a:fillRect/>
                    </a:stretch>
                  </pic:blipFill>
                  <pic:spPr>
                    <a:xfrm>
                      <a:off x="0" y="0"/>
                      <a:ext cx="4506760" cy="4844034"/>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before="71"/>
        <w:ind w:left="0" w:right="490" w:firstLine="0"/>
        <w:jc w:val="center"/>
        <w:rPr>
          <w:b/>
          <w:sz w:val="21"/>
        </w:rPr>
      </w:pPr>
      <w:r>
        <w:rPr>
          <w:b/>
          <w:w w:val="99"/>
          <w:sz w:val="21"/>
        </w:rPr>
        <w:t> </w:t>
      </w:r>
    </w:p>
    <w:p>
      <w:pPr>
        <w:spacing w:after="0"/>
        <w:jc w:val="center"/>
        <w:rPr>
          <w:sz w:val="21"/>
        </w:rPr>
        <w:sectPr>
          <w:pgSz w:w="11910" w:h="16850"/>
          <w:pgMar w:header="0" w:footer="1239" w:top="1600" w:bottom="1420" w:left="1260" w:right="0"/>
        </w:sectPr>
      </w:pPr>
    </w:p>
    <w:p>
      <w:pPr>
        <w:spacing w:before="47"/>
        <w:ind w:left="3416" w:right="0" w:firstLine="0"/>
        <w:jc w:val="left"/>
        <w:rPr>
          <w:sz w:val="21"/>
        </w:rPr>
      </w:pPr>
      <w:r>
        <w:rPr/>
        <w:drawing>
          <wp:anchor distT="0" distB="0" distL="0" distR="0" allowOverlap="1" layoutInCell="1" locked="0" behindDoc="0" simplePos="0" relativeHeight="175">
            <wp:simplePos x="0" y="0"/>
            <wp:positionH relativeFrom="page">
              <wp:posOffset>1574800</wp:posOffset>
            </wp:positionH>
            <wp:positionV relativeFrom="paragraph">
              <wp:posOffset>244220</wp:posOffset>
            </wp:positionV>
            <wp:extent cx="4661732" cy="3664743"/>
            <wp:effectExtent l="0" t="0" r="0" b="0"/>
            <wp:wrapTopAndBottom/>
            <wp:docPr id="403" name="image238.jpeg"/>
            <wp:cNvGraphicFramePr>
              <a:graphicFrameLocks noChangeAspect="1"/>
            </wp:cNvGraphicFramePr>
            <a:graphic>
              <a:graphicData uri="http://schemas.openxmlformats.org/drawingml/2006/picture">
                <pic:pic>
                  <pic:nvPicPr>
                    <pic:cNvPr id="404" name="image238.jpeg"/>
                    <pic:cNvPicPr/>
                  </pic:nvPicPr>
                  <pic:blipFill>
                    <a:blip r:embed="rId289" cstate="print"/>
                    <a:stretch>
                      <a:fillRect/>
                    </a:stretch>
                  </pic:blipFill>
                  <pic:spPr>
                    <a:xfrm>
                      <a:off x="0" y="0"/>
                      <a:ext cx="4661732" cy="3664743"/>
                    </a:xfrm>
                    <a:prstGeom prst="rect">
                      <a:avLst/>
                    </a:prstGeom>
                  </pic:spPr>
                </pic:pic>
              </a:graphicData>
            </a:graphic>
          </wp:anchor>
        </w:drawing>
      </w:r>
      <w:r>
        <w:rPr>
          <w:b/>
          <w:w w:val="99"/>
          <w:sz w:val="21"/>
        </w:rPr>
        <w:t> </w:t>
      </w:r>
      <w:r>
        <w:rPr>
          <w:b/>
          <w:sz w:val="21"/>
        </w:rPr>
        <w:t> 表 7 活动式防火窗附加检验项目</w:t>
      </w:r>
      <w:r>
        <w:rPr>
          <w:w w:val="100"/>
          <w:sz w:val="21"/>
        </w:rPr>
        <w:t> </w:t>
      </w:r>
    </w:p>
    <w:p>
      <w:pPr>
        <w:spacing w:before="121"/>
        <w:ind w:left="418" w:right="0" w:firstLine="0"/>
        <w:jc w:val="left"/>
        <w:rPr>
          <w:b/>
          <w:sz w:val="24"/>
        </w:rPr>
      </w:pPr>
      <w:r>
        <w:rPr>
          <w:b/>
          <w:sz w:val="24"/>
        </w:rPr>
        <w:t>10 标志、包装、运输和贮存</w:t>
      </w:r>
      <w:r>
        <w:rPr>
          <w:b/>
          <w:w w:val="99"/>
          <w:sz w:val="24"/>
        </w:rPr>
        <w:t> </w:t>
      </w:r>
    </w:p>
    <w:p>
      <w:pPr>
        <w:pStyle w:val="BodyText"/>
        <w:spacing w:before="6"/>
        <w:rPr>
          <w:b/>
          <w:sz w:val="17"/>
        </w:rPr>
      </w:pPr>
    </w:p>
    <w:p>
      <w:pPr>
        <w:pStyle w:val="ListParagraph"/>
        <w:numPr>
          <w:ilvl w:val="1"/>
          <w:numId w:val="465"/>
        </w:numPr>
        <w:tabs>
          <w:tab w:pos="1266" w:val="left" w:leader="none"/>
        </w:tabs>
        <w:spacing w:line="240" w:lineRule="auto" w:before="1" w:after="0"/>
        <w:ind w:left="1265" w:right="0" w:hanging="426"/>
        <w:jc w:val="left"/>
        <w:rPr>
          <w:b/>
          <w:sz w:val="21"/>
        </w:rPr>
      </w:pPr>
      <w:r>
        <w:rPr>
          <w:spacing w:val="-3"/>
          <w:sz w:val="21"/>
        </w:rPr>
        <w:t>标志</w:t>
      </w:r>
      <w:r>
        <w:rPr>
          <w:b/>
          <w:w w:val="99"/>
          <w:sz w:val="21"/>
        </w:rPr>
        <w:t> </w:t>
      </w:r>
    </w:p>
    <w:p>
      <w:pPr>
        <w:pStyle w:val="BodyText"/>
        <w:spacing w:before="12"/>
        <w:rPr>
          <w:b/>
          <w:sz w:val="17"/>
        </w:rPr>
      </w:pPr>
    </w:p>
    <w:p>
      <w:pPr>
        <w:pStyle w:val="ListParagraph"/>
        <w:numPr>
          <w:ilvl w:val="2"/>
          <w:numId w:val="465"/>
        </w:numPr>
        <w:tabs>
          <w:tab w:pos="1478" w:val="left" w:leader="none"/>
        </w:tabs>
        <w:spacing w:line="446" w:lineRule="auto" w:before="0" w:after="0"/>
        <w:ind w:left="838" w:right="5805" w:firstLine="2"/>
        <w:jc w:val="left"/>
        <w:rPr>
          <w:b/>
          <w:sz w:val="21"/>
        </w:rPr>
      </w:pPr>
      <w:r>
        <w:rPr>
          <w:spacing w:val="-3"/>
          <w:sz w:val="21"/>
        </w:rPr>
        <w:t>在产品明显部位应标明下列标志： </w:t>
      </w:r>
      <w:r>
        <w:rPr>
          <w:sz w:val="21"/>
        </w:rPr>
        <w:t>a）</w:t>
      </w:r>
      <w:r>
        <w:rPr>
          <w:spacing w:val="-3"/>
          <w:sz w:val="21"/>
        </w:rPr>
        <w:t>制造厂名称与商标（</w:t>
      </w:r>
      <w:r>
        <w:rPr>
          <w:spacing w:val="-2"/>
          <w:sz w:val="21"/>
        </w:rPr>
        <w:t>如果有</w:t>
      </w:r>
      <w:r>
        <w:rPr>
          <w:spacing w:val="-3"/>
          <w:sz w:val="21"/>
        </w:rPr>
        <w:t>）；</w:t>
      </w:r>
      <w:r>
        <w:rPr>
          <w:b/>
          <w:w w:val="99"/>
          <w:sz w:val="21"/>
        </w:rPr>
        <w:t> </w:t>
      </w:r>
    </w:p>
    <w:p>
      <w:pPr>
        <w:pStyle w:val="ListParagraph"/>
        <w:numPr>
          <w:ilvl w:val="0"/>
          <w:numId w:val="464"/>
        </w:numPr>
        <w:tabs>
          <w:tab w:pos="1156" w:val="left" w:leader="none"/>
        </w:tabs>
        <w:spacing w:line="240" w:lineRule="auto" w:before="0" w:after="0"/>
        <w:ind w:left="1155" w:right="0" w:hanging="318"/>
        <w:jc w:val="left"/>
        <w:rPr>
          <w:b/>
          <w:sz w:val="21"/>
        </w:rPr>
      </w:pPr>
      <w:r>
        <w:rPr>
          <w:spacing w:val="-3"/>
          <w:sz w:val="21"/>
        </w:rPr>
        <w:t>产品名称、型号和规格；</w:t>
      </w:r>
      <w:r>
        <w:rPr>
          <w:b/>
          <w:spacing w:val="-3"/>
          <w:w w:val="99"/>
          <w:sz w:val="21"/>
        </w:rPr>
        <w:t> </w:t>
      </w:r>
    </w:p>
    <w:p>
      <w:pPr>
        <w:pStyle w:val="BodyText"/>
        <w:spacing w:before="12"/>
        <w:rPr>
          <w:b/>
          <w:sz w:val="17"/>
        </w:rPr>
      </w:pPr>
    </w:p>
    <w:p>
      <w:pPr>
        <w:pStyle w:val="ListParagraph"/>
        <w:numPr>
          <w:ilvl w:val="0"/>
          <w:numId w:val="464"/>
        </w:numPr>
        <w:tabs>
          <w:tab w:pos="1156" w:val="left" w:leader="none"/>
        </w:tabs>
        <w:spacing w:line="446" w:lineRule="auto" w:before="0" w:after="0"/>
        <w:ind w:left="838" w:right="4659" w:firstLine="0"/>
        <w:jc w:val="left"/>
        <w:rPr>
          <w:b/>
          <w:sz w:val="21"/>
        </w:rPr>
      </w:pPr>
      <w:r>
        <w:rPr>
          <w:spacing w:val="-7"/>
          <w:sz w:val="21"/>
        </w:rPr>
        <w:t>产品贴有标牌，标牌内容参见 </w:t>
      </w:r>
      <w:r>
        <w:rPr>
          <w:sz w:val="21"/>
        </w:rPr>
        <w:t>GB/T</w:t>
      </w:r>
      <w:r>
        <w:rPr>
          <w:spacing w:val="7"/>
          <w:sz w:val="21"/>
        </w:rPr>
        <w:t> </w:t>
      </w:r>
      <w:r>
        <w:rPr>
          <w:sz w:val="21"/>
        </w:rPr>
        <w:t>13306</w:t>
      </w:r>
      <w:r>
        <w:rPr>
          <w:spacing w:val="-12"/>
          <w:sz w:val="21"/>
        </w:rPr>
        <w:t> 的规定； d）</w:t>
      </w:r>
      <w:r>
        <w:rPr>
          <w:spacing w:val="-3"/>
          <w:sz w:val="21"/>
        </w:rPr>
        <w:t>产品生产日期或生产批号、出厂日期。</w:t>
      </w:r>
      <w:r>
        <w:rPr>
          <w:b/>
          <w:w w:val="99"/>
          <w:sz w:val="21"/>
        </w:rPr>
        <w:t> </w:t>
      </w:r>
    </w:p>
    <w:p>
      <w:pPr>
        <w:pStyle w:val="ListParagraph"/>
        <w:numPr>
          <w:ilvl w:val="2"/>
          <w:numId w:val="465"/>
        </w:numPr>
        <w:tabs>
          <w:tab w:pos="1478" w:val="left" w:leader="none"/>
        </w:tabs>
        <w:spacing w:line="240" w:lineRule="auto" w:before="1" w:after="0"/>
        <w:ind w:left="1477" w:right="0" w:hanging="638"/>
        <w:jc w:val="left"/>
        <w:rPr>
          <w:sz w:val="21"/>
        </w:rPr>
      </w:pPr>
      <w:r>
        <w:rPr>
          <w:spacing w:val="-7"/>
          <w:sz w:val="21"/>
        </w:rPr>
        <w:t>产品包装箱的箱面标志要求参见 </w:t>
      </w:r>
      <w:r>
        <w:rPr>
          <w:sz w:val="21"/>
        </w:rPr>
        <w:t>GB/T</w:t>
      </w:r>
      <w:r>
        <w:rPr>
          <w:spacing w:val="-2"/>
          <w:sz w:val="21"/>
        </w:rPr>
        <w:t> </w:t>
      </w:r>
      <w:r>
        <w:rPr>
          <w:sz w:val="21"/>
        </w:rPr>
        <w:t>6388</w:t>
      </w:r>
      <w:r>
        <w:rPr>
          <w:spacing w:val="-13"/>
          <w:sz w:val="21"/>
        </w:rPr>
        <w:t> 的规定。</w:t>
      </w:r>
      <w:r>
        <w:rPr>
          <w:sz w:val="21"/>
        </w:rPr>
        <w:t> </w:t>
      </w:r>
    </w:p>
    <w:p>
      <w:pPr>
        <w:pStyle w:val="BodyText"/>
        <w:spacing w:before="12"/>
        <w:rPr>
          <w:sz w:val="17"/>
        </w:rPr>
      </w:pPr>
    </w:p>
    <w:p>
      <w:pPr>
        <w:pStyle w:val="ListParagraph"/>
        <w:numPr>
          <w:ilvl w:val="2"/>
          <w:numId w:val="465"/>
        </w:numPr>
        <w:tabs>
          <w:tab w:pos="1478" w:val="left" w:leader="none"/>
        </w:tabs>
        <w:spacing w:line="446" w:lineRule="auto" w:before="0" w:after="0"/>
        <w:ind w:left="418" w:right="1496" w:firstLine="422"/>
        <w:jc w:val="left"/>
        <w:rPr>
          <w:sz w:val="21"/>
        </w:rPr>
      </w:pPr>
      <w:r>
        <w:rPr>
          <w:spacing w:val="-3"/>
          <w:sz w:val="21"/>
        </w:rPr>
        <w:t>产品包装箱上有明显的“怕湿”、“小心轻放”、“向上”字样和标志，其图形要</w:t>
      </w:r>
      <w:r>
        <w:rPr>
          <w:spacing w:val="-15"/>
          <w:sz w:val="21"/>
        </w:rPr>
        <w:t>求参见 </w:t>
      </w:r>
      <w:r>
        <w:rPr>
          <w:sz w:val="21"/>
        </w:rPr>
        <w:t>GB/T 191</w:t>
      </w:r>
      <w:r>
        <w:rPr>
          <w:spacing w:val="-12"/>
          <w:sz w:val="21"/>
        </w:rPr>
        <w:t> 的规定。 </w:t>
      </w:r>
    </w:p>
    <w:p>
      <w:pPr>
        <w:pStyle w:val="ListParagraph"/>
        <w:numPr>
          <w:ilvl w:val="1"/>
          <w:numId w:val="465"/>
        </w:numPr>
        <w:tabs>
          <w:tab w:pos="1264" w:val="left" w:leader="none"/>
        </w:tabs>
        <w:spacing w:line="240" w:lineRule="auto" w:before="0" w:after="0"/>
        <w:ind w:left="1263" w:right="0" w:hanging="424"/>
        <w:jc w:val="left"/>
        <w:rPr>
          <w:b/>
          <w:sz w:val="21"/>
        </w:rPr>
      </w:pPr>
      <w:r>
        <w:rPr>
          <w:spacing w:val="-3"/>
          <w:sz w:val="21"/>
        </w:rPr>
        <w:t>包装</w:t>
      </w:r>
      <w:r>
        <w:rPr>
          <w:b/>
          <w:w w:val="99"/>
          <w:sz w:val="21"/>
        </w:rPr>
        <w:t> </w:t>
      </w:r>
    </w:p>
    <w:p>
      <w:pPr>
        <w:pStyle w:val="BodyText"/>
        <w:spacing w:before="12"/>
        <w:rPr>
          <w:b/>
          <w:sz w:val="17"/>
        </w:rPr>
      </w:pPr>
    </w:p>
    <w:p>
      <w:pPr>
        <w:pStyle w:val="ListParagraph"/>
        <w:numPr>
          <w:ilvl w:val="2"/>
          <w:numId w:val="465"/>
        </w:numPr>
        <w:tabs>
          <w:tab w:pos="1478" w:val="left" w:leader="none"/>
        </w:tabs>
        <w:spacing w:line="240" w:lineRule="auto" w:before="0" w:after="0"/>
        <w:ind w:left="1477" w:right="0" w:hanging="638"/>
        <w:jc w:val="left"/>
        <w:rPr>
          <w:sz w:val="21"/>
        </w:rPr>
      </w:pPr>
      <w:r>
        <w:rPr>
          <w:spacing w:val="-3"/>
          <w:sz w:val="21"/>
        </w:rPr>
        <w:t>产品用无腐蚀作用的材料包装。</w:t>
      </w:r>
      <w:r>
        <w:rPr>
          <w:sz w:val="21"/>
        </w:rPr>
        <w:t> </w:t>
      </w:r>
    </w:p>
    <w:p>
      <w:pPr>
        <w:pStyle w:val="BodyText"/>
        <w:spacing w:before="12"/>
        <w:rPr>
          <w:sz w:val="17"/>
        </w:rPr>
      </w:pPr>
    </w:p>
    <w:p>
      <w:pPr>
        <w:pStyle w:val="ListParagraph"/>
        <w:numPr>
          <w:ilvl w:val="2"/>
          <w:numId w:val="465"/>
        </w:numPr>
        <w:tabs>
          <w:tab w:pos="1478" w:val="left" w:leader="none"/>
        </w:tabs>
        <w:spacing w:line="240" w:lineRule="auto" w:before="0" w:after="0"/>
        <w:ind w:left="1477" w:right="0" w:hanging="638"/>
        <w:jc w:val="left"/>
        <w:rPr>
          <w:sz w:val="21"/>
        </w:rPr>
      </w:pPr>
      <w:r>
        <w:rPr>
          <w:spacing w:val="-3"/>
          <w:sz w:val="21"/>
        </w:rPr>
        <w:t>包装箱有足够的强度，确保运输中不受损坏。 </w:t>
      </w:r>
    </w:p>
    <w:p>
      <w:pPr>
        <w:pStyle w:val="BodyText"/>
        <w:spacing w:before="3"/>
        <w:rPr>
          <w:sz w:val="18"/>
        </w:rPr>
      </w:pPr>
    </w:p>
    <w:p>
      <w:pPr>
        <w:pStyle w:val="ListParagraph"/>
        <w:numPr>
          <w:ilvl w:val="2"/>
          <w:numId w:val="465"/>
        </w:numPr>
        <w:tabs>
          <w:tab w:pos="1478" w:val="left" w:leader="none"/>
        </w:tabs>
        <w:spacing w:line="240" w:lineRule="auto" w:before="0" w:after="0"/>
        <w:ind w:left="1477" w:right="0" w:hanging="638"/>
        <w:jc w:val="left"/>
        <w:rPr>
          <w:sz w:val="21"/>
        </w:rPr>
      </w:pPr>
      <w:r>
        <w:rPr>
          <w:spacing w:val="-3"/>
          <w:sz w:val="21"/>
        </w:rPr>
        <w:t>包装箱内的各类部件，避免发生相互碰撞、窜动。</w:t>
      </w:r>
      <w:r>
        <w:rPr>
          <w:sz w:val="21"/>
        </w:rPr>
        <w:t> </w:t>
      </w:r>
    </w:p>
    <w:p>
      <w:pPr>
        <w:pStyle w:val="BodyText"/>
        <w:spacing w:before="12"/>
        <w:rPr>
          <w:sz w:val="17"/>
        </w:rPr>
      </w:pPr>
    </w:p>
    <w:p>
      <w:pPr>
        <w:pStyle w:val="ListParagraph"/>
        <w:numPr>
          <w:ilvl w:val="2"/>
          <w:numId w:val="465"/>
        </w:numPr>
        <w:tabs>
          <w:tab w:pos="1478" w:val="left" w:leader="none"/>
        </w:tabs>
        <w:spacing w:line="240" w:lineRule="auto" w:before="0" w:after="0"/>
        <w:ind w:left="1477" w:right="0" w:hanging="638"/>
        <w:jc w:val="left"/>
        <w:rPr>
          <w:sz w:val="21"/>
        </w:rPr>
      </w:pPr>
      <w:r>
        <w:rPr/>
        <w:pict>
          <v:group style="position:absolute;margin-left:82.463997pt;margin-top:15.419997pt;width:442.4pt;height:37.1pt;mso-position-horizontal-relative:page;mso-position-vertical-relative:paragraph;z-index:-251476992;mso-wrap-distance-left:0;mso-wrap-distance-right:0" coordorigin="1649,308" coordsize="8848,742">
            <v:rect style="position:absolute;left:1649;top:308;width:8848;height:742" filled="true" fillcolor="#ffffff" stroked="false">
              <v:fill type="solid"/>
            </v:rect>
            <v:shape style="position:absolute;left:1649;top:308;width:8848;height:742" type="#_x0000_t202" filled="false" stroked="false">
              <v:textbox inset="0,0,0,0">
                <w:txbxContent>
                  <w:p>
                    <w:pPr>
                      <w:spacing w:line="240" w:lineRule="auto" w:before="11"/>
                      <w:rPr>
                        <w:sz w:val="14"/>
                      </w:rPr>
                    </w:pPr>
                  </w:p>
                  <w:p>
                    <w:pPr>
                      <w:spacing w:before="0"/>
                      <w:ind w:left="28" w:right="0" w:firstLine="0"/>
                      <w:jc w:val="left"/>
                      <w:rPr>
                        <w:sz w:val="21"/>
                      </w:rPr>
                    </w:pPr>
                    <w:r>
                      <w:rPr>
                        <w:sz w:val="21"/>
                      </w:rPr>
                      <w:t>参见 GB 9969.1 的规定，且宜将此类资料装在防水袋内。 </w:t>
                    </w:r>
                  </w:p>
                </w:txbxContent>
              </v:textbox>
              <w10:wrap type="none"/>
            </v:shape>
            <w10:wrap type="topAndBottom"/>
          </v:group>
        </w:pict>
      </w:r>
      <w:r>
        <w:rPr/>
        <w:pict>
          <v:shape style="position:absolute;margin-left:294.170013pt;margin-top:42.08947pt;width:19pt;height:9.4pt;mso-position-horizontal-relative:page;mso-position-vertical-relative:paragraph;z-index:-287500288" type="#_x0000_t202" filled="false" stroked="false">
            <v:textbox inset="0,0,0,0">
              <w:txbxContent>
                <w:p>
                  <w:pPr>
                    <w:spacing w:line="188" w:lineRule="exact" w:before="0"/>
                    <w:ind w:left="0" w:right="0" w:firstLine="0"/>
                    <w:jc w:val="left"/>
                    <w:rPr>
                      <w:rFonts w:ascii="等线"/>
                      <w:sz w:val="18"/>
                    </w:rPr>
                  </w:pPr>
                  <w:r>
                    <w:rPr>
                      <w:rFonts w:ascii="等线"/>
                      <w:sz w:val="18"/>
                    </w:rPr>
                    <w:t>1184</w:t>
                  </w:r>
                </w:p>
              </w:txbxContent>
            </v:textbox>
            <w10:wrap type="none"/>
          </v:shape>
        </w:pict>
      </w:r>
      <w:r>
        <w:rPr>
          <w:spacing w:val="-3"/>
          <w:sz w:val="21"/>
        </w:rPr>
        <w:t>产品装箱后，箱内附有装箱单、产品合格证和安装使用说明书，说明书的编制方法</w:t>
      </w:r>
    </w:p>
    <w:p>
      <w:pPr>
        <w:spacing w:after="0" w:line="240" w:lineRule="auto"/>
        <w:jc w:val="left"/>
        <w:rPr>
          <w:sz w:val="21"/>
        </w:rPr>
        <w:sectPr>
          <w:footerReference w:type="default" r:id="rId288"/>
          <w:pgSz w:w="11910" w:h="16850"/>
          <w:pgMar w:footer="0" w:header="0" w:top="1220" w:bottom="280" w:left="1260" w:right="0"/>
        </w:sectPr>
      </w:pPr>
    </w:p>
    <w:p>
      <w:pPr>
        <w:pStyle w:val="ListParagraph"/>
        <w:numPr>
          <w:ilvl w:val="1"/>
          <w:numId w:val="465"/>
        </w:numPr>
        <w:tabs>
          <w:tab w:pos="1266" w:val="left" w:leader="none"/>
        </w:tabs>
        <w:spacing w:line="240" w:lineRule="auto" w:before="47" w:after="0"/>
        <w:ind w:left="1265" w:right="0" w:hanging="426"/>
        <w:jc w:val="left"/>
        <w:rPr>
          <w:b/>
          <w:sz w:val="21"/>
        </w:rPr>
      </w:pPr>
      <w:r>
        <w:rPr>
          <w:spacing w:val="-3"/>
          <w:sz w:val="21"/>
        </w:rPr>
        <w:t>运输</w:t>
      </w:r>
      <w:r>
        <w:rPr>
          <w:b/>
          <w:w w:val="99"/>
          <w:sz w:val="21"/>
        </w:rPr>
        <w:t> </w:t>
      </w:r>
    </w:p>
    <w:p>
      <w:pPr>
        <w:pStyle w:val="BodyText"/>
        <w:rPr>
          <w:b/>
          <w:sz w:val="18"/>
        </w:rPr>
      </w:pPr>
    </w:p>
    <w:p>
      <w:pPr>
        <w:pStyle w:val="ListParagraph"/>
        <w:numPr>
          <w:ilvl w:val="2"/>
          <w:numId w:val="465"/>
        </w:numPr>
        <w:tabs>
          <w:tab w:pos="1478" w:val="left" w:leader="none"/>
        </w:tabs>
        <w:spacing w:line="240" w:lineRule="auto" w:before="0" w:after="0"/>
        <w:ind w:left="1477" w:right="0" w:hanging="638"/>
        <w:jc w:val="left"/>
        <w:rPr>
          <w:b/>
          <w:sz w:val="21"/>
        </w:rPr>
      </w:pPr>
      <w:r>
        <w:rPr>
          <w:spacing w:val="-3"/>
          <w:sz w:val="21"/>
        </w:rPr>
        <w:t>产品在运输过程中避免包装箱发生相互碰撞。</w:t>
      </w:r>
      <w:r>
        <w:rPr>
          <w:b/>
          <w:spacing w:val="-3"/>
          <w:w w:val="99"/>
          <w:sz w:val="21"/>
        </w:rPr>
        <w:t> </w:t>
      </w:r>
    </w:p>
    <w:p>
      <w:pPr>
        <w:pStyle w:val="BodyText"/>
        <w:rPr>
          <w:b/>
          <w:sz w:val="18"/>
        </w:rPr>
      </w:pPr>
    </w:p>
    <w:p>
      <w:pPr>
        <w:pStyle w:val="ListParagraph"/>
        <w:numPr>
          <w:ilvl w:val="2"/>
          <w:numId w:val="465"/>
        </w:numPr>
        <w:tabs>
          <w:tab w:pos="1478" w:val="left" w:leader="none"/>
        </w:tabs>
        <w:spacing w:line="240" w:lineRule="auto" w:before="0" w:after="0"/>
        <w:ind w:left="1477" w:right="0" w:hanging="638"/>
        <w:jc w:val="left"/>
        <w:rPr>
          <w:b/>
          <w:sz w:val="21"/>
        </w:rPr>
      </w:pPr>
      <w:r>
        <w:rPr>
          <w:spacing w:val="-3"/>
          <w:sz w:val="21"/>
        </w:rPr>
        <w:t>产品搬运过程中要轻拿、轻放，严禁摔、扔、碰击。</w:t>
      </w:r>
      <w:r>
        <w:rPr>
          <w:b/>
          <w:w w:val="99"/>
          <w:sz w:val="21"/>
        </w:rPr>
        <w:t> </w:t>
      </w:r>
    </w:p>
    <w:p>
      <w:pPr>
        <w:pStyle w:val="BodyText"/>
        <w:spacing w:before="1"/>
        <w:rPr>
          <w:b/>
          <w:sz w:val="18"/>
        </w:rPr>
      </w:pPr>
    </w:p>
    <w:p>
      <w:pPr>
        <w:pStyle w:val="ListParagraph"/>
        <w:numPr>
          <w:ilvl w:val="2"/>
          <w:numId w:val="465"/>
        </w:numPr>
        <w:tabs>
          <w:tab w:pos="1478" w:val="left" w:leader="none"/>
        </w:tabs>
        <w:spacing w:line="240" w:lineRule="auto" w:before="1" w:after="0"/>
        <w:ind w:left="1477" w:right="0" w:hanging="638"/>
        <w:jc w:val="left"/>
        <w:rPr>
          <w:b/>
          <w:sz w:val="21"/>
        </w:rPr>
      </w:pPr>
      <w:r>
        <w:rPr>
          <w:spacing w:val="-3"/>
          <w:sz w:val="21"/>
        </w:rPr>
        <w:t>产品运输工具有防雨措施，并保持清洁无污染。</w:t>
      </w:r>
      <w:r>
        <w:rPr>
          <w:b/>
          <w:w w:val="99"/>
          <w:sz w:val="21"/>
        </w:rPr>
        <w:t> </w:t>
      </w:r>
    </w:p>
    <w:p>
      <w:pPr>
        <w:pStyle w:val="BodyText"/>
        <w:spacing w:before="12"/>
        <w:rPr>
          <w:b/>
          <w:sz w:val="17"/>
        </w:rPr>
      </w:pPr>
    </w:p>
    <w:p>
      <w:pPr>
        <w:pStyle w:val="ListParagraph"/>
        <w:numPr>
          <w:ilvl w:val="1"/>
          <w:numId w:val="465"/>
        </w:numPr>
        <w:tabs>
          <w:tab w:pos="1266" w:val="left" w:leader="none"/>
        </w:tabs>
        <w:spacing w:line="240" w:lineRule="auto" w:before="0" w:after="0"/>
        <w:ind w:left="1265" w:right="0" w:hanging="426"/>
        <w:jc w:val="left"/>
        <w:rPr>
          <w:b/>
          <w:sz w:val="21"/>
        </w:rPr>
      </w:pPr>
      <w:r>
        <w:rPr>
          <w:spacing w:val="-3"/>
          <w:sz w:val="21"/>
        </w:rPr>
        <w:t>贮存</w:t>
      </w:r>
      <w:r>
        <w:rPr>
          <w:b/>
          <w:w w:val="99"/>
          <w:sz w:val="21"/>
        </w:rPr>
        <w:t> </w:t>
      </w:r>
    </w:p>
    <w:p>
      <w:pPr>
        <w:pStyle w:val="BodyText"/>
        <w:spacing w:before="12"/>
        <w:rPr>
          <w:b/>
          <w:sz w:val="17"/>
        </w:rPr>
      </w:pPr>
    </w:p>
    <w:p>
      <w:pPr>
        <w:pStyle w:val="ListParagraph"/>
        <w:numPr>
          <w:ilvl w:val="2"/>
          <w:numId w:val="465"/>
        </w:numPr>
        <w:tabs>
          <w:tab w:pos="1478" w:val="left" w:leader="none"/>
        </w:tabs>
        <w:spacing w:line="446" w:lineRule="auto" w:before="0" w:after="0"/>
        <w:ind w:left="418" w:right="1498" w:firstLine="422"/>
        <w:jc w:val="left"/>
        <w:rPr>
          <w:sz w:val="21"/>
        </w:rPr>
      </w:pPr>
      <w:r>
        <w:rPr>
          <w:spacing w:val="-3"/>
          <w:sz w:val="21"/>
        </w:rPr>
        <w:t>产品放置在通风、干燥的地方；避免与酸、碱、盐等腐蚀性介质接触，并有必要的防潮、防雨、防晒、防腐等措施。</w:t>
      </w:r>
      <w:r>
        <w:rPr>
          <w:sz w:val="21"/>
        </w:rPr>
        <w:t> </w:t>
      </w:r>
    </w:p>
    <w:p>
      <w:pPr>
        <w:pStyle w:val="ListParagraph"/>
        <w:numPr>
          <w:ilvl w:val="2"/>
          <w:numId w:val="465"/>
        </w:numPr>
        <w:tabs>
          <w:tab w:pos="1478" w:val="left" w:leader="none"/>
        </w:tabs>
        <w:spacing w:line="240" w:lineRule="auto" w:before="1" w:after="0"/>
        <w:ind w:left="1477" w:right="0" w:hanging="638"/>
        <w:jc w:val="left"/>
        <w:rPr>
          <w:sz w:val="21"/>
        </w:rPr>
      </w:pPr>
      <w:r>
        <w:rPr>
          <w:spacing w:val="-6"/>
          <w:sz w:val="21"/>
        </w:rPr>
        <w:t>产品严禁与地面直接接触，底部垫高大于 </w:t>
      </w:r>
      <w:r>
        <w:rPr>
          <w:sz w:val="21"/>
        </w:rPr>
        <w:t>10Omm</w:t>
      </w:r>
      <w:r>
        <w:rPr>
          <w:spacing w:val="-3"/>
          <w:sz w:val="21"/>
        </w:rPr>
        <w:t>。</w:t>
      </w:r>
      <w:r>
        <w:rPr>
          <w:sz w:val="21"/>
        </w:rPr>
        <w:t> </w:t>
      </w:r>
    </w:p>
    <w:p>
      <w:pPr>
        <w:pStyle w:val="BodyText"/>
        <w:spacing w:before="12"/>
        <w:rPr>
          <w:sz w:val="17"/>
        </w:rPr>
      </w:pPr>
    </w:p>
    <w:p>
      <w:pPr>
        <w:pStyle w:val="ListParagraph"/>
        <w:numPr>
          <w:ilvl w:val="2"/>
          <w:numId w:val="465"/>
        </w:numPr>
        <w:tabs>
          <w:tab w:pos="1478" w:val="left" w:leader="none"/>
        </w:tabs>
        <w:spacing w:line="240" w:lineRule="auto" w:before="0" w:after="0"/>
        <w:ind w:left="1477" w:right="0" w:hanging="638"/>
        <w:jc w:val="left"/>
        <w:rPr>
          <w:sz w:val="21"/>
        </w:rPr>
      </w:pPr>
      <w:r>
        <w:rPr>
          <w:spacing w:val="-6"/>
          <w:sz w:val="21"/>
        </w:rPr>
        <w:t>产品堆放时用垫块垫平，水平码放的高度不超过 </w:t>
      </w:r>
      <w:r>
        <w:rPr>
          <w:sz w:val="21"/>
        </w:rPr>
        <w:t>2.Om</w:t>
      </w:r>
      <w:r>
        <w:rPr>
          <w:spacing w:val="-3"/>
          <w:sz w:val="21"/>
        </w:rPr>
        <w:t>，立放时的角度不小于</w:t>
      </w:r>
    </w:p>
    <w:p>
      <w:pPr>
        <w:pStyle w:val="BodyText"/>
        <w:spacing w:before="2"/>
        <w:rPr>
          <w:sz w:val="18"/>
        </w:rPr>
      </w:pPr>
    </w:p>
    <w:p>
      <w:pPr>
        <w:pStyle w:val="BodyText"/>
        <w:ind w:left="418"/>
      </w:pPr>
      <w:r>
        <w:rPr/>
        <w:t>70°。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5"/>
        </w:rPr>
      </w:pPr>
    </w:p>
    <w:p>
      <w:pPr>
        <w:pStyle w:val="BodyText"/>
        <w:spacing w:before="72"/>
        <w:ind w:left="838"/>
      </w:pPr>
      <w:r>
        <w:rPr>
          <w:w w:val="100"/>
        </w:rPr>
        <w:t> </w:t>
      </w:r>
    </w:p>
    <w:p>
      <w:pPr>
        <w:spacing w:after="0"/>
        <w:sectPr>
          <w:footerReference w:type="default" r:id="rId290"/>
          <w:pgSz w:w="11910" w:h="16850"/>
          <w:pgMar w:footer="1239" w:header="0" w:top="1220" w:bottom="1420" w:left="1260" w:right="0"/>
          <w:pgNumType w:start="1185"/>
        </w:sectPr>
      </w:pPr>
    </w:p>
    <w:p>
      <w:pPr>
        <w:pStyle w:val="BodyText"/>
        <w:spacing w:before="1"/>
        <w:rPr>
          <w:sz w:val="28"/>
        </w:rPr>
      </w:pPr>
    </w:p>
    <w:p>
      <w:pPr>
        <w:pStyle w:val="Heading2"/>
        <w:spacing w:before="58"/>
        <w:ind w:right="870"/>
      </w:pPr>
      <w:bookmarkStart w:name="_bookmark18" w:id="19"/>
      <w:bookmarkEnd w:id="19"/>
      <w:r>
        <w:rPr>
          <w:b w:val="0"/>
        </w:rPr>
      </w:r>
      <w:r>
        <w:rPr/>
        <w:t>防火封堵材料</w:t>
      </w:r>
      <w:r>
        <w:rPr>
          <w:w w:val="99"/>
        </w:rPr>
        <w:t> </w:t>
      </w:r>
    </w:p>
    <w:p>
      <w:pPr>
        <w:pStyle w:val="BodyText"/>
        <w:rPr>
          <w:b/>
          <w:sz w:val="20"/>
        </w:rPr>
      </w:pPr>
    </w:p>
    <w:p>
      <w:pPr>
        <w:pStyle w:val="BodyText"/>
        <w:spacing w:before="4"/>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本标准规定了防火封堵材料的术语和定义、分类与标记、要求、试验方法、检验规则、综合判定准则及包装、标志、贮存、运输等内容。 </w:t>
      </w:r>
    </w:p>
    <w:p>
      <w:pPr>
        <w:pStyle w:val="BodyText"/>
        <w:spacing w:line="446" w:lineRule="auto" w:before="1"/>
        <w:ind w:left="418" w:right="1608" w:firstLine="419"/>
        <w:jc w:val="both"/>
      </w:pPr>
      <w:r>
        <w:rPr/>
        <w:t>本标准适用于在建筑物、构筑物以及各类设施中的各种贯穿孔洞、构造缝隙所使用的防火封堵材料或防火封堵组件，建筑配件内部使用的防火膨胀密封件和硬聚氯乙烯建筑排水管道阻火圈除外。 </w:t>
      </w:r>
    </w:p>
    <w:p>
      <w:pPr>
        <w:pStyle w:val="Heading4"/>
        <w:spacing w:line="276" w:lineRule="exact"/>
      </w:pPr>
      <w:r>
        <w:rPr/>
        <w:t>2 规范性引用文件</w:t>
      </w:r>
      <w:r>
        <w:rPr>
          <w:w w:val="99"/>
        </w:rPr>
        <w:t> </w:t>
      </w:r>
    </w:p>
    <w:p>
      <w:pPr>
        <w:pStyle w:val="BodyText"/>
        <w:spacing w:before="3"/>
        <w:rPr>
          <w:b/>
          <w:sz w:val="17"/>
        </w:rPr>
      </w:pPr>
    </w:p>
    <w:p>
      <w:pPr>
        <w:pStyle w:val="BodyText"/>
        <w:spacing w:line="446" w:lineRule="auto" w:before="1"/>
        <w:ind w:left="418" w:right="1505" w:firstLine="419"/>
      </w:pPr>
      <w:r>
        <w:rPr>
          <w:spacing w:val="-3"/>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r>
        <w:rPr/>
        <w:t> </w:t>
      </w:r>
    </w:p>
    <w:p>
      <w:pPr>
        <w:pStyle w:val="BodyText"/>
        <w:spacing w:line="446" w:lineRule="auto"/>
        <w:ind w:left="838" w:right="4451"/>
      </w:pPr>
      <w:r>
        <w:rPr/>
        <w:t>GB/T 2408-2008 塑料燃烧性能试验方法 水平法和垂直法GB/T 2611 试验机通用技术要求 </w:t>
      </w:r>
    </w:p>
    <w:p>
      <w:pPr>
        <w:pStyle w:val="BodyText"/>
        <w:spacing w:line="446" w:lineRule="auto"/>
        <w:ind w:left="838" w:right="5917"/>
      </w:pPr>
      <w:r>
        <w:rPr/>
        <w:t>GB/T 5455 纺织品 燃烧性能试验 垂直法GB/T 7019—1997 纤维水泥制品试验方法 </w:t>
      </w:r>
    </w:p>
    <w:p>
      <w:pPr>
        <w:pStyle w:val="BodyText"/>
        <w:spacing w:line="446" w:lineRule="auto"/>
        <w:ind w:left="838" w:right="4446"/>
      </w:pPr>
      <w:r>
        <w:rPr/>
        <w:t>GB/T 8333 硬质泡沫塑料燃烧性能试验方法 垂直燃烧法GB/T 9978.1 建筑构件耐火试验方法 第 1 部分:通用要求GA 304—2001 硬聚氯乙烯建筑排水管道阻火圈 </w:t>
      </w:r>
    </w:p>
    <w:p>
      <w:pPr>
        <w:pStyle w:val="Heading4"/>
        <w:spacing w:line="277" w:lineRule="exact"/>
      </w:pPr>
      <w:r>
        <w:rPr/>
        <w:t>3 术语和定义</w:t>
      </w:r>
      <w:r>
        <w:rPr>
          <w:w w:val="99"/>
        </w:rPr>
        <w:t> </w:t>
      </w:r>
    </w:p>
    <w:p>
      <w:pPr>
        <w:pStyle w:val="BodyText"/>
        <w:spacing w:before="1"/>
        <w:rPr>
          <w:b/>
          <w:sz w:val="17"/>
        </w:rPr>
      </w:pPr>
    </w:p>
    <w:p>
      <w:pPr>
        <w:pStyle w:val="BodyText"/>
        <w:ind w:left="838"/>
      </w:pPr>
      <w:r>
        <w:rPr/>
        <w:t>下列术语和定义适用于本标准 </w:t>
      </w:r>
    </w:p>
    <w:p>
      <w:pPr>
        <w:pStyle w:val="BodyText"/>
        <w:spacing w:before="12"/>
        <w:rPr>
          <w:sz w:val="17"/>
        </w:rPr>
      </w:pPr>
    </w:p>
    <w:p>
      <w:pPr>
        <w:pStyle w:val="ListParagraph"/>
        <w:numPr>
          <w:ilvl w:val="0"/>
          <w:numId w:val="301"/>
        </w:numPr>
        <w:tabs>
          <w:tab w:pos="1053" w:val="left" w:leader="none"/>
        </w:tabs>
        <w:spacing w:line="240" w:lineRule="auto" w:before="0" w:after="0"/>
        <w:ind w:left="1052" w:right="0" w:hanging="213"/>
        <w:jc w:val="left"/>
        <w:rPr>
          <w:b/>
          <w:sz w:val="19"/>
        </w:rPr>
      </w:pPr>
      <w:r>
        <w:rPr>
          <w:b/>
          <w:sz w:val="21"/>
        </w:rPr>
        <w:t>1</w:t>
      </w:r>
      <w:r>
        <w:rPr>
          <w:b/>
          <w:spacing w:val="-51"/>
          <w:sz w:val="21"/>
        </w:rPr>
        <w:t> </w:t>
      </w:r>
      <w:r>
        <w:rPr>
          <w:spacing w:val="-3"/>
          <w:sz w:val="21"/>
        </w:rPr>
        <w:t>防火封堵材料 </w:t>
      </w:r>
      <w:r>
        <w:rPr>
          <w:sz w:val="21"/>
        </w:rPr>
        <w:t>firestop</w:t>
      </w:r>
      <w:r>
        <w:rPr>
          <w:spacing w:val="1"/>
          <w:sz w:val="21"/>
        </w:rPr>
        <w:t> </w:t>
      </w:r>
      <w:r>
        <w:rPr>
          <w:sz w:val="21"/>
        </w:rPr>
        <w:t>material</w:t>
      </w:r>
      <w:r>
        <w:rPr>
          <w:b/>
          <w:w w:val="99"/>
          <w:sz w:val="21"/>
        </w:rPr>
        <w:t> </w:t>
      </w:r>
    </w:p>
    <w:p>
      <w:pPr>
        <w:pStyle w:val="BodyText"/>
        <w:spacing w:before="2"/>
        <w:rPr>
          <w:b/>
          <w:sz w:val="18"/>
        </w:rPr>
      </w:pPr>
    </w:p>
    <w:p>
      <w:pPr>
        <w:pStyle w:val="BodyText"/>
        <w:spacing w:line="446" w:lineRule="auto"/>
        <w:ind w:left="418" w:right="1609" w:firstLine="419"/>
      </w:pPr>
      <w:r>
        <w:rPr/>
        <w:t>具有防火、防烟功能，用于密封或填塞建筑物、构筑物以及各类设施中的贯穿孔洞、环形缝隙及建筑缝隙，便于更换且符合有关性能要求的材料。 </w:t>
      </w:r>
    </w:p>
    <w:p>
      <w:pPr>
        <w:pStyle w:val="ListParagraph"/>
        <w:numPr>
          <w:ilvl w:val="1"/>
          <w:numId w:val="466"/>
        </w:numPr>
        <w:tabs>
          <w:tab w:pos="1213" w:val="left" w:leader="none"/>
        </w:tabs>
        <w:spacing w:line="267" w:lineRule="exact" w:before="0" w:after="0"/>
        <w:ind w:left="1212" w:right="0" w:hanging="373"/>
        <w:jc w:val="left"/>
        <w:rPr>
          <w:sz w:val="21"/>
        </w:rPr>
      </w:pPr>
      <w:r>
        <w:rPr>
          <w:spacing w:val="-3"/>
          <w:sz w:val="21"/>
        </w:rPr>
        <w:t>防火封堵组件 </w:t>
      </w:r>
      <w:r>
        <w:rPr>
          <w:sz w:val="21"/>
        </w:rPr>
        <w:t>firestop</w:t>
      </w:r>
      <w:r>
        <w:rPr>
          <w:spacing w:val="1"/>
          <w:sz w:val="21"/>
        </w:rPr>
        <w:t> </w:t>
      </w:r>
      <w:r>
        <w:rPr>
          <w:sz w:val="21"/>
        </w:rPr>
        <w:t>subassembly </w:t>
      </w:r>
    </w:p>
    <w:p>
      <w:pPr>
        <w:spacing w:after="0" w:line="267" w:lineRule="exact"/>
        <w:jc w:val="left"/>
        <w:rPr>
          <w:sz w:val="21"/>
        </w:rPr>
        <w:sectPr>
          <w:pgSz w:w="11910" w:h="16850"/>
          <w:pgMar w:header="0" w:footer="1239" w:top="1600" w:bottom="1420" w:left="1260" w:right="0"/>
        </w:sectPr>
      </w:pPr>
    </w:p>
    <w:p>
      <w:pPr>
        <w:pStyle w:val="BodyText"/>
        <w:spacing w:line="446" w:lineRule="auto" w:before="47"/>
        <w:ind w:left="418" w:right="1609" w:firstLine="419"/>
      </w:pPr>
      <w:r>
        <w:rPr/>
        <w:t>由多种防火封堵材料以及耐火隔热材料共同构成的用以维持结构耐火性能，且便于更换的组合系统。 </w:t>
      </w:r>
    </w:p>
    <w:p>
      <w:pPr>
        <w:pStyle w:val="ListParagraph"/>
        <w:numPr>
          <w:ilvl w:val="1"/>
          <w:numId w:val="466"/>
        </w:numPr>
        <w:tabs>
          <w:tab w:pos="1213" w:val="left" w:leader="none"/>
        </w:tabs>
        <w:spacing w:line="267" w:lineRule="exact" w:before="0" w:after="0"/>
        <w:ind w:left="1212" w:right="0" w:hanging="373"/>
        <w:jc w:val="left"/>
        <w:rPr>
          <w:sz w:val="21"/>
        </w:rPr>
      </w:pPr>
      <w:r>
        <w:rPr>
          <w:spacing w:val="-3"/>
          <w:sz w:val="21"/>
        </w:rPr>
        <w:t>移动缝隙 </w:t>
      </w:r>
      <w:r>
        <w:rPr>
          <w:sz w:val="21"/>
        </w:rPr>
        <w:t>moveable</w:t>
      </w:r>
      <w:r>
        <w:rPr>
          <w:spacing w:val="1"/>
          <w:sz w:val="21"/>
        </w:rPr>
        <w:t> </w:t>
      </w:r>
      <w:r>
        <w:rPr>
          <w:sz w:val="21"/>
        </w:rPr>
        <w:t>joint </w:t>
      </w:r>
    </w:p>
    <w:p>
      <w:pPr>
        <w:pStyle w:val="BodyText"/>
        <w:spacing w:before="2"/>
        <w:rPr>
          <w:sz w:val="18"/>
        </w:rPr>
      </w:pPr>
    </w:p>
    <w:p>
      <w:pPr>
        <w:pStyle w:val="BodyText"/>
        <w:ind w:left="838"/>
      </w:pPr>
      <w:r>
        <w:rPr/>
        <w:t>受热后由于变形而可能使其宽度或位置发生变化的缝隙。 </w:t>
      </w:r>
    </w:p>
    <w:p>
      <w:pPr>
        <w:pStyle w:val="BodyText"/>
        <w:spacing w:before="8"/>
        <w:rPr>
          <w:sz w:val="15"/>
        </w:rPr>
      </w:pPr>
    </w:p>
    <w:p>
      <w:pPr>
        <w:pStyle w:val="Heading4"/>
      </w:pPr>
      <w:r>
        <w:rPr/>
        <w:t>4 分类与标记</w:t>
      </w:r>
      <w:r>
        <w:rPr>
          <w:w w:val="99"/>
        </w:rPr>
        <w:t> </w:t>
      </w:r>
    </w:p>
    <w:p>
      <w:pPr>
        <w:pStyle w:val="BodyText"/>
        <w:spacing w:before="4"/>
        <w:rPr>
          <w:b/>
          <w:sz w:val="17"/>
        </w:rPr>
      </w:pPr>
    </w:p>
    <w:p>
      <w:pPr>
        <w:pStyle w:val="ListParagraph"/>
        <w:numPr>
          <w:ilvl w:val="1"/>
          <w:numId w:val="467"/>
        </w:numPr>
        <w:tabs>
          <w:tab w:pos="1159" w:val="left" w:leader="none"/>
        </w:tabs>
        <w:spacing w:line="240" w:lineRule="auto" w:before="0" w:after="0"/>
        <w:ind w:left="1158" w:right="0" w:hanging="319"/>
        <w:jc w:val="left"/>
        <w:rPr>
          <w:b/>
          <w:sz w:val="21"/>
        </w:rPr>
      </w:pPr>
      <w:r>
        <w:rPr>
          <w:spacing w:val="-3"/>
          <w:sz w:val="21"/>
        </w:rPr>
        <w:t>分类</w:t>
      </w:r>
      <w:r>
        <w:rPr>
          <w:b/>
          <w:w w:val="99"/>
          <w:sz w:val="21"/>
        </w:rPr>
        <w:t> </w:t>
      </w:r>
    </w:p>
    <w:p>
      <w:pPr>
        <w:pStyle w:val="BodyText"/>
        <w:spacing w:before="2"/>
        <w:rPr>
          <w:b/>
          <w:sz w:val="18"/>
        </w:rPr>
      </w:pPr>
    </w:p>
    <w:p>
      <w:pPr>
        <w:pStyle w:val="ListParagraph"/>
        <w:numPr>
          <w:ilvl w:val="2"/>
          <w:numId w:val="467"/>
        </w:numPr>
        <w:tabs>
          <w:tab w:pos="1371" w:val="left" w:leader="none"/>
        </w:tabs>
        <w:spacing w:line="446" w:lineRule="auto" w:before="0" w:after="0"/>
        <w:ind w:left="418" w:right="1500" w:firstLine="422"/>
        <w:jc w:val="left"/>
        <w:rPr>
          <w:sz w:val="21"/>
        </w:rPr>
      </w:pPr>
      <w:r>
        <w:rPr>
          <w:spacing w:val="-3"/>
          <w:sz w:val="21"/>
        </w:rPr>
        <w:t>防火封堵材料按用途可分为:孔洞用防火封堵材料、缝隙用防火封堵材料、塑料管道用防火封堵材料三个大类： </w:t>
      </w:r>
    </w:p>
    <w:p>
      <w:pPr>
        <w:pStyle w:val="BodyText"/>
        <w:spacing w:line="446" w:lineRule="auto"/>
        <w:ind w:left="418" w:right="1609" w:firstLine="419"/>
      </w:pPr>
      <w:r>
        <w:rPr/>
        <w:t>——孔洞用防火封堵材料是指用于贯穿性结构孔洞的密封和封堵，以保持结构整体耐火性能的防火封堵材料; </w:t>
      </w:r>
    </w:p>
    <w:p>
      <w:pPr>
        <w:pStyle w:val="BodyText"/>
        <w:ind w:left="838"/>
      </w:pPr>
      <w:r>
        <w:rPr/>
        <w:t>——缝隙用防火封堵材料是指用于防火分隔构件之间或防火分隔构件与其他构件之间</w:t>
      </w:r>
    </w:p>
    <w:p>
      <w:pPr>
        <w:pStyle w:val="BodyText"/>
        <w:spacing w:before="10"/>
        <w:rPr>
          <w:sz w:val="17"/>
        </w:rPr>
      </w:pPr>
    </w:p>
    <w:p>
      <w:pPr>
        <w:pStyle w:val="BodyText"/>
        <w:spacing w:line="446" w:lineRule="auto"/>
        <w:ind w:left="418" w:right="1608"/>
      </w:pPr>
      <w:r>
        <w:rPr/>
        <w:t>（如：伸缩缝、沉降缝、抗震缝和构造缝隙等）缝隙的密封和封堵，以保持结构整体耐火性能的防火封堵材料。  </w:t>
      </w:r>
      <w:r>
        <w:rPr>
          <w:w w:val="100"/>
        </w:rPr>
        <w:t> </w:t>
      </w:r>
    </w:p>
    <w:p>
      <w:pPr>
        <w:pStyle w:val="BodyText"/>
        <w:spacing w:line="446" w:lineRule="auto" w:before="1"/>
        <w:ind w:left="418" w:right="1608" w:firstLine="419"/>
      </w:pPr>
      <w:r>
        <w:rPr/>
        <w:t>——塑料管道用防火封堵材料是指用于塑料管道穿过墙面、楼地板等孔洞时，用以保持结构整体耐火性能所使用的防火封堵材料及制品。 </w:t>
      </w:r>
    </w:p>
    <w:p>
      <w:pPr>
        <w:pStyle w:val="ListParagraph"/>
        <w:numPr>
          <w:ilvl w:val="2"/>
          <w:numId w:val="467"/>
        </w:numPr>
        <w:tabs>
          <w:tab w:pos="1371" w:val="left" w:leader="none"/>
        </w:tabs>
        <w:spacing w:line="240" w:lineRule="auto" w:before="0" w:after="0"/>
        <w:ind w:left="1370" w:right="0" w:hanging="531"/>
        <w:jc w:val="left"/>
        <w:rPr>
          <w:sz w:val="21"/>
        </w:rPr>
      </w:pPr>
      <w:r>
        <w:rPr>
          <w:spacing w:val="-3"/>
          <w:sz w:val="21"/>
        </w:rPr>
        <w:t>防火封堵材料按产品的组成和形状特征可分为下列类型：</w:t>
      </w:r>
      <w:r>
        <w:rPr>
          <w:sz w:val="21"/>
        </w:rPr>
        <w:t> </w:t>
      </w:r>
    </w:p>
    <w:p>
      <w:pPr>
        <w:pStyle w:val="BodyText"/>
        <w:spacing w:before="12"/>
        <w:rPr>
          <w:sz w:val="17"/>
        </w:rPr>
      </w:pPr>
    </w:p>
    <w:p>
      <w:pPr>
        <w:pStyle w:val="BodyText"/>
        <w:spacing w:line="446" w:lineRule="auto"/>
        <w:ind w:left="418" w:right="1609" w:firstLine="419"/>
      </w:pPr>
      <w:r>
        <w:rPr>
          <w:spacing w:val="-3"/>
        </w:rPr>
        <w:t>——柔性有机堵料：以有机材料为粘接剂，使用时具有一定柔韧性或可塑性，产品为胶泥状物体； </w:t>
      </w:r>
      <w:r>
        <w:rPr/>
        <w:t> </w:t>
      </w:r>
    </w:p>
    <w:p>
      <w:pPr>
        <w:pStyle w:val="BodyText"/>
        <w:spacing w:line="446" w:lineRule="auto"/>
        <w:ind w:left="418" w:right="1609" w:firstLine="419"/>
      </w:pPr>
      <w:r>
        <w:rPr>
          <w:spacing w:val="-3"/>
        </w:rPr>
        <w:t>——无机堵料：以无机材料为主要成分的粉末状固体，与外加剂调和使用时，具有适当的和易性；</w:t>
      </w:r>
      <w:r>
        <w:rPr/>
        <w:t> </w:t>
      </w:r>
    </w:p>
    <w:p>
      <w:pPr>
        <w:pStyle w:val="BodyText"/>
        <w:spacing w:line="446" w:lineRule="auto"/>
        <w:ind w:left="418" w:right="1609" w:firstLine="419"/>
      </w:pPr>
      <w:r>
        <w:rPr>
          <w:w w:val="100"/>
        </w:rPr>
        <w:t> </w:t>
      </w:r>
      <w:r>
        <w:rPr/>
        <w:t>——阻火包:将防火材料包装制成的包状物体，适用于较大孔洞的防火封堵或电缆桥架的防火分隔 (阻火包亦称耐火包或防火包）； </w:t>
      </w:r>
    </w:p>
    <w:p>
      <w:pPr>
        <w:pStyle w:val="BodyText"/>
        <w:spacing w:line="446" w:lineRule="auto"/>
        <w:ind w:left="418" w:right="1609" w:firstLine="419"/>
      </w:pPr>
      <w:r>
        <w:rPr/>
        <w:t>——阻火模块：用防火材料制成的具有一定形状和尺寸规格的固体，可以方便地切割和钻孔，适用 于孔洞或电缆桥架的防火封堵； </w:t>
      </w:r>
    </w:p>
    <w:p>
      <w:pPr>
        <w:pStyle w:val="BodyText"/>
        <w:spacing w:line="446" w:lineRule="auto"/>
        <w:ind w:left="418" w:right="1609" w:firstLine="419"/>
      </w:pPr>
      <w:r>
        <w:rPr/>
        <w:t>——防火封堵板材：用防火材料制成的板材，可方便地切割和钻孔，适用于大型孔洞的防火封堵； </w:t>
      </w:r>
    </w:p>
    <w:p>
      <w:pPr>
        <w:pStyle w:val="BodyText"/>
        <w:spacing w:line="267" w:lineRule="exact"/>
        <w:ind w:left="838"/>
      </w:pPr>
      <w:r>
        <w:rPr/>
        <w:t>——泡沫封堵材料：注人孔洞后可以自行膨胀发泡并使孔洞密封的防火材料； </w:t>
      </w:r>
    </w:p>
    <w:p>
      <w:pPr>
        <w:pStyle w:val="BodyText"/>
        <w:spacing w:before="12"/>
        <w:rPr>
          <w:sz w:val="17"/>
        </w:rPr>
      </w:pPr>
    </w:p>
    <w:p>
      <w:pPr>
        <w:pStyle w:val="BodyText"/>
        <w:ind w:left="838"/>
      </w:pPr>
      <w:r>
        <w:rPr/>
        <w:t>——缝隙封堵材料:置于缝隙内，用于封堵固定或移动缝隙的固体防火材料； </w:t>
      </w:r>
    </w:p>
    <w:p>
      <w:pPr>
        <w:spacing w:after="0"/>
        <w:sectPr>
          <w:pgSz w:w="11910" w:h="16850"/>
          <w:pgMar w:header="0" w:footer="1239" w:top="1220" w:bottom="1420" w:left="1260" w:right="0"/>
        </w:sectPr>
      </w:pPr>
    </w:p>
    <w:p>
      <w:pPr>
        <w:pStyle w:val="BodyText"/>
        <w:spacing w:before="47"/>
        <w:ind w:left="838"/>
      </w:pPr>
      <w:r>
        <w:rPr/>
        <w:t>——防火密封胶:具有防火密封功能的液态防火材料； </w:t>
      </w:r>
    </w:p>
    <w:p>
      <w:pPr>
        <w:pStyle w:val="BodyText"/>
        <w:rPr>
          <w:sz w:val="18"/>
        </w:rPr>
      </w:pPr>
    </w:p>
    <w:p>
      <w:pPr>
        <w:pStyle w:val="BodyText"/>
        <w:spacing w:line="446" w:lineRule="auto"/>
        <w:ind w:left="418" w:right="1506" w:firstLine="419"/>
      </w:pPr>
      <w:r>
        <w:rPr>
          <w:spacing w:val="-3"/>
        </w:rPr>
        <w:t>——阻火包带:用防火材料制成的柔性可缠绕卷曲的带状产品，缠绕在塑料管道外表面，并用钢带包覆或其他适当方式固定，遇火后膨账挤压软化的管道，封堵塑料管道因燃烧或软化而留下的孔洞。</w:t>
      </w:r>
      <w:r>
        <w:rPr/>
        <w:t> </w:t>
      </w:r>
    </w:p>
    <w:p>
      <w:pPr>
        <w:pStyle w:val="ListParagraph"/>
        <w:numPr>
          <w:ilvl w:val="1"/>
          <w:numId w:val="467"/>
        </w:numPr>
        <w:tabs>
          <w:tab w:pos="1159" w:val="left" w:leader="none"/>
        </w:tabs>
        <w:spacing w:line="268" w:lineRule="exact" w:before="0" w:after="0"/>
        <w:ind w:left="1158" w:right="0" w:hanging="319"/>
        <w:jc w:val="left"/>
        <w:rPr>
          <w:b/>
          <w:sz w:val="21"/>
        </w:rPr>
      </w:pPr>
      <w:r>
        <w:rPr>
          <w:spacing w:val="-3"/>
          <w:sz w:val="21"/>
        </w:rPr>
        <w:t>标记</w:t>
      </w:r>
      <w:r>
        <w:rPr>
          <w:b/>
          <w:w w:val="99"/>
          <w:sz w:val="21"/>
        </w:rPr>
        <w:t> </w:t>
      </w:r>
    </w:p>
    <w:p>
      <w:pPr>
        <w:pStyle w:val="BodyText"/>
        <w:rPr>
          <w:b/>
          <w:sz w:val="18"/>
        </w:rPr>
      </w:pPr>
    </w:p>
    <w:p>
      <w:pPr>
        <w:pStyle w:val="BodyText"/>
        <w:tabs>
          <w:tab w:pos="3149" w:val="left" w:leader="dot"/>
        </w:tabs>
        <w:spacing w:line="446" w:lineRule="auto"/>
        <w:ind w:left="838" w:right="5394"/>
      </w:pPr>
      <w:r>
        <w:rPr/>
        <w:t>各类</w:t>
      </w:r>
      <w:r>
        <w:rPr>
          <w:spacing w:val="-3"/>
        </w:rPr>
        <w:t>防</w:t>
      </w:r>
      <w:r>
        <w:rPr/>
        <w:t>火</w:t>
      </w:r>
      <w:r>
        <w:rPr>
          <w:spacing w:val="-3"/>
        </w:rPr>
        <w:t>封</w:t>
      </w:r>
      <w:r>
        <w:rPr/>
        <w:t>堵</w:t>
      </w:r>
      <w:r>
        <w:rPr>
          <w:spacing w:val="-3"/>
        </w:rPr>
        <w:t>材</w:t>
      </w:r>
      <w:r>
        <w:rPr/>
        <w:t>料</w:t>
      </w:r>
      <w:r>
        <w:rPr>
          <w:spacing w:val="-3"/>
        </w:rPr>
        <w:t>的</w:t>
      </w:r>
      <w:r>
        <w:rPr/>
        <w:t>名</w:t>
      </w:r>
      <w:r>
        <w:rPr>
          <w:spacing w:val="-3"/>
        </w:rPr>
        <w:t>称</w:t>
      </w:r>
      <w:r>
        <w:rPr/>
        <w:t>与代</w:t>
      </w:r>
      <w:r>
        <w:rPr>
          <w:spacing w:val="-3"/>
        </w:rPr>
        <w:t>号</w:t>
      </w:r>
      <w:r>
        <w:rPr/>
        <w:t>对</w:t>
      </w:r>
      <w:r>
        <w:rPr>
          <w:spacing w:val="-3"/>
        </w:rPr>
        <w:t>应</w:t>
      </w:r>
      <w:r>
        <w:rPr/>
        <w:t>关</w:t>
      </w:r>
      <w:r>
        <w:rPr>
          <w:spacing w:val="-3"/>
        </w:rPr>
        <w:t>系</w:t>
      </w:r>
      <w:r>
        <w:rPr/>
        <w:t>如</w:t>
      </w:r>
      <w:r>
        <w:rPr>
          <w:spacing w:val="-3"/>
        </w:rPr>
        <w:t>下</w:t>
      </w:r>
      <w:r>
        <w:rPr/>
        <w:t>: 柔性</w:t>
      </w:r>
      <w:r>
        <w:rPr>
          <w:spacing w:val="-3"/>
        </w:rPr>
        <w:t>有</w:t>
      </w:r>
      <w:r>
        <w:rPr/>
        <w:t>机</w:t>
      </w:r>
      <w:r>
        <w:rPr>
          <w:spacing w:val="-3"/>
        </w:rPr>
        <w:t>堵</w:t>
      </w:r>
      <w:r>
        <w:rPr/>
        <w:t>料</w:t>
        <w:tab/>
        <w:t>DR； </w:t>
      </w:r>
    </w:p>
    <w:p>
      <w:pPr>
        <w:pStyle w:val="BodyText"/>
        <w:tabs>
          <w:tab w:pos="3252" w:val="left" w:leader="dot"/>
        </w:tabs>
        <w:ind w:left="838"/>
      </w:pPr>
      <w:r>
        <w:rPr/>
        <w:t>无机</w:t>
      </w:r>
      <w:r>
        <w:rPr>
          <w:spacing w:val="-3"/>
        </w:rPr>
        <w:t>堵</w:t>
      </w:r>
      <w:r>
        <w:rPr/>
        <w:t>料</w:t>
        <w:tab/>
        <w:t>DW； </w:t>
      </w:r>
    </w:p>
    <w:p>
      <w:pPr>
        <w:pStyle w:val="BodyText"/>
        <w:rPr>
          <w:sz w:val="18"/>
        </w:rPr>
      </w:pPr>
    </w:p>
    <w:p>
      <w:pPr>
        <w:pStyle w:val="BodyText"/>
        <w:tabs>
          <w:tab w:pos="3463" w:val="left" w:leader="dot"/>
        </w:tabs>
        <w:ind w:left="838"/>
      </w:pPr>
      <w:r>
        <w:rPr/>
        <w:t>阻火包</w:t>
        <w:tab/>
        <w:t>DB； </w:t>
      </w:r>
    </w:p>
    <w:p>
      <w:pPr>
        <w:pStyle w:val="BodyText"/>
        <w:spacing w:before="1"/>
        <w:rPr>
          <w:sz w:val="18"/>
        </w:rPr>
      </w:pPr>
    </w:p>
    <w:p>
      <w:pPr>
        <w:pStyle w:val="BodyText"/>
        <w:tabs>
          <w:tab w:pos="3358" w:val="left" w:leader="dot"/>
        </w:tabs>
        <w:spacing w:before="1"/>
        <w:ind w:left="838"/>
      </w:pPr>
      <w:r>
        <w:rPr/>
        <w:t>阻火</w:t>
      </w:r>
      <w:r>
        <w:rPr>
          <w:spacing w:val="-3"/>
        </w:rPr>
        <w:t>模</w:t>
      </w:r>
      <w:r>
        <w:rPr/>
        <w:t>块</w:t>
        <w:tab/>
        <w:t>DM； </w:t>
      </w:r>
    </w:p>
    <w:p>
      <w:pPr>
        <w:pStyle w:val="BodyText"/>
        <w:spacing w:before="12"/>
        <w:rPr>
          <w:sz w:val="17"/>
        </w:rPr>
      </w:pPr>
    </w:p>
    <w:p>
      <w:pPr>
        <w:pStyle w:val="BodyText"/>
        <w:tabs>
          <w:tab w:pos="3149" w:val="left" w:leader="dot"/>
        </w:tabs>
        <w:ind w:left="838"/>
      </w:pPr>
      <w:r>
        <w:rPr/>
        <w:t>防火</w:t>
      </w:r>
      <w:r>
        <w:rPr>
          <w:spacing w:val="-3"/>
        </w:rPr>
        <w:t>封</w:t>
      </w:r>
      <w:r>
        <w:rPr/>
        <w:t>堵</w:t>
      </w:r>
      <w:r>
        <w:rPr>
          <w:spacing w:val="-3"/>
        </w:rPr>
        <w:t>板</w:t>
      </w:r>
      <w:r>
        <w:rPr/>
        <w:t>材</w:t>
        <w:tab/>
        <w:t>DC； </w:t>
      </w:r>
    </w:p>
    <w:p>
      <w:pPr>
        <w:pStyle w:val="BodyText"/>
        <w:spacing w:before="12"/>
        <w:rPr>
          <w:sz w:val="17"/>
        </w:rPr>
      </w:pPr>
    </w:p>
    <w:p>
      <w:pPr>
        <w:pStyle w:val="BodyText"/>
        <w:tabs>
          <w:tab w:pos="3149" w:val="left" w:leader="dot"/>
        </w:tabs>
        <w:ind w:left="838"/>
      </w:pPr>
      <w:r>
        <w:rPr/>
        <w:t>泡沫</w:t>
      </w:r>
      <w:r>
        <w:rPr>
          <w:spacing w:val="-3"/>
        </w:rPr>
        <w:t>封</w:t>
      </w:r>
      <w:r>
        <w:rPr/>
        <w:t>堵</w:t>
      </w:r>
      <w:r>
        <w:rPr>
          <w:spacing w:val="-3"/>
        </w:rPr>
        <w:t>材</w:t>
      </w:r>
      <w:r>
        <w:rPr/>
        <w:t>料</w:t>
        <w:tab/>
        <w:t>DP； </w:t>
      </w:r>
    </w:p>
    <w:p>
      <w:pPr>
        <w:pStyle w:val="BodyText"/>
        <w:spacing w:before="2"/>
        <w:rPr>
          <w:sz w:val="18"/>
        </w:rPr>
      </w:pPr>
    </w:p>
    <w:p>
      <w:pPr>
        <w:pStyle w:val="BodyText"/>
        <w:tabs>
          <w:tab w:pos="3149" w:val="left" w:leader="dot"/>
        </w:tabs>
        <w:ind w:left="838"/>
      </w:pPr>
      <w:r>
        <w:rPr/>
        <w:t>防火</w:t>
      </w:r>
      <w:r>
        <w:rPr>
          <w:spacing w:val="-3"/>
        </w:rPr>
        <w:t>密</w:t>
      </w:r>
      <w:r>
        <w:rPr/>
        <w:t>封胶</w:t>
        <w:tab/>
        <w:t>DJ； </w:t>
      </w:r>
    </w:p>
    <w:p>
      <w:pPr>
        <w:pStyle w:val="BodyText"/>
        <w:rPr>
          <w:sz w:val="18"/>
        </w:rPr>
      </w:pPr>
    </w:p>
    <w:p>
      <w:pPr>
        <w:pStyle w:val="BodyText"/>
        <w:tabs>
          <w:tab w:pos="3046" w:val="left" w:leader="dot"/>
        </w:tabs>
        <w:ind w:left="838"/>
      </w:pPr>
      <w:r>
        <w:rPr/>
        <w:t>缝隙</w:t>
      </w:r>
      <w:r>
        <w:rPr>
          <w:spacing w:val="-3"/>
        </w:rPr>
        <w:t>封</w:t>
      </w:r>
      <w:r>
        <w:rPr/>
        <w:t>堵</w:t>
      </w:r>
      <w:r>
        <w:rPr>
          <w:spacing w:val="-3"/>
        </w:rPr>
        <w:t>材</w:t>
      </w:r>
      <w:r>
        <w:rPr/>
        <w:t>料</w:t>
        <w:tab/>
        <w:t>DF； </w:t>
      </w:r>
    </w:p>
    <w:p>
      <w:pPr>
        <w:pStyle w:val="BodyText"/>
        <w:spacing w:before="12"/>
        <w:rPr>
          <w:sz w:val="17"/>
        </w:rPr>
      </w:pPr>
    </w:p>
    <w:p>
      <w:pPr>
        <w:pStyle w:val="BodyText"/>
        <w:tabs>
          <w:tab w:pos="3252" w:val="left" w:leader="dot"/>
        </w:tabs>
        <w:ind w:left="838"/>
      </w:pPr>
      <w:r>
        <w:rPr/>
        <w:t>阻火</w:t>
      </w:r>
      <w:r>
        <w:rPr>
          <w:spacing w:val="-3"/>
        </w:rPr>
        <w:t>包</w:t>
      </w:r>
      <w:r>
        <w:rPr/>
        <w:t>带</w:t>
        <w:tab/>
        <w:t>DT； </w:t>
      </w:r>
    </w:p>
    <w:p>
      <w:pPr>
        <w:pStyle w:val="BodyText"/>
        <w:spacing w:before="2"/>
        <w:rPr>
          <w:sz w:val="18"/>
        </w:rPr>
      </w:pPr>
    </w:p>
    <w:p>
      <w:pPr>
        <w:pStyle w:val="BodyText"/>
        <w:ind w:left="838"/>
      </w:pPr>
      <w:r>
        <w:rPr/>
        <w:t>标记顺序为：防火封堵材料代号一耐火性能级别代号一企业的产品型号。 </w:t>
      </w:r>
    </w:p>
    <w:p>
      <w:pPr>
        <w:pStyle w:val="BodyText"/>
        <w:rPr>
          <w:sz w:val="18"/>
        </w:rPr>
      </w:pPr>
    </w:p>
    <w:p>
      <w:pPr>
        <w:pStyle w:val="BodyText"/>
        <w:spacing w:line="446" w:lineRule="auto"/>
        <w:ind w:left="418" w:right="1505" w:firstLine="419"/>
      </w:pPr>
      <w:r>
        <w:rPr/>
        <w:t>标记示例：DW-A3-ZH08,表示具有三小时耐火完整性和耐火隔热性的无机堵料，企业的产品型号为 ZH08。 </w:t>
      </w:r>
    </w:p>
    <w:p>
      <w:pPr>
        <w:pStyle w:val="Heading4"/>
        <w:spacing w:line="277" w:lineRule="exact"/>
      </w:pPr>
      <w:r>
        <w:rPr/>
        <w:t>5 要求</w:t>
      </w:r>
      <w:r>
        <w:rPr>
          <w:w w:val="99"/>
        </w:rPr>
        <w:t> </w:t>
      </w:r>
    </w:p>
    <w:p>
      <w:pPr>
        <w:pStyle w:val="BodyText"/>
        <w:spacing w:before="4"/>
        <w:rPr>
          <w:b/>
          <w:sz w:val="17"/>
        </w:rPr>
      </w:pPr>
    </w:p>
    <w:p>
      <w:pPr>
        <w:pStyle w:val="ListParagraph"/>
        <w:numPr>
          <w:ilvl w:val="1"/>
          <w:numId w:val="468"/>
        </w:numPr>
        <w:tabs>
          <w:tab w:pos="1159" w:val="left" w:leader="none"/>
        </w:tabs>
        <w:spacing w:line="240" w:lineRule="auto" w:before="0" w:after="0"/>
        <w:ind w:left="1158" w:right="0" w:hanging="319"/>
        <w:jc w:val="left"/>
        <w:rPr>
          <w:sz w:val="21"/>
        </w:rPr>
      </w:pPr>
      <w:r>
        <w:rPr>
          <w:spacing w:val="-3"/>
          <w:sz w:val="21"/>
        </w:rPr>
        <w:t>燃烧性能</w:t>
      </w:r>
      <w:r>
        <w:rPr>
          <w:sz w:val="21"/>
        </w:rPr>
        <w:t> </w:t>
      </w:r>
    </w:p>
    <w:p>
      <w:pPr>
        <w:pStyle w:val="ListParagraph"/>
        <w:numPr>
          <w:ilvl w:val="2"/>
          <w:numId w:val="468"/>
        </w:numPr>
        <w:tabs>
          <w:tab w:pos="1370" w:val="left" w:leader="none"/>
        </w:tabs>
        <w:spacing w:line="352" w:lineRule="auto" w:before="163" w:after="0"/>
        <w:ind w:left="418" w:right="1501" w:firstLine="422"/>
        <w:jc w:val="left"/>
        <w:rPr>
          <w:sz w:val="21"/>
        </w:rPr>
      </w:pPr>
      <w:r>
        <w:rPr>
          <w:spacing w:val="-5"/>
          <w:sz w:val="21"/>
        </w:rPr>
        <w:t>除无机堵料外，其他封堵材料的燃烧性能应满足 </w:t>
      </w:r>
      <w:r>
        <w:rPr>
          <w:sz w:val="21"/>
        </w:rPr>
        <w:t>5.1.2</w:t>
      </w:r>
      <w:r>
        <w:rPr>
          <w:rFonts w:ascii="微软雅黑" w:eastAsia="微软雅黑" w:hint="eastAsia"/>
          <w:sz w:val="21"/>
        </w:rPr>
        <w:t>〜</w:t>
      </w:r>
      <w:r>
        <w:rPr>
          <w:sz w:val="21"/>
        </w:rPr>
        <w:t>5.1.4</w:t>
      </w:r>
      <w:r>
        <w:rPr>
          <w:spacing w:val="-8"/>
          <w:sz w:val="21"/>
        </w:rPr>
        <w:t> 的规定。燃烧性能缺</w:t>
      </w:r>
      <w:r>
        <w:rPr>
          <w:spacing w:val="-16"/>
          <w:sz w:val="21"/>
        </w:rPr>
        <w:t>陷类别为 </w:t>
      </w:r>
      <w:r>
        <w:rPr>
          <w:sz w:val="21"/>
        </w:rPr>
        <w:t>A</w:t>
      </w:r>
      <w:r>
        <w:rPr>
          <w:spacing w:val="-20"/>
          <w:sz w:val="21"/>
        </w:rPr>
        <w:t> 类。</w:t>
      </w:r>
      <w:r>
        <w:rPr>
          <w:sz w:val="21"/>
        </w:rPr>
        <w:t> </w:t>
      </w:r>
    </w:p>
    <w:p>
      <w:pPr>
        <w:pStyle w:val="ListParagraph"/>
        <w:numPr>
          <w:ilvl w:val="2"/>
          <w:numId w:val="468"/>
        </w:numPr>
        <w:tabs>
          <w:tab w:pos="1371" w:val="left" w:leader="none"/>
        </w:tabs>
        <w:spacing w:line="240" w:lineRule="auto" w:before="104" w:after="0"/>
        <w:ind w:left="1370" w:right="0" w:hanging="531"/>
        <w:jc w:val="left"/>
        <w:rPr>
          <w:sz w:val="21"/>
        </w:rPr>
      </w:pPr>
      <w:r>
        <w:rPr>
          <w:spacing w:val="-6"/>
          <w:sz w:val="21"/>
        </w:rPr>
        <w:t>阻火包用织物应满足:损毁长度不大于 </w:t>
      </w:r>
      <w:r>
        <w:rPr>
          <w:sz w:val="21"/>
        </w:rPr>
        <w:t>150mm</w:t>
      </w:r>
      <w:r>
        <w:rPr>
          <w:spacing w:val="-9"/>
          <w:sz w:val="21"/>
        </w:rPr>
        <w:t>，续燃时间不大于 </w:t>
      </w:r>
      <w:r>
        <w:rPr>
          <w:sz w:val="21"/>
        </w:rPr>
        <w:t>5s</w:t>
      </w:r>
      <w:r>
        <w:rPr>
          <w:spacing w:val="-3"/>
          <w:sz w:val="21"/>
        </w:rPr>
        <w:t>，阴燃时间不大于</w:t>
      </w:r>
    </w:p>
    <w:p>
      <w:pPr>
        <w:pStyle w:val="BodyText"/>
        <w:spacing w:before="12"/>
        <w:rPr>
          <w:sz w:val="17"/>
        </w:rPr>
      </w:pPr>
    </w:p>
    <w:p>
      <w:pPr>
        <w:pStyle w:val="BodyText"/>
        <w:ind w:left="418"/>
      </w:pPr>
      <w:r>
        <w:rPr/>
        <w:t>5s，且燃烧滴落物未引起脱脂棉燃烧或阴燃。 </w:t>
      </w:r>
    </w:p>
    <w:p>
      <w:pPr>
        <w:pStyle w:val="BodyText"/>
        <w:spacing w:before="2"/>
        <w:rPr>
          <w:sz w:val="18"/>
        </w:rPr>
      </w:pPr>
    </w:p>
    <w:p>
      <w:pPr>
        <w:pStyle w:val="ListParagraph"/>
        <w:numPr>
          <w:ilvl w:val="2"/>
          <w:numId w:val="468"/>
        </w:numPr>
        <w:tabs>
          <w:tab w:pos="1370" w:val="left" w:leader="none"/>
        </w:tabs>
        <w:spacing w:line="240" w:lineRule="auto" w:before="0" w:after="0"/>
        <w:ind w:left="1369" w:right="0" w:hanging="530"/>
        <w:jc w:val="left"/>
        <w:rPr>
          <w:sz w:val="21"/>
        </w:rPr>
      </w:pPr>
      <w:r>
        <w:rPr>
          <w:spacing w:val="-6"/>
          <w:sz w:val="21"/>
        </w:rPr>
        <w:t>柔性有机堵料和防火密封胶的燃烧性能不低于 </w:t>
      </w:r>
      <w:r>
        <w:rPr>
          <w:sz w:val="21"/>
        </w:rPr>
        <w:t>GB/T</w:t>
      </w:r>
      <w:r>
        <w:rPr>
          <w:spacing w:val="3"/>
          <w:sz w:val="21"/>
        </w:rPr>
        <w:t> </w:t>
      </w:r>
      <w:r>
        <w:rPr>
          <w:sz w:val="21"/>
        </w:rPr>
        <w:t>2408-2008</w:t>
      </w:r>
      <w:r>
        <w:rPr>
          <w:spacing w:val="-23"/>
          <w:sz w:val="21"/>
        </w:rPr>
        <w:t> 规定的 </w:t>
      </w:r>
      <w:r>
        <w:rPr>
          <w:sz w:val="21"/>
        </w:rPr>
        <w:t>HB</w:t>
      </w:r>
      <w:r>
        <w:rPr>
          <w:spacing w:val="-12"/>
          <w:sz w:val="21"/>
        </w:rPr>
        <w:t> 级；泡沫</w:t>
      </w:r>
    </w:p>
    <w:p>
      <w:pPr>
        <w:pStyle w:val="BodyText"/>
        <w:rPr>
          <w:sz w:val="18"/>
        </w:rPr>
      </w:pPr>
    </w:p>
    <w:p>
      <w:pPr>
        <w:pStyle w:val="BodyText"/>
        <w:spacing w:line="446" w:lineRule="auto"/>
        <w:ind w:left="840" w:right="2350" w:hanging="423"/>
      </w:pPr>
      <w:r>
        <w:rPr/>
        <w:t>封堵材料的燃烧性能应满足:平均燃烧时间不大于 30s，平均燃烧高度不大于 250mm。</w:t>
      </w:r>
      <w:r>
        <w:rPr>
          <w:b/>
        </w:rPr>
        <w:t>5.1.4 </w:t>
      </w:r>
      <w:r>
        <w:rPr/>
        <w:t>其他封堵材料的燃烧性能不低于 GB/T 2408—2008 规定的 V-0 级。 </w:t>
      </w:r>
    </w:p>
    <w:p>
      <w:pPr>
        <w:pStyle w:val="ListParagraph"/>
        <w:numPr>
          <w:ilvl w:val="1"/>
          <w:numId w:val="468"/>
        </w:numPr>
        <w:tabs>
          <w:tab w:pos="1159" w:val="left" w:leader="none"/>
        </w:tabs>
        <w:spacing w:line="240" w:lineRule="auto" w:before="0" w:after="0"/>
        <w:ind w:left="1158" w:right="0" w:hanging="319"/>
        <w:jc w:val="left"/>
        <w:rPr>
          <w:b/>
          <w:sz w:val="21"/>
        </w:rPr>
      </w:pPr>
      <w:r>
        <w:rPr>
          <w:spacing w:val="-3"/>
          <w:sz w:val="21"/>
        </w:rPr>
        <w:t>耐火性能</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468"/>
        </w:numPr>
        <w:tabs>
          <w:tab w:pos="1370" w:val="left" w:leader="none"/>
        </w:tabs>
        <w:spacing w:line="446" w:lineRule="auto" w:before="47" w:after="0"/>
        <w:ind w:left="418" w:right="1553" w:firstLine="422"/>
        <w:jc w:val="left"/>
        <w:rPr>
          <w:sz w:val="21"/>
        </w:rPr>
      </w:pPr>
      <w:r>
        <w:rPr>
          <w:spacing w:val="-3"/>
          <w:sz w:val="21"/>
        </w:rPr>
        <w:t>防火封堵材料的耐火性能按耐火时间分为</w:t>
      </w:r>
      <w:r>
        <w:rPr>
          <w:sz w:val="21"/>
        </w:rPr>
        <w:t>：1h、2h、3h</w:t>
      </w:r>
      <w:r>
        <w:rPr>
          <w:spacing w:val="-8"/>
          <w:sz w:val="21"/>
        </w:rPr>
        <w:t> 三个级别，耐火性能的缺陷</w:t>
      </w:r>
      <w:r>
        <w:rPr>
          <w:spacing w:val="-17"/>
          <w:sz w:val="21"/>
        </w:rPr>
        <w:t>类别为 </w:t>
      </w:r>
      <w:r>
        <w:rPr>
          <w:sz w:val="21"/>
        </w:rPr>
        <w:t>A</w:t>
      </w:r>
      <w:r>
        <w:rPr>
          <w:spacing w:val="-20"/>
          <w:sz w:val="21"/>
        </w:rPr>
        <w:t> 类。</w:t>
      </w:r>
      <w:r>
        <w:rPr>
          <w:sz w:val="21"/>
        </w:rPr>
        <w:t> </w:t>
      </w:r>
    </w:p>
    <w:p>
      <w:pPr>
        <w:pStyle w:val="ListParagraph"/>
        <w:numPr>
          <w:ilvl w:val="2"/>
          <w:numId w:val="468"/>
        </w:numPr>
        <w:tabs>
          <w:tab w:pos="1370" w:val="left" w:leader="none"/>
        </w:tabs>
        <w:spacing w:line="267" w:lineRule="exact" w:before="0" w:after="0"/>
        <w:ind w:left="1369" w:right="0" w:hanging="530"/>
        <w:jc w:val="left"/>
        <w:rPr>
          <w:sz w:val="21"/>
        </w:rPr>
      </w:pPr>
      <w:r>
        <w:rPr>
          <w:spacing w:val="-7"/>
          <w:sz w:val="21"/>
        </w:rPr>
        <w:t>防火封堵材料的耐火性能应符合表 </w:t>
      </w:r>
      <w:r>
        <w:rPr>
          <w:sz w:val="21"/>
        </w:rPr>
        <w:t>1</w:t>
      </w:r>
      <w:r>
        <w:rPr>
          <w:spacing w:val="-12"/>
          <w:sz w:val="21"/>
        </w:rPr>
        <w:t>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r>
        <w:rPr/>
        <w:drawing>
          <wp:anchor distT="0" distB="0" distL="0" distR="0" allowOverlap="1" layoutInCell="1" locked="0" behindDoc="0" simplePos="0" relativeHeight="179">
            <wp:simplePos x="0" y="0"/>
            <wp:positionH relativeFrom="page">
              <wp:posOffset>998855</wp:posOffset>
            </wp:positionH>
            <wp:positionV relativeFrom="paragraph">
              <wp:posOffset>229449</wp:posOffset>
            </wp:positionV>
            <wp:extent cx="5180680" cy="1572768"/>
            <wp:effectExtent l="0" t="0" r="0" b="0"/>
            <wp:wrapTopAndBottom/>
            <wp:docPr id="405" name="image239.jpeg"/>
            <wp:cNvGraphicFramePr>
              <a:graphicFrameLocks noChangeAspect="1"/>
            </wp:cNvGraphicFramePr>
            <a:graphic>
              <a:graphicData uri="http://schemas.openxmlformats.org/drawingml/2006/picture">
                <pic:pic>
                  <pic:nvPicPr>
                    <pic:cNvPr id="406" name="image239.jpeg"/>
                    <pic:cNvPicPr/>
                  </pic:nvPicPr>
                  <pic:blipFill>
                    <a:blip r:embed="rId291" cstate="print"/>
                    <a:stretch>
                      <a:fillRect/>
                    </a:stretch>
                  </pic:blipFill>
                  <pic:spPr>
                    <a:xfrm>
                      <a:off x="0" y="0"/>
                      <a:ext cx="5180680" cy="1572768"/>
                    </a:xfrm>
                    <a:prstGeom prst="rect">
                      <a:avLst/>
                    </a:prstGeom>
                  </pic:spPr>
                </pic:pic>
              </a:graphicData>
            </a:graphic>
          </wp:anchor>
        </w:drawing>
      </w:r>
    </w:p>
    <w:p>
      <w:pPr>
        <w:pStyle w:val="BodyText"/>
        <w:spacing w:before="1"/>
        <w:rPr>
          <w:sz w:val="15"/>
        </w:rPr>
      </w:pPr>
    </w:p>
    <w:p>
      <w:pPr>
        <w:pStyle w:val="ListParagraph"/>
        <w:numPr>
          <w:ilvl w:val="1"/>
          <w:numId w:val="468"/>
        </w:numPr>
        <w:tabs>
          <w:tab w:pos="1158" w:val="left" w:leader="none"/>
        </w:tabs>
        <w:spacing w:line="240" w:lineRule="auto" w:before="72" w:after="0"/>
        <w:ind w:left="1157" w:right="0" w:hanging="320"/>
        <w:jc w:val="left"/>
        <w:rPr>
          <w:b/>
          <w:sz w:val="21"/>
        </w:rPr>
      </w:pPr>
      <w:r>
        <w:rPr>
          <w:spacing w:val="-3"/>
          <w:sz w:val="21"/>
        </w:rPr>
        <w:t>理化性能</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468"/>
        </w:numPr>
        <w:tabs>
          <w:tab w:pos="1371" w:val="left" w:leader="none"/>
        </w:tabs>
        <w:spacing w:line="446" w:lineRule="auto" w:before="47" w:after="0"/>
        <w:ind w:left="418" w:right="1604" w:firstLine="422"/>
        <w:jc w:val="left"/>
        <w:rPr>
          <w:sz w:val="21"/>
        </w:rPr>
      </w:pPr>
      <w:r>
        <w:rPr>
          <w:spacing w:val="-3"/>
          <w:sz w:val="21"/>
        </w:rPr>
        <w:t>柔性有机堵料、无机堵料、阻火包、阻火模袂、防火封堵板材和泡沫封堵材料的理</w:t>
      </w:r>
      <w:r>
        <w:rPr>
          <w:spacing w:val="-10"/>
          <w:sz w:val="21"/>
        </w:rPr>
        <w:t>化性能应符合表 </w:t>
      </w:r>
      <w:r>
        <w:rPr>
          <w:sz w:val="21"/>
        </w:rPr>
        <w:t>2</w:t>
      </w:r>
      <w:r>
        <w:rPr>
          <w:spacing w:val="-12"/>
          <w:sz w:val="21"/>
        </w:rPr>
        <w:t> 的规定。 </w:t>
      </w:r>
    </w:p>
    <w:p>
      <w:pPr>
        <w:pStyle w:val="BodyText"/>
        <w:spacing w:before="11"/>
        <w:rPr>
          <w:sz w:val="8"/>
        </w:rPr>
      </w:pPr>
      <w:r>
        <w:rPr/>
        <w:pict>
          <v:group style="position:absolute;margin-left:81.650002pt;margin-top:7.664375pt;width:434.25pt;height:445.5pt;mso-position-horizontal-relative:page;mso-position-vertical-relative:paragraph;z-index:-251473920;mso-wrap-distance-left:0;mso-wrap-distance-right:0" coordorigin="1633,153" coordsize="8685,8910">
            <v:shape style="position:absolute;left:1633;top:168;width:8370;height:8145" type="#_x0000_t75" stroked="false">
              <v:imagedata r:id="rId293" o:title=""/>
            </v:shape>
            <v:shape style="position:absolute;left:1663;top:153;width:8655;height:8910" type="#_x0000_t75" stroked="false">
              <v:imagedata r:id="rId294" o:title=""/>
            </v:shape>
            <w10:wrap type="topAndBottom"/>
          </v:group>
        </w:pict>
      </w:r>
    </w:p>
    <w:p>
      <w:pPr>
        <w:pStyle w:val="BodyText"/>
        <w:rPr>
          <w:sz w:val="20"/>
        </w:rPr>
      </w:pPr>
    </w:p>
    <w:p>
      <w:pPr>
        <w:pStyle w:val="BodyText"/>
        <w:spacing w:before="2"/>
        <w:rPr>
          <w:sz w:val="26"/>
        </w:rPr>
      </w:pPr>
    </w:p>
    <w:p>
      <w:pPr>
        <w:pStyle w:val="ListParagraph"/>
        <w:numPr>
          <w:ilvl w:val="2"/>
          <w:numId w:val="468"/>
        </w:numPr>
        <w:tabs>
          <w:tab w:pos="1370" w:val="left" w:leader="none"/>
        </w:tabs>
        <w:spacing w:line="240" w:lineRule="auto" w:before="72" w:after="0"/>
        <w:ind w:left="1369" w:right="0" w:hanging="530"/>
        <w:jc w:val="left"/>
        <w:rPr>
          <w:sz w:val="21"/>
        </w:rPr>
      </w:pPr>
      <w:r>
        <w:rPr>
          <w:spacing w:val="-6"/>
          <w:sz w:val="21"/>
        </w:rPr>
        <w:t>缝隙封堵材料和防火密封胶的理化性能应符合表 </w:t>
      </w:r>
      <w:r>
        <w:rPr>
          <w:sz w:val="21"/>
        </w:rPr>
        <w:t>3</w:t>
      </w:r>
      <w:r>
        <w:rPr>
          <w:spacing w:val="-13"/>
          <w:sz w:val="21"/>
        </w:rPr>
        <w:t> 的规定。</w:t>
      </w:r>
      <w:r>
        <w:rPr>
          <w:sz w:val="21"/>
        </w:rPr>
        <w:t> </w:t>
      </w:r>
    </w:p>
    <w:p>
      <w:pPr>
        <w:pStyle w:val="BodyText"/>
        <w:rPr>
          <w:sz w:val="20"/>
        </w:rPr>
      </w:pPr>
    </w:p>
    <w:p>
      <w:pPr>
        <w:pStyle w:val="BodyText"/>
        <w:rPr>
          <w:sz w:val="20"/>
        </w:rPr>
      </w:pPr>
    </w:p>
    <w:p>
      <w:pPr>
        <w:pStyle w:val="BodyText"/>
        <w:spacing w:before="1"/>
        <w:rPr>
          <w:sz w:val="17"/>
        </w:rPr>
      </w:pPr>
    </w:p>
    <w:p>
      <w:pPr>
        <w:pStyle w:val="ListParagraph"/>
        <w:numPr>
          <w:ilvl w:val="2"/>
          <w:numId w:val="468"/>
        </w:numPr>
        <w:tabs>
          <w:tab w:pos="1370" w:val="left" w:leader="none"/>
        </w:tabs>
        <w:spacing w:line="240" w:lineRule="auto" w:before="1" w:after="0"/>
        <w:ind w:left="1369" w:right="0" w:hanging="530"/>
        <w:jc w:val="left"/>
        <w:rPr>
          <w:sz w:val="21"/>
        </w:rPr>
      </w:pPr>
      <w:r>
        <w:rPr>
          <w:spacing w:val="-7"/>
          <w:sz w:val="21"/>
        </w:rPr>
        <w:t>阻火包带的理化性能应符合表 </w:t>
      </w:r>
      <w:r>
        <w:rPr>
          <w:sz w:val="21"/>
        </w:rPr>
        <w:t>4</w:t>
      </w:r>
      <w:r>
        <w:rPr>
          <w:spacing w:val="-13"/>
          <w:sz w:val="21"/>
        </w:rPr>
        <w:t> 的规定。</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pStyle w:val="BodyText"/>
        <w:spacing w:before="71"/>
        <w:ind w:left="838"/>
      </w:pPr>
      <w:r>
        <w:rPr>
          <w:w w:val="100"/>
        </w:rPr>
        <w:t> </w:t>
      </w:r>
    </w:p>
    <w:p>
      <w:pPr>
        <w:spacing w:after="0"/>
        <w:sectPr>
          <w:footerReference w:type="default" r:id="rId292"/>
          <w:pgSz w:w="11910" w:h="16850"/>
          <w:pgMar w:footer="1239" w:header="0" w:top="1220" w:bottom="1420" w:left="1260" w:right="0"/>
          <w:pgNumType w:start="119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p>
    <w:p>
      <w:pPr>
        <w:pStyle w:val="BodyText"/>
        <w:ind w:left="139"/>
        <w:rPr>
          <w:sz w:val="20"/>
        </w:rPr>
      </w:pPr>
      <w:r>
        <w:rPr>
          <w:sz w:val="20"/>
        </w:rPr>
        <w:drawing>
          <wp:inline distT="0" distB="0" distL="0" distR="0">
            <wp:extent cx="5358157" cy="4655343"/>
            <wp:effectExtent l="0" t="0" r="0" b="0"/>
            <wp:docPr id="407" name="image242.jpeg"/>
            <wp:cNvGraphicFramePr>
              <a:graphicFrameLocks noChangeAspect="1"/>
            </wp:cNvGraphicFramePr>
            <a:graphic>
              <a:graphicData uri="http://schemas.openxmlformats.org/drawingml/2006/picture">
                <pic:pic>
                  <pic:nvPicPr>
                    <pic:cNvPr id="408" name="image242.jpeg"/>
                    <pic:cNvPicPr/>
                  </pic:nvPicPr>
                  <pic:blipFill>
                    <a:blip r:embed="rId295" cstate="print"/>
                    <a:stretch>
                      <a:fillRect/>
                    </a:stretch>
                  </pic:blipFill>
                  <pic:spPr>
                    <a:xfrm>
                      <a:off x="0" y="0"/>
                      <a:ext cx="5358157" cy="4655343"/>
                    </a:xfrm>
                    <a:prstGeom prst="rect">
                      <a:avLst/>
                    </a:prstGeom>
                  </pic:spPr>
                </pic:pic>
              </a:graphicData>
            </a:graphic>
          </wp:inline>
        </w:drawing>
      </w:r>
      <w:r>
        <w:rPr>
          <w:sz w:val="20"/>
        </w:rPr>
      </w:r>
    </w:p>
    <w:p>
      <w:pPr>
        <w:pStyle w:val="BodyText"/>
        <w:rPr>
          <w:sz w:val="20"/>
        </w:rPr>
      </w:pPr>
    </w:p>
    <w:p>
      <w:pPr>
        <w:pStyle w:val="BodyText"/>
        <w:spacing w:before="1"/>
        <w:rPr>
          <w:sz w:val="26"/>
        </w:rPr>
      </w:pPr>
    </w:p>
    <w:p>
      <w:pPr>
        <w:pStyle w:val="Heading4"/>
        <w:spacing w:before="66"/>
      </w:pPr>
      <w:r>
        <w:rPr/>
        <w:t>6 试验方法</w:t>
      </w:r>
      <w:r>
        <w:rPr>
          <w:w w:val="99"/>
        </w:rPr>
        <w:t> </w:t>
      </w:r>
    </w:p>
    <w:p>
      <w:pPr>
        <w:pStyle w:val="BodyText"/>
        <w:spacing w:before="4"/>
        <w:rPr>
          <w:b/>
          <w:sz w:val="17"/>
        </w:rPr>
      </w:pPr>
    </w:p>
    <w:p>
      <w:pPr>
        <w:spacing w:before="0"/>
        <w:ind w:left="840" w:right="0" w:firstLine="0"/>
        <w:jc w:val="left"/>
        <w:rPr>
          <w:sz w:val="21"/>
        </w:rPr>
      </w:pPr>
      <w:r>
        <w:rPr>
          <w:b/>
          <w:sz w:val="21"/>
        </w:rPr>
        <w:t>6.1 </w:t>
      </w:r>
      <w:r>
        <w:rPr>
          <w:sz w:val="21"/>
        </w:rPr>
        <w:t>外观 </w:t>
      </w:r>
    </w:p>
    <w:p>
      <w:pPr>
        <w:pStyle w:val="BodyText"/>
        <w:spacing w:before="2"/>
        <w:rPr>
          <w:sz w:val="18"/>
        </w:rPr>
      </w:pPr>
    </w:p>
    <w:p>
      <w:pPr>
        <w:pStyle w:val="BodyText"/>
        <w:spacing w:line="446" w:lineRule="auto"/>
        <w:ind w:left="840" w:right="6337" w:hanging="3"/>
        <w:rPr>
          <w:b/>
        </w:rPr>
      </w:pPr>
      <w:r>
        <w:rPr/>
        <w:t>采用目测与手触摸结合的方法进行。</w:t>
      </w:r>
      <w:r>
        <w:rPr>
          <w:b/>
        </w:rPr>
        <w:t>6.2 </w:t>
      </w:r>
      <w:r>
        <w:rPr/>
        <w:t>表观密度</w:t>
      </w:r>
      <w:r>
        <w:rPr>
          <w:b/>
          <w:w w:val="99"/>
        </w:rPr>
        <w:t> </w:t>
      </w:r>
    </w:p>
    <w:p>
      <w:pPr>
        <w:spacing w:line="267" w:lineRule="exact" w:before="0"/>
        <w:ind w:left="840" w:right="0" w:firstLine="0"/>
        <w:jc w:val="left"/>
        <w:rPr>
          <w:b/>
          <w:sz w:val="21"/>
        </w:rPr>
      </w:pPr>
      <w:r>
        <w:rPr>
          <w:b/>
          <w:sz w:val="21"/>
        </w:rPr>
        <w:t>6.2.1</w:t>
      </w:r>
      <w:r>
        <w:rPr>
          <w:b/>
          <w:spacing w:val="5"/>
          <w:sz w:val="21"/>
        </w:rPr>
        <w:t> </w:t>
      </w:r>
      <w:r>
        <w:rPr>
          <w:spacing w:val="-3"/>
          <w:sz w:val="21"/>
        </w:rPr>
        <w:t>实验条件</w:t>
      </w:r>
      <w:r>
        <w:rPr>
          <w:b/>
          <w:w w:val="99"/>
          <w:sz w:val="21"/>
        </w:rPr>
        <w:t> </w:t>
      </w:r>
    </w:p>
    <w:p>
      <w:pPr>
        <w:pStyle w:val="BodyText"/>
        <w:spacing w:before="2"/>
        <w:rPr>
          <w:b/>
          <w:sz w:val="18"/>
        </w:rPr>
      </w:pPr>
    </w:p>
    <w:p>
      <w:pPr>
        <w:spacing w:line="446" w:lineRule="auto" w:before="0"/>
        <w:ind w:left="840" w:right="6757" w:hanging="3"/>
        <w:jc w:val="left"/>
        <w:rPr>
          <w:b/>
          <w:sz w:val="21"/>
        </w:rPr>
      </w:pPr>
      <w:r>
        <w:rPr>
          <w:spacing w:val="-3"/>
          <w:sz w:val="21"/>
        </w:rPr>
        <w:t>密度测试应在常温条件下进行。</w:t>
      </w:r>
      <w:r>
        <w:rPr>
          <w:b/>
          <w:sz w:val="21"/>
        </w:rPr>
        <w:t>6.2.2</w:t>
      </w:r>
      <w:r>
        <w:rPr>
          <w:b/>
          <w:spacing w:val="2"/>
          <w:sz w:val="21"/>
        </w:rPr>
        <w:t> </w:t>
      </w:r>
      <w:r>
        <w:rPr>
          <w:spacing w:val="-3"/>
          <w:sz w:val="21"/>
        </w:rPr>
        <w:t>试验装置</w:t>
      </w:r>
      <w:r>
        <w:rPr>
          <w:b/>
          <w:w w:val="99"/>
          <w:sz w:val="21"/>
        </w:rPr>
        <w:t> </w:t>
      </w:r>
    </w:p>
    <w:p>
      <w:pPr>
        <w:spacing w:after="0" w:line="446" w:lineRule="auto"/>
        <w:jc w:val="left"/>
        <w:rPr>
          <w:sz w:val="21"/>
        </w:rPr>
        <w:sectPr>
          <w:pgSz w:w="11910" w:h="16850"/>
          <w:pgMar w:header="0" w:footer="1239" w:top="1600" w:bottom="1420" w:left="1260" w:right="0"/>
        </w:sectPr>
      </w:pPr>
    </w:p>
    <w:p>
      <w:pPr>
        <w:pStyle w:val="BodyText"/>
        <w:rPr>
          <w:b/>
          <w:sz w:val="9"/>
        </w:rPr>
      </w:pPr>
    </w:p>
    <w:p>
      <w:pPr>
        <w:pStyle w:val="BodyText"/>
        <w:tabs>
          <w:tab w:pos="3147" w:val="left" w:leader="none"/>
        </w:tabs>
        <w:spacing w:line="446" w:lineRule="auto" w:before="72"/>
        <w:ind w:left="838" w:right="5869"/>
      </w:pPr>
      <w:r>
        <w:rPr/>
        <w:drawing>
          <wp:anchor distT="0" distB="0" distL="0" distR="0" allowOverlap="1" layoutInCell="1" locked="0" behindDoc="1" simplePos="0" relativeHeight="215821312">
            <wp:simplePos x="0" y="0"/>
            <wp:positionH relativeFrom="page">
              <wp:posOffset>2665729</wp:posOffset>
            </wp:positionH>
            <wp:positionV relativeFrom="paragraph">
              <wp:posOffset>-69469</wp:posOffset>
            </wp:positionV>
            <wp:extent cx="116839" cy="241934"/>
            <wp:effectExtent l="0" t="0" r="0" b="0"/>
            <wp:wrapNone/>
            <wp:docPr id="409" name="image243.png"/>
            <wp:cNvGraphicFramePr>
              <a:graphicFrameLocks noChangeAspect="1"/>
            </wp:cNvGraphicFramePr>
            <a:graphic>
              <a:graphicData uri="http://schemas.openxmlformats.org/drawingml/2006/picture">
                <pic:pic>
                  <pic:nvPicPr>
                    <pic:cNvPr id="410" name="image243.png"/>
                    <pic:cNvPicPr/>
                  </pic:nvPicPr>
                  <pic:blipFill>
                    <a:blip r:embed="rId296" cstate="print"/>
                    <a:stretch>
                      <a:fillRect/>
                    </a:stretch>
                  </pic:blipFill>
                  <pic:spPr>
                    <a:xfrm>
                      <a:off x="0" y="0"/>
                      <a:ext cx="116839" cy="241934"/>
                    </a:xfrm>
                    <a:prstGeom prst="rect">
                      <a:avLst/>
                    </a:prstGeom>
                  </pic:spPr>
                </pic:pic>
              </a:graphicData>
            </a:graphic>
          </wp:anchor>
        </w:drawing>
      </w:r>
      <w:r>
        <w:rPr/>
        <w:t>不锈</w:t>
      </w:r>
      <w:r>
        <w:rPr>
          <w:spacing w:val="-3"/>
        </w:rPr>
        <w:t>钢</w:t>
      </w:r>
      <w:r>
        <w:rPr/>
        <w:t>容</w:t>
      </w:r>
      <w:r>
        <w:rPr>
          <w:spacing w:val="-3"/>
        </w:rPr>
        <w:t>器</w:t>
      </w:r>
      <w:r>
        <w:rPr/>
        <w:t>：</w:t>
      </w:r>
      <w:r>
        <w:rPr>
          <w:spacing w:val="-3"/>
        </w:rPr>
        <w:t>内</w:t>
      </w:r>
      <w:r>
        <w:rPr/>
        <w:t>径</w:t>
      </w:r>
      <w:r>
        <w:rPr>
          <w:spacing w:val="-3"/>
        </w:rPr>
        <w:t>为</w:t>
      </w:r>
      <w:r>
        <w:rPr/>
        <w:t>：</w:t>
        <w:tab/>
        <w:t>50mm，高</w:t>
      </w:r>
      <w:r>
        <w:rPr>
          <w:spacing w:val="-56"/>
        </w:rPr>
        <w:t> </w:t>
      </w:r>
      <w:r>
        <w:rPr/>
        <w:t>50mm； 电子</w:t>
      </w:r>
      <w:r>
        <w:rPr>
          <w:spacing w:val="-3"/>
        </w:rPr>
        <w:t>天</w:t>
      </w:r>
      <w:r>
        <w:rPr/>
        <w:t>平</w:t>
      </w:r>
      <w:r>
        <w:rPr>
          <w:spacing w:val="-3"/>
        </w:rPr>
        <w:t>：</w:t>
      </w:r>
      <w:r>
        <w:rPr/>
        <w:t>量</w:t>
      </w:r>
      <w:r>
        <w:rPr>
          <w:spacing w:val="-3"/>
        </w:rPr>
        <w:t>程大</w:t>
      </w:r>
      <w:r>
        <w:rPr/>
        <w:t>于</w:t>
      </w:r>
      <w:r>
        <w:rPr>
          <w:spacing w:val="37"/>
        </w:rPr>
        <w:t> </w:t>
      </w:r>
      <w:r>
        <w:rPr/>
        <w:t>100g，</w:t>
      </w:r>
      <w:r>
        <w:rPr>
          <w:spacing w:val="-3"/>
        </w:rPr>
        <w:t>精</w:t>
      </w:r>
      <w:r>
        <w:rPr/>
        <w:t>度</w:t>
      </w:r>
      <w:r>
        <w:rPr>
          <w:spacing w:val="36"/>
        </w:rPr>
        <w:t> </w:t>
      </w:r>
      <w:r>
        <w:rPr/>
        <w:t>0.1g; 电子</w:t>
      </w:r>
      <w:r>
        <w:rPr>
          <w:spacing w:val="-3"/>
        </w:rPr>
        <w:t>天</w:t>
      </w:r>
      <w:r>
        <w:rPr/>
        <w:t>平</w:t>
      </w:r>
      <w:r>
        <w:rPr>
          <w:spacing w:val="-3"/>
        </w:rPr>
        <w:t>:</w:t>
      </w:r>
      <w:r>
        <w:rPr/>
        <w:t>量程</w:t>
      </w:r>
      <w:r>
        <w:rPr>
          <w:spacing w:val="-55"/>
        </w:rPr>
        <w:t> </w:t>
      </w:r>
      <w:r>
        <w:rPr/>
        <w:t>1000g，</w:t>
      </w:r>
      <w:r>
        <w:rPr>
          <w:spacing w:val="-3"/>
        </w:rPr>
        <w:t>精</w:t>
      </w:r>
      <w:r>
        <w:rPr/>
        <w:t>度</w:t>
      </w:r>
      <w:r>
        <w:rPr>
          <w:spacing w:val="-53"/>
        </w:rPr>
        <w:t> </w:t>
      </w:r>
      <w:r>
        <w:rPr/>
        <w:t>1g; </w:t>
      </w:r>
    </w:p>
    <w:p>
      <w:pPr>
        <w:pStyle w:val="BodyText"/>
        <w:spacing w:line="268" w:lineRule="exact"/>
        <w:ind w:left="838"/>
      </w:pPr>
      <w:r>
        <w:rPr/>
        <w:t>直尺:精度 1mm； </w:t>
      </w:r>
    </w:p>
    <w:p>
      <w:pPr>
        <w:pStyle w:val="BodyText"/>
        <w:spacing w:before="12"/>
        <w:rPr>
          <w:sz w:val="17"/>
        </w:rPr>
      </w:pPr>
    </w:p>
    <w:p>
      <w:pPr>
        <w:pStyle w:val="BodyText"/>
        <w:ind w:left="838"/>
      </w:pPr>
      <w:r>
        <w:rPr/>
        <w:t>游标卡尺:精度 0.02mm； </w:t>
      </w:r>
    </w:p>
    <w:p>
      <w:pPr>
        <w:pStyle w:val="BodyText"/>
        <w:rPr>
          <w:sz w:val="18"/>
        </w:rPr>
      </w:pPr>
    </w:p>
    <w:p>
      <w:pPr>
        <w:pStyle w:val="BodyText"/>
        <w:ind w:left="838"/>
      </w:pPr>
      <w:r>
        <w:rPr/>
        <w:t>量筒:1200mL； </w:t>
      </w:r>
    </w:p>
    <w:p>
      <w:pPr>
        <w:spacing w:line="350" w:lineRule="auto" w:before="165"/>
        <w:ind w:left="840" w:right="7074" w:hanging="3"/>
        <w:jc w:val="left"/>
        <w:rPr>
          <w:b/>
          <w:sz w:val="21"/>
        </w:rPr>
      </w:pPr>
      <w:r>
        <w:rPr>
          <w:sz w:val="21"/>
        </w:rPr>
        <w:t>电热鼓风干燥箱:0</w:t>
      </w:r>
      <w:r>
        <w:rPr>
          <w:rFonts w:ascii="微软雅黑" w:hAnsi="微软雅黑" w:eastAsia="微软雅黑" w:hint="eastAsia"/>
          <w:sz w:val="21"/>
        </w:rPr>
        <w:t>〜</w:t>
      </w:r>
      <w:r>
        <w:rPr>
          <w:sz w:val="21"/>
        </w:rPr>
        <w:t>200℃。</w:t>
      </w:r>
      <w:r>
        <w:rPr>
          <w:b/>
          <w:sz w:val="21"/>
        </w:rPr>
        <w:t>6.2.3 </w:t>
      </w:r>
      <w:r>
        <w:rPr>
          <w:sz w:val="21"/>
        </w:rPr>
        <w:t>试验程序  </w:t>
      </w:r>
      <w:r>
        <w:rPr>
          <w:b/>
          <w:w w:val="99"/>
          <w:sz w:val="21"/>
        </w:rPr>
        <w:t> </w:t>
      </w:r>
    </w:p>
    <w:p>
      <w:pPr>
        <w:pStyle w:val="BodyText"/>
        <w:spacing w:before="108"/>
        <w:ind w:left="838"/>
      </w:pPr>
      <w:r>
        <w:rPr/>
        <w:t>6.2.3.1 柔性有机堵料、防火密封胶 </w:t>
      </w:r>
    </w:p>
    <w:p>
      <w:pPr>
        <w:pStyle w:val="BodyText"/>
        <w:spacing w:line="362" w:lineRule="auto" w:before="51"/>
        <w:ind w:left="418" w:right="1506" w:firstLine="419"/>
      </w:pPr>
      <w:r>
        <w:rPr/>
        <w:t>将防</w:t>
      </w:r>
      <w:r>
        <w:rPr>
          <w:spacing w:val="-3"/>
        </w:rPr>
        <w:t>火</w:t>
      </w:r>
      <w:r>
        <w:rPr/>
        <w:t>密</w:t>
      </w:r>
      <w:r>
        <w:rPr>
          <w:spacing w:val="-3"/>
        </w:rPr>
        <w:t>封</w:t>
      </w:r>
      <w:r>
        <w:rPr/>
        <w:t>胶</w:t>
      </w:r>
      <w:r>
        <w:rPr>
          <w:spacing w:val="-3"/>
        </w:rPr>
        <w:t>或</w:t>
      </w:r>
      <w:r>
        <w:rPr/>
        <w:t>混</w:t>
      </w:r>
      <w:r>
        <w:rPr>
          <w:spacing w:val="-3"/>
        </w:rPr>
        <w:t>合</w:t>
      </w:r>
      <w:r>
        <w:rPr/>
        <w:t>均</w:t>
      </w:r>
      <w:r>
        <w:rPr>
          <w:spacing w:val="-3"/>
        </w:rPr>
        <w:t>匀</w:t>
      </w:r>
      <w:r>
        <w:rPr/>
        <w:t>的柔</w:t>
      </w:r>
      <w:r>
        <w:rPr>
          <w:spacing w:val="-3"/>
        </w:rPr>
        <w:t>性</w:t>
      </w:r>
      <w:r>
        <w:rPr/>
        <w:t>有</w:t>
      </w:r>
      <w:r>
        <w:rPr>
          <w:spacing w:val="-3"/>
        </w:rPr>
        <w:t>机</w:t>
      </w:r>
      <w:r>
        <w:rPr/>
        <w:t>堵</w:t>
      </w:r>
      <w:r>
        <w:rPr>
          <w:spacing w:val="-3"/>
        </w:rPr>
        <w:t>料</w:t>
      </w:r>
      <w:r>
        <w:rPr/>
        <w:t>放</w:t>
      </w:r>
      <w:r>
        <w:rPr>
          <w:spacing w:val="-3"/>
        </w:rPr>
        <w:t>入</w:t>
      </w:r>
      <w:r>
        <w:rPr/>
        <w:t>一</w:t>
      </w:r>
      <w:r>
        <w:rPr>
          <w:spacing w:val="-3"/>
        </w:rPr>
        <w:t>个</w:t>
      </w:r>
      <w:r>
        <w:rPr/>
        <w:t>内径</w:t>
      </w:r>
      <w:r>
        <w:rPr>
          <w:spacing w:val="-7"/>
        </w:rPr>
        <w:t>为</w:t>
      </w:r>
      <w:r>
        <w:rPr>
          <w:spacing w:val="-76"/>
        </w:rPr>
        <w:t> </w:t>
      </w:r>
      <w:r>
        <w:rPr>
          <w:spacing w:val="-7"/>
          <w:w w:val="100"/>
          <w:position w:val="1"/>
        </w:rPr>
        <w:drawing>
          <wp:inline distT="0" distB="0" distL="0" distR="0">
            <wp:extent cx="116839" cy="241934"/>
            <wp:effectExtent l="0" t="0" r="0" b="0"/>
            <wp:docPr id="411" name="image243.png"/>
            <wp:cNvGraphicFramePr>
              <a:graphicFrameLocks noChangeAspect="1"/>
            </wp:cNvGraphicFramePr>
            <a:graphic>
              <a:graphicData uri="http://schemas.openxmlformats.org/drawingml/2006/picture">
                <pic:pic>
                  <pic:nvPicPr>
                    <pic:cNvPr id="412" name="image243.png"/>
                    <pic:cNvPicPr/>
                  </pic:nvPicPr>
                  <pic:blipFill>
                    <a:blip r:embed="rId296" cstate="print"/>
                    <a:stretch>
                      <a:fillRect/>
                    </a:stretch>
                  </pic:blipFill>
                  <pic:spPr>
                    <a:xfrm>
                      <a:off x="0" y="0"/>
                      <a:ext cx="116839" cy="241934"/>
                    </a:xfrm>
                    <a:prstGeom prst="rect">
                      <a:avLst/>
                    </a:prstGeom>
                  </pic:spPr>
                </pic:pic>
              </a:graphicData>
            </a:graphic>
          </wp:inline>
        </w:drawing>
      </w:r>
      <w:r>
        <w:rPr>
          <w:spacing w:val="-7"/>
          <w:w w:val="100"/>
          <w:position w:val="1"/>
        </w:rPr>
      </w:r>
      <w:r>
        <w:rPr>
          <w:rFonts w:ascii="Times New Roman" w:eastAsia="Times New Roman"/>
          <w:spacing w:val="-17"/>
          <w:w w:val="100"/>
        </w:rPr>
        <w:t> </w:t>
      </w:r>
      <w:r>
        <w:rPr/>
        <w:t>50mm，高</w:t>
      </w:r>
      <w:r>
        <w:rPr>
          <w:spacing w:val="-43"/>
        </w:rPr>
        <w:t> </w:t>
      </w:r>
      <w:r>
        <w:rPr/>
        <w:t>50mm</w:t>
      </w:r>
      <w:r>
        <w:rPr>
          <w:spacing w:val="-43"/>
        </w:rPr>
        <w:t> </w:t>
      </w:r>
      <w:r>
        <w:rPr>
          <w:spacing w:val="-3"/>
        </w:rPr>
        <w:t>的不</w:t>
      </w:r>
      <w:r>
        <w:rPr/>
        <w:t>锈钢</w:t>
      </w:r>
      <w:r>
        <w:rPr>
          <w:spacing w:val="-3"/>
        </w:rPr>
        <w:t>容</w:t>
      </w:r>
      <w:r>
        <w:rPr/>
        <w:t>器 </w:t>
      </w:r>
      <w:r>
        <w:rPr>
          <w:spacing w:val="-5"/>
        </w:rPr>
        <w:t>中。 用直径为 </w:t>
      </w:r>
      <w:r>
        <w:rPr/>
        <w:t>5mm</w:t>
      </w:r>
      <w:r>
        <w:rPr>
          <w:spacing w:val="-8"/>
        </w:rPr>
        <w:t> 的不锈钢棒插捣，使其充满整个容器，并用不锈钢板将表面抹平，使其上表</w:t>
      </w:r>
    </w:p>
    <w:p>
      <w:pPr>
        <w:pStyle w:val="BodyText"/>
        <w:spacing w:before="128"/>
        <w:ind w:left="418"/>
        <w:rPr>
          <w:sz w:val="11"/>
        </w:rPr>
      </w:pPr>
      <w:r>
        <w:rPr>
          <w:spacing w:val="-5"/>
          <w:position w:val="1"/>
        </w:rPr>
        <w:t>面与不锈钢容器的上表面处于同一平面。准确称量其质量 </w:t>
      </w:r>
      <w:r>
        <w:rPr>
          <w:position w:val="1"/>
        </w:rPr>
        <w:t>m</w:t>
      </w:r>
      <w:r>
        <w:rPr>
          <w:sz w:val="11"/>
        </w:rPr>
        <w:t>2</w:t>
      </w:r>
      <w:r>
        <w:rPr>
          <w:position w:val="1"/>
        </w:rPr>
        <w:t>，m</w:t>
      </w:r>
      <w:r>
        <w:rPr>
          <w:sz w:val="11"/>
        </w:rPr>
        <w:t>2</w:t>
      </w:r>
      <w:r>
        <w:rPr>
          <w:spacing w:val="-20"/>
          <w:sz w:val="11"/>
        </w:rPr>
        <w:t> </w:t>
      </w:r>
      <w:r>
        <w:rPr>
          <w:spacing w:val="-6"/>
          <w:position w:val="1"/>
        </w:rPr>
        <w:t>减去不锈钢容器本身的质量 </w:t>
      </w:r>
      <w:r>
        <w:rPr>
          <w:position w:val="1"/>
        </w:rPr>
        <w:t>m</w:t>
      </w:r>
      <w:r>
        <w:rPr>
          <w:sz w:val="11"/>
        </w:rPr>
        <w:t>1，</w:t>
      </w:r>
    </w:p>
    <w:p>
      <w:pPr>
        <w:pStyle w:val="BodyText"/>
        <w:spacing w:before="2"/>
        <w:rPr>
          <w:sz w:val="18"/>
        </w:rPr>
      </w:pPr>
    </w:p>
    <w:p>
      <w:pPr>
        <w:pStyle w:val="BodyText"/>
        <w:ind w:left="418"/>
      </w:pPr>
      <w:r>
        <w:rPr/>
        <w:t>即为试样的量m，精确至 0.1g。 </w:t>
      </w:r>
    </w:p>
    <w:p>
      <w:pPr>
        <w:pStyle w:val="BodyText"/>
        <w:rPr>
          <w:sz w:val="18"/>
        </w:rPr>
      </w:pPr>
    </w:p>
    <w:p>
      <w:pPr>
        <w:pStyle w:val="BodyText"/>
        <w:ind w:left="838"/>
      </w:pPr>
      <w:r>
        <w:rPr/>
        <w:drawing>
          <wp:anchor distT="0" distB="0" distL="0" distR="0" allowOverlap="1" layoutInCell="1" locked="0" behindDoc="0" simplePos="0" relativeHeight="181">
            <wp:simplePos x="0" y="0"/>
            <wp:positionH relativeFrom="page">
              <wp:posOffset>2875167</wp:posOffset>
            </wp:positionH>
            <wp:positionV relativeFrom="paragraph">
              <wp:posOffset>194944</wp:posOffset>
            </wp:positionV>
            <wp:extent cx="3346125" cy="201167"/>
            <wp:effectExtent l="0" t="0" r="0" b="0"/>
            <wp:wrapTopAndBottom/>
            <wp:docPr id="413" name="image244.jpeg"/>
            <wp:cNvGraphicFramePr>
              <a:graphicFrameLocks noChangeAspect="1"/>
            </wp:cNvGraphicFramePr>
            <a:graphic>
              <a:graphicData uri="http://schemas.openxmlformats.org/drawingml/2006/picture">
                <pic:pic>
                  <pic:nvPicPr>
                    <pic:cNvPr id="414" name="image244.jpeg"/>
                    <pic:cNvPicPr/>
                  </pic:nvPicPr>
                  <pic:blipFill>
                    <a:blip r:embed="rId297" cstate="print"/>
                    <a:stretch>
                      <a:fillRect/>
                    </a:stretch>
                  </pic:blipFill>
                  <pic:spPr>
                    <a:xfrm>
                      <a:off x="0" y="0"/>
                      <a:ext cx="3346125" cy="201167"/>
                    </a:xfrm>
                    <a:prstGeom prst="rect">
                      <a:avLst/>
                    </a:prstGeom>
                  </pic:spPr>
                </pic:pic>
              </a:graphicData>
            </a:graphic>
          </wp:anchor>
        </w:drawing>
      </w:r>
      <w:r>
        <w:rPr/>
        <w:t>表观密度ρ（kg/m³）按式（1)计算: </w:t>
      </w:r>
    </w:p>
    <w:p>
      <w:pPr>
        <w:pStyle w:val="BodyText"/>
        <w:spacing w:before="4"/>
        <w:rPr>
          <w:sz w:val="26"/>
        </w:rPr>
      </w:pPr>
    </w:p>
    <w:p>
      <w:pPr>
        <w:pStyle w:val="BodyText"/>
        <w:spacing w:before="1"/>
        <w:ind w:left="838"/>
      </w:pPr>
      <w:r>
        <w:rPr/>
        <w:t>式中 </w:t>
      </w:r>
      <w:r>
        <w:rPr>
          <w:i/>
          <w:sz w:val="22"/>
        </w:rPr>
        <w:t>ρ</w:t>
      </w:r>
      <w:r>
        <w:rPr/>
        <w:t>——表观密度，单位为千克每立方米(kg/m³); </w:t>
      </w:r>
    </w:p>
    <w:p>
      <w:pPr>
        <w:pStyle w:val="BodyText"/>
        <w:spacing w:before="12"/>
        <w:rPr>
          <w:sz w:val="16"/>
        </w:rPr>
      </w:pPr>
    </w:p>
    <w:p>
      <w:pPr>
        <w:pStyle w:val="BodyText"/>
        <w:ind w:left="1469"/>
      </w:pPr>
      <w:r>
        <w:rPr>
          <w:i/>
          <w:sz w:val="22"/>
        </w:rPr>
        <w:t>m</w:t>
      </w:r>
      <w:r>
        <w:rPr/>
        <w:t>——试样的质量，单位为千克（kg); </w:t>
      </w:r>
    </w:p>
    <w:p>
      <w:pPr>
        <w:pStyle w:val="BodyText"/>
        <w:spacing w:before="12"/>
        <w:rPr>
          <w:sz w:val="16"/>
        </w:rPr>
      </w:pPr>
    </w:p>
    <w:p>
      <w:pPr>
        <w:pStyle w:val="BodyText"/>
        <w:ind w:left="1469"/>
      </w:pPr>
      <w:r>
        <w:rPr>
          <w:i/>
          <w:sz w:val="22"/>
        </w:rPr>
        <w:t>V</w:t>
      </w:r>
      <w:r>
        <w:rPr/>
        <w:t>—不锈钢容器净空体积，单位为立方米(m³)。 </w:t>
      </w:r>
    </w:p>
    <w:p>
      <w:pPr>
        <w:pStyle w:val="BodyText"/>
        <w:spacing w:before="12"/>
        <w:rPr>
          <w:sz w:val="17"/>
        </w:rPr>
      </w:pPr>
    </w:p>
    <w:p>
      <w:pPr>
        <w:pStyle w:val="BodyText"/>
        <w:spacing w:line="446" w:lineRule="auto"/>
        <w:ind w:left="418" w:right="1395" w:firstLine="419"/>
      </w:pPr>
      <w:r>
        <w:rPr/>
        <w:t>试验数据取两次试验结果的算术平均值，取整到 0.1×10³kg/m³。两次试验结果之差不得超过 0.2×10m³kg/m³。 </w:t>
      </w:r>
    </w:p>
    <w:p>
      <w:pPr>
        <w:pStyle w:val="BodyText"/>
        <w:spacing w:line="267" w:lineRule="exact"/>
        <w:ind w:left="838"/>
        <w:rPr>
          <w:b/>
        </w:rPr>
      </w:pPr>
      <w:r>
        <w:rPr/>
        <w:t>6. 2. 3. 2 无机堵料、阻火包</w:t>
      </w:r>
      <w:r>
        <w:rPr>
          <w:b/>
          <w:w w:val="99"/>
        </w:rPr>
        <w:t> </w:t>
      </w:r>
    </w:p>
    <w:p>
      <w:pPr>
        <w:pStyle w:val="BodyText"/>
        <w:spacing w:before="2"/>
        <w:rPr>
          <w:b/>
          <w:sz w:val="18"/>
        </w:rPr>
      </w:pPr>
    </w:p>
    <w:p>
      <w:pPr>
        <w:pStyle w:val="BodyText"/>
        <w:ind w:left="838"/>
      </w:pPr>
      <w:r>
        <w:rPr/>
        <w:t>将阻火包内装材料放人电热鼓风干燥箱内，在 65°C±2°C 条件下烘干至恒重。 </w:t>
      </w:r>
    </w:p>
    <w:p>
      <w:pPr>
        <w:pStyle w:val="BodyText"/>
        <w:spacing w:before="12"/>
        <w:rPr>
          <w:sz w:val="17"/>
        </w:rPr>
      </w:pPr>
    </w:p>
    <w:p>
      <w:pPr>
        <w:pStyle w:val="BodyText"/>
        <w:spacing w:line="446" w:lineRule="auto"/>
        <w:ind w:left="418" w:right="1613" w:firstLine="419"/>
      </w:pPr>
      <w:r>
        <w:rPr>
          <w:spacing w:val="-3"/>
        </w:rPr>
        <w:t>将试样(无机堵料或阻火包内装材料）</w:t>
      </w:r>
      <w:r>
        <w:rPr>
          <w:spacing w:val="-6"/>
        </w:rPr>
        <w:t>混合均匀后，缓慢放入量程不小于 </w:t>
      </w:r>
      <w:r>
        <w:rPr/>
        <w:t>1200mL</w:t>
      </w:r>
      <w:r>
        <w:rPr>
          <w:spacing w:val="-9"/>
        </w:rPr>
        <w:t> 的量筒中</w:t>
      </w:r>
      <w:r>
        <w:rPr>
          <w:spacing w:val="-30"/>
        </w:rPr>
        <w:t>至 </w:t>
      </w:r>
      <w:r>
        <w:rPr/>
        <w:t>1000mL</w:t>
      </w:r>
      <w:r>
        <w:rPr>
          <w:spacing w:val="-11"/>
        </w:rPr>
        <w:t> 左右，轻轻振动量筒，使量筒中的试样与刻度线相平，记录下刻度读数 </w:t>
      </w:r>
      <w:r>
        <w:rPr>
          <w:spacing w:val="-3"/>
        </w:rPr>
        <w:t>V。</w:t>
      </w:r>
      <w:r>
        <w:rPr/>
        <w:t> </w:t>
      </w:r>
    </w:p>
    <w:p>
      <w:pPr>
        <w:pStyle w:val="BodyText"/>
        <w:ind w:left="838"/>
      </w:pPr>
      <w:r>
        <w:rPr/>
        <w:t>称量空量筒的质量和装入试样后的量筒质量，两者之差即为试样的质量，精确至 0.1g。 </w:t>
      </w:r>
    </w:p>
    <w:p>
      <w:pPr>
        <w:pStyle w:val="BodyText"/>
        <w:rPr>
          <w:sz w:val="18"/>
        </w:rPr>
      </w:pPr>
    </w:p>
    <w:p>
      <w:pPr>
        <w:pStyle w:val="BodyText"/>
        <w:ind w:left="838"/>
      </w:pPr>
      <w:r>
        <w:rPr/>
        <w:drawing>
          <wp:anchor distT="0" distB="0" distL="0" distR="0" allowOverlap="1" layoutInCell="1" locked="0" behindDoc="0" simplePos="0" relativeHeight="182">
            <wp:simplePos x="0" y="0"/>
            <wp:positionH relativeFrom="page">
              <wp:posOffset>2255773</wp:posOffset>
            </wp:positionH>
            <wp:positionV relativeFrom="paragraph">
              <wp:posOffset>220344</wp:posOffset>
            </wp:positionV>
            <wp:extent cx="3353985" cy="224028"/>
            <wp:effectExtent l="0" t="0" r="0" b="0"/>
            <wp:wrapTopAndBottom/>
            <wp:docPr id="415" name="image245.jpeg"/>
            <wp:cNvGraphicFramePr>
              <a:graphicFrameLocks noChangeAspect="1"/>
            </wp:cNvGraphicFramePr>
            <a:graphic>
              <a:graphicData uri="http://schemas.openxmlformats.org/drawingml/2006/picture">
                <pic:pic>
                  <pic:nvPicPr>
                    <pic:cNvPr id="416" name="image245.jpeg"/>
                    <pic:cNvPicPr/>
                  </pic:nvPicPr>
                  <pic:blipFill>
                    <a:blip r:embed="rId298" cstate="print"/>
                    <a:stretch>
                      <a:fillRect/>
                    </a:stretch>
                  </pic:blipFill>
                  <pic:spPr>
                    <a:xfrm>
                      <a:off x="0" y="0"/>
                      <a:ext cx="3353985" cy="224028"/>
                    </a:xfrm>
                    <a:prstGeom prst="rect">
                      <a:avLst/>
                    </a:prstGeom>
                  </pic:spPr>
                </pic:pic>
              </a:graphicData>
            </a:graphic>
          </wp:anchor>
        </w:drawing>
      </w:r>
      <w:r>
        <w:rPr/>
        <w:t>表观密度按式(2)计算: </w:t>
      </w:r>
    </w:p>
    <w:p>
      <w:pPr>
        <w:pStyle w:val="BodyText"/>
        <w:spacing w:before="5"/>
        <w:rPr>
          <w:sz w:val="20"/>
        </w:rPr>
      </w:pPr>
    </w:p>
    <w:p>
      <w:pPr>
        <w:pStyle w:val="BodyText"/>
        <w:ind w:left="838"/>
      </w:pPr>
      <w:r>
        <w:rPr/>
        <w:t>式中 </w:t>
      </w:r>
      <w:r>
        <w:rPr>
          <w:i/>
          <w:sz w:val="22"/>
        </w:rPr>
        <w:t>ρ</w:t>
      </w:r>
      <w:r>
        <w:rPr/>
        <w:t>——表观密度，单位为千克每立方米(kg/m</w:t>
      </w:r>
      <w:r>
        <w:rPr>
          <w:position w:val="11"/>
          <w:sz w:val="11"/>
        </w:rPr>
        <w:t>3</w:t>
      </w:r>
      <w:r>
        <w:rPr/>
        <w:t>); </w:t>
      </w:r>
    </w:p>
    <w:p>
      <w:pPr>
        <w:spacing w:after="0"/>
        <w:sectPr>
          <w:pgSz w:w="11910" w:h="16850"/>
          <w:pgMar w:header="0" w:footer="1239" w:top="1080" w:bottom="1420" w:left="1260" w:right="0"/>
        </w:sectPr>
      </w:pPr>
    </w:p>
    <w:p>
      <w:pPr>
        <w:pStyle w:val="BodyText"/>
        <w:spacing w:line="424" w:lineRule="auto" w:before="57"/>
        <w:ind w:left="1258" w:right="5605"/>
      </w:pPr>
      <w:r>
        <w:rPr>
          <w:i/>
          <w:sz w:val="22"/>
        </w:rPr>
        <w:t>m</w:t>
      </w:r>
      <w:r>
        <w:rPr/>
        <w:t>——试样的质量，单位为千克(kg); </w:t>
      </w:r>
      <w:r>
        <w:rPr>
          <w:i/>
          <w:sz w:val="22"/>
        </w:rPr>
        <w:t>V</w:t>
      </w:r>
      <w:r>
        <w:rPr/>
        <w:t>——试样的体积，单位为立方米(m³)。 </w:t>
      </w:r>
    </w:p>
    <w:p>
      <w:pPr>
        <w:pStyle w:val="BodyText"/>
        <w:spacing w:line="446" w:lineRule="auto" w:before="11"/>
        <w:ind w:left="418" w:right="1395" w:firstLine="419"/>
      </w:pPr>
      <w:r>
        <w:rPr/>
        <w:t>试验数据取两次试验结果的算术平均值，取整到 0.1×10m³kg/m。两次试验结果之差不得超过 0.2×10³kg/m </w:t>
      </w:r>
    </w:p>
    <w:p>
      <w:pPr>
        <w:pStyle w:val="ListParagraph"/>
        <w:numPr>
          <w:ilvl w:val="3"/>
          <w:numId w:val="469"/>
        </w:numPr>
        <w:tabs>
          <w:tab w:pos="1628" w:val="left" w:leader="none"/>
        </w:tabs>
        <w:spacing w:line="240" w:lineRule="auto" w:before="0" w:after="0"/>
        <w:ind w:left="1627" w:right="0" w:hanging="790"/>
        <w:jc w:val="left"/>
        <w:rPr>
          <w:sz w:val="21"/>
        </w:rPr>
      </w:pPr>
      <w:r>
        <w:rPr>
          <w:spacing w:val="-3"/>
          <w:sz w:val="21"/>
        </w:rPr>
        <w:t>阻火模块、防火封堵板材、泡沫封堵材料</w:t>
      </w:r>
      <w:r>
        <w:rPr>
          <w:sz w:val="21"/>
        </w:rPr>
        <w:t> </w:t>
      </w:r>
    </w:p>
    <w:p>
      <w:pPr>
        <w:pStyle w:val="BodyText"/>
        <w:spacing w:before="12"/>
        <w:rPr>
          <w:sz w:val="17"/>
        </w:rPr>
      </w:pPr>
    </w:p>
    <w:p>
      <w:pPr>
        <w:pStyle w:val="BodyText"/>
        <w:ind w:left="838"/>
      </w:pPr>
      <w:r>
        <w:rPr/>
        <w:t>将阻火模块、防火封堵板材或已成型的泡沫封堵材料切割成两个 50mm×50mm×20mm 的试件</w:t>
      </w:r>
    </w:p>
    <w:p>
      <w:pPr>
        <w:pStyle w:val="BodyText"/>
        <w:spacing w:before="2"/>
        <w:rPr>
          <w:sz w:val="18"/>
        </w:rPr>
      </w:pPr>
    </w:p>
    <w:p>
      <w:pPr>
        <w:pStyle w:val="BodyText"/>
        <w:ind w:left="418"/>
      </w:pPr>
      <w:r>
        <w:rPr/>
        <w:t>(也可以是实际厚度），分别称量其质量，精确至 1g，并测量其尺寸，精确至 1mm。 </w:t>
      </w:r>
    </w:p>
    <w:p>
      <w:pPr>
        <w:pStyle w:val="BodyText"/>
        <w:rPr>
          <w:sz w:val="18"/>
        </w:rPr>
      </w:pPr>
    </w:p>
    <w:p>
      <w:pPr>
        <w:pStyle w:val="BodyText"/>
        <w:spacing w:before="1"/>
        <w:ind w:left="838"/>
      </w:pPr>
      <w:r>
        <w:rPr/>
        <w:drawing>
          <wp:anchor distT="0" distB="0" distL="0" distR="0" allowOverlap="1" layoutInCell="1" locked="0" behindDoc="0" simplePos="0" relativeHeight="184">
            <wp:simplePos x="0" y="0"/>
            <wp:positionH relativeFrom="page">
              <wp:posOffset>2255773</wp:posOffset>
            </wp:positionH>
            <wp:positionV relativeFrom="paragraph">
              <wp:posOffset>202818</wp:posOffset>
            </wp:positionV>
            <wp:extent cx="3445028" cy="233172"/>
            <wp:effectExtent l="0" t="0" r="0" b="0"/>
            <wp:wrapTopAndBottom/>
            <wp:docPr id="417" name="image246.jpeg"/>
            <wp:cNvGraphicFramePr>
              <a:graphicFrameLocks noChangeAspect="1"/>
            </wp:cNvGraphicFramePr>
            <a:graphic>
              <a:graphicData uri="http://schemas.openxmlformats.org/drawingml/2006/picture">
                <pic:pic>
                  <pic:nvPicPr>
                    <pic:cNvPr id="418" name="image246.jpeg"/>
                    <pic:cNvPicPr/>
                  </pic:nvPicPr>
                  <pic:blipFill>
                    <a:blip r:embed="rId299" cstate="print"/>
                    <a:stretch>
                      <a:fillRect/>
                    </a:stretch>
                  </pic:blipFill>
                  <pic:spPr>
                    <a:xfrm>
                      <a:off x="0" y="0"/>
                      <a:ext cx="3445028" cy="233172"/>
                    </a:xfrm>
                    <a:prstGeom prst="rect">
                      <a:avLst/>
                    </a:prstGeom>
                  </pic:spPr>
                </pic:pic>
              </a:graphicData>
            </a:graphic>
          </wp:anchor>
        </w:drawing>
      </w:r>
      <w:r>
        <w:rPr/>
        <w:t>表观密度按式(3)计算: </w:t>
      </w:r>
    </w:p>
    <w:p>
      <w:pPr>
        <w:pStyle w:val="BodyText"/>
        <w:spacing w:before="7"/>
      </w:pPr>
    </w:p>
    <w:p>
      <w:pPr>
        <w:pStyle w:val="BodyText"/>
        <w:ind w:left="838"/>
      </w:pPr>
      <w:r>
        <w:rPr/>
        <w:t>式中 </w:t>
      </w:r>
      <w:r>
        <w:rPr>
          <w:i/>
          <w:sz w:val="22"/>
        </w:rPr>
        <w:t>ρ</w:t>
      </w:r>
      <w:r>
        <w:rPr/>
        <w:t>——表观密度，单位为千克每立方米(kg/m³); </w:t>
      </w:r>
    </w:p>
    <w:p>
      <w:pPr>
        <w:pStyle w:val="BodyText"/>
        <w:spacing w:before="12"/>
        <w:rPr>
          <w:sz w:val="16"/>
        </w:rPr>
      </w:pPr>
    </w:p>
    <w:p>
      <w:pPr>
        <w:pStyle w:val="BodyText"/>
        <w:spacing w:line="424" w:lineRule="auto"/>
        <w:ind w:left="1469" w:right="5394"/>
      </w:pPr>
      <w:r>
        <w:rPr>
          <w:i/>
          <w:sz w:val="22"/>
        </w:rPr>
        <w:t>m</w:t>
      </w:r>
      <w:r>
        <w:rPr/>
        <w:t>——试样的质量，单位为千克(kg); </w:t>
      </w:r>
      <w:r>
        <w:rPr>
          <w:i/>
          <w:sz w:val="22"/>
        </w:rPr>
        <w:t>V</w:t>
      </w:r>
      <w:r>
        <w:rPr/>
        <w:t>——试样的体积，单位为立方米(m³)。 </w:t>
      </w:r>
    </w:p>
    <w:p>
      <w:pPr>
        <w:pStyle w:val="BodyText"/>
        <w:spacing w:line="446" w:lineRule="auto" w:before="3"/>
        <w:ind w:left="418" w:right="1550" w:firstLine="419"/>
      </w:pPr>
      <w:r>
        <w:rPr/>
        <w:t>试验数据取两次试验结果的算术平均值，取整到 0.1X10³kg/m</w:t>
      </w:r>
      <w:r>
        <w:rPr>
          <w:position w:val="11"/>
          <w:sz w:val="11"/>
        </w:rPr>
        <w:t>3</w:t>
      </w:r>
      <w:r>
        <w:rPr/>
        <w:t>。两次试验结果之差不得超过 0.2×10³kg/m³。 </w:t>
      </w:r>
    </w:p>
    <w:p>
      <w:pPr>
        <w:pStyle w:val="ListParagraph"/>
        <w:numPr>
          <w:ilvl w:val="3"/>
          <w:numId w:val="469"/>
        </w:numPr>
        <w:tabs>
          <w:tab w:pos="1628" w:val="left" w:leader="none"/>
        </w:tabs>
        <w:spacing w:line="267" w:lineRule="exact" w:before="0" w:after="0"/>
        <w:ind w:left="1627" w:right="0" w:hanging="790"/>
        <w:jc w:val="left"/>
        <w:rPr>
          <w:sz w:val="21"/>
        </w:rPr>
      </w:pPr>
      <w:r>
        <w:rPr>
          <w:spacing w:val="-3"/>
          <w:sz w:val="21"/>
        </w:rPr>
        <w:t>阻火包带和缝隙封堵材料</w:t>
      </w:r>
      <w:r>
        <w:rPr>
          <w:sz w:val="21"/>
        </w:rPr>
        <w:t> </w:t>
      </w:r>
    </w:p>
    <w:p>
      <w:pPr>
        <w:pStyle w:val="BodyText"/>
        <w:spacing w:before="2"/>
        <w:rPr>
          <w:sz w:val="18"/>
        </w:rPr>
      </w:pPr>
    </w:p>
    <w:p>
      <w:pPr>
        <w:pStyle w:val="BodyText"/>
        <w:spacing w:line="446" w:lineRule="auto"/>
        <w:ind w:left="418" w:right="1611" w:firstLine="419"/>
      </w:pPr>
      <w:r>
        <w:rPr>
          <w:spacing w:val="-6"/>
        </w:rPr>
        <w:t>将阻火包带或缝隙封堵材料切割成两个 </w:t>
      </w:r>
      <w:r>
        <w:rPr/>
        <w:t>100mm×10mm×2mm</w:t>
      </w:r>
      <w:r>
        <w:rPr>
          <w:spacing w:val="-8"/>
        </w:rPr>
        <w:t> 的试件(也可以是实际宽度和厚度）</w:t>
      </w:r>
      <w:r>
        <w:rPr>
          <w:spacing w:val="-9"/>
        </w:rPr>
        <w:t>，分别称量其质量，精确至 </w:t>
      </w:r>
      <w:r>
        <w:rPr/>
        <w:t>1g</w:t>
      </w:r>
      <w:r>
        <w:rPr>
          <w:spacing w:val="-8"/>
        </w:rPr>
        <w:t>，并测量其尺寸，精确至 </w:t>
      </w:r>
      <w:r>
        <w:rPr/>
        <w:t>1mm</w:t>
      </w:r>
      <w:r>
        <w:rPr>
          <w:spacing w:val="-3"/>
        </w:rPr>
        <w:t>。</w:t>
      </w:r>
      <w:r>
        <w:rPr/>
        <w:t> </w:t>
      </w:r>
    </w:p>
    <w:p>
      <w:pPr>
        <w:pStyle w:val="BodyText"/>
        <w:spacing w:line="267" w:lineRule="exact"/>
        <w:ind w:left="838"/>
      </w:pPr>
      <w:r>
        <w:rPr/>
        <w:drawing>
          <wp:anchor distT="0" distB="0" distL="0" distR="0" allowOverlap="1" layoutInCell="1" locked="0" behindDoc="0" simplePos="0" relativeHeight="185">
            <wp:simplePos x="0" y="0"/>
            <wp:positionH relativeFrom="page">
              <wp:posOffset>2303398</wp:posOffset>
            </wp:positionH>
            <wp:positionV relativeFrom="paragraph">
              <wp:posOffset>200842</wp:posOffset>
            </wp:positionV>
            <wp:extent cx="3364732" cy="233172"/>
            <wp:effectExtent l="0" t="0" r="0" b="0"/>
            <wp:wrapTopAndBottom/>
            <wp:docPr id="419" name="image247.jpeg"/>
            <wp:cNvGraphicFramePr>
              <a:graphicFrameLocks noChangeAspect="1"/>
            </wp:cNvGraphicFramePr>
            <a:graphic>
              <a:graphicData uri="http://schemas.openxmlformats.org/drawingml/2006/picture">
                <pic:pic>
                  <pic:nvPicPr>
                    <pic:cNvPr id="420" name="image247.jpeg"/>
                    <pic:cNvPicPr/>
                  </pic:nvPicPr>
                  <pic:blipFill>
                    <a:blip r:embed="rId300" cstate="print"/>
                    <a:stretch>
                      <a:fillRect/>
                    </a:stretch>
                  </pic:blipFill>
                  <pic:spPr>
                    <a:xfrm>
                      <a:off x="0" y="0"/>
                      <a:ext cx="3364732" cy="233172"/>
                    </a:xfrm>
                    <a:prstGeom prst="rect">
                      <a:avLst/>
                    </a:prstGeom>
                  </pic:spPr>
                </pic:pic>
              </a:graphicData>
            </a:graphic>
          </wp:anchor>
        </w:drawing>
      </w:r>
      <w:r>
        <w:rPr/>
        <w:t>表观密度按式(4)计算: </w:t>
      </w:r>
    </w:p>
    <w:p>
      <w:pPr>
        <w:pStyle w:val="BodyText"/>
        <w:spacing w:before="7"/>
      </w:pPr>
    </w:p>
    <w:p>
      <w:pPr>
        <w:pStyle w:val="BodyText"/>
        <w:ind w:left="838"/>
      </w:pPr>
      <w:r>
        <w:rPr/>
        <w:t>式中 </w:t>
      </w:r>
      <w:r>
        <w:rPr>
          <w:i/>
          <w:sz w:val="22"/>
        </w:rPr>
        <w:t>ρ</w:t>
      </w:r>
      <w:r>
        <w:rPr/>
        <w:t>—表观密度，单位为千克每立方米(kg/m³); </w:t>
      </w:r>
    </w:p>
    <w:p>
      <w:pPr>
        <w:pStyle w:val="BodyText"/>
        <w:spacing w:before="12"/>
        <w:rPr>
          <w:sz w:val="16"/>
        </w:rPr>
      </w:pPr>
    </w:p>
    <w:p>
      <w:pPr>
        <w:pStyle w:val="BodyText"/>
        <w:spacing w:line="427" w:lineRule="auto"/>
        <w:ind w:left="1469" w:right="5603"/>
      </w:pPr>
      <w:r>
        <w:rPr>
          <w:i/>
          <w:sz w:val="22"/>
        </w:rPr>
        <w:t>m</w:t>
      </w:r>
      <w:r>
        <w:rPr>
          <w:spacing w:val="-3"/>
        </w:rPr>
        <w:t>—试样的质量，单惊为千克</w:t>
      </w:r>
      <w:r>
        <w:rPr/>
        <w:t>(kg);  </w:t>
      </w:r>
      <w:r>
        <w:rPr>
          <w:i/>
          <w:sz w:val="22"/>
        </w:rPr>
        <w:t>V</w:t>
      </w:r>
      <w:r>
        <w:rPr>
          <w:spacing w:val="-3"/>
        </w:rPr>
        <w:t>—试样的体积，单位为立方米(</w:t>
      </w:r>
      <w:r>
        <w:rPr/>
        <w:t>m³)</w:t>
      </w:r>
      <w:r>
        <w:rPr>
          <w:spacing w:val="-3"/>
        </w:rPr>
        <w:t>。</w:t>
      </w:r>
      <w:r>
        <w:rPr/>
        <w:t> </w:t>
      </w:r>
    </w:p>
    <w:p>
      <w:pPr>
        <w:pStyle w:val="BodyText"/>
        <w:spacing w:line="446" w:lineRule="auto" w:before="8"/>
        <w:ind w:left="418" w:right="1395" w:firstLine="419"/>
      </w:pPr>
      <w:r>
        <w:rPr/>
        <w:t>试验数据取两次试验结果的算术平均值，取整到 0.1×10³kg/m³。两次试验结果之差不得超过 0.2×10³ kg/m³。 </w:t>
      </w:r>
    </w:p>
    <w:p>
      <w:pPr>
        <w:pStyle w:val="ListParagraph"/>
        <w:numPr>
          <w:ilvl w:val="1"/>
          <w:numId w:val="470"/>
        </w:numPr>
        <w:tabs>
          <w:tab w:pos="1159" w:val="left" w:leader="none"/>
        </w:tabs>
        <w:spacing w:line="240" w:lineRule="auto" w:before="0" w:after="0"/>
        <w:ind w:left="1158" w:right="0" w:hanging="319"/>
        <w:jc w:val="left"/>
        <w:rPr>
          <w:sz w:val="21"/>
        </w:rPr>
      </w:pPr>
      <w:r>
        <w:rPr>
          <w:spacing w:val="-3"/>
          <w:sz w:val="21"/>
        </w:rPr>
        <w:t>初凝时间</w:t>
      </w:r>
      <w:r>
        <w:rPr>
          <w:sz w:val="21"/>
        </w:rPr>
        <w:t>（t) </w:t>
      </w:r>
    </w:p>
    <w:p>
      <w:pPr>
        <w:pStyle w:val="BodyText"/>
        <w:spacing w:before="12"/>
        <w:rPr>
          <w:sz w:val="17"/>
        </w:rPr>
      </w:pPr>
    </w:p>
    <w:p>
      <w:pPr>
        <w:pStyle w:val="BodyText"/>
        <w:spacing w:line="446" w:lineRule="auto"/>
        <w:ind w:left="418" w:right="1506" w:firstLine="419"/>
      </w:pPr>
      <w:r>
        <w:rPr>
          <w:spacing w:val="-18"/>
        </w:rPr>
        <w:t>在 </w:t>
      </w:r>
      <w:r>
        <w:rPr/>
        <w:t>20℃±5°C</w:t>
      </w:r>
      <w:r>
        <w:rPr>
          <w:spacing w:val="-7"/>
        </w:rPr>
        <w:t> 条件下，按产品使用说明规定的混合比配料，用秒表测定从配料结束到丧失</w:t>
      </w:r>
      <w:r>
        <w:rPr>
          <w:spacing w:val="-5"/>
        </w:rPr>
        <w:t>流动性时为止的时间。</w:t>
      </w:r>
      <w:r>
        <w:rPr/>
        <w:t> </w:t>
      </w:r>
    </w:p>
    <w:p>
      <w:pPr>
        <w:pStyle w:val="ListParagraph"/>
        <w:numPr>
          <w:ilvl w:val="1"/>
          <w:numId w:val="470"/>
        </w:numPr>
        <w:tabs>
          <w:tab w:pos="1160" w:val="left" w:leader="none"/>
        </w:tabs>
        <w:spacing w:line="240" w:lineRule="auto" w:before="0" w:after="0"/>
        <w:ind w:left="1159" w:right="0" w:hanging="320"/>
        <w:jc w:val="left"/>
        <w:rPr>
          <w:sz w:val="21"/>
        </w:rPr>
      </w:pPr>
      <w:r>
        <w:rPr>
          <w:spacing w:val="-3"/>
          <w:sz w:val="21"/>
        </w:rPr>
        <w:t>抗压强度</w:t>
      </w:r>
      <w:r>
        <w:rPr>
          <w:sz w:val="21"/>
        </w:rPr>
        <w:t> </w:t>
      </w:r>
    </w:p>
    <w:p>
      <w:pPr>
        <w:spacing w:after="0" w:line="240" w:lineRule="auto"/>
        <w:jc w:val="left"/>
        <w:rPr>
          <w:sz w:val="21"/>
        </w:rPr>
        <w:sectPr>
          <w:pgSz w:w="11910" w:h="16850"/>
          <w:pgMar w:header="0" w:footer="1239" w:top="1200" w:bottom="1420" w:left="1260" w:right="0"/>
        </w:sectPr>
      </w:pPr>
    </w:p>
    <w:p>
      <w:pPr>
        <w:pStyle w:val="ListParagraph"/>
        <w:numPr>
          <w:ilvl w:val="2"/>
          <w:numId w:val="470"/>
        </w:numPr>
        <w:tabs>
          <w:tab w:pos="1371" w:val="left" w:leader="none"/>
        </w:tabs>
        <w:spacing w:line="240" w:lineRule="auto" w:before="47" w:after="0"/>
        <w:ind w:left="1370" w:right="0" w:hanging="531"/>
        <w:jc w:val="left"/>
        <w:rPr>
          <w:b/>
          <w:sz w:val="21"/>
        </w:rPr>
      </w:pPr>
      <w:r>
        <w:rPr>
          <w:spacing w:val="-3"/>
          <w:sz w:val="21"/>
        </w:rPr>
        <w:t>试样的制备</w:t>
      </w:r>
      <w:r>
        <w:rPr>
          <w:b/>
          <w:w w:val="99"/>
          <w:sz w:val="21"/>
        </w:rPr>
        <w:t> </w:t>
      </w:r>
    </w:p>
    <w:p>
      <w:pPr>
        <w:pStyle w:val="BodyText"/>
        <w:rPr>
          <w:b/>
          <w:sz w:val="18"/>
        </w:rPr>
      </w:pPr>
    </w:p>
    <w:p>
      <w:pPr>
        <w:pStyle w:val="BodyText"/>
        <w:spacing w:line="446" w:lineRule="auto"/>
        <w:ind w:left="418" w:right="1507" w:firstLine="419"/>
      </w:pPr>
      <w:r>
        <w:rPr>
          <w:spacing w:val="-6"/>
        </w:rPr>
        <w:t>将调和好的无机堵料倒人规格为 </w:t>
      </w:r>
      <w:r>
        <w:rPr/>
        <w:t>62.5mm×40mm×40mm</w:t>
      </w:r>
      <w:r>
        <w:rPr>
          <w:spacing w:val="-8"/>
        </w:rPr>
        <w:t> 的试模内，捣实抹平，待基本固化后</w:t>
      </w:r>
      <w:r>
        <w:rPr>
          <w:spacing w:val="-5"/>
        </w:rPr>
        <w:t>脱模。试样的调和与养护应按产品使用说明进行，试样数量为五个。</w:t>
      </w:r>
      <w:r>
        <w:rPr/>
        <w:t> </w:t>
      </w:r>
    </w:p>
    <w:p>
      <w:pPr>
        <w:pStyle w:val="BodyText"/>
        <w:spacing w:line="446" w:lineRule="auto"/>
        <w:ind w:left="840" w:right="2876" w:hanging="3"/>
        <w:rPr>
          <w:b/>
        </w:rPr>
      </w:pPr>
      <w:r>
        <w:rPr>
          <w:spacing w:val="-7"/>
        </w:rPr>
        <w:t>将阻火模块切割成规格为 </w:t>
      </w:r>
      <w:r>
        <w:rPr/>
        <w:t>62.5mm×40mm×40mm</w:t>
      </w:r>
      <w:r>
        <w:rPr>
          <w:spacing w:val="-9"/>
        </w:rPr>
        <w:t> 的试样，试样数量为五个。</w:t>
      </w:r>
      <w:r>
        <w:rPr>
          <w:b/>
        </w:rPr>
        <w:t>6.4.2</w:t>
      </w:r>
      <w:r>
        <w:rPr>
          <w:b/>
          <w:spacing w:val="1"/>
        </w:rPr>
        <w:t> </w:t>
      </w:r>
      <w:r>
        <w:rPr>
          <w:spacing w:val="-3"/>
        </w:rPr>
        <w:t>试验装置</w:t>
      </w:r>
      <w:r>
        <w:rPr>
          <w:b/>
          <w:w w:val="99"/>
        </w:rPr>
        <w:t> </w:t>
      </w:r>
    </w:p>
    <w:p>
      <w:pPr>
        <w:pStyle w:val="BodyText"/>
        <w:spacing w:line="446" w:lineRule="auto"/>
        <w:ind w:left="840" w:right="5497" w:hanging="3"/>
        <w:rPr>
          <w:b/>
        </w:rPr>
      </w:pPr>
      <w:r>
        <w:rPr>
          <w:spacing w:val="-9"/>
        </w:rPr>
        <w:t>试验采用符合 </w:t>
      </w:r>
      <w:r>
        <w:rPr/>
        <w:t>GB/T</w:t>
      </w:r>
      <w:r>
        <w:rPr>
          <w:spacing w:val="4"/>
        </w:rPr>
        <w:t> </w:t>
      </w:r>
      <w:r>
        <w:rPr/>
        <w:t>2611</w:t>
      </w:r>
      <w:r>
        <w:rPr>
          <w:spacing w:val="-9"/>
        </w:rPr>
        <w:t> 规定的压力试验机。</w:t>
      </w:r>
      <w:r>
        <w:rPr>
          <w:b/>
        </w:rPr>
        <w:t>6.4.3</w:t>
      </w:r>
      <w:r>
        <w:rPr>
          <w:b/>
          <w:spacing w:val="-1"/>
        </w:rPr>
        <w:t> </w:t>
      </w:r>
      <w:r>
        <w:rPr>
          <w:spacing w:val="-3"/>
        </w:rPr>
        <w:t>试验程序</w:t>
      </w:r>
      <w:r>
        <w:rPr>
          <w:b/>
          <w:w w:val="99"/>
        </w:rPr>
        <w:t> </w:t>
      </w:r>
    </w:p>
    <w:p>
      <w:pPr>
        <w:pStyle w:val="BodyText"/>
        <w:ind w:left="838"/>
      </w:pPr>
      <w:r>
        <w:rPr/>
        <w:t>选择试块的任一侧面作为受压面，用游标卡尺测量其受压截面长和宽的尺寸，精确至 1mm。 </w:t>
      </w:r>
    </w:p>
    <w:p>
      <w:pPr>
        <w:pStyle w:val="BodyText"/>
        <w:spacing w:before="10"/>
        <w:rPr>
          <w:sz w:val="17"/>
        </w:rPr>
      </w:pPr>
    </w:p>
    <w:p>
      <w:pPr>
        <w:pStyle w:val="BodyText"/>
        <w:spacing w:line="386" w:lineRule="auto"/>
        <w:ind w:left="418" w:right="1609" w:firstLine="419"/>
      </w:pPr>
      <w:r>
        <w:rPr/>
        <w:t>将选定试块的受压面向上放在压力试验机的加压座上，使试件的中心线与压力机压头的中心线重合，以 1500</w:t>
      </w:r>
      <w:r>
        <w:rPr>
          <w:rFonts w:ascii="微软雅黑" w:eastAsia="微软雅黑" w:hint="eastAsia"/>
        </w:rPr>
        <w:t>〜</w:t>
      </w:r>
      <w:r>
        <w:rPr/>
        <w:t>2 000N/min 的速度均匀加荷至试件破坏，记录试件破坏时的压力读数。 </w:t>
      </w:r>
    </w:p>
    <w:p>
      <w:pPr>
        <w:pStyle w:val="BodyText"/>
        <w:spacing w:line="213" w:lineRule="exact"/>
        <w:ind w:left="838"/>
      </w:pPr>
      <w:r>
        <w:rPr/>
        <w:drawing>
          <wp:anchor distT="0" distB="0" distL="0" distR="0" allowOverlap="1" layoutInCell="1" locked="0" behindDoc="0" simplePos="0" relativeHeight="186">
            <wp:simplePos x="0" y="0"/>
            <wp:positionH relativeFrom="page">
              <wp:posOffset>2779724</wp:posOffset>
            </wp:positionH>
            <wp:positionV relativeFrom="paragraph">
              <wp:posOffset>204979</wp:posOffset>
            </wp:positionV>
            <wp:extent cx="2466760" cy="149351"/>
            <wp:effectExtent l="0" t="0" r="0" b="0"/>
            <wp:wrapTopAndBottom/>
            <wp:docPr id="421" name="image248.jpeg"/>
            <wp:cNvGraphicFramePr>
              <a:graphicFrameLocks noChangeAspect="1"/>
            </wp:cNvGraphicFramePr>
            <a:graphic>
              <a:graphicData uri="http://schemas.openxmlformats.org/drawingml/2006/picture">
                <pic:pic>
                  <pic:nvPicPr>
                    <pic:cNvPr id="422" name="image248.jpeg"/>
                    <pic:cNvPicPr/>
                  </pic:nvPicPr>
                  <pic:blipFill>
                    <a:blip r:embed="rId301" cstate="print"/>
                    <a:stretch>
                      <a:fillRect/>
                    </a:stretch>
                  </pic:blipFill>
                  <pic:spPr>
                    <a:xfrm>
                      <a:off x="0" y="0"/>
                      <a:ext cx="2466760" cy="149351"/>
                    </a:xfrm>
                    <a:prstGeom prst="rect">
                      <a:avLst/>
                    </a:prstGeom>
                  </pic:spPr>
                </pic:pic>
              </a:graphicData>
            </a:graphic>
          </wp:anchor>
        </w:drawing>
      </w:r>
      <w:r>
        <w:rPr/>
        <w:t>抗压强度按式(5)计算: </w:t>
      </w:r>
    </w:p>
    <w:p>
      <w:pPr>
        <w:pStyle w:val="BodyText"/>
        <w:spacing w:before="2"/>
        <w:rPr>
          <w:sz w:val="27"/>
        </w:rPr>
      </w:pPr>
    </w:p>
    <w:p>
      <w:pPr>
        <w:pStyle w:val="BodyText"/>
        <w:ind w:left="838"/>
      </w:pPr>
      <w:r>
        <w:rPr/>
        <w:t>式中 </w:t>
      </w:r>
      <w:r>
        <w:rPr>
          <w:i/>
          <w:sz w:val="22"/>
        </w:rPr>
        <w:t>R</w:t>
      </w:r>
      <w:r>
        <w:rPr/>
        <w:t>——抗压强度，单位为兆帕(MPa); </w:t>
      </w:r>
    </w:p>
    <w:p>
      <w:pPr>
        <w:pStyle w:val="BodyText"/>
        <w:rPr>
          <w:sz w:val="17"/>
        </w:rPr>
      </w:pPr>
    </w:p>
    <w:p>
      <w:pPr>
        <w:pStyle w:val="BodyText"/>
        <w:ind w:left="1469"/>
      </w:pPr>
      <w:r>
        <w:rPr>
          <w:i/>
          <w:sz w:val="22"/>
        </w:rPr>
        <w:t>P</w:t>
      </w:r>
      <w:r>
        <w:rPr/>
        <w:t>——压力读数，单位为牛顿(N); </w:t>
      </w:r>
    </w:p>
    <w:p>
      <w:pPr>
        <w:pStyle w:val="BodyText"/>
        <w:spacing w:before="12"/>
        <w:rPr>
          <w:sz w:val="16"/>
        </w:rPr>
      </w:pPr>
    </w:p>
    <w:p>
      <w:pPr>
        <w:pStyle w:val="BodyText"/>
        <w:ind w:left="1469"/>
      </w:pPr>
      <w:r>
        <w:rPr>
          <w:i/>
          <w:sz w:val="22"/>
        </w:rPr>
        <w:t>S</w:t>
      </w:r>
      <w:r>
        <w:rPr/>
        <w:t>——受压面积，单位为平方毫米(mm²)。 </w:t>
      </w:r>
    </w:p>
    <w:p>
      <w:pPr>
        <w:pStyle w:val="BodyText"/>
        <w:spacing w:before="12"/>
        <w:rPr>
          <w:sz w:val="17"/>
        </w:rPr>
      </w:pPr>
    </w:p>
    <w:p>
      <w:pPr>
        <w:pStyle w:val="BodyText"/>
        <w:spacing w:line="446" w:lineRule="auto"/>
        <w:ind w:left="840" w:right="1980" w:hanging="3"/>
      </w:pPr>
      <w:r>
        <w:rPr/>
        <w:t>抗压强度结果以五个试验值中剔除粗大误差后的算术平均值表示，精确至 0.01MPa。</w:t>
      </w:r>
      <w:r>
        <w:rPr>
          <w:b/>
        </w:rPr>
        <w:t>6.5 </w:t>
      </w:r>
      <w:r>
        <w:rPr/>
        <w:t>抗弯强度 </w:t>
      </w:r>
    </w:p>
    <w:p>
      <w:pPr>
        <w:pStyle w:val="BodyText"/>
        <w:spacing w:line="446" w:lineRule="auto"/>
        <w:ind w:left="418" w:right="1608" w:firstLine="419"/>
      </w:pPr>
      <w:r>
        <w:rPr>
          <w:spacing w:val="-8"/>
        </w:rPr>
        <w:t>将样品加工成尺寸为 </w:t>
      </w:r>
      <w:r>
        <w:rPr/>
        <w:t>240mm×100mm</w:t>
      </w:r>
      <w:r>
        <w:rPr>
          <w:spacing w:val="-8"/>
        </w:rPr>
        <w:t> 的试件，试件数量为五个。表面有涂层的防火封堵材</w:t>
      </w:r>
      <w:r>
        <w:rPr>
          <w:spacing w:val="-7"/>
        </w:rPr>
        <w:t>料， 其裸露的断面应采用相同的表面材料涂封。按 </w:t>
      </w:r>
      <w:r>
        <w:rPr/>
        <w:t>GB/T 7019-1997</w:t>
      </w:r>
      <w:r>
        <w:rPr>
          <w:spacing w:val="-27"/>
        </w:rPr>
        <w:t> 中的 </w:t>
      </w:r>
      <w:r>
        <w:rPr/>
        <w:t>9.3.4</w:t>
      </w:r>
      <w:r>
        <w:rPr>
          <w:spacing w:val="-34"/>
        </w:rPr>
        <w:t> 和 </w:t>
      </w:r>
      <w:r>
        <w:rPr/>
        <w:t>9.4.2</w:t>
      </w:r>
      <w:r>
        <w:rPr>
          <w:spacing w:val="-18"/>
        </w:rPr>
        <w:t> 的规</w:t>
      </w:r>
      <w:r>
        <w:rPr>
          <w:spacing w:val="-7"/>
        </w:rPr>
        <w:t>定测试并计算试件的抗弯强度，抗弯强度结果以五个试验值中剔除粗大误差后的算术平均值表</w:t>
      </w:r>
      <w:r>
        <w:rPr>
          <w:spacing w:val="-13"/>
        </w:rPr>
        <w:t>示，精确至 </w:t>
      </w:r>
      <w:r>
        <w:rPr/>
        <w:t>0.01 MPa。 </w:t>
      </w:r>
    </w:p>
    <w:p>
      <w:pPr>
        <w:spacing w:before="0"/>
        <w:ind w:left="840" w:right="0" w:firstLine="0"/>
        <w:jc w:val="left"/>
        <w:rPr>
          <w:sz w:val="21"/>
        </w:rPr>
      </w:pPr>
      <w:r>
        <w:rPr>
          <w:b/>
          <w:sz w:val="21"/>
        </w:rPr>
        <w:t>6.6 </w:t>
      </w:r>
      <w:r>
        <w:rPr>
          <w:sz w:val="21"/>
        </w:rPr>
        <w:t>抗跌落性 </w:t>
      </w:r>
    </w:p>
    <w:p>
      <w:pPr>
        <w:pStyle w:val="BodyText"/>
        <w:spacing w:before="10"/>
        <w:rPr>
          <w:sz w:val="17"/>
        </w:rPr>
      </w:pPr>
    </w:p>
    <w:p>
      <w:pPr>
        <w:pStyle w:val="BodyText"/>
        <w:spacing w:line="446" w:lineRule="auto"/>
        <w:ind w:left="840" w:right="2876" w:hanging="3"/>
      </w:pPr>
      <w:r>
        <w:rPr/>
        <w:t>别将三个完整的阻火包从 5m 高处自由落于混凝土水平地面上，观察包体。</w:t>
      </w:r>
      <w:r>
        <w:rPr>
          <w:b/>
        </w:rPr>
        <w:t>6.7 </w:t>
      </w:r>
      <w:r>
        <w:rPr/>
        <w:t>腐蚀性 </w:t>
      </w:r>
    </w:p>
    <w:p>
      <w:pPr>
        <w:pStyle w:val="ListParagraph"/>
        <w:numPr>
          <w:ilvl w:val="2"/>
          <w:numId w:val="471"/>
        </w:numPr>
        <w:tabs>
          <w:tab w:pos="1370" w:val="left" w:leader="none"/>
        </w:tabs>
        <w:spacing w:line="240" w:lineRule="auto" w:before="0" w:after="0"/>
        <w:ind w:left="1369" w:right="0" w:hanging="530"/>
        <w:jc w:val="left"/>
        <w:rPr>
          <w:b/>
          <w:sz w:val="21"/>
        </w:rPr>
      </w:pPr>
      <w:r>
        <w:rPr>
          <w:spacing w:val="-3"/>
          <w:sz w:val="21"/>
        </w:rPr>
        <w:t>阻火模块</w:t>
      </w:r>
      <w:r>
        <w:rPr>
          <w:b/>
          <w:w w:val="99"/>
          <w:sz w:val="21"/>
        </w:rPr>
        <w:t> </w:t>
      </w:r>
    </w:p>
    <w:p>
      <w:pPr>
        <w:pStyle w:val="BodyText"/>
        <w:spacing w:line="331" w:lineRule="auto" w:before="164"/>
        <w:ind w:left="418" w:right="1453" w:firstLine="419"/>
      </w:pPr>
      <w:r>
        <w:rPr>
          <w:spacing w:val="-11"/>
        </w:rPr>
        <w:t>分别取校为 </w:t>
      </w:r>
      <w:r>
        <w:rPr/>
        <w:t>250mm</w:t>
      </w:r>
      <w:r>
        <w:rPr>
          <w:spacing w:val="-3"/>
        </w:rPr>
        <w:t>、外径为</w:t>
      </w:r>
      <w:r>
        <w:rPr>
          <w:i/>
          <w:sz w:val="22"/>
        </w:rPr>
        <w:t>φ</w:t>
      </w:r>
      <w:r>
        <w:rPr/>
        <w:t>30</w:t>
      </w:r>
      <w:r>
        <w:rPr>
          <w:rFonts w:ascii="微软雅黑" w:hAnsi="微软雅黑" w:eastAsia="微软雅黑" w:hint="eastAsia"/>
        </w:rPr>
        <w:t>〜</w:t>
      </w:r>
      <w:r>
        <w:rPr/>
        <w:t>40mm</w:t>
      </w:r>
      <w:r>
        <w:rPr>
          <w:spacing w:val="-35"/>
        </w:rPr>
        <w:t> 的 </w:t>
      </w:r>
      <w:r>
        <w:rPr/>
        <w:t>Q235</w:t>
      </w:r>
      <w:r>
        <w:rPr>
          <w:spacing w:val="-11"/>
        </w:rPr>
        <w:t> 普通碳素结构钢管两根和长为 </w:t>
      </w:r>
      <w:r>
        <w:rPr/>
        <w:t>250mm</w:t>
      </w:r>
      <w:r>
        <w:rPr>
          <w:spacing w:val="-2"/>
        </w:rPr>
        <w:t>、 外径</w:t>
      </w:r>
      <w:r>
        <w:rPr/>
        <w:t>为</w:t>
      </w:r>
      <w:r>
        <w:rPr>
          <w:i/>
          <w:sz w:val="22"/>
        </w:rPr>
        <w:t>φ</w:t>
      </w:r>
      <w:r>
        <w:rPr/>
        <w:t>30</w:t>
      </w:r>
      <w:r>
        <w:rPr>
          <w:rFonts w:ascii="微软雅黑" w:hAnsi="微软雅黑" w:eastAsia="微软雅黑" w:hint="eastAsia"/>
        </w:rPr>
        <w:t>〜</w:t>
      </w:r>
      <w:r>
        <w:rPr/>
        <w:t>40mm</w:t>
      </w:r>
      <w:r>
        <w:rPr>
          <w:spacing w:val="-34"/>
        </w:rPr>
        <w:t> 的 </w:t>
      </w:r>
      <w:r>
        <w:rPr/>
        <w:t>PVC</w:t>
      </w:r>
      <w:r>
        <w:rPr>
          <w:spacing w:val="-15"/>
        </w:rPr>
        <w:t> 绝缘护套电缆 </w:t>
      </w:r>
      <w:r>
        <w:rPr/>
        <w:t>3</w:t>
      </w:r>
      <w:r>
        <w:rPr>
          <w:spacing w:val="-8"/>
        </w:rPr>
        <w:t> 根，在阻火模块上钻出与钢管和电缆直径相同的孔洞，并</w:t>
      </w:r>
      <w:r>
        <w:rPr>
          <w:spacing w:val="-6"/>
        </w:rPr>
        <w:t>对剖。将钢管和电缆置于阻火模块的孔洞中，并用夹具固定，固定方式见图 </w:t>
      </w:r>
      <w:r>
        <w:rPr/>
        <w:t>1</w:t>
      </w:r>
      <w:r>
        <w:rPr>
          <w:spacing w:val="-3"/>
        </w:rPr>
        <w:t>。七天后，观察钢</w:t>
      </w:r>
    </w:p>
    <w:p>
      <w:pPr>
        <w:spacing w:after="0" w:line="331" w:lineRule="auto"/>
        <w:sectPr>
          <w:pgSz w:w="11910" w:h="16850"/>
          <w:pgMar w:header="0" w:footer="1239" w:top="1220" w:bottom="1420" w:left="1260" w:right="0"/>
        </w:sectPr>
      </w:pPr>
    </w:p>
    <w:p>
      <w:pPr>
        <w:pStyle w:val="BodyText"/>
        <w:ind w:left="1779"/>
        <w:rPr>
          <w:sz w:val="20"/>
        </w:rPr>
      </w:pPr>
      <w:r>
        <w:rPr>
          <w:sz w:val="20"/>
        </w:rPr>
        <w:drawing>
          <wp:inline distT="0" distB="0" distL="0" distR="0">
            <wp:extent cx="3802551" cy="1752600"/>
            <wp:effectExtent l="0" t="0" r="0" b="0"/>
            <wp:docPr id="423" name="image249.jpeg"/>
            <wp:cNvGraphicFramePr>
              <a:graphicFrameLocks noChangeAspect="1"/>
            </wp:cNvGraphicFramePr>
            <a:graphic>
              <a:graphicData uri="http://schemas.openxmlformats.org/drawingml/2006/picture">
                <pic:pic>
                  <pic:nvPicPr>
                    <pic:cNvPr id="424" name="image249.jpeg"/>
                    <pic:cNvPicPr/>
                  </pic:nvPicPr>
                  <pic:blipFill>
                    <a:blip r:embed="rId302" cstate="print"/>
                    <a:stretch>
                      <a:fillRect/>
                    </a:stretch>
                  </pic:blipFill>
                  <pic:spPr>
                    <a:xfrm>
                      <a:off x="0" y="0"/>
                      <a:ext cx="3802551" cy="1752600"/>
                    </a:xfrm>
                    <a:prstGeom prst="rect">
                      <a:avLst/>
                    </a:prstGeom>
                  </pic:spPr>
                </pic:pic>
              </a:graphicData>
            </a:graphic>
          </wp:inline>
        </w:drawing>
      </w:r>
      <w:r>
        <w:rPr>
          <w:sz w:val="20"/>
        </w:rPr>
      </w:r>
    </w:p>
    <w:p>
      <w:pPr>
        <w:pStyle w:val="BodyText"/>
        <w:spacing w:before="4"/>
        <w:rPr>
          <w:sz w:val="13"/>
        </w:rPr>
      </w:pPr>
    </w:p>
    <w:p>
      <w:pPr>
        <w:pStyle w:val="BodyText"/>
        <w:spacing w:before="71"/>
        <w:ind w:left="418"/>
      </w:pPr>
      <w:r>
        <w:rPr/>
        <w:t>管和电缆外层胶皮与堵料试样接触部位是否出现镑烛、腐烛现象。 </w:t>
      </w:r>
    </w:p>
    <w:p>
      <w:pPr>
        <w:pStyle w:val="BodyText"/>
        <w:rPr>
          <w:sz w:val="20"/>
        </w:rPr>
      </w:pPr>
    </w:p>
    <w:p>
      <w:pPr>
        <w:pStyle w:val="BodyText"/>
        <w:rPr>
          <w:sz w:val="20"/>
        </w:rPr>
      </w:pPr>
    </w:p>
    <w:p>
      <w:pPr>
        <w:pStyle w:val="BodyText"/>
        <w:spacing w:before="2"/>
        <w:rPr>
          <w:sz w:val="17"/>
        </w:rPr>
      </w:pPr>
    </w:p>
    <w:p>
      <w:pPr>
        <w:pStyle w:val="ListParagraph"/>
        <w:numPr>
          <w:ilvl w:val="2"/>
          <w:numId w:val="471"/>
        </w:numPr>
        <w:tabs>
          <w:tab w:pos="1371" w:val="left" w:leader="none"/>
        </w:tabs>
        <w:spacing w:line="240" w:lineRule="auto" w:before="0" w:after="0"/>
        <w:ind w:left="1370" w:right="0" w:hanging="531"/>
        <w:jc w:val="left"/>
        <w:rPr>
          <w:b/>
          <w:sz w:val="21"/>
        </w:rPr>
      </w:pPr>
      <w:r>
        <w:rPr>
          <w:spacing w:val="-3"/>
          <w:sz w:val="21"/>
        </w:rPr>
        <w:t>其他封堵材料的腐蚀性试验</w:t>
      </w:r>
      <w:r>
        <w:rPr>
          <w:b/>
          <w:w w:val="99"/>
          <w:sz w:val="21"/>
        </w:rPr>
        <w:t> </w:t>
      </w:r>
    </w:p>
    <w:p>
      <w:pPr>
        <w:pStyle w:val="BodyText"/>
        <w:spacing w:before="163"/>
        <w:ind w:left="838"/>
      </w:pPr>
      <w:r>
        <w:rPr/>
        <w:t>分别取 150mmX100mmX0.8mm 的 Q235 普通碳素结构钢板两块和长为 25mm、外径为</w:t>
      </w:r>
      <w:r>
        <w:rPr>
          <w:i/>
          <w:sz w:val="22"/>
        </w:rPr>
        <w:t>φ</w:t>
      </w:r>
      <w:r>
        <w:rPr/>
        <w:t>30</w:t>
      </w:r>
      <w:r>
        <w:rPr>
          <w:rFonts w:ascii="微软雅黑" w:hAnsi="微软雅黑" w:eastAsia="微软雅黑" w:hint="eastAsia"/>
        </w:rPr>
        <w:t>〜</w:t>
      </w:r>
      <w:r>
        <w:rPr/>
        <w:t>40mm</w:t>
      </w:r>
    </w:p>
    <w:p>
      <w:pPr>
        <w:pStyle w:val="BodyText"/>
        <w:spacing w:line="446" w:lineRule="auto" w:before="181"/>
        <w:ind w:left="418" w:right="1608"/>
        <w:jc w:val="both"/>
      </w:pPr>
      <w:r>
        <w:rPr>
          <w:spacing w:val="-10"/>
        </w:rPr>
        <w:t>的电缆 </w:t>
      </w:r>
      <w:r>
        <w:rPr/>
        <w:t>3</w:t>
      </w:r>
      <w:r>
        <w:rPr>
          <w:spacing w:val="-7"/>
        </w:rPr>
        <w:t> 根，将调和好的无机堵料、柔性有机堵料、泡沫封堵材料或防火密封胶涂在钢板和电</w:t>
      </w:r>
      <w:r>
        <w:rPr>
          <w:spacing w:val="-5"/>
        </w:rPr>
        <w:t>缆外层胶皮表面，七天后观察钢板和电缆外层胶皮与堵料试样接触部位，是否出现锈烛、腐蚀现象。</w:t>
      </w:r>
      <w:r>
        <w:rPr/>
        <w:t> </w:t>
      </w:r>
    </w:p>
    <w:p>
      <w:pPr>
        <w:pStyle w:val="ListParagraph"/>
        <w:numPr>
          <w:ilvl w:val="1"/>
          <w:numId w:val="472"/>
        </w:numPr>
        <w:tabs>
          <w:tab w:pos="1160" w:val="left" w:leader="none"/>
        </w:tabs>
        <w:spacing w:line="268" w:lineRule="exact" w:before="0" w:after="0"/>
        <w:ind w:left="1159" w:right="0" w:hanging="320"/>
        <w:jc w:val="left"/>
        <w:rPr>
          <w:b/>
          <w:sz w:val="21"/>
        </w:rPr>
      </w:pPr>
      <w:r>
        <w:rPr>
          <w:spacing w:val="-3"/>
          <w:sz w:val="21"/>
        </w:rPr>
        <w:t>耐水性</w:t>
      </w:r>
      <w:r>
        <w:rPr>
          <w:b/>
          <w:w w:val="99"/>
          <w:sz w:val="21"/>
        </w:rPr>
        <w:t> </w:t>
      </w:r>
    </w:p>
    <w:p>
      <w:pPr>
        <w:pStyle w:val="BodyText"/>
        <w:rPr>
          <w:b/>
          <w:sz w:val="18"/>
        </w:rPr>
      </w:pPr>
    </w:p>
    <w:p>
      <w:pPr>
        <w:pStyle w:val="ListParagraph"/>
        <w:numPr>
          <w:ilvl w:val="2"/>
          <w:numId w:val="472"/>
        </w:numPr>
        <w:tabs>
          <w:tab w:pos="1371" w:val="left" w:leader="none"/>
        </w:tabs>
        <w:spacing w:line="240" w:lineRule="auto" w:before="0" w:after="0"/>
        <w:ind w:left="1370" w:right="0" w:hanging="531"/>
        <w:jc w:val="left"/>
        <w:rPr>
          <w:b/>
          <w:sz w:val="21"/>
        </w:rPr>
      </w:pPr>
      <w:r>
        <w:rPr>
          <w:spacing w:val="-3"/>
          <w:sz w:val="21"/>
        </w:rPr>
        <w:t>试样的制备</w:t>
      </w:r>
      <w:r>
        <w:rPr>
          <w:b/>
          <w:w w:val="99"/>
          <w:sz w:val="21"/>
        </w:rPr>
        <w:t> </w:t>
      </w:r>
    </w:p>
    <w:p>
      <w:pPr>
        <w:pStyle w:val="BodyText"/>
        <w:spacing w:before="12"/>
        <w:rPr>
          <w:b/>
          <w:sz w:val="17"/>
        </w:rPr>
      </w:pPr>
    </w:p>
    <w:p>
      <w:pPr>
        <w:pStyle w:val="BodyText"/>
        <w:spacing w:line="446" w:lineRule="auto"/>
        <w:ind w:left="418" w:right="1505" w:firstLine="419"/>
      </w:pPr>
      <w:r>
        <w:rPr>
          <w:spacing w:val="-6"/>
        </w:rPr>
        <w:t>无机堵料、防火密封胶：将调和好的试样注入 </w:t>
      </w:r>
      <w:r>
        <w:rPr/>
        <w:t>200mm×20mm×20mm</w:t>
      </w:r>
      <w:r>
        <w:rPr>
          <w:spacing w:val="-8"/>
        </w:rPr>
        <w:t> 的标准试模内，捣实抹</w:t>
      </w:r>
      <w:r>
        <w:rPr>
          <w:spacing w:val="-7"/>
        </w:rPr>
        <w:t>平，待基本固化后脱模，养护期满后将试样锅切成三个 </w:t>
      </w:r>
      <w:r>
        <w:rPr/>
        <w:t>20mm×20mm×20mm</w:t>
      </w:r>
      <w:r>
        <w:rPr>
          <w:spacing w:val="-8"/>
        </w:rPr>
        <w:t> 的正方体试块。试样</w:t>
      </w:r>
      <w:r>
        <w:rPr>
          <w:spacing w:val="-5"/>
        </w:rPr>
        <w:t>的调和与养护按产品使用说明进行。</w:t>
      </w:r>
      <w:r>
        <w:rPr/>
        <w:t> </w:t>
      </w:r>
    </w:p>
    <w:p>
      <w:pPr>
        <w:pStyle w:val="BodyText"/>
        <w:spacing w:line="448" w:lineRule="auto"/>
        <w:ind w:left="838" w:right="2979"/>
      </w:pPr>
      <w:r>
        <w:rPr/>
        <w:t>柔性有机堵料:取一定量的试样，揉匀，制成三个直径均为 20mm 的圆球。阻火包：试样为完整的三个包体。 </w:t>
      </w:r>
    </w:p>
    <w:p>
      <w:pPr>
        <w:pStyle w:val="BodyText"/>
        <w:spacing w:line="446" w:lineRule="auto"/>
        <w:ind w:left="418" w:right="1505" w:firstLine="419"/>
      </w:pPr>
      <w:r>
        <w:rPr>
          <w:spacing w:val="-6"/>
        </w:rPr>
        <w:t>其他防火封堵材料:将试样切割成三个 </w:t>
      </w:r>
      <w:r>
        <w:rPr/>
        <w:t>20mm×20mm×20mm</w:t>
      </w:r>
      <w:r>
        <w:rPr>
          <w:spacing w:val="-8"/>
        </w:rPr>
        <w:t> 的试块，表面有凃层的防火封堵</w:t>
      </w:r>
      <w:r>
        <w:rPr>
          <w:spacing w:val="-7"/>
        </w:rPr>
        <w:t>材料，其裸露的断面应采用相同的表面材料涂封，厚度小于 </w:t>
      </w:r>
      <w:r>
        <w:rPr/>
        <w:t>20mm</w:t>
      </w:r>
      <w:r>
        <w:rPr>
          <w:spacing w:val="-7"/>
        </w:rPr>
        <w:t> 的材料，试块厚度与材料厚度</w:t>
      </w:r>
      <w:r>
        <w:rPr>
          <w:spacing w:val="-6"/>
        </w:rPr>
        <w:t>相同。</w:t>
      </w:r>
      <w:r>
        <w:rPr/>
        <w:t> </w:t>
      </w:r>
    </w:p>
    <w:p>
      <w:pPr>
        <w:pStyle w:val="BodyText"/>
        <w:spacing w:line="446" w:lineRule="auto"/>
        <w:ind w:left="418" w:right="1611" w:firstLine="419"/>
      </w:pPr>
      <w:r>
        <w:rPr>
          <w:spacing w:val="-5"/>
        </w:rPr>
        <w:t>注：对无法固化的防火密封胶，可以涂在三个 </w:t>
      </w:r>
      <w:r>
        <w:rPr/>
        <w:t>50mm×50mm×2mm</w:t>
      </w:r>
      <w:r>
        <w:rPr>
          <w:spacing w:val="-7"/>
        </w:rPr>
        <w:t> 的不锈钢板或聚乙烯塑料</w:t>
      </w:r>
      <w:r>
        <w:rPr>
          <w:spacing w:val="-9"/>
        </w:rPr>
        <w:t>板上进行试验，涂覆厚度为 </w:t>
      </w:r>
      <w:r>
        <w:rPr/>
        <w:t>1mm±0.5mm</w:t>
      </w:r>
      <w:r>
        <w:rPr>
          <w:spacing w:val="-3"/>
        </w:rPr>
        <w:t>。</w:t>
      </w:r>
      <w:r>
        <w:rPr/>
        <w:t> </w:t>
      </w:r>
    </w:p>
    <w:p>
      <w:pPr>
        <w:pStyle w:val="ListParagraph"/>
        <w:numPr>
          <w:ilvl w:val="2"/>
          <w:numId w:val="472"/>
        </w:numPr>
        <w:tabs>
          <w:tab w:pos="1370" w:val="left" w:leader="none"/>
        </w:tabs>
        <w:spacing w:line="240" w:lineRule="auto" w:before="0" w:after="0"/>
        <w:ind w:left="1369" w:right="0" w:hanging="530"/>
        <w:jc w:val="left"/>
        <w:rPr>
          <w:b/>
          <w:sz w:val="21"/>
        </w:rPr>
      </w:pPr>
      <w:r>
        <w:rPr>
          <w:spacing w:val="-3"/>
          <w:sz w:val="21"/>
        </w:rPr>
        <w:t>试验程序</w:t>
      </w:r>
      <w:r>
        <w:rPr>
          <w:b/>
          <w:w w:val="99"/>
          <w:sz w:val="21"/>
        </w:rPr>
        <w:t> </w:t>
      </w:r>
    </w:p>
    <w:p>
      <w:pPr>
        <w:spacing w:after="0" w:line="240" w:lineRule="auto"/>
        <w:jc w:val="left"/>
        <w:rPr>
          <w:sz w:val="21"/>
        </w:rPr>
        <w:sectPr>
          <w:pgSz w:w="11910" w:h="16850"/>
          <w:pgMar w:header="0" w:footer="1239" w:top="1540" w:bottom="1420" w:left="1260" w:right="0"/>
        </w:sectPr>
      </w:pPr>
    </w:p>
    <w:p>
      <w:pPr>
        <w:pStyle w:val="BodyText"/>
        <w:spacing w:line="446" w:lineRule="auto" w:before="47"/>
        <w:ind w:left="418" w:right="1394" w:firstLine="419"/>
      </w:pPr>
      <w:r>
        <w:rPr/>
        <w:t>将制作养护好的试样浸泡于自来水中，温度保持在 20°C±5°C，一天观察一次，三天后取出。观察试样是否溶胀、开裂，阻火包的包体是否完整、有无破损、内装材料是否有明显变</w:t>
      </w:r>
    </w:p>
    <w:p>
      <w:pPr>
        <w:pStyle w:val="BodyText"/>
        <w:spacing w:line="267" w:lineRule="exact"/>
        <w:ind w:left="418"/>
      </w:pPr>
      <w:r>
        <w:rPr/>
        <w:t>化。 </w:t>
      </w:r>
    </w:p>
    <w:p>
      <w:pPr>
        <w:pStyle w:val="BodyText"/>
        <w:spacing w:before="2"/>
        <w:rPr>
          <w:sz w:val="18"/>
        </w:rPr>
      </w:pPr>
    </w:p>
    <w:p>
      <w:pPr>
        <w:pStyle w:val="ListParagraph"/>
        <w:numPr>
          <w:ilvl w:val="2"/>
          <w:numId w:val="472"/>
        </w:numPr>
        <w:tabs>
          <w:tab w:pos="1370" w:val="left" w:leader="none"/>
        </w:tabs>
        <w:spacing w:line="240" w:lineRule="auto" w:before="0" w:after="0"/>
        <w:ind w:left="1369" w:right="0" w:hanging="530"/>
        <w:jc w:val="left"/>
        <w:rPr>
          <w:b/>
          <w:sz w:val="21"/>
        </w:rPr>
      </w:pPr>
      <w:r>
        <w:rPr>
          <w:spacing w:val="-3"/>
          <w:sz w:val="21"/>
        </w:rPr>
        <w:t>判定条件</w:t>
      </w:r>
      <w:r>
        <w:rPr>
          <w:b/>
          <w:w w:val="99"/>
          <w:sz w:val="21"/>
        </w:rPr>
        <w:t> </w:t>
      </w:r>
    </w:p>
    <w:p>
      <w:pPr>
        <w:pStyle w:val="BodyText"/>
        <w:rPr>
          <w:b/>
          <w:sz w:val="18"/>
        </w:rPr>
      </w:pPr>
    </w:p>
    <w:p>
      <w:pPr>
        <w:pStyle w:val="BodyText"/>
        <w:spacing w:line="446" w:lineRule="auto"/>
        <w:ind w:left="838" w:right="2554"/>
      </w:pPr>
      <w:r>
        <w:rPr>
          <w:spacing w:val="-3"/>
        </w:rPr>
        <w:t>阻火包浸泡三天后取出擦干，包体应完整、无破损且内装材料应无明显变化， 其他试样浸泡三天，三个试件中至少两个不应出现溶胀、开裂现象。</w:t>
      </w:r>
      <w:r>
        <w:rPr/>
        <w:t> </w:t>
      </w:r>
    </w:p>
    <w:p>
      <w:pPr>
        <w:pStyle w:val="ListParagraph"/>
        <w:numPr>
          <w:ilvl w:val="1"/>
          <w:numId w:val="472"/>
        </w:numPr>
        <w:tabs>
          <w:tab w:pos="1159" w:val="left" w:leader="none"/>
        </w:tabs>
        <w:spacing w:line="240" w:lineRule="auto" w:before="0" w:after="0"/>
        <w:ind w:left="1158" w:right="0" w:hanging="319"/>
        <w:jc w:val="left"/>
        <w:rPr>
          <w:sz w:val="21"/>
        </w:rPr>
      </w:pPr>
      <w:r>
        <w:rPr>
          <w:spacing w:val="-3"/>
          <w:sz w:val="21"/>
        </w:rPr>
        <w:t>耐油性</w:t>
      </w:r>
      <w:r>
        <w:rPr>
          <w:sz w:val="21"/>
        </w:rPr>
        <w:t> </w:t>
      </w:r>
    </w:p>
    <w:p>
      <w:pPr>
        <w:pStyle w:val="BodyText"/>
        <w:rPr>
          <w:sz w:val="18"/>
        </w:rPr>
      </w:pPr>
    </w:p>
    <w:p>
      <w:pPr>
        <w:pStyle w:val="ListParagraph"/>
        <w:numPr>
          <w:ilvl w:val="2"/>
          <w:numId w:val="472"/>
        </w:numPr>
        <w:tabs>
          <w:tab w:pos="1371" w:val="left" w:leader="none"/>
        </w:tabs>
        <w:spacing w:line="240" w:lineRule="auto" w:before="0" w:after="0"/>
        <w:ind w:left="1370" w:right="0" w:hanging="531"/>
        <w:jc w:val="left"/>
        <w:rPr>
          <w:b/>
          <w:sz w:val="21"/>
        </w:rPr>
      </w:pPr>
      <w:r>
        <w:rPr>
          <w:spacing w:val="-3"/>
          <w:sz w:val="21"/>
        </w:rPr>
        <w:t>试样的制备</w:t>
      </w:r>
      <w:r>
        <w:rPr>
          <w:b/>
          <w:w w:val="99"/>
          <w:sz w:val="21"/>
        </w:rPr>
        <w:t> </w:t>
      </w:r>
    </w:p>
    <w:p>
      <w:pPr>
        <w:pStyle w:val="BodyText"/>
        <w:spacing w:before="12"/>
        <w:rPr>
          <w:b/>
          <w:sz w:val="17"/>
        </w:rPr>
      </w:pPr>
    </w:p>
    <w:p>
      <w:pPr>
        <w:spacing w:line="446" w:lineRule="auto" w:before="0"/>
        <w:ind w:left="840" w:right="7600" w:hanging="3"/>
        <w:jc w:val="left"/>
        <w:rPr>
          <w:b/>
          <w:sz w:val="21"/>
        </w:rPr>
      </w:pPr>
      <w:r>
        <w:rPr>
          <w:sz w:val="21"/>
        </w:rPr>
        <w:t>按 6.8.1 的要求制样。</w:t>
      </w:r>
      <w:r>
        <w:rPr>
          <w:b/>
          <w:sz w:val="21"/>
        </w:rPr>
        <w:t>6.9.2 </w:t>
      </w:r>
      <w:r>
        <w:rPr>
          <w:sz w:val="21"/>
        </w:rPr>
        <w:t>试验程序</w:t>
      </w:r>
      <w:r>
        <w:rPr>
          <w:b/>
          <w:w w:val="99"/>
          <w:sz w:val="21"/>
        </w:rPr>
        <w:t> </w:t>
      </w:r>
    </w:p>
    <w:p>
      <w:pPr>
        <w:pStyle w:val="BodyText"/>
        <w:spacing w:line="446" w:lineRule="auto"/>
        <w:ind w:left="418" w:right="1391" w:firstLine="419"/>
      </w:pPr>
      <w:r>
        <w:rPr/>
        <w:t>将制作养护好的试样浸泡于变压器油中，油温保持在 20℃±5℃，一天观察一次，三天后取出。 </w:t>
      </w:r>
    </w:p>
    <w:p>
      <w:pPr>
        <w:spacing w:before="0"/>
        <w:ind w:left="840" w:right="0" w:firstLine="0"/>
        <w:jc w:val="left"/>
        <w:rPr>
          <w:b/>
          <w:sz w:val="21"/>
        </w:rPr>
      </w:pPr>
      <w:r>
        <w:rPr>
          <w:b/>
          <w:sz w:val="21"/>
        </w:rPr>
        <w:t>6.9.3 </w:t>
      </w:r>
      <w:r>
        <w:rPr>
          <w:sz w:val="21"/>
        </w:rPr>
        <w:t>判定条件</w:t>
      </w:r>
      <w:r>
        <w:rPr>
          <w:b/>
          <w:w w:val="99"/>
          <w:sz w:val="21"/>
        </w:rPr>
        <w:t> </w:t>
      </w:r>
    </w:p>
    <w:p>
      <w:pPr>
        <w:pStyle w:val="BodyText"/>
        <w:rPr>
          <w:b/>
          <w:sz w:val="18"/>
        </w:rPr>
      </w:pPr>
    </w:p>
    <w:p>
      <w:pPr>
        <w:pStyle w:val="BodyText"/>
        <w:spacing w:line="446" w:lineRule="auto"/>
        <w:ind w:left="840" w:right="7177" w:hanging="3"/>
      </w:pPr>
      <w:r>
        <w:rPr/>
        <w:t>按 6.8.3 的要求进行判定。</w:t>
      </w:r>
      <w:r>
        <w:rPr>
          <w:b/>
        </w:rPr>
        <w:t>6.10 </w:t>
      </w:r>
      <w:r>
        <w:rPr/>
        <w:t>耐湿热性 </w:t>
      </w:r>
    </w:p>
    <w:p>
      <w:pPr>
        <w:spacing w:before="0"/>
        <w:ind w:left="840" w:right="0" w:firstLine="0"/>
        <w:jc w:val="left"/>
        <w:rPr>
          <w:b/>
          <w:sz w:val="21"/>
        </w:rPr>
      </w:pPr>
      <w:r>
        <w:rPr>
          <w:b/>
          <w:sz w:val="21"/>
        </w:rPr>
        <w:t>6.10.1 </w:t>
      </w:r>
      <w:r>
        <w:rPr>
          <w:sz w:val="21"/>
        </w:rPr>
        <w:t>试样的制备</w:t>
      </w:r>
      <w:r>
        <w:rPr>
          <w:b/>
          <w:w w:val="99"/>
          <w:sz w:val="21"/>
        </w:rPr>
        <w:t> </w:t>
      </w:r>
    </w:p>
    <w:p>
      <w:pPr>
        <w:pStyle w:val="BodyText"/>
        <w:spacing w:before="12"/>
        <w:rPr>
          <w:b/>
          <w:sz w:val="17"/>
        </w:rPr>
      </w:pPr>
    </w:p>
    <w:p>
      <w:pPr>
        <w:spacing w:line="446" w:lineRule="auto" w:before="0"/>
        <w:ind w:left="840" w:right="7494" w:hanging="3"/>
        <w:jc w:val="left"/>
        <w:rPr>
          <w:b/>
          <w:sz w:val="21"/>
        </w:rPr>
      </w:pPr>
      <w:r>
        <w:rPr>
          <w:sz w:val="21"/>
        </w:rPr>
        <w:t>按 6. 8.1 的要求制样。</w:t>
      </w:r>
      <w:r>
        <w:rPr>
          <w:b/>
          <w:sz w:val="21"/>
        </w:rPr>
        <w:t>6.10.2 </w:t>
      </w:r>
      <w:r>
        <w:rPr>
          <w:sz w:val="21"/>
        </w:rPr>
        <w:t>试验程序</w:t>
      </w:r>
      <w:r>
        <w:rPr>
          <w:b/>
          <w:w w:val="99"/>
          <w:sz w:val="21"/>
        </w:rPr>
        <w:t> </w:t>
      </w:r>
    </w:p>
    <w:p>
      <w:pPr>
        <w:pStyle w:val="BodyText"/>
        <w:spacing w:line="446" w:lineRule="auto"/>
        <w:ind w:left="418" w:right="1611" w:firstLine="419"/>
      </w:pPr>
      <w:r>
        <w:rPr>
          <w:spacing w:val="-6"/>
        </w:rPr>
        <w:t>将制作养护好的试件，放置在湿度为 </w:t>
      </w:r>
      <w:r>
        <w:rPr/>
        <w:t>90%±5</w:t>
      </w:r>
      <w:r>
        <w:rPr>
          <w:spacing w:val="-10"/>
        </w:rPr>
        <w:t>%、温度 </w:t>
      </w:r>
      <w:r>
        <w:rPr/>
        <w:t>45</w:t>
      </w:r>
      <w:r>
        <w:rPr>
          <w:spacing w:val="4"/>
        </w:rPr>
        <w:t> ℃+ </w:t>
      </w:r>
      <w:r>
        <w:rPr/>
        <w:t>5</w:t>
      </w:r>
      <w:r>
        <w:rPr>
          <w:spacing w:val="-3"/>
        </w:rPr>
        <w:t>℃的试验箱中，至规定时间后，取出试件放置于不受阳光直接照射的环境中，自然干燥。观察试样是否开裂、粉化。</w:t>
      </w:r>
      <w:r>
        <w:rPr/>
        <w:t> </w:t>
      </w:r>
    </w:p>
    <w:p>
      <w:pPr>
        <w:spacing w:line="267" w:lineRule="exact" w:before="0"/>
        <w:ind w:left="840" w:right="0" w:firstLine="0"/>
        <w:jc w:val="left"/>
        <w:rPr>
          <w:b/>
          <w:sz w:val="21"/>
        </w:rPr>
      </w:pPr>
      <w:r>
        <w:rPr>
          <w:b/>
          <w:sz w:val="21"/>
        </w:rPr>
        <w:t>6.10.3</w:t>
      </w:r>
      <w:r>
        <w:rPr>
          <w:b/>
          <w:spacing w:val="5"/>
          <w:sz w:val="21"/>
        </w:rPr>
        <w:t> </w:t>
      </w:r>
      <w:r>
        <w:rPr>
          <w:spacing w:val="-3"/>
          <w:sz w:val="21"/>
        </w:rPr>
        <w:t>判定条件</w:t>
      </w:r>
      <w:r>
        <w:rPr>
          <w:b/>
          <w:w w:val="99"/>
          <w:sz w:val="21"/>
        </w:rPr>
        <w:t> </w:t>
      </w:r>
    </w:p>
    <w:p>
      <w:pPr>
        <w:pStyle w:val="BodyText"/>
        <w:spacing w:before="2"/>
        <w:rPr>
          <w:b/>
          <w:sz w:val="18"/>
        </w:rPr>
      </w:pPr>
    </w:p>
    <w:p>
      <w:pPr>
        <w:pStyle w:val="BodyText"/>
        <w:spacing w:line="446" w:lineRule="auto"/>
        <w:ind w:left="418" w:right="1609" w:firstLine="419"/>
      </w:pPr>
      <w:r>
        <w:rPr>
          <w:spacing w:val="-3"/>
        </w:rPr>
        <w:t>按规定进行试验后，阻火包内装材料应无明显变化，其他试样三个试件中至少两个不应出现开裂、 粉化现象。</w:t>
      </w:r>
      <w:r>
        <w:rPr/>
        <w:t> </w:t>
      </w:r>
    </w:p>
    <w:p>
      <w:pPr>
        <w:pStyle w:val="ListParagraph"/>
        <w:numPr>
          <w:ilvl w:val="1"/>
          <w:numId w:val="473"/>
        </w:numPr>
        <w:tabs>
          <w:tab w:pos="1264" w:val="left" w:leader="none"/>
        </w:tabs>
        <w:spacing w:line="267" w:lineRule="exact" w:before="0" w:after="0"/>
        <w:ind w:left="1263" w:right="0" w:hanging="424"/>
        <w:jc w:val="left"/>
        <w:rPr>
          <w:sz w:val="21"/>
        </w:rPr>
      </w:pPr>
      <w:r>
        <w:rPr>
          <w:spacing w:val="-3"/>
          <w:sz w:val="21"/>
        </w:rPr>
        <w:t>耐冻融循环性</w:t>
      </w:r>
      <w:r>
        <w:rPr>
          <w:sz w:val="21"/>
        </w:rPr>
        <w:t> </w:t>
      </w:r>
    </w:p>
    <w:p>
      <w:pPr>
        <w:pStyle w:val="BodyText"/>
        <w:spacing w:before="1"/>
        <w:rPr>
          <w:sz w:val="18"/>
        </w:rPr>
      </w:pPr>
    </w:p>
    <w:p>
      <w:pPr>
        <w:pStyle w:val="ListParagraph"/>
        <w:numPr>
          <w:ilvl w:val="2"/>
          <w:numId w:val="473"/>
        </w:numPr>
        <w:tabs>
          <w:tab w:pos="1478" w:val="left" w:leader="none"/>
        </w:tabs>
        <w:spacing w:line="446" w:lineRule="auto" w:before="1" w:after="0"/>
        <w:ind w:left="838" w:right="7600" w:firstLine="2"/>
        <w:jc w:val="left"/>
        <w:rPr>
          <w:b/>
          <w:sz w:val="21"/>
        </w:rPr>
      </w:pPr>
      <w:r>
        <w:rPr>
          <w:spacing w:val="-2"/>
          <w:sz w:val="21"/>
        </w:rPr>
        <w:t>试样的制备 按6.8.1</w:t>
      </w:r>
      <w:r>
        <w:rPr>
          <w:spacing w:val="-10"/>
          <w:sz w:val="21"/>
        </w:rPr>
        <w:t> 的要求制样。</w:t>
      </w:r>
      <w:r>
        <w:rPr>
          <w:b/>
          <w:sz w:val="21"/>
        </w:rPr>
        <w:t>6.11.2 </w:t>
      </w:r>
      <w:r>
        <w:rPr>
          <w:spacing w:val="-3"/>
          <w:sz w:val="21"/>
        </w:rPr>
        <w:t>试验程序</w:t>
      </w:r>
      <w:r>
        <w:rPr>
          <w:b/>
          <w:w w:val="99"/>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505" w:firstLine="419"/>
        <w:jc w:val="both"/>
      </w:pPr>
      <w:r>
        <w:rPr>
          <w:spacing w:val="-7"/>
        </w:rPr>
        <w:t>将制作养护好的试件，先置于 </w:t>
      </w:r>
      <w:r>
        <w:rPr/>
        <w:t>23°C</w:t>
      </w:r>
      <w:r>
        <w:rPr>
          <w:spacing w:val="-33"/>
        </w:rPr>
        <w:t> 土 </w:t>
      </w:r>
      <w:r>
        <w:rPr/>
        <w:t>2</w:t>
      </w:r>
      <w:r>
        <w:rPr>
          <w:spacing w:val="-12"/>
        </w:rPr>
        <w:t>℃的水中 </w:t>
      </w:r>
      <w:r>
        <w:rPr/>
        <w:t>18h</w:t>
      </w:r>
      <w:r>
        <w:rPr>
          <w:spacing w:val="-3"/>
        </w:rPr>
        <w:t>，然后将试件放入</w:t>
      </w:r>
      <w:r>
        <w:rPr/>
        <w:t>-20°C±2 ℃的低</w:t>
      </w:r>
      <w:r>
        <w:rPr>
          <w:spacing w:val="-3"/>
        </w:rPr>
        <w:t>温箱中， 自箱内温度达到</w:t>
      </w:r>
      <w:r>
        <w:rPr/>
        <w:t>-18°C</w:t>
      </w:r>
      <w:r>
        <w:rPr>
          <w:spacing w:val="-18"/>
        </w:rPr>
        <w:t> 时起冷冻 </w:t>
      </w:r>
      <w:r>
        <w:rPr/>
        <w:t>3h</w:t>
      </w:r>
      <w:r>
        <w:rPr>
          <w:spacing w:val="-12"/>
        </w:rPr>
        <w:t> 再将试件从低温箱中取出，立即放入 </w:t>
      </w:r>
      <w:r>
        <w:rPr/>
        <w:t>50℃+2℃的</w:t>
      </w:r>
      <w:r>
        <w:rPr>
          <w:spacing w:val="-9"/>
        </w:rPr>
        <w:t>恒温箱中，恒温 </w:t>
      </w:r>
      <w:r>
        <w:rPr/>
        <w:t>3h</w:t>
      </w:r>
      <w:r>
        <w:rPr>
          <w:spacing w:val="-7"/>
        </w:rPr>
        <w:t>。取出试件重复上述操作共 </w:t>
      </w:r>
      <w:r>
        <w:rPr/>
        <w:t>15</w:t>
      </w:r>
      <w:r>
        <w:rPr>
          <w:spacing w:val="-9"/>
        </w:rPr>
        <w:t> 个循环。观察试样是否开裂、粉化。 </w:t>
      </w:r>
    </w:p>
    <w:p>
      <w:pPr>
        <w:spacing w:line="268" w:lineRule="exact" w:before="0"/>
        <w:ind w:left="840" w:right="0" w:firstLine="0"/>
        <w:jc w:val="both"/>
        <w:rPr>
          <w:b/>
          <w:sz w:val="21"/>
        </w:rPr>
      </w:pPr>
      <w:r>
        <w:rPr>
          <w:b/>
          <w:sz w:val="21"/>
        </w:rPr>
        <w:t>6.11.3</w:t>
      </w:r>
      <w:r>
        <w:rPr>
          <w:b/>
          <w:spacing w:val="104"/>
          <w:sz w:val="21"/>
        </w:rPr>
        <w:t> </w:t>
      </w:r>
      <w:r>
        <w:rPr>
          <w:spacing w:val="-3"/>
          <w:sz w:val="21"/>
        </w:rPr>
        <w:t>判定条件</w:t>
      </w:r>
      <w:r>
        <w:rPr>
          <w:b/>
          <w:w w:val="99"/>
          <w:sz w:val="21"/>
        </w:rPr>
        <w:t> </w:t>
      </w:r>
    </w:p>
    <w:p>
      <w:pPr>
        <w:pStyle w:val="BodyText"/>
        <w:rPr>
          <w:b/>
          <w:sz w:val="18"/>
        </w:rPr>
      </w:pPr>
    </w:p>
    <w:p>
      <w:pPr>
        <w:pStyle w:val="BodyText"/>
        <w:spacing w:line="446" w:lineRule="auto"/>
        <w:ind w:left="840" w:right="7074" w:hanging="3"/>
        <w:jc w:val="both"/>
      </w:pPr>
      <w:r>
        <w:rPr/>
        <w:t>按 6.10.3 的要求进行判定。</w:t>
      </w:r>
      <w:r>
        <w:rPr>
          <w:b/>
        </w:rPr>
        <w:t>6.12 </w:t>
      </w:r>
      <w:r>
        <w:rPr/>
        <w:t>耐酸性 </w:t>
      </w:r>
    </w:p>
    <w:p>
      <w:pPr>
        <w:pStyle w:val="ListParagraph"/>
        <w:numPr>
          <w:ilvl w:val="2"/>
          <w:numId w:val="474"/>
        </w:numPr>
        <w:tabs>
          <w:tab w:pos="1530" w:val="left" w:leader="none"/>
        </w:tabs>
        <w:spacing w:line="240" w:lineRule="auto" w:before="0" w:after="0"/>
        <w:ind w:left="1529" w:right="0" w:hanging="690"/>
        <w:jc w:val="both"/>
        <w:rPr>
          <w:b/>
          <w:sz w:val="21"/>
        </w:rPr>
      </w:pPr>
      <w:r>
        <w:rPr>
          <w:spacing w:val="-3"/>
          <w:sz w:val="21"/>
        </w:rPr>
        <w:t>试样的制备</w:t>
      </w:r>
      <w:r>
        <w:rPr>
          <w:b/>
          <w:spacing w:val="-3"/>
          <w:w w:val="99"/>
          <w:sz w:val="21"/>
        </w:rPr>
        <w:t> </w:t>
      </w:r>
    </w:p>
    <w:p>
      <w:pPr>
        <w:pStyle w:val="BodyText"/>
        <w:rPr>
          <w:b/>
          <w:sz w:val="18"/>
        </w:rPr>
      </w:pPr>
    </w:p>
    <w:p>
      <w:pPr>
        <w:pStyle w:val="BodyText"/>
        <w:ind w:left="838"/>
      </w:pPr>
      <w:r>
        <w:rPr/>
        <w:t>按 6.8.1 的要求制样。 </w:t>
      </w:r>
    </w:p>
    <w:p>
      <w:pPr>
        <w:pStyle w:val="BodyText"/>
        <w:spacing w:before="12"/>
        <w:rPr>
          <w:sz w:val="17"/>
        </w:rPr>
      </w:pPr>
    </w:p>
    <w:p>
      <w:pPr>
        <w:pStyle w:val="ListParagraph"/>
        <w:numPr>
          <w:ilvl w:val="2"/>
          <w:numId w:val="474"/>
        </w:numPr>
        <w:tabs>
          <w:tab w:pos="1530" w:val="left" w:leader="none"/>
        </w:tabs>
        <w:spacing w:line="240" w:lineRule="auto" w:before="0" w:after="0"/>
        <w:ind w:left="1529" w:right="0" w:hanging="690"/>
        <w:jc w:val="left"/>
        <w:rPr>
          <w:b/>
          <w:sz w:val="21"/>
        </w:rPr>
      </w:pPr>
      <w:r>
        <w:rPr>
          <w:spacing w:val="-3"/>
          <w:sz w:val="21"/>
        </w:rPr>
        <w:t>试验程序</w:t>
      </w:r>
      <w:r>
        <w:rPr>
          <w:b/>
          <w:w w:val="99"/>
          <w:sz w:val="21"/>
        </w:rPr>
        <w:t> </w:t>
      </w:r>
    </w:p>
    <w:p>
      <w:pPr>
        <w:pStyle w:val="BodyText"/>
        <w:spacing w:before="2"/>
        <w:rPr>
          <w:b/>
          <w:sz w:val="18"/>
        </w:rPr>
      </w:pPr>
    </w:p>
    <w:p>
      <w:pPr>
        <w:pStyle w:val="BodyText"/>
        <w:spacing w:line="446" w:lineRule="auto"/>
        <w:ind w:left="418" w:right="1820" w:firstLine="419"/>
      </w:pPr>
      <w:r>
        <w:rPr>
          <w:spacing w:val="-7"/>
        </w:rPr>
        <w:t>将制作养护好的试件，放置于 </w:t>
      </w:r>
      <w:r>
        <w:rPr/>
        <w:t>3</w:t>
      </w:r>
      <w:r>
        <w:rPr>
          <w:spacing w:val="-7"/>
        </w:rPr>
        <w:t>%的盐酸溶液中，温度保持在 </w:t>
      </w:r>
      <w:r>
        <w:rPr/>
        <w:t>20</w:t>
      </w:r>
      <w:r>
        <w:rPr>
          <w:spacing w:val="3"/>
        </w:rPr>
        <w:t> ℃ ±</w:t>
      </w:r>
      <w:r>
        <w:rPr/>
        <w:t>5</w:t>
      </w:r>
      <w:r>
        <w:rPr>
          <w:spacing w:val="-1"/>
        </w:rPr>
        <w:t>℃，一天观察一</w:t>
      </w:r>
      <w:r>
        <w:rPr>
          <w:spacing w:val="-3"/>
        </w:rPr>
        <w:t>次，观察试样是否溶胀、开裂。</w:t>
      </w:r>
      <w:r>
        <w:rPr/>
        <w:t> </w:t>
      </w:r>
    </w:p>
    <w:p>
      <w:pPr>
        <w:pStyle w:val="ListParagraph"/>
        <w:numPr>
          <w:ilvl w:val="2"/>
          <w:numId w:val="474"/>
        </w:numPr>
        <w:tabs>
          <w:tab w:pos="1530" w:val="left" w:leader="none"/>
        </w:tabs>
        <w:spacing w:line="267" w:lineRule="exact" w:before="0" w:after="0"/>
        <w:ind w:left="1529" w:right="0" w:hanging="690"/>
        <w:jc w:val="left"/>
        <w:rPr>
          <w:b/>
          <w:sz w:val="21"/>
        </w:rPr>
      </w:pPr>
      <w:r>
        <w:rPr>
          <w:spacing w:val="-3"/>
          <w:sz w:val="21"/>
        </w:rPr>
        <w:t>判定条件</w:t>
      </w:r>
      <w:r>
        <w:rPr>
          <w:b/>
          <w:w w:val="99"/>
          <w:sz w:val="21"/>
        </w:rPr>
        <w:t> </w:t>
      </w:r>
    </w:p>
    <w:p>
      <w:pPr>
        <w:pStyle w:val="BodyText"/>
        <w:spacing w:before="2"/>
        <w:rPr>
          <w:b/>
          <w:sz w:val="18"/>
        </w:rPr>
      </w:pPr>
    </w:p>
    <w:p>
      <w:pPr>
        <w:pStyle w:val="BodyText"/>
        <w:spacing w:line="446" w:lineRule="auto"/>
        <w:ind w:left="840" w:right="4026" w:hanging="3"/>
        <w:rPr>
          <w:b/>
        </w:rPr>
      </w:pPr>
      <w:r>
        <w:rPr/>
        <w:t>浸泡三天后，三个试件中至少两个不应出现溶胀、开裂现象。</w:t>
      </w:r>
      <w:r>
        <w:rPr>
          <w:b/>
        </w:rPr>
        <w:t>6.13 </w:t>
      </w:r>
      <w:r>
        <w:rPr/>
        <w:t>耐碱性</w:t>
      </w:r>
      <w:r>
        <w:rPr>
          <w:b/>
          <w:w w:val="99"/>
        </w:rPr>
        <w:t> </w:t>
      </w:r>
    </w:p>
    <w:p>
      <w:pPr>
        <w:pStyle w:val="ListParagraph"/>
        <w:numPr>
          <w:ilvl w:val="2"/>
          <w:numId w:val="475"/>
        </w:numPr>
        <w:tabs>
          <w:tab w:pos="1530" w:val="left" w:leader="none"/>
        </w:tabs>
        <w:spacing w:line="267" w:lineRule="exact" w:before="0" w:after="0"/>
        <w:ind w:left="1529" w:right="0" w:hanging="690"/>
        <w:jc w:val="left"/>
        <w:rPr>
          <w:sz w:val="21"/>
        </w:rPr>
      </w:pPr>
      <w:r>
        <w:rPr>
          <w:spacing w:val="-3"/>
          <w:sz w:val="21"/>
        </w:rPr>
        <w:t>试样的制备 </w:t>
      </w:r>
    </w:p>
    <w:p>
      <w:pPr>
        <w:pStyle w:val="BodyText"/>
        <w:spacing w:before="2"/>
        <w:rPr>
          <w:sz w:val="18"/>
        </w:rPr>
      </w:pPr>
    </w:p>
    <w:p>
      <w:pPr>
        <w:pStyle w:val="BodyText"/>
        <w:ind w:left="838"/>
      </w:pPr>
      <w:r>
        <w:rPr/>
        <w:t>按 6. 8.1 的要求制样。 </w:t>
      </w:r>
    </w:p>
    <w:p>
      <w:pPr>
        <w:pStyle w:val="BodyText"/>
        <w:spacing w:before="12"/>
        <w:rPr>
          <w:sz w:val="17"/>
        </w:rPr>
      </w:pPr>
    </w:p>
    <w:p>
      <w:pPr>
        <w:pStyle w:val="ListParagraph"/>
        <w:numPr>
          <w:ilvl w:val="2"/>
          <w:numId w:val="475"/>
        </w:numPr>
        <w:tabs>
          <w:tab w:pos="1530" w:val="left" w:leader="none"/>
        </w:tabs>
        <w:spacing w:line="240" w:lineRule="auto" w:before="0" w:after="0"/>
        <w:ind w:left="1529" w:right="0" w:hanging="690"/>
        <w:jc w:val="left"/>
        <w:rPr>
          <w:sz w:val="21"/>
        </w:rPr>
      </w:pPr>
      <w:r>
        <w:rPr>
          <w:spacing w:val="-3"/>
          <w:sz w:val="21"/>
        </w:rPr>
        <w:t>试验程序</w:t>
      </w:r>
      <w:r>
        <w:rPr>
          <w:sz w:val="21"/>
        </w:rPr>
        <w:t> </w:t>
      </w:r>
    </w:p>
    <w:p>
      <w:pPr>
        <w:pStyle w:val="BodyText"/>
        <w:rPr>
          <w:sz w:val="18"/>
        </w:rPr>
      </w:pPr>
    </w:p>
    <w:p>
      <w:pPr>
        <w:pStyle w:val="BodyText"/>
        <w:spacing w:line="446" w:lineRule="auto"/>
        <w:ind w:left="418" w:right="1508" w:firstLine="419"/>
      </w:pPr>
      <w:r>
        <w:rPr>
          <w:spacing w:val="-6"/>
        </w:rPr>
        <w:t>将制作养护好的试件，浸入 </w:t>
      </w:r>
      <w:r>
        <w:rPr/>
        <w:t>3</w:t>
      </w:r>
      <w:r>
        <w:rPr>
          <w:spacing w:val="-6"/>
        </w:rPr>
        <w:t>%的氨水溶液中，温度保持在 </w:t>
      </w:r>
      <w:r>
        <w:rPr/>
        <w:t>20℃+5</w:t>
      </w:r>
      <w:r>
        <w:rPr>
          <w:spacing w:val="-3"/>
        </w:rPr>
        <w:t>℃，一天观察一次，观察试样是否溶胀、开裂。</w:t>
      </w:r>
      <w:r>
        <w:rPr/>
        <w:t> </w:t>
      </w:r>
    </w:p>
    <w:p>
      <w:pPr>
        <w:pStyle w:val="ListParagraph"/>
        <w:numPr>
          <w:ilvl w:val="2"/>
          <w:numId w:val="475"/>
        </w:numPr>
        <w:tabs>
          <w:tab w:pos="1530" w:val="left" w:leader="none"/>
        </w:tabs>
        <w:spacing w:line="240" w:lineRule="auto" w:before="0" w:after="0"/>
        <w:ind w:left="1529" w:right="0" w:hanging="690"/>
        <w:jc w:val="left"/>
        <w:rPr>
          <w:sz w:val="21"/>
        </w:rPr>
      </w:pPr>
      <w:r>
        <w:rPr>
          <w:spacing w:val="-3"/>
          <w:sz w:val="21"/>
        </w:rPr>
        <w:t>判定条件</w:t>
      </w:r>
      <w:r>
        <w:rPr>
          <w:sz w:val="21"/>
        </w:rPr>
        <w:t> </w:t>
      </w:r>
    </w:p>
    <w:p>
      <w:pPr>
        <w:pStyle w:val="BodyText"/>
        <w:rPr>
          <w:sz w:val="18"/>
        </w:rPr>
      </w:pPr>
    </w:p>
    <w:p>
      <w:pPr>
        <w:pStyle w:val="BodyText"/>
        <w:spacing w:line="446" w:lineRule="auto"/>
        <w:ind w:left="840" w:right="4026" w:hanging="3"/>
      </w:pPr>
      <w:r>
        <w:rPr/>
        <w:t>浸泡三天后，三个试件中至少两个不应出现溶胀、开裂现象。</w:t>
      </w:r>
      <w:r>
        <w:rPr>
          <w:b/>
        </w:rPr>
        <w:t>6.14 </w:t>
      </w:r>
      <w:r>
        <w:rPr/>
        <w:t>膨胀性能 </w:t>
      </w:r>
    </w:p>
    <w:p>
      <w:pPr>
        <w:pStyle w:val="ListParagraph"/>
        <w:numPr>
          <w:ilvl w:val="2"/>
          <w:numId w:val="476"/>
        </w:numPr>
        <w:tabs>
          <w:tab w:pos="1478" w:val="left" w:leader="none"/>
        </w:tabs>
        <w:spacing w:line="240" w:lineRule="auto" w:before="0" w:after="0"/>
        <w:ind w:left="1477" w:right="0" w:hanging="638"/>
        <w:jc w:val="left"/>
        <w:rPr>
          <w:b/>
          <w:sz w:val="21"/>
        </w:rPr>
      </w:pPr>
      <w:r>
        <w:rPr>
          <w:spacing w:val="-3"/>
          <w:sz w:val="21"/>
        </w:rPr>
        <w:t>试样的制备</w:t>
      </w:r>
      <w:r>
        <w:rPr>
          <w:b/>
          <w:spacing w:val="-3"/>
          <w:w w:val="99"/>
          <w:sz w:val="21"/>
        </w:rPr>
        <w:t> </w:t>
      </w:r>
    </w:p>
    <w:p>
      <w:pPr>
        <w:pStyle w:val="BodyText"/>
        <w:spacing w:before="2"/>
        <w:rPr>
          <w:b/>
          <w:sz w:val="17"/>
        </w:rPr>
      </w:pPr>
    </w:p>
    <w:p>
      <w:pPr>
        <w:pStyle w:val="BodyText"/>
        <w:spacing w:line="434" w:lineRule="auto"/>
        <w:ind w:left="418" w:right="1487" w:firstLine="419"/>
      </w:pPr>
      <w:r>
        <w:rPr/>
        <w:t>阻火包：将阻火包的内装材料混合均匀后，分别放入三个内径为：</w:t>
      </w:r>
      <w:r>
        <w:rPr>
          <w:i/>
          <w:sz w:val="22"/>
        </w:rPr>
        <w:t>φ</w:t>
      </w:r>
      <w:r>
        <w:rPr/>
        <w:t>50mm，高</w:t>
      </w:r>
      <w:r>
        <w:rPr>
          <w:i/>
          <w:sz w:val="22"/>
        </w:rPr>
        <w:t>φ</w:t>
      </w:r>
      <w:r>
        <w:rPr/>
        <w:t>50mm 的钢质容器中。 </w:t>
      </w:r>
    </w:p>
    <w:p>
      <w:pPr>
        <w:pStyle w:val="BodyText"/>
        <w:spacing w:before="14"/>
        <w:ind w:left="838"/>
      </w:pPr>
      <w:r>
        <w:rPr/>
        <w:t>阻火包的内装材料在钢质容器中的松散堆积厚度为 10mm。 </w:t>
      </w:r>
    </w:p>
    <w:p>
      <w:pPr>
        <w:spacing w:after="0"/>
        <w:sectPr>
          <w:pgSz w:w="11910" w:h="16850"/>
          <w:pgMar w:header="0" w:footer="1239" w:top="1220" w:bottom="1420" w:left="1260" w:right="0"/>
        </w:sectPr>
      </w:pPr>
    </w:p>
    <w:p>
      <w:pPr>
        <w:pStyle w:val="BodyText"/>
        <w:spacing w:line="434" w:lineRule="auto" w:before="57"/>
        <w:ind w:left="418" w:right="1503" w:firstLine="419"/>
      </w:pPr>
      <w:r>
        <w:rPr>
          <w:spacing w:val="-3"/>
        </w:rPr>
        <w:t>阻火模块、缝隙封堵材料、泡沫封堵材料</w:t>
      </w:r>
      <w:r>
        <w:rPr/>
        <w:t>（</w:t>
      </w:r>
      <w:r>
        <w:rPr>
          <w:spacing w:val="-3"/>
        </w:rPr>
        <w:t>已固化成型</w:t>
      </w:r>
      <w:r>
        <w:rPr/>
        <w:t>）</w:t>
      </w:r>
      <w:r>
        <w:rPr>
          <w:spacing w:val="-3"/>
        </w:rPr>
        <w:t>：将试样切割成三个直径为</w:t>
      </w:r>
      <w:r>
        <w:rPr>
          <w:i/>
          <w:sz w:val="22"/>
        </w:rPr>
        <w:t>φ </w:t>
      </w:r>
      <w:r>
        <w:rPr/>
        <w:t>48～50 mm</w:t>
      </w:r>
      <w:r>
        <w:rPr>
          <w:spacing w:val="-11"/>
        </w:rPr>
        <w:t>，厚度为 </w:t>
      </w:r>
      <w:r>
        <w:rPr/>
        <w:t>10mm±3mm</w:t>
      </w:r>
      <w:r>
        <w:rPr>
          <w:spacing w:val="-8"/>
        </w:rPr>
        <w:t> 的试样块，厚度不足可以叠加，每个试件至少应包含一个使用表</w:t>
      </w:r>
      <w:r>
        <w:rPr>
          <w:spacing w:val="-5"/>
        </w:rPr>
        <w:t>面。然后，分别放入三个内径力</w:t>
      </w:r>
      <w:r>
        <w:rPr>
          <w:i/>
          <w:sz w:val="22"/>
        </w:rPr>
        <w:t>φ</w:t>
      </w:r>
      <w:r>
        <w:rPr/>
        <w:t>50mm</w:t>
      </w:r>
      <w:r>
        <w:rPr>
          <w:spacing w:val="-10"/>
        </w:rPr>
        <w:t>，高度不小于 </w:t>
      </w:r>
      <w:r>
        <w:rPr/>
        <w:t>50mm</w:t>
      </w:r>
      <w:r>
        <w:rPr>
          <w:spacing w:val="-10"/>
        </w:rPr>
        <w:t> 的钢质容器中。</w:t>
      </w:r>
      <w:r>
        <w:rPr/>
        <w:t> </w:t>
      </w:r>
    </w:p>
    <w:p>
      <w:pPr>
        <w:pStyle w:val="BodyText"/>
        <w:spacing w:line="439" w:lineRule="auto"/>
        <w:ind w:left="418" w:right="1505" w:firstLine="419"/>
      </w:pPr>
      <w:r>
        <w:rPr>
          <w:spacing w:val="-3"/>
        </w:rPr>
        <w:t>防火密封胶：将防火密封胶注入三个内径为</w:t>
      </w:r>
      <w:r>
        <w:rPr>
          <w:i/>
          <w:sz w:val="22"/>
        </w:rPr>
        <w:t>φ</w:t>
      </w:r>
      <w:r>
        <w:rPr/>
        <w:t>50mm</w:t>
      </w:r>
      <w:r>
        <w:rPr>
          <w:spacing w:val="-14"/>
        </w:rPr>
        <w:t>，高 </w:t>
      </w:r>
      <w:r>
        <w:rPr/>
        <w:t>50mm</w:t>
      </w:r>
      <w:r>
        <w:rPr>
          <w:spacing w:val="-8"/>
        </w:rPr>
        <w:t> 的钢质容器中，防火密封胶的</w:t>
      </w:r>
      <w:r>
        <w:rPr>
          <w:spacing w:val="-13"/>
        </w:rPr>
        <w:t>注入高度为 </w:t>
      </w:r>
      <w:r>
        <w:rPr/>
        <w:t>3mm±1mm</w:t>
      </w:r>
      <w:r>
        <w:rPr>
          <w:spacing w:val="-6"/>
        </w:rPr>
        <w:t>。然后，将钢质容器放入温度为 </w:t>
      </w:r>
      <w:r>
        <w:rPr/>
        <w:t>60°C±5°C</w:t>
      </w:r>
      <w:r>
        <w:rPr>
          <w:spacing w:val="-9"/>
        </w:rPr>
        <w:t> 的电热鼓风干燥箱中干燥48h</w:t>
      </w:r>
      <w:r>
        <w:rPr>
          <w:spacing w:val="-10"/>
        </w:rPr>
        <w:t> 以上。 根据产品的使用要求，也可以分层进行干燥，干燥后试件的厚度为 </w:t>
      </w:r>
      <w:r>
        <w:rPr/>
        <w:t>3mm±1mm</w:t>
      </w:r>
      <w:r>
        <w:rPr>
          <w:spacing w:val="-3"/>
        </w:rPr>
        <w:t>。</w:t>
      </w:r>
      <w:r>
        <w:rPr/>
        <w:t> </w:t>
      </w:r>
    </w:p>
    <w:p>
      <w:pPr>
        <w:pStyle w:val="ListParagraph"/>
        <w:numPr>
          <w:ilvl w:val="2"/>
          <w:numId w:val="476"/>
        </w:numPr>
        <w:tabs>
          <w:tab w:pos="1478" w:val="left" w:leader="none"/>
        </w:tabs>
        <w:spacing w:line="240" w:lineRule="auto" w:before="3" w:after="0"/>
        <w:ind w:left="1477" w:right="0" w:hanging="638"/>
        <w:jc w:val="left"/>
        <w:rPr>
          <w:b/>
          <w:sz w:val="21"/>
        </w:rPr>
      </w:pPr>
      <w:r>
        <w:rPr>
          <w:spacing w:val="-3"/>
          <w:sz w:val="21"/>
        </w:rPr>
        <w:t>试验程序</w:t>
      </w:r>
      <w:r>
        <w:rPr>
          <w:b/>
          <w:w w:val="99"/>
          <w:sz w:val="21"/>
        </w:rPr>
        <w:t> </w:t>
      </w:r>
    </w:p>
    <w:p>
      <w:pPr>
        <w:pStyle w:val="BodyText"/>
        <w:rPr>
          <w:b/>
          <w:sz w:val="18"/>
        </w:rPr>
      </w:pPr>
    </w:p>
    <w:p>
      <w:pPr>
        <w:pStyle w:val="BodyText"/>
        <w:spacing w:line="446" w:lineRule="auto"/>
        <w:ind w:left="418" w:right="1452" w:firstLine="419"/>
      </w:pPr>
      <w:r>
        <w:rPr>
          <w:spacing w:val="-4"/>
        </w:rPr>
        <w:t>用钢直尺测量试样膨胀前的高度。然后，将装有试样的钢质容器置于温度为 </w:t>
      </w:r>
      <w:r>
        <w:rPr/>
        <w:t>540℃±10℃的</w:t>
      </w:r>
      <w:r>
        <w:rPr>
          <w:spacing w:val="-9"/>
        </w:rPr>
        <w:t>电阻炉内，恒温 </w:t>
      </w:r>
      <w:r>
        <w:rPr/>
        <w:t>30min</w:t>
      </w:r>
      <w:r>
        <w:rPr>
          <w:spacing w:val="-8"/>
        </w:rPr>
        <w:t> 后取出。待充分冷却后，测量试样膨胀后的高度</w:t>
      </w:r>
      <w:r>
        <w:rPr/>
        <w:t>（</w:t>
      </w:r>
      <w:r>
        <w:rPr>
          <w:spacing w:val="-3"/>
        </w:rPr>
        <w:t>若膨胀后的试样表面不平整，可测试多个点取平均值</w:t>
      </w:r>
      <w:r>
        <w:rPr/>
        <w:t>）</w:t>
      </w:r>
      <w:r>
        <w:rPr>
          <w:spacing w:val="-3"/>
        </w:rPr>
        <w:t>，试样膨胀后的高度与膨胀前的高度之比即为该材料的膨胀 倍数。膨胀性能以三个试样膨胀倍数的算术平均值表示，精确至小数点后第一位。</w:t>
      </w:r>
      <w:r>
        <w:rPr/>
        <w:t> </w:t>
      </w:r>
    </w:p>
    <w:p>
      <w:pPr>
        <w:pStyle w:val="BodyText"/>
        <w:spacing w:line="446" w:lineRule="auto"/>
        <w:ind w:left="840" w:right="3608" w:hanging="3"/>
      </w:pPr>
      <w:r>
        <w:rPr>
          <w:spacing w:val="-8"/>
        </w:rPr>
        <w:t>阻火包带的膨胀性能按照 </w:t>
      </w:r>
      <w:r>
        <w:rPr/>
        <w:t>GA 304—2001</w:t>
      </w:r>
      <w:r>
        <w:rPr>
          <w:spacing w:val="-35"/>
        </w:rPr>
        <w:t> 中 </w:t>
      </w:r>
      <w:r>
        <w:rPr/>
        <w:t>6. 2</w:t>
      </w:r>
      <w:r>
        <w:rPr>
          <w:spacing w:val="-8"/>
        </w:rPr>
        <w:t> 的规定进行试验。</w:t>
      </w:r>
      <w:r>
        <w:rPr>
          <w:b/>
        </w:rPr>
        <w:t>6.15 </w:t>
      </w:r>
      <w:r>
        <w:rPr>
          <w:spacing w:val="-3"/>
        </w:rPr>
        <w:t>燃烧性能</w:t>
      </w:r>
      <w:r>
        <w:rPr/>
        <w:t> </w:t>
      </w:r>
    </w:p>
    <w:p>
      <w:pPr>
        <w:pStyle w:val="ListParagraph"/>
        <w:numPr>
          <w:ilvl w:val="2"/>
          <w:numId w:val="477"/>
        </w:numPr>
        <w:tabs>
          <w:tab w:pos="1478" w:val="left" w:leader="none"/>
        </w:tabs>
        <w:spacing w:line="240" w:lineRule="auto" w:before="0" w:after="0"/>
        <w:ind w:left="1477" w:right="0" w:hanging="638"/>
        <w:jc w:val="left"/>
        <w:rPr>
          <w:sz w:val="19"/>
        </w:rPr>
      </w:pPr>
      <w:r>
        <w:rPr>
          <w:spacing w:val="-8"/>
          <w:sz w:val="21"/>
        </w:rPr>
        <w:t>阻火包所用的织物材料按 </w:t>
      </w:r>
      <w:r>
        <w:rPr>
          <w:sz w:val="21"/>
        </w:rPr>
        <w:t>GB/T</w:t>
      </w:r>
      <w:r>
        <w:rPr>
          <w:spacing w:val="1"/>
          <w:sz w:val="21"/>
        </w:rPr>
        <w:t> </w:t>
      </w:r>
      <w:r>
        <w:rPr>
          <w:sz w:val="21"/>
        </w:rPr>
        <w:t>5455</w:t>
      </w:r>
      <w:r>
        <w:rPr>
          <w:spacing w:val="-11"/>
          <w:sz w:val="21"/>
        </w:rPr>
        <w:t> 进行试验。</w:t>
      </w:r>
      <w:r>
        <w:rPr>
          <w:sz w:val="21"/>
        </w:rPr>
        <w:t> </w:t>
      </w:r>
    </w:p>
    <w:p>
      <w:pPr>
        <w:pStyle w:val="BodyText"/>
        <w:rPr>
          <w:sz w:val="20"/>
        </w:rPr>
      </w:pPr>
    </w:p>
    <w:p>
      <w:pPr>
        <w:pStyle w:val="BodyText"/>
        <w:rPr>
          <w:sz w:val="20"/>
        </w:rPr>
      </w:pPr>
    </w:p>
    <w:p>
      <w:pPr>
        <w:pStyle w:val="BodyText"/>
        <w:spacing w:before="12"/>
        <w:rPr>
          <w:sz w:val="16"/>
        </w:rPr>
      </w:pPr>
    </w:p>
    <w:p>
      <w:pPr>
        <w:pStyle w:val="ListParagraph"/>
        <w:numPr>
          <w:ilvl w:val="2"/>
          <w:numId w:val="477"/>
        </w:numPr>
        <w:tabs>
          <w:tab w:pos="1473" w:val="left" w:leader="none"/>
        </w:tabs>
        <w:spacing w:line="240" w:lineRule="auto" w:before="0" w:after="0"/>
        <w:ind w:left="1472" w:right="0" w:hanging="635"/>
        <w:jc w:val="left"/>
        <w:rPr>
          <w:sz w:val="19"/>
        </w:rPr>
      </w:pPr>
      <w:r>
        <w:rPr>
          <w:spacing w:val="-5"/>
          <w:sz w:val="21"/>
        </w:rPr>
        <w:t>将柔性有机堵料或防火密封胶置于模具内，制成尺寸不小于 </w:t>
      </w:r>
      <w:r>
        <w:rPr>
          <w:sz w:val="21"/>
        </w:rPr>
        <w:t>300mm×300mm</w:t>
      </w:r>
      <w:r>
        <w:rPr>
          <w:spacing w:val="-1"/>
          <w:sz w:val="21"/>
        </w:rPr>
        <w:t>，厚度为</w:t>
      </w:r>
    </w:p>
    <w:p>
      <w:pPr>
        <w:pStyle w:val="BodyText"/>
        <w:spacing w:line="350" w:lineRule="auto" w:before="163"/>
        <w:ind w:left="418" w:right="1510"/>
      </w:pPr>
      <w:r>
        <w:rPr/>
        <w:t>3mm</w:t>
      </w:r>
      <w:r>
        <w:rPr>
          <w:spacing w:val="-13"/>
        </w:rPr>
        <w:t> 的片材，并在温度为 </w:t>
      </w:r>
      <w:r>
        <w:rPr/>
        <w:t>60</w:t>
      </w:r>
      <w:r>
        <w:rPr>
          <w:rFonts w:ascii="微软雅黑" w:hAnsi="微软雅黑" w:eastAsia="微软雅黑" w:hint="eastAsia"/>
        </w:rPr>
        <w:t>〜</w:t>
      </w:r>
      <w:r>
        <w:rPr/>
        <w:t>65</w:t>
      </w:r>
      <w:r>
        <w:rPr>
          <w:spacing w:val="-9"/>
        </w:rPr>
        <w:t>℃的烘箱中干燥 </w:t>
      </w:r>
      <w:r>
        <w:rPr/>
        <w:t>72h</w:t>
      </w:r>
      <w:r>
        <w:rPr>
          <w:spacing w:val="-15"/>
        </w:rPr>
        <w:t> 以上，然后按 </w:t>
      </w:r>
      <w:r>
        <w:rPr/>
        <w:t>GB/T 2408-2008</w:t>
      </w:r>
      <w:r>
        <w:rPr>
          <w:spacing w:val="-11"/>
        </w:rPr>
        <w:t> 规定的水平</w:t>
      </w:r>
      <w:r>
        <w:rPr>
          <w:spacing w:val="-7"/>
        </w:rPr>
        <w:t>法进行试验。</w:t>
      </w:r>
      <w:r>
        <w:rPr/>
        <w:t> </w:t>
      </w:r>
    </w:p>
    <w:p>
      <w:pPr>
        <w:pStyle w:val="BodyText"/>
        <w:spacing w:line="446" w:lineRule="auto" w:before="110"/>
        <w:ind w:left="840" w:right="4657" w:hanging="3"/>
      </w:pPr>
      <w:r>
        <w:rPr/>
        <w:t>注：无法自支撑的试件，允许置于金属网上进行试验。</w:t>
      </w:r>
      <w:r>
        <w:rPr>
          <w:b/>
        </w:rPr>
        <w:t>6.15.3 </w:t>
      </w:r>
      <w:r>
        <w:rPr/>
        <w:t>泡沫封堵材料按 GB/T 8333 的规定进行试验。 </w:t>
      </w:r>
    </w:p>
    <w:p>
      <w:pPr>
        <w:pStyle w:val="BodyText"/>
        <w:spacing w:line="267" w:lineRule="exact"/>
        <w:ind w:left="840"/>
      </w:pPr>
      <w:r>
        <w:rPr>
          <w:b/>
        </w:rPr>
        <w:t>6.15.4 </w:t>
      </w:r>
      <w:r>
        <w:rPr/>
        <w:t>阻火模块、防火封堵板材、缝隙封堵材料、阻火包带的燃烧性能按 GB/T 2408-2008</w:t>
      </w:r>
    </w:p>
    <w:p>
      <w:pPr>
        <w:pStyle w:val="BodyText"/>
        <w:spacing w:before="1"/>
        <w:rPr>
          <w:sz w:val="18"/>
        </w:rPr>
      </w:pPr>
    </w:p>
    <w:p>
      <w:pPr>
        <w:spacing w:line="446" w:lineRule="auto" w:before="1"/>
        <w:ind w:left="840" w:right="7809" w:hanging="423"/>
        <w:jc w:val="left"/>
        <w:rPr>
          <w:sz w:val="21"/>
        </w:rPr>
      </w:pPr>
      <w:r>
        <w:rPr>
          <w:sz w:val="21"/>
        </w:rPr>
        <w:t>规定的垂直法进行试验。</w:t>
      </w:r>
      <w:r>
        <w:rPr>
          <w:b/>
          <w:sz w:val="21"/>
        </w:rPr>
        <w:t>6.16 </w:t>
      </w:r>
      <w:r>
        <w:rPr>
          <w:sz w:val="21"/>
        </w:rPr>
        <w:t>耐火性能 </w:t>
      </w:r>
    </w:p>
    <w:p>
      <w:pPr>
        <w:pStyle w:val="ListParagraph"/>
        <w:numPr>
          <w:ilvl w:val="2"/>
          <w:numId w:val="478"/>
        </w:numPr>
        <w:tabs>
          <w:tab w:pos="1478" w:val="left" w:leader="none"/>
        </w:tabs>
        <w:spacing w:line="267" w:lineRule="exact" w:before="0" w:after="0"/>
        <w:ind w:left="1477" w:right="0" w:hanging="638"/>
        <w:jc w:val="left"/>
        <w:rPr>
          <w:sz w:val="21"/>
        </w:rPr>
      </w:pPr>
      <w:r>
        <w:rPr>
          <w:spacing w:val="-3"/>
          <w:sz w:val="21"/>
        </w:rPr>
        <w:t>试验装置</w:t>
      </w:r>
      <w:r>
        <w:rPr>
          <w:sz w:val="21"/>
        </w:rPr>
        <w:t> </w:t>
      </w:r>
    </w:p>
    <w:p>
      <w:pPr>
        <w:pStyle w:val="BodyText"/>
        <w:spacing w:before="1"/>
        <w:rPr>
          <w:sz w:val="18"/>
        </w:rPr>
      </w:pPr>
    </w:p>
    <w:p>
      <w:pPr>
        <w:pStyle w:val="ListParagraph"/>
        <w:numPr>
          <w:ilvl w:val="3"/>
          <w:numId w:val="478"/>
        </w:numPr>
        <w:tabs>
          <w:tab w:pos="1682" w:val="left" w:leader="none"/>
        </w:tabs>
        <w:spacing w:line="240" w:lineRule="auto" w:before="1" w:after="0"/>
        <w:ind w:left="1681" w:right="0" w:hanging="844"/>
        <w:jc w:val="left"/>
        <w:rPr>
          <w:sz w:val="21"/>
        </w:rPr>
      </w:pPr>
      <w:r>
        <w:rPr>
          <w:spacing w:val="-3"/>
          <w:sz w:val="21"/>
        </w:rPr>
        <w:t>耐火试验炉 </w:t>
      </w:r>
    </w:p>
    <w:p>
      <w:pPr>
        <w:pStyle w:val="BodyText"/>
        <w:spacing w:before="12"/>
        <w:rPr>
          <w:sz w:val="17"/>
        </w:rPr>
      </w:pPr>
    </w:p>
    <w:p>
      <w:pPr>
        <w:pStyle w:val="BodyText"/>
        <w:ind w:left="838"/>
      </w:pPr>
      <w:r>
        <w:rPr/>
        <w:t>符合 GB/T 9978. 1 对耐火试验炉的要求。 </w:t>
      </w:r>
    </w:p>
    <w:p>
      <w:pPr>
        <w:pStyle w:val="BodyText"/>
        <w:rPr>
          <w:sz w:val="18"/>
        </w:rPr>
      </w:pPr>
    </w:p>
    <w:p>
      <w:pPr>
        <w:pStyle w:val="BodyText"/>
        <w:spacing w:line="446" w:lineRule="auto"/>
        <w:ind w:left="838" w:right="2134"/>
      </w:pPr>
      <w:r>
        <w:rPr>
          <w:spacing w:val="-3"/>
        </w:rPr>
        <w:t>耐火试验炉应满足试件安装、升温条件、压力条件、温度测试及试验观察等要求。6. 16.1.2</w:t>
      </w:r>
      <w:r>
        <w:rPr>
          <w:spacing w:val="-2"/>
        </w:rPr>
        <w:t> 测温设备 </w:t>
      </w:r>
    </w:p>
    <w:p>
      <w:pPr>
        <w:spacing w:after="0" w:line="446" w:lineRule="auto"/>
        <w:sectPr>
          <w:pgSz w:w="11910" w:h="16850"/>
          <w:pgMar w:header="0" w:footer="1239" w:top="1200" w:bottom="1420" w:left="1260" w:right="0"/>
        </w:sectPr>
      </w:pPr>
    </w:p>
    <w:p>
      <w:pPr>
        <w:pStyle w:val="BodyText"/>
        <w:spacing w:line="446" w:lineRule="auto" w:before="47"/>
        <w:ind w:left="838" w:right="5917"/>
        <w:rPr>
          <w:b/>
        </w:rPr>
      </w:pPr>
      <w:r>
        <w:rPr/>
        <w:t>耐火性能试验测温设备应满足下列要求： a) 炉内温度测试</w:t>
      </w:r>
      <w:r>
        <w:rPr>
          <w:b/>
          <w:w w:val="99"/>
        </w:rPr>
        <w:t> </w:t>
      </w:r>
    </w:p>
    <w:p>
      <w:pPr>
        <w:pStyle w:val="BodyText"/>
        <w:spacing w:line="318" w:lineRule="exact"/>
        <w:ind w:left="838"/>
      </w:pPr>
      <w:r>
        <w:rPr/>
        <w:t>炉内温度测量，采用丝径为</w:t>
      </w:r>
      <w:r>
        <w:rPr>
          <w:i/>
          <w:sz w:val="22"/>
        </w:rPr>
        <w:t>φ</w:t>
      </w:r>
      <w:r>
        <w:rPr/>
        <w:t>0.75</w:t>
      </w:r>
      <w:r>
        <w:rPr>
          <w:rFonts w:ascii="微软雅黑" w:hAnsi="微软雅黑" w:eastAsia="微软雅黑" w:hint="eastAsia"/>
        </w:rPr>
        <w:t>〜</w:t>
      </w:r>
      <w:r>
        <w:rPr/>
        <w:t>2.30mm 的热电偶，其热端应伸出套管 25mm，热电偶感</w:t>
      </w:r>
    </w:p>
    <w:p>
      <w:pPr>
        <w:pStyle w:val="BodyText"/>
        <w:spacing w:line="446" w:lineRule="auto" w:before="182"/>
        <w:ind w:left="838" w:right="4292" w:hanging="420"/>
        <w:rPr>
          <w:b/>
        </w:rPr>
      </w:pPr>
      <w:r>
        <w:rPr>
          <w:spacing w:val="-8"/>
        </w:rPr>
        <w:t>温端距堵料受火平面 </w:t>
      </w:r>
      <w:r>
        <w:rPr/>
        <w:t>100mm</w:t>
      </w:r>
      <w:r>
        <w:rPr>
          <w:spacing w:val="-7"/>
        </w:rPr>
        <w:t>。炉内热电偶的数量不得少于 </w:t>
      </w:r>
      <w:r>
        <w:rPr/>
        <w:t>5</w:t>
      </w:r>
      <w:r>
        <w:rPr>
          <w:spacing w:val="-18"/>
        </w:rPr>
        <w:t> 支。</w:t>
      </w:r>
      <w:r>
        <w:rPr/>
        <w:t>b)</w:t>
      </w:r>
      <w:r>
        <w:rPr>
          <w:spacing w:val="-3"/>
        </w:rPr>
        <w:t> 试件背火面温度测量</w:t>
      </w:r>
      <w:r>
        <w:rPr>
          <w:b/>
          <w:w w:val="99"/>
        </w:rPr>
        <w:t> </w:t>
      </w:r>
    </w:p>
    <w:p>
      <w:pPr>
        <w:pStyle w:val="BodyText"/>
        <w:spacing w:line="441" w:lineRule="auto"/>
        <w:ind w:left="418" w:right="1505" w:firstLine="419"/>
      </w:pPr>
      <w:r>
        <w:rPr>
          <w:spacing w:val="-5"/>
        </w:rPr>
        <w:t>试件背火面——封堵材料、电缆表面或穿管表面、距堵料封堵边缘 </w:t>
      </w:r>
      <w:r>
        <w:rPr/>
        <w:t>25mm</w:t>
      </w:r>
      <w:r>
        <w:rPr>
          <w:spacing w:val="-8"/>
        </w:rPr>
        <w:t> 处的框架表面、塑</w:t>
      </w:r>
      <w:r>
        <w:rPr>
          <w:spacing w:val="-5"/>
        </w:rPr>
        <w:t>料管道表面的温度测量，采用丝径为</w:t>
      </w:r>
      <w:r>
        <w:rPr>
          <w:i/>
          <w:sz w:val="22"/>
        </w:rPr>
        <w:t>φ</w:t>
      </w:r>
      <w:r>
        <w:rPr/>
        <w:t>0.5mm</w:t>
      </w:r>
      <w:r>
        <w:rPr>
          <w:spacing w:val="-14"/>
        </w:rPr>
        <w:t> 的热电偶，工业 </w:t>
      </w:r>
      <w:r>
        <w:rPr/>
        <w:t>II</w:t>
      </w:r>
      <w:r>
        <w:rPr>
          <w:spacing w:val="-13"/>
        </w:rPr>
        <w:t> 级，数量不得少于 </w:t>
      </w:r>
      <w:r>
        <w:rPr/>
        <w:t>6</w:t>
      </w:r>
      <w:r>
        <w:rPr>
          <w:spacing w:val="-12"/>
        </w:rPr>
        <w:t> 支。分布</w:t>
      </w:r>
      <w:r>
        <w:rPr>
          <w:spacing w:val="-9"/>
        </w:rPr>
        <w:t>是：封堵材料表面距贯穿物表面 </w:t>
      </w:r>
      <w:r>
        <w:rPr/>
        <w:t>25mm</w:t>
      </w:r>
      <w:r>
        <w:rPr>
          <w:spacing w:val="-15"/>
        </w:rPr>
        <w:t> 处，不少于 </w:t>
      </w:r>
      <w:r>
        <w:rPr/>
        <w:t>2</w:t>
      </w:r>
      <w:r>
        <w:rPr>
          <w:spacing w:val="-10"/>
        </w:rPr>
        <w:t> 支；贯穿物</w:t>
      </w:r>
      <w:r>
        <w:rPr/>
        <w:t>（</w:t>
      </w:r>
      <w:r>
        <w:rPr>
          <w:spacing w:val="-3"/>
        </w:rPr>
        <w:t>电缆、电缆束或穿管）</w:t>
      </w:r>
      <w:r>
        <w:rPr>
          <w:spacing w:val="-2"/>
        </w:rPr>
        <w:t>表面距</w:t>
      </w:r>
      <w:r>
        <w:rPr>
          <w:spacing w:val="-10"/>
        </w:rPr>
        <w:t>封堵材料表面 </w:t>
      </w:r>
      <w:r>
        <w:rPr/>
        <w:t>25mm</w:t>
      </w:r>
      <w:r>
        <w:rPr>
          <w:spacing w:val="-12"/>
        </w:rPr>
        <w:t> 处不同的贯穿物至少设 </w:t>
      </w:r>
      <w:r>
        <w:rPr/>
        <w:t>1</w:t>
      </w:r>
      <w:r>
        <w:rPr>
          <w:spacing w:val="-11"/>
        </w:rPr>
        <w:t> 支；支架或托盘表面距封堵材料表面 </w:t>
      </w:r>
      <w:r>
        <w:rPr/>
        <w:t>25mm</w:t>
      </w:r>
      <w:r>
        <w:rPr>
          <w:spacing w:val="-14"/>
        </w:rPr>
        <w:t> 处至少</w:t>
      </w:r>
      <w:r>
        <w:rPr>
          <w:spacing w:val="-30"/>
        </w:rPr>
        <w:t>设 </w:t>
      </w:r>
      <w:r>
        <w:rPr/>
        <w:t>1</w:t>
      </w:r>
      <w:r>
        <w:rPr>
          <w:spacing w:val="-11"/>
        </w:rPr>
        <w:t> 支；使用阻火包带时，在塑料管表面距楼板或墙体 </w:t>
      </w:r>
      <w:r>
        <w:rPr/>
        <w:t>25mm</w:t>
      </w:r>
      <w:r>
        <w:rPr>
          <w:spacing w:val="-25"/>
        </w:rPr>
        <w:t> 处设 </w:t>
      </w:r>
      <w:r>
        <w:rPr/>
        <w:t>2</w:t>
      </w:r>
      <w:r>
        <w:rPr>
          <w:spacing w:val="-8"/>
        </w:rPr>
        <w:t> 支热电偶；距堵料封堵边缘25mm</w:t>
      </w:r>
      <w:r>
        <w:rPr>
          <w:spacing w:val="-13"/>
        </w:rPr>
        <w:t> 处的框架表面设 </w:t>
      </w:r>
      <w:r>
        <w:rPr/>
        <w:t>1</w:t>
      </w:r>
      <w:r>
        <w:rPr>
          <w:spacing w:val="-13"/>
        </w:rPr>
        <w:t> 支热电偶；另设 </w:t>
      </w:r>
      <w:r>
        <w:rPr/>
        <w:t>1</w:t>
      </w:r>
      <w:r>
        <w:rPr>
          <w:spacing w:val="-8"/>
        </w:rPr>
        <w:t> 支移动测温热电偶，必要时用来监测试件背火面可疑</w:t>
      </w:r>
      <w:r>
        <w:rPr>
          <w:spacing w:val="-5"/>
        </w:rPr>
        <w:t>点的温升，其数据应作为判定依据。</w:t>
      </w:r>
      <w:r>
        <w:rPr/>
        <w:t> </w:t>
      </w:r>
    </w:p>
    <w:p>
      <w:pPr>
        <w:pStyle w:val="BodyText"/>
        <w:spacing w:before="11"/>
        <w:ind w:left="838"/>
        <w:rPr>
          <w:b/>
        </w:rPr>
      </w:pPr>
      <w:r>
        <w:rPr/>
        <w:t>c) 测温设备的精确度</w:t>
      </w:r>
      <w:r>
        <w:rPr>
          <w:b/>
          <w:w w:val="99"/>
        </w:rPr>
        <w:t> </w:t>
      </w:r>
    </w:p>
    <w:p>
      <w:pPr>
        <w:pStyle w:val="BodyText"/>
        <w:spacing w:before="12"/>
        <w:rPr>
          <w:b/>
          <w:sz w:val="17"/>
        </w:rPr>
      </w:pPr>
    </w:p>
    <w:p>
      <w:pPr>
        <w:pStyle w:val="BodyText"/>
        <w:spacing w:line="446" w:lineRule="auto"/>
        <w:ind w:left="838" w:right="5711"/>
      </w:pPr>
      <w:r>
        <w:rPr>
          <w:spacing w:val="-3"/>
        </w:rPr>
        <w:t>测温仪器设备的精确度(系统误差)应达到： </w:t>
      </w:r>
      <w:r>
        <w:rPr/>
        <w:t>炉内：±15°C； </w:t>
      </w:r>
    </w:p>
    <w:p>
      <w:pPr>
        <w:spacing w:line="446" w:lineRule="auto" w:before="0"/>
        <w:ind w:left="840" w:right="7705" w:hanging="3"/>
        <w:jc w:val="left"/>
        <w:rPr>
          <w:sz w:val="21"/>
        </w:rPr>
      </w:pPr>
      <w:r>
        <w:rPr>
          <w:spacing w:val="-2"/>
          <w:sz w:val="21"/>
        </w:rPr>
        <w:t>表面或其他：±</w:t>
      </w:r>
      <w:r>
        <w:rPr>
          <w:sz w:val="21"/>
        </w:rPr>
        <w:t>5℃。</w:t>
      </w:r>
      <w:r>
        <w:rPr>
          <w:b/>
          <w:sz w:val="21"/>
        </w:rPr>
        <w:t>6.16.2 </w:t>
      </w:r>
      <w:r>
        <w:rPr>
          <w:spacing w:val="-3"/>
          <w:sz w:val="21"/>
        </w:rPr>
        <w:t>试验条件</w:t>
      </w:r>
      <w:r>
        <w:rPr>
          <w:sz w:val="21"/>
        </w:rPr>
        <w:t> </w:t>
      </w:r>
    </w:p>
    <w:p>
      <w:pPr>
        <w:pStyle w:val="BodyText"/>
        <w:spacing w:line="267" w:lineRule="exact"/>
        <w:ind w:left="838"/>
        <w:rPr>
          <w:b/>
        </w:rPr>
      </w:pPr>
      <w:r>
        <w:rPr/>
        <w:t>6.16.2.1 升温条件</w:t>
      </w:r>
      <w:r>
        <w:rPr>
          <w:b/>
          <w:w w:val="99"/>
        </w:rPr>
        <w:t> </w:t>
      </w:r>
    </w:p>
    <w:p>
      <w:pPr>
        <w:pStyle w:val="BodyText"/>
        <w:spacing w:before="2"/>
        <w:rPr>
          <w:b/>
          <w:sz w:val="18"/>
        </w:rPr>
      </w:pPr>
    </w:p>
    <w:p>
      <w:pPr>
        <w:pStyle w:val="BodyText"/>
        <w:spacing w:line="446" w:lineRule="auto"/>
        <w:ind w:left="838" w:right="1925"/>
        <w:rPr>
          <w:b/>
        </w:rPr>
      </w:pPr>
      <w:r>
        <w:rPr/>
        <w:t>符合 GB/T 9978.1 规定的升温条件要求。当有特殊要求时，也可采用其他升温曲线。6.16.2.2 炉内压力条件</w:t>
      </w:r>
      <w:r>
        <w:rPr>
          <w:b/>
          <w:w w:val="99"/>
        </w:rPr>
        <w:t> </w:t>
      </w:r>
    </w:p>
    <w:p>
      <w:pPr>
        <w:pStyle w:val="BodyText"/>
        <w:spacing w:line="446" w:lineRule="auto"/>
        <w:ind w:left="418" w:right="1609" w:firstLine="419"/>
      </w:pPr>
      <w:r>
        <w:rPr/>
        <w:t>垂直安装的试件进行耐火试验时，试件底面所在水平面应保持正压；水平安装的试件进行耐火试验时，在离试件受火面 100mm 的平面上应保持正压。 </w:t>
      </w:r>
    </w:p>
    <w:p>
      <w:pPr>
        <w:spacing w:before="0"/>
        <w:ind w:left="840" w:right="0" w:firstLine="0"/>
        <w:jc w:val="left"/>
        <w:rPr>
          <w:sz w:val="21"/>
        </w:rPr>
      </w:pPr>
      <w:r>
        <w:rPr>
          <w:b/>
          <w:sz w:val="21"/>
        </w:rPr>
        <w:t>6.16.3 </w:t>
      </w:r>
      <w:r>
        <w:rPr>
          <w:sz w:val="21"/>
        </w:rPr>
        <w:t>试件要求 </w:t>
      </w:r>
    </w:p>
    <w:p>
      <w:pPr>
        <w:pStyle w:val="BodyText"/>
        <w:spacing w:before="10"/>
        <w:rPr>
          <w:sz w:val="17"/>
        </w:rPr>
      </w:pPr>
    </w:p>
    <w:p>
      <w:pPr>
        <w:pStyle w:val="BodyText"/>
        <w:spacing w:line="446" w:lineRule="auto"/>
        <w:ind w:left="418" w:right="1609" w:firstLine="419"/>
        <w:jc w:val="both"/>
      </w:pPr>
      <w:r>
        <w:rPr/>
        <w:t>进行耐火试验时，试件所用的村料、制作工艺、拼接与安装方法应足以反映相应构件在实际使用中的情况。为使试验能够实施而进行的安装方式的修改对试验结果应无重大影响，并应对修改作详细说明。 </w:t>
      </w:r>
    </w:p>
    <w:p>
      <w:pPr>
        <w:spacing w:line="268" w:lineRule="exact" w:before="0"/>
        <w:ind w:left="840" w:right="0" w:firstLine="0"/>
        <w:jc w:val="left"/>
        <w:rPr>
          <w:sz w:val="21"/>
        </w:rPr>
      </w:pPr>
      <w:r>
        <w:rPr>
          <w:b/>
          <w:sz w:val="21"/>
        </w:rPr>
        <w:t>6. 16.4 </w:t>
      </w:r>
      <w:r>
        <w:rPr>
          <w:sz w:val="21"/>
        </w:rPr>
        <w:t>试件制作 </w:t>
      </w:r>
    </w:p>
    <w:p>
      <w:pPr>
        <w:pStyle w:val="BodyText"/>
        <w:spacing w:before="2"/>
        <w:rPr>
          <w:sz w:val="18"/>
        </w:rPr>
      </w:pPr>
    </w:p>
    <w:p>
      <w:pPr>
        <w:pStyle w:val="ListParagraph"/>
        <w:numPr>
          <w:ilvl w:val="3"/>
          <w:numId w:val="479"/>
        </w:numPr>
        <w:tabs>
          <w:tab w:pos="1682" w:val="left" w:leader="none"/>
        </w:tabs>
        <w:spacing w:line="240" w:lineRule="auto" w:before="0" w:after="0"/>
        <w:ind w:left="1681" w:right="0" w:hanging="844"/>
        <w:jc w:val="left"/>
        <w:rPr>
          <w:sz w:val="21"/>
        </w:rPr>
      </w:pPr>
      <w:r>
        <w:rPr>
          <w:spacing w:val="-2"/>
          <w:sz w:val="21"/>
        </w:rPr>
        <w:t>概述</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4"/>
          <w:numId w:val="479"/>
        </w:numPr>
        <w:tabs>
          <w:tab w:pos="1893" w:val="left" w:leader="none"/>
        </w:tabs>
        <w:spacing w:line="446" w:lineRule="auto" w:before="47" w:after="0"/>
        <w:ind w:left="418" w:right="1505" w:firstLine="419"/>
        <w:jc w:val="left"/>
        <w:rPr>
          <w:sz w:val="21"/>
        </w:rPr>
      </w:pPr>
      <w:r>
        <w:rPr>
          <w:spacing w:val="-3"/>
          <w:sz w:val="21"/>
        </w:rPr>
        <w:t>防火封堵材料在进行产品质量判定时，试件的制作可选择本标准中规定的标准试件的制作方式。针对实际工程应用的试件，试件的制作应与实际使用情况一致。当按实际工程应用制作的试件已包含标准试件中的所有贯穿物及其组合方式时，若其耐火性能达到规定要求，诙试验结果也可用于对产品进行质量判定。</w:t>
      </w:r>
      <w:r>
        <w:rPr>
          <w:sz w:val="21"/>
        </w:rPr>
        <w:t> </w:t>
      </w:r>
    </w:p>
    <w:p>
      <w:pPr>
        <w:pStyle w:val="ListParagraph"/>
        <w:numPr>
          <w:ilvl w:val="4"/>
          <w:numId w:val="479"/>
        </w:numPr>
        <w:tabs>
          <w:tab w:pos="1893" w:val="left" w:leader="none"/>
        </w:tabs>
        <w:spacing w:line="446" w:lineRule="auto" w:before="0" w:after="0"/>
        <w:ind w:left="418" w:right="1503" w:firstLine="419"/>
        <w:jc w:val="both"/>
        <w:rPr>
          <w:sz w:val="21"/>
        </w:rPr>
      </w:pPr>
      <w:r>
        <w:rPr>
          <w:spacing w:val="-3"/>
          <w:sz w:val="21"/>
        </w:rPr>
        <w:t>电缆受火端用所测试的堵料封头（</w:t>
      </w:r>
      <w:r>
        <w:rPr>
          <w:spacing w:val="-11"/>
          <w:sz w:val="21"/>
        </w:rPr>
        <w:t>封头长度 </w:t>
      </w:r>
      <w:r>
        <w:rPr>
          <w:sz w:val="21"/>
        </w:rPr>
        <w:t>50mm</w:t>
      </w:r>
      <w:r>
        <w:rPr>
          <w:spacing w:val="-14"/>
          <w:sz w:val="21"/>
        </w:rPr>
        <w:t>，厚度 </w:t>
      </w:r>
      <w:r>
        <w:rPr>
          <w:sz w:val="21"/>
        </w:rPr>
        <w:t>25mm)</w:t>
      </w:r>
      <w:r>
        <w:rPr>
          <w:spacing w:val="-2"/>
          <w:sz w:val="21"/>
        </w:rPr>
        <w:t>，暴露于火场的</w:t>
      </w:r>
      <w:r>
        <w:rPr>
          <w:spacing w:val="-10"/>
          <w:sz w:val="21"/>
        </w:rPr>
        <w:t>电缆长度 </w:t>
      </w:r>
      <w:r>
        <w:rPr>
          <w:sz w:val="21"/>
        </w:rPr>
        <w:t>300mm</w:t>
      </w:r>
      <w:r>
        <w:rPr>
          <w:spacing w:val="-5"/>
          <w:sz w:val="21"/>
        </w:rPr>
        <w:t>；穿管受火端用所测试的堵料堵塞管内径，堵塞长度 </w:t>
      </w:r>
      <w:r>
        <w:rPr>
          <w:sz w:val="21"/>
        </w:rPr>
        <w:t>100mm</w:t>
      </w:r>
      <w:r>
        <w:rPr>
          <w:spacing w:val="-3"/>
          <w:sz w:val="21"/>
        </w:rPr>
        <w:t>，穿管伸出试件受火</w:t>
      </w:r>
      <w:r>
        <w:rPr>
          <w:spacing w:val="-28"/>
          <w:sz w:val="21"/>
        </w:rPr>
        <w:t>面 </w:t>
      </w:r>
      <w:r>
        <w:rPr>
          <w:sz w:val="21"/>
        </w:rPr>
        <w:t>300mm</w:t>
      </w:r>
      <w:r>
        <w:rPr>
          <w:spacing w:val="-9"/>
          <w:sz w:val="21"/>
        </w:rPr>
        <w:t>；贯穿物的长度为 </w:t>
      </w:r>
      <w:r>
        <w:rPr>
          <w:sz w:val="21"/>
        </w:rPr>
        <w:t>1500mm</w:t>
      </w:r>
      <w:r>
        <w:rPr>
          <w:spacing w:val="-3"/>
          <w:sz w:val="21"/>
        </w:rPr>
        <w:t>。</w:t>
      </w:r>
      <w:r>
        <w:rPr>
          <w:sz w:val="21"/>
        </w:rPr>
        <w:t> </w:t>
      </w:r>
    </w:p>
    <w:p>
      <w:pPr>
        <w:pStyle w:val="ListParagraph"/>
        <w:numPr>
          <w:ilvl w:val="4"/>
          <w:numId w:val="479"/>
        </w:numPr>
        <w:tabs>
          <w:tab w:pos="1893" w:val="left" w:leader="none"/>
        </w:tabs>
        <w:spacing w:line="446" w:lineRule="auto" w:before="0" w:after="0"/>
        <w:ind w:left="418" w:right="1505" w:firstLine="419"/>
        <w:jc w:val="left"/>
        <w:rPr>
          <w:sz w:val="21"/>
        </w:rPr>
      </w:pPr>
      <w:r>
        <w:rPr>
          <w:spacing w:val="-3"/>
          <w:sz w:val="21"/>
        </w:rPr>
        <w:t>背火面的贯穿物或支架应采用适当的方式固定，防止贯穿物或支架在试验前或试验过程中滑落。</w:t>
      </w:r>
      <w:r>
        <w:rPr>
          <w:sz w:val="21"/>
        </w:rPr>
        <w:t> </w:t>
      </w:r>
    </w:p>
    <w:p>
      <w:pPr>
        <w:pStyle w:val="ListParagraph"/>
        <w:numPr>
          <w:ilvl w:val="3"/>
          <w:numId w:val="479"/>
        </w:numPr>
        <w:tabs>
          <w:tab w:pos="1682" w:val="left" w:leader="none"/>
        </w:tabs>
        <w:spacing w:line="240" w:lineRule="auto" w:before="0" w:after="0"/>
        <w:ind w:left="1681" w:right="0" w:hanging="844"/>
        <w:jc w:val="left"/>
        <w:rPr>
          <w:sz w:val="21"/>
        </w:rPr>
      </w:pPr>
      <w:r>
        <w:rPr>
          <w:spacing w:val="-3"/>
          <w:sz w:val="21"/>
        </w:rPr>
        <w:t>孔洞用防火封堵材料试件</w:t>
      </w:r>
      <w:r>
        <w:rPr>
          <w:sz w:val="21"/>
        </w:rPr>
        <w:t> </w:t>
      </w:r>
    </w:p>
    <w:p>
      <w:pPr>
        <w:pStyle w:val="BodyText"/>
        <w:spacing w:before="9"/>
        <w:rPr>
          <w:sz w:val="17"/>
        </w:rPr>
      </w:pPr>
    </w:p>
    <w:p>
      <w:pPr>
        <w:pStyle w:val="ListParagraph"/>
        <w:numPr>
          <w:ilvl w:val="4"/>
          <w:numId w:val="479"/>
        </w:numPr>
        <w:tabs>
          <w:tab w:pos="1893" w:val="left" w:leader="none"/>
        </w:tabs>
        <w:spacing w:line="446" w:lineRule="auto" w:before="1" w:after="0"/>
        <w:ind w:left="418" w:right="1505" w:firstLine="419"/>
        <w:jc w:val="left"/>
        <w:rPr>
          <w:sz w:val="21"/>
        </w:rPr>
      </w:pPr>
      <w:r>
        <w:rPr>
          <w:spacing w:val="-3"/>
          <w:sz w:val="21"/>
        </w:rPr>
        <w:t>孔洞用防火封堵材料标准试件应包含混凝土框架、贯穿物、支架和孔洞用防火</w:t>
      </w:r>
      <w:r>
        <w:rPr>
          <w:spacing w:val="-5"/>
          <w:sz w:val="21"/>
        </w:rPr>
        <w:t>封堵材料等部分，标准试件的尺寸和详细制作要求见附录 </w:t>
      </w:r>
      <w:r>
        <w:rPr>
          <w:sz w:val="21"/>
        </w:rPr>
        <w:t>A</w:t>
      </w:r>
      <w:r>
        <w:rPr>
          <w:spacing w:val="-36"/>
          <w:sz w:val="21"/>
        </w:rPr>
        <w:t> 的 </w:t>
      </w:r>
      <w:r>
        <w:rPr>
          <w:sz w:val="21"/>
        </w:rPr>
        <w:t>A.1</w:t>
      </w:r>
      <w:r>
        <w:rPr>
          <w:spacing w:val="-3"/>
          <w:sz w:val="21"/>
        </w:rPr>
        <w:t>。</w:t>
      </w:r>
      <w:r>
        <w:rPr>
          <w:sz w:val="21"/>
        </w:rPr>
        <w:t> </w:t>
      </w:r>
    </w:p>
    <w:p>
      <w:pPr>
        <w:pStyle w:val="ListParagraph"/>
        <w:numPr>
          <w:ilvl w:val="4"/>
          <w:numId w:val="479"/>
        </w:numPr>
        <w:tabs>
          <w:tab w:pos="1893" w:val="left" w:leader="none"/>
        </w:tabs>
        <w:spacing w:line="446" w:lineRule="auto" w:before="0" w:after="0"/>
        <w:ind w:left="418" w:right="1508" w:firstLine="419"/>
        <w:jc w:val="left"/>
        <w:rPr>
          <w:sz w:val="21"/>
        </w:rPr>
      </w:pPr>
      <w:r>
        <w:rPr>
          <w:spacing w:val="-6"/>
          <w:sz w:val="21"/>
        </w:rPr>
        <w:t>对于无机堵料、阻火包或阻火模块，图 </w:t>
      </w:r>
      <w:r>
        <w:rPr>
          <w:sz w:val="21"/>
        </w:rPr>
        <w:t>A.1</w:t>
      </w:r>
      <w:r>
        <w:rPr>
          <w:spacing w:val="-8"/>
          <w:sz w:val="21"/>
        </w:rPr>
        <w:t> 中的防火封堵材料应采用被测试的</w:t>
      </w:r>
      <w:r>
        <w:rPr>
          <w:spacing w:val="-3"/>
          <w:sz w:val="21"/>
        </w:rPr>
        <w:t>无机堵料、 阻火包或阻火模块中的某一种，允许与柔性有机堵料或泡沫封堵村料配合使用。</w:t>
      </w:r>
      <w:r>
        <w:rPr>
          <w:sz w:val="21"/>
        </w:rPr>
        <w:t> </w:t>
      </w:r>
    </w:p>
    <w:p>
      <w:pPr>
        <w:pStyle w:val="ListParagraph"/>
        <w:numPr>
          <w:ilvl w:val="4"/>
          <w:numId w:val="479"/>
        </w:numPr>
        <w:tabs>
          <w:tab w:pos="1893" w:val="left" w:leader="none"/>
        </w:tabs>
        <w:spacing w:line="446" w:lineRule="auto" w:before="0" w:after="0"/>
        <w:ind w:left="418" w:right="1508" w:firstLine="419"/>
        <w:jc w:val="left"/>
        <w:rPr>
          <w:sz w:val="21"/>
        </w:rPr>
      </w:pPr>
      <w:r>
        <w:rPr>
          <w:spacing w:val="-6"/>
          <w:sz w:val="21"/>
        </w:rPr>
        <w:t>对于柔性有机堵料或泡沫封堵材料，图 </w:t>
      </w:r>
      <w:r>
        <w:rPr>
          <w:sz w:val="21"/>
        </w:rPr>
        <w:t>A.1</w:t>
      </w:r>
      <w:r>
        <w:rPr>
          <w:spacing w:val="-8"/>
          <w:sz w:val="21"/>
        </w:rPr>
        <w:t> 中的封堵材料由预留矩形孔洞</w:t>
      </w:r>
      <w:r>
        <w:rPr>
          <w:spacing w:val="-3"/>
          <w:sz w:val="21"/>
        </w:rPr>
        <w:t>（</w:t>
      </w:r>
      <w:r>
        <w:rPr>
          <w:sz w:val="21"/>
        </w:rPr>
        <w:t>孔</w:t>
      </w:r>
      <w:r>
        <w:rPr>
          <w:spacing w:val="-2"/>
          <w:sz w:val="21"/>
        </w:rPr>
        <w:t>洞长度:</w:t>
      </w:r>
      <w:r>
        <w:rPr>
          <w:sz w:val="21"/>
        </w:rPr>
        <w:t> </w:t>
      </w:r>
    </w:p>
    <w:p>
      <w:pPr>
        <w:pStyle w:val="BodyText"/>
        <w:spacing w:line="446" w:lineRule="auto"/>
        <w:ind w:left="418" w:right="1611" w:firstLine="419"/>
      </w:pPr>
      <w:r>
        <w:rPr/>
        <w:t>510mm</w:t>
      </w:r>
      <w:r>
        <w:rPr>
          <w:spacing w:val="-1"/>
        </w:rPr>
        <w:t>,高度：</w:t>
      </w:r>
      <w:r>
        <w:rPr/>
        <w:t>110mm</w:t>
      </w:r>
      <w:r>
        <w:rPr>
          <w:spacing w:val="-16"/>
        </w:rPr>
        <w:t>)的 </w:t>
      </w:r>
      <w:r>
        <w:rPr/>
        <w:t>C30</w:t>
      </w:r>
      <w:r>
        <w:rPr>
          <w:spacing w:val="-11"/>
        </w:rPr>
        <w:t> 混凝土替代，预留矩形孔洞位于图 </w:t>
      </w:r>
      <w:r>
        <w:rPr/>
        <w:t>A.1</w:t>
      </w:r>
      <w:r>
        <w:rPr>
          <w:spacing w:val="-8"/>
        </w:rPr>
        <w:t> 中需要铺设电缆桥架、</w:t>
      </w:r>
      <w:r>
        <w:rPr>
          <w:spacing w:val="-7"/>
        </w:rPr>
        <w:t>电缆和钢管等贯穿物的位置。在预留矩形孔洞内按图 </w:t>
      </w:r>
      <w:r>
        <w:rPr/>
        <w:t>A. 2</w:t>
      </w:r>
      <w:r>
        <w:rPr>
          <w:spacing w:val="-9"/>
        </w:rPr>
        <w:t> 铺设电缆桥架、电缆和钢管等贯穿</w:t>
      </w:r>
      <w:r>
        <w:rPr>
          <w:spacing w:val="-5"/>
        </w:rPr>
        <w:t>物，采用柔性有机堵料或泡沫封堵材料堵塞孔洞内所有间隙。</w:t>
      </w:r>
      <w:r>
        <w:rPr/>
        <w:t> </w:t>
      </w:r>
    </w:p>
    <w:p>
      <w:pPr>
        <w:pStyle w:val="BodyText"/>
        <w:spacing w:line="268" w:lineRule="exact"/>
        <w:ind w:left="838"/>
      </w:pPr>
      <w:r>
        <w:rPr/>
        <w:t>注：柔性有机堵料或泡沫封堵材料的试件制作见图 A.2。 </w:t>
      </w:r>
    </w:p>
    <w:p>
      <w:pPr>
        <w:pStyle w:val="BodyText"/>
        <w:spacing w:before="9"/>
        <w:rPr>
          <w:sz w:val="17"/>
        </w:rPr>
      </w:pPr>
    </w:p>
    <w:p>
      <w:pPr>
        <w:pStyle w:val="ListParagraph"/>
        <w:numPr>
          <w:ilvl w:val="4"/>
          <w:numId w:val="479"/>
        </w:numPr>
        <w:tabs>
          <w:tab w:pos="1893" w:val="left" w:leader="none"/>
        </w:tabs>
        <w:spacing w:line="446" w:lineRule="auto" w:before="1" w:after="0"/>
        <w:ind w:left="418" w:right="1505" w:firstLine="419"/>
        <w:jc w:val="left"/>
        <w:rPr>
          <w:sz w:val="21"/>
        </w:rPr>
      </w:pPr>
      <w:r>
        <w:rPr>
          <w:spacing w:val="-7"/>
          <w:sz w:val="21"/>
        </w:rPr>
        <w:t>对于防火封堵板材，图 </w:t>
      </w:r>
      <w:r>
        <w:rPr>
          <w:sz w:val="21"/>
        </w:rPr>
        <w:t>A.1</w:t>
      </w:r>
      <w:r>
        <w:rPr>
          <w:spacing w:val="-8"/>
          <w:sz w:val="21"/>
        </w:rPr>
        <w:t> 中的防火封堵材料应采用受火面与背火面各设一块</w:t>
      </w:r>
      <w:r>
        <w:rPr>
          <w:spacing w:val="-5"/>
          <w:sz w:val="21"/>
        </w:rPr>
        <w:t>防火封堵板材，并允许在板材与框架及贯穿物结合处使用柔性有机堵料或泡沫封堵材料的安装方式。</w:t>
      </w:r>
      <w:r>
        <w:rPr>
          <w:sz w:val="21"/>
        </w:rPr>
        <w:t> </w:t>
      </w:r>
    </w:p>
    <w:p>
      <w:pPr>
        <w:pStyle w:val="ListParagraph"/>
        <w:numPr>
          <w:ilvl w:val="3"/>
          <w:numId w:val="479"/>
        </w:numPr>
        <w:tabs>
          <w:tab w:pos="1682" w:val="left" w:leader="none"/>
        </w:tabs>
        <w:spacing w:line="268" w:lineRule="exact" w:before="0" w:after="0"/>
        <w:ind w:left="1681" w:right="0" w:hanging="844"/>
        <w:jc w:val="left"/>
        <w:rPr>
          <w:sz w:val="21"/>
        </w:rPr>
      </w:pPr>
      <w:r>
        <w:rPr>
          <w:spacing w:val="-3"/>
          <w:sz w:val="21"/>
        </w:rPr>
        <w:t>缝隙用防火封堵材料试件</w:t>
      </w:r>
      <w:r>
        <w:rPr>
          <w:sz w:val="21"/>
        </w:rPr>
        <w:t> </w:t>
      </w:r>
    </w:p>
    <w:p>
      <w:pPr>
        <w:pStyle w:val="BodyText"/>
        <w:spacing w:before="1"/>
        <w:rPr>
          <w:sz w:val="18"/>
        </w:rPr>
      </w:pPr>
    </w:p>
    <w:p>
      <w:pPr>
        <w:pStyle w:val="BodyText"/>
        <w:spacing w:line="446" w:lineRule="auto"/>
        <w:ind w:left="418" w:right="1608" w:firstLine="419"/>
        <w:jc w:val="both"/>
      </w:pPr>
      <w:r>
        <w:rPr/>
        <w:t>6.16.4. 3.1 缝隙用防火封堵材料标准试件应包含混凝土框架、固定支架及结构缝隙用防火封堵材料等部分，试件应包括与防火封堵材料性能相适应的最大和最小两种固定缝隙宽度， 最大和最小两种缝隙宽度由委托方确定，必要时可包括可移动缝隙。标准试件的尺寸和详细制作要求见附录A 的 A.6。 </w:t>
      </w:r>
    </w:p>
    <w:p>
      <w:pPr>
        <w:spacing w:after="0" w:line="446" w:lineRule="auto"/>
        <w:jc w:val="both"/>
        <w:sectPr>
          <w:footerReference w:type="default" r:id="rId303"/>
          <w:pgSz w:w="11910" w:h="16850"/>
          <w:pgMar w:footer="1239" w:header="0" w:top="1220" w:bottom="1420" w:left="1260" w:right="0"/>
          <w:pgNumType w:start="1200"/>
        </w:sectPr>
      </w:pPr>
    </w:p>
    <w:p>
      <w:pPr>
        <w:pStyle w:val="BodyText"/>
        <w:spacing w:line="446" w:lineRule="auto" w:before="47"/>
        <w:ind w:left="418" w:right="1556" w:firstLine="419"/>
        <w:jc w:val="both"/>
      </w:pPr>
      <w:r>
        <w:rPr/>
        <w:t>6.16.4</w:t>
      </w:r>
      <w:r>
        <w:rPr>
          <w:spacing w:val="7"/>
        </w:rPr>
        <w:t>. </w:t>
      </w:r>
      <w:r>
        <w:rPr/>
        <w:t>3.2</w:t>
      </w:r>
      <w:r>
        <w:rPr>
          <w:spacing w:val="-3"/>
        </w:rPr>
        <w:t> 如果缝隙用防火封堵材料具有封堵变形缝隙的能力，对于允许缝隙在使用过</w:t>
      </w:r>
      <w:r>
        <w:rPr>
          <w:spacing w:val="-4"/>
        </w:rPr>
        <w:t>程中发生一定变形的缝隙封堵材料，在进行耐火性能试验前，缝隙应移动至其变形率为 </w:t>
      </w:r>
      <w:r>
        <w:rPr/>
        <w:t>100%时</w:t>
      </w:r>
      <w:r>
        <w:rPr>
          <w:spacing w:val="-3"/>
        </w:rPr>
        <w:t>的位置；对于允许缝隙在试验过程中发生一定变形的缝隙封堵材料，在试验过程中其缝隙应由</w:t>
      </w:r>
      <w:r>
        <w:rPr>
          <w:spacing w:val="-8"/>
        </w:rPr>
        <w:t>其允许变形率的 </w:t>
      </w:r>
      <w:r>
        <w:rPr/>
        <w:t>20</w:t>
      </w:r>
      <w:r>
        <w:rPr>
          <w:spacing w:val="-6"/>
        </w:rPr>
        <w:t>%逐渐移动至其允许变形率的 </w:t>
      </w:r>
      <w:r>
        <w:rPr/>
        <w:t>100%，</w:t>
      </w:r>
      <w:r>
        <w:rPr>
          <w:spacing w:val="-3"/>
        </w:rPr>
        <w:t>缝隙移动的时间必须控制在耐火试验开</w:t>
      </w:r>
      <w:r>
        <w:rPr>
          <w:spacing w:val="-13"/>
        </w:rPr>
        <w:t>始后的前 </w:t>
      </w:r>
      <w:r>
        <w:rPr/>
        <w:t>60min</w:t>
      </w:r>
      <w:r>
        <w:rPr>
          <w:spacing w:val="-16"/>
        </w:rPr>
        <w:t> 以内。</w:t>
      </w:r>
      <w:r>
        <w:rPr/>
        <w:t> </w:t>
      </w:r>
    </w:p>
    <w:p>
      <w:pPr>
        <w:pStyle w:val="ListParagraph"/>
        <w:numPr>
          <w:ilvl w:val="3"/>
          <w:numId w:val="479"/>
        </w:numPr>
        <w:tabs>
          <w:tab w:pos="1682" w:val="left" w:leader="none"/>
        </w:tabs>
        <w:spacing w:line="266" w:lineRule="exact" w:before="0" w:after="0"/>
        <w:ind w:left="1681" w:right="0" w:hanging="844"/>
        <w:jc w:val="left"/>
        <w:rPr>
          <w:sz w:val="21"/>
        </w:rPr>
      </w:pPr>
      <w:r>
        <w:rPr>
          <w:spacing w:val="-3"/>
          <w:sz w:val="21"/>
        </w:rPr>
        <w:t>塑料管道用防火封堵材料和防火封堵组件试件</w:t>
      </w:r>
      <w:r>
        <w:rPr>
          <w:sz w:val="21"/>
        </w:rPr>
        <w:t> </w:t>
      </w:r>
    </w:p>
    <w:p>
      <w:pPr>
        <w:pStyle w:val="BodyText"/>
        <w:spacing w:before="2"/>
        <w:rPr>
          <w:sz w:val="18"/>
        </w:rPr>
      </w:pPr>
    </w:p>
    <w:p>
      <w:pPr>
        <w:pStyle w:val="ListParagraph"/>
        <w:numPr>
          <w:ilvl w:val="4"/>
          <w:numId w:val="479"/>
        </w:numPr>
        <w:tabs>
          <w:tab w:pos="1893" w:val="left" w:leader="none"/>
        </w:tabs>
        <w:spacing w:line="446" w:lineRule="auto" w:before="0" w:after="0"/>
        <w:ind w:left="418" w:right="1508" w:firstLine="419"/>
        <w:jc w:val="left"/>
        <w:rPr>
          <w:sz w:val="21"/>
        </w:rPr>
      </w:pPr>
      <w:r>
        <w:rPr>
          <w:spacing w:val="-3"/>
          <w:sz w:val="21"/>
        </w:rPr>
        <w:t>塑料管道用防火封堵材料标准试件应包含混凝土框架、塑料管、支架及塑料管</w:t>
      </w:r>
      <w:r>
        <w:rPr>
          <w:spacing w:val="-5"/>
          <w:sz w:val="21"/>
        </w:rPr>
        <w:t>道用防火封堵材料等部分，标准试件的尺寸和详细制作要求见附录 </w:t>
      </w:r>
      <w:r>
        <w:rPr>
          <w:sz w:val="21"/>
        </w:rPr>
        <w:t>A</w:t>
      </w:r>
      <w:r>
        <w:rPr>
          <w:spacing w:val="-36"/>
          <w:sz w:val="21"/>
        </w:rPr>
        <w:t> 的 </w:t>
      </w:r>
      <w:r>
        <w:rPr>
          <w:sz w:val="21"/>
        </w:rPr>
        <w:t>A.3。 </w:t>
      </w:r>
    </w:p>
    <w:p>
      <w:pPr>
        <w:pStyle w:val="ListParagraph"/>
        <w:numPr>
          <w:ilvl w:val="4"/>
          <w:numId w:val="479"/>
        </w:numPr>
        <w:tabs>
          <w:tab w:pos="1893" w:val="left" w:leader="none"/>
        </w:tabs>
        <w:spacing w:line="446" w:lineRule="auto" w:before="0" w:after="0"/>
        <w:ind w:left="418" w:right="1505" w:firstLine="419"/>
        <w:jc w:val="left"/>
        <w:rPr>
          <w:sz w:val="21"/>
        </w:rPr>
      </w:pPr>
      <w:r>
        <w:rPr>
          <w:spacing w:val="-3"/>
          <w:sz w:val="21"/>
        </w:rPr>
        <w:t>防火封堵组件标准试件应包含混凝土框架、贯穿物、支架、防火封堵材料和耐</w:t>
      </w:r>
      <w:r>
        <w:rPr>
          <w:spacing w:val="-5"/>
          <w:sz w:val="21"/>
        </w:rPr>
        <w:t>火隔热材料等部分，标准试件的尺寸和详细制作要求见附录 </w:t>
      </w:r>
      <w:r>
        <w:rPr>
          <w:sz w:val="21"/>
        </w:rPr>
        <w:t>A</w:t>
      </w:r>
      <w:r>
        <w:rPr>
          <w:spacing w:val="-36"/>
          <w:sz w:val="21"/>
        </w:rPr>
        <w:t> 的 </w:t>
      </w:r>
      <w:r>
        <w:rPr>
          <w:sz w:val="21"/>
        </w:rPr>
        <w:t>A.9</w:t>
      </w:r>
      <w:r>
        <w:rPr>
          <w:spacing w:val="-3"/>
          <w:sz w:val="21"/>
        </w:rPr>
        <w:t>。</w:t>
      </w:r>
      <w:r>
        <w:rPr>
          <w:sz w:val="21"/>
        </w:rPr>
        <w:t> </w:t>
      </w:r>
    </w:p>
    <w:p>
      <w:pPr>
        <w:spacing w:before="0"/>
        <w:ind w:left="840" w:right="0" w:firstLine="0"/>
        <w:jc w:val="left"/>
        <w:rPr>
          <w:sz w:val="21"/>
        </w:rPr>
      </w:pPr>
      <w:r>
        <w:rPr>
          <w:b/>
          <w:sz w:val="21"/>
        </w:rPr>
        <w:t>6.16.5</w:t>
      </w:r>
      <w:r>
        <w:rPr>
          <w:b/>
          <w:spacing w:val="5"/>
          <w:sz w:val="21"/>
        </w:rPr>
        <w:t> </w:t>
      </w:r>
      <w:r>
        <w:rPr>
          <w:spacing w:val="-3"/>
          <w:sz w:val="21"/>
        </w:rPr>
        <w:t>状态调节</w:t>
      </w:r>
      <w:r>
        <w:rPr>
          <w:sz w:val="21"/>
        </w:rPr>
        <w:t> </w:t>
      </w:r>
    </w:p>
    <w:p>
      <w:pPr>
        <w:pStyle w:val="BodyText"/>
        <w:spacing w:before="10"/>
        <w:rPr>
          <w:sz w:val="17"/>
        </w:rPr>
      </w:pPr>
    </w:p>
    <w:p>
      <w:pPr>
        <w:pStyle w:val="BodyText"/>
        <w:spacing w:line="446" w:lineRule="auto" w:before="1"/>
        <w:ind w:left="840" w:right="1714" w:hanging="3"/>
      </w:pPr>
      <w:r>
        <w:rPr>
          <w:spacing w:val="-3"/>
        </w:rPr>
        <w:t>试件制作后应按产品使用说明的规定进行养护，待试件养护期满后方能进行耐火试验。</w:t>
      </w:r>
      <w:r>
        <w:rPr>
          <w:b/>
        </w:rPr>
        <w:t>6.16.6</w:t>
      </w:r>
      <w:r>
        <w:rPr>
          <w:b/>
          <w:spacing w:val="-1"/>
        </w:rPr>
        <w:t> </w:t>
      </w:r>
      <w:r>
        <w:rPr>
          <w:spacing w:val="-3"/>
        </w:rPr>
        <w:t>试验程序</w:t>
      </w:r>
      <w:r>
        <w:rPr/>
        <w:t> </w:t>
      </w:r>
    </w:p>
    <w:p>
      <w:pPr>
        <w:pStyle w:val="ListParagraph"/>
        <w:numPr>
          <w:ilvl w:val="3"/>
          <w:numId w:val="480"/>
        </w:numPr>
        <w:tabs>
          <w:tab w:pos="1682" w:val="left" w:leader="none"/>
        </w:tabs>
        <w:spacing w:line="240" w:lineRule="auto" w:before="0" w:after="0"/>
        <w:ind w:left="1681" w:right="0" w:hanging="844"/>
        <w:jc w:val="left"/>
        <w:rPr>
          <w:sz w:val="21"/>
        </w:rPr>
      </w:pPr>
      <w:r>
        <w:rPr>
          <w:spacing w:val="-3"/>
          <w:sz w:val="21"/>
        </w:rPr>
        <w:t>试件的安装 </w:t>
      </w:r>
    </w:p>
    <w:p>
      <w:pPr>
        <w:pStyle w:val="BodyText"/>
        <w:spacing w:before="12"/>
        <w:rPr>
          <w:sz w:val="17"/>
        </w:rPr>
      </w:pPr>
    </w:p>
    <w:p>
      <w:pPr>
        <w:pStyle w:val="BodyText"/>
        <w:spacing w:line="446" w:lineRule="auto"/>
        <w:ind w:left="418" w:right="1608" w:firstLine="419"/>
        <w:jc w:val="both"/>
      </w:pPr>
      <w:r>
        <w:rPr/>
        <w:t>试件安装应反映实际使用情况，根据测试要求将试件垂直或水平安装于燃烧试验炉上进行试验。在背火面的防火封堵材料、贯穿物及框架上布置热电偶以测量背火面温升情况。贯穿物的悬臂端应采用有效的支承(托架）。 </w:t>
      </w:r>
    </w:p>
    <w:p>
      <w:pPr>
        <w:pStyle w:val="ListParagraph"/>
        <w:numPr>
          <w:ilvl w:val="3"/>
          <w:numId w:val="480"/>
        </w:numPr>
        <w:tabs>
          <w:tab w:pos="1682" w:val="left" w:leader="none"/>
        </w:tabs>
        <w:spacing w:line="268" w:lineRule="exact" w:before="0" w:after="0"/>
        <w:ind w:left="1681" w:right="0" w:hanging="844"/>
        <w:jc w:val="left"/>
        <w:rPr>
          <w:sz w:val="21"/>
        </w:rPr>
      </w:pPr>
      <w:r>
        <w:rPr>
          <w:spacing w:val="-3"/>
          <w:sz w:val="21"/>
        </w:rPr>
        <w:t>测量与观察 </w:t>
      </w:r>
    </w:p>
    <w:p>
      <w:pPr>
        <w:pStyle w:val="BodyText"/>
        <w:spacing w:before="2"/>
        <w:rPr>
          <w:sz w:val="18"/>
        </w:rPr>
      </w:pPr>
    </w:p>
    <w:p>
      <w:pPr>
        <w:pStyle w:val="BodyText"/>
        <w:spacing w:line="446" w:lineRule="auto"/>
        <w:ind w:left="418" w:right="1611" w:firstLine="419"/>
      </w:pPr>
      <w:r>
        <w:rPr>
          <w:spacing w:val="-7"/>
        </w:rPr>
        <w:t>炉内温度测量用热电偶应符合 </w:t>
      </w:r>
      <w:r>
        <w:rPr/>
        <w:t>GB/T 9978.1</w:t>
      </w:r>
      <w:r>
        <w:rPr>
          <w:spacing w:val="-11"/>
        </w:rPr>
        <w:t> 的规定，热电偶的设置应不少于 </w:t>
      </w:r>
      <w:r>
        <w:rPr/>
        <w:t>5</w:t>
      </w:r>
      <w:r>
        <w:rPr>
          <w:spacing w:val="-10"/>
        </w:rPr>
        <w:t> 支，温度记</w:t>
      </w:r>
      <w:r>
        <w:rPr>
          <w:spacing w:val="-12"/>
        </w:rPr>
        <w:t>录周期不大于 </w:t>
      </w:r>
      <w:r>
        <w:rPr/>
        <w:t>30s</w:t>
      </w:r>
      <w:r>
        <w:rPr>
          <w:spacing w:val="-3"/>
        </w:rPr>
        <w:t>。</w:t>
      </w:r>
      <w:r>
        <w:rPr/>
        <w:t> </w:t>
      </w:r>
    </w:p>
    <w:p>
      <w:pPr>
        <w:pStyle w:val="ListParagraph"/>
        <w:numPr>
          <w:ilvl w:val="0"/>
          <w:numId w:val="481"/>
        </w:numPr>
        <w:tabs>
          <w:tab w:pos="1051" w:val="left" w:leader="none"/>
        </w:tabs>
        <w:spacing w:line="267" w:lineRule="exact" w:before="0" w:after="0"/>
        <w:ind w:left="1050" w:right="0" w:hanging="213"/>
        <w:jc w:val="left"/>
        <w:rPr>
          <w:b/>
          <w:sz w:val="21"/>
        </w:rPr>
      </w:pPr>
      <w:r>
        <w:rPr>
          <w:spacing w:val="-3"/>
          <w:sz w:val="21"/>
        </w:rPr>
        <w:t>试件背火面温度</w:t>
      </w:r>
      <w:r>
        <w:rPr>
          <w:b/>
          <w:w w:val="99"/>
          <w:sz w:val="21"/>
        </w:rPr>
        <w:t> </w:t>
      </w:r>
    </w:p>
    <w:p>
      <w:pPr>
        <w:pStyle w:val="BodyText"/>
        <w:spacing w:before="2"/>
        <w:rPr>
          <w:b/>
          <w:sz w:val="18"/>
        </w:rPr>
      </w:pPr>
    </w:p>
    <w:p>
      <w:pPr>
        <w:pStyle w:val="BodyText"/>
        <w:spacing w:line="446" w:lineRule="auto"/>
        <w:ind w:left="418" w:right="1505" w:firstLine="419"/>
      </w:pPr>
      <w:r>
        <w:rPr>
          <w:spacing w:val="-5"/>
        </w:rPr>
        <w:t>测量并观察背火面封堵材料表面的温度、距封堵材料背火面 </w:t>
      </w:r>
      <w:r>
        <w:rPr/>
        <w:t>25mm</w:t>
      </w:r>
      <w:r>
        <w:rPr>
          <w:spacing w:val="-7"/>
        </w:rPr>
        <w:t> 处电缆表面的温度、距封</w:t>
      </w:r>
      <w:r>
        <w:rPr>
          <w:spacing w:val="-12"/>
        </w:rPr>
        <w:t>堵材料背火面 </w:t>
      </w:r>
      <w:r>
        <w:rPr/>
        <w:t>25mm</w:t>
      </w:r>
      <w:r>
        <w:rPr>
          <w:spacing w:val="-11"/>
        </w:rPr>
        <w:t> 处穿管表面的温度、距封堵材料背火面 </w:t>
      </w:r>
      <w:r>
        <w:rPr/>
        <w:t>25mm</w:t>
      </w:r>
      <w:r>
        <w:rPr>
          <w:spacing w:val="-8"/>
        </w:rPr>
        <w:t> 处框架表面的温度。</w:t>
      </w:r>
      <w:r>
        <w:rPr/>
        <w:t> </w:t>
      </w:r>
    </w:p>
    <w:p>
      <w:pPr>
        <w:pStyle w:val="ListParagraph"/>
        <w:numPr>
          <w:ilvl w:val="0"/>
          <w:numId w:val="481"/>
        </w:numPr>
        <w:tabs>
          <w:tab w:pos="1051" w:val="left" w:leader="none"/>
        </w:tabs>
        <w:spacing w:line="267" w:lineRule="exact" w:before="0" w:after="0"/>
        <w:ind w:left="1050" w:right="0" w:hanging="213"/>
        <w:jc w:val="left"/>
        <w:rPr>
          <w:b/>
          <w:sz w:val="21"/>
        </w:rPr>
      </w:pPr>
      <w:r>
        <w:rPr>
          <w:spacing w:val="-3"/>
          <w:sz w:val="21"/>
        </w:rPr>
        <w:t>完整性</w:t>
      </w:r>
      <w:r>
        <w:rPr>
          <w:b/>
          <w:w w:val="99"/>
          <w:sz w:val="21"/>
        </w:rPr>
        <w:t> </w:t>
      </w:r>
    </w:p>
    <w:p>
      <w:pPr>
        <w:pStyle w:val="BodyText"/>
        <w:spacing w:before="2"/>
        <w:rPr>
          <w:b/>
          <w:sz w:val="18"/>
        </w:rPr>
      </w:pPr>
    </w:p>
    <w:p>
      <w:pPr>
        <w:pStyle w:val="BodyText"/>
        <w:spacing w:line="446" w:lineRule="auto"/>
        <w:ind w:left="418" w:right="1609" w:firstLine="419"/>
      </w:pPr>
      <w:r>
        <w:rPr/>
        <w:t>测量并观察试件背火面是否有火焰或热气流穿出点燃棉垫，以及试件背火面是否出现连续火焰达 10s 以上。棉垫的要求与使用应符合 GB/T 9978.1 的规定。 </w:t>
      </w:r>
    </w:p>
    <w:p>
      <w:pPr>
        <w:pStyle w:val="ListParagraph"/>
        <w:numPr>
          <w:ilvl w:val="0"/>
          <w:numId w:val="481"/>
        </w:numPr>
        <w:tabs>
          <w:tab w:pos="1051" w:val="left" w:leader="none"/>
        </w:tabs>
        <w:spacing w:line="267" w:lineRule="exact" w:before="0" w:after="0"/>
        <w:ind w:left="1050" w:right="0" w:hanging="213"/>
        <w:jc w:val="left"/>
        <w:rPr>
          <w:b/>
          <w:sz w:val="21"/>
        </w:rPr>
      </w:pPr>
      <w:r>
        <w:rPr>
          <w:spacing w:val="-3"/>
          <w:sz w:val="21"/>
        </w:rPr>
        <w:t>隔热性</w:t>
      </w:r>
      <w:r>
        <w:rPr>
          <w:b/>
          <w:w w:val="99"/>
          <w:sz w:val="21"/>
        </w:rPr>
        <w:t>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391" w:firstLine="419"/>
      </w:pPr>
      <w:r>
        <w:rPr/>
        <w:t>测量并记录背火面所有测温点包括移动热电偶的温升，以及任一测温点温升达到 180℃的时间。 </w:t>
      </w:r>
    </w:p>
    <w:p>
      <w:pPr>
        <w:pStyle w:val="ListParagraph"/>
        <w:numPr>
          <w:ilvl w:val="2"/>
          <w:numId w:val="482"/>
        </w:numPr>
        <w:tabs>
          <w:tab w:pos="1478" w:val="left" w:leader="none"/>
        </w:tabs>
        <w:spacing w:line="267" w:lineRule="exact" w:before="0" w:after="0"/>
        <w:ind w:left="1477" w:right="0" w:hanging="638"/>
        <w:jc w:val="left"/>
        <w:rPr>
          <w:sz w:val="21"/>
        </w:rPr>
      </w:pPr>
      <w:r>
        <w:rPr>
          <w:spacing w:val="-3"/>
          <w:sz w:val="21"/>
        </w:rPr>
        <w:t>耐火极限判定准则</w:t>
      </w:r>
      <w:r>
        <w:rPr>
          <w:sz w:val="21"/>
        </w:rPr>
        <w:t> </w:t>
      </w:r>
    </w:p>
    <w:p>
      <w:pPr>
        <w:pStyle w:val="BodyText"/>
        <w:spacing w:before="2"/>
        <w:rPr>
          <w:sz w:val="18"/>
        </w:rPr>
      </w:pPr>
    </w:p>
    <w:p>
      <w:pPr>
        <w:pStyle w:val="ListParagraph"/>
        <w:numPr>
          <w:ilvl w:val="3"/>
          <w:numId w:val="482"/>
        </w:numPr>
        <w:tabs>
          <w:tab w:pos="1682" w:val="left" w:leader="none"/>
        </w:tabs>
        <w:spacing w:line="240" w:lineRule="auto" w:before="0" w:after="0"/>
        <w:ind w:left="1681" w:right="0" w:hanging="844"/>
        <w:jc w:val="left"/>
        <w:rPr>
          <w:sz w:val="21"/>
        </w:rPr>
      </w:pPr>
      <w:r>
        <w:rPr>
          <w:spacing w:val="-3"/>
          <w:sz w:val="21"/>
        </w:rPr>
        <w:t>耐火极性判定 </w:t>
      </w:r>
    </w:p>
    <w:p>
      <w:pPr>
        <w:pStyle w:val="BodyText"/>
        <w:rPr>
          <w:sz w:val="18"/>
        </w:rPr>
      </w:pPr>
    </w:p>
    <w:p>
      <w:pPr>
        <w:pStyle w:val="BodyText"/>
        <w:spacing w:line="446" w:lineRule="auto"/>
        <w:ind w:left="418" w:right="1611" w:firstLine="419"/>
        <w:jc w:val="both"/>
      </w:pPr>
      <w:r>
        <w:rPr>
          <w:spacing w:val="-10"/>
        </w:rPr>
        <w:t>试验中出现 </w:t>
      </w:r>
      <w:r>
        <w:rPr/>
        <w:t>6.16.7.2</w:t>
      </w:r>
      <w:r>
        <w:rPr>
          <w:spacing w:val="-31"/>
        </w:rPr>
        <w:t> 和 </w:t>
      </w:r>
      <w:r>
        <w:rPr/>
        <w:t>6.16.7.3</w:t>
      </w:r>
      <w:r>
        <w:rPr>
          <w:spacing w:val="-9"/>
        </w:rPr>
        <w:t> 中规定的完整性丧失或失去隔热性的任何一项时，即表</w:t>
      </w:r>
      <w:r>
        <w:rPr>
          <w:spacing w:val="-5"/>
        </w:rPr>
        <w:t>明该防火封堵材料的完整性或隔热性已达到极限状态，所记录的时间即为该防火封堵材料的完</w:t>
      </w:r>
      <w:r>
        <w:rPr>
          <w:spacing w:val="-3"/>
        </w:rPr>
        <w:t>整性丧失或失去隔热性的极限耐火时间。</w:t>
      </w:r>
      <w:r>
        <w:rPr/>
        <w:t> </w:t>
      </w:r>
    </w:p>
    <w:p>
      <w:pPr>
        <w:pStyle w:val="ListParagraph"/>
        <w:numPr>
          <w:ilvl w:val="3"/>
          <w:numId w:val="482"/>
        </w:numPr>
        <w:tabs>
          <w:tab w:pos="1682" w:val="left" w:leader="none"/>
        </w:tabs>
        <w:spacing w:line="268" w:lineRule="exact" w:before="0" w:after="0"/>
        <w:ind w:left="1681" w:right="0" w:hanging="844"/>
        <w:jc w:val="left"/>
        <w:rPr>
          <w:sz w:val="21"/>
        </w:rPr>
      </w:pPr>
      <w:r>
        <w:rPr>
          <w:spacing w:val="-3"/>
          <w:sz w:val="21"/>
        </w:rPr>
        <w:t>完整性丧失 </w:t>
      </w:r>
    </w:p>
    <w:p>
      <w:pPr>
        <w:pStyle w:val="BodyText"/>
        <w:spacing w:before="12"/>
        <w:rPr>
          <w:sz w:val="17"/>
        </w:rPr>
      </w:pPr>
    </w:p>
    <w:p>
      <w:pPr>
        <w:pStyle w:val="BodyText"/>
        <w:spacing w:line="446" w:lineRule="auto"/>
        <w:ind w:left="838" w:right="4501"/>
      </w:pPr>
      <w:r>
        <w:rPr/>
        <w:t>完整性丧失的特征是，在试件的背火面有如下现象出现： a) 点燃棉垫； </w:t>
      </w:r>
    </w:p>
    <w:p>
      <w:pPr>
        <w:pStyle w:val="BodyText"/>
        <w:spacing w:line="446" w:lineRule="auto"/>
        <w:ind w:left="838" w:right="6969"/>
      </w:pPr>
      <w:r>
        <w:rPr/>
        <w:t>b) 有连续 10s 的火焰穿出。6.16.7.3 失去隔热性 </w:t>
      </w:r>
    </w:p>
    <w:p>
      <w:pPr>
        <w:pStyle w:val="BodyText"/>
        <w:spacing w:line="446" w:lineRule="auto"/>
        <w:ind w:left="838" w:right="4501"/>
        <w:rPr>
          <w:b/>
        </w:rPr>
      </w:pPr>
      <w:r>
        <w:rPr/>
        <w:t>隔热性丧失的特征是，在试件的背火面有如下现象出现： a) 被检试样背火面任何一点温升达到 180°C；</w:t>
      </w:r>
      <w:r>
        <w:rPr>
          <w:b/>
          <w:w w:val="99"/>
        </w:rPr>
        <w:t> </w:t>
      </w:r>
    </w:p>
    <w:p>
      <w:pPr>
        <w:pStyle w:val="ListParagraph"/>
        <w:numPr>
          <w:ilvl w:val="0"/>
          <w:numId w:val="483"/>
        </w:numPr>
        <w:tabs>
          <w:tab w:pos="1051" w:val="left" w:leader="none"/>
        </w:tabs>
        <w:spacing w:line="267" w:lineRule="exact" w:before="0" w:after="0"/>
        <w:ind w:left="1050" w:right="0" w:hanging="213"/>
        <w:jc w:val="left"/>
        <w:rPr>
          <w:b/>
          <w:sz w:val="21"/>
        </w:rPr>
      </w:pPr>
      <w:r>
        <w:rPr>
          <w:spacing w:val="-7"/>
          <w:sz w:val="21"/>
        </w:rPr>
        <w:t>任何贯穿物背火端距封堵材料 </w:t>
      </w:r>
      <w:r>
        <w:rPr>
          <w:sz w:val="21"/>
        </w:rPr>
        <w:t>25mm</w:t>
      </w:r>
      <w:r>
        <w:rPr>
          <w:spacing w:val="-15"/>
          <w:sz w:val="21"/>
        </w:rPr>
        <w:t> 处表面温升达到 </w:t>
      </w:r>
      <w:r>
        <w:rPr>
          <w:sz w:val="21"/>
        </w:rPr>
        <w:t>180°C</w:t>
      </w:r>
      <w:r>
        <w:rPr>
          <w:spacing w:val="-1"/>
          <w:sz w:val="21"/>
        </w:rPr>
        <w:t> ；</w:t>
      </w:r>
      <w:r>
        <w:rPr>
          <w:b/>
          <w:w w:val="99"/>
          <w:sz w:val="21"/>
        </w:rPr>
        <w:t> </w:t>
      </w:r>
    </w:p>
    <w:p>
      <w:pPr>
        <w:pStyle w:val="BodyText"/>
        <w:spacing w:before="2"/>
        <w:rPr>
          <w:b/>
          <w:sz w:val="18"/>
        </w:rPr>
      </w:pPr>
    </w:p>
    <w:p>
      <w:pPr>
        <w:pStyle w:val="ListParagraph"/>
        <w:numPr>
          <w:ilvl w:val="0"/>
          <w:numId w:val="483"/>
        </w:numPr>
        <w:tabs>
          <w:tab w:pos="1051" w:val="left" w:leader="none"/>
        </w:tabs>
        <w:spacing w:line="446" w:lineRule="auto" w:before="0" w:after="0"/>
        <w:ind w:left="840" w:right="5235" w:hanging="3"/>
        <w:jc w:val="left"/>
        <w:rPr>
          <w:sz w:val="21"/>
        </w:rPr>
      </w:pPr>
      <w:r>
        <w:rPr>
          <w:spacing w:val="-6"/>
          <w:sz w:val="21"/>
        </w:rPr>
        <w:t>背火面框架表面任何一点温升达到 </w:t>
      </w:r>
      <w:r>
        <w:rPr>
          <w:sz w:val="21"/>
        </w:rPr>
        <w:t>180°C</w:t>
      </w:r>
      <w:r>
        <w:rPr>
          <w:spacing w:val="-3"/>
          <w:sz w:val="21"/>
        </w:rPr>
        <w:t>。</w:t>
      </w:r>
      <w:r>
        <w:rPr>
          <w:b/>
          <w:sz w:val="21"/>
        </w:rPr>
        <w:t>6.16.8 </w:t>
      </w:r>
      <w:r>
        <w:rPr>
          <w:spacing w:val="-3"/>
          <w:sz w:val="21"/>
        </w:rPr>
        <w:t>耐火性能的表示</w:t>
      </w:r>
      <w:r>
        <w:rPr>
          <w:sz w:val="21"/>
        </w:rPr>
        <w:t> </w:t>
      </w:r>
    </w:p>
    <w:p>
      <w:pPr>
        <w:pStyle w:val="BodyText"/>
        <w:spacing w:line="446" w:lineRule="auto"/>
        <w:ind w:left="840" w:right="3239" w:hanging="3"/>
      </w:pPr>
      <w:r>
        <w:rPr/>
        <w:t>以试件的极限耐火时间表示防火封堵材料的耐火性能，精确至 0.01h。</w:t>
      </w:r>
      <w:r>
        <w:rPr>
          <w:b/>
        </w:rPr>
        <w:t>6.16.9 </w:t>
      </w:r>
      <w:r>
        <w:rPr/>
        <w:t>耐火极限的修正 </w:t>
      </w:r>
    </w:p>
    <w:p>
      <w:pPr>
        <w:pStyle w:val="BodyText"/>
        <w:spacing w:line="446" w:lineRule="auto" w:after="8"/>
        <w:ind w:left="418" w:right="1506" w:firstLine="419"/>
      </w:pPr>
      <w:r>
        <w:rPr>
          <w:spacing w:val="-3"/>
        </w:rPr>
        <w:t>如果试验过程中因异常情况炉内温度超过规定的允许偏差，应根据炉内的升温情况对实际</w:t>
      </w:r>
      <w:r>
        <w:rPr>
          <w:spacing w:val="-5"/>
        </w:rPr>
        <w:t>耐火时间进行修正。其修正值为实际耐火时间的前 </w:t>
      </w:r>
      <w:r>
        <w:rPr/>
        <w:t>3/4</w:t>
      </w:r>
      <w:r>
        <w:rPr>
          <w:spacing w:val="-8"/>
        </w:rPr>
        <w:t> 时间内的实际炉温曲线与相应时间的标</w:t>
      </w:r>
      <w:r>
        <w:rPr>
          <w:spacing w:val="-9"/>
        </w:rPr>
        <w:t>准温度曲线的面积差的 </w:t>
      </w:r>
      <w:r>
        <w:rPr/>
        <w:t>2/3</w:t>
      </w:r>
      <w:r>
        <w:rPr>
          <w:spacing w:val="-10"/>
        </w:rPr>
        <w:t> 乘以实际耐火时间，它们的积除以实际耐火时间的前 </w:t>
      </w:r>
      <w:r>
        <w:rPr/>
        <w:t>3/4</w:t>
      </w:r>
      <w:r>
        <w:rPr>
          <w:spacing w:val="-12"/>
        </w:rPr>
        <w:t> 时间内的</w:t>
      </w:r>
      <w:r>
        <w:rPr>
          <w:spacing w:val="-3"/>
        </w:rPr>
        <w:t>标准温度曲线下的面 积。如果实际炉温超过标准炉温，调整时间为增加，反之减少。修正公式如下：</w:t>
      </w:r>
      <w:r>
        <w:rPr/>
        <w:t> </w:t>
      </w:r>
    </w:p>
    <w:p>
      <w:pPr>
        <w:pStyle w:val="BodyText"/>
        <w:ind w:left="838"/>
        <w:rPr>
          <w:sz w:val="20"/>
        </w:rPr>
      </w:pPr>
      <w:r>
        <w:rPr>
          <w:sz w:val="20"/>
        </w:rPr>
        <w:drawing>
          <wp:inline distT="0" distB="0" distL="0" distR="0">
            <wp:extent cx="4705350" cy="352425"/>
            <wp:effectExtent l="0" t="0" r="0" b="0"/>
            <wp:docPr id="425" name="image250.png"/>
            <wp:cNvGraphicFramePr>
              <a:graphicFrameLocks noChangeAspect="1"/>
            </wp:cNvGraphicFramePr>
            <a:graphic>
              <a:graphicData uri="http://schemas.openxmlformats.org/drawingml/2006/picture">
                <pic:pic>
                  <pic:nvPicPr>
                    <pic:cNvPr id="426" name="image250.png"/>
                    <pic:cNvPicPr/>
                  </pic:nvPicPr>
                  <pic:blipFill>
                    <a:blip r:embed="rId304" cstate="print"/>
                    <a:stretch>
                      <a:fillRect/>
                    </a:stretch>
                  </pic:blipFill>
                  <pic:spPr>
                    <a:xfrm>
                      <a:off x="0" y="0"/>
                      <a:ext cx="4705350" cy="352425"/>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71"/>
        <w:ind w:left="838"/>
      </w:pPr>
      <w:r>
        <w:rPr>
          <w:spacing w:val="34"/>
        </w:rPr>
        <w:t>式中 </w:t>
      </w:r>
      <w:r>
        <w:rPr>
          <w:i/>
          <w:sz w:val="22"/>
        </w:rPr>
        <w:t>C</w:t>
      </w:r>
      <w:r>
        <w:rPr/>
        <w:t>——</w:t>
      </w:r>
      <w:r>
        <w:rPr>
          <w:i/>
          <w:sz w:val="22"/>
        </w:rPr>
        <w:t>I</w:t>
      </w:r>
      <w:r>
        <w:rPr>
          <w:i/>
          <w:spacing w:val="-60"/>
          <w:sz w:val="22"/>
        </w:rPr>
        <w:t> </w:t>
      </w:r>
      <w:r>
        <w:rPr>
          <w:spacing w:val="-3"/>
        </w:rPr>
        <w:t>的等时段修正值，单位为分(</w:t>
      </w:r>
      <w:r>
        <w:rPr/>
        <w:t>min);； </w:t>
      </w:r>
    </w:p>
    <w:p>
      <w:pPr>
        <w:pStyle w:val="BodyText"/>
        <w:spacing w:before="12"/>
        <w:rPr>
          <w:sz w:val="16"/>
        </w:rPr>
      </w:pPr>
    </w:p>
    <w:p>
      <w:pPr>
        <w:pStyle w:val="BodyText"/>
        <w:ind w:left="838"/>
      </w:pPr>
      <w:r>
        <w:rPr>
          <w:w w:val="100"/>
        </w:rPr>
        <w:t> </w:t>
      </w:r>
      <w:r>
        <w:rPr/>
        <w:t> </w:t>
      </w:r>
      <w:r>
        <w:rPr>
          <w:w w:val="100"/>
        </w:rPr>
        <w:t>    </w:t>
      </w:r>
      <w:r>
        <w:rPr>
          <w:i/>
          <w:sz w:val="22"/>
        </w:rPr>
        <w:t>I</w:t>
      </w:r>
      <w:r>
        <w:rPr/>
        <w:t>——实际耐火时间，单位为分(min)； </w:t>
      </w:r>
    </w:p>
    <w:p>
      <w:pPr>
        <w:spacing w:after="0"/>
        <w:sectPr>
          <w:pgSz w:w="11910" w:h="16850"/>
          <w:pgMar w:header="0" w:footer="1239" w:top="1220" w:bottom="1420" w:left="1260" w:right="0"/>
        </w:sectPr>
      </w:pPr>
    </w:p>
    <w:p>
      <w:pPr>
        <w:pStyle w:val="BodyText"/>
        <w:spacing w:before="57"/>
        <w:ind w:left="1469"/>
      </w:pPr>
      <w:r>
        <w:rPr>
          <w:i/>
          <w:sz w:val="22"/>
        </w:rPr>
        <w:t>A</w:t>
      </w:r>
      <w:r>
        <w:rPr>
          <w:spacing w:val="-14"/>
        </w:rPr>
        <w:t>——前 </w:t>
      </w:r>
      <w:r>
        <w:rPr/>
        <w:t>3/4</w:t>
      </w:r>
      <w:r>
        <w:rPr>
          <w:i/>
          <w:sz w:val="22"/>
        </w:rPr>
        <w:t>I</w:t>
      </w:r>
      <w:r>
        <w:rPr>
          <w:i/>
          <w:spacing w:val="-58"/>
          <w:sz w:val="22"/>
        </w:rPr>
        <w:t> </w:t>
      </w:r>
      <w:r>
        <w:rPr>
          <w:spacing w:val="-3"/>
        </w:rPr>
        <w:t>的实际炉温曲线下的面积；</w:t>
      </w:r>
      <w:r>
        <w:rPr/>
        <w:t> </w:t>
      </w:r>
    </w:p>
    <w:p>
      <w:pPr>
        <w:pStyle w:val="BodyText"/>
        <w:rPr>
          <w:sz w:val="17"/>
        </w:rPr>
      </w:pPr>
    </w:p>
    <w:p>
      <w:pPr>
        <w:spacing w:line="434" w:lineRule="auto" w:before="0"/>
        <w:ind w:left="840" w:right="4707" w:firstLine="628"/>
        <w:jc w:val="left"/>
        <w:rPr>
          <w:sz w:val="21"/>
        </w:rPr>
      </w:pPr>
      <w:r>
        <w:rPr>
          <w:i/>
          <w:position w:val="1"/>
          <w:sz w:val="22"/>
        </w:rPr>
        <w:t>A</w:t>
      </w:r>
      <w:r>
        <w:rPr>
          <w:sz w:val="11"/>
        </w:rPr>
        <w:t>s</w:t>
      </w:r>
      <w:r>
        <w:rPr>
          <w:position w:val="1"/>
          <w:sz w:val="21"/>
        </w:rPr>
        <w:t>——与 A 相同时段内标准炉温曲线下的面积。</w:t>
      </w:r>
      <w:r>
        <w:rPr>
          <w:b/>
          <w:sz w:val="21"/>
        </w:rPr>
        <w:t>6.16.10 </w:t>
      </w:r>
      <w:r>
        <w:rPr>
          <w:sz w:val="21"/>
        </w:rPr>
        <w:t>耐火性能试验结果的应用 </w:t>
      </w:r>
    </w:p>
    <w:p>
      <w:pPr>
        <w:pStyle w:val="BodyText"/>
        <w:spacing w:before="14"/>
        <w:ind w:left="838"/>
      </w:pPr>
      <w:r>
        <w:rPr/>
        <w:t>耐火性能试验结果的应用参照附录 B。 </w:t>
      </w:r>
    </w:p>
    <w:p>
      <w:pPr>
        <w:pStyle w:val="BodyText"/>
        <w:spacing w:before="8"/>
        <w:rPr>
          <w:sz w:val="15"/>
        </w:rPr>
      </w:pPr>
    </w:p>
    <w:p>
      <w:pPr>
        <w:pStyle w:val="Heading4"/>
      </w:pPr>
      <w:r>
        <w:rPr/>
        <w:t>7 检验规则</w:t>
      </w:r>
      <w:r>
        <w:rPr>
          <w:w w:val="99"/>
        </w:rPr>
        <w:t> </w:t>
      </w:r>
    </w:p>
    <w:p>
      <w:pPr>
        <w:pStyle w:val="BodyText"/>
        <w:spacing w:before="3"/>
        <w:rPr>
          <w:b/>
          <w:sz w:val="17"/>
        </w:rPr>
      </w:pPr>
    </w:p>
    <w:p>
      <w:pPr>
        <w:pStyle w:val="ListParagraph"/>
        <w:numPr>
          <w:ilvl w:val="1"/>
          <w:numId w:val="484"/>
        </w:numPr>
        <w:tabs>
          <w:tab w:pos="1160" w:val="left" w:leader="none"/>
        </w:tabs>
        <w:spacing w:line="240" w:lineRule="auto" w:before="1" w:after="0"/>
        <w:ind w:left="1159" w:right="0" w:hanging="320"/>
        <w:jc w:val="left"/>
        <w:rPr>
          <w:sz w:val="21"/>
        </w:rPr>
      </w:pPr>
      <w:r>
        <w:rPr>
          <w:spacing w:val="-3"/>
          <w:sz w:val="21"/>
        </w:rPr>
        <w:t>本标准规定的耐火性能、燃烧性能及所有的理化性能技术指标均为形式检验项目。</w:t>
      </w:r>
      <w:r>
        <w:rPr>
          <w:sz w:val="21"/>
        </w:rPr>
        <w:t> </w:t>
      </w:r>
    </w:p>
    <w:p>
      <w:pPr>
        <w:pStyle w:val="BodyText"/>
        <w:spacing w:before="1"/>
        <w:rPr>
          <w:sz w:val="18"/>
        </w:rPr>
      </w:pPr>
    </w:p>
    <w:p>
      <w:pPr>
        <w:pStyle w:val="ListParagraph"/>
        <w:numPr>
          <w:ilvl w:val="1"/>
          <w:numId w:val="484"/>
        </w:numPr>
        <w:tabs>
          <w:tab w:pos="1159" w:val="left" w:leader="none"/>
        </w:tabs>
        <w:spacing w:line="446" w:lineRule="auto" w:before="1" w:after="0"/>
        <w:ind w:left="838" w:right="5283" w:firstLine="2"/>
        <w:jc w:val="left"/>
        <w:rPr>
          <w:b/>
          <w:sz w:val="21"/>
        </w:rPr>
      </w:pPr>
      <w:r>
        <w:rPr>
          <w:spacing w:val="-3"/>
          <w:sz w:val="21"/>
        </w:rPr>
        <w:t>有下列情形之一时，产品应进行形式检验： </w:t>
      </w:r>
      <w:r>
        <w:rPr>
          <w:sz w:val="21"/>
        </w:rPr>
        <w:t>a)</w:t>
      </w:r>
      <w:r>
        <w:rPr>
          <w:spacing w:val="-3"/>
          <w:sz w:val="21"/>
        </w:rPr>
        <w:t> 新产品投产或某产品转厂生产的试制鉴定；</w:t>
      </w:r>
      <w:r>
        <w:rPr>
          <w:b/>
          <w:w w:val="99"/>
          <w:sz w:val="21"/>
        </w:rPr>
        <w:t> </w:t>
      </w:r>
    </w:p>
    <w:p>
      <w:pPr>
        <w:pStyle w:val="ListParagraph"/>
        <w:numPr>
          <w:ilvl w:val="0"/>
          <w:numId w:val="485"/>
        </w:numPr>
        <w:tabs>
          <w:tab w:pos="1051" w:val="left" w:leader="none"/>
        </w:tabs>
        <w:spacing w:line="267" w:lineRule="exact" w:before="0" w:after="0"/>
        <w:ind w:left="1050" w:right="0" w:hanging="213"/>
        <w:jc w:val="left"/>
        <w:rPr>
          <w:b/>
          <w:sz w:val="21"/>
        </w:rPr>
      </w:pPr>
      <w:r>
        <w:rPr>
          <w:spacing w:val="-3"/>
          <w:sz w:val="21"/>
        </w:rPr>
        <w:t>正式生产后，产品的原材料、配方、生产工艺有较大改变时或正常生产满三年时；</w:t>
      </w:r>
      <w:r>
        <w:rPr>
          <w:b/>
          <w:w w:val="99"/>
          <w:sz w:val="21"/>
        </w:rPr>
        <w:t> </w:t>
      </w:r>
    </w:p>
    <w:p>
      <w:pPr>
        <w:pStyle w:val="BodyText"/>
        <w:spacing w:before="1"/>
        <w:rPr>
          <w:b/>
          <w:sz w:val="18"/>
        </w:rPr>
      </w:pPr>
    </w:p>
    <w:p>
      <w:pPr>
        <w:pStyle w:val="ListParagraph"/>
        <w:numPr>
          <w:ilvl w:val="0"/>
          <w:numId w:val="485"/>
        </w:numPr>
        <w:tabs>
          <w:tab w:pos="1051" w:val="left" w:leader="none"/>
        </w:tabs>
        <w:spacing w:line="240" w:lineRule="auto" w:before="0" w:after="0"/>
        <w:ind w:left="1050" w:right="0" w:hanging="213"/>
        <w:jc w:val="left"/>
        <w:rPr>
          <w:b/>
          <w:sz w:val="21"/>
        </w:rPr>
      </w:pPr>
      <w:r>
        <w:rPr>
          <w:spacing w:val="-3"/>
          <w:sz w:val="21"/>
        </w:rPr>
        <w:t>产品停产一年以上，恢复生产时；</w:t>
      </w:r>
      <w:r>
        <w:rPr>
          <w:b/>
          <w:w w:val="99"/>
          <w:sz w:val="21"/>
        </w:rPr>
        <w:t> </w:t>
      </w:r>
    </w:p>
    <w:p>
      <w:pPr>
        <w:pStyle w:val="BodyText"/>
        <w:rPr>
          <w:b/>
          <w:sz w:val="18"/>
        </w:rPr>
      </w:pPr>
    </w:p>
    <w:p>
      <w:pPr>
        <w:pStyle w:val="ListParagraph"/>
        <w:numPr>
          <w:ilvl w:val="0"/>
          <w:numId w:val="485"/>
        </w:numPr>
        <w:tabs>
          <w:tab w:pos="1051" w:val="left" w:leader="none"/>
        </w:tabs>
        <w:spacing w:line="240" w:lineRule="auto" w:before="0" w:after="0"/>
        <w:ind w:left="1050" w:right="0" w:hanging="213"/>
        <w:jc w:val="left"/>
        <w:rPr>
          <w:b/>
          <w:sz w:val="21"/>
        </w:rPr>
      </w:pPr>
      <w:r>
        <w:rPr>
          <w:spacing w:val="-3"/>
          <w:sz w:val="21"/>
        </w:rPr>
        <w:t>出厂检验结果与上次形式检验有较大差异时；</w:t>
      </w:r>
      <w:r>
        <w:rPr>
          <w:b/>
          <w:w w:val="99"/>
          <w:sz w:val="21"/>
        </w:rPr>
        <w:t> </w:t>
      </w:r>
    </w:p>
    <w:p>
      <w:pPr>
        <w:pStyle w:val="BodyText"/>
        <w:spacing w:before="12"/>
        <w:rPr>
          <w:b/>
          <w:sz w:val="17"/>
        </w:rPr>
      </w:pPr>
    </w:p>
    <w:p>
      <w:pPr>
        <w:pStyle w:val="ListParagraph"/>
        <w:numPr>
          <w:ilvl w:val="1"/>
          <w:numId w:val="484"/>
        </w:numPr>
        <w:tabs>
          <w:tab w:pos="1159" w:val="left" w:leader="none"/>
        </w:tabs>
        <w:spacing w:line="446" w:lineRule="auto" w:before="0" w:after="0"/>
        <w:ind w:left="418" w:right="1498" w:firstLine="422"/>
        <w:jc w:val="left"/>
        <w:rPr>
          <w:sz w:val="21"/>
        </w:rPr>
      </w:pPr>
      <w:r>
        <w:rPr>
          <w:spacing w:val="-3"/>
          <w:sz w:val="21"/>
        </w:rPr>
        <w:t>本标准中所规定的外观、表观密度、初凝时间、抗跌落性、膨胀性能、耐水性、耐油性、耐碱性、燃烧性能等为出厂检验项目。</w:t>
      </w:r>
      <w:r>
        <w:rPr>
          <w:sz w:val="21"/>
        </w:rPr>
        <w:t> </w:t>
      </w:r>
    </w:p>
    <w:p>
      <w:pPr>
        <w:pStyle w:val="Heading4"/>
        <w:spacing w:line="278" w:lineRule="exact"/>
      </w:pPr>
      <w:r>
        <w:rPr/>
        <w:t>8 综合判定准则</w:t>
      </w:r>
      <w:r>
        <w:rPr>
          <w:w w:val="99"/>
        </w:rPr>
        <w:t> </w:t>
      </w:r>
    </w:p>
    <w:p>
      <w:pPr>
        <w:pStyle w:val="BodyText"/>
        <w:spacing w:before="4"/>
        <w:rPr>
          <w:b/>
          <w:sz w:val="17"/>
        </w:rPr>
      </w:pPr>
    </w:p>
    <w:p>
      <w:pPr>
        <w:pStyle w:val="ListParagraph"/>
        <w:numPr>
          <w:ilvl w:val="1"/>
          <w:numId w:val="486"/>
        </w:numPr>
        <w:tabs>
          <w:tab w:pos="1159" w:val="left" w:leader="none"/>
        </w:tabs>
        <w:spacing w:line="240" w:lineRule="auto" w:before="0" w:after="0"/>
        <w:ind w:left="1158" w:right="0" w:hanging="319"/>
        <w:jc w:val="left"/>
        <w:rPr>
          <w:b/>
          <w:sz w:val="21"/>
        </w:rPr>
      </w:pPr>
      <w:r>
        <w:rPr>
          <w:spacing w:val="-3"/>
          <w:sz w:val="21"/>
        </w:rPr>
        <w:t>防火封堵材料所需的样品应从批量产品或使用现场随机抽取</w:t>
      </w:r>
      <w:r>
        <w:rPr>
          <w:b/>
          <w:w w:val="99"/>
          <w:sz w:val="21"/>
        </w:rPr>
        <w:t> </w:t>
      </w:r>
    </w:p>
    <w:p>
      <w:pPr>
        <w:pStyle w:val="BodyText"/>
        <w:spacing w:before="2"/>
        <w:rPr>
          <w:b/>
          <w:sz w:val="18"/>
        </w:rPr>
      </w:pPr>
    </w:p>
    <w:p>
      <w:pPr>
        <w:pStyle w:val="ListParagraph"/>
        <w:numPr>
          <w:ilvl w:val="1"/>
          <w:numId w:val="486"/>
        </w:numPr>
        <w:tabs>
          <w:tab w:pos="1160" w:val="left" w:leader="none"/>
        </w:tabs>
        <w:spacing w:line="446" w:lineRule="auto" w:before="0" w:after="0"/>
        <w:ind w:left="418" w:right="1500" w:firstLine="422"/>
        <w:jc w:val="left"/>
        <w:rPr>
          <w:sz w:val="21"/>
        </w:rPr>
      </w:pPr>
      <w:r>
        <w:rPr>
          <w:spacing w:val="-3"/>
          <w:sz w:val="21"/>
        </w:rPr>
        <w:t>防火封堵材料的耐火性能达到某一级</w:t>
      </w:r>
      <w:r>
        <w:rPr>
          <w:sz w:val="21"/>
        </w:rPr>
        <w:t>（1h、2h、3h</w:t>
      </w:r>
      <w:r>
        <w:rPr>
          <w:spacing w:val="-3"/>
          <w:sz w:val="21"/>
        </w:rPr>
        <w:t>)的规定要求，且其他各项性能指标均符合标准要求时，该产品被认定为产品质量某一级合格。</w:t>
      </w:r>
      <w:r>
        <w:rPr>
          <w:sz w:val="21"/>
        </w:rPr>
        <w:t> </w:t>
      </w:r>
    </w:p>
    <w:p>
      <w:pPr>
        <w:pStyle w:val="ListParagraph"/>
        <w:numPr>
          <w:ilvl w:val="1"/>
          <w:numId w:val="486"/>
        </w:numPr>
        <w:tabs>
          <w:tab w:pos="1160" w:val="left" w:leader="none"/>
        </w:tabs>
        <w:spacing w:line="446" w:lineRule="auto" w:before="0" w:after="0"/>
        <w:ind w:left="418" w:right="1505" w:firstLine="422"/>
        <w:jc w:val="left"/>
        <w:rPr>
          <w:sz w:val="21"/>
        </w:rPr>
      </w:pPr>
      <w:r>
        <w:rPr>
          <w:spacing w:val="-3"/>
          <w:sz w:val="21"/>
        </w:rPr>
        <w:t>经检验，诙防火封堵材料除耐火性能和燃烧性能</w:t>
      </w:r>
      <w:r>
        <w:rPr>
          <w:sz w:val="21"/>
        </w:rPr>
        <w:t>（</w:t>
      </w:r>
      <w:r>
        <w:rPr>
          <w:spacing w:val="-11"/>
          <w:sz w:val="21"/>
        </w:rPr>
        <w:t>不合格属 </w:t>
      </w:r>
      <w:r>
        <w:rPr>
          <w:sz w:val="21"/>
        </w:rPr>
        <w:t>A</w:t>
      </w:r>
      <w:r>
        <w:rPr>
          <w:spacing w:val="-6"/>
          <w:sz w:val="21"/>
        </w:rPr>
        <w:t> 类缺陷，不允许出现) 外</w:t>
      </w:r>
      <w:r>
        <w:rPr>
          <w:spacing w:val="-4"/>
          <w:sz w:val="21"/>
        </w:rPr>
        <w:t>，理化性能尚有重缺陷</w:t>
      </w:r>
      <w:r>
        <w:rPr>
          <w:sz w:val="21"/>
        </w:rPr>
        <w:t>（B</w:t>
      </w:r>
      <w:r>
        <w:rPr>
          <w:spacing w:val="-11"/>
          <w:sz w:val="21"/>
        </w:rPr>
        <w:t> 类缺陷</w:t>
      </w:r>
      <w:r>
        <w:rPr>
          <w:sz w:val="21"/>
        </w:rPr>
        <w:t>）</w:t>
      </w:r>
      <w:r>
        <w:rPr>
          <w:spacing w:val="-3"/>
          <w:sz w:val="21"/>
        </w:rPr>
        <w:t>和轻缺陷</w:t>
      </w:r>
      <w:r>
        <w:rPr>
          <w:sz w:val="21"/>
        </w:rPr>
        <w:t>（C</w:t>
      </w:r>
      <w:r>
        <w:rPr>
          <w:spacing w:val="-11"/>
          <w:sz w:val="21"/>
        </w:rPr>
        <w:t> 类缺陷</w:t>
      </w:r>
      <w:r>
        <w:rPr>
          <w:sz w:val="21"/>
        </w:rPr>
        <w:t>）</w:t>
      </w:r>
      <w:r>
        <w:rPr>
          <w:spacing w:val="-3"/>
          <w:sz w:val="21"/>
        </w:rPr>
        <w:t>，在满足下列要求时，亦可判定该产品质量某一级合格，但需注明缺陷性质及数量。</w:t>
      </w:r>
      <w:r>
        <w:rPr>
          <w:sz w:val="21"/>
        </w:rPr>
        <w:t> </w:t>
      </w:r>
    </w:p>
    <w:p>
      <w:pPr>
        <w:pStyle w:val="ListParagraph"/>
        <w:numPr>
          <w:ilvl w:val="0"/>
          <w:numId w:val="487"/>
        </w:numPr>
        <w:tabs>
          <w:tab w:pos="1051" w:val="left" w:leader="none"/>
        </w:tabs>
        <w:spacing w:line="268" w:lineRule="exact" w:before="0" w:after="0"/>
        <w:ind w:left="1050" w:right="0" w:hanging="213"/>
        <w:jc w:val="left"/>
        <w:rPr>
          <w:sz w:val="21"/>
        </w:rPr>
      </w:pPr>
      <w:r>
        <w:rPr>
          <w:spacing w:val="-27"/>
          <w:sz w:val="21"/>
        </w:rPr>
        <w:t>表 </w:t>
      </w:r>
      <w:r>
        <w:rPr>
          <w:sz w:val="21"/>
        </w:rPr>
        <w:t>2</w:t>
      </w:r>
      <w:r>
        <w:rPr>
          <w:spacing w:val="-13"/>
          <w:sz w:val="21"/>
        </w:rPr>
        <w:t> 中所列的防火封堵材料，当 </w:t>
      </w:r>
      <w:r>
        <w:rPr>
          <w:sz w:val="21"/>
        </w:rPr>
        <w:t>B≤2</w:t>
      </w:r>
      <w:r>
        <w:rPr>
          <w:spacing w:val="-37"/>
          <w:sz w:val="21"/>
        </w:rPr>
        <w:t> 或 </w:t>
      </w:r>
      <w:r>
        <w:rPr>
          <w:sz w:val="21"/>
        </w:rPr>
        <w:t>B+C≤3</w:t>
      </w:r>
      <w:r>
        <w:rPr>
          <w:spacing w:val="-19"/>
          <w:sz w:val="21"/>
        </w:rPr>
        <w:t> 时；</w:t>
      </w:r>
      <w:r>
        <w:rPr>
          <w:sz w:val="21"/>
        </w:rPr>
        <w:t> </w:t>
      </w:r>
    </w:p>
    <w:p>
      <w:pPr>
        <w:pStyle w:val="BodyText"/>
        <w:spacing w:before="12"/>
        <w:rPr>
          <w:sz w:val="17"/>
        </w:rPr>
      </w:pPr>
    </w:p>
    <w:p>
      <w:pPr>
        <w:pStyle w:val="ListParagraph"/>
        <w:numPr>
          <w:ilvl w:val="0"/>
          <w:numId w:val="487"/>
        </w:numPr>
        <w:tabs>
          <w:tab w:pos="1051" w:val="left" w:leader="none"/>
        </w:tabs>
        <w:spacing w:line="240" w:lineRule="auto" w:before="0" w:after="0"/>
        <w:ind w:left="1050" w:right="0" w:hanging="213"/>
        <w:jc w:val="left"/>
        <w:rPr>
          <w:sz w:val="21"/>
        </w:rPr>
      </w:pPr>
      <w:r>
        <w:rPr>
          <w:spacing w:val="-27"/>
          <w:sz w:val="21"/>
        </w:rPr>
        <w:t>表 </w:t>
      </w:r>
      <w:r>
        <w:rPr>
          <w:sz w:val="21"/>
        </w:rPr>
        <w:t>3</w:t>
      </w:r>
      <w:r>
        <w:rPr>
          <w:spacing w:val="-28"/>
          <w:sz w:val="21"/>
        </w:rPr>
        <w:t> 或表 </w:t>
      </w:r>
      <w:r>
        <w:rPr>
          <w:sz w:val="21"/>
        </w:rPr>
        <w:t>4</w:t>
      </w:r>
      <w:r>
        <w:rPr>
          <w:spacing w:val="-13"/>
          <w:sz w:val="21"/>
        </w:rPr>
        <w:t> 中所列的防火封堵材料，当 </w:t>
      </w:r>
      <w:r>
        <w:rPr>
          <w:sz w:val="21"/>
        </w:rPr>
        <w:t>B≤1</w:t>
      </w:r>
      <w:r>
        <w:rPr>
          <w:spacing w:val="-37"/>
          <w:sz w:val="21"/>
        </w:rPr>
        <w:t> 或 </w:t>
      </w:r>
      <w:r>
        <w:rPr>
          <w:sz w:val="21"/>
        </w:rPr>
        <w:t>B+C≤2</w:t>
      </w:r>
      <w:r>
        <w:rPr>
          <w:spacing w:val="-19"/>
          <w:sz w:val="21"/>
        </w:rPr>
        <w:t> 时。</w:t>
      </w:r>
      <w:r>
        <w:rPr>
          <w:sz w:val="21"/>
        </w:rPr>
        <w:t> </w:t>
      </w:r>
    </w:p>
    <w:p>
      <w:pPr>
        <w:pStyle w:val="BodyText"/>
        <w:spacing w:before="8"/>
        <w:rPr>
          <w:sz w:val="15"/>
        </w:rPr>
      </w:pPr>
    </w:p>
    <w:p>
      <w:pPr>
        <w:pStyle w:val="Heading4"/>
      </w:pPr>
      <w:r>
        <w:rPr/>
        <w:t>9 包装、标志、贮存、运输</w:t>
      </w:r>
      <w:r>
        <w:rPr>
          <w:w w:val="99"/>
        </w:rPr>
        <w:t> </w:t>
      </w:r>
    </w:p>
    <w:p>
      <w:pPr>
        <w:pStyle w:val="BodyText"/>
        <w:spacing w:before="4"/>
        <w:rPr>
          <w:b/>
          <w:sz w:val="17"/>
        </w:rPr>
      </w:pPr>
    </w:p>
    <w:p>
      <w:pPr>
        <w:pStyle w:val="ListParagraph"/>
        <w:numPr>
          <w:ilvl w:val="1"/>
          <w:numId w:val="488"/>
        </w:numPr>
        <w:tabs>
          <w:tab w:pos="1159" w:val="left" w:leader="none"/>
        </w:tabs>
        <w:spacing w:line="240" w:lineRule="auto" w:before="0" w:after="0"/>
        <w:ind w:left="1158" w:right="0" w:hanging="319"/>
        <w:jc w:val="left"/>
        <w:rPr>
          <w:sz w:val="21"/>
        </w:rPr>
      </w:pPr>
      <w:r>
        <w:rPr>
          <w:spacing w:val="-3"/>
          <w:sz w:val="21"/>
        </w:rPr>
        <w:t>产品应采取清洁、干燥、能密封的包装袋或容器包装并附有合格证和产品使用说明。</w:t>
      </w:r>
      <w:r>
        <w:rPr>
          <w:sz w:val="21"/>
        </w:rPr>
        <w:t> </w:t>
      </w:r>
    </w:p>
    <w:p>
      <w:pPr>
        <w:pStyle w:val="BodyText"/>
        <w:spacing w:before="2"/>
        <w:rPr>
          <w:sz w:val="18"/>
        </w:rPr>
      </w:pPr>
    </w:p>
    <w:p>
      <w:pPr>
        <w:pStyle w:val="ListParagraph"/>
        <w:numPr>
          <w:ilvl w:val="1"/>
          <w:numId w:val="488"/>
        </w:numPr>
        <w:tabs>
          <w:tab w:pos="1160" w:val="left" w:leader="none"/>
        </w:tabs>
        <w:spacing w:line="446" w:lineRule="auto" w:before="0" w:after="0"/>
        <w:ind w:left="418" w:right="1604" w:firstLine="422"/>
        <w:jc w:val="left"/>
        <w:rPr>
          <w:sz w:val="21"/>
        </w:rPr>
      </w:pPr>
      <w:r>
        <w:rPr>
          <w:spacing w:val="-3"/>
          <w:sz w:val="21"/>
        </w:rPr>
        <w:t>产品包装上应注明生产企业名称、地址、产品名称、产品商标、规格型号、生产日期或批号、贮存期、 包装外形尺寸或质量等。</w:t>
      </w:r>
      <w:r>
        <w:rPr>
          <w:sz w:val="21"/>
        </w:rPr>
        <w:t> </w:t>
      </w:r>
    </w:p>
    <w:p>
      <w:pPr>
        <w:pStyle w:val="ListParagraph"/>
        <w:numPr>
          <w:ilvl w:val="1"/>
          <w:numId w:val="488"/>
        </w:numPr>
        <w:tabs>
          <w:tab w:pos="1159" w:val="left" w:leader="none"/>
        </w:tabs>
        <w:spacing w:line="267" w:lineRule="exact" w:before="0" w:after="0"/>
        <w:ind w:left="1158" w:right="0" w:hanging="319"/>
        <w:jc w:val="left"/>
        <w:rPr>
          <w:sz w:val="21"/>
        </w:rPr>
      </w:pPr>
      <w:r>
        <w:rPr>
          <w:spacing w:val="-3"/>
          <w:sz w:val="21"/>
        </w:rPr>
        <w:t>产品应存放在通风、干燥、防止日光直接照射的地方。</w:t>
      </w:r>
      <w:r>
        <w:rPr>
          <w:sz w:val="21"/>
        </w:rPr>
        <w:t> </w:t>
      </w:r>
    </w:p>
    <w:p>
      <w:pPr>
        <w:pStyle w:val="BodyText"/>
        <w:spacing w:before="2"/>
        <w:rPr>
          <w:sz w:val="18"/>
        </w:rPr>
      </w:pPr>
    </w:p>
    <w:p>
      <w:pPr>
        <w:pStyle w:val="ListParagraph"/>
        <w:numPr>
          <w:ilvl w:val="1"/>
          <w:numId w:val="488"/>
        </w:numPr>
        <w:tabs>
          <w:tab w:pos="1160" w:val="left" w:leader="none"/>
        </w:tabs>
        <w:spacing w:line="240" w:lineRule="auto" w:before="0" w:after="0"/>
        <w:ind w:left="1159" w:right="0" w:hanging="320"/>
        <w:jc w:val="left"/>
        <w:rPr>
          <w:sz w:val="21"/>
        </w:rPr>
      </w:pPr>
      <w:r>
        <w:rPr>
          <w:spacing w:val="-3"/>
          <w:sz w:val="21"/>
        </w:rPr>
        <w:t>产品在运输时，应防止雨淋、曝晒，并应符合运输部门的有关规定。</w:t>
      </w:r>
      <w:r>
        <w:rPr>
          <w:sz w:val="21"/>
        </w:rPr>
        <w:t> </w:t>
      </w:r>
    </w:p>
    <w:p>
      <w:pPr>
        <w:spacing w:after="0" w:line="240" w:lineRule="auto"/>
        <w:jc w:val="left"/>
        <w:rPr>
          <w:sz w:val="21"/>
        </w:rPr>
        <w:sectPr>
          <w:pgSz w:w="11910" w:h="16850"/>
          <w:pgMar w:header="0" w:footer="1239" w:top="1200" w:bottom="1420" w:left="1260" w:right="0"/>
        </w:sectPr>
      </w:pPr>
    </w:p>
    <w:p>
      <w:pPr>
        <w:pStyle w:val="Heading2"/>
        <w:ind w:left="3157"/>
        <w:jc w:val="left"/>
      </w:pPr>
      <w:bookmarkStart w:name="_bookmark19" w:id="20"/>
      <w:bookmarkEnd w:id="20"/>
      <w:r>
        <w:rPr>
          <w:b w:val="0"/>
        </w:rPr>
      </w:r>
      <w:r>
        <w:rPr/>
        <w:t>建筑消防设施的维护管理</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838" w:right="4237"/>
      </w:pPr>
      <w:r>
        <w:rPr/>
        <w:t>本标准规定了建筑消防设施维护管理的内容、方法和要求。本标准适用于在用建筑消防设施的维护管理。 </w:t>
      </w:r>
    </w:p>
    <w:p>
      <w:pPr>
        <w:pStyle w:val="Heading4"/>
        <w:spacing w:line="277" w:lineRule="exact"/>
      </w:pPr>
      <w:r>
        <w:rPr/>
        <w:t>2 规范性引用文件</w:t>
      </w:r>
      <w:r>
        <w:rPr>
          <w:w w:val="99"/>
        </w:rPr>
        <w:t> </w:t>
      </w:r>
    </w:p>
    <w:p>
      <w:pPr>
        <w:pStyle w:val="BodyText"/>
        <w:spacing w:before="4"/>
        <w:rPr>
          <w:b/>
          <w:sz w:val="17"/>
        </w:rPr>
      </w:pPr>
    </w:p>
    <w:p>
      <w:pPr>
        <w:pStyle w:val="BodyText"/>
        <w:spacing w:line="446" w:lineRule="auto"/>
        <w:ind w:left="418" w:right="1608" w:firstLine="419"/>
        <w:jc w:val="both"/>
      </w:pPr>
      <w:r>
        <w:rPr>
          <w:spacing w:val="-3"/>
        </w:rPr>
        <w:t>下列文件中的条款通过本标准的引用而成为本标准的条款。凡是注日期的引用文件，其随后所有的修改单</w:t>
      </w:r>
      <w:r>
        <w:rPr/>
        <w:t>（</w:t>
      </w:r>
      <w:r>
        <w:rPr>
          <w:spacing w:val="-3"/>
        </w:rPr>
        <w:t>不包括勘误的内容</w:t>
      </w:r>
      <w:r>
        <w:rPr/>
        <w:t>）</w:t>
      </w:r>
      <w:r>
        <w:rPr>
          <w:spacing w:val="-3"/>
        </w:rPr>
        <w:t>或修订版均不适用于本标准，然而，鼓励根据本标准达成协议的各方研究 是否可使用这些文件的最新版本。凡是不注日期的引用文件。其最新版本适用于本标准。</w:t>
      </w:r>
      <w:r>
        <w:rPr/>
        <w:t> </w:t>
      </w:r>
    </w:p>
    <w:p>
      <w:pPr>
        <w:pStyle w:val="BodyText"/>
        <w:spacing w:line="446" w:lineRule="auto"/>
        <w:ind w:left="838" w:right="6078"/>
      </w:pPr>
      <w:r>
        <w:rPr/>
        <w:t>GB/T</w:t>
      </w:r>
      <w:r>
        <w:rPr>
          <w:spacing w:val="3"/>
        </w:rPr>
        <w:t>   </w:t>
      </w:r>
      <w:r>
        <w:rPr/>
        <w:t>14107</w:t>
      </w:r>
      <w:r>
        <w:rPr>
          <w:spacing w:val="2"/>
        </w:rPr>
        <w:t> 消防基本术语第二部分 </w:t>
      </w:r>
      <w:r>
        <w:rPr/>
        <w:t>GA</w:t>
      </w:r>
      <w:r>
        <w:rPr>
          <w:spacing w:val="23"/>
        </w:rPr>
        <w:t>   </w:t>
      </w:r>
      <w:r>
        <w:rPr/>
        <w:t>503</w:t>
      </w:r>
      <w:r>
        <w:rPr>
          <w:spacing w:val="-3"/>
        </w:rPr>
        <w:t> 建筑消防设施检测技术规程</w:t>
      </w:r>
      <w:r>
        <w:rPr/>
        <w:t>GA</w:t>
      </w:r>
      <w:r>
        <w:rPr>
          <w:spacing w:val="5"/>
        </w:rPr>
        <w:t> </w:t>
      </w:r>
      <w:r>
        <w:rPr/>
        <w:t>767</w:t>
      </w:r>
      <w:r>
        <w:rPr>
          <w:spacing w:val="-9"/>
        </w:rPr>
        <w:t> 消防控制室通用技术要求</w:t>
      </w:r>
      <w:r>
        <w:rPr/>
        <w:t> </w:t>
      </w:r>
    </w:p>
    <w:p>
      <w:pPr>
        <w:pStyle w:val="Heading4"/>
        <w:spacing w:line="277" w:lineRule="exact"/>
      </w:pPr>
      <w:r>
        <w:rPr/>
        <w:t>3 术语和定义</w:t>
      </w:r>
      <w:r>
        <w:rPr>
          <w:w w:val="99"/>
        </w:rPr>
        <w:t> </w:t>
      </w:r>
    </w:p>
    <w:p>
      <w:pPr>
        <w:pStyle w:val="BodyText"/>
        <w:spacing w:before="4"/>
        <w:rPr>
          <w:b/>
          <w:sz w:val="17"/>
        </w:rPr>
      </w:pPr>
    </w:p>
    <w:p>
      <w:pPr>
        <w:pStyle w:val="BodyText"/>
        <w:spacing w:line="446" w:lineRule="auto"/>
        <w:ind w:left="840" w:right="4290" w:hanging="3"/>
        <w:rPr>
          <w:b/>
        </w:rPr>
      </w:pPr>
      <w:r>
        <w:rPr/>
        <w:t>GB/T 14107</w:t>
      </w:r>
      <w:r>
        <w:rPr>
          <w:spacing w:val="-9"/>
        </w:rPr>
        <w:t> 中确定的以及下列术语和定义适用于本标准。</w:t>
      </w:r>
      <w:r>
        <w:rPr>
          <w:b/>
        </w:rPr>
        <w:t>3.1</w:t>
      </w:r>
      <w:r>
        <w:rPr>
          <w:b/>
          <w:spacing w:val="1"/>
        </w:rPr>
        <w:t> </w:t>
      </w:r>
      <w:r>
        <w:rPr>
          <w:spacing w:val="-3"/>
        </w:rPr>
        <w:t>术语</w:t>
      </w:r>
      <w:r>
        <w:rPr>
          <w:b/>
          <w:w w:val="99"/>
        </w:rPr>
        <w:t> </w:t>
      </w:r>
    </w:p>
    <w:p>
      <w:pPr>
        <w:pStyle w:val="BodyText"/>
        <w:spacing w:line="267" w:lineRule="exact"/>
        <w:ind w:left="838"/>
      </w:pPr>
      <w:r>
        <w:rPr/>
        <w:t>巡 查 exterior inspection </w:t>
      </w:r>
    </w:p>
    <w:p>
      <w:pPr>
        <w:pStyle w:val="BodyText"/>
        <w:spacing w:before="2"/>
        <w:rPr>
          <w:sz w:val="18"/>
        </w:rPr>
      </w:pPr>
    </w:p>
    <w:p>
      <w:pPr>
        <w:spacing w:line="446" w:lineRule="auto" w:before="0"/>
        <w:ind w:left="840" w:right="6549" w:hanging="3"/>
        <w:jc w:val="left"/>
        <w:rPr>
          <w:b/>
          <w:sz w:val="21"/>
        </w:rPr>
      </w:pPr>
      <w:r>
        <w:rPr>
          <w:sz w:val="21"/>
        </w:rPr>
        <w:t>对建筑消防设施直观属性的检查。</w:t>
      </w:r>
      <w:r>
        <w:rPr>
          <w:b/>
          <w:sz w:val="21"/>
        </w:rPr>
        <w:t>3.2 </w:t>
      </w:r>
      <w:r>
        <w:rPr>
          <w:sz w:val="21"/>
        </w:rPr>
        <w:t>定义</w:t>
      </w:r>
      <w:r>
        <w:rPr>
          <w:b/>
          <w:w w:val="99"/>
          <w:sz w:val="21"/>
        </w:rPr>
        <w:t> </w:t>
      </w:r>
    </w:p>
    <w:p>
      <w:pPr>
        <w:pStyle w:val="BodyText"/>
        <w:spacing w:line="267" w:lineRule="exact"/>
        <w:ind w:left="838"/>
      </w:pPr>
      <w:r>
        <w:rPr/>
        <w:t>检测 test </w:t>
      </w:r>
    </w:p>
    <w:p>
      <w:pPr>
        <w:pStyle w:val="BodyText"/>
        <w:spacing w:before="2"/>
        <w:rPr>
          <w:sz w:val="18"/>
        </w:rPr>
      </w:pPr>
    </w:p>
    <w:p>
      <w:pPr>
        <w:pStyle w:val="BodyText"/>
        <w:spacing w:before="1"/>
        <w:ind w:left="838"/>
      </w:pPr>
      <w:r>
        <w:rPr/>
        <w:t>依照相关标准.对各类建筑消防设施的功能进行测试性的检査。 </w:t>
      </w:r>
    </w:p>
    <w:p>
      <w:pPr>
        <w:pStyle w:val="BodyText"/>
        <w:spacing w:before="7"/>
        <w:rPr>
          <w:sz w:val="15"/>
        </w:rPr>
      </w:pPr>
    </w:p>
    <w:p>
      <w:pPr>
        <w:pStyle w:val="Heading4"/>
        <w:spacing w:before="1"/>
      </w:pPr>
      <w:r>
        <w:rPr/>
        <w:t>4 总则</w:t>
      </w:r>
      <w:r>
        <w:rPr>
          <w:w w:val="99"/>
        </w:rPr>
        <w:t> </w:t>
      </w:r>
    </w:p>
    <w:p>
      <w:pPr>
        <w:pStyle w:val="BodyText"/>
        <w:spacing w:before="3"/>
        <w:rPr>
          <w:b/>
          <w:sz w:val="17"/>
        </w:rPr>
      </w:pPr>
    </w:p>
    <w:p>
      <w:pPr>
        <w:pStyle w:val="ListParagraph"/>
        <w:numPr>
          <w:ilvl w:val="1"/>
          <w:numId w:val="489"/>
        </w:numPr>
        <w:tabs>
          <w:tab w:pos="1160" w:val="left" w:leader="none"/>
        </w:tabs>
        <w:spacing w:line="240" w:lineRule="auto" w:before="0" w:after="0"/>
        <w:ind w:left="1159" w:right="0" w:hanging="320"/>
        <w:jc w:val="left"/>
        <w:rPr>
          <w:sz w:val="21"/>
        </w:rPr>
      </w:pPr>
      <w:r>
        <w:rPr>
          <w:spacing w:val="-3"/>
          <w:sz w:val="21"/>
        </w:rPr>
        <w:t>建筑消防设施的维护管理包括值班、巡査、检测、维修、保养、建档等工作。 </w:t>
      </w:r>
    </w:p>
    <w:p>
      <w:pPr>
        <w:pStyle w:val="BodyText"/>
        <w:spacing w:before="2"/>
        <w:rPr>
          <w:sz w:val="18"/>
        </w:rPr>
      </w:pPr>
    </w:p>
    <w:p>
      <w:pPr>
        <w:pStyle w:val="ListParagraph"/>
        <w:numPr>
          <w:ilvl w:val="1"/>
          <w:numId w:val="489"/>
        </w:numPr>
        <w:tabs>
          <w:tab w:pos="1160" w:val="left" w:leader="none"/>
        </w:tabs>
        <w:spacing w:line="446" w:lineRule="auto" w:before="0" w:after="0"/>
        <w:ind w:left="418" w:right="1501" w:firstLine="422"/>
        <w:jc w:val="left"/>
        <w:rPr>
          <w:sz w:val="21"/>
        </w:rPr>
      </w:pPr>
      <w:r>
        <w:rPr>
          <w:spacing w:val="-3"/>
          <w:sz w:val="21"/>
        </w:rPr>
        <w:t>建筑物的产权单位或受其委托管理建筑消防设施的单位，应明确建筑消防设施的维护管理归口部门、管理人员及其工作职责，建立建筑消防设施值班、巡查、检测、维修、保养、建档等制度.确保建筑消防设施正常运行。</w:t>
      </w:r>
      <w:r>
        <w:rPr>
          <w:sz w:val="21"/>
        </w:rPr>
        <w:t> </w:t>
      </w:r>
    </w:p>
    <w:p>
      <w:pPr>
        <w:pStyle w:val="ListParagraph"/>
        <w:numPr>
          <w:ilvl w:val="1"/>
          <w:numId w:val="489"/>
        </w:numPr>
        <w:tabs>
          <w:tab w:pos="1160" w:val="left" w:leader="none"/>
        </w:tabs>
        <w:spacing w:line="446" w:lineRule="auto" w:before="0" w:after="0"/>
        <w:ind w:left="418" w:right="1501" w:firstLine="422"/>
        <w:jc w:val="left"/>
        <w:rPr>
          <w:sz w:val="21"/>
        </w:rPr>
      </w:pPr>
      <w:r>
        <w:rPr>
          <w:spacing w:val="-3"/>
          <w:sz w:val="21"/>
        </w:rPr>
        <w:t>同一建筑物有两个以上产权、使用单位的，应明确建筑消防设施的维护管理责任，对建筑消防设施实行统一管理，并以合同方式约定各自的权利义务。委托物业等单位统一管理</w:t>
      </w:r>
    </w:p>
    <w:p>
      <w:pPr>
        <w:spacing w:after="0" w:line="446" w:lineRule="auto"/>
        <w:jc w:val="left"/>
        <w:rPr>
          <w:sz w:val="21"/>
        </w:rPr>
        <w:sectPr>
          <w:pgSz w:w="11910" w:h="16850"/>
          <w:pgMar w:header="0" w:footer="1239" w:top="1140" w:bottom="1420" w:left="1260" w:right="0"/>
        </w:sectPr>
      </w:pPr>
    </w:p>
    <w:p>
      <w:pPr>
        <w:pStyle w:val="BodyText"/>
        <w:spacing w:line="446" w:lineRule="auto" w:before="47"/>
        <w:ind w:left="418" w:right="1505"/>
      </w:pPr>
      <w:r>
        <w:rPr/>
        <w:t>的，物业等单位应严格按合同约定履行建筑消防设施维护管理职责.建立建筑消防设施值班、巡查、检测、维修、保养、建挡等制度，确保管理区域内的建筑消防设施正常运行。 </w:t>
      </w:r>
    </w:p>
    <w:p>
      <w:pPr>
        <w:pStyle w:val="ListParagraph"/>
        <w:numPr>
          <w:ilvl w:val="1"/>
          <w:numId w:val="489"/>
        </w:numPr>
        <w:tabs>
          <w:tab w:pos="1160" w:val="left" w:leader="none"/>
        </w:tabs>
        <w:spacing w:line="446" w:lineRule="auto" w:before="0" w:after="0"/>
        <w:ind w:left="418" w:right="1608" w:firstLine="422"/>
        <w:jc w:val="left"/>
        <w:rPr>
          <w:sz w:val="21"/>
        </w:rPr>
      </w:pPr>
      <w:r>
        <w:rPr>
          <w:spacing w:val="-3"/>
          <w:sz w:val="21"/>
        </w:rPr>
        <w:t>建筑消防设施维护管理单位应与消防设备生产厂家、消防设施施工安装企业等有维修、保养能力的单位签订消防设施维修、保养合同。维护管理单位自身有维修、保养能力的，应明确维修、保养职能部门和人员。对具有信号反馈功能的阀门，其状态信号应反馈到消防控制室；消防设施及其相关设备电气控制柜具有控制方式转换装置的，其所处控制方式宜反馈至消防控制室。</w:t>
      </w:r>
      <w:r>
        <w:rPr>
          <w:sz w:val="21"/>
        </w:rPr>
        <w:t> </w:t>
      </w:r>
    </w:p>
    <w:p>
      <w:pPr>
        <w:pStyle w:val="ListParagraph"/>
        <w:numPr>
          <w:ilvl w:val="1"/>
          <w:numId w:val="490"/>
        </w:numPr>
        <w:tabs>
          <w:tab w:pos="1159" w:val="left" w:leader="none"/>
        </w:tabs>
        <w:spacing w:line="446" w:lineRule="auto" w:before="0" w:after="0"/>
        <w:ind w:left="418" w:right="1604" w:firstLine="422"/>
        <w:jc w:val="both"/>
        <w:rPr>
          <w:sz w:val="21"/>
        </w:rPr>
      </w:pPr>
      <w:r>
        <w:rPr>
          <w:spacing w:val="-3"/>
          <w:sz w:val="21"/>
        </w:rPr>
        <w:t>不应擅自关停消防设施。值班、巡查、检测时发现故障，应及时组织修复。因故障维修等原因需要暂时停用消防系统的，应有确保消防安全的有效措施，并经单位消防安全责任人批准。</w:t>
      </w:r>
      <w:r>
        <w:rPr>
          <w:sz w:val="21"/>
        </w:rPr>
        <w:t> </w:t>
      </w:r>
    </w:p>
    <w:p>
      <w:pPr>
        <w:pStyle w:val="ListParagraph"/>
        <w:numPr>
          <w:ilvl w:val="1"/>
          <w:numId w:val="490"/>
        </w:numPr>
        <w:tabs>
          <w:tab w:pos="1159" w:val="left" w:leader="none"/>
        </w:tabs>
        <w:spacing w:line="446" w:lineRule="auto" w:before="0" w:after="0"/>
        <w:ind w:left="418" w:right="1604" w:firstLine="422"/>
        <w:jc w:val="left"/>
        <w:rPr>
          <w:sz w:val="21"/>
        </w:rPr>
      </w:pPr>
      <w:r>
        <w:rPr>
          <w:spacing w:val="-3"/>
          <w:sz w:val="21"/>
        </w:rPr>
        <w:t>城市消防远程监控系统联网用户，应按规定协议向监控中心发送建筑消防设施运行状态信息和消防安全管理信息。</w:t>
      </w:r>
      <w:r>
        <w:rPr>
          <w:sz w:val="21"/>
        </w:rPr>
        <w:t> </w:t>
      </w:r>
    </w:p>
    <w:p>
      <w:pPr>
        <w:pStyle w:val="Heading4"/>
        <w:spacing w:line="277" w:lineRule="exact"/>
      </w:pPr>
      <w:r>
        <w:rPr/>
        <w:t>5 值班</w:t>
      </w:r>
      <w:r>
        <w:rPr>
          <w:w w:val="99"/>
        </w:rPr>
        <w:t> </w:t>
      </w:r>
    </w:p>
    <w:p>
      <w:pPr>
        <w:pStyle w:val="BodyText"/>
        <w:rPr>
          <w:b/>
          <w:sz w:val="17"/>
        </w:rPr>
      </w:pPr>
    </w:p>
    <w:p>
      <w:pPr>
        <w:pStyle w:val="ListParagraph"/>
        <w:numPr>
          <w:ilvl w:val="1"/>
          <w:numId w:val="491"/>
        </w:numPr>
        <w:tabs>
          <w:tab w:pos="1160" w:val="left" w:leader="none"/>
        </w:tabs>
        <w:spacing w:line="446" w:lineRule="auto" w:before="0" w:after="0"/>
        <w:ind w:left="418" w:right="1813" w:firstLine="422"/>
        <w:jc w:val="left"/>
        <w:rPr>
          <w:sz w:val="21"/>
        </w:rPr>
      </w:pPr>
      <w:r>
        <w:rPr>
          <w:spacing w:val="-3"/>
          <w:sz w:val="21"/>
        </w:rPr>
        <w:t>设有建筑消防设施的单位应根据消防设施操作使用要求制定操作规程，明确操作人员。</w:t>
      </w:r>
      <w:r>
        <w:rPr>
          <w:sz w:val="21"/>
        </w:rPr>
        <w:t> </w:t>
      </w:r>
    </w:p>
    <w:p>
      <w:pPr>
        <w:pStyle w:val="BodyText"/>
        <w:spacing w:line="446" w:lineRule="auto"/>
        <w:ind w:left="418" w:right="1609" w:firstLine="419"/>
      </w:pPr>
      <w:r>
        <w:rPr>
          <w:spacing w:val="-3"/>
        </w:rPr>
        <w:t>负责消防设施操作人员应通过消防行业特有工种职业技能鉴定，持有初级技能以上等级的职业资格证书，能熟练操作消防设施。消防控制室、具有消防配电功能的配电室，消防水泵 房、防排烟机房等重要的消防设施操作控制场所，应 </w:t>
      </w:r>
    </w:p>
    <w:p>
      <w:pPr>
        <w:pStyle w:val="BodyText"/>
        <w:spacing w:line="446" w:lineRule="auto"/>
        <w:ind w:left="418" w:right="1608" w:firstLine="419"/>
      </w:pPr>
      <w:r>
        <w:rPr>
          <w:spacing w:val="-3"/>
        </w:rPr>
        <w:t>建筑消防设施投入使用后，应处于正常工作状态。建筑消防设施的电源开关、管道阀门， 均应处于正常运行位置，并标示开、关状态；对需要保持常开或常闭状态的阀门，应采取铅 封、标识等限位措根据工作、生产、经营特点建立值班制度，确保火灾情况下有人能按操作规程及时，正确操作建筑消防设施。</w:t>
      </w:r>
      <w:r>
        <w:rPr/>
        <w:t> </w:t>
      </w:r>
    </w:p>
    <w:p>
      <w:pPr>
        <w:pStyle w:val="BodyText"/>
        <w:spacing w:line="446" w:lineRule="auto"/>
        <w:ind w:left="418" w:right="1609" w:firstLine="419"/>
      </w:pPr>
      <w:r>
        <w:rPr/>
        <w:t>单位制定灭火和应急疏散预案以及组织预案演练时，应将建筑消防设施的操作内容纳入其中，对操作过程中发现的问题应及时纠正。 </w:t>
      </w:r>
    </w:p>
    <w:p>
      <w:pPr>
        <w:pStyle w:val="ListParagraph"/>
        <w:numPr>
          <w:ilvl w:val="1"/>
          <w:numId w:val="491"/>
        </w:numPr>
        <w:tabs>
          <w:tab w:pos="1160" w:val="left" w:leader="none"/>
        </w:tabs>
        <w:spacing w:line="240" w:lineRule="auto" w:before="0" w:after="0"/>
        <w:ind w:left="1159" w:right="0" w:hanging="320"/>
        <w:jc w:val="left"/>
        <w:rPr>
          <w:sz w:val="21"/>
        </w:rPr>
      </w:pPr>
      <w:r>
        <w:rPr>
          <w:spacing w:val="-3"/>
          <w:sz w:val="21"/>
        </w:rPr>
        <w:t>消防控制室值班时间和人员应符合以下要求：</w:t>
      </w:r>
      <w:r>
        <w:rPr>
          <w:sz w:val="21"/>
        </w:rPr>
        <w:t> </w:t>
      </w:r>
    </w:p>
    <w:p>
      <w:pPr>
        <w:pStyle w:val="BodyText"/>
        <w:spacing w:before="9"/>
        <w:rPr>
          <w:sz w:val="17"/>
        </w:rPr>
      </w:pPr>
    </w:p>
    <w:p>
      <w:pPr>
        <w:pStyle w:val="ListParagraph"/>
        <w:numPr>
          <w:ilvl w:val="0"/>
          <w:numId w:val="492"/>
        </w:numPr>
        <w:tabs>
          <w:tab w:pos="1051" w:val="left" w:leader="none"/>
        </w:tabs>
        <w:spacing w:line="446" w:lineRule="auto" w:before="0" w:after="0"/>
        <w:ind w:left="418" w:right="1609" w:firstLine="419"/>
        <w:jc w:val="left"/>
        <w:rPr>
          <w:sz w:val="21"/>
        </w:rPr>
      </w:pPr>
      <w:r>
        <w:rPr>
          <w:spacing w:val="-10"/>
          <w:sz w:val="21"/>
        </w:rPr>
        <w:t>实行每日 </w:t>
      </w:r>
      <w:r>
        <w:rPr>
          <w:sz w:val="21"/>
        </w:rPr>
        <w:t>24h</w:t>
      </w:r>
      <w:r>
        <w:rPr>
          <w:spacing w:val="-7"/>
          <w:sz w:val="21"/>
        </w:rPr>
        <w:t> 值班制度，值班人员应通过消防行业特有工种职业技能鉴定，持有初级技</w:t>
      </w:r>
      <w:r>
        <w:rPr>
          <w:spacing w:val="-4"/>
          <w:sz w:val="21"/>
        </w:rPr>
        <w:t>能以上等级的职业资格证书。</w:t>
      </w:r>
      <w:r>
        <w:rPr>
          <w:sz w:val="21"/>
        </w:rPr>
        <w:t> </w:t>
      </w:r>
    </w:p>
    <w:p>
      <w:pPr>
        <w:pStyle w:val="ListParagraph"/>
        <w:numPr>
          <w:ilvl w:val="0"/>
          <w:numId w:val="492"/>
        </w:numPr>
        <w:tabs>
          <w:tab w:pos="1051" w:val="left" w:leader="none"/>
        </w:tabs>
        <w:spacing w:line="240" w:lineRule="auto" w:before="0" w:after="0"/>
        <w:ind w:left="1050" w:right="0" w:hanging="213"/>
        <w:jc w:val="left"/>
        <w:rPr>
          <w:sz w:val="21"/>
        </w:rPr>
      </w:pPr>
      <w:r>
        <w:rPr>
          <w:spacing w:val="-8"/>
          <w:sz w:val="21"/>
        </w:rPr>
        <w:t>每班工作时间应不大于 </w:t>
      </w:r>
      <w:r>
        <w:rPr>
          <w:sz w:val="21"/>
        </w:rPr>
        <w:t>8h</w:t>
      </w:r>
      <w:r>
        <w:rPr>
          <w:spacing w:val="-9"/>
          <w:sz w:val="21"/>
        </w:rPr>
        <w:t>，每班人员应不少于 </w:t>
      </w:r>
      <w:r>
        <w:rPr>
          <w:sz w:val="21"/>
        </w:rPr>
        <w:t>2</w:t>
      </w:r>
      <w:r>
        <w:rPr>
          <w:spacing w:val="-9"/>
          <w:sz w:val="21"/>
        </w:rPr>
        <w:t> 人，值班人员对火灾报警控制器进行</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450"/>
        <w:jc w:val="both"/>
      </w:pPr>
      <w:r>
        <w:rPr>
          <w:spacing w:val="-3"/>
        </w:rPr>
        <w:t>日检查、接班、交班时、应填写《消防控制室值班记录表》（</w:t>
      </w:r>
      <w:r>
        <w:rPr>
          <w:spacing w:val="-8"/>
        </w:rPr>
        <w:t>见表 </w:t>
      </w:r>
      <w:r>
        <w:rPr/>
        <w:t>A.1）</w:t>
      </w:r>
      <w:r>
        <w:rPr>
          <w:spacing w:val="-3"/>
        </w:rPr>
        <w:t>的相关内容。值班期间</w:t>
      </w:r>
      <w:r>
        <w:rPr>
          <w:spacing w:val="-21"/>
        </w:rPr>
        <w:t>每 </w:t>
      </w:r>
      <w:r>
        <w:rPr/>
        <w:t>2h</w:t>
      </w:r>
      <w:r>
        <w:rPr>
          <w:spacing w:val="-8"/>
        </w:rPr>
        <w:t> 记录一次消防控制室内消防设备的运行情况，及时记录消防控制室内消防设备的火警或故</w:t>
      </w:r>
      <w:r>
        <w:rPr>
          <w:spacing w:val="-6"/>
        </w:rPr>
        <w:t>障情况。</w:t>
      </w:r>
      <w:r>
        <w:rPr/>
        <w:t> </w:t>
      </w:r>
    </w:p>
    <w:p>
      <w:pPr>
        <w:pStyle w:val="ListParagraph"/>
        <w:numPr>
          <w:ilvl w:val="0"/>
          <w:numId w:val="492"/>
        </w:numPr>
        <w:tabs>
          <w:tab w:pos="1051" w:val="left" w:leader="none"/>
        </w:tabs>
        <w:spacing w:line="446" w:lineRule="auto" w:before="0" w:after="0"/>
        <w:ind w:left="418" w:right="1608" w:firstLine="419"/>
        <w:jc w:val="both"/>
        <w:rPr>
          <w:sz w:val="21"/>
        </w:rPr>
      </w:pPr>
      <w:r>
        <w:rPr>
          <w:spacing w:val="-3"/>
          <w:sz w:val="21"/>
        </w:rPr>
        <w:t>正常工作状态下，不应将自动喷水灭火系统、防烟排烟系统和联动控制的防火卷帘等防火分隔设施设置在手动控制状态 ，其他消防设施及相关设备如设置在手动状态时，应有在火灾情况下迅速将手动控制转换为自动控制的可靠措施。</w:t>
      </w:r>
      <w:r>
        <w:rPr>
          <w:sz w:val="21"/>
        </w:rPr>
        <w:t> </w:t>
      </w:r>
    </w:p>
    <w:p>
      <w:pPr>
        <w:pStyle w:val="ListParagraph"/>
        <w:numPr>
          <w:ilvl w:val="1"/>
          <w:numId w:val="491"/>
        </w:numPr>
        <w:tabs>
          <w:tab w:pos="1159" w:val="left" w:leader="none"/>
        </w:tabs>
        <w:spacing w:line="446" w:lineRule="auto" w:before="0" w:after="0"/>
        <w:ind w:left="838" w:right="3287" w:firstLine="2"/>
        <w:jc w:val="left"/>
        <w:rPr>
          <w:sz w:val="21"/>
        </w:rPr>
      </w:pPr>
      <w:r>
        <w:rPr>
          <w:spacing w:val="-2"/>
          <w:sz w:val="21"/>
        </w:rPr>
        <w:t>消防控制室值班人员接到报警信号后，应按下列程序进行处理： </w:t>
      </w:r>
      <w:r>
        <w:rPr>
          <w:sz w:val="21"/>
        </w:rPr>
        <w:t>a) </w:t>
      </w:r>
      <w:r>
        <w:rPr>
          <w:spacing w:val="-3"/>
          <w:sz w:val="21"/>
        </w:rPr>
        <w:t>接到火灾报警信息后，应以最快方式确认。</w:t>
      </w:r>
      <w:r>
        <w:rPr>
          <w:sz w:val="21"/>
        </w:rPr>
        <w:t> </w:t>
      </w:r>
    </w:p>
    <w:p>
      <w:pPr>
        <w:pStyle w:val="ListParagraph"/>
        <w:numPr>
          <w:ilvl w:val="0"/>
          <w:numId w:val="493"/>
        </w:numPr>
        <w:tabs>
          <w:tab w:pos="1051" w:val="left" w:leader="none"/>
        </w:tabs>
        <w:spacing w:line="267" w:lineRule="exact" w:before="0" w:after="0"/>
        <w:ind w:left="1050" w:right="0" w:hanging="213"/>
        <w:jc w:val="left"/>
        <w:rPr>
          <w:sz w:val="21"/>
        </w:rPr>
      </w:pPr>
      <w:r>
        <w:rPr>
          <w:spacing w:val="-3"/>
          <w:sz w:val="21"/>
        </w:rPr>
        <w:t>确认属于误报时，查找误报原因并填写《建筑消防设施故障维修记录表》</w:t>
      </w:r>
      <w:r>
        <w:rPr>
          <w:sz w:val="21"/>
        </w:rPr>
        <w:t>（</w:t>
      </w:r>
      <w:r>
        <w:rPr>
          <w:spacing w:val="-2"/>
          <w:sz w:val="21"/>
        </w:rPr>
        <w:t>见表</w:t>
      </w:r>
    </w:p>
    <w:p>
      <w:pPr>
        <w:pStyle w:val="BodyText"/>
        <w:rPr>
          <w:sz w:val="18"/>
        </w:rPr>
      </w:pPr>
    </w:p>
    <w:p>
      <w:pPr>
        <w:pStyle w:val="BodyText"/>
        <w:ind w:left="418"/>
      </w:pPr>
      <w:r>
        <w:rPr/>
        <w:t>B.1）。 </w:t>
      </w:r>
    </w:p>
    <w:p>
      <w:pPr>
        <w:pStyle w:val="BodyText"/>
        <w:spacing w:before="12"/>
        <w:rPr>
          <w:sz w:val="17"/>
        </w:rPr>
      </w:pPr>
    </w:p>
    <w:p>
      <w:pPr>
        <w:pStyle w:val="ListParagraph"/>
        <w:numPr>
          <w:ilvl w:val="0"/>
          <w:numId w:val="493"/>
        </w:numPr>
        <w:tabs>
          <w:tab w:pos="1051" w:val="left" w:leader="none"/>
        </w:tabs>
        <w:spacing w:line="446" w:lineRule="auto" w:before="0" w:after="0"/>
        <w:ind w:left="418" w:right="1609" w:firstLine="419"/>
        <w:jc w:val="left"/>
        <w:rPr>
          <w:sz w:val="21"/>
        </w:rPr>
      </w:pPr>
      <w:r>
        <w:rPr>
          <w:spacing w:val="-3"/>
          <w:sz w:val="21"/>
        </w:rPr>
        <w:t>火灾确认后，立即将火灾报警联动控制开关转入自动状态</w:t>
      </w:r>
      <w:r>
        <w:rPr>
          <w:sz w:val="21"/>
        </w:rPr>
        <w:t>（</w:t>
      </w:r>
      <w:r>
        <w:rPr>
          <w:spacing w:val="-3"/>
          <w:sz w:val="21"/>
        </w:rPr>
        <w:t>处于自动状态的除外</w:t>
      </w:r>
      <w:r>
        <w:rPr>
          <w:sz w:val="21"/>
        </w:rPr>
        <w:t>），同</w:t>
      </w:r>
      <w:r>
        <w:rPr>
          <w:spacing w:val="-2"/>
          <w:sz w:val="21"/>
        </w:rPr>
        <w:t>时拨打“</w:t>
      </w:r>
      <w:r>
        <w:rPr>
          <w:sz w:val="21"/>
        </w:rPr>
        <w:t>119</w:t>
      </w:r>
      <w:r>
        <w:rPr>
          <w:spacing w:val="-3"/>
          <w:sz w:val="21"/>
        </w:rPr>
        <w:t>”火警电话报警。</w:t>
      </w:r>
      <w:r>
        <w:rPr>
          <w:sz w:val="21"/>
        </w:rPr>
        <w:t> </w:t>
      </w:r>
    </w:p>
    <w:p>
      <w:pPr>
        <w:pStyle w:val="ListParagraph"/>
        <w:numPr>
          <w:ilvl w:val="0"/>
          <w:numId w:val="493"/>
        </w:numPr>
        <w:tabs>
          <w:tab w:pos="1051" w:val="left" w:leader="none"/>
        </w:tabs>
        <w:spacing w:line="446" w:lineRule="auto" w:before="0" w:after="0"/>
        <w:ind w:left="418" w:right="1609" w:firstLine="419"/>
        <w:jc w:val="left"/>
        <w:rPr>
          <w:sz w:val="21"/>
        </w:rPr>
      </w:pPr>
      <w:r>
        <w:rPr>
          <w:spacing w:val="-3"/>
          <w:sz w:val="21"/>
        </w:rPr>
        <w:t>立即启动单位内部灭火和应急疏散预案，同时报告单位消防安全责任人，单位消防安全责任人接到报告后应立即赶赴现场。</w:t>
      </w:r>
      <w:r>
        <w:rPr>
          <w:sz w:val="21"/>
        </w:rPr>
        <w:t> </w:t>
      </w:r>
    </w:p>
    <w:p>
      <w:pPr>
        <w:pStyle w:val="ListParagraph"/>
        <w:numPr>
          <w:ilvl w:val="1"/>
          <w:numId w:val="491"/>
        </w:numPr>
        <w:tabs>
          <w:tab w:pos="1159" w:val="left" w:leader="none"/>
        </w:tabs>
        <w:spacing w:line="267" w:lineRule="exact" w:before="0" w:after="0"/>
        <w:ind w:left="1158" w:right="0" w:hanging="319"/>
        <w:jc w:val="left"/>
        <w:rPr>
          <w:sz w:val="21"/>
        </w:rPr>
      </w:pPr>
      <w:r>
        <w:rPr>
          <w:spacing w:val="-6"/>
          <w:sz w:val="21"/>
        </w:rPr>
        <w:t>消防控制室的安全管理信息、控制及显示要求满足 </w:t>
      </w:r>
      <w:r>
        <w:rPr>
          <w:sz w:val="21"/>
        </w:rPr>
        <w:t>GA</w:t>
      </w:r>
      <w:r>
        <w:rPr>
          <w:spacing w:val="2"/>
          <w:sz w:val="21"/>
        </w:rPr>
        <w:t> </w:t>
      </w:r>
      <w:r>
        <w:rPr>
          <w:sz w:val="21"/>
        </w:rPr>
        <w:t>767</w:t>
      </w:r>
      <w:r>
        <w:rPr>
          <w:spacing w:val="-12"/>
          <w:sz w:val="21"/>
        </w:rPr>
        <w:t> 的规定。 </w:t>
      </w:r>
    </w:p>
    <w:p>
      <w:pPr>
        <w:pStyle w:val="BodyText"/>
        <w:spacing w:before="10"/>
        <w:rPr>
          <w:sz w:val="15"/>
        </w:rPr>
      </w:pPr>
    </w:p>
    <w:p>
      <w:pPr>
        <w:pStyle w:val="Heading4"/>
      </w:pPr>
      <w:r>
        <w:rPr/>
        <w:t>6 巡查</w:t>
      </w:r>
      <w:r>
        <w:rPr>
          <w:w w:val="99"/>
        </w:rPr>
        <w:t> </w:t>
      </w:r>
    </w:p>
    <w:p>
      <w:pPr>
        <w:pStyle w:val="BodyText"/>
        <w:spacing w:before="4"/>
        <w:rPr>
          <w:b/>
          <w:sz w:val="17"/>
        </w:rPr>
      </w:pPr>
    </w:p>
    <w:p>
      <w:pPr>
        <w:pStyle w:val="ListParagraph"/>
        <w:numPr>
          <w:ilvl w:val="1"/>
          <w:numId w:val="494"/>
        </w:numPr>
        <w:tabs>
          <w:tab w:pos="1159" w:val="left" w:leader="none"/>
        </w:tabs>
        <w:spacing w:line="240" w:lineRule="auto" w:before="0" w:after="0"/>
        <w:ind w:left="1158" w:right="0" w:hanging="319"/>
        <w:jc w:val="left"/>
        <w:rPr>
          <w:sz w:val="21"/>
        </w:rPr>
      </w:pPr>
      <w:r>
        <w:rPr>
          <w:spacing w:val="-3"/>
          <w:sz w:val="21"/>
        </w:rPr>
        <w:t>一般要求</w:t>
      </w:r>
      <w:r>
        <w:rPr>
          <w:sz w:val="21"/>
        </w:rPr>
        <w:t> </w:t>
      </w:r>
    </w:p>
    <w:p>
      <w:pPr>
        <w:pStyle w:val="BodyText"/>
        <w:rPr>
          <w:sz w:val="18"/>
        </w:rPr>
      </w:pPr>
    </w:p>
    <w:p>
      <w:pPr>
        <w:pStyle w:val="ListParagraph"/>
        <w:numPr>
          <w:ilvl w:val="2"/>
          <w:numId w:val="494"/>
        </w:numPr>
        <w:tabs>
          <w:tab w:pos="1370" w:val="left" w:leader="none"/>
        </w:tabs>
        <w:spacing w:line="446" w:lineRule="auto" w:before="0" w:after="0"/>
        <w:ind w:left="418" w:right="1604" w:firstLine="422"/>
        <w:jc w:val="left"/>
        <w:rPr>
          <w:sz w:val="21"/>
        </w:rPr>
      </w:pPr>
      <w:r>
        <w:rPr>
          <w:spacing w:val="-3"/>
          <w:sz w:val="21"/>
        </w:rPr>
        <w:t>建筑消防设施的巡查应由归口管理消防设施的部门或单位实施，按照工作、生产、经营的实际情况，将巡查的职责落实到相关的工作岗位。</w:t>
      </w:r>
      <w:r>
        <w:rPr>
          <w:sz w:val="21"/>
        </w:rPr>
        <w:t> </w:t>
      </w:r>
    </w:p>
    <w:p>
      <w:pPr>
        <w:pStyle w:val="ListParagraph"/>
        <w:numPr>
          <w:ilvl w:val="2"/>
          <w:numId w:val="494"/>
        </w:numPr>
        <w:tabs>
          <w:tab w:pos="1370" w:val="left" w:leader="none"/>
        </w:tabs>
        <w:spacing w:line="446" w:lineRule="auto" w:before="0" w:after="0"/>
        <w:ind w:left="418" w:right="1604" w:firstLine="422"/>
        <w:jc w:val="left"/>
        <w:rPr>
          <w:sz w:val="21"/>
        </w:rPr>
      </w:pPr>
      <w:r>
        <w:rPr>
          <w:spacing w:val="-3"/>
          <w:sz w:val="21"/>
        </w:rPr>
        <w:t>从事建筑消防设施巡査的人员，应通过消防行业特有工种职业技能鉴定，持有初级技能以上等级的职业资格证书。</w:t>
      </w:r>
      <w:r>
        <w:rPr>
          <w:sz w:val="21"/>
        </w:rPr>
        <w:t> </w:t>
      </w:r>
    </w:p>
    <w:p>
      <w:pPr>
        <w:pStyle w:val="ListParagraph"/>
        <w:numPr>
          <w:ilvl w:val="2"/>
          <w:numId w:val="494"/>
        </w:numPr>
        <w:tabs>
          <w:tab w:pos="1371" w:val="left" w:leader="none"/>
        </w:tabs>
        <w:spacing w:line="446" w:lineRule="auto" w:before="0" w:after="0"/>
        <w:ind w:left="418" w:right="1604" w:firstLine="422"/>
        <w:jc w:val="left"/>
        <w:rPr>
          <w:sz w:val="21"/>
        </w:rPr>
      </w:pPr>
      <w:r>
        <w:rPr>
          <w:spacing w:val="-3"/>
          <w:sz w:val="21"/>
        </w:rPr>
        <w:t>建筑消防设施巡查应明确各类建筑消防设施的巡査部位、频次和内容。巡查时应填写《建筑消防设施巡査记录表》</w:t>
      </w:r>
      <w:r>
        <w:rPr>
          <w:sz w:val="21"/>
        </w:rPr>
        <w:t>（</w:t>
      </w:r>
      <w:r>
        <w:rPr>
          <w:spacing w:val="-19"/>
          <w:sz w:val="21"/>
        </w:rPr>
        <w:t>见表 </w:t>
      </w:r>
      <w:r>
        <w:rPr>
          <w:sz w:val="21"/>
        </w:rPr>
        <w:t>C.1</w:t>
      </w:r>
      <w:r>
        <w:rPr>
          <w:spacing w:val="-7"/>
          <w:sz w:val="21"/>
        </w:rPr>
        <w:t>)。巡查时发现故障，应按第 </w:t>
      </w:r>
      <w:r>
        <w:rPr>
          <w:sz w:val="21"/>
        </w:rPr>
        <w:t>8</w:t>
      </w:r>
      <w:r>
        <w:rPr>
          <w:spacing w:val="-9"/>
          <w:sz w:val="21"/>
        </w:rPr>
        <w:t> 章要求处理。 </w:t>
      </w:r>
    </w:p>
    <w:p>
      <w:pPr>
        <w:pStyle w:val="ListParagraph"/>
        <w:numPr>
          <w:ilvl w:val="2"/>
          <w:numId w:val="494"/>
        </w:numPr>
        <w:tabs>
          <w:tab w:pos="1370" w:val="left" w:leader="none"/>
        </w:tabs>
        <w:spacing w:line="267" w:lineRule="exact" w:before="0" w:after="0"/>
        <w:ind w:left="1369" w:right="0" w:hanging="530"/>
        <w:jc w:val="left"/>
        <w:rPr>
          <w:sz w:val="21"/>
        </w:rPr>
      </w:pPr>
      <w:r>
        <w:rPr>
          <w:spacing w:val="-3"/>
          <w:sz w:val="21"/>
        </w:rPr>
        <w:t>建筑消防设施巡査频次应满足下列要求：</w:t>
      </w:r>
      <w:r>
        <w:rPr>
          <w:sz w:val="21"/>
        </w:rPr>
        <w:t> </w:t>
      </w:r>
    </w:p>
    <w:p>
      <w:pPr>
        <w:pStyle w:val="BodyText"/>
        <w:spacing w:before="2"/>
        <w:rPr>
          <w:sz w:val="18"/>
        </w:rPr>
      </w:pPr>
    </w:p>
    <w:p>
      <w:pPr>
        <w:pStyle w:val="ListParagraph"/>
        <w:numPr>
          <w:ilvl w:val="0"/>
          <w:numId w:val="495"/>
        </w:numPr>
        <w:tabs>
          <w:tab w:pos="1051" w:val="left" w:leader="none"/>
        </w:tabs>
        <w:spacing w:line="446" w:lineRule="auto" w:before="0" w:after="0"/>
        <w:ind w:left="418" w:right="1611" w:firstLine="419"/>
        <w:jc w:val="left"/>
        <w:rPr>
          <w:sz w:val="21"/>
        </w:rPr>
      </w:pPr>
      <w:r>
        <w:rPr>
          <w:spacing w:val="-5"/>
          <w:sz w:val="21"/>
        </w:rPr>
        <w:t>公共娱乐场所营业时，应结合公共娱乐场每 </w:t>
      </w:r>
      <w:r>
        <w:rPr>
          <w:sz w:val="21"/>
        </w:rPr>
        <w:t>2h</w:t>
      </w:r>
      <w:r>
        <w:rPr>
          <w:spacing w:val="-8"/>
          <w:sz w:val="21"/>
        </w:rPr>
        <w:t> 巡查一次的要求，视情况将建筑消防设</w:t>
      </w:r>
      <w:r>
        <w:rPr>
          <w:spacing w:val="-5"/>
          <w:sz w:val="21"/>
        </w:rPr>
        <w:t>施的巡查部分或全部纳入其中，但全部建筑消防设施应保证每日至少巡查一次；</w:t>
      </w:r>
      <w:r>
        <w:rPr>
          <w:sz w:val="21"/>
        </w:rPr>
        <w:t> </w:t>
      </w:r>
    </w:p>
    <w:p>
      <w:pPr>
        <w:pStyle w:val="ListParagraph"/>
        <w:numPr>
          <w:ilvl w:val="0"/>
          <w:numId w:val="495"/>
        </w:numPr>
        <w:tabs>
          <w:tab w:pos="1051" w:val="left" w:leader="none"/>
        </w:tabs>
        <w:spacing w:line="446" w:lineRule="auto" w:before="0" w:after="0"/>
        <w:ind w:left="838" w:right="6025" w:firstLine="0"/>
        <w:jc w:val="left"/>
        <w:rPr>
          <w:sz w:val="21"/>
        </w:rPr>
      </w:pPr>
      <w:r>
        <w:rPr>
          <w:spacing w:val="-3"/>
          <w:sz w:val="21"/>
        </w:rPr>
        <w:t>消防安全重点单位，每日巡查一次； </w:t>
      </w:r>
      <w:r>
        <w:rPr>
          <w:sz w:val="21"/>
        </w:rPr>
        <w:t>c)</w:t>
      </w:r>
      <w:r>
        <w:rPr>
          <w:spacing w:val="-3"/>
          <w:sz w:val="21"/>
        </w:rPr>
        <w:t> 其他单位，每周至少巡査一次。</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1"/>
          <w:numId w:val="494"/>
        </w:numPr>
        <w:tabs>
          <w:tab w:pos="1159" w:val="left" w:leader="none"/>
        </w:tabs>
        <w:spacing w:line="240" w:lineRule="auto" w:before="47" w:after="0"/>
        <w:ind w:left="1158" w:right="0" w:hanging="319"/>
        <w:jc w:val="left"/>
        <w:rPr>
          <w:b/>
          <w:sz w:val="21"/>
        </w:rPr>
      </w:pPr>
      <w:r>
        <w:rPr>
          <w:spacing w:val="-3"/>
          <w:sz w:val="21"/>
        </w:rPr>
        <w:t>巡查内容</w:t>
      </w:r>
      <w:r>
        <w:rPr>
          <w:b/>
          <w:w w:val="99"/>
          <w:sz w:val="21"/>
        </w:rPr>
        <w:t> </w:t>
      </w:r>
    </w:p>
    <w:p>
      <w:pPr>
        <w:pStyle w:val="BodyText"/>
        <w:rPr>
          <w:b/>
          <w:sz w:val="18"/>
        </w:rPr>
      </w:pPr>
    </w:p>
    <w:p>
      <w:pPr>
        <w:pStyle w:val="ListParagraph"/>
        <w:numPr>
          <w:ilvl w:val="2"/>
          <w:numId w:val="494"/>
        </w:numPr>
        <w:tabs>
          <w:tab w:pos="1371" w:val="left" w:leader="none"/>
        </w:tabs>
        <w:spacing w:line="240" w:lineRule="auto" w:before="0" w:after="0"/>
        <w:ind w:left="1370" w:right="0" w:hanging="531"/>
        <w:jc w:val="left"/>
        <w:rPr>
          <w:sz w:val="21"/>
        </w:rPr>
      </w:pPr>
      <w:r>
        <w:rPr>
          <w:spacing w:val="-7"/>
          <w:sz w:val="21"/>
        </w:rPr>
        <w:t>消防供配电设施的巡査内容见表 </w:t>
      </w:r>
      <w:r>
        <w:rPr>
          <w:sz w:val="21"/>
        </w:rPr>
        <w:t>C.1</w:t>
      </w:r>
      <w:r>
        <w:rPr>
          <w:spacing w:val="-8"/>
          <w:sz w:val="21"/>
        </w:rPr>
        <w:t> 中“消防供配电设施”部分。</w:t>
      </w:r>
      <w:r>
        <w:rPr>
          <w:sz w:val="21"/>
        </w:rPr>
        <w:t> </w:t>
      </w:r>
    </w:p>
    <w:p>
      <w:pPr>
        <w:pStyle w:val="BodyText"/>
        <w:rPr>
          <w:sz w:val="18"/>
        </w:rPr>
      </w:pPr>
    </w:p>
    <w:p>
      <w:pPr>
        <w:pStyle w:val="ListParagraph"/>
        <w:numPr>
          <w:ilvl w:val="2"/>
          <w:numId w:val="494"/>
        </w:numPr>
        <w:tabs>
          <w:tab w:pos="1370" w:val="left" w:leader="none"/>
        </w:tabs>
        <w:spacing w:line="240" w:lineRule="auto" w:before="0" w:after="0"/>
        <w:ind w:left="1369" w:right="0" w:hanging="530"/>
        <w:jc w:val="left"/>
        <w:rPr>
          <w:sz w:val="21"/>
        </w:rPr>
      </w:pPr>
      <w:r>
        <w:rPr>
          <w:spacing w:val="-7"/>
          <w:sz w:val="21"/>
        </w:rPr>
        <w:t>火灾自动报警系统的巡査内容见表 </w:t>
      </w:r>
      <w:r>
        <w:rPr>
          <w:sz w:val="21"/>
        </w:rPr>
        <w:t>C.1</w:t>
      </w:r>
      <w:r>
        <w:rPr>
          <w:spacing w:val="-9"/>
          <w:sz w:val="21"/>
        </w:rPr>
        <w:t> 中“火灾自动报警系统”部分。 </w:t>
      </w:r>
    </w:p>
    <w:p>
      <w:pPr>
        <w:pStyle w:val="BodyText"/>
        <w:spacing w:before="1"/>
        <w:rPr>
          <w:sz w:val="18"/>
        </w:rPr>
      </w:pPr>
    </w:p>
    <w:p>
      <w:pPr>
        <w:pStyle w:val="ListParagraph"/>
        <w:numPr>
          <w:ilvl w:val="2"/>
          <w:numId w:val="494"/>
        </w:numPr>
        <w:tabs>
          <w:tab w:pos="1370" w:val="left" w:leader="none"/>
        </w:tabs>
        <w:spacing w:line="240" w:lineRule="auto" w:before="1" w:after="0"/>
        <w:ind w:left="1369" w:right="0" w:hanging="530"/>
        <w:jc w:val="left"/>
        <w:rPr>
          <w:sz w:val="21"/>
        </w:rPr>
      </w:pPr>
      <w:r>
        <w:rPr>
          <w:spacing w:val="-7"/>
          <w:sz w:val="21"/>
        </w:rPr>
        <w:t>电气火灾监控系统的巡査内容见表 </w:t>
      </w:r>
      <w:r>
        <w:rPr>
          <w:sz w:val="21"/>
        </w:rPr>
        <w:t>C</w:t>
      </w:r>
      <w:r>
        <w:rPr>
          <w:spacing w:val="2"/>
          <w:sz w:val="21"/>
        </w:rPr>
        <w:t>. </w:t>
      </w:r>
      <w:r>
        <w:rPr>
          <w:sz w:val="21"/>
        </w:rPr>
        <w:t>1</w:t>
      </w:r>
      <w:r>
        <w:rPr>
          <w:spacing w:val="-9"/>
          <w:sz w:val="21"/>
        </w:rPr>
        <w:t> 中“电气火灾监控系统”部分，</w:t>
      </w:r>
      <w:r>
        <w:rPr>
          <w:sz w:val="21"/>
        </w:rPr>
        <w:t> </w:t>
      </w:r>
    </w:p>
    <w:p>
      <w:pPr>
        <w:pStyle w:val="BodyText"/>
        <w:spacing w:before="12"/>
        <w:rPr>
          <w:sz w:val="17"/>
        </w:rPr>
      </w:pPr>
    </w:p>
    <w:p>
      <w:pPr>
        <w:pStyle w:val="ListParagraph"/>
        <w:numPr>
          <w:ilvl w:val="2"/>
          <w:numId w:val="494"/>
        </w:numPr>
        <w:tabs>
          <w:tab w:pos="1370" w:val="left" w:leader="none"/>
        </w:tabs>
        <w:spacing w:line="240" w:lineRule="auto" w:before="0" w:after="0"/>
        <w:ind w:left="1369" w:right="0" w:hanging="530"/>
        <w:jc w:val="left"/>
        <w:rPr>
          <w:sz w:val="21"/>
        </w:rPr>
      </w:pPr>
      <w:r>
        <w:rPr>
          <w:spacing w:val="-6"/>
          <w:sz w:val="21"/>
        </w:rPr>
        <w:t>可燃气体探测报警系统的巡査内容见表 </w:t>
      </w:r>
      <w:r>
        <w:rPr>
          <w:sz w:val="21"/>
        </w:rPr>
        <w:t>C.1</w:t>
      </w:r>
      <w:r>
        <w:rPr>
          <w:spacing w:val="-9"/>
          <w:sz w:val="21"/>
        </w:rPr>
        <w:t> 中“可燃气体探测报警系统”部分。</w:t>
      </w:r>
      <w:r>
        <w:rPr>
          <w:sz w:val="21"/>
        </w:rPr>
        <w:t> </w:t>
      </w:r>
    </w:p>
    <w:p>
      <w:pPr>
        <w:pStyle w:val="BodyText"/>
        <w:spacing w:before="12"/>
        <w:rPr>
          <w:sz w:val="17"/>
        </w:rPr>
      </w:pPr>
    </w:p>
    <w:p>
      <w:pPr>
        <w:pStyle w:val="ListParagraph"/>
        <w:numPr>
          <w:ilvl w:val="2"/>
          <w:numId w:val="494"/>
        </w:numPr>
        <w:tabs>
          <w:tab w:pos="1371" w:val="left" w:leader="none"/>
        </w:tabs>
        <w:spacing w:line="240" w:lineRule="auto" w:before="0" w:after="0"/>
        <w:ind w:left="1370" w:right="0" w:hanging="531"/>
        <w:jc w:val="left"/>
        <w:rPr>
          <w:sz w:val="21"/>
        </w:rPr>
      </w:pPr>
      <w:r>
        <w:rPr>
          <w:spacing w:val="-7"/>
          <w:sz w:val="21"/>
        </w:rPr>
        <w:t>消防供水设施的巡査内容见表 </w:t>
      </w:r>
      <w:r>
        <w:rPr>
          <w:sz w:val="21"/>
        </w:rPr>
        <w:t>C.1</w:t>
      </w:r>
      <w:r>
        <w:rPr>
          <w:spacing w:val="-9"/>
          <w:sz w:val="21"/>
        </w:rPr>
        <w:t> 中“消防供水供施”部分。</w:t>
      </w:r>
      <w:r>
        <w:rPr>
          <w:sz w:val="21"/>
        </w:rPr>
        <w:t> </w:t>
      </w:r>
    </w:p>
    <w:p>
      <w:pPr>
        <w:pStyle w:val="BodyText"/>
        <w:spacing w:before="2"/>
        <w:rPr>
          <w:sz w:val="18"/>
        </w:rPr>
      </w:pPr>
    </w:p>
    <w:p>
      <w:pPr>
        <w:pStyle w:val="ListParagraph"/>
        <w:numPr>
          <w:ilvl w:val="2"/>
          <w:numId w:val="494"/>
        </w:numPr>
        <w:tabs>
          <w:tab w:pos="1370" w:val="left" w:leader="none"/>
        </w:tabs>
        <w:spacing w:line="446" w:lineRule="auto" w:before="0" w:after="0"/>
        <w:ind w:left="418" w:right="1606" w:firstLine="422"/>
        <w:jc w:val="left"/>
        <w:rPr>
          <w:sz w:val="21"/>
        </w:rPr>
      </w:pPr>
      <w:r>
        <w:rPr>
          <w:spacing w:val="-3"/>
          <w:sz w:val="21"/>
        </w:rPr>
        <w:t>消火栓</w:t>
      </w:r>
      <w:r>
        <w:rPr>
          <w:sz w:val="21"/>
        </w:rPr>
        <w:t>（</w:t>
      </w:r>
      <w:r>
        <w:rPr>
          <w:spacing w:val="-3"/>
          <w:sz w:val="21"/>
        </w:rPr>
        <w:t>消防炮）</w:t>
      </w:r>
      <w:r>
        <w:rPr>
          <w:spacing w:val="-7"/>
          <w:sz w:val="21"/>
        </w:rPr>
        <w:t>灭火系统的巡查内容见表 </w:t>
      </w:r>
      <w:r>
        <w:rPr>
          <w:sz w:val="21"/>
        </w:rPr>
        <w:t>C.1</w:t>
      </w:r>
      <w:r>
        <w:rPr>
          <w:spacing w:val="-10"/>
          <w:sz w:val="21"/>
        </w:rPr>
        <w:t> 中“消火栓</w:t>
      </w:r>
      <w:r>
        <w:rPr>
          <w:sz w:val="21"/>
        </w:rPr>
        <w:t>（</w:t>
      </w:r>
      <w:r>
        <w:rPr>
          <w:spacing w:val="-3"/>
          <w:sz w:val="21"/>
        </w:rPr>
        <w:t>消防炮</w:t>
      </w:r>
      <w:r>
        <w:rPr>
          <w:sz w:val="21"/>
        </w:rPr>
        <w:t>）</w:t>
      </w:r>
      <w:r>
        <w:rPr>
          <w:spacing w:val="-3"/>
          <w:sz w:val="21"/>
        </w:rPr>
        <w:t>灭火系统” 部分。</w:t>
      </w:r>
      <w:r>
        <w:rPr>
          <w:sz w:val="21"/>
        </w:rPr>
        <w:t> </w:t>
      </w:r>
    </w:p>
    <w:p>
      <w:pPr>
        <w:pStyle w:val="ListParagraph"/>
        <w:numPr>
          <w:ilvl w:val="2"/>
          <w:numId w:val="494"/>
        </w:numPr>
        <w:tabs>
          <w:tab w:pos="1370" w:val="left" w:leader="none"/>
        </w:tabs>
        <w:spacing w:line="267" w:lineRule="exact" w:before="0" w:after="0"/>
        <w:ind w:left="1369" w:right="0" w:hanging="530"/>
        <w:jc w:val="left"/>
        <w:rPr>
          <w:sz w:val="21"/>
        </w:rPr>
      </w:pPr>
      <w:r>
        <w:rPr>
          <w:spacing w:val="-7"/>
          <w:sz w:val="21"/>
        </w:rPr>
        <w:t>自动喷水灭火系统的巡查内容见表 </w:t>
      </w:r>
      <w:r>
        <w:rPr>
          <w:sz w:val="21"/>
        </w:rPr>
        <w:t>C.1</w:t>
      </w:r>
      <w:r>
        <w:rPr>
          <w:spacing w:val="-9"/>
          <w:sz w:val="21"/>
        </w:rPr>
        <w:t> 中“自动喷水灭火系统”部分。 </w:t>
      </w:r>
    </w:p>
    <w:p>
      <w:pPr>
        <w:pStyle w:val="BodyText"/>
        <w:spacing w:before="2"/>
        <w:rPr>
          <w:sz w:val="18"/>
        </w:rPr>
      </w:pPr>
    </w:p>
    <w:p>
      <w:pPr>
        <w:pStyle w:val="ListParagraph"/>
        <w:numPr>
          <w:ilvl w:val="2"/>
          <w:numId w:val="494"/>
        </w:numPr>
        <w:tabs>
          <w:tab w:pos="1370" w:val="left" w:leader="none"/>
        </w:tabs>
        <w:spacing w:line="240" w:lineRule="auto" w:before="0" w:after="0"/>
        <w:ind w:left="1369" w:right="0" w:hanging="530"/>
        <w:jc w:val="left"/>
        <w:rPr>
          <w:sz w:val="21"/>
        </w:rPr>
      </w:pPr>
      <w:r>
        <w:rPr>
          <w:spacing w:val="-6"/>
          <w:sz w:val="21"/>
        </w:rPr>
        <w:t>泡沫灭火系统的巡查内容见表 </w:t>
      </w:r>
      <w:r>
        <w:rPr>
          <w:sz w:val="21"/>
        </w:rPr>
        <w:t>C.1</w:t>
      </w:r>
      <w:r>
        <w:rPr>
          <w:spacing w:val="-8"/>
          <w:sz w:val="21"/>
        </w:rPr>
        <w:t> 中“泡沫灭火系统”部分。</w:t>
      </w:r>
      <w:r>
        <w:rPr>
          <w:sz w:val="21"/>
        </w:rPr>
        <w:t> </w:t>
      </w:r>
    </w:p>
    <w:p>
      <w:pPr>
        <w:pStyle w:val="BodyText"/>
        <w:spacing w:before="12"/>
        <w:rPr>
          <w:sz w:val="17"/>
        </w:rPr>
      </w:pPr>
    </w:p>
    <w:p>
      <w:pPr>
        <w:pStyle w:val="ListParagraph"/>
        <w:numPr>
          <w:ilvl w:val="2"/>
          <w:numId w:val="494"/>
        </w:numPr>
        <w:tabs>
          <w:tab w:pos="1370" w:val="left" w:leader="none"/>
        </w:tabs>
        <w:spacing w:line="240" w:lineRule="auto" w:before="0" w:after="0"/>
        <w:ind w:left="1369" w:right="0" w:hanging="530"/>
        <w:jc w:val="left"/>
        <w:rPr>
          <w:sz w:val="21"/>
        </w:rPr>
      </w:pPr>
      <w:r>
        <w:rPr>
          <w:spacing w:val="-6"/>
          <w:sz w:val="21"/>
        </w:rPr>
        <w:t>气体灭火系统的巡查内容见表 </w:t>
      </w:r>
      <w:r>
        <w:rPr>
          <w:sz w:val="21"/>
        </w:rPr>
        <w:t>C.1</w:t>
      </w:r>
      <w:r>
        <w:rPr>
          <w:spacing w:val="-8"/>
          <w:sz w:val="21"/>
        </w:rPr>
        <w:t> 中“气体灭火系统”部分。</w:t>
      </w:r>
      <w:r>
        <w:rPr>
          <w:sz w:val="21"/>
        </w:rPr>
        <w:t> </w:t>
      </w:r>
    </w:p>
    <w:p>
      <w:pPr>
        <w:pStyle w:val="BodyText"/>
        <w:rPr>
          <w:sz w:val="18"/>
        </w:rPr>
      </w:pPr>
    </w:p>
    <w:p>
      <w:pPr>
        <w:pStyle w:val="ListParagraph"/>
        <w:numPr>
          <w:ilvl w:val="2"/>
          <w:numId w:val="494"/>
        </w:numPr>
        <w:tabs>
          <w:tab w:pos="1478" w:val="left" w:leader="none"/>
        </w:tabs>
        <w:spacing w:line="240" w:lineRule="auto" w:before="0" w:after="0"/>
        <w:ind w:left="1477" w:right="0" w:hanging="638"/>
        <w:jc w:val="left"/>
        <w:rPr>
          <w:sz w:val="21"/>
        </w:rPr>
      </w:pPr>
      <w:r>
        <w:rPr>
          <w:spacing w:val="-7"/>
          <w:sz w:val="21"/>
        </w:rPr>
        <w:t>防烟、排烟系统的巡查内容见表 </w:t>
      </w:r>
      <w:r>
        <w:rPr>
          <w:sz w:val="21"/>
        </w:rPr>
        <w:t>C.1</w:t>
      </w:r>
      <w:r>
        <w:rPr>
          <w:spacing w:val="-8"/>
          <w:sz w:val="21"/>
        </w:rPr>
        <w:t> 中“防烟、排烟系统“部分。 </w:t>
      </w:r>
    </w:p>
    <w:p>
      <w:pPr>
        <w:pStyle w:val="BodyText"/>
        <w:spacing w:before="2"/>
        <w:rPr>
          <w:sz w:val="18"/>
        </w:rPr>
      </w:pPr>
    </w:p>
    <w:p>
      <w:pPr>
        <w:pStyle w:val="ListParagraph"/>
        <w:numPr>
          <w:ilvl w:val="2"/>
          <w:numId w:val="494"/>
        </w:numPr>
        <w:tabs>
          <w:tab w:pos="1478" w:val="left" w:leader="none"/>
        </w:tabs>
        <w:spacing w:line="446" w:lineRule="auto" w:before="0" w:after="0"/>
        <w:ind w:left="418" w:right="1709" w:firstLine="422"/>
        <w:jc w:val="left"/>
        <w:rPr>
          <w:sz w:val="21"/>
        </w:rPr>
      </w:pPr>
      <w:r>
        <w:rPr>
          <w:spacing w:val="-6"/>
          <w:sz w:val="21"/>
        </w:rPr>
        <w:t>应急照明和疏散指示标志的巡查内容见表 </w:t>
      </w:r>
      <w:r>
        <w:rPr>
          <w:sz w:val="21"/>
        </w:rPr>
        <w:t>C.1</w:t>
      </w:r>
      <w:r>
        <w:rPr>
          <w:spacing w:val="-8"/>
          <w:sz w:val="21"/>
        </w:rPr>
        <w:t> 中“应急照明和疏散指示标志”部</w:t>
      </w:r>
      <w:r>
        <w:rPr>
          <w:spacing w:val="-6"/>
          <w:sz w:val="21"/>
        </w:rPr>
        <w:t>分。</w:t>
      </w:r>
      <w:r>
        <w:rPr>
          <w:sz w:val="21"/>
        </w:rPr>
        <w:t> </w:t>
      </w:r>
    </w:p>
    <w:p>
      <w:pPr>
        <w:pStyle w:val="ListParagraph"/>
        <w:numPr>
          <w:ilvl w:val="2"/>
          <w:numId w:val="494"/>
        </w:numPr>
        <w:tabs>
          <w:tab w:pos="1478" w:val="left" w:leader="none"/>
        </w:tabs>
        <w:spacing w:line="267" w:lineRule="exact" w:before="0" w:after="0"/>
        <w:ind w:left="1477" w:right="0" w:hanging="638"/>
        <w:jc w:val="left"/>
        <w:rPr>
          <w:sz w:val="21"/>
        </w:rPr>
      </w:pPr>
      <w:r>
        <w:rPr>
          <w:spacing w:val="-6"/>
          <w:sz w:val="21"/>
        </w:rPr>
        <w:t>应急广播系统的巡查内容见表 </w:t>
      </w:r>
      <w:r>
        <w:rPr>
          <w:sz w:val="21"/>
        </w:rPr>
        <w:t>C.1</w:t>
      </w:r>
      <w:r>
        <w:rPr>
          <w:spacing w:val="-8"/>
          <w:sz w:val="21"/>
        </w:rPr>
        <w:t> 中“应急广播系统”部分。</w:t>
      </w:r>
      <w:r>
        <w:rPr>
          <w:sz w:val="21"/>
        </w:rPr>
        <w:t> </w:t>
      </w:r>
    </w:p>
    <w:p>
      <w:pPr>
        <w:pStyle w:val="BodyText"/>
        <w:spacing w:before="2"/>
        <w:rPr>
          <w:sz w:val="18"/>
        </w:rPr>
      </w:pPr>
    </w:p>
    <w:p>
      <w:pPr>
        <w:pStyle w:val="ListParagraph"/>
        <w:numPr>
          <w:ilvl w:val="2"/>
          <w:numId w:val="494"/>
        </w:numPr>
        <w:tabs>
          <w:tab w:pos="1530" w:val="left" w:leader="none"/>
        </w:tabs>
        <w:spacing w:line="446" w:lineRule="auto" w:before="0" w:after="0"/>
        <w:ind w:left="840" w:right="3284" w:firstLine="0"/>
        <w:jc w:val="both"/>
        <w:rPr>
          <w:sz w:val="21"/>
        </w:rPr>
      </w:pPr>
      <w:r>
        <w:rPr>
          <w:spacing w:val="-7"/>
          <w:sz w:val="21"/>
        </w:rPr>
        <w:t>消防专用电话的巡查内容见表 </w:t>
      </w:r>
      <w:r>
        <w:rPr>
          <w:sz w:val="21"/>
        </w:rPr>
        <w:t>C.1</w:t>
      </w:r>
      <w:r>
        <w:rPr>
          <w:spacing w:val="-8"/>
          <w:sz w:val="21"/>
        </w:rPr>
        <w:t> 中“消防专用电话“部分。</w:t>
      </w:r>
      <w:r>
        <w:rPr>
          <w:b/>
          <w:sz w:val="21"/>
        </w:rPr>
        <w:t>6.2.14</w:t>
      </w:r>
      <w:r>
        <w:rPr>
          <w:b/>
          <w:spacing w:val="10"/>
          <w:sz w:val="21"/>
        </w:rPr>
        <w:t> </w:t>
      </w:r>
      <w:r>
        <w:rPr>
          <w:spacing w:val="-7"/>
          <w:sz w:val="21"/>
        </w:rPr>
        <w:t>防火分隔设施的巡查内容见表 </w:t>
      </w:r>
      <w:r>
        <w:rPr>
          <w:sz w:val="21"/>
        </w:rPr>
        <w:t>C.1</w:t>
      </w:r>
      <w:r>
        <w:rPr>
          <w:spacing w:val="-8"/>
          <w:sz w:val="21"/>
        </w:rPr>
        <w:t> 中“防火分隔设施”部分。</w:t>
      </w:r>
      <w:r>
        <w:rPr>
          <w:b/>
          <w:sz w:val="21"/>
        </w:rPr>
        <w:t>6.2.15</w:t>
      </w:r>
      <w:r>
        <w:rPr>
          <w:b/>
          <w:spacing w:val="2"/>
          <w:sz w:val="21"/>
        </w:rPr>
        <w:t> </w:t>
      </w:r>
      <w:r>
        <w:rPr>
          <w:spacing w:val="-7"/>
          <w:sz w:val="21"/>
        </w:rPr>
        <w:t>消防电梯的巡查内容见表 </w:t>
      </w:r>
      <w:r>
        <w:rPr>
          <w:sz w:val="21"/>
        </w:rPr>
        <w:t>C.1</w:t>
      </w:r>
      <w:r>
        <w:rPr>
          <w:spacing w:val="-8"/>
          <w:sz w:val="21"/>
        </w:rPr>
        <w:t> 中“消防电梯“部分。</w:t>
      </w:r>
      <w:r>
        <w:rPr>
          <w:sz w:val="21"/>
        </w:rPr>
        <w:t> </w:t>
      </w:r>
    </w:p>
    <w:p>
      <w:pPr>
        <w:pStyle w:val="ListParagraph"/>
        <w:numPr>
          <w:ilvl w:val="2"/>
          <w:numId w:val="496"/>
        </w:numPr>
        <w:tabs>
          <w:tab w:pos="1478" w:val="left" w:leader="none"/>
        </w:tabs>
        <w:spacing w:line="268" w:lineRule="exact" w:before="0" w:after="0"/>
        <w:ind w:left="1477" w:right="0" w:hanging="638"/>
        <w:jc w:val="both"/>
        <w:rPr>
          <w:sz w:val="21"/>
        </w:rPr>
      </w:pPr>
      <w:r>
        <w:rPr>
          <w:spacing w:val="-7"/>
          <w:sz w:val="21"/>
        </w:rPr>
        <w:t>细水雾灭系统的巡查内容见表 </w:t>
      </w:r>
      <w:r>
        <w:rPr>
          <w:sz w:val="21"/>
        </w:rPr>
        <w:t>C.1</w:t>
      </w:r>
      <w:r>
        <w:rPr>
          <w:spacing w:val="-9"/>
          <w:sz w:val="21"/>
        </w:rPr>
        <w:t> 中“细水雾灭系统”部分。</w:t>
      </w:r>
      <w:r>
        <w:rPr>
          <w:sz w:val="21"/>
        </w:rPr>
        <w:t> </w:t>
      </w:r>
    </w:p>
    <w:p>
      <w:pPr>
        <w:pStyle w:val="BodyText"/>
        <w:rPr>
          <w:sz w:val="18"/>
        </w:rPr>
      </w:pPr>
    </w:p>
    <w:p>
      <w:pPr>
        <w:pStyle w:val="ListParagraph"/>
        <w:numPr>
          <w:ilvl w:val="2"/>
          <w:numId w:val="496"/>
        </w:numPr>
        <w:tabs>
          <w:tab w:pos="1478" w:val="left" w:leader="none"/>
        </w:tabs>
        <w:spacing w:line="240" w:lineRule="auto" w:before="0" w:after="0"/>
        <w:ind w:left="1477" w:right="0" w:hanging="638"/>
        <w:jc w:val="left"/>
        <w:rPr>
          <w:sz w:val="21"/>
        </w:rPr>
      </w:pPr>
      <w:r>
        <w:rPr>
          <w:spacing w:val="-7"/>
          <w:sz w:val="21"/>
        </w:rPr>
        <w:t>干粉灭火系统的巡查内容见表 </w:t>
      </w:r>
      <w:r>
        <w:rPr>
          <w:sz w:val="21"/>
        </w:rPr>
        <w:t>C.1</w:t>
      </w:r>
      <w:r>
        <w:rPr>
          <w:spacing w:val="-8"/>
          <w:sz w:val="21"/>
        </w:rPr>
        <w:t> 中“ 干粉灭火系统“部分。</w:t>
      </w:r>
      <w:r>
        <w:rPr>
          <w:sz w:val="21"/>
        </w:rPr>
        <w:t> </w:t>
      </w:r>
    </w:p>
    <w:p>
      <w:pPr>
        <w:pStyle w:val="BodyText"/>
        <w:spacing w:before="12"/>
        <w:rPr>
          <w:sz w:val="17"/>
        </w:rPr>
      </w:pPr>
    </w:p>
    <w:p>
      <w:pPr>
        <w:pStyle w:val="ListParagraph"/>
        <w:numPr>
          <w:ilvl w:val="2"/>
          <w:numId w:val="496"/>
        </w:numPr>
        <w:tabs>
          <w:tab w:pos="1478" w:val="left" w:leader="none"/>
        </w:tabs>
        <w:spacing w:line="240" w:lineRule="auto" w:before="0" w:after="0"/>
        <w:ind w:left="1477" w:right="0" w:hanging="638"/>
        <w:jc w:val="left"/>
        <w:rPr>
          <w:sz w:val="21"/>
        </w:rPr>
      </w:pPr>
      <w:r>
        <w:rPr>
          <w:spacing w:val="-8"/>
          <w:sz w:val="21"/>
        </w:rPr>
        <w:t>灭火器的巡查内容见表 </w:t>
      </w:r>
      <w:r>
        <w:rPr>
          <w:sz w:val="21"/>
        </w:rPr>
        <w:t>C.1</w:t>
      </w:r>
      <w:r>
        <w:rPr>
          <w:spacing w:val="-9"/>
          <w:sz w:val="21"/>
        </w:rPr>
        <w:t> 中“灭火器”部分。</w:t>
      </w:r>
      <w:r>
        <w:rPr>
          <w:sz w:val="21"/>
        </w:rPr>
        <w:t> </w:t>
      </w:r>
    </w:p>
    <w:p>
      <w:pPr>
        <w:pStyle w:val="BodyText"/>
        <w:spacing w:before="2"/>
        <w:rPr>
          <w:sz w:val="18"/>
        </w:rPr>
      </w:pPr>
    </w:p>
    <w:p>
      <w:pPr>
        <w:pStyle w:val="ListParagraph"/>
        <w:numPr>
          <w:ilvl w:val="2"/>
          <w:numId w:val="496"/>
        </w:numPr>
        <w:tabs>
          <w:tab w:pos="1478" w:val="left" w:leader="none"/>
        </w:tabs>
        <w:spacing w:line="446" w:lineRule="auto" w:before="0" w:after="0"/>
        <w:ind w:left="418" w:right="1498" w:firstLine="422"/>
        <w:jc w:val="left"/>
        <w:rPr>
          <w:sz w:val="21"/>
        </w:rPr>
      </w:pPr>
      <w:r>
        <w:rPr>
          <w:spacing w:val="-7"/>
          <w:sz w:val="21"/>
        </w:rPr>
        <w:t>其他需要巡查的内容见表 </w:t>
      </w:r>
      <w:r>
        <w:rPr>
          <w:sz w:val="21"/>
        </w:rPr>
        <w:t>C.1</w:t>
      </w:r>
      <w:r>
        <w:rPr>
          <w:spacing w:val="-8"/>
          <w:sz w:val="21"/>
        </w:rPr>
        <w:t> 中“其他巡查内容”部分，单位也可根据实际情况， </w:t>
      </w:r>
      <w:r>
        <w:rPr>
          <w:spacing w:val="-17"/>
          <w:sz w:val="21"/>
        </w:rPr>
        <w:t>参考表 </w:t>
      </w:r>
      <w:r>
        <w:rPr>
          <w:sz w:val="21"/>
        </w:rPr>
        <w:t>C.1</w:t>
      </w:r>
      <w:r>
        <w:rPr>
          <w:spacing w:val="-8"/>
          <w:sz w:val="21"/>
        </w:rPr>
        <w:t> 的样式，自行制定有关消防安全巡查记录表。</w:t>
      </w:r>
      <w:r>
        <w:rPr>
          <w:sz w:val="21"/>
        </w:rPr>
        <w:t> </w:t>
      </w:r>
    </w:p>
    <w:p>
      <w:pPr>
        <w:pStyle w:val="Heading4"/>
        <w:spacing w:line="275" w:lineRule="exact"/>
      </w:pPr>
      <w:r>
        <w:rPr/>
        <w:t>7 检测</w:t>
      </w:r>
      <w:r>
        <w:rPr>
          <w:w w:val="99"/>
        </w:rPr>
        <w:t> </w:t>
      </w:r>
    </w:p>
    <w:p>
      <w:pPr>
        <w:pStyle w:val="BodyText"/>
        <w:spacing w:before="6"/>
        <w:rPr>
          <w:b/>
          <w:sz w:val="17"/>
        </w:rPr>
      </w:pPr>
    </w:p>
    <w:p>
      <w:pPr>
        <w:pStyle w:val="ListParagraph"/>
        <w:numPr>
          <w:ilvl w:val="1"/>
          <w:numId w:val="497"/>
        </w:numPr>
        <w:tabs>
          <w:tab w:pos="1160" w:val="left" w:leader="none"/>
        </w:tabs>
        <w:spacing w:line="240" w:lineRule="auto" w:before="0" w:after="0"/>
        <w:ind w:left="1159" w:right="0" w:hanging="320"/>
        <w:jc w:val="left"/>
        <w:rPr>
          <w:sz w:val="21"/>
        </w:rPr>
      </w:pPr>
      <w:r>
        <w:rPr>
          <w:spacing w:val="-3"/>
          <w:sz w:val="21"/>
        </w:rPr>
        <w:t>一般要求</w:t>
      </w:r>
      <w:r>
        <w:rPr>
          <w:sz w:val="21"/>
        </w:rPr>
        <w:t> </w:t>
      </w:r>
    </w:p>
    <w:p>
      <w:pPr>
        <w:pStyle w:val="BodyText"/>
        <w:rPr>
          <w:sz w:val="18"/>
        </w:rPr>
      </w:pPr>
    </w:p>
    <w:p>
      <w:pPr>
        <w:pStyle w:val="ListParagraph"/>
        <w:numPr>
          <w:ilvl w:val="2"/>
          <w:numId w:val="497"/>
        </w:numPr>
        <w:tabs>
          <w:tab w:pos="1371" w:val="left" w:leader="none"/>
        </w:tabs>
        <w:spacing w:line="446" w:lineRule="auto" w:before="0" w:after="0"/>
        <w:ind w:left="418" w:right="1498" w:firstLine="422"/>
        <w:jc w:val="left"/>
        <w:rPr>
          <w:sz w:val="21"/>
        </w:rPr>
      </w:pPr>
      <w:r>
        <w:rPr>
          <w:spacing w:val="-3"/>
          <w:sz w:val="21"/>
        </w:rPr>
        <w:t>建筑消防设施应每年至少检测一次，检测对象包括全部设备、组件等，设有自动消防系统的宾馆、饭店、商场、市场、公共娱乐场所等人员密集场所，易燃易爆单位以及其他一类高层公共建筑等消防安全重点单位，应自系统投入运行后每一年年底前，将年度检测记录报</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608"/>
      </w:pPr>
      <w:r>
        <w:rPr/>
        <w:t>当地公安机关消防机构的备案。在重大的节日，重大的活动前或者期间，应根据当地公安机关消防机构的要求对建筑消防设施进行检测。 </w:t>
      </w:r>
    </w:p>
    <w:p>
      <w:pPr>
        <w:pStyle w:val="ListParagraph"/>
        <w:numPr>
          <w:ilvl w:val="2"/>
          <w:numId w:val="497"/>
        </w:numPr>
        <w:tabs>
          <w:tab w:pos="1371" w:val="left" w:leader="none"/>
        </w:tabs>
        <w:spacing w:line="446" w:lineRule="auto" w:before="0" w:after="0"/>
        <w:ind w:left="418" w:right="1498" w:firstLine="422"/>
        <w:jc w:val="left"/>
        <w:rPr>
          <w:sz w:val="21"/>
        </w:rPr>
      </w:pPr>
      <w:r>
        <w:rPr>
          <w:spacing w:val="-3"/>
          <w:sz w:val="21"/>
        </w:rPr>
        <w:t>从事建筑消防设施检测的人员，应当通过消防行业特有工种职业技能鉴定，持有高级技能以上等级职业资格证书。</w:t>
      </w:r>
      <w:r>
        <w:rPr>
          <w:sz w:val="21"/>
        </w:rPr>
        <w:t> </w:t>
      </w:r>
    </w:p>
    <w:p>
      <w:pPr>
        <w:pStyle w:val="ListParagraph"/>
        <w:numPr>
          <w:ilvl w:val="2"/>
          <w:numId w:val="497"/>
        </w:numPr>
        <w:tabs>
          <w:tab w:pos="1370" w:val="left" w:leader="none"/>
        </w:tabs>
        <w:spacing w:line="446" w:lineRule="auto" w:before="0" w:after="0"/>
        <w:ind w:left="418" w:right="1498" w:firstLine="422"/>
        <w:jc w:val="left"/>
        <w:rPr>
          <w:sz w:val="21"/>
        </w:rPr>
      </w:pPr>
      <w:r>
        <w:rPr>
          <w:spacing w:val="-7"/>
          <w:sz w:val="21"/>
        </w:rPr>
        <w:t>建筑消防设施检测应按 </w:t>
      </w:r>
      <w:r>
        <w:rPr>
          <w:sz w:val="21"/>
        </w:rPr>
        <w:t>GA</w:t>
      </w:r>
      <w:r>
        <w:rPr>
          <w:spacing w:val="24"/>
          <w:sz w:val="21"/>
        </w:rPr>
        <w:t> </w:t>
      </w:r>
      <w:r>
        <w:rPr>
          <w:sz w:val="21"/>
        </w:rPr>
        <w:t>503</w:t>
      </w:r>
      <w:r>
        <w:rPr>
          <w:spacing w:val="-9"/>
          <w:sz w:val="21"/>
        </w:rPr>
        <w:t> 的要求进行，并如实填写《建筑消防设施检测记录表》</w:t>
      </w:r>
      <w:r>
        <w:rPr>
          <w:spacing w:val="-3"/>
          <w:sz w:val="21"/>
        </w:rPr>
        <w:t>（</w:t>
      </w:r>
      <w:r>
        <w:rPr>
          <w:spacing w:val="-19"/>
          <w:sz w:val="21"/>
        </w:rPr>
        <w:t>见表 </w:t>
      </w:r>
      <w:r>
        <w:rPr>
          <w:sz w:val="21"/>
        </w:rPr>
        <w:t>D.1）</w:t>
      </w:r>
      <w:r>
        <w:rPr>
          <w:spacing w:val="-3"/>
          <w:sz w:val="21"/>
        </w:rPr>
        <w:t>的相关内容。 </w:t>
      </w:r>
    </w:p>
    <w:p>
      <w:pPr>
        <w:pStyle w:val="ListParagraph"/>
        <w:numPr>
          <w:ilvl w:val="1"/>
          <w:numId w:val="497"/>
        </w:numPr>
        <w:tabs>
          <w:tab w:pos="1159" w:val="left" w:leader="none"/>
        </w:tabs>
        <w:spacing w:line="240" w:lineRule="auto" w:before="0" w:after="0"/>
        <w:ind w:left="1158" w:right="0" w:hanging="319"/>
        <w:jc w:val="left"/>
        <w:rPr>
          <w:sz w:val="21"/>
        </w:rPr>
      </w:pPr>
      <w:r>
        <w:rPr>
          <w:spacing w:val="-3"/>
          <w:sz w:val="21"/>
        </w:rPr>
        <w:t>检测内容</w:t>
      </w:r>
      <w:r>
        <w:rPr>
          <w:sz w:val="21"/>
        </w:rPr>
        <w:t> </w:t>
      </w:r>
    </w:p>
    <w:p>
      <w:pPr>
        <w:pStyle w:val="BodyText"/>
        <w:spacing w:before="11"/>
        <w:rPr>
          <w:sz w:val="17"/>
        </w:rPr>
      </w:pPr>
    </w:p>
    <w:p>
      <w:pPr>
        <w:pStyle w:val="ListParagraph"/>
        <w:numPr>
          <w:ilvl w:val="2"/>
          <w:numId w:val="497"/>
        </w:numPr>
        <w:tabs>
          <w:tab w:pos="1371" w:val="left" w:leader="none"/>
        </w:tabs>
        <w:spacing w:line="240" w:lineRule="auto" w:before="0" w:after="0"/>
        <w:ind w:left="1370" w:right="0" w:hanging="531"/>
        <w:jc w:val="left"/>
        <w:rPr>
          <w:sz w:val="21"/>
        </w:rPr>
      </w:pPr>
      <w:r>
        <w:rPr>
          <w:spacing w:val="-7"/>
          <w:sz w:val="21"/>
        </w:rPr>
        <w:t>消防供配电设施的检测内容见表 </w:t>
      </w:r>
      <w:r>
        <w:rPr>
          <w:sz w:val="21"/>
        </w:rPr>
        <w:t>D.1</w:t>
      </w:r>
      <w:r>
        <w:rPr>
          <w:spacing w:val="-8"/>
          <w:sz w:val="21"/>
        </w:rPr>
        <w:t> 中“消防供电配电设施”部分。 </w:t>
      </w:r>
    </w:p>
    <w:p>
      <w:pPr>
        <w:pStyle w:val="BodyText"/>
        <w:spacing w:before="12"/>
        <w:rPr>
          <w:sz w:val="17"/>
        </w:rPr>
      </w:pPr>
    </w:p>
    <w:p>
      <w:pPr>
        <w:pStyle w:val="ListParagraph"/>
        <w:numPr>
          <w:ilvl w:val="2"/>
          <w:numId w:val="497"/>
        </w:numPr>
        <w:tabs>
          <w:tab w:pos="1370" w:val="left" w:leader="none"/>
        </w:tabs>
        <w:spacing w:line="240" w:lineRule="auto" w:before="0" w:after="0"/>
        <w:ind w:left="1369" w:right="0" w:hanging="530"/>
        <w:jc w:val="left"/>
        <w:rPr>
          <w:sz w:val="21"/>
        </w:rPr>
      </w:pPr>
      <w:r>
        <w:rPr>
          <w:spacing w:val="-7"/>
          <w:sz w:val="21"/>
        </w:rPr>
        <w:t>火灾自动报警系统的检测内容见表 </w:t>
      </w:r>
      <w:r>
        <w:rPr>
          <w:sz w:val="21"/>
        </w:rPr>
        <w:t>D.1</w:t>
      </w:r>
      <w:r>
        <w:rPr>
          <w:spacing w:val="-9"/>
          <w:sz w:val="21"/>
        </w:rPr>
        <w:t> 中“火灾自动报警系统”部分。 </w:t>
      </w:r>
    </w:p>
    <w:p>
      <w:pPr>
        <w:pStyle w:val="BodyText"/>
        <w:spacing w:before="2"/>
        <w:rPr>
          <w:sz w:val="18"/>
        </w:rPr>
      </w:pPr>
    </w:p>
    <w:p>
      <w:pPr>
        <w:pStyle w:val="ListParagraph"/>
        <w:numPr>
          <w:ilvl w:val="2"/>
          <w:numId w:val="497"/>
        </w:numPr>
        <w:tabs>
          <w:tab w:pos="1371" w:val="left" w:leader="none"/>
        </w:tabs>
        <w:spacing w:line="240" w:lineRule="auto" w:before="0" w:after="0"/>
        <w:ind w:left="1370" w:right="0" w:hanging="531"/>
        <w:jc w:val="left"/>
        <w:rPr>
          <w:sz w:val="21"/>
        </w:rPr>
      </w:pPr>
      <w:r>
        <w:rPr>
          <w:spacing w:val="-7"/>
          <w:sz w:val="21"/>
        </w:rPr>
        <w:t>消防供水设施的检测内容见表 </w:t>
      </w:r>
      <w:r>
        <w:rPr>
          <w:sz w:val="21"/>
        </w:rPr>
        <w:t>D.1</w:t>
      </w:r>
      <w:r>
        <w:rPr>
          <w:spacing w:val="-9"/>
          <w:sz w:val="21"/>
        </w:rPr>
        <w:t> 中“消防供水设施”部分。</w:t>
      </w:r>
      <w:r>
        <w:rPr>
          <w:sz w:val="21"/>
        </w:rPr>
        <w:t> </w:t>
      </w:r>
    </w:p>
    <w:p>
      <w:pPr>
        <w:pStyle w:val="BodyText"/>
        <w:spacing w:before="12"/>
        <w:rPr>
          <w:sz w:val="17"/>
        </w:rPr>
      </w:pPr>
    </w:p>
    <w:p>
      <w:pPr>
        <w:pStyle w:val="ListParagraph"/>
        <w:numPr>
          <w:ilvl w:val="2"/>
          <w:numId w:val="497"/>
        </w:numPr>
        <w:tabs>
          <w:tab w:pos="1371" w:val="left" w:leader="none"/>
        </w:tabs>
        <w:spacing w:line="446" w:lineRule="auto" w:before="0" w:after="0"/>
        <w:ind w:left="418" w:right="1500" w:firstLine="422"/>
        <w:jc w:val="left"/>
        <w:rPr>
          <w:sz w:val="21"/>
        </w:rPr>
      </w:pPr>
      <w:r>
        <w:rPr>
          <w:spacing w:val="-1"/>
          <w:sz w:val="21"/>
        </w:rPr>
        <w:t>消火栓</w:t>
      </w:r>
      <w:r>
        <w:rPr>
          <w:sz w:val="21"/>
        </w:rPr>
        <w:t>（</w:t>
      </w:r>
      <w:r>
        <w:rPr>
          <w:spacing w:val="-3"/>
          <w:sz w:val="21"/>
        </w:rPr>
        <w:t>消防炮）</w:t>
      </w:r>
      <w:r>
        <w:rPr>
          <w:spacing w:val="-6"/>
          <w:sz w:val="21"/>
        </w:rPr>
        <w:t>灭火系统的检测内容见表 </w:t>
      </w:r>
      <w:r>
        <w:rPr>
          <w:sz w:val="21"/>
        </w:rPr>
        <w:t>D.1</w:t>
      </w:r>
      <w:r>
        <w:rPr>
          <w:spacing w:val="-7"/>
          <w:sz w:val="21"/>
        </w:rPr>
        <w:t> 中“消火栓(消防炮)灭火系统”部分</w:t>
      </w:r>
      <w:r>
        <w:rPr>
          <w:spacing w:val="-3"/>
          <w:sz w:val="21"/>
        </w:rPr>
        <w:t>。</w:t>
      </w:r>
      <w:r>
        <w:rPr>
          <w:sz w:val="21"/>
        </w:rPr>
        <w:t> </w:t>
      </w:r>
    </w:p>
    <w:p>
      <w:pPr>
        <w:pStyle w:val="ListParagraph"/>
        <w:numPr>
          <w:ilvl w:val="2"/>
          <w:numId w:val="497"/>
        </w:numPr>
        <w:tabs>
          <w:tab w:pos="1370" w:val="left" w:leader="none"/>
        </w:tabs>
        <w:spacing w:line="240" w:lineRule="auto" w:before="0" w:after="0"/>
        <w:ind w:left="1369" w:right="0" w:hanging="530"/>
        <w:jc w:val="left"/>
        <w:rPr>
          <w:sz w:val="21"/>
        </w:rPr>
      </w:pPr>
      <w:r>
        <w:rPr>
          <w:spacing w:val="-7"/>
          <w:sz w:val="21"/>
        </w:rPr>
        <w:t>自动喷水灭火系统的检测内容见表 </w:t>
      </w:r>
      <w:r>
        <w:rPr>
          <w:sz w:val="21"/>
        </w:rPr>
        <w:t>D.1</w:t>
      </w:r>
      <w:r>
        <w:rPr>
          <w:spacing w:val="-9"/>
          <w:sz w:val="21"/>
        </w:rPr>
        <w:t> 中“自动喷水灭火系统”部分， </w:t>
      </w:r>
    </w:p>
    <w:p>
      <w:pPr>
        <w:pStyle w:val="BodyText"/>
        <w:rPr>
          <w:sz w:val="18"/>
        </w:rPr>
      </w:pPr>
    </w:p>
    <w:p>
      <w:pPr>
        <w:pStyle w:val="ListParagraph"/>
        <w:numPr>
          <w:ilvl w:val="2"/>
          <w:numId w:val="497"/>
        </w:numPr>
        <w:tabs>
          <w:tab w:pos="1370" w:val="left" w:leader="none"/>
        </w:tabs>
        <w:spacing w:line="240" w:lineRule="auto" w:before="0" w:after="0"/>
        <w:ind w:left="1369" w:right="0" w:hanging="530"/>
        <w:jc w:val="left"/>
        <w:rPr>
          <w:sz w:val="21"/>
        </w:rPr>
      </w:pPr>
      <w:r>
        <w:rPr>
          <w:spacing w:val="-7"/>
          <w:sz w:val="21"/>
        </w:rPr>
        <w:t>泡沫灭火系统的检测内容见表 </w:t>
      </w:r>
      <w:r>
        <w:rPr>
          <w:sz w:val="21"/>
        </w:rPr>
        <w:t>D.1</w:t>
      </w:r>
      <w:r>
        <w:rPr>
          <w:spacing w:val="-9"/>
          <w:sz w:val="21"/>
        </w:rPr>
        <w:t> 中“泡沫灭火系统”部分。</w:t>
      </w:r>
      <w:r>
        <w:rPr>
          <w:sz w:val="21"/>
        </w:rPr>
        <w:t> </w:t>
      </w:r>
    </w:p>
    <w:p>
      <w:pPr>
        <w:pStyle w:val="BodyText"/>
        <w:rPr>
          <w:sz w:val="18"/>
        </w:rPr>
      </w:pPr>
    </w:p>
    <w:p>
      <w:pPr>
        <w:pStyle w:val="ListParagraph"/>
        <w:numPr>
          <w:ilvl w:val="2"/>
          <w:numId w:val="497"/>
        </w:numPr>
        <w:tabs>
          <w:tab w:pos="1370" w:val="left" w:leader="none"/>
        </w:tabs>
        <w:spacing w:line="240" w:lineRule="auto" w:before="0" w:after="0"/>
        <w:ind w:left="1369" w:right="0" w:hanging="530"/>
        <w:jc w:val="left"/>
        <w:rPr>
          <w:sz w:val="21"/>
        </w:rPr>
      </w:pPr>
      <w:r>
        <w:rPr>
          <w:spacing w:val="-7"/>
          <w:sz w:val="21"/>
        </w:rPr>
        <w:t>气体灭火系统的检测内容见表 </w:t>
      </w:r>
      <w:r>
        <w:rPr>
          <w:sz w:val="21"/>
        </w:rPr>
        <w:t>D</w:t>
      </w:r>
      <w:r>
        <w:rPr>
          <w:spacing w:val="1"/>
          <w:sz w:val="21"/>
        </w:rPr>
        <w:t>. </w:t>
      </w:r>
      <w:r>
        <w:rPr>
          <w:sz w:val="21"/>
        </w:rPr>
        <w:t>1</w:t>
      </w:r>
      <w:r>
        <w:rPr>
          <w:spacing w:val="-8"/>
          <w:sz w:val="21"/>
        </w:rPr>
        <w:t> 中“气体灭火系统”部分.</w:t>
      </w:r>
      <w:r>
        <w:rPr>
          <w:sz w:val="21"/>
        </w:rPr>
        <w:t> </w:t>
      </w:r>
    </w:p>
    <w:p>
      <w:pPr>
        <w:pStyle w:val="BodyText"/>
        <w:spacing w:before="1"/>
        <w:rPr>
          <w:sz w:val="18"/>
        </w:rPr>
      </w:pPr>
    </w:p>
    <w:p>
      <w:pPr>
        <w:pStyle w:val="ListParagraph"/>
        <w:numPr>
          <w:ilvl w:val="2"/>
          <w:numId w:val="497"/>
        </w:numPr>
        <w:tabs>
          <w:tab w:pos="1371" w:val="left" w:leader="none"/>
        </w:tabs>
        <w:spacing w:line="240" w:lineRule="auto" w:before="1" w:after="0"/>
        <w:ind w:left="1370" w:right="0" w:hanging="531"/>
        <w:jc w:val="left"/>
        <w:rPr>
          <w:sz w:val="21"/>
        </w:rPr>
      </w:pPr>
      <w:r>
        <w:rPr>
          <w:spacing w:val="-8"/>
          <w:sz w:val="21"/>
        </w:rPr>
        <w:t>防烟系统的检测内容见表 </w:t>
      </w:r>
      <w:r>
        <w:rPr>
          <w:sz w:val="21"/>
        </w:rPr>
        <w:t>D.1</w:t>
      </w:r>
      <w:r>
        <w:rPr>
          <w:spacing w:val="-8"/>
          <w:sz w:val="21"/>
        </w:rPr>
        <w:t> 中“机械加压送风系统”部分。</w:t>
      </w:r>
      <w:r>
        <w:rPr>
          <w:sz w:val="21"/>
        </w:rPr>
        <w:t> </w:t>
      </w:r>
    </w:p>
    <w:p>
      <w:pPr>
        <w:pStyle w:val="BodyText"/>
        <w:spacing w:before="12"/>
        <w:rPr>
          <w:sz w:val="17"/>
        </w:rPr>
      </w:pPr>
    </w:p>
    <w:p>
      <w:pPr>
        <w:pStyle w:val="ListParagraph"/>
        <w:numPr>
          <w:ilvl w:val="2"/>
          <w:numId w:val="497"/>
        </w:numPr>
        <w:tabs>
          <w:tab w:pos="1370" w:val="left" w:leader="none"/>
        </w:tabs>
        <w:spacing w:line="240" w:lineRule="auto" w:before="0" w:after="0"/>
        <w:ind w:left="1369" w:right="0" w:hanging="530"/>
        <w:jc w:val="left"/>
        <w:rPr>
          <w:sz w:val="21"/>
        </w:rPr>
      </w:pPr>
      <w:r>
        <w:rPr>
          <w:spacing w:val="-8"/>
          <w:sz w:val="21"/>
        </w:rPr>
        <w:t>排烟系统的检测内容见表 </w:t>
      </w:r>
      <w:r>
        <w:rPr>
          <w:sz w:val="21"/>
        </w:rPr>
        <w:t>D.l</w:t>
      </w:r>
      <w:r>
        <w:rPr>
          <w:spacing w:val="-8"/>
          <w:sz w:val="21"/>
        </w:rPr>
        <w:t> 中“机械排烟系统”部分。</w:t>
      </w:r>
      <w:r>
        <w:rPr>
          <w:sz w:val="21"/>
        </w:rPr>
        <w:t> </w:t>
      </w:r>
    </w:p>
    <w:p>
      <w:pPr>
        <w:pStyle w:val="BodyText"/>
        <w:spacing w:before="12"/>
        <w:rPr>
          <w:sz w:val="17"/>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7"/>
          <w:sz w:val="21"/>
        </w:rPr>
        <w:t>应急照明系统的检测内容见表 </w:t>
      </w:r>
      <w:r>
        <w:rPr>
          <w:sz w:val="21"/>
        </w:rPr>
        <w:t>D</w:t>
      </w:r>
      <w:r>
        <w:rPr>
          <w:spacing w:val="1"/>
          <w:sz w:val="21"/>
        </w:rPr>
        <w:t>. </w:t>
      </w:r>
      <w:r>
        <w:rPr>
          <w:sz w:val="21"/>
        </w:rPr>
        <w:t>1</w:t>
      </w:r>
      <w:r>
        <w:rPr>
          <w:spacing w:val="-9"/>
          <w:sz w:val="21"/>
        </w:rPr>
        <w:t> 中“应急照明系统”部分。</w:t>
      </w:r>
      <w:r>
        <w:rPr>
          <w:sz w:val="21"/>
        </w:rPr>
        <w:t> </w:t>
      </w:r>
    </w:p>
    <w:p>
      <w:pPr>
        <w:pStyle w:val="BodyText"/>
        <w:spacing w:before="2"/>
        <w:rPr>
          <w:sz w:val="18"/>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7"/>
          <w:sz w:val="21"/>
        </w:rPr>
        <w:t>应急广播系统的检测内容见表 </w:t>
      </w:r>
      <w:r>
        <w:rPr>
          <w:sz w:val="21"/>
        </w:rPr>
        <w:t>D.1</w:t>
      </w:r>
      <w:r>
        <w:rPr>
          <w:spacing w:val="-8"/>
          <w:sz w:val="21"/>
        </w:rPr>
        <w:t> 中“应急广播系统”部分。</w:t>
      </w:r>
      <w:r>
        <w:rPr>
          <w:sz w:val="21"/>
        </w:rPr>
        <w:t> </w:t>
      </w:r>
    </w:p>
    <w:p>
      <w:pPr>
        <w:pStyle w:val="BodyText"/>
        <w:rPr>
          <w:sz w:val="18"/>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7"/>
          <w:sz w:val="21"/>
        </w:rPr>
        <w:t>消防专用电话的检测内容见表 </w:t>
      </w:r>
      <w:r>
        <w:rPr>
          <w:sz w:val="21"/>
        </w:rPr>
        <w:t>D</w:t>
      </w:r>
      <w:r>
        <w:rPr>
          <w:spacing w:val="1"/>
          <w:sz w:val="21"/>
        </w:rPr>
        <w:t>. </w:t>
      </w:r>
      <w:r>
        <w:rPr>
          <w:sz w:val="21"/>
        </w:rPr>
        <w:t>1</w:t>
      </w:r>
      <w:r>
        <w:rPr>
          <w:spacing w:val="-9"/>
          <w:sz w:val="21"/>
        </w:rPr>
        <w:t> 中“消防专用电话”部分„</w:t>
      </w:r>
      <w:r>
        <w:rPr>
          <w:sz w:val="21"/>
        </w:rPr>
        <w:t> </w:t>
      </w:r>
    </w:p>
    <w:p>
      <w:pPr>
        <w:pStyle w:val="BodyText"/>
        <w:rPr>
          <w:sz w:val="18"/>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7"/>
          <w:sz w:val="21"/>
        </w:rPr>
        <w:t>防火分隔设施的检测内容见表 </w:t>
      </w:r>
      <w:r>
        <w:rPr>
          <w:sz w:val="21"/>
        </w:rPr>
        <w:t>D</w:t>
      </w:r>
      <w:r>
        <w:rPr>
          <w:spacing w:val="1"/>
          <w:sz w:val="21"/>
        </w:rPr>
        <w:t>. </w:t>
      </w:r>
      <w:r>
        <w:rPr>
          <w:sz w:val="21"/>
        </w:rPr>
        <w:t>1</w:t>
      </w:r>
      <w:r>
        <w:rPr>
          <w:spacing w:val="-9"/>
          <w:sz w:val="21"/>
        </w:rPr>
        <w:t> 中“防火分隔”部分。</w:t>
      </w:r>
      <w:r>
        <w:rPr>
          <w:sz w:val="21"/>
        </w:rPr>
        <w:t> </w:t>
      </w:r>
    </w:p>
    <w:p>
      <w:pPr>
        <w:pStyle w:val="BodyText"/>
        <w:spacing w:before="2"/>
        <w:rPr>
          <w:sz w:val="18"/>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8"/>
          <w:sz w:val="21"/>
        </w:rPr>
        <w:t>消防电梯的检测内容见表 </w:t>
      </w:r>
      <w:r>
        <w:rPr>
          <w:sz w:val="21"/>
        </w:rPr>
        <w:t>D</w:t>
      </w:r>
      <w:r>
        <w:rPr>
          <w:spacing w:val="1"/>
          <w:sz w:val="21"/>
        </w:rPr>
        <w:t>. </w:t>
      </w:r>
      <w:r>
        <w:rPr>
          <w:sz w:val="21"/>
        </w:rPr>
        <w:t>1</w:t>
      </w:r>
      <w:r>
        <w:rPr>
          <w:spacing w:val="-9"/>
          <w:sz w:val="21"/>
        </w:rPr>
        <w:t> 中“消防电梯”部分。</w:t>
      </w:r>
      <w:r>
        <w:rPr>
          <w:sz w:val="21"/>
        </w:rPr>
        <w:t> </w:t>
      </w:r>
    </w:p>
    <w:p>
      <w:pPr>
        <w:pStyle w:val="BodyText"/>
        <w:spacing w:before="12"/>
        <w:rPr>
          <w:sz w:val="17"/>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7"/>
          <w:sz w:val="21"/>
        </w:rPr>
        <w:t>细水雾灭火系统的检测内容见表 </w:t>
      </w:r>
      <w:r>
        <w:rPr>
          <w:sz w:val="21"/>
        </w:rPr>
        <w:t>D</w:t>
      </w:r>
      <w:r>
        <w:rPr>
          <w:spacing w:val="1"/>
          <w:sz w:val="21"/>
        </w:rPr>
        <w:t>. </w:t>
      </w:r>
      <w:r>
        <w:rPr>
          <w:sz w:val="21"/>
        </w:rPr>
        <w:t>1</w:t>
      </w:r>
      <w:r>
        <w:rPr>
          <w:spacing w:val="-9"/>
          <w:sz w:val="21"/>
        </w:rPr>
        <w:t> 中“细水雾灭火系统”部分</w:t>
      </w:r>
      <w:r>
        <w:rPr>
          <w:sz w:val="21"/>
        </w:rPr>
        <w:t> </w:t>
      </w:r>
    </w:p>
    <w:p>
      <w:pPr>
        <w:pStyle w:val="BodyText"/>
        <w:spacing w:before="12"/>
        <w:rPr>
          <w:sz w:val="17"/>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7"/>
          <w:sz w:val="21"/>
        </w:rPr>
        <w:t>干粉灭火系统的检测内容见表 </w:t>
      </w:r>
      <w:r>
        <w:rPr>
          <w:sz w:val="21"/>
        </w:rPr>
        <w:t>D.1</w:t>
      </w:r>
      <w:r>
        <w:rPr>
          <w:spacing w:val="-8"/>
          <w:sz w:val="21"/>
        </w:rPr>
        <w:t> 中“干粉灭火系统”部分.</w:t>
      </w:r>
      <w:r>
        <w:rPr>
          <w:sz w:val="21"/>
        </w:rPr>
        <w:t> </w:t>
      </w:r>
    </w:p>
    <w:p>
      <w:pPr>
        <w:pStyle w:val="BodyText"/>
        <w:spacing w:before="2"/>
        <w:rPr>
          <w:sz w:val="18"/>
        </w:rPr>
      </w:pPr>
    </w:p>
    <w:p>
      <w:pPr>
        <w:pStyle w:val="ListParagraph"/>
        <w:numPr>
          <w:ilvl w:val="2"/>
          <w:numId w:val="497"/>
        </w:numPr>
        <w:tabs>
          <w:tab w:pos="1478" w:val="left" w:leader="none"/>
        </w:tabs>
        <w:spacing w:line="240" w:lineRule="auto" w:before="0" w:after="0"/>
        <w:ind w:left="1477" w:right="0" w:hanging="638"/>
        <w:jc w:val="left"/>
        <w:rPr>
          <w:sz w:val="21"/>
        </w:rPr>
      </w:pPr>
      <w:r>
        <w:rPr>
          <w:spacing w:val="-8"/>
          <w:sz w:val="21"/>
        </w:rPr>
        <w:t>灭火器的检测内容见表 </w:t>
      </w:r>
      <w:r>
        <w:rPr>
          <w:sz w:val="21"/>
        </w:rPr>
        <w:t>D.1</w:t>
      </w:r>
      <w:r>
        <w:rPr>
          <w:spacing w:val="-8"/>
          <w:sz w:val="21"/>
        </w:rPr>
        <w:t> 中“灭火器”部分„</w:t>
      </w:r>
      <w:r>
        <w:rPr>
          <w:sz w:val="21"/>
        </w:rPr>
        <w:t> </w:t>
      </w:r>
    </w:p>
    <w:p>
      <w:pPr>
        <w:pStyle w:val="BodyText"/>
        <w:rPr>
          <w:sz w:val="18"/>
        </w:rPr>
      </w:pPr>
    </w:p>
    <w:p>
      <w:pPr>
        <w:pStyle w:val="ListParagraph"/>
        <w:numPr>
          <w:ilvl w:val="2"/>
          <w:numId w:val="497"/>
        </w:numPr>
        <w:tabs>
          <w:tab w:pos="1478" w:val="left" w:leader="none"/>
        </w:tabs>
        <w:spacing w:line="446" w:lineRule="auto" w:before="0" w:after="0"/>
        <w:ind w:left="418" w:right="1601" w:firstLine="422"/>
        <w:jc w:val="left"/>
        <w:rPr>
          <w:sz w:val="21"/>
        </w:rPr>
      </w:pPr>
      <w:r>
        <w:rPr>
          <w:spacing w:val="-7"/>
          <w:sz w:val="21"/>
        </w:rPr>
        <w:t>其他需要检测的内容见表 </w:t>
      </w:r>
      <w:r>
        <w:rPr>
          <w:sz w:val="21"/>
        </w:rPr>
        <w:t>D</w:t>
      </w:r>
      <w:r>
        <w:rPr>
          <w:spacing w:val="12"/>
          <w:sz w:val="21"/>
        </w:rPr>
        <w:t>. </w:t>
      </w:r>
      <w:r>
        <w:rPr>
          <w:sz w:val="21"/>
        </w:rPr>
        <w:t>1</w:t>
      </w:r>
      <w:r>
        <w:rPr>
          <w:spacing w:val="-8"/>
          <w:sz w:val="21"/>
        </w:rPr>
        <w:t> 中“其他设施”部分。从亊检测工作的单位也可根据实际情况， 参考表 </w:t>
      </w:r>
      <w:r>
        <w:rPr>
          <w:sz w:val="21"/>
        </w:rPr>
        <w:t>D.</w:t>
      </w:r>
      <w:r>
        <w:rPr>
          <w:spacing w:val="4"/>
          <w:sz w:val="21"/>
        </w:rPr>
        <w:t> </w:t>
      </w:r>
      <w:r>
        <w:rPr>
          <w:sz w:val="21"/>
        </w:rPr>
        <w:t>1</w:t>
      </w:r>
      <w:r>
        <w:rPr>
          <w:spacing w:val="-9"/>
          <w:sz w:val="21"/>
        </w:rPr>
        <w:t> 的样式，自行制定有关消防安全检测记录表。 </w:t>
      </w:r>
    </w:p>
    <w:p>
      <w:pPr>
        <w:spacing w:after="0" w:line="446" w:lineRule="auto"/>
        <w:jc w:val="left"/>
        <w:rPr>
          <w:sz w:val="21"/>
        </w:rPr>
        <w:sectPr>
          <w:pgSz w:w="11910" w:h="16850"/>
          <w:pgMar w:header="0" w:footer="1239" w:top="1220" w:bottom="1420" w:left="1260" w:right="0"/>
        </w:sectPr>
      </w:pPr>
    </w:p>
    <w:p>
      <w:pPr>
        <w:pStyle w:val="Heading4"/>
        <w:spacing w:before="37"/>
      </w:pPr>
      <w:r>
        <w:rPr/>
        <w:t>8 维修</w:t>
      </w:r>
      <w:r>
        <w:rPr>
          <w:w w:val="99"/>
        </w:rPr>
        <w:t> </w:t>
      </w:r>
    </w:p>
    <w:p>
      <w:pPr>
        <w:pStyle w:val="BodyText"/>
        <w:spacing w:before="4"/>
        <w:rPr>
          <w:b/>
          <w:sz w:val="17"/>
        </w:rPr>
      </w:pPr>
    </w:p>
    <w:p>
      <w:pPr>
        <w:pStyle w:val="ListParagraph"/>
        <w:numPr>
          <w:ilvl w:val="2"/>
          <w:numId w:val="498"/>
        </w:numPr>
        <w:tabs>
          <w:tab w:pos="1370" w:val="left" w:leader="none"/>
        </w:tabs>
        <w:spacing w:line="446" w:lineRule="auto" w:before="1" w:after="0"/>
        <w:ind w:left="418" w:right="1604" w:firstLine="422"/>
        <w:jc w:val="left"/>
        <w:rPr>
          <w:sz w:val="21"/>
        </w:rPr>
      </w:pPr>
      <w:r>
        <w:rPr>
          <w:spacing w:val="-3"/>
          <w:sz w:val="21"/>
        </w:rPr>
        <w:t>从事建筑消防设施维修的人员，应当通过消防行业特有工种职业技能鉴定，持有技师以上等级职业资格证书。 </w:t>
      </w:r>
    </w:p>
    <w:p>
      <w:pPr>
        <w:pStyle w:val="ListParagraph"/>
        <w:numPr>
          <w:ilvl w:val="2"/>
          <w:numId w:val="498"/>
        </w:numPr>
        <w:tabs>
          <w:tab w:pos="1370" w:val="left" w:leader="none"/>
        </w:tabs>
        <w:spacing w:line="446" w:lineRule="auto" w:before="0" w:after="0"/>
        <w:ind w:left="418" w:right="1604" w:firstLine="422"/>
        <w:jc w:val="left"/>
        <w:rPr>
          <w:sz w:val="21"/>
        </w:rPr>
      </w:pPr>
      <w:r>
        <w:rPr>
          <w:spacing w:val="-3"/>
          <w:sz w:val="21"/>
        </w:rPr>
        <w:t>值班、巡查、检测、灭火演练中发现建筑消防设施存在问题和故障的，相关人员应</w:t>
      </w:r>
      <w:r>
        <w:rPr>
          <w:spacing w:val="-6"/>
          <w:sz w:val="21"/>
        </w:rPr>
        <w:t>填写《建筑消防设施故障维修记录表》(见表 </w:t>
      </w:r>
      <w:r>
        <w:rPr>
          <w:sz w:val="21"/>
        </w:rPr>
        <w:t>B.1</w:t>
      </w:r>
      <w:r>
        <w:rPr>
          <w:spacing w:val="-3"/>
          <w:sz w:val="21"/>
        </w:rPr>
        <w:t>)，并向单位消防安全管理人报告。 </w:t>
      </w:r>
    </w:p>
    <w:p>
      <w:pPr>
        <w:pStyle w:val="BodyText"/>
        <w:rPr>
          <w:sz w:val="20"/>
        </w:rPr>
      </w:pPr>
    </w:p>
    <w:p>
      <w:pPr>
        <w:pStyle w:val="BodyText"/>
        <w:spacing w:before="11"/>
        <w:rPr>
          <w:sz w:val="18"/>
        </w:rPr>
      </w:pPr>
    </w:p>
    <w:p>
      <w:pPr>
        <w:pStyle w:val="ListParagraph"/>
        <w:numPr>
          <w:ilvl w:val="2"/>
          <w:numId w:val="498"/>
        </w:numPr>
        <w:tabs>
          <w:tab w:pos="1370" w:val="left" w:leader="none"/>
        </w:tabs>
        <w:spacing w:line="446" w:lineRule="auto" w:before="1" w:after="0"/>
        <w:ind w:left="418" w:right="1604" w:firstLine="422"/>
        <w:jc w:val="left"/>
        <w:rPr>
          <w:sz w:val="21"/>
        </w:rPr>
      </w:pPr>
      <w:r>
        <w:rPr>
          <w:spacing w:val="-3"/>
          <w:sz w:val="21"/>
        </w:rPr>
        <w:t>单位消防安全管理人对建筑消防设施存在的问题和故障，应立即通知维修人员进行维修，维修期间，应采取确保消防安全的有效措施。故障排除后应进行相应功能试验并经单位消防安全管理人检査   确认。维修情况应记入《建筑消防设施故障维修记录表》（</w:t>
      </w:r>
      <w:r>
        <w:rPr>
          <w:sz w:val="21"/>
        </w:rPr>
        <w:t>见表B.1）。 </w:t>
      </w:r>
      <w:r>
        <w:rPr>
          <w:spacing w:val="-2"/>
          <w:sz w:val="21"/>
        </w:rPr>
        <w:t> </w:t>
      </w:r>
      <w:r>
        <w:rPr>
          <w:w w:val="100"/>
          <w:sz w:val="21"/>
        </w:rPr>
        <w:t> </w:t>
      </w:r>
    </w:p>
    <w:p>
      <w:pPr>
        <w:pStyle w:val="Heading4"/>
        <w:spacing w:line="275" w:lineRule="exact"/>
      </w:pPr>
      <w:r>
        <w:rPr/>
        <w:t>9 保养</w:t>
      </w:r>
      <w:r>
        <w:rPr>
          <w:w w:val="99"/>
        </w:rPr>
        <w:t> </w:t>
      </w:r>
    </w:p>
    <w:p>
      <w:pPr>
        <w:pStyle w:val="BodyText"/>
        <w:spacing w:before="3"/>
        <w:rPr>
          <w:b/>
          <w:sz w:val="17"/>
        </w:rPr>
      </w:pPr>
    </w:p>
    <w:p>
      <w:pPr>
        <w:pStyle w:val="ListParagraph"/>
        <w:numPr>
          <w:ilvl w:val="1"/>
          <w:numId w:val="499"/>
        </w:numPr>
        <w:tabs>
          <w:tab w:pos="1159" w:val="left" w:leader="none"/>
        </w:tabs>
        <w:spacing w:line="240" w:lineRule="auto" w:before="1" w:after="0"/>
        <w:ind w:left="1158" w:right="0" w:hanging="319"/>
        <w:jc w:val="left"/>
        <w:rPr>
          <w:sz w:val="21"/>
        </w:rPr>
      </w:pPr>
      <w:r>
        <w:rPr>
          <w:spacing w:val="-3"/>
          <w:sz w:val="21"/>
        </w:rPr>
        <w:t>一般规定</w:t>
      </w:r>
      <w:r>
        <w:rPr>
          <w:sz w:val="21"/>
        </w:rPr>
        <w:t> </w:t>
      </w:r>
    </w:p>
    <w:p>
      <w:pPr>
        <w:pStyle w:val="BodyText"/>
        <w:spacing w:before="1"/>
        <w:rPr>
          <w:sz w:val="18"/>
        </w:rPr>
      </w:pPr>
    </w:p>
    <w:p>
      <w:pPr>
        <w:pStyle w:val="ListParagraph"/>
        <w:numPr>
          <w:ilvl w:val="2"/>
          <w:numId w:val="499"/>
        </w:numPr>
        <w:tabs>
          <w:tab w:pos="1370" w:val="left" w:leader="none"/>
        </w:tabs>
        <w:spacing w:line="240" w:lineRule="auto" w:before="0" w:after="0"/>
        <w:ind w:left="1369" w:right="0" w:hanging="530"/>
        <w:jc w:val="left"/>
        <w:rPr>
          <w:sz w:val="21"/>
        </w:rPr>
      </w:pPr>
      <w:r>
        <w:rPr>
          <w:spacing w:val="-3"/>
          <w:sz w:val="21"/>
        </w:rPr>
        <w:t>建筑消防设施维护保养应制定计划.列明消防设施的名称、维护保养的内容和周期</w:t>
      </w:r>
    </w:p>
    <w:p>
      <w:pPr>
        <w:pStyle w:val="BodyText"/>
        <w:rPr>
          <w:sz w:val="18"/>
        </w:rPr>
      </w:pPr>
    </w:p>
    <w:p>
      <w:pPr>
        <w:pStyle w:val="BodyText"/>
        <w:ind w:left="418"/>
      </w:pPr>
      <w:r>
        <w:rPr/>
        <w:t>（见表 E.1)。 </w:t>
      </w:r>
    </w:p>
    <w:p>
      <w:pPr>
        <w:pStyle w:val="BodyText"/>
        <w:rPr>
          <w:sz w:val="18"/>
        </w:rPr>
      </w:pPr>
    </w:p>
    <w:p>
      <w:pPr>
        <w:pStyle w:val="ListParagraph"/>
        <w:numPr>
          <w:ilvl w:val="2"/>
          <w:numId w:val="499"/>
        </w:numPr>
        <w:tabs>
          <w:tab w:pos="1370" w:val="left" w:leader="none"/>
        </w:tabs>
        <w:spacing w:line="446" w:lineRule="auto" w:before="0" w:after="0"/>
        <w:ind w:left="418" w:right="1604" w:firstLine="422"/>
        <w:jc w:val="left"/>
        <w:rPr>
          <w:sz w:val="21"/>
        </w:rPr>
      </w:pPr>
      <w:r>
        <w:rPr>
          <w:spacing w:val="-3"/>
          <w:sz w:val="21"/>
        </w:rPr>
        <w:t>从事建筑消防设施保养的人员，应通过消防行业特有工种职业技能鉴定，持有高级技能以上等级职业资格证书。</w:t>
      </w:r>
      <w:r>
        <w:rPr>
          <w:sz w:val="21"/>
        </w:rPr>
        <w:t> </w:t>
      </w:r>
    </w:p>
    <w:p>
      <w:pPr>
        <w:pStyle w:val="ListParagraph"/>
        <w:numPr>
          <w:ilvl w:val="2"/>
          <w:numId w:val="499"/>
        </w:numPr>
        <w:tabs>
          <w:tab w:pos="1370" w:val="left" w:leader="none"/>
        </w:tabs>
        <w:spacing w:line="446" w:lineRule="auto" w:before="0" w:after="0"/>
        <w:ind w:left="418" w:right="1604" w:firstLine="422"/>
        <w:jc w:val="both"/>
        <w:rPr>
          <w:sz w:val="21"/>
        </w:rPr>
      </w:pPr>
      <w:r>
        <w:rPr>
          <w:spacing w:val="-3"/>
          <w:sz w:val="21"/>
        </w:rPr>
        <w:t>凡依法需要计量检定的建筑消防设施所用称重、测压、测流量等计量仪器仪表以及泄压阀、安全 阀等，应按有关规定进行定期校验并提供有效证明文件。单位应储备一定数量的建筑消防设施易损件 或与有关产品厂家、供应商签订相关合同，以保证供应。</w:t>
      </w:r>
      <w:r>
        <w:rPr>
          <w:sz w:val="21"/>
        </w:rPr>
        <w:t> </w:t>
      </w:r>
    </w:p>
    <w:p>
      <w:pPr>
        <w:pStyle w:val="ListParagraph"/>
        <w:numPr>
          <w:ilvl w:val="2"/>
          <w:numId w:val="499"/>
        </w:numPr>
        <w:tabs>
          <w:tab w:pos="1371" w:val="left" w:leader="none"/>
        </w:tabs>
        <w:spacing w:line="446" w:lineRule="auto" w:before="0" w:after="0"/>
        <w:ind w:left="418" w:right="1709" w:firstLine="422"/>
        <w:jc w:val="left"/>
        <w:rPr>
          <w:sz w:val="21"/>
        </w:rPr>
      </w:pPr>
      <w:r>
        <w:rPr>
          <w:spacing w:val="-3"/>
          <w:sz w:val="21"/>
        </w:rPr>
        <w:t>实施建筑消防设施的维护保养时,应填写《建筑消防设施维护保养记录表》（</w:t>
      </w:r>
      <w:r>
        <w:rPr>
          <w:sz w:val="21"/>
        </w:rPr>
        <w:t>见表E.2）</w:t>
      </w:r>
      <w:r>
        <w:rPr>
          <w:spacing w:val="-3"/>
          <w:sz w:val="21"/>
        </w:rPr>
        <w:t>并进行相 应功能试验„。</w:t>
      </w:r>
      <w:r>
        <w:rPr>
          <w:sz w:val="21"/>
        </w:rPr>
        <w:t> </w:t>
      </w:r>
    </w:p>
    <w:p>
      <w:pPr>
        <w:pStyle w:val="ListParagraph"/>
        <w:numPr>
          <w:ilvl w:val="1"/>
          <w:numId w:val="499"/>
        </w:numPr>
        <w:tabs>
          <w:tab w:pos="1160" w:val="left" w:leader="none"/>
        </w:tabs>
        <w:spacing w:line="240" w:lineRule="auto" w:before="0" w:after="0"/>
        <w:ind w:left="1159" w:right="0" w:hanging="320"/>
        <w:jc w:val="left"/>
        <w:rPr>
          <w:sz w:val="21"/>
        </w:rPr>
      </w:pPr>
      <w:r>
        <w:rPr>
          <w:spacing w:val="-3"/>
          <w:sz w:val="21"/>
        </w:rPr>
        <w:t>保养内容</w:t>
      </w:r>
      <w:r>
        <w:rPr>
          <w:sz w:val="21"/>
        </w:rPr>
        <w:t> </w:t>
      </w:r>
    </w:p>
    <w:p>
      <w:pPr>
        <w:pStyle w:val="BodyText"/>
        <w:spacing w:before="11"/>
        <w:rPr>
          <w:sz w:val="17"/>
        </w:rPr>
      </w:pPr>
    </w:p>
    <w:p>
      <w:pPr>
        <w:pStyle w:val="ListParagraph"/>
        <w:numPr>
          <w:ilvl w:val="2"/>
          <w:numId w:val="499"/>
        </w:numPr>
        <w:tabs>
          <w:tab w:pos="1371" w:val="left" w:leader="none"/>
        </w:tabs>
        <w:spacing w:line="240" w:lineRule="auto" w:before="0" w:after="0"/>
        <w:ind w:left="1370" w:right="0" w:hanging="531"/>
        <w:jc w:val="left"/>
        <w:rPr>
          <w:sz w:val="21"/>
        </w:rPr>
      </w:pPr>
      <w:r>
        <w:rPr>
          <w:spacing w:val="-3"/>
          <w:sz w:val="21"/>
        </w:rPr>
        <w:t>对易污染、易腐蚀生锈的消防设备、管道、阀门应定期淸洁、除锈、注润滑剂。 </w:t>
      </w:r>
    </w:p>
    <w:p>
      <w:pPr>
        <w:pStyle w:val="BodyText"/>
        <w:rPr>
          <w:sz w:val="18"/>
        </w:rPr>
      </w:pPr>
    </w:p>
    <w:p>
      <w:pPr>
        <w:pStyle w:val="ListParagraph"/>
        <w:numPr>
          <w:ilvl w:val="2"/>
          <w:numId w:val="499"/>
        </w:numPr>
        <w:tabs>
          <w:tab w:pos="1371" w:val="left" w:leader="none"/>
        </w:tabs>
        <w:spacing w:line="446" w:lineRule="auto" w:before="0" w:after="0"/>
        <w:ind w:left="418" w:right="1498" w:firstLine="422"/>
        <w:jc w:val="left"/>
        <w:rPr>
          <w:sz w:val="21"/>
        </w:rPr>
      </w:pPr>
      <w:r>
        <w:rPr>
          <w:spacing w:val="-3"/>
          <w:sz w:val="21"/>
        </w:rPr>
        <w:t>点型感烟火灾探测器应根据产品说明书的要求定期淸洗、标定；产品说明书没有明确要求的，应  每二年清洗、标定一次。可燃气体探测器应根据产品说明书的要求定期进行标定。火灾探测器、可燃气  体探测器的标定应由生产企业或具备资质的检测机构承担，承担标定的单位应出具标定记录。 </w:t>
      </w:r>
    </w:p>
    <w:p>
      <w:pPr>
        <w:spacing w:after="0" w:line="446" w:lineRule="auto"/>
        <w:jc w:val="left"/>
        <w:rPr>
          <w:sz w:val="21"/>
        </w:rPr>
        <w:sectPr>
          <w:pgSz w:w="11910" w:h="16850"/>
          <w:pgMar w:header="0" w:footer="1239" w:top="1200" w:bottom="1420" w:left="1260" w:right="0"/>
        </w:sectPr>
      </w:pPr>
    </w:p>
    <w:p>
      <w:pPr>
        <w:pStyle w:val="ListParagraph"/>
        <w:numPr>
          <w:ilvl w:val="2"/>
          <w:numId w:val="499"/>
        </w:numPr>
        <w:tabs>
          <w:tab w:pos="1371" w:val="left" w:leader="none"/>
        </w:tabs>
        <w:spacing w:line="446" w:lineRule="auto" w:before="47" w:after="0"/>
        <w:ind w:left="418" w:right="1707" w:firstLine="422"/>
        <w:jc w:val="left"/>
        <w:rPr>
          <w:sz w:val="21"/>
        </w:rPr>
      </w:pPr>
      <w:r>
        <w:rPr>
          <w:spacing w:val="-3"/>
          <w:sz w:val="21"/>
        </w:rPr>
        <w:t>储存灭火剂和驱动气体的压力容器应按有关气瓶安全监察规程的要求定期进行试验、标识。</w:t>
      </w:r>
      <w:r>
        <w:rPr>
          <w:sz w:val="21"/>
        </w:rPr>
        <w:t> </w:t>
      </w:r>
    </w:p>
    <w:p>
      <w:pPr>
        <w:pStyle w:val="ListParagraph"/>
        <w:numPr>
          <w:ilvl w:val="2"/>
          <w:numId w:val="499"/>
        </w:numPr>
        <w:tabs>
          <w:tab w:pos="1371" w:val="left" w:leader="none"/>
        </w:tabs>
        <w:spacing w:line="446" w:lineRule="auto" w:before="0" w:after="0"/>
        <w:ind w:left="418" w:right="1707" w:firstLine="422"/>
        <w:jc w:val="left"/>
        <w:rPr>
          <w:b/>
          <w:sz w:val="21"/>
        </w:rPr>
      </w:pPr>
      <w:r>
        <w:rPr>
          <w:spacing w:val="-3"/>
          <w:sz w:val="21"/>
        </w:rPr>
        <w:t>泡沫、干粉等灭火剂应按产品说明书委托有资质单位进行包括灭火性能在内的测试。</w:t>
      </w:r>
      <w:r>
        <w:rPr>
          <w:b/>
          <w:w w:val="99"/>
          <w:sz w:val="21"/>
        </w:rPr>
        <w:t> </w:t>
      </w:r>
    </w:p>
    <w:p>
      <w:pPr>
        <w:pStyle w:val="ListParagraph"/>
        <w:numPr>
          <w:ilvl w:val="2"/>
          <w:numId w:val="499"/>
        </w:numPr>
        <w:tabs>
          <w:tab w:pos="1371" w:val="left" w:leader="none"/>
        </w:tabs>
        <w:spacing w:line="446" w:lineRule="auto" w:before="0" w:after="0"/>
        <w:ind w:left="418" w:right="1498" w:firstLine="422"/>
        <w:jc w:val="left"/>
        <w:rPr>
          <w:sz w:val="21"/>
        </w:rPr>
      </w:pPr>
      <w:r>
        <w:rPr>
          <w:spacing w:val="-3"/>
          <w:sz w:val="21"/>
        </w:rPr>
        <w:t>以蓄电池作为后备电源的消防设备，应按照产品说明书的要求定期对蓄电池进行维护。</w:t>
      </w:r>
      <w:r>
        <w:rPr>
          <w:sz w:val="21"/>
        </w:rPr>
        <w:t> </w:t>
      </w:r>
    </w:p>
    <w:p>
      <w:pPr>
        <w:pStyle w:val="ListParagraph"/>
        <w:numPr>
          <w:ilvl w:val="2"/>
          <w:numId w:val="499"/>
        </w:numPr>
        <w:tabs>
          <w:tab w:pos="1371" w:val="left" w:leader="none"/>
        </w:tabs>
        <w:spacing w:line="240" w:lineRule="auto" w:before="0" w:after="0"/>
        <w:ind w:left="1370" w:right="0" w:hanging="531"/>
        <w:jc w:val="left"/>
        <w:rPr>
          <w:sz w:val="21"/>
        </w:rPr>
      </w:pPr>
      <w:r>
        <w:rPr>
          <w:spacing w:val="-3"/>
          <w:sz w:val="21"/>
        </w:rPr>
        <w:t>其他类型的消防设备应按照产品说明书的要求定期进行维护保养。 </w:t>
      </w:r>
    </w:p>
    <w:p>
      <w:pPr>
        <w:pStyle w:val="BodyText"/>
        <w:rPr>
          <w:sz w:val="20"/>
        </w:rPr>
      </w:pPr>
    </w:p>
    <w:p>
      <w:pPr>
        <w:pStyle w:val="BodyText"/>
        <w:rPr>
          <w:sz w:val="20"/>
        </w:rPr>
      </w:pPr>
    </w:p>
    <w:p>
      <w:pPr>
        <w:pStyle w:val="BodyText"/>
        <w:spacing w:before="10"/>
        <w:rPr>
          <w:sz w:val="16"/>
        </w:rPr>
      </w:pPr>
    </w:p>
    <w:p>
      <w:pPr>
        <w:pStyle w:val="ListParagraph"/>
        <w:numPr>
          <w:ilvl w:val="2"/>
          <w:numId w:val="499"/>
        </w:numPr>
        <w:tabs>
          <w:tab w:pos="1370" w:val="left" w:leader="none"/>
        </w:tabs>
        <w:spacing w:line="446" w:lineRule="auto" w:before="0" w:after="0"/>
        <w:ind w:left="418" w:right="1498" w:firstLine="422"/>
        <w:jc w:val="left"/>
        <w:rPr>
          <w:sz w:val="21"/>
        </w:rPr>
      </w:pPr>
      <w:r>
        <w:rPr>
          <w:spacing w:val="-3"/>
          <w:sz w:val="21"/>
        </w:rPr>
        <w:t>对于使用周期超过产品说明书标识寿命的易损件、消防设备，以及经检査测试已不能正常使用 的火灾探测器、压力容器、灭火剂等产品设备应及时更换。</w:t>
      </w:r>
      <w:r>
        <w:rPr>
          <w:sz w:val="21"/>
        </w:rPr>
        <w:t> </w:t>
      </w:r>
    </w:p>
    <w:p>
      <w:pPr>
        <w:pStyle w:val="Heading4"/>
        <w:spacing w:line="277" w:lineRule="exact"/>
      </w:pPr>
      <w:r>
        <w:rPr/>
        <w:t>10 档案</w:t>
      </w:r>
      <w:r>
        <w:rPr>
          <w:w w:val="99"/>
        </w:rPr>
        <w:t> </w:t>
      </w:r>
    </w:p>
    <w:p>
      <w:pPr>
        <w:pStyle w:val="BodyText"/>
        <w:spacing w:before="4"/>
        <w:rPr>
          <w:b/>
          <w:sz w:val="17"/>
        </w:rPr>
      </w:pPr>
    </w:p>
    <w:p>
      <w:pPr>
        <w:pStyle w:val="ListParagraph"/>
        <w:numPr>
          <w:ilvl w:val="1"/>
          <w:numId w:val="500"/>
        </w:numPr>
        <w:tabs>
          <w:tab w:pos="1264" w:val="left" w:leader="none"/>
        </w:tabs>
        <w:spacing w:line="240" w:lineRule="auto" w:before="0" w:after="0"/>
        <w:ind w:left="1263" w:right="0" w:hanging="424"/>
        <w:jc w:val="left"/>
        <w:rPr>
          <w:sz w:val="21"/>
        </w:rPr>
      </w:pPr>
      <w:r>
        <w:rPr>
          <w:spacing w:val="-3"/>
          <w:sz w:val="21"/>
        </w:rPr>
        <w:t>内容</w:t>
      </w:r>
      <w:r>
        <w:rPr>
          <w:sz w:val="21"/>
        </w:rPr>
        <w:t> </w:t>
      </w:r>
    </w:p>
    <w:p>
      <w:pPr>
        <w:pStyle w:val="BodyText"/>
        <w:spacing w:before="2"/>
        <w:rPr>
          <w:sz w:val="18"/>
        </w:rPr>
      </w:pPr>
    </w:p>
    <w:p>
      <w:pPr>
        <w:pStyle w:val="BodyText"/>
        <w:spacing w:line="446" w:lineRule="auto"/>
        <w:ind w:left="418" w:right="1608" w:firstLine="419"/>
        <w:jc w:val="both"/>
      </w:pPr>
      <w:r>
        <w:rPr>
          <w:spacing w:val="-3"/>
        </w:rPr>
        <w:t>建筑消防设施档案应包含建筑消防设施基本情况和动态管理情况。基本情况包括建筑消防设施的验收文件和产品、系统使用说明书、系统调试记录、建筑消防设施平面布置图、建筑消防设施系统图等原 始技术资料。动态管理情况包括建筑消防设施的值班记录、巡查记录、检测记录、故障维修记录以及维 护保养计划表、维护保养记录、自动消防控制室值班人员基本情况档案及培训记录。</w:t>
      </w:r>
      <w:r>
        <w:rPr/>
        <w:t> </w:t>
      </w:r>
    </w:p>
    <w:p>
      <w:pPr>
        <w:pStyle w:val="ListParagraph"/>
        <w:numPr>
          <w:ilvl w:val="1"/>
          <w:numId w:val="500"/>
        </w:numPr>
        <w:tabs>
          <w:tab w:pos="1266" w:val="left" w:leader="none"/>
        </w:tabs>
        <w:spacing w:line="266" w:lineRule="exact" w:before="0" w:after="0"/>
        <w:ind w:left="1265" w:right="0" w:hanging="426"/>
        <w:jc w:val="left"/>
        <w:rPr>
          <w:sz w:val="21"/>
        </w:rPr>
      </w:pPr>
      <w:r>
        <w:rPr>
          <w:spacing w:val="-3"/>
          <w:sz w:val="21"/>
        </w:rPr>
        <w:t>保存期限</w:t>
      </w:r>
      <w:r>
        <w:rPr>
          <w:sz w:val="21"/>
        </w:rPr>
        <w:t> </w:t>
      </w:r>
    </w:p>
    <w:p>
      <w:pPr>
        <w:pStyle w:val="BodyText"/>
        <w:spacing w:before="2"/>
        <w:rPr>
          <w:sz w:val="18"/>
        </w:rPr>
      </w:pPr>
    </w:p>
    <w:p>
      <w:pPr>
        <w:pStyle w:val="ListParagraph"/>
        <w:numPr>
          <w:ilvl w:val="2"/>
          <w:numId w:val="500"/>
        </w:numPr>
        <w:tabs>
          <w:tab w:pos="1478" w:val="left" w:leader="none"/>
        </w:tabs>
        <w:spacing w:line="240" w:lineRule="auto" w:before="0" w:after="0"/>
        <w:ind w:left="1477" w:right="0" w:hanging="638"/>
        <w:jc w:val="left"/>
        <w:rPr>
          <w:sz w:val="21"/>
        </w:rPr>
      </w:pPr>
      <w:r>
        <w:rPr>
          <w:spacing w:val="-3"/>
          <w:sz w:val="21"/>
        </w:rPr>
        <w:t>建筑消防设施的原始技术资料应长期保存。</w:t>
      </w:r>
      <w:r>
        <w:rPr>
          <w:sz w:val="21"/>
        </w:rPr>
        <w:t> </w:t>
      </w:r>
    </w:p>
    <w:p>
      <w:pPr>
        <w:pStyle w:val="BodyText"/>
        <w:rPr>
          <w:sz w:val="18"/>
        </w:rPr>
      </w:pPr>
    </w:p>
    <w:p>
      <w:pPr>
        <w:pStyle w:val="ListParagraph"/>
        <w:numPr>
          <w:ilvl w:val="2"/>
          <w:numId w:val="500"/>
        </w:numPr>
        <w:tabs>
          <w:tab w:pos="1478" w:val="left" w:leader="none"/>
        </w:tabs>
        <w:spacing w:line="446" w:lineRule="auto" w:before="0" w:after="0"/>
        <w:ind w:left="418" w:right="1757" w:firstLine="422"/>
        <w:jc w:val="left"/>
        <w:rPr>
          <w:b/>
          <w:sz w:val="21"/>
        </w:rPr>
      </w:pPr>
      <w:r>
        <w:rPr>
          <w:spacing w:val="-6"/>
          <w:sz w:val="21"/>
        </w:rPr>
        <w:t>《消防控制室值班记录表》(见表 </w:t>
      </w:r>
      <w:r>
        <w:rPr>
          <w:sz w:val="21"/>
        </w:rPr>
        <w:t>A.</w:t>
      </w:r>
      <w:r>
        <w:rPr>
          <w:spacing w:val="20"/>
          <w:sz w:val="21"/>
        </w:rPr>
        <w:t> </w:t>
      </w:r>
      <w:r>
        <w:rPr>
          <w:sz w:val="21"/>
        </w:rPr>
        <w:t>1)</w:t>
      </w:r>
      <w:r>
        <w:rPr>
          <w:spacing w:val="-3"/>
          <w:sz w:val="21"/>
        </w:rPr>
        <w:t>和《建筑消防设施巡查记录表》（</w:t>
      </w:r>
      <w:r>
        <w:rPr>
          <w:sz w:val="21"/>
        </w:rPr>
        <w:t>见表C.1）</w:t>
      </w:r>
      <w:r>
        <w:rPr>
          <w:spacing w:val="-3"/>
          <w:sz w:val="21"/>
        </w:rPr>
        <w:t>的存档时间不应少于一年。</w:t>
      </w:r>
      <w:r>
        <w:rPr>
          <w:b/>
          <w:w w:val="99"/>
          <w:sz w:val="21"/>
        </w:rPr>
        <w:t> </w:t>
      </w:r>
    </w:p>
    <w:p>
      <w:pPr>
        <w:pStyle w:val="ListParagraph"/>
        <w:numPr>
          <w:ilvl w:val="2"/>
          <w:numId w:val="500"/>
        </w:numPr>
        <w:tabs>
          <w:tab w:pos="1478" w:val="left" w:leader="none"/>
        </w:tabs>
        <w:spacing w:line="240" w:lineRule="auto" w:before="0" w:after="0"/>
        <w:ind w:left="1477" w:right="0" w:hanging="638"/>
        <w:jc w:val="left"/>
        <w:rPr>
          <w:sz w:val="21"/>
        </w:rPr>
      </w:pPr>
      <w:r>
        <w:rPr>
          <w:spacing w:val="-3"/>
          <w:sz w:val="21"/>
        </w:rPr>
        <w:t>《建筑消防设施检测记录表》</w:t>
      </w:r>
      <w:r>
        <w:rPr>
          <w:sz w:val="21"/>
        </w:rPr>
        <w:t>（</w:t>
      </w:r>
      <w:r>
        <w:rPr>
          <w:spacing w:val="-19"/>
          <w:sz w:val="21"/>
        </w:rPr>
        <w:t>见表 </w:t>
      </w:r>
      <w:r>
        <w:rPr>
          <w:sz w:val="21"/>
        </w:rPr>
        <w:t>D</w:t>
      </w:r>
      <w:r>
        <w:rPr>
          <w:spacing w:val="2"/>
          <w:sz w:val="21"/>
        </w:rPr>
        <w:t>. </w:t>
      </w:r>
      <w:r>
        <w:rPr>
          <w:sz w:val="21"/>
        </w:rPr>
        <w:t>1）</w:t>
      </w:r>
      <w:r>
        <w:rPr>
          <w:spacing w:val="-3"/>
          <w:sz w:val="21"/>
        </w:rPr>
        <w:t>、《建筑消防设施故障维修记录表》</w:t>
      </w:r>
    </w:p>
    <w:p>
      <w:pPr>
        <w:pStyle w:val="BodyText"/>
        <w:spacing w:before="12"/>
        <w:rPr>
          <w:sz w:val="17"/>
        </w:rPr>
      </w:pPr>
    </w:p>
    <w:p>
      <w:pPr>
        <w:pStyle w:val="BodyText"/>
        <w:spacing w:line="446" w:lineRule="auto"/>
        <w:ind w:left="418" w:right="1503"/>
      </w:pPr>
      <w:r>
        <w:rPr/>
        <w:t>（见表 B.1）、《建筑消防设施维护保养计划表》（见表 E. 1）、《建筑消防设施维护保养记录表》（见表E.2）的存档时间不应少于五年。 </w:t>
      </w:r>
    </w:p>
    <w:p>
      <w:pPr>
        <w:spacing w:after="0" w:line="446" w:lineRule="auto"/>
        <w:sectPr>
          <w:footerReference w:type="default" r:id="rId305"/>
          <w:pgSz w:w="11910" w:h="16850"/>
          <w:pgMar w:footer="1239" w:header="0" w:top="1220" w:bottom="1420" w:left="1260" w:right="0"/>
          <w:pgNumType w:start="1210"/>
        </w:sectPr>
      </w:pPr>
    </w:p>
    <w:p>
      <w:pPr>
        <w:pStyle w:val="Heading2"/>
        <w:ind w:right="870"/>
      </w:pPr>
      <w:bookmarkStart w:name="_bookmark20" w:id="21"/>
      <w:bookmarkEnd w:id="21"/>
      <w:r>
        <w:rPr>
          <w:b w:val="0"/>
        </w:rPr>
      </w:r>
      <w:r>
        <w:rPr/>
        <w:t>农村防火规范</w:t>
      </w:r>
      <w:r>
        <w:rPr>
          <w:w w:val="99"/>
        </w:rPr>
        <w:t> </w:t>
      </w:r>
    </w:p>
    <w:p>
      <w:pPr>
        <w:pStyle w:val="BodyText"/>
        <w:rPr>
          <w:b/>
          <w:sz w:val="20"/>
        </w:rPr>
      </w:pPr>
    </w:p>
    <w:p>
      <w:pPr>
        <w:pStyle w:val="BodyText"/>
        <w:spacing w:before="5"/>
        <w:rPr>
          <w:b/>
          <w:sz w:val="14"/>
        </w:rPr>
      </w:pPr>
    </w:p>
    <w:p>
      <w:pPr>
        <w:pStyle w:val="Heading4"/>
        <w:numPr>
          <w:ilvl w:val="0"/>
          <w:numId w:val="501"/>
        </w:numPr>
        <w:tabs>
          <w:tab w:pos="601" w:val="left" w:leader="none"/>
        </w:tabs>
        <w:spacing w:line="240" w:lineRule="auto" w:before="66" w:after="0"/>
        <w:ind w:left="600" w:right="0" w:hanging="183"/>
        <w:jc w:val="left"/>
      </w:pPr>
      <w:r>
        <w:rPr/>
        <w:t>总则</w:t>
      </w:r>
      <w:r>
        <w:rPr>
          <w:w w:val="99"/>
        </w:rPr>
        <w:t> </w:t>
      </w:r>
    </w:p>
    <w:p>
      <w:pPr>
        <w:pStyle w:val="BodyText"/>
        <w:spacing w:before="4"/>
        <w:rPr>
          <w:b/>
          <w:sz w:val="17"/>
        </w:rPr>
      </w:pPr>
    </w:p>
    <w:p>
      <w:pPr>
        <w:pStyle w:val="ListParagraph"/>
        <w:numPr>
          <w:ilvl w:val="1"/>
          <w:numId w:val="501"/>
        </w:numPr>
        <w:tabs>
          <w:tab w:pos="1159" w:val="left" w:leader="none"/>
        </w:tabs>
        <w:spacing w:line="240" w:lineRule="auto" w:before="0" w:after="0"/>
        <w:ind w:left="1158" w:right="0" w:hanging="319"/>
        <w:jc w:val="left"/>
        <w:rPr>
          <w:sz w:val="21"/>
        </w:rPr>
      </w:pPr>
      <w:r>
        <w:rPr>
          <w:spacing w:val="-3"/>
          <w:sz w:val="21"/>
        </w:rPr>
        <w:t>为了预防农村火灾的发生，减少火灾危害，保护人身和财产安全，制定本规范。</w:t>
      </w:r>
      <w:r>
        <w:rPr>
          <w:sz w:val="21"/>
        </w:rPr>
        <w:t> </w:t>
      </w:r>
    </w:p>
    <w:p>
      <w:pPr>
        <w:pStyle w:val="BodyText"/>
        <w:spacing w:before="12"/>
        <w:rPr>
          <w:sz w:val="17"/>
        </w:rPr>
      </w:pPr>
    </w:p>
    <w:p>
      <w:pPr>
        <w:pStyle w:val="ListParagraph"/>
        <w:numPr>
          <w:ilvl w:val="1"/>
          <w:numId w:val="501"/>
        </w:numPr>
        <w:tabs>
          <w:tab w:pos="1160" w:val="left" w:leader="none"/>
        </w:tabs>
        <w:spacing w:line="240" w:lineRule="auto" w:before="0" w:after="0"/>
        <w:ind w:left="1159" w:right="0" w:hanging="320"/>
        <w:jc w:val="left"/>
        <w:rPr>
          <w:sz w:val="21"/>
        </w:rPr>
      </w:pPr>
      <w:r>
        <w:rPr>
          <w:spacing w:val="-3"/>
          <w:sz w:val="21"/>
        </w:rPr>
        <w:t>本规范适用于下列范围：</w:t>
      </w:r>
      <w:r>
        <w:rPr>
          <w:sz w:val="21"/>
        </w:rPr>
        <w:t> </w:t>
      </w:r>
    </w:p>
    <w:p>
      <w:pPr>
        <w:pStyle w:val="BodyText"/>
        <w:spacing w:before="2"/>
        <w:rPr>
          <w:sz w:val="18"/>
        </w:rPr>
      </w:pPr>
    </w:p>
    <w:p>
      <w:pPr>
        <w:pStyle w:val="ListParagraph"/>
        <w:numPr>
          <w:ilvl w:val="0"/>
          <w:numId w:val="502"/>
        </w:numPr>
        <w:tabs>
          <w:tab w:pos="1367" w:val="left" w:leader="none"/>
        </w:tabs>
        <w:spacing w:line="240" w:lineRule="auto" w:before="0" w:after="0"/>
        <w:ind w:left="1367" w:right="0" w:hanging="529"/>
        <w:jc w:val="left"/>
        <w:rPr>
          <w:sz w:val="21"/>
        </w:rPr>
      </w:pPr>
      <w:r>
        <w:rPr>
          <w:spacing w:val="-3"/>
          <w:sz w:val="21"/>
        </w:rPr>
        <w:t>农村消防规划；</w:t>
      </w:r>
      <w:r>
        <w:rPr>
          <w:sz w:val="21"/>
        </w:rPr>
        <w:t> </w:t>
      </w:r>
    </w:p>
    <w:p>
      <w:pPr>
        <w:pStyle w:val="BodyText"/>
        <w:rPr>
          <w:sz w:val="18"/>
        </w:rPr>
      </w:pPr>
    </w:p>
    <w:p>
      <w:pPr>
        <w:pStyle w:val="ListParagraph"/>
        <w:numPr>
          <w:ilvl w:val="0"/>
          <w:numId w:val="502"/>
        </w:numPr>
        <w:tabs>
          <w:tab w:pos="1367" w:val="left" w:leader="none"/>
        </w:tabs>
        <w:spacing w:line="240" w:lineRule="auto" w:before="0" w:after="0"/>
        <w:ind w:left="1367" w:right="0" w:hanging="529"/>
        <w:jc w:val="left"/>
        <w:rPr>
          <w:sz w:val="21"/>
        </w:rPr>
      </w:pPr>
      <w:r>
        <w:rPr>
          <w:spacing w:val="-3"/>
          <w:sz w:val="21"/>
        </w:rPr>
        <w:t>农村新建、扩建和改建建筑的防火设计；</w:t>
      </w:r>
      <w:r>
        <w:rPr>
          <w:sz w:val="21"/>
        </w:rPr>
        <w:t> </w:t>
      </w:r>
    </w:p>
    <w:p>
      <w:pPr>
        <w:pStyle w:val="BodyText"/>
        <w:rPr>
          <w:sz w:val="18"/>
        </w:rPr>
      </w:pPr>
    </w:p>
    <w:p>
      <w:pPr>
        <w:pStyle w:val="ListParagraph"/>
        <w:numPr>
          <w:ilvl w:val="0"/>
          <w:numId w:val="502"/>
        </w:numPr>
        <w:tabs>
          <w:tab w:pos="1367" w:val="left" w:leader="none"/>
        </w:tabs>
        <w:spacing w:line="240" w:lineRule="auto" w:before="0" w:after="0"/>
        <w:ind w:left="1367" w:right="0" w:hanging="529"/>
        <w:jc w:val="left"/>
        <w:rPr>
          <w:sz w:val="21"/>
        </w:rPr>
      </w:pPr>
      <w:r>
        <w:rPr>
          <w:spacing w:val="-3"/>
          <w:sz w:val="21"/>
        </w:rPr>
        <w:t>农村既有建筑的防火改造；</w:t>
      </w:r>
      <w:r>
        <w:rPr>
          <w:sz w:val="21"/>
        </w:rPr>
        <w:t> </w:t>
      </w:r>
    </w:p>
    <w:p>
      <w:pPr>
        <w:pStyle w:val="BodyText"/>
        <w:spacing w:before="2"/>
        <w:rPr>
          <w:sz w:val="18"/>
        </w:rPr>
      </w:pPr>
    </w:p>
    <w:p>
      <w:pPr>
        <w:pStyle w:val="ListParagraph"/>
        <w:numPr>
          <w:ilvl w:val="0"/>
          <w:numId w:val="502"/>
        </w:numPr>
        <w:tabs>
          <w:tab w:pos="1367" w:val="left" w:leader="none"/>
        </w:tabs>
        <w:spacing w:line="240" w:lineRule="auto" w:before="0" w:after="0"/>
        <w:ind w:left="1367" w:right="0" w:hanging="529"/>
        <w:jc w:val="left"/>
        <w:rPr>
          <w:sz w:val="21"/>
        </w:rPr>
      </w:pPr>
      <w:r>
        <w:rPr>
          <w:spacing w:val="-3"/>
          <w:sz w:val="21"/>
        </w:rPr>
        <w:t>农村消防安全管理。</w:t>
      </w:r>
      <w:r>
        <w:rPr>
          <w:sz w:val="21"/>
        </w:rPr>
        <w:t> </w:t>
      </w:r>
    </w:p>
    <w:p>
      <w:pPr>
        <w:pStyle w:val="BodyText"/>
        <w:spacing w:before="12"/>
        <w:rPr>
          <w:sz w:val="17"/>
        </w:rPr>
      </w:pPr>
    </w:p>
    <w:p>
      <w:pPr>
        <w:pStyle w:val="BodyText"/>
        <w:spacing w:line="446" w:lineRule="auto"/>
        <w:ind w:left="418" w:right="1609" w:firstLine="419"/>
        <w:jc w:val="both"/>
      </w:pPr>
      <w:r>
        <w:rPr>
          <w:spacing w:val="-5"/>
        </w:rPr>
        <w:t>除本规范规定外，农村的厂房、仓库、公共建筑和建筑高度超过 </w:t>
      </w:r>
      <w:r>
        <w:rPr/>
        <w:t>15m</w:t>
      </w:r>
      <w:r>
        <w:rPr>
          <w:spacing w:val="-7"/>
        </w:rPr>
        <w:t> 的居住建筑的防火设</w:t>
      </w:r>
      <w:r>
        <w:rPr>
          <w:spacing w:val="-5"/>
        </w:rPr>
        <w:t>计应执行现行国家标准《建筑设计防火规范》</w:t>
      </w:r>
      <w:r>
        <w:rPr/>
        <w:t>GB 50016</w:t>
      </w:r>
      <w:r>
        <w:rPr>
          <w:spacing w:val="-11"/>
        </w:rPr>
        <w:t> 等的规定。</w:t>
      </w:r>
      <w:r>
        <w:rPr/>
        <w:t> </w:t>
      </w:r>
    </w:p>
    <w:p>
      <w:pPr>
        <w:pStyle w:val="ListParagraph"/>
        <w:numPr>
          <w:ilvl w:val="1"/>
          <w:numId w:val="501"/>
        </w:numPr>
        <w:tabs>
          <w:tab w:pos="1159" w:val="left" w:leader="none"/>
        </w:tabs>
        <w:spacing w:line="446" w:lineRule="auto" w:before="0" w:after="0"/>
        <w:ind w:left="418" w:right="1604" w:firstLine="422"/>
        <w:jc w:val="both"/>
        <w:rPr>
          <w:sz w:val="21"/>
        </w:rPr>
      </w:pPr>
      <w:r>
        <w:rPr>
          <w:spacing w:val="-3"/>
          <w:sz w:val="21"/>
        </w:rPr>
        <w:t>农村的消防规划、建筑防火设计、既有建筑的防火改造和消防安全管理，应结合当地经济发展状况、民族习俗、村庄规模、地理环境、建筑性质等，采取相应的消防安全措施，做到安全可靠、经济合理、有利生产、方便生活。</w:t>
      </w:r>
      <w:r>
        <w:rPr>
          <w:sz w:val="21"/>
        </w:rPr>
        <w:t> </w:t>
      </w:r>
    </w:p>
    <w:p>
      <w:pPr>
        <w:pStyle w:val="ListParagraph"/>
        <w:numPr>
          <w:ilvl w:val="1"/>
          <w:numId w:val="501"/>
        </w:numPr>
        <w:tabs>
          <w:tab w:pos="1159" w:val="left" w:leader="none"/>
        </w:tabs>
        <w:spacing w:line="446" w:lineRule="auto" w:before="0" w:after="0"/>
        <w:ind w:left="418" w:right="1498" w:firstLine="422"/>
        <w:jc w:val="both"/>
        <w:rPr>
          <w:sz w:val="21"/>
        </w:rPr>
      </w:pPr>
      <w:r>
        <w:rPr>
          <w:spacing w:val="-3"/>
          <w:sz w:val="21"/>
        </w:rPr>
        <w:t>农村的消防规划应根据其区划类别，分别纳入镇总体规划、镇详细规划、乡规划和村庄规划，并应与其他基础设施统一规划、同步实施。 </w:t>
      </w:r>
    </w:p>
    <w:p>
      <w:pPr>
        <w:pStyle w:val="ListParagraph"/>
        <w:numPr>
          <w:ilvl w:val="1"/>
          <w:numId w:val="501"/>
        </w:numPr>
        <w:tabs>
          <w:tab w:pos="1160" w:val="left" w:leader="none"/>
        </w:tabs>
        <w:spacing w:line="446" w:lineRule="auto" w:before="0" w:after="0"/>
        <w:ind w:left="418" w:right="1604" w:firstLine="422"/>
        <w:jc w:val="both"/>
        <w:rPr>
          <w:sz w:val="21"/>
        </w:rPr>
      </w:pPr>
      <w:r>
        <w:rPr>
          <w:spacing w:val="-3"/>
          <w:sz w:val="21"/>
        </w:rPr>
        <w:t>村民委员会等基层组织应建立相应的消防安全组织，确定消防安全管理人，制定防火安全制度，进行消防安全检查，开展消防宣传教育，落实消防安全责任，配备必要的消防力量和消防器材装备。</w:t>
      </w:r>
      <w:r>
        <w:rPr>
          <w:sz w:val="21"/>
        </w:rPr>
        <w:t> </w:t>
      </w:r>
    </w:p>
    <w:p>
      <w:pPr>
        <w:pStyle w:val="ListParagraph"/>
        <w:numPr>
          <w:ilvl w:val="1"/>
          <w:numId w:val="501"/>
        </w:numPr>
        <w:tabs>
          <w:tab w:pos="1160" w:val="left" w:leader="none"/>
        </w:tabs>
        <w:spacing w:line="448" w:lineRule="auto" w:before="0" w:after="0"/>
        <w:ind w:left="418" w:right="1604" w:firstLine="422"/>
        <w:jc w:val="left"/>
        <w:rPr>
          <w:sz w:val="21"/>
        </w:rPr>
      </w:pPr>
      <w:r>
        <w:rPr>
          <w:spacing w:val="-3"/>
          <w:sz w:val="21"/>
        </w:rPr>
        <w:t>农村的消防规划、建筑防火设计、既有建筑的防火改造和消防安全管理，除应符合本规范的规定外，尚应符合国家现行标准的规定。</w:t>
      </w:r>
      <w:r>
        <w:rPr>
          <w:sz w:val="21"/>
        </w:rPr>
        <w:t> </w:t>
      </w:r>
    </w:p>
    <w:p>
      <w:pPr>
        <w:pStyle w:val="Heading4"/>
        <w:spacing w:line="273" w:lineRule="exact"/>
      </w:pPr>
      <w:r>
        <w:rPr/>
        <w:t>2 术语</w:t>
      </w:r>
      <w:r>
        <w:rPr>
          <w:w w:val="99"/>
        </w:rPr>
        <w:t> </w:t>
      </w:r>
    </w:p>
    <w:p>
      <w:pPr>
        <w:pStyle w:val="BodyText"/>
        <w:spacing w:before="12"/>
        <w:rPr>
          <w:b/>
          <w:sz w:val="16"/>
        </w:rPr>
      </w:pPr>
    </w:p>
    <w:p>
      <w:pPr>
        <w:spacing w:before="0"/>
        <w:ind w:left="840" w:right="0" w:firstLine="0"/>
        <w:jc w:val="left"/>
        <w:rPr>
          <w:sz w:val="21"/>
        </w:rPr>
      </w:pPr>
      <w:r>
        <w:rPr>
          <w:b/>
          <w:sz w:val="21"/>
        </w:rPr>
        <w:t>2.1 </w:t>
      </w:r>
      <w:r>
        <w:rPr>
          <w:sz w:val="21"/>
        </w:rPr>
        <w:t>农村 rural area </w:t>
      </w:r>
    </w:p>
    <w:p>
      <w:pPr>
        <w:pStyle w:val="BodyText"/>
        <w:spacing w:before="2"/>
        <w:rPr>
          <w:sz w:val="18"/>
        </w:rPr>
      </w:pPr>
    </w:p>
    <w:p>
      <w:pPr>
        <w:pStyle w:val="BodyText"/>
        <w:spacing w:line="446" w:lineRule="auto"/>
        <w:ind w:left="840" w:right="2554" w:hanging="3"/>
      </w:pPr>
      <w:r>
        <w:rPr/>
        <w:t>县级及县级以上人民政府驻地的城市、镇规划区以外的镇、乡、村庄的统称。</w:t>
      </w:r>
      <w:r>
        <w:rPr>
          <w:b/>
        </w:rPr>
        <w:t>2.2 </w:t>
      </w:r>
      <w:r>
        <w:rPr/>
        <w:t>村庄 village </w:t>
      </w:r>
    </w:p>
    <w:p>
      <w:pPr>
        <w:pStyle w:val="BodyText"/>
        <w:spacing w:line="448" w:lineRule="auto"/>
        <w:ind w:left="840" w:right="6647" w:hanging="3"/>
      </w:pPr>
      <w:r>
        <w:rPr/>
        <w:t>农村居民生活和生产的聚居点。</w:t>
      </w:r>
      <w:r>
        <w:rPr>
          <w:b/>
        </w:rPr>
        <w:t>2.3 </w:t>
      </w:r>
      <w:r>
        <w:rPr/>
        <w:t>消防点 fire fighting spot </w:t>
      </w:r>
    </w:p>
    <w:p>
      <w:pPr>
        <w:pStyle w:val="BodyText"/>
        <w:spacing w:line="264" w:lineRule="exact"/>
        <w:ind w:left="838"/>
      </w:pPr>
      <w:r>
        <w:rPr/>
        <w:t>设置在农村的集中放置消防车辆、器材，并配有专职、义务或志愿消防队员的固定场所。 </w:t>
      </w:r>
    </w:p>
    <w:p>
      <w:pPr>
        <w:spacing w:after="0" w:line="264" w:lineRule="exact"/>
        <w:sectPr>
          <w:pgSz w:w="11910" w:h="16850"/>
          <w:pgMar w:header="0" w:footer="1239" w:top="1140" w:bottom="1420" w:left="1260" w:right="0"/>
        </w:sectPr>
      </w:pPr>
    </w:p>
    <w:p>
      <w:pPr>
        <w:pStyle w:val="BodyText"/>
        <w:spacing w:line="446" w:lineRule="auto" w:before="47"/>
        <w:ind w:left="418" w:right="2331" w:firstLine="422"/>
      </w:pPr>
      <w:r>
        <w:rPr>
          <w:b/>
        </w:rPr>
        <w:t>2.4 </w:t>
      </w:r>
      <w:r>
        <w:rPr/>
        <w:t>住宿与生产、储存、经营合用场所 the place combined with habitation， production，storage and business </w:t>
      </w:r>
    </w:p>
    <w:p>
      <w:pPr>
        <w:pStyle w:val="BodyText"/>
        <w:spacing w:line="446" w:lineRule="auto"/>
        <w:ind w:left="418" w:right="1609" w:firstLine="419"/>
      </w:pPr>
      <w:r>
        <w:rPr/>
        <w:t>住宿与生产、储存、经营等一种或几种用途混合设置在同一连通空间内的场所，俗称“三合一”。 </w:t>
      </w:r>
    </w:p>
    <w:p>
      <w:pPr>
        <w:pStyle w:val="Heading4"/>
        <w:spacing w:line="277" w:lineRule="exact"/>
      </w:pPr>
      <w:r>
        <w:rPr/>
        <w:t>3 规划布局</w:t>
      </w:r>
      <w:r>
        <w:rPr>
          <w:w w:val="99"/>
        </w:rPr>
        <w:t> </w:t>
      </w:r>
    </w:p>
    <w:p>
      <w:pPr>
        <w:pStyle w:val="BodyText"/>
        <w:spacing w:before="2"/>
        <w:rPr>
          <w:b/>
          <w:sz w:val="17"/>
        </w:rPr>
      </w:pPr>
    </w:p>
    <w:p>
      <w:pPr>
        <w:pStyle w:val="ListParagraph"/>
        <w:numPr>
          <w:ilvl w:val="1"/>
          <w:numId w:val="503"/>
        </w:numPr>
        <w:tabs>
          <w:tab w:pos="1159" w:val="left" w:leader="none"/>
        </w:tabs>
        <w:spacing w:line="446" w:lineRule="auto" w:before="0" w:after="0"/>
        <w:ind w:left="418" w:right="1431" w:firstLine="422"/>
        <w:jc w:val="left"/>
        <w:rPr>
          <w:sz w:val="21"/>
        </w:rPr>
      </w:pPr>
      <w:r>
        <w:rPr>
          <w:spacing w:val="-7"/>
          <w:sz w:val="21"/>
        </w:rPr>
        <w:t>农村建筑应根据建筑的使用性质及火灾危险性、周边环境、生活习惯、气候条件、经济</w:t>
      </w:r>
      <w:r>
        <w:rPr>
          <w:spacing w:val="-5"/>
          <w:sz w:val="21"/>
        </w:rPr>
        <w:t>发展水平等因素合理布局。 </w:t>
      </w:r>
    </w:p>
    <w:p>
      <w:pPr>
        <w:pStyle w:val="ListParagraph"/>
        <w:numPr>
          <w:ilvl w:val="1"/>
          <w:numId w:val="503"/>
        </w:numPr>
        <w:tabs>
          <w:tab w:pos="1159" w:val="left" w:leader="none"/>
        </w:tabs>
        <w:spacing w:line="446" w:lineRule="auto" w:before="1" w:after="0"/>
        <w:ind w:left="418" w:right="1431" w:firstLine="422"/>
        <w:jc w:val="left"/>
        <w:rPr>
          <w:sz w:val="21"/>
        </w:rPr>
      </w:pPr>
      <w:r>
        <w:rPr>
          <w:spacing w:val="-13"/>
          <w:sz w:val="21"/>
        </w:rPr>
        <w:t>甲、乙、丙类生产、储存场所应布置在相对独立的安全区域，并应布置在集中居住区全年</w:t>
      </w:r>
      <w:r>
        <w:rPr>
          <w:spacing w:val="-5"/>
          <w:sz w:val="21"/>
        </w:rPr>
        <w:t>最小频率风向的上风侧。 </w:t>
      </w:r>
    </w:p>
    <w:p>
      <w:pPr>
        <w:pStyle w:val="BodyText"/>
        <w:spacing w:line="446" w:lineRule="auto"/>
        <w:ind w:left="418" w:right="1410" w:firstLine="419"/>
      </w:pPr>
      <w:r>
        <w:rPr/>
        <w:t>可燃气体和可燃液体的充装站、供应站、调压站和汽车加油加气站等应根据当地的环境条件和风向等因素合理布置，与其他建（构）筑物等的防火间距应符合国家现行有关标准的要求。 </w:t>
      </w:r>
    </w:p>
    <w:p>
      <w:pPr>
        <w:pStyle w:val="ListParagraph"/>
        <w:numPr>
          <w:ilvl w:val="1"/>
          <w:numId w:val="503"/>
        </w:numPr>
        <w:tabs>
          <w:tab w:pos="1159" w:val="left" w:leader="none"/>
        </w:tabs>
        <w:spacing w:line="267" w:lineRule="exact" w:before="0" w:after="0"/>
        <w:ind w:left="1158" w:right="0" w:hanging="319"/>
        <w:jc w:val="left"/>
        <w:rPr>
          <w:sz w:val="21"/>
        </w:rPr>
      </w:pPr>
      <w:r>
        <w:rPr>
          <w:spacing w:val="-3"/>
          <w:sz w:val="21"/>
        </w:rPr>
        <w:t>生产区内的厂房与仓库宜分开布置。</w:t>
      </w:r>
      <w:r>
        <w:rPr>
          <w:sz w:val="21"/>
        </w:rPr>
        <w:t> </w:t>
      </w:r>
    </w:p>
    <w:p>
      <w:pPr>
        <w:pStyle w:val="BodyText"/>
        <w:spacing w:before="1"/>
        <w:rPr>
          <w:sz w:val="18"/>
        </w:rPr>
      </w:pPr>
    </w:p>
    <w:p>
      <w:pPr>
        <w:pStyle w:val="ListParagraph"/>
        <w:numPr>
          <w:ilvl w:val="1"/>
          <w:numId w:val="503"/>
        </w:numPr>
        <w:tabs>
          <w:tab w:pos="1160" w:val="left" w:leader="none"/>
        </w:tabs>
        <w:spacing w:line="446" w:lineRule="auto" w:before="0" w:after="0"/>
        <w:ind w:left="418" w:right="1432" w:firstLine="422"/>
        <w:jc w:val="left"/>
        <w:rPr>
          <w:sz w:val="21"/>
        </w:rPr>
      </w:pPr>
      <w:r>
        <w:rPr>
          <w:spacing w:val="-15"/>
          <w:sz w:val="21"/>
        </w:rPr>
        <w:t>甲、乙、丙类生产、储存场所不应布置在学校、幼儿园、托儿所、影剧院、体育馆、医院</w:t>
      </w:r>
      <w:r>
        <w:rPr>
          <w:spacing w:val="-5"/>
          <w:sz w:val="21"/>
        </w:rPr>
        <w:t>、养老院、居住区等附近。</w:t>
      </w:r>
      <w:r>
        <w:rPr>
          <w:sz w:val="21"/>
        </w:rPr>
        <w:t> </w:t>
      </w:r>
    </w:p>
    <w:p>
      <w:pPr>
        <w:pStyle w:val="ListParagraph"/>
        <w:numPr>
          <w:ilvl w:val="1"/>
          <w:numId w:val="503"/>
        </w:numPr>
        <w:tabs>
          <w:tab w:pos="1160" w:val="left" w:leader="none"/>
        </w:tabs>
        <w:spacing w:line="446" w:lineRule="auto" w:before="0" w:after="0"/>
        <w:ind w:left="418" w:right="1431" w:firstLine="422"/>
        <w:jc w:val="left"/>
        <w:rPr>
          <w:sz w:val="21"/>
        </w:rPr>
      </w:pPr>
      <w:r>
        <w:rPr>
          <w:spacing w:val="-7"/>
          <w:sz w:val="21"/>
        </w:rPr>
        <w:t>集市、庙会等活动区域应规划布置在不妨碍消防车辆通行的地段，该地段应与火灾危险</w:t>
      </w:r>
      <w:r>
        <w:rPr>
          <w:spacing w:val="-5"/>
          <w:sz w:val="21"/>
        </w:rPr>
        <w:t>性大的场所保持足够的防火间距，并应符合消防安全要求。</w:t>
      </w:r>
      <w:r>
        <w:rPr>
          <w:sz w:val="21"/>
        </w:rPr>
        <w:t> </w:t>
      </w:r>
    </w:p>
    <w:p>
      <w:pPr>
        <w:pStyle w:val="ListParagraph"/>
        <w:numPr>
          <w:ilvl w:val="1"/>
          <w:numId w:val="503"/>
        </w:numPr>
        <w:tabs>
          <w:tab w:pos="1160" w:val="left" w:leader="none"/>
        </w:tabs>
        <w:spacing w:line="446" w:lineRule="auto" w:before="0" w:after="0"/>
        <w:ind w:left="418" w:right="1431" w:firstLine="422"/>
        <w:jc w:val="left"/>
        <w:rPr>
          <w:sz w:val="21"/>
        </w:rPr>
      </w:pPr>
      <w:r>
        <w:rPr>
          <w:spacing w:val="-8"/>
          <w:sz w:val="21"/>
        </w:rPr>
        <w:t>集贸市场、厂房、仓库以及变压器、变电所</w:t>
      </w:r>
      <w:r>
        <w:rPr>
          <w:spacing w:val="-3"/>
          <w:sz w:val="21"/>
        </w:rPr>
        <w:t>（</w:t>
      </w:r>
      <w:r>
        <w:rPr>
          <w:sz w:val="21"/>
        </w:rPr>
        <w:t>站</w:t>
      </w:r>
      <w:r>
        <w:rPr>
          <w:spacing w:val="-8"/>
          <w:sz w:val="21"/>
        </w:rPr>
        <w:t>）</w:t>
      </w:r>
      <w:r>
        <w:rPr>
          <w:spacing w:val="-3"/>
          <w:sz w:val="21"/>
        </w:rPr>
        <w:t>之间及与居住建筑的防火间距应符合现行国家标准《建筑设计防火规范》</w:t>
      </w:r>
      <w:r>
        <w:rPr>
          <w:sz w:val="21"/>
        </w:rPr>
        <w:t>GB</w:t>
      </w:r>
      <w:r>
        <w:rPr>
          <w:spacing w:val="1"/>
          <w:sz w:val="21"/>
        </w:rPr>
        <w:t> </w:t>
      </w:r>
      <w:r>
        <w:rPr>
          <w:sz w:val="21"/>
        </w:rPr>
        <w:t>50016</w:t>
      </w:r>
      <w:r>
        <w:rPr>
          <w:spacing w:val="-11"/>
          <w:sz w:val="21"/>
        </w:rPr>
        <w:t> 等的要求。</w:t>
      </w:r>
      <w:r>
        <w:rPr>
          <w:sz w:val="21"/>
        </w:rPr>
        <w:t> </w:t>
      </w:r>
    </w:p>
    <w:p>
      <w:pPr>
        <w:pStyle w:val="ListParagraph"/>
        <w:numPr>
          <w:ilvl w:val="1"/>
          <w:numId w:val="503"/>
        </w:numPr>
        <w:tabs>
          <w:tab w:pos="1160" w:val="left" w:leader="none"/>
        </w:tabs>
        <w:spacing w:line="240" w:lineRule="auto" w:before="0" w:after="0"/>
        <w:ind w:left="1159" w:right="0" w:hanging="320"/>
        <w:jc w:val="left"/>
        <w:rPr>
          <w:sz w:val="21"/>
        </w:rPr>
      </w:pPr>
      <w:r>
        <w:rPr>
          <w:spacing w:val="-6"/>
          <w:sz w:val="21"/>
        </w:rPr>
        <w:t>居住区和生产区距林区边缘的距离不宜小于 </w:t>
      </w:r>
      <w:r>
        <w:rPr>
          <w:sz w:val="21"/>
        </w:rPr>
        <w:t>300m</w:t>
      </w:r>
      <w:r>
        <w:rPr>
          <w:spacing w:val="-10"/>
          <w:sz w:val="21"/>
        </w:rPr>
        <w:t>，或应采取防止火灾蔓延的其他措施。</w:t>
      </w:r>
      <w:r>
        <w:rPr>
          <w:sz w:val="21"/>
        </w:rPr>
        <w:t> </w:t>
      </w:r>
    </w:p>
    <w:p>
      <w:pPr>
        <w:pStyle w:val="BodyText"/>
        <w:spacing w:before="11"/>
        <w:rPr>
          <w:sz w:val="17"/>
        </w:rPr>
      </w:pPr>
    </w:p>
    <w:p>
      <w:pPr>
        <w:pStyle w:val="ListParagraph"/>
        <w:numPr>
          <w:ilvl w:val="1"/>
          <w:numId w:val="503"/>
        </w:numPr>
        <w:tabs>
          <w:tab w:pos="1159" w:val="left" w:leader="none"/>
        </w:tabs>
        <w:spacing w:line="240" w:lineRule="auto" w:before="0" w:after="0"/>
        <w:ind w:left="1158" w:right="0" w:hanging="319"/>
        <w:jc w:val="left"/>
        <w:rPr>
          <w:sz w:val="21"/>
        </w:rPr>
      </w:pPr>
      <w:r>
        <w:rPr>
          <w:spacing w:val="-3"/>
          <w:sz w:val="21"/>
        </w:rPr>
        <w:t>柴草、饲料等可燃物堆垛设置应符合下列要求： </w:t>
      </w:r>
    </w:p>
    <w:p>
      <w:pPr>
        <w:pStyle w:val="BodyText"/>
        <w:spacing w:before="12"/>
        <w:rPr>
          <w:sz w:val="17"/>
        </w:rPr>
      </w:pPr>
    </w:p>
    <w:p>
      <w:pPr>
        <w:pStyle w:val="ListParagraph"/>
        <w:numPr>
          <w:ilvl w:val="0"/>
          <w:numId w:val="504"/>
        </w:numPr>
        <w:tabs>
          <w:tab w:pos="1367" w:val="left" w:leader="none"/>
        </w:tabs>
        <w:spacing w:line="240" w:lineRule="auto" w:before="0" w:after="0"/>
        <w:ind w:left="1367" w:right="0" w:hanging="529"/>
        <w:jc w:val="left"/>
        <w:rPr>
          <w:sz w:val="21"/>
        </w:rPr>
      </w:pPr>
      <w:r>
        <w:rPr>
          <w:spacing w:val="-3"/>
          <w:sz w:val="21"/>
        </w:rPr>
        <w:t>宜设置在相对独立的安全区域或村庄边缘；</w:t>
      </w:r>
      <w:r>
        <w:rPr>
          <w:sz w:val="21"/>
        </w:rPr>
        <w:t> </w:t>
      </w:r>
    </w:p>
    <w:p>
      <w:pPr>
        <w:pStyle w:val="BodyText"/>
        <w:spacing w:before="2"/>
        <w:rPr>
          <w:sz w:val="18"/>
        </w:rPr>
      </w:pPr>
    </w:p>
    <w:p>
      <w:pPr>
        <w:pStyle w:val="ListParagraph"/>
        <w:numPr>
          <w:ilvl w:val="0"/>
          <w:numId w:val="504"/>
        </w:numPr>
        <w:tabs>
          <w:tab w:pos="1367" w:val="left" w:leader="none"/>
        </w:tabs>
        <w:spacing w:line="240" w:lineRule="auto" w:before="0" w:after="0"/>
        <w:ind w:left="1367" w:right="0" w:hanging="529"/>
        <w:jc w:val="left"/>
        <w:rPr>
          <w:sz w:val="21"/>
        </w:rPr>
      </w:pPr>
      <w:r>
        <w:rPr>
          <w:spacing w:val="-3"/>
          <w:sz w:val="21"/>
        </w:rPr>
        <w:t>较大堆垛宜设置在全年最小频率风向的上风侧； </w:t>
      </w:r>
    </w:p>
    <w:p>
      <w:pPr>
        <w:pStyle w:val="BodyText"/>
        <w:rPr>
          <w:sz w:val="18"/>
        </w:rPr>
      </w:pPr>
    </w:p>
    <w:p>
      <w:pPr>
        <w:pStyle w:val="ListParagraph"/>
        <w:numPr>
          <w:ilvl w:val="0"/>
          <w:numId w:val="504"/>
        </w:numPr>
        <w:tabs>
          <w:tab w:pos="1367" w:val="left" w:leader="none"/>
        </w:tabs>
        <w:spacing w:line="240" w:lineRule="auto" w:before="0" w:after="0"/>
        <w:ind w:left="1367" w:right="0" w:hanging="529"/>
        <w:jc w:val="left"/>
        <w:rPr>
          <w:sz w:val="21"/>
        </w:rPr>
      </w:pPr>
      <w:r>
        <w:rPr>
          <w:spacing w:val="-3"/>
          <w:sz w:val="21"/>
        </w:rPr>
        <w:t>不应设置在电气线路下方；</w:t>
      </w:r>
      <w:r>
        <w:rPr>
          <w:sz w:val="21"/>
        </w:rPr>
        <w:t> </w:t>
      </w:r>
    </w:p>
    <w:p>
      <w:pPr>
        <w:pStyle w:val="BodyText"/>
        <w:spacing w:before="12"/>
        <w:rPr>
          <w:sz w:val="17"/>
        </w:rPr>
      </w:pPr>
    </w:p>
    <w:p>
      <w:pPr>
        <w:pStyle w:val="ListParagraph"/>
        <w:numPr>
          <w:ilvl w:val="0"/>
          <w:numId w:val="504"/>
        </w:numPr>
        <w:tabs>
          <w:tab w:pos="1365" w:val="left" w:leader="none"/>
        </w:tabs>
        <w:spacing w:line="446" w:lineRule="auto" w:before="0" w:after="0"/>
        <w:ind w:left="418" w:right="1431" w:firstLine="419"/>
        <w:jc w:val="left"/>
        <w:rPr>
          <w:sz w:val="21"/>
        </w:rPr>
      </w:pPr>
      <w:r>
        <w:rPr>
          <w:spacing w:val="-13"/>
          <w:sz w:val="21"/>
        </w:rPr>
        <w:t>与建筑、变配电站、铁路、道路、架空电力线路等的防火间距宜符合现行国家标准《 </w:t>
      </w:r>
      <w:r>
        <w:rPr>
          <w:spacing w:val="-3"/>
          <w:sz w:val="21"/>
        </w:rPr>
        <w:t>建筑设计防火规范》</w:t>
      </w:r>
      <w:r>
        <w:rPr>
          <w:sz w:val="21"/>
        </w:rPr>
        <w:t>GB 50016</w:t>
      </w:r>
      <w:r>
        <w:rPr>
          <w:spacing w:val="-13"/>
          <w:sz w:val="21"/>
        </w:rPr>
        <w:t> 的要求；</w:t>
      </w:r>
      <w:r>
        <w:rPr>
          <w:sz w:val="21"/>
        </w:rPr>
        <w:t> </w:t>
      </w:r>
    </w:p>
    <w:p>
      <w:pPr>
        <w:pStyle w:val="ListParagraph"/>
        <w:numPr>
          <w:ilvl w:val="0"/>
          <w:numId w:val="504"/>
        </w:numPr>
        <w:tabs>
          <w:tab w:pos="1367" w:val="left" w:leader="none"/>
        </w:tabs>
        <w:spacing w:line="240" w:lineRule="auto" w:before="0" w:after="0"/>
        <w:ind w:left="1367" w:right="0" w:hanging="529"/>
        <w:jc w:val="left"/>
        <w:rPr>
          <w:sz w:val="21"/>
        </w:rPr>
      </w:pPr>
      <w:r>
        <w:rPr>
          <w:spacing w:val="-3"/>
          <w:sz w:val="21"/>
        </w:rPr>
        <w:t>村民院落内堆放的少量柴草、饲料等与建筑之间应采取防火隔离措施。 </w:t>
      </w:r>
    </w:p>
    <w:p>
      <w:pPr>
        <w:pStyle w:val="BodyText"/>
        <w:rPr>
          <w:sz w:val="18"/>
        </w:rPr>
      </w:pPr>
    </w:p>
    <w:p>
      <w:pPr>
        <w:pStyle w:val="ListParagraph"/>
        <w:numPr>
          <w:ilvl w:val="1"/>
          <w:numId w:val="503"/>
        </w:numPr>
        <w:tabs>
          <w:tab w:pos="1160" w:val="left" w:leader="none"/>
        </w:tabs>
        <w:spacing w:line="446" w:lineRule="auto" w:before="0" w:after="0"/>
        <w:ind w:left="418" w:right="1431" w:firstLine="422"/>
        <w:jc w:val="left"/>
        <w:rPr>
          <w:sz w:val="21"/>
        </w:rPr>
      </w:pPr>
      <w:r>
        <w:rPr>
          <w:spacing w:val="-7"/>
          <w:sz w:val="21"/>
        </w:rPr>
        <w:t>既有的厂</w:t>
      </w:r>
      <w:r>
        <w:rPr>
          <w:spacing w:val="-3"/>
          <w:sz w:val="21"/>
        </w:rPr>
        <w:t>（</w:t>
      </w:r>
      <w:r>
        <w:rPr>
          <w:sz w:val="21"/>
        </w:rPr>
        <w:t>库</w:t>
      </w:r>
      <w:r>
        <w:rPr>
          <w:spacing w:val="-22"/>
          <w:sz w:val="21"/>
        </w:rPr>
        <w:t>）</w:t>
      </w:r>
      <w:r>
        <w:rPr>
          <w:spacing w:val="-11"/>
          <w:sz w:val="21"/>
        </w:rPr>
        <w:t>房和堆场、储罐等，不满足消防安全要求的，应采取隔离、改造、搬迁或</w:t>
      </w:r>
      <w:r>
        <w:rPr>
          <w:spacing w:val="-5"/>
          <w:sz w:val="21"/>
        </w:rPr>
        <w:t>改变使用性质等防火保护措施。</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1"/>
          <w:numId w:val="503"/>
        </w:numPr>
        <w:tabs>
          <w:tab w:pos="1266" w:val="left" w:leader="none"/>
        </w:tabs>
        <w:spacing w:line="446" w:lineRule="auto" w:before="47" w:after="0"/>
        <w:ind w:left="418" w:right="1431" w:firstLine="422"/>
        <w:jc w:val="left"/>
        <w:rPr>
          <w:sz w:val="21"/>
        </w:rPr>
      </w:pPr>
      <w:r>
        <w:rPr>
          <w:spacing w:val="-13"/>
          <w:sz w:val="21"/>
        </w:rPr>
        <w:t>既有的耐火等级低、相互毗邻、消防通道狭窄不畅、消防水源不足的建筑群，应采取改</w:t>
      </w:r>
      <w:r>
        <w:rPr>
          <w:spacing w:val="-6"/>
          <w:sz w:val="21"/>
        </w:rPr>
        <w:t>善用火和用电条件、提高耐火性能、设置防火分隔、开辟消防通道、增设消防水源等措施。</w:t>
      </w:r>
      <w:r>
        <w:rPr>
          <w:sz w:val="21"/>
        </w:rPr>
        <w:t> </w:t>
      </w:r>
    </w:p>
    <w:p>
      <w:pPr>
        <w:pStyle w:val="ListParagraph"/>
        <w:numPr>
          <w:ilvl w:val="1"/>
          <w:numId w:val="503"/>
        </w:numPr>
        <w:tabs>
          <w:tab w:pos="1264" w:val="left" w:leader="none"/>
        </w:tabs>
        <w:spacing w:line="267" w:lineRule="exact" w:before="0" w:after="0"/>
        <w:ind w:left="1263" w:right="0" w:hanging="424"/>
        <w:jc w:val="left"/>
        <w:rPr>
          <w:sz w:val="21"/>
        </w:rPr>
      </w:pPr>
      <w:r>
        <w:rPr>
          <w:spacing w:val="-3"/>
          <w:sz w:val="21"/>
        </w:rPr>
        <w:t>村庄内的道路宜考虑消防车的通行需要，供消防车通行的道路应符合下列要求：</w:t>
      </w:r>
      <w:r>
        <w:rPr>
          <w:sz w:val="21"/>
        </w:rPr>
        <w:t> </w:t>
      </w:r>
    </w:p>
    <w:p>
      <w:pPr>
        <w:pStyle w:val="BodyText"/>
        <w:spacing w:before="2"/>
        <w:rPr>
          <w:sz w:val="18"/>
        </w:rPr>
      </w:pPr>
    </w:p>
    <w:p>
      <w:pPr>
        <w:pStyle w:val="ListParagraph"/>
        <w:numPr>
          <w:ilvl w:val="0"/>
          <w:numId w:val="505"/>
        </w:numPr>
        <w:tabs>
          <w:tab w:pos="1367" w:val="left" w:leader="none"/>
        </w:tabs>
        <w:spacing w:line="240" w:lineRule="auto" w:before="0" w:after="0"/>
        <w:ind w:left="1367" w:right="0" w:hanging="529"/>
        <w:jc w:val="left"/>
        <w:rPr>
          <w:b/>
          <w:sz w:val="21"/>
        </w:rPr>
      </w:pPr>
      <w:r>
        <w:rPr>
          <w:spacing w:val="-7"/>
          <w:sz w:val="21"/>
        </w:rPr>
        <w:t>宜纵横相连、间距不宜大于 </w:t>
      </w:r>
      <w:r>
        <w:rPr>
          <w:sz w:val="21"/>
        </w:rPr>
        <w:t>160m；</w:t>
      </w:r>
      <w:r>
        <w:rPr>
          <w:b/>
          <w:w w:val="99"/>
          <w:sz w:val="21"/>
        </w:rPr>
        <w:t> </w:t>
      </w:r>
    </w:p>
    <w:p>
      <w:pPr>
        <w:pStyle w:val="BodyText"/>
        <w:rPr>
          <w:b/>
          <w:sz w:val="18"/>
        </w:rPr>
      </w:pPr>
    </w:p>
    <w:p>
      <w:pPr>
        <w:pStyle w:val="ListParagraph"/>
        <w:numPr>
          <w:ilvl w:val="0"/>
          <w:numId w:val="505"/>
        </w:numPr>
        <w:tabs>
          <w:tab w:pos="1367" w:val="left" w:leader="none"/>
        </w:tabs>
        <w:spacing w:line="240" w:lineRule="auto" w:before="0" w:after="0"/>
        <w:ind w:left="1367" w:right="0" w:hanging="529"/>
        <w:jc w:val="left"/>
        <w:rPr>
          <w:b/>
          <w:sz w:val="21"/>
        </w:rPr>
      </w:pPr>
      <w:r>
        <w:rPr>
          <w:spacing w:val="-7"/>
          <w:sz w:val="21"/>
        </w:rPr>
        <w:t>车道的净宽、净空高度不宜小于 </w:t>
      </w:r>
      <w:r>
        <w:rPr>
          <w:sz w:val="21"/>
        </w:rPr>
        <w:t>4m；</w:t>
      </w:r>
      <w:r>
        <w:rPr>
          <w:b/>
          <w:w w:val="99"/>
          <w:sz w:val="21"/>
        </w:rPr>
        <w:t> </w:t>
      </w:r>
    </w:p>
    <w:p>
      <w:pPr>
        <w:pStyle w:val="BodyText"/>
        <w:spacing w:before="12"/>
        <w:rPr>
          <w:b/>
          <w:sz w:val="17"/>
        </w:rPr>
      </w:pPr>
    </w:p>
    <w:p>
      <w:pPr>
        <w:pStyle w:val="ListParagraph"/>
        <w:numPr>
          <w:ilvl w:val="0"/>
          <w:numId w:val="505"/>
        </w:numPr>
        <w:tabs>
          <w:tab w:pos="1367" w:val="left" w:leader="none"/>
        </w:tabs>
        <w:spacing w:line="240" w:lineRule="auto" w:before="0" w:after="0"/>
        <w:ind w:left="1367" w:right="0" w:hanging="529"/>
        <w:jc w:val="left"/>
        <w:rPr>
          <w:b/>
          <w:sz w:val="21"/>
        </w:rPr>
      </w:pPr>
      <w:r>
        <w:rPr>
          <w:spacing w:val="-3"/>
          <w:sz w:val="21"/>
        </w:rPr>
        <w:t>满足配置车型的转弯半径；</w:t>
      </w:r>
      <w:r>
        <w:rPr>
          <w:b/>
          <w:w w:val="99"/>
          <w:sz w:val="21"/>
        </w:rPr>
        <w:t> </w:t>
      </w:r>
    </w:p>
    <w:p>
      <w:pPr>
        <w:pStyle w:val="BodyText"/>
        <w:spacing w:before="2"/>
        <w:rPr>
          <w:b/>
          <w:sz w:val="18"/>
        </w:rPr>
      </w:pPr>
    </w:p>
    <w:p>
      <w:pPr>
        <w:pStyle w:val="ListParagraph"/>
        <w:numPr>
          <w:ilvl w:val="0"/>
          <w:numId w:val="505"/>
        </w:numPr>
        <w:tabs>
          <w:tab w:pos="1367" w:val="left" w:leader="none"/>
        </w:tabs>
        <w:spacing w:line="240" w:lineRule="auto" w:before="0" w:after="0"/>
        <w:ind w:left="1367" w:right="0" w:hanging="529"/>
        <w:jc w:val="left"/>
        <w:rPr>
          <w:b/>
          <w:sz w:val="21"/>
        </w:rPr>
      </w:pPr>
      <w:r>
        <w:rPr>
          <w:spacing w:val="-3"/>
          <w:sz w:val="21"/>
        </w:rPr>
        <w:t>能承受消防车的压力；</w:t>
      </w:r>
      <w:r>
        <w:rPr>
          <w:b/>
          <w:spacing w:val="-3"/>
          <w:w w:val="99"/>
          <w:sz w:val="21"/>
        </w:rPr>
        <w:t> </w:t>
      </w:r>
    </w:p>
    <w:p>
      <w:pPr>
        <w:pStyle w:val="BodyText"/>
        <w:rPr>
          <w:b/>
          <w:sz w:val="18"/>
        </w:rPr>
      </w:pPr>
    </w:p>
    <w:p>
      <w:pPr>
        <w:pStyle w:val="ListParagraph"/>
        <w:numPr>
          <w:ilvl w:val="0"/>
          <w:numId w:val="505"/>
        </w:numPr>
        <w:tabs>
          <w:tab w:pos="1367" w:val="left" w:leader="none"/>
        </w:tabs>
        <w:spacing w:line="240" w:lineRule="auto" w:before="0" w:after="0"/>
        <w:ind w:left="1367" w:right="0" w:hanging="529"/>
        <w:jc w:val="left"/>
        <w:rPr>
          <w:b/>
          <w:sz w:val="21"/>
        </w:rPr>
      </w:pPr>
      <w:r>
        <w:rPr>
          <w:spacing w:val="-3"/>
          <w:sz w:val="21"/>
        </w:rPr>
        <w:t>尽头式车道满足配置车型回车要求。</w:t>
      </w:r>
      <w:r>
        <w:rPr>
          <w:b/>
          <w:w w:val="99"/>
          <w:sz w:val="21"/>
        </w:rPr>
        <w:t> </w:t>
      </w:r>
    </w:p>
    <w:p>
      <w:pPr>
        <w:pStyle w:val="BodyText"/>
        <w:spacing w:before="12"/>
        <w:rPr>
          <w:b/>
          <w:sz w:val="17"/>
        </w:rPr>
      </w:pPr>
    </w:p>
    <w:p>
      <w:pPr>
        <w:pStyle w:val="ListParagraph"/>
        <w:numPr>
          <w:ilvl w:val="1"/>
          <w:numId w:val="503"/>
        </w:numPr>
        <w:tabs>
          <w:tab w:pos="1264" w:val="left" w:leader="none"/>
        </w:tabs>
        <w:spacing w:line="446" w:lineRule="auto" w:before="0" w:after="0"/>
        <w:ind w:left="418" w:right="1431" w:firstLine="422"/>
        <w:jc w:val="left"/>
        <w:rPr>
          <w:sz w:val="21"/>
        </w:rPr>
      </w:pPr>
      <w:r>
        <w:rPr>
          <w:spacing w:val="-7"/>
          <w:sz w:val="21"/>
        </w:rPr>
        <w:t>村庄之间以及与其他城镇连通的公路应满足消防车通行的要求，并应符合 </w:t>
      </w:r>
      <w:r>
        <w:rPr>
          <w:sz w:val="21"/>
        </w:rPr>
        <w:t>3.0.11</w:t>
      </w:r>
      <w:r>
        <w:rPr>
          <w:spacing w:val="-16"/>
          <w:sz w:val="21"/>
        </w:rPr>
        <w:t> 条的</w:t>
      </w:r>
      <w:r>
        <w:rPr>
          <w:spacing w:val="-8"/>
          <w:sz w:val="21"/>
        </w:rPr>
        <w:t>有关规定。</w:t>
      </w:r>
      <w:r>
        <w:rPr>
          <w:sz w:val="21"/>
        </w:rPr>
        <w:t> </w:t>
      </w:r>
    </w:p>
    <w:p>
      <w:pPr>
        <w:pStyle w:val="ListParagraph"/>
        <w:numPr>
          <w:ilvl w:val="1"/>
          <w:numId w:val="503"/>
        </w:numPr>
        <w:tabs>
          <w:tab w:pos="1318" w:val="left" w:leader="none"/>
        </w:tabs>
        <w:spacing w:line="446" w:lineRule="auto" w:before="0" w:after="0"/>
        <w:ind w:left="418" w:right="1433" w:firstLine="422"/>
        <w:jc w:val="both"/>
        <w:rPr>
          <w:sz w:val="21"/>
        </w:rPr>
      </w:pPr>
      <w:r>
        <w:rPr>
          <w:spacing w:val="-8"/>
          <w:sz w:val="21"/>
        </w:rPr>
        <w:t>消防车道应保持畅通，供消防车通行的道路严禁设置隔离桩、栏杆等障碍设施，不得堆</w:t>
      </w:r>
      <w:r>
        <w:rPr>
          <w:spacing w:val="-5"/>
          <w:sz w:val="21"/>
        </w:rPr>
        <w:t>放土石、柴草等影响消防车通行的障碍物。</w:t>
      </w:r>
      <w:r>
        <w:rPr>
          <w:sz w:val="21"/>
        </w:rPr>
        <w:t> </w:t>
      </w:r>
    </w:p>
    <w:p>
      <w:pPr>
        <w:pStyle w:val="ListParagraph"/>
        <w:numPr>
          <w:ilvl w:val="1"/>
          <w:numId w:val="503"/>
        </w:numPr>
        <w:tabs>
          <w:tab w:pos="1335" w:val="left" w:leader="none"/>
        </w:tabs>
        <w:spacing w:line="446" w:lineRule="auto" w:before="0" w:after="0"/>
        <w:ind w:left="418" w:right="1431" w:firstLine="422"/>
        <w:jc w:val="both"/>
        <w:rPr>
          <w:sz w:val="21"/>
        </w:rPr>
      </w:pPr>
      <w:r>
        <w:rPr>
          <w:spacing w:val="-3"/>
          <w:sz w:val="21"/>
        </w:rPr>
        <w:t>学校、村民集中活动场地（</w:t>
      </w:r>
      <w:r>
        <w:rPr>
          <w:sz w:val="21"/>
        </w:rPr>
        <w:t>室</w:t>
      </w:r>
      <w:r>
        <w:rPr>
          <w:spacing w:val="-108"/>
          <w:sz w:val="21"/>
        </w:rPr>
        <w:t>）</w:t>
      </w:r>
      <w:r>
        <w:rPr>
          <w:spacing w:val="-3"/>
          <w:sz w:val="21"/>
        </w:rPr>
        <w:t>、主要路口等场所应设置普及消防安全常识的固定消防</w:t>
      </w:r>
      <w:r>
        <w:rPr>
          <w:spacing w:val="-7"/>
          <w:sz w:val="21"/>
        </w:rPr>
        <w:t>宣传点；易燃易爆等重点防火区域应设置防火安全警示标志。消防安全常识宣传教育的主要内容</w:t>
      </w:r>
      <w:r>
        <w:rPr>
          <w:spacing w:val="5"/>
          <w:sz w:val="21"/>
        </w:rPr>
        <w:t>宜采用附录</w:t>
      </w:r>
      <w:r>
        <w:rPr>
          <w:sz w:val="21"/>
        </w:rPr>
        <w:t>B</w:t>
      </w:r>
      <w:r>
        <w:rPr>
          <w:spacing w:val="-3"/>
          <w:sz w:val="21"/>
        </w:rPr>
        <w:t>。</w:t>
      </w:r>
      <w:r>
        <w:rPr>
          <w:sz w:val="21"/>
        </w:rPr>
        <w:t> </w:t>
      </w:r>
    </w:p>
    <w:p>
      <w:pPr>
        <w:pStyle w:val="Heading4"/>
        <w:spacing w:line="277" w:lineRule="exact"/>
      </w:pPr>
      <w:r>
        <w:rPr/>
        <w:t>4 建筑物</w:t>
      </w:r>
      <w:r>
        <w:rPr>
          <w:w w:val="99"/>
        </w:rPr>
        <w:t> </w:t>
      </w:r>
    </w:p>
    <w:p>
      <w:pPr>
        <w:pStyle w:val="BodyText"/>
        <w:spacing w:before="4"/>
        <w:rPr>
          <w:b/>
          <w:sz w:val="17"/>
        </w:rPr>
      </w:pPr>
    </w:p>
    <w:p>
      <w:pPr>
        <w:pStyle w:val="ListParagraph"/>
        <w:numPr>
          <w:ilvl w:val="1"/>
          <w:numId w:val="506"/>
        </w:numPr>
        <w:tabs>
          <w:tab w:pos="1159" w:val="left" w:leader="none"/>
        </w:tabs>
        <w:spacing w:line="240" w:lineRule="auto" w:before="0" w:after="0"/>
        <w:ind w:left="1158" w:right="0" w:hanging="319"/>
        <w:jc w:val="left"/>
        <w:rPr>
          <w:sz w:val="21"/>
        </w:rPr>
      </w:pPr>
      <w:r>
        <w:rPr>
          <w:spacing w:val="-3"/>
          <w:sz w:val="21"/>
        </w:rPr>
        <w:t>农村建筑的耐火等级不宜低于一、二级，建筑耐火等级的划分应符合现行国家标准</w:t>
      </w:r>
    </w:p>
    <w:p>
      <w:pPr>
        <w:pStyle w:val="BodyText"/>
        <w:spacing w:before="12"/>
        <w:rPr>
          <w:sz w:val="17"/>
        </w:rPr>
      </w:pPr>
    </w:p>
    <w:p>
      <w:pPr>
        <w:pStyle w:val="BodyText"/>
        <w:ind w:left="418"/>
        <w:jc w:val="both"/>
      </w:pPr>
      <w:r>
        <w:rPr/>
        <w:t>《建筑设计防火规范》GB 50016 的规定。 </w:t>
      </w:r>
    </w:p>
    <w:p>
      <w:pPr>
        <w:pStyle w:val="BodyText"/>
        <w:spacing w:before="2"/>
        <w:rPr>
          <w:sz w:val="18"/>
        </w:rPr>
      </w:pPr>
    </w:p>
    <w:p>
      <w:pPr>
        <w:pStyle w:val="ListParagraph"/>
        <w:numPr>
          <w:ilvl w:val="1"/>
          <w:numId w:val="506"/>
        </w:numPr>
        <w:tabs>
          <w:tab w:pos="1159" w:val="left" w:leader="none"/>
        </w:tabs>
        <w:spacing w:line="446" w:lineRule="auto" w:before="0" w:after="0"/>
        <w:ind w:left="418" w:right="1604" w:firstLine="422"/>
        <w:jc w:val="both"/>
        <w:rPr>
          <w:sz w:val="21"/>
        </w:rPr>
      </w:pPr>
      <w:r>
        <w:rPr>
          <w:spacing w:val="-3"/>
          <w:sz w:val="21"/>
        </w:rPr>
        <w:t>三、四级耐火等级建筑之间的相邻外墙宜采用不燃烧实体墙，相连建筑的分户墙应采用不燃烧实体墙。建筑的屋顶宜采用不燃材料，当采用可燃材料时，不燃烧体分户墙应高出屋</w:t>
      </w:r>
      <w:r>
        <w:rPr>
          <w:spacing w:val="-13"/>
          <w:sz w:val="21"/>
        </w:rPr>
        <w:t>顶不小于 </w:t>
      </w:r>
      <w:r>
        <w:rPr>
          <w:sz w:val="21"/>
        </w:rPr>
        <w:t>0.5m</w:t>
      </w:r>
      <w:r>
        <w:rPr>
          <w:spacing w:val="-3"/>
          <w:sz w:val="21"/>
        </w:rPr>
        <w:t>。</w:t>
      </w:r>
      <w:r>
        <w:rPr>
          <w:sz w:val="21"/>
        </w:rPr>
        <w:t> </w:t>
      </w:r>
    </w:p>
    <w:p>
      <w:pPr>
        <w:pStyle w:val="ListParagraph"/>
        <w:numPr>
          <w:ilvl w:val="1"/>
          <w:numId w:val="506"/>
        </w:numPr>
        <w:tabs>
          <w:tab w:pos="1160" w:val="left" w:leader="none"/>
        </w:tabs>
        <w:spacing w:line="268" w:lineRule="exact" w:before="0" w:after="0"/>
        <w:ind w:left="1159" w:right="0" w:hanging="320"/>
        <w:jc w:val="both"/>
        <w:rPr>
          <w:sz w:val="21"/>
        </w:rPr>
      </w:pPr>
      <w:r>
        <w:rPr>
          <w:spacing w:val="-6"/>
          <w:sz w:val="21"/>
        </w:rPr>
        <w:t>住宿与生产、储存、经营合用场所应符合本规范附录 </w:t>
      </w:r>
      <w:r>
        <w:rPr>
          <w:sz w:val="21"/>
        </w:rPr>
        <w:t>A</w:t>
      </w:r>
      <w:r>
        <w:rPr>
          <w:spacing w:val="-10"/>
          <w:sz w:val="21"/>
        </w:rPr>
        <w:t> 的相关规定。</w:t>
      </w:r>
      <w:r>
        <w:rPr>
          <w:sz w:val="21"/>
        </w:rPr>
        <w:t> </w:t>
      </w:r>
    </w:p>
    <w:p>
      <w:pPr>
        <w:pStyle w:val="BodyText"/>
        <w:rPr>
          <w:sz w:val="18"/>
        </w:rPr>
      </w:pPr>
    </w:p>
    <w:p>
      <w:pPr>
        <w:pStyle w:val="ListParagraph"/>
        <w:numPr>
          <w:ilvl w:val="1"/>
          <w:numId w:val="506"/>
        </w:numPr>
        <w:tabs>
          <w:tab w:pos="1159" w:val="left" w:leader="none"/>
        </w:tabs>
        <w:spacing w:line="446" w:lineRule="auto" w:before="0" w:after="0"/>
        <w:ind w:left="418" w:right="1551" w:firstLine="422"/>
        <w:jc w:val="left"/>
        <w:rPr>
          <w:sz w:val="21"/>
        </w:rPr>
      </w:pPr>
      <w:r>
        <w:rPr>
          <w:spacing w:val="-5"/>
          <w:sz w:val="21"/>
        </w:rPr>
        <w:t>一、二级耐火等级建筑之间或与其他耐火等级建筑之间的防火间距不宜小于 </w:t>
      </w:r>
      <w:r>
        <w:rPr>
          <w:sz w:val="21"/>
        </w:rPr>
        <w:t>4m，当符</w:t>
      </w:r>
      <w:r>
        <w:rPr>
          <w:spacing w:val="-3"/>
          <w:sz w:val="21"/>
        </w:rPr>
        <w:t>合下列要求时，其防火间距可相应减小：</w:t>
      </w:r>
      <w:r>
        <w:rPr>
          <w:sz w:val="21"/>
        </w:rPr>
        <w:t> </w:t>
      </w:r>
    </w:p>
    <w:p>
      <w:pPr>
        <w:pStyle w:val="BodyText"/>
        <w:spacing w:line="446" w:lineRule="auto"/>
        <w:ind w:left="418" w:right="1609" w:firstLine="419"/>
      </w:pPr>
      <w:r>
        <w:rPr>
          <w:spacing w:val="-3"/>
        </w:rPr>
        <w:t>相邻的两座一、二级耐火等级的建筑，当较高一座建筑的相邻外墙为防火墙且屋顶不设置</w:t>
      </w:r>
      <w:r>
        <w:rPr>
          <w:spacing w:val="-6"/>
        </w:rPr>
        <w:t>天窗、屋顶承重构件及屋面板的耐火极限不低于 </w:t>
      </w:r>
      <w:r>
        <w:rPr/>
        <w:t>1.00h</w:t>
      </w:r>
      <w:r>
        <w:rPr>
          <w:spacing w:val="-9"/>
        </w:rPr>
        <w:t> 时，防火间距不限；</w:t>
      </w:r>
      <w:r>
        <w:rPr/>
        <w:t> </w:t>
      </w:r>
    </w:p>
    <w:p>
      <w:pPr>
        <w:pStyle w:val="BodyText"/>
        <w:spacing w:line="446" w:lineRule="auto"/>
        <w:ind w:left="418" w:right="1609" w:firstLine="419"/>
      </w:pPr>
      <w:r>
        <w:rPr>
          <w:spacing w:val="-3"/>
        </w:rPr>
        <w:t>相邻的两座一、二级耐火等级的建筑，当较低一座建筑的相邻外墙为防火墙且屋顶不设置</w:t>
      </w:r>
      <w:r>
        <w:rPr>
          <w:spacing w:val="-6"/>
        </w:rPr>
        <w:t>天窗、屋顶承重构件及屋面板的耐火极限不低于 </w:t>
      </w:r>
      <w:r>
        <w:rPr/>
        <w:t>1.00h</w:t>
      </w:r>
      <w:r>
        <w:rPr>
          <w:spacing w:val="-9"/>
        </w:rPr>
        <w:t> 时，防火间距不限；</w:t>
      </w:r>
      <w:r>
        <w:rPr/>
        <w:t> </w:t>
      </w:r>
    </w:p>
    <w:p>
      <w:pPr>
        <w:spacing w:after="0" w:line="446" w:lineRule="auto"/>
        <w:sectPr>
          <w:pgSz w:w="11910" w:h="16850"/>
          <w:pgMar w:header="0" w:footer="1239" w:top="1220" w:bottom="1420" w:left="1260" w:right="0"/>
        </w:sectPr>
      </w:pPr>
    </w:p>
    <w:p>
      <w:pPr>
        <w:pStyle w:val="BodyText"/>
        <w:spacing w:line="446" w:lineRule="auto" w:before="47"/>
        <w:ind w:left="418" w:right="1558" w:firstLine="419"/>
        <w:jc w:val="both"/>
      </w:pPr>
      <w:r>
        <w:rPr>
          <w:spacing w:val="-4"/>
        </w:rPr>
        <w:t>当建筑相邻外墙上的门窗洞口面积之和小于等于该外墙面积的 </w:t>
      </w:r>
      <w:r>
        <w:rPr/>
        <w:t>10</w:t>
      </w:r>
      <w:r>
        <w:rPr>
          <w:spacing w:val="-3"/>
        </w:rPr>
        <w:t>％且不正对开设时，建筑</w:t>
      </w:r>
      <w:r>
        <w:rPr>
          <w:spacing w:val="-8"/>
        </w:rPr>
        <w:t>之间的防火间距可减少为 </w:t>
      </w:r>
      <w:r>
        <w:rPr/>
        <w:t>2m； </w:t>
      </w:r>
    </w:p>
    <w:p>
      <w:pPr>
        <w:pStyle w:val="ListParagraph"/>
        <w:numPr>
          <w:ilvl w:val="1"/>
          <w:numId w:val="506"/>
        </w:numPr>
        <w:tabs>
          <w:tab w:pos="1160" w:val="left" w:leader="none"/>
        </w:tabs>
        <w:spacing w:line="446" w:lineRule="auto" w:before="0" w:after="0"/>
        <w:ind w:left="418" w:right="1553" w:firstLine="422"/>
        <w:jc w:val="both"/>
        <w:rPr>
          <w:sz w:val="21"/>
        </w:rPr>
      </w:pPr>
      <w:r>
        <w:rPr>
          <w:spacing w:val="-5"/>
          <w:sz w:val="21"/>
        </w:rPr>
        <w:t>三、四级耐火等级建筑之间的防火间距不宜小于 </w:t>
      </w:r>
      <w:r>
        <w:rPr>
          <w:sz w:val="21"/>
        </w:rPr>
        <w:t>6m</w:t>
      </w:r>
      <w:r>
        <w:rPr>
          <w:spacing w:val="-3"/>
          <w:sz w:val="21"/>
        </w:rPr>
        <w:t>。当建筑相邻外墙为不燃烧体，墙</w:t>
      </w:r>
      <w:r>
        <w:rPr>
          <w:spacing w:val="-4"/>
          <w:sz w:val="21"/>
        </w:rPr>
        <w:t>上的门窗洞口面积之和小于等于该外墙面积的 </w:t>
      </w:r>
      <w:r>
        <w:rPr>
          <w:sz w:val="21"/>
        </w:rPr>
        <w:t>10</w:t>
      </w:r>
      <w:r>
        <w:rPr>
          <w:spacing w:val="-3"/>
          <w:sz w:val="21"/>
        </w:rPr>
        <w:t>％且不正对开设时，建筑之间的防火间距可为4m。</w:t>
      </w:r>
      <w:r>
        <w:rPr>
          <w:sz w:val="21"/>
        </w:rPr>
        <w:t> </w:t>
      </w:r>
    </w:p>
    <w:p>
      <w:pPr>
        <w:pStyle w:val="ListParagraph"/>
        <w:numPr>
          <w:ilvl w:val="1"/>
          <w:numId w:val="506"/>
        </w:numPr>
        <w:tabs>
          <w:tab w:pos="1159" w:val="left" w:leader="none"/>
        </w:tabs>
        <w:spacing w:line="268" w:lineRule="exact" w:before="0" w:after="0"/>
        <w:ind w:left="1158" w:right="0" w:hanging="319"/>
        <w:jc w:val="left"/>
        <w:rPr>
          <w:sz w:val="21"/>
        </w:rPr>
      </w:pPr>
      <w:r>
        <w:rPr>
          <w:spacing w:val="-3"/>
          <w:sz w:val="21"/>
        </w:rPr>
        <w:t>既有建筑密集区的防火间距不满足要求时，应采取下列措施：</w:t>
      </w:r>
      <w:r>
        <w:rPr>
          <w:sz w:val="21"/>
        </w:rPr>
        <w:t> </w:t>
      </w:r>
    </w:p>
    <w:p>
      <w:pPr>
        <w:pStyle w:val="BodyText"/>
        <w:spacing w:before="3"/>
        <w:rPr>
          <w:sz w:val="17"/>
        </w:rPr>
      </w:pPr>
    </w:p>
    <w:p>
      <w:pPr>
        <w:pStyle w:val="BodyText"/>
        <w:spacing w:line="446" w:lineRule="auto"/>
        <w:ind w:left="418" w:right="1548" w:firstLine="419"/>
      </w:pPr>
      <w:r>
        <w:rPr/>
        <w:t>耐火等级较高的建筑密集区，占地面积不应超过 5000m</w:t>
      </w:r>
      <w:r>
        <w:rPr>
          <w:position w:val="11"/>
          <w:sz w:val="11"/>
        </w:rPr>
        <w:t>2</w:t>
      </w:r>
      <w:r>
        <w:rPr/>
        <w:t>；当超过时，应在密集区内设置宽度不小于 6m 的防火隔离带进行防火分隔； </w:t>
      </w:r>
    </w:p>
    <w:p>
      <w:pPr>
        <w:pStyle w:val="BodyText"/>
        <w:spacing w:line="446" w:lineRule="auto"/>
        <w:ind w:left="418" w:right="1548" w:firstLine="419"/>
      </w:pPr>
      <w:r>
        <w:rPr/>
        <w:t>耐火等级较低的建筑密集区，占地面积不应超过 3000m</w:t>
      </w:r>
      <w:r>
        <w:rPr>
          <w:position w:val="11"/>
          <w:sz w:val="11"/>
        </w:rPr>
        <w:t>2</w:t>
      </w:r>
      <w:r>
        <w:rPr/>
        <w:t>；当超过时，应在密集区内设置宽度不小于 10m 的防火隔离带进行防火分隔。 </w:t>
      </w:r>
    </w:p>
    <w:p>
      <w:pPr>
        <w:pStyle w:val="ListParagraph"/>
        <w:numPr>
          <w:ilvl w:val="1"/>
          <w:numId w:val="506"/>
        </w:numPr>
        <w:tabs>
          <w:tab w:pos="1159" w:val="left" w:leader="none"/>
        </w:tabs>
        <w:spacing w:line="446" w:lineRule="auto" w:before="0" w:after="0"/>
        <w:ind w:left="418" w:right="1604" w:firstLine="422"/>
        <w:jc w:val="left"/>
        <w:rPr>
          <w:sz w:val="21"/>
        </w:rPr>
      </w:pPr>
      <w:r>
        <w:rPr>
          <w:spacing w:val="-3"/>
          <w:sz w:val="21"/>
        </w:rPr>
        <w:t>存放柴草等材料和农具、农用物资的库房，宜独立建造；与其他用途房间合建时，应采用不燃烧实体墙隔开。</w:t>
      </w:r>
      <w:r>
        <w:rPr>
          <w:sz w:val="21"/>
        </w:rPr>
        <w:t> </w:t>
      </w:r>
    </w:p>
    <w:p>
      <w:pPr>
        <w:pStyle w:val="ListParagraph"/>
        <w:numPr>
          <w:ilvl w:val="1"/>
          <w:numId w:val="506"/>
        </w:numPr>
        <w:tabs>
          <w:tab w:pos="1159" w:val="left" w:leader="none"/>
        </w:tabs>
        <w:spacing w:line="446" w:lineRule="auto" w:before="0" w:after="0"/>
        <w:ind w:left="418" w:right="1553" w:firstLine="422"/>
        <w:jc w:val="left"/>
        <w:rPr>
          <w:sz w:val="21"/>
        </w:rPr>
      </w:pPr>
      <w:r>
        <w:rPr>
          <w:spacing w:val="-3"/>
          <w:sz w:val="21"/>
        </w:rPr>
        <w:t>建筑物的其他防火要求应符合现行国家标准《建筑设计防火规范》</w:t>
      </w:r>
      <w:r>
        <w:rPr>
          <w:sz w:val="21"/>
        </w:rPr>
        <w:t>GB</w:t>
      </w:r>
      <w:r>
        <w:rPr>
          <w:spacing w:val="14"/>
          <w:sz w:val="21"/>
        </w:rPr>
        <w:t> </w:t>
      </w:r>
      <w:r>
        <w:rPr>
          <w:sz w:val="21"/>
        </w:rPr>
        <w:t>50016</w:t>
      </w:r>
      <w:r>
        <w:rPr>
          <w:spacing w:val="-11"/>
          <w:sz w:val="21"/>
        </w:rPr>
        <w:t> 等的相关</w:t>
      </w:r>
      <w:r>
        <w:rPr>
          <w:spacing w:val="-9"/>
          <w:sz w:val="21"/>
        </w:rPr>
        <w:t>要求。</w:t>
      </w:r>
      <w:r>
        <w:rPr>
          <w:sz w:val="21"/>
        </w:rPr>
        <w:t> </w:t>
      </w:r>
    </w:p>
    <w:p>
      <w:pPr>
        <w:pStyle w:val="Heading4"/>
        <w:spacing w:line="275" w:lineRule="exact"/>
      </w:pPr>
      <w:r>
        <w:rPr/>
        <w:t>5 消防设施</w:t>
      </w:r>
      <w:r>
        <w:rPr>
          <w:w w:val="99"/>
        </w:rPr>
        <w:t> </w:t>
      </w:r>
    </w:p>
    <w:p>
      <w:pPr>
        <w:pStyle w:val="ListParagraph"/>
        <w:numPr>
          <w:ilvl w:val="1"/>
          <w:numId w:val="507"/>
        </w:numPr>
        <w:tabs>
          <w:tab w:pos="1159" w:val="left" w:leader="none"/>
        </w:tabs>
        <w:spacing w:line="446" w:lineRule="auto" w:before="212" w:after="0"/>
        <w:ind w:left="418" w:right="1813" w:firstLine="422"/>
        <w:jc w:val="left"/>
        <w:rPr>
          <w:sz w:val="21"/>
        </w:rPr>
      </w:pPr>
      <w:r>
        <w:rPr>
          <w:spacing w:val="-3"/>
          <w:sz w:val="21"/>
        </w:rPr>
        <w:t>农村应根据规模、区域条件、经济发展状况及火灾危险性等因素设置消防站和消防点。</w:t>
      </w:r>
      <w:r>
        <w:rPr>
          <w:sz w:val="21"/>
        </w:rPr>
        <w:t> </w:t>
      </w:r>
    </w:p>
    <w:p>
      <w:pPr>
        <w:pStyle w:val="ListParagraph"/>
        <w:numPr>
          <w:ilvl w:val="1"/>
          <w:numId w:val="507"/>
        </w:numPr>
        <w:tabs>
          <w:tab w:pos="1160" w:val="left" w:leader="none"/>
        </w:tabs>
        <w:spacing w:line="267" w:lineRule="exact" w:before="0" w:after="0"/>
        <w:ind w:left="1159" w:right="0" w:hanging="320"/>
        <w:jc w:val="left"/>
        <w:rPr>
          <w:sz w:val="21"/>
        </w:rPr>
      </w:pPr>
      <w:r>
        <w:rPr>
          <w:spacing w:val="-3"/>
          <w:sz w:val="21"/>
        </w:rPr>
        <w:t>消防站的建设和装备配备可按有关消防站建设标准执行。</w:t>
      </w:r>
      <w:r>
        <w:rPr>
          <w:sz w:val="21"/>
        </w:rPr>
        <w:t> </w:t>
      </w:r>
    </w:p>
    <w:p>
      <w:pPr>
        <w:pStyle w:val="BodyText"/>
        <w:spacing w:before="2"/>
        <w:rPr>
          <w:sz w:val="18"/>
        </w:rPr>
      </w:pPr>
    </w:p>
    <w:p>
      <w:pPr>
        <w:pStyle w:val="ListParagraph"/>
        <w:numPr>
          <w:ilvl w:val="1"/>
          <w:numId w:val="507"/>
        </w:numPr>
        <w:tabs>
          <w:tab w:pos="1159" w:val="left" w:leader="none"/>
        </w:tabs>
        <w:spacing w:line="240" w:lineRule="auto" w:before="0" w:after="0"/>
        <w:ind w:left="1158" w:right="0" w:hanging="319"/>
        <w:jc w:val="left"/>
        <w:rPr>
          <w:sz w:val="21"/>
        </w:rPr>
      </w:pPr>
      <w:r>
        <w:rPr>
          <w:spacing w:val="-3"/>
          <w:sz w:val="21"/>
        </w:rPr>
        <w:t>消防点的设置应满足以下要求：</w:t>
      </w:r>
      <w:r>
        <w:rPr>
          <w:sz w:val="21"/>
        </w:rPr>
        <w:t> </w:t>
      </w:r>
    </w:p>
    <w:p>
      <w:pPr>
        <w:pStyle w:val="BodyText"/>
        <w:rPr>
          <w:sz w:val="18"/>
        </w:rPr>
      </w:pPr>
    </w:p>
    <w:p>
      <w:pPr>
        <w:pStyle w:val="ListParagraph"/>
        <w:numPr>
          <w:ilvl w:val="0"/>
          <w:numId w:val="508"/>
        </w:numPr>
        <w:tabs>
          <w:tab w:pos="1367" w:val="left" w:leader="none"/>
        </w:tabs>
        <w:spacing w:line="240" w:lineRule="auto" w:before="0" w:after="0"/>
        <w:ind w:left="1367" w:right="0" w:hanging="529"/>
        <w:jc w:val="left"/>
        <w:rPr>
          <w:b/>
          <w:sz w:val="21"/>
        </w:rPr>
      </w:pPr>
      <w:r>
        <w:rPr>
          <w:spacing w:val="-3"/>
          <w:sz w:val="21"/>
        </w:rPr>
        <w:t>有固定的地点和房屋建筑，并有明显标识；</w:t>
      </w:r>
      <w:r>
        <w:rPr>
          <w:b/>
          <w:w w:val="99"/>
          <w:sz w:val="21"/>
        </w:rPr>
        <w:t> </w:t>
      </w:r>
    </w:p>
    <w:p>
      <w:pPr>
        <w:pStyle w:val="BodyText"/>
        <w:spacing w:before="12"/>
        <w:rPr>
          <w:b/>
          <w:sz w:val="17"/>
        </w:rPr>
      </w:pPr>
    </w:p>
    <w:p>
      <w:pPr>
        <w:pStyle w:val="ListParagraph"/>
        <w:numPr>
          <w:ilvl w:val="0"/>
          <w:numId w:val="508"/>
        </w:numPr>
        <w:tabs>
          <w:tab w:pos="1367" w:val="left" w:leader="none"/>
        </w:tabs>
        <w:spacing w:line="240" w:lineRule="auto" w:before="0" w:after="0"/>
        <w:ind w:left="1367" w:right="0" w:hanging="529"/>
        <w:jc w:val="left"/>
        <w:rPr>
          <w:b/>
          <w:sz w:val="21"/>
        </w:rPr>
      </w:pPr>
      <w:r>
        <w:rPr>
          <w:spacing w:val="-3"/>
          <w:sz w:val="21"/>
        </w:rPr>
        <w:t>配备消防车、手抬机动泵、水枪、水带、灭火器、破拆工具等全部或部分消防装备；</w:t>
      </w:r>
      <w:r>
        <w:rPr>
          <w:b/>
          <w:w w:val="99"/>
          <w:sz w:val="21"/>
        </w:rPr>
        <w:t> </w:t>
      </w:r>
    </w:p>
    <w:p>
      <w:pPr>
        <w:pStyle w:val="BodyText"/>
        <w:spacing w:before="2"/>
        <w:rPr>
          <w:b/>
          <w:sz w:val="18"/>
        </w:rPr>
      </w:pPr>
    </w:p>
    <w:p>
      <w:pPr>
        <w:pStyle w:val="ListParagraph"/>
        <w:numPr>
          <w:ilvl w:val="0"/>
          <w:numId w:val="508"/>
        </w:numPr>
        <w:tabs>
          <w:tab w:pos="1367" w:val="left" w:leader="none"/>
        </w:tabs>
        <w:spacing w:line="240" w:lineRule="auto" w:before="0" w:after="0"/>
        <w:ind w:left="1367" w:right="0" w:hanging="529"/>
        <w:jc w:val="left"/>
        <w:rPr>
          <w:b/>
          <w:sz w:val="21"/>
        </w:rPr>
      </w:pPr>
      <w:r>
        <w:rPr>
          <w:spacing w:val="-3"/>
          <w:sz w:val="21"/>
        </w:rPr>
        <w:t>设置火警电话和值班人员；</w:t>
      </w:r>
      <w:r>
        <w:rPr>
          <w:b/>
          <w:w w:val="99"/>
          <w:sz w:val="21"/>
        </w:rPr>
        <w:t> </w:t>
      </w:r>
    </w:p>
    <w:p>
      <w:pPr>
        <w:pStyle w:val="BodyText"/>
        <w:spacing w:before="12"/>
        <w:rPr>
          <w:b/>
          <w:sz w:val="17"/>
        </w:rPr>
      </w:pPr>
    </w:p>
    <w:p>
      <w:pPr>
        <w:pStyle w:val="ListParagraph"/>
        <w:numPr>
          <w:ilvl w:val="0"/>
          <w:numId w:val="508"/>
        </w:numPr>
        <w:tabs>
          <w:tab w:pos="1367" w:val="left" w:leader="none"/>
        </w:tabs>
        <w:spacing w:line="240" w:lineRule="auto" w:before="0" w:after="0"/>
        <w:ind w:left="1367" w:right="0" w:hanging="529"/>
        <w:jc w:val="left"/>
        <w:rPr>
          <w:b/>
          <w:sz w:val="21"/>
        </w:rPr>
      </w:pPr>
      <w:r>
        <w:rPr>
          <w:spacing w:val="-3"/>
          <w:sz w:val="21"/>
        </w:rPr>
        <w:t>有专职、义务或志愿消防队员；</w:t>
      </w:r>
      <w:r>
        <w:rPr>
          <w:b/>
          <w:w w:val="99"/>
          <w:sz w:val="21"/>
        </w:rPr>
        <w:t> </w:t>
      </w:r>
    </w:p>
    <w:p>
      <w:pPr>
        <w:pStyle w:val="BodyText"/>
        <w:rPr>
          <w:b/>
          <w:sz w:val="18"/>
        </w:rPr>
      </w:pPr>
    </w:p>
    <w:p>
      <w:pPr>
        <w:pStyle w:val="ListParagraph"/>
        <w:numPr>
          <w:ilvl w:val="0"/>
          <w:numId w:val="508"/>
        </w:numPr>
        <w:tabs>
          <w:tab w:pos="1367" w:val="left" w:leader="none"/>
        </w:tabs>
        <w:spacing w:line="240" w:lineRule="auto" w:before="0" w:after="0"/>
        <w:ind w:left="1367" w:right="0" w:hanging="529"/>
        <w:jc w:val="left"/>
        <w:rPr>
          <w:b/>
          <w:sz w:val="21"/>
        </w:rPr>
      </w:pPr>
      <w:r>
        <w:rPr>
          <w:spacing w:val="-3"/>
          <w:sz w:val="21"/>
        </w:rPr>
        <w:t>寒冷地区采取保温措施。</w:t>
      </w:r>
      <w:r>
        <w:rPr>
          <w:b/>
          <w:w w:val="99"/>
          <w:sz w:val="21"/>
        </w:rPr>
        <w:t> </w:t>
      </w:r>
    </w:p>
    <w:p>
      <w:pPr>
        <w:pStyle w:val="BodyText"/>
        <w:spacing w:before="2"/>
        <w:rPr>
          <w:b/>
          <w:sz w:val="18"/>
        </w:rPr>
      </w:pPr>
    </w:p>
    <w:p>
      <w:pPr>
        <w:pStyle w:val="ListParagraph"/>
        <w:numPr>
          <w:ilvl w:val="1"/>
          <w:numId w:val="507"/>
        </w:numPr>
        <w:tabs>
          <w:tab w:pos="1159" w:val="left" w:leader="none"/>
        </w:tabs>
        <w:spacing w:line="446" w:lineRule="auto" w:before="0" w:after="0"/>
        <w:ind w:left="418" w:right="1604" w:firstLine="422"/>
        <w:jc w:val="left"/>
        <w:rPr>
          <w:sz w:val="21"/>
        </w:rPr>
      </w:pPr>
      <w:r>
        <w:rPr>
          <w:spacing w:val="-3"/>
          <w:sz w:val="21"/>
        </w:rPr>
        <w:t>农村应充分利用满足一定灭火要求的农用车、洒水车、灌溉机动泵等农用设施作为消防装备的补充。</w:t>
      </w:r>
      <w:r>
        <w:rPr>
          <w:sz w:val="21"/>
        </w:rPr>
        <w:t> </w:t>
      </w:r>
    </w:p>
    <w:p>
      <w:pPr>
        <w:pStyle w:val="ListParagraph"/>
        <w:numPr>
          <w:ilvl w:val="1"/>
          <w:numId w:val="507"/>
        </w:numPr>
        <w:tabs>
          <w:tab w:pos="1160" w:val="left" w:leader="none"/>
        </w:tabs>
        <w:spacing w:line="267" w:lineRule="exact" w:before="0" w:after="0"/>
        <w:ind w:left="1159" w:right="0" w:hanging="320"/>
        <w:jc w:val="left"/>
        <w:rPr>
          <w:sz w:val="21"/>
        </w:rPr>
      </w:pPr>
      <w:r>
        <w:rPr>
          <w:spacing w:val="-3"/>
          <w:sz w:val="21"/>
        </w:rPr>
        <w:t>农村应设置消防水源。消防水源应由给水管网、天然水源或消防水池供给。 </w:t>
      </w:r>
    </w:p>
    <w:p>
      <w:pPr>
        <w:spacing w:after="0" w:line="267" w:lineRule="exact"/>
        <w:jc w:val="left"/>
        <w:rPr>
          <w:sz w:val="21"/>
        </w:rPr>
        <w:sectPr>
          <w:pgSz w:w="11910" w:h="16850"/>
          <w:pgMar w:header="0" w:footer="1239" w:top="1220" w:bottom="1420" w:left="1260" w:right="0"/>
        </w:sectPr>
      </w:pPr>
    </w:p>
    <w:p>
      <w:pPr>
        <w:pStyle w:val="ListParagraph"/>
        <w:numPr>
          <w:ilvl w:val="1"/>
          <w:numId w:val="507"/>
        </w:numPr>
        <w:tabs>
          <w:tab w:pos="1159" w:val="left" w:leader="none"/>
        </w:tabs>
        <w:spacing w:line="446" w:lineRule="auto" w:before="47" w:after="0"/>
        <w:ind w:left="418" w:right="1604" w:firstLine="422"/>
        <w:jc w:val="left"/>
        <w:rPr>
          <w:sz w:val="21"/>
        </w:rPr>
      </w:pPr>
      <w:r>
        <w:rPr>
          <w:spacing w:val="-3"/>
          <w:sz w:val="21"/>
        </w:rPr>
        <w:t>具备给水管网条件的农村，应设室外消防给水系统。消防给水系统宜与生产、生活给水系统合用，并应满足消防供水的要求。</w:t>
      </w:r>
      <w:r>
        <w:rPr>
          <w:sz w:val="21"/>
        </w:rPr>
        <w:t> </w:t>
      </w:r>
    </w:p>
    <w:p>
      <w:pPr>
        <w:pStyle w:val="BodyText"/>
        <w:spacing w:line="446" w:lineRule="auto"/>
        <w:ind w:left="418" w:right="1609" w:firstLine="419"/>
      </w:pPr>
      <w:r>
        <w:rPr/>
        <w:t>不具备给水管网条件或室外消防给水系统不符合消防供水要求的农村，应建设消防水池或利用天然水源。 </w:t>
      </w:r>
    </w:p>
    <w:p>
      <w:pPr>
        <w:pStyle w:val="ListParagraph"/>
        <w:numPr>
          <w:ilvl w:val="1"/>
          <w:numId w:val="507"/>
        </w:numPr>
        <w:tabs>
          <w:tab w:pos="1160" w:val="left" w:leader="none"/>
        </w:tabs>
        <w:spacing w:line="240" w:lineRule="auto" w:before="0" w:after="0"/>
        <w:ind w:left="1159" w:right="0" w:hanging="320"/>
        <w:jc w:val="left"/>
        <w:rPr>
          <w:sz w:val="21"/>
        </w:rPr>
      </w:pPr>
      <w:r>
        <w:rPr>
          <w:spacing w:val="-3"/>
          <w:sz w:val="21"/>
        </w:rPr>
        <w:t>室外消防给水管道和室外消火栓的设置应符合下列要求：</w:t>
      </w:r>
      <w:r>
        <w:rPr>
          <w:sz w:val="21"/>
        </w:rPr>
        <w:t> </w:t>
      </w:r>
    </w:p>
    <w:p>
      <w:pPr>
        <w:pStyle w:val="BodyText"/>
        <w:spacing w:before="10"/>
        <w:rPr>
          <w:sz w:val="17"/>
        </w:rPr>
      </w:pPr>
    </w:p>
    <w:p>
      <w:pPr>
        <w:pStyle w:val="ListParagraph"/>
        <w:numPr>
          <w:ilvl w:val="0"/>
          <w:numId w:val="509"/>
        </w:numPr>
        <w:tabs>
          <w:tab w:pos="1367" w:val="left" w:leader="none"/>
        </w:tabs>
        <w:spacing w:line="446" w:lineRule="auto" w:before="0" w:after="0"/>
        <w:ind w:left="418" w:right="1560" w:firstLine="419"/>
        <w:jc w:val="both"/>
        <w:rPr>
          <w:sz w:val="21"/>
        </w:rPr>
      </w:pPr>
      <w:r>
        <w:rPr>
          <w:spacing w:val="-3"/>
          <w:sz w:val="21"/>
        </w:rPr>
        <w:t>当村庄在消防站（点</w:t>
      </w:r>
      <w:r>
        <w:rPr>
          <w:sz w:val="21"/>
        </w:rPr>
        <w:t>）</w:t>
      </w:r>
      <w:r>
        <w:rPr>
          <w:spacing w:val="-4"/>
          <w:sz w:val="21"/>
        </w:rPr>
        <w:t>的保护范围内时，室外消火栓栓口的压力不应低于 </w:t>
      </w:r>
      <w:r>
        <w:rPr>
          <w:sz w:val="21"/>
        </w:rPr>
        <w:t>0.1MP</w:t>
      </w:r>
      <w:r>
        <w:rPr>
          <w:spacing w:val="-2"/>
          <w:sz w:val="21"/>
        </w:rPr>
        <w:t>；当</w:t>
      </w:r>
      <w:r>
        <w:rPr>
          <w:spacing w:val="-3"/>
          <w:sz w:val="21"/>
        </w:rPr>
        <w:t>村庄不在消防站</w:t>
      </w:r>
      <w:r>
        <w:rPr>
          <w:sz w:val="21"/>
        </w:rPr>
        <w:t>（</w:t>
      </w:r>
      <w:r>
        <w:rPr>
          <w:spacing w:val="-3"/>
          <w:sz w:val="21"/>
        </w:rPr>
        <w:t>点</w:t>
      </w:r>
      <w:r>
        <w:rPr>
          <w:sz w:val="21"/>
        </w:rPr>
        <w:t>）</w:t>
      </w:r>
      <w:r>
        <w:rPr>
          <w:spacing w:val="-3"/>
          <w:sz w:val="21"/>
        </w:rPr>
        <w:t>保护范围内时，室外消火栓应满足其保护半径内建筑最不利点灭火的压力和流量的要求；</w:t>
      </w:r>
      <w:r>
        <w:rPr>
          <w:sz w:val="21"/>
        </w:rPr>
        <w:t> </w:t>
      </w:r>
    </w:p>
    <w:p>
      <w:pPr>
        <w:pStyle w:val="ListParagraph"/>
        <w:numPr>
          <w:ilvl w:val="0"/>
          <w:numId w:val="509"/>
        </w:numPr>
        <w:tabs>
          <w:tab w:pos="1367" w:val="left" w:leader="none"/>
        </w:tabs>
        <w:spacing w:line="268" w:lineRule="exact" w:before="0" w:after="0"/>
        <w:ind w:left="1367" w:right="0" w:hanging="529"/>
        <w:jc w:val="both"/>
        <w:rPr>
          <w:sz w:val="21"/>
        </w:rPr>
      </w:pPr>
      <w:r>
        <w:rPr>
          <w:spacing w:val="-7"/>
          <w:sz w:val="21"/>
        </w:rPr>
        <w:t>消防给水管道的管径不宜小于 </w:t>
      </w:r>
      <w:r>
        <w:rPr>
          <w:sz w:val="21"/>
        </w:rPr>
        <w:t>100mm； </w:t>
      </w:r>
    </w:p>
    <w:p>
      <w:pPr>
        <w:pStyle w:val="BodyText"/>
        <w:spacing w:before="2"/>
        <w:rPr>
          <w:sz w:val="18"/>
        </w:rPr>
      </w:pPr>
    </w:p>
    <w:p>
      <w:pPr>
        <w:pStyle w:val="ListParagraph"/>
        <w:numPr>
          <w:ilvl w:val="0"/>
          <w:numId w:val="509"/>
        </w:numPr>
        <w:tabs>
          <w:tab w:pos="1367" w:val="left" w:leader="none"/>
        </w:tabs>
        <w:spacing w:line="240" w:lineRule="auto" w:before="0" w:after="0"/>
        <w:ind w:left="1367" w:right="0" w:hanging="529"/>
        <w:jc w:val="left"/>
        <w:rPr>
          <w:sz w:val="21"/>
        </w:rPr>
      </w:pPr>
      <w:r>
        <w:rPr>
          <w:spacing w:val="-3"/>
          <w:sz w:val="21"/>
        </w:rPr>
        <w:t>消防给水管道的埋设深度应根据气候条件、外部荷载、管材性能等因素确定；</w:t>
      </w:r>
      <w:r>
        <w:rPr>
          <w:sz w:val="21"/>
        </w:rPr>
        <w:t> </w:t>
      </w:r>
    </w:p>
    <w:p>
      <w:pPr>
        <w:pStyle w:val="BodyText"/>
        <w:rPr>
          <w:sz w:val="18"/>
        </w:rPr>
      </w:pPr>
    </w:p>
    <w:p>
      <w:pPr>
        <w:pStyle w:val="ListParagraph"/>
        <w:numPr>
          <w:ilvl w:val="0"/>
          <w:numId w:val="509"/>
        </w:numPr>
        <w:tabs>
          <w:tab w:pos="1367" w:val="left" w:leader="none"/>
        </w:tabs>
        <w:spacing w:line="446" w:lineRule="auto" w:before="0" w:after="0"/>
        <w:ind w:left="418" w:right="1455" w:firstLine="419"/>
        <w:jc w:val="left"/>
        <w:rPr>
          <w:sz w:val="21"/>
        </w:rPr>
      </w:pPr>
      <w:r>
        <w:rPr>
          <w:spacing w:val="-5"/>
          <w:sz w:val="21"/>
        </w:rPr>
        <w:t>室外消火栓间距不宜大于 </w:t>
      </w:r>
      <w:r>
        <w:rPr>
          <w:sz w:val="21"/>
        </w:rPr>
        <w:t>120m</w:t>
      </w:r>
      <w:r>
        <w:rPr>
          <w:spacing w:val="-3"/>
          <w:sz w:val="21"/>
        </w:rPr>
        <w:t>；三、四级耐火等级建筑较多的农村，室外消火栓间距</w:t>
      </w:r>
      <w:r>
        <w:rPr>
          <w:spacing w:val="-13"/>
          <w:sz w:val="21"/>
        </w:rPr>
        <w:t>不宜大于 </w:t>
      </w:r>
      <w:r>
        <w:rPr>
          <w:sz w:val="21"/>
        </w:rPr>
        <w:t>60m； </w:t>
      </w:r>
    </w:p>
    <w:p>
      <w:pPr>
        <w:pStyle w:val="ListParagraph"/>
        <w:numPr>
          <w:ilvl w:val="0"/>
          <w:numId w:val="509"/>
        </w:numPr>
        <w:tabs>
          <w:tab w:pos="1367" w:val="left" w:leader="none"/>
        </w:tabs>
        <w:spacing w:line="446" w:lineRule="auto" w:before="0" w:after="0"/>
        <w:ind w:left="418" w:right="1505" w:firstLine="419"/>
        <w:jc w:val="left"/>
        <w:rPr>
          <w:sz w:val="21"/>
        </w:rPr>
      </w:pPr>
      <w:r>
        <w:rPr>
          <w:spacing w:val="-3"/>
          <w:sz w:val="21"/>
        </w:rPr>
        <w:t>寒冷地区的室外消火栓应采取防冻措施，或采用地下消火栓、消防水鹤或将室外消火栓设在室内；</w:t>
      </w:r>
      <w:r>
        <w:rPr>
          <w:sz w:val="21"/>
        </w:rPr>
        <w:t> </w:t>
      </w:r>
    </w:p>
    <w:p>
      <w:pPr>
        <w:pStyle w:val="ListParagraph"/>
        <w:numPr>
          <w:ilvl w:val="0"/>
          <w:numId w:val="509"/>
        </w:numPr>
        <w:tabs>
          <w:tab w:pos="1367" w:val="left" w:leader="none"/>
        </w:tabs>
        <w:spacing w:line="446" w:lineRule="auto" w:before="0" w:after="0"/>
        <w:ind w:left="840" w:right="1920" w:hanging="3"/>
        <w:jc w:val="left"/>
        <w:rPr>
          <w:sz w:val="21"/>
        </w:rPr>
      </w:pPr>
      <w:r>
        <w:rPr>
          <w:spacing w:val="-5"/>
          <w:sz w:val="21"/>
        </w:rPr>
        <w:t>室外消火栓应沿道路设置，并宜靠近十字路口，与房屋外墙距离不宜小于 </w:t>
      </w:r>
      <w:r>
        <w:rPr>
          <w:sz w:val="21"/>
        </w:rPr>
        <w:t>2m</w:t>
      </w:r>
      <w:r>
        <w:rPr>
          <w:spacing w:val="-3"/>
          <w:sz w:val="21"/>
        </w:rPr>
        <w:t>。</w:t>
      </w:r>
      <w:r>
        <w:rPr>
          <w:b/>
          <w:sz w:val="21"/>
        </w:rPr>
        <w:t>5.8</w:t>
      </w:r>
      <w:r>
        <w:rPr>
          <w:b/>
          <w:spacing w:val="20"/>
          <w:sz w:val="21"/>
        </w:rPr>
        <w:t> </w:t>
      </w:r>
      <w:r>
        <w:rPr>
          <w:spacing w:val="-3"/>
          <w:sz w:val="21"/>
        </w:rPr>
        <w:t>江河、湖泊、水塘、水井、水窖等天然水源作为消防水源时，应符合下列要求：</w:t>
      </w:r>
      <w:r>
        <w:rPr>
          <w:sz w:val="21"/>
        </w:rPr>
        <w:t> </w:t>
      </w:r>
    </w:p>
    <w:p>
      <w:pPr>
        <w:pStyle w:val="ListParagraph"/>
        <w:numPr>
          <w:ilvl w:val="0"/>
          <w:numId w:val="510"/>
        </w:numPr>
        <w:tabs>
          <w:tab w:pos="1367" w:val="left" w:leader="none"/>
        </w:tabs>
        <w:spacing w:line="240" w:lineRule="auto" w:before="0" w:after="0"/>
        <w:ind w:left="1367" w:right="0" w:hanging="529"/>
        <w:jc w:val="left"/>
        <w:rPr>
          <w:sz w:val="21"/>
        </w:rPr>
      </w:pPr>
      <w:r>
        <w:rPr>
          <w:spacing w:val="-3"/>
          <w:sz w:val="21"/>
        </w:rPr>
        <w:t>能保证枯水期和冬季的消防用水；</w:t>
      </w:r>
      <w:r>
        <w:rPr>
          <w:sz w:val="21"/>
        </w:rPr>
        <w:t> </w:t>
      </w:r>
    </w:p>
    <w:p>
      <w:pPr>
        <w:pStyle w:val="BodyText"/>
        <w:spacing w:before="10"/>
        <w:rPr>
          <w:sz w:val="17"/>
        </w:rPr>
      </w:pPr>
    </w:p>
    <w:p>
      <w:pPr>
        <w:pStyle w:val="ListParagraph"/>
        <w:numPr>
          <w:ilvl w:val="0"/>
          <w:numId w:val="510"/>
        </w:numPr>
        <w:tabs>
          <w:tab w:pos="1367" w:val="left" w:leader="none"/>
        </w:tabs>
        <w:spacing w:line="240" w:lineRule="auto" w:before="0" w:after="0"/>
        <w:ind w:left="1367" w:right="0" w:hanging="529"/>
        <w:jc w:val="left"/>
        <w:rPr>
          <w:sz w:val="21"/>
        </w:rPr>
      </w:pPr>
      <w:r>
        <w:rPr>
          <w:spacing w:val="-3"/>
          <w:sz w:val="21"/>
        </w:rPr>
        <w:t>应防止被可燃液体污染；</w:t>
      </w:r>
      <w:r>
        <w:rPr>
          <w:sz w:val="21"/>
        </w:rPr>
        <w:t> </w:t>
      </w:r>
    </w:p>
    <w:p>
      <w:pPr>
        <w:pStyle w:val="BodyText"/>
        <w:spacing w:before="2"/>
        <w:rPr>
          <w:sz w:val="18"/>
        </w:rPr>
      </w:pPr>
    </w:p>
    <w:p>
      <w:pPr>
        <w:pStyle w:val="ListParagraph"/>
        <w:numPr>
          <w:ilvl w:val="0"/>
          <w:numId w:val="510"/>
        </w:numPr>
        <w:tabs>
          <w:tab w:pos="1367" w:val="left" w:leader="none"/>
        </w:tabs>
        <w:spacing w:line="240" w:lineRule="auto" w:before="0" w:after="0"/>
        <w:ind w:left="1367" w:right="0" w:hanging="529"/>
        <w:jc w:val="left"/>
        <w:rPr>
          <w:sz w:val="21"/>
        </w:rPr>
      </w:pPr>
      <w:r>
        <w:rPr>
          <w:spacing w:val="-3"/>
          <w:sz w:val="21"/>
        </w:rPr>
        <w:t>有取水码头及通向取水码头的消防车道；</w:t>
      </w:r>
      <w:r>
        <w:rPr>
          <w:sz w:val="21"/>
        </w:rPr>
        <w:t> </w:t>
      </w:r>
    </w:p>
    <w:p>
      <w:pPr>
        <w:pStyle w:val="BodyText"/>
        <w:rPr>
          <w:sz w:val="18"/>
        </w:rPr>
      </w:pPr>
    </w:p>
    <w:p>
      <w:pPr>
        <w:pStyle w:val="ListParagraph"/>
        <w:numPr>
          <w:ilvl w:val="0"/>
          <w:numId w:val="510"/>
        </w:numPr>
        <w:tabs>
          <w:tab w:pos="1367" w:val="left" w:leader="none"/>
        </w:tabs>
        <w:spacing w:line="446" w:lineRule="auto" w:before="0" w:after="0"/>
        <w:ind w:left="840" w:right="3241" w:hanging="3"/>
        <w:jc w:val="left"/>
        <w:rPr>
          <w:sz w:val="21"/>
        </w:rPr>
      </w:pPr>
      <w:r>
        <w:rPr>
          <w:spacing w:val="-5"/>
          <w:sz w:val="21"/>
        </w:rPr>
        <w:t>供消防车取水的天然水源，最低水位时吸水高度不应超过 </w:t>
      </w:r>
      <w:r>
        <w:rPr>
          <w:sz w:val="21"/>
        </w:rPr>
        <w:t>6.0m</w:t>
      </w:r>
      <w:r>
        <w:rPr>
          <w:spacing w:val="-3"/>
          <w:sz w:val="21"/>
        </w:rPr>
        <w:t>。</w:t>
      </w:r>
      <w:r>
        <w:rPr>
          <w:b/>
          <w:sz w:val="21"/>
        </w:rPr>
        <w:t>5.9 </w:t>
      </w:r>
      <w:r>
        <w:rPr>
          <w:spacing w:val="-3"/>
          <w:sz w:val="21"/>
        </w:rPr>
        <w:t>消防水池应符合下列要求：</w:t>
      </w:r>
      <w:r>
        <w:rPr>
          <w:sz w:val="21"/>
        </w:rPr>
        <w:t> </w:t>
      </w:r>
    </w:p>
    <w:p>
      <w:pPr>
        <w:pStyle w:val="ListParagraph"/>
        <w:numPr>
          <w:ilvl w:val="0"/>
          <w:numId w:val="511"/>
        </w:numPr>
        <w:tabs>
          <w:tab w:pos="1367" w:val="left" w:leader="none"/>
        </w:tabs>
        <w:spacing w:line="269" w:lineRule="exact" w:before="0" w:after="0"/>
        <w:ind w:left="1367" w:right="0" w:hanging="529"/>
        <w:jc w:val="left"/>
        <w:rPr>
          <w:sz w:val="21"/>
        </w:rPr>
      </w:pPr>
      <w:r>
        <w:rPr>
          <w:spacing w:val="-11"/>
          <w:sz w:val="21"/>
        </w:rPr>
        <w:t>容量不宜小于 </w:t>
      </w:r>
      <w:r>
        <w:rPr>
          <w:sz w:val="21"/>
        </w:rPr>
        <w:t>100m</w:t>
      </w:r>
      <w:r>
        <w:rPr>
          <w:position w:val="11"/>
          <w:sz w:val="11"/>
        </w:rPr>
        <w:t>3</w:t>
      </w:r>
      <w:r>
        <w:rPr>
          <w:spacing w:val="-5"/>
          <w:sz w:val="21"/>
        </w:rPr>
        <w:t>。建筑耐火等级较低的村庄，消防水池的容量不宜小于 </w:t>
      </w:r>
      <w:r>
        <w:rPr>
          <w:sz w:val="21"/>
        </w:rPr>
        <w:t>200m</w:t>
      </w:r>
      <w:r>
        <w:rPr>
          <w:position w:val="11"/>
          <w:sz w:val="11"/>
        </w:rPr>
        <w:t>3</w:t>
      </w:r>
      <w:r>
        <w:rPr>
          <w:sz w:val="21"/>
        </w:rPr>
        <w:t>； </w:t>
      </w:r>
    </w:p>
    <w:p>
      <w:pPr>
        <w:pStyle w:val="BodyText"/>
        <w:spacing w:before="12"/>
        <w:rPr>
          <w:sz w:val="17"/>
        </w:rPr>
      </w:pPr>
    </w:p>
    <w:p>
      <w:pPr>
        <w:pStyle w:val="ListParagraph"/>
        <w:numPr>
          <w:ilvl w:val="0"/>
          <w:numId w:val="511"/>
        </w:numPr>
        <w:tabs>
          <w:tab w:pos="1367" w:val="left" w:leader="none"/>
        </w:tabs>
        <w:spacing w:line="240" w:lineRule="auto" w:before="0" w:after="0"/>
        <w:ind w:left="1367" w:right="0" w:hanging="529"/>
        <w:jc w:val="left"/>
        <w:rPr>
          <w:sz w:val="21"/>
        </w:rPr>
      </w:pPr>
      <w:r>
        <w:rPr>
          <w:spacing w:val="-3"/>
          <w:sz w:val="21"/>
        </w:rPr>
        <w:t>应采取保证消防用水不作他用的技术措施；</w:t>
      </w:r>
      <w:r>
        <w:rPr>
          <w:sz w:val="21"/>
        </w:rPr>
        <w:t> </w:t>
      </w:r>
    </w:p>
    <w:p>
      <w:pPr>
        <w:pStyle w:val="BodyText"/>
        <w:spacing w:before="12"/>
        <w:rPr>
          <w:sz w:val="17"/>
        </w:rPr>
      </w:pPr>
    </w:p>
    <w:p>
      <w:pPr>
        <w:pStyle w:val="ListParagraph"/>
        <w:numPr>
          <w:ilvl w:val="0"/>
          <w:numId w:val="511"/>
        </w:numPr>
        <w:tabs>
          <w:tab w:pos="1367" w:val="left" w:leader="none"/>
        </w:tabs>
        <w:spacing w:line="240" w:lineRule="auto" w:before="0" w:after="0"/>
        <w:ind w:left="1367" w:right="0" w:hanging="529"/>
        <w:jc w:val="left"/>
        <w:rPr>
          <w:sz w:val="21"/>
        </w:rPr>
      </w:pPr>
      <w:r>
        <w:rPr>
          <w:spacing w:val="-3"/>
          <w:sz w:val="21"/>
        </w:rPr>
        <w:t>宜建在地势较高处。供消防车或机动消防泵取水的消防水池应设取水口，且不宜少于</w:t>
      </w:r>
    </w:p>
    <w:p>
      <w:pPr>
        <w:pStyle w:val="BodyText"/>
        <w:spacing w:before="2"/>
        <w:rPr>
          <w:sz w:val="18"/>
        </w:rPr>
      </w:pPr>
    </w:p>
    <w:p>
      <w:pPr>
        <w:pStyle w:val="ListParagraph"/>
        <w:numPr>
          <w:ilvl w:val="0"/>
          <w:numId w:val="501"/>
        </w:numPr>
        <w:tabs>
          <w:tab w:pos="577" w:val="left" w:leader="none"/>
        </w:tabs>
        <w:spacing w:line="240" w:lineRule="auto" w:before="0" w:after="0"/>
        <w:ind w:left="576" w:right="0" w:hanging="159"/>
        <w:jc w:val="left"/>
        <w:rPr>
          <w:sz w:val="21"/>
        </w:rPr>
      </w:pPr>
      <w:r>
        <w:rPr>
          <w:spacing w:val="-6"/>
          <w:sz w:val="21"/>
        </w:rPr>
        <w:t>处；水池池底距设计地面的高度不应超过 </w:t>
      </w:r>
      <w:r>
        <w:rPr>
          <w:sz w:val="21"/>
        </w:rPr>
        <w:t>6.0m； </w:t>
      </w:r>
    </w:p>
    <w:p>
      <w:pPr>
        <w:pStyle w:val="BodyText"/>
        <w:rPr>
          <w:sz w:val="18"/>
        </w:rPr>
      </w:pPr>
    </w:p>
    <w:p>
      <w:pPr>
        <w:pStyle w:val="ListParagraph"/>
        <w:numPr>
          <w:ilvl w:val="0"/>
          <w:numId w:val="511"/>
        </w:numPr>
        <w:tabs>
          <w:tab w:pos="1367" w:val="left" w:leader="none"/>
        </w:tabs>
        <w:spacing w:line="240" w:lineRule="auto" w:before="0" w:after="0"/>
        <w:ind w:left="1367" w:right="0" w:hanging="529"/>
        <w:jc w:val="left"/>
        <w:rPr>
          <w:sz w:val="21"/>
        </w:rPr>
      </w:pPr>
      <w:r>
        <w:rPr>
          <w:spacing w:val="-9"/>
          <w:sz w:val="21"/>
        </w:rPr>
        <w:t>保护半径不宜大于 </w:t>
      </w:r>
      <w:r>
        <w:rPr>
          <w:sz w:val="21"/>
        </w:rPr>
        <w:t>150m； </w:t>
      </w:r>
    </w:p>
    <w:p>
      <w:pPr>
        <w:pStyle w:val="BodyText"/>
        <w:rPr>
          <w:sz w:val="18"/>
        </w:rPr>
      </w:pPr>
    </w:p>
    <w:p>
      <w:pPr>
        <w:pStyle w:val="ListParagraph"/>
        <w:numPr>
          <w:ilvl w:val="0"/>
          <w:numId w:val="511"/>
        </w:numPr>
        <w:tabs>
          <w:tab w:pos="1367" w:val="left" w:leader="none"/>
        </w:tabs>
        <w:spacing w:line="240" w:lineRule="auto" w:before="0" w:after="0"/>
        <w:ind w:left="1367" w:right="0" w:hanging="529"/>
        <w:jc w:val="left"/>
        <w:rPr>
          <w:sz w:val="21"/>
        </w:rPr>
      </w:pPr>
      <w:r>
        <w:rPr>
          <w:spacing w:val="-19"/>
          <w:sz w:val="21"/>
        </w:rPr>
        <w:t>设有 </w:t>
      </w:r>
      <w:r>
        <w:rPr>
          <w:sz w:val="21"/>
        </w:rPr>
        <w:t>2</w:t>
      </w:r>
      <w:r>
        <w:rPr>
          <w:spacing w:val="-8"/>
          <w:sz w:val="21"/>
        </w:rPr>
        <w:t> 个及以上消防水池时，宜分散布置；</w:t>
      </w:r>
      <w:r>
        <w:rPr>
          <w:sz w:val="21"/>
        </w:rPr>
        <w:t> </w:t>
      </w:r>
    </w:p>
    <w:p>
      <w:pPr>
        <w:pStyle w:val="BodyText"/>
        <w:spacing w:before="2"/>
        <w:rPr>
          <w:sz w:val="18"/>
        </w:rPr>
      </w:pPr>
    </w:p>
    <w:p>
      <w:pPr>
        <w:pStyle w:val="ListParagraph"/>
        <w:numPr>
          <w:ilvl w:val="0"/>
          <w:numId w:val="511"/>
        </w:numPr>
        <w:tabs>
          <w:tab w:pos="1367" w:val="left" w:leader="none"/>
        </w:tabs>
        <w:spacing w:line="240" w:lineRule="auto" w:before="0" w:after="0"/>
        <w:ind w:left="1367" w:right="0" w:hanging="529"/>
        <w:jc w:val="left"/>
        <w:rPr>
          <w:sz w:val="21"/>
        </w:rPr>
      </w:pPr>
      <w:r>
        <w:rPr>
          <w:spacing w:val="-3"/>
          <w:sz w:val="21"/>
        </w:rPr>
        <w:t>寒冷和严寒地区的消防水池应采取防冻措施。</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1"/>
          <w:numId w:val="512"/>
        </w:numPr>
        <w:tabs>
          <w:tab w:pos="1266" w:val="left" w:leader="none"/>
        </w:tabs>
        <w:spacing w:line="240" w:lineRule="auto" w:before="47" w:after="0"/>
        <w:ind w:left="1265" w:right="0" w:hanging="426"/>
        <w:jc w:val="left"/>
        <w:rPr>
          <w:sz w:val="21"/>
        </w:rPr>
      </w:pPr>
      <w:r>
        <w:rPr>
          <w:spacing w:val="-3"/>
          <w:sz w:val="21"/>
        </w:rPr>
        <w:t>缺水地区宜设置雨水收集池等储存消防用水的蓄水设施。</w:t>
      </w:r>
      <w:r>
        <w:rPr>
          <w:sz w:val="21"/>
        </w:rPr>
        <w:t> </w:t>
      </w:r>
    </w:p>
    <w:p>
      <w:pPr>
        <w:pStyle w:val="BodyText"/>
        <w:rPr>
          <w:sz w:val="18"/>
        </w:rPr>
      </w:pPr>
    </w:p>
    <w:p>
      <w:pPr>
        <w:pStyle w:val="ListParagraph"/>
        <w:numPr>
          <w:ilvl w:val="1"/>
          <w:numId w:val="512"/>
        </w:numPr>
        <w:tabs>
          <w:tab w:pos="1266" w:val="left" w:leader="none"/>
        </w:tabs>
        <w:spacing w:line="446" w:lineRule="auto" w:before="0" w:after="0"/>
        <w:ind w:left="418" w:right="1813" w:firstLine="422"/>
        <w:jc w:val="left"/>
        <w:rPr>
          <w:sz w:val="21"/>
        </w:rPr>
      </w:pPr>
      <w:r>
        <w:rPr>
          <w:spacing w:val="-3"/>
          <w:sz w:val="21"/>
        </w:rPr>
        <w:t>农村应根据给水管网、消防水池或天然水源等消防水源的形式，配备相应的消防车、机动消防泵、水带、水枪等消防设施。</w:t>
      </w:r>
      <w:r>
        <w:rPr>
          <w:sz w:val="21"/>
        </w:rPr>
        <w:t> </w:t>
      </w:r>
    </w:p>
    <w:p>
      <w:pPr>
        <w:pStyle w:val="ListParagraph"/>
        <w:numPr>
          <w:ilvl w:val="1"/>
          <w:numId w:val="512"/>
        </w:numPr>
        <w:tabs>
          <w:tab w:pos="1266" w:val="left" w:leader="none"/>
        </w:tabs>
        <w:spacing w:line="446" w:lineRule="auto" w:before="0" w:after="0"/>
        <w:ind w:left="418" w:right="1500" w:firstLine="422"/>
        <w:jc w:val="left"/>
        <w:rPr>
          <w:sz w:val="21"/>
        </w:rPr>
      </w:pPr>
      <w:r>
        <w:rPr>
          <w:spacing w:val="-7"/>
          <w:sz w:val="21"/>
        </w:rPr>
        <w:t>机动消防泵应储存不小于 </w:t>
      </w:r>
      <w:r>
        <w:rPr>
          <w:sz w:val="21"/>
        </w:rPr>
        <w:t>3.0h</w:t>
      </w:r>
      <w:r>
        <w:rPr>
          <w:spacing w:val="-10"/>
          <w:sz w:val="21"/>
        </w:rPr>
        <w:t> 的燃油总用量，每台泵至少应配置总长不小于 </w:t>
      </w:r>
      <w:r>
        <w:rPr>
          <w:sz w:val="21"/>
        </w:rPr>
        <w:t>150m</w:t>
      </w:r>
      <w:r>
        <w:rPr>
          <w:spacing w:val="-25"/>
          <w:sz w:val="21"/>
        </w:rPr>
        <w:t> 的</w:t>
      </w:r>
      <w:r>
        <w:rPr>
          <w:spacing w:val="-21"/>
          <w:sz w:val="21"/>
        </w:rPr>
        <w:t>水带和 </w:t>
      </w:r>
      <w:r>
        <w:rPr>
          <w:sz w:val="21"/>
        </w:rPr>
        <w:t>2</w:t>
      </w:r>
      <w:r>
        <w:rPr>
          <w:spacing w:val="-13"/>
          <w:sz w:val="21"/>
        </w:rPr>
        <w:t> 支水枪。</w:t>
      </w:r>
      <w:r>
        <w:rPr>
          <w:sz w:val="21"/>
        </w:rPr>
        <w:t> </w:t>
      </w:r>
    </w:p>
    <w:p>
      <w:pPr>
        <w:pStyle w:val="ListParagraph"/>
        <w:numPr>
          <w:ilvl w:val="1"/>
          <w:numId w:val="512"/>
        </w:numPr>
        <w:tabs>
          <w:tab w:pos="1266" w:val="left" w:leader="none"/>
        </w:tabs>
        <w:spacing w:line="446" w:lineRule="auto" w:before="0" w:after="0"/>
        <w:ind w:left="418" w:right="1604" w:firstLine="422"/>
        <w:jc w:val="left"/>
        <w:rPr>
          <w:sz w:val="21"/>
        </w:rPr>
      </w:pPr>
      <w:r>
        <w:rPr>
          <w:spacing w:val="-3"/>
          <w:sz w:val="21"/>
        </w:rPr>
        <w:t>农村应设火灾报警电话。农村消防站与城市消防指挥中心、供水、供电、供气等部门应有可靠的通信联络方式。</w:t>
      </w:r>
      <w:r>
        <w:rPr>
          <w:sz w:val="21"/>
        </w:rPr>
        <w:t> </w:t>
      </w:r>
    </w:p>
    <w:p>
      <w:pPr>
        <w:pStyle w:val="ListParagraph"/>
        <w:numPr>
          <w:ilvl w:val="1"/>
          <w:numId w:val="512"/>
        </w:numPr>
        <w:tabs>
          <w:tab w:pos="1264" w:val="left" w:leader="none"/>
        </w:tabs>
        <w:spacing w:line="446" w:lineRule="auto" w:before="0" w:after="0"/>
        <w:ind w:left="418" w:right="1498" w:firstLine="422"/>
        <w:jc w:val="left"/>
        <w:rPr>
          <w:sz w:val="21"/>
        </w:rPr>
      </w:pPr>
      <w:r>
        <w:rPr>
          <w:spacing w:val="-3"/>
          <w:sz w:val="21"/>
        </w:rPr>
        <w:t>农村未设消防站</w:t>
      </w:r>
      <w:r>
        <w:rPr>
          <w:sz w:val="21"/>
        </w:rPr>
        <w:t>（</w:t>
      </w:r>
      <w:r>
        <w:rPr>
          <w:spacing w:val="-3"/>
          <w:sz w:val="21"/>
        </w:rPr>
        <w:t>点</w:t>
      </w:r>
      <w:r>
        <w:rPr>
          <w:sz w:val="21"/>
        </w:rPr>
        <w:t>）</w:t>
      </w:r>
      <w:r>
        <w:rPr>
          <w:spacing w:val="-3"/>
          <w:sz w:val="21"/>
        </w:rPr>
        <w:t>时，应根据实际需要配备必要的灭火器、消防斧、消防钩、消防梯、消防安全绳等消防器材。</w:t>
      </w:r>
      <w:r>
        <w:rPr>
          <w:sz w:val="21"/>
        </w:rPr>
        <w:t> </w:t>
      </w:r>
    </w:p>
    <w:p>
      <w:pPr>
        <w:pStyle w:val="ListParagraph"/>
        <w:numPr>
          <w:ilvl w:val="1"/>
          <w:numId w:val="512"/>
        </w:numPr>
        <w:tabs>
          <w:tab w:pos="1266" w:val="left" w:leader="none"/>
        </w:tabs>
        <w:spacing w:line="446" w:lineRule="auto" w:before="0" w:after="0"/>
        <w:ind w:left="418" w:right="1498" w:firstLine="422"/>
        <w:jc w:val="left"/>
        <w:rPr>
          <w:sz w:val="21"/>
        </w:rPr>
      </w:pPr>
      <w:r>
        <w:rPr>
          <w:spacing w:val="-3"/>
          <w:sz w:val="21"/>
        </w:rPr>
        <w:t>公共消防设施、消防装备不足或者不适应实际需要的，应当增建、改建、配置或者进行技术改造。</w:t>
      </w:r>
      <w:r>
        <w:rPr>
          <w:sz w:val="21"/>
        </w:rPr>
        <w:t> </w:t>
      </w:r>
    </w:p>
    <w:p>
      <w:pPr>
        <w:pStyle w:val="Heading4"/>
        <w:spacing w:line="275" w:lineRule="exact"/>
      </w:pPr>
      <w:r>
        <w:rPr/>
        <w:t>6 火灾危险源控制</w:t>
      </w:r>
      <w:r>
        <w:rPr>
          <w:w w:val="99"/>
        </w:rPr>
        <w:t> </w:t>
      </w:r>
    </w:p>
    <w:p>
      <w:pPr>
        <w:pStyle w:val="BodyText"/>
        <w:spacing w:before="4"/>
        <w:rPr>
          <w:b/>
          <w:sz w:val="17"/>
        </w:rPr>
      </w:pPr>
    </w:p>
    <w:p>
      <w:pPr>
        <w:pStyle w:val="ListParagraph"/>
        <w:numPr>
          <w:ilvl w:val="1"/>
          <w:numId w:val="513"/>
        </w:numPr>
        <w:tabs>
          <w:tab w:pos="829" w:val="left" w:leader="none"/>
        </w:tabs>
        <w:spacing w:line="240" w:lineRule="auto" w:before="0" w:after="0"/>
        <w:ind w:left="828" w:right="0" w:hanging="411"/>
        <w:jc w:val="left"/>
        <w:rPr>
          <w:sz w:val="21"/>
        </w:rPr>
      </w:pPr>
      <w:r>
        <w:rPr>
          <w:spacing w:val="30"/>
          <w:sz w:val="21"/>
        </w:rPr>
        <w:t>用火</w:t>
      </w:r>
      <w:r>
        <w:rPr>
          <w:spacing w:val="-48"/>
          <w:sz w:val="21"/>
        </w:rPr>
        <w:t> </w:t>
      </w:r>
      <w:r>
        <w:rPr>
          <w:w w:val="100"/>
          <w:sz w:val="21"/>
        </w:rPr>
        <w:t> </w:t>
      </w:r>
    </w:p>
    <w:p>
      <w:pPr>
        <w:pStyle w:val="BodyText"/>
        <w:rPr>
          <w:sz w:val="18"/>
        </w:rPr>
      </w:pPr>
    </w:p>
    <w:p>
      <w:pPr>
        <w:pStyle w:val="ListParagraph"/>
        <w:numPr>
          <w:ilvl w:val="2"/>
          <w:numId w:val="513"/>
        </w:numPr>
        <w:tabs>
          <w:tab w:pos="1370" w:val="left" w:leader="none"/>
        </w:tabs>
        <w:spacing w:line="240" w:lineRule="auto" w:before="0" w:after="0"/>
        <w:ind w:left="1369" w:right="0" w:hanging="530"/>
        <w:jc w:val="left"/>
        <w:rPr>
          <w:sz w:val="21"/>
        </w:rPr>
      </w:pPr>
      <w:r>
        <w:rPr>
          <w:spacing w:val="-3"/>
          <w:sz w:val="21"/>
        </w:rPr>
        <w:t>设置在居住建筑内的厨房宜符合下列规定：</w:t>
      </w:r>
      <w:r>
        <w:rPr>
          <w:sz w:val="21"/>
        </w:rPr>
        <w:t> </w:t>
      </w:r>
    </w:p>
    <w:p>
      <w:pPr>
        <w:pStyle w:val="BodyText"/>
        <w:spacing w:before="12"/>
        <w:rPr>
          <w:sz w:val="17"/>
        </w:rPr>
      </w:pPr>
    </w:p>
    <w:p>
      <w:pPr>
        <w:pStyle w:val="ListParagraph"/>
        <w:numPr>
          <w:ilvl w:val="0"/>
          <w:numId w:val="514"/>
        </w:numPr>
        <w:tabs>
          <w:tab w:pos="1367" w:val="left" w:leader="none"/>
        </w:tabs>
        <w:spacing w:line="240" w:lineRule="auto" w:before="0" w:after="0"/>
        <w:ind w:left="1367" w:right="0" w:hanging="529"/>
        <w:jc w:val="left"/>
        <w:rPr>
          <w:sz w:val="21"/>
        </w:rPr>
      </w:pPr>
      <w:r>
        <w:rPr>
          <w:spacing w:val="-3"/>
          <w:sz w:val="21"/>
        </w:rPr>
        <w:t>靠外墙设置；</w:t>
      </w:r>
      <w:r>
        <w:rPr>
          <w:sz w:val="21"/>
        </w:rPr>
        <w:t> </w:t>
      </w:r>
    </w:p>
    <w:p>
      <w:pPr>
        <w:pStyle w:val="BodyText"/>
        <w:spacing w:before="2"/>
        <w:rPr>
          <w:sz w:val="18"/>
        </w:rPr>
      </w:pPr>
    </w:p>
    <w:p>
      <w:pPr>
        <w:pStyle w:val="ListParagraph"/>
        <w:numPr>
          <w:ilvl w:val="0"/>
          <w:numId w:val="514"/>
        </w:numPr>
        <w:tabs>
          <w:tab w:pos="1367" w:val="left" w:leader="none"/>
        </w:tabs>
        <w:spacing w:line="240" w:lineRule="auto" w:before="0" w:after="0"/>
        <w:ind w:left="1367" w:right="0" w:hanging="529"/>
        <w:jc w:val="left"/>
        <w:rPr>
          <w:sz w:val="21"/>
        </w:rPr>
      </w:pPr>
      <w:r>
        <w:rPr>
          <w:spacing w:val="-3"/>
          <w:sz w:val="21"/>
        </w:rPr>
        <w:t>与建筑内的其他部位采取防火分隔措施；</w:t>
      </w:r>
      <w:r>
        <w:rPr>
          <w:sz w:val="21"/>
        </w:rPr>
        <w:t> </w:t>
      </w:r>
    </w:p>
    <w:p>
      <w:pPr>
        <w:pStyle w:val="BodyText"/>
        <w:rPr>
          <w:sz w:val="18"/>
        </w:rPr>
      </w:pPr>
    </w:p>
    <w:p>
      <w:pPr>
        <w:pStyle w:val="ListParagraph"/>
        <w:numPr>
          <w:ilvl w:val="0"/>
          <w:numId w:val="514"/>
        </w:numPr>
        <w:tabs>
          <w:tab w:pos="1367" w:val="left" w:leader="none"/>
        </w:tabs>
        <w:spacing w:line="240" w:lineRule="auto" w:before="0" w:after="0"/>
        <w:ind w:left="1367" w:right="0" w:hanging="529"/>
        <w:jc w:val="left"/>
        <w:rPr>
          <w:sz w:val="21"/>
        </w:rPr>
      </w:pPr>
      <w:r>
        <w:rPr>
          <w:spacing w:val="-3"/>
          <w:sz w:val="21"/>
        </w:rPr>
        <w:t>墙面采用不燃材料；</w:t>
      </w:r>
      <w:r>
        <w:rPr>
          <w:sz w:val="21"/>
        </w:rPr>
        <w:t> </w:t>
      </w:r>
    </w:p>
    <w:p>
      <w:pPr>
        <w:pStyle w:val="BodyText"/>
        <w:spacing w:before="12"/>
        <w:rPr>
          <w:sz w:val="17"/>
        </w:rPr>
      </w:pPr>
    </w:p>
    <w:p>
      <w:pPr>
        <w:pStyle w:val="ListParagraph"/>
        <w:numPr>
          <w:ilvl w:val="0"/>
          <w:numId w:val="514"/>
        </w:numPr>
        <w:tabs>
          <w:tab w:pos="1367" w:val="left" w:leader="none"/>
        </w:tabs>
        <w:spacing w:line="240" w:lineRule="auto" w:before="0" w:after="0"/>
        <w:ind w:left="1367" w:right="0" w:hanging="529"/>
        <w:jc w:val="left"/>
        <w:rPr>
          <w:sz w:val="21"/>
        </w:rPr>
      </w:pPr>
      <w:r>
        <w:rPr>
          <w:spacing w:val="-3"/>
          <w:sz w:val="21"/>
        </w:rPr>
        <w:t>顶棚和屋面采用不燃或难燃材料。</w:t>
      </w:r>
      <w:r>
        <w:rPr>
          <w:sz w:val="21"/>
        </w:rPr>
        <w:t> </w:t>
      </w:r>
    </w:p>
    <w:p>
      <w:pPr>
        <w:pStyle w:val="BodyText"/>
        <w:spacing w:before="2"/>
        <w:rPr>
          <w:sz w:val="18"/>
        </w:rPr>
      </w:pPr>
    </w:p>
    <w:p>
      <w:pPr>
        <w:pStyle w:val="ListParagraph"/>
        <w:numPr>
          <w:ilvl w:val="2"/>
          <w:numId w:val="513"/>
        </w:numPr>
        <w:tabs>
          <w:tab w:pos="1370" w:val="left" w:leader="none"/>
        </w:tabs>
        <w:spacing w:line="446" w:lineRule="auto" w:before="0" w:after="0"/>
        <w:ind w:left="418" w:right="1431" w:firstLine="422"/>
        <w:jc w:val="left"/>
        <w:rPr>
          <w:sz w:val="21"/>
        </w:rPr>
      </w:pPr>
      <w:r>
        <w:rPr>
          <w:spacing w:val="-7"/>
          <w:sz w:val="21"/>
        </w:rPr>
        <w:t>用于炊事和采暖的灶台、烟道、烟囱、火炕等应采用不燃材料建造或制作。与可燃物</w:t>
      </w:r>
      <w:r>
        <w:rPr>
          <w:spacing w:val="-9"/>
          <w:sz w:val="21"/>
        </w:rPr>
        <w:t>体相邻部位的壁厚不应小于 </w:t>
      </w:r>
      <w:r>
        <w:rPr>
          <w:sz w:val="21"/>
        </w:rPr>
        <w:t>240mm</w:t>
      </w:r>
      <w:r>
        <w:rPr>
          <w:spacing w:val="-3"/>
          <w:sz w:val="21"/>
        </w:rPr>
        <w:t>。</w:t>
      </w:r>
      <w:r>
        <w:rPr>
          <w:sz w:val="21"/>
        </w:rPr>
        <w:t> </w:t>
      </w:r>
    </w:p>
    <w:p>
      <w:pPr>
        <w:pStyle w:val="BodyText"/>
        <w:spacing w:line="446" w:lineRule="auto"/>
        <w:ind w:left="418" w:right="1382" w:firstLine="419"/>
      </w:pPr>
      <w:r>
        <w:rPr/>
        <w:t>烟囱穿过可燃或难燃屋顶时，排烟口应高出屋面不小于 500mm，并应在顶棚至屋面层范围内采用不燃烧材料砌抹严密。 </w:t>
      </w:r>
    </w:p>
    <w:p>
      <w:pPr>
        <w:pStyle w:val="BodyText"/>
        <w:spacing w:line="446" w:lineRule="auto"/>
        <w:ind w:left="840" w:right="1325" w:hanging="3"/>
      </w:pPr>
      <w:r>
        <w:rPr>
          <w:spacing w:val="-3"/>
        </w:rPr>
        <w:t>烟道直接在外墙上开设排烟口时，外墙应为不燃烧体且排烟口应突出外墙至少 </w:t>
      </w:r>
      <w:r>
        <w:rPr/>
        <w:t>250mm</w:t>
      </w:r>
      <w:r>
        <w:rPr>
          <w:spacing w:val="-3"/>
        </w:rPr>
        <w:t>。</w:t>
      </w:r>
      <w:r>
        <w:rPr>
          <w:b/>
        </w:rPr>
        <w:t>6.1.3</w:t>
      </w:r>
      <w:r>
        <w:rPr>
          <w:b/>
          <w:spacing w:val="76"/>
        </w:rPr>
        <w:t> </w:t>
      </w:r>
      <w:r>
        <w:rPr>
          <w:spacing w:val="-5"/>
        </w:rPr>
        <w:t>烟囱穿过可燃保温层、防水层时，在其周围 </w:t>
      </w:r>
      <w:r>
        <w:rPr/>
        <w:t>500mm</w:t>
      </w:r>
      <w:r>
        <w:rPr>
          <w:spacing w:val="-8"/>
        </w:rPr>
        <w:t> 范围内应采用不燃材料做隔热层，</w:t>
      </w:r>
    </w:p>
    <w:p>
      <w:pPr>
        <w:pStyle w:val="BodyText"/>
        <w:ind w:left="418"/>
      </w:pPr>
      <w:r>
        <w:rPr/>
        <w:t>严禁在闷顶内开设烟囱清扫孔。 </w:t>
      </w:r>
    </w:p>
    <w:p>
      <w:pPr>
        <w:pStyle w:val="BodyText"/>
        <w:spacing w:before="11"/>
        <w:rPr>
          <w:sz w:val="17"/>
        </w:rPr>
      </w:pPr>
    </w:p>
    <w:p>
      <w:pPr>
        <w:pStyle w:val="ListParagraph"/>
        <w:numPr>
          <w:ilvl w:val="2"/>
          <w:numId w:val="515"/>
        </w:numPr>
        <w:tabs>
          <w:tab w:pos="1370" w:val="left" w:leader="none"/>
        </w:tabs>
        <w:spacing w:line="446" w:lineRule="auto" w:before="0" w:after="0"/>
        <w:ind w:left="418" w:right="1431" w:firstLine="422"/>
        <w:jc w:val="left"/>
        <w:rPr>
          <w:sz w:val="21"/>
        </w:rPr>
      </w:pPr>
      <w:r>
        <w:rPr>
          <w:spacing w:val="-6"/>
          <w:sz w:val="21"/>
        </w:rPr>
        <w:t>多层居住建筑内的浴室、卫生间和厨房的垂直排风管，应采取防回流措施或在支管上</w:t>
      </w:r>
      <w:r>
        <w:rPr>
          <w:spacing w:val="-4"/>
          <w:sz w:val="21"/>
        </w:rPr>
        <w:t>设置防火阀。</w:t>
      </w:r>
      <w:r>
        <w:rPr>
          <w:sz w:val="21"/>
        </w:rPr>
        <w:t> </w:t>
      </w:r>
    </w:p>
    <w:p>
      <w:pPr>
        <w:pStyle w:val="ListParagraph"/>
        <w:numPr>
          <w:ilvl w:val="2"/>
          <w:numId w:val="515"/>
        </w:numPr>
        <w:tabs>
          <w:tab w:pos="1371" w:val="left" w:leader="none"/>
        </w:tabs>
        <w:spacing w:line="240" w:lineRule="auto" w:before="0" w:after="0"/>
        <w:ind w:left="1370" w:right="0" w:hanging="531"/>
        <w:jc w:val="left"/>
        <w:rPr>
          <w:sz w:val="21"/>
        </w:rPr>
      </w:pPr>
      <w:r>
        <w:rPr>
          <w:spacing w:val="-7"/>
          <w:sz w:val="21"/>
        </w:rPr>
        <w:t>柴草、饲料等可燃物堆垛较多、耐火等级较低的连片建筑或靠近林区的村庄，其建筑</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的烟囱上应采取防止火星外逸的有效措施。 </w:t>
      </w:r>
    </w:p>
    <w:p>
      <w:pPr>
        <w:pStyle w:val="BodyText"/>
        <w:rPr>
          <w:sz w:val="18"/>
        </w:rPr>
      </w:pPr>
    </w:p>
    <w:p>
      <w:pPr>
        <w:pStyle w:val="ListParagraph"/>
        <w:numPr>
          <w:ilvl w:val="2"/>
          <w:numId w:val="515"/>
        </w:numPr>
        <w:tabs>
          <w:tab w:pos="1370" w:val="left" w:leader="none"/>
        </w:tabs>
        <w:spacing w:line="240" w:lineRule="auto" w:before="0" w:after="0"/>
        <w:ind w:left="1369" w:right="0" w:hanging="530"/>
        <w:jc w:val="left"/>
        <w:rPr>
          <w:sz w:val="21"/>
        </w:rPr>
      </w:pPr>
      <w:r>
        <w:rPr>
          <w:spacing w:val="-9"/>
          <w:sz w:val="21"/>
        </w:rPr>
        <w:t>燃煤燃柴炉灶周围 </w:t>
      </w:r>
      <w:r>
        <w:rPr>
          <w:sz w:val="21"/>
        </w:rPr>
        <w:t>1.0m</w:t>
      </w:r>
      <w:r>
        <w:rPr>
          <w:spacing w:val="-9"/>
          <w:sz w:val="21"/>
        </w:rPr>
        <w:t> 范围内不应堆放柴草等可燃物。</w:t>
      </w:r>
      <w:r>
        <w:rPr>
          <w:sz w:val="21"/>
        </w:rPr>
        <w:t> </w:t>
      </w:r>
    </w:p>
    <w:p>
      <w:pPr>
        <w:pStyle w:val="BodyText"/>
        <w:rPr>
          <w:sz w:val="18"/>
        </w:rPr>
      </w:pPr>
    </w:p>
    <w:p>
      <w:pPr>
        <w:pStyle w:val="ListParagraph"/>
        <w:numPr>
          <w:ilvl w:val="2"/>
          <w:numId w:val="515"/>
        </w:numPr>
        <w:tabs>
          <w:tab w:pos="1371" w:val="left" w:leader="none"/>
        </w:tabs>
        <w:spacing w:line="240" w:lineRule="auto" w:before="0" w:after="0"/>
        <w:ind w:left="1370" w:right="0" w:hanging="531"/>
        <w:jc w:val="left"/>
        <w:rPr>
          <w:sz w:val="21"/>
        </w:rPr>
      </w:pPr>
      <w:r>
        <w:rPr>
          <w:spacing w:val="-3"/>
          <w:sz w:val="21"/>
        </w:rPr>
        <w:t>燃气灶具的设置应符合下列要求：</w:t>
      </w:r>
      <w:r>
        <w:rPr>
          <w:sz w:val="21"/>
        </w:rPr>
        <w:t> </w:t>
      </w:r>
    </w:p>
    <w:p>
      <w:pPr>
        <w:pStyle w:val="BodyText"/>
        <w:spacing w:before="1"/>
        <w:rPr>
          <w:sz w:val="18"/>
        </w:rPr>
      </w:pPr>
    </w:p>
    <w:p>
      <w:pPr>
        <w:pStyle w:val="ListParagraph"/>
        <w:numPr>
          <w:ilvl w:val="0"/>
          <w:numId w:val="516"/>
        </w:numPr>
        <w:tabs>
          <w:tab w:pos="1367" w:val="left" w:leader="none"/>
        </w:tabs>
        <w:spacing w:line="240" w:lineRule="auto" w:before="1" w:after="0"/>
        <w:ind w:left="1367" w:right="0" w:hanging="529"/>
        <w:jc w:val="left"/>
        <w:rPr>
          <w:sz w:val="21"/>
        </w:rPr>
      </w:pPr>
      <w:r>
        <w:rPr>
          <w:spacing w:val="-3"/>
          <w:sz w:val="21"/>
        </w:rPr>
        <w:t>燃气灶具宜安装在有自然通风和自然采光的厨房内，并应与卧室分隔； </w:t>
      </w:r>
    </w:p>
    <w:p>
      <w:pPr>
        <w:pStyle w:val="BodyText"/>
        <w:spacing w:before="12"/>
        <w:rPr>
          <w:sz w:val="17"/>
        </w:rPr>
      </w:pPr>
    </w:p>
    <w:p>
      <w:pPr>
        <w:pStyle w:val="ListParagraph"/>
        <w:numPr>
          <w:ilvl w:val="0"/>
          <w:numId w:val="516"/>
        </w:numPr>
        <w:tabs>
          <w:tab w:pos="1367" w:val="left" w:leader="none"/>
        </w:tabs>
        <w:spacing w:line="446" w:lineRule="auto" w:before="0" w:after="0"/>
        <w:ind w:left="418" w:right="1433" w:firstLine="419"/>
        <w:jc w:val="left"/>
        <w:rPr>
          <w:sz w:val="21"/>
        </w:rPr>
      </w:pPr>
      <w:r>
        <w:rPr>
          <w:spacing w:val="-3"/>
          <w:sz w:val="21"/>
        </w:rPr>
        <w:t>燃气灶具的灶面边缘和烤箱的侧壁距木质家具的净距离不应小于 </w:t>
      </w:r>
      <w:r>
        <w:rPr>
          <w:sz w:val="21"/>
        </w:rPr>
        <w:t>0.5m</w:t>
      </w:r>
      <w:r>
        <w:rPr>
          <w:spacing w:val="-2"/>
          <w:sz w:val="21"/>
        </w:rPr>
        <w:t>，或采取有效的</w:t>
      </w:r>
      <w:r>
        <w:rPr>
          <w:spacing w:val="-3"/>
          <w:sz w:val="21"/>
        </w:rPr>
        <w:t>防火隔热措施；</w:t>
      </w:r>
      <w:r>
        <w:rPr>
          <w:sz w:val="21"/>
        </w:rPr>
        <w:t> </w:t>
      </w:r>
    </w:p>
    <w:p>
      <w:pPr>
        <w:pStyle w:val="ListParagraph"/>
        <w:numPr>
          <w:ilvl w:val="0"/>
          <w:numId w:val="516"/>
        </w:numPr>
        <w:tabs>
          <w:tab w:pos="1367" w:val="left" w:leader="none"/>
        </w:tabs>
        <w:spacing w:line="240" w:lineRule="auto" w:before="0" w:after="0"/>
        <w:ind w:left="1367" w:right="0" w:hanging="529"/>
        <w:jc w:val="left"/>
        <w:rPr>
          <w:sz w:val="21"/>
        </w:rPr>
      </w:pPr>
      <w:r>
        <w:rPr>
          <w:spacing w:val="-3"/>
          <w:sz w:val="21"/>
        </w:rPr>
        <w:t>放置燃气灶具的灶台应采用不燃材料或加防火隔热板；</w:t>
      </w:r>
      <w:r>
        <w:rPr>
          <w:sz w:val="21"/>
        </w:rPr>
        <w:t> </w:t>
      </w:r>
    </w:p>
    <w:p>
      <w:pPr>
        <w:pStyle w:val="BodyText"/>
        <w:rPr>
          <w:sz w:val="18"/>
        </w:rPr>
      </w:pPr>
    </w:p>
    <w:p>
      <w:pPr>
        <w:pStyle w:val="ListParagraph"/>
        <w:numPr>
          <w:ilvl w:val="0"/>
          <w:numId w:val="516"/>
        </w:numPr>
        <w:tabs>
          <w:tab w:pos="1367" w:val="left" w:leader="none"/>
        </w:tabs>
        <w:spacing w:line="446" w:lineRule="auto" w:before="0" w:after="0"/>
        <w:ind w:left="418" w:right="1431" w:firstLine="419"/>
        <w:jc w:val="left"/>
        <w:rPr>
          <w:sz w:val="21"/>
        </w:rPr>
      </w:pPr>
      <w:r>
        <w:rPr>
          <w:spacing w:val="-10"/>
          <w:sz w:val="21"/>
        </w:rPr>
        <w:t>无自然通风的厨房，应选用带自动熄灭保护装置的燃气灶具，并应设置可燃气体探测 </w:t>
      </w:r>
      <w:r>
        <w:rPr>
          <w:spacing w:val="-3"/>
          <w:sz w:val="21"/>
        </w:rPr>
        <w:t>报警器和与其连锁的自动切断阀和机械通风设施；</w:t>
      </w:r>
      <w:r>
        <w:rPr>
          <w:sz w:val="21"/>
        </w:rPr>
        <w:t> </w:t>
      </w:r>
    </w:p>
    <w:p>
      <w:pPr>
        <w:pStyle w:val="ListParagraph"/>
        <w:numPr>
          <w:ilvl w:val="0"/>
          <w:numId w:val="516"/>
        </w:numPr>
        <w:tabs>
          <w:tab w:pos="1367" w:val="left" w:leader="none"/>
        </w:tabs>
        <w:spacing w:line="446" w:lineRule="auto" w:before="0" w:after="0"/>
        <w:ind w:left="418" w:right="1431" w:firstLine="419"/>
        <w:jc w:val="left"/>
        <w:rPr>
          <w:sz w:val="21"/>
        </w:rPr>
      </w:pPr>
      <w:r>
        <w:rPr>
          <w:spacing w:val="-3"/>
          <w:sz w:val="21"/>
        </w:rPr>
        <w:t>燃气灶具与燃气管道的连接胶管应采用耐油燃气专用胶管，长度不应大于 </w:t>
      </w:r>
      <w:r>
        <w:rPr>
          <w:sz w:val="21"/>
        </w:rPr>
        <w:t>2m</w:t>
      </w:r>
      <w:r>
        <w:rPr>
          <w:spacing w:val="-2"/>
          <w:sz w:val="21"/>
        </w:rPr>
        <w:t>，安装应</w:t>
      </w:r>
      <w:r>
        <w:rPr>
          <w:spacing w:val="-3"/>
          <w:sz w:val="21"/>
        </w:rPr>
        <w:t>牢固，中间不应有接头，且应定期更换。</w:t>
      </w:r>
      <w:r>
        <w:rPr>
          <w:sz w:val="21"/>
        </w:rPr>
        <w:t> </w:t>
      </w:r>
    </w:p>
    <w:p>
      <w:pPr>
        <w:pStyle w:val="ListParagraph"/>
        <w:numPr>
          <w:ilvl w:val="2"/>
          <w:numId w:val="515"/>
        </w:numPr>
        <w:tabs>
          <w:tab w:pos="1370" w:val="left" w:leader="none"/>
        </w:tabs>
        <w:spacing w:line="267" w:lineRule="exact" w:before="0" w:after="0"/>
        <w:ind w:left="1369" w:right="0" w:hanging="530"/>
        <w:jc w:val="left"/>
        <w:rPr>
          <w:sz w:val="21"/>
        </w:rPr>
      </w:pPr>
      <w:r>
        <w:rPr>
          <w:spacing w:val="-10"/>
          <w:sz w:val="21"/>
        </w:rPr>
        <w:t>既有厨房不满足 </w:t>
      </w:r>
      <w:r>
        <w:rPr>
          <w:sz w:val="21"/>
        </w:rPr>
        <w:t>6.1.1</w:t>
      </w:r>
      <w:r>
        <w:rPr>
          <w:spacing w:val="-9"/>
          <w:sz w:val="21"/>
        </w:rPr>
        <w:t> 条的规定时，炉灶设置应符合下列要求：</w:t>
      </w:r>
      <w:r>
        <w:rPr>
          <w:sz w:val="21"/>
        </w:rPr>
        <w:t> </w:t>
      </w:r>
    </w:p>
    <w:p>
      <w:pPr>
        <w:pStyle w:val="BodyText"/>
        <w:spacing w:before="2"/>
        <w:rPr>
          <w:sz w:val="18"/>
        </w:rPr>
      </w:pPr>
    </w:p>
    <w:p>
      <w:pPr>
        <w:pStyle w:val="ListParagraph"/>
        <w:numPr>
          <w:ilvl w:val="0"/>
          <w:numId w:val="517"/>
        </w:numPr>
        <w:tabs>
          <w:tab w:pos="1367" w:val="left" w:leader="none"/>
        </w:tabs>
        <w:spacing w:line="240" w:lineRule="auto" w:before="0" w:after="0"/>
        <w:ind w:left="1367" w:right="0" w:hanging="529"/>
        <w:jc w:val="left"/>
        <w:rPr>
          <w:sz w:val="21"/>
        </w:rPr>
      </w:pPr>
      <w:r>
        <w:rPr>
          <w:spacing w:val="-5"/>
          <w:sz w:val="21"/>
        </w:rPr>
        <w:t>与炉灶相邻的墙面应作不燃化处理，或与可燃材料墙壁的距离不小于 </w:t>
      </w:r>
      <w:r>
        <w:rPr>
          <w:sz w:val="21"/>
        </w:rPr>
        <w:t>1.0m； </w:t>
      </w:r>
    </w:p>
    <w:p>
      <w:pPr>
        <w:pStyle w:val="BodyText"/>
        <w:spacing w:before="12"/>
        <w:rPr>
          <w:sz w:val="17"/>
        </w:rPr>
      </w:pPr>
    </w:p>
    <w:p>
      <w:pPr>
        <w:pStyle w:val="ListParagraph"/>
        <w:numPr>
          <w:ilvl w:val="0"/>
          <w:numId w:val="517"/>
        </w:numPr>
        <w:tabs>
          <w:tab w:pos="1367" w:val="left" w:leader="none"/>
        </w:tabs>
        <w:spacing w:line="240" w:lineRule="auto" w:before="0" w:after="0"/>
        <w:ind w:left="1367" w:right="0" w:hanging="529"/>
        <w:jc w:val="left"/>
        <w:rPr>
          <w:sz w:val="21"/>
        </w:rPr>
      </w:pPr>
      <w:r>
        <w:rPr>
          <w:spacing w:val="-9"/>
          <w:sz w:val="21"/>
        </w:rPr>
        <w:t>灶台周围 </w:t>
      </w:r>
      <w:r>
        <w:rPr>
          <w:sz w:val="21"/>
        </w:rPr>
        <w:t>1.0m</w:t>
      </w:r>
      <w:r>
        <w:rPr>
          <w:spacing w:val="-9"/>
          <w:sz w:val="21"/>
        </w:rPr>
        <w:t> 范围内应采用不燃地面或设置厚度不小于 </w:t>
      </w:r>
      <w:r>
        <w:rPr>
          <w:sz w:val="21"/>
        </w:rPr>
        <w:t>120mm</w:t>
      </w:r>
      <w:r>
        <w:rPr>
          <w:spacing w:val="-17"/>
          <w:sz w:val="21"/>
        </w:rPr>
        <w:t> 的不燃烧材料隔热层；</w:t>
      </w:r>
      <w:r>
        <w:rPr>
          <w:sz w:val="21"/>
        </w:rPr>
        <w:t> </w:t>
      </w:r>
    </w:p>
    <w:p>
      <w:pPr>
        <w:pStyle w:val="BodyText"/>
        <w:rPr>
          <w:sz w:val="18"/>
        </w:rPr>
      </w:pPr>
    </w:p>
    <w:p>
      <w:pPr>
        <w:pStyle w:val="ListParagraph"/>
        <w:numPr>
          <w:ilvl w:val="0"/>
          <w:numId w:val="517"/>
        </w:numPr>
        <w:tabs>
          <w:tab w:pos="1367" w:val="left" w:leader="none"/>
        </w:tabs>
        <w:spacing w:line="240" w:lineRule="auto" w:before="0" w:after="0"/>
        <w:ind w:left="1367" w:right="0" w:hanging="529"/>
        <w:jc w:val="left"/>
        <w:rPr>
          <w:sz w:val="21"/>
        </w:rPr>
      </w:pPr>
      <w:r>
        <w:rPr>
          <w:spacing w:val="-12"/>
          <w:sz w:val="21"/>
        </w:rPr>
        <w:t>炉灶正上方 </w:t>
      </w:r>
      <w:r>
        <w:rPr>
          <w:sz w:val="21"/>
        </w:rPr>
        <w:t>1.5m</w:t>
      </w:r>
      <w:r>
        <w:rPr>
          <w:spacing w:val="-9"/>
          <w:sz w:val="21"/>
        </w:rPr>
        <w:t> 范围内不应有可燃物。</w:t>
      </w:r>
      <w:r>
        <w:rPr>
          <w:sz w:val="21"/>
        </w:rPr>
        <w:t> </w:t>
      </w:r>
    </w:p>
    <w:p>
      <w:pPr>
        <w:pStyle w:val="BodyText"/>
        <w:spacing w:before="2"/>
        <w:rPr>
          <w:sz w:val="18"/>
        </w:rPr>
      </w:pPr>
    </w:p>
    <w:p>
      <w:pPr>
        <w:pStyle w:val="ListParagraph"/>
        <w:numPr>
          <w:ilvl w:val="2"/>
          <w:numId w:val="515"/>
        </w:numPr>
        <w:tabs>
          <w:tab w:pos="1370" w:val="left" w:leader="none"/>
        </w:tabs>
        <w:spacing w:line="446" w:lineRule="auto" w:before="0" w:after="0"/>
        <w:ind w:left="418" w:right="1431" w:firstLine="422"/>
        <w:jc w:val="left"/>
        <w:rPr>
          <w:sz w:val="21"/>
        </w:rPr>
      </w:pPr>
      <w:r>
        <w:rPr>
          <w:spacing w:val="-13"/>
          <w:sz w:val="21"/>
        </w:rPr>
        <w:t>火炉、火炕</w:t>
      </w:r>
      <w:r>
        <w:rPr>
          <w:spacing w:val="-3"/>
          <w:sz w:val="21"/>
        </w:rPr>
        <w:t>（</w:t>
      </w:r>
      <w:r>
        <w:rPr>
          <w:sz w:val="21"/>
        </w:rPr>
        <w:t>墙</w:t>
      </w:r>
      <w:r>
        <w:rPr>
          <w:spacing w:val="-106"/>
          <w:sz w:val="21"/>
        </w:rPr>
        <w:t>）</w:t>
      </w:r>
      <w:r>
        <w:rPr>
          <w:spacing w:val="-12"/>
          <w:sz w:val="21"/>
        </w:rPr>
        <w:t>、烟道应当定期检修、疏通。炉灶与火炕通过烟道相连通时，烟道部</w:t>
      </w:r>
      <w:r>
        <w:rPr>
          <w:spacing w:val="-6"/>
          <w:sz w:val="21"/>
        </w:rPr>
        <w:t>分应采用不燃材料。</w:t>
      </w:r>
      <w:r>
        <w:rPr>
          <w:sz w:val="21"/>
        </w:rPr>
        <w:t> </w:t>
      </w:r>
    </w:p>
    <w:p>
      <w:pPr>
        <w:pStyle w:val="ListParagraph"/>
        <w:numPr>
          <w:ilvl w:val="2"/>
          <w:numId w:val="515"/>
        </w:numPr>
        <w:tabs>
          <w:tab w:pos="1478" w:val="left" w:leader="none"/>
        </w:tabs>
        <w:spacing w:line="446" w:lineRule="auto" w:before="0" w:after="0"/>
        <w:ind w:left="418" w:right="1325" w:firstLine="422"/>
        <w:jc w:val="left"/>
        <w:rPr>
          <w:sz w:val="21"/>
        </w:rPr>
      </w:pPr>
      <w:r>
        <w:rPr>
          <w:spacing w:val="-6"/>
          <w:sz w:val="21"/>
        </w:rPr>
        <w:t>明火使用完毕后应及时清理余火，余烬与炉灰等宜用水浇灭或处理后倒在安全地带。</w:t>
      </w:r>
      <w:r>
        <w:rPr>
          <w:spacing w:val="-4"/>
          <w:sz w:val="21"/>
        </w:rPr>
        <w:t>炉灰宜集中存放于室外相对封闭且避风的地方，应设置不燃材料围挡。</w:t>
      </w:r>
      <w:r>
        <w:rPr>
          <w:sz w:val="21"/>
        </w:rPr>
        <w:t> </w:t>
      </w:r>
    </w:p>
    <w:p>
      <w:pPr>
        <w:pStyle w:val="ListParagraph"/>
        <w:numPr>
          <w:ilvl w:val="2"/>
          <w:numId w:val="515"/>
        </w:numPr>
        <w:tabs>
          <w:tab w:pos="1478" w:val="left" w:leader="none"/>
        </w:tabs>
        <w:spacing w:line="446" w:lineRule="auto" w:before="0" w:after="0"/>
        <w:ind w:left="418" w:right="1431" w:firstLine="422"/>
        <w:jc w:val="left"/>
        <w:rPr>
          <w:sz w:val="21"/>
        </w:rPr>
      </w:pPr>
      <w:r>
        <w:rPr>
          <w:spacing w:val="-14"/>
          <w:sz w:val="21"/>
        </w:rPr>
        <w:t>使用蜡烛、油灯、蚊香时，应放置在不燃材料的基座上，距周围可燃物的距离不应小</w:t>
      </w:r>
      <w:r>
        <w:rPr>
          <w:spacing w:val="-34"/>
          <w:sz w:val="21"/>
        </w:rPr>
        <w:t>于 </w:t>
      </w:r>
      <w:r>
        <w:rPr>
          <w:sz w:val="21"/>
        </w:rPr>
        <w:t>0.5m</w:t>
      </w:r>
      <w:r>
        <w:rPr>
          <w:spacing w:val="-3"/>
          <w:sz w:val="21"/>
        </w:rPr>
        <w:t>。</w:t>
      </w:r>
      <w:r>
        <w:rPr>
          <w:sz w:val="21"/>
        </w:rPr>
        <w:t> </w:t>
      </w:r>
    </w:p>
    <w:p>
      <w:pPr>
        <w:pStyle w:val="ListParagraph"/>
        <w:numPr>
          <w:ilvl w:val="2"/>
          <w:numId w:val="515"/>
        </w:numPr>
        <w:tabs>
          <w:tab w:pos="1478" w:val="left" w:leader="none"/>
        </w:tabs>
        <w:spacing w:line="446" w:lineRule="auto" w:before="0" w:after="0"/>
        <w:ind w:left="418" w:right="1431" w:firstLine="422"/>
        <w:jc w:val="left"/>
        <w:rPr>
          <w:sz w:val="21"/>
        </w:rPr>
      </w:pPr>
      <w:r>
        <w:rPr>
          <w:spacing w:val="-8"/>
          <w:sz w:val="21"/>
        </w:rPr>
        <w:t>燃放烟花爆竹、吸烟、动用明火应当远离易燃易爆危险品存放地和柴草、饲草、农作</w:t>
      </w:r>
      <w:r>
        <w:rPr>
          <w:spacing w:val="-4"/>
          <w:sz w:val="21"/>
        </w:rPr>
        <w:t>物等可燃物堆放地。</w:t>
      </w:r>
      <w:r>
        <w:rPr>
          <w:sz w:val="21"/>
        </w:rPr>
        <w:t> </w:t>
      </w:r>
    </w:p>
    <w:p>
      <w:pPr>
        <w:pStyle w:val="ListParagraph"/>
        <w:numPr>
          <w:ilvl w:val="2"/>
          <w:numId w:val="515"/>
        </w:numPr>
        <w:tabs>
          <w:tab w:pos="1478" w:val="left" w:leader="none"/>
        </w:tabs>
        <w:spacing w:line="267" w:lineRule="exact" w:before="0" w:after="0"/>
        <w:ind w:left="1477" w:right="0" w:hanging="638"/>
        <w:jc w:val="left"/>
        <w:rPr>
          <w:sz w:val="21"/>
        </w:rPr>
      </w:pPr>
      <w:r>
        <w:rPr>
          <w:spacing w:val="-3"/>
          <w:sz w:val="21"/>
        </w:rPr>
        <w:t>五级及以上大风天气，不得在室外吸烟和动用明火。</w:t>
      </w:r>
      <w:r>
        <w:rPr>
          <w:sz w:val="21"/>
        </w:rPr>
        <w:t> </w:t>
      </w:r>
    </w:p>
    <w:p>
      <w:pPr>
        <w:pStyle w:val="BodyText"/>
        <w:spacing w:before="12"/>
        <w:rPr>
          <w:sz w:val="17"/>
        </w:rPr>
      </w:pPr>
    </w:p>
    <w:p>
      <w:pPr>
        <w:pStyle w:val="ListParagraph"/>
        <w:numPr>
          <w:ilvl w:val="1"/>
          <w:numId w:val="513"/>
        </w:numPr>
        <w:tabs>
          <w:tab w:pos="1160" w:val="left" w:leader="none"/>
        </w:tabs>
        <w:spacing w:line="240" w:lineRule="auto" w:before="0" w:after="0"/>
        <w:ind w:left="1159" w:right="0" w:hanging="320"/>
        <w:jc w:val="left"/>
        <w:rPr>
          <w:b/>
          <w:sz w:val="21"/>
        </w:rPr>
      </w:pPr>
      <w:r>
        <w:rPr>
          <w:spacing w:val="-3"/>
          <w:sz w:val="21"/>
        </w:rPr>
        <w:t>用电</w:t>
      </w:r>
      <w:r>
        <w:rPr>
          <w:b/>
          <w:w w:val="99"/>
          <w:sz w:val="21"/>
        </w:rPr>
        <w:t> </w:t>
      </w:r>
    </w:p>
    <w:p>
      <w:pPr>
        <w:pStyle w:val="BodyText"/>
        <w:rPr>
          <w:b/>
          <w:sz w:val="18"/>
        </w:rPr>
      </w:pPr>
    </w:p>
    <w:p>
      <w:pPr>
        <w:pStyle w:val="ListParagraph"/>
        <w:numPr>
          <w:ilvl w:val="2"/>
          <w:numId w:val="513"/>
        </w:numPr>
        <w:tabs>
          <w:tab w:pos="1370" w:val="left" w:leader="none"/>
        </w:tabs>
        <w:spacing w:line="240" w:lineRule="auto" w:before="0" w:after="0"/>
        <w:ind w:left="1369" w:right="0" w:hanging="530"/>
        <w:jc w:val="left"/>
        <w:rPr>
          <w:sz w:val="21"/>
        </w:rPr>
      </w:pPr>
      <w:r>
        <w:rPr>
          <w:spacing w:val="-3"/>
          <w:sz w:val="21"/>
        </w:rPr>
        <w:t>电气线路的选型与敷设应符合下列要求：</w:t>
      </w:r>
      <w:r>
        <w:rPr>
          <w:sz w:val="21"/>
        </w:rPr>
        <w:t> </w:t>
      </w:r>
    </w:p>
    <w:p>
      <w:pPr>
        <w:pStyle w:val="BodyText"/>
        <w:rPr>
          <w:sz w:val="18"/>
        </w:rPr>
      </w:pPr>
    </w:p>
    <w:p>
      <w:pPr>
        <w:pStyle w:val="ListParagraph"/>
        <w:numPr>
          <w:ilvl w:val="0"/>
          <w:numId w:val="518"/>
        </w:numPr>
        <w:tabs>
          <w:tab w:pos="1367" w:val="left" w:leader="none"/>
        </w:tabs>
        <w:spacing w:line="446" w:lineRule="auto" w:before="0" w:after="0"/>
        <w:ind w:left="418" w:right="1431" w:firstLine="419"/>
        <w:jc w:val="left"/>
        <w:rPr>
          <w:sz w:val="21"/>
        </w:rPr>
      </w:pPr>
      <w:r>
        <w:rPr>
          <w:spacing w:val="-8"/>
          <w:sz w:val="21"/>
        </w:rPr>
        <w:t>导线的选型应与使用场所的环境条件相适应，其耐压等级、安全载流量和机械强度等 </w:t>
      </w:r>
      <w:r>
        <w:rPr>
          <w:spacing w:val="-6"/>
          <w:sz w:val="21"/>
        </w:rPr>
        <w:t>应满足相关规范要求；</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518"/>
        </w:numPr>
        <w:tabs>
          <w:tab w:pos="1367" w:val="left" w:leader="none"/>
        </w:tabs>
        <w:spacing w:line="446" w:lineRule="auto" w:before="47" w:after="0"/>
        <w:ind w:left="418" w:right="1431" w:firstLine="419"/>
        <w:jc w:val="both"/>
        <w:rPr>
          <w:sz w:val="21"/>
        </w:rPr>
      </w:pPr>
      <w:r>
        <w:rPr>
          <w:spacing w:val="-14"/>
          <w:sz w:val="21"/>
        </w:rPr>
        <w:t>架空电力线路不应跨越易燃易爆危险品仓库、有爆炸危险的场所、可燃液体储罐、可燃</w:t>
      </w:r>
      <w:r>
        <w:rPr>
          <w:spacing w:val="-9"/>
          <w:sz w:val="21"/>
        </w:rPr>
        <w:t>、助燃气体储罐和易燃、可燃材料堆场等，与这些场所的间距不应小于电杆高度的 </w:t>
      </w:r>
      <w:r>
        <w:rPr>
          <w:sz w:val="21"/>
        </w:rPr>
        <w:t>l.5</w:t>
      </w:r>
      <w:r>
        <w:rPr>
          <w:spacing w:val="-18"/>
          <w:sz w:val="21"/>
        </w:rPr>
        <w:t> 倍</w:t>
      </w:r>
      <w:r>
        <w:rPr>
          <w:sz w:val="21"/>
        </w:rPr>
        <w:t>；1kV 及 1kV</w:t>
      </w:r>
      <w:r>
        <w:rPr>
          <w:spacing w:val="-9"/>
          <w:sz w:val="21"/>
        </w:rPr>
        <w:t> 以上的架空电力线路不应跨越可燃屋面的建筑； </w:t>
      </w:r>
    </w:p>
    <w:p>
      <w:pPr>
        <w:pStyle w:val="ListParagraph"/>
        <w:numPr>
          <w:ilvl w:val="0"/>
          <w:numId w:val="518"/>
        </w:numPr>
        <w:tabs>
          <w:tab w:pos="1367" w:val="left" w:leader="none"/>
        </w:tabs>
        <w:spacing w:line="446" w:lineRule="auto" w:before="0" w:after="0"/>
        <w:ind w:left="418" w:right="1431" w:firstLine="419"/>
        <w:jc w:val="both"/>
        <w:rPr>
          <w:sz w:val="21"/>
        </w:rPr>
      </w:pPr>
      <w:r>
        <w:rPr>
          <w:spacing w:val="-8"/>
          <w:sz w:val="21"/>
        </w:rPr>
        <w:t>室内电气线路的敷设应避开潮湿部位和炉灶、烟囱等高温部位，并不应直接敷设在可 燃物上；当必须敷设在可燃物上或在有可燃物的吊顶内敷设时，应穿金属管、阻燃套管保护或采</w:t>
      </w:r>
      <w:r>
        <w:rPr>
          <w:spacing w:val="-6"/>
          <w:sz w:val="21"/>
        </w:rPr>
        <w:t>用阻燃电缆；</w:t>
      </w:r>
      <w:r>
        <w:rPr>
          <w:sz w:val="21"/>
        </w:rPr>
        <w:t> </w:t>
      </w:r>
    </w:p>
    <w:p>
      <w:pPr>
        <w:pStyle w:val="ListParagraph"/>
        <w:numPr>
          <w:ilvl w:val="0"/>
          <w:numId w:val="518"/>
        </w:numPr>
        <w:tabs>
          <w:tab w:pos="1367" w:val="left" w:leader="none"/>
        </w:tabs>
        <w:spacing w:line="268" w:lineRule="exact" w:before="0" w:after="0"/>
        <w:ind w:left="1367" w:right="0" w:hanging="529"/>
        <w:jc w:val="left"/>
        <w:rPr>
          <w:sz w:val="21"/>
        </w:rPr>
      </w:pPr>
      <w:r>
        <w:rPr>
          <w:spacing w:val="-3"/>
          <w:sz w:val="21"/>
        </w:rPr>
        <w:t>导线与导线、导线与电气设备的连接应牢固可靠；</w:t>
      </w:r>
      <w:r>
        <w:rPr>
          <w:sz w:val="21"/>
        </w:rPr>
        <w:t> </w:t>
      </w:r>
    </w:p>
    <w:p>
      <w:pPr>
        <w:pStyle w:val="BodyText"/>
        <w:spacing w:before="12"/>
        <w:rPr>
          <w:sz w:val="17"/>
        </w:rPr>
      </w:pPr>
    </w:p>
    <w:p>
      <w:pPr>
        <w:pStyle w:val="ListParagraph"/>
        <w:numPr>
          <w:ilvl w:val="0"/>
          <w:numId w:val="518"/>
        </w:numPr>
        <w:tabs>
          <w:tab w:pos="1367" w:val="left" w:leader="none"/>
        </w:tabs>
        <w:spacing w:line="446" w:lineRule="auto" w:before="0" w:after="0"/>
        <w:ind w:left="840" w:right="3923" w:hanging="3"/>
        <w:jc w:val="left"/>
        <w:rPr>
          <w:sz w:val="21"/>
        </w:rPr>
      </w:pPr>
      <w:r>
        <w:rPr>
          <w:spacing w:val="-3"/>
          <w:sz w:val="21"/>
        </w:rPr>
        <w:t>严禁乱拉乱接电气线路，严禁在电气线路上搭、挂物品。</w:t>
      </w:r>
      <w:r>
        <w:rPr>
          <w:b/>
          <w:sz w:val="21"/>
        </w:rPr>
        <w:t>6.2.2 </w:t>
      </w:r>
      <w:r>
        <w:rPr>
          <w:spacing w:val="-3"/>
          <w:sz w:val="21"/>
        </w:rPr>
        <w:t>用电设备的使用应符合下列要求：</w:t>
      </w:r>
      <w:r>
        <w:rPr>
          <w:sz w:val="21"/>
        </w:rPr>
        <w:t> </w:t>
      </w:r>
    </w:p>
    <w:p>
      <w:pPr>
        <w:pStyle w:val="BodyText"/>
        <w:ind w:left="838"/>
      </w:pPr>
      <w:r>
        <w:rPr/>
        <w:t>用电设备不应过载使用； </w:t>
      </w:r>
    </w:p>
    <w:p>
      <w:pPr>
        <w:pStyle w:val="BodyText"/>
        <w:spacing w:before="12"/>
        <w:rPr>
          <w:sz w:val="17"/>
        </w:rPr>
      </w:pPr>
    </w:p>
    <w:p>
      <w:pPr>
        <w:pStyle w:val="BodyText"/>
        <w:spacing w:line="446" w:lineRule="auto"/>
        <w:ind w:left="418" w:right="1431" w:firstLine="419"/>
      </w:pPr>
      <w:r>
        <w:rPr>
          <w:w w:val="100"/>
        </w:rPr>
        <w:t> </w:t>
      </w:r>
      <w:r>
        <w:rPr>
          <w:spacing w:val="-14"/>
        </w:rPr>
        <w:t>配电箱、电表箱应采用不燃烧材料制作；可能产生电火花的电源开关、断路器等应采取防止</w:t>
      </w:r>
      <w:r>
        <w:rPr>
          <w:spacing w:val="-7"/>
        </w:rPr>
        <w:t>火花飞溅的防护措施；</w:t>
      </w:r>
      <w:r>
        <w:rPr/>
        <w:t> </w:t>
      </w:r>
    </w:p>
    <w:p>
      <w:pPr>
        <w:pStyle w:val="BodyText"/>
        <w:ind w:left="838"/>
      </w:pPr>
      <w:r>
        <w:rPr/>
        <w:t>严禁使用铜丝、铁丝等代替保险丝，且不得随意增加保险丝的截面积； </w:t>
      </w:r>
    </w:p>
    <w:p>
      <w:pPr>
        <w:pStyle w:val="BodyText"/>
        <w:rPr>
          <w:sz w:val="18"/>
        </w:rPr>
      </w:pPr>
    </w:p>
    <w:p>
      <w:pPr>
        <w:pStyle w:val="BodyText"/>
        <w:spacing w:line="446" w:lineRule="auto"/>
        <w:ind w:left="418" w:right="1433" w:firstLine="419"/>
      </w:pPr>
      <w:r>
        <w:rPr>
          <w:spacing w:val="-7"/>
        </w:rPr>
        <w:t>电热炉、电暖器、电饭锅、电熨斗、电热毯等电热设备使用期间应有人看护，使用后应及时</w:t>
      </w:r>
      <w:r>
        <w:rPr>
          <w:spacing w:val="-5"/>
        </w:rPr>
        <w:t>切断电源；停电后应拔掉电源插头，关断通电设备； </w:t>
      </w:r>
    </w:p>
    <w:p>
      <w:pPr>
        <w:pStyle w:val="BodyText"/>
        <w:spacing w:line="446" w:lineRule="auto"/>
        <w:ind w:left="838" w:right="2765"/>
      </w:pPr>
      <w:r>
        <w:rPr>
          <w:spacing w:val="-3"/>
        </w:rPr>
        <w:t>用电设备使用期间，应留意观察设备温度，超温时应及时采取断电等措施； 用电设备长时间不使用时，应采取将插头从电源插座上拔出等断电措施。</w:t>
      </w:r>
      <w:r>
        <w:rPr>
          <w:b/>
        </w:rPr>
        <w:t>6.2.3 </w:t>
      </w:r>
      <w:r>
        <w:rPr>
          <w:spacing w:val="-3"/>
        </w:rPr>
        <w:t>照明灯具的使用应符合下列要求：</w:t>
      </w:r>
      <w:r>
        <w:rPr/>
        <w:t> </w:t>
      </w:r>
    </w:p>
    <w:p>
      <w:pPr>
        <w:pStyle w:val="BodyText"/>
        <w:spacing w:line="446" w:lineRule="auto"/>
        <w:ind w:left="418" w:right="1431" w:firstLine="419"/>
      </w:pPr>
      <w:r>
        <w:rPr>
          <w:spacing w:val="-6"/>
        </w:rPr>
        <w:t>照明灯具表面的高温部位应与可燃物保持安全距离，当靠近可燃物时，应采取隔热、散热等</w:t>
      </w:r>
      <w:r>
        <w:rPr>
          <w:spacing w:val="-4"/>
        </w:rPr>
        <w:t>防火保护措施；</w:t>
      </w:r>
      <w:r>
        <w:rPr/>
        <w:t> </w:t>
      </w:r>
    </w:p>
    <w:p>
      <w:pPr>
        <w:pStyle w:val="BodyText"/>
        <w:spacing w:line="446" w:lineRule="auto"/>
        <w:ind w:left="418" w:right="1433" w:firstLine="419"/>
      </w:pPr>
      <w:r>
        <w:rPr>
          <w:spacing w:val="-6"/>
        </w:rPr>
        <w:t>卤钨灯和额定功率超过 </w:t>
      </w:r>
      <w:r>
        <w:rPr/>
        <w:t>100W</w:t>
      </w:r>
      <w:r>
        <w:rPr>
          <w:spacing w:val="-16"/>
        </w:rPr>
        <w:t> 的白炽灯泡的吸顶灯、槽灯、嵌入式灯，其引入线应采用瓷管、</w:t>
      </w:r>
      <w:r>
        <w:rPr>
          <w:spacing w:val="-7"/>
        </w:rPr>
        <w:t>矿棉等不燃材料作隔热保护；</w:t>
      </w:r>
      <w:r>
        <w:rPr/>
        <w:t> </w:t>
      </w:r>
    </w:p>
    <w:p>
      <w:pPr>
        <w:pStyle w:val="BodyText"/>
        <w:spacing w:line="446" w:lineRule="auto"/>
        <w:ind w:left="418" w:right="1433" w:firstLine="419"/>
      </w:pPr>
      <w:r>
        <w:rPr>
          <w:spacing w:val="-9"/>
        </w:rPr>
        <w:t>卤钨灯、高压钠灯、金属卤灯光源、荧光高压汞灯、超过 </w:t>
      </w:r>
      <w:r>
        <w:rPr/>
        <w:t>60W</w:t>
      </w:r>
      <w:r>
        <w:rPr>
          <w:spacing w:val="-7"/>
        </w:rPr>
        <w:t> 的白炽灯等高温灯具及镇流器</w:t>
      </w:r>
      <w:r>
        <w:rPr>
          <w:spacing w:val="-5"/>
        </w:rPr>
        <w:t>不应直接安装在可燃装修材料或可燃构件上。</w:t>
      </w:r>
      <w:r>
        <w:rPr/>
        <w:t> </w:t>
      </w:r>
    </w:p>
    <w:p>
      <w:pPr>
        <w:pStyle w:val="ListParagraph"/>
        <w:numPr>
          <w:ilvl w:val="1"/>
          <w:numId w:val="513"/>
        </w:numPr>
        <w:tabs>
          <w:tab w:pos="829" w:val="left" w:leader="none"/>
        </w:tabs>
        <w:spacing w:line="240" w:lineRule="auto" w:before="0" w:after="0"/>
        <w:ind w:left="828" w:right="0" w:hanging="411"/>
        <w:jc w:val="left"/>
        <w:rPr>
          <w:sz w:val="24"/>
        </w:rPr>
      </w:pPr>
      <w:r>
        <w:rPr>
          <w:spacing w:val="30"/>
          <w:sz w:val="21"/>
        </w:rPr>
        <w:t>用气</w:t>
      </w:r>
      <w:r>
        <w:rPr>
          <w:spacing w:val="-48"/>
          <w:sz w:val="21"/>
        </w:rPr>
        <w:t> </w:t>
      </w:r>
      <w:r>
        <w:rPr>
          <w:sz w:val="24"/>
        </w:rPr>
        <w:t> </w:t>
      </w:r>
    </w:p>
    <w:p>
      <w:pPr>
        <w:pStyle w:val="BodyText"/>
        <w:spacing w:before="9"/>
        <w:rPr>
          <w:sz w:val="17"/>
        </w:rPr>
      </w:pPr>
    </w:p>
    <w:p>
      <w:pPr>
        <w:pStyle w:val="ListParagraph"/>
        <w:numPr>
          <w:ilvl w:val="2"/>
          <w:numId w:val="513"/>
        </w:numPr>
        <w:tabs>
          <w:tab w:pos="1371" w:val="left" w:leader="none"/>
        </w:tabs>
        <w:spacing w:line="240" w:lineRule="auto" w:before="0" w:after="0"/>
        <w:ind w:left="1370" w:right="0" w:hanging="531"/>
        <w:jc w:val="left"/>
        <w:rPr>
          <w:sz w:val="21"/>
        </w:rPr>
      </w:pPr>
      <w:r>
        <w:rPr>
          <w:spacing w:val="-3"/>
          <w:sz w:val="21"/>
        </w:rPr>
        <w:t>沼气的使用应符合下列要求：</w:t>
      </w:r>
      <w:r>
        <w:rPr>
          <w:sz w:val="21"/>
        </w:rPr>
        <w:t> </w:t>
      </w:r>
    </w:p>
    <w:p>
      <w:pPr>
        <w:pStyle w:val="BodyText"/>
        <w:rPr>
          <w:sz w:val="18"/>
        </w:rPr>
      </w:pPr>
    </w:p>
    <w:p>
      <w:pPr>
        <w:pStyle w:val="BodyText"/>
        <w:spacing w:line="446" w:lineRule="auto"/>
        <w:ind w:left="838" w:right="1330"/>
      </w:pPr>
      <w:r>
        <w:rPr>
          <w:spacing w:val="-15"/>
        </w:rPr>
        <w:t>沼气池周围宜设围挡设施，并应设明显的标志，顶部应采取防止重物撞击或汽车压行的措施；</w:t>
      </w:r>
      <w:r>
        <w:rPr>
          <w:spacing w:val="-103"/>
        </w:rPr>
        <w:t> </w:t>
      </w:r>
      <w:r>
        <w:rPr>
          <w:spacing w:val="-5"/>
        </w:rPr>
        <w:t>沼气池盖上的可燃保温材料应采取防火措施，在大型沼气池盖上和储气缸上，应设置泄压装</w:t>
      </w:r>
    </w:p>
    <w:p>
      <w:pPr>
        <w:spacing w:after="0" w:line="446" w:lineRule="auto"/>
        <w:sectPr>
          <w:pgSz w:w="11910" w:h="16850"/>
          <w:pgMar w:header="0" w:footer="1239" w:top="1220" w:bottom="1420" w:left="1260" w:right="0"/>
        </w:sectPr>
      </w:pPr>
    </w:p>
    <w:p>
      <w:pPr>
        <w:pStyle w:val="BodyText"/>
        <w:spacing w:before="47"/>
        <w:ind w:left="418"/>
      </w:pPr>
      <w:r>
        <w:rPr/>
        <w:t>置； </w:t>
      </w:r>
    </w:p>
    <w:p>
      <w:pPr>
        <w:pStyle w:val="BodyText"/>
        <w:rPr>
          <w:sz w:val="18"/>
        </w:rPr>
      </w:pPr>
    </w:p>
    <w:p>
      <w:pPr>
        <w:pStyle w:val="BodyText"/>
        <w:ind w:left="838"/>
      </w:pPr>
      <w:r>
        <w:rPr/>
        <w:t>沼气池进料口、出料口及池盖与明火散发点的距离不应小于 25m； </w:t>
      </w:r>
    </w:p>
    <w:p>
      <w:pPr>
        <w:pStyle w:val="BodyText"/>
        <w:rPr>
          <w:sz w:val="18"/>
        </w:rPr>
      </w:pPr>
    </w:p>
    <w:p>
      <w:pPr>
        <w:pStyle w:val="BodyText"/>
        <w:spacing w:line="446" w:lineRule="auto"/>
        <w:ind w:left="838" w:right="1330"/>
      </w:pPr>
      <w:r>
        <w:rPr/>
        <w:t>当采用点火方式测试沼气时，应在沼气炉上点火试气，严禁在输气管或沼气池上点火试气； 沼气池检修时，应保持通风良好，并严禁在池内使用明火或可能产生火花的器具； </w:t>
      </w:r>
    </w:p>
    <w:p>
      <w:pPr>
        <w:pStyle w:val="BodyText"/>
        <w:ind w:left="838"/>
      </w:pPr>
      <w:r>
        <w:rPr/>
        <w:t>水柱压力计“U”形管上端应连接一段开口管并伸至室外高处； </w:t>
      </w:r>
    </w:p>
    <w:p>
      <w:pPr>
        <w:pStyle w:val="BodyText"/>
        <w:spacing w:before="12"/>
        <w:rPr>
          <w:sz w:val="17"/>
        </w:rPr>
      </w:pPr>
    </w:p>
    <w:p>
      <w:pPr>
        <w:pStyle w:val="BodyText"/>
        <w:spacing w:line="446" w:lineRule="auto"/>
        <w:ind w:left="418" w:right="1434" w:firstLine="419"/>
      </w:pPr>
      <w:r>
        <w:rPr>
          <w:spacing w:val="-6"/>
        </w:rPr>
        <w:t>沼气输气主管道应采用不燃材料，各连接部位应严密紧固，输气管应定期检查，并应及时排</w:t>
      </w:r>
      <w:r>
        <w:rPr>
          <w:spacing w:val="-4"/>
        </w:rPr>
        <w:t>除漏气点。</w:t>
      </w:r>
      <w:r>
        <w:rPr/>
        <w:t> </w:t>
      </w:r>
    </w:p>
    <w:p>
      <w:pPr>
        <w:pStyle w:val="ListParagraph"/>
        <w:numPr>
          <w:ilvl w:val="2"/>
          <w:numId w:val="513"/>
        </w:numPr>
        <w:tabs>
          <w:tab w:pos="1370" w:val="left" w:leader="none"/>
        </w:tabs>
        <w:spacing w:line="240" w:lineRule="auto" w:before="0" w:after="0"/>
        <w:ind w:left="1369" w:right="0" w:hanging="530"/>
        <w:jc w:val="left"/>
        <w:rPr>
          <w:sz w:val="21"/>
        </w:rPr>
      </w:pPr>
      <w:r>
        <w:rPr>
          <w:spacing w:val="-3"/>
          <w:sz w:val="21"/>
        </w:rPr>
        <w:t>瓶装液化石油气的使用应符合下列要求：</w:t>
      </w:r>
      <w:r>
        <w:rPr>
          <w:sz w:val="21"/>
        </w:rPr>
        <w:t> </w:t>
      </w:r>
    </w:p>
    <w:p>
      <w:pPr>
        <w:pStyle w:val="BodyText"/>
        <w:rPr>
          <w:sz w:val="18"/>
        </w:rPr>
      </w:pPr>
    </w:p>
    <w:p>
      <w:pPr>
        <w:pStyle w:val="BodyText"/>
        <w:ind w:left="838"/>
      </w:pPr>
      <w:r>
        <w:rPr/>
        <w:t>严禁在地下室存放和使用； </w:t>
      </w:r>
    </w:p>
    <w:p>
      <w:pPr>
        <w:pStyle w:val="BodyText"/>
        <w:spacing w:before="2"/>
        <w:rPr>
          <w:sz w:val="18"/>
        </w:rPr>
      </w:pPr>
    </w:p>
    <w:p>
      <w:pPr>
        <w:pStyle w:val="BodyText"/>
        <w:ind w:left="838"/>
      </w:pPr>
      <w:r>
        <w:rPr>
          <w:spacing w:val="-20"/>
          <w:w w:val="100"/>
        </w:rPr>
        <w:t>液化石油气钢瓶不应接近火源、热源，应防止日光直射，与灶具之间的安全距离不应小于</w:t>
      </w:r>
      <w:r>
        <w:rPr>
          <w:spacing w:val="-52"/>
        </w:rPr>
        <w:t> </w:t>
      </w:r>
      <w:r>
        <w:rPr>
          <w:spacing w:val="-3"/>
          <w:w w:val="100"/>
        </w:rPr>
        <w:t>0</w:t>
      </w:r>
      <w:r>
        <w:rPr>
          <w:w w:val="100"/>
        </w:rPr>
        <w:t>.5</w:t>
      </w:r>
      <w:r>
        <w:rPr>
          <w:spacing w:val="-3"/>
          <w:w w:val="100"/>
        </w:rPr>
        <w:t>m</w:t>
      </w:r>
      <w:r>
        <w:rPr>
          <w:spacing w:val="-111"/>
          <w:w w:val="100"/>
        </w:rPr>
        <w:t>；</w:t>
      </w:r>
      <w:r>
        <w:rPr>
          <w:w w:val="100"/>
        </w:rPr>
        <w:t> </w:t>
      </w:r>
    </w:p>
    <w:p>
      <w:pPr>
        <w:pStyle w:val="BodyText"/>
        <w:spacing w:before="12"/>
        <w:rPr>
          <w:sz w:val="17"/>
        </w:rPr>
      </w:pPr>
    </w:p>
    <w:p>
      <w:pPr>
        <w:pStyle w:val="BodyText"/>
        <w:ind w:left="838"/>
      </w:pPr>
      <w:r>
        <w:rPr/>
        <w:t>液化石油气钢瓶不应与化学危险物品混放； </w:t>
      </w:r>
    </w:p>
    <w:p>
      <w:pPr>
        <w:pStyle w:val="BodyText"/>
        <w:spacing w:before="12"/>
        <w:rPr>
          <w:sz w:val="17"/>
        </w:rPr>
      </w:pPr>
    </w:p>
    <w:p>
      <w:pPr>
        <w:pStyle w:val="BodyText"/>
        <w:spacing w:line="446" w:lineRule="auto" w:before="1"/>
        <w:ind w:left="418" w:right="1431" w:firstLine="419"/>
      </w:pPr>
      <w:r>
        <w:rPr>
          <w:spacing w:val="-7"/>
        </w:rPr>
        <w:t>严禁使用超量罐装的液化石油气钢瓶，严禁敲打、倒置、碰撞钢瓶，严禁随意倾倒残液和私</w:t>
      </w:r>
      <w:r>
        <w:rPr>
          <w:spacing w:val="-6"/>
        </w:rPr>
        <w:t>自灌气；</w:t>
      </w:r>
      <w:r>
        <w:rPr/>
        <w:t> </w:t>
      </w:r>
    </w:p>
    <w:p>
      <w:pPr>
        <w:pStyle w:val="BodyText"/>
        <w:spacing w:line="446" w:lineRule="auto"/>
        <w:ind w:left="840" w:right="5288" w:hanging="3"/>
      </w:pPr>
      <w:r>
        <w:rPr/>
        <w:t>存放和使用液化石油气钢瓶的房间应通风良好。</w:t>
      </w:r>
      <w:r>
        <w:rPr>
          <w:b/>
        </w:rPr>
        <w:t>6.3.3 </w:t>
      </w:r>
      <w:r>
        <w:rPr/>
        <w:t>管道燃气的使用应符合下列要求： </w:t>
      </w:r>
    </w:p>
    <w:p>
      <w:pPr>
        <w:pStyle w:val="BodyText"/>
        <w:spacing w:line="446" w:lineRule="auto"/>
        <w:ind w:left="418" w:right="1431" w:firstLine="419"/>
      </w:pPr>
      <w:r>
        <w:rPr>
          <w:spacing w:val="-7"/>
        </w:rPr>
        <w:t>燃气管道的设计、敷设应符合国家标准《城镇燃气设计规范》</w:t>
      </w:r>
      <w:r>
        <w:rPr/>
        <w:t>GB 50028</w:t>
      </w:r>
      <w:r>
        <w:rPr>
          <w:spacing w:val="-9"/>
        </w:rPr>
        <w:t> 的要求，并应由专业</w:t>
      </w:r>
      <w:r>
        <w:rPr>
          <w:spacing w:val="-5"/>
        </w:rPr>
        <w:t>人员设计、安装、维护；</w:t>
      </w:r>
      <w:r>
        <w:rPr/>
        <w:t> </w:t>
      </w:r>
    </w:p>
    <w:p>
      <w:pPr>
        <w:pStyle w:val="BodyText"/>
        <w:spacing w:line="446" w:lineRule="auto"/>
        <w:ind w:left="418" w:right="1433" w:firstLine="419"/>
      </w:pPr>
      <w:r>
        <w:rPr>
          <w:spacing w:val="-6"/>
        </w:rPr>
        <w:t>进入建筑物内的燃气管道应采用镀锌钢管，严禁采用塑料管道，管道上应设置切断阀，穿墙</w:t>
      </w:r>
      <w:r>
        <w:rPr>
          <w:spacing w:val="-4"/>
        </w:rPr>
        <w:t>处应加设保护套管；</w:t>
      </w:r>
      <w:r>
        <w:rPr/>
        <w:t> </w:t>
      </w:r>
    </w:p>
    <w:p>
      <w:pPr>
        <w:pStyle w:val="BodyText"/>
        <w:spacing w:line="446" w:lineRule="auto"/>
        <w:ind w:left="418" w:right="1431" w:firstLine="419"/>
      </w:pPr>
      <w:r>
        <w:rPr>
          <w:w w:val="100"/>
        </w:rPr>
        <w:t> </w:t>
      </w:r>
      <w:r>
        <w:rPr>
          <w:spacing w:val="-11"/>
        </w:rPr>
        <w:t>燃气管道不应设在卧室内。燃气计量表具宜安装在通风良好的部位，严禁安装在卧室、浴室</w:t>
      </w:r>
      <w:r>
        <w:rPr>
          <w:spacing w:val="-8"/>
        </w:rPr>
        <w:t>等场所；</w:t>
      </w:r>
      <w:r>
        <w:rPr/>
        <w:t> </w:t>
      </w:r>
    </w:p>
    <w:p>
      <w:pPr>
        <w:pStyle w:val="BodyText"/>
        <w:spacing w:line="446" w:lineRule="auto"/>
        <w:ind w:left="418" w:right="3503" w:firstLine="419"/>
        <w:rPr>
          <w:b/>
        </w:rPr>
      </w:pPr>
      <w:r>
        <w:rPr>
          <w:w w:val="100"/>
        </w:rPr>
        <w:t> </w:t>
      </w:r>
      <w:r>
        <w:rPr>
          <w:spacing w:val="-3"/>
        </w:rPr>
        <w:t>使用燃气场所应通风良好，发生火灾应立即关闭阀门，切断气源。</w:t>
      </w:r>
      <w:r>
        <w:rPr>
          <w:b/>
          <w:spacing w:val="31"/>
        </w:rPr>
        <w:t>6.4 </w:t>
      </w:r>
      <w:r>
        <w:rPr>
          <w:spacing w:val="-24"/>
        </w:rPr>
        <w:t>用 油 </w:t>
      </w:r>
      <w:r>
        <w:rPr/>
        <w:t>（</w:t>
      </w:r>
      <w:r>
        <w:rPr>
          <w:spacing w:val="-29"/>
        </w:rPr>
        <w:t> 可 燃 液 体 </w:t>
      </w:r>
      <w:r>
        <w:rPr/>
        <w:t>）</w:t>
      </w:r>
      <w:r>
        <w:rPr>
          <w:spacing w:val="-46"/>
        </w:rPr>
        <w:t> </w:t>
      </w:r>
      <w:r>
        <w:rPr>
          <w:b/>
          <w:w w:val="99"/>
        </w:rPr>
        <w:t> </w:t>
      </w:r>
    </w:p>
    <w:p>
      <w:pPr>
        <w:pStyle w:val="ListParagraph"/>
        <w:numPr>
          <w:ilvl w:val="2"/>
          <w:numId w:val="519"/>
        </w:numPr>
        <w:tabs>
          <w:tab w:pos="1370" w:val="left" w:leader="none"/>
        </w:tabs>
        <w:spacing w:line="267" w:lineRule="exact" w:before="0" w:after="0"/>
        <w:ind w:left="1369" w:right="0" w:hanging="530"/>
        <w:jc w:val="left"/>
        <w:rPr>
          <w:sz w:val="21"/>
        </w:rPr>
      </w:pPr>
      <w:r>
        <w:rPr>
          <w:spacing w:val="-3"/>
          <w:sz w:val="21"/>
        </w:rPr>
        <w:t>汽油、煤油、柴油、酒精等可燃液体不应存放在居室内，且应远离火源、热源。</w:t>
      </w:r>
      <w:r>
        <w:rPr>
          <w:sz w:val="21"/>
        </w:rPr>
        <w:t> </w:t>
      </w:r>
    </w:p>
    <w:p>
      <w:pPr>
        <w:pStyle w:val="BodyText"/>
        <w:spacing w:before="12"/>
        <w:rPr>
          <w:sz w:val="17"/>
        </w:rPr>
      </w:pPr>
    </w:p>
    <w:p>
      <w:pPr>
        <w:pStyle w:val="ListParagraph"/>
        <w:numPr>
          <w:ilvl w:val="2"/>
          <w:numId w:val="519"/>
        </w:numPr>
        <w:tabs>
          <w:tab w:pos="1371" w:val="left" w:leader="none"/>
        </w:tabs>
        <w:spacing w:line="240" w:lineRule="auto" w:before="0" w:after="0"/>
        <w:ind w:left="1370" w:right="0" w:hanging="531"/>
        <w:jc w:val="left"/>
        <w:rPr>
          <w:sz w:val="21"/>
        </w:rPr>
      </w:pPr>
      <w:r>
        <w:rPr>
          <w:spacing w:val="-3"/>
          <w:sz w:val="21"/>
        </w:rPr>
        <w:t>使用油类等可燃液体燃料的炉灶、取暖炉等设备必须在熄火降温后充装燃料。</w:t>
      </w:r>
      <w:r>
        <w:rPr>
          <w:sz w:val="21"/>
        </w:rPr>
        <w:t> </w:t>
      </w:r>
    </w:p>
    <w:p>
      <w:pPr>
        <w:pStyle w:val="BodyText"/>
        <w:rPr>
          <w:sz w:val="18"/>
        </w:rPr>
      </w:pPr>
    </w:p>
    <w:p>
      <w:pPr>
        <w:pStyle w:val="ListParagraph"/>
        <w:numPr>
          <w:ilvl w:val="2"/>
          <w:numId w:val="519"/>
        </w:numPr>
        <w:tabs>
          <w:tab w:pos="1370" w:val="left" w:leader="none"/>
        </w:tabs>
        <w:spacing w:line="446" w:lineRule="auto" w:before="0" w:after="0"/>
        <w:ind w:left="418" w:right="1604" w:firstLine="422"/>
        <w:jc w:val="left"/>
        <w:rPr>
          <w:sz w:val="21"/>
        </w:rPr>
      </w:pPr>
      <w:r>
        <w:rPr>
          <w:spacing w:val="-3"/>
          <w:sz w:val="21"/>
        </w:rPr>
        <w:t>严禁对盛装或盛装过可燃液体且未采取安全置换措施的存储容器进行电焊等明火作业。</w:t>
      </w:r>
      <w:r>
        <w:rPr>
          <w:sz w:val="21"/>
        </w:rPr>
        <w:t> </w:t>
      </w:r>
    </w:p>
    <w:p>
      <w:pPr>
        <w:pStyle w:val="ListParagraph"/>
        <w:numPr>
          <w:ilvl w:val="2"/>
          <w:numId w:val="519"/>
        </w:numPr>
        <w:tabs>
          <w:tab w:pos="1370" w:val="left" w:leader="none"/>
        </w:tabs>
        <w:spacing w:line="240" w:lineRule="auto" w:before="0" w:after="0"/>
        <w:ind w:left="1369" w:right="0" w:hanging="530"/>
        <w:jc w:val="left"/>
        <w:rPr>
          <w:sz w:val="21"/>
        </w:rPr>
      </w:pPr>
      <w:r>
        <w:rPr>
          <w:spacing w:val="-3"/>
          <w:sz w:val="21"/>
        </w:rPr>
        <w:t>使用汽油等有机溶剂清洗作业时，应采取防静电、防撞击等防止产生火花的措施。</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519"/>
        </w:numPr>
        <w:tabs>
          <w:tab w:pos="1370" w:val="left" w:leader="none"/>
        </w:tabs>
        <w:spacing w:line="446" w:lineRule="auto" w:before="47" w:after="0"/>
        <w:ind w:left="418" w:right="1604" w:firstLine="422"/>
        <w:jc w:val="left"/>
        <w:rPr>
          <w:sz w:val="21"/>
        </w:rPr>
      </w:pPr>
      <w:r>
        <w:rPr>
          <w:spacing w:val="-3"/>
          <w:sz w:val="21"/>
        </w:rPr>
        <w:t>严禁使用玻璃瓶、塑料桶等易碎或易产生静电的非金属容器盛装汽油、煤油、酒精等甲、乙类液体。</w:t>
      </w:r>
      <w:r>
        <w:rPr>
          <w:sz w:val="21"/>
        </w:rPr>
        <w:t> </w:t>
      </w:r>
    </w:p>
    <w:p>
      <w:pPr>
        <w:pStyle w:val="ListParagraph"/>
        <w:numPr>
          <w:ilvl w:val="2"/>
          <w:numId w:val="519"/>
        </w:numPr>
        <w:tabs>
          <w:tab w:pos="1370" w:val="left" w:leader="none"/>
        </w:tabs>
        <w:spacing w:line="267" w:lineRule="exact" w:before="0" w:after="0"/>
        <w:ind w:left="1369" w:right="0" w:hanging="530"/>
        <w:jc w:val="left"/>
        <w:rPr>
          <w:sz w:val="21"/>
        </w:rPr>
      </w:pPr>
      <w:r>
        <w:rPr>
          <w:spacing w:val="-3"/>
          <w:sz w:val="21"/>
        </w:rPr>
        <w:t>室内的燃油管道应采用金属管道并设有事故切断阀，严禁采用塑料管道。 </w:t>
      </w:r>
    </w:p>
    <w:p>
      <w:pPr>
        <w:pStyle w:val="BodyText"/>
        <w:spacing w:before="2"/>
        <w:rPr>
          <w:sz w:val="18"/>
        </w:rPr>
      </w:pPr>
    </w:p>
    <w:p>
      <w:pPr>
        <w:pStyle w:val="ListParagraph"/>
        <w:numPr>
          <w:ilvl w:val="2"/>
          <w:numId w:val="519"/>
        </w:numPr>
        <w:tabs>
          <w:tab w:pos="1370" w:val="left" w:leader="none"/>
        </w:tabs>
        <w:spacing w:line="240" w:lineRule="auto" w:before="0" w:after="0"/>
        <w:ind w:left="1369" w:right="0" w:hanging="530"/>
        <w:jc w:val="left"/>
        <w:rPr>
          <w:sz w:val="21"/>
        </w:rPr>
      </w:pPr>
      <w:r>
        <w:rPr>
          <w:spacing w:val="-3"/>
          <w:sz w:val="21"/>
        </w:rPr>
        <w:t>含有有机溶剂的化妆品、充有可燃液体的打火机等应远离火源、热源。 </w:t>
      </w:r>
    </w:p>
    <w:p>
      <w:pPr>
        <w:pStyle w:val="BodyText"/>
        <w:rPr>
          <w:sz w:val="18"/>
        </w:rPr>
      </w:pPr>
    </w:p>
    <w:p>
      <w:pPr>
        <w:pStyle w:val="ListParagraph"/>
        <w:numPr>
          <w:ilvl w:val="2"/>
          <w:numId w:val="519"/>
        </w:numPr>
        <w:tabs>
          <w:tab w:pos="1370" w:val="left" w:leader="none"/>
        </w:tabs>
        <w:spacing w:line="240" w:lineRule="auto" w:before="0" w:after="0"/>
        <w:ind w:left="1369" w:right="0" w:hanging="530"/>
        <w:jc w:val="left"/>
        <w:rPr>
          <w:sz w:val="21"/>
        </w:rPr>
      </w:pPr>
      <w:r>
        <w:rPr>
          <w:spacing w:val="-3"/>
          <w:sz w:val="21"/>
        </w:rPr>
        <w:t>销售、使用可燃液体的场所应采取防静电和防止火花发生的措施。</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BodyText"/>
        <w:spacing w:before="72"/>
        <w:ind w:left="3298"/>
      </w:pPr>
      <w:r>
        <w:rPr>
          <w:w w:val="100"/>
        </w:rPr>
        <w:t> </w:t>
      </w:r>
    </w:p>
    <w:p>
      <w:pPr>
        <w:spacing w:after="0"/>
        <w:sectPr>
          <w:footerReference w:type="default" r:id="rId306"/>
          <w:pgSz w:w="11910" w:h="16850"/>
          <w:pgMar w:footer="1239" w:header="0" w:top="1220" w:bottom="1420" w:left="1260" w:right="0"/>
          <w:pgNumType w:start="1220"/>
        </w:sectPr>
      </w:pPr>
    </w:p>
    <w:p>
      <w:pPr>
        <w:pStyle w:val="Heading2"/>
        <w:spacing w:before="157"/>
        <w:ind w:right="800"/>
        <w:rPr>
          <w:sz w:val="44"/>
        </w:rPr>
      </w:pPr>
      <w:bookmarkStart w:name="_bookmark21" w:id="22"/>
      <w:bookmarkEnd w:id="22"/>
      <w:r>
        <w:rPr>
          <w:b w:val="0"/>
        </w:rPr>
      </w:r>
      <w:r>
        <w:rPr/>
        <w:t>消防监督技术装备配备</w:t>
      </w:r>
      <w:r>
        <w:rPr>
          <w:w w:val="99"/>
          <w:sz w:val="44"/>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本标准规定了公安机关消防机构和具有消防监督职责的公安派出所消防监督技术装备的配备级别、类别、配备原则、配备要求和维护管理等内容。 </w:t>
      </w:r>
    </w:p>
    <w:p>
      <w:pPr>
        <w:pStyle w:val="BodyText"/>
        <w:spacing w:line="446" w:lineRule="auto"/>
        <w:ind w:left="418" w:right="1608" w:firstLine="419"/>
        <w:jc w:val="both"/>
      </w:pPr>
      <w:r>
        <w:rPr>
          <w:spacing w:val="-3"/>
        </w:rPr>
        <w:t>本标准适用于各级公安机关消防机构和具有消防监督职责的公安派出所的消防监督技术装备配备。具有法定消防监督职责的公安机关参照执行。法人和其他组织的消防安全管理部门可根据需要参照执行。</w:t>
      </w:r>
      <w:r>
        <w:rPr/>
        <w:t> </w:t>
      </w:r>
    </w:p>
    <w:p>
      <w:pPr>
        <w:pStyle w:val="Heading4"/>
        <w:spacing w:line="277" w:lineRule="exact"/>
      </w:pPr>
      <w:r>
        <w:rPr/>
        <w:t>2</w:t>
      </w:r>
      <w:r>
        <w:rPr>
          <w:spacing w:val="-2"/>
        </w:rPr>
        <w:t> 规范性引用文件</w:t>
      </w:r>
      <w:r>
        <w:rPr>
          <w:spacing w:val="-2"/>
          <w:w w:val="99"/>
        </w:rPr>
        <w:t> </w:t>
      </w:r>
    </w:p>
    <w:p>
      <w:pPr>
        <w:pStyle w:val="BodyText"/>
        <w:spacing w:before="4"/>
        <w:rPr>
          <w:b/>
          <w:sz w:val="17"/>
        </w:rPr>
      </w:pPr>
    </w:p>
    <w:p>
      <w:pPr>
        <w:pStyle w:val="BodyText"/>
        <w:spacing w:line="446" w:lineRule="auto"/>
        <w:ind w:left="418" w:right="1505" w:firstLine="419"/>
      </w:pPr>
      <w:r>
        <w:rPr>
          <w:spacing w:val="-3"/>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r>
        <w:rPr/>
        <w:t> </w:t>
      </w:r>
    </w:p>
    <w:p>
      <w:pPr>
        <w:pStyle w:val="BodyText"/>
        <w:spacing w:line="446" w:lineRule="auto"/>
        <w:ind w:left="838" w:right="6023"/>
      </w:pPr>
      <w:r>
        <w:rPr/>
        <w:t>GB/T 5907  消防基本术语  第一部分GB/T 6223 自吸过滤式防微粒口罩 </w:t>
      </w:r>
    </w:p>
    <w:p>
      <w:pPr>
        <w:pStyle w:val="Heading4"/>
        <w:spacing w:line="277" w:lineRule="exact"/>
      </w:pPr>
      <w:r>
        <w:rPr/>
        <w:t>3 术语和定义</w:t>
      </w:r>
      <w:r>
        <w:rPr>
          <w:w w:val="99"/>
        </w:rPr>
        <w:t> </w:t>
      </w:r>
    </w:p>
    <w:p>
      <w:pPr>
        <w:pStyle w:val="BodyText"/>
        <w:spacing w:before="1"/>
        <w:rPr>
          <w:b/>
          <w:sz w:val="17"/>
        </w:rPr>
      </w:pPr>
    </w:p>
    <w:p>
      <w:pPr>
        <w:pStyle w:val="BodyText"/>
        <w:ind w:left="838"/>
      </w:pPr>
      <w:r>
        <w:rPr/>
        <w:t>GB/T 5907 中确立的以及下列术语和定义适用于本标准。 </w:t>
      </w:r>
    </w:p>
    <w:p>
      <w:pPr>
        <w:pStyle w:val="BodyText"/>
        <w:spacing w:before="2"/>
        <w:rPr>
          <w:sz w:val="18"/>
        </w:rPr>
      </w:pPr>
    </w:p>
    <w:p>
      <w:pPr>
        <w:pStyle w:val="ListParagraph"/>
        <w:numPr>
          <w:ilvl w:val="1"/>
          <w:numId w:val="520"/>
        </w:numPr>
        <w:tabs>
          <w:tab w:pos="1213" w:val="left" w:leader="none"/>
        </w:tabs>
        <w:spacing w:line="240" w:lineRule="auto" w:before="0" w:after="0"/>
        <w:ind w:left="1212" w:right="0" w:hanging="373"/>
        <w:jc w:val="left"/>
        <w:rPr>
          <w:sz w:val="21"/>
        </w:rPr>
      </w:pPr>
      <w:r>
        <w:rPr>
          <w:spacing w:val="-3"/>
          <w:sz w:val="21"/>
        </w:rPr>
        <w:t>消防监督技术装备 </w:t>
      </w:r>
      <w:r>
        <w:rPr>
          <w:sz w:val="21"/>
        </w:rPr>
        <w:t>technical</w:t>
      </w:r>
      <w:r>
        <w:rPr>
          <w:spacing w:val="1"/>
          <w:sz w:val="21"/>
        </w:rPr>
        <w:t> </w:t>
      </w:r>
      <w:r>
        <w:rPr>
          <w:sz w:val="21"/>
        </w:rPr>
        <w:t>equipments for</w:t>
      </w:r>
      <w:r>
        <w:rPr>
          <w:spacing w:val="-2"/>
          <w:sz w:val="21"/>
        </w:rPr>
        <w:t> </w:t>
      </w:r>
      <w:r>
        <w:rPr>
          <w:sz w:val="21"/>
        </w:rPr>
        <w:t>fire</w:t>
      </w:r>
      <w:r>
        <w:rPr>
          <w:spacing w:val="1"/>
          <w:sz w:val="21"/>
        </w:rPr>
        <w:t> </w:t>
      </w:r>
      <w:r>
        <w:rPr>
          <w:sz w:val="21"/>
        </w:rPr>
        <w:t>supervision </w:t>
      </w:r>
    </w:p>
    <w:p>
      <w:pPr>
        <w:pStyle w:val="BodyText"/>
        <w:rPr>
          <w:sz w:val="18"/>
        </w:rPr>
      </w:pPr>
    </w:p>
    <w:p>
      <w:pPr>
        <w:pStyle w:val="BodyText"/>
        <w:spacing w:line="446" w:lineRule="auto"/>
        <w:ind w:left="418" w:right="1609" w:firstLine="419"/>
      </w:pPr>
      <w:r>
        <w:rPr/>
        <w:t>用于建设工程消防验收和竣工验收检査、消防监督检査、火灾事故调査、消防宣传教育业务的技术装备的总称。 </w:t>
      </w:r>
    </w:p>
    <w:p>
      <w:pPr>
        <w:pStyle w:val="ListParagraph"/>
        <w:numPr>
          <w:ilvl w:val="1"/>
          <w:numId w:val="520"/>
        </w:numPr>
        <w:tabs>
          <w:tab w:pos="1213" w:val="left" w:leader="none"/>
        </w:tabs>
        <w:spacing w:line="240" w:lineRule="auto" w:before="0" w:after="0"/>
        <w:ind w:left="1212" w:right="0" w:hanging="373"/>
        <w:jc w:val="left"/>
        <w:rPr>
          <w:sz w:val="21"/>
        </w:rPr>
      </w:pPr>
      <w:r>
        <w:rPr>
          <w:spacing w:val="-3"/>
          <w:sz w:val="21"/>
        </w:rPr>
        <w:t>消防安全教育专用车 </w:t>
      </w:r>
      <w:r>
        <w:rPr>
          <w:sz w:val="21"/>
        </w:rPr>
        <w:t>special</w:t>
      </w:r>
      <w:r>
        <w:rPr>
          <w:spacing w:val="1"/>
          <w:sz w:val="21"/>
        </w:rPr>
        <w:t> </w:t>
      </w:r>
      <w:r>
        <w:rPr>
          <w:sz w:val="21"/>
        </w:rPr>
        <w:t>vehicle</w:t>
      </w:r>
      <w:r>
        <w:rPr>
          <w:spacing w:val="1"/>
          <w:sz w:val="21"/>
        </w:rPr>
        <w:t> </w:t>
      </w:r>
      <w:r>
        <w:rPr>
          <w:sz w:val="21"/>
        </w:rPr>
        <w:t>for fire</w:t>
      </w:r>
      <w:r>
        <w:rPr>
          <w:spacing w:val="1"/>
          <w:sz w:val="21"/>
        </w:rPr>
        <w:t> </w:t>
      </w:r>
      <w:r>
        <w:rPr>
          <w:sz w:val="21"/>
        </w:rPr>
        <w:t>safety</w:t>
      </w:r>
      <w:r>
        <w:rPr>
          <w:spacing w:val="1"/>
          <w:sz w:val="21"/>
        </w:rPr>
        <w:t> </w:t>
      </w:r>
      <w:r>
        <w:rPr>
          <w:sz w:val="21"/>
        </w:rPr>
        <w:t>education </w:t>
      </w:r>
    </w:p>
    <w:p>
      <w:pPr>
        <w:pStyle w:val="BodyText"/>
        <w:rPr>
          <w:sz w:val="18"/>
        </w:rPr>
      </w:pPr>
    </w:p>
    <w:p>
      <w:pPr>
        <w:pStyle w:val="BodyText"/>
        <w:spacing w:line="446" w:lineRule="auto"/>
        <w:ind w:left="418" w:right="1609" w:firstLine="419"/>
      </w:pPr>
      <w:r>
        <w:rPr/>
        <w:t>用于对社会进行消防安全常识和逃生自救技能的宣传教育和培训的专用车辆，具有知识宣传、模拟体验和声像演示等功能。 </w:t>
      </w:r>
    </w:p>
    <w:p>
      <w:pPr>
        <w:pStyle w:val="Heading4"/>
        <w:spacing w:line="277" w:lineRule="exact"/>
      </w:pPr>
      <w:r>
        <w:rPr/>
        <w:t>4 总则</w:t>
      </w:r>
      <w:r>
        <w:rPr>
          <w:w w:val="99"/>
        </w:rPr>
        <w:t> </w:t>
      </w:r>
    </w:p>
    <w:p>
      <w:pPr>
        <w:pStyle w:val="BodyText"/>
        <w:spacing w:before="4"/>
        <w:rPr>
          <w:b/>
          <w:sz w:val="17"/>
        </w:rPr>
      </w:pPr>
    </w:p>
    <w:p>
      <w:pPr>
        <w:spacing w:before="0"/>
        <w:ind w:left="840" w:right="0" w:firstLine="0"/>
        <w:jc w:val="left"/>
        <w:rPr>
          <w:sz w:val="21"/>
        </w:rPr>
      </w:pPr>
      <w:r>
        <w:rPr>
          <w:b/>
          <w:sz w:val="21"/>
        </w:rPr>
        <w:t>4.1</w:t>
      </w:r>
      <w:r>
        <w:rPr>
          <w:b/>
          <w:spacing w:val="5"/>
          <w:sz w:val="21"/>
        </w:rPr>
        <w:t> </w:t>
      </w:r>
      <w:r>
        <w:rPr>
          <w:spacing w:val="-3"/>
          <w:sz w:val="21"/>
        </w:rPr>
        <w:t>配备级别</w:t>
      </w:r>
      <w:r>
        <w:rPr>
          <w:sz w:val="21"/>
        </w:rPr>
        <w:t> </w:t>
      </w:r>
    </w:p>
    <w:p>
      <w:pPr>
        <w:pStyle w:val="BodyText"/>
        <w:spacing w:before="12"/>
        <w:rPr>
          <w:sz w:val="17"/>
        </w:rPr>
      </w:pPr>
    </w:p>
    <w:p>
      <w:pPr>
        <w:pStyle w:val="BodyText"/>
        <w:spacing w:line="448" w:lineRule="auto"/>
        <w:ind w:left="840" w:right="4446" w:hanging="3"/>
      </w:pPr>
      <w:r>
        <w:rPr>
          <w:spacing w:val="-3"/>
        </w:rPr>
        <w:t>消防监督技术装备配备级别分为一、二、三、四、五级。</w:t>
      </w:r>
      <w:r>
        <w:rPr>
          <w:b/>
        </w:rPr>
        <w:t>4.2</w:t>
      </w:r>
      <w:r>
        <w:rPr>
          <w:b/>
          <w:spacing w:val="-1"/>
        </w:rPr>
        <w:t> </w:t>
      </w:r>
      <w:r>
        <w:rPr>
          <w:spacing w:val="-3"/>
        </w:rPr>
        <w:t>装备类别</w:t>
      </w:r>
      <w:r>
        <w:rPr/>
        <w:t> </w:t>
      </w:r>
    </w:p>
    <w:p>
      <w:pPr>
        <w:pStyle w:val="BodyText"/>
        <w:spacing w:line="264" w:lineRule="exact"/>
        <w:ind w:left="838"/>
      </w:pPr>
      <w:r>
        <w:rPr/>
        <w:t>消防监督技术装备分为以下七类： </w:t>
      </w:r>
    </w:p>
    <w:p>
      <w:pPr>
        <w:spacing w:after="0" w:line="264" w:lineRule="exact"/>
        <w:sectPr>
          <w:pgSz w:w="11910" w:h="16850"/>
          <w:pgMar w:header="0" w:footer="1239" w:top="1020" w:bottom="1420" w:left="1260" w:right="0"/>
        </w:sectPr>
      </w:pPr>
    </w:p>
    <w:p>
      <w:pPr>
        <w:pStyle w:val="ListParagraph"/>
        <w:numPr>
          <w:ilvl w:val="0"/>
          <w:numId w:val="521"/>
        </w:numPr>
        <w:tabs>
          <w:tab w:pos="1051" w:val="left" w:leader="none"/>
        </w:tabs>
        <w:spacing w:line="240" w:lineRule="auto" w:before="47" w:after="0"/>
        <w:ind w:left="1050" w:right="0" w:hanging="213"/>
        <w:jc w:val="left"/>
        <w:rPr>
          <w:b/>
          <w:sz w:val="21"/>
        </w:rPr>
      </w:pPr>
      <w:r>
        <w:rPr>
          <w:spacing w:val="-3"/>
          <w:sz w:val="21"/>
        </w:rPr>
        <w:t>办公、通信和信息处理类装备；</w:t>
      </w:r>
      <w:r>
        <w:rPr>
          <w:b/>
          <w:w w:val="99"/>
          <w:sz w:val="21"/>
        </w:rPr>
        <w:t> </w:t>
      </w:r>
    </w:p>
    <w:p>
      <w:pPr>
        <w:pStyle w:val="BodyText"/>
        <w:rPr>
          <w:b/>
          <w:sz w:val="18"/>
        </w:rPr>
      </w:pPr>
    </w:p>
    <w:p>
      <w:pPr>
        <w:pStyle w:val="ListParagraph"/>
        <w:numPr>
          <w:ilvl w:val="0"/>
          <w:numId w:val="521"/>
        </w:numPr>
        <w:tabs>
          <w:tab w:pos="1051" w:val="left" w:leader="none"/>
        </w:tabs>
        <w:spacing w:line="240" w:lineRule="auto" w:before="0" w:after="0"/>
        <w:ind w:left="1050" w:right="0" w:hanging="213"/>
        <w:jc w:val="left"/>
        <w:rPr>
          <w:b/>
          <w:sz w:val="21"/>
        </w:rPr>
      </w:pPr>
      <w:r>
        <w:rPr>
          <w:spacing w:val="-3"/>
          <w:sz w:val="21"/>
        </w:rPr>
        <w:t>建筑消防设施检测类装备；</w:t>
      </w:r>
      <w:r>
        <w:rPr>
          <w:b/>
          <w:w w:val="99"/>
          <w:sz w:val="21"/>
        </w:rPr>
        <w:t> </w:t>
      </w:r>
    </w:p>
    <w:p>
      <w:pPr>
        <w:pStyle w:val="BodyText"/>
        <w:rPr>
          <w:b/>
          <w:sz w:val="18"/>
        </w:rPr>
      </w:pPr>
    </w:p>
    <w:p>
      <w:pPr>
        <w:pStyle w:val="ListParagraph"/>
        <w:numPr>
          <w:ilvl w:val="0"/>
          <w:numId w:val="521"/>
        </w:numPr>
        <w:tabs>
          <w:tab w:pos="1051" w:val="left" w:leader="none"/>
        </w:tabs>
        <w:spacing w:line="240" w:lineRule="auto" w:before="0" w:after="0"/>
        <w:ind w:left="1050" w:right="0" w:hanging="213"/>
        <w:jc w:val="left"/>
        <w:rPr>
          <w:b/>
          <w:sz w:val="21"/>
        </w:rPr>
      </w:pPr>
      <w:r>
        <w:rPr>
          <w:spacing w:val="-3"/>
          <w:sz w:val="21"/>
        </w:rPr>
        <w:t>消防安全检测类装备；</w:t>
      </w:r>
      <w:r>
        <w:rPr>
          <w:b/>
          <w:spacing w:val="-3"/>
          <w:w w:val="99"/>
          <w:sz w:val="21"/>
        </w:rPr>
        <w:t> </w:t>
      </w:r>
    </w:p>
    <w:p>
      <w:pPr>
        <w:pStyle w:val="BodyText"/>
        <w:spacing w:before="1"/>
        <w:rPr>
          <w:b/>
          <w:sz w:val="18"/>
        </w:rPr>
      </w:pPr>
    </w:p>
    <w:p>
      <w:pPr>
        <w:pStyle w:val="ListParagraph"/>
        <w:numPr>
          <w:ilvl w:val="0"/>
          <w:numId w:val="521"/>
        </w:numPr>
        <w:tabs>
          <w:tab w:pos="1051" w:val="left" w:leader="none"/>
        </w:tabs>
        <w:spacing w:line="240" w:lineRule="auto" w:before="1" w:after="0"/>
        <w:ind w:left="1050" w:right="0" w:hanging="213"/>
        <w:jc w:val="left"/>
        <w:rPr>
          <w:b/>
          <w:sz w:val="21"/>
        </w:rPr>
      </w:pPr>
      <w:r>
        <w:rPr>
          <w:spacing w:val="-3"/>
          <w:sz w:val="21"/>
        </w:rPr>
        <w:t>消防产品现场检测类装备；</w:t>
      </w:r>
      <w:r>
        <w:rPr>
          <w:b/>
          <w:w w:val="99"/>
          <w:sz w:val="21"/>
        </w:rPr>
        <w:t> </w:t>
      </w:r>
    </w:p>
    <w:p>
      <w:pPr>
        <w:pStyle w:val="BodyText"/>
        <w:spacing w:before="12"/>
        <w:rPr>
          <w:b/>
          <w:sz w:val="17"/>
        </w:rPr>
      </w:pPr>
    </w:p>
    <w:p>
      <w:pPr>
        <w:pStyle w:val="ListParagraph"/>
        <w:numPr>
          <w:ilvl w:val="0"/>
          <w:numId w:val="521"/>
        </w:numPr>
        <w:tabs>
          <w:tab w:pos="1051" w:val="left" w:leader="none"/>
        </w:tabs>
        <w:spacing w:line="240" w:lineRule="auto" w:before="0" w:after="0"/>
        <w:ind w:left="1050" w:right="0" w:hanging="213"/>
        <w:jc w:val="left"/>
        <w:rPr>
          <w:b/>
          <w:sz w:val="21"/>
        </w:rPr>
      </w:pPr>
      <w:r>
        <w:rPr>
          <w:spacing w:val="-3"/>
          <w:sz w:val="21"/>
        </w:rPr>
        <w:t>火灾现场勘察类装备；</w:t>
      </w:r>
      <w:r>
        <w:rPr>
          <w:b/>
          <w:spacing w:val="-3"/>
          <w:w w:val="99"/>
          <w:sz w:val="21"/>
        </w:rPr>
        <w:t> </w:t>
      </w:r>
    </w:p>
    <w:p>
      <w:pPr>
        <w:pStyle w:val="BodyText"/>
        <w:spacing w:before="12"/>
        <w:rPr>
          <w:b/>
          <w:sz w:val="17"/>
        </w:rPr>
      </w:pPr>
    </w:p>
    <w:p>
      <w:pPr>
        <w:pStyle w:val="ListParagraph"/>
        <w:numPr>
          <w:ilvl w:val="0"/>
          <w:numId w:val="521"/>
        </w:numPr>
        <w:tabs>
          <w:tab w:pos="1051" w:val="left" w:leader="none"/>
        </w:tabs>
        <w:spacing w:line="240" w:lineRule="auto" w:before="0" w:after="0"/>
        <w:ind w:left="1050" w:right="0" w:hanging="213"/>
        <w:jc w:val="left"/>
        <w:rPr>
          <w:b/>
          <w:sz w:val="21"/>
        </w:rPr>
      </w:pPr>
      <w:r>
        <w:rPr>
          <w:spacing w:val="-3"/>
          <w:sz w:val="21"/>
        </w:rPr>
        <w:t>消防宣传教育类装备；</w:t>
      </w:r>
      <w:r>
        <w:rPr>
          <w:b/>
          <w:spacing w:val="-3"/>
          <w:w w:val="99"/>
          <w:sz w:val="21"/>
        </w:rPr>
        <w:t> </w:t>
      </w:r>
    </w:p>
    <w:p>
      <w:pPr>
        <w:pStyle w:val="BodyText"/>
        <w:spacing w:before="2"/>
        <w:rPr>
          <w:b/>
          <w:sz w:val="18"/>
        </w:rPr>
      </w:pPr>
    </w:p>
    <w:p>
      <w:pPr>
        <w:pStyle w:val="ListParagraph"/>
        <w:numPr>
          <w:ilvl w:val="0"/>
          <w:numId w:val="521"/>
        </w:numPr>
        <w:tabs>
          <w:tab w:pos="1051" w:val="left" w:leader="none"/>
        </w:tabs>
        <w:spacing w:line="446" w:lineRule="auto" w:before="0" w:after="0"/>
        <w:ind w:left="840" w:right="7600" w:hanging="3"/>
        <w:jc w:val="left"/>
        <w:rPr>
          <w:sz w:val="21"/>
        </w:rPr>
      </w:pPr>
      <w:r>
        <w:rPr>
          <w:spacing w:val="-3"/>
          <w:sz w:val="21"/>
        </w:rPr>
        <w:t>个人防护类装备。 </w:t>
      </w:r>
      <w:r>
        <w:rPr>
          <w:b/>
          <w:sz w:val="21"/>
        </w:rPr>
        <w:t>4.3</w:t>
      </w:r>
      <w:r>
        <w:rPr>
          <w:b/>
          <w:spacing w:val="2"/>
          <w:sz w:val="21"/>
        </w:rPr>
        <w:t> </w:t>
      </w:r>
      <w:r>
        <w:rPr>
          <w:spacing w:val="-3"/>
          <w:sz w:val="21"/>
        </w:rPr>
        <w:t>配备原则</w:t>
      </w:r>
      <w:r>
        <w:rPr>
          <w:sz w:val="21"/>
        </w:rPr>
        <w:t> </w:t>
      </w:r>
    </w:p>
    <w:p>
      <w:pPr>
        <w:pStyle w:val="ListParagraph"/>
        <w:numPr>
          <w:ilvl w:val="2"/>
          <w:numId w:val="522"/>
        </w:numPr>
        <w:tabs>
          <w:tab w:pos="1370" w:val="left" w:leader="none"/>
        </w:tabs>
        <w:spacing w:line="446" w:lineRule="auto" w:before="0" w:after="0"/>
        <w:ind w:left="418" w:right="1604" w:firstLine="422"/>
        <w:jc w:val="left"/>
        <w:rPr>
          <w:sz w:val="21"/>
        </w:rPr>
      </w:pPr>
      <w:r>
        <w:rPr>
          <w:spacing w:val="-3"/>
          <w:sz w:val="21"/>
        </w:rPr>
        <w:t>直辖市、省会市、副省级市公安机关消防机构的防火监督部门配备级别不应低于一级。</w:t>
      </w:r>
      <w:r>
        <w:rPr>
          <w:sz w:val="21"/>
        </w:rPr>
        <w:t> </w:t>
      </w:r>
    </w:p>
    <w:p>
      <w:pPr>
        <w:pStyle w:val="ListParagraph"/>
        <w:numPr>
          <w:ilvl w:val="2"/>
          <w:numId w:val="522"/>
        </w:numPr>
        <w:tabs>
          <w:tab w:pos="1371" w:val="left" w:leader="none"/>
        </w:tabs>
        <w:spacing w:line="446" w:lineRule="auto" w:before="0" w:after="0"/>
        <w:ind w:left="418" w:right="1604" w:firstLine="422"/>
        <w:jc w:val="left"/>
        <w:rPr>
          <w:sz w:val="21"/>
        </w:rPr>
      </w:pPr>
      <w:r>
        <w:rPr>
          <w:spacing w:val="-5"/>
          <w:sz w:val="21"/>
        </w:rPr>
        <w:t>省、自治区公安机关消防机构的防火监督部门，编制员额 </w:t>
      </w:r>
      <w:r>
        <w:rPr>
          <w:sz w:val="21"/>
        </w:rPr>
        <w:t>400</w:t>
      </w:r>
      <w:r>
        <w:rPr>
          <w:spacing w:val="-8"/>
          <w:sz w:val="21"/>
        </w:rPr>
        <w:t> 人以上的地级市公安</w:t>
      </w:r>
      <w:r>
        <w:rPr>
          <w:spacing w:val="-5"/>
          <w:sz w:val="21"/>
        </w:rPr>
        <w:t>机关消防机构的防火监督部门配备级别不应低于二级。</w:t>
      </w:r>
      <w:r>
        <w:rPr>
          <w:sz w:val="21"/>
        </w:rPr>
        <w:t> </w:t>
      </w:r>
    </w:p>
    <w:p>
      <w:pPr>
        <w:pStyle w:val="ListParagraph"/>
        <w:numPr>
          <w:ilvl w:val="2"/>
          <w:numId w:val="522"/>
        </w:numPr>
        <w:tabs>
          <w:tab w:pos="1371" w:val="left" w:leader="none"/>
        </w:tabs>
        <w:spacing w:line="320" w:lineRule="exact" w:before="0" w:after="0"/>
        <w:ind w:left="1370" w:right="0" w:hanging="531"/>
        <w:jc w:val="left"/>
        <w:rPr>
          <w:sz w:val="21"/>
        </w:rPr>
      </w:pPr>
      <w:r>
        <w:rPr>
          <w:spacing w:val="-6"/>
          <w:sz w:val="21"/>
        </w:rPr>
        <w:t>直辖市所属区、县公安机关消防机构，编制员额 </w:t>
      </w:r>
      <w:r>
        <w:rPr>
          <w:sz w:val="21"/>
        </w:rPr>
        <w:t>200</w:t>
      </w:r>
      <w:r>
        <w:rPr>
          <w:spacing w:val="-28"/>
          <w:sz w:val="21"/>
        </w:rPr>
        <w:t> 人</w:t>
      </w:r>
      <w:r>
        <w:rPr>
          <w:rFonts w:ascii="微软雅黑" w:eastAsia="微软雅黑" w:hint="eastAsia"/>
          <w:sz w:val="21"/>
        </w:rPr>
        <w:t>〜</w:t>
      </w:r>
      <w:r>
        <w:rPr>
          <w:sz w:val="21"/>
        </w:rPr>
        <w:t>400</w:t>
      </w:r>
      <w:r>
        <w:rPr>
          <w:spacing w:val="-8"/>
          <w:sz w:val="21"/>
        </w:rPr>
        <w:t> 人的地级市公安机关消</w:t>
      </w:r>
    </w:p>
    <w:p>
      <w:pPr>
        <w:pStyle w:val="BodyText"/>
        <w:spacing w:line="446" w:lineRule="auto" w:before="178"/>
        <w:ind w:left="418" w:right="1505"/>
      </w:pPr>
      <w:r>
        <w:rPr>
          <w:spacing w:val="-6"/>
        </w:rPr>
        <w:t>防机构防 火监督部门，编制员额 </w:t>
      </w:r>
      <w:r>
        <w:rPr/>
        <w:t>250</w:t>
      </w:r>
      <w:r>
        <w:rPr>
          <w:spacing w:val="-8"/>
        </w:rPr>
        <w:t> 人以上的地、州、盟公安机关消防机构防火监督部门配备</w:t>
      </w:r>
      <w:r>
        <w:rPr>
          <w:spacing w:val="-5"/>
        </w:rPr>
        <w:t>级别不应低于三级。</w:t>
      </w:r>
      <w:r>
        <w:rPr/>
        <w:t> </w:t>
      </w:r>
    </w:p>
    <w:p>
      <w:pPr>
        <w:pStyle w:val="ListParagraph"/>
        <w:numPr>
          <w:ilvl w:val="2"/>
          <w:numId w:val="522"/>
        </w:numPr>
        <w:tabs>
          <w:tab w:pos="1371" w:val="left" w:leader="none"/>
        </w:tabs>
        <w:spacing w:line="446" w:lineRule="auto" w:before="0" w:after="0"/>
        <w:ind w:left="418" w:right="1445" w:firstLine="422"/>
        <w:jc w:val="left"/>
        <w:rPr>
          <w:sz w:val="21"/>
        </w:rPr>
      </w:pPr>
      <w:r>
        <w:rPr>
          <w:spacing w:val="-9"/>
          <w:sz w:val="21"/>
        </w:rPr>
        <w:t>编制员额不足 </w:t>
      </w:r>
      <w:r>
        <w:rPr>
          <w:sz w:val="21"/>
        </w:rPr>
        <w:t>200</w:t>
      </w:r>
      <w:r>
        <w:rPr>
          <w:spacing w:val="-10"/>
          <w:sz w:val="21"/>
        </w:rPr>
        <w:t> 人的地级市公安机关消防机构的防火监督部门，编制员额不足 </w:t>
      </w:r>
      <w:r>
        <w:rPr>
          <w:sz w:val="21"/>
        </w:rPr>
        <w:t>250 </w:t>
      </w:r>
      <w:r>
        <w:rPr>
          <w:spacing w:val="-3"/>
          <w:sz w:val="21"/>
        </w:rPr>
        <w:t>人的地、州、盟公安机关消防机构的防火监督部门，其他区、县、旗公安机关消防机构配备级 别不应低于四级。</w:t>
      </w:r>
      <w:r>
        <w:rPr>
          <w:sz w:val="21"/>
        </w:rPr>
        <w:t> </w:t>
      </w:r>
    </w:p>
    <w:p>
      <w:pPr>
        <w:pStyle w:val="ListParagraph"/>
        <w:numPr>
          <w:ilvl w:val="2"/>
          <w:numId w:val="522"/>
        </w:numPr>
        <w:tabs>
          <w:tab w:pos="1370" w:val="left" w:leader="none"/>
        </w:tabs>
        <w:spacing w:line="268" w:lineRule="exact" w:before="0" w:after="0"/>
        <w:ind w:left="1369" w:right="0" w:hanging="530"/>
        <w:jc w:val="left"/>
        <w:rPr>
          <w:sz w:val="21"/>
        </w:rPr>
      </w:pPr>
      <w:r>
        <w:rPr>
          <w:spacing w:val="-3"/>
          <w:sz w:val="21"/>
        </w:rPr>
        <w:t>公安派出所配备级别不应低于五级，并按照以下分类进行配备：</w:t>
      </w:r>
      <w:r>
        <w:rPr>
          <w:sz w:val="21"/>
        </w:rPr>
        <w:t> </w:t>
      </w:r>
    </w:p>
    <w:p>
      <w:pPr>
        <w:pStyle w:val="BodyText"/>
        <w:rPr>
          <w:sz w:val="18"/>
        </w:rPr>
      </w:pPr>
    </w:p>
    <w:p>
      <w:pPr>
        <w:pStyle w:val="ListParagraph"/>
        <w:numPr>
          <w:ilvl w:val="0"/>
          <w:numId w:val="523"/>
        </w:numPr>
        <w:tabs>
          <w:tab w:pos="1051" w:val="left" w:leader="none"/>
        </w:tabs>
        <w:spacing w:line="240" w:lineRule="auto" w:before="0" w:after="0"/>
        <w:ind w:left="1050" w:right="0" w:hanging="213"/>
        <w:jc w:val="left"/>
        <w:rPr>
          <w:b/>
          <w:sz w:val="21"/>
        </w:rPr>
      </w:pPr>
      <w:r>
        <w:rPr>
          <w:spacing w:val="-3"/>
          <w:sz w:val="21"/>
        </w:rPr>
        <w:t>城市公安派出所，包括直辖市、省会市、副省级市、地级市和县级市的派出所；</w:t>
      </w:r>
      <w:r>
        <w:rPr>
          <w:b/>
          <w:w w:val="99"/>
          <w:sz w:val="21"/>
        </w:rPr>
        <w:t> </w:t>
      </w:r>
    </w:p>
    <w:p>
      <w:pPr>
        <w:pStyle w:val="BodyText"/>
        <w:spacing w:before="12"/>
        <w:rPr>
          <w:b/>
          <w:sz w:val="17"/>
        </w:rPr>
      </w:pPr>
    </w:p>
    <w:p>
      <w:pPr>
        <w:pStyle w:val="ListParagraph"/>
        <w:numPr>
          <w:ilvl w:val="0"/>
          <w:numId w:val="523"/>
        </w:numPr>
        <w:tabs>
          <w:tab w:pos="1051" w:val="left" w:leader="none"/>
        </w:tabs>
        <w:spacing w:line="240" w:lineRule="auto" w:before="0" w:after="0"/>
        <w:ind w:left="1050" w:right="0" w:hanging="213"/>
        <w:jc w:val="left"/>
        <w:rPr>
          <w:b/>
          <w:sz w:val="21"/>
        </w:rPr>
      </w:pPr>
      <w:r>
        <w:rPr>
          <w:spacing w:val="-3"/>
          <w:sz w:val="21"/>
        </w:rPr>
        <w:t>县镇公安派出所；</w:t>
      </w:r>
      <w:r>
        <w:rPr>
          <w:b/>
          <w:w w:val="99"/>
          <w:sz w:val="21"/>
        </w:rPr>
        <w:t> </w:t>
      </w:r>
    </w:p>
    <w:p>
      <w:pPr>
        <w:pStyle w:val="BodyText"/>
        <w:spacing w:before="2"/>
        <w:rPr>
          <w:b/>
          <w:sz w:val="18"/>
        </w:rPr>
      </w:pPr>
    </w:p>
    <w:p>
      <w:pPr>
        <w:pStyle w:val="ListParagraph"/>
        <w:numPr>
          <w:ilvl w:val="0"/>
          <w:numId w:val="523"/>
        </w:numPr>
        <w:tabs>
          <w:tab w:pos="1051" w:val="left" w:leader="none"/>
        </w:tabs>
        <w:spacing w:line="240" w:lineRule="auto" w:before="0" w:after="0"/>
        <w:ind w:left="1050" w:right="0" w:hanging="213"/>
        <w:jc w:val="left"/>
        <w:rPr>
          <w:b/>
          <w:sz w:val="21"/>
        </w:rPr>
      </w:pPr>
      <w:r>
        <w:rPr>
          <w:spacing w:val="-3"/>
          <w:sz w:val="21"/>
        </w:rPr>
        <w:t>农村公安派出所。</w:t>
      </w:r>
      <w:r>
        <w:rPr>
          <w:b/>
          <w:w w:val="99"/>
          <w:sz w:val="21"/>
        </w:rPr>
        <w:t> </w:t>
      </w:r>
    </w:p>
    <w:p>
      <w:pPr>
        <w:pStyle w:val="BodyText"/>
        <w:spacing w:before="12"/>
        <w:rPr>
          <w:b/>
          <w:sz w:val="17"/>
        </w:rPr>
      </w:pPr>
    </w:p>
    <w:p>
      <w:pPr>
        <w:pStyle w:val="ListParagraph"/>
        <w:numPr>
          <w:ilvl w:val="2"/>
          <w:numId w:val="522"/>
        </w:numPr>
        <w:tabs>
          <w:tab w:pos="1371" w:val="left" w:leader="none"/>
        </w:tabs>
        <w:spacing w:line="240" w:lineRule="auto" w:before="0" w:after="0"/>
        <w:ind w:left="1370" w:right="0" w:hanging="531"/>
        <w:jc w:val="left"/>
        <w:rPr>
          <w:sz w:val="21"/>
        </w:rPr>
      </w:pPr>
      <w:r>
        <w:rPr>
          <w:spacing w:val="-3"/>
          <w:sz w:val="21"/>
        </w:rPr>
        <w:t>本标准规定的应配装备是每个配备级别和装备种类的最低配备要求。 </w:t>
      </w:r>
    </w:p>
    <w:p>
      <w:pPr>
        <w:pStyle w:val="BodyText"/>
        <w:rPr>
          <w:sz w:val="18"/>
        </w:rPr>
      </w:pPr>
    </w:p>
    <w:p>
      <w:pPr>
        <w:pStyle w:val="ListParagraph"/>
        <w:numPr>
          <w:ilvl w:val="2"/>
          <w:numId w:val="522"/>
        </w:numPr>
        <w:tabs>
          <w:tab w:pos="1371" w:val="left" w:leader="none"/>
        </w:tabs>
        <w:spacing w:line="240" w:lineRule="auto" w:before="0" w:after="0"/>
        <w:ind w:left="1370" w:right="0" w:hanging="531"/>
        <w:jc w:val="left"/>
        <w:rPr>
          <w:sz w:val="21"/>
        </w:rPr>
      </w:pPr>
      <w:r>
        <w:rPr>
          <w:spacing w:val="-3"/>
          <w:sz w:val="21"/>
        </w:rPr>
        <w:t>本标准规定的可配装备应根据实际情况配备，可配装备数量中包含应配装备。</w:t>
      </w:r>
      <w:r>
        <w:rPr>
          <w:sz w:val="21"/>
        </w:rPr>
        <w:t> </w:t>
      </w:r>
    </w:p>
    <w:p>
      <w:pPr>
        <w:pStyle w:val="BodyText"/>
        <w:spacing w:before="2"/>
        <w:rPr>
          <w:sz w:val="18"/>
        </w:rPr>
      </w:pPr>
    </w:p>
    <w:p>
      <w:pPr>
        <w:pStyle w:val="ListParagraph"/>
        <w:numPr>
          <w:ilvl w:val="2"/>
          <w:numId w:val="522"/>
        </w:numPr>
        <w:tabs>
          <w:tab w:pos="1371" w:val="left" w:leader="none"/>
        </w:tabs>
        <w:spacing w:line="240" w:lineRule="auto" w:before="0" w:after="0"/>
        <w:ind w:left="1370" w:right="0" w:hanging="531"/>
        <w:jc w:val="left"/>
        <w:rPr>
          <w:sz w:val="21"/>
        </w:rPr>
      </w:pPr>
      <w:r>
        <w:rPr>
          <w:spacing w:val="-3"/>
          <w:sz w:val="21"/>
        </w:rPr>
        <w:t>装备的配置应保障公安消防机构的内设职能部门能够独立开展消防监督业务。</w:t>
      </w:r>
      <w:r>
        <w:rPr>
          <w:sz w:val="21"/>
        </w:rPr>
        <w:t> </w:t>
      </w:r>
    </w:p>
    <w:p>
      <w:pPr>
        <w:pStyle w:val="BodyText"/>
        <w:rPr>
          <w:sz w:val="18"/>
        </w:rPr>
      </w:pPr>
    </w:p>
    <w:p>
      <w:pPr>
        <w:pStyle w:val="ListParagraph"/>
        <w:numPr>
          <w:ilvl w:val="2"/>
          <w:numId w:val="522"/>
        </w:numPr>
        <w:tabs>
          <w:tab w:pos="1371" w:val="left" w:leader="none"/>
        </w:tabs>
        <w:spacing w:line="240" w:lineRule="auto" w:before="0" w:after="0"/>
        <w:ind w:left="1370" w:right="0" w:hanging="531"/>
        <w:jc w:val="left"/>
        <w:rPr>
          <w:sz w:val="21"/>
        </w:rPr>
      </w:pPr>
      <w:r>
        <w:rPr>
          <w:spacing w:val="-3"/>
          <w:sz w:val="21"/>
        </w:rPr>
        <w:t>装备购置应遵循相互配套、操作简便、易于携带的原则，宜采用车载型装备。</w:t>
      </w:r>
      <w:r>
        <w:rPr>
          <w:sz w:val="21"/>
        </w:rPr>
        <w:t> </w:t>
      </w:r>
    </w:p>
    <w:p>
      <w:pPr>
        <w:pStyle w:val="BodyText"/>
        <w:spacing w:before="8"/>
        <w:rPr>
          <w:sz w:val="15"/>
        </w:rPr>
      </w:pPr>
    </w:p>
    <w:p>
      <w:pPr>
        <w:pStyle w:val="Heading4"/>
      </w:pPr>
      <w:r>
        <w:rPr/>
        <w:t>5 配备要求</w:t>
      </w:r>
      <w:r>
        <w:rPr>
          <w:w w:val="99"/>
        </w:rPr>
        <w:t> </w:t>
      </w:r>
    </w:p>
    <w:p>
      <w:pPr>
        <w:pStyle w:val="BodyText"/>
        <w:spacing w:before="6"/>
        <w:rPr>
          <w:b/>
          <w:sz w:val="17"/>
        </w:rPr>
      </w:pPr>
    </w:p>
    <w:p>
      <w:pPr>
        <w:pStyle w:val="ListParagraph"/>
        <w:numPr>
          <w:ilvl w:val="1"/>
          <w:numId w:val="524"/>
        </w:numPr>
        <w:tabs>
          <w:tab w:pos="1159" w:val="left" w:leader="none"/>
        </w:tabs>
        <w:spacing w:line="240" w:lineRule="auto" w:before="0" w:after="0"/>
        <w:ind w:left="1158" w:right="0" w:hanging="319"/>
        <w:jc w:val="left"/>
        <w:rPr>
          <w:b/>
          <w:sz w:val="21"/>
        </w:rPr>
      </w:pPr>
      <w:r>
        <w:rPr>
          <w:spacing w:val="-3"/>
          <w:sz w:val="21"/>
        </w:rPr>
        <w:t>办公、通信和信息处理类装备</w:t>
      </w:r>
      <w:r>
        <w:rPr>
          <w:b/>
          <w:w w:val="99"/>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drawing>
          <wp:anchor distT="0" distB="0" distL="0" distR="0" allowOverlap="1" layoutInCell="1" locked="0" behindDoc="1" simplePos="0" relativeHeight="215825408">
            <wp:simplePos x="0" y="0"/>
            <wp:positionH relativeFrom="page">
              <wp:posOffset>1217930</wp:posOffset>
            </wp:positionH>
            <wp:positionV relativeFrom="paragraph">
              <wp:posOffset>600455</wp:posOffset>
            </wp:positionV>
            <wp:extent cx="4923790" cy="6229350"/>
            <wp:effectExtent l="0" t="0" r="0" b="0"/>
            <wp:wrapNone/>
            <wp:docPr id="427" name="image251.jpeg"/>
            <wp:cNvGraphicFramePr>
              <a:graphicFrameLocks noChangeAspect="1"/>
            </wp:cNvGraphicFramePr>
            <a:graphic>
              <a:graphicData uri="http://schemas.openxmlformats.org/drawingml/2006/picture">
                <pic:pic>
                  <pic:nvPicPr>
                    <pic:cNvPr id="428" name="image251.jpeg"/>
                    <pic:cNvPicPr/>
                  </pic:nvPicPr>
                  <pic:blipFill>
                    <a:blip r:embed="rId307" cstate="print"/>
                    <a:stretch>
                      <a:fillRect/>
                    </a:stretch>
                  </pic:blipFill>
                  <pic:spPr>
                    <a:xfrm>
                      <a:off x="0" y="0"/>
                      <a:ext cx="4923790" cy="6229350"/>
                    </a:xfrm>
                    <a:prstGeom prst="rect">
                      <a:avLst/>
                    </a:prstGeom>
                  </pic:spPr>
                </pic:pic>
              </a:graphicData>
            </a:graphic>
          </wp:anchor>
        </w:drawing>
      </w:r>
      <w:r>
        <w:rPr/>
        <w:t>此类装备的配备应适应消防行政审批信息公开、电子政务和消防监督规范化的要求。装备配备的种类和数量应满足表 1 的要求。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7"/>
        </w:rPr>
      </w:pPr>
    </w:p>
    <w:p>
      <w:pPr>
        <w:pStyle w:val="BodyText"/>
        <w:ind w:left="838"/>
      </w:pPr>
      <w:r>
        <w:rPr>
          <w:w w:val="100"/>
        </w:rPr>
        <w:t> </w:t>
      </w:r>
    </w:p>
    <w:p>
      <w:pPr>
        <w:spacing w:after="0"/>
        <w:sectPr>
          <w:pgSz w:w="11910" w:h="16850"/>
          <w:pgMar w:header="0" w:footer="1239" w:top="1220" w:bottom="1420" w:left="1260" w:right="0"/>
        </w:sectPr>
      </w:pPr>
    </w:p>
    <w:p>
      <w:pPr>
        <w:pStyle w:val="BodyText"/>
        <w:ind w:left="807"/>
        <w:rPr>
          <w:sz w:val="20"/>
        </w:rPr>
      </w:pPr>
      <w:r>
        <w:rPr/>
        <w:drawing>
          <wp:anchor distT="0" distB="0" distL="0" distR="0" allowOverlap="1" layoutInCell="1" locked="0" behindDoc="0" simplePos="0" relativeHeight="188">
            <wp:simplePos x="0" y="0"/>
            <wp:positionH relativeFrom="page">
              <wp:posOffset>1312544</wp:posOffset>
            </wp:positionH>
            <wp:positionV relativeFrom="paragraph">
              <wp:posOffset>4724400</wp:posOffset>
            </wp:positionV>
            <wp:extent cx="4710092" cy="1719738"/>
            <wp:effectExtent l="0" t="0" r="0" b="0"/>
            <wp:wrapTopAndBottom/>
            <wp:docPr id="429" name="image252.jpeg"/>
            <wp:cNvGraphicFramePr>
              <a:graphicFrameLocks noChangeAspect="1"/>
            </wp:cNvGraphicFramePr>
            <a:graphic>
              <a:graphicData uri="http://schemas.openxmlformats.org/drawingml/2006/picture">
                <pic:pic>
                  <pic:nvPicPr>
                    <pic:cNvPr id="430" name="image252.jpeg"/>
                    <pic:cNvPicPr/>
                  </pic:nvPicPr>
                  <pic:blipFill>
                    <a:blip r:embed="rId308" cstate="print"/>
                    <a:stretch>
                      <a:fillRect/>
                    </a:stretch>
                  </pic:blipFill>
                  <pic:spPr>
                    <a:xfrm>
                      <a:off x="0" y="0"/>
                      <a:ext cx="4710092" cy="1719738"/>
                    </a:xfrm>
                    <a:prstGeom prst="rect">
                      <a:avLst/>
                    </a:prstGeom>
                  </pic:spPr>
                </pic:pic>
              </a:graphicData>
            </a:graphic>
          </wp:anchor>
        </w:drawing>
      </w:r>
      <w:r>
        <w:rPr>
          <w:sz w:val="20"/>
        </w:rPr>
        <w:drawing>
          <wp:inline distT="0" distB="0" distL="0" distR="0">
            <wp:extent cx="4714875" cy="4676775"/>
            <wp:effectExtent l="0" t="0" r="0" b="0"/>
            <wp:docPr id="431" name="image253.jpeg"/>
            <wp:cNvGraphicFramePr>
              <a:graphicFrameLocks noChangeAspect="1"/>
            </wp:cNvGraphicFramePr>
            <a:graphic>
              <a:graphicData uri="http://schemas.openxmlformats.org/drawingml/2006/picture">
                <pic:pic>
                  <pic:nvPicPr>
                    <pic:cNvPr id="432" name="image253.jpeg"/>
                    <pic:cNvPicPr/>
                  </pic:nvPicPr>
                  <pic:blipFill>
                    <a:blip r:embed="rId309" cstate="print"/>
                    <a:stretch>
                      <a:fillRect/>
                    </a:stretch>
                  </pic:blipFill>
                  <pic:spPr>
                    <a:xfrm>
                      <a:off x="0" y="0"/>
                      <a:ext cx="4714875" cy="4676775"/>
                    </a:xfrm>
                    <a:prstGeom prst="rect">
                      <a:avLst/>
                    </a:prstGeom>
                  </pic:spPr>
                </pic:pic>
              </a:graphicData>
            </a:graphic>
          </wp:inline>
        </w:drawing>
      </w:r>
      <w:r>
        <w:rPr>
          <w:sz w:val="20"/>
        </w:rPr>
      </w:r>
    </w:p>
    <w:p>
      <w:pPr>
        <w:pStyle w:val="BodyText"/>
        <w:rPr>
          <w:sz w:val="20"/>
        </w:rPr>
      </w:pPr>
    </w:p>
    <w:p>
      <w:pPr>
        <w:pStyle w:val="BodyText"/>
        <w:spacing w:before="6"/>
        <w:rPr>
          <w:sz w:val="26"/>
        </w:rPr>
      </w:pPr>
    </w:p>
    <w:p>
      <w:pPr>
        <w:pStyle w:val="ListParagraph"/>
        <w:numPr>
          <w:ilvl w:val="1"/>
          <w:numId w:val="524"/>
        </w:numPr>
        <w:tabs>
          <w:tab w:pos="1159" w:val="left" w:leader="none"/>
        </w:tabs>
        <w:spacing w:line="240" w:lineRule="auto" w:before="72" w:after="0"/>
        <w:ind w:left="1158" w:right="0" w:hanging="319"/>
        <w:jc w:val="left"/>
        <w:rPr>
          <w:sz w:val="21"/>
        </w:rPr>
      </w:pPr>
      <w:r>
        <w:rPr>
          <w:spacing w:val="-3"/>
          <w:sz w:val="21"/>
        </w:rPr>
        <w:t>消防监督专用设备</w:t>
      </w:r>
      <w:r>
        <w:rPr>
          <w:sz w:val="21"/>
        </w:rPr>
        <w:t> </w:t>
      </w:r>
    </w:p>
    <w:p>
      <w:pPr>
        <w:pStyle w:val="BodyText"/>
        <w:spacing w:before="12"/>
        <w:rPr>
          <w:sz w:val="17"/>
        </w:rPr>
      </w:pPr>
    </w:p>
    <w:p>
      <w:pPr>
        <w:pStyle w:val="ListParagraph"/>
        <w:numPr>
          <w:ilvl w:val="2"/>
          <w:numId w:val="524"/>
        </w:numPr>
        <w:tabs>
          <w:tab w:pos="1370" w:val="left" w:leader="none"/>
        </w:tabs>
        <w:spacing w:line="240" w:lineRule="auto" w:before="0" w:after="0"/>
        <w:ind w:left="1369" w:right="0" w:hanging="530"/>
        <w:jc w:val="left"/>
        <w:rPr>
          <w:b/>
          <w:sz w:val="21"/>
        </w:rPr>
      </w:pPr>
      <w:r>
        <w:rPr>
          <w:spacing w:val="-3"/>
          <w:sz w:val="21"/>
        </w:rPr>
        <w:t>—、二、三级配备要求</w:t>
      </w:r>
      <w:r>
        <w:rPr>
          <w:b/>
          <w:w w:val="99"/>
          <w:sz w:val="21"/>
        </w:rPr>
        <w:t> </w:t>
      </w:r>
    </w:p>
    <w:p>
      <w:pPr>
        <w:pStyle w:val="BodyText"/>
        <w:spacing w:before="12"/>
        <w:rPr>
          <w:b/>
          <w:sz w:val="17"/>
        </w:rPr>
      </w:pPr>
    </w:p>
    <w:p>
      <w:pPr>
        <w:pStyle w:val="ListParagraph"/>
        <w:numPr>
          <w:ilvl w:val="3"/>
          <w:numId w:val="524"/>
        </w:numPr>
        <w:tabs>
          <w:tab w:pos="1583" w:val="left" w:leader="none"/>
        </w:tabs>
        <w:spacing w:line="240" w:lineRule="auto" w:before="0" w:after="0"/>
        <w:ind w:left="1582" w:right="0" w:hanging="743"/>
        <w:jc w:val="left"/>
        <w:rPr>
          <w:sz w:val="21"/>
        </w:rPr>
      </w:pPr>
      <w:r>
        <w:rPr>
          <w:spacing w:val="-3"/>
          <w:sz w:val="21"/>
        </w:rPr>
        <w:t>建筑消防设施检测装备</w:t>
      </w:r>
      <w:r>
        <w:rPr>
          <w:sz w:val="21"/>
        </w:rPr>
        <w:t> </w:t>
      </w:r>
    </w:p>
    <w:p>
      <w:pPr>
        <w:pStyle w:val="BodyText"/>
        <w:spacing w:before="2"/>
        <w:rPr>
          <w:sz w:val="18"/>
        </w:rPr>
      </w:pPr>
    </w:p>
    <w:p>
      <w:pPr>
        <w:pStyle w:val="BodyText"/>
        <w:spacing w:line="446" w:lineRule="auto"/>
        <w:ind w:left="418" w:right="1609" w:firstLine="419"/>
      </w:pPr>
      <w:r>
        <w:rPr/>
        <w:t>此类装备用于建设工程消防验收、竣工验收检查和消防监督检查业务。装备配备的种类和数量应满足表 2 的要求。 </w:t>
      </w:r>
    </w:p>
    <w:p>
      <w:pPr>
        <w:spacing w:after="0" w:line="446" w:lineRule="auto"/>
        <w:sectPr>
          <w:pgSz w:w="11910" w:h="16850"/>
          <w:pgMar w:header="0" w:footer="1239" w:top="1380" w:bottom="1420" w:left="1260" w:right="0"/>
        </w:sectPr>
      </w:pPr>
    </w:p>
    <w:p>
      <w:pPr>
        <w:pStyle w:val="BodyText"/>
        <w:ind w:left="792"/>
        <w:rPr>
          <w:sz w:val="20"/>
        </w:rPr>
      </w:pPr>
      <w:r>
        <w:rPr>
          <w:sz w:val="20"/>
        </w:rPr>
        <w:drawing>
          <wp:inline distT="0" distB="0" distL="0" distR="0">
            <wp:extent cx="4924425" cy="5248275"/>
            <wp:effectExtent l="0" t="0" r="0" b="0"/>
            <wp:docPr id="433" name="image254.jpeg"/>
            <wp:cNvGraphicFramePr>
              <a:graphicFrameLocks noChangeAspect="1"/>
            </wp:cNvGraphicFramePr>
            <a:graphic>
              <a:graphicData uri="http://schemas.openxmlformats.org/drawingml/2006/picture">
                <pic:pic>
                  <pic:nvPicPr>
                    <pic:cNvPr id="434" name="image254.jpeg"/>
                    <pic:cNvPicPr/>
                  </pic:nvPicPr>
                  <pic:blipFill>
                    <a:blip r:embed="rId310" cstate="print"/>
                    <a:stretch>
                      <a:fillRect/>
                    </a:stretch>
                  </pic:blipFill>
                  <pic:spPr>
                    <a:xfrm>
                      <a:off x="0" y="0"/>
                      <a:ext cx="4924425" cy="5248275"/>
                    </a:xfrm>
                    <a:prstGeom prst="rect">
                      <a:avLst/>
                    </a:prstGeom>
                  </pic:spPr>
                </pic:pic>
              </a:graphicData>
            </a:graphic>
          </wp:inline>
        </w:drawing>
      </w:r>
      <w:r>
        <w:rPr>
          <w:sz w:val="20"/>
        </w:rPr>
      </w:r>
    </w:p>
    <w:p>
      <w:pPr>
        <w:pStyle w:val="BodyText"/>
        <w:rPr>
          <w:sz w:val="11"/>
        </w:rPr>
      </w:pPr>
      <w:r>
        <w:rPr/>
        <w:drawing>
          <wp:anchor distT="0" distB="0" distL="0" distR="0" allowOverlap="1" layoutInCell="1" locked="0" behindDoc="0" simplePos="0" relativeHeight="189">
            <wp:simplePos x="0" y="0"/>
            <wp:positionH relativeFrom="page">
              <wp:posOffset>1294130</wp:posOffset>
            </wp:positionH>
            <wp:positionV relativeFrom="paragraph">
              <wp:posOffset>114300</wp:posOffset>
            </wp:positionV>
            <wp:extent cx="4943053" cy="1896427"/>
            <wp:effectExtent l="0" t="0" r="0" b="0"/>
            <wp:wrapTopAndBottom/>
            <wp:docPr id="435" name="image255.jpeg"/>
            <wp:cNvGraphicFramePr>
              <a:graphicFrameLocks noChangeAspect="1"/>
            </wp:cNvGraphicFramePr>
            <a:graphic>
              <a:graphicData uri="http://schemas.openxmlformats.org/drawingml/2006/picture">
                <pic:pic>
                  <pic:nvPicPr>
                    <pic:cNvPr id="436" name="image255.jpeg"/>
                    <pic:cNvPicPr/>
                  </pic:nvPicPr>
                  <pic:blipFill>
                    <a:blip r:embed="rId311" cstate="print"/>
                    <a:stretch>
                      <a:fillRect/>
                    </a:stretch>
                  </pic:blipFill>
                  <pic:spPr>
                    <a:xfrm>
                      <a:off x="0" y="0"/>
                      <a:ext cx="4943053" cy="1896427"/>
                    </a:xfrm>
                    <a:prstGeom prst="rect">
                      <a:avLst/>
                    </a:prstGeom>
                  </pic:spPr>
                </pic:pic>
              </a:graphicData>
            </a:graphic>
          </wp:anchor>
        </w:drawing>
      </w:r>
    </w:p>
    <w:p>
      <w:pPr>
        <w:pStyle w:val="BodyText"/>
        <w:spacing w:before="9"/>
        <w:rPr>
          <w:sz w:val="6"/>
        </w:rPr>
      </w:pPr>
    </w:p>
    <w:p>
      <w:pPr>
        <w:pStyle w:val="BodyText"/>
        <w:spacing w:before="71"/>
        <w:ind w:left="838"/>
      </w:pPr>
      <w:r>
        <w:rPr>
          <w:w w:val="100"/>
        </w:rPr>
        <w:t> </w:t>
      </w:r>
    </w:p>
    <w:p>
      <w:pPr>
        <w:spacing w:after="0"/>
        <w:sectPr>
          <w:pgSz w:w="11910" w:h="16850"/>
          <w:pgMar w:header="0" w:footer="1239" w:top="1180" w:bottom="1420" w:left="1260" w:right="0"/>
        </w:sectPr>
      </w:pPr>
    </w:p>
    <w:p>
      <w:pPr>
        <w:pStyle w:val="BodyText"/>
        <w:ind w:left="672"/>
        <w:rPr>
          <w:sz w:val="20"/>
        </w:rPr>
      </w:pPr>
      <w:r>
        <w:rPr>
          <w:sz w:val="20"/>
        </w:rPr>
        <w:drawing>
          <wp:inline distT="0" distB="0" distL="0" distR="0">
            <wp:extent cx="5095875" cy="1676400"/>
            <wp:effectExtent l="0" t="0" r="0" b="0"/>
            <wp:docPr id="437" name="image256.jpeg"/>
            <wp:cNvGraphicFramePr>
              <a:graphicFrameLocks noChangeAspect="1"/>
            </wp:cNvGraphicFramePr>
            <a:graphic>
              <a:graphicData uri="http://schemas.openxmlformats.org/drawingml/2006/picture">
                <pic:pic>
                  <pic:nvPicPr>
                    <pic:cNvPr id="438" name="image256.jpeg"/>
                    <pic:cNvPicPr/>
                  </pic:nvPicPr>
                  <pic:blipFill>
                    <a:blip r:embed="rId312" cstate="print"/>
                    <a:stretch>
                      <a:fillRect/>
                    </a:stretch>
                  </pic:blipFill>
                  <pic:spPr>
                    <a:xfrm>
                      <a:off x="0" y="0"/>
                      <a:ext cx="5095875" cy="1676400"/>
                    </a:xfrm>
                    <a:prstGeom prst="rect">
                      <a:avLst/>
                    </a:prstGeom>
                  </pic:spPr>
                </pic:pic>
              </a:graphicData>
            </a:graphic>
          </wp:inline>
        </w:drawing>
      </w:r>
      <w:r>
        <w:rPr>
          <w:sz w:val="20"/>
        </w:rPr>
      </w:r>
    </w:p>
    <w:p>
      <w:pPr>
        <w:pStyle w:val="BodyText"/>
        <w:rPr>
          <w:sz w:val="20"/>
        </w:rPr>
      </w:pPr>
    </w:p>
    <w:p>
      <w:pPr>
        <w:pStyle w:val="BodyText"/>
        <w:spacing w:before="12"/>
        <w:rPr>
          <w:sz w:val="28"/>
        </w:rPr>
      </w:pPr>
    </w:p>
    <w:p>
      <w:pPr>
        <w:pStyle w:val="ListParagraph"/>
        <w:numPr>
          <w:ilvl w:val="3"/>
          <w:numId w:val="524"/>
        </w:numPr>
        <w:tabs>
          <w:tab w:pos="1583" w:val="left" w:leader="none"/>
        </w:tabs>
        <w:spacing w:line="240" w:lineRule="auto" w:before="72" w:after="0"/>
        <w:ind w:left="1582" w:right="0" w:hanging="743"/>
        <w:jc w:val="left"/>
        <w:rPr>
          <w:sz w:val="21"/>
        </w:rPr>
      </w:pPr>
      <w:r>
        <w:rPr>
          <w:spacing w:val="-3"/>
          <w:sz w:val="21"/>
        </w:rPr>
        <w:t>大型群众性活动消防安全检查装备</w:t>
      </w:r>
      <w:r>
        <w:rPr>
          <w:sz w:val="21"/>
        </w:rPr>
        <w:t> </w:t>
      </w:r>
    </w:p>
    <w:p>
      <w:pPr>
        <w:pStyle w:val="BodyText"/>
        <w:spacing w:before="12"/>
        <w:rPr>
          <w:sz w:val="17"/>
        </w:rPr>
      </w:pPr>
    </w:p>
    <w:p>
      <w:pPr>
        <w:pStyle w:val="BodyText"/>
        <w:spacing w:line="446" w:lineRule="auto"/>
        <w:ind w:left="418" w:right="1611" w:firstLine="419"/>
      </w:pPr>
      <w:r>
        <w:rPr/>
        <w:drawing>
          <wp:anchor distT="0" distB="0" distL="0" distR="0" allowOverlap="1" layoutInCell="1" locked="0" behindDoc="1" simplePos="0" relativeHeight="215829504">
            <wp:simplePos x="0" y="0"/>
            <wp:positionH relativeFrom="page">
              <wp:posOffset>1417319</wp:posOffset>
            </wp:positionH>
            <wp:positionV relativeFrom="paragraph">
              <wp:posOffset>516255</wp:posOffset>
            </wp:positionV>
            <wp:extent cx="4905375" cy="2571750"/>
            <wp:effectExtent l="0" t="0" r="0" b="0"/>
            <wp:wrapNone/>
            <wp:docPr id="439" name="image257.jpeg"/>
            <wp:cNvGraphicFramePr>
              <a:graphicFrameLocks noChangeAspect="1"/>
            </wp:cNvGraphicFramePr>
            <a:graphic>
              <a:graphicData uri="http://schemas.openxmlformats.org/drawingml/2006/picture">
                <pic:pic>
                  <pic:nvPicPr>
                    <pic:cNvPr id="440" name="image257.jpeg"/>
                    <pic:cNvPicPr/>
                  </pic:nvPicPr>
                  <pic:blipFill>
                    <a:blip r:embed="rId313" cstate="print"/>
                    <a:stretch>
                      <a:fillRect/>
                    </a:stretch>
                  </pic:blipFill>
                  <pic:spPr>
                    <a:xfrm>
                      <a:off x="0" y="0"/>
                      <a:ext cx="4905375" cy="2571750"/>
                    </a:xfrm>
                    <a:prstGeom prst="rect">
                      <a:avLst/>
                    </a:prstGeom>
                  </pic:spPr>
                </pic:pic>
              </a:graphicData>
            </a:graphic>
          </wp:anchor>
        </w:drawing>
      </w:r>
      <w:r>
        <w:rPr>
          <w:spacing w:val="-4"/>
        </w:rPr>
        <w:t>此类装备用于大型群众性活动消防安全检查业务。装备配备的种类和数量应满足表 </w:t>
      </w:r>
      <w:r>
        <w:rPr/>
        <w:t>3</w:t>
      </w:r>
      <w:r>
        <w:rPr>
          <w:spacing w:val="-14"/>
        </w:rPr>
        <w:t> 的要</w:t>
      </w:r>
      <w:r>
        <w:rPr>
          <w:spacing w:val="-2"/>
        </w:rPr>
        <w:t>求。</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5"/>
        </w:rPr>
      </w:pPr>
    </w:p>
    <w:p>
      <w:pPr>
        <w:pStyle w:val="ListParagraph"/>
        <w:numPr>
          <w:ilvl w:val="3"/>
          <w:numId w:val="524"/>
        </w:numPr>
        <w:tabs>
          <w:tab w:pos="1583" w:val="left" w:leader="none"/>
        </w:tabs>
        <w:spacing w:line="240" w:lineRule="auto" w:before="0" w:after="0"/>
        <w:ind w:left="1582" w:right="0" w:hanging="743"/>
        <w:jc w:val="left"/>
        <w:rPr>
          <w:sz w:val="21"/>
        </w:rPr>
      </w:pPr>
      <w:r>
        <w:rPr>
          <w:spacing w:val="-3"/>
          <w:sz w:val="21"/>
        </w:rPr>
        <w:t>消防产品现场检测类装备</w:t>
      </w:r>
      <w:r>
        <w:rPr>
          <w:sz w:val="21"/>
        </w:rPr>
        <w:t> </w:t>
      </w:r>
    </w:p>
    <w:p>
      <w:pPr>
        <w:pStyle w:val="BodyText"/>
        <w:rPr>
          <w:sz w:val="18"/>
        </w:rPr>
      </w:pPr>
    </w:p>
    <w:p>
      <w:pPr>
        <w:pStyle w:val="BodyText"/>
        <w:ind w:left="838"/>
      </w:pPr>
      <w:r>
        <w:rPr/>
        <w:t>此类装备用于消防产品现场检测业务。装备配备的种类和数量应满足表 4 的要求。 </w:t>
      </w:r>
    </w:p>
    <w:p>
      <w:pPr>
        <w:pStyle w:val="BodyText"/>
        <w:spacing w:before="6"/>
        <w:rPr>
          <w:sz w:val="24"/>
        </w:rPr>
      </w:pPr>
      <w:r>
        <w:rPr/>
        <w:drawing>
          <wp:anchor distT="0" distB="0" distL="0" distR="0" allowOverlap="1" layoutInCell="1" locked="0" behindDoc="0" simplePos="0" relativeHeight="190">
            <wp:simplePos x="0" y="0"/>
            <wp:positionH relativeFrom="page">
              <wp:posOffset>1227455</wp:posOffset>
            </wp:positionH>
            <wp:positionV relativeFrom="paragraph">
              <wp:posOffset>224297</wp:posOffset>
            </wp:positionV>
            <wp:extent cx="5029200" cy="2057400"/>
            <wp:effectExtent l="0" t="0" r="0" b="0"/>
            <wp:wrapTopAndBottom/>
            <wp:docPr id="441" name="image258.jpeg"/>
            <wp:cNvGraphicFramePr>
              <a:graphicFrameLocks noChangeAspect="1"/>
            </wp:cNvGraphicFramePr>
            <a:graphic>
              <a:graphicData uri="http://schemas.openxmlformats.org/drawingml/2006/picture">
                <pic:pic>
                  <pic:nvPicPr>
                    <pic:cNvPr id="442" name="image258.jpeg"/>
                    <pic:cNvPicPr/>
                  </pic:nvPicPr>
                  <pic:blipFill>
                    <a:blip r:embed="rId314" cstate="print"/>
                    <a:stretch>
                      <a:fillRect/>
                    </a:stretch>
                  </pic:blipFill>
                  <pic:spPr>
                    <a:xfrm>
                      <a:off x="0" y="0"/>
                      <a:ext cx="5029200" cy="2057400"/>
                    </a:xfrm>
                    <a:prstGeom prst="rect">
                      <a:avLst/>
                    </a:prstGeom>
                  </pic:spPr>
                </pic:pic>
              </a:graphicData>
            </a:graphic>
          </wp:anchor>
        </w:drawing>
      </w:r>
    </w:p>
    <w:p>
      <w:pPr>
        <w:spacing w:after="0"/>
        <w:rPr>
          <w:sz w:val="24"/>
        </w:rPr>
        <w:sectPr>
          <w:pgSz w:w="11910" w:h="16850"/>
          <w:pgMar w:header="0" w:footer="1239" w:top="1160" w:bottom="1420" w:left="1260" w:right="0"/>
        </w:sectPr>
      </w:pPr>
    </w:p>
    <w:p>
      <w:pPr>
        <w:pStyle w:val="BodyText"/>
        <w:ind w:left="613"/>
        <w:rPr>
          <w:sz w:val="20"/>
        </w:rPr>
      </w:pPr>
      <w:r>
        <w:rPr>
          <w:sz w:val="20"/>
        </w:rPr>
        <w:drawing>
          <wp:inline distT="0" distB="0" distL="0" distR="0">
            <wp:extent cx="5064925" cy="4784598"/>
            <wp:effectExtent l="0" t="0" r="0" b="0"/>
            <wp:docPr id="443" name="image259.jpeg"/>
            <wp:cNvGraphicFramePr>
              <a:graphicFrameLocks noChangeAspect="1"/>
            </wp:cNvGraphicFramePr>
            <a:graphic>
              <a:graphicData uri="http://schemas.openxmlformats.org/drawingml/2006/picture">
                <pic:pic>
                  <pic:nvPicPr>
                    <pic:cNvPr id="444" name="image259.jpeg"/>
                    <pic:cNvPicPr/>
                  </pic:nvPicPr>
                  <pic:blipFill>
                    <a:blip r:embed="rId315" cstate="print"/>
                    <a:stretch>
                      <a:fillRect/>
                    </a:stretch>
                  </pic:blipFill>
                  <pic:spPr>
                    <a:xfrm>
                      <a:off x="0" y="0"/>
                      <a:ext cx="5064925" cy="4784598"/>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6"/>
        <w:rPr>
          <w:sz w:val="16"/>
        </w:rPr>
      </w:pPr>
    </w:p>
    <w:p>
      <w:pPr>
        <w:pStyle w:val="ListParagraph"/>
        <w:numPr>
          <w:ilvl w:val="3"/>
          <w:numId w:val="524"/>
        </w:numPr>
        <w:tabs>
          <w:tab w:pos="1583" w:val="left" w:leader="none"/>
        </w:tabs>
        <w:spacing w:line="240" w:lineRule="auto" w:before="0" w:after="0"/>
        <w:ind w:left="1582" w:right="0" w:hanging="743"/>
        <w:jc w:val="left"/>
        <w:rPr>
          <w:sz w:val="21"/>
        </w:rPr>
      </w:pPr>
      <w:r>
        <w:rPr>
          <w:spacing w:val="-3"/>
          <w:sz w:val="21"/>
        </w:rPr>
        <w:t>火灾现场勘查类装备</w:t>
      </w:r>
      <w:r>
        <w:rPr>
          <w:sz w:val="21"/>
        </w:rPr>
        <w:t> </w:t>
      </w:r>
    </w:p>
    <w:p>
      <w:pPr>
        <w:pStyle w:val="BodyText"/>
        <w:spacing w:before="12"/>
        <w:rPr>
          <w:sz w:val="17"/>
        </w:rPr>
      </w:pPr>
    </w:p>
    <w:p>
      <w:pPr>
        <w:pStyle w:val="BodyText"/>
        <w:spacing w:line="448" w:lineRule="auto"/>
        <w:ind w:left="418" w:right="1609" w:firstLine="419"/>
      </w:pPr>
      <w:r>
        <w:rPr/>
        <w:drawing>
          <wp:anchor distT="0" distB="0" distL="0" distR="0" allowOverlap="1" layoutInCell="1" locked="0" behindDoc="1" simplePos="0" relativeHeight="215830528">
            <wp:simplePos x="0" y="0"/>
            <wp:positionH relativeFrom="page">
              <wp:posOffset>1322069</wp:posOffset>
            </wp:positionH>
            <wp:positionV relativeFrom="paragraph">
              <wp:posOffset>531368</wp:posOffset>
            </wp:positionV>
            <wp:extent cx="4886325" cy="2086610"/>
            <wp:effectExtent l="0" t="0" r="0" b="0"/>
            <wp:wrapNone/>
            <wp:docPr id="445" name="image260.jpeg"/>
            <wp:cNvGraphicFramePr>
              <a:graphicFrameLocks noChangeAspect="1"/>
            </wp:cNvGraphicFramePr>
            <a:graphic>
              <a:graphicData uri="http://schemas.openxmlformats.org/drawingml/2006/picture">
                <pic:pic>
                  <pic:nvPicPr>
                    <pic:cNvPr id="446" name="image260.jpeg"/>
                    <pic:cNvPicPr/>
                  </pic:nvPicPr>
                  <pic:blipFill>
                    <a:blip r:embed="rId316" cstate="print"/>
                    <a:stretch>
                      <a:fillRect/>
                    </a:stretch>
                  </pic:blipFill>
                  <pic:spPr>
                    <a:xfrm>
                      <a:off x="0" y="0"/>
                      <a:ext cx="4886325" cy="2086610"/>
                    </a:xfrm>
                    <a:prstGeom prst="rect">
                      <a:avLst/>
                    </a:prstGeom>
                  </pic:spPr>
                </pic:pic>
              </a:graphicData>
            </a:graphic>
          </wp:anchor>
        </w:drawing>
      </w:r>
      <w:r>
        <w:rPr/>
        <w:t>此类装备用于火灾事故现场清理、提取物证和现场分析鉴定等工作。装备配备的种类和数量应满足表 5 的要求。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pStyle w:val="BodyText"/>
        <w:ind w:left="838"/>
      </w:pPr>
      <w:r>
        <w:rPr>
          <w:w w:val="100"/>
        </w:rPr>
        <w:t> </w:t>
      </w:r>
    </w:p>
    <w:p>
      <w:pPr>
        <w:spacing w:after="0"/>
        <w:sectPr>
          <w:pgSz w:w="11910" w:h="16850"/>
          <w:pgMar w:header="0" w:footer="1239" w:top="1440" w:bottom="1420" w:left="1260" w:right="0"/>
        </w:sectPr>
      </w:pPr>
    </w:p>
    <w:p>
      <w:pPr>
        <w:pStyle w:val="BodyText"/>
        <w:rPr>
          <w:sz w:val="20"/>
        </w:rPr>
      </w:pPr>
    </w:p>
    <w:p>
      <w:pPr>
        <w:pStyle w:val="BodyText"/>
        <w:spacing w:before="11"/>
        <w:rPr>
          <w:sz w:val="19"/>
        </w:rPr>
      </w:pPr>
    </w:p>
    <w:p>
      <w:pPr>
        <w:pStyle w:val="BodyText"/>
        <w:ind w:left="748"/>
        <w:rPr>
          <w:sz w:val="20"/>
        </w:rPr>
      </w:pPr>
      <w:r>
        <w:rPr>
          <w:sz w:val="20"/>
        </w:rPr>
        <w:drawing>
          <wp:inline distT="0" distB="0" distL="0" distR="0">
            <wp:extent cx="4876799" cy="4972050"/>
            <wp:effectExtent l="0" t="0" r="0" b="0"/>
            <wp:docPr id="447" name="image261.jpeg"/>
            <wp:cNvGraphicFramePr>
              <a:graphicFrameLocks noChangeAspect="1"/>
            </wp:cNvGraphicFramePr>
            <a:graphic>
              <a:graphicData uri="http://schemas.openxmlformats.org/drawingml/2006/picture">
                <pic:pic>
                  <pic:nvPicPr>
                    <pic:cNvPr id="448" name="image261.jpeg"/>
                    <pic:cNvPicPr/>
                  </pic:nvPicPr>
                  <pic:blipFill>
                    <a:blip r:embed="rId317" cstate="print"/>
                    <a:stretch>
                      <a:fillRect/>
                    </a:stretch>
                  </pic:blipFill>
                  <pic:spPr>
                    <a:xfrm>
                      <a:off x="0" y="0"/>
                      <a:ext cx="4876799" cy="4972050"/>
                    </a:xfrm>
                    <a:prstGeom prst="rect">
                      <a:avLst/>
                    </a:prstGeom>
                  </pic:spPr>
                </pic:pic>
              </a:graphicData>
            </a:graphic>
          </wp:inline>
        </w:drawing>
      </w:r>
      <w:r>
        <w:rPr>
          <w:sz w:val="20"/>
        </w:rPr>
      </w:r>
    </w:p>
    <w:p>
      <w:pPr>
        <w:pStyle w:val="BodyText"/>
        <w:spacing w:before="8"/>
        <w:rPr>
          <w:sz w:val="8"/>
        </w:rPr>
      </w:pPr>
      <w:r>
        <w:rPr/>
        <w:drawing>
          <wp:anchor distT="0" distB="0" distL="0" distR="0" allowOverlap="1" layoutInCell="1" locked="0" behindDoc="0" simplePos="0" relativeHeight="193">
            <wp:simplePos x="0" y="0"/>
            <wp:positionH relativeFrom="page">
              <wp:posOffset>1275080</wp:posOffset>
            </wp:positionH>
            <wp:positionV relativeFrom="paragraph">
              <wp:posOffset>95250</wp:posOffset>
            </wp:positionV>
            <wp:extent cx="4876800" cy="2009775"/>
            <wp:effectExtent l="0" t="0" r="0" b="0"/>
            <wp:wrapTopAndBottom/>
            <wp:docPr id="449" name="image262.jpeg"/>
            <wp:cNvGraphicFramePr>
              <a:graphicFrameLocks noChangeAspect="1"/>
            </wp:cNvGraphicFramePr>
            <a:graphic>
              <a:graphicData uri="http://schemas.openxmlformats.org/drawingml/2006/picture">
                <pic:pic>
                  <pic:nvPicPr>
                    <pic:cNvPr id="450" name="image262.jpeg"/>
                    <pic:cNvPicPr/>
                  </pic:nvPicPr>
                  <pic:blipFill>
                    <a:blip r:embed="rId318" cstate="print"/>
                    <a:stretch>
                      <a:fillRect/>
                    </a:stretch>
                  </pic:blipFill>
                  <pic:spPr>
                    <a:xfrm>
                      <a:off x="0" y="0"/>
                      <a:ext cx="4876800" cy="2009775"/>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spacing w:before="2"/>
        <w:rPr>
          <w:sz w:val="25"/>
        </w:rPr>
      </w:pPr>
    </w:p>
    <w:p>
      <w:pPr>
        <w:pStyle w:val="BodyText"/>
        <w:spacing w:before="72"/>
        <w:ind w:left="838"/>
      </w:pPr>
      <w:r>
        <w:rPr>
          <w:w w:val="100"/>
        </w:rPr>
        <w:t> </w:t>
      </w:r>
    </w:p>
    <w:p>
      <w:pPr>
        <w:spacing w:after="0"/>
        <w:sectPr>
          <w:pgSz w:w="11910" w:h="16850"/>
          <w:pgMar w:header="0" w:footer="1239" w:top="1600" w:bottom="1420" w:left="1260" w:right="0"/>
        </w:sectPr>
      </w:pPr>
    </w:p>
    <w:p>
      <w:pPr>
        <w:pStyle w:val="BodyText"/>
        <w:ind w:left="612"/>
        <w:rPr>
          <w:sz w:val="20"/>
        </w:rPr>
      </w:pPr>
      <w:r>
        <w:rPr>
          <w:sz w:val="20"/>
        </w:rPr>
        <w:drawing>
          <wp:inline distT="0" distB="0" distL="0" distR="0">
            <wp:extent cx="4905375" cy="3343275"/>
            <wp:effectExtent l="0" t="0" r="0" b="0"/>
            <wp:docPr id="451" name="image263.jpeg"/>
            <wp:cNvGraphicFramePr>
              <a:graphicFrameLocks noChangeAspect="1"/>
            </wp:cNvGraphicFramePr>
            <a:graphic>
              <a:graphicData uri="http://schemas.openxmlformats.org/drawingml/2006/picture">
                <pic:pic>
                  <pic:nvPicPr>
                    <pic:cNvPr id="452" name="image263.jpeg"/>
                    <pic:cNvPicPr/>
                  </pic:nvPicPr>
                  <pic:blipFill>
                    <a:blip r:embed="rId319" cstate="print"/>
                    <a:stretch>
                      <a:fillRect/>
                    </a:stretch>
                  </pic:blipFill>
                  <pic:spPr>
                    <a:xfrm>
                      <a:off x="0" y="0"/>
                      <a:ext cx="4905375" cy="3343275"/>
                    </a:xfrm>
                    <a:prstGeom prst="rect">
                      <a:avLst/>
                    </a:prstGeom>
                  </pic:spPr>
                </pic:pic>
              </a:graphicData>
            </a:graphic>
          </wp:inline>
        </w:drawing>
      </w:r>
      <w:r>
        <w:rPr>
          <w:sz w:val="20"/>
        </w:rPr>
      </w:r>
    </w:p>
    <w:p>
      <w:pPr>
        <w:pStyle w:val="BodyText"/>
        <w:rPr>
          <w:sz w:val="20"/>
        </w:rPr>
      </w:pPr>
    </w:p>
    <w:p>
      <w:pPr>
        <w:pStyle w:val="BodyText"/>
        <w:spacing w:before="6"/>
        <w:rPr>
          <w:sz w:val="28"/>
        </w:rPr>
      </w:pPr>
    </w:p>
    <w:p>
      <w:pPr>
        <w:pStyle w:val="ListParagraph"/>
        <w:numPr>
          <w:ilvl w:val="3"/>
          <w:numId w:val="524"/>
        </w:numPr>
        <w:tabs>
          <w:tab w:pos="1583" w:val="left" w:leader="none"/>
        </w:tabs>
        <w:spacing w:line="240" w:lineRule="auto" w:before="72" w:after="0"/>
        <w:ind w:left="1582" w:right="0" w:hanging="743"/>
        <w:jc w:val="left"/>
        <w:rPr>
          <w:sz w:val="21"/>
        </w:rPr>
      </w:pPr>
      <w:r>
        <w:rPr>
          <w:spacing w:val="-3"/>
          <w:sz w:val="21"/>
        </w:rPr>
        <w:t>消防宣传教育类装备</w:t>
      </w:r>
      <w:r>
        <w:rPr>
          <w:sz w:val="21"/>
        </w:rPr>
        <w:t> </w:t>
      </w:r>
    </w:p>
    <w:p>
      <w:pPr>
        <w:pStyle w:val="BodyText"/>
        <w:spacing w:before="12"/>
        <w:rPr>
          <w:sz w:val="17"/>
        </w:rPr>
      </w:pPr>
    </w:p>
    <w:p>
      <w:pPr>
        <w:pStyle w:val="BodyText"/>
        <w:spacing w:line="446" w:lineRule="auto"/>
        <w:ind w:left="418" w:right="1609" w:firstLine="419"/>
      </w:pPr>
      <w:r>
        <w:rPr/>
        <w:t>此类装备用于消防宣传业务，配合社会媒体进行消防宣传报导，对社会进行消防知识教育和培训。装备配备的种类和数量应满足表 6 的要求。 </w:t>
      </w:r>
    </w:p>
    <w:p>
      <w:pPr>
        <w:pStyle w:val="BodyText"/>
        <w:spacing w:before="5"/>
        <w:rPr>
          <w:sz w:val="8"/>
        </w:rPr>
      </w:pPr>
      <w:r>
        <w:rPr/>
        <w:drawing>
          <wp:anchor distT="0" distB="0" distL="0" distR="0" allowOverlap="1" layoutInCell="1" locked="0" behindDoc="0" simplePos="0" relativeHeight="194">
            <wp:simplePos x="0" y="0"/>
            <wp:positionH relativeFrom="page">
              <wp:posOffset>1217930</wp:posOffset>
            </wp:positionH>
            <wp:positionV relativeFrom="paragraph">
              <wp:posOffset>93479</wp:posOffset>
            </wp:positionV>
            <wp:extent cx="5086350" cy="3038475"/>
            <wp:effectExtent l="0" t="0" r="0" b="0"/>
            <wp:wrapTopAndBottom/>
            <wp:docPr id="453" name="image264.jpeg"/>
            <wp:cNvGraphicFramePr>
              <a:graphicFrameLocks noChangeAspect="1"/>
            </wp:cNvGraphicFramePr>
            <a:graphic>
              <a:graphicData uri="http://schemas.openxmlformats.org/drawingml/2006/picture">
                <pic:pic>
                  <pic:nvPicPr>
                    <pic:cNvPr id="454" name="image264.jpeg"/>
                    <pic:cNvPicPr/>
                  </pic:nvPicPr>
                  <pic:blipFill>
                    <a:blip r:embed="rId320" cstate="print"/>
                    <a:stretch>
                      <a:fillRect/>
                    </a:stretch>
                  </pic:blipFill>
                  <pic:spPr>
                    <a:xfrm>
                      <a:off x="0" y="0"/>
                      <a:ext cx="5086350" cy="3038475"/>
                    </a:xfrm>
                    <a:prstGeom prst="rect">
                      <a:avLst/>
                    </a:prstGeom>
                  </pic:spPr>
                </pic:pic>
              </a:graphicData>
            </a:graphic>
          </wp:anchor>
        </w:drawing>
      </w:r>
    </w:p>
    <w:p>
      <w:pPr>
        <w:pStyle w:val="BodyText"/>
        <w:spacing w:before="163"/>
        <w:ind w:left="838"/>
      </w:pPr>
      <w:r>
        <w:rPr>
          <w:w w:val="100"/>
        </w:rPr>
        <w:t> </w:t>
      </w:r>
    </w:p>
    <w:p>
      <w:pPr>
        <w:spacing w:after="0"/>
        <w:sectPr>
          <w:pgSz w:w="11910" w:h="16850"/>
          <w:pgMar w:header="0" w:footer="1239" w:top="1120" w:bottom="1420" w:left="1260" w:right="0"/>
        </w:sectPr>
      </w:pPr>
    </w:p>
    <w:p>
      <w:pPr>
        <w:pStyle w:val="BodyText"/>
        <w:ind w:left="840"/>
        <w:rPr>
          <w:sz w:val="20"/>
        </w:rPr>
      </w:pPr>
      <w:r>
        <w:rPr>
          <w:sz w:val="20"/>
        </w:rPr>
        <w:drawing>
          <wp:inline distT="0" distB="0" distL="0" distR="0">
            <wp:extent cx="4736923" cy="3941064"/>
            <wp:effectExtent l="0" t="0" r="0" b="0"/>
            <wp:docPr id="455" name="image265.jpeg"/>
            <wp:cNvGraphicFramePr>
              <a:graphicFrameLocks noChangeAspect="1"/>
            </wp:cNvGraphicFramePr>
            <a:graphic>
              <a:graphicData uri="http://schemas.openxmlformats.org/drawingml/2006/picture">
                <pic:pic>
                  <pic:nvPicPr>
                    <pic:cNvPr id="456" name="image265.jpeg"/>
                    <pic:cNvPicPr/>
                  </pic:nvPicPr>
                  <pic:blipFill>
                    <a:blip r:embed="rId322" cstate="print"/>
                    <a:stretch>
                      <a:fillRect/>
                    </a:stretch>
                  </pic:blipFill>
                  <pic:spPr>
                    <a:xfrm>
                      <a:off x="0" y="0"/>
                      <a:ext cx="4736923" cy="3941064"/>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4"/>
        </w:rPr>
      </w:pPr>
    </w:p>
    <w:p>
      <w:pPr>
        <w:pStyle w:val="ListParagraph"/>
        <w:numPr>
          <w:ilvl w:val="2"/>
          <w:numId w:val="524"/>
        </w:numPr>
        <w:tabs>
          <w:tab w:pos="1370" w:val="left" w:leader="none"/>
        </w:tabs>
        <w:spacing w:line="240" w:lineRule="auto" w:before="72" w:after="0"/>
        <w:ind w:left="1369" w:right="0" w:hanging="530"/>
        <w:jc w:val="left"/>
        <w:rPr>
          <w:b/>
          <w:sz w:val="21"/>
        </w:rPr>
      </w:pPr>
      <w:r>
        <w:rPr>
          <w:spacing w:val="-3"/>
          <w:sz w:val="21"/>
        </w:rPr>
        <w:t>四级装备配备</w:t>
      </w:r>
      <w:r>
        <w:rPr>
          <w:b/>
          <w:w w:val="99"/>
          <w:sz w:val="21"/>
        </w:rPr>
        <w:t> </w:t>
      </w:r>
    </w:p>
    <w:p>
      <w:pPr>
        <w:pStyle w:val="BodyText"/>
        <w:spacing w:before="1"/>
        <w:rPr>
          <w:b/>
          <w:sz w:val="18"/>
        </w:rPr>
      </w:pPr>
    </w:p>
    <w:p>
      <w:pPr>
        <w:pStyle w:val="BodyText"/>
        <w:spacing w:before="1"/>
        <w:ind w:left="838"/>
      </w:pPr>
      <w:r>
        <w:rPr/>
        <w:t>四级装备配备的种类和数量应满足表 7 的要求。 </w:t>
      </w:r>
    </w:p>
    <w:p>
      <w:pPr>
        <w:pStyle w:val="BodyText"/>
        <w:spacing w:before="10"/>
        <w:rPr>
          <w:sz w:val="19"/>
        </w:rPr>
      </w:pPr>
      <w:r>
        <w:rPr/>
        <w:drawing>
          <wp:anchor distT="0" distB="0" distL="0" distR="0" allowOverlap="1" layoutInCell="1" locked="0" behindDoc="0" simplePos="0" relativeHeight="195">
            <wp:simplePos x="0" y="0"/>
            <wp:positionH relativeFrom="page">
              <wp:posOffset>1360805</wp:posOffset>
            </wp:positionH>
            <wp:positionV relativeFrom="paragraph">
              <wp:posOffset>185864</wp:posOffset>
            </wp:positionV>
            <wp:extent cx="4591685" cy="2562225"/>
            <wp:effectExtent l="0" t="0" r="0" b="0"/>
            <wp:wrapTopAndBottom/>
            <wp:docPr id="457" name="image266.jpeg"/>
            <wp:cNvGraphicFramePr>
              <a:graphicFrameLocks noChangeAspect="1"/>
            </wp:cNvGraphicFramePr>
            <a:graphic>
              <a:graphicData uri="http://schemas.openxmlformats.org/drawingml/2006/picture">
                <pic:pic>
                  <pic:nvPicPr>
                    <pic:cNvPr id="458" name="image266.jpeg"/>
                    <pic:cNvPicPr/>
                  </pic:nvPicPr>
                  <pic:blipFill>
                    <a:blip r:embed="rId323" cstate="print"/>
                    <a:stretch>
                      <a:fillRect/>
                    </a:stretch>
                  </pic:blipFill>
                  <pic:spPr>
                    <a:xfrm>
                      <a:off x="0" y="0"/>
                      <a:ext cx="4591685" cy="2562225"/>
                    </a:xfrm>
                    <a:prstGeom prst="rect">
                      <a:avLst/>
                    </a:prstGeom>
                  </pic:spPr>
                </pic:pic>
              </a:graphicData>
            </a:graphic>
          </wp:anchor>
        </w:drawing>
      </w:r>
    </w:p>
    <w:p>
      <w:pPr>
        <w:pStyle w:val="BodyText"/>
        <w:spacing w:before="180"/>
        <w:ind w:left="838"/>
      </w:pPr>
      <w:r>
        <w:rPr>
          <w:w w:val="100"/>
        </w:rPr>
        <w:t> </w:t>
      </w:r>
    </w:p>
    <w:p>
      <w:pPr>
        <w:spacing w:after="0"/>
        <w:sectPr>
          <w:footerReference w:type="default" r:id="rId321"/>
          <w:pgSz w:w="11910" w:h="16850"/>
          <w:pgMar w:footer="1239" w:header="0" w:top="1200" w:bottom="1420" w:left="1260" w:right="0"/>
          <w:pgNumType w:start="1230"/>
        </w:sectPr>
      </w:pPr>
    </w:p>
    <w:p>
      <w:pPr>
        <w:pStyle w:val="BodyText"/>
        <w:ind w:left="778"/>
        <w:rPr>
          <w:sz w:val="20"/>
        </w:rPr>
      </w:pPr>
      <w:r>
        <w:rPr>
          <w:sz w:val="20"/>
        </w:rPr>
        <w:pict>
          <v:group style="width:367.5pt;height:684.15pt;mso-position-horizontal-relative:char;mso-position-vertical-relative:line" coordorigin="0,0" coordsize="7350,13683">
            <v:shape style="position:absolute;left:0;top:9030;width:7350;height:4653" type="#_x0000_t75" stroked="false">
              <v:imagedata r:id="rId324" o:title=""/>
            </v:shape>
            <v:shape style="position:absolute;left:134;top:0;width:7215;height:4880" type="#_x0000_t75" stroked="false">
              <v:imagedata r:id="rId325" o:title=""/>
            </v:shape>
            <v:shape style="position:absolute;left:90;top:4635;width:7260;height:4382" type="#_x0000_t75" stroked="false">
              <v:imagedata r:id="rId326" o:title=""/>
            </v:shape>
          </v:group>
        </w:pict>
      </w:r>
      <w:r>
        <w:rPr>
          <w:sz w:val="20"/>
        </w:rPr>
      </w:r>
    </w:p>
    <w:p>
      <w:pPr>
        <w:pStyle w:val="BodyText"/>
        <w:spacing w:before="5"/>
        <w:rPr>
          <w:sz w:val="8"/>
        </w:rPr>
      </w:pPr>
    </w:p>
    <w:p>
      <w:pPr>
        <w:pStyle w:val="BodyText"/>
        <w:spacing w:before="72"/>
        <w:ind w:left="838"/>
      </w:pPr>
      <w:r>
        <w:rPr>
          <w:w w:val="100"/>
        </w:rPr>
        <w:t> </w:t>
      </w:r>
    </w:p>
    <w:p>
      <w:pPr>
        <w:spacing w:after="0"/>
        <w:sectPr>
          <w:pgSz w:w="11910" w:h="16850"/>
          <w:pgMar w:header="0" w:footer="1239" w:top="1080" w:bottom="1420" w:left="1260" w:right="0"/>
        </w:sectPr>
      </w:pPr>
    </w:p>
    <w:p>
      <w:pPr>
        <w:pStyle w:val="ListParagraph"/>
        <w:numPr>
          <w:ilvl w:val="2"/>
          <w:numId w:val="524"/>
        </w:numPr>
        <w:tabs>
          <w:tab w:pos="1370" w:val="left" w:leader="none"/>
        </w:tabs>
        <w:spacing w:line="240" w:lineRule="auto" w:before="47" w:after="0"/>
        <w:ind w:left="1369" w:right="0" w:hanging="530"/>
        <w:jc w:val="left"/>
        <w:rPr>
          <w:b/>
          <w:sz w:val="21"/>
        </w:rPr>
      </w:pPr>
      <w:r>
        <w:rPr>
          <w:spacing w:val="-3"/>
          <w:sz w:val="21"/>
        </w:rPr>
        <w:t>五级装备配备</w:t>
      </w:r>
      <w:r>
        <w:rPr>
          <w:b/>
          <w:w w:val="99"/>
          <w:sz w:val="21"/>
        </w:rPr>
        <w:t> </w:t>
      </w:r>
    </w:p>
    <w:p>
      <w:pPr>
        <w:pStyle w:val="BodyText"/>
        <w:rPr>
          <w:b/>
          <w:sz w:val="18"/>
        </w:rPr>
      </w:pPr>
    </w:p>
    <w:p>
      <w:pPr>
        <w:pStyle w:val="BodyText"/>
        <w:ind w:left="838"/>
      </w:pPr>
      <w:r>
        <w:rPr/>
        <w:t>五级装备配备的种类和数量应满足表 8 的要求。 </w:t>
      </w:r>
    </w:p>
    <w:p>
      <w:pPr>
        <w:pStyle w:val="BodyText"/>
        <w:spacing w:before="9"/>
        <w:rPr>
          <w:sz w:val="28"/>
        </w:rPr>
      </w:pPr>
      <w:r>
        <w:rPr/>
        <w:drawing>
          <wp:anchor distT="0" distB="0" distL="0" distR="0" allowOverlap="1" layoutInCell="1" locked="0" behindDoc="0" simplePos="0" relativeHeight="197">
            <wp:simplePos x="0" y="0"/>
            <wp:positionH relativeFrom="page">
              <wp:posOffset>1379855</wp:posOffset>
            </wp:positionH>
            <wp:positionV relativeFrom="paragraph">
              <wp:posOffset>258730</wp:posOffset>
            </wp:positionV>
            <wp:extent cx="4601845" cy="3238500"/>
            <wp:effectExtent l="0" t="0" r="0" b="0"/>
            <wp:wrapTopAndBottom/>
            <wp:docPr id="459" name="image270.jpeg"/>
            <wp:cNvGraphicFramePr>
              <a:graphicFrameLocks noChangeAspect="1"/>
            </wp:cNvGraphicFramePr>
            <a:graphic>
              <a:graphicData uri="http://schemas.openxmlformats.org/drawingml/2006/picture">
                <pic:pic>
                  <pic:nvPicPr>
                    <pic:cNvPr id="460" name="image270.jpeg"/>
                    <pic:cNvPicPr/>
                  </pic:nvPicPr>
                  <pic:blipFill>
                    <a:blip r:embed="rId327" cstate="print"/>
                    <a:stretch>
                      <a:fillRect/>
                    </a:stretch>
                  </pic:blipFill>
                  <pic:spPr>
                    <a:xfrm>
                      <a:off x="0" y="0"/>
                      <a:ext cx="4601845" cy="3238500"/>
                    </a:xfrm>
                    <a:prstGeom prst="rect">
                      <a:avLst/>
                    </a:prstGeom>
                  </pic:spPr>
                </pic:pic>
              </a:graphicData>
            </a:graphic>
          </wp:anchor>
        </w:drawing>
      </w:r>
      <w:r>
        <w:rPr/>
        <w:drawing>
          <wp:anchor distT="0" distB="0" distL="0" distR="0" allowOverlap="1" layoutInCell="1" locked="0" behindDoc="0" simplePos="0" relativeHeight="198">
            <wp:simplePos x="0" y="0"/>
            <wp:positionH relativeFrom="page">
              <wp:posOffset>1343660</wp:posOffset>
            </wp:positionH>
            <wp:positionV relativeFrom="paragraph">
              <wp:posOffset>3682650</wp:posOffset>
            </wp:positionV>
            <wp:extent cx="4680585" cy="3771900"/>
            <wp:effectExtent l="0" t="0" r="0" b="0"/>
            <wp:wrapTopAndBottom/>
            <wp:docPr id="461" name="image271.jpeg"/>
            <wp:cNvGraphicFramePr>
              <a:graphicFrameLocks noChangeAspect="1"/>
            </wp:cNvGraphicFramePr>
            <a:graphic>
              <a:graphicData uri="http://schemas.openxmlformats.org/drawingml/2006/picture">
                <pic:pic>
                  <pic:nvPicPr>
                    <pic:cNvPr id="462" name="image271.jpeg"/>
                    <pic:cNvPicPr/>
                  </pic:nvPicPr>
                  <pic:blipFill>
                    <a:blip r:embed="rId328" cstate="print"/>
                    <a:stretch>
                      <a:fillRect/>
                    </a:stretch>
                  </pic:blipFill>
                  <pic:spPr>
                    <a:xfrm>
                      <a:off x="0" y="0"/>
                      <a:ext cx="4680585" cy="3771900"/>
                    </a:xfrm>
                    <a:prstGeom prst="rect">
                      <a:avLst/>
                    </a:prstGeom>
                  </pic:spPr>
                </pic:pic>
              </a:graphicData>
            </a:graphic>
          </wp:anchor>
        </w:drawing>
      </w:r>
    </w:p>
    <w:p>
      <w:pPr>
        <w:pStyle w:val="BodyText"/>
        <w:spacing w:before="6"/>
        <w:rPr>
          <w:sz w:val="17"/>
        </w:rPr>
      </w:pPr>
    </w:p>
    <w:p>
      <w:pPr>
        <w:pStyle w:val="BodyText"/>
        <w:rPr>
          <w:sz w:val="20"/>
        </w:rPr>
      </w:pPr>
    </w:p>
    <w:p>
      <w:pPr>
        <w:pStyle w:val="BodyText"/>
        <w:rPr>
          <w:sz w:val="20"/>
        </w:rPr>
      </w:pPr>
    </w:p>
    <w:p>
      <w:pPr>
        <w:pStyle w:val="BodyText"/>
        <w:rPr>
          <w:sz w:val="20"/>
        </w:rPr>
      </w:pPr>
    </w:p>
    <w:p>
      <w:pPr>
        <w:pStyle w:val="BodyText"/>
        <w:spacing w:before="4"/>
        <w:rPr>
          <w:sz w:val="25"/>
        </w:rPr>
      </w:pPr>
    </w:p>
    <w:p>
      <w:pPr>
        <w:pStyle w:val="ListParagraph"/>
        <w:numPr>
          <w:ilvl w:val="1"/>
          <w:numId w:val="524"/>
        </w:numPr>
        <w:tabs>
          <w:tab w:pos="1159" w:val="left" w:leader="none"/>
        </w:tabs>
        <w:spacing w:line="240" w:lineRule="auto" w:before="72" w:after="0"/>
        <w:ind w:left="1158" w:right="0" w:hanging="319"/>
        <w:jc w:val="left"/>
        <w:rPr>
          <w:b/>
          <w:sz w:val="21"/>
        </w:rPr>
      </w:pPr>
      <w:r>
        <w:rPr>
          <w:spacing w:val="-3"/>
          <w:sz w:val="21"/>
        </w:rPr>
        <w:t>个人防护类装备</w:t>
      </w:r>
      <w:r>
        <w:rPr>
          <w:b/>
          <w:w w:val="99"/>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after="18"/>
        <w:ind w:left="418" w:right="1609" w:firstLine="419"/>
      </w:pPr>
      <w:r>
        <w:rPr/>
        <w:t>此类装备用于建筑工程消防验收、消防监督检査和火灾事故调査等人员的个人防护。装备应结合本标准规定的专用车辆配备，种类和数量应满足表 9 的要求。 </w:t>
      </w:r>
    </w:p>
    <w:p>
      <w:pPr>
        <w:pStyle w:val="BodyText"/>
        <w:ind w:left="943"/>
        <w:rPr>
          <w:sz w:val="20"/>
        </w:rPr>
      </w:pPr>
      <w:r>
        <w:rPr>
          <w:sz w:val="20"/>
        </w:rPr>
        <w:drawing>
          <wp:inline distT="0" distB="0" distL="0" distR="0">
            <wp:extent cx="4739005" cy="2714625"/>
            <wp:effectExtent l="0" t="0" r="0" b="0"/>
            <wp:docPr id="463" name="image272.jpeg"/>
            <wp:cNvGraphicFramePr>
              <a:graphicFrameLocks noChangeAspect="1"/>
            </wp:cNvGraphicFramePr>
            <a:graphic>
              <a:graphicData uri="http://schemas.openxmlformats.org/drawingml/2006/picture">
                <pic:pic>
                  <pic:nvPicPr>
                    <pic:cNvPr id="464" name="image272.jpeg"/>
                    <pic:cNvPicPr/>
                  </pic:nvPicPr>
                  <pic:blipFill>
                    <a:blip r:embed="rId329" cstate="print"/>
                    <a:stretch>
                      <a:fillRect/>
                    </a:stretch>
                  </pic:blipFill>
                  <pic:spPr>
                    <a:xfrm>
                      <a:off x="0" y="0"/>
                      <a:ext cx="4739005" cy="2714625"/>
                    </a:xfrm>
                    <a:prstGeom prst="rect">
                      <a:avLst/>
                    </a:prstGeom>
                  </pic:spPr>
                </pic:pic>
              </a:graphicData>
            </a:graphic>
          </wp:inline>
        </w:drawing>
      </w:r>
      <w:r>
        <w:rPr>
          <w:sz w:val="20"/>
        </w:rPr>
      </w:r>
    </w:p>
    <w:p>
      <w:pPr>
        <w:pStyle w:val="BodyText"/>
        <w:spacing w:before="1"/>
        <w:rPr>
          <w:sz w:val="29"/>
        </w:rPr>
      </w:pPr>
      <w:r>
        <w:rPr/>
        <w:drawing>
          <wp:anchor distT="0" distB="0" distL="0" distR="0" allowOverlap="1" layoutInCell="1" locked="0" behindDoc="0" simplePos="0" relativeHeight="199">
            <wp:simplePos x="0" y="0"/>
            <wp:positionH relativeFrom="page">
              <wp:posOffset>1362710</wp:posOffset>
            </wp:positionH>
            <wp:positionV relativeFrom="paragraph">
              <wp:posOffset>261620</wp:posOffset>
            </wp:positionV>
            <wp:extent cx="4690110" cy="1657350"/>
            <wp:effectExtent l="0" t="0" r="0" b="0"/>
            <wp:wrapTopAndBottom/>
            <wp:docPr id="465" name="image273.jpeg"/>
            <wp:cNvGraphicFramePr>
              <a:graphicFrameLocks noChangeAspect="1"/>
            </wp:cNvGraphicFramePr>
            <a:graphic>
              <a:graphicData uri="http://schemas.openxmlformats.org/drawingml/2006/picture">
                <pic:pic>
                  <pic:nvPicPr>
                    <pic:cNvPr id="466" name="image273.jpeg"/>
                    <pic:cNvPicPr/>
                  </pic:nvPicPr>
                  <pic:blipFill>
                    <a:blip r:embed="rId330" cstate="print"/>
                    <a:stretch>
                      <a:fillRect/>
                    </a:stretch>
                  </pic:blipFill>
                  <pic:spPr>
                    <a:xfrm>
                      <a:off x="0" y="0"/>
                      <a:ext cx="4690110" cy="1657350"/>
                    </a:xfrm>
                    <a:prstGeom prst="rect">
                      <a:avLst/>
                    </a:prstGeom>
                  </pic:spPr>
                </pic:pic>
              </a:graphicData>
            </a:graphic>
          </wp:anchor>
        </w:drawing>
      </w:r>
    </w:p>
    <w:p>
      <w:pPr>
        <w:pStyle w:val="BodyText"/>
        <w:rPr>
          <w:sz w:val="20"/>
        </w:rPr>
      </w:pPr>
    </w:p>
    <w:p>
      <w:pPr>
        <w:pStyle w:val="BodyText"/>
        <w:spacing w:before="6"/>
        <w:rPr>
          <w:sz w:val="29"/>
        </w:rPr>
      </w:pPr>
    </w:p>
    <w:p>
      <w:pPr>
        <w:pStyle w:val="Heading4"/>
      </w:pPr>
      <w:r>
        <w:rPr/>
        <w:t>6 装备的管理与维护</w:t>
      </w:r>
      <w:r>
        <w:rPr>
          <w:w w:val="99"/>
        </w:rPr>
        <w:t> </w:t>
      </w:r>
    </w:p>
    <w:p>
      <w:pPr>
        <w:pStyle w:val="BodyText"/>
        <w:spacing w:before="4"/>
        <w:rPr>
          <w:b/>
          <w:sz w:val="17"/>
        </w:rPr>
      </w:pPr>
    </w:p>
    <w:p>
      <w:pPr>
        <w:pStyle w:val="ListParagraph"/>
        <w:numPr>
          <w:ilvl w:val="1"/>
          <w:numId w:val="525"/>
        </w:numPr>
        <w:tabs>
          <w:tab w:pos="1160" w:val="left" w:leader="none"/>
        </w:tabs>
        <w:spacing w:line="446" w:lineRule="auto" w:before="0" w:after="0"/>
        <w:ind w:left="418" w:right="1501" w:firstLine="422"/>
        <w:jc w:val="left"/>
        <w:rPr>
          <w:sz w:val="21"/>
        </w:rPr>
      </w:pPr>
      <w:r>
        <w:rPr>
          <w:spacing w:val="-3"/>
          <w:sz w:val="21"/>
        </w:rPr>
        <w:t>各级公安消防机构应建立消防监督技术装备使用管理制度，明确专人管理、维护和保养。</w:t>
      </w:r>
      <w:r>
        <w:rPr>
          <w:sz w:val="21"/>
        </w:rPr>
        <w:t> </w:t>
      </w:r>
    </w:p>
    <w:p>
      <w:pPr>
        <w:pStyle w:val="ListParagraph"/>
        <w:numPr>
          <w:ilvl w:val="1"/>
          <w:numId w:val="525"/>
        </w:numPr>
        <w:tabs>
          <w:tab w:pos="1160" w:val="left" w:leader="none"/>
        </w:tabs>
        <w:spacing w:line="446" w:lineRule="auto" w:before="0" w:after="0"/>
        <w:ind w:left="418" w:right="1501" w:firstLine="422"/>
        <w:jc w:val="left"/>
        <w:rPr>
          <w:sz w:val="21"/>
        </w:rPr>
      </w:pPr>
      <w:r>
        <w:rPr>
          <w:spacing w:val="-3"/>
          <w:sz w:val="21"/>
        </w:rPr>
        <w:t>装备的使用人员，应熟悉装备和系统的性能、技术指标及有关标准，并接受相应的培训，遵守操作规程。</w:t>
      </w:r>
      <w:r>
        <w:rPr>
          <w:sz w:val="21"/>
        </w:rPr>
        <w:t> </w:t>
      </w:r>
    </w:p>
    <w:p>
      <w:pPr>
        <w:pStyle w:val="ListParagraph"/>
        <w:numPr>
          <w:ilvl w:val="1"/>
          <w:numId w:val="525"/>
        </w:numPr>
        <w:tabs>
          <w:tab w:pos="1160" w:val="left" w:leader="none"/>
        </w:tabs>
        <w:spacing w:line="446" w:lineRule="auto" w:before="0" w:after="0"/>
        <w:ind w:left="418" w:right="1501" w:firstLine="422"/>
        <w:jc w:val="left"/>
        <w:rPr>
          <w:sz w:val="21"/>
        </w:rPr>
      </w:pPr>
      <w:r>
        <w:rPr>
          <w:spacing w:val="-3"/>
          <w:sz w:val="21"/>
        </w:rPr>
        <w:t>所有设备和系统的技术资料、图纸、说明书、技术改造设计图、维修和计量检定记录应存档备査。</w:t>
      </w:r>
      <w:r>
        <w:rPr>
          <w:sz w:val="21"/>
        </w:rPr>
        <w:t> </w:t>
      </w:r>
    </w:p>
    <w:p>
      <w:pPr>
        <w:pStyle w:val="ListParagraph"/>
        <w:numPr>
          <w:ilvl w:val="1"/>
          <w:numId w:val="525"/>
        </w:numPr>
        <w:tabs>
          <w:tab w:pos="1399" w:val="left" w:leader="none"/>
        </w:tabs>
        <w:spacing w:line="240" w:lineRule="auto" w:before="0" w:after="0"/>
        <w:ind w:left="1398" w:right="0" w:hanging="319"/>
        <w:jc w:val="left"/>
        <w:rPr>
          <w:sz w:val="21"/>
        </w:rPr>
      </w:pPr>
      <w:r>
        <w:rPr>
          <w:spacing w:val="-3"/>
          <w:sz w:val="21"/>
        </w:rPr>
        <w:t>凡依法需要计量检定的装备，应进行定期计量检定，以保证装备的可靠性。 </w:t>
      </w:r>
    </w:p>
    <w:p>
      <w:pPr>
        <w:pStyle w:val="BodyText"/>
        <w:spacing w:before="10"/>
        <w:rPr>
          <w:sz w:val="17"/>
        </w:rPr>
      </w:pPr>
    </w:p>
    <w:p>
      <w:pPr>
        <w:pStyle w:val="BodyText"/>
        <w:ind w:right="2844"/>
        <w:jc w:val="right"/>
      </w:pPr>
      <w:r>
        <w:rPr>
          <w:w w:val="100"/>
        </w:rPr>
        <w:t> </w:t>
      </w:r>
    </w:p>
    <w:p>
      <w:pPr>
        <w:spacing w:after="0"/>
        <w:jc w:val="right"/>
        <w:sectPr>
          <w:pgSz w:w="11910" w:h="16850"/>
          <w:pgMar w:header="0" w:footer="1239" w:top="1220" w:bottom="1420" w:left="1260" w:right="0"/>
        </w:sectPr>
      </w:pPr>
    </w:p>
    <w:p>
      <w:pPr>
        <w:pStyle w:val="Heading2"/>
        <w:ind w:left="2100"/>
        <w:jc w:val="left"/>
      </w:pPr>
      <w:bookmarkStart w:name="_bookmark22" w:id="23"/>
      <w:bookmarkEnd w:id="23"/>
      <w:r>
        <w:rPr>
          <w:b w:val="0"/>
        </w:rPr>
      </w:r>
      <w:r>
        <w:rPr/>
        <w:t>建筑工程设计施工现场消防安全技术规范</w:t>
      </w:r>
      <w:r>
        <w:rPr>
          <w:w w:val="99"/>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526"/>
        </w:numPr>
        <w:tabs>
          <w:tab w:pos="1159" w:val="left" w:leader="none"/>
        </w:tabs>
        <w:spacing w:line="240" w:lineRule="auto" w:before="0" w:after="0"/>
        <w:ind w:left="1158" w:right="0" w:hanging="319"/>
        <w:jc w:val="left"/>
        <w:rPr>
          <w:sz w:val="21"/>
        </w:rPr>
      </w:pPr>
      <w:r>
        <w:rPr>
          <w:spacing w:val="-3"/>
          <w:sz w:val="21"/>
        </w:rPr>
        <w:t>为预防建设工程施工现场火灾，减少火灾危害，保护人身和财产安全，制定本规范。</w:t>
      </w:r>
      <w:r>
        <w:rPr>
          <w:sz w:val="21"/>
        </w:rPr>
        <w:t> </w:t>
      </w:r>
    </w:p>
    <w:p>
      <w:pPr>
        <w:pStyle w:val="BodyText"/>
        <w:spacing w:before="12"/>
        <w:rPr>
          <w:sz w:val="17"/>
        </w:rPr>
      </w:pPr>
    </w:p>
    <w:p>
      <w:pPr>
        <w:pStyle w:val="ListParagraph"/>
        <w:numPr>
          <w:ilvl w:val="1"/>
          <w:numId w:val="526"/>
        </w:numPr>
        <w:tabs>
          <w:tab w:pos="1160" w:val="left" w:leader="none"/>
        </w:tabs>
        <w:spacing w:line="240" w:lineRule="auto" w:before="0" w:after="0"/>
        <w:ind w:left="1159" w:right="0" w:hanging="320"/>
        <w:jc w:val="left"/>
        <w:rPr>
          <w:sz w:val="21"/>
        </w:rPr>
      </w:pPr>
      <w:r>
        <w:rPr>
          <w:spacing w:val="-3"/>
          <w:sz w:val="21"/>
        </w:rPr>
        <w:t>本规范适用于新建、改建和扩建等各类建设工程施工现场的防火。</w:t>
      </w:r>
      <w:r>
        <w:rPr>
          <w:sz w:val="21"/>
        </w:rPr>
        <w:t> </w:t>
      </w:r>
    </w:p>
    <w:p>
      <w:pPr>
        <w:pStyle w:val="BodyText"/>
        <w:spacing w:before="2"/>
        <w:rPr>
          <w:sz w:val="18"/>
        </w:rPr>
      </w:pPr>
    </w:p>
    <w:p>
      <w:pPr>
        <w:pStyle w:val="ListParagraph"/>
        <w:numPr>
          <w:ilvl w:val="1"/>
          <w:numId w:val="526"/>
        </w:numPr>
        <w:tabs>
          <w:tab w:pos="1160" w:val="left" w:leader="none"/>
        </w:tabs>
        <w:spacing w:line="446" w:lineRule="auto" w:before="0" w:after="0"/>
        <w:ind w:left="418" w:right="1501" w:firstLine="422"/>
        <w:jc w:val="left"/>
        <w:rPr>
          <w:sz w:val="21"/>
        </w:rPr>
      </w:pPr>
      <w:r>
        <w:rPr>
          <w:spacing w:val="-3"/>
          <w:sz w:val="21"/>
        </w:rPr>
        <w:t>建设工程施工现场的防火必须遵循国家有关方针、政策，针对不同施工现场的火灾特点，立足自防自救，采取可靠防火措施，做到安全可靠、经济合理、方便适用。 </w:t>
      </w:r>
    </w:p>
    <w:p>
      <w:pPr>
        <w:pStyle w:val="ListParagraph"/>
        <w:numPr>
          <w:ilvl w:val="1"/>
          <w:numId w:val="526"/>
        </w:numPr>
        <w:tabs>
          <w:tab w:pos="1160" w:val="left" w:leader="none"/>
        </w:tabs>
        <w:spacing w:line="267" w:lineRule="exact" w:before="0" w:after="0"/>
        <w:ind w:left="1159" w:right="0" w:hanging="320"/>
        <w:jc w:val="left"/>
        <w:rPr>
          <w:sz w:val="21"/>
        </w:rPr>
      </w:pPr>
      <w:r>
        <w:rPr>
          <w:spacing w:val="-3"/>
          <w:sz w:val="21"/>
        </w:rPr>
        <w:t>建设工程施工现场的防火除应符合本规范外，尚应符合国家现行有关标准的规定。</w:t>
      </w:r>
      <w:r>
        <w:rPr>
          <w:sz w:val="21"/>
        </w:rPr>
        <w:t> </w:t>
      </w:r>
    </w:p>
    <w:p>
      <w:pPr>
        <w:pStyle w:val="BodyText"/>
        <w:spacing w:before="10"/>
        <w:rPr>
          <w:sz w:val="15"/>
        </w:rPr>
      </w:pPr>
    </w:p>
    <w:p>
      <w:pPr>
        <w:pStyle w:val="Heading4"/>
        <w:spacing w:before="1"/>
      </w:pPr>
      <w:r>
        <w:rPr/>
        <w:t>2 术语</w:t>
      </w:r>
      <w:r>
        <w:rPr>
          <w:w w:val="99"/>
        </w:rPr>
        <w:t> </w:t>
      </w:r>
    </w:p>
    <w:p>
      <w:pPr>
        <w:pStyle w:val="BodyText"/>
        <w:spacing w:before="3"/>
        <w:rPr>
          <w:b/>
          <w:sz w:val="17"/>
        </w:rPr>
      </w:pPr>
    </w:p>
    <w:p>
      <w:pPr>
        <w:pStyle w:val="ListParagraph"/>
        <w:numPr>
          <w:ilvl w:val="1"/>
          <w:numId w:val="527"/>
        </w:numPr>
        <w:tabs>
          <w:tab w:pos="1213" w:val="left" w:leader="none"/>
        </w:tabs>
        <w:spacing w:line="240" w:lineRule="auto" w:before="0" w:after="0"/>
        <w:ind w:left="1212" w:right="0" w:hanging="373"/>
        <w:jc w:val="left"/>
        <w:rPr>
          <w:sz w:val="21"/>
        </w:rPr>
      </w:pPr>
      <w:r>
        <w:rPr>
          <w:spacing w:val="18"/>
          <w:sz w:val="21"/>
        </w:rPr>
        <w:t>临时用房 </w:t>
      </w:r>
      <w:r>
        <w:rPr>
          <w:sz w:val="21"/>
        </w:rPr>
        <w:t>temporary construction </w:t>
      </w:r>
    </w:p>
    <w:p>
      <w:pPr>
        <w:pStyle w:val="BodyText"/>
        <w:rPr>
          <w:sz w:val="18"/>
        </w:rPr>
      </w:pPr>
    </w:p>
    <w:p>
      <w:pPr>
        <w:pStyle w:val="BodyText"/>
        <w:spacing w:line="446" w:lineRule="auto"/>
        <w:ind w:left="418" w:right="1609" w:firstLine="419"/>
      </w:pPr>
      <w:r>
        <w:rPr/>
        <w:t>在施工现场建造的，为建设工程施工服务的各种非永久性建筑物，包括办公用房、宿舍、厨房操作间、食堂、锅炉房、发电机房、变配电房、库房等。 </w:t>
      </w:r>
    </w:p>
    <w:p>
      <w:pPr>
        <w:pStyle w:val="ListParagraph"/>
        <w:numPr>
          <w:ilvl w:val="1"/>
          <w:numId w:val="527"/>
        </w:numPr>
        <w:tabs>
          <w:tab w:pos="1160" w:val="left" w:leader="none"/>
        </w:tabs>
        <w:spacing w:line="240" w:lineRule="auto" w:before="0" w:after="0"/>
        <w:ind w:left="1159" w:right="0" w:hanging="320"/>
        <w:jc w:val="left"/>
        <w:rPr>
          <w:sz w:val="21"/>
        </w:rPr>
      </w:pPr>
      <w:r>
        <w:rPr>
          <w:spacing w:val="-1"/>
          <w:sz w:val="21"/>
        </w:rPr>
        <w:t>临时设施 </w:t>
      </w:r>
      <w:r>
        <w:rPr>
          <w:sz w:val="21"/>
        </w:rPr>
        <w:t>temporary facility </w:t>
      </w:r>
    </w:p>
    <w:p>
      <w:pPr>
        <w:pStyle w:val="BodyText"/>
        <w:rPr>
          <w:sz w:val="18"/>
        </w:rPr>
      </w:pPr>
    </w:p>
    <w:p>
      <w:pPr>
        <w:pStyle w:val="BodyText"/>
        <w:spacing w:line="446" w:lineRule="auto"/>
        <w:ind w:left="418" w:right="1608" w:firstLine="419"/>
        <w:jc w:val="both"/>
      </w:pPr>
      <w:r>
        <w:rPr/>
        <w:t>在施工现场建造的，为建设工程施工服务的各种非永久性设施，包括围墙、大门、临时道路、材料堆场及其加工场、固定动火作业场、作业棚、机具棚、贮水池及临时给排水、供电、供热管线等。 </w:t>
      </w:r>
    </w:p>
    <w:p>
      <w:pPr>
        <w:pStyle w:val="ListParagraph"/>
        <w:numPr>
          <w:ilvl w:val="1"/>
          <w:numId w:val="527"/>
        </w:numPr>
        <w:tabs>
          <w:tab w:pos="1160" w:val="left" w:leader="none"/>
        </w:tabs>
        <w:spacing w:line="268" w:lineRule="exact" w:before="0" w:after="0"/>
        <w:ind w:left="1159" w:right="0" w:hanging="320"/>
        <w:jc w:val="both"/>
        <w:rPr>
          <w:sz w:val="21"/>
        </w:rPr>
      </w:pPr>
      <w:r>
        <w:rPr>
          <w:spacing w:val="-3"/>
          <w:sz w:val="21"/>
        </w:rPr>
        <w:t>临时消防设施 </w:t>
      </w:r>
      <w:r>
        <w:rPr>
          <w:sz w:val="21"/>
        </w:rPr>
        <w:t>temporary</w:t>
      </w:r>
      <w:r>
        <w:rPr>
          <w:spacing w:val="1"/>
          <w:sz w:val="21"/>
        </w:rPr>
        <w:t> </w:t>
      </w:r>
      <w:r>
        <w:rPr>
          <w:sz w:val="21"/>
        </w:rPr>
        <w:t>fire control</w:t>
      </w:r>
      <w:r>
        <w:rPr>
          <w:spacing w:val="1"/>
          <w:sz w:val="21"/>
        </w:rPr>
        <w:t> </w:t>
      </w:r>
      <w:r>
        <w:rPr>
          <w:sz w:val="21"/>
        </w:rPr>
        <w:t>facility </w:t>
      </w:r>
    </w:p>
    <w:p>
      <w:pPr>
        <w:pStyle w:val="BodyText"/>
        <w:spacing w:before="1"/>
        <w:rPr>
          <w:sz w:val="18"/>
        </w:rPr>
      </w:pPr>
    </w:p>
    <w:p>
      <w:pPr>
        <w:pStyle w:val="BodyText"/>
        <w:spacing w:line="446" w:lineRule="auto" w:before="1"/>
        <w:ind w:left="418" w:right="1609" w:firstLine="419"/>
      </w:pPr>
      <w:r>
        <w:rPr/>
        <w:t>设置在建设工程施工现场，用于扑救施工现场火灾、引导施工人员安全疏散等的各类消防设施， 包括灭火器、临时消防给水系统、消防应急照明、疏散指示标识、临时疏散通道等。 </w:t>
      </w:r>
    </w:p>
    <w:p>
      <w:pPr>
        <w:pStyle w:val="ListParagraph"/>
        <w:numPr>
          <w:ilvl w:val="1"/>
          <w:numId w:val="527"/>
        </w:numPr>
        <w:tabs>
          <w:tab w:pos="1160" w:val="left" w:leader="none"/>
        </w:tabs>
        <w:spacing w:line="267" w:lineRule="exact" w:before="0" w:after="0"/>
        <w:ind w:left="1159" w:right="0" w:hanging="320"/>
        <w:jc w:val="left"/>
        <w:rPr>
          <w:sz w:val="21"/>
        </w:rPr>
      </w:pPr>
      <w:r>
        <w:rPr>
          <w:spacing w:val="12"/>
          <w:sz w:val="21"/>
        </w:rPr>
        <w:t>临时疏散通道 </w:t>
      </w:r>
      <w:r>
        <w:rPr>
          <w:sz w:val="21"/>
        </w:rPr>
        <w:t>temporary</w:t>
      </w:r>
      <w:r>
        <w:rPr>
          <w:spacing w:val="-3"/>
          <w:sz w:val="21"/>
        </w:rPr>
        <w:t> </w:t>
      </w:r>
      <w:r>
        <w:rPr>
          <w:sz w:val="21"/>
        </w:rPr>
        <w:t>evacuation</w:t>
      </w:r>
      <w:r>
        <w:rPr>
          <w:spacing w:val="1"/>
          <w:sz w:val="21"/>
        </w:rPr>
        <w:t> </w:t>
      </w:r>
      <w:r>
        <w:rPr>
          <w:sz w:val="21"/>
        </w:rPr>
        <w:t>route </w:t>
      </w:r>
    </w:p>
    <w:p>
      <w:pPr>
        <w:pStyle w:val="BodyText"/>
        <w:spacing w:before="2"/>
        <w:rPr>
          <w:sz w:val="18"/>
        </w:rPr>
      </w:pPr>
    </w:p>
    <w:p>
      <w:pPr>
        <w:pStyle w:val="BodyText"/>
        <w:spacing w:line="446" w:lineRule="auto"/>
        <w:ind w:left="418" w:right="1609" w:firstLine="419"/>
      </w:pPr>
      <w:r>
        <w:rPr/>
        <w:t>施工现场发生火灾或意外事件时，供人员安全撤离危险区域并到达安全地点或安全地带所经的路径。 </w:t>
      </w:r>
    </w:p>
    <w:p>
      <w:pPr>
        <w:pStyle w:val="ListParagraph"/>
        <w:numPr>
          <w:ilvl w:val="1"/>
          <w:numId w:val="527"/>
        </w:numPr>
        <w:tabs>
          <w:tab w:pos="1160" w:val="left" w:leader="none"/>
        </w:tabs>
        <w:spacing w:line="267" w:lineRule="exact" w:before="0" w:after="0"/>
        <w:ind w:left="1159" w:right="0" w:hanging="320"/>
        <w:jc w:val="left"/>
        <w:rPr>
          <w:sz w:val="21"/>
        </w:rPr>
      </w:pPr>
      <w:r>
        <w:rPr>
          <w:spacing w:val="-3"/>
          <w:sz w:val="21"/>
        </w:rPr>
        <w:t>临时消防救援场地 </w:t>
      </w:r>
      <w:r>
        <w:rPr>
          <w:sz w:val="21"/>
        </w:rPr>
        <w:t>temporary</w:t>
      </w:r>
      <w:r>
        <w:rPr>
          <w:spacing w:val="1"/>
          <w:sz w:val="21"/>
        </w:rPr>
        <w:t> </w:t>
      </w:r>
      <w:r>
        <w:rPr>
          <w:sz w:val="21"/>
        </w:rPr>
        <w:t>fire fighting</w:t>
      </w:r>
      <w:r>
        <w:rPr>
          <w:spacing w:val="1"/>
          <w:sz w:val="21"/>
        </w:rPr>
        <w:t> </w:t>
      </w:r>
      <w:r>
        <w:rPr>
          <w:sz w:val="21"/>
        </w:rPr>
        <w:t>and</w:t>
      </w:r>
      <w:r>
        <w:rPr>
          <w:spacing w:val="-2"/>
          <w:sz w:val="21"/>
        </w:rPr>
        <w:t> </w:t>
      </w:r>
      <w:r>
        <w:rPr>
          <w:sz w:val="21"/>
        </w:rPr>
        <w:t>rescuesite </w:t>
      </w:r>
    </w:p>
    <w:p>
      <w:pPr>
        <w:pStyle w:val="BodyText"/>
        <w:spacing w:before="2"/>
        <w:rPr>
          <w:sz w:val="18"/>
        </w:rPr>
      </w:pPr>
    </w:p>
    <w:p>
      <w:pPr>
        <w:pStyle w:val="BodyText"/>
        <w:ind w:left="838"/>
      </w:pPr>
      <w:r>
        <w:rPr/>
        <w:t>施工现场中供人员和设备实施灭火救援作业的场地。 </w:t>
      </w:r>
    </w:p>
    <w:p>
      <w:pPr>
        <w:pStyle w:val="BodyText"/>
        <w:spacing w:before="8"/>
        <w:rPr>
          <w:sz w:val="15"/>
        </w:rPr>
      </w:pPr>
    </w:p>
    <w:p>
      <w:pPr>
        <w:pStyle w:val="Heading4"/>
      </w:pPr>
      <w:r>
        <w:rPr/>
        <w:t>3 总平面布局</w:t>
      </w:r>
      <w:r>
        <w:rPr>
          <w:w w:val="99"/>
        </w:rPr>
        <w:t> </w:t>
      </w:r>
    </w:p>
    <w:p>
      <w:pPr>
        <w:pStyle w:val="BodyText"/>
        <w:spacing w:before="4"/>
        <w:rPr>
          <w:b/>
          <w:sz w:val="17"/>
        </w:rPr>
      </w:pPr>
    </w:p>
    <w:p>
      <w:pPr>
        <w:pStyle w:val="ListParagraph"/>
        <w:numPr>
          <w:ilvl w:val="1"/>
          <w:numId w:val="528"/>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2"/>
        <w:rPr>
          <w:sz w:val="18"/>
        </w:rPr>
      </w:pPr>
    </w:p>
    <w:p>
      <w:pPr>
        <w:pStyle w:val="ListParagraph"/>
        <w:numPr>
          <w:ilvl w:val="2"/>
          <w:numId w:val="528"/>
        </w:numPr>
        <w:tabs>
          <w:tab w:pos="1371" w:val="left" w:leader="none"/>
        </w:tabs>
        <w:spacing w:line="240" w:lineRule="auto" w:before="0" w:after="0"/>
        <w:ind w:left="1370" w:right="0" w:hanging="531"/>
        <w:jc w:val="left"/>
        <w:rPr>
          <w:sz w:val="21"/>
        </w:rPr>
      </w:pPr>
      <w:r>
        <w:rPr>
          <w:spacing w:val="-3"/>
          <w:sz w:val="21"/>
        </w:rPr>
        <w:t>临时用房、临时设施的布置应满足现场防火、灭火及人员安全疏散的要求。 </w:t>
      </w:r>
    </w:p>
    <w:p>
      <w:pPr>
        <w:pStyle w:val="BodyText"/>
        <w:rPr>
          <w:sz w:val="18"/>
        </w:rPr>
      </w:pPr>
    </w:p>
    <w:p>
      <w:pPr>
        <w:pStyle w:val="ListParagraph"/>
        <w:numPr>
          <w:ilvl w:val="2"/>
          <w:numId w:val="528"/>
        </w:numPr>
        <w:tabs>
          <w:tab w:pos="1371" w:val="left" w:leader="none"/>
        </w:tabs>
        <w:spacing w:line="240" w:lineRule="auto" w:before="0" w:after="0"/>
        <w:ind w:left="1370" w:right="0" w:hanging="531"/>
        <w:jc w:val="left"/>
        <w:rPr>
          <w:sz w:val="21"/>
        </w:rPr>
      </w:pPr>
      <w:r>
        <w:rPr>
          <w:spacing w:val="-3"/>
          <w:sz w:val="21"/>
        </w:rPr>
        <w:t>下列临时用房和临时设施应纳入施工现场总平面布局：</w:t>
      </w:r>
      <w:r>
        <w:rPr>
          <w:sz w:val="21"/>
        </w:rPr>
        <w:t> </w:t>
      </w:r>
    </w:p>
    <w:p>
      <w:pPr>
        <w:spacing w:after="0" w:line="240" w:lineRule="auto"/>
        <w:jc w:val="left"/>
        <w:rPr>
          <w:sz w:val="21"/>
        </w:rPr>
        <w:sectPr>
          <w:pgSz w:w="11910" w:h="16850"/>
          <w:pgMar w:header="0" w:footer="1239" w:top="1140" w:bottom="1420" w:left="1260" w:right="0"/>
        </w:sectPr>
      </w:pPr>
    </w:p>
    <w:p>
      <w:pPr>
        <w:pStyle w:val="ListParagraph"/>
        <w:numPr>
          <w:ilvl w:val="0"/>
          <w:numId w:val="529"/>
        </w:numPr>
        <w:tabs>
          <w:tab w:pos="1367" w:val="left" w:leader="none"/>
        </w:tabs>
        <w:spacing w:line="240" w:lineRule="auto" w:before="47" w:after="0"/>
        <w:ind w:left="1367" w:right="0" w:hanging="529"/>
        <w:jc w:val="left"/>
        <w:rPr>
          <w:sz w:val="21"/>
        </w:rPr>
      </w:pPr>
      <w:r>
        <w:rPr>
          <w:spacing w:val="-3"/>
          <w:sz w:val="21"/>
        </w:rPr>
        <w:t>施工现场的出入口、围墙、围挡。</w:t>
      </w:r>
      <w:r>
        <w:rPr>
          <w:sz w:val="21"/>
        </w:rPr>
        <w:t> </w:t>
      </w:r>
    </w:p>
    <w:p>
      <w:pPr>
        <w:pStyle w:val="BodyText"/>
        <w:rPr>
          <w:sz w:val="18"/>
        </w:rPr>
      </w:pPr>
    </w:p>
    <w:p>
      <w:pPr>
        <w:pStyle w:val="ListParagraph"/>
        <w:numPr>
          <w:ilvl w:val="0"/>
          <w:numId w:val="529"/>
        </w:numPr>
        <w:tabs>
          <w:tab w:pos="1367" w:val="left" w:leader="none"/>
        </w:tabs>
        <w:spacing w:line="240" w:lineRule="auto" w:before="0" w:after="0"/>
        <w:ind w:left="1367" w:right="0" w:hanging="529"/>
        <w:jc w:val="left"/>
        <w:rPr>
          <w:sz w:val="21"/>
        </w:rPr>
      </w:pPr>
      <w:r>
        <w:rPr>
          <w:spacing w:val="-3"/>
          <w:sz w:val="21"/>
        </w:rPr>
        <w:t>场内临时道路。</w:t>
      </w:r>
      <w:r>
        <w:rPr>
          <w:sz w:val="21"/>
        </w:rPr>
        <w:t> </w:t>
      </w:r>
    </w:p>
    <w:p>
      <w:pPr>
        <w:pStyle w:val="BodyText"/>
        <w:rPr>
          <w:sz w:val="18"/>
        </w:rPr>
      </w:pPr>
    </w:p>
    <w:p>
      <w:pPr>
        <w:pStyle w:val="ListParagraph"/>
        <w:numPr>
          <w:ilvl w:val="0"/>
          <w:numId w:val="529"/>
        </w:numPr>
        <w:tabs>
          <w:tab w:pos="1367" w:val="left" w:leader="none"/>
        </w:tabs>
        <w:spacing w:line="240" w:lineRule="auto" w:before="0" w:after="0"/>
        <w:ind w:left="1367" w:right="0" w:hanging="529"/>
        <w:jc w:val="left"/>
        <w:rPr>
          <w:sz w:val="21"/>
        </w:rPr>
      </w:pPr>
      <w:r>
        <w:rPr>
          <w:spacing w:val="-3"/>
          <w:sz w:val="21"/>
        </w:rPr>
        <w:t>给水管网或管路和配电线路敷设或架设的走向、高度。</w:t>
      </w:r>
      <w:r>
        <w:rPr>
          <w:sz w:val="21"/>
        </w:rPr>
        <w:t> </w:t>
      </w:r>
    </w:p>
    <w:p>
      <w:pPr>
        <w:pStyle w:val="BodyText"/>
        <w:spacing w:before="1"/>
        <w:rPr>
          <w:sz w:val="18"/>
        </w:rPr>
      </w:pPr>
    </w:p>
    <w:p>
      <w:pPr>
        <w:pStyle w:val="ListParagraph"/>
        <w:numPr>
          <w:ilvl w:val="0"/>
          <w:numId w:val="529"/>
        </w:numPr>
        <w:tabs>
          <w:tab w:pos="1367" w:val="left" w:leader="none"/>
        </w:tabs>
        <w:spacing w:line="446" w:lineRule="auto" w:before="1" w:after="0"/>
        <w:ind w:left="418" w:right="1505" w:firstLine="419"/>
        <w:jc w:val="left"/>
        <w:rPr>
          <w:sz w:val="21"/>
        </w:rPr>
      </w:pPr>
      <w:r>
        <w:rPr>
          <w:spacing w:val="-3"/>
          <w:sz w:val="21"/>
        </w:rPr>
        <w:t>施工现场办公用房、宿舍、发电机房、变配电房、可燃材料库房、易燃易爆危险品库房、可燃材料堆场及其加工场、固定动火作业场等。 </w:t>
      </w:r>
    </w:p>
    <w:p>
      <w:pPr>
        <w:pStyle w:val="ListParagraph"/>
        <w:numPr>
          <w:ilvl w:val="0"/>
          <w:numId w:val="529"/>
        </w:numPr>
        <w:tabs>
          <w:tab w:pos="1367" w:val="left" w:leader="none"/>
        </w:tabs>
        <w:spacing w:line="267" w:lineRule="exact" w:before="0" w:after="0"/>
        <w:ind w:left="1367" w:right="0" w:hanging="529"/>
        <w:jc w:val="left"/>
        <w:rPr>
          <w:sz w:val="21"/>
        </w:rPr>
      </w:pPr>
      <w:r>
        <w:rPr>
          <w:spacing w:val="-3"/>
          <w:sz w:val="21"/>
        </w:rPr>
        <w:t>临时消防车道、消防救援场地和消防水源。</w:t>
      </w:r>
      <w:r>
        <w:rPr>
          <w:sz w:val="21"/>
        </w:rPr>
        <w:t> </w:t>
      </w:r>
    </w:p>
    <w:p>
      <w:pPr>
        <w:pStyle w:val="BodyText"/>
        <w:spacing w:before="1"/>
        <w:rPr>
          <w:sz w:val="18"/>
        </w:rPr>
      </w:pPr>
    </w:p>
    <w:p>
      <w:pPr>
        <w:pStyle w:val="ListParagraph"/>
        <w:numPr>
          <w:ilvl w:val="2"/>
          <w:numId w:val="528"/>
        </w:numPr>
        <w:tabs>
          <w:tab w:pos="1371" w:val="left" w:leader="none"/>
        </w:tabs>
        <w:spacing w:line="446" w:lineRule="auto" w:before="1" w:after="0"/>
        <w:ind w:left="418" w:right="1498" w:firstLine="422"/>
        <w:jc w:val="left"/>
        <w:rPr>
          <w:sz w:val="21"/>
        </w:rPr>
      </w:pPr>
      <w:r>
        <w:rPr>
          <w:spacing w:val="-3"/>
          <w:sz w:val="21"/>
        </w:rPr>
        <w:t>施工现场出入口的设置应满足消防车通行的要求，并宜布置在不同方向，其数量不宜</w:t>
      </w:r>
      <w:r>
        <w:rPr>
          <w:spacing w:val="1"/>
          <w:sz w:val="21"/>
        </w:rPr>
        <w:t>少于 </w:t>
      </w:r>
      <w:r>
        <w:rPr>
          <w:sz w:val="21"/>
        </w:rPr>
        <w:t>2</w:t>
      </w:r>
      <w:r>
        <w:rPr>
          <w:spacing w:val="-2"/>
          <w:sz w:val="21"/>
        </w:rPr>
        <w:t> 个。当确有困难只能设置 </w:t>
      </w:r>
      <w:r>
        <w:rPr>
          <w:spacing w:val="-3"/>
          <w:sz w:val="21"/>
        </w:rPr>
        <w:t>1 个出入口时，应在施工现场内设置满足消防车通行的环形道路。</w:t>
      </w:r>
      <w:r>
        <w:rPr>
          <w:sz w:val="21"/>
        </w:rPr>
        <w:t> </w:t>
      </w:r>
    </w:p>
    <w:p>
      <w:pPr>
        <w:pStyle w:val="ListParagraph"/>
        <w:numPr>
          <w:ilvl w:val="2"/>
          <w:numId w:val="528"/>
        </w:numPr>
        <w:tabs>
          <w:tab w:pos="1371" w:val="left" w:leader="none"/>
        </w:tabs>
        <w:spacing w:line="446" w:lineRule="auto" w:before="0" w:after="0"/>
        <w:ind w:left="418" w:right="1604" w:firstLine="422"/>
        <w:jc w:val="left"/>
        <w:rPr>
          <w:sz w:val="21"/>
        </w:rPr>
      </w:pPr>
      <w:r>
        <w:rPr>
          <w:spacing w:val="-3"/>
          <w:sz w:val="21"/>
        </w:rPr>
        <w:t>施工现场临时办公、生活、生产、物料存贮等功能区宜相对独立布置，防火间距应符合本规范第 </w:t>
      </w:r>
      <w:r>
        <w:rPr>
          <w:sz w:val="21"/>
        </w:rPr>
        <w:t>3.2.1</w:t>
      </w:r>
      <w:r>
        <w:rPr>
          <w:spacing w:val="-3"/>
          <w:sz w:val="21"/>
        </w:rPr>
        <w:t> 条和第 </w:t>
      </w:r>
      <w:r>
        <w:rPr>
          <w:sz w:val="21"/>
        </w:rPr>
        <w:t>3.2.2</w:t>
      </w:r>
      <w:r>
        <w:rPr>
          <w:spacing w:val="-3"/>
          <w:sz w:val="21"/>
        </w:rPr>
        <w:t> 条的规定。</w:t>
      </w:r>
      <w:r>
        <w:rPr>
          <w:sz w:val="21"/>
        </w:rPr>
        <w:t> </w:t>
      </w:r>
    </w:p>
    <w:p>
      <w:pPr>
        <w:pStyle w:val="ListParagraph"/>
        <w:numPr>
          <w:ilvl w:val="2"/>
          <w:numId w:val="528"/>
        </w:numPr>
        <w:tabs>
          <w:tab w:pos="1371" w:val="left" w:leader="none"/>
        </w:tabs>
        <w:spacing w:line="446" w:lineRule="auto" w:before="0" w:after="0"/>
        <w:ind w:left="418" w:right="1498" w:firstLine="422"/>
        <w:jc w:val="left"/>
        <w:rPr>
          <w:sz w:val="21"/>
        </w:rPr>
      </w:pPr>
      <w:r>
        <w:rPr>
          <w:spacing w:val="-3"/>
          <w:sz w:val="21"/>
        </w:rPr>
        <w:t>固定动火作业场应布置在可燃材料堆场及其加工场、易燃易爆危险品库房等全年最小频率风向的上风侧，并宜布置在临时办公用房、宿舍、可燃材料库房、在建工程等全年最小频率风向的上风侧。</w:t>
      </w:r>
      <w:r>
        <w:rPr>
          <w:sz w:val="21"/>
        </w:rPr>
        <w:t> </w:t>
      </w:r>
    </w:p>
    <w:p>
      <w:pPr>
        <w:pStyle w:val="ListParagraph"/>
        <w:numPr>
          <w:ilvl w:val="2"/>
          <w:numId w:val="528"/>
        </w:numPr>
        <w:tabs>
          <w:tab w:pos="1371" w:val="left" w:leader="none"/>
        </w:tabs>
        <w:spacing w:line="268" w:lineRule="exact" w:before="0" w:after="0"/>
        <w:ind w:left="1370" w:right="0" w:hanging="531"/>
        <w:jc w:val="left"/>
        <w:rPr>
          <w:sz w:val="21"/>
        </w:rPr>
      </w:pPr>
      <w:r>
        <w:rPr>
          <w:spacing w:val="-3"/>
          <w:sz w:val="21"/>
        </w:rPr>
        <w:t>易燃易爆危险品库房应远离明火作业区、人员密集区和建筑物相对集中区。 </w:t>
      </w:r>
    </w:p>
    <w:p>
      <w:pPr>
        <w:pStyle w:val="BodyText"/>
        <w:spacing w:before="11"/>
        <w:rPr>
          <w:sz w:val="17"/>
        </w:rPr>
      </w:pPr>
    </w:p>
    <w:p>
      <w:pPr>
        <w:pStyle w:val="ListParagraph"/>
        <w:numPr>
          <w:ilvl w:val="2"/>
          <w:numId w:val="528"/>
        </w:numPr>
        <w:tabs>
          <w:tab w:pos="1370" w:val="left" w:leader="none"/>
        </w:tabs>
        <w:spacing w:line="240" w:lineRule="auto" w:before="0" w:after="0"/>
        <w:ind w:left="1369" w:right="0" w:hanging="530"/>
        <w:jc w:val="left"/>
        <w:rPr>
          <w:sz w:val="21"/>
        </w:rPr>
      </w:pPr>
      <w:r>
        <w:rPr>
          <w:spacing w:val="-3"/>
          <w:sz w:val="21"/>
        </w:rPr>
        <w:t>可燃材料堆场及其加工场、易燃易爆危险品库房不应布置在架空电力线下。 </w:t>
      </w:r>
    </w:p>
    <w:p>
      <w:pPr>
        <w:pStyle w:val="BodyText"/>
        <w:spacing w:before="12"/>
        <w:rPr>
          <w:sz w:val="17"/>
        </w:rPr>
      </w:pPr>
    </w:p>
    <w:p>
      <w:pPr>
        <w:pStyle w:val="ListParagraph"/>
        <w:numPr>
          <w:ilvl w:val="1"/>
          <w:numId w:val="528"/>
        </w:numPr>
        <w:tabs>
          <w:tab w:pos="1160" w:val="left" w:leader="none"/>
        </w:tabs>
        <w:spacing w:line="240" w:lineRule="auto" w:before="0" w:after="0"/>
        <w:ind w:left="1159" w:right="0" w:hanging="320"/>
        <w:jc w:val="left"/>
        <w:rPr>
          <w:sz w:val="21"/>
        </w:rPr>
      </w:pPr>
      <w:r>
        <w:rPr>
          <w:spacing w:val="-3"/>
          <w:sz w:val="21"/>
        </w:rPr>
        <w:t>防火间距</w:t>
      </w:r>
      <w:r>
        <w:rPr>
          <w:sz w:val="21"/>
        </w:rPr>
        <w:t> </w:t>
      </w:r>
    </w:p>
    <w:p>
      <w:pPr>
        <w:pStyle w:val="BodyText"/>
        <w:rPr>
          <w:sz w:val="18"/>
        </w:rPr>
      </w:pPr>
    </w:p>
    <w:p>
      <w:pPr>
        <w:pStyle w:val="ListParagraph"/>
        <w:numPr>
          <w:ilvl w:val="2"/>
          <w:numId w:val="528"/>
        </w:numPr>
        <w:tabs>
          <w:tab w:pos="1370" w:val="left" w:leader="none"/>
        </w:tabs>
        <w:spacing w:line="446" w:lineRule="auto" w:before="0" w:after="0"/>
        <w:ind w:left="418" w:right="1551" w:firstLine="422"/>
        <w:jc w:val="both"/>
        <w:rPr>
          <w:sz w:val="21"/>
        </w:rPr>
      </w:pPr>
      <w:r>
        <w:rPr>
          <w:spacing w:val="-4"/>
          <w:sz w:val="21"/>
        </w:rPr>
        <w:t>易燃易爆危险品库房与在建工程的防火间距不应小于 </w:t>
      </w:r>
      <w:r>
        <w:rPr>
          <w:sz w:val="21"/>
        </w:rPr>
        <w:t>15m</w:t>
      </w:r>
      <w:r>
        <w:rPr>
          <w:spacing w:val="-3"/>
          <w:sz w:val="21"/>
        </w:rPr>
        <w:t>，可燃材料堆场及其加工场</w:t>
      </w:r>
      <w:r>
        <w:rPr>
          <w:spacing w:val="-2"/>
          <w:sz w:val="21"/>
        </w:rPr>
        <w:t>、固定动火作业场与在建工程的防火间距不应小于 </w:t>
      </w:r>
      <w:r>
        <w:rPr>
          <w:sz w:val="21"/>
        </w:rPr>
        <w:t>10m</w:t>
      </w:r>
      <w:r>
        <w:rPr>
          <w:spacing w:val="-3"/>
          <w:sz w:val="21"/>
        </w:rPr>
        <w:t>，其他临时用房、临时设施与在建工程</w:t>
      </w:r>
      <w:r>
        <w:rPr>
          <w:spacing w:val="-8"/>
          <w:sz w:val="21"/>
        </w:rPr>
        <w:t>的防火间距不应小于 </w:t>
      </w:r>
      <w:r>
        <w:rPr>
          <w:spacing w:val="-3"/>
          <w:sz w:val="21"/>
        </w:rPr>
        <w:t>6m</w:t>
      </w:r>
      <w:r>
        <w:rPr>
          <w:sz w:val="21"/>
        </w:rPr>
        <w:t>。 </w:t>
      </w:r>
    </w:p>
    <w:p>
      <w:pPr>
        <w:pStyle w:val="ListParagraph"/>
        <w:numPr>
          <w:ilvl w:val="2"/>
          <w:numId w:val="528"/>
        </w:numPr>
        <w:tabs>
          <w:tab w:pos="1424" w:val="left" w:leader="none"/>
        </w:tabs>
        <w:spacing w:line="446" w:lineRule="auto" w:before="0" w:after="0"/>
        <w:ind w:left="418" w:right="1553" w:firstLine="422"/>
        <w:jc w:val="both"/>
        <w:rPr>
          <w:sz w:val="21"/>
        </w:rPr>
      </w:pPr>
      <w:r>
        <w:rPr>
          <w:spacing w:val="-3"/>
          <w:sz w:val="21"/>
        </w:rPr>
        <w:t>施工现场主要临时用房、临时设施的防火间距不应小于表 </w:t>
      </w:r>
      <w:r>
        <w:rPr>
          <w:sz w:val="21"/>
        </w:rPr>
        <w:t>3.2.2</w:t>
      </w:r>
      <w:r>
        <w:rPr>
          <w:spacing w:val="-1"/>
          <w:sz w:val="21"/>
        </w:rPr>
        <w:t> 的规定，当办公用</w:t>
      </w:r>
      <w:r>
        <w:rPr>
          <w:spacing w:val="-3"/>
          <w:sz w:val="21"/>
        </w:rPr>
        <w:t>房、宿舍成组布置时，其防火间距可适当减小，但应符合下列规定：</w:t>
      </w:r>
      <w:r>
        <w:rPr>
          <w:sz w:val="21"/>
        </w:rPr>
        <w:t> </w:t>
      </w:r>
    </w:p>
    <w:p>
      <w:pPr>
        <w:pStyle w:val="ListParagraph"/>
        <w:numPr>
          <w:ilvl w:val="0"/>
          <w:numId w:val="530"/>
        </w:numPr>
        <w:tabs>
          <w:tab w:pos="1367" w:val="left" w:leader="none"/>
        </w:tabs>
        <w:spacing w:line="240" w:lineRule="auto" w:before="0" w:after="0"/>
        <w:ind w:left="1367" w:right="0" w:hanging="529"/>
        <w:jc w:val="left"/>
        <w:rPr>
          <w:sz w:val="21"/>
        </w:rPr>
      </w:pPr>
      <w:r>
        <w:rPr>
          <w:spacing w:val="-3"/>
          <w:sz w:val="21"/>
        </w:rPr>
        <w:t>每组临时用房的栋数不应超过 </w:t>
      </w:r>
      <w:r>
        <w:rPr>
          <w:sz w:val="21"/>
        </w:rPr>
        <w:t>10</w:t>
      </w:r>
      <w:r>
        <w:rPr>
          <w:spacing w:val="-3"/>
          <w:sz w:val="21"/>
        </w:rPr>
        <w:t> 栋，组与组之间的防火间距不应小于 </w:t>
      </w:r>
      <w:r>
        <w:rPr>
          <w:sz w:val="21"/>
        </w:rPr>
        <w:t>8m</w:t>
      </w:r>
      <w:r>
        <w:rPr>
          <w:spacing w:val="-3"/>
          <w:sz w:val="21"/>
        </w:rPr>
        <w:t>。</w:t>
      </w:r>
      <w:r>
        <w:rPr>
          <w:sz w:val="21"/>
        </w:rPr>
        <w:t> </w:t>
      </w:r>
    </w:p>
    <w:p>
      <w:pPr>
        <w:pStyle w:val="BodyText"/>
        <w:spacing w:before="11"/>
        <w:rPr>
          <w:sz w:val="17"/>
        </w:rPr>
      </w:pPr>
    </w:p>
    <w:p>
      <w:pPr>
        <w:pStyle w:val="ListParagraph"/>
        <w:numPr>
          <w:ilvl w:val="0"/>
          <w:numId w:val="530"/>
        </w:numPr>
        <w:tabs>
          <w:tab w:pos="1367" w:val="left" w:leader="none"/>
        </w:tabs>
        <w:spacing w:line="446" w:lineRule="auto" w:before="0" w:after="0"/>
        <w:ind w:left="418" w:right="1507" w:firstLine="419"/>
        <w:jc w:val="left"/>
        <w:rPr>
          <w:sz w:val="21"/>
        </w:rPr>
      </w:pPr>
      <w:r>
        <w:rPr>
          <w:spacing w:val="-3"/>
          <w:sz w:val="21"/>
        </w:rPr>
        <w:t>组内临时用房之间的防火间距不应小于 </w:t>
      </w:r>
      <w:r>
        <w:rPr>
          <w:sz w:val="21"/>
        </w:rPr>
        <w:t>3.5m</w:t>
      </w:r>
      <w:r>
        <w:rPr>
          <w:spacing w:val="-2"/>
          <w:sz w:val="21"/>
        </w:rPr>
        <w:t>，当建筑构件燃烧性能等级为 </w:t>
      </w:r>
      <w:r>
        <w:rPr>
          <w:sz w:val="21"/>
        </w:rPr>
        <w:t>A 级时， </w:t>
      </w:r>
      <w:r>
        <w:rPr>
          <w:spacing w:val="-3"/>
          <w:sz w:val="21"/>
        </w:rPr>
        <w:t>其防火间距可减少到 </w:t>
      </w:r>
      <w:r>
        <w:rPr>
          <w:sz w:val="21"/>
        </w:rPr>
        <w:t>3m</w:t>
      </w:r>
      <w:r>
        <w:rPr>
          <w:spacing w:val="-3"/>
          <w:sz w:val="21"/>
        </w:rPr>
        <w:t>。</w:t>
      </w:r>
      <w:r>
        <w:rPr>
          <w:sz w:val="21"/>
        </w:rPr>
        <w:t> </w:t>
      </w:r>
    </w:p>
    <w:p>
      <w:pPr>
        <w:pStyle w:val="BodyText"/>
        <w:rPr>
          <w:sz w:val="20"/>
        </w:rPr>
      </w:pPr>
    </w:p>
    <w:p>
      <w:pPr>
        <w:pStyle w:val="BodyText"/>
        <w:rPr>
          <w:sz w:val="20"/>
        </w:rPr>
      </w:pPr>
    </w:p>
    <w:p>
      <w:pPr>
        <w:pStyle w:val="BodyText"/>
        <w:rPr>
          <w:sz w:val="20"/>
        </w:rPr>
      </w:pPr>
    </w:p>
    <w:p>
      <w:pPr>
        <w:pStyle w:val="BodyText"/>
        <w:spacing w:before="2"/>
        <w:rPr>
          <w:sz w:val="18"/>
        </w:rPr>
      </w:pPr>
    </w:p>
    <w:p>
      <w:pPr>
        <w:pStyle w:val="BodyText"/>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spacing w:before="7"/>
        <w:rPr>
          <w:sz w:val="25"/>
        </w:rPr>
      </w:pPr>
    </w:p>
    <w:p>
      <w:pPr>
        <w:pStyle w:val="ListParagraph"/>
        <w:numPr>
          <w:ilvl w:val="1"/>
          <w:numId w:val="528"/>
        </w:numPr>
        <w:tabs>
          <w:tab w:pos="1159" w:val="left" w:leader="none"/>
        </w:tabs>
        <w:spacing w:line="240" w:lineRule="auto" w:before="72" w:after="0"/>
        <w:ind w:left="1158" w:right="0" w:hanging="319"/>
        <w:jc w:val="left"/>
        <w:rPr>
          <w:b/>
          <w:sz w:val="21"/>
        </w:rPr>
      </w:pPr>
      <w:r>
        <w:rPr>
          <w:spacing w:val="-3"/>
          <w:sz w:val="21"/>
        </w:rPr>
        <w:t>消防车道</w:t>
      </w:r>
      <w:r>
        <w:rPr>
          <w:b/>
          <w:w w:val="99"/>
          <w:sz w:val="21"/>
        </w:rPr>
        <w:t> </w:t>
      </w:r>
    </w:p>
    <w:p>
      <w:pPr>
        <w:pStyle w:val="BodyText"/>
        <w:spacing w:before="3"/>
        <w:rPr>
          <w:b/>
          <w:sz w:val="20"/>
        </w:rPr>
      </w:pPr>
      <w:r>
        <w:rPr/>
        <w:drawing>
          <wp:anchor distT="0" distB="0" distL="0" distR="0" allowOverlap="1" layoutInCell="1" locked="0" behindDoc="0" simplePos="0" relativeHeight="200">
            <wp:simplePos x="0" y="0"/>
            <wp:positionH relativeFrom="page">
              <wp:posOffset>1284605</wp:posOffset>
            </wp:positionH>
            <wp:positionV relativeFrom="paragraph">
              <wp:posOffset>189912</wp:posOffset>
            </wp:positionV>
            <wp:extent cx="4941117" cy="4143375"/>
            <wp:effectExtent l="0" t="0" r="0" b="0"/>
            <wp:wrapTopAndBottom/>
            <wp:docPr id="467" name="image274.jpeg"/>
            <wp:cNvGraphicFramePr>
              <a:graphicFrameLocks noChangeAspect="1"/>
            </wp:cNvGraphicFramePr>
            <a:graphic>
              <a:graphicData uri="http://schemas.openxmlformats.org/drawingml/2006/picture">
                <pic:pic>
                  <pic:nvPicPr>
                    <pic:cNvPr id="468" name="image274.jpeg"/>
                    <pic:cNvPicPr/>
                  </pic:nvPicPr>
                  <pic:blipFill>
                    <a:blip r:embed="rId331" cstate="print"/>
                    <a:stretch>
                      <a:fillRect/>
                    </a:stretch>
                  </pic:blipFill>
                  <pic:spPr>
                    <a:xfrm>
                      <a:off x="0" y="0"/>
                      <a:ext cx="4941117" cy="4143375"/>
                    </a:xfrm>
                    <a:prstGeom prst="rect">
                      <a:avLst/>
                    </a:prstGeom>
                  </pic:spPr>
                </pic:pic>
              </a:graphicData>
            </a:graphic>
          </wp:anchor>
        </w:drawing>
      </w:r>
    </w:p>
    <w:p>
      <w:pPr>
        <w:pStyle w:val="ListParagraph"/>
        <w:numPr>
          <w:ilvl w:val="2"/>
          <w:numId w:val="528"/>
        </w:numPr>
        <w:tabs>
          <w:tab w:pos="1371" w:val="left" w:leader="none"/>
        </w:tabs>
        <w:spacing w:line="446" w:lineRule="auto" w:before="177" w:after="0"/>
        <w:ind w:left="418" w:right="1498" w:firstLine="422"/>
        <w:jc w:val="both"/>
        <w:rPr>
          <w:sz w:val="21"/>
        </w:rPr>
      </w:pPr>
      <w:r>
        <w:rPr>
          <w:spacing w:val="-3"/>
          <w:sz w:val="21"/>
        </w:rPr>
        <w:t>施工现场内应设置临时消防车道，临时消防车道与在建工程、临时用房、可燃材料堆</w:t>
      </w:r>
      <w:r>
        <w:rPr>
          <w:spacing w:val="-2"/>
          <w:sz w:val="21"/>
        </w:rPr>
        <w:t>场及其加工场的距离不宜小于 </w:t>
      </w:r>
      <w:r>
        <w:rPr>
          <w:sz w:val="21"/>
        </w:rPr>
        <w:t>5m</w:t>
      </w:r>
      <w:r>
        <w:rPr>
          <w:spacing w:val="-1"/>
          <w:sz w:val="21"/>
        </w:rPr>
        <w:t>，且不宜大于 </w:t>
      </w:r>
      <w:r>
        <w:rPr>
          <w:sz w:val="21"/>
        </w:rPr>
        <w:t>40m；</w:t>
      </w:r>
      <w:r>
        <w:rPr>
          <w:spacing w:val="-3"/>
          <w:sz w:val="21"/>
        </w:rPr>
        <w:t>施工现场周边道路满足消防车通行及灭火救援要求时，施工现场内可不设置临时消防车道。 </w:t>
      </w:r>
    </w:p>
    <w:p>
      <w:pPr>
        <w:pStyle w:val="ListParagraph"/>
        <w:numPr>
          <w:ilvl w:val="2"/>
          <w:numId w:val="528"/>
        </w:numPr>
        <w:tabs>
          <w:tab w:pos="1371" w:val="left" w:leader="none"/>
        </w:tabs>
        <w:spacing w:line="268" w:lineRule="exact" w:before="0" w:after="0"/>
        <w:ind w:left="1370" w:right="0" w:hanging="531"/>
        <w:jc w:val="both"/>
        <w:rPr>
          <w:sz w:val="21"/>
        </w:rPr>
      </w:pPr>
      <w:r>
        <w:rPr>
          <w:spacing w:val="-3"/>
          <w:sz w:val="21"/>
        </w:rPr>
        <w:t>临时消防车道的设置应符合下列规定： </w:t>
      </w:r>
    </w:p>
    <w:p>
      <w:pPr>
        <w:pStyle w:val="BodyText"/>
        <w:spacing w:before="2"/>
        <w:rPr>
          <w:sz w:val="18"/>
        </w:rPr>
      </w:pPr>
    </w:p>
    <w:p>
      <w:pPr>
        <w:pStyle w:val="ListParagraph"/>
        <w:numPr>
          <w:ilvl w:val="0"/>
          <w:numId w:val="531"/>
        </w:numPr>
        <w:tabs>
          <w:tab w:pos="1367" w:val="left" w:leader="none"/>
        </w:tabs>
        <w:spacing w:line="446" w:lineRule="auto" w:before="0" w:after="0"/>
        <w:ind w:left="418" w:right="1505" w:firstLine="419"/>
        <w:jc w:val="left"/>
        <w:rPr>
          <w:sz w:val="21"/>
        </w:rPr>
      </w:pPr>
      <w:r>
        <w:rPr>
          <w:spacing w:val="-3"/>
          <w:sz w:val="21"/>
        </w:rPr>
        <w:t>临时消防车道宜为环形，设置环形车道确有困难时，应在消防车道尽端设置尺寸不小于 12m×l2m 的回车场。 </w:t>
      </w:r>
    </w:p>
    <w:p>
      <w:pPr>
        <w:pStyle w:val="ListParagraph"/>
        <w:numPr>
          <w:ilvl w:val="0"/>
          <w:numId w:val="531"/>
        </w:numPr>
        <w:tabs>
          <w:tab w:pos="1367" w:val="left" w:leader="none"/>
        </w:tabs>
        <w:spacing w:line="267" w:lineRule="exact" w:before="0" w:after="0"/>
        <w:ind w:left="1367" w:right="0" w:hanging="529"/>
        <w:jc w:val="left"/>
        <w:rPr>
          <w:sz w:val="21"/>
        </w:rPr>
      </w:pPr>
      <w:r>
        <w:rPr>
          <w:spacing w:val="-3"/>
          <w:sz w:val="21"/>
        </w:rPr>
        <w:t>临时消防车道的净宽度和净空高度均不应小于 </w:t>
      </w:r>
      <w:r>
        <w:rPr>
          <w:sz w:val="21"/>
        </w:rPr>
        <w:t>4m</w:t>
      </w:r>
      <w:r>
        <w:rPr>
          <w:spacing w:val="-3"/>
          <w:sz w:val="21"/>
        </w:rPr>
        <w:t>。</w:t>
      </w:r>
      <w:r>
        <w:rPr>
          <w:sz w:val="21"/>
        </w:rPr>
        <w:t> </w:t>
      </w:r>
    </w:p>
    <w:p>
      <w:pPr>
        <w:pStyle w:val="BodyText"/>
        <w:spacing w:before="2"/>
        <w:rPr>
          <w:sz w:val="18"/>
        </w:rPr>
      </w:pPr>
    </w:p>
    <w:p>
      <w:pPr>
        <w:pStyle w:val="ListParagraph"/>
        <w:numPr>
          <w:ilvl w:val="0"/>
          <w:numId w:val="531"/>
        </w:numPr>
        <w:tabs>
          <w:tab w:pos="1367" w:val="left" w:leader="none"/>
        </w:tabs>
        <w:spacing w:line="240" w:lineRule="auto" w:before="0" w:after="0"/>
        <w:ind w:left="1367" w:right="0" w:hanging="529"/>
        <w:jc w:val="left"/>
        <w:rPr>
          <w:sz w:val="21"/>
        </w:rPr>
      </w:pPr>
      <w:r>
        <w:rPr>
          <w:spacing w:val="-3"/>
          <w:sz w:val="21"/>
        </w:rPr>
        <w:t>临时消防车道的右侧应设置消防车行进路线指示标识。</w:t>
      </w:r>
      <w:r>
        <w:rPr>
          <w:sz w:val="21"/>
        </w:rPr>
        <w:t> </w:t>
      </w:r>
    </w:p>
    <w:p>
      <w:pPr>
        <w:pStyle w:val="BodyText"/>
        <w:spacing w:before="12"/>
        <w:rPr>
          <w:sz w:val="17"/>
        </w:rPr>
      </w:pPr>
    </w:p>
    <w:p>
      <w:pPr>
        <w:pStyle w:val="ListParagraph"/>
        <w:numPr>
          <w:ilvl w:val="0"/>
          <w:numId w:val="531"/>
        </w:numPr>
        <w:tabs>
          <w:tab w:pos="1367" w:val="left" w:leader="none"/>
        </w:tabs>
        <w:spacing w:line="240" w:lineRule="auto" w:before="0" w:after="0"/>
        <w:ind w:left="1367" w:right="0" w:hanging="529"/>
        <w:jc w:val="left"/>
        <w:rPr>
          <w:sz w:val="21"/>
        </w:rPr>
      </w:pPr>
      <w:r>
        <w:rPr>
          <w:spacing w:val="-3"/>
          <w:sz w:val="21"/>
        </w:rPr>
        <w:t>临时消防车道路基、路面及其下部设施应能承受消防车通行压力及工作荷载。</w:t>
      </w:r>
      <w:r>
        <w:rPr>
          <w:sz w:val="21"/>
        </w:rPr>
        <w:t> </w:t>
      </w:r>
    </w:p>
    <w:p>
      <w:pPr>
        <w:pStyle w:val="BodyText"/>
        <w:rPr>
          <w:sz w:val="18"/>
        </w:rPr>
      </w:pPr>
    </w:p>
    <w:p>
      <w:pPr>
        <w:pStyle w:val="ListParagraph"/>
        <w:numPr>
          <w:ilvl w:val="2"/>
          <w:numId w:val="528"/>
        </w:numPr>
        <w:tabs>
          <w:tab w:pos="1424" w:val="left" w:leader="none"/>
        </w:tabs>
        <w:spacing w:line="240" w:lineRule="auto" w:before="0" w:after="0"/>
        <w:ind w:left="1423" w:right="0" w:hanging="584"/>
        <w:jc w:val="left"/>
        <w:rPr>
          <w:sz w:val="21"/>
        </w:rPr>
      </w:pPr>
      <w:r>
        <w:rPr>
          <w:spacing w:val="-3"/>
          <w:sz w:val="21"/>
        </w:rPr>
        <w:t>下列建筑应设置环形临时消防车道，设置环形临时消防车道确有困难时，除应按本规</w:t>
      </w:r>
    </w:p>
    <w:p>
      <w:pPr>
        <w:spacing w:after="0" w:line="240" w:lineRule="auto"/>
        <w:jc w:val="left"/>
        <w:rPr>
          <w:sz w:val="21"/>
        </w:rPr>
        <w:sectPr>
          <w:pgSz w:w="11910" w:h="16850"/>
          <w:pgMar w:header="0" w:footer="1239" w:top="1600" w:bottom="1420" w:left="1260" w:right="0"/>
        </w:sectPr>
      </w:pPr>
    </w:p>
    <w:p>
      <w:pPr>
        <w:pStyle w:val="BodyText"/>
        <w:spacing w:line="446" w:lineRule="auto" w:before="47"/>
        <w:ind w:left="418" w:right="1822"/>
      </w:pPr>
      <w:r>
        <w:rPr/>
        <w:t>范第 3.3.2 条的规定设置回车场外，尚应按本规范第 3.3.4 条的规定设置临时消防救援场地： </w:t>
      </w:r>
    </w:p>
    <w:p>
      <w:pPr>
        <w:pStyle w:val="ListParagraph"/>
        <w:numPr>
          <w:ilvl w:val="0"/>
          <w:numId w:val="532"/>
        </w:numPr>
        <w:tabs>
          <w:tab w:pos="1367" w:val="left" w:leader="none"/>
        </w:tabs>
        <w:spacing w:line="267" w:lineRule="exact" w:before="0" w:after="0"/>
        <w:ind w:left="1367" w:right="0" w:hanging="529"/>
        <w:jc w:val="left"/>
        <w:rPr>
          <w:sz w:val="21"/>
        </w:rPr>
      </w:pPr>
      <w:r>
        <w:rPr>
          <w:spacing w:val="-3"/>
          <w:sz w:val="21"/>
        </w:rPr>
        <w:t>建筑高度大于 </w:t>
      </w:r>
      <w:r>
        <w:rPr>
          <w:sz w:val="21"/>
        </w:rPr>
        <w:t>24m</w:t>
      </w:r>
      <w:r>
        <w:rPr>
          <w:spacing w:val="-3"/>
          <w:sz w:val="21"/>
        </w:rPr>
        <w:t> 的在建工程。</w:t>
      </w:r>
      <w:r>
        <w:rPr>
          <w:sz w:val="21"/>
        </w:rPr>
        <w:t> </w:t>
      </w:r>
    </w:p>
    <w:p>
      <w:pPr>
        <w:pStyle w:val="BodyText"/>
        <w:spacing w:before="5"/>
        <w:rPr>
          <w:sz w:val="17"/>
        </w:rPr>
      </w:pPr>
    </w:p>
    <w:p>
      <w:pPr>
        <w:pStyle w:val="ListParagraph"/>
        <w:numPr>
          <w:ilvl w:val="0"/>
          <w:numId w:val="532"/>
        </w:numPr>
        <w:tabs>
          <w:tab w:pos="1367" w:val="left" w:leader="none"/>
        </w:tabs>
        <w:spacing w:line="240" w:lineRule="auto" w:before="0" w:after="0"/>
        <w:ind w:left="1367" w:right="0" w:hanging="529"/>
        <w:jc w:val="left"/>
        <w:rPr>
          <w:sz w:val="21"/>
        </w:rPr>
      </w:pPr>
      <w:r>
        <w:rPr>
          <w:spacing w:val="-3"/>
          <w:sz w:val="21"/>
        </w:rPr>
        <w:t>建筑工程单体占地面积大于 </w:t>
      </w:r>
      <w:r>
        <w:rPr>
          <w:sz w:val="21"/>
        </w:rPr>
        <w:t>3000m</w:t>
      </w:r>
      <w:r>
        <w:rPr>
          <w:position w:val="11"/>
          <w:sz w:val="11"/>
        </w:rPr>
        <w:t>2</w:t>
      </w:r>
      <w:r>
        <w:rPr>
          <w:spacing w:val="-29"/>
          <w:position w:val="11"/>
          <w:sz w:val="11"/>
        </w:rPr>
        <w:t> </w:t>
      </w:r>
      <w:r>
        <w:rPr>
          <w:spacing w:val="-3"/>
          <w:sz w:val="21"/>
        </w:rPr>
        <w:t>的在建工程。 </w:t>
      </w:r>
    </w:p>
    <w:p>
      <w:pPr>
        <w:pStyle w:val="BodyText"/>
        <w:spacing w:before="12"/>
        <w:rPr>
          <w:sz w:val="17"/>
        </w:rPr>
      </w:pPr>
    </w:p>
    <w:p>
      <w:pPr>
        <w:pStyle w:val="ListParagraph"/>
        <w:numPr>
          <w:ilvl w:val="0"/>
          <w:numId w:val="532"/>
        </w:numPr>
        <w:tabs>
          <w:tab w:pos="1367" w:val="left" w:leader="none"/>
        </w:tabs>
        <w:spacing w:line="240" w:lineRule="auto" w:before="0" w:after="0"/>
        <w:ind w:left="1367" w:right="0" w:hanging="529"/>
        <w:jc w:val="left"/>
        <w:rPr>
          <w:sz w:val="21"/>
        </w:rPr>
      </w:pPr>
      <w:r>
        <w:rPr>
          <w:spacing w:val="-1"/>
          <w:sz w:val="21"/>
        </w:rPr>
        <w:t>超过 </w:t>
      </w:r>
      <w:r>
        <w:rPr>
          <w:sz w:val="21"/>
        </w:rPr>
        <w:t>10</w:t>
      </w:r>
      <w:r>
        <w:rPr>
          <w:spacing w:val="-3"/>
          <w:sz w:val="21"/>
        </w:rPr>
        <w:t> 栋，且成组布置的临时用房。</w:t>
      </w:r>
      <w:r>
        <w:rPr>
          <w:sz w:val="21"/>
        </w:rPr>
        <w:t> </w:t>
      </w:r>
    </w:p>
    <w:p>
      <w:pPr>
        <w:pStyle w:val="BodyText"/>
        <w:rPr>
          <w:sz w:val="18"/>
        </w:rPr>
      </w:pPr>
    </w:p>
    <w:p>
      <w:pPr>
        <w:pStyle w:val="ListParagraph"/>
        <w:numPr>
          <w:ilvl w:val="2"/>
          <w:numId w:val="528"/>
        </w:numPr>
        <w:tabs>
          <w:tab w:pos="1370" w:val="left" w:leader="none"/>
        </w:tabs>
        <w:spacing w:line="240" w:lineRule="auto" w:before="0" w:after="0"/>
        <w:ind w:left="1369" w:right="0" w:hanging="530"/>
        <w:jc w:val="left"/>
        <w:rPr>
          <w:sz w:val="21"/>
        </w:rPr>
      </w:pPr>
      <w:r>
        <w:rPr>
          <w:spacing w:val="-3"/>
          <w:sz w:val="21"/>
        </w:rPr>
        <w:t>临时消防救援场地的设置应符合下列规定：</w:t>
      </w:r>
      <w:r>
        <w:rPr>
          <w:sz w:val="21"/>
        </w:rPr>
        <w:t> </w:t>
      </w:r>
    </w:p>
    <w:p>
      <w:pPr>
        <w:pStyle w:val="BodyText"/>
        <w:spacing w:before="2"/>
        <w:rPr>
          <w:sz w:val="18"/>
        </w:rPr>
      </w:pPr>
    </w:p>
    <w:p>
      <w:pPr>
        <w:pStyle w:val="ListParagraph"/>
        <w:numPr>
          <w:ilvl w:val="0"/>
          <w:numId w:val="533"/>
        </w:numPr>
        <w:tabs>
          <w:tab w:pos="1367" w:val="left" w:leader="none"/>
        </w:tabs>
        <w:spacing w:line="240" w:lineRule="auto" w:before="0" w:after="0"/>
        <w:ind w:left="1367" w:right="0" w:hanging="529"/>
        <w:jc w:val="left"/>
        <w:rPr>
          <w:sz w:val="21"/>
        </w:rPr>
      </w:pPr>
      <w:r>
        <w:rPr>
          <w:spacing w:val="-3"/>
          <w:sz w:val="21"/>
        </w:rPr>
        <w:t>临时消防救援场地应在在建工程装饰装修阶段设置。</w:t>
      </w:r>
      <w:r>
        <w:rPr>
          <w:sz w:val="21"/>
        </w:rPr>
        <w:t> </w:t>
      </w:r>
    </w:p>
    <w:p>
      <w:pPr>
        <w:pStyle w:val="BodyText"/>
        <w:rPr>
          <w:sz w:val="18"/>
        </w:rPr>
      </w:pPr>
    </w:p>
    <w:p>
      <w:pPr>
        <w:pStyle w:val="ListParagraph"/>
        <w:numPr>
          <w:ilvl w:val="0"/>
          <w:numId w:val="533"/>
        </w:numPr>
        <w:tabs>
          <w:tab w:pos="1367" w:val="left" w:leader="none"/>
        </w:tabs>
        <w:spacing w:line="446" w:lineRule="auto" w:before="0" w:after="0"/>
        <w:ind w:left="418" w:right="1505" w:firstLine="419"/>
        <w:jc w:val="left"/>
        <w:rPr>
          <w:sz w:val="21"/>
        </w:rPr>
      </w:pPr>
      <w:r>
        <w:rPr>
          <w:spacing w:val="-3"/>
          <w:sz w:val="21"/>
        </w:rPr>
        <w:t>临时消防救援场地应设置在成组布置的临时用房场地的长边一侧及在建工程的长边一侧。</w:t>
      </w:r>
      <w:r>
        <w:rPr>
          <w:sz w:val="21"/>
        </w:rPr>
        <w:t> </w:t>
      </w:r>
    </w:p>
    <w:p>
      <w:pPr>
        <w:pStyle w:val="ListParagraph"/>
        <w:numPr>
          <w:ilvl w:val="0"/>
          <w:numId w:val="533"/>
        </w:numPr>
        <w:tabs>
          <w:tab w:pos="1367" w:val="left" w:leader="none"/>
        </w:tabs>
        <w:spacing w:line="446" w:lineRule="auto" w:before="0" w:after="0"/>
        <w:ind w:left="418" w:right="1611" w:firstLine="419"/>
        <w:jc w:val="left"/>
        <w:rPr>
          <w:sz w:val="21"/>
        </w:rPr>
      </w:pPr>
      <w:r>
        <w:rPr>
          <w:spacing w:val="-2"/>
          <w:sz w:val="21"/>
        </w:rPr>
        <w:t>临时救援场地宽度应满足消防车正常操作要求，且不应小于 </w:t>
      </w:r>
      <w:r>
        <w:rPr>
          <w:sz w:val="21"/>
        </w:rPr>
        <w:t>6m</w:t>
      </w:r>
      <w:r>
        <w:rPr>
          <w:spacing w:val="-3"/>
          <w:sz w:val="21"/>
        </w:rPr>
        <w:t>，与在建工程外脚手架的净距不宜小于 </w:t>
      </w:r>
      <w:r>
        <w:rPr>
          <w:sz w:val="21"/>
        </w:rPr>
        <w:t>2m</w:t>
      </w:r>
      <w:r>
        <w:rPr>
          <w:spacing w:val="-3"/>
          <w:sz w:val="21"/>
        </w:rPr>
        <w:t>，且不宜超过 </w:t>
      </w:r>
      <w:r>
        <w:rPr>
          <w:sz w:val="21"/>
        </w:rPr>
        <w:t>6m</w:t>
      </w:r>
      <w:r>
        <w:rPr>
          <w:spacing w:val="-3"/>
          <w:sz w:val="21"/>
        </w:rPr>
        <w:t>。</w:t>
      </w:r>
      <w:r>
        <w:rPr>
          <w:sz w:val="21"/>
        </w:rPr>
        <w:t> </w:t>
      </w:r>
    </w:p>
    <w:p>
      <w:pPr>
        <w:pStyle w:val="Heading4"/>
        <w:spacing w:line="275" w:lineRule="exact"/>
      </w:pPr>
      <w:r>
        <w:rPr/>
        <w:t>4 建筑防火</w:t>
      </w:r>
      <w:r>
        <w:rPr>
          <w:w w:val="99"/>
        </w:rPr>
        <w:t> </w:t>
      </w:r>
    </w:p>
    <w:p>
      <w:pPr>
        <w:pStyle w:val="BodyText"/>
        <w:spacing w:before="6"/>
        <w:rPr>
          <w:b/>
          <w:sz w:val="17"/>
        </w:rPr>
      </w:pPr>
    </w:p>
    <w:p>
      <w:pPr>
        <w:pStyle w:val="ListParagraph"/>
        <w:numPr>
          <w:ilvl w:val="1"/>
          <w:numId w:val="534"/>
        </w:numPr>
        <w:tabs>
          <w:tab w:pos="1160" w:val="left" w:leader="none"/>
        </w:tabs>
        <w:spacing w:line="240" w:lineRule="auto" w:before="0" w:after="0"/>
        <w:ind w:left="1159" w:right="0" w:hanging="320"/>
        <w:jc w:val="left"/>
        <w:rPr>
          <w:sz w:val="21"/>
        </w:rPr>
      </w:pPr>
      <w:r>
        <w:rPr>
          <w:spacing w:val="-3"/>
          <w:sz w:val="21"/>
        </w:rPr>
        <w:t>一般规定</w:t>
      </w:r>
      <w:r>
        <w:rPr>
          <w:sz w:val="21"/>
        </w:rPr>
        <w:t> </w:t>
      </w:r>
    </w:p>
    <w:p>
      <w:pPr>
        <w:pStyle w:val="BodyText"/>
        <w:rPr>
          <w:sz w:val="18"/>
        </w:rPr>
      </w:pPr>
    </w:p>
    <w:p>
      <w:pPr>
        <w:pStyle w:val="ListParagraph"/>
        <w:numPr>
          <w:ilvl w:val="2"/>
          <w:numId w:val="534"/>
        </w:numPr>
        <w:tabs>
          <w:tab w:pos="1371" w:val="left" w:leader="none"/>
        </w:tabs>
        <w:spacing w:line="240" w:lineRule="auto" w:before="0" w:after="0"/>
        <w:ind w:left="1370" w:right="0" w:hanging="531"/>
        <w:jc w:val="left"/>
        <w:rPr>
          <w:sz w:val="21"/>
        </w:rPr>
      </w:pPr>
      <w:r>
        <w:rPr>
          <w:spacing w:val="-3"/>
          <w:sz w:val="21"/>
        </w:rPr>
        <w:t>临时用房和在建工程应采取可靠的防火分隔和安全疏散等防火技术措施。 </w:t>
      </w:r>
    </w:p>
    <w:p>
      <w:pPr>
        <w:pStyle w:val="BodyText"/>
        <w:spacing w:before="12"/>
        <w:rPr>
          <w:sz w:val="17"/>
        </w:rPr>
      </w:pPr>
    </w:p>
    <w:p>
      <w:pPr>
        <w:pStyle w:val="ListParagraph"/>
        <w:numPr>
          <w:ilvl w:val="2"/>
          <w:numId w:val="534"/>
        </w:numPr>
        <w:tabs>
          <w:tab w:pos="1370" w:val="left" w:leader="none"/>
        </w:tabs>
        <w:spacing w:line="240" w:lineRule="auto" w:before="0" w:after="0"/>
        <w:ind w:left="1369" w:right="0" w:hanging="530"/>
        <w:jc w:val="left"/>
        <w:rPr>
          <w:sz w:val="21"/>
        </w:rPr>
      </w:pPr>
      <w:r>
        <w:rPr>
          <w:spacing w:val="-3"/>
          <w:sz w:val="21"/>
        </w:rPr>
        <w:t>临时用房的防火设计应根据其使用性质及火灾危险性等情况进行确定。 </w:t>
      </w:r>
    </w:p>
    <w:p>
      <w:pPr>
        <w:pStyle w:val="BodyText"/>
        <w:spacing w:before="2"/>
        <w:rPr>
          <w:sz w:val="18"/>
        </w:rPr>
      </w:pPr>
    </w:p>
    <w:p>
      <w:pPr>
        <w:pStyle w:val="ListParagraph"/>
        <w:numPr>
          <w:ilvl w:val="2"/>
          <w:numId w:val="534"/>
        </w:numPr>
        <w:tabs>
          <w:tab w:pos="1370" w:val="left" w:leader="none"/>
        </w:tabs>
        <w:spacing w:line="446" w:lineRule="auto" w:before="0" w:after="0"/>
        <w:ind w:left="418" w:right="1604" w:firstLine="422"/>
        <w:jc w:val="left"/>
        <w:rPr>
          <w:sz w:val="21"/>
        </w:rPr>
      </w:pPr>
      <w:r>
        <w:rPr>
          <w:spacing w:val="-3"/>
          <w:sz w:val="21"/>
        </w:rPr>
        <w:t>在建工程防火设计应根据施工性质、建筑高度、建筑规模及结构特点等情况进行确定。</w:t>
      </w:r>
      <w:r>
        <w:rPr>
          <w:sz w:val="21"/>
        </w:rPr>
        <w:t> </w:t>
      </w:r>
    </w:p>
    <w:p>
      <w:pPr>
        <w:pStyle w:val="ListParagraph"/>
        <w:numPr>
          <w:ilvl w:val="1"/>
          <w:numId w:val="534"/>
        </w:numPr>
        <w:tabs>
          <w:tab w:pos="1159" w:val="left" w:leader="none"/>
        </w:tabs>
        <w:spacing w:line="267" w:lineRule="exact" w:before="0" w:after="0"/>
        <w:ind w:left="1158" w:right="0" w:hanging="319"/>
        <w:jc w:val="left"/>
        <w:rPr>
          <w:b/>
          <w:sz w:val="21"/>
        </w:rPr>
      </w:pPr>
      <w:r>
        <w:rPr>
          <w:spacing w:val="-3"/>
          <w:sz w:val="21"/>
        </w:rPr>
        <w:t>临时用房防火</w:t>
      </w:r>
      <w:r>
        <w:rPr>
          <w:b/>
          <w:w w:val="99"/>
          <w:sz w:val="21"/>
        </w:rPr>
        <w:t> </w:t>
      </w:r>
    </w:p>
    <w:p>
      <w:pPr>
        <w:pStyle w:val="BodyText"/>
        <w:spacing w:before="2"/>
        <w:rPr>
          <w:b/>
          <w:sz w:val="18"/>
        </w:rPr>
      </w:pPr>
    </w:p>
    <w:p>
      <w:pPr>
        <w:pStyle w:val="ListParagraph"/>
        <w:numPr>
          <w:ilvl w:val="2"/>
          <w:numId w:val="534"/>
        </w:numPr>
        <w:tabs>
          <w:tab w:pos="1424" w:val="left" w:leader="none"/>
        </w:tabs>
        <w:spacing w:line="240" w:lineRule="auto" w:before="0" w:after="0"/>
        <w:ind w:left="1423" w:right="0" w:hanging="584"/>
        <w:jc w:val="left"/>
        <w:rPr>
          <w:sz w:val="21"/>
        </w:rPr>
      </w:pPr>
      <w:r>
        <w:rPr>
          <w:spacing w:val="-3"/>
          <w:sz w:val="21"/>
        </w:rPr>
        <w:t>宿舍、办公用房防火设计应符合下列规定：</w:t>
      </w:r>
      <w:r>
        <w:rPr>
          <w:sz w:val="21"/>
        </w:rPr>
        <w:t> </w:t>
      </w:r>
    </w:p>
    <w:p>
      <w:pPr>
        <w:pStyle w:val="BodyText"/>
        <w:rPr>
          <w:sz w:val="18"/>
        </w:rPr>
      </w:pPr>
    </w:p>
    <w:p>
      <w:pPr>
        <w:pStyle w:val="BodyText"/>
        <w:spacing w:line="446" w:lineRule="auto"/>
        <w:ind w:left="418" w:right="1400" w:firstLine="419"/>
      </w:pPr>
      <w:r>
        <w:rPr/>
        <w:t>建筑构件的燃烧性能等级应为 A 级。当采用金属夹芯板材时，其芯材的燃烧性能等级应为A 级。 </w:t>
      </w:r>
    </w:p>
    <w:p>
      <w:pPr>
        <w:pStyle w:val="BodyText"/>
        <w:spacing w:line="269" w:lineRule="exact"/>
        <w:ind w:left="838"/>
      </w:pPr>
      <w:r>
        <w:rPr/>
        <w:t>建筑层数不应超过 3 层，每层建筑面积不应大于 300m</w:t>
      </w:r>
      <w:r>
        <w:rPr>
          <w:position w:val="11"/>
          <w:sz w:val="11"/>
        </w:rPr>
        <w:t>2</w:t>
      </w:r>
      <w:r>
        <w:rPr/>
        <w:t>。 </w:t>
      </w:r>
    </w:p>
    <w:p>
      <w:pPr>
        <w:pStyle w:val="BodyText"/>
        <w:spacing w:before="2"/>
        <w:rPr>
          <w:sz w:val="17"/>
        </w:rPr>
      </w:pPr>
    </w:p>
    <w:p>
      <w:pPr>
        <w:pStyle w:val="BodyText"/>
        <w:spacing w:line="446" w:lineRule="auto" w:before="1"/>
        <w:ind w:left="418" w:right="1586" w:firstLine="419"/>
      </w:pPr>
      <w:r>
        <w:rPr/>
        <w:t>层数为 3 层或每层建筑面积大于 200m</w:t>
      </w:r>
      <w:r>
        <w:rPr>
          <w:position w:val="11"/>
          <w:sz w:val="11"/>
        </w:rPr>
        <w:t>2 </w:t>
      </w:r>
      <w:r>
        <w:rPr/>
        <w:t>时，应设置至少 2 部疏散楼梯，房间疏散门至疏散楼梯的最大距离不应大于 25m。 </w:t>
      </w:r>
    </w:p>
    <w:p>
      <w:pPr>
        <w:pStyle w:val="BodyText"/>
        <w:spacing w:line="446" w:lineRule="auto"/>
        <w:ind w:left="418" w:right="1505" w:firstLine="419"/>
      </w:pPr>
      <w:r>
        <w:rPr/>
        <w:t>单面布置用房时，疏散走道的净宽度不应小于 1.0m；双面布置用房时，疏散走道的净宽度不应小于 1.5m。 </w:t>
      </w:r>
    </w:p>
    <w:p>
      <w:pPr>
        <w:pStyle w:val="BodyText"/>
        <w:spacing w:line="267" w:lineRule="exact"/>
        <w:ind w:left="838"/>
      </w:pPr>
      <w:r>
        <w:rPr/>
        <w:t>疏散楼梯的净宽度不应小于疏散走道的净宽度。 </w:t>
      </w:r>
    </w:p>
    <w:p>
      <w:pPr>
        <w:pStyle w:val="BodyText"/>
        <w:spacing w:before="4"/>
        <w:rPr>
          <w:sz w:val="17"/>
        </w:rPr>
      </w:pPr>
    </w:p>
    <w:p>
      <w:pPr>
        <w:pStyle w:val="BodyText"/>
        <w:ind w:left="838"/>
      </w:pPr>
      <w:r>
        <w:rPr/>
        <w:t>宿舍房间的建筑面积不应大于 30m</w:t>
      </w:r>
      <w:r>
        <w:rPr>
          <w:position w:val="11"/>
          <w:sz w:val="11"/>
        </w:rPr>
        <w:t>2</w:t>
      </w:r>
      <w:r>
        <w:rPr/>
        <w:t>，其他房间的建筑面积不宜大于 100m</w:t>
      </w:r>
      <w:r>
        <w:rPr>
          <w:position w:val="11"/>
          <w:sz w:val="11"/>
        </w:rPr>
        <w:t>2</w:t>
      </w:r>
      <w:r>
        <w:rPr/>
        <w:t>。 </w:t>
      </w:r>
    </w:p>
    <w:p>
      <w:pPr>
        <w:spacing w:after="0"/>
        <w:sectPr>
          <w:pgSz w:w="11910" w:h="16850"/>
          <w:pgMar w:header="0" w:footer="1239" w:top="1220" w:bottom="1420" w:left="1260" w:right="0"/>
        </w:sectPr>
      </w:pPr>
    </w:p>
    <w:p>
      <w:pPr>
        <w:pStyle w:val="BodyText"/>
        <w:spacing w:line="436" w:lineRule="auto" w:before="47"/>
        <w:ind w:left="418" w:right="1505" w:firstLine="419"/>
      </w:pPr>
      <w:r>
        <w:rPr/>
        <w:t>房间内任一点至最近疏散门的距离不应大于 15m，房门的净宽度不应小于 0.8m；房间建筑面积超过 50m</w:t>
      </w:r>
      <w:r>
        <w:rPr>
          <w:position w:val="11"/>
          <w:sz w:val="11"/>
        </w:rPr>
        <w:t>2 </w:t>
      </w:r>
      <w:r>
        <w:rPr/>
        <w:t>时，房门的净宽度不应小于 1.2m。 </w:t>
      </w:r>
    </w:p>
    <w:p>
      <w:pPr>
        <w:pStyle w:val="BodyText"/>
        <w:spacing w:before="10"/>
        <w:ind w:left="838"/>
      </w:pPr>
      <w:r>
        <w:rPr/>
        <w:t>隔墙应从楼地面基层隔断至顶板基层底面。 </w:t>
      </w:r>
    </w:p>
    <w:p>
      <w:pPr>
        <w:pStyle w:val="BodyText"/>
        <w:rPr>
          <w:sz w:val="20"/>
        </w:rPr>
      </w:pPr>
    </w:p>
    <w:p>
      <w:pPr>
        <w:pStyle w:val="BodyText"/>
        <w:rPr>
          <w:sz w:val="20"/>
        </w:rPr>
      </w:pPr>
    </w:p>
    <w:p>
      <w:pPr>
        <w:pStyle w:val="BodyText"/>
        <w:spacing w:before="1"/>
        <w:rPr>
          <w:sz w:val="17"/>
        </w:rPr>
      </w:pPr>
    </w:p>
    <w:p>
      <w:pPr>
        <w:pStyle w:val="ListParagraph"/>
        <w:numPr>
          <w:ilvl w:val="2"/>
          <w:numId w:val="534"/>
        </w:numPr>
        <w:tabs>
          <w:tab w:pos="1370" w:val="left" w:leader="none"/>
        </w:tabs>
        <w:spacing w:line="446" w:lineRule="auto" w:before="0" w:after="0"/>
        <w:ind w:left="418" w:right="1604" w:firstLine="422"/>
        <w:jc w:val="left"/>
        <w:rPr>
          <w:sz w:val="21"/>
        </w:rPr>
      </w:pPr>
      <w:r>
        <w:rPr>
          <w:spacing w:val="-3"/>
          <w:sz w:val="21"/>
        </w:rPr>
        <w:t>发电机房、变配电房、厨房操作间、锅炉房、可燃材料库房及易燃易爆危险品库房的防火设计应符合下列规定：</w:t>
      </w:r>
      <w:r>
        <w:rPr>
          <w:sz w:val="21"/>
        </w:rPr>
        <w:t> </w:t>
      </w:r>
    </w:p>
    <w:p>
      <w:pPr>
        <w:pStyle w:val="ListParagraph"/>
        <w:numPr>
          <w:ilvl w:val="0"/>
          <w:numId w:val="535"/>
        </w:numPr>
        <w:tabs>
          <w:tab w:pos="1367" w:val="left" w:leader="none"/>
        </w:tabs>
        <w:spacing w:line="240" w:lineRule="auto" w:before="0" w:after="0"/>
        <w:ind w:left="1367" w:right="0" w:hanging="529"/>
        <w:jc w:val="left"/>
        <w:rPr>
          <w:sz w:val="21"/>
        </w:rPr>
      </w:pPr>
      <w:r>
        <w:rPr>
          <w:spacing w:val="-3"/>
          <w:sz w:val="21"/>
        </w:rPr>
        <w:t>建筑构件的燃烧性能等级应为 A</w:t>
      </w:r>
      <w:r>
        <w:rPr>
          <w:spacing w:val="-2"/>
          <w:sz w:val="21"/>
        </w:rPr>
        <w:t> 级。</w:t>
      </w:r>
      <w:r>
        <w:rPr>
          <w:sz w:val="21"/>
        </w:rPr>
        <w:t> </w:t>
      </w:r>
    </w:p>
    <w:p>
      <w:pPr>
        <w:pStyle w:val="BodyText"/>
        <w:spacing w:before="3"/>
        <w:rPr>
          <w:sz w:val="17"/>
        </w:rPr>
      </w:pPr>
    </w:p>
    <w:p>
      <w:pPr>
        <w:pStyle w:val="ListParagraph"/>
        <w:numPr>
          <w:ilvl w:val="0"/>
          <w:numId w:val="535"/>
        </w:numPr>
        <w:tabs>
          <w:tab w:pos="1367" w:val="left" w:leader="none"/>
        </w:tabs>
        <w:spacing w:line="240" w:lineRule="auto" w:before="0" w:after="0"/>
        <w:ind w:left="1367" w:right="0" w:hanging="529"/>
        <w:jc w:val="left"/>
        <w:rPr>
          <w:sz w:val="21"/>
        </w:rPr>
      </w:pPr>
      <w:r>
        <w:rPr>
          <w:spacing w:val="-3"/>
          <w:sz w:val="21"/>
        </w:rPr>
        <w:t>层数应为 </w:t>
      </w:r>
      <w:r>
        <w:rPr>
          <w:sz w:val="21"/>
        </w:rPr>
        <w:t>1</w:t>
      </w:r>
      <w:r>
        <w:rPr>
          <w:spacing w:val="-3"/>
          <w:sz w:val="21"/>
        </w:rPr>
        <w:t> 层，建筑面积不应大于 </w:t>
      </w:r>
      <w:r>
        <w:rPr>
          <w:sz w:val="21"/>
        </w:rPr>
        <w:t>200m</w:t>
      </w:r>
      <w:r>
        <w:rPr>
          <w:position w:val="11"/>
          <w:sz w:val="11"/>
        </w:rPr>
        <w:t>2</w:t>
      </w:r>
      <w:r>
        <w:rPr>
          <w:spacing w:val="-3"/>
          <w:sz w:val="21"/>
        </w:rPr>
        <w:t>。</w:t>
      </w:r>
      <w:r>
        <w:rPr>
          <w:sz w:val="21"/>
        </w:rPr>
        <w:t> </w:t>
      </w:r>
    </w:p>
    <w:p>
      <w:pPr>
        <w:pStyle w:val="BodyText"/>
        <w:spacing w:before="2"/>
        <w:rPr>
          <w:sz w:val="17"/>
        </w:rPr>
      </w:pPr>
    </w:p>
    <w:p>
      <w:pPr>
        <w:pStyle w:val="ListParagraph"/>
        <w:numPr>
          <w:ilvl w:val="0"/>
          <w:numId w:val="535"/>
        </w:numPr>
        <w:tabs>
          <w:tab w:pos="1367" w:val="left" w:leader="none"/>
        </w:tabs>
        <w:spacing w:line="439" w:lineRule="auto" w:before="0" w:after="0"/>
        <w:ind w:left="418" w:right="1452" w:firstLine="419"/>
        <w:jc w:val="left"/>
        <w:rPr>
          <w:sz w:val="21"/>
        </w:rPr>
      </w:pPr>
      <w:r>
        <w:rPr>
          <w:spacing w:val="-2"/>
          <w:sz w:val="21"/>
        </w:rPr>
        <w:t>可燃材料库房单个房间的建筑面积不应超过 </w:t>
      </w:r>
      <w:r>
        <w:rPr>
          <w:sz w:val="21"/>
        </w:rPr>
        <w:t>30m</w:t>
      </w:r>
      <w:r>
        <w:rPr>
          <w:position w:val="11"/>
          <w:sz w:val="11"/>
        </w:rPr>
        <w:t>2</w:t>
      </w:r>
      <w:r>
        <w:rPr>
          <w:spacing w:val="-3"/>
          <w:sz w:val="21"/>
        </w:rPr>
        <w:t>，易燃易爆危险品库房单个房间的建筑面积不应超过 </w:t>
      </w:r>
      <w:r>
        <w:rPr>
          <w:sz w:val="21"/>
        </w:rPr>
        <w:t>20m</w:t>
      </w:r>
      <w:r>
        <w:rPr>
          <w:position w:val="11"/>
          <w:sz w:val="11"/>
        </w:rPr>
        <w:t>2</w:t>
      </w:r>
      <w:r>
        <w:rPr>
          <w:sz w:val="21"/>
        </w:rPr>
        <w:t>。 </w:t>
      </w:r>
    </w:p>
    <w:p>
      <w:pPr>
        <w:pStyle w:val="ListParagraph"/>
        <w:numPr>
          <w:ilvl w:val="0"/>
          <w:numId w:val="535"/>
        </w:numPr>
        <w:tabs>
          <w:tab w:pos="1367" w:val="left" w:leader="none"/>
        </w:tabs>
        <w:spacing w:line="446" w:lineRule="auto" w:before="6" w:after="0"/>
        <w:ind w:left="840" w:right="1721" w:hanging="3"/>
        <w:jc w:val="left"/>
        <w:rPr>
          <w:sz w:val="21"/>
        </w:rPr>
      </w:pPr>
      <w:r>
        <w:rPr>
          <w:spacing w:val="-3"/>
          <w:sz w:val="21"/>
        </w:rPr>
        <w:t>房间内任一点至最近疏散门的距离不应大于 </w:t>
      </w:r>
      <w:r>
        <w:rPr>
          <w:sz w:val="21"/>
        </w:rPr>
        <w:t>10m，</w:t>
      </w:r>
      <w:r>
        <w:rPr>
          <w:spacing w:val="-2"/>
          <w:sz w:val="21"/>
        </w:rPr>
        <w:t>房门的净宽度不应小于 </w:t>
      </w:r>
      <w:r>
        <w:rPr>
          <w:sz w:val="21"/>
        </w:rPr>
        <w:t>0.8m</w:t>
      </w:r>
      <w:r>
        <w:rPr>
          <w:spacing w:val="-3"/>
          <w:sz w:val="21"/>
        </w:rPr>
        <w:t>。</w:t>
      </w:r>
      <w:r>
        <w:rPr>
          <w:b/>
          <w:sz w:val="21"/>
        </w:rPr>
        <w:t>4.2.3 </w:t>
      </w:r>
      <w:r>
        <w:rPr>
          <w:spacing w:val="-3"/>
          <w:sz w:val="21"/>
        </w:rPr>
        <w:t>其他防火设计应符合下列规定：</w:t>
      </w:r>
      <w:r>
        <w:rPr>
          <w:sz w:val="21"/>
        </w:rPr>
        <w:t> </w:t>
      </w:r>
    </w:p>
    <w:p>
      <w:pPr>
        <w:pStyle w:val="BodyText"/>
        <w:ind w:left="838"/>
      </w:pPr>
      <w:r>
        <w:rPr/>
        <w:t>宿舍、办公用房不应与厨房操作间、锅炉房、变配电房等组合建造。  </w:t>
      </w:r>
      <w:r>
        <w:rPr>
          <w:w w:val="100"/>
        </w:rPr>
        <w:t> </w:t>
      </w:r>
    </w:p>
    <w:p>
      <w:pPr>
        <w:pStyle w:val="BodyText"/>
        <w:rPr>
          <w:sz w:val="18"/>
        </w:rPr>
      </w:pPr>
    </w:p>
    <w:p>
      <w:pPr>
        <w:pStyle w:val="BodyText"/>
        <w:spacing w:line="446" w:lineRule="auto"/>
        <w:ind w:left="418" w:right="1609" w:firstLine="419"/>
      </w:pPr>
      <w:r>
        <w:rPr/>
        <w:t>会议室、文化娱乐室等人员密集的房间应设置在临时用房的第一层，其疏散门应向疏散方向开启。 </w:t>
      </w:r>
    </w:p>
    <w:p>
      <w:pPr>
        <w:pStyle w:val="ListParagraph"/>
        <w:numPr>
          <w:ilvl w:val="1"/>
          <w:numId w:val="534"/>
        </w:numPr>
        <w:tabs>
          <w:tab w:pos="1159" w:val="left" w:leader="none"/>
        </w:tabs>
        <w:spacing w:line="240" w:lineRule="auto" w:before="0" w:after="0"/>
        <w:ind w:left="1158" w:right="0" w:hanging="319"/>
        <w:jc w:val="left"/>
        <w:rPr>
          <w:b/>
          <w:sz w:val="21"/>
        </w:rPr>
      </w:pPr>
      <w:r>
        <w:rPr>
          <w:spacing w:val="-3"/>
          <w:sz w:val="21"/>
        </w:rPr>
        <w:t>在建工程防火</w:t>
      </w:r>
      <w:r>
        <w:rPr>
          <w:b/>
          <w:w w:val="99"/>
          <w:sz w:val="21"/>
        </w:rPr>
        <w:t> </w:t>
      </w:r>
    </w:p>
    <w:p>
      <w:pPr>
        <w:pStyle w:val="BodyText"/>
        <w:spacing w:before="12"/>
        <w:rPr>
          <w:b/>
          <w:sz w:val="17"/>
        </w:rPr>
      </w:pPr>
    </w:p>
    <w:p>
      <w:pPr>
        <w:pStyle w:val="ListParagraph"/>
        <w:numPr>
          <w:ilvl w:val="2"/>
          <w:numId w:val="534"/>
        </w:numPr>
        <w:tabs>
          <w:tab w:pos="1371" w:val="left" w:leader="none"/>
        </w:tabs>
        <w:spacing w:line="446" w:lineRule="auto" w:before="0" w:after="0"/>
        <w:ind w:left="418" w:right="1498" w:firstLine="422"/>
        <w:jc w:val="left"/>
        <w:rPr>
          <w:sz w:val="21"/>
        </w:rPr>
      </w:pPr>
      <w:r>
        <w:rPr>
          <w:spacing w:val="-3"/>
          <w:sz w:val="21"/>
        </w:rPr>
        <w:t>在建工程作业场所的临时疏散通道应采用不燃、难燃材料建造，并应与在建工程结构施工同步设置，也可利用在建工程施工完毕的水平结构、楼梯。</w:t>
      </w:r>
      <w:r>
        <w:rPr>
          <w:sz w:val="21"/>
        </w:rPr>
        <w:t> </w:t>
      </w:r>
    </w:p>
    <w:p>
      <w:pPr>
        <w:pStyle w:val="ListParagraph"/>
        <w:numPr>
          <w:ilvl w:val="2"/>
          <w:numId w:val="534"/>
        </w:numPr>
        <w:tabs>
          <w:tab w:pos="1371" w:val="left" w:leader="none"/>
        </w:tabs>
        <w:spacing w:line="446" w:lineRule="auto" w:before="0" w:after="0"/>
        <w:ind w:left="838" w:right="3707" w:firstLine="2"/>
        <w:jc w:val="left"/>
        <w:rPr>
          <w:sz w:val="21"/>
        </w:rPr>
      </w:pPr>
      <w:r>
        <w:rPr>
          <w:spacing w:val="-2"/>
          <w:sz w:val="21"/>
        </w:rPr>
        <w:t>在建工程作业场所临时疏散通道的设置应符合下列规定： 耐</w:t>
      </w:r>
      <w:r>
        <w:rPr>
          <w:spacing w:val="-3"/>
          <w:sz w:val="21"/>
        </w:rPr>
        <w:t>火极限不应低于 </w:t>
      </w:r>
      <w:r>
        <w:rPr>
          <w:sz w:val="21"/>
        </w:rPr>
        <w:t>0.5h</w:t>
      </w:r>
      <w:r>
        <w:rPr>
          <w:spacing w:val="-3"/>
          <w:sz w:val="21"/>
        </w:rPr>
        <w:t>。</w:t>
      </w:r>
      <w:r>
        <w:rPr>
          <w:sz w:val="21"/>
        </w:rPr>
        <w:t> </w:t>
      </w:r>
    </w:p>
    <w:p>
      <w:pPr>
        <w:pStyle w:val="BodyText"/>
        <w:spacing w:line="446" w:lineRule="auto"/>
        <w:ind w:left="418" w:right="1505" w:firstLine="419"/>
        <w:jc w:val="both"/>
      </w:pPr>
      <w:r>
        <w:rPr/>
        <w:t>设置在地面上的临时疏散通道，其净宽度不应小于 1.5m；利用在建工程施工完毕的水平结构、楼梯作临时疏散通道时，其净宽度不宜小于 1.0m；用于疏散的爬梯及设置在脚手架上的临时疏散通道，其净宽度不应小于 0.6m。 </w:t>
      </w:r>
    </w:p>
    <w:p>
      <w:pPr>
        <w:pStyle w:val="BodyText"/>
        <w:spacing w:line="446" w:lineRule="auto"/>
        <w:ind w:left="838" w:right="2031"/>
      </w:pPr>
      <w:r>
        <w:rPr>
          <w:spacing w:val="-2"/>
        </w:rPr>
        <w:t>临时疏散通道为坡道，且坡度大于 </w:t>
      </w:r>
      <w:r>
        <w:rPr/>
        <w:t>25</w:t>
      </w:r>
      <w:r>
        <w:rPr>
          <w:spacing w:val="-3"/>
        </w:rPr>
        <w:t>°时，应修建楼梯或台阶踏步或设置防滑条。临时疏散通道不宜采用爬梯，确需采用时，应采取可靠固定措施。</w:t>
      </w:r>
      <w:r>
        <w:rPr/>
        <w:t> </w:t>
      </w:r>
    </w:p>
    <w:p>
      <w:pPr>
        <w:pStyle w:val="BodyText"/>
        <w:spacing w:line="446" w:lineRule="auto"/>
        <w:ind w:left="838" w:right="2134"/>
      </w:pPr>
      <w:r>
        <w:rPr/>
        <w:t>临时疏散通道的侧面为临空面时，应沿临空面设置高度不小于 1.2m 的防护栏杆。临时疏散通道设置在脚手架上时，脚手架应采用不燃材料搭设。 </w:t>
      </w:r>
    </w:p>
    <w:p>
      <w:pPr>
        <w:pStyle w:val="BodyText"/>
        <w:ind w:left="838"/>
      </w:pPr>
      <w:r>
        <w:rPr/>
        <w:t>临时疏散通道应设置明显的疏散指示标识。 </w:t>
      </w:r>
    </w:p>
    <w:p>
      <w:pPr>
        <w:spacing w:after="0"/>
        <w:sectPr>
          <w:pgSz w:w="11910" w:h="16850"/>
          <w:pgMar w:header="0" w:footer="1239" w:top="1220" w:bottom="1420" w:left="1260" w:right="0"/>
        </w:sectPr>
      </w:pPr>
    </w:p>
    <w:p>
      <w:pPr>
        <w:pStyle w:val="BodyText"/>
        <w:spacing w:before="47"/>
        <w:ind w:left="838"/>
      </w:pPr>
      <w:r>
        <w:rPr/>
        <w:t>临时疏散通道应设置照明设施。 </w:t>
      </w:r>
    </w:p>
    <w:p>
      <w:pPr>
        <w:pStyle w:val="BodyText"/>
        <w:rPr>
          <w:sz w:val="18"/>
        </w:rPr>
      </w:pPr>
    </w:p>
    <w:p>
      <w:pPr>
        <w:pStyle w:val="ListParagraph"/>
        <w:numPr>
          <w:ilvl w:val="2"/>
          <w:numId w:val="534"/>
        </w:numPr>
        <w:tabs>
          <w:tab w:pos="1424" w:val="left" w:leader="none"/>
        </w:tabs>
        <w:spacing w:line="446" w:lineRule="auto" w:before="0" w:after="0"/>
        <w:ind w:left="418" w:right="1657" w:firstLine="422"/>
        <w:jc w:val="left"/>
        <w:rPr>
          <w:sz w:val="21"/>
        </w:rPr>
      </w:pPr>
      <w:r>
        <w:rPr>
          <w:spacing w:val="-3"/>
          <w:sz w:val="21"/>
        </w:rPr>
        <w:t>既有建筑进行扩建、改建施工时，必须明确划分施工区和非施工区。施工区不得营业、使用和居住；非施工区继续营业、使用和居住时，应符合下列规定：</w:t>
      </w:r>
      <w:r>
        <w:rPr>
          <w:sz w:val="21"/>
        </w:rPr>
        <w:t> </w:t>
      </w:r>
    </w:p>
    <w:p>
      <w:pPr>
        <w:pStyle w:val="BodyText"/>
        <w:spacing w:line="446" w:lineRule="auto"/>
        <w:ind w:left="418" w:right="1608" w:firstLine="419"/>
      </w:pPr>
      <w:r>
        <w:rPr/>
        <w:t>施工区和非施工区之间应采用不开设门、窗、洞口的耐火极限不低于 3.0h 的不燃烧体隔墙进行防火分隔。 </w:t>
      </w:r>
    </w:p>
    <w:p>
      <w:pPr>
        <w:pStyle w:val="BodyText"/>
        <w:spacing w:line="446" w:lineRule="auto"/>
        <w:ind w:left="418" w:right="1609" w:firstLine="419"/>
      </w:pPr>
      <w:r>
        <w:rPr/>
        <w:t>非施工区内的消防设施应完好和有效，疏散通道应保持畅通，并应落实日常值班及消防安全管理制度。 </w:t>
      </w:r>
    </w:p>
    <w:p>
      <w:pPr>
        <w:pStyle w:val="BodyText"/>
        <w:ind w:left="838"/>
      </w:pPr>
      <w:r>
        <w:rPr/>
        <w:t>施工区的消防安全应配有专人值守，发生火情应能立即处置。 </w:t>
      </w:r>
    </w:p>
    <w:p>
      <w:pPr>
        <w:pStyle w:val="BodyText"/>
        <w:spacing w:before="10"/>
        <w:rPr>
          <w:sz w:val="17"/>
        </w:rPr>
      </w:pPr>
    </w:p>
    <w:p>
      <w:pPr>
        <w:pStyle w:val="BodyText"/>
        <w:spacing w:line="446" w:lineRule="auto"/>
        <w:ind w:left="418" w:right="1609" w:firstLine="419"/>
      </w:pPr>
      <w:r>
        <w:rPr/>
        <w:t>施工单位应向居住和使用者进行消防宣传教育，告知建筑消防设施、疏散通道的位置及使用方法，同时应组织疏散演练。 </w:t>
      </w:r>
    </w:p>
    <w:p>
      <w:pPr>
        <w:pStyle w:val="BodyText"/>
        <w:spacing w:line="446" w:lineRule="auto"/>
        <w:ind w:left="418" w:right="1609" w:firstLine="419"/>
      </w:pPr>
      <w:r>
        <w:rPr/>
        <w:t>外脚手架搭设不应影响安全疏散、消防车正常通行及灭火救援操作，外脚手架搭设长度不应超过该建筑物外立面周长的 1／2。 </w:t>
      </w:r>
    </w:p>
    <w:p>
      <w:pPr>
        <w:pStyle w:val="ListParagraph"/>
        <w:numPr>
          <w:ilvl w:val="2"/>
          <w:numId w:val="534"/>
        </w:numPr>
        <w:tabs>
          <w:tab w:pos="1371" w:val="left" w:leader="none"/>
        </w:tabs>
        <w:spacing w:line="446" w:lineRule="auto" w:before="0" w:after="0"/>
        <w:ind w:left="418" w:right="1498" w:firstLine="422"/>
        <w:jc w:val="left"/>
        <w:rPr>
          <w:sz w:val="21"/>
        </w:rPr>
      </w:pPr>
      <w:r>
        <w:rPr>
          <w:spacing w:val="-3"/>
          <w:sz w:val="21"/>
        </w:rPr>
        <w:t>外脚手架、支模架的架体宜采用不燃或难燃材料搭设，下列工程的外脚手架、支模架的架体应采用不燃材料搭设：</w:t>
      </w:r>
      <w:r>
        <w:rPr>
          <w:sz w:val="21"/>
        </w:rPr>
        <w:t> </w:t>
      </w:r>
    </w:p>
    <w:p>
      <w:pPr>
        <w:pStyle w:val="ListParagraph"/>
        <w:numPr>
          <w:ilvl w:val="0"/>
          <w:numId w:val="536"/>
        </w:numPr>
        <w:tabs>
          <w:tab w:pos="1367" w:val="left" w:leader="none"/>
        </w:tabs>
        <w:spacing w:line="267" w:lineRule="exact" w:before="0" w:after="0"/>
        <w:ind w:left="1367" w:right="0" w:hanging="529"/>
        <w:jc w:val="left"/>
        <w:rPr>
          <w:sz w:val="21"/>
        </w:rPr>
      </w:pPr>
      <w:r>
        <w:rPr>
          <w:spacing w:val="-3"/>
          <w:sz w:val="21"/>
        </w:rPr>
        <w:t>高层建筑。</w:t>
      </w:r>
      <w:r>
        <w:rPr>
          <w:sz w:val="21"/>
        </w:rPr>
        <w:t> </w:t>
      </w:r>
    </w:p>
    <w:p>
      <w:pPr>
        <w:pStyle w:val="BodyText"/>
        <w:spacing w:before="2"/>
        <w:rPr>
          <w:sz w:val="18"/>
        </w:rPr>
      </w:pPr>
    </w:p>
    <w:p>
      <w:pPr>
        <w:pStyle w:val="ListParagraph"/>
        <w:numPr>
          <w:ilvl w:val="0"/>
          <w:numId w:val="536"/>
        </w:numPr>
        <w:tabs>
          <w:tab w:pos="1367" w:val="left" w:leader="none"/>
        </w:tabs>
        <w:spacing w:line="240" w:lineRule="auto" w:before="0" w:after="0"/>
        <w:ind w:left="1367" w:right="0" w:hanging="529"/>
        <w:jc w:val="left"/>
        <w:rPr>
          <w:sz w:val="21"/>
        </w:rPr>
      </w:pPr>
      <w:r>
        <w:rPr>
          <w:spacing w:val="-3"/>
          <w:sz w:val="21"/>
        </w:rPr>
        <w:t>既有建筑改造工程。</w:t>
      </w:r>
      <w:r>
        <w:rPr>
          <w:sz w:val="21"/>
        </w:rPr>
        <w:t> </w:t>
      </w:r>
    </w:p>
    <w:p>
      <w:pPr>
        <w:pStyle w:val="BodyText"/>
        <w:spacing w:before="12"/>
        <w:rPr>
          <w:sz w:val="17"/>
        </w:rPr>
      </w:pPr>
    </w:p>
    <w:p>
      <w:pPr>
        <w:pStyle w:val="ListParagraph"/>
        <w:numPr>
          <w:ilvl w:val="2"/>
          <w:numId w:val="534"/>
        </w:numPr>
        <w:tabs>
          <w:tab w:pos="1370" w:val="left" w:leader="none"/>
        </w:tabs>
        <w:spacing w:line="240" w:lineRule="auto" w:before="0" w:after="0"/>
        <w:ind w:left="1369" w:right="0" w:hanging="530"/>
        <w:jc w:val="left"/>
        <w:rPr>
          <w:sz w:val="21"/>
        </w:rPr>
      </w:pPr>
      <w:r>
        <w:rPr>
          <w:spacing w:val="-3"/>
          <w:sz w:val="21"/>
        </w:rPr>
        <w:t>下列安全防护网应采用阻燃型安全防护网：</w:t>
      </w:r>
      <w:r>
        <w:rPr>
          <w:sz w:val="21"/>
        </w:rPr>
        <w:t> </w:t>
      </w:r>
    </w:p>
    <w:p>
      <w:pPr>
        <w:pStyle w:val="BodyText"/>
        <w:rPr>
          <w:sz w:val="18"/>
        </w:rPr>
      </w:pPr>
    </w:p>
    <w:p>
      <w:pPr>
        <w:pStyle w:val="ListParagraph"/>
        <w:numPr>
          <w:ilvl w:val="0"/>
          <w:numId w:val="537"/>
        </w:numPr>
        <w:tabs>
          <w:tab w:pos="1367" w:val="left" w:leader="none"/>
        </w:tabs>
        <w:spacing w:line="240" w:lineRule="auto" w:before="0" w:after="0"/>
        <w:ind w:left="1367" w:right="0" w:hanging="529"/>
        <w:jc w:val="left"/>
        <w:rPr>
          <w:sz w:val="21"/>
        </w:rPr>
      </w:pPr>
      <w:r>
        <w:rPr>
          <w:spacing w:val="-3"/>
          <w:sz w:val="21"/>
        </w:rPr>
        <w:t>高层建筑外脚手架的安全防护网。</w:t>
      </w:r>
      <w:r>
        <w:rPr>
          <w:sz w:val="21"/>
        </w:rPr>
        <w:t> </w:t>
      </w:r>
    </w:p>
    <w:p>
      <w:pPr>
        <w:pStyle w:val="BodyText"/>
        <w:spacing w:before="2"/>
        <w:rPr>
          <w:sz w:val="18"/>
        </w:rPr>
      </w:pPr>
    </w:p>
    <w:p>
      <w:pPr>
        <w:pStyle w:val="ListParagraph"/>
        <w:numPr>
          <w:ilvl w:val="0"/>
          <w:numId w:val="537"/>
        </w:numPr>
        <w:tabs>
          <w:tab w:pos="1367" w:val="left" w:leader="none"/>
        </w:tabs>
        <w:spacing w:line="240" w:lineRule="auto" w:before="0" w:after="0"/>
        <w:ind w:left="1367" w:right="0" w:hanging="529"/>
        <w:jc w:val="left"/>
        <w:rPr>
          <w:sz w:val="21"/>
        </w:rPr>
      </w:pPr>
      <w:r>
        <w:rPr>
          <w:spacing w:val="-3"/>
          <w:sz w:val="21"/>
        </w:rPr>
        <w:t>既有建筑外墙改造时，其外脚手架的安全防护网。</w:t>
      </w:r>
      <w:r>
        <w:rPr>
          <w:sz w:val="21"/>
        </w:rPr>
        <w:t> </w:t>
      </w:r>
    </w:p>
    <w:p>
      <w:pPr>
        <w:pStyle w:val="BodyText"/>
        <w:rPr>
          <w:sz w:val="18"/>
        </w:rPr>
      </w:pPr>
    </w:p>
    <w:p>
      <w:pPr>
        <w:pStyle w:val="ListParagraph"/>
        <w:numPr>
          <w:ilvl w:val="0"/>
          <w:numId w:val="537"/>
        </w:numPr>
        <w:tabs>
          <w:tab w:pos="1367" w:val="left" w:leader="none"/>
        </w:tabs>
        <w:spacing w:line="240" w:lineRule="auto" w:before="0" w:after="0"/>
        <w:ind w:left="1367" w:right="0" w:hanging="529"/>
        <w:jc w:val="left"/>
        <w:rPr>
          <w:sz w:val="21"/>
        </w:rPr>
      </w:pPr>
      <w:r>
        <w:rPr>
          <w:spacing w:val="-3"/>
          <w:sz w:val="21"/>
        </w:rPr>
        <w:t>临时疏散通道的安全防护网。</w:t>
      </w:r>
      <w:r>
        <w:rPr>
          <w:sz w:val="21"/>
        </w:rPr>
        <w:t> </w:t>
      </w:r>
    </w:p>
    <w:p>
      <w:pPr>
        <w:pStyle w:val="BodyText"/>
        <w:spacing w:before="12"/>
        <w:rPr>
          <w:sz w:val="17"/>
        </w:rPr>
      </w:pPr>
    </w:p>
    <w:p>
      <w:pPr>
        <w:pStyle w:val="ListParagraph"/>
        <w:numPr>
          <w:ilvl w:val="2"/>
          <w:numId w:val="534"/>
        </w:numPr>
        <w:tabs>
          <w:tab w:pos="1370" w:val="left" w:leader="none"/>
        </w:tabs>
        <w:spacing w:line="446" w:lineRule="auto" w:before="0" w:after="0"/>
        <w:ind w:left="418" w:right="1813" w:firstLine="422"/>
        <w:jc w:val="left"/>
        <w:rPr>
          <w:sz w:val="21"/>
        </w:rPr>
      </w:pPr>
      <w:r>
        <w:rPr>
          <w:spacing w:val="-3"/>
          <w:sz w:val="21"/>
        </w:rPr>
        <w:t>作业场所应设置明显的疏散指示标志，其指示方向应指向最近的临时疏散通道入口。</w:t>
      </w:r>
      <w:r>
        <w:rPr>
          <w:sz w:val="21"/>
        </w:rPr>
        <w:t> </w:t>
      </w:r>
    </w:p>
    <w:p>
      <w:pPr>
        <w:pStyle w:val="ListParagraph"/>
        <w:numPr>
          <w:ilvl w:val="2"/>
          <w:numId w:val="534"/>
        </w:numPr>
        <w:tabs>
          <w:tab w:pos="1371" w:val="left" w:leader="none"/>
        </w:tabs>
        <w:spacing w:line="240" w:lineRule="auto" w:before="0" w:after="0"/>
        <w:ind w:left="1370" w:right="0" w:hanging="531"/>
        <w:jc w:val="left"/>
        <w:rPr>
          <w:sz w:val="21"/>
        </w:rPr>
      </w:pPr>
      <w:r>
        <w:rPr>
          <w:spacing w:val="-3"/>
          <w:sz w:val="21"/>
        </w:rPr>
        <w:t>作业层的醒目位置应设置安全疏散示意图。</w:t>
      </w:r>
      <w:r>
        <w:rPr>
          <w:sz w:val="21"/>
        </w:rPr>
        <w:t> </w:t>
      </w:r>
    </w:p>
    <w:p>
      <w:pPr>
        <w:pStyle w:val="BodyText"/>
        <w:spacing w:before="8"/>
        <w:rPr>
          <w:sz w:val="15"/>
        </w:rPr>
      </w:pPr>
    </w:p>
    <w:p>
      <w:pPr>
        <w:pStyle w:val="Heading4"/>
        <w:ind w:left="0" w:right="8419"/>
        <w:jc w:val="right"/>
      </w:pPr>
      <w:r>
        <w:rPr/>
        <w:t>5</w:t>
      </w:r>
      <w:r>
        <w:rPr>
          <w:spacing w:val="-1"/>
        </w:rPr>
        <w:t> 临时消防设施</w:t>
      </w:r>
      <w:r>
        <w:rPr>
          <w:spacing w:val="-1"/>
          <w:w w:val="99"/>
        </w:rPr>
        <w:t> </w:t>
      </w:r>
    </w:p>
    <w:p>
      <w:pPr>
        <w:pStyle w:val="BodyText"/>
        <w:spacing w:before="6"/>
        <w:rPr>
          <w:b/>
          <w:sz w:val="17"/>
        </w:rPr>
      </w:pPr>
    </w:p>
    <w:p>
      <w:pPr>
        <w:pStyle w:val="ListParagraph"/>
        <w:numPr>
          <w:ilvl w:val="1"/>
          <w:numId w:val="538"/>
        </w:numPr>
        <w:tabs>
          <w:tab w:pos="318" w:val="left" w:leader="none"/>
        </w:tabs>
        <w:spacing w:line="240" w:lineRule="auto" w:before="0" w:after="0"/>
        <w:ind w:left="1158" w:right="8436" w:hanging="1159"/>
        <w:jc w:val="right"/>
        <w:rPr>
          <w:b/>
          <w:sz w:val="21"/>
        </w:rPr>
      </w:pPr>
      <w:r>
        <w:rPr>
          <w:spacing w:val="-3"/>
          <w:sz w:val="21"/>
        </w:rPr>
        <w:t>一般规定</w:t>
      </w:r>
      <w:r>
        <w:rPr>
          <w:b/>
          <w:w w:val="99"/>
          <w:sz w:val="21"/>
        </w:rPr>
        <w:t> </w:t>
      </w:r>
    </w:p>
    <w:p>
      <w:pPr>
        <w:pStyle w:val="BodyText"/>
        <w:rPr>
          <w:b/>
          <w:sz w:val="18"/>
        </w:rPr>
      </w:pPr>
    </w:p>
    <w:p>
      <w:pPr>
        <w:pStyle w:val="ListParagraph"/>
        <w:numPr>
          <w:ilvl w:val="2"/>
          <w:numId w:val="538"/>
        </w:numPr>
        <w:tabs>
          <w:tab w:pos="1371" w:val="left" w:leader="none"/>
        </w:tabs>
        <w:spacing w:line="240" w:lineRule="auto" w:before="0" w:after="0"/>
        <w:ind w:left="1370" w:right="0" w:hanging="531"/>
        <w:jc w:val="left"/>
        <w:rPr>
          <w:sz w:val="21"/>
        </w:rPr>
      </w:pPr>
      <w:r>
        <w:rPr>
          <w:spacing w:val="-3"/>
          <w:sz w:val="21"/>
        </w:rPr>
        <w:t>施工现场应设置灭火器、临时消防给水系统和应急照明等临时消防设施。 </w:t>
      </w:r>
    </w:p>
    <w:p>
      <w:pPr>
        <w:pStyle w:val="BodyText"/>
        <w:rPr>
          <w:sz w:val="18"/>
        </w:rPr>
      </w:pPr>
    </w:p>
    <w:p>
      <w:pPr>
        <w:pStyle w:val="ListParagraph"/>
        <w:numPr>
          <w:ilvl w:val="2"/>
          <w:numId w:val="538"/>
        </w:numPr>
        <w:tabs>
          <w:tab w:pos="1370" w:val="left" w:leader="none"/>
        </w:tabs>
        <w:spacing w:line="446" w:lineRule="auto" w:before="0" w:after="0"/>
        <w:ind w:left="418" w:right="1604" w:firstLine="422"/>
        <w:jc w:val="left"/>
        <w:rPr>
          <w:sz w:val="21"/>
        </w:rPr>
      </w:pPr>
      <w:r>
        <w:rPr>
          <w:spacing w:val="-3"/>
          <w:sz w:val="21"/>
        </w:rPr>
        <w:t>临时消防设施应与在建工程的施工同步设置。房屋建筑工程中，临时消防设施的设置与在建工程主体结构施工进度的差距不应超过 3</w:t>
      </w:r>
      <w:r>
        <w:rPr>
          <w:spacing w:val="-2"/>
          <w:sz w:val="21"/>
        </w:rPr>
        <w:t> 层。</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538"/>
        </w:numPr>
        <w:tabs>
          <w:tab w:pos="1370" w:val="left" w:leader="none"/>
        </w:tabs>
        <w:spacing w:line="446" w:lineRule="auto" w:before="47" w:after="0"/>
        <w:ind w:left="418" w:right="1604" w:firstLine="422"/>
        <w:jc w:val="both"/>
        <w:rPr>
          <w:sz w:val="21"/>
        </w:rPr>
      </w:pPr>
      <w:r>
        <w:rPr>
          <w:spacing w:val="-3"/>
          <w:sz w:val="21"/>
        </w:rPr>
        <w:t>在建工程可利用已具备使用条件的永久性消防设施作为临时消防设施。当永久性消防设施无法满足使用要求时，应增设临时消防设施，并应符合本规范第 </w:t>
      </w:r>
      <w:r>
        <w:rPr>
          <w:sz w:val="21"/>
        </w:rPr>
        <w:t>5.2～5.4 节的有关规</w:t>
      </w:r>
      <w:r>
        <w:rPr>
          <w:spacing w:val="-2"/>
          <w:sz w:val="21"/>
        </w:rPr>
        <w:t>定。</w:t>
      </w:r>
      <w:r>
        <w:rPr>
          <w:sz w:val="21"/>
        </w:rPr>
        <w:t> </w:t>
      </w:r>
    </w:p>
    <w:p>
      <w:pPr>
        <w:pStyle w:val="ListParagraph"/>
        <w:numPr>
          <w:ilvl w:val="2"/>
          <w:numId w:val="538"/>
        </w:numPr>
        <w:tabs>
          <w:tab w:pos="1370" w:val="left" w:leader="none"/>
        </w:tabs>
        <w:spacing w:line="446" w:lineRule="auto" w:before="0" w:after="0"/>
        <w:ind w:left="418" w:right="1604" w:firstLine="422"/>
        <w:jc w:val="left"/>
        <w:rPr>
          <w:sz w:val="21"/>
        </w:rPr>
      </w:pPr>
      <w:r>
        <w:rPr>
          <w:spacing w:val="-3"/>
          <w:sz w:val="21"/>
        </w:rPr>
        <w:t>施工现场的消火栓泵应采用专用消防配电线路。专用消防配电线路应自施工现场总配电箱的总断路器上端接入，且应保持不间断供电。 </w:t>
      </w:r>
    </w:p>
    <w:p>
      <w:pPr>
        <w:pStyle w:val="ListParagraph"/>
        <w:numPr>
          <w:ilvl w:val="2"/>
          <w:numId w:val="538"/>
        </w:numPr>
        <w:tabs>
          <w:tab w:pos="1371" w:val="left" w:leader="none"/>
        </w:tabs>
        <w:spacing w:line="267" w:lineRule="exact" w:before="0" w:after="0"/>
        <w:ind w:left="1370" w:right="0" w:hanging="531"/>
        <w:jc w:val="left"/>
        <w:rPr>
          <w:sz w:val="21"/>
        </w:rPr>
      </w:pPr>
      <w:r>
        <w:rPr>
          <w:spacing w:val="-3"/>
          <w:sz w:val="21"/>
        </w:rPr>
        <w:t>地下工程的施工作业场所宜配备防毒面具。</w:t>
      </w:r>
      <w:r>
        <w:rPr>
          <w:sz w:val="21"/>
        </w:rPr>
        <w:t> </w:t>
      </w:r>
    </w:p>
    <w:p>
      <w:pPr>
        <w:pStyle w:val="BodyText"/>
        <w:spacing w:before="1"/>
        <w:rPr>
          <w:sz w:val="18"/>
        </w:rPr>
      </w:pPr>
    </w:p>
    <w:p>
      <w:pPr>
        <w:pStyle w:val="ListParagraph"/>
        <w:numPr>
          <w:ilvl w:val="2"/>
          <w:numId w:val="538"/>
        </w:numPr>
        <w:tabs>
          <w:tab w:pos="1370" w:val="left" w:leader="none"/>
        </w:tabs>
        <w:spacing w:line="446" w:lineRule="auto" w:before="0" w:after="0"/>
        <w:ind w:left="418" w:right="1498" w:firstLine="422"/>
        <w:jc w:val="left"/>
        <w:rPr>
          <w:sz w:val="21"/>
        </w:rPr>
      </w:pPr>
      <w:r>
        <w:rPr>
          <w:spacing w:val="-3"/>
          <w:sz w:val="21"/>
        </w:rPr>
        <w:t>临时消防给水系统的贮水池、消火栓泵、室内消防竖管及水泵接合器等应设置醒目标识。</w:t>
      </w:r>
      <w:r>
        <w:rPr>
          <w:sz w:val="21"/>
        </w:rPr>
        <w:t> </w:t>
      </w:r>
    </w:p>
    <w:p>
      <w:pPr>
        <w:pStyle w:val="ListParagraph"/>
        <w:numPr>
          <w:ilvl w:val="1"/>
          <w:numId w:val="538"/>
        </w:numPr>
        <w:tabs>
          <w:tab w:pos="1159" w:val="left" w:leader="none"/>
        </w:tabs>
        <w:spacing w:line="267" w:lineRule="exact" w:before="0" w:after="0"/>
        <w:ind w:left="1158" w:right="0" w:hanging="319"/>
        <w:jc w:val="left"/>
        <w:rPr>
          <w:b/>
          <w:sz w:val="21"/>
        </w:rPr>
      </w:pPr>
      <w:r>
        <w:rPr>
          <w:spacing w:val="-3"/>
          <w:sz w:val="21"/>
        </w:rPr>
        <w:t>灭火器</w:t>
      </w:r>
      <w:r>
        <w:rPr>
          <w:b/>
          <w:w w:val="99"/>
          <w:sz w:val="21"/>
        </w:rPr>
        <w:t> </w:t>
      </w:r>
    </w:p>
    <w:p>
      <w:pPr>
        <w:pStyle w:val="BodyText"/>
        <w:spacing w:before="2"/>
        <w:rPr>
          <w:b/>
          <w:sz w:val="18"/>
        </w:rPr>
      </w:pPr>
    </w:p>
    <w:p>
      <w:pPr>
        <w:pStyle w:val="ListParagraph"/>
        <w:numPr>
          <w:ilvl w:val="2"/>
          <w:numId w:val="538"/>
        </w:numPr>
        <w:tabs>
          <w:tab w:pos="1424" w:val="left" w:leader="none"/>
        </w:tabs>
        <w:spacing w:line="240" w:lineRule="auto" w:before="0" w:after="0"/>
        <w:ind w:left="1423" w:right="0" w:hanging="584"/>
        <w:jc w:val="left"/>
        <w:rPr>
          <w:b/>
          <w:sz w:val="21"/>
        </w:rPr>
      </w:pPr>
      <w:r>
        <w:rPr>
          <w:spacing w:val="-3"/>
          <w:sz w:val="21"/>
        </w:rPr>
        <w:t>在建工程及临时用房的下列场所应配置灭火器：</w:t>
      </w:r>
      <w:r>
        <w:rPr>
          <w:b/>
          <w:w w:val="99"/>
          <w:sz w:val="21"/>
        </w:rPr>
        <w:t> </w:t>
      </w:r>
    </w:p>
    <w:p>
      <w:pPr>
        <w:pStyle w:val="BodyText"/>
        <w:spacing w:before="12"/>
        <w:rPr>
          <w:b/>
          <w:sz w:val="17"/>
        </w:rPr>
      </w:pPr>
    </w:p>
    <w:p>
      <w:pPr>
        <w:pStyle w:val="ListParagraph"/>
        <w:numPr>
          <w:ilvl w:val="0"/>
          <w:numId w:val="539"/>
        </w:numPr>
        <w:tabs>
          <w:tab w:pos="1367" w:val="left" w:leader="none"/>
        </w:tabs>
        <w:spacing w:line="240" w:lineRule="auto" w:before="0" w:after="0"/>
        <w:ind w:left="1367" w:right="0" w:hanging="529"/>
        <w:jc w:val="left"/>
        <w:rPr>
          <w:b/>
          <w:sz w:val="21"/>
        </w:rPr>
      </w:pPr>
      <w:r>
        <w:rPr>
          <w:spacing w:val="-3"/>
          <w:sz w:val="21"/>
        </w:rPr>
        <w:t>易燃易爆危险品存放及使用场所。</w:t>
      </w:r>
      <w:r>
        <w:rPr>
          <w:b/>
          <w:w w:val="99"/>
          <w:sz w:val="21"/>
        </w:rPr>
        <w:t> </w:t>
      </w:r>
    </w:p>
    <w:p>
      <w:pPr>
        <w:pStyle w:val="BodyText"/>
        <w:rPr>
          <w:b/>
          <w:sz w:val="18"/>
        </w:rPr>
      </w:pPr>
    </w:p>
    <w:p>
      <w:pPr>
        <w:pStyle w:val="ListParagraph"/>
        <w:numPr>
          <w:ilvl w:val="0"/>
          <w:numId w:val="539"/>
        </w:numPr>
        <w:tabs>
          <w:tab w:pos="1367" w:val="left" w:leader="none"/>
        </w:tabs>
        <w:spacing w:line="240" w:lineRule="auto" w:before="0" w:after="0"/>
        <w:ind w:left="1367" w:right="0" w:hanging="529"/>
        <w:jc w:val="left"/>
        <w:rPr>
          <w:sz w:val="21"/>
        </w:rPr>
      </w:pPr>
      <w:r>
        <w:rPr>
          <w:spacing w:val="-3"/>
          <w:sz w:val="21"/>
        </w:rPr>
        <w:t>动火作业场所。</w:t>
      </w:r>
      <w:r>
        <w:rPr>
          <w:sz w:val="21"/>
        </w:rPr>
        <w:t> </w:t>
      </w:r>
    </w:p>
    <w:p>
      <w:pPr>
        <w:pStyle w:val="BodyText"/>
        <w:spacing w:before="2"/>
        <w:rPr>
          <w:sz w:val="18"/>
        </w:rPr>
      </w:pPr>
    </w:p>
    <w:p>
      <w:pPr>
        <w:pStyle w:val="ListParagraph"/>
        <w:numPr>
          <w:ilvl w:val="0"/>
          <w:numId w:val="539"/>
        </w:numPr>
        <w:tabs>
          <w:tab w:pos="1367" w:val="left" w:leader="none"/>
        </w:tabs>
        <w:spacing w:line="240" w:lineRule="auto" w:before="0" w:after="0"/>
        <w:ind w:left="1367" w:right="0" w:hanging="529"/>
        <w:jc w:val="left"/>
        <w:rPr>
          <w:sz w:val="21"/>
        </w:rPr>
      </w:pPr>
      <w:r>
        <w:rPr>
          <w:spacing w:val="-3"/>
          <w:sz w:val="21"/>
        </w:rPr>
        <w:t>可燃材料存放、加工及使用场所。</w:t>
      </w:r>
      <w:r>
        <w:rPr>
          <w:sz w:val="21"/>
        </w:rPr>
        <w:t> </w:t>
      </w:r>
    </w:p>
    <w:p>
      <w:pPr>
        <w:pStyle w:val="BodyText"/>
        <w:rPr>
          <w:sz w:val="18"/>
        </w:rPr>
      </w:pPr>
    </w:p>
    <w:p>
      <w:pPr>
        <w:pStyle w:val="ListParagraph"/>
        <w:numPr>
          <w:ilvl w:val="0"/>
          <w:numId w:val="539"/>
        </w:numPr>
        <w:tabs>
          <w:tab w:pos="1367" w:val="left" w:leader="none"/>
        </w:tabs>
        <w:spacing w:line="446" w:lineRule="auto" w:before="0" w:after="0"/>
        <w:ind w:left="418" w:right="1714" w:firstLine="419"/>
        <w:jc w:val="left"/>
        <w:rPr>
          <w:sz w:val="21"/>
        </w:rPr>
      </w:pPr>
      <w:r>
        <w:rPr>
          <w:spacing w:val="-3"/>
          <w:sz w:val="21"/>
        </w:rPr>
        <w:t>厨房操作间、锅炉房、发电机房、变配电房、设备用房、办公用房、宿舍等临时用房。</w:t>
      </w:r>
      <w:r>
        <w:rPr>
          <w:sz w:val="21"/>
        </w:rPr>
        <w:t> </w:t>
      </w:r>
    </w:p>
    <w:p>
      <w:pPr>
        <w:pStyle w:val="ListParagraph"/>
        <w:numPr>
          <w:ilvl w:val="0"/>
          <w:numId w:val="539"/>
        </w:numPr>
        <w:tabs>
          <w:tab w:pos="1367" w:val="left" w:leader="none"/>
        </w:tabs>
        <w:spacing w:line="240" w:lineRule="auto" w:before="0" w:after="0"/>
        <w:ind w:left="1367" w:right="0" w:hanging="529"/>
        <w:jc w:val="left"/>
        <w:rPr>
          <w:sz w:val="21"/>
        </w:rPr>
      </w:pPr>
      <w:r>
        <w:rPr>
          <w:spacing w:val="-3"/>
          <w:sz w:val="21"/>
        </w:rPr>
        <w:t>其他具有火灾危险的场所。</w:t>
      </w:r>
      <w:r>
        <w:rPr>
          <w:sz w:val="21"/>
        </w:rPr>
        <w:t> </w:t>
      </w:r>
    </w:p>
    <w:p>
      <w:pPr>
        <w:pStyle w:val="BodyText"/>
        <w:spacing w:before="12"/>
        <w:rPr>
          <w:sz w:val="17"/>
        </w:rPr>
      </w:pPr>
    </w:p>
    <w:p>
      <w:pPr>
        <w:pStyle w:val="ListParagraph"/>
        <w:numPr>
          <w:ilvl w:val="2"/>
          <w:numId w:val="538"/>
        </w:numPr>
        <w:tabs>
          <w:tab w:pos="1371" w:val="left" w:leader="none"/>
        </w:tabs>
        <w:spacing w:line="240" w:lineRule="auto" w:before="0" w:after="0"/>
        <w:ind w:left="1370" w:right="0" w:hanging="531"/>
        <w:jc w:val="left"/>
        <w:rPr>
          <w:b/>
          <w:sz w:val="21"/>
        </w:rPr>
      </w:pPr>
      <w:r>
        <w:rPr>
          <w:spacing w:val="-3"/>
          <w:sz w:val="21"/>
        </w:rPr>
        <w:t>施工现场灭火器配置应符合下列规定：</w:t>
      </w:r>
      <w:r>
        <w:rPr>
          <w:b/>
          <w:spacing w:val="-3"/>
          <w:w w:val="99"/>
          <w:sz w:val="21"/>
        </w:rPr>
        <w:t> </w:t>
      </w:r>
    </w:p>
    <w:p>
      <w:pPr>
        <w:pStyle w:val="BodyText"/>
        <w:spacing w:before="12"/>
        <w:rPr>
          <w:b/>
          <w:sz w:val="17"/>
        </w:rPr>
      </w:pPr>
    </w:p>
    <w:p>
      <w:pPr>
        <w:pStyle w:val="BodyText"/>
        <w:spacing w:line="446" w:lineRule="auto"/>
        <w:ind w:left="838" w:right="4446"/>
      </w:pPr>
      <w:r>
        <w:rPr/>
        <w:drawing>
          <wp:anchor distT="0" distB="0" distL="0" distR="0" allowOverlap="1" layoutInCell="1" locked="0" behindDoc="0" simplePos="0" relativeHeight="201">
            <wp:simplePos x="0" y="0"/>
            <wp:positionH relativeFrom="page">
              <wp:posOffset>1361184</wp:posOffset>
            </wp:positionH>
            <wp:positionV relativeFrom="paragraph">
              <wp:posOffset>716788</wp:posOffset>
            </wp:positionV>
            <wp:extent cx="4632265" cy="2555462"/>
            <wp:effectExtent l="0" t="0" r="0" b="0"/>
            <wp:wrapTopAndBottom/>
            <wp:docPr id="469" name="image275.jpeg"/>
            <wp:cNvGraphicFramePr>
              <a:graphicFrameLocks noChangeAspect="1"/>
            </wp:cNvGraphicFramePr>
            <a:graphic>
              <a:graphicData uri="http://schemas.openxmlformats.org/drawingml/2006/picture">
                <pic:pic>
                  <pic:nvPicPr>
                    <pic:cNvPr id="470" name="image275.jpeg"/>
                    <pic:cNvPicPr/>
                  </pic:nvPicPr>
                  <pic:blipFill>
                    <a:blip r:embed="rId333" cstate="print"/>
                    <a:stretch>
                      <a:fillRect/>
                    </a:stretch>
                  </pic:blipFill>
                  <pic:spPr>
                    <a:xfrm>
                      <a:off x="0" y="0"/>
                      <a:ext cx="4632265" cy="2555462"/>
                    </a:xfrm>
                    <a:prstGeom prst="rect">
                      <a:avLst/>
                    </a:prstGeom>
                  </pic:spPr>
                </pic:pic>
              </a:graphicData>
            </a:graphic>
          </wp:anchor>
        </w:drawing>
      </w:r>
      <w:r>
        <w:rPr/>
        <w:t>灭火器的类型应与配备场所可能发生的火灾类型相匹配。灭火器的最低配置标准应符合表 5.2.2-1 的规定。 </w:t>
      </w:r>
    </w:p>
    <w:p>
      <w:pPr>
        <w:spacing w:after="0" w:line="446" w:lineRule="auto"/>
        <w:sectPr>
          <w:footerReference w:type="default" r:id="rId332"/>
          <w:pgSz w:w="11910" w:h="16850"/>
          <w:pgMar w:footer="1239" w:header="0" w:top="1220" w:bottom="1420" w:left="1260" w:right="0"/>
          <w:pgNumType w:start="1240"/>
        </w:sectPr>
      </w:pPr>
    </w:p>
    <w:p>
      <w:pPr>
        <w:pStyle w:val="BodyText"/>
        <w:ind w:left="817"/>
        <w:rPr>
          <w:sz w:val="20"/>
        </w:rPr>
      </w:pPr>
      <w:r>
        <w:rPr>
          <w:sz w:val="20"/>
        </w:rPr>
        <w:drawing>
          <wp:inline distT="0" distB="0" distL="0" distR="0">
            <wp:extent cx="4782265" cy="2095500"/>
            <wp:effectExtent l="0" t="0" r="0" b="0"/>
            <wp:docPr id="471" name="image276.jpeg"/>
            <wp:cNvGraphicFramePr>
              <a:graphicFrameLocks noChangeAspect="1"/>
            </wp:cNvGraphicFramePr>
            <a:graphic>
              <a:graphicData uri="http://schemas.openxmlformats.org/drawingml/2006/picture">
                <pic:pic>
                  <pic:nvPicPr>
                    <pic:cNvPr id="472" name="image276.jpeg"/>
                    <pic:cNvPicPr/>
                  </pic:nvPicPr>
                  <pic:blipFill>
                    <a:blip r:embed="rId334" cstate="print"/>
                    <a:stretch>
                      <a:fillRect/>
                    </a:stretch>
                  </pic:blipFill>
                  <pic:spPr>
                    <a:xfrm>
                      <a:off x="0" y="0"/>
                      <a:ext cx="4782265" cy="2095500"/>
                    </a:xfrm>
                    <a:prstGeom prst="rect">
                      <a:avLst/>
                    </a:prstGeom>
                  </pic:spPr>
                </pic:pic>
              </a:graphicData>
            </a:graphic>
          </wp:inline>
        </w:drawing>
      </w:r>
      <w:r>
        <w:rPr>
          <w:sz w:val="20"/>
        </w:rPr>
      </w:r>
    </w:p>
    <w:p>
      <w:pPr>
        <w:pStyle w:val="BodyText"/>
        <w:spacing w:before="4"/>
        <w:rPr>
          <w:sz w:val="11"/>
        </w:rPr>
      </w:pPr>
    </w:p>
    <w:p>
      <w:pPr>
        <w:pStyle w:val="BodyText"/>
        <w:spacing w:line="446" w:lineRule="auto" w:before="72"/>
        <w:ind w:left="418" w:right="1505" w:firstLine="419"/>
      </w:pPr>
      <w:r>
        <w:rPr/>
        <w:t>灭火器的配置数量应按现行国家标准《建筑灭火器配置设计规范》GB 50140 的有关规定经计算确定，且每个场所的灭火器数量不应少于 2 具。 </w:t>
      </w:r>
    </w:p>
    <w:p>
      <w:pPr>
        <w:pStyle w:val="BodyText"/>
        <w:ind w:left="838"/>
      </w:pPr>
      <w:r>
        <w:rPr>
          <w:w w:val="100"/>
        </w:rPr>
        <w:t> </w:t>
      </w:r>
      <w:r>
        <w:rPr/>
        <w:t>灭火器的最大保护距离应符合表 5.2.2-2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ListParagraph"/>
        <w:numPr>
          <w:ilvl w:val="1"/>
          <w:numId w:val="538"/>
        </w:numPr>
        <w:tabs>
          <w:tab w:pos="1156" w:val="left" w:leader="none"/>
        </w:tabs>
        <w:spacing w:line="240" w:lineRule="auto" w:before="72" w:after="0"/>
        <w:ind w:left="1155" w:right="0" w:hanging="318"/>
        <w:jc w:val="left"/>
        <w:rPr>
          <w:sz w:val="21"/>
        </w:rPr>
      </w:pPr>
      <w:r>
        <w:rPr>
          <w:spacing w:val="-3"/>
          <w:sz w:val="21"/>
        </w:rPr>
        <w:t>临时消防给水系统</w:t>
      </w:r>
      <w:r>
        <w:rPr>
          <w:sz w:val="21"/>
        </w:rPr>
        <w:t> </w:t>
      </w:r>
    </w:p>
    <w:p>
      <w:pPr>
        <w:pStyle w:val="BodyText"/>
        <w:spacing w:before="12"/>
        <w:rPr>
          <w:sz w:val="17"/>
        </w:rPr>
      </w:pPr>
    </w:p>
    <w:p>
      <w:pPr>
        <w:pStyle w:val="ListParagraph"/>
        <w:numPr>
          <w:ilvl w:val="2"/>
          <w:numId w:val="538"/>
        </w:numPr>
        <w:tabs>
          <w:tab w:pos="1371" w:val="left" w:leader="none"/>
        </w:tabs>
        <w:spacing w:line="446" w:lineRule="auto" w:before="0" w:after="0"/>
        <w:ind w:left="418" w:right="1498" w:firstLine="422"/>
        <w:jc w:val="left"/>
        <w:rPr>
          <w:sz w:val="21"/>
        </w:rPr>
      </w:pPr>
      <w:r>
        <w:rPr>
          <w:spacing w:val="-3"/>
          <w:sz w:val="21"/>
        </w:rPr>
        <w:t>施工现场或其附近应设置稳定、可靠的水源，并应能满足施工现场临时消防用水的需要。</w:t>
      </w:r>
      <w:r>
        <w:rPr>
          <w:sz w:val="21"/>
        </w:rPr>
        <w:t> </w:t>
      </w:r>
    </w:p>
    <w:p>
      <w:pPr>
        <w:pStyle w:val="BodyText"/>
        <w:spacing w:line="446" w:lineRule="auto"/>
        <w:ind w:left="418" w:right="1609" w:firstLine="419"/>
      </w:pPr>
      <w:r>
        <w:rPr/>
        <w:t>消防水源可采用市政给水管网或天然水源。当采用天然水源时，应采取确保冰冻季节、枯水期最低水位时顺利取水的措施，并应满足临时消防用水量的要求。 </w:t>
      </w:r>
    </w:p>
    <w:p>
      <w:pPr>
        <w:pStyle w:val="ListParagraph"/>
        <w:numPr>
          <w:ilvl w:val="2"/>
          <w:numId w:val="538"/>
        </w:numPr>
        <w:tabs>
          <w:tab w:pos="1424" w:val="left" w:leader="none"/>
        </w:tabs>
        <w:spacing w:line="267" w:lineRule="exact" w:before="0" w:after="0"/>
        <w:ind w:left="1423" w:right="0" w:hanging="584"/>
        <w:jc w:val="left"/>
        <w:rPr>
          <w:sz w:val="21"/>
        </w:rPr>
      </w:pPr>
      <w:r>
        <w:rPr>
          <w:spacing w:val="-3"/>
          <w:sz w:val="21"/>
        </w:rPr>
        <w:t>临时消防用水量应为临时室外消防用水量与临时室内消防用水量之和。 </w:t>
      </w:r>
    </w:p>
    <w:p>
      <w:pPr>
        <w:pStyle w:val="BodyText"/>
        <w:spacing w:before="2"/>
        <w:rPr>
          <w:sz w:val="18"/>
        </w:rPr>
      </w:pPr>
    </w:p>
    <w:p>
      <w:pPr>
        <w:pStyle w:val="ListParagraph"/>
        <w:numPr>
          <w:ilvl w:val="2"/>
          <w:numId w:val="538"/>
        </w:numPr>
        <w:tabs>
          <w:tab w:pos="1424" w:val="left" w:leader="none"/>
        </w:tabs>
        <w:spacing w:line="446" w:lineRule="auto" w:before="0" w:after="0"/>
        <w:ind w:left="418" w:right="1445" w:firstLine="422"/>
        <w:jc w:val="left"/>
        <w:rPr>
          <w:sz w:val="21"/>
        </w:rPr>
      </w:pPr>
      <w:r>
        <w:rPr>
          <w:spacing w:val="-3"/>
          <w:sz w:val="21"/>
        </w:rPr>
        <w:t>临时室外消防用水量应按临时用房和在建工程的临时室外消防用水量的较大者确定， 施工现场火灾次数可按同时发生 </w:t>
      </w:r>
      <w:r>
        <w:rPr>
          <w:sz w:val="21"/>
        </w:rPr>
        <w:t>1</w:t>
      </w:r>
      <w:r>
        <w:rPr>
          <w:spacing w:val="-3"/>
          <w:sz w:val="21"/>
        </w:rPr>
        <w:t> 次确定。</w:t>
      </w:r>
      <w:r>
        <w:rPr>
          <w:sz w:val="21"/>
        </w:rPr>
        <w:t> </w:t>
      </w:r>
    </w:p>
    <w:p>
      <w:pPr>
        <w:pStyle w:val="ListParagraph"/>
        <w:numPr>
          <w:ilvl w:val="2"/>
          <w:numId w:val="538"/>
        </w:numPr>
        <w:tabs>
          <w:tab w:pos="1424" w:val="left" w:leader="none"/>
        </w:tabs>
        <w:spacing w:line="446" w:lineRule="auto" w:before="0" w:after="0"/>
        <w:ind w:left="418" w:right="1599" w:firstLine="422"/>
        <w:jc w:val="both"/>
        <w:rPr>
          <w:sz w:val="21"/>
        </w:rPr>
      </w:pPr>
      <w:r>
        <w:rPr>
          <w:spacing w:val="-2"/>
          <w:sz w:val="21"/>
        </w:rPr>
        <w:t>临时用房建筑面积之和大于 </w:t>
      </w:r>
      <w:r>
        <w:rPr>
          <w:sz w:val="21"/>
        </w:rPr>
        <w:t>1000m</w:t>
      </w:r>
      <w:r>
        <w:rPr>
          <w:position w:val="11"/>
          <w:sz w:val="11"/>
        </w:rPr>
        <w:t>2</w:t>
      </w:r>
      <w:r>
        <w:rPr>
          <w:spacing w:val="-28"/>
          <w:position w:val="11"/>
          <w:sz w:val="11"/>
        </w:rPr>
        <w:t> </w:t>
      </w:r>
      <w:r>
        <w:rPr>
          <w:spacing w:val="-2"/>
          <w:sz w:val="21"/>
        </w:rPr>
        <w:t>或在建工程单体体积大于 </w:t>
      </w:r>
      <w:r>
        <w:rPr>
          <w:sz w:val="21"/>
        </w:rPr>
        <w:t>10000m</w:t>
      </w:r>
      <w:r>
        <w:rPr>
          <w:position w:val="11"/>
          <w:sz w:val="11"/>
        </w:rPr>
        <w:t>3</w:t>
      </w:r>
      <w:r>
        <w:rPr>
          <w:spacing w:val="-28"/>
          <w:position w:val="11"/>
          <w:sz w:val="11"/>
        </w:rPr>
        <w:t> </w:t>
      </w:r>
      <w:r>
        <w:rPr>
          <w:spacing w:val="-2"/>
          <w:sz w:val="21"/>
        </w:rPr>
        <w:t>时，应设置临</w:t>
      </w:r>
      <w:r>
        <w:rPr>
          <w:spacing w:val="-3"/>
          <w:sz w:val="21"/>
        </w:rPr>
        <w:t>时室外消防给水系统。当施工现场处于市政消火栓 </w:t>
      </w:r>
      <w:r>
        <w:rPr>
          <w:sz w:val="21"/>
        </w:rPr>
        <w:t>150m</w:t>
      </w:r>
      <w:r>
        <w:rPr>
          <w:spacing w:val="-3"/>
          <w:sz w:val="21"/>
        </w:rPr>
        <w:t> 保护范围内，且市政消火栓的数量满足室外消防用水量要求时，可不设置临时室外消防给水系统。</w:t>
      </w:r>
      <w:r>
        <w:rPr>
          <w:sz w:val="21"/>
        </w:rPr>
        <w:t> </w:t>
      </w:r>
    </w:p>
    <w:p>
      <w:pPr>
        <w:spacing w:after="0" w:line="446" w:lineRule="auto"/>
        <w:jc w:val="both"/>
        <w:rPr>
          <w:sz w:val="21"/>
        </w:rPr>
        <w:sectPr>
          <w:pgSz w:w="11910" w:h="16850"/>
          <w:pgMar w:header="0" w:footer="1239" w:top="1080" w:bottom="1420" w:left="1260" w:right="0"/>
        </w:sectPr>
      </w:pPr>
    </w:p>
    <w:p>
      <w:pPr>
        <w:pStyle w:val="ListParagraph"/>
        <w:numPr>
          <w:ilvl w:val="2"/>
          <w:numId w:val="538"/>
        </w:numPr>
        <w:tabs>
          <w:tab w:pos="1369" w:val="left" w:leader="none"/>
        </w:tabs>
        <w:spacing w:line="240" w:lineRule="auto" w:before="47" w:after="0"/>
        <w:ind w:left="1368" w:right="0" w:hanging="531"/>
        <w:jc w:val="left"/>
        <w:rPr>
          <w:sz w:val="21"/>
        </w:rPr>
      </w:pPr>
      <w:r>
        <w:rPr>
          <w:spacing w:val="-3"/>
          <w:sz w:val="21"/>
        </w:rPr>
        <w:t>临时用房的临时室外消防用水量不应小于表 </w:t>
      </w:r>
      <w:r>
        <w:rPr>
          <w:sz w:val="21"/>
        </w:rPr>
        <w:t>5.3.5</w:t>
      </w:r>
      <w:r>
        <w:rPr>
          <w:spacing w:val="-13"/>
          <w:sz w:val="21"/>
        </w:rPr>
        <w:t> 的规定。</w:t>
      </w:r>
      <w:r>
        <w:rPr>
          <w:sz w:val="21"/>
        </w:rPr>
        <w:t> </w:t>
      </w:r>
    </w:p>
    <w:p>
      <w:pPr>
        <w:pStyle w:val="BodyText"/>
        <w:spacing w:before="12"/>
        <w:rPr>
          <w:sz w:val="18"/>
        </w:rPr>
      </w:pPr>
      <w:r>
        <w:rPr/>
        <w:drawing>
          <wp:anchor distT="0" distB="0" distL="0" distR="0" allowOverlap="1" layoutInCell="1" locked="0" behindDoc="0" simplePos="0" relativeHeight="202">
            <wp:simplePos x="0" y="0"/>
            <wp:positionH relativeFrom="page">
              <wp:posOffset>1189355</wp:posOffset>
            </wp:positionH>
            <wp:positionV relativeFrom="paragraph">
              <wp:posOffset>179157</wp:posOffset>
            </wp:positionV>
            <wp:extent cx="4666791" cy="1266825"/>
            <wp:effectExtent l="0" t="0" r="0" b="0"/>
            <wp:wrapTopAndBottom/>
            <wp:docPr id="473" name="image277.jpeg"/>
            <wp:cNvGraphicFramePr>
              <a:graphicFrameLocks noChangeAspect="1"/>
            </wp:cNvGraphicFramePr>
            <a:graphic>
              <a:graphicData uri="http://schemas.openxmlformats.org/drawingml/2006/picture">
                <pic:pic>
                  <pic:nvPicPr>
                    <pic:cNvPr id="474" name="image277.jpeg"/>
                    <pic:cNvPicPr/>
                  </pic:nvPicPr>
                  <pic:blipFill>
                    <a:blip r:embed="rId335" cstate="print"/>
                    <a:stretch>
                      <a:fillRect/>
                    </a:stretch>
                  </pic:blipFill>
                  <pic:spPr>
                    <a:xfrm>
                      <a:off x="0" y="0"/>
                      <a:ext cx="4666791" cy="1266825"/>
                    </a:xfrm>
                    <a:prstGeom prst="rect">
                      <a:avLst/>
                    </a:prstGeom>
                  </pic:spPr>
                </pic:pic>
              </a:graphicData>
            </a:graphic>
          </wp:anchor>
        </w:drawing>
      </w:r>
    </w:p>
    <w:p>
      <w:pPr>
        <w:pStyle w:val="ListParagraph"/>
        <w:numPr>
          <w:ilvl w:val="2"/>
          <w:numId w:val="538"/>
        </w:numPr>
        <w:tabs>
          <w:tab w:pos="1370" w:val="left" w:leader="none"/>
        </w:tabs>
        <w:spacing w:line="240" w:lineRule="auto" w:before="176" w:after="0"/>
        <w:ind w:left="1369" w:right="0" w:hanging="530"/>
        <w:jc w:val="left"/>
        <w:rPr>
          <w:sz w:val="21"/>
        </w:rPr>
      </w:pPr>
      <w:r>
        <w:rPr>
          <w:spacing w:val="-3"/>
          <w:sz w:val="21"/>
        </w:rPr>
        <w:t>在建工程的临时室外消防用水量不应小于表 </w:t>
      </w:r>
      <w:r>
        <w:rPr>
          <w:sz w:val="21"/>
        </w:rPr>
        <w:t>5.3.6</w:t>
      </w:r>
      <w:r>
        <w:rPr>
          <w:spacing w:val="-3"/>
          <w:sz w:val="21"/>
        </w:rPr>
        <w:t> 的规定。</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ListParagraph"/>
        <w:numPr>
          <w:ilvl w:val="2"/>
          <w:numId w:val="538"/>
        </w:numPr>
        <w:tabs>
          <w:tab w:pos="1369" w:val="left" w:leader="none"/>
        </w:tabs>
        <w:spacing w:line="240" w:lineRule="auto" w:before="72" w:after="0"/>
        <w:ind w:left="1368" w:right="0" w:hanging="531"/>
        <w:jc w:val="left"/>
        <w:rPr>
          <w:sz w:val="21"/>
        </w:rPr>
      </w:pPr>
      <w:r>
        <w:rPr>
          <w:spacing w:val="-3"/>
          <w:sz w:val="21"/>
        </w:rPr>
        <w:t>施工现场临时室外消防给水系统的设置应符合下列规定：</w:t>
      </w:r>
      <w:r>
        <w:rPr>
          <w:sz w:val="21"/>
        </w:rPr>
        <w:t> </w:t>
      </w:r>
    </w:p>
    <w:p>
      <w:pPr>
        <w:pStyle w:val="BodyText"/>
        <w:spacing w:before="3"/>
        <w:rPr>
          <w:sz w:val="19"/>
        </w:rPr>
      </w:pPr>
      <w:r>
        <w:rPr/>
        <w:drawing>
          <wp:anchor distT="0" distB="0" distL="0" distR="0" allowOverlap="1" layoutInCell="1" locked="0" behindDoc="0" simplePos="0" relativeHeight="203">
            <wp:simplePos x="0" y="0"/>
            <wp:positionH relativeFrom="page">
              <wp:posOffset>1354825</wp:posOffset>
            </wp:positionH>
            <wp:positionV relativeFrom="paragraph">
              <wp:posOffset>181848</wp:posOffset>
            </wp:positionV>
            <wp:extent cx="4699602" cy="1379601"/>
            <wp:effectExtent l="0" t="0" r="0" b="0"/>
            <wp:wrapTopAndBottom/>
            <wp:docPr id="475" name="image278.jpeg"/>
            <wp:cNvGraphicFramePr>
              <a:graphicFrameLocks noChangeAspect="1"/>
            </wp:cNvGraphicFramePr>
            <a:graphic>
              <a:graphicData uri="http://schemas.openxmlformats.org/drawingml/2006/picture">
                <pic:pic>
                  <pic:nvPicPr>
                    <pic:cNvPr id="476" name="image278.jpeg"/>
                    <pic:cNvPicPr/>
                  </pic:nvPicPr>
                  <pic:blipFill>
                    <a:blip r:embed="rId336" cstate="print"/>
                    <a:stretch>
                      <a:fillRect/>
                    </a:stretch>
                  </pic:blipFill>
                  <pic:spPr>
                    <a:xfrm>
                      <a:off x="0" y="0"/>
                      <a:ext cx="4699602" cy="1379601"/>
                    </a:xfrm>
                    <a:prstGeom prst="rect">
                      <a:avLst/>
                    </a:prstGeom>
                  </pic:spPr>
                </pic:pic>
              </a:graphicData>
            </a:graphic>
          </wp:anchor>
        </w:drawing>
      </w:r>
    </w:p>
    <w:p>
      <w:pPr>
        <w:pStyle w:val="ListParagraph"/>
        <w:numPr>
          <w:ilvl w:val="0"/>
          <w:numId w:val="540"/>
        </w:numPr>
        <w:tabs>
          <w:tab w:pos="1367" w:val="left" w:leader="none"/>
        </w:tabs>
        <w:spacing w:line="240" w:lineRule="auto" w:before="166" w:after="0"/>
        <w:ind w:left="1367" w:right="0" w:hanging="529"/>
        <w:jc w:val="left"/>
        <w:rPr>
          <w:sz w:val="21"/>
        </w:rPr>
      </w:pPr>
      <w:r>
        <w:rPr>
          <w:spacing w:val="-3"/>
          <w:sz w:val="21"/>
        </w:rPr>
        <w:t>给水管网宜布置成环状。</w:t>
      </w:r>
      <w:r>
        <w:rPr>
          <w:sz w:val="21"/>
        </w:rPr>
        <w:t> </w:t>
      </w:r>
    </w:p>
    <w:p>
      <w:pPr>
        <w:pStyle w:val="BodyText"/>
        <w:rPr>
          <w:sz w:val="18"/>
        </w:rPr>
      </w:pPr>
    </w:p>
    <w:p>
      <w:pPr>
        <w:pStyle w:val="ListParagraph"/>
        <w:numPr>
          <w:ilvl w:val="0"/>
          <w:numId w:val="540"/>
        </w:numPr>
        <w:tabs>
          <w:tab w:pos="1367" w:val="left" w:leader="none"/>
        </w:tabs>
        <w:spacing w:line="446" w:lineRule="auto" w:before="0" w:after="0"/>
        <w:ind w:left="418" w:right="1505" w:firstLine="419"/>
        <w:jc w:val="left"/>
        <w:rPr>
          <w:sz w:val="21"/>
        </w:rPr>
      </w:pPr>
      <w:r>
        <w:rPr>
          <w:spacing w:val="-3"/>
          <w:sz w:val="21"/>
        </w:rPr>
        <w:t>临时室外消防给水干管的管径，应根据施工现场临时消防用水量和干管内水流计算速度计算确定，且不应小于 </w:t>
      </w:r>
      <w:r>
        <w:rPr>
          <w:sz w:val="21"/>
        </w:rPr>
        <w:t>DN100</w:t>
      </w:r>
      <w:r>
        <w:rPr>
          <w:spacing w:val="-3"/>
          <w:sz w:val="21"/>
        </w:rPr>
        <w:t>。</w:t>
      </w:r>
      <w:r>
        <w:rPr>
          <w:sz w:val="21"/>
        </w:rPr>
        <w:t> </w:t>
      </w:r>
    </w:p>
    <w:p>
      <w:pPr>
        <w:pStyle w:val="ListParagraph"/>
        <w:numPr>
          <w:ilvl w:val="0"/>
          <w:numId w:val="540"/>
        </w:numPr>
        <w:tabs>
          <w:tab w:pos="1367" w:val="left" w:leader="none"/>
        </w:tabs>
        <w:spacing w:line="446" w:lineRule="auto" w:before="0" w:after="0"/>
        <w:ind w:left="418" w:right="1505" w:firstLine="419"/>
        <w:jc w:val="left"/>
        <w:rPr>
          <w:sz w:val="21"/>
        </w:rPr>
      </w:pPr>
      <w:r>
        <w:rPr>
          <w:spacing w:val="-3"/>
          <w:sz w:val="21"/>
        </w:rPr>
        <w:t>室外消火栓应沿在建工程、临时用房和可燃材料堆场及其加工场均匀布置，与在建工程、临时用房和可燃材料堆场及其加工场的外边线的距离不应小于 </w:t>
      </w:r>
      <w:r>
        <w:rPr>
          <w:sz w:val="21"/>
        </w:rPr>
        <w:t>5m</w:t>
      </w:r>
      <w:r>
        <w:rPr>
          <w:spacing w:val="-3"/>
          <w:sz w:val="21"/>
        </w:rPr>
        <w:t>。</w:t>
      </w:r>
      <w:r>
        <w:rPr>
          <w:sz w:val="21"/>
        </w:rPr>
        <w:t> </w:t>
      </w:r>
    </w:p>
    <w:p>
      <w:pPr>
        <w:pStyle w:val="ListParagraph"/>
        <w:numPr>
          <w:ilvl w:val="0"/>
          <w:numId w:val="540"/>
        </w:numPr>
        <w:tabs>
          <w:tab w:pos="1367" w:val="left" w:leader="none"/>
        </w:tabs>
        <w:spacing w:line="267" w:lineRule="exact" w:before="0" w:after="0"/>
        <w:ind w:left="1367" w:right="0" w:hanging="529"/>
        <w:jc w:val="left"/>
        <w:rPr>
          <w:sz w:val="21"/>
        </w:rPr>
      </w:pPr>
      <w:r>
        <w:rPr>
          <w:spacing w:val="-3"/>
          <w:sz w:val="21"/>
        </w:rPr>
        <w:t>消火栓的间距不应大于 </w:t>
      </w:r>
      <w:r>
        <w:rPr>
          <w:sz w:val="21"/>
        </w:rPr>
        <w:t>120m</w:t>
      </w:r>
      <w:r>
        <w:rPr>
          <w:spacing w:val="-3"/>
          <w:sz w:val="21"/>
        </w:rPr>
        <w:t>。</w:t>
      </w:r>
      <w:r>
        <w:rPr>
          <w:sz w:val="21"/>
        </w:rPr>
        <w:t> </w:t>
      </w:r>
    </w:p>
    <w:p>
      <w:pPr>
        <w:pStyle w:val="BodyText"/>
        <w:spacing w:before="2"/>
        <w:rPr>
          <w:sz w:val="18"/>
        </w:rPr>
      </w:pPr>
    </w:p>
    <w:p>
      <w:pPr>
        <w:pStyle w:val="ListParagraph"/>
        <w:numPr>
          <w:ilvl w:val="0"/>
          <w:numId w:val="540"/>
        </w:numPr>
        <w:tabs>
          <w:tab w:pos="1367" w:val="left" w:leader="none"/>
        </w:tabs>
        <w:spacing w:line="240" w:lineRule="auto" w:before="0" w:after="0"/>
        <w:ind w:left="1367" w:right="0" w:hanging="529"/>
        <w:jc w:val="left"/>
        <w:rPr>
          <w:sz w:val="21"/>
        </w:rPr>
      </w:pPr>
      <w:r>
        <w:rPr>
          <w:spacing w:val="-3"/>
          <w:sz w:val="21"/>
        </w:rPr>
        <w:t>消火栓的最大保护半径不应大于 </w:t>
      </w:r>
      <w:r>
        <w:rPr>
          <w:sz w:val="21"/>
        </w:rPr>
        <w:t>150m</w:t>
      </w:r>
      <w:r>
        <w:rPr>
          <w:spacing w:val="-3"/>
          <w:sz w:val="21"/>
        </w:rPr>
        <w:t>。</w:t>
      </w:r>
      <w:r>
        <w:rPr>
          <w:sz w:val="21"/>
        </w:rPr>
        <w:t> </w:t>
      </w:r>
    </w:p>
    <w:p>
      <w:pPr>
        <w:pStyle w:val="BodyText"/>
        <w:spacing w:before="2"/>
        <w:rPr>
          <w:sz w:val="17"/>
        </w:rPr>
      </w:pPr>
    </w:p>
    <w:p>
      <w:pPr>
        <w:pStyle w:val="ListParagraph"/>
        <w:numPr>
          <w:ilvl w:val="2"/>
          <w:numId w:val="538"/>
        </w:numPr>
        <w:tabs>
          <w:tab w:pos="1370" w:val="left" w:leader="none"/>
        </w:tabs>
        <w:spacing w:line="446" w:lineRule="auto" w:before="1" w:after="0"/>
        <w:ind w:left="418" w:right="1522" w:firstLine="422"/>
        <w:jc w:val="left"/>
        <w:rPr>
          <w:sz w:val="21"/>
        </w:rPr>
      </w:pPr>
      <w:r>
        <w:rPr>
          <w:spacing w:val="-2"/>
          <w:sz w:val="21"/>
        </w:rPr>
        <w:t>建筑高度大于 </w:t>
      </w:r>
      <w:r>
        <w:rPr>
          <w:sz w:val="21"/>
        </w:rPr>
        <w:t>24m</w:t>
      </w:r>
      <w:r>
        <w:rPr>
          <w:spacing w:val="-1"/>
          <w:sz w:val="21"/>
        </w:rPr>
        <w:t> 或单体体积超过 </w:t>
      </w:r>
      <w:r>
        <w:rPr>
          <w:sz w:val="21"/>
        </w:rPr>
        <w:t>30000m</w:t>
      </w:r>
      <w:r>
        <w:rPr>
          <w:position w:val="11"/>
          <w:sz w:val="11"/>
        </w:rPr>
        <w:t>3</w:t>
      </w:r>
      <w:r>
        <w:rPr>
          <w:spacing w:val="-29"/>
          <w:position w:val="11"/>
          <w:sz w:val="11"/>
        </w:rPr>
        <w:t> </w:t>
      </w:r>
      <w:r>
        <w:rPr>
          <w:spacing w:val="-3"/>
          <w:sz w:val="21"/>
        </w:rPr>
        <w:t>的在建工程，应设置临时室内消防给水系统。</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538"/>
        </w:numPr>
        <w:tabs>
          <w:tab w:pos="1370" w:val="left" w:leader="none"/>
        </w:tabs>
        <w:spacing w:line="240" w:lineRule="auto" w:before="47" w:after="0"/>
        <w:ind w:left="1369" w:right="0" w:hanging="530"/>
        <w:jc w:val="left"/>
        <w:rPr>
          <w:sz w:val="21"/>
        </w:rPr>
      </w:pPr>
      <w:r>
        <w:rPr>
          <w:spacing w:val="-3"/>
          <w:sz w:val="21"/>
        </w:rPr>
        <w:t>在建工程的临时室内消防用水量不应小于表 </w:t>
      </w:r>
      <w:r>
        <w:rPr>
          <w:sz w:val="21"/>
        </w:rPr>
        <w:t>5.3.9</w:t>
      </w:r>
      <w:r>
        <w:rPr>
          <w:spacing w:val="-3"/>
          <w:sz w:val="21"/>
        </w:rPr>
        <w:t> 的规定。</w:t>
      </w:r>
      <w:r>
        <w:rPr>
          <w:sz w:val="21"/>
        </w:rPr>
        <w:t> </w:t>
      </w:r>
    </w:p>
    <w:p>
      <w:pPr>
        <w:pStyle w:val="BodyText"/>
        <w:spacing w:before="1"/>
        <w:rPr>
          <w:sz w:val="23"/>
        </w:rPr>
      </w:pPr>
      <w:r>
        <w:rPr/>
        <w:drawing>
          <wp:anchor distT="0" distB="0" distL="0" distR="0" allowOverlap="1" layoutInCell="1" locked="0" behindDoc="0" simplePos="0" relativeHeight="204">
            <wp:simplePos x="0" y="0"/>
            <wp:positionH relativeFrom="page">
              <wp:posOffset>1228311</wp:posOffset>
            </wp:positionH>
            <wp:positionV relativeFrom="paragraph">
              <wp:posOffset>212812</wp:posOffset>
            </wp:positionV>
            <wp:extent cx="5008651" cy="1524000"/>
            <wp:effectExtent l="0" t="0" r="0" b="0"/>
            <wp:wrapTopAndBottom/>
            <wp:docPr id="477" name="image279.jpeg"/>
            <wp:cNvGraphicFramePr>
              <a:graphicFrameLocks noChangeAspect="1"/>
            </wp:cNvGraphicFramePr>
            <a:graphic>
              <a:graphicData uri="http://schemas.openxmlformats.org/drawingml/2006/picture">
                <pic:pic>
                  <pic:nvPicPr>
                    <pic:cNvPr id="478" name="image279.jpeg"/>
                    <pic:cNvPicPr/>
                  </pic:nvPicPr>
                  <pic:blipFill>
                    <a:blip r:embed="rId337" cstate="print"/>
                    <a:stretch>
                      <a:fillRect/>
                    </a:stretch>
                  </pic:blipFill>
                  <pic:spPr>
                    <a:xfrm>
                      <a:off x="0" y="0"/>
                      <a:ext cx="5008651" cy="1524000"/>
                    </a:xfrm>
                    <a:prstGeom prst="rect">
                      <a:avLst/>
                    </a:prstGeom>
                  </pic:spPr>
                </pic:pic>
              </a:graphicData>
            </a:graphic>
          </wp:anchor>
        </w:drawing>
      </w:r>
    </w:p>
    <w:p>
      <w:pPr>
        <w:pStyle w:val="BodyText"/>
        <w:spacing w:before="12"/>
        <w:rPr>
          <w:sz w:val="20"/>
        </w:rPr>
      </w:pPr>
    </w:p>
    <w:p>
      <w:pPr>
        <w:pStyle w:val="ListParagraph"/>
        <w:numPr>
          <w:ilvl w:val="2"/>
          <w:numId w:val="538"/>
        </w:numPr>
        <w:tabs>
          <w:tab w:pos="1478" w:val="left" w:leader="none"/>
        </w:tabs>
        <w:spacing w:line="240" w:lineRule="auto" w:before="0" w:after="0"/>
        <w:ind w:left="1477" w:right="0" w:hanging="638"/>
        <w:jc w:val="left"/>
        <w:rPr>
          <w:sz w:val="21"/>
        </w:rPr>
      </w:pPr>
      <w:r>
        <w:rPr>
          <w:spacing w:val="-3"/>
          <w:sz w:val="21"/>
        </w:rPr>
        <w:t>在建工程临时室内消防竖管的设置应符合下列规定：</w:t>
      </w:r>
      <w:r>
        <w:rPr>
          <w:sz w:val="21"/>
        </w:rPr>
        <w:t> </w:t>
      </w:r>
    </w:p>
    <w:p>
      <w:pPr>
        <w:pStyle w:val="BodyText"/>
        <w:spacing w:before="12"/>
        <w:rPr>
          <w:sz w:val="17"/>
        </w:rPr>
      </w:pPr>
    </w:p>
    <w:p>
      <w:pPr>
        <w:pStyle w:val="ListParagraph"/>
        <w:numPr>
          <w:ilvl w:val="0"/>
          <w:numId w:val="541"/>
        </w:numPr>
        <w:tabs>
          <w:tab w:pos="1367" w:val="left" w:leader="none"/>
        </w:tabs>
        <w:spacing w:line="446" w:lineRule="auto" w:before="0" w:after="0"/>
        <w:ind w:left="418" w:right="1611" w:firstLine="419"/>
        <w:jc w:val="left"/>
        <w:rPr>
          <w:sz w:val="21"/>
        </w:rPr>
      </w:pPr>
      <w:r>
        <w:rPr>
          <w:spacing w:val="-3"/>
          <w:sz w:val="21"/>
        </w:rPr>
        <w:t>消防竖管的设置位置应便于消防人员操作，其数量不应少于 2</w:t>
      </w:r>
      <w:r>
        <w:rPr>
          <w:spacing w:val="-1"/>
          <w:sz w:val="21"/>
        </w:rPr>
        <w:t> 根，当结构封顶时， </w:t>
      </w:r>
      <w:r>
        <w:rPr>
          <w:spacing w:val="-3"/>
          <w:sz w:val="21"/>
        </w:rPr>
        <w:t>应将消防竖管设置成环状。 </w:t>
      </w:r>
    </w:p>
    <w:p>
      <w:pPr>
        <w:pStyle w:val="ListParagraph"/>
        <w:numPr>
          <w:ilvl w:val="0"/>
          <w:numId w:val="541"/>
        </w:numPr>
        <w:tabs>
          <w:tab w:pos="1367" w:val="left" w:leader="none"/>
        </w:tabs>
        <w:spacing w:line="446" w:lineRule="auto" w:before="0" w:after="0"/>
        <w:ind w:left="418" w:right="1505" w:firstLine="419"/>
        <w:jc w:val="left"/>
        <w:rPr>
          <w:sz w:val="21"/>
        </w:rPr>
      </w:pPr>
      <w:r>
        <w:rPr>
          <w:spacing w:val="-3"/>
          <w:sz w:val="21"/>
        </w:rPr>
        <w:t>消防竖管的管径应根据在建工程临时消防用水量、竖管内水流计算速度计算确定，且不应小于 </w:t>
      </w:r>
      <w:r>
        <w:rPr>
          <w:sz w:val="21"/>
        </w:rPr>
        <w:t>DN100</w:t>
      </w:r>
      <w:r>
        <w:rPr>
          <w:spacing w:val="-3"/>
          <w:sz w:val="21"/>
        </w:rPr>
        <w:t>。</w:t>
      </w:r>
      <w:r>
        <w:rPr>
          <w:sz w:val="21"/>
        </w:rPr>
        <w:t> </w:t>
      </w:r>
    </w:p>
    <w:p>
      <w:pPr>
        <w:pStyle w:val="ListParagraph"/>
        <w:numPr>
          <w:ilvl w:val="2"/>
          <w:numId w:val="538"/>
        </w:numPr>
        <w:tabs>
          <w:tab w:pos="1478" w:val="left" w:leader="none"/>
        </w:tabs>
        <w:spacing w:line="448" w:lineRule="auto" w:before="0" w:after="0"/>
        <w:ind w:left="418" w:right="1496" w:firstLine="422"/>
        <w:jc w:val="left"/>
        <w:rPr>
          <w:sz w:val="21"/>
        </w:rPr>
      </w:pPr>
      <w:r>
        <w:rPr>
          <w:spacing w:val="-3"/>
          <w:sz w:val="21"/>
        </w:rPr>
        <w:t>设置室内消防给水系统的在建工程，应设置消防水泵接合器。消防水泵接合器应设置在室外便于消防车取水的部位，与室外消火栓或消防水池取水口的距离宜为 </w:t>
      </w:r>
      <w:r>
        <w:rPr>
          <w:sz w:val="21"/>
        </w:rPr>
        <w:t>15～40m</w:t>
      </w:r>
      <w:r>
        <w:rPr>
          <w:spacing w:val="-3"/>
          <w:sz w:val="21"/>
        </w:rPr>
        <w:t>。</w:t>
      </w:r>
      <w:r>
        <w:rPr>
          <w:sz w:val="21"/>
        </w:rPr>
        <w:t> </w:t>
      </w:r>
    </w:p>
    <w:p>
      <w:pPr>
        <w:pStyle w:val="ListParagraph"/>
        <w:numPr>
          <w:ilvl w:val="2"/>
          <w:numId w:val="538"/>
        </w:numPr>
        <w:tabs>
          <w:tab w:pos="1478" w:val="left" w:leader="none"/>
        </w:tabs>
        <w:spacing w:line="446" w:lineRule="auto" w:before="0" w:after="0"/>
        <w:ind w:left="418" w:right="1496" w:firstLine="422"/>
        <w:jc w:val="left"/>
        <w:rPr>
          <w:sz w:val="21"/>
        </w:rPr>
      </w:pPr>
      <w:r>
        <w:rPr>
          <w:spacing w:val="-3"/>
          <w:sz w:val="21"/>
        </w:rPr>
        <w:t>设置临时室内消防给水系统的在建工程，各结构层均应设置室内消火栓接口及消防软管接口，并应符合下列规定：</w:t>
      </w:r>
      <w:r>
        <w:rPr>
          <w:sz w:val="21"/>
        </w:rPr>
        <w:t> </w:t>
      </w:r>
    </w:p>
    <w:p>
      <w:pPr>
        <w:pStyle w:val="ListParagraph"/>
        <w:numPr>
          <w:ilvl w:val="0"/>
          <w:numId w:val="542"/>
        </w:numPr>
        <w:tabs>
          <w:tab w:pos="1367" w:val="left" w:leader="none"/>
        </w:tabs>
        <w:spacing w:line="240" w:lineRule="auto" w:before="0" w:after="0"/>
        <w:ind w:left="1367" w:right="0" w:hanging="529"/>
        <w:jc w:val="left"/>
        <w:rPr>
          <w:sz w:val="21"/>
        </w:rPr>
      </w:pPr>
      <w:r>
        <w:rPr>
          <w:spacing w:val="-3"/>
          <w:sz w:val="21"/>
        </w:rPr>
        <w:t>消火栓接口及软管接口应设置在位置明显且易于操作的部位。</w:t>
      </w:r>
      <w:r>
        <w:rPr>
          <w:sz w:val="21"/>
        </w:rPr>
        <w:t> </w:t>
      </w:r>
    </w:p>
    <w:p>
      <w:pPr>
        <w:pStyle w:val="BodyText"/>
        <w:spacing w:before="4"/>
        <w:rPr>
          <w:sz w:val="17"/>
        </w:rPr>
      </w:pPr>
    </w:p>
    <w:p>
      <w:pPr>
        <w:pStyle w:val="ListParagraph"/>
        <w:numPr>
          <w:ilvl w:val="0"/>
          <w:numId w:val="542"/>
        </w:numPr>
        <w:tabs>
          <w:tab w:pos="1367" w:val="left" w:leader="none"/>
        </w:tabs>
        <w:spacing w:line="240" w:lineRule="auto" w:before="1" w:after="0"/>
        <w:ind w:left="1367" w:right="0" w:hanging="529"/>
        <w:jc w:val="left"/>
        <w:rPr>
          <w:sz w:val="21"/>
        </w:rPr>
      </w:pPr>
      <w:r>
        <w:rPr>
          <w:spacing w:val="-3"/>
          <w:sz w:val="21"/>
        </w:rPr>
        <w:t>消火栓接口的前端应设置截止阀。</w:t>
      </w:r>
      <w:r>
        <w:rPr>
          <w:sz w:val="21"/>
        </w:rPr>
        <w:t> </w:t>
      </w:r>
    </w:p>
    <w:p>
      <w:pPr>
        <w:pStyle w:val="BodyText"/>
        <w:spacing w:before="12"/>
        <w:rPr>
          <w:sz w:val="17"/>
        </w:rPr>
      </w:pPr>
    </w:p>
    <w:p>
      <w:pPr>
        <w:pStyle w:val="ListParagraph"/>
        <w:numPr>
          <w:ilvl w:val="0"/>
          <w:numId w:val="542"/>
        </w:numPr>
        <w:tabs>
          <w:tab w:pos="1367" w:val="left" w:leader="none"/>
        </w:tabs>
        <w:spacing w:line="446" w:lineRule="auto" w:before="0" w:after="0"/>
        <w:ind w:left="840" w:right="1498" w:hanging="3"/>
        <w:jc w:val="left"/>
        <w:rPr>
          <w:sz w:val="21"/>
        </w:rPr>
      </w:pPr>
      <w:r>
        <w:rPr>
          <w:spacing w:val="-3"/>
          <w:sz w:val="21"/>
        </w:rPr>
        <w:t>消火栓接口或软管接口的间距，多层建筑不应大于 </w:t>
      </w:r>
      <w:r>
        <w:rPr>
          <w:sz w:val="21"/>
        </w:rPr>
        <w:t>50m</w:t>
      </w:r>
      <w:r>
        <w:rPr>
          <w:spacing w:val="-2"/>
          <w:sz w:val="21"/>
        </w:rPr>
        <w:t>，高层建筑不应大于 </w:t>
      </w:r>
      <w:r>
        <w:rPr>
          <w:sz w:val="21"/>
        </w:rPr>
        <w:t>30m</w:t>
      </w:r>
      <w:r>
        <w:rPr>
          <w:spacing w:val="-3"/>
          <w:sz w:val="21"/>
        </w:rPr>
        <w:t>。</w:t>
      </w:r>
      <w:r>
        <w:rPr>
          <w:b/>
          <w:sz w:val="21"/>
        </w:rPr>
        <w:t>5.3.13</w:t>
      </w:r>
      <w:r>
        <w:rPr>
          <w:b/>
          <w:spacing w:val="37"/>
          <w:sz w:val="21"/>
        </w:rPr>
        <w:t> </w:t>
      </w:r>
      <w:r>
        <w:rPr>
          <w:spacing w:val="-3"/>
          <w:sz w:val="21"/>
        </w:rPr>
        <w:t>在建工程结构施工完毕的每层楼梯处应设置消防水枪、水带及软管，且每个设置点</w:t>
      </w:r>
    </w:p>
    <w:p>
      <w:pPr>
        <w:pStyle w:val="BodyText"/>
        <w:ind w:left="418"/>
      </w:pPr>
      <w:r>
        <w:rPr/>
        <w:t>不应少于 2 套。 </w:t>
      </w:r>
    </w:p>
    <w:p>
      <w:pPr>
        <w:pStyle w:val="BodyText"/>
        <w:rPr>
          <w:sz w:val="18"/>
        </w:rPr>
      </w:pPr>
    </w:p>
    <w:p>
      <w:pPr>
        <w:pStyle w:val="ListParagraph"/>
        <w:numPr>
          <w:ilvl w:val="2"/>
          <w:numId w:val="543"/>
        </w:numPr>
        <w:tabs>
          <w:tab w:pos="1478" w:val="left" w:leader="none"/>
        </w:tabs>
        <w:spacing w:line="439" w:lineRule="auto" w:before="0" w:after="0"/>
        <w:ind w:left="418" w:right="1601" w:firstLine="422"/>
        <w:jc w:val="left"/>
        <w:rPr>
          <w:sz w:val="21"/>
        </w:rPr>
      </w:pPr>
      <w:r>
        <w:rPr>
          <w:spacing w:val="1"/>
          <w:sz w:val="21"/>
        </w:rPr>
        <w:t>高度超过 </w:t>
      </w:r>
      <w:r>
        <w:rPr>
          <w:sz w:val="21"/>
        </w:rPr>
        <w:t>100m</w:t>
      </w:r>
      <w:r>
        <w:rPr>
          <w:spacing w:val="-3"/>
          <w:sz w:val="21"/>
        </w:rPr>
        <w:t> 的在建工程，应在适当楼层增设临时中转水池及加压水泵。中转水池的有效容积不应少于 </w:t>
      </w:r>
      <w:r>
        <w:rPr>
          <w:sz w:val="21"/>
        </w:rPr>
        <w:t>10m</w:t>
      </w:r>
      <w:r>
        <w:rPr>
          <w:position w:val="11"/>
          <w:sz w:val="11"/>
        </w:rPr>
        <w:t>3</w:t>
      </w:r>
      <w:r>
        <w:rPr>
          <w:spacing w:val="-3"/>
          <w:sz w:val="21"/>
        </w:rPr>
        <w:t>，上、下两个中转水池的高差不宜超过 </w:t>
      </w:r>
      <w:r>
        <w:rPr>
          <w:sz w:val="21"/>
        </w:rPr>
        <w:t>100m</w:t>
      </w:r>
      <w:r>
        <w:rPr>
          <w:spacing w:val="-3"/>
          <w:sz w:val="21"/>
        </w:rPr>
        <w:t>。</w:t>
      </w:r>
      <w:r>
        <w:rPr>
          <w:sz w:val="21"/>
        </w:rPr>
        <w:t> </w:t>
      </w:r>
    </w:p>
    <w:p>
      <w:pPr>
        <w:pStyle w:val="ListParagraph"/>
        <w:numPr>
          <w:ilvl w:val="2"/>
          <w:numId w:val="543"/>
        </w:numPr>
        <w:tabs>
          <w:tab w:pos="1478" w:val="left" w:leader="none"/>
        </w:tabs>
        <w:spacing w:line="446" w:lineRule="auto" w:before="6" w:after="0"/>
        <w:ind w:left="418" w:right="1505" w:firstLine="422"/>
        <w:jc w:val="left"/>
        <w:rPr>
          <w:sz w:val="21"/>
        </w:rPr>
      </w:pPr>
      <w:r>
        <w:rPr>
          <w:spacing w:val="-3"/>
          <w:sz w:val="21"/>
        </w:rPr>
        <w:t>临时消防给水系统的给水压力应满足消防水枪充实水柱长度不小于 </w:t>
      </w:r>
      <w:r>
        <w:rPr>
          <w:sz w:val="21"/>
        </w:rPr>
        <w:t>10m</w:t>
      </w:r>
      <w:r>
        <w:rPr>
          <w:spacing w:val="1"/>
          <w:sz w:val="21"/>
        </w:rPr>
        <w:t> 的要求；给</w:t>
      </w:r>
      <w:r>
        <w:rPr>
          <w:spacing w:val="-3"/>
          <w:sz w:val="21"/>
        </w:rPr>
        <w:t>水压力不能满足要求时，应设置消火栓泵，消火栓泵不应少于 2 台，且应互为备用；消火栓泵宜设置自动启动装置。</w:t>
      </w:r>
      <w:r>
        <w:rPr>
          <w:sz w:val="21"/>
        </w:rPr>
        <w:t> </w:t>
      </w:r>
    </w:p>
    <w:p>
      <w:pPr>
        <w:pStyle w:val="ListParagraph"/>
        <w:numPr>
          <w:ilvl w:val="2"/>
          <w:numId w:val="543"/>
        </w:numPr>
        <w:tabs>
          <w:tab w:pos="1530" w:val="left" w:leader="none"/>
        </w:tabs>
        <w:spacing w:line="446" w:lineRule="auto" w:before="0" w:after="0"/>
        <w:ind w:left="418" w:right="1549" w:firstLine="422"/>
        <w:jc w:val="left"/>
        <w:rPr>
          <w:sz w:val="21"/>
        </w:rPr>
      </w:pPr>
      <w:r>
        <w:rPr>
          <w:spacing w:val="-3"/>
          <w:sz w:val="21"/>
        </w:rPr>
        <w:t>当外部消防水源不能满足施工现场的临时消防用水量要求时，应在施工现场设置临时贮水池。临时贮水池宜设置在便于消防车取水的部位，其有效容积不应小于施工现场火灾延</w:t>
      </w:r>
    </w:p>
    <w:p>
      <w:pPr>
        <w:spacing w:after="0" w:line="446" w:lineRule="auto"/>
        <w:jc w:val="left"/>
        <w:rPr>
          <w:sz w:val="21"/>
        </w:rPr>
        <w:sectPr>
          <w:pgSz w:w="11910" w:h="16850"/>
          <w:pgMar w:header="0" w:footer="1239" w:top="1220" w:bottom="1420" w:left="1260" w:right="0"/>
        </w:sectPr>
      </w:pPr>
    </w:p>
    <w:p>
      <w:pPr>
        <w:pStyle w:val="BodyText"/>
        <w:spacing w:before="47"/>
        <w:ind w:left="418"/>
      </w:pPr>
      <w:r>
        <w:rPr/>
        <w:t>续时间内一次灭火的全部消防用水量。 </w:t>
      </w:r>
    </w:p>
    <w:p>
      <w:pPr>
        <w:pStyle w:val="BodyText"/>
        <w:rPr>
          <w:sz w:val="18"/>
        </w:rPr>
      </w:pPr>
    </w:p>
    <w:p>
      <w:pPr>
        <w:pStyle w:val="ListParagraph"/>
        <w:numPr>
          <w:ilvl w:val="2"/>
          <w:numId w:val="543"/>
        </w:numPr>
        <w:tabs>
          <w:tab w:pos="1530" w:val="left" w:leader="none"/>
        </w:tabs>
        <w:spacing w:line="446" w:lineRule="auto" w:before="0" w:after="0"/>
        <w:ind w:left="418" w:right="1505" w:firstLine="422"/>
        <w:jc w:val="both"/>
        <w:rPr>
          <w:sz w:val="21"/>
        </w:rPr>
      </w:pPr>
      <w:r>
        <w:rPr>
          <w:spacing w:val="-3"/>
          <w:sz w:val="21"/>
        </w:rPr>
        <w:t>施工现场临时消防给水系统应与施工现场生产、生活给水系统合并设置，但应设置将生产、生活用水转为消防用水的应急阀门。应急阀门不应超过 2 个，且应设置在易于操作的场所，并应设置明显标识。 </w:t>
      </w:r>
    </w:p>
    <w:p>
      <w:pPr>
        <w:pStyle w:val="ListParagraph"/>
        <w:numPr>
          <w:ilvl w:val="2"/>
          <w:numId w:val="543"/>
        </w:numPr>
        <w:tabs>
          <w:tab w:pos="1530" w:val="left" w:leader="none"/>
        </w:tabs>
        <w:spacing w:line="446" w:lineRule="auto" w:before="0" w:after="0"/>
        <w:ind w:left="840" w:right="3546" w:firstLine="0"/>
        <w:jc w:val="both"/>
        <w:rPr>
          <w:b/>
          <w:sz w:val="21"/>
        </w:rPr>
      </w:pPr>
      <w:r>
        <w:rPr>
          <w:spacing w:val="-3"/>
          <w:sz w:val="21"/>
        </w:rPr>
        <w:t>严寒和寒冷地区的现场临时消防给水系统应采取防冻措施。</w:t>
      </w:r>
      <w:r>
        <w:rPr>
          <w:b/>
          <w:sz w:val="21"/>
        </w:rPr>
        <w:t>5.4</w:t>
      </w:r>
      <w:r>
        <w:rPr>
          <w:b/>
          <w:spacing w:val="1"/>
          <w:sz w:val="21"/>
        </w:rPr>
        <w:t> </w:t>
      </w:r>
      <w:r>
        <w:rPr>
          <w:spacing w:val="-3"/>
          <w:sz w:val="21"/>
        </w:rPr>
        <w:t>应急照明</w:t>
      </w:r>
      <w:r>
        <w:rPr>
          <w:b/>
          <w:w w:val="99"/>
          <w:sz w:val="21"/>
        </w:rPr>
        <w:t> </w:t>
      </w:r>
    </w:p>
    <w:p>
      <w:pPr>
        <w:pStyle w:val="ListParagraph"/>
        <w:numPr>
          <w:ilvl w:val="2"/>
          <w:numId w:val="544"/>
        </w:numPr>
        <w:tabs>
          <w:tab w:pos="1371" w:val="left" w:leader="none"/>
        </w:tabs>
        <w:spacing w:line="240" w:lineRule="auto" w:before="0" w:after="0"/>
        <w:ind w:left="1370" w:right="0" w:hanging="531"/>
        <w:jc w:val="both"/>
        <w:rPr>
          <w:sz w:val="21"/>
        </w:rPr>
      </w:pPr>
      <w:r>
        <w:rPr>
          <w:spacing w:val="-3"/>
          <w:sz w:val="21"/>
        </w:rPr>
        <w:t>施工现场的下列场所应配备临时应急照明：</w:t>
      </w:r>
      <w:r>
        <w:rPr>
          <w:sz w:val="21"/>
        </w:rPr>
        <w:t> </w:t>
      </w:r>
    </w:p>
    <w:p>
      <w:pPr>
        <w:pStyle w:val="BodyText"/>
        <w:spacing w:before="11"/>
        <w:rPr>
          <w:sz w:val="17"/>
        </w:rPr>
      </w:pPr>
    </w:p>
    <w:p>
      <w:pPr>
        <w:pStyle w:val="ListParagraph"/>
        <w:numPr>
          <w:ilvl w:val="0"/>
          <w:numId w:val="545"/>
        </w:numPr>
        <w:tabs>
          <w:tab w:pos="1367" w:val="left" w:leader="none"/>
        </w:tabs>
        <w:spacing w:line="240" w:lineRule="auto" w:before="1" w:after="0"/>
        <w:ind w:left="1367" w:right="0" w:hanging="529"/>
        <w:jc w:val="left"/>
        <w:rPr>
          <w:b/>
          <w:sz w:val="21"/>
        </w:rPr>
      </w:pPr>
      <w:r>
        <w:rPr>
          <w:spacing w:val="-3"/>
          <w:sz w:val="21"/>
        </w:rPr>
        <w:t>自备发电机房及变配电房。</w:t>
      </w:r>
      <w:r>
        <w:rPr>
          <w:b/>
          <w:w w:val="99"/>
          <w:sz w:val="21"/>
        </w:rPr>
        <w:t> </w:t>
      </w:r>
    </w:p>
    <w:p>
      <w:pPr>
        <w:pStyle w:val="BodyText"/>
        <w:spacing w:before="12"/>
        <w:rPr>
          <w:b/>
          <w:sz w:val="17"/>
        </w:rPr>
      </w:pPr>
    </w:p>
    <w:p>
      <w:pPr>
        <w:pStyle w:val="ListParagraph"/>
        <w:numPr>
          <w:ilvl w:val="0"/>
          <w:numId w:val="545"/>
        </w:numPr>
        <w:tabs>
          <w:tab w:pos="1367" w:val="left" w:leader="none"/>
        </w:tabs>
        <w:spacing w:line="240" w:lineRule="auto" w:before="0" w:after="0"/>
        <w:ind w:left="1367" w:right="0" w:hanging="529"/>
        <w:jc w:val="left"/>
        <w:rPr>
          <w:b/>
          <w:sz w:val="21"/>
        </w:rPr>
      </w:pPr>
      <w:r>
        <w:rPr>
          <w:spacing w:val="-3"/>
          <w:sz w:val="21"/>
        </w:rPr>
        <w:t>水泵房。</w:t>
      </w:r>
      <w:r>
        <w:rPr>
          <w:b/>
          <w:w w:val="99"/>
          <w:sz w:val="21"/>
        </w:rPr>
        <w:t> </w:t>
      </w:r>
    </w:p>
    <w:p>
      <w:pPr>
        <w:pStyle w:val="BodyText"/>
        <w:spacing w:before="2"/>
        <w:rPr>
          <w:b/>
          <w:sz w:val="18"/>
        </w:rPr>
      </w:pPr>
    </w:p>
    <w:p>
      <w:pPr>
        <w:pStyle w:val="ListParagraph"/>
        <w:numPr>
          <w:ilvl w:val="0"/>
          <w:numId w:val="545"/>
        </w:numPr>
        <w:tabs>
          <w:tab w:pos="1367" w:val="left" w:leader="none"/>
        </w:tabs>
        <w:spacing w:line="240" w:lineRule="auto" w:before="0" w:after="0"/>
        <w:ind w:left="1367" w:right="0" w:hanging="529"/>
        <w:jc w:val="left"/>
        <w:rPr>
          <w:b/>
          <w:sz w:val="21"/>
        </w:rPr>
      </w:pPr>
      <w:r>
        <w:rPr>
          <w:spacing w:val="-3"/>
          <w:sz w:val="21"/>
        </w:rPr>
        <w:t>无天然采光的作业场所及疏散通道。</w:t>
      </w:r>
      <w:r>
        <w:rPr>
          <w:b/>
          <w:w w:val="99"/>
          <w:sz w:val="21"/>
        </w:rPr>
        <w:t> </w:t>
      </w:r>
    </w:p>
    <w:p>
      <w:pPr>
        <w:pStyle w:val="BodyText"/>
        <w:spacing w:before="12"/>
        <w:rPr>
          <w:b/>
          <w:sz w:val="17"/>
        </w:rPr>
      </w:pPr>
    </w:p>
    <w:p>
      <w:pPr>
        <w:pStyle w:val="ListParagraph"/>
        <w:numPr>
          <w:ilvl w:val="0"/>
          <w:numId w:val="545"/>
        </w:numPr>
        <w:tabs>
          <w:tab w:pos="1367" w:val="left" w:leader="none"/>
        </w:tabs>
        <w:spacing w:line="240" w:lineRule="auto" w:before="0" w:after="0"/>
        <w:ind w:left="1367" w:right="0" w:hanging="529"/>
        <w:jc w:val="left"/>
        <w:rPr>
          <w:sz w:val="21"/>
        </w:rPr>
      </w:pPr>
      <w:r>
        <w:rPr>
          <w:spacing w:val="-3"/>
          <w:sz w:val="21"/>
        </w:rPr>
        <w:t>高度超过 </w:t>
      </w:r>
      <w:r>
        <w:rPr>
          <w:sz w:val="21"/>
        </w:rPr>
        <w:t>100m</w:t>
      </w:r>
      <w:r>
        <w:rPr>
          <w:spacing w:val="-3"/>
          <w:sz w:val="21"/>
        </w:rPr>
        <w:t> 的在建工程的室内疏散通道。</w:t>
      </w:r>
      <w:r>
        <w:rPr>
          <w:sz w:val="21"/>
        </w:rPr>
        <w:t> </w:t>
      </w:r>
    </w:p>
    <w:p>
      <w:pPr>
        <w:pStyle w:val="BodyText"/>
        <w:rPr>
          <w:sz w:val="18"/>
        </w:rPr>
      </w:pPr>
    </w:p>
    <w:p>
      <w:pPr>
        <w:pStyle w:val="ListParagraph"/>
        <w:numPr>
          <w:ilvl w:val="0"/>
          <w:numId w:val="545"/>
        </w:numPr>
        <w:tabs>
          <w:tab w:pos="1367" w:val="left" w:leader="none"/>
        </w:tabs>
        <w:spacing w:line="240" w:lineRule="auto" w:before="0" w:after="0"/>
        <w:ind w:left="1367" w:right="0" w:hanging="529"/>
        <w:jc w:val="left"/>
        <w:rPr>
          <w:sz w:val="21"/>
        </w:rPr>
      </w:pPr>
      <w:r>
        <w:rPr>
          <w:spacing w:val="-3"/>
          <w:sz w:val="21"/>
        </w:rPr>
        <w:t>发生火灾时仍需坚持工作的其他场所。</w:t>
      </w:r>
      <w:r>
        <w:rPr>
          <w:sz w:val="21"/>
        </w:rPr>
        <w:t> </w:t>
      </w:r>
    </w:p>
    <w:p>
      <w:pPr>
        <w:pStyle w:val="BodyText"/>
        <w:spacing w:before="1"/>
        <w:rPr>
          <w:sz w:val="18"/>
        </w:rPr>
      </w:pPr>
    </w:p>
    <w:p>
      <w:pPr>
        <w:pStyle w:val="ListParagraph"/>
        <w:numPr>
          <w:ilvl w:val="2"/>
          <w:numId w:val="544"/>
        </w:numPr>
        <w:tabs>
          <w:tab w:pos="1371" w:val="left" w:leader="none"/>
        </w:tabs>
        <w:spacing w:line="446" w:lineRule="auto" w:before="1" w:after="0"/>
        <w:ind w:left="418" w:right="1501" w:firstLine="422"/>
        <w:jc w:val="left"/>
        <w:rPr>
          <w:sz w:val="21"/>
        </w:rPr>
      </w:pPr>
      <w:r>
        <w:rPr>
          <w:spacing w:val="-3"/>
          <w:sz w:val="21"/>
        </w:rPr>
        <w:t>作业场所应急照明的照度不应低于正常工作所需照度的 </w:t>
      </w:r>
      <w:r>
        <w:rPr>
          <w:sz w:val="21"/>
        </w:rPr>
        <w:t>90</w:t>
      </w:r>
      <w:r>
        <w:rPr>
          <w:spacing w:val="-3"/>
          <w:sz w:val="21"/>
        </w:rPr>
        <w:t>％，疏散通道的照度值不应小于 </w:t>
      </w:r>
      <w:r>
        <w:rPr>
          <w:sz w:val="21"/>
        </w:rPr>
        <w:t>0.5</w:t>
      </w:r>
      <w:r>
        <w:rPr>
          <w:spacing w:val="1"/>
          <w:sz w:val="21"/>
        </w:rPr>
        <w:t> </w:t>
      </w:r>
      <w:r>
        <w:rPr>
          <w:sz w:val="21"/>
        </w:rPr>
        <w:t>lx</w:t>
      </w:r>
      <w:r>
        <w:rPr>
          <w:spacing w:val="-3"/>
          <w:sz w:val="21"/>
        </w:rPr>
        <w:t>。</w:t>
      </w:r>
      <w:r>
        <w:rPr>
          <w:sz w:val="21"/>
        </w:rPr>
        <w:t> </w:t>
      </w:r>
    </w:p>
    <w:p>
      <w:pPr>
        <w:pStyle w:val="BodyText"/>
        <w:rPr>
          <w:sz w:val="20"/>
        </w:rPr>
      </w:pPr>
    </w:p>
    <w:p>
      <w:pPr>
        <w:pStyle w:val="BodyText"/>
        <w:spacing w:before="12"/>
        <w:rPr>
          <w:sz w:val="18"/>
        </w:rPr>
      </w:pPr>
    </w:p>
    <w:p>
      <w:pPr>
        <w:pStyle w:val="ListParagraph"/>
        <w:numPr>
          <w:ilvl w:val="2"/>
          <w:numId w:val="544"/>
        </w:numPr>
        <w:tabs>
          <w:tab w:pos="1370" w:val="left" w:leader="none"/>
        </w:tabs>
        <w:spacing w:line="446" w:lineRule="auto" w:before="0" w:after="0"/>
        <w:ind w:left="418" w:right="1604" w:firstLine="422"/>
        <w:jc w:val="left"/>
        <w:rPr>
          <w:sz w:val="21"/>
        </w:rPr>
      </w:pPr>
      <w:r>
        <w:rPr>
          <w:spacing w:val="-3"/>
          <w:sz w:val="21"/>
        </w:rPr>
        <w:t>临时消防应急照明灯具宜选用自备电源的应急照明灯具，自备电源的连续供电时间不应小于 </w:t>
      </w:r>
      <w:r>
        <w:rPr>
          <w:sz w:val="21"/>
        </w:rPr>
        <w:t>60min</w:t>
      </w:r>
      <w:r>
        <w:rPr>
          <w:spacing w:val="-3"/>
          <w:sz w:val="21"/>
        </w:rPr>
        <w:t>。</w:t>
      </w:r>
      <w:r>
        <w:rPr>
          <w:sz w:val="21"/>
        </w:rPr>
        <w:t> </w:t>
      </w:r>
    </w:p>
    <w:p>
      <w:pPr>
        <w:pStyle w:val="Heading4"/>
        <w:spacing w:line="275" w:lineRule="exact"/>
      </w:pPr>
      <w:r>
        <w:rPr/>
        <w:t>6 防火管理</w:t>
      </w:r>
      <w:r>
        <w:rPr>
          <w:w w:val="99"/>
        </w:rPr>
        <w:t> </w:t>
      </w:r>
    </w:p>
    <w:p>
      <w:pPr>
        <w:pStyle w:val="BodyText"/>
        <w:spacing w:before="6"/>
        <w:rPr>
          <w:b/>
          <w:sz w:val="17"/>
        </w:rPr>
      </w:pPr>
    </w:p>
    <w:p>
      <w:pPr>
        <w:pStyle w:val="ListParagraph"/>
        <w:numPr>
          <w:ilvl w:val="1"/>
          <w:numId w:val="546"/>
        </w:numPr>
        <w:tabs>
          <w:tab w:pos="1159" w:val="left" w:leader="none"/>
        </w:tabs>
        <w:spacing w:line="240" w:lineRule="auto" w:before="1"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546"/>
        </w:numPr>
        <w:tabs>
          <w:tab w:pos="1371" w:val="left" w:leader="none"/>
        </w:tabs>
        <w:spacing w:line="240" w:lineRule="auto" w:before="0" w:after="0"/>
        <w:ind w:left="1370" w:right="0" w:hanging="531"/>
        <w:jc w:val="left"/>
        <w:rPr>
          <w:sz w:val="21"/>
        </w:rPr>
      </w:pPr>
      <w:r>
        <w:rPr>
          <w:spacing w:val="-3"/>
          <w:sz w:val="21"/>
        </w:rPr>
        <w:t>施工现场的消防安全管理应由施工单位负责。 </w:t>
      </w:r>
    </w:p>
    <w:p>
      <w:pPr>
        <w:pStyle w:val="BodyText"/>
        <w:rPr>
          <w:sz w:val="18"/>
        </w:rPr>
      </w:pPr>
    </w:p>
    <w:p>
      <w:pPr>
        <w:pStyle w:val="BodyText"/>
        <w:spacing w:line="446" w:lineRule="auto"/>
        <w:ind w:left="418" w:right="1609" w:firstLine="419"/>
      </w:pPr>
      <w:r>
        <w:rPr/>
        <w:t>实行施工总承包时，应由总承包单位负责。分包单位应向总承包单位负责，并应服从总承包单位的管理，同时应承担国家法律、法规规定的消防责任和义务。 </w:t>
      </w:r>
    </w:p>
    <w:p>
      <w:pPr>
        <w:pStyle w:val="ListParagraph"/>
        <w:numPr>
          <w:ilvl w:val="2"/>
          <w:numId w:val="546"/>
        </w:numPr>
        <w:tabs>
          <w:tab w:pos="1371" w:val="left" w:leader="none"/>
        </w:tabs>
        <w:spacing w:line="240" w:lineRule="auto" w:before="0" w:after="0"/>
        <w:ind w:left="1370" w:right="0" w:hanging="531"/>
        <w:jc w:val="left"/>
        <w:rPr>
          <w:sz w:val="21"/>
        </w:rPr>
      </w:pPr>
      <w:r>
        <w:rPr>
          <w:spacing w:val="-3"/>
          <w:sz w:val="21"/>
        </w:rPr>
        <w:t>监理单位应对施工现场的消防安全管理实施监理。</w:t>
      </w:r>
      <w:r>
        <w:rPr>
          <w:sz w:val="21"/>
        </w:rPr>
        <w:t> </w:t>
      </w:r>
    </w:p>
    <w:p>
      <w:pPr>
        <w:pStyle w:val="BodyText"/>
        <w:spacing w:before="12"/>
        <w:rPr>
          <w:sz w:val="17"/>
        </w:rPr>
      </w:pPr>
    </w:p>
    <w:p>
      <w:pPr>
        <w:pStyle w:val="ListParagraph"/>
        <w:numPr>
          <w:ilvl w:val="2"/>
          <w:numId w:val="546"/>
        </w:numPr>
        <w:tabs>
          <w:tab w:pos="1371" w:val="left" w:leader="none"/>
        </w:tabs>
        <w:spacing w:line="446" w:lineRule="auto" w:before="0" w:after="0"/>
        <w:ind w:left="418" w:right="1604" w:firstLine="422"/>
        <w:jc w:val="both"/>
        <w:rPr>
          <w:sz w:val="21"/>
        </w:rPr>
      </w:pPr>
      <w:r>
        <w:rPr>
          <w:spacing w:val="-3"/>
          <w:sz w:val="21"/>
        </w:rPr>
        <w:t>施工单位应根据建设项目规模、现场消防安全管理的重点，在施工现场建立消防安全管理组织机构及义务消防组织，并应确定消防安全负责人和消防安全管理人员，同时应落实相关人员的消防安全管理责任。</w:t>
      </w:r>
      <w:r>
        <w:rPr>
          <w:sz w:val="21"/>
        </w:rPr>
        <w:t> </w:t>
      </w:r>
    </w:p>
    <w:p>
      <w:pPr>
        <w:pStyle w:val="ListParagraph"/>
        <w:numPr>
          <w:ilvl w:val="2"/>
          <w:numId w:val="546"/>
        </w:numPr>
        <w:tabs>
          <w:tab w:pos="1370" w:val="left" w:leader="none"/>
        </w:tabs>
        <w:spacing w:line="446" w:lineRule="auto" w:before="0" w:after="0"/>
        <w:ind w:left="418" w:right="1498" w:firstLine="422"/>
        <w:jc w:val="both"/>
        <w:rPr>
          <w:sz w:val="21"/>
        </w:rPr>
      </w:pPr>
      <w:r>
        <w:rPr>
          <w:spacing w:val="-3"/>
          <w:sz w:val="21"/>
        </w:rPr>
        <w:t>施工单位应针对施工现场可能导致火灾发生的施工作业及其他活动，制订消防安全管理制度。消防安全管理制度应包括下列主要内容： </w:t>
      </w:r>
    </w:p>
    <w:p>
      <w:pPr>
        <w:spacing w:after="0" w:line="446" w:lineRule="auto"/>
        <w:jc w:val="both"/>
        <w:rPr>
          <w:sz w:val="21"/>
        </w:rPr>
        <w:sectPr>
          <w:pgSz w:w="11910" w:h="16850"/>
          <w:pgMar w:header="0" w:footer="1239" w:top="1220" w:bottom="1420" w:left="1260" w:right="0"/>
        </w:sectPr>
      </w:pPr>
    </w:p>
    <w:p>
      <w:pPr>
        <w:pStyle w:val="ListParagraph"/>
        <w:numPr>
          <w:ilvl w:val="0"/>
          <w:numId w:val="547"/>
        </w:numPr>
        <w:tabs>
          <w:tab w:pos="1367" w:val="left" w:leader="none"/>
        </w:tabs>
        <w:spacing w:line="240" w:lineRule="auto" w:before="47" w:after="0"/>
        <w:ind w:left="1367" w:right="0" w:hanging="529"/>
        <w:jc w:val="left"/>
        <w:rPr>
          <w:sz w:val="21"/>
        </w:rPr>
      </w:pPr>
      <w:r>
        <w:rPr>
          <w:spacing w:val="-3"/>
          <w:sz w:val="21"/>
        </w:rPr>
        <w:t>消防安全教育与培训制度。</w:t>
      </w:r>
      <w:r>
        <w:rPr>
          <w:sz w:val="21"/>
        </w:rPr>
        <w:t> </w:t>
      </w:r>
    </w:p>
    <w:p>
      <w:pPr>
        <w:pStyle w:val="BodyText"/>
        <w:rPr>
          <w:sz w:val="18"/>
        </w:rPr>
      </w:pPr>
    </w:p>
    <w:p>
      <w:pPr>
        <w:pStyle w:val="ListParagraph"/>
        <w:numPr>
          <w:ilvl w:val="0"/>
          <w:numId w:val="547"/>
        </w:numPr>
        <w:tabs>
          <w:tab w:pos="1367" w:val="left" w:leader="none"/>
        </w:tabs>
        <w:spacing w:line="240" w:lineRule="auto" w:before="0" w:after="0"/>
        <w:ind w:left="1367" w:right="0" w:hanging="529"/>
        <w:jc w:val="left"/>
        <w:rPr>
          <w:sz w:val="21"/>
        </w:rPr>
      </w:pPr>
      <w:r>
        <w:rPr>
          <w:spacing w:val="-3"/>
          <w:sz w:val="21"/>
        </w:rPr>
        <w:t>可燃及易燃易爆危险品管理制度。</w:t>
      </w:r>
      <w:r>
        <w:rPr>
          <w:sz w:val="21"/>
        </w:rPr>
        <w:t> </w:t>
      </w:r>
    </w:p>
    <w:p>
      <w:pPr>
        <w:pStyle w:val="BodyText"/>
        <w:rPr>
          <w:sz w:val="18"/>
        </w:rPr>
      </w:pPr>
    </w:p>
    <w:p>
      <w:pPr>
        <w:pStyle w:val="ListParagraph"/>
        <w:numPr>
          <w:ilvl w:val="0"/>
          <w:numId w:val="547"/>
        </w:numPr>
        <w:tabs>
          <w:tab w:pos="1367" w:val="left" w:leader="none"/>
        </w:tabs>
        <w:spacing w:line="240" w:lineRule="auto" w:before="0" w:after="0"/>
        <w:ind w:left="1367" w:right="0" w:hanging="529"/>
        <w:jc w:val="left"/>
        <w:rPr>
          <w:sz w:val="21"/>
        </w:rPr>
      </w:pPr>
      <w:r>
        <w:rPr>
          <w:spacing w:val="-3"/>
          <w:sz w:val="21"/>
        </w:rPr>
        <w:t>用火、用电、用气管理制度。</w:t>
      </w:r>
      <w:r>
        <w:rPr>
          <w:sz w:val="21"/>
        </w:rPr>
        <w:t> </w:t>
      </w:r>
    </w:p>
    <w:p>
      <w:pPr>
        <w:pStyle w:val="BodyText"/>
        <w:spacing w:before="1"/>
        <w:rPr>
          <w:sz w:val="18"/>
        </w:rPr>
      </w:pPr>
    </w:p>
    <w:p>
      <w:pPr>
        <w:pStyle w:val="ListParagraph"/>
        <w:numPr>
          <w:ilvl w:val="0"/>
          <w:numId w:val="547"/>
        </w:numPr>
        <w:tabs>
          <w:tab w:pos="1367" w:val="left" w:leader="none"/>
        </w:tabs>
        <w:spacing w:line="240" w:lineRule="auto" w:before="1" w:after="0"/>
        <w:ind w:left="1367" w:right="0" w:hanging="529"/>
        <w:jc w:val="left"/>
        <w:rPr>
          <w:sz w:val="21"/>
        </w:rPr>
      </w:pPr>
      <w:r>
        <w:rPr>
          <w:spacing w:val="-3"/>
          <w:sz w:val="21"/>
        </w:rPr>
        <w:t>消防安全检查制度。</w:t>
      </w:r>
      <w:r>
        <w:rPr>
          <w:sz w:val="21"/>
        </w:rPr>
        <w:t> </w:t>
      </w:r>
    </w:p>
    <w:p>
      <w:pPr>
        <w:pStyle w:val="BodyText"/>
        <w:spacing w:before="12"/>
        <w:rPr>
          <w:sz w:val="17"/>
        </w:rPr>
      </w:pPr>
    </w:p>
    <w:p>
      <w:pPr>
        <w:pStyle w:val="ListParagraph"/>
        <w:numPr>
          <w:ilvl w:val="0"/>
          <w:numId w:val="547"/>
        </w:numPr>
        <w:tabs>
          <w:tab w:pos="1367" w:val="left" w:leader="none"/>
        </w:tabs>
        <w:spacing w:line="240" w:lineRule="auto" w:before="0" w:after="0"/>
        <w:ind w:left="1367" w:right="0" w:hanging="529"/>
        <w:jc w:val="left"/>
        <w:rPr>
          <w:sz w:val="21"/>
        </w:rPr>
      </w:pPr>
      <w:r>
        <w:rPr>
          <w:spacing w:val="-3"/>
          <w:sz w:val="21"/>
        </w:rPr>
        <w:t>应急预案演练制度。</w:t>
      </w:r>
      <w:r>
        <w:rPr>
          <w:sz w:val="21"/>
        </w:rPr>
        <w:t> </w:t>
      </w:r>
    </w:p>
    <w:p>
      <w:pPr>
        <w:pStyle w:val="BodyText"/>
        <w:spacing w:before="12"/>
        <w:rPr>
          <w:sz w:val="17"/>
        </w:rPr>
      </w:pPr>
    </w:p>
    <w:p>
      <w:pPr>
        <w:pStyle w:val="ListParagraph"/>
        <w:numPr>
          <w:ilvl w:val="2"/>
          <w:numId w:val="546"/>
        </w:numPr>
        <w:tabs>
          <w:tab w:pos="1424" w:val="left" w:leader="none"/>
        </w:tabs>
        <w:spacing w:line="446" w:lineRule="auto" w:before="0" w:after="0"/>
        <w:ind w:left="418" w:right="1657" w:firstLine="422"/>
        <w:jc w:val="left"/>
        <w:rPr>
          <w:sz w:val="21"/>
        </w:rPr>
      </w:pPr>
      <w:r>
        <w:rPr>
          <w:spacing w:val="-3"/>
          <w:sz w:val="21"/>
        </w:rPr>
        <w:t>施工单位应编制施工现场防火技术方案，并应根据现场情况变化及时对其修改、完善。防火技术方案应包括下列主要内容：</w:t>
      </w:r>
      <w:r>
        <w:rPr>
          <w:sz w:val="21"/>
        </w:rPr>
        <w:t> </w:t>
      </w:r>
    </w:p>
    <w:p>
      <w:pPr>
        <w:pStyle w:val="ListParagraph"/>
        <w:numPr>
          <w:ilvl w:val="0"/>
          <w:numId w:val="548"/>
        </w:numPr>
        <w:tabs>
          <w:tab w:pos="1367" w:val="left" w:leader="none"/>
        </w:tabs>
        <w:spacing w:line="240" w:lineRule="auto" w:before="1" w:after="0"/>
        <w:ind w:left="1367" w:right="0" w:hanging="529"/>
        <w:jc w:val="left"/>
        <w:rPr>
          <w:sz w:val="21"/>
        </w:rPr>
      </w:pPr>
      <w:r>
        <w:rPr>
          <w:spacing w:val="-3"/>
          <w:sz w:val="21"/>
        </w:rPr>
        <w:t>施工现场重大火灾危险源辨识。</w:t>
      </w:r>
      <w:r>
        <w:rPr>
          <w:sz w:val="21"/>
        </w:rPr>
        <w:t> </w:t>
      </w:r>
    </w:p>
    <w:p>
      <w:pPr>
        <w:pStyle w:val="BodyText"/>
        <w:spacing w:before="12"/>
        <w:rPr>
          <w:sz w:val="17"/>
        </w:rPr>
      </w:pPr>
    </w:p>
    <w:p>
      <w:pPr>
        <w:pStyle w:val="ListParagraph"/>
        <w:numPr>
          <w:ilvl w:val="0"/>
          <w:numId w:val="548"/>
        </w:numPr>
        <w:tabs>
          <w:tab w:pos="1367" w:val="left" w:leader="none"/>
        </w:tabs>
        <w:spacing w:line="240" w:lineRule="auto" w:before="0" w:after="0"/>
        <w:ind w:left="1367" w:right="0" w:hanging="529"/>
        <w:jc w:val="left"/>
        <w:rPr>
          <w:sz w:val="21"/>
        </w:rPr>
      </w:pPr>
      <w:r>
        <w:rPr>
          <w:spacing w:val="-3"/>
          <w:sz w:val="21"/>
        </w:rPr>
        <w:t>施工现场防火技术措施。</w:t>
      </w:r>
      <w:r>
        <w:rPr>
          <w:sz w:val="21"/>
        </w:rPr>
        <w:t> </w:t>
      </w:r>
    </w:p>
    <w:p>
      <w:pPr>
        <w:pStyle w:val="BodyText"/>
        <w:spacing w:before="2"/>
        <w:rPr>
          <w:sz w:val="18"/>
        </w:rPr>
      </w:pPr>
    </w:p>
    <w:p>
      <w:pPr>
        <w:pStyle w:val="ListParagraph"/>
        <w:numPr>
          <w:ilvl w:val="0"/>
          <w:numId w:val="548"/>
        </w:numPr>
        <w:tabs>
          <w:tab w:pos="1367" w:val="left" w:leader="none"/>
        </w:tabs>
        <w:spacing w:line="240" w:lineRule="auto" w:before="0" w:after="0"/>
        <w:ind w:left="1367" w:right="0" w:hanging="529"/>
        <w:jc w:val="left"/>
        <w:rPr>
          <w:sz w:val="21"/>
        </w:rPr>
      </w:pPr>
      <w:r>
        <w:rPr>
          <w:spacing w:val="-3"/>
          <w:sz w:val="21"/>
        </w:rPr>
        <w:t>临时消防设施、临时疏散设施配备。</w:t>
      </w:r>
      <w:r>
        <w:rPr>
          <w:sz w:val="21"/>
        </w:rPr>
        <w:t> </w:t>
      </w:r>
    </w:p>
    <w:p>
      <w:pPr>
        <w:pStyle w:val="BodyText"/>
        <w:spacing w:before="12"/>
        <w:rPr>
          <w:sz w:val="17"/>
        </w:rPr>
      </w:pPr>
    </w:p>
    <w:p>
      <w:pPr>
        <w:pStyle w:val="ListParagraph"/>
        <w:numPr>
          <w:ilvl w:val="0"/>
          <w:numId w:val="548"/>
        </w:numPr>
        <w:tabs>
          <w:tab w:pos="1367" w:val="left" w:leader="none"/>
        </w:tabs>
        <w:spacing w:line="240" w:lineRule="auto" w:before="0" w:after="0"/>
        <w:ind w:left="1367" w:right="0" w:hanging="529"/>
        <w:jc w:val="left"/>
        <w:rPr>
          <w:sz w:val="21"/>
        </w:rPr>
      </w:pPr>
      <w:r>
        <w:rPr>
          <w:spacing w:val="-3"/>
          <w:sz w:val="21"/>
        </w:rPr>
        <w:t>临时消防设施和消防警示标识布置图。</w:t>
      </w:r>
      <w:r>
        <w:rPr>
          <w:sz w:val="21"/>
        </w:rPr>
        <w:t> </w:t>
      </w:r>
    </w:p>
    <w:p>
      <w:pPr>
        <w:pStyle w:val="BodyText"/>
        <w:rPr>
          <w:sz w:val="18"/>
        </w:rPr>
      </w:pPr>
    </w:p>
    <w:p>
      <w:pPr>
        <w:pStyle w:val="ListParagraph"/>
        <w:numPr>
          <w:ilvl w:val="2"/>
          <w:numId w:val="546"/>
        </w:numPr>
        <w:tabs>
          <w:tab w:pos="1371" w:val="left" w:leader="none"/>
        </w:tabs>
        <w:spacing w:line="446" w:lineRule="auto" w:before="0" w:after="0"/>
        <w:ind w:left="418" w:right="1603" w:firstLine="422"/>
        <w:jc w:val="left"/>
        <w:rPr>
          <w:sz w:val="21"/>
        </w:rPr>
      </w:pPr>
      <w:r>
        <w:rPr>
          <w:spacing w:val="-3"/>
          <w:sz w:val="21"/>
        </w:rPr>
        <w:t>施工单位应编制施工现场灭火及应急疏散预案。灭火及应急疏散预案应包括下列主要内容：</w:t>
      </w:r>
      <w:r>
        <w:rPr>
          <w:sz w:val="21"/>
        </w:rPr>
        <w:t> </w:t>
      </w:r>
    </w:p>
    <w:p>
      <w:pPr>
        <w:pStyle w:val="ListParagraph"/>
        <w:numPr>
          <w:ilvl w:val="0"/>
          <w:numId w:val="549"/>
        </w:numPr>
        <w:tabs>
          <w:tab w:pos="1367" w:val="left" w:leader="none"/>
        </w:tabs>
        <w:spacing w:line="240" w:lineRule="auto" w:before="0" w:after="0"/>
        <w:ind w:left="1367" w:right="0" w:hanging="529"/>
        <w:jc w:val="left"/>
        <w:rPr>
          <w:sz w:val="21"/>
        </w:rPr>
      </w:pPr>
      <w:r>
        <w:rPr>
          <w:spacing w:val="-3"/>
          <w:sz w:val="21"/>
        </w:rPr>
        <w:t>应急灭火处置机构及各级人员应急处置职责。</w:t>
      </w:r>
      <w:r>
        <w:rPr>
          <w:sz w:val="21"/>
        </w:rPr>
        <w:t> </w:t>
      </w:r>
    </w:p>
    <w:p>
      <w:pPr>
        <w:pStyle w:val="BodyText"/>
        <w:spacing w:before="12"/>
        <w:rPr>
          <w:sz w:val="17"/>
        </w:rPr>
      </w:pPr>
    </w:p>
    <w:p>
      <w:pPr>
        <w:pStyle w:val="ListParagraph"/>
        <w:numPr>
          <w:ilvl w:val="0"/>
          <w:numId w:val="549"/>
        </w:numPr>
        <w:tabs>
          <w:tab w:pos="1367" w:val="left" w:leader="none"/>
        </w:tabs>
        <w:spacing w:line="240" w:lineRule="auto" w:before="0" w:after="0"/>
        <w:ind w:left="1367" w:right="0" w:hanging="529"/>
        <w:jc w:val="left"/>
        <w:rPr>
          <w:sz w:val="21"/>
        </w:rPr>
      </w:pPr>
      <w:r>
        <w:rPr>
          <w:spacing w:val="-3"/>
          <w:sz w:val="21"/>
        </w:rPr>
        <w:t>报警、接警处置的程序和通讯联络的方式。</w:t>
      </w:r>
      <w:r>
        <w:rPr>
          <w:sz w:val="21"/>
        </w:rPr>
        <w:t> </w:t>
      </w:r>
    </w:p>
    <w:p>
      <w:pPr>
        <w:pStyle w:val="BodyText"/>
        <w:spacing w:before="2"/>
        <w:rPr>
          <w:sz w:val="18"/>
        </w:rPr>
      </w:pPr>
    </w:p>
    <w:p>
      <w:pPr>
        <w:pStyle w:val="ListParagraph"/>
        <w:numPr>
          <w:ilvl w:val="0"/>
          <w:numId w:val="549"/>
        </w:numPr>
        <w:tabs>
          <w:tab w:pos="1367" w:val="left" w:leader="none"/>
        </w:tabs>
        <w:spacing w:line="240" w:lineRule="auto" w:before="0" w:after="0"/>
        <w:ind w:left="1367" w:right="0" w:hanging="529"/>
        <w:jc w:val="left"/>
        <w:rPr>
          <w:sz w:val="21"/>
        </w:rPr>
      </w:pPr>
      <w:r>
        <w:rPr>
          <w:spacing w:val="-3"/>
          <w:sz w:val="21"/>
        </w:rPr>
        <w:t>扑救初起火灾的程序和措施。</w:t>
      </w:r>
      <w:r>
        <w:rPr>
          <w:sz w:val="21"/>
        </w:rPr>
        <w:t> </w:t>
      </w:r>
    </w:p>
    <w:p>
      <w:pPr>
        <w:pStyle w:val="BodyText"/>
        <w:rPr>
          <w:sz w:val="18"/>
        </w:rPr>
      </w:pPr>
    </w:p>
    <w:p>
      <w:pPr>
        <w:pStyle w:val="ListParagraph"/>
        <w:numPr>
          <w:ilvl w:val="0"/>
          <w:numId w:val="549"/>
        </w:numPr>
        <w:tabs>
          <w:tab w:pos="1367" w:val="left" w:leader="none"/>
        </w:tabs>
        <w:spacing w:line="240" w:lineRule="auto" w:before="0" w:after="0"/>
        <w:ind w:left="1367" w:right="0" w:hanging="529"/>
        <w:jc w:val="left"/>
        <w:rPr>
          <w:sz w:val="21"/>
        </w:rPr>
      </w:pPr>
      <w:r>
        <w:rPr>
          <w:spacing w:val="-3"/>
          <w:sz w:val="21"/>
        </w:rPr>
        <w:t>应急疏散及救援的程序和措施。</w:t>
      </w:r>
      <w:r>
        <w:rPr>
          <w:sz w:val="21"/>
        </w:rPr>
        <w:t> </w:t>
      </w:r>
    </w:p>
    <w:p>
      <w:pPr>
        <w:pStyle w:val="BodyText"/>
        <w:spacing w:before="12"/>
        <w:rPr>
          <w:sz w:val="17"/>
        </w:rPr>
      </w:pPr>
    </w:p>
    <w:p>
      <w:pPr>
        <w:pStyle w:val="ListParagraph"/>
        <w:numPr>
          <w:ilvl w:val="2"/>
          <w:numId w:val="546"/>
        </w:numPr>
        <w:tabs>
          <w:tab w:pos="1370" w:val="left" w:leader="none"/>
        </w:tabs>
        <w:spacing w:line="446" w:lineRule="auto" w:before="0" w:after="0"/>
        <w:ind w:left="418" w:right="1498" w:firstLine="422"/>
        <w:jc w:val="left"/>
        <w:rPr>
          <w:sz w:val="21"/>
        </w:rPr>
      </w:pPr>
      <w:r>
        <w:rPr>
          <w:spacing w:val="-3"/>
          <w:sz w:val="21"/>
        </w:rPr>
        <w:t>施工人员进场时，施工现场的消防安全管理人员应向施工人员进行消防安全教育和培训。消防安全教育和培训应包括下列内容：</w:t>
      </w:r>
      <w:r>
        <w:rPr>
          <w:sz w:val="21"/>
        </w:rPr>
        <w:t> </w:t>
      </w:r>
    </w:p>
    <w:p>
      <w:pPr>
        <w:pStyle w:val="ListParagraph"/>
        <w:numPr>
          <w:ilvl w:val="0"/>
          <w:numId w:val="550"/>
        </w:numPr>
        <w:tabs>
          <w:tab w:pos="1367" w:val="left" w:leader="none"/>
        </w:tabs>
        <w:spacing w:line="240" w:lineRule="auto" w:before="1" w:after="0"/>
        <w:ind w:left="1367" w:right="0" w:hanging="529"/>
        <w:jc w:val="left"/>
        <w:rPr>
          <w:sz w:val="21"/>
        </w:rPr>
      </w:pPr>
      <w:r>
        <w:rPr>
          <w:spacing w:val="-3"/>
          <w:sz w:val="21"/>
        </w:rPr>
        <w:t>施工现场消防安全管理制度、防火技术方案、灭火及应急疏散预案的主要内容。</w:t>
      </w:r>
      <w:r>
        <w:rPr>
          <w:sz w:val="21"/>
        </w:rPr>
        <w:t> </w:t>
      </w:r>
    </w:p>
    <w:p>
      <w:pPr>
        <w:pStyle w:val="BodyText"/>
        <w:spacing w:before="12"/>
        <w:rPr>
          <w:sz w:val="17"/>
        </w:rPr>
      </w:pPr>
    </w:p>
    <w:p>
      <w:pPr>
        <w:pStyle w:val="ListParagraph"/>
        <w:numPr>
          <w:ilvl w:val="0"/>
          <w:numId w:val="550"/>
        </w:numPr>
        <w:tabs>
          <w:tab w:pos="1367" w:val="left" w:leader="none"/>
        </w:tabs>
        <w:spacing w:line="240" w:lineRule="auto" w:before="0" w:after="0"/>
        <w:ind w:left="1367" w:right="0" w:hanging="529"/>
        <w:jc w:val="left"/>
        <w:rPr>
          <w:sz w:val="21"/>
        </w:rPr>
      </w:pPr>
      <w:r>
        <w:rPr>
          <w:spacing w:val="-3"/>
          <w:sz w:val="21"/>
        </w:rPr>
        <w:t>施工现场临时消防设施的性能及使用、维护方法。</w:t>
      </w:r>
      <w:r>
        <w:rPr>
          <w:sz w:val="21"/>
        </w:rPr>
        <w:t> </w:t>
      </w:r>
    </w:p>
    <w:p>
      <w:pPr>
        <w:pStyle w:val="BodyText"/>
        <w:spacing w:before="2"/>
        <w:rPr>
          <w:sz w:val="18"/>
        </w:rPr>
      </w:pPr>
    </w:p>
    <w:p>
      <w:pPr>
        <w:pStyle w:val="ListParagraph"/>
        <w:numPr>
          <w:ilvl w:val="0"/>
          <w:numId w:val="550"/>
        </w:numPr>
        <w:tabs>
          <w:tab w:pos="1367" w:val="left" w:leader="none"/>
        </w:tabs>
        <w:spacing w:line="240" w:lineRule="auto" w:before="0" w:after="0"/>
        <w:ind w:left="1367" w:right="0" w:hanging="529"/>
        <w:jc w:val="left"/>
        <w:rPr>
          <w:sz w:val="21"/>
        </w:rPr>
      </w:pPr>
      <w:r>
        <w:rPr>
          <w:spacing w:val="-3"/>
          <w:sz w:val="21"/>
        </w:rPr>
        <w:t>扑灭初起火灾及自救逃生的知识和技能。</w:t>
      </w:r>
      <w:r>
        <w:rPr>
          <w:sz w:val="21"/>
        </w:rPr>
        <w:t> </w:t>
      </w:r>
    </w:p>
    <w:p>
      <w:pPr>
        <w:pStyle w:val="BodyText"/>
        <w:spacing w:before="12"/>
        <w:rPr>
          <w:sz w:val="17"/>
        </w:rPr>
      </w:pPr>
    </w:p>
    <w:p>
      <w:pPr>
        <w:pStyle w:val="ListParagraph"/>
        <w:numPr>
          <w:ilvl w:val="0"/>
          <w:numId w:val="550"/>
        </w:numPr>
        <w:tabs>
          <w:tab w:pos="1367" w:val="left" w:leader="none"/>
        </w:tabs>
        <w:spacing w:line="240" w:lineRule="auto" w:before="0" w:after="0"/>
        <w:ind w:left="1367" w:right="0" w:hanging="529"/>
        <w:jc w:val="left"/>
        <w:rPr>
          <w:sz w:val="21"/>
        </w:rPr>
      </w:pPr>
      <w:r>
        <w:rPr>
          <w:spacing w:val="-3"/>
          <w:sz w:val="21"/>
        </w:rPr>
        <w:t>报警、接警的程序和方法。</w:t>
      </w:r>
      <w:r>
        <w:rPr>
          <w:sz w:val="21"/>
        </w:rPr>
        <w:t> </w:t>
      </w:r>
    </w:p>
    <w:p>
      <w:pPr>
        <w:pStyle w:val="BodyText"/>
        <w:rPr>
          <w:sz w:val="18"/>
        </w:rPr>
      </w:pPr>
    </w:p>
    <w:p>
      <w:pPr>
        <w:pStyle w:val="ListParagraph"/>
        <w:numPr>
          <w:ilvl w:val="2"/>
          <w:numId w:val="546"/>
        </w:numPr>
        <w:tabs>
          <w:tab w:pos="1424" w:val="left" w:leader="none"/>
        </w:tabs>
        <w:spacing w:line="446" w:lineRule="auto" w:before="0" w:after="0"/>
        <w:ind w:left="418" w:right="1445" w:firstLine="422"/>
        <w:jc w:val="left"/>
        <w:rPr>
          <w:sz w:val="21"/>
        </w:rPr>
      </w:pPr>
      <w:r>
        <w:rPr>
          <w:spacing w:val="-3"/>
          <w:sz w:val="21"/>
        </w:rPr>
        <w:t>施工作业前，施工现场的施工管理人员应向作业人员进行消防安全技术交底。消防安全技术交底应包括下列主要内容：</w:t>
      </w:r>
      <w:r>
        <w:rPr>
          <w:sz w:val="21"/>
        </w:rPr>
        <w:t> </w:t>
      </w:r>
    </w:p>
    <w:p>
      <w:pPr>
        <w:pStyle w:val="ListParagraph"/>
        <w:numPr>
          <w:ilvl w:val="0"/>
          <w:numId w:val="551"/>
        </w:numPr>
        <w:tabs>
          <w:tab w:pos="1367" w:val="left" w:leader="none"/>
        </w:tabs>
        <w:spacing w:line="240" w:lineRule="auto" w:before="0" w:after="0"/>
        <w:ind w:left="1367" w:right="0" w:hanging="529"/>
        <w:jc w:val="left"/>
        <w:rPr>
          <w:sz w:val="21"/>
        </w:rPr>
      </w:pPr>
      <w:r>
        <w:rPr>
          <w:spacing w:val="-3"/>
          <w:sz w:val="21"/>
        </w:rPr>
        <w:t>施工过程中可能发生火灾的部位或环节。</w:t>
      </w:r>
      <w:r>
        <w:rPr>
          <w:sz w:val="21"/>
        </w:rPr>
        <w:t> </w:t>
      </w:r>
    </w:p>
    <w:p>
      <w:pPr>
        <w:pStyle w:val="BodyText"/>
        <w:spacing w:before="12"/>
        <w:rPr>
          <w:sz w:val="17"/>
        </w:rPr>
      </w:pPr>
    </w:p>
    <w:p>
      <w:pPr>
        <w:pStyle w:val="ListParagraph"/>
        <w:numPr>
          <w:ilvl w:val="0"/>
          <w:numId w:val="551"/>
        </w:numPr>
        <w:tabs>
          <w:tab w:pos="1367" w:val="left" w:leader="none"/>
        </w:tabs>
        <w:spacing w:line="240" w:lineRule="auto" w:before="0" w:after="0"/>
        <w:ind w:left="1367" w:right="0" w:hanging="529"/>
        <w:jc w:val="left"/>
        <w:rPr>
          <w:sz w:val="21"/>
        </w:rPr>
      </w:pPr>
      <w:r>
        <w:rPr>
          <w:spacing w:val="-3"/>
          <w:sz w:val="21"/>
        </w:rPr>
        <w:t>施工过程应采取的防火措施及应配备的临时消防设施。</w:t>
      </w:r>
      <w:r>
        <w:rPr>
          <w:sz w:val="21"/>
        </w:rPr>
        <w:t> </w:t>
      </w:r>
    </w:p>
    <w:p>
      <w:pPr>
        <w:pStyle w:val="BodyText"/>
        <w:spacing w:before="2"/>
        <w:rPr>
          <w:sz w:val="18"/>
        </w:rPr>
      </w:pPr>
    </w:p>
    <w:p>
      <w:pPr>
        <w:pStyle w:val="ListParagraph"/>
        <w:numPr>
          <w:ilvl w:val="0"/>
          <w:numId w:val="551"/>
        </w:numPr>
        <w:tabs>
          <w:tab w:pos="1367" w:val="left" w:leader="none"/>
        </w:tabs>
        <w:spacing w:line="240" w:lineRule="auto" w:before="0" w:after="0"/>
        <w:ind w:left="1367" w:right="0" w:hanging="529"/>
        <w:jc w:val="left"/>
        <w:rPr>
          <w:sz w:val="21"/>
        </w:rPr>
      </w:pPr>
      <w:r>
        <w:rPr>
          <w:spacing w:val="-3"/>
          <w:sz w:val="21"/>
        </w:rPr>
        <w:t>初起火灾的扑救方法及注意事项。</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551"/>
        </w:numPr>
        <w:tabs>
          <w:tab w:pos="1367" w:val="left" w:leader="none"/>
        </w:tabs>
        <w:spacing w:line="240" w:lineRule="auto" w:before="47" w:after="0"/>
        <w:ind w:left="1367" w:right="0" w:hanging="529"/>
        <w:jc w:val="left"/>
        <w:rPr>
          <w:sz w:val="21"/>
        </w:rPr>
      </w:pPr>
      <w:r>
        <w:rPr>
          <w:spacing w:val="-3"/>
          <w:sz w:val="21"/>
        </w:rPr>
        <w:t>逃生方法及路线。</w:t>
      </w:r>
      <w:r>
        <w:rPr>
          <w:sz w:val="21"/>
        </w:rPr>
        <w:t> </w:t>
      </w:r>
    </w:p>
    <w:p>
      <w:pPr>
        <w:pStyle w:val="BodyText"/>
        <w:rPr>
          <w:sz w:val="18"/>
        </w:rPr>
      </w:pPr>
    </w:p>
    <w:p>
      <w:pPr>
        <w:pStyle w:val="ListParagraph"/>
        <w:numPr>
          <w:ilvl w:val="2"/>
          <w:numId w:val="546"/>
        </w:numPr>
        <w:tabs>
          <w:tab w:pos="1371" w:val="left" w:leader="none"/>
        </w:tabs>
        <w:spacing w:line="446" w:lineRule="auto" w:before="0" w:after="0"/>
        <w:ind w:left="418" w:right="1604" w:firstLine="422"/>
        <w:jc w:val="left"/>
        <w:rPr>
          <w:sz w:val="21"/>
        </w:rPr>
      </w:pPr>
      <w:r>
        <w:rPr>
          <w:spacing w:val="-3"/>
          <w:sz w:val="21"/>
        </w:rPr>
        <w:t>施工过程中，施工现场的消防安全负责人应定期组织消防安全管理人员对施工现场的消防安全进行检查。消防安全检查应包括下列主要内容：</w:t>
      </w:r>
      <w:r>
        <w:rPr>
          <w:sz w:val="21"/>
        </w:rPr>
        <w:t> </w:t>
      </w:r>
    </w:p>
    <w:p>
      <w:pPr>
        <w:pStyle w:val="ListParagraph"/>
        <w:numPr>
          <w:ilvl w:val="0"/>
          <w:numId w:val="552"/>
        </w:numPr>
        <w:tabs>
          <w:tab w:pos="1367" w:val="left" w:leader="none"/>
        </w:tabs>
        <w:spacing w:line="240" w:lineRule="auto" w:before="0" w:after="0"/>
        <w:ind w:left="1367" w:right="0" w:hanging="529"/>
        <w:jc w:val="left"/>
        <w:rPr>
          <w:sz w:val="21"/>
        </w:rPr>
      </w:pPr>
      <w:r>
        <w:rPr>
          <w:spacing w:val="-3"/>
          <w:sz w:val="21"/>
        </w:rPr>
        <w:t>可燃物及易燃易爆危险品的管理是否落实。</w:t>
      </w:r>
      <w:r>
        <w:rPr>
          <w:sz w:val="21"/>
        </w:rPr>
        <w:t> </w:t>
      </w:r>
    </w:p>
    <w:p>
      <w:pPr>
        <w:pStyle w:val="BodyText"/>
        <w:spacing w:before="12"/>
        <w:rPr>
          <w:sz w:val="17"/>
        </w:rPr>
      </w:pPr>
    </w:p>
    <w:p>
      <w:pPr>
        <w:pStyle w:val="ListParagraph"/>
        <w:numPr>
          <w:ilvl w:val="0"/>
          <w:numId w:val="552"/>
        </w:numPr>
        <w:tabs>
          <w:tab w:pos="1367" w:val="left" w:leader="none"/>
        </w:tabs>
        <w:spacing w:line="240" w:lineRule="auto" w:before="0" w:after="0"/>
        <w:ind w:left="1367" w:right="0" w:hanging="529"/>
        <w:jc w:val="left"/>
        <w:rPr>
          <w:sz w:val="21"/>
        </w:rPr>
      </w:pPr>
      <w:r>
        <w:rPr>
          <w:spacing w:val="-3"/>
          <w:sz w:val="21"/>
        </w:rPr>
        <w:t>动火作业的防火措施是否落实。</w:t>
      </w:r>
      <w:r>
        <w:rPr>
          <w:sz w:val="21"/>
        </w:rPr>
        <w:t> </w:t>
      </w:r>
    </w:p>
    <w:p>
      <w:pPr>
        <w:pStyle w:val="BodyText"/>
        <w:rPr>
          <w:sz w:val="18"/>
        </w:rPr>
      </w:pPr>
    </w:p>
    <w:p>
      <w:pPr>
        <w:pStyle w:val="ListParagraph"/>
        <w:numPr>
          <w:ilvl w:val="0"/>
          <w:numId w:val="552"/>
        </w:numPr>
        <w:tabs>
          <w:tab w:pos="1367" w:val="left" w:leader="none"/>
        </w:tabs>
        <w:spacing w:line="240" w:lineRule="auto" w:before="0" w:after="0"/>
        <w:ind w:left="1367" w:right="0" w:hanging="529"/>
        <w:jc w:val="left"/>
        <w:rPr>
          <w:sz w:val="21"/>
        </w:rPr>
      </w:pPr>
      <w:r>
        <w:rPr>
          <w:spacing w:val="-3"/>
          <w:sz w:val="21"/>
        </w:rPr>
        <w:t>用火、用电、用气是否存在违章操作，电、气焊及保温防水施工是否执行操作规程。</w:t>
      </w:r>
      <w:r>
        <w:rPr>
          <w:sz w:val="21"/>
        </w:rPr>
        <w:t> </w:t>
      </w:r>
    </w:p>
    <w:p>
      <w:pPr>
        <w:pStyle w:val="BodyText"/>
        <w:spacing w:before="2"/>
        <w:rPr>
          <w:sz w:val="18"/>
        </w:rPr>
      </w:pPr>
    </w:p>
    <w:p>
      <w:pPr>
        <w:pStyle w:val="ListParagraph"/>
        <w:numPr>
          <w:ilvl w:val="0"/>
          <w:numId w:val="552"/>
        </w:numPr>
        <w:tabs>
          <w:tab w:pos="1367" w:val="left" w:leader="none"/>
        </w:tabs>
        <w:spacing w:line="240" w:lineRule="auto" w:before="0" w:after="0"/>
        <w:ind w:left="1367" w:right="0" w:hanging="529"/>
        <w:jc w:val="left"/>
        <w:rPr>
          <w:sz w:val="21"/>
        </w:rPr>
      </w:pPr>
      <w:r>
        <w:rPr>
          <w:spacing w:val="-3"/>
          <w:sz w:val="21"/>
        </w:rPr>
        <w:t>临时消防设施是否完好有效。</w:t>
      </w:r>
      <w:r>
        <w:rPr>
          <w:sz w:val="21"/>
        </w:rPr>
        <w:t> </w:t>
      </w:r>
    </w:p>
    <w:p>
      <w:pPr>
        <w:pStyle w:val="BodyText"/>
        <w:rPr>
          <w:sz w:val="18"/>
        </w:rPr>
      </w:pPr>
    </w:p>
    <w:p>
      <w:pPr>
        <w:pStyle w:val="ListParagraph"/>
        <w:numPr>
          <w:ilvl w:val="0"/>
          <w:numId w:val="552"/>
        </w:numPr>
        <w:tabs>
          <w:tab w:pos="1367" w:val="left" w:leader="none"/>
        </w:tabs>
        <w:spacing w:line="240" w:lineRule="auto" w:before="0" w:after="0"/>
        <w:ind w:left="1367" w:right="0" w:hanging="529"/>
        <w:jc w:val="left"/>
        <w:rPr>
          <w:sz w:val="21"/>
        </w:rPr>
      </w:pPr>
      <w:r>
        <w:rPr>
          <w:spacing w:val="-3"/>
          <w:sz w:val="21"/>
        </w:rPr>
        <w:t>临时消防车道及临时疏散设施是否畅通。</w:t>
      </w:r>
      <w:r>
        <w:rPr>
          <w:sz w:val="21"/>
        </w:rPr>
        <w:t> </w:t>
      </w:r>
    </w:p>
    <w:p>
      <w:pPr>
        <w:pStyle w:val="BodyText"/>
        <w:spacing w:before="12"/>
        <w:rPr>
          <w:sz w:val="17"/>
        </w:rPr>
      </w:pPr>
    </w:p>
    <w:p>
      <w:pPr>
        <w:pStyle w:val="ListParagraph"/>
        <w:numPr>
          <w:ilvl w:val="2"/>
          <w:numId w:val="546"/>
        </w:numPr>
        <w:tabs>
          <w:tab w:pos="1478" w:val="left" w:leader="none"/>
        </w:tabs>
        <w:spacing w:line="240" w:lineRule="auto" w:before="0" w:after="0"/>
        <w:ind w:left="1477" w:right="0" w:hanging="638"/>
        <w:jc w:val="left"/>
        <w:rPr>
          <w:sz w:val="21"/>
        </w:rPr>
      </w:pPr>
      <w:r>
        <w:rPr>
          <w:spacing w:val="-3"/>
          <w:sz w:val="21"/>
        </w:rPr>
        <w:t>施工单位应依据灭火及应急疏散预案，定期开展灭火及应急疏散的演练。 </w:t>
      </w:r>
    </w:p>
    <w:p>
      <w:pPr>
        <w:pStyle w:val="BodyText"/>
        <w:spacing w:before="2"/>
        <w:rPr>
          <w:sz w:val="18"/>
        </w:rPr>
      </w:pPr>
    </w:p>
    <w:p>
      <w:pPr>
        <w:pStyle w:val="ListParagraph"/>
        <w:numPr>
          <w:ilvl w:val="2"/>
          <w:numId w:val="546"/>
        </w:numPr>
        <w:tabs>
          <w:tab w:pos="1478" w:val="left" w:leader="none"/>
        </w:tabs>
        <w:spacing w:line="446" w:lineRule="auto" w:before="0" w:after="0"/>
        <w:ind w:left="418" w:right="1496" w:firstLine="422"/>
        <w:jc w:val="left"/>
        <w:rPr>
          <w:sz w:val="21"/>
        </w:rPr>
      </w:pPr>
      <w:r>
        <w:rPr>
          <w:spacing w:val="-3"/>
          <w:sz w:val="21"/>
        </w:rPr>
        <w:t>施工单位应做好并保存施工现场消防安全管理的相关文件和记录，并应建立现场消防安全管理档案。</w:t>
      </w:r>
      <w:r>
        <w:rPr>
          <w:sz w:val="21"/>
        </w:rPr>
        <w:t> </w:t>
      </w:r>
    </w:p>
    <w:p>
      <w:pPr>
        <w:pStyle w:val="ListParagraph"/>
        <w:numPr>
          <w:ilvl w:val="1"/>
          <w:numId w:val="546"/>
        </w:numPr>
        <w:tabs>
          <w:tab w:pos="1160" w:val="left" w:leader="none"/>
        </w:tabs>
        <w:spacing w:line="267" w:lineRule="exact" w:before="0" w:after="0"/>
        <w:ind w:left="1159" w:right="0" w:hanging="320"/>
        <w:jc w:val="left"/>
        <w:rPr>
          <w:sz w:val="21"/>
        </w:rPr>
      </w:pPr>
      <w:r>
        <w:rPr>
          <w:spacing w:val="-3"/>
          <w:sz w:val="21"/>
        </w:rPr>
        <w:t>可燃物及易燃易爆危险品管理</w:t>
      </w:r>
      <w:r>
        <w:rPr>
          <w:sz w:val="21"/>
        </w:rPr>
        <w:t> </w:t>
      </w:r>
    </w:p>
    <w:p>
      <w:pPr>
        <w:pStyle w:val="BodyText"/>
        <w:spacing w:before="2"/>
        <w:rPr>
          <w:sz w:val="18"/>
        </w:rPr>
      </w:pPr>
    </w:p>
    <w:p>
      <w:pPr>
        <w:pStyle w:val="ListParagraph"/>
        <w:numPr>
          <w:ilvl w:val="2"/>
          <w:numId w:val="546"/>
        </w:numPr>
        <w:tabs>
          <w:tab w:pos="1424" w:val="left" w:leader="none"/>
        </w:tabs>
        <w:spacing w:line="240" w:lineRule="auto" w:before="0" w:after="0"/>
        <w:ind w:left="1423" w:right="0" w:hanging="584"/>
        <w:jc w:val="both"/>
        <w:rPr>
          <w:sz w:val="21"/>
        </w:rPr>
      </w:pPr>
      <w:r>
        <w:rPr>
          <w:spacing w:val="-3"/>
          <w:sz w:val="21"/>
        </w:rPr>
        <w:t>用于在建工程的保温、防水、装饰及防腐等材料的燃烧性能等级应符合设计要求。</w:t>
      </w:r>
      <w:r>
        <w:rPr>
          <w:sz w:val="21"/>
        </w:rPr>
        <w:t> </w:t>
      </w:r>
    </w:p>
    <w:p>
      <w:pPr>
        <w:pStyle w:val="BodyText"/>
        <w:rPr>
          <w:sz w:val="18"/>
        </w:rPr>
      </w:pPr>
    </w:p>
    <w:p>
      <w:pPr>
        <w:pStyle w:val="ListParagraph"/>
        <w:numPr>
          <w:ilvl w:val="2"/>
          <w:numId w:val="546"/>
        </w:numPr>
        <w:tabs>
          <w:tab w:pos="1424" w:val="left" w:leader="none"/>
        </w:tabs>
        <w:spacing w:line="444" w:lineRule="auto" w:before="0" w:after="0"/>
        <w:ind w:left="418" w:right="1445" w:firstLine="422"/>
        <w:jc w:val="both"/>
        <w:rPr>
          <w:sz w:val="21"/>
        </w:rPr>
      </w:pPr>
      <w:r>
        <w:rPr>
          <w:spacing w:val="-3"/>
          <w:sz w:val="21"/>
        </w:rPr>
        <w:t>可燃材料及易燃易爆危险品应按计划限量进场。进场后，可燃材料宜存放于库房内， 露天存放时，应分类成垛堆放，垛高不应超过 </w:t>
      </w:r>
      <w:r>
        <w:rPr>
          <w:sz w:val="21"/>
        </w:rPr>
        <w:t>2m</w:t>
      </w:r>
      <w:r>
        <w:rPr>
          <w:spacing w:val="-2"/>
          <w:sz w:val="21"/>
        </w:rPr>
        <w:t>，单垛体积不应超过 </w:t>
      </w:r>
      <w:r>
        <w:rPr>
          <w:sz w:val="21"/>
        </w:rPr>
        <w:t>50m</w:t>
      </w:r>
      <w:r>
        <w:rPr>
          <w:position w:val="11"/>
          <w:sz w:val="11"/>
        </w:rPr>
        <w:t>3</w:t>
      </w:r>
      <w:r>
        <w:rPr>
          <w:spacing w:val="-3"/>
          <w:sz w:val="21"/>
        </w:rPr>
        <w:t>，垛与垛之间的最小</w:t>
      </w:r>
      <w:r>
        <w:rPr>
          <w:sz w:val="21"/>
        </w:rPr>
        <w:t>间距不应小于 2m</w:t>
      </w:r>
      <w:r>
        <w:rPr>
          <w:spacing w:val="-3"/>
          <w:sz w:val="21"/>
        </w:rPr>
        <w:t>，且应采用不燃或难燃材料覆盖；易燃易爆危险品应分类专库储存，库房内应通风良好，并应设置严禁明火标志。</w:t>
      </w:r>
      <w:r>
        <w:rPr>
          <w:sz w:val="21"/>
        </w:rPr>
        <w:t> </w:t>
      </w:r>
    </w:p>
    <w:p>
      <w:pPr>
        <w:pStyle w:val="ListParagraph"/>
        <w:numPr>
          <w:ilvl w:val="2"/>
          <w:numId w:val="546"/>
        </w:numPr>
        <w:tabs>
          <w:tab w:pos="1370" w:val="left" w:leader="none"/>
        </w:tabs>
        <w:spacing w:line="446" w:lineRule="auto" w:before="0" w:after="0"/>
        <w:ind w:left="418" w:right="1498" w:firstLine="422"/>
        <w:jc w:val="both"/>
        <w:rPr>
          <w:sz w:val="21"/>
        </w:rPr>
      </w:pPr>
      <w:r>
        <w:rPr>
          <w:spacing w:val="-3"/>
          <w:sz w:val="21"/>
        </w:rPr>
        <w:t>室内使用油漆及其有机溶剂、乙二胺、冷底子油等易挥发产生易燃气体的物资作业时，应保持良好通风，作业场所严禁明火，并应避免产生静电。</w:t>
      </w:r>
      <w:r>
        <w:rPr>
          <w:sz w:val="21"/>
        </w:rPr>
        <w:t> </w:t>
      </w:r>
    </w:p>
    <w:p>
      <w:pPr>
        <w:pStyle w:val="ListParagraph"/>
        <w:numPr>
          <w:ilvl w:val="2"/>
          <w:numId w:val="546"/>
        </w:numPr>
        <w:tabs>
          <w:tab w:pos="1370" w:val="left" w:leader="none"/>
        </w:tabs>
        <w:spacing w:line="240" w:lineRule="auto" w:before="0" w:after="0"/>
        <w:ind w:left="1369" w:right="0" w:hanging="530"/>
        <w:jc w:val="both"/>
        <w:rPr>
          <w:sz w:val="21"/>
        </w:rPr>
      </w:pPr>
      <w:r>
        <w:rPr>
          <w:spacing w:val="-3"/>
          <w:sz w:val="21"/>
        </w:rPr>
        <w:t>施工产生的可燃、易燃建筑垃圾或余料，应及时清理。</w:t>
      </w:r>
      <w:r>
        <w:rPr>
          <w:sz w:val="21"/>
        </w:rPr>
        <w:t> </w:t>
      </w:r>
    </w:p>
    <w:p>
      <w:pPr>
        <w:pStyle w:val="BodyText"/>
        <w:spacing w:before="11"/>
        <w:rPr>
          <w:sz w:val="17"/>
        </w:rPr>
      </w:pPr>
    </w:p>
    <w:p>
      <w:pPr>
        <w:pStyle w:val="ListParagraph"/>
        <w:numPr>
          <w:ilvl w:val="1"/>
          <w:numId w:val="546"/>
        </w:numPr>
        <w:tabs>
          <w:tab w:pos="1159" w:val="left" w:leader="none"/>
        </w:tabs>
        <w:spacing w:line="240" w:lineRule="auto" w:before="0" w:after="0"/>
        <w:ind w:left="1158" w:right="0" w:hanging="319"/>
        <w:jc w:val="left"/>
        <w:rPr>
          <w:b/>
          <w:sz w:val="21"/>
        </w:rPr>
      </w:pPr>
      <w:r>
        <w:rPr>
          <w:spacing w:val="-3"/>
          <w:sz w:val="21"/>
        </w:rPr>
        <w:t>用火、用电、用气管理</w:t>
      </w:r>
      <w:r>
        <w:rPr>
          <w:b/>
          <w:spacing w:val="-3"/>
          <w:w w:val="99"/>
          <w:sz w:val="21"/>
        </w:rPr>
        <w:t> </w:t>
      </w:r>
    </w:p>
    <w:p>
      <w:pPr>
        <w:pStyle w:val="BodyText"/>
        <w:spacing w:before="2"/>
        <w:rPr>
          <w:b/>
          <w:sz w:val="18"/>
        </w:rPr>
      </w:pPr>
    </w:p>
    <w:p>
      <w:pPr>
        <w:pStyle w:val="ListParagraph"/>
        <w:numPr>
          <w:ilvl w:val="2"/>
          <w:numId w:val="546"/>
        </w:numPr>
        <w:tabs>
          <w:tab w:pos="1424" w:val="left" w:leader="none"/>
        </w:tabs>
        <w:spacing w:line="240" w:lineRule="auto" w:before="0" w:after="0"/>
        <w:ind w:left="1423" w:right="0" w:hanging="584"/>
        <w:jc w:val="left"/>
        <w:rPr>
          <w:sz w:val="21"/>
        </w:rPr>
      </w:pPr>
      <w:r>
        <w:rPr>
          <w:spacing w:val="-3"/>
          <w:sz w:val="21"/>
        </w:rPr>
        <w:t>施工现场用火应符合下列规定：</w:t>
      </w:r>
      <w:r>
        <w:rPr>
          <w:sz w:val="21"/>
        </w:rPr>
        <w:t> </w:t>
      </w:r>
    </w:p>
    <w:p>
      <w:pPr>
        <w:pStyle w:val="BodyText"/>
        <w:spacing w:before="12"/>
        <w:rPr>
          <w:sz w:val="17"/>
        </w:rPr>
      </w:pPr>
    </w:p>
    <w:p>
      <w:pPr>
        <w:pStyle w:val="ListParagraph"/>
        <w:numPr>
          <w:ilvl w:val="0"/>
          <w:numId w:val="553"/>
        </w:numPr>
        <w:tabs>
          <w:tab w:pos="1367" w:val="left" w:leader="none"/>
        </w:tabs>
        <w:spacing w:line="446" w:lineRule="auto" w:before="0" w:after="0"/>
        <w:ind w:left="418" w:right="1505" w:firstLine="419"/>
        <w:jc w:val="left"/>
        <w:rPr>
          <w:sz w:val="21"/>
        </w:rPr>
      </w:pPr>
      <w:r>
        <w:rPr>
          <w:spacing w:val="-3"/>
          <w:sz w:val="21"/>
        </w:rPr>
        <w:t>动火作业应办理动火许可证；动火许可证的签发人收到动火申请后，应前往现场查验并确认动火作业的防火措施落实后，再签发动火许可证。</w:t>
      </w:r>
      <w:r>
        <w:rPr>
          <w:sz w:val="21"/>
        </w:rPr>
        <w:t> </w:t>
      </w:r>
    </w:p>
    <w:p>
      <w:pPr>
        <w:pStyle w:val="ListParagraph"/>
        <w:numPr>
          <w:ilvl w:val="0"/>
          <w:numId w:val="553"/>
        </w:numPr>
        <w:tabs>
          <w:tab w:pos="1367" w:val="left" w:leader="none"/>
        </w:tabs>
        <w:spacing w:line="240" w:lineRule="auto" w:before="0" w:after="0"/>
        <w:ind w:left="1367" w:right="0" w:hanging="529"/>
        <w:jc w:val="left"/>
        <w:rPr>
          <w:sz w:val="21"/>
        </w:rPr>
      </w:pPr>
      <w:r>
        <w:rPr>
          <w:spacing w:val="-3"/>
          <w:sz w:val="21"/>
        </w:rPr>
        <w:t>动火操作人员应具有相应资格。</w:t>
      </w:r>
      <w:r>
        <w:rPr>
          <w:sz w:val="21"/>
        </w:rPr>
        <w:t> </w:t>
      </w:r>
    </w:p>
    <w:p>
      <w:pPr>
        <w:pStyle w:val="BodyText"/>
        <w:rPr>
          <w:sz w:val="18"/>
        </w:rPr>
      </w:pPr>
    </w:p>
    <w:p>
      <w:pPr>
        <w:pStyle w:val="ListParagraph"/>
        <w:numPr>
          <w:ilvl w:val="0"/>
          <w:numId w:val="553"/>
        </w:numPr>
        <w:tabs>
          <w:tab w:pos="1367" w:val="left" w:leader="none"/>
        </w:tabs>
        <w:spacing w:line="446" w:lineRule="auto" w:before="0" w:after="0"/>
        <w:ind w:left="418" w:right="1505" w:firstLine="419"/>
        <w:jc w:val="left"/>
        <w:rPr>
          <w:sz w:val="21"/>
        </w:rPr>
      </w:pPr>
      <w:r>
        <w:rPr>
          <w:spacing w:val="-3"/>
          <w:sz w:val="21"/>
        </w:rPr>
        <w:t>焊接、切割、烘烤或加热等动火作业前，应对作业现场的可燃物进行清理；作业现场及其附近无法移走的可燃物应采用不然材料对其覆盖或隔离。</w:t>
      </w:r>
      <w:r>
        <w:rPr>
          <w:sz w:val="21"/>
        </w:rPr>
        <w:t> </w:t>
      </w:r>
    </w:p>
    <w:p>
      <w:pPr>
        <w:pStyle w:val="ListParagraph"/>
        <w:numPr>
          <w:ilvl w:val="0"/>
          <w:numId w:val="553"/>
        </w:numPr>
        <w:tabs>
          <w:tab w:pos="1367" w:val="left" w:leader="none"/>
        </w:tabs>
        <w:spacing w:line="240" w:lineRule="auto" w:before="0" w:after="0"/>
        <w:ind w:left="1367" w:right="0" w:hanging="529"/>
        <w:jc w:val="left"/>
        <w:rPr>
          <w:sz w:val="21"/>
        </w:rPr>
      </w:pPr>
      <w:r>
        <w:rPr>
          <w:spacing w:val="-3"/>
          <w:sz w:val="21"/>
        </w:rPr>
        <w:t>施工作业安排时，宜将动火作业安排在使用可燃建筑材料的施工作业前进行。确需在</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使用可燃建筑材料的施工作业之后进行动火作业时，应采取可靠的防火措施。 </w:t>
      </w:r>
    </w:p>
    <w:p>
      <w:pPr>
        <w:pStyle w:val="BodyText"/>
        <w:rPr>
          <w:sz w:val="18"/>
        </w:rPr>
      </w:pPr>
    </w:p>
    <w:p>
      <w:pPr>
        <w:pStyle w:val="ListParagraph"/>
        <w:numPr>
          <w:ilvl w:val="0"/>
          <w:numId w:val="553"/>
        </w:numPr>
        <w:tabs>
          <w:tab w:pos="1367" w:val="left" w:leader="none"/>
        </w:tabs>
        <w:spacing w:line="240" w:lineRule="auto" w:before="0" w:after="0"/>
        <w:ind w:left="1367" w:right="0" w:hanging="529"/>
        <w:jc w:val="left"/>
        <w:rPr>
          <w:sz w:val="21"/>
        </w:rPr>
      </w:pPr>
      <w:r>
        <w:rPr>
          <w:spacing w:val="-3"/>
          <w:sz w:val="21"/>
        </w:rPr>
        <w:t>裸露的可燃材料上严禁直接进行动火作业。</w:t>
      </w:r>
      <w:r>
        <w:rPr>
          <w:sz w:val="21"/>
        </w:rPr>
        <w:t> </w:t>
      </w:r>
    </w:p>
    <w:p>
      <w:pPr>
        <w:pStyle w:val="BodyText"/>
        <w:rPr>
          <w:sz w:val="18"/>
        </w:rPr>
      </w:pPr>
    </w:p>
    <w:p>
      <w:pPr>
        <w:pStyle w:val="ListParagraph"/>
        <w:numPr>
          <w:ilvl w:val="0"/>
          <w:numId w:val="553"/>
        </w:numPr>
        <w:tabs>
          <w:tab w:pos="1367" w:val="left" w:leader="none"/>
        </w:tabs>
        <w:spacing w:line="446" w:lineRule="auto" w:before="0" w:after="0"/>
        <w:ind w:left="418" w:right="1505" w:firstLine="419"/>
        <w:jc w:val="left"/>
        <w:rPr>
          <w:sz w:val="21"/>
        </w:rPr>
      </w:pPr>
      <w:r>
        <w:rPr>
          <w:spacing w:val="-3"/>
          <w:sz w:val="21"/>
        </w:rPr>
        <w:t>焊接、切割、烘烤或加热等动火作业应配备灭火器材，并应设置动火监护人进行现场监护，每个动火作业点均应设置 </w:t>
      </w:r>
      <w:r>
        <w:rPr>
          <w:sz w:val="21"/>
        </w:rPr>
        <w:t>1</w:t>
      </w:r>
      <w:r>
        <w:rPr>
          <w:spacing w:val="-3"/>
          <w:sz w:val="21"/>
        </w:rPr>
        <w:t> 个监护人。</w:t>
      </w:r>
      <w:r>
        <w:rPr>
          <w:sz w:val="21"/>
        </w:rPr>
        <w:t> </w:t>
      </w:r>
    </w:p>
    <w:p>
      <w:pPr>
        <w:pStyle w:val="ListParagraph"/>
        <w:numPr>
          <w:ilvl w:val="0"/>
          <w:numId w:val="553"/>
        </w:numPr>
        <w:tabs>
          <w:tab w:pos="1367" w:val="left" w:leader="none"/>
        </w:tabs>
        <w:spacing w:line="446" w:lineRule="auto" w:before="0" w:after="0"/>
        <w:ind w:left="418" w:right="1505" w:firstLine="419"/>
        <w:jc w:val="left"/>
        <w:rPr>
          <w:sz w:val="21"/>
        </w:rPr>
      </w:pPr>
      <w:r>
        <w:rPr>
          <w:spacing w:val="-3"/>
          <w:sz w:val="21"/>
        </w:rPr>
        <w:t>五级(含五级)以上风力时，应停止焊接、切割等室外动火作业；确需动火作业时，应采取可靠的挡风措施。</w:t>
      </w:r>
      <w:r>
        <w:rPr>
          <w:sz w:val="21"/>
        </w:rPr>
        <w:t> </w:t>
      </w:r>
    </w:p>
    <w:p>
      <w:pPr>
        <w:pStyle w:val="ListParagraph"/>
        <w:numPr>
          <w:ilvl w:val="0"/>
          <w:numId w:val="553"/>
        </w:numPr>
        <w:tabs>
          <w:tab w:pos="1367" w:val="left" w:leader="none"/>
        </w:tabs>
        <w:spacing w:line="240" w:lineRule="auto" w:before="0" w:after="0"/>
        <w:ind w:left="1367" w:right="0" w:hanging="529"/>
        <w:jc w:val="left"/>
        <w:rPr>
          <w:sz w:val="21"/>
        </w:rPr>
      </w:pPr>
      <w:r>
        <w:rPr>
          <w:spacing w:val="-3"/>
          <w:sz w:val="21"/>
        </w:rPr>
        <w:t>动火作业后，应对现场进行检查，并应在确认无火灾危险后，动火操作人员再离开。</w:t>
      </w:r>
      <w:r>
        <w:rPr>
          <w:sz w:val="21"/>
        </w:rPr>
        <w:t> </w:t>
      </w:r>
    </w:p>
    <w:p>
      <w:pPr>
        <w:pStyle w:val="BodyText"/>
        <w:spacing w:before="12"/>
        <w:rPr>
          <w:sz w:val="17"/>
        </w:rPr>
      </w:pPr>
    </w:p>
    <w:p>
      <w:pPr>
        <w:pStyle w:val="ListParagraph"/>
        <w:numPr>
          <w:ilvl w:val="0"/>
          <w:numId w:val="553"/>
        </w:numPr>
        <w:tabs>
          <w:tab w:pos="1367" w:val="left" w:leader="none"/>
        </w:tabs>
        <w:spacing w:line="240" w:lineRule="auto" w:before="0" w:after="0"/>
        <w:ind w:left="1367" w:right="0" w:hanging="529"/>
        <w:jc w:val="left"/>
        <w:rPr>
          <w:sz w:val="21"/>
        </w:rPr>
      </w:pPr>
      <w:r>
        <w:rPr>
          <w:spacing w:val="-3"/>
          <w:sz w:val="21"/>
        </w:rPr>
        <w:t>具有火灾、爆炸危险的场所严禁明火。</w:t>
      </w:r>
      <w:r>
        <w:rPr>
          <w:sz w:val="21"/>
        </w:rPr>
        <w:t> </w:t>
      </w:r>
    </w:p>
    <w:p>
      <w:pPr>
        <w:pStyle w:val="BodyText"/>
        <w:rPr>
          <w:sz w:val="18"/>
        </w:rPr>
      </w:pPr>
    </w:p>
    <w:p>
      <w:pPr>
        <w:pStyle w:val="ListParagraph"/>
        <w:numPr>
          <w:ilvl w:val="0"/>
          <w:numId w:val="553"/>
        </w:numPr>
        <w:tabs>
          <w:tab w:pos="1473" w:val="left" w:leader="none"/>
        </w:tabs>
        <w:spacing w:line="240" w:lineRule="auto" w:before="0" w:after="0"/>
        <w:ind w:left="1472" w:right="0" w:hanging="635"/>
        <w:jc w:val="left"/>
        <w:rPr>
          <w:sz w:val="21"/>
        </w:rPr>
      </w:pPr>
      <w:r>
        <w:rPr>
          <w:spacing w:val="-3"/>
          <w:sz w:val="21"/>
        </w:rPr>
        <w:t>施工现场不应采用明火取暖。</w:t>
      </w:r>
      <w:r>
        <w:rPr>
          <w:sz w:val="21"/>
        </w:rPr>
        <w:t> </w:t>
      </w:r>
    </w:p>
    <w:p>
      <w:pPr>
        <w:pStyle w:val="BodyText"/>
        <w:spacing w:before="2"/>
        <w:rPr>
          <w:sz w:val="18"/>
        </w:rPr>
      </w:pPr>
    </w:p>
    <w:p>
      <w:pPr>
        <w:pStyle w:val="ListParagraph"/>
        <w:numPr>
          <w:ilvl w:val="0"/>
          <w:numId w:val="553"/>
        </w:numPr>
        <w:tabs>
          <w:tab w:pos="1473" w:val="left" w:leader="none"/>
        </w:tabs>
        <w:spacing w:line="446" w:lineRule="auto" w:before="0" w:after="0"/>
        <w:ind w:left="418" w:right="1817" w:firstLine="419"/>
        <w:jc w:val="left"/>
        <w:rPr>
          <w:sz w:val="21"/>
        </w:rPr>
      </w:pPr>
      <w:r>
        <w:rPr>
          <w:spacing w:val="-3"/>
          <w:sz w:val="21"/>
        </w:rPr>
        <w:t>厨房操作间炉灶使用完毕后，应将炉火熄灭，排油烟机及油烟管道应定期清理油垢。</w:t>
      </w:r>
      <w:r>
        <w:rPr>
          <w:sz w:val="21"/>
        </w:rPr>
        <w:t> </w:t>
      </w:r>
    </w:p>
    <w:p>
      <w:pPr>
        <w:pStyle w:val="ListParagraph"/>
        <w:numPr>
          <w:ilvl w:val="2"/>
          <w:numId w:val="546"/>
        </w:numPr>
        <w:tabs>
          <w:tab w:pos="1424" w:val="left" w:leader="none"/>
        </w:tabs>
        <w:spacing w:line="267" w:lineRule="exact" w:before="0" w:after="0"/>
        <w:ind w:left="1423" w:right="0" w:hanging="584"/>
        <w:jc w:val="left"/>
        <w:rPr>
          <w:sz w:val="21"/>
        </w:rPr>
      </w:pPr>
      <w:r>
        <w:rPr>
          <w:spacing w:val="-3"/>
          <w:sz w:val="21"/>
        </w:rPr>
        <w:t>施工现场用电应符合下列规定：</w:t>
      </w:r>
      <w:r>
        <w:rPr>
          <w:sz w:val="21"/>
        </w:rPr>
        <w:t> </w:t>
      </w:r>
    </w:p>
    <w:p>
      <w:pPr>
        <w:pStyle w:val="BodyText"/>
        <w:spacing w:before="2"/>
        <w:rPr>
          <w:sz w:val="18"/>
        </w:rPr>
      </w:pPr>
    </w:p>
    <w:p>
      <w:pPr>
        <w:pStyle w:val="ListParagraph"/>
        <w:numPr>
          <w:ilvl w:val="3"/>
          <w:numId w:val="546"/>
        </w:numPr>
        <w:tabs>
          <w:tab w:pos="1628" w:val="left" w:leader="none"/>
        </w:tabs>
        <w:spacing w:line="446" w:lineRule="auto" w:before="0" w:after="0"/>
        <w:ind w:left="418" w:right="1450" w:firstLine="419"/>
        <w:jc w:val="left"/>
        <w:rPr>
          <w:sz w:val="21"/>
        </w:rPr>
      </w:pPr>
      <w:r>
        <w:rPr>
          <w:spacing w:val="-3"/>
          <w:sz w:val="21"/>
        </w:rPr>
        <w:t>施工现场供用电设施的设计、施工、运行和维护应符合现行国家标准《建设工程施工现场供用电安全规范》</w:t>
      </w:r>
      <w:r>
        <w:rPr>
          <w:sz w:val="21"/>
        </w:rPr>
        <w:t>GB</w:t>
      </w:r>
      <w:r>
        <w:rPr>
          <w:spacing w:val="1"/>
          <w:sz w:val="21"/>
        </w:rPr>
        <w:t> </w:t>
      </w:r>
      <w:r>
        <w:rPr>
          <w:sz w:val="21"/>
        </w:rPr>
        <w:t>50194</w:t>
      </w:r>
      <w:r>
        <w:rPr>
          <w:spacing w:val="-3"/>
          <w:sz w:val="21"/>
        </w:rPr>
        <w:t> 的有关规定。</w:t>
      </w:r>
      <w:r>
        <w:rPr>
          <w:sz w:val="21"/>
        </w:rPr>
        <w:t> </w:t>
      </w:r>
    </w:p>
    <w:p>
      <w:pPr>
        <w:pStyle w:val="ListParagraph"/>
        <w:numPr>
          <w:ilvl w:val="3"/>
          <w:numId w:val="546"/>
        </w:numPr>
        <w:tabs>
          <w:tab w:pos="1628" w:val="left" w:leader="none"/>
        </w:tabs>
        <w:spacing w:line="446" w:lineRule="auto" w:before="0" w:after="0"/>
        <w:ind w:left="418" w:right="1450" w:firstLine="419"/>
        <w:jc w:val="left"/>
        <w:rPr>
          <w:sz w:val="21"/>
        </w:rPr>
      </w:pPr>
      <w:r>
        <w:rPr>
          <w:spacing w:val="-3"/>
          <w:sz w:val="21"/>
        </w:rPr>
        <w:t>电气线路应具有相应的绝缘强度和机械强度，严禁使用绝缘老化或失去绝缘性能的电气线路，严禁在电气线路上悬挂物品。破损、烧焦的插座、插头应及时更换。</w:t>
      </w:r>
      <w:r>
        <w:rPr>
          <w:sz w:val="21"/>
        </w:rPr>
        <w:t> </w:t>
      </w:r>
    </w:p>
    <w:p>
      <w:pPr>
        <w:pStyle w:val="ListParagraph"/>
        <w:numPr>
          <w:ilvl w:val="3"/>
          <w:numId w:val="546"/>
        </w:numPr>
        <w:tabs>
          <w:tab w:pos="1628" w:val="left" w:leader="none"/>
        </w:tabs>
        <w:spacing w:line="240" w:lineRule="auto" w:before="0" w:after="0"/>
        <w:ind w:left="1627" w:right="0" w:hanging="790"/>
        <w:jc w:val="left"/>
        <w:rPr>
          <w:sz w:val="21"/>
        </w:rPr>
      </w:pPr>
      <w:r>
        <w:rPr>
          <w:spacing w:val="-3"/>
          <w:sz w:val="21"/>
        </w:rPr>
        <w:t>电气设备与可燃、易燃易爆危险品和腐蚀性物品应保持一定的安全距离。 </w:t>
      </w:r>
    </w:p>
    <w:p>
      <w:pPr>
        <w:pStyle w:val="BodyText"/>
        <w:spacing w:before="10"/>
        <w:rPr>
          <w:sz w:val="17"/>
        </w:rPr>
      </w:pPr>
    </w:p>
    <w:p>
      <w:pPr>
        <w:pStyle w:val="ListParagraph"/>
        <w:numPr>
          <w:ilvl w:val="3"/>
          <w:numId w:val="546"/>
        </w:numPr>
        <w:tabs>
          <w:tab w:pos="1628" w:val="left" w:leader="none"/>
        </w:tabs>
        <w:spacing w:line="240" w:lineRule="auto" w:before="0" w:after="0"/>
        <w:ind w:left="1627" w:right="0" w:hanging="790"/>
        <w:jc w:val="left"/>
        <w:rPr>
          <w:sz w:val="21"/>
        </w:rPr>
      </w:pPr>
      <w:r>
        <w:rPr>
          <w:spacing w:val="-3"/>
          <w:sz w:val="21"/>
        </w:rPr>
        <w:t>有爆炸和火灾危险的场所，应按危险场所等级选用相应的电气设备。 </w:t>
      </w:r>
    </w:p>
    <w:p>
      <w:pPr>
        <w:pStyle w:val="BodyText"/>
        <w:spacing w:before="2"/>
        <w:rPr>
          <w:sz w:val="18"/>
        </w:rPr>
      </w:pPr>
    </w:p>
    <w:p>
      <w:pPr>
        <w:pStyle w:val="ListParagraph"/>
        <w:numPr>
          <w:ilvl w:val="3"/>
          <w:numId w:val="546"/>
        </w:numPr>
        <w:tabs>
          <w:tab w:pos="1576" w:val="left" w:leader="none"/>
        </w:tabs>
        <w:spacing w:line="446" w:lineRule="auto" w:before="0" w:after="0"/>
        <w:ind w:left="418" w:right="1611" w:firstLine="419"/>
        <w:jc w:val="left"/>
        <w:rPr>
          <w:sz w:val="21"/>
        </w:rPr>
      </w:pPr>
      <w:r>
        <w:rPr>
          <w:spacing w:val="-3"/>
          <w:sz w:val="21"/>
        </w:rPr>
        <w:t>配电屏上每个电气回路应设置漏电保护器、过载保护器，距配电屏 </w:t>
      </w:r>
      <w:r>
        <w:rPr>
          <w:sz w:val="21"/>
        </w:rPr>
        <w:t>2m 范围内不</w:t>
      </w:r>
      <w:r>
        <w:rPr>
          <w:spacing w:val="-2"/>
          <w:sz w:val="21"/>
        </w:rPr>
        <w:t>应堆放可燃物，</w:t>
      </w:r>
      <w:r>
        <w:rPr>
          <w:sz w:val="21"/>
        </w:rPr>
        <w:t>5m</w:t>
      </w:r>
      <w:r>
        <w:rPr>
          <w:spacing w:val="-3"/>
          <w:sz w:val="21"/>
        </w:rPr>
        <w:t> 范围内不应设置可能产生较多易燃、易爆气体、粉尘的作业区。 </w:t>
      </w:r>
    </w:p>
    <w:p>
      <w:pPr>
        <w:pStyle w:val="ListParagraph"/>
        <w:numPr>
          <w:ilvl w:val="3"/>
          <w:numId w:val="546"/>
        </w:numPr>
        <w:tabs>
          <w:tab w:pos="1628" w:val="left" w:leader="none"/>
        </w:tabs>
        <w:spacing w:line="267" w:lineRule="exact" w:before="0" w:after="0"/>
        <w:ind w:left="1627" w:right="0" w:hanging="790"/>
        <w:jc w:val="left"/>
        <w:rPr>
          <w:sz w:val="21"/>
        </w:rPr>
      </w:pPr>
      <w:r>
        <w:rPr>
          <w:spacing w:val="-3"/>
          <w:sz w:val="21"/>
        </w:rPr>
        <w:t>可燃材料库房不应使用高热灯具，易燃易爆危险品库房内应使用防爆灯具。 </w:t>
      </w:r>
    </w:p>
    <w:p>
      <w:pPr>
        <w:pStyle w:val="BodyText"/>
        <w:spacing w:before="1"/>
        <w:rPr>
          <w:sz w:val="18"/>
        </w:rPr>
      </w:pPr>
    </w:p>
    <w:p>
      <w:pPr>
        <w:pStyle w:val="ListParagraph"/>
        <w:numPr>
          <w:ilvl w:val="3"/>
          <w:numId w:val="546"/>
        </w:numPr>
        <w:tabs>
          <w:tab w:pos="1628" w:val="left" w:leader="none"/>
        </w:tabs>
        <w:spacing w:line="446" w:lineRule="auto" w:before="1" w:after="0"/>
        <w:ind w:left="418" w:right="1450" w:firstLine="419"/>
        <w:jc w:val="left"/>
        <w:rPr>
          <w:sz w:val="21"/>
        </w:rPr>
      </w:pPr>
      <w:r>
        <w:rPr>
          <w:spacing w:val="-1"/>
          <w:sz w:val="21"/>
        </w:rPr>
        <w:t>普通灯具与易燃物的距离不宜小于 </w:t>
      </w:r>
      <w:r>
        <w:rPr>
          <w:sz w:val="21"/>
        </w:rPr>
        <w:t>300mm</w:t>
      </w:r>
      <w:r>
        <w:rPr>
          <w:spacing w:val="-3"/>
          <w:sz w:val="21"/>
        </w:rPr>
        <w:t>，聚光灯、碘钨灯等高热灯具与易燃物的距离不宜小于 </w:t>
      </w:r>
      <w:r>
        <w:rPr>
          <w:sz w:val="21"/>
        </w:rPr>
        <w:t>500mm</w:t>
      </w:r>
      <w:r>
        <w:rPr>
          <w:spacing w:val="-3"/>
          <w:sz w:val="21"/>
        </w:rPr>
        <w:t>。</w:t>
      </w:r>
      <w:r>
        <w:rPr>
          <w:sz w:val="21"/>
        </w:rPr>
        <w:t> </w:t>
      </w:r>
    </w:p>
    <w:p>
      <w:pPr>
        <w:pStyle w:val="ListParagraph"/>
        <w:numPr>
          <w:ilvl w:val="3"/>
          <w:numId w:val="546"/>
        </w:numPr>
        <w:tabs>
          <w:tab w:pos="1628" w:val="left" w:leader="none"/>
        </w:tabs>
        <w:spacing w:line="267" w:lineRule="exact" w:before="0" w:after="0"/>
        <w:ind w:left="1627" w:right="0" w:hanging="790"/>
        <w:jc w:val="left"/>
        <w:rPr>
          <w:sz w:val="21"/>
        </w:rPr>
      </w:pPr>
      <w:r>
        <w:rPr>
          <w:spacing w:val="-3"/>
          <w:sz w:val="21"/>
        </w:rPr>
        <w:t>电气设备不应超负荷运行或带故障使用。</w:t>
      </w:r>
      <w:r>
        <w:rPr>
          <w:sz w:val="21"/>
        </w:rPr>
        <w:t> </w:t>
      </w:r>
    </w:p>
    <w:p>
      <w:pPr>
        <w:pStyle w:val="BodyText"/>
        <w:spacing w:before="1"/>
        <w:rPr>
          <w:sz w:val="18"/>
        </w:rPr>
      </w:pPr>
    </w:p>
    <w:p>
      <w:pPr>
        <w:pStyle w:val="ListParagraph"/>
        <w:numPr>
          <w:ilvl w:val="3"/>
          <w:numId w:val="546"/>
        </w:numPr>
        <w:tabs>
          <w:tab w:pos="1628" w:val="left" w:leader="none"/>
        </w:tabs>
        <w:spacing w:line="240" w:lineRule="auto" w:before="1" w:after="0"/>
        <w:ind w:left="1627" w:right="0" w:hanging="790"/>
        <w:jc w:val="left"/>
        <w:rPr>
          <w:sz w:val="21"/>
        </w:rPr>
      </w:pPr>
      <w:r>
        <w:rPr>
          <w:spacing w:val="-3"/>
          <w:sz w:val="21"/>
        </w:rPr>
        <w:t>严禁私自改装现场供用电设施。</w:t>
      </w:r>
      <w:r>
        <w:rPr>
          <w:sz w:val="21"/>
        </w:rPr>
        <w:t> </w:t>
      </w:r>
    </w:p>
    <w:p>
      <w:pPr>
        <w:pStyle w:val="BodyText"/>
        <w:spacing w:before="12"/>
        <w:rPr>
          <w:sz w:val="17"/>
        </w:rPr>
      </w:pPr>
    </w:p>
    <w:p>
      <w:pPr>
        <w:pStyle w:val="ListParagraph"/>
        <w:numPr>
          <w:ilvl w:val="3"/>
          <w:numId w:val="546"/>
        </w:numPr>
        <w:tabs>
          <w:tab w:pos="1731" w:val="left" w:leader="none"/>
        </w:tabs>
        <w:spacing w:line="446" w:lineRule="auto" w:before="0" w:after="0"/>
        <w:ind w:left="840" w:right="3767" w:hanging="3"/>
        <w:jc w:val="left"/>
        <w:rPr>
          <w:sz w:val="21"/>
        </w:rPr>
      </w:pPr>
      <w:r>
        <w:rPr>
          <w:spacing w:val="-3"/>
          <w:sz w:val="21"/>
        </w:rPr>
        <w:t>应定期对电气设备和线路的运行及维护情况进行检查。</w:t>
      </w:r>
      <w:r>
        <w:rPr>
          <w:b/>
          <w:sz w:val="21"/>
        </w:rPr>
        <w:t>6.3.3 </w:t>
      </w:r>
      <w:r>
        <w:rPr>
          <w:spacing w:val="-3"/>
          <w:sz w:val="21"/>
        </w:rPr>
        <w:t>施工现场用气应符合下列规定：</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3"/>
          <w:numId w:val="554"/>
        </w:numPr>
        <w:tabs>
          <w:tab w:pos="1628" w:val="left" w:leader="none"/>
        </w:tabs>
        <w:spacing w:line="446" w:lineRule="auto" w:before="47" w:after="0"/>
        <w:ind w:left="418" w:right="1450" w:firstLine="419"/>
        <w:jc w:val="left"/>
        <w:rPr>
          <w:sz w:val="21"/>
        </w:rPr>
      </w:pPr>
      <w:r>
        <w:rPr>
          <w:spacing w:val="-3"/>
          <w:sz w:val="21"/>
        </w:rPr>
        <w:t>储装气体的罐瓶及其附件应合格、完好和有效；严禁使用减压器及其他附件缺损的氧气瓶，严禁使用乙炔专用减压器、回火防止器及其他附件缺损的乙炔瓶。</w:t>
      </w:r>
      <w:r>
        <w:rPr>
          <w:sz w:val="21"/>
        </w:rPr>
        <w:t> </w:t>
      </w:r>
    </w:p>
    <w:p>
      <w:pPr>
        <w:pStyle w:val="ListParagraph"/>
        <w:numPr>
          <w:ilvl w:val="3"/>
          <w:numId w:val="554"/>
        </w:numPr>
        <w:tabs>
          <w:tab w:pos="1628" w:val="left" w:leader="none"/>
        </w:tabs>
        <w:spacing w:line="267" w:lineRule="exact" w:before="0" w:after="0"/>
        <w:ind w:left="1627" w:right="0" w:hanging="790"/>
        <w:jc w:val="left"/>
        <w:rPr>
          <w:sz w:val="21"/>
        </w:rPr>
      </w:pPr>
      <w:r>
        <w:rPr>
          <w:spacing w:val="-3"/>
          <w:sz w:val="21"/>
        </w:rPr>
        <w:t>气瓶运输、存放、使用时，应符合下列规定：</w:t>
      </w:r>
      <w:r>
        <w:rPr>
          <w:sz w:val="21"/>
        </w:rPr>
        <w:t> </w:t>
      </w:r>
    </w:p>
    <w:p>
      <w:pPr>
        <w:pStyle w:val="BodyText"/>
        <w:spacing w:before="2"/>
        <w:rPr>
          <w:sz w:val="18"/>
        </w:rPr>
      </w:pPr>
    </w:p>
    <w:p>
      <w:pPr>
        <w:pStyle w:val="ListParagraph"/>
        <w:numPr>
          <w:ilvl w:val="0"/>
          <w:numId w:val="555"/>
        </w:numPr>
        <w:tabs>
          <w:tab w:pos="1051" w:val="left" w:leader="none"/>
        </w:tabs>
        <w:spacing w:line="240" w:lineRule="auto" w:before="0" w:after="0"/>
        <w:ind w:left="1050" w:right="0" w:hanging="213"/>
        <w:jc w:val="left"/>
        <w:rPr>
          <w:sz w:val="21"/>
        </w:rPr>
      </w:pPr>
      <w:r>
        <w:rPr>
          <w:spacing w:val="-3"/>
          <w:sz w:val="21"/>
        </w:rPr>
        <w:t>气瓶应保持直立状态，并采取防倾倒措施，乙炔瓶严禁横躺卧放。</w:t>
      </w:r>
      <w:r>
        <w:rPr>
          <w:sz w:val="21"/>
        </w:rPr>
        <w:t> </w:t>
      </w:r>
    </w:p>
    <w:p>
      <w:pPr>
        <w:pStyle w:val="BodyText"/>
        <w:rPr>
          <w:sz w:val="18"/>
        </w:rPr>
      </w:pPr>
    </w:p>
    <w:p>
      <w:pPr>
        <w:pStyle w:val="ListParagraph"/>
        <w:numPr>
          <w:ilvl w:val="0"/>
          <w:numId w:val="555"/>
        </w:numPr>
        <w:tabs>
          <w:tab w:pos="1051" w:val="left" w:leader="none"/>
        </w:tabs>
        <w:spacing w:line="240" w:lineRule="auto" w:before="0" w:after="0"/>
        <w:ind w:left="1050" w:right="0" w:hanging="213"/>
        <w:jc w:val="left"/>
        <w:rPr>
          <w:sz w:val="21"/>
        </w:rPr>
      </w:pPr>
      <w:r>
        <w:rPr>
          <w:spacing w:val="-3"/>
          <w:sz w:val="21"/>
        </w:rPr>
        <w:t>严禁碰撞、敲打、抛掷、滚动气瓶。</w:t>
      </w:r>
      <w:r>
        <w:rPr>
          <w:sz w:val="21"/>
        </w:rPr>
        <w:t> </w:t>
      </w:r>
    </w:p>
    <w:p>
      <w:pPr>
        <w:pStyle w:val="BodyText"/>
        <w:spacing w:before="12"/>
        <w:rPr>
          <w:sz w:val="17"/>
        </w:rPr>
      </w:pPr>
    </w:p>
    <w:p>
      <w:pPr>
        <w:pStyle w:val="ListParagraph"/>
        <w:numPr>
          <w:ilvl w:val="0"/>
          <w:numId w:val="555"/>
        </w:numPr>
        <w:tabs>
          <w:tab w:pos="1051" w:val="left" w:leader="none"/>
        </w:tabs>
        <w:spacing w:line="240" w:lineRule="auto" w:before="0" w:after="0"/>
        <w:ind w:left="1050" w:right="0" w:hanging="213"/>
        <w:jc w:val="left"/>
        <w:rPr>
          <w:sz w:val="21"/>
        </w:rPr>
      </w:pPr>
      <w:r>
        <w:rPr>
          <w:spacing w:val="-3"/>
          <w:sz w:val="21"/>
        </w:rPr>
        <w:t>气瓶应远离火源，与火源的距离不应小于 </w:t>
      </w:r>
      <w:r>
        <w:rPr>
          <w:sz w:val="21"/>
        </w:rPr>
        <w:t>10m</w:t>
      </w:r>
      <w:r>
        <w:rPr>
          <w:spacing w:val="-3"/>
          <w:sz w:val="21"/>
        </w:rPr>
        <w:t>，并应采取避免高温和防止曝晒的措施。</w:t>
      </w:r>
      <w:r>
        <w:rPr>
          <w:sz w:val="21"/>
        </w:rPr>
        <w:t> </w:t>
      </w:r>
    </w:p>
    <w:p>
      <w:pPr>
        <w:pStyle w:val="BodyText"/>
        <w:spacing w:before="2"/>
        <w:rPr>
          <w:sz w:val="18"/>
        </w:rPr>
      </w:pPr>
    </w:p>
    <w:p>
      <w:pPr>
        <w:pStyle w:val="ListParagraph"/>
        <w:numPr>
          <w:ilvl w:val="0"/>
          <w:numId w:val="555"/>
        </w:numPr>
        <w:tabs>
          <w:tab w:pos="1051" w:val="left" w:leader="none"/>
        </w:tabs>
        <w:spacing w:line="240" w:lineRule="auto" w:before="0" w:after="0"/>
        <w:ind w:left="1050" w:right="0" w:hanging="213"/>
        <w:jc w:val="left"/>
        <w:rPr>
          <w:sz w:val="21"/>
        </w:rPr>
      </w:pPr>
      <w:r>
        <w:rPr>
          <w:spacing w:val="-3"/>
          <w:sz w:val="21"/>
        </w:rPr>
        <w:t>燃气储装瓶罐应设置防静电装置。</w:t>
      </w:r>
      <w:r>
        <w:rPr>
          <w:sz w:val="21"/>
        </w:rPr>
        <w:t> </w:t>
      </w:r>
    </w:p>
    <w:p>
      <w:pPr>
        <w:pStyle w:val="BodyText"/>
        <w:rPr>
          <w:sz w:val="18"/>
        </w:rPr>
      </w:pPr>
    </w:p>
    <w:p>
      <w:pPr>
        <w:pStyle w:val="BodyText"/>
        <w:spacing w:line="446" w:lineRule="auto"/>
        <w:ind w:left="418" w:right="1410" w:firstLine="419"/>
      </w:pPr>
      <w:r>
        <w:rPr/>
        <w:t>3 气瓶应分类储存，库房内应通风良好；空瓶和实瓶同库存放时，应分开放置，空瓶和实瓶的间距不应小于 1.5m。 </w:t>
      </w:r>
    </w:p>
    <w:p>
      <w:pPr>
        <w:pStyle w:val="BodyText"/>
        <w:ind w:left="838"/>
      </w:pPr>
      <w:r>
        <w:rPr/>
        <w:t>6.3.3.4 气瓶使用时，应符合下列规定： </w:t>
      </w:r>
    </w:p>
    <w:p>
      <w:pPr>
        <w:pStyle w:val="BodyText"/>
        <w:spacing w:before="12"/>
        <w:rPr>
          <w:sz w:val="17"/>
        </w:rPr>
      </w:pPr>
    </w:p>
    <w:p>
      <w:pPr>
        <w:pStyle w:val="ListParagraph"/>
        <w:numPr>
          <w:ilvl w:val="0"/>
          <w:numId w:val="556"/>
        </w:numPr>
        <w:tabs>
          <w:tab w:pos="1051" w:val="left" w:leader="none"/>
        </w:tabs>
        <w:spacing w:line="446" w:lineRule="auto" w:before="0" w:after="0"/>
        <w:ind w:left="418" w:right="1505" w:firstLine="419"/>
        <w:jc w:val="left"/>
        <w:rPr>
          <w:sz w:val="21"/>
        </w:rPr>
      </w:pPr>
      <w:r>
        <w:rPr>
          <w:spacing w:val="-3"/>
          <w:sz w:val="21"/>
        </w:rPr>
        <w:t>使用前，应检查气瓶及气瓶附件的完好性，检查连接气路的气密性，并采取避免气体泄漏的措施，严禁使用已老化的橡皮气管。</w:t>
      </w:r>
      <w:r>
        <w:rPr>
          <w:sz w:val="21"/>
        </w:rPr>
        <w:t> </w:t>
      </w:r>
    </w:p>
    <w:p>
      <w:pPr>
        <w:pStyle w:val="ListParagraph"/>
        <w:numPr>
          <w:ilvl w:val="0"/>
          <w:numId w:val="556"/>
        </w:numPr>
        <w:tabs>
          <w:tab w:pos="1051" w:val="left" w:leader="none"/>
        </w:tabs>
        <w:spacing w:line="240" w:lineRule="auto" w:before="0" w:after="0"/>
        <w:ind w:left="1050" w:right="0" w:hanging="213"/>
        <w:jc w:val="left"/>
        <w:rPr>
          <w:sz w:val="21"/>
        </w:rPr>
      </w:pPr>
      <w:r>
        <w:rPr>
          <w:spacing w:val="-3"/>
          <w:sz w:val="21"/>
        </w:rPr>
        <w:t>氧气瓶与乙炔瓶的工作间距不应小于 </w:t>
      </w:r>
      <w:r>
        <w:rPr>
          <w:sz w:val="21"/>
        </w:rPr>
        <w:t>5m</w:t>
      </w:r>
      <w:r>
        <w:rPr>
          <w:spacing w:val="-3"/>
          <w:sz w:val="21"/>
        </w:rPr>
        <w:t>，气瓶与明火作业点的距离不应小于 </w:t>
      </w:r>
      <w:r>
        <w:rPr>
          <w:sz w:val="21"/>
        </w:rPr>
        <w:t>10m</w:t>
      </w:r>
      <w:r>
        <w:rPr>
          <w:spacing w:val="-3"/>
          <w:sz w:val="21"/>
        </w:rPr>
        <w:t>。</w:t>
      </w:r>
      <w:r>
        <w:rPr>
          <w:sz w:val="21"/>
        </w:rPr>
        <w:t> </w:t>
      </w:r>
    </w:p>
    <w:p>
      <w:pPr>
        <w:pStyle w:val="BodyText"/>
        <w:rPr>
          <w:sz w:val="18"/>
        </w:rPr>
      </w:pPr>
    </w:p>
    <w:p>
      <w:pPr>
        <w:pStyle w:val="ListParagraph"/>
        <w:numPr>
          <w:ilvl w:val="0"/>
          <w:numId w:val="556"/>
        </w:numPr>
        <w:tabs>
          <w:tab w:pos="1051" w:val="left" w:leader="none"/>
        </w:tabs>
        <w:spacing w:line="446" w:lineRule="auto" w:before="0" w:after="0"/>
        <w:ind w:left="418" w:right="1505" w:firstLine="419"/>
        <w:jc w:val="left"/>
        <w:rPr>
          <w:sz w:val="21"/>
        </w:rPr>
      </w:pPr>
      <w:r>
        <w:rPr>
          <w:spacing w:val="-3"/>
          <w:sz w:val="21"/>
        </w:rPr>
        <w:t>冬季使用气瓶，气瓶的瓶阀、减压器等发生冻结时，严禁用火烘烤或用铁器敲击瓶阀， 严禁猛拧减压器的调节螺丝。</w:t>
      </w:r>
      <w:r>
        <w:rPr>
          <w:sz w:val="21"/>
        </w:rPr>
        <w:t> </w:t>
      </w:r>
    </w:p>
    <w:p>
      <w:pPr>
        <w:pStyle w:val="ListParagraph"/>
        <w:numPr>
          <w:ilvl w:val="0"/>
          <w:numId w:val="556"/>
        </w:numPr>
        <w:tabs>
          <w:tab w:pos="1051" w:val="left" w:leader="none"/>
        </w:tabs>
        <w:spacing w:line="240" w:lineRule="auto" w:before="0" w:after="0"/>
        <w:ind w:left="1050" w:right="0" w:hanging="213"/>
        <w:jc w:val="left"/>
        <w:rPr>
          <w:sz w:val="21"/>
        </w:rPr>
      </w:pPr>
      <w:r>
        <w:rPr>
          <w:spacing w:val="-3"/>
          <w:sz w:val="21"/>
        </w:rPr>
        <w:t>氧气瓶内剩余气体的压力不应小于 </w:t>
      </w:r>
      <w:r>
        <w:rPr>
          <w:sz w:val="21"/>
        </w:rPr>
        <w:t>0.1MPa。 </w:t>
      </w:r>
    </w:p>
    <w:p>
      <w:pPr>
        <w:pStyle w:val="BodyText"/>
        <w:spacing w:before="12"/>
        <w:rPr>
          <w:sz w:val="17"/>
        </w:rPr>
      </w:pPr>
    </w:p>
    <w:p>
      <w:pPr>
        <w:pStyle w:val="ListParagraph"/>
        <w:numPr>
          <w:ilvl w:val="0"/>
          <w:numId w:val="556"/>
        </w:numPr>
        <w:tabs>
          <w:tab w:pos="1051" w:val="left" w:leader="none"/>
        </w:tabs>
        <w:spacing w:line="240" w:lineRule="auto" w:before="0" w:after="0"/>
        <w:ind w:left="1050" w:right="0" w:hanging="213"/>
        <w:jc w:val="left"/>
        <w:rPr>
          <w:sz w:val="21"/>
        </w:rPr>
      </w:pPr>
      <w:r>
        <w:rPr>
          <w:spacing w:val="-3"/>
          <w:sz w:val="21"/>
        </w:rPr>
        <w:t>气瓶用后应及时归库。</w:t>
      </w:r>
      <w:r>
        <w:rPr>
          <w:sz w:val="21"/>
        </w:rPr>
        <w:t> </w:t>
      </w:r>
    </w:p>
    <w:p>
      <w:pPr>
        <w:pStyle w:val="BodyText"/>
        <w:rPr>
          <w:sz w:val="18"/>
        </w:rPr>
      </w:pPr>
    </w:p>
    <w:p>
      <w:pPr>
        <w:pStyle w:val="ListParagraph"/>
        <w:numPr>
          <w:ilvl w:val="1"/>
          <w:numId w:val="546"/>
        </w:numPr>
        <w:tabs>
          <w:tab w:pos="1160" w:val="left" w:leader="none"/>
        </w:tabs>
        <w:spacing w:line="240" w:lineRule="auto" w:before="0" w:after="0"/>
        <w:ind w:left="1159" w:right="0" w:hanging="320"/>
        <w:jc w:val="left"/>
        <w:rPr>
          <w:sz w:val="21"/>
        </w:rPr>
      </w:pPr>
      <w:r>
        <w:rPr>
          <w:spacing w:val="-3"/>
          <w:sz w:val="21"/>
        </w:rPr>
        <w:t>其他防火管理</w:t>
      </w:r>
      <w:r>
        <w:rPr>
          <w:sz w:val="21"/>
        </w:rPr>
        <w:t> </w:t>
      </w:r>
    </w:p>
    <w:p>
      <w:pPr>
        <w:pStyle w:val="BodyText"/>
        <w:spacing w:before="2"/>
        <w:rPr>
          <w:sz w:val="18"/>
        </w:rPr>
      </w:pPr>
    </w:p>
    <w:p>
      <w:pPr>
        <w:pStyle w:val="ListParagraph"/>
        <w:numPr>
          <w:ilvl w:val="2"/>
          <w:numId w:val="546"/>
        </w:numPr>
        <w:tabs>
          <w:tab w:pos="1424" w:val="left" w:leader="none"/>
        </w:tabs>
        <w:spacing w:line="240" w:lineRule="auto" w:before="0" w:after="0"/>
        <w:ind w:left="1423" w:right="0" w:hanging="584"/>
        <w:jc w:val="left"/>
        <w:rPr>
          <w:sz w:val="21"/>
        </w:rPr>
      </w:pPr>
      <w:r>
        <w:rPr>
          <w:spacing w:val="-3"/>
          <w:sz w:val="21"/>
        </w:rPr>
        <w:t>施工现场的重点防火部位或区域应设置防火警示标识。</w:t>
      </w:r>
      <w:r>
        <w:rPr>
          <w:sz w:val="21"/>
        </w:rPr>
        <w:t> </w:t>
      </w:r>
    </w:p>
    <w:p>
      <w:pPr>
        <w:pStyle w:val="BodyText"/>
        <w:rPr>
          <w:sz w:val="20"/>
        </w:rPr>
      </w:pPr>
    </w:p>
    <w:p>
      <w:pPr>
        <w:pStyle w:val="BodyText"/>
        <w:rPr>
          <w:sz w:val="20"/>
        </w:rPr>
      </w:pPr>
    </w:p>
    <w:p>
      <w:pPr>
        <w:pStyle w:val="BodyText"/>
        <w:spacing w:before="12"/>
        <w:rPr>
          <w:sz w:val="16"/>
        </w:rPr>
      </w:pPr>
    </w:p>
    <w:p>
      <w:pPr>
        <w:pStyle w:val="ListParagraph"/>
        <w:numPr>
          <w:ilvl w:val="2"/>
          <w:numId w:val="546"/>
        </w:numPr>
        <w:tabs>
          <w:tab w:pos="1371" w:val="left" w:leader="none"/>
        </w:tabs>
        <w:spacing w:line="446" w:lineRule="auto" w:before="0" w:after="0"/>
        <w:ind w:left="418" w:right="1604" w:firstLine="422"/>
        <w:jc w:val="left"/>
        <w:rPr>
          <w:sz w:val="21"/>
        </w:rPr>
      </w:pPr>
      <w:r>
        <w:rPr>
          <w:spacing w:val="-3"/>
          <w:sz w:val="21"/>
        </w:rPr>
        <w:t>施工单位应做好施工现场临时消防设施的日常维护工作，对已失效、损坏或丢失的消防设施应及时更换、修复或补充。</w:t>
      </w:r>
      <w:r>
        <w:rPr>
          <w:sz w:val="21"/>
        </w:rPr>
        <w:t> </w:t>
      </w:r>
    </w:p>
    <w:p>
      <w:pPr>
        <w:pStyle w:val="ListParagraph"/>
        <w:numPr>
          <w:ilvl w:val="2"/>
          <w:numId w:val="546"/>
        </w:numPr>
        <w:tabs>
          <w:tab w:pos="1424" w:val="left" w:leader="none"/>
        </w:tabs>
        <w:spacing w:line="446" w:lineRule="auto" w:before="0" w:after="0"/>
        <w:ind w:left="418" w:right="1657" w:firstLine="422"/>
        <w:jc w:val="left"/>
        <w:rPr>
          <w:sz w:val="21"/>
        </w:rPr>
      </w:pPr>
      <w:r>
        <w:rPr>
          <w:spacing w:val="-3"/>
          <w:sz w:val="21"/>
        </w:rPr>
        <w:t>临时消防车道、临时疏散通道、安全出口应保持畅通，不得遮挡、挪动疏散指示标识，不得挪用消防设施。</w:t>
      </w:r>
      <w:r>
        <w:rPr>
          <w:sz w:val="21"/>
        </w:rPr>
        <w:t> </w:t>
      </w:r>
    </w:p>
    <w:p>
      <w:pPr>
        <w:pStyle w:val="ListParagraph"/>
        <w:numPr>
          <w:ilvl w:val="2"/>
          <w:numId w:val="546"/>
        </w:numPr>
        <w:tabs>
          <w:tab w:pos="1424" w:val="left" w:leader="none"/>
        </w:tabs>
        <w:spacing w:line="240" w:lineRule="auto" w:before="0" w:after="0"/>
        <w:ind w:left="1423" w:right="0" w:hanging="584"/>
        <w:jc w:val="left"/>
        <w:rPr>
          <w:sz w:val="21"/>
        </w:rPr>
      </w:pPr>
      <w:r>
        <w:rPr>
          <w:spacing w:val="-3"/>
          <w:sz w:val="21"/>
        </w:rPr>
        <w:t>施工期间，不应拆除临时消防设施及临时疏散设施。</w:t>
      </w:r>
      <w:r>
        <w:rPr>
          <w:sz w:val="21"/>
        </w:rPr>
        <w:t> </w:t>
      </w:r>
    </w:p>
    <w:p>
      <w:pPr>
        <w:pStyle w:val="BodyText"/>
        <w:rPr>
          <w:sz w:val="18"/>
        </w:rPr>
      </w:pPr>
    </w:p>
    <w:p>
      <w:pPr>
        <w:pStyle w:val="ListParagraph"/>
        <w:numPr>
          <w:ilvl w:val="2"/>
          <w:numId w:val="546"/>
        </w:numPr>
        <w:tabs>
          <w:tab w:pos="1424" w:val="left" w:leader="none"/>
        </w:tabs>
        <w:spacing w:line="240" w:lineRule="auto" w:before="0" w:after="0"/>
        <w:ind w:left="1423" w:right="0" w:hanging="584"/>
        <w:jc w:val="left"/>
        <w:rPr>
          <w:sz w:val="21"/>
        </w:rPr>
      </w:pPr>
      <w:r>
        <w:rPr>
          <w:spacing w:val="-3"/>
          <w:sz w:val="21"/>
        </w:rPr>
        <w:t>施工现场严禁吸烟。 </w:t>
      </w:r>
    </w:p>
    <w:p>
      <w:pPr>
        <w:pStyle w:val="BodyText"/>
        <w:rPr>
          <w:sz w:val="20"/>
        </w:rPr>
      </w:pPr>
    </w:p>
    <w:p>
      <w:pPr>
        <w:pStyle w:val="BodyText"/>
        <w:rPr>
          <w:sz w:val="20"/>
        </w:rPr>
      </w:pPr>
    </w:p>
    <w:p>
      <w:pPr>
        <w:pStyle w:val="BodyText"/>
        <w:spacing w:before="1"/>
        <w:rPr>
          <w:sz w:val="17"/>
        </w:rPr>
      </w:pPr>
    </w:p>
    <w:p>
      <w:pPr>
        <w:pStyle w:val="BodyText"/>
        <w:ind w:left="838"/>
      </w:pPr>
      <w:r>
        <w:rPr>
          <w:w w:val="100"/>
        </w:rPr>
        <w:t> </w:t>
      </w:r>
    </w:p>
    <w:p>
      <w:pPr>
        <w:spacing w:after="0"/>
        <w:sectPr>
          <w:pgSz w:w="11910" w:h="16850"/>
          <w:pgMar w:header="0" w:footer="1239" w:top="1220" w:bottom="1420" w:left="1260" w:right="0"/>
        </w:sectPr>
      </w:pPr>
    </w:p>
    <w:p>
      <w:pPr>
        <w:pStyle w:val="Heading2"/>
        <w:ind w:right="870"/>
      </w:pPr>
      <w:bookmarkStart w:name="_bookmark23" w:id="24"/>
      <w:bookmarkEnd w:id="24"/>
      <w:r>
        <w:rPr>
          <w:b w:val="0"/>
        </w:rPr>
      </w:r>
      <w:r>
        <w:rPr/>
        <w:t>消防用开门器</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418" w:right="1609" w:firstLine="419"/>
      </w:pPr>
      <w:r>
        <w:rPr/>
        <w:t>本标准规定了消防用开门器的术语和定义、型号、技术要求、试验方法、检验规则以及标志、包装、运输、贮存。 </w:t>
      </w:r>
    </w:p>
    <w:p>
      <w:pPr>
        <w:pStyle w:val="BodyText"/>
        <w:ind w:left="838"/>
      </w:pPr>
      <w:r>
        <w:rPr/>
        <w:t>本标准适用于消防队员在灭火和应急救援中使用的开门器。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ind w:left="838"/>
      </w:pPr>
      <w:r>
        <w:rPr/>
        <w:t>GB/T191 包装储运图示标志 </w:t>
      </w:r>
    </w:p>
    <w:p>
      <w:pPr>
        <w:pStyle w:val="BodyText"/>
        <w:rPr>
          <w:sz w:val="18"/>
        </w:rPr>
      </w:pPr>
    </w:p>
    <w:p>
      <w:pPr>
        <w:pStyle w:val="BodyText"/>
        <w:ind w:left="838"/>
      </w:pPr>
      <w:r>
        <w:rPr/>
        <w:t>GB/T 9969 工业产品使用说明书 总则 </w:t>
      </w:r>
    </w:p>
    <w:p>
      <w:pPr>
        <w:pStyle w:val="BodyText"/>
        <w:spacing w:before="1"/>
        <w:rPr>
          <w:sz w:val="18"/>
        </w:rPr>
      </w:pPr>
    </w:p>
    <w:p>
      <w:pPr>
        <w:pStyle w:val="BodyText"/>
        <w:spacing w:line="446" w:lineRule="auto" w:before="1"/>
        <w:ind w:left="838" w:right="1928"/>
      </w:pPr>
      <w:r>
        <w:rPr/>
        <w:t>GB/T 3683 橡胶软管及软管组合件 油基或水基流体适用的钢丝编织增强液压型 规范SH 0358 10 号航空液压油 </w:t>
      </w:r>
    </w:p>
    <w:p>
      <w:pPr>
        <w:pStyle w:val="Heading4"/>
        <w:spacing w:line="275" w:lineRule="exact"/>
      </w:pPr>
      <w:r>
        <w:rPr/>
        <w:t>3 术语和定义</w:t>
      </w:r>
      <w:r>
        <w:rPr>
          <w:w w:val="99"/>
        </w:rPr>
        <w:t> </w:t>
      </w:r>
    </w:p>
    <w:p>
      <w:pPr>
        <w:pStyle w:val="BodyText"/>
        <w:spacing w:before="6"/>
        <w:rPr>
          <w:b/>
          <w:sz w:val="17"/>
        </w:rPr>
      </w:pPr>
    </w:p>
    <w:p>
      <w:pPr>
        <w:pStyle w:val="BodyText"/>
        <w:ind w:left="838"/>
      </w:pPr>
      <w:r>
        <w:rPr/>
        <w:t>下列术语和定义适用于本文件。 </w:t>
      </w:r>
    </w:p>
    <w:p>
      <w:pPr>
        <w:pStyle w:val="BodyText"/>
        <w:spacing w:before="12"/>
        <w:rPr>
          <w:sz w:val="17"/>
        </w:rPr>
      </w:pPr>
    </w:p>
    <w:p>
      <w:pPr>
        <w:pStyle w:val="ListParagraph"/>
        <w:numPr>
          <w:ilvl w:val="1"/>
          <w:numId w:val="557"/>
        </w:numPr>
        <w:tabs>
          <w:tab w:pos="1213" w:val="left" w:leader="none"/>
        </w:tabs>
        <w:spacing w:line="240" w:lineRule="auto" w:before="0" w:after="0"/>
        <w:ind w:left="1212" w:right="0" w:hanging="373"/>
        <w:jc w:val="left"/>
        <w:rPr>
          <w:b/>
          <w:sz w:val="21"/>
        </w:rPr>
      </w:pPr>
      <w:r>
        <w:rPr>
          <w:spacing w:val="-3"/>
          <w:sz w:val="21"/>
        </w:rPr>
        <w:t>消防用开门器 </w:t>
      </w:r>
      <w:r>
        <w:rPr>
          <w:sz w:val="21"/>
        </w:rPr>
        <w:t>door</w:t>
      </w:r>
      <w:r>
        <w:rPr>
          <w:spacing w:val="1"/>
          <w:sz w:val="21"/>
        </w:rPr>
        <w:t> </w:t>
      </w:r>
      <w:r>
        <w:rPr>
          <w:sz w:val="21"/>
        </w:rPr>
        <w:t>opener</w:t>
      </w:r>
      <w:r>
        <w:rPr>
          <w:spacing w:val="-3"/>
          <w:sz w:val="21"/>
        </w:rPr>
        <w:t> </w:t>
      </w:r>
      <w:r>
        <w:rPr>
          <w:sz w:val="21"/>
        </w:rPr>
        <w:t>for</w:t>
      </w:r>
      <w:r>
        <w:rPr>
          <w:spacing w:val="-2"/>
          <w:sz w:val="21"/>
        </w:rPr>
        <w:t> </w:t>
      </w:r>
      <w:r>
        <w:rPr>
          <w:sz w:val="21"/>
        </w:rPr>
        <w:t>fire</w:t>
      </w:r>
      <w:r>
        <w:rPr>
          <w:spacing w:val="1"/>
          <w:sz w:val="21"/>
        </w:rPr>
        <w:t> </w:t>
      </w:r>
      <w:r>
        <w:rPr>
          <w:sz w:val="21"/>
        </w:rPr>
        <w:t>fighting</w:t>
      </w:r>
      <w:r>
        <w:rPr>
          <w:b/>
          <w:w w:val="99"/>
          <w:sz w:val="21"/>
        </w:rPr>
        <w:t> </w:t>
      </w:r>
    </w:p>
    <w:p>
      <w:pPr>
        <w:pStyle w:val="BodyText"/>
        <w:rPr>
          <w:b/>
          <w:sz w:val="18"/>
        </w:rPr>
      </w:pPr>
    </w:p>
    <w:p>
      <w:pPr>
        <w:pStyle w:val="BodyText"/>
        <w:ind w:left="838"/>
      </w:pPr>
      <w:r>
        <w:rPr/>
        <w:t>消防队员在灭火和应急救援中，用于破拆门体和门框结构的工具。 </w:t>
      </w:r>
    </w:p>
    <w:p>
      <w:pPr>
        <w:pStyle w:val="BodyText"/>
        <w:spacing w:before="1"/>
        <w:rPr>
          <w:sz w:val="18"/>
        </w:rPr>
      </w:pPr>
    </w:p>
    <w:p>
      <w:pPr>
        <w:pStyle w:val="ListParagraph"/>
        <w:numPr>
          <w:ilvl w:val="1"/>
          <w:numId w:val="557"/>
        </w:numPr>
        <w:tabs>
          <w:tab w:pos="1213" w:val="left" w:leader="none"/>
        </w:tabs>
        <w:spacing w:line="240" w:lineRule="auto" w:before="1" w:after="0"/>
        <w:ind w:left="1212" w:right="0" w:hanging="373"/>
        <w:jc w:val="left"/>
        <w:rPr>
          <w:b/>
          <w:sz w:val="21"/>
        </w:rPr>
      </w:pPr>
      <w:r>
        <w:rPr>
          <w:spacing w:val="-3"/>
          <w:sz w:val="21"/>
        </w:rPr>
        <w:t>最大开启力 </w:t>
      </w:r>
      <w:r>
        <w:rPr>
          <w:sz w:val="21"/>
        </w:rPr>
        <w:t>maximal</w:t>
      </w:r>
      <w:r>
        <w:rPr>
          <w:spacing w:val="-2"/>
          <w:sz w:val="21"/>
        </w:rPr>
        <w:t> </w:t>
      </w:r>
      <w:r>
        <w:rPr>
          <w:sz w:val="21"/>
        </w:rPr>
        <w:t>opening</w:t>
      </w:r>
      <w:r>
        <w:rPr>
          <w:spacing w:val="1"/>
          <w:sz w:val="21"/>
        </w:rPr>
        <w:t> </w:t>
      </w:r>
      <w:r>
        <w:rPr>
          <w:sz w:val="21"/>
        </w:rPr>
        <w:t>force</w:t>
      </w:r>
      <w:r>
        <w:rPr>
          <w:b/>
          <w:w w:val="99"/>
          <w:sz w:val="21"/>
        </w:rPr>
        <w:t> </w:t>
      </w:r>
    </w:p>
    <w:p>
      <w:pPr>
        <w:pStyle w:val="BodyText"/>
        <w:spacing w:before="12"/>
        <w:rPr>
          <w:b/>
          <w:sz w:val="17"/>
        </w:rPr>
      </w:pPr>
    </w:p>
    <w:p>
      <w:pPr>
        <w:pStyle w:val="BodyText"/>
        <w:ind w:left="838"/>
      </w:pPr>
      <w:r>
        <w:rPr/>
        <w:t>在额定工作压力下，消防用开门器在开启方向上能对开启对象产生的最大作用力。 </w:t>
      </w:r>
    </w:p>
    <w:p>
      <w:pPr>
        <w:pStyle w:val="BodyText"/>
        <w:spacing w:before="12"/>
        <w:rPr>
          <w:sz w:val="17"/>
        </w:rPr>
      </w:pPr>
    </w:p>
    <w:p>
      <w:pPr>
        <w:pStyle w:val="ListParagraph"/>
        <w:numPr>
          <w:ilvl w:val="1"/>
          <w:numId w:val="557"/>
        </w:numPr>
        <w:tabs>
          <w:tab w:pos="1213" w:val="left" w:leader="none"/>
        </w:tabs>
        <w:spacing w:line="240" w:lineRule="auto" w:before="0" w:after="0"/>
        <w:ind w:left="1212" w:right="0" w:hanging="373"/>
        <w:jc w:val="left"/>
        <w:rPr>
          <w:b/>
          <w:sz w:val="21"/>
        </w:rPr>
      </w:pPr>
      <w:r>
        <w:rPr>
          <w:spacing w:val="-3"/>
          <w:sz w:val="21"/>
        </w:rPr>
        <w:t>最大开启距离 </w:t>
      </w:r>
      <w:r>
        <w:rPr>
          <w:sz w:val="21"/>
        </w:rPr>
        <w:t>maximal</w:t>
      </w:r>
      <w:r>
        <w:rPr>
          <w:spacing w:val="1"/>
          <w:sz w:val="21"/>
        </w:rPr>
        <w:t> </w:t>
      </w:r>
      <w:r>
        <w:rPr>
          <w:sz w:val="21"/>
        </w:rPr>
        <w:t>opening</w:t>
      </w:r>
      <w:r>
        <w:rPr>
          <w:spacing w:val="-2"/>
          <w:sz w:val="21"/>
        </w:rPr>
        <w:t> </w:t>
      </w:r>
      <w:r>
        <w:rPr>
          <w:sz w:val="21"/>
        </w:rPr>
        <w:t>distance</w:t>
      </w:r>
      <w:r>
        <w:rPr>
          <w:b/>
          <w:w w:val="99"/>
          <w:sz w:val="21"/>
        </w:rPr>
        <w:t> </w:t>
      </w:r>
    </w:p>
    <w:p>
      <w:pPr>
        <w:pStyle w:val="BodyText"/>
        <w:spacing w:before="3"/>
        <w:rPr>
          <w:b/>
          <w:sz w:val="18"/>
        </w:rPr>
      </w:pPr>
    </w:p>
    <w:p>
      <w:pPr>
        <w:pStyle w:val="BodyText"/>
        <w:ind w:left="838"/>
      </w:pPr>
      <w:r>
        <w:rPr/>
        <w:t>消防用开门器的两底脚脚尖沿开启方向所能张开的最大距离。 </w:t>
      </w:r>
    </w:p>
    <w:p>
      <w:pPr>
        <w:pStyle w:val="BodyText"/>
        <w:spacing w:before="8"/>
        <w:rPr>
          <w:sz w:val="15"/>
        </w:rPr>
      </w:pPr>
    </w:p>
    <w:p>
      <w:pPr>
        <w:pStyle w:val="Heading4"/>
      </w:pPr>
      <w:r>
        <w:rPr/>
        <w:t>4 型号</w:t>
      </w:r>
      <w:r>
        <w:rPr>
          <w:w w:val="99"/>
        </w:rPr>
        <w:t> </w:t>
      </w:r>
    </w:p>
    <w:p>
      <w:pPr>
        <w:pStyle w:val="BodyText"/>
        <w:rPr>
          <w:b/>
          <w:sz w:val="20"/>
        </w:rPr>
      </w:pPr>
    </w:p>
    <w:p>
      <w:pPr>
        <w:pStyle w:val="BodyText"/>
        <w:spacing w:before="4"/>
        <w:rPr>
          <w:b/>
          <w:sz w:val="14"/>
        </w:rPr>
      </w:pPr>
      <w:r>
        <w:rPr/>
        <w:drawing>
          <wp:anchor distT="0" distB="0" distL="0" distR="0" allowOverlap="1" layoutInCell="1" locked="0" behindDoc="0" simplePos="0" relativeHeight="205">
            <wp:simplePos x="0" y="0"/>
            <wp:positionH relativeFrom="page">
              <wp:posOffset>1513205</wp:posOffset>
            </wp:positionH>
            <wp:positionV relativeFrom="paragraph">
              <wp:posOffset>141811</wp:posOffset>
            </wp:positionV>
            <wp:extent cx="4473351" cy="1581150"/>
            <wp:effectExtent l="0" t="0" r="0" b="0"/>
            <wp:wrapTopAndBottom/>
            <wp:docPr id="479" name="image280.jpeg"/>
            <wp:cNvGraphicFramePr>
              <a:graphicFrameLocks noChangeAspect="1"/>
            </wp:cNvGraphicFramePr>
            <a:graphic>
              <a:graphicData uri="http://schemas.openxmlformats.org/drawingml/2006/picture">
                <pic:pic>
                  <pic:nvPicPr>
                    <pic:cNvPr id="480" name="image280.jpeg"/>
                    <pic:cNvPicPr/>
                  </pic:nvPicPr>
                  <pic:blipFill>
                    <a:blip r:embed="rId338" cstate="print"/>
                    <a:stretch>
                      <a:fillRect/>
                    </a:stretch>
                  </pic:blipFill>
                  <pic:spPr>
                    <a:xfrm>
                      <a:off x="0" y="0"/>
                      <a:ext cx="4473351" cy="1581150"/>
                    </a:xfrm>
                    <a:prstGeom prst="rect">
                      <a:avLst/>
                    </a:prstGeom>
                  </pic:spPr>
                </pic:pic>
              </a:graphicData>
            </a:graphic>
          </wp:anchor>
        </w:drawing>
      </w:r>
    </w:p>
    <w:p>
      <w:pPr>
        <w:pStyle w:val="BodyText"/>
        <w:spacing w:before="163"/>
        <w:ind w:left="418"/>
      </w:pPr>
      <w:r>
        <w:rPr>
          <w:w w:val="100"/>
        </w:rPr>
        <w:t> </w:t>
      </w:r>
    </w:p>
    <w:p>
      <w:pPr>
        <w:spacing w:after="0"/>
        <w:sectPr>
          <w:pgSz w:w="11910" w:h="16850"/>
          <w:pgMar w:header="0" w:footer="1239" w:top="1140" w:bottom="1420" w:left="1260" w:right="0"/>
        </w:sectPr>
      </w:pPr>
    </w:p>
    <w:p>
      <w:pPr>
        <w:spacing w:before="37"/>
        <w:ind w:left="0" w:right="898" w:firstLine="0"/>
        <w:jc w:val="center"/>
        <w:rPr>
          <w:b/>
          <w:sz w:val="24"/>
        </w:rPr>
      </w:pPr>
      <w:r>
        <w:rPr>
          <w:w w:val="100"/>
          <w:sz w:val="21"/>
        </w:rPr>
        <w:t> </w:t>
      </w:r>
      <w:r>
        <w:rPr>
          <w:sz w:val="21"/>
        </w:rPr>
        <w:t> </w:t>
      </w:r>
      <w:r>
        <w:rPr>
          <w:b/>
          <w:sz w:val="24"/>
        </w:rPr>
        <w:t>5 技术要求</w:t>
      </w:r>
      <w:r>
        <w:rPr>
          <w:b/>
          <w:w w:val="99"/>
          <w:sz w:val="24"/>
        </w:rPr>
        <w:t> </w:t>
      </w:r>
    </w:p>
    <w:p>
      <w:pPr>
        <w:pStyle w:val="BodyText"/>
        <w:spacing w:before="10"/>
        <w:rPr>
          <w:b/>
          <w:sz w:val="11"/>
        </w:rPr>
      </w:pPr>
    </w:p>
    <w:p>
      <w:pPr>
        <w:pStyle w:val="ListParagraph"/>
        <w:numPr>
          <w:ilvl w:val="1"/>
          <w:numId w:val="558"/>
        </w:numPr>
        <w:tabs>
          <w:tab w:pos="1159" w:val="left" w:leader="none"/>
        </w:tabs>
        <w:spacing w:line="240" w:lineRule="auto" w:before="71" w:after="0"/>
        <w:ind w:left="1158" w:right="0" w:hanging="319"/>
        <w:jc w:val="left"/>
        <w:rPr>
          <w:sz w:val="21"/>
        </w:rPr>
      </w:pPr>
      <w:r>
        <w:rPr>
          <w:spacing w:val="-3"/>
          <w:sz w:val="21"/>
        </w:rPr>
        <w:t>消防用开门器</w:t>
      </w:r>
      <w:r>
        <w:rPr>
          <w:sz w:val="21"/>
        </w:rPr>
        <w:t> </w:t>
      </w:r>
    </w:p>
    <w:p>
      <w:pPr>
        <w:pStyle w:val="BodyText"/>
        <w:rPr>
          <w:sz w:val="18"/>
        </w:rPr>
      </w:pPr>
    </w:p>
    <w:p>
      <w:pPr>
        <w:pStyle w:val="ListParagraph"/>
        <w:numPr>
          <w:ilvl w:val="2"/>
          <w:numId w:val="558"/>
        </w:numPr>
        <w:tabs>
          <w:tab w:pos="1370" w:val="left" w:leader="none"/>
        </w:tabs>
        <w:spacing w:line="240" w:lineRule="auto" w:before="0" w:after="0"/>
        <w:ind w:left="1369" w:right="0" w:hanging="530"/>
        <w:jc w:val="left"/>
        <w:rPr>
          <w:b/>
          <w:sz w:val="21"/>
        </w:rPr>
      </w:pPr>
      <w:r>
        <w:rPr>
          <w:spacing w:val="-3"/>
          <w:sz w:val="21"/>
        </w:rPr>
        <w:t>外观</w:t>
      </w:r>
      <w:r>
        <w:rPr>
          <w:b/>
          <w:w w:val="99"/>
          <w:sz w:val="21"/>
        </w:rPr>
        <w:t> </w:t>
      </w:r>
    </w:p>
    <w:p>
      <w:pPr>
        <w:pStyle w:val="BodyText"/>
        <w:spacing w:before="2"/>
        <w:rPr>
          <w:b/>
          <w:sz w:val="18"/>
        </w:rPr>
      </w:pPr>
    </w:p>
    <w:p>
      <w:pPr>
        <w:pStyle w:val="BodyText"/>
        <w:spacing w:line="446" w:lineRule="auto"/>
        <w:ind w:left="418" w:right="1608" w:firstLine="419"/>
      </w:pPr>
      <w:r>
        <w:rPr/>
        <w:t>消防用开门器（以下简称</w:t>
      </w:r>
      <w:r>
        <w:rPr>
          <w:b/>
        </w:rPr>
        <w:t>开门</w:t>
      </w:r>
      <w:r>
        <w:rPr/>
        <w:t>器）的外表面应光滑平整，无毛刺及加工缺陷，金属件表面应进行防腐蚀处理。 </w:t>
      </w:r>
    </w:p>
    <w:p>
      <w:pPr>
        <w:pStyle w:val="ListParagraph"/>
        <w:numPr>
          <w:ilvl w:val="2"/>
          <w:numId w:val="558"/>
        </w:numPr>
        <w:tabs>
          <w:tab w:pos="1370" w:val="left" w:leader="none"/>
        </w:tabs>
        <w:spacing w:line="267" w:lineRule="exact" w:before="0" w:after="0"/>
        <w:ind w:left="1369" w:right="0" w:hanging="530"/>
        <w:jc w:val="left"/>
        <w:rPr>
          <w:b/>
          <w:sz w:val="21"/>
        </w:rPr>
      </w:pPr>
      <w:r>
        <w:rPr>
          <w:spacing w:val="-3"/>
          <w:sz w:val="21"/>
        </w:rPr>
        <w:t>开启力和开启距离</w:t>
      </w:r>
      <w:r>
        <w:rPr>
          <w:b/>
          <w:w w:val="99"/>
          <w:sz w:val="21"/>
        </w:rPr>
        <w:t> </w:t>
      </w:r>
    </w:p>
    <w:p>
      <w:pPr>
        <w:pStyle w:val="BodyText"/>
        <w:spacing w:before="2"/>
        <w:rPr>
          <w:b/>
          <w:sz w:val="18"/>
        </w:rPr>
      </w:pPr>
    </w:p>
    <w:p>
      <w:pPr>
        <w:pStyle w:val="BodyText"/>
        <w:spacing w:line="446" w:lineRule="auto"/>
        <w:ind w:left="840" w:right="3714" w:hanging="3"/>
        <w:rPr>
          <w:b/>
        </w:rPr>
      </w:pPr>
      <w:r>
        <w:rPr/>
        <w:t>开门器的最大开启力不应小 60kN，最大开启距离不应小于 60mm。</w:t>
      </w:r>
      <w:r>
        <w:rPr>
          <w:b/>
        </w:rPr>
        <w:t>5.1.3 </w:t>
      </w:r>
      <w:r>
        <w:rPr/>
        <w:t>开启性能</w:t>
      </w:r>
      <w:r>
        <w:rPr>
          <w:b/>
          <w:w w:val="99"/>
        </w:rPr>
        <w:t> </w:t>
      </w:r>
    </w:p>
    <w:p>
      <w:pPr>
        <w:pStyle w:val="BodyText"/>
        <w:spacing w:line="446" w:lineRule="auto"/>
        <w:ind w:left="840" w:right="1505" w:hanging="3"/>
        <w:rPr>
          <w:b/>
        </w:rPr>
      </w:pPr>
      <w:r>
        <w:rPr/>
        <w:t>开门器开启过程应平稳，按 6.2.3 规定的试验方法试验后，不应有泄漏和机械损坏现象。</w:t>
      </w:r>
      <w:r>
        <w:rPr>
          <w:b/>
        </w:rPr>
        <w:t>5.1.4 </w:t>
      </w:r>
      <w:r>
        <w:rPr/>
        <w:t>底脚回位性能</w:t>
      </w:r>
      <w:r>
        <w:rPr>
          <w:b/>
          <w:w w:val="99"/>
        </w:rPr>
        <w:t> </w:t>
      </w:r>
    </w:p>
    <w:p>
      <w:pPr>
        <w:pStyle w:val="BodyText"/>
        <w:spacing w:line="446" w:lineRule="auto"/>
        <w:ind w:left="840" w:right="3239" w:hanging="3"/>
        <w:rPr>
          <w:b/>
        </w:rPr>
      </w:pPr>
      <w:r>
        <w:rPr/>
        <w:t>开门器底脚的回位过程平稳，回位后两底脚脚尖的间距不应大于 2mm。</w:t>
      </w:r>
      <w:r>
        <w:rPr>
          <w:b/>
        </w:rPr>
        <w:t>5.1.5 </w:t>
      </w:r>
      <w:r>
        <w:rPr/>
        <w:t>强度</w:t>
      </w:r>
      <w:r>
        <w:rPr>
          <w:b/>
          <w:w w:val="99"/>
        </w:rPr>
        <w:t> </w:t>
      </w:r>
    </w:p>
    <w:p>
      <w:pPr>
        <w:pStyle w:val="BodyText"/>
        <w:spacing w:line="446" w:lineRule="auto"/>
        <w:ind w:left="418" w:right="1608" w:firstLine="419"/>
      </w:pPr>
      <w:r>
        <w:rPr>
          <w:spacing w:val="-9"/>
        </w:rPr>
        <w:t>开门器应能经受 </w:t>
      </w:r>
      <w:r>
        <w:rPr/>
        <w:t>1.5</w:t>
      </w:r>
      <w:r>
        <w:rPr>
          <w:spacing w:val="-11"/>
        </w:rPr>
        <w:t> 倍额定工作压力的强度试验，按 </w:t>
      </w:r>
      <w:r>
        <w:rPr/>
        <w:t>6.2.5</w:t>
      </w:r>
      <w:r>
        <w:rPr>
          <w:spacing w:val="-8"/>
        </w:rPr>
        <w:t> 规定叫试验方法试验后，不应</w:t>
      </w:r>
      <w:r>
        <w:rPr>
          <w:spacing w:val="-5"/>
        </w:rPr>
        <w:t>有泄漏和机械损坏现象。</w:t>
      </w:r>
      <w:r>
        <w:rPr/>
        <w:t>  </w:t>
      </w:r>
      <w:r>
        <w:rPr>
          <w:w w:val="100"/>
        </w:rPr>
        <w:t> </w:t>
      </w:r>
    </w:p>
    <w:p>
      <w:pPr>
        <w:spacing w:line="267" w:lineRule="exact" w:before="0"/>
        <w:ind w:left="840" w:right="0" w:firstLine="0"/>
        <w:jc w:val="left"/>
        <w:rPr>
          <w:b/>
          <w:sz w:val="21"/>
        </w:rPr>
      </w:pPr>
      <w:r>
        <w:rPr>
          <w:b/>
          <w:sz w:val="21"/>
        </w:rPr>
        <w:t>5.1.6 </w:t>
      </w:r>
      <w:r>
        <w:rPr>
          <w:sz w:val="21"/>
        </w:rPr>
        <w:t>高低温性能</w:t>
      </w:r>
      <w:r>
        <w:rPr>
          <w:b/>
          <w:w w:val="99"/>
          <w:sz w:val="21"/>
        </w:rPr>
        <w:t> </w:t>
      </w:r>
    </w:p>
    <w:p>
      <w:pPr>
        <w:pStyle w:val="BodyText"/>
        <w:spacing w:before="12"/>
        <w:rPr>
          <w:b/>
          <w:sz w:val="17"/>
        </w:rPr>
      </w:pPr>
    </w:p>
    <w:p>
      <w:pPr>
        <w:pStyle w:val="BodyText"/>
        <w:spacing w:line="446" w:lineRule="auto"/>
        <w:ind w:left="840" w:right="3397" w:hanging="3"/>
        <w:rPr>
          <w:b/>
        </w:rPr>
      </w:pPr>
      <w:r>
        <w:rPr>
          <w:spacing w:val="-10"/>
        </w:rPr>
        <w:t>开门器按 </w:t>
      </w:r>
      <w:r>
        <w:rPr/>
        <w:t>6.2.6</w:t>
      </w:r>
      <w:r>
        <w:rPr>
          <w:spacing w:val="-8"/>
        </w:rPr>
        <w:t> 规定的试验方法试验后，应动作正常，无异常现象。</w:t>
      </w:r>
      <w:r>
        <w:rPr>
          <w:b/>
        </w:rPr>
        <w:t>5.1.7</w:t>
      </w:r>
      <w:r>
        <w:rPr>
          <w:b/>
          <w:spacing w:val="1"/>
        </w:rPr>
        <w:t> </w:t>
      </w:r>
      <w:r>
        <w:rPr>
          <w:spacing w:val="-3"/>
        </w:rPr>
        <w:t>密封性</w:t>
      </w:r>
      <w:r>
        <w:rPr/>
        <w:t> </w:t>
      </w:r>
      <w:r>
        <w:rPr>
          <w:spacing w:val="-2"/>
        </w:rPr>
        <w:t> </w:t>
      </w:r>
      <w:r>
        <w:rPr>
          <w:b/>
          <w:w w:val="99"/>
        </w:rPr>
        <w:t> </w:t>
      </w:r>
    </w:p>
    <w:p>
      <w:pPr>
        <w:pStyle w:val="BodyText"/>
        <w:spacing w:line="446" w:lineRule="auto"/>
        <w:ind w:left="840" w:right="3239" w:hanging="3"/>
        <w:rPr>
          <w:b/>
        </w:rPr>
      </w:pPr>
      <w:r>
        <w:rPr>
          <w:spacing w:val="-11"/>
        </w:rPr>
        <w:t>开门器按 </w:t>
      </w:r>
      <w:r>
        <w:rPr/>
        <w:t>6.2.7</w:t>
      </w:r>
      <w:r>
        <w:rPr>
          <w:spacing w:val="-10"/>
        </w:rPr>
        <w:t> 规定的试验方法试验后，其最大位移量不应大于 </w:t>
      </w:r>
      <w:r>
        <w:rPr/>
        <w:t>1mm</w:t>
      </w:r>
      <w:r>
        <w:rPr>
          <w:spacing w:val="-3"/>
        </w:rPr>
        <w:t>。</w:t>
      </w:r>
      <w:r>
        <w:rPr>
          <w:b/>
        </w:rPr>
        <w:t>5.1.8</w:t>
      </w:r>
      <w:r>
        <w:rPr>
          <w:b/>
          <w:spacing w:val="1"/>
        </w:rPr>
        <w:t> </w:t>
      </w:r>
      <w:r>
        <w:rPr>
          <w:spacing w:val="-3"/>
        </w:rPr>
        <w:t>可靠性</w:t>
      </w:r>
      <w:r>
        <w:rPr/>
        <w:t> </w:t>
      </w:r>
      <w:r>
        <w:rPr>
          <w:spacing w:val="-2"/>
        </w:rPr>
        <w:t> </w:t>
      </w:r>
      <w:r>
        <w:rPr>
          <w:b/>
          <w:w w:val="99"/>
        </w:rPr>
        <w:t> </w:t>
      </w:r>
    </w:p>
    <w:p>
      <w:pPr>
        <w:pStyle w:val="BodyText"/>
        <w:spacing w:line="446" w:lineRule="auto"/>
        <w:ind w:left="840" w:right="1611" w:hanging="3"/>
      </w:pPr>
      <w:r>
        <w:rPr>
          <w:spacing w:val="-10"/>
        </w:rPr>
        <w:t>开门器按 </w:t>
      </w:r>
      <w:r>
        <w:rPr/>
        <w:t>6.2.8</w:t>
      </w:r>
      <w:r>
        <w:rPr>
          <w:spacing w:val="-8"/>
        </w:rPr>
        <w:t> 规定的试验(方法试验后，应动作正常，无泄漏、机械损坏及异常现象。</w:t>
      </w:r>
      <w:r>
        <w:rPr>
          <w:b/>
        </w:rPr>
        <w:t>5.2</w:t>
      </w:r>
      <w:r>
        <w:rPr>
          <w:b/>
          <w:spacing w:val="-1"/>
        </w:rPr>
        <w:t> </w:t>
      </w:r>
      <w:r>
        <w:rPr>
          <w:spacing w:val="-3"/>
        </w:rPr>
        <w:t>附件</w:t>
      </w:r>
      <w:r>
        <w:rPr/>
        <w:t> </w:t>
      </w:r>
    </w:p>
    <w:p>
      <w:pPr>
        <w:pStyle w:val="ListParagraph"/>
        <w:numPr>
          <w:ilvl w:val="2"/>
          <w:numId w:val="559"/>
        </w:numPr>
        <w:tabs>
          <w:tab w:pos="1370" w:val="left" w:leader="none"/>
        </w:tabs>
        <w:spacing w:line="240" w:lineRule="auto" w:before="0" w:after="0"/>
        <w:ind w:left="1369" w:right="0" w:hanging="530"/>
        <w:jc w:val="left"/>
        <w:rPr>
          <w:b/>
          <w:sz w:val="21"/>
        </w:rPr>
      </w:pPr>
      <w:r>
        <w:rPr>
          <w:spacing w:val="-3"/>
          <w:sz w:val="21"/>
        </w:rPr>
        <w:t>液压软管</w:t>
      </w:r>
      <w:r>
        <w:rPr>
          <w:b/>
          <w:w w:val="99"/>
          <w:sz w:val="21"/>
        </w:rPr>
        <w:t> </w:t>
      </w:r>
    </w:p>
    <w:p>
      <w:pPr>
        <w:pStyle w:val="BodyText"/>
        <w:spacing w:before="10"/>
        <w:rPr>
          <w:b/>
          <w:sz w:val="17"/>
        </w:rPr>
      </w:pPr>
    </w:p>
    <w:p>
      <w:pPr>
        <w:pStyle w:val="ListParagraph"/>
        <w:numPr>
          <w:ilvl w:val="3"/>
          <w:numId w:val="559"/>
        </w:numPr>
        <w:tabs>
          <w:tab w:pos="1576" w:val="left" w:leader="none"/>
        </w:tabs>
        <w:spacing w:line="446" w:lineRule="auto" w:before="1" w:after="0"/>
        <w:ind w:left="418" w:right="1820" w:firstLine="419"/>
        <w:jc w:val="left"/>
        <w:rPr>
          <w:sz w:val="21"/>
        </w:rPr>
      </w:pPr>
      <w:r>
        <w:rPr>
          <w:spacing w:val="-5"/>
          <w:sz w:val="21"/>
        </w:rPr>
        <w:t>开门器使用的液压软管两端应设置金属护套，液压软管应符合 </w:t>
      </w:r>
      <w:r>
        <w:rPr>
          <w:sz w:val="21"/>
        </w:rPr>
        <w:t>GB/T</w:t>
      </w:r>
      <w:r>
        <w:rPr>
          <w:spacing w:val="11"/>
          <w:sz w:val="21"/>
        </w:rPr>
        <w:t> </w:t>
      </w:r>
      <w:r>
        <w:rPr>
          <w:sz w:val="21"/>
        </w:rPr>
        <w:t>3683</w:t>
      </w:r>
      <w:r>
        <w:rPr>
          <w:spacing w:val="-17"/>
          <w:sz w:val="21"/>
        </w:rPr>
        <w:t> 的要</w:t>
      </w:r>
      <w:r>
        <w:rPr>
          <w:spacing w:val="-10"/>
          <w:sz w:val="21"/>
        </w:rPr>
        <w:t>求。</w:t>
      </w:r>
      <w:r>
        <w:rPr>
          <w:sz w:val="21"/>
        </w:rPr>
        <w:t> </w:t>
      </w:r>
    </w:p>
    <w:p>
      <w:pPr>
        <w:pStyle w:val="ListParagraph"/>
        <w:numPr>
          <w:ilvl w:val="3"/>
          <w:numId w:val="559"/>
        </w:numPr>
        <w:tabs>
          <w:tab w:pos="1576" w:val="left" w:leader="none"/>
        </w:tabs>
        <w:spacing w:line="446" w:lineRule="auto" w:before="0" w:after="0"/>
        <w:ind w:left="418" w:right="1608" w:firstLine="419"/>
        <w:jc w:val="left"/>
        <w:rPr>
          <w:sz w:val="21"/>
        </w:rPr>
      </w:pPr>
      <w:r>
        <w:rPr>
          <w:spacing w:val="-6"/>
          <w:sz w:val="21"/>
        </w:rPr>
        <w:t>开门器使用的液压软管及液压接头按 </w:t>
      </w:r>
      <w:r>
        <w:rPr>
          <w:sz w:val="21"/>
        </w:rPr>
        <w:t>6.3</w:t>
      </w:r>
      <w:r>
        <w:rPr>
          <w:spacing w:val="-8"/>
          <w:sz w:val="21"/>
        </w:rPr>
        <w:t> 规定的试验方法试验后，不应出现渗漏</w:t>
      </w:r>
      <w:r>
        <w:rPr>
          <w:spacing w:val="-7"/>
          <w:sz w:val="21"/>
        </w:rPr>
        <w:t>现象。</w:t>
      </w:r>
      <w:r>
        <w:rPr>
          <w:sz w:val="21"/>
        </w:rPr>
        <w:t> </w:t>
      </w:r>
    </w:p>
    <w:p>
      <w:pPr>
        <w:pStyle w:val="ListParagraph"/>
        <w:numPr>
          <w:ilvl w:val="2"/>
          <w:numId w:val="559"/>
        </w:numPr>
        <w:tabs>
          <w:tab w:pos="1370" w:val="left" w:leader="none"/>
        </w:tabs>
        <w:spacing w:line="267" w:lineRule="exact" w:before="0" w:after="0"/>
        <w:ind w:left="1369" w:right="0" w:hanging="530"/>
        <w:jc w:val="left"/>
        <w:rPr>
          <w:b/>
          <w:sz w:val="21"/>
        </w:rPr>
      </w:pPr>
      <w:r>
        <w:rPr>
          <w:spacing w:val="-3"/>
          <w:sz w:val="21"/>
        </w:rPr>
        <w:t>液压接头</w:t>
      </w:r>
      <w:r>
        <w:rPr>
          <w:b/>
          <w:w w:val="99"/>
          <w:sz w:val="21"/>
        </w:rPr>
        <w:t> </w:t>
      </w:r>
    </w:p>
    <w:p>
      <w:pPr>
        <w:pStyle w:val="BodyText"/>
        <w:spacing w:before="1"/>
        <w:rPr>
          <w:b/>
          <w:sz w:val="18"/>
        </w:rPr>
      </w:pPr>
    </w:p>
    <w:p>
      <w:pPr>
        <w:pStyle w:val="ListParagraph"/>
        <w:numPr>
          <w:ilvl w:val="3"/>
          <w:numId w:val="559"/>
        </w:numPr>
        <w:tabs>
          <w:tab w:pos="1576" w:val="left" w:leader="none"/>
        </w:tabs>
        <w:spacing w:line="240" w:lineRule="auto" w:before="0" w:after="0"/>
        <w:ind w:left="1575" w:right="0" w:hanging="738"/>
        <w:jc w:val="left"/>
        <w:rPr>
          <w:sz w:val="21"/>
        </w:rPr>
      </w:pPr>
      <w:r>
        <w:rPr>
          <w:spacing w:val="-3"/>
          <w:sz w:val="21"/>
        </w:rPr>
        <w:t>开门器使用的液压接头应带有自锁功能和防尘装置。</w:t>
      </w:r>
      <w:r>
        <w:rPr>
          <w:sz w:val="21"/>
        </w:rPr>
        <w:t> </w:t>
      </w:r>
    </w:p>
    <w:p>
      <w:pPr>
        <w:spacing w:after="0" w:line="240" w:lineRule="auto"/>
        <w:jc w:val="left"/>
        <w:rPr>
          <w:sz w:val="21"/>
        </w:rPr>
        <w:sectPr>
          <w:footerReference w:type="default" r:id="rId339"/>
          <w:pgSz w:w="11910" w:h="16850"/>
          <w:pgMar w:footer="1239" w:header="0" w:top="1200" w:bottom="1420" w:left="1260" w:right="0"/>
          <w:pgNumType w:start="1250"/>
        </w:sectPr>
      </w:pPr>
    </w:p>
    <w:p>
      <w:pPr>
        <w:pStyle w:val="ListParagraph"/>
        <w:numPr>
          <w:ilvl w:val="3"/>
          <w:numId w:val="559"/>
        </w:numPr>
        <w:tabs>
          <w:tab w:pos="1576" w:val="left" w:leader="none"/>
        </w:tabs>
        <w:spacing w:line="446" w:lineRule="auto" w:before="167" w:after="0"/>
        <w:ind w:left="418" w:right="1609" w:firstLine="419"/>
        <w:jc w:val="left"/>
        <w:rPr>
          <w:sz w:val="21"/>
        </w:rPr>
      </w:pPr>
      <w:r>
        <w:rPr>
          <w:spacing w:val="-7"/>
          <w:sz w:val="21"/>
        </w:rPr>
        <w:t>开门器使用的液压接头按 </w:t>
      </w:r>
      <w:r>
        <w:rPr>
          <w:sz w:val="21"/>
        </w:rPr>
        <w:t>6.4</w:t>
      </w:r>
      <w:r>
        <w:rPr>
          <w:spacing w:val="-8"/>
          <w:sz w:val="21"/>
        </w:rPr>
        <w:t> 规定的试验方法试验后，应无破损、渗漏或永久性</w:t>
      </w:r>
      <w:r>
        <w:rPr>
          <w:spacing w:val="-7"/>
          <w:sz w:val="21"/>
        </w:rPr>
        <w:t>变形。</w:t>
      </w:r>
      <w:r>
        <w:rPr>
          <w:sz w:val="21"/>
        </w:rPr>
        <w:t> </w:t>
      </w:r>
    </w:p>
    <w:p>
      <w:pPr>
        <w:pStyle w:val="ListParagraph"/>
        <w:numPr>
          <w:ilvl w:val="2"/>
          <w:numId w:val="559"/>
        </w:numPr>
        <w:tabs>
          <w:tab w:pos="1371" w:val="left" w:leader="none"/>
        </w:tabs>
        <w:spacing w:line="240" w:lineRule="auto" w:before="0" w:after="0"/>
        <w:ind w:left="1370" w:right="0" w:hanging="531"/>
        <w:jc w:val="left"/>
        <w:rPr>
          <w:b/>
          <w:sz w:val="21"/>
        </w:rPr>
      </w:pPr>
      <w:r>
        <w:rPr>
          <w:spacing w:val="-3"/>
          <w:sz w:val="21"/>
        </w:rPr>
        <w:t>液压油</w:t>
      </w:r>
      <w:r>
        <w:rPr>
          <w:b/>
          <w:w w:val="99"/>
          <w:sz w:val="21"/>
        </w:rPr>
        <w:t> </w:t>
      </w:r>
    </w:p>
    <w:p>
      <w:pPr>
        <w:pStyle w:val="BodyText"/>
        <w:spacing w:before="12"/>
        <w:rPr>
          <w:b/>
          <w:sz w:val="17"/>
        </w:rPr>
      </w:pPr>
    </w:p>
    <w:p>
      <w:pPr>
        <w:pStyle w:val="BodyText"/>
        <w:ind w:left="838"/>
      </w:pPr>
      <w:r>
        <w:rPr/>
        <w:t>开门器使用的液压油应符合 SH 0358 的要求。 </w:t>
      </w:r>
    </w:p>
    <w:p>
      <w:pPr>
        <w:pStyle w:val="BodyText"/>
        <w:spacing w:before="8"/>
        <w:rPr>
          <w:sz w:val="15"/>
        </w:rPr>
      </w:pPr>
    </w:p>
    <w:p>
      <w:pPr>
        <w:pStyle w:val="Heading4"/>
      </w:pPr>
      <w:r>
        <w:rPr/>
        <w:t>6 试验方法</w:t>
      </w:r>
      <w:r>
        <w:rPr>
          <w:w w:val="99"/>
        </w:rPr>
        <w:t> </w:t>
      </w:r>
    </w:p>
    <w:p>
      <w:pPr>
        <w:pStyle w:val="BodyText"/>
        <w:spacing w:before="6"/>
        <w:rPr>
          <w:b/>
          <w:sz w:val="17"/>
        </w:rPr>
      </w:pPr>
    </w:p>
    <w:p>
      <w:pPr>
        <w:pStyle w:val="ListParagraph"/>
        <w:numPr>
          <w:ilvl w:val="1"/>
          <w:numId w:val="560"/>
        </w:numPr>
        <w:tabs>
          <w:tab w:pos="1160" w:val="left" w:leader="none"/>
        </w:tabs>
        <w:spacing w:line="240" w:lineRule="auto" w:before="0" w:after="0"/>
        <w:ind w:left="1159" w:right="0" w:hanging="320"/>
        <w:jc w:val="left"/>
        <w:rPr>
          <w:b/>
          <w:sz w:val="21"/>
        </w:rPr>
      </w:pPr>
      <w:r>
        <w:rPr>
          <w:spacing w:val="-3"/>
          <w:sz w:val="21"/>
        </w:rPr>
        <w:t>实验条件</w:t>
      </w:r>
      <w:r>
        <w:rPr>
          <w:b/>
          <w:w w:val="99"/>
          <w:sz w:val="21"/>
        </w:rPr>
        <w:t> </w:t>
      </w:r>
    </w:p>
    <w:p>
      <w:pPr>
        <w:pStyle w:val="BodyText"/>
        <w:rPr>
          <w:b/>
          <w:sz w:val="18"/>
        </w:rPr>
      </w:pPr>
    </w:p>
    <w:p>
      <w:pPr>
        <w:pStyle w:val="ListParagraph"/>
        <w:numPr>
          <w:ilvl w:val="1"/>
          <w:numId w:val="560"/>
        </w:numPr>
        <w:tabs>
          <w:tab w:pos="1159" w:val="left" w:leader="none"/>
        </w:tabs>
        <w:spacing w:line="240" w:lineRule="auto" w:before="0" w:after="0"/>
        <w:ind w:left="1158" w:right="0" w:hanging="319"/>
        <w:jc w:val="left"/>
        <w:rPr>
          <w:b/>
          <w:sz w:val="21"/>
        </w:rPr>
      </w:pPr>
      <w:r>
        <w:rPr>
          <w:spacing w:val="-3"/>
          <w:sz w:val="21"/>
        </w:rPr>
        <w:t>开门器试验</w:t>
      </w:r>
      <w:r>
        <w:rPr>
          <w:b/>
          <w:w w:val="99"/>
          <w:sz w:val="21"/>
        </w:rPr>
        <w:t> </w:t>
      </w:r>
    </w:p>
    <w:p>
      <w:pPr>
        <w:pStyle w:val="BodyText"/>
        <w:rPr>
          <w:b/>
          <w:sz w:val="18"/>
        </w:rPr>
      </w:pPr>
    </w:p>
    <w:p>
      <w:pPr>
        <w:pStyle w:val="ListParagraph"/>
        <w:numPr>
          <w:ilvl w:val="1"/>
          <w:numId w:val="560"/>
        </w:numPr>
        <w:tabs>
          <w:tab w:pos="1159" w:val="left" w:leader="none"/>
        </w:tabs>
        <w:spacing w:line="240" w:lineRule="auto" w:before="0" w:after="0"/>
        <w:ind w:left="1158" w:right="0" w:hanging="319"/>
        <w:jc w:val="left"/>
        <w:rPr>
          <w:b/>
          <w:sz w:val="21"/>
        </w:rPr>
      </w:pPr>
      <w:r>
        <w:rPr>
          <w:spacing w:val="-3"/>
          <w:sz w:val="21"/>
        </w:rPr>
        <w:t>液压软管试验</w:t>
      </w:r>
      <w:r>
        <w:rPr>
          <w:b/>
          <w:w w:val="99"/>
          <w:sz w:val="21"/>
        </w:rPr>
        <w:t> </w:t>
      </w:r>
    </w:p>
    <w:p>
      <w:pPr>
        <w:pStyle w:val="BodyText"/>
        <w:spacing w:before="2"/>
        <w:rPr>
          <w:b/>
          <w:sz w:val="18"/>
        </w:rPr>
      </w:pPr>
    </w:p>
    <w:p>
      <w:pPr>
        <w:pStyle w:val="ListParagraph"/>
        <w:numPr>
          <w:ilvl w:val="1"/>
          <w:numId w:val="560"/>
        </w:numPr>
        <w:tabs>
          <w:tab w:pos="1160" w:val="left" w:leader="none"/>
        </w:tabs>
        <w:spacing w:line="240" w:lineRule="auto" w:before="0" w:after="0"/>
        <w:ind w:left="1159" w:right="0" w:hanging="320"/>
        <w:jc w:val="left"/>
        <w:rPr>
          <w:b/>
          <w:sz w:val="21"/>
        </w:rPr>
      </w:pPr>
      <w:r>
        <w:rPr>
          <w:spacing w:val="-3"/>
          <w:sz w:val="21"/>
        </w:rPr>
        <w:t>液压接头试验</w:t>
      </w:r>
      <w:r>
        <w:rPr>
          <w:b/>
          <w:w w:val="99"/>
          <w:sz w:val="21"/>
        </w:rPr>
        <w:t> </w:t>
      </w:r>
    </w:p>
    <w:p>
      <w:pPr>
        <w:pStyle w:val="BodyText"/>
        <w:spacing w:before="12"/>
        <w:rPr>
          <w:b/>
          <w:sz w:val="17"/>
        </w:rPr>
      </w:pPr>
    </w:p>
    <w:p>
      <w:pPr>
        <w:pStyle w:val="ListParagraph"/>
        <w:numPr>
          <w:ilvl w:val="1"/>
          <w:numId w:val="561"/>
        </w:numPr>
        <w:tabs>
          <w:tab w:pos="1159" w:val="left" w:leader="none"/>
        </w:tabs>
        <w:spacing w:line="240" w:lineRule="auto" w:before="0" w:after="0"/>
        <w:ind w:left="1158" w:right="0" w:hanging="319"/>
        <w:jc w:val="left"/>
        <w:rPr>
          <w:b/>
          <w:sz w:val="21"/>
        </w:rPr>
      </w:pPr>
      <w:r>
        <w:rPr>
          <w:spacing w:val="-3"/>
          <w:sz w:val="21"/>
        </w:rPr>
        <w:t>试验条件</w:t>
      </w:r>
      <w:r>
        <w:rPr>
          <w:b/>
          <w:w w:val="99"/>
          <w:sz w:val="21"/>
        </w:rPr>
        <w:t> </w:t>
      </w:r>
    </w:p>
    <w:p>
      <w:pPr>
        <w:pStyle w:val="BodyText"/>
        <w:rPr>
          <w:b/>
          <w:sz w:val="18"/>
        </w:rPr>
      </w:pPr>
    </w:p>
    <w:p>
      <w:pPr>
        <w:pStyle w:val="ListParagraph"/>
        <w:numPr>
          <w:ilvl w:val="2"/>
          <w:numId w:val="561"/>
        </w:numPr>
        <w:tabs>
          <w:tab w:pos="1370" w:val="left" w:leader="none"/>
        </w:tabs>
        <w:spacing w:line="240" w:lineRule="auto" w:before="0" w:after="0"/>
        <w:ind w:left="1369" w:right="0" w:hanging="530"/>
        <w:jc w:val="left"/>
        <w:rPr>
          <w:sz w:val="21"/>
        </w:rPr>
      </w:pPr>
      <w:r>
        <w:rPr>
          <w:spacing w:val="-8"/>
          <w:sz w:val="21"/>
        </w:rPr>
        <w:t>开门器试验装置，见图 </w:t>
      </w:r>
      <w:r>
        <w:rPr>
          <w:spacing w:val="-3"/>
          <w:sz w:val="21"/>
        </w:rPr>
        <w:t>1。</w:t>
      </w:r>
      <w:r>
        <w:rPr>
          <w:sz w:val="21"/>
        </w:rPr>
        <w:t> </w:t>
      </w:r>
    </w:p>
    <w:p>
      <w:pPr>
        <w:pStyle w:val="BodyText"/>
        <w:spacing w:before="1"/>
        <w:rPr>
          <w:sz w:val="18"/>
        </w:rPr>
      </w:pPr>
    </w:p>
    <w:p>
      <w:pPr>
        <w:pStyle w:val="ListParagraph"/>
        <w:numPr>
          <w:ilvl w:val="2"/>
          <w:numId w:val="561"/>
        </w:numPr>
        <w:tabs>
          <w:tab w:pos="1371" w:val="left" w:leader="none"/>
        </w:tabs>
        <w:spacing w:line="240" w:lineRule="auto" w:before="1" w:after="0"/>
        <w:ind w:left="1370" w:right="0" w:hanging="531"/>
        <w:jc w:val="left"/>
        <w:rPr>
          <w:sz w:val="21"/>
        </w:rPr>
      </w:pPr>
      <w:r>
        <w:rPr>
          <w:spacing w:val="-6"/>
          <w:sz w:val="21"/>
        </w:rPr>
        <w:t>试验所用压力传感器的测量准确度不应低于 </w:t>
      </w:r>
      <w:r>
        <w:rPr>
          <w:sz w:val="21"/>
        </w:rPr>
        <w:t>0.4</w:t>
      </w:r>
      <w:r>
        <w:rPr>
          <w:spacing w:val="-20"/>
          <w:sz w:val="21"/>
        </w:rPr>
        <w:t> 级。</w:t>
      </w:r>
      <w:r>
        <w:rPr>
          <w:sz w:val="21"/>
        </w:rPr>
        <w:t> </w:t>
      </w:r>
    </w:p>
    <w:p>
      <w:pPr>
        <w:pStyle w:val="BodyText"/>
        <w:spacing w:before="12"/>
        <w:rPr>
          <w:sz w:val="17"/>
        </w:rPr>
      </w:pPr>
    </w:p>
    <w:p>
      <w:pPr>
        <w:pStyle w:val="ListParagraph"/>
        <w:numPr>
          <w:ilvl w:val="2"/>
          <w:numId w:val="561"/>
        </w:numPr>
        <w:tabs>
          <w:tab w:pos="1371" w:val="left" w:leader="none"/>
        </w:tabs>
        <w:spacing w:line="240" w:lineRule="auto" w:before="0" w:after="0"/>
        <w:ind w:left="1370" w:right="0" w:hanging="531"/>
        <w:jc w:val="left"/>
        <w:rPr>
          <w:sz w:val="21"/>
        </w:rPr>
      </w:pPr>
      <w:r>
        <w:rPr>
          <w:spacing w:val="-6"/>
          <w:sz w:val="21"/>
        </w:rPr>
        <w:t>试验所用位移传感器的测量准确度不应低于 </w:t>
      </w:r>
      <w:r>
        <w:rPr>
          <w:sz w:val="21"/>
        </w:rPr>
        <w:t>0.1mm</w:t>
      </w:r>
      <w:r>
        <w:rPr>
          <w:spacing w:val="-3"/>
          <w:sz w:val="21"/>
        </w:rPr>
        <w:t>。</w:t>
      </w:r>
      <w:r>
        <w:rPr>
          <w:sz w:val="21"/>
        </w:rPr>
        <w:t> </w:t>
      </w:r>
    </w:p>
    <w:p>
      <w:pPr>
        <w:pStyle w:val="BodyText"/>
        <w:rPr>
          <w:sz w:val="18"/>
        </w:rPr>
      </w:pPr>
    </w:p>
    <w:p>
      <w:pPr>
        <w:pStyle w:val="ListParagraph"/>
        <w:numPr>
          <w:ilvl w:val="2"/>
          <w:numId w:val="561"/>
        </w:numPr>
        <w:tabs>
          <w:tab w:pos="1370" w:val="left" w:leader="none"/>
        </w:tabs>
        <w:spacing w:line="240" w:lineRule="auto" w:before="0" w:after="0"/>
        <w:ind w:left="1369" w:right="0" w:hanging="530"/>
        <w:jc w:val="left"/>
        <w:rPr>
          <w:sz w:val="21"/>
        </w:rPr>
      </w:pPr>
      <w:r>
        <w:rPr>
          <w:spacing w:val="-6"/>
          <w:sz w:val="21"/>
        </w:rPr>
        <w:t>试验所用力传感器的测量准确度不应低于 </w:t>
      </w:r>
      <w:r>
        <w:rPr>
          <w:sz w:val="21"/>
        </w:rPr>
        <w:t>0.1kN</w:t>
      </w:r>
      <w:r>
        <w:rPr>
          <w:spacing w:val="-3"/>
          <w:sz w:val="21"/>
        </w:rPr>
        <w:t>。</w:t>
      </w:r>
      <w:r>
        <w:rPr>
          <w:sz w:val="21"/>
        </w:rPr>
        <w:t> </w:t>
      </w:r>
    </w:p>
    <w:p>
      <w:pPr>
        <w:pStyle w:val="BodyText"/>
        <w:spacing w:before="2"/>
        <w:rPr>
          <w:sz w:val="18"/>
        </w:rPr>
      </w:pPr>
    </w:p>
    <w:p>
      <w:pPr>
        <w:pStyle w:val="ListParagraph"/>
        <w:numPr>
          <w:ilvl w:val="2"/>
          <w:numId w:val="561"/>
        </w:numPr>
        <w:tabs>
          <w:tab w:pos="1370" w:val="left" w:leader="none"/>
        </w:tabs>
        <w:spacing w:line="240" w:lineRule="auto" w:before="0" w:after="0"/>
        <w:ind w:left="1369" w:right="0" w:hanging="530"/>
        <w:jc w:val="left"/>
        <w:rPr>
          <w:sz w:val="21"/>
        </w:rPr>
      </w:pPr>
      <w:r>
        <w:rPr>
          <w:spacing w:val="-6"/>
          <w:sz w:val="21"/>
        </w:rPr>
        <w:t>除高低温试验外，本标准的试验应在环境温度为 </w:t>
      </w:r>
      <w:r>
        <w:rPr>
          <w:sz w:val="21"/>
        </w:rPr>
        <w:t>25°C±10°C</w:t>
      </w:r>
      <w:r>
        <w:rPr>
          <w:spacing w:val="-9"/>
          <w:sz w:val="21"/>
        </w:rPr>
        <w:t> 的条件下进行。</w:t>
      </w:r>
      <w:r>
        <w:rPr>
          <w:sz w:val="21"/>
        </w:rPr>
        <w:t> </w:t>
      </w:r>
    </w:p>
    <w:p>
      <w:pPr>
        <w:pStyle w:val="BodyText"/>
        <w:spacing w:before="12"/>
        <w:rPr>
          <w:sz w:val="17"/>
        </w:rPr>
      </w:pPr>
    </w:p>
    <w:p>
      <w:pPr>
        <w:pStyle w:val="ListParagraph"/>
        <w:numPr>
          <w:ilvl w:val="1"/>
          <w:numId w:val="561"/>
        </w:numPr>
        <w:tabs>
          <w:tab w:pos="1159" w:val="left" w:leader="none"/>
        </w:tabs>
        <w:spacing w:line="240" w:lineRule="auto" w:before="0" w:after="0"/>
        <w:ind w:left="1158" w:right="0" w:hanging="319"/>
        <w:jc w:val="left"/>
        <w:rPr>
          <w:sz w:val="21"/>
        </w:rPr>
      </w:pPr>
      <w:r>
        <w:rPr>
          <w:spacing w:val="-3"/>
          <w:sz w:val="21"/>
        </w:rPr>
        <w:t>开门器试验</w:t>
      </w:r>
      <w:r>
        <w:rPr>
          <w:sz w:val="21"/>
        </w:rPr>
        <w:t> </w:t>
      </w:r>
    </w:p>
    <w:p>
      <w:pPr>
        <w:pStyle w:val="BodyText"/>
        <w:spacing w:before="12"/>
        <w:rPr>
          <w:sz w:val="17"/>
        </w:rPr>
      </w:pPr>
    </w:p>
    <w:p>
      <w:pPr>
        <w:pStyle w:val="ListParagraph"/>
        <w:numPr>
          <w:ilvl w:val="2"/>
          <w:numId w:val="561"/>
        </w:numPr>
        <w:tabs>
          <w:tab w:pos="1370" w:val="left" w:leader="none"/>
        </w:tabs>
        <w:spacing w:line="240" w:lineRule="auto" w:before="0" w:after="0"/>
        <w:ind w:left="1369" w:right="0" w:hanging="530"/>
        <w:jc w:val="left"/>
        <w:rPr>
          <w:b/>
          <w:sz w:val="21"/>
        </w:rPr>
      </w:pPr>
      <w:r>
        <w:rPr>
          <w:spacing w:val="-3"/>
          <w:sz w:val="21"/>
        </w:rPr>
        <w:t>外观检查</w:t>
      </w:r>
      <w:r>
        <w:rPr>
          <w:b/>
          <w:w w:val="99"/>
          <w:sz w:val="21"/>
        </w:rPr>
        <w:t> </w:t>
      </w:r>
    </w:p>
    <w:p>
      <w:pPr>
        <w:pStyle w:val="BodyText"/>
        <w:spacing w:before="2"/>
        <w:rPr>
          <w:b/>
          <w:sz w:val="18"/>
        </w:rPr>
      </w:pPr>
    </w:p>
    <w:p>
      <w:pPr>
        <w:pStyle w:val="BodyText"/>
        <w:ind w:left="838"/>
      </w:pPr>
      <w:r>
        <w:rPr/>
        <w:t>用目测方法进行检查。 </w:t>
      </w:r>
    </w:p>
    <w:p>
      <w:pPr>
        <w:pStyle w:val="BodyText"/>
        <w:rPr>
          <w:sz w:val="18"/>
        </w:rPr>
      </w:pPr>
    </w:p>
    <w:p>
      <w:pPr>
        <w:pStyle w:val="ListParagraph"/>
        <w:numPr>
          <w:ilvl w:val="2"/>
          <w:numId w:val="561"/>
        </w:numPr>
        <w:tabs>
          <w:tab w:pos="1370" w:val="left" w:leader="none"/>
        </w:tabs>
        <w:spacing w:line="240" w:lineRule="auto" w:before="0" w:after="0"/>
        <w:ind w:left="1369" w:right="0" w:hanging="530"/>
        <w:jc w:val="left"/>
        <w:rPr>
          <w:b/>
          <w:sz w:val="21"/>
        </w:rPr>
      </w:pPr>
      <w:r>
        <w:rPr>
          <w:spacing w:val="-3"/>
          <w:sz w:val="21"/>
        </w:rPr>
        <w:t>开启力和开启距离试验</w:t>
      </w:r>
      <w:r>
        <w:rPr>
          <w:b/>
          <w:w w:val="99"/>
          <w:sz w:val="21"/>
        </w:rPr>
        <w:t> </w:t>
      </w:r>
    </w:p>
    <w:p>
      <w:pPr>
        <w:pStyle w:val="BodyText"/>
        <w:rPr>
          <w:b/>
          <w:sz w:val="18"/>
        </w:rPr>
      </w:pPr>
    </w:p>
    <w:p>
      <w:pPr>
        <w:pStyle w:val="BodyText"/>
        <w:spacing w:line="446" w:lineRule="auto"/>
        <w:ind w:left="418" w:right="1608" w:firstLine="419"/>
        <w:jc w:val="both"/>
      </w:pPr>
      <w:r>
        <w:rPr>
          <w:spacing w:val="-5"/>
        </w:rPr>
        <w:t>将开门器和试验装置的测试油缸活塞杆端部相接，如图 </w:t>
      </w:r>
      <w:r>
        <w:rPr/>
        <w:t>1</w:t>
      </w:r>
      <w:r>
        <w:rPr>
          <w:spacing w:val="-7"/>
        </w:rPr>
        <w:t> 所示。开门器进出油口与试验装</w:t>
      </w:r>
      <w:r>
        <w:rPr>
          <w:spacing w:val="-5"/>
        </w:rPr>
        <w:t>置的动力源连接。在额定工作压力下，开门器推压测试油缸活塞杆，从闭合位置伸展至最大开</w:t>
      </w:r>
      <w:r>
        <w:rPr>
          <w:spacing w:val="-4"/>
        </w:rPr>
        <w:t>启距离，用力传感器测出开启力；同时，测出开门器的开启距离。</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pStyle w:val="BodyText"/>
        <w:ind w:left="838"/>
      </w:pPr>
      <w:r>
        <w:rPr>
          <w:w w:val="100"/>
        </w:rPr>
        <w:t> </w:t>
      </w:r>
    </w:p>
    <w:p>
      <w:pPr>
        <w:spacing w:after="0"/>
        <w:sectPr>
          <w:pgSz w:w="11910" w:h="16850"/>
          <w:pgMar w:header="0" w:footer="1239" w:top="1600" w:bottom="1420" w:left="1260" w:right="0"/>
        </w:sectPr>
      </w:pPr>
    </w:p>
    <w:p>
      <w:pPr>
        <w:pStyle w:val="BodyText"/>
        <w:rPr>
          <w:sz w:val="20"/>
        </w:rPr>
      </w:pPr>
    </w:p>
    <w:p>
      <w:pPr>
        <w:pStyle w:val="BodyText"/>
        <w:rPr>
          <w:sz w:val="20"/>
        </w:rPr>
      </w:pPr>
    </w:p>
    <w:p>
      <w:pPr>
        <w:pStyle w:val="BodyText"/>
        <w:rPr>
          <w:sz w:val="20"/>
        </w:rPr>
      </w:pPr>
    </w:p>
    <w:p>
      <w:pPr>
        <w:pStyle w:val="BodyText"/>
        <w:spacing w:before="6" w:after="1"/>
        <w:rPr>
          <w:sz w:val="18"/>
        </w:rPr>
      </w:pPr>
    </w:p>
    <w:p>
      <w:pPr>
        <w:pStyle w:val="BodyText"/>
        <w:ind w:left="1108"/>
        <w:rPr>
          <w:sz w:val="20"/>
        </w:rPr>
      </w:pPr>
      <w:r>
        <w:rPr>
          <w:sz w:val="20"/>
        </w:rPr>
        <w:drawing>
          <wp:inline distT="0" distB="0" distL="0" distR="0">
            <wp:extent cx="4585239" cy="2449258"/>
            <wp:effectExtent l="0" t="0" r="0" b="0"/>
            <wp:docPr id="481" name="image281.jpeg"/>
            <wp:cNvGraphicFramePr>
              <a:graphicFrameLocks noChangeAspect="1"/>
            </wp:cNvGraphicFramePr>
            <a:graphic>
              <a:graphicData uri="http://schemas.openxmlformats.org/drawingml/2006/picture">
                <pic:pic>
                  <pic:nvPicPr>
                    <pic:cNvPr id="482" name="image281.jpeg"/>
                    <pic:cNvPicPr/>
                  </pic:nvPicPr>
                  <pic:blipFill>
                    <a:blip r:embed="rId340" cstate="print"/>
                    <a:stretch>
                      <a:fillRect/>
                    </a:stretch>
                  </pic:blipFill>
                  <pic:spPr>
                    <a:xfrm>
                      <a:off x="0" y="0"/>
                      <a:ext cx="4585239" cy="2449258"/>
                    </a:xfrm>
                    <a:prstGeom prst="rect">
                      <a:avLst/>
                    </a:prstGeom>
                  </pic:spPr>
                </pic:pic>
              </a:graphicData>
            </a:graphic>
          </wp:inline>
        </w:drawing>
      </w:r>
      <w:r>
        <w:rPr>
          <w:sz w:val="20"/>
        </w:rPr>
      </w:r>
    </w:p>
    <w:p>
      <w:pPr>
        <w:pStyle w:val="BodyText"/>
        <w:spacing w:before="4"/>
        <w:rPr>
          <w:sz w:val="10"/>
        </w:rPr>
      </w:pPr>
    </w:p>
    <w:p>
      <w:pPr>
        <w:pStyle w:val="ListParagraph"/>
        <w:numPr>
          <w:ilvl w:val="2"/>
          <w:numId w:val="561"/>
        </w:numPr>
        <w:tabs>
          <w:tab w:pos="1370" w:val="left" w:leader="none"/>
        </w:tabs>
        <w:spacing w:line="240" w:lineRule="auto" w:before="72" w:after="0"/>
        <w:ind w:left="1369" w:right="0" w:hanging="530"/>
        <w:jc w:val="left"/>
        <w:rPr>
          <w:b/>
          <w:sz w:val="21"/>
        </w:rPr>
      </w:pPr>
      <w:r>
        <w:rPr>
          <w:spacing w:val="-3"/>
          <w:sz w:val="21"/>
        </w:rPr>
        <w:t>开启性能试验</w:t>
      </w:r>
      <w:r>
        <w:rPr>
          <w:b/>
          <w:w w:val="99"/>
          <w:sz w:val="21"/>
        </w:rPr>
        <w:t> </w:t>
      </w:r>
    </w:p>
    <w:p>
      <w:pPr>
        <w:pStyle w:val="BodyText"/>
        <w:spacing w:before="12"/>
        <w:rPr>
          <w:b/>
          <w:sz w:val="17"/>
        </w:rPr>
      </w:pPr>
    </w:p>
    <w:p>
      <w:pPr>
        <w:pStyle w:val="BodyText"/>
        <w:spacing w:line="446" w:lineRule="auto"/>
        <w:ind w:left="418" w:right="1608" w:firstLine="419"/>
      </w:pPr>
      <w:r>
        <w:rPr>
          <w:spacing w:val="-3"/>
        </w:rPr>
        <w:t>将试验装置的测试油缸活塞杆伸长与试验装置的固定端相抵，测试油缸对固定端逐渐施加</w:t>
      </w:r>
      <w:r>
        <w:rPr>
          <w:spacing w:val="-5"/>
        </w:rPr>
        <w:t>作用力， 直至力的大小为开门器最大开启力的 </w:t>
      </w:r>
      <w:r>
        <w:rPr/>
        <w:t>95</w:t>
      </w:r>
      <w:r>
        <w:rPr>
          <w:spacing w:val="-3"/>
        </w:rPr>
        <w:t>%。开门器进出油口与试验装置的动力源连</w:t>
      </w:r>
      <w:r>
        <w:rPr>
          <w:spacing w:val="-4"/>
        </w:rPr>
        <w:t>接，将固定脚和活动脚伸入试验装置的测试油缸活塞杆与固定端之间，如图 </w:t>
      </w:r>
      <w:r>
        <w:rPr/>
        <w:t>1</w:t>
      </w:r>
      <w:r>
        <w:rPr>
          <w:spacing w:val="-7"/>
        </w:rPr>
        <w:t> 所示，开门器在</w:t>
      </w:r>
      <w:r>
        <w:rPr>
          <w:spacing w:val="-5"/>
        </w:rPr>
        <w:t>额定工作压力下推压测试油缸活塞杆，测试油缸内压力保持不变，开门器从闭合位置伸展至位</w:t>
      </w:r>
      <w:r>
        <w:rPr>
          <w:spacing w:val="-9"/>
        </w:rPr>
        <w:t>移为最大开启距离的 </w:t>
      </w:r>
      <w:r>
        <w:rPr/>
        <w:t>50</w:t>
      </w:r>
      <w:r>
        <w:rPr>
          <w:spacing w:val="-3"/>
        </w:rPr>
        <w:t>%。观察开门器动作以及有无泄漏和机械损坏情况。</w:t>
      </w:r>
      <w:r>
        <w:rPr/>
        <w:t> </w:t>
      </w:r>
    </w:p>
    <w:p>
      <w:pPr>
        <w:pStyle w:val="ListParagraph"/>
        <w:numPr>
          <w:ilvl w:val="2"/>
          <w:numId w:val="561"/>
        </w:numPr>
        <w:tabs>
          <w:tab w:pos="1370" w:val="left" w:leader="none"/>
        </w:tabs>
        <w:spacing w:line="268" w:lineRule="exact" w:before="0" w:after="0"/>
        <w:ind w:left="1369" w:right="0" w:hanging="530"/>
        <w:jc w:val="left"/>
        <w:rPr>
          <w:b/>
          <w:sz w:val="21"/>
        </w:rPr>
      </w:pPr>
      <w:r>
        <w:rPr>
          <w:spacing w:val="-3"/>
          <w:sz w:val="21"/>
        </w:rPr>
        <w:t>底脚回位性能试验</w:t>
      </w:r>
      <w:r>
        <w:rPr>
          <w:b/>
          <w:w w:val="99"/>
          <w:sz w:val="21"/>
        </w:rPr>
        <w:t> </w:t>
      </w:r>
    </w:p>
    <w:p>
      <w:pPr>
        <w:pStyle w:val="BodyText"/>
        <w:rPr>
          <w:b/>
          <w:sz w:val="18"/>
        </w:rPr>
      </w:pPr>
    </w:p>
    <w:p>
      <w:pPr>
        <w:pStyle w:val="BodyText"/>
        <w:spacing w:line="446" w:lineRule="auto"/>
        <w:ind w:left="418" w:right="1608" w:firstLine="419"/>
      </w:pPr>
      <w:r>
        <w:rPr>
          <w:spacing w:val="-3"/>
        </w:rPr>
        <w:t>开门器进出油口与试验装置的动力源连接。开门器在额定工作压力下张开至最大开启距 离，打开试验装置上的回油开关阀，观察底脚收缩回位的过程。待底脚回位后，测量固定脚和活动脚两底脚脚尖的间距。 </w:t>
      </w:r>
    </w:p>
    <w:p>
      <w:pPr>
        <w:pStyle w:val="ListParagraph"/>
        <w:numPr>
          <w:ilvl w:val="2"/>
          <w:numId w:val="561"/>
        </w:numPr>
        <w:tabs>
          <w:tab w:pos="1371" w:val="left" w:leader="none"/>
        </w:tabs>
        <w:spacing w:line="268" w:lineRule="exact" w:before="0" w:after="0"/>
        <w:ind w:left="1370" w:right="0" w:hanging="531"/>
        <w:jc w:val="left"/>
        <w:rPr>
          <w:b/>
          <w:sz w:val="21"/>
        </w:rPr>
      </w:pPr>
      <w:r>
        <w:rPr>
          <w:spacing w:val="-3"/>
          <w:sz w:val="21"/>
        </w:rPr>
        <w:t>强度试验</w:t>
      </w:r>
      <w:r>
        <w:rPr>
          <w:b/>
          <w:w w:val="99"/>
          <w:sz w:val="21"/>
        </w:rPr>
        <w:t> </w:t>
      </w:r>
    </w:p>
    <w:p>
      <w:pPr>
        <w:pStyle w:val="BodyText"/>
        <w:spacing w:before="12"/>
        <w:rPr>
          <w:b/>
          <w:sz w:val="17"/>
        </w:rPr>
      </w:pPr>
    </w:p>
    <w:p>
      <w:pPr>
        <w:pStyle w:val="BodyText"/>
        <w:spacing w:line="446" w:lineRule="auto"/>
        <w:ind w:left="418" w:right="1498" w:firstLine="419"/>
      </w:pPr>
      <w:r>
        <w:rPr/>
        <w:t>将开门器进出油口与试验装置的动力源连接。开门器在其最大开启距离的 10%、95%处，施加 1.5 倍额定工作压力持续 60s。观察有无泄漏和机械损坏现象。 </w:t>
      </w:r>
    </w:p>
    <w:p>
      <w:pPr>
        <w:pStyle w:val="ListParagraph"/>
        <w:numPr>
          <w:ilvl w:val="2"/>
          <w:numId w:val="561"/>
        </w:numPr>
        <w:tabs>
          <w:tab w:pos="1370" w:val="left" w:leader="none"/>
        </w:tabs>
        <w:spacing w:line="240" w:lineRule="auto" w:before="0" w:after="0"/>
        <w:ind w:left="1369" w:right="0" w:hanging="530"/>
        <w:jc w:val="left"/>
        <w:rPr>
          <w:b/>
          <w:sz w:val="21"/>
        </w:rPr>
      </w:pPr>
      <w:r>
        <w:rPr>
          <w:spacing w:val="-3"/>
          <w:sz w:val="21"/>
        </w:rPr>
        <w:t>高低温性能试验</w:t>
      </w:r>
      <w:r>
        <w:rPr>
          <w:b/>
          <w:w w:val="99"/>
          <w:sz w:val="21"/>
        </w:rPr>
        <w:t> </w:t>
      </w:r>
    </w:p>
    <w:p>
      <w:pPr>
        <w:pStyle w:val="BodyText"/>
        <w:spacing w:before="12"/>
        <w:rPr>
          <w:b/>
          <w:sz w:val="17"/>
        </w:rPr>
      </w:pPr>
    </w:p>
    <w:p>
      <w:pPr>
        <w:pStyle w:val="BodyText"/>
        <w:spacing w:line="446" w:lineRule="auto"/>
        <w:ind w:left="418" w:right="1714" w:firstLine="419"/>
        <w:jc w:val="both"/>
      </w:pPr>
      <w:r>
        <w:rPr>
          <w:spacing w:val="-2"/>
        </w:rPr>
        <w:t>开门器分别在-</w:t>
      </w:r>
      <w:r>
        <w:rPr/>
        <w:t>30°C±2°C</w:t>
      </w:r>
      <w:r>
        <w:rPr>
          <w:spacing w:val="-14"/>
        </w:rPr>
        <w:t> 的低温环境下和 </w:t>
      </w:r>
      <w:r>
        <w:rPr/>
        <w:t>55°C±2°C</w:t>
      </w:r>
      <w:r>
        <w:rPr>
          <w:spacing w:val="-13"/>
        </w:rPr>
        <w:t> 的高温环境下存放 </w:t>
      </w:r>
      <w:r>
        <w:rPr/>
        <w:t>60min</w:t>
      </w:r>
      <w:r>
        <w:rPr>
          <w:spacing w:val="-19"/>
        </w:rPr>
        <w:t> 后取</w:t>
      </w:r>
      <w:r>
        <w:rPr>
          <w:spacing w:val="-5"/>
        </w:rPr>
        <w:t>出，将开门器进出油口与试验装置的动力源连接，在 </w:t>
      </w:r>
      <w:r>
        <w:rPr/>
        <w:t>5min</w:t>
      </w:r>
      <w:r>
        <w:rPr>
          <w:spacing w:val="-7"/>
        </w:rPr>
        <w:t> 之内完成从闭合位置到最大开启距</w:t>
      </w:r>
      <w:r>
        <w:rPr>
          <w:spacing w:val="-15"/>
        </w:rPr>
        <w:t>离，连续 </w:t>
      </w:r>
      <w:r>
        <w:rPr/>
        <w:t>5</w:t>
      </w:r>
      <w:r>
        <w:rPr>
          <w:spacing w:val="-8"/>
        </w:rPr>
        <w:t> 次。观察动作情况。</w:t>
      </w:r>
      <w:r>
        <w:rPr/>
        <w:t> </w:t>
      </w:r>
    </w:p>
    <w:p>
      <w:pPr>
        <w:spacing w:after="0" w:line="446" w:lineRule="auto"/>
        <w:jc w:val="both"/>
        <w:sectPr>
          <w:pgSz w:w="11910" w:h="16850"/>
          <w:pgMar w:header="0" w:footer="1239" w:top="1600" w:bottom="1420" w:left="1260" w:right="0"/>
        </w:sectPr>
      </w:pPr>
    </w:p>
    <w:p>
      <w:pPr>
        <w:pStyle w:val="ListParagraph"/>
        <w:numPr>
          <w:ilvl w:val="2"/>
          <w:numId w:val="561"/>
        </w:numPr>
        <w:tabs>
          <w:tab w:pos="1370" w:val="left" w:leader="none"/>
        </w:tabs>
        <w:spacing w:line="240" w:lineRule="auto" w:before="47" w:after="0"/>
        <w:ind w:left="1369" w:right="0" w:hanging="530"/>
        <w:jc w:val="left"/>
        <w:rPr>
          <w:b/>
          <w:sz w:val="21"/>
        </w:rPr>
      </w:pPr>
      <w:r>
        <w:rPr>
          <w:spacing w:val="-3"/>
          <w:sz w:val="21"/>
        </w:rPr>
        <w:t>密封性试验</w:t>
      </w:r>
      <w:r>
        <w:rPr>
          <w:b/>
          <w:w w:val="99"/>
          <w:sz w:val="21"/>
        </w:rPr>
        <w:t> </w:t>
      </w:r>
    </w:p>
    <w:p>
      <w:pPr>
        <w:pStyle w:val="BodyText"/>
        <w:rPr>
          <w:b/>
          <w:sz w:val="18"/>
        </w:rPr>
      </w:pPr>
    </w:p>
    <w:p>
      <w:pPr>
        <w:pStyle w:val="BodyText"/>
        <w:spacing w:line="446" w:lineRule="auto"/>
        <w:ind w:left="418" w:right="1505" w:firstLine="419"/>
      </w:pPr>
      <w:r>
        <w:rPr>
          <w:spacing w:val="-5"/>
        </w:rPr>
        <w:t>将开门器进出油口与试验装置的动力源连接。开门器伸出 </w:t>
      </w:r>
      <w:r>
        <w:rPr/>
        <w:t>50mm</w:t>
      </w:r>
      <w:r>
        <w:rPr>
          <w:spacing w:val="-7"/>
        </w:rPr>
        <w:t> 以上，测试油缸对开门器施加相当于最大开启力的反力。此时，测出开门器的开启距离；持续 </w:t>
      </w:r>
      <w:r>
        <w:rPr/>
        <w:t>10min</w:t>
      </w:r>
      <w:r>
        <w:rPr>
          <w:spacing w:val="-8"/>
        </w:rPr>
        <w:t> 后再测出开门器的开</w:t>
      </w:r>
      <w:r>
        <w:rPr>
          <w:spacing w:val="-6"/>
        </w:rPr>
        <w:t>启距离。</w:t>
      </w:r>
      <w:r>
        <w:rPr/>
        <w:t> </w:t>
      </w:r>
    </w:p>
    <w:p>
      <w:pPr>
        <w:pStyle w:val="ListParagraph"/>
        <w:numPr>
          <w:ilvl w:val="2"/>
          <w:numId w:val="561"/>
        </w:numPr>
        <w:tabs>
          <w:tab w:pos="1370" w:val="left" w:leader="none"/>
        </w:tabs>
        <w:spacing w:line="268" w:lineRule="exact" w:before="0" w:after="0"/>
        <w:ind w:left="1369" w:right="0" w:hanging="530"/>
        <w:jc w:val="left"/>
        <w:rPr>
          <w:b/>
          <w:sz w:val="21"/>
        </w:rPr>
      </w:pPr>
      <w:r>
        <w:rPr>
          <w:spacing w:val="-3"/>
          <w:sz w:val="21"/>
        </w:rPr>
        <w:t>可靠性试验</w:t>
      </w:r>
      <w:r>
        <w:rPr>
          <w:b/>
          <w:w w:val="99"/>
          <w:sz w:val="21"/>
        </w:rPr>
        <w:t> </w:t>
      </w:r>
    </w:p>
    <w:p>
      <w:pPr>
        <w:pStyle w:val="BodyText"/>
        <w:rPr>
          <w:b/>
          <w:sz w:val="18"/>
        </w:rPr>
      </w:pPr>
    </w:p>
    <w:p>
      <w:pPr>
        <w:pStyle w:val="BodyText"/>
        <w:spacing w:line="446" w:lineRule="auto"/>
        <w:ind w:left="418" w:right="1455" w:firstLine="419"/>
      </w:pPr>
      <w:r>
        <w:rPr>
          <w:spacing w:val="-7"/>
        </w:rPr>
        <w:t>将开门器与试验装置按图 </w:t>
      </w:r>
      <w:r>
        <w:rPr/>
        <w:t>1</w:t>
      </w:r>
      <w:r>
        <w:rPr>
          <w:spacing w:val="-16"/>
        </w:rPr>
        <w:t> 连接，在 </w:t>
      </w:r>
      <w:r>
        <w:rPr/>
        <w:t>80</w:t>
      </w:r>
      <w:r>
        <w:rPr>
          <w:spacing w:val="-3"/>
        </w:rPr>
        <w:t>%的额定工作压力下，开门器完成从收缩位置到最大</w:t>
      </w:r>
      <w:r>
        <w:rPr>
          <w:spacing w:val="-6"/>
        </w:rPr>
        <w:t>开启距离，然后回到原始位置，并在 </w:t>
      </w:r>
      <w:r>
        <w:rPr/>
        <w:t>250min</w:t>
      </w:r>
      <w:r>
        <w:rPr>
          <w:spacing w:val="-16"/>
        </w:rPr>
        <w:t> 内连续完成 </w:t>
      </w:r>
      <w:r>
        <w:rPr/>
        <w:t>50</w:t>
      </w:r>
      <w:r>
        <w:rPr>
          <w:spacing w:val="-9"/>
        </w:rPr>
        <w:t> 个循环。试验过程中观察开门器动</w:t>
      </w:r>
      <w:r>
        <w:rPr>
          <w:spacing w:val="-5"/>
        </w:rPr>
        <w:t>作是否正常， 有无泄漏、机械损坏及异常现象。</w:t>
      </w:r>
      <w:r>
        <w:rPr/>
        <w:t> </w:t>
      </w:r>
    </w:p>
    <w:p>
      <w:pPr>
        <w:pStyle w:val="ListParagraph"/>
        <w:numPr>
          <w:ilvl w:val="1"/>
          <w:numId w:val="561"/>
        </w:numPr>
        <w:tabs>
          <w:tab w:pos="1159" w:val="left" w:leader="none"/>
        </w:tabs>
        <w:spacing w:line="268" w:lineRule="exact" w:before="0" w:after="0"/>
        <w:ind w:left="1158" w:right="0" w:hanging="319"/>
        <w:jc w:val="left"/>
        <w:rPr>
          <w:b/>
          <w:sz w:val="21"/>
        </w:rPr>
      </w:pPr>
      <w:r>
        <w:rPr>
          <w:spacing w:val="-3"/>
          <w:sz w:val="21"/>
        </w:rPr>
        <w:t>液压软管试验</w:t>
      </w:r>
      <w:r>
        <w:rPr>
          <w:b/>
          <w:w w:val="99"/>
          <w:sz w:val="21"/>
        </w:rPr>
        <w:t> </w:t>
      </w:r>
    </w:p>
    <w:p>
      <w:pPr>
        <w:pStyle w:val="BodyText"/>
        <w:spacing w:before="1"/>
        <w:rPr>
          <w:b/>
          <w:sz w:val="18"/>
        </w:rPr>
      </w:pPr>
    </w:p>
    <w:p>
      <w:pPr>
        <w:pStyle w:val="ListParagraph"/>
        <w:numPr>
          <w:ilvl w:val="2"/>
          <w:numId w:val="561"/>
        </w:numPr>
        <w:tabs>
          <w:tab w:pos="1371" w:val="left" w:leader="none"/>
        </w:tabs>
        <w:spacing w:line="240" w:lineRule="auto" w:before="1" w:after="0"/>
        <w:ind w:left="1370" w:right="0" w:hanging="531"/>
        <w:jc w:val="left"/>
        <w:rPr>
          <w:sz w:val="21"/>
        </w:rPr>
      </w:pPr>
      <w:r>
        <w:rPr>
          <w:spacing w:val="-5"/>
          <w:sz w:val="21"/>
        </w:rPr>
        <w:t>检查开门器使用的液压软管两端是否设置金属护套，液压软管是否提供符合 </w:t>
      </w:r>
      <w:r>
        <w:rPr>
          <w:sz w:val="21"/>
        </w:rPr>
        <w:t>GB/T </w:t>
      </w:r>
    </w:p>
    <w:p>
      <w:pPr>
        <w:pStyle w:val="BodyText"/>
        <w:spacing w:before="12"/>
        <w:rPr>
          <w:sz w:val="17"/>
        </w:rPr>
      </w:pPr>
    </w:p>
    <w:p>
      <w:pPr>
        <w:pStyle w:val="BodyText"/>
        <w:ind w:left="418"/>
      </w:pPr>
      <w:r>
        <w:rPr/>
        <w:t>3683 要求的检验证明。 </w:t>
      </w:r>
    </w:p>
    <w:p>
      <w:pPr>
        <w:pStyle w:val="BodyText"/>
        <w:spacing w:before="12"/>
        <w:rPr>
          <w:sz w:val="17"/>
        </w:rPr>
      </w:pPr>
    </w:p>
    <w:p>
      <w:pPr>
        <w:pStyle w:val="ListParagraph"/>
        <w:numPr>
          <w:ilvl w:val="2"/>
          <w:numId w:val="561"/>
        </w:numPr>
        <w:tabs>
          <w:tab w:pos="1370" w:val="left" w:leader="none"/>
        </w:tabs>
        <w:spacing w:line="446" w:lineRule="auto" w:before="0" w:after="0"/>
        <w:ind w:left="418" w:right="1813" w:firstLine="422"/>
        <w:jc w:val="left"/>
        <w:rPr>
          <w:sz w:val="21"/>
        </w:rPr>
      </w:pPr>
      <w:r>
        <w:rPr>
          <w:spacing w:val="-3"/>
          <w:sz w:val="21"/>
        </w:rPr>
        <w:t>液压软管一端的液压接头与试验装置的动力源连接，另一端的液压接头用堵头封</w:t>
      </w:r>
      <w:r>
        <w:rPr>
          <w:spacing w:val="-6"/>
          <w:sz w:val="21"/>
        </w:rPr>
        <w:t>堵，对液压软管及液压接头增压至 </w:t>
      </w:r>
      <w:r>
        <w:rPr>
          <w:sz w:val="21"/>
        </w:rPr>
        <w:t>1.5</w:t>
      </w:r>
      <w:r>
        <w:rPr>
          <w:spacing w:val="-13"/>
          <w:sz w:val="21"/>
        </w:rPr>
        <w:t> 倍额定工作压力，保持 </w:t>
      </w:r>
      <w:r>
        <w:rPr>
          <w:sz w:val="21"/>
        </w:rPr>
        <w:t>60s</w:t>
      </w:r>
      <w:r>
        <w:rPr>
          <w:spacing w:val="-3"/>
          <w:sz w:val="21"/>
        </w:rPr>
        <w:t>，检查渗漏情况。</w:t>
      </w:r>
      <w:r>
        <w:rPr>
          <w:sz w:val="21"/>
        </w:rPr>
        <w:t> </w:t>
      </w:r>
    </w:p>
    <w:p>
      <w:pPr>
        <w:pStyle w:val="ListParagraph"/>
        <w:numPr>
          <w:ilvl w:val="1"/>
          <w:numId w:val="561"/>
        </w:numPr>
        <w:tabs>
          <w:tab w:pos="1159" w:val="left" w:leader="none"/>
        </w:tabs>
        <w:spacing w:line="240" w:lineRule="auto" w:before="1" w:after="0"/>
        <w:ind w:left="1158" w:right="0" w:hanging="319"/>
        <w:jc w:val="left"/>
        <w:rPr>
          <w:b/>
          <w:sz w:val="21"/>
        </w:rPr>
      </w:pPr>
      <w:r>
        <w:rPr>
          <w:spacing w:val="-3"/>
          <w:sz w:val="21"/>
        </w:rPr>
        <w:t>液压接头试验</w:t>
      </w:r>
      <w:r>
        <w:rPr>
          <w:b/>
          <w:w w:val="99"/>
          <w:sz w:val="21"/>
        </w:rPr>
        <w:t> </w:t>
      </w:r>
    </w:p>
    <w:p>
      <w:pPr>
        <w:pStyle w:val="BodyText"/>
        <w:spacing w:before="12"/>
        <w:rPr>
          <w:b/>
          <w:sz w:val="17"/>
        </w:rPr>
      </w:pPr>
    </w:p>
    <w:p>
      <w:pPr>
        <w:pStyle w:val="ListParagraph"/>
        <w:numPr>
          <w:ilvl w:val="2"/>
          <w:numId w:val="561"/>
        </w:numPr>
        <w:tabs>
          <w:tab w:pos="1370" w:val="left" w:leader="none"/>
        </w:tabs>
        <w:spacing w:line="240" w:lineRule="auto" w:before="0" w:after="0"/>
        <w:ind w:left="1369" w:right="0" w:hanging="530"/>
        <w:jc w:val="left"/>
        <w:rPr>
          <w:sz w:val="21"/>
        </w:rPr>
      </w:pPr>
      <w:r>
        <w:rPr>
          <w:spacing w:val="-3"/>
          <w:sz w:val="21"/>
        </w:rPr>
        <w:t>检查开门器使用的液压接头是否带有自锁功能和防尘装置。</w:t>
      </w:r>
      <w:r>
        <w:rPr>
          <w:sz w:val="21"/>
        </w:rPr>
        <w:t> </w:t>
      </w:r>
    </w:p>
    <w:p>
      <w:pPr>
        <w:pStyle w:val="BodyText"/>
        <w:spacing w:before="2"/>
        <w:rPr>
          <w:sz w:val="18"/>
        </w:rPr>
      </w:pPr>
    </w:p>
    <w:p>
      <w:pPr>
        <w:pStyle w:val="ListParagraph"/>
        <w:numPr>
          <w:ilvl w:val="2"/>
          <w:numId w:val="561"/>
        </w:numPr>
        <w:tabs>
          <w:tab w:pos="1370" w:val="left" w:leader="none"/>
        </w:tabs>
        <w:spacing w:line="446" w:lineRule="auto" w:before="0" w:after="0"/>
        <w:ind w:left="418" w:right="1604" w:firstLine="422"/>
        <w:jc w:val="left"/>
        <w:rPr>
          <w:sz w:val="21"/>
        </w:rPr>
      </w:pPr>
      <w:r>
        <w:rPr>
          <w:spacing w:val="-3"/>
          <w:sz w:val="21"/>
        </w:rPr>
        <w:t>液压软管一端的液压接头与试验装置的动力源连接，另一端的液压接头与另一根长</w:t>
      </w:r>
      <w:r>
        <w:rPr>
          <w:spacing w:val="-15"/>
          <w:sz w:val="21"/>
        </w:rPr>
        <w:t>度为 </w:t>
      </w:r>
      <w:r>
        <w:rPr>
          <w:sz w:val="21"/>
        </w:rPr>
        <w:t>0.5m</w:t>
      </w:r>
      <w:r>
        <w:rPr>
          <w:spacing w:val="-10"/>
          <w:sz w:val="21"/>
        </w:rPr>
        <w:t> 的液压软管的液压接头相连，长度为 </w:t>
      </w:r>
      <w:r>
        <w:rPr>
          <w:sz w:val="21"/>
        </w:rPr>
        <w:t>0.5m</w:t>
      </w:r>
      <w:r>
        <w:rPr>
          <w:spacing w:val="-7"/>
          <w:sz w:val="21"/>
        </w:rPr>
        <w:t> 的液压软管的另一端液压接头用堵头封</w:t>
      </w:r>
      <w:r>
        <w:rPr>
          <w:spacing w:val="-6"/>
          <w:sz w:val="21"/>
        </w:rPr>
        <w:t>堵。试验装置对这两根液压软管相互连接的一对液压接头施加 </w:t>
      </w:r>
      <w:r>
        <w:rPr>
          <w:sz w:val="21"/>
        </w:rPr>
        <w:t>1kN</w:t>
      </w:r>
      <w:r>
        <w:rPr>
          <w:spacing w:val="-7"/>
          <w:sz w:val="21"/>
        </w:rPr>
        <w:t> 的轴向拉力，然后增压至额</w:t>
      </w:r>
      <w:r>
        <w:rPr>
          <w:spacing w:val="-11"/>
          <w:sz w:val="21"/>
        </w:rPr>
        <w:t>定工作压力，保持 </w:t>
      </w:r>
      <w:r>
        <w:rPr>
          <w:sz w:val="21"/>
        </w:rPr>
        <w:t>60s</w:t>
      </w:r>
      <w:r>
        <w:rPr>
          <w:spacing w:val="-3"/>
          <w:sz w:val="21"/>
        </w:rPr>
        <w:t>，检查渗漏及变形情况。</w:t>
      </w:r>
      <w:r>
        <w:rPr>
          <w:sz w:val="21"/>
        </w:rPr>
        <w:t> </w:t>
      </w:r>
    </w:p>
    <w:p>
      <w:pPr>
        <w:pStyle w:val="Heading4"/>
        <w:spacing w:line="275" w:lineRule="exact"/>
      </w:pPr>
      <w:r>
        <w:rPr/>
        <w:t>7 检验规则</w:t>
      </w:r>
      <w:r>
        <w:rPr>
          <w:w w:val="99"/>
        </w:rPr>
        <w:t> </w:t>
      </w:r>
    </w:p>
    <w:p>
      <w:pPr>
        <w:pStyle w:val="BodyText"/>
        <w:spacing w:before="4"/>
        <w:rPr>
          <w:b/>
          <w:sz w:val="17"/>
        </w:rPr>
      </w:pPr>
    </w:p>
    <w:p>
      <w:pPr>
        <w:pStyle w:val="ListParagraph"/>
        <w:numPr>
          <w:ilvl w:val="1"/>
          <w:numId w:val="562"/>
        </w:numPr>
        <w:tabs>
          <w:tab w:pos="1159" w:val="left" w:leader="none"/>
        </w:tabs>
        <w:spacing w:line="240" w:lineRule="auto" w:before="0" w:after="0"/>
        <w:ind w:left="1158" w:right="0" w:hanging="319"/>
        <w:jc w:val="left"/>
        <w:rPr>
          <w:sz w:val="21"/>
        </w:rPr>
      </w:pPr>
      <w:r>
        <w:rPr>
          <w:spacing w:val="-3"/>
          <w:sz w:val="21"/>
        </w:rPr>
        <w:t>出厂检验</w:t>
      </w:r>
      <w:r>
        <w:rPr>
          <w:sz w:val="21"/>
        </w:rPr>
        <w:t> </w:t>
      </w:r>
    </w:p>
    <w:p>
      <w:pPr>
        <w:pStyle w:val="BodyText"/>
        <w:spacing w:before="1"/>
        <w:rPr>
          <w:sz w:val="18"/>
        </w:rPr>
      </w:pPr>
    </w:p>
    <w:p>
      <w:pPr>
        <w:pStyle w:val="ListParagraph"/>
        <w:numPr>
          <w:ilvl w:val="2"/>
          <w:numId w:val="562"/>
        </w:numPr>
        <w:tabs>
          <w:tab w:pos="1371" w:val="left" w:leader="none"/>
        </w:tabs>
        <w:spacing w:line="240" w:lineRule="auto" w:before="1" w:after="0"/>
        <w:ind w:left="1370" w:right="0" w:hanging="531"/>
        <w:jc w:val="left"/>
        <w:rPr>
          <w:sz w:val="21"/>
        </w:rPr>
      </w:pPr>
      <w:r>
        <w:rPr>
          <w:spacing w:val="-3"/>
          <w:sz w:val="21"/>
        </w:rPr>
        <w:t>开门器及附件应经生产厂质检部门检验合格并附合格证方可出厂。</w:t>
      </w:r>
      <w:r>
        <w:rPr>
          <w:sz w:val="21"/>
        </w:rPr>
        <w:t> </w:t>
      </w:r>
    </w:p>
    <w:p>
      <w:pPr>
        <w:pStyle w:val="BodyText"/>
        <w:spacing w:before="12"/>
        <w:rPr>
          <w:sz w:val="17"/>
        </w:rPr>
      </w:pPr>
    </w:p>
    <w:p>
      <w:pPr>
        <w:pStyle w:val="BodyText"/>
        <w:ind w:left="840"/>
      </w:pPr>
      <w:r>
        <w:rPr>
          <w:b/>
        </w:rPr>
        <w:t>7.1.2 </w:t>
      </w:r>
      <w:r>
        <w:rPr/>
        <w:t>出厂检验按 5.1.1、5.1.4、5.1.5、5.1.7、5.2.1.2 的要求进行全数检验。 </w:t>
      </w:r>
    </w:p>
    <w:p>
      <w:pPr>
        <w:pStyle w:val="BodyText"/>
        <w:spacing w:before="12"/>
        <w:rPr>
          <w:sz w:val="17"/>
        </w:rPr>
      </w:pPr>
    </w:p>
    <w:p>
      <w:pPr>
        <w:pStyle w:val="BodyText"/>
        <w:spacing w:line="446" w:lineRule="auto"/>
        <w:ind w:left="418" w:right="1604" w:firstLine="422"/>
      </w:pPr>
      <w:r>
        <w:rPr>
          <w:b/>
        </w:rPr>
        <w:t>7.1.3 </w:t>
      </w:r>
      <w:r>
        <w:rPr/>
        <w:t>如有一项不符合本标准规定时，允许对该不合格产品返工后进行复检，复检结果仍不符合标准规定的，则产品为不合格。 </w:t>
      </w:r>
    </w:p>
    <w:p>
      <w:pPr>
        <w:pStyle w:val="ListParagraph"/>
        <w:numPr>
          <w:ilvl w:val="1"/>
          <w:numId w:val="562"/>
        </w:numPr>
        <w:tabs>
          <w:tab w:pos="1160" w:val="left" w:leader="none"/>
        </w:tabs>
        <w:spacing w:line="240" w:lineRule="auto" w:before="1" w:after="0"/>
        <w:ind w:left="1159" w:right="0" w:hanging="320"/>
        <w:jc w:val="left"/>
        <w:rPr>
          <w:sz w:val="21"/>
        </w:rPr>
      </w:pPr>
      <w:r>
        <w:rPr>
          <w:spacing w:val="-3"/>
          <w:sz w:val="21"/>
        </w:rPr>
        <w:t>形式试验</w:t>
      </w:r>
      <w:r>
        <w:rPr>
          <w:sz w:val="21"/>
        </w:rPr>
        <w:t> </w:t>
      </w:r>
    </w:p>
    <w:p>
      <w:pPr>
        <w:pStyle w:val="BodyText"/>
        <w:spacing w:before="12"/>
        <w:rPr>
          <w:sz w:val="17"/>
        </w:rPr>
      </w:pPr>
    </w:p>
    <w:p>
      <w:pPr>
        <w:pStyle w:val="ListParagraph"/>
        <w:numPr>
          <w:ilvl w:val="2"/>
          <w:numId w:val="562"/>
        </w:numPr>
        <w:tabs>
          <w:tab w:pos="1424" w:val="left" w:leader="none"/>
        </w:tabs>
        <w:spacing w:line="446" w:lineRule="auto" w:before="0" w:after="0"/>
        <w:ind w:left="838" w:right="5545" w:firstLine="2"/>
        <w:jc w:val="left"/>
        <w:rPr>
          <w:b/>
          <w:sz w:val="21"/>
        </w:rPr>
      </w:pPr>
      <w:r>
        <w:rPr>
          <w:spacing w:val="-3"/>
          <w:sz w:val="21"/>
        </w:rPr>
        <w:t>有下列情况之一时，应进行形式检验： </w:t>
      </w:r>
      <w:r>
        <w:rPr>
          <w:sz w:val="21"/>
        </w:rPr>
        <w:t>a)</w:t>
      </w:r>
      <w:r>
        <w:rPr>
          <w:spacing w:val="-3"/>
          <w:sz w:val="21"/>
        </w:rPr>
        <w:t>新产品鉴定；</w:t>
      </w:r>
      <w:r>
        <w:rPr>
          <w:b/>
          <w:w w:val="99"/>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838" w:right="4237"/>
        <w:rPr>
          <w:b/>
        </w:rPr>
      </w:pPr>
      <w:r>
        <w:rPr/>
        <w:t>b)正式生产后，产品结构、材料、生产工艺有较大改变时； c)产品停产一年以上，恢复生产时；</w:t>
      </w:r>
      <w:r>
        <w:rPr>
          <w:b/>
          <w:w w:val="99"/>
        </w:rPr>
        <w:t> </w:t>
      </w:r>
    </w:p>
    <w:p>
      <w:pPr>
        <w:pStyle w:val="ListParagraph"/>
        <w:numPr>
          <w:ilvl w:val="0"/>
          <w:numId w:val="563"/>
        </w:numPr>
        <w:tabs>
          <w:tab w:pos="1051" w:val="left" w:leader="none"/>
        </w:tabs>
        <w:spacing w:line="267" w:lineRule="exact" w:before="0" w:after="0"/>
        <w:ind w:left="1050" w:right="0" w:hanging="213"/>
        <w:jc w:val="left"/>
        <w:rPr>
          <w:b/>
          <w:sz w:val="21"/>
        </w:rPr>
      </w:pPr>
      <w:r>
        <w:rPr>
          <w:spacing w:val="-3"/>
          <w:sz w:val="21"/>
        </w:rPr>
        <w:t>连续生产满三年时；</w:t>
      </w:r>
      <w:r>
        <w:rPr>
          <w:b/>
          <w:w w:val="99"/>
          <w:sz w:val="21"/>
        </w:rPr>
        <w:t> </w:t>
      </w:r>
    </w:p>
    <w:p>
      <w:pPr>
        <w:pStyle w:val="BodyText"/>
        <w:spacing w:before="2"/>
        <w:rPr>
          <w:b/>
          <w:sz w:val="18"/>
        </w:rPr>
      </w:pPr>
    </w:p>
    <w:p>
      <w:pPr>
        <w:pStyle w:val="ListParagraph"/>
        <w:numPr>
          <w:ilvl w:val="0"/>
          <w:numId w:val="563"/>
        </w:numPr>
        <w:tabs>
          <w:tab w:pos="1051" w:val="left" w:leader="none"/>
        </w:tabs>
        <w:spacing w:line="240" w:lineRule="auto" w:before="0" w:after="0"/>
        <w:ind w:left="1050" w:right="0" w:hanging="213"/>
        <w:jc w:val="left"/>
        <w:rPr>
          <w:b/>
          <w:sz w:val="21"/>
        </w:rPr>
      </w:pPr>
      <w:r>
        <w:rPr>
          <w:spacing w:val="-3"/>
          <w:sz w:val="21"/>
        </w:rPr>
        <w:t>国家质量监督机构提出进行形式检验的要求时。</w:t>
      </w:r>
      <w:r>
        <w:rPr>
          <w:b/>
          <w:w w:val="99"/>
          <w:sz w:val="21"/>
        </w:rPr>
        <w:t> </w:t>
      </w:r>
    </w:p>
    <w:p>
      <w:pPr>
        <w:pStyle w:val="BodyText"/>
        <w:rPr>
          <w:b/>
          <w:sz w:val="18"/>
        </w:rPr>
      </w:pPr>
    </w:p>
    <w:p>
      <w:pPr>
        <w:pStyle w:val="ListParagraph"/>
        <w:numPr>
          <w:ilvl w:val="2"/>
          <w:numId w:val="562"/>
        </w:numPr>
        <w:tabs>
          <w:tab w:pos="1370" w:val="left" w:leader="none"/>
        </w:tabs>
        <w:spacing w:line="240" w:lineRule="auto" w:before="0" w:after="0"/>
        <w:ind w:left="1369" w:right="0" w:hanging="530"/>
        <w:jc w:val="left"/>
        <w:rPr>
          <w:sz w:val="21"/>
        </w:rPr>
      </w:pPr>
      <w:r>
        <w:rPr>
          <w:spacing w:val="-6"/>
          <w:sz w:val="21"/>
        </w:rPr>
        <w:t>进行形式检验以同一品种、同一型号规格的产品 </w:t>
      </w:r>
      <w:r>
        <w:rPr>
          <w:sz w:val="21"/>
        </w:rPr>
        <w:t>100</w:t>
      </w:r>
      <w:r>
        <w:rPr>
          <w:spacing w:val="-10"/>
          <w:sz w:val="21"/>
        </w:rPr>
        <w:t> 套为一个批量</w:t>
      </w:r>
      <w:r>
        <w:rPr>
          <w:spacing w:val="-3"/>
          <w:sz w:val="21"/>
        </w:rPr>
        <w:t>（</w:t>
      </w:r>
      <w:r>
        <w:rPr>
          <w:spacing w:val="-17"/>
          <w:sz w:val="21"/>
        </w:rPr>
        <w:t>不足 </w:t>
      </w:r>
      <w:r>
        <w:rPr>
          <w:sz w:val="21"/>
        </w:rPr>
        <w:t>100</w:t>
      </w:r>
      <w:r>
        <w:rPr>
          <w:spacing w:val="-20"/>
          <w:sz w:val="21"/>
        </w:rPr>
        <w:t> 套也</w:t>
      </w:r>
    </w:p>
    <w:p>
      <w:pPr>
        <w:pStyle w:val="BodyText"/>
        <w:spacing w:before="12"/>
        <w:rPr>
          <w:sz w:val="17"/>
        </w:rPr>
      </w:pPr>
    </w:p>
    <w:p>
      <w:pPr>
        <w:pStyle w:val="BodyText"/>
        <w:ind w:left="418"/>
      </w:pPr>
      <w:r>
        <w:rPr/>
        <w:t>可作为一个批量），从中随机抽取 3 套作为试样。 </w:t>
      </w:r>
    </w:p>
    <w:p>
      <w:pPr>
        <w:pStyle w:val="BodyText"/>
        <w:spacing w:before="2"/>
        <w:rPr>
          <w:sz w:val="18"/>
        </w:rPr>
      </w:pPr>
    </w:p>
    <w:p>
      <w:pPr>
        <w:pStyle w:val="ListParagraph"/>
        <w:numPr>
          <w:ilvl w:val="2"/>
          <w:numId w:val="562"/>
        </w:numPr>
        <w:tabs>
          <w:tab w:pos="1371" w:val="left" w:leader="none"/>
        </w:tabs>
        <w:spacing w:line="446" w:lineRule="auto" w:before="0" w:after="0"/>
        <w:ind w:left="418" w:right="1604" w:firstLine="422"/>
        <w:jc w:val="left"/>
        <w:rPr>
          <w:sz w:val="21"/>
        </w:rPr>
      </w:pPr>
      <w:r>
        <w:rPr>
          <w:spacing w:val="-3"/>
          <w:sz w:val="21"/>
        </w:rPr>
        <w:t>形式检验应按本标准规定的要求进行全部项目检验，所检项目全部符合标准规定， 判产品的形式检验合格，否则判不合格。</w:t>
      </w:r>
      <w:r>
        <w:rPr>
          <w:sz w:val="21"/>
        </w:rPr>
        <w:t> </w:t>
      </w:r>
    </w:p>
    <w:p>
      <w:pPr>
        <w:pStyle w:val="Heading4"/>
        <w:spacing w:line="276" w:lineRule="exact"/>
      </w:pPr>
      <w:r>
        <w:rPr/>
        <w:t>8 标志、包装、运输、贮存</w:t>
      </w:r>
      <w:r>
        <w:rPr>
          <w:w w:val="99"/>
        </w:rPr>
        <w:t> </w:t>
      </w:r>
    </w:p>
    <w:p>
      <w:pPr>
        <w:pStyle w:val="BodyText"/>
        <w:spacing w:before="6"/>
        <w:rPr>
          <w:b/>
          <w:sz w:val="17"/>
        </w:rPr>
      </w:pPr>
    </w:p>
    <w:p>
      <w:pPr>
        <w:pStyle w:val="ListParagraph"/>
        <w:numPr>
          <w:ilvl w:val="1"/>
          <w:numId w:val="564"/>
        </w:numPr>
        <w:tabs>
          <w:tab w:pos="1160" w:val="left" w:leader="none"/>
        </w:tabs>
        <w:spacing w:line="240" w:lineRule="auto" w:before="0" w:after="0"/>
        <w:ind w:left="1159" w:right="0" w:hanging="320"/>
        <w:jc w:val="left"/>
        <w:rPr>
          <w:sz w:val="21"/>
        </w:rPr>
      </w:pPr>
      <w:r>
        <w:rPr>
          <w:spacing w:val="-3"/>
          <w:sz w:val="21"/>
        </w:rPr>
        <w:t>标志</w:t>
      </w:r>
      <w:r>
        <w:rPr>
          <w:sz w:val="21"/>
        </w:rPr>
        <w:t> </w:t>
      </w:r>
    </w:p>
    <w:p>
      <w:pPr>
        <w:pStyle w:val="BodyText"/>
        <w:rPr>
          <w:sz w:val="18"/>
        </w:rPr>
      </w:pPr>
    </w:p>
    <w:p>
      <w:pPr>
        <w:pStyle w:val="ListParagraph"/>
        <w:numPr>
          <w:ilvl w:val="2"/>
          <w:numId w:val="564"/>
        </w:numPr>
        <w:tabs>
          <w:tab w:pos="1371" w:val="left" w:leader="none"/>
        </w:tabs>
        <w:spacing w:line="446" w:lineRule="auto" w:before="0" w:after="0"/>
        <w:ind w:left="838" w:right="5913" w:firstLine="2"/>
        <w:jc w:val="left"/>
        <w:rPr>
          <w:sz w:val="21"/>
        </w:rPr>
      </w:pPr>
      <w:r>
        <w:rPr>
          <w:spacing w:val="-3"/>
          <w:sz w:val="21"/>
        </w:rPr>
        <w:t>产品应附有铭牌，标明以下内容： </w:t>
      </w:r>
      <w:r>
        <w:rPr>
          <w:sz w:val="21"/>
        </w:rPr>
        <w:t>a)</w:t>
      </w:r>
      <w:r>
        <w:rPr>
          <w:spacing w:val="-3"/>
          <w:sz w:val="21"/>
        </w:rPr>
        <w:t> 产品名称、型号；</w:t>
      </w:r>
      <w:r>
        <w:rPr>
          <w:sz w:val="21"/>
        </w:rPr>
        <w:t> </w:t>
      </w:r>
    </w:p>
    <w:p>
      <w:pPr>
        <w:pStyle w:val="BodyText"/>
        <w:spacing w:line="446" w:lineRule="auto"/>
        <w:ind w:left="838" w:right="7909"/>
      </w:pPr>
      <w:r>
        <w:rPr/>
        <w:t>b) 执行标准代号； c) 主要技术参数； </w:t>
      </w:r>
    </w:p>
    <w:p>
      <w:pPr>
        <w:pStyle w:val="BodyText"/>
        <w:spacing w:line="446" w:lineRule="auto"/>
        <w:ind w:left="838" w:right="7285"/>
      </w:pPr>
      <w:r>
        <w:rPr/>
        <w:t>d)</w:t>
      </w:r>
      <w:r>
        <w:rPr>
          <w:spacing w:val="-2"/>
        </w:rPr>
        <w:t>  生产厂名称、商标； </w:t>
      </w:r>
      <w:r>
        <w:rPr/>
        <w:t>e)</w:t>
      </w:r>
      <w:r>
        <w:rPr>
          <w:spacing w:val="-3"/>
        </w:rPr>
        <w:t> 生产日期或出厂编号； </w:t>
      </w:r>
      <w:r>
        <w:rPr/>
        <w:t>f)</w:t>
      </w:r>
      <w:r>
        <w:rPr>
          <w:spacing w:val="-3"/>
        </w:rPr>
        <w:t> 安全警示。</w:t>
      </w:r>
      <w:r>
        <w:rPr/>
        <w:t> </w:t>
      </w:r>
    </w:p>
    <w:p>
      <w:pPr>
        <w:pStyle w:val="ListParagraph"/>
        <w:numPr>
          <w:ilvl w:val="2"/>
          <w:numId w:val="564"/>
        </w:numPr>
        <w:tabs>
          <w:tab w:pos="1370" w:val="left" w:leader="none"/>
        </w:tabs>
        <w:spacing w:line="446" w:lineRule="auto" w:before="0" w:after="0"/>
        <w:ind w:left="838" w:right="6544" w:firstLine="2"/>
        <w:jc w:val="left"/>
        <w:rPr>
          <w:sz w:val="21"/>
        </w:rPr>
      </w:pPr>
      <w:r>
        <w:rPr>
          <w:spacing w:val="-3"/>
          <w:sz w:val="21"/>
        </w:rPr>
        <w:t>包装箱上应标明以下内容： </w:t>
      </w:r>
      <w:r>
        <w:rPr>
          <w:sz w:val="21"/>
        </w:rPr>
        <w:t>a)</w:t>
      </w:r>
      <w:r>
        <w:rPr>
          <w:spacing w:val="-3"/>
          <w:sz w:val="21"/>
        </w:rPr>
        <w:t> 产品名称、型号；</w:t>
      </w:r>
      <w:r>
        <w:rPr>
          <w:sz w:val="21"/>
        </w:rPr>
        <w:t> </w:t>
      </w:r>
    </w:p>
    <w:p>
      <w:pPr>
        <w:pStyle w:val="BodyText"/>
        <w:spacing w:line="446" w:lineRule="auto"/>
        <w:ind w:left="838" w:right="6918"/>
      </w:pPr>
      <w:r>
        <w:rPr/>
        <w:t>b) 生产厂名称、商标、厂址； c) 生产日期或出厂编号； </w:t>
      </w:r>
    </w:p>
    <w:p>
      <w:pPr>
        <w:pStyle w:val="ListParagraph"/>
        <w:numPr>
          <w:ilvl w:val="0"/>
          <w:numId w:val="565"/>
        </w:numPr>
        <w:tabs>
          <w:tab w:pos="1051" w:val="left" w:leader="none"/>
        </w:tabs>
        <w:spacing w:line="240" w:lineRule="auto" w:before="0" w:after="0"/>
        <w:ind w:left="1050" w:right="0" w:hanging="213"/>
        <w:jc w:val="left"/>
        <w:rPr>
          <w:sz w:val="21"/>
        </w:rPr>
      </w:pPr>
      <w:r>
        <w:rPr>
          <w:spacing w:val="-3"/>
          <w:sz w:val="21"/>
        </w:rPr>
        <w:t>产品数量；</w:t>
      </w:r>
      <w:r>
        <w:rPr>
          <w:sz w:val="21"/>
        </w:rPr>
        <w:t> </w:t>
      </w:r>
    </w:p>
    <w:p>
      <w:pPr>
        <w:pStyle w:val="BodyText"/>
        <w:spacing w:before="9"/>
        <w:rPr>
          <w:sz w:val="17"/>
        </w:rPr>
      </w:pPr>
    </w:p>
    <w:p>
      <w:pPr>
        <w:pStyle w:val="ListParagraph"/>
        <w:numPr>
          <w:ilvl w:val="0"/>
          <w:numId w:val="565"/>
        </w:numPr>
        <w:tabs>
          <w:tab w:pos="1051" w:val="left" w:leader="none"/>
        </w:tabs>
        <w:spacing w:line="240" w:lineRule="auto" w:before="0" w:after="0"/>
        <w:ind w:left="1050" w:right="0" w:hanging="213"/>
        <w:jc w:val="left"/>
        <w:rPr>
          <w:sz w:val="21"/>
        </w:rPr>
      </w:pPr>
      <w:r>
        <w:rPr>
          <w:spacing w:val="-6"/>
          <w:sz w:val="21"/>
        </w:rPr>
        <w:t>包装箱外形尺寸：长×宽×高(单位为 </w:t>
      </w:r>
      <w:r>
        <w:rPr>
          <w:sz w:val="21"/>
        </w:rPr>
        <w:t>cm)； </w:t>
      </w:r>
    </w:p>
    <w:p>
      <w:pPr>
        <w:pStyle w:val="BodyText"/>
        <w:spacing w:before="12"/>
        <w:rPr>
          <w:sz w:val="17"/>
        </w:rPr>
      </w:pPr>
    </w:p>
    <w:p>
      <w:pPr>
        <w:pStyle w:val="ListParagraph"/>
        <w:numPr>
          <w:ilvl w:val="0"/>
          <w:numId w:val="565"/>
        </w:numPr>
        <w:tabs>
          <w:tab w:pos="1051" w:val="left" w:leader="none"/>
        </w:tabs>
        <w:spacing w:line="446" w:lineRule="auto" w:before="0" w:after="0"/>
        <w:ind w:left="840" w:right="2979" w:hanging="3"/>
        <w:jc w:val="left"/>
        <w:rPr>
          <w:b/>
          <w:sz w:val="21"/>
        </w:rPr>
      </w:pPr>
      <w:r>
        <w:rPr>
          <w:spacing w:val="-5"/>
          <w:sz w:val="21"/>
        </w:rPr>
        <w:t>标有"防止油污”和“防潮”等标志，标志应符合 </w:t>
      </w:r>
      <w:r>
        <w:rPr>
          <w:sz w:val="21"/>
        </w:rPr>
        <w:t>GB/T</w:t>
      </w:r>
      <w:r>
        <w:rPr>
          <w:spacing w:val="17"/>
          <w:sz w:val="21"/>
        </w:rPr>
        <w:t> </w:t>
      </w:r>
      <w:r>
        <w:rPr>
          <w:sz w:val="21"/>
        </w:rPr>
        <w:t>191</w:t>
      </w:r>
      <w:r>
        <w:rPr>
          <w:spacing w:val="-11"/>
          <w:sz w:val="21"/>
        </w:rPr>
        <w:t> 的规定。 </w:t>
      </w:r>
      <w:r>
        <w:rPr>
          <w:b/>
          <w:sz w:val="21"/>
        </w:rPr>
        <w:t>8.2</w:t>
      </w:r>
      <w:r>
        <w:rPr>
          <w:b/>
          <w:spacing w:val="1"/>
          <w:sz w:val="21"/>
        </w:rPr>
        <w:t> </w:t>
      </w:r>
      <w:r>
        <w:rPr>
          <w:spacing w:val="-3"/>
          <w:sz w:val="21"/>
        </w:rPr>
        <w:t>包装</w:t>
      </w:r>
      <w:r>
        <w:rPr>
          <w:b/>
          <w:w w:val="99"/>
          <w:sz w:val="21"/>
        </w:rPr>
        <w:t> </w:t>
      </w:r>
    </w:p>
    <w:p>
      <w:pPr>
        <w:pStyle w:val="ListParagraph"/>
        <w:numPr>
          <w:ilvl w:val="2"/>
          <w:numId w:val="566"/>
        </w:numPr>
        <w:tabs>
          <w:tab w:pos="1370" w:val="left" w:leader="none"/>
        </w:tabs>
        <w:spacing w:line="446" w:lineRule="auto" w:before="0" w:after="0"/>
        <w:ind w:left="418" w:right="1604" w:firstLine="422"/>
        <w:jc w:val="left"/>
        <w:rPr>
          <w:sz w:val="21"/>
        </w:rPr>
      </w:pPr>
      <w:r>
        <w:rPr>
          <w:spacing w:val="-3"/>
          <w:sz w:val="21"/>
        </w:rPr>
        <w:t>产品应装入塑料袋进行整具包装。为防止部件间摩擦碰撞，应用泡沫塑料或纸板隔护，外用木箱或纸箱包装。 </w:t>
      </w:r>
    </w:p>
    <w:p>
      <w:pPr>
        <w:pStyle w:val="ListParagraph"/>
        <w:numPr>
          <w:ilvl w:val="2"/>
          <w:numId w:val="566"/>
        </w:numPr>
        <w:tabs>
          <w:tab w:pos="1370" w:val="left" w:leader="none"/>
        </w:tabs>
        <w:spacing w:line="240" w:lineRule="auto" w:before="0" w:after="0"/>
        <w:ind w:left="1369" w:right="0" w:hanging="530"/>
        <w:jc w:val="left"/>
        <w:rPr>
          <w:sz w:val="21"/>
        </w:rPr>
      </w:pPr>
      <w:r>
        <w:rPr>
          <w:spacing w:val="-3"/>
          <w:sz w:val="21"/>
        </w:rPr>
        <w:t>包装箱内应随带文件：</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567"/>
        </w:numPr>
        <w:tabs>
          <w:tab w:pos="1051" w:val="left" w:leader="none"/>
        </w:tabs>
        <w:spacing w:line="446" w:lineRule="auto" w:before="47" w:after="0"/>
        <w:ind w:left="838" w:right="8229" w:firstLine="0"/>
        <w:jc w:val="both"/>
        <w:rPr>
          <w:b/>
          <w:sz w:val="21"/>
        </w:rPr>
      </w:pPr>
      <w:r>
        <w:rPr>
          <w:spacing w:val="-3"/>
          <w:sz w:val="21"/>
        </w:rPr>
        <w:t>产品合格证； </w:t>
      </w:r>
      <w:r>
        <w:rPr>
          <w:sz w:val="21"/>
        </w:rPr>
        <w:t>b)</w:t>
      </w:r>
      <w:r>
        <w:rPr>
          <w:spacing w:val="-3"/>
          <w:sz w:val="21"/>
        </w:rPr>
        <w:t>产品说明书； </w:t>
      </w:r>
      <w:r>
        <w:rPr>
          <w:sz w:val="21"/>
        </w:rPr>
        <w:t>c)</w:t>
      </w:r>
      <w:r>
        <w:rPr>
          <w:spacing w:val="-3"/>
          <w:sz w:val="21"/>
        </w:rPr>
        <w:t>装箱单。</w:t>
      </w:r>
      <w:r>
        <w:rPr>
          <w:b/>
          <w:w w:val="99"/>
          <w:sz w:val="21"/>
        </w:rPr>
        <w:t> </w:t>
      </w:r>
    </w:p>
    <w:p>
      <w:pPr>
        <w:pStyle w:val="ListParagraph"/>
        <w:numPr>
          <w:ilvl w:val="2"/>
          <w:numId w:val="566"/>
        </w:numPr>
        <w:tabs>
          <w:tab w:pos="1370" w:val="left" w:leader="none"/>
        </w:tabs>
        <w:spacing w:line="446" w:lineRule="auto" w:before="0" w:after="0"/>
        <w:ind w:left="838" w:right="2760" w:firstLine="2"/>
        <w:jc w:val="left"/>
        <w:rPr>
          <w:sz w:val="21"/>
        </w:rPr>
      </w:pPr>
      <w:r>
        <w:rPr>
          <w:spacing w:val="-6"/>
          <w:sz w:val="21"/>
        </w:rPr>
        <w:t>产品说明书的内容应符合 </w:t>
      </w:r>
      <w:r>
        <w:rPr>
          <w:sz w:val="21"/>
        </w:rPr>
        <w:t>GB/T</w:t>
      </w:r>
      <w:r>
        <w:rPr>
          <w:spacing w:val="19"/>
          <w:sz w:val="21"/>
        </w:rPr>
        <w:t> </w:t>
      </w:r>
      <w:r>
        <w:rPr>
          <w:sz w:val="21"/>
        </w:rPr>
        <w:t>9969</w:t>
      </w:r>
      <w:r>
        <w:rPr>
          <w:spacing w:val="-8"/>
          <w:sz w:val="21"/>
        </w:rPr>
        <w:t> 的规定，并至少包括以下内容： a)</w:t>
      </w:r>
      <w:r>
        <w:rPr>
          <w:spacing w:val="-4"/>
          <w:sz w:val="21"/>
        </w:rPr>
        <w:t>产品适用范围；</w:t>
      </w:r>
      <w:r>
        <w:rPr>
          <w:sz w:val="21"/>
        </w:rPr>
        <w:t> </w:t>
      </w:r>
    </w:p>
    <w:p>
      <w:pPr>
        <w:pStyle w:val="ListParagraph"/>
        <w:numPr>
          <w:ilvl w:val="0"/>
          <w:numId w:val="567"/>
        </w:numPr>
        <w:tabs>
          <w:tab w:pos="1051" w:val="left" w:leader="none"/>
        </w:tabs>
        <w:spacing w:line="446" w:lineRule="auto" w:before="0" w:after="0"/>
        <w:ind w:left="838" w:right="6969" w:firstLine="0"/>
        <w:jc w:val="left"/>
        <w:rPr>
          <w:sz w:val="21"/>
        </w:rPr>
      </w:pPr>
      <w:r>
        <w:rPr>
          <w:spacing w:val="-3"/>
          <w:sz w:val="21"/>
        </w:rPr>
        <w:t>产品使用说明和操作方法； </w:t>
      </w:r>
      <w:r>
        <w:rPr>
          <w:sz w:val="21"/>
        </w:rPr>
        <w:t>c)</w:t>
      </w:r>
      <w:r>
        <w:rPr>
          <w:spacing w:val="-3"/>
          <w:sz w:val="21"/>
        </w:rPr>
        <w:t>危险警告和提示；</w:t>
      </w:r>
      <w:r>
        <w:rPr>
          <w:sz w:val="21"/>
        </w:rPr>
        <w:t> </w:t>
      </w:r>
    </w:p>
    <w:p>
      <w:pPr>
        <w:pStyle w:val="ListParagraph"/>
        <w:numPr>
          <w:ilvl w:val="0"/>
          <w:numId w:val="568"/>
        </w:numPr>
        <w:tabs>
          <w:tab w:pos="1051" w:val="left" w:leader="none"/>
        </w:tabs>
        <w:spacing w:line="240" w:lineRule="auto" w:before="0" w:after="0"/>
        <w:ind w:left="1050" w:right="0" w:hanging="213"/>
        <w:jc w:val="left"/>
        <w:rPr>
          <w:sz w:val="21"/>
        </w:rPr>
      </w:pPr>
      <w:r>
        <w:rPr>
          <w:spacing w:val="-3"/>
          <w:sz w:val="21"/>
        </w:rPr>
        <w:t>维护保养的说明；</w:t>
      </w:r>
      <w:r>
        <w:rPr>
          <w:sz w:val="21"/>
        </w:rPr>
        <w:t> </w:t>
      </w:r>
    </w:p>
    <w:p>
      <w:pPr>
        <w:pStyle w:val="BodyText"/>
        <w:spacing w:before="9"/>
        <w:rPr>
          <w:sz w:val="17"/>
        </w:rPr>
      </w:pPr>
    </w:p>
    <w:p>
      <w:pPr>
        <w:pStyle w:val="ListParagraph"/>
        <w:numPr>
          <w:ilvl w:val="0"/>
          <w:numId w:val="568"/>
        </w:numPr>
        <w:tabs>
          <w:tab w:pos="1051" w:val="left" w:leader="none"/>
        </w:tabs>
        <w:spacing w:line="446" w:lineRule="auto" w:before="1" w:after="0"/>
        <w:ind w:left="840" w:right="6969" w:hanging="3"/>
        <w:jc w:val="left"/>
        <w:rPr>
          <w:b/>
          <w:sz w:val="21"/>
        </w:rPr>
      </w:pPr>
      <w:r>
        <w:rPr>
          <w:spacing w:val="-3"/>
          <w:sz w:val="21"/>
        </w:rPr>
        <w:t>易损零部件的名称、数量。</w:t>
      </w:r>
      <w:r>
        <w:rPr>
          <w:b/>
          <w:sz w:val="21"/>
        </w:rPr>
        <w:t>8.3</w:t>
      </w:r>
      <w:r>
        <w:rPr>
          <w:b/>
          <w:spacing w:val="1"/>
          <w:sz w:val="21"/>
        </w:rPr>
        <w:t> </w:t>
      </w:r>
      <w:r>
        <w:rPr>
          <w:spacing w:val="-3"/>
          <w:sz w:val="21"/>
        </w:rPr>
        <w:t>运输</w:t>
      </w:r>
      <w:r>
        <w:rPr>
          <w:b/>
          <w:w w:val="99"/>
          <w:sz w:val="21"/>
        </w:rPr>
        <w:t> </w:t>
      </w:r>
    </w:p>
    <w:p>
      <w:pPr>
        <w:pStyle w:val="BodyText"/>
        <w:spacing w:line="446" w:lineRule="auto"/>
        <w:ind w:left="840" w:right="2134" w:hanging="3"/>
        <w:rPr>
          <w:b/>
        </w:rPr>
      </w:pPr>
      <w:r>
        <w:rPr/>
        <w:t>产品在搬运、运输时应严禁重压、避免接触腐蚀性物质，防止油污、雨淋和碰撞。</w:t>
      </w:r>
      <w:r>
        <w:rPr>
          <w:b/>
        </w:rPr>
        <w:t>8.4 </w:t>
      </w:r>
      <w:r>
        <w:rPr/>
        <w:t>贮存</w:t>
      </w:r>
      <w:r>
        <w:rPr>
          <w:b/>
          <w:w w:val="99"/>
        </w:rPr>
        <w:t> </w:t>
      </w:r>
    </w:p>
    <w:p>
      <w:pPr>
        <w:pStyle w:val="BodyText"/>
        <w:ind w:left="838"/>
      </w:pPr>
      <w:r>
        <w:rPr/>
        <w:t>产品应贮存在通风、干燥，无热源和无腐蚀性气体、液体的场所。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8"/>
        </w:rPr>
      </w:pPr>
    </w:p>
    <w:p>
      <w:pPr>
        <w:pStyle w:val="BodyText"/>
        <w:spacing w:before="71"/>
        <w:ind w:left="838"/>
      </w:pPr>
      <w:r>
        <w:rPr>
          <w:w w:val="100"/>
        </w:rPr>
        <w:t> </w:t>
      </w:r>
    </w:p>
    <w:p>
      <w:pPr>
        <w:spacing w:after="0"/>
        <w:sectPr>
          <w:pgSz w:w="11910" w:h="16850"/>
          <w:pgMar w:header="0" w:footer="1239" w:top="1220" w:bottom="1420" w:left="1260" w:right="0"/>
        </w:sectPr>
      </w:pPr>
    </w:p>
    <w:p>
      <w:pPr>
        <w:pStyle w:val="Heading2"/>
        <w:ind w:right="870"/>
      </w:pPr>
      <w:bookmarkStart w:name="_bookmark24" w:id="25"/>
      <w:bookmarkEnd w:id="25"/>
      <w:r>
        <w:rPr>
          <w:b w:val="0"/>
        </w:rPr>
      </w:r>
      <w:r>
        <w:rPr/>
        <w:t>防火门监控器</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838" w:right="1505"/>
      </w:pPr>
      <w:r>
        <w:rPr>
          <w:spacing w:val="-3"/>
        </w:rPr>
        <w:t>本标准规定了防火门监控器的术语和定义、要求、试验、检验规则、标志和使用说明书。本标准适用于一般工业与民用建筑中安装使用的防火门监控器，其他环境中安装的监控器</w:t>
      </w:r>
    </w:p>
    <w:p>
      <w:pPr>
        <w:pStyle w:val="BodyText"/>
        <w:ind w:left="418"/>
      </w:pPr>
      <w:r>
        <w:rPr/>
        <w:t>亦可参照本标准。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609"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spacing w:line="446" w:lineRule="auto"/>
        <w:ind w:left="838" w:right="5814"/>
      </w:pPr>
      <w:r>
        <w:rPr/>
        <w:t>GB/T 9969   工业产品使用说明书   总则GB 12978 消防电子产品检验规则 </w:t>
      </w:r>
    </w:p>
    <w:p>
      <w:pPr>
        <w:pStyle w:val="BodyText"/>
        <w:ind w:left="838"/>
      </w:pPr>
      <w:r>
        <w:rPr/>
        <w:t>GB 16838 消防电子产品 环境试验方法及严酷等级 </w:t>
      </w:r>
    </w:p>
    <w:p>
      <w:pPr>
        <w:pStyle w:val="BodyText"/>
        <w:spacing w:before="12"/>
        <w:rPr>
          <w:sz w:val="17"/>
        </w:rPr>
      </w:pPr>
    </w:p>
    <w:p>
      <w:pPr>
        <w:pStyle w:val="BodyText"/>
        <w:ind w:left="838"/>
      </w:pPr>
      <w:r>
        <w:rPr/>
        <w:t>GB/T 17626.2 电磁兼容 试验和测量技术 静电放电抗扰度试验 </w:t>
      </w:r>
    </w:p>
    <w:p>
      <w:pPr>
        <w:pStyle w:val="BodyText"/>
        <w:rPr>
          <w:sz w:val="18"/>
        </w:rPr>
      </w:pPr>
    </w:p>
    <w:p>
      <w:pPr>
        <w:pStyle w:val="BodyText"/>
        <w:spacing w:line="446" w:lineRule="auto"/>
        <w:ind w:left="838" w:right="2451"/>
      </w:pPr>
      <w:r>
        <w:rPr/>
        <w:t>GB/T 17626.3</w:t>
      </w:r>
      <w:r>
        <w:rPr>
          <w:spacing w:val="-3"/>
        </w:rPr>
        <w:t>   电磁兼容   试验和测量技术   射频电磁场辐射抗扰度试验</w:t>
      </w:r>
      <w:r>
        <w:rPr/>
        <w:t>GB/T 17626.4</w:t>
      </w:r>
      <w:r>
        <w:rPr>
          <w:spacing w:val="-3"/>
        </w:rPr>
        <w:t>  电磁兼容  试验和测量技术   电快速瞬变脉冲群抗扰度试验GB/T</w:t>
      </w:r>
      <w:r>
        <w:rPr>
          <w:spacing w:val="35"/>
        </w:rPr>
        <w:t> </w:t>
      </w:r>
      <w:r>
        <w:rPr/>
        <w:t>17626.5   电磁兼容   试验和测量技术   浪涌（</w:t>
      </w:r>
      <w:r>
        <w:rPr>
          <w:spacing w:val="-2"/>
        </w:rPr>
        <w:t>冲击</w:t>
      </w:r>
      <w:r>
        <w:rPr>
          <w:spacing w:val="-3"/>
        </w:rPr>
        <w:t>）抗扰度试验</w:t>
      </w:r>
      <w:r>
        <w:rPr/>
        <w:t>GB/T</w:t>
      </w:r>
      <w:r>
        <w:rPr>
          <w:spacing w:val="2"/>
        </w:rPr>
        <w:t> </w:t>
      </w:r>
      <w:r>
        <w:rPr/>
        <w:t>17626.6</w:t>
      </w:r>
      <w:r>
        <w:rPr>
          <w:spacing w:val="-3"/>
        </w:rPr>
        <w:t> 电磁兼容 试验和测量技术 射频场感应的传导骚扰抗扰度 </w:t>
      </w:r>
    </w:p>
    <w:p>
      <w:pPr>
        <w:pStyle w:val="BodyText"/>
        <w:spacing w:line="446" w:lineRule="auto"/>
        <w:ind w:left="418" w:right="1608" w:firstLine="419"/>
      </w:pPr>
      <w:r>
        <w:rPr/>
        <w:t>GB/T 17626.11</w:t>
      </w:r>
      <w:r>
        <w:rPr>
          <w:spacing w:val="-3"/>
        </w:rPr>
        <w:t>  电磁兼容   试验和测量技术   电压暂降、短时中断和电压变化的抗扰度试验</w:t>
      </w:r>
      <w:r>
        <w:rPr/>
        <w:t> </w:t>
      </w:r>
    </w:p>
    <w:p>
      <w:pPr>
        <w:pStyle w:val="Heading4"/>
        <w:spacing w:line="275" w:lineRule="exact"/>
      </w:pPr>
      <w:r>
        <w:rPr/>
        <w:t>3 术语和定义</w:t>
      </w:r>
      <w:r>
        <w:rPr>
          <w:w w:val="99"/>
        </w:rPr>
        <w:t> </w:t>
      </w:r>
    </w:p>
    <w:p>
      <w:pPr>
        <w:pStyle w:val="BodyText"/>
        <w:spacing w:before="7"/>
        <w:rPr>
          <w:b/>
          <w:sz w:val="17"/>
        </w:rPr>
      </w:pPr>
    </w:p>
    <w:p>
      <w:pPr>
        <w:pStyle w:val="BodyText"/>
        <w:ind w:left="838"/>
      </w:pPr>
      <w:r>
        <w:rPr/>
        <w:t>下列术语和定义适用于本文件。 </w:t>
      </w:r>
    </w:p>
    <w:p>
      <w:pPr>
        <w:pStyle w:val="BodyText"/>
        <w:spacing w:before="12"/>
        <w:rPr>
          <w:sz w:val="17"/>
        </w:rPr>
      </w:pPr>
    </w:p>
    <w:p>
      <w:pPr>
        <w:pStyle w:val="ListParagraph"/>
        <w:numPr>
          <w:ilvl w:val="1"/>
          <w:numId w:val="569"/>
        </w:numPr>
        <w:tabs>
          <w:tab w:pos="1213" w:val="left" w:leader="none"/>
        </w:tabs>
        <w:spacing w:line="240" w:lineRule="auto" w:before="0" w:after="0"/>
        <w:ind w:left="1212" w:right="0" w:hanging="373"/>
        <w:jc w:val="left"/>
        <w:rPr>
          <w:b/>
          <w:sz w:val="21"/>
        </w:rPr>
      </w:pPr>
      <w:r>
        <w:rPr>
          <w:spacing w:val="-3"/>
          <w:sz w:val="21"/>
        </w:rPr>
        <w:t>防火门监控器 </w:t>
      </w:r>
      <w:r>
        <w:rPr>
          <w:sz w:val="21"/>
        </w:rPr>
        <w:t>indicating and</w:t>
      </w:r>
      <w:r>
        <w:rPr>
          <w:spacing w:val="1"/>
          <w:sz w:val="21"/>
        </w:rPr>
        <w:t> </w:t>
      </w:r>
      <w:r>
        <w:rPr>
          <w:sz w:val="21"/>
        </w:rPr>
        <w:t>control unit for</w:t>
      </w:r>
      <w:r>
        <w:rPr>
          <w:spacing w:val="1"/>
          <w:sz w:val="21"/>
        </w:rPr>
        <w:t> </w:t>
      </w:r>
      <w:r>
        <w:rPr>
          <w:sz w:val="21"/>
        </w:rPr>
        <w:t>fire</w:t>
      </w:r>
      <w:r>
        <w:rPr>
          <w:spacing w:val="-3"/>
          <w:sz w:val="21"/>
        </w:rPr>
        <w:t> </w:t>
      </w:r>
      <w:r>
        <w:rPr>
          <w:sz w:val="21"/>
        </w:rPr>
        <w:t>resistant doorsets</w:t>
      </w:r>
      <w:r>
        <w:rPr>
          <w:b/>
          <w:w w:val="99"/>
          <w:sz w:val="21"/>
        </w:rPr>
        <w:t> </w:t>
      </w:r>
    </w:p>
    <w:p>
      <w:pPr>
        <w:pStyle w:val="BodyText"/>
        <w:rPr>
          <w:b/>
          <w:sz w:val="18"/>
        </w:rPr>
      </w:pPr>
    </w:p>
    <w:p>
      <w:pPr>
        <w:pStyle w:val="BodyText"/>
        <w:ind w:left="838"/>
      </w:pPr>
      <w:r>
        <w:rPr/>
        <w:t>用于显示并控制防火门打开、关闭状态的控制装置（以下简称“监控器”）。 </w:t>
      </w:r>
    </w:p>
    <w:p>
      <w:pPr>
        <w:pStyle w:val="BodyText"/>
        <w:spacing w:before="2"/>
        <w:rPr>
          <w:sz w:val="18"/>
        </w:rPr>
      </w:pPr>
    </w:p>
    <w:p>
      <w:pPr>
        <w:pStyle w:val="ListParagraph"/>
        <w:numPr>
          <w:ilvl w:val="1"/>
          <w:numId w:val="569"/>
        </w:numPr>
        <w:tabs>
          <w:tab w:pos="1213" w:val="left" w:leader="none"/>
        </w:tabs>
        <w:spacing w:line="240" w:lineRule="auto" w:before="0" w:after="0"/>
        <w:ind w:left="1212" w:right="0" w:hanging="373"/>
        <w:jc w:val="left"/>
        <w:rPr>
          <w:sz w:val="21"/>
        </w:rPr>
      </w:pPr>
      <w:r>
        <w:rPr>
          <w:spacing w:val="8"/>
          <w:sz w:val="21"/>
        </w:rPr>
        <w:t>防火门电动闭门器 </w:t>
      </w:r>
      <w:r>
        <w:rPr>
          <w:sz w:val="21"/>
        </w:rPr>
        <w:t>electric closer</w:t>
      </w:r>
      <w:r>
        <w:rPr>
          <w:spacing w:val="1"/>
          <w:sz w:val="21"/>
        </w:rPr>
        <w:t> </w:t>
      </w:r>
      <w:r>
        <w:rPr>
          <w:sz w:val="21"/>
        </w:rPr>
        <w:t>for fire</w:t>
      </w:r>
      <w:r>
        <w:rPr>
          <w:spacing w:val="1"/>
          <w:sz w:val="21"/>
        </w:rPr>
        <w:t> </w:t>
      </w:r>
      <w:r>
        <w:rPr>
          <w:sz w:val="21"/>
        </w:rPr>
        <w:t>resistant</w:t>
      </w:r>
      <w:r>
        <w:rPr>
          <w:spacing w:val="1"/>
          <w:sz w:val="21"/>
        </w:rPr>
        <w:t> </w:t>
      </w:r>
      <w:r>
        <w:rPr>
          <w:sz w:val="21"/>
        </w:rPr>
        <w:t>doorsets </w:t>
      </w:r>
    </w:p>
    <w:p>
      <w:pPr>
        <w:pStyle w:val="BodyText"/>
        <w:spacing w:before="12"/>
        <w:rPr>
          <w:sz w:val="17"/>
        </w:rPr>
      </w:pPr>
    </w:p>
    <w:p>
      <w:pPr>
        <w:pStyle w:val="BodyText"/>
        <w:spacing w:line="446" w:lineRule="auto"/>
        <w:ind w:left="418" w:right="1609" w:firstLine="419"/>
      </w:pPr>
      <w:r>
        <w:rPr/>
        <w:t>能够在收到指令后将处于打开状态的防火门关闭，并将其状态信息反馈至防火门监控器的电动装置（以下简称“电动闭门器”）。 </w:t>
      </w:r>
    </w:p>
    <w:p>
      <w:pPr>
        <w:pStyle w:val="ListParagraph"/>
        <w:numPr>
          <w:ilvl w:val="1"/>
          <w:numId w:val="569"/>
        </w:numPr>
        <w:tabs>
          <w:tab w:pos="1213" w:val="left" w:leader="none"/>
        </w:tabs>
        <w:spacing w:line="446" w:lineRule="auto" w:before="0" w:after="0"/>
        <w:ind w:left="418" w:right="2184" w:firstLine="422"/>
        <w:jc w:val="left"/>
        <w:rPr>
          <w:sz w:val="21"/>
        </w:rPr>
      </w:pPr>
      <w:r>
        <w:rPr>
          <w:spacing w:val="8"/>
          <w:sz w:val="21"/>
        </w:rPr>
        <w:t>防火门电磁释放器 </w:t>
      </w:r>
      <w:r>
        <w:rPr>
          <w:sz w:val="21"/>
        </w:rPr>
        <w:t>electromagnetic release</w:t>
      </w:r>
      <w:r>
        <w:rPr>
          <w:spacing w:val="1"/>
          <w:sz w:val="21"/>
        </w:rPr>
        <w:t> </w:t>
      </w:r>
      <w:r>
        <w:rPr>
          <w:sz w:val="21"/>
        </w:rPr>
        <w:t>device for</w:t>
      </w:r>
      <w:r>
        <w:rPr>
          <w:spacing w:val="1"/>
          <w:sz w:val="21"/>
        </w:rPr>
        <w:t> </w:t>
      </w:r>
      <w:r>
        <w:rPr>
          <w:sz w:val="21"/>
        </w:rPr>
        <w:t>fire</w:t>
      </w:r>
      <w:r>
        <w:rPr>
          <w:spacing w:val="1"/>
          <w:sz w:val="21"/>
        </w:rPr>
        <w:t> </w:t>
      </w:r>
      <w:r>
        <w:rPr>
          <w:sz w:val="21"/>
        </w:rPr>
        <w:t>resistant doorsets </w:t>
      </w:r>
    </w:p>
    <w:p>
      <w:pPr>
        <w:spacing w:after="0" w:line="446" w:lineRule="auto"/>
        <w:jc w:val="left"/>
        <w:rPr>
          <w:sz w:val="21"/>
        </w:rPr>
        <w:sectPr>
          <w:pgSz w:w="11910" w:h="16850"/>
          <w:pgMar w:header="0" w:footer="1239" w:top="1140" w:bottom="1420" w:left="1260" w:right="0"/>
        </w:sectPr>
      </w:pPr>
    </w:p>
    <w:p>
      <w:pPr>
        <w:pStyle w:val="BodyText"/>
        <w:spacing w:line="446" w:lineRule="auto" w:before="47"/>
        <w:ind w:left="418" w:right="1609" w:firstLine="419"/>
      </w:pPr>
      <w:r>
        <w:rPr/>
        <w:t>使常开防火门保持打开状态，在收到指令后释放防火门使其关闭，并将本身的状态信息反馈至监控器的电动装置（以下简称“释放器”）。 </w:t>
      </w:r>
    </w:p>
    <w:p>
      <w:pPr>
        <w:pStyle w:val="ListParagraph"/>
        <w:numPr>
          <w:ilvl w:val="1"/>
          <w:numId w:val="569"/>
        </w:numPr>
        <w:tabs>
          <w:tab w:pos="1213" w:val="left" w:leader="none"/>
        </w:tabs>
        <w:spacing w:line="267" w:lineRule="exact" w:before="0" w:after="0"/>
        <w:ind w:left="1212" w:right="0" w:hanging="373"/>
        <w:jc w:val="left"/>
        <w:rPr>
          <w:sz w:val="21"/>
        </w:rPr>
      </w:pPr>
      <w:r>
        <w:rPr>
          <w:spacing w:val="10"/>
          <w:sz w:val="21"/>
        </w:rPr>
        <w:t>防火门门磁开关 </w:t>
      </w:r>
      <w:r>
        <w:rPr>
          <w:sz w:val="21"/>
        </w:rPr>
        <w:t>magnetic</w:t>
      </w:r>
      <w:r>
        <w:rPr>
          <w:spacing w:val="1"/>
          <w:sz w:val="21"/>
        </w:rPr>
        <w:t> </w:t>
      </w:r>
      <w:r>
        <w:rPr>
          <w:sz w:val="21"/>
        </w:rPr>
        <w:t>contact for</w:t>
      </w:r>
      <w:r>
        <w:rPr>
          <w:spacing w:val="1"/>
          <w:sz w:val="21"/>
        </w:rPr>
        <w:t> </w:t>
      </w:r>
      <w:r>
        <w:rPr>
          <w:sz w:val="21"/>
        </w:rPr>
        <w:t>fire resistant</w:t>
      </w:r>
      <w:r>
        <w:rPr>
          <w:spacing w:val="1"/>
          <w:sz w:val="21"/>
        </w:rPr>
        <w:t> </w:t>
      </w:r>
      <w:r>
        <w:rPr>
          <w:sz w:val="21"/>
        </w:rPr>
        <w:t>doorsets </w:t>
      </w:r>
    </w:p>
    <w:p>
      <w:pPr>
        <w:pStyle w:val="BodyText"/>
        <w:spacing w:before="2"/>
        <w:rPr>
          <w:sz w:val="18"/>
        </w:rPr>
      </w:pPr>
    </w:p>
    <w:p>
      <w:pPr>
        <w:pStyle w:val="BodyText"/>
        <w:spacing w:line="446" w:lineRule="auto"/>
        <w:ind w:left="418" w:right="1818" w:firstLine="419"/>
      </w:pPr>
      <w:r>
        <w:rPr/>
        <w:t>用于监视防火门的开闭状态，并能将其状态信息反馈至防火门监控器的装置（以下简称“门磁开关”）。 </w:t>
      </w:r>
    </w:p>
    <w:p>
      <w:pPr>
        <w:pStyle w:val="ListParagraph"/>
        <w:numPr>
          <w:ilvl w:val="1"/>
          <w:numId w:val="569"/>
        </w:numPr>
        <w:tabs>
          <w:tab w:pos="1213" w:val="left" w:leader="none"/>
        </w:tabs>
        <w:spacing w:line="267" w:lineRule="exact" w:before="0" w:after="0"/>
        <w:ind w:left="1212" w:right="0" w:hanging="373"/>
        <w:jc w:val="left"/>
        <w:rPr>
          <w:sz w:val="21"/>
        </w:rPr>
      </w:pPr>
      <w:r>
        <w:rPr>
          <w:spacing w:val="10"/>
          <w:sz w:val="21"/>
        </w:rPr>
        <w:t>防火门故障状态 </w:t>
      </w:r>
      <w:r>
        <w:rPr>
          <w:sz w:val="21"/>
        </w:rPr>
        <w:t>abnormal</w:t>
      </w:r>
      <w:r>
        <w:rPr>
          <w:spacing w:val="1"/>
          <w:sz w:val="21"/>
        </w:rPr>
        <w:t> </w:t>
      </w:r>
      <w:r>
        <w:rPr>
          <w:sz w:val="21"/>
        </w:rPr>
        <w:t>states</w:t>
      </w:r>
      <w:r>
        <w:rPr>
          <w:spacing w:val="-3"/>
          <w:sz w:val="21"/>
        </w:rPr>
        <w:t> </w:t>
      </w:r>
      <w:r>
        <w:rPr>
          <w:sz w:val="21"/>
        </w:rPr>
        <w:t>of</w:t>
      </w:r>
      <w:r>
        <w:rPr>
          <w:spacing w:val="1"/>
          <w:sz w:val="21"/>
        </w:rPr>
        <w:t> </w:t>
      </w:r>
      <w:r>
        <w:rPr>
          <w:sz w:val="21"/>
        </w:rPr>
        <w:t>fire</w:t>
      </w:r>
      <w:r>
        <w:rPr>
          <w:spacing w:val="-2"/>
          <w:sz w:val="21"/>
        </w:rPr>
        <w:t> </w:t>
      </w:r>
      <w:r>
        <w:rPr>
          <w:sz w:val="21"/>
        </w:rPr>
        <w:t>resistant doorsets </w:t>
      </w:r>
    </w:p>
    <w:p>
      <w:pPr>
        <w:pStyle w:val="BodyText"/>
        <w:spacing w:before="2"/>
        <w:rPr>
          <w:sz w:val="18"/>
        </w:rPr>
      </w:pPr>
    </w:p>
    <w:p>
      <w:pPr>
        <w:pStyle w:val="BodyText"/>
        <w:ind w:left="838"/>
      </w:pPr>
      <w:r>
        <w:rPr/>
        <w:t>防火门处于非正常打开的状态或非正常关闭的状态。 </w:t>
      </w:r>
    </w:p>
    <w:p>
      <w:pPr>
        <w:pStyle w:val="BodyText"/>
        <w:spacing w:before="8"/>
        <w:rPr>
          <w:sz w:val="15"/>
        </w:rPr>
      </w:pPr>
    </w:p>
    <w:p>
      <w:pPr>
        <w:pStyle w:val="Heading4"/>
        <w:spacing w:before="1"/>
      </w:pPr>
      <w:r>
        <w:rPr/>
        <w:t>4 要求</w:t>
      </w:r>
      <w:r>
        <w:rPr>
          <w:w w:val="99"/>
        </w:rPr>
        <w:t> </w:t>
      </w:r>
    </w:p>
    <w:p>
      <w:pPr>
        <w:pStyle w:val="BodyText"/>
        <w:spacing w:before="3"/>
        <w:rPr>
          <w:b/>
          <w:sz w:val="17"/>
        </w:rPr>
      </w:pPr>
    </w:p>
    <w:p>
      <w:pPr>
        <w:pStyle w:val="Heading6"/>
        <w:numPr>
          <w:ilvl w:val="1"/>
          <w:numId w:val="570"/>
        </w:numPr>
        <w:tabs>
          <w:tab w:pos="1159" w:val="left" w:leader="none"/>
        </w:tabs>
        <w:spacing w:line="240" w:lineRule="auto" w:before="1" w:after="0"/>
        <w:ind w:left="1158" w:right="0" w:hanging="319"/>
        <w:jc w:val="left"/>
      </w:pPr>
      <w:r>
        <w:rPr/>
        <w:t>外观</w:t>
      </w:r>
      <w:r>
        <w:rPr>
          <w:w w:val="99"/>
        </w:rPr>
        <w:t> </w:t>
      </w:r>
    </w:p>
    <w:p>
      <w:pPr>
        <w:pStyle w:val="BodyText"/>
        <w:spacing w:before="1"/>
        <w:rPr>
          <w:b/>
          <w:sz w:val="18"/>
        </w:rPr>
      </w:pPr>
    </w:p>
    <w:p>
      <w:pPr>
        <w:pStyle w:val="BodyText"/>
        <w:spacing w:line="446" w:lineRule="auto"/>
        <w:ind w:left="838" w:right="6654"/>
      </w:pPr>
      <w:r>
        <w:rPr/>
        <w:t>监控器的外观应符合下述要求： a）文字、符号和标志清晰齐全； </w:t>
      </w:r>
    </w:p>
    <w:p>
      <w:pPr>
        <w:pStyle w:val="BodyText"/>
        <w:spacing w:line="446" w:lineRule="auto"/>
        <w:ind w:left="838" w:right="1822"/>
        <w:rPr>
          <w:b/>
        </w:rPr>
      </w:pPr>
      <w:r>
        <w:rPr/>
        <w:t>b）试样表面无腐蚀、涂覆层脱落和起泡现象，无明显划伤、裂痕、毛刺等机械损伤； c）紧固部位无松动。</w:t>
      </w:r>
      <w:r>
        <w:rPr>
          <w:b/>
          <w:w w:val="99"/>
        </w:rPr>
        <w:t> </w:t>
      </w:r>
    </w:p>
    <w:p>
      <w:pPr>
        <w:pStyle w:val="ListParagraph"/>
        <w:numPr>
          <w:ilvl w:val="1"/>
          <w:numId w:val="570"/>
        </w:numPr>
        <w:tabs>
          <w:tab w:pos="1159" w:val="left" w:leader="none"/>
        </w:tabs>
        <w:spacing w:line="240" w:lineRule="auto" w:before="0" w:after="0"/>
        <w:ind w:left="1158" w:right="0" w:hanging="319"/>
        <w:jc w:val="left"/>
        <w:rPr>
          <w:b/>
          <w:sz w:val="21"/>
        </w:rPr>
      </w:pPr>
      <w:r>
        <w:rPr>
          <w:spacing w:val="-3"/>
          <w:sz w:val="21"/>
        </w:rPr>
        <w:t>主要部件性能</w:t>
      </w:r>
      <w:r>
        <w:rPr>
          <w:b/>
          <w:w w:val="99"/>
          <w:sz w:val="21"/>
        </w:rPr>
        <w:t> </w:t>
      </w:r>
    </w:p>
    <w:p>
      <w:pPr>
        <w:pStyle w:val="BodyText"/>
        <w:spacing w:before="10"/>
        <w:rPr>
          <w:b/>
          <w:sz w:val="17"/>
        </w:rPr>
      </w:pPr>
    </w:p>
    <w:p>
      <w:pPr>
        <w:pStyle w:val="ListParagraph"/>
        <w:numPr>
          <w:ilvl w:val="2"/>
          <w:numId w:val="570"/>
        </w:numPr>
        <w:tabs>
          <w:tab w:pos="1370" w:val="left" w:leader="none"/>
        </w:tabs>
        <w:spacing w:line="240" w:lineRule="auto" w:before="1" w:after="0"/>
        <w:ind w:left="1369" w:right="0" w:hanging="530"/>
        <w:jc w:val="left"/>
        <w:rPr>
          <w:b/>
          <w:sz w:val="21"/>
        </w:rPr>
      </w:pPr>
      <w:r>
        <w:rPr>
          <w:spacing w:val="-3"/>
          <w:sz w:val="21"/>
        </w:rPr>
        <w:t>—般要求</w:t>
      </w:r>
      <w:r>
        <w:rPr>
          <w:b/>
          <w:w w:val="99"/>
          <w:sz w:val="21"/>
        </w:rPr>
        <w:t> </w:t>
      </w:r>
    </w:p>
    <w:p>
      <w:pPr>
        <w:pStyle w:val="BodyText"/>
        <w:spacing w:before="1"/>
        <w:rPr>
          <w:b/>
          <w:sz w:val="18"/>
        </w:rPr>
      </w:pPr>
    </w:p>
    <w:p>
      <w:pPr>
        <w:pStyle w:val="BodyText"/>
        <w:spacing w:line="446" w:lineRule="auto"/>
        <w:ind w:left="840" w:right="2242" w:hanging="3"/>
        <w:rPr>
          <w:b/>
        </w:rPr>
      </w:pPr>
      <w:r>
        <w:rPr/>
        <w:t>监控器部件应采用符合相关标准的定型产品，同时应符合 4.2.2～4.2.6 的规定。</w:t>
      </w:r>
      <w:r>
        <w:rPr>
          <w:b/>
        </w:rPr>
        <w:t>4.2.2 </w:t>
      </w:r>
      <w:r>
        <w:rPr/>
        <w:t>指示灯、显示器</w:t>
      </w:r>
      <w:r>
        <w:rPr>
          <w:b/>
          <w:w w:val="99"/>
        </w:rPr>
        <w:t> </w:t>
      </w:r>
    </w:p>
    <w:p>
      <w:pPr>
        <w:pStyle w:val="BodyText"/>
        <w:spacing w:line="446" w:lineRule="auto"/>
        <w:ind w:left="418" w:right="1818" w:firstLine="419"/>
      </w:pPr>
      <w:r>
        <w:rPr/>
        <w:t>4.2.2.1 应以红色指示启动信号、电动闭门器和释放器的动作信号和门磁开关的反馈信号；黄色指示 </w:t>
      </w:r>
    </w:p>
    <w:p>
      <w:pPr>
        <w:pStyle w:val="BodyText"/>
        <w:spacing w:line="446" w:lineRule="auto"/>
        <w:ind w:left="838" w:right="3186"/>
      </w:pPr>
      <w:r>
        <w:rPr>
          <w:spacing w:val="-3"/>
        </w:rPr>
        <w:t>故障、自检状态；绿色指示电源工作状态和释放器的反馈信号。 4.2.2.2 指示灯、显示器功能应有清晰的中文标注。 </w:t>
      </w:r>
    </w:p>
    <w:p>
      <w:pPr>
        <w:pStyle w:val="ListParagraph"/>
        <w:numPr>
          <w:ilvl w:val="3"/>
          <w:numId w:val="571"/>
        </w:numPr>
        <w:tabs>
          <w:tab w:pos="1576" w:val="left" w:leader="none"/>
        </w:tabs>
        <w:spacing w:line="446" w:lineRule="auto" w:before="0" w:after="0"/>
        <w:ind w:left="418" w:right="1455" w:firstLine="419"/>
        <w:jc w:val="left"/>
        <w:rPr>
          <w:sz w:val="21"/>
        </w:rPr>
      </w:pPr>
      <w:r>
        <w:rPr>
          <w:spacing w:val="-24"/>
          <w:sz w:val="21"/>
        </w:rPr>
        <w:t>在 </w:t>
      </w:r>
      <w:r>
        <w:rPr>
          <w:sz w:val="21"/>
        </w:rPr>
        <w:t>100～500lx</w:t>
      </w:r>
      <w:r>
        <w:rPr>
          <w:spacing w:val="-11"/>
          <w:sz w:val="21"/>
        </w:rPr>
        <w:t> 环境光条件下，在正前方 </w:t>
      </w:r>
      <w:r>
        <w:rPr>
          <w:sz w:val="21"/>
        </w:rPr>
        <w:t>22.5</w:t>
      </w:r>
      <w:r>
        <w:rPr>
          <w:spacing w:val="-3"/>
          <w:sz w:val="21"/>
        </w:rPr>
        <w:t>°视角范围内，状态和电源指示灯、</w:t>
      </w:r>
      <w:r>
        <w:rPr>
          <w:spacing w:val="-12"/>
          <w:sz w:val="21"/>
        </w:rPr>
        <w:t>显示器应在 </w:t>
      </w:r>
      <w:r>
        <w:rPr>
          <w:sz w:val="21"/>
        </w:rPr>
        <w:t>3m</w:t>
      </w:r>
      <w:r>
        <w:rPr>
          <w:spacing w:val="-11"/>
          <w:sz w:val="21"/>
        </w:rPr>
        <w:t> 处清晰可见；其他指示灯显示器显示的字符应在 </w:t>
      </w:r>
      <w:r>
        <w:rPr>
          <w:sz w:val="21"/>
        </w:rPr>
        <w:t>0.8m</w:t>
      </w:r>
      <w:r>
        <w:rPr>
          <w:spacing w:val="-10"/>
          <w:sz w:val="21"/>
        </w:rPr>
        <w:t> 处清晰可读。</w:t>
      </w:r>
      <w:r>
        <w:rPr>
          <w:sz w:val="21"/>
        </w:rPr>
        <w:t> </w:t>
      </w:r>
    </w:p>
    <w:p>
      <w:pPr>
        <w:pStyle w:val="ListParagraph"/>
        <w:numPr>
          <w:ilvl w:val="3"/>
          <w:numId w:val="571"/>
        </w:numPr>
        <w:tabs>
          <w:tab w:pos="1576" w:val="left" w:leader="none"/>
        </w:tabs>
        <w:spacing w:line="446" w:lineRule="auto" w:before="0" w:after="0"/>
        <w:ind w:left="418" w:right="1450" w:firstLine="419"/>
        <w:jc w:val="left"/>
        <w:rPr>
          <w:sz w:val="21"/>
        </w:rPr>
      </w:pPr>
      <w:r>
        <w:rPr>
          <w:spacing w:val="-5"/>
          <w:sz w:val="21"/>
        </w:rPr>
        <w:t>采用闪亮方式的指示灯、显示器每次点亮时间应不小于 </w:t>
      </w:r>
      <w:r>
        <w:rPr>
          <w:sz w:val="21"/>
        </w:rPr>
        <w:t>0.25s</w:t>
      </w:r>
      <w:r>
        <w:rPr>
          <w:spacing w:val="-3"/>
          <w:sz w:val="21"/>
        </w:rPr>
        <w:t>，其闪动频率应不小</w:t>
      </w:r>
      <w:r>
        <w:rPr>
          <w:spacing w:val="-28"/>
          <w:sz w:val="21"/>
        </w:rPr>
        <w:t>于 </w:t>
      </w:r>
      <w:r>
        <w:rPr>
          <w:sz w:val="21"/>
        </w:rPr>
        <w:t>1Hz</w:t>
      </w:r>
      <w:r>
        <w:rPr>
          <w:spacing w:val="-3"/>
          <w:sz w:val="21"/>
        </w:rPr>
        <w:t>。</w:t>
      </w:r>
      <w:r>
        <w:rPr>
          <w:sz w:val="21"/>
        </w:rPr>
        <w:t> </w:t>
      </w:r>
    </w:p>
    <w:p>
      <w:pPr>
        <w:pStyle w:val="ListParagraph"/>
        <w:numPr>
          <w:ilvl w:val="3"/>
          <w:numId w:val="571"/>
        </w:numPr>
        <w:tabs>
          <w:tab w:pos="1576" w:val="left" w:leader="none"/>
        </w:tabs>
        <w:spacing w:line="240" w:lineRule="auto" w:before="0" w:after="0"/>
        <w:ind w:left="1575" w:right="0" w:hanging="738"/>
        <w:jc w:val="left"/>
        <w:rPr>
          <w:sz w:val="21"/>
        </w:rPr>
      </w:pPr>
      <w:r>
        <w:rPr>
          <w:spacing w:val="-3"/>
          <w:sz w:val="21"/>
        </w:rPr>
        <w:t>用同一个指示灯、显示器显示具体部位的状态时，应能明确、清晰可辨。 </w:t>
      </w:r>
    </w:p>
    <w:p>
      <w:pPr>
        <w:pStyle w:val="BodyText"/>
        <w:spacing w:before="8"/>
        <w:rPr>
          <w:sz w:val="17"/>
        </w:rPr>
      </w:pPr>
    </w:p>
    <w:p>
      <w:pPr>
        <w:pStyle w:val="ListParagraph"/>
        <w:numPr>
          <w:ilvl w:val="3"/>
          <w:numId w:val="571"/>
        </w:numPr>
        <w:tabs>
          <w:tab w:pos="1576" w:val="left" w:leader="none"/>
        </w:tabs>
        <w:spacing w:line="240" w:lineRule="auto" w:before="0" w:after="0"/>
        <w:ind w:left="1575" w:right="0" w:hanging="738"/>
        <w:jc w:val="left"/>
        <w:rPr>
          <w:sz w:val="21"/>
        </w:rPr>
      </w:pPr>
      <w:r>
        <w:rPr>
          <w:spacing w:val="-27"/>
          <w:sz w:val="21"/>
        </w:rPr>
        <w:t>在 </w:t>
      </w:r>
      <w:r>
        <w:rPr>
          <w:sz w:val="21"/>
        </w:rPr>
        <w:t>100～500lx</w:t>
      </w:r>
      <w:r>
        <w:rPr>
          <w:spacing w:val="-11"/>
          <w:sz w:val="21"/>
        </w:rPr>
        <w:t> 环境光线条件下，显示器显示的字符应在正前方 </w:t>
      </w:r>
      <w:r>
        <w:rPr>
          <w:sz w:val="21"/>
        </w:rPr>
        <w:t>22.5</w:t>
      </w:r>
      <w:r>
        <w:rPr>
          <w:spacing w:val="-1"/>
          <w:sz w:val="21"/>
        </w:rPr>
        <w:t>°视角内，</w:t>
      </w:r>
    </w:p>
    <w:p>
      <w:pPr>
        <w:pStyle w:val="BodyText"/>
        <w:spacing w:before="2"/>
        <w:rPr>
          <w:sz w:val="18"/>
        </w:rPr>
      </w:pPr>
    </w:p>
    <w:p>
      <w:pPr>
        <w:pStyle w:val="BodyText"/>
        <w:ind w:left="418"/>
      </w:pPr>
      <w:r>
        <w:rPr/>
        <w:t>0.8m 处可读。 </w:t>
      </w:r>
    </w:p>
    <w:p>
      <w:pPr>
        <w:spacing w:after="0"/>
        <w:sectPr>
          <w:pgSz w:w="11910" w:h="16850"/>
          <w:pgMar w:header="0" w:footer="1239" w:top="1220" w:bottom="1420" w:left="1260" w:right="0"/>
        </w:sectPr>
      </w:pPr>
    </w:p>
    <w:p>
      <w:pPr>
        <w:pStyle w:val="ListParagraph"/>
        <w:numPr>
          <w:ilvl w:val="2"/>
          <w:numId w:val="572"/>
        </w:numPr>
        <w:tabs>
          <w:tab w:pos="1370" w:val="left" w:leader="none"/>
        </w:tabs>
        <w:spacing w:line="240" w:lineRule="auto" w:before="47" w:after="0"/>
        <w:ind w:left="1369" w:right="0" w:hanging="530"/>
        <w:jc w:val="left"/>
        <w:rPr>
          <w:b/>
          <w:sz w:val="21"/>
        </w:rPr>
      </w:pPr>
      <w:r>
        <w:rPr>
          <w:spacing w:val="-3"/>
          <w:sz w:val="21"/>
        </w:rPr>
        <w:t>熔断器</w:t>
      </w:r>
      <w:r>
        <w:rPr>
          <w:b/>
          <w:w w:val="99"/>
          <w:sz w:val="21"/>
        </w:rPr>
        <w:t> </w:t>
      </w:r>
    </w:p>
    <w:p>
      <w:pPr>
        <w:pStyle w:val="BodyText"/>
        <w:rPr>
          <w:b/>
          <w:sz w:val="18"/>
        </w:rPr>
      </w:pPr>
    </w:p>
    <w:p>
      <w:pPr>
        <w:pStyle w:val="BodyText"/>
        <w:spacing w:line="446" w:lineRule="auto"/>
        <w:ind w:left="418" w:right="1508" w:firstLine="419"/>
      </w:pPr>
      <w:r>
        <w:rPr>
          <w:spacing w:val="-5"/>
        </w:rPr>
        <w:t>电源线路的熔断器或其他过电流保护器件的额定电流值不应大于监控器最大工作电流的 </w:t>
      </w:r>
      <w:r>
        <w:rPr/>
        <w:t>2 </w:t>
      </w:r>
      <w:r>
        <w:rPr>
          <w:spacing w:val="-7"/>
        </w:rPr>
        <w:t>倍；当最大工作电流大于 </w:t>
      </w:r>
      <w:r>
        <w:rPr/>
        <w:t>6A</w:t>
      </w:r>
      <w:r>
        <w:rPr>
          <w:spacing w:val="-11"/>
        </w:rPr>
        <w:t> 时，熔断器电流值可取其 </w:t>
      </w:r>
      <w:r>
        <w:rPr/>
        <w:t>1.5</w:t>
      </w:r>
      <w:r>
        <w:rPr>
          <w:spacing w:val="-8"/>
        </w:rPr>
        <w:t> 倍，并应在靠近熔断器或其他过电流</w:t>
      </w:r>
      <w:r>
        <w:rPr>
          <w:spacing w:val="-5"/>
        </w:rPr>
        <w:t>保护器件处清楚地标注其参数值。 </w:t>
      </w:r>
      <w:r>
        <w:rPr>
          <w:spacing w:val="-2"/>
        </w:rPr>
        <w:t> </w:t>
      </w:r>
      <w:r>
        <w:rPr>
          <w:w w:val="100"/>
        </w:rPr>
        <w:t> </w:t>
      </w:r>
      <w:r>
        <w:rPr/>
        <w:t> </w:t>
      </w:r>
      <w:r>
        <w:rPr>
          <w:w w:val="100"/>
        </w:rPr>
        <w:t> </w:t>
      </w:r>
      <w:r>
        <w:rPr>
          <w:spacing w:val="-2"/>
        </w:rPr>
        <w:t> </w:t>
      </w:r>
      <w:r>
        <w:rPr>
          <w:w w:val="100"/>
        </w:rPr>
        <w:t> </w:t>
      </w:r>
    </w:p>
    <w:p>
      <w:pPr>
        <w:pStyle w:val="ListParagraph"/>
        <w:numPr>
          <w:ilvl w:val="2"/>
          <w:numId w:val="572"/>
        </w:numPr>
        <w:tabs>
          <w:tab w:pos="1370" w:val="left" w:leader="none"/>
        </w:tabs>
        <w:spacing w:line="268" w:lineRule="exact" w:before="0" w:after="0"/>
        <w:ind w:left="1369" w:right="0" w:hanging="530"/>
        <w:jc w:val="left"/>
        <w:rPr>
          <w:b/>
          <w:sz w:val="21"/>
        </w:rPr>
      </w:pPr>
      <w:r>
        <w:rPr>
          <w:spacing w:val="-3"/>
          <w:sz w:val="21"/>
        </w:rPr>
        <w:t>接线端子</w:t>
      </w:r>
      <w:r>
        <w:rPr>
          <w:b/>
          <w:w w:val="99"/>
          <w:sz w:val="21"/>
        </w:rPr>
        <w:t> </w:t>
      </w:r>
    </w:p>
    <w:p>
      <w:pPr>
        <w:pStyle w:val="BodyText"/>
        <w:rPr>
          <w:b/>
          <w:sz w:val="18"/>
        </w:rPr>
      </w:pPr>
    </w:p>
    <w:p>
      <w:pPr>
        <w:pStyle w:val="BodyText"/>
        <w:spacing w:line="446" w:lineRule="auto"/>
        <w:ind w:left="840" w:right="1714" w:hanging="3"/>
        <w:rPr>
          <w:b/>
        </w:rPr>
      </w:pPr>
      <w:r>
        <w:rPr/>
        <w:t>每一接线端子上都应清晰、牢固地标注其编号或符号，相应用途应在有关文件中说明。</w:t>
      </w:r>
      <w:r>
        <w:rPr>
          <w:b/>
        </w:rPr>
        <w:t>4.2.5 </w:t>
      </w:r>
      <w:r>
        <w:rPr/>
        <w:t>充电器及备用电源</w:t>
      </w:r>
      <w:r>
        <w:rPr>
          <w:b/>
          <w:w w:val="99"/>
        </w:rPr>
        <w:t> </w:t>
      </w:r>
    </w:p>
    <w:p>
      <w:pPr>
        <w:pStyle w:val="ListParagraph"/>
        <w:numPr>
          <w:ilvl w:val="3"/>
          <w:numId w:val="573"/>
        </w:numPr>
        <w:tabs>
          <w:tab w:pos="1576" w:val="left" w:leader="none"/>
        </w:tabs>
        <w:spacing w:line="240" w:lineRule="auto" w:before="0" w:after="0"/>
        <w:ind w:left="1575" w:right="0" w:hanging="738"/>
        <w:jc w:val="left"/>
        <w:rPr>
          <w:sz w:val="21"/>
        </w:rPr>
      </w:pPr>
      <w:r>
        <w:rPr>
          <w:spacing w:val="-3"/>
          <w:sz w:val="21"/>
        </w:rPr>
        <w:t>充电器的电流应不大于备用电源电池生产企业规定的额定值。</w:t>
      </w:r>
      <w:r>
        <w:rPr>
          <w:sz w:val="21"/>
        </w:rPr>
        <w:t> </w:t>
      </w:r>
    </w:p>
    <w:p>
      <w:pPr>
        <w:pStyle w:val="BodyText"/>
        <w:rPr>
          <w:sz w:val="18"/>
        </w:rPr>
      </w:pPr>
    </w:p>
    <w:p>
      <w:pPr>
        <w:pStyle w:val="ListParagraph"/>
        <w:numPr>
          <w:ilvl w:val="3"/>
          <w:numId w:val="573"/>
        </w:numPr>
        <w:tabs>
          <w:tab w:pos="1576" w:val="left" w:leader="none"/>
        </w:tabs>
        <w:spacing w:line="240" w:lineRule="auto" w:before="0" w:after="0"/>
        <w:ind w:left="1575" w:right="0" w:hanging="738"/>
        <w:jc w:val="left"/>
        <w:rPr>
          <w:sz w:val="21"/>
        </w:rPr>
      </w:pPr>
      <w:r>
        <w:rPr>
          <w:spacing w:val="-3"/>
          <w:sz w:val="21"/>
        </w:rPr>
        <w:t>备用电源正极连接导线为红色，负极为黑色或蓝色。</w:t>
      </w:r>
      <w:r>
        <w:rPr>
          <w:sz w:val="21"/>
        </w:rPr>
        <w:t> </w:t>
      </w:r>
    </w:p>
    <w:p>
      <w:pPr>
        <w:pStyle w:val="BodyText"/>
        <w:spacing w:before="1"/>
        <w:rPr>
          <w:sz w:val="18"/>
        </w:rPr>
      </w:pPr>
    </w:p>
    <w:p>
      <w:pPr>
        <w:spacing w:before="1"/>
        <w:ind w:left="840" w:right="0" w:firstLine="0"/>
        <w:jc w:val="left"/>
        <w:rPr>
          <w:b/>
          <w:sz w:val="21"/>
        </w:rPr>
      </w:pPr>
      <w:r>
        <w:rPr>
          <w:b/>
          <w:sz w:val="21"/>
        </w:rPr>
        <w:t>4.2.6 </w:t>
      </w:r>
      <w:r>
        <w:rPr>
          <w:sz w:val="21"/>
        </w:rPr>
        <w:t>开关和按键</w:t>
      </w:r>
      <w:r>
        <w:rPr>
          <w:b/>
          <w:w w:val="99"/>
          <w:sz w:val="21"/>
        </w:rPr>
        <w:t> </w:t>
      </w:r>
    </w:p>
    <w:p>
      <w:pPr>
        <w:pStyle w:val="BodyText"/>
        <w:spacing w:before="12"/>
        <w:rPr>
          <w:b/>
          <w:sz w:val="17"/>
        </w:rPr>
      </w:pPr>
    </w:p>
    <w:p>
      <w:pPr>
        <w:spacing w:line="446" w:lineRule="auto" w:before="0"/>
        <w:ind w:left="840" w:right="4446" w:hanging="3"/>
        <w:jc w:val="left"/>
        <w:rPr>
          <w:b/>
          <w:sz w:val="21"/>
        </w:rPr>
      </w:pPr>
      <w:r>
        <w:rPr>
          <w:sz w:val="21"/>
        </w:rPr>
        <w:t>开关和按键上或靠近的位置应用中文清楚的标注其功能。</w:t>
      </w:r>
      <w:r>
        <w:rPr>
          <w:b/>
          <w:sz w:val="21"/>
        </w:rPr>
        <w:t>4.3 整机性能</w:t>
      </w:r>
      <w:r>
        <w:rPr>
          <w:b/>
          <w:w w:val="99"/>
          <w:sz w:val="21"/>
        </w:rPr>
        <w:t> </w:t>
      </w:r>
    </w:p>
    <w:p>
      <w:pPr>
        <w:pStyle w:val="ListParagraph"/>
        <w:numPr>
          <w:ilvl w:val="2"/>
          <w:numId w:val="574"/>
        </w:numPr>
        <w:tabs>
          <w:tab w:pos="1370" w:val="left" w:leader="none"/>
        </w:tabs>
        <w:spacing w:line="240" w:lineRule="auto" w:before="0" w:after="0"/>
        <w:ind w:left="1369" w:right="0" w:hanging="530"/>
        <w:jc w:val="left"/>
        <w:rPr>
          <w:b/>
          <w:sz w:val="21"/>
        </w:rPr>
      </w:pPr>
      <w:r>
        <w:rPr>
          <w:spacing w:val="-3"/>
          <w:sz w:val="21"/>
        </w:rPr>
        <w:t>基本功能</w:t>
      </w:r>
      <w:r>
        <w:rPr>
          <w:b/>
          <w:w w:val="99"/>
          <w:sz w:val="21"/>
        </w:rPr>
        <w:t> </w:t>
      </w:r>
    </w:p>
    <w:p>
      <w:pPr>
        <w:pStyle w:val="BodyText"/>
        <w:rPr>
          <w:b/>
          <w:sz w:val="18"/>
        </w:rPr>
      </w:pPr>
    </w:p>
    <w:p>
      <w:pPr>
        <w:pStyle w:val="ListParagraph"/>
        <w:numPr>
          <w:ilvl w:val="3"/>
          <w:numId w:val="574"/>
        </w:numPr>
        <w:tabs>
          <w:tab w:pos="1576" w:val="left" w:leader="none"/>
        </w:tabs>
        <w:spacing w:line="240" w:lineRule="auto" w:before="0" w:after="0"/>
        <w:ind w:left="1575" w:right="0" w:hanging="738"/>
        <w:jc w:val="left"/>
        <w:rPr>
          <w:sz w:val="21"/>
        </w:rPr>
      </w:pPr>
      <w:r>
        <w:rPr>
          <w:spacing w:val="-8"/>
          <w:sz w:val="21"/>
        </w:rPr>
        <w:t>监控器主电源应采用 </w:t>
      </w:r>
      <w:r>
        <w:rPr>
          <w:sz w:val="21"/>
        </w:rPr>
        <w:t>220V、50Hz</w:t>
      </w:r>
      <w:r>
        <w:rPr>
          <w:spacing w:val="-9"/>
          <w:sz w:val="21"/>
        </w:rPr>
        <w:t> 交流电源，电源线输入端应设接线端子。</w:t>
      </w:r>
      <w:r>
        <w:rPr>
          <w:sz w:val="21"/>
        </w:rPr>
        <w:t> </w:t>
      </w:r>
    </w:p>
    <w:p>
      <w:pPr>
        <w:pStyle w:val="BodyText"/>
        <w:spacing w:before="12"/>
        <w:rPr>
          <w:sz w:val="17"/>
        </w:rPr>
      </w:pPr>
    </w:p>
    <w:p>
      <w:pPr>
        <w:pStyle w:val="ListParagraph"/>
        <w:numPr>
          <w:ilvl w:val="3"/>
          <w:numId w:val="574"/>
        </w:numPr>
        <w:tabs>
          <w:tab w:pos="1576" w:val="left" w:leader="none"/>
        </w:tabs>
        <w:spacing w:line="240" w:lineRule="auto" w:before="0" w:after="0"/>
        <w:ind w:left="1575" w:right="0" w:hanging="738"/>
        <w:jc w:val="left"/>
        <w:rPr>
          <w:sz w:val="21"/>
        </w:rPr>
      </w:pPr>
      <w:r>
        <w:rPr>
          <w:spacing w:val="-3"/>
          <w:sz w:val="21"/>
        </w:rPr>
        <w:t>监控器为其连接的电动闭门器、释放器和门磁开关供电时，供电电压应采用直流</w:t>
      </w:r>
    </w:p>
    <w:p>
      <w:pPr>
        <w:pStyle w:val="BodyText"/>
        <w:spacing w:before="2"/>
        <w:rPr>
          <w:sz w:val="18"/>
        </w:rPr>
      </w:pPr>
    </w:p>
    <w:p>
      <w:pPr>
        <w:pStyle w:val="BodyText"/>
        <w:ind w:left="418"/>
      </w:pPr>
      <w:r>
        <w:rPr/>
        <w:t>24V 或 12V；电动闭门器、释放器和门磁开关与监控器的接口参数应一致。 </w:t>
      </w:r>
    </w:p>
    <w:p>
      <w:pPr>
        <w:pStyle w:val="BodyText"/>
        <w:spacing w:before="12"/>
        <w:rPr>
          <w:sz w:val="17"/>
        </w:rPr>
      </w:pPr>
    </w:p>
    <w:p>
      <w:pPr>
        <w:pStyle w:val="ListParagraph"/>
        <w:numPr>
          <w:ilvl w:val="3"/>
          <w:numId w:val="574"/>
        </w:numPr>
        <w:tabs>
          <w:tab w:pos="1576" w:val="left" w:leader="none"/>
        </w:tabs>
        <w:spacing w:line="240" w:lineRule="auto" w:before="0" w:after="0"/>
        <w:ind w:left="1575" w:right="0" w:hanging="738"/>
        <w:jc w:val="left"/>
        <w:rPr>
          <w:sz w:val="21"/>
        </w:rPr>
      </w:pPr>
      <w:r>
        <w:rPr>
          <w:spacing w:val="-3"/>
          <w:sz w:val="21"/>
        </w:rPr>
        <w:t>监控器应设有保护接地端子。</w:t>
      </w:r>
      <w:r>
        <w:rPr>
          <w:sz w:val="21"/>
        </w:rPr>
        <w:t> </w:t>
      </w:r>
    </w:p>
    <w:p>
      <w:pPr>
        <w:pStyle w:val="BodyText"/>
        <w:rPr>
          <w:sz w:val="18"/>
        </w:rPr>
      </w:pPr>
    </w:p>
    <w:p>
      <w:pPr>
        <w:pStyle w:val="ListParagraph"/>
        <w:numPr>
          <w:ilvl w:val="3"/>
          <w:numId w:val="574"/>
        </w:numPr>
        <w:tabs>
          <w:tab w:pos="1576" w:val="left" w:leader="none"/>
        </w:tabs>
        <w:spacing w:line="240" w:lineRule="auto" w:before="0" w:after="0"/>
        <w:ind w:left="1575" w:right="0" w:hanging="738"/>
        <w:jc w:val="left"/>
        <w:rPr>
          <w:sz w:val="21"/>
        </w:rPr>
      </w:pPr>
      <w:r>
        <w:rPr>
          <w:spacing w:val="-3"/>
          <w:sz w:val="21"/>
        </w:rPr>
        <w:t>监控器使用文字显示信息时，应采用中文。 </w:t>
      </w:r>
    </w:p>
    <w:p>
      <w:pPr>
        <w:pStyle w:val="BodyText"/>
        <w:spacing w:before="2"/>
        <w:rPr>
          <w:sz w:val="18"/>
        </w:rPr>
      </w:pPr>
    </w:p>
    <w:p>
      <w:pPr>
        <w:pStyle w:val="ListParagraph"/>
        <w:numPr>
          <w:ilvl w:val="3"/>
          <w:numId w:val="574"/>
        </w:numPr>
        <w:tabs>
          <w:tab w:pos="1576" w:val="left" w:leader="none"/>
        </w:tabs>
        <w:spacing w:line="446" w:lineRule="auto" w:before="0" w:after="0"/>
        <w:ind w:left="418" w:right="1609" w:firstLine="419"/>
        <w:jc w:val="left"/>
        <w:rPr>
          <w:sz w:val="21"/>
        </w:rPr>
      </w:pPr>
      <w:r>
        <w:rPr>
          <w:spacing w:val="-3"/>
          <w:sz w:val="21"/>
        </w:rPr>
        <w:t>监控器应能显示与其连接的电动闭门器和释放器的开、闭状态，并应有专用状态指示灯。</w:t>
      </w:r>
      <w:r>
        <w:rPr>
          <w:sz w:val="21"/>
        </w:rPr>
        <w:t> </w:t>
      </w:r>
    </w:p>
    <w:p>
      <w:pPr>
        <w:pStyle w:val="ListParagraph"/>
        <w:numPr>
          <w:ilvl w:val="3"/>
          <w:numId w:val="574"/>
        </w:numPr>
        <w:tabs>
          <w:tab w:pos="1576" w:val="left" w:leader="none"/>
        </w:tabs>
        <w:spacing w:line="446" w:lineRule="auto" w:before="0" w:after="0"/>
        <w:ind w:left="418" w:right="1609" w:firstLine="419"/>
        <w:jc w:val="left"/>
        <w:rPr>
          <w:sz w:val="21"/>
        </w:rPr>
      </w:pPr>
      <w:r>
        <w:rPr>
          <w:spacing w:val="-3"/>
          <w:sz w:val="21"/>
        </w:rPr>
        <w:t>监控器应能直接控制与其连接的每个电动闭门器和释放器的工作状态，并设启动总指示灯，启动信号发出时，应点亮该指示灯。</w:t>
      </w:r>
      <w:r>
        <w:rPr>
          <w:sz w:val="21"/>
        </w:rPr>
        <w:t> </w:t>
      </w:r>
    </w:p>
    <w:p>
      <w:pPr>
        <w:pStyle w:val="ListParagraph"/>
        <w:numPr>
          <w:ilvl w:val="3"/>
          <w:numId w:val="574"/>
        </w:numPr>
        <w:tabs>
          <w:tab w:pos="1576" w:val="left" w:leader="none"/>
        </w:tabs>
        <w:spacing w:line="446" w:lineRule="auto" w:before="0" w:after="0"/>
        <w:ind w:left="418" w:right="1608" w:firstLine="419"/>
        <w:jc w:val="left"/>
        <w:rPr>
          <w:sz w:val="21"/>
        </w:rPr>
      </w:pPr>
      <w:r>
        <w:rPr>
          <w:spacing w:val="-5"/>
          <w:sz w:val="21"/>
        </w:rPr>
        <w:t>监控器应能接收来自火灾自动报警系统的火灾报警信号，并在 </w:t>
      </w:r>
      <w:r>
        <w:rPr>
          <w:sz w:val="21"/>
        </w:rPr>
        <w:t>30s</w:t>
      </w:r>
      <w:r>
        <w:rPr>
          <w:spacing w:val="-9"/>
          <w:sz w:val="21"/>
        </w:rPr>
        <w:t> 内向电动闭门</w:t>
      </w:r>
      <w:r>
        <w:rPr>
          <w:spacing w:val="-5"/>
          <w:sz w:val="21"/>
        </w:rPr>
        <w:t>器或释放器发出启动信号，点亮启动总指示灯。</w:t>
      </w:r>
      <w:r>
        <w:rPr>
          <w:sz w:val="21"/>
        </w:rPr>
        <w:t> </w:t>
      </w:r>
    </w:p>
    <w:p>
      <w:pPr>
        <w:pStyle w:val="ListParagraph"/>
        <w:numPr>
          <w:ilvl w:val="3"/>
          <w:numId w:val="574"/>
        </w:numPr>
        <w:tabs>
          <w:tab w:pos="1576" w:val="left" w:leader="none"/>
        </w:tabs>
        <w:spacing w:line="446" w:lineRule="auto" w:before="0" w:after="0"/>
        <w:ind w:left="418" w:right="1608" w:firstLine="419"/>
        <w:jc w:val="both"/>
        <w:rPr>
          <w:sz w:val="21"/>
        </w:rPr>
      </w:pPr>
      <w:r>
        <w:rPr>
          <w:spacing w:val="-5"/>
          <w:sz w:val="21"/>
        </w:rPr>
        <w:t>监控器应在电动闭门器、释放器或门磁开关动作后 </w:t>
      </w:r>
      <w:r>
        <w:rPr>
          <w:sz w:val="21"/>
        </w:rPr>
        <w:t>10s</w:t>
      </w:r>
      <w:r>
        <w:rPr>
          <w:spacing w:val="-8"/>
          <w:sz w:val="21"/>
        </w:rPr>
        <w:t> 内收到反馈信号，并应有</w:t>
      </w:r>
      <w:r>
        <w:rPr>
          <w:spacing w:val="-6"/>
          <w:sz w:val="21"/>
        </w:rPr>
        <w:t>反馈光指示，指示名称或部位，反馈光指示应保持至受控设备恢复；发出启动信号后 </w:t>
      </w:r>
      <w:r>
        <w:rPr>
          <w:sz w:val="21"/>
        </w:rPr>
        <w:t>10s</w:t>
      </w:r>
      <w:r>
        <w:rPr>
          <w:spacing w:val="-14"/>
          <w:sz w:val="21"/>
        </w:rPr>
        <w:t> 内未</w:t>
      </w:r>
      <w:r>
        <w:rPr>
          <w:spacing w:val="-3"/>
          <w:sz w:val="21"/>
        </w:rPr>
        <w:t>收到要求的反馈信号时，应使启动总指示灯闪亮，并显示相应电动闭门器、释放器或门磁开关的部位，保持至监控器收到反馈信号。</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3"/>
          <w:numId w:val="574"/>
        </w:numPr>
        <w:tabs>
          <w:tab w:pos="1576" w:val="left" w:leader="none"/>
        </w:tabs>
        <w:spacing w:line="240" w:lineRule="auto" w:before="47" w:after="0"/>
        <w:ind w:left="1575" w:right="0" w:hanging="738"/>
        <w:jc w:val="left"/>
        <w:rPr>
          <w:sz w:val="21"/>
        </w:rPr>
      </w:pPr>
      <w:r>
        <w:rPr>
          <w:spacing w:val="-3"/>
          <w:sz w:val="21"/>
        </w:rPr>
        <w:t>监控器应有防火门故障状态总指示灯，防火门处于故障状态时，该指示灯应点</w:t>
      </w:r>
    </w:p>
    <w:p>
      <w:pPr>
        <w:pStyle w:val="BodyText"/>
        <w:rPr>
          <w:sz w:val="18"/>
        </w:rPr>
      </w:pPr>
    </w:p>
    <w:p>
      <w:pPr>
        <w:pStyle w:val="BodyText"/>
        <w:spacing w:line="446" w:lineRule="auto"/>
        <w:ind w:left="418" w:right="1453"/>
      </w:pPr>
      <w:r>
        <w:rPr>
          <w:spacing w:val="-3"/>
        </w:rPr>
        <w:t>亮，并发出声光报警信号。声信号的声压级（</w:t>
      </w:r>
      <w:r>
        <w:rPr>
          <w:spacing w:val="-12"/>
        </w:rPr>
        <w:t>正前方 </w:t>
      </w:r>
      <w:r>
        <w:rPr/>
        <w:t>1m</w:t>
      </w:r>
      <w:r>
        <w:rPr>
          <w:spacing w:val="-22"/>
        </w:rPr>
        <w:t> 处</w:t>
      </w:r>
      <w:r>
        <w:rPr>
          <w:spacing w:val="-3"/>
        </w:rPr>
        <w:t>）</w:t>
      </w:r>
      <w:r>
        <w:rPr>
          <w:spacing w:val="-15"/>
        </w:rPr>
        <w:t>应为 </w:t>
      </w:r>
      <w:r>
        <w:rPr/>
        <w:t>65dB～85dB</w:t>
      </w:r>
      <w:r>
        <w:rPr>
          <w:spacing w:val="-3"/>
        </w:rPr>
        <w:t>；故障声信号每分</w:t>
      </w:r>
      <w:r>
        <w:rPr>
          <w:spacing w:val="-12"/>
        </w:rPr>
        <w:t>钟至少提示 </w:t>
      </w:r>
      <w:r>
        <w:rPr/>
        <w:t>1</w:t>
      </w:r>
      <w:r>
        <w:rPr>
          <w:spacing w:val="-13"/>
        </w:rPr>
        <w:t> 次，每次持续时间应为 </w:t>
      </w:r>
      <w:r>
        <w:rPr/>
        <w:t>1～3s</w:t>
      </w:r>
      <w:r>
        <w:rPr>
          <w:spacing w:val="-3"/>
        </w:rPr>
        <w:t>。</w:t>
      </w:r>
      <w:r>
        <w:rPr/>
        <w:t> </w:t>
      </w:r>
    </w:p>
    <w:p>
      <w:pPr>
        <w:pStyle w:val="ListParagraph"/>
        <w:numPr>
          <w:ilvl w:val="3"/>
          <w:numId w:val="574"/>
        </w:numPr>
        <w:tabs>
          <w:tab w:pos="1682" w:val="left" w:leader="none"/>
        </w:tabs>
        <w:spacing w:line="446" w:lineRule="auto" w:before="0" w:after="0"/>
        <w:ind w:left="418" w:right="1505" w:firstLine="419"/>
        <w:jc w:val="left"/>
        <w:rPr>
          <w:sz w:val="21"/>
        </w:rPr>
      </w:pPr>
      <w:r>
        <w:rPr>
          <w:spacing w:val="-3"/>
          <w:sz w:val="21"/>
        </w:rPr>
        <w:t>监控器应能记录与其连接的防火门的状态信息（包括防火门地址，开、闭和故障状态及相应的时间等</w:t>
      </w:r>
      <w:r>
        <w:rPr>
          <w:sz w:val="21"/>
        </w:rPr>
        <w:t>）</w:t>
      </w:r>
      <w:r>
        <w:rPr>
          <w:spacing w:val="-8"/>
          <w:sz w:val="21"/>
        </w:rPr>
        <w:t>，记录容量不应少于 </w:t>
      </w:r>
      <w:r>
        <w:rPr>
          <w:sz w:val="21"/>
        </w:rPr>
        <w:t>10000</w:t>
      </w:r>
      <w:r>
        <w:rPr>
          <w:spacing w:val="-9"/>
          <w:sz w:val="21"/>
        </w:rPr>
        <w:t> 条，并具有将上述信息上传的功能。 </w:t>
      </w:r>
    </w:p>
    <w:p>
      <w:pPr>
        <w:pStyle w:val="ListParagraph"/>
        <w:numPr>
          <w:ilvl w:val="2"/>
          <w:numId w:val="574"/>
        </w:numPr>
        <w:tabs>
          <w:tab w:pos="1370" w:val="left" w:leader="none"/>
        </w:tabs>
        <w:spacing w:line="267" w:lineRule="exact" w:before="0" w:after="0"/>
        <w:ind w:left="1369" w:right="0" w:hanging="530"/>
        <w:jc w:val="left"/>
        <w:rPr>
          <w:b/>
          <w:sz w:val="21"/>
        </w:rPr>
      </w:pPr>
      <w:r>
        <w:rPr>
          <w:spacing w:val="-3"/>
          <w:sz w:val="21"/>
        </w:rPr>
        <w:t>自检功能</w:t>
      </w:r>
      <w:r>
        <w:rPr>
          <w:b/>
          <w:w w:val="99"/>
          <w:sz w:val="21"/>
        </w:rPr>
        <w:t> </w:t>
      </w:r>
    </w:p>
    <w:p>
      <w:pPr>
        <w:pStyle w:val="BodyText"/>
        <w:spacing w:before="2"/>
        <w:rPr>
          <w:b/>
          <w:sz w:val="18"/>
        </w:rPr>
      </w:pPr>
    </w:p>
    <w:p>
      <w:pPr>
        <w:pStyle w:val="BodyText"/>
        <w:spacing w:line="446" w:lineRule="auto"/>
        <w:ind w:left="418" w:right="1609" w:firstLine="419"/>
      </w:pPr>
      <w:r>
        <w:rPr/>
        <w:t>监控器应能对其音响部件及状态指示灯、显示器进行功能检查。监控器执行自检时，应不造成与其相连的外部设备动作。 </w:t>
      </w:r>
    </w:p>
    <w:p>
      <w:pPr>
        <w:pStyle w:val="ListParagraph"/>
        <w:numPr>
          <w:ilvl w:val="2"/>
          <w:numId w:val="574"/>
        </w:numPr>
        <w:tabs>
          <w:tab w:pos="1370" w:val="left" w:leader="none"/>
        </w:tabs>
        <w:spacing w:line="267" w:lineRule="exact" w:before="0" w:after="0"/>
        <w:ind w:left="1369" w:right="0" w:hanging="530"/>
        <w:jc w:val="left"/>
        <w:rPr>
          <w:b/>
          <w:sz w:val="21"/>
        </w:rPr>
      </w:pPr>
      <w:r>
        <w:rPr>
          <w:spacing w:val="-3"/>
          <w:sz w:val="21"/>
        </w:rPr>
        <w:t>备用电源功能</w:t>
      </w:r>
      <w:r>
        <w:rPr>
          <w:b/>
          <w:w w:val="99"/>
          <w:sz w:val="21"/>
        </w:rPr>
        <w:t> </w:t>
      </w:r>
    </w:p>
    <w:p>
      <w:pPr>
        <w:pStyle w:val="BodyText"/>
        <w:spacing w:before="2"/>
        <w:rPr>
          <w:b/>
          <w:sz w:val="18"/>
        </w:rPr>
      </w:pPr>
    </w:p>
    <w:p>
      <w:pPr>
        <w:pStyle w:val="ListParagraph"/>
        <w:numPr>
          <w:ilvl w:val="3"/>
          <w:numId w:val="574"/>
        </w:numPr>
        <w:tabs>
          <w:tab w:pos="1576" w:val="left" w:leader="none"/>
        </w:tabs>
        <w:spacing w:line="446" w:lineRule="auto" w:before="0" w:after="0"/>
        <w:ind w:left="838" w:right="4866" w:firstLine="0"/>
        <w:jc w:val="left"/>
        <w:rPr>
          <w:sz w:val="21"/>
        </w:rPr>
      </w:pPr>
      <w:r>
        <w:rPr>
          <w:spacing w:val="-3"/>
          <w:sz w:val="21"/>
        </w:rPr>
        <w:t>监控器应配有备用电源，并符合下述要求： a） 备用电源应采用密封、免维护充电电池。</w:t>
      </w:r>
      <w:r>
        <w:rPr>
          <w:sz w:val="21"/>
        </w:rPr>
        <w:t> </w:t>
      </w:r>
    </w:p>
    <w:p>
      <w:pPr>
        <w:pStyle w:val="ListParagraph"/>
        <w:numPr>
          <w:ilvl w:val="0"/>
          <w:numId w:val="575"/>
        </w:numPr>
        <w:tabs>
          <w:tab w:pos="1156" w:val="left" w:leader="none"/>
        </w:tabs>
        <w:spacing w:line="446" w:lineRule="auto" w:before="0" w:after="0"/>
        <w:ind w:left="838" w:right="4184" w:firstLine="0"/>
        <w:jc w:val="left"/>
        <w:rPr>
          <w:sz w:val="21"/>
        </w:rPr>
      </w:pPr>
      <w:r>
        <w:rPr>
          <w:spacing w:val="-5"/>
          <w:sz w:val="21"/>
        </w:rPr>
        <w:t>电池容量应保证监控器在下述情况下正常可靠工作 </w:t>
      </w:r>
      <w:r>
        <w:rPr>
          <w:sz w:val="21"/>
        </w:rPr>
        <w:t>3h： 1）</w:t>
      </w:r>
      <w:r>
        <w:rPr>
          <w:spacing w:val="-3"/>
          <w:sz w:val="21"/>
        </w:rPr>
        <w:t> 监控器处于通电工作状态；</w:t>
      </w:r>
      <w:r>
        <w:rPr>
          <w:sz w:val="21"/>
        </w:rPr>
        <w:t> </w:t>
      </w:r>
    </w:p>
    <w:p>
      <w:pPr>
        <w:pStyle w:val="BodyText"/>
        <w:ind w:left="838"/>
      </w:pPr>
      <w:r>
        <w:rPr/>
        <w:t>2） 提供防火门开启以及关闭所需的电源。 </w:t>
      </w:r>
    </w:p>
    <w:p>
      <w:pPr>
        <w:pStyle w:val="BodyText"/>
        <w:spacing w:before="10"/>
        <w:rPr>
          <w:sz w:val="17"/>
        </w:rPr>
      </w:pPr>
    </w:p>
    <w:p>
      <w:pPr>
        <w:pStyle w:val="ListParagraph"/>
        <w:numPr>
          <w:ilvl w:val="0"/>
          <w:numId w:val="575"/>
        </w:numPr>
        <w:tabs>
          <w:tab w:pos="1156" w:val="left" w:leader="none"/>
        </w:tabs>
        <w:spacing w:line="446" w:lineRule="auto" w:before="0" w:after="0"/>
        <w:ind w:left="418" w:right="1609" w:firstLine="419"/>
        <w:jc w:val="left"/>
        <w:rPr>
          <w:sz w:val="21"/>
        </w:rPr>
      </w:pPr>
      <w:r>
        <w:rPr>
          <w:spacing w:val="-3"/>
          <w:sz w:val="21"/>
        </w:rPr>
        <w:t>有防止电池过充电、过放电的功能；在不超过生产厂规定的电池极限放电情况下，应</w:t>
      </w:r>
      <w:r>
        <w:rPr>
          <w:spacing w:val="-20"/>
          <w:sz w:val="21"/>
        </w:rPr>
        <w:t>能在 </w:t>
      </w:r>
      <w:r>
        <w:rPr>
          <w:sz w:val="21"/>
        </w:rPr>
        <w:t>24h</w:t>
      </w:r>
      <w:r>
        <w:rPr>
          <w:spacing w:val="-9"/>
          <w:sz w:val="21"/>
        </w:rPr>
        <w:t> 内完成对电池的充电。</w:t>
      </w:r>
      <w:r>
        <w:rPr>
          <w:sz w:val="21"/>
        </w:rPr>
        <w:t> </w:t>
      </w:r>
    </w:p>
    <w:p>
      <w:pPr>
        <w:pStyle w:val="ListParagraph"/>
        <w:numPr>
          <w:ilvl w:val="3"/>
          <w:numId w:val="574"/>
        </w:numPr>
        <w:tabs>
          <w:tab w:pos="1576" w:val="left" w:leader="none"/>
        </w:tabs>
        <w:spacing w:line="446" w:lineRule="auto" w:before="0" w:after="0"/>
        <w:ind w:left="418" w:right="1609" w:firstLine="419"/>
        <w:jc w:val="left"/>
        <w:rPr>
          <w:sz w:val="21"/>
        </w:rPr>
      </w:pPr>
      <w:r>
        <w:rPr>
          <w:spacing w:val="-3"/>
          <w:sz w:val="21"/>
        </w:rPr>
        <w:t>监控器应有主、备电源转换功能。主、备电源的工作状态应有指示，主、备电源的转换应不使监控器发生误动作。</w:t>
      </w:r>
      <w:r>
        <w:rPr>
          <w:sz w:val="21"/>
        </w:rPr>
        <w:t> </w:t>
      </w:r>
    </w:p>
    <w:p>
      <w:pPr>
        <w:pStyle w:val="ListParagraph"/>
        <w:numPr>
          <w:ilvl w:val="2"/>
          <w:numId w:val="574"/>
        </w:numPr>
        <w:tabs>
          <w:tab w:pos="1370" w:val="left" w:leader="none"/>
        </w:tabs>
        <w:spacing w:line="240" w:lineRule="auto" w:before="0" w:after="0"/>
        <w:ind w:left="1369" w:right="0" w:hanging="530"/>
        <w:jc w:val="left"/>
        <w:rPr>
          <w:b/>
          <w:sz w:val="21"/>
        </w:rPr>
      </w:pPr>
      <w:r>
        <w:rPr>
          <w:spacing w:val="-3"/>
          <w:sz w:val="21"/>
        </w:rPr>
        <w:t>故障报警功能</w:t>
      </w:r>
      <w:r>
        <w:rPr>
          <w:b/>
          <w:w w:val="99"/>
          <w:sz w:val="21"/>
        </w:rPr>
        <w:t> </w:t>
      </w:r>
    </w:p>
    <w:p>
      <w:pPr>
        <w:pStyle w:val="BodyText"/>
        <w:rPr>
          <w:b/>
          <w:sz w:val="18"/>
        </w:rPr>
      </w:pPr>
    </w:p>
    <w:p>
      <w:pPr>
        <w:pStyle w:val="BodyText"/>
        <w:spacing w:line="446" w:lineRule="auto"/>
        <w:ind w:left="418" w:right="1505" w:firstLine="419"/>
      </w:pPr>
      <w:r>
        <w:rPr>
          <w:spacing w:val="-6"/>
        </w:rPr>
        <w:t>有下述故障时，监控器应在 </w:t>
      </w:r>
      <w:r>
        <w:rPr/>
        <w:t>100s</w:t>
      </w:r>
      <w:r>
        <w:rPr>
          <w:spacing w:val="-7"/>
        </w:rPr>
        <w:t> 内发出与报警信号有明显区别的声、光故障信号，故障声</w:t>
      </w:r>
      <w:r>
        <w:rPr>
          <w:spacing w:val="-5"/>
        </w:rPr>
        <w:t>信号应能手动消除，再有故障信号输入时，应能再启动；故障光信号应保持至故障排除：</w:t>
      </w:r>
      <w:r>
        <w:rPr/>
        <w:t> </w:t>
      </w:r>
    </w:p>
    <w:p>
      <w:pPr>
        <w:pStyle w:val="ListParagraph"/>
        <w:numPr>
          <w:ilvl w:val="0"/>
          <w:numId w:val="576"/>
        </w:numPr>
        <w:tabs>
          <w:tab w:pos="1156" w:val="left" w:leader="none"/>
        </w:tabs>
        <w:spacing w:line="240" w:lineRule="auto" w:before="0" w:after="0"/>
        <w:ind w:left="1155" w:right="0" w:hanging="318"/>
        <w:jc w:val="left"/>
        <w:rPr>
          <w:sz w:val="21"/>
        </w:rPr>
      </w:pPr>
      <w:r>
        <w:rPr>
          <w:spacing w:val="-3"/>
          <w:sz w:val="21"/>
        </w:rPr>
        <w:t>监控器的主电源断电；</w:t>
      </w:r>
      <w:r>
        <w:rPr>
          <w:sz w:val="21"/>
        </w:rPr>
        <w:t> </w:t>
      </w:r>
    </w:p>
    <w:p>
      <w:pPr>
        <w:pStyle w:val="BodyText"/>
        <w:spacing w:before="12"/>
        <w:rPr>
          <w:sz w:val="17"/>
        </w:rPr>
      </w:pPr>
    </w:p>
    <w:p>
      <w:pPr>
        <w:pStyle w:val="ListParagraph"/>
        <w:numPr>
          <w:ilvl w:val="0"/>
          <w:numId w:val="576"/>
        </w:numPr>
        <w:tabs>
          <w:tab w:pos="1156" w:val="left" w:leader="none"/>
        </w:tabs>
        <w:spacing w:line="446" w:lineRule="auto" w:before="0" w:after="0"/>
        <w:ind w:left="838" w:right="3397" w:firstLine="0"/>
        <w:jc w:val="left"/>
        <w:rPr>
          <w:sz w:val="21"/>
        </w:rPr>
      </w:pPr>
      <w:r>
        <w:rPr>
          <w:spacing w:val="-3"/>
          <w:sz w:val="21"/>
        </w:rPr>
        <w:t>监控器与电动闭门器、释放器、门磁开关间连接线断路、短路； </w:t>
      </w:r>
      <w:r>
        <w:rPr>
          <w:sz w:val="21"/>
        </w:rPr>
        <w:t>c）</w:t>
      </w:r>
      <w:r>
        <w:rPr>
          <w:spacing w:val="-3"/>
          <w:sz w:val="21"/>
        </w:rPr>
        <w:t>电动闭门器、释放器、门磁开关的供电电源故障； </w:t>
      </w:r>
    </w:p>
    <w:p>
      <w:pPr>
        <w:pStyle w:val="BodyText"/>
        <w:spacing w:line="446" w:lineRule="auto"/>
        <w:ind w:left="838" w:right="5077"/>
      </w:pPr>
      <w:r>
        <w:rPr/>
        <w:t>d） 备用电源与充电器之间的连接线断路、短路； e） 备用电源故障。 </w:t>
      </w:r>
    </w:p>
    <w:p>
      <w:pPr>
        <w:pStyle w:val="ListParagraph"/>
        <w:numPr>
          <w:ilvl w:val="1"/>
          <w:numId w:val="577"/>
        </w:numPr>
        <w:tabs>
          <w:tab w:pos="1159" w:val="left" w:leader="none"/>
        </w:tabs>
        <w:spacing w:line="267" w:lineRule="exact" w:before="0" w:after="0"/>
        <w:ind w:left="1158" w:right="0" w:hanging="319"/>
        <w:jc w:val="left"/>
        <w:rPr>
          <w:b/>
          <w:sz w:val="21"/>
        </w:rPr>
      </w:pPr>
      <w:r>
        <w:rPr>
          <w:spacing w:val="-3"/>
          <w:sz w:val="21"/>
        </w:rPr>
        <w:t>绝缘电阻</w:t>
      </w:r>
      <w:r>
        <w:rPr>
          <w:b/>
          <w:w w:val="99"/>
          <w:sz w:val="21"/>
        </w:rPr>
        <w:t>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391" w:firstLine="419"/>
      </w:pPr>
      <w:r>
        <w:rPr/>
        <w:t>监控器有绝缘要求的外部带电端子与机壳间的绝缘电阻值应不小于 20MΩ；电源输入端与机壳间的绝缘电阻值应不小于 50MΩ。 </w:t>
      </w:r>
    </w:p>
    <w:p>
      <w:pPr>
        <w:pStyle w:val="ListParagraph"/>
        <w:numPr>
          <w:ilvl w:val="1"/>
          <w:numId w:val="577"/>
        </w:numPr>
        <w:tabs>
          <w:tab w:pos="1159" w:val="left" w:leader="none"/>
        </w:tabs>
        <w:spacing w:line="267" w:lineRule="exact" w:before="0" w:after="0"/>
        <w:ind w:left="1158" w:right="0" w:hanging="319"/>
        <w:jc w:val="left"/>
        <w:rPr>
          <w:sz w:val="21"/>
        </w:rPr>
      </w:pPr>
      <w:r>
        <w:rPr>
          <w:spacing w:val="-3"/>
          <w:sz w:val="21"/>
        </w:rPr>
        <w:t>电气强度</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pStyle w:val="BodyText"/>
        <w:spacing w:line="446" w:lineRule="auto"/>
        <w:ind w:left="418" w:right="1767" w:firstLine="419"/>
        <w:jc w:val="both"/>
      </w:pPr>
      <w:r>
        <w:rPr>
          <w:spacing w:val="-6"/>
        </w:rPr>
        <w:t>监控器的电源插头与机壳间应能耐受频率为 </w:t>
      </w:r>
      <w:r>
        <w:rPr/>
        <w:t>50Hz，</w:t>
      </w:r>
      <w:r>
        <w:rPr>
          <w:spacing w:val="-8"/>
        </w:rPr>
        <w:t>有效值电压为 </w:t>
      </w:r>
      <w:r>
        <w:rPr/>
        <w:t>1250V</w:t>
      </w:r>
      <w:r>
        <w:rPr>
          <w:spacing w:val="-8"/>
        </w:rPr>
        <w:t> 的交流电压历时1min</w:t>
      </w:r>
      <w:r>
        <w:rPr>
          <w:spacing w:val="-5"/>
        </w:rPr>
        <w:t> 的电气强度试验。试验期间，不应发生击穿现象；试验后，基本功能应与试验前保持一</w:t>
      </w:r>
      <w:r>
        <w:rPr>
          <w:spacing w:val="-4"/>
        </w:rPr>
        <w:t>致。</w:t>
      </w:r>
      <w:r>
        <w:rPr/>
        <w:t> </w:t>
      </w:r>
    </w:p>
    <w:p>
      <w:pPr>
        <w:pStyle w:val="ListParagraph"/>
        <w:numPr>
          <w:ilvl w:val="1"/>
          <w:numId w:val="577"/>
        </w:numPr>
        <w:tabs>
          <w:tab w:pos="1159" w:val="left" w:leader="none"/>
        </w:tabs>
        <w:spacing w:line="268" w:lineRule="exact" w:before="0" w:after="0"/>
        <w:ind w:left="1158" w:right="0" w:hanging="319"/>
        <w:jc w:val="left"/>
        <w:rPr>
          <w:sz w:val="21"/>
        </w:rPr>
      </w:pPr>
      <w:r>
        <w:rPr>
          <w:spacing w:val="-3"/>
          <w:sz w:val="21"/>
        </w:rPr>
        <w:t>电磁兼容性能</w:t>
      </w:r>
      <w:r>
        <w:rPr>
          <w:sz w:val="21"/>
        </w:rPr>
        <w:t> </w:t>
      </w:r>
    </w:p>
    <w:p>
      <w:pPr>
        <w:pStyle w:val="BodyText"/>
        <w:spacing w:before="2"/>
        <w:rPr>
          <w:sz w:val="18"/>
        </w:rPr>
      </w:pPr>
    </w:p>
    <w:p>
      <w:pPr>
        <w:pStyle w:val="BodyText"/>
        <w:spacing w:line="446" w:lineRule="auto"/>
        <w:ind w:left="418" w:right="1608" w:firstLine="419"/>
      </w:pPr>
      <w:r>
        <w:rPr>
          <w:spacing w:val="-7"/>
        </w:rPr>
        <w:t>监控器应能适应表 </w:t>
      </w:r>
      <w:r>
        <w:rPr/>
        <w:t>1</w:t>
      </w:r>
      <w:r>
        <w:rPr>
          <w:spacing w:val="-7"/>
        </w:rPr>
        <w:t> 规定条件下的各项试验要求。试验期间，应保持正常监视状态；试验</w:t>
      </w:r>
      <w:r>
        <w:rPr>
          <w:spacing w:val="-5"/>
        </w:rPr>
        <w:t>后，基本功能应与试验前保持一致。</w:t>
      </w:r>
      <w:r>
        <w:rPr/>
        <w:t> </w:t>
      </w:r>
    </w:p>
    <w:p>
      <w:pPr>
        <w:pStyle w:val="BodyText"/>
        <w:spacing w:line="446" w:lineRule="auto"/>
        <w:ind w:left="418" w:right="1609" w:firstLine="419"/>
      </w:pPr>
      <w:r>
        <w:rPr/>
        <w:t>注：正常监视状态指监控器在电源正常供电条件下，无故障报警、自检等操作时所处的工作状态。 </w:t>
      </w:r>
    </w:p>
    <w:p>
      <w:pPr>
        <w:pStyle w:val="Heading6"/>
        <w:ind w:left="3733"/>
        <w:rPr>
          <w:b w:val="0"/>
        </w:rPr>
      </w:pPr>
      <w:r>
        <w:rPr/>
        <w:t>表 1 电磁兼容试验条</w:t>
      </w:r>
      <w:r>
        <w:rPr>
          <w:b w:val="0"/>
        </w:rPr>
        <w:t>件 </w:t>
      </w:r>
    </w:p>
    <w:p>
      <w:pPr>
        <w:spacing w:after="0"/>
        <w:sectPr>
          <w:footerReference w:type="default" r:id="rId341"/>
          <w:pgSz w:w="11910" w:h="16850"/>
          <w:pgMar w:footer="1239" w:header="0" w:top="1220" w:bottom="1420" w:left="1260" w:right="0"/>
          <w:pgNumType w:start="1260"/>
        </w:sectPr>
      </w:pPr>
    </w:p>
    <w:p>
      <w:pPr>
        <w:pStyle w:val="BodyText"/>
        <w:ind w:left="613"/>
        <w:rPr>
          <w:sz w:val="20"/>
        </w:rPr>
      </w:pPr>
      <w:r>
        <w:rPr>
          <w:sz w:val="20"/>
        </w:rPr>
        <w:drawing>
          <wp:inline distT="0" distB="0" distL="0" distR="0">
            <wp:extent cx="5293256" cy="4648200"/>
            <wp:effectExtent l="0" t="0" r="0" b="0"/>
            <wp:docPr id="483" name="image282.jpeg"/>
            <wp:cNvGraphicFramePr>
              <a:graphicFrameLocks noChangeAspect="1"/>
            </wp:cNvGraphicFramePr>
            <a:graphic>
              <a:graphicData uri="http://schemas.openxmlformats.org/drawingml/2006/picture">
                <pic:pic>
                  <pic:nvPicPr>
                    <pic:cNvPr id="484" name="image282.jpeg"/>
                    <pic:cNvPicPr/>
                  </pic:nvPicPr>
                  <pic:blipFill>
                    <a:blip r:embed="rId342" cstate="print"/>
                    <a:stretch>
                      <a:fillRect/>
                    </a:stretch>
                  </pic:blipFill>
                  <pic:spPr>
                    <a:xfrm>
                      <a:off x="0" y="0"/>
                      <a:ext cx="5293256" cy="4648200"/>
                    </a:xfrm>
                    <a:prstGeom prst="rect">
                      <a:avLst/>
                    </a:prstGeom>
                  </pic:spPr>
                </pic:pic>
              </a:graphicData>
            </a:graphic>
          </wp:inline>
        </w:drawing>
      </w:r>
      <w:r>
        <w:rPr>
          <w:sz w:val="20"/>
        </w:rPr>
      </w:r>
    </w:p>
    <w:p>
      <w:pPr>
        <w:pStyle w:val="BodyText"/>
        <w:spacing w:before="9"/>
        <w:rPr>
          <w:sz w:val="11"/>
        </w:rPr>
      </w:pPr>
    </w:p>
    <w:p>
      <w:pPr>
        <w:pStyle w:val="ListParagraph"/>
        <w:numPr>
          <w:ilvl w:val="1"/>
          <w:numId w:val="577"/>
        </w:numPr>
        <w:tabs>
          <w:tab w:pos="1159" w:val="left" w:leader="none"/>
        </w:tabs>
        <w:spacing w:line="240" w:lineRule="auto" w:before="72" w:after="0"/>
        <w:ind w:left="1158" w:right="0" w:hanging="319"/>
        <w:jc w:val="left"/>
        <w:rPr>
          <w:sz w:val="21"/>
        </w:rPr>
      </w:pPr>
      <w:r>
        <w:rPr>
          <w:spacing w:val="-3"/>
          <w:sz w:val="21"/>
        </w:rPr>
        <w:t>电源瞬变耐受性</w:t>
      </w:r>
      <w:r>
        <w:rPr>
          <w:sz w:val="21"/>
        </w:rPr>
        <w:t> </w:t>
      </w:r>
    </w:p>
    <w:p>
      <w:pPr>
        <w:pStyle w:val="BodyText"/>
        <w:spacing w:before="12"/>
        <w:rPr>
          <w:sz w:val="17"/>
        </w:rPr>
      </w:pPr>
    </w:p>
    <w:p>
      <w:pPr>
        <w:pStyle w:val="BodyText"/>
        <w:spacing w:line="446" w:lineRule="auto"/>
        <w:ind w:left="418" w:right="1609" w:firstLine="419"/>
      </w:pPr>
      <w:r>
        <w:rPr>
          <w:spacing w:val="-3"/>
        </w:rPr>
        <w:t>监控器的主电源按“通电</w:t>
      </w:r>
      <w:r>
        <w:rPr/>
        <w:t>（9s）～</w:t>
      </w:r>
      <w:r>
        <w:rPr>
          <w:spacing w:val="-2"/>
        </w:rPr>
        <w:t>断电</w:t>
      </w:r>
      <w:r>
        <w:rPr/>
        <w:t>（1s）</w:t>
      </w:r>
      <w:r>
        <w:rPr>
          <w:spacing w:val="-7"/>
        </w:rPr>
        <w:t>”的固定程序连续通断 </w:t>
      </w:r>
      <w:r>
        <w:rPr/>
        <w:t>500</w:t>
      </w:r>
      <w:r>
        <w:rPr>
          <w:spacing w:val="-8"/>
        </w:rPr>
        <w:t> 次。试验期间， </w:t>
      </w:r>
      <w:r>
        <w:rPr>
          <w:spacing w:val="-5"/>
        </w:rPr>
        <w:t>应保持正常监视状态；试验后，基本功能应与试验前保持一致。</w:t>
      </w:r>
      <w:r>
        <w:rPr/>
        <w:t> </w:t>
      </w:r>
    </w:p>
    <w:p>
      <w:pPr>
        <w:pStyle w:val="ListParagraph"/>
        <w:numPr>
          <w:ilvl w:val="1"/>
          <w:numId w:val="577"/>
        </w:numPr>
        <w:tabs>
          <w:tab w:pos="1159" w:val="left" w:leader="none"/>
        </w:tabs>
        <w:spacing w:line="240" w:lineRule="auto" w:before="1" w:after="0"/>
        <w:ind w:left="1158" w:right="0" w:hanging="319"/>
        <w:jc w:val="left"/>
        <w:rPr>
          <w:sz w:val="21"/>
        </w:rPr>
      </w:pPr>
      <w:r>
        <w:rPr>
          <w:spacing w:val="-3"/>
          <w:sz w:val="21"/>
        </w:rPr>
        <w:t>气候环境耐受性</w:t>
      </w:r>
      <w:r>
        <w:rPr>
          <w:sz w:val="21"/>
        </w:rPr>
        <w:t> </w:t>
      </w:r>
    </w:p>
    <w:p>
      <w:pPr>
        <w:pStyle w:val="BodyText"/>
        <w:spacing w:before="12"/>
        <w:rPr>
          <w:sz w:val="17"/>
        </w:rPr>
      </w:pPr>
    </w:p>
    <w:p>
      <w:pPr>
        <w:pStyle w:val="BodyText"/>
        <w:spacing w:line="446" w:lineRule="auto"/>
        <w:ind w:left="418" w:right="1608" w:firstLine="419"/>
        <w:jc w:val="both"/>
      </w:pPr>
      <w:r>
        <w:rPr>
          <w:spacing w:val="-7"/>
        </w:rPr>
        <w:t>监控器应能耐受表 </w:t>
      </w:r>
      <w:r>
        <w:rPr/>
        <w:t>2</w:t>
      </w:r>
      <w:r>
        <w:rPr>
          <w:spacing w:val="-7"/>
        </w:rPr>
        <w:t> 规定的气候条件下的各项试验。试验期间，处于通电状态的监控器及</w:t>
      </w:r>
      <w:r>
        <w:rPr>
          <w:spacing w:val="-5"/>
        </w:rPr>
        <w:t>其组件应保持正常监视状态；试验后，应无破坏涂覆和腐蚀现象，基本功能应与试验前保持一</w:t>
      </w:r>
      <w:r>
        <w:rPr>
          <w:spacing w:val="-4"/>
        </w:rPr>
        <w:t>致。</w:t>
      </w:r>
      <w:r>
        <w:rPr/>
        <w:t> </w:t>
      </w:r>
    </w:p>
    <w:p>
      <w:pPr>
        <w:pStyle w:val="Heading6"/>
        <w:spacing w:line="268" w:lineRule="exact"/>
        <w:ind w:left="3941"/>
        <w:jc w:val="both"/>
      </w:pPr>
      <w:r>
        <w:rPr/>
        <w:t>表 2 气候环境条件</w:t>
      </w:r>
      <w:r>
        <w:rPr>
          <w:w w:val="99"/>
        </w:rPr>
        <w:t> </w:t>
      </w:r>
    </w:p>
    <w:p>
      <w:pPr>
        <w:pStyle w:val="BodyText"/>
        <w:spacing w:before="2"/>
        <w:rPr>
          <w:b/>
          <w:sz w:val="18"/>
        </w:rPr>
      </w:pPr>
    </w:p>
    <w:p>
      <w:pPr>
        <w:pStyle w:val="BodyText"/>
        <w:ind w:right="912"/>
        <w:jc w:val="center"/>
      </w:pPr>
      <w:r>
        <w:rPr>
          <w:w w:val="100"/>
        </w:rPr>
        <w:t> </w:t>
      </w:r>
    </w:p>
    <w:p>
      <w:pPr>
        <w:spacing w:after="0"/>
        <w:jc w:val="center"/>
        <w:sectPr>
          <w:pgSz w:w="11910" w:h="16850"/>
          <w:pgMar w:header="0" w:footer="1239" w:top="1600" w:bottom="1420" w:left="1260" w:right="0"/>
        </w:sectPr>
      </w:pPr>
    </w:p>
    <w:p>
      <w:pPr>
        <w:pStyle w:val="BodyText"/>
        <w:ind w:left="553"/>
        <w:rPr>
          <w:sz w:val="20"/>
        </w:rPr>
      </w:pPr>
      <w:r>
        <w:rPr>
          <w:sz w:val="20"/>
        </w:rPr>
        <w:drawing>
          <wp:inline distT="0" distB="0" distL="0" distR="0">
            <wp:extent cx="4816475" cy="1352550"/>
            <wp:effectExtent l="0" t="0" r="0" b="0"/>
            <wp:docPr id="485" name="image283.jpeg"/>
            <wp:cNvGraphicFramePr>
              <a:graphicFrameLocks noChangeAspect="1"/>
            </wp:cNvGraphicFramePr>
            <a:graphic>
              <a:graphicData uri="http://schemas.openxmlformats.org/drawingml/2006/picture">
                <pic:pic>
                  <pic:nvPicPr>
                    <pic:cNvPr id="486" name="image283.jpeg"/>
                    <pic:cNvPicPr/>
                  </pic:nvPicPr>
                  <pic:blipFill>
                    <a:blip r:embed="rId343" cstate="print"/>
                    <a:stretch>
                      <a:fillRect/>
                    </a:stretch>
                  </pic:blipFill>
                  <pic:spPr>
                    <a:xfrm>
                      <a:off x="0" y="0"/>
                      <a:ext cx="4816475" cy="1352550"/>
                    </a:xfrm>
                    <a:prstGeom prst="rect">
                      <a:avLst/>
                    </a:prstGeom>
                  </pic:spPr>
                </pic:pic>
              </a:graphicData>
            </a:graphic>
          </wp:inline>
        </w:drawing>
      </w:r>
      <w:r>
        <w:rPr>
          <w:sz w:val="20"/>
        </w:rPr>
      </w:r>
    </w:p>
    <w:p>
      <w:pPr>
        <w:pStyle w:val="BodyText"/>
        <w:rPr>
          <w:sz w:val="20"/>
        </w:rPr>
      </w:pPr>
    </w:p>
    <w:p>
      <w:pPr>
        <w:pStyle w:val="BodyText"/>
        <w:spacing w:before="11"/>
        <w:rPr>
          <w:sz w:val="18"/>
        </w:rPr>
      </w:pPr>
    </w:p>
    <w:p>
      <w:pPr>
        <w:pStyle w:val="ListParagraph"/>
        <w:numPr>
          <w:ilvl w:val="1"/>
          <w:numId w:val="577"/>
        </w:numPr>
        <w:tabs>
          <w:tab w:pos="829" w:val="left" w:leader="none"/>
        </w:tabs>
        <w:spacing w:line="240" w:lineRule="auto" w:before="0" w:after="0"/>
        <w:ind w:left="828" w:right="0" w:hanging="411"/>
        <w:jc w:val="left"/>
        <w:rPr>
          <w:sz w:val="24"/>
        </w:rPr>
      </w:pPr>
      <w:r>
        <w:rPr>
          <w:spacing w:val="-25"/>
          <w:sz w:val="21"/>
        </w:rPr>
        <w:t>机 械 环 境 耐 受 性</w:t>
      </w:r>
      <w:r>
        <w:rPr>
          <w:spacing w:val="-44"/>
          <w:sz w:val="21"/>
        </w:rPr>
        <w:t> </w:t>
      </w:r>
      <w:r>
        <w:rPr>
          <w:sz w:val="24"/>
        </w:rPr>
        <w:t> </w:t>
      </w:r>
    </w:p>
    <w:p>
      <w:pPr>
        <w:pStyle w:val="BodyText"/>
        <w:spacing w:before="9"/>
        <w:rPr>
          <w:sz w:val="29"/>
        </w:rPr>
      </w:pPr>
    </w:p>
    <w:p>
      <w:pPr>
        <w:pStyle w:val="BodyText"/>
        <w:spacing w:line="446" w:lineRule="auto" w:before="1"/>
        <w:ind w:left="418" w:right="1608" w:firstLine="419"/>
        <w:jc w:val="both"/>
      </w:pPr>
      <w:r>
        <w:rPr>
          <w:spacing w:val="-7"/>
        </w:rPr>
        <w:t>监控器应能耐受表 </w:t>
      </w:r>
      <w:r>
        <w:rPr/>
        <w:t>3</w:t>
      </w:r>
      <w:r>
        <w:rPr>
          <w:spacing w:val="-7"/>
        </w:rPr>
        <w:t> 规定的机械环境条件下的各项试验。试验期间，处于通电状态的监控</w:t>
      </w:r>
      <w:r>
        <w:rPr>
          <w:spacing w:val="-5"/>
        </w:rPr>
        <w:t>器应保持正常监视状态；试验后，不应有机械损伤和紧固部位松动现象，基本功能应与试验前</w:t>
      </w:r>
      <w:r>
        <w:rPr>
          <w:spacing w:val="-4"/>
        </w:rPr>
        <w:t>保持一致。</w:t>
      </w:r>
      <w:r>
        <w:rPr/>
        <w:t> </w:t>
      </w:r>
    </w:p>
    <w:p>
      <w:pPr>
        <w:pStyle w:val="Heading6"/>
        <w:spacing w:line="268" w:lineRule="exact"/>
        <w:ind w:left="3941"/>
        <w:jc w:val="both"/>
      </w:pPr>
      <w:r>
        <w:rPr/>
        <w:t>表 3 机械环境条件</w:t>
      </w:r>
      <w:r>
        <w:rPr>
          <w:w w:val="99"/>
        </w:rPr>
        <w:t> </w:t>
      </w:r>
    </w:p>
    <w:p>
      <w:pPr>
        <w:pStyle w:val="BodyText"/>
        <w:spacing w:before="3"/>
        <w:rPr>
          <w:b/>
          <w:sz w:val="29"/>
        </w:rPr>
      </w:pPr>
      <w:r>
        <w:rPr/>
        <w:drawing>
          <wp:anchor distT="0" distB="0" distL="0" distR="0" allowOverlap="1" layoutInCell="1" locked="0" behindDoc="0" simplePos="0" relativeHeight="206">
            <wp:simplePos x="0" y="0"/>
            <wp:positionH relativeFrom="page">
              <wp:posOffset>1217930</wp:posOffset>
            </wp:positionH>
            <wp:positionV relativeFrom="paragraph">
              <wp:posOffset>262913</wp:posOffset>
            </wp:positionV>
            <wp:extent cx="4624896" cy="2009775"/>
            <wp:effectExtent l="0" t="0" r="0" b="0"/>
            <wp:wrapTopAndBottom/>
            <wp:docPr id="487" name="image284.jpeg"/>
            <wp:cNvGraphicFramePr>
              <a:graphicFrameLocks noChangeAspect="1"/>
            </wp:cNvGraphicFramePr>
            <a:graphic>
              <a:graphicData uri="http://schemas.openxmlformats.org/drawingml/2006/picture">
                <pic:pic>
                  <pic:nvPicPr>
                    <pic:cNvPr id="488" name="image284.jpeg"/>
                    <pic:cNvPicPr/>
                  </pic:nvPicPr>
                  <pic:blipFill>
                    <a:blip r:embed="rId344" cstate="print"/>
                    <a:stretch>
                      <a:fillRect/>
                    </a:stretch>
                  </pic:blipFill>
                  <pic:spPr>
                    <a:xfrm>
                      <a:off x="0" y="0"/>
                      <a:ext cx="4624896" cy="2009775"/>
                    </a:xfrm>
                    <a:prstGeom prst="rect">
                      <a:avLst/>
                    </a:prstGeom>
                  </pic:spPr>
                </pic:pic>
              </a:graphicData>
            </a:graphic>
          </wp:anchor>
        </w:drawing>
      </w:r>
    </w:p>
    <w:p>
      <w:pPr>
        <w:pStyle w:val="BodyText"/>
        <w:rPr>
          <w:b/>
          <w:sz w:val="20"/>
        </w:rPr>
      </w:pPr>
    </w:p>
    <w:p>
      <w:pPr>
        <w:pStyle w:val="BodyText"/>
        <w:spacing w:before="5"/>
        <w:rPr>
          <w:b/>
          <w:sz w:val="25"/>
        </w:rPr>
      </w:pPr>
    </w:p>
    <w:p>
      <w:pPr>
        <w:spacing w:before="67"/>
        <w:ind w:left="418" w:right="0" w:firstLine="0"/>
        <w:jc w:val="left"/>
        <w:rPr>
          <w:b/>
          <w:sz w:val="24"/>
        </w:rPr>
      </w:pPr>
      <w:r>
        <w:rPr>
          <w:b/>
          <w:sz w:val="24"/>
        </w:rPr>
        <w:t>5 试验</w:t>
      </w:r>
      <w:r>
        <w:rPr>
          <w:b/>
          <w:w w:val="99"/>
          <w:sz w:val="24"/>
        </w:rPr>
        <w:t> </w:t>
      </w:r>
    </w:p>
    <w:p>
      <w:pPr>
        <w:pStyle w:val="BodyText"/>
        <w:spacing w:before="4"/>
        <w:rPr>
          <w:b/>
          <w:sz w:val="17"/>
        </w:rPr>
      </w:pPr>
    </w:p>
    <w:p>
      <w:pPr>
        <w:pStyle w:val="ListParagraph"/>
        <w:numPr>
          <w:ilvl w:val="1"/>
          <w:numId w:val="578"/>
        </w:numPr>
        <w:tabs>
          <w:tab w:pos="1159" w:val="left" w:leader="none"/>
        </w:tabs>
        <w:spacing w:line="240" w:lineRule="auto" w:before="0" w:after="0"/>
        <w:ind w:left="1158" w:right="0" w:hanging="319"/>
        <w:jc w:val="left"/>
        <w:rPr>
          <w:sz w:val="21"/>
        </w:rPr>
      </w:pPr>
      <w:r>
        <w:rPr>
          <w:spacing w:val="-3"/>
          <w:sz w:val="21"/>
        </w:rPr>
        <w:t>总则</w:t>
      </w:r>
      <w:r>
        <w:rPr>
          <w:sz w:val="21"/>
        </w:rPr>
        <w:t> </w:t>
      </w:r>
    </w:p>
    <w:p>
      <w:pPr>
        <w:pStyle w:val="BodyText"/>
        <w:spacing w:before="2"/>
        <w:rPr>
          <w:sz w:val="18"/>
        </w:rPr>
      </w:pPr>
    </w:p>
    <w:p>
      <w:pPr>
        <w:pStyle w:val="ListParagraph"/>
        <w:numPr>
          <w:ilvl w:val="2"/>
          <w:numId w:val="578"/>
        </w:numPr>
        <w:tabs>
          <w:tab w:pos="1370" w:val="left" w:leader="none"/>
        </w:tabs>
        <w:spacing w:line="240" w:lineRule="auto" w:before="0" w:after="0"/>
        <w:ind w:left="1369" w:right="0" w:hanging="530"/>
        <w:jc w:val="left"/>
        <w:rPr>
          <w:sz w:val="19"/>
        </w:rPr>
      </w:pPr>
      <w:r>
        <w:rPr>
          <w:spacing w:val="-10"/>
          <w:sz w:val="21"/>
        </w:rPr>
        <w:t>试验程序见表 </w:t>
      </w:r>
      <w:r>
        <w:rPr>
          <w:sz w:val="21"/>
        </w:rPr>
        <w:t>4</w:t>
      </w:r>
      <w:r>
        <w:rPr>
          <w:spacing w:val="-3"/>
          <w:sz w:val="21"/>
        </w:rPr>
        <w:t>。</w:t>
      </w:r>
      <w:r>
        <w:rPr>
          <w:sz w:val="21"/>
        </w:rPr>
        <w:t> </w:t>
      </w:r>
    </w:p>
    <w:p>
      <w:pPr>
        <w:pStyle w:val="BodyText"/>
        <w:spacing w:before="12"/>
        <w:rPr>
          <w:sz w:val="17"/>
        </w:rPr>
      </w:pPr>
    </w:p>
    <w:p>
      <w:pPr>
        <w:pStyle w:val="ListParagraph"/>
        <w:numPr>
          <w:ilvl w:val="2"/>
          <w:numId w:val="578"/>
        </w:numPr>
        <w:tabs>
          <w:tab w:pos="1371" w:val="left" w:leader="none"/>
        </w:tabs>
        <w:spacing w:line="240" w:lineRule="auto" w:before="0" w:after="0"/>
        <w:ind w:left="1370" w:right="0" w:hanging="531"/>
        <w:jc w:val="left"/>
        <w:rPr>
          <w:sz w:val="19"/>
        </w:rPr>
      </w:pPr>
      <w:r>
        <w:rPr>
          <w:spacing w:val="-3"/>
          <w:sz w:val="21"/>
        </w:rPr>
        <w:t>试验应在下述环境条件下进行：</w:t>
      </w:r>
      <w:r>
        <w:rPr>
          <w:sz w:val="21"/>
        </w:rPr>
        <w:t> </w:t>
      </w:r>
    </w:p>
    <w:p>
      <w:pPr>
        <w:pStyle w:val="BodyText"/>
        <w:rPr>
          <w:sz w:val="18"/>
        </w:rPr>
      </w:pPr>
    </w:p>
    <w:p>
      <w:pPr>
        <w:pStyle w:val="BodyText"/>
        <w:ind w:left="838"/>
      </w:pPr>
      <w:r>
        <w:rPr/>
        <w:t>——温度：15～35℃； </w:t>
      </w:r>
    </w:p>
    <w:p>
      <w:pPr>
        <w:pStyle w:val="BodyText"/>
        <w:spacing w:before="1"/>
        <w:rPr>
          <w:sz w:val="18"/>
        </w:rPr>
      </w:pPr>
    </w:p>
    <w:p>
      <w:pPr>
        <w:pStyle w:val="BodyText"/>
        <w:spacing w:before="1"/>
        <w:ind w:left="838"/>
      </w:pPr>
      <w:r>
        <w:rPr/>
        <w:t>——湿度：25～75%RH； </w:t>
      </w:r>
    </w:p>
    <w:p>
      <w:pPr>
        <w:pStyle w:val="BodyText"/>
        <w:spacing w:before="12"/>
        <w:rPr>
          <w:sz w:val="17"/>
        </w:rPr>
      </w:pPr>
    </w:p>
    <w:p>
      <w:pPr>
        <w:pStyle w:val="BodyText"/>
        <w:ind w:left="838"/>
      </w:pPr>
      <w:r>
        <w:rPr/>
        <w:t>——大气压力：86～106kPa。 </w:t>
      </w:r>
    </w:p>
    <w:p>
      <w:pPr>
        <w:pStyle w:val="BodyText"/>
        <w:rPr>
          <w:sz w:val="18"/>
        </w:rPr>
      </w:pPr>
    </w:p>
    <w:p>
      <w:pPr>
        <w:pStyle w:val="BodyText"/>
        <w:spacing w:line="446" w:lineRule="auto"/>
        <w:ind w:left="418" w:right="1606" w:firstLine="422"/>
      </w:pPr>
      <w:r>
        <w:rPr>
          <w:b/>
        </w:rPr>
        <w:t>5.1.3 </w:t>
      </w:r>
      <w:r>
        <w:rPr>
          <w:spacing w:val="-8"/>
        </w:rPr>
        <w:t>电磁兼容试验设备应符合 </w:t>
      </w:r>
      <w:r>
        <w:rPr/>
        <w:t>GB/T 17626.2～17626.6</w:t>
      </w:r>
      <w:r>
        <w:rPr>
          <w:spacing w:val="-35"/>
        </w:rPr>
        <w:t> 和 </w:t>
      </w:r>
      <w:r>
        <w:rPr/>
        <w:t>GB/T 17626.11</w:t>
      </w:r>
      <w:r>
        <w:rPr>
          <w:spacing w:val="-10"/>
        </w:rPr>
        <w:t> 的规定，气候</w:t>
      </w:r>
      <w:r>
        <w:rPr>
          <w:spacing w:val="-9"/>
        </w:rPr>
        <w:t>环境和机械环境试验设备应符合 </w:t>
      </w:r>
      <w:r>
        <w:rPr/>
        <w:t>GB 16838</w:t>
      </w:r>
      <w:r>
        <w:rPr>
          <w:spacing w:val="-13"/>
        </w:rPr>
        <w:t> 的规定。</w:t>
      </w:r>
      <w:r>
        <w:rPr/>
        <w:t> </w:t>
      </w:r>
    </w:p>
    <w:p>
      <w:pPr>
        <w:pStyle w:val="ListParagraph"/>
        <w:numPr>
          <w:ilvl w:val="2"/>
          <w:numId w:val="579"/>
        </w:numPr>
        <w:tabs>
          <w:tab w:pos="1371" w:val="left" w:leader="none"/>
        </w:tabs>
        <w:spacing w:line="240" w:lineRule="auto" w:before="0" w:after="0"/>
        <w:ind w:left="1370" w:right="0" w:hanging="531"/>
        <w:jc w:val="left"/>
        <w:rPr>
          <w:sz w:val="21"/>
        </w:rPr>
      </w:pPr>
      <w:r>
        <w:rPr>
          <w:spacing w:val="-3"/>
          <w:sz w:val="21"/>
        </w:rPr>
        <w:t>各项试验数据的容差为±</w:t>
      </w:r>
      <w:r>
        <w:rPr>
          <w:sz w:val="21"/>
        </w:rPr>
        <w:t>5%</w:t>
      </w:r>
      <w:r>
        <w:rPr>
          <w:spacing w:val="-3"/>
          <w:sz w:val="21"/>
        </w:rPr>
        <w:t>。</w:t>
      </w:r>
      <w:r>
        <w:rPr>
          <w:sz w:val="21"/>
        </w:rPr>
        <w:t> </w:t>
      </w:r>
    </w:p>
    <w:p>
      <w:pPr>
        <w:spacing w:after="0" w:line="240" w:lineRule="auto"/>
        <w:jc w:val="left"/>
        <w:rPr>
          <w:sz w:val="21"/>
        </w:rPr>
        <w:sectPr>
          <w:pgSz w:w="11910" w:h="16850"/>
          <w:pgMar w:header="0" w:footer="1239" w:top="1100" w:bottom="1420" w:left="1260" w:right="0"/>
        </w:sectPr>
      </w:pPr>
    </w:p>
    <w:p>
      <w:pPr>
        <w:pStyle w:val="ListParagraph"/>
        <w:numPr>
          <w:ilvl w:val="2"/>
          <w:numId w:val="579"/>
        </w:numPr>
        <w:tabs>
          <w:tab w:pos="1370" w:val="left" w:leader="none"/>
        </w:tabs>
        <w:spacing w:line="240" w:lineRule="auto" w:before="47" w:after="0"/>
        <w:ind w:left="1369" w:right="0" w:hanging="530"/>
        <w:jc w:val="left"/>
        <w:rPr>
          <w:sz w:val="21"/>
        </w:rPr>
      </w:pPr>
      <w:r>
        <w:rPr>
          <w:spacing w:val="-10"/>
          <w:sz w:val="21"/>
        </w:rPr>
        <w:t>试样为监控器 </w:t>
      </w:r>
      <w:r>
        <w:rPr>
          <w:sz w:val="21"/>
        </w:rPr>
        <w:t>2</w:t>
      </w:r>
      <w:r>
        <w:rPr>
          <w:spacing w:val="-9"/>
          <w:sz w:val="21"/>
        </w:rPr>
        <w:t> 套，试验前予以编号。</w:t>
      </w:r>
      <w:r>
        <w:rPr>
          <w:sz w:val="21"/>
        </w:rPr>
        <w:t> </w:t>
      </w:r>
    </w:p>
    <w:p>
      <w:pPr>
        <w:pStyle w:val="BodyText"/>
        <w:rPr>
          <w:sz w:val="18"/>
        </w:rPr>
      </w:pPr>
    </w:p>
    <w:p>
      <w:pPr>
        <w:pStyle w:val="ListParagraph"/>
        <w:numPr>
          <w:ilvl w:val="2"/>
          <w:numId w:val="579"/>
        </w:numPr>
        <w:tabs>
          <w:tab w:pos="1371" w:val="left" w:leader="none"/>
        </w:tabs>
        <w:spacing w:line="446" w:lineRule="auto" w:before="0" w:after="0"/>
        <w:ind w:left="418" w:right="1604" w:firstLine="422"/>
        <w:jc w:val="left"/>
        <w:rPr>
          <w:sz w:val="21"/>
        </w:rPr>
      </w:pPr>
      <w:r>
        <w:rPr>
          <w:spacing w:val="-11"/>
          <w:sz w:val="21"/>
        </w:rPr>
        <w:t>试验前应按 </w:t>
      </w:r>
      <w:r>
        <w:rPr>
          <w:sz w:val="21"/>
        </w:rPr>
        <w:t>4.1</w:t>
      </w:r>
      <w:r>
        <w:rPr>
          <w:spacing w:val="-33"/>
          <w:sz w:val="21"/>
        </w:rPr>
        <w:t> 和 </w:t>
      </w:r>
      <w:r>
        <w:rPr>
          <w:sz w:val="21"/>
        </w:rPr>
        <w:t>4.2</w:t>
      </w:r>
      <w:r>
        <w:rPr>
          <w:spacing w:val="-9"/>
          <w:sz w:val="21"/>
        </w:rPr>
        <w:t> 的规定对试样进行外观和主要部件检查，符合要求方可进行</w:t>
      </w:r>
      <w:r>
        <w:rPr>
          <w:spacing w:val="-8"/>
          <w:sz w:val="21"/>
        </w:rPr>
        <w:t>试验。</w:t>
      </w:r>
      <w:r>
        <w:rPr>
          <w:sz w:val="21"/>
        </w:rPr>
        <w:t> </w:t>
      </w:r>
    </w:p>
    <w:p>
      <w:pPr>
        <w:pStyle w:val="Heading6"/>
        <w:ind w:left="4047"/>
        <w:rPr>
          <w:b w:val="0"/>
        </w:rPr>
      </w:pPr>
      <w:r>
        <w:rPr/>
        <w:t>表 4 试验程序</w:t>
      </w:r>
      <w:r>
        <w:rPr>
          <w:b w:val="0"/>
          <w:w w:val="100"/>
        </w:rPr>
        <w:t> </w:t>
      </w:r>
    </w:p>
    <w:p>
      <w:pPr>
        <w:pStyle w:val="BodyText"/>
        <w:rPr>
          <w:sz w:val="20"/>
        </w:rPr>
      </w:pPr>
    </w:p>
    <w:p>
      <w:pPr>
        <w:pStyle w:val="BodyText"/>
        <w:spacing w:before="5"/>
      </w:pPr>
      <w:r>
        <w:rPr/>
        <w:drawing>
          <wp:anchor distT="0" distB="0" distL="0" distR="0" allowOverlap="1" layoutInCell="1" locked="0" behindDoc="0" simplePos="0" relativeHeight="207">
            <wp:simplePos x="0" y="0"/>
            <wp:positionH relativeFrom="page">
              <wp:posOffset>1341755</wp:posOffset>
            </wp:positionH>
            <wp:positionV relativeFrom="paragraph">
              <wp:posOffset>198937</wp:posOffset>
            </wp:positionV>
            <wp:extent cx="4905089" cy="4762500"/>
            <wp:effectExtent l="0" t="0" r="0" b="0"/>
            <wp:wrapTopAndBottom/>
            <wp:docPr id="489" name="image285.jpeg"/>
            <wp:cNvGraphicFramePr>
              <a:graphicFrameLocks noChangeAspect="1"/>
            </wp:cNvGraphicFramePr>
            <a:graphic>
              <a:graphicData uri="http://schemas.openxmlformats.org/drawingml/2006/picture">
                <pic:pic>
                  <pic:nvPicPr>
                    <pic:cNvPr id="490" name="image285.jpeg"/>
                    <pic:cNvPicPr/>
                  </pic:nvPicPr>
                  <pic:blipFill>
                    <a:blip r:embed="rId345" cstate="print"/>
                    <a:stretch>
                      <a:fillRect/>
                    </a:stretch>
                  </pic:blipFill>
                  <pic:spPr>
                    <a:xfrm>
                      <a:off x="0" y="0"/>
                      <a:ext cx="4905089" cy="4762500"/>
                    </a:xfrm>
                    <a:prstGeom prst="rect">
                      <a:avLst/>
                    </a:prstGeom>
                  </pic:spPr>
                </pic:pic>
              </a:graphicData>
            </a:graphic>
          </wp:anchor>
        </w:drawing>
      </w:r>
    </w:p>
    <w:p>
      <w:pPr>
        <w:pStyle w:val="BodyText"/>
        <w:spacing w:before="4"/>
        <w:rPr>
          <w:sz w:val="8"/>
        </w:rPr>
      </w:pPr>
    </w:p>
    <w:p>
      <w:pPr>
        <w:pStyle w:val="ListParagraph"/>
        <w:numPr>
          <w:ilvl w:val="1"/>
          <w:numId w:val="578"/>
        </w:numPr>
        <w:tabs>
          <w:tab w:pos="1160" w:val="left" w:leader="none"/>
        </w:tabs>
        <w:spacing w:line="240" w:lineRule="auto" w:before="72" w:after="0"/>
        <w:ind w:left="1159" w:right="0" w:hanging="320"/>
        <w:jc w:val="left"/>
        <w:rPr>
          <w:b/>
          <w:sz w:val="21"/>
        </w:rPr>
      </w:pPr>
      <w:r>
        <w:rPr>
          <w:spacing w:val="-3"/>
          <w:sz w:val="21"/>
        </w:rPr>
        <w:t>基本功能试验</w:t>
      </w:r>
      <w:r>
        <w:rPr>
          <w:b/>
          <w:w w:val="99"/>
          <w:sz w:val="21"/>
        </w:rPr>
        <w:t> </w:t>
      </w:r>
    </w:p>
    <w:p>
      <w:pPr>
        <w:pStyle w:val="BodyText"/>
        <w:spacing w:before="1"/>
        <w:rPr>
          <w:b/>
          <w:sz w:val="18"/>
        </w:rPr>
      </w:pPr>
    </w:p>
    <w:p>
      <w:pPr>
        <w:pStyle w:val="ListParagraph"/>
        <w:numPr>
          <w:ilvl w:val="2"/>
          <w:numId w:val="578"/>
        </w:numPr>
        <w:tabs>
          <w:tab w:pos="1370" w:val="left" w:leader="none"/>
        </w:tabs>
        <w:spacing w:line="446" w:lineRule="auto" w:before="1" w:after="0"/>
        <w:ind w:left="418" w:right="1813" w:firstLine="422"/>
        <w:jc w:val="left"/>
        <w:rPr>
          <w:sz w:val="19"/>
        </w:rPr>
      </w:pPr>
      <w:r>
        <w:rPr>
          <w:spacing w:val="-3"/>
          <w:sz w:val="21"/>
        </w:rPr>
        <w:t>将试样连接电动闭门器、释放器和门磁开关各两个，其他回路可分别连接等效负载，接通电源，使试样处于正常监视状态。</w:t>
      </w:r>
      <w:r>
        <w:rPr>
          <w:sz w:val="21"/>
        </w:rPr>
        <w:t> </w:t>
      </w:r>
    </w:p>
    <w:p>
      <w:pPr>
        <w:pStyle w:val="ListParagraph"/>
        <w:numPr>
          <w:ilvl w:val="2"/>
          <w:numId w:val="578"/>
        </w:numPr>
        <w:tabs>
          <w:tab w:pos="1370" w:val="left" w:leader="none"/>
        </w:tabs>
        <w:spacing w:line="446" w:lineRule="auto" w:before="0" w:after="0"/>
        <w:ind w:left="418" w:right="1604" w:firstLine="422"/>
        <w:jc w:val="left"/>
        <w:rPr>
          <w:sz w:val="19"/>
        </w:rPr>
      </w:pPr>
      <w:r>
        <w:rPr>
          <w:spacing w:val="-3"/>
          <w:sz w:val="21"/>
        </w:rPr>
        <w:t>检查试样电源、供电状态、显示状态和接地端子；模拟电动闭门器、释放器和门磁</w:t>
      </w:r>
      <w:r>
        <w:rPr>
          <w:spacing w:val="-6"/>
          <w:sz w:val="21"/>
        </w:rPr>
        <w:t>开关的开、闭和防火门故障状态，保持 </w:t>
      </w:r>
      <w:r>
        <w:rPr>
          <w:sz w:val="21"/>
        </w:rPr>
        <w:t>100s</w:t>
      </w:r>
      <w:r>
        <w:rPr>
          <w:spacing w:val="-3"/>
          <w:sz w:val="21"/>
        </w:rPr>
        <w:t>，观察并记录试样的工作状态。</w:t>
      </w:r>
      <w:r>
        <w:rPr>
          <w:sz w:val="21"/>
        </w:rPr>
        <w:t> </w:t>
      </w:r>
    </w:p>
    <w:p>
      <w:pPr>
        <w:pStyle w:val="ListParagraph"/>
        <w:numPr>
          <w:ilvl w:val="2"/>
          <w:numId w:val="578"/>
        </w:numPr>
        <w:tabs>
          <w:tab w:pos="1371" w:val="left" w:leader="none"/>
        </w:tabs>
        <w:spacing w:line="446" w:lineRule="auto" w:before="0" w:after="0"/>
        <w:ind w:left="418" w:right="1604" w:firstLine="422"/>
        <w:jc w:val="left"/>
        <w:rPr>
          <w:sz w:val="19"/>
        </w:rPr>
      </w:pPr>
      <w:r>
        <w:rPr>
          <w:spacing w:val="-3"/>
          <w:sz w:val="21"/>
        </w:rPr>
        <w:t>操作电动闭门器、释放器和门磁开关令其动作，观察并记录试样和电动闭门器、释放器和门磁开关的状态。</w:t>
      </w:r>
      <w:r>
        <w:rPr>
          <w:sz w:val="21"/>
        </w:rPr>
        <w:t> </w:t>
      </w:r>
    </w:p>
    <w:p>
      <w:pPr>
        <w:pStyle w:val="ListParagraph"/>
        <w:numPr>
          <w:ilvl w:val="2"/>
          <w:numId w:val="578"/>
        </w:numPr>
        <w:tabs>
          <w:tab w:pos="1371" w:val="left" w:leader="none"/>
        </w:tabs>
        <w:spacing w:line="240" w:lineRule="auto" w:before="0" w:after="0"/>
        <w:ind w:left="1370" w:right="0" w:hanging="531"/>
        <w:jc w:val="left"/>
        <w:rPr>
          <w:sz w:val="19"/>
        </w:rPr>
      </w:pPr>
      <w:r>
        <w:rPr>
          <w:spacing w:val="-3"/>
          <w:sz w:val="21"/>
        </w:rPr>
        <w:t>向试样发出来自火灾自动报警系统的火灾报警信号，记录试样向电动闭门器、释放</w:t>
      </w:r>
    </w:p>
    <w:p>
      <w:pPr>
        <w:spacing w:after="0" w:line="240" w:lineRule="auto"/>
        <w:jc w:val="left"/>
        <w:rPr>
          <w:sz w:val="19"/>
        </w:rPr>
        <w:sectPr>
          <w:pgSz w:w="11910" w:h="16850"/>
          <w:pgMar w:header="0" w:footer="1239" w:top="1220" w:bottom="1420" w:left="1260" w:right="0"/>
        </w:sectPr>
      </w:pPr>
    </w:p>
    <w:p>
      <w:pPr>
        <w:pStyle w:val="BodyText"/>
        <w:spacing w:line="446" w:lineRule="auto" w:before="47"/>
        <w:ind w:left="840" w:right="3606" w:hanging="423"/>
      </w:pPr>
      <w:r>
        <w:rPr/>
        <w:t>器发出启动信号的时间，观察并记录试样和电动闭门器、释放器状态。</w:t>
      </w:r>
      <w:r>
        <w:rPr>
          <w:b/>
        </w:rPr>
        <w:t>5.2.5 </w:t>
      </w:r>
      <w:r>
        <w:rPr/>
        <w:t>检查试样的信息记录和信息传输功能。 </w:t>
      </w:r>
    </w:p>
    <w:p>
      <w:pPr>
        <w:pStyle w:val="ListParagraph"/>
        <w:numPr>
          <w:ilvl w:val="1"/>
          <w:numId w:val="578"/>
        </w:numPr>
        <w:tabs>
          <w:tab w:pos="1160" w:val="left" w:leader="none"/>
        </w:tabs>
        <w:spacing w:line="267" w:lineRule="exact" w:before="0" w:after="0"/>
        <w:ind w:left="1159" w:right="0" w:hanging="320"/>
        <w:jc w:val="left"/>
        <w:rPr>
          <w:b/>
          <w:sz w:val="21"/>
        </w:rPr>
      </w:pPr>
      <w:r>
        <w:rPr>
          <w:spacing w:val="-3"/>
          <w:sz w:val="21"/>
        </w:rPr>
        <w:t>自检功能试验</w:t>
      </w:r>
      <w:r>
        <w:rPr>
          <w:b/>
          <w:w w:val="99"/>
          <w:sz w:val="21"/>
        </w:rPr>
        <w:t> </w:t>
      </w:r>
    </w:p>
    <w:p>
      <w:pPr>
        <w:pStyle w:val="BodyText"/>
        <w:spacing w:before="2"/>
        <w:rPr>
          <w:b/>
          <w:sz w:val="18"/>
        </w:rPr>
      </w:pPr>
    </w:p>
    <w:p>
      <w:pPr>
        <w:pStyle w:val="ListParagraph"/>
        <w:numPr>
          <w:ilvl w:val="2"/>
          <w:numId w:val="578"/>
        </w:numPr>
        <w:tabs>
          <w:tab w:pos="1370" w:val="left" w:leader="none"/>
        </w:tabs>
        <w:spacing w:line="446" w:lineRule="auto" w:before="0" w:after="0"/>
        <w:ind w:left="418" w:right="1604" w:firstLine="422"/>
        <w:jc w:val="left"/>
        <w:rPr>
          <w:sz w:val="19"/>
        </w:rPr>
      </w:pPr>
      <w:r>
        <w:rPr>
          <w:spacing w:val="-3"/>
          <w:sz w:val="21"/>
        </w:rPr>
        <w:t>将试样连接两个以上的电动闭门器、释放器和门磁开关，接通电源，使其处于正常监视状态。</w:t>
      </w:r>
      <w:r>
        <w:rPr>
          <w:sz w:val="21"/>
        </w:rPr>
        <w:t> </w:t>
      </w:r>
    </w:p>
    <w:p>
      <w:pPr>
        <w:pStyle w:val="ListParagraph"/>
        <w:numPr>
          <w:ilvl w:val="2"/>
          <w:numId w:val="578"/>
        </w:numPr>
        <w:tabs>
          <w:tab w:pos="1371" w:val="left" w:leader="none"/>
        </w:tabs>
        <w:spacing w:line="267" w:lineRule="exact" w:before="0" w:after="0"/>
        <w:ind w:left="1370" w:right="0" w:hanging="531"/>
        <w:jc w:val="left"/>
        <w:rPr>
          <w:sz w:val="19"/>
        </w:rPr>
      </w:pPr>
      <w:r>
        <w:rPr>
          <w:spacing w:val="-3"/>
          <w:sz w:val="21"/>
        </w:rPr>
        <w:t>操作试样自检机构，观察并记录试样的工作状态。</w:t>
      </w:r>
      <w:r>
        <w:rPr>
          <w:sz w:val="21"/>
        </w:rPr>
        <w:t> </w:t>
      </w:r>
    </w:p>
    <w:p>
      <w:pPr>
        <w:pStyle w:val="BodyText"/>
        <w:spacing w:before="2"/>
        <w:rPr>
          <w:sz w:val="18"/>
        </w:rPr>
      </w:pPr>
    </w:p>
    <w:p>
      <w:pPr>
        <w:pStyle w:val="ListParagraph"/>
        <w:numPr>
          <w:ilvl w:val="1"/>
          <w:numId w:val="578"/>
        </w:numPr>
        <w:tabs>
          <w:tab w:pos="1159" w:val="left" w:leader="none"/>
        </w:tabs>
        <w:spacing w:line="240" w:lineRule="auto" w:before="0" w:after="0"/>
        <w:ind w:left="1158" w:right="0" w:hanging="319"/>
        <w:jc w:val="left"/>
        <w:rPr>
          <w:sz w:val="21"/>
        </w:rPr>
      </w:pPr>
      <w:r>
        <w:rPr>
          <w:spacing w:val="-3"/>
          <w:sz w:val="21"/>
        </w:rPr>
        <w:t>备用电源功能试验</w:t>
      </w:r>
      <w:r>
        <w:rPr>
          <w:sz w:val="21"/>
        </w:rPr>
        <w:t> </w:t>
      </w:r>
    </w:p>
    <w:p>
      <w:pPr>
        <w:pStyle w:val="BodyText"/>
        <w:rPr>
          <w:sz w:val="18"/>
        </w:rPr>
      </w:pPr>
    </w:p>
    <w:p>
      <w:pPr>
        <w:pStyle w:val="ListParagraph"/>
        <w:numPr>
          <w:ilvl w:val="2"/>
          <w:numId w:val="578"/>
        </w:numPr>
        <w:tabs>
          <w:tab w:pos="1370" w:val="left" w:leader="none"/>
        </w:tabs>
        <w:spacing w:line="240" w:lineRule="auto" w:before="0" w:after="0"/>
        <w:ind w:left="1369" w:right="0" w:hanging="530"/>
        <w:jc w:val="left"/>
        <w:rPr>
          <w:sz w:val="19"/>
        </w:rPr>
      </w:pPr>
      <w:r>
        <w:rPr>
          <w:spacing w:val="-5"/>
          <w:sz w:val="21"/>
        </w:rPr>
        <w:t>将试样一个回路按设计容量连接真实负载，其他回路连接等效负载。按照 </w:t>
      </w:r>
      <w:r>
        <w:rPr>
          <w:sz w:val="21"/>
        </w:rPr>
        <w:t>4.3.3.1</w:t>
      </w:r>
    </w:p>
    <w:p>
      <w:pPr>
        <w:pStyle w:val="BodyText"/>
        <w:rPr>
          <w:sz w:val="18"/>
        </w:rPr>
      </w:pPr>
    </w:p>
    <w:p>
      <w:pPr>
        <w:pStyle w:val="BodyText"/>
        <w:ind w:left="418"/>
      </w:pPr>
      <w:r>
        <w:rPr/>
        <w:t>的要求进行试验，观察并记录试样的工作状态。 </w:t>
      </w:r>
    </w:p>
    <w:p>
      <w:pPr>
        <w:pStyle w:val="BodyText"/>
        <w:spacing w:before="1"/>
        <w:rPr>
          <w:sz w:val="18"/>
        </w:rPr>
      </w:pPr>
    </w:p>
    <w:p>
      <w:pPr>
        <w:pStyle w:val="ListParagraph"/>
        <w:numPr>
          <w:ilvl w:val="2"/>
          <w:numId w:val="578"/>
        </w:numPr>
        <w:tabs>
          <w:tab w:pos="1370" w:val="left" w:leader="none"/>
        </w:tabs>
        <w:spacing w:line="446" w:lineRule="auto" w:before="1" w:after="0"/>
        <w:ind w:left="418" w:right="1604" w:firstLine="422"/>
        <w:jc w:val="left"/>
        <w:rPr>
          <w:sz w:val="19"/>
        </w:rPr>
      </w:pPr>
      <w:r>
        <w:rPr>
          <w:spacing w:val="-3"/>
          <w:sz w:val="21"/>
        </w:rPr>
        <w:t>在试样处于正常监视状态下，切断试样的主电源，使试样由备用电源供电，再恢复主电源，观察并记录试样的状态。</w:t>
      </w:r>
      <w:r>
        <w:rPr>
          <w:sz w:val="21"/>
        </w:rPr>
        <w:t> </w:t>
      </w:r>
    </w:p>
    <w:p>
      <w:pPr>
        <w:pStyle w:val="ListParagraph"/>
        <w:numPr>
          <w:ilvl w:val="1"/>
          <w:numId w:val="578"/>
        </w:numPr>
        <w:tabs>
          <w:tab w:pos="1159" w:val="left" w:leader="none"/>
        </w:tabs>
        <w:spacing w:line="267" w:lineRule="exact" w:before="0" w:after="0"/>
        <w:ind w:left="1158" w:right="0" w:hanging="319"/>
        <w:jc w:val="left"/>
        <w:rPr>
          <w:sz w:val="21"/>
        </w:rPr>
      </w:pPr>
      <w:r>
        <w:rPr>
          <w:spacing w:val="-3"/>
          <w:sz w:val="21"/>
        </w:rPr>
        <w:t>故障报警功能试验</w:t>
      </w:r>
      <w:r>
        <w:rPr>
          <w:sz w:val="21"/>
        </w:rPr>
        <w:t> </w:t>
      </w:r>
    </w:p>
    <w:p>
      <w:pPr>
        <w:pStyle w:val="BodyText"/>
        <w:spacing w:before="1"/>
        <w:rPr>
          <w:sz w:val="18"/>
        </w:rPr>
      </w:pPr>
    </w:p>
    <w:p>
      <w:pPr>
        <w:pStyle w:val="ListParagraph"/>
        <w:numPr>
          <w:ilvl w:val="2"/>
          <w:numId w:val="578"/>
        </w:numPr>
        <w:tabs>
          <w:tab w:pos="1371" w:val="left" w:leader="none"/>
        </w:tabs>
        <w:spacing w:line="446" w:lineRule="auto" w:before="1" w:after="0"/>
        <w:ind w:left="418" w:right="1604" w:firstLine="422"/>
        <w:jc w:val="left"/>
        <w:rPr>
          <w:sz w:val="19"/>
        </w:rPr>
      </w:pPr>
      <w:r>
        <w:rPr>
          <w:spacing w:val="-3"/>
          <w:sz w:val="21"/>
        </w:rPr>
        <w:t>将试样连接两个以上的电动闭门器、释放器和门磁开关，其他回路可分别连接等效负载，接通电源，使试样处于正常监视状态。</w:t>
      </w:r>
      <w:r>
        <w:rPr>
          <w:sz w:val="21"/>
        </w:rPr>
        <w:t> </w:t>
      </w:r>
    </w:p>
    <w:p>
      <w:pPr>
        <w:pStyle w:val="ListParagraph"/>
        <w:numPr>
          <w:ilvl w:val="2"/>
          <w:numId w:val="578"/>
        </w:numPr>
        <w:tabs>
          <w:tab w:pos="1371" w:val="left" w:leader="none"/>
        </w:tabs>
        <w:spacing w:line="267" w:lineRule="exact" w:before="0" w:after="0"/>
        <w:ind w:left="1370" w:right="0" w:hanging="531"/>
        <w:jc w:val="left"/>
        <w:rPr>
          <w:sz w:val="19"/>
        </w:rPr>
      </w:pPr>
      <w:r>
        <w:rPr>
          <w:spacing w:val="-28"/>
          <w:sz w:val="21"/>
        </w:rPr>
        <w:t>按 </w:t>
      </w:r>
      <w:r>
        <w:rPr>
          <w:sz w:val="21"/>
        </w:rPr>
        <w:t>4.3.4</w:t>
      </w:r>
      <w:r>
        <w:rPr>
          <w:spacing w:val="-9"/>
          <w:sz w:val="21"/>
        </w:rPr>
        <w:t> 的要求，对试样各项故障功能进行测试，观察并记录试样的工作状态。 </w:t>
      </w:r>
    </w:p>
    <w:p>
      <w:pPr>
        <w:pStyle w:val="BodyText"/>
        <w:spacing w:before="1"/>
        <w:rPr>
          <w:sz w:val="18"/>
        </w:rPr>
      </w:pPr>
    </w:p>
    <w:p>
      <w:pPr>
        <w:pStyle w:val="ListParagraph"/>
        <w:numPr>
          <w:ilvl w:val="2"/>
          <w:numId w:val="578"/>
        </w:numPr>
        <w:tabs>
          <w:tab w:pos="1370" w:val="left" w:leader="none"/>
        </w:tabs>
        <w:spacing w:line="446" w:lineRule="auto" w:before="0" w:after="0"/>
        <w:ind w:left="418" w:right="1604" w:firstLine="422"/>
        <w:jc w:val="left"/>
        <w:rPr>
          <w:sz w:val="19"/>
        </w:rPr>
      </w:pPr>
      <w:r>
        <w:rPr>
          <w:spacing w:val="-3"/>
          <w:sz w:val="21"/>
        </w:rPr>
        <w:t>手动消除故障声信号，并使另一部位发出故障信号，检查试样消音功能、故障声信号再启动功能和故障信号显示功能。</w:t>
      </w:r>
      <w:r>
        <w:rPr>
          <w:sz w:val="21"/>
        </w:rPr>
        <w:t> </w:t>
      </w:r>
    </w:p>
    <w:p>
      <w:pPr>
        <w:pStyle w:val="ListParagraph"/>
        <w:numPr>
          <w:ilvl w:val="2"/>
          <w:numId w:val="578"/>
        </w:numPr>
        <w:tabs>
          <w:tab w:pos="1370" w:val="left" w:leader="none"/>
        </w:tabs>
        <w:spacing w:line="446" w:lineRule="auto" w:before="0" w:after="0"/>
        <w:ind w:left="418" w:right="1505" w:firstLine="422"/>
        <w:jc w:val="left"/>
        <w:rPr>
          <w:sz w:val="19"/>
        </w:rPr>
      </w:pPr>
      <w:r>
        <w:rPr>
          <w:spacing w:val="-2"/>
          <w:sz w:val="21"/>
        </w:rPr>
        <w:t>手动复位试样，记录试样发出尚未排除故障信号的时间；排除所有输入的故障信 号</w:t>
      </w:r>
      <w:r>
        <w:rPr>
          <w:spacing w:val="-3"/>
          <w:sz w:val="21"/>
        </w:rPr>
        <w:t>，手动复位试样后</w:t>
      </w:r>
      <w:r>
        <w:rPr>
          <w:sz w:val="21"/>
        </w:rPr>
        <w:t>（</w:t>
      </w:r>
      <w:r>
        <w:rPr>
          <w:spacing w:val="-3"/>
          <w:sz w:val="21"/>
        </w:rPr>
        <w:t>适用于没有故障自动恢复功能的试样</w:t>
      </w:r>
      <w:r>
        <w:rPr>
          <w:sz w:val="21"/>
        </w:rPr>
        <w:t>）</w:t>
      </w:r>
      <w:r>
        <w:rPr>
          <w:spacing w:val="-3"/>
          <w:sz w:val="21"/>
        </w:rPr>
        <w:t>，观察并记录试样的指示情况。</w:t>
      </w:r>
      <w:r>
        <w:rPr>
          <w:sz w:val="21"/>
        </w:rPr>
        <w:t> </w:t>
      </w:r>
    </w:p>
    <w:p>
      <w:pPr>
        <w:pStyle w:val="ListParagraph"/>
        <w:numPr>
          <w:ilvl w:val="1"/>
          <w:numId w:val="578"/>
        </w:numPr>
        <w:tabs>
          <w:tab w:pos="1159" w:val="left" w:leader="none"/>
        </w:tabs>
        <w:spacing w:line="240" w:lineRule="auto" w:before="0" w:after="0"/>
        <w:ind w:left="1158" w:right="0" w:hanging="319"/>
        <w:jc w:val="left"/>
        <w:rPr>
          <w:b/>
          <w:sz w:val="21"/>
        </w:rPr>
      </w:pPr>
      <w:r>
        <w:rPr>
          <w:spacing w:val="-3"/>
          <w:sz w:val="21"/>
        </w:rPr>
        <w:t>绝缘电阻试验</w:t>
      </w:r>
      <w:r>
        <w:rPr>
          <w:b/>
          <w:w w:val="99"/>
          <w:sz w:val="21"/>
        </w:rPr>
        <w:t> </w:t>
      </w:r>
    </w:p>
    <w:p>
      <w:pPr>
        <w:pStyle w:val="BodyText"/>
        <w:spacing w:before="11"/>
        <w:rPr>
          <w:b/>
          <w:sz w:val="17"/>
        </w:rPr>
      </w:pPr>
    </w:p>
    <w:p>
      <w:pPr>
        <w:pStyle w:val="ListParagraph"/>
        <w:numPr>
          <w:ilvl w:val="2"/>
          <w:numId w:val="578"/>
        </w:numPr>
        <w:tabs>
          <w:tab w:pos="1371" w:val="left" w:leader="none"/>
        </w:tabs>
        <w:spacing w:line="240" w:lineRule="auto" w:before="0" w:after="0"/>
        <w:ind w:left="1370" w:right="0" w:hanging="531"/>
        <w:jc w:val="left"/>
        <w:rPr>
          <w:b/>
          <w:sz w:val="19"/>
        </w:rPr>
      </w:pPr>
      <w:r>
        <w:rPr>
          <w:spacing w:val="-3"/>
          <w:sz w:val="21"/>
        </w:rPr>
        <w:t>试验设备</w:t>
      </w:r>
      <w:r>
        <w:rPr>
          <w:b/>
          <w:w w:val="99"/>
          <w:sz w:val="21"/>
        </w:rPr>
        <w:t> </w:t>
      </w:r>
    </w:p>
    <w:p>
      <w:pPr>
        <w:pStyle w:val="BodyText"/>
        <w:spacing w:before="2"/>
        <w:rPr>
          <w:b/>
          <w:sz w:val="18"/>
        </w:rPr>
      </w:pPr>
    </w:p>
    <w:p>
      <w:pPr>
        <w:pStyle w:val="BodyText"/>
        <w:spacing w:line="446" w:lineRule="auto"/>
        <w:ind w:left="838" w:right="3078"/>
      </w:pPr>
      <w:r>
        <w:rPr/>
        <w:t>采用满足下列要求的绝缘电阻试验设备（也可用兆欧表或摇表测试）： a） 试验电压：500V±50V； </w:t>
      </w:r>
    </w:p>
    <w:p>
      <w:pPr>
        <w:pStyle w:val="BodyText"/>
        <w:spacing w:line="446" w:lineRule="auto"/>
        <w:ind w:left="838" w:right="7074"/>
        <w:rPr>
          <w:b/>
        </w:rPr>
      </w:pPr>
      <w:r>
        <w:rPr/>
        <w:t>b）</w:t>
      </w:r>
      <w:r>
        <w:rPr>
          <w:spacing w:val="-2"/>
        </w:rPr>
        <w:t> 测量范围：</w:t>
      </w:r>
      <w:r>
        <w:rPr/>
        <w:t>0～500MΩ； c）  最小分度：0.1MΩ； d）</w:t>
      </w:r>
      <w:r>
        <w:rPr>
          <w:spacing w:val="-3"/>
        </w:rPr>
        <w:t> 记 时 ：</w:t>
      </w:r>
      <w:r>
        <w:rPr/>
        <w:t>60s 士 5s</w:t>
      </w:r>
      <w:r>
        <w:rPr>
          <w:spacing w:val="-2"/>
        </w:rPr>
        <w:t> 。 </w:t>
      </w:r>
      <w:r>
        <w:rPr>
          <w:b/>
        </w:rPr>
        <w:t>5.6.2</w:t>
      </w:r>
      <w:r>
        <w:rPr>
          <w:b/>
          <w:spacing w:val="2"/>
        </w:rPr>
        <w:t> </w:t>
      </w:r>
      <w:r>
        <w:rPr>
          <w:spacing w:val="-3"/>
        </w:rPr>
        <w:t>试验步骤</w:t>
      </w:r>
      <w:r>
        <w:rPr>
          <w:b/>
          <w:w w:val="99"/>
        </w:rPr>
        <w:t> </w:t>
      </w:r>
    </w:p>
    <w:p>
      <w:pPr>
        <w:pStyle w:val="ListParagraph"/>
        <w:numPr>
          <w:ilvl w:val="3"/>
          <w:numId w:val="580"/>
        </w:numPr>
        <w:tabs>
          <w:tab w:pos="1583" w:val="left" w:leader="none"/>
        </w:tabs>
        <w:spacing w:line="240" w:lineRule="auto" w:before="0" w:after="0"/>
        <w:ind w:left="1582" w:right="0" w:hanging="743"/>
        <w:jc w:val="left"/>
        <w:rPr>
          <w:sz w:val="21"/>
        </w:rPr>
      </w:pPr>
      <w:r>
        <w:rPr>
          <w:spacing w:val="-3"/>
          <w:sz w:val="21"/>
        </w:rPr>
        <w:t>将试样有绝缘要求的外部带电端子短接后，连接到绝缘电阻试验装置的正极输出</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611"/>
      </w:pPr>
      <w:r>
        <w:rPr>
          <w:spacing w:val="-5"/>
        </w:rPr>
        <w:t>端，机壳接到绝缘电阻试验装置的负极输出端。施加 </w:t>
      </w:r>
      <w:r>
        <w:rPr/>
        <w:t>500V±50V</w:t>
      </w:r>
      <w:r>
        <w:rPr>
          <w:spacing w:val="-13"/>
        </w:rPr>
        <w:t> 直流电压，持续 </w:t>
      </w:r>
      <w:r>
        <w:rPr/>
        <w:t>60s±5s</w:t>
      </w:r>
      <w:r>
        <w:rPr>
          <w:spacing w:val="-17"/>
        </w:rPr>
        <w:t> 后， </w:t>
      </w:r>
      <w:r>
        <w:rPr>
          <w:spacing w:val="-3"/>
        </w:rPr>
        <w:t>记录绝缘电阻值。</w:t>
      </w:r>
      <w:r>
        <w:rPr/>
        <w:t> </w:t>
      </w:r>
    </w:p>
    <w:p>
      <w:pPr>
        <w:pStyle w:val="ListParagraph"/>
        <w:numPr>
          <w:ilvl w:val="3"/>
          <w:numId w:val="580"/>
        </w:numPr>
        <w:tabs>
          <w:tab w:pos="1583" w:val="left" w:leader="none"/>
        </w:tabs>
        <w:spacing w:line="446" w:lineRule="auto" w:before="0" w:after="0"/>
        <w:ind w:left="418" w:right="1601" w:firstLine="422"/>
        <w:jc w:val="left"/>
        <w:rPr>
          <w:sz w:val="21"/>
        </w:rPr>
      </w:pPr>
      <w:r>
        <w:rPr>
          <w:spacing w:val="-3"/>
          <w:sz w:val="21"/>
        </w:rPr>
        <w:t>将试样电源插头</w:t>
      </w:r>
      <w:r>
        <w:rPr>
          <w:sz w:val="21"/>
        </w:rPr>
        <w:t>（</w:t>
      </w:r>
      <w:r>
        <w:rPr>
          <w:spacing w:val="-3"/>
          <w:sz w:val="21"/>
        </w:rPr>
        <w:t>或电源接线端子）短接后，连接到绝缘电阻试验装置的正极输</w:t>
      </w:r>
      <w:r>
        <w:rPr>
          <w:spacing w:val="-5"/>
          <w:sz w:val="21"/>
        </w:rPr>
        <w:t>出端，机壳接到绝缘电阻试验装置的负极输出端。施加 </w:t>
      </w:r>
      <w:r>
        <w:rPr>
          <w:sz w:val="21"/>
        </w:rPr>
        <w:t>500V</w:t>
      </w:r>
      <w:r>
        <w:rPr>
          <w:spacing w:val="-34"/>
          <w:sz w:val="21"/>
        </w:rPr>
        <w:t> 土 </w:t>
      </w:r>
      <w:r>
        <w:rPr>
          <w:sz w:val="21"/>
        </w:rPr>
        <w:t>50V</w:t>
      </w:r>
      <w:r>
        <w:rPr>
          <w:spacing w:val="-14"/>
          <w:sz w:val="21"/>
        </w:rPr>
        <w:t> 直流电压，持续 </w:t>
      </w:r>
      <w:r>
        <w:rPr>
          <w:sz w:val="21"/>
        </w:rPr>
        <w:t>60s±5s </w:t>
      </w:r>
      <w:r>
        <w:rPr>
          <w:spacing w:val="-3"/>
          <w:sz w:val="21"/>
        </w:rPr>
        <w:t>后，记录绝缘电阻值。</w:t>
      </w:r>
      <w:r>
        <w:rPr>
          <w:sz w:val="21"/>
        </w:rPr>
        <w:t> </w:t>
      </w:r>
    </w:p>
    <w:p>
      <w:pPr>
        <w:pStyle w:val="ListParagraph"/>
        <w:numPr>
          <w:ilvl w:val="1"/>
          <w:numId w:val="578"/>
        </w:numPr>
        <w:tabs>
          <w:tab w:pos="1159" w:val="left" w:leader="none"/>
        </w:tabs>
        <w:spacing w:line="268" w:lineRule="exact" w:before="0" w:after="0"/>
        <w:ind w:left="1158" w:right="0" w:hanging="319"/>
        <w:jc w:val="left"/>
        <w:rPr>
          <w:sz w:val="21"/>
        </w:rPr>
      </w:pPr>
      <w:r>
        <w:rPr>
          <w:spacing w:val="-3"/>
          <w:sz w:val="21"/>
        </w:rPr>
        <w:t>电气强度试验</w:t>
      </w:r>
      <w:r>
        <w:rPr>
          <w:sz w:val="21"/>
        </w:rPr>
        <w:t> </w:t>
      </w:r>
    </w:p>
    <w:p>
      <w:pPr>
        <w:pStyle w:val="BodyText"/>
        <w:rPr>
          <w:sz w:val="18"/>
        </w:rPr>
      </w:pPr>
    </w:p>
    <w:p>
      <w:pPr>
        <w:pStyle w:val="ListParagraph"/>
        <w:numPr>
          <w:ilvl w:val="2"/>
          <w:numId w:val="578"/>
        </w:numPr>
        <w:tabs>
          <w:tab w:pos="1370" w:val="left" w:leader="none"/>
        </w:tabs>
        <w:spacing w:line="240" w:lineRule="auto" w:before="0" w:after="0"/>
        <w:ind w:left="1369" w:right="0" w:hanging="530"/>
        <w:jc w:val="left"/>
        <w:rPr>
          <w:b/>
          <w:sz w:val="19"/>
        </w:rPr>
      </w:pPr>
      <w:r>
        <w:rPr>
          <w:spacing w:val="-3"/>
          <w:sz w:val="21"/>
        </w:rPr>
        <w:t>试验设备</w:t>
      </w:r>
      <w:r>
        <w:rPr>
          <w:b/>
          <w:w w:val="99"/>
          <w:sz w:val="21"/>
        </w:rPr>
        <w:t> </w:t>
      </w:r>
    </w:p>
    <w:p>
      <w:pPr>
        <w:pStyle w:val="BodyText"/>
        <w:rPr>
          <w:b/>
          <w:sz w:val="18"/>
        </w:rPr>
      </w:pPr>
    </w:p>
    <w:p>
      <w:pPr>
        <w:pStyle w:val="BodyText"/>
        <w:ind w:left="838"/>
      </w:pPr>
      <w:r>
        <w:rPr/>
        <w:t>采用满足下述条件的电器强度试验设备： </w:t>
      </w:r>
    </w:p>
    <w:p>
      <w:pPr>
        <w:pStyle w:val="BodyText"/>
        <w:rPr>
          <w:sz w:val="18"/>
        </w:rPr>
      </w:pPr>
    </w:p>
    <w:p>
      <w:pPr>
        <w:pStyle w:val="ListParagraph"/>
        <w:numPr>
          <w:ilvl w:val="0"/>
          <w:numId w:val="581"/>
        </w:numPr>
        <w:tabs>
          <w:tab w:pos="1156" w:val="left" w:leader="none"/>
        </w:tabs>
        <w:spacing w:line="446" w:lineRule="auto" w:before="0" w:after="0"/>
        <w:ind w:left="418" w:right="1980" w:firstLine="419"/>
        <w:jc w:val="left"/>
        <w:rPr>
          <w:sz w:val="21"/>
        </w:rPr>
      </w:pPr>
      <w:r>
        <w:rPr>
          <w:spacing w:val="-9"/>
          <w:sz w:val="21"/>
        </w:rPr>
        <w:t>试验电压：电压 </w:t>
      </w:r>
      <w:r>
        <w:rPr>
          <w:sz w:val="21"/>
        </w:rPr>
        <w:t>0～1250V（</w:t>
      </w:r>
      <w:r>
        <w:rPr>
          <w:spacing w:val="-2"/>
          <w:sz w:val="21"/>
        </w:rPr>
        <w:t>有效值</w:t>
      </w:r>
      <w:r>
        <w:rPr>
          <w:spacing w:val="-3"/>
          <w:sz w:val="21"/>
        </w:rPr>
        <w:t>）</w:t>
      </w:r>
      <w:r>
        <w:rPr>
          <w:spacing w:val="-9"/>
          <w:sz w:val="21"/>
        </w:rPr>
        <w:t>连续可调，频率 </w:t>
      </w:r>
      <w:r>
        <w:rPr>
          <w:sz w:val="21"/>
        </w:rPr>
        <w:t>50Hz</w:t>
      </w:r>
      <w:r>
        <w:rPr>
          <w:spacing w:val="-9"/>
          <w:sz w:val="21"/>
        </w:rPr>
        <w:t>，短路电流 </w:t>
      </w:r>
      <w:r>
        <w:rPr>
          <w:sz w:val="21"/>
        </w:rPr>
        <w:t>10A（</w:t>
      </w:r>
      <w:r>
        <w:rPr>
          <w:spacing w:val="-2"/>
          <w:sz w:val="21"/>
        </w:rPr>
        <w:t>有效值）； </w:t>
      </w:r>
    </w:p>
    <w:p>
      <w:pPr>
        <w:pStyle w:val="BodyText"/>
        <w:spacing w:line="446" w:lineRule="auto"/>
        <w:ind w:left="838" w:right="6234"/>
      </w:pPr>
      <w:r>
        <w:rPr/>
        <w:t>b） 升、降压速率：100～500V/s； c）</w:t>
      </w:r>
      <w:r>
        <w:rPr>
          <w:spacing w:val="-2"/>
        </w:rPr>
        <w:t> 计时：</w:t>
      </w:r>
      <w:r>
        <w:rPr/>
        <w:t>60s</w:t>
      </w:r>
      <w:r>
        <w:rPr>
          <w:spacing w:val="-36"/>
        </w:rPr>
        <w:t> 士 </w:t>
      </w:r>
      <w:r>
        <w:rPr/>
        <w:t>5s</w:t>
      </w:r>
      <w:r>
        <w:rPr>
          <w:spacing w:val="-3"/>
        </w:rPr>
        <w:t>。</w:t>
      </w:r>
      <w:r>
        <w:rPr/>
        <w:t> </w:t>
      </w:r>
    </w:p>
    <w:p>
      <w:pPr>
        <w:pStyle w:val="ListParagraph"/>
        <w:numPr>
          <w:ilvl w:val="2"/>
          <w:numId w:val="578"/>
        </w:numPr>
        <w:tabs>
          <w:tab w:pos="1371" w:val="left" w:leader="none"/>
        </w:tabs>
        <w:spacing w:line="240" w:lineRule="auto" w:before="0" w:after="0"/>
        <w:ind w:left="1370" w:right="0" w:hanging="531"/>
        <w:jc w:val="left"/>
        <w:rPr>
          <w:b/>
          <w:sz w:val="19"/>
        </w:rPr>
      </w:pPr>
      <w:r>
        <w:rPr>
          <w:spacing w:val="-3"/>
          <w:sz w:val="21"/>
        </w:rPr>
        <w:t>试验步骤</w:t>
      </w:r>
      <w:r>
        <w:rPr>
          <w:b/>
          <w:w w:val="99"/>
          <w:sz w:val="21"/>
        </w:rPr>
        <w:t> </w:t>
      </w:r>
    </w:p>
    <w:p>
      <w:pPr>
        <w:pStyle w:val="BodyText"/>
        <w:spacing w:before="12"/>
        <w:rPr>
          <w:b/>
          <w:sz w:val="17"/>
        </w:rPr>
      </w:pPr>
    </w:p>
    <w:p>
      <w:pPr>
        <w:pStyle w:val="ListParagraph"/>
        <w:numPr>
          <w:ilvl w:val="3"/>
          <w:numId w:val="578"/>
        </w:numPr>
        <w:tabs>
          <w:tab w:pos="1576" w:val="left" w:leader="none"/>
        </w:tabs>
        <w:spacing w:line="240" w:lineRule="auto" w:before="0" w:after="0"/>
        <w:ind w:left="1575" w:right="0" w:hanging="738"/>
        <w:jc w:val="left"/>
        <w:rPr>
          <w:sz w:val="21"/>
        </w:rPr>
      </w:pPr>
      <w:r>
        <w:rPr>
          <w:spacing w:val="-3"/>
          <w:sz w:val="21"/>
        </w:rPr>
        <w:t>试验前，将试样的接地保护元件拆除。</w:t>
      </w:r>
      <w:r>
        <w:rPr>
          <w:sz w:val="21"/>
        </w:rPr>
        <w:t> </w:t>
      </w:r>
    </w:p>
    <w:p>
      <w:pPr>
        <w:pStyle w:val="BodyText"/>
        <w:rPr>
          <w:sz w:val="18"/>
        </w:rPr>
      </w:pPr>
    </w:p>
    <w:p>
      <w:pPr>
        <w:pStyle w:val="ListParagraph"/>
        <w:numPr>
          <w:ilvl w:val="3"/>
          <w:numId w:val="578"/>
        </w:numPr>
        <w:tabs>
          <w:tab w:pos="1576" w:val="left" w:leader="none"/>
        </w:tabs>
        <w:spacing w:line="240" w:lineRule="auto" w:before="0" w:after="0"/>
        <w:ind w:left="1575" w:right="0" w:hanging="738"/>
        <w:jc w:val="left"/>
        <w:rPr>
          <w:sz w:val="21"/>
        </w:rPr>
      </w:pPr>
      <w:r>
        <w:rPr>
          <w:spacing w:val="-9"/>
          <w:sz w:val="21"/>
        </w:rPr>
        <w:t>通过试验装置，以 </w:t>
      </w:r>
      <w:r>
        <w:rPr>
          <w:sz w:val="21"/>
        </w:rPr>
        <w:t>100～500V/s</w:t>
      </w:r>
      <w:r>
        <w:rPr>
          <w:spacing w:val="-9"/>
          <w:sz w:val="21"/>
        </w:rPr>
        <w:t> 的升压速率，对试样的电源线与机壳间施加</w:t>
      </w:r>
    </w:p>
    <w:p>
      <w:pPr>
        <w:pStyle w:val="BodyText"/>
        <w:spacing w:before="1"/>
        <w:rPr>
          <w:sz w:val="18"/>
        </w:rPr>
      </w:pPr>
    </w:p>
    <w:p>
      <w:pPr>
        <w:pStyle w:val="BodyText"/>
        <w:spacing w:before="1"/>
        <w:ind w:left="418"/>
      </w:pPr>
      <w:r>
        <w:rPr/>
        <w:t>50Hz，1250V（有效值电压）的试验电压，持续 60s±5s，观察并记录试验中所发生的现象。 </w:t>
      </w:r>
    </w:p>
    <w:p>
      <w:pPr>
        <w:pStyle w:val="BodyText"/>
        <w:spacing w:before="12"/>
        <w:rPr>
          <w:sz w:val="17"/>
        </w:rPr>
      </w:pPr>
    </w:p>
    <w:p>
      <w:pPr>
        <w:pStyle w:val="ListParagraph"/>
        <w:numPr>
          <w:ilvl w:val="3"/>
          <w:numId w:val="578"/>
        </w:numPr>
        <w:tabs>
          <w:tab w:pos="1576" w:val="left" w:leader="none"/>
        </w:tabs>
        <w:spacing w:line="446" w:lineRule="auto" w:before="0" w:after="0"/>
        <w:ind w:left="418" w:right="1508" w:firstLine="419"/>
        <w:jc w:val="left"/>
        <w:rPr>
          <w:sz w:val="21"/>
        </w:rPr>
      </w:pPr>
      <w:r>
        <w:rPr>
          <w:spacing w:val="-23"/>
          <w:sz w:val="21"/>
        </w:rPr>
        <w:t>以 </w:t>
      </w:r>
      <w:r>
        <w:rPr>
          <w:sz w:val="21"/>
        </w:rPr>
        <w:t>100V/s～500V/s</w:t>
      </w:r>
      <w:r>
        <w:rPr>
          <w:spacing w:val="-9"/>
          <w:sz w:val="21"/>
        </w:rPr>
        <w:t> 的降压速率使电压降至低于额定电压值，切断试验装置的电压</w:t>
      </w:r>
      <w:r>
        <w:rPr>
          <w:spacing w:val="-8"/>
          <w:sz w:val="21"/>
        </w:rPr>
        <w:t>输出。</w:t>
      </w:r>
      <w:r>
        <w:rPr>
          <w:sz w:val="21"/>
        </w:rPr>
        <w:t> </w:t>
      </w:r>
    </w:p>
    <w:p>
      <w:pPr>
        <w:pStyle w:val="ListParagraph"/>
        <w:numPr>
          <w:ilvl w:val="3"/>
          <w:numId w:val="578"/>
        </w:numPr>
        <w:tabs>
          <w:tab w:pos="1576" w:val="left" w:leader="none"/>
        </w:tabs>
        <w:spacing w:line="240" w:lineRule="auto" w:before="0" w:after="0"/>
        <w:ind w:left="1575" w:right="0" w:hanging="738"/>
        <w:jc w:val="left"/>
        <w:rPr>
          <w:sz w:val="21"/>
        </w:rPr>
      </w:pPr>
      <w:r>
        <w:rPr>
          <w:spacing w:val="-3"/>
          <w:sz w:val="21"/>
        </w:rPr>
        <w:t>接通试样电源，使其处于正常监视状态。</w:t>
      </w:r>
      <w:r>
        <w:rPr>
          <w:sz w:val="21"/>
        </w:rPr>
        <w:t> </w:t>
      </w:r>
    </w:p>
    <w:p>
      <w:pPr>
        <w:pStyle w:val="BodyText"/>
        <w:rPr>
          <w:sz w:val="18"/>
        </w:rPr>
      </w:pPr>
    </w:p>
    <w:p>
      <w:pPr>
        <w:pStyle w:val="ListParagraph"/>
        <w:numPr>
          <w:ilvl w:val="3"/>
          <w:numId w:val="578"/>
        </w:numPr>
        <w:tabs>
          <w:tab w:pos="1576" w:val="left" w:leader="none"/>
        </w:tabs>
        <w:spacing w:line="240" w:lineRule="auto" w:before="0" w:after="0"/>
        <w:ind w:left="1575" w:right="0" w:hanging="738"/>
        <w:jc w:val="left"/>
        <w:rPr>
          <w:sz w:val="21"/>
        </w:rPr>
      </w:pPr>
      <w:r>
        <w:rPr>
          <w:spacing w:val="-3"/>
          <w:sz w:val="21"/>
        </w:rPr>
        <w:t>进行基本功能试验，并与试验前的基本功能相比较。</w:t>
      </w:r>
      <w:r>
        <w:rPr>
          <w:sz w:val="21"/>
        </w:rPr>
        <w:t> </w:t>
      </w:r>
    </w:p>
    <w:p>
      <w:pPr>
        <w:pStyle w:val="BodyText"/>
        <w:spacing w:before="12"/>
        <w:rPr>
          <w:sz w:val="17"/>
        </w:rPr>
      </w:pPr>
    </w:p>
    <w:p>
      <w:pPr>
        <w:pStyle w:val="ListParagraph"/>
        <w:numPr>
          <w:ilvl w:val="1"/>
          <w:numId w:val="578"/>
        </w:numPr>
        <w:tabs>
          <w:tab w:pos="1159" w:val="left" w:leader="none"/>
        </w:tabs>
        <w:spacing w:line="240" w:lineRule="auto" w:before="0" w:after="0"/>
        <w:ind w:left="1158" w:right="0" w:hanging="319"/>
        <w:jc w:val="left"/>
        <w:rPr>
          <w:sz w:val="21"/>
        </w:rPr>
      </w:pPr>
      <w:r>
        <w:rPr>
          <w:spacing w:val="-3"/>
          <w:sz w:val="21"/>
        </w:rPr>
        <w:t>射频电磁场辐射抗扰度试验</w:t>
      </w:r>
      <w:r>
        <w:rPr>
          <w:sz w:val="21"/>
        </w:rPr>
        <w:t> </w:t>
      </w:r>
    </w:p>
    <w:p>
      <w:pPr>
        <w:pStyle w:val="BodyText"/>
        <w:spacing w:before="2"/>
        <w:rPr>
          <w:sz w:val="18"/>
        </w:rPr>
      </w:pPr>
    </w:p>
    <w:p>
      <w:pPr>
        <w:pStyle w:val="ListParagraph"/>
        <w:numPr>
          <w:ilvl w:val="2"/>
          <w:numId w:val="578"/>
        </w:numPr>
        <w:tabs>
          <w:tab w:pos="1371" w:val="left" w:leader="none"/>
        </w:tabs>
        <w:spacing w:line="446" w:lineRule="auto" w:before="0" w:after="0"/>
        <w:ind w:left="418" w:right="1500" w:firstLine="422"/>
        <w:jc w:val="left"/>
        <w:rPr>
          <w:sz w:val="19"/>
        </w:rPr>
      </w:pPr>
      <w:r>
        <w:rPr>
          <w:spacing w:val="-12"/>
          <w:sz w:val="21"/>
        </w:rPr>
        <w:t>将试样按 </w:t>
      </w:r>
      <w:r>
        <w:rPr>
          <w:sz w:val="21"/>
        </w:rPr>
        <w:t>GB/T</w:t>
      </w:r>
      <w:r>
        <w:rPr>
          <w:spacing w:val="11"/>
          <w:sz w:val="21"/>
        </w:rPr>
        <w:t> </w:t>
      </w:r>
      <w:r>
        <w:rPr>
          <w:sz w:val="21"/>
        </w:rPr>
        <w:t>17626.3</w:t>
      </w:r>
      <w:r>
        <w:rPr>
          <w:spacing w:val="-8"/>
          <w:sz w:val="21"/>
        </w:rPr>
        <w:t> 的规定进行试验布置，将监控器及电动闭门器、释放器和门</w:t>
      </w:r>
      <w:r>
        <w:rPr>
          <w:spacing w:val="-7"/>
          <w:sz w:val="21"/>
        </w:rPr>
        <w:t>磁开关连接，接通电源，使其处于正常监视状态，保持 </w:t>
      </w:r>
      <w:r>
        <w:rPr>
          <w:sz w:val="21"/>
        </w:rPr>
        <w:t>20min</w:t>
      </w:r>
      <w:r>
        <w:rPr>
          <w:spacing w:val="-3"/>
          <w:sz w:val="21"/>
        </w:rPr>
        <w:t>。</w:t>
      </w:r>
      <w:r>
        <w:rPr>
          <w:sz w:val="21"/>
        </w:rPr>
        <w:t> </w:t>
      </w:r>
    </w:p>
    <w:p>
      <w:pPr>
        <w:pStyle w:val="ListParagraph"/>
        <w:numPr>
          <w:ilvl w:val="2"/>
          <w:numId w:val="578"/>
        </w:numPr>
        <w:tabs>
          <w:tab w:pos="1370" w:val="left" w:leader="none"/>
        </w:tabs>
        <w:spacing w:line="446" w:lineRule="auto" w:before="0" w:after="0"/>
        <w:ind w:left="418" w:right="1498" w:firstLine="422"/>
        <w:jc w:val="left"/>
        <w:rPr>
          <w:sz w:val="19"/>
        </w:rPr>
      </w:pPr>
      <w:r>
        <w:rPr>
          <w:spacing w:val="-25"/>
          <w:sz w:val="21"/>
        </w:rPr>
        <w:t>按 </w:t>
      </w:r>
      <w:r>
        <w:rPr>
          <w:sz w:val="21"/>
        </w:rPr>
        <w:t>GB/T</w:t>
      </w:r>
      <w:r>
        <w:rPr>
          <w:spacing w:val="6"/>
          <w:sz w:val="21"/>
        </w:rPr>
        <w:t> </w:t>
      </w:r>
      <w:r>
        <w:rPr>
          <w:sz w:val="21"/>
        </w:rPr>
        <w:t>17626.3</w:t>
      </w:r>
      <w:r>
        <w:rPr>
          <w:spacing w:val="-11"/>
          <w:sz w:val="21"/>
        </w:rPr>
        <w:t> 规定的试验方法对试样施加表 </w:t>
      </w:r>
      <w:r>
        <w:rPr>
          <w:sz w:val="21"/>
        </w:rPr>
        <w:t>1</w:t>
      </w:r>
      <w:r>
        <w:rPr>
          <w:spacing w:val="-9"/>
          <w:sz w:val="21"/>
        </w:rPr>
        <w:t> 所示条件的电磁干扰试验，观察并</w:t>
      </w:r>
      <w:r>
        <w:rPr>
          <w:spacing w:val="-5"/>
          <w:sz w:val="21"/>
        </w:rPr>
        <w:t>记录试样的工作状态。</w:t>
      </w:r>
      <w:r>
        <w:rPr>
          <w:sz w:val="21"/>
        </w:rPr>
        <w:t> </w:t>
      </w:r>
    </w:p>
    <w:p>
      <w:pPr>
        <w:pStyle w:val="ListParagraph"/>
        <w:numPr>
          <w:ilvl w:val="2"/>
          <w:numId w:val="578"/>
        </w:numPr>
        <w:tabs>
          <w:tab w:pos="1371" w:val="left" w:leader="none"/>
        </w:tabs>
        <w:spacing w:line="240" w:lineRule="auto" w:before="0" w:after="0"/>
        <w:ind w:left="1370" w:right="0" w:hanging="531"/>
        <w:jc w:val="left"/>
        <w:rPr>
          <w:sz w:val="19"/>
        </w:rPr>
      </w:pPr>
      <w:r>
        <w:rPr>
          <w:spacing w:val="-3"/>
          <w:sz w:val="21"/>
        </w:rPr>
        <w:t>进行基本功能试验，并与试验前的基本功能相比较。</w:t>
      </w:r>
      <w:r>
        <w:rPr>
          <w:sz w:val="21"/>
        </w:rPr>
        <w:t> </w:t>
      </w:r>
    </w:p>
    <w:p>
      <w:pPr>
        <w:pStyle w:val="BodyText"/>
        <w:spacing w:before="10"/>
        <w:rPr>
          <w:sz w:val="17"/>
        </w:rPr>
      </w:pPr>
    </w:p>
    <w:p>
      <w:pPr>
        <w:pStyle w:val="ListParagraph"/>
        <w:numPr>
          <w:ilvl w:val="1"/>
          <w:numId w:val="578"/>
        </w:numPr>
        <w:tabs>
          <w:tab w:pos="1159" w:val="left" w:leader="none"/>
        </w:tabs>
        <w:spacing w:line="240" w:lineRule="auto" w:before="0" w:after="0"/>
        <w:ind w:left="1158" w:right="0" w:hanging="319"/>
        <w:jc w:val="left"/>
        <w:rPr>
          <w:b/>
          <w:sz w:val="21"/>
        </w:rPr>
      </w:pPr>
      <w:r>
        <w:rPr>
          <w:spacing w:val="-3"/>
          <w:sz w:val="21"/>
        </w:rPr>
        <w:t>射频场感应的传导骚扰抗扰度试验</w:t>
      </w:r>
      <w:r>
        <w:rPr>
          <w:b/>
          <w:w w:val="99"/>
          <w:sz w:val="21"/>
        </w:rPr>
        <w:t> </w:t>
      </w:r>
    </w:p>
    <w:p>
      <w:pPr>
        <w:pStyle w:val="BodyText"/>
        <w:spacing w:before="2"/>
        <w:rPr>
          <w:b/>
          <w:sz w:val="18"/>
        </w:rPr>
      </w:pPr>
    </w:p>
    <w:p>
      <w:pPr>
        <w:pStyle w:val="ListParagraph"/>
        <w:numPr>
          <w:ilvl w:val="2"/>
          <w:numId w:val="578"/>
        </w:numPr>
        <w:tabs>
          <w:tab w:pos="1370" w:val="left" w:leader="none"/>
        </w:tabs>
        <w:spacing w:line="240" w:lineRule="auto" w:before="0" w:after="0"/>
        <w:ind w:left="1369" w:right="0" w:hanging="530"/>
        <w:jc w:val="left"/>
        <w:rPr>
          <w:sz w:val="19"/>
        </w:rPr>
      </w:pPr>
      <w:r>
        <w:rPr>
          <w:spacing w:val="-13"/>
          <w:sz w:val="21"/>
        </w:rPr>
        <w:t>将试样按 </w:t>
      </w:r>
      <w:r>
        <w:rPr>
          <w:sz w:val="21"/>
        </w:rPr>
        <w:t>GB/T</w:t>
      </w:r>
      <w:r>
        <w:rPr>
          <w:spacing w:val="3"/>
          <w:sz w:val="21"/>
        </w:rPr>
        <w:t> </w:t>
      </w:r>
      <w:r>
        <w:rPr>
          <w:sz w:val="21"/>
        </w:rPr>
        <w:t>17626.6</w:t>
      </w:r>
      <w:r>
        <w:rPr>
          <w:spacing w:val="-9"/>
          <w:sz w:val="21"/>
        </w:rPr>
        <w:t> 的规定进行试验配置，将监控器及电动闭门器、释放器和门</w:t>
      </w:r>
    </w:p>
    <w:p>
      <w:pPr>
        <w:spacing w:after="0" w:line="240" w:lineRule="auto"/>
        <w:jc w:val="left"/>
        <w:rPr>
          <w:sz w:val="19"/>
        </w:rPr>
        <w:sectPr>
          <w:pgSz w:w="11910" w:h="16850"/>
          <w:pgMar w:header="0" w:footer="1239" w:top="1220" w:bottom="1420" w:left="1260" w:right="0"/>
        </w:sectPr>
      </w:pPr>
    </w:p>
    <w:p>
      <w:pPr>
        <w:pStyle w:val="BodyText"/>
        <w:spacing w:before="47"/>
        <w:ind w:left="418"/>
      </w:pPr>
      <w:r>
        <w:rPr/>
        <w:t>磁开关连接，接通电源，使其处于正常监视状态，保持 20min。 </w:t>
      </w:r>
    </w:p>
    <w:p>
      <w:pPr>
        <w:pStyle w:val="BodyText"/>
        <w:rPr>
          <w:sz w:val="18"/>
        </w:rPr>
      </w:pPr>
    </w:p>
    <w:p>
      <w:pPr>
        <w:pStyle w:val="ListParagraph"/>
        <w:numPr>
          <w:ilvl w:val="2"/>
          <w:numId w:val="578"/>
        </w:numPr>
        <w:tabs>
          <w:tab w:pos="1371" w:val="left" w:leader="none"/>
        </w:tabs>
        <w:spacing w:line="446" w:lineRule="auto" w:before="0" w:after="0"/>
        <w:ind w:left="418" w:right="1498" w:firstLine="422"/>
        <w:jc w:val="left"/>
        <w:rPr>
          <w:sz w:val="19"/>
        </w:rPr>
      </w:pPr>
      <w:r>
        <w:rPr>
          <w:spacing w:val="-26"/>
          <w:sz w:val="21"/>
        </w:rPr>
        <w:t>按 </w:t>
      </w:r>
      <w:r>
        <w:rPr>
          <w:sz w:val="21"/>
        </w:rPr>
        <w:t>GB/T</w:t>
      </w:r>
      <w:r>
        <w:rPr>
          <w:spacing w:val="9"/>
          <w:sz w:val="21"/>
        </w:rPr>
        <w:t> </w:t>
      </w:r>
      <w:r>
        <w:rPr>
          <w:sz w:val="21"/>
        </w:rPr>
        <w:t>17626.6</w:t>
      </w:r>
      <w:r>
        <w:rPr>
          <w:spacing w:val="-11"/>
          <w:sz w:val="21"/>
        </w:rPr>
        <w:t> 规定的试验方法对试样施加表 </w:t>
      </w:r>
      <w:r>
        <w:rPr>
          <w:sz w:val="21"/>
        </w:rPr>
        <w:t>1</w:t>
      </w:r>
      <w:r>
        <w:rPr>
          <w:spacing w:val="-9"/>
          <w:sz w:val="21"/>
        </w:rPr>
        <w:t> 所示条件的电磁干扰试验，观察并</w:t>
      </w:r>
      <w:r>
        <w:rPr>
          <w:spacing w:val="-5"/>
          <w:sz w:val="21"/>
        </w:rPr>
        <w:t>记录试样的工作状态。</w:t>
      </w:r>
      <w:r>
        <w:rPr>
          <w:sz w:val="21"/>
        </w:rPr>
        <w:t> </w:t>
      </w:r>
    </w:p>
    <w:p>
      <w:pPr>
        <w:pStyle w:val="ListParagraph"/>
        <w:numPr>
          <w:ilvl w:val="2"/>
          <w:numId w:val="578"/>
        </w:numPr>
        <w:tabs>
          <w:tab w:pos="1371" w:val="left" w:leader="none"/>
        </w:tabs>
        <w:spacing w:line="240" w:lineRule="auto" w:before="0" w:after="0"/>
        <w:ind w:left="1370" w:right="0" w:hanging="531"/>
        <w:jc w:val="left"/>
        <w:rPr>
          <w:sz w:val="19"/>
        </w:rPr>
      </w:pPr>
      <w:r>
        <w:rPr>
          <w:spacing w:val="-3"/>
          <w:sz w:val="21"/>
        </w:rPr>
        <w:t>进行基本功能试验，并与试验前的基本功能相比较。</w:t>
      </w:r>
      <w:r>
        <w:rPr>
          <w:sz w:val="21"/>
        </w:rPr>
        <w:t> </w:t>
      </w:r>
    </w:p>
    <w:p>
      <w:pPr>
        <w:pStyle w:val="BodyText"/>
        <w:spacing w:before="12"/>
        <w:rPr>
          <w:sz w:val="17"/>
        </w:rPr>
      </w:pPr>
    </w:p>
    <w:p>
      <w:pPr>
        <w:pStyle w:val="ListParagraph"/>
        <w:numPr>
          <w:ilvl w:val="1"/>
          <w:numId w:val="578"/>
        </w:numPr>
        <w:tabs>
          <w:tab w:pos="1264" w:val="left" w:leader="none"/>
        </w:tabs>
        <w:spacing w:line="240" w:lineRule="auto" w:before="0" w:after="0"/>
        <w:ind w:left="1263" w:right="0" w:hanging="424"/>
        <w:jc w:val="left"/>
        <w:rPr>
          <w:sz w:val="21"/>
        </w:rPr>
      </w:pPr>
      <w:r>
        <w:rPr>
          <w:spacing w:val="-3"/>
          <w:sz w:val="21"/>
        </w:rPr>
        <w:t>静电放电抗扰度试验</w:t>
      </w:r>
      <w:r>
        <w:rPr>
          <w:sz w:val="21"/>
        </w:rPr>
        <w:t> </w:t>
      </w:r>
    </w:p>
    <w:p>
      <w:pPr>
        <w:pStyle w:val="BodyText"/>
        <w:rPr>
          <w:sz w:val="18"/>
        </w:rPr>
      </w:pPr>
    </w:p>
    <w:p>
      <w:pPr>
        <w:pStyle w:val="ListParagraph"/>
        <w:numPr>
          <w:ilvl w:val="2"/>
          <w:numId w:val="578"/>
        </w:numPr>
        <w:tabs>
          <w:tab w:pos="1478" w:val="left" w:leader="none"/>
        </w:tabs>
        <w:spacing w:line="446" w:lineRule="auto" w:before="0" w:after="0"/>
        <w:ind w:left="418" w:right="1601" w:firstLine="422"/>
        <w:jc w:val="left"/>
        <w:rPr>
          <w:sz w:val="19"/>
        </w:rPr>
      </w:pPr>
      <w:r>
        <w:rPr>
          <w:spacing w:val="-12"/>
          <w:sz w:val="21"/>
        </w:rPr>
        <w:t>将试样按 </w:t>
      </w:r>
      <w:r>
        <w:rPr>
          <w:sz w:val="21"/>
        </w:rPr>
        <w:t>GB/T</w:t>
      </w:r>
      <w:r>
        <w:rPr>
          <w:spacing w:val="12"/>
          <w:sz w:val="21"/>
        </w:rPr>
        <w:t> </w:t>
      </w:r>
      <w:r>
        <w:rPr>
          <w:sz w:val="21"/>
        </w:rPr>
        <w:t>17626.2</w:t>
      </w:r>
      <w:r>
        <w:rPr>
          <w:spacing w:val="-8"/>
          <w:sz w:val="21"/>
        </w:rPr>
        <w:t> 的规定进行试验布置，将监控器及电动闭门器、释放器和</w:t>
      </w:r>
      <w:r>
        <w:rPr>
          <w:spacing w:val="-7"/>
          <w:sz w:val="21"/>
        </w:rPr>
        <w:t>门磁开关连接，接通电源，使其处于正常监视状态，保持 </w:t>
      </w:r>
      <w:r>
        <w:rPr>
          <w:sz w:val="21"/>
        </w:rPr>
        <w:t>20min</w:t>
      </w:r>
      <w:r>
        <w:rPr>
          <w:spacing w:val="-3"/>
          <w:sz w:val="21"/>
        </w:rPr>
        <w:t>。</w:t>
      </w:r>
      <w:r>
        <w:rPr>
          <w:sz w:val="21"/>
        </w:rPr>
        <w:t> </w:t>
      </w:r>
    </w:p>
    <w:p>
      <w:pPr>
        <w:pStyle w:val="ListParagraph"/>
        <w:numPr>
          <w:ilvl w:val="2"/>
          <w:numId w:val="578"/>
        </w:numPr>
        <w:tabs>
          <w:tab w:pos="1478" w:val="left" w:leader="none"/>
        </w:tabs>
        <w:spacing w:line="446" w:lineRule="auto" w:before="0" w:after="0"/>
        <w:ind w:left="418" w:right="1601" w:firstLine="422"/>
        <w:jc w:val="left"/>
        <w:rPr>
          <w:sz w:val="19"/>
        </w:rPr>
      </w:pPr>
      <w:r>
        <w:rPr>
          <w:spacing w:val="-26"/>
          <w:sz w:val="21"/>
        </w:rPr>
        <w:t>按 </w:t>
      </w:r>
      <w:r>
        <w:rPr>
          <w:sz w:val="21"/>
        </w:rPr>
        <w:t>GB/T</w:t>
      </w:r>
      <w:r>
        <w:rPr>
          <w:spacing w:val="9"/>
          <w:sz w:val="21"/>
        </w:rPr>
        <w:t> </w:t>
      </w:r>
      <w:r>
        <w:rPr>
          <w:sz w:val="21"/>
        </w:rPr>
        <w:t>17626.2</w:t>
      </w:r>
      <w:r>
        <w:rPr>
          <w:spacing w:val="-12"/>
          <w:sz w:val="21"/>
        </w:rPr>
        <w:t> 规定的试验方法对试样及耦合板施加表 </w:t>
      </w:r>
      <w:r>
        <w:rPr>
          <w:sz w:val="21"/>
        </w:rPr>
        <w:t>1</w:t>
      </w:r>
      <w:r>
        <w:rPr>
          <w:spacing w:val="-9"/>
          <w:sz w:val="21"/>
        </w:rPr>
        <w:t> 所示条件的电磁干扰试</w:t>
      </w:r>
      <w:r>
        <w:rPr>
          <w:spacing w:val="-5"/>
          <w:sz w:val="21"/>
        </w:rPr>
        <w:t>验，观察并记录试样的工作状态。</w:t>
      </w:r>
      <w:r>
        <w:rPr>
          <w:sz w:val="21"/>
        </w:rPr>
        <w:t> </w:t>
      </w: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rPr>
          <w:sz w:val="18"/>
        </w:rPr>
      </w:pPr>
    </w:p>
    <w:p>
      <w:pPr>
        <w:pStyle w:val="ListParagraph"/>
        <w:numPr>
          <w:ilvl w:val="1"/>
          <w:numId w:val="578"/>
        </w:numPr>
        <w:tabs>
          <w:tab w:pos="1264" w:val="left" w:leader="none"/>
        </w:tabs>
        <w:spacing w:line="240" w:lineRule="auto" w:before="0" w:after="0"/>
        <w:ind w:left="1263" w:right="0" w:hanging="424"/>
        <w:jc w:val="left"/>
        <w:rPr>
          <w:sz w:val="21"/>
        </w:rPr>
      </w:pPr>
      <w:r>
        <w:rPr>
          <w:spacing w:val="-3"/>
          <w:sz w:val="21"/>
        </w:rPr>
        <w:t>电快速瞬变脉冲群抗扰度试验</w:t>
      </w:r>
      <w:r>
        <w:rPr>
          <w:sz w:val="21"/>
        </w:rPr>
        <w:t> </w:t>
      </w:r>
    </w:p>
    <w:p>
      <w:pPr>
        <w:pStyle w:val="BodyText"/>
        <w:spacing w:before="12"/>
        <w:rPr>
          <w:sz w:val="17"/>
        </w:rPr>
      </w:pPr>
    </w:p>
    <w:p>
      <w:pPr>
        <w:pStyle w:val="ListParagraph"/>
        <w:numPr>
          <w:ilvl w:val="2"/>
          <w:numId w:val="578"/>
        </w:numPr>
        <w:tabs>
          <w:tab w:pos="1478" w:val="left" w:leader="none"/>
        </w:tabs>
        <w:spacing w:line="446" w:lineRule="auto" w:before="0" w:after="0"/>
        <w:ind w:left="418" w:right="1601" w:firstLine="422"/>
        <w:jc w:val="left"/>
        <w:rPr>
          <w:sz w:val="19"/>
        </w:rPr>
      </w:pPr>
      <w:r>
        <w:rPr>
          <w:spacing w:val="-12"/>
          <w:sz w:val="21"/>
        </w:rPr>
        <w:t>将试样按 </w:t>
      </w:r>
      <w:r>
        <w:rPr>
          <w:sz w:val="21"/>
        </w:rPr>
        <w:t>GB/T</w:t>
      </w:r>
      <w:r>
        <w:rPr>
          <w:spacing w:val="12"/>
          <w:sz w:val="21"/>
        </w:rPr>
        <w:t> </w:t>
      </w:r>
      <w:r>
        <w:rPr>
          <w:sz w:val="21"/>
        </w:rPr>
        <w:t>17626.4</w:t>
      </w:r>
      <w:r>
        <w:rPr>
          <w:spacing w:val="-8"/>
          <w:sz w:val="21"/>
        </w:rPr>
        <w:t> 的规定进行试验配置，将监控器及电动闭门器、释放器和</w:t>
      </w:r>
      <w:r>
        <w:rPr>
          <w:spacing w:val="-7"/>
          <w:sz w:val="21"/>
        </w:rPr>
        <w:t>门磁开关连接，接通电源，使其处于正常监视状态，保持 </w:t>
      </w:r>
      <w:r>
        <w:rPr>
          <w:sz w:val="21"/>
        </w:rPr>
        <w:t>20min</w:t>
      </w:r>
      <w:r>
        <w:rPr>
          <w:spacing w:val="-3"/>
          <w:sz w:val="21"/>
        </w:rPr>
        <w:t>。</w:t>
      </w:r>
      <w:r>
        <w:rPr>
          <w:sz w:val="21"/>
        </w:rPr>
        <w:t> </w:t>
      </w:r>
    </w:p>
    <w:p>
      <w:pPr>
        <w:pStyle w:val="ListParagraph"/>
        <w:numPr>
          <w:ilvl w:val="2"/>
          <w:numId w:val="578"/>
        </w:numPr>
        <w:tabs>
          <w:tab w:pos="1478" w:val="left" w:leader="none"/>
        </w:tabs>
        <w:spacing w:line="446" w:lineRule="auto" w:before="0" w:after="0"/>
        <w:ind w:left="418" w:right="1601" w:firstLine="422"/>
        <w:jc w:val="left"/>
        <w:rPr>
          <w:sz w:val="19"/>
        </w:rPr>
      </w:pPr>
      <w:r>
        <w:rPr>
          <w:spacing w:val="-25"/>
          <w:sz w:val="21"/>
        </w:rPr>
        <w:t>按 </w:t>
      </w:r>
      <w:r>
        <w:rPr>
          <w:sz w:val="21"/>
        </w:rPr>
        <w:t>GB/T</w:t>
      </w:r>
      <w:r>
        <w:rPr>
          <w:spacing w:val="6"/>
          <w:sz w:val="21"/>
        </w:rPr>
        <w:t> </w:t>
      </w:r>
      <w:r>
        <w:rPr>
          <w:sz w:val="21"/>
        </w:rPr>
        <w:t>17626.4</w:t>
      </w:r>
      <w:r>
        <w:rPr>
          <w:spacing w:val="-12"/>
          <w:sz w:val="21"/>
        </w:rPr>
        <w:t> 规定的试验方法对试样施加表 </w:t>
      </w:r>
      <w:r>
        <w:rPr>
          <w:sz w:val="21"/>
        </w:rPr>
        <w:t>1</w:t>
      </w:r>
      <w:r>
        <w:rPr>
          <w:spacing w:val="-9"/>
          <w:sz w:val="21"/>
        </w:rPr>
        <w:t> 所示条件的电磁干扰试验。试验</w:t>
      </w:r>
      <w:r>
        <w:rPr>
          <w:spacing w:val="-5"/>
          <w:sz w:val="21"/>
        </w:rPr>
        <w:t>期间观察并记录试样的工作状态。</w:t>
      </w:r>
      <w:r>
        <w:rPr>
          <w:sz w:val="21"/>
        </w:rPr>
        <w:t> </w:t>
      </w: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rPr>
          <w:sz w:val="18"/>
        </w:rPr>
      </w:pPr>
    </w:p>
    <w:p>
      <w:pPr>
        <w:pStyle w:val="ListParagraph"/>
        <w:numPr>
          <w:ilvl w:val="1"/>
          <w:numId w:val="578"/>
        </w:numPr>
        <w:tabs>
          <w:tab w:pos="1264" w:val="left" w:leader="none"/>
        </w:tabs>
        <w:spacing w:line="240" w:lineRule="auto" w:before="0" w:after="0"/>
        <w:ind w:left="1263" w:right="0" w:hanging="424"/>
        <w:jc w:val="left"/>
        <w:rPr>
          <w:b/>
          <w:sz w:val="21"/>
        </w:rPr>
      </w:pPr>
      <w:r>
        <w:rPr>
          <w:spacing w:val="-2"/>
          <w:sz w:val="21"/>
        </w:rPr>
        <w:t>浪涌</w:t>
      </w:r>
      <w:r>
        <w:rPr>
          <w:spacing w:val="-3"/>
          <w:sz w:val="21"/>
        </w:rPr>
        <w:t>（</w:t>
      </w:r>
      <w:r>
        <w:rPr>
          <w:spacing w:val="-2"/>
          <w:sz w:val="21"/>
        </w:rPr>
        <w:t>冲击</w:t>
      </w:r>
      <w:r>
        <w:rPr>
          <w:sz w:val="21"/>
        </w:rPr>
        <w:t>）</w:t>
      </w:r>
      <w:r>
        <w:rPr>
          <w:spacing w:val="-3"/>
          <w:sz w:val="21"/>
        </w:rPr>
        <w:t>抗扰度试验</w:t>
      </w:r>
      <w:r>
        <w:rPr>
          <w:b/>
          <w:w w:val="99"/>
          <w:sz w:val="21"/>
        </w:rPr>
        <w:t> </w:t>
      </w:r>
    </w:p>
    <w:p>
      <w:pPr>
        <w:pStyle w:val="BodyText"/>
        <w:spacing w:before="12"/>
        <w:rPr>
          <w:b/>
          <w:sz w:val="17"/>
        </w:rPr>
      </w:pPr>
    </w:p>
    <w:p>
      <w:pPr>
        <w:pStyle w:val="ListParagraph"/>
        <w:numPr>
          <w:ilvl w:val="2"/>
          <w:numId w:val="578"/>
        </w:numPr>
        <w:tabs>
          <w:tab w:pos="1478" w:val="left" w:leader="none"/>
        </w:tabs>
        <w:spacing w:line="446" w:lineRule="auto" w:before="0" w:after="0"/>
        <w:ind w:left="418" w:right="1601" w:firstLine="422"/>
        <w:jc w:val="left"/>
        <w:rPr>
          <w:sz w:val="19"/>
        </w:rPr>
      </w:pPr>
      <w:r>
        <w:rPr>
          <w:spacing w:val="-12"/>
          <w:sz w:val="21"/>
        </w:rPr>
        <w:t>将试样按 </w:t>
      </w:r>
      <w:r>
        <w:rPr>
          <w:sz w:val="21"/>
        </w:rPr>
        <w:t>GB/T</w:t>
      </w:r>
      <w:r>
        <w:rPr>
          <w:spacing w:val="12"/>
          <w:sz w:val="21"/>
        </w:rPr>
        <w:t> </w:t>
      </w:r>
      <w:r>
        <w:rPr>
          <w:sz w:val="21"/>
        </w:rPr>
        <w:t>17626.5</w:t>
      </w:r>
      <w:r>
        <w:rPr>
          <w:spacing w:val="-8"/>
          <w:sz w:val="21"/>
        </w:rPr>
        <w:t> 的规定进行试验配置，将监控器及电动闭门器、释放器和</w:t>
      </w:r>
      <w:r>
        <w:rPr>
          <w:spacing w:val="-7"/>
          <w:sz w:val="21"/>
        </w:rPr>
        <w:t>门磁开关连接，接通电源，使其处于正常监视状态，保持 </w:t>
      </w:r>
      <w:r>
        <w:rPr>
          <w:sz w:val="21"/>
        </w:rPr>
        <w:t>20min</w:t>
      </w:r>
      <w:r>
        <w:rPr>
          <w:spacing w:val="-3"/>
          <w:sz w:val="21"/>
        </w:rPr>
        <w:t>。</w:t>
      </w:r>
      <w:r>
        <w:rPr>
          <w:sz w:val="21"/>
        </w:rPr>
        <w:t> </w:t>
      </w:r>
    </w:p>
    <w:p>
      <w:pPr>
        <w:pStyle w:val="ListParagraph"/>
        <w:numPr>
          <w:ilvl w:val="2"/>
          <w:numId w:val="578"/>
        </w:numPr>
        <w:tabs>
          <w:tab w:pos="1478" w:val="left" w:leader="none"/>
        </w:tabs>
        <w:spacing w:line="446" w:lineRule="auto" w:before="1" w:after="0"/>
        <w:ind w:left="418" w:right="1601" w:firstLine="422"/>
        <w:jc w:val="left"/>
        <w:rPr>
          <w:sz w:val="19"/>
        </w:rPr>
      </w:pPr>
      <w:r>
        <w:rPr>
          <w:spacing w:val="-25"/>
          <w:sz w:val="21"/>
        </w:rPr>
        <w:t>按 </w:t>
      </w:r>
      <w:r>
        <w:rPr>
          <w:sz w:val="21"/>
        </w:rPr>
        <w:t>GB/T</w:t>
      </w:r>
      <w:r>
        <w:rPr>
          <w:spacing w:val="6"/>
          <w:sz w:val="21"/>
        </w:rPr>
        <w:t> </w:t>
      </w:r>
      <w:r>
        <w:rPr>
          <w:sz w:val="21"/>
        </w:rPr>
        <w:t>17626.5</w:t>
      </w:r>
      <w:r>
        <w:rPr>
          <w:spacing w:val="-12"/>
          <w:sz w:val="21"/>
        </w:rPr>
        <w:t> 规定的试验方法对试样施加表 </w:t>
      </w:r>
      <w:r>
        <w:rPr>
          <w:sz w:val="21"/>
        </w:rPr>
        <w:t>1</w:t>
      </w:r>
      <w:r>
        <w:rPr>
          <w:spacing w:val="-9"/>
          <w:sz w:val="21"/>
        </w:rPr>
        <w:t> 所示条件的电磁干扰试验，观察</w:t>
      </w:r>
      <w:r>
        <w:rPr>
          <w:spacing w:val="-5"/>
          <w:sz w:val="21"/>
        </w:rPr>
        <w:t>并记录试样的工作状态。</w:t>
      </w:r>
      <w:r>
        <w:rPr>
          <w:sz w:val="21"/>
        </w:rPr>
        <w:t> </w:t>
      </w: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spacing w:before="12"/>
        <w:rPr>
          <w:sz w:val="17"/>
        </w:rPr>
      </w:pPr>
    </w:p>
    <w:p>
      <w:pPr>
        <w:pStyle w:val="ListParagraph"/>
        <w:numPr>
          <w:ilvl w:val="1"/>
          <w:numId w:val="578"/>
        </w:numPr>
        <w:tabs>
          <w:tab w:pos="1266" w:val="left" w:leader="none"/>
        </w:tabs>
        <w:spacing w:line="240" w:lineRule="auto" w:before="0" w:after="0"/>
        <w:ind w:left="1265" w:right="0" w:hanging="426"/>
        <w:jc w:val="left"/>
        <w:rPr>
          <w:b/>
          <w:sz w:val="21"/>
        </w:rPr>
      </w:pPr>
      <w:r>
        <w:rPr>
          <w:spacing w:val="-3"/>
          <w:sz w:val="21"/>
        </w:rPr>
        <w:t>电压暂降、短时中断和电压变化的抗扰度试验</w:t>
      </w:r>
      <w:r>
        <w:rPr>
          <w:b/>
          <w:w w:val="99"/>
          <w:sz w:val="21"/>
        </w:rPr>
        <w:t> </w:t>
      </w:r>
    </w:p>
    <w:p>
      <w:pPr>
        <w:pStyle w:val="BodyText"/>
        <w:spacing w:before="12"/>
        <w:rPr>
          <w:b/>
          <w:sz w:val="17"/>
        </w:rPr>
      </w:pPr>
    </w:p>
    <w:p>
      <w:pPr>
        <w:pStyle w:val="ListParagraph"/>
        <w:numPr>
          <w:ilvl w:val="2"/>
          <w:numId w:val="578"/>
        </w:numPr>
        <w:tabs>
          <w:tab w:pos="1478" w:val="left" w:leader="none"/>
        </w:tabs>
        <w:spacing w:line="446" w:lineRule="auto" w:before="0" w:after="0"/>
        <w:ind w:left="418" w:right="1498" w:firstLine="422"/>
        <w:jc w:val="left"/>
        <w:rPr>
          <w:sz w:val="19"/>
        </w:rPr>
      </w:pPr>
      <w:r>
        <w:rPr>
          <w:spacing w:val="-3"/>
          <w:sz w:val="21"/>
        </w:rPr>
        <w:t>按正常监视状态要求，将试样电动闭门器、释放器和门磁开关连接。连接试样到符</w:t>
      </w:r>
      <w:r>
        <w:rPr>
          <w:spacing w:val="-28"/>
          <w:sz w:val="21"/>
        </w:rPr>
        <w:t>合 </w:t>
      </w:r>
      <w:r>
        <w:rPr>
          <w:sz w:val="21"/>
        </w:rPr>
        <w:t>GB/T</w:t>
      </w:r>
      <w:r>
        <w:rPr>
          <w:spacing w:val="3"/>
          <w:sz w:val="21"/>
        </w:rPr>
        <w:t> </w:t>
      </w:r>
      <w:r>
        <w:rPr>
          <w:sz w:val="21"/>
        </w:rPr>
        <w:t>17626.11</w:t>
      </w:r>
      <w:r>
        <w:rPr>
          <w:spacing w:val="-8"/>
          <w:sz w:val="21"/>
        </w:rPr>
        <w:t> 规定的主电压暂降和中断试验装置上，使其处于正常监视状态。 </w:t>
      </w:r>
    </w:p>
    <w:p>
      <w:pPr>
        <w:pStyle w:val="BodyText"/>
        <w:rPr>
          <w:sz w:val="20"/>
        </w:rPr>
      </w:pPr>
    </w:p>
    <w:p>
      <w:pPr>
        <w:pStyle w:val="BodyText"/>
        <w:rPr>
          <w:sz w:val="19"/>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10"/>
          <w:sz w:val="21"/>
        </w:rPr>
        <w:t>使主电压下滑至 </w:t>
      </w:r>
      <w:r>
        <w:rPr>
          <w:sz w:val="21"/>
        </w:rPr>
        <w:t>40</w:t>
      </w:r>
      <w:r>
        <w:rPr>
          <w:spacing w:val="-12"/>
          <w:sz w:val="21"/>
        </w:rPr>
        <w:t>%，持续 </w:t>
      </w:r>
      <w:r>
        <w:rPr>
          <w:sz w:val="21"/>
        </w:rPr>
        <w:t>20ms</w:t>
      </w:r>
      <w:r>
        <w:rPr>
          <w:spacing w:val="-12"/>
          <w:sz w:val="21"/>
        </w:rPr>
        <w:t>，重复进行 </w:t>
      </w:r>
      <w:r>
        <w:rPr>
          <w:sz w:val="21"/>
        </w:rPr>
        <w:t>10</w:t>
      </w:r>
      <w:r>
        <w:rPr>
          <w:spacing w:val="-13"/>
          <w:sz w:val="21"/>
        </w:rPr>
        <w:t> 次；再将使主电压下滑至 </w:t>
      </w:r>
      <w:r>
        <w:rPr>
          <w:sz w:val="21"/>
        </w:rPr>
        <w:t>0V</w:t>
      </w:r>
      <w:r>
        <w:rPr>
          <w:spacing w:val="-2"/>
          <w:sz w:val="21"/>
        </w:rPr>
        <w:t>，持续</w:t>
      </w:r>
    </w:p>
    <w:p>
      <w:pPr>
        <w:pStyle w:val="BodyText"/>
        <w:spacing w:before="2"/>
        <w:rPr>
          <w:sz w:val="18"/>
        </w:rPr>
      </w:pPr>
    </w:p>
    <w:p>
      <w:pPr>
        <w:pStyle w:val="BodyText"/>
        <w:ind w:left="418"/>
      </w:pPr>
      <w:r>
        <w:rPr/>
        <w:t>10ms，重复进行 10 次，观察并记录试样的工作状态。 </w:t>
      </w:r>
    </w:p>
    <w:p>
      <w:pPr>
        <w:spacing w:after="0"/>
        <w:sectPr>
          <w:pgSz w:w="11910" w:h="16850"/>
          <w:pgMar w:header="0" w:footer="1239" w:top="1220" w:bottom="1420" w:left="1260" w:right="0"/>
        </w:sectPr>
      </w:pPr>
    </w:p>
    <w:p>
      <w:pPr>
        <w:pStyle w:val="ListParagraph"/>
        <w:numPr>
          <w:ilvl w:val="2"/>
          <w:numId w:val="578"/>
        </w:numPr>
        <w:tabs>
          <w:tab w:pos="1478" w:val="left" w:leader="none"/>
        </w:tabs>
        <w:spacing w:line="240" w:lineRule="auto" w:before="47" w:after="0"/>
        <w:ind w:left="1477" w:right="0" w:hanging="638"/>
        <w:jc w:val="left"/>
        <w:rPr>
          <w:sz w:val="19"/>
        </w:rPr>
      </w:pPr>
      <w:r>
        <w:rPr>
          <w:spacing w:val="-3"/>
          <w:sz w:val="21"/>
        </w:rPr>
        <w:t>进行基本功能试验，并与试验前的基本功能相比较。</w:t>
      </w:r>
      <w:r>
        <w:rPr>
          <w:sz w:val="21"/>
        </w:rPr>
        <w:t> </w:t>
      </w:r>
    </w:p>
    <w:p>
      <w:pPr>
        <w:pStyle w:val="BodyText"/>
        <w:rPr>
          <w:sz w:val="18"/>
        </w:rPr>
      </w:pPr>
    </w:p>
    <w:p>
      <w:pPr>
        <w:pStyle w:val="ListParagraph"/>
        <w:numPr>
          <w:ilvl w:val="1"/>
          <w:numId w:val="578"/>
        </w:numPr>
        <w:tabs>
          <w:tab w:pos="1264" w:val="left" w:leader="none"/>
        </w:tabs>
        <w:spacing w:line="240" w:lineRule="auto" w:before="0" w:after="0"/>
        <w:ind w:left="1263" w:right="0" w:hanging="424"/>
        <w:jc w:val="left"/>
        <w:rPr>
          <w:b/>
          <w:sz w:val="21"/>
        </w:rPr>
      </w:pPr>
      <w:r>
        <w:rPr>
          <w:spacing w:val="-3"/>
          <w:sz w:val="21"/>
        </w:rPr>
        <w:t>电源瞬变试验</w:t>
      </w:r>
      <w:r>
        <w:rPr>
          <w:b/>
          <w:w w:val="99"/>
          <w:sz w:val="21"/>
        </w:rPr>
        <w:t> </w:t>
      </w:r>
    </w:p>
    <w:p>
      <w:pPr>
        <w:pStyle w:val="BodyText"/>
        <w:rPr>
          <w:b/>
          <w:sz w:val="18"/>
        </w:rPr>
      </w:pPr>
    </w:p>
    <w:p>
      <w:pPr>
        <w:pStyle w:val="ListParagraph"/>
        <w:numPr>
          <w:ilvl w:val="2"/>
          <w:numId w:val="578"/>
        </w:numPr>
        <w:tabs>
          <w:tab w:pos="1478" w:val="left" w:leader="none"/>
        </w:tabs>
        <w:spacing w:line="446" w:lineRule="auto" w:before="0" w:after="0"/>
        <w:ind w:left="418" w:right="1496" w:firstLine="422"/>
        <w:jc w:val="left"/>
        <w:rPr>
          <w:sz w:val="19"/>
        </w:rPr>
      </w:pPr>
      <w:r>
        <w:rPr>
          <w:spacing w:val="-3"/>
          <w:sz w:val="21"/>
        </w:rPr>
        <w:t>按正常监视状态要求，将试样与电动闭门器、释放器和门磁开关连接，连接试样到</w:t>
      </w:r>
      <w:r>
        <w:rPr>
          <w:spacing w:val="-20"/>
          <w:sz w:val="21"/>
        </w:rPr>
        <w:t>符合 </w:t>
      </w:r>
      <w:r>
        <w:rPr>
          <w:sz w:val="21"/>
        </w:rPr>
        <w:t>4.7</w:t>
      </w:r>
      <w:r>
        <w:rPr>
          <w:spacing w:val="-9"/>
          <w:sz w:val="21"/>
        </w:rPr>
        <w:t> 规定的电源瞬变试验装置，使其处于正常监视状态。</w:t>
      </w:r>
      <w:r>
        <w:rPr>
          <w:sz w:val="21"/>
        </w:rPr>
        <w:t> </w:t>
      </w: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开启试验装置，使试样主电源按“通电</w:t>
      </w:r>
      <w:r>
        <w:rPr>
          <w:sz w:val="21"/>
        </w:rPr>
        <w:t>（9s）～</w:t>
      </w:r>
      <w:r>
        <w:rPr>
          <w:spacing w:val="-2"/>
          <w:sz w:val="21"/>
        </w:rPr>
        <w:t>断电</w:t>
      </w:r>
      <w:r>
        <w:rPr>
          <w:sz w:val="21"/>
        </w:rPr>
        <w:t>（1s）</w:t>
      </w:r>
      <w:r>
        <w:rPr>
          <w:spacing w:val="-3"/>
          <w:sz w:val="21"/>
        </w:rPr>
        <w:t>”的固定程序连续通断</w:t>
      </w:r>
    </w:p>
    <w:p>
      <w:pPr>
        <w:pStyle w:val="BodyText"/>
        <w:spacing w:before="12"/>
        <w:rPr>
          <w:sz w:val="17"/>
        </w:rPr>
      </w:pPr>
    </w:p>
    <w:p>
      <w:pPr>
        <w:pStyle w:val="BodyText"/>
        <w:ind w:left="418"/>
      </w:pPr>
      <w:r>
        <w:rPr/>
        <w:t>500 次，观察并记录试样的工作状态。 </w:t>
      </w:r>
    </w:p>
    <w:p>
      <w:pPr>
        <w:pStyle w:val="BodyText"/>
        <w:spacing w:before="2"/>
        <w:rPr>
          <w:sz w:val="18"/>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rPr>
          <w:sz w:val="18"/>
        </w:rPr>
      </w:pPr>
    </w:p>
    <w:p>
      <w:pPr>
        <w:pStyle w:val="ListParagraph"/>
        <w:numPr>
          <w:ilvl w:val="1"/>
          <w:numId w:val="578"/>
        </w:numPr>
        <w:tabs>
          <w:tab w:pos="1264" w:val="left" w:leader="none"/>
        </w:tabs>
        <w:spacing w:line="240" w:lineRule="auto" w:before="0" w:after="0"/>
        <w:ind w:left="1263" w:right="0" w:hanging="424"/>
        <w:jc w:val="left"/>
        <w:rPr>
          <w:sz w:val="21"/>
        </w:rPr>
      </w:pPr>
      <w:r>
        <w:rPr>
          <w:spacing w:val="-2"/>
          <w:sz w:val="21"/>
        </w:rPr>
        <w:t>低温</w:t>
      </w:r>
      <w:r>
        <w:rPr>
          <w:spacing w:val="-3"/>
          <w:sz w:val="21"/>
        </w:rPr>
        <w:t>（</w:t>
      </w:r>
      <w:r>
        <w:rPr>
          <w:spacing w:val="-2"/>
          <w:sz w:val="21"/>
        </w:rPr>
        <w:t>运行</w:t>
      </w:r>
      <w:r>
        <w:rPr>
          <w:sz w:val="21"/>
        </w:rPr>
        <w:t>）</w:t>
      </w:r>
      <w:r>
        <w:rPr>
          <w:spacing w:val="-3"/>
          <w:sz w:val="21"/>
        </w:rPr>
        <w:t>试验</w:t>
      </w:r>
      <w:r>
        <w:rPr>
          <w:sz w:val="21"/>
        </w:rPr>
        <w:t> </w:t>
      </w:r>
    </w:p>
    <w:p>
      <w:pPr>
        <w:pStyle w:val="BodyText"/>
        <w:spacing w:before="12"/>
        <w:rPr>
          <w:sz w:val="17"/>
        </w:rPr>
      </w:pPr>
    </w:p>
    <w:p>
      <w:pPr>
        <w:pStyle w:val="ListParagraph"/>
        <w:numPr>
          <w:ilvl w:val="2"/>
          <w:numId w:val="578"/>
        </w:numPr>
        <w:tabs>
          <w:tab w:pos="1478" w:val="left" w:leader="none"/>
        </w:tabs>
        <w:spacing w:line="446" w:lineRule="auto" w:before="0" w:after="0"/>
        <w:ind w:left="418" w:right="1448" w:firstLine="422"/>
        <w:jc w:val="left"/>
        <w:rPr>
          <w:sz w:val="19"/>
        </w:rPr>
      </w:pPr>
      <w:r>
        <w:rPr>
          <w:spacing w:val="-6"/>
          <w:sz w:val="21"/>
        </w:rPr>
        <w:t>将试样在正常大气条件下放置 </w:t>
      </w:r>
      <w:r>
        <w:rPr>
          <w:sz w:val="21"/>
        </w:rPr>
        <w:t>2h～4h</w:t>
      </w:r>
      <w:r>
        <w:rPr>
          <w:spacing w:val="-3"/>
          <w:sz w:val="21"/>
        </w:rPr>
        <w:t>。然后按正常监视状态要求，将试样与等效负载连接，接通电源。</w:t>
      </w:r>
      <w:r>
        <w:rPr>
          <w:sz w:val="21"/>
        </w:rPr>
        <w:t> </w:t>
      </w:r>
    </w:p>
    <w:p>
      <w:pPr>
        <w:pStyle w:val="ListParagraph"/>
        <w:numPr>
          <w:ilvl w:val="2"/>
          <w:numId w:val="578"/>
        </w:numPr>
        <w:tabs>
          <w:tab w:pos="1478" w:val="left" w:leader="none"/>
        </w:tabs>
        <w:spacing w:line="240" w:lineRule="auto" w:before="0" w:after="0"/>
        <w:ind w:left="1477" w:right="0" w:hanging="638"/>
        <w:jc w:val="left"/>
        <w:rPr>
          <w:sz w:val="19"/>
        </w:rPr>
      </w:pPr>
      <w:r>
        <w:rPr>
          <w:spacing w:val="-8"/>
          <w:sz w:val="21"/>
        </w:rPr>
        <w:t>调节试验箱温度，使其在 </w:t>
      </w:r>
      <w:r>
        <w:rPr>
          <w:sz w:val="21"/>
        </w:rPr>
        <w:t>20°C</w:t>
      </w:r>
      <w:r>
        <w:rPr>
          <w:spacing w:val="-36"/>
          <w:sz w:val="21"/>
        </w:rPr>
        <w:t> 士 </w:t>
      </w:r>
      <w:r>
        <w:rPr>
          <w:sz w:val="21"/>
        </w:rPr>
        <w:t>2°C</w:t>
      </w:r>
      <w:r>
        <w:rPr>
          <w:spacing w:val="-17"/>
          <w:sz w:val="21"/>
        </w:rPr>
        <w:t> 温度下保持 </w:t>
      </w:r>
      <w:r>
        <w:rPr>
          <w:sz w:val="21"/>
        </w:rPr>
        <w:t>30min±5min</w:t>
      </w:r>
      <w:r>
        <w:rPr>
          <w:spacing w:val="-3"/>
          <w:sz w:val="21"/>
        </w:rPr>
        <w:t>，然后，以不大于</w:t>
      </w:r>
    </w:p>
    <w:p>
      <w:pPr>
        <w:pStyle w:val="BodyText"/>
        <w:spacing w:before="12"/>
        <w:rPr>
          <w:sz w:val="17"/>
        </w:rPr>
      </w:pPr>
    </w:p>
    <w:p>
      <w:pPr>
        <w:pStyle w:val="BodyText"/>
        <w:spacing w:before="1"/>
        <w:ind w:left="418"/>
      </w:pPr>
      <w:r>
        <w:rPr/>
        <w:t>1℃/min 的速率降温至 0°C±3°C。 </w:t>
      </w:r>
    </w:p>
    <w:p>
      <w:pPr>
        <w:pStyle w:val="BodyText"/>
        <w:spacing w:before="1"/>
        <w:rPr>
          <w:sz w:val="18"/>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27"/>
          <w:sz w:val="21"/>
        </w:rPr>
        <w:t>在 </w:t>
      </w:r>
      <w:r>
        <w:rPr>
          <w:sz w:val="21"/>
        </w:rPr>
        <w:t>0°C±3°C</w:t>
      </w:r>
      <w:r>
        <w:rPr>
          <w:spacing w:val="-14"/>
          <w:sz w:val="21"/>
        </w:rPr>
        <w:t> 温度条件下，保持 </w:t>
      </w:r>
      <w:r>
        <w:rPr>
          <w:sz w:val="21"/>
        </w:rPr>
        <w:t>16h</w:t>
      </w:r>
      <w:r>
        <w:rPr>
          <w:spacing w:val="-9"/>
          <w:sz w:val="21"/>
        </w:rPr>
        <w:t> 后进行基本功能试验。</w:t>
      </w:r>
      <w:r>
        <w:rPr>
          <w:sz w:val="21"/>
        </w:rPr>
        <w:t> </w:t>
      </w:r>
    </w:p>
    <w:p>
      <w:pPr>
        <w:pStyle w:val="BodyText"/>
        <w:rPr>
          <w:sz w:val="18"/>
        </w:rPr>
      </w:pPr>
    </w:p>
    <w:p>
      <w:pPr>
        <w:pStyle w:val="ListParagraph"/>
        <w:numPr>
          <w:ilvl w:val="2"/>
          <w:numId w:val="578"/>
        </w:numPr>
        <w:tabs>
          <w:tab w:pos="1478" w:val="left" w:leader="none"/>
        </w:tabs>
        <w:spacing w:line="446" w:lineRule="auto" w:before="0" w:after="0"/>
        <w:ind w:left="418" w:right="1762" w:firstLine="422"/>
        <w:jc w:val="left"/>
        <w:rPr>
          <w:sz w:val="19"/>
        </w:rPr>
      </w:pPr>
      <w:r>
        <w:rPr>
          <w:spacing w:val="-7"/>
          <w:sz w:val="21"/>
        </w:rPr>
        <w:t>调节试验箱温度，使其以不大于 </w:t>
      </w:r>
      <w:r>
        <w:rPr>
          <w:sz w:val="21"/>
        </w:rPr>
        <w:t>1°C/min</w:t>
      </w:r>
      <w:r>
        <w:rPr>
          <w:spacing w:val="-16"/>
          <w:sz w:val="21"/>
        </w:rPr>
        <w:t> 的速率升温至 </w:t>
      </w:r>
      <w:r>
        <w:rPr>
          <w:sz w:val="21"/>
        </w:rPr>
        <w:t>20°C</w:t>
      </w:r>
      <w:r>
        <w:rPr>
          <w:spacing w:val="-34"/>
          <w:sz w:val="21"/>
        </w:rPr>
        <w:t> 士 </w:t>
      </w:r>
      <w:r>
        <w:rPr>
          <w:sz w:val="21"/>
        </w:rPr>
        <w:t>2°C</w:t>
      </w:r>
      <w:r>
        <w:rPr>
          <w:spacing w:val="-1"/>
          <w:sz w:val="21"/>
        </w:rPr>
        <w:t>，并保持30min</w:t>
      </w:r>
      <w:r>
        <w:rPr>
          <w:spacing w:val="-37"/>
          <w:sz w:val="21"/>
        </w:rPr>
        <w:t> 士 </w:t>
      </w:r>
      <w:r>
        <w:rPr>
          <w:sz w:val="21"/>
        </w:rPr>
        <w:t>5min</w:t>
      </w:r>
      <w:r>
        <w:rPr>
          <w:spacing w:val="-3"/>
          <w:sz w:val="21"/>
        </w:rPr>
        <w:t>。</w:t>
      </w:r>
      <w:r>
        <w:rPr>
          <w:sz w:val="21"/>
        </w:rPr>
        <w:t> </w:t>
      </w:r>
    </w:p>
    <w:p>
      <w:pPr>
        <w:pStyle w:val="ListParagraph"/>
        <w:numPr>
          <w:ilvl w:val="2"/>
          <w:numId w:val="578"/>
        </w:numPr>
        <w:tabs>
          <w:tab w:pos="1478" w:val="left" w:leader="none"/>
        </w:tabs>
        <w:spacing w:line="240" w:lineRule="auto" w:before="0" w:after="0"/>
        <w:ind w:left="1477" w:right="0" w:hanging="638"/>
        <w:jc w:val="left"/>
        <w:rPr>
          <w:sz w:val="19"/>
        </w:rPr>
      </w:pPr>
      <w:r>
        <w:rPr>
          <w:spacing w:val="-7"/>
          <w:sz w:val="21"/>
        </w:rPr>
        <w:t>取出试样，在正常大气条件下放置 </w:t>
      </w:r>
      <w:r>
        <w:rPr>
          <w:sz w:val="21"/>
        </w:rPr>
        <w:t>1h～2h</w:t>
      </w:r>
      <w:r>
        <w:rPr>
          <w:spacing w:val="-3"/>
          <w:sz w:val="21"/>
        </w:rPr>
        <w:t>。</w:t>
      </w:r>
      <w:r>
        <w:rPr>
          <w:sz w:val="21"/>
        </w:rPr>
        <w:t> </w:t>
      </w:r>
    </w:p>
    <w:p>
      <w:pPr>
        <w:pStyle w:val="BodyText"/>
        <w:rPr>
          <w:sz w:val="18"/>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检查试样表面涂覆情况。</w:t>
      </w:r>
      <w:r>
        <w:rPr>
          <w:sz w:val="21"/>
        </w:rPr>
        <w:t> </w:t>
      </w:r>
    </w:p>
    <w:p>
      <w:pPr>
        <w:pStyle w:val="BodyText"/>
        <w:spacing w:before="12"/>
        <w:rPr>
          <w:sz w:val="17"/>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spacing w:before="2"/>
        <w:rPr>
          <w:sz w:val="18"/>
        </w:rPr>
      </w:pPr>
    </w:p>
    <w:p>
      <w:pPr>
        <w:pStyle w:val="ListParagraph"/>
        <w:numPr>
          <w:ilvl w:val="1"/>
          <w:numId w:val="578"/>
        </w:numPr>
        <w:tabs>
          <w:tab w:pos="1264" w:val="left" w:leader="none"/>
        </w:tabs>
        <w:spacing w:line="240" w:lineRule="auto" w:before="0" w:after="0"/>
        <w:ind w:left="1263" w:right="0" w:hanging="424"/>
        <w:jc w:val="left"/>
        <w:rPr>
          <w:sz w:val="21"/>
        </w:rPr>
      </w:pPr>
      <w:r>
        <w:rPr>
          <w:spacing w:val="-3"/>
          <w:sz w:val="21"/>
        </w:rPr>
        <w:t>恒定湿热（</w:t>
      </w:r>
      <w:r>
        <w:rPr>
          <w:spacing w:val="-2"/>
          <w:sz w:val="21"/>
        </w:rPr>
        <w:t>运行</w:t>
      </w:r>
      <w:r>
        <w:rPr>
          <w:sz w:val="21"/>
        </w:rPr>
        <w:t>）</w:t>
      </w:r>
      <w:r>
        <w:rPr>
          <w:spacing w:val="-2"/>
          <w:sz w:val="21"/>
        </w:rPr>
        <w:t>试验 </w:t>
      </w:r>
    </w:p>
    <w:p>
      <w:pPr>
        <w:pStyle w:val="BodyText"/>
        <w:rPr>
          <w:sz w:val="18"/>
        </w:rPr>
      </w:pPr>
    </w:p>
    <w:p>
      <w:pPr>
        <w:pStyle w:val="ListParagraph"/>
        <w:numPr>
          <w:ilvl w:val="2"/>
          <w:numId w:val="578"/>
        </w:numPr>
        <w:tabs>
          <w:tab w:pos="1478" w:val="left" w:leader="none"/>
        </w:tabs>
        <w:spacing w:line="446" w:lineRule="auto" w:before="0" w:after="0"/>
        <w:ind w:left="418" w:right="1549" w:firstLine="422"/>
        <w:jc w:val="left"/>
        <w:rPr>
          <w:sz w:val="19"/>
        </w:rPr>
      </w:pPr>
      <w:r>
        <w:rPr>
          <w:spacing w:val="-6"/>
          <w:sz w:val="21"/>
        </w:rPr>
        <w:t>将试样在正常大气条件下放置 </w:t>
      </w:r>
      <w:r>
        <w:rPr>
          <w:sz w:val="21"/>
        </w:rPr>
        <w:t>2～4h</w:t>
      </w:r>
      <w:r>
        <w:rPr>
          <w:spacing w:val="-3"/>
          <w:sz w:val="21"/>
        </w:rPr>
        <w:t>。然后按正常监视状态要求，将试样与等效负载连接，接通电源，使其处于正常监视状态。</w:t>
      </w:r>
      <w:r>
        <w:rPr>
          <w:sz w:val="21"/>
        </w:rPr>
        <w:t> </w:t>
      </w:r>
    </w:p>
    <w:p>
      <w:pPr>
        <w:pStyle w:val="ListParagraph"/>
        <w:numPr>
          <w:ilvl w:val="2"/>
          <w:numId w:val="578"/>
        </w:numPr>
        <w:tabs>
          <w:tab w:pos="1478" w:val="left" w:leader="none"/>
        </w:tabs>
        <w:spacing w:line="446" w:lineRule="auto" w:before="0" w:after="0"/>
        <w:ind w:left="418" w:right="1549" w:firstLine="422"/>
        <w:jc w:val="left"/>
        <w:rPr>
          <w:sz w:val="19"/>
        </w:rPr>
      </w:pPr>
      <w:r>
        <w:rPr>
          <w:spacing w:val="-8"/>
          <w:sz w:val="21"/>
        </w:rPr>
        <w:t>调节试验箱，使温度为 </w:t>
      </w:r>
      <w:r>
        <w:rPr>
          <w:sz w:val="21"/>
        </w:rPr>
        <w:t>40</w:t>
      </w:r>
      <w:r>
        <w:rPr>
          <w:spacing w:val="-17"/>
          <w:sz w:val="21"/>
        </w:rPr>
        <w:t>℃士 </w:t>
      </w:r>
      <w:r>
        <w:rPr>
          <w:sz w:val="21"/>
        </w:rPr>
        <w:t>2</w:t>
      </w:r>
      <w:r>
        <w:rPr>
          <w:spacing w:val="-9"/>
          <w:sz w:val="21"/>
        </w:rPr>
        <w:t>℃，相对湿度 </w:t>
      </w:r>
      <w:r>
        <w:rPr>
          <w:sz w:val="21"/>
        </w:rPr>
        <w:t>90%～95％（</w:t>
      </w:r>
      <w:r>
        <w:rPr>
          <w:spacing w:val="-3"/>
          <w:sz w:val="21"/>
        </w:rPr>
        <w:t>先调节温度，当温度达到稳定后再加湿</w:t>
      </w:r>
      <w:r>
        <w:rPr>
          <w:sz w:val="21"/>
        </w:rPr>
        <w:t>）</w:t>
      </w:r>
      <w:r>
        <w:rPr>
          <w:spacing w:val="-16"/>
          <w:sz w:val="21"/>
        </w:rPr>
        <w:t>，保持 </w:t>
      </w:r>
      <w:r>
        <w:rPr>
          <w:sz w:val="21"/>
        </w:rPr>
        <w:t>4d</w:t>
      </w:r>
      <w:r>
        <w:rPr>
          <w:spacing w:val="-9"/>
          <w:sz w:val="21"/>
        </w:rPr>
        <w:t> 后进行基本功能试验。</w:t>
      </w:r>
      <w:r>
        <w:rPr>
          <w:sz w:val="21"/>
        </w:rPr>
        <w:t> </w:t>
      </w:r>
    </w:p>
    <w:p>
      <w:pPr>
        <w:pStyle w:val="ListParagraph"/>
        <w:numPr>
          <w:ilvl w:val="2"/>
          <w:numId w:val="578"/>
        </w:numPr>
        <w:tabs>
          <w:tab w:pos="1478" w:val="left" w:leader="none"/>
        </w:tabs>
        <w:spacing w:line="267" w:lineRule="exact" w:before="0" w:after="0"/>
        <w:ind w:left="1477" w:right="0" w:hanging="638"/>
        <w:jc w:val="left"/>
        <w:rPr>
          <w:sz w:val="19"/>
        </w:rPr>
      </w:pPr>
      <w:r>
        <w:rPr>
          <w:spacing w:val="-6"/>
          <w:sz w:val="21"/>
        </w:rPr>
        <w:t>取出试样，在正常大气条件下，处于正常监视状态 </w:t>
      </w:r>
      <w:r>
        <w:rPr>
          <w:sz w:val="21"/>
        </w:rPr>
        <w:t>1～2h</w:t>
      </w:r>
      <w:r>
        <w:rPr>
          <w:spacing w:val="-3"/>
          <w:sz w:val="21"/>
        </w:rPr>
        <w:t>。</w:t>
      </w:r>
      <w:r>
        <w:rPr>
          <w:sz w:val="21"/>
        </w:rPr>
        <w:t> </w:t>
      </w:r>
    </w:p>
    <w:p>
      <w:pPr>
        <w:pStyle w:val="BodyText"/>
        <w:spacing w:before="2"/>
        <w:rPr>
          <w:sz w:val="18"/>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检查试样表面涂覆情况。</w:t>
      </w:r>
      <w:r>
        <w:rPr>
          <w:sz w:val="21"/>
        </w:rPr>
        <w:t> </w:t>
      </w:r>
    </w:p>
    <w:p>
      <w:pPr>
        <w:pStyle w:val="BodyText"/>
        <w:rPr>
          <w:sz w:val="18"/>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spacing w:before="12"/>
        <w:rPr>
          <w:sz w:val="17"/>
        </w:rPr>
      </w:pPr>
    </w:p>
    <w:p>
      <w:pPr>
        <w:pStyle w:val="ListParagraph"/>
        <w:numPr>
          <w:ilvl w:val="1"/>
          <w:numId w:val="578"/>
        </w:numPr>
        <w:tabs>
          <w:tab w:pos="1264" w:val="left" w:leader="none"/>
        </w:tabs>
        <w:spacing w:line="240" w:lineRule="auto" w:before="0" w:after="0"/>
        <w:ind w:left="1263" w:right="0" w:hanging="424"/>
        <w:jc w:val="left"/>
        <w:rPr>
          <w:b/>
          <w:sz w:val="21"/>
        </w:rPr>
      </w:pPr>
      <w:r>
        <w:rPr>
          <w:spacing w:val="-2"/>
          <w:sz w:val="21"/>
        </w:rPr>
        <w:t>振动</w:t>
      </w:r>
      <w:r>
        <w:rPr>
          <w:spacing w:val="-3"/>
          <w:sz w:val="21"/>
        </w:rPr>
        <w:t>（</w:t>
      </w:r>
      <w:r>
        <w:rPr>
          <w:spacing w:val="-2"/>
          <w:sz w:val="21"/>
        </w:rPr>
        <w:t>正弦</w:t>
      </w:r>
      <w:r>
        <w:rPr>
          <w:sz w:val="21"/>
        </w:rPr>
        <w:t>）（</w:t>
      </w:r>
      <w:r>
        <w:rPr>
          <w:spacing w:val="-2"/>
          <w:sz w:val="21"/>
        </w:rPr>
        <w:t>运行</w:t>
      </w:r>
      <w:r>
        <w:rPr>
          <w:sz w:val="21"/>
        </w:rPr>
        <w:t>）</w:t>
      </w:r>
      <w:r>
        <w:rPr>
          <w:spacing w:val="-2"/>
          <w:sz w:val="21"/>
        </w:rPr>
        <w:t>试验</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578"/>
        </w:numPr>
        <w:tabs>
          <w:tab w:pos="1478" w:val="left" w:leader="none"/>
        </w:tabs>
        <w:spacing w:line="446" w:lineRule="auto" w:before="47" w:after="0"/>
        <w:ind w:left="418" w:right="1498" w:firstLine="422"/>
        <w:jc w:val="left"/>
        <w:rPr>
          <w:sz w:val="19"/>
        </w:rPr>
      </w:pPr>
      <w:r>
        <w:rPr>
          <w:spacing w:val="-3"/>
          <w:sz w:val="21"/>
        </w:rPr>
        <w:t>将试样按正常安装方式刚性安装，使同方向的重力作用与其使用时一致</w:t>
      </w:r>
      <w:r>
        <w:rPr>
          <w:sz w:val="21"/>
        </w:rPr>
        <w:t>（</w:t>
      </w:r>
      <w:r>
        <w:rPr>
          <w:spacing w:val="-3"/>
          <w:sz w:val="21"/>
        </w:rPr>
        <w:t>重力影响可忽略时除外</w:t>
      </w:r>
      <w:r>
        <w:rPr>
          <w:sz w:val="21"/>
        </w:rPr>
        <w:t>）</w:t>
      </w:r>
      <w:r>
        <w:rPr>
          <w:spacing w:val="-3"/>
          <w:sz w:val="21"/>
        </w:rPr>
        <w:t>，试样在上述安装方式下可放于任何高度。接通电源，使试样处于正常监视状态。</w:t>
      </w:r>
      <w:r>
        <w:rPr>
          <w:sz w:val="21"/>
        </w:rPr>
        <w:t> </w:t>
      </w:r>
    </w:p>
    <w:p>
      <w:pPr>
        <w:pStyle w:val="ListParagraph"/>
        <w:numPr>
          <w:ilvl w:val="2"/>
          <w:numId w:val="578"/>
        </w:numPr>
        <w:tabs>
          <w:tab w:pos="1478" w:val="left" w:leader="none"/>
        </w:tabs>
        <w:spacing w:line="446" w:lineRule="auto" w:before="0" w:after="0"/>
        <w:ind w:left="418" w:right="1551" w:firstLine="422"/>
        <w:jc w:val="left"/>
        <w:rPr>
          <w:sz w:val="19"/>
        </w:rPr>
      </w:pPr>
      <w:r>
        <w:rPr>
          <w:spacing w:val="-14"/>
          <w:sz w:val="21"/>
        </w:rPr>
        <w:t>依次在 </w:t>
      </w:r>
      <w:r>
        <w:rPr>
          <w:sz w:val="21"/>
        </w:rPr>
        <w:t>3</w:t>
      </w:r>
      <w:r>
        <w:rPr>
          <w:spacing w:val="-12"/>
          <w:sz w:val="21"/>
        </w:rPr>
        <w:t> 个互相垂直的轴线上，在 </w:t>
      </w:r>
      <w:r>
        <w:rPr>
          <w:sz w:val="21"/>
        </w:rPr>
        <w:t>10～150Hz</w:t>
      </w:r>
      <w:r>
        <w:rPr>
          <w:spacing w:val="-12"/>
          <w:sz w:val="21"/>
        </w:rPr>
        <w:t> 的频率循环范围内，以 </w:t>
      </w:r>
      <w:r>
        <w:rPr>
          <w:sz w:val="21"/>
        </w:rPr>
        <w:t>0.981m/s²的</w:t>
      </w:r>
      <w:r>
        <w:rPr>
          <w:spacing w:val="-2"/>
          <w:sz w:val="21"/>
        </w:rPr>
        <w:t>加速度幅值，</w:t>
      </w:r>
      <w:r>
        <w:rPr>
          <w:sz w:val="21"/>
        </w:rPr>
        <w:t>1</w:t>
      </w:r>
      <w:r>
        <w:rPr>
          <w:spacing w:val="-2"/>
          <w:sz w:val="21"/>
        </w:rPr>
        <w:t> </w:t>
      </w:r>
      <w:r>
        <w:rPr>
          <w:sz w:val="21"/>
        </w:rPr>
        <w:t>oct/min</w:t>
      </w:r>
      <w:r>
        <w:rPr>
          <w:spacing w:val="-13"/>
          <w:sz w:val="21"/>
        </w:rPr>
        <w:t> 的扫频速率，各进行 </w:t>
      </w:r>
      <w:r>
        <w:rPr>
          <w:sz w:val="21"/>
        </w:rPr>
        <w:t>1</w:t>
      </w:r>
      <w:r>
        <w:rPr>
          <w:spacing w:val="-10"/>
          <w:sz w:val="21"/>
        </w:rPr>
        <w:t> 次扫频循环。</w:t>
      </w:r>
      <w:r>
        <w:rPr>
          <w:sz w:val="21"/>
        </w:rPr>
        <w:t> </w:t>
      </w:r>
    </w:p>
    <w:p>
      <w:pPr>
        <w:pStyle w:val="ListParagraph"/>
        <w:numPr>
          <w:ilvl w:val="2"/>
          <w:numId w:val="578"/>
        </w:numPr>
        <w:tabs>
          <w:tab w:pos="1478" w:val="left" w:leader="none"/>
        </w:tabs>
        <w:spacing w:line="267" w:lineRule="exact" w:before="0" w:after="0"/>
        <w:ind w:left="1477" w:right="0" w:hanging="638"/>
        <w:jc w:val="left"/>
        <w:rPr>
          <w:sz w:val="19"/>
        </w:rPr>
      </w:pPr>
      <w:r>
        <w:rPr>
          <w:spacing w:val="-3"/>
          <w:sz w:val="21"/>
        </w:rPr>
        <w:t>检查试样外观及紧固部位。</w:t>
      </w:r>
      <w:r>
        <w:rPr>
          <w:sz w:val="21"/>
        </w:rPr>
        <w:t> </w:t>
      </w:r>
    </w:p>
    <w:p>
      <w:pPr>
        <w:pStyle w:val="BodyText"/>
        <w:spacing w:before="1"/>
        <w:rPr>
          <w:sz w:val="18"/>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rPr>
          <w:sz w:val="18"/>
        </w:rPr>
      </w:pPr>
    </w:p>
    <w:p>
      <w:pPr>
        <w:pStyle w:val="ListParagraph"/>
        <w:numPr>
          <w:ilvl w:val="1"/>
          <w:numId w:val="578"/>
        </w:numPr>
        <w:tabs>
          <w:tab w:pos="1264" w:val="left" w:leader="none"/>
        </w:tabs>
        <w:spacing w:line="240" w:lineRule="auto" w:before="0" w:after="0"/>
        <w:ind w:left="1263" w:right="0" w:hanging="424"/>
        <w:jc w:val="left"/>
        <w:rPr>
          <w:sz w:val="21"/>
        </w:rPr>
      </w:pPr>
      <w:r>
        <w:rPr>
          <w:spacing w:val="-2"/>
          <w:sz w:val="21"/>
        </w:rPr>
        <w:t>振动</w:t>
      </w:r>
      <w:r>
        <w:rPr>
          <w:spacing w:val="-3"/>
          <w:sz w:val="21"/>
        </w:rPr>
        <w:t>（</w:t>
      </w:r>
      <w:r>
        <w:rPr>
          <w:spacing w:val="-2"/>
          <w:sz w:val="21"/>
        </w:rPr>
        <w:t>正弦</w:t>
      </w:r>
      <w:r>
        <w:rPr>
          <w:sz w:val="21"/>
        </w:rPr>
        <w:t>）（</w:t>
      </w:r>
      <w:r>
        <w:rPr>
          <w:spacing w:val="-2"/>
          <w:sz w:val="21"/>
        </w:rPr>
        <w:t>耐久</w:t>
      </w:r>
      <w:r>
        <w:rPr>
          <w:sz w:val="21"/>
        </w:rPr>
        <w:t>）</w:t>
      </w:r>
      <w:r>
        <w:rPr>
          <w:spacing w:val="-2"/>
          <w:sz w:val="21"/>
        </w:rPr>
        <w:t>试验</w:t>
      </w:r>
      <w:r>
        <w:rPr>
          <w:sz w:val="21"/>
        </w:rPr>
        <w:t> </w:t>
      </w:r>
    </w:p>
    <w:p>
      <w:pPr>
        <w:pStyle w:val="BodyText"/>
        <w:rPr>
          <w:sz w:val="18"/>
        </w:rPr>
      </w:pPr>
    </w:p>
    <w:p>
      <w:pPr>
        <w:pStyle w:val="ListParagraph"/>
        <w:numPr>
          <w:ilvl w:val="2"/>
          <w:numId w:val="578"/>
        </w:numPr>
        <w:tabs>
          <w:tab w:pos="1478" w:val="left" w:leader="none"/>
        </w:tabs>
        <w:spacing w:line="446" w:lineRule="auto" w:before="0" w:after="0"/>
        <w:ind w:left="418" w:right="1498" w:firstLine="422"/>
        <w:jc w:val="left"/>
        <w:rPr>
          <w:sz w:val="19"/>
        </w:rPr>
      </w:pPr>
      <w:r>
        <w:rPr>
          <w:spacing w:val="-3"/>
          <w:sz w:val="21"/>
        </w:rPr>
        <w:t>在不通电的情况下，将试样按正常安装方式刚性安装（重力影响可忽略时除外</w:t>
      </w:r>
      <w:r>
        <w:rPr>
          <w:sz w:val="21"/>
        </w:rPr>
        <w:t>）， </w:t>
      </w:r>
      <w:r>
        <w:rPr>
          <w:spacing w:val="-3"/>
          <w:sz w:val="21"/>
        </w:rPr>
        <w:t>试样在上述安装方式下可放于任何高度。</w:t>
      </w:r>
      <w:r>
        <w:rPr>
          <w:sz w:val="21"/>
        </w:rPr>
        <w:t> </w:t>
      </w:r>
    </w:p>
    <w:p>
      <w:pPr>
        <w:pStyle w:val="ListParagraph"/>
        <w:numPr>
          <w:ilvl w:val="2"/>
          <w:numId w:val="578"/>
        </w:numPr>
        <w:tabs>
          <w:tab w:pos="1478" w:val="left" w:leader="none"/>
        </w:tabs>
        <w:spacing w:line="446" w:lineRule="auto" w:before="0" w:after="0"/>
        <w:ind w:left="418" w:right="1551" w:firstLine="422"/>
        <w:jc w:val="left"/>
        <w:rPr>
          <w:sz w:val="19"/>
        </w:rPr>
      </w:pPr>
      <w:r>
        <w:rPr>
          <w:spacing w:val="-14"/>
          <w:sz w:val="21"/>
        </w:rPr>
        <w:t>依次在 </w:t>
      </w:r>
      <w:r>
        <w:rPr>
          <w:sz w:val="21"/>
        </w:rPr>
        <w:t>3</w:t>
      </w:r>
      <w:r>
        <w:rPr>
          <w:spacing w:val="-12"/>
          <w:sz w:val="21"/>
        </w:rPr>
        <w:t> 个互相垂直的轴线上，在 </w:t>
      </w:r>
      <w:r>
        <w:rPr>
          <w:sz w:val="21"/>
        </w:rPr>
        <w:t>10～150Hz</w:t>
      </w:r>
      <w:r>
        <w:rPr>
          <w:spacing w:val="-12"/>
          <w:sz w:val="21"/>
        </w:rPr>
        <w:t> 的频率循环范围内，以 </w:t>
      </w:r>
      <w:r>
        <w:rPr>
          <w:sz w:val="21"/>
        </w:rPr>
        <w:t>4.905m/s²的</w:t>
      </w:r>
      <w:r>
        <w:rPr>
          <w:spacing w:val="-2"/>
          <w:sz w:val="21"/>
        </w:rPr>
        <w:t>加速度幅值，</w:t>
      </w:r>
      <w:r>
        <w:rPr>
          <w:sz w:val="21"/>
        </w:rPr>
        <w:t>1</w:t>
      </w:r>
      <w:r>
        <w:rPr>
          <w:spacing w:val="-2"/>
          <w:sz w:val="21"/>
        </w:rPr>
        <w:t> </w:t>
      </w:r>
      <w:r>
        <w:rPr>
          <w:sz w:val="21"/>
        </w:rPr>
        <w:t>oct/min</w:t>
      </w:r>
      <w:r>
        <w:rPr>
          <w:spacing w:val="-13"/>
          <w:sz w:val="21"/>
        </w:rPr>
        <w:t> 的扫频速率，各进行 </w:t>
      </w:r>
      <w:r>
        <w:rPr>
          <w:sz w:val="21"/>
        </w:rPr>
        <w:t>20</w:t>
      </w:r>
      <w:r>
        <w:rPr>
          <w:spacing w:val="-10"/>
          <w:sz w:val="21"/>
        </w:rPr>
        <w:t> 次扫频循环。</w:t>
      </w:r>
      <w:r>
        <w:rPr>
          <w:sz w:val="21"/>
        </w:rPr>
        <w:t> </w:t>
      </w: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检查试样外观及紧固部位。</w:t>
      </w:r>
      <w:r>
        <w:rPr>
          <w:sz w:val="21"/>
        </w:rPr>
        <w:t> </w:t>
      </w:r>
    </w:p>
    <w:p>
      <w:pPr>
        <w:pStyle w:val="BodyText"/>
        <w:spacing w:before="12"/>
        <w:rPr>
          <w:sz w:val="17"/>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接通电源，使其处于正常监视状态。</w:t>
      </w:r>
      <w:r>
        <w:rPr>
          <w:sz w:val="21"/>
        </w:rPr>
        <w:t> </w:t>
      </w:r>
    </w:p>
    <w:p>
      <w:pPr>
        <w:pStyle w:val="BodyText"/>
        <w:rPr>
          <w:sz w:val="18"/>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进行基本功能试验，并与试验前的基本功能相比较。</w:t>
      </w:r>
      <w:r>
        <w:rPr>
          <w:sz w:val="21"/>
        </w:rPr>
        <w:t> </w:t>
      </w:r>
    </w:p>
    <w:p>
      <w:pPr>
        <w:pStyle w:val="BodyText"/>
        <w:spacing w:before="2"/>
        <w:rPr>
          <w:sz w:val="18"/>
        </w:rPr>
      </w:pPr>
    </w:p>
    <w:p>
      <w:pPr>
        <w:pStyle w:val="ListParagraph"/>
        <w:numPr>
          <w:ilvl w:val="1"/>
          <w:numId w:val="578"/>
        </w:numPr>
        <w:tabs>
          <w:tab w:pos="1266" w:val="left" w:leader="none"/>
        </w:tabs>
        <w:spacing w:line="240" w:lineRule="auto" w:before="0" w:after="0"/>
        <w:ind w:left="1265" w:right="0" w:hanging="426"/>
        <w:jc w:val="left"/>
        <w:rPr>
          <w:sz w:val="21"/>
        </w:rPr>
      </w:pPr>
      <w:r>
        <w:rPr>
          <w:spacing w:val="-3"/>
          <w:sz w:val="21"/>
        </w:rPr>
        <w:t>碰撞试验</w:t>
      </w:r>
      <w:r>
        <w:rPr>
          <w:sz w:val="21"/>
        </w:rPr>
        <w:t> </w:t>
      </w:r>
    </w:p>
    <w:p>
      <w:pPr>
        <w:pStyle w:val="BodyText"/>
        <w:spacing w:before="12"/>
        <w:rPr>
          <w:sz w:val="17"/>
        </w:rPr>
      </w:pPr>
    </w:p>
    <w:p>
      <w:pPr>
        <w:pStyle w:val="ListParagraph"/>
        <w:numPr>
          <w:ilvl w:val="2"/>
          <w:numId w:val="578"/>
        </w:numPr>
        <w:tabs>
          <w:tab w:pos="1478" w:val="left" w:leader="none"/>
        </w:tabs>
        <w:spacing w:line="240" w:lineRule="auto" w:before="0" w:after="0"/>
        <w:ind w:left="1477" w:right="0" w:hanging="638"/>
        <w:jc w:val="left"/>
        <w:rPr>
          <w:sz w:val="19"/>
        </w:rPr>
      </w:pPr>
      <w:r>
        <w:rPr>
          <w:spacing w:val="-3"/>
          <w:sz w:val="21"/>
        </w:rPr>
        <w:t>将试样与等效负载连接，接通电源，使其处于正常监视状态。</w:t>
      </w:r>
      <w:r>
        <w:rPr>
          <w:sz w:val="21"/>
        </w:rPr>
        <w:t> </w:t>
      </w:r>
    </w:p>
    <w:p>
      <w:pPr>
        <w:pStyle w:val="BodyText"/>
        <w:spacing w:before="12"/>
        <w:rPr>
          <w:sz w:val="17"/>
        </w:rPr>
      </w:pPr>
    </w:p>
    <w:p>
      <w:pPr>
        <w:pStyle w:val="ListParagraph"/>
        <w:numPr>
          <w:ilvl w:val="2"/>
          <w:numId w:val="578"/>
        </w:numPr>
        <w:tabs>
          <w:tab w:pos="1478" w:val="left" w:leader="none"/>
        </w:tabs>
        <w:spacing w:line="446" w:lineRule="auto" w:before="0" w:after="0"/>
        <w:ind w:left="418" w:right="1450" w:firstLine="422"/>
        <w:jc w:val="left"/>
        <w:rPr>
          <w:sz w:val="19"/>
        </w:rPr>
      </w:pPr>
      <w:r>
        <w:rPr>
          <w:spacing w:val="-6"/>
          <w:sz w:val="21"/>
        </w:rPr>
        <w:t>对试样表面上的每个易损部件施加 </w:t>
      </w:r>
      <w:r>
        <w:rPr>
          <w:sz w:val="21"/>
        </w:rPr>
        <w:t>3</w:t>
      </w:r>
      <w:r>
        <w:rPr>
          <w:spacing w:val="-18"/>
          <w:sz w:val="21"/>
        </w:rPr>
        <w:t> 次能量为 </w:t>
      </w:r>
      <w:r>
        <w:rPr>
          <w:sz w:val="21"/>
        </w:rPr>
        <w:t>0.5J±0.04J</w:t>
      </w:r>
      <w:r>
        <w:rPr>
          <w:spacing w:val="-8"/>
          <w:sz w:val="21"/>
        </w:rPr>
        <w:t> 的碰撞。在进行试验时</w:t>
      </w:r>
      <w:r>
        <w:rPr>
          <w:spacing w:val="-5"/>
          <w:sz w:val="21"/>
        </w:rPr>
        <w:t>应小心进行，以确保上一组</w:t>
      </w:r>
      <w:r>
        <w:rPr>
          <w:sz w:val="21"/>
        </w:rPr>
        <w:t>（3</w:t>
      </w:r>
      <w:r>
        <w:rPr>
          <w:spacing w:val="-10"/>
          <w:sz w:val="21"/>
        </w:rPr>
        <w:t> 次</w:t>
      </w:r>
      <w:r>
        <w:rPr>
          <w:spacing w:val="-3"/>
          <w:sz w:val="21"/>
        </w:rPr>
        <w:t>）碰撞的结果不对后续各组碰撞的结果产生影响，在认为可能产生影响时，应不考虑发现的缺陷，取一新的试样，在同一位置重新进行碰撞试验。观察并记 录试样的工作状态。</w:t>
      </w:r>
      <w:r>
        <w:rPr>
          <w:sz w:val="21"/>
        </w:rPr>
        <w:t> </w:t>
      </w:r>
    </w:p>
    <w:p>
      <w:pPr>
        <w:pStyle w:val="ListParagraph"/>
        <w:numPr>
          <w:ilvl w:val="2"/>
          <w:numId w:val="578"/>
        </w:numPr>
        <w:tabs>
          <w:tab w:pos="1473" w:val="left" w:leader="none"/>
        </w:tabs>
        <w:spacing w:line="240" w:lineRule="auto" w:before="1" w:after="0"/>
        <w:ind w:left="1472" w:right="0" w:hanging="635"/>
        <w:jc w:val="left"/>
        <w:rPr>
          <w:sz w:val="19"/>
        </w:rPr>
      </w:pPr>
      <w:r>
        <w:rPr>
          <w:spacing w:val="-3"/>
          <w:sz w:val="21"/>
        </w:rPr>
        <w:t>进行基本功能试验，并与试验前的基本功能相比较。</w:t>
      </w:r>
      <w:r>
        <w:rPr>
          <w:sz w:val="21"/>
        </w:rPr>
        <w:t> </w:t>
      </w:r>
    </w:p>
    <w:p>
      <w:pPr>
        <w:pStyle w:val="BodyText"/>
        <w:spacing w:before="8"/>
        <w:rPr>
          <w:sz w:val="15"/>
        </w:rPr>
      </w:pPr>
    </w:p>
    <w:p>
      <w:pPr>
        <w:pStyle w:val="Heading4"/>
      </w:pPr>
      <w:r>
        <w:rPr/>
        <w:t>6 检验规则</w:t>
      </w:r>
      <w:r>
        <w:rPr>
          <w:w w:val="99"/>
        </w:rPr>
        <w:t> </w:t>
      </w:r>
    </w:p>
    <w:p>
      <w:pPr>
        <w:pStyle w:val="BodyText"/>
        <w:spacing w:before="3"/>
        <w:rPr>
          <w:b/>
          <w:sz w:val="17"/>
        </w:rPr>
      </w:pPr>
    </w:p>
    <w:p>
      <w:pPr>
        <w:spacing w:before="1"/>
        <w:ind w:left="840" w:right="0" w:firstLine="0"/>
        <w:jc w:val="left"/>
        <w:rPr>
          <w:sz w:val="21"/>
        </w:rPr>
      </w:pPr>
      <w:r>
        <w:rPr>
          <w:b/>
          <w:sz w:val="21"/>
        </w:rPr>
        <w:t>6.1 </w:t>
      </w:r>
      <w:r>
        <w:rPr>
          <w:sz w:val="21"/>
        </w:rPr>
        <w:t>出厂检验 </w:t>
      </w:r>
    </w:p>
    <w:p>
      <w:pPr>
        <w:pStyle w:val="BodyText"/>
        <w:spacing w:before="1"/>
        <w:rPr>
          <w:sz w:val="18"/>
        </w:rPr>
      </w:pPr>
    </w:p>
    <w:p>
      <w:pPr>
        <w:pStyle w:val="BodyText"/>
        <w:spacing w:line="446" w:lineRule="auto" w:before="1"/>
        <w:ind w:left="838" w:right="6076"/>
        <w:rPr>
          <w:b/>
        </w:rPr>
      </w:pPr>
      <w:r>
        <w:rPr/>
        <w:t>应对监控器进行下述试验项目的检验： a） 基本功能试验；</w:t>
      </w:r>
      <w:r>
        <w:rPr>
          <w:b/>
          <w:w w:val="99"/>
        </w:rPr>
        <w:t> </w:t>
      </w:r>
    </w:p>
    <w:p>
      <w:pPr>
        <w:pStyle w:val="ListParagraph"/>
        <w:numPr>
          <w:ilvl w:val="0"/>
          <w:numId w:val="581"/>
        </w:numPr>
        <w:tabs>
          <w:tab w:pos="1156" w:val="left" w:leader="none"/>
        </w:tabs>
        <w:spacing w:line="446" w:lineRule="auto" w:before="0" w:after="0"/>
        <w:ind w:left="838" w:right="7809" w:firstLine="0"/>
        <w:jc w:val="left"/>
        <w:rPr>
          <w:b/>
          <w:sz w:val="21"/>
        </w:rPr>
      </w:pPr>
      <w:r>
        <w:rPr>
          <w:spacing w:val="-3"/>
          <w:sz w:val="21"/>
        </w:rPr>
        <w:t>自检功能试验； </w:t>
      </w:r>
      <w:r>
        <w:rPr>
          <w:sz w:val="21"/>
        </w:rPr>
        <w:t>c）</w:t>
      </w:r>
      <w:r>
        <w:rPr>
          <w:spacing w:val="-3"/>
          <w:sz w:val="21"/>
        </w:rPr>
        <w:t> 绝缘电阻试验；</w:t>
      </w:r>
      <w:r>
        <w:rPr>
          <w:b/>
          <w:w w:val="99"/>
          <w:sz w:val="21"/>
        </w:rPr>
        <w:t> </w:t>
      </w:r>
    </w:p>
    <w:p>
      <w:pPr>
        <w:spacing w:after="0" w:line="446" w:lineRule="auto"/>
        <w:jc w:val="left"/>
        <w:rPr>
          <w:sz w:val="21"/>
        </w:rPr>
        <w:sectPr>
          <w:pgSz w:w="11910" w:h="16850"/>
          <w:pgMar w:header="0" w:footer="1239" w:top="1220" w:bottom="1420" w:left="1260" w:right="0"/>
        </w:sectPr>
      </w:pPr>
    </w:p>
    <w:p>
      <w:pPr>
        <w:spacing w:line="446" w:lineRule="auto" w:before="47"/>
        <w:ind w:left="840" w:right="7809" w:hanging="3"/>
        <w:jc w:val="left"/>
        <w:rPr>
          <w:b/>
          <w:sz w:val="21"/>
        </w:rPr>
      </w:pPr>
      <w:r>
        <w:rPr>
          <w:sz w:val="21"/>
        </w:rPr>
        <w:t>d） 电气强度试验。</w:t>
      </w:r>
      <w:r>
        <w:rPr>
          <w:b/>
          <w:sz w:val="21"/>
        </w:rPr>
        <w:t>6.2 </w:t>
      </w:r>
      <w:r>
        <w:rPr>
          <w:sz w:val="21"/>
        </w:rPr>
        <w:t>形式检验</w:t>
      </w:r>
      <w:r>
        <w:rPr>
          <w:b/>
          <w:w w:val="99"/>
          <w:sz w:val="21"/>
        </w:rPr>
        <w:t> </w:t>
      </w:r>
    </w:p>
    <w:p>
      <w:pPr>
        <w:pStyle w:val="ListParagraph"/>
        <w:numPr>
          <w:ilvl w:val="2"/>
          <w:numId w:val="582"/>
        </w:numPr>
        <w:tabs>
          <w:tab w:pos="1371" w:val="left" w:leader="none"/>
        </w:tabs>
        <w:spacing w:line="446" w:lineRule="auto" w:before="0" w:after="0"/>
        <w:ind w:left="838" w:right="5704" w:firstLine="2"/>
        <w:jc w:val="left"/>
        <w:rPr>
          <w:b/>
          <w:sz w:val="21"/>
        </w:rPr>
      </w:pPr>
      <w:r>
        <w:rPr>
          <w:spacing w:val="-3"/>
          <w:sz w:val="21"/>
        </w:rPr>
        <w:t>有下列情况之一，应进行形式检验： </w:t>
      </w:r>
      <w:r>
        <w:rPr>
          <w:sz w:val="21"/>
        </w:rPr>
        <w:t>a）</w:t>
      </w:r>
      <w:r>
        <w:rPr>
          <w:spacing w:val="-3"/>
          <w:sz w:val="21"/>
        </w:rPr>
        <w:t> 新产品试制定型及老产品转厂生产时；</w:t>
      </w:r>
      <w:r>
        <w:rPr>
          <w:b/>
          <w:w w:val="99"/>
          <w:sz w:val="21"/>
        </w:rPr>
        <w:t> </w:t>
      </w:r>
    </w:p>
    <w:p>
      <w:pPr>
        <w:pStyle w:val="BodyText"/>
        <w:spacing w:line="446" w:lineRule="auto"/>
        <w:ind w:left="838" w:right="1925"/>
        <w:rPr>
          <w:b/>
        </w:rPr>
      </w:pPr>
      <w:r>
        <w:rPr/>
        <w:t>b） 投产后，产品的结构、主要部件、生产工艺有较大改变，可能影响产品性能时； c） 正式投产满三年时；</w:t>
      </w:r>
      <w:r>
        <w:rPr>
          <w:b/>
          <w:w w:val="99"/>
        </w:rPr>
        <w:t> </w:t>
      </w:r>
    </w:p>
    <w:p>
      <w:pPr>
        <w:pStyle w:val="ListParagraph"/>
        <w:numPr>
          <w:ilvl w:val="0"/>
          <w:numId w:val="583"/>
        </w:numPr>
        <w:tabs>
          <w:tab w:pos="1156" w:val="left" w:leader="none"/>
        </w:tabs>
        <w:spacing w:line="240" w:lineRule="auto" w:before="0" w:after="0"/>
        <w:ind w:left="1155" w:right="0" w:hanging="318"/>
        <w:jc w:val="left"/>
        <w:rPr>
          <w:b/>
          <w:sz w:val="21"/>
        </w:rPr>
      </w:pPr>
      <w:r>
        <w:rPr>
          <w:spacing w:val="-3"/>
          <w:sz w:val="21"/>
        </w:rPr>
        <w:t>产品停产一年以上，恢复生产时；</w:t>
      </w:r>
      <w:r>
        <w:rPr>
          <w:b/>
          <w:w w:val="99"/>
          <w:sz w:val="21"/>
        </w:rPr>
        <w:t> </w:t>
      </w:r>
    </w:p>
    <w:p>
      <w:pPr>
        <w:pStyle w:val="BodyText"/>
        <w:spacing w:before="11"/>
        <w:rPr>
          <w:b/>
          <w:sz w:val="17"/>
        </w:rPr>
      </w:pPr>
    </w:p>
    <w:p>
      <w:pPr>
        <w:pStyle w:val="ListParagraph"/>
        <w:numPr>
          <w:ilvl w:val="0"/>
          <w:numId w:val="583"/>
        </w:numPr>
        <w:tabs>
          <w:tab w:pos="1156" w:val="left" w:leader="none"/>
        </w:tabs>
        <w:spacing w:line="446" w:lineRule="auto" w:before="0" w:after="0"/>
        <w:ind w:left="838" w:right="4866" w:firstLine="0"/>
        <w:jc w:val="left"/>
        <w:rPr>
          <w:b/>
          <w:sz w:val="21"/>
        </w:rPr>
      </w:pPr>
      <w:r>
        <w:rPr>
          <w:spacing w:val="-3"/>
          <w:sz w:val="21"/>
        </w:rPr>
        <w:t>出厂检验结果与上次形式检验结果差异较大时； f） 质量监督部门提出要求时。</w:t>
      </w:r>
      <w:r>
        <w:rPr>
          <w:b/>
          <w:w w:val="99"/>
          <w:sz w:val="21"/>
        </w:rPr>
        <w:t> </w:t>
      </w:r>
    </w:p>
    <w:p>
      <w:pPr>
        <w:pStyle w:val="ListParagraph"/>
        <w:numPr>
          <w:ilvl w:val="2"/>
          <w:numId w:val="582"/>
        </w:numPr>
        <w:tabs>
          <w:tab w:pos="1370" w:val="left" w:leader="none"/>
        </w:tabs>
        <w:spacing w:line="446" w:lineRule="auto" w:before="0" w:after="0"/>
        <w:ind w:left="418" w:right="1501" w:firstLine="422"/>
        <w:jc w:val="left"/>
        <w:rPr>
          <w:sz w:val="21"/>
        </w:rPr>
      </w:pPr>
      <w:r>
        <w:rPr>
          <w:spacing w:val="-9"/>
          <w:sz w:val="21"/>
        </w:rPr>
        <w:t>形式检验项目为 </w:t>
      </w:r>
      <w:r>
        <w:rPr>
          <w:sz w:val="21"/>
        </w:rPr>
        <w:t>5.1.6、5.2～5.19</w:t>
      </w:r>
      <w:r>
        <w:rPr>
          <w:spacing w:val="-8"/>
          <w:sz w:val="21"/>
        </w:rPr>
        <w:t> 规定的试验项目。检验样品在出厂检验合格的产</w:t>
      </w:r>
      <w:r>
        <w:rPr>
          <w:spacing w:val="-5"/>
          <w:sz w:val="21"/>
        </w:rPr>
        <w:t>品中随机抽取。</w:t>
      </w:r>
      <w:r>
        <w:rPr>
          <w:sz w:val="21"/>
        </w:rPr>
        <w:t> </w:t>
      </w:r>
    </w:p>
    <w:p>
      <w:pPr>
        <w:pStyle w:val="ListParagraph"/>
        <w:numPr>
          <w:ilvl w:val="2"/>
          <w:numId w:val="582"/>
        </w:numPr>
        <w:tabs>
          <w:tab w:pos="1370" w:val="left" w:leader="none"/>
        </w:tabs>
        <w:spacing w:line="267" w:lineRule="exact" w:before="0" w:after="0"/>
        <w:ind w:left="1369" w:right="0" w:hanging="530"/>
        <w:jc w:val="left"/>
        <w:rPr>
          <w:sz w:val="21"/>
        </w:rPr>
      </w:pPr>
      <w:r>
        <w:rPr>
          <w:spacing w:val="-12"/>
          <w:sz w:val="21"/>
        </w:rPr>
        <w:t>检验结果按 </w:t>
      </w:r>
      <w:r>
        <w:rPr>
          <w:sz w:val="21"/>
        </w:rPr>
        <w:t>GB12978</w:t>
      </w:r>
      <w:r>
        <w:rPr>
          <w:spacing w:val="-3"/>
          <w:sz w:val="21"/>
        </w:rPr>
        <w:t> 规定的形式检验结果判定方法进行判定。</w:t>
      </w:r>
      <w:r>
        <w:rPr>
          <w:sz w:val="21"/>
        </w:rPr>
        <w:t> </w:t>
      </w:r>
    </w:p>
    <w:p>
      <w:pPr>
        <w:pStyle w:val="BodyText"/>
        <w:spacing w:before="10"/>
        <w:rPr>
          <w:sz w:val="15"/>
        </w:rPr>
      </w:pPr>
    </w:p>
    <w:p>
      <w:pPr>
        <w:pStyle w:val="Heading4"/>
      </w:pPr>
      <w:r>
        <w:rPr/>
        <w:t>7 标志</w:t>
      </w:r>
      <w:r>
        <w:rPr>
          <w:w w:val="99"/>
        </w:rPr>
        <w:t> </w:t>
      </w:r>
    </w:p>
    <w:p>
      <w:pPr>
        <w:pStyle w:val="BodyText"/>
        <w:spacing w:before="4"/>
        <w:rPr>
          <w:b/>
          <w:sz w:val="17"/>
        </w:rPr>
      </w:pPr>
    </w:p>
    <w:p>
      <w:pPr>
        <w:pStyle w:val="ListParagraph"/>
        <w:numPr>
          <w:ilvl w:val="1"/>
          <w:numId w:val="584"/>
        </w:numPr>
        <w:tabs>
          <w:tab w:pos="1160" w:val="left" w:leader="none"/>
        </w:tabs>
        <w:spacing w:line="240" w:lineRule="auto" w:before="0" w:after="0"/>
        <w:ind w:left="1159" w:right="0" w:hanging="320"/>
        <w:jc w:val="left"/>
        <w:rPr>
          <w:sz w:val="21"/>
        </w:rPr>
      </w:pPr>
      <w:r>
        <w:rPr>
          <w:spacing w:val="-3"/>
          <w:sz w:val="21"/>
        </w:rPr>
        <w:t>产品标志</w:t>
      </w:r>
      <w:r>
        <w:rPr>
          <w:sz w:val="21"/>
        </w:rPr>
        <w:t> </w:t>
      </w:r>
    </w:p>
    <w:p>
      <w:pPr>
        <w:pStyle w:val="BodyText"/>
        <w:rPr>
          <w:sz w:val="18"/>
        </w:rPr>
      </w:pPr>
    </w:p>
    <w:p>
      <w:pPr>
        <w:pStyle w:val="BodyText"/>
        <w:spacing w:line="446" w:lineRule="auto"/>
        <w:ind w:left="838" w:right="4237"/>
      </w:pPr>
      <w:r>
        <w:rPr/>
        <w:t>每只监控器均应有清晰、耐久的产品标志，包含以下内容： a）产品名称及型号； </w:t>
      </w:r>
    </w:p>
    <w:p>
      <w:pPr>
        <w:pStyle w:val="BodyText"/>
        <w:spacing w:line="446" w:lineRule="auto"/>
        <w:ind w:left="838" w:right="7427"/>
      </w:pPr>
      <w:r>
        <w:rPr/>
        <w:t>b）</w:t>
      </w:r>
      <w:r>
        <w:rPr>
          <w:spacing w:val="-2"/>
        </w:rPr>
        <w:t>   执行标准代号； </w:t>
      </w:r>
      <w:r>
        <w:rPr/>
        <w:t>c）</w:t>
      </w:r>
      <w:r>
        <w:rPr>
          <w:spacing w:val="-3"/>
        </w:rPr>
        <w:t> 制造商名称或商标； </w:t>
      </w:r>
      <w:r>
        <w:rPr/>
        <w:t>d）</w:t>
      </w:r>
      <w:r>
        <w:rPr>
          <w:spacing w:val="-3"/>
        </w:rPr>
        <w:t> 接线柱标注；</w:t>
      </w:r>
      <w:r>
        <w:rPr/>
        <w:t> </w:t>
      </w:r>
    </w:p>
    <w:p>
      <w:pPr>
        <w:pStyle w:val="BodyText"/>
        <w:spacing w:line="446" w:lineRule="auto"/>
        <w:ind w:left="838" w:right="7177"/>
      </w:pPr>
      <w:r>
        <w:rPr/>
        <w:t>e） 制造日期或产品编号； f） 生产地址。 </w:t>
      </w:r>
    </w:p>
    <w:p>
      <w:pPr>
        <w:pStyle w:val="ListParagraph"/>
        <w:numPr>
          <w:ilvl w:val="1"/>
          <w:numId w:val="584"/>
        </w:numPr>
        <w:tabs>
          <w:tab w:pos="1160" w:val="left" w:leader="none"/>
        </w:tabs>
        <w:spacing w:line="240" w:lineRule="auto" w:before="0" w:after="0"/>
        <w:ind w:left="1159" w:right="0" w:hanging="320"/>
        <w:jc w:val="left"/>
        <w:rPr>
          <w:b/>
          <w:sz w:val="21"/>
        </w:rPr>
      </w:pPr>
      <w:r>
        <w:rPr>
          <w:spacing w:val="-3"/>
          <w:sz w:val="21"/>
        </w:rPr>
        <w:t>质量检验标志</w:t>
      </w:r>
      <w:r>
        <w:rPr>
          <w:b/>
          <w:w w:val="99"/>
          <w:sz w:val="21"/>
        </w:rPr>
        <w:t> </w:t>
      </w:r>
    </w:p>
    <w:p>
      <w:pPr>
        <w:pStyle w:val="BodyText"/>
        <w:spacing w:before="11"/>
        <w:rPr>
          <w:b/>
          <w:sz w:val="17"/>
        </w:rPr>
      </w:pPr>
    </w:p>
    <w:p>
      <w:pPr>
        <w:pStyle w:val="BodyText"/>
        <w:ind w:left="838"/>
      </w:pPr>
      <w:r>
        <w:rPr/>
        <w:t>每只监控器均应有质量检验合格标志。 </w:t>
      </w:r>
    </w:p>
    <w:p>
      <w:pPr>
        <w:pStyle w:val="BodyText"/>
        <w:spacing w:before="8"/>
        <w:rPr>
          <w:sz w:val="15"/>
        </w:rPr>
      </w:pPr>
    </w:p>
    <w:p>
      <w:pPr>
        <w:pStyle w:val="Heading4"/>
      </w:pPr>
      <w:r>
        <w:rPr/>
        <w:t>8 使用说明书</w:t>
      </w:r>
      <w:r>
        <w:rPr>
          <w:w w:val="99"/>
        </w:rPr>
        <w:t> </w:t>
      </w:r>
    </w:p>
    <w:p>
      <w:pPr>
        <w:pStyle w:val="BodyText"/>
        <w:spacing w:before="6"/>
        <w:rPr>
          <w:b/>
          <w:sz w:val="17"/>
        </w:rPr>
      </w:pPr>
    </w:p>
    <w:p>
      <w:pPr>
        <w:pStyle w:val="BodyText"/>
        <w:ind w:left="838"/>
      </w:pPr>
      <w:r>
        <w:rPr/>
        <w:t>监控器应附有中文说明书。说明书的内容应符合 GB/T 9969 的要求。 </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pStyle w:val="BodyText"/>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7"/>
        </w:rPr>
      </w:pPr>
    </w:p>
    <w:p>
      <w:pPr>
        <w:pStyle w:val="Heading2"/>
        <w:spacing w:before="58"/>
        <w:ind w:left="3005"/>
        <w:jc w:val="left"/>
      </w:pPr>
      <w:bookmarkStart w:name="_bookmark25" w:id="26"/>
      <w:bookmarkEnd w:id="26"/>
      <w:r>
        <w:rPr>
          <w:b w:val="0"/>
        </w:rPr>
      </w:r>
      <w:r>
        <w:rPr/>
        <w:t>火灾自动报警系统设计规范</w:t>
      </w:r>
      <w:r>
        <w:rPr>
          <w:w w:val="99"/>
        </w:rPr>
        <w:t> </w:t>
      </w:r>
    </w:p>
    <w:p>
      <w:pPr>
        <w:pStyle w:val="BodyText"/>
        <w:rPr>
          <w:b/>
          <w:sz w:val="20"/>
        </w:rPr>
      </w:pPr>
    </w:p>
    <w:p>
      <w:pPr>
        <w:pStyle w:val="BodyText"/>
        <w:spacing w:before="4"/>
        <w:rPr>
          <w:b/>
          <w:sz w:val="14"/>
        </w:rPr>
      </w:pPr>
    </w:p>
    <w:p>
      <w:pPr>
        <w:pStyle w:val="Heading4"/>
        <w:spacing w:before="67"/>
      </w:pPr>
      <w:r>
        <w:rPr/>
        <w:t>1 总 则</w:t>
      </w:r>
      <w:r>
        <w:rPr>
          <w:w w:val="99"/>
        </w:rPr>
        <w:t> </w:t>
      </w:r>
    </w:p>
    <w:p>
      <w:pPr>
        <w:pStyle w:val="BodyText"/>
        <w:spacing w:before="4"/>
        <w:rPr>
          <w:b/>
          <w:sz w:val="17"/>
        </w:rPr>
      </w:pPr>
    </w:p>
    <w:p>
      <w:pPr>
        <w:pStyle w:val="ListParagraph"/>
        <w:numPr>
          <w:ilvl w:val="1"/>
          <w:numId w:val="585"/>
        </w:numPr>
        <w:tabs>
          <w:tab w:pos="1213" w:val="left" w:leader="none"/>
        </w:tabs>
        <w:spacing w:line="448" w:lineRule="auto" w:before="0" w:after="0"/>
        <w:ind w:left="418" w:right="1445" w:firstLine="422"/>
        <w:jc w:val="left"/>
        <w:rPr>
          <w:sz w:val="21"/>
        </w:rPr>
      </w:pPr>
      <w:r>
        <w:rPr>
          <w:color w:val="333333"/>
          <w:spacing w:val="-3"/>
          <w:sz w:val="21"/>
        </w:rPr>
        <w:t>为了合理设计火灾自动报警系统，预防和减少火灾危害，保护人身和财产安全，制定本规范。</w:t>
      </w:r>
      <w:r>
        <w:rPr>
          <w:color w:val="333333"/>
          <w:sz w:val="21"/>
        </w:rPr>
        <w:t> </w:t>
      </w:r>
    </w:p>
    <w:p>
      <w:pPr>
        <w:pStyle w:val="ListParagraph"/>
        <w:numPr>
          <w:ilvl w:val="1"/>
          <w:numId w:val="585"/>
        </w:numPr>
        <w:tabs>
          <w:tab w:pos="1213" w:val="left" w:leader="none"/>
        </w:tabs>
        <w:spacing w:line="446" w:lineRule="auto" w:before="0" w:after="0"/>
        <w:ind w:left="418" w:right="1445" w:firstLine="422"/>
        <w:jc w:val="left"/>
        <w:rPr>
          <w:sz w:val="21"/>
        </w:rPr>
      </w:pPr>
      <w:r>
        <w:rPr>
          <w:color w:val="333333"/>
          <w:spacing w:val="-3"/>
          <w:sz w:val="21"/>
        </w:rPr>
        <w:t>本规范适用于新建、扩建和改建的建、构筑物中设置的火灾自动报警系统的设计，不适用于生 产和贮存火药、炸药、弹药、火工品等场所设置的火灾自动报警系统的设计。</w:t>
      </w:r>
      <w:r>
        <w:rPr>
          <w:color w:val="333333"/>
          <w:sz w:val="21"/>
        </w:rPr>
        <w:t> </w:t>
      </w:r>
    </w:p>
    <w:p>
      <w:pPr>
        <w:pStyle w:val="ListParagraph"/>
        <w:numPr>
          <w:ilvl w:val="1"/>
          <w:numId w:val="585"/>
        </w:numPr>
        <w:tabs>
          <w:tab w:pos="1213" w:val="left" w:leader="none"/>
          <w:tab w:pos="3778" w:val="left" w:leader="none"/>
        </w:tabs>
        <w:spacing w:line="446" w:lineRule="auto" w:before="0" w:after="0"/>
        <w:ind w:left="418" w:right="1445" w:firstLine="422"/>
        <w:jc w:val="left"/>
        <w:rPr>
          <w:sz w:val="21"/>
        </w:rPr>
      </w:pPr>
      <w:r>
        <w:rPr>
          <w:color w:val="333333"/>
          <w:spacing w:val="-3"/>
          <w:sz w:val="21"/>
        </w:rPr>
        <w:t>火</w:t>
      </w:r>
      <w:r>
        <w:rPr>
          <w:color w:val="333333"/>
          <w:sz w:val="21"/>
        </w:rPr>
        <w:t>灾</w:t>
      </w:r>
      <w:r>
        <w:rPr>
          <w:color w:val="333333"/>
          <w:spacing w:val="-3"/>
          <w:sz w:val="21"/>
        </w:rPr>
        <w:t>自</w:t>
      </w:r>
      <w:r>
        <w:rPr>
          <w:color w:val="333333"/>
          <w:sz w:val="21"/>
        </w:rPr>
        <w:t>动</w:t>
      </w:r>
      <w:r>
        <w:rPr>
          <w:color w:val="333333"/>
          <w:spacing w:val="-3"/>
          <w:sz w:val="21"/>
        </w:rPr>
        <w:t>报</w:t>
      </w:r>
      <w:r>
        <w:rPr>
          <w:color w:val="333333"/>
          <w:sz w:val="21"/>
        </w:rPr>
        <w:t>警</w:t>
      </w:r>
      <w:r>
        <w:rPr>
          <w:color w:val="333333"/>
          <w:spacing w:val="-3"/>
          <w:sz w:val="21"/>
        </w:rPr>
        <w:t>系</w:t>
      </w:r>
      <w:r>
        <w:rPr>
          <w:color w:val="333333"/>
          <w:sz w:val="21"/>
        </w:rPr>
        <w:t>统</w:t>
      </w:r>
      <w:r>
        <w:rPr>
          <w:color w:val="333333"/>
          <w:spacing w:val="-3"/>
          <w:sz w:val="21"/>
        </w:rPr>
        <w:t>的</w:t>
      </w:r>
      <w:r>
        <w:rPr>
          <w:color w:val="333333"/>
          <w:sz w:val="21"/>
        </w:rPr>
        <w:t>设计</w:t>
      </w:r>
      <w:r>
        <w:rPr>
          <w:color w:val="333333"/>
          <w:spacing w:val="-3"/>
          <w:sz w:val="21"/>
        </w:rPr>
        <w:t>，</w:t>
      </w:r>
      <w:r>
        <w:rPr>
          <w:color w:val="333333"/>
          <w:sz w:val="21"/>
        </w:rPr>
        <w:t>应</w:t>
      </w:r>
      <w:r>
        <w:rPr>
          <w:color w:val="333333"/>
          <w:spacing w:val="-3"/>
          <w:sz w:val="21"/>
        </w:rPr>
        <w:t>遵</w:t>
      </w:r>
      <w:r>
        <w:rPr>
          <w:color w:val="333333"/>
          <w:sz w:val="21"/>
        </w:rPr>
        <w:t>循</w:t>
      </w:r>
      <w:r>
        <w:rPr>
          <w:color w:val="333333"/>
          <w:spacing w:val="-3"/>
          <w:sz w:val="21"/>
        </w:rPr>
        <w:t>国</w:t>
      </w:r>
      <w:r>
        <w:rPr>
          <w:color w:val="333333"/>
          <w:sz w:val="21"/>
        </w:rPr>
        <w:t>家</w:t>
      </w:r>
      <w:r>
        <w:rPr>
          <w:color w:val="333333"/>
          <w:spacing w:val="-3"/>
          <w:sz w:val="21"/>
        </w:rPr>
        <w:t>有</w:t>
      </w:r>
      <w:r>
        <w:rPr>
          <w:color w:val="333333"/>
          <w:sz w:val="21"/>
        </w:rPr>
        <w:t>关</w:t>
      </w:r>
      <w:r>
        <w:rPr>
          <w:color w:val="333333"/>
          <w:spacing w:val="-3"/>
          <w:sz w:val="21"/>
        </w:rPr>
        <w:t>方</w:t>
      </w:r>
      <w:r>
        <w:rPr>
          <w:color w:val="333333"/>
          <w:sz w:val="21"/>
        </w:rPr>
        <w:t>针、</w:t>
      </w:r>
      <w:r>
        <w:rPr>
          <w:color w:val="333333"/>
          <w:spacing w:val="-3"/>
          <w:sz w:val="21"/>
        </w:rPr>
        <w:t>政</w:t>
      </w:r>
      <w:r>
        <w:rPr>
          <w:color w:val="333333"/>
          <w:sz w:val="21"/>
        </w:rPr>
        <w:t>策</w:t>
      </w:r>
      <w:r>
        <w:rPr>
          <w:color w:val="333333"/>
          <w:spacing w:val="-3"/>
          <w:sz w:val="21"/>
        </w:rPr>
        <w:t>，</w:t>
      </w:r>
      <w:r>
        <w:rPr>
          <w:color w:val="333333"/>
          <w:sz w:val="21"/>
        </w:rPr>
        <w:t>针</w:t>
      </w:r>
      <w:r>
        <w:rPr>
          <w:color w:val="333333"/>
          <w:spacing w:val="-3"/>
          <w:sz w:val="21"/>
        </w:rPr>
        <w:t>对</w:t>
      </w:r>
      <w:r>
        <w:rPr>
          <w:color w:val="333333"/>
          <w:sz w:val="21"/>
        </w:rPr>
        <w:t>保</w:t>
      </w:r>
      <w:r>
        <w:rPr>
          <w:color w:val="333333"/>
          <w:spacing w:val="-3"/>
          <w:sz w:val="21"/>
        </w:rPr>
        <w:t>护</w:t>
      </w:r>
      <w:r>
        <w:rPr>
          <w:color w:val="333333"/>
          <w:sz w:val="21"/>
        </w:rPr>
        <w:t>对</w:t>
      </w:r>
      <w:r>
        <w:rPr>
          <w:color w:val="333333"/>
          <w:spacing w:val="-3"/>
          <w:sz w:val="21"/>
        </w:rPr>
        <w:t>象</w:t>
      </w:r>
      <w:r>
        <w:rPr>
          <w:color w:val="333333"/>
          <w:sz w:val="21"/>
        </w:rPr>
        <w:t>的特</w:t>
      </w:r>
      <w:r>
        <w:rPr>
          <w:color w:val="333333"/>
          <w:spacing w:val="-3"/>
          <w:sz w:val="21"/>
        </w:rPr>
        <w:t>点</w:t>
      </w:r>
      <w:r>
        <w:rPr>
          <w:color w:val="333333"/>
          <w:sz w:val="21"/>
        </w:rPr>
        <w:t>，</w:t>
      </w:r>
      <w:r>
        <w:rPr>
          <w:color w:val="333333"/>
          <w:spacing w:val="-3"/>
          <w:sz w:val="21"/>
        </w:rPr>
        <w:t>做</w:t>
      </w:r>
      <w:r>
        <w:rPr>
          <w:color w:val="333333"/>
          <w:sz w:val="21"/>
        </w:rPr>
        <w:t>到安全可</w:t>
      </w:r>
      <w:r>
        <w:rPr>
          <w:color w:val="333333"/>
          <w:spacing w:val="-3"/>
          <w:sz w:val="21"/>
        </w:rPr>
        <w:t>靠</w:t>
      </w:r>
      <w:r>
        <w:rPr>
          <w:color w:val="333333"/>
          <w:sz w:val="21"/>
        </w:rPr>
        <w:t>、</w:t>
      </w:r>
      <w:r>
        <w:rPr>
          <w:color w:val="333333"/>
          <w:spacing w:val="13"/>
          <w:sz w:val="21"/>
        </w:rPr>
        <w:t> </w:t>
      </w:r>
      <w:r>
        <w:rPr>
          <w:color w:val="333333"/>
          <w:sz w:val="21"/>
        </w:rPr>
        <w:t>技</w:t>
      </w:r>
      <w:r>
        <w:rPr>
          <w:color w:val="333333"/>
          <w:spacing w:val="-3"/>
          <w:sz w:val="21"/>
        </w:rPr>
        <w:t>术</w:t>
      </w:r>
      <w:r>
        <w:rPr>
          <w:color w:val="333333"/>
          <w:sz w:val="21"/>
        </w:rPr>
        <w:t>先</w:t>
      </w:r>
      <w:r>
        <w:rPr>
          <w:color w:val="333333"/>
          <w:spacing w:val="-3"/>
          <w:sz w:val="21"/>
        </w:rPr>
        <w:t>进</w:t>
      </w:r>
      <w:r>
        <w:rPr>
          <w:color w:val="333333"/>
          <w:sz w:val="21"/>
        </w:rPr>
        <w:t>、</w:t>
      </w:r>
      <w:r>
        <w:rPr>
          <w:color w:val="333333"/>
          <w:spacing w:val="-3"/>
          <w:sz w:val="21"/>
        </w:rPr>
        <w:t>经济</w:t>
      </w:r>
      <w:r>
        <w:rPr>
          <w:color w:val="333333"/>
          <w:sz w:val="21"/>
        </w:rPr>
        <w:t>合理</w:t>
      </w:r>
      <w:r>
        <w:rPr>
          <w:color w:val="333333"/>
          <w:spacing w:val="-3"/>
          <w:sz w:val="21"/>
        </w:rPr>
        <w:t>。</w:t>
      </w:r>
      <w:r>
        <w:rPr>
          <w:color w:val="333333"/>
          <w:sz w:val="21"/>
        </w:rPr>
        <w:t> </w:t>
        <w:tab/>
      </w:r>
      <w:r>
        <w:rPr>
          <w:color w:val="333333"/>
          <w:w w:val="100"/>
          <w:sz w:val="21"/>
        </w:rPr>
        <w:t> </w:t>
      </w:r>
    </w:p>
    <w:p>
      <w:pPr>
        <w:pStyle w:val="ListParagraph"/>
        <w:numPr>
          <w:ilvl w:val="1"/>
          <w:numId w:val="585"/>
        </w:numPr>
        <w:tabs>
          <w:tab w:pos="1213" w:val="left" w:leader="none"/>
        </w:tabs>
        <w:spacing w:line="267" w:lineRule="exact" w:before="0" w:after="0"/>
        <w:ind w:left="1212" w:right="0" w:hanging="373"/>
        <w:jc w:val="left"/>
        <w:rPr>
          <w:sz w:val="21"/>
        </w:rPr>
      </w:pPr>
      <w:r>
        <w:rPr>
          <w:color w:val="333333"/>
          <w:spacing w:val="-3"/>
          <w:sz w:val="21"/>
        </w:rPr>
        <w:t>火灾自动报警系统的设计，除应符合本规范外，尚应符合国家现行有关标准的规定。</w:t>
      </w:r>
      <w:r>
        <w:rPr>
          <w:color w:val="333333"/>
          <w:sz w:val="21"/>
        </w:rPr>
        <w:t> </w:t>
      </w:r>
    </w:p>
    <w:p>
      <w:pPr>
        <w:pStyle w:val="BodyText"/>
        <w:spacing w:before="5"/>
        <w:rPr>
          <w:sz w:val="15"/>
        </w:rPr>
      </w:pPr>
    </w:p>
    <w:p>
      <w:pPr>
        <w:pStyle w:val="Heading4"/>
      </w:pPr>
      <w:r>
        <w:rPr/>
        <w:t>2 术 语</w:t>
      </w:r>
      <w:r>
        <w:rPr>
          <w:w w:val="99"/>
        </w:rPr>
        <w:t> </w:t>
      </w:r>
    </w:p>
    <w:p>
      <w:pPr>
        <w:pStyle w:val="BodyText"/>
        <w:spacing w:before="4"/>
        <w:rPr>
          <w:b/>
          <w:sz w:val="17"/>
        </w:rPr>
      </w:pPr>
    </w:p>
    <w:p>
      <w:pPr>
        <w:pStyle w:val="ListParagraph"/>
        <w:numPr>
          <w:ilvl w:val="1"/>
          <w:numId w:val="586"/>
        </w:numPr>
        <w:tabs>
          <w:tab w:pos="1213" w:val="left" w:leader="none"/>
        </w:tabs>
        <w:spacing w:line="446" w:lineRule="auto" w:before="0" w:after="0"/>
        <w:ind w:left="418" w:right="1553" w:firstLine="422"/>
        <w:jc w:val="left"/>
        <w:rPr>
          <w:sz w:val="21"/>
        </w:rPr>
      </w:pPr>
      <w:r>
        <w:rPr>
          <w:color w:val="333333"/>
          <w:spacing w:val="-3"/>
          <w:sz w:val="21"/>
        </w:rPr>
        <w:t>火灾自动报警系统 </w:t>
      </w:r>
      <w:r>
        <w:rPr>
          <w:color w:val="333333"/>
          <w:sz w:val="21"/>
        </w:rPr>
        <w:t>automatic</w:t>
      </w:r>
      <w:r>
        <w:rPr>
          <w:color w:val="333333"/>
          <w:spacing w:val="5"/>
          <w:sz w:val="21"/>
        </w:rPr>
        <w:t> </w:t>
      </w:r>
      <w:r>
        <w:rPr>
          <w:color w:val="333333"/>
          <w:sz w:val="21"/>
        </w:rPr>
        <w:t>fire</w:t>
      </w:r>
      <w:r>
        <w:rPr>
          <w:color w:val="333333"/>
          <w:spacing w:val="4"/>
          <w:sz w:val="21"/>
        </w:rPr>
        <w:t> </w:t>
      </w:r>
      <w:r>
        <w:rPr>
          <w:color w:val="333333"/>
          <w:sz w:val="21"/>
        </w:rPr>
        <w:t>alarm</w:t>
      </w:r>
      <w:r>
        <w:rPr>
          <w:color w:val="333333"/>
          <w:spacing w:val="5"/>
          <w:sz w:val="21"/>
        </w:rPr>
        <w:t> </w:t>
      </w:r>
      <w:r>
        <w:rPr>
          <w:color w:val="333333"/>
          <w:sz w:val="21"/>
        </w:rPr>
        <w:t>system</w:t>
      </w:r>
      <w:r>
        <w:rPr>
          <w:color w:val="333333"/>
          <w:spacing w:val="-3"/>
          <w:sz w:val="21"/>
        </w:rPr>
        <w:t> 探测火灾早期特征、发出火灾报警信号，为人员疏散、防止火灾蔓延和启动自动灭火设备提供控制 与指示的消防系统。  </w:t>
      </w:r>
      <w:r>
        <w:rPr>
          <w:color w:val="333333"/>
          <w:sz w:val="21"/>
        </w:rPr>
        <w:t> </w:t>
      </w:r>
    </w:p>
    <w:p>
      <w:pPr>
        <w:pStyle w:val="ListParagraph"/>
        <w:numPr>
          <w:ilvl w:val="1"/>
          <w:numId w:val="586"/>
        </w:numPr>
        <w:tabs>
          <w:tab w:pos="1213" w:val="left" w:leader="none"/>
        </w:tabs>
        <w:spacing w:line="240" w:lineRule="auto" w:before="0" w:after="0"/>
        <w:ind w:left="1212" w:right="0" w:hanging="373"/>
        <w:jc w:val="left"/>
        <w:rPr>
          <w:sz w:val="21"/>
        </w:rPr>
      </w:pPr>
      <w:r>
        <w:rPr>
          <w:color w:val="333333"/>
          <w:spacing w:val="-3"/>
          <w:sz w:val="21"/>
        </w:rPr>
        <w:t>报警区域 </w:t>
      </w:r>
      <w:r>
        <w:rPr>
          <w:color w:val="333333"/>
          <w:sz w:val="21"/>
        </w:rPr>
        <w:t>alarm</w:t>
      </w:r>
      <w:r>
        <w:rPr>
          <w:color w:val="333333"/>
          <w:spacing w:val="-2"/>
          <w:sz w:val="21"/>
        </w:rPr>
        <w:t> </w:t>
      </w:r>
      <w:r>
        <w:rPr>
          <w:color w:val="333333"/>
          <w:sz w:val="21"/>
        </w:rPr>
        <w:t>zone </w:t>
      </w:r>
    </w:p>
    <w:p>
      <w:pPr>
        <w:pStyle w:val="BodyText"/>
        <w:rPr>
          <w:sz w:val="18"/>
        </w:rPr>
      </w:pPr>
    </w:p>
    <w:p>
      <w:pPr>
        <w:pStyle w:val="BodyText"/>
        <w:ind w:left="838"/>
      </w:pPr>
      <w:r>
        <w:rPr>
          <w:color w:val="333333"/>
        </w:rPr>
        <w:t>将火灾自动报警系统的警戒范围按防火分区或楼层等划分的单元。  </w:t>
      </w:r>
      <w:r>
        <w:rPr>
          <w:color w:val="333333"/>
          <w:w w:val="100"/>
        </w:rPr>
        <w:t> </w:t>
      </w:r>
    </w:p>
    <w:p>
      <w:pPr>
        <w:pStyle w:val="BodyText"/>
        <w:spacing w:before="12"/>
        <w:rPr>
          <w:sz w:val="17"/>
        </w:rPr>
      </w:pPr>
    </w:p>
    <w:p>
      <w:pPr>
        <w:pStyle w:val="ListParagraph"/>
        <w:numPr>
          <w:ilvl w:val="1"/>
          <w:numId w:val="586"/>
        </w:numPr>
        <w:tabs>
          <w:tab w:pos="1213" w:val="left" w:leader="none"/>
        </w:tabs>
        <w:spacing w:line="240" w:lineRule="auto" w:before="0" w:after="0"/>
        <w:ind w:left="1212" w:right="0" w:hanging="373"/>
        <w:jc w:val="left"/>
        <w:rPr>
          <w:sz w:val="21"/>
        </w:rPr>
      </w:pPr>
      <w:r>
        <w:rPr>
          <w:color w:val="333333"/>
          <w:spacing w:val="-3"/>
          <w:sz w:val="21"/>
        </w:rPr>
        <w:t>探测区域 </w:t>
      </w:r>
      <w:r>
        <w:rPr>
          <w:color w:val="333333"/>
          <w:sz w:val="21"/>
        </w:rPr>
        <w:t>detection</w:t>
      </w:r>
      <w:r>
        <w:rPr>
          <w:color w:val="333333"/>
          <w:spacing w:val="-2"/>
          <w:sz w:val="21"/>
        </w:rPr>
        <w:t> </w:t>
      </w:r>
      <w:r>
        <w:rPr>
          <w:color w:val="333333"/>
          <w:sz w:val="21"/>
        </w:rPr>
        <w:t>zone </w:t>
      </w:r>
    </w:p>
    <w:p>
      <w:pPr>
        <w:pStyle w:val="BodyText"/>
        <w:spacing w:before="2"/>
        <w:rPr>
          <w:sz w:val="18"/>
        </w:rPr>
      </w:pPr>
    </w:p>
    <w:p>
      <w:pPr>
        <w:pStyle w:val="BodyText"/>
        <w:ind w:left="838"/>
      </w:pPr>
      <w:r>
        <w:rPr>
          <w:color w:val="333333"/>
        </w:rPr>
        <w:t>将报警区域按探测火灾的部位划分的单元。  </w:t>
      </w:r>
      <w:r>
        <w:rPr>
          <w:color w:val="333333"/>
          <w:w w:val="100"/>
        </w:rPr>
        <w:t> </w:t>
      </w:r>
    </w:p>
    <w:p>
      <w:pPr>
        <w:pStyle w:val="BodyText"/>
        <w:rPr>
          <w:sz w:val="18"/>
        </w:rPr>
      </w:pPr>
    </w:p>
    <w:p>
      <w:pPr>
        <w:pStyle w:val="ListParagraph"/>
        <w:numPr>
          <w:ilvl w:val="1"/>
          <w:numId w:val="586"/>
        </w:numPr>
        <w:tabs>
          <w:tab w:pos="1213" w:val="left" w:leader="none"/>
        </w:tabs>
        <w:spacing w:line="240" w:lineRule="auto" w:before="0" w:after="0"/>
        <w:ind w:left="1212" w:right="0" w:hanging="373"/>
        <w:jc w:val="left"/>
        <w:rPr>
          <w:sz w:val="21"/>
        </w:rPr>
      </w:pPr>
      <w:r>
        <w:rPr>
          <w:color w:val="333333"/>
          <w:spacing w:val="-3"/>
          <w:sz w:val="21"/>
        </w:rPr>
        <w:t>保护面积 </w:t>
      </w:r>
      <w:r>
        <w:rPr>
          <w:color w:val="333333"/>
          <w:sz w:val="21"/>
        </w:rPr>
        <w:t>monitoring</w:t>
      </w:r>
      <w:r>
        <w:rPr>
          <w:color w:val="333333"/>
          <w:spacing w:val="1"/>
          <w:sz w:val="21"/>
        </w:rPr>
        <w:t> </w:t>
      </w:r>
      <w:r>
        <w:rPr>
          <w:color w:val="333333"/>
          <w:sz w:val="21"/>
        </w:rPr>
        <w:t>area </w:t>
      </w:r>
    </w:p>
    <w:p>
      <w:pPr>
        <w:pStyle w:val="BodyText"/>
        <w:spacing w:before="12"/>
        <w:rPr>
          <w:sz w:val="17"/>
        </w:rPr>
      </w:pPr>
    </w:p>
    <w:p>
      <w:pPr>
        <w:pStyle w:val="BodyText"/>
        <w:tabs>
          <w:tab w:pos="4618" w:val="left" w:leader="none"/>
        </w:tabs>
        <w:ind w:left="838"/>
      </w:pPr>
      <w:r>
        <w:rPr>
          <w:color w:val="333333"/>
        </w:rPr>
        <w:t>一只</w:t>
      </w:r>
      <w:r>
        <w:rPr>
          <w:color w:val="333333"/>
          <w:spacing w:val="-3"/>
        </w:rPr>
        <w:t>火</w:t>
      </w:r>
      <w:r>
        <w:rPr>
          <w:color w:val="333333"/>
        </w:rPr>
        <w:t>灾</w:t>
      </w:r>
      <w:r>
        <w:rPr>
          <w:color w:val="333333"/>
          <w:spacing w:val="-3"/>
        </w:rPr>
        <w:t>探</w:t>
      </w:r>
      <w:r>
        <w:rPr>
          <w:color w:val="333333"/>
        </w:rPr>
        <w:t>测</w:t>
      </w:r>
      <w:r>
        <w:rPr>
          <w:color w:val="333333"/>
          <w:spacing w:val="-3"/>
        </w:rPr>
        <w:t>器</w:t>
      </w:r>
      <w:r>
        <w:rPr>
          <w:color w:val="333333"/>
        </w:rPr>
        <w:t>能</w:t>
      </w:r>
      <w:r>
        <w:rPr>
          <w:color w:val="333333"/>
          <w:spacing w:val="-3"/>
        </w:rPr>
        <w:t>有</w:t>
      </w:r>
      <w:r>
        <w:rPr>
          <w:color w:val="333333"/>
        </w:rPr>
        <w:t>效</w:t>
      </w:r>
      <w:r>
        <w:rPr>
          <w:color w:val="333333"/>
          <w:spacing w:val="-3"/>
        </w:rPr>
        <w:t>探</w:t>
      </w:r>
      <w:r>
        <w:rPr>
          <w:color w:val="333333"/>
        </w:rPr>
        <w:t>测的</w:t>
      </w:r>
      <w:r>
        <w:rPr>
          <w:color w:val="333333"/>
          <w:spacing w:val="-3"/>
        </w:rPr>
        <w:t>面</w:t>
      </w:r>
      <w:r>
        <w:rPr>
          <w:color w:val="333333"/>
        </w:rPr>
        <w:t>积</w:t>
      </w:r>
      <w:r>
        <w:rPr>
          <w:color w:val="333333"/>
          <w:spacing w:val="-3"/>
        </w:rPr>
        <w:t>。</w:t>
      </w:r>
      <w:r>
        <w:rPr>
          <w:color w:val="333333"/>
        </w:rPr>
        <w:t> </w:t>
        <w:tab/>
      </w:r>
      <w:r>
        <w:rPr>
          <w:color w:val="333333"/>
          <w:w w:val="100"/>
        </w:rPr>
        <w:t> </w:t>
      </w:r>
    </w:p>
    <w:p>
      <w:pPr>
        <w:pStyle w:val="BodyText"/>
        <w:spacing w:before="2"/>
        <w:rPr>
          <w:sz w:val="18"/>
        </w:rPr>
      </w:pPr>
    </w:p>
    <w:p>
      <w:pPr>
        <w:pStyle w:val="ListParagraph"/>
        <w:numPr>
          <w:ilvl w:val="1"/>
          <w:numId w:val="586"/>
        </w:numPr>
        <w:tabs>
          <w:tab w:pos="1210" w:val="left" w:leader="none"/>
        </w:tabs>
        <w:spacing w:line="240" w:lineRule="auto" w:before="0" w:after="0"/>
        <w:ind w:left="1210" w:right="0" w:hanging="370"/>
        <w:jc w:val="left"/>
        <w:rPr>
          <w:sz w:val="21"/>
        </w:rPr>
      </w:pPr>
      <w:r>
        <w:rPr>
          <w:b/>
          <w:color w:val="333333"/>
          <w:sz w:val="21"/>
        </w:rPr>
        <w:t>安</w:t>
      </w:r>
      <w:r>
        <w:rPr>
          <w:color w:val="333333"/>
          <w:spacing w:val="-3"/>
          <w:sz w:val="21"/>
        </w:rPr>
        <w:t>装间距 </w:t>
      </w:r>
      <w:r>
        <w:rPr>
          <w:color w:val="333333"/>
          <w:sz w:val="21"/>
        </w:rPr>
        <w:t>installation</w:t>
      </w:r>
      <w:r>
        <w:rPr>
          <w:color w:val="333333"/>
          <w:spacing w:val="1"/>
          <w:sz w:val="21"/>
        </w:rPr>
        <w:t> </w:t>
      </w:r>
      <w:r>
        <w:rPr>
          <w:color w:val="333333"/>
          <w:sz w:val="21"/>
        </w:rPr>
        <w:t>spacing </w:t>
      </w:r>
    </w:p>
    <w:p>
      <w:pPr>
        <w:pStyle w:val="BodyText"/>
        <w:rPr>
          <w:sz w:val="18"/>
        </w:rPr>
      </w:pPr>
    </w:p>
    <w:p>
      <w:pPr>
        <w:pStyle w:val="BodyText"/>
        <w:ind w:left="838"/>
      </w:pPr>
      <w:r>
        <w:rPr>
          <w:color w:val="333333"/>
        </w:rPr>
        <w:t>两只相邻火灾探测器中心之间的水平距离。 </w:t>
      </w:r>
    </w:p>
    <w:p>
      <w:pPr>
        <w:pStyle w:val="BodyText"/>
        <w:spacing w:before="12"/>
        <w:rPr>
          <w:sz w:val="17"/>
        </w:rPr>
      </w:pPr>
    </w:p>
    <w:p>
      <w:pPr>
        <w:pStyle w:val="ListParagraph"/>
        <w:numPr>
          <w:ilvl w:val="1"/>
          <w:numId w:val="586"/>
        </w:numPr>
        <w:tabs>
          <w:tab w:pos="1213" w:val="left" w:leader="none"/>
        </w:tabs>
        <w:spacing w:line="240" w:lineRule="auto" w:before="0" w:after="0"/>
        <w:ind w:left="1212" w:right="0" w:hanging="373"/>
        <w:jc w:val="left"/>
        <w:rPr>
          <w:sz w:val="21"/>
        </w:rPr>
      </w:pPr>
      <w:r>
        <w:rPr>
          <w:color w:val="333333"/>
          <w:spacing w:val="-3"/>
          <w:sz w:val="21"/>
        </w:rPr>
        <w:t>保护半径 </w:t>
      </w:r>
      <w:r>
        <w:rPr>
          <w:color w:val="333333"/>
          <w:sz w:val="21"/>
        </w:rPr>
        <w:t>monitoring</w:t>
      </w:r>
      <w:r>
        <w:rPr>
          <w:color w:val="333333"/>
          <w:spacing w:val="1"/>
          <w:sz w:val="21"/>
        </w:rPr>
        <w:t> </w:t>
      </w:r>
      <w:r>
        <w:rPr>
          <w:color w:val="333333"/>
          <w:sz w:val="21"/>
        </w:rPr>
        <w:t>radius </w:t>
      </w:r>
    </w:p>
    <w:p>
      <w:pPr>
        <w:pStyle w:val="BodyText"/>
        <w:spacing w:before="2"/>
        <w:rPr>
          <w:sz w:val="18"/>
        </w:rPr>
      </w:pPr>
    </w:p>
    <w:p>
      <w:pPr>
        <w:pStyle w:val="BodyText"/>
        <w:ind w:left="838"/>
      </w:pPr>
      <w:r>
        <w:rPr>
          <w:color w:val="333333"/>
        </w:rPr>
        <w:t>一只火灾探测器能有效探测的单向最大水平距离。 </w:t>
      </w:r>
    </w:p>
    <w:p>
      <w:pPr>
        <w:pStyle w:val="BodyText"/>
        <w:rPr>
          <w:sz w:val="18"/>
        </w:rPr>
      </w:pPr>
    </w:p>
    <w:p>
      <w:pPr>
        <w:pStyle w:val="ListParagraph"/>
        <w:numPr>
          <w:ilvl w:val="1"/>
          <w:numId w:val="586"/>
        </w:numPr>
        <w:tabs>
          <w:tab w:pos="1213" w:val="left" w:leader="none"/>
          <w:tab w:pos="7138" w:val="left" w:leader="none"/>
        </w:tabs>
        <w:spacing w:line="446" w:lineRule="auto" w:before="0" w:after="0"/>
        <w:ind w:left="838" w:right="2396" w:firstLine="2"/>
        <w:jc w:val="left"/>
        <w:rPr>
          <w:sz w:val="21"/>
        </w:rPr>
      </w:pPr>
      <w:r>
        <w:rPr>
          <w:color w:val="333333"/>
          <w:spacing w:val="-3"/>
          <w:sz w:val="21"/>
        </w:rPr>
        <w:t>联</w:t>
      </w:r>
      <w:r>
        <w:rPr>
          <w:color w:val="333333"/>
          <w:sz w:val="21"/>
        </w:rPr>
        <w:t>动</w:t>
      </w:r>
      <w:r>
        <w:rPr>
          <w:color w:val="333333"/>
          <w:spacing w:val="-3"/>
          <w:sz w:val="21"/>
        </w:rPr>
        <w:t>控</w:t>
      </w:r>
      <w:r>
        <w:rPr>
          <w:color w:val="333333"/>
          <w:sz w:val="21"/>
        </w:rPr>
        <w:t>制</w:t>
      </w:r>
      <w:r>
        <w:rPr>
          <w:color w:val="333333"/>
          <w:spacing w:val="-3"/>
          <w:sz w:val="21"/>
        </w:rPr>
        <w:t>信</w:t>
      </w:r>
      <w:r>
        <w:rPr>
          <w:color w:val="333333"/>
          <w:sz w:val="21"/>
        </w:rPr>
        <w:t>号 control signal to start</w:t>
      </w:r>
      <w:r>
        <w:rPr>
          <w:color w:val="333333"/>
          <w:spacing w:val="-3"/>
          <w:sz w:val="21"/>
        </w:rPr>
        <w:t> </w:t>
      </w:r>
      <w:r>
        <w:rPr>
          <w:color w:val="333333"/>
          <w:sz w:val="21"/>
        </w:rPr>
        <w:t>&amp; stop</w:t>
      </w:r>
      <w:r>
        <w:rPr>
          <w:color w:val="333333"/>
          <w:spacing w:val="-1"/>
          <w:sz w:val="21"/>
        </w:rPr>
        <w:t> </w:t>
      </w:r>
      <w:r>
        <w:rPr>
          <w:color w:val="333333"/>
          <w:sz w:val="21"/>
        </w:rPr>
        <w:t>an automatic equipment </w:t>
      </w:r>
      <w:r>
        <w:rPr>
          <w:color w:val="333333"/>
          <w:spacing w:val="-1"/>
          <w:sz w:val="21"/>
        </w:rPr>
        <w:t>由</w:t>
      </w:r>
      <w:r>
        <w:rPr>
          <w:color w:val="333333"/>
          <w:sz w:val="21"/>
        </w:rPr>
        <w:t>消</w:t>
      </w:r>
      <w:r>
        <w:rPr>
          <w:color w:val="333333"/>
          <w:spacing w:val="-3"/>
          <w:sz w:val="21"/>
        </w:rPr>
        <w:t>防</w:t>
      </w:r>
      <w:r>
        <w:rPr>
          <w:color w:val="333333"/>
          <w:sz w:val="21"/>
        </w:rPr>
        <w:t>联</w:t>
      </w:r>
      <w:r>
        <w:rPr>
          <w:color w:val="333333"/>
          <w:spacing w:val="-3"/>
          <w:sz w:val="21"/>
        </w:rPr>
        <w:t>动</w:t>
      </w:r>
      <w:r>
        <w:rPr>
          <w:color w:val="333333"/>
          <w:sz w:val="21"/>
        </w:rPr>
        <w:t>控</w:t>
      </w:r>
      <w:r>
        <w:rPr>
          <w:color w:val="333333"/>
          <w:spacing w:val="-3"/>
          <w:sz w:val="21"/>
        </w:rPr>
        <w:t>制</w:t>
      </w:r>
      <w:r>
        <w:rPr>
          <w:color w:val="333333"/>
          <w:sz w:val="21"/>
        </w:rPr>
        <w:t>器</w:t>
      </w:r>
      <w:r>
        <w:rPr>
          <w:color w:val="333333"/>
          <w:spacing w:val="-3"/>
          <w:sz w:val="21"/>
        </w:rPr>
        <w:t>发</w:t>
      </w:r>
      <w:r>
        <w:rPr>
          <w:color w:val="333333"/>
          <w:sz w:val="21"/>
        </w:rPr>
        <w:t>出</w:t>
      </w:r>
      <w:r>
        <w:rPr>
          <w:color w:val="333333"/>
          <w:spacing w:val="-3"/>
          <w:sz w:val="21"/>
        </w:rPr>
        <w:t>的</w:t>
      </w:r>
      <w:r>
        <w:rPr>
          <w:color w:val="333333"/>
          <w:sz w:val="21"/>
        </w:rPr>
        <w:t>用于</w:t>
      </w:r>
      <w:r>
        <w:rPr>
          <w:color w:val="333333"/>
          <w:spacing w:val="-3"/>
          <w:sz w:val="21"/>
        </w:rPr>
        <w:t>控</w:t>
      </w:r>
      <w:r>
        <w:rPr>
          <w:color w:val="333333"/>
          <w:sz w:val="21"/>
        </w:rPr>
        <w:t>制</w:t>
      </w:r>
      <w:r>
        <w:rPr>
          <w:color w:val="333333"/>
          <w:spacing w:val="-3"/>
          <w:sz w:val="21"/>
        </w:rPr>
        <w:t>消</w:t>
      </w:r>
      <w:r>
        <w:rPr>
          <w:color w:val="333333"/>
          <w:sz w:val="21"/>
        </w:rPr>
        <w:t>防</w:t>
      </w:r>
      <w:r>
        <w:rPr>
          <w:color w:val="333333"/>
          <w:spacing w:val="-3"/>
          <w:sz w:val="21"/>
        </w:rPr>
        <w:t>设</w:t>
      </w:r>
      <w:r>
        <w:rPr>
          <w:color w:val="333333"/>
          <w:sz w:val="21"/>
        </w:rPr>
        <w:t>备</w:t>
      </w:r>
      <w:r>
        <w:rPr>
          <w:color w:val="333333"/>
          <w:spacing w:val="-3"/>
          <w:sz w:val="21"/>
        </w:rPr>
        <w:t>(</w:t>
      </w:r>
      <w:r>
        <w:rPr>
          <w:color w:val="333333"/>
          <w:sz w:val="21"/>
        </w:rPr>
        <w:t>设施</w:t>
      </w:r>
      <w:r>
        <w:rPr>
          <w:color w:val="333333"/>
          <w:spacing w:val="-3"/>
          <w:sz w:val="21"/>
        </w:rPr>
        <w:t>)</w:t>
      </w:r>
      <w:r>
        <w:rPr>
          <w:color w:val="333333"/>
          <w:sz w:val="21"/>
        </w:rPr>
        <w:t>工作</w:t>
      </w:r>
      <w:r>
        <w:rPr>
          <w:color w:val="333333"/>
          <w:spacing w:val="-3"/>
          <w:sz w:val="21"/>
        </w:rPr>
        <w:t>的</w:t>
      </w:r>
      <w:r>
        <w:rPr>
          <w:color w:val="333333"/>
          <w:sz w:val="21"/>
        </w:rPr>
        <w:t>信</w:t>
      </w:r>
      <w:r>
        <w:rPr>
          <w:color w:val="333333"/>
          <w:spacing w:val="-3"/>
          <w:sz w:val="21"/>
        </w:rPr>
        <w:t>号。</w:t>
      </w:r>
      <w:r>
        <w:rPr>
          <w:color w:val="333333"/>
          <w:sz w:val="21"/>
        </w:rPr>
        <w:t> </w:t>
        <w:tab/>
      </w:r>
      <w:r>
        <w:rPr>
          <w:color w:val="333333"/>
          <w:w w:val="100"/>
          <w:sz w:val="21"/>
        </w:rPr>
        <w:t> </w:t>
      </w:r>
    </w:p>
    <w:p>
      <w:pPr>
        <w:pStyle w:val="ListParagraph"/>
        <w:numPr>
          <w:ilvl w:val="1"/>
          <w:numId w:val="586"/>
        </w:numPr>
        <w:tabs>
          <w:tab w:pos="1213" w:val="left" w:leader="none"/>
        </w:tabs>
        <w:spacing w:line="240" w:lineRule="auto" w:before="0" w:after="0"/>
        <w:ind w:left="1212" w:right="0" w:hanging="373"/>
        <w:jc w:val="left"/>
        <w:rPr>
          <w:sz w:val="21"/>
        </w:rPr>
      </w:pPr>
      <w:r>
        <w:rPr>
          <w:color w:val="333333"/>
          <w:spacing w:val="-3"/>
          <w:sz w:val="21"/>
        </w:rPr>
        <w:t>联动反馈信号 </w:t>
      </w:r>
      <w:r>
        <w:rPr>
          <w:color w:val="333333"/>
          <w:sz w:val="21"/>
        </w:rPr>
        <w:t>feedback</w:t>
      </w:r>
      <w:r>
        <w:rPr>
          <w:color w:val="333333"/>
          <w:spacing w:val="1"/>
          <w:sz w:val="21"/>
        </w:rPr>
        <w:t> </w:t>
      </w:r>
      <w:r>
        <w:rPr>
          <w:color w:val="333333"/>
          <w:sz w:val="21"/>
        </w:rPr>
        <w:t>signal</w:t>
      </w:r>
      <w:r>
        <w:rPr>
          <w:color w:val="333333"/>
          <w:spacing w:val="-3"/>
          <w:sz w:val="21"/>
        </w:rPr>
        <w:t> </w:t>
      </w:r>
      <w:r>
        <w:rPr>
          <w:color w:val="333333"/>
          <w:sz w:val="21"/>
        </w:rPr>
        <w:t>from</w:t>
      </w:r>
      <w:r>
        <w:rPr>
          <w:color w:val="333333"/>
          <w:spacing w:val="1"/>
          <w:sz w:val="21"/>
        </w:rPr>
        <w:t> </w:t>
      </w:r>
      <w:r>
        <w:rPr>
          <w:color w:val="333333"/>
          <w:sz w:val="21"/>
        </w:rPr>
        <w:t>automatic equipment </w:t>
      </w:r>
    </w:p>
    <w:p>
      <w:pPr>
        <w:spacing w:after="0" w:line="240" w:lineRule="auto"/>
        <w:jc w:val="left"/>
        <w:rPr>
          <w:sz w:val="21"/>
        </w:rPr>
        <w:sectPr>
          <w:footerReference w:type="default" r:id="rId346"/>
          <w:pgSz w:w="11910" w:h="16850"/>
          <w:pgMar w:footer="1239" w:header="0" w:top="1600" w:bottom="1420" w:left="1260" w:right="0"/>
          <w:pgNumType w:start="1270"/>
        </w:sectPr>
      </w:pPr>
    </w:p>
    <w:p>
      <w:pPr>
        <w:pStyle w:val="BodyText"/>
        <w:spacing w:before="47"/>
        <w:ind w:left="838"/>
      </w:pPr>
      <w:r>
        <w:rPr>
          <w:color w:val="333333"/>
        </w:rPr>
        <w:t>受控消防设备(设施)将其工作状态信息发送给消防联动控制器的信号。  </w:t>
      </w:r>
      <w:r>
        <w:rPr>
          <w:color w:val="333333"/>
          <w:w w:val="100"/>
        </w:rPr>
        <w:t> </w:t>
      </w:r>
    </w:p>
    <w:p>
      <w:pPr>
        <w:pStyle w:val="BodyText"/>
        <w:rPr>
          <w:sz w:val="18"/>
        </w:rPr>
      </w:pPr>
    </w:p>
    <w:p>
      <w:pPr>
        <w:pStyle w:val="ListParagraph"/>
        <w:numPr>
          <w:ilvl w:val="1"/>
          <w:numId w:val="586"/>
        </w:numPr>
        <w:tabs>
          <w:tab w:pos="1213" w:val="left" w:leader="none"/>
          <w:tab w:pos="5458" w:val="left" w:leader="none"/>
        </w:tabs>
        <w:spacing w:line="446" w:lineRule="auto" w:before="0" w:after="0"/>
        <w:ind w:left="838" w:right="5079" w:firstLine="2"/>
        <w:jc w:val="left"/>
        <w:rPr>
          <w:sz w:val="21"/>
        </w:rPr>
      </w:pPr>
      <w:r>
        <w:rPr>
          <w:color w:val="333333"/>
          <w:spacing w:val="-3"/>
          <w:sz w:val="21"/>
        </w:rPr>
        <w:t>联</w:t>
      </w:r>
      <w:r>
        <w:rPr>
          <w:color w:val="333333"/>
          <w:sz w:val="21"/>
        </w:rPr>
        <w:t>动</w:t>
      </w:r>
      <w:r>
        <w:rPr>
          <w:color w:val="333333"/>
          <w:spacing w:val="-3"/>
          <w:sz w:val="21"/>
        </w:rPr>
        <w:t>触</w:t>
      </w:r>
      <w:r>
        <w:rPr>
          <w:color w:val="333333"/>
          <w:sz w:val="21"/>
        </w:rPr>
        <w:t>发</w:t>
      </w:r>
      <w:r>
        <w:rPr>
          <w:color w:val="333333"/>
          <w:spacing w:val="-3"/>
          <w:sz w:val="21"/>
        </w:rPr>
        <w:t>信</w:t>
      </w:r>
      <w:r>
        <w:rPr>
          <w:color w:val="333333"/>
          <w:sz w:val="21"/>
        </w:rPr>
        <w:t>号</w:t>
      </w:r>
      <w:r>
        <w:rPr>
          <w:color w:val="333333"/>
          <w:spacing w:val="15"/>
          <w:sz w:val="21"/>
        </w:rPr>
        <w:t> </w:t>
      </w:r>
      <w:r>
        <w:rPr>
          <w:color w:val="333333"/>
          <w:sz w:val="21"/>
        </w:rPr>
        <w:t>signal</w:t>
      </w:r>
      <w:r>
        <w:rPr>
          <w:color w:val="333333"/>
          <w:spacing w:val="16"/>
          <w:sz w:val="21"/>
        </w:rPr>
        <w:t> </w:t>
      </w:r>
      <w:r>
        <w:rPr>
          <w:color w:val="333333"/>
          <w:sz w:val="21"/>
        </w:rPr>
        <w:t>for</w:t>
      </w:r>
      <w:r>
        <w:rPr>
          <w:color w:val="333333"/>
          <w:spacing w:val="16"/>
          <w:sz w:val="21"/>
        </w:rPr>
        <w:t> </w:t>
      </w:r>
      <w:r>
        <w:rPr>
          <w:color w:val="333333"/>
          <w:sz w:val="21"/>
        </w:rPr>
        <w:t>logical</w:t>
      </w:r>
      <w:r>
        <w:rPr>
          <w:color w:val="333333"/>
          <w:spacing w:val="16"/>
          <w:sz w:val="21"/>
        </w:rPr>
        <w:t> </w:t>
      </w:r>
      <w:r>
        <w:rPr>
          <w:color w:val="333333"/>
          <w:sz w:val="21"/>
        </w:rPr>
        <w:t>program 消防</w:t>
      </w:r>
      <w:r>
        <w:rPr>
          <w:color w:val="333333"/>
          <w:spacing w:val="-3"/>
          <w:sz w:val="21"/>
        </w:rPr>
        <w:t>联</w:t>
      </w:r>
      <w:r>
        <w:rPr>
          <w:color w:val="333333"/>
          <w:sz w:val="21"/>
        </w:rPr>
        <w:t>动</w:t>
      </w:r>
      <w:r>
        <w:rPr>
          <w:color w:val="333333"/>
          <w:spacing w:val="-3"/>
          <w:sz w:val="21"/>
        </w:rPr>
        <w:t>控</w:t>
      </w:r>
      <w:r>
        <w:rPr>
          <w:color w:val="333333"/>
          <w:sz w:val="21"/>
        </w:rPr>
        <w:t>制</w:t>
      </w:r>
      <w:r>
        <w:rPr>
          <w:color w:val="333333"/>
          <w:spacing w:val="-3"/>
          <w:sz w:val="21"/>
        </w:rPr>
        <w:t>器</w:t>
      </w:r>
      <w:r>
        <w:rPr>
          <w:color w:val="333333"/>
          <w:sz w:val="21"/>
        </w:rPr>
        <w:t>接</w:t>
      </w:r>
      <w:r>
        <w:rPr>
          <w:color w:val="333333"/>
          <w:spacing w:val="-3"/>
          <w:sz w:val="21"/>
        </w:rPr>
        <w:t>收</w:t>
      </w:r>
      <w:r>
        <w:rPr>
          <w:color w:val="333333"/>
          <w:sz w:val="21"/>
        </w:rPr>
        <w:t>的</w:t>
      </w:r>
      <w:r>
        <w:rPr>
          <w:color w:val="333333"/>
          <w:spacing w:val="-3"/>
          <w:sz w:val="21"/>
        </w:rPr>
        <w:t>用</w:t>
      </w:r>
      <w:r>
        <w:rPr>
          <w:color w:val="333333"/>
          <w:sz w:val="21"/>
        </w:rPr>
        <w:t>于逻</w:t>
      </w:r>
      <w:r>
        <w:rPr>
          <w:color w:val="333333"/>
          <w:spacing w:val="-3"/>
          <w:sz w:val="21"/>
        </w:rPr>
        <w:t>辑</w:t>
      </w:r>
      <w:r>
        <w:rPr>
          <w:color w:val="333333"/>
          <w:sz w:val="21"/>
        </w:rPr>
        <w:t>判</w:t>
      </w:r>
      <w:r>
        <w:rPr>
          <w:color w:val="333333"/>
          <w:spacing w:val="-3"/>
          <w:sz w:val="21"/>
        </w:rPr>
        <w:t>断</w:t>
      </w:r>
      <w:r>
        <w:rPr>
          <w:color w:val="333333"/>
          <w:sz w:val="21"/>
        </w:rPr>
        <w:t>的</w:t>
      </w:r>
      <w:r>
        <w:rPr>
          <w:color w:val="333333"/>
          <w:spacing w:val="-3"/>
          <w:sz w:val="21"/>
        </w:rPr>
        <w:t>信</w:t>
      </w:r>
      <w:r>
        <w:rPr>
          <w:color w:val="333333"/>
          <w:sz w:val="21"/>
        </w:rPr>
        <w:t>号</w:t>
      </w:r>
      <w:r>
        <w:rPr>
          <w:color w:val="333333"/>
          <w:spacing w:val="-3"/>
          <w:sz w:val="21"/>
        </w:rPr>
        <w:t>。</w:t>
      </w:r>
      <w:r>
        <w:rPr>
          <w:color w:val="333333"/>
          <w:sz w:val="21"/>
        </w:rPr>
        <w:t> </w:t>
        <w:tab/>
      </w:r>
      <w:r>
        <w:rPr>
          <w:color w:val="333333"/>
          <w:w w:val="100"/>
          <w:sz w:val="21"/>
        </w:rPr>
        <w:t> </w:t>
      </w:r>
    </w:p>
    <w:p>
      <w:pPr>
        <w:pStyle w:val="Heading4"/>
        <w:spacing w:line="277" w:lineRule="exact"/>
      </w:pPr>
      <w:r>
        <w:rPr/>
        <w:t>3 基本规定</w:t>
      </w:r>
      <w:r>
        <w:rPr>
          <w:w w:val="99"/>
        </w:rPr>
        <w:t> </w:t>
      </w:r>
    </w:p>
    <w:p>
      <w:pPr>
        <w:pStyle w:val="BodyText"/>
        <w:spacing w:before="4"/>
        <w:rPr>
          <w:b/>
          <w:sz w:val="17"/>
        </w:rPr>
      </w:pPr>
    </w:p>
    <w:p>
      <w:pPr>
        <w:pStyle w:val="ListParagraph"/>
        <w:numPr>
          <w:ilvl w:val="1"/>
          <w:numId w:val="587"/>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12"/>
        <w:rPr>
          <w:sz w:val="17"/>
        </w:rPr>
      </w:pPr>
    </w:p>
    <w:p>
      <w:pPr>
        <w:pStyle w:val="ListParagraph"/>
        <w:numPr>
          <w:ilvl w:val="2"/>
          <w:numId w:val="587"/>
        </w:numPr>
        <w:tabs>
          <w:tab w:pos="1438" w:val="left" w:leader="none"/>
        </w:tabs>
        <w:spacing w:line="446" w:lineRule="auto" w:before="0" w:after="0"/>
        <w:ind w:left="418" w:right="1431" w:firstLine="422"/>
        <w:jc w:val="left"/>
        <w:rPr>
          <w:sz w:val="21"/>
        </w:rPr>
      </w:pPr>
      <w:r>
        <w:rPr>
          <w:spacing w:val="-3"/>
          <w:sz w:val="21"/>
        </w:rPr>
        <w:t>火灾自动报警系统可用于人员居住和经常有人滞留的场所、存放重要物资或燃烧后产生严重污 染需要及时报警的场所。</w:t>
      </w:r>
      <w:r>
        <w:rPr>
          <w:sz w:val="21"/>
        </w:rPr>
        <w:t>  </w:t>
      </w:r>
    </w:p>
    <w:p>
      <w:pPr>
        <w:pStyle w:val="ListParagraph"/>
        <w:numPr>
          <w:ilvl w:val="2"/>
          <w:numId w:val="587"/>
        </w:numPr>
        <w:tabs>
          <w:tab w:pos="1371" w:val="left" w:leader="none"/>
        </w:tabs>
        <w:spacing w:line="240" w:lineRule="auto" w:before="1" w:after="0"/>
        <w:ind w:left="1370" w:right="0" w:hanging="531"/>
        <w:jc w:val="left"/>
        <w:rPr>
          <w:sz w:val="21"/>
        </w:rPr>
      </w:pPr>
      <w:r>
        <w:rPr>
          <w:spacing w:val="-3"/>
          <w:sz w:val="21"/>
        </w:rPr>
        <w:t>火灾自动报警系统应设有自动和手动两种触发装置。</w:t>
      </w:r>
      <w:r>
        <w:rPr>
          <w:sz w:val="21"/>
        </w:rPr>
        <w:t> </w:t>
      </w:r>
    </w:p>
    <w:p>
      <w:pPr>
        <w:pStyle w:val="BodyText"/>
        <w:spacing w:before="12"/>
        <w:rPr>
          <w:sz w:val="17"/>
        </w:rPr>
      </w:pPr>
    </w:p>
    <w:p>
      <w:pPr>
        <w:pStyle w:val="ListParagraph"/>
        <w:numPr>
          <w:ilvl w:val="2"/>
          <w:numId w:val="587"/>
        </w:numPr>
        <w:tabs>
          <w:tab w:pos="1370" w:val="left" w:leader="none"/>
        </w:tabs>
        <w:spacing w:line="240" w:lineRule="auto" w:before="0" w:after="0"/>
        <w:ind w:left="1369" w:right="0" w:hanging="530"/>
        <w:jc w:val="left"/>
        <w:rPr>
          <w:sz w:val="21"/>
        </w:rPr>
      </w:pPr>
      <w:r>
        <w:rPr>
          <w:spacing w:val="-3"/>
          <w:sz w:val="21"/>
        </w:rPr>
        <w:t>火灾自动报警系统设备应选择符合国家有关标准和有关市场准入制度的产品。</w:t>
      </w:r>
      <w:r>
        <w:rPr>
          <w:sz w:val="21"/>
        </w:rPr>
        <w:t> </w:t>
      </w:r>
    </w:p>
    <w:p>
      <w:pPr>
        <w:pStyle w:val="BodyText"/>
        <w:spacing w:before="2"/>
        <w:rPr>
          <w:sz w:val="18"/>
        </w:rPr>
      </w:pPr>
    </w:p>
    <w:p>
      <w:pPr>
        <w:pStyle w:val="ListParagraph"/>
        <w:numPr>
          <w:ilvl w:val="2"/>
          <w:numId w:val="587"/>
        </w:numPr>
        <w:tabs>
          <w:tab w:pos="1370" w:val="left" w:leader="none"/>
        </w:tabs>
        <w:spacing w:line="446" w:lineRule="auto" w:before="0" w:after="0"/>
        <w:ind w:left="418" w:right="1431" w:firstLine="422"/>
        <w:jc w:val="left"/>
        <w:rPr>
          <w:sz w:val="21"/>
        </w:rPr>
      </w:pPr>
      <w:r>
        <w:rPr>
          <w:spacing w:val="-5"/>
          <w:sz w:val="21"/>
        </w:rPr>
        <w:t>系统中各类设备之间的接口和通信协议的兼容性应符合现行国家标准《火灾自动报警</w:t>
      </w:r>
      <w:r>
        <w:rPr>
          <w:spacing w:val="-4"/>
          <w:sz w:val="21"/>
        </w:rPr>
        <w:t>系统组件 兼容性要求》</w:t>
      </w:r>
      <w:r>
        <w:rPr>
          <w:spacing w:val="-3"/>
          <w:sz w:val="21"/>
        </w:rPr>
        <w:t>GB</w:t>
      </w:r>
      <w:r>
        <w:rPr>
          <w:spacing w:val="1"/>
          <w:sz w:val="21"/>
        </w:rPr>
        <w:t> </w:t>
      </w:r>
      <w:r>
        <w:rPr>
          <w:sz w:val="21"/>
        </w:rPr>
        <w:t>22134</w:t>
      </w:r>
      <w:r>
        <w:rPr>
          <w:spacing w:val="-3"/>
          <w:sz w:val="21"/>
        </w:rPr>
        <w:t> 的有关规定。</w:t>
      </w:r>
      <w:r>
        <w:rPr>
          <w:sz w:val="21"/>
        </w:rPr>
        <w:t>  </w:t>
      </w:r>
    </w:p>
    <w:p>
      <w:pPr>
        <w:pStyle w:val="ListParagraph"/>
        <w:numPr>
          <w:ilvl w:val="2"/>
          <w:numId w:val="587"/>
        </w:numPr>
        <w:tabs>
          <w:tab w:pos="1370" w:val="left" w:leader="none"/>
        </w:tabs>
        <w:spacing w:line="446" w:lineRule="auto" w:before="0" w:after="0"/>
        <w:ind w:left="418" w:right="1431" w:firstLine="422"/>
        <w:jc w:val="both"/>
        <w:rPr>
          <w:sz w:val="21"/>
        </w:rPr>
      </w:pPr>
      <w:r>
        <w:rPr>
          <w:spacing w:val="-5"/>
          <w:sz w:val="21"/>
        </w:rPr>
        <w:t>任一台火灾报警控制器所连接的火灾探测器、手动火灾报警按钮和模块等设备总数和</w:t>
      </w:r>
      <w:r>
        <w:rPr>
          <w:spacing w:val="-2"/>
          <w:sz w:val="21"/>
        </w:rPr>
        <w:t>地址总数，均不应超过 </w:t>
      </w:r>
      <w:r>
        <w:rPr>
          <w:sz w:val="21"/>
        </w:rPr>
        <w:t>3200</w:t>
      </w:r>
      <w:r>
        <w:rPr>
          <w:spacing w:val="-2"/>
          <w:sz w:val="21"/>
        </w:rPr>
        <w:t> 点，其中每一总线回路连接设备的总数不宜超过 </w:t>
      </w:r>
      <w:r>
        <w:rPr>
          <w:sz w:val="21"/>
        </w:rPr>
        <w:t>200</w:t>
      </w:r>
      <w:r>
        <w:rPr>
          <w:spacing w:val="2"/>
          <w:sz w:val="21"/>
        </w:rPr>
        <w:t> 点，且应留</w:t>
      </w:r>
      <w:r>
        <w:rPr>
          <w:spacing w:val="-1"/>
          <w:sz w:val="21"/>
        </w:rPr>
        <w:t>有不少于额</w:t>
      </w:r>
      <w:r>
        <w:rPr>
          <w:sz w:val="21"/>
        </w:rPr>
        <w:t> </w:t>
      </w:r>
    </w:p>
    <w:p>
      <w:pPr>
        <w:pStyle w:val="BodyText"/>
        <w:spacing w:line="446" w:lineRule="auto"/>
        <w:ind w:left="418" w:right="1431" w:firstLine="419"/>
        <w:jc w:val="both"/>
      </w:pPr>
      <w:r>
        <w:rPr/>
        <w:t>定容量 10% 的余量；任一台消防联动控制器地址总数或火灾报警控制器（联动型）所控制的各类 </w:t>
      </w:r>
    </w:p>
    <w:p>
      <w:pPr>
        <w:pStyle w:val="BodyText"/>
        <w:spacing w:line="446" w:lineRule="auto"/>
        <w:ind w:left="418" w:right="1433" w:firstLine="419"/>
        <w:jc w:val="both"/>
      </w:pPr>
      <w:r>
        <w:rPr>
          <w:spacing w:val="-8"/>
        </w:rPr>
        <w:t>模块总数不应超过 </w:t>
      </w:r>
      <w:r>
        <w:rPr/>
        <w:t>1600</w:t>
      </w:r>
      <w:r>
        <w:rPr>
          <w:spacing w:val="-5"/>
        </w:rPr>
        <w:t> 点，每一联动总线回路连接设备的总数不宜超过 </w:t>
      </w:r>
      <w:r>
        <w:rPr/>
        <w:t>100</w:t>
      </w:r>
      <w:r>
        <w:rPr>
          <w:spacing w:val="-3"/>
        </w:rPr>
        <w:t> 点，且应留有</w:t>
      </w:r>
      <w:r>
        <w:rPr>
          <w:spacing w:val="-10"/>
        </w:rPr>
        <w:t>不少于额定容量 </w:t>
      </w:r>
      <w:r>
        <w:rPr/>
        <w:t>10</w:t>
      </w:r>
      <w:r>
        <w:rPr>
          <w:spacing w:val="-3"/>
        </w:rPr>
        <w:t>% 的余量。 </w:t>
      </w:r>
      <w:r>
        <w:rPr>
          <w:spacing w:val="-53"/>
        </w:rPr>
        <w:t> </w:t>
      </w:r>
      <w:r>
        <w:rPr>
          <w:w w:val="100"/>
        </w:rPr>
        <w:t> </w:t>
      </w:r>
    </w:p>
    <w:p>
      <w:pPr>
        <w:pStyle w:val="ListParagraph"/>
        <w:numPr>
          <w:ilvl w:val="2"/>
          <w:numId w:val="587"/>
        </w:numPr>
        <w:tabs>
          <w:tab w:pos="1370" w:val="left" w:leader="none"/>
        </w:tabs>
        <w:spacing w:line="446" w:lineRule="auto" w:before="0" w:after="0"/>
        <w:ind w:left="418" w:right="1431" w:firstLine="422"/>
        <w:jc w:val="left"/>
        <w:rPr>
          <w:sz w:val="21"/>
        </w:rPr>
      </w:pPr>
      <w:r>
        <w:rPr>
          <w:spacing w:val="-6"/>
          <w:sz w:val="21"/>
        </w:rPr>
        <w:t>系统总线上应设置总线短路隔离器，每只总线短路隔离器保护的火灾探测器、手动火</w:t>
      </w:r>
      <w:r>
        <w:rPr>
          <w:spacing w:val="-5"/>
          <w:sz w:val="21"/>
        </w:rPr>
        <w:t>灾报警</w:t>
      </w:r>
      <w:r>
        <w:rPr>
          <w:sz w:val="21"/>
        </w:rPr>
        <w:t> </w:t>
      </w:r>
    </w:p>
    <w:p>
      <w:pPr>
        <w:pStyle w:val="BodyText"/>
        <w:tabs>
          <w:tab w:pos="2097" w:val="left" w:leader="none"/>
        </w:tabs>
        <w:spacing w:line="446" w:lineRule="auto"/>
        <w:ind w:left="418" w:right="1431" w:firstLine="419"/>
      </w:pPr>
      <w:r>
        <w:rPr/>
        <w:t>按钮</w:t>
      </w:r>
      <w:r>
        <w:rPr>
          <w:spacing w:val="-3"/>
        </w:rPr>
        <w:t>和</w:t>
      </w:r>
      <w:r>
        <w:rPr/>
        <w:t>模</w:t>
      </w:r>
      <w:r>
        <w:rPr>
          <w:spacing w:val="-3"/>
        </w:rPr>
        <w:t>块</w:t>
      </w:r>
      <w:r>
        <w:rPr/>
        <w:t>等</w:t>
      </w:r>
      <w:r>
        <w:rPr>
          <w:spacing w:val="-3"/>
        </w:rPr>
        <w:t>消</w:t>
      </w:r>
      <w:r>
        <w:rPr/>
        <w:t>防</w:t>
      </w:r>
      <w:r>
        <w:rPr>
          <w:spacing w:val="-3"/>
        </w:rPr>
        <w:t>设</w:t>
      </w:r>
      <w:r>
        <w:rPr/>
        <w:t>备</w:t>
      </w:r>
      <w:r>
        <w:rPr>
          <w:spacing w:val="-3"/>
        </w:rPr>
        <w:t>的</w:t>
      </w:r>
      <w:r>
        <w:rPr/>
        <w:t>总数</w:t>
      </w:r>
      <w:r>
        <w:rPr>
          <w:spacing w:val="-3"/>
        </w:rPr>
        <w:t>不</w:t>
      </w:r>
      <w:r>
        <w:rPr/>
        <w:t>应</w:t>
      </w:r>
      <w:r>
        <w:rPr>
          <w:spacing w:val="-3"/>
        </w:rPr>
        <w:t>超</w:t>
      </w:r>
      <w:r>
        <w:rPr/>
        <w:t>过</w:t>
      </w:r>
      <w:r>
        <w:rPr>
          <w:spacing w:val="20"/>
        </w:rPr>
        <w:t> </w:t>
      </w:r>
      <w:r>
        <w:rPr/>
        <w:t>32</w:t>
      </w:r>
      <w:r>
        <w:rPr>
          <w:spacing w:val="19"/>
        </w:rPr>
        <w:t> </w:t>
      </w:r>
      <w:r>
        <w:rPr>
          <w:spacing w:val="-3"/>
        </w:rPr>
        <w:t>点</w:t>
      </w:r>
      <w:r>
        <w:rPr>
          <w:spacing w:val="-17"/>
        </w:rPr>
        <w:t>；</w:t>
      </w:r>
      <w:r>
        <w:rPr>
          <w:spacing w:val="-3"/>
        </w:rPr>
        <w:t>总</w:t>
      </w:r>
      <w:r>
        <w:rPr/>
        <w:t>线穿</w:t>
      </w:r>
      <w:r>
        <w:rPr>
          <w:spacing w:val="-3"/>
        </w:rPr>
        <w:t>越</w:t>
      </w:r>
      <w:r>
        <w:rPr/>
        <w:t>防</w:t>
      </w:r>
      <w:r>
        <w:rPr>
          <w:spacing w:val="-3"/>
        </w:rPr>
        <w:t>火</w:t>
      </w:r>
      <w:r>
        <w:rPr/>
        <w:t>分</w:t>
      </w:r>
      <w:r>
        <w:rPr>
          <w:spacing w:val="-3"/>
        </w:rPr>
        <w:t>区时</w:t>
      </w:r>
      <w:r>
        <w:rPr>
          <w:spacing w:val="-15"/>
        </w:rPr>
        <w:t>，</w:t>
      </w:r>
      <w:r>
        <w:rPr>
          <w:spacing w:val="-3"/>
        </w:rPr>
        <w:t>应在</w:t>
      </w:r>
      <w:r>
        <w:rPr/>
        <w:t>穿越</w:t>
      </w:r>
      <w:r>
        <w:rPr>
          <w:spacing w:val="-3"/>
        </w:rPr>
        <w:t>处</w:t>
      </w:r>
      <w:r>
        <w:rPr/>
        <w:t>设</w:t>
      </w:r>
      <w:r>
        <w:rPr>
          <w:spacing w:val="-3"/>
        </w:rPr>
        <w:t>置</w:t>
      </w:r>
      <w:r>
        <w:rPr/>
        <w:t>总线短路</w:t>
      </w:r>
      <w:r>
        <w:rPr>
          <w:spacing w:val="-3"/>
        </w:rPr>
        <w:t>隔</w:t>
      </w:r>
      <w:r>
        <w:rPr/>
        <w:t>离</w:t>
      </w:r>
      <w:r>
        <w:rPr>
          <w:spacing w:val="-3"/>
        </w:rPr>
        <w:t>器。</w:t>
      </w:r>
      <w:r>
        <w:rPr/>
        <w:t> </w:t>
        <w:tab/>
      </w:r>
      <w:r>
        <w:rPr>
          <w:w w:val="100"/>
        </w:rPr>
        <w:t> </w:t>
      </w:r>
    </w:p>
    <w:p>
      <w:pPr>
        <w:pStyle w:val="ListParagraph"/>
        <w:numPr>
          <w:ilvl w:val="2"/>
          <w:numId w:val="587"/>
        </w:numPr>
        <w:tabs>
          <w:tab w:pos="1424" w:val="left" w:leader="none"/>
        </w:tabs>
        <w:spacing w:line="446" w:lineRule="auto" w:before="0" w:after="0"/>
        <w:ind w:left="418" w:right="1431" w:firstLine="422"/>
        <w:jc w:val="left"/>
        <w:rPr>
          <w:sz w:val="21"/>
        </w:rPr>
      </w:pPr>
      <w:r>
        <w:rPr>
          <w:spacing w:val="2"/>
          <w:sz w:val="21"/>
        </w:rPr>
        <w:t>高度超过 </w:t>
      </w:r>
      <w:r>
        <w:rPr>
          <w:sz w:val="21"/>
        </w:rPr>
        <w:t>100m</w:t>
      </w:r>
      <w:r>
        <w:rPr>
          <w:spacing w:val="-3"/>
          <w:sz w:val="21"/>
        </w:rPr>
        <w:t> 的建筑中，除消防控制室内设置的控制器外，每台控制器直接控制的火灾探测器、手动报警按钮和模块等设备不应跨越避难层。</w:t>
      </w:r>
      <w:r>
        <w:rPr>
          <w:sz w:val="21"/>
        </w:rPr>
        <w:t> </w:t>
      </w:r>
    </w:p>
    <w:p>
      <w:pPr>
        <w:pStyle w:val="ListParagraph"/>
        <w:numPr>
          <w:ilvl w:val="2"/>
          <w:numId w:val="587"/>
        </w:numPr>
        <w:tabs>
          <w:tab w:pos="1370" w:val="left" w:leader="none"/>
          <w:tab w:pos="8399" w:val="left" w:leader="none"/>
        </w:tabs>
        <w:spacing w:line="240" w:lineRule="auto" w:before="0" w:after="0"/>
        <w:ind w:left="1369" w:right="0" w:hanging="530"/>
        <w:jc w:val="left"/>
        <w:rPr>
          <w:sz w:val="21"/>
        </w:rPr>
      </w:pPr>
      <w:r>
        <w:rPr>
          <w:spacing w:val="-3"/>
          <w:sz w:val="21"/>
        </w:rPr>
        <w:t>水</w:t>
      </w:r>
      <w:r>
        <w:rPr>
          <w:sz w:val="21"/>
        </w:rPr>
        <w:t>泵</w:t>
      </w:r>
      <w:r>
        <w:rPr>
          <w:spacing w:val="-3"/>
          <w:sz w:val="21"/>
        </w:rPr>
        <w:t>控</w:t>
      </w:r>
      <w:r>
        <w:rPr>
          <w:sz w:val="21"/>
        </w:rPr>
        <w:t>制</w:t>
      </w:r>
      <w:r>
        <w:rPr>
          <w:spacing w:val="-3"/>
          <w:sz w:val="21"/>
        </w:rPr>
        <w:t>柜</w:t>
      </w:r>
      <w:r>
        <w:rPr>
          <w:sz w:val="21"/>
        </w:rPr>
        <w:t>、</w:t>
      </w:r>
      <w:r>
        <w:rPr>
          <w:spacing w:val="-3"/>
          <w:sz w:val="21"/>
        </w:rPr>
        <w:t>风机</w:t>
      </w:r>
      <w:r>
        <w:rPr>
          <w:sz w:val="21"/>
        </w:rPr>
        <w:t>控制</w:t>
      </w:r>
      <w:r>
        <w:rPr>
          <w:spacing w:val="-3"/>
          <w:sz w:val="21"/>
        </w:rPr>
        <w:t>柜</w:t>
      </w:r>
      <w:r>
        <w:rPr>
          <w:sz w:val="21"/>
        </w:rPr>
        <w:t>等</w:t>
      </w:r>
      <w:r>
        <w:rPr>
          <w:spacing w:val="-3"/>
          <w:sz w:val="21"/>
        </w:rPr>
        <w:t>消</w:t>
      </w:r>
      <w:r>
        <w:rPr>
          <w:sz w:val="21"/>
        </w:rPr>
        <w:t>防</w:t>
      </w:r>
      <w:r>
        <w:rPr>
          <w:spacing w:val="-3"/>
          <w:sz w:val="21"/>
        </w:rPr>
        <w:t>电</w:t>
      </w:r>
      <w:r>
        <w:rPr>
          <w:sz w:val="21"/>
        </w:rPr>
        <w:t>气</w:t>
      </w:r>
      <w:r>
        <w:rPr>
          <w:spacing w:val="-3"/>
          <w:sz w:val="21"/>
        </w:rPr>
        <w:t>控</w:t>
      </w:r>
      <w:r>
        <w:rPr>
          <w:sz w:val="21"/>
        </w:rPr>
        <w:t>制</w:t>
      </w:r>
      <w:r>
        <w:rPr>
          <w:spacing w:val="-3"/>
          <w:sz w:val="21"/>
        </w:rPr>
        <w:t>装</w:t>
      </w:r>
      <w:r>
        <w:rPr>
          <w:sz w:val="21"/>
        </w:rPr>
        <w:t>置不</w:t>
      </w:r>
      <w:r>
        <w:rPr>
          <w:spacing w:val="-3"/>
          <w:sz w:val="21"/>
        </w:rPr>
        <w:t>应</w:t>
      </w:r>
      <w:r>
        <w:rPr>
          <w:sz w:val="21"/>
        </w:rPr>
        <w:t>采</w:t>
      </w:r>
      <w:r>
        <w:rPr>
          <w:spacing w:val="-3"/>
          <w:sz w:val="21"/>
        </w:rPr>
        <w:t>用</w:t>
      </w:r>
      <w:r>
        <w:rPr>
          <w:sz w:val="21"/>
        </w:rPr>
        <w:t>变</w:t>
      </w:r>
      <w:r>
        <w:rPr>
          <w:spacing w:val="-3"/>
          <w:sz w:val="21"/>
        </w:rPr>
        <w:t>频</w:t>
      </w:r>
      <w:r>
        <w:rPr>
          <w:sz w:val="21"/>
        </w:rPr>
        <w:t>启</w:t>
      </w:r>
      <w:r>
        <w:rPr>
          <w:spacing w:val="-3"/>
          <w:sz w:val="21"/>
        </w:rPr>
        <w:t>动</w:t>
      </w:r>
      <w:r>
        <w:rPr>
          <w:sz w:val="21"/>
        </w:rPr>
        <w:t>方</w:t>
      </w:r>
      <w:r>
        <w:rPr>
          <w:spacing w:val="-3"/>
          <w:sz w:val="21"/>
        </w:rPr>
        <w:t>式</w:t>
      </w:r>
      <w:r>
        <w:rPr>
          <w:sz w:val="21"/>
        </w:rPr>
        <w:t>。 </w:t>
        <w:tab/>
      </w:r>
      <w:r>
        <w:rPr>
          <w:w w:val="100"/>
          <w:sz w:val="21"/>
        </w:rPr>
        <w:t> </w:t>
      </w:r>
    </w:p>
    <w:p>
      <w:pPr>
        <w:pStyle w:val="BodyText"/>
        <w:spacing w:before="7"/>
        <w:rPr>
          <w:sz w:val="17"/>
        </w:rPr>
      </w:pPr>
    </w:p>
    <w:p>
      <w:pPr>
        <w:pStyle w:val="ListParagraph"/>
        <w:numPr>
          <w:ilvl w:val="2"/>
          <w:numId w:val="587"/>
        </w:numPr>
        <w:tabs>
          <w:tab w:pos="1370" w:val="left" w:leader="none"/>
        </w:tabs>
        <w:spacing w:line="446" w:lineRule="auto" w:before="0" w:after="0"/>
        <w:ind w:left="418" w:right="1431" w:firstLine="422"/>
        <w:jc w:val="left"/>
        <w:rPr>
          <w:sz w:val="21"/>
        </w:rPr>
      </w:pPr>
      <w:r>
        <w:rPr>
          <w:spacing w:val="-6"/>
          <w:sz w:val="21"/>
        </w:rPr>
        <w:t>地铁列车上设置的火灾自动报警系统，应能通过无线网络等方式将列车上发生火灾的</w:t>
      </w:r>
      <w:r>
        <w:rPr>
          <w:spacing w:val="-4"/>
          <w:sz w:val="21"/>
        </w:rPr>
        <w:t>部位信息 传输给消防控制室。</w:t>
      </w:r>
      <w:r>
        <w:rPr>
          <w:sz w:val="21"/>
        </w:rPr>
        <w:t> </w:t>
      </w:r>
    </w:p>
    <w:p>
      <w:pPr>
        <w:pStyle w:val="ListParagraph"/>
        <w:numPr>
          <w:ilvl w:val="1"/>
          <w:numId w:val="587"/>
        </w:numPr>
        <w:tabs>
          <w:tab w:pos="1159" w:val="left" w:leader="none"/>
        </w:tabs>
        <w:spacing w:line="240" w:lineRule="auto" w:before="0" w:after="0"/>
        <w:ind w:left="1158" w:right="0" w:hanging="319"/>
        <w:jc w:val="left"/>
        <w:rPr>
          <w:sz w:val="21"/>
        </w:rPr>
      </w:pPr>
      <w:r>
        <w:rPr>
          <w:spacing w:val="-3"/>
          <w:sz w:val="21"/>
        </w:rPr>
        <w:t>系统形式的选择和设计要求</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587"/>
        </w:numPr>
        <w:tabs>
          <w:tab w:pos="1370" w:val="left" w:leader="none"/>
        </w:tabs>
        <w:spacing w:line="240" w:lineRule="auto" w:before="47" w:after="0"/>
        <w:ind w:left="1369" w:right="0" w:hanging="530"/>
        <w:jc w:val="left"/>
        <w:rPr>
          <w:b/>
          <w:sz w:val="21"/>
        </w:rPr>
      </w:pPr>
      <w:r>
        <w:rPr>
          <w:spacing w:val="-3"/>
          <w:sz w:val="21"/>
        </w:rPr>
        <w:t>火灾自动报警系统形式的选择，应符合下列规定：</w:t>
      </w:r>
      <w:r>
        <w:rPr>
          <w:b/>
          <w:w w:val="99"/>
          <w:sz w:val="21"/>
        </w:rPr>
        <w:t> </w:t>
      </w:r>
    </w:p>
    <w:p>
      <w:pPr>
        <w:pStyle w:val="BodyText"/>
        <w:rPr>
          <w:b/>
          <w:sz w:val="18"/>
        </w:rPr>
      </w:pPr>
    </w:p>
    <w:p>
      <w:pPr>
        <w:pStyle w:val="ListParagraph"/>
        <w:numPr>
          <w:ilvl w:val="0"/>
          <w:numId w:val="588"/>
        </w:numPr>
        <w:tabs>
          <w:tab w:pos="1367" w:val="left" w:leader="none"/>
        </w:tabs>
        <w:spacing w:line="240" w:lineRule="auto" w:before="0" w:after="0"/>
        <w:ind w:left="1367" w:right="0" w:hanging="529"/>
        <w:jc w:val="left"/>
        <w:rPr>
          <w:sz w:val="21"/>
        </w:rPr>
      </w:pPr>
      <w:r>
        <w:rPr>
          <w:spacing w:val="-3"/>
          <w:sz w:val="21"/>
        </w:rPr>
        <w:t>仅需要报警，不需要联动自动消防设备的保护对象宜采用区域报警系统。 </w:t>
      </w:r>
    </w:p>
    <w:p>
      <w:pPr>
        <w:pStyle w:val="BodyText"/>
        <w:rPr>
          <w:sz w:val="18"/>
        </w:rPr>
      </w:pPr>
    </w:p>
    <w:p>
      <w:pPr>
        <w:pStyle w:val="ListParagraph"/>
        <w:numPr>
          <w:ilvl w:val="0"/>
          <w:numId w:val="588"/>
        </w:numPr>
        <w:tabs>
          <w:tab w:pos="1367" w:val="left" w:leader="none"/>
        </w:tabs>
        <w:spacing w:line="446" w:lineRule="auto" w:before="0" w:after="0"/>
        <w:ind w:left="418" w:right="1431" w:firstLine="419"/>
        <w:jc w:val="left"/>
        <w:rPr>
          <w:sz w:val="21"/>
        </w:rPr>
      </w:pPr>
      <w:r>
        <w:rPr>
          <w:spacing w:val="-11"/>
          <w:sz w:val="21"/>
        </w:rPr>
        <w:t>不仅需要报警，同时需要联动自动消防设备，且只设置一台具有集中控制功能的火灾 </w:t>
      </w:r>
      <w:r>
        <w:rPr>
          <w:spacing w:val="-3"/>
          <w:sz w:val="21"/>
        </w:rPr>
        <w:t>报警控制器和消防联动控制器的保护对象，应采用集中报警系统， 并应设置一个消防控制室。</w:t>
      </w:r>
      <w:r>
        <w:rPr>
          <w:sz w:val="21"/>
        </w:rPr>
        <w:t> </w:t>
      </w:r>
    </w:p>
    <w:p>
      <w:pPr>
        <w:pStyle w:val="ListParagraph"/>
        <w:numPr>
          <w:ilvl w:val="0"/>
          <w:numId w:val="588"/>
        </w:numPr>
        <w:tabs>
          <w:tab w:pos="1370" w:val="left" w:leader="none"/>
          <w:tab w:pos="3778" w:val="left" w:leader="none"/>
        </w:tabs>
        <w:spacing w:line="446" w:lineRule="auto" w:before="0" w:after="0"/>
        <w:ind w:left="418" w:right="1438" w:firstLine="419"/>
        <w:jc w:val="left"/>
        <w:rPr>
          <w:sz w:val="21"/>
        </w:rPr>
      </w:pPr>
      <w:r>
        <w:rPr>
          <w:sz w:val="21"/>
        </w:rPr>
        <w:t>设置两个及以上消防控制室的保护对象，或已设置两个及以上集中报警系统的保护</w:t>
      </w:r>
      <w:r>
        <w:rPr>
          <w:spacing w:val="-15"/>
          <w:sz w:val="21"/>
        </w:rPr>
        <w:t>对</w:t>
      </w:r>
      <w:r>
        <w:rPr>
          <w:sz w:val="21"/>
        </w:rPr>
        <w:t>象，</w:t>
      </w:r>
      <w:r>
        <w:rPr>
          <w:spacing w:val="-3"/>
          <w:sz w:val="21"/>
        </w:rPr>
        <w:t>应</w:t>
      </w:r>
      <w:r>
        <w:rPr>
          <w:spacing w:val="17"/>
          <w:sz w:val="21"/>
        </w:rPr>
        <w:t> </w:t>
      </w:r>
      <w:r>
        <w:rPr>
          <w:spacing w:val="-3"/>
          <w:sz w:val="21"/>
        </w:rPr>
        <w:t>采</w:t>
      </w:r>
      <w:r>
        <w:rPr>
          <w:sz w:val="21"/>
        </w:rPr>
        <w:t>用</w:t>
      </w:r>
      <w:r>
        <w:rPr>
          <w:spacing w:val="-3"/>
          <w:sz w:val="21"/>
        </w:rPr>
        <w:t>控</w:t>
      </w:r>
      <w:r>
        <w:rPr>
          <w:sz w:val="21"/>
        </w:rPr>
        <w:t>制</w:t>
      </w:r>
      <w:r>
        <w:rPr>
          <w:spacing w:val="-3"/>
          <w:sz w:val="21"/>
        </w:rPr>
        <w:t>中</w:t>
      </w:r>
      <w:r>
        <w:rPr>
          <w:sz w:val="21"/>
        </w:rPr>
        <w:t>心</w:t>
      </w:r>
      <w:r>
        <w:rPr>
          <w:spacing w:val="-3"/>
          <w:sz w:val="21"/>
        </w:rPr>
        <w:t>报警</w:t>
      </w:r>
      <w:r>
        <w:rPr>
          <w:sz w:val="21"/>
        </w:rPr>
        <w:t>系统</w:t>
      </w:r>
      <w:r>
        <w:rPr>
          <w:spacing w:val="-3"/>
          <w:sz w:val="21"/>
        </w:rPr>
        <w:t>。</w:t>
      </w:r>
      <w:r>
        <w:rPr>
          <w:sz w:val="21"/>
        </w:rPr>
        <w:t> </w:t>
        <w:tab/>
      </w:r>
      <w:r>
        <w:rPr>
          <w:w w:val="100"/>
          <w:sz w:val="21"/>
        </w:rPr>
        <w:t> </w:t>
      </w:r>
    </w:p>
    <w:p>
      <w:pPr>
        <w:pStyle w:val="ListParagraph"/>
        <w:numPr>
          <w:ilvl w:val="2"/>
          <w:numId w:val="587"/>
        </w:numPr>
        <w:tabs>
          <w:tab w:pos="1424" w:val="left" w:leader="none"/>
        </w:tabs>
        <w:spacing w:line="240" w:lineRule="auto" w:before="0" w:after="0"/>
        <w:ind w:left="1423" w:right="0" w:hanging="584"/>
        <w:jc w:val="left"/>
        <w:rPr>
          <w:b/>
          <w:sz w:val="21"/>
        </w:rPr>
      </w:pPr>
      <w:r>
        <w:rPr>
          <w:spacing w:val="-3"/>
          <w:sz w:val="21"/>
        </w:rPr>
        <w:t>区域报警系统的设计，应符合下列规定：</w:t>
      </w:r>
      <w:r>
        <w:rPr>
          <w:b/>
          <w:w w:val="99"/>
          <w:sz w:val="21"/>
        </w:rPr>
        <w:t> </w:t>
      </w:r>
    </w:p>
    <w:p>
      <w:pPr>
        <w:pStyle w:val="BodyText"/>
        <w:spacing w:before="12"/>
        <w:rPr>
          <w:b/>
          <w:sz w:val="17"/>
        </w:rPr>
      </w:pPr>
    </w:p>
    <w:p>
      <w:pPr>
        <w:pStyle w:val="ListParagraph"/>
        <w:numPr>
          <w:ilvl w:val="0"/>
          <w:numId w:val="589"/>
        </w:numPr>
        <w:tabs>
          <w:tab w:pos="1367" w:val="left" w:leader="none"/>
        </w:tabs>
        <w:spacing w:line="446" w:lineRule="auto" w:before="0" w:after="0"/>
        <w:ind w:left="418" w:right="1433" w:firstLine="419"/>
        <w:jc w:val="left"/>
        <w:rPr>
          <w:sz w:val="21"/>
        </w:rPr>
      </w:pPr>
      <w:r>
        <w:rPr>
          <w:spacing w:val="-10"/>
          <w:sz w:val="21"/>
        </w:rPr>
        <w:t>系统应由火灾探测器、手动火灾报警按钮、火灾声光警报器及火灾报警控制器等组成 </w:t>
      </w:r>
      <w:r>
        <w:rPr>
          <w:spacing w:val="-3"/>
          <w:sz w:val="21"/>
        </w:rPr>
        <w:t>，系统 中可包括消防控制室图形显示装置和指示楼层的区域显示器。</w:t>
      </w:r>
      <w:r>
        <w:rPr>
          <w:sz w:val="21"/>
        </w:rPr>
        <w:t> </w:t>
      </w:r>
    </w:p>
    <w:p>
      <w:pPr>
        <w:pStyle w:val="ListParagraph"/>
        <w:numPr>
          <w:ilvl w:val="0"/>
          <w:numId w:val="589"/>
        </w:numPr>
        <w:tabs>
          <w:tab w:pos="1367" w:val="left" w:leader="none"/>
        </w:tabs>
        <w:spacing w:line="240" w:lineRule="auto" w:before="0" w:after="0"/>
        <w:ind w:left="1367" w:right="0" w:hanging="529"/>
        <w:jc w:val="left"/>
        <w:rPr>
          <w:sz w:val="21"/>
        </w:rPr>
      </w:pPr>
      <w:r>
        <w:rPr>
          <w:spacing w:val="-3"/>
          <w:sz w:val="21"/>
        </w:rPr>
        <w:t>火灾报警控制器应设置在有人值班的场所。</w:t>
      </w:r>
      <w:r>
        <w:rPr>
          <w:sz w:val="21"/>
        </w:rPr>
        <w:t> </w:t>
      </w:r>
    </w:p>
    <w:p>
      <w:pPr>
        <w:pStyle w:val="BodyText"/>
        <w:rPr>
          <w:sz w:val="18"/>
        </w:rPr>
      </w:pPr>
    </w:p>
    <w:p>
      <w:pPr>
        <w:pStyle w:val="ListParagraph"/>
        <w:numPr>
          <w:ilvl w:val="0"/>
          <w:numId w:val="589"/>
        </w:numPr>
        <w:tabs>
          <w:tab w:pos="1367" w:val="left" w:leader="none"/>
        </w:tabs>
        <w:spacing w:line="446" w:lineRule="auto" w:before="0" w:after="0"/>
        <w:ind w:left="418" w:right="1431" w:firstLine="419"/>
        <w:jc w:val="left"/>
        <w:rPr>
          <w:sz w:val="21"/>
        </w:rPr>
      </w:pPr>
      <w:r>
        <w:rPr>
          <w:spacing w:val="-3"/>
          <w:sz w:val="21"/>
        </w:rPr>
        <w:t>系统设置消防控制室图形显示装置时，该装置应具有传输本规范附录 </w:t>
      </w:r>
      <w:r>
        <w:rPr>
          <w:sz w:val="21"/>
        </w:rPr>
        <w:t>A</w:t>
      </w:r>
      <w:r>
        <w:rPr>
          <w:spacing w:val="10"/>
          <w:sz w:val="21"/>
        </w:rPr>
        <w:t> 和附录 </w:t>
      </w:r>
      <w:r>
        <w:rPr>
          <w:spacing w:val="-3"/>
          <w:sz w:val="21"/>
        </w:rPr>
        <w:t>B</w:t>
      </w:r>
      <w:r>
        <w:rPr>
          <w:spacing w:val="15"/>
          <w:sz w:val="21"/>
        </w:rPr>
        <w:t> 规定的有 关信息的功能；系统未设置消防控制室图形显示装置时，应设置火警传输设备。</w:t>
      </w:r>
    </w:p>
    <w:p>
      <w:pPr>
        <w:tabs>
          <w:tab w:pos="837" w:val="left" w:leader="none"/>
        </w:tabs>
        <w:spacing w:before="0"/>
        <w:ind w:left="418" w:right="0" w:firstLine="0"/>
        <w:jc w:val="left"/>
        <w:rPr>
          <w:sz w:val="21"/>
        </w:rPr>
      </w:pPr>
      <w:r>
        <w:rPr>
          <w:b/>
          <w:w w:val="99"/>
          <w:sz w:val="21"/>
        </w:rPr>
        <w:t> </w:t>
      </w:r>
      <w:r>
        <w:rPr>
          <w:b/>
          <w:sz w:val="21"/>
        </w:rPr>
        <w:tab/>
        <w:t>3.2.3</w:t>
      </w:r>
      <w:r>
        <w:rPr>
          <w:b/>
          <w:spacing w:val="2"/>
          <w:sz w:val="21"/>
        </w:rPr>
        <w:t> </w:t>
      </w:r>
      <w:r>
        <w:rPr>
          <w:spacing w:val="-3"/>
          <w:sz w:val="21"/>
        </w:rPr>
        <w:t>集中报警系统的设计，应符合下列规定：</w:t>
      </w:r>
      <w:r>
        <w:rPr>
          <w:sz w:val="21"/>
        </w:rPr>
        <w:t> </w:t>
      </w:r>
    </w:p>
    <w:p>
      <w:pPr>
        <w:pStyle w:val="BodyText"/>
        <w:spacing w:before="12"/>
        <w:rPr>
          <w:sz w:val="17"/>
        </w:rPr>
      </w:pPr>
    </w:p>
    <w:p>
      <w:pPr>
        <w:pStyle w:val="ListParagraph"/>
        <w:numPr>
          <w:ilvl w:val="0"/>
          <w:numId w:val="590"/>
        </w:numPr>
        <w:tabs>
          <w:tab w:pos="1365" w:val="left" w:leader="none"/>
        </w:tabs>
        <w:spacing w:line="446" w:lineRule="auto" w:before="0" w:after="0"/>
        <w:ind w:left="418" w:right="1433" w:firstLine="419"/>
        <w:jc w:val="left"/>
        <w:rPr>
          <w:sz w:val="21"/>
        </w:rPr>
      </w:pPr>
      <w:r>
        <w:rPr>
          <w:spacing w:val="-10"/>
          <w:sz w:val="21"/>
        </w:rPr>
        <w:t>系统应由火灾探测器、手动火灾报警按钮、火灾声光警报器、消防应急广播、消防专 </w:t>
      </w:r>
      <w:r>
        <w:rPr>
          <w:spacing w:val="-3"/>
          <w:sz w:val="21"/>
        </w:rPr>
        <w:t>用电话、 消防控制室图形显示装置、火灾报警控制器、消防联动控制器等组成。 </w:t>
      </w:r>
    </w:p>
    <w:p>
      <w:pPr>
        <w:pStyle w:val="ListParagraph"/>
        <w:numPr>
          <w:ilvl w:val="0"/>
          <w:numId w:val="590"/>
        </w:numPr>
        <w:tabs>
          <w:tab w:pos="1367" w:val="left" w:leader="none"/>
        </w:tabs>
        <w:spacing w:line="446" w:lineRule="auto" w:before="0" w:after="0"/>
        <w:ind w:left="418" w:right="1431" w:firstLine="419"/>
        <w:jc w:val="left"/>
        <w:rPr>
          <w:sz w:val="21"/>
        </w:rPr>
      </w:pPr>
      <w:r>
        <w:rPr>
          <w:spacing w:val="-9"/>
          <w:sz w:val="21"/>
        </w:rPr>
        <w:t>系统中的火灾报警控制器、消防联动控制器和消防控制室图形显示装置、消防应急广 </w:t>
      </w:r>
      <w:r>
        <w:rPr>
          <w:spacing w:val="-4"/>
          <w:sz w:val="21"/>
        </w:rPr>
        <w:t>播的控 制装置、消防专用电话总机等起集中控制作用的消防设备，应设置在消防控制室内。</w:t>
      </w:r>
      <w:r>
        <w:rPr>
          <w:sz w:val="21"/>
        </w:rPr>
        <w:t> </w:t>
      </w:r>
    </w:p>
    <w:p>
      <w:pPr>
        <w:pStyle w:val="ListParagraph"/>
        <w:numPr>
          <w:ilvl w:val="0"/>
          <w:numId w:val="590"/>
        </w:numPr>
        <w:tabs>
          <w:tab w:pos="1367" w:val="left" w:leader="none"/>
        </w:tabs>
        <w:spacing w:line="446" w:lineRule="auto" w:before="0" w:after="0"/>
        <w:ind w:left="418" w:right="1433" w:firstLine="419"/>
        <w:jc w:val="left"/>
        <w:rPr>
          <w:sz w:val="21"/>
        </w:rPr>
      </w:pPr>
      <w:r>
        <w:rPr>
          <w:spacing w:val="-4"/>
          <w:sz w:val="21"/>
        </w:rPr>
        <w:t>系统设置的消防控制室图形显示装置应具有传输本规范附录 </w:t>
      </w:r>
      <w:r>
        <w:rPr>
          <w:sz w:val="21"/>
        </w:rPr>
        <w:t>A</w:t>
      </w:r>
      <w:r>
        <w:rPr>
          <w:spacing w:val="-12"/>
          <w:sz w:val="21"/>
        </w:rPr>
        <w:t> 和附录 </w:t>
      </w:r>
      <w:r>
        <w:rPr>
          <w:sz w:val="21"/>
        </w:rPr>
        <w:t>B</w:t>
      </w:r>
      <w:r>
        <w:rPr>
          <w:spacing w:val="-6"/>
          <w:sz w:val="21"/>
        </w:rPr>
        <w:t> 规定的有关信</w:t>
      </w:r>
      <w:r>
        <w:rPr>
          <w:spacing w:val="-4"/>
          <w:sz w:val="21"/>
        </w:rPr>
        <w:t>息的功能。</w:t>
      </w:r>
      <w:r>
        <w:rPr>
          <w:sz w:val="21"/>
        </w:rPr>
        <w:t> </w:t>
      </w:r>
      <w:r>
        <w:rPr>
          <w:spacing w:val="-2"/>
          <w:sz w:val="21"/>
        </w:rPr>
        <w:t> </w:t>
      </w:r>
      <w:r>
        <w:rPr>
          <w:w w:val="100"/>
          <w:sz w:val="21"/>
        </w:rPr>
        <w:t> </w:t>
      </w:r>
    </w:p>
    <w:p>
      <w:pPr>
        <w:spacing w:before="0"/>
        <w:ind w:left="840" w:right="0" w:firstLine="0"/>
        <w:jc w:val="left"/>
        <w:rPr>
          <w:sz w:val="21"/>
        </w:rPr>
      </w:pPr>
      <w:r>
        <w:rPr>
          <w:b/>
          <w:sz w:val="21"/>
        </w:rPr>
        <w:t>3.2.4 </w:t>
      </w:r>
      <w:r>
        <w:rPr>
          <w:sz w:val="21"/>
        </w:rPr>
        <w:t>控制中心报警系统的设计，应符合下列规定： </w:t>
      </w:r>
    </w:p>
    <w:p>
      <w:pPr>
        <w:pStyle w:val="BodyText"/>
        <w:spacing w:before="10"/>
        <w:rPr>
          <w:sz w:val="17"/>
        </w:rPr>
      </w:pPr>
    </w:p>
    <w:p>
      <w:pPr>
        <w:pStyle w:val="ListParagraph"/>
        <w:numPr>
          <w:ilvl w:val="0"/>
          <w:numId w:val="591"/>
        </w:numPr>
        <w:tabs>
          <w:tab w:pos="1367" w:val="left" w:leader="none"/>
        </w:tabs>
        <w:spacing w:line="240" w:lineRule="auto" w:before="1" w:after="0"/>
        <w:ind w:left="1367" w:right="0" w:hanging="529"/>
        <w:jc w:val="left"/>
        <w:rPr>
          <w:sz w:val="21"/>
        </w:rPr>
      </w:pPr>
      <w:r>
        <w:rPr>
          <w:spacing w:val="-3"/>
          <w:sz w:val="21"/>
        </w:rPr>
        <w:t>有两个及以上消防控制室时，应确定一个主消防控制室。</w:t>
      </w:r>
      <w:r>
        <w:rPr>
          <w:sz w:val="21"/>
        </w:rPr>
        <w:t> </w:t>
      </w:r>
    </w:p>
    <w:p>
      <w:pPr>
        <w:pStyle w:val="BodyText"/>
        <w:spacing w:before="1"/>
        <w:rPr>
          <w:sz w:val="18"/>
        </w:rPr>
      </w:pPr>
    </w:p>
    <w:p>
      <w:pPr>
        <w:pStyle w:val="ListParagraph"/>
        <w:numPr>
          <w:ilvl w:val="0"/>
          <w:numId w:val="591"/>
        </w:numPr>
        <w:tabs>
          <w:tab w:pos="1370" w:val="left" w:leader="none"/>
        </w:tabs>
        <w:spacing w:line="446" w:lineRule="auto" w:before="1" w:after="0"/>
        <w:ind w:left="418" w:right="1438" w:firstLine="419"/>
        <w:jc w:val="left"/>
        <w:rPr>
          <w:sz w:val="21"/>
        </w:rPr>
      </w:pPr>
      <w:r>
        <w:rPr>
          <w:spacing w:val="-1"/>
          <w:sz w:val="21"/>
        </w:rPr>
        <w:t>主消防控制室应能显示所有火灾报警信号和联动控制状态信号，并应能控制重要的消</w:t>
      </w:r>
      <w:r>
        <w:rPr>
          <w:spacing w:val="-3"/>
          <w:sz w:val="21"/>
        </w:rPr>
        <w:t>防设备；各分消防控制室内消防设备之间可互相传输、显示状态信息，但不应互相控制。</w:t>
      </w:r>
      <w:r>
        <w:rPr>
          <w:sz w:val="21"/>
        </w:rPr>
        <w:t> </w:t>
      </w:r>
    </w:p>
    <w:p>
      <w:pPr>
        <w:pStyle w:val="ListParagraph"/>
        <w:numPr>
          <w:ilvl w:val="0"/>
          <w:numId w:val="591"/>
        </w:numPr>
        <w:tabs>
          <w:tab w:pos="1367" w:val="left" w:leader="none"/>
        </w:tabs>
        <w:spacing w:line="446" w:lineRule="auto" w:before="0" w:after="0"/>
        <w:ind w:left="418" w:right="1433" w:firstLine="419"/>
        <w:jc w:val="left"/>
        <w:rPr>
          <w:sz w:val="21"/>
        </w:rPr>
      </w:pPr>
      <w:r>
        <w:rPr>
          <w:spacing w:val="-3"/>
          <w:sz w:val="21"/>
        </w:rPr>
        <w:t>系统设置的消防控制室图形显示装置应具有传输本规范附录 A</w:t>
      </w:r>
      <w:r>
        <w:rPr>
          <w:sz w:val="21"/>
        </w:rPr>
        <w:t> 和附录 </w:t>
      </w:r>
      <w:r>
        <w:rPr>
          <w:spacing w:val="-3"/>
          <w:sz w:val="21"/>
        </w:rPr>
        <w:t>B</w:t>
      </w:r>
      <w:r>
        <w:rPr>
          <w:sz w:val="21"/>
        </w:rPr>
        <w:t>  规定的有</w:t>
      </w:r>
      <w:r>
        <w:rPr>
          <w:spacing w:val="-3"/>
          <w:sz w:val="21"/>
        </w:rPr>
        <w:t>关信息的功能。</w:t>
      </w:r>
      <w:r>
        <w:rPr>
          <w:sz w:val="21"/>
        </w:rPr>
        <w:t> </w:t>
      </w:r>
    </w:p>
    <w:p>
      <w:pPr>
        <w:pStyle w:val="ListParagraph"/>
        <w:numPr>
          <w:ilvl w:val="0"/>
          <w:numId w:val="591"/>
        </w:numPr>
        <w:tabs>
          <w:tab w:pos="1367" w:val="left" w:leader="none"/>
          <w:tab w:pos="5878" w:val="left" w:leader="none"/>
        </w:tabs>
        <w:spacing w:line="446" w:lineRule="auto" w:before="0" w:after="0"/>
        <w:ind w:left="840" w:right="4659" w:hanging="3"/>
        <w:jc w:val="left"/>
        <w:rPr>
          <w:sz w:val="21"/>
        </w:rPr>
      </w:pPr>
      <w:r>
        <w:rPr>
          <w:sz w:val="21"/>
        </w:rPr>
        <w:t>其</w:t>
      </w:r>
      <w:r>
        <w:rPr>
          <w:spacing w:val="-3"/>
          <w:sz w:val="21"/>
        </w:rPr>
        <w:t>他</w:t>
      </w:r>
      <w:r>
        <w:rPr>
          <w:sz w:val="21"/>
        </w:rPr>
        <w:t>设</w:t>
      </w:r>
      <w:r>
        <w:rPr>
          <w:spacing w:val="-3"/>
          <w:sz w:val="21"/>
        </w:rPr>
        <w:t>计</w:t>
      </w:r>
      <w:r>
        <w:rPr>
          <w:sz w:val="21"/>
        </w:rPr>
        <w:t>应</w:t>
      </w:r>
      <w:r>
        <w:rPr>
          <w:spacing w:val="-3"/>
          <w:sz w:val="21"/>
        </w:rPr>
        <w:t>符</w:t>
      </w:r>
      <w:r>
        <w:rPr>
          <w:sz w:val="21"/>
        </w:rPr>
        <w:t>合</w:t>
      </w:r>
      <w:r>
        <w:rPr>
          <w:spacing w:val="-3"/>
          <w:sz w:val="21"/>
        </w:rPr>
        <w:t>本规</w:t>
      </w:r>
      <w:r>
        <w:rPr>
          <w:sz w:val="21"/>
        </w:rPr>
        <w:t>范第</w:t>
      </w:r>
      <w:r>
        <w:rPr>
          <w:spacing w:val="6"/>
          <w:sz w:val="21"/>
        </w:rPr>
        <w:t> </w:t>
      </w:r>
      <w:r>
        <w:rPr>
          <w:sz w:val="21"/>
        </w:rPr>
        <w:t>3.2.3 </w:t>
      </w:r>
      <w:r>
        <w:rPr>
          <w:spacing w:val="10"/>
          <w:sz w:val="21"/>
        </w:rPr>
        <w:t> </w:t>
      </w:r>
      <w:r>
        <w:rPr>
          <w:spacing w:val="-3"/>
          <w:sz w:val="21"/>
        </w:rPr>
        <w:t>条</w:t>
      </w:r>
      <w:r>
        <w:rPr>
          <w:sz w:val="21"/>
        </w:rPr>
        <w:t>的</w:t>
      </w:r>
      <w:r>
        <w:rPr>
          <w:spacing w:val="-3"/>
          <w:sz w:val="21"/>
        </w:rPr>
        <w:t>规</w:t>
      </w:r>
      <w:r>
        <w:rPr>
          <w:sz w:val="21"/>
        </w:rPr>
        <w:t>定</w:t>
      </w:r>
      <w:r>
        <w:rPr>
          <w:spacing w:val="-3"/>
          <w:sz w:val="21"/>
        </w:rPr>
        <w:t>。</w:t>
      </w:r>
      <w:r>
        <w:rPr>
          <w:w w:val="100"/>
          <w:sz w:val="21"/>
        </w:rPr>
        <w:t> </w:t>
      </w:r>
      <w:r>
        <w:rPr>
          <w:sz w:val="21"/>
        </w:rPr>
        <w:tab/>
      </w:r>
      <w:r>
        <w:rPr>
          <w:w w:val="100"/>
          <w:sz w:val="21"/>
        </w:rPr>
        <w:t> </w:t>
      </w:r>
      <w:r>
        <w:rPr>
          <w:b/>
          <w:sz w:val="21"/>
        </w:rPr>
        <w:t>3.3</w:t>
      </w:r>
      <w:r>
        <w:rPr>
          <w:b/>
          <w:spacing w:val="2"/>
          <w:sz w:val="21"/>
        </w:rPr>
        <w:t> </w:t>
      </w:r>
      <w:r>
        <w:rPr>
          <w:spacing w:val="-3"/>
          <w:sz w:val="21"/>
        </w:rPr>
        <w:t>报</w:t>
      </w:r>
      <w:r>
        <w:rPr>
          <w:sz w:val="21"/>
        </w:rPr>
        <w:t>警</w:t>
      </w:r>
      <w:r>
        <w:rPr>
          <w:spacing w:val="-3"/>
          <w:sz w:val="21"/>
        </w:rPr>
        <w:t>区</w:t>
      </w:r>
      <w:r>
        <w:rPr>
          <w:sz w:val="21"/>
        </w:rPr>
        <w:t>域</w:t>
      </w:r>
      <w:r>
        <w:rPr>
          <w:spacing w:val="-3"/>
          <w:sz w:val="21"/>
        </w:rPr>
        <w:t>和</w:t>
      </w:r>
      <w:r>
        <w:rPr>
          <w:sz w:val="21"/>
        </w:rPr>
        <w:t>探</w:t>
      </w:r>
      <w:r>
        <w:rPr>
          <w:spacing w:val="-3"/>
          <w:sz w:val="21"/>
        </w:rPr>
        <w:t>测</w:t>
      </w:r>
      <w:r>
        <w:rPr>
          <w:sz w:val="21"/>
        </w:rPr>
        <w:t>区</w:t>
      </w:r>
      <w:r>
        <w:rPr>
          <w:spacing w:val="-3"/>
          <w:sz w:val="21"/>
        </w:rPr>
        <w:t>域</w:t>
      </w:r>
      <w:r>
        <w:rPr>
          <w:sz w:val="21"/>
        </w:rPr>
        <w:t>的划</w:t>
      </w:r>
      <w:r>
        <w:rPr>
          <w:spacing w:val="-3"/>
          <w:sz w:val="21"/>
        </w:rPr>
        <w:t>分</w:t>
      </w:r>
      <w:r>
        <w:rPr>
          <w:sz w:val="21"/>
        </w:rPr>
        <w:t> </w:t>
      </w:r>
    </w:p>
    <w:p>
      <w:pPr>
        <w:spacing w:before="0"/>
        <w:ind w:left="840" w:right="0" w:firstLine="0"/>
        <w:jc w:val="left"/>
        <w:rPr>
          <w:b/>
          <w:sz w:val="21"/>
        </w:rPr>
      </w:pPr>
      <w:r>
        <w:rPr>
          <w:b/>
          <w:sz w:val="21"/>
        </w:rPr>
        <w:t>3.3.1 </w:t>
      </w:r>
      <w:r>
        <w:rPr>
          <w:sz w:val="21"/>
        </w:rPr>
        <w:t>报警区域的划分应符合下列规定：</w:t>
      </w:r>
      <w:r>
        <w:rPr>
          <w:b/>
          <w:w w:val="99"/>
          <w:sz w:val="21"/>
        </w:rPr>
        <w:t> </w:t>
      </w:r>
    </w:p>
    <w:p>
      <w:pPr>
        <w:spacing w:after="0"/>
        <w:jc w:val="left"/>
        <w:rPr>
          <w:sz w:val="21"/>
        </w:rPr>
        <w:sectPr>
          <w:pgSz w:w="11910" w:h="16850"/>
          <w:pgMar w:header="0" w:footer="1239" w:top="1220" w:bottom="1420" w:left="1260" w:right="0"/>
        </w:sectPr>
      </w:pPr>
    </w:p>
    <w:p>
      <w:pPr>
        <w:pStyle w:val="ListParagraph"/>
        <w:numPr>
          <w:ilvl w:val="0"/>
          <w:numId w:val="592"/>
        </w:numPr>
        <w:tabs>
          <w:tab w:pos="1370" w:val="left" w:leader="none"/>
        </w:tabs>
        <w:spacing w:line="446" w:lineRule="auto" w:before="47" w:after="0"/>
        <w:ind w:left="418" w:right="1437" w:firstLine="419"/>
        <w:jc w:val="both"/>
        <w:rPr>
          <w:sz w:val="21"/>
        </w:rPr>
      </w:pPr>
      <w:r>
        <w:rPr>
          <w:spacing w:val="-1"/>
          <w:sz w:val="21"/>
        </w:rPr>
        <w:t>报警区域应根据防火分区或楼层划分；可将一个防火分区或一个楼层划分为一个报警区域， 也可将发生火灾时需要同时联动消防设备的相邻几个防火分区或楼层划分为一个报警区</w:t>
      </w:r>
      <w:r>
        <w:rPr>
          <w:spacing w:val="-2"/>
          <w:sz w:val="21"/>
        </w:rPr>
        <w:t>域。</w:t>
      </w:r>
      <w:r>
        <w:rPr>
          <w:sz w:val="21"/>
        </w:rPr>
        <w:t> </w:t>
      </w:r>
    </w:p>
    <w:p>
      <w:pPr>
        <w:pStyle w:val="ListParagraph"/>
        <w:numPr>
          <w:ilvl w:val="0"/>
          <w:numId w:val="592"/>
        </w:numPr>
        <w:tabs>
          <w:tab w:pos="1370" w:val="left" w:leader="none"/>
        </w:tabs>
        <w:spacing w:line="446" w:lineRule="auto" w:before="0" w:after="0"/>
        <w:ind w:left="418" w:right="1330" w:firstLine="419"/>
        <w:jc w:val="left"/>
        <w:rPr>
          <w:sz w:val="21"/>
        </w:rPr>
      </w:pPr>
      <w:r>
        <w:rPr>
          <w:sz w:val="21"/>
        </w:rPr>
        <w:t>电缆隧道的一个报警区域宜由一个封闭长度区间组成，一个报警区域不应超过相连的 3</w:t>
      </w:r>
      <w:r>
        <w:rPr>
          <w:spacing w:val="-4"/>
          <w:sz w:val="21"/>
        </w:rPr>
        <w:t> 个封闭长度区间；道路隧道的报警区域应根据排烟系统或灭火系统的联动需要确定，且不宜超过 150m 。</w:t>
      </w:r>
      <w:r>
        <w:rPr>
          <w:sz w:val="21"/>
        </w:rPr>
        <w:t> </w:t>
      </w:r>
    </w:p>
    <w:p>
      <w:pPr>
        <w:pStyle w:val="ListParagraph"/>
        <w:numPr>
          <w:ilvl w:val="0"/>
          <w:numId w:val="592"/>
        </w:numPr>
        <w:tabs>
          <w:tab w:pos="1367" w:val="left" w:leader="none"/>
        </w:tabs>
        <w:spacing w:line="446" w:lineRule="auto" w:before="0" w:after="0"/>
        <w:ind w:left="418" w:right="1431" w:firstLine="419"/>
        <w:jc w:val="left"/>
        <w:rPr>
          <w:sz w:val="21"/>
        </w:rPr>
      </w:pPr>
      <w:r>
        <w:rPr>
          <w:spacing w:val="-2"/>
          <w:sz w:val="21"/>
        </w:rPr>
        <w:t>甲、乙、丙类液体储罐区的报警区域应由一个储罐区组成，每个 </w:t>
      </w:r>
      <w:r>
        <w:rPr>
          <w:sz w:val="21"/>
        </w:rPr>
        <w:t>50000m³</w:t>
      </w:r>
      <w:r>
        <w:rPr>
          <w:spacing w:val="13"/>
          <w:sz w:val="21"/>
        </w:rPr>
        <w:t> 及以上的</w:t>
      </w:r>
      <w:r>
        <w:rPr>
          <w:spacing w:val="-3"/>
          <w:sz w:val="21"/>
        </w:rPr>
        <w:t>外浮顶 储罐应单独划分为一个报警区域。</w:t>
      </w:r>
      <w:r>
        <w:rPr>
          <w:sz w:val="21"/>
        </w:rPr>
        <w:t> </w:t>
      </w:r>
    </w:p>
    <w:p>
      <w:pPr>
        <w:pStyle w:val="ListParagraph"/>
        <w:numPr>
          <w:ilvl w:val="0"/>
          <w:numId w:val="592"/>
        </w:numPr>
        <w:tabs>
          <w:tab w:pos="1367" w:val="left" w:leader="none"/>
        </w:tabs>
        <w:spacing w:line="446" w:lineRule="auto" w:before="0" w:after="0"/>
        <w:ind w:left="840" w:right="2979" w:hanging="3"/>
        <w:jc w:val="left"/>
        <w:rPr>
          <w:b/>
          <w:sz w:val="21"/>
        </w:rPr>
      </w:pPr>
      <w:r>
        <w:rPr>
          <w:spacing w:val="-3"/>
          <w:sz w:val="21"/>
        </w:rPr>
        <w:t>列车的报警区域应按车厢划分，每节车厢应划分为一个报警区域。</w:t>
      </w:r>
      <w:r>
        <w:rPr>
          <w:b/>
          <w:sz w:val="21"/>
        </w:rPr>
        <w:t>3.3.2 </w:t>
      </w:r>
      <w:r>
        <w:rPr>
          <w:spacing w:val="-3"/>
          <w:sz w:val="21"/>
        </w:rPr>
        <w:t>探测区域的划分应符合下列规定：</w:t>
      </w:r>
      <w:r>
        <w:rPr>
          <w:b/>
          <w:w w:val="99"/>
          <w:sz w:val="21"/>
        </w:rPr>
        <w:t> </w:t>
      </w:r>
    </w:p>
    <w:p>
      <w:pPr>
        <w:pStyle w:val="ListParagraph"/>
        <w:numPr>
          <w:ilvl w:val="0"/>
          <w:numId w:val="593"/>
        </w:numPr>
        <w:tabs>
          <w:tab w:pos="1367" w:val="left" w:leader="none"/>
        </w:tabs>
        <w:spacing w:line="446" w:lineRule="auto" w:before="0" w:after="0"/>
        <w:ind w:left="418" w:right="1431" w:firstLine="419"/>
        <w:jc w:val="left"/>
        <w:rPr>
          <w:sz w:val="21"/>
        </w:rPr>
      </w:pPr>
      <w:r>
        <w:rPr>
          <w:spacing w:val="-2"/>
          <w:sz w:val="21"/>
        </w:rPr>
        <w:t>探测区域应按独立房(套)间划分。一个探测区域的面积不宜超过 </w:t>
      </w:r>
      <w:r>
        <w:rPr>
          <w:sz w:val="21"/>
        </w:rPr>
        <w:t>500</w:t>
      </w:r>
      <w:r>
        <w:rPr>
          <w:spacing w:val="5"/>
          <w:sz w:val="21"/>
        </w:rPr>
        <w:t> ㎡ ；从主要入</w:t>
      </w:r>
      <w:r>
        <w:rPr>
          <w:spacing w:val="-3"/>
          <w:sz w:val="21"/>
        </w:rPr>
        <w:t>口能看清 其内部，且面积不超过 </w:t>
      </w:r>
      <w:r>
        <w:rPr>
          <w:sz w:val="21"/>
        </w:rPr>
        <w:t>1000</w:t>
      </w:r>
      <w:r>
        <w:rPr>
          <w:spacing w:val="-3"/>
          <w:sz w:val="21"/>
        </w:rPr>
        <w:t> ㎡ 的房间，也可划为一个探测区域。</w:t>
      </w:r>
      <w:r>
        <w:rPr>
          <w:sz w:val="21"/>
        </w:rPr>
        <w:t> </w:t>
      </w:r>
    </w:p>
    <w:p>
      <w:pPr>
        <w:pStyle w:val="ListParagraph"/>
        <w:numPr>
          <w:ilvl w:val="0"/>
          <w:numId w:val="593"/>
        </w:numPr>
        <w:tabs>
          <w:tab w:pos="1388" w:val="left" w:leader="none"/>
        </w:tabs>
        <w:spacing w:line="446" w:lineRule="auto" w:before="0" w:after="0"/>
        <w:ind w:left="418" w:right="1330" w:firstLine="419"/>
        <w:jc w:val="left"/>
        <w:rPr>
          <w:sz w:val="21"/>
        </w:rPr>
      </w:pPr>
      <w:r>
        <w:rPr>
          <w:spacing w:val="4"/>
          <w:sz w:val="21"/>
        </w:rPr>
        <w:t>红外光束感烟火灾探测器和缆式线型感温火灾探测器的探测区域的长度，不宜超过</w:t>
      </w:r>
      <w:r>
        <w:rPr>
          <w:sz w:val="21"/>
        </w:rPr>
        <w:t>100m</w:t>
      </w:r>
      <w:r>
        <w:rPr>
          <w:spacing w:val="-3"/>
          <w:sz w:val="21"/>
        </w:rPr>
        <w:t>；空气管差温火灾探测器的探测区域长度宜为 </w:t>
      </w:r>
      <w:r>
        <w:rPr>
          <w:sz w:val="21"/>
        </w:rPr>
        <w:t>20～100m</w:t>
      </w:r>
      <w:r>
        <w:rPr>
          <w:spacing w:val="-3"/>
          <w:sz w:val="21"/>
        </w:rPr>
        <w:t>。</w:t>
      </w:r>
      <w:r>
        <w:rPr>
          <w:sz w:val="21"/>
        </w:rPr>
        <w:t> </w:t>
      </w:r>
    </w:p>
    <w:p>
      <w:pPr>
        <w:spacing w:line="267" w:lineRule="exact" w:before="0"/>
        <w:ind w:left="840" w:right="0" w:firstLine="0"/>
        <w:jc w:val="left"/>
        <w:rPr>
          <w:b/>
          <w:sz w:val="21"/>
        </w:rPr>
      </w:pPr>
      <w:r>
        <w:rPr>
          <w:b/>
          <w:sz w:val="21"/>
        </w:rPr>
        <w:t>3.3.3 </w:t>
      </w:r>
      <w:r>
        <w:rPr>
          <w:sz w:val="21"/>
        </w:rPr>
        <w:t>下列场所应单独划分探测区域：</w:t>
      </w:r>
      <w:r>
        <w:rPr>
          <w:b/>
          <w:w w:val="99"/>
          <w:sz w:val="21"/>
        </w:rPr>
        <w:t> </w:t>
      </w:r>
    </w:p>
    <w:p>
      <w:pPr>
        <w:pStyle w:val="BodyText"/>
        <w:spacing w:before="10"/>
        <w:rPr>
          <w:b/>
          <w:sz w:val="17"/>
        </w:rPr>
      </w:pPr>
    </w:p>
    <w:p>
      <w:pPr>
        <w:pStyle w:val="ListParagraph"/>
        <w:numPr>
          <w:ilvl w:val="0"/>
          <w:numId w:val="594"/>
        </w:numPr>
        <w:tabs>
          <w:tab w:pos="1367" w:val="left" w:leader="none"/>
        </w:tabs>
        <w:spacing w:line="240" w:lineRule="auto" w:before="1" w:after="0"/>
        <w:ind w:left="1367" w:right="0" w:hanging="529"/>
        <w:jc w:val="left"/>
        <w:rPr>
          <w:sz w:val="21"/>
        </w:rPr>
      </w:pPr>
      <w:r>
        <w:rPr>
          <w:spacing w:val="-3"/>
          <w:sz w:val="21"/>
        </w:rPr>
        <w:t>敞开或封闭楼梯间、防烟楼梯间。</w:t>
      </w:r>
      <w:r>
        <w:rPr>
          <w:sz w:val="21"/>
        </w:rPr>
        <w:t> </w:t>
      </w:r>
    </w:p>
    <w:p>
      <w:pPr>
        <w:pStyle w:val="BodyText"/>
        <w:spacing w:before="12"/>
        <w:rPr>
          <w:sz w:val="17"/>
        </w:rPr>
      </w:pPr>
    </w:p>
    <w:p>
      <w:pPr>
        <w:pStyle w:val="ListParagraph"/>
        <w:numPr>
          <w:ilvl w:val="0"/>
          <w:numId w:val="594"/>
        </w:numPr>
        <w:tabs>
          <w:tab w:pos="1367" w:val="left" w:leader="none"/>
        </w:tabs>
        <w:spacing w:line="240" w:lineRule="auto" w:before="0" w:after="0"/>
        <w:ind w:left="1367" w:right="0" w:hanging="529"/>
        <w:jc w:val="left"/>
        <w:rPr>
          <w:sz w:val="21"/>
        </w:rPr>
      </w:pPr>
      <w:r>
        <w:rPr>
          <w:spacing w:val="-3"/>
          <w:sz w:val="21"/>
        </w:rPr>
        <w:t>防烟楼梯间前室、消防电梯前室、消防电梯与防烟楼梯间合用的前室、走道、坡道。</w:t>
      </w:r>
      <w:r>
        <w:rPr>
          <w:sz w:val="21"/>
        </w:rPr>
        <w:t> </w:t>
      </w:r>
    </w:p>
    <w:p>
      <w:pPr>
        <w:pStyle w:val="BodyText"/>
        <w:spacing w:before="12"/>
        <w:rPr>
          <w:sz w:val="17"/>
        </w:rPr>
      </w:pPr>
    </w:p>
    <w:p>
      <w:pPr>
        <w:pStyle w:val="ListParagraph"/>
        <w:numPr>
          <w:ilvl w:val="0"/>
          <w:numId w:val="594"/>
        </w:numPr>
        <w:tabs>
          <w:tab w:pos="1367" w:val="left" w:leader="none"/>
        </w:tabs>
        <w:spacing w:line="240" w:lineRule="auto" w:before="0" w:after="0"/>
        <w:ind w:left="1367" w:right="0" w:hanging="529"/>
        <w:jc w:val="left"/>
        <w:rPr>
          <w:sz w:val="21"/>
        </w:rPr>
      </w:pPr>
      <w:r>
        <w:rPr>
          <w:spacing w:val="-3"/>
          <w:sz w:val="21"/>
        </w:rPr>
        <w:t>电气管道井、通信管道井、电缆隧道。</w:t>
      </w:r>
      <w:r>
        <w:rPr>
          <w:sz w:val="21"/>
        </w:rPr>
        <w:t> </w:t>
      </w:r>
    </w:p>
    <w:p>
      <w:pPr>
        <w:pStyle w:val="BodyText"/>
        <w:spacing w:before="2"/>
        <w:rPr>
          <w:sz w:val="18"/>
        </w:rPr>
      </w:pPr>
    </w:p>
    <w:p>
      <w:pPr>
        <w:pStyle w:val="ListParagraph"/>
        <w:numPr>
          <w:ilvl w:val="0"/>
          <w:numId w:val="594"/>
        </w:numPr>
        <w:tabs>
          <w:tab w:pos="1367" w:val="left" w:leader="none"/>
        </w:tabs>
        <w:spacing w:line="446" w:lineRule="auto" w:before="0" w:after="0"/>
        <w:ind w:left="840" w:right="7180" w:hanging="3"/>
        <w:jc w:val="left"/>
        <w:rPr>
          <w:b/>
          <w:sz w:val="21"/>
        </w:rPr>
      </w:pPr>
      <w:r>
        <w:rPr>
          <w:spacing w:val="-3"/>
          <w:sz w:val="21"/>
        </w:rPr>
        <w:t>建筑物闷顶、夹层。</w:t>
      </w:r>
      <w:r>
        <w:rPr>
          <w:b/>
          <w:sz w:val="21"/>
        </w:rPr>
        <w:t>3.4</w:t>
      </w:r>
      <w:r>
        <w:rPr>
          <w:b/>
          <w:spacing w:val="2"/>
          <w:sz w:val="21"/>
        </w:rPr>
        <w:t> </w:t>
      </w:r>
      <w:r>
        <w:rPr>
          <w:spacing w:val="-3"/>
          <w:sz w:val="21"/>
        </w:rPr>
        <w:t>消防控制室</w:t>
      </w:r>
      <w:r>
        <w:rPr>
          <w:b/>
          <w:w w:val="99"/>
          <w:sz w:val="21"/>
        </w:rPr>
        <w:t> </w:t>
      </w:r>
    </w:p>
    <w:p>
      <w:pPr>
        <w:pStyle w:val="ListParagraph"/>
        <w:numPr>
          <w:ilvl w:val="2"/>
          <w:numId w:val="595"/>
        </w:numPr>
        <w:tabs>
          <w:tab w:pos="1424" w:val="left" w:leader="none"/>
        </w:tabs>
        <w:spacing w:line="267" w:lineRule="exact" w:before="0" w:after="0"/>
        <w:ind w:left="1423" w:right="0" w:hanging="584"/>
        <w:jc w:val="left"/>
        <w:rPr>
          <w:sz w:val="21"/>
        </w:rPr>
      </w:pPr>
      <w:r>
        <w:rPr>
          <w:spacing w:val="-3"/>
          <w:sz w:val="21"/>
        </w:rPr>
        <w:t>具有消防联动功能的火灾自动报警系统的保护对象中应设置消防控制室。</w:t>
      </w:r>
      <w:r>
        <w:rPr>
          <w:sz w:val="21"/>
        </w:rPr>
        <w:t> </w:t>
      </w:r>
    </w:p>
    <w:p>
      <w:pPr>
        <w:pStyle w:val="BodyText"/>
        <w:spacing w:before="2"/>
        <w:rPr>
          <w:sz w:val="18"/>
        </w:rPr>
      </w:pPr>
    </w:p>
    <w:p>
      <w:pPr>
        <w:pStyle w:val="ListParagraph"/>
        <w:numPr>
          <w:ilvl w:val="2"/>
          <w:numId w:val="595"/>
        </w:numPr>
        <w:tabs>
          <w:tab w:pos="1370" w:val="left" w:leader="none"/>
        </w:tabs>
        <w:spacing w:line="446" w:lineRule="auto" w:before="0" w:after="0"/>
        <w:ind w:left="418" w:right="1431" w:firstLine="422"/>
        <w:jc w:val="both"/>
        <w:rPr>
          <w:sz w:val="21"/>
        </w:rPr>
      </w:pPr>
      <w:r>
        <w:rPr>
          <w:spacing w:val="-5"/>
          <w:sz w:val="21"/>
        </w:rPr>
        <w:t>消防控制室内设置的消防设备应包括火灾报警控制器、消防联动控制器、消防控制室</w:t>
      </w:r>
      <w:r>
        <w:rPr>
          <w:spacing w:val="-9"/>
          <w:sz w:val="21"/>
        </w:rPr>
        <w:t>图形显示 装置、消防专用电话总机、消防应急广播控制装置、消防应急照明和疏散指示系统控制</w:t>
      </w:r>
      <w:r>
        <w:rPr>
          <w:sz w:val="21"/>
        </w:rPr>
        <w:t>装置、消防 电源监控器等设备或具有相应功能的组合设备。消防控制室内设置的消防控制室图</w:t>
      </w:r>
      <w:r>
        <w:rPr>
          <w:spacing w:val="4"/>
          <w:sz w:val="21"/>
        </w:rPr>
        <w:t>形显示装置应能 显示本规范附录 </w:t>
      </w:r>
      <w:r>
        <w:rPr>
          <w:sz w:val="21"/>
        </w:rPr>
        <w:t>A</w:t>
      </w:r>
      <w:r>
        <w:rPr>
          <w:spacing w:val="-1"/>
          <w:sz w:val="21"/>
        </w:rPr>
        <w:t> 规定的建筑物内设置的全部消防系统及相关设备的动态信息和本规范附录 </w:t>
      </w:r>
      <w:r>
        <w:rPr>
          <w:sz w:val="21"/>
        </w:rPr>
        <w:t>B</w:t>
      </w:r>
      <w:r>
        <w:rPr>
          <w:spacing w:val="-5"/>
          <w:sz w:val="21"/>
        </w:rPr>
        <w:t> 规 定的消防安全管理信息，并应为远程监控系统预留接口，同时应具有向远</w:t>
      </w:r>
      <w:r>
        <w:rPr>
          <w:spacing w:val="-4"/>
          <w:sz w:val="21"/>
        </w:rPr>
        <w:t>程监控系统传输本规范附 录 </w:t>
      </w:r>
      <w:r>
        <w:rPr>
          <w:sz w:val="21"/>
        </w:rPr>
        <w:t>A</w:t>
      </w:r>
      <w:r>
        <w:rPr>
          <w:spacing w:val="-2"/>
          <w:sz w:val="21"/>
        </w:rPr>
        <w:t> 和附录 </w:t>
      </w:r>
      <w:r>
        <w:rPr>
          <w:sz w:val="21"/>
        </w:rPr>
        <w:t>B</w:t>
      </w:r>
      <w:r>
        <w:rPr>
          <w:spacing w:val="-3"/>
          <w:sz w:val="21"/>
        </w:rPr>
        <w:t> 规定的有关信息的功能。</w:t>
      </w:r>
      <w:r>
        <w:rPr>
          <w:sz w:val="21"/>
        </w:rPr>
        <w:t> </w:t>
      </w:r>
    </w:p>
    <w:p>
      <w:pPr>
        <w:pStyle w:val="ListParagraph"/>
        <w:numPr>
          <w:ilvl w:val="2"/>
          <w:numId w:val="595"/>
        </w:numPr>
        <w:tabs>
          <w:tab w:pos="1371" w:val="left" w:leader="none"/>
        </w:tabs>
        <w:spacing w:line="267" w:lineRule="exact" w:before="0" w:after="0"/>
        <w:ind w:left="1370" w:right="0" w:hanging="531"/>
        <w:jc w:val="both"/>
        <w:rPr>
          <w:sz w:val="21"/>
        </w:rPr>
      </w:pPr>
      <w:r>
        <w:rPr>
          <w:spacing w:val="-3"/>
          <w:sz w:val="21"/>
        </w:rPr>
        <w:t>消防控制室应设有用于火灾报警的外线电话。 </w:t>
      </w:r>
      <w:r>
        <w:rPr>
          <w:spacing w:val="-9"/>
          <w:sz w:val="21"/>
        </w:rPr>
        <w:t> </w:t>
      </w:r>
      <w:r>
        <w:rPr>
          <w:w w:val="100"/>
          <w:sz w:val="21"/>
        </w:rPr>
        <w:t> </w:t>
      </w:r>
    </w:p>
    <w:p>
      <w:pPr>
        <w:spacing w:after="0" w:line="267" w:lineRule="exact"/>
        <w:jc w:val="both"/>
        <w:rPr>
          <w:sz w:val="21"/>
        </w:rPr>
        <w:sectPr>
          <w:pgSz w:w="11910" w:h="16850"/>
          <w:pgMar w:header="0" w:footer="1239" w:top="1220" w:bottom="1420" w:left="1260" w:right="0"/>
        </w:sectPr>
      </w:pPr>
    </w:p>
    <w:p>
      <w:pPr>
        <w:pStyle w:val="ListParagraph"/>
        <w:numPr>
          <w:ilvl w:val="2"/>
          <w:numId w:val="595"/>
        </w:numPr>
        <w:tabs>
          <w:tab w:pos="1370" w:val="left" w:leader="none"/>
        </w:tabs>
        <w:spacing w:line="446" w:lineRule="auto" w:before="47" w:after="0"/>
        <w:ind w:left="418" w:right="1436" w:firstLine="422"/>
        <w:jc w:val="left"/>
        <w:rPr>
          <w:sz w:val="21"/>
        </w:rPr>
      </w:pPr>
      <w:r>
        <w:rPr>
          <w:spacing w:val="-6"/>
          <w:sz w:val="21"/>
        </w:rPr>
        <w:t>消防控制室应有相应的竣工图纸、各分系统控制逻辑关系说明、设备使用说明书、系</w:t>
      </w:r>
      <w:r>
        <w:rPr>
          <w:spacing w:val="-4"/>
          <w:sz w:val="21"/>
        </w:rPr>
        <w:t>统操作 规程、应急预案、值班制度、维护保养制度及值班记录等文件资料。 </w:t>
      </w:r>
      <w:r>
        <w:rPr>
          <w:sz w:val="21"/>
        </w:rPr>
        <w:t> </w:t>
      </w:r>
    </w:p>
    <w:p>
      <w:pPr>
        <w:pStyle w:val="ListParagraph"/>
        <w:numPr>
          <w:ilvl w:val="2"/>
          <w:numId w:val="595"/>
        </w:numPr>
        <w:tabs>
          <w:tab w:pos="1370" w:val="left" w:leader="none"/>
        </w:tabs>
        <w:spacing w:line="267" w:lineRule="exact" w:before="0" w:after="0"/>
        <w:ind w:left="1369" w:right="0" w:hanging="530"/>
        <w:jc w:val="left"/>
        <w:rPr>
          <w:sz w:val="21"/>
        </w:rPr>
      </w:pPr>
      <w:r>
        <w:rPr>
          <w:spacing w:val="-3"/>
          <w:sz w:val="21"/>
        </w:rPr>
        <w:t>消防控制室送、回风管的穿墙处应设防火阀。 </w:t>
      </w:r>
    </w:p>
    <w:p>
      <w:pPr>
        <w:pStyle w:val="BodyText"/>
        <w:spacing w:before="2"/>
        <w:rPr>
          <w:sz w:val="18"/>
        </w:rPr>
      </w:pPr>
    </w:p>
    <w:p>
      <w:pPr>
        <w:pStyle w:val="ListParagraph"/>
        <w:numPr>
          <w:ilvl w:val="2"/>
          <w:numId w:val="595"/>
        </w:numPr>
        <w:tabs>
          <w:tab w:pos="1370" w:val="left" w:leader="none"/>
          <w:tab w:pos="7558" w:val="left" w:leader="none"/>
        </w:tabs>
        <w:spacing w:line="240" w:lineRule="auto" w:before="0" w:after="0"/>
        <w:ind w:left="1369" w:right="0" w:hanging="530"/>
        <w:jc w:val="left"/>
        <w:rPr>
          <w:sz w:val="21"/>
        </w:rPr>
      </w:pPr>
      <w:r>
        <w:rPr>
          <w:spacing w:val="-3"/>
          <w:sz w:val="21"/>
        </w:rPr>
        <w:t>消</w:t>
      </w:r>
      <w:r>
        <w:rPr>
          <w:sz w:val="21"/>
        </w:rPr>
        <w:t>防</w:t>
      </w:r>
      <w:r>
        <w:rPr>
          <w:spacing w:val="-3"/>
          <w:sz w:val="21"/>
        </w:rPr>
        <w:t>控</w:t>
      </w:r>
      <w:r>
        <w:rPr>
          <w:sz w:val="21"/>
        </w:rPr>
        <w:t>制</w:t>
      </w:r>
      <w:r>
        <w:rPr>
          <w:spacing w:val="-3"/>
          <w:sz w:val="21"/>
        </w:rPr>
        <w:t>室</w:t>
      </w:r>
      <w:r>
        <w:rPr>
          <w:sz w:val="21"/>
        </w:rPr>
        <w:t>内</w:t>
      </w:r>
      <w:r>
        <w:rPr>
          <w:spacing w:val="-3"/>
          <w:sz w:val="21"/>
        </w:rPr>
        <w:t>严禁</w:t>
      </w:r>
      <w:r>
        <w:rPr>
          <w:sz w:val="21"/>
        </w:rPr>
        <w:t>穿过</w:t>
      </w:r>
      <w:r>
        <w:rPr>
          <w:spacing w:val="-3"/>
          <w:sz w:val="21"/>
        </w:rPr>
        <w:t>与</w:t>
      </w:r>
      <w:r>
        <w:rPr>
          <w:sz w:val="21"/>
        </w:rPr>
        <w:t>消</w:t>
      </w:r>
      <w:r>
        <w:rPr>
          <w:spacing w:val="-3"/>
          <w:sz w:val="21"/>
        </w:rPr>
        <w:t>防</w:t>
      </w:r>
      <w:r>
        <w:rPr>
          <w:sz w:val="21"/>
        </w:rPr>
        <w:t>设</w:t>
      </w:r>
      <w:r>
        <w:rPr>
          <w:spacing w:val="-3"/>
          <w:sz w:val="21"/>
        </w:rPr>
        <w:t>施</w:t>
      </w:r>
      <w:r>
        <w:rPr>
          <w:sz w:val="21"/>
        </w:rPr>
        <w:t>无</w:t>
      </w:r>
      <w:r>
        <w:rPr>
          <w:spacing w:val="-3"/>
          <w:sz w:val="21"/>
        </w:rPr>
        <w:t>关</w:t>
      </w:r>
      <w:r>
        <w:rPr>
          <w:sz w:val="21"/>
        </w:rPr>
        <w:t>的</w:t>
      </w:r>
      <w:r>
        <w:rPr>
          <w:spacing w:val="-3"/>
          <w:sz w:val="21"/>
        </w:rPr>
        <w:t>电</w:t>
      </w:r>
      <w:r>
        <w:rPr>
          <w:sz w:val="21"/>
        </w:rPr>
        <w:t>气线</w:t>
      </w:r>
      <w:r>
        <w:rPr>
          <w:spacing w:val="-3"/>
          <w:sz w:val="21"/>
        </w:rPr>
        <w:t>路</w:t>
      </w:r>
      <w:r>
        <w:rPr>
          <w:sz w:val="21"/>
        </w:rPr>
        <w:t>及</w:t>
      </w:r>
      <w:r>
        <w:rPr>
          <w:spacing w:val="-3"/>
          <w:sz w:val="21"/>
        </w:rPr>
        <w:t>管</w:t>
      </w:r>
      <w:r>
        <w:rPr>
          <w:sz w:val="21"/>
        </w:rPr>
        <w:t>路</w:t>
      </w:r>
      <w:r>
        <w:rPr>
          <w:spacing w:val="-3"/>
          <w:sz w:val="21"/>
        </w:rPr>
        <w:t>。</w:t>
      </w:r>
      <w:r>
        <w:rPr>
          <w:sz w:val="21"/>
        </w:rPr>
        <w:t> </w:t>
      </w:r>
      <w:r>
        <w:rPr>
          <w:spacing w:val="-9"/>
          <w:sz w:val="21"/>
        </w:rPr>
        <w:t> </w:t>
      </w:r>
      <w:r>
        <w:rPr>
          <w:w w:val="100"/>
          <w:sz w:val="21"/>
        </w:rPr>
        <w:t>  </w:t>
      </w:r>
      <w:r>
        <w:rPr>
          <w:sz w:val="21"/>
        </w:rPr>
        <w:tab/>
      </w:r>
      <w:r>
        <w:rPr>
          <w:w w:val="100"/>
          <w:sz w:val="21"/>
        </w:rPr>
        <w:t>  </w:t>
      </w:r>
    </w:p>
    <w:p>
      <w:pPr>
        <w:pStyle w:val="BodyText"/>
        <w:rPr>
          <w:sz w:val="18"/>
        </w:rPr>
      </w:pPr>
    </w:p>
    <w:p>
      <w:pPr>
        <w:pStyle w:val="ListParagraph"/>
        <w:numPr>
          <w:ilvl w:val="2"/>
          <w:numId w:val="595"/>
        </w:numPr>
        <w:tabs>
          <w:tab w:pos="1371" w:val="left" w:leader="none"/>
        </w:tabs>
        <w:spacing w:line="446" w:lineRule="auto" w:before="0" w:after="0"/>
        <w:ind w:left="418" w:right="1432" w:firstLine="422"/>
        <w:jc w:val="left"/>
        <w:rPr>
          <w:sz w:val="21"/>
        </w:rPr>
      </w:pPr>
      <w:r>
        <w:rPr>
          <w:sz w:val="21"/>
        </w:rPr>
        <w:t>消防控制室不应设置在电磁场干扰较强及其他影响消防控制室设备工作的设备用房 </w:t>
      </w:r>
      <w:r>
        <w:rPr>
          <w:spacing w:val="-1"/>
          <w:sz w:val="21"/>
        </w:rPr>
        <w:t>附近。</w:t>
      </w:r>
      <w:r>
        <w:rPr>
          <w:sz w:val="21"/>
        </w:rPr>
        <w:t> </w:t>
      </w:r>
    </w:p>
    <w:p>
      <w:pPr>
        <w:pStyle w:val="ListParagraph"/>
        <w:numPr>
          <w:ilvl w:val="2"/>
          <w:numId w:val="595"/>
        </w:numPr>
        <w:tabs>
          <w:tab w:pos="1371" w:val="left" w:leader="none"/>
        </w:tabs>
        <w:spacing w:line="240" w:lineRule="auto" w:before="0" w:after="0"/>
        <w:ind w:left="1370" w:right="0" w:hanging="531"/>
        <w:jc w:val="left"/>
        <w:rPr>
          <w:sz w:val="21"/>
        </w:rPr>
      </w:pPr>
      <w:r>
        <w:rPr>
          <w:spacing w:val="-3"/>
          <w:sz w:val="21"/>
        </w:rPr>
        <w:t>消防控制室内设备的布置应符合下列规定：</w:t>
      </w:r>
      <w:r>
        <w:rPr>
          <w:sz w:val="21"/>
        </w:rPr>
        <w:t> </w:t>
      </w:r>
    </w:p>
    <w:p>
      <w:pPr>
        <w:pStyle w:val="BodyText"/>
        <w:rPr>
          <w:sz w:val="18"/>
        </w:rPr>
      </w:pPr>
    </w:p>
    <w:p>
      <w:pPr>
        <w:pStyle w:val="ListParagraph"/>
        <w:numPr>
          <w:ilvl w:val="0"/>
          <w:numId w:val="596"/>
        </w:numPr>
        <w:tabs>
          <w:tab w:pos="1367" w:val="left" w:leader="none"/>
        </w:tabs>
        <w:spacing w:line="240" w:lineRule="auto" w:before="0" w:after="0"/>
        <w:ind w:left="1367" w:right="0" w:hanging="529"/>
        <w:jc w:val="left"/>
        <w:rPr>
          <w:sz w:val="21"/>
        </w:rPr>
      </w:pPr>
      <w:r>
        <w:rPr>
          <w:spacing w:val="-3"/>
          <w:sz w:val="21"/>
        </w:rPr>
        <w:t>设备面盘前的操作距离，单列布置时不应小于 </w:t>
      </w:r>
      <w:r>
        <w:rPr>
          <w:sz w:val="21"/>
        </w:rPr>
        <w:t>1.5m</w:t>
      </w:r>
      <w:r>
        <w:rPr>
          <w:spacing w:val="-3"/>
          <w:sz w:val="21"/>
        </w:rPr>
        <w:t>；双列布置时不应小于 </w:t>
      </w:r>
      <w:r>
        <w:rPr>
          <w:sz w:val="21"/>
        </w:rPr>
        <w:t>2m</w:t>
      </w:r>
      <w:r>
        <w:rPr>
          <w:spacing w:val="-3"/>
          <w:sz w:val="21"/>
        </w:rPr>
        <w:t>。</w:t>
      </w:r>
      <w:r>
        <w:rPr>
          <w:sz w:val="21"/>
        </w:rPr>
        <w:t> </w:t>
      </w:r>
    </w:p>
    <w:p>
      <w:pPr>
        <w:pStyle w:val="BodyText"/>
        <w:spacing w:before="12"/>
        <w:rPr>
          <w:sz w:val="17"/>
        </w:rPr>
      </w:pPr>
    </w:p>
    <w:p>
      <w:pPr>
        <w:pStyle w:val="ListParagraph"/>
        <w:numPr>
          <w:ilvl w:val="0"/>
          <w:numId w:val="596"/>
        </w:numPr>
        <w:tabs>
          <w:tab w:pos="1367" w:val="left" w:leader="none"/>
        </w:tabs>
        <w:spacing w:line="240" w:lineRule="auto" w:before="0" w:after="0"/>
        <w:ind w:left="1367" w:right="0" w:hanging="529"/>
        <w:jc w:val="left"/>
        <w:rPr>
          <w:sz w:val="21"/>
        </w:rPr>
      </w:pPr>
      <w:r>
        <w:rPr>
          <w:spacing w:val="-3"/>
          <w:sz w:val="21"/>
        </w:rPr>
        <w:t>在值班人员经常工作的一面，设备面盘至墙的距离不应小于 </w:t>
      </w:r>
      <w:r>
        <w:rPr>
          <w:sz w:val="21"/>
        </w:rPr>
        <w:t>3m</w:t>
      </w:r>
      <w:r>
        <w:rPr>
          <w:spacing w:val="-3"/>
          <w:sz w:val="21"/>
        </w:rPr>
        <w:t>。</w:t>
      </w:r>
      <w:r>
        <w:rPr>
          <w:sz w:val="21"/>
        </w:rPr>
        <w:t> </w:t>
      </w:r>
    </w:p>
    <w:p>
      <w:pPr>
        <w:pStyle w:val="BodyText"/>
        <w:spacing w:before="2"/>
        <w:rPr>
          <w:sz w:val="18"/>
        </w:rPr>
      </w:pPr>
    </w:p>
    <w:p>
      <w:pPr>
        <w:pStyle w:val="ListParagraph"/>
        <w:numPr>
          <w:ilvl w:val="0"/>
          <w:numId w:val="596"/>
        </w:numPr>
        <w:tabs>
          <w:tab w:pos="1367" w:val="left" w:leader="none"/>
        </w:tabs>
        <w:spacing w:line="240" w:lineRule="auto" w:before="0" w:after="0"/>
        <w:ind w:left="1367" w:right="0" w:hanging="529"/>
        <w:jc w:val="left"/>
        <w:rPr>
          <w:sz w:val="21"/>
        </w:rPr>
      </w:pPr>
      <w:r>
        <w:rPr>
          <w:spacing w:val="-3"/>
          <w:sz w:val="21"/>
        </w:rPr>
        <w:t>设备面盘后的维修距离不宜小于 </w:t>
      </w:r>
      <w:r>
        <w:rPr>
          <w:sz w:val="21"/>
        </w:rPr>
        <w:t>1m</w:t>
      </w:r>
      <w:r>
        <w:rPr>
          <w:spacing w:val="-3"/>
          <w:sz w:val="21"/>
        </w:rPr>
        <w:t>。</w:t>
      </w:r>
      <w:r>
        <w:rPr>
          <w:sz w:val="21"/>
        </w:rPr>
        <w:t> </w:t>
      </w:r>
    </w:p>
    <w:p>
      <w:pPr>
        <w:pStyle w:val="BodyText"/>
        <w:spacing w:before="12"/>
        <w:rPr>
          <w:sz w:val="17"/>
        </w:rPr>
      </w:pPr>
    </w:p>
    <w:p>
      <w:pPr>
        <w:pStyle w:val="ListParagraph"/>
        <w:numPr>
          <w:ilvl w:val="0"/>
          <w:numId w:val="596"/>
        </w:numPr>
        <w:tabs>
          <w:tab w:pos="1367" w:val="left" w:leader="none"/>
        </w:tabs>
        <w:spacing w:line="240" w:lineRule="auto" w:before="0" w:after="0"/>
        <w:ind w:left="1367" w:right="0" w:hanging="529"/>
        <w:jc w:val="left"/>
        <w:rPr>
          <w:sz w:val="21"/>
        </w:rPr>
      </w:pPr>
      <w:r>
        <w:rPr>
          <w:spacing w:val="-3"/>
          <w:sz w:val="21"/>
        </w:rPr>
        <w:t>设备面盘的排列长度大于 </w:t>
      </w:r>
      <w:r>
        <w:rPr>
          <w:sz w:val="21"/>
        </w:rPr>
        <w:t>4m</w:t>
      </w:r>
      <w:r>
        <w:rPr>
          <w:spacing w:val="-3"/>
          <w:sz w:val="21"/>
        </w:rPr>
        <w:t> 时，其两端应设置宽度不小于 </w:t>
      </w:r>
      <w:r>
        <w:rPr>
          <w:sz w:val="21"/>
        </w:rPr>
        <w:t>1m</w:t>
      </w:r>
      <w:r>
        <w:rPr>
          <w:spacing w:val="-2"/>
          <w:sz w:val="21"/>
        </w:rPr>
        <w:t> 的通道。 </w:t>
      </w:r>
    </w:p>
    <w:p>
      <w:pPr>
        <w:pStyle w:val="BodyText"/>
        <w:rPr>
          <w:sz w:val="18"/>
        </w:rPr>
      </w:pPr>
    </w:p>
    <w:p>
      <w:pPr>
        <w:pStyle w:val="ListParagraph"/>
        <w:numPr>
          <w:ilvl w:val="0"/>
          <w:numId w:val="596"/>
        </w:numPr>
        <w:tabs>
          <w:tab w:pos="1367" w:val="left" w:leader="none"/>
        </w:tabs>
        <w:spacing w:line="446" w:lineRule="auto" w:before="0" w:after="0"/>
        <w:ind w:left="418" w:right="1431" w:firstLine="419"/>
        <w:jc w:val="left"/>
        <w:rPr>
          <w:sz w:val="21"/>
        </w:rPr>
      </w:pPr>
      <w:r>
        <w:rPr>
          <w:spacing w:val="-8"/>
          <w:sz w:val="21"/>
        </w:rPr>
        <w:t>与建筑其他弱电系统合用的消防控制室内，消防设备应集中设置，并应与其他设备间 </w:t>
      </w:r>
      <w:r>
        <w:rPr>
          <w:spacing w:val="-6"/>
          <w:sz w:val="21"/>
        </w:rPr>
        <w:t>有明显 间隔。</w:t>
      </w:r>
      <w:r>
        <w:rPr>
          <w:sz w:val="21"/>
        </w:rPr>
        <w:t> </w:t>
      </w:r>
    </w:p>
    <w:p>
      <w:pPr>
        <w:pStyle w:val="ListParagraph"/>
        <w:numPr>
          <w:ilvl w:val="2"/>
          <w:numId w:val="595"/>
        </w:numPr>
        <w:tabs>
          <w:tab w:pos="1370" w:val="left" w:leader="none"/>
        </w:tabs>
        <w:spacing w:line="240" w:lineRule="auto" w:before="0" w:after="0"/>
        <w:ind w:left="1369" w:right="0" w:hanging="530"/>
        <w:jc w:val="left"/>
        <w:rPr>
          <w:sz w:val="21"/>
        </w:rPr>
      </w:pPr>
      <w:r>
        <w:rPr>
          <w:spacing w:val="-15"/>
          <w:sz w:val="21"/>
        </w:rPr>
        <w:t>消防控制室的显示与控制，应符合现行国家标准《消防控制室通用技术要求》</w:t>
      </w:r>
      <w:r>
        <w:rPr>
          <w:sz w:val="21"/>
        </w:rPr>
        <w:t>GB</w:t>
      </w:r>
      <w:r>
        <w:rPr>
          <w:spacing w:val="-27"/>
          <w:sz w:val="21"/>
        </w:rPr>
        <w:t> </w:t>
      </w:r>
      <w:r>
        <w:rPr>
          <w:sz w:val="21"/>
        </w:rPr>
        <w:t>25506 </w:t>
      </w:r>
    </w:p>
    <w:p>
      <w:pPr>
        <w:pStyle w:val="BodyText"/>
        <w:spacing w:before="12"/>
        <w:rPr>
          <w:sz w:val="17"/>
        </w:rPr>
      </w:pPr>
    </w:p>
    <w:p>
      <w:pPr>
        <w:pStyle w:val="BodyText"/>
        <w:tabs>
          <w:tab w:pos="2097" w:val="left" w:leader="none"/>
        </w:tabs>
        <w:ind w:left="418"/>
      </w:pPr>
      <w:r>
        <w:rPr/>
        <w:t>的有</w:t>
      </w:r>
      <w:r>
        <w:rPr>
          <w:spacing w:val="3"/>
        </w:rPr>
        <w:t> </w:t>
      </w:r>
      <w:r>
        <w:rPr/>
        <w:t>关</w:t>
      </w:r>
      <w:r>
        <w:rPr>
          <w:spacing w:val="-3"/>
        </w:rPr>
        <w:t>规</w:t>
      </w:r>
      <w:r>
        <w:rPr/>
        <w:t>定</w:t>
      </w:r>
      <w:r>
        <w:rPr>
          <w:spacing w:val="-3"/>
        </w:rPr>
        <w:t>。</w:t>
      </w:r>
      <w:r>
        <w:rPr/>
        <w:t> </w:t>
        <w:tab/>
      </w:r>
      <w:r>
        <w:rPr>
          <w:w w:val="100"/>
        </w:rPr>
        <w:t> </w:t>
      </w:r>
    </w:p>
    <w:p>
      <w:pPr>
        <w:pStyle w:val="BodyText"/>
        <w:spacing w:before="2"/>
        <w:rPr>
          <w:sz w:val="18"/>
        </w:rPr>
      </w:pPr>
    </w:p>
    <w:p>
      <w:pPr>
        <w:pStyle w:val="ListParagraph"/>
        <w:numPr>
          <w:ilvl w:val="2"/>
          <w:numId w:val="595"/>
        </w:numPr>
        <w:tabs>
          <w:tab w:pos="1478" w:val="left" w:leader="none"/>
        </w:tabs>
        <w:spacing w:line="446" w:lineRule="auto" w:before="0" w:after="0"/>
        <w:ind w:left="418" w:right="1434" w:firstLine="422"/>
        <w:jc w:val="left"/>
        <w:rPr>
          <w:sz w:val="21"/>
        </w:rPr>
      </w:pPr>
      <w:r>
        <w:rPr>
          <w:spacing w:val="-3"/>
          <w:sz w:val="21"/>
        </w:rPr>
        <w:t>消防控制室的信息记录、信息传输，应符合现行国家标准《消防控制室通用技术要 求》GB25506 的有关规定。 </w:t>
      </w:r>
    </w:p>
    <w:p>
      <w:pPr>
        <w:pStyle w:val="Heading4"/>
        <w:spacing w:line="275" w:lineRule="exact"/>
      </w:pPr>
      <w:r>
        <w:rPr/>
        <w:t>4 消防联动控制设计</w:t>
      </w:r>
      <w:r>
        <w:rPr>
          <w:w w:val="99"/>
        </w:rPr>
        <w:t> </w:t>
      </w:r>
    </w:p>
    <w:p>
      <w:pPr>
        <w:pStyle w:val="BodyText"/>
        <w:spacing w:before="6"/>
        <w:rPr>
          <w:b/>
          <w:sz w:val="17"/>
        </w:rPr>
      </w:pPr>
    </w:p>
    <w:p>
      <w:pPr>
        <w:pStyle w:val="ListParagraph"/>
        <w:numPr>
          <w:ilvl w:val="1"/>
          <w:numId w:val="597"/>
        </w:numPr>
        <w:tabs>
          <w:tab w:pos="1159" w:val="left" w:leader="none"/>
        </w:tabs>
        <w:spacing w:line="240" w:lineRule="auto" w:before="1" w:after="0"/>
        <w:ind w:left="1158" w:right="0" w:hanging="319"/>
        <w:jc w:val="left"/>
        <w:rPr>
          <w:b/>
          <w:sz w:val="21"/>
        </w:rPr>
      </w:pPr>
      <w:r>
        <w:rPr>
          <w:spacing w:val="-3"/>
          <w:sz w:val="21"/>
        </w:rPr>
        <w:t>一般规定</w:t>
      </w:r>
      <w:r>
        <w:rPr>
          <w:b/>
          <w:w w:val="99"/>
          <w:sz w:val="21"/>
        </w:rPr>
        <w:t> </w:t>
      </w:r>
    </w:p>
    <w:p>
      <w:pPr>
        <w:pStyle w:val="BodyText"/>
        <w:rPr>
          <w:b/>
          <w:sz w:val="18"/>
        </w:rPr>
      </w:pPr>
    </w:p>
    <w:p>
      <w:pPr>
        <w:pStyle w:val="ListParagraph"/>
        <w:numPr>
          <w:ilvl w:val="2"/>
          <w:numId w:val="597"/>
        </w:numPr>
        <w:tabs>
          <w:tab w:pos="1438" w:val="left" w:leader="none"/>
        </w:tabs>
        <w:spacing w:line="446" w:lineRule="auto" w:before="0" w:after="0"/>
        <w:ind w:left="418" w:right="1431" w:firstLine="422"/>
        <w:jc w:val="left"/>
        <w:rPr>
          <w:sz w:val="21"/>
        </w:rPr>
      </w:pPr>
      <w:r>
        <w:rPr>
          <w:spacing w:val="-3"/>
          <w:sz w:val="21"/>
        </w:rPr>
        <w:t>消防联动控制器应能按设定的控制逻辑向各相关的受控设备发出联动控制信号，并接受相关 设备的联动反馈信号。</w:t>
      </w:r>
      <w:r>
        <w:rPr>
          <w:sz w:val="21"/>
        </w:rPr>
        <w:t> </w:t>
      </w:r>
    </w:p>
    <w:p>
      <w:pPr>
        <w:pStyle w:val="ListParagraph"/>
        <w:numPr>
          <w:ilvl w:val="2"/>
          <w:numId w:val="597"/>
        </w:numPr>
        <w:tabs>
          <w:tab w:pos="1371" w:val="left" w:leader="none"/>
        </w:tabs>
        <w:spacing w:line="446" w:lineRule="auto" w:before="0" w:after="0"/>
        <w:ind w:left="418" w:right="1431" w:firstLine="422"/>
        <w:jc w:val="left"/>
        <w:rPr>
          <w:b/>
          <w:sz w:val="21"/>
        </w:rPr>
      </w:pPr>
      <w:r>
        <w:rPr>
          <w:spacing w:val="-2"/>
          <w:sz w:val="21"/>
        </w:rPr>
        <w:t>消防联动控制器的电压控制输出应采用直流 </w:t>
      </w:r>
      <w:r>
        <w:rPr>
          <w:sz w:val="21"/>
        </w:rPr>
        <w:t>24V</w:t>
      </w:r>
      <w:r>
        <w:rPr>
          <w:spacing w:val="-3"/>
          <w:sz w:val="21"/>
        </w:rPr>
        <w:t> ，其电源容量应满足受控消防设备同时启动 且维持工作的控制容量要求。</w:t>
      </w:r>
      <w:r>
        <w:rPr>
          <w:b/>
          <w:w w:val="99"/>
          <w:sz w:val="21"/>
        </w:rPr>
        <w:t>   </w:t>
      </w:r>
    </w:p>
    <w:p>
      <w:pPr>
        <w:pStyle w:val="ListParagraph"/>
        <w:numPr>
          <w:ilvl w:val="2"/>
          <w:numId w:val="597"/>
        </w:numPr>
        <w:tabs>
          <w:tab w:pos="1370" w:val="left" w:leader="none"/>
        </w:tabs>
        <w:spacing w:line="267" w:lineRule="exact" w:before="0" w:after="0"/>
        <w:ind w:left="1369" w:right="0" w:hanging="530"/>
        <w:jc w:val="left"/>
        <w:rPr>
          <w:sz w:val="21"/>
        </w:rPr>
      </w:pPr>
      <w:r>
        <w:rPr>
          <w:spacing w:val="-3"/>
          <w:sz w:val="21"/>
        </w:rPr>
        <w:t>各受控设备接口的特性参数应与消防联动控制器发出的联动控制信号相匹配。 </w:t>
      </w:r>
      <w:r>
        <w:rPr>
          <w:sz w:val="21"/>
        </w:rPr>
        <w:t> </w:t>
      </w:r>
    </w:p>
    <w:p>
      <w:pPr>
        <w:pStyle w:val="BodyText"/>
        <w:spacing w:before="1"/>
        <w:rPr>
          <w:sz w:val="18"/>
        </w:rPr>
      </w:pPr>
    </w:p>
    <w:p>
      <w:pPr>
        <w:pStyle w:val="ListParagraph"/>
        <w:numPr>
          <w:ilvl w:val="2"/>
          <w:numId w:val="597"/>
        </w:numPr>
        <w:tabs>
          <w:tab w:pos="1371" w:val="left" w:leader="none"/>
          <w:tab w:pos="3358" w:val="left" w:leader="none"/>
          <w:tab w:pos="3778" w:val="left" w:leader="none"/>
          <w:tab w:pos="4198" w:val="left" w:leader="none"/>
        </w:tabs>
        <w:spacing w:line="446" w:lineRule="auto" w:before="1" w:after="0"/>
        <w:ind w:left="418" w:right="1433" w:firstLine="422"/>
        <w:jc w:val="left"/>
        <w:rPr>
          <w:b/>
          <w:sz w:val="21"/>
        </w:rPr>
      </w:pPr>
      <w:r>
        <w:rPr>
          <w:spacing w:val="-3"/>
          <w:sz w:val="21"/>
        </w:rPr>
        <w:t>消</w:t>
      </w:r>
      <w:r>
        <w:rPr>
          <w:sz w:val="21"/>
        </w:rPr>
        <w:t>防</w:t>
      </w:r>
      <w:r>
        <w:rPr>
          <w:spacing w:val="-3"/>
          <w:sz w:val="21"/>
        </w:rPr>
        <w:t>水</w:t>
      </w:r>
      <w:r>
        <w:rPr>
          <w:sz w:val="21"/>
        </w:rPr>
        <w:t>泵</w:t>
      </w:r>
      <w:r>
        <w:rPr>
          <w:spacing w:val="-15"/>
          <w:sz w:val="21"/>
        </w:rPr>
        <w:t>、</w:t>
      </w:r>
      <w:r>
        <w:rPr>
          <w:sz w:val="21"/>
        </w:rPr>
        <w:t>防</w:t>
      </w:r>
      <w:r>
        <w:rPr>
          <w:spacing w:val="-3"/>
          <w:sz w:val="21"/>
        </w:rPr>
        <w:t>烟和</w:t>
      </w:r>
      <w:r>
        <w:rPr>
          <w:sz w:val="21"/>
        </w:rPr>
        <w:t>排烟</w:t>
      </w:r>
      <w:r>
        <w:rPr>
          <w:spacing w:val="-3"/>
          <w:sz w:val="21"/>
        </w:rPr>
        <w:t>风</w:t>
      </w:r>
      <w:r>
        <w:rPr>
          <w:sz w:val="21"/>
        </w:rPr>
        <w:t>机</w:t>
      </w:r>
      <w:r>
        <w:rPr>
          <w:spacing w:val="-3"/>
          <w:sz w:val="21"/>
        </w:rPr>
        <w:t>的</w:t>
      </w:r>
      <w:r>
        <w:rPr>
          <w:sz w:val="21"/>
        </w:rPr>
        <w:t>控</w:t>
      </w:r>
      <w:r>
        <w:rPr>
          <w:spacing w:val="-3"/>
          <w:sz w:val="21"/>
        </w:rPr>
        <w:t>制</w:t>
      </w:r>
      <w:r>
        <w:rPr>
          <w:sz w:val="21"/>
        </w:rPr>
        <w:t>设</w:t>
      </w:r>
      <w:r>
        <w:rPr>
          <w:spacing w:val="-3"/>
          <w:sz w:val="21"/>
        </w:rPr>
        <w:t>备</w:t>
      </w:r>
      <w:r>
        <w:rPr>
          <w:spacing w:val="-15"/>
          <w:sz w:val="21"/>
        </w:rPr>
        <w:t>，</w:t>
      </w:r>
      <w:r>
        <w:rPr>
          <w:spacing w:val="-3"/>
          <w:sz w:val="21"/>
        </w:rPr>
        <w:t>除</w:t>
      </w:r>
      <w:r>
        <w:rPr>
          <w:sz w:val="21"/>
        </w:rPr>
        <w:t>应采</w:t>
      </w:r>
      <w:r>
        <w:rPr>
          <w:spacing w:val="-3"/>
          <w:sz w:val="21"/>
        </w:rPr>
        <w:t>用</w:t>
      </w:r>
      <w:r>
        <w:rPr>
          <w:sz w:val="21"/>
        </w:rPr>
        <w:t>联</w:t>
      </w:r>
      <w:r>
        <w:rPr>
          <w:spacing w:val="-3"/>
          <w:sz w:val="21"/>
        </w:rPr>
        <w:t>动</w:t>
      </w:r>
      <w:r>
        <w:rPr>
          <w:sz w:val="21"/>
        </w:rPr>
        <w:t>控</w:t>
      </w:r>
      <w:r>
        <w:rPr>
          <w:spacing w:val="-3"/>
          <w:sz w:val="21"/>
        </w:rPr>
        <w:t>制</w:t>
      </w:r>
      <w:r>
        <w:rPr>
          <w:sz w:val="21"/>
        </w:rPr>
        <w:t>方</w:t>
      </w:r>
      <w:r>
        <w:rPr>
          <w:spacing w:val="-3"/>
          <w:sz w:val="21"/>
        </w:rPr>
        <w:t>式外</w:t>
      </w:r>
      <w:r>
        <w:rPr>
          <w:spacing w:val="-15"/>
          <w:sz w:val="21"/>
        </w:rPr>
        <w:t>，</w:t>
      </w:r>
      <w:r>
        <w:rPr>
          <w:sz w:val="21"/>
        </w:rPr>
        <w:t>还应</w:t>
      </w:r>
      <w:r>
        <w:rPr>
          <w:spacing w:val="-3"/>
          <w:sz w:val="21"/>
        </w:rPr>
        <w:t>在</w:t>
      </w:r>
      <w:r>
        <w:rPr>
          <w:sz w:val="21"/>
        </w:rPr>
        <w:t>消</w:t>
      </w:r>
      <w:r>
        <w:rPr>
          <w:spacing w:val="-3"/>
          <w:sz w:val="21"/>
        </w:rPr>
        <w:t>防</w:t>
      </w:r>
      <w:r>
        <w:rPr>
          <w:sz w:val="21"/>
        </w:rPr>
        <w:t>控制室设</w:t>
      </w:r>
      <w:r>
        <w:rPr>
          <w:spacing w:val="-3"/>
          <w:sz w:val="21"/>
        </w:rPr>
        <w:t>置</w:t>
      </w:r>
      <w:r>
        <w:rPr>
          <w:spacing w:val="14"/>
          <w:sz w:val="21"/>
        </w:rPr>
        <w:t> </w:t>
      </w:r>
      <w:r>
        <w:rPr>
          <w:spacing w:val="-3"/>
          <w:sz w:val="21"/>
        </w:rPr>
        <w:t>手</w:t>
      </w:r>
      <w:r>
        <w:rPr>
          <w:sz w:val="21"/>
        </w:rPr>
        <w:t>动</w:t>
      </w:r>
      <w:r>
        <w:rPr>
          <w:spacing w:val="-3"/>
          <w:sz w:val="21"/>
        </w:rPr>
        <w:t>直</w:t>
      </w:r>
      <w:r>
        <w:rPr>
          <w:sz w:val="21"/>
        </w:rPr>
        <w:t>接</w:t>
      </w:r>
      <w:r>
        <w:rPr>
          <w:spacing w:val="-3"/>
          <w:sz w:val="21"/>
        </w:rPr>
        <w:t>控</w:t>
      </w:r>
      <w:r>
        <w:rPr>
          <w:sz w:val="21"/>
        </w:rPr>
        <w:t>制</w:t>
      </w:r>
      <w:r>
        <w:rPr>
          <w:spacing w:val="-3"/>
          <w:sz w:val="21"/>
        </w:rPr>
        <w:t>装置</w:t>
      </w:r>
      <w:r>
        <w:rPr>
          <w:sz w:val="21"/>
        </w:rPr>
        <w:t>。 </w:t>
        <w:tab/>
      </w:r>
      <w:r>
        <w:rPr>
          <w:w w:val="100"/>
          <w:sz w:val="21"/>
        </w:rPr>
        <w:t> </w:t>
      </w:r>
      <w:r>
        <w:rPr>
          <w:b/>
          <w:w w:val="99"/>
          <w:sz w:val="21"/>
        </w:rPr>
        <w:t> </w:t>
      </w:r>
      <w:r>
        <w:rPr>
          <w:b/>
          <w:sz w:val="21"/>
        </w:rPr>
        <w:tab/>
      </w:r>
      <w:r>
        <w:rPr>
          <w:b/>
          <w:w w:val="99"/>
          <w:sz w:val="21"/>
        </w:rPr>
        <w:t>  </w:t>
      </w:r>
      <w:r>
        <w:rPr>
          <w:b/>
          <w:sz w:val="21"/>
        </w:rPr>
        <w:tab/>
      </w:r>
      <w:r>
        <w:rPr>
          <w:b/>
          <w:w w:val="99"/>
          <w:sz w:val="21"/>
        </w:rPr>
        <w:t>  </w:t>
      </w:r>
    </w:p>
    <w:p>
      <w:pPr>
        <w:pStyle w:val="ListParagraph"/>
        <w:numPr>
          <w:ilvl w:val="2"/>
          <w:numId w:val="597"/>
        </w:numPr>
        <w:tabs>
          <w:tab w:pos="1370" w:val="left" w:leader="none"/>
          <w:tab w:pos="5458" w:val="left" w:leader="none"/>
        </w:tabs>
        <w:spacing w:line="267" w:lineRule="exact" w:before="0" w:after="0"/>
        <w:ind w:left="1369" w:right="0" w:hanging="530"/>
        <w:jc w:val="left"/>
        <w:rPr>
          <w:sz w:val="21"/>
        </w:rPr>
      </w:pPr>
      <w:r>
        <w:rPr>
          <w:spacing w:val="-3"/>
          <w:sz w:val="21"/>
        </w:rPr>
        <w:t>启</w:t>
      </w:r>
      <w:r>
        <w:rPr>
          <w:sz w:val="21"/>
        </w:rPr>
        <w:t>动</w:t>
      </w:r>
      <w:r>
        <w:rPr>
          <w:spacing w:val="-3"/>
          <w:sz w:val="21"/>
        </w:rPr>
        <w:t>电</w:t>
      </w:r>
      <w:r>
        <w:rPr>
          <w:sz w:val="21"/>
        </w:rPr>
        <w:t>流</w:t>
      </w:r>
      <w:r>
        <w:rPr>
          <w:spacing w:val="-3"/>
          <w:sz w:val="21"/>
        </w:rPr>
        <w:t>较</w:t>
      </w:r>
      <w:r>
        <w:rPr>
          <w:sz w:val="21"/>
        </w:rPr>
        <w:t>大</w:t>
      </w:r>
      <w:r>
        <w:rPr>
          <w:spacing w:val="-3"/>
          <w:sz w:val="21"/>
        </w:rPr>
        <w:t>的消</w:t>
      </w:r>
      <w:r>
        <w:rPr>
          <w:sz w:val="21"/>
        </w:rPr>
        <w:t>防设</w:t>
      </w:r>
      <w:r>
        <w:rPr>
          <w:spacing w:val="-3"/>
          <w:sz w:val="21"/>
        </w:rPr>
        <w:t>备</w:t>
      </w:r>
      <w:r>
        <w:rPr>
          <w:sz w:val="21"/>
        </w:rPr>
        <w:t>宜</w:t>
      </w:r>
      <w:r>
        <w:rPr>
          <w:spacing w:val="-3"/>
          <w:sz w:val="21"/>
        </w:rPr>
        <w:t>分</w:t>
      </w:r>
      <w:r>
        <w:rPr>
          <w:sz w:val="21"/>
        </w:rPr>
        <w:t>时</w:t>
      </w:r>
      <w:r>
        <w:rPr>
          <w:spacing w:val="-3"/>
          <w:sz w:val="21"/>
        </w:rPr>
        <w:t>启</w:t>
      </w:r>
      <w:r>
        <w:rPr>
          <w:sz w:val="21"/>
        </w:rPr>
        <w:t>动</w:t>
      </w:r>
      <w:r>
        <w:rPr>
          <w:spacing w:val="-3"/>
          <w:sz w:val="21"/>
        </w:rPr>
        <w:t>。</w:t>
      </w:r>
      <w:r>
        <w:rPr>
          <w:sz w:val="21"/>
        </w:rPr>
        <w:t> </w:t>
        <w:tab/>
      </w:r>
      <w:r>
        <w:rPr>
          <w:w w:val="100"/>
          <w:sz w:val="21"/>
        </w:rPr>
        <w:t>  </w:t>
      </w:r>
    </w:p>
    <w:p>
      <w:pPr>
        <w:pStyle w:val="BodyText"/>
        <w:spacing w:before="1"/>
        <w:rPr>
          <w:sz w:val="18"/>
        </w:rPr>
      </w:pPr>
    </w:p>
    <w:p>
      <w:pPr>
        <w:pStyle w:val="ListParagraph"/>
        <w:numPr>
          <w:ilvl w:val="2"/>
          <w:numId w:val="597"/>
        </w:numPr>
        <w:tabs>
          <w:tab w:pos="1370" w:val="left" w:leader="none"/>
        </w:tabs>
        <w:spacing w:line="240" w:lineRule="auto" w:before="0" w:after="0"/>
        <w:ind w:left="1369" w:right="0" w:hanging="530"/>
        <w:jc w:val="left"/>
        <w:rPr>
          <w:sz w:val="21"/>
        </w:rPr>
      </w:pPr>
      <w:r>
        <w:rPr>
          <w:spacing w:val="-5"/>
          <w:sz w:val="21"/>
        </w:rPr>
        <w:t>需要火灾自动报警系统联动控制的消防设备，其联动触发信号应采用两个独立的报警</w:t>
      </w:r>
    </w:p>
    <w:p>
      <w:pPr>
        <w:spacing w:after="0" w:line="240" w:lineRule="auto"/>
        <w:jc w:val="left"/>
        <w:rPr>
          <w:sz w:val="21"/>
        </w:rPr>
        <w:sectPr>
          <w:pgSz w:w="11910" w:h="16850"/>
          <w:pgMar w:header="0" w:footer="1239" w:top="1220" w:bottom="1420" w:left="1260" w:right="0"/>
        </w:sectPr>
      </w:pPr>
    </w:p>
    <w:p>
      <w:pPr>
        <w:tabs>
          <w:tab w:pos="4618" w:val="left" w:leader="none"/>
          <w:tab w:pos="5038" w:val="left" w:leader="none"/>
        </w:tabs>
        <w:spacing w:line="446" w:lineRule="auto" w:before="47"/>
        <w:ind w:left="840" w:right="5394" w:hanging="423"/>
        <w:jc w:val="left"/>
        <w:rPr>
          <w:b/>
          <w:sz w:val="21"/>
        </w:rPr>
      </w:pPr>
      <w:r>
        <w:rPr>
          <w:sz w:val="21"/>
        </w:rPr>
        <w:t>触发</w:t>
      </w:r>
      <w:r>
        <w:rPr>
          <w:spacing w:val="-3"/>
          <w:sz w:val="21"/>
        </w:rPr>
        <w:t>装</w:t>
      </w:r>
      <w:r>
        <w:rPr>
          <w:spacing w:val="20"/>
          <w:sz w:val="21"/>
        </w:rPr>
        <w:t> </w:t>
      </w:r>
      <w:r>
        <w:rPr>
          <w:spacing w:val="-3"/>
          <w:sz w:val="21"/>
        </w:rPr>
        <w:t>置</w:t>
      </w:r>
      <w:r>
        <w:rPr>
          <w:sz w:val="21"/>
        </w:rPr>
        <w:t>报</w:t>
      </w:r>
      <w:r>
        <w:rPr>
          <w:spacing w:val="-3"/>
          <w:sz w:val="21"/>
        </w:rPr>
        <w:t>警</w:t>
      </w:r>
      <w:r>
        <w:rPr>
          <w:sz w:val="21"/>
        </w:rPr>
        <w:t>信</w:t>
      </w:r>
      <w:r>
        <w:rPr>
          <w:spacing w:val="-3"/>
          <w:sz w:val="21"/>
        </w:rPr>
        <w:t>号</w:t>
      </w:r>
      <w:r>
        <w:rPr>
          <w:sz w:val="21"/>
        </w:rPr>
        <w:t>的</w:t>
      </w:r>
      <w:r>
        <w:rPr>
          <w:spacing w:val="-3"/>
          <w:sz w:val="21"/>
        </w:rPr>
        <w:t>“与</w:t>
      </w:r>
      <w:r>
        <w:rPr>
          <w:sz w:val="21"/>
        </w:rPr>
        <w:t>”逻</w:t>
      </w:r>
      <w:r>
        <w:rPr>
          <w:spacing w:val="-3"/>
          <w:sz w:val="21"/>
        </w:rPr>
        <w:t>辑</w:t>
      </w:r>
      <w:r>
        <w:rPr>
          <w:sz w:val="21"/>
        </w:rPr>
        <w:t>组</w:t>
      </w:r>
      <w:r>
        <w:rPr>
          <w:spacing w:val="-3"/>
          <w:sz w:val="21"/>
        </w:rPr>
        <w:t>合。</w:t>
      </w:r>
      <w:r>
        <w:rPr>
          <w:b/>
          <w:w w:val="99"/>
          <w:sz w:val="21"/>
        </w:rPr>
        <w:t>   </w:t>
      </w:r>
      <w:r>
        <w:rPr>
          <w:b/>
          <w:sz w:val="21"/>
        </w:rPr>
        <w:tab/>
      </w:r>
      <w:r>
        <w:rPr>
          <w:b/>
          <w:w w:val="99"/>
          <w:sz w:val="21"/>
        </w:rPr>
        <w:t>  </w:t>
      </w:r>
      <w:r>
        <w:rPr>
          <w:b/>
          <w:sz w:val="21"/>
        </w:rPr>
        <w:tab/>
      </w:r>
      <w:r>
        <w:rPr>
          <w:b/>
          <w:w w:val="99"/>
          <w:sz w:val="21"/>
        </w:rPr>
        <w:t>  </w:t>
      </w:r>
      <w:r>
        <w:rPr>
          <w:b/>
          <w:sz w:val="21"/>
        </w:rPr>
        <w:t>4.2</w:t>
      </w:r>
      <w:r>
        <w:rPr>
          <w:b/>
          <w:spacing w:val="3"/>
          <w:sz w:val="21"/>
        </w:rPr>
        <w:t> </w:t>
      </w:r>
      <w:r>
        <w:rPr>
          <w:spacing w:val="-3"/>
          <w:sz w:val="21"/>
        </w:rPr>
        <w:t>自</w:t>
      </w:r>
      <w:r>
        <w:rPr>
          <w:sz w:val="21"/>
        </w:rPr>
        <w:t>动</w:t>
      </w:r>
      <w:r>
        <w:rPr>
          <w:spacing w:val="-3"/>
          <w:sz w:val="21"/>
        </w:rPr>
        <w:t>喷</w:t>
      </w:r>
      <w:r>
        <w:rPr>
          <w:sz w:val="21"/>
        </w:rPr>
        <w:t>水</w:t>
      </w:r>
      <w:r>
        <w:rPr>
          <w:spacing w:val="-3"/>
          <w:sz w:val="21"/>
        </w:rPr>
        <w:t>灭</w:t>
      </w:r>
      <w:r>
        <w:rPr>
          <w:sz w:val="21"/>
        </w:rPr>
        <w:t>火</w:t>
      </w:r>
      <w:r>
        <w:rPr>
          <w:spacing w:val="-3"/>
          <w:sz w:val="21"/>
        </w:rPr>
        <w:t>系</w:t>
      </w:r>
      <w:r>
        <w:rPr>
          <w:sz w:val="21"/>
        </w:rPr>
        <w:t>统</w:t>
      </w:r>
      <w:r>
        <w:rPr>
          <w:spacing w:val="-3"/>
          <w:sz w:val="21"/>
        </w:rPr>
        <w:t>的</w:t>
      </w:r>
      <w:r>
        <w:rPr>
          <w:sz w:val="21"/>
        </w:rPr>
        <w:t>联动</w:t>
      </w:r>
      <w:r>
        <w:rPr>
          <w:spacing w:val="-3"/>
          <w:sz w:val="21"/>
        </w:rPr>
        <w:t>控</w:t>
      </w:r>
      <w:r>
        <w:rPr>
          <w:sz w:val="21"/>
        </w:rPr>
        <w:t>制</w:t>
      </w:r>
      <w:r>
        <w:rPr>
          <w:spacing w:val="-3"/>
          <w:sz w:val="21"/>
        </w:rPr>
        <w:t>设计</w:t>
      </w:r>
      <w:r>
        <w:rPr>
          <w:b/>
          <w:w w:val="99"/>
          <w:sz w:val="21"/>
        </w:rPr>
        <w:t> </w:t>
      </w:r>
    </w:p>
    <w:p>
      <w:pPr>
        <w:pStyle w:val="ListParagraph"/>
        <w:numPr>
          <w:ilvl w:val="2"/>
          <w:numId w:val="598"/>
        </w:numPr>
        <w:tabs>
          <w:tab w:pos="1424" w:val="left" w:leader="none"/>
        </w:tabs>
        <w:spacing w:line="267" w:lineRule="exact" w:before="0" w:after="0"/>
        <w:ind w:left="1423" w:right="0" w:hanging="584"/>
        <w:jc w:val="left"/>
        <w:rPr>
          <w:b/>
          <w:sz w:val="21"/>
        </w:rPr>
      </w:pPr>
      <w:r>
        <w:rPr>
          <w:spacing w:val="-3"/>
          <w:sz w:val="21"/>
        </w:rPr>
        <w:t>湿式系统和干式系统的联动控制设计，应符合下列规定：</w:t>
      </w:r>
      <w:r>
        <w:rPr>
          <w:b/>
          <w:w w:val="99"/>
          <w:sz w:val="21"/>
        </w:rPr>
        <w:t> </w:t>
      </w:r>
    </w:p>
    <w:p>
      <w:pPr>
        <w:pStyle w:val="BodyText"/>
        <w:spacing w:before="2"/>
        <w:rPr>
          <w:b/>
          <w:sz w:val="18"/>
        </w:rPr>
      </w:pPr>
    </w:p>
    <w:p>
      <w:pPr>
        <w:pStyle w:val="ListParagraph"/>
        <w:numPr>
          <w:ilvl w:val="0"/>
          <w:numId w:val="599"/>
        </w:numPr>
        <w:tabs>
          <w:tab w:pos="1367" w:val="left" w:leader="none"/>
        </w:tabs>
        <w:spacing w:line="446" w:lineRule="auto" w:before="0" w:after="0"/>
        <w:ind w:left="418" w:right="1431" w:firstLine="419"/>
        <w:jc w:val="left"/>
        <w:rPr>
          <w:sz w:val="21"/>
        </w:rPr>
      </w:pPr>
      <w:r>
        <w:rPr>
          <w:spacing w:val="-11"/>
          <w:sz w:val="21"/>
        </w:rPr>
        <w:t>联动控制方式，应由湿式报警阀压力开关的动作信号作为触发信号，直接控制启动喷 </w:t>
      </w:r>
      <w:r>
        <w:rPr>
          <w:spacing w:val="-3"/>
          <w:sz w:val="21"/>
        </w:rPr>
        <w:t>淋消防泵，联动控制不应受消防联动控制器处于自动或手动状态影响。</w:t>
      </w:r>
      <w:r>
        <w:rPr>
          <w:sz w:val="21"/>
        </w:rPr>
        <w:t> </w:t>
      </w:r>
    </w:p>
    <w:p>
      <w:pPr>
        <w:pStyle w:val="ListParagraph"/>
        <w:numPr>
          <w:ilvl w:val="0"/>
          <w:numId w:val="599"/>
        </w:numPr>
        <w:tabs>
          <w:tab w:pos="1365" w:val="left" w:leader="none"/>
        </w:tabs>
        <w:spacing w:line="446" w:lineRule="auto" w:before="0" w:after="0"/>
        <w:ind w:left="418" w:right="1330" w:firstLine="419"/>
        <w:jc w:val="left"/>
        <w:rPr>
          <w:sz w:val="21"/>
        </w:rPr>
      </w:pPr>
      <w:r>
        <w:rPr>
          <w:spacing w:val="-9"/>
          <w:sz w:val="21"/>
        </w:rPr>
        <w:t>手动控制方式，应将喷淋消防泵控制箱</w:t>
      </w:r>
      <w:r>
        <w:rPr>
          <w:sz w:val="21"/>
        </w:rPr>
        <w:t>（</w:t>
      </w:r>
      <w:r>
        <w:rPr>
          <w:spacing w:val="-3"/>
          <w:sz w:val="21"/>
        </w:rPr>
        <w:t>柜</w:t>
      </w:r>
      <w:r>
        <w:rPr>
          <w:spacing w:val="-29"/>
          <w:sz w:val="21"/>
        </w:rPr>
        <w:t>）</w:t>
      </w:r>
      <w:r>
        <w:rPr>
          <w:spacing w:val="-6"/>
          <w:sz w:val="21"/>
        </w:rPr>
        <w:t>的启动、停止按钮用专用线路直接连接至</w:t>
      </w:r>
      <w:r>
        <w:rPr>
          <w:spacing w:val="-9"/>
          <w:sz w:val="21"/>
        </w:rPr>
        <w:t>设置在消防控制室内的消防联动控制器的手动控制盘，直接手动控制喷淋消防泵的启动、停止。</w:t>
      </w:r>
      <w:r>
        <w:rPr>
          <w:sz w:val="21"/>
        </w:rPr>
        <w:t> </w:t>
      </w:r>
    </w:p>
    <w:p>
      <w:pPr>
        <w:pStyle w:val="ListParagraph"/>
        <w:numPr>
          <w:ilvl w:val="0"/>
          <w:numId w:val="599"/>
        </w:numPr>
        <w:tabs>
          <w:tab w:pos="1367" w:val="left" w:leader="none"/>
          <w:tab w:pos="2097" w:val="left" w:leader="none"/>
        </w:tabs>
        <w:spacing w:line="446" w:lineRule="auto" w:before="0" w:after="0"/>
        <w:ind w:left="418" w:right="1431" w:firstLine="419"/>
        <w:jc w:val="left"/>
        <w:rPr>
          <w:sz w:val="21"/>
        </w:rPr>
      </w:pPr>
      <w:r>
        <w:rPr>
          <w:sz w:val="21"/>
        </w:rPr>
        <w:t>水</w:t>
      </w:r>
      <w:r>
        <w:rPr>
          <w:spacing w:val="-3"/>
          <w:sz w:val="21"/>
        </w:rPr>
        <w:t>流</w:t>
      </w:r>
      <w:r>
        <w:rPr>
          <w:sz w:val="21"/>
        </w:rPr>
        <w:t>指</w:t>
      </w:r>
      <w:r>
        <w:rPr>
          <w:spacing w:val="-3"/>
          <w:sz w:val="21"/>
        </w:rPr>
        <w:t>示器</w:t>
      </w:r>
      <w:r>
        <w:rPr>
          <w:spacing w:val="-34"/>
          <w:sz w:val="21"/>
        </w:rPr>
        <w:t>、</w:t>
      </w:r>
      <w:r>
        <w:rPr>
          <w:spacing w:val="-3"/>
          <w:sz w:val="21"/>
        </w:rPr>
        <w:t>信</w:t>
      </w:r>
      <w:r>
        <w:rPr>
          <w:sz w:val="21"/>
        </w:rPr>
        <w:t>号</w:t>
      </w:r>
      <w:r>
        <w:rPr>
          <w:spacing w:val="-3"/>
          <w:sz w:val="21"/>
        </w:rPr>
        <w:t>阀</w:t>
      </w:r>
      <w:r>
        <w:rPr>
          <w:spacing w:val="-34"/>
          <w:sz w:val="21"/>
        </w:rPr>
        <w:t>、</w:t>
      </w:r>
      <w:r>
        <w:rPr>
          <w:spacing w:val="-3"/>
          <w:sz w:val="21"/>
        </w:rPr>
        <w:t>压</w:t>
      </w:r>
      <w:r>
        <w:rPr>
          <w:sz w:val="21"/>
        </w:rPr>
        <w:t>力</w:t>
      </w:r>
      <w:r>
        <w:rPr>
          <w:spacing w:val="-3"/>
          <w:sz w:val="21"/>
        </w:rPr>
        <w:t>开</w:t>
      </w:r>
      <w:r>
        <w:rPr>
          <w:sz w:val="21"/>
        </w:rPr>
        <w:t>关</w:t>
      </w:r>
      <w:r>
        <w:rPr>
          <w:spacing w:val="-36"/>
          <w:sz w:val="21"/>
        </w:rPr>
        <w:t>、</w:t>
      </w:r>
      <w:r>
        <w:rPr>
          <w:sz w:val="21"/>
        </w:rPr>
        <w:t>喷</w:t>
      </w:r>
      <w:r>
        <w:rPr>
          <w:spacing w:val="-3"/>
          <w:sz w:val="21"/>
        </w:rPr>
        <w:t>淋</w:t>
      </w:r>
      <w:r>
        <w:rPr>
          <w:sz w:val="21"/>
        </w:rPr>
        <w:t>消</w:t>
      </w:r>
      <w:r>
        <w:rPr>
          <w:spacing w:val="-3"/>
          <w:sz w:val="21"/>
        </w:rPr>
        <w:t>防</w:t>
      </w:r>
      <w:r>
        <w:rPr>
          <w:sz w:val="21"/>
        </w:rPr>
        <w:t>泵</w:t>
      </w:r>
      <w:r>
        <w:rPr>
          <w:spacing w:val="-3"/>
          <w:sz w:val="21"/>
        </w:rPr>
        <w:t>的</w:t>
      </w:r>
      <w:r>
        <w:rPr>
          <w:sz w:val="21"/>
        </w:rPr>
        <w:t>启动</w:t>
      </w:r>
      <w:r>
        <w:rPr>
          <w:spacing w:val="-3"/>
          <w:sz w:val="21"/>
        </w:rPr>
        <w:t>和</w:t>
      </w:r>
      <w:r>
        <w:rPr>
          <w:sz w:val="21"/>
        </w:rPr>
        <w:t>停</w:t>
      </w:r>
      <w:r>
        <w:rPr>
          <w:spacing w:val="-3"/>
          <w:sz w:val="21"/>
        </w:rPr>
        <w:t>止</w:t>
      </w:r>
      <w:r>
        <w:rPr>
          <w:sz w:val="21"/>
        </w:rPr>
        <w:t>的</w:t>
      </w:r>
      <w:r>
        <w:rPr>
          <w:spacing w:val="-3"/>
          <w:sz w:val="21"/>
        </w:rPr>
        <w:t>动</w:t>
      </w:r>
      <w:r>
        <w:rPr>
          <w:sz w:val="21"/>
        </w:rPr>
        <w:t>作</w:t>
      </w:r>
      <w:r>
        <w:rPr>
          <w:spacing w:val="-3"/>
          <w:sz w:val="21"/>
        </w:rPr>
        <w:t>信</w:t>
      </w:r>
      <w:r>
        <w:rPr>
          <w:sz w:val="21"/>
        </w:rPr>
        <w:t>号</w:t>
      </w:r>
      <w:r>
        <w:rPr>
          <w:spacing w:val="-3"/>
          <w:sz w:val="21"/>
        </w:rPr>
        <w:t>应</w:t>
      </w:r>
      <w:r>
        <w:rPr>
          <w:sz w:val="21"/>
        </w:rPr>
        <w:t>反馈</w:t>
      </w:r>
      <w:r>
        <w:rPr>
          <w:spacing w:val="-3"/>
          <w:sz w:val="21"/>
        </w:rPr>
        <w:t>至</w:t>
      </w:r>
      <w:r>
        <w:rPr>
          <w:sz w:val="21"/>
        </w:rPr>
        <w:t>消</w:t>
      </w:r>
      <w:r>
        <w:rPr>
          <w:spacing w:val="-3"/>
          <w:sz w:val="21"/>
        </w:rPr>
        <w:t>防 </w:t>
      </w:r>
      <w:r>
        <w:rPr>
          <w:sz w:val="21"/>
        </w:rPr>
        <w:t>联动控</w:t>
      </w:r>
      <w:r>
        <w:rPr>
          <w:spacing w:val="-3"/>
          <w:sz w:val="21"/>
        </w:rPr>
        <w:t>制</w:t>
      </w:r>
      <w:r>
        <w:rPr>
          <w:sz w:val="21"/>
        </w:rPr>
        <w:t>器</w:t>
      </w:r>
      <w:r>
        <w:rPr>
          <w:spacing w:val="-3"/>
          <w:sz w:val="21"/>
        </w:rPr>
        <w:t>。</w:t>
      </w:r>
      <w:r>
        <w:rPr>
          <w:sz w:val="21"/>
        </w:rPr>
        <w:t> </w:t>
      </w:r>
      <w:r>
        <w:rPr>
          <w:spacing w:val="-2"/>
          <w:sz w:val="21"/>
        </w:rPr>
        <w:t> </w:t>
      </w:r>
      <w:r>
        <w:rPr>
          <w:w w:val="100"/>
          <w:sz w:val="21"/>
        </w:rPr>
        <w:t>  </w:t>
      </w:r>
      <w:r>
        <w:rPr>
          <w:sz w:val="21"/>
        </w:rPr>
        <w:tab/>
      </w:r>
      <w:r>
        <w:rPr>
          <w:w w:val="100"/>
          <w:sz w:val="21"/>
        </w:rPr>
        <w:t>  </w:t>
      </w:r>
    </w:p>
    <w:p>
      <w:pPr>
        <w:pStyle w:val="ListParagraph"/>
        <w:numPr>
          <w:ilvl w:val="2"/>
          <w:numId w:val="598"/>
        </w:numPr>
        <w:tabs>
          <w:tab w:pos="1371" w:val="left" w:leader="none"/>
        </w:tabs>
        <w:spacing w:line="240" w:lineRule="auto" w:before="0" w:after="0"/>
        <w:ind w:left="1370" w:right="0" w:hanging="531"/>
        <w:jc w:val="left"/>
        <w:rPr>
          <w:b/>
          <w:sz w:val="21"/>
        </w:rPr>
      </w:pPr>
      <w:r>
        <w:rPr>
          <w:spacing w:val="-3"/>
          <w:sz w:val="21"/>
        </w:rPr>
        <w:t>预作用系统的联动控制设计，应符合下列规定：</w:t>
      </w:r>
      <w:r>
        <w:rPr>
          <w:b/>
          <w:w w:val="99"/>
          <w:sz w:val="21"/>
        </w:rPr>
        <w:t> </w:t>
      </w:r>
    </w:p>
    <w:p>
      <w:pPr>
        <w:pStyle w:val="BodyText"/>
        <w:spacing w:before="10"/>
        <w:rPr>
          <w:b/>
          <w:sz w:val="17"/>
        </w:rPr>
      </w:pPr>
    </w:p>
    <w:p>
      <w:pPr>
        <w:pStyle w:val="ListParagraph"/>
        <w:numPr>
          <w:ilvl w:val="0"/>
          <w:numId w:val="600"/>
        </w:numPr>
        <w:tabs>
          <w:tab w:pos="1370" w:val="left" w:leader="none"/>
        </w:tabs>
        <w:spacing w:line="446" w:lineRule="auto" w:before="0" w:after="0"/>
        <w:ind w:left="418" w:right="1330" w:firstLine="419"/>
        <w:jc w:val="both"/>
        <w:rPr>
          <w:sz w:val="21"/>
        </w:rPr>
      </w:pPr>
      <w:r>
        <w:rPr>
          <w:sz w:val="21"/>
        </w:rPr>
        <w:t>联动控制方式，应由同一报警区域内两只及以上独立的感烟火灾探测器或一只感烟火灾探测 器与一只手动火灾报警按钮的报警信号，作为预作用阀组开启的联动触发信号。由消防</w:t>
      </w:r>
      <w:r>
        <w:rPr>
          <w:spacing w:val="-9"/>
          <w:sz w:val="21"/>
        </w:rPr>
        <w:t>联动控制器 控制预作用阀组的开启，使系统转变为湿式系统；当系统设有快速排气装置时，应联</w:t>
      </w:r>
      <w:r>
        <w:rPr>
          <w:spacing w:val="-3"/>
          <w:sz w:val="21"/>
        </w:rPr>
        <w:t>动控制排气阀 前的电动阀的开启。湿式系统的联动控制设计应符合本规范第 </w:t>
      </w:r>
      <w:r>
        <w:rPr>
          <w:sz w:val="21"/>
        </w:rPr>
        <w:t>4.2.1</w:t>
      </w:r>
      <w:r>
        <w:rPr>
          <w:spacing w:val="-12"/>
          <w:sz w:val="21"/>
        </w:rPr>
        <w:t> 条的规定。</w:t>
      </w:r>
      <w:r>
        <w:rPr>
          <w:sz w:val="21"/>
        </w:rPr>
        <w:t> </w:t>
      </w:r>
    </w:p>
    <w:p>
      <w:pPr>
        <w:pStyle w:val="ListParagraph"/>
        <w:numPr>
          <w:ilvl w:val="0"/>
          <w:numId w:val="600"/>
        </w:numPr>
        <w:tabs>
          <w:tab w:pos="1365" w:val="left" w:leader="none"/>
        </w:tabs>
        <w:spacing w:line="446" w:lineRule="auto" w:before="0" w:after="0"/>
        <w:ind w:left="418" w:right="1330" w:firstLine="419"/>
        <w:jc w:val="both"/>
        <w:rPr>
          <w:sz w:val="21"/>
        </w:rPr>
      </w:pPr>
      <w:r>
        <w:rPr>
          <w:spacing w:val="-9"/>
          <w:sz w:val="21"/>
        </w:rPr>
        <w:t>手动控制方式，应将喷淋消防泵控制箱</w:t>
      </w:r>
      <w:r>
        <w:rPr>
          <w:sz w:val="21"/>
        </w:rPr>
        <w:t>（</w:t>
      </w:r>
      <w:r>
        <w:rPr>
          <w:spacing w:val="-3"/>
          <w:sz w:val="21"/>
        </w:rPr>
        <w:t>柜</w:t>
      </w:r>
      <w:r>
        <w:rPr>
          <w:spacing w:val="-29"/>
          <w:sz w:val="21"/>
        </w:rPr>
        <w:t>）</w:t>
      </w:r>
      <w:r>
        <w:rPr>
          <w:spacing w:val="-6"/>
          <w:sz w:val="21"/>
        </w:rPr>
        <w:t>的启动和停止按钮、预作用阀组和快速排</w:t>
      </w:r>
      <w:r>
        <w:rPr>
          <w:sz w:val="21"/>
        </w:rPr>
        <w:t>气阀 入口前的电动阀的启动和停止按钮，用专用线路直接连接至设置在消防控制室内的消防联</w:t>
      </w:r>
      <w:r>
        <w:rPr>
          <w:spacing w:val="-3"/>
          <w:sz w:val="21"/>
        </w:rPr>
        <w:t>动控制器的手动控制盘，直接手动控制喷淋消防泵的启动、停止及预作用阀组和电动阀的开启。</w:t>
      </w:r>
      <w:r>
        <w:rPr>
          <w:sz w:val="21"/>
        </w:rPr>
        <w:t> </w:t>
      </w:r>
    </w:p>
    <w:p>
      <w:pPr>
        <w:pStyle w:val="ListParagraph"/>
        <w:numPr>
          <w:ilvl w:val="0"/>
          <w:numId w:val="600"/>
        </w:numPr>
        <w:tabs>
          <w:tab w:pos="1365" w:val="left" w:leader="none"/>
        </w:tabs>
        <w:spacing w:line="446" w:lineRule="auto" w:before="0" w:after="0"/>
        <w:ind w:left="418" w:right="1431" w:firstLine="419"/>
        <w:jc w:val="left"/>
        <w:rPr>
          <w:sz w:val="21"/>
        </w:rPr>
      </w:pPr>
      <w:r>
        <w:rPr>
          <w:spacing w:val="-12"/>
          <w:sz w:val="21"/>
        </w:rPr>
        <w:t>水流指示器、信号阀、压力开关、喷淋消防泵的启动和停止的动作信号，有压气体管 </w:t>
      </w:r>
      <w:r>
        <w:rPr>
          <w:spacing w:val="-3"/>
          <w:sz w:val="21"/>
        </w:rPr>
        <w:t>道气压状态信号和快速排气阀入口前电动阀的动作信号应反馈至消防联动控制器。</w:t>
      </w:r>
      <w:r>
        <w:rPr>
          <w:sz w:val="21"/>
        </w:rPr>
        <w:t> </w:t>
      </w:r>
    </w:p>
    <w:p>
      <w:pPr>
        <w:spacing w:before="0"/>
        <w:ind w:left="838" w:right="0" w:firstLine="0"/>
        <w:jc w:val="left"/>
        <w:rPr>
          <w:sz w:val="21"/>
        </w:rPr>
      </w:pPr>
      <w:r>
        <w:rPr>
          <w:w w:val="100"/>
          <w:sz w:val="21"/>
        </w:rPr>
        <w:t> </w:t>
      </w:r>
      <w:r>
        <w:rPr>
          <w:b/>
          <w:sz w:val="21"/>
        </w:rPr>
        <w:t>4.2.3</w:t>
      </w:r>
      <w:r>
        <w:rPr>
          <w:b/>
          <w:spacing w:val="-51"/>
          <w:sz w:val="21"/>
        </w:rPr>
        <w:t> </w:t>
      </w:r>
      <w:r>
        <w:rPr>
          <w:spacing w:val="-3"/>
          <w:sz w:val="21"/>
        </w:rPr>
        <w:t>雨淋系统的联动控制设计，应符合下列规定： </w:t>
      </w:r>
    </w:p>
    <w:p>
      <w:pPr>
        <w:pStyle w:val="BodyText"/>
        <w:spacing w:before="9"/>
        <w:rPr>
          <w:sz w:val="17"/>
        </w:rPr>
      </w:pPr>
    </w:p>
    <w:p>
      <w:pPr>
        <w:pStyle w:val="ListParagraph"/>
        <w:numPr>
          <w:ilvl w:val="0"/>
          <w:numId w:val="601"/>
        </w:numPr>
        <w:tabs>
          <w:tab w:pos="1370" w:val="left" w:leader="none"/>
        </w:tabs>
        <w:spacing w:line="446" w:lineRule="auto" w:before="1" w:after="0"/>
        <w:ind w:left="418" w:right="1431" w:firstLine="419"/>
        <w:jc w:val="both"/>
        <w:rPr>
          <w:sz w:val="21"/>
        </w:rPr>
      </w:pPr>
      <w:r>
        <w:rPr>
          <w:sz w:val="21"/>
        </w:rPr>
        <w:t>联动控制方式，应由同一报警区域内两只及以上独立的感温火灾探测器或一只感温火</w:t>
      </w:r>
      <w:r>
        <w:rPr>
          <w:spacing w:val="-5"/>
          <w:sz w:val="21"/>
        </w:rPr>
        <w:t>灾探测器与一只手动火灾报警按钮的报警信号，作为雨淋阀组开启的联动触发信号。应由消防联</w:t>
      </w:r>
      <w:r>
        <w:rPr>
          <w:spacing w:val="-4"/>
          <w:sz w:val="21"/>
        </w:rPr>
        <w:t>动控制器 控制雨淋阀组的开启。</w:t>
      </w:r>
      <w:r>
        <w:rPr>
          <w:sz w:val="21"/>
        </w:rPr>
        <w:t> </w:t>
      </w:r>
    </w:p>
    <w:p>
      <w:pPr>
        <w:pStyle w:val="ListParagraph"/>
        <w:numPr>
          <w:ilvl w:val="0"/>
          <w:numId w:val="601"/>
        </w:numPr>
        <w:tabs>
          <w:tab w:pos="1365" w:val="left" w:leader="none"/>
        </w:tabs>
        <w:spacing w:line="446" w:lineRule="auto" w:before="0" w:after="0"/>
        <w:ind w:left="418" w:right="1431" w:firstLine="419"/>
        <w:jc w:val="both"/>
        <w:rPr>
          <w:sz w:val="21"/>
        </w:rPr>
      </w:pPr>
      <w:r>
        <w:rPr>
          <w:spacing w:val="-9"/>
          <w:sz w:val="21"/>
        </w:rPr>
        <w:t>手动控制方式，应将雨淋消防泵控制箱</w:t>
      </w:r>
      <w:r>
        <w:rPr>
          <w:sz w:val="21"/>
        </w:rPr>
        <w:t>（</w:t>
      </w:r>
      <w:r>
        <w:rPr>
          <w:spacing w:val="-3"/>
          <w:sz w:val="21"/>
        </w:rPr>
        <w:t>柜</w:t>
      </w:r>
      <w:r>
        <w:rPr>
          <w:spacing w:val="-29"/>
          <w:sz w:val="21"/>
        </w:rPr>
        <w:t>）</w:t>
      </w:r>
      <w:r>
        <w:rPr>
          <w:spacing w:val="-6"/>
          <w:sz w:val="21"/>
        </w:rPr>
        <w:t>的启动和停止按钮、雨淋阀组的启动和 </w:t>
      </w:r>
      <w:r>
        <w:rPr>
          <w:sz w:val="21"/>
        </w:rPr>
        <w:t>停止按 钮，用专用线路直接连接至设置在消防控制室内的消防联动控制器的手动控制盘，直接</w:t>
      </w:r>
      <w:r>
        <w:rPr>
          <w:spacing w:val="-3"/>
          <w:sz w:val="21"/>
        </w:rPr>
        <w:t>手动控制雨 淋消防泵的启动、停止及雨淋阀组的开启。 </w:t>
      </w:r>
    </w:p>
    <w:p>
      <w:pPr>
        <w:pStyle w:val="ListParagraph"/>
        <w:numPr>
          <w:ilvl w:val="0"/>
          <w:numId w:val="601"/>
        </w:numPr>
        <w:tabs>
          <w:tab w:pos="1367" w:val="left" w:leader="none"/>
        </w:tabs>
        <w:spacing w:line="446" w:lineRule="auto" w:before="0" w:after="0"/>
        <w:ind w:left="418" w:right="1431" w:firstLine="419"/>
        <w:jc w:val="both"/>
        <w:rPr>
          <w:sz w:val="21"/>
        </w:rPr>
      </w:pPr>
      <w:r>
        <w:rPr>
          <w:spacing w:val="-13"/>
          <w:sz w:val="21"/>
        </w:rPr>
        <w:t>水流指示器，压力开关，雨淋阀组、雨淋消防泵的启动和停止的动作信号应反馈至消 </w:t>
      </w:r>
      <w:r>
        <w:rPr>
          <w:spacing w:val="-3"/>
          <w:sz w:val="21"/>
        </w:rPr>
        <w:t>防联动控制器。</w:t>
      </w:r>
      <w:r>
        <w:rPr>
          <w:sz w:val="21"/>
        </w:rPr>
        <w:t>   </w:t>
      </w:r>
      <w:r>
        <w:rPr>
          <w:spacing w:val="-1"/>
          <w:sz w:val="21"/>
        </w:rPr>
        <w:t> </w:t>
      </w:r>
      <w:r>
        <w:rPr>
          <w:w w:val="100"/>
          <w:sz w:val="21"/>
        </w:rPr>
        <w:t>  </w:t>
      </w:r>
    </w:p>
    <w:p>
      <w:pPr>
        <w:spacing w:after="0" w:line="446" w:lineRule="auto"/>
        <w:jc w:val="both"/>
        <w:rPr>
          <w:sz w:val="21"/>
        </w:rPr>
        <w:sectPr>
          <w:pgSz w:w="11910" w:h="16850"/>
          <w:pgMar w:header="0" w:footer="1239" w:top="1220" w:bottom="1420" w:left="1260" w:right="0"/>
        </w:sectPr>
      </w:pPr>
    </w:p>
    <w:p>
      <w:pPr>
        <w:spacing w:before="47"/>
        <w:ind w:left="840" w:right="0" w:firstLine="0"/>
        <w:jc w:val="left"/>
        <w:rPr>
          <w:b/>
          <w:sz w:val="21"/>
        </w:rPr>
      </w:pPr>
      <w:r>
        <w:rPr>
          <w:b/>
          <w:sz w:val="21"/>
        </w:rPr>
        <w:t>4.2.4 </w:t>
      </w:r>
      <w:r>
        <w:rPr>
          <w:sz w:val="21"/>
        </w:rPr>
        <w:t>自动控制的水幕系统的联动控制设计，应符合下列规定：</w:t>
      </w:r>
      <w:r>
        <w:rPr>
          <w:b/>
          <w:w w:val="99"/>
          <w:sz w:val="21"/>
        </w:rPr>
        <w:t> </w:t>
      </w:r>
    </w:p>
    <w:p>
      <w:pPr>
        <w:pStyle w:val="BodyText"/>
        <w:rPr>
          <w:b/>
          <w:sz w:val="18"/>
        </w:rPr>
      </w:pPr>
    </w:p>
    <w:p>
      <w:pPr>
        <w:pStyle w:val="ListParagraph"/>
        <w:numPr>
          <w:ilvl w:val="0"/>
          <w:numId w:val="602"/>
        </w:numPr>
        <w:tabs>
          <w:tab w:pos="1367" w:val="left" w:leader="none"/>
        </w:tabs>
        <w:spacing w:line="446" w:lineRule="auto" w:before="0" w:after="0"/>
        <w:ind w:left="418" w:right="1431" w:firstLine="419"/>
        <w:jc w:val="both"/>
        <w:rPr>
          <w:sz w:val="21"/>
        </w:rPr>
      </w:pPr>
      <w:r>
        <w:rPr>
          <w:spacing w:val="-11"/>
          <w:sz w:val="21"/>
        </w:rPr>
        <w:t>联动控制方式，当自动控制的水幕系统用于防火卷帘的保护时，应由防火卷帘下落到 </w:t>
      </w:r>
      <w:r>
        <w:rPr>
          <w:sz w:val="21"/>
        </w:rPr>
        <w:t>楼板面的动作信号与本报警区域内任一火灾探测器或手动火灾报警按钮的报警信号作为水幕阀组启动的联 动触发信号，并应由消防联动控制器联动控制水幕系统相关控制阀组的启动；仅用</w:t>
      </w:r>
      <w:r>
        <w:rPr>
          <w:spacing w:val="-7"/>
          <w:sz w:val="21"/>
        </w:rPr>
        <w:t>水幕系统作为防火分隔时，应由该报警区域内两只独立的感温火灾探测器的火灾报警信号作为水</w:t>
      </w:r>
      <w:r>
        <w:rPr>
          <w:spacing w:val="-3"/>
          <w:sz w:val="21"/>
        </w:rPr>
        <w:t>幕阀组启动的联动 触发信号，并应由消防联动控制器联动控制水幕系统相关控制阀组的启动。 </w:t>
      </w:r>
    </w:p>
    <w:p>
      <w:pPr>
        <w:pStyle w:val="ListParagraph"/>
        <w:numPr>
          <w:ilvl w:val="0"/>
          <w:numId w:val="602"/>
        </w:numPr>
        <w:tabs>
          <w:tab w:pos="1365" w:val="left" w:leader="none"/>
        </w:tabs>
        <w:spacing w:line="446" w:lineRule="auto" w:before="0" w:after="0"/>
        <w:ind w:left="418" w:right="1431" w:firstLine="419"/>
        <w:jc w:val="both"/>
        <w:rPr>
          <w:sz w:val="21"/>
        </w:rPr>
      </w:pPr>
      <w:r>
        <w:rPr>
          <w:spacing w:val="-8"/>
          <w:sz w:val="21"/>
        </w:rPr>
        <w:t>手动控制方式，应将水幕系统相关控制阀组和消防泵控制箱</w:t>
      </w:r>
      <w:r>
        <w:rPr>
          <w:sz w:val="21"/>
        </w:rPr>
        <w:t>（</w:t>
      </w:r>
      <w:r>
        <w:rPr>
          <w:spacing w:val="-3"/>
          <w:sz w:val="21"/>
        </w:rPr>
        <w:t>柜</w:t>
      </w:r>
      <w:r>
        <w:rPr>
          <w:spacing w:val="-29"/>
          <w:sz w:val="21"/>
        </w:rPr>
        <w:t>）</w:t>
      </w:r>
      <w:r>
        <w:rPr>
          <w:spacing w:val="-7"/>
          <w:sz w:val="21"/>
        </w:rPr>
        <w:t>的启动、停止按钮 </w:t>
      </w:r>
      <w:r>
        <w:rPr>
          <w:sz w:val="21"/>
        </w:rPr>
        <w:t>用专用 线路直接连接至设置在消防控制室内的消防联动控制器的手动控制盘，并应直接手动控</w:t>
      </w:r>
      <w:r>
        <w:rPr>
          <w:spacing w:val="-3"/>
          <w:sz w:val="21"/>
        </w:rPr>
        <w:t>制消防泵的 启动、停止及水幕系统相关控制阀组的开启。</w:t>
      </w:r>
      <w:r>
        <w:rPr>
          <w:sz w:val="21"/>
        </w:rPr>
        <w:t> </w:t>
      </w:r>
    </w:p>
    <w:p>
      <w:pPr>
        <w:pStyle w:val="ListParagraph"/>
        <w:numPr>
          <w:ilvl w:val="0"/>
          <w:numId w:val="602"/>
        </w:numPr>
        <w:tabs>
          <w:tab w:pos="1367" w:val="left" w:leader="none"/>
        </w:tabs>
        <w:spacing w:line="446" w:lineRule="auto" w:before="0" w:after="0"/>
        <w:ind w:left="418" w:right="1431" w:firstLine="419"/>
        <w:jc w:val="left"/>
        <w:rPr>
          <w:sz w:val="21"/>
        </w:rPr>
      </w:pPr>
      <w:r>
        <w:rPr>
          <w:spacing w:val="-11"/>
          <w:sz w:val="21"/>
        </w:rPr>
        <w:t>压力开关、水幕系统相关控制阀组和消防泵的启动、停止的动作信号，应反馈至消防 </w:t>
      </w:r>
      <w:r>
        <w:rPr>
          <w:spacing w:val="-3"/>
          <w:sz w:val="21"/>
        </w:rPr>
        <w:t>联动控 制器。</w:t>
      </w:r>
      <w:r>
        <w:rPr>
          <w:sz w:val="21"/>
        </w:rPr>
        <w:t>   </w:t>
      </w:r>
    </w:p>
    <w:p>
      <w:pPr>
        <w:pStyle w:val="ListParagraph"/>
        <w:numPr>
          <w:ilvl w:val="1"/>
          <w:numId w:val="603"/>
        </w:numPr>
        <w:tabs>
          <w:tab w:pos="1159" w:val="left" w:leader="none"/>
        </w:tabs>
        <w:spacing w:line="267" w:lineRule="exact" w:before="0" w:after="0"/>
        <w:ind w:left="1158" w:right="0" w:hanging="319"/>
        <w:jc w:val="left"/>
        <w:rPr>
          <w:sz w:val="21"/>
        </w:rPr>
      </w:pPr>
      <w:r>
        <w:rPr>
          <w:spacing w:val="-3"/>
          <w:sz w:val="21"/>
        </w:rPr>
        <w:t>消火栓系统的联动控制设计 </w:t>
      </w:r>
    </w:p>
    <w:p>
      <w:pPr>
        <w:pStyle w:val="BodyText"/>
        <w:rPr>
          <w:sz w:val="18"/>
        </w:rPr>
      </w:pPr>
    </w:p>
    <w:p>
      <w:pPr>
        <w:pStyle w:val="ListParagraph"/>
        <w:numPr>
          <w:ilvl w:val="2"/>
          <w:numId w:val="603"/>
        </w:numPr>
        <w:tabs>
          <w:tab w:pos="1438" w:val="left" w:leader="none"/>
        </w:tabs>
        <w:spacing w:line="446" w:lineRule="auto" w:before="0" w:after="0"/>
        <w:ind w:left="418" w:right="1431" w:firstLine="422"/>
        <w:jc w:val="both"/>
        <w:rPr>
          <w:sz w:val="21"/>
        </w:rPr>
      </w:pPr>
      <w:r>
        <w:rPr>
          <w:spacing w:val="-3"/>
          <w:sz w:val="21"/>
        </w:rPr>
        <w:t>联动控制方式，应由消火栓系统出水干管上设置的低压压力开关、高位消防水箱出水</w:t>
      </w:r>
      <w:r>
        <w:rPr>
          <w:sz w:val="21"/>
        </w:rPr>
        <w:t>管上设置 的流量开关或报警阀压力开关等信号作为触发信号，直接控制启动消火栓泵，联动控制不应受消防 联动控制器处于自动或手动状态影响。当设置消火栓按钮时，消火栓按钮的动作信号应作为报警信 号及启动消火栓泵的联动触发信号，由消防联动控制器联动控制消火栓泵的</w:t>
      </w:r>
      <w:r>
        <w:rPr>
          <w:spacing w:val="-1"/>
          <w:sz w:val="21"/>
        </w:rPr>
        <w:t>启动。</w:t>
      </w:r>
      <w:r>
        <w:rPr>
          <w:sz w:val="21"/>
        </w:rPr>
        <w:t> </w:t>
      </w:r>
    </w:p>
    <w:p>
      <w:pPr>
        <w:pStyle w:val="ListParagraph"/>
        <w:numPr>
          <w:ilvl w:val="2"/>
          <w:numId w:val="603"/>
        </w:numPr>
        <w:tabs>
          <w:tab w:pos="1438" w:val="left" w:leader="none"/>
        </w:tabs>
        <w:spacing w:line="446" w:lineRule="auto" w:before="0" w:after="0"/>
        <w:ind w:left="418" w:right="1431" w:firstLine="422"/>
        <w:jc w:val="both"/>
        <w:rPr>
          <w:sz w:val="21"/>
        </w:rPr>
      </w:pPr>
      <w:r>
        <w:rPr>
          <w:spacing w:val="-3"/>
          <w:sz w:val="21"/>
        </w:rPr>
        <w:t>手动控制方式，应将消火栓泵控制箱（</w:t>
      </w:r>
      <w:r>
        <w:rPr>
          <w:sz w:val="21"/>
        </w:rPr>
        <w:t>柜</w:t>
      </w:r>
      <w:r>
        <w:rPr>
          <w:spacing w:val="-3"/>
          <w:sz w:val="21"/>
        </w:rPr>
        <w:t>）的启动、停止按钮用专用线路直接连接至</w:t>
      </w:r>
      <w:r>
        <w:rPr>
          <w:sz w:val="21"/>
        </w:rPr>
        <w:t>设置在消 防控制室内的消防联动控制器的手动控制盘，并应直接手动控制消火栓泵的启动、停止。 </w:t>
      </w:r>
      <w:r>
        <w:rPr>
          <w:spacing w:val="-3"/>
          <w:sz w:val="21"/>
        </w:rPr>
        <w:t> </w:t>
      </w:r>
      <w:r>
        <w:rPr>
          <w:sz w:val="21"/>
        </w:rPr>
        <w:t> </w:t>
      </w:r>
    </w:p>
    <w:p>
      <w:pPr>
        <w:pStyle w:val="ListParagraph"/>
        <w:numPr>
          <w:ilvl w:val="2"/>
          <w:numId w:val="603"/>
        </w:numPr>
        <w:tabs>
          <w:tab w:pos="1370" w:val="left" w:leader="none"/>
        </w:tabs>
        <w:spacing w:line="268" w:lineRule="exact" w:before="0" w:after="0"/>
        <w:ind w:left="1369" w:right="0" w:hanging="530"/>
        <w:jc w:val="both"/>
        <w:rPr>
          <w:sz w:val="21"/>
        </w:rPr>
      </w:pPr>
      <w:r>
        <w:rPr>
          <w:spacing w:val="-3"/>
          <w:sz w:val="21"/>
        </w:rPr>
        <w:t>消火栓泵的动作信号应反馈至消防联动控制器。</w:t>
      </w:r>
      <w:r>
        <w:rPr>
          <w:sz w:val="21"/>
        </w:rPr>
        <w:t>   </w:t>
      </w:r>
      <w:r>
        <w:rPr>
          <w:spacing w:val="-8"/>
          <w:sz w:val="21"/>
        </w:rPr>
        <w:t> </w:t>
      </w:r>
      <w:r>
        <w:rPr>
          <w:w w:val="100"/>
          <w:sz w:val="21"/>
        </w:rPr>
        <w:t>  </w:t>
      </w:r>
      <w:r>
        <w:rPr>
          <w:sz w:val="21"/>
        </w:rPr>
        <w:t> </w:t>
      </w:r>
      <w:r>
        <w:rPr>
          <w:spacing w:val="-2"/>
          <w:sz w:val="21"/>
        </w:rPr>
        <w:t> </w:t>
      </w:r>
      <w:r>
        <w:rPr>
          <w:w w:val="100"/>
          <w:sz w:val="21"/>
        </w:rPr>
        <w:t>  </w:t>
      </w:r>
    </w:p>
    <w:p>
      <w:pPr>
        <w:pStyle w:val="BodyText"/>
        <w:spacing w:before="11"/>
        <w:rPr>
          <w:sz w:val="17"/>
        </w:rPr>
      </w:pPr>
    </w:p>
    <w:p>
      <w:pPr>
        <w:pStyle w:val="ListParagraph"/>
        <w:numPr>
          <w:ilvl w:val="1"/>
          <w:numId w:val="603"/>
        </w:numPr>
        <w:tabs>
          <w:tab w:pos="1159" w:val="left" w:leader="none"/>
        </w:tabs>
        <w:spacing w:line="240" w:lineRule="auto" w:before="0" w:after="0"/>
        <w:ind w:left="1158" w:right="0" w:hanging="319"/>
        <w:jc w:val="left"/>
        <w:rPr>
          <w:sz w:val="21"/>
        </w:rPr>
      </w:pPr>
      <w:r>
        <w:rPr>
          <w:spacing w:val="-3"/>
          <w:sz w:val="21"/>
        </w:rPr>
        <w:t>气体灭火系统、泡沫灭火系统的联动控制设计</w:t>
      </w:r>
      <w:r>
        <w:rPr>
          <w:sz w:val="21"/>
        </w:rPr>
        <w:t> </w:t>
      </w:r>
    </w:p>
    <w:p>
      <w:pPr>
        <w:pStyle w:val="BodyText"/>
        <w:spacing w:before="12"/>
        <w:rPr>
          <w:sz w:val="17"/>
        </w:rPr>
      </w:pPr>
    </w:p>
    <w:p>
      <w:pPr>
        <w:pStyle w:val="ListParagraph"/>
        <w:numPr>
          <w:ilvl w:val="2"/>
          <w:numId w:val="603"/>
        </w:numPr>
        <w:tabs>
          <w:tab w:pos="1370" w:val="left" w:leader="none"/>
        </w:tabs>
        <w:spacing w:line="240" w:lineRule="auto" w:before="0" w:after="0"/>
        <w:ind w:left="1369" w:right="0" w:hanging="530"/>
        <w:jc w:val="left"/>
        <w:rPr>
          <w:sz w:val="21"/>
        </w:rPr>
      </w:pPr>
      <w:r>
        <w:rPr>
          <w:spacing w:val="-16"/>
          <w:sz w:val="21"/>
        </w:rPr>
        <w:t>气体灭火系统、泡沫灭火系统应分别由专用的气体灭火控制器、泡沫灭火控制器控制。</w:t>
      </w:r>
      <w:r>
        <w:rPr>
          <w:sz w:val="21"/>
        </w:rPr>
        <w:t> </w:t>
      </w:r>
    </w:p>
    <w:p>
      <w:pPr>
        <w:pStyle w:val="BodyText"/>
        <w:rPr>
          <w:sz w:val="18"/>
        </w:rPr>
      </w:pPr>
    </w:p>
    <w:p>
      <w:pPr>
        <w:pStyle w:val="ListParagraph"/>
        <w:numPr>
          <w:ilvl w:val="2"/>
          <w:numId w:val="603"/>
        </w:numPr>
        <w:tabs>
          <w:tab w:pos="1370" w:val="left" w:leader="none"/>
        </w:tabs>
        <w:spacing w:line="446" w:lineRule="auto" w:before="0" w:after="0"/>
        <w:ind w:left="418" w:right="1433" w:firstLine="422"/>
        <w:jc w:val="left"/>
        <w:rPr>
          <w:b/>
          <w:sz w:val="21"/>
        </w:rPr>
      </w:pPr>
      <w:r>
        <w:rPr>
          <w:spacing w:val="-7"/>
          <w:sz w:val="21"/>
        </w:rPr>
        <w:t>气体灭火控制器、泡沫灭火控制器直接连接火灾探测器时，气体灭火系统、泡沫灭火</w:t>
      </w:r>
      <w:r>
        <w:rPr>
          <w:spacing w:val="-5"/>
          <w:sz w:val="21"/>
        </w:rPr>
        <w:t>系统的自 动控制方式应符合下列规定：</w:t>
      </w:r>
      <w:r>
        <w:rPr>
          <w:b/>
          <w:w w:val="99"/>
          <w:sz w:val="21"/>
        </w:rPr>
        <w:t> </w:t>
      </w:r>
    </w:p>
    <w:p>
      <w:pPr>
        <w:pStyle w:val="ListParagraph"/>
        <w:numPr>
          <w:ilvl w:val="0"/>
          <w:numId w:val="604"/>
        </w:numPr>
        <w:tabs>
          <w:tab w:pos="1370" w:val="left" w:leader="none"/>
        </w:tabs>
        <w:spacing w:line="446" w:lineRule="auto" w:before="0" w:after="0"/>
        <w:ind w:left="418" w:right="1433" w:firstLine="419"/>
        <w:jc w:val="both"/>
        <w:rPr>
          <w:sz w:val="21"/>
        </w:rPr>
      </w:pPr>
      <w:r>
        <w:rPr>
          <w:sz w:val="21"/>
        </w:rPr>
        <w:t>应由同一防护区域内两只独立的火灾探测器的报警信号、一只火灾探测器与一只手动</w:t>
      </w:r>
      <w:r>
        <w:rPr>
          <w:spacing w:val="-1"/>
          <w:sz w:val="21"/>
        </w:rPr>
        <w:t>火灾报 警按钮的报警信号或防护区外的紧急启动信号，作为系统的联动触发信号，探测器的组</w:t>
      </w:r>
      <w:r>
        <w:rPr>
          <w:spacing w:val="-5"/>
          <w:sz w:val="21"/>
        </w:rPr>
        <w:t>合宜采用感 烟火灾探测器和感温火灾探测器，各类探测器应按本规范第 </w:t>
      </w:r>
      <w:r>
        <w:rPr>
          <w:sz w:val="21"/>
        </w:rPr>
        <w:t>6.2</w:t>
      </w:r>
      <w:r>
        <w:rPr>
          <w:spacing w:val="-2"/>
          <w:sz w:val="21"/>
        </w:rPr>
        <w:t> 节的规定分别计算</w:t>
      </w:r>
    </w:p>
    <w:p>
      <w:pPr>
        <w:spacing w:after="0" w:line="446" w:lineRule="auto"/>
        <w:jc w:val="both"/>
        <w:rPr>
          <w:sz w:val="21"/>
        </w:rPr>
        <w:sectPr>
          <w:pgSz w:w="11910" w:h="16850"/>
          <w:pgMar w:header="0" w:footer="1239" w:top="1220" w:bottom="1420" w:left="1260" w:right="0"/>
        </w:sectPr>
      </w:pPr>
    </w:p>
    <w:p>
      <w:pPr>
        <w:pStyle w:val="BodyText"/>
        <w:spacing w:before="47"/>
        <w:ind w:left="418"/>
      </w:pPr>
      <w:r>
        <w:rPr/>
        <w:t>保护面积。 </w:t>
      </w:r>
    </w:p>
    <w:p>
      <w:pPr>
        <w:pStyle w:val="BodyText"/>
        <w:rPr>
          <w:sz w:val="18"/>
        </w:rPr>
      </w:pPr>
    </w:p>
    <w:p>
      <w:pPr>
        <w:pStyle w:val="ListParagraph"/>
        <w:numPr>
          <w:ilvl w:val="0"/>
          <w:numId w:val="604"/>
        </w:numPr>
        <w:tabs>
          <w:tab w:pos="1365" w:val="left" w:leader="none"/>
        </w:tabs>
        <w:spacing w:line="446" w:lineRule="auto" w:before="0" w:after="0"/>
        <w:ind w:left="418" w:right="1431" w:firstLine="419"/>
        <w:jc w:val="both"/>
        <w:rPr>
          <w:sz w:val="21"/>
        </w:rPr>
      </w:pPr>
      <w:r>
        <w:rPr>
          <w:spacing w:val="-10"/>
          <w:sz w:val="21"/>
        </w:rPr>
        <w:t>气体灭火控制器、泡沫灭火控制器在接收到满足联动逻辑关系的首个联动触发信号后</w:t>
      </w:r>
      <w:r>
        <w:rPr>
          <w:spacing w:val="-5"/>
          <w:sz w:val="21"/>
        </w:rPr>
        <w:t>，应启动设置在该防护区内的火灾声光警报器，且联动触发信号应为任一防护区域内设置的感烟</w:t>
      </w:r>
      <w:r>
        <w:rPr>
          <w:spacing w:val="-6"/>
          <w:sz w:val="21"/>
        </w:rPr>
        <w:t>火灾探测器、其他类型火灾探测器或手动火灾报警按钮的首次报警信号；在接收到第二个联动触</w:t>
      </w:r>
      <w:r>
        <w:rPr>
          <w:spacing w:val="-8"/>
          <w:sz w:val="21"/>
        </w:rPr>
        <w:t>发信号后，应发出联动控制信号，且联动触发信号应为同一防护区域内与首次报警的火灾探测器</w:t>
      </w:r>
      <w:r>
        <w:rPr>
          <w:spacing w:val="-4"/>
          <w:sz w:val="21"/>
        </w:rPr>
        <w:t>或手动火灾报 警按钮相邻的感温火灾探测器、火焰探测器或手动火灾报警按钮的报警信号。</w:t>
      </w:r>
      <w:r>
        <w:rPr>
          <w:sz w:val="21"/>
        </w:rPr>
        <w:t> </w:t>
      </w:r>
    </w:p>
    <w:p>
      <w:pPr>
        <w:pStyle w:val="ListParagraph"/>
        <w:numPr>
          <w:ilvl w:val="0"/>
          <w:numId w:val="604"/>
        </w:numPr>
        <w:tabs>
          <w:tab w:pos="1367" w:val="left" w:leader="none"/>
        </w:tabs>
        <w:spacing w:line="268" w:lineRule="exact" w:before="0" w:after="0"/>
        <w:ind w:left="1367" w:right="0" w:hanging="529"/>
        <w:jc w:val="left"/>
        <w:rPr>
          <w:sz w:val="21"/>
        </w:rPr>
      </w:pPr>
      <w:r>
        <w:rPr>
          <w:spacing w:val="-3"/>
          <w:sz w:val="21"/>
        </w:rPr>
        <w:t>联动控制信号应包括下列内容：</w:t>
      </w:r>
      <w:r>
        <w:rPr>
          <w:sz w:val="21"/>
        </w:rPr>
        <w:t> </w:t>
      </w:r>
    </w:p>
    <w:p>
      <w:pPr>
        <w:pStyle w:val="BodyText"/>
        <w:rPr>
          <w:sz w:val="18"/>
        </w:rPr>
      </w:pPr>
    </w:p>
    <w:p>
      <w:pPr>
        <w:pStyle w:val="ListParagraph"/>
        <w:numPr>
          <w:ilvl w:val="0"/>
          <w:numId w:val="605"/>
        </w:numPr>
        <w:tabs>
          <w:tab w:pos="1156" w:val="left" w:leader="none"/>
        </w:tabs>
        <w:spacing w:line="240" w:lineRule="auto" w:before="0" w:after="0"/>
        <w:ind w:left="1155" w:right="0" w:hanging="318"/>
        <w:jc w:val="left"/>
        <w:rPr>
          <w:sz w:val="21"/>
        </w:rPr>
      </w:pPr>
      <w:r>
        <w:rPr>
          <w:spacing w:val="-3"/>
          <w:sz w:val="21"/>
        </w:rPr>
        <w:t>关闭防护区域的送（排</w:t>
      </w:r>
      <w:r>
        <w:rPr>
          <w:sz w:val="21"/>
        </w:rPr>
        <w:t>）</w:t>
      </w:r>
      <w:r>
        <w:rPr>
          <w:spacing w:val="-3"/>
          <w:sz w:val="21"/>
        </w:rPr>
        <w:t>风机及送</w:t>
      </w:r>
      <w:r>
        <w:rPr>
          <w:sz w:val="21"/>
        </w:rPr>
        <w:t>（</w:t>
      </w:r>
      <w:r>
        <w:rPr>
          <w:spacing w:val="-3"/>
          <w:sz w:val="21"/>
        </w:rPr>
        <w:t>排</w:t>
      </w:r>
      <w:r>
        <w:rPr>
          <w:sz w:val="21"/>
        </w:rPr>
        <w:t>）</w:t>
      </w:r>
      <w:r>
        <w:rPr>
          <w:spacing w:val="-3"/>
          <w:sz w:val="21"/>
        </w:rPr>
        <w:t>风阀门： </w:t>
      </w:r>
    </w:p>
    <w:p>
      <w:pPr>
        <w:pStyle w:val="BodyText"/>
        <w:rPr>
          <w:sz w:val="18"/>
        </w:rPr>
      </w:pPr>
    </w:p>
    <w:p>
      <w:pPr>
        <w:pStyle w:val="ListParagraph"/>
        <w:numPr>
          <w:ilvl w:val="0"/>
          <w:numId w:val="605"/>
        </w:numPr>
        <w:tabs>
          <w:tab w:pos="1156" w:val="left" w:leader="none"/>
        </w:tabs>
        <w:spacing w:line="240" w:lineRule="auto" w:before="0" w:after="0"/>
        <w:ind w:left="1155" w:right="0" w:hanging="318"/>
        <w:jc w:val="left"/>
        <w:rPr>
          <w:sz w:val="21"/>
        </w:rPr>
      </w:pPr>
      <w:r>
        <w:rPr>
          <w:spacing w:val="-3"/>
          <w:sz w:val="21"/>
        </w:rPr>
        <w:t>停止通风和空气调节系统及关闭设置在该防护区域的电动防火阀；</w:t>
      </w:r>
      <w:r>
        <w:rPr>
          <w:sz w:val="21"/>
        </w:rPr>
        <w:t> </w:t>
      </w:r>
    </w:p>
    <w:p>
      <w:pPr>
        <w:pStyle w:val="BodyText"/>
        <w:spacing w:before="2"/>
        <w:rPr>
          <w:sz w:val="18"/>
        </w:rPr>
      </w:pPr>
    </w:p>
    <w:p>
      <w:pPr>
        <w:pStyle w:val="ListParagraph"/>
        <w:numPr>
          <w:ilvl w:val="0"/>
          <w:numId w:val="605"/>
        </w:numPr>
        <w:tabs>
          <w:tab w:pos="1156" w:val="left" w:leader="none"/>
        </w:tabs>
        <w:spacing w:line="240" w:lineRule="auto" w:before="0" w:after="0"/>
        <w:ind w:left="1155" w:right="0" w:hanging="318"/>
        <w:jc w:val="left"/>
        <w:rPr>
          <w:sz w:val="21"/>
        </w:rPr>
      </w:pPr>
      <w:r>
        <w:rPr>
          <w:spacing w:val="-3"/>
          <w:sz w:val="21"/>
        </w:rPr>
        <w:t>联动控制防护区域开口封闭装置的启动，包括关闭防护区域的门、窗； </w:t>
      </w:r>
    </w:p>
    <w:p>
      <w:pPr>
        <w:pStyle w:val="BodyText"/>
        <w:spacing w:before="12"/>
        <w:rPr>
          <w:sz w:val="17"/>
        </w:rPr>
      </w:pPr>
    </w:p>
    <w:p>
      <w:pPr>
        <w:pStyle w:val="ListParagraph"/>
        <w:numPr>
          <w:ilvl w:val="0"/>
          <w:numId w:val="605"/>
        </w:numPr>
        <w:tabs>
          <w:tab w:pos="1159" w:val="left" w:leader="none"/>
        </w:tabs>
        <w:spacing w:line="240" w:lineRule="auto" w:before="0" w:after="0"/>
        <w:ind w:left="1158" w:right="0" w:hanging="321"/>
        <w:jc w:val="left"/>
        <w:rPr>
          <w:sz w:val="21"/>
        </w:rPr>
      </w:pPr>
      <w:r>
        <w:rPr>
          <w:sz w:val="21"/>
        </w:rPr>
        <w:t>启动气体灭火装置、泡沫灭火装置，气体灭火控制器、泡沫灭火控制器，可设定不大于 </w:t>
      </w:r>
    </w:p>
    <w:p>
      <w:pPr>
        <w:pStyle w:val="BodyText"/>
        <w:spacing w:before="12"/>
        <w:rPr>
          <w:sz w:val="17"/>
        </w:rPr>
      </w:pPr>
    </w:p>
    <w:p>
      <w:pPr>
        <w:pStyle w:val="BodyText"/>
        <w:ind w:left="418"/>
        <w:jc w:val="both"/>
      </w:pPr>
      <w:r>
        <w:rPr/>
        <w:t>30s 的延迟喷射时间。 </w:t>
      </w:r>
    </w:p>
    <w:p>
      <w:pPr>
        <w:pStyle w:val="BodyText"/>
        <w:spacing w:before="2"/>
        <w:rPr>
          <w:sz w:val="18"/>
        </w:rPr>
      </w:pPr>
    </w:p>
    <w:p>
      <w:pPr>
        <w:pStyle w:val="ListParagraph"/>
        <w:numPr>
          <w:ilvl w:val="0"/>
          <w:numId w:val="604"/>
        </w:numPr>
        <w:tabs>
          <w:tab w:pos="1367" w:val="left" w:leader="none"/>
        </w:tabs>
        <w:spacing w:line="446" w:lineRule="auto" w:before="0" w:after="0"/>
        <w:ind w:left="418" w:right="1431" w:firstLine="419"/>
        <w:jc w:val="both"/>
        <w:rPr>
          <w:sz w:val="21"/>
        </w:rPr>
      </w:pPr>
      <w:r>
        <w:rPr>
          <w:spacing w:val="-9"/>
          <w:sz w:val="21"/>
        </w:rPr>
        <w:t>平时无人工作的防护区，可设置为无延迟的喷射，应在接收到满足联动逻辑关系的首 </w:t>
      </w:r>
      <w:r>
        <w:rPr>
          <w:spacing w:val="-2"/>
          <w:sz w:val="21"/>
        </w:rPr>
        <w:t>个联动触发信号后按本条第 </w:t>
      </w:r>
      <w:r>
        <w:rPr>
          <w:sz w:val="21"/>
        </w:rPr>
        <w:t>3</w:t>
      </w:r>
      <w:r>
        <w:rPr>
          <w:spacing w:val="-3"/>
          <w:sz w:val="21"/>
        </w:rPr>
        <w:t> 款规定执行除启动气体灭火装置、泡沫灭火装置外的联动控制； 在接收到第 二个联动触发信号后，应启动气体灭火装置、泡沫灭火装置。</w:t>
      </w:r>
      <w:r>
        <w:rPr>
          <w:sz w:val="21"/>
        </w:rPr>
        <w:t> </w:t>
      </w:r>
    </w:p>
    <w:p>
      <w:pPr>
        <w:pStyle w:val="ListParagraph"/>
        <w:numPr>
          <w:ilvl w:val="0"/>
          <w:numId w:val="604"/>
        </w:numPr>
        <w:tabs>
          <w:tab w:pos="1370" w:val="left" w:leader="none"/>
        </w:tabs>
        <w:spacing w:line="446" w:lineRule="auto" w:before="0" w:after="0"/>
        <w:ind w:left="418" w:right="1437" w:firstLine="419"/>
        <w:jc w:val="both"/>
        <w:rPr>
          <w:b/>
          <w:sz w:val="21"/>
        </w:rPr>
      </w:pPr>
      <w:r>
        <w:rPr>
          <w:spacing w:val="-1"/>
          <w:sz w:val="21"/>
        </w:rPr>
        <w:t>气体灭火防护区出口外上方应设置表示气体喷洒的火灾声光警报器，指示气体释放的声信号 应与该保护对象中设置的火灾声警报器的声信号有明显区别。启动气体灭火装置、泡沫灭火装置的 同时，应启动设置在防护区入口处表示气体喷洒的火灾声光警报器；组合分配系统</w:t>
      </w:r>
      <w:r>
        <w:rPr>
          <w:spacing w:val="-3"/>
          <w:sz w:val="21"/>
        </w:rPr>
        <w:t>应首先开启相应 防护区域的选择阀，然后启动气体灭火装置、泡沫灭火装置。</w:t>
      </w:r>
      <w:r>
        <w:rPr>
          <w:b/>
          <w:spacing w:val="-3"/>
          <w:w w:val="99"/>
          <w:sz w:val="21"/>
        </w:rPr>
        <w:t>  </w:t>
      </w:r>
    </w:p>
    <w:p>
      <w:pPr>
        <w:pStyle w:val="ListParagraph"/>
        <w:numPr>
          <w:ilvl w:val="2"/>
          <w:numId w:val="603"/>
        </w:numPr>
        <w:tabs>
          <w:tab w:pos="1438" w:val="left" w:leader="none"/>
        </w:tabs>
        <w:spacing w:line="446" w:lineRule="auto" w:before="0" w:after="0"/>
        <w:ind w:left="418" w:right="1431" w:firstLine="422"/>
        <w:jc w:val="both"/>
        <w:rPr>
          <w:sz w:val="21"/>
        </w:rPr>
      </w:pPr>
      <w:r>
        <w:rPr>
          <w:spacing w:val="-3"/>
          <w:sz w:val="21"/>
        </w:rPr>
        <w:t>气体灭火控制器、泡沫灭火控制器不直接连接火灾探测器时，气体灭火系统、泡沫灭火系统的 自动控制方式应符合下列规定：</w:t>
      </w:r>
      <w:r>
        <w:rPr>
          <w:sz w:val="21"/>
        </w:rPr>
        <w:t> </w:t>
      </w:r>
    </w:p>
    <w:p>
      <w:pPr>
        <w:pStyle w:val="ListParagraph"/>
        <w:numPr>
          <w:ilvl w:val="0"/>
          <w:numId w:val="606"/>
        </w:numPr>
        <w:tabs>
          <w:tab w:pos="1370" w:val="left" w:leader="none"/>
        </w:tabs>
        <w:spacing w:line="446" w:lineRule="auto" w:before="0" w:after="0"/>
        <w:ind w:left="418" w:right="1438" w:firstLine="419"/>
        <w:jc w:val="left"/>
        <w:rPr>
          <w:sz w:val="21"/>
        </w:rPr>
      </w:pPr>
      <w:r>
        <w:rPr>
          <w:spacing w:val="-1"/>
          <w:sz w:val="21"/>
        </w:rPr>
        <w:t>气体灭火系统、泡沫灭火系统的联动触发信号应由火灾报警控制器或消防联动控制器发出。</w:t>
      </w:r>
      <w:r>
        <w:rPr>
          <w:sz w:val="21"/>
        </w:rPr>
        <w:t> </w:t>
      </w:r>
    </w:p>
    <w:p>
      <w:pPr>
        <w:pStyle w:val="ListParagraph"/>
        <w:numPr>
          <w:ilvl w:val="0"/>
          <w:numId w:val="606"/>
        </w:numPr>
        <w:tabs>
          <w:tab w:pos="1365" w:val="left" w:leader="none"/>
        </w:tabs>
        <w:spacing w:line="446" w:lineRule="auto" w:before="0" w:after="0"/>
        <w:ind w:left="418" w:right="1431" w:firstLine="419"/>
        <w:jc w:val="left"/>
        <w:rPr>
          <w:b/>
          <w:sz w:val="21"/>
        </w:rPr>
      </w:pPr>
      <w:r>
        <w:rPr>
          <w:spacing w:val="-5"/>
          <w:sz w:val="21"/>
        </w:rPr>
        <w:t>气体灭火系统、泡沫灭火系统的联动触发信号和联动控制均应符合本规范第 </w:t>
      </w:r>
      <w:r>
        <w:rPr>
          <w:sz w:val="21"/>
        </w:rPr>
        <w:t>4.4.2</w:t>
      </w:r>
      <w:r>
        <w:rPr>
          <w:spacing w:val="9"/>
          <w:sz w:val="21"/>
        </w:rPr>
        <w:t> 条</w:t>
      </w:r>
      <w:r>
        <w:rPr>
          <w:spacing w:val="3"/>
          <w:sz w:val="21"/>
        </w:rPr>
        <w:t>的规定。</w:t>
      </w:r>
      <w:r>
        <w:rPr>
          <w:b/>
          <w:w w:val="99"/>
          <w:sz w:val="21"/>
        </w:rPr>
        <w:t> </w:t>
      </w:r>
    </w:p>
    <w:p>
      <w:pPr>
        <w:pStyle w:val="ListParagraph"/>
        <w:numPr>
          <w:ilvl w:val="2"/>
          <w:numId w:val="603"/>
        </w:numPr>
        <w:tabs>
          <w:tab w:pos="1370" w:val="left" w:leader="none"/>
        </w:tabs>
        <w:spacing w:line="240" w:lineRule="auto" w:before="0" w:after="0"/>
        <w:ind w:left="1369" w:right="0" w:hanging="530"/>
        <w:jc w:val="left"/>
        <w:rPr>
          <w:sz w:val="21"/>
        </w:rPr>
      </w:pPr>
      <w:r>
        <w:rPr>
          <w:spacing w:val="-3"/>
          <w:sz w:val="21"/>
        </w:rPr>
        <w:t>气体灭火系统、泡沫灭火系统的手动控制方式应符合下列规定：</w:t>
      </w:r>
      <w:r>
        <w:rPr>
          <w:sz w:val="21"/>
        </w:rPr>
        <w:t> </w:t>
      </w:r>
    </w:p>
    <w:p>
      <w:pPr>
        <w:pStyle w:val="BodyText"/>
        <w:spacing w:before="7"/>
        <w:rPr>
          <w:sz w:val="17"/>
        </w:rPr>
      </w:pPr>
    </w:p>
    <w:p>
      <w:pPr>
        <w:pStyle w:val="ListParagraph"/>
        <w:numPr>
          <w:ilvl w:val="0"/>
          <w:numId w:val="607"/>
        </w:numPr>
        <w:tabs>
          <w:tab w:pos="1365" w:val="left" w:leader="none"/>
        </w:tabs>
        <w:spacing w:line="446" w:lineRule="auto" w:before="0" w:after="0"/>
        <w:ind w:left="418" w:right="1431" w:firstLine="419"/>
        <w:jc w:val="left"/>
        <w:rPr>
          <w:sz w:val="21"/>
        </w:rPr>
      </w:pPr>
      <w:r>
        <w:rPr>
          <w:spacing w:val="-7"/>
          <w:sz w:val="21"/>
        </w:rPr>
        <w:t>在防护区疏散出口的门外应设置气体灭火装置、泡沫灭火装置的手动启动和停止按钮</w:t>
      </w:r>
      <w:r>
        <w:rPr>
          <w:spacing w:val="-1"/>
          <w:sz w:val="21"/>
        </w:rPr>
        <w:t>，手动</w:t>
      </w:r>
      <w:r>
        <w:rPr>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431" w:firstLine="419"/>
        <w:jc w:val="both"/>
      </w:pPr>
      <w:r>
        <w:rPr>
          <w:spacing w:val="-6"/>
        </w:rPr>
        <w:t>启动按钮按下时，气体灭火控制器、泡沫灭火控制器应执行符合本规范第 </w:t>
      </w:r>
      <w:r>
        <w:rPr/>
        <w:t>4.4.2</w:t>
      </w:r>
      <w:r>
        <w:rPr>
          <w:spacing w:val="4"/>
        </w:rPr>
        <w:t> 条第 </w:t>
      </w:r>
      <w:r>
        <w:rPr>
          <w:spacing w:val="-3"/>
        </w:rPr>
        <w:t>3</w:t>
      </w:r>
      <w:r>
        <w:rPr>
          <w:spacing w:val="4"/>
        </w:rPr>
        <w:t> 款</w:t>
      </w:r>
      <w:r>
        <w:rPr>
          <w:spacing w:val="21"/>
        </w:rPr>
        <w:t>和第 </w:t>
      </w:r>
      <w:r>
        <w:rPr/>
        <w:t>5</w:t>
      </w:r>
      <w:r>
        <w:rPr>
          <w:spacing w:val="-3"/>
        </w:rPr>
        <w:t> 款规定的联动操作；手动停止按钮按下时，气体灭火控制器、泡沫灭火控制器应停止正在执行的联动 操作。</w:t>
      </w:r>
      <w:r>
        <w:rPr/>
        <w:t> </w:t>
      </w:r>
    </w:p>
    <w:p>
      <w:pPr>
        <w:pStyle w:val="ListParagraph"/>
        <w:numPr>
          <w:ilvl w:val="0"/>
          <w:numId w:val="607"/>
        </w:numPr>
        <w:tabs>
          <w:tab w:pos="1365" w:val="left" w:leader="none"/>
        </w:tabs>
        <w:spacing w:line="446" w:lineRule="auto" w:before="0" w:after="0"/>
        <w:ind w:left="418" w:right="1431" w:firstLine="419"/>
        <w:jc w:val="left"/>
        <w:rPr>
          <w:sz w:val="21"/>
        </w:rPr>
      </w:pPr>
      <w:r>
        <w:rPr>
          <w:spacing w:val="-10"/>
          <w:sz w:val="21"/>
        </w:rPr>
        <w:t>气体灭火控制器、泡沫灭火控制器上应设置对应于不同防护区的手动启动和停止按钮</w:t>
      </w:r>
      <w:r>
        <w:rPr>
          <w:spacing w:val="-1"/>
          <w:sz w:val="21"/>
        </w:rPr>
        <w:t>，手动</w:t>
      </w:r>
      <w:r>
        <w:rPr>
          <w:sz w:val="21"/>
        </w:rPr>
        <w:t> </w:t>
      </w:r>
    </w:p>
    <w:p>
      <w:pPr>
        <w:pStyle w:val="BodyText"/>
        <w:spacing w:line="446" w:lineRule="auto"/>
        <w:ind w:left="418" w:right="1431" w:firstLine="419"/>
        <w:jc w:val="both"/>
      </w:pPr>
      <w:r>
        <w:rPr>
          <w:spacing w:val="-6"/>
        </w:rPr>
        <w:t>启动按钮按下时，气体灭火控制器、泡沫灭火控制器应执行符合本规范第 </w:t>
      </w:r>
      <w:r>
        <w:rPr/>
        <w:t>4.4.2</w:t>
      </w:r>
      <w:r>
        <w:rPr>
          <w:spacing w:val="4"/>
        </w:rPr>
        <w:t> 条第 </w:t>
      </w:r>
      <w:r>
        <w:rPr>
          <w:spacing w:val="-3"/>
        </w:rPr>
        <w:t>3</w:t>
      </w:r>
      <w:r>
        <w:rPr>
          <w:spacing w:val="4"/>
        </w:rPr>
        <w:t> 款</w:t>
      </w:r>
      <w:r>
        <w:rPr>
          <w:spacing w:val="21"/>
        </w:rPr>
        <w:t>和第 </w:t>
      </w:r>
      <w:r>
        <w:rPr/>
        <w:t>5</w:t>
      </w:r>
      <w:r>
        <w:rPr>
          <w:spacing w:val="-3"/>
        </w:rPr>
        <w:t> 款规定的联动操作；手动停止按钮按下时，气体灭火控制器、泡沫灭火控制器应停止正在执行的联动操作。</w:t>
      </w:r>
      <w:r>
        <w:rPr/>
        <w:t> </w:t>
      </w:r>
      <w:r>
        <w:rPr>
          <w:spacing w:val="-2"/>
        </w:rPr>
        <w:t> </w:t>
      </w:r>
      <w:r>
        <w:rPr>
          <w:w w:val="100"/>
        </w:rPr>
        <w:t>  </w:t>
      </w:r>
    </w:p>
    <w:p>
      <w:pPr>
        <w:pStyle w:val="ListParagraph"/>
        <w:numPr>
          <w:ilvl w:val="2"/>
          <w:numId w:val="603"/>
        </w:numPr>
        <w:tabs>
          <w:tab w:pos="1370" w:val="left" w:leader="none"/>
        </w:tabs>
        <w:spacing w:line="446" w:lineRule="auto" w:before="0" w:after="0"/>
        <w:ind w:left="418" w:right="1431" w:firstLine="422"/>
        <w:jc w:val="left"/>
        <w:rPr>
          <w:sz w:val="21"/>
        </w:rPr>
      </w:pPr>
      <w:r>
        <w:rPr>
          <w:spacing w:val="-7"/>
          <w:sz w:val="21"/>
        </w:rPr>
        <w:t>气体灭火装置、泡沫灭火装置启动及喷放各阶段的联动控制及系统的反馈信号，应反</w:t>
      </w:r>
      <w:r>
        <w:rPr>
          <w:spacing w:val="-5"/>
          <w:sz w:val="21"/>
        </w:rPr>
        <w:t>馈至消防 联动控制器。系统的联动反馈信号应包括下列内容：</w:t>
      </w:r>
      <w:r>
        <w:rPr>
          <w:sz w:val="21"/>
        </w:rPr>
        <w:t> </w:t>
      </w:r>
    </w:p>
    <w:p>
      <w:pPr>
        <w:pStyle w:val="ListParagraph"/>
        <w:numPr>
          <w:ilvl w:val="0"/>
          <w:numId w:val="608"/>
        </w:numPr>
        <w:tabs>
          <w:tab w:pos="1367" w:val="left" w:leader="none"/>
        </w:tabs>
        <w:spacing w:line="240" w:lineRule="auto" w:before="0" w:after="0"/>
        <w:ind w:left="1367" w:right="0" w:hanging="529"/>
        <w:jc w:val="left"/>
        <w:rPr>
          <w:sz w:val="21"/>
        </w:rPr>
      </w:pPr>
      <w:r>
        <w:rPr>
          <w:spacing w:val="-3"/>
          <w:sz w:val="21"/>
        </w:rPr>
        <w:t>气体灭火控制器、泡沫灭火控制器直接连接的火灾探测器的报警信号。 </w:t>
      </w:r>
    </w:p>
    <w:p>
      <w:pPr>
        <w:pStyle w:val="BodyText"/>
        <w:spacing w:before="8"/>
        <w:rPr>
          <w:sz w:val="17"/>
        </w:rPr>
      </w:pPr>
    </w:p>
    <w:p>
      <w:pPr>
        <w:pStyle w:val="ListParagraph"/>
        <w:numPr>
          <w:ilvl w:val="0"/>
          <w:numId w:val="608"/>
        </w:numPr>
        <w:tabs>
          <w:tab w:pos="1367" w:val="left" w:leader="none"/>
        </w:tabs>
        <w:spacing w:line="240" w:lineRule="auto" w:before="0" w:after="0"/>
        <w:ind w:left="1367" w:right="0" w:hanging="529"/>
        <w:jc w:val="left"/>
        <w:rPr>
          <w:sz w:val="21"/>
        </w:rPr>
      </w:pPr>
      <w:r>
        <w:rPr>
          <w:spacing w:val="-3"/>
          <w:sz w:val="21"/>
        </w:rPr>
        <w:t>选择阀的动作信号。</w:t>
      </w:r>
      <w:r>
        <w:rPr>
          <w:sz w:val="21"/>
        </w:rPr>
        <w:t> </w:t>
      </w:r>
    </w:p>
    <w:p>
      <w:pPr>
        <w:pStyle w:val="BodyText"/>
        <w:spacing w:before="2"/>
        <w:rPr>
          <w:sz w:val="18"/>
        </w:rPr>
      </w:pPr>
    </w:p>
    <w:p>
      <w:pPr>
        <w:pStyle w:val="ListParagraph"/>
        <w:numPr>
          <w:ilvl w:val="0"/>
          <w:numId w:val="608"/>
        </w:numPr>
        <w:tabs>
          <w:tab w:pos="1367" w:val="left" w:leader="none"/>
        </w:tabs>
        <w:spacing w:line="240" w:lineRule="auto" w:before="0" w:after="0"/>
        <w:ind w:left="1367" w:right="0" w:hanging="529"/>
        <w:jc w:val="both"/>
        <w:rPr>
          <w:sz w:val="21"/>
        </w:rPr>
      </w:pPr>
      <w:r>
        <w:rPr>
          <w:spacing w:val="-3"/>
          <w:sz w:val="21"/>
        </w:rPr>
        <w:t>压力开关的动作信号。  </w:t>
      </w:r>
      <w:r>
        <w:rPr>
          <w:spacing w:val="-2"/>
          <w:sz w:val="21"/>
        </w:rPr>
        <w:t> </w:t>
      </w:r>
      <w:r>
        <w:rPr>
          <w:w w:val="100"/>
          <w:sz w:val="21"/>
        </w:rPr>
        <w:t>  </w:t>
      </w:r>
    </w:p>
    <w:p>
      <w:pPr>
        <w:pStyle w:val="BodyText"/>
        <w:rPr>
          <w:sz w:val="18"/>
        </w:rPr>
      </w:pPr>
    </w:p>
    <w:p>
      <w:pPr>
        <w:pStyle w:val="ListParagraph"/>
        <w:numPr>
          <w:ilvl w:val="2"/>
          <w:numId w:val="603"/>
        </w:numPr>
        <w:tabs>
          <w:tab w:pos="1370" w:val="left" w:leader="none"/>
        </w:tabs>
        <w:spacing w:line="446" w:lineRule="auto" w:before="0" w:after="0"/>
        <w:ind w:left="418" w:right="1431" w:firstLine="422"/>
        <w:jc w:val="both"/>
        <w:rPr>
          <w:sz w:val="21"/>
        </w:rPr>
      </w:pPr>
      <w:r>
        <w:rPr>
          <w:spacing w:val="-5"/>
          <w:sz w:val="21"/>
        </w:rPr>
        <w:t>在防护区域内设有手动与自动控制转换装置的系统，其手动或自动控制方式的工作状</w:t>
      </w:r>
      <w:r>
        <w:rPr>
          <w:spacing w:val="-1"/>
          <w:sz w:val="21"/>
        </w:rPr>
        <w:t>态应在防 护区内、外的手动和自动控制状态显示装置上显示，该状态信号应反馈至消防联动控制器。</w:t>
      </w:r>
      <w:r>
        <w:rPr>
          <w:sz w:val="21"/>
        </w:rPr>
        <w:t> </w:t>
      </w:r>
      <w:r>
        <w:rPr>
          <w:spacing w:val="-3"/>
          <w:sz w:val="21"/>
        </w:rPr>
        <w:t> </w:t>
      </w:r>
      <w:r>
        <w:rPr>
          <w:sz w:val="21"/>
        </w:rPr>
        <w:t> </w:t>
      </w:r>
    </w:p>
    <w:p>
      <w:pPr>
        <w:pStyle w:val="ListParagraph"/>
        <w:numPr>
          <w:ilvl w:val="1"/>
          <w:numId w:val="603"/>
        </w:numPr>
        <w:tabs>
          <w:tab w:pos="1159" w:val="left" w:leader="none"/>
        </w:tabs>
        <w:spacing w:line="268" w:lineRule="exact" w:before="0" w:after="0"/>
        <w:ind w:left="1158" w:right="0" w:hanging="319"/>
        <w:jc w:val="left"/>
        <w:rPr>
          <w:sz w:val="21"/>
        </w:rPr>
      </w:pPr>
      <w:r>
        <w:rPr>
          <w:spacing w:val="-3"/>
          <w:sz w:val="21"/>
        </w:rPr>
        <w:t>防烟排烟系统的联动控制设计</w:t>
      </w:r>
      <w:r>
        <w:rPr>
          <w:sz w:val="21"/>
        </w:rPr>
        <w:t> </w:t>
      </w:r>
    </w:p>
    <w:p>
      <w:pPr>
        <w:pStyle w:val="BodyText"/>
        <w:spacing w:before="12"/>
        <w:rPr>
          <w:sz w:val="17"/>
        </w:rPr>
      </w:pPr>
    </w:p>
    <w:p>
      <w:pPr>
        <w:pStyle w:val="ListParagraph"/>
        <w:numPr>
          <w:ilvl w:val="2"/>
          <w:numId w:val="603"/>
        </w:numPr>
        <w:tabs>
          <w:tab w:pos="1370" w:val="left" w:leader="none"/>
        </w:tabs>
        <w:spacing w:line="240" w:lineRule="auto" w:before="0" w:after="0"/>
        <w:ind w:left="1369" w:right="0" w:hanging="530"/>
        <w:jc w:val="left"/>
        <w:rPr>
          <w:sz w:val="21"/>
        </w:rPr>
      </w:pPr>
      <w:r>
        <w:rPr>
          <w:spacing w:val="-3"/>
          <w:sz w:val="21"/>
        </w:rPr>
        <w:t>防烟系统的联动控制方式应符合下列规定：</w:t>
      </w:r>
      <w:r>
        <w:rPr>
          <w:sz w:val="21"/>
        </w:rPr>
        <w:t> </w:t>
      </w:r>
    </w:p>
    <w:p>
      <w:pPr>
        <w:pStyle w:val="BodyText"/>
        <w:spacing w:before="2"/>
        <w:rPr>
          <w:sz w:val="18"/>
        </w:rPr>
      </w:pPr>
    </w:p>
    <w:p>
      <w:pPr>
        <w:pStyle w:val="ListParagraph"/>
        <w:numPr>
          <w:ilvl w:val="0"/>
          <w:numId w:val="609"/>
        </w:numPr>
        <w:tabs>
          <w:tab w:pos="1370" w:val="left" w:leader="none"/>
        </w:tabs>
        <w:spacing w:line="446" w:lineRule="auto" w:before="0" w:after="0"/>
        <w:ind w:left="418" w:right="1437" w:firstLine="419"/>
        <w:jc w:val="both"/>
        <w:rPr>
          <w:sz w:val="21"/>
        </w:rPr>
      </w:pPr>
      <w:r>
        <w:rPr>
          <w:spacing w:val="-1"/>
          <w:sz w:val="21"/>
        </w:rPr>
        <w:t>应由加压送风口所在防火分区内的两只独立的火灾探测器或一只火灾探测器与一只手动火灾 报警按钮的报警信号，作为送风口开启和加压送风机启动的联动触发信号，并应由消防</w:t>
      </w:r>
      <w:r>
        <w:rPr>
          <w:spacing w:val="-3"/>
          <w:sz w:val="21"/>
        </w:rPr>
        <w:t>联动控制器 联动控制相关层前室等需要加压送风场所的加压送风口开启和加压送风机启动。</w:t>
      </w:r>
      <w:r>
        <w:rPr>
          <w:sz w:val="21"/>
        </w:rPr>
        <w:t> </w:t>
      </w:r>
    </w:p>
    <w:p>
      <w:pPr>
        <w:pStyle w:val="ListParagraph"/>
        <w:numPr>
          <w:ilvl w:val="0"/>
          <w:numId w:val="609"/>
        </w:numPr>
        <w:tabs>
          <w:tab w:pos="1370" w:val="left" w:leader="none"/>
        </w:tabs>
        <w:spacing w:line="446" w:lineRule="auto" w:before="0" w:after="0"/>
        <w:ind w:left="418" w:right="1437" w:firstLine="419"/>
        <w:jc w:val="both"/>
        <w:rPr>
          <w:sz w:val="21"/>
        </w:rPr>
      </w:pPr>
      <w:r>
        <w:rPr>
          <w:spacing w:val="-1"/>
          <w:sz w:val="21"/>
        </w:rPr>
        <w:t>应由同一防烟分区内且位于电动挡烟垂壁附近的两只独立的感烟火灾探测器的报警信号，作 为电动挡烟垂壁降落的联动触发信号，并应由消防联动控制器联动控制电动挡烟垂壁的降落。</w:t>
      </w:r>
      <w:r>
        <w:rPr>
          <w:sz w:val="21"/>
        </w:rPr>
        <w:t> </w:t>
      </w:r>
      <w:r>
        <w:rPr>
          <w:spacing w:val="-3"/>
          <w:sz w:val="21"/>
        </w:rPr>
        <w:t> </w:t>
      </w:r>
      <w:r>
        <w:rPr>
          <w:sz w:val="21"/>
        </w:rPr>
        <w:t>   </w:t>
      </w:r>
      <w:r>
        <w:rPr>
          <w:spacing w:val="-1"/>
          <w:sz w:val="21"/>
        </w:rPr>
        <w:t> </w:t>
      </w:r>
      <w:r>
        <w:rPr>
          <w:w w:val="100"/>
          <w:sz w:val="21"/>
        </w:rPr>
        <w:t>  </w:t>
      </w:r>
    </w:p>
    <w:p>
      <w:pPr>
        <w:pStyle w:val="ListParagraph"/>
        <w:numPr>
          <w:ilvl w:val="2"/>
          <w:numId w:val="603"/>
        </w:numPr>
        <w:tabs>
          <w:tab w:pos="1371" w:val="left" w:leader="none"/>
        </w:tabs>
        <w:spacing w:line="268" w:lineRule="exact" w:before="0" w:after="0"/>
        <w:ind w:left="1370" w:right="0" w:hanging="531"/>
        <w:jc w:val="left"/>
        <w:rPr>
          <w:sz w:val="21"/>
        </w:rPr>
      </w:pPr>
      <w:r>
        <w:rPr>
          <w:spacing w:val="-3"/>
          <w:sz w:val="21"/>
        </w:rPr>
        <w:t>排烟系统的联动控制方式应符合下列规定：</w:t>
      </w:r>
      <w:r>
        <w:rPr>
          <w:sz w:val="21"/>
        </w:rPr>
        <w:t> </w:t>
      </w:r>
    </w:p>
    <w:p>
      <w:pPr>
        <w:pStyle w:val="BodyText"/>
        <w:spacing w:before="12"/>
        <w:rPr>
          <w:sz w:val="17"/>
        </w:rPr>
      </w:pPr>
    </w:p>
    <w:p>
      <w:pPr>
        <w:pStyle w:val="ListParagraph"/>
        <w:numPr>
          <w:ilvl w:val="0"/>
          <w:numId w:val="610"/>
        </w:numPr>
        <w:tabs>
          <w:tab w:pos="1367" w:val="left" w:leader="none"/>
        </w:tabs>
        <w:spacing w:line="446" w:lineRule="auto" w:before="0" w:after="0"/>
        <w:ind w:left="418" w:right="1431" w:firstLine="419"/>
        <w:jc w:val="both"/>
        <w:rPr>
          <w:sz w:val="21"/>
        </w:rPr>
      </w:pPr>
      <w:r>
        <w:rPr>
          <w:spacing w:val="-7"/>
          <w:sz w:val="21"/>
        </w:rPr>
        <w:t>应由同一防烟分区内的两只独立的火灾探测器的报警信号，作为排烟口、排烟窗或排 </w:t>
      </w:r>
      <w:r>
        <w:rPr>
          <w:spacing w:val="-8"/>
          <w:sz w:val="21"/>
        </w:rPr>
        <w:t>烟阀开 启的联动触发信号，并应由消防联动控制器联动控制排烟口、排烟窗或排烟阀的开启，同</w:t>
      </w:r>
      <w:r>
        <w:rPr>
          <w:spacing w:val="-6"/>
          <w:sz w:val="21"/>
        </w:rPr>
        <w:t>时停止该 防烟分区的空气调节系统。</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0"/>
          <w:numId w:val="610"/>
        </w:numPr>
        <w:tabs>
          <w:tab w:pos="1367" w:val="left" w:leader="none"/>
        </w:tabs>
        <w:spacing w:line="446" w:lineRule="auto" w:before="47" w:after="0"/>
        <w:ind w:left="418" w:right="1433" w:firstLine="419"/>
        <w:jc w:val="both"/>
        <w:rPr>
          <w:b/>
          <w:sz w:val="21"/>
        </w:rPr>
      </w:pPr>
      <w:r>
        <w:rPr>
          <w:spacing w:val="-11"/>
          <w:sz w:val="21"/>
        </w:rPr>
        <w:t>应由排烟口、排烟窗或排烟阀开启的动作信号，作为排烟风机启动的联动触发信号， </w:t>
      </w:r>
      <w:r>
        <w:rPr>
          <w:spacing w:val="-3"/>
          <w:sz w:val="21"/>
        </w:rPr>
        <w:t>并应由 消防联动控制器联动控制排烟风机的启动。</w:t>
      </w:r>
      <w:r>
        <w:rPr>
          <w:b/>
          <w:w w:val="99"/>
          <w:sz w:val="21"/>
        </w:rPr>
        <w:t>   </w:t>
      </w:r>
      <w:r>
        <w:rPr>
          <w:b/>
          <w:sz w:val="21"/>
        </w:rPr>
        <w:t> </w:t>
      </w:r>
      <w:r>
        <w:rPr>
          <w:b/>
          <w:spacing w:val="-3"/>
          <w:sz w:val="21"/>
        </w:rPr>
        <w:t> </w:t>
      </w:r>
      <w:r>
        <w:rPr>
          <w:b/>
          <w:w w:val="99"/>
          <w:sz w:val="21"/>
        </w:rPr>
        <w:t>  </w:t>
      </w:r>
    </w:p>
    <w:p>
      <w:pPr>
        <w:pStyle w:val="ListParagraph"/>
        <w:numPr>
          <w:ilvl w:val="2"/>
          <w:numId w:val="603"/>
        </w:numPr>
        <w:tabs>
          <w:tab w:pos="1370" w:val="left" w:leader="none"/>
        </w:tabs>
        <w:spacing w:line="446" w:lineRule="auto" w:before="0" w:after="0"/>
        <w:ind w:left="418" w:right="1431" w:firstLine="422"/>
        <w:jc w:val="both"/>
        <w:rPr>
          <w:b/>
          <w:sz w:val="21"/>
        </w:rPr>
      </w:pPr>
      <w:r>
        <w:rPr>
          <w:spacing w:val="-7"/>
          <w:sz w:val="21"/>
        </w:rPr>
        <w:t>防烟系统、排烟系统的手动控制方式，应能在消防控制室内的消防联动控制器上手动</w:t>
      </w:r>
      <w:r>
        <w:rPr>
          <w:spacing w:val="-9"/>
          <w:sz w:val="21"/>
        </w:rPr>
        <w:t>控制送风 口、电动挡烟垂壁、排烟口、排烟窗、排烟阀的开启或关闭及防烟风机、排烟风机等设</w:t>
      </w:r>
      <w:r>
        <w:rPr>
          <w:spacing w:val="-12"/>
          <w:sz w:val="21"/>
        </w:rPr>
        <w:t>备的启动或 停止，防烟、排烟风机的启动、停止按钮应采用专用线路直接连接至设置在消防控制</w:t>
      </w:r>
      <w:r>
        <w:rPr>
          <w:spacing w:val="-5"/>
          <w:sz w:val="21"/>
        </w:rPr>
        <w:t>室内的消防联 动控制器的手动控制盘，并应直接手动控制防烟、排烟风机的启动、停止。</w:t>
      </w:r>
      <w:r>
        <w:rPr>
          <w:b/>
          <w:spacing w:val="-5"/>
          <w:w w:val="99"/>
          <w:sz w:val="21"/>
        </w:rPr>
        <w:t> </w:t>
      </w:r>
    </w:p>
    <w:p>
      <w:pPr>
        <w:pStyle w:val="ListParagraph"/>
        <w:numPr>
          <w:ilvl w:val="2"/>
          <w:numId w:val="603"/>
        </w:numPr>
        <w:tabs>
          <w:tab w:pos="1370" w:val="left" w:leader="none"/>
        </w:tabs>
        <w:spacing w:line="446" w:lineRule="auto" w:before="0" w:after="0"/>
        <w:ind w:left="418" w:right="1431" w:firstLine="422"/>
        <w:jc w:val="both"/>
        <w:rPr>
          <w:sz w:val="21"/>
        </w:rPr>
      </w:pPr>
      <w:r>
        <w:rPr>
          <w:spacing w:val="-8"/>
          <w:sz w:val="21"/>
        </w:rPr>
        <w:t>送风口、排烟口、排烟窗或排烟阀开启和关闭的动作信号，防烟、排烟风机启动和停</w:t>
      </w:r>
      <w:r>
        <w:rPr>
          <w:spacing w:val="-5"/>
          <w:sz w:val="21"/>
        </w:rPr>
        <w:t>止及电动 防火阀关闭的动作信号，均应反馈至消防联动控制器。</w:t>
      </w:r>
      <w:r>
        <w:rPr>
          <w:sz w:val="21"/>
        </w:rPr>
        <w:t>  </w:t>
      </w:r>
      <w:r>
        <w:rPr>
          <w:spacing w:val="-2"/>
          <w:sz w:val="21"/>
        </w:rPr>
        <w:t> </w:t>
      </w:r>
      <w:r>
        <w:rPr>
          <w:w w:val="100"/>
          <w:sz w:val="21"/>
        </w:rPr>
        <w:t>  </w:t>
      </w:r>
      <w:r>
        <w:rPr>
          <w:sz w:val="21"/>
        </w:rPr>
        <w:t> </w:t>
      </w:r>
      <w:r>
        <w:rPr>
          <w:spacing w:val="-2"/>
          <w:sz w:val="21"/>
        </w:rPr>
        <w:t> </w:t>
      </w:r>
      <w:r>
        <w:rPr>
          <w:w w:val="100"/>
          <w:sz w:val="21"/>
        </w:rPr>
        <w:t>  </w:t>
      </w:r>
    </w:p>
    <w:p>
      <w:pPr>
        <w:pStyle w:val="ListParagraph"/>
        <w:numPr>
          <w:ilvl w:val="2"/>
          <w:numId w:val="603"/>
        </w:numPr>
        <w:tabs>
          <w:tab w:pos="1371" w:val="left" w:leader="none"/>
        </w:tabs>
        <w:spacing w:line="446" w:lineRule="auto" w:before="0" w:after="0"/>
        <w:ind w:left="418" w:right="1431" w:firstLine="422"/>
        <w:jc w:val="both"/>
        <w:rPr>
          <w:b/>
          <w:sz w:val="21"/>
        </w:rPr>
      </w:pPr>
      <w:r>
        <w:rPr>
          <w:sz w:val="21"/>
        </w:rPr>
        <w:t>排烟风机入口处的总管上设置的 280</w:t>
      </w:r>
      <w:r>
        <w:rPr>
          <w:spacing w:val="-3"/>
          <w:sz w:val="21"/>
        </w:rPr>
        <w:t>℃ 排烟防火阀在关闭后应直接联动控制风机停止，排烟 防火阀及风机的动作信号应反馈至消防联动控制器。 </w:t>
      </w:r>
      <w:r>
        <w:rPr>
          <w:b/>
          <w:w w:val="99"/>
          <w:sz w:val="21"/>
        </w:rPr>
        <w:t>  </w:t>
      </w:r>
      <w:r>
        <w:rPr>
          <w:b/>
          <w:sz w:val="21"/>
        </w:rPr>
        <w:t> </w:t>
      </w:r>
      <w:r>
        <w:rPr>
          <w:b/>
          <w:spacing w:val="-3"/>
          <w:sz w:val="21"/>
        </w:rPr>
        <w:t> </w:t>
      </w:r>
      <w:r>
        <w:rPr>
          <w:b/>
          <w:w w:val="99"/>
          <w:sz w:val="21"/>
        </w:rPr>
        <w:t>  </w:t>
      </w:r>
    </w:p>
    <w:p>
      <w:pPr>
        <w:pStyle w:val="ListParagraph"/>
        <w:numPr>
          <w:ilvl w:val="1"/>
          <w:numId w:val="603"/>
        </w:numPr>
        <w:tabs>
          <w:tab w:pos="1159" w:val="left" w:leader="none"/>
        </w:tabs>
        <w:spacing w:line="240" w:lineRule="auto" w:before="0" w:after="0"/>
        <w:ind w:left="1158" w:right="0" w:hanging="319"/>
        <w:jc w:val="left"/>
        <w:rPr>
          <w:sz w:val="21"/>
        </w:rPr>
      </w:pPr>
      <w:r>
        <w:rPr>
          <w:spacing w:val="-3"/>
          <w:sz w:val="21"/>
        </w:rPr>
        <w:t>防火门及防火卷帘系统的联动控制设计</w:t>
      </w:r>
      <w:r>
        <w:rPr>
          <w:sz w:val="21"/>
        </w:rPr>
        <w:t> </w:t>
      </w:r>
    </w:p>
    <w:p>
      <w:pPr>
        <w:pStyle w:val="BodyText"/>
        <w:spacing w:before="8"/>
        <w:rPr>
          <w:sz w:val="17"/>
        </w:rPr>
      </w:pPr>
    </w:p>
    <w:p>
      <w:pPr>
        <w:pStyle w:val="ListParagraph"/>
        <w:numPr>
          <w:ilvl w:val="2"/>
          <w:numId w:val="603"/>
        </w:numPr>
        <w:tabs>
          <w:tab w:pos="1371" w:val="left" w:leader="none"/>
        </w:tabs>
        <w:spacing w:line="240" w:lineRule="auto" w:before="0" w:after="0"/>
        <w:ind w:left="1370" w:right="0" w:hanging="531"/>
        <w:jc w:val="left"/>
        <w:rPr>
          <w:sz w:val="21"/>
        </w:rPr>
      </w:pPr>
      <w:r>
        <w:rPr>
          <w:spacing w:val="-3"/>
          <w:sz w:val="21"/>
        </w:rPr>
        <w:t>防火门系统的联动控制设计，应符合下列规定：</w:t>
      </w:r>
      <w:r>
        <w:rPr>
          <w:sz w:val="21"/>
        </w:rPr>
        <w:t> </w:t>
      </w:r>
    </w:p>
    <w:p>
      <w:pPr>
        <w:pStyle w:val="BodyText"/>
        <w:spacing w:before="2"/>
        <w:rPr>
          <w:sz w:val="18"/>
        </w:rPr>
      </w:pPr>
    </w:p>
    <w:p>
      <w:pPr>
        <w:pStyle w:val="ListParagraph"/>
        <w:numPr>
          <w:ilvl w:val="0"/>
          <w:numId w:val="611"/>
        </w:numPr>
        <w:tabs>
          <w:tab w:pos="1370" w:val="left" w:leader="none"/>
        </w:tabs>
        <w:spacing w:line="446" w:lineRule="auto" w:before="0" w:after="0"/>
        <w:ind w:left="418" w:right="1330" w:firstLine="419"/>
        <w:jc w:val="both"/>
        <w:rPr>
          <w:sz w:val="21"/>
        </w:rPr>
      </w:pPr>
      <w:r>
        <w:rPr>
          <w:sz w:val="21"/>
        </w:rPr>
        <w:t>应由常开防火门所在防火分区内的两只独立的火灾探测器或一只火灾探测器与一只手动火灾 报警按钮的报警信号，作为常开防火门关闭的联动触发信号，联动触发信号应由火灾报</w:t>
      </w:r>
      <w:r>
        <w:rPr>
          <w:spacing w:val="-8"/>
          <w:sz w:val="21"/>
        </w:rPr>
        <w:t>警控制器或 消防联动控制器发出，并应由消防联动控制器或防火门监控器联动控制防火门关闭。</w:t>
      </w:r>
      <w:r>
        <w:rPr>
          <w:sz w:val="21"/>
        </w:rPr>
        <w:t> </w:t>
      </w:r>
    </w:p>
    <w:p>
      <w:pPr>
        <w:pStyle w:val="ListParagraph"/>
        <w:numPr>
          <w:ilvl w:val="0"/>
          <w:numId w:val="611"/>
        </w:numPr>
        <w:tabs>
          <w:tab w:pos="1367" w:val="left" w:leader="none"/>
          <w:tab w:pos="5878" w:val="left" w:leader="none"/>
        </w:tabs>
        <w:spacing w:line="446" w:lineRule="auto" w:before="0" w:after="0"/>
        <w:ind w:left="840" w:right="2033" w:hanging="3"/>
        <w:jc w:val="left"/>
        <w:rPr>
          <w:b/>
          <w:sz w:val="21"/>
        </w:rPr>
      </w:pPr>
      <w:r>
        <w:rPr>
          <w:sz w:val="21"/>
        </w:rPr>
        <w:t>疏</w:t>
      </w:r>
      <w:r>
        <w:rPr>
          <w:spacing w:val="-3"/>
          <w:sz w:val="21"/>
        </w:rPr>
        <w:t>散</w:t>
      </w:r>
      <w:r>
        <w:rPr>
          <w:sz w:val="21"/>
        </w:rPr>
        <w:t>通</w:t>
      </w:r>
      <w:r>
        <w:rPr>
          <w:spacing w:val="-3"/>
          <w:sz w:val="21"/>
        </w:rPr>
        <w:t>道</w:t>
      </w:r>
      <w:r>
        <w:rPr>
          <w:sz w:val="21"/>
        </w:rPr>
        <w:t>上</w:t>
      </w:r>
      <w:r>
        <w:rPr>
          <w:spacing w:val="-3"/>
          <w:sz w:val="21"/>
        </w:rPr>
        <w:t>各</w:t>
      </w:r>
      <w:r>
        <w:rPr>
          <w:sz w:val="21"/>
        </w:rPr>
        <w:t>防</w:t>
      </w:r>
      <w:r>
        <w:rPr>
          <w:spacing w:val="-3"/>
          <w:sz w:val="21"/>
        </w:rPr>
        <w:t>火门</w:t>
      </w:r>
      <w:r>
        <w:rPr>
          <w:sz w:val="21"/>
        </w:rPr>
        <w:t>的开</w:t>
      </w:r>
      <w:r>
        <w:rPr>
          <w:spacing w:val="-3"/>
          <w:sz w:val="21"/>
        </w:rPr>
        <w:t>启</w:t>
      </w:r>
      <w:r>
        <w:rPr>
          <w:sz w:val="21"/>
        </w:rPr>
        <w:t>、</w:t>
      </w:r>
      <w:r>
        <w:rPr>
          <w:spacing w:val="-3"/>
          <w:sz w:val="21"/>
        </w:rPr>
        <w:t>关</w:t>
      </w:r>
      <w:r>
        <w:rPr>
          <w:sz w:val="21"/>
        </w:rPr>
        <w:t>闭</w:t>
      </w:r>
      <w:r>
        <w:rPr>
          <w:spacing w:val="-3"/>
          <w:sz w:val="21"/>
        </w:rPr>
        <w:t>及</w:t>
      </w:r>
      <w:r>
        <w:rPr>
          <w:sz w:val="21"/>
        </w:rPr>
        <w:t>故</w:t>
      </w:r>
      <w:r>
        <w:rPr>
          <w:spacing w:val="-3"/>
          <w:sz w:val="21"/>
        </w:rPr>
        <w:t>障</w:t>
      </w:r>
      <w:r>
        <w:rPr>
          <w:sz w:val="21"/>
        </w:rPr>
        <w:t>状</w:t>
      </w:r>
      <w:r>
        <w:rPr>
          <w:spacing w:val="-3"/>
          <w:sz w:val="21"/>
        </w:rPr>
        <w:t>态</w:t>
      </w:r>
      <w:r>
        <w:rPr>
          <w:sz w:val="21"/>
        </w:rPr>
        <w:t>信号</w:t>
      </w:r>
      <w:r>
        <w:rPr>
          <w:spacing w:val="-3"/>
          <w:sz w:val="21"/>
        </w:rPr>
        <w:t>应</w:t>
      </w:r>
      <w:r>
        <w:rPr>
          <w:sz w:val="21"/>
        </w:rPr>
        <w:t>反</w:t>
      </w:r>
      <w:r>
        <w:rPr>
          <w:spacing w:val="-3"/>
          <w:sz w:val="21"/>
        </w:rPr>
        <w:t>馈</w:t>
      </w:r>
      <w:r>
        <w:rPr>
          <w:sz w:val="21"/>
        </w:rPr>
        <w:t>至</w:t>
      </w:r>
      <w:r>
        <w:rPr>
          <w:spacing w:val="-3"/>
          <w:sz w:val="21"/>
        </w:rPr>
        <w:t>防</w:t>
      </w:r>
      <w:r>
        <w:rPr>
          <w:sz w:val="21"/>
        </w:rPr>
        <w:t>火</w:t>
      </w:r>
      <w:r>
        <w:rPr>
          <w:spacing w:val="-3"/>
          <w:sz w:val="21"/>
        </w:rPr>
        <w:t>门</w:t>
      </w:r>
      <w:r>
        <w:rPr>
          <w:sz w:val="21"/>
        </w:rPr>
        <w:t>监</w:t>
      </w:r>
      <w:r>
        <w:rPr>
          <w:spacing w:val="-3"/>
          <w:sz w:val="21"/>
        </w:rPr>
        <w:t>控</w:t>
      </w:r>
      <w:r>
        <w:rPr>
          <w:sz w:val="21"/>
        </w:rPr>
        <w:t>器。</w:t>
      </w:r>
      <w:r>
        <w:rPr>
          <w:b/>
          <w:sz w:val="21"/>
        </w:rPr>
        <w:t>4.6.2</w:t>
      </w:r>
      <w:r>
        <w:rPr>
          <w:b/>
          <w:spacing w:val="23"/>
          <w:sz w:val="21"/>
        </w:rPr>
        <w:t> </w:t>
      </w:r>
      <w:r>
        <w:rPr>
          <w:spacing w:val="-3"/>
          <w:sz w:val="21"/>
        </w:rPr>
        <w:t>防</w:t>
      </w:r>
      <w:r>
        <w:rPr>
          <w:sz w:val="21"/>
        </w:rPr>
        <w:t>火</w:t>
      </w:r>
      <w:r>
        <w:rPr>
          <w:spacing w:val="-3"/>
          <w:sz w:val="21"/>
        </w:rPr>
        <w:t>卷</w:t>
      </w:r>
      <w:r>
        <w:rPr>
          <w:sz w:val="21"/>
        </w:rPr>
        <w:t>帘</w:t>
      </w:r>
      <w:r>
        <w:rPr>
          <w:spacing w:val="-3"/>
          <w:sz w:val="21"/>
        </w:rPr>
        <w:t>的</w:t>
      </w:r>
      <w:r>
        <w:rPr>
          <w:sz w:val="21"/>
        </w:rPr>
        <w:t>升</w:t>
      </w:r>
      <w:r>
        <w:rPr>
          <w:spacing w:val="-3"/>
          <w:sz w:val="21"/>
        </w:rPr>
        <w:t>降应</w:t>
      </w:r>
      <w:r>
        <w:rPr>
          <w:sz w:val="21"/>
        </w:rPr>
        <w:t>由防</w:t>
      </w:r>
      <w:r>
        <w:rPr>
          <w:spacing w:val="-3"/>
          <w:sz w:val="21"/>
        </w:rPr>
        <w:t>火</w:t>
      </w:r>
      <w:r>
        <w:rPr>
          <w:sz w:val="21"/>
        </w:rPr>
        <w:t>卷</w:t>
      </w:r>
      <w:r>
        <w:rPr>
          <w:spacing w:val="-3"/>
          <w:sz w:val="21"/>
        </w:rPr>
        <w:t>帘</w:t>
      </w:r>
      <w:r>
        <w:rPr>
          <w:sz w:val="21"/>
        </w:rPr>
        <w:t>控</w:t>
      </w:r>
      <w:r>
        <w:rPr>
          <w:spacing w:val="-3"/>
          <w:sz w:val="21"/>
        </w:rPr>
        <w:t>制</w:t>
      </w:r>
      <w:r>
        <w:rPr>
          <w:sz w:val="21"/>
        </w:rPr>
        <w:t>器</w:t>
      </w:r>
      <w:r>
        <w:rPr>
          <w:spacing w:val="-3"/>
          <w:sz w:val="21"/>
        </w:rPr>
        <w:t>控</w:t>
      </w:r>
      <w:r>
        <w:rPr>
          <w:sz w:val="21"/>
        </w:rPr>
        <w:t>制</w:t>
      </w:r>
      <w:r>
        <w:rPr>
          <w:spacing w:val="-3"/>
          <w:sz w:val="21"/>
        </w:rPr>
        <w:t>。</w:t>
      </w:r>
      <w:r>
        <w:rPr>
          <w:sz w:val="21"/>
        </w:rPr>
        <w:t> </w:t>
        <w:tab/>
      </w:r>
      <w:r>
        <w:rPr>
          <w:b/>
          <w:w w:val="99"/>
          <w:sz w:val="21"/>
        </w:rPr>
        <w:t>  </w:t>
      </w:r>
    </w:p>
    <w:p>
      <w:pPr>
        <w:pStyle w:val="BodyText"/>
        <w:spacing w:line="267" w:lineRule="exact"/>
        <w:ind w:left="840"/>
      </w:pPr>
      <w:r>
        <w:rPr>
          <w:b/>
        </w:rPr>
        <w:t>4.6.3 </w:t>
      </w:r>
      <w:r>
        <w:rPr/>
        <w:t>疏散通道上设置的防火卷帘的联动控制设计，应符合下列规定： </w:t>
      </w:r>
    </w:p>
    <w:p>
      <w:pPr>
        <w:pStyle w:val="BodyText"/>
        <w:spacing w:before="1"/>
        <w:rPr>
          <w:sz w:val="18"/>
        </w:rPr>
      </w:pPr>
    </w:p>
    <w:p>
      <w:pPr>
        <w:pStyle w:val="ListParagraph"/>
        <w:numPr>
          <w:ilvl w:val="0"/>
          <w:numId w:val="612"/>
        </w:numPr>
        <w:tabs>
          <w:tab w:pos="1370" w:val="left" w:leader="none"/>
        </w:tabs>
        <w:spacing w:line="446" w:lineRule="auto" w:before="0" w:after="0"/>
        <w:ind w:left="418" w:right="1431" w:firstLine="419"/>
        <w:jc w:val="both"/>
        <w:rPr>
          <w:sz w:val="21"/>
        </w:rPr>
      </w:pPr>
      <w:r>
        <w:rPr>
          <w:sz w:val="21"/>
        </w:rPr>
        <w:t>联动控制方式，防火分区内任两只独立的感烟火灾探测器或任一只专门用于联动防火</w:t>
      </w:r>
      <w:r>
        <w:rPr>
          <w:spacing w:val="-2"/>
          <w:sz w:val="21"/>
        </w:rPr>
        <w:t>卷帘的感 烟火灾探测器的报警信号应联动控制防火卷帘下降至距楼板面 </w:t>
      </w:r>
      <w:r>
        <w:rPr>
          <w:sz w:val="21"/>
        </w:rPr>
        <w:t>1.8m</w:t>
      </w:r>
      <w:r>
        <w:rPr>
          <w:spacing w:val="5"/>
          <w:sz w:val="21"/>
        </w:rPr>
        <w:t> 处；任一只专门</w:t>
      </w:r>
      <w:r>
        <w:rPr>
          <w:sz w:val="21"/>
        </w:rPr>
        <w:t>用于联动防火 卷帘的感温火灾探测器的报警信号应联动控制防火卷帘下降到楼板面；在卷帘的</w:t>
      </w:r>
      <w:r>
        <w:rPr>
          <w:spacing w:val="-2"/>
          <w:sz w:val="21"/>
        </w:rPr>
        <w:t>任一侧距卷帘纵深 </w:t>
      </w:r>
      <w:r>
        <w:rPr>
          <w:sz w:val="21"/>
        </w:rPr>
        <w:t>0.5～5m</w:t>
      </w:r>
      <w:r>
        <w:rPr>
          <w:spacing w:val="-2"/>
          <w:sz w:val="21"/>
        </w:rPr>
        <w:t> 内应设置不少于 </w:t>
      </w:r>
      <w:r>
        <w:rPr>
          <w:spacing w:val="-3"/>
          <w:sz w:val="21"/>
        </w:rPr>
        <w:t>2 只专门用于联动防火卷帘的感温火灾探测器。</w:t>
      </w:r>
      <w:r>
        <w:rPr>
          <w:sz w:val="21"/>
        </w:rPr>
        <w:t> </w:t>
      </w:r>
    </w:p>
    <w:p>
      <w:pPr>
        <w:pStyle w:val="ListParagraph"/>
        <w:numPr>
          <w:ilvl w:val="0"/>
          <w:numId w:val="612"/>
        </w:numPr>
        <w:tabs>
          <w:tab w:pos="1367" w:val="left" w:leader="none"/>
          <w:tab w:pos="8819" w:val="left" w:leader="none"/>
        </w:tabs>
        <w:spacing w:line="446" w:lineRule="auto" w:before="0" w:after="0"/>
        <w:ind w:left="418" w:right="1719" w:firstLine="419"/>
        <w:jc w:val="left"/>
        <w:rPr>
          <w:sz w:val="21"/>
        </w:rPr>
      </w:pPr>
      <w:r>
        <w:rPr>
          <w:sz w:val="21"/>
        </w:rPr>
        <w:t>手</w:t>
      </w:r>
      <w:r>
        <w:rPr>
          <w:spacing w:val="-3"/>
          <w:sz w:val="21"/>
        </w:rPr>
        <w:t>动</w:t>
      </w:r>
      <w:r>
        <w:rPr>
          <w:sz w:val="21"/>
        </w:rPr>
        <w:t>控</w:t>
      </w:r>
      <w:r>
        <w:rPr>
          <w:spacing w:val="-3"/>
          <w:sz w:val="21"/>
        </w:rPr>
        <w:t>制</w:t>
      </w:r>
      <w:r>
        <w:rPr>
          <w:sz w:val="21"/>
        </w:rPr>
        <w:t>方</w:t>
      </w:r>
      <w:r>
        <w:rPr>
          <w:spacing w:val="-3"/>
          <w:sz w:val="21"/>
        </w:rPr>
        <w:t>式</w:t>
      </w:r>
      <w:r>
        <w:rPr>
          <w:sz w:val="21"/>
        </w:rPr>
        <w:t>，</w:t>
      </w:r>
      <w:r>
        <w:rPr>
          <w:spacing w:val="-3"/>
          <w:sz w:val="21"/>
        </w:rPr>
        <w:t>应由</w:t>
      </w:r>
      <w:r>
        <w:rPr>
          <w:sz w:val="21"/>
        </w:rPr>
        <w:t>防火</w:t>
      </w:r>
      <w:r>
        <w:rPr>
          <w:spacing w:val="-3"/>
          <w:sz w:val="21"/>
        </w:rPr>
        <w:t>卷</w:t>
      </w:r>
      <w:r>
        <w:rPr>
          <w:sz w:val="21"/>
        </w:rPr>
        <w:t>帘</w:t>
      </w:r>
      <w:r>
        <w:rPr>
          <w:spacing w:val="-3"/>
          <w:sz w:val="21"/>
        </w:rPr>
        <w:t>两</w:t>
      </w:r>
      <w:r>
        <w:rPr>
          <w:sz w:val="21"/>
        </w:rPr>
        <w:t>侧</w:t>
      </w:r>
      <w:r>
        <w:rPr>
          <w:spacing w:val="-3"/>
          <w:sz w:val="21"/>
        </w:rPr>
        <w:t>设</w:t>
      </w:r>
      <w:r>
        <w:rPr>
          <w:sz w:val="21"/>
        </w:rPr>
        <w:t>置</w:t>
      </w:r>
      <w:r>
        <w:rPr>
          <w:spacing w:val="-3"/>
          <w:sz w:val="21"/>
        </w:rPr>
        <w:t>的</w:t>
      </w:r>
      <w:r>
        <w:rPr>
          <w:sz w:val="21"/>
        </w:rPr>
        <w:t>手</w:t>
      </w:r>
      <w:r>
        <w:rPr>
          <w:spacing w:val="-3"/>
          <w:sz w:val="21"/>
        </w:rPr>
        <w:t>动</w:t>
      </w:r>
      <w:r>
        <w:rPr>
          <w:sz w:val="21"/>
        </w:rPr>
        <w:t>控制</w:t>
      </w:r>
      <w:r>
        <w:rPr>
          <w:spacing w:val="-3"/>
          <w:sz w:val="21"/>
        </w:rPr>
        <w:t>按</w:t>
      </w:r>
      <w:r>
        <w:rPr>
          <w:sz w:val="21"/>
        </w:rPr>
        <w:t>钮</w:t>
      </w:r>
      <w:r>
        <w:rPr>
          <w:spacing w:val="-3"/>
          <w:sz w:val="21"/>
        </w:rPr>
        <w:t>控</w:t>
      </w:r>
      <w:r>
        <w:rPr>
          <w:sz w:val="21"/>
        </w:rPr>
        <w:t>制</w:t>
      </w:r>
      <w:r>
        <w:rPr>
          <w:spacing w:val="-3"/>
          <w:sz w:val="21"/>
        </w:rPr>
        <w:t>防</w:t>
      </w:r>
      <w:r>
        <w:rPr>
          <w:sz w:val="21"/>
        </w:rPr>
        <w:t>火</w:t>
      </w:r>
      <w:r>
        <w:rPr>
          <w:spacing w:val="-3"/>
          <w:sz w:val="21"/>
        </w:rPr>
        <w:t>卷</w:t>
      </w:r>
      <w:r>
        <w:rPr>
          <w:sz w:val="21"/>
        </w:rPr>
        <w:t>帘</w:t>
      </w:r>
      <w:r>
        <w:rPr>
          <w:spacing w:val="-3"/>
          <w:sz w:val="21"/>
        </w:rPr>
        <w:t>的</w:t>
      </w:r>
      <w:r>
        <w:rPr>
          <w:sz w:val="21"/>
        </w:rPr>
        <w:t>升降</w:t>
      </w:r>
      <w:r>
        <w:rPr>
          <w:spacing w:val="-3"/>
          <w:sz w:val="21"/>
        </w:rPr>
        <w:t>。</w:t>
        <w:tab/>
      </w:r>
      <w:r>
        <w:rPr>
          <w:sz w:val="21"/>
        </w:rPr>
        <w:t> </w:t>
      </w:r>
      <w:r>
        <w:rPr>
          <w:b/>
          <w:sz w:val="21"/>
        </w:rPr>
        <w:t>4.6.4</w:t>
      </w:r>
      <w:r>
        <w:rPr>
          <w:b/>
          <w:spacing w:val="3"/>
          <w:sz w:val="21"/>
        </w:rPr>
        <w:t> </w:t>
      </w:r>
      <w:r>
        <w:rPr>
          <w:spacing w:val="-3"/>
          <w:sz w:val="21"/>
        </w:rPr>
        <w:t>非</w:t>
      </w:r>
      <w:r>
        <w:rPr>
          <w:sz w:val="21"/>
        </w:rPr>
        <w:t>疏</w:t>
      </w:r>
      <w:r>
        <w:rPr>
          <w:spacing w:val="-3"/>
          <w:sz w:val="21"/>
        </w:rPr>
        <w:t>散</w:t>
      </w:r>
      <w:r>
        <w:rPr>
          <w:sz w:val="21"/>
        </w:rPr>
        <w:t>通</w:t>
      </w:r>
      <w:r>
        <w:rPr>
          <w:spacing w:val="-3"/>
          <w:sz w:val="21"/>
        </w:rPr>
        <w:t>道</w:t>
      </w:r>
      <w:r>
        <w:rPr>
          <w:sz w:val="21"/>
        </w:rPr>
        <w:t>上</w:t>
      </w:r>
      <w:r>
        <w:rPr>
          <w:spacing w:val="-3"/>
          <w:sz w:val="21"/>
        </w:rPr>
        <w:t>设置</w:t>
      </w:r>
      <w:r>
        <w:rPr>
          <w:sz w:val="21"/>
        </w:rPr>
        <w:t>的防</w:t>
      </w:r>
      <w:r>
        <w:rPr>
          <w:spacing w:val="-3"/>
          <w:sz w:val="21"/>
        </w:rPr>
        <w:t>火</w:t>
      </w:r>
      <w:r>
        <w:rPr>
          <w:sz w:val="21"/>
        </w:rPr>
        <w:t>卷</w:t>
      </w:r>
      <w:r>
        <w:rPr>
          <w:spacing w:val="-3"/>
          <w:sz w:val="21"/>
        </w:rPr>
        <w:t>帘</w:t>
      </w:r>
      <w:r>
        <w:rPr>
          <w:sz w:val="21"/>
        </w:rPr>
        <w:t>的</w:t>
      </w:r>
      <w:r>
        <w:rPr>
          <w:spacing w:val="-3"/>
          <w:sz w:val="21"/>
        </w:rPr>
        <w:t>联</w:t>
      </w:r>
      <w:r>
        <w:rPr>
          <w:sz w:val="21"/>
        </w:rPr>
        <w:t>动</w:t>
      </w:r>
      <w:r>
        <w:rPr>
          <w:spacing w:val="-3"/>
          <w:sz w:val="21"/>
        </w:rPr>
        <w:t>控</w:t>
      </w:r>
      <w:r>
        <w:rPr>
          <w:sz w:val="21"/>
        </w:rPr>
        <w:t>制</w:t>
      </w:r>
      <w:r>
        <w:rPr>
          <w:spacing w:val="-3"/>
          <w:sz w:val="21"/>
        </w:rPr>
        <w:t>设</w:t>
      </w:r>
      <w:r>
        <w:rPr>
          <w:sz w:val="21"/>
        </w:rPr>
        <w:t>计，</w:t>
      </w:r>
      <w:r>
        <w:rPr>
          <w:spacing w:val="-3"/>
          <w:sz w:val="21"/>
        </w:rPr>
        <w:t>应</w:t>
      </w:r>
      <w:r>
        <w:rPr>
          <w:sz w:val="21"/>
        </w:rPr>
        <w:t>符</w:t>
      </w:r>
      <w:r>
        <w:rPr>
          <w:spacing w:val="-3"/>
          <w:sz w:val="21"/>
        </w:rPr>
        <w:t>合</w:t>
      </w:r>
      <w:r>
        <w:rPr>
          <w:sz w:val="21"/>
        </w:rPr>
        <w:t>下</w:t>
      </w:r>
      <w:r>
        <w:rPr>
          <w:spacing w:val="-3"/>
          <w:sz w:val="21"/>
        </w:rPr>
        <w:t>列</w:t>
      </w:r>
      <w:r>
        <w:rPr>
          <w:sz w:val="21"/>
        </w:rPr>
        <w:t>规</w:t>
      </w:r>
      <w:r>
        <w:rPr>
          <w:spacing w:val="-3"/>
          <w:sz w:val="21"/>
        </w:rPr>
        <w:t>定：</w:t>
      </w:r>
      <w:r>
        <w:rPr>
          <w:sz w:val="21"/>
        </w:rPr>
        <w:t> </w:t>
      </w:r>
    </w:p>
    <w:p>
      <w:pPr>
        <w:pStyle w:val="ListParagraph"/>
        <w:numPr>
          <w:ilvl w:val="0"/>
          <w:numId w:val="613"/>
        </w:numPr>
        <w:tabs>
          <w:tab w:pos="1367" w:val="left" w:leader="none"/>
        </w:tabs>
        <w:spacing w:line="446" w:lineRule="auto" w:before="0" w:after="0"/>
        <w:ind w:left="418" w:right="1431" w:firstLine="419"/>
        <w:jc w:val="left"/>
        <w:rPr>
          <w:sz w:val="21"/>
        </w:rPr>
      </w:pPr>
      <w:r>
        <w:rPr>
          <w:spacing w:val="-11"/>
          <w:sz w:val="21"/>
        </w:rPr>
        <w:t>联动控制方式，应由防火卷帘所在防火分区内任两只独立的火灾探测器的报警信号， </w:t>
      </w:r>
      <w:r>
        <w:rPr>
          <w:spacing w:val="-3"/>
          <w:sz w:val="21"/>
        </w:rPr>
        <w:t>作为防火 卷帘下降的联动触发信号，并应联动控制防火卷帘直接下降到楼板面。 </w:t>
      </w:r>
    </w:p>
    <w:p>
      <w:pPr>
        <w:pStyle w:val="ListParagraph"/>
        <w:numPr>
          <w:ilvl w:val="0"/>
          <w:numId w:val="613"/>
        </w:numPr>
        <w:tabs>
          <w:tab w:pos="1367" w:val="left" w:leader="none"/>
        </w:tabs>
        <w:spacing w:line="446" w:lineRule="auto" w:before="0" w:after="0"/>
        <w:ind w:left="418" w:right="1431" w:firstLine="419"/>
        <w:jc w:val="left"/>
        <w:rPr>
          <w:sz w:val="21"/>
        </w:rPr>
      </w:pPr>
      <w:r>
        <w:rPr>
          <w:spacing w:val="-11"/>
          <w:sz w:val="21"/>
        </w:rPr>
        <w:t>手动控制方式，应由防火卷帘两侧设置的手动控制按钮控制防火卷帘的升降，并应能 </w:t>
      </w:r>
      <w:r>
        <w:rPr>
          <w:spacing w:val="-3"/>
          <w:sz w:val="21"/>
        </w:rPr>
        <w:t>在消防控 制室内的消防联动控制器上手动控制防火卷帘的降落。 </w:t>
      </w:r>
      <w:r>
        <w:rPr>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391" w:firstLine="422"/>
      </w:pPr>
      <w:r>
        <w:rPr>
          <w:b/>
        </w:rPr>
        <w:t>4.6.5 </w:t>
      </w:r>
      <w:r>
        <w:rPr/>
        <w:t>防火卷帘下降至距楼板面 1.8m 处、下降到楼板面的动作信号和防火卷帘控制器直接连接的 感烟、感温火灾探测器的报警信号，应反馈至消防联动控制器。   </w:t>
      </w:r>
    </w:p>
    <w:p>
      <w:pPr>
        <w:pStyle w:val="ListParagraph"/>
        <w:numPr>
          <w:ilvl w:val="1"/>
          <w:numId w:val="603"/>
        </w:numPr>
        <w:tabs>
          <w:tab w:pos="1159" w:val="left" w:leader="none"/>
        </w:tabs>
        <w:spacing w:line="267" w:lineRule="exact" w:before="0" w:after="0"/>
        <w:ind w:left="1158" w:right="0" w:hanging="319"/>
        <w:jc w:val="left"/>
        <w:rPr>
          <w:sz w:val="21"/>
        </w:rPr>
      </w:pPr>
      <w:r>
        <w:rPr>
          <w:spacing w:val="-3"/>
          <w:sz w:val="21"/>
        </w:rPr>
        <w:t>电梯的联动控制设计</w:t>
      </w:r>
      <w:r>
        <w:rPr>
          <w:sz w:val="21"/>
        </w:rPr>
        <w:t> </w:t>
      </w:r>
    </w:p>
    <w:p>
      <w:pPr>
        <w:pStyle w:val="BodyText"/>
        <w:spacing w:before="2"/>
        <w:rPr>
          <w:sz w:val="18"/>
        </w:rPr>
      </w:pPr>
    </w:p>
    <w:p>
      <w:pPr>
        <w:pStyle w:val="ListParagraph"/>
        <w:numPr>
          <w:ilvl w:val="2"/>
          <w:numId w:val="603"/>
        </w:numPr>
        <w:tabs>
          <w:tab w:pos="1371" w:val="left" w:leader="none"/>
        </w:tabs>
        <w:spacing w:line="446" w:lineRule="auto" w:before="0" w:after="0"/>
        <w:ind w:left="418" w:right="1444" w:firstLine="422"/>
        <w:jc w:val="left"/>
        <w:rPr>
          <w:sz w:val="21"/>
        </w:rPr>
      </w:pPr>
      <w:r>
        <w:rPr>
          <w:spacing w:val="-1"/>
          <w:sz w:val="21"/>
        </w:rPr>
        <w:t>消防联动控制器应具有发出联动控制信号强制所有电梯停于首层或电梯转换层的功 </w:t>
      </w:r>
      <w:r>
        <w:rPr>
          <w:spacing w:val="-2"/>
          <w:sz w:val="21"/>
        </w:rPr>
        <w:t>能。</w:t>
      </w:r>
      <w:r>
        <w:rPr>
          <w:sz w:val="21"/>
        </w:rPr>
        <w:t> </w:t>
      </w:r>
    </w:p>
    <w:p>
      <w:pPr>
        <w:pStyle w:val="ListParagraph"/>
        <w:numPr>
          <w:ilvl w:val="2"/>
          <w:numId w:val="603"/>
        </w:numPr>
        <w:tabs>
          <w:tab w:pos="1370" w:val="left" w:leader="none"/>
        </w:tabs>
        <w:spacing w:line="446" w:lineRule="auto" w:before="0" w:after="0"/>
        <w:ind w:left="418" w:right="1431" w:firstLine="422"/>
        <w:jc w:val="left"/>
        <w:rPr>
          <w:sz w:val="21"/>
        </w:rPr>
      </w:pPr>
      <w:r>
        <w:rPr>
          <w:spacing w:val="-5"/>
          <w:sz w:val="21"/>
        </w:rPr>
        <w:t>电梯运行状态信息和停于首层或转换层的反馈信号，应传送给消防控制室显示，轿厢</w:t>
      </w:r>
      <w:r>
        <w:rPr>
          <w:spacing w:val="-4"/>
          <w:sz w:val="21"/>
        </w:rPr>
        <w:t>内应设置 能直接与消防控制室通话的专用电话。</w:t>
      </w:r>
      <w:r>
        <w:rPr>
          <w:sz w:val="21"/>
        </w:rPr>
        <w:t>   </w:t>
      </w:r>
    </w:p>
    <w:p>
      <w:pPr>
        <w:pStyle w:val="ListParagraph"/>
        <w:numPr>
          <w:ilvl w:val="1"/>
          <w:numId w:val="603"/>
        </w:numPr>
        <w:tabs>
          <w:tab w:pos="1160" w:val="left" w:leader="none"/>
        </w:tabs>
        <w:spacing w:line="240" w:lineRule="auto" w:before="0" w:after="0"/>
        <w:ind w:left="1159" w:right="0" w:hanging="320"/>
        <w:jc w:val="left"/>
        <w:rPr>
          <w:sz w:val="21"/>
        </w:rPr>
      </w:pPr>
      <w:r>
        <w:rPr>
          <w:spacing w:val="-3"/>
          <w:sz w:val="21"/>
        </w:rPr>
        <w:t>火灾警报和消防应急广播系统的联动控制设计</w:t>
      </w:r>
      <w:r>
        <w:rPr>
          <w:sz w:val="21"/>
        </w:rPr>
        <w:t> </w:t>
      </w:r>
    </w:p>
    <w:p>
      <w:pPr>
        <w:pStyle w:val="BodyText"/>
        <w:spacing w:before="10"/>
        <w:rPr>
          <w:sz w:val="17"/>
        </w:rPr>
      </w:pPr>
    </w:p>
    <w:p>
      <w:pPr>
        <w:pStyle w:val="ListParagraph"/>
        <w:numPr>
          <w:ilvl w:val="2"/>
          <w:numId w:val="603"/>
        </w:numPr>
        <w:tabs>
          <w:tab w:pos="1370" w:val="left" w:leader="none"/>
        </w:tabs>
        <w:spacing w:line="446" w:lineRule="auto" w:before="1" w:after="0"/>
        <w:ind w:left="418" w:right="1431" w:firstLine="422"/>
        <w:jc w:val="both"/>
        <w:rPr>
          <w:sz w:val="21"/>
        </w:rPr>
      </w:pPr>
      <w:r>
        <w:rPr>
          <w:spacing w:val="-5"/>
          <w:sz w:val="21"/>
        </w:rPr>
        <w:t>火灾自动报警系统应设置火灾声光警报器，并应在确认火灾后启动建筑内的所有火灾</w:t>
      </w:r>
      <w:r>
        <w:rPr>
          <w:spacing w:val="-4"/>
          <w:sz w:val="21"/>
        </w:rPr>
        <w:t>声光警报器。</w:t>
      </w:r>
      <w:r>
        <w:rPr>
          <w:sz w:val="21"/>
        </w:rPr>
        <w:t>   </w:t>
      </w:r>
      <w:r>
        <w:rPr>
          <w:spacing w:val="-1"/>
          <w:sz w:val="21"/>
        </w:rPr>
        <w:t> </w:t>
      </w:r>
      <w:r>
        <w:rPr>
          <w:w w:val="100"/>
          <w:sz w:val="21"/>
        </w:rPr>
        <w:t>  </w:t>
      </w:r>
    </w:p>
    <w:p>
      <w:pPr>
        <w:pStyle w:val="ListParagraph"/>
        <w:numPr>
          <w:ilvl w:val="2"/>
          <w:numId w:val="603"/>
        </w:numPr>
        <w:tabs>
          <w:tab w:pos="1370" w:val="left" w:leader="none"/>
        </w:tabs>
        <w:spacing w:line="446" w:lineRule="auto" w:before="0" w:after="0"/>
        <w:ind w:left="418" w:right="1431" w:firstLine="422"/>
        <w:jc w:val="both"/>
        <w:rPr>
          <w:sz w:val="21"/>
        </w:rPr>
      </w:pPr>
      <w:r>
        <w:rPr>
          <w:spacing w:val="-5"/>
          <w:sz w:val="21"/>
        </w:rPr>
        <w:t>未设置消防联动控制器的火灾自动报警系统，火灾声光警报器应由火灾报警控制器控</w:t>
      </w:r>
      <w:r>
        <w:rPr>
          <w:sz w:val="21"/>
        </w:rPr>
        <w:t>制；设置 消防联动控制器的火灾自动报警系统，火灾声光警报器应由火灾报警控制器或消防联</w:t>
      </w:r>
      <w:r>
        <w:rPr>
          <w:spacing w:val="-3"/>
          <w:sz w:val="21"/>
        </w:rPr>
        <w:t>动控制器控制。</w:t>
      </w:r>
      <w:r>
        <w:rPr>
          <w:sz w:val="21"/>
        </w:rPr>
        <w:t> </w:t>
      </w:r>
      <w:r>
        <w:rPr>
          <w:spacing w:val="-3"/>
          <w:sz w:val="21"/>
        </w:rPr>
        <w:t> </w:t>
      </w:r>
      <w:r>
        <w:rPr>
          <w:sz w:val="21"/>
        </w:rPr>
        <w:t> </w:t>
      </w:r>
    </w:p>
    <w:p>
      <w:pPr>
        <w:pStyle w:val="ListParagraph"/>
        <w:numPr>
          <w:ilvl w:val="2"/>
          <w:numId w:val="603"/>
        </w:numPr>
        <w:tabs>
          <w:tab w:pos="1370" w:val="left" w:leader="none"/>
        </w:tabs>
        <w:spacing w:line="446" w:lineRule="auto" w:before="0" w:after="0"/>
        <w:ind w:left="418" w:right="1431" w:firstLine="422"/>
        <w:jc w:val="both"/>
        <w:rPr>
          <w:sz w:val="21"/>
        </w:rPr>
      </w:pPr>
      <w:r>
        <w:rPr>
          <w:spacing w:val="-5"/>
          <w:sz w:val="21"/>
        </w:rPr>
        <w:t>公共场所宜设置具有同一种火灾变调声的火灾声警报器；具有多个报警区域的保护对</w:t>
      </w:r>
      <w:r>
        <w:rPr>
          <w:spacing w:val="-8"/>
          <w:sz w:val="21"/>
        </w:rPr>
        <w:t>象，宜选 用带有语音提示的火灾声警报器；学校、工厂等各类日常使用电铃的场所，不应使用警</w:t>
      </w:r>
      <w:r>
        <w:rPr>
          <w:spacing w:val="-5"/>
          <w:sz w:val="21"/>
        </w:rPr>
        <w:t>铃作为火灾声警报器。</w:t>
      </w:r>
      <w:r>
        <w:rPr>
          <w:sz w:val="21"/>
        </w:rPr>
        <w:t>    </w:t>
      </w:r>
      <w:r>
        <w:rPr>
          <w:w w:val="100"/>
          <w:sz w:val="21"/>
        </w:rPr>
        <w:t>  </w:t>
      </w:r>
    </w:p>
    <w:p>
      <w:pPr>
        <w:pStyle w:val="ListParagraph"/>
        <w:numPr>
          <w:ilvl w:val="2"/>
          <w:numId w:val="603"/>
        </w:numPr>
        <w:tabs>
          <w:tab w:pos="1370" w:val="left" w:leader="none"/>
        </w:tabs>
        <w:spacing w:line="268" w:lineRule="exact" w:before="0" w:after="0"/>
        <w:ind w:left="1369" w:right="0" w:hanging="530"/>
        <w:jc w:val="both"/>
        <w:rPr>
          <w:sz w:val="21"/>
        </w:rPr>
      </w:pPr>
      <w:r>
        <w:rPr>
          <w:spacing w:val="-3"/>
          <w:sz w:val="21"/>
        </w:rPr>
        <w:t>火灾声警报器设置带有语音提示功能时，应同时设置语音同步器。</w:t>
      </w:r>
      <w:r>
        <w:rPr>
          <w:sz w:val="21"/>
        </w:rPr>
        <w:t>   </w:t>
      </w:r>
      <w:r>
        <w:rPr>
          <w:spacing w:val="-8"/>
          <w:sz w:val="21"/>
        </w:rPr>
        <w:t> </w:t>
      </w:r>
      <w:r>
        <w:rPr>
          <w:w w:val="100"/>
          <w:sz w:val="21"/>
        </w:rPr>
        <w:t>  </w:t>
      </w:r>
    </w:p>
    <w:p>
      <w:pPr>
        <w:pStyle w:val="BodyText"/>
        <w:spacing w:before="11"/>
        <w:rPr>
          <w:sz w:val="17"/>
        </w:rPr>
      </w:pPr>
    </w:p>
    <w:p>
      <w:pPr>
        <w:pStyle w:val="ListParagraph"/>
        <w:numPr>
          <w:ilvl w:val="2"/>
          <w:numId w:val="603"/>
        </w:numPr>
        <w:tabs>
          <w:tab w:pos="1370" w:val="left" w:leader="none"/>
          <w:tab w:pos="2517" w:val="left" w:leader="none"/>
        </w:tabs>
        <w:spacing w:line="446" w:lineRule="auto" w:before="0" w:after="0"/>
        <w:ind w:left="418" w:right="1431" w:firstLine="422"/>
        <w:jc w:val="left"/>
        <w:rPr>
          <w:sz w:val="21"/>
        </w:rPr>
      </w:pPr>
      <w:r>
        <w:rPr>
          <w:spacing w:val="-3"/>
          <w:sz w:val="21"/>
        </w:rPr>
        <w:t>同</w:t>
      </w:r>
      <w:r>
        <w:rPr>
          <w:sz w:val="21"/>
        </w:rPr>
        <w:t>一</w:t>
      </w:r>
      <w:r>
        <w:rPr>
          <w:spacing w:val="-3"/>
          <w:sz w:val="21"/>
        </w:rPr>
        <w:t>建</w:t>
      </w:r>
      <w:r>
        <w:rPr>
          <w:sz w:val="21"/>
        </w:rPr>
        <w:t>筑</w:t>
      </w:r>
      <w:r>
        <w:rPr>
          <w:spacing w:val="-3"/>
          <w:sz w:val="21"/>
        </w:rPr>
        <w:t>内</w:t>
      </w:r>
      <w:r>
        <w:rPr>
          <w:sz w:val="21"/>
        </w:rPr>
        <w:t>设</w:t>
      </w:r>
      <w:r>
        <w:rPr>
          <w:spacing w:val="-3"/>
          <w:sz w:val="21"/>
        </w:rPr>
        <w:t>置多</w:t>
      </w:r>
      <w:r>
        <w:rPr>
          <w:sz w:val="21"/>
        </w:rPr>
        <w:t>个火</w:t>
      </w:r>
      <w:r>
        <w:rPr>
          <w:spacing w:val="-3"/>
          <w:sz w:val="21"/>
        </w:rPr>
        <w:t>灾</w:t>
      </w:r>
      <w:r>
        <w:rPr>
          <w:sz w:val="21"/>
        </w:rPr>
        <w:t>声</w:t>
      </w:r>
      <w:r>
        <w:rPr>
          <w:spacing w:val="-3"/>
          <w:sz w:val="21"/>
        </w:rPr>
        <w:t>警</w:t>
      </w:r>
      <w:r>
        <w:rPr>
          <w:sz w:val="21"/>
        </w:rPr>
        <w:t>报</w:t>
      </w:r>
      <w:r>
        <w:rPr>
          <w:spacing w:val="-3"/>
          <w:sz w:val="21"/>
        </w:rPr>
        <w:t>器</w:t>
      </w:r>
      <w:r>
        <w:rPr>
          <w:sz w:val="21"/>
        </w:rPr>
        <w:t>时</w:t>
      </w:r>
      <w:r>
        <w:rPr>
          <w:spacing w:val="-41"/>
          <w:sz w:val="21"/>
        </w:rPr>
        <w:t>，</w:t>
      </w:r>
      <w:r>
        <w:rPr>
          <w:sz w:val="21"/>
        </w:rPr>
        <w:t>火</w:t>
      </w:r>
      <w:r>
        <w:rPr>
          <w:spacing w:val="-3"/>
          <w:sz w:val="21"/>
        </w:rPr>
        <w:t>灾</w:t>
      </w:r>
      <w:r>
        <w:rPr>
          <w:sz w:val="21"/>
        </w:rPr>
        <w:t>自动</w:t>
      </w:r>
      <w:r>
        <w:rPr>
          <w:spacing w:val="-3"/>
          <w:sz w:val="21"/>
        </w:rPr>
        <w:t>报</w:t>
      </w:r>
      <w:r>
        <w:rPr>
          <w:sz w:val="21"/>
        </w:rPr>
        <w:t>警</w:t>
      </w:r>
      <w:r>
        <w:rPr>
          <w:spacing w:val="-3"/>
          <w:sz w:val="21"/>
        </w:rPr>
        <w:t>系</w:t>
      </w:r>
      <w:r>
        <w:rPr>
          <w:sz w:val="21"/>
        </w:rPr>
        <w:t>统</w:t>
      </w:r>
      <w:r>
        <w:rPr>
          <w:spacing w:val="-3"/>
          <w:sz w:val="21"/>
        </w:rPr>
        <w:t>应</w:t>
      </w:r>
      <w:r>
        <w:rPr>
          <w:sz w:val="21"/>
        </w:rPr>
        <w:t>能</w:t>
      </w:r>
      <w:r>
        <w:rPr>
          <w:spacing w:val="-3"/>
          <w:sz w:val="21"/>
        </w:rPr>
        <w:t>同</w:t>
      </w:r>
      <w:r>
        <w:rPr>
          <w:sz w:val="21"/>
        </w:rPr>
        <w:t>时</w:t>
      </w:r>
      <w:r>
        <w:rPr>
          <w:spacing w:val="-3"/>
          <w:sz w:val="21"/>
        </w:rPr>
        <w:t>启</w:t>
      </w:r>
      <w:r>
        <w:rPr>
          <w:sz w:val="21"/>
        </w:rPr>
        <w:t>动和</w:t>
      </w:r>
      <w:r>
        <w:rPr>
          <w:spacing w:val="-3"/>
          <w:sz w:val="21"/>
        </w:rPr>
        <w:t>停</w:t>
      </w:r>
      <w:r>
        <w:rPr>
          <w:sz w:val="21"/>
        </w:rPr>
        <w:t>止</w:t>
      </w:r>
      <w:r>
        <w:rPr>
          <w:spacing w:val="-3"/>
          <w:sz w:val="21"/>
        </w:rPr>
        <w:t>所</w:t>
      </w:r>
      <w:r>
        <w:rPr>
          <w:sz w:val="21"/>
        </w:rPr>
        <w:t>有火灾声</w:t>
      </w:r>
      <w:r>
        <w:rPr>
          <w:spacing w:val="-3"/>
          <w:sz w:val="21"/>
        </w:rPr>
        <w:t>警</w:t>
      </w:r>
      <w:r>
        <w:rPr>
          <w:sz w:val="21"/>
        </w:rPr>
        <w:t>报</w:t>
      </w:r>
      <w:r>
        <w:rPr>
          <w:spacing w:val="-3"/>
          <w:sz w:val="21"/>
        </w:rPr>
        <w:t>器</w:t>
      </w:r>
      <w:r>
        <w:rPr>
          <w:sz w:val="21"/>
        </w:rPr>
        <w:t>工</w:t>
      </w:r>
      <w:r>
        <w:rPr>
          <w:spacing w:val="-3"/>
          <w:sz w:val="21"/>
        </w:rPr>
        <w:t>作。</w:t>
      </w:r>
      <w:r>
        <w:rPr>
          <w:sz w:val="21"/>
        </w:rPr>
        <w:t> </w:t>
        <w:tab/>
      </w:r>
      <w:r>
        <w:rPr>
          <w:w w:val="100"/>
          <w:sz w:val="21"/>
        </w:rPr>
        <w:t>  </w:t>
      </w:r>
    </w:p>
    <w:p>
      <w:pPr>
        <w:pStyle w:val="ListParagraph"/>
        <w:numPr>
          <w:ilvl w:val="2"/>
          <w:numId w:val="603"/>
        </w:numPr>
        <w:tabs>
          <w:tab w:pos="1371" w:val="left" w:leader="none"/>
        </w:tabs>
        <w:spacing w:line="446" w:lineRule="auto" w:before="0" w:after="0"/>
        <w:ind w:left="418" w:right="1433" w:firstLine="422"/>
        <w:jc w:val="left"/>
        <w:rPr>
          <w:sz w:val="21"/>
        </w:rPr>
      </w:pPr>
      <w:r>
        <w:rPr>
          <w:spacing w:val="-2"/>
          <w:sz w:val="21"/>
        </w:rPr>
        <w:t>火灾声警报器单次发出火灾警报时间宜为 </w:t>
      </w:r>
      <w:r>
        <w:rPr>
          <w:sz w:val="21"/>
        </w:rPr>
        <w:t>8～20s</w:t>
      </w:r>
      <w:r>
        <w:rPr>
          <w:spacing w:val="-2"/>
          <w:sz w:val="21"/>
        </w:rPr>
        <w:t>  ，同时设有消防应急广播时，火</w:t>
      </w:r>
      <w:r>
        <w:rPr>
          <w:spacing w:val="-3"/>
          <w:sz w:val="21"/>
        </w:rPr>
        <w:t>灾声警报 应与消防应急广播交替循环播放。</w:t>
      </w:r>
      <w:r>
        <w:rPr>
          <w:sz w:val="21"/>
        </w:rPr>
        <w:t>   </w:t>
      </w:r>
    </w:p>
    <w:p>
      <w:pPr>
        <w:pStyle w:val="ListParagraph"/>
        <w:numPr>
          <w:ilvl w:val="2"/>
          <w:numId w:val="603"/>
        </w:numPr>
        <w:tabs>
          <w:tab w:pos="1370" w:val="left" w:leader="none"/>
          <w:tab w:pos="7138" w:val="left" w:leader="none"/>
          <w:tab w:pos="7558" w:val="left" w:leader="none"/>
        </w:tabs>
        <w:spacing w:line="240" w:lineRule="auto" w:before="0" w:after="0"/>
        <w:ind w:left="1369" w:right="0" w:hanging="530"/>
        <w:jc w:val="left"/>
        <w:rPr>
          <w:sz w:val="21"/>
        </w:rPr>
      </w:pPr>
      <w:r>
        <w:rPr>
          <w:spacing w:val="-3"/>
          <w:sz w:val="21"/>
        </w:rPr>
        <w:t>集</w:t>
      </w:r>
      <w:r>
        <w:rPr>
          <w:sz w:val="21"/>
        </w:rPr>
        <w:t>中</w:t>
      </w:r>
      <w:r>
        <w:rPr>
          <w:spacing w:val="-3"/>
          <w:sz w:val="21"/>
        </w:rPr>
        <w:t>报</w:t>
      </w:r>
      <w:r>
        <w:rPr>
          <w:sz w:val="21"/>
        </w:rPr>
        <w:t>警</w:t>
      </w:r>
      <w:r>
        <w:rPr>
          <w:spacing w:val="-3"/>
          <w:sz w:val="21"/>
        </w:rPr>
        <w:t>系</w:t>
      </w:r>
      <w:r>
        <w:rPr>
          <w:sz w:val="21"/>
        </w:rPr>
        <w:t>统</w:t>
      </w:r>
      <w:r>
        <w:rPr>
          <w:spacing w:val="-3"/>
          <w:sz w:val="21"/>
        </w:rPr>
        <w:t>和控</w:t>
      </w:r>
      <w:r>
        <w:rPr>
          <w:sz w:val="21"/>
        </w:rPr>
        <w:t>制中</w:t>
      </w:r>
      <w:r>
        <w:rPr>
          <w:spacing w:val="-3"/>
          <w:sz w:val="21"/>
        </w:rPr>
        <w:t>心</w:t>
      </w:r>
      <w:r>
        <w:rPr>
          <w:sz w:val="21"/>
        </w:rPr>
        <w:t>报</w:t>
      </w:r>
      <w:r>
        <w:rPr>
          <w:spacing w:val="-3"/>
          <w:sz w:val="21"/>
        </w:rPr>
        <w:t>警</w:t>
      </w:r>
      <w:r>
        <w:rPr>
          <w:sz w:val="21"/>
        </w:rPr>
        <w:t>系</w:t>
      </w:r>
      <w:r>
        <w:rPr>
          <w:spacing w:val="-3"/>
          <w:sz w:val="21"/>
        </w:rPr>
        <w:t>统</w:t>
      </w:r>
      <w:r>
        <w:rPr>
          <w:sz w:val="21"/>
        </w:rPr>
        <w:t>应</w:t>
      </w:r>
      <w:r>
        <w:rPr>
          <w:spacing w:val="-3"/>
          <w:sz w:val="21"/>
        </w:rPr>
        <w:t>设</w:t>
      </w:r>
      <w:r>
        <w:rPr>
          <w:sz w:val="21"/>
        </w:rPr>
        <w:t>置</w:t>
      </w:r>
      <w:r>
        <w:rPr>
          <w:spacing w:val="-3"/>
          <w:sz w:val="21"/>
        </w:rPr>
        <w:t>消</w:t>
      </w:r>
      <w:r>
        <w:rPr>
          <w:sz w:val="21"/>
        </w:rPr>
        <w:t>防应</w:t>
      </w:r>
      <w:r>
        <w:rPr>
          <w:spacing w:val="-3"/>
          <w:sz w:val="21"/>
        </w:rPr>
        <w:t>急</w:t>
      </w:r>
      <w:r>
        <w:rPr>
          <w:sz w:val="21"/>
        </w:rPr>
        <w:t>广</w:t>
      </w:r>
      <w:r>
        <w:rPr>
          <w:spacing w:val="-3"/>
          <w:sz w:val="21"/>
        </w:rPr>
        <w:t>播。</w:t>
      </w:r>
      <w:r>
        <w:rPr>
          <w:sz w:val="21"/>
        </w:rPr>
        <w:t> </w:t>
        <w:tab/>
      </w:r>
      <w:r>
        <w:rPr>
          <w:w w:val="100"/>
          <w:sz w:val="21"/>
        </w:rPr>
        <w:t>  </w:t>
      </w:r>
      <w:r>
        <w:rPr>
          <w:sz w:val="21"/>
        </w:rPr>
        <w:tab/>
      </w:r>
      <w:r>
        <w:rPr>
          <w:w w:val="100"/>
          <w:sz w:val="21"/>
        </w:rPr>
        <w:t>  </w:t>
      </w:r>
    </w:p>
    <w:p>
      <w:pPr>
        <w:pStyle w:val="BodyText"/>
        <w:spacing w:before="12"/>
        <w:rPr>
          <w:sz w:val="17"/>
        </w:rPr>
      </w:pPr>
    </w:p>
    <w:p>
      <w:pPr>
        <w:pStyle w:val="ListParagraph"/>
        <w:numPr>
          <w:ilvl w:val="2"/>
          <w:numId w:val="603"/>
        </w:numPr>
        <w:tabs>
          <w:tab w:pos="1370" w:val="left" w:leader="none"/>
          <w:tab w:pos="2517" w:val="left" w:leader="none"/>
          <w:tab w:pos="2938" w:val="left" w:leader="none"/>
        </w:tabs>
        <w:spacing w:line="446" w:lineRule="auto" w:before="0" w:after="0"/>
        <w:ind w:left="418" w:right="1431" w:firstLine="422"/>
        <w:jc w:val="left"/>
        <w:rPr>
          <w:sz w:val="21"/>
        </w:rPr>
      </w:pPr>
      <w:r>
        <w:rPr>
          <w:spacing w:val="-3"/>
          <w:sz w:val="21"/>
        </w:rPr>
        <w:t>消</w:t>
      </w:r>
      <w:r>
        <w:rPr>
          <w:sz w:val="21"/>
        </w:rPr>
        <w:t>防</w:t>
      </w:r>
      <w:r>
        <w:rPr>
          <w:spacing w:val="-3"/>
          <w:sz w:val="21"/>
        </w:rPr>
        <w:t>应</w:t>
      </w:r>
      <w:r>
        <w:rPr>
          <w:sz w:val="21"/>
        </w:rPr>
        <w:t>急</w:t>
      </w:r>
      <w:r>
        <w:rPr>
          <w:spacing w:val="-3"/>
          <w:sz w:val="21"/>
        </w:rPr>
        <w:t>广</w:t>
      </w:r>
      <w:r>
        <w:rPr>
          <w:sz w:val="21"/>
        </w:rPr>
        <w:t>播</w:t>
      </w:r>
      <w:r>
        <w:rPr>
          <w:spacing w:val="-3"/>
          <w:sz w:val="21"/>
        </w:rPr>
        <w:t>系统</w:t>
      </w:r>
      <w:r>
        <w:rPr>
          <w:sz w:val="21"/>
        </w:rPr>
        <w:t>的联</w:t>
      </w:r>
      <w:r>
        <w:rPr>
          <w:spacing w:val="-3"/>
          <w:sz w:val="21"/>
        </w:rPr>
        <w:t>动</w:t>
      </w:r>
      <w:r>
        <w:rPr>
          <w:sz w:val="21"/>
        </w:rPr>
        <w:t>控</w:t>
      </w:r>
      <w:r>
        <w:rPr>
          <w:spacing w:val="-3"/>
          <w:sz w:val="21"/>
        </w:rPr>
        <w:t>制</w:t>
      </w:r>
      <w:r>
        <w:rPr>
          <w:sz w:val="21"/>
        </w:rPr>
        <w:t>信</w:t>
      </w:r>
      <w:r>
        <w:rPr>
          <w:spacing w:val="-3"/>
          <w:sz w:val="21"/>
        </w:rPr>
        <w:t>号</w:t>
      </w:r>
      <w:r>
        <w:rPr>
          <w:sz w:val="21"/>
        </w:rPr>
        <w:t>应</w:t>
      </w:r>
      <w:r>
        <w:rPr>
          <w:spacing w:val="-3"/>
          <w:sz w:val="21"/>
        </w:rPr>
        <w:t>由</w:t>
      </w:r>
      <w:r>
        <w:rPr>
          <w:sz w:val="21"/>
        </w:rPr>
        <w:t>消</w:t>
      </w:r>
      <w:r>
        <w:rPr>
          <w:spacing w:val="-3"/>
          <w:sz w:val="21"/>
        </w:rPr>
        <w:t>防</w:t>
      </w:r>
      <w:r>
        <w:rPr>
          <w:sz w:val="21"/>
        </w:rPr>
        <w:t>联动</w:t>
      </w:r>
      <w:r>
        <w:rPr>
          <w:spacing w:val="-3"/>
          <w:sz w:val="21"/>
        </w:rPr>
        <w:t>控</w:t>
      </w:r>
      <w:r>
        <w:rPr>
          <w:sz w:val="21"/>
        </w:rPr>
        <w:t>制</w:t>
      </w:r>
      <w:r>
        <w:rPr>
          <w:spacing w:val="-3"/>
          <w:sz w:val="21"/>
        </w:rPr>
        <w:t>器</w:t>
      </w:r>
      <w:r>
        <w:rPr>
          <w:sz w:val="21"/>
        </w:rPr>
        <w:t>发</w:t>
      </w:r>
      <w:r>
        <w:rPr>
          <w:spacing w:val="-3"/>
          <w:sz w:val="21"/>
        </w:rPr>
        <w:t>出</w:t>
      </w:r>
      <w:r>
        <w:rPr>
          <w:spacing w:val="-20"/>
          <w:sz w:val="21"/>
        </w:rPr>
        <w:t>。</w:t>
      </w:r>
      <w:r>
        <w:rPr>
          <w:spacing w:val="-3"/>
          <w:sz w:val="21"/>
        </w:rPr>
        <w:t>当</w:t>
      </w:r>
      <w:r>
        <w:rPr>
          <w:sz w:val="21"/>
        </w:rPr>
        <w:t>确</w:t>
      </w:r>
      <w:r>
        <w:rPr>
          <w:spacing w:val="-3"/>
          <w:sz w:val="21"/>
        </w:rPr>
        <w:t>认</w:t>
      </w:r>
      <w:r>
        <w:rPr>
          <w:sz w:val="21"/>
        </w:rPr>
        <w:t>火灾</w:t>
      </w:r>
      <w:r>
        <w:rPr>
          <w:spacing w:val="-3"/>
          <w:sz w:val="21"/>
        </w:rPr>
        <w:t>后</w:t>
      </w:r>
      <w:r>
        <w:rPr>
          <w:spacing w:val="-20"/>
          <w:sz w:val="21"/>
        </w:rPr>
        <w:t>，</w:t>
      </w:r>
      <w:r>
        <w:rPr>
          <w:spacing w:val="-3"/>
          <w:sz w:val="21"/>
        </w:rPr>
        <w:t>应</w:t>
      </w:r>
      <w:r>
        <w:rPr>
          <w:sz w:val="21"/>
        </w:rPr>
        <w:t>同时向全</w:t>
      </w:r>
      <w:r>
        <w:rPr>
          <w:spacing w:val="-3"/>
          <w:sz w:val="21"/>
        </w:rPr>
        <w:t>楼</w:t>
      </w:r>
      <w:r>
        <w:rPr>
          <w:sz w:val="21"/>
        </w:rPr>
        <w:t>进</w:t>
      </w:r>
      <w:r>
        <w:rPr>
          <w:spacing w:val="-3"/>
          <w:sz w:val="21"/>
        </w:rPr>
        <w:t>行</w:t>
      </w:r>
      <w:r>
        <w:rPr>
          <w:sz w:val="21"/>
        </w:rPr>
        <w:t>广</w:t>
      </w:r>
      <w:r>
        <w:rPr>
          <w:spacing w:val="-3"/>
          <w:sz w:val="21"/>
        </w:rPr>
        <w:t>播。</w:t>
      </w:r>
      <w:r>
        <w:rPr>
          <w:sz w:val="21"/>
        </w:rPr>
        <w:t> </w:t>
        <w:tab/>
      </w:r>
      <w:r>
        <w:rPr>
          <w:w w:val="100"/>
          <w:sz w:val="21"/>
        </w:rPr>
        <w:t>  </w:t>
      </w:r>
      <w:r>
        <w:rPr>
          <w:sz w:val="21"/>
        </w:rPr>
        <w:tab/>
      </w:r>
      <w:r>
        <w:rPr>
          <w:w w:val="100"/>
          <w:sz w:val="21"/>
        </w:rPr>
        <w:t>  </w:t>
      </w:r>
    </w:p>
    <w:p>
      <w:pPr>
        <w:pStyle w:val="ListParagraph"/>
        <w:numPr>
          <w:ilvl w:val="2"/>
          <w:numId w:val="603"/>
        </w:numPr>
        <w:tabs>
          <w:tab w:pos="1370" w:val="left" w:leader="none"/>
        </w:tabs>
        <w:spacing w:line="446" w:lineRule="auto" w:before="0" w:after="0"/>
        <w:ind w:left="418" w:right="1328" w:firstLine="422"/>
        <w:jc w:val="left"/>
        <w:rPr>
          <w:sz w:val="21"/>
        </w:rPr>
      </w:pPr>
      <w:r>
        <w:rPr>
          <w:spacing w:val="-3"/>
          <w:sz w:val="21"/>
        </w:rPr>
        <w:t>消防应急广播的单次语音播放时间宜为 </w:t>
      </w:r>
      <w:r>
        <w:rPr>
          <w:sz w:val="21"/>
        </w:rPr>
        <w:t>10～30s</w:t>
      </w:r>
      <w:r>
        <w:rPr>
          <w:spacing w:val="-7"/>
          <w:sz w:val="21"/>
        </w:rPr>
        <w:t> ，应与火灾声警报器分时交替工作， </w:t>
      </w:r>
      <w:r>
        <w:rPr>
          <w:spacing w:val="-16"/>
          <w:sz w:val="21"/>
        </w:rPr>
        <w:t>可采取 </w:t>
      </w:r>
      <w:r>
        <w:rPr>
          <w:sz w:val="21"/>
        </w:rPr>
        <w:t>1</w:t>
      </w:r>
      <w:r>
        <w:rPr>
          <w:spacing w:val="-3"/>
          <w:sz w:val="21"/>
        </w:rPr>
        <w:t> 次火灾声警报器播放、</w:t>
      </w:r>
      <w:r>
        <w:rPr>
          <w:sz w:val="21"/>
        </w:rPr>
        <w:t>1</w:t>
      </w:r>
      <w:r>
        <w:rPr>
          <w:spacing w:val="1"/>
          <w:sz w:val="21"/>
        </w:rPr>
        <w:t> 次或 </w:t>
      </w:r>
      <w:r>
        <w:rPr>
          <w:spacing w:val="-3"/>
          <w:sz w:val="21"/>
        </w:rPr>
        <w:t>2 次消防应急广播播放的交替工作方式循环播放。 </w:t>
      </w:r>
      <w:r>
        <w:rPr>
          <w:sz w:val="21"/>
        </w:rPr>
        <w:t> </w:t>
      </w:r>
    </w:p>
    <w:p>
      <w:pPr>
        <w:pStyle w:val="ListParagraph"/>
        <w:numPr>
          <w:ilvl w:val="2"/>
          <w:numId w:val="603"/>
        </w:numPr>
        <w:tabs>
          <w:tab w:pos="1478" w:val="left" w:leader="none"/>
        </w:tabs>
        <w:spacing w:line="446" w:lineRule="auto" w:before="0" w:after="0"/>
        <w:ind w:left="418" w:right="1431" w:firstLine="422"/>
        <w:jc w:val="left"/>
        <w:rPr>
          <w:sz w:val="21"/>
        </w:rPr>
      </w:pPr>
      <w:r>
        <w:rPr>
          <w:spacing w:val="-3"/>
          <w:sz w:val="21"/>
        </w:rPr>
        <w:t>在消防控制室应能手动或按预设控制逻辑联动控制选择广播分区、启动或停止应急 </w:t>
      </w:r>
      <w:r>
        <w:rPr>
          <w:spacing w:val="-14"/>
          <w:sz w:val="21"/>
        </w:rPr>
        <w:t>广播系统， 并应能监听消防应急广播。在通过传声器进行应急广播时，应自动对广播内容进行录</w:t>
      </w:r>
    </w:p>
    <w:p>
      <w:pPr>
        <w:spacing w:after="0" w:line="446" w:lineRule="auto"/>
        <w:jc w:val="left"/>
        <w:rPr>
          <w:sz w:val="21"/>
        </w:rPr>
        <w:sectPr>
          <w:footerReference w:type="default" r:id="rId347"/>
          <w:pgSz w:w="11910" w:h="16850"/>
          <w:pgMar w:footer="1239" w:header="0" w:top="1220" w:bottom="1420" w:left="1260" w:right="0"/>
          <w:pgNumType w:start="1280"/>
        </w:sectPr>
      </w:pPr>
    </w:p>
    <w:p>
      <w:pPr>
        <w:pStyle w:val="BodyText"/>
        <w:spacing w:before="47"/>
        <w:ind w:left="418"/>
      </w:pPr>
      <w:r>
        <w:rPr/>
        <w:t>音。 </w:t>
      </w:r>
    </w:p>
    <w:p>
      <w:pPr>
        <w:pStyle w:val="BodyText"/>
        <w:rPr>
          <w:sz w:val="18"/>
        </w:rPr>
      </w:pPr>
    </w:p>
    <w:p>
      <w:pPr>
        <w:pStyle w:val="ListParagraph"/>
        <w:numPr>
          <w:ilvl w:val="2"/>
          <w:numId w:val="603"/>
        </w:numPr>
        <w:tabs>
          <w:tab w:pos="1478" w:val="left" w:leader="none"/>
        </w:tabs>
        <w:spacing w:line="240" w:lineRule="auto" w:before="0" w:after="0"/>
        <w:ind w:left="1477" w:right="0" w:hanging="638"/>
        <w:jc w:val="left"/>
        <w:rPr>
          <w:sz w:val="21"/>
        </w:rPr>
      </w:pPr>
      <w:r>
        <w:rPr>
          <w:spacing w:val="-3"/>
          <w:sz w:val="21"/>
        </w:rPr>
        <w:t>消防控制室内应能显示消防应急广播的广播分区的工作状态。</w:t>
      </w:r>
      <w:r>
        <w:rPr>
          <w:sz w:val="21"/>
        </w:rPr>
        <w:t>  </w:t>
      </w:r>
      <w:r>
        <w:rPr>
          <w:spacing w:val="-11"/>
          <w:sz w:val="21"/>
        </w:rPr>
        <w:t> </w:t>
      </w:r>
      <w:r>
        <w:rPr>
          <w:w w:val="100"/>
          <w:sz w:val="21"/>
        </w:rPr>
        <w:t>  </w:t>
      </w:r>
    </w:p>
    <w:p>
      <w:pPr>
        <w:pStyle w:val="BodyText"/>
        <w:rPr>
          <w:sz w:val="18"/>
        </w:rPr>
      </w:pPr>
    </w:p>
    <w:p>
      <w:pPr>
        <w:pStyle w:val="ListParagraph"/>
        <w:numPr>
          <w:ilvl w:val="2"/>
          <w:numId w:val="603"/>
        </w:numPr>
        <w:tabs>
          <w:tab w:pos="1478" w:val="left" w:leader="none"/>
        </w:tabs>
        <w:spacing w:line="446" w:lineRule="auto" w:before="0" w:after="0"/>
        <w:ind w:left="418" w:right="1434" w:firstLine="422"/>
        <w:jc w:val="left"/>
        <w:rPr>
          <w:sz w:val="21"/>
        </w:rPr>
      </w:pPr>
      <w:r>
        <w:rPr>
          <w:spacing w:val="-3"/>
          <w:sz w:val="21"/>
        </w:rPr>
        <w:t>消防应急广播与普通广播或背景音乐广播合用时，应具有强制切入消防应急广播的 功能。</w:t>
      </w:r>
      <w:r>
        <w:rPr>
          <w:sz w:val="21"/>
        </w:rPr>
        <w:t> </w:t>
      </w:r>
    </w:p>
    <w:p>
      <w:pPr>
        <w:pStyle w:val="ListParagraph"/>
        <w:numPr>
          <w:ilvl w:val="1"/>
          <w:numId w:val="603"/>
        </w:numPr>
        <w:tabs>
          <w:tab w:pos="1159" w:val="left" w:leader="none"/>
        </w:tabs>
        <w:spacing w:line="240" w:lineRule="auto" w:before="0" w:after="0"/>
        <w:ind w:left="1158" w:right="0" w:hanging="319"/>
        <w:jc w:val="left"/>
        <w:rPr>
          <w:sz w:val="21"/>
        </w:rPr>
      </w:pPr>
      <w:r>
        <w:rPr>
          <w:spacing w:val="-3"/>
          <w:sz w:val="21"/>
        </w:rPr>
        <w:t>消防应急照明和疏散指示系统的联动控制设计</w:t>
      </w:r>
      <w:r>
        <w:rPr>
          <w:sz w:val="21"/>
        </w:rPr>
        <w:t> </w:t>
      </w:r>
    </w:p>
    <w:p>
      <w:pPr>
        <w:pStyle w:val="BodyText"/>
        <w:spacing w:before="12"/>
        <w:rPr>
          <w:sz w:val="17"/>
        </w:rPr>
      </w:pPr>
    </w:p>
    <w:p>
      <w:pPr>
        <w:pStyle w:val="ListParagraph"/>
        <w:numPr>
          <w:ilvl w:val="2"/>
          <w:numId w:val="603"/>
        </w:numPr>
        <w:tabs>
          <w:tab w:pos="1371" w:val="left" w:leader="none"/>
        </w:tabs>
        <w:spacing w:line="240" w:lineRule="auto" w:before="0" w:after="0"/>
        <w:ind w:left="1370" w:right="0" w:hanging="531"/>
        <w:jc w:val="left"/>
        <w:rPr>
          <w:sz w:val="21"/>
        </w:rPr>
      </w:pPr>
      <w:r>
        <w:rPr>
          <w:spacing w:val="-3"/>
          <w:sz w:val="21"/>
        </w:rPr>
        <w:t>消防应急照明和疏散指示系统的联动控制设计，应符合下列规定：</w:t>
      </w:r>
      <w:r>
        <w:rPr>
          <w:sz w:val="21"/>
        </w:rPr>
        <w:t> </w:t>
      </w:r>
    </w:p>
    <w:p>
      <w:pPr>
        <w:pStyle w:val="BodyText"/>
        <w:spacing w:before="2"/>
        <w:rPr>
          <w:sz w:val="18"/>
        </w:rPr>
      </w:pPr>
    </w:p>
    <w:p>
      <w:pPr>
        <w:pStyle w:val="ListParagraph"/>
        <w:numPr>
          <w:ilvl w:val="0"/>
          <w:numId w:val="614"/>
        </w:numPr>
        <w:tabs>
          <w:tab w:pos="1370" w:val="left" w:leader="none"/>
        </w:tabs>
        <w:spacing w:line="446" w:lineRule="auto" w:before="0" w:after="0"/>
        <w:ind w:left="418" w:right="1438" w:firstLine="419"/>
        <w:jc w:val="left"/>
        <w:rPr>
          <w:sz w:val="21"/>
        </w:rPr>
      </w:pPr>
      <w:r>
        <w:rPr>
          <w:spacing w:val="-1"/>
          <w:sz w:val="21"/>
        </w:rPr>
        <w:t>集中控制型消防应急照明和疏散指示系统，应由火灾报警控制器或消防联动控制器启</w:t>
      </w:r>
      <w:r>
        <w:rPr>
          <w:spacing w:val="-3"/>
          <w:sz w:val="21"/>
        </w:rPr>
        <w:t>动应急照 明控制器实现。</w:t>
      </w:r>
      <w:r>
        <w:rPr>
          <w:sz w:val="21"/>
        </w:rPr>
        <w:t> </w:t>
      </w:r>
    </w:p>
    <w:p>
      <w:pPr>
        <w:pStyle w:val="ListParagraph"/>
        <w:numPr>
          <w:ilvl w:val="0"/>
          <w:numId w:val="614"/>
        </w:numPr>
        <w:tabs>
          <w:tab w:pos="1370" w:val="left" w:leader="none"/>
        </w:tabs>
        <w:spacing w:line="446" w:lineRule="auto" w:before="0" w:after="0"/>
        <w:ind w:left="418" w:right="1438" w:firstLine="419"/>
        <w:jc w:val="left"/>
        <w:rPr>
          <w:sz w:val="21"/>
        </w:rPr>
      </w:pPr>
      <w:r>
        <w:rPr>
          <w:spacing w:val="-1"/>
          <w:sz w:val="21"/>
        </w:rPr>
        <w:t>集中电源非集中控制型消防应急照明和疏散指示系统，应由消防联动控制器联动应急</w:t>
      </w:r>
      <w:r>
        <w:rPr>
          <w:spacing w:val="-3"/>
          <w:sz w:val="21"/>
        </w:rPr>
        <w:t>照明集中 电源和应急照明分配电装置实现。</w:t>
      </w:r>
      <w:r>
        <w:rPr>
          <w:sz w:val="21"/>
        </w:rPr>
        <w:t> </w:t>
      </w:r>
    </w:p>
    <w:p>
      <w:pPr>
        <w:pStyle w:val="ListParagraph"/>
        <w:numPr>
          <w:ilvl w:val="0"/>
          <w:numId w:val="614"/>
        </w:numPr>
        <w:tabs>
          <w:tab w:pos="1370" w:val="left" w:leader="none"/>
          <w:tab w:pos="2938" w:val="left" w:leader="none"/>
          <w:tab w:pos="3358" w:val="left" w:leader="none"/>
          <w:tab w:pos="3778" w:val="left" w:leader="none"/>
        </w:tabs>
        <w:spacing w:line="446" w:lineRule="auto" w:before="0" w:after="0"/>
        <w:ind w:left="418" w:right="1438" w:firstLine="419"/>
        <w:jc w:val="left"/>
        <w:rPr>
          <w:sz w:val="21"/>
        </w:rPr>
      </w:pPr>
      <w:r>
        <w:rPr>
          <w:sz w:val="21"/>
        </w:rPr>
        <w:t>自带电源非集中控制型消防应急照明和疏散指示系统，应由消防联动控制器联动消</w:t>
      </w:r>
      <w:r>
        <w:rPr>
          <w:spacing w:val="-15"/>
          <w:sz w:val="21"/>
        </w:rPr>
        <w:t>防</w:t>
      </w:r>
      <w:r>
        <w:rPr>
          <w:sz w:val="21"/>
        </w:rPr>
        <w:t>应急</w:t>
      </w:r>
      <w:r>
        <w:rPr>
          <w:spacing w:val="-3"/>
          <w:sz w:val="21"/>
        </w:rPr>
        <w:t>照</w:t>
      </w:r>
      <w:r>
        <w:rPr>
          <w:sz w:val="21"/>
        </w:rPr>
        <w:t>明</w:t>
      </w:r>
      <w:r>
        <w:rPr>
          <w:spacing w:val="-3"/>
          <w:sz w:val="21"/>
        </w:rPr>
        <w:t>配</w:t>
      </w:r>
      <w:r>
        <w:rPr>
          <w:sz w:val="21"/>
        </w:rPr>
        <w:t>电</w:t>
      </w:r>
      <w:r>
        <w:rPr>
          <w:spacing w:val="-3"/>
          <w:sz w:val="21"/>
        </w:rPr>
        <w:t>箱</w:t>
      </w:r>
      <w:r>
        <w:rPr>
          <w:sz w:val="21"/>
        </w:rPr>
        <w:t>实</w:t>
      </w:r>
      <w:r>
        <w:rPr>
          <w:spacing w:val="-3"/>
          <w:sz w:val="21"/>
        </w:rPr>
        <w:t>现。</w:t>
      </w:r>
      <w:r>
        <w:rPr>
          <w:sz w:val="21"/>
        </w:rPr>
        <w:t> </w:t>
        <w:tab/>
      </w:r>
      <w:r>
        <w:rPr>
          <w:w w:val="100"/>
          <w:sz w:val="21"/>
        </w:rPr>
        <w:t>  </w:t>
      </w:r>
      <w:r>
        <w:rPr>
          <w:sz w:val="21"/>
        </w:rPr>
        <w:tab/>
      </w:r>
      <w:r>
        <w:rPr>
          <w:w w:val="100"/>
          <w:sz w:val="21"/>
        </w:rPr>
        <w:t>  </w:t>
      </w:r>
      <w:r>
        <w:rPr>
          <w:sz w:val="21"/>
        </w:rPr>
        <w:tab/>
      </w:r>
      <w:r>
        <w:rPr>
          <w:w w:val="100"/>
          <w:sz w:val="21"/>
        </w:rPr>
        <w:t>  </w:t>
      </w:r>
    </w:p>
    <w:p>
      <w:pPr>
        <w:pStyle w:val="ListParagraph"/>
        <w:numPr>
          <w:ilvl w:val="2"/>
          <w:numId w:val="603"/>
        </w:numPr>
        <w:tabs>
          <w:tab w:pos="1438" w:val="left" w:leader="none"/>
          <w:tab w:pos="7138" w:val="left" w:leader="none"/>
        </w:tabs>
        <w:spacing w:line="446" w:lineRule="auto" w:before="0" w:after="0"/>
        <w:ind w:left="418" w:right="1431" w:firstLine="422"/>
        <w:jc w:val="left"/>
        <w:rPr>
          <w:sz w:val="21"/>
        </w:rPr>
      </w:pPr>
      <w:r>
        <w:rPr>
          <w:sz w:val="21"/>
        </w:rPr>
        <w:t>当</w:t>
      </w:r>
      <w:r>
        <w:rPr>
          <w:spacing w:val="-3"/>
          <w:sz w:val="21"/>
        </w:rPr>
        <w:t>确</w:t>
      </w:r>
      <w:r>
        <w:rPr>
          <w:sz w:val="21"/>
        </w:rPr>
        <w:t>认</w:t>
      </w:r>
      <w:r>
        <w:rPr>
          <w:spacing w:val="-3"/>
          <w:sz w:val="21"/>
        </w:rPr>
        <w:t>火</w:t>
      </w:r>
      <w:r>
        <w:rPr>
          <w:sz w:val="21"/>
        </w:rPr>
        <w:t>灾</w:t>
      </w:r>
      <w:r>
        <w:rPr>
          <w:spacing w:val="-3"/>
          <w:sz w:val="21"/>
        </w:rPr>
        <w:t>后</w:t>
      </w:r>
      <w:r>
        <w:rPr>
          <w:sz w:val="21"/>
        </w:rPr>
        <w:t>，</w:t>
      </w:r>
      <w:r>
        <w:rPr>
          <w:spacing w:val="-3"/>
          <w:sz w:val="21"/>
        </w:rPr>
        <w:t>由</w:t>
      </w:r>
      <w:r>
        <w:rPr>
          <w:sz w:val="21"/>
        </w:rPr>
        <w:t>发生</w:t>
      </w:r>
      <w:r>
        <w:rPr>
          <w:spacing w:val="-3"/>
          <w:sz w:val="21"/>
        </w:rPr>
        <w:t>火</w:t>
      </w:r>
      <w:r>
        <w:rPr>
          <w:sz w:val="21"/>
        </w:rPr>
        <w:t>灾</w:t>
      </w:r>
      <w:r>
        <w:rPr>
          <w:spacing w:val="-3"/>
          <w:sz w:val="21"/>
        </w:rPr>
        <w:t>的</w:t>
      </w:r>
      <w:r>
        <w:rPr>
          <w:sz w:val="21"/>
        </w:rPr>
        <w:t>报</w:t>
      </w:r>
      <w:r>
        <w:rPr>
          <w:spacing w:val="-3"/>
          <w:sz w:val="21"/>
        </w:rPr>
        <w:t>警</w:t>
      </w:r>
      <w:r>
        <w:rPr>
          <w:sz w:val="21"/>
        </w:rPr>
        <w:t>区</w:t>
      </w:r>
      <w:r>
        <w:rPr>
          <w:spacing w:val="-3"/>
          <w:sz w:val="21"/>
        </w:rPr>
        <w:t>域</w:t>
      </w:r>
      <w:r>
        <w:rPr>
          <w:sz w:val="21"/>
        </w:rPr>
        <w:t>开</w:t>
      </w:r>
      <w:r>
        <w:rPr>
          <w:spacing w:val="-3"/>
          <w:sz w:val="21"/>
        </w:rPr>
        <w:t>始</w:t>
      </w:r>
      <w:r>
        <w:rPr>
          <w:sz w:val="21"/>
        </w:rPr>
        <w:t>，顺</w:t>
      </w:r>
      <w:r>
        <w:rPr>
          <w:spacing w:val="-3"/>
          <w:sz w:val="21"/>
        </w:rPr>
        <w:t>序</w:t>
      </w:r>
      <w:r>
        <w:rPr>
          <w:sz w:val="21"/>
        </w:rPr>
        <w:t>启</w:t>
      </w:r>
      <w:r>
        <w:rPr>
          <w:spacing w:val="-3"/>
          <w:sz w:val="21"/>
        </w:rPr>
        <w:t>动</w:t>
      </w:r>
      <w:r>
        <w:rPr>
          <w:sz w:val="21"/>
        </w:rPr>
        <w:t>全</w:t>
      </w:r>
      <w:r>
        <w:rPr>
          <w:spacing w:val="-3"/>
          <w:sz w:val="21"/>
        </w:rPr>
        <w:t>楼</w:t>
      </w:r>
      <w:r>
        <w:rPr>
          <w:sz w:val="21"/>
        </w:rPr>
        <w:t>疏</w:t>
      </w:r>
      <w:r>
        <w:rPr>
          <w:spacing w:val="-3"/>
          <w:sz w:val="21"/>
        </w:rPr>
        <w:t>散</w:t>
      </w:r>
      <w:r>
        <w:rPr>
          <w:sz w:val="21"/>
        </w:rPr>
        <w:t>通</w:t>
      </w:r>
      <w:r>
        <w:rPr>
          <w:spacing w:val="-3"/>
          <w:sz w:val="21"/>
        </w:rPr>
        <w:t>道</w:t>
      </w:r>
      <w:r>
        <w:rPr>
          <w:sz w:val="21"/>
        </w:rPr>
        <w:t>的消</w:t>
      </w:r>
      <w:r>
        <w:rPr>
          <w:spacing w:val="-3"/>
          <w:sz w:val="21"/>
        </w:rPr>
        <w:t>防</w:t>
      </w:r>
      <w:r>
        <w:rPr>
          <w:sz w:val="21"/>
        </w:rPr>
        <w:t>应</w:t>
      </w:r>
      <w:r>
        <w:rPr>
          <w:spacing w:val="-3"/>
          <w:sz w:val="21"/>
        </w:rPr>
        <w:t>急照</w:t>
      </w:r>
      <w:r>
        <w:rPr>
          <w:sz w:val="21"/>
        </w:rPr>
        <w:t>明和疏</w:t>
      </w:r>
      <w:r>
        <w:rPr>
          <w:spacing w:val="-3"/>
          <w:sz w:val="21"/>
        </w:rPr>
        <w:t>散</w:t>
      </w:r>
      <w:r>
        <w:rPr>
          <w:sz w:val="21"/>
        </w:rPr>
        <w:t>指</w:t>
      </w:r>
      <w:r>
        <w:rPr>
          <w:spacing w:val="8"/>
          <w:sz w:val="21"/>
        </w:rPr>
        <w:t> </w:t>
      </w:r>
      <w:r>
        <w:rPr>
          <w:sz w:val="21"/>
        </w:rPr>
        <w:t>示</w:t>
      </w:r>
      <w:r>
        <w:rPr>
          <w:spacing w:val="-3"/>
          <w:sz w:val="21"/>
        </w:rPr>
        <w:t>系</w:t>
      </w:r>
      <w:r>
        <w:rPr>
          <w:sz w:val="21"/>
        </w:rPr>
        <w:t>统</w:t>
      </w:r>
      <w:r>
        <w:rPr>
          <w:spacing w:val="-3"/>
          <w:sz w:val="21"/>
        </w:rPr>
        <w:t>，</w:t>
      </w:r>
      <w:r>
        <w:rPr>
          <w:sz w:val="21"/>
        </w:rPr>
        <w:t>系</w:t>
      </w:r>
      <w:r>
        <w:rPr>
          <w:spacing w:val="-3"/>
          <w:sz w:val="21"/>
        </w:rPr>
        <w:t>统全</w:t>
      </w:r>
      <w:r>
        <w:rPr>
          <w:sz w:val="21"/>
        </w:rPr>
        <w:t>部投</w:t>
      </w:r>
      <w:r>
        <w:rPr>
          <w:spacing w:val="-3"/>
          <w:sz w:val="21"/>
        </w:rPr>
        <w:t>入</w:t>
      </w:r>
      <w:r>
        <w:rPr>
          <w:sz w:val="21"/>
        </w:rPr>
        <w:t>应</w:t>
      </w:r>
      <w:r>
        <w:rPr>
          <w:spacing w:val="-3"/>
          <w:sz w:val="21"/>
        </w:rPr>
        <w:t>急</w:t>
      </w:r>
      <w:r>
        <w:rPr>
          <w:sz w:val="21"/>
        </w:rPr>
        <w:t>状</w:t>
      </w:r>
      <w:r>
        <w:rPr>
          <w:spacing w:val="-3"/>
          <w:sz w:val="21"/>
        </w:rPr>
        <w:t>态</w:t>
      </w:r>
      <w:r>
        <w:rPr>
          <w:sz w:val="21"/>
        </w:rPr>
        <w:t>的</w:t>
      </w:r>
      <w:r>
        <w:rPr>
          <w:spacing w:val="-3"/>
          <w:sz w:val="21"/>
        </w:rPr>
        <w:t>启</w:t>
      </w:r>
      <w:r>
        <w:rPr>
          <w:sz w:val="21"/>
        </w:rPr>
        <w:t>动</w:t>
      </w:r>
      <w:r>
        <w:rPr>
          <w:spacing w:val="-3"/>
          <w:sz w:val="21"/>
        </w:rPr>
        <w:t>时</w:t>
      </w:r>
      <w:r>
        <w:rPr>
          <w:sz w:val="21"/>
        </w:rPr>
        <w:t>间不</w:t>
      </w:r>
      <w:r>
        <w:rPr>
          <w:spacing w:val="-3"/>
          <w:sz w:val="21"/>
        </w:rPr>
        <w:t>应</w:t>
      </w:r>
      <w:r>
        <w:rPr>
          <w:sz w:val="21"/>
        </w:rPr>
        <w:t>大</w:t>
      </w:r>
      <w:r>
        <w:rPr>
          <w:spacing w:val="-3"/>
          <w:sz w:val="21"/>
        </w:rPr>
        <w:t>于</w:t>
      </w:r>
      <w:r>
        <w:rPr>
          <w:spacing w:val="12"/>
          <w:sz w:val="21"/>
        </w:rPr>
        <w:t> </w:t>
      </w:r>
      <w:r>
        <w:rPr>
          <w:sz w:val="21"/>
        </w:rPr>
        <w:t>5s</w:t>
      </w:r>
      <w:r>
        <w:rPr>
          <w:spacing w:val="9"/>
          <w:sz w:val="21"/>
        </w:rPr>
        <w:t> </w:t>
      </w:r>
      <w:r>
        <w:rPr>
          <w:spacing w:val="-3"/>
          <w:sz w:val="21"/>
        </w:rPr>
        <w:t>。</w:t>
      </w:r>
      <w:r>
        <w:rPr>
          <w:sz w:val="21"/>
        </w:rPr>
        <w:t> </w:t>
        <w:tab/>
      </w:r>
      <w:r>
        <w:rPr>
          <w:w w:val="100"/>
          <w:sz w:val="21"/>
        </w:rPr>
        <w:t>  </w:t>
      </w:r>
    </w:p>
    <w:p>
      <w:pPr>
        <w:pStyle w:val="ListParagraph"/>
        <w:numPr>
          <w:ilvl w:val="1"/>
          <w:numId w:val="603"/>
        </w:numPr>
        <w:tabs>
          <w:tab w:pos="1266" w:val="left" w:leader="none"/>
        </w:tabs>
        <w:spacing w:line="267" w:lineRule="exact" w:before="0" w:after="0"/>
        <w:ind w:left="1265" w:right="0" w:hanging="426"/>
        <w:jc w:val="left"/>
        <w:rPr>
          <w:sz w:val="21"/>
        </w:rPr>
      </w:pPr>
      <w:r>
        <w:rPr>
          <w:spacing w:val="-3"/>
          <w:sz w:val="21"/>
        </w:rPr>
        <w:t>相关联动控制设计</w:t>
      </w:r>
      <w:r>
        <w:rPr>
          <w:sz w:val="21"/>
        </w:rPr>
        <w:t> </w:t>
      </w:r>
    </w:p>
    <w:p>
      <w:pPr>
        <w:pStyle w:val="BodyText"/>
        <w:spacing w:before="12"/>
        <w:rPr>
          <w:sz w:val="17"/>
        </w:rPr>
      </w:pPr>
    </w:p>
    <w:p>
      <w:pPr>
        <w:pStyle w:val="ListParagraph"/>
        <w:numPr>
          <w:ilvl w:val="2"/>
          <w:numId w:val="603"/>
        </w:numPr>
        <w:tabs>
          <w:tab w:pos="1478" w:val="left" w:leader="none"/>
          <w:tab w:pos="6298" w:val="left" w:leader="none"/>
        </w:tabs>
        <w:spacing w:line="446" w:lineRule="auto" w:before="0" w:after="0"/>
        <w:ind w:left="418" w:right="1434" w:firstLine="422"/>
        <w:jc w:val="left"/>
        <w:rPr>
          <w:sz w:val="21"/>
        </w:rPr>
      </w:pPr>
      <w:r>
        <w:rPr>
          <w:sz w:val="21"/>
        </w:rPr>
        <w:t>消防</w:t>
      </w:r>
      <w:r>
        <w:rPr>
          <w:spacing w:val="-3"/>
          <w:sz w:val="21"/>
        </w:rPr>
        <w:t>联</w:t>
      </w:r>
      <w:r>
        <w:rPr>
          <w:sz w:val="21"/>
        </w:rPr>
        <w:t>动控</w:t>
      </w:r>
      <w:r>
        <w:rPr>
          <w:spacing w:val="-3"/>
          <w:sz w:val="21"/>
        </w:rPr>
        <w:t>制器</w:t>
      </w:r>
      <w:r>
        <w:rPr>
          <w:sz w:val="21"/>
        </w:rPr>
        <w:t>应具有</w:t>
      </w:r>
      <w:r>
        <w:rPr>
          <w:spacing w:val="-3"/>
          <w:sz w:val="21"/>
        </w:rPr>
        <w:t>切</w:t>
      </w:r>
      <w:r>
        <w:rPr>
          <w:sz w:val="21"/>
        </w:rPr>
        <w:t>断火</w:t>
      </w:r>
      <w:r>
        <w:rPr>
          <w:spacing w:val="-3"/>
          <w:sz w:val="21"/>
        </w:rPr>
        <w:t>灾</w:t>
      </w:r>
      <w:r>
        <w:rPr>
          <w:sz w:val="21"/>
        </w:rPr>
        <w:t>区域</w:t>
      </w:r>
      <w:r>
        <w:rPr>
          <w:spacing w:val="-3"/>
          <w:sz w:val="21"/>
        </w:rPr>
        <w:t>及相</w:t>
      </w:r>
      <w:r>
        <w:rPr>
          <w:sz w:val="21"/>
        </w:rPr>
        <w:t>关区域</w:t>
      </w:r>
      <w:r>
        <w:rPr>
          <w:spacing w:val="-3"/>
          <w:sz w:val="21"/>
        </w:rPr>
        <w:t>的</w:t>
      </w:r>
      <w:r>
        <w:rPr>
          <w:sz w:val="21"/>
        </w:rPr>
        <w:t>非消</w:t>
      </w:r>
      <w:r>
        <w:rPr>
          <w:spacing w:val="-3"/>
          <w:sz w:val="21"/>
        </w:rPr>
        <w:t>防</w:t>
      </w:r>
      <w:r>
        <w:rPr>
          <w:sz w:val="21"/>
        </w:rPr>
        <w:t>电源</w:t>
      </w:r>
      <w:r>
        <w:rPr>
          <w:spacing w:val="-3"/>
          <w:sz w:val="21"/>
        </w:rPr>
        <w:t>的功</w:t>
      </w:r>
      <w:r>
        <w:rPr>
          <w:sz w:val="21"/>
        </w:rPr>
        <w:t>能，当</w:t>
      </w:r>
      <w:r>
        <w:rPr>
          <w:spacing w:val="-3"/>
          <w:sz w:val="21"/>
        </w:rPr>
        <w:t>需</w:t>
      </w:r>
      <w:r>
        <w:rPr>
          <w:sz w:val="21"/>
        </w:rPr>
        <w:t>要切断 正常</w:t>
      </w:r>
      <w:r>
        <w:rPr>
          <w:spacing w:val="-3"/>
          <w:sz w:val="21"/>
        </w:rPr>
        <w:t>照</w:t>
      </w:r>
      <w:r>
        <w:rPr>
          <w:sz w:val="21"/>
        </w:rPr>
        <w:t>明</w:t>
      </w:r>
      <w:r>
        <w:rPr>
          <w:spacing w:val="-3"/>
          <w:sz w:val="21"/>
        </w:rPr>
        <w:t>时</w:t>
      </w:r>
      <w:r>
        <w:rPr>
          <w:sz w:val="21"/>
        </w:rPr>
        <w:t>，</w:t>
      </w:r>
      <w:r>
        <w:rPr>
          <w:spacing w:val="-3"/>
          <w:sz w:val="21"/>
        </w:rPr>
        <w:t>宜</w:t>
      </w:r>
      <w:r>
        <w:rPr>
          <w:sz w:val="21"/>
        </w:rPr>
        <w:t>在</w:t>
      </w:r>
      <w:r>
        <w:rPr>
          <w:spacing w:val="-3"/>
          <w:sz w:val="21"/>
        </w:rPr>
        <w:t>自</w:t>
      </w:r>
      <w:r>
        <w:rPr>
          <w:sz w:val="21"/>
        </w:rPr>
        <w:t>动</w:t>
      </w:r>
      <w:r>
        <w:rPr>
          <w:spacing w:val="-3"/>
          <w:sz w:val="21"/>
        </w:rPr>
        <w:t>喷</w:t>
      </w:r>
      <w:r>
        <w:rPr>
          <w:sz w:val="21"/>
        </w:rPr>
        <w:t>淋系</w:t>
      </w:r>
      <w:r>
        <w:rPr>
          <w:spacing w:val="-3"/>
          <w:sz w:val="21"/>
        </w:rPr>
        <w:t>统</w:t>
      </w:r>
      <w:r>
        <w:rPr>
          <w:sz w:val="21"/>
        </w:rPr>
        <w:t>、</w:t>
      </w:r>
      <w:r>
        <w:rPr>
          <w:spacing w:val="-3"/>
          <w:sz w:val="21"/>
        </w:rPr>
        <w:t>消</w:t>
      </w:r>
      <w:r>
        <w:rPr>
          <w:sz w:val="21"/>
        </w:rPr>
        <w:t>火</w:t>
      </w:r>
      <w:r>
        <w:rPr>
          <w:spacing w:val="-3"/>
          <w:sz w:val="21"/>
        </w:rPr>
        <w:t>栓</w:t>
      </w:r>
      <w:r>
        <w:rPr>
          <w:sz w:val="21"/>
        </w:rPr>
        <w:t>系</w:t>
      </w:r>
      <w:r>
        <w:rPr>
          <w:spacing w:val="-3"/>
          <w:sz w:val="21"/>
        </w:rPr>
        <w:t>统</w:t>
      </w:r>
      <w:r>
        <w:rPr>
          <w:sz w:val="21"/>
        </w:rPr>
        <w:t>动</w:t>
      </w:r>
      <w:r>
        <w:rPr>
          <w:spacing w:val="-3"/>
          <w:sz w:val="21"/>
        </w:rPr>
        <w:t>作</w:t>
      </w:r>
      <w:r>
        <w:rPr>
          <w:sz w:val="21"/>
        </w:rPr>
        <w:t>前切</w:t>
      </w:r>
      <w:r>
        <w:rPr>
          <w:spacing w:val="-3"/>
          <w:sz w:val="21"/>
        </w:rPr>
        <w:t>断。</w:t>
      </w:r>
      <w:r>
        <w:rPr>
          <w:sz w:val="21"/>
        </w:rPr>
        <w:t> </w:t>
        <w:tab/>
      </w:r>
      <w:r>
        <w:rPr>
          <w:w w:val="100"/>
          <w:sz w:val="21"/>
        </w:rPr>
        <w:t>  </w:t>
      </w:r>
    </w:p>
    <w:p>
      <w:pPr>
        <w:pStyle w:val="ListParagraph"/>
        <w:numPr>
          <w:ilvl w:val="2"/>
          <w:numId w:val="603"/>
        </w:numPr>
        <w:tabs>
          <w:tab w:pos="1478" w:val="left" w:leader="none"/>
          <w:tab w:pos="4618" w:val="left" w:leader="none"/>
        </w:tabs>
        <w:spacing w:line="446" w:lineRule="auto" w:before="0" w:after="0"/>
        <w:ind w:left="418" w:right="1434" w:firstLine="422"/>
        <w:jc w:val="left"/>
        <w:rPr>
          <w:sz w:val="21"/>
        </w:rPr>
      </w:pPr>
      <w:r>
        <w:rPr>
          <w:sz w:val="21"/>
        </w:rPr>
        <w:t>消防</w:t>
      </w:r>
      <w:r>
        <w:rPr>
          <w:spacing w:val="-3"/>
          <w:sz w:val="21"/>
        </w:rPr>
        <w:t>联</w:t>
      </w:r>
      <w:r>
        <w:rPr>
          <w:sz w:val="21"/>
        </w:rPr>
        <w:t>动控</w:t>
      </w:r>
      <w:r>
        <w:rPr>
          <w:spacing w:val="-3"/>
          <w:sz w:val="21"/>
        </w:rPr>
        <w:t>制器</w:t>
      </w:r>
      <w:r>
        <w:rPr>
          <w:sz w:val="21"/>
        </w:rPr>
        <w:t>应具有</w:t>
      </w:r>
      <w:r>
        <w:rPr>
          <w:spacing w:val="-3"/>
          <w:sz w:val="21"/>
        </w:rPr>
        <w:t>自</w:t>
      </w:r>
      <w:r>
        <w:rPr>
          <w:sz w:val="21"/>
        </w:rPr>
        <w:t>动打</w:t>
      </w:r>
      <w:r>
        <w:rPr>
          <w:spacing w:val="-3"/>
          <w:sz w:val="21"/>
        </w:rPr>
        <w:t>开</w:t>
      </w:r>
      <w:r>
        <w:rPr>
          <w:sz w:val="21"/>
        </w:rPr>
        <w:t>涉及</w:t>
      </w:r>
      <w:r>
        <w:rPr>
          <w:spacing w:val="-3"/>
          <w:sz w:val="21"/>
        </w:rPr>
        <w:t>疏散</w:t>
      </w:r>
      <w:r>
        <w:rPr>
          <w:sz w:val="21"/>
        </w:rPr>
        <w:t>的电动</w:t>
      </w:r>
      <w:r>
        <w:rPr>
          <w:spacing w:val="-3"/>
          <w:sz w:val="21"/>
        </w:rPr>
        <w:t>栅</w:t>
      </w:r>
      <w:r>
        <w:rPr>
          <w:sz w:val="21"/>
        </w:rPr>
        <w:t>杆等</w:t>
      </w:r>
      <w:r>
        <w:rPr>
          <w:spacing w:val="-3"/>
          <w:sz w:val="21"/>
        </w:rPr>
        <w:t>的</w:t>
      </w:r>
      <w:r>
        <w:rPr>
          <w:sz w:val="21"/>
        </w:rPr>
        <w:t>功能</w:t>
      </w:r>
      <w:r>
        <w:rPr>
          <w:spacing w:val="-3"/>
          <w:sz w:val="21"/>
        </w:rPr>
        <w:t>，宜</w:t>
      </w:r>
      <w:r>
        <w:rPr>
          <w:sz w:val="21"/>
        </w:rPr>
        <w:t>开启相</w:t>
      </w:r>
      <w:r>
        <w:rPr>
          <w:spacing w:val="-3"/>
          <w:sz w:val="21"/>
        </w:rPr>
        <w:t>关</w:t>
      </w:r>
      <w:r>
        <w:rPr>
          <w:sz w:val="21"/>
        </w:rPr>
        <w:t>区域安 全技</w:t>
      </w:r>
      <w:r>
        <w:rPr>
          <w:spacing w:val="-3"/>
          <w:sz w:val="21"/>
        </w:rPr>
        <w:t>术</w:t>
      </w:r>
      <w:r>
        <w:rPr>
          <w:sz w:val="21"/>
        </w:rPr>
        <w:t>防</w:t>
      </w:r>
      <w:r>
        <w:rPr>
          <w:spacing w:val="-3"/>
          <w:sz w:val="21"/>
        </w:rPr>
        <w:t>范</w:t>
      </w:r>
      <w:r>
        <w:rPr>
          <w:sz w:val="21"/>
        </w:rPr>
        <w:t>系</w:t>
      </w:r>
      <w:r>
        <w:rPr>
          <w:spacing w:val="-3"/>
          <w:sz w:val="21"/>
        </w:rPr>
        <w:t>统</w:t>
      </w:r>
      <w:r>
        <w:rPr>
          <w:sz w:val="21"/>
        </w:rPr>
        <w:t>的</w:t>
      </w:r>
      <w:r>
        <w:rPr>
          <w:spacing w:val="-3"/>
          <w:sz w:val="21"/>
        </w:rPr>
        <w:t>摄</w:t>
      </w:r>
      <w:r>
        <w:rPr>
          <w:sz w:val="21"/>
        </w:rPr>
        <w:t>像</w:t>
      </w:r>
      <w:r>
        <w:rPr>
          <w:spacing w:val="-3"/>
          <w:sz w:val="21"/>
        </w:rPr>
        <w:t>机</w:t>
      </w:r>
      <w:r>
        <w:rPr>
          <w:sz w:val="21"/>
        </w:rPr>
        <w:t>监视</w:t>
      </w:r>
      <w:r>
        <w:rPr>
          <w:spacing w:val="-3"/>
          <w:sz w:val="21"/>
        </w:rPr>
        <w:t>火</w:t>
      </w:r>
      <w:r>
        <w:rPr>
          <w:sz w:val="21"/>
        </w:rPr>
        <w:t>灾</w:t>
      </w:r>
      <w:r>
        <w:rPr>
          <w:spacing w:val="-3"/>
          <w:sz w:val="21"/>
        </w:rPr>
        <w:t>现</w:t>
      </w:r>
      <w:r>
        <w:rPr>
          <w:sz w:val="21"/>
        </w:rPr>
        <w:t>场</w:t>
      </w:r>
      <w:r>
        <w:rPr>
          <w:spacing w:val="-3"/>
          <w:sz w:val="21"/>
        </w:rPr>
        <w:t>。</w:t>
      </w:r>
      <w:r>
        <w:rPr>
          <w:sz w:val="21"/>
        </w:rPr>
        <w:t> </w:t>
        <w:tab/>
      </w:r>
      <w:r>
        <w:rPr>
          <w:w w:val="100"/>
          <w:sz w:val="21"/>
        </w:rPr>
        <w:t>  </w:t>
      </w:r>
    </w:p>
    <w:p>
      <w:pPr>
        <w:pStyle w:val="ListParagraph"/>
        <w:numPr>
          <w:ilvl w:val="2"/>
          <w:numId w:val="603"/>
        </w:numPr>
        <w:tabs>
          <w:tab w:pos="1478" w:val="left" w:leader="none"/>
          <w:tab w:pos="4618" w:val="left" w:leader="none"/>
        </w:tabs>
        <w:spacing w:line="446" w:lineRule="auto" w:before="0" w:after="0"/>
        <w:ind w:left="418" w:right="1225" w:firstLine="422"/>
        <w:jc w:val="left"/>
        <w:rPr>
          <w:sz w:val="21"/>
        </w:rPr>
      </w:pPr>
      <w:r>
        <w:rPr>
          <w:sz w:val="21"/>
        </w:rPr>
        <w:t>消防</w:t>
      </w:r>
      <w:r>
        <w:rPr>
          <w:spacing w:val="-3"/>
          <w:sz w:val="21"/>
        </w:rPr>
        <w:t>联</w:t>
      </w:r>
      <w:r>
        <w:rPr>
          <w:sz w:val="21"/>
        </w:rPr>
        <w:t>动控</w:t>
      </w:r>
      <w:r>
        <w:rPr>
          <w:spacing w:val="-3"/>
          <w:sz w:val="21"/>
        </w:rPr>
        <w:t>制器</w:t>
      </w:r>
      <w:r>
        <w:rPr>
          <w:sz w:val="21"/>
        </w:rPr>
        <w:t>应具有</w:t>
      </w:r>
      <w:r>
        <w:rPr>
          <w:spacing w:val="-3"/>
          <w:sz w:val="21"/>
        </w:rPr>
        <w:t>打</w:t>
      </w:r>
      <w:r>
        <w:rPr>
          <w:sz w:val="21"/>
        </w:rPr>
        <w:t>开疏</w:t>
      </w:r>
      <w:r>
        <w:rPr>
          <w:spacing w:val="-3"/>
          <w:sz w:val="21"/>
        </w:rPr>
        <w:t>散</w:t>
      </w:r>
      <w:r>
        <w:rPr>
          <w:sz w:val="21"/>
        </w:rPr>
        <w:t>通道</w:t>
      </w:r>
      <w:r>
        <w:rPr>
          <w:spacing w:val="-3"/>
          <w:sz w:val="21"/>
        </w:rPr>
        <w:t>上由</w:t>
      </w:r>
      <w:r>
        <w:rPr>
          <w:sz w:val="21"/>
        </w:rPr>
        <w:t>门禁系</w:t>
      </w:r>
      <w:r>
        <w:rPr>
          <w:spacing w:val="-3"/>
          <w:sz w:val="21"/>
        </w:rPr>
        <w:t>统</w:t>
      </w:r>
      <w:r>
        <w:rPr>
          <w:sz w:val="21"/>
        </w:rPr>
        <w:t>控制</w:t>
      </w:r>
      <w:r>
        <w:rPr>
          <w:spacing w:val="-3"/>
          <w:sz w:val="21"/>
        </w:rPr>
        <w:t>的</w:t>
      </w:r>
      <w:r>
        <w:rPr>
          <w:sz w:val="21"/>
        </w:rPr>
        <w:t>门和</w:t>
      </w:r>
      <w:r>
        <w:rPr>
          <w:spacing w:val="-3"/>
          <w:sz w:val="21"/>
        </w:rPr>
        <w:t>庭院</w:t>
      </w:r>
      <w:r>
        <w:rPr>
          <w:sz w:val="21"/>
        </w:rPr>
        <w:t>电动大</w:t>
      </w:r>
      <w:r>
        <w:rPr>
          <w:spacing w:val="-3"/>
          <w:sz w:val="21"/>
        </w:rPr>
        <w:t>门</w:t>
      </w:r>
      <w:r>
        <w:rPr>
          <w:sz w:val="21"/>
        </w:rPr>
        <w:t>的功</w:t>
      </w:r>
      <w:r>
        <w:rPr>
          <w:spacing w:val="-3"/>
          <w:sz w:val="21"/>
        </w:rPr>
        <w:t>能</w:t>
      </w:r>
      <w:r>
        <w:rPr>
          <w:sz w:val="21"/>
        </w:rPr>
        <w:t>， </w:t>
      </w:r>
      <w:r>
        <w:rPr>
          <w:spacing w:val="-1"/>
          <w:sz w:val="21"/>
        </w:rPr>
        <w:t>并</w:t>
      </w:r>
      <w:r>
        <w:rPr>
          <w:sz w:val="21"/>
        </w:rPr>
        <w:t>应</w:t>
      </w:r>
      <w:r>
        <w:rPr>
          <w:spacing w:val="-3"/>
          <w:sz w:val="21"/>
        </w:rPr>
        <w:t>具</w:t>
      </w:r>
      <w:r>
        <w:rPr>
          <w:sz w:val="21"/>
        </w:rPr>
        <w:t>有</w:t>
      </w:r>
      <w:r>
        <w:rPr>
          <w:spacing w:val="-3"/>
          <w:sz w:val="21"/>
        </w:rPr>
        <w:t>打</w:t>
      </w:r>
      <w:r>
        <w:rPr>
          <w:sz w:val="21"/>
        </w:rPr>
        <w:t>开</w:t>
      </w:r>
      <w:r>
        <w:rPr>
          <w:spacing w:val="-3"/>
          <w:sz w:val="21"/>
        </w:rPr>
        <w:t>停</w:t>
      </w:r>
      <w:r>
        <w:rPr>
          <w:sz w:val="21"/>
        </w:rPr>
        <w:t>车</w:t>
      </w:r>
      <w:r>
        <w:rPr>
          <w:spacing w:val="-3"/>
          <w:sz w:val="21"/>
        </w:rPr>
        <w:t>场</w:t>
      </w:r>
      <w:r>
        <w:rPr>
          <w:sz w:val="21"/>
        </w:rPr>
        <w:t>出</w:t>
      </w:r>
      <w:r>
        <w:rPr>
          <w:spacing w:val="-3"/>
          <w:sz w:val="21"/>
        </w:rPr>
        <w:t>入</w:t>
      </w:r>
      <w:r>
        <w:rPr>
          <w:sz w:val="21"/>
        </w:rPr>
        <w:t>口挡</w:t>
      </w:r>
      <w:r>
        <w:rPr>
          <w:spacing w:val="-3"/>
          <w:sz w:val="21"/>
        </w:rPr>
        <w:t>杆</w:t>
      </w:r>
      <w:r>
        <w:rPr>
          <w:sz w:val="21"/>
        </w:rPr>
        <w:t>的</w:t>
      </w:r>
      <w:r>
        <w:rPr>
          <w:spacing w:val="-3"/>
          <w:sz w:val="21"/>
        </w:rPr>
        <w:t>功</w:t>
      </w:r>
      <w:r>
        <w:rPr>
          <w:sz w:val="21"/>
        </w:rPr>
        <w:t>能</w:t>
      </w:r>
      <w:r>
        <w:rPr>
          <w:spacing w:val="-3"/>
          <w:sz w:val="21"/>
        </w:rPr>
        <w:t>。</w:t>
      </w:r>
      <w:r>
        <w:rPr>
          <w:sz w:val="21"/>
        </w:rPr>
        <w:t> </w:t>
        <w:tab/>
      </w:r>
      <w:r>
        <w:rPr>
          <w:w w:val="100"/>
          <w:sz w:val="21"/>
        </w:rPr>
        <w:t>  </w:t>
      </w:r>
    </w:p>
    <w:p>
      <w:pPr>
        <w:pStyle w:val="Heading4"/>
        <w:spacing w:line="277" w:lineRule="exact"/>
      </w:pPr>
      <w:r>
        <w:rPr/>
        <w:t>5 火灾探测器的选择</w:t>
      </w:r>
      <w:r>
        <w:rPr>
          <w:w w:val="99"/>
        </w:rPr>
        <w:t> </w:t>
      </w:r>
    </w:p>
    <w:p>
      <w:pPr>
        <w:pStyle w:val="BodyText"/>
        <w:spacing w:before="2"/>
        <w:rPr>
          <w:b/>
          <w:sz w:val="17"/>
        </w:rPr>
      </w:pPr>
    </w:p>
    <w:p>
      <w:pPr>
        <w:pStyle w:val="ListParagraph"/>
        <w:numPr>
          <w:ilvl w:val="1"/>
          <w:numId w:val="615"/>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rPr>
          <w:sz w:val="18"/>
        </w:rPr>
      </w:pPr>
    </w:p>
    <w:p>
      <w:pPr>
        <w:pStyle w:val="ListParagraph"/>
        <w:numPr>
          <w:ilvl w:val="2"/>
          <w:numId w:val="615"/>
        </w:numPr>
        <w:tabs>
          <w:tab w:pos="1370" w:val="left" w:leader="none"/>
        </w:tabs>
        <w:spacing w:line="240" w:lineRule="auto" w:before="0" w:after="0"/>
        <w:ind w:left="1369" w:right="0" w:hanging="530"/>
        <w:jc w:val="left"/>
        <w:rPr>
          <w:sz w:val="21"/>
        </w:rPr>
      </w:pPr>
      <w:r>
        <w:rPr>
          <w:spacing w:val="-3"/>
          <w:sz w:val="21"/>
        </w:rPr>
        <w:t>火灾探测器的选择应符合下列规定：</w:t>
      </w:r>
      <w:r>
        <w:rPr>
          <w:sz w:val="21"/>
        </w:rPr>
        <w:t> </w:t>
      </w:r>
    </w:p>
    <w:p>
      <w:pPr>
        <w:pStyle w:val="BodyText"/>
        <w:spacing w:before="2"/>
        <w:rPr>
          <w:sz w:val="18"/>
        </w:rPr>
      </w:pPr>
    </w:p>
    <w:p>
      <w:pPr>
        <w:pStyle w:val="ListParagraph"/>
        <w:numPr>
          <w:ilvl w:val="0"/>
          <w:numId w:val="616"/>
        </w:numPr>
        <w:tabs>
          <w:tab w:pos="1367" w:val="left" w:leader="none"/>
        </w:tabs>
        <w:spacing w:line="446" w:lineRule="auto" w:before="0" w:after="0"/>
        <w:ind w:left="418" w:right="1435" w:firstLine="419"/>
        <w:jc w:val="left"/>
        <w:rPr>
          <w:sz w:val="21"/>
        </w:rPr>
      </w:pPr>
      <w:r>
        <w:rPr>
          <w:spacing w:val="-9"/>
          <w:sz w:val="21"/>
        </w:rPr>
        <w:t>对火灾初期有阴燃阶段，产生大量的烟和少量的热，很少或没有火焰辐射的场所，应 </w:t>
      </w:r>
      <w:r>
        <w:rPr>
          <w:spacing w:val="-3"/>
          <w:sz w:val="21"/>
        </w:rPr>
        <w:t>选择感烟火灾探测器。</w:t>
      </w:r>
      <w:r>
        <w:rPr>
          <w:sz w:val="21"/>
        </w:rPr>
        <w:t> </w:t>
      </w:r>
    </w:p>
    <w:p>
      <w:pPr>
        <w:pStyle w:val="ListParagraph"/>
        <w:numPr>
          <w:ilvl w:val="0"/>
          <w:numId w:val="616"/>
        </w:numPr>
        <w:tabs>
          <w:tab w:pos="1365" w:val="left" w:leader="none"/>
        </w:tabs>
        <w:spacing w:line="446" w:lineRule="auto" w:before="0" w:after="0"/>
        <w:ind w:left="418" w:right="1433" w:firstLine="419"/>
        <w:jc w:val="left"/>
        <w:rPr>
          <w:sz w:val="21"/>
        </w:rPr>
      </w:pPr>
      <w:r>
        <w:rPr>
          <w:spacing w:val="-10"/>
          <w:sz w:val="21"/>
        </w:rPr>
        <w:t>对火灾发展迅速，可产生大量热、烟和火焰辐射的场所，可选择感温火灾探测器、感 </w:t>
      </w:r>
      <w:r>
        <w:rPr>
          <w:spacing w:val="-3"/>
          <w:sz w:val="21"/>
        </w:rPr>
        <w:t>烟火灾探测器、火焰探测器或其组合。</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616"/>
        </w:numPr>
        <w:tabs>
          <w:tab w:pos="1367" w:val="left" w:leader="none"/>
        </w:tabs>
        <w:spacing w:line="240" w:lineRule="auto" w:before="47" w:after="0"/>
        <w:ind w:left="1367" w:right="0" w:hanging="529"/>
        <w:jc w:val="left"/>
        <w:rPr>
          <w:sz w:val="21"/>
        </w:rPr>
      </w:pPr>
      <w:r>
        <w:rPr>
          <w:spacing w:val="-3"/>
          <w:sz w:val="21"/>
        </w:rPr>
        <w:t>对火灾发展迅速，有强烈的火焰辐射和少量烟、热的场所，应选择火焰探测器。</w:t>
      </w:r>
      <w:r>
        <w:rPr>
          <w:sz w:val="21"/>
        </w:rPr>
        <w:t> </w:t>
      </w:r>
    </w:p>
    <w:p>
      <w:pPr>
        <w:pStyle w:val="BodyText"/>
        <w:rPr>
          <w:sz w:val="18"/>
        </w:rPr>
      </w:pPr>
    </w:p>
    <w:p>
      <w:pPr>
        <w:pStyle w:val="ListParagraph"/>
        <w:numPr>
          <w:ilvl w:val="0"/>
          <w:numId w:val="616"/>
        </w:numPr>
        <w:tabs>
          <w:tab w:pos="1367" w:val="left" w:leader="none"/>
        </w:tabs>
        <w:spacing w:line="240" w:lineRule="auto" w:before="0" w:after="0"/>
        <w:ind w:left="1367" w:right="0" w:hanging="529"/>
        <w:jc w:val="left"/>
        <w:rPr>
          <w:sz w:val="21"/>
        </w:rPr>
      </w:pPr>
      <w:r>
        <w:rPr>
          <w:spacing w:val="-3"/>
          <w:sz w:val="21"/>
        </w:rPr>
        <w:t>对火灾初期有阴燃阶段，且需要早期探测的场所，宜增设一氧化碳火灾探测器。</w:t>
      </w:r>
      <w:r>
        <w:rPr>
          <w:sz w:val="21"/>
        </w:rPr>
        <w:t> </w:t>
      </w:r>
    </w:p>
    <w:p>
      <w:pPr>
        <w:pStyle w:val="BodyText"/>
        <w:rPr>
          <w:sz w:val="18"/>
        </w:rPr>
      </w:pPr>
    </w:p>
    <w:p>
      <w:pPr>
        <w:pStyle w:val="ListParagraph"/>
        <w:numPr>
          <w:ilvl w:val="0"/>
          <w:numId w:val="616"/>
        </w:numPr>
        <w:tabs>
          <w:tab w:pos="1367" w:val="left" w:leader="none"/>
        </w:tabs>
        <w:spacing w:line="240" w:lineRule="auto" w:before="0" w:after="0"/>
        <w:ind w:left="1367" w:right="0" w:hanging="529"/>
        <w:jc w:val="left"/>
        <w:rPr>
          <w:sz w:val="21"/>
        </w:rPr>
      </w:pPr>
      <w:r>
        <w:rPr>
          <w:spacing w:val="-3"/>
          <w:sz w:val="21"/>
        </w:rPr>
        <w:t>对使用、生产可燃气体或可燃蒸气的场所，应选择可燃气体探测器。 </w:t>
      </w:r>
    </w:p>
    <w:p>
      <w:pPr>
        <w:pStyle w:val="BodyText"/>
        <w:spacing w:before="1"/>
        <w:rPr>
          <w:sz w:val="18"/>
        </w:rPr>
      </w:pPr>
    </w:p>
    <w:p>
      <w:pPr>
        <w:pStyle w:val="ListParagraph"/>
        <w:numPr>
          <w:ilvl w:val="0"/>
          <w:numId w:val="616"/>
        </w:numPr>
        <w:tabs>
          <w:tab w:pos="1367" w:val="left" w:leader="none"/>
        </w:tabs>
        <w:spacing w:line="446" w:lineRule="auto" w:before="1" w:after="0"/>
        <w:ind w:left="418" w:right="1431" w:firstLine="419"/>
        <w:jc w:val="both"/>
        <w:rPr>
          <w:sz w:val="21"/>
        </w:rPr>
      </w:pPr>
      <w:r>
        <w:rPr>
          <w:spacing w:val="-7"/>
          <w:sz w:val="21"/>
        </w:rPr>
        <w:t>应根据保护场所可能发生火灾的部位和燃烧材料的分析，以及火灾探测器的类型、灵 </w:t>
      </w:r>
      <w:r>
        <w:rPr>
          <w:sz w:val="21"/>
        </w:rPr>
        <w:t>敏度和响 应时间等选择相应的火灾探测器，对火灾形成特征不可预料的场所，可根据模拟试验</w:t>
      </w:r>
      <w:r>
        <w:rPr>
          <w:spacing w:val="-3"/>
          <w:sz w:val="21"/>
        </w:rPr>
        <w:t>的结果选择火灾探测器。</w:t>
      </w:r>
      <w:r>
        <w:rPr>
          <w:sz w:val="21"/>
        </w:rPr>
        <w:t> </w:t>
      </w:r>
    </w:p>
    <w:p>
      <w:pPr>
        <w:pStyle w:val="ListParagraph"/>
        <w:numPr>
          <w:ilvl w:val="0"/>
          <w:numId w:val="616"/>
        </w:numPr>
        <w:tabs>
          <w:tab w:pos="1370" w:val="left" w:leader="none"/>
        </w:tabs>
        <w:spacing w:line="446" w:lineRule="auto" w:before="0" w:after="0"/>
        <w:ind w:left="418" w:right="1438" w:firstLine="419"/>
        <w:jc w:val="both"/>
        <w:rPr>
          <w:sz w:val="21"/>
        </w:rPr>
      </w:pPr>
      <w:r>
        <w:rPr>
          <w:spacing w:val="-1"/>
          <w:sz w:val="21"/>
        </w:rPr>
        <w:t>同一探测区域内设置多个火灾探测器时，可选择具有复合判断火灾功能的火灾探测器</w:t>
      </w:r>
      <w:r>
        <w:rPr>
          <w:spacing w:val="-3"/>
          <w:sz w:val="21"/>
        </w:rPr>
        <w:t>和火灾报警控制器。</w:t>
      </w:r>
      <w:r>
        <w:rPr>
          <w:sz w:val="21"/>
        </w:rPr>
        <w:t> </w:t>
      </w:r>
      <w:r>
        <w:rPr>
          <w:spacing w:val="-2"/>
          <w:sz w:val="21"/>
        </w:rPr>
        <w:t> </w:t>
      </w:r>
      <w:r>
        <w:rPr>
          <w:w w:val="100"/>
          <w:sz w:val="21"/>
        </w:rPr>
        <w:t>  </w:t>
      </w:r>
    </w:p>
    <w:p>
      <w:pPr>
        <w:pStyle w:val="ListParagraph"/>
        <w:numPr>
          <w:ilvl w:val="1"/>
          <w:numId w:val="615"/>
        </w:numPr>
        <w:tabs>
          <w:tab w:pos="1160" w:val="left" w:leader="none"/>
        </w:tabs>
        <w:spacing w:line="267" w:lineRule="exact" w:before="0" w:after="0"/>
        <w:ind w:left="1159" w:right="0" w:hanging="320"/>
        <w:jc w:val="left"/>
        <w:rPr>
          <w:sz w:val="21"/>
        </w:rPr>
      </w:pPr>
      <w:r>
        <w:rPr>
          <w:spacing w:val="-3"/>
          <w:sz w:val="21"/>
        </w:rPr>
        <w:t>点型火灾探测器的选择 </w:t>
      </w:r>
    </w:p>
    <w:p>
      <w:pPr>
        <w:pStyle w:val="BodyText"/>
        <w:rPr>
          <w:sz w:val="18"/>
        </w:rPr>
      </w:pPr>
    </w:p>
    <w:p>
      <w:pPr>
        <w:pStyle w:val="ListParagraph"/>
        <w:numPr>
          <w:ilvl w:val="2"/>
          <w:numId w:val="615"/>
        </w:numPr>
        <w:tabs>
          <w:tab w:pos="1371" w:val="left" w:leader="none"/>
        </w:tabs>
        <w:spacing w:line="240" w:lineRule="auto" w:before="0" w:after="0"/>
        <w:ind w:left="1370" w:right="0" w:hanging="531"/>
        <w:jc w:val="left"/>
        <w:rPr>
          <w:sz w:val="21"/>
        </w:rPr>
      </w:pPr>
      <w:r>
        <w:rPr>
          <w:spacing w:val="-3"/>
          <w:sz w:val="21"/>
        </w:rPr>
        <w:t>对不同高度的房间，可按表 </w:t>
      </w:r>
      <w:r>
        <w:rPr>
          <w:sz w:val="21"/>
        </w:rPr>
        <w:t>5.2.1</w:t>
      </w:r>
      <w:r>
        <w:rPr>
          <w:spacing w:val="-3"/>
          <w:sz w:val="21"/>
        </w:rPr>
        <w:t> 选择点型火灾探测器。</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0"/>
        </w:rPr>
      </w:pPr>
      <w:r>
        <w:rPr/>
        <w:drawing>
          <wp:anchor distT="0" distB="0" distL="0" distR="0" allowOverlap="1" layoutInCell="1" locked="0" behindDoc="0" simplePos="0" relativeHeight="208">
            <wp:simplePos x="0" y="0"/>
            <wp:positionH relativeFrom="page">
              <wp:posOffset>1389380</wp:posOffset>
            </wp:positionH>
            <wp:positionV relativeFrom="paragraph">
              <wp:posOffset>107327</wp:posOffset>
            </wp:positionV>
            <wp:extent cx="4942342" cy="1982628"/>
            <wp:effectExtent l="0" t="0" r="0" b="0"/>
            <wp:wrapTopAndBottom/>
            <wp:docPr id="491" name="image286.jpeg"/>
            <wp:cNvGraphicFramePr>
              <a:graphicFrameLocks noChangeAspect="1"/>
            </wp:cNvGraphicFramePr>
            <a:graphic>
              <a:graphicData uri="http://schemas.openxmlformats.org/drawingml/2006/picture">
                <pic:pic>
                  <pic:nvPicPr>
                    <pic:cNvPr id="492" name="image286.jpeg"/>
                    <pic:cNvPicPr/>
                  </pic:nvPicPr>
                  <pic:blipFill>
                    <a:blip r:embed="rId348" cstate="print"/>
                    <a:stretch>
                      <a:fillRect/>
                    </a:stretch>
                  </pic:blipFill>
                  <pic:spPr>
                    <a:xfrm>
                      <a:off x="0" y="0"/>
                      <a:ext cx="4942342" cy="1982628"/>
                    </a:xfrm>
                    <a:prstGeom prst="rect">
                      <a:avLst/>
                    </a:prstGeom>
                  </pic:spPr>
                </pic:pic>
              </a:graphicData>
            </a:graphic>
          </wp:anchor>
        </w:drawing>
      </w:r>
    </w:p>
    <w:p>
      <w:pPr>
        <w:pStyle w:val="BodyText"/>
        <w:spacing w:before="3"/>
        <w:rPr>
          <w:sz w:val="8"/>
        </w:rPr>
      </w:pPr>
    </w:p>
    <w:p>
      <w:pPr>
        <w:pStyle w:val="BodyText"/>
        <w:spacing w:line="446" w:lineRule="auto" w:before="72"/>
        <w:ind w:left="418" w:right="1383" w:firstLine="419"/>
      </w:pPr>
      <w:r>
        <w:rPr/>
        <w:t>注：表中 A1、A2、B、C、D、E、F、G 为点型感温探测器的不同类别，其具体参数应符合本规范附录 C 的规定。 </w:t>
      </w:r>
    </w:p>
    <w:p>
      <w:pPr>
        <w:pStyle w:val="ListParagraph"/>
        <w:numPr>
          <w:ilvl w:val="2"/>
          <w:numId w:val="615"/>
        </w:numPr>
        <w:tabs>
          <w:tab w:pos="1370" w:val="left" w:leader="none"/>
        </w:tabs>
        <w:spacing w:line="267" w:lineRule="exact" w:before="0" w:after="0"/>
        <w:ind w:left="1369" w:right="0" w:hanging="530"/>
        <w:jc w:val="left"/>
        <w:rPr>
          <w:sz w:val="21"/>
        </w:rPr>
      </w:pPr>
      <w:r>
        <w:rPr>
          <w:spacing w:val="-3"/>
          <w:sz w:val="21"/>
        </w:rPr>
        <w:t>下列场所宜选择点型感烟火灾探测器：</w:t>
      </w:r>
      <w:r>
        <w:rPr>
          <w:sz w:val="21"/>
        </w:rPr>
        <w:t> </w:t>
      </w:r>
    </w:p>
    <w:p>
      <w:pPr>
        <w:pStyle w:val="BodyText"/>
        <w:spacing w:before="1"/>
        <w:rPr>
          <w:sz w:val="18"/>
        </w:rPr>
      </w:pPr>
    </w:p>
    <w:p>
      <w:pPr>
        <w:pStyle w:val="ListParagraph"/>
        <w:numPr>
          <w:ilvl w:val="0"/>
          <w:numId w:val="617"/>
        </w:numPr>
        <w:tabs>
          <w:tab w:pos="1367" w:val="left" w:leader="none"/>
        </w:tabs>
        <w:spacing w:line="240" w:lineRule="auto" w:before="0" w:after="0"/>
        <w:ind w:left="1367" w:right="0" w:hanging="529"/>
        <w:jc w:val="left"/>
        <w:rPr>
          <w:sz w:val="21"/>
        </w:rPr>
      </w:pPr>
      <w:r>
        <w:rPr>
          <w:spacing w:val="-3"/>
          <w:sz w:val="21"/>
        </w:rPr>
        <w:t>饭店、旅馆、教学楼、办公楼的厅堂、卧室、办公室、商场、列车载客车厢等。</w:t>
      </w:r>
      <w:r>
        <w:rPr>
          <w:sz w:val="21"/>
        </w:rPr>
        <w:t> </w:t>
      </w:r>
    </w:p>
    <w:p>
      <w:pPr>
        <w:pStyle w:val="BodyText"/>
        <w:rPr>
          <w:sz w:val="18"/>
        </w:rPr>
      </w:pPr>
    </w:p>
    <w:p>
      <w:pPr>
        <w:pStyle w:val="ListParagraph"/>
        <w:numPr>
          <w:ilvl w:val="0"/>
          <w:numId w:val="617"/>
        </w:numPr>
        <w:tabs>
          <w:tab w:pos="1367" w:val="left" w:leader="none"/>
        </w:tabs>
        <w:spacing w:line="240" w:lineRule="auto" w:before="0" w:after="0"/>
        <w:ind w:left="1367" w:right="0" w:hanging="529"/>
        <w:jc w:val="left"/>
        <w:rPr>
          <w:sz w:val="21"/>
        </w:rPr>
      </w:pPr>
      <w:r>
        <w:rPr>
          <w:spacing w:val="-3"/>
          <w:sz w:val="21"/>
        </w:rPr>
        <w:t>计算机房、通信机房、电影或电视放映室等。</w:t>
      </w:r>
      <w:r>
        <w:rPr>
          <w:sz w:val="21"/>
        </w:rPr>
        <w:t> </w:t>
      </w:r>
    </w:p>
    <w:p>
      <w:pPr>
        <w:pStyle w:val="BodyText"/>
        <w:rPr>
          <w:sz w:val="18"/>
        </w:rPr>
      </w:pPr>
    </w:p>
    <w:p>
      <w:pPr>
        <w:pStyle w:val="ListParagraph"/>
        <w:numPr>
          <w:ilvl w:val="0"/>
          <w:numId w:val="617"/>
        </w:numPr>
        <w:tabs>
          <w:tab w:pos="1367" w:val="left" w:leader="none"/>
        </w:tabs>
        <w:spacing w:line="240" w:lineRule="auto" w:before="0" w:after="0"/>
        <w:ind w:left="1367" w:right="0" w:hanging="529"/>
        <w:jc w:val="left"/>
        <w:rPr>
          <w:sz w:val="21"/>
        </w:rPr>
      </w:pPr>
      <w:r>
        <w:rPr>
          <w:spacing w:val="-3"/>
          <w:sz w:val="21"/>
        </w:rPr>
        <w:t>楼梯、走道、电梯机房、车库等。</w:t>
      </w:r>
      <w:r>
        <w:rPr>
          <w:sz w:val="21"/>
        </w:rPr>
        <w:t> </w:t>
      </w:r>
    </w:p>
    <w:p>
      <w:pPr>
        <w:pStyle w:val="BodyText"/>
        <w:spacing w:before="2"/>
        <w:rPr>
          <w:sz w:val="18"/>
        </w:rPr>
      </w:pPr>
    </w:p>
    <w:p>
      <w:pPr>
        <w:pStyle w:val="ListParagraph"/>
        <w:numPr>
          <w:ilvl w:val="0"/>
          <w:numId w:val="617"/>
        </w:numPr>
        <w:tabs>
          <w:tab w:pos="1367" w:val="left" w:leader="none"/>
          <w:tab w:pos="3358" w:val="left" w:leader="none"/>
        </w:tabs>
        <w:spacing w:line="240" w:lineRule="auto" w:before="0" w:after="0"/>
        <w:ind w:left="1367" w:right="0" w:hanging="529"/>
        <w:jc w:val="left"/>
        <w:rPr>
          <w:sz w:val="21"/>
        </w:rPr>
      </w:pPr>
      <w:r>
        <w:rPr>
          <w:sz w:val="21"/>
        </w:rPr>
        <w:t>书</w:t>
      </w:r>
      <w:r>
        <w:rPr>
          <w:spacing w:val="-3"/>
          <w:sz w:val="21"/>
        </w:rPr>
        <w:t>库</w:t>
      </w:r>
      <w:r>
        <w:rPr>
          <w:sz w:val="21"/>
        </w:rPr>
        <w:t>、</w:t>
      </w:r>
      <w:r>
        <w:rPr>
          <w:spacing w:val="-3"/>
          <w:sz w:val="21"/>
        </w:rPr>
        <w:t>档</w:t>
      </w:r>
      <w:r>
        <w:rPr>
          <w:sz w:val="21"/>
        </w:rPr>
        <w:t>案</w:t>
      </w:r>
      <w:r>
        <w:rPr>
          <w:spacing w:val="-3"/>
          <w:sz w:val="21"/>
        </w:rPr>
        <w:t>库</w:t>
      </w:r>
      <w:r>
        <w:rPr>
          <w:sz w:val="21"/>
        </w:rPr>
        <w:t>等</w:t>
      </w:r>
      <w:r>
        <w:rPr>
          <w:spacing w:val="-3"/>
          <w:sz w:val="21"/>
        </w:rPr>
        <w:t>。</w:t>
      </w:r>
      <w:r>
        <w:rPr>
          <w:sz w:val="21"/>
        </w:rPr>
        <w:t> </w:t>
        <w:tab/>
      </w:r>
      <w:r>
        <w:rPr>
          <w:w w:val="100"/>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615"/>
        </w:numPr>
        <w:tabs>
          <w:tab w:pos="1370" w:val="left" w:leader="none"/>
        </w:tabs>
        <w:spacing w:line="240" w:lineRule="auto" w:before="47" w:after="0"/>
        <w:ind w:left="1369" w:right="0" w:hanging="530"/>
        <w:jc w:val="left"/>
        <w:rPr>
          <w:sz w:val="21"/>
        </w:rPr>
      </w:pPr>
      <w:r>
        <w:rPr>
          <w:spacing w:val="-3"/>
          <w:sz w:val="21"/>
        </w:rPr>
        <w:t>符合下列条件之一的场所，不宜选择点型离子感烟火灾探测器：</w:t>
      </w:r>
      <w:r>
        <w:rPr>
          <w:sz w:val="21"/>
        </w:rPr>
        <w:t> </w:t>
      </w:r>
    </w:p>
    <w:p>
      <w:pPr>
        <w:pStyle w:val="BodyText"/>
        <w:rPr>
          <w:sz w:val="18"/>
        </w:rPr>
      </w:pPr>
    </w:p>
    <w:p>
      <w:pPr>
        <w:pStyle w:val="ListParagraph"/>
        <w:numPr>
          <w:ilvl w:val="0"/>
          <w:numId w:val="618"/>
        </w:numPr>
        <w:tabs>
          <w:tab w:pos="1367" w:val="left" w:leader="none"/>
        </w:tabs>
        <w:spacing w:line="240" w:lineRule="auto" w:before="0" w:after="0"/>
        <w:ind w:left="1367" w:right="0" w:hanging="529"/>
        <w:jc w:val="left"/>
        <w:rPr>
          <w:sz w:val="21"/>
        </w:rPr>
      </w:pPr>
      <w:r>
        <w:rPr>
          <w:spacing w:val="-3"/>
          <w:sz w:val="21"/>
        </w:rPr>
        <w:t>相对湿度度经常大于 </w:t>
      </w:r>
      <w:r>
        <w:rPr>
          <w:sz w:val="21"/>
        </w:rPr>
        <w:t>95%</w:t>
      </w:r>
      <w:r>
        <w:rPr>
          <w:spacing w:val="-3"/>
          <w:sz w:val="21"/>
        </w:rPr>
        <w:t> 。</w:t>
      </w:r>
      <w:r>
        <w:rPr>
          <w:sz w:val="21"/>
        </w:rPr>
        <w:t> </w:t>
      </w:r>
    </w:p>
    <w:p>
      <w:pPr>
        <w:pStyle w:val="BodyText"/>
        <w:rPr>
          <w:sz w:val="18"/>
        </w:rPr>
      </w:pPr>
    </w:p>
    <w:p>
      <w:pPr>
        <w:pStyle w:val="ListParagraph"/>
        <w:numPr>
          <w:ilvl w:val="0"/>
          <w:numId w:val="618"/>
        </w:numPr>
        <w:tabs>
          <w:tab w:pos="1367" w:val="left" w:leader="none"/>
        </w:tabs>
        <w:spacing w:line="240" w:lineRule="auto" w:before="0" w:after="0"/>
        <w:ind w:left="1367" w:right="0" w:hanging="529"/>
        <w:jc w:val="left"/>
        <w:rPr>
          <w:sz w:val="21"/>
        </w:rPr>
      </w:pPr>
      <w:r>
        <w:rPr>
          <w:spacing w:val="-3"/>
          <w:sz w:val="21"/>
        </w:rPr>
        <w:t>气流速度大于 </w:t>
      </w:r>
      <w:r>
        <w:rPr>
          <w:sz w:val="21"/>
        </w:rPr>
        <w:t>5m/s</w:t>
      </w:r>
      <w:r>
        <w:rPr>
          <w:spacing w:val="50"/>
          <w:sz w:val="21"/>
        </w:rPr>
        <w:t> 。</w:t>
      </w:r>
      <w:r>
        <w:rPr>
          <w:sz w:val="21"/>
        </w:rPr>
        <w:t> </w:t>
      </w:r>
    </w:p>
    <w:p>
      <w:pPr>
        <w:pStyle w:val="BodyText"/>
        <w:spacing w:before="1"/>
        <w:rPr>
          <w:sz w:val="18"/>
        </w:rPr>
      </w:pPr>
    </w:p>
    <w:p>
      <w:pPr>
        <w:pStyle w:val="ListParagraph"/>
        <w:numPr>
          <w:ilvl w:val="0"/>
          <w:numId w:val="618"/>
        </w:numPr>
        <w:tabs>
          <w:tab w:pos="1367" w:val="left" w:leader="none"/>
        </w:tabs>
        <w:spacing w:line="240" w:lineRule="auto" w:before="1" w:after="0"/>
        <w:ind w:left="1367" w:right="0" w:hanging="529"/>
        <w:jc w:val="left"/>
        <w:rPr>
          <w:sz w:val="21"/>
        </w:rPr>
      </w:pPr>
      <w:r>
        <w:rPr>
          <w:spacing w:val="-3"/>
          <w:sz w:val="21"/>
        </w:rPr>
        <w:t>有大量粉尘、水雾滞留。</w:t>
      </w:r>
      <w:r>
        <w:rPr>
          <w:sz w:val="21"/>
        </w:rPr>
        <w:t> </w:t>
      </w:r>
    </w:p>
    <w:p>
      <w:pPr>
        <w:pStyle w:val="BodyText"/>
        <w:spacing w:before="12"/>
        <w:rPr>
          <w:sz w:val="17"/>
        </w:rPr>
      </w:pPr>
    </w:p>
    <w:p>
      <w:pPr>
        <w:pStyle w:val="ListParagraph"/>
        <w:numPr>
          <w:ilvl w:val="0"/>
          <w:numId w:val="618"/>
        </w:numPr>
        <w:tabs>
          <w:tab w:pos="1367" w:val="left" w:leader="none"/>
        </w:tabs>
        <w:spacing w:line="240" w:lineRule="auto" w:before="0" w:after="0"/>
        <w:ind w:left="1367" w:right="0" w:hanging="529"/>
        <w:jc w:val="left"/>
        <w:rPr>
          <w:sz w:val="21"/>
        </w:rPr>
      </w:pPr>
      <w:r>
        <w:rPr>
          <w:spacing w:val="-3"/>
          <w:sz w:val="21"/>
        </w:rPr>
        <w:t>可能产生腐蚀性气体。 </w:t>
      </w:r>
    </w:p>
    <w:p>
      <w:pPr>
        <w:pStyle w:val="BodyText"/>
        <w:spacing w:before="12"/>
        <w:rPr>
          <w:sz w:val="17"/>
        </w:rPr>
      </w:pPr>
    </w:p>
    <w:p>
      <w:pPr>
        <w:pStyle w:val="ListParagraph"/>
        <w:numPr>
          <w:ilvl w:val="0"/>
          <w:numId w:val="618"/>
        </w:numPr>
        <w:tabs>
          <w:tab w:pos="1367" w:val="left" w:leader="none"/>
        </w:tabs>
        <w:spacing w:line="240" w:lineRule="auto" w:before="0" w:after="0"/>
        <w:ind w:left="1367" w:right="0" w:hanging="529"/>
        <w:jc w:val="left"/>
        <w:rPr>
          <w:sz w:val="21"/>
        </w:rPr>
      </w:pPr>
      <w:r>
        <w:rPr>
          <w:spacing w:val="-3"/>
          <w:sz w:val="21"/>
        </w:rPr>
        <w:t>在正常情况下有烟滞留。</w:t>
      </w:r>
      <w:r>
        <w:rPr>
          <w:sz w:val="21"/>
        </w:rPr>
        <w:t> </w:t>
      </w:r>
    </w:p>
    <w:p>
      <w:pPr>
        <w:pStyle w:val="BodyText"/>
        <w:spacing w:before="2"/>
        <w:rPr>
          <w:sz w:val="18"/>
        </w:rPr>
      </w:pPr>
    </w:p>
    <w:p>
      <w:pPr>
        <w:pStyle w:val="ListParagraph"/>
        <w:numPr>
          <w:ilvl w:val="0"/>
          <w:numId w:val="618"/>
        </w:numPr>
        <w:tabs>
          <w:tab w:pos="1367" w:val="left" w:leader="none"/>
          <w:tab w:pos="5038" w:val="left" w:leader="none"/>
        </w:tabs>
        <w:spacing w:line="240" w:lineRule="auto" w:before="0" w:after="0"/>
        <w:ind w:left="1367" w:right="0" w:hanging="529"/>
        <w:jc w:val="left"/>
        <w:rPr>
          <w:sz w:val="21"/>
        </w:rPr>
      </w:pPr>
      <w:r>
        <w:rPr>
          <w:sz w:val="21"/>
        </w:rPr>
        <w:t>产</w:t>
      </w:r>
      <w:r>
        <w:rPr>
          <w:spacing w:val="-3"/>
          <w:sz w:val="21"/>
        </w:rPr>
        <w:t>生</w:t>
      </w:r>
      <w:r>
        <w:rPr>
          <w:sz w:val="21"/>
        </w:rPr>
        <w:t>醇</w:t>
      </w:r>
      <w:r>
        <w:rPr>
          <w:spacing w:val="-3"/>
          <w:sz w:val="21"/>
        </w:rPr>
        <w:t>类</w:t>
      </w:r>
      <w:r>
        <w:rPr>
          <w:sz w:val="21"/>
        </w:rPr>
        <w:t>、</w:t>
      </w:r>
      <w:r>
        <w:rPr>
          <w:spacing w:val="-3"/>
          <w:sz w:val="21"/>
        </w:rPr>
        <w:t>醚</w:t>
      </w:r>
      <w:r>
        <w:rPr>
          <w:sz w:val="21"/>
        </w:rPr>
        <w:t>类</w:t>
      </w:r>
      <w:r>
        <w:rPr>
          <w:spacing w:val="-3"/>
          <w:sz w:val="21"/>
        </w:rPr>
        <w:t>、酮</w:t>
      </w:r>
      <w:r>
        <w:rPr>
          <w:sz w:val="21"/>
        </w:rPr>
        <w:t>类等</w:t>
      </w:r>
      <w:r>
        <w:rPr>
          <w:spacing w:val="-3"/>
          <w:sz w:val="21"/>
        </w:rPr>
        <w:t>有</w:t>
      </w:r>
      <w:r>
        <w:rPr>
          <w:sz w:val="21"/>
        </w:rPr>
        <w:t>机</w:t>
      </w:r>
      <w:r>
        <w:rPr>
          <w:spacing w:val="-3"/>
          <w:sz w:val="21"/>
        </w:rPr>
        <w:t>物</w:t>
      </w:r>
      <w:r>
        <w:rPr>
          <w:sz w:val="21"/>
        </w:rPr>
        <w:t>质</w:t>
      </w:r>
      <w:r>
        <w:rPr>
          <w:spacing w:val="-3"/>
          <w:sz w:val="21"/>
        </w:rPr>
        <w:t>。</w:t>
      </w:r>
      <w:r>
        <w:rPr>
          <w:sz w:val="21"/>
        </w:rPr>
        <w:t> </w:t>
        <w:tab/>
      </w:r>
      <w:r>
        <w:rPr>
          <w:w w:val="100"/>
          <w:sz w:val="21"/>
        </w:rPr>
        <w:t>  </w:t>
      </w:r>
    </w:p>
    <w:p>
      <w:pPr>
        <w:pStyle w:val="BodyText"/>
        <w:rPr>
          <w:sz w:val="18"/>
        </w:rPr>
      </w:pPr>
    </w:p>
    <w:p>
      <w:pPr>
        <w:pStyle w:val="ListParagraph"/>
        <w:numPr>
          <w:ilvl w:val="2"/>
          <w:numId w:val="615"/>
        </w:numPr>
        <w:tabs>
          <w:tab w:pos="1370" w:val="left" w:leader="none"/>
        </w:tabs>
        <w:spacing w:line="240" w:lineRule="auto" w:before="0" w:after="0"/>
        <w:ind w:left="1369" w:right="0" w:hanging="530"/>
        <w:jc w:val="left"/>
        <w:rPr>
          <w:sz w:val="21"/>
        </w:rPr>
      </w:pPr>
      <w:r>
        <w:rPr>
          <w:spacing w:val="-3"/>
          <w:sz w:val="21"/>
        </w:rPr>
        <w:t>符合下列条件之一的场所，不宜选择点型光电感烟火灾探测器：</w:t>
      </w:r>
      <w:r>
        <w:rPr>
          <w:sz w:val="21"/>
        </w:rPr>
        <w:t> </w:t>
      </w:r>
    </w:p>
    <w:p>
      <w:pPr>
        <w:pStyle w:val="BodyText"/>
        <w:rPr>
          <w:sz w:val="18"/>
        </w:rPr>
      </w:pPr>
    </w:p>
    <w:p>
      <w:pPr>
        <w:pStyle w:val="ListParagraph"/>
        <w:numPr>
          <w:ilvl w:val="0"/>
          <w:numId w:val="619"/>
        </w:numPr>
        <w:tabs>
          <w:tab w:pos="1367" w:val="left" w:leader="none"/>
        </w:tabs>
        <w:spacing w:line="240" w:lineRule="auto" w:before="0" w:after="0"/>
        <w:ind w:left="1367" w:right="0" w:hanging="529"/>
        <w:jc w:val="left"/>
        <w:rPr>
          <w:sz w:val="21"/>
        </w:rPr>
      </w:pPr>
      <w:r>
        <w:rPr>
          <w:spacing w:val="-3"/>
          <w:sz w:val="21"/>
        </w:rPr>
        <w:t>有大量粉尘、水雾滞留。</w:t>
      </w:r>
      <w:r>
        <w:rPr>
          <w:sz w:val="21"/>
        </w:rPr>
        <w:t> </w:t>
      </w:r>
    </w:p>
    <w:p>
      <w:pPr>
        <w:pStyle w:val="BodyText"/>
        <w:spacing w:before="2"/>
        <w:rPr>
          <w:sz w:val="18"/>
        </w:rPr>
      </w:pPr>
    </w:p>
    <w:p>
      <w:pPr>
        <w:pStyle w:val="ListParagraph"/>
        <w:numPr>
          <w:ilvl w:val="0"/>
          <w:numId w:val="619"/>
        </w:numPr>
        <w:tabs>
          <w:tab w:pos="1367" w:val="left" w:leader="none"/>
        </w:tabs>
        <w:spacing w:line="240" w:lineRule="auto" w:before="0" w:after="0"/>
        <w:ind w:left="1367" w:right="0" w:hanging="529"/>
        <w:jc w:val="left"/>
        <w:rPr>
          <w:sz w:val="21"/>
        </w:rPr>
      </w:pPr>
      <w:r>
        <w:rPr>
          <w:spacing w:val="-3"/>
          <w:sz w:val="21"/>
        </w:rPr>
        <w:t>可能产生蒸气和油雾。 </w:t>
      </w:r>
    </w:p>
    <w:p>
      <w:pPr>
        <w:pStyle w:val="BodyText"/>
        <w:spacing w:before="12"/>
        <w:rPr>
          <w:sz w:val="17"/>
        </w:rPr>
      </w:pPr>
    </w:p>
    <w:p>
      <w:pPr>
        <w:pStyle w:val="ListParagraph"/>
        <w:numPr>
          <w:ilvl w:val="0"/>
          <w:numId w:val="619"/>
        </w:numPr>
        <w:tabs>
          <w:tab w:pos="1367" w:val="left" w:leader="none"/>
        </w:tabs>
        <w:spacing w:line="240" w:lineRule="auto" w:before="0" w:after="0"/>
        <w:ind w:left="1367" w:right="0" w:hanging="529"/>
        <w:jc w:val="left"/>
        <w:rPr>
          <w:sz w:val="21"/>
        </w:rPr>
      </w:pPr>
      <w:r>
        <w:rPr>
          <w:spacing w:val="-3"/>
          <w:sz w:val="21"/>
        </w:rPr>
        <w:t>高海拔地区。</w:t>
      </w:r>
      <w:r>
        <w:rPr>
          <w:sz w:val="21"/>
        </w:rPr>
        <w:t> </w:t>
      </w:r>
    </w:p>
    <w:p>
      <w:pPr>
        <w:pStyle w:val="BodyText"/>
        <w:spacing w:before="12"/>
        <w:rPr>
          <w:sz w:val="17"/>
        </w:rPr>
      </w:pPr>
    </w:p>
    <w:p>
      <w:pPr>
        <w:pStyle w:val="ListParagraph"/>
        <w:numPr>
          <w:ilvl w:val="0"/>
          <w:numId w:val="619"/>
        </w:numPr>
        <w:tabs>
          <w:tab w:pos="1367" w:val="left" w:leader="none"/>
        </w:tabs>
        <w:spacing w:line="240" w:lineRule="auto" w:before="0" w:after="0"/>
        <w:ind w:left="1367" w:right="0" w:hanging="529"/>
        <w:jc w:val="left"/>
        <w:rPr>
          <w:sz w:val="21"/>
        </w:rPr>
      </w:pPr>
      <w:r>
        <w:rPr>
          <w:spacing w:val="-3"/>
          <w:sz w:val="21"/>
        </w:rPr>
        <w:t>在正常情况下有烟滞留。</w:t>
      </w:r>
      <w:r>
        <w:rPr>
          <w:sz w:val="21"/>
        </w:rPr>
        <w:t>   </w:t>
      </w:r>
    </w:p>
    <w:p>
      <w:pPr>
        <w:pStyle w:val="BodyText"/>
        <w:spacing w:before="2"/>
        <w:rPr>
          <w:sz w:val="18"/>
        </w:rPr>
      </w:pPr>
    </w:p>
    <w:p>
      <w:pPr>
        <w:pStyle w:val="ListParagraph"/>
        <w:numPr>
          <w:ilvl w:val="2"/>
          <w:numId w:val="615"/>
        </w:numPr>
        <w:tabs>
          <w:tab w:pos="1370" w:val="left" w:leader="none"/>
        </w:tabs>
        <w:spacing w:line="446" w:lineRule="auto" w:before="0" w:after="0"/>
        <w:ind w:left="418" w:right="1431" w:firstLine="422"/>
        <w:jc w:val="left"/>
        <w:rPr>
          <w:sz w:val="21"/>
        </w:rPr>
      </w:pPr>
      <w:r>
        <w:rPr>
          <w:spacing w:val="-6"/>
          <w:sz w:val="21"/>
        </w:rPr>
        <w:t>符合下列条件之一的场所，宜选择点型感温火灾探测器；且应根据使用场所的典型应</w:t>
      </w:r>
      <w:r>
        <w:rPr>
          <w:spacing w:val="-4"/>
          <w:sz w:val="21"/>
        </w:rPr>
        <w:t>用温度和 最高应用温度选择适当类别的感温火灾探测器：</w:t>
      </w:r>
      <w:r>
        <w:rPr>
          <w:sz w:val="21"/>
        </w:rPr>
        <w:t> </w:t>
      </w:r>
    </w:p>
    <w:p>
      <w:pPr>
        <w:pStyle w:val="ListParagraph"/>
        <w:numPr>
          <w:ilvl w:val="0"/>
          <w:numId w:val="620"/>
        </w:numPr>
        <w:tabs>
          <w:tab w:pos="1367" w:val="left" w:leader="none"/>
        </w:tabs>
        <w:spacing w:line="267" w:lineRule="exact" w:before="0" w:after="0"/>
        <w:ind w:left="1367" w:right="0" w:hanging="529"/>
        <w:jc w:val="left"/>
        <w:rPr>
          <w:sz w:val="21"/>
        </w:rPr>
      </w:pPr>
      <w:r>
        <w:rPr>
          <w:spacing w:val="-3"/>
          <w:sz w:val="21"/>
        </w:rPr>
        <w:t>相对湿度经常大于 </w:t>
      </w:r>
      <w:r>
        <w:rPr>
          <w:sz w:val="21"/>
        </w:rPr>
        <w:t>95% 。 </w:t>
      </w:r>
    </w:p>
    <w:p>
      <w:pPr>
        <w:pStyle w:val="BodyText"/>
        <w:spacing w:before="2"/>
        <w:rPr>
          <w:sz w:val="18"/>
        </w:rPr>
      </w:pPr>
    </w:p>
    <w:p>
      <w:pPr>
        <w:pStyle w:val="ListParagraph"/>
        <w:numPr>
          <w:ilvl w:val="0"/>
          <w:numId w:val="620"/>
        </w:numPr>
        <w:tabs>
          <w:tab w:pos="1367" w:val="left" w:leader="none"/>
        </w:tabs>
        <w:spacing w:line="240" w:lineRule="auto" w:before="0" w:after="0"/>
        <w:ind w:left="1367" w:right="0" w:hanging="529"/>
        <w:jc w:val="left"/>
        <w:rPr>
          <w:sz w:val="21"/>
        </w:rPr>
      </w:pPr>
      <w:r>
        <w:rPr>
          <w:spacing w:val="-3"/>
          <w:sz w:val="21"/>
        </w:rPr>
        <w:t>可能发生无烟火灾。</w:t>
      </w:r>
      <w:r>
        <w:rPr>
          <w:sz w:val="21"/>
        </w:rPr>
        <w:t> </w:t>
      </w:r>
    </w:p>
    <w:p>
      <w:pPr>
        <w:pStyle w:val="BodyText"/>
        <w:rPr>
          <w:sz w:val="18"/>
        </w:rPr>
      </w:pPr>
    </w:p>
    <w:p>
      <w:pPr>
        <w:pStyle w:val="ListParagraph"/>
        <w:numPr>
          <w:ilvl w:val="0"/>
          <w:numId w:val="620"/>
        </w:numPr>
        <w:tabs>
          <w:tab w:pos="1367" w:val="left" w:leader="none"/>
        </w:tabs>
        <w:spacing w:line="240" w:lineRule="auto" w:before="0" w:after="0"/>
        <w:ind w:left="1367" w:right="0" w:hanging="529"/>
        <w:jc w:val="left"/>
        <w:rPr>
          <w:sz w:val="21"/>
        </w:rPr>
      </w:pPr>
      <w:r>
        <w:rPr>
          <w:spacing w:val="-3"/>
          <w:sz w:val="21"/>
        </w:rPr>
        <w:t>有大量粉尘。</w:t>
      </w:r>
      <w:r>
        <w:rPr>
          <w:sz w:val="21"/>
        </w:rPr>
        <w:t> </w:t>
      </w:r>
    </w:p>
    <w:p>
      <w:pPr>
        <w:pStyle w:val="BodyText"/>
        <w:spacing w:before="12"/>
        <w:rPr>
          <w:sz w:val="17"/>
        </w:rPr>
      </w:pPr>
    </w:p>
    <w:p>
      <w:pPr>
        <w:pStyle w:val="ListParagraph"/>
        <w:numPr>
          <w:ilvl w:val="0"/>
          <w:numId w:val="620"/>
        </w:numPr>
        <w:tabs>
          <w:tab w:pos="1367" w:val="left" w:leader="none"/>
        </w:tabs>
        <w:spacing w:line="240" w:lineRule="auto" w:before="0" w:after="0"/>
        <w:ind w:left="1367" w:right="0" w:hanging="529"/>
        <w:jc w:val="left"/>
        <w:rPr>
          <w:sz w:val="21"/>
        </w:rPr>
      </w:pPr>
      <w:r>
        <w:rPr>
          <w:spacing w:val="-3"/>
          <w:sz w:val="21"/>
        </w:rPr>
        <w:t>吸烟室等在正常情况下有烟或蒸气滞留的场所。 </w:t>
      </w:r>
    </w:p>
    <w:p>
      <w:pPr>
        <w:pStyle w:val="BodyText"/>
        <w:spacing w:before="2"/>
        <w:rPr>
          <w:sz w:val="18"/>
        </w:rPr>
      </w:pPr>
    </w:p>
    <w:p>
      <w:pPr>
        <w:pStyle w:val="ListParagraph"/>
        <w:numPr>
          <w:ilvl w:val="0"/>
          <w:numId w:val="620"/>
        </w:numPr>
        <w:tabs>
          <w:tab w:pos="1367" w:val="left" w:leader="none"/>
        </w:tabs>
        <w:spacing w:line="240" w:lineRule="auto" w:before="0" w:after="0"/>
        <w:ind w:left="1367" w:right="0" w:hanging="529"/>
        <w:jc w:val="left"/>
        <w:rPr>
          <w:sz w:val="21"/>
        </w:rPr>
      </w:pPr>
      <w:r>
        <w:rPr>
          <w:spacing w:val="-3"/>
          <w:sz w:val="21"/>
        </w:rPr>
        <w:t>厨房、锅炉房、发电机房、烘干车间等不宜安装感烟火灾探测器的场所。 </w:t>
      </w:r>
    </w:p>
    <w:p>
      <w:pPr>
        <w:pStyle w:val="BodyText"/>
        <w:rPr>
          <w:sz w:val="18"/>
        </w:rPr>
      </w:pPr>
    </w:p>
    <w:p>
      <w:pPr>
        <w:pStyle w:val="ListParagraph"/>
        <w:numPr>
          <w:ilvl w:val="0"/>
          <w:numId w:val="620"/>
        </w:numPr>
        <w:tabs>
          <w:tab w:pos="1367" w:val="left" w:leader="none"/>
        </w:tabs>
        <w:spacing w:line="240" w:lineRule="auto" w:before="0" w:after="0"/>
        <w:ind w:left="1367" w:right="0" w:hanging="529"/>
        <w:jc w:val="left"/>
        <w:rPr>
          <w:sz w:val="21"/>
        </w:rPr>
      </w:pPr>
      <w:r>
        <w:rPr>
          <w:spacing w:val="-3"/>
          <w:sz w:val="21"/>
        </w:rPr>
        <w:t>需要联动熄灭―安全出口‖标志灯的安全出口内侧。</w:t>
      </w:r>
      <w:r>
        <w:rPr>
          <w:sz w:val="21"/>
        </w:rPr>
        <w:t> </w:t>
      </w:r>
    </w:p>
    <w:p>
      <w:pPr>
        <w:pStyle w:val="BodyText"/>
        <w:spacing w:before="12"/>
        <w:rPr>
          <w:sz w:val="17"/>
        </w:rPr>
      </w:pPr>
    </w:p>
    <w:p>
      <w:pPr>
        <w:pStyle w:val="ListParagraph"/>
        <w:numPr>
          <w:ilvl w:val="0"/>
          <w:numId w:val="620"/>
        </w:numPr>
        <w:tabs>
          <w:tab w:pos="1367" w:val="left" w:leader="none"/>
        </w:tabs>
        <w:spacing w:line="240" w:lineRule="auto" w:before="0" w:after="0"/>
        <w:ind w:left="1367" w:right="0" w:hanging="529"/>
        <w:jc w:val="left"/>
        <w:rPr>
          <w:sz w:val="21"/>
        </w:rPr>
      </w:pPr>
      <w:r>
        <w:rPr>
          <w:spacing w:val="-3"/>
          <w:sz w:val="21"/>
        </w:rPr>
        <w:t>其他无人滞留且不适合安装感烟火灾探测器，但发生火灾时需要及时报警的场所。</w:t>
      </w:r>
      <w:r>
        <w:rPr>
          <w:sz w:val="21"/>
        </w:rPr>
        <w:t> </w:t>
      </w:r>
      <w:r>
        <w:rPr>
          <w:spacing w:val="-3"/>
          <w:sz w:val="21"/>
        </w:rPr>
        <w:t> </w:t>
      </w:r>
      <w:r>
        <w:rPr>
          <w:sz w:val="21"/>
        </w:rPr>
        <w:t> </w:t>
      </w:r>
    </w:p>
    <w:p>
      <w:pPr>
        <w:pStyle w:val="BodyText"/>
        <w:spacing w:before="2"/>
        <w:rPr>
          <w:sz w:val="18"/>
        </w:rPr>
      </w:pPr>
    </w:p>
    <w:p>
      <w:pPr>
        <w:pStyle w:val="ListParagraph"/>
        <w:numPr>
          <w:ilvl w:val="2"/>
          <w:numId w:val="615"/>
        </w:numPr>
        <w:tabs>
          <w:tab w:pos="1438" w:val="left" w:leader="none"/>
        </w:tabs>
        <w:spacing w:line="446" w:lineRule="auto" w:before="0" w:after="0"/>
        <w:ind w:left="418" w:right="1431" w:firstLine="422"/>
        <w:jc w:val="both"/>
        <w:rPr>
          <w:sz w:val="21"/>
        </w:rPr>
      </w:pPr>
      <w:r>
        <w:rPr>
          <w:spacing w:val="-3"/>
          <w:sz w:val="21"/>
        </w:rPr>
        <w:t>可能产生阴燃火或发生火灾不及时报警将造成重大损失的场所，不宜选择点型感温火</w:t>
      </w:r>
      <w:r>
        <w:rPr>
          <w:spacing w:val="-2"/>
          <w:sz w:val="21"/>
        </w:rPr>
        <w:t>灾探测 器；温度在 </w:t>
      </w:r>
      <w:r>
        <w:rPr>
          <w:sz w:val="21"/>
        </w:rPr>
        <w:t>0</w:t>
      </w:r>
      <w:r>
        <w:rPr>
          <w:spacing w:val="-5"/>
          <w:sz w:val="21"/>
        </w:rPr>
        <w:t>℃ 以下的场所，不宜选择定温探测器；温度变化较大的场所，不宜选择具</w:t>
      </w:r>
      <w:r>
        <w:rPr>
          <w:spacing w:val="-4"/>
          <w:sz w:val="21"/>
        </w:rPr>
        <w:t>有差温特性的探测器。</w:t>
      </w:r>
      <w:r>
        <w:rPr>
          <w:sz w:val="21"/>
        </w:rPr>
        <w:t>    </w:t>
      </w:r>
      <w:r>
        <w:rPr>
          <w:w w:val="100"/>
          <w:sz w:val="21"/>
        </w:rPr>
        <w:t>  </w:t>
      </w:r>
    </w:p>
    <w:p>
      <w:pPr>
        <w:pStyle w:val="ListParagraph"/>
        <w:numPr>
          <w:ilvl w:val="2"/>
          <w:numId w:val="615"/>
        </w:numPr>
        <w:tabs>
          <w:tab w:pos="1370" w:val="left" w:leader="none"/>
        </w:tabs>
        <w:spacing w:line="268" w:lineRule="exact" w:before="0" w:after="0"/>
        <w:ind w:left="1369" w:right="0" w:hanging="530"/>
        <w:jc w:val="left"/>
        <w:rPr>
          <w:sz w:val="21"/>
        </w:rPr>
      </w:pPr>
      <w:r>
        <w:rPr>
          <w:spacing w:val="-3"/>
          <w:sz w:val="21"/>
        </w:rPr>
        <w:t>符合下列条件之一的场所，宜选择点型火焰探测器或图像型火焰探测器： </w:t>
      </w:r>
    </w:p>
    <w:p>
      <w:pPr>
        <w:pStyle w:val="BodyText"/>
        <w:rPr>
          <w:sz w:val="18"/>
        </w:rPr>
      </w:pPr>
    </w:p>
    <w:p>
      <w:pPr>
        <w:pStyle w:val="ListParagraph"/>
        <w:numPr>
          <w:ilvl w:val="0"/>
          <w:numId w:val="621"/>
        </w:numPr>
        <w:tabs>
          <w:tab w:pos="1367" w:val="left" w:leader="none"/>
        </w:tabs>
        <w:spacing w:line="240" w:lineRule="auto" w:before="0" w:after="0"/>
        <w:ind w:left="1367" w:right="0" w:hanging="529"/>
        <w:jc w:val="left"/>
        <w:rPr>
          <w:b/>
          <w:sz w:val="21"/>
        </w:rPr>
      </w:pPr>
      <w:r>
        <w:rPr>
          <w:spacing w:val="-3"/>
          <w:sz w:val="21"/>
        </w:rPr>
        <w:t>火灾时有强烈的火焰辐射。</w:t>
      </w:r>
      <w:r>
        <w:rPr>
          <w:b/>
          <w:w w:val="99"/>
          <w:sz w:val="21"/>
        </w:rPr>
        <w:t> </w:t>
      </w:r>
    </w:p>
    <w:p>
      <w:pPr>
        <w:pStyle w:val="BodyText"/>
        <w:rPr>
          <w:b/>
          <w:sz w:val="18"/>
        </w:rPr>
      </w:pPr>
    </w:p>
    <w:p>
      <w:pPr>
        <w:pStyle w:val="ListParagraph"/>
        <w:numPr>
          <w:ilvl w:val="0"/>
          <w:numId w:val="621"/>
        </w:numPr>
        <w:tabs>
          <w:tab w:pos="1367" w:val="left" w:leader="none"/>
        </w:tabs>
        <w:spacing w:line="240" w:lineRule="auto" w:before="0" w:after="0"/>
        <w:ind w:left="1367" w:right="0" w:hanging="529"/>
        <w:jc w:val="left"/>
        <w:rPr>
          <w:b/>
          <w:sz w:val="21"/>
        </w:rPr>
      </w:pPr>
      <w:r>
        <w:rPr>
          <w:spacing w:val="-3"/>
          <w:sz w:val="21"/>
        </w:rPr>
        <w:t>可能发生液体燃烧等无阴燃阶段的火灾。</w:t>
      </w:r>
      <w:r>
        <w:rPr>
          <w:b/>
          <w:w w:val="99"/>
          <w:sz w:val="21"/>
        </w:rPr>
        <w:t> </w:t>
      </w:r>
    </w:p>
    <w:p>
      <w:pPr>
        <w:pStyle w:val="BodyText"/>
        <w:spacing w:before="1"/>
        <w:rPr>
          <w:b/>
          <w:sz w:val="18"/>
        </w:rPr>
      </w:pPr>
    </w:p>
    <w:p>
      <w:pPr>
        <w:pStyle w:val="ListParagraph"/>
        <w:numPr>
          <w:ilvl w:val="0"/>
          <w:numId w:val="621"/>
        </w:numPr>
        <w:tabs>
          <w:tab w:pos="1367" w:val="left" w:leader="none"/>
          <w:tab w:pos="4198" w:val="left" w:leader="none"/>
        </w:tabs>
        <w:spacing w:line="240" w:lineRule="auto" w:before="1" w:after="0"/>
        <w:ind w:left="1367" w:right="0" w:hanging="529"/>
        <w:jc w:val="left"/>
        <w:rPr>
          <w:b/>
          <w:sz w:val="21"/>
        </w:rPr>
      </w:pPr>
      <w:r>
        <w:rPr>
          <w:sz w:val="21"/>
        </w:rPr>
        <w:t>需</w:t>
      </w:r>
      <w:r>
        <w:rPr>
          <w:spacing w:val="-3"/>
          <w:sz w:val="21"/>
        </w:rPr>
        <w:t>要</w:t>
      </w:r>
      <w:r>
        <w:rPr>
          <w:sz w:val="21"/>
        </w:rPr>
        <w:t>对</w:t>
      </w:r>
      <w:r>
        <w:rPr>
          <w:spacing w:val="-3"/>
          <w:sz w:val="21"/>
        </w:rPr>
        <w:t>火</w:t>
      </w:r>
      <w:r>
        <w:rPr>
          <w:sz w:val="21"/>
        </w:rPr>
        <w:t>焰</w:t>
      </w:r>
      <w:r>
        <w:rPr>
          <w:spacing w:val="-3"/>
          <w:sz w:val="21"/>
        </w:rPr>
        <w:t>做</w:t>
      </w:r>
      <w:r>
        <w:rPr>
          <w:sz w:val="21"/>
        </w:rPr>
        <w:t>出</w:t>
      </w:r>
      <w:r>
        <w:rPr>
          <w:spacing w:val="-3"/>
          <w:sz w:val="21"/>
        </w:rPr>
        <w:t>快速</w:t>
      </w:r>
      <w:r>
        <w:rPr>
          <w:sz w:val="21"/>
        </w:rPr>
        <w:t>反应</w:t>
      </w:r>
      <w:r>
        <w:rPr>
          <w:spacing w:val="-3"/>
          <w:sz w:val="21"/>
        </w:rPr>
        <w:t>。</w:t>
      </w:r>
      <w:r>
        <w:rPr>
          <w:b/>
          <w:w w:val="99"/>
          <w:sz w:val="21"/>
        </w:rPr>
        <w:t> </w:t>
      </w:r>
      <w:r>
        <w:rPr>
          <w:b/>
          <w:sz w:val="21"/>
        </w:rPr>
        <w:tab/>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615"/>
        </w:numPr>
        <w:tabs>
          <w:tab w:pos="1370" w:val="left" w:leader="none"/>
        </w:tabs>
        <w:spacing w:line="240" w:lineRule="auto" w:before="47" w:after="0"/>
        <w:ind w:left="1369" w:right="0" w:hanging="530"/>
        <w:jc w:val="left"/>
        <w:rPr>
          <w:sz w:val="21"/>
        </w:rPr>
      </w:pPr>
      <w:r>
        <w:rPr>
          <w:spacing w:val="-3"/>
          <w:sz w:val="21"/>
        </w:rPr>
        <w:t>符合下列条件之一的场所，不宜选择点型火焰探测器和图像型火焰探测器： </w:t>
      </w:r>
    </w:p>
    <w:p>
      <w:pPr>
        <w:pStyle w:val="BodyText"/>
        <w:rPr>
          <w:sz w:val="18"/>
        </w:rPr>
      </w:pPr>
    </w:p>
    <w:p>
      <w:pPr>
        <w:pStyle w:val="ListParagraph"/>
        <w:numPr>
          <w:ilvl w:val="0"/>
          <w:numId w:val="622"/>
        </w:numPr>
        <w:tabs>
          <w:tab w:pos="1367" w:val="left" w:leader="none"/>
        </w:tabs>
        <w:spacing w:line="240" w:lineRule="auto" w:before="0" w:after="0"/>
        <w:ind w:left="1367" w:right="0" w:hanging="529"/>
        <w:jc w:val="left"/>
        <w:rPr>
          <w:sz w:val="21"/>
        </w:rPr>
      </w:pPr>
      <w:r>
        <w:rPr>
          <w:spacing w:val="-3"/>
          <w:sz w:val="21"/>
        </w:rPr>
        <w:t>在火焰出现前有浓烟扩散。</w:t>
      </w:r>
      <w:r>
        <w:rPr>
          <w:sz w:val="21"/>
        </w:rPr>
        <w:t> </w:t>
      </w:r>
    </w:p>
    <w:p>
      <w:pPr>
        <w:pStyle w:val="BodyText"/>
        <w:rPr>
          <w:sz w:val="18"/>
        </w:rPr>
      </w:pPr>
    </w:p>
    <w:p>
      <w:pPr>
        <w:pStyle w:val="ListParagraph"/>
        <w:numPr>
          <w:ilvl w:val="0"/>
          <w:numId w:val="622"/>
        </w:numPr>
        <w:tabs>
          <w:tab w:pos="1367" w:val="left" w:leader="none"/>
        </w:tabs>
        <w:spacing w:line="240" w:lineRule="auto" w:before="0" w:after="0"/>
        <w:ind w:left="1367" w:right="0" w:hanging="529"/>
        <w:jc w:val="left"/>
        <w:rPr>
          <w:sz w:val="21"/>
        </w:rPr>
      </w:pPr>
      <w:r>
        <w:rPr>
          <w:spacing w:val="-3"/>
          <w:sz w:val="21"/>
        </w:rPr>
        <w:t>探测器的镜头易被污染。</w:t>
      </w:r>
      <w:r>
        <w:rPr>
          <w:sz w:val="21"/>
        </w:rPr>
        <w:t> </w:t>
      </w:r>
    </w:p>
    <w:p>
      <w:pPr>
        <w:pStyle w:val="BodyText"/>
        <w:spacing w:before="1"/>
        <w:rPr>
          <w:sz w:val="18"/>
        </w:rPr>
      </w:pPr>
    </w:p>
    <w:p>
      <w:pPr>
        <w:pStyle w:val="ListParagraph"/>
        <w:numPr>
          <w:ilvl w:val="0"/>
          <w:numId w:val="622"/>
        </w:numPr>
        <w:tabs>
          <w:tab w:pos="1367" w:val="left" w:leader="none"/>
        </w:tabs>
        <w:spacing w:line="240" w:lineRule="auto" w:before="1" w:after="0"/>
        <w:ind w:left="1367" w:right="0" w:hanging="529"/>
        <w:jc w:val="left"/>
        <w:rPr>
          <w:sz w:val="21"/>
        </w:rPr>
      </w:pPr>
      <w:r>
        <w:rPr>
          <w:spacing w:val="-3"/>
          <w:sz w:val="21"/>
        </w:rPr>
        <w:t>探测器的―视线‖易被油雾、烟雾，水雾和冰雪遮挡。</w:t>
      </w:r>
      <w:r>
        <w:rPr>
          <w:sz w:val="21"/>
        </w:rPr>
        <w:t> </w:t>
      </w:r>
    </w:p>
    <w:p>
      <w:pPr>
        <w:pStyle w:val="BodyText"/>
        <w:spacing w:before="12"/>
        <w:rPr>
          <w:sz w:val="17"/>
        </w:rPr>
      </w:pPr>
    </w:p>
    <w:p>
      <w:pPr>
        <w:pStyle w:val="ListParagraph"/>
        <w:numPr>
          <w:ilvl w:val="0"/>
          <w:numId w:val="622"/>
        </w:numPr>
        <w:tabs>
          <w:tab w:pos="1367" w:val="left" w:leader="none"/>
        </w:tabs>
        <w:spacing w:line="240" w:lineRule="auto" w:before="0" w:after="0"/>
        <w:ind w:left="1367" w:right="0" w:hanging="529"/>
        <w:jc w:val="left"/>
        <w:rPr>
          <w:b/>
          <w:sz w:val="21"/>
        </w:rPr>
      </w:pPr>
      <w:r>
        <w:rPr>
          <w:spacing w:val="-3"/>
          <w:sz w:val="21"/>
        </w:rPr>
        <w:t>探测区域内的可燃物是金属和无机物。</w:t>
      </w:r>
      <w:r>
        <w:rPr>
          <w:b/>
          <w:w w:val="99"/>
          <w:sz w:val="21"/>
        </w:rPr>
        <w:t> </w:t>
      </w:r>
    </w:p>
    <w:p>
      <w:pPr>
        <w:pStyle w:val="BodyText"/>
        <w:spacing w:before="12"/>
        <w:rPr>
          <w:b/>
          <w:sz w:val="17"/>
        </w:rPr>
      </w:pPr>
    </w:p>
    <w:p>
      <w:pPr>
        <w:pStyle w:val="ListParagraph"/>
        <w:numPr>
          <w:ilvl w:val="0"/>
          <w:numId w:val="622"/>
        </w:numPr>
        <w:tabs>
          <w:tab w:pos="1367" w:val="left" w:leader="none"/>
          <w:tab w:pos="6298" w:val="left" w:leader="none"/>
        </w:tabs>
        <w:spacing w:line="240" w:lineRule="auto" w:before="0" w:after="0"/>
        <w:ind w:left="1367" w:right="0" w:hanging="529"/>
        <w:jc w:val="left"/>
        <w:rPr>
          <w:b/>
          <w:sz w:val="21"/>
        </w:rPr>
      </w:pPr>
      <w:r>
        <w:rPr>
          <w:sz w:val="21"/>
        </w:rPr>
        <w:t>探</w:t>
      </w:r>
      <w:r>
        <w:rPr>
          <w:spacing w:val="-3"/>
          <w:sz w:val="21"/>
        </w:rPr>
        <w:t>测</w:t>
      </w:r>
      <w:r>
        <w:rPr>
          <w:sz w:val="21"/>
        </w:rPr>
        <w:t>器</w:t>
      </w:r>
      <w:r>
        <w:rPr>
          <w:spacing w:val="-3"/>
          <w:sz w:val="21"/>
        </w:rPr>
        <w:t>易</w:t>
      </w:r>
      <w:r>
        <w:rPr>
          <w:sz w:val="21"/>
        </w:rPr>
        <w:t>受</w:t>
      </w:r>
      <w:r>
        <w:rPr>
          <w:spacing w:val="-3"/>
          <w:sz w:val="21"/>
        </w:rPr>
        <w:t>阳</w:t>
      </w:r>
      <w:r>
        <w:rPr>
          <w:sz w:val="21"/>
        </w:rPr>
        <w:t>光</w:t>
      </w:r>
      <w:r>
        <w:rPr>
          <w:spacing w:val="-3"/>
          <w:sz w:val="21"/>
        </w:rPr>
        <w:t>、白</w:t>
      </w:r>
      <w:r>
        <w:rPr>
          <w:sz w:val="21"/>
        </w:rPr>
        <w:t>炽灯</w:t>
      </w:r>
      <w:r>
        <w:rPr>
          <w:spacing w:val="-3"/>
          <w:sz w:val="21"/>
        </w:rPr>
        <w:t>等</w:t>
      </w:r>
      <w:r>
        <w:rPr>
          <w:sz w:val="21"/>
        </w:rPr>
        <w:t>光</w:t>
      </w:r>
      <w:r>
        <w:rPr>
          <w:spacing w:val="-3"/>
          <w:sz w:val="21"/>
        </w:rPr>
        <w:t>源</w:t>
      </w:r>
      <w:r>
        <w:rPr>
          <w:sz w:val="21"/>
        </w:rPr>
        <w:t>直</w:t>
      </w:r>
      <w:r>
        <w:rPr>
          <w:spacing w:val="-3"/>
          <w:sz w:val="21"/>
        </w:rPr>
        <w:t>接</w:t>
      </w:r>
      <w:r>
        <w:rPr>
          <w:sz w:val="21"/>
        </w:rPr>
        <w:t>或</w:t>
      </w:r>
      <w:r>
        <w:rPr>
          <w:spacing w:val="-3"/>
          <w:sz w:val="21"/>
        </w:rPr>
        <w:t>间</w:t>
      </w:r>
      <w:r>
        <w:rPr>
          <w:sz w:val="21"/>
        </w:rPr>
        <w:t>接</w:t>
      </w:r>
      <w:r>
        <w:rPr>
          <w:spacing w:val="-3"/>
          <w:sz w:val="21"/>
        </w:rPr>
        <w:t>照</w:t>
      </w:r>
      <w:r>
        <w:rPr>
          <w:sz w:val="21"/>
        </w:rPr>
        <w:t>射</w:t>
      </w:r>
      <w:r>
        <w:rPr>
          <w:spacing w:val="-3"/>
          <w:sz w:val="21"/>
        </w:rPr>
        <w:t>。</w:t>
      </w:r>
      <w:r>
        <w:rPr>
          <w:b/>
          <w:w w:val="99"/>
          <w:sz w:val="21"/>
        </w:rPr>
        <w:t> </w:t>
      </w:r>
      <w:r>
        <w:rPr>
          <w:b/>
          <w:sz w:val="21"/>
        </w:rPr>
        <w:tab/>
      </w:r>
      <w:r>
        <w:rPr>
          <w:b/>
          <w:w w:val="99"/>
          <w:sz w:val="21"/>
        </w:rPr>
        <w:t>  </w:t>
      </w:r>
    </w:p>
    <w:p>
      <w:pPr>
        <w:pStyle w:val="BodyText"/>
        <w:spacing w:before="2"/>
        <w:rPr>
          <w:b/>
          <w:sz w:val="18"/>
        </w:rPr>
      </w:pPr>
    </w:p>
    <w:p>
      <w:pPr>
        <w:pStyle w:val="ListParagraph"/>
        <w:numPr>
          <w:ilvl w:val="2"/>
          <w:numId w:val="615"/>
        </w:numPr>
        <w:tabs>
          <w:tab w:pos="1370" w:val="left" w:leader="none"/>
        </w:tabs>
        <w:spacing w:line="240" w:lineRule="auto" w:before="0" w:after="0"/>
        <w:ind w:left="1369" w:right="0" w:hanging="530"/>
        <w:jc w:val="left"/>
        <w:rPr>
          <w:sz w:val="21"/>
        </w:rPr>
      </w:pPr>
      <w:r>
        <w:rPr>
          <w:spacing w:val="-3"/>
          <w:sz w:val="21"/>
        </w:rPr>
        <w:t>探测区域内正常情况下有高温物体的场所，不宜选择单波段红外火焰探测器。</w:t>
      </w:r>
      <w:r>
        <w:rPr>
          <w:sz w:val="21"/>
        </w:rPr>
        <w:t> </w:t>
      </w:r>
    </w:p>
    <w:p>
      <w:pPr>
        <w:pStyle w:val="BodyText"/>
        <w:rPr>
          <w:sz w:val="18"/>
        </w:rPr>
      </w:pPr>
    </w:p>
    <w:p>
      <w:pPr>
        <w:pStyle w:val="ListParagraph"/>
        <w:numPr>
          <w:ilvl w:val="2"/>
          <w:numId w:val="615"/>
        </w:numPr>
        <w:tabs>
          <w:tab w:pos="1478" w:val="left" w:leader="none"/>
          <w:tab w:pos="2517" w:val="left" w:leader="none"/>
        </w:tabs>
        <w:spacing w:line="446" w:lineRule="auto" w:before="0" w:after="0"/>
        <w:ind w:left="418" w:right="1431" w:firstLine="422"/>
        <w:jc w:val="left"/>
        <w:rPr>
          <w:sz w:val="21"/>
        </w:rPr>
      </w:pPr>
      <w:r>
        <w:rPr>
          <w:sz w:val="21"/>
        </w:rPr>
        <w:t>正</w:t>
      </w:r>
      <w:r>
        <w:rPr>
          <w:spacing w:val="-3"/>
          <w:sz w:val="21"/>
        </w:rPr>
        <w:t>常</w:t>
      </w:r>
      <w:r>
        <w:rPr>
          <w:sz w:val="21"/>
        </w:rPr>
        <w:t>情</w:t>
      </w:r>
      <w:r>
        <w:rPr>
          <w:spacing w:val="-3"/>
          <w:sz w:val="21"/>
        </w:rPr>
        <w:t>况</w:t>
      </w:r>
      <w:r>
        <w:rPr>
          <w:sz w:val="21"/>
        </w:rPr>
        <w:t>下</w:t>
      </w:r>
      <w:r>
        <w:rPr>
          <w:spacing w:val="-3"/>
          <w:sz w:val="21"/>
        </w:rPr>
        <w:t>有</w:t>
      </w:r>
      <w:r>
        <w:rPr>
          <w:sz w:val="21"/>
        </w:rPr>
        <w:t>明</w:t>
      </w:r>
      <w:r>
        <w:rPr>
          <w:spacing w:val="-3"/>
          <w:sz w:val="21"/>
        </w:rPr>
        <w:t>火</w:t>
      </w:r>
      <w:r>
        <w:rPr>
          <w:sz w:val="21"/>
        </w:rPr>
        <w:t>作</w:t>
      </w:r>
      <w:r>
        <w:rPr>
          <w:spacing w:val="-3"/>
          <w:sz w:val="21"/>
        </w:rPr>
        <w:t>业</w:t>
      </w:r>
      <w:r>
        <w:rPr>
          <w:spacing w:val="-13"/>
          <w:sz w:val="21"/>
        </w:rPr>
        <w:t>，</w:t>
      </w:r>
      <w:r>
        <w:rPr>
          <w:spacing w:val="-3"/>
          <w:sz w:val="21"/>
        </w:rPr>
        <w:t>探</w:t>
      </w:r>
      <w:r>
        <w:rPr>
          <w:sz w:val="21"/>
        </w:rPr>
        <w:t>测</w:t>
      </w:r>
      <w:r>
        <w:rPr>
          <w:spacing w:val="-3"/>
          <w:sz w:val="21"/>
        </w:rPr>
        <w:t>器</w:t>
      </w:r>
      <w:r>
        <w:rPr>
          <w:sz w:val="21"/>
        </w:rPr>
        <w:t>易</w:t>
      </w:r>
      <w:r>
        <w:rPr>
          <w:spacing w:val="-3"/>
          <w:sz w:val="21"/>
        </w:rPr>
        <w:t>受</w:t>
      </w:r>
      <w:r>
        <w:rPr>
          <w:spacing w:val="14"/>
          <w:sz w:val="21"/>
        </w:rPr>
        <w:t> </w:t>
      </w:r>
      <w:r>
        <w:rPr>
          <w:sz w:val="21"/>
        </w:rPr>
        <w:t>X</w:t>
      </w:r>
      <w:r>
        <w:rPr>
          <w:spacing w:val="11"/>
          <w:sz w:val="21"/>
        </w:rPr>
        <w:t> </w:t>
      </w:r>
      <w:r>
        <w:rPr>
          <w:sz w:val="21"/>
        </w:rPr>
        <w:t>射</w:t>
      </w:r>
      <w:r>
        <w:rPr>
          <w:spacing w:val="-3"/>
          <w:sz w:val="21"/>
        </w:rPr>
        <w:t>线</w:t>
      </w:r>
      <w:r>
        <w:rPr>
          <w:spacing w:val="-13"/>
          <w:sz w:val="21"/>
        </w:rPr>
        <w:t>、</w:t>
      </w:r>
      <w:r>
        <w:rPr>
          <w:spacing w:val="-3"/>
          <w:sz w:val="21"/>
        </w:rPr>
        <w:t>弧</w:t>
      </w:r>
      <w:r>
        <w:rPr>
          <w:sz w:val="21"/>
        </w:rPr>
        <w:t>光</w:t>
      </w:r>
      <w:r>
        <w:rPr>
          <w:spacing w:val="-3"/>
          <w:sz w:val="21"/>
        </w:rPr>
        <w:t>和</w:t>
      </w:r>
      <w:r>
        <w:rPr>
          <w:sz w:val="21"/>
        </w:rPr>
        <w:t>闪</w:t>
      </w:r>
      <w:r>
        <w:rPr>
          <w:spacing w:val="-3"/>
          <w:sz w:val="21"/>
        </w:rPr>
        <w:t>电</w:t>
      </w:r>
      <w:r>
        <w:rPr>
          <w:sz w:val="21"/>
        </w:rPr>
        <w:t>等</w:t>
      </w:r>
      <w:r>
        <w:rPr>
          <w:spacing w:val="-3"/>
          <w:sz w:val="21"/>
        </w:rPr>
        <w:t>影</w:t>
      </w:r>
      <w:r>
        <w:rPr>
          <w:sz w:val="21"/>
        </w:rPr>
        <w:t>响</w:t>
      </w:r>
      <w:r>
        <w:rPr>
          <w:spacing w:val="-3"/>
          <w:sz w:val="21"/>
        </w:rPr>
        <w:t>的场</w:t>
      </w:r>
      <w:r>
        <w:rPr>
          <w:sz w:val="21"/>
        </w:rPr>
        <w:t>所</w:t>
      </w:r>
      <w:r>
        <w:rPr>
          <w:spacing w:val="-15"/>
          <w:sz w:val="21"/>
        </w:rPr>
        <w:t>，</w:t>
      </w:r>
      <w:r>
        <w:rPr>
          <w:sz w:val="21"/>
        </w:rPr>
        <w:t>不</w:t>
      </w:r>
      <w:r>
        <w:rPr>
          <w:spacing w:val="-3"/>
          <w:sz w:val="21"/>
        </w:rPr>
        <w:t>宜</w:t>
      </w:r>
      <w:r>
        <w:rPr>
          <w:sz w:val="21"/>
        </w:rPr>
        <w:t>选择紫外</w:t>
      </w:r>
      <w:r>
        <w:rPr>
          <w:spacing w:val="-3"/>
          <w:sz w:val="21"/>
        </w:rPr>
        <w:t>火</w:t>
      </w:r>
      <w:r>
        <w:rPr>
          <w:sz w:val="21"/>
        </w:rPr>
        <w:t>焰</w:t>
      </w:r>
      <w:r>
        <w:rPr>
          <w:spacing w:val="-3"/>
          <w:sz w:val="21"/>
        </w:rPr>
        <w:t>探</w:t>
      </w:r>
      <w:r>
        <w:rPr>
          <w:sz w:val="21"/>
        </w:rPr>
        <w:t>测</w:t>
      </w:r>
      <w:r>
        <w:rPr>
          <w:spacing w:val="-3"/>
          <w:sz w:val="21"/>
        </w:rPr>
        <w:t>器。</w:t>
      </w:r>
      <w:r>
        <w:rPr>
          <w:sz w:val="21"/>
        </w:rPr>
        <w:t> </w:t>
        <w:tab/>
      </w:r>
      <w:r>
        <w:rPr>
          <w:w w:val="100"/>
          <w:sz w:val="21"/>
        </w:rPr>
        <w:t>  </w:t>
      </w:r>
    </w:p>
    <w:p>
      <w:pPr>
        <w:pStyle w:val="ListParagraph"/>
        <w:numPr>
          <w:ilvl w:val="2"/>
          <w:numId w:val="615"/>
        </w:numPr>
        <w:tabs>
          <w:tab w:pos="1478" w:val="left" w:leader="none"/>
        </w:tabs>
        <w:spacing w:line="240" w:lineRule="auto" w:before="0" w:after="0"/>
        <w:ind w:left="1477" w:right="0" w:hanging="638"/>
        <w:jc w:val="left"/>
        <w:rPr>
          <w:sz w:val="21"/>
        </w:rPr>
      </w:pPr>
      <w:r>
        <w:rPr>
          <w:spacing w:val="-3"/>
          <w:sz w:val="21"/>
        </w:rPr>
        <w:t>下列场所宜选择可燃气体探测器：</w:t>
      </w:r>
      <w:r>
        <w:rPr>
          <w:sz w:val="21"/>
        </w:rPr>
        <w:t> </w:t>
      </w:r>
    </w:p>
    <w:p>
      <w:pPr>
        <w:pStyle w:val="BodyText"/>
        <w:rPr>
          <w:sz w:val="18"/>
        </w:rPr>
      </w:pPr>
    </w:p>
    <w:p>
      <w:pPr>
        <w:pStyle w:val="ListParagraph"/>
        <w:numPr>
          <w:ilvl w:val="0"/>
          <w:numId w:val="623"/>
        </w:numPr>
        <w:tabs>
          <w:tab w:pos="1367" w:val="left" w:leader="none"/>
        </w:tabs>
        <w:spacing w:line="240" w:lineRule="auto" w:before="0" w:after="0"/>
        <w:ind w:left="1367" w:right="0" w:hanging="529"/>
        <w:jc w:val="left"/>
        <w:rPr>
          <w:b/>
          <w:sz w:val="21"/>
        </w:rPr>
      </w:pPr>
      <w:r>
        <w:rPr>
          <w:spacing w:val="-3"/>
          <w:sz w:val="21"/>
        </w:rPr>
        <w:t>使用可燃气体的场所。</w:t>
      </w:r>
      <w:r>
        <w:rPr>
          <w:b/>
          <w:spacing w:val="-3"/>
          <w:w w:val="99"/>
          <w:sz w:val="21"/>
        </w:rPr>
        <w:t> </w:t>
      </w:r>
    </w:p>
    <w:p>
      <w:pPr>
        <w:pStyle w:val="BodyText"/>
        <w:spacing w:before="12"/>
        <w:rPr>
          <w:b/>
          <w:sz w:val="17"/>
        </w:rPr>
      </w:pPr>
    </w:p>
    <w:p>
      <w:pPr>
        <w:pStyle w:val="ListParagraph"/>
        <w:numPr>
          <w:ilvl w:val="0"/>
          <w:numId w:val="623"/>
        </w:numPr>
        <w:tabs>
          <w:tab w:pos="1367" w:val="left" w:leader="none"/>
        </w:tabs>
        <w:spacing w:line="240" w:lineRule="auto" w:before="0" w:after="0"/>
        <w:ind w:left="1367" w:right="0" w:hanging="529"/>
        <w:jc w:val="left"/>
        <w:rPr>
          <w:b/>
          <w:sz w:val="21"/>
        </w:rPr>
      </w:pPr>
      <w:r>
        <w:rPr>
          <w:spacing w:val="-3"/>
          <w:sz w:val="21"/>
        </w:rPr>
        <w:t>燃气站和燃气表房以及存储液化石油气罐的场所。</w:t>
      </w:r>
      <w:r>
        <w:rPr>
          <w:b/>
          <w:w w:val="99"/>
          <w:sz w:val="21"/>
        </w:rPr>
        <w:t> </w:t>
      </w:r>
    </w:p>
    <w:p>
      <w:pPr>
        <w:pStyle w:val="BodyText"/>
        <w:spacing w:before="2"/>
        <w:rPr>
          <w:b/>
          <w:sz w:val="18"/>
        </w:rPr>
      </w:pPr>
    </w:p>
    <w:p>
      <w:pPr>
        <w:pStyle w:val="ListParagraph"/>
        <w:numPr>
          <w:ilvl w:val="0"/>
          <w:numId w:val="623"/>
        </w:numPr>
        <w:tabs>
          <w:tab w:pos="1367" w:val="left" w:leader="none"/>
        </w:tabs>
        <w:spacing w:line="240" w:lineRule="auto" w:before="0" w:after="0"/>
        <w:ind w:left="1367" w:right="0" w:hanging="529"/>
        <w:jc w:val="left"/>
        <w:rPr>
          <w:b/>
          <w:sz w:val="21"/>
        </w:rPr>
      </w:pPr>
      <w:r>
        <w:rPr>
          <w:spacing w:val="-3"/>
          <w:sz w:val="21"/>
        </w:rPr>
        <w:t>其他散发可燃气体和可燃蒸气的场所。</w:t>
      </w:r>
      <w:r>
        <w:rPr>
          <w:b/>
          <w:w w:val="99"/>
          <w:sz w:val="21"/>
        </w:rPr>
        <w:t>   </w:t>
      </w:r>
    </w:p>
    <w:p>
      <w:pPr>
        <w:pStyle w:val="BodyText"/>
        <w:rPr>
          <w:b/>
          <w:sz w:val="18"/>
        </w:rPr>
      </w:pPr>
    </w:p>
    <w:p>
      <w:pPr>
        <w:pStyle w:val="ListParagraph"/>
        <w:numPr>
          <w:ilvl w:val="2"/>
          <w:numId w:val="615"/>
        </w:numPr>
        <w:tabs>
          <w:tab w:pos="1478" w:val="left" w:leader="none"/>
        </w:tabs>
        <w:spacing w:line="240" w:lineRule="auto" w:before="0" w:after="0"/>
        <w:ind w:left="1477" w:right="0" w:hanging="638"/>
        <w:jc w:val="left"/>
        <w:rPr>
          <w:sz w:val="21"/>
        </w:rPr>
      </w:pPr>
      <w:r>
        <w:rPr>
          <w:spacing w:val="-3"/>
          <w:sz w:val="21"/>
        </w:rPr>
        <w:t>在火灾初期产生一氧化碳的下列场所可选择点型一氧化碳火灾探测器： </w:t>
      </w:r>
    </w:p>
    <w:p>
      <w:pPr>
        <w:pStyle w:val="BodyText"/>
        <w:spacing w:before="12"/>
        <w:rPr>
          <w:sz w:val="17"/>
        </w:rPr>
      </w:pPr>
    </w:p>
    <w:p>
      <w:pPr>
        <w:pStyle w:val="ListParagraph"/>
        <w:numPr>
          <w:ilvl w:val="0"/>
          <w:numId w:val="624"/>
        </w:numPr>
        <w:tabs>
          <w:tab w:pos="1367" w:val="left" w:leader="none"/>
        </w:tabs>
        <w:spacing w:line="240" w:lineRule="auto" w:before="0" w:after="0"/>
        <w:ind w:left="1367" w:right="0" w:hanging="529"/>
        <w:jc w:val="left"/>
        <w:rPr>
          <w:b/>
          <w:sz w:val="21"/>
        </w:rPr>
      </w:pPr>
      <w:r>
        <w:rPr>
          <w:spacing w:val="-3"/>
          <w:sz w:val="21"/>
        </w:rPr>
        <w:t>烟不容易对流或顶棚下方有热屏障的场所。</w:t>
      </w:r>
      <w:r>
        <w:rPr>
          <w:b/>
          <w:w w:val="99"/>
          <w:sz w:val="21"/>
        </w:rPr>
        <w:t> </w:t>
      </w:r>
    </w:p>
    <w:p>
      <w:pPr>
        <w:pStyle w:val="BodyText"/>
        <w:spacing w:before="2"/>
        <w:rPr>
          <w:b/>
          <w:sz w:val="18"/>
        </w:rPr>
      </w:pPr>
    </w:p>
    <w:p>
      <w:pPr>
        <w:pStyle w:val="ListParagraph"/>
        <w:numPr>
          <w:ilvl w:val="0"/>
          <w:numId w:val="624"/>
        </w:numPr>
        <w:tabs>
          <w:tab w:pos="1367" w:val="left" w:leader="none"/>
        </w:tabs>
        <w:spacing w:line="240" w:lineRule="auto" w:before="0" w:after="0"/>
        <w:ind w:left="1367" w:right="0" w:hanging="529"/>
        <w:jc w:val="left"/>
        <w:rPr>
          <w:b/>
          <w:sz w:val="21"/>
        </w:rPr>
      </w:pPr>
      <w:r>
        <w:rPr>
          <w:spacing w:val="-3"/>
          <w:sz w:val="21"/>
        </w:rPr>
        <w:t>在棚顶上无法安装其他点型火灾测器的场所。</w:t>
      </w:r>
      <w:r>
        <w:rPr>
          <w:b/>
          <w:w w:val="99"/>
          <w:sz w:val="21"/>
        </w:rPr>
        <w:t> </w:t>
      </w:r>
    </w:p>
    <w:p>
      <w:pPr>
        <w:pStyle w:val="BodyText"/>
        <w:spacing w:before="12"/>
        <w:rPr>
          <w:b/>
          <w:sz w:val="17"/>
        </w:rPr>
      </w:pPr>
    </w:p>
    <w:p>
      <w:pPr>
        <w:pStyle w:val="ListParagraph"/>
        <w:numPr>
          <w:ilvl w:val="0"/>
          <w:numId w:val="624"/>
        </w:numPr>
        <w:tabs>
          <w:tab w:pos="1367" w:val="left" w:leader="none"/>
        </w:tabs>
        <w:spacing w:line="240" w:lineRule="auto" w:before="0" w:after="0"/>
        <w:ind w:left="1367" w:right="0" w:hanging="529"/>
        <w:jc w:val="left"/>
        <w:rPr>
          <w:b/>
          <w:sz w:val="21"/>
        </w:rPr>
      </w:pPr>
      <w:r>
        <w:rPr>
          <w:spacing w:val="-3"/>
          <w:sz w:val="21"/>
        </w:rPr>
        <w:t>需要多信号复合报警的场所。</w:t>
      </w:r>
      <w:r>
        <w:rPr>
          <w:b/>
          <w:w w:val="99"/>
          <w:sz w:val="21"/>
        </w:rPr>
        <w:t>   </w:t>
      </w:r>
    </w:p>
    <w:p>
      <w:pPr>
        <w:pStyle w:val="BodyText"/>
        <w:rPr>
          <w:b/>
          <w:sz w:val="18"/>
        </w:rPr>
      </w:pPr>
    </w:p>
    <w:p>
      <w:pPr>
        <w:pStyle w:val="ListParagraph"/>
        <w:numPr>
          <w:ilvl w:val="2"/>
          <w:numId w:val="615"/>
        </w:numPr>
        <w:tabs>
          <w:tab w:pos="1478" w:val="left" w:leader="none"/>
        </w:tabs>
        <w:spacing w:line="446" w:lineRule="auto" w:before="0" w:after="0"/>
        <w:ind w:left="418" w:right="1434" w:firstLine="422"/>
        <w:jc w:val="left"/>
        <w:rPr>
          <w:sz w:val="21"/>
        </w:rPr>
      </w:pPr>
      <w:r>
        <w:rPr>
          <w:spacing w:val="-3"/>
          <w:sz w:val="21"/>
        </w:rPr>
        <w:t>污物较多且必须安装感烟火灾探测器的场所，应选择间断吸气的点型采样吸气式感 烟火灾探测器或具有过滤网和管路自清洗功能的管路采样吸气式感烟火灾探测器。</w:t>
      </w:r>
      <w:r>
        <w:rPr>
          <w:sz w:val="21"/>
        </w:rPr>
        <w:t> </w:t>
      </w:r>
    </w:p>
    <w:p>
      <w:pPr>
        <w:pStyle w:val="ListParagraph"/>
        <w:numPr>
          <w:ilvl w:val="1"/>
          <w:numId w:val="615"/>
        </w:numPr>
        <w:tabs>
          <w:tab w:pos="1160" w:val="left" w:leader="none"/>
        </w:tabs>
        <w:spacing w:line="240" w:lineRule="auto" w:before="0" w:after="0"/>
        <w:ind w:left="1159" w:right="0" w:hanging="320"/>
        <w:jc w:val="left"/>
        <w:rPr>
          <w:sz w:val="21"/>
        </w:rPr>
      </w:pPr>
      <w:r>
        <w:rPr>
          <w:spacing w:val="-3"/>
          <w:sz w:val="21"/>
        </w:rPr>
        <w:t>线型火灾探测器的选择 </w:t>
      </w:r>
    </w:p>
    <w:p>
      <w:pPr>
        <w:pStyle w:val="BodyText"/>
        <w:rPr>
          <w:sz w:val="18"/>
        </w:rPr>
      </w:pPr>
    </w:p>
    <w:p>
      <w:pPr>
        <w:pStyle w:val="ListParagraph"/>
        <w:numPr>
          <w:ilvl w:val="2"/>
          <w:numId w:val="615"/>
        </w:numPr>
        <w:tabs>
          <w:tab w:pos="1371" w:val="left" w:leader="none"/>
        </w:tabs>
        <w:spacing w:line="240" w:lineRule="auto" w:before="0" w:after="0"/>
        <w:ind w:left="1370" w:right="0" w:hanging="531"/>
        <w:jc w:val="left"/>
        <w:rPr>
          <w:sz w:val="21"/>
        </w:rPr>
      </w:pPr>
      <w:r>
        <w:rPr>
          <w:spacing w:val="-3"/>
          <w:sz w:val="21"/>
        </w:rPr>
        <w:t>无遮挡的大空间或有特殊要求的房间，宜选择线型光束感烟火灾探测器。 </w:t>
      </w:r>
      <w:r>
        <w:rPr>
          <w:spacing w:val="-9"/>
          <w:sz w:val="21"/>
        </w:rPr>
        <w:t> </w:t>
      </w:r>
      <w:r>
        <w:rPr>
          <w:w w:val="100"/>
          <w:sz w:val="21"/>
        </w:rPr>
        <w:t>  </w:t>
      </w:r>
    </w:p>
    <w:p>
      <w:pPr>
        <w:pStyle w:val="BodyText"/>
        <w:spacing w:before="2"/>
        <w:rPr>
          <w:sz w:val="18"/>
        </w:rPr>
      </w:pPr>
    </w:p>
    <w:p>
      <w:pPr>
        <w:pStyle w:val="ListParagraph"/>
        <w:numPr>
          <w:ilvl w:val="2"/>
          <w:numId w:val="615"/>
        </w:numPr>
        <w:tabs>
          <w:tab w:pos="1370" w:val="left" w:leader="none"/>
        </w:tabs>
        <w:spacing w:line="240" w:lineRule="auto" w:before="0" w:after="0"/>
        <w:ind w:left="1369" w:right="0" w:hanging="530"/>
        <w:jc w:val="left"/>
        <w:rPr>
          <w:sz w:val="21"/>
        </w:rPr>
      </w:pPr>
      <w:r>
        <w:rPr>
          <w:spacing w:val="-3"/>
          <w:sz w:val="21"/>
        </w:rPr>
        <w:t>符合下列条件之一的场所，不宜选择线型光束感烟火灾探测器：</w:t>
      </w:r>
      <w:r>
        <w:rPr>
          <w:sz w:val="21"/>
        </w:rPr>
        <w:t> </w:t>
      </w:r>
    </w:p>
    <w:p>
      <w:pPr>
        <w:pStyle w:val="BodyText"/>
        <w:spacing w:before="12"/>
        <w:rPr>
          <w:sz w:val="17"/>
        </w:rPr>
      </w:pPr>
    </w:p>
    <w:p>
      <w:pPr>
        <w:pStyle w:val="ListParagraph"/>
        <w:numPr>
          <w:ilvl w:val="0"/>
          <w:numId w:val="625"/>
        </w:numPr>
        <w:tabs>
          <w:tab w:pos="1367" w:val="left" w:leader="none"/>
        </w:tabs>
        <w:spacing w:line="240" w:lineRule="auto" w:before="0" w:after="0"/>
        <w:ind w:left="1367" w:right="0" w:hanging="529"/>
        <w:jc w:val="left"/>
        <w:rPr>
          <w:b/>
          <w:sz w:val="21"/>
        </w:rPr>
      </w:pPr>
      <w:r>
        <w:rPr>
          <w:spacing w:val="-3"/>
          <w:sz w:val="21"/>
        </w:rPr>
        <w:t>有大量粉尘、水雾滞留。</w:t>
      </w:r>
      <w:r>
        <w:rPr>
          <w:b/>
          <w:w w:val="99"/>
          <w:sz w:val="21"/>
        </w:rPr>
        <w:t> </w:t>
      </w:r>
    </w:p>
    <w:p>
      <w:pPr>
        <w:pStyle w:val="BodyText"/>
        <w:spacing w:before="12"/>
        <w:rPr>
          <w:b/>
          <w:sz w:val="17"/>
        </w:rPr>
      </w:pPr>
    </w:p>
    <w:p>
      <w:pPr>
        <w:pStyle w:val="ListParagraph"/>
        <w:numPr>
          <w:ilvl w:val="0"/>
          <w:numId w:val="625"/>
        </w:numPr>
        <w:tabs>
          <w:tab w:pos="1367" w:val="left" w:leader="none"/>
        </w:tabs>
        <w:spacing w:line="240" w:lineRule="auto" w:before="0" w:after="0"/>
        <w:ind w:left="1367" w:right="0" w:hanging="529"/>
        <w:jc w:val="left"/>
        <w:rPr>
          <w:sz w:val="21"/>
        </w:rPr>
      </w:pPr>
      <w:r>
        <w:rPr>
          <w:spacing w:val="-3"/>
          <w:sz w:val="21"/>
        </w:rPr>
        <w:t>可能产生蒸气和油雾。 </w:t>
      </w:r>
    </w:p>
    <w:p>
      <w:pPr>
        <w:pStyle w:val="BodyText"/>
        <w:spacing w:before="2"/>
        <w:rPr>
          <w:sz w:val="18"/>
        </w:rPr>
      </w:pPr>
    </w:p>
    <w:p>
      <w:pPr>
        <w:pStyle w:val="ListParagraph"/>
        <w:numPr>
          <w:ilvl w:val="0"/>
          <w:numId w:val="625"/>
        </w:numPr>
        <w:tabs>
          <w:tab w:pos="1367" w:val="left" w:leader="none"/>
        </w:tabs>
        <w:spacing w:line="240" w:lineRule="auto" w:before="0" w:after="0"/>
        <w:ind w:left="1367" w:right="0" w:hanging="529"/>
        <w:jc w:val="left"/>
        <w:rPr>
          <w:sz w:val="21"/>
        </w:rPr>
      </w:pPr>
      <w:r>
        <w:rPr>
          <w:spacing w:val="-3"/>
          <w:sz w:val="21"/>
        </w:rPr>
        <w:t>在正常情况下有烟滞留。</w:t>
      </w:r>
      <w:r>
        <w:rPr>
          <w:sz w:val="21"/>
        </w:rPr>
        <w:t> </w:t>
      </w:r>
    </w:p>
    <w:p>
      <w:pPr>
        <w:pStyle w:val="BodyText"/>
        <w:rPr>
          <w:sz w:val="18"/>
        </w:rPr>
      </w:pPr>
    </w:p>
    <w:p>
      <w:pPr>
        <w:pStyle w:val="ListParagraph"/>
        <w:numPr>
          <w:ilvl w:val="0"/>
          <w:numId w:val="625"/>
        </w:numPr>
        <w:tabs>
          <w:tab w:pos="1367" w:val="left" w:leader="none"/>
          <w:tab w:pos="7558" w:val="left" w:leader="none"/>
        </w:tabs>
        <w:spacing w:line="240" w:lineRule="auto" w:before="0" w:after="0"/>
        <w:ind w:left="1367" w:right="0" w:hanging="529"/>
        <w:jc w:val="left"/>
        <w:rPr>
          <w:sz w:val="21"/>
        </w:rPr>
      </w:pPr>
      <w:r>
        <w:rPr>
          <w:sz w:val="21"/>
        </w:rPr>
        <w:t>固</w:t>
      </w:r>
      <w:r>
        <w:rPr>
          <w:spacing w:val="-3"/>
          <w:sz w:val="21"/>
        </w:rPr>
        <w:t>定</w:t>
      </w:r>
      <w:r>
        <w:rPr>
          <w:sz w:val="21"/>
        </w:rPr>
        <w:t>探</w:t>
      </w:r>
      <w:r>
        <w:rPr>
          <w:spacing w:val="-3"/>
          <w:sz w:val="21"/>
        </w:rPr>
        <w:t>测</w:t>
      </w:r>
      <w:r>
        <w:rPr>
          <w:sz w:val="21"/>
        </w:rPr>
        <w:t>器</w:t>
      </w:r>
      <w:r>
        <w:rPr>
          <w:spacing w:val="-3"/>
          <w:sz w:val="21"/>
        </w:rPr>
        <w:t>的</w:t>
      </w:r>
      <w:r>
        <w:rPr>
          <w:sz w:val="21"/>
        </w:rPr>
        <w:t>建</w:t>
      </w:r>
      <w:r>
        <w:rPr>
          <w:spacing w:val="-3"/>
          <w:sz w:val="21"/>
        </w:rPr>
        <w:t>筑结</w:t>
      </w:r>
      <w:r>
        <w:rPr>
          <w:sz w:val="21"/>
        </w:rPr>
        <w:t>构由</w:t>
      </w:r>
      <w:r>
        <w:rPr>
          <w:spacing w:val="-3"/>
          <w:sz w:val="21"/>
        </w:rPr>
        <w:t>于</w:t>
      </w:r>
      <w:r>
        <w:rPr>
          <w:sz w:val="21"/>
        </w:rPr>
        <w:t>振</w:t>
      </w:r>
      <w:r>
        <w:rPr>
          <w:spacing w:val="-3"/>
          <w:sz w:val="21"/>
        </w:rPr>
        <w:t>动</w:t>
      </w:r>
      <w:r>
        <w:rPr>
          <w:sz w:val="21"/>
        </w:rPr>
        <w:t>等</w:t>
      </w:r>
      <w:r>
        <w:rPr>
          <w:spacing w:val="-3"/>
          <w:sz w:val="21"/>
        </w:rPr>
        <w:t>原</w:t>
      </w:r>
      <w:r>
        <w:rPr>
          <w:sz w:val="21"/>
        </w:rPr>
        <w:t>因</w:t>
      </w:r>
      <w:r>
        <w:rPr>
          <w:spacing w:val="-3"/>
          <w:sz w:val="21"/>
        </w:rPr>
        <w:t>会</w:t>
      </w:r>
      <w:r>
        <w:rPr>
          <w:sz w:val="21"/>
        </w:rPr>
        <w:t>产</w:t>
      </w:r>
      <w:r>
        <w:rPr>
          <w:spacing w:val="-3"/>
          <w:sz w:val="21"/>
        </w:rPr>
        <w:t>生</w:t>
      </w:r>
      <w:r>
        <w:rPr>
          <w:sz w:val="21"/>
        </w:rPr>
        <w:t>较大</w:t>
      </w:r>
      <w:r>
        <w:rPr>
          <w:spacing w:val="-3"/>
          <w:sz w:val="21"/>
        </w:rPr>
        <w:t>位</w:t>
      </w:r>
      <w:r>
        <w:rPr>
          <w:sz w:val="21"/>
        </w:rPr>
        <w:t>移</w:t>
      </w:r>
      <w:r>
        <w:rPr>
          <w:spacing w:val="-3"/>
          <w:sz w:val="21"/>
        </w:rPr>
        <w:t>的</w:t>
      </w:r>
      <w:r>
        <w:rPr>
          <w:sz w:val="21"/>
        </w:rPr>
        <w:t>场</w:t>
      </w:r>
      <w:r>
        <w:rPr>
          <w:spacing w:val="-3"/>
          <w:sz w:val="21"/>
        </w:rPr>
        <w:t>所。</w:t>
      </w:r>
      <w:r>
        <w:rPr>
          <w:sz w:val="21"/>
        </w:rPr>
        <w:t> </w:t>
        <w:tab/>
      </w:r>
      <w:r>
        <w:rPr>
          <w:w w:val="100"/>
          <w:sz w:val="21"/>
        </w:rPr>
        <w:t>  </w:t>
      </w:r>
    </w:p>
    <w:p>
      <w:pPr>
        <w:pStyle w:val="BodyText"/>
        <w:rPr>
          <w:sz w:val="18"/>
        </w:rPr>
      </w:pPr>
    </w:p>
    <w:p>
      <w:pPr>
        <w:pStyle w:val="ListParagraph"/>
        <w:numPr>
          <w:ilvl w:val="2"/>
          <w:numId w:val="615"/>
        </w:numPr>
        <w:tabs>
          <w:tab w:pos="1424" w:val="left" w:leader="none"/>
        </w:tabs>
        <w:spacing w:line="240" w:lineRule="auto" w:before="0" w:after="0"/>
        <w:ind w:left="1423" w:right="0" w:hanging="584"/>
        <w:jc w:val="left"/>
        <w:rPr>
          <w:sz w:val="21"/>
        </w:rPr>
      </w:pPr>
      <w:r>
        <w:rPr>
          <w:spacing w:val="-3"/>
          <w:sz w:val="21"/>
        </w:rPr>
        <w:t>下列场所或部位，宜选择缆式线型感温火灾探测器：</w:t>
      </w:r>
      <w:r>
        <w:rPr>
          <w:sz w:val="21"/>
        </w:rPr>
        <w:t> </w:t>
      </w:r>
    </w:p>
    <w:p>
      <w:pPr>
        <w:pStyle w:val="BodyText"/>
        <w:spacing w:before="2"/>
        <w:rPr>
          <w:sz w:val="18"/>
        </w:rPr>
      </w:pPr>
    </w:p>
    <w:p>
      <w:pPr>
        <w:pStyle w:val="ListParagraph"/>
        <w:numPr>
          <w:ilvl w:val="0"/>
          <w:numId w:val="626"/>
        </w:numPr>
        <w:tabs>
          <w:tab w:pos="1367" w:val="left" w:leader="none"/>
        </w:tabs>
        <w:spacing w:line="240" w:lineRule="auto" w:before="0" w:after="0"/>
        <w:ind w:left="1367" w:right="0" w:hanging="529"/>
        <w:jc w:val="left"/>
        <w:rPr>
          <w:b/>
          <w:sz w:val="21"/>
        </w:rPr>
      </w:pPr>
      <w:r>
        <w:rPr>
          <w:spacing w:val="-3"/>
          <w:sz w:val="21"/>
        </w:rPr>
        <w:t>电缆隧道、电缆竖井、电缆夹层、电缆桥架。</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626"/>
        </w:numPr>
        <w:tabs>
          <w:tab w:pos="1367" w:val="left" w:leader="none"/>
        </w:tabs>
        <w:spacing w:line="240" w:lineRule="auto" w:before="47" w:after="0"/>
        <w:ind w:left="1367" w:right="0" w:hanging="529"/>
        <w:jc w:val="left"/>
        <w:rPr>
          <w:b/>
          <w:sz w:val="21"/>
        </w:rPr>
      </w:pPr>
      <w:r>
        <w:rPr>
          <w:spacing w:val="-3"/>
          <w:sz w:val="21"/>
        </w:rPr>
        <w:t>不易安装点型探测器的夹层、闷顶。</w:t>
      </w:r>
      <w:r>
        <w:rPr>
          <w:b/>
          <w:w w:val="99"/>
          <w:sz w:val="21"/>
        </w:rPr>
        <w:t> </w:t>
      </w:r>
    </w:p>
    <w:p>
      <w:pPr>
        <w:pStyle w:val="BodyText"/>
        <w:rPr>
          <w:b/>
          <w:sz w:val="18"/>
        </w:rPr>
      </w:pPr>
    </w:p>
    <w:p>
      <w:pPr>
        <w:pStyle w:val="ListParagraph"/>
        <w:numPr>
          <w:ilvl w:val="0"/>
          <w:numId w:val="626"/>
        </w:numPr>
        <w:tabs>
          <w:tab w:pos="1367" w:val="left" w:leader="none"/>
        </w:tabs>
        <w:spacing w:line="240" w:lineRule="auto" w:before="0" w:after="0"/>
        <w:ind w:left="1367" w:right="0" w:hanging="529"/>
        <w:jc w:val="left"/>
        <w:rPr>
          <w:b/>
          <w:sz w:val="21"/>
        </w:rPr>
      </w:pPr>
      <w:r>
        <w:rPr>
          <w:spacing w:val="-3"/>
          <w:sz w:val="21"/>
        </w:rPr>
        <w:t>各种皮带输送装置。</w:t>
      </w:r>
      <w:r>
        <w:rPr>
          <w:b/>
          <w:w w:val="99"/>
          <w:sz w:val="21"/>
        </w:rPr>
        <w:t> </w:t>
      </w:r>
    </w:p>
    <w:p>
      <w:pPr>
        <w:pStyle w:val="BodyText"/>
        <w:rPr>
          <w:b/>
          <w:sz w:val="18"/>
        </w:rPr>
      </w:pPr>
    </w:p>
    <w:p>
      <w:pPr>
        <w:pStyle w:val="ListParagraph"/>
        <w:numPr>
          <w:ilvl w:val="0"/>
          <w:numId w:val="626"/>
        </w:numPr>
        <w:tabs>
          <w:tab w:pos="1367" w:val="left" w:leader="none"/>
          <w:tab w:pos="5878" w:val="left" w:leader="none"/>
        </w:tabs>
        <w:spacing w:line="446" w:lineRule="auto" w:before="0" w:after="0"/>
        <w:ind w:left="840" w:right="4232" w:hanging="3"/>
        <w:jc w:val="left"/>
        <w:rPr>
          <w:sz w:val="21"/>
        </w:rPr>
      </w:pPr>
      <w:r>
        <w:rPr>
          <w:sz w:val="21"/>
        </w:rPr>
        <w:t>其</w:t>
      </w:r>
      <w:r>
        <w:rPr>
          <w:spacing w:val="-3"/>
          <w:sz w:val="21"/>
        </w:rPr>
        <w:t>他</w:t>
      </w:r>
      <w:r>
        <w:rPr>
          <w:sz w:val="21"/>
        </w:rPr>
        <w:t>环</w:t>
      </w:r>
      <w:r>
        <w:rPr>
          <w:spacing w:val="-3"/>
          <w:sz w:val="21"/>
        </w:rPr>
        <w:t>境</w:t>
      </w:r>
      <w:r>
        <w:rPr>
          <w:sz w:val="21"/>
        </w:rPr>
        <w:t>恶</w:t>
      </w:r>
      <w:r>
        <w:rPr>
          <w:spacing w:val="-3"/>
          <w:sz w:val="21"/>
        </w:rPr>
        <w:t>劣</w:t>
      </w:r>
      <w:r>
        <w:rPr>
          <w:sz w:val="21"/>
        </w:rPr>
        <w:t>不</w:t>
      </w:r>
      <w:r>
        <w:rPr>
          <w:spacing w:val="-3"/>
          <w:sz w:val="21"/>
        </w:rPr>
        <w:t>适合</w:t>
      </w:r>
      <w:r>
        <w:rPr>
          <w:sz w:val="21"/>
        </w:rPr>
        <w:t>点型</w:t>
      </w:r>
      <w:r>
        <w:rPr>
          <w:spacing w:val="-3"/>
          <w:sz w:val="21"/>
        </w:rPr>
        <w:t>探</w:t>
      </w:r>
      <w:r>
        <w:rPr>
          <w:sz w:val="21"/>
        </w:rPr>
        <w:t>测</w:t>
      </w:r>
      <w:r>
        <w:rPr>
          <w:spacing w:val="-3"/>
          <w:sz w:val="21"/>
        </w:rPr>
        <w:t>器</w:t>
      </w:r>
      <w:r>
        <w:rPr>
          <w:sz w:val="21"/>
        </w:rPr>
        <w:t>安</w:t>
      </w:r>
      <w:r>
        <w:rPr>
          <w:spacing w:val="-3"/>
          <w:sz w:val="21"/>
        </w:rPr>
        <w:t>装</w:t>
      </w:r>
      <w:r>
        <w:rPr>
          <w:sz w:val="21"/>
        </w:rPr>
        <w:t>的</w:t>
      </w:r>
      <w:r>
        <w:rPr>
          <w:spacing w:val="-3"/>
          <w:sz w:val="21"/>
        </w:rPr>
        <w:t>场</w:t>
      </w:r>
      <w:r>
        <w:rPr>
          <w:sz w:val="21"/>
        </w:rPr>
        <w:t>所</w:t>
      </w:r>
      <w:r>
        <w:rPr>
          <w:spacing w:val="-3"/>
          <w:sz w:val="21"/>
        </w:rPr>
        <w:t>。</w:t>
        <w:tab/>
      </w:r>
      <w:r>
        <w:rPr>
          <w:sz w:val="21"/>
        </w:rPr>
        <w:t> </w:t>
      </w:r>
      <w:r>
        <w:rPr>
          <w:b/>
          <w:w w:val="95"/>
          <w:sz w:val="21"/>
        </w:rPr>
        <w:t>5.3.4</w:t>
      </w:r>
      <w:r>
        <w:rPr>
          <w:b/>
          <w:spacing w:val="32"/>
          <w:w w:val="95"/>
          <w:sz w:val="21"/>
        </w:rPr>
        <w:t> </w:t>
      </w:r>
      <w:r>
        <w:rPr>
          <w:spacing w:val="-3"/>
          <w:sz w:val="21"/>
        </w:rPr>
        <w:t>下</w:t>
      </w:r>
      <w:r>
        <w:rPr>
          <w:sz w:val="21"/>
        </w:rPr>
        <w:t>列</w:t>
      </w:r>
      <w:r>
        <w:rPr>
          <w:spacing w:val="-3"/>
          <w:sz w:val="21"/>
        </w:rPr>
        <w:t>场</w:t>
      </w:r>
      <w:r>
        <w:rPr>
          <w:sz w:val="21"/>
        </w:rPr>
        <w:t>所</w:t>
      </w:r>
      <w:r>
        <w:rPr>
          <w:spacing w:val="-3"/>
          <w:sz w:val="21"/>
        </w:rPr>
        <w:t>或</w:t>
      </w:r>
      <w:r>
        <w:rPr>
          <w:sz w:val="21"/>
        </w:rPr>
        <w:t>部</w:t>
      </w:r>
      <w:r>
        <w:rPr>
          <w:spacing w:val="-3"/>
          <w:sz w:val="21"/>
        </w:rPr>
        <w:t>位，</w:t>
      </w:r>
      <w:r>
        <w:rPr>
          <w:sz w:val="21"/>
        </w:rPr>
        <w:t>宜选</w:t>
      </w:r>
      <w:r>
        <w:rPr>
          <w:spacing w:val="-3"/>
          <w:sz w:val="21"/>
        </w:rPr>
        <w:t>择</w:t>
      </w:r>
      <w:r>
        <w:rPr>
          <w:sz w:val="21"/>
        </w:rPr>
        <w:t>线</w:t>
      </w:r>
      <w:r>
        <w:rPr>
          <w:spacing w:val="-3"/>
          <w:sz w:val="21"/>
        </w:rPr>
        <w:t>型</w:t>
      </w:r>
      <w:r>
        <w:rPr>
          <w:sz w:val="21"/>
        </w:rPr>
        <w:t>光</w:t>
      </w:r>
      <w:r>
        <w:rPr>
          <w:spacing w:val="-3"/>
          <w:sz w:val="21"/>
        </w:rPr>
        <w:t>纤</w:t>
      </w:r>
      <w:r>
        <w:rPr>
          <w:sz w:val="21"/>
        </w:rPr>
        <w:t>感</w:t>
      </w:r>
      <w:r>
        <w:rPr>
          <w:spacing w:val="-3"/>
          <w:sz w:val="21"/>
        </w:rPr>
        <w:t>温</w:t>
      </w:r>
      <w:r>
        <w:rPr>
          <w:sz w:val="21"/>
        </w:rPr>
        <w:t>火</w:t>
      </w:r>
      <w:r>
        <w:rPr>
          <w:spacing w:val="-3"/>
          <w:sz w:val="21"/>
        </w:rPr>
        <w:t>灾</w:t>
      </w:r>
      <w:r>
        <w:rPr>
          <w:sz w:val="21"/>
        </w:rPr>
        <w:t>探测</w:t>
      </w:r>
      <w:r>
        <w:rPr>
          <w:spacing w:val="-3"/>
          <w:sz w:val="21"/>
        </w:rPr>
        <w:t>器：</w:t>
      </w:r>
      <w:r>
        <w:rPr>
          <w:sz w:val="21"/>
        </w:rPr>
        <w:t> </w:t>
      </w:r>
    </w:p>
    <w:p>
      <w:pPr>
        <w:pStyle w:val="ListParagraph"/>
        <w:numPr>
          <w:ilvl w:val="0"/>
          <w:numId w:val="627"/>
        </w:numPr>
        <w:tabs>
          <w:tab w:pos="1367" w:val="left" w:leader="none"/>
        </w:tabs>
        <w:spacing w:line="240" w:lineRule="auto" w:before="0" w:after="0"/>
        <w:ind w:left="1367" w:right="0" w:hanging="529"/>
        <w:jc w:val="left"/>
        <w:rPr>
          <w:sz w:val="21"/>
        </w:rPr>
      </w:pPr>
      <w:r>
        <w:rPr>
          <w:spacing w:val="-3"/>
          <w:sz w:val="21"/>
        </w:rPr>
        <w:t>除液化石油气外的石油储罐。</w:t>
      </w:r>
      <w:r>
        <w:rPr>
          <w:sz w:val="21"/>
        </w:rPr>
        <w:t> </w:t>
      </w:r>
    </w:p>
    <w:p>
      <w:pPr>
        <w:pStyle w:val="BodyText"/>
        <w:spacing w:before="12"/>
        <w:rPr>
          <w:sz w:val="17"/>
        </w:rPr>
      </w:pPr>
    </w:p>
    <w:p>
      <w:pPr>
        <w:pStyle w:val="ListParagraph"/>
        <w:numPr>
          <w:ilvl w:val="0"/>
          <w:numId w:val="627"/>
        </w:numPr>
        <w:tabs>
          <w:tab w:pos="1367" w:val="left" w:leader="none"/>
        </w:tabs>
        <w:spacing w:line="240" w:lineRule="auto" w:before="0" w:after="0"/>
        <w:ind w:left="1367" w:right="0" w:hanging="529"/>
        <w:jc w:val="left"/>
        <w:rPr>
          <w:sz w:val="21"/>
        </w:rPr>
      </w:pPr>
      <w:r>
        <w:rPr>
          <w:spacing w:val="-3"/>
          <w:sz w:val="21"/>
        </w:rPr>
        <w:t>需要设置线型感温火灾探测器的易燃易爆场所。 </w:t>
      </w:r>
    </w:p>
    <w:p>
      <w:pPr>
        <w:pStyle w:val="BodyText"/>
        <w:spacing w:before="2"/>
        <w:rPr>
          <w:sz w:val="18"/>
        </w:rPr>
      </w:pPr>
    </w:p>
    <w:p>
      <w:pPr>
        <w:pStyle w:val="ListParagraph"/>
        <w:numPr>
          <w:ilvl w:val="0"/>
          <w:numId w:val="627"/>
        </w:numPr>
        <w:tabs>
          <w:tab w:pos="1370" w:val="left" w:leader="none"/>
        </w:tabs>
        <w:spacing w:line="446" w:lineRule="auto" w:before="0" w:after="0"/>
        <w:ind w:left="418" w:right="1438" w:firstLine="419"/>
        <w:jc w:val="left"/>
        <w:rPr>
          <w:sz w:val="21"/>
        </w:rPr>
      </w:pPr>
      <w:r>
        <w:rPr>
          <w:spacing w:val="-1"/>
          <w:sz w:val="21"/>
        </w:rPr>
        <w:t>需要监测环境温度的地下空间等场所宜设置具有实时温度监测功能的线型光纤感温火</w:t>
      </w:r>
      <w:r>
        <w:rPr>
          <w:spacing w:val="-2"/>
          <w:sz w:val="21"/>
        </w:rPr>
        <w:t>灾探测器。</w:t>
      </w:r>
      <w:r>
        <w:rPr>
          <w:sz w:val="21"/>
        </w:rPr>
        <w:t> </w:t>
      </w:r>
    </w:p>
    <w:p>
      <w:pPr>
        <w:pStyle w:val="ListParagraph"/>
        <w:numPr>
          <w:ilvl w:val="0"/>
          <w:numId w:val="627"/>
        </w:numPr>
        <w:tabs>
          <w:tab w:pos="1367" w:val="left" w:leader="none"/>
        </w:tabs>
        <w:spacing w:line="267" w:lineRule="exact" w:before="0" w:after="0"/>
        <w:ind w:left="1367" w:right="0" w:hanging="529"/>
        <w:jc w:val="left"/>
        <w:rPr>
          <w:sz w:val="21"/>
        </w:rPr>
      </w:pPr>
      <w:r>
        <w:rPr>
          <w:spacing w:val="-3"/>
          <w:sz w:val="21"/>
        </w:rPr>
        <w:t>公路隧道、敷设动力电缆的铁路隧道和城市地铁隧道等。 </w:t>
      </w:r>
      <w:r>
        <w:rPr>
          <w:sz w:val="21"/>
        </w:rPr>
        <w:t>  </w:t>
      </w:r>
    </w:p>
    <w:p>
      <w:pPr>
        <w:pStyle w:val="BodyText"/>
        <w:spacing w:before="2"/>
        <w:rPr>
          <w:sz w:val="18"/>
        </w:rPr>
      </w:pPr>
    </w:p>
    <w:p>
      <w:pPr>
        <w:pStyle w:val="BodyText"/>
        <w:spacing w:line="446" w:lineRule="auto"/>
        <w:ind w:left="418" w:right="1394" w:firstLine="422"/>
      </w:pPr>
      <w:r>
        <w:rPr>
          <w:b/>
        </w:rPr>
        <w:t>5.3.5 </w:t>
      </w:r>
      <w:r>
        <w:rPr/>
        <w:t>线型定温火灾探测器的选择，应保证其不动作温度符合设置场所的最高环境温度的要求。 </w:t>
      </w:r>
    </w:p>
    <w:p>
      <w:pPr>
        <w:pStyle w:val="ListParagraph"/>
        <w:numPr>
          <w:ilvl w:val="1"/>
          <w:numId w:val="615"/>
        </w:numPr>
        <w:tabs>
          <w:tab w:pos="1159" w:val="left" w:leader="none"/>
        </w:tabs>
        <w:spacing w:line="267" w:lineRule="exact" w:before="0" w:after="0"/>
        <w:ind w:left="1158" w:right="0" w:hanging="319"/>
        <w:jc w:val="left"/>
        <w:rPr>
          <w:sz w:val="21"/>
        </w:rPr>
      </w:pPr>
      <w:r>
        <w:rPr>
          <w:spacing w:val="-3"/>
          <w:sz w:val="21"/>
        </w:rPr>
        <w:t>吸气式感烟火灾探测器的选择</w:t>
      </w:r>
      <w:r>
        <w:rPr>
          <w:sz w:val="21"/>
        </w:rPr>
        <w:t> </w:t>
      </w:r>
    </w:p>
    <w:p>
      <w:pPr>
        <w:pStyle w:val="BodyText"/>
        <w:spacing w:before="1"/>
        <w:rPr>
          <w:sz w:val="18"/>
        </w:rPr>
      </w:pPr>
    </w:p>
    <w:p>
      <w:pPr>
        <w:pStyle w:val="ListParagraph"/>
        <w:numPr>
          <w:ilvl w:val="2"/>
          <w:numId w:val="615"/>
        </w:numPr>
        <w:tabs>
          <w:tab w:pos="1371" w:val="left" w:leader="none"/>
        </w:tabs>
        <w:spacing w:line="240" w:lineRule="auto" w:before="1" w:after="0"/>
        <w:ind w:left="1370" w:right="0" w:hanging="531"/>
        <w:jc w:val="left"/>
        <w:rPr>
          <w:sz w:val="21"/>
        </w:rPr>
      </w:pPr>
      <w:r>
        <w:rPr>
          <w:spacing w:val="-3"/>
          <w:sz w:val="21"/>
        </w:rPr>
        <w:t>下列场所宜选择吸气式感烟火灾探测器：</w:t>
      </w:r>
      <w:r>
        <w:rPr>
          <w:sz w:val="21"/>
        </w:rPr>
        <w:t> </w:t>
      </w:r>
    </w:p>
    <w:p>
      <w:pPr>
        <w:pStyle w:val="BodyText"/>
        <w:spacing w:before="12"/>
        <w:rPr>
          <w:sz w:val="17"/>
        </w:rPr>
      </w:pPr>
    </w:p>
    <w:p>
      <w:pPr>
        <w:pStyle w:val="ListParagraph"/>
        <w:numPr>
          <w:ilvl w:val="0"/>
          <w:numId w:val="628"/>
        </w:numPr>
        <w:tabs>
          <w:tab w:pos="1367" w:val="left" w:leader="none"/>
        </w:tabs>
        <w:spacing w:line="240" w:lineRule="auto" w:before="0" w:after="0"/>
        <w:ind w:left="1367" w:right="0" w:hanging="529"/>
        <w:jc w:val="left"/>
        <w:rPr>
          <w:sz w:val="21"/>
        </w:rPr>
      </w:pPr>
      <w:r>
        <w:rPr>
          <w:spacing w:val="-3"/>
          <w:sz w:val="21"/>
        </w:rPr>
        <w:t>具有高速气流的场所。 </w:t>
      </w:r>
    </w:p>
    <w:p>
      <w:pPr>
        <w:pStyle w:val="BodyText"/>
        <w:rPr>
          <w:sz w:val="18"/>
        </w:rPr>
      </w:pPr>
    </w:p>
    <w:p>
      <w:pPr>
        <w:pStyle w:val="ListParagraph"/>
        <w:numPr>
          <w:ilvl w:val="0"/>
          <w:numId w:val="628"/>
        </w:numPr>
        <w:tabs>
          <w:tab w:pos="1367" w:val="left" w:leader="none"/>
        </w:tabs>
        <w:spacing w:line="446" w:lineRule="auto" w:before="0" w:after="0"/>
        <w:ind w:left="418" w:right="1433" w:firstLine="419"/>
        <w:jc w:val="left"/>
        <w:rPr>
          <w:sz w:val="21"/>
        </w:rPr>
      </w:pPr>
      <w:r>
        <w:rPr>
          <w:spacing w:val="-7"/>
          <w:sz w:val="21"/>
        </w:rPr>
        <w:t>点型感烟、感温火灾探测器不适宜的大空间、舞台上方、建筑高度超过 </w:t>
      </w:r>
      <w:r>
        <w:rPr>
          <w:sz w:val="21"/>
        </w:rPr>
        <w:t>12m</w:t>
      </w:r>
      <w:r>
        <w:rPr>
          <w:spacing w:val="2"/>
          <w:sz w:val="21"/>
        </w:rPr>
        <w:t> 或有特殊</w:t>
      </w:r>
      <w:r>
        <w:rPr>
          <w:spacing w:val="-2"/>
          <w:sz w:val="21"/>
        </w:rPr>
        <w:t>要求的场所。</w:t>
      </w:r>
      <w:r>
        <w:rPr>
          <w:sz w:val="21"/>
        </w:rPr>
        <w:t> </w:t>
      </w:r>
    </w:p>
    <w:p>
      <w:pPr>
        <w:pStyle w:val="ListParagraph"/>
        <w:numPr>
          <w:ilvl w:val="0"/>
          <w:numId w:val="628"/>
        </w:numPr>
        <w:tabs>
          <w:tab w:pos="1367" w:val="left" w:leader="none"/>
        </w:tabs>
        <w:spacing w:line="240" w:lineRule="auto" w:before="0" w:after="0"/>
        <w:ind w:left="1367" w:right="0" w:hanging="529"/>
        <w:jc w:val="left"/>
        <w:rPr>
          <w:sz w:val="21"/>
        </w:rPr>
      </w:pPr>
      <w:r>
        <w:rPr>
          <w:spacing w:val="-3"/>
          <w:sz w:val="21"/>
        </w:rPr>
        <w:t>低温场所。</w:t>
      </w:r>
      <w:r>
        <w:rPr>
          <w:sz w:val="21"/>
        </w:rPr>
        <w:t> </w:t>
      </w:r>
    </w:p>
    <w:p>
      <w:pPr>
        <w:pStyle w:val="BodyText"/>
        <w:spacing w:before="12"/>
        <w:rPr>
          <w:sz w:val="17"/>
        </w:rPr>
      </w:pPr>
    </w:p>
    <w:p>
      <w:pPr>
        <w:pStyle w:val="ListParagraph"/>
        <w:numPr>
          <w:ilvl w:val="0"/>
          <w:numId w:val="628"/>
        </w:numPr>
        <w:tabs>
          <w:tab w:pos="1367" w:val="left" w:leader="none"/>
        </w:tabs>
        <w:spacing w:line="240" w:lineRule="auto" w:before="0" w:after="0"/>
        <w:ind w:left="1367" w:right="0" w:hanging="529"/>
        <w:jc w:val="left"/>
        <w:rPr>
          <w:sz w:val="21"/>
        </w:rPr>
      </w:pPr>
      <w:r>
        <w:rPr>
          <w:spacing w:val="-3"/>
          <w:sz w:val="21"/>
        </w:rPr>
        <w:t>需要进行隐蔽探测的场所。</w:t>
      </w:r>
      <w:r>
        <w:rPr>
          <w:sz w:val="21"/>
        </w:rPr>
        <w:t> </w:t>
      </w:r>
    </w:p>
    <w:p>
      <w:pPr>
        <w:pStyle w:val="BodyText"/>
        <w:spacing w:before="2"/>
        <w:rPr>
          <w:sz w:val="18"/>
        </w:rPr>
      </w:pPr>
    </w:p>
    <w:p>
      <w:pPr>
        <w:pStyle w:val="ListParagraph"/>
        <w:numPr>
          <w:ilvl w:val="0"/>
          <w:numId w:val="628"/>
        </w:numPr>
        <w:tabs>
          <w:tab w:pos="1367" w:val="left" w:leader="none"/>
        </w:tabs>
        <w:spacing w:line="240" w:lineRule="auto" w:before="0" w:after="0"/>
        <w:ind w:left="1367" w:right="0" w:hanging="529"/>
        <w:jc w:val="left"/>
        <w:rPr>
          <w:sz w:val="21"/>
        </w:rPr>
      </w:pPr>
      <w:r>
        <w:rPr>
          <w:spacing w:val="-3"/>
          <w:sz w:val="21"/>
        </w:rPr>
        <w:t>需要进行火灾早期探测的重要场所。</w:t>
      </w:r>
      <w:r>
        <w:rPr>
          <w:sz w:val="21"/>
        </w:rPr>
        <w:t> </w:t>
      </w:r>
    </w:p>
    <w:p>
      <w:pPr>
        <w:pStyle w:val="BodyText"/>
        <w:rPr>
          <w:sz w:val="18"/>
        </w:rPr>
      </w:pPr>
    </w:p>
    <w:p>
      <w:pPr>
        <w:pStyle w:val="ListParagraph"/>
        <w:numPr>
          <w:ilvl w:val="0"/>
          <w:numId w:val="628"/>
        </w:numPr>
        <w:tabs>
          <w:tab w:pos="1367" w:val="left" w:leader="none"/>
          <w:tab w:pos="3778" w:val="left" w:leader="none"/>
        </w:tabs>
        <w:spacing w:line="240" w:lineRule="auto" w:before="0" w:after="0"/>
        <w:ind w:left="1367" w:right="0" w:hanging="529"/>
        <w:jc w:val="left"/>
        <w:rPr>
          <w:sz w:val="21"/>
        </w:rPr>
      </w:pPr>
      <w:r>
        <w:rPr>
          <w:sz w:val="21"/>
        </w:rPr>
        <w:t>人</w:t>
      </w:r>
      <w:r>
        <w:rPr>
          <w:spacing w:val="-3"/>
          <w:sz w:val="21"/>
        </w:rPr>
        <w:t>员</w:t>
      </w:r>
      <w:r>
        <w:rPr>
          <w:sz w:val="21"/>
        </w:rPr>
        <w:t>不</w:t>
      </w:r>
      <w:r>
        <w:rPr>
          <w:spacing w:val="-3"/>
          <w:sz w:val="21"/>
        </w:rPr>
        <w:t>宜</w:t>
      </w:r>
      <w:r>
        <w:rPr>
          <w:sz w:val="21"/>
        </w:rPr>
        <w:t>进</w:t>
      </w:r>
      <w:r>
        <w:rPr>
          <w:spacing w:val="-3"/>
          <w:sz w:val="21"/>
        </w:rPr>
        <w:t>入</w:t>
      </w:r>
      <w:r>
        <w:rPr>
          <w:sz w:val="21"/>
        </w:rPr>
        <w:t>的</w:t>
      </w:r>
      <w:r>
        <w:rPr>
          <w:spacing w:val="-3"/>
          <w:sz w:val="21"/>
        </w:rPr>
        <w:t>场所</w:t>
      </w:r>
      <w:r>
        <w:rPr>
          <w:sz w:val="21"/>
        </w:rPr>
        <w:t>。 </w:t>
        <w:tab/>
      </w:r>
      <w:r>
        <w:rPr>
          <w:w w:val="100"/>
          <w:sz w:val="21"/>
        </w:rPr>
        <w:t>  </w:t>
      </w:r>
    </w:p>
    <w:p>
      <w:pPr>
        <w:pStyle w:val="BodyText"/>
        <w:spacing w:before="12"/>
        <w:rPr>
          <w:sz w:val="17"/>
        </w:rPr>
      </w:pPr>
    </w:p>
    <w:p>
      <w:pPr>
        <w:pStyle w:val="ListParagraph"/>
        <w:numPr>
          <w:ilvl w:val="2"/>
          <w:numId w:val="615"/>
        </w:numPr>
        <w:tabs>
          <w:tab w:pos="1371" w:val="left" w:leader="none"/>
        </w:tabs>
        <w:spacing w:line="446" w:lineRule="auto" w:before="0" w:after="0"/>
        <w:ind w:left="418" w:right="1431" w:firstLine="422"/>
        <w:jc w:val="left"/>
        <w:rPr>
          <w:sz w:val="21"/>
        </w:rPr>
      </w:pPr>
      <w:r>
        <w:rPr>
          <w:spacing w:val="-7"/>
          <w:sz w:val="21"/>
        </w:rPr>
        <w:t>灰尘比较大的场所，不应选择没有过滤网和管路自清洗功能的管路采样式吸气感烟火</w:t>
      </w:r>
      <w:r>
        <w:rPr>
          <w:spacing w:val="-5"/>
          <w:sz w:val="21"/>
        </w:rPr>
        <w:t>灾探测器。</w:t>
      </w:r>
      <w:r>
        <w:rPr>
          <w:sz w:val="21"/>
        </w:rPr>
        <w:t> </w:t>
      </w:r>
      <w:r>
        <w:rPr>
          <w:spacing w:val="-2"/>
          <w:sz w:val="21"/>
        </w:rPr>
        <w:t> </w:t>
      </w:r>
      <w:r>
        <w:rPr>
          <w:w w:val="100"/>
          <w:sz w:val="21"/>
        </w:rPr>
        <w:t>  </w:t>
      </w:r>
    </w:p>
    <w:p>
      <w:pPr>
        <w:pStyle w:val="Heading4"/>
        <w:spacing w:line="277" w:lineRule="exact"/>
      </w:pPr>
      <w:r>
        <w:rPr/>
        <w:t>6 系统设备的设置</w:t>
      </w:r>
      <w:r>
        <w:rPr>
          <w:w w:val="99"/>
        </w:rPr>
        <w:t> </w:t>
      </w:r>
    </w:p>
    <w:p>
      <w:pPr>
        <w:pStyle w:val="BodyText"/>
        <w:spacing w:before="4"/>
        <w:rPr>
          <w:b/>
          <w:sz w:val="17"/>
        </w:rPr>
      </w:pPr>
    </w:p>
    <w:p>
      <w:pPr>
        <w:pStyle w:val="ListParagraph"/>
        <w:numPr>
          <w:ilvl w:val="1"/>
          <w:numId w:val="629"/>
        </w:numPr>
        <w:tabs>
          <w:tab w:pos="1160" w:val="left" w:leader="none"/>
        </w:tabs>
        <w:spacing w:line="240" w:lineRule="auto" w:before="0" w:after="0"/>
        <w:ind w:left="1159" w:right="0" w:hanging="320"/>
        <w:jc w:val="left"/>
        <w:rPr>
          <w:sz w:val="21"/>
        </w:rPr>
      </w:pPr>
      <w:r>
        <w:rPr>
          <w:spacing w:val="-3"/>
          <w:sz w:val="21"/>
        </w:rPr>
        <w:t>火灾报警控制器和消防联动控制器的设置</w:t>
      </w:r>
      <w:r>
        <w:rPr>
          <w:sz w:val="21"/>
        </w:rPr>
        <w:t> </w:t>
      </w:r>
    </w:p>
    <w:p>
      <w:pPr>
        <w:pStyle w:val="BodyText"/>
        <w:spacing w:before="2"/>
        <w:rPr>
          <w:sz w:val="18"/>
        </w:rPr>
      </w:pPr>
    </w:p>
    <w:p>
      <w:pPr>
        <w:pStyle w:val="ListParagraph"/>
        <w:numPr>
          <w:ilvl w:val="2"/>
          <w:numId w:val="629"/>
        </w:numPr>
        <w:tabs>
          <w:tab w:pos="1371" w:val="left" w:leader="none"/>
        </w:tabs>
        <w:spacing w:line="240" w:lineRule="auto" w:before="0" w:after="0"/>
        <w:ind w:left="1370" w:right="0" w:hanging="531"/>
        <w:jc w:val="left"/>
        <w:rPr>
          <w:sz w:val="21"/>
        </w:rPr>
      </w:pPr>
      <w:r>
        <w:rPr>
          <w:spacing w:val="-9"/>
          <w:sz w:val="21"/>
        </w:rPr>
        <w:t>火灾报警控制器和消防联动控制器，应设置在消防控制室内或有人值班的房间和场所。</w:t>
      </w:r>
      <w:r>
        <w:rPr>
          <w:sz w:val="21"/>
        </w:rPr>
        <w:t> </w:t>
      </w:r>
    </w:p>
    <w:p>
      <w:pPr>
        <w:pStyle w:val="BodyText"/>
        <w:rPr>
          <w:sz w:val="18"/>
        </w:rPr>
      </w:pPr>
    </w:p>
    <w:p>
      <w:pPr>
        <w:pStyle w:val="ListParagraph"/>
        <w:numPr>
          <w:ilvl w:val="2"/>
          <w:numId w:val="629"/>
        </w:numPr>
        <w:tabs>
          <w:tab w:pos="1370" w:val="left" w:leader="none"/>
        </w:tabs>
        <w:spacing w:line="240" w:lineRule="auto" w:before="0" w:after="0"/>
        <w:ind w:left="1369" w:right="0" w:hanging="530"/>
        <w:jc w:val="left"/>
        <w:rPr>
          <w:sz w:val="21"/>
        </w:rPr>
      </w:pPr>
      <w:r>
        <w:rPr>
          <w:spacing w:val="-5"/>
          <w:sz w:val="21"/>
        </w:rPr>
        <w:t>火灾报警控制器和消防联动控制器等在消防控制室内的布置，应符合本规范第 </w:t>
      </w:r>
      <w:r>
        <w:rPr>
          <w:sz w:val="21"/>
        </w:rPr>
        <w:t>3.4.8  </w:t>
      </w:r>
    </w:p>
    <w:p>
      <w:pPr>
        <w:pStyle w:val="BodyText"/>
        <w:rPr>
          <w:sz w:val="18"/>
        </w:rPr>
      </w:pPr>
    </w:p>
    <w:p>
      <w:pPr>
        <w:pStyle w:val="BodyText"/>
        <w:ind w:left="418"/>
      </w:pPr>
      <w:r>
        <w:rPr/>
        <w:t>条的规 定。   </w:t>
      </w:r>
    </w:p>
    <w:p>
      <w:pPr>
        <w:pStyle w:val="BodyText"/>
        <w:spacing w:before="1"/>
        <w:rPr>
          <w:sz w:val="18"/>
        </w:rPr>
      </w:pPr>
    </w:p>
    <w:p>
      <w:pPr>
        <w:pStyle w:val="ListParagraph"/>
        <w:numPr>
          <w:ilvl w:val="2"/>
          <w:numId w:val="629"/>
        </w:numPr>
        <w:tabs>
          <w:tab w:pos="1370" w:val="left" w:leader="none"/>
        </w:tabs>
        <w:spacing w:line="240" w:lineRule="auto" w:before="1" w:after="0"/>
        <w:ind w:left="1369" w:right="0" w:hanging="530"/>
        <w:jc w:val="left"/>
        <w:rPr>
          <w:sz w:val="21"/>
        </w:rPr>
      </w:pPr>
      <w:r>
        <w:rPr>
          <w:spacing w:val="-5"/>
          <w:sz w:val="21"/>
        </w:rPr>
        <w:t>火灾报警控制器和消防联动控制器安装在墙上时，其主显示屏高度宜为 </w:t>
      </w:r>
      <w:r>
        <w:rPr>
          <w:sz w:val="21"/>
        </w:rPr>
        <w:t>1.5～1.8m ，</w:t>
      </w:r>
    </w:p>
    <w:p>
      <w:pPr>
        <w:spacing w:after="0" w:line="240" w:lineRule="auto"/>
        <w:jc w:val="left"/>
        <w:rPr>
          <w:sz w:val="21"/>
        </w:rPr>
        <w:sectPr>
          <w:pgSz w:w="11910" w:h="16850"/>
          <w:pgMar w:header="0" w:footer="1239" w:top="1220" w:bottom="1420" w:left="1260" w:right="0"/>
        </w:sectPr>
      </w:pPr>
    </w:p>
    <w:p>
      <w:pPr>
        <w:pStyle w:val="BodyText"/>
        <w:tabs>
          <w:tab w:pos="7558" w:val="left" w:leader="none"/>
        </w:tabs>
        <w:spacing w:before="47"/>
        <w:ind w:left="418"/>
      </w:pPr>
      <w:r>
        <w:rPr/>
        <w:t>其靠</w:t>
      </w:r>
      <w:r>
        <w:rPr>
          <w:spacing w:val="-3"/>
        </w:rPr>
        <w:t>近</w:t>
      </w:r>
      <w:r>
        <w:rPr/>
        <w:t>门</w:t>
      </w:r>
      <w:r>
        <w:rPr>
          <w:spacing w:val="-3"/>
        </w:rPr>
        <w:t>轴</w:t>
      </w:r>
      <w:r>
        <w:rPr/>
        <w:t>的</w:t>
      </w:r>
      <w:r>
        <w:rPr>
          <w:spacing w:val="-3"/>
        </w:rPr>
        <w:t>侧</w:t>
      </w:r>
      <w:r>
        <w:rPr/>
        <w:t>面</w:t>
      </w:r>
      <w:r>
        <w:rPr>
          <w:spacing w:val="-3"/>
        </w:rPr>
        <w:t>距</w:t>
      </w:r>
      <w:r>
        <w:rPr/>
        <w:t>墙</w:t>
      </w:r>
      <w:r>
        <w:rPr>
          <w:spacing w:val="-3"/>
        </w:rPr>
        <w:t>不</w:t>
      </w:r>
      <w:r>
        <w:rPr/>
        <w:t>应小</w:t>
      </w:r>
      <w:r>
        <w:rPr>
          <w:spacing w:val="-3"/>
        </w:rPr>
        <w:t>于</w:t>
      </w:r>
      <w:r>
        <w:rPr>
          <w:spacing w:val="8"/>
        </w:rPr>
        <w:t> </w:t>
      </w:r>
      <w:r>
        <w:rPr/>
        <w:t>0.5m</w:t>
      </w:r>
      <w:r>
        <w:rPr>
          <w:spacing w:val="7"/>
        </w:rPr>
        <w:t> </w:t>
      </w:r>
      <w:r>
        <w:rPr>
          <w:spacing w:val="-3"/>
        </w:rPr>
        <w:t>，</w:t>
      </w:r>
      <w:r>
        <w:rPr/>
        <w:t>正</w:t>
      </w:r>
      <w:r>
        <w:rPr>
          <w:spacing w:val="-3"/>
        </w:rPr>
        <w:t>面</w:t>
      </w:r>
      <w:r>
        <w:rPr/>
        <w:t>操</w:t>
      </w:r>
      <w:r>
        <w:rPr>
          <w:spacing w:val="-3"/>
        </w:rPr>
        <w:t>作</w:t>
      </w:r>
      <w:r>
        <w:rPr/>
        <w:t>距离</w:t>
      </w:r>
      <w:r>
        <w:rPr>
          <w:spacing w:val="-3"/>
        </w:rPr>
        <w:t>不</w:t>
      </w:r>
      <w:r>
        <w:rPr/>
        <w:t>应</w:t>
      </w:r>
      <w:r>
        <w:rPr>
          <w:spacing w:val="-3"/>
        </w:rPr>
        <w:t>小</w:t>
      </w:r>
      <w:r>
        <w:rPr/>
        <w:t>于</w:t>
      </w:r>
      <w:r>
        <w:rPr>
          <w:spacing w:val="8"/>
        </w:rPr>
        <w:t> </w:t>
      </w:r>
      <w:r>
        <w:rPr/>
        <w:t>1.2m</w:t>
      </w:r>
      <w:r>
        <w:rPr>
          <w:spacing w:val="5"/>
        </w:rPr>
        <w:t> </w:t>
      </w:r>
      <w:r>
        <w:rPr>
          <w:spacing w:val="-3"/>
        </w:rPr>
        <w:t>。</w:t>
      </w:r>
      <w:r>
        <w:rPr/>
        <w:t> </w:t>
        <w:tab/>
      </w:r>
      <w:r>
        <w:rPr>
          <w:w w:val="100"/>
        </w:rPr>
        <w:t>  </w:t>
      </w:r>
    </w:p>
    <w:p>
      <w:pPr>
        <w:pStyle w:val="BodyText"/>
        <w:rPr>
          <w:sz w:val="18"/>
        </w:rPr>
      </w:pPr>
    </w:p>
    <w:p>
      <w:pPr>
        <w:pStyle w:val="ListParagraph"/>
        <w:numPr>
          <w:ilvl w:val="2"/>
          <w:numId w:val="629"/>
        </w:numPr>
        <w:tabs>
          <w:tab w:pos="1370" w:val="left" w:leader="none"/>
        </w:tabs>
        <w:spacing w:line="446" w:lineRule="auto" w:before="0" w:after="0"/>
        <w:ind w:left="418" w:right="1431" w:firstLine="422"/>
        <w:jc w:val="left"/>
        <w:rPr>
          <w:sz w:val="21"/>
        </w:rPr>
      </w:pPr>
      <w:r>
        <w:rPr>
          <w:spacing w:val="-5"/>
          <w:sz w:val="21"/>
        </w:rPr>
        <w:t>集中报警系统和控制中心报警系统中的区域火灾报警控制器在满足下列条件时，可设</w:t>
      </w:r>
      <w:r>
        <w:rPr>
          <w:spacing w:val="-4"/>
          <w:sz w:val="21"/>
        </w:rPr>
        <w:t>置在无人值班的场所：</w:t>
      </w:r>
      <w:r>
        <w:rPr>
          <w:sz w:val="21"/>
        </w:rPr>
        <w:t> </w:t>
      </w:r>
    </w:p>
    <w:p>
      <w:pPr>
        <w:pStyle w:val="ListParagraph"/>
        <w:numPr>
          <w:ilvl w:val="0"/>
          <w:numId w:val="630"/>
        </w:numPr>
        <w:tabs>
          <w:tab w:pos="1367" w:val="left" w:leader="none"/>
        </w:tabs>
        <w:spacing w:line="240" w:lineRule="auto" w:before="0" w:after="0"/>
        <w:ind w:left="1367" w:right="0" w:hanging="529"/>
        <w:jc w:val="left"/>
        <w:rPr>
          <w:sz w:val="21"/>
        </w:rPr>
      </w:pPr>
      <w:r>
        <w:rPr>
          <w:spacing w:val="-3"/>
          <w:sz w:val="21"/>
        </w:rPr>
        <w:t>本区域内无需要手动控制的消防联动设备。</w:t>
      </w:r>
      <w:r>
        <w:rPr>
          <w:sz w:val="21"/>
        </w:rPr>
        <w:t> </w:t>
      </w:r>
    </w:p>
    <w:p>
      <w:pPr>
        <w:pStyle w:val="BodyText"/>
        <w:spacing w:before="12"/>
        <w:rPr>
          <w:sz w:val="17"/>
        </w:rPr>
      </w:pPr>
    </w:p>
    <w:p>
      <w:pPr>
        <w:pStyle w:val="ListParagraph"/>
        <w:numPr>
          <w:ilvl w:val="0"/>
          <w:numId w:val="630"/>
        </w:numPr>
        <w:tabs>
          <w:tab w:pos="1370" w:val="left" w:leader="none"/>
        </w:tabs>
        <w:spacing w:line="446" w:lineRule="auto" w:before="0" w:after="0"/>
        <w:ind w:left="418" w:right="1438" w:firstLine="419"/>
        <w:jc w:val="left"/>
        <w:rPr>
          <w:sz w:val="21"/>
        </w:rPr>
      </w:pPr>
      <w:r>
        <w:rPr>
          <w:spacing w:val="-1"/>
          <w:sz w:val="21"/>
        </w:rPr>
        <w:t>本火灾报警控制器的所有信息在集中火灾报警控制器上均有显示，且能接收起集中控</w:t>
      </w:r>
      <w:r>
        <w:rPr>
          <w:spacing w:val="-3"/>
          <w:sz w:val="21"/>
        </w:rPr>
        <w:t>制功能的 火灾报警控制器的联动控制信号，并自动启动相应的消防设备。</w:t>
      </w:r>
      <w:r>
        <w:rPr>
          <w:sz w:val="21"/>
        </w:rPr>
        <w:t> </w:t>
      </w:r>
    </w:p>
    <w:p>
      <w:pPr>
        <w:pStyle w:val="ListParagraph"/>
        <w:numPr>
          <w:ilvl w:val="0"/>
          <w:numId w:val="630"/>
        </w:numPr>
        <w:tabs>
          <w:tab w:pos="1367" w:val="left" w:leader="none"/>
          <w:tab w:pos="5038" w:val="left" w:leader="none"/>
          <w:tab w:pos="5458" w:val="left" w:leader="none"/>
        </w:tabs>
        <w:spacing w:line="446" w:lineRule="auto" w:before="0" w:after="0"/>
        <w:ind w:left="840" w:right="4974" w:hanging="3"/>
        <w:jc w:val="left"/>
        <w:rPr>
          <w:sz w:val="21"/>
        </w:rPr>
      </w:pPr>
      <w:r>
        <w:rPr>
          <w:sz w:val="21"/>
        </w:rPr>
        <w:t>设</w:t>
      </w:r>
      <w:r>
        <w:rPr>
          <w:spacing w:val="-3"/>
          <w:sz w:val="21"/>
        </w:rPr>
        <w:t>置</w:t>
      </w:r>
      <w:r>
        <w:rPr>
          <w:sz w:val="21"/>
        </w:rPr>
        <w:t>的</w:t>
      </w:r>
      <w:r>
        <w:rPr>
          <w:spacing w:val="-3"/>
          <w:sz w:val="21"/>
        </w:rPr>
        <w:t>场</w:t>
      </w:r>
      <w:r>
        <w:rPr>
          <w:sz w:val="21"/>
        </w:rPr>
        <w:t>所</w:t>
      </w:r>
      <w:r>
        <w:rPr>
          <w:spacing w:val="-3"/>
          <w:sz w:val="21"/>
        </w:rPr>
        <w:t>只</w:t>
      </w:r>
      <w:r>
        <w:rPr>
          <w:sz w:val="21"/>
        </w:rPr>
        <w:t>有</w:t>
      </w:r>
      <w:r>
        <w:rPr>
          <w:spacing w:val="-3"/>
          <w:sz w:val="21"/>
        </w:rPr>
        <w:t>值班</w:t>
      </w:r>
      <w:r>
        <w:rPr>
          <w:sz w:val="21"/>
        </w:rPr>
        <w:t>人员</w:t>
      </w:r>
      <w:r>
        <w:rPr>
          <w:spacing w:val="-3"/>
          <w:sz w:val="21"/>
        </w:rPr>
        <w:t>可</w:t>
      </w:r>
      <w:r>
        <w:rPr>
          <w:sz w:val="21"/>
        </w:rPr>
        <w:t>以</w:t>
      </w:r>
      <w:r>
        <w:rPr>
          <w:spacing w:val="-3"/>
          <w:sz w:val="21"/>
        </w:rPr>
        <w:t>进</w:t>
      </w:r>
      <w:r>
        <w:rPr>
          <w:sz w:val="21"/>
        </w:rPr>
        <w:t>入</w:t>
      </w:r>
      <w:r>
        <w:rPr>
          <w:spacing w:val="-3"/>
          <w:sz w:val="21"/>
        </w:rPr>
        <w:t>。</w:t>
        <w:tab/>
        <w:tab/>
      </w:r>
      <w:r>
        <w:rPr>
          <w:sz w:val="21"/>
        </w:rPr>
        <w:t> </w:t>
      </w:r>
      <w:r>
        <w:rPr>
          <w:b/>
          <w:sz w:val="21"/>
        </w:rPr>
        <w:t>6.2</w:t>
      </w:r>
      <w:r>
        <w:rPr>
          <w:b/>
          <w:spacing w:val="105"/>
          <w:sz w:val="21"/>
        </w:rPr>
        <w:t> </w:t>
      </w:r>
      <w:r>
        <w:rPr>
          <w:sz w:val="21"/>
        </w:rPr>
        <w:t>火</w:t>
      </w:r>
      <w:r>
        <w:rPr>
          <w:spacing w:val="-3"/>
          <w:sz w:val="21"/>
        </w:rPr>
        <w:t>灾</w:t>
      </w:r>
      <w:r>
        <w:rPr>
          <w:sz w:val="21"/>
        </w:rPr>
        <w:t>探</w:t>
      </w:r>
      <w:r>
        <w:rPr>
          <w:spacing w:val="-3"/>
          <w:sz w:val="21"/>
        </w:rPr>
        <w:t>测</w:t>
      </w:r>
      <w:r>
        <w:rPr>
          <w:sz w:val="21"/>
        </w:rPr>
        <w:t>器的</w:t>
      </w:r>
      <w:r>
        <w:rPr>
          <w:spacing w:val="-3"/>
          <w:sz w:val="21"/>
        </w:rPr>
        <w:t>设置</w:t>
      </w:r>
      <w:r>
        <w:rPr>
          <w:sz w:val="21"/>
        </w:rPr>
        <w:t> </w:t>
      </w:r>
    </w:p>
    <w:p>
      <w:pPr>
        <w:pStyle w:val="ListParagraph"/>
        <w:numPr>
          <w:ilvl w:val="2"/>
          <w:numId w:val="631"/>
        </w:numPr>
        <w:tabs>
          <w:tab w:pos="1371" w:val="left" w:leader="none"/>
        </w:tabs>
        <w:spacing w:line="267" w:lineRule="exact" w:before="0" w:after="0"/>
        <w:ind w:left="1370" w:right="0" w:hanging="531"/>
        <w:jc w:val="left"/>
        <w:rPr>
          <w:sz w:val="21"/>
        </w:rPr>
      </w:pPr>
      <w:r>
        <w:rPr>
          <w:spacing w:val="-3"/>
          <w:sz w:val="21"/>
        </w:rPr>
        <w:t>探测器的具体设置部位应按本规范附录 </w:t>
      </w:r>
      <w:r>
        <w:rPr>
          <w:sz w:val="21"/>
        </w:rPr>
        <w:t>D</w:t>
      </w:r>
      <w:r>
        <w:rPr>
          <w:spacing w:val="-3"/>
          <w:sz w:val="21"/>
        </w:rPr>
        <w:t> 采用。</w:t>
      </w:r>
      <w:r>
        <w:rPr>
          <w:sz w:val="21"/>
        </w:rPr>
        <w:t> </w:t>
      </w:r>
    </w:p>
    <w:p>
      <w:pPr>
        <w:pStyle w:val="BodyText"/>
        <w:spacing w:before="2"/>
        <w:rPr>
          <w:sz w:val="18"/>
        </w:rPr>
      </w:pPr>
    </w:p>
    <w:p>
      <w:pPr>
        <w:pStyle w:val="ListParagraph"/>
        <w:numPr>
          <w:ilvl w:val="2"/>
          <w:numId w:val="631"/>
        </w:numPr>
        <w:tabs>
          <w:tab w:pos="1370" w:val="left" w:leader="none"/>
        </w:tabs>
        <w:spacing w:line="240" w:lineRule="auto" w:before="0" w:after="0"/>
        <w:ind w:left="1369" w:right="0" w:hanging="530"/>
        <w:jc w:val="left"/>
        <w:rPr>
          <w:sz w:val="21"/>
        </w:rPr>
      </w:pPr>
      <w:r>
        <w:rPr>
          <w:spacing w:val="-3"/>
          <w:sz w:val="21"/>
        </w:rPr>
        <w:t>点型火灾探测器的设置应符合下列规定：</w:t>
      </w:r>
      <w:r>
        <w:rPr>
          <w:sz w:val="21"/>
        </w:rPr>
        <w:t> </w:t>
      </w:r>
    </w:p>
    <w:p>
      <w:pPr>
        <w:pStyle w:val="BodyText"/>
        <w:rPr>
          <w:sz w:val="18"/>
        </w:rPr>
      </w:pPr>
    </w:p>
    <w:p>
      <w:pPr>
        <w:pStyle w:val="ListParagraph"/>
        <w:numPr>
          <w:ilvl w:val="0"/>
          <w:numId w:val="632"/>
        </w:numPr>
        <w:tabs>
          <w:tab w:pos="1367" w:val="left" w:leader="none"/>
        </w:tabs>
        <w:spacing w:line="240" w:lineRule="auto" w:before="0" w:after="0"/>
        <w:ind w:left="1367" w:right="0" w:hanging="529"/>
        <w:jc w:val="left"/>
        <w:rPr>
          <w:sz w:val="21"/>
        </w:rPr>
      </w:pPr>
      <w:r>
        <w:rPr>
          <w:spacing w:val="-3"/>
          <w:sz w:val="21"/>
        </w:rPr>
        <w:t>探测区域的每个房间应至少设置一只火灾探测器。</w:t>
      </w:r>
      <w:r>
        <w:rPr>
          <w:sz w:val="21"/>
        </w:rPr>
        <w:t> </w:t>
      </w:r>
    </w:p>
    <w:p>
      <w:pPr>
        <w:pStyle w:val="BodyText"/>
        <w:spacing w:before="12"/>
        <w:rPr>
          <w:sz w:val="17"/>
        </w:rPr>
      </w:pPr>
    </w:p>
    <w:p>
      <w:pPr>
        <w:pStyle w:val="ListParagraph"/>
        <w:numPr>
          <w:ilvl w:val="0"/>
          <w:numId w:val="632"/>
        </w:numPr>
        <w:tabs>
          <w:tab w:pos="1367" w:val="left" w:leader="none"/>
        </w:tabs>
        <w:spacing w:line="446" w:lineRule="auto" w:before="0" w:after="0"/>
        <w:ind w:left="418" w:right="1330" w:firstLine="419"/>
        <w:jc w:val="left"/>
        <w:rPr>
          <w:sz w:val="21"/>
        </w:rPr>
      </w:pPr>
      <w:r>
        <w:rPr>
          <w:spacing w:val="-2"/>
          <w:sz w:val="21"/>
        </w:rPr>
        <w:t>感烟火灾探测器和 </w:t>
      </w:r>
      <w:r>
        <w:rPr>
          <w:sz w:val="21"/>
        </w:rPr>
        <w:t>A1</w:t>
      </w:r>
      <w:r>
        <w:rPr>
          <w:spacing w:val="-60"/>
          <w:sz w:val="21"/>
        </w:rPr>
        <w:t>、</w:t>
      </w:r>
      <w:r>
        <w:rPr>
          <w:sz w:val="21"/>
        </w:rPr>
        <w:t>A2</w:t>
      </w:r>
      <w:r>
        <w:rPr>
          <w:spacing w:val="-60"/>
          <w:sz w:val="21"/>
        </w:rPr>
        <w:t>、</w:t>
      </w:r>
      <w:r>
        <w:rPr>
          <w:sz w:val="21"/>
        </w:rPr>
        <w:t>B</w:t>
      </w:r>
      <w:r>
        <w:rPr>
          <w:spacing w:val="-6"/>
          <w:sz w:val="21"/>
        </w:rPr>
        <w:t> 型感温火灾探测器的保护面积和保护半径，应按表 </w:t>
      </w:r>
      <w:r>
        <w:rPr>
          <w:sz w:val="21"/>
        </w:rPr>
        <w:t>6.2.2 </w:t>
      </w:r>
      <w:r>
        <w:rPr>
          <w:spacing w:val="-3"/>
          <w:sz w:val="21"/>
        </w:rPr>
        <w:t>确定；</w:t>
      </w:r>
      <w:r>
        <w:rPr>
          <w:spacing w:val="-4"/>
          <w:sz w:val="21"/>
        </w:rPr>
        <w:t>C</w:t>
      </w:r>
      <w:r>
        <w:rPr>
          <w:spacing w:val="-5"/>
          <w:sz w:val="21"/>
        </w:rPr>
        <w:t>、</w:t>
      </w:r>
      <w:r>
        <w:rPr>
          <w:sz w:val="21"/>
        </w:rPr>
        <w:t>D</w:t>
      </w:r>
      <w:r>
        <w:rPr>
          <w:spacing w:val="-8"/>
          <w:sz w:val="21"/>
        </w:rPr>
        <w:t>、</w:t>
      </w:r>
      <w:r>
        <w:rPr>
          <w:sz w:val="21"/>
        </w:rPr>
        <w:t>E</w:t>
      </w:r>
      <w:r>
        <w:rPr>
          <w:spacing w:val="-8"/>
          <w:sz w:val="21"/>
        </w:rPr>
        <w:t>、</w:t>
      </w:r>
      <w:r>
        <w:rPr>
          <w:sz w:val="21"/>
        </w:rPr>
        <w:t>F</w:t>
      </w:r>
      <w:r>
        <w:rPr>
          <w:spacing w:val="-5"/>
          <w:sz w:val="21"/>
        </w:rPr>
        <w:t>、</w:t>
      </w:r>
      <w:r>
        <w:rPr>
          <w:spacing w:val="-3"/>
          <w:sz w:val="21"/>
        </w:rPr>
        <w:t>G</w:t>
      </w:r>
      <w:r>
        <w:rPr>
          <w:spacing w:val="-4"/>
          <w:sz w:val="21"/>
        </w:rPr>
        <w:t> 型感温火灾探测器的保护面积和保护半径，应根据生产企业设计说明书确</w:t>
      </w:r>
      <w:r>
        <w:rPr>
          <w:spacing w:val="-3"/>
          <w:sz w:val="21"/>
        </w:rPr>
        <w:t>定，但不应超过表 </w:t>
      </w:r>
      <w:r>
        <w:rPr>
          <w:sz w:val="21"/>
        </w:rPr>
        <w:t>6.2.2</w:t>
      </w:r>
      <w:r>
        <w:rPr>
          <w:spacing w:val="-3"/>
          <w:sz w:val="21"/>
        </w:rPr>
        <w:t> 的规定。</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7"/>
        </w:rPr>
      </w:pPr>
    </w:p>
    <w:p>
      <w:pPr>
        <w:pStyle w:val="BodyText"/>
        <w:ind w:left="838"/>
      </w:pPr>
      <w:r>
        <w:rPr>
          <w:w w:val="100"/>
        </w:rPr>
        <w:t> </w:t>
      </w:r>
    </w:p>
    <w:p>
      <w:pPr>
        <w:spacing w:after="0"/>
        <w:sectPr>
          <w:pgSz w:w="11910" w:h="16850"/>
          <w:pgMar w:header="0" w:footer="1239" w:top="1220" w:bottom="1420" w:left="1260" w:right="0"/>
        </w:sectPr>
      </w:pPr>
    </w:p>
    <w:p>
      <w:pPr>
        <w:pStyle w:val="BodyText"/>
        <w:ind w:left="868"/>
        <w:rPr>
          <w:sz w:val="20"/>
        </w:rPr>
      </w:pPr>
      <w:r>
        <w:rPr>
          <w:sz w:val="20"/>
        </w:rPr>
        <w:drawing>
          <wp:inline distT="0" distB="0" distL="0" distR="0">
            <wp:extent cx="4772799" cy="2909316"/>
            <wp:effectExtent l="0" t="0" r="0" b="0"/>
            <wp:docPr id="493" name="image287.jpeg"/>
            <wp:cNvGraphicFramePr>
              <a:graphicFrameLocks noChangeAspect="1"/>
            </wp:cNvGraphicFramePr>
            <a:graphic>
              <a:graphicData uri="http://schemas.openxmlformats.org/drawingml/2006/picture">
                <pic:pic>
                  <pic:nvPicPr>
                    <pic:cNvPr id="494" name="image287.jpeg"/>
                    <pic:cNvPicPr/>
                  </pic:nvPicPr>
                  <pic:blipFill>
                    <a:blip r:embed="rId349" cstate="print"/>
                    <a:stretch>
                      <a:fillRect/>
                    </a:stretch>
                  </pic:blipFill>
                  <pic:spPr>
                    <a:xfrm>
                      <a:off x="0" y="0"/>
                      <a:ext cx="4772799" cy="2909316"/>
                    </a:xfrm>
                    <a:prstGeom prst="rect">
                      <a:avLst/>
                    </a:prstGeom>
                  </pic:spPr>
                </pic:pic>
              </a:graphicData>
            </a:graphic>
          </wp:inline>
        </w:drawing>
      </w:r>
      <w:r>
        <w:rPr>
          <w:sz w:val="20"/>
        </w:rPr>
      </w:r>
    </w:p>
    <w:p>
      <w:pPr>
        <w:pStyle w:val="BodyText"/>
        <w:rPr>
          <w:sz w:val="20"/>
        </w:rPr>
      </w:pPr>
    </w:p>
    <w:p>
      <w:pPr>
        <w:pStyle w:val="BodyText"/>
        <w:spacing w:before="10"/>
        <w:rPr>
          <w:sz w:val="28"/>
        </w:rPr>
      </w:pPr>
    </w:p>
    <w:p>
      <w:pPr>
        <w:pStyle w:val="BodyText"/>
        <w:spacing w:line="446" w:lineRule="auto" w:before="72"/>
        <w:ind w:left="418" w:right="1431" w:firstLine="419"/>
        <w:jc w:val="both"/>
      </w:pPr>
      <w:r>
        <w:rPr/>
        <w:t>注：建筑高度不超过 14m 的封闭探测空间，且火灾初期会产生大量的烟时，可设置点型感烟火灾探测器。 </w:t>
      </w:r>
    </w:p>
    <w:p>
      <w:pPr>
        <w:pStyle w:val="ListParagraph"/>
        <w:numPr>
          <w:ilvl w:val="0"/>
          <w:numId w:val="632"/>
        </w:numPr>
        <w:tabs>
          <w:tab w:pos="1365" w:val="left" w:leader="none"/>
        </w:tabs>
        <w:spacing w:line="446" w:lineRule="auto" w:before="0" w:after="0"/>
        <w:ind w:left="418" w:right="1431" w:firstLine="419"/>
        <w:jc w:val="both"/>
        <w:rPr>
          <w:sz w:val="21"/>
        </w:rPr>
      </w:pPr>
      <w:r>
        <w:rPr>
          <w:spacing w:val="-5"/>
          <w:sz w:val="21"/>
        </w:rPr>
        <w:t>感烟火灾探测器、感温火灾探测器的安装间距，应根据探测器的保护面积 </w:t>
      </w:r>
      <w:r>
        <w:rPr>
          <w:sz w:val="21"/>
        </w:rPr>
        <w:t>A</w:t>
      </w:r>
      <w:r>
        <w:rPr>
          <w:spacing w:val="2"/>
          <w:sz w:val="21"/>
        </w:rPr>
        <w:t> 和保护半</w:t>
      </w:r>
      <w:r>
        <w:rPr>
          <w:spacing w:val="6"/>
          <w:sz w:val="21"/>
        </w:rPr>
        <w:t>径 </w:t>
      </w:r>
      <w:r>
        <w:rPr>
          <w:spacing w:val="-3"/>
          <w:sz w:val="21"/>
        </w:rPr>
        <w:t>R 确定，并不应超过本规范附录 </w:t>
      </w:r>
      <w:r>
        <w:rPr>
          <w:sz w:val="21"/>
        </w:rPr>
        <w:t>E</w:t>
      </w:r>
      <w:r>
        <w:rPr>
          <w:spacing w:val="-3"/>
          <w:sz w:val="21"/>
        </w:rPr>
        <w:t> 探测器安装间距的极限曲线 </w:t>
      </w:r>
      <w:r>
        <w:rPr>
          <w:sz w:val="21"/>
        </w:rPr>
        <w:t>D1～D11（</w:t>
      </w:r>
      <w:r>
        <w:rPr>
          <w:spacing w:val="-25"/>
          <w:sz w:val="21"/>
        </w:rPr>
        <w:t>含 </w:t>
      </w:r>
      <w:r>
        <w:rPr>
          <w:sz w:val="21"/>
        </w:rPr>
        <w:t>D´9）</w:t>
      </w:r>
      <w:r>
        <w:rPr>
          <w:spacing w:val="-3"/>
          <w:sz w:val="21"/>
        </w:rPr>
        <w:t>规定的范围。</w:t>
      </w:r>
      <w:r>
        <w:rPr>
          <w:sz w:val="21"/>
        </w:rPr>
        <w:t> </w:t>
      </w:r>
    </w:p>
    <w:p>
      <w:pPr>
        <w:pStyle w:val="ListParagraph"/>
        <w:numPr>
          <w:ilvl w:val="0"/>
          <w:numId w:val="632"/>
        </w:numPr>
        <w:tabs>
          <w:tab w:pos="1367" w:val="left" w:leader="none"/>
        </w:tabs>
        <w:spacing w:line="268" w:lineRule="exact" w:before="0" w:after="0"/>
        <w:ind w:left="1367" w:right="0" w:hanging="529"/>
        <w:jc w:val="left"/>
        <w:rPr>
          <w:sz w:val="21"/>
        </w:rPr>
      </w:pPr>
      <w:r>
        <w:rPr>
          <w:spacing w:val="-3"/>
          <w:sz w:val="21"/>
        </w:rPr>
        <w:t>一个探测区域内所需设置的探测器数量，不应小于公式</w:t>
      </w:r>
      <w:r>
        <w:rPr>
          <w:sz w:val="21"/>
        </w:rPr>
        <w:t>（6.2.2）</w:t>
      </w:r>
      <w:r>
        <w:rPr>
          <w:spacing w:val="-3"/>
          <w:sz w:val="21"/>
        </w:rPr>
        <w:t>的计算值：</w:t>
      </w:r>
      <w:r>
        <w:rPr>
          <w:sz w:val="21"/>
        </w:rPr>
        <w:t> </w:t>
      </w:r>
    </w:p>
    <w:p>
      <w:pPr>
        <w:pStyle w:val="BodyText"/>
        <w:rPr>
          <w:sz w:val="20"/>
        </w:rPr>
      </w:pPr>
    </w:p>
    <w:p>
      <w:pPr>
        <w:pStyle w:val="BodyText"/>
        <w:rPr>
          <w:sz w:val="20"/>
        </w:rPr>
      </w:pPr>
    </w:p>
    <w:p>
      <w:pPr>
        <w:pStyle w:val="BodyText"/>
        <w:spacing w:before="1"/>
      </w:pPr>
      <w:r>
        <w:rPr/>
        <w:drawing>
          <wp:anchor distT="0" distB="0" distL="0" distR="0" allowOverlap="1" layoutInCell="1" locked="0" behindDoc="0" simplePos="0" relativeHeight="209">
            <wp:simplePos x="0" y="0"/>
            <wp:positionH relativeFrom="page">
              <wp:posOffset>2466011</wp:posOffset>
            </wp:positionH>
            <wp:positionV relativeFrom="paragraph">
              <wp:posOffset>196675</wp:posOffset>
            </wp:positionV>
            <wp:extent cx="2594277" cy="381000"/>
            <wp:effectExtent l="0" t="0" r="0" b="0"/>
            <wp:wrapTopAndBottom/>
            <wp:docPr id="495" name="image288.jpeg"/>
            <wp:cNvGraphicFramePr>
              <a:graphicFrameLocks noChangeAspect="1"/>
            </wp:cNvGraphicFramePr>
            <a:graphic>
              <a:graphicData uri="http://schemas.openxmlformats.org/drawingml/2006/picture">
                <pic:pic>
                  <pic:nvPicPr>
                    <pic:cNvPr id="496" name="image288.jpeg"/>
                    <pic:cNvPicPr/>
                  </pic:nvPicPr>
                  <pic:blipFill>
                    <a:blip r:embed="rId350" cstate="print"/>
                    <a:stretch>
                      <a:fillRect/>
                    </a:stretch>
                  </pic:blipFill>
                  <pic:spPr>
                    <a:xfrm>
                      <a:off x="0" y="0"/>
                      <a:ext cx="2594277" cy="381000"/>
                    </a:xfrm>
                    <a:prstGeom prst="rect">
                      <a:avLst/>
                    </a:prstGeom>
                  </pic:spPr>
                </pic:pic>
              </a:graphicData>
            </a:graphic>
          </wp:anchor>
        </w:drawing>
      </w:r>
    </w:p>
    <w:p>
      <w:pPr>
        <w:pStyle w:val="BodyText"/>
        <w:rPr>
          <w:sz w:val="20"/>
        </w:rPr>
      </w:pPr>
    </w:p>
    <w:p>
      <w:pPr>
        <w:pStyle w:val="BodyText"/>
        <w:rPr>
          <w:sz w:val="20"/>
        </w:rPr>
      </w:pPr>
    </w:p>
    <w:p>
      <w:pPr>
        <w:pStyle w:val="BodyText"/>
        <w:spacing w:before="1"/>
        <w:rPr>
          <w:sz w:val="18"/>
        </w:rPr>
      </w:pPr>
    </w:p>
    <w:p>
      <w:pPr>
        <w:pStyle w:val="BodyText"/>
        <w:spacing w:before="1"/>
        <w:ind w:left="838"/>
      </w:pPr>
      <w:r>
        <w:rPr>
          <w:spacing w:val="-1"/>
          <w:w w:val="100"/>
        </w:rPr>
        <w:t>式中   </w:t>
      </w:r>
      <w:r>
        <w:rPr>
          <w:i/>
          <w:w w:val="96"/>
          <w:sz w:val="22"/>
        </w:rPr>
        <w:t> </w:t>
      </w:r>
      <w:r>
        <w:rPr>
          <w:i/>
          <w:spacing w:val="-3"/>
          <w:w w:val="96"/>
          <w:sz w:val="22"/>
        </w:rPr>
        <w:t>N</w:t>
      </w:r>
      <w:r>
        <w:rPr>
          <w:spacing w:val="-3"/>
          <w:w w:val="100"/>
        </w:rPr>
        <w:t>——探测器数量</w:t>
      </w:r>
      <w:r>
        <w:rPr>
          <w:w w:val="100"/>
        </w:rPr>
        <w:t>（只</w:t>
      </w:r>
      <w:r>
        <w:rPr>
          <w:spacing w:val="-108"/>
          <w:w w:val="100"/>
        </w:rPr>
        <w:t>）</w:t>
      </w:r>
      <w:r>
        <w:rPr>
          <w:w w:val="100"/>
        </w:rPr>
        <w:t>，N</w:t>
      </w:r>
      <w:r>
        <w:rPr>
          <w:spacing w:val="-3"/>
          <w:w w:val="100"/>
        </w:rPr>
        <w:t> 应取整数；</w:t>
      </w:r>
      <w:r>
        <w:rPr>
          <w:w w:val="100"/>
        </w:rPr>
        <w:t> </w:t>
      </w:r>
    </w:p>
    <w:p>
      <w:pPr>
        <w:pStyle w:val="BodyText"/>
        <w:spacing w:before="12"/>
        <w:rPr>
          <w:sz w:val="16"/>
        </w:rPr>
      </w:pPr>
    </w:p>
    <w:p>
      <w:pPr>
        <w:pStyle w:val="BodyText"/>
        <w:ind w:left="1677"/>
      </w:pPr>
      <w:r>
        <w:rPr>
          <w:i/>
          <w:w w:val="96"/>
          <w:sz w:val="22"/>
        </w:rPr>
        <w:t>S</w:t>
      </w:r>
      <w:r>
        <w:rPr>
          <w:spacing w:val="-3"/>
          <w:w w:val="100"/>
        </w:rPr>
        <w:t>——该探测区域面积（㎡</w:t>
      </w:r>
      <w:r>
        <w:rPr>
          <w:spacing w:val="-106"/>
          <w:w w:val="100"/>
        </w:rPr>
        <w:t>）</w:t>
      </w:r>
      <w:r>
        <w:rPr>
          <w:spacing w:val="-3"/>
          <w:w w:val="100"/>
        </w:rPr>
        <w:t>；</w:t>
      </w:r>
      <w:r>
        <w:rPr>
          <w:w w:val="100"/>
        </w:rPr>
        <w:t> </w:t>
      </w:r>
    </w:p>
    <w:p>
      <w:pPr>
        <w:pStyle w:val="BodyText"/>
        <w:spacing w:before="12"/>
        <w:rPr>
          <w:sz w:val="16"/>
        </w:rPr>
      </w:pPr>
    </w:p>
    <w:p>
      <w:pPr>
        <w:pStyle w:val="BodyText"/>
        <w:spacing w:line="434" w:lineRule="auto"/>
        <w:ind w:left="418" w:right="1330" w:firstLine="1259"/>
      </w:pPr>
      <w:r>
        <w:rPr>
          <w:i/>
          <w:sz w:val="22"/>
        </w:rPr>
        <w:t>K</w:t>
      </w:r>
      <w:r>
        <w:rPr/>
        <w:t>——修正系数，容纳人数超过 10000 人的公共场所宜取 0.7～0.8；容纳人数为2000 ～10000 人的公共场所宜取 0.8～0.9 ，容纳人数为 500 人～2000 人的公共场所宜取 </w:t>
      </w:r>
    </w:p>
    <w:p>
      <w:pPr>
        <w:pStyle w:val="BodyText"/>
        <w:spacing w:before="4"/>
        <w:ind w:left="418"/>
      </w:pPr>
      <w:r>
        <w:rPr/>
        <w:t>0.9～1.0</w:t>
      </w:r>
      <w:r>
        <w:rPr>
          <w:spacing w:val="-3"/>
        </w:rPr>
        <w:t> ，其他场所可取 </w:t>
      </w:r>
      <w:r>
        <w:rPr/>
        <w:t>1.0</w:t>
      </w:r>
      <w:r>
        <w:rPr>
          <w:spacing w:val="-1"/>
        </w:rPr>
        <w:t> ；</w:t>
      </w:r>
      <w:r>
        <w:rPr>
          <w:i/>
          <w:sz w:val="22"/>
        </w:rPr>
        <w:t>A</w:t>
      </w:r>
      <w:r>
        <w:rPr>
          <w:spacing w:val="-3"/>
        </w:rPr>
        <w:t>——探测器的保护面积</w:t>
      </w:r>
      <w:r>
        <w:rPr/>
        <w:t>（</w:t>
      </w:r>
      <w:r>
        <w:rPr>
          <w:spacing w:val="-3"/>
        </w:rPr>
        <w:t>㎡</w:t>
      </w:r>
      <w:r>
        <w:rPr>
          <w:spacing w:val="-106"/>
        </w:rPr>
        <w:t>）</w:t>
      </w:r>
      <w:r>
        <w:rPr>
          <w:spacing w:val="-3"/>
        </w:rPr>
        <w:t>。</w:t>
      </w:r>
      <w:r>
        <w:rPr/>
        <w:t> </w:t>
      </w:r>
    </w:p>
    <w:p>
      <w:pPr>
        <w:pStyle w:val="BodyText"/>
        <w:spacing w:before="10"/>
        <w:rPr>
          <w:sz w:val="17"/>
        </w:rPr>
      </w:pPr>
    </w:p>
    <w:p>
      <w:pPr>
        <w:pStyle w:val="ListParagraph"/>
        <w:numPr>
          <w:ilvl w:val="2"/>
          <w:numId w:val="631"/>
        </w:numPr>
        <w:tabs>
          <w:tab w:pos="1370" w:val="left" w:leader="none"/>
        </w:tabs>
        <w:spacing w:line="240" w:lineRule="auto" w:before="0" w:after="0"/>
        <w:ind w:left="1369" w:right="0" w:hanging="530"/>
        <w:jc w:val="left"/>
        <w:rPr>
          <w:sz w:val="21"/>
        </w:rPr>
      </w:pPr>
      <w:r>
        <w:rPr>
          <w:spacing w:val="-3"/>
          <w:sz w:val="21"/>
        </w:rPr>
        <w:t>在有梁的顶棚上设置点型感烟火灾探测器、感温火灾探测器时，应符合下列规定：</w:t>
      </w:r>
      <w:r>
        <w:rPr>
          <w:sz w:val="21"/>
        </w:rPr>
        <w:t> </w:t>
      </w:r>
    </w:p>
    <w:p>
      <w:pPr>
        <w:pStyle w:val="BodyText"/>
        <w:spacing w:before="1"/>
        <w:rPr>
          <w:sz w:val="18"/>
        </w:rPr>
      </w:pPr>
    </w:p>
    <w:p>
      <w:pPr>
        <w:pStyle w:val="ListParagraph"/>
        <w:numPr>
          <w:ilvl w:val="0"/>
          <w:numId w:val="633"/>
        </w:numPr>
        <w:tabs>
          <w:tab w:pos="1367" w:val="left" w:leader="none"/>
        </w:tabs>
        <w:spacing w:line="240" w:lineRule="auto" w:before="1" w:after="0"/>
        <w:ind w:left="1367" w:right="0" w:hanging="529"/>
        <w:jc w:val="left"/>
        <w:rPr>
          <w:sz w:val="21"/>
        </w:rPr>
      </w:pPr>
      <w:r>
        <w:rPr>
          <w:spacing w:val="-3"/>
          <w:sz w:val="21"/>
        </w:rPr>
        <w:t>当梁突出顶棚的高度小于 </w:t>
      </w:r>
      <w:r>
        <w:rPr>
          <w:sz w:val="21"/>
        </w:rPr>
        <w:t>200mm</w:t>
      </w:r>
      <w:r>
        <w:rPr>
          <w:spacing w:val="-3"/>
          <w:sz w:val="21"/>
        </w:rPr>
        <w:t> 时，可不计梁对探测器保护面积的影响。 </w:t>
      </w:r>
    </w:p>
    <w:p>
      <w:pPr>
        <w:spacing w:after="0" w:line="240" w:lineRule="auto"/>
        <w:jc w:val="left"/>
        <w:rPr>
          <w:sz w:val="21"/>
        </w:rPr>
        <w:sectPr>
          <w:pgSz w:w="11910" w:h="16850"/>
          <w:pgMar w:header="0" w:footer="1239" w:top="1320" w:bottom="1420" w:left="1260" w:right="0"/>
        </w:sectPr>
      </w:pPr>
    </w:p>
    <w:p>
      <w:pPr>
        <w:pStyle w:val="ListParagraph"/>
        <w:numPr>
          <w:ilvl w:val="0"/>
          <w:numId w:val="633"/>
        </w:numPr>
        <w:tabs>
          <w:tab w:pos="1367" w:val="left" w:leader="none"/>
        </w:tabs>
        <w:spacing w:line="446" w:lineRule="auto" w:before="47" w:after="0"/>
        <w:ind w:left="418" w:right="1433" w:firstLine="419"/>
        <w:jc w:val="left"/>
        <w:rPr>
          <w:sz w:val="21"/>
        </w:rPr>
      </w:pPr>
      <w:r>
        <w:rPr>
          <w:spacing w:val="-2"/>
          <w:sz w:val="21"/>
        </w:rPr>
        <w:t>当梁突出顶棚的高度为 </w:t>
      </w:r>
      <w:r>
        <w:rPr>
          <w:sz w:val="21"/>
        </w:rPr>
        <w:t>200mm～600mm</w:t>
      </w:r>
      <w:r>
        <w:rPr>
          <w:spacing w:val="-1"/>
          <w:sz w:val="21"/>
        </w:rPr>
        <w:t> 时，应按本规范附录 </w:t>
      </w:r>
      <w:r>
        <w:rPr>
          <w:sz w:val="21"/>
        </w:rPr>
        <w:t>F</w:t>
      </w:r>
      <w:r>
        <w:rPr>
          <w:spacing w:val="5"/>
          <w:sz w:val="21"/>
        </w:rPr>
        <w:t> 、附录 </w:t>
      </w:r>
      <w:r>
        <w:rPr>
          <w:spacing w:val="-3"/>
          <w:sz w:val="21"/>
        </w:rPr>
        <w:t>G</w:t>
      </w:r>
      <w:r>
        <w:rPr>
          <w:sz w:val="21"/>
        </w:rPr>
        <w:t> 确定梁对探</w:t>
      </w:r>
      <w:r>
        <w:rPr>
          <w:spacing w:val="-3"/>
          <w:sz w:val="21"/>
        </w:rPr>
        <w:t>测器保护面积的影响和一只探测器能够保护的梁间区域的数量。</w:t>
      </w:r>
      <w:r>
        <w:rPr>
          <w:sz w:val="21"/>
        </w:rPr>
        <w:t> </w:t>
      </w:r>
    </w:p>
    <w:p>
      <w:pPr>
        <w:pStyle w:val="ListParagraph"/>
        <w:numPr>
          <w:ilvl w:val="0"/>
          <w:numId w:val="633"/>
        </w:numPr>
        <w:tabs>
          <w:tab w:pos="1365" w:val="left" w:leader="none"/>
        </w:tabs>
        <w:spacing w:line="267" w:lineRule="exact" w:before="0" w:after="0"/>
        <w:ind w:left="1364" w:right="0" w:hanging="527"/>
        <w:jc w:val="left"/>
        <w:rPr>
          <w:sz w:val="21"/>
        </w:rPr>
      </w:pPr>
      <w:r>
        <w:rPr>
          <w:spacing w:val="-3"/>
          <w:sz w:val="21"/>
        </w:rPr>
        <w:t>当梁突出顶棚的高度超过 </w:t>
      </w:r>
      <w:r>
        <w:rPr>
          <w:sz w:val="21"/>
        </w:rPr>
        <w:t>600mm</w:t>
      </w:r>
      <w:r>
        <w:rPr>
          <w:spacing w:val="-15"/>
          <w:sz w:val="21"/>
        </w:rPr>
        <w:t> 时，被梁隔断的每个梁间区域应至少设置一只探测器。</w:t>
      </w:r>
      <w:r>
        <w:rPr>
          <w:sz w:val="21"/>
        </w:rPr>
        <w:t> </w:t>
      </w:r>
    </w:p>
    <w:p>
      <w:pPr>
        <w:pStyle w:val="BodyText"/>
        <w:spacing w:before="2"/>
        <w:rPr>
          <w:sz w:val="18"/>
        </w:rPr>
      </w:pPr>
    </w:p>
    <w:p>
      <w:pPr>
        <w:pStyle w:val="ListParagraph"/>
        <w:numPr>
          <w:ilvl w:val="0"/>
          <w:numId w:val="633"/>
        </w:numPr>
        <w:tabs>
          <w:tab w:pos="1388" w:val="left" w:leader="none"/>
        </w:tabs>
        <w:spacing w:line="446" w:lineRule="auto" w:before="0" w:after="0"/>
        <w:ind w:left="418" w:right="1330" w:firstLine="419"/>
        <w:jc w:val="left"/>
        <w:rPr>
          <w:sz w:val="21"/>
        </w:rPr>
      </w:pPr>
      <w:r>
        <w:rPr>
          <w:spacing w:val="4"/>
          <w:sz w:val="21"/>
        </w:rPr>
        <w:t>当被梁隔断的区域面积超过一只探测器的保护面积时，被隔断的区域应按本规范第</w:t>
      </w:r>
      <w:r>
        <w:rPr>
          <w:sz w:val="21"/>
        </w:rPr>
        <w:t>6.2.2</w:t>
      </w:r>
      <w:r>
        <w:rPr>
          <w:spacing w:val="-2"/>
          <w:sz w:val="21"/>
        </w:rPr>
        <w:t> 条第 </w:t>
      </w:r>
      <w:r>
        <w:rPr>
          <w:sz w:val="21"/>
        </w:rPr>
        <w:t>4</w:t>
      </w:r>
      <w:r>
        <w:rPr>
          <w:spacing w:val="-3"/>
          <w:sz w:val="21"/>
        </w:rPr>
        <w:t> 款规定计算探测器的设置数量。</w:t>
      </w:r>
      <w:r>
        <w:rPr>
          <w:sz w:val="21"/>
        </w:rPr>
        <w:t> </w:t>
      </w:r>
    </w:p>
    <w:p>
      <w:pPr>
        <w:pStyle w:val="ListParagraph"/>
        <w:numPr>
          <w:ilvl w:val="0"/>
          <w:numId w:val="633"/>
        </w:numPr>
        <w:tabs>
          <w:tab w:pos="1367" w:val="left" w:leader="none"/>
        </w:tabs>
        <w:spacing w:line="267" w:lineRule="exact" w:before="0" w:after="0"/>
        <w:ind w:left="1367" w:right="0" w:hanging="529"/>
        <w:jc w:val="left"/>
        <w:rPr>
          <w:sz w:val="21"/>
        </w:rPr>
      </w:pPr>
      <w:r>
        <w:rPr>
          <w:spacing w:val="-3"/>
          <w:sz w:val="21"/>
        </w:rPr>
        <w:t>当梁间净距小于 </w:t>
      </w:r>
      <w:r>
        <w:rPr>
          <w:sz w:val="21"/>
        </w:rPr>
        <w:t>1m</w:t>
      </w:r>
      <w:r>
        <w:rPr>
          <w:spacing w:val="-3"/>
          <w:sz w:val="21"/>
        </w:rPr>
        <w:t> 时，可不计梁对探测器保护面积的影响。</w:t>
      </w:r>
      <w:r>
        <w:rPr>
          <w:sz w:val="21"/>
        </w:rPr>
        <w:t> </w:t>
      </w:r>
    </w:p>
    <w:p>
      <w:pPr>
        <w:pStyle w:val="BodyText"/>
        <w:spacing w:before="2"/>
        <w:rPr>
          <w:sz w:val="18"/>
        </w:rPr>
      </w:pPr>
    </w:p>
    <w:p>
      <w:pPr>
        <w:pStyle w:val="ListParagraph"/>
        <w:numPr>
          <w:ilvl w:val="2"/>
          <w:numId w:val="631"/>
        </w:numPr>
        <w:tabs>
          <w:tab w:pos="1371" w:val="left" w:leader="none"/>
        </w:tabs>
        <w:spacing w:line="446" w:lineRule="auto" w:before="0" w:after="0"/>
        <w:ind w:left="418" w:right="1431" w:firstLine="422"/>
        <w:jc w:val="both"/>
        <w:rPr>
          <w:sz w:val="21"/>
        </w:rPr>
      </w:pPr>
      <w:r>
        <w:rPr>
          <w:spacing w:val="-1"/>
          <w:sz w:val="21"/>
        </w:rPr>
        <w:t>在宽度小于 </w:t>
      </w:r>
      <w:r>
        <w:rPr>
          <w:sz w:val="21"/>
        </w:rPr>
        <w:t>3m</w:t>
      </w:r>
      <w:r>
        <w:rPr>
          <w:spacing w:val="-5"/>
          <w:sz w:val="21"/>
        </w:rPr>
        <w:t> 的内走道顶棚上设置点型探测器时，宜居中布置。感温火灾探测器的</w:t>
      </w:r>
      <w:r>
        <w:rPr>
          <w:spacing w:val="-1"/>
          <w:sz w:val="21"/>
        </w:rPr>
        <w:t>安装间距不应超过 </w:t>
      </w:r>
      <w:r>
        <w:rPr>
          <w:sz w:val="21"/>
        </w:rPr>
        <w:t>10m</w:t>
      </w:r>
      <w:r>
        <w:rPr>
          <w:spacing w:val="-2"/>
          <w:sz w:val="21"/>
        </w:rPr>
        <w:t> ； 感烟火灾探测器的安装间距不应超过 </w:t>
      </w:r>
      <w:r>
        <w:rPr>
          <w:sz w:val="21"/>
        </w:rPr>
        <w:t>15m</w:t>
      </w:r>
      <w:r>
        <w:rPr>
          <w:spacing w:val="-1"/>
          <w:sz w:val="21"/>
        </w:rPr>
        <w:t> ；探测器至端墙的距离， </w:t>
      </w:r>
      <w:r>
        <w:rPr>
          <w:spacing w:val="-3"/>
          <w:sz w:val="21"/>
        </w:rPr>
        <w:t>不应大于探测器安装间距的 </w:t>
      </w:r>
      <w:r>
        <w:rPr>
          <w:sz w:val="21"/>
        </w:rPr>
        <w:t>1/2</w:t>
      </w:r>
      <w:r>
        <w:rPr>
          <w:spacing w:val="-2"/>
          <w:sz w:val="21"/>
        </w:rPr>
        <w:t> 。</w:t>
      </w:r>
      <w:r>
        <w:rPr>
          <w:sz w:val="21"/>
        </w:rPr>
        <w:t> </w:t>
      </w:r>
    </w:p>
    <w:p>
      <w:pPr>
        <w:pStyle w:val="ListParagraph"/>
        <w:numPr>
          <w:ilvl w:val="2"/>
          <w:numId w:val="631"/>
        </w:numPr>
        <w:tabs>
          <w:tab w:pos="1370" w:val="left" w:leader="none"/>
        </w:tabs>
        <w:spacing w:line="268" w:lineRule="exact" w:before="0" w:after="0"/>
        <w:ind w:left="1369" w:right="0" w:hanging="530"/>
        <w:jc w:val="left"/>
        <w:rPr>
          <w:sz w:val="21"/>
        </w:rPr>
      </w:pPr>
      <w:r>
        <w:rPr>
          <w:spacing w:val="-3"/>
          <w:sz w:val="21"/>
        </w:rPr>
        <w:t>点型探测器至墙壁、梁边的水平距离，不应小于 </w:t>
      </w:r>
      <w:r>
        <w:rPr>
          <w:sz w:val="21"/>
        </w:rPr>
        <w:t>0.5m</w:t>
      </w:r>
      <w:r>
        <w:rPr>
          <w:spacing w:val="-3"/>
          <w:sz w:val="21"/>
        </w:rPr>
        <w:t> 。</w:t>
      </w:r>
      <w:r>
        <w:rPr>
          <w:sz w:val="21"/>
        </w:rPr>
        <w:t> </w:t>
      </w:r>
    </w:p>
    <w:p>
      <w:pPr>
        <w:pStyle w:val="BodyText"/>
        <w:spacing w:before="12"/>
        <w:rPr>
          <w:sz w:val="17"/>
        </w:rPr>
      </w:pPr>
    </w:p>
    <w:p>
      <w:pPr>
        <w:pStyle w:val="ListParagraph"/>
        <w:numPr>
          <w:ilvl w:val="2"/>
          <w:numId w:val="631"/>
        </w:numPr>
        <w:tabs>
          <w:tab w:pos="1370" w:val="left" w:leader="none"/>
        </w:tabs>
        <w:spacing w:line="240" w:lineRule="auto" w:before="0" w:after="0"/>
        <w:ind w:left="1369" w:right="0" w:hanging="530"/>
        <w:jc w:val="left"/>
        <w:rPr>
          <w:sz w:val="21"/>
        </w:rPr>
      </w:pPr>
      <w:r>
        <w:rPr>
          <w:spacing w:val="-3"/>
          <w:sz w:val="21"/>
        </w:rPr>
        <w:t>点型探测器周围 </w:t>
      </w:r>
      <w:r>
        <w:rPr>
          <w:sz w:val="21"/>
        </w:rPr>
        <w:t>0.5m</w:t>
      </w:r>
      <w:r>
        <w:rPr>
          <w:spacing w:val="-3"/>
          <w:sz w:val="21"/>
        </w:rPr>
        <w:t> 内，不应有遮挡物。</w:t>
      </w:r>
      <w:r>
        <w:rPr>
          <w:sz w:val="21"/>
        </w:rPr>
        <w:t> </w:t>
      </w:r>
    </w:p>
    <w:p>
      <w:pPr>
        <w:pStyle w:val="BodyText"/>
        <w:rPr>
          <w:sz w:val="18"/>
        </w:rPr>
      </w:pPr>
    </w:p>
    <w:p>
      <w:pPr>
        <w:pStyle w:val="ListParagraph"/>
        <w:numPr>
          <w:ilvl w:val="2"/>
          <w:numId w:val="631"/>
        </w:numPr>
        <w:tabs>
          <w:tab w:pos="1371" w:val="left" w:leader="none"/>
        </w:tabs>
        <w:spacing w:line="446" w:lineRule="auto" w:before="0" w:after="0"/>
        <w:ind w:left="418" w:right="1328" w:firstLine="422"/>
        <w:jc w:val="left"/>
        <w:rPr>
          <w:sz w:val="21"/>
        </w:rPr>
      </w:pPr>
      <w:r>
        <w:rPr>
          <w:spacing w:val="-2"/>
          <w:sz w:val="21"/>
        </w:rPr>
        <w:t>房间被书架、设备或隔断等分隔，其顶部至顶棚或梁的距离小于房间净高的 </w:t>
      </w:r>
      <w:r>
        <w:rPr>
          <w:sz w:val="21"/>
        </w:rPr>
        <w:t>5%</w:t>
      </w:r>
      <w:r>
        <w:rPr>
          <w:spacing w:val="9"/>
          <w:sz w:val="21"/>
        </w:rPr>
        <w:t> 时， </w:t>
      </w:r>
      <w:r>
        <w:rPr>
          <w:spacing w:val="-3"/>
          <w:sz w:val="21"/>
        </w:rPr>
        <w:t>每个被隔开的部分应至少安装一只点型探测器。</w:t>
      </w:r>
      <w:r>
        <w:rPr>
          <w:sz w:val="21"/>
        </w:rPr>
        <w:t> </w:t>
      </w:r>
    </w:p>
    <w:p>
      <w:pPr>
        <w:pStyle w:val="ListParagraph"/>
        <w:numPr>
          <w:ilvl w:val="2"/>
          <w:numId w:val="631"/>
        </w:numPr>
        <w:tabs>
          <w:tab w:pos="1370" w:val="left" w:leader="none"/>
        </w:tabs>
        <w:spacing w:line="446" w:lineRule="auto" w:before="0" w:after="0"/>
        <w:ind w:left="418" w:right="1604" w:firstLine="422"/>
        <w:jc w:val="left"/>
        <w:rPr>
          <w:sz w:val="21"/>
        </w:rPr>
      </w:pPr>
      <w:r>
        <w:rPr>
          <w:spacing w:val="-3"/>
          <w:sz w:val="21"/>
        </w:rPr>
        <w:t>点型探测器至空调送风口边的水平距离不应小于 </w:t>
      </w:r>
      <w:r>
        <w:rPr>
          <w:sz w:val="21"/>
        </w:rPr>
        <w:t>1.5m</w:t>
      </w:r>
      <w:r>
        <w:rPr>
          <w:spacing w:val="-3"/>
          <w:sz w:val="21"/>
        </w:rPr>
        <w:t> ，并宜接近回风口安装。探测器至多孔送风顶棚孔口的水平距离不应小于 </w:t>
      </w:r>
      <w:r>
        <w:rPr>
          <w:sz w:val="21"/>
        </w:rPr>
        <w:t>0.5m</w:t>
      </w:r>
      <w:r>
        <w:rPr>
          <w:spacing w:val="-1"/>
          <w:sz w:val="21"/>
        </w:rPr>
        <w:t> 。</w:t>
      </w:r>
      <w:r>
        <w:rPr>
          <w:sz w:val="21"/>
        </w:rPr>
        <w:t> </w:t>
      </w:r>
    </w:p>
    <w:p>
      <w:pPr>
        <w:pStyle w:val="ListParagraph"/>
        <w:numPr>
          <w:ilvl w:val="2"/>
          <w:numId w:val="631"/>
        </w:numPr>
        <w:tabs>
          <w:tab w:pos="1370" w:val="left" w:leader="none"/>
        </w:tabs>
        <w:spacing w:line="240" w:lineRule="auto" w:before="0" w:after="0"/>
        <w:ind w:left="1369" w:right="0" w:hanging="530"/>
        <w:jc w:val="left"/>
        <w:rPr>
          <w:sz w:val="21"/>
        </w:rPr>
      </w:pPr>
      <w:r>
        <w:rPr>
          <w:spacing w:val="-3"/>
          <w:sz w:val="21"/>
        </w:rPr>
        <w:t>当屋顶有热屏障时，点型感烟火灾探测器下表面至顶棚或屋顶的距离，应符合表</w:t>
      </w:r>
      <w:r>
        <w:rPr>
          <w:sz w:val="21"/>
        </w:rPr>
        <w:t> </w:t>
      </w:r>
    </w:p>
    <w:p>
      <w:pPr>
        <w:pStyle w:val="BodyText"/>
        <w:spacing w:before="12"/>
        <w:rPr>
          <w:sz w:val="17"/>
        </w:rPr>
      </w:pPr>
    </w:p>
    <w:p>
      <w:pPr>
        <w:pStyle w:val="ListParagraph"/>
        <w:numPr>
          <w:ilvl w:val="2"/>
          <w:numId w:val="634"/>
        </w:numPr>
        <w:tabs>
          <w:tab w:pos="948" w:val="left" w:leader="none"/>
        </w:tabs>
        <w:spacing w:line="240" w:lineRule="auto" w:before="0" w:after="0"/>
        <w:ind w:left="947" w:right="0" w:hanging="530"/>
        <w:jc w:val="left"/>
        <w:rPr>
          <w:sz w:val="19"/>
        </w:rPr>
      </w:pPr>
      <w:r>
        <w:rPr>
          <w:spacing w:val="-3"/>
          <w:sz w:val="21"/>
        </w:rPr>
        <w:t>的规定。</w:t>
      </w:r>
      <w:r>
        <w:rPr>
          <w:sz w:val="21"/>
        </w:rPr>
        <w:t> </w:t>
      </w:r>
    </w:p>
    <w:p>
      <w:pPr>
        <w:pStyle w:val="BodyText"/>
        <w:spacing w:before="11"/>
      </w:pPr>
      <w:r>
        <w:rPr/>
        <w:drawing>
          <wp:anchor distT="0" distB="0" distL="0" distR="0" allowOverlap="1" layoutInCell="1" locked="0" behindDoc="0" simplePos="0" relativeHeight="210">
            <wp:simplePos x="0" y="0"/>
            <wp:positionH relativeFrom="page">
              <wp:posOffset>1227455</wp:posOffset>
            </wp:positionH>
            <wp:positionV relativeFrom="paragraph">
              <wp:posOffset>203010</wp:posOffset>
            </wp:positionV>
            <wp:extent cx="4920023" cy="2538984"/>
            <wp:effectExtent l="0" t="0" r="0" b="0"/>
            <wp:wrapTopAndBottom/>
            <wp:docPr id="497" name="image289.jpeg"/>
            <wp:cNvGraphicFramePr>
              <a:graphicFrameLocks noChangeAspect="1"/>
            </wp:cNvGraphicFramePr>
            <a:graphic>
              <a:graphicData uri="http://schemas.openxmlformats.org/drawingml/2006/picture">
                <pic:pic>
                  <pic:nvPicPr>
                    <pic:cNvPr id="498" name="image289.jpeg"/>
                    <pic:cNvPicPr/>
                  </pic:nvPicPr>
                  <pic:blipFill>
                    <a:blip r:embed="rId351" cstate="print"/>
                    <a:stretch>
                      <a:fillRect/>
                    </a:stretch>
                  </pic:blipFill>
                  <pic:spPr>
                    <a:xfrm>
                      <a:off x="0" y="0"/>
                      <a:ext cx="4920023" cy="2538984"/>
                    </a:xfrm>
                    <a:prstGeom prst="rect">
                      <a:avLst/>
                    </a:prstGeom>
                  </pic:spPr>
                </pic:pic>
              </a:graphicData>
            </a:graphic>
          </wp:anchor>
        </w:drawing>
      </w:r>
    </w:p>
    <w:p>
      <w:pPr>
        <w:pStyle w:val="BodyText"/>
        <w:rPr>
          <w:sz w:val="20"/>
        </w:rPr>
      </w:pPr>
    </w:p>
    <w:p>
      <w:pPr>
        <w:pStyle w:val="BodyText"/>
        <w:rPr>
          <w:sz w:val="20"/>
        </w:rPr>
      </w:pPr>
    </w:p>
    <w:p>
      <w:pPr>
        <w:pStyle w:val="BodyText"/>
        <w:spacing w:before="5"/>
        <w:rPr>
          <w:sz w:val="19"/>
        </w:rPr>
      </w:pPr>
    </w:p>
    <w:p>
      <w:pPr>
        <w:pStyle w:val="ListParagraph"/>
        <w:numPr>
          <w:ilvl w:val="2"/>
          <w:numId w:val="634"/>
        </w:numPr>
        <w:tabs>
          <w:tab w:pos="1478" w:val="left" w:leader="none"/>
        </w:tabs>
        <w:spacing w:line="240" w:lineRule="auto" w:before="0" w:after="0"/>
        <w:ind w:left="1477" w:right="0" w:hanging="638"/>
        <w:jc w:val="left"/>
        <w:rPr>
          <w:sz w:val="19"/>
        </w:rPr>
      </w:pPr>
      <w:r>
        <w:rPr>
          <w:sz w:val="21"/>
        </w:rPr>
        <w:t>锯齿形屋顶和坡度大于 15</w:t>
      </w:r>
      <w:r>
        <w:rPr>
          <w:spacing w:val="-3"/>
          <w:sz w:val="21"/>
        </w:rPr>
        <w:t>°的人字形屋顶，应在每个屋脊处设置一排点型探测器，</w:t>
      </w:r>
    </w:p>
    <w:p>
      <w:pPr>
        <w:spacing w:after="0" w:line="240" w:lineRule="auto"/>
        <w:jc w:val="left"/>
        <w:rPr>
          <w:sz w:val="19"/>
        </w:rPr>
        <w:sectPr>
          <w:pgSz w:w="11910" w:h="16850"/>
          <w:pgMar w:header="0" w:footer="1239" w:top="1220" w:bottom="1420" w:left="1260" w:right="0"/>
        </w:sectPr>
      </w:pPr>
    </w:p>
    <w:p>
      <w:pPr>
        <w:pStyle w:val="BodyText"/>
        <w:spacing w:line="446" w:lineRule="auto" w:before="47"/>
        <w:ind w:left="840" w:right="2972" w:hanging="423"/>
      </w:pPr>
      <w:r>
        <w:rPr/>
        <w:t>探测器下表面至屋顶最高处的距离，应符合本规范第 6.2.9 条的规定。</w:t>
      </w:r>
      <w:r>
        <w:rPr>
          <w:b/>
        </w:rPr>
        <w:t>6.2.11 </w:t>
      </w:r>
      <w:r>
        <w:rPr/>
        <w:t>点型探测器宜水平安装。当倾斜安装时，倾斜角不应大于 45°。 </w:t>
      </w:r>
    </w:p>
    <w:p>
      <w:pPr>
        <w:pStyle w:val="ListParagraph"/>
        <w:numPr>
          <w:ilvl w:val="2"/>
          <w:numId w:val="635"/>
        </w:numPr>
        <w:tabs>
          <w:tab w:pos="1478" w:val="left" w:leader="none"/>
        </w:tabs>
        <w:spacing w:line="267" w:lineRule="exact" w:before="0" w:after="0"/>
        <w:ind w:left="1477" w:right="0" w:hanging="638"/>
        <w:jc w:val="left"/>
        <w:rPr>
          <w:sz w:val="21"/>
        </w:rPr>
      </w:pPr>
      <w:r>
        <w:rPr>
          <w:spacing w:val="-3"/>
          <w:sz w:val="21"/>
        </w:rPr>
        <w:t>在电梯井、升降机井设置点型探测器时，其位置宜在井道上方的机房顶棚上。 </w:t>
      </w:r>
    </w:p>
    <w:p>
      <w:pPr>
        <w:pStyle w:val="BodyText"/>
        <w:spacing w:before="2"/>
        <w:rPr>
          <w:sz w:val="18"/>
        </w:rPr>
      </w:pPr>
    </w:p>
    <w:p>
      <w:pPr>
        <w:pStyle w:val="ListParagraph"/>
        <w:numPr>
          <w:ilvl w:val="2"/>
          <w:numId w:val="635"/>
        </w:numPr>
        <w:tabs>
          <w:tab w:pos="1478" w:val="left" w:leader="none"/>
        </w:tabs>
        <w:spacing w:line="240" w:lineRule="auto" w:before="0" w:after="0"/>
        <w:ind w:left="1477" w:right="0" w:hanging="638"/>
        <w:jc w:val="left"/>
        <w:rPr>
          <w:sz w:val="21"/>
        </w:rPr>
      </w:pPr>
      <w:r>
        <w:rPr>
          <w:spacing w:val="-3"/>
          <w:sz w:val="21"/>
        </w:rPr>
        <w:t>一氧化碳火灾探测器可设置在气体能够扩散到的任何部位。</w:t>
      </w:r>
      <w:r>
        <w:rPr>
          <w:sz w:val="21"/>
        </w:rPr>
        <w:t> </w:t>
      </w:r>
    </w:p>
    <w:p>
      <w:pPr>
        <w:pStyle w:val="BodyText"/>
        <w:rPr>
          <w:sz w:val="18"/>
        </w:rPr>
      </w:pPr>
    </w:p>
    <w:p>
      <w:pPr>
        <w:pStyle w:val="ListParagraph"/>
        <w:numPr>
          <w:ilvl w:val="2"/>
          <w:numId w:val="635"/>
        </w:numPr>
        <w:tabs>
          <w:tab w:pos="1478" w:val="left" w:leader="none"/>
        </w:tabs>
        <w:spacing w:line="240" w:lineRule="auto" w:before="0" w:after="0"/>
        <w:ind w:left="1477" w:right="0" w:hanging="638"/>
        <w:jc w:val="left"/>
        <w:rPr>
          <w:sz w:val="21"/>
        </w:rPr>
      </w:pPr>
      <w:r>
        <w:rPr>
          <w:spacing w:val="-3"/>
          <w:sz w:val="21"/>
        </w:rPr>
        <w:t>火焰探测器和图像型火灾探测器的设置，应符合下列规定：</w:t>
      </w:r>
      <w:r>
        <w:rPr>
          <w:sz w:val="21"/>
        </w:rPr>
        <w:t> </w:t>
      </w:r>
    </w:p>
    <w:p>
      <w:pPr>
        <w:pStyle w:val="BodyText"/>
        <w:spacing w:before="12"/>
        <w:rPr>
          <w:sz w:val="17"/>
        </w:rPr>
      </w:pPr>
    </w:p>
    <w:p>
      <w:pPr>
        <w:pStyle w:val="ListParagraph"/>
        <w:numPr>
          <w:ilvl w:val="0"/>
          <w:numId w:val="636"/>
        </w:numPr>
        <w:tabs>
          <w:tab w:pos="1365" w:val="left" w:leader="none"/>
        </w:tabs>
        <w:spacing w:line="446" w:lineRule="auto" w:before="0" w:after="0"/>
        <w:ind w:left="418" w:right="1433" w:firstLine="419"/>
        <w:jc w:val="left"/>
        <w:rPr>
          <w:sz w:val="21"/>
        </w:rPr>
      </w:pPr>
      <w:r>
        <w:rPr>
          <w:spacing w:val="-5"/>
          <w:sz w:val="21"/>
        </w:rPr>
        <w:t>应计及探测器的探测视角及最大探测距离，可通过选择探测距离长、火灾报警响应时</w:t>
      </w:r>
      <w:r>
        <w:rPr>
          <w:spacing w:val="-4"/>
          <w:sz w:val="21"/>
        </w:rPr>
        <w:t>间短的火焰探测器，提高保护面积要求和报警时间要求。</w:t>
      </w:r>
      <w:r>
        <w:rPr>
          <w:sz w:val="21"/>
        </w:rPr>
        <w:t> </w:t>
      </w:r>
    </w:p>
    <w:p>
      <w:pPr>
        <w:pStyle w:val="ListParagraph"/>
        <w:numPr>
          <w:ilvl w:val="0"/>
          <w:numId w:val="636"/>
        </w:numPr>
        <w:tabs>
          <w:tab w:pos="1367" w:val="left" w:leader="none"/>
        </w:tabs>
        <w:spacing w:line="240" w:lineRule="auto" w:before="1" w:after="0"/>
        <w:ind w:left="1367" w:right="0" w:hanging="529"/>
        <w:jc w:val="left"/>
        <w:rPr>
          <w:sz w:val="21"/>
        </w:rPr>
      </w:pPr>
      <w:r>
        <w:rPr>
          <w:spacing w:val="-3"/>
          <w:sz w:val="21"/>
        </w:rPr>
        <w:t>探测器的探测视角内不应存在遮挡物。</w:t>
      </w:r>
      <w:r>
        <w:rPr>
          <w:sz w:val="21"/>
        </w:rPr>
        <w:t> </w:t>
      </w:r>
    </w:p>
    <w:p>
      <w:pPr>
        <w:pStyle w:val="BodyText"/>
        <w:spacing w:before="12"/>
        <w:rPr>
          <w:sz w:val="17"/>
        </w:rPr>
      </w:pPr>
    </w:p>
    <w:p>
      <w:pPr>
        <w:pStyle w:val="ListParagraph"/>
        <w:numPr>
          <w:ilvl w:val="0"/>
          <w:numId w:val="636"/>
        </w:numPr>
        <w:tabs>
          <w:tab w:pos="1367" w:val="left" w:leader="none"/>
        </w:tabs>
        <w:spacing w:line="240" w:lineRule="auto" w:before="0" w:after="0"/>
        <w:ind w:left="1367" w:right="0" w:hanging="529"/>
        <w:jc w:val="left"/>
        <w:rPr>
          <w:sz w:val="21"/>
        </w:rPr>
      </w:pPr>
      <w:r>
        <w:rPr>
          <w:spacing w:val="-3"/>
          <w:sz w:val="21"/>
        </w:rPr>
        <w:t>应避免光源直接照射在探测器的探测窗口。</w:t>
      </w:r>
      <w:r>
        <w:rPr>
          <w:sz w:val="21"/>
        </w:rPr>
        <w:t> </w:t>
      </w:r>
    </w:p>
    <w:p>
      <w:pPr>
        <w:pStyle w:val="BodyText"/>
        <w:spacing w:before="2"/>
        <w:rPr>
          <w:sz w:val="18"/>
        </w:rPr>
      </w:pPr>
    </w:p>
    <w:p>
      <w:pPr>
        <w:pStyle w:val="ListParagraph"/>
        <w:numPr>
          <w:ilvl w:val="0"/>
          <w:numId w:val="636"/>
        </w:numPr>
        <w:tabs>
          <w:tab w:pos="1367" w:val="left" w:leader="none"/>
        </w:tabs>
        <w:spacing w:line="446" w:lineRule="auto" w:before="0" w:after="0"/>
        <w:ind w:left="840" w:right="36" w:hanging="3"/>
        <w:jc w:val="left"/>
        <w:rPr>
          <w:sz w:val="21"/>
        </w:rPr>
      </w:pPr>
      <w:r>
        <w:rPr>
          <w:spacing w:val="-3"/>
          <w:sz w:val="21"/>
        </w:rPr>
        <w:t>单波段的火焰探测器不应设置在平时有阳光、白炽灯等光源直接或间接照射的场所。         </w:t>
      </w:r>
      <w:r>
        <w:rPr>
          <w:b/>
          <w:spacing w:val="-3"/>
          <w:sz w:val="21"/>
        </w:rPr>
        <w:t>6.2.15 </w:t>
      </w:r>
      <w:r>
        <w:rPr>
          <w:spacing w:val="-3"/>
          <w:sz w:val="21"/>
        </w:rPr>
        <w:t>线型光束感烟火灾探测器的设置应符合下列规定：</w:t>
      </w:r>
      <w:r>
        <w:rPr>
          <w:sz w:val="21"/>
        </w:rPr>
        <w:t> </w:t>
      </w:r>
    </w:p>
    <w:p>
      <w:pPr>
        <w:pStyle w:val="ListParagraph"/>
        <w:numPr>
          <w:ilvl w:val="0"/>
          <w:numId w:val="637"/>
        </w:numPr>
        <w:tabs>
          <w:tab w:pos="1367" w:val="left" w:leader="none"/>
        </w:tabs>
        <w:spacing w:line="267" w:lineRule="exact" w:before="0" w:after="0"/>
        <w:ind w:left="1367" w:right="0" w:hanging="529"/>
        <w:jc w:val="left"/>
        <w:rPr>
          <w:sz w:val="21"/>
        </w:rPr>
      </w:pPr>
      <w:r>
        <w:rPr>
          <w:spacing w:val="-3"/>
          <w:sz w:val="21"/>
        </w:rPr>
        <w:t>探测器的光束轴线至顶棚的垂直距离宜为 </w:t>
      </w:r>
      <w:r>
        <w:rPr>
          <w:sz w:val="21"/>
        </w:rPr>
        <w:t>0.3～1.0m</w:t>
      </w:r>
      <w:r>
        <w:rPr>
          <w:spacing w:val="-3"/>
          <w:sz w:val="21"/>
        </w:rPr>
        <w:t> ，距地高度不宜超过 </w:t>
      </w:r>
      <w:r>
        <w:rPr>
          <w:sz w:val="21"/>
        </w:rPr>
        <w:t>20m</w:t>
      </w:r>
      <w:r>
        <w:rPr>
          <w:spacing w:val="-1"/>
          <w:sz w:val="21"/>
        </w:rPr>
        <w:t> 。</w:t>
      </w:r>
      <w:r>
        <w:rPr>
          <w:sz w:val="21"/>
        </w:rPr>
        <w:t> </w:t>
      </w:r>
    </w:p>
    <w:p>
      <w:pPr>
        <w:pStyle w:val="BodyText"/>
        <w:spacing w:before="1"/>
        <w:rPr>
          <w:sz w:val="18"/>
        </w:rPr>
      </w:pPr>
    </w:p>
    <w:p>
      <w:pPr>
        <w:pStyle w:val="ListParagraph"/>
        <w:numPr>
          <w:ilvl w:val="0"/>
          <w:numId w:val="637"/>
        </w:numPr>
        <w:tabs>
          <w:tab w:pos="1365" w:val="left" w:leader="none"/>
        </w:tabs>
        <w:spacing w:line="446" w:lineRule="auto" w:before="1" w:after="0"/>
        <w:ind w:left="418" w:right="1440" w:firstLine="419"/>
        <w:jc w:val="left"/>
        <w:rPr>
          <w:sz w:val="21"/>
        </w:rPr>
      </w:pPr>
      <w:r>
        <w:rPr>
          <w:spacing w:val="-3"/>
          <w:sz w:val="21"/>
        </w:rPr>
        <w:t>相邻两组探测器的水平距离不应大于 </w:t>
      </w:r>
      <w:r>
        <w:rPr>
          <w:sz w:val="21"/>
        </w:rPr>
        <w:t>14m</w:t>
      </w:r>
      <w:r>
        <w:rPr>
          <w:spacing w:val="-3"/>
          <w:sz w:val="21"/>
        </w:rPr>
        <w:t> ，探测器至侧墙水平距离不应大于 </w:t>
      </w:r>
      <w:r>
        <w:rPr>
          <w:sz w:val="21"/>
        </w:rPr>
        <w:t>7m</w:t>
      </w:r>
      <w:r>
        <w:rPr>
          <w:spacing w:val="-5"/>
          <w:sz w:val="21"/>
        </w:rPr>
        <w:t> ，且</w:t>
      </w:r>
      <w:r>
        <w:rPr>
          <w:spacing w:val="-1"/>
          <w:sz w:val="21"/>
        </w:rPr>
        <w:t>不应小于 </w:t>
      </w:r>
      <w:r>
        <w:rPr>
          <w:sz w:val="21"/>
        </w:rPr>
        <w:t>0.5m</w:t>
      </w:r>
      <w:r>
        <w:rPr>
          <w:spacing w:val="-3"/>
          <w:sz w:val="21"/>
        </w:rPr>
        <w:t> ，探测器的发射器和接收器之间的距离不宜超过 </w:t>
      </w:r>
      <w:r>
        <w:rPr>
          <w:sz w:val="21"/>
        </w:rPr>
        <w:t>100m</w:t>
      </w:r>
      <w:r>
        <w:rPr>
          <w:spacing w:val="-2"/>
          <w:sz w:val="21"/>
        </w:rPr>
        <w:t> 。</w:t>
      </w:r>
      <w:r>
        <w:rPr>
          <w:sz w:val="21"/>
        </w:rPr>
        <w:t> </w:t>
      </w:r>
    </w:p>
    <w:p>
      <w:pPr>
        <w:pStyle w:val="ListParagraph"/>
        <w:numPr>
          <w:ilvl w:val="0"/>
          <w:numId w:val="637"/>
        </w:numPr>
        <w:tabs>
          <w:tab w:pos="1367" w:val="left" w:leader="none"/>
        </w:tabs>
        <w:spacing w:line="267" w:lineRule="exact" w:before="0" w:after="0"/>
        <w:ind w:left="1367" w:right="0" w:hanging="529"/>
        <w:jc w:val="left"/>
        <w:rPr>
          <w:sz w:val="21"/>
        </w:rPr>
      </w:pPr>
      <w:r>
        <w:rPr>
          <w:spacing w:val="-3"/>
          <w:sz w:val="21"/>
        </w:rPr>
        <w:t>探测器应设置在固定结构上。</w:t>
      </w:r>
      <w:r>
        <w:rPr>
          <w:sz w:val="21"/>
        </w:rPr>
        <w:t> </w:t>
      </w:r>
    </w:p>
    <w:p>
      <w:pPr>
        <w:pStyle w:val="BodyText"/>
        <w:spacing w:before="1"/>
        <w:rPr>
          <w:sz w:val="18"/>
        </w:rPr>
      </w:pPr>
    </w:p>
    <w:p>
      <w:pPr>
        <w:pStyle w:val="ListParagraph"/>
        <w:numPr>
          <w:ilvl w:val="0"/>
          <w:numId w:val="637"/>
        </w:numPr>
        <w:tabs>
          <w:tab w:pos="1367" w:val="left" w:leader="none"/>
        </w:tabs>
        <w:spacing w:line="240" w:lineRule="auto" w:before="1" w:after="0"/>
        <w:ind w:left="1367" w:right="0" w:hanging="529"/>
        <w:jc w:val="left"/>
        <w:rPr>
          <w:sz w:val="21"/>
        </w:rPr>
      </w:pPr>
      <w:r>
        <w:rPr>
          <w:spacing w:val="-3"/>
          <w:sz w:val="21"/>
        </w:rPr>
        <w:t>探测器的设置应保证其接收端避开日光和人工光源直接照射。</w:t>
      </w:r>
      <w:r>
        <w:rPr>
          <w:sz w:val="21"/>
        </w:rPr>
        <w:t> </w:t>
      </w:r>
    </w:p>
    <w:p>
      <w:pPr>
        <w:pStyle w:val="BodyText"/>
        <w:spacing w:before="12"/>
        <w:rPr>
          <w:sz w:val="17"/>
        </w:rPr>
      </w:pPr>
    </w:p>
    <w:p>
      <w:pPr>
        <w:pStyle w:val="ListParagraph"/>
        <w:numPr>
          <w:ilvl w:val="0"/>
          <w:numId w:val="637"/>
        </w:numPr>
        <w:tabs>
          <w:tab w:pos="1367" w:val="left" w:leader="none"/>
        </w:tabs>
        <w:spacing w:line="446" w:lineRule="auto" w:before="0" w:after="0"/>
        <w:ind w:left="418" w:right="1431" w:firstLine="419"/>
        <w:jc w:val="left"/>
        <w:rPr>
          <w:sz w:val="21"/>
        </w:rPr>
      </w:pPr>
      <w:r>
        <w:rPr>
          <w:spacing w:val="-10"/>
          <w:sz w:val="21"/>
        </w:rPr>
        <w:t>选择反射式探测器时，应保证在反射板与探测器间任何部位进行模拟试验时，探测器 </w:t>
      </w:r>
      <w:r>
        <w:rPr>
          <w:spacing w:val="-8"/>
          <w:sz w:val="21"/>
        </w:rPr>
        <w:t>均能正确响应。</w:t>
      </w:r>
      <w:r>
        <w:rPr>
          <w:sz w:val="21"/>
        </w:rPr>
        <w:t> </w:t>
      </w:r>
    </w:p>
    <w:p>
      <w:pPr>
        <w:pStyle w:val="ListParagraph"/>
        <w:numPr>
          <w:ilvl w:val="2"/>
          <w:numId w:val="638"/>
        </w:numPr>
        <w:tabs>
          <w:tab w:pos="1478" w:val="left" w:leader="none"/>
        </w:tabs>
        <w:spacing w:line="240" w:lineRule="auto" w:before="0" w:after="0"/>
        <w:ind w:left="1477" w:right="0" w:hanging="638"/>
        <w:jc w:val="left"/>
        <w:rPr>
          <w:sz w:val="21"/>
        </w:rPr>
      </w:pPr>
      <w:r>
        <w:rPr>
          <w:spacing w:val="-3"/>
          <w:sz w:val="21"/>
        </w:rPr>
        <w:t>线型感温火灾探测器的设置应符合下列规定： </w:t>
      </w:r>
    </w:p>
    <w:p>
      <w:pPr>
        <w:pStyle w:val="BodyText"/>
        <w:rPr>
          <w:sz w:val="18"/>
        </w:rPr>
      </w:pPr>
    </w:p>
    <w:p>
      <w:pPr>
        <w:pStyle w:val="ListParagraph"/>
        <w:numPr>
          <w:ilvl w:val="0"/>
          <w:numId w:val="639"/>
        </w:numPr>
        <w:tabs>
          <w:tab w:pos="1367" w:val="left" w:leader="none"/>
        </w:tabs>
        <w:spacing w:line="446" w:lineRule="auto" w:before="0" w:after="0"/>
        <w:ind w:left="418" w:right="1433" w:firstLine="419"/>
        <w:jc w:val="left"/>
        <w:rPr>
          <w:sz w:val="21"/>
        </w:rPr>
      </w:pPr>
      <w:r>
        <w:rPr>
          <w:spacing w:val="-10"/>
          <w:sz w:val="21"/>
        </w:rPr>
        <w:t>探测器在保护电缆、堆垛等类似保护对象时，应采用接触式布置；在各种皮带输送装 </w:t>
      </w:r>
      <w:r>
        <w:rPr>
          <w:spacing w:val="-7"/>
          <w:sz w:val="21"/>
        </w:rPr>
        <w:t>置上设置时，宜设置在装置的过热点附近。</w:t>
      </w:r>
      <w:r>
        <w:rPr>
          <w:sz w:val="21"/>
        </w:rPr>
        <w:t> </w:t>
      </w:r>
    </w:p>
    <w:p>
      <w:pPr>
        <w:pStyle w:val="ListParagraph"/>
        <w:numPr>
          <w:ilvl w:val="0"/>
          <w:numId w:val="639"/>
        </w:numPr>
        <w:tabs>
          <w:tab w:pos="1367" w:val="left" w:leader="none"/>
        </w:tabs>
        <w:spacing w:line="446" w:lineRule="auto" w:before="0" w:after="0"/>
        <w:ind w:left="418" w:right="1433" w:firstLine="419"/>
        <w:jc w:val="left"/>
        <w:rPr>
          <w:sz w:val="21"/>
        </w:rPr>
      </w:pPr>
      <w:r>
        <w:rPr>
          <w:spacing w:val="-1"/>
          <w:sz w:val="21"/>
        </w:rPr>
        <w:t>设置在顶棚下方的线型感温火灾探测器，至顶棚的距离宜为 </w:t>
      </w:r>
      <w:r>
        <w:rPr>
          <w:sz w:val="21"/>
        </w:rPr>
        <w:t>0.1m</w:t>
      </w:r>
      <w:r>
        <w:rPr>
          <w:spacing w:val="3"/>
          <w:sz w:val="21"/>
        </w:rPr>
        <w:t> 。探测器的保护半</w:t>
      </w:r>
      <w:r>
        <w:rPr>
          <w:spacing w:val="-3"/>
          <w:sz w:val="21"/>
        </w:rPr>
        <w:t>径应符合点型感温火灾探测器的保护半径要求；探测器至墙壁的距离宜为 </w:t>
      </w:r>
      <w:r>
        <w:rPr>
          <w:sz w:val="21"/>
        </w:rPr>
        <w:t>1～1.5m 。 </w:t>
      </w:r>
    </w:p>
    <w:p>
      <w:pPr>
        <w:pStyle w:val="ListParagraph"/>
        <w:numPr>
          <w:ilvl w:val="0"/>
          <w:numId w:val="639"/>
        </w:numPr>
        <w:tabs>
          <w:tab w:pos="1370" w:val="left" w:leader="none"/>
        </w:tabs>
        <w:spacing w:line="446" w:lineRule="auto" w:before="0" w:after="0"/>
        <w:ind w:left="418" w:right="1438" w:firstLine="419"/>
        <w:jc w:val="left"/>
        <w:rPr>
          <w:sz w:val="21"/>
        </w:rPr>
      </w:pPr>
      <w:r>
        <w:rPr>
          <w:spacing w:val="-1"/>
          <w:sz w:val="21"/>
        </w:rPr>
        <w:t>光栅光纤感温火灾探测器每个光栅的保护面积和保护半径，应符合点型感温火灾探测</w:t>
      </w:r>
      <w:r>
        <w:rPr>
          <w:spacing w:val="-3"/>
          <w:sz w:val="21"/>
        </w:rPr>
        <w:t>器的保护面积和保护半径要求。</w:t>
      </w:r>
      <w:r>
        <w:rPr>
          <w:sz w:val="21"/>
        </w:rPr>
        <w:t> </w:t>
      </w:r>
    </w:p>
    <w:p>
      <w:pPr>
        <w:pStyle w:val="ListParagraph"/>
        <w:numPr>
          <w:ilvl w:val="0"/>
          <w:numId w:val="639"/>
        </w:numPr>
        <w:tabs>
          <w:tab w:pos="1370" w:val="left" w:leader="none"/>
        </w:tabs>
        <w:spacing w:line="446" w:lineRule="auto" w:before="0" w:after="0"/>
        <w:ind w:left="418" w:right="1438" w:firstLine="419"/>
        <w:jc w:val="left"/>
        <w:rPr>
          <w:sz w:val="21"/>
        </w:rPr>
      </w:pPr>
      <w:r>
        <w:rPr>
          <w:spacing w:val="-1"/>
          <w:sz w:val="21"/>
        </w:rPr>
        <w:t>设置线型感温火灾探测器的场所有联动要求时，宜采用两只不同火灾探测器的报警信</w:t>
      </w:r>
      <w:r>
        <w:rPr>
          <w:spacing w:val="-2"/>
          <w:sz w:val="21"/>
        </w:rPr>
        <w:t>号组合。</w:t>
      </w:r>
      <w:r>
        <w:rPr>
          <w:sz w:val="21"/>
        </w:rPr>
        <w:t> </w:t>
      </w:r>
    </w:p>
    <w:p>
      <w:pPr>
        <w:pStyle w:val="ListParagraph"/>
        <w:numPr>
          <w:ilvl w:val="0"/>
          <w:numId w:val="639"/>
        </w:numPr>
        <w:tabs>
          <w:tab w:pos="1367" w:val="left" w:leader="none"/>
        </w:tabs>
        <w:spacing w:line="240" w:lineRule="auto" w:before="0" w:after="0"/>
        <w:ind w:left="1367" w:right="0" w:hanging="529"/>
        <w:jc w:val="left"/>
        <w:rPr>
          <w:sz w:val="21"/>
        </w:rPr>
      </w:pPr>
      <w:r>
        <w:rPr>
          <w:spacing w:val="-3"/>
          <w:sz w:val="21"/>
        </w:rPr>
        <w:t>与线型感温火灾探测器连接的模块不宜设置在长期潮湿或温度变化较大的场所。</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638"/>
        </w:numPr>
        <w:tabs>
          <w:tab w:pos="1478" w:val="left" w:leader="none"/>
        </w:tabs>
        <w:spacing w:line="240" w:lineRule="auto" w:before="47" w:after="0"/>
        <w:ind w:left="1477" w:right="0" w:hanging="638"/>
        <w:jc w:val="left"/>
        <w:rPr>
          <w:sz w:val="21"/>
        </w:rPr>
      </w:pPr>
      <w:r>
        <w:rPr>
          <w:spacing w:val="-3"/>
          <w:sz w:val="21"/>
        </w:rPr>
        <w:t>管路采样式吸气感烟火灾探测器的设置，应符合下列规定：</w:t>
      </w:r>
      <w:r>
        <w:rPr>
          <w:sz w:val="21"/>
        </w:rPr>
        <w:t> </w:t>
      </w:r>
    </w:p>
    <w:p>
      <w:pPr>
        <w:pStyle w:val="BodyText"/>
        <w:rPr>
          <w:sz w:val="18"/>
        </w:rPr>
      </w:pPr>
    </w:p>
    <w:p>
      <w:pPr>
        <w:pStyle w:val="ListParagraph"/>
        <w:numPr>
          <w:ilvl w:val="0"/>
          <w:numId w:val="640"/>
        </w:numPr>
        <w:tabs>
          <w:tab w:pos="1367" w:val="left" w:leader="none"/>
        </w:tabs>
        <w:spacing w:line="446" w:lineRule="auto" w:before="0" w:after="0"/>
        <w:ind w:left="418" w:right="1325" w:firstLine="419"/>
        <w:jc w:val="left"/>
        <w:rPr>
          <w:sz w:val="21"/>
        </w:rPr>
      </w:pPr>
      <w:r>
        <w:rPr>
          <w:spacing w:val="-5"/>
          <w:sz w:val="21"/>
        </w:rPr>
        <w:t>非高灵敏型探测器的采样管网安装高度不应超过 </w:t>
      </w:r>
      <w:r>
        <w:rPr>
          <w:sz w:val="21"/>
        </w:rPr>
        <w:t>16m</w:t>
      </w:r>
      <w:r>
        <w:rPr>
          <w:spacing w:val="-2"/>
          <w:sz w:val="21"/>
        </w:rPr>
        <w:t> ；高灵敏型探测器的采样管网安</w:t>
      </w:r>
      <w:r>
        <w:rPr>
          <w:spacing w:val="1"/>
          <w:sz w:val="21"/>
        </w:rPr>
        <w:t>装高度可超过 </w:t>
      </w:r>
      <w:r>
        <w:rPr>
          <w:sz w:val="21"/>
        </w:rPr>
        <w:t>16m</w:t>
      </w:r>
      <w:r>
        <w:rPr>
          <w:spacing w:val="1"/>
          <w:sz w:val="21"/>
        </w:rPr>
        <w:t> ；采样管网安装高度超过 </w:t>
      </w:r>
      <w:r>
        <w:rPr>
          <w:sz w:val="21"/>
        </w:rPr>
        <w:t>16m</w:t>
      </w:r>
      <w:r>
        <w:rPr>
          <w:spacing w:val="-3"/>
          <w:sz w:val="21"/>
        </w:rPr>
        <w:t> 时，灵敏度可调的探测器应设置为高灵敏度， 且应减小采样管长度和采样孔数量。</w:t>
      </w:r>
      <w:r>
        <w:rPr>
          <w:sz w:val="21"/>
        </w:rPr>
        <w:t> </w:t>
      </w:r>
    </w:p>
    <w:p>
      <w:pPr>
        <w:pStyle w:val="ListParagraph"/>
        <w:numPr>
          <w:ilvl w:val="0"/>
          <w:numId w:val="640"/>
        </w:numPr>
        <w:tabs>
          <w:tab w:pos="1367" w:val="left" w:leader="none"/>
        </w:tabs>
        <w:spacing w:line="446" w:lineRule="auto" w:before="0" w:after="0"/>
        <w:ind w:left="418" w:right="1433" w:firstLine="419"/>
        <w:jc w:val="left"/>
        <w:rPr>
          <w:sz w:val="21"/>
        </w:rPr>
      </w:pPr>
      <w:r>
        <w:rPr>
          <w:spacing w:val="-9"/>
          <w:sz w:val="21"/>
        </w:rPr>
        <w:t>探测器的每个采样孔的保护面积、保护半径，应符合点型感烟火灾探测器的保护面积 </w:t>
      </w:r>
      <w:r>
        <w:rPr>
          <w:spacing w:val="-3"/>
          <w:sz w:val="21"/>
        </w:rPr>
        <w:t>、保护半径的要求。</w:t>
      </w:r>
      <w:r>
        <w:rPr>
          <w:sz w:val="21"/>
        </w:rPr>
        <w:t> </w:t>
      </w:r>
    </w:p>
    <w:p>
      <w:pPr>
        <w:pStyle w:val="ListParagraph"/>
        <w:numPr>
          <w:ilvl w:val="0"/>
          <w:numId w:val="640"/>
        </w:numPr>
        <w:tabs>
          <w:tab w:pos="1367" w:val="left" w:leader="none"/>
        </w:tabs>
        <w:spacing w:line="446" w:lineRule="auto" w:before="0" w:after="0"/>
        <w:ind w:left="418" w:right="1433" w:firstLine="419"/>
        <w:jc w:val="left"/>
        <w:rPr>
          <w:sz w:val="21"/>
        </w:rPr>
      </w:pPr>
      <w:r>
        <w:rPr>
          <w:spacing w:val="-2"/>
          <w:sz w:val="21"/>
        </w:rPr>
        <w:t>一个探测单元的采样管总长不宜超过 </w:t>
      </w:r>
      <w:r>
        <w:rPr>
          <w:sz w:val="21"/>
        </w:rPr>
        <w:t>200m</w:t>
      </w:r>
      <w:r>
        <w:rPr>
          <w:spacing w:val="2"/>
          <w:sz w:val="21"/>
        </w:rPr>
        <w:t> ，单管长度不宜超过 </w:t>
      </w:r>
      <w:r>
        <w:rPr>
          <w:sz w:val="21"/>
        </w:rPr>
        <w:t>100m</w:t>
      </w:r>
      <w:r>
        <w:rPr>
          <w:spacing w:val="1"/>
          <w:sz w:val="21"/>
        </w:rPr>
        <w:t> ，同一根采样</w:t>
      </w:r>
      <w:r>
        <w:rPr>
          <w:spacing w:val="-3"/>
          <w:sz w:val="21"/>
        </w:rPr>
        <w:t>管不应穿越防火分区。采样孔总数不宜超过 </w:t>
      </w:r>
      <w:r>
        <w:rPr>
          <w:sz w:val="21"/>
        </w:rPr>
        <w:t>100</w:t>
      </w:r>
      <w:r>
        <w:rPr>
          <w:spacing w:val="-3"/>
          <w:sz w:val="21"/>
        </w:rPr>
        <w:t> 个，单管上的采样孔数量不宜超过 </w:t>
      </w:r>
      <w:r>
        <w:rPr>
          <w:sz w:val="21"/>
        </w:rPr>
        <w:t>25</w:t>
      </w:r>
      <w:r>
        <w:rPr>
          <w:spacing w:val="-1"/>
          <w:sz w:val="21"/>
        </w:rPr>
        <w:t> 个。</w:t>
      </w:r>
      <w:r>
        <w:rPr>
          <w:sz w:val="21"/>
        </w:rPr>
        <w:t> </w:t>
      </w:r>
    </w:p>
    <w:p>
      <w:pPr>
        <w:pStyle w:val="ListParagraph"/>
        <w:numPr>
          <w:ilvl w:val="0"/>
          <w:numId w:val="640"/>
        </w:numPr>
        <w:tabs>
          <w:tab w:pos="1367" w:val="left" w:leader="none"/>
        </w:tabs>
        <w:spacing w:line="267" w:lineRule="exact" w:before="0" w:after="0"/>
        <w:ind w:left="1367" w:right="0" w:hanging="529"/>
        <w:jc w:val="left"/>
        <w:rPr>
          <w:sz w:val="21"/>
        </w:rPr>
      </w:pPr>
      <w:r>
        <w:rPr>
          <w:spacing w:val="-3"/>
          <w:sz w:val="21"/>
        </w:rPr>
        <w:t>当采样管道采用毛细管布置方式时，毛细管长度不宜超过 </w:t>
      </w:r>
      <w:r>
        <w:rPr>
          <w:sz w:val="21"/>
        </w:rPr>
        <w:t>4m</w:t>
      </w:r>
      <w:r>
        <w:rPr>
          <w:spacing w:val="-2"/>
          <w:sz w:val="21"/>
        </w:rPr>
        <w:t> 。</w:t>
      </w:r>
      <w:r>
        <w:rPr>
          <w:sz w:val="21"/>
        </w:rPr>
        <w:t> </w:t>
      </w:r>
    </w:p>
    <w:p>
      <w:pPr>
        <w:pStyle w:val="BodyText"/>
        <w:rPr>
          <w:sz w:val="18"/>
        </w:rPr>
      </w:pPr>
    </w:p>
    <w:p>
      <w:pPr>
        <w:pStyle w:val="ListParagraph"/>
        <w:numPr>
          <w:ilvl w:val="0"/>
          <w:numId w:val="640"/>
        </w:numPr>
        <w:tabs>
          <w:tab w:pos="1367" w:val="left" w:leader="none"/>
        </w:tabs>
        <w:spacing w:line="240" w:lineRule="auto" w:before="1" w:after="0"/>
        <w:ind w:left="1367" w:right="0" w:hanging="529"/>
        <w:jc w:val="left"/>
        <w:rPr>
          <w:sz w:val="21"/>
        </w:rPr>
      </w:pPr>
      <w:r>
        <w:rPr>
          <w:spacing w:val="-3"/>
          <w:sz w:val="21"/>
        </w:rPr>
        <w:t>吸气管路和采样孔应有明显的火灾探测器标识。 </w:t>
      </w:r>
    </w:p>
    <w:p>
      <w:pPr>
        <w:pStyle w:val="BodyText"/>
        <w:spacing w:before="12"/>
        <w:rPr>
          <w:sz w:val="17"/>
        </w:rPr>
      </w:pPr>
    </w:p>
    <w:p>
      <w:pPr>
        <w:pStyle w:val="ListParagraph"/>
        <w:numPr>
          <w:ilvl w:val="0"/>
          <w:numId w:val="640"/>
        </w:numPr>
        <w:tabs>
          <w:tab w:pos="1367" w:val="left" w:leader="none"/>
        </w:tabs>
        <w:spacing w:line="240" w:lineRule="auto" w:before="0" w:after="0"/>
        <w:ind w:left="1367" w:right="0" w:hanging="529"/>
        <w:jc w:val="left"/>
        <w:rPr>
          <w:sz w:val="21"/>
        </w:rPr>
      </w:pPr>
      <w:r>
        <w:rPr>
          <w:spacing w:val="-3"/>
          <w:sz w:val="21"/>
        </w:rPr>
        <w:t>有过梁、空间支架的建筑中，采样管路应固定在过梁、空间支架上。 </w:t>
      </w:r>
    </w:p>
    <w:p>
      <w:pPr>
        <w:pStyle w:val="BodyText"/>
        <w:spacing w:before="12"/>
        <w:rPr>
          <w:sz w:val="17"/>
        </w:rPr>
      </w:pPr>
    </w:p>
    <w:p>
      <w:pPr>
        <w:pStyle w:val="ListParagraph"/>
        <w:numPr>
          <w:ilvl w:val="0"/>
          <w:numId w:val="640"/>
        </w:numPr>
        <w:tabs>
          <w:tab w:pos="1367" w:val="left" w:leader="none"/>
        </w:tabs>
        <w:spacing w:line="446" w:lineRule="auto" w:before="0" w:after="0"/>
        <w:ind w:left="418" w:right="1433" w:firstLine="419"/>
        <w:jc w:val="left"/>
        <w:rPr>
          <w:sz w:val="21"/>
        </w:rPr>
      </w:pPr>
      <w:r>
        <w:rPr>
          <w:spacing w:val="-4"/>
          <w:sz w:val="21"/>
        </w:rPr>
        <w:t>当采样管道布置形式为垂直采样时，每 </w:t>
      </w:r>
      <w:r>
        <w:rPr>
          <w:sz w:val="21"/>
        </w:rPr>
        <w:t>2℃ 温差间隔或 3m</w:t>
      </w:r>
      <w:r>
        <w:rPr>
          <w:spacing w:val="-2"/>
          <w:sz w:val="21"/>
        </w:rPr>
        <w:t> 间隔</w:t>
      </w:r>
      <w:r>
        <w:rPr>
          <w:sz w:val="21"/>
        </w:rPr>
        <w:t>（</w:t>
      </w:r>
      <w:r>
        <w:rPr>
          <w:spacing w:val="-3"/>
          <w:sz w:val="21"/>
        </w:rPr>
        <w:t>取最小者</w:t>
      </w:r>
      <w:r>
        <w:rPr>
          <w:spacing w:val="-8"/>
          <w:sz w:val="21"/>
        </w:rPr>
        <w:t>）</w:t>
      </w:r>
      <w:r>
        <w:rPr>
          <w:spacing w:val="-2"/>
          <w:sz w:val="21"/>
        </w:rPr>
        <w:t>应设置</w:t>
      </w:r>
      <w:r>
        <w:rPr>
          <w:spacing w:val="-3"/>
          <w:sz w:val="21"/>
        </w:rPr>
        <w:t>一个采样孔，采样孔不应背对气流方向。</w:t>
      </w:r>
      <w:r>
        <w:rPr>
          <w:sz w:val="21"/>
        </w:rPr>
        <w:t> </w:t>
      </w:r>
    </w:p>
    <w:p>
      <w:pPr>
        <w:pStyle w:val="ListParagraph"/>
        <w:numPr>
          <w:ilvl w:val="0"/>
          <w:numId w:val="640"/>
        </w:numPr>
        <w:tabs>
          <w:tab w:pos="1367" w:val="left" w:leader="none"/>
        </w:tabs>
        <w:spacing w:line="240" w:lineRule="auto" w:before="1" w:after="0"/>
        <w:ind w:left="1367" w:right="0" w:hanging="529"/>
        <w:jc w:val="left"/>
        <w:rPr>
          <w:sz w:val="21"/>
        </w:rPr>
      </w:pPr>
      <w:r>
        <w:rPr>
          <w:spacing w:val="-3"/>
          <w:sz w:val="21"/>
        </w:rPr>
        <w:t>采样管网应按经过确认的设计软件或方法进行设计。</w:t>
      </w:r>
      <w:r>
        <w:rPr>
          <w:sz w:val="21"/>
        </w:rPr>
        <w:t> </w:t>
      </w:r>
    </w:p>
    <w:p>
      <w:pPr>
        <w:pStyle w:val="BodyText"/>
        <w:spacing w:before="12"/>
        <w:rPr>
          <w:sz w:val="17"/>
        </w:rPr>
      </w:pPr>
    </w:p>
    <w:p>
      <w:pPr>
        <w:pStyle w:val="ListParagraph"/>
        <w:numPr>
          <w:ilvl w:val="0"/>
          <w:numId w:val="640"/>
        </w:numPr>
        <w:tabs>
          <w:tab w:pos="1370" w:val="left" w:leader="none"/>
        </w:tabs>
        <w:spacing w:line="446" w:lineRule="auto" w:before="0" w:after="0"/>
        <w:ind w:left="418" w:right="1438" w:firstLine="419"/>
        <w:jc w:val="left"/>
        <w:rPr>
          <w:sz w:val="21"/>
        </w:rPr>
      </w:pPr>
      <w:r>
        <w:rPr>
          <w:spacing w:val="-1"/>
          <w:sz w:val="21"/>
        </w:rPr>
        <w:t>探测器的火灾报警信号、故障信号等信息应传给火灾报警控制器，涉及消防联动控制</w:t>
      </w:r>
      <w:r>
        <w:rPr>
          <w:spacing w:val="-3"/>
          <w:sz w:val="21"/>
        </w:rPr>
        <w:t>时，探测器的火灾报警信号还应传给消防联动控制器。</w:t>
      </w:r>
      <w:r>
        <w:rPr>
          <w:sz w:val="21"/>
        </w:rPr>
        <w:t> </w:t>
      </w:r>
    </w:p>
    <w:p>
      <w:pPr>
        <w:pStyle w:val="ListParagraph"/>
        <w:numPr>
          <w:ilvl w:val="2"/>
          <w:numId w:val="638"/>
        </w:numPr>
        <w:tabs>
          <w:tab w:pos="1478" w:val="left" w:leader="none"/>
        </w:tabs>
        <w:spacing w:line="240" w:lineRule="auto" w:before="0" w:after="0"/>
        <w:ind w:left="1477" w:right="0" w:hanging="638"/>
        <w:jc w:val="left"/>
        <w:rPr>
          <w:sz w:val="21"/>
        </w:rPr>
      </w:pPr>
      <w:r>
        <w:rPr>
          <w:spacing w:val="-3"/>
          <w:sz w:val="21"/>
        </w:rPr>
        <w:t>感烟火灾探测器在格栅吊顶场所的设置，应符合下列规定：</w:t>
      </w:r>
      <w:r>
        <w:rPr>
          <w:sz w:val="21"/>
        </w:rPr>
        <w:t> </w:t>
      </w:r>
    </w:p>
    <w:p>
      <w:pPr>
        <w:pStyle w:val="BodyText"/>
        <w:spacing w:before="12"/>
        <w:rPr>
          <w:sz w:val="17"/>
        </w:rPr>
      </w:pPr>
    </w:p>
    <w:p>
      <w:pPr>
        <w:pStyle w:val="ListParagraph"/>
        <w:numPr>
          <w:ilvl w:val="0"/>
          <w:numId w:val="641"/>
        </w:numPr>
        <w:tabs>
          <w:tab w:pos="1367" w:val="left" w:leader="none"/>
        </w:tabs>
        <w:spacing w:line="240" w:lineRule="auto" w:before="0" w:after="0"/>
        <w:ind w:left="1367" w:right="0" w:hanging="529"/>
        <w:jc w:val="left"/>
        <w:rPr>
          <w:sz w:val="21"/>
        </w:rPr>
      </w:pPr>
      <w:r>
        <w:rPr>
          <w:spacing w:val="-3"/>
          <w:sz w:val="21"/>
        </w:rPr>
        <w:t>镂空面积与总面积的比例不大于 </w:t>
      </w:r>
      <w:r>
        <w:rPr>
          <w:sz w:val="21"/>
        </w:rPr>
        <w:t>15</w:t>
      </w:r>
      <w:r>
        <w:rPr>
          <w:spacing w:val="-3"/>
          <w:sz w:val="21"/>
        </w:rPr>
        <w:t>% 时，探测器应设置在吊顶下方。 </w:t>
      </w:r>
    </w:p>
    <w:p>
      <w:pPr>
        <w:pStyle w:val="BodyText"/>
        <w:spacing w:before="2"/>
        <w:rPr>
          <w:sz w:val="18"/>
        </w:rPr>
      </w:pPr>
    </w:p>
    <w:p>
      <w:pPr>
        <w:pStyle w:val="ListParagraph"/>
        <w:numPr>
          <w:ilvl w:val="0"/>
          <w:numId w:val="641"/>
        </w:numPr>
        <w:tabs>
          <w:tab w:pos="1367" w:val="left" w:leader="none"/>
        </w:tabs>
        <w:spacing w:line="240" w:lineRule="auto" w:before="0" w:after="0"/>
        <w:ind w:left="1367" w:right="0" w:hanging="529"/>
        <w:jc w:val="left"/>
        <w:rPr>
          <w:sz w:val="21"/>
        </w:rPr>
      </w:pPr>
      <w:r>
        <w:rPr>
          <w:spacing w:val="-3"/>
          <w:sz w:val="21"/>
        </w:rPr>
        <w:t>镂空面积与总面积的比例大于 </w:t>
      </w:r>
      <w:r>
        <w:rPr>
          <w:sz w:val="21"/>
        </w:rPr>
        <w:t>30%</w:t>
      </w:r>
      <w:r>
        <w:rPr>
          <w:spacing w:val="-3"/>
          <w:sz w:val="21"/>
        </w:rPr>
        <w:t> 时，探测器应设置在吊顶上方。</w:t>
      </w:r>
      <w:r>
        <w:rPr>
          <w:sz w:val="21"/>
        </w:rPr>
        <w:t> </w:t>
      </w:r>
    </w:p>
    <w:p>
      <w:pPr>
        <w:pStyle w:val="BodyText"/>
        <w:rPr>
          <w:sz w:val="18"/>
        </w:rPr>
      </w:pPr>
    </w:p>
    <w:p>
      <w:pPr>
        <w:pStyle w:val="ListParagraph"/>
        <w:numPr>
          <w:ilvl w:val="0"/>
          <w:numId w:val="641"/>
        </w:numPr>
        <w:tabs>
          <w:tab w:pos="1367" w:val="left" w:leader="none"/>
        </w:tabs>
        <w:spacing w:line="446" w:lineRule="auto" w:before="0" w:after="0"/>
        <w:ind w:left="418" w:right="1433" w:firstLine="419"/>
        <w:jc w:val="left"/>
        <w:rPr>
          <w:sz w:val="21"/>
        </w:rPr>
      </w:pPr>
      <w:r>
        <w:rPr>
          <w:spacing w:val="1"/>
          <w:sz w:val="21"/>
        </w:rPr>
        <w:t>镂空面积与总面积的比例为 </w:t>
      </w:r>
      <w:r>
        <w:rPr>
          <w:sz w:val="21"/>
        </w:rPr>
        <w:t>15%～30%</w:t>
      </w:r>
      <w:r>
        <w:rPr>
          <w:spacing w:val="-3"/>
          <w:sz w:val="21"/>
        </w:rPr>
        <w:t> 时，探测器的设置部位应根据实际试验结果确定。</w:t>
      </w:r>
      <w:r>
        <w:rPr>
          <w:sz w:val="21"/>
        </w:rPr>
        <w:t> </w:t>
      </w:r>
    </w:p>
    <w:p>
      <w:pPr>
        <w:pStyle w:val="ListParagraph"/>
        <w:numPr>
          <w:ilvl w:val="0"/>
          <w:numId w:val="641"/>
        </w:numPr>
        <w:tabs>
          <w:tab w:pos="1367" w:val="left" w:leader="none"/>
        </w:tabs>
        <w:spacing w:line="240" w:lineRule="auto" w:before="0" w:after="0"/>
        <w:ind w:left="1367" w:right="0" w:hanging="529"/>
        <w:jc w:val="left"/>
        <w:rPr>
          <w:sz w:val="21"/>
        </w:rPr>
      </w:pPr>
      <w:r>
        <w:rPr>
          <w:spacing w:val="-3"/>
          <w:sz w:val="21"/>
        </w:rPr>
        <w:t>探测器设置在吊顶上方且火警确认灯无法观察时，应在吊顶下方设置火警确认灯。</w:t>
      </w:r>
      <w:r>
        <w:rPr>
          <w:sz w:val="21"/>
        </w:rPr>
        <w:t> </w:t>
      </w:r>
    </w:p>
    <w:p>
      <w:pPr>
        <w:pStyle w:val="BodyText"/>
        <w:spacing w:before="12"/>
        <w:rPr>
          <w:sz w:val="17"/>
        </w:rPr>
      </w:pPr>
    </w:p>
    <w:p>
      <w:pPr>
        <w:pStyle w:val="ListParagraph"/>
        <w:numPr>
          <w:ilvl w:val="0"/>
          <w:numId w:val="641"/>
        </w:numPr>
        <w:tabs>
          <w:tab w:pos="1367" w:val="left" w:leader="none"/>
        </w:tabs>
        <w:spacing w:line="446" w:lineRule="auto" w:before="0" w:after="0"/>
        <w:ind w:left="418" w:right="1433" w:firstLine="419"/>
        <w:jc w:val="left"/>
        <w:rPr>
          <w:sz w:val="21"/>
        </w:rPr>
      </w:pPr>
      <w:r>
        <w:rPr>
          <w:spacing w:val="-7"/>
          <w:sz w:val="21"/>
        </w:rPr>
        <w:t>地铁站台等有活塞风影响的场所，镂空面积与总面积的比例为 </w:t>
      </w:r>
      <w:r>
        <w:rPr>
          <w:sz w:val="21"/>
        </w:rPr>
        <w:t>30%～70</w:t>
      </w:r>
      <w:r>
        <w:rPr>
          <w:spacing w:val="-4"/>
          <w:sz w:val="21"/>
        </w:rPr>
        <w:t>% 时，探测器</w:t>
      </w:r>
      <w:r>
        <w:rPr>
          <w:spacing w:val="-3"/>
          <w:sz w:val="21"/>
        </w:rPr>
        <w:t>宜同时设置在吊顶上方和下方。</w:t>
      </w:r>
      <w:r>
        <w:rPr>
          <w:sz w:val="21"/>
        </w:rPr>
        <w:t> </w:t>
      </w:r>
    </w:p>
    <w:p>
      <w:pPr>
        <w:pStyle w:val="ListParagraph"/>
        <w:numPr>
          <w:ilvl w:val="2"/>
          <w:numId w:val="638"/>
        </w:numPr>
        <w:tabs>
          <w:tab w:pos="1478" w:val="left" w:leader="none"/>
        </w:tabs>
        <w:spacing w:line="446" w:lineRule="auto" w:before="0" w:after="0"/>
        <w:ind w:left="418" w:right="1434" w:firstLine="422"/>
        <w:jc w:val="left"/>
        <w:rPr>
          <w:sz w:val="21"/>
        </w:rPr>
      </w:pPr>
      <w:r>
        <w:rPr>
          <w:spacing w:val="-3"/>
          <w:sz w:val="21"/>
        </w:rPr>
        <w:t>本规范未涉及的其他火灾探测器的设置应按企业提供的设计手册或使用说明书进行 设置，必要时可通过模拟保护对象火灾场景等方式对探测器的设置情况进行验证。</w:t>
      </w:r>
      <w:r>
        <w:rPr>
          <w:sz w:val="21"/>
        </w:rPr>
        <w:t> </w:t>
      </w:r>
    </w:p>
    <w:p>
      <w:pPr>
        <w:pStyle w:val="ListParagraph"/>
        <w:numPr>
          <w:ilvl w:val="1"/>
          <w:numId w:val="642"/>
        </w:numPr>
        <w:tabs>
          <w:tab w:pos="1159" w:val="left" w:leader="none"/>
        </w:tabs>
        <w:spacing w:line="267" w:lineRule="exact" w:before="0" w:after="0"/>
        <w:ind w:left="1158" w:right="0" w:hanging="319"/>
        <w:jc w:val="left"/>
        <w:rPr>
          <w:sz w:val="21"/>
        </w:rPr>
      </w:pPr>
      <w:r>
        <w:rPr>
          <w:spacing w:val="-3"/>
          <w:sz w:val="21"/>
        </w:rPr>
        <w:t>手动火灾报警按钮的设置</w:t>
      </w:r>
      <w:r>
        <w:rPr>
          <w:sz w:val="21"/>
        </w:rPr>
        <w:t> </w:t>
      </w:r>
    </w:p>
    <w:p>
      <w:pPr>
        <w:pStyle w:val="BodyText"/>
        <w:spacing w:before="2"/>
        <w:rPr>
          <w:sz w:val="18"/>
        </w:rPr>
      </w:pPr>
    </w:p>
    <w:p>
      <w:pPr>
        <w:pStyle w:val="ListParagraph"/>
        <w:numPr>
          <w:ilvl w:val="2"/>
          <w:numId w:val="642"/>
        </w:numPr>
        <w:tabs>
          <w:tab w:pos="1370" w:val="left" w:leader="none"/>
        </w:tabs>
        <w:spacing w:line="240" w:lineRule="auto" w:before="0" w:after="0"/>
        <w:ind w:left="1369" w:right="0" w:hanging="530"/>
        <w:jc w:val="left"/>
        <w:rPr>
          <w:sz w:val="21"/>
        </w:rPr>
      </w:pPr>
      <w:r>
        <w:rPr>
          <w:spacing w:val="-5"/>
          <w:sz w:val="21"/>
        </w:rPr>
        <w:t>每个防火分区应至少设置一只手动火灾报警按钮。从一个防火分区内的任何位置到最</w:t>
      </w:r>
    </w:p>
    <w:p>
      <w:pPr>
        <w:spacing w:after="0" w:line="240" w:lineRule="auto"/>
        <w:jc w:val="left"/>
        <w:rPr>
          <w:sz w:val="21"/>
        </w:rPr>
        <w:sectPr>
          <w:footerReference w:type="default" r:id="rId352"/>
          <w:pgSz w:w="11910" w:h="16850"/>
          <w:pgMar w:footer="1239" w:header="0" w:top="1220" w:bottom="1420" w:left="1260" w:right="0"/>
          <w:pgNumType w:start="1290"/>
        </w:sectPr>
      </w:pPr>
    </w:p>
    <w:p>
      <w:pPr>
        <w:pStyle w:val="BodyText"/>
        <w:tabs>
          <w:tab w:pos="8399" w:val="left" w:leader="none"/>
        </w:tabs>
        <w:spacing w:line="446" w:lineRule="auto" w:before="47"/>
        <w:ind w:left="418" w:right="1431"/>
      </w:pPr>
      <w:r>
        <w:rPr/>
        <w:t>邻近</w:t>
      </w:r>
      <w:r>
        <w:rPr>
          <w:spacing w:val="-3"/>
        </w:rPr>
        <w:t>的</w:t>
      </w:r>
      <w:r>
        <w:rPr/>
        <w:t>手</w:t>
      </w:r>
      <w:r>
        <w:rPr>
          <w:spacing w:val="-3"/>
        </w:rPr>
        <w:t>动</w:t>
      </w:r>
      <w:r>
        <w:rPr/>
        <w:t>火</w:t>
      </w:r>
      <w:r>
        <w:rPr>
          <w:spacing w:val="-3"/>
        </w:rPr>
        <w:t>灾</w:t>
      </w:r>
      <w:r>
        <w:rPr/>
        <w:t>报</w:t>
      </w:r>
      <w:r>
        <w:rPr>
          <w:spacing w:val="-3"/>
        </w:rPr>
        <w:t>警</w:t>
      </w:r>
      <w:r>
        <w:rPr/>
        <w:t>按</w:t>
      </w:r>
      <w:r>
        <w:rPr>
          <w:spacing w:val="-3"/>
        </w:rPr>
        <w:t>钮</w:t>
      </w:r>
      <w:r>
        <w:rPr/>
        <w:t>的步</w:t>
      </w:r>
      <w:r>
        <w:rPr>
          <w:spacing w:val="-3"/>
        </w:rPr>
        <w:t>行</w:t>
      </w:r>
      <w:r>
        <w:rPr/>
        <w:t>距</w:t>
      </w:r>
      <w:r>
        <w:rPr>
          <w:spacing w:val="-3"/>
        </w:rPr>
        <w:t>离</w:t>
      </w:r>
      <w:r>
        <w:rPr/>
        <w:t>不</w:t>
      </w:r>
      <w:r>
        <w:rPr>
          <w:spacing w:val="-3"/>
        </w:rPr>
        <w:t>应</w:t>
      </w:r>
      <w:r>
        <w:rPr/>
        <w:t>大</w:t>
      </w:r>
      <w:r>
        <w:rPr>
          <w:spacing w:val="-3"/>
        </w:rPr>
        <w:t>于</w:t>
      </w:r>
      <w:r>
        <w:rPr>
          <w:spacing w:val="40"/>
        </w:rPr>
        <w:t> </w:t>
      </w:r>
      <w:r>
        <w:rPr/>
        <w:t>30m</w:t>
      </w:r>
      <w:r>
        <w:rPr>
          <w:spacing w:val="-32"/>
        </w:rPr>
        <w:t>。</w:t>
      </w:r>
      <w:r>
        <w:rPr/>
        <w:t>手</w:t>
      </w:r>
      <w:r>
        <w:rPr>
          <w:spacing w:val="-3"/>
        </w:rPr>
        <w:t>动</w:t>
      </w:r>
      <w:r>
        <w:rPr/>
        <w:t>火</w:t>
      </w:r>
      <w:r>
        <w:rPr>
          <w:spacing w:val="-3"/>
        </w:rPr>
        <w:t>灾</w:t>
      </w:r>
      <w:r>
        <w:rPr/>
        <w:t>报</w:t>
      </w:r>
      <w:r>
        <w:rPr>
          <w:spacing w:val="-3"/>
        </w:rPr>
        <w:t>警</w:t>
      </w:r>
      <w:r>
        <w:rPr/>
        <w:t>按</w:t>
      </w:r>
      <w:r>
        <w:rPr>
          <w:spacing w:val="-3"/>
        </w:rPr>
        <w:t>钮</w:t>
      </w:r>
      <w:r>
        <w:rPr/>
        <w:t>宜</w:t>
      </w:r>
      <w:r>
        <w:rPr>
          <w:spacing w:val="-3"/>
        </w:rPr>
        <w:t>设</w:t>
      </w:r>
      <w:r>
        <w:rPr/>
        <w:t>置在</w:t>
      </w:r>
      <w:r>
        <w:rPr>
          <w:spacing w:val="-3"/>
        </w:rPr>
        <w:t>疏</w:t>
      </w:r>
      <w:r>
        <w:rPr/>
        <w:t>散</w:t>
      </w:r>
      <w:r>
        <w:rPr>
          <w:spacing w:val="-3"/>
        </w:rPr>
        <w:t>通</w:t>
      </w:r>
      <w:r>
        <w:rPr/>
        <w:t>道</w:t>
      </w:r>
      <w:r>
        <w:rPr>
          <w:spacing w:val="-3"/>
        </w:rPr>
        <w:t>或出</w:t>
      </w:r>
      <w:r>
        <w:rPr/>
        <w:t>入口处</w:t>
      </w:r>
      <w:r>
        <w:rPr>
          <w:spacing w:val="-3"/>
        </w:rPr>
        <w:t>。</w:t>
      </w:r>
      <w:r>
        <w:rPr/>
        <w:t>列</w:t>
      </w:r>
      <w:r>
        <w:rPr>
          <w:spacing w:val="-3"/>
        </w:rPr>
        <w:t>车</w:t>
      </w:r>
      <w:r>
        <w:rPr/>
        <w:t>上</w:t>
      </w:r>
      <w:r>
        <w:rPr>
          <w:spacing w:val="-3"/>
        </w:rPr>
        <w:t>设</w:t>
      </w:r>
      <w:r>
        <w:rPr/>
        <w:t>置</w:t>
      </w:r>
      <w:r>
        <w:rPr>
          <w:spacing w:val="-3"/>
        </w:rPr>
        <w:t>的</w:t>
      </w:r>
      <w:r>
        <w:rPr/>
        <w:t>手</w:t>
      </w:r>
      <w:r>
        <w:rPr>
          <w:spacing w:val="-3"/>
        </w:rPr>
        <w:t>动</w:t>
      </w:r>
      <w:r>
        <w:rPr/>
        <w:t>火灾</w:t>
      </w:r>
      <w:r>
        <w:rPr>
          <w:spacing w:val="-3"/>
        </w:rPr>
        <w:t>报</w:t>
      </w:r>
      <w:r>
        <w:rPr/>
        <w:t>警</w:t>
      </w:r>
      <w:r>
        <w:rPr>
          <w:spacing w:val="-3"/>
        </w:rPr>
        <w:t>按</w:t>
      </w:r>
      <w:r>
        <w:rPr/>
        <w:t>钮</w:t>
      </w:r>
      <w:r>
        <w:rPr>
          <w:spacing w:val="-3"/>
        </w:rPr>
        <w:t>，</w:t>
      </w:r>
      <w:r>
        <w:rPr/>
        <w:t>应</w:t>
      </w:r>
      <w:r>
        <w:rPr>
          <w:spacing w:val="-3"/>
        </w:rPr>
        <w:t>设</w:t>
      </w:r>
      <w:r>
        <w:rPr/>
        <w:t>置</w:t>
      </w:r>
      <w:r>
        <w:rPr>
          <w:spacing w:val="-3"/>
        </w:rPr>
        <w:t>在</w:t>
      </w:r>
      <w:r>
        <w:rPr/>
        <w:t>每节</w:t>
      </w:r>
      <w:r>
        <w:rPr>
          <w:spacing w:val="-3"/>
        </w:rPr>
        <w:t>车</w:t>
      </w:r>
      <w:r>
        <w:rPr/>
        <w:t>厢</w:t>
      </w:r>
      <w:r>
        <w:rPr>
          <w:spacing w:val="-3"/>
        </w:rPr>
        <w:t>的</w:t>
      </w:r>
      <w:r>
        <w:rPr/>
        <w:t>出</w:t>
      </w:r>
      <w:r>
        <w:rPr>
          <w:spacing w:val="-3"/>
        </w:rPr>
        <w:t>入</w:t>
      </w:r>
      <w:r>
        <w:rPr/>
        <w:t>口</w:t>
      </w:r>
      <w:r>
        <w:rPr>
          <w:spacing w:val="-3"/>
        </w:rPr>
        <w:t>和</w:t>
      </w:r>
      <w:r>
        <w:rPr/>
        <w:t>中</w:t>
      </w:r>
      <w:r>
        <w:rPr>
          <w:spacing w:val="-3"/>
        </w:rPr>
        <w:t>间</w:t>
      </w:r>
      <w:r>
        <w:rPr/>
        <w:t>部位</w:t>
      </w:r>
      <w:r>
        <w:rPr>
          <w:spacing w:val="-3"/>
        </w:rPr>
        <w:t>。</w:t>
      </w:r>
      <w:r>
        <w:rPr/>
        <w:t> </w:t>
        <w:tab/>
      </w:r>
      <w:r>
        <w:rPr>
          <w:w w:val="100"/>
        </w:rPr>
        <w:t>  </w:t>
      </w:r>
    </w:p>
    <w:p>
      <w:pPr>
        <w:pStyle w:val="ListParagraph"/>
        <w:numPr>
          <w:ilvl w:val="2"/>
          <w:numId w:val="642"/>
        </w:numPr>
        <w:tabs>
          <w:tab w:pos="1370" w:val="left" w:leader="none"/>
        </w:tabs>
        <w:spacing w:line="446" w:lineRule="auto" w:before="0" w:after="0"/>
        <w:ind w:left="418" w:right="1431" w:firstLine="422"/>
        <w:jc w:val="left"/>
        <w:rPr>
          <w:sz w:val="21"/>
        </w:rPr>
      </w:pPr>
      <w:r>
        <w:rPr>
          <w:spacing w:val="-5"/>
          <w:sz w:val="21"/>
        </w:rPr>
        <w:t>手动火灾报警按钮应设置在明显和便于操作的部位。当采用壁挂方式安装时，其底边</w:t>
      </w:r>
      <w:r>
        <w:rPr>
          <w:spacing w:val="-11"/>
          <w:sz w:val="21"/>
        </w:rPr>
        <w:t>距地高度 宜为 </w:t>
      </w:r>
      <w:r>
        <w:rPr>
          <w:sz w:val="21"/>
        </w:rPr>
        <w:t>1.3～1.5m</w:t>
      </w:r>
      <w:r>
        <w:rPr>
          <w:spacing w:val="-3"/>
          <w:sz w:val="21"/>
        </w:rPr>
        <w:t>，且应有明显的标志。</w:t>
      </w:r>
      <w:r>
        <w:rPr>
          <w:sz w:val="21"/>
        </w:rPr>
        <w:t> </w:t>
      </w:r>
      <w:r>
        <w:rPr>
          <w:spacing w:val="-53"/>
          <w:sz w:val="21"/>
        </w:rPr>
        <w:t> </w:t>
      </w:r>
      <w:r>
        <w:rPr>
          <w:w w:val="100"/>
          <w:sz w:val="21"/>
        </w:rPr>
        <w:t>  </w:t>
      </w:r>
    </w:p>
    <w:p>
      <w:pPr>
        <w:pStyle w:val="ListParagraph"/>
        <w:numPr>
          <w:ilvl w:val="1"/>
          <w:numId w:val="642"/>
        </w:numPr>
        <w:tabs>
          <w:tab w:pos="1159" w:val="left" w:leader="none"/>
        </w:tabs>
        <w:spacing w:line="240" w:lineRule="auto" w:before="0" w:after="0"/>
        <w:ind w:left="1158" w:right="0" w:hanging="319"/>
        <w:jc w:val="left"/>
        <w:rPr>
          <w:sz w:val="21"/>
        </w:rPr>
      </w:pPr>
      <w:r>
        <w:rPr>
          <w:spacing w:val="-3"/>
          <w:sz w:val="21"/>
        </w:rPr>
        <w:t>区域显示器的设置</w:t>
      </w:r>
      <w:r>
        <w:rPr>
          <w:sz w:val="21"/>
        </w:rPr>
        <w:t> </w:t>
      </w:r>
    </w:p>
    <w:p>
      <w:pPr>
        <w:pStyle w:val="BodyText"/>
        <w:spacing w:before="10"/>
        <w:rPr>
          <w:sz w:val="17"/>
        </w:rPr>
      </w:pPr>
    </w:p>
    <w:p>
      <w:pPr>
        <w:pStyle w:val="ListParagraph"/>
        <w:numPr>
          <w:ilvl w:val="2"/>
          <w:numId w:val="642"/>
        </w:numPr>
        <w:tabs>
          <w:tab w:pos="1370" w:val="left" w:leader="none"/>
        </w:tabs>
        <w:spacing w:line="446" w:lineRule="auto" w:before="0" w:after="0"/>
        <w:ind w:left="418" w:right="1431" w:firstLine="422"/>
        <w:jc w:val="both"/>
        <w:rPr>
          <w:b/>
          <w:sz w:val="21"/>
        </w:rPr>
      </w:pPr>
      <w:r>
        <w:rPr>
          <w:spacing w:val="-4"/>
          <w:sz w:val="21"/>
        </w:rPr>
        <w:t>每个报警区域宜设置一台区域显示器</w:t>
      </w:r>
      <w:r>
        <w:rPr>
          <w:spacing w:val="-3"/>
          <w:sz w:val="21"/>
        </w:rPr>
        <w:t>（火灾显示盘</w:t>
      </w:r>
      <w:r>
        <w:rPr>
          <w:spacing w:val="-12"/>
          <w:sz w:val="21"/>
        </w:rPr>
        <w:t>）</w:t>
      </w:r>
      <w:r>
        <w:rPr>
          <w:spacing w:val="-6"/>
          <w:sz w:val="21"/>
        </w:rPr>
        <w:t>；宾馆、饭店等场所应在每个报警区域设置一台区域显示器。当一个报警区域包括多个楼层时，宜在每个楼层设置一台仅显示本</w:t>
      </w:r>
      <w:r>
        <w:rPr>
          <w:spacing w:val="-4"/>
          <w:sz w:val="21"/>
        </w:rPr>
        <w:t>楼层的区域显示器。</w:t>
      </w:r>
      <w:r>
        <w:rPr>
          <w:b/>
          <w:spacing w:val="-4"/>
          <w:w w:val="99"/>
          <w:sz w:val="21"/>
        </w:rPr>
        <w:t> </w:t>
      </w:r>
      <w:r>
        <w:rPr>
          <w:b/>
          <w:w w:val="99"/>
          <w:sz w:val="21"/>
        </w:rPr>
        <w:t> </w:t>
      </w:r>
    </w:p>
    <w:p>
      <w:pPr>
        <w:pStyle w:val="ListParagraph"/>
        <w:numPr>
          <w:ilvl w:val="2"/>
          <w:numId w:val="642"/>
        </w:numPr>
        <w:tabs>
          <w:tab w:pos="1370" w:val="left" w:leader="none"/>
        </w:tabs>
        <w:spacing w:line="446" w:lineRule="auto" w:before="0" w:after="0"/>
        <w:ind w:left="418" w:right="1431" w:firstLine="422"/>
        <w:jc w:val="both"/>
        <w:rPr>
          <w:sz w:val="21"/>
        </w:rPr>
      </w:pPr>
      <w:r>
        <w:rPr>
          <w:spacing w:val="-5"/>
          <w:sz w:val="21"/>
        </w:rPr>
        <w:t>区域显示器应设置在出入口等明显和便于操作的部位。当采用壁挂方式安装时，其底</w:t>
      </w:r>
      <w:r>
        <w:rPr>
          <w:spacing w:val="-11"/>
          <w:sz w:val="21"/>
        </w:rPr>
        <w:t>边距地高度宜为 </w:t>
      </w:r>
      <w:r>
        <w:rPr>
          <w:sz w:val="21"/>
        </w:rPr>
        <w:t>1.3～1.5m</w:t>
      </w:r>
      <w:r>
        <w:rPr>
          <w:spacing w:val="-2"/>
          <w:sz w:val="21"/>
        </w:rPr>
        <w:t> 。</w:t>
      </w:r>
      <w:r>
        <w:rPr>
          <w:sz w:val="21"/>
        </w:rPr>
        <w:t> </w:t>
      </w:r>
      <w:r>
        <w:rPr>
          <w:spacing w:val="-53"/>
          <w:sz w:val="21"/>
        </w:rPr>
        <w:t> </w:t>
      </w:r>
      <w:r>
        <w:rPr>
          <w:w w:val="100"/>
          <w:sz w:val="21"/>
        </w:rPr>
        <w:t>  </w:t>
      </w:r>
    </w:p>
    <w:p>
      <w:pPr>
        <w:pStyle w:val="ListParagraph"/>
        <w:numPr>
          <w:ilvl w:val="1"/>
          <w:numId w:val="642"/>
        </w:numPr>
        <w:tabs>
          <w:tab w:pos="1159" w:val="left" w:leader="none"/>
        </w:tabs>
        <w:spacing w:line="240" w:lineRule="auto" w:before="0" w:after="0"/>
        <w:ind w:left="1158" w:right="0" w:hanging="319"/>
        <w:jc w:val="left"/>
        <w:rPr>
          <w:b/>
          <w:sz w:val="21"/>
        </w:rPr>
      </w:pPr>
      <w:r>
        <w:rPr>
          <w:spacing w:val="-3"/>
          <w:sz w:val="21"/>
        </w:rPr>
        <w:t>火灾警报器的设置</w:t>
      </w:r>
      <w:r>
        <w:rPr>
          <w:b/>
          <w:w w:val="99"/>
          <w:sz w:val="21"/>
        </w:rPr>
        <w:t> </w:t>
      </w:r>
    </w:p>
    <w:p>
      <w:pPr>
        <w:pStyle w:val="BodyText"/>
        <w:spacing w:before="12"/>
        <w:rPr>
          <w:b/>
          <w:sz w:val="17"/>
        </w:rPr>
      </w:pPr>
    </w:p>
    <w:p>
      <w:pPr>
        <w:pStyle w:val="ListParagraph"/>
        <w:numPr>
          <w:ilvl w:val="2"/>
          <w:numId w:val="642"/>
        </w:numPr>
        <w:tabs>
          <w:tab w:pos="1438" w:val="left" w:leader="none"/>
          <w:tab w:pos="6298" w:val="left" w:leader="none"/>
          <w:tab w:pos="6718" w:val="left" w:leader="none"/>
        </w:tabs>
        <w:spacing w:line="446" w:lineRule="auto" w:before="0" w:after="0"/>
        <w:ind w:left="418" w:right="1431" w:firstLine="422"/>
        <w:jc w:val="left"/>
        <w:rPr>
          <w:sz w:val="21"/>
        </w:rPr>
      </w:pPr>
      <w:r>
        <w:rPr>
          <w:sz w:val="21"/>
        </w:rPr>
        <w:t>火</w:t>
      </w:r>
      <w:r>
        <w:rPr>
          <w:spacing w:val="-3"/>
          <w:sz w:val="21"/>
        </w:rPr>
        <w:t>灾</w:t>
      </w:r>
      <w:r>
        <w:rPr>
          <w:sz w:val="21"/>
        </w:rPr>
        <w:t>光</w:t>
      </w:r>
      <w:r>
        <w:rPr>
          <w:spacing w:val="-3"/>
          <w:sz w:val="21"/>
        </w:rPr>
        <w:t>警</w:t>
      </w:r>
      <w:r>
        <w:rPr>
          <w:sz w:val="21"/>
        </w:rPr>
        <w:t>报</w:t>
      </w:r>
      <w:r>
        <w:rPr>
          <w:spacing w:val="-3"/>
          <w:sz w:val="21"/>
        </w:rPr>
        <w:t>器</w:t>
      </w:r>
      <w:r>
        <w:rPr>
          <w:sz w:val="21"/>
        </w:rPr>
        <w:t>应</w:t>
      </w:r>
      <w:r>
        <w:rPr>
          <w:spacing w:val="-3"/>
          <w:sz w:val="21"/>
        </w:rPr>
        <w:t>设</w:t>
      </w:r>
      <w:r>
        <w:rPr>
          <w:sz w:val="21"/>
        </w:rPr>
        <w:t>置在</w:t>
      </w:r>
      <w:r>
        <w:rPr>
          <w:spacing w:val="-3"/>
          <w:sz w:val="21"/>
        </w:rPr>
        <w:t>每</w:t>
      </w:r>
      <w:r>
        <w:rPr>
          <w:sz w:val="21"/>
        </w:rPr>
        <w:t>个</w:t>
      </w:r>
      <w:r>
        <w:rPr>
          <w:spacing w:val="-3"/>
          <w:sz w:val="21"/>
        </w:rPr>
        <w:t>楼</w:t>
      </w:r>
      <w:r>
        <w:rPr>
          <w:sz w:val="21"/>
        </w:rPr>
        <w:t>层</w:t>
      </w:r>
      <w:r>
        <w:rPr>
          <w:spacing w:val="-3"/>
          <w:sz w:val="21"/>
        </w:rPr>
        <w:t>的</w:t>
      </w:r>
      <w:r>
        <w:rPr>
          <w:sz w:val="21"/>
        </w:rPr>
        <w:t>楼</w:t>
      </w:r>
      <w:r>
        <w:rPr>
          <w:spacing w:val="-3"/>
          <w:sz w:val="21"/>
        </w:rPr>
        <w:t>梯</w:t>
      </w:r>
      <w:r>
        <w:rPr>
          <w:sz w:val="21"/>
        </w:rPr>
        <w:t>口</w:t>
      </w:r>
      <w:r>
        <w:rPr>
          <w:spacing w:val="-3"/>
          <w:sz w:val="21"/>
        </w:rPr>
        <w:t>、</w:t>
      </w:r>
      <w:r>
        <w:rPr>
          <w:sz w:val="21"/>
        </w:rPr>
        <w:t>消防</w:t>
      </w:r>
      <w:r>
        <w:rPr>
          <w:spacing w:val="-3"/>
          <w:sz w:val="21"/>
        </w:rPr>
        <w:t>电</w:t>
      </w:r>
      <w:r>
        <w:rPr>
          <w:sz w:val="21"/>
        </w:rPr>
        <w:t>梯</w:t>
      </w:r>
      <w:r>
        <w:rPr>
          <w:spacing w:val="-3"/>
          <w:sz w:val="21"/>
        </w:rPr>
        <w:t>前</w:t>
      </w:r>
      <w:r>
        <w:rPr>
          <w:sz w:val="21"/>
        </w:rPr>
        <w:t>室</w:t>
      </w:r>
      <w:r>
        <w:rPr>
          <w:spacing w:val="-3"/>
          <w:sz w:val="21"/>
        </w:rPr>
        <w:t>、</w:t>
      </w:r>
      <w:r>
        <w:rPr>
          <w:sz w:val="21"/>
        </w:rPr>
        <w:t>建</w:t>
      </w:r>
      <w:r>
        <w:rPr>
          <w:spacing w:val="-3"/>
          <w:sz w:val="21"/>
        </w:rPr>
        <w:t>筑</w:t>
      </w:r>
      <w:r>
        <w:rPr>
          <w:sz w:val="21"/>
        </w:rPr>
        <w:t>内</w:t>
      </w:r>
      <w:r>
        <w:rPr>
          <w:spacing w:val="-3"/>
          <w:sz w:val="21"/>
        </w:rPr>
        <w:t>部</w:t>
      </w:r>
      <w:r>
        <w:rPr>
          <w:sz w:val="21"/>
        </w:rPr>
        <w:t>拐角</w:t>
      </w:r>
      <w:r>
        <w:rPr>
          <w:spacing w:val="-3"/>
          <w:sz w:val="21"/>
        </w:rPr>
        <w:t>等</w:t>
      </w:r>
      <w:r>
        <w:rPr>
          <w:sz w:val="21"/>
        </w:rPr>
        <w:t>处</w:t>
      </w:r>
      <w:r>
        <w:rPr>
          <w:spacing w:val="-3"/>
          <w:sz w:val="21"/>
        </w:rPr>
        <w:t>的明</w:t>
      </w:r>
      <w:r>
        <w:rPr>
          <w:sz w:val="21"/>
        </w:rPr>
        <w:t>显部位</w:t>
      </w:r>
      <w:r>
        <w:rPr>
          <w:spacing w:val="-3"/>
          <w:sz w:val="21"/>
        </w:rPr>
        <w:t>，</w:t>
      </w:r>
      <w:r>
        <w:rPr>
          <w:sz w:val="21"/>
        </w:rPr>
        <w:t>且</w:t>
      </w:r>
      <w:r>
        <w:rPr>
          <w:spacing w:val="-3"/>
          <w:sz w:val="21"/>
        </w:rPr>
        <w:t>不</w:t>
      </w:r>
      <w:r>
        <w:rPr>
          <w:sz w:val="21"/>
        </w:rPr>
        <w:t>宜</w:t>
      </w:r>
      <w:r>
        <w:rPr>
          <w:spacing w:val="-3"/>
          <w:sz w:val="21"/>
        </w:rPr>
        <w:t>与</w:t>
      </w:r>
      <w:r>
        <w:rPr>
          <w:sz w:val="21"/>
        </w:rPr>
        <w:t>安</w:t>
      </w:r>
      <w:r>
        <w:rPr>
          <w:spacing w:val="-3"/>
          <w:sz w:val="21"/>
        </w:rPr>
        <w:t>全</w:t>
      </w:r>
      <w:r>
        <w:rPr>
          <w:sz w:val="21"/>
        </w:rPr>
        <w:t>出</w:t>
      </w:r>
      <w:r>
        <w:rPr>
          <w:spacing w:val="-3"/>
          <w:sz w:val="21"/>
        </w:rPr>
        <w:t>口</w:t>
      </w:r>
      <w:r>
        <w:rPr>
          <w:sz w:val="21"/>
        </w:rPr>
        <w:t>指示</w:t>
      </w:r>
      <w:r>
        <w:rPr>
          <w:spacing w:val="-3"/>
          <w:sz w:val="21"/>
        </w:rPr>
        <w:t>标</w:t>
      </w:r>
      <w:r>
        <w:rPr>
          <w:sz w:val="21"/>
        </w:rPr>
        <w:t>志</w:t>
      </w:r>
      <w:r>
        <w:rPr>
          <w:spacing w:val="-3"/>
          <w:sz w:val="21"/>
        </w:rPr>
        <w:t>灯</w:t>
      </w:r>
      <w:r>
        <w:rPr>
          <w:sz w:val="21"/>
        </w:rPr>
        <w:t>具</w:t>
      </w:r>
      <w:r>
        <w:rPr>
          <w:spacing w:val="-3"/>
          <w:sz w:val="21"/>
        </w:rPr>
        <w:t>设</w:t>
      </w:r>
      <w:r>
        <w:rPr>
          <w:sz w:val="21"/>
        </w:rPr>
        <w:t>置</w:t>
      </w:r>
      <w:r>
        <w:rPr>
          <w:spacing w:val="-3"/>
          <w:sz w:val="21"/>
        </w:rPr>
        <w:t>在</w:t>
      </w:r>
      <w:r>
        <w:rPr>
          <w:sz w:val="21"/>
        </w:rPr>
        <w:t>同</w:t>
      </w:r>
      <w:r>
        <w:rPr>
          <w:spacing w:val="-3"/>
          <w:sz w:val="21"/>
        </w:rPr>
        <w:t>一</w:t>
      </w:r>
      <w:r>
        <w:rPr>
          <w:sz w:val="21"/>
        </w:rPr>
        <w:t>面墙</w:t>
      </w:r>
      <w:r>
        <w:rPr>
          <w:spacing w:val="-3"/>
          <w:sz w:val="21"/>
        </w:rPr>
        <w:t>上。</w:t>
      </w:r>
      <w:r>
        <w:rPr>
          <w:sz w:val="21"/>
        </w:rPr>
        <w:t> </w:t>
        <w:tab/>
      </w:r>
      <w:r>
        <w:rPr>
          <w:w w:val="100"/>
          <w:sz w:val="21"/>
        </w:rPr>
        <w:t>  </w:t>
      </w:r>
      <w:r>
        <w:rPr>
          <w:sz w:val="21"/>
        </w:rPr>
        <w:tab/>
      </w:r>
      <w:r>
        <w:rPr>
          <w:w w:val="100"/>
          <w:sz w:val="21"/>
        </w:rPr>
        <w:t>  </w:t>
      </w:r>
    </w:p>
    <w:p>
      <w:pPr>
        <w:pStyle w:val="ListParagraph"/>
        <w:numPr>
          <w:ilvl w:val="2"/>
          <w:numId w:val="642"/>
        </w:numPr>
        <w:tabs>
          <w:tab w:pos="1370" w:val="left" w:leader="none"/>
        </w:tabs>
        <w:spacing w:line="240" w:lineRule="auto" w:before="0" w:after="0"/>
        <w:ind w:left="1369" w:right="0" w:hanging="530"/>
        <w:jc w:val="left"/>
        <w:rPr>
          <w:sz w:val="21"/>
        </w:rPr>
      </w:pPr>
      <w:r>
        <w:rPr>
          <w:spacing w:val="-4"/>
          <w:sz w:val="21"/>
        </w:rPr>
        <w:t>每个报警区域内应均匀设置火灾警报器，其声压级不应小于 </w:t>
      </w:r>
      <w:r>
        <w:rPr>
          <w:sz w:val="21"/>
        </w:rPr>
        <w:t>60dB</w:t>
      </w:r>
      <w:r>
        <w:rPr>
          <w:spacing w:val="-5"/>
          <w:sz w:val="21"/>
        </w:rPr>
        <w:t> ；在环境噪声大于</w:t>
      </w:r>
      <w:r>
        <w:rPr>
          <w:sz w:val="21"/>
        </w:rPr>
        <w:t> </w:t>
      </w:r>
    </w:p>
    <w:p>
      <w:pPr>
        <w:pStyle w:val="BodyText"/>
        <w:spacing w:before="12"/>
        <w:rPr>
          <w:sz w:val="17"/>
        </w:rPr>
      </w:pPr>
    </w:p>
    <w:p>
      <w:pPr>
        <w:pStyle w:val="BodyText"/>
        <w:tabs>
          <w:tab w:pos="5458" w:val="left" w:leader="none"/>
        </w:tabs>
        <w:ind w:left="418"/>
      </w:pPr>
      <w:r>
        <w:rPr/>
        <w:t>60dB</w:t>
      </w:r>
      <w:r>
        <w:rPr>
          <w:spacing w:val="4"/>
        </w:rPr>
        <w:t> </w:t>
      </w:r>
      <w:r>
        <w:rPr/>
        <w:t>的</w:t>
      </w:r>
      <w:r>
        <w:rPr>
          <w:spacing w:val="-3"/>
        </w:rPr>
        <w:t>场</w:t>
      </w:r>
      <w:r>
        <w:rPr/>
        <w:t>所</w:t>
      </w:r>
      <w:r>
        <w:rPr>
          <w:spacing w:val="-3"/>
        </w:rPr>
        <w:t>，</w:t>
      </w:r>
      <w:r>
        <w:rPr/>
        <w:t>其</w:t>
      </w:r>
      <w:r>
        <w:rPr>
          <w:spacing w:val="-3"/>
        </w:rPr>
        <w:t>声</w:t>
      </w:r>
      <w:r>
        <w:rPr/>
        <w:t>压</w:t>
      </w:r>
      <w:r>
        <w:rPr>
          <w:spacing w:val="-3"/>
        </w:rPr>
        <w:t>级应</w:t>
      </w:r>
      <w:r>
        <w:rPr/>
        <w:t>高于</w:t>
      </w:r>
      <w:r>
        <w:rPr>
          <w:spacing w:val="-3"/>
        </w:rPr>
        <w:t>背</w:t>
      </w:r>
      <w:r>
        <w:rPr/>
        <w:t>景</w:t>
      </w:r>
      <w:r>
        <w:rPr>
          <w:spacing w:val="-3"/>
        </w:rPr>
        <w:t>噪</w:t>
      </w:r>
      <w:r>
        <w:rPr/>
        <w:t>声</w:t>
      </w:r>
      <w:r>
        <w:rPr>
          <w:spacing w:val="8"/>
        </w:rPr>
        <w:t> </w:t>
      </w:r>
      <w:r>
        <w:rPr/>
        <w:t>15dB</w:t>
      </w:r>
      <w:r>
        <w:rPr>
          <w:spacing w:val="4"/>
        </w:rPr>
        <w:t> </w:t>
      </w:r>
      <w:r>
        <w:rPr>
          <w:spacing w:val="-3"/>
        </w:rPr>
        <w:t>。</w:t>
      </w:r>
      <w:r>
        <w:rPr/>
        <w:t>   </w:t>
        <w:tab/>
      </w:r>
      <w:r>
        <w:rPr>
          <w:w w:val="100"/>
        </w:rPr>
        <w:t>  </w:t>
      </w:r>
    </w:p>
    <w:p>
      <w:pPr>
        <w:pStyle w:val="BodyText"/>
        <w:spacing w:before="2"/>
        <w:rPr>
          <w:sz w:val="18"/>
        </w:rPr>
      </w:pPr>
    </w:p>
    <w:p>
      <w:pPr>
        <w:pStyle w:val="ListParagraph"/>
        <w:numPr>
          <w:ilvl w:val="2"/>
          <w:numId w:val="642"/>
        </w:numPr>
        <w:tabs>
          <w:tab w:pos="1370" w:val="left" w:leader="none"/>
        </w:tabs>
        <w:spacing w:line="240" w:lineRule="auto" w:before="0" w:after="0"/>
        <w:ind w:left="1369" w:right="0" w:hanging="530"/>
        <w:jc w:val="left"/>
        <w:rPr>
          <w:sz w:val="21"/>
        </w:rPr>
      </w:pPr>
      <w:r>
        <w:rPr>
          <w:spacing w:val="-3"/>
          <w:sz w:val="21"/>
        </w:rPr>
        <w:t>当火灾警报器采用壁挂方式安装时，底边距地面高度应大于 </w:t>
      </w:r>
      <w:r>
        <w:rPr>
          <w:sz w:val="21"/>
        </w:rPr>
        <w:t>2.2m 。 </w:t>
      </w:r>
      <w:r>
        <w:rPr>
          <w:spacing w:val="-9"/>
          <w:sz w:val="21"/>
        </w:rPr>
        <w:t> </w:t>
      </w:r>
      <w:r>
        <w:rPr>
          <w:w w:val="100"/>
          <w:sz w:val="21"/>
        </w:rPr>
        <w:t>  </w:t>
      </w:r>
    </w:p>
    <w:p>
      <w:pPr>
        <w:pStyle w:val="BodyText"/>
        <w:rPr>
          <w:sz w:val="18"/>
        </w:rPr>
      </w:pPr>
    </w:p>
    <w:p>
      <w:pPr>
        <w:pStyle w:val="ListParagraph"/>
        <w:numPr>
          <w:ilvl w:val="1"/>
          <w:numId w:val="642"/>
        </w:numPr>
        <w:tabs>
          <w:tab w:pos="1159" w:val="left" w:leader="none"/>
        </w:tabs>
        <w:spacing w:line="240" w:lineRule="auto" w:before="0" w:after="0"/>
        <w:ind w:left="1158" w:right="0" w:hanging="319"/>
        <w:jc w:val="left"/>
        <w:rPr>
          <w:sz w:val="21"/>
        </w:rPr>
      </w:pPr>
      <w:r>
        <w:rPr>
          <w:spacing w:val="-3"/>
          <w:sz w:val="21"/>
        </w:rPr>
        <w:t>消防应急广播的设置</w:t>
      </w:r>
      <w:r>
        <w:rPr>
          <w:sz w:val="21"/>
        </w:rPr>
        <w:t> </w:t>
      </w:r>
    </w:p>
    <w:p>
      <w:pPr>
        <w:pStyle w:val="BodyText"/>
        <w:spacing w:before="12"/>
        <w:rPr>
          <w:sz w:val="17"/>
        </w:rPr>
      </w:pPr>
    </w:p>
    <w:p>
      <w:pPr>
        <w:pStyle w:val="ListParagraph"/>
        <w:numPr>
          <w:ilvl w:val="2"/>
          <w:numId w:val="642"/>
        </w:numPr>
        <w:tabs>
          <w:tab w:pos="1370" w:val="left" w:leader="none"/>
        </w:tabs>
        <w:spacing w:line="240" w:lineRule="auto" w:before="0" w:after="0"/>
        <w:ind w:left="1369" w:right="0" w:hanging="530"/>
        <w:jc w:val="left"/>
        <w:rPr>
          <w:sz w:val="21"/>
        </w:rPr>
      </w:pPr>
      <w:r>
        <w:rPr>
          <w:spacing w:val="-3"/>
          <w:sz w:val="21"/>
        </w:rPr>
        <w:t>消防应急广播扬声器的设置，应符合下列规定：</w:t>
      </w:r>
      <w:r>
        <w:rPr>
          <w:sz w:val="21"/>
        </w:rPr>
        <w:t> </w:t>
      </w:r>
    </w:p>
    <w:p>
      <w:pPr>
        <w:pStyle w:val="BodyText"/>
        <w:spacing w:before="2"/>
        <w:rPr>
          <w:sz w:val="18"/>
        </w:rPr>
      </w:pPr>
    </w:p>
    <w:p>
      <w:pPr>
        <w:pStyle w:val="ListParagraph"/>
        <w:numPr>
          <w:ilvl w:val="0"/>
          <w:numId w:val="643"/>
        </w:numPr>
        <w:tabs>
          <w:tab w:pos="1370" w:val="left" w:leader="none"/>
        </w:tabs>
        <w:spacing w:line="446" w:lineRule="auto" w:before="0" w:after="0"/>
        <w:ind w:left="418" w:right="1325" w:firstLine="419"/>
        <w:jc w:val="both"/>
        <w:rPr>
          <w:sz w:val="21"/>
        </w:rPr>
      </w:pPr>
      <w:r>
        <w:rPr>
          <w:sz w:val="21"/>
        </w:rPr>
        <w:t>民用建筑内扬声器应设置在走道和大厅等公共场所。每个扬声器的额定功率不应小于3W</w:t>
      </w:r>
      <w:r>
        <w:rPr>
          <w:spacing w:val="-4"/>
          <w:sz w:val="21"/>
        </w:rPr>
        <w:t> ， 其数量应能保证从一个防火分区内的任何部位到最近一个扬声器的直线距离不大于 </w:t>
      </w:r>
      <w:r>
        <w:rPr>
          <w:sz w:val="21"/>
        </w:rPr>
        <w:t>25m</w:t>
      </w:r>
      <w:r>
        <w:rPr>
          <w:spacing w:val="4"/>
          <w:sz w:val="21"/>
        </w:rPr>
        <w:t> ， </w:t>
      </w:r>
      <w:r>
        <w:rPr>
          <w:spacing w:val="-3"/>
          <w:sz w:val="21"/>
        </w:rPr>
        <w:t>走道末端距最近的扬声器距离不应大于 </w:t>
      </w:r>
      <w:r>
        <w:rPr>
          <w:sz w:val="21"/>
        </w:rPr>
        <w:t>12.5m</w:t>
      </w:r>
      <w:r>
        <w:rPr>
          <w:spacing w:val="-2"/>
          <w:sz w:val="21"/>
        </w:rPr>
        <w:t> 。</w:t>
      </w:r>
      <w:r>
        <w:rPr>
          <w:sz w:val="21"/>
        </w:rPr>
        <w:t> </w:t>
      </w:r>
    </w:p>
    <w:p>
      <w:pPr>
        <w:pStyle w:val="ListParagraph"/>
        <w:numPr>
          <w:ilvl w:val="0"/>
          <w:numId w:val="643"/>
        </w:numPr>
        <w:tabs>
          <w:tab w:pos="1365" w:val="left" w:leader="none"/>
        </w:tabs>
        <w:spacing w:line="446" w:lineRule="auto" w:before="0" w:after="0"/>
        <w:ind w:left="418" w:right="1431" w:firstLine="419"/>
        <w:jc w:val="left"/>
        <w:rPr>
          <w:sz w:val="21"/>
        </w:rPr>
      </w:pPr>
      <w:r>
        <w:rPr>
          <w:spacing w:val="-2"/>
          <w:sz w:val="21"/>
        </w:rPr>
        <w:t>在环境噪声大于 </w:t>
      </w:r>
      <w:r>
        <w:rPr>
          <w:sz w:val="21"/>
        </w:rPr>
        <w:t>60dB</w:t>
      </w:r>
      <w:r>
        <w:rPr>
          <w:spacing w:val="-3"/>
          <w:sz w:val="21"/>
        </w:rPr>
        <w:t> 的场所设置的扬声器，在其播放范围内最远点的播放声压级应高于背景噪声 </w:t>
      </w:r>
      <w:r>
        <w:rPr>
          <w:sz w:val="21"/>
        </w:rPr>
        <w:t>15dB</w:t>
      </w:r>
      <w:r>
        <w:rPr>
          <w:spacing w:val="-3"/>
          <w:sz w:val="21"/>
        </w:rPr>
        <w:t> 。</w:t>
      </w:r>
      <w:r>
        <w:rPr>
          <w:sz w:val="21"/>
        </w:rPr>
        <w:t> </w:t>
      </w:r>
    </w:p>
    <w:p>
      <w:pPr>
        <w:pStyle w:val="ListParagraph"/>
        <w:numPr>
          <w:ilvl w:val="0"/>
          <w:numId w:val="643"/>
        </w:numPr>
        <w:tabs>
          <w:tab w:pos="1367" w:val="left" w:leader="none"/>
        </w:tabs>
        <w:spacing w:line="446" w:lineRule="auto" w:before="0" w:after="0"/>
        <w:ind w:left="840" w:right="4554" w:hanging="3"/>
        <w:jc w:val="left"/>
        <w:rPr>
          <w:sz w:val="21"/>
        </w:rPr>
      </w:pPr>
      <w:r>
        <w:rPr>
          <w:spacing w:val="-3"/>
          <w:sz w:val="21"/>
        </w:rPr>
        <w:t>客房设置专用扬声器时，其功率不宜小于 </w:t>
      </w:r>
      <w:r>
        <w:rPr>
          <w:sz w:val="21"/>
        </w:rPr>
        <w:t>1W</w:t>
      </w:r>
      <w:r>
        <w:rPr>
          <w:spacing w:val="1"/>
          <w:sz w:val="21"/>
        </w:rPr>
        <w:t> 。</w:t>
      </w:r>
      <w:r>
        <w:rPr>
          <w:b/>
          <w:spacing w:val="1"/>
          <w:sz w:val="21"/>
        </w:rPr>
        <w:t>6.6.2</w:t>
      </w:r>
      <w:r>
        <w:rPr>
          <w:b/>
          <w:spacing w:val="2"/>
          <w:sz w:val="21"/>
        </w:rPr>
        <w:t> </w:t>
      </w:r>
      <w:r>
        <w:rPr>
          <w:spacing w:val="-3"/>
          <w:sz w:val="21"/>
        </w:rPr>
        <w:t>壁挂扬声器的底边距地面高度应大于 </w:t>
      </w:r>
      <w:r>
        <w:rPr>
          <w:sz w:val="21"/>
        </w:rPr>
        <w:t>2.2m 。 </w:t>
      </w:r>
      <w:r>
        <w:rPr>
          <w:spacing w:val="-9"/>
          <w:sz w:val="21"/>
        </w:rPr>
        <w:t> </w:t>
      </w:r>
      <w:r>
        <w:rPr>
          <w:w w:val="100"/>
          <w:sz w:val="21"/>
        </w:rPr>
        <w:t>  </w:t>
      </w:r>
    </w:p>
    <w:p>
      <w:pPr>
        <w:pStyle w:val="ListParagraph"/>
        <w:numPr>
          <w:ilvl w:val="1"/>
          <w:numId w:val="642"/>
        </w:numPr>
        <w:tabs>
          <w:tab w:pos="1159" w:val="left" w:leader="none"/>
        </w:tabs>
        <w:spacing w:line="240" w:lineRule="auto" w:before="0" w:after="0"/>
        <w:ind w:left="1158" w:right="0" w:hanging="319"/>
        <w:jc w:val="left"/>
        <w:rPr>
          <w:b/>
          <w:sz w:val="21"/>
        </w:rPr>
      </w:pPr>
      <w:r>
        <w:rPr>
          <w:spacing w:val="-3"/>
          <w:sz w:val="21"/>
        </w:rPr>
        <w:t>消防专用电话的设置</w:t>
      </w:r>
      <w:r>
        <w:rPr>
          <w:b/>
          <w:w w:val="99"/>
          <w:sz w:val="21"/>
        </w:rPr>
        <w:t> </w:t>
      </w:r>
    </w:p>
    <w:p>
      <w:pPr>
        <w:pStyle w:val="BodyText"/>
        <w:spacing w:before="9"/>
        <w:rPr>
          <w:b/>
          <w:sz w:val="17"/>
        </w:rPr>
      </w:pPr>
    </w:p>
    <w:p>
      <w:pPr>
        <w:pStyle w:val="ListParagraph"/>
        <w:numPr>
          <w:ilvl w:val="2"/>
          <w:numId w:val="642"/>
        </w:numPr>
        <w:tabs>
          <w:tab w:pos="1370" w:val="left" w:leader="none"/>
          <w:tab w:pos="6298" w:val="left" w:leader="none"/>
        </w:tabs>
        <w:spacing w:line="240" w:lineRule="auto" w:before="0" w:after="0"/>
        <w:ind w:left="1369" w:right="0" w:hanging="530"/>
        <w:jc w:val="left"/>
        <w:rPr>
          <w:sz w:val="21"/>
        </w:rPr>
      </w:pPr>
      <w:r>
        <w:rPr>
          <w:spacing w:val="-3"/>
          <w:sz w:val="21"/>
        </w:rPr>
        <w:t>消</w:t>
      </w:r>
      <w:r>
        <w:rPr>
          <w:sz w:val="21"/>
        </w:rPr>
        <w:t>防</w:t>
      </w:r>
      <w:r>
        <w:rPr>
          <w:spacing w:val="-3"/>
          <w:sz w:val="21"/>
        </w:rPr>
        <w:t>专</w:t>
      </w:r>
      <w:r>
        <w:rPr>
          <w:sz w:val="21"/>
        </w:rPr>
        <w:t>用</w:t>
      </w:r>
      <w:r>
        <w:rPr>
          <w:spacing w:val="-3"/>
          <w:sz w:val="21"/>
        </w:rPr>
        <w:t>电</w:t>
      </w:r>
      <w:r>
        <w:rPr>
          <w:sz w:val="21"/>
        </w:rPr>
        <w:t>话</w:t>
      </w:r>
      <w:r>
        <w:rPr>
          <w:spacing w:val="-3"/>
          <w:sz w:val="21"/>
        </w:rPr>
        <w:t>网络</w:t>
      </w:r>
      <w:r>
        <w:rPr>
          <w:sz w:val="21"/>
        </w:rPr>
        <w:t>应为</w:t>
      </w:r>
      <w:r>
        <w:rPr>
          <w:spacing w:val="-3"/>
          <w:sz w:val="21"/>
        </w:rPr>
        <w:t>独</w:t>
      </w:r>
      <w:r>
        <w:rPr>
          <w:sz w:val="21"/>
        </w:rPr>
        <w:t>立</w:t>
      </w:r>
      <w:r>
        <w:rPr>
          <w:spacing w:val="-3"/>
          <w:sz w:val="21"/>
        </w:rPr>
        <w:t>的</w:t>
      </w:r>
      <w:r>
        <w:rPr>
          <w:sz w:val="21"/>
        </w:rPr>
        <w:t>消</w:t>
      </w:r>
      <w:r>
        <w:rPr>
          <w:spacing w:val="-3"/>
          <w:sz w:val="21"/>
        </w:rPr>
        <w:t>防</w:t>
      </w:r>
      <w:r>
        <w:rPr>
          <w:sz w:val="21"/>
        </w:rPr>
        <w:t>通</w:t>
      </w:r>
      <w:r>
        <w:rPr>
          <w:spacing w:val="-3"/>
          <w:sz w:val="21"/>
        </w:rPr>
        <w:t>信</w:t>
      </w:r>
      <w:r>
        <w:rPr>
          <w:sz w:val="21"/>
        </w:rPr>
        <w:t>系</w:t>
      </w:r>
      <w:r>
        <w:rPr>
          <w:spacing w:val="-3"/>
          <w:sz w:val="21"/>
        </w:rPr>
        <w:t>统</w:t>
      </w:r>
      <w:r>
        <w:rPr>
          <w:sz w:val="21"/>
        </w:rPr>
        <w:t>。 </w:t>
      </w:r>
      <w:r>
        <w:rPr>
          <w:spacing w:val="-9"/>
          <w:sz w:val="21"/>
        </w:rPr>
        <w:t> </w:t>
      </w:r>
      <w:r>
        <w:rPr>
          <w:w w:val="100"/>
          <w:sz w:val="21"/>
        </w:rPr>
        <w:t>  </w:t>
      </w:r>
      <w:r>
        <w:rPr>
          <w:sz w:val="21"/>
        </w:rPr>
        <w:tab/>
      </w:r>
      <w:r>
        <w:rPr>
          <w:w w:val="100"/>
          <w:sz w:val="21"/>
        </w:rPr>
        <w:t>  </w:t>
      </w:r>
    </w:p>
    <w:p>
      <w:pPr>
        <w:pStyle w:val="BodyText"/>
        <w:spacing w:before="2"/>
        <w:rPr>
          <w:sz w:val="18"/>
        </w:rPr>
      </w:pPr>
    </w:p>
    <w:p>
      <w:pPr>
        <w:pStyle w:val="ListParagraph"/>
        <w:numPr>
          <w:ilvl w:val="2"/>
          <w:numId w:val="642"/>
        </w:numPr>
        <w:tabs>
          <w:tab w:pos="1370" w:val="left" w:leader="none"/>
          <w:tab w:pos="5458" w:val="left" w:leader="none"/>
          <w:tab w:pos="5878" w:val="left" w:leader="none"/>
        </w:tabs>
        <w:spacing w:line="240" w:lineRule="auto" w:before="0" w:after="0"/>
        <w:ind w:left="1369" w:right="0" w:hanging="530"/>
        <w:jc w:val="left"/>
        <w:rPr>
          <w:sz w:val="21"/>
        </w:rPr>
      </w:pPr>
      <w:r>
        <w:rPr>
          <w:spacing w:val="-3"/>
          <w:sz w:val="21"/>
        </w:rPr>
        <w:t>消</w:t>
      </w:r>
      <w:r>
        <w:rPr>
          <w:sz w:val="21"/>
        </w:rPr>
        <w:t>防</w:t>
      </w:r>
      <w:r>
        <w:rPr>
          <w:spacing w:val="-3"/>
          <w:sz w:val="21"/>
        </w:rPr>
        <w:t>控</w:t>
      </w:r>
      <w:r>
        <w:rPr>
          <w:sz w:val="21"/>
        </w:rPr>
        <w:t>制</w:t>
      </w:r>
      <w:r>
        <w:rPr>
          <w:spacing w:val="-3"/>
          <w:sz w:val="21"/>
        </w:rPr>
        <w:t>室</w:t>
      </w:r>
      <w:r>
        <w:rPr>
          <w:sz w:val="21"/>
        </w:rPr>
        <w:t>应</w:t>
      </w:r>
      <w:r>
        <w:rPr>
          <w:spacing w:val="-3"/>
          <w:sz w:val="21"/>
        </w:rPr>
        <w:t>设置</w:t>
      </w:r>
      <w:r>
        <w:rPr>
          <w:sz w:val="21"/>
        </w:rPr>
        <w:t>消防</w:t>
      </w:r>
      <w:r>
        <w:rPr>
          <w:spacing w:val="-3"/>
          <w:sz w:val="21"/>
        </w:rPr>
        <w:t>专</w:t>
      </w:r>
      <w:r>
        <w:rPr>
          <w:sz w:val="21"/>
        </w:rPr>
        <w:t>用</w:t>
      </w:r>
      <w:r>
        <w:rPr>
          <w:spacing w:val="-3"/>
          <w:sz w:val="21"/>
        </w:rPr>
        <w:t>电</w:t>
      </w:r>
      <w:r>
        <w:rPr>
          <w:sz w:val="21"/>
        </w:rPr>
        <w:t>话</w:t>
      </w:r>
      <w:r>
        <w:rPr>
          <w:spacing w:val="-3"/>
          <w:sz w:val="21"/>
        </w:rPr>
        <w:t>总</w:t>
      </w:r>
      <w:r>
        <w:rPr>
          <w:sz w:val="21"/>
        </w:rPr>
        <w:t>机</w:t>
      </w:r>
      <w:r>
        <w:rPr>
          <w:spacing w:val="-3"/>
          <w:sz w:val="21"/>
        </w:rPr>
        <w:t>。</w:t>
      </w:r>
      <w:r>
        <w:rPr>
          <w:sz w:val="21"/>
        </w:rPr>
        <w:t> </w:t>
        <w:tab/>
      </w:r>
      <w:r>
        <w:rPr>
          <w:w w:val="100"/>
          <w:sz w:val="21"/>
        </w:rPr>
        <w:t>  </w:t>
      </w:r>
      <w:r>
        <w:rPr>
          <w:sz w:val="21"/>
        </w:rPr>
        <w:tab/>
      </w:r>
      <w:r>
        <w:rPr>
          <w:w w:val="100"/>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642"/>
        </w:numPr>
        <w:tabs>
          <w:tab w:pos="1370" w:val="left" w:leader="none"/>
          <w:tab w:pos="7979" w:val="left" w:leader="none"/>
        </w:tabs>
        <w:spacing w:line="240" w:lineRule="auto" w:before="47" w:after="0"/>
        <w:ind w:left="1369" w:right="0" w:hanging="530"/>
        <w:jc w:val="left"/>
        <w:rPr>
          <w:sz w:val="21"/>
        </w:rPr>
      </w:pPr>
      <w:r>
        <w:rPr>
          <w:spacing w:val="-3"/>
          <w:sz w:val="21"/>
        </w:rPr>
        <w:t>多</w:t>
      </w:r>
      <w:r>
        <w:rPr>
          <w:sz w:val="21"/>
        </w:rPr>
        <w:t>线</w:t>
      </w:r>
      <w:r>
        <w:rPr>
          <w:spacing w:val="-3"/>
          <w:sz w:val="21"/>
        </w:rPr>
        <w:t>制</w:t>
      </w:r>
      <w:r>
        <w:rPr>
          <w:sz w:val="21"/>
        </w:rPr>
        <w:t>消</w:t>
      </w:r>
      <w:r>
        <w:rPr>
          <w:spacing w:val="-3"/>
          <w:sz w:val="21"/>
        </w:rPr>
        <w:t>防</w:t>
      </w:r>
      <w:r>
        <w:rPr>
          <w:sz w:val="21"/>
        </w:rPr>
        <w:t>专</w:t>
      </w:r>
      <w:r>
        <w:rPr>
          <w:spacing w:val="-3"/>
          <w:sz w:val="21"/>
        </w:rPr>
        <w:t>用电</w:t>
      </w:r>
      <w:r>
        <w:rPr>
          <w:sz w:val="21"/>
        </w:rPr>
        <w:t>话系</w:t>
      </w:r>
      <w:r>
        <w:rPr>
          <w:spacing w:val="-3"/>
          <w:sz w:val="21"/>
        </w:rPr>
        <w:t>统</w:t>
      </w:r>
      <w:r>
        <w:rPr>
          <w:sz w:val="21"/>
        </w:rPr>
        <w:t>中</w:t>
      </w:r>
      <w:r>
        <w:rPr>
          <w:spacing w:val="-3"/>
          <w:sz w:val="21"/>
        </w:rPr>
        <w:t>的</w:t>
      </w:r>
      <w:r>
        <w:rPr>
          <w:sz w:val="21"/>
        </w:rPr>
        <w:t>每</w:t>
      </w:r>
      <w:r>
        <w:rPr>
          <w:spacing w:val="-3"/>
          <w:sz w:val="21"/>
        </w:rPr>
        <w:t>个</w:t>
      </w:r>
      <w:r>
        <w:rPr>
          <w:sz w:val="21"/>
        </w:rPr>
        <w:t>电</w:t>
      </w:r>
      <w:r>
        <w:rPr>
          <w:spacing w:val="-3"/>
          <w:sz w:val="21"/>
        </w:rPr>
        <w:t>话</w:t>
      </w:r>
      <w:r>
        <w:rPr>
          <w:sz w:val="21"/>
        </w:rPr>
        <w:t>分</w:t>
      </w:r>
      <w:r>
        <w:rPr>
          <w:spacing w:val="-3"/>
          <w:sz w:val="21"/>
        </w:rPr>
        <w:t>机</w:t>
      </w:r>
      <w:r>
        <w:rPr>
          <w:sz w:val="21"/>
        </w:rPr>
        <w:t>应与</w:t>
      </w:r>
      <w:r>
        <w:rPr>
          <w:spacing w:val="-3"/>
          <w:sz w:val="21"/>
        </w:rPr>
        <w:t>总</w:t>
      </w:r>
      <w:r>
        <w:rPr>
          <w:sz w:val="21"/>
        </w:rPr>
        <w:t>机</w:t>
      </w:r>
      <w:r>
        <w:rPr>
          <w:spacing w:val="-3"/>
          <w:sz w:val="21"/>
        </w:rPr>
        <w:t>单</w:t>
      </w:r>
      <w:r>
        <w:rPr>
          <w:sz w:val="21"/>
        </w:rPr>
        <w:t>独</w:t>
      </w:r>
      <w:r>
        <w:rPr>
          <w:spacing w:val="-3"/>
          <w:sz w:val="21"/>
        </w:rPr>
        <w:t>连</w:t>
      </w:r>
      <w:r>
        <w:rPr>
          <w:sz w:val="21"/>
        </w:rPr>
        <w:t>接</w:t>
      </w:r>
      <w:r>
        <w:rPr>
          <w:spacing w:val="-3"/>
          <w:sz w:val="21"/>
        </w:rPr>
        <w:t>。</w:t>
      </w:r>
      <w:r>
        <w:rPr>
          <w:sz w:val="21"/>
        </w:rPr>
        <w:t> </w:t>
      </w:r>
      <w:r>
        <w:rPr>
          <w:spacing w:val="-9"/>
          <w:sz w:val="21"/>
        </w:rPr>
        <w:t> </w:t>
      </w:r>
      <w:r>
        <w:rPr>
          <w:w w:val="100"/>
          <w:sz w:val="21"/>
        </w:rPr>
        <w:t>  </w:t>
      </w:r>
      <w:r>
        <w:rPr>
          <w:sz w:val="21"/>
        </w:rPr>
        <w:tab/>
      </w:r>
      <w:r>
        <w:rPr>
          <w:w w:val="100"/>
          <w:sz w:val="21"/>
        </w:rPr>
        <w:t>  </w:t>
      </w:r>
    </w:p>
    <w:p>
      <w:pPr>
        <w:pStyle w:val="BodyText"/>
        <w:rPr>
          <w:sz w:val="18"/>
        </w:rPr>
      </w:pPr>
    </w:p>
    <w:p>
      <w:pPr>
        <w:pStyle w:val="ListParagraph"/>
        <w:numPr>
          <w:ilvl w:val="2"/>
          <w:numId w:val="642"/>
        </w:numPr>
        <w:tabs>
          <w:tab w:pos="1370" w:val="left" w:leader="none"/>
        </w:tabs>
        <w:spacing w:line="240" w:lineRule="auto" w:before="0" w:after="0"/>
        <w:ind w:left="1369" w:right="0" w:hanging="530"/>
        <w:jc w:val="left"/>
        <w:rPr>
          <w:sz w:val="21"/>
        </w:rPr>
      </w:pPr>
      <w:r>
        <w:rPr>
          <w:spacing w:val="-3"/>
          <w:sz w:val="21"/>
        </w:rPr>
        <w:t>电话分机或电话插孔的设置，应符合下列规定：</w:t>
      </w:r>
      <w:r>
        <w:rPr>
          <w:sz w:val="21"/>
        </w:rPr>
        <w:t> </w:t>
      </w:r>
    </w:p>
    <w:p>
      <w:pPr>
        <w:pStyle w:val="BodyText"/>
        <w:rPr>
          <w:sz w:val="18"/>
        </w:rPr>
      </w:pPr>
    </w:p>
    <w:p>
      <w:pPr>
        <w:pStyle w:val="ListParagraph"/>
        <w:numPr>
          <w:ilvl w:val="0"/>
          <w:numId w:val="644"/>
        </w:numPr>
        <w:tabs>
          <w:tab w:pos="1365" w:val="left" w:leader="none"/>
        </w:tabs>
        <w:spacing w:line="446" w:lineRule="auto" w:before="0" w:after="0"/>
        <w:ind w:left="418" w:right="1222" w:firstLine="419"/>
        <w:jc w:val="left"/>
        <w:rPr>
          <w:sz w:val="21"/>
        </w:rPr>
      </w:pPr>
      <w:r>
        <w:rPr>
          <w:spacing w:val="-12"/>
          <w:sz w:val="21"/>
        </w:rPr>
        <w:t>消防水泵房、发电机房、配变电室、计算机网络机房、主要通风和空调机房、防排烟机 </w:t>
      </w:r>
      <w:r>
        <w:rPr>
          <w:spacing w:val="-8"/>
          <w:sz w:val="21"/>
        </w:rPr>
        <w:t>房、灭火控制系统操作装置处或控制室、企业消防站、消防值班室、总调度室、消防电梯机房及 </w:t>
      </w:r>
      <w:r>
        <w:rPr>
          <w:spacing w:val="-6"/>
          <w:sz w:val="21"/>
        </w:rPr>
        <w:t>其他与消防联动控制有关的且经常有人值班的机房应设置消防专用电话分机。消防专用电话分机， </w:t>
      </w:r>
      <w:r>
        <w:rPr>
          <w:spacing w:val="-4"/>
          <w:sz w:val="21"/>
        </w:rPr>
        <w:t>应固定安装在明显且便于使用的部位，并应有区别于普通电话的标识。</w:t>
      </w:r>
      <w:r>
        <w:rPr>
          <w:sz w:val="21"/>
        </w:rPr>
        <w:t> </w:t>
      </w:r>
    </w:p>
    <w:p>
      <w:pPr>
        <w:pStyle w:val="ListParagraph"/>
        <w:numPr>
          <w:ilvl w:val="0"/>
          <w:numId w:val="644"/>
        </w:numPr>
        <w:tabs>
          <w:tab w:pos="1367" w:val="left" w:leader="none"/>
        </w:tabs>
        <w:spacing w:line="446" w:lineRule="auto" w:before="0" w:after="0"/>
        <w:ind w:left="418" w:right="1431" w:firstLine="419"/>
        <w:jc w:val="left"/>
        <w:rPr>
          <w:sz w:val="21"/>
        </w:rPr>
      </w:pPr>
      <w:r>
        <w:rPr>
          <w:spacing w:val="-8"/>
          <w:sz w:val="21"/>
        </w:rPr>
        <w:t>设有手动火灾报警按钮或消火栓按钮等处，宜设置电话插孔，并宜选择带有电话插孔 </w:t>
      </w:r>
      <w:r>
        <w:rPr>
          <w:spacing w:val="-6"/>
          <w:sz w:val="21"/>
        </w:rPr>
        <w:t>的手动火灾报警按钮。</w:t>
      </w:r>
      <w:r>
        <w:rPr>
          <w:sz w:val="21"/>
        </w:rPr>
        <w:t> </w:t>
      </w:r>
    </w:p>
    <w:p>
      <w:pPr>
        <w:pStyle w:val="ListParagraph"/>
        <w:numPr>
          <w:ilvl w:val="0"/>
          <w:numId w:val="644"/>
        </w:numPr>
        <w:tabs>
          <w:tab w:pos="1367" w:val="left" w:leader="none"/>
        </w:tabs>
        <w:spacing w:line="267" w:lineRule="exact" w:before="0" w:after="0"/>
        <w:ind w:left="1367" w:right="0" w:hanging="529"/>
        <w:jc w:val="left"/>
        <w:rPr>
          <w:sz w:val="21"/>
        </w:rPr>
      </w:pPr>
      <w:r>
        <w:rPr>
          <w:spacing w:val="-1"/>
          <w:sz w:val="21"/>
        </w:rPr>
        <w:t>各避难层应每隔 </w:t>
      </w:r>
      <w:r>
        <w:rPr>
          <w:sz w:val="21"/>
        </w:rPr>
        <w:t>20m</w:t>
      </w:r>
      <w:r>
        <w:rPr>
          <w:spacing w:val="-3"/>
          <w:sz w:val="21"/>
        </w:rPr>
        <w:t> 设置一个消防专用电话分机或电话插孔。</w:t>
      </w:r>
      <w:r>
        <w:rPr>
          <w:sz w:val="21"/>
        </w:rPr>
        <w:t> </w:t>
      </w:r>
    </w:p>
    <w:p>
      <w:pPr>
        <w:pStyle w:val="BodyText"/>
        <w:spacing w:before="1"/>
        <w:rPr>
          <w:sz w:val="18"/>
        </w:rPr>
      </w:pPr>
    </w:p>
    <w:p>
      <w:pPr>
        <w:pStyle w:val="ListParagraph"/>
        <w:numPr>
          <w:ilvl w:val="0"/>
          <w:numId w:val="644"/>
        </w:numPr>
        <w:tabs>
          <w:tab w:pos="1367" w:val="left" w:leader="none"/>
          <w:tab w:pos="7558" w:val="left" w:leader="none"/>
        </w:tabs>
        <w:spacing w:line="240" w:lineRule="auto" w:before="0" w:after="0"/>
        <w:ind w:left="1367" w:right="0" w:hanging="529"/>
        <w:jc w:val="left"/>
        <w:rPr>
          <w:sz w:val="21"/>
        </w:rPr>
      </w:pPr>
      <w:r>
        <w:rPr>
          <w:sz w:val="21"/>
        </w:rPr>
        <w:t>电</w:t>
      </w:r>
      <w:r>
        <w:rPr>
          <w:spacing w:val="-3"/>
          <w:sz w:val="21"/>
        </w:rPr>
        <w:t>话</w:t>
      </w:r>
      <w:r>
        <w:rPr>
          <w:sz w:val="21"/>
        </w:rPr>
        <w:t>插</w:t>
      </w:r>
      <w:r>
        <w:rPr>
          <w:spacing w:val="-3"/>
          <w:sz w:val="21"/>
        </w:rPr>
        <w:t>孔</w:t>
      </w:r>
      <w:r>
        <w:rPr>
          <w:sz w:val="21"/>
        </w:rPr>
        <w:t>在</w:t>
      </w:r>
      <w:r>
        <w:rPr>
          <w:spacing w:val="-3"/>
          <w:sz w:val="21"/>
        </w:rPr>
        <w:t>墙</w:t>
      </w:r>
      <w:r>
        <w:rPr>
          <w:sz w:val="21"/>
        </w:rPr>
        <w:t>上</w:t>
      </w:r>
      <w:r>
        <w:rPr>
          <w:spacing w:val="-3"/>
          <w:sz w:val="21"/>
        </w:rPr>
        <w:t>安装</w:t>
      </w:r>
      <w:r>
        <w:rPr>
          <w:sz w:val="21"/>
        </w:rPr>
        <w:t>时，</w:t>
      </w:r>
      <w:r>
        <w:rPr>
          <w:spacing w:val="-3"/>
          <w:sz w:val="21"/>
        </w:rPr>
        <w:t>其</w:t>
      </w:r>
      <w:r>
        <w:rPr>
          <w:sz w:val="21"/>
        </w:rPr>
        <w:t>底</w:t>
      </w:r>
      <w:r>
        <w:rPr>
          <w:spacing w:val="-3"/>
          <w:sz w:val="21"/>
        </w:rPr>
        <w:t>边</w:t>
      </w:r>
      <w:r>
        <w:rPr>
          <w:sz w:val="21"/>
        </w:rPr>
        <w:t>距</w:t>
      </w:r>
      <w:r>
        <w:rPr>
          <w:spacing w:val="-3"/>
          <w:sz w:val="21"/>
        </w:rPr>
        <w:t>地</w:t>
      </w:r>
      <w:r>
        <w:rPr>
          <w:sz w:val="21"/>
        </w:rPr>
        <w:t>面</w:t>
      </w:r>
      <w:r>
        <w:rPr>
          <w:spacing w:val="-3"/>
          <w:sz w:val="21"/>
        </w:rPr>
        <w:t>高</w:t>
      </w:r>
      <w:r>
        <w:rPr>
          <w:sz w:val="21"/>
        </w:rPr>
        <w:t>度</w:t>
      </w:r>
      <w:r>
        <w:rPr>
          <w:spacing w:val="-3"/>
          <w:sz w:val="21"/>
        </w:rPr>
        <w:t>宜</w:t>
      </w:r>
      <w:r>
        <w:rPr>
          <w:sz w:val="21"/>
        </w:rPr>
        <w:t>为</w:t>
      </w:r>
      <w:r>
        <w:rPr>
          <w:spacing w:val="13"/>
          <w:sz w:val="21"/>
        </w:rPr>
        <w:t> </w:t>
      </w:r>
      <w:r>
        <w:rPr>
          <w:sz w:val="21"/>
        </w:rPr>
        <w:t>1.3～1.5m</w:t>
      </w:r>
      <w:r>
        <w:rPr>
          <w:spacing w:val="10"/>
          <w:sz w:val="21"/>
        </w:rPr>
        <w:t> </w:t>
      </w:r>
      <w:r>
        <w:rPr>
          <w:spacing w:val="-3"/>
          <w:sz w:val="21"/>
        </w:rPr>
        <w:t>。</w:t>
      </w:r>
      <w:r>
        <w:rPr>
          <w:sz w:val="21"/>
        </w:rPr>
        <w:t> </w:t>
        <w:tab/>
      </w:r>
      <w:r>
        <w:rPr>
          <w:w w:val="100"/>
          <w:sz w:val="21"/>
        </w:rPr>
        <w:t>  </w:t>
      </w:r>
    </w:p>
    <w:p>
      <w:pPr>
        <w:pStyle w:val="BodyText"/>
        <w:rPr>
          <w:sz w:val="18"/>
        </w:rPr>
      </w:pPr>
    </w:p>
    <w:p>
      <w:pPr>
        <w:pStyle w:val="ListParagraph"/>
        <w:numPr>
          <w:ilvl w:val="2"/>
          <w:numId w:val="642"/>
        </w:numPr>
        <w:tabs>
          <w:tab w:pos="1370" w:val="left" w:leader="none"/>
        </w:tabs>
        <w:spacing w:line="240" w:lineRule="auto" w:before="0" w:after="0"/>
        <w:ind w:left="1369" w:right="0" w:hanging="530"/>
        <w:jc w:val="left"/>
        <w:rPr>
          <w:sz w:val="21"/>
        </w:rPr>
      </w:pPr>
      <w:r>
        <w:rPr>
          <w:spacing w:val="-3"/>
          <w:sz w:val="21"/>
        </w:rPr>
        <w:t>消防控制室、消防值班室或企业消防站等处，应设置可直接报警的外线电话。</w:t>
      </w:r>
      <w:r>
        <w:rPr>
          <w:sz w:val="21"/>
        </w:rPr>
        <w:t> </w:t>
      </w:r>
    </w:p>
    <w:p>
      <w:pPr>
        <w:pStyle w:val="BodyText"/>
        <w:spacing w:before="12"/>
        <w:rPr>
          <w:sz w:val="17"/>
        </w:rPr>
      </w:pPr>
    </w:p>
    <w:p>
      <w:pPr>
        <w:pStyle w:val="ListParagraph"/>
        <w:numPr>
          <w:ilvl w:val="1"/>
          <w:numId w:val="642"/>
        </w:numPr>
        <w:tabs>
          <w:tab w:pos="1159" w:val="left" w:leader="none"/>
        </w:tabs>
        <w:spacing w:line="240" w:lineRule="auto" w:before="0" w:after="0"/>
        <w:ind w:left="1158" w:right="0" w:hanging="319"/>
        <w:jc w:val="left"/>
        <w:rPr>
          <w:b/>
          <w:sz w:val="21"/>
        </w:rPr>
      </w:pPr>
      <w:r>
        <w:rPr>
          <w:spacing w:val="-3"/>
          <w:sz w:val="21"/>
        </w:rPr>
        <w:t>模块的设置</w:t>
      </w:r>
      <w:r>
        <w:rPr>
          <w:b/>
          <w:w w:val="99"/>
          <w:sz w:val="21"/>
        </w:rPr>
        <w:t> </w:t>
      </w:r>
    </w:p>
    <w:p>
      <w:pPr>
        <w:pStyle w:val="BodyText"/>
        <w:spacing w:before="2"/>
        <w:rPr>
          <w:b/>
          <w:sz w:val="18"/>
        </w:rPr>
      </w:pPr>
    </w:p>
    <w:p>
      <w:pPr>
        <w:pStyle w:val="ListParagraph"/>
        <w:numPr>
          <w:ilvl w:val="2"/>
          <w:numId w:val="642"/>
        </w:numPr>
        <w:tabs>
          <w:tab w:pos="1371" w:val="left" w:leader="none"/>
        </w:tabs>
        <w:spacing w:line="240" w:lineRule="auto" w:before="0" w:after="0"/>
        <w:ind w:left="1370" w:right="0" w:hanging="531"/>
        <w:jc w:val="left"/>
        <w:rPr>
          <w:sz w:val="21"/>
        </w:rPr>
      </w:pPr>
      <w:r>
        <w:rPr>
          <w:spacing w:val="-3"/>
          <w:sz w:val="21"/>
        </w:rPr>
        <w:t>每个报警区域内的模块宜相对集中设置在本报警区域内的金属模块箱中。 </w:t>
      </w:r>
      <w:r>
        <w:rPr>
          <w:spacing w:val="-9"/>
          <w:sz w:val="21"/>
        </w:rPr>
        <w:t> </w:t>
      </w:r>
      <w:r>
        <w:rPr>
          <w:w w:val="100"/>
          <w:sz w:val="21"/>
        </w:rPr>
        <w:t>  </w:t>
      </w:r>
    </w:p>
    <w:p>
      <w:pPr>
        <w:pStyle w:val="BodyText"/>
        <w:rPr>
          <w:sz w:val="18"/>
        </w:rPr>
      </w:pPr>
    </w:p>
    <w:p>
      <w:pPr>
        <w:pStyle w:val="ListParagraph"/>
        <w:numPr>
          <w:ilvl w:val="2"/>
          <w:numId w:val="642"/>
        </w:numPr>
        <w:tabs>
          <w:tab w:pos="1370" w:val="left" w:leader="none"/>
          <w:tab w:pos="5878" w:val="left" w:leader="none"/>
        </w:tabs>
        <w:spacing w:line="240" w:lineRule="auto" w:before="0" w:after="0"/>
        <w:ind w:left="1369" w:right="0" w:hanging="530"/>
        <w:jc w:val="left"/>
        <w:rPr>
          <w:sz w:val="21"/>
        </w:rPr>
      </w:pPr>
      <w:r>
        <w:rPr>
          <w:spacing w:val="-3"/>
          <w:sz w:val="21"/>
        </w:rPr>
        <w:t>模</w:t>
      </w:r>
      <w:r>
        <w:rPr>
          <w:sz w:val="21"/>
        </w:rPr>
        <w:t>块</w:t>
      </w:r>
      <w:r>
        <w:rPr>
          <w:spacing w:val="-3"/>
          <w:sz w:val="21"/>
        </w:rPr>
        <w:t>严</w:t>
      </w:r>
      <w:r>
        <w:rPr>
          <w:sz w:val="21"/>
        </w:rPr>
        <w:t>禁</w:t>
      </w:r>
      <w:r>
        <w:rPr>
          <w:spacing w:val="-3"/>
          <w:sz w:val="21"/>
        </w:rPr>
        <w:t>设</w:t>
      </w:r>
      <w:r>
        <w:rPr>
          <w:sz w:val="21"/>
        </w:rPr>
        <w:t>置</w:t>
      </w:r>
      <w:r>
        <w:rPr>
          <w:spacing w:val="-3"/>
          <w:sz w:val="21"/>
        </w:rPr>
        <w:t>在配</w:t>
      </w:r>
      <w:r>
        <w:rPr>
          <w:sz w:val="21"/>
        </w:rPr>
        <w:t>电（</w:t>
      </w:r>
      <w:r>
        <w:rPr>
          <w:spacing w:val="-3"/>
          <w:sz w:val="21"/>
        </w:rPr>
        <w:t>控</w:t>
      </w:r>
      <w:r>
        <w:rPr>
          <w:sz w:val="21"/>
        </w:rPr>
        <w:t>制</w:t>
      </w:r>
      <w:r>
        <w:rPr>
          <w:spacing w:val="-3"/>
          <w:sz w:val="21"/>
        </w:rPr>
        <w:t>）</w:t>
      </w:r>
      <w:r>
        <w:rPr>
          <w:sz w:val="21"/>
        </w:rPr>
        <w:t>柜</w:t>
      </w:r>
      <w:r>
        <w:rPr>
          <w:spacing w:val="-3"/>
          <w:sz w:val="21"/>
        </w:rPr>
        <w:t>（</w:t>
      </w:r>
      <w:r>
        <w:rPr>
          <w:sz w:val="21"/>
        </w:rPr>
        <w:t>箱</w:t>
      </w:r>
      <w:r>
        <w:rPr>
          <w:spacing w:val="-3"/>
          <w:sz w:val="21"/>
        </w:rPr>
        <w:t>）</w:t>
      </w:r>
      <w:r>
        <w:rPr>
          <w:sz w:val="21"/>
        </w:rPr>
        <w:t>内</w:t>
      </w:r>
      <w:r>
        <w:rPr>
          <w:spacing w:val="-3"/>
          <w:sz w:val="21"/>
        </w:rPr>
        <w:t>。</w:t>
      </w:r>
      <w:r>
        <w:rPr>
          <w:sz w:val="21"/>
        </w:rPr>
        <w:t> </w:t>
        <w:tab/>
      </w:r>
      <w:r>
        <w:rPr>
          <w:w w:val="100"/>
          <w:sz w:val="21"/>
        </w:rPr>
        <w:t>  </w:t>
      </w:r>
    </w:p>
    <w:p>
      <w:pPr>
        <w:pStyle w:val="BodyText"/>
        <w:spacing w:before="12"/>
        <w:rPr>
          <w:sz w:val="17"/>
        </w:rPr>
      </w:pPr>
    </w:p>
    <w:p>
      <w:pPr>
        <w:pStyle w:val="ListParagraph"/>
        <w:numPr>
          <w:ilvl w:val="2"/>
          <w:numId w:val="642"/>
        </w:numPr>
        <w:tabs>
          <w:tab w:pos="1370" w:val="left" w:leader="none"/>
          <w:tab w:pos="6718" w:val="left" w:leader="none"/>
        </w:tabs>
        <w:spacing w:line="240" w:lineRule="auto" w:before="0" w:after="0"/>
        <w:ind w:left="1369" w:right="0" w:hanging="530"/>
        <w:jc w:val="left"/>
        <w:rPr>
          <w:sz w:val="21"/>
        </w:rPr>
      </w:pPr>
      <w:r>
        <w:rPr>
          <w:spacing w:val="-3"/>
          <w:sz w:val="21"/>
        </w:rPr>
        <w:t>本</w:t>
      </w:r>
      <w:r>
        <w:rPr>
          <w:sz w:val="21"/>
        </w:rPr>
        <w:t>报</w:t>
      </w:r>
      <w:r>
        <w:rPr>
          <w:spacing w:val="-3"/>
          <w:sz w:val="21"/>
        </w:rPr>
        <w:t>警</w:t>
      </w:r>
      <w:r>
        <w:rPr>
          <w:sz w:val="21"/>
        </w:rPr>
        <w:t>区</w:t>
      </w:r>
      <w:r>
        <w:rPr>
          <w:spacing w:val="-3"/>
          <w:sz w:val="21"/>
        </w:rPr>
        <w:t>域</w:t>
      </w:r>
      <w:r>
        <w:rPr>
          <w:sz w:val="21"/>
        </w:rPr>
        <w:t>内</w:t>
      </w:r>
      <w:r>
        <w:rPr>
          <w:spacing w:val="-3"/>
          <w:sz w:val="21"/>
        </w:rPr>
        <w:t>的模</w:t>
      </w:r>
      <w:r>
        <w:rPr>
          <w:sz w:val="21"/>
        </w:rPr>
        <w:t>块不</w:t>
      </w:r>
      <w:r>
        <w:rPr>
          <w:spacing w:val="-3"/>
          <w:sz w:val="21"/>
        </w:rPr>
        <w:t>应</w:t>
      </w:r>
      <w:r>
        <w:rPr>
          <w:sz w:val="21"/>
        </w:rPr>
        <w:t>控</w:t>
      </w:r>
      <w:r>
        <w:rPr>
          <w:spacing w:val="-3"/>
          <w:sz w:val="21"/>
        </w:rPr>
        <w:t>制</w:t>
      </w:r>
      <w:r>
        <w:rPr>
          <w:sz w:val="21"/>
        </w:rPr>
        <w:t>其</w:t>
      </w:r>
      <w:r>
        <w:rPr>
          <w:spacing w:val="-3"/>
          <w:sz w:val="21"/>
        </w:rPr>
        <w:t>他</w:t>
      </w:r>
      <w:r>
        <w:rPr>
          <w:sz w:val="21"/>
        </w:rPr>
        <w:t>报</w:t>
      </w:r>
      <w:r>
        <w:rPr>
          <w:spacing w:val="-3"/>
          <w:sz w:val="21"/>
        </w:rPr>
        <w:t>警</w:t>
      </w:r>
      <w:r>
        <w:rPr>
          <w:sz w:val="21"/>
        </w:rPr>
        <w:t>区</w:t>
      </w:r>
      <w:r>
        <w:rPr>
          <w:spacing w:val="-3"/>
          <w:sz w:val="21"/>
        </w:rPr>
        <w:t>域</w:t>
      </w:r>
      <w:r>
        <w:rPr>
          <w:sz w:val="21"/>
        </w:rPr>
        <w:t>的设</w:t>
      </w:r>
      <w:r>
        <w:rPr>
          <w:spacing w:val="-3"/>
          <w:sz w:val="21"/>
        </w:rPr>
        <w:t>备。</w:t>
      </w:r>
      <w:r>
        <w:rPr>
          <w:sz w:val="21"/>
        </w:rPr>
        <w:t> </w:t>
        <w:tab/>
      </w:r>
      <w:r>
        <w:rPr>
          <w:w w:val="100"/>
          <w:sz w:val="21"/>
        </w:rPr>
        <w:t>  </w:t>
      </w:r>
    </w:p>
    <w:p>
      <w:pPr>
        <w:pStyle w:val="BodyText"/>
        <w:spacing w:before="2"/>
        <w:rPr>
          <w:sz w:val="18"/>
        </w:rPr>
      </w:pPr>
    </w:p>
    <w:p>
      <w:pPr>
        <w:pStyle w:val="ListParagraph"/>
        <w:numPr>
          <w:ilvl w:val="2"/>
          <w:numId w:val="642"/>
        </w:numPr>
        <w:tabs>
          <w:tab w:pos="1370" w:val="left" w:leader="none"/>
        </w:tabs>
        <w:spacing w:line="240" w:lineRule="auto" w:before="0" w:after="0"/>
        <w:ind w:left="1369" w:right="0" w:hanging="530"/>
        <w:jc w:val="left"/>
        <w:rPr>
          <w:sz w:val="21"/>
        </w:rPr>
      </w:pPr>
      <w:r>
        <w:rPr>
          <w:spacing w:val="-3"/>
          <w:sz w:val="21"/>
        </w:rPr>
        <w:t>未集中设置的模块附近应有尺寸不小于 </w:t>
      </w:r>
      <w:r>
        <w:rPr>
          <w:sz w:val="21"/>
        </w:rPr>
        <w:t>100mm×100mm</w:t>
      </w:r>
      <w:r>
        <w:rPr>
          <w:spacing w:val="-3"/>
          <w:sz w:val="21"/>
        </w:rPr>
        <w:t> 的标识。</w:t>
      </w:r>
      <w:r>
        <w:rPr>
          <w:sz w:val="21"/>
        </w:rPr>
        <w:t> </w:t>
      </w:r>
      <w:r>
        <w:rPr>
          <w:spacing w:val="-7"/>
          <w:sz w:val="21"/>
        </w:rPr>
        <w:t> </w:t>
      </w:r>
      <w:r>
        <w:rPr>
          <w:w w:val="100"/>
          <w:sz w:val="21"/>
        </w:rPr>
        <w:t>  </w:t>
      </w:r>
    </w:p>
    <w:p>
      <w:pPr>
        <w:pStyle w:val="BodyText"/>
        <w:rPr>
          <w:sz w:val="18"/>
        </w:rPr>
      </w:pPr>
    </w:p>
    <w:p>
      <w:pPr>
        <w:pStyle w:val="ListParagraph"/>
        <w:numPr>
          <w:ilvl w:val="1"/>
          <w:numId w:val="642"/>
        </w:numPr>
        <w:tabs>
          <w:tab w:pos="1159" w:val="left" w:leader="none"/>
        </w:tabs>
        <w:spacing w:line="240" w:lineRule="auto" w:before="0" w:after="0"/>
        <w:ind w:left="1158" w:right="0" w:hanging="319"/>
        <w:jc w:val="left"/>
        <w:rPr>
          <w:sz w:val="21"/>
        </w:rPr>
      </w:pPr>
      <w:r>
        <w:rPr>
          <w:spacing w:val="-3"/>
          <w:sz w:val="21"/>
        </w:rPr>
        <w:t>消防控制室图形显示装置的设置</w:t>
      </w:r>
      <w:r>
        <w:rPr>
          <w:sz w:val="21"/>
        </w:rPr>
        <w:t> </w:t>
      </w:r>
    </w:p>
    <w:p>
      <w:pPr>
        <w:pStyle w:val="BodyText"/>
        <w:spacing w:before="12"/>
        <w:rPr>
          <w:sz w:val="17"/>
        </w:rPr>
      </w:pPr>
    </w:p>
    <w:p>
      <w:pPr>
        <w:pStyle w:val="ListParagraph"/>
        <w:numPr>
          <w:ilvl w:val="2"/>
          <w:numId w:val="642"/>
        </w:numPr>
        <w:tabs>
          <w:tab w:pos="1371" w:val="left" w:leader="none"/>
        </w:tabs>
        <w:spacing w:line="446" w:lineRule="auto" w:before="0" w:after="0"/>
        <w:ind w:left="418" w:right="1431" w:firstLine="422"/>
        <w:jc w:val="left"/>
        <w:rPr>
          <w:sz w:val="21"/>
        </w:rPr>
      </w:pPr>
      <w:r>
        <w:rPr>
          <w:spacing w:val="-5"/>
          <w:sz w:val="21"/>
        </w:rPr>
        <w:t>消防控制室图形显示装置应设置在消防控制室内，并应符合火灾报警控制器的安装设置要求。</w:t>
      </w:r>
      <w:r>
        <w:rPr>
          <w:sz w:val="21"/>
        </w:rPr>
        <w:t> </w:t>
      </w:r>
    </w:p>
    <w:p>
      <w:pPr>
        <w:pStyle w:val="ListParagraph"/>
        <w:numPr>
          <w:ilvl w:val="2"/>
          <w:numId w:val="642"/>
        </w:numPr>
        <w:tabs>
          <w:tab w:pos="1370" w:val="left" w:leader="none"/>
          <w:tab w:pos="6298" w:val="left" w:leader="none"/>
        </w:tabs>
        <w:spacing w:line="446" w:lineRule="auto" w:before="1" w:after="0"/>
        <w:ind w:left="418" w:right="1433" w:firstLine="422"/>
        <w:jc w:val="left"/>
        <w:rPr>
          <w:sz w:val="21"/>
        </w:rPr>
      </w:pPr>
      <w:r>
        <w:rPr>
          <w:spacing w:val="-3"/>
          <w:sz w:val="21"/>
        </w:rPr>
        <w:t>消</w:t>
      </w:r>
      <w:r>
        <w:rPr>
          <w:sz w:val="21"/>
        </w:rPr>
        <w:t>防</w:t>
      </w:r>
      <w:r>
        <w:rPr>
          <w:spacing w:val="-3"/>
          <w:sz w:val="21"/>
        </w:rPr>
        <w:t>控</w:t>
      </w:r>
      <w:r>
        <w:rPr>
          <w:sz w:val="21"/>
        </w:rPr>
        <w:t>制</w:t>
      </w:r>
      <w:r>
        <w:rPr>
          <w:spacing w:val="-3"/>
          <w:sz w:val="21"/>
        </w:rPr>
        <w:t>室</w:t>
      </w:r>
      <w:r>
        <w:rPr>
          <w:sz w:val="21"/>
        </w:rPr>
        <w:t>图</w:t>
      </w:r>
      <w:r>
        <w:rPr>
          <w:spacing w:val="-3"/>
          <w:sz w:val="21"/>
        </w:rPr>
        <w:t>形显</w:t>
      </w:r>
      <w:r>
        <w:rPr>
          <w:sz w:val="21"/>
        </w:rPr>
        <w:t>示装</w:t>
      </w:r>
      <w:r>
        <w:rPr>
          <w:spacing w:val="-3"/>
          <w:sz w:val="21"/>
        </w:rPr>
        <w:t>置</w:t>
      </w:r>
      <w:r>
        <w:rPr>
          <w:sz w:val="21"/>
        </w:rPr>
        <w:t>与</w:t>
      </w:r>
      <w:r>
        <w:rPr>
          <w:spacing w:val="-3"/>
          <w:sz w:val="21"/>
        </w:rPr>
        <w:t>火</w:t>
      </w:r>
      <w:r>
        <w:rPr>
          <w:sz w:val="21"/>
        </w:rPr>
        <w:t>灾</w:t>
      </w:r>
      <w:r>
        <w:rPr>
          <w:spacing w:val="-3"/>
          <w:sz w:val="21"/>
        </w:rPr>
        <w:t>报</w:t>
      </w:r>
      <w:r>
        <w:rPr>
          <w:sz w:val="21"/>
        </w:rPr>
        <w:t>警</w:t>
      </w:r>
      <w:r>
        <w:rPr>
          <w:spacing w:val="-3"/>
          <w:sz w:val="21"/>
        </w:rPr>
        <w:t>控</w:t>
      </w:r>
      <w:r>
        <w:rPr>
          <w:sz w:val="21"/>
        </w:rPr>
        <w:t>制</w:t>
      </w:r>
      <w:r>
        <w:rPr>
          <w:spacing w:val="-3"/>
          <w:sz w:val="21"/>
        </w:rPr>
        <w:t>器</w:t>
      </w:r>
      <w:r>
        <w:rPr>
          <w:spacing w:val="-13"/>
          <w:sz w:val="21"/>
        </w:rPr>
        <w:t>、</w:t>
      </w:r>
      <w:r>
        <w:rPr>
          <w:spacing w:val="-3"/>
          <w:sz w:val="21"/>
        </w:rPr>
        <w:t>消</w:t>
      </w:r>
      <w:r>
        <w:rPr>
          <w:sz w:val="21"/>
        </w:rPr>
        <w:t>防</w:t>
      </w:r>
      <w:r>
        <w:rPr>
          <w:spacing w:val="-3"/>
          <w:sz w:val="21"/>
        </w:rPr>
        <w:t>联</w:t>
      </w:r>
      <w:r>
        <w:rPr>
          <w:sz w:val="21"/>
        </w:rPr>
        <w:t>动</w:t>
      </w:r>
      <w:r>
        <w:rPr>
          <w:spacing w:val="-3"/>
          <w:sz w:val="21"/>
        </w:rPr>
        <w:t>控</w:t>
      </w:r>
      <w:r>
        <w:rPr>
          <w:sz w:val="21"/>
        </w:rPr>
        <w:t>制</w:t>
      </w:r>
      <w:r>
        <w:rPr>
          <w:spacing w:val="-3"/>
          <w:sz w:val="21"/>
        </w:rPr>
        <w:t>器</w:t>
      </w:r>
      <w:r>
        <w:rPr>
          <w:spacing w:val="-13"/>
          <w:sz w:val="21"/>
        </w:rPr>
        <w:t>、</w:t>
      </w:r>
      <w:r>
        <w:rPr>
          <w:spacing w:val="-3"/>
          <w:sz w:val="21"/>
        </w:rPr>
        <w:t>电气</w:t>
      </w:r>
      <w:r>
        <w:rPr>
          <w:sz w:val="21"/>
        </w:rPr>
        <w:t>火灾</w:t>
      </w:r>
      <w:r>
        <w:rPr>
          <w:spacing w:val="-3"/>
          <w:sz w:val="21"/>
        </w:rPr>
        <w:t>监</w:t>
      </w:r>
      <w:r>
        <w:rPr>
          <w:sz w:val="21"/>
        </w:rPr>
        <w:t>控</w:t>
      </w:r>
      <w:r>
        <w:rPr>
          <w:spacing w:val="-3"/>
          <w:sz w:val="21"/>
        </w:rPr>
        <w:t>器</w:t>
      </w:r>
      <w:r>
        <w:rPr>
          <w:spacing w:val="-15"/>
          <w:sz w:val="21"/>
        </w:rPr>
        <w:t>、</w:t>
      </w:r>
      <w:r>
        <w:rPr>
          <w:sz w:val="21"/>
        </w:rPr>
        <w:t>可燃气</w:t>
      </w:r>
      <w:r>
        <w:rPr>
          <w:spacing w:val="-3"/>
          <w:sz w:val="21"/>
        </w:rPr>
        <w:t>体</w:t>
      </w:r>
      <w:r>
        <w:rPr>
          <w:sz w:val="21"/>
        </w:rPr>
        <w:t>报</w:t>
      </w:r>
      <w:r>
        <w:rPr>
          <w:spacing w:val="27"/>
          <w:sz w:val="21"/>
        </w:rPr>
        <w:t> </w:t>
      </w:r>
      <w:r>
        <w:rPr>
          <w:sz w:val="21"/>
        </w:rPr>
        <w:t>警</w:t>
      </w:r>
      <w:r>
        <w:rPr>
          <w:spacing w:val="-3"/>
          <w:sz w:val="21"/>
        </w:rPr>
        <w:t>控</w:t>
      </w:r>
      <w:r>
        <w:rPr>
          <w:sz w:val="21"/>
        </w:rPr>
        <w:t>制</w:t>
      </w:r>
      <w:r>
        <w:rPr>
          <w:spacing w:val="-3"/>
          <w:sz w:val="21"/>
        </w:rPr>
        <w:t>器</w:t>
      </w:r>
      <w:r>
        <w:rPr>
          <w:sz w:val="21"/>
        </w:rPr>
        <w:t>等</w:t>
      </w:r>
      <w:r>
        <w:rPr>
          <w:spacing w:val="-3"/>
          <w:sz w:val="21"/>
        </w:rPr>
        <w:t>消防</w:t>
      </w:r>
      <w:r>
        <w:rPr>
          <w:sz w:val="21"/>
        </w:rPr>
        <w:t>设备</w:t>
      </w:r>
      <w:r>
        <w:rPr>
          <w:spacing w:val="-3"/>
          <w:sz w:val="21"/>
        </w:rPr>
        <w:t>之</w:t>
      </w:r>
      <w:r>
        <w:rPr>
          <w:sz w:val="21"/>
        </w:rPr>
        <w:t>间</w:t>
      </w:r>
      <w:r>
        <w:rPr>
          <w:spacing w:val="-3"/>
          <w:sz w:val="21"/>
        </w:rPr>
        <w:t>，</w:t>
      </w:r>
      <w:r>
        <w:rPr>
          <w:sz w:val="21"/>
        </w:rPr>
        <w:t>应</w:t>
      </w:r>
      <w:r>
        <w:rPr>
          <w:spacing w:val="-3"/>
          <w:sz w:val="21"/>
        </w:rPr>
        <w:t>采</w:t>
      </w:r>
      <w:r>
        <w:rPr>
          <w:sz w:val="21"/>
        </w:rPr>
        <w:t>用</w:t>
      </w:r>
      <w:r>
        <w:rPr>
          <w:spacing w:val="-3"/>
          <w:sz w:val="21"/>
        </w:rPr>
        <w:t>专</w:t>
      </w:r>
      <w:r>
        <w:rPr>
          <w:sz w:val="21"/>
        </w:rPr>
        <w:t>用</w:t>
      </w:r>
      <w:r>
        <w:rPr>
          <w:spacing w:val="-3"/>
          <w:sz w:val="21"/>
        </w:rPr>
        <w:t>线</w:t>
      </w:r>
      <w:r>
        <w:rPr>
          <w:sz w:val="21"/>
        </w:rPr>
        <w:t>路连</w:t>
      </w:r>
      <w:r>
        <w:rPr>
          <w:spacing w:val="-3"/>
          <w:sz w:val="21"/>
        </w:rPr>
        <w:t>接。</w:t>
      </w:r>
      <w:r>
        <w:rPr>
          <w:sz w:val="21"/>
        </w:rPr>
        <w:t> </w:t>
        <w:tab/>
      </w:r>
      <w:r>
        <w:rPr>
          <w:w w:val="100"/>
          <w:sz w:val="21"/>
        </w:rPr>
        <w:t>  </w:t>
      </w:r>
    </w:p>
    <w:p>
      <w:pPr>
        <w:pStyle w:val="ListParagraph"/>
        <w:numPr>
          <w:ilvl w:val="1"/>
          <w:numId w:val="642"/>
        </w:numPr>
        <w:tabs>
          <w:tab w:pos="1264" w:val="left" w:leader="none"/>
        </w:tabs>
        <w:spacing w:line="240" w:lineRule="auto" w:before="0" w:after="0"/>
        <w:ind w:left="1263" w:right="0" w:hanging="424"/>
        <w:jc w:val="left"/>
        <w:rPr>
          <w:sz w:val="21"/>
        </w:rPr>
      </w:pPr>
      <w:r>
        <w:rPr>
          <w:spacing w:val="-3"/>
          <w:sz w:val="21"/>
        </w:rPr>
        <w:t>火灾报警传输设备或用户信息传输装置的设置</w:t>
      </w:r>
      <w:r>
        <w:rPr>
          <w:sz w:val="21"/>
        </w:rPr>
        <w:t> </w:t>
      </w:r>
    </w:p>
    <w:p>
      <w:pPr>
        <w:pStyle w:val="BodyText"/>
        <w:spacing w:before="12"/>
        <w:rPr>
          <w:sz w:val="17"/>
        </w:rPr>
      </w:pPr>
    </w:p>
    <w:p>
      <w:pPr>
        <w:pStyle w:val="ListParagraph"/>
        <w:numPr>
          <w:ilvl w:val="2"/>
          <w:numId w:val="642"/>
        </w:numPr>
        <w:tabs>
          <w:tab w:pos="1478" w:val="left" w:leader="none"/>
          <w:tab w:pos="5458" w:val="left" w:leader="none"/>
        </w:tabs>
        <w:spacing w:line="446" w:lineRule="auto" w:before="0" w:after="0"/>
        <w:ind w:left="418" w:right="1434" w:firstLine="422"/>
        <w:jc w:val="left"/>
        <w:rPr>
          <w:sz w:val="21"/>
        </w:rPr>
      </w:pPr>
      <w:r>
        <w:rPr>
          <w:sz w:val="21"/>
        </w:rPr>
        <w:t>火灾</w:t>
      </w:r>
      <w:r>
        <w:rPr>
          <w:spacing w:val="-3"/>
          <w:sz w:val="21"/>
        </w:rPr>
        <w:t>报</w:t>
      </w:r>
      <w:r>
        <w:rPr>
          <w:sz w:val="21"/>
        </w:rPr>
        <w:t>警传</w:t>
      </w:r>
      <w:r>
        <w:rPr>
          <w:spacing w:val="-3"/>
          <w:sz w:val="21"/>
        </w:rPr>
        <w:t>输设</w:t>
      </w:r>
      <w:r>
        <w:rPr>
          <w:sz w:val="21"/>
        </w:rPr>
        <w:t>备或用</w:t>
      </w:r>
      <w:r>
        <w:rPr>
          <w:spacing w:val="-3"/>
          <w:sz w:val="21"/>
        </w:rPr>
        <w:t>户</w:t>
      </w:r>
      <w:r>
        <w:rPr>
          <w:sz w:val="21"/>
        </w:rPr>
        <w:t>信息</w:t>
      </w:r>
      <w:r>
        <w:rPr>
          <w:spacing w:val="-3"/>
          <w:sz w:val="21"/>
        </w:rPr>
        <w:t>传</w:t>
      </w:r>
      <w:r>
        <w:rPr>
          <w:sz w:val="21"/>
        </w:rPr>
        <w:t>输装</w:t>
      </w:r>
      <w:r>
        <w:rPr>
          <w:spacing w:val="-3"/>
          <w:sz w:val="21"/>
        </w:rPr>
        <w:t>置，</w:t>
      </w:r>
      <w:r>
        <w:rPr>
          <w:sz w:val="21"/>
        </w:rPr>
        <w:t>应设置</w:t>
      </w:r>
      <w:r>
        <w:rPr>
          <w:spacing w:val="-3"/>
          <w:sz w:val="21"/>
        </w:rPr>
        <w:t>在</w:t>
      </w:r>
      <w:r>
        <w:rPr>
          <w:sz w:val="21"/>
        </w:rPr>
        <w:t>消防</w:t>
      </w:r>
      <w:r>
        <w:rPr>
          <w:spacing w:val="-3"/>
          <w:sz w:val="21"/>
        </w:rPr>
        <w:t>控</w:t>
      </w:r>
      <w:r>
        <w:rPr>
          <w:sz w:val="21"/>
        </w:rPr>
        <w:t>制室</w:t>
      </w:r>
      <w:r>
        <w:rPr>
          <w:spacing w:val="-3"/>
          <w:sz w:val="21"/>
        </w:rPr>
        <w:t>内；</w:t>
      </w:r>
      <w:r>
        <w:rPr>
          <w:sz w:val="21"/>
        </w:rPr>
        <w:t>未设置</w:t>
      </w:r>
      <w:r>
        <w:rPr>
          <w:spacing w:val="-3"/>
          <w:sz w:val="21"/>
        </w:rPr>
        <w:t>消</w:t>
      </w:r>
      <w:r>
        <w:rPr>
          <w:sz w:val="21"/>
        </w:rPr>
        <w:t>防控制 室时</w:t>
      </w:r>
      <w:r>
        <w:rPr>
          <w:spacing w:val="-3"/>
          <w:sz w:val="21"/>
        </w:rPr>
        <w:t>，</w:t>
      </w:r>
      <w:r>
        <w:rPr>
          <w:sz w:val="21"/>
        </w:rPr>
        <w:t>应</w:t>
      </w:r>
      <w:r>
        <w:rPr>
          <w:spacing w:val="22"/>
          <w:sz w:val="21"/>
        </w:rPr>
        <w:t> </w:t>
      </w:r>
      <w:r>
        <w:rPr>
          <w:sz w:val="21"/>
        </w:rPr>
        <w:t>设</w:t>
      </w:r>
      <w:r>
        <w:rPr>
          <w:spacing w:val="-3"/>
          <w:sz w:val="21"/>
        </w:rPr>
        <w:t>置</w:t>
      </w:r>
      <w:r>
        <w:rPr>
          <w:sz w:val="21"/>
        </w:rPr>
        <w:t>在</w:t>
      </w:r>
      <w:r>
        <w:rPr>
          <w:spacing w:val="-3"/>
          <w:sz w:val="21"/>
        </w:rPr>
        <w:t>火</w:t>
      </w:r>
      <w:r>
        <w:rPr>
          <w:sz w:val="21"/>
        </w:rPr>
        <w:t>灾</w:t>
      </w:r>
      <w:r>
        <w:rPr>
          <w:spacing w:val="-3"/>
          <w:sz w:val="21"/>
        </w:rPr>
        <w:t>报警</w:t>
      </w:r>
      <w:r>
        <w:rPr>
          <w:sz w:val="21"/>
        </w:rPr>
        <w:t>控制</w:t>
      </w:r>
      <w:r>
        <w:rPr>
          <w:spacing w:val="-3"/>
          <w:sz w:val="21"/>
        </w:rPr>
        <w:t>器</w:t>
      </w:r>
      <w:r>
        <w:rPr>
          <w:sz w:val="21"/>
        </w:rPr>
        <w:t>附</w:t>
      </w:r>
      <w:r>
        <w:rPr>
          <w:spacing w:val="-3"/>
          <w:sz w:val="21"/>
        </w:rPr>
        <w:t>近</w:t>
      </w:r>
      <w:r>
        <w:rPr>
          <w:sz w:val="21"/>
        </w:rPr>
        <w:t>的</w:t>
      </w:r>
      <w:r>
        <w:rPr>
          <w:spacing w:val="-3"/>
          <w:sz w:val="21"/>
        </w:rPr>
        <w:t>明</w:t>
      </w:r>
      <w:r>
        <w:rPr>
          <w:sz w:val="21"/>
        </w:rPr>
        <w:t>显</w:t>
      </w:r>
      <w:r>
        <w:rPr>
          <w:spacing w:val="-3"/>
          <w:sz w:val="21"/>
        </w:rPr>
        <w:t>部</w:t>
      </w:r>
      <w:r>
        <w:rPr>
          <w:sz w:val="21"/>
        </w:rPr>
        <w:t>位</w:t>
      </w:r>
      <w:r>
        <w:rPr>
          <w:spacing w:val="-3"/>
          <w:sz w:val="21"/>
        </w:rPr>
        <w:t>。</w:t>
      </w:r>
      <w:r>
        <w:rPr>
          <w:sz w:val="21"/>
        </w:rPr>
        <w:t> </w:t>
        <w:tab/>
      </w:r>
      <w:r>
        <w:rPr>
          <w:w w:val="100"/>
          <w:sz w:val="21"/>
        </w:rPr>
        <w:t>  </w:t>
      </w:r>
    </w:p>
    <w:p>
      <w:pPr>
        <w:pStyle w:val="ListParagraph"/>
        <w:numPr>
          <w:ilvl w:val="2"/>
          <w:numId w:val="642"/>
        </w:numPr>
        <w:tabs>
          <w:tab w:pos="1478" w:val="left" w:leader="none"/>
        </w:tabs>
        <w:spacing w:line="446" w:lineRule="auto" w:before="0" w:after="0"/>
        <w:ind w:left="418" w:right="1434" w:firstLine="422"/>
        <w:jc w:val="left"/>
        <w:rPr>
          <w:sz w:val="21"/>
        </w:rPr>
      </w:pPr>
      <w:r>
        <w:rPr>
          <w:spacing w:val="-3"/>
          <w:sz w:val="21"/>
        </w:rPr>
        <w:t>火灾报警传输设备或用户信息传输装置与火灾报警控制器、消防联动控制器等设备 之间，应采用专用线路连接。</w:t>
      </w:r>
      <w:r>
        <w:rPr>
          <w:sz w:val="21"/>
        </w:rPr>
        <w:t> </w:t>
      </w:r>
      <w:r>
        <w:rPr>
          <w:spacing w:val="-2"/>
          <w:sz w:val="21"/>
        </w:rPr>
        <w:t> </w:t>
      </w:r>
      <w:r>
        <w:rPr>
          <w:w w:val="100"/>
          <w:sz w:val="21"/>
        </w:rPr>
        <w:t>  </w:t>
      </w:r>
    </w:p>
    <w:p>
      <w:pPr>
        <w:pStyle w:val="ListParagraph"/>
        <w:numPr>
          <w:ilvl w:val="2"/>
          <w:numId w:val="642"/>
        </w:numPr>
        <w:tabs>
          <w:tab w:pos="1478" w:val="left" w:leader="none"/>
        </w:tabs>
        <w:spacing w:line="267" w:lineRule="exact" w:before="0" w:after="0"/>
        <w:ind w:left="1477" w:right="0" w:hanging="638"/>
        <w:jc w:val="left"/>
        <w:rPr>
          <w:sz w:val="21"/>
        </w:rPr>
      </w:pPr>
      <w:r>
        <w:rPr>
          <w:spacing w:val="-3"/>
          <w:sz w:val="21"/>
        </w:rPr>
        <w:t>火灾报警传输设备或用户信息传输装置的设置，应保证有足够的操作和检修间距。</w:t>
      </w:r>
      <w:r>
        <w:rPr>
          <w:sz w:val="21"/>
        </w:rPr>
        <w:t> </w:t>
      </w:r>
    </w:p>
    <w:p>
      <w:pPr>
        <w:pStyle w:val="BodyText"/>
        <w:spacing w:before="1"/>
        <w:rPr>
          <w:sz w:val="18"/>
        </w:rPr>
      </w:pPr>
    </w:p>
    <w:p>
      <w:pPr>
        <w:pStyle w:val="ListParagraph"/>
        <w:numPr>
          <w:ilvl w:val="2"/>
          <w:numId w:val="642"/>
        </w:numPr>
        <w:tabs>
          <w:tab w:pos="1478" w:val="left" w:leader="none"/>
        </w:tabs>
        <w:spacing w:line="240" w:lineRule="auto" w:before="1" w:after="0"/>
        <w:ind w:left="1477" w:right="0" w:hanging="638"/>
        <w:jc w:val="left"/>
        <w:rPr>
          <w:sz w:val="21"/>
        </w:rPr>
      </w:pPr>
      <w:r>
        <w:rPr>
          <w:spacing w:val="-3"/>
          <w:sz w:val="21"/>
        </w:rPr>
        <w:t>火灾报警传输设备或用户信息传输装置的手动报警装置，应设置在便于操作的明显</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部位。 </w:t>
      </w:r>
    </w:p>
    <w:p>
      <w:pPr>
        <w:pStyle w:val="BodyText"/>
        <w:rPr>
          <w:sz w:val="18"/>
        </w:rPr>
      </w:pPr>
    </w:p>
    <w:p>
      <w:pPr>
        <w:pStyle w:val="ListParagraph"/>
        <w:numPr>
          <w:ilvl w:val="1"/>
          <w:numId w:val="642"/>
        </w:numPr>
        <w:tabs>
          <w:tab w:pos="1266" w:val="left" w:leader="none"/>
        </w:tabs>
        <w:spacing w:line="240" w:lineRule="auto" w:before="0" w:after="0"/>
        <w:ind w:left="1265" w:right="0" w:hanging="426"/>
        <w:jc w:val="left"/>
        <w:rPr>
          <w:sz w:val="21"/>
        </w:rPr>
      </w:pPr>
      <w:r>
        <w:rPr>
          <w:spacing w:val="-3"/>
          <w:sz w:val="21"/>
        </w:rPr>
        <w:t>防火门监控器的设置</w:t>
      </w:r>
      <w:r>
        <w:rPr>
          <w:sz w:val="21"/>
        </w:rPr>
        <w:t> </w:t>
      </w:r>
    </w:p>
    <w:p>
      <w:pPr>
        <w:pStyle w:val="BodyText"/>
        <w:rPr>
          <w:sz w:val="18"/>
        </w:rPr>
      </w:pPr>
    </w:p>
    <w:p>
      <w:pPr>
        <w:pStyle w:val="ListParagraph"/>
        <w:numPr>
          <w:ilvl w:val="2"/>
          <w:numId w:val="642"/>
        </w:numPr>
        <w:tabs>
          <w:tab w:pos="1478" w:val="left" w:leader="none"/>
        </w:tabs>
        <w:spacing w:line="446" w:lineRule="auto" w:before="0" w:after="0"/>
        <w:ind w:left="418" w:right="1434" w:firstLine="422"/>
        <w:jc w:val="left"/>
        <w:rPr>
          <w:sz w:val="21"/>
        </w:rPr>
      </w:pPr>
      <w:r>
        <w:rPr>
          <w:spacing w:val="-3"/>
          <w:sz w:val="21"/>
        </w:rPr>
        <w:t>防火门监控器应设置在消防控制室内，未设置消防控制室时，应设置在有人值班的 场所。 </w:t>
      </w:r>
      <w:r>
        <w:rPr>
          <w:sz w:val="21"/>
        </w:rPr>
        <w:t> </w:t>
      </w:r>
    </w:p>
    <w:p>
      <w:pPr>
        <w:pStyle w:val="ListParagraph"/>
        <w:numPr>
          <w:ilvl w:val="2"/>
          <w:numId w:val="642"/>
        </w:numPr>
        <w:tabs>
          <w:tab w:pos="1478" w:val="left" w:leader="none"/>
          <w:tab w:pos="4198" w:val="left" w:leader="none"/>
        </w:tabs>
        <w:spacing w:line="446" w:lineRule="auto" w:before="0" w:after="0"/>
        <w:ind w:left="418" w:right="1433" w:firstLine="422"/>
        <w:jc w:val="left"/>
        <w:rPr>
          <w:sz w:val="21"/>
        </w:rPr>
      </w:pPr>
      <w:r>
        <w:rPr>
          <w:sz w:val="21"/>
        </w:rPr>
        <w:t>电</w:t>
      </w:r>
      <w:r>
        <w:rPr>
          <w:spacing w:val="-3"/>
          <w:sz w:val="21"/>
        </w:rPr>
        <w:t>动</w:t>
      </w:r>
      <w:r>
        <w:rPr>
          <w:sz w:val="21"/>
        </w:rPr>
        <w:t>开</w:t>
      </w:r>
      <w:r>
        <w:rPr>
          <w:spacing w:val="-3"/>
          <w:sz w:val="21"/>
        </w:rPr>
        <w:t>门</w:t>
      </w:r>
      <w:r>
        <w:rPr>
          <w:sz w:val="21"/>
        </w:rPr>
        <w:t>器</w:t>
      </w:r>
      <w:r>
        <w:rPr>
          <w:spacing w:val="-3"/>
          <w:sz w:val="21"/>
        </w:rPr>
        <w:t>的</w:t>
      </w:r>
      <w:r>
        <w:rPr>
          <w:sz w:val="21"/>
        </w:rPr>
        <w:t>手</w:t>
      </w:r>
      <w:r>
        <w:rPr>
          <w:spacing w:val="-3"/>
          <w:sz w:val="21"/>
        </w:rPr>
        <w:t>动</w:t>
      </w:r>
      <w:r>
        <w:rPr>
          <w:sz w:val="21"/>
        </w:rPr>
        <w:t>控制</w:t>
      </w:r>
      <w:r>
        <w:rPr>
          <w:spacing w:val="-3"/>
          <w:sz w:val="21"/>
        </w:rPr>
        <w:t>按</w:t>
      </w:r>
      <w:r>
        <w:rPr>
          <w:sz w:val="21"/>
        </w:rPr>
        <w:t>钮</w:t>
      </w:r>
      <w:r>
        <w:rPr>
          <w:spacing w:val="-3"/>
          <w:sz w:val="21"/>
        </w:rPr>
        <w:t>应</w:t>
      </w:r>
      <w:r>
        <w:rPr>
          <w:sz w:val="21"/>
        </w:rPr>
        <w:t>设</w:t>
      </w:r>
      <w:r>
        <w:rPr>
          <w:spacing w:val="-3"/>
          <w:sz w:val="21"/>
        </w:rPr>
        <w:t>置</w:t>
      </w:r>
      <w:r>
        <w:rPr>
          <w:sz w:val="21"/>
        </w:rPr>
        <w:t>在</w:t>
      </w:r>
      <w:r>
        <w:rPr>
          <w:spacing w:val="-3"/>
          <w:sz w:val="21"/>
        </w:rPr>
        <w:t>防</w:t>
      </w:r>
      <w:r>
        <w:rPr>
          <w:sz w:val="21"/>
        </w:rPr>
        <w:t>火</w:t>
      </w:r>
      <w:r>
        <w:rPr>
          <w:spacing w:val="-3"/>
          <w:sz w:val="21"/>
        </w:rPr>
        <w:t>门</w:t>
      </w:r>
      <w:r>
        <w:rPr>
          <w:sz w:val="21"/>
        </w:rPr>
        <w:t>内侧</w:t>
      </w:r>
      <w:r>
        <w:rPr>
          <w:spacing w:val="-3"/>
          <w:sz w:val="21"/>
        </w:rPr>
        <w:t>墙</w:t>
      </w:r>
      <w:r>
        <w:rPr>
          <w:sz w:val="21"/>
        </w:rPr>
        <w:t>面</w:t>
      </w:r>
      <w:r>
        <w:rPr>
          <w:spacing w:val="-3"/>
          <w:sz w:val="21"/>
        </w:rPr>
        <w:t>上</w:t>
      </w:r>
      <w:r>
        <w:rPr>
          <w:sz w:val="21"/>
        </w:rPr>
        <w:t>，</w:t>
      </w:r>
      <w:r>
        <w:rPr>
          <w:spacing w:val="-3"/>
          <w:sz w:val="21"/>
        </w:rPr>
        <w:t>距</w:t>
      </w:r>
      <w:r>
        <w:rPr>
          <w:sz w:val="21"/>
        </w:rPr>
        <w:t>门</w:t>
      </w:r>
      <w:r>
        <w:rPr>
          <w:spacing w:val="-3"/>
          <w:sz w:val="21"/>
        </w:rPr>
        <w:t>不</w:t>
      </w:r>
      <w:r>
        <w:rPr>
          <w:sz w:val="21"/>
        </w:rPr>
        <w:t>宜</w:t>
      </w:r>
      <w:r>
        <w:rPr>
          <w:spacing w:val="-3"/>
          <w:sz w:val="21"/>
        </w:rPr>
        <w:t>超</w:t>
      </w:r>
      <w:r>
        <w:rPr>
          <w:sz w:val="21"/>
        </w:rPr>
        <w:t>过</w:t>
      </w:r>
      <w:r>
        <w:rPr>
          <w:spacing w:val="33"/>
          <w:sz w:val="21"/>
        </w:rPr>
        <w:t> </w:t>
      </w:r>
      <w:r>
        <w:rPr>
          <w:sz w:val="21"/>
        </w:rPr>
        <w:t>0.5m</w:t>
      </w:r>
      <w:r>
        <w:rPr>
          <w:spacing w:val="34"/>
          <w:sz w:val="21"/>
        </w:rPr>
        <w:t> </w:t>
      </w:r>
      <w:r>
        <w:rPr>
          <w:spacing w:val="-3"/>
          <w:sz w:val="21"/>
        </w:rPr>
        <w:t>，底</w:t>
      </w:r>
      <w:r>
        <w:rPr>
          <w:sz w:val="21"/>
        </w:rPr>
        <w:t>边距</w:t>
      </w:r>
      <w:r>
        <w:rPr>
          <w:spacing w:val="-3"/>
          <w:sz w:val="21"/>
        </w:rPr>
        <w:t>地</w:t>
      </w:r>
      <w:r>
        <w:rPr>
          <w:sz w:val="21"/>
        </w:rPr>
        <w:t>面 高</w:t>
      </w:r>
      <w:r>
        <w:rPr>
          <w:spacing w:val="-3"/>
          <w:sz w:val="21"/>
        </w:rPr>
        <w:t>度</w:t>
      </w:r>
      <w:r>
        <w:rPr>
          <w:sz w:val="21"/>
        </w:rPr>
        <w:t>宜为</w:t>
      </w:r>
      <w:r>
        <w:rPr>
          <w:spacing w:val="1"/>
          <w:sz w:val="21"/>
        </w:rPr>
        <w:t> </w:t>
      </w:r>
      <w:r>
        <w:rPr>
          <w:sz w:val="21"/>
        </w:rPr>
        <w:t>0.9～1.3m </w:t>
      </w:r>
      <w:r>
        <w:rPr>
          <w:spacing w:val="-3"/>
          <w:sz w:val="21"/>
        </w:rPr>
        <w:t>。</w:t>
      </w:r>
      <w:r>
        <w:rPr>
          <w:sz w:val="21"/>
        </w:rPr>
        <w:t>  </w:t>
      </w:r>
      <w:r>
        <w:rPr>
          <w:w w:val="100"/>
          <w:sz w:val="21"/>
        </w:rPr>
        <w:t>  </w:t>
      </w:r>
      <w:r>
        <w:rPr>
          <w:sz w:val="21"/>
        </w:rPr>
        <w:tab/>
      </w:r>
      <w:r>
        <w:rPr>
          <w:w w:val="100"/>
          <w:sz w:val="21"/>
        </w:rPr>
        <w:t>  </w:t>
      </w:r>
    </w:p>
    <w:p>
      <w:pPr>
        <w:pStyle w:val="ListParagraph"/>
        <w:numPr>
          <w:ilvl w:val="2"/>
          <w:numId w:val="642"/>
        </w:numPr>
        <w:tabs>
          <w:tab w:pos="1478" w:val="left" w:leader="none"/>
        </w:tabs>
        <w:spacing w:line="240" w:lineRule="auto" w:before="0" w:after="0"/>
        <w:ind w:left="1477" w:right="0" w:hanging="638"/>
        <w:jc w:val="left"/>
        <w:rPr>
          <w:sz w:val="21"/>
        </w:rPr>
      </w:pPr>
      <w:r>
        <w:rPr>
          <w:spacing w:val="-3"/>
          <w:sz w:val="21"/>
        </w:rPr>
        <w:t>防火门监控器的设置应符合火灾报警控制器的安装设置要求。</w:t>
      </w:r>
      <w:r>
        <w:rPr>
          <w:sz w:val="21"/>
        </w:rPr>
        <w:t>  </w:t>
      </w:r>
      <w:r>
        <w:rPr>
          <w:spacing w:val="-11"/>
          <w:sz w:val="21"/>
        </w:rPr>
        <w:t> </w:t>
      </w:r>
      <w:r>
        <w:rPr>
          <w:w w:val="100"/>
          <w:sz w:val="21"/>
        </w:rPr>
        <w:t>  </w:t>
      </w:r>
    </w:p>
    <w:p>
      <w:pPr>
        <w:pStyle w:val="BodyText"/>
        <w:spacing w:before="8"/>
        <w:rPr>
          <w:sz w:val="15"/>
        </w:rPr>
      </w:pPr>
    </w:p>
    <w:p>
      <w:pPr>
        <w:pStyle w:val="Heading4"/>
      </w:pPr>
      <w:r>
        <w:rPr/>
        <w:t>7 住宅建筑火灾自动报警系统</w:t>
      </w:r>
      <w:r>
        <w:rPr>
          <w:w w:val="99"/>
        </w:rPr>
        <w:t> </w:t>
      </w:r>
    </w:p>
    <w:p>
      <w:pPr>
        <w:pStyle w:val="BodyText"/>
        <w:spacing w:before="4"/>
        <w:rPr>
          <w:b/>
          <w:sz w:val="17"/>
        </w:rPr>
      </w:pPr>
    </w:p>
    <w:p>
      <w:pPr>
        <w:pStyle w:val="ListParagraph"/>
        <w:numPr>
          <w:ilvl w:val="1"/>
          <w:numId w:val="645"/>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2"/>
        <w:rPr>
          <w:sz w:val="18"/>
        </w:rPr>
      </w:pPr>
    </w:p>
    <w:p>
      <w:pPr>
        <w:pStyle w:val="ListParagraph"/>
        <w:numPr>
          <w:ilvl w:val="2"/>
          <w:numId w:val="645"/>
        </w:numPr>
        <w:tabs>
          <w:tab w:pos="1371" w:val="left" w:leader="none"/>
        </w:tabs>
        <w:spacing w:line="240" w:lineRule="auto" w:before="0" w:after="0"/>
        <w:ind w:left="1370" w:right="0" w:hanging="531"/>
        <w:jc w:val="left"/>
        <w:rPr>
          <w:sz w:val="21"/>
        </w:rPr>
      </w:pPr>
      <w:r>
        <w:rPr>
          <w:spacing w:val="-6"/>
          <w:sz w:val="21"/>
        </w:rPr>
        <w:t>住宅建筑火灾自动报警系统可根据实际应用过程中保护对象的具体情况按下列分类：</w:t>
      </w:r>
      <w:r>
        <w:rPr>
          <w:sz w:val="21"/>
        </w:rPr>
        <w:t> </w:t>
      </w:r>
    </w:p>
    <w:p>
      <w:pPr>
        <w:pStyle w:val="BodyText"/>
        <w:spacing w:before="12"/>
        <w:rPr>
          <w:sz w:val="17"/>
        </w:rPr>
      </w:pPr>
    </w:p>
    <w:p>
      <w:pPr>
        <w:pStyle w:val="BodyText"/>
        <w:spacing w:line="446" w:lineRule="auto"/>
        <w:ind w:left="418" w:right="1433" w:firstLine="419"/>
      </w:pPr>
      <w:r>
        <w:rPr>
          <w:w w:val="100"/>
        </w:rPr>
        <w:t> </w:t>
      </w:r>
      <w:r>
        <w:rPr/>
        <w:t>A</w:t>
      </w:r>
      <w:r>
        <w:rPr>
          <w:spacing w:val="-9"/>
        </w:rPr>
        <w:t> 类系统可由火灾报警控制器、手动火灾报警按钮、家用火灾探测器、火灾声警报器、应急</w:t>
      </w:r>
      <w:r>
        <w:rPr>
          <w:spacing w:val="-5"/>
        </w:rPr>
        <w:t>广播等设备组成。</w:t>
      </w:r>
      <w:r>
        <w:rPr/>
        <w:t> </w:t>
      </w:r>
    </w:p>
    <w:p>
      <w:pPr>
        <w:pStyle w:val="BodyText"/>
        <w:spacing w:line="446" w:lineRule="auto"/>
        <w:ind w:left="418" w:right="1410" w:firstLine="419"/>
      </w:pPr>
      <w:r>
        <w:rPr/>
        <w:t>B 类系统可由控制中心监控设备、家用火灾报警控制器、家用火灾探测器、火灾声警报器等设 备组成。 </w:t>
      </w:r>
    </w:p>
    <w:p>
      <w:pPr>
        <w:pStyle w:val="BodyText"/>
        <w:spacing w:line="267" w:lineRule="exact"/>
        <w:ind w:left="838"/>
      </w:pPr>
      <w:r>
        <w:rPr/>
        <w:t>C 类系统可由家用火灾报警控制器、家用火灾探测器、火灾声警报器等设备组成。 </w:t>
      </w:r>
    </w:p>
    <w:p>
      <w:pPr>
        <w:pStyle w:val="BodyText"/>
        <w:spacing w:before="2"/>
        <w:rPr>
          <w:sz w:val="18"/>
        </w:rPr>
      </w:pPr>
    </w:p>
    <w:p>
      <w:pPr>
        <w:pStyle w:val="BodyText"/>
        <w:tabs>
          <w:tab w:pos="7558" w:val="left" w:leader="none"/>
        </w:tabs>
        <w:spacing w:line="446" w:lineRule="auto"/>
        <w:ind w:left="840" w:right="2873" w:hanging="3"/>
      </w:pPr>
      <w:r>
        <w:rPr>
          <w:w w:val="100"/>
        </w:rPr>
        <w:t> </w:t>
      </w:r>
      <w:r>
        <w:rPr/>
        <w:t>D</w:t>
      </w:r>
      <w:r>
        <w:rPr>
          <w:spacing w:val="34"/>
        </w:rPr>
        <w:t> </w:t>
      </w:r>
      <w:r>
        <w:rPr>
          <w:spacing w:val="-3"/>
        </w:rPr>
        <w:t>类</w:t>
      </w:r>
      <w:r>
        <w:rPr/>
        <w:t>系</w:t>
      </w:r>
      <w:r>
        <w:rPr>
          <w:spacing w:val="-3"/>
        </w:rPr>
        <w:t>统</w:t>
      </w:r>
      <w:r>
        <w:rPr/>
        <w:t>可</w:t>
      </w:r>
      <w:r>
        <w:rPr>
          <w:spacing w:val="-3"/>
        </w:rPr>
        <w:t>由</w:t>
      </w:r>
      <w:r>
        <w:rPr/>
        <w:t>独</w:t>
      </w:r>
      <w:r>
        <w:rPr>
          <w:spacing w:val="-3"/>
        </w:rPr>
        <w:t>立</w:t>
      </w:r>
      <w:r>
        <w:rPr/>
        <w:t>式</w:t>
      </w:r>
      <w:r>
        <w:rPr>
          <w:spacing w:val="-3"/>
        </w:rPr>
        <w:t>火灾</w:t>
      </w:r>
      <w:r>
        <w:rPr/>
        <w:t>探测</w:t>
      </w:r>
      <w:r>
        <w:rPr>
          <w:spacing w:val="-3"/>
        </w:rPr>
        <w:t>报</w:t>
      </w:r>
      <w:r>
        <w:rPr/>
        <w:t>警</w:t>
      </w:r>
      <w:r>
        <w:rPr>
          <w:spacing w:val="-3"/>
        </w:rPr>
        <w:t>器</w:t>
      </w:r>
      <w:r>
        <w:rPr/>
        <w:t>、</w:t>
      </w:r>
      <w:r>
        <w:rPr>
          <w:spacing w:val="-3"/>
        </w:rPr>
        <w:t>火</w:t>
      </w:r>
      <w:r>
        <w:rPr/>
        <w:t>灾</w:t>
      </w:r>
      <w:r>
        <w:rPr>
          <w:spacing w:val="-3"/>
        </w:rPr>
        <w:t>声</w:t>
      </w:r>
      <w:r>
        <w:rPr/>
        <w:t>警</w:t>
      </w:r>
      <w:r>
        <w:rPr>
          <w:spacing w:val="-3"/>
        </w:rPr>
        <w:t>报</w:t>
      </w:r>
      <w:r>
        <w:rPr/>
        <w:t>器等</w:t>
      </w:r>
      <w:r>
        <w:rPr>
          <w:spacing w:val="-3"/>
        </w:rPr>
        <w:t>设</w:t>
      </w:r>
      <w:r>
        <w:rPr/>
        <w:t>备</w:t>
      </w:r>
      <w:r>
        <w:rPr>
          <w:spacing w:val="-3"/>
        </w:rPr>
        <w:t>组</w:t>
      </w:r>
      <w:r>
        <w:rPr/>
        <w:t>成</w:t>
      </w:r>
      <w:r>
        <w:rPr>
          <w:spacing w:val="-3"/>
        </w:rPr>
        <w:t>。</w:t>
      </w:r>
      <w:r>
        <w:rPr>
          <w:spacing w:val="-3"/>
          <w:w w:val="100"/>
        </w:rPr>
        <w:t> </w:t>
      </w:r>
      <w:r>
        <w:rPr>
          <w:w w:val="100"/>
        </w:rPr>
        <w:t>  </w:t>
      </w:r>
      <w:r>
        <w:rPr/>
        <w:tab/>
      </w:r>
      <w:r>
        <w:rPr>
          <w:w w:val="100"/>
        </w:rPr>
        <w:t>     </w:t>
      </w:r>
      <w:r>
        <w:rPr>
          <w:b/>
        </w:rPr>
        <w:t>7.1.2</w:t>
      </w:r>
      <w:r>
        <w:rPr>
          <w:b/>
          <w:spacing w:val="1"/>
        </w:rPr>
        <w:t> </w:t>
      </w:r>
      <w:r>
        <w:rPr>
          <w:spacing w:val="-3"/>
        </w:rPr>
        <w:t>住</w:t>
      </w:r>
      <w:r>
        <w:rPr/>
        <w:t>宅</w:t>
      </w:r>
      <w:r>
        <w:rPr>
          <w:spacing w:val="-3"/>
        </w:rPr>
        <w:t>建</w:t>
      </w:r>
      <w:r>
        <w:rPr/>
        <w:t>筑</w:t>
      </w:r>
      <w:r>
        <w:rPr>
          <w:spacing w:val="-3"/>
        </w:rPr>
        <w:t>火</w:t>
      </w:r>
      <w:r>
        <w:rPr/>
        <w:t>灾</w:t>
      </w:r>
      <w:r>
        <w:rPr>
          <w:spacing w:val="-3"/>
        </w:rPr>
        <w:t>自动</w:t>
      </w:r>
      <w:r>
        <w:rPr/>
        <w:t>报警</w:t>
      </w:r>
      <w:r>
        <w:rPr>
          <w:spacing w:val="-3"/>
        </w:rPr>
        <w:t>系</w:t>
      </w:r>
      <w:r>
        <w:rPr/>
        <w:t>统</w:t>
      </w:r>
      <w:r>
        <w:rPr>
          <w:spacing w:val="-3"/>
        </w:rPr>
        <w:t>的</w:t>
      </w:r>
      <w:r>
        <w:rPr/>
        <w:t>选</w:t>
      </w:r>
      <w:r>
        <w:rPr>
          <w:spacing w:val="-3"/>
        </w:rPr>
        <w:t>择</w:t>
      </w:r>
      <w:r>
        <w:rPr/>
        <w:t>应</w:t>
      </w:r>
      <w:r>
        <w:rPr>
          <w:spacing w:val="-3"/>
        </w:rPr>
        <w:t>符</w:t>
      </w:r>
      <w:r>
        <w:rPr/>
        <w:t>合</w:t>
      </w:r>
      <w:r>
        <w:rPr>
          <w:spacing w:val="-3"/>
        </w:rPr>
        <w:t>下</w:t>
      </w:r>
      <w:r>
        <w:rPr/>
        <w:t>列规</w:t>
      </w:r>
      <w:r>
        <w:rPr>
          <w:spacing w:val="-3"/>
        </w:rPr>
        <w:t>定：</w:t>
      </w:r>
      <w:r>
        <w:rPr/>
        <w:t> </w:t>
      </w:r>
    </w:p>
    <w:p>
      <w:pPr>
        <w:pStyle w:val="ListParagraph"/>
        <w:numPr>
          <w:ilvl w:val="0"/>
          <w:numId w:val="646"/>
        </w:numPr>
        <w:tabs>
          <w:tab w:pos="1367" w:val="left" w:leader="none"/>
        </w:tabs>
        <w:spacing w:line="267" w:lineRule="exact" w:before="0" w:after="0"/>
        <w:ind w:left="1367" w:right="0" w:hanging="529"/>
        <w:jc w:val="left"/>
        <w:rPr>
          <w:sz w:val="21"/>
        </w:rPr>
      </w:pPr>
      <w:r>
        <w:rPr>
          <w:spacing w:val="-3"/>
          <w:sz w:val="21"/>
        </w:rPr>
        <w:t>有物业集中监控管理且设有需联动控制的消防设施的住宅建筑应选用 A</w:t>
      </w:r>
      <w:r>
        <w:rPr>
          <w:spacing w:val="-2"/>
          <w:sz w:val="21"/>
        </w:rPr>
        <w:t> 类系统。</w:t>
      </w:r>
      <w:r>
        <w:rPr>
          <w:sz w:val="21"/>
        </w:rPr>
        <w:t> </w:t>
      </w:r>
    </w:p>
    <w:p>
      <w:pPr>
        <w:pStyle w:val="BodyText"/>
        <w:spacing w:before="2"/>
        <w:rPr>
          <w:sz w:val="18"/>
        </w:rPr>
      </w:pPr>
    </w:p>
    <w:p>
      <w:pPr>
        <w:pStyle w:val="ListParagraph"/>
        <w:numPr>
          <w:ilvl w:val="0"/>
          <w:numId w:val="646"/>
        </w:numPr>
        <w:tabs>
          <w:tab w:pos="1367" w:val="left" w:leader="none"/>
        </w:tabs>
        <w:spacing w:line="240" w:lineRule="auto" w:before="0" w:after="0"/>
        <w:ind w:left="1367" w:right="0" w:hanging="529"/>
        <w:jc w:val="left"/>
        <w:rPr>
          <w:sz w:val="21"/>
        </w:rPr>
      </w:pPr>
      <w:r>
        <w:rPr>
          <w:spacing w:val="-3"/>
          <w:sz w:val="21"/>
        </w:rPr>
        <w:t>仅有物业集中监控管理的住宅建筑宜选用 </w:t>
      </w:r>
      <w:r>
        <w:rPr>
          <w:sz w:val="21"/>
        </w:rPr>
        <w:t>A</w:t>
      </w:r>
      <w:r>
        <w:rPr>
          <w:spacing w:val="-1"/>
          <w:sz w:val="21"/>
        </w:rPr>
        <w:t> 类或 </w:t>
      </w:r>
      <w:r>
        <w:rPr>
          <w:sz w:val="21"/>
        </w:rPr>
        <w:t>B</w:t>
      </w:r>
      <w:r>
        <w:rPr>
          <w:spacing w:val="-3"/>
          <w:sz w:val="21"/>
        </w:rPr>
        <w:t> 类系统。</w:t>
      </w:r>
      <w:r>
        <w:rPr>
          <w:sz w:val="21"/>
        </w:rPr>
        <w:t> </w:t>
      </w:r>
    </w:p>
    <w:p>
      <w:pPr>
        <w:pStyle w:val="BodyText"/>
        <w:rPr>
          <w:sz w:val="18"/>
        </w:rPr>
      </w:pPr>
    </w:p>
    <w:p>
      <w:pPr>
        <w:pStyle w:val="ListParagraph"/>
        <w:numPr>
          <w:ilvl w:val="0"/>
          <w:numId w:val="646"/>
        </w:numPr>
        <w:tabs>
          <w:tab w:pos="1367" w:val="left" w:leader="none"/>
        </w:tabs>
        <w:spacing w:line="240" w:lineRule="auto" w:before="0" w:after="0"/>
        <w:ind w:left="1367" w:right="0" w:hanging="529"/>
        <w:jc w:val="left"/>
        <w:rPr>
          <w:sz w:val="21"/>
        </w:rPr>
      </w:pPr>
      <w:r>
        <w:rPr>
          <w:spacing w:val="-3"/>
          <w:sz w:val="21"/>
        </w:rPr>
        <w:t>没有物业集中监控管理的住宅建筑宜选用 </w:t>
      </w:r>
      <w:r>
        <w:rPr>
          <w:sz w:val="21"/>
        </w:rPr>
        <w:t>C</w:t>
      </w:r>
      <w:r>
        <w:rPr>
          <w:spacing w:val="-3"/>
          <w:sz w:val="21"/>
        </w:rPr>
        <w:t> 类系统。</w:t>
      </w:r>
      <w:r>
        <w:rPr>
          <w:sz w:val="21"/>
        </w:rPr>
        <w:t> </w:t>
      </w:r>
    </w:p>
    <w:p>
      <w:pPr>
        <w:pStyle w:val="BodyText"/>
        <w:spacing w:before="12"/>
        <w:rPr>
          <w:sz w:val="17"/>
        </w:rPr>
      </w:pPr>
    </w:p>
    <w:p>
      <w:pPr>
        <w:pStyle w:val="ListParagraph"/>
        <w:numPr>
          <w:ilvl w:val="0"/>
          <w:numId w:val="646"/>
        </w:numPr>
        <w:tabs>
          <w:tab w:pos="1367" w:val="left" w:leader="none"/>
          <w:tab w:pos="7138" w:val="left" w:leader="none"/>
        </w:tabs>
        <w:spacing w:line="446" w:lineRule="auto" w:before="0" w:after="0"/>
        <w:ind w:left="840" w:right="3294" w:hanging="3"/>
        <w:jc w:val="left"/>
        <w:rPr>
          <w:sz w:val="21"/>
        </w:rPr>
      </w:pPr>
      <w:r>
        <w:rPr>
          <w:sz w:val="21"/>
        </w:rPr>
        <w:t>别</w:t>
      </w:r>
      <w:r>
        <w:rPr>
          <w:spacing w:val="-3"/>
          <w:sz w:val="21"/>
        </w:rPr>
        <w:t>墅</w:t>
      </w:r>
      <w:r>
        <w:rPr>
          <w:sz w:val="21"/>
        </w:rPr>
        <w:t>式</w:t>
      </w:r>
      <w:r>
        <w:rPr>
          <w:spacing w:val="-3"/>
          <w:sz w:val="21"/>
        </w:rPr>
        <w:t>住</w:t>
      </w:r>
      <w:r>
        <w:rPr>
          <w:sz w:val="21"/>
        </w:rPr>
        <w:t>宅</w:t>
      </w:r>
      <w:r>
        <w:rPr>
          <w:spacing w:val="-3"/>
          <w:sz w:val="21"/>
        </w:rPr>
        <w:t>和</w:t>
      </w:r>
      <w:r>
        <w:rPr>
          <w:sz w:val="21"/>
        </w:rPr>
        <w:t>已</w:t>
      </w:r>
      <w:r>
        <w:rPr>
          <w:spacing w:val="-3"/>
          <w:sz w:val="21"/>
        </w:rPr>
        <w:t>投入</w:t>
      </w:r>
      <w:r>
        <w:rPr>
          <w:sz w:val="21"/>
        </w:rPr>
        <w:t>使用</w:t>
      </w:r>
      <w:r>
        <w:rPr>
          <w:spacing w:val="-3"/>
          <w:sz w:val="21"/>
        </w:rPr>
        <w:t>的</w:t>
      </w:r>
      <w:r>
        <w:rPr>
          <w:sz w:val="21"/>
        </w:rPr>
        <w:t>住</w:t>
      </w:r>
      <w:r>
        <w:rPr>
          <w:spacing w:val="-3"/>
          <w:sz w:val="21"/>
        </w:rPr>
        <w:t>宅</w:t>
      </w:r>
      <w:r>
        <w:rPr>
          <w:sz w:val="21"/>
        </w:rPr>
        <w:t>建</w:t>
      </w:r>
      <w:r>
        <w:rPr>
          <w:spacing w:val="-3"/>
          <w:sz w:val="21"/>
        </w:rPr>
        <w:t>筑</w:t>
      </w:r>
      <w:r>
        <w:rPr>
          <w:sz w:val="21"/>
        </w:rPr>
        <w:t>可</w:t>
      </w:r>
      <w:r>
        <w:rPr>
          <w:spacing w:val="-3"/>
          <w:sz w:val="21"/>
        </w:rPr>
        <w:t>选</w:t>
      </w:r>
      <w:r>
        <w:rPr>
          <w:sz w:val="21"/>
        </w:rPr>
        <w:t>用</w:t>
      </w:r>
      <w:r>
        <w:rPr>
          <w:spacing w:val="14"/>
          <w:sz w:val="21"/>
        </w:rPr>
        <w:t> </w:t>
      </w:r>
      <w:r>
        <w:rPr>
          <w:spacing w:val="-3"/>
          <w:sz w:val="21"/>
        </w:rPr>
        <w:t>D</w:t>
      </w:r>
      <w:r>
        <w:rPr>
          <w:spacing w:val="12"/>
          <w:sz w:val="21"/>
        </w:rPr>
        <w:t> </w:t>
      </w:r>
      <w:r>
        <w:rPr>
          <w:sz w:val="21"/>
        </w:rPr>
        <w:t>类系</w:t>
      </w:r>
      <w:r>
        <w:rPr>
          <w:spacing w:val="-3"/>
          <w:sz w:val="21"/>
        </w:rPr>
        <w:t>统。</w:t>
      </w:r>
      <w:r>
        <w:rPr>
          <w:w w:val="100"/>
          <w:sz w:val="21"/>
        </w:rPr>
        <w:t> </w:t>
      </w:r>
      <w:r>
        <w:rPr>
          <w:sz w:val="21"/>
        </w:rPr>
        <w:t> </w:t>
      </w:r>
      <w:r>
        <w:rPr>
          <w:w w:val="100"/>
          <w:sz w:val="21"/>
        </w:rPr>
        <w:t>  </w:t>
      </w:r>
      <w:r>
        <w:rPr>
          <w:sz w:val="21"/>
        </w:rPr>
        <w:tab/>
      </w:r>
      <w:r>
        <w:rPr>
          <w:w w:val="100"/>
          <w:sz w:val="21"/>
        </w:rPr>
        <w:t>  </w:t>
      </w:r>
      <w:r>
        <w:rPr>
          <w:b/>
          <w:sz w:val="21"/>
        </w:rPr>
        <w:t>7.2</w:t>
      </w:r>
      <w:r>
        <w:rPr>
          <w:b/>
          <w:spacing w:val="1"/>
          <w:sz w:val="21"/>
        </w:rPr>
        <w:t> </w:t>
      </w:r>
      <w:r>
        <w:rPr>
          <w:spacing w:val="-3"/>
          <w:sz w:val="21"/>
        </w:rPr>
        <w:t>系</w:t>
      </w:r>
      <w:r>
        <w:rPr>
          <w:sz w:val="21"/>
        </w:rPr>
        <w:t>统</w:t>
      </w:r>
      <w:r>
        <w:rPr>
          <w:spacing w:val="-3"/>
          <w:sz w:val="21"/>
        </w:rPr>
        <w:t>设计</w:t>
      </w:r>
      <w:r>
        <w:rPr>
          <w:sz w:val="21"/>
        </w:rPr>
        <w:t> </w:t>
      </w:r>
    </w:p>
    <w:p>
      <w:pPr>
        <w:spacing w:before="0"/>
        <w:ind w:left="840" w:right="0" w:firstLine="0"/>
        <w:jc w:val="left"/>
        <w:rPr>
          <w:sz w:val="21"/>
        </w:rPr>
      </w:pPr>
      <w:r>
        <w:rPr>
          <w:b/>
          <w:sz w:val="21"/>
        </w:rPr>
        <w:t>7.2.1 </w:t>
      </w:r>
      <w:r>
        <w:rPr>
          <w:sz w:val="21"/>
        </w:rPr>
        <w:t>A 类系统的设计应符合下列规定： </w:t>
      </w:r>
    </w:p>
    <w:p>
      <w:pPr>
        <w:pStyle w:val="BodyText"/>
        <w:rPr>
          <w:sz w:val="18"/>
        </w:rPr>
      </w:pPr>
    </w:p>
    <w:p>
      <w:pPr>
        <w:pStyle w:val="ListParagraph"/>
        <w:numPr>
          <w:ilvl w:val="0"/>
          <w:numId w:val="647"/>
        </w:numPr>
        <w:tabs>
          <w:tab w:pos="1367" w:val="left" w:leader="none"/>
        </w:tabs>
        <w:spacing w:line="240" w:lineRule="auto" w:before="0" w:after="0"/>
        <w:ind w:left="1367" w:right="0" w:hanging="529"/>
        <w:jc w:val="left"/>
        <w:rPr>
          <w:sz w:val="21"/>
        </w:rPr>
      </w:pPr>
      <w:r>
        <w:rPr>
          <w:spacing w:val="-3"/>
          <w:sz w:val="21"/>
        </w:rPr>
        <w:t>系统在公共部位的设计应符合本规范第 </w:t>
      </w:r>
      <w:r>
        <w:rPr>
          <w:sz w:val="21"/>
        </w:rPr>
        <w:t>3～6</w:t>
      </w:r>
      <w:r>
        <w:rPr>
          <w:spacing w:val="-3"/>
          <w:sz w:val="21"/>
        </w:rPr>
        <w:t> 章的规定。</w:t>
      </w:r>
      <w:r>
        <w:rPr>
          <w:sz w:val="21"/>
        </w:rPr>
        <w:t> </w:t>
      </w:r>
    </w:p>
    <w:p>
      <w:pPr>
        <w:pStyle w:val="BodyText"/>
        <w:spacing w:before="1"/>
        <w:rPr>
          <w:sz w:val="18"/>
        </w:rPr>
      </w:pPr>
    </w:p>
    <w:p>
      <w:pPr>
        <w:pStyle w:val="ListParagraph"/>
        <w:numPr>
          <w:ilvl w:val="0"/>
          <w:numId w:val="647"/>
        </w:numPr>
        <w:tabs>
          <w:tab w:pos="1370" w:val="left" w:leader="none"/>
        </w:tabs>
        <w:spacing w:line="446" w:lineRule="auto" w:before="1" w:after="0"/>
        <w:ind w:left="418" w:right="1438" w:firstLine="419"/>
        <w:jc w:val="left"/>
        <w:rPr>
          <w:sz w:val="21"/>
        </w:rPr>
      </w:pPr>
      <w:r>
        <w:rPr>
          <w:spacing w:val="-1"/>
          <w:sz w:val="21"/>
        </w:rPr>
        <w:t>住户内设置的家用火灾探测器可接入家用火灾报警控制器，也可直接接入火灾报警控制器。</w:t>
      </w:r>
      <w:r>
        <w:rPr>
          <w:sz w:val="21"/>
        </w:rPr>
        <w:t> </w:t>
      </w:r>
    </w:p>
    <w:p>
      <w:pPr>
        <w:pStyle w:val="ListParagraph"/>
        <w:numPr>
          <w:ilvl w:val="0"/>
          <w:numId w:val="647"/>
        </w:numPr>
        <w:tabs>
          <w:tab w:pos="1370" w:val="left" w:leader="none"/>
        </w:tabs>
        <w:spacing w:line="446" w:lineRule="auto" w:before="0" w:after="0"/>
        <w:ind w:left="418" w:right="1438" w:firstLine="419"/>
        <w:jc w:val="left"/>
        <w:rPr>
          <w:sz w:val="21"/>
        </w:rPr>
      </w:pPr>
      <w:r>
        <w:rPr>
          <w:spacing w:val="-1"/>
          <w:sz w:val="21"/>
        </w:rPr>
        <w:t>设置的家用火灾报警控制器应将火灾报警信息、故障信息等相关信息传输给相连接的</w:t>
      </w:r>
      <w:r>
        <w:rPr>
          <w:spacing w:val="-3"/>
          <w:sz w:val="21"/>
        </w:rPr>
        <w:t>火灾报警控制器。</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647"/>
        </w:numPr>
        <w:tabs>
          <w:tab w:pos="1367" w:val="left" w:leader="none"/>
          <w:tab w:pos="7558" w:val="left" w:leader="none"/>
        </w:tabs>
        <w:spacing w:line="446" w:lineRule="auto" w:before="47" w:after="0"/>
        <w:ind w:left="840" w:right="2873" w:hanging="3"/>
        <w:jc w:val="left"/>
        <w:rPr>
          <w:sz w:val="21"/>
        </w:rPr>
      </w:pPr>
      <w:r>
        <w:rPr>
          <w:sz w:val="21"/>
        </w:rPr>
        <w:t>建</w:t>
      </w:r>
      <w:r>
        <w:rPr>
          <w:spacing w:val="-3"/>
          <w:sz w:val="21"/>
        </w:rPr>
        <w:t>筑</w:t>
      </w:r>
      <w:r>
        <w:rPr>
          <w:sz w:val="21"/>
        </w:rPr>
        <w:t>公</w:t>
      </w:r>
      <w:r>
        <w:rPr>
          <w:spacing w:val="-3"/>
          <w:sz w:val="21"/>
        </w:rPr>
        <w:t>共</w:t>
      </w:r>
      <w:r>
        <w:rPr>
          <w:sz w:val="21"/>
        </w:rPr>
        <w:t>部</w:t>
      </w:r>
      <w:r>
        <w:rPr>
          <w:spacing w:val="-3"/>
          <w:sz w:val="21"/>
        </w:rPr>
        <w:t>位</w:t>
      </w:r>
      <w:r>
        <w:rPr>
          <w:sz w:val="21"/>
        </w:rPr>
        <w:t>设</w:t>
      </w:r>
      <w:r>
        <w:rPr>
          <w:spacing w:val="-3"/>
          <w:sz w:val="21"/>
        </w:rPr>
        <w:t>置的</w:t>
      </w:r>
      <w:r>
        <w:rPr>
          <w:sz w:val="21"/>
        </w:rPr>
        <w:t>火灾</w:t>
      </w:r>
      <w:r>
        <w:rPr>
          <w:spacing w:val="-3"/>
          <w:sz w:val="21"/>
        </w:rPr>
        <w:t>探</w:t>
      </w:r>
      <w:r>
        <w:rPr>
          <w:sz w:val="21"/>
        </w:rPr>
        <w:t>测</w:t>
      </w:r>
      <w:r>
        <w:rPr>
          <w:spacing w:val="-3"/>
          <w:sz w:val="21"/>
        </w:rPr>
        <w:t>器</w:t>
      </w:r>
      <w:r>
        <w:rPr>
          <w:sz w:val="21"/>
        </w:rPr>
        <w:t>应</w:t>
      </w:r>
      <w:r>
        <w:rPr>
          <w:spacing w:val="-3"/>
          <w:sz w:val="21"/>
        </w:rPr>
        <w:t>直</w:t>
      </w:r>
      <w:r>
        <w:rPr>
          <w:sz w:val="21"/>
        </w:rPr>
        <w:t>接</w:t>
      </w:r>
      <w:r>
        <w:rPr>
          <w:spacing w:val="-3"/>
          <w:sz w:val="21"/>
        </w:rPr>
        <w:t>接</w:t>
      </w:r>
      <w:r>
        <w:rPr>
          <w:sz w:val="21"/>
        </w:rPr>
        <w:t>入</w:t>
      </w:r>
      <w:r>
        <w:rPr>
          <w:spacing w:val="-3"/>
          <w:sz w:val="21"/>
        </w:rPr>
        <w:t>火</w:t>
      </w:r>
      <w:r>
        <w:rPr>
          <w:sz w:val="21"/>
        </w:rPr>
        <w:t>灾报</w:t>
      </w:r>
      <w:r>
        <w:rPr>
          <w:spacing w:val="-3"/>
          <w:sz w:val="21"/>
        </w:rPr>
        <w:t>警</w:t>
      </w:r>
      <w:r>
        <w:rPr>
          <w:sz w:val="21"/>
        </w:rPr>
        <w:t>控</w:t>
      </w:r>
      <w:r>
        <w:rPr>
          <w:spacing w:val="-3"/>
          <w:sz w:val="21"/>
        </w:rPr>
        <w:t>制</w:t>
      </w:r>
      <w:r>
        <w:rPr>
          <w:sz w:val="21"/>
        </w:rPr>
        <w:t>器</w:t>
      </w:r>
      <w:r>
        <w:rPr>
          <w:spacing w:val="-3"/>
          <w:sz w:val="21"/>
        </w:rPr>
        <w:t>。</w:t>
        <w:tab/>
      </w:r>
      <w:r>
        <w:rPr>
          <w:sz w:val="21"/>
        </w:rPr>
        <w:t>  </w:t>
      </w:r>
      <w:r>
        <w:rPr>
          <w:b/>
          <w:sz w:val="21"/>
        </w:rPr>
        <w:t>7.2.2 </w:t>
      </w:r>
      <w:r>
        <w:rPr>
          <w:sz w:val="21"/>
        </w:rPr>
        <w:t>B</w:t>
      </w:r>
      <w:r>
        <w:rPr>
          <w:spacing w:val="-2"/>
          <w:sz w:val="21"/>
        </w:rPr>
        <w:t> </w:t>
      </w:r>
      <w:r>
        <w:rPr>
          <w:sz w:val="21"/>
        </w:rPr>
        <w:t>类和</w:t>
      </w:r>
      <w:r>
        <w:rPr>
          <w:spacing w:val="-1"/>
          <w:sz w:val="21"/>
        </w:rPr>
        <w:t> </w:t>
      </w:r>
      <w:r>
        <w:rPr>
          <w:sz w:val="21"/>
        </w:rPr>
        <w:t>C</w:t>
      </w:r>
      <w:r>
        <w:rPr>
          <w:spacing w:val="1"/>
          <w:sz w:val="21"/>
        </w:rPr>
        <w:t> </w:t>
      </w:r>
      <w:r>
        <w:rPr>
          <w:spacing w:val="-3"/>
          <w:sz w:val="21"/>
        </w:rPr>
        <w:t>类</w:t>
      </w:r>
      <w:r>
        <w:rPr>
          <w:sz w:val="21"/>
        </w:rPr>
        <w:t>系</w:t>
      </w:r>
      <w:r>
        <w:rPr>
          <w:spacing w:val="-3"/>
          <w:sz w:val="21"/>
        </w:rPr>
        <w:t>统的</w:t>
      </w:r>
      <w:r>
        <w:rPr>
          <w:sz w:val="21"/>
        </w:rPr>
        <w:t>设计</w:t>
      </w:r>
      <w:r>
        <w:rPr>
          <w:spacing w:val="-3"/>
          <w:sz w:val="21"/>
        </w:rPr>
        <w:t>应</w:t>
      </w:r>
      <w:r>
        <w:rPr>
          <w:sz w:val="21"/>
        </w:rPr>
        <w:t>符</w:t>
      </w:r>
      <w:r>
        <w:rPr>
          <w:spacing w:val="-3"/>
          <w:sz w:val="21"/>
        </w:rPr>
        <w:t>合</w:t>
      </w:r>
      <w:r>
        <w:rPr>
          <w:sz w:val="21"/>
        </w:rPr>
        <w:t>下</w:t>
      </w:r>
      <w:r>
        <w:rPr>
          <w:spacing w:val="-3"/>
          <w:sz w:val="21"/>
        </w:rPr>
        <w:t>列</w:t>
      </w:r>
      <w:r>
        <w:rPr>
          <w:sz w:val="21"/>
        </w:rPr>
        <w:t>规</w:t>
      </w:r>
      <w:r>
        <w:rPr>
          <w:spacing w:val="-3"/>
          <w:sz w:val="21"/>
        </w:rPr>
        <w:t>定</w:t>
      </w:r>
      <w:r>
        <w:rPr>
          <w:sz w:val="21"/>
        </w:rPr>
        <w:t>： </w:t>
      </w:r>
    </w:p>
    <w:p>
      <w:pPr>
        <w:pStyle w:val="ListParagraph"/>
        <w:numPr>
          <w:ilvl w:val="0"/>
          <w:numId w:val="648"/>
        </w:numPr>
        <w:tabs>
          <w:tab w:pos="1367" w:val="left" w:leader="none"/>
        </w:tabs>
        <w:spacing w:line="267" w:lineRule="exact" w:before="0" w:after="0"/>
        <w:ind w:left="1367" w:right="0" w:hanging="529"/>
        <w:jc w:val="left"/>
        <w:rPr>
          <w:sz w:val="21"/>
        </w:rPr>
      </w:pPr>
      <w:r>
        <w:rPr>
          <w:spacing w:val="-3"/>
          <w:sz w:val="21"/>
        </w:rPr>
        <w:t>住户内设置的家用火灾探测器应接入家用火灾报警控制器。</w:t>
      </w:r>
      <w:r>
        <w:rPr>
          <w:sz w:val="21"/>
        </w:rPr>
        <w:t> </w:t>
      </w:r>
    </w:p>
    <w:p>
      <w:pPr>
        <w:pStyle w:val="BodyText"/>
        <w:spacing w:before="2"/>
        <w:rPr>
          <w:sz w:val="18"/>
        </w:rPr>
      </w:pPr>
    </w:p>
    <w:p>
      <w:pPr>
        <w:pStyle w:val="ListParagraph"/>
        <w:numPr>
          <w:ilvl w:val="0"/>
          <w:numId w:val="648"/>
        </w:numPr>
        <w:tabs>
          <w:tab w:pos="1367" w:val="left" w:leader="none"/>
        </w:tabs>
        <w:spacing w:line="240" w:lineRule="auto" w:before="0" w:after="0"/>
        <w:ind w:left="1367" w:right="0" w:hanging="529"/>
        <w:jc w:val="left"/>
        <w:rPr>
          <w:sz w:val="21"/>
        </w:rPr>
      </w:pPr>
      <w:r>
        <w:rPr>
          <w:spacing w:val="-3"/>
          <w:sz w:val="21"/>
        </w:rPr>
        <w:t>家用火灾报警控制器应能启动设置在公共部位的火灾声警报器。</w:t>
      </w:r>
      <w:r>
        <w:rPr>
          <w:sz w:val="21"/>
        </w:rPr>
        <w:t> </w:t>
      </w:r>
    </w:p>
    <w:p>
      <w:pPr>
        <w:pStyle w:val="BodyText"/>
        <w:rPr>
          <w:sz w:val="18"/>
        </w:rPr>
      </w:pPr>
    </w:p>
    <w:p>
      <w:pPr>
        <w:pStyle w:val="ListParagraph"/>
        <w:numPr>
          <w:ilvl w:val="0"/>
          <w:numId w:val="648"/>
        </w:numPr>
        <w:tabs>
          <w:tab w:pos="1367" w:val="left" w:leader="none"/>
          <w:tab w:pos="5038" w:val="left" w:leader="none"/>
          <w:tab w:pos="5458" w:val="left" w:leader="none"/>
        </w:tabs>
        <w:spacing w:line="446" w:lineRule="auto" w:before="0" w:after="0"/>
        <w:ind w:left="418" w:right="1325" w:firstLine="419"/>
        <w:jc w:val="left"/>
        <w:rPr>
          <w:sz w:val="21"/>
        </w:rPr>
      </w:pPr>
      <w:r>
        <w:rPr>
          <w:sz w:val="21"/>
        </w:rPr>
        <w:t>B</w:t>
      </w:r>
      <w:r>
        <w:rPr>
          <w:spacing w:val="54"/>
          <w:sz w:val="21"/>
        </w:rPr>
        <w:t> </w:t>
      </w:r>
      <w:r>
        <w:rPr>
          <w:sz w:val="21"/>
        </w:rPr>
        <w:t>类</w:t>
      </w:r>
      <w:r>
        <w:rPr>
          <w:spacing w:val="-3"/>
          <w:sz w:val="21"/>
        </w:rPr>
        <w:t>系</w:t>
      </w:r>
      <w:r>
        <w:rPr>
          <w:sz w:val="21"/>
        </w:rPr>
        <w:t>统</w:t>
      </w:r>
      <w:r>
        <w:rPr>
          <w:spacing w:val="-3"/>
          <w:sz w:val="21"/>
        </w:rPr>
        <w:t>中</w:t>
      </w:r>
      <w:r>
        <w:rPr>
          <w:sz w:val="21"/>
        </w:rPr>
        <w:t>，</w:t>
      </w:r>
      <w:r>
        <w:rPr>
          <w:spacing w:val="-3"/>
          <w:sz w:val="21"/>
        </w:rPr>
        <w:t>设置</w:t>
      </w:r>
      <w:r>
        <w:rPr>
          <w:sz w:val="21"/>
        </w:rPr>
        <w:t>在每</w:t>
      </w:r>
      <w:r>
        <w:rPr>
          <w:spacing w:val="-3"/>
          <w:sz w:val="21"/>
        </w:rPr>
        <w:t>户</w:t>
      </w:r>
      <w:r>
        <w:rPr>
          <w:sz w:val="21"/>
        </w:rPr>
        <w:t>住</w:t>
      </w:r>
      <w:r>
        <w:rPr>
          <w:spacing w:val="-3"/>
          <w:sz w:val="21"/>
        </w:rPr>
        <w:t>宅</w:t>
      </w:r>
      <w:r>
        <w:rPr>
          <w:sz w:val="21"/>
        </w:rPr>
        <w:t>内</w:t>
      </w:r>
      <w:r>
        <w:rPr>
          <w:spacing w:val="-3"/>
          <w:sz w:val="21"/>
        </w:rPr>
        <w:t>的</w:t>
      </w:r>
      <w:r>
        <w:rPr>
          <w:sz w:val="21"/>
        </w:rPr>
        <w:t>家</w:t>
      </w:r>
      <w:r>
        <w:rPr>
          <w:spacing w:val="-3"/>
          <w:sz w:val="21"/>
        </w:rPr>
        <w:t>用</w:t>
      </w:r>
      <w:r>
        <w:rPr>
          <w:sz w:val="21"/>
        </w:rPr>
        <w:t>火</w:t>
      </w:r>
      <w:r>
        <w:rPr>
          <w:spacing w:val="-3"/>
          <w:sz w:val="21"/>
        </w:rPr>
        <w:t>灾</w:t>
      </w:r>
      <w:r>
        <w:rPr>
          <w:sz w:val="21"/>
        </w:rPr>
        <w:t>报警</w:t>
      </w:r>
      <w:r>
        <w:rPr>
          <w:spacing w:val="-3"/>
          <w:sz w:val="21"/>
        </w:rPr>
        <w:t>控</w:t>
      </w:r>
      <w:r>
        <w:rPr>
          <w:sz w:val="21"/>
        </w:rPr>
        <w:t>制</w:t>
      </w:r>
      <w:r>
        <w:rPr>
          <w:spacing w:val="-3"/>
          <w:sz w:val="21"/>
        </w:rPr>
        <w:t>器</w:t>
      </w:r>
      <w:r>
        <w:rPr>
          <w:sz w:val="21"/>
        </w:rPr>
        <w:t>应</w:t>
      </w:r>
      <w:r>
        <w:rPr>
          <w:spacing w:val="-3"/>
          <w:sz w:val="21"/>
        </w:rPr>
        <w:t>连</w:t>
      </w:r>
      <w:r>
        <w:rPr>
          <w:sz w:val="21"/>
        </w:rPr>
        <w:t>接</w:t>
      </w:r>
      <w:r>
        <w:rPr>
          <w:spacing w:val="-3"/>
          <w:sz w:val="21"/>
        </w:rPr>
        <w:t>到</w:t>
      </w:r>
      <w:r>
        <w:rPr>
          <w:sz w:val="21"/>
        </w:rPr>
        <w:t>控</w:t>
      </w:r>
      <w:r>
        <w:rPr>
          <w:spacing w:val="-3"/>
          <w:sz w:val="21"/>
        </w:rPr>
        <w:t>制</w:t>
      </w:r>
      <w:r>
        <w:rPr>
          <w:sz w:val="21"/>
        </w:rPr>
        <w:t>中心</w:t>
      </w:r>
      <w:r>
        <w:rPr>
          <w:spacing w:val="-3"/>
          <w:sz w:val="21"/>
        </w:rPr>
        <w:t>监</w:t>
      </w:r>
      <w:r>
        <w:rPr>
          <w:sz w:val="21"/>
        </w:rPr>
        <w:t>控</w:t>
      </w:r>
      <w:r>
        <w:rPr>
          <w:spacing w:val="-3"/>
          <w:sz w:val="21"/>
        </w:rPr>
        <w:t>设</w:t>
      </w:r>
      <w:r>
        <w:rPr>
          <w:sz w:val="21"/>
        </w:rPr>
        <w:t>备， 控制</w:t>
      </w:r>
      <w:r>
        <w:rPr>
          <w:spacing w:val="-3"/>
          <w:sz w:val="21"/>
        </w:rPr>
        <w:t>中</w:t>
      </w:r>
      <w:r>
        <w:rPr>
          <w:sz w:val="21"/>
        </w:rPr>
        <w:t>心</w:t>
      </w:r>
      <w:r>
        <w:rPr>
          <w:spacing w:val="20"/>
          <w:sz w:val="21"/>
        </w:rPr>
        <w:t> </w:t>
      </w:r>
      <w:r>
        <w:rPr>
          <w:sz w:val="21"/>
        </w:rPr>
        <w:t>监</w:t>
      </w:r>
      <w:r>
        <w:rPr>
          <w:spacing w:val="-3"/>
          <w:sz w:val="21"/>
        </w:rPr>
        <w:t>控</w:t>
      </w:r>
      <w:r>
        <w:rPr>
          <w:sz w:val="21"/>
        </w:rPr>
        <w:t>设</w:t>
      </w:r>
      <w:r>
        <w:rPr>
          <w:spacing w:val="-3"/>
          <w:sz w:val="21"/>
        </w:rPr>
        <w:t>备</w:t>
      </w:r>
      <w:r>
        <w:rPr>
          <w:sz w:val="21"/>
        </w:rPr>
        <w:t>应</w:t>
      </w:r>
      <w:r>
        <w:rPr>
          <w:spacing w:val="-3"/>
          <w:sz w:val="21"/>
        </w:rPr>
        <w:t>能显</w:t>
      </w:r>
      <w:r>
        <w:rPr>
          <w:sz w:val="21"/>
        </w:rPr>
        <w:t>示发</w:t>
      </w:r>
      <w:r>
        <w:rPr>
          <w:spacing w:val="-3"/>
          <w:sz w:val="21"/>
        </w:rPr>
        <w:t>生</w:t>
      </w:r>
      <w:r>
        <w:rPr>
          <w:sz w:val="21"/>
        </w:rPr>
        <w:t>火</w:t>
      </w:r>
      <w:r>
        <w:rPr>
          <w:spacing w:val="-3"/>
          <w:sz w:val="21"/>
        </w:rPr>
        <w:t>灾</w:t>
      </w:r>
      <w:r>
        <w:rPr>
          <w:sz w:val="21"/>
        </w:rPr>
        <w:t>的</w:t>
      </w:r>
      <w:r>
        <w:rPr>
          <w:spacing w:val="-3"/>
          <w:sz w:val="21"/>
        </w:rPr>
        <w:t>住</w:t>
      </w:r>
      <w:r>
        <w:rPr>
          <w:sz w:val="21"/>
        </w:rPr>
        <w:t>户</w:t>
      </w:r>
      <w:r>
        <w:rPr>
          <w:spacing w:val="-3"/>
          <w:sz w:val="21"/>
        </w:rPr>
        <w:t>。</w:t>
      </w:r>
      <w:r>
        <w:rPr>
          <w:sz w:val="21"/>
        </w:rPr>
        <w:t> </w:t>
        <w:tab/>
      </w:r>
      <w:r>
        <w:rPr>
          <w:w w:val="100"/>
          <w:sz w:val="21"/>
        </w:rPr>
        <w:t>  </w:t>
      </w:r>
      <w:r>
        <w:rPr>
          <w:sz w:val="21"/>
        </w:rPr>
        <w:tab/>
      </w:r>
      <w:r>
        <w:rPr>
          <w:w w:val="100"/>
          <w:sz w:val="21"/>
        </w:rPr>
        <w:t>  </w:t>
      </w:r>
    </w:p>
    <w:p>
      <w:pPr>
        <w:pStyle w:val="ListParagraph"/>
        <w:numPr>
          <w:ilvl w:val="2"/>
          <w:numId w:val="649"/>
        </w:numPr>
        <w:tabs>
          <w:tab w:pos="1371" w:val="left" w:leader="none"/>
        </w:tabs>
        <w:spacing w:line="240" w:lineRule="auto" w:before="0" w:after="0"/>
        <w:ind w:left="1370" w:right="0" w:hanging="531"/>
        <w:jc w:val="left"/>
        <w:rPr>
          <w:sz w:val="21"/>
        </w:rPr>
      </w:pPr>
      <w:r>
        <w:rPr>
          <w:sz w:val="21"/>
        </w:rPr>
        <w:t>D</w:t>
      </w:r>
      <w:r>
        <w:rPr>
          <w:spacing w:val="-9"/>
          <w:sz w:val="21"/>
        </w:rPr>
        <w:t> 类系统的设计应符合下列规定：</w:t>
      </w:r>
      <w:r>
        <w:rPr>
          <w:sz w:val="21"/>
        </w:rPr>
        <w:t> </w:t>
      </w:r>
    </w:p>
    <w:p>
      <w:pPr>
        <w:pStyle w:val="BodyText"/>
        <w:rPr>
          <w:sz w:val="18"/>
        </w:rPr>
      </w:pPr>
    </w:p>
    <w:p>
      <w:pPr>
        <w:pStyle w:val="ListParagraph"/>
        <w:numPr>
          <w:ilvl w:val="0"/>
          <w:numId w:val="650"/>
        </w:numPr>
        <w:tabs>
          <w:tab w:pos="1367" w:val="left" w:leader="none"/>
        </w:tabs>
        <w:spacing w:line="240" w:lineRule="auto" w:before="0" w:after="0"/>
        <w:ind w:left="1367" w:right="0" w:hanging="529"/>
        <w:jc w:val="left"/>
        <w:rPr>
          <w:sz w:val="21"/>
        </w:rPr>
      </w:pPr>
      <w:r>
        <w:rPr>
          <w:spacing w:val="-3"/>
          <w:sz w:val="21"/>
        </w:rPr>
        <w:t>有多个起居室的住户，宜采用互连型独立式火灾探测报警器。</w:t>
      </w:r>
      <w:r>
        <w:rPr>
          <w:sz w:val="21"/>
        </w:rPr>
        <w:t> </w:t>
      </w:r>
    </w:p>
    <w:p>
      <w:pPr>
        <w:pStyle w:val="BodyText"/>
        <w:spacing w:before="12"/>
        <w:rPr>
          <w:sz w:val="17"/>
        </w:rPr>
      </w:pPr>
    </w:p>
    <w:p>
      <w:pPr>
        <w:pStyle w:val="ListParagraph"/>
        <w:numPr>
          <w:ilvl w:val="0"/>
          <w:numId w:val="650"/>
        </w:numPr>
        <w:tabs>
          <w:tab w:pos="1367" w:val="left" w:leader="none"/>
          <w:tab w:pos="7558" w:val="left" w:leader="none"/>
        </w:tabs>
        <w:spacing w:line="240" w:lineRule="auto" w:before="0" w:after="0"/>
        <w:ind w:left="1367" w:right="0" w:hanging="529"/>
        <w:jc w:val="left"/>
        <w:rPr>
          <w:sz w:val="21"/>
        </w:rPr>
      </w:pPr>
      <w:r>
        <w:rPr>
          <w:sz w:val="21"/>
        </w:rPr>
        <w:t>宜</w:t>
      </w:r>
      <w:r>
        <w:rPr>
          <w:spacing w:val="-3"/>
          <w:sz w:val="21"/>
        </w:rPr>
        <w:t>选</w:t>
      </w:r>
      <w:r>
        <w:rPr>
          <w:sz w:val="21"/>
        </w:rPr>
        <w:t>择</w:t>
      </w:r>
      <w:r>
        <w:rPr>
          <w:spacing w:val="-3"/>
          <w:sz w:val="21"/>
        </w:rPr>
        <w:t>电</w:t>
      </w:r>
      <w:r>
        <w:rPr>
          <w:sz w:val="21"/>
        </w:rPr>
        <w:t>池</w:t>
      </w:r>
      <w:r>
        <w:rPr>
          <w:spacing w:val="-3"/>
          <w:sz w:val="21"/>
        </w:rPr>
        <w:t>供</w:t>
      </w:r>
      <w:r>
        <w:rPr>
          <w:sz w:val="21"/>
        </w:rPr>
        <w:t>电</w:t>
      </w:r>
      <w:r>
        <w:rPr>
          <w:spacing w:val="-3"/>
          <w:sz w:val="21"/>
        </w:rPr>
        <w:t>时间</w:t>
      </w:r>
      <w:r>
        <w:rPr>
          <w:sz w:val="21"/>
        </w:rPr>
        <w:t>不少</w:t>
      </w:r>
      <w:r>
        <w:rPr>
          <w:spacing w:val="-3"/>
          <w:sz w:val="21"/>
        </w:rPr>
        <w:t>于</w:t>
      </w:r>
      <w:r>
        <w:rPr>
          <w:spacing w:val="16"/>
          <w:sz w:val="21"/>
        </w:rPr>
        <w:t> </w:t>
      </w:r>
      <w:r>
        <w:rPr>
          <w:sz w:val="21"/>
        </w:rPr>
        <w:t>3</w:t>
      </w:r>
      <w:r>
        <w:rPr>
          <w:spacing w:val="12"/>
          <w:sz w:val="21"/>
        </w:rPr>
        <w:t> </w:t>
      </w:r>
      <w:r>
        <w:rPr>
          <w:sz w:val="21"/>
        </w:rPr>
        <w:t>年</w:t>
      </w:r>
      <w:r>
        <w:rPr>
          <w:spacing w:val="-3"/>
          <w:sz w:val="21"/>
        </w:rPr>
        <w:t>的</w:t>
      </w:r>
      <w:r>
        <w:rPr>
          <w:sz w:val="21"/>
        </w:rPr>
        <w:t>独</w:t>
      </w:r>
      <w:r>
        <w:rPr>
          <w:spacing w:val="-3"/>
          <w:sz w:val="21"/>
        </w:rPr>
        <w:t>立</w:t>
      </w:r>
      <w:r>
        <w:rPr>
          <w:sz w:val="21"/>
        </w:rPr>
        <w:t>式</w:t>
      </w:r>
      <w:r>
        <w:rPr>
          <w:spacing w:val="-3"/>
          <w:sz w:val="21"/>
        </w:rPr>
        <w:t>火灾</w:t>
      </w:r>
      <w:r>
        <w:rPr>
          <w:sz w:val="21"/>
        </w:rPr>
        <w:t>探测</w:t>
      </w:r>
      <w:r>
        <w:rPr>
          <w:spacing w:val="-3"/>
          <w:sz w:val="21"/>
        </w:rPr>
        <w:t>报</w:t>
      </w:r>
      <w:r>
        <w:rPr>
          <w:sz w:val="21"/>
        </w:rPr>
        <w:t>警</w:t>
      </w:r>
      <w:r>
        <w:rPr>
          <w:spacing w:val="-3"/>
          <w:sz w:val="21"/>
        </w:rPr>
        <w:t>器。</w:t>
      </w:r>
      <w:r>
        <w:rPr>
          <w:sz w:val="21"/>
        </w:rPr>
        <w:t>  </w:t>
      </w:r>
      <w:r>
        <w:rPr>
          <w:w w:val="100"/>
          <w:sz w:val="21"/>
        </w:rPr>
        <w:t>  </w:t>
      </w:r>
      <w:r>
        <w:rPr>
          <w:sz w:val="21"/>
        </w:rPr>
        <w:tab/>
      </w:r>
      <w:r>
        <w:rPr>
          <w:w w:val="100"/>
          <w:sz w:val="21"/>
        </w:rPr>
        <w:t>  </w:t>
      </w:r>
    </w:p>
    <w:p>
      <w:pPr>
        <w:pStyle w:val="BodyText"/>
        <w:spacing w:before="2"/>
        <w:rPr>
          <w:sz w:val="18"/>
        </w:rPr>
      </w:pPr>
    </w:p>
    <w:p>
      <w:pPr>
        <w:pStyle w:val="ListParagraph"/>
        <w:numPr>
          <w:ilvl w:val="2"/>
          <w:numId w:val="649"/>
        </w:numPr>
        <w:tabs>
          <w:tab w:pos="1424" w:val="left" w:leader="none"/>
          <w:tab w:pos="3358" w:val="left" w:leader="none"/>
          <w:tab w:pos="3778" w:val="left" w:leader="none"/>
        </w:tabs>
        <w:spacing w:line="446" w:lineRule="auto" w:before="0" w:after="0"/>
        <w:ind w:left="418" w:right="1330" w:firstLine="422"/>
        <w:jc w:val="left"/>
        <w:rPr>
          <w:sz w:val="21"/>
        </w:rPr>
      </w:pPr>
      <w:r>
        <w:rPr>
          <w:spacing w:val="-3"/>
          <w:sz w:val="21"/>
        </w:rPr>
        <w:t>采</w:t>
      </w:r>
      <w:r>
        <w:rPr>
          <w:sz w:val="21"/>
        </w:rPr>
        <w:t>用</w:t>
      </w:r>
      <w:r>
        <w:rPr>
          <w:spacing w:val="-3"/>
          <w:sz w:val="21"/>
        </w:rPr>
        <w:t>无</w:t>
      </w:r>
      <w:r>
        <w:rPr>
          <w:sz w:val="21"/>
        </w:rPr>
        <w:t>线</w:t>
      </w:r>
      <w:r>
        <w:rPr>
          <w:spacing w:val="-3"/>
          <w:sz w:val="21"/>
        </w:rPr>
        <w:t>方</w:t>
      </w:r>
      <w:r>
        <w:rPr>
          <w:sz w:val="21"/>
        </w:rPr>
        <w:t>式</w:t>
      </w:r>
      <w:r>
        <w:rPr>
          <w:spacing w:val="-3"/>
          <w:sz w:val="21"/>
        </w:rPr>
        <w:t>将独</w:t>
      </w:r>
      <w:r>
        <w:rPr>
          <w:sz w:val="21"/>
        </w:rPr>
        <w:t>立式</w:t>
      </w:r>
      <w:r>
        <w:rPr>
          <w:spacing w:val="-3"/>
          <w:sz w:val="21"/>
        </w:rPr>
        <w:t>火</w:t>
      </w:r>
      <w:r>
        <w:rPr>
          <w:sz w:val="21"/>
        </w:rPr>
        <w:t>灾</w:t>
      </w:r>
      <w:r>
        <w:rPr>
          <w:spacing w:val="-3"/>
          <w:sz w:val="21"/>
        </w:rPr>
        <w:t>探</w:t>
      </w:r>
      <w:r>
        <w:rPr>
          <w:sz w:val="21"/>
        </w:rPr>
        <w:t>测</w:t>
      </w:r>
      <w:r>
        <w:rPr>
          <w:spacing w:val="-3"/>
          <w:sz w:val="21"/>
        </w:rPr>
        <w:t>报</w:t>
      </w:r>
      <w:r>
        <w:rPr>
          <w:sz w:val="21"/>
        </w:rPr>
        <w:t>警</w:t>
      </w:r>
      <w:r>
        <w:rPr>
          <w:spacing w:val="-3"/>
          <w:sz w:val="21"/>
        </w:rPr>
        <w:t>器</w:t>
      </w:r>
      <w:r>
        <w:rPr>
          <w:sz w:val="21"/>
        </w:rPr>
        <w:t>组</w:t>
      </w:r>
      <w:r>
        <w:rPr>
          <w:spacing w:val="-3"/>
          <w:sz w:val="21"/>
        </w:rPr>
        <w:t>成</w:t>
      </w:r>
      <w:r>
        <w:rPr>
          <w:sz w:val="21"/>
        </w:rPr>
        <w:t>系统</w:t>
      </w:r>
      <w:r>
        <w:rPr>
          <w:spacing w:val="-3"/>
          <w:sz w:val="21"/>
        </w:rPr>
        <w:t>时</w:t>
      </w:r>
      <w:r>
        <w:rPr>
          <w:sz w:val="21"/>
        </w:rPr>
        <w:t>，</w:t>
      </w:r>
      <w:r>
        <w:rPr>
          <w:spacing w:val="-3"/>
          <w:sz w:val="21"/>
        </w:rPr>
        <w:t>系</w:t>
      </w:r>
      <w:r>
        <w:rPr>
          <w:sz w:val="21"/>
        </w:rPr>
        <w:t>统</w:t>
      </w:r>
      <w:r>
        <w:rPr>
          <w:spacing w:val="-3"/>
          <w:sz w:val="21"/>
        </w:rPr>
        <w:t>设</w:t>
      </w:r>
      <w:r>
        <w:rPr>
          <w:sz w:val="21"/>
        </w:rPr>
        <w:t>计</w:t>
      </w:r>
      <w:r>
        <w:rPr>
          <w:spacing w:val="-3"/>
          <w:sz w:val="21"/>
        </w:rPr>
        <w:t>应</w:t>
      </w:r>
      <w:r>
        <w:rPr>
          <w:sz w:val="21"/>
        </w:rPr>
        <w:t>符合</w:t>
      </w:r>
      <w:r>
        <w:rPr>
          <w:spacing w:val="58"/>
          <w:sz w:val="21"/>
        </w:rPr>
        <w:t> </w:t>
      </w:r>
      <w:r>
        <w:rPr>
          <w:sz w:val="21"/>
        </w:rPr>
        <w:t>A</w:t>
      </w:r>
      <w:r>
        <w:rPr>
          <w:spacing w:val="61"/>
          <w:sz w:val="21"/>
        </w:rPr>
        <w:t> </w:t>
      </w:r>
      <w:r>
        <w:rPr>
          <w:spacing w:val="-3"/>
          <w:sz w:val="21"/>
        </w:rPr>
        <w:t>类</w:t>
      </w:r>
      <w:r>
        <w:rPr>
          <w:sz w:val="21"/>
        </w:rPr>
        <w:t>、</w:t>
      </w:r>
      <w:r>
        <w:rPr>
          <w:spacing w:val="-3"/>
          <w:sz w:val="21"/>
        </w:rPr>
        <w:t>B</w:t>
      </w:r>
      <w:r>
        <w:rPr>
          <w:spacing w:val="62"/>
          <w:sz w:val="21"/>
        </w:rPr>
        <w:t> </w:t>
      </w:r>
      <w:r>
        <w:rPr>
          <w:spacing w:val="-3"/>
          <w:sz w:val="21"/>
        </w:rPr>
        <w:t>类或</w:t>
      </w:r>
      <w:r>
        <w:rPr>
          <w:sz w:val="21"/>
        </w:rPr>
        <w:t>C</w:t>
      </w:r>
      <w:r>
        <w:rPr>
          <w:spacing w:val="14"/>
          <w:sz w:val="21"/>
        </w:rPr>
        <w:t> </w:t>
      </w:r>
      <w:r>
        <w:rPr>
          <w:sz w:val="21"/>
        </w:rPr>
        <w:t>类</w:t>
      </w:r>
      <w:r>
        <w:rPr>
          <w:spacing w:val="-3"/>
          <w:sz w:val="21"/>
        </w:rPr>
        <w:t>系</w:t>
      </w:r>
      <w:r>
        <w:rPr>
          <w:sz w:val="21"/>
        </w:rPr>
        <w:t>统</w:t>
      </w:r>
      <w:r>
        <w:rPr>
          <w:spacing w:val="-3"/>
          <w:sz w:val="21"/>
        </w:rPr>
        <w:t>之</w:t>
      </w:r>
      <w:r>
        <w:rPr>
          <w:sz w:val="21"/>
        </w:rPr>
        <w:t>一</w:t>
      </w:r>
      <w:r>
        <w:rPr>
          <w:spacing w:val="-3"/>
          <w:sz w:val="21"/>
        </w:rPr>
        <w:t>的</w:t>
      </w:r>
      <w:r>
        <w:rPr>
          <w:sz w:val="21"/>
        </w:rPr>
        <w:t>设</w:t>
      </w:r>
      <w:r>
        <w:rPr>
          <w:spacing w:val="-3"/>
          <w:sz w:val="21"/>
        </w:rPr>
        <w:t>计</w:t>
      </w:r>
      <w:r>
        <w:rPr>
          <w:sz w:val="21"/>
        </w:rPr>
        <w:t>要</w:t>
      </w:r>
      <w:r>
        <w:rPr>
          <w:spacing w:val="-3"/>
          <w:sz w:val="21"/>
        </w:rPr>
        <w:t>求</w:t>
      </w:r>
      <w:r>
        <w:rPr>
          <w:sz w:val="21"/>
        </w:rPr>
        <w:t>。 </w:t>
        <w:tab/>
      </w:r>
      <w:r>
        <w:rPr>
          <w:w w:val="100"/>
          <w:sz w:val="21"/>
        </w:rPr>
        <w:t>  </w:t>
      </w:r>
      <w:r>
        <w:rPr>
          <w:sz w:val="21"/>
        </w:rPr>
        <w:tab/>
      </w:r>
      <w:r>
        <w:rPr>
          <w:w w:val="100"/>
          <w:sz w:val="21"/>
        </w:rPr>
        <w:t>  </w:t>
      </w:r>
    </w:p>
    <w:p>
      <w:pPr>
        <w:pStyle w:val="ListParagraph"/>
        <w:numPr>
          <w:ilvl w:val="1"/>
          <w:numId w:val="651"/>
        </w:numPr>
        <w:tabs>
          <w:tab w:pos="1159" w:val="left" w:leader="none"/>
        </w:tabs>
        <w:spacing w:line="267" w:lineRule="exact" w:before="0" w:after="0"/>
        <w:ind w:left="1158" w:right="0" w:hanging="319"/>
        <w:jc w:val="left"/>
        <w:rPr>
          <w:sz w:val="21"/>
        </w:rPr>
      </w:pPr>
      <w:r>
        <w:rPr>
          <w:spacing w:val="-3"/>
          <w:sz w:val="21"/>
        </w:rPr>
        <w:t>火灾探测器的设置</w:t>
      </w:r>
      <w:r>
        <w:rPr>
          <w:sz w:val="21"/>
        </w:rPr>
        <w:t> </w:t>
      </w:r>
    </w:p>
    <w:p>
      <w:pPr>
        <w:pStyle w:val="BodyText"/>
        <w:spacing w:before="2"/>
        <w:rPr>
          <w:sz w:val="18"/>
        </w:rPr>
      </w:pPr>
    </w:p>
    <w:p>
      <w:pPr>
        <w:pStyle w:val="ListParagraph"/>
        <w:numPr>
          <w:ilvl w:val="2"/>
          <w:numId w:val="651"/>
        </w:numPr>
        <w:tabs>
          <w:tab w:pos="1370" w:val="left" w:leader="none"/>
        </w:tabs>
        <w:spacing w:line="240" w:lineRule="auto" w:before="0" w:after="0"/>
        <w:ind w:left="1369" w:right="0" w:hanging="530"/>
        <w:jc w:val="left"/>
        <w:rPr>
          <w:sz w:val="21"/>
        </w:rPr>
      </w:pPr>
      <w:r>
        <w:rPr>
          <w:spacing w:val="-3"/>
          <w:sz w:val="21"/>
        </w:rPr>
        <w:t>每间卧室、起居室内应至少设置一只感烟火灾探测器。</w:t>
      </w:r>
      <w:r>
        <w:rPr>
          <w:sz w:val="21"/>
        </w:rPr>
        <w:t> </w:t>
      </w:r>
      <w:r>
        <w:rPr>
          <w:spacing w:val="-9"/>
          <w:sz w:val="21"/>
        </w:rPr>
        <w:t> </w:t>
      </w:r>
      <w:r>
        <w:rPr>
          <w:w w:val="100"/>
          <w:sz w:val="21"/>
        </w:rPr>
        <w:t>  </w:t>
      </w:r>
    </w:p>
    <w:p>
      <w:pPr>
        <w:pStyle w:val="BodyText"/>
        <w:rPr>
          <w:sz w:val="18"/>
        </w:rPr>
      </w:pPr>
    </w:p>
    <w:p>
      <w:pPr>
        <w:pStyle w:val="ListParagraph"/>
        <w:numPr>
          <w:ilvl w:val="2"/>
          <w:numId w:val="651"/>
        </w:numPr>
        <w:tabs>
          <w:tab w:pos="1370" w:val="left" w:leader="none"/>
        </w:tabs>
        <w:spacing w:line="240" w:lineRule="auto" w:before="0" w:after="0"/>
        <w:ind w:left="1369" w:right="0" w:hanging="530"/>
        <w:jc w:val="left"/>
        <w:rPr>
          <w:sz w:val="21"/>
        </w:rPr>
      </w:pPr>
      <w:r>
        <w:rPr>
          <w:spacing w:val="-3"/>
          <w:sz w:val="21"/>
        </w:rPr>
        <w:t>可燃气体探测器在厨房设置时，应符合下列规定：</w:t>
      </w:r>
      <w:r>
        <w:rPr>
          <w:sz w:val="21"/>
        </w:rPr>
        <w:t> </w:t>
      </w:r>
    </w:p>
    <w:p>
      <w:pPr>
        <w:pStyle w:val="BodyText"/>
        <w:spacing w:before="12"/>
        <w:rPr>
          <w:sz w:val="17"/>
        </w:rPr>
      </w:pPr>
    </w:p>
    <w:p>
      <w:pPr>
        <w:pStyle w:val="ListParagraph"/>
        <w:numPr>
          <w:ilvl w:val="0"/>
          <w:numId w:val="652"/>
        </w:numPr>
        <w:tabs>
          <w:tab w:pos="1367" w:val="left" w:leader="none"/>
        </w:tabs>
        <w:spacing w:line="446" w:lineRule="auto" w:before="0" w:after="0"/>
        <w:ind w:left="418" w:right="1431" w:firstLine="419"/>
        <w:jc w:val="left"/>
        <w:rPr>
          <w:sz w:val="21"/>
        </w:rPr>
      </w:pPr>
      <w:r>
        <w:rPr>
          <w:spacing w:val="-8"/>
          <w:sz w:val="21"/>
        </w:rPr>
        <w:t>使用天然气的用户应选择甲烷探测器，使用液化气的用户应选择丙烷探测器，使用煤 </w:t>
      </w:r>
      <w:r>
        <w:rPr>
          <w:spacing w:val="-6"/>
          <w:sz w:val="21"/>
        </w:rPr>
        <w:t>制气的用 户应选择一氧化碳探测器。</w:t>
      </w:r>
      <w:r>
        <w:rPr>
          <w:sz w:val="21"/>
        </w:rPr>
        <w:t> </w:t>
      </w:r>
    </w:p>
    <w:p>
      <w:pPr>
        <w:pStyle w:val="ListParagraph"/>
        <w:numPr>
          <w:ilvl w:val="0"/>
          <w:numId w:val="652"/>
        </w:numPr>
        <w:tabs>
          <w:tab w:pos="1367" w:val="left" w:leader="none"/>
        </w:tabs>
        <w:spacing w:line="240" w:lineRule="auto" w:before="0" w:after="0"/>
        <w:ind w:left="1367" w:right="0" w:hanging="529"/>
        <w:jc w:val="left"/>
        <w:rPr>
          <w:sz w:val="21"/>
        </w:rPr>
      </w:pPr>
      <w:r>
        <w:rPr>
          <w:spacing w:val="-3"/>
          <w:sz w:val="21"/>
        </w:rPr>
        <w:t>连接燃气灶具的软管及接头在橱柜内部时，探测器宜设置在橱柜内部。 </w:t>
      </w:r>
    </w:p>
    <w:p>
      <w:pPr>
        <w:pStyle w:val="BodyText"/>
        <w:spacing w:before="12"/>
        <w:rPr>
          <w:sz w:val="17"/>
        </w:rPr>
      </w:pPr>
    </w:p>
    <w:p>
      <w:pPr>
        <w:pStyle w:val="ListParagraph"/>
        <w:numPr>
          <w:ilvl w:val="0"/>
          <w:numId w:val="652"/>
        </w:numPr>
        <w:tabs>
          <w:tab w:pos="1367" w:val="left" w:leader="none"/>
        </w:tabs>
        <w:spacing w:line="446" w:lineRule="auto" w:before="0" w:after="0"/>
        <w:ind w:left="418" w:right="1431" w:firstLine="419"/>
        <w:jc w:val="left"/>
        <w:rPr>
          <w:sz w:val="21"/>
        </w:rPr>
      </w:pPr>
      <w:r>
        <w:rPr>
          <w:spacing w:val="-9"/>
          <w:sz w:val="21"/>
        </w:rPr>
        <w:t>甲烷探测器应设置在厨房顶部，丙烷探测器应设置在厨房下部，一氧化碳探测器可设 </w:t>
      </w:r>
      <w:r>
        <w:rPr>
          <w:spacing w:val="-6"/>
          <w:sz w:val="21"/>
        </w:rPr>
        <w:t>置在厨房下部，也可设置在其他部位。</w:t>
      </w:r>
      <w:r>
        <w:rPr>
          <w:sz w:val="21"/>
        </w:rPr>
        <w:t> </w:t>
      </w:r>
    </w:p>
    <w:p>
      <w:pPr>
        <w:pStyle w:val="ListParagraph"/>
        <w:numPr>
          <w:ilvl w:val="0"/>
          <w:numId w:val="652"/>
        </w:numPr>
        <w:tabs>
          <w:tab w:pos="1367" w:val="left" w:leader="none"/>
        </w:tabs>
        <w:spacing w:line="240" w:lineRule="auto" w:before="1" w:after="0"/>
        <w:ind w:left="1367" w:right="0" w:hanging="529"/>
        <w:jc w:val="left"/>
        <w:rPr>
          <w:sz w:val="21"/>
        </w:rPr>
      </w:pPr>
      <w:r>
        <w:rPr>
          <w:spacing w:val="-3"/>
          <w:sz w:val="21"/>
        </w:rPr>
        <w:t>可燃气体探测器不宜设置在灶具正上方。</w:t>
      </w:r>
      <w:r>
        <w:rPr>
          <w:sz w:val="21"/>
        </w:rPr>
        <w:t> </w:t>
      </w:r>
    </w:p>
    <w:p>
      <w:pPr>
        <w:pStyle w:val="BodyText"/>
        <w:spacing w:before="12"/>
        <w:rPr>
          <w:sz w:val="17"/>
        </w:rPr>
      </w:pPr>
    </w:p>
    <w:p>
      <w:pPr>
        <w:pStyle w:val="ListParagraph"/>
        <w:numPr>
          <w:ilvl w:val="0"/>
          <w:numId w:val="652"/>
        </w:numPr>
        <w:tabs>
          <w:tab w:pos="1367" w:val="left" w:leader="none"/>
        </w:tabs>
        <w:spacing w:line="240" w:lineRule="auto" w:before="0" w:after="0"/>
        <w:ind w:left="1367" w:right="0" w:hanging="529"/>
        <w:jc w:val="left"/>
        <w:rPr>
          <w:sz w:val="21"/>
        </w:rPr>
      </w:pPr>
      <w:r>
        <w:rPr>
          <w:spacing w:val="-3"/>
          <w:sz w:val="21"/>
        </w:rPr>
        <w:t>宜采用具有联动关断燃气关断阀功能的可燃气体探测器。</w:t>
      </w:r>
      <w:r>
        <w:rPr>
          <w:sz w:val="21"/>
        </w:rPr>
        <w:t> </w:t>
      </w:r>
    </w:p>
    <w:p>
      <w:pPr>
        <w:pStyle w:val="BodyText"/>
        <w:spacing w:before="2"/>
        <w:rPr>
          <w:sz w:val="18"/>
        </w:rPr>
      </w:pPr>
    </w:p>
    <w:p>
      <w:pPr>
        <w:pStyle w:val="ListParagraph"/>
        <w:numPr>
          <w:ilvl w:val="0"/>
          <w:numId w:val="652"/>
        </w:numPr>
        <w:tabs>
          <w:tab w:pos="1370" w:val="left" w:leader="none"/>
        </w:tabs>
        <w:spacing w:line="446" w:lineRule="auto" w:before="0" w:after="0"/>
        <w:ind w:left="418" w:right="1438" w:firstLine="419"/>
        <w:jc w:val="left"/>
        <w:rPr>
          <w:sz w:val="21"/>
        </w:rPr>
      </w:pPr>
      <w:r>
        <w:rPr>
          <w:spacing w:val="-1"/>
          <w:sz w:val="21"/>
        </w:rPr>
        <w:t>探测器联动的燃气关断阀宜为用户可以自己复位的关断阀，并应具有胶管脱落自动保</w:t>
      </w:r>
      <w:r>
        <w:rPr>
          <w:spacing w:val="-2"/>
          <w:sz w:val="21"/>
        </w:rPr>
        <w:t>护功能。</w:t>
      </w:r>
      <w:r>
        <w:rPr>
          <w:sz w:val="21"/>
        </w:rPr>
        <w:t> </w:t>
      </w:r>
    </w:p>
    <w:p>
      <w:pPr>
        <w:pStyle w:val="ListParagraph"/>
        <w:numPr>
          <w:ilvl w:val="1"/>
          <w:numId w:val="651"/>
        </w:numPr>
        <w:tabs>
          <w:tab w:pos="1160" w:val="left" w:leader="none"/>
        </w:tabs>
        <w:spacing w:line="267" w:lineRule="exact" w:before="0" w:after="0"/>
        <w:ind w:left="1159" w:right="0" w:hanging="320"/>
        <w:jc w:val="left"/>
        <w:rPr>
          <w:sz w:val="21"/>
        </w:rPr>
      </w:pPr>
      <w:r>
        <w:rPr>
          <w:spacing w:val="-3"/>
          <w:sz w:val="21"/>
        </w:rPr>
        <w:t>家用火灾报警控制器的设置</w:t>
      </w:r>
      <w:r>
        <w:rPr>
          <w:sz w:val="21"/>
        </w:rPr>
        <w:t> </w:t>
      </w:r>
    </w:p>
    <w:p>
      <w:pPr>
        <w:pStyle w:val="BodyText"/>
        <w:spacing w:before="2"/>
        <w:rPr>
          <w:sz w:val="18"/>
        </w:rPr>
      </w:pPr>
    </w:p>
    <w:p>
      <w:pPr>
        <w:pStyle w:val="ListParagraph"/>
        <w:numPr>
          <w:ilvl w:val="2"/>
          <w:numId w:val="651"/>
        </w:numPr>
        <w:tabs>
          <w:tab w:pos="1371" w:val="left" w:leader="none"/>
          <w:tab w:pos="5878" w:val="left" w:leader="none"/>
        </w:tabs>
        <w:spacing w:line="446" w:lineRule="auto" w:before="0" w:after="0"/>
        <w:ind w:left="418" w:right="1431" w:firstLine="422"/>
        <w:jc w:val="left"/>
        <w:rPr>
          <w:sz w:val="21"/>
        </w:rPr>
      </w:pPr>
      <w:r>
        <w:rPr>
          <w:spacing w:val="-3"/>
          <w:sz w:val="21"/>
        </w:rPr>
        <w:t>家</w:t>
      </w:r>
      <w:r>
        <w:rPr>
          <w:sz w:val="21"/>
        </w:rPr>
        <w:t>用</w:t>
      </w:r>
      <w:r>
        <w:rPr>
          <w:spacing w:val="-3"/>
          <w:sz w:val="21"/>
        </w:rPr>
        <w:t>火</w:t>
      </w:r>
      <w:r>
        <w:rPr>
          <w:sz w:val="21"/>
        </w:rPr>
        <w:t>灾</w:t>
      </w:r>
      <w:r>
        <w:rPr>
          <w:spacing w:val="-3"/>
          <w:sz w:val="21"/>
        </w:rPr>
        <w:t>报</w:t>
      </w:r>
      <w:r>
        <w:rPr>
          <w:sz w:val="21"/>
        </w:rPr>
        <w:t>警</w:t>
      </w:r>
      <w:r>
        <w:rPr>
          <w:spacing w:val="-3"/>
          <w:sz w:val="21"/>
        </w:rPr>
        <w:t>控制</w:t>
      </w:r>
      <w:r>
        <w:rPr>
          <w:sz w:val="21"/>
        </w:rPr>
        <w:t>器应</w:t>
      </w:r>
      <w:r>
        <w:rPr>
          <w:spacing w:val="-3"/>
          <w:sz w:val="21"/>
        </w:rPr>
        <w:t>独</w:t>
      </w:r>
      <w:r>
        <w:rPr>
          <w:sz w:val="21"/>
        </w:rPr>
        <w:t>立</w:t>
      </w:r>
      <w:r>
        <w:rPr>
          <w:spacing w:val="-3"/>
          <w:sz w:val="21"/>
        </w:rPr>
        <w:t>设</w:t>
      </w:r>
      <w:r>
        <w:rPr>
          <w:sz w:val="21"/>
        </w:rPr>
        <w:t>置</w:t>
      </w:r>
      <w:r>
        <w:rPr>
          <w:spacing w:val="-3"/>
          <w:sz w:val="21"/>
        </w:rPr>
        <w:t>在</w:t>
      </w:r>
      <w:r>
        <w:rPr>
          <w:sz w:val="21"/>
        </w:rPr>
        <w:t>每</w:t>
      </w:r>
      <w:r>
        <w:rPr>
          <w:spacing w:val="-3"/>
          <w:sz w:val="21"/>
        </w:rPr>
        <w:t>户</w:t>
      </w:r>
      <w:r>
        <w:rPr>
          <w:sz w:val="21"/>
        </w:rPr>
        <w:t>内</w:t>
      </w:r>
      <w:r>
        <w:rPr>
          <w:spacing w:val="-22"/>
          <w:sz w:val="21"/>
        </w:rPr>
        <w:t>，</w:t>
      </w:r>
      <w:r>
        <w:rPr>
          <w:sz w:val="21"/>
        </w:rPr>
        <w:t>且应</w:t>
      </w:r>
      <w:r>
        <w:rPr>
          <w:spacing w:val="-3"/>
          <w:sz w:val="21"/>
        </w:rPr>
        <w:t>设</w:t>
      </w:r>
      <w:r>
        <w:rPr>
          <w:sz w:val="21"/>
        </w:rPr>
        <w:t>置</w:t>
      </w:r>
      <w:r>
        <w:rPr>
          <w:spacing w:val="-3"/>
          <w:sz w:val="21"/>
        </w:rPr>
        <w:t>在</w:t>
      </w:r>
      <w:r>
        <w:rPr>
          <w:sz w:val="21"/>
        </w:rPr>
        <w:t>明</w:t>
      </w:r>
      <w:r>
        <w:rPr>
          <w:spacing w:val="-3"/>
          <w:sz w:val="21"/>
        </w:rPr>
        <w:t>显</w:t>
      </w:r>
      <w:r>
        <w:rPr>
          <w:sz w:val="21"/>
        </w:rPr>
        <w:t>和</w:t>
      </w:r>
      <w:r>
        <w:rPr>
          <w:spacing w:val="-3"/>
          <w:sz w:val="21"/>
        </w:rPr>
        <w:t>便</w:t>
      </w:r>
      <w:r>
        <w:rPr>
          <w:sz w:val="21"/>
        </w:rPr>
        <w:t>于</w:t>
      </w:r>
      <w:r>
        <w:rPr>
          <w:spacing w:val="-3"/>
          <w:sz w:val="21"/>
        </w:rPr>
        <w:t>操</w:t>
      </w:r>
      <w:r>
        <w:rPr>
          <w:sz w:val="21"/>
        </w:rPr>
        <w:t>作的</w:t>
      </w:r>
      <w:r>
        <w:rPr>
          <w:spacing w:val="-3"/>
          <w:sz w:val="21"/>
        </w:rPr>
        <w:t>部</w:t>
      </w:r>
      <w:r>
        <w:rPr>
          <w:sz w:val="21"/>
        </w:rPr>
        <w:t>位</w:t>
      </w:r>
      <w:r>
        <w:rPr>
          <w:spacing w:val="-22"/>
          <w:sz w:val="21"/>
        </w:rPr>
        <w:t>。</w:t>
      </w:r>
      <w:r>
        <w:rPr>
          <w:sz w:val="21"/>
        </w:rPr>
        <w:t>当采用壁</w:t>
      </w:r>
      <w:r>
        <w:rPr>
          <w:spacing w:val="-3"/>
          <w:sz w:val="21"/>
        </w:rPr>
        <w:t>挂</w:t>
      </w:r>
      <w:r>
        <w:rPr>
          <w:sz w:val="21"/>
        </w:rPr>
        <w:t>方</w:t>
      </w:r>
      <w:r>
        <w:rPr>
          <w:spacing w:val="-3"/>
          <w:sz w:val="21"/>
        </w:rPr>
        <w:t>式</w:t>
      </w:r>
      <w:r>
        <w:rPr>
          <w:sz w:val="21"/>
        </w:rPr>
        <w:t>安</w:t>
      </w:r>
      <w:r>
        <w:rPr>
          <w:spacing w:val="-3"/>
          <w:sz w:val="21"/>
        </w:rPr>
        <w:t>装</w:t>
      </w:r>
      <w:r>
        <w:rPr>
          <w:sz w:val="21"/>
        </w:rPr>
        <w:t>时</w:t>
      </w:r>
      <w:r>
        <w:rPr>
          <w:spacing w:val="-3"/>
          <w:sz w:val="21"/>
        </w:rPr>
        <w:t>，</w:t>
      </w:r>
      <w:r>
        <w:rPr>
          <w:sz w:val="21"/>
        </w:rPr>
        <w:t>其</w:t>
      </w:r>
      <w:r>
        <w:rPr>
          <w:spacing w:val="-3"/>
          <w:sz w:val="21"/>
        </w:rPr>
        <w:t>底</w:t>
      </w:r>
      <w:r>
        <w:rPr>
          <w:sz w:val="21"/>
        </w:rPr>
        <w:t>边距</w:t>
      </w:r>
      <w:r>
        <w:rPr>
          <w:spacing w:val="-3"/>
          <w:sz w:val="21"/>
        </w:rPr>
        <w:t>地</w:t>
      </w:r>
      <w:r>
        <w:rPr>
          <w:sz w:val="21"/>
        </w:rPr>
        <w:t>高</w:t>
      </w:r>
      <w:r>
        <w:rPr>
          <w:spacing w:val="-3"/>
          <w:sz w:val="21"/>
        </w:rPr>
        <w:t>度</w:t>
      </w:r>
      <w:r>
        <w:rPr>
          <w:sz w:val="21"/>
        </w:rPr>
        <w:t>宜</w:t>
      </w:r>
      <w:r>
        <w:rPr>
          <w:spacing w:val="-3"/>
          <w:sz w:val="21"/>
        </w:rPr>
        <w:t>为</w:t>
      </w:r>
      <w:r>
        <w:rPr>
          <w:spacing w:val="10"/>
          <w:sz w:val="21"/>
        </w:rPr>
        <w:t> </w:t>
      </w:r>
      <w:r>
        <w:rPr>
          <w:sz w:val="21"/>
        </w:rPr>
        <w:t>1.3～1.5m</w:t>
      </w:r>
      <w:r>
        <w:rPr>
          <w:spacing w:val="10"/>
          <w:sz w:val="21"/>
        </w:rPr>
        <w:t> </w:t>
      </w:r>
      <w:r>
        <w:rPr>
          <w:spacing w:val="-3"/>
          <w:sz w:val="21"/>
        </w:rPr>
        <w:t>。</w:t>
      </w:r>
      <w:r>
        <w:rPr>
          <w:sz w:val="21"/>
        </w:rPr>
        <w:t> </w:t>
        <w:tab/>
      </w:r>
      <w:r>
        <w:rPr>
          <w:w w:val="100"/>
          <w:sz w:val="21"/>
        </w:rPr>
        <w:t>  </w:t>
      </w:r>
    </w:p>
    <w:p>
      <w:pPr>
        <w:pStyle w:val="ListParagraph"/>
        <w:numPr>
          <w:ilvl w:val="2"/>
          <w:numId w:val="651"/>
        </w:numPr>
        <w:tabs>
          <w:tab w:pos="1370" w:val="left" w:leader="none"/>
        </w:tabs>
        <w:spacing w:line="267" w:lineRule="exact" w:before="0" w:after="0"/>
        <w:ind w:left="1369" w:right="0" w:hanging="530"/>
        <w:jc w:val="left"/>
        <w:rPr>
          <w:sz w:val="21"/>
        </w:rPr>
      </w:pPr>
      <w:r>
        <w:rPr>
          <w:spacing w:val="-3"/>
          <w:sz w:val="21"/>
        </w:rPr>
        <w:t>具有可视对讲功能的家用火灾报警控制器宜设置在进户门附近。</w:t>
      </w:r>
      <w:r>
        <w:rPr>
          <w:sz w:val="21"/>
        </w:rPr>
        <w:t> </w:t>
      </w:r>
      <w:r>
        <w:rPr>
          <w:spacing w:val="-9"/>
          <w:sz w:val="21"/>
        </w:rPr>
        <w:t> </w:t>
      </w:r>
      <w:r>
        <w:rPr>
          <w:w w:val="100"/>
          <w:sz w:val="21"/>
        </w:rPr>
        <w:t>  </w:t>
      </w:r>
    </w:p>
    <w:p>
      <w:pPr>
        <w:pStyle w:val="BodyText"/>
        <w:spacing w:before="2"/>
        <w:rPr>
          <w:sz w:val="18"/>
        </w:rPr>
      </w:pPr>
    </w:p>
    <w:p>
      <w:pPr>
        <w:pStyle w:val="ListParagraph"/>
        <w:numPr>
          <w:ilvl w:val="1"/>
          <w:numId w:val="651"/>
        </w:numPr>
        <w:tabs>
          <w:tab w:pos="1159" w:val="left" w:leader="none"/>
        </w:tabs>
        <w:spacing w:line="240" w:lineRule="auto" w:before="0" w:after="0"/>
        <w:ind w:left="1158" w:right="0" w:hanging="319"/>
        <w:jc w:val="left"/>
        <w:rPr>
          <w:b/>
          <w:sz w:val="21"/>
        </w:rPr>
      </w:pPr>
      <w:r>
        <w:rPr>
          <w:spacing w:val="-3"/>
          <w:sz w:val="21"/>
        </w:rPr>
        <w:t>火灾声警报器的设置</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651"/>
        </w:numPr>
        <w:tabs>
          <w:tab w:pos="1370" w:val="left" w:leader="none"/>
          <w:tab w:pos="4618" w:val="left" w:leader="none"/>
          <w:tab w:pos="5038" w:val="left" w:leader="none"/>
        </w:tabs>
        <w:spacing w:line="446" w:lineRule="auto" w:before="47" w:after="0"/>
        <w:ind w:left="418" w:right="1431" w:firstLine="422"/>
        <w:jc w:val="left"/>
        <w:rPr>
          <w:sz w:val="21"/>
        </w:rPr>
      </w:pPr>
      <w:r>
        <w:rPr>
          <w:spacing w:val="-3"/>
          <w:sz w:val="21"/>
        </w:rPr>
        <w:t>住</w:t>
      </w:r>
      <w:r>
        <w:rPr>
          <w:sz w:val="21"/>
        </w:rPr>
        <w:t>宅</w:t>
      </w:r>
      <w:r>
        <w:rPr>
          <w:spacing w:val="-3"/>
          <w:sz w:val="21"/>
        </w:rPr>
        <w:t>建</w:t>
      </w:r>
      <w:r>
        <w:rPr>
          <w:sz w:val="21"/>
        </w:rPr>
        <w:t>筑</w:t>
      </w:r>
      <w:r>
        <w:rPr>
          <w:spacing w:val="-3"/>
          <w:sz w:val="21"/>
        </w:rPr>
        <w:t>公</w:t>
      </w:r>
      <w:r>
        <w:rPr>
          <w:sz w:val="21"/>
        </w:rPr>
        <w:t>共</w:t>
      </w:r>
      <w:r>
        <w:rPr>
          <w:spacing w:val="-3"/>
          <w:sz w:val="21"/>
        </w:rPr>
        <w:t>部位</w:t>
      </w:r>
      <w:r>
        <w:rPr>
          <w:sz w:val="21"/>
        </w:rPr>
        <w:t>设置</w:t>
      </w:r>
      <w:r>
        <w:rPr>
          <w:spacing w:val="-3"/>
          <w:sz w:val="21"/>
        </w:rPr>
        <w:t>的</w:t>
      </w:r>
      <w:r>
        <w:rPr>
          <w:sz w:val="21"/>
        </w:rPr>
        <w:t>火</w:t>
      </w:r>
      <w:r>
        <w:rPr>
          <w:spacing w:val="-3"/>
          <w:sz w:val="21"/>
        </w:rPr>
        <w:t>灾</w:t>
      </w:r>
      <w:r>
        <w:rPr>
          <w:sz w:val="21"/>
        </w:rPr>
        <w:t>声</w:t>
      </w:r>
      <w:r>
        <w:rPr>
          <w:spacing w:val="-3"/>
          <w:sz w:val="21"/>
        </w:rPr>
        <w:t>警</w:t>
      </w:r>
      <w:r>
        <w:rPr>
          <w:sz w:val="21"/>
        </w:rPr>
        <w:t>报</w:t>
      </w:r>
      <w:r>
        <w:rPr>
          <w:spacing w:val="-3"/>
          <w:sz w:val="21"/>
        </w:rPr>
        <w:t>器</w:t>
      </w:r>
      <w:r>
        <w:rPr>
          <w:sz w:val="21"/>
        </w:rPr>
        <w:t>应</w:t>
      </w:r>
      <w:r>
        <w:rPr>
          <w:spacing w:val="-3"/>
          <w:sz w:val="21"/>
        </w:rPr>
        <w:t>具</w:t>
      </w:r>
      <w:r>
        <w:rPr>
          <w:sz w:val="21"/>
        </w:rPr>
        <w:t>有语</w:t>
      </w:r>
      <w:r>
        <w:rPr>
          <w:spacing w:val="-3"/>
          <w:sz w:val="21"/>
        </w:rPr>
        <w:t>音</w:t>
      </w:r>
      <w:r>
        <w:rPr>
          <w:sz w:val="21"/>
        </w:rPr>
        <w:t>功</w:t>
      </w:r>
      <w:r>
        <w:rPr>
          <w:spacing w:val="-3"/>
          <w:sz w:val="21"/>
        </w:rPr>
        <w:t>能</w:t>
      </w:r>
      <w:r>
        <w:rPr>
          <w:spacing w:val="-39"/>
          <w:sz w:val="21"/>
        </w:rPr>
        <w:t>，</w:t>
      </w:r>
      <w:r>
        <w:rPr>
          <w:spacing w:val="-3"/>
          <w:sz w:val="21"/>
        </w:rPr>
        <w:t>且</w:t>
      </w:r>
      <w:r>
        <w:rPr>
          <w:sz w:val="21"/>
        </w:rPr>
        <w:t>应</w:t>
      </w:r>
      <w:r>
        <w:rPr>
          <w:spacing w:val="-3"/>
          <w:sz w:val="21"/>
        </w:rPr>
        <w:t>能</w:t>
      </w:r>
      <w:r>
        <w:rPr>
          <w:sz w:val="21"/>
        </w:rPr>
        <w:t>接</w:t>
      </w:r>
      <w:r>
        <w:rPr>
          <w:spacing w:val="-3"/>
          <w:sz w:val="21"/>
        </w:rPr>
        <w:t>受</w:t>
      </w:r>
      <w:r>
        <w:rPr>
          <w:sz w:val="21"/>
        </w:rPr>
        <w:t>联动</w:t>
      </w:r>
      <w:r>
        <w:rPr>
          <w:spacing w:val="-3"/>
          <w:sz w:val="21"/>
        </w:rPr>
        <w:t>控</w:t>
      </w:r>
      <w:r>
        <w:rPr>
          <w:sz w:val="21"/>
        </w:rPr>
        <w:t>制</w:t>
      </w:r>
      <w:r>
        <w:rPr>
          <w:spacing w:val="-3"/>
          <w:sz w:val="21"/>
        </w:rPr>
        <w:t>或</w:t>
      </w:r>
      <w:r>
        <w:rPr>
          <w:sz w:val="21"/>
        </w:rPr>
        <w:t>由手动火</w:t>
      </w:r>
      <w:r>
        <w:rPr>
          <w:spacing w:val="-3"/>
          <w:sz w:val="21"/>
        </w:rPr>
        <w:t>灾</w:t>
      </w:r>
      <w:r>
        <w:rPr>
          <w:sz w:val="21"/>
        </w:rPr>
        <w:t>报</w:t>
      </w:r>
      <w:r>
        <w:rPr>
          <w:spacing w:val="18"/>
          <w:sz w:val="21"/>
        </w:rPr>
        <w:t> </w:t>
      </w:r>
      <w:r>
        <w:rPr>
          <w:sz w:val="21"/>
        </w:rPr>
        <w:t>警</w:t>
      </w:r>
      <w:r>
        <w:rPr>
          <w:spacing w:val="-3"/>
          <w:sz w:val="21"/>
        </w:rPr>
        <w:t>按</w:t>
      </w:r>
      <w:r>
        <w:rPr>
          <w:sz w:val="21"/>
        </w:rPr>
        <w:t>钮</w:t>
      </w:r>
      <w:r>
        <w:rPr>
          <w:spacing w:val="-3"/>
          <w:sz w:val="21"/>
        </w:rPr>
        <w:t>信</w:t>
      </w:r>
      <w:r>
        <w:rPr>
          <w:sz w:val="21"/>
        </w:rPr>
        <w:t>号</w:t>
      </w:r>
      <w:r>
        <w:rPr>
          <w:spacing w:val="-3"/>
          <w:sz w:val="21"/>
        </w:rPr>
        <w:t>直接</w:t>
      </w:r>
      <w:r>
        <w:rPr>
          <w:sz w:val="21"/>
        </w:rPr>
        <w:t>控制</w:t>
      </w:r>
      <w:r>
        <w:rPr>
          <w:spacing w:val="-3"/>
          <w:sz w:val="21"/>
        </w:rPr>
        <w:t>发</w:t>
      </w:r>
      <w:r>
        <w:rPr>
          <w:sz w:val="21"/>
        </w:rPr>
        <w:t>出</w:t>
      </w:r>
      <w:r>
        <w:rPr>
          <w:spacing w:val="-3"/>
          <w:sz w:val="21"/>
        </w:rPr>
        <w:t>警</w:t>
      </w:r>
      <w:r>
        <w:rPr>
          <w:sz w:val="21"/>
        </w:rPr>
        <w:t>报</w:t>
      </w:r>
      <w:r>
        <w:rPr>
          <w:spacing w:val="-3"/>
          <w:sz w:val="21"/>
        </w:rPr>
        <w:t>。</w:t>
      </w:r>
      <w:r>
        <w:rPr>
          <w:sz w:val="21"/>
        </w:rPr>
        <w:t> </w:t>
        <w:tab/>
      </w:r>
      <w:r>
        <w:rPr>
          <w:w w:val="100"/>
          <w:sz w:val="21"/>
        </w:rPr>
        <w:t>  </w:t>
      </w:r>
      <w:r>
        <w:rPr>
          <w:sz w:val="21"/>
        </w:rPr>
        <w:tab/>
      </w:r>
      <w:r>
        <w:rPr>
          <w:w w:val="100"/>
          <w:sz w:val="21"/>
        </w:rPr>
        <w:t>  </w:t>
      </w:r>
    </w:p>
    <w:p>
      <w:pPr>
        <w:pStyle w:val="ListParagraph"/>
        <w:numPr>
          <w:ilvl w:val="2"/>
          <w:numId w:val="651"/>
        </w:numPr>
        <w:tabs>
          <w:tab w:pos="1371" w:val="left" w:leader="none"/>
          <w:tab w:pos="3778" w:val="left" w:leader="none"/>
        </w:tabs>
        <w:spacing w:line="446" w:lineRule="auto" w:before="0" w:after="0"/>
        <w:ind w:left="418" w:right="1431" w:firstLine="422"/>
        <w:jc w:val="left"/>
        <w:rPr>
          <w:sz w:val="21"/>
        </w:rPr>
      </w:pPr>
      <w:r>
        <w:rPr>
          <w:sz w:val="21"/>
        </w:rPr>
        <w:t>每</w:t>
      </w:r>
      <w:r>
        <w:rPr>
          <w:spacing w:val="-3"/>
          <w:sz w:val="21"/>
        </w:rPr>
        <w:t>台</w:t>
      </w:r>
      <w:r>
        <w:rPr>
          <w:sz w:val="21"/>
        </w:rPr>
        <w:t>警</w:t>
      </w:r>
      <w:r>
        <w:rPr>
          <w:spacing w:val="-3"/>
          <w:sz w:val="21"/>
        </w:rPr>
        <w:t>报</w:t>
      </w:r>
      <w:r>
        <w:rPr>
          <w:sz w:val="21"/>
        </w:rPr>
        <w:t>器</w:t>
      </w:r>
      <w:r>
        <w:rPr>
          <w:spacing w:val="-3"/>
          <w:sz w:val="21"/>
        </w:rPr>
        <w:t>覆</w:t>
      </w:r>
      <w:r>
        <w:rPr>
          <w:sz w:val="21"/>
        </w:rPr>
        <w:t>盖</w:t>
      </w:r>
      <w:r>
        <w:rPr>
          <w:spacing w:val="-3"/>
          <w:sz w:val="21"/>
        </w:rPr>
        <w:t>的</w:t>
      </w:r>
      <w:r>
        <w:rPr>
          <w:sz w:val="21"/>
        </w:rPr>
        <w:t>楼层</w:t>
      </w:r>
      <w:r>
        <w:rPr>
          <w:spacing w:val="-3"/>
          <w:sz w:val="21"/>
        </w:rPr>
        <w:t>不</w:t>
      </w:r>
      <w:r>
        <w:rPr>
          <w:sz w:val="21"/>
        </w:rPr>
        <w:t>应</w:t>
      </w:r>
      <w:r>
        <w:rPr>
          <w:spacing w:val="-3"/>
          <w:sz w:val="21"/>
        </w:rPr>
        <w:t>超</w:t>
      </w:r>
      <w:r>
        <w:rPr>
          <w:sz w:val="21"/>
        </w:rPr>
        <w:t>过</w:t>
      </w:r>
      <w:r>
        <w:rPr>
          <w:spacing w:val="35"/>
          <w:sz w:val="21"/>
        </w:rPr>
        <w:t> </w:t>
      </w:r>
      <w:r>
        <w:rPr>
          <w:sz w:val="21"/>
        </w:rPr>
        <w:t>3</w:t>
      </w:r>
      <w:r>
        <w:rPr>
          <w:spacing w:val="33"/>
          <w:sz w:val="21"/>
        </w:rPr>
        <w:t> </w:t>
      </w:r>
      <w:r>
        <w:rPr>
          <w:sz w:val="21"/>
        </w:rPr>
        <w:t>层</w:t>
      </w:r>
      <w:r>
        <w:rPr>
          <w:spacing w:val="-3"/>
          <w:sz w:val="21"/>
        </w:rPr>
        <w:t>，且</w:t>
      </w:r>
      <w:r>
        <w:rPr>
          <w:sz w:val="21"/>
        </w:rPr>
        <w:t>首层</w:t>
      </w:r>
      <w:r>
        <w:rPr>
          <w:spacing w:val="-3"/>
          <w:sz w:val="21"/>
        </w:rPr>
        <w:t>明</w:t>
      </w:r>
      <w:r>
        <w:rPr>
          <w:sz w:val="21"/>
        </w:rPr>
        <w:t>显</w:t>
      </w:r>
      <w:r>
        <w:rPr>
          <w:spacing w:val="-3"/>
          <w:sz w:val="21"/>
        </w:rPr>
        <w:t>部</w:t>
      </w:r>
      <w:r>
        <w:rPr>
          <w:sz w:val="21"/>
        </w:rPr>
        <w:t>位</w:t>
      </w:r>
      <w:r>
        <w:rPr>
          <w:spacing w:val="-3"/>
          <w:sz w:val="21"/>
        </w:rPr>
        <w:t>应</w:t>
      </w:r>
      <w:r>
        <w:rPr>
          <w:sz w:val="21"/>
        </w:rPr>
        <w:t>设</w:t>
      </w:r>
      <w:r>
        <w:rPr>
          <w:spacing w:val="-3"/>
          <w:sz w:val="21"/>
        </w:rPr>
        <w:t>置</w:t>
      </w:r>
      <w:r>
        <w:rPr>
          <w:sz w:val="21"/>
        </w:rPr>
        <w:t>用</w:t>
      </w:r>
      <w:r>
        <w:rPr>
          <w:spacing w:val="-3"/>
          <w:sz w:val="21"/>
        </w:rPr>
        <w:t>于</w:t>
      </w:r>
      <w:r>
        <w:rPr>
          <w:sz w:val="21"/>
        </w:rPr>
        <w:t>直接</w:t>
      </w:r>
      <w:r>
        <w:rPr>
          <w:spacing w:val="-3"/>
          <w:sz w:val="21"/>
        </w:rPr>
        <w:t>启</w:t>
      </w:r>
      <w:r>
        <w:rPr>
          <w:sz w:val="21"/>
        </w:rPr>
        <w:t>动</w:t>
      </w:r>
      <w:r>
        <w:rPr>
          <w:spacing w:val="-3"/>
          <w:sz w:val="21"/>
        </w:rPr>
        <w:t>火</w:t>
      </w:r>
      <w:r>
        <w:rPr>
          <w:sz w:val="21"/>
        </w:rPr>
        <w:t>灾声警报</w:t>
      </w:r>
      <w:r>
        <w:rPr>
          <w:spacing w:val="-3"/>
          <w:sz w:val="21"/>
        </w:rPr>
        <w:t>器</w:t>
      </w:r>
      <w:r>
        <w:rPr>
          <w:sz w:val="21"/>
        </w:rPr>
        <w:t>的</w:t>
      </w:r>
      <w:r>
        <w:rPr>
          <w:spacing w:val="-3"/>
          <w:sz w:val="21"/>
        </w:rPr>
        <w:t>手</w:t>
      </w:r>
      <w:r>
        <w:rPr>
          <w:sz w:val="21"/>
        </w:rPr>
        <w:t>动</w:t>
      </w:r>
      <w:r>
        <w:rPr>
          <w:spacing w:val="-3"/>
          <w:sz w:val="21"/>
        </w:rPr>
        <w:t>火</w:t>
      </w:r>
      <w:r>
        <w:rPr>
          <w:sz w:val="21"/>
        </w:rPr>
        <w:t>灾</w:t>
      </w:r>
      <w:r>
        <w:rPr>
          <w:spacing w:val="-3"/>
          <w:sz w:val="21"/>
        </w:rPr>
        <w:t>报</w:t>
      </w:r>
      <w:r>
        <w:rPr>
          <w:sz w:val="21"/>
        </w:rPr>
        <w:t>警</w:t>
      </w:r>
      <w:r>
        <w:rPr>
          <w:spacing w:val="-3"/>
          <w:sz w:val="21"/>
        </w:rPr>
        <w:t>按</w:t>
      </w:r>
      <w:r>
        <w:rPr>
          <w:sz w:val="21"/>
        </w:rPr>
        <w:t>钮</w:t>
      </w:r>
      <w:r>
        <w:rPr>
          <w:spacing w:val="-3"/>
          <w:sz w:val="21"/>
        </w:rPr>
        <w:t>。</w:t>
      </w:r>
      <w:r>
        <w:rPr>
          <w:sz w:val="21"/>
        </w:rPr>
        <w:t> </w:t>
      </w:r>
      <w:r>
        <w:rPr>
          <w:spacing w:val="-2"/>
          <w:sz w:val="21"/>
        </w:rPr>
        <w:t> </w:t>
      </w:r>
      <w:r>
        <w:rPr>
          <w:w w:val="100"/>
          <w:sz w:val="21"/>
        </w:rPr>
        <w:t>  </w:t>
      </w:r>
      <w:r>
        <w:rPr>
          <w:sz w:val="21"/>
        </w:rPr>
        <w:tab/>
      </w:r>
      <w:r>
        <w:rPr>
          <w:w w:val="100"/>
          <w:sz w:val="21"/>
        </w:rPr>
        <w:t>  </w:t>
      </w:r>
    </w:p>
    <w:p>
      <w:pPr>
        <w:pStyle w:val="ListParagraph"/>
        <w:numPr>
          <w:ilvl w:val="1"/>
          <w:numId w:val="651"/>
        </w:numPr>
        <w:tabs>
          <w:tab w:pos="1159" w:val="left" w:leader="none"/>
        </w:tabs>
        <w:spacing w:line="240" w:lineRule="auto" w:before="0" w:after="0"/>
        <w:ind w:left="1158" w:right="0" w:hanging="319"/>
        <w:jc w:val="left"/>
        <w:rPr>
          <w:sz w:val="21"/>
        </w:rPr>
      </w:pPr>
      <w:r>
        <w:rPr>
          <w:spacing w:val="-3"/>
          <w:sz w:val="21"/>
        </w:rPr>
        <w:t>应急广播的设置</w:t>
      </w:r>
      <w:r>
        <w:rPr>
          <w:sz w:val="21"/>
        </w:rPr>
        <w:t> </w:t>
      </w:r>
    </w:p>
    <w:p>
      <w:pPr>
        <w:pStyle w:val="BodyText"/>
        <w:spacing w:before="10"/>
        <w:rPr>
          <w:sz w:val="17"/>
        </w:rPr>
      </w:pPr>
    </w:p>
    <w:p>
      <w:pPr>
        <w:pStyle w:val="ListParagraph"/>
        <w:numPr>
          <w:ilvl w:val="2"/>
          <w:numId w:val="651"/>
        </w:numPr>
        <w:tabs>
          <w:tab w:pos="1371" w:val="left" w:leader="none"/>
        </w:tabs>
        <w:spacing w:line="446" w:lineRule="auto" w:before="0" w:after="0"/>
        <w:ind w:left="418" w:right="1444" w:firstLine="422"/>
        <w:jc w:val="left"/>
        <w:rPr>
          <w:sz w:val="21"/>
        </w:rPr>
      </w:pPr>
      <w:r>
        <w:rPr>
          <w:spacing w:val="-1"/>
          <w:sz w:val="21"/>
        </w:rPr>
        <w:t>住宅建筑内设置的应急广播应能接受联动控制或由手动火灾报警按钮信号直接控制 </w:t>
      </w:r>
      <w:r>
        <w:rPr>
          <w:spacing w:val="-2"/>
          <w:sz w:val="21"/>
        </w:rPr>
        <w:t>进行广播。</w:t>
      </w:r>
      <w:r>
        <w:rPr>
          <w:sz w:val="21"/>
        </w:rPr>
        <w:t> </w:t>
      </w:r>
    </w:p>
    <w:p>
      <w:pPr>
        <w:pStyle w:val="ListParagraph"/>
        <w:numPr>
          <w:ilvl w:val="2"/>
          <w:numId w:val="651"/>
        </w:numPr>
        <w:tabs>
          <w:tab w:pos="1371" w:val="left" w:leader="none"/>
          <w:tab w:pos="5458" w:val="left" w:leader="none"/>
          <w:tab w:pos="5878" w:val="left" w:leader="none"/>
        </w:tabs>
        <w:spacing w:line="240" w:lineRule="auto" w:before="1" w:after="0"/>
        <w:ind w:left="1370" w:right="0" w:hanging="531"/>
        <w:jc w:val="left"/>
        <w:rPr>
          <w:sz w:val="21"/>
        </w:rPr>
      </w:pPr>
      <w:r>
        <w:rPr>
          <w:spacing w:val="-3"/>
          <w:sz w:val="21"/>
        </w:rPr>
        <w:t>每</w:t>
      </w:r>
      <w:r>
        <w:rPr>
          <w:sz w:val="21"/>
        </w:rPr>
        <w:t>台</w:t>
      </w:r>
      <w:r>
        <w:rPr>
          <w:spacing w:val="-3"/>
          <w:sz w:val="21"/>
        </w:rPr>
        <w:t>扬</w:t>
      </w:r>
      <w:r>
        <w:rPr>
          <w:sz w:val="21"/>
        </w:rPr>
        <w:t>声</w:t>
      </w:r>
      <w:r>
        <w:rPr>
          <w:spacing w:val="-3"/>
          <w:sz w:val="21"/>
        </w:rPr>
        <w:t>器</w:t>
      </w:r>
      <w:r>
        <w:rPr>
          <w:sz w:val="21"/>
        </w:rPr>
        <w:t>覆</w:t>
      </w:r>
      <w:r>
        <w:rPr>
          <w:spacing w:val="-3"/>
          <w:sz w:val="21"/>
        </w:rPr>
        <w:t>盖的</w:t>
      </w:r>
      <w:r>
        <w:rPr>
          <w:sz w:val="21"/>
        </w:rPr>
        <w:t>楼层</w:t>
      </w:r>
      <w:r>
        <w:rPr>
          <w:spacing w:val="-3"/>
          <w:sz w:val="21"/>
        </w:rPr>
        <w:t>不</w:t>
      </w:r>
      <w:r>
        <w:rPr>
          <w:sz w:val="21"/>
        </w:rPr>
        <w:t>应</w:t>
      </w:r>
      <w:r>
        <w:rPr>
          <w:spacing w:val="-3"/>
          <w:sz w:val="21"/>
        </w:rPr>
        <w:t>超</w:t>
      </w:r>
      <w:r>
        <w:rPr>
          <w:sz w:val="21"/>
        </w:rPr>
        <w:t>过</w:t>
      </w:r>
      <w:r>
        <w:rPr>
          <w:spacing w:val="9"/>
          <w:sz w:val="21"/>
        </w:rPr>
        <w:t> </w:t>
      </w:r>
      <w:r>
        <w:rPr>
          <w:spacing w:val="-3"/>
          <w:sz w:val="21"/>
        </w:rPr>
        <w:t>3</w:t>
      </w:r>
      <w:r>
        <w:rPr>
          <w:spacing w:val="9"/>
          <w:sz w:val="21"/>
        </w:rPr>
        <w:t> </w:t>
      </w:r>
      <w:r>
        <w:rPr>
          <w:spacing w:val="-3"/>
          <w:sz w:val="21"/>
        </w:rPr>
        <w:t>层</w:t>
      </w:r>
      <w:r>
        <w:rPr>
          <w:sz w:val="21"/>
        </w:rPr>
        <w:t>。 </w:t>
        <w:tab/>
      </w:r>
      <w:r>
        <w:rPr>
          <w:w w:val="100"/>
          <w:sz w:val="21"/>
        </w:rPr>
        <w:t>  </w:t>
      </w:r>
      <w:r>
        <w:rPr>
          <w:sz w:val="21"/>
        </w:rPr>
        <w:tab/>
      </w:r>
      <w:r>
        <w:rPr>
          <w:w w:val="100"/>
          <w:sz w:val="21"/>
        </w:rPr>
        <w:t>  </w:t>
      </w:r>
    </w:p>
    <w:p>
      <w:pPr>
        <w:pStyle w:val="BodyText"/>
        <w:spacing w:before="12"/>
        <w:rPr>
          <w:sz w:val="17"/>
        </w:rPr>
      </w:pPr>
    </w:p>
    <w:p>
      <w:pPr>
        <w:pStyle w:val="ListParagraph"/>
        <w:numPr>
          <w:ilvl w:val="2"/>
          <w:numId w:val="651"/>
        </w:numPr>
        <w:tabs>
          <w:tab w:pos="1371" w:val="left" w:leader="none"/>
          <w:tab w:pos="8399" w:val="left" w:leader="none"/>
        </w:tabs>
        <w:spacing w:line="240" w:lineRule="auto" w:before="0" w:after="0"/>
        <w:ind w:left="1370" w:right="0" w:hanging="531"/>
        <w:jc w:val="left"/>
        <w:rPr>
          <w:sz w:val="21"/>
        </w:rPr>
      </w:pPr>
      <w:r>
        <w:rPr>
          <w:spacing w:val="-3"/>
          <w:sz w:val="21"/>
        </w:rPr>
        <w:t>广</w:t>
      </w:r>
      <w:r>
        <w:rPr>
          <w:sz w:val="21"/>
        </w:rPr>
        <w:t>播</w:t>
      </w:r>
      <w:r>
        <w:rPr>
          <w:spacing w:val="-3"/>
          <w:sz w:val="21"/>
        </w:rPr>
        <w:t>功</w:t>
      </w:r>
      <w:r>
        <w:rPr>
          <w:sz w:val="21"/>
        </w:rPr>
        <w:t>率</w:t>
      </w:r>
      <w:r>
        <w:rPr>
          <w:spacing w:val="-3"/>
          <w:sz w:val="21"/>
        </w:rPr>
        <w:t>放</w:t>
      </w:r>
      <w:r>
        <w:rPr>
          <w:sz w:val="21"/>
        </w:rPr>
        <w:t>大</w:t>
      </w:r>
      <w:r>
        <w:rPr>
          <w:spacing w:val="-3"/>
          <w:sz w:val="21"/>
        </w:rPr>
        <w:t>器应</w:t>
      </w:r>
      <w:r>
        <w:rPr>
          <w:sz w:val="21"/>
        </w:rPr>
        <w:t>具有</w:t>
      </w:r>
      <w:r>
        <w:rPr>
          <w:spacing w:val="-3"/>
          <w:sz w:val="21"/>
        </w:rPr>
        <w:t>消</w:t>
      </w:r>
      <w:r>
        <w:rPr>
          <w:sz w:val="21"/>
        </w:rPr>
        <w:t>防</w:t>
      </w:r>
      <w:r>
        <w:rPr>
          <w:spacing w:val="-3"/>
          <w:sz w:val="21"/>
        </w:rPr>
        <w:t>电</w:t>
      </w:r>
      <w:r>
        <w:rPr>
          <w:sz w:val="21"/>
        </w:rPr>
        <w:t>话</w:t>
      </w:r>
      <w:r>
        <w:rPr>
          <w:spacing w:val="-3"/>
          <w:sz w:val="21"/>
        </w:rPr>
        <w:t>插</w:t>
      </w:r>
      <w:r>
        <w:rPr>
          <w:sz w:val="21"/>
        </w:rPr>
        <w:t>孔</w:t>
      </w:r>
      <w:r>
        <w:rPr>
          <w:spacing w:val="-3"/>
          <w:sz w:val="21"/>
        </w:rPr>
        <w:t>，</w:t>
      </w:r>
      <w:r>
        <w:rPr>
          <w:sz w:val="21"/>
        </w:rPr>
        <w:t>消</w:t>
      </w:r>
      <w:r>
        <w:rPr>
          <w:spacing w:val="-3"/>
          <w:sz w:val="21"/>
        </w:rPr>
        <w:t>防</w:t>
      </w:r>
      <w:r>
        <w:rPr>
          <w:sz w:val="21"/>
        </w:rPr>
        <w:t>电话</w:t>
      </w:r>
      <w:r>
        <w:rPr>
          <w:spacing w:val="-3"/>
          <w:sz w:val="21"/>
        </w:rPr>
        <w:t>插</w:t>
      </w:r>
      <w:r>
        <w:rPr>
          <w:sz w:val="21"/>
        </w:rPr>
        <w:t>入</w:t>
      </w:r>
      <w:r>
        <w:rPr>
          <w:spacing w:val="-3"/>
          <w:sz w:val="21"/>
        </w:rPr>
        <w:t>后</w:t>
      </w:r>
      <w:r>
        <w:rPr>
          <w:sz w:val="21"/>
        </w:rPr>
        <w:t>应</w:t>
      </w:r>
      <w:r>
        <w:rPr>
          <w:spacing w:val="-3"/>
          <w:sz w:val="21"/>
        </w:rPr>
        <w:t>能</w:t>
      </w:r>
      <w:r>
        <w:rPr>
          <w:sz w:val="21"/>
        </w:rPr>
        <w:t>直</w:t>
      </w:r>
      <w:r>
        <w:rPr>
          <w:spacing w:val="-3"/>
          <w:sz w:val="21"/>
        </w:rPr>
        <w:t>接</w:t>
      </w:r>
      <w:r>
        <w:rPr>
          <w:sz w:val="21"/>
        </w:rPr>
        <w:t>讲</w:t>
      </w:r>
      <w:r>
        <w:rPr>
          <w:spacing w:val="-3"/>
          <w:sz w:val="21"/>
        </w:rPr>
        <w:t>话</w:t>
      </w:r>
      <w:r>
        <w:rPr>
          <w:sz w:val="21"/>
        </w:rPr>
        <w:t>。 </w:t>
        <w:tab/>
      </w:r>
      <w:r>
        <w:rPr>
          <w:w w:val="100"/>
          <w:sz w:val="21"/>
        </w:rPr>
        <w:t>   </w:t>
      </w:r>
    </w:p>
    <w:p>
      <w:pPr>
        <w:pStyle w:val="BodyText"/>
        <w:spacing w:before="2"/>
        <w:rPr>
          <w:sz w:val="18"/>
        </w:rPr>
      </w:pPr>
    </w:p>
    <w:p>
      <w:pPr>
        <w:pStyle w:val="ListParagraph"/>
        <w:numPr>
          <w:ilvl w:val="2"/>
          <w:numId w:val="651"/>
        </w:numPr>
        <w:tabs>
          <w:tab w:pos="1370" w:val="left" w:leader="none"/>
          <w:tab w:pos="3778" w:val="left" w:leader="none"/>
        </w:tabs>
        <w:spacing w:line="446" w:lineRule="auto" w:before="0" w:after="0"/>
        <w:ind w:left="418" w:right="1431" w:firstLine="422"/>
        <w:jc w:val="left"/>
        <w:rPr>
          <w:sz w:val="21"/>
        </w:rPr>
      </w:pPr>
      <w:r>
        <w:rPr>
          <w:spacing w:val="-3"/>
          <w:sz w:val="21"/>
        </w:rPr>
        <w:t>广</w:t>
      </w:r>
      <w:r>
        <w:rPr>
          <w:sz w:val="21"/>
        </w:rPr>
        <w:t>播</w:t>
      </w:r>
      <w:r>
        <w:rPr>
          <w:spacing w:val="-3"/>
          <w:sz w:val="21"/>
        </w:rPr>
        <w:t>功</w:t>
      </w:r>
      <w:r>
        <w:rPr>
          <w:sz w:val="21"/>
        </w:rPr>
        <w:t>率</w:t>
      </w:r>
      <w:r>
        <w:rPr>
          <w:spacing w:val="-3"/>
          <w:sz w:val="21"/>
        </w:rPr>
        <w:t>放</w:t>
      </w:r>
      <w:r>
        <w:rPr>
          <w:sz w:val="21"/>
        </w:rPr>
        <w:t>大</w:t>
      </w:r>
      <w:r>
        <w:rPr>
          <w:spacing w:val="-3"/>
          <w:sz w:val="21"/>
        </w:rPr>
        <w:t>器应</w:t>
      </w:r>
      <w:r>
        <w:rPr>
          <w:sz w:val="21"/>
        </w:rPr>
        <w:t>配有</w:t>
      </w:r>
      <w:r>
        <w:rPr>
          <w:spacing w:val="-3"/>
          <w:sz w:val="21"/>
        </w:rPr>
        <w:t>备</w:t>
      </w:r>
      <w:r>
        <w:rPr>
          <w:sz w:val="21"/>
        </w:rPr>
        <w:t>用</w:t>
      </w:r>
      <w:r>
        <w:rPr>
          <w:spacing w:val="-3"/>
          <w:sz w:val="21"/>
        </w:rPr>
        <w:t>电</w:t>
      </w:r>
      <w:r>
        <w:rPr>
          <w:sz w:val="21"/>
        </w:rPr>
        <w:t>池</w:t>
      </w:r>
      <w:r>
        <w:rPr>
          <w:spacing w:val="-22"/>
          <w:sz w:val="21"/>
        </w:rPr>
        <w:t>，</w:t>
      </w:r>
      <w:r>
        <w:rPr>
          <w:sz w:val="21"/>
        </w:rPr>
        <w:t>电</w:t>
      </w:r>
      <w:r>
        <w:rPr>
          <w:spacing w:val="-3"/>
          <w:sz w:val="21"/>
        </w:rPr>
        <w:t>池</w:t>
      </w:r>
      <w:r>
        <w:rPr>
          <w:sz w:val="21"/>
        </w:rPr>
        <w:t>持</w:t>
      </w:r>
      <w:r>
        <w:rPr>
          <w:spacing w:val="-3"/>
          <w:sz w:val="21"/>
        </w:rPr>
        <w:t>续</w:t>
      </w:r>
      <w:r>
        <w:rPr>
          <w:sz w:val="21"/>
        </w:rPr>
        <w:t>工作</w:t>
      </w:r>
      <w:r>
        <w:rPr>
          <w:spacing w:val="-3"/>
          <w:sz w:val="21"/>
        </w:rPr>
        <w:t>不</w:t>
      </w:r>
      <w:r>
        <w:rPr>
          <w:sz w:val="21"/>
        </w:rPr>
        <w:t>能</w:t>
      </w:r>
      <w:r>
        <w:rPr>
          <w:spacing w:val="-3"/>
          <w:sz w:val="21"/>
        </w:rPr>
        <w:t>达</w:t>
      </w:r>
      <w:r>
        <w:rPr>
          <w:sz w:val="21"/>
        </w:rPr>
        <w:t>到</w:t>
      </w:r>
      <w:r>
        <w:rPr>
          <w:spacing w:val="13"/>
          <w:sz w:val="21"/>
        </w:rPr>
        <w:t> </w:t>
      </w:r>
      <w:r>
        <w:rPr>
          <w:sz w:val="21"/>
        </w:rPr>
        <w:t>lh</w:t>
      </w:r>
      <w:r>
        <w:rPr>
          <w:spacing w:val="12"/>
          <w:sz w:val="21"/>
        </w:rPr>
        <w:t> </w:t>
      </w:r>
      <w:r>
        <w:rPr>
          <w:spacing w:val="-3"/>
          <w:sz w:val="21"/>
        </w:rPr>
        <w:t>时</w:t>
      </w:r>
      <w:r>
        <w:rPr>
          <w:spacing w:val="-20"/>
          <w:sz w:val="21"/>
        </w:rPr>
        <w:t>，</w:t>
      </w:r>
      <w:r>
        <w:rPr>
          <w:spacing w:val="-3"/>
          <w:sz w:val="21"/>
        </w:rPr>
        <w:t>应</w:t>
      </w:r>
      <w:r>
        <w:rPr>
          <w:sz w:val="21"/>
        </w:rPr>
        <w:t>能向</w:t>
      </w:r>
      <w:r>
        <w:rPr>
          <w:spacing w:val="-3"/>
          <w:sz w:val="21"/>
        </w:rPr>
        <w:t>消</w:t>
      </w:r>
      <w:r>
        <w:rPr>
          <w:sz w:val="21"/>
        </w:rPr>
        <w:t>防</w:t>
      </w:r>
      <w:r>
        <w:rPr>
          <w:spacing w:val="-3"/>
          <w:sz w:val="21"/>
        </w:rPr>
        <w:t>控</w:t>
      </w:r>
      <w:r>
        <w:rPr>
          <w:sz w:val="21"/>
        </w:rPr>
        <w:t>制室或物</w:t>
      </w:r>
      <w:r>
        <w:rPr>
          <w:spacing w:val="-3"/>
          <w:sz w:val="21"/>
        </w:rPr>
        <w:t>业</w:t>
      </w:r>
      <w:r>
        <w:rPr>
          <w:sz w:val="21"/>
        </w:rPr>
        <w:t>值</w:t>
      </w:r>
      <w:r>
        <w:rPr>
          <w:spacing w:val="-3"/>
          <w:sz w:val="21"/>
        </w:rPr>
        <w:t>班</w:t>
      </w:r>
      <w:r>
        <w:rPr>
          <w:sz w:val="21"/>
        </w:rPr>
        <w:t>室</w:t>
      </w:r>
      <w:r>
        <w:rPr>
          <w:spacing w:val="-3"/>
          <w:sz w:val="21"/>
        </w:rPr>
        <w:t>发</w:t>
      </w:r>
      <w:r>
        <w:rPr>
          <w:sz w:val="21"/>
        </w:rPr>
        <w:t>送</w:t>
      </w:r>
      <w:r>
        <w:rPr>
          <w:spacing w:val="-3"/>
          <w:sz w:val="21"/>
        </w:rPr>
        <w:t>报</w:t>
      </w:r>
      <w:r>
        <w:rPr>
          <w:sz w:val="21"/>
        </w:rPr>
        <w:t>警</w:t>
      </w:r>
      <w:r>
        <w:rPr>
          <w:spacing w:val="-3"/>
          <w:sz w:val="21"/>
        </w:rPr>
        <w:t>信</w:t>
      </w:r>
      <w:r>
        <w:rPr>
          <w:sz w:val="21"/>
        </w:rPr>
        <w:t>息</w:t>
      </w:r>
      <w:r>
        <w:rPr>
          <w:spacing w:val="-3"/>
          <w:sz w:val="21"/>
        </w:rPr>
        <w:t>。</w:t>
      </w:r>
      <w:r>
        <w:rPr>
          <w:sz w:val="21"/>
        </w:rPr>
        <w:t> </w:t>
      </w:r>
      <w:r>
        <w:rPr>
          <w:spacing w:val="-2"/>
          <w:sz w:val="21"/>
        </w:rPr>
        <w:t> </w:t>
      </w:r>
      <w:r>
        <w:rPr>
          <w:w w:val="100"/>
          <w:sz w:val="21"/>
        </w:rPr>
        <w:t>  </w:t>
      </w:r>
      <w:r>
        <w:rPr>
          <w:sz w:val="21"/>
        </w:rPr>
        <w:tab/>
      </w:r>
      <w:r>
        <w:rPr>
          <w:w w:val="100"/>
          <w:sz w:val="21"/>
        </w:rPr>
        <w:t>  </w:t>
      </w:r>
    </w:p>
    <w:p>
      <w:pPr>
        <w:pStyle w:val="ListParagraph"/>
        <w:numPr>
          <w:ilvl w:val="2"/>
          <w:numId w:val="651"/>
        </w:numPr>
        <w:tabs>
          <w:tab w:pos="1371" w:val="left" w:leader="none"/>
        </w:tabs>
        <w:spacing w:line="446" w:lineRule="auto" w:before="0" w:after="0"/>
        <w:ind w:left="418" w:right="1431" w:firstLine="422"/>
        <w:jc w:val="left"/>
        <w:rPr>
          <w:sz w:val="21"/>
        </w:rPr>
      </w:pPr>
      <w:r>
        <w:rPr>
          <w:spacing w:val="-5"/>
          <w:sz w:val="21"/>
        </w:rPr>
        <w:t>广播功率放大器应设置在首层内走道侧面墙上，箱体面板应有防止非专业人员打开的措施。</w:t>
      </w:r>
      <w:r>
        <w:rPr>
          <w:sz w:val="21"/>
        </w:rPr>
        <w:t> </w:t>
      </w:r>
    </w:p>
    <w:p>
      <w:pPr>
        <w:pStyle w:val="Heading4"/>
        <w:spacing w:line="278" w:lineRule="exact"/>
      </w:pPr>
      <w:r>
        <w:rPr/>
        <w:t>8 可燃气体探测报警系统</w:t>
      </w:r>
      <w:r>
        <w:rPr>
          <w:w w:val="99"/>
        </w:rPr>
        <w:t> </w:t>
      </w:r>
    </w:p>
    <w:p>
      <w:pPr>
        <w:pStyle w:val="BodyText"/>
        <w:spacing w:before="1"/>
        <w:rPr>
          <w:b/>
          <w:sz w:val="17"/>
        </w:rPr>
      </w:pPr>
    </w:p>
    <w:p>
      <w:pPr>
        <w:pStyle w:val="ListParagraph"/>
        <w:numPr>
          <w:ilvl w:val="1"/>
          <w:numId w:val="653"/>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2"/>
        <w:rPr>
          <w:b/>
          <w:sz w:val="18"/>
        </w:rPr>
      </w:pPr>
    </w:p>
    <w:p>
      <w:pPr>
        <w:pStyle w:val="ListParagraph"/>
        <w:numPr>
          <w:ilvl w:val="2"/>
          <w:numId w:val="653"/>
        </w:numPr>
        <w:tabs>
          <w:tab w:pos="1438" w:val="left" w:leader="none"/>
        </w:tabs>
        <w:spacing w:line="446" w:lineRule="auto" w:before="0" w:after="0"/>
        <w:ind w:left="418" w:right="1431" w:firstLine="422"/>
        <w:jc w:val="left"/>
        <w:rPr>
          <w:sz w:val="21"/>
        </w:rPr>
      </w:pPr>
      <w:r>
        <w:rPr>
          <w:spacing w:val="-3"/>
          <w:sz w:val="21"/>
        </w:rPr>
        <w:t>可燃气体探测报警系统应由可燃气体报警控制器、可燃气体探测器和火灾声光警报器等组成。 </w:t>
      </w:r>
      <w:r>
        <w:rPr>
          <w:sz w:val="21"/>
        </w:rPr>
        <w:t> </w:t>
      </w:r>
    </w:p>
    <w:p>
      <w:pPr>
        <w:pStyle w:val="ListParagraph"/>
        <w:numPr>
          <w:ilvl w:val="2"/>
          <w:numId w:val="653"/>
        </w:numPr>
        <w:tabs>
          <w:tab w:pos="1438" w:val="left" w:leader="none"/>
        </w:tabs>
        <w:spacing w:line="446" w:lineRule="auto" w:before="0" w:after="0"/>
        <w:ind w:left="418" w:right="1431" w:firstLine="422"/>
        <w:jc w:val="left"/>
        <w:rPr>
          <w:sz w:val="21"/>
        </w:rPr>
      </w:pPr>
      <w:r>
        <w:rPr>
          <w:spacing w:val="-3"/>
          <w:sz w:val="21"/>
        </w:rPr>
        <w:t>可燃气体探测报警系统应独立组成，可燃气体探测器不应接入火灾报警控制器的探测</w:t>
      </w:r>
      <w:r>
        <w:rPr>
          <w:sz w:val="21"/>
        </w:rPr>
        <w:t>器回路； 当可燃气体的报警信号需接入火灾自动报警系统时，应由可燃气体报警控制器接入。</w:t>
      </w:r>
    </w:p>
    <w:p>
      <w:pPr>
        <w:pStyle w:val="BodyText"/>
        <w:tabs>
          <w:tab w:pos="837" w:val="left" w:leader="none"/>
        </w:tabs>
        <w:spacing w:line="446" w:lineRule="auto"/>
        <w:ind w:left="418" w:right="1433"/>
      </w:pPr>
      <w:r>
        <w:rPr>
          <w:w w:val="100"/>
        </w:rPr>
        <w:t> </w:t>
      </w:r>
      <w:r>
        <w:rPr/>
        <w:tab/>
      </w:r>
      <w:r>
        <w:rPr>
          <w:b/>
        </w:rPr>
        <w:t>8.1.3</w:t>
      </w:r>
      <w:r>
        <w:rPr>
          <w:b/>
          <w:spacing w:val="37"/>
        </w:rPr>
        <w:t> </w:t>
      </w:r>
      <w:r>
        <w:rPr>
          <w:spacing w:val="-5"/>
        </w:rPr>
        <w:t>石化行业涉及过程控制的可燃气体探测器，可按现行国家标准《石油化工可燃气体和</w:t>
      </w:r>
      <w:r>
        <w:rPr>
          <w:spacing w:val="4"/>
        </w:rPr>
        <w:t>有毒气体检测报警设计规范》</w:t>
      </w:r>
      <w:r>
        <w:rPr/>
        <w:t>GB</w:t>
      </w:r>
      <w:r>
        <w:rPr>
          <w:spacing w:val="78"/>
        </w:rPr>
        <w:t> </w:t>
      </w:r>
      <w:r>
        <w:rPr/>
        <w:t>50493</w:t>
      </w:r>
      <w:r>
        <w:rPr>
          <w:spacing w:val="3"/>
        </w:rPr>
        <w:t> 的有关规定设置，但其报警信号应接入消防控制室。</w:t>
      </w:r>
    </w:p>
    <w:p>
      <w:pPr>
        <w:pStyle w:val="BodyText"/>
        <w:tabs>
          <w:tab w:pos="837" w:val="left" w:leader="none"/>
        </w:tabs>
        <w:spacing w:line="446" w:lineRule="auto"/>
        <w:ind w:left="418" w:right="1431"/>
      </w:pPr>
      <w:r>
        <w:rPr>
          <w:w w:val="100"/>
        </w:rPr>
        <w:t> </w:t>
      </w:r>
      <w:r>
        <w:rPr/>
        <w:tab/>
      </w:r>
      <w:r>
        <w:rPr>
          <w:b/>
        </w:rPr>
        <w:t>8.1.4</w:t>
      </w:r>
      <w:r>
        <w:rPr>
          <w:b/>
          <w:spacing w:val="38"/>
        </w:rPr>
        <w:t> </w:t>
      </w:r>
      <w:r>
        <w:rPr>
          <w:spacing w:val="-5"/>
        </w:rPr>
        <w:t>可燃气体报警控制器的报警信息和故障信息，应在消防控制室图形显示装置或起集中</w:t>
      </w:r>
      <w:r>
        <w:rPr>
          <w:spacing w:val="-4"/>
        </w:rPr>
        <w:t>控制功能的火灾报警控制器上显示，但该类信息与火灾报警信息的显示应有区别。</w:t>
      </w:r>
      <w:r>
        <w:rPr/>
        <w:t> </w:t>
      </w:r>
    </w:p>
    <w:p>
      <w:pPr>
        <w:pStyle w:val="ListParagraph"/>
        <w:numPr>
          <w:ilvl w:val="2"/>
          <w:numId w:val="654"/>
        </w:numPr>
        <w:tabs>
          <w:tab w:pos="1370" w:val="left" w:leader="none"/>
        </w:tabs>
        <w:spacing w:line="267" w:lineRule="exact" w:before="0" w:after="0"/>
        <w:ind w:left="1369" w:right="0" w:hanging="530"/>
        <w:jc w:val="left"/>
        <w:rPr>
          <w:sz w:val="21"/>
        </w:rPr>
      </w:pPr>
      <w:r>
        <w:rPr>
          <w:spacing w:val="-3"/>
          <w:sz w:val="21"/>
        </w:rPr>
        <w:t>可燃气体报警控制器发出报警信号时，应能启动保护区域的火灾声光警报器。 </w:t>
      </w:r>
    </w:p>
    <w:p>
      <w:pPr>
        <w:pStyle w:val="BodyText"/>
        <w:rPr>
          <w:sz w:val="18"/>
        </w:rPr>
      </w:pPr>
    </w:p>
    <w:p>
      <w:pPr>
        <w:pStyle w:val="ListParagraph"/>
        <w:numPr>
          <w:ilvl w:val="2"/>
          <w:numId w:val="654"/>
        </w:numPr>
        <w:tabs>
          <w:tab w:pos="1371" w:val="left" w:leader="none"/>
          <w:tab w:pos="3358" w:val="left" w:leader="none"/>
        </w:tabs>
        <w:spacing w:line="446" w:lineRule="auto" w:before="0" w:after="0"/>
        <w:ind w:left="418" w:right="1431" w:firstLine="422"/>
        <w:jc w:val="left"/>
        <w:rPr>
          <w:sz w:val="21"/>
        </w:rPr>
      </w:pPr>
      <w:r>
        <w:rPr>
          <w:spacing w:val="-3"/>
          <w:sz w:val="21"/>
        </w:rPr>
        <w:t>可</w:t>
      </w:r>
      <w:r>
        <w:rPr>
          <w:sz w:val="21"/>
        </w:rPr>
        <w:t>燃</w:t>
      </w:r>
      <w:r>
        <w:rPr>
          <w:spacing w:val="-3"/>
          <w:sz w:val="21"/>
        </w:rPr>
        <w:t>气</w:t>
      </w:r>
      <w:r>
        <w:rPr>
          <w:sz w:val="21"/>
        </w:rPr>
        <w:t>体</w:t>
      </w:r>
      <w:r>
        <w:rPr>
          <w:spacing w:val="-3"/>
          <w:sz w:val="21"/>
        </w:rPr>
        <w:t>探</w:t>
      </w:r>
      <w:r>
        <w:rPr>
          <w:sz w:val="21"/>
        </w:rPr>
        <w:t>测</w:t>
      </w:r>
      <w:r>
        <w:rPr>
          <w:spacing w:val="-3"/>
          <w:sz w:val="21"/>
        </w:rPr>
        <w:t>报警</w:t>
      </w:r>
      <w:r>
        <w:rPr>
          <w:sz w:val="21"/>
        </w:rPr>
        <w:t>系统</w:t>
      </w:r>
      <w:r>
        <w:rPr>
          <w:spacing w:val="-3"/>
          <w:sz w:val="21"/>
        </w:rPr>
        <w:t>保</w:t>
      </w:r>
      <w:r>
        <w:rPr>
          <w:sz w:val="21"/>
        </w:rPr>
        <w:t>护</w:t>
      </w:r>
      <w:r>
        <w:rPr>
          <w:spacing w:val="-3"/>
          <w:sz w:val="21"/>
        </w:rPr>
        <w:t>区</w:t>
      </w:r>
      <w:r>
        <w:rPr>
          <w:sz w:val="21"/>
        </w:rPr>
        <w:t>域</w:t>
      </w:r>
      <w:r>
        <w:rPr>
          <w:spacing w:val="-3"/>
          <w:sz w:val="21"/>
        </w:rPr>
        <w:t>内</w:t>
      </w:r>
      <w:r>
        <w:rPr>
          <w:sz w:val="21"/>
        </w:rPr>
        <w:t>有</w:t>
      </w:r>
      <w:r>
        <w:rPr>
          <w:spacing w:val="-3"/>
          <w:sz w:val="21"/>
        </w:rPr>
        <w:t>联</w:t>
      </w:r>
      <w:r>
        <w:rPr>
          <w:sz w:val="21"/>
        </w:rPr>
        <w:t>动</w:t>
      </w:r>
      <w:r>
        <w:rPr>
          <w:spacing w:val="-3"/>
          <w:sz w:val="21"/>
        </w:rPr>
        <w:t>和</w:t>
      </w:r>
      <w:r>
        <w:rPr>
          <w:sz w:val="21"/>
        </w:rPr>
        <w:t>警报</w:t>
      </w:r>
      <w:r>
        <w:rPr>
          <w:spacing w:val="-3"/>
          <w:sz w:val="21"/>
        </w:rPr>
        <w:t>要</w:t>
      </w:r>
      <w:r>
        <w:rPr>
          <w:sz w:val="21"/>
        </w:rPr>
        <w:t>求</w:t>
      </w:r>
      <w:r>
        <w:rPr>
          <w:spacing w:val="-3"/>
          <w:sz w:val="21"/>
        </w:rPr>
        <w:t>时</w:t>
      </w:r>
      <w:r>
        <w:rPr>
          <w:spacing w:val="-39"/>
          <w:sz w:val="21"/>
        </w:rPr>
        <w:t>，</w:t>
      </w:r>
      <w:r>
        <w:rPr>
          <w:sz w:val="21"/>
        </w:rPr>
        <w:t>应</w:t>
      </w:r>
      <w:r>
        <w:rPr>
          <w:spacing w:val="-3"/>
          <w:sz w:val="21"/>
        </w:rPr>
        <w:t>由</w:t>
      </w:r>
      <w:r>
        <w:rPr>
          <w:sz w:val="21"/>
        </w:rPr>
        <w:t>可</w:t>
      </w:r>
      <w:r>
        <w:rPr>
          <w:spacing w:val="-3"/>
          <w:sz w:val="21"/>
        </w:rPr>
        <w:t>燃气</w:t>
      </w:r>
      <w:r>
        <w:rPr>
          <w:sz w:val="21"/>
        </w:rPr>
        <w:t>体报</w:t>
      </w:r>
      <w:r>
        <w:rPr>
          <w:spacing w:val="-3"/>
          <w:sz w:val="21"/>
        </w:rPr>
        <w:t>警</w:t>
      </w:r>
      <w:r>
        <w:rPr>
          <w:sz w:val="21"/>
        </w:rPr>
        <w:t>控</w:t>
      </w:r>
      <w:r>
        <w:rPr>
          <w:spacing w:val="-3"/>
          <w:sz w:val="21"/>
        </w:rPr>
        <w:t>制</w:t>
      </w:r>
      <w:r>
        <w:rPr>
          <w:sz w:val="21"/>
        </w:rPr>
        <w:t>器或消防</w:t>
      </w:r>
      <w:r>
        <w:rPr>
          <w:spacing w:val="-3"/>
          <w:sz w:val="21"/>
        </w:rPr>
        <w:t>联</w:t>
      </w:r>
      <w:r>
        <w:rPr>
          <w:sz w:val="21"/>
        </w:rPr>
        <w:t>动</w:t>
      </w:r>
      <w:r>
        <w:rPr>
          <w:spacing w:val="-3"/>
          <w:sz w:val="21"/>
        </w:rPr>
        <w:t>控</w:t>
      </w:r>
      <w:r>
        <w:rPr>
          <w:sz w:val="21"/>
        </w:rPr>
        <w:t>制</w:t>
      </w:r>
      <w:r>
        <w:rPr>
          <w:spacing w:val="-3"/>
          <w:sz w:val="21"/>
        </w:rPr>
        <w:t>器</w:t>
      </w:r>
      <w:r>
        <w:rPr>
          <w:sz w:val="21"/>
        </w:rPr>
        <w:t>联</w:t>
      </w:r>
      <w:r>
        <w:rPr>
          <w:spacing w:val="-3"/>
          <w:sz w:val="21"/>
        </w:rPr>
        <w:t>动</w:t>
      </w:r>
      <w:r>
        <w:rPr>
          <w:sz w:val="21"/>
        </w:rPr>
        <w:t>实</w:t>
      </w:r>
      <w:r>
        <w:rPr>
          <w:spacing w:val="-3"/>
          <w:sz w:val="21"/>
        </w:rPr>
        <w:t>现</w:t>
      </w:r>
      <w:r>
        <w:rPr>
          <w:sz w:val="21"/>
        </w:rPr>
        <w:t>。 </w:t>
        <w:tab/>
      </w:r>
      <w:r>
        <w:rPr>
          <w:w w:val="100"/>
          <w:sz w:val="21"/>
        </w:rPr>
        <w:t>  </w:t>
      </w:r>
    </w:p>
    <w:p>
      <w:pPr>
        <w:pStyle w:val="ListParagraph"/>
        <w:numPr>
          <w:ilvl w:val="2"/>
          <w:numId w:val="654"/>
        </w:numPr>
        <w:tabs>
          <w:tab w:pos="1371" w:val="left" w:leader="none"/>
        </w:tabs>
        <w:spacing w:line="267" w:lineRule="exact" w:before="0" w:after="0"/>
        <w:ind w:left="1370" w:right="0" w:hanging="531"/>
        <w:jc w:val="left"/>
        <w:rPr>
          <w:sz w:val="21"/>
        </w:rPr>
      </w:pPr>
      <w:r>
        <w:rPr>
          <w:spacing w:val="-3"/>
          <w:sz w:val="21"/>
        </w:rPr>
        <w:t>可燃气体探测报警系统设置在有防爆要求的场所时，尚应符合有关防爆要求。</w:t>
      </w:r>
      <w:r>
        <w:rPr>
          <w:sz w:val="21"/>
        </w:rPr>
        <w:t> </w:t>
      </w:r>
    </w:p>
    <w:p>
      <w:pPr>
        <w:pStyle w:val="BodyText"/>
        <w:spacing w:before="2"/>
        <w:rPr>
          <w:sz w:val="18"/>
        </w:rPr>
      </w:pPr>
    </w:p>
    <w:p>
      <w:pPr>
        <w:pStyle w:val="ListParagraph"/>
        <w:numPr>
          <w:ilvl w:val="1"/>
          <w:numId w:val="653"/>
        </w:numPr>
        <w:tabs>
          <w:tab w:pos="1160" w:val="left" w:leader="none"/>
        </w:tabs>
        <w:spacing w:line="240" w:lineRule="auto" w:before="0" w:after="0"/>
        <w:ind w:left="1159" w:right="0" w:hanging="320"/>
        <w:jc w:val="left"/>
        <w:rPr>
          <w:sz w:val="21"/>
        </w:rPr>
      </w:pPr>
      <w:r>
        <w:rPr>
          <w:spacing w:val="-3"/>
          <w:sz w:val="21"/>
        </w:rPr>
        <w:t>可燃气体探测器的设置 </w:t>
      </w:r>
    </w:p>
    <w:p>
      <w:pPr>
        <w:spacing w:after="0" w:line="240" w:lineRule="auto"/>
        <w:jc w:val="left"/>
        <w:rPr>
          <w:sz w:val="21"/>
        </w:rPr>
        <w:sectPr>
          <w:pgSz w:w="11910" w:h="16850"/>
          <w:pgMar w:header="0" w:footer="1239" w:top="1220" w:bottom="1420" w:left="1260" w:right="0"/>
        </w:sectPr>
      </w:pPr>
    </w:p>
    <w:p>
      <w:pPr>
        <w:pStyle w:val="ListParagraph"/>
        <w:numPr>
          <w:ilvl w:val="2"/>
          <w:numId w:val="653"/>
        </w:numPr>
        <w:tabs>
          <w:tab w:pos="1370" w:val="left" w:leader="none"/>
        </w:tabs>
        <w:spacing w:line="446" w:lineRule="auto" w:before="47" w:after="0"/>
        <w:ind w:left="418" w:right="1431" w:firstLine="422"/>
        <w:jc w:val="both"/>
        <w:rPr>
          <w:sz w:val="21"/>
        </w:rPr>
      </w:pPr>
      <w:r>
        <w:rPr>
          <w:spacing w:val="-5"/>
          <w:sz w:val="21"/>
        </w:rPr>
        <w:t>探测气体密度小于空气密度的可燃气体探测器应设置在被保护空间的顶部，探测气体</w:t>
      </w:r>
      <w:r>
        <w:rPr>
          <w:spacing w:val="-6"/>
          <w:sz w:val="21"/>
        </w:rPr>
        <w:t>密度大于空气密度的可燃气体探测器应设置在被保护空间的下部，探测气体密度与空气密度相当</w:t>
      </w:r>
      <w:r>
        <w:rPr>
          <w:spacing w:val="-4"/>
          <w:sz w:val="21"/>
        </w:rPr>
        <w:t>时，可燃气体探测器可设置在被保护空间的中间部位或顶部。</w:t>
      </w:r>
      <w:r>
        <w:rPr>
          <w:sz w:val="21"/>
        </w:rPr>
        <w:t> </w:t>
      </w:r>
      <w:r>
        <w:rPr>
          <w:spacing w:val="-5"/>
          <w:sz w:val="21"/>
        </w:rPr>
        <w:t> </w:t>
      </w:r>
      <w:r>
        <w:rPr>
          <w:w w:val="100"/>
          <w:sz w:val="21"/>
        </w:rPr>
        <w:t>  </w:t>
      </w:r>
      <w:r>
        <w:rPr>
          <w:sz w:val="21"/>
        </w:rPr>
        <w:t> </w:t>
      </w:r>
      <w:r>
        <w:rPr>
          <w:spacing w:val="-2"/>
          <w:sz w:val="21"/>
        </w:rPr>
        <w:t> </w:t>
      </w:r>
      <w:r>
        <w:rPr>
          <w:w w:val="100"/>
          <w:sz w:val="21"/>
        </w:rPr>
        <w:t>  </w:t>
      </w:r>
    </w:p>
    <w:p>
      <w:pPr>
        <w:pStyle w:val="ListParagraph"/>
        <w:numPr>
          <w:ilvl w:val="2"/>
          <w:numId w:val="653"/>
        </w:numPr>
        <w:tabs>
          <w:tab w:pos="1370" w:val="left" w:leader="none"/>
        </w:tabs>
        <w:spacing w:line="268" w:lineRule="exact" w:before="0" w:after="0"/>
        <w:ind w:left="1369" w:right="0" w:hanging="530"/>
        <w:jc w:val="both"/>
        <w:rPr>
          <w:sz w:val="21"/>
        </w:rPr>
      </w:pPr>
      <w:r>
        <w:rPr>
          <w:spacing w:val="-3"/>
          <w:sz w:val="21"/>
        </w:rPr>
        <w:t>可燃气体探测器宜设置在可能产生可燃气体部位附近。</w:t>
      </w:r>
      <w:r>
        <w:rPr>
          <w:sz w:val="21"/>
        </w:rPr>
        <w:t> </w:t>
      </w:r>
      <w:r>
        <w:rPr>
          <w:spacing w:val="-9"/>
          <w:sz w:val="21"/>
        </w:rPr>
        <w:t> </w:t>
      </w:r>
      <w:r>
        <w:rPr>
          <w:w w:val="100"/>
          <w:sz w:val="21"/>
        </w:rPr>
        <w:t>  </w:t>
      </w:r>
    </w:p>
    <w:p>
      <w:pPr>
        <w:pStyle w:val="BodyText"/>
        <w:rPr>
          <w:sz w:val="18"/>
        </w:rPr>
      </w:pPr>
    </w:p>
    <w:p>
      <w:pPr>
        <w:pStyle w:val="ListParagraph"/>
        <w:numPr>
          <w:ilvl w:val="2"/>
          <w:numId w:val="653"/>
        </w:numPr>
        <w:tabs>
          <w:tab w:pos="1371" w:val="left" w:leader="none"/>
        </w:tabs>
        <w:spacing w:line="446" w:lineRule="auto" w:before="0" w:after="0"/>
        <w:ind w:left="418" w:right="1431" w:firstLine="422"/>
        <w:jc w:val="left"/>
        <w:rPr>
          <w:sz w:val="21"/>
        </w:rPr>
      </w:pPr>
      <w:r>
        <w:rPr>
          <w:spacing w:val="-6"/>
          <w:sz w:val="21"/>
        </w:rPr>
        <w:t>点型可燃气体探测器的保护半径，应符合现行国家标准《石油化工可燃气体和有毒气</w:t>
      </w:r>
      <w:r>
        <w:rPr>
          <w:spacing w:val="-4"/>
          <w:sz w:val="21"/>
        </w:rPr>
        <w:t>体检测报 警设计规范》</w:t>
      </w:r>
      <w:r>
        <w:rPr>
          <w:spacing w:val="-3"/>
          <w:sz w:val="21"/>
        </w:rPr>
        <w:t>GB</w:t>
      </w:r>
      <w:r>
        <w:rPr>
          <w:spacing w:val="1"/>
          <w:sz w:val="21"/>
        </w:rPr>
        <w:t> </w:t>
      </w:r>
      <w:r>
        <w:rPr>
          <w:sz w:val="21"/>
        </w:rPr>
        <w:t>50493</w:t>
      </w:r>
      <w:r>
        <w:rPr>
          <w:spacing w:val="-3"/>
          <w:sz w:val="21"/>
        </w:rPr>
        <w:t> 的有关规定。</w:t>
      </w:r>
      <w:r>
        <w:rPr>
          <w:sz w:val="21"/>
        </w:rPr>
        <w:t>   </w:t>
      </w:r>
    </w:p>
    <w:p>
      <w:pPr>
        <w:pStyle w:val="ListParagraph"/>
        <w:numPr>
          <w:ilvl w:val="2"/>
          <w:numId w:val="653"/>
        </w:numPr>
        <w:tabs>
          <w:tab w:pos="1370" w:val="left" w:leader="none"/>
          <w:tab w:pos="6718" w:val="left" w:leader="none"/>
        </w:tabs>
        <w:spacing w:line="240" w:lineRule="auto" w:before="0" w:after="0"/>
        <w:ind w:left="1369" w:right="0" w:hanging="530"/>
        <w:jc w:val="left"/>
        <w:rPr>
          <w:sz w:val="21"/>
        </w:rPr>
      </w:pPr>
      <w:r>
        <w:rPr>
          <w:spacing w:val="-3"/>
          <w:sz w:val="21"/>
        </w:rPr>
        <w:t>线</w:t>
      </w:r>
      <w:r>
        <w:rPr>
          <w:sz w:val="21"/>
        </w:rPr>
        <w:t>型</w:t>
      </w:r>
      <w:r>
        <w:rPr>
          <w:spacing w:val="-3"/>
          <w:sz w:val="21"/>
        </w:rPr>
        <w:t>可</w:t>
      </w:r>
      <w:r>
        <w:rPr>
          <w:sz w:val="21"/>
        </w:rPr>
        <w:t>燃</w:t>
      </w:r>
      <w:r>
        <w:rPr>
          <w:spacing w:val="-3"/>
          <w:sz w:val="21"/>
        </w:rPr>
        <w:t>气</w:t>
      </w:r>
      <w:r>
        <w:rPr>
          <w:sz w:val="21"/>
        </w:rPr>
        <w:t>体</w:t>
      </w:r>
      <w:r>
        <w:rPr>
          <w:spacing w:val="-3"/>
          <w:sz w:val="21"/>
        </w:rPr>
        <w:t>探测</w:t>
      </w:r>
      <w:r>
        <w:rPr>
          <w:sz w:val="21"/>
        </w:rPr>
        <w:t>器的</w:t>
      </w:r>
      <w:r>
        <w:rPr>
          <w:spacing w:val="-3"/>
          <w:sz w:val="21"/>
        </w:rPr>
        <w:t>保</w:t>
      </w:r>
      <w:r>
        <w:rPr>
          <w:sz w:val="21"/>
        </w:rPr>
        <w:t>护</w:t>
      </w:r>
      <w:r>
        <w:rPr>
          <w:spacing w:val="-3"/>
          <w:sz w:val="21"/>
        </w:rPr>
        <w:t>区</w:t>
      </w:r>
      <w:r>
        <w:rPr>
          <w:sz w:val="21"/>
        </w:rPr>
        <w:t>域</w:t>
      </w:r>
      <w:r>
        <w:rPr>
          <w:spacing w:val="-3"/>
          <w:sz w:val="21"/>
        </w:rPr>
        <w:t>长</w:t>
      </w:r>
      <w:r>
        <w:rPr>
          <w:sz w:val="21"/>
        </w:rPr>
        <w:t>度</w:t>
      </w:r>
      <w:r>
        <w:rPr>
          <w:spacing w:val="-3"/>
          <w:sz w:val="21"/>
        </w:rPr>
        <w:t>不</w:t>
      </w:r>
      <w:r>
        <w:rPr>
          <w:sz w:val="21"/>
        </w:rPr>
        <w:t>宜</w:t>
      </w:r>
      <w:r>
        <w:rPr>
          <w:spacing w:val="-3"/>
          <w:sz w:val="21"/>
        </w:rPr>
        <w:t>大</w:t>
      </w:r>
      <w:r>
        <w:rPr>
          <w:sz w:val="21"/>
        </w:rPr>
        <w:t>于</w:t>
      </w:r>
      <w:r>
        <w:rPr>
          <w:spacing w:val="12"/>
          <w:sz w:val="21"/>
        </w:rPr>
        <w:t> </w:t>
      </w:r>
      <w:r>
        <w:rPr>
          <w:sz w:val="21"/>
        </w:rPr>
        <w:t>60m</w:t>
      </w:r>
      <w:r>
        <w:rPr>
          <w:spacing w:val="12"/>
          <w:sz w:val="21"/>
        </w:rPr>
        <w:t> </w:t>
      </w:r>
      <w:r>
        <w:rPr>
          <w:spacing w:val="-3"/>
          <w:sz w:val="21"/>
        </w:rPr>
        <w:t>。</w:t>
      </w:r>
      <w:r>
        <w:rPr>
          <w:sz w:val="21"/>
        </w:rPr>
        <w:t> </w:t>
        <w:tab/>
      </w:r>
      <w:r>
        <w:rPr>
          <w:w w:val="100"/>
          <w:sz w:val="21"/>
        </w:rPr>
        <w:t>  </w:t>
      </w:r>
    </w:p>
    <w:p>
      <w:pPr>
        <w:pStyle w:val="BodyText"/>
        <w:rPr>
          <w:sz w:val="18"/>
        </w:rPr>
      </w:pPr>
    </w:p>
    <w:p>
      <w:pPr>
        <w:pStyle w:val="ListParagraph"/>
        <w:numPr>
          <w:ilvl w:val="1"/>
          <w:numId w:val="653"/>
        </w:numPr>
        <w:tabs>
          <w:tab w:pos="1160" w:val="left" w:leader="none"/>
        </w:tabs>
        <w:spacing w:line="240" w:lineRule="auto" w:before="0" w:after="0"/>
        <w:ind w:left="1159" w:right="0" w:hanging="320"/>
        <w:jc w:val="left"/>
        <w:rPr>
          <w:b/>
          <w:sz w:val="21"/>
        </w:rPr>
      </w:pPr>
      <w:r>
        <w:rPr>
          <w:spacing w:val="-3"/>
          <w:sz w:val="21"/>
        </w:rPr>
        <w:t>可燃气体报警控制器的设置</w:t>
      </w:r>
      <w:r>
        <w:rPr>
          <w:b/>
          <w:w w:val="99"/>
          <w:sz w:val="21"/>
        </w:rPr>
        <w:t> </w:t>
      </w:r>
    </w:p>
    <w:p>
      <w:pPr>
        <w:pStyle w:val="BodyText"/>
        <w:spacing w:before="12"/>
        <w:rPr>
          <w:b/>
          <w:sz w:val="17"/>
        </w:rPr>
      </w:pPr>
    </w:p>
    <w:p>
      <w:pPr>
        <w:pStyle w:val="ListParagraph"/>
        <w:numPr>
          <w:ilvl w:val="2"/>
          <w:numId w:val="653"/>
        </w:numPr>
        <w:tabs>
          <w:tab w:pos="1371" w:val="left" w:leader="none"/>
        </w:tabs>
        <w:spacing w:line="446" w:lineRule="auto" w:before="0" w:after="0"/>
        <w:ind w:left="418" w:right="1328" w:firstLine="422"/>
        <w:jc w:val="left"/>
        <w:rPr>
          <w:sz w:val="21"/>
        </w:rPr>
      </w:pPr>
      <w:r>
        <w:rPr>
          <w:spacing w:val="-13"/>
          <w:sz w:val="21"/>
        </w:rPr>
        <w:t>当有消防控制室时，可燃气体报警控制器可设置在保护区域附近；当无消防控制室时， </w:t>
      </w:r>
      <w:r>
        <w:rPr>
          <w:spacing w:val="-6"/>
          <w:sz w:val="21"/>
        </w:rPr>
        <w:t>可燃气体报警控制器应设置在有人值班的场所。</w:t>
      </w:r>
      <w:r>
        <w:rPr>
          <w:sz w:val="21"/>
        </w:rPr>
        <w:t> </w:t>
      </w:r>
      <w:r>
        <w:rPr>
          <w:spacing w:val="-2"/>
          <w:sz w:val="21"/>
        </w:rPr>
        <w:t> </w:t>
      </w:r>
      <w:r>
        <w:rPr>
          <w:w w:val="100"/>
          <w:sz w:val="21"/>
        </w:rPr>
        <w:t>  </w:t>
      </w:r>
    </w:p>
    <w:p>
      <w:pPr>
        <w:pStyle w:val="ListParagraph"/>
        <w:numPr>
          <w:ilvl w:val="2"/>
          <w:numId w:val="653"/>
        </w:numPr>
        <w:tabs>
          <w:tab w:pos="1370" w:val="left" w:leader="none"/>
        </w:tabs>
        <w:spacing w:line="240" w:lineRule="auto" w:before="0" w:after="0"/>
        <w:ind w:left="1369" w:right="0" w:hanging="530"/>
        <w:jc w:val="left"/>
        <w:rPr>
          <w:sz w:val="21"/>
        </w:rPr>
      </w:pPr>
      <w:r>
        <w:rPr>
          <w:spacing w:val="-3"/>
          <w:sz w:val="21"/>
        </w:rPr>
        <w:t>可燃气体报警控制器的设置应符合火灾报警控制器的安装设置要求。 </w:t>
      </w:r>
      <w:r>
        <w:rPr>
          <w:spacing w:val="-9"/>
          <w:sz w:val="21"/>
        </w:rPr>
        <w:t> </w:t>
      </w:r>
      <w:r>
        <w:rPr>
          <w:w w:val="100"/>
          <w:sz w:val="21"/>
        </w:rPr>
        <w:t>  </w:t>
      </w:r>
    </w:p>
    <w:p>
      <w:pPr>
        <w:pStyle w:val="BodyText"/>
        <w:spacing w:before="8"/>
        <w:rPr>
          <w:sz w:val="15"/>
        </w:rPr>
      </w:pPr>
    </w:p>
    <w:p>
      <w:pPr>
        <w:pStyle w:val="Heading4"/>
      </w:pPr>
      <w:r>
        <w:rPr/>
        <w:t>9 电气火灾监控系统</w:t>
      </w:r>
      <w:r>
        <w:rPr>
          <w:w w:val="99"/>
        </w:rPr>
        <w:t> </w:t>
      </w:r>
    </w:p>
    <w:p>
      <w:pPr>
        <w:pStyle w:val="BodyText"/>
        <w:spacing w:before="6"/>
        <w:rPr>
          <w:b/>
          <w:sz w:val="17"/>
        </w:rPr>
      </w:pPr>
    </w:p>
    <w:p>
      <w:pPr>
        <w:pStyle w:val="ListParagraph"/>
        <w:numPr>
          <w:ilvl w:val="1"/>
          <w:numId w:val="655"/>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rPr>
          <w:sz w:val="18"/>
        </w:rPr>
      </w:pPr>
    </w:p>
    <w:p>
      <w:pPr>
        <w:pStyle w:val="ListParagraph"/>
        <w:numPr>
          <w:ilvl w:val="2"/>
          <w:numId w:val="655"/>
        </w:numPr>
        <w:tabs>
          <w:tab w:pos="1371" w:val="left" w:leader="none"/>
          <w:tab w:pos="6718" w:val="left" w:leader="none"/>
        </w:tabs>
        <w:spacing w:line="240" w:lineRule="auto" w:before="0" w:after="0"/>
        <w:ind w:left="1370" w:right="0" w:hanging="531"/>
        <w:jc w:val="left"/>
        <w:rPr>
          <w:sz w:val="21"/>
        </w:rPr>
      </w:pPr>
      <w:r>
        <w:rPr>
          <w:spacing w:val="-3"/>
          <w:sz w:val="21"/>
        </w:rPr>
        <w:t>电</w:t>
      </w:r>
      <w:r>
        <w:rPr>
          <w:sz w:val="21"/>
        </w:rPr>
        <w:t>气</w:t>
      </w:r>
      <w:r>
        <w:rPr>
          <w:spacing w:val="-3"/>
          <w:sz w:val="21"/>
        </w:rPr>
        <w:t>火</w:t>
      </w:r>
      <w:r>
        <w:rPr>
          <w:sz w:val="21"/>
        </w:rPr>
        <w:t>灾</w:t>
      </w:r>
      <w:r>
        <w:rPr>
          <w:spacing w:val="-3"/>
          <w:sz w:val="21"/>
        </w:rPr>
        <w:t>监</w:t>
      </w:r>
      <w:r>
        <w:rPr>
          <w:sz w:val="21"/>
        </w:rPr>
        <w:t>控</w:t>
      </w:r>
      <w:r>
        <w:rPr>
          <w:spacing w:val="-3"/>
          <w:sz w:val="21"/>
        </w:rPr>
        <w:t>系统</w:t>
      </w:r>
      <w:r>
        <w:rPr>
          <w:sz w:val="21"/>
        </w:rPr>
        <w:t>可用</w:t>
      </w:r>
      <w:r>
        <w:rPr>
          <w:spacing w:val="-3"/>
          <w:sz w:val="21"/>
        </w:rPr>
        <w:t>于</w:t>
      </w:r>
      <w:r>
        <w:rPr>
          <w:sz w:val="21"/>
        </w:rPr>
        <w:t>具</w:t>
      </w:r>
      <w:r>
        <w:rPr>
          <w:spacing w:val="-3"/>
          <w:sz w:val="21"/>
        </w:rPr>
        <w:t>有</w:t>
      </w:r>
      <w:r>
        <w:rPr>
          <w:sz w:val="21"/>
        </w:rPr>
        <w:t>电</w:t>
      </w:r>
      <w:r>
        <w:rPr>
          <w:spacing w:val="-3"/>
          <w:sz w:val="21"/>
        </w:rPr>
        <w:t>气</w:t>
      </w:r>
      <w:r>
        <w:rPr>
          <w:sz w:val="21"/>
        </w:rPr>
        <w:t>火</w:t>
      </w:r>
      <w:r>
        <w:rPr>
          <w:spacing w:val="-3"/>
          <w:sz w:val="21"/>
        </w:rPr>
        <w:t>灾</w:t>
      </w:r>
      <w:r>
        <w:rPr>
          <w:sz w:val="21"/>
        </w:rPr>
        <w:t>危</w:t>
      </w:r>
      <w:r>
        <w:rPr>
          <w:spacing w:val="-3"/>
          <w:sz w:val="21"/>
        </w:rPr>
        <w:t>险</w:t>
      </w:r>
      <w:r>
        <w:rPr>
          <w:sz w:val="21"/>
        </w:rPr>
        <w:t>的场</w:t>
      </w:r>
      <w:r>
        <w:rPr>
          <w:spacing w:val="-3"/>
          <w:sz w:val="21"/>
        </w:rPr>
        <w:t>所。</w:t>
      </w:r>
      <w:r>
        <w:rPr>
          <w:sz w:val="21"/>
        </w:rPr>
        <w:t> </w:t>
        <w:tab/>
      </w:r>
      <w:r>
        <w:rPr>
          <w:w w:val="100"/>
          <w:sz w:val="21"/>
        </w:rPr>
        <w:t>  </w:t>
      </w:r>
    </w:p>
    <w:p>
      <w:pPr>
        <w:pStyle w:val="BodyText"/>
        <w:spacing w:before="12"/>
        <w:rPr>
          <w:sz w:val="17"/>
        </w:rPr>
      </w:pPr>
    </w:p>
    <w:p>
      <w:pPr>
        <w:pStyle w:val="ListParagraph"/>
        <w:numPr>
          <w:ilvl w:val="2"/>
          <w:numId w:val="655"/>
        </w:numPr>
        <w:tabs>
          <w:tab w:pos="1370" w:val="left" w:leader="none"/>
        </w:tabs>
        <w:spacing w:line="240" w:lineRule="auto" w:before="0" w:after="0"/>
        <w:ind w:left="1369" w:right="0" w:hanging="530"/>
        <w:jc w:val="left"/>
        <w:rPr>
          <w:sz w:val="21"/>
        </w:rPr>
      </w:pPr>
      <w:r>
        <w:rPr>
          <w:spacing w:val="-3"/>
          <w:sz w:val="21"/>
        </w:rPr>
        <w:t>电气火灾监控系统应由下列部分或全部设备组成：</w:t>
      </w:r>
      <w:r>
        <w:rPr>
          <w:sz w:val="21"/>
        </w:rPr>
        <w:t> </w:t>
      </w:r>
    </w:p>
    <w:p>
      <w:pPr>
        <w:pStyle w:val="BodyText"/>
        <w:spacing w:before="2"/>
        <w:rPr>
          <w:sz w:val="18"/>
        </w:rPr>
      </w:pPr>
    </w:p>
    <w:p>
      <w:pPr>
        <w:pStyle w:val="ListParagraph"/>
        <w:numPr>
          <w:ilvl w:val="0"/>
          <w:numId w:val="656"/>
        </w:numPr>
        <w:tabs>
          <w:tab w:pos="1367" w:val="left" w:leader="none"/>
        </w:tabs>
        <w:spacing w:line="240" w:lineRule="auto" w:before="0" w:after="0"/>
        <w:ind w:left="1367" w:right="0" w:hanging="529"/>
        <w:jc w:val="left"/>
        <w:rPr>
          <w:sz w:val="21"/>
        </w:rPr>
      </w:pPr>
      <w:r>
        <w:rPr>
          <w:spacing w:val="-3"/>
          <w:sz w:val="21"/>
        </w:rPr>
        <w:t>电气火灾监控器。</w:t>
      </w:r>
      <w:r>
        <w:rPr>
          <w:sz w:val="21"/>
        </w:rPr>
        <w:t> </w:t>
      </w:r>
    </w:p>
    <w:p>
      <w:pPr>
        <w:pStyle w:val="BodyText"/>
        <w:rPr>
          <w:sz w:val="18"/>
        </w:rPr>
      </w:pPr>
    </w:p>
    <w:p>
      <w:pPr>
        <w:pStyle w:val="ListParagraph"/>
        <w:numPr>
          <w:ilvl w:val="0"/>
          <w:numId w:val="656"/>
        </w:numPr>
        <w:tabs>
          <w:tab w:pos="1367" w:val="left" w:leader="none"/>
        </w:tabs>
        <w:spacing w:line="240" w:lineRule="auto" w:before="0" w:after="0"/>
        <w:ind w:left="1367" w:right="0" w:hanging="529"/>
        <w:jc w:val="left"/>
        <w:rPr>
          <w:sz w:val="21"/>
        </w:rPr>
      </w:pPr>
      <w:r>
        <w:rPr>
          <w:spacing w:val="-3"/>
          <w:sz w:val="21"/>
        </w:rPr>
        <w:t>剩余电流式电气火灾监控探测器。</w:t>
      </w:r>
      <w:r>
        <w:rPr>
          <w:sz w:val="21"/>
        </w:rPr>
        <w:t> </w:t>
      </w:r>
    </w:p>
    <w:p>
      <w:pPr>
        <w:pStyle w:val="BodyText"/>
        <w:spacing w:before="12"/>
        <w:rPr>
          <w:sz w:val="17"/>
        </w:rPr>
      </w:pPr>
    </w:p>
    <w:p>
      <w:pPr>
        <w:pStyle w:val="ListParagraph"/>
        <w:numPr>
          <w:ilvl w:val="0"/>
          <w:numId w:val="656"/>
        </w:numPr>
        <w:tabs>
          <w:tab w:pos="1367" w:val="left" w:leader="none"/>
        </w:tabs>
        <w:spacing w:line="240" w:lineRule="auto" w:before="0" w:after="0"/>
        <w:ind w:left="1367" w:right="0" w:hanging="529"/>
        <w:jc w:val="left"/>
        <w:rPr>
          <w:sz w:val="21"/>
        </w:rPr>
      </w:pPr>
      <w:r>
        <w:rPr>
          <w:spacing w:val="-3"/>
          <w:sz w:val="21"/>
        </w:rPr>
        <w:t>测温式电气火灾监控探测器。</w:t>
      </w:r>
      <w:r>
        <w:rPr>
          <w:sz w:val="21"/>
        </w:rPr>
        <w:t>   </w:t>
      </w:r>
    </w:p>
    <w:p>
      <w:pPr>
        <w:pStyle w:val="BodyText"/>
        <w:spacing w:before="2"/>
        <w:rPr>
          <w:sz w:val="18"/>
        </w:rPr>
      </w:pPr>
    </w:p>
    <w:p>
      <w:pPr>
        <w:pStyle w:val="ListParagraph"/>
        <w:numPr>
          <w:ilvl w:val="2"/>
          <w:numId w:val="655"/>
        </w:numPr>
        <w:tabs>
          <w:tab w:pos="1370" w:val="left" w:leader="none"/>
        </w:tabs>
        <w:spacing w:line="446" w:lineRule="auto" w:before="0" w:after="0"/>
        <w:ind w:left="418" w:right="1431" w:firstLine="422"/>
        <w:jc w:val="both"/>
        <w:rPr>
          <w:sz w:val="21"/>
        </w:rPr>
      </w:pPr>
      <w:r>
        <w:rPr>
          <w:spacing w:val="-5"/>
          <w:sz w:val="21"/>
        </w:rPr>
        <w:t>电气火灾监控系统应根据建筑物的性质及电气火灾危险性设置，并应根据电气线路敷</w:t>
      </w:r>
      <w:r>
        <w:rPr>
          <w:spacing w:val="-6"/>
          <w:sz w:val="21"/>
        </w:rPr>
        <w:t>设和用电设备的具体情况，确定电气火灾监控探测器的形式与安装位置。在无消防控制室且电气</w:t>
      </w:r>
      <w:r>
        <w:rPr>
          <w:spacing w:val="-4"/>
          <w:sz w:val="21"/>
        </w:rPr>
        <w:t>火灾监控探测器设置数量不超过 </w:t>
      </w:r>
      <w:r>
        <w:rPr>
          <w:sz w:val="21"/>
        </w:rPr>
        <w:t>8</w:t>
      </w:r>
      <w:r>
        <w:rPr>
          <w:spacing w:val="-3"/>
          <w:sz w:val="21"/>
        </w:rPr>
        <w:t> 只时，可采用独立式电气火灾监控探测器。 </w:t>
      </w:r>
      <w:r>
        <w:rPr>
          <w:sz w:val="21"/>
        </w:rPr>
        <w:t> </w:t>
      </w:r>
    </w:p>
    <w:p>
      <w:pPr>
        <w:pStyle w:val="ListParagraph"/>
        <w:numPr>
          <w:ilvl w:val="2"/>
          <w:numId w:val="655"/>
        </w:numPr>
        <w:tabs>
          <w:tab w:pos="1370" w:val="left" w:leader="none"/>
        </w:tabs>
        <w:spacing w:line="268" w:lineRule="exact" w:before="0" w:after="0"/>
        <w:ind w:left="1369" w:right="0" w:hanging="530"/>
        <w:jc w:val="both"/>
        <w:rPr>
          <w:sz w:val="21"/>
        </w:rPr>
      </w:pPr>
      <w:r>
        <w:rPr>
          <w:spacing w:val="-3"/>
          <w:sz w:val="21"/>
        </w:rPr>
        <w:t>非独立式电气火灾监控探测器不应接入火灾报警控制器的探测器回路。   </w:t>
      </w:r>
      <w:r>
        <w:rPr>
          <w:spacing w:val="-11"/>
          <w:sz w:val="21"/>
        </w:rPr>
        <w:t> </w:t>
      </w:r>
      <w:r>
        <w:rPr>
          <w:w w:val="100"/>
          <w:sz w:val="21"/>
        </w:rPr>
        <w:t>  </w:t>
      </w:r>
    </w:p>
    <w:p>
      <w:pPr>
        <w:pStyle w:val="BodyText"/>
        <w:spacing w:before="12"/>
        <w:rPr>
          <w:sz w:val="17"/>
        </w:rPr>
      </w:pPr>
    </w:p>
    <w:p>
      <w:pPr>
        <w:pStyle w:val="ListParagraph"/>
        <w:numPr>
          <w:ilvl w:val="2"/>
          <w:numId w:val="655"/>
        </w:numPr>
        <w:tabs>
          <w:tab w:pos="1370" w:val="left" w:leader="none"/>
        </w:tabs>
        <w:spacing w:line="446" w:lineRule="auto" w:before="0" w:after="0"/>
        <w:ind w:left="418" w:right="1431" w:firstLine="422"/>
        <w:jc w:val="both"/>
        <w:rPr>
          <w:sz w:val="21"/>
        </w:rPr>
      </w:pPr>
      <w:r>
        <w:rPr>
          <w:spacing w:val="-6"/>
          <w:sz w:val="21"/>
        </w:rPr>
        <w:t>在设置消防控制室的场所，电气火灾监控器的报警信息和故障信息应在消防控制室图形显示装置或起集中控制功能的火灾报警控制器上显示，但该类信息与火灾报警信息的显示应有</w:t>
      </w:r>
      <w:r>
        <w:rPr>
          <w:spacing w:val="-5"/>
          <w:sz w:val="21"/>
        </w:rPr>
        <w:t>区别。</w:t>
      </w:r>
      <w:r>
        <w:rPr>
          <w:sz w:val="21"/>
        </w:rPr>
        <w:t> </w:t>
      </w:r>
      <w:r>
        <w:rPr>
          <w:spacing w:val="-3"/>
          <w:sz w:val="21"/>
        </w:rPr>
        <w:t> </w:t>
      </w:r>
      <w:r>
        <w:rPr>
          <w:sz w:val="21"/>
        </w:rPr>
        <w:t>   </w:t>
      </w:r>
      <w:r>
        <w:rPr>
          <w:spacing w:val="-1"/>
          <w:sz w:val="21"/>
        </w:rPr>
        <w:t> </w:t>
      </w:r>
      <w:r>
        <w:rPr>
          <w:w w:val="100"/>
          <w:sz w:val="21"/>
        </w:rPr>
        <w:t>  </w:t>
      </w:r>
    </w:p>
    <w:p>
      <w:pPr>
        <w:pStyle w:val="ListParagraph"/>
        <w:numPr>
          <w:ilvl w:val="2"/>
          <w:numId w:val="655"/>
        </w:numPr>
        <w:tabs>
          <w:tab w:pos="1370" w:val="left" w:leader="none"/>
        </w:tabs>
        <w:spacing w:line="268" w:lineRule="exact" w:before="0" w:after="0"/>
        <w:ind w:left="1369" w:right="0" w:hanging="530"/>
        <w:jc w:val="left"/>
        <w:rPr>
          <w:sz w:val="21"/>
        </w:rPr>
      </w:pPr>
      <w:r>
        <w:rPr>
          <w:spacing w:val="-3"/>
          <w:sz w:val="21"/>
        </w:rPr>
        <w:t>电气火灾监控系统的设置不应影响供电系统的正常工作，不宜自动切断供电电源。  </w:t>
      </w:r>
      <w:r>
        <w:rPr>
          <w:sz w:val="21"/>
        </w:rPr>
        <w:t> </w:t>
      </w:r>
    </w:p>
    <w:p>
      <w:pPr>
        <w:pStyle w:val="BodyText"/>
        <w:rPr>
          <w:sz w:val="18"/>
        </w:rPr>
      </w:pPr>
    </w:p>
    <w:p>
      <w:pPr>
        <w:pStyle w:val="ListParagraph"/>
        <w:numPr>
          <w:ilvl w:val="2"/>
          <w:numId w:val="655"/>
        </w:numPr>
        <w:tabs>
          <w:tab w:pos="1370" w:val="left" w:leader="none"/>
          <w:tab w:pos="8399" w:val="left" w:leader="none"/>
        </w:tabs>
        <w:spacing w:line="240" w:lineRule="auto" w:before="0" w:after="0"/>
        <w:ind w:left="1369" w:right="0" w:hanging="530"/>
        <w:jc w:val="left"/>
        <w:rPr>
          <w:sz w:val="21"/>
        </w:rPr>
      </w:pPr>
      <w:r>
        <w:rPr>
          <w:spacing w:val="-3"/>
          <w:sz w:val="21"/>
        </w:rPr>
        <w:t>当</w:t>
      </w:r>
      <w:r>
        <w:rPr>
          <w:sz w:val="21"/>
        </w:rPr>
        <w:t>线</w:t>
      </w:r>
      <w:r>
        <w:rPr>
          <w:spacing w:val="-3"/>
          <w:sz w:val="21"/>
        </w:rPr>
        <w:t>型</w:t>
      </w:r>
      <w:r>
        <w:rPr>
          <w:sz w:val="21"/>
        </w:rPr>
        <w:t>感</w:t>
      </w:r>
      <w:r>
        <w:rPr>
          <w:spacing w:val="-3"/>
          <w:sz w:val="21"/>
        </w:rPr>
        <w:t>温</w:t>
      </w:r>
      <w:r>
        <w:rPr>
          <w:sz w:val="21"/>
        </w:rPr>
        <w:t>火</w:t>
      </w:r>
      <w:r>
        <w:rPr>
          <w:spacing w:val="-3"/>
          <w:sz w:val="21"/>
        </w:rPr>
        <w:t>灾探</w:t>
      </w:r>
      <w:r>
        <w:rPr>
          <w:sz w:val="21"/>
        </w:rPr>
        <w:t>测器</w:t>
      </w:r>
      <w:r>
        <w:rPr>
          <w:spacing w:val="-3"/>
          <w:sz w:val="21"/>
        </w:rPr>
        <w:t>用</w:t>
      </w:r>
      <w:r>
        <w:rPr>
          <w:sz w:val="21"/>
        </w:rPr>
        <w:t>于</w:t>
      </w:r>
      <w:r>
        <w:rPr>
          <w:spacing w:val="-3"/>
          <w:sz w:val="21"/>
        </w:rPr>
        <w:t>电</w:t>
      </w:r>
      <w:r>
        <w:rPr>
          <w:sz w:val="21"/>
        </w:rPr>
        <w:t>气</w:t>
      </w:r>
      <w:r>
        <w:rPr>
          <w:spacing w:val="-3"/>
          <w:sz w:val="21"/>
        </w:rPr>
        <w:t>火</w:t>
      </w:r>
      <w:r>
        <w:rPr>
          <w:sz w:val="21"/>
        </w:rPr>
        <w:t>灾</w:t>
      </w:r>
      <w:r>
        <w:rPr>
          <w:spacing w:val="-3"/>
          <w:sz w:val="21"/>
        </w:rPr>
        <w:t>监</w:t>
      </w:r>
      <w:r>
        <w:rPr>
          <w:sz w:val="21"/>
        </w:rPr>
        <w:t>控</w:t>
      </w:r>
      <w:r>
        <w:rPr>
          <w:spacing w:val="-3"/>
          <w:sz w:val="21"/>
        </w:rPr>
        <w:t>时</w:t>
      </w:r>
      <w:r>
        <w:rPr>
          <w:sz w:val="21"/>
        </w:rPr>
        <w:t>，可</w:t>
      </w:r>
      <w:r>
        <w:rPr>
          <w:spacing w:val="-3"/>
          <w:sz w:val="21"/>
        </w:rPr>
        <w:t>接</w:t>
      </w:r>
      <w:r>
        <w:rPr>
          <w:sz w:val="21"/>
        </w:rPr>
        <w:t>入</w:t>
      </w:r>
      <w:r>
        <w:rPr>
          <w:spacing w:val="-3"/>
          <w:sz w:val="21"/>
        </w:rPr>
        <w:t>电</w:t>
      </w:r>
      <w:r>
        <w:rPr>
          <w:sz w:val="21"/>
        </w:rPr>
        <w:t>气</w:t>
      </w:r>
      <w:r>
        <w:rPr>
          <w:spacing w:val="-3"/>
          <w:sz w:val="21"/>
        </w:rPr>
        <w:t>火</w:t>
      </w:r>
      <w:r>
        <w:rPr>
          <w:sz w:val="21"/>
        </w:rPr>
        <w:t>灾</w:t>
      </w:r>
      <w:r>
        <w:rPr>
          <w:spacing w:val="-3"/>
          <w:sz w:val="21"/>
        </w:rPr>
        <w:t>监</w:t>
      </w:r>
      <w:r>
        <w:rPr>
          <w:sz w:val="21"/>
        </w:rPr>
        <w:t>控</w:t>
      </w:r>
      <w:r>
        <w:rPr>
          <w:spacing w:val="-3"/>
          <w:sz w:val="21"/>
        </w:rPr>
        <w:t>器</w:t>
      </w:r>
      <w:r>
        <w:rPr>
          <w:sz w:val="21"/>
        </w:rPr>
        <w:t>。 </w:t>
        <w:tab/>
      </w:r>
      <w:r>
        <w:rPr>
          <w:w w:val="100"/>
          <w:sz w:val="21"/>
        </w:rPr>
        <w:t>  </w:t>
      </w:r>
    </w:p>
    <w:p>
      <w:pPr>
        <w:pStyle w:val="BodyText"/>
        <w:spacing w:before="2"/>
        <w:rPr>
          <w:sz w:val="18"/>
        </w:rPr>
      </w:pPr>
    </w:p>
    <w:p>
      <w:pPr>
        <w:pStyle w:val="ListParagraph"/>
        <w:numPr>
          <w:ilvl w:val="1"/>
          <w:numId w:val="655"/>
        </w:numPr>
        <w:tabs>
          <w:tab w:pos="1160" w:val="left" w:leader="none"/>
        </w:tabs>
        <w:spacing w:line="240" w:lineRule="auto" w:before="0" w:after="0"/>
        <w:ind w:left="1159" w:right="0" w:hanging="320"/>
        <w:jc w:val="left"/>
        <w:rPr>
          <w:sz w:val="21"/>
        </w:rPr>
      </w:pPr>
      <w:r>
        <w:rPr>
          <w:spacing w:val="-3"/>
          <w:sz w:val="21"/>
        </w:rPr>
        <w:t>剩余电流式电气火灾监控探测器的设置</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655"/>
        </w:numPr>
        <w:tabs>
          <w:tab w:pos="1371" w:val="left" w:leader="none"/>
        </w:tabs>
        <w:spacing w:line="446" w:lineRule="auto" w:before="47" w:after="0"/>
        <w:ind w:left="418" w:right="1431" w:firstLine="422"/>
        <w:jc w:val="both"/>
        <w:rPr>
          <w:sz w:val="21"/>
        </w:rPr>
      </w:pPr>
      <w:r>
        <w:rPr>
          <w:spacing w:val="-4"/>
          <w:sz w:val="21"/>
        </w:rPr>
        <w:t>剩余电流式电气火灾监控探测器应以设置在低压配电系统首端为基本原则，宜设置在</w:t>
      </w:r>
      <w:r>
        <w:rPr>
          <w:spacing w:val="-8"/>
          <w:sz w:val="21"/>
        </w:rPr>
        <w:t>第一级配电柜</w:t>
      </w:r>
      <w:r>
        <w:rPr>
          <w:sz w:val="21"/>
        </w:rPr>
        <w:t>（</w:t>
      </w:r>
      <w:r>
        <w:rPr>
          <w:spacing w:val="-3"/>
          <w:sz w:val="21"/>
        </w:rPr>
        <w:t>箱</w:t>
      </w:r>
      <w:r>
        <w:rPr>
          <w:spacing w:val="-29"/>
          <w:sz w:val="21"/>
        </w:rPr>
        <w:t>）</w:t>
      </w:r>
      <w:r>
        <w:rPr>
          <w:spacing w:val="-6"/>
          <w:sz w:val="21"/>
        </w:rPr>
        <w:t>的出线端。在供电线路泄露电流大于 </w:t>
      </w:r>
      <w:r>
        <w:rPr>
          <w:sz w:val="21"/>
        </w:rPr>
        <w:t>500mA</w:t>
      </w:r>
      <w:r>
        <w:rPr>
          <w:spacing w:val="-7"/>
          <w:sz w:val="21"/>
        </w:rPr>
        <w:t> 时，宜在其下一级配电柜</w:t>
      </w:r>
      <w:r>
        <w:rPr>
          <w:sz w:val="21"/>
        </w:rPr>
        <w:t>（</w:t>
      </w:r>
      <w:r>
        <w:rPr>
          <w:spacing w:val="-3"/>
          <w:sz w:val="21"/>
        </w:rPr>
        <w:t>箱</w:t>
      </w:r>
      <w:r>
        <w:rPr>
          <w:sz w:val="21"/>
        </w:rPr>
        <w:t>） </w:t>
      </w:r>
      <w:r>
        <w:rPr>
          <w:spacing w:val="-1"/>
          <w:sz w:val="21"/>
        </w:rPr>
        <w:t>设置。</w:t>
      </w:r>
      <w:r>
        <w:rPr>
          <w:sz w:val="21"/>
        </w:rPr>
        <w:t> </w:t>
      </w:r>
      <w:r>
        <w:rPr>
          <w:spacing w:val="-3"/>
          <w:sz w:val="21"/>
        </w:rPr>
        <w:t> </w:t>
      </w:r>
      <w:r>
        <w:rPr>
          <w:sz w:val="21"/>
        </w:rPr>
        <w:t>   </w:t>
      </w:r>
      <w:r>
        <w:rPr>
          <w:spacing w:val="-1"/>
          <w:sz w:val="21"/>
        </w:rPr>
        <w:t> </w:t>
      </w:r>
      <w:r>
        <w:rPr>
          <w:w w:val="100"/>
          <w:sz w:val="21"/>
        </w:rPr>
        <w:t>  </w:t>
      </w:r>
    </w:p>
    <w:p>
      <w:pPr>
        <w:pStyle w:val="ListParagraph"/>
        <w:numPr>
          <w:ilvl w:val="2"/>
          <w:numId w:val="655"/>
        </w:numPr>
        <w:tabs>
          <w:tab w:pos="1371" w:val="left" w:leader="none"/>
        </w:tabs>
        <w:spacing w:line="268" w:lineRule="exact" w:before="0" w:after="0"/>
        <w:ind w:left="1370" w:right="0" w:hanging="531"/>
        <w:jc w:val="left"/>
        <w:rPr>
          <w:sz w:val="21"/>
        </w:rPr>
      </w:pPr>
      <w:r>
        <w:rPr>
          <w:spacing w:val="-2"/>
          <w:sz w:val="21"/>
        </w:rPr>
        <w:t>剩余电流式电气火灾监控探测器不宜设置在 </w:t>
      </w:r>
      <w:r>
        <w:rPr>
          <w:sz w:val="21"/>
        </w:rPr>
        <w:t>IT</w:t>
      </w:r>
      <w:r>
        <w:rPr>
          <w:spacing w:val="-10"/>
          <w:sz w:val="21"/>
        </w:rPr>
        <w:t> 系统的配电线路和消防配电线路中。</w:t>
      </w:r>
      <w:r>
        <w:rPr>
          <w:sz w:val="21"/>
        </w:rPr>
        <w:t> </w:t>
      </w:r>
    </w:p>
    <w:p>
      <w:pPr>
        <w:pStyle w:val="BodyText"/>
        <w:rPr>
          <w:sz w:val="18"/>
        </w:rPr>
      </w:pPr>
    </w:p>
    <w:p>
      <w:pPr>
        <w:pStyle w:val="ListParagraph"/>
        <w:numPr>
          <w:ilvl w:val="2"/>
          <w:numId w:val="655"/>
        </w:numPr>
        <w:tabs>
          <w:tab w:pos="1371" w:val="left" w:leader="none"/>
          <w:tab w:pos="5878" w:val="left" w:leader="none"/>
        </w:tabs>
        <w:spacing w:line="446" w:lineRule="auto" w:before="0" w:after="0"/>
        <w:ind w:left="418" w:right="1431" w:firstLine="422"/>
        <w:jc w:val="left"/>
        <w:rPr>
          <w:sz w:val="21"/>
        </w:rPr>
      </w:pPr>
      <w:r>
        <w:rPr>
          <w:spacing w:val="-3"/>
          <w:sz w:val="21"/>
        </w:rPr>
        <w:t>选</w:t>
      </w:r>
      <w:r>
        <w:rPr>
          <w:sz w:val="21"/>
        </w:rPr>
        <w:t>择</w:t>
      </w:r>
      <w:r>
        <w:rPr>
          <w:spacing w:val="-3"/>
          <w:sz w:val="21"/>
        </w:rPr>
        <w:t>剩</w:t>
      </w:r>
      <w:r>
        <w:rPr>
          <w:sz w:val="21"/>
        </w:rPr>
        <w:t>余</w:t>
      </w:r>
      <w:r>
        <w:rPr>
          <w:spacing w:val="-3"/>
          <w:sz w:val="21"/>
        </w:rPr>
        <w:t>电</w:t>
      </w:r>
      <w:r>
        <w:rPr>
          <w:sz w:val="21"/>
        </w:rPr>
        <w:t>流</w:t>
      </w:r>
      <w:r>
        <w:rPr>
          <w:spacing w:val="-3"/>
          <w:sz w:val="21"/>
        </w:rPr>
        <w:t>式电</w:t>
      </w:r>
      <w:r>
        <w:rPr>
          <w:sz w:val="21"/>
        </w:rPr>
        <w:t>气火</w:t>
      </w:r>
      <w:r>
        <w:rPr>
          <w:spacing w:val="-3"/>
          <w:sz w:val="21"/>
        </w:rPr>
        <w:t>灾</w:t>
      </w:r>
      <w:r>
        <w:rPr>
          <w:sz w:val="21"/>
        </w:rPr>
        <w:t>监</w:t>
      </w:r>
      <w:r>
        <w:rPr>
          <w:spacing w:val="-3"/>
          <w:sz w:val="21"/>
        </w:rPr>
        <w:t>控</w:t>
      </w:r>
      <w:r>
        <w:rPr>
          <w:sz w:val="21"/>
        </w:rPr>
        <w:t>探</w:t>
      </w:r>
      <w:r>
        <w:rPr>
          <w:spacing w:val="-3"/>
          <w:sz w:val="21"/>
        </w:rPr>
        <w:t>测</w:t>
      </w:r>
      <w:r>
        <w:rPr>
          <w:sz w:val="21"/>
        </w:rPr>
        <w:t>器</w:t>
      </w:r>
      <w:r>
        <w:rPr>
          <w:spacing w:val="-3"/>
          <w:sz w:val="21"/>
        </w:rPr>
        <w:t>时</w:t>
      </w:r>
      <w:r>
        <w:rPr>
          <w:spacing w:val="-20"/>
          <w:sz w:val="21"/>
        </w:rPr>
        <w:t>，</w:t>
      </w:r>
      <w:r>
        <w:rPr>
          <w:spacing w:val="-3"/>
          <w:sz w:val="21"/>
        </w:rPr>
        <w:t>应</w:t>
      </w:r>
      <w:r>
        <w:rPr>
          <w:sz w:val="21"/>
        </w:rPr>
        <w:t>计及</w:t>
      </w:r>
      <w:r>
        <w:rPr>
          <w:spacing w:val="-3"/>
          <w:sz w:val="21"/>
        </w:rPr>
        <w:t>供</w:t>
      </w:r>
      <w:r>
        <w:rPr>
          <w:sz w:val="21"/>
        </w:rPr>
        <w:t>电</w:t>
      </w:r>
      <w:r>
        <w:rPr>
          <w:spacing w:val="-3"/>
          <w:sz w:val="21"/>
        </w:rPr>
        <w:t>系</w:t>
      </w:r>
      <w:r>
        <w:rPr>
          <w:sz w:val="21"/>
        </w:rPr>
        <w:t>统</w:t>
      </w:r>
      <w:r>
        <w:rPr>
          <w:spacing w:val="-3"/>
          <w:sz w:val="21"/>
        </w:rPr>
        <w:t>自</w:t>
      </w:r>
      <w:r>
        <w:rPr>
          <w:sz w:val="21"/>
        </w:rPr>
        <w:t>然</w:t>
      </w:r>
      <w:r>
        <w:rPr>
          <w:spacing w:val="-3"/>
          <w:sz w:val="21"/>
        </w:rPr>
        <w:t>漏</w:t>
      </w:r>
      <w:r>
        <w:rPr>
          <w:sz w:val="21"/>
        </w:rPr>
        <w:t>流</w:t>
      </w:r>
      <w:r>
        <w:rPr>
          <w:spacing w:val="-3"/>
          <w:sz w:val="21"/>
        </w:rPr>
        <w:t>的</w:t>
      </w:r>
      <w:r>
        <w:rPr>
          <w:sz w:val="21"/>
        </w:rPr>
        <w:t>影响</w:t>
      </w:r>
      <w:r>
        <w:rPr>
          <w:spacing w:val="-22"/>
          <w:sz w:val="21"/>
        </w:rPr>
        <w:t>，</w:t>
      </w:r>
      <w:r>
        <w:rPr>
          <w:sz w:val="21"/>
        </w:rPr>
        <w:t>并</w:t>
      </w:r>
      <w:r>
        <w:rPr>
          <w:spacing w:val="-3"/>
          <w:sz w:val="21"/>
        </w:rPr>
        <w:t>应</w:t>
      </w:r>
      <w:r>
        <w:rPr>
          <w:sz w:val="21"/>
        </w:rPr>
        <w:t>选择参数</w:t>
      </w:r>
      <w:r>
        <w:rPr>
          <w:spacing w:val="-3"/>
          <w:sz w:val="21"/>
        </w:rPr>
        <w:t>合</w:t>
      </w:r>
      <w:r>
        <w:rPr>
          <w:sz w:val="21"/>
        </w:rPr>
        <w:t>适</w:t>
      </w:r>
      <w:r>
        <w:rPr>
          <w:spacing w:val="-3"/>
          <w:sz w:val="21"/>
        </w:rPr>
        <w:t>的</w:t>
      </w:r>
      <w:r>
        <w:rPr>
          <w:sz w:val="21"/>
        </w:rPr>
        <w:t>探</w:t>
      </w:r>
      <w:r>
        <w:rPr>
          <w:spacing w:val="-3"/>
          <w:sz w:val="21"/>
        </w:rPr>
        <w:t>测</w:t>
      </w:r>
      <w:r>
        <w:rPr>
          <w:sz w:val="21"/>
        </w:rPr>
        <w:t>器</w:t>
      </w:r>
      <w:r>
        <w:rPr>
          <w:spacing w:val="-3"/>
          <w:sz w:val="21"/>
        </w:rPr>
        <w:t>；</w:t>
      </w:r>
      <w:r>
        <w:rPr>
          <w:sz w:val="21"/>
        </w:rPr>
        <w:t>探</w:t>
      </w:r>
      <w:r>
        <w:rPr>
          <w:spacing w:val="-3"/>
          <w:sz w:val="21"/>
        </w:rPr>
        <w:t>测</w:t>
      </w:r>
      <w:r>
        <w:rPr>
          <w:sz w:val="21"/>
        </w:rPr>
        <w:t>器报</w:t>
      </w:r>
      <w:r>
        <w:rPr>
          <w:spacing w:val="-3"/>
          <w:sz w:val="21"/>
        </w:rPr>
        <w:t>警</w:t>
      </w:r>
      <w:r>
        <w:rPr>
          <w:sz w:val="21"/>
        </w:rPr>
        <w:t>值</w:t>
      </w:r>
      <w:r>
        <w:rPr>
          <w:spacing w:val="-3"/>
          <w:sz w:val="21"/>
        </w:rPr>
        <w:t>宜</w:t>
      </w:r>
      <w:r>
        <w:rPr>
          <w:sz w:val="21"/>
        </w:rPr>
        <w:t>为</w:t>
      </w:r>
      <w:r>
        <w:rPr>
          <w:spacing w:val="7"/>
          <w:sz w:val="21"/>
        </w:rPr>
        <w:t> </w:t>
      </w:r>
      <w:r>
        <w:rPr>
          <w:sz w:val="21"/>
        </w:rPr>
        <w:t>300～500mA</w:t>
      </w:r>
      <w:r>
        <w:rPr>
          <w:spacing w:val="7"/>
          <w:sz w:val="21"/>
        </w:rPr>
        <w:t> </w:t>
      </w:r>
      <w:r>
        <w:rPr>
          <w:spacing w:val="-3"/>
          <w:sz w:val="21"/>
        </w:rPr>
        <w:t>。</w:t>
      </w:r>
      <w:r>
        <w:rPr>
          <w:sz w:val="21"/>
        </w:rPr>
        <w:t> </w:t>
        <w:tab/>
      </w:r>
      <w:r>
        <w:rPr>
          <w:w w:val="100"/>
          <w:sz w:val="21"/>
        </w:rPr>
        <w:t>  </w:t>
      </w:r>
    </w:p>
    <w:p>
      <w:pPr>
        <w:pStyle w:val="ListParagraph"/>
        <w:numPr>
          <w:ilvl w:val="2"/>
          <w:numId w:val="655"/>
        </w:numPr>
        <w:tabs>
          <w:tab w:pos="1370" w:val="left" w:leader="none"/>
        </w:tabs>
        <w:spacing w:line="240" w:lineRule="auto" w:before="0" w:after="0"/>
        <w:ind w:left="1369" w:right="0" w:hanging="530"/>
        <w:jc w:val="left"/>
        <w:rPr>
          <w:sz w:val="21"/>
        </w:rPr>
      </w:pPr>
      <w:r>
        <w:rPr>
          <w:spacing w:val="6"/>
          <w:sz w:val="21"/>
        </w:rPr>
        <w:t>具有探测线路故障电弧功能的电气火灾监控探测器，其保护线路的长度不宜大于</w:t>
      </w:r>
      <w:r>
        <w:rPr>
          <w:sz w:val="21"/>
        </w:rPr>
        <w:t> </w:t>
      </w:r>
    </w:p>
    <w:p>
      <w:pPr>
        <w:pStyle w:val="BodyText"/>
        <w:rPr>
          <w:sz w:val="18"/>
        </w:rPr>
      </w:pPr>
    </w:p>
    <w:p>
      <w:pPr>
        <w:pStyle w:val="BodyText"/>
        <w:ind w:left="418"/>
      </w:pPr>
      <w:r>
        <w:rPr/>
        <w:t>100m。 </w:t>
      </w:r>
    </w:p>
    <w:p>
      <w:pPr>
        <w:pStyle w:val="BodyText"/>
        <w:spacing w:before="12"/>
        <w:rPr>
          <w:sz w:val="17"/>
        </w:rPr>
      </w:pPr>
    </w:p>
    <w:p>
      <w:pPr>
        <w:pStyle w:val="ListParagraph"/>
        <w:numPr>
          <w:ilvl w:val="1"/>
          <w:numId w:val="655"/>
        </w:numPr>
        <w:tabs>
          <w:tab w:pos="1159" w:val="left" w:leader="none"/>
        </w:tabs>
        <w:spacing w:line="240" w:lineRule="auto" w:before="0" w:after="0"/>
        <w:ind w:left="1158" w:right="0" w:hanging="319"/>
        <w:jc w:val="left"/>
        <w:rPr>
          <w:b/>
          <w:sz w:val="21"/>
        </w:rPr>
      </w:pPr>
      <w:r>
        <w:rPr>
          <w:spacing w:val="-3"/>
          <w:sz w:val="21"/>
        </w:rPr>
        <w:t>测温式电气火灾监控探测器的设置</w:t>
      </w:r>
      <w:r>
        <w:rPr>
          <w:b/>
          <w:w w:val="99"/>
          <w:sz w:val="21"/>
        </w:rPr>
        <w:t> </w:t>
      </w:r>
    </w:p>
    <w:p>
      <w:pPr>
        <w:pStyle w:val="BodyText"/>
        <w:spacing w:before="2"/>
        <w:rPr>
          <w:b/>
          <w:sz w:val="18"/>
        </w:rPr>
      </w:pPr>
    </w:p>
    <w:p>
      <w:pPr>
        <w:pStyle w:val="ListParagraph"/>
        <w:numPr>
          <w:ilvl w:val="2"/>
          <w:numId w:val="655"/>
        </w:numPr>
        <w:tabs>
          <w:tab w:pos="1370" w:val="left" w:leader="none"/>
        </w:tabs>
        <w:spacing w:line="240" w:lineRule="auto" w:before="0" w:after="0"/>
        <w:ind w:left="1369" w:right="0" w:hanging="530"/>
        <w:jc w:val="left"/>
        <w:rPr>
          <w:sz w:val="21"/>
        </w:rPr>
      </w:pPr>
      <w:r>
        <w:rPr>
          <w:spacing w:val="-3"/>
          <w:sz w:val="21"/>
        </w:rPr>
        <w:t>测温式电气火灾监控探测器应设置在电缆接头、端子、重点发热部件等部位。</w:t>
      </w:r>
      <w:r>
        <w:rPr>
          <w:sz w:val="21"/>
        </w:rPr>
        <w:t> </w:t>
      </w:r>
    </w:p>
    <w:p>
      <w:pPr>
        <w:pStyle w:val="BodyText"/>
        <w:spacing w:before="12"/>
        <w:rPr>
          <w:sz w:val="17"/>
        </w:rPr>
      </w:pPr>
    </w:p>
    <w:p>
      <w:pPr>
        <w:pStyle w:val="ListParagraph"/>
        <w:numPr>
          <w:ilvl w:val="2"/>
          <w:numId w:val="655"/>
        </w:numPr>
        <w:tabs>
          <w:tab w:pos="1371" w:val="left" w:leader="none"/>
        </w:tabs>
        <w:spacing w:line="446" w:lineRule="auto" w:before="0" w:after="0"/>
        <w:ind w:left="418" w:right="1431" w:firstLine="422"/>
        <w:jc w:val="left"/>
        <w:rPr>
          <w:sz w:val="21"/>
        </w:rPr>
      </w:pPr>
      <w:r>
        <w:rPr>
          <w:spacing w:val="3"/>
          <w:sz w:val="21"/>
        </w:rPr>
        <w:t>保护对象为 </w:t>
      </w:r>
      <w:r>
        <w:rPr>
          <w:sz w:val="21"/>
        </w:rPr>
        <w:t>1000V</w:t>
      </w:r>
      <w:r>
        <w:rPr>
          <w:spacing w:val="-3"/>
          <w:sz w:val="21"/>
        </w:rPr>
        <w:t> 及以下的配电线路，测温式电气火灾监控探测器应采用接触式布置。</w:t>
      </w:r>
      <w:r>
        <w:rPr>
          <w:sz w:val="21"/>
        </w:rPr>
        <w:t> </w:t>
      </w:r>
    </w:p>
    <w:p>
      <w:pPr>
        <w:pStyle w:val="ListParagraph"/>
        <w:numPr>
          <w:ilvl w:val="2"/>
          <w:numId w:val="655"/>
        </w:numPr>
        <w:tabs>
          <w:tab w:pos="1371" w:val="left" w:leader="none"/>
        </w:tabs>
        <w:spacing w:line="446" w:lineRule="auto" w:before="0" w:after="0"/>
        <w:ind w:left="418" w:right="1431" w:firstLine="422"/>
        <w:jc w:val="both"/>
        <w:rPr>
          <w:sz w:val="21"/>
        </w:rPr>
      </w:pPr>
      <w:r>
        <w:rPr>
          <w:spacing w:val="3"/>
          <w:sz w:val="21"/>
        </w:rPr>
        <w:t>保护对象为 </w:t>
      </w:r>
      <w:r>
        <w:rPr>
          <w:sz w:val="21"/>
        </w:rPr>
        <w:t>1000V</w:t>
      </w:r>
      <w:r>
        <w:rPr>
          <w:spacing w:val="-3"/>
          <w:sz w:val="21"/>
        </w:rPr>
        <w:t> 以上的供电线路，测温式电气火灾监控探测器宜选择光栅光纤测</w:t>
      </w:r>
      <w:r>
        <w:rPr>
          <w:spacing w:val="-5"/>
          <w:sz w:val="21"/>
        </w:rPr>
        <w:t>温式或红外测温式电气火灾监控探测器，光栅光纤测温式电气火灾监控探测器应直接设置在保护</w:t>
      </w:r>
      <w:r>
        <w:rPr>
          <w:spacing w:val="-4"/>
          <w:sz w:val="21"/>
        </w:rPr>
        <w:t>对象的表面。</w:t>
      </w:r>
      <w:r>
        <w:rPr>
          <w:sz w:val="21"/>
        </w:rPr>
        <w:t> </w:t>
      </w:r>
    </w:p>
    <w:p>
      <w:pPr>
        <w:pStyle w:val="ListParagraph"/>
        <w:numPr>
          <w:ilvl w:val="1"/>
          <w:numId w:val="655"/>
        </w:numPr>
        <w:tabs>
          <w:tab w:pos="1159" w:val="left" w:leader="none"/>
        </w:tabs>
        <w:spacing w:line="268" w:lineRule="exact" w:before="0" w:after="0"/>
        <w:ind w:left="1158" w:right="0" w:hanging="319"/>
        <w:jc w:val="left"/>
        <w:rPr>
          <w:sz w:val="21"/>
        </w:rPr>
      </w:pPr>
      <w:r>
        <w:rPr>
          <w:spacing w:val="-3"/>
          <w:sz w:val="21"/>
        </w:rPr>
        <w:t>独立式电气火灾监控探测器的设置</w:t>
      </w:r>
      <w:r>
        <w:rPr>
          <w:sz w:val="21"/>
        </w:rPr>
        <w:t> </w:t>
      </w:r>
    </w:p>
    <w:p>
      <w:pPr>
        <w:pStyle w:val="BodyText"/>
        <w:rPr>
          <w:sz w:val="18"/>
        </w:rPr>
      </w:pPr>
    </w:p>
    <w:p>
      <w:pPr>
        <w:pStyle w:val="ListParagraph"/>
        <w:numPr>
          <w:ilvl w:val="2"/>
          <w:numId w:val="655"/>
        </w:numPr>
        <w:tabs>
          <w:tab w:pos="1371" w:val="left" w:leader="none"/>
        </w:tabs>
        <w:spacing w:line="240" w:lineRule="auto" w:before="0" w:after="0"/>
        <w:ind w:left="1370" w:right="0" w:hanging="531"/>
        <w:jc w:val="both"/>
        <w:rPr>
          <w:sz w:val="21"/>
        </w:rPr>
      </w:pPr>
      <w:r>
        <w:rPr>
          <w:spacing w:val="-3"/>
          <w:sz w:val="21"/>
        </w:rPr>
        <w:t>独立式电气火灾监控探测器的设置应符合本规范第 </w:t>
      </w:r>
      <w:r>
        <w:rPr>
          <w:sz w:val="21"/>
        </w:rPr>
        <w:t>9.2、9.3</w:t>
      </w:r>
      <w:r>
        <w:rPr>
          <w:spacing w:val="-2"/>
          <w:sz w:val="21"/>
        </w:rPr>
        <w:t> 节的规定。 </w:t>
      </w:r>
      <w:r>
        <w:rPr>
          <w:spacing w:val="-9"/>
          <w:sz w:val="21"/>
        </w:rPr>
        <w:t> </w:t>
      </w:r>
      <w:r>
        <w:rPr>
          <w:w w:val="100"/>
          <w:sz w:val="21"/>
        </w:rPr>
        <w:t>  </w:t>
      </w:r>
    </w:p>
    <w:p>
      <w:pPr>
        <w:pStyle w:val="BodyText"/>
        <w:spacing w:before="12"/>
        <w:rPr>
          <w:sz w:val="17"/>
        </w:rPr>
      </w:pPr>
    </w:p>
    <w:p>
      <w:pPr>
        <w:pStyle w:val="ListParagraph"/>
        <w:numPr>
          <w:ilvl w:val="2"/>
          <w:numId w:val="655"/>
        </w:numPr>
        <w:tabs>
          <w:tab w:pos="1371" w:val="left" w:leader="none"/>
        </w:tabs>
        <w:spacing w:line="446" w:lineRule="auto" w:before="0" w:after="0"/>
        <w:ind w:left="418" w:right="1431" w:firstLine="422"/>
        <w:jc w:val="both"/>
        <w:rPr>
          <w:b/>
          <w:sz w:val="21"/>
        </w:rPr>
      </w:pPr>
      <w:r>
        <w:rPr>
          <w:spacing w:val="-6"/>
          <w:sz w:val="21"/>
        </w:rPr>
        <w:t>设有火灾自动报警系统时，独立式电气火灾监控探测器的报警信息和故障信息应在消</w:t>
      </w:r>
      <w:r>
        <w:rPr>
          <w:sz w:val="21"/>
        </w:rPr>
        <w:t>防控制室 图形显示装置或集中火灾报警控制器上显示；但该类信息与火灾报警信息的显示应有</w:t>
      </w:r>
      <w:r>
        <w:rPr>
          <w:spacing w:val="-1"/>
          <w:sz w:val="21"/>
        </w:rPr>
        <w:t>区别。</w:t>
      </w:r>
      <w:r>
        <w:rPr>
          <w:b/>
          <w:spacing w:val="-1"/>
          <w:w w:val="99"/>
          <w:sz w:val="21"/>
        </w:rPr>
        <w:t> </w:t>
      </w:r>
      <w:r>
        <w:rPr>
          <w:b/>
          <w:w w:val="99"/>
          <w:sz w:val="21"/>
        </w:rPr>
        <w:t> </w:t>
      </w:r>
    </w:p>
    <w:p>
      <w:pPr>
        <w:pStyle w:val="ListParagraph"/>
        <w:numPr>
          <w:ilvl w:val="2"/>
          <w:numId w:val="655"/>
        </w:numPr>
        <w:tabs>
          <w:tab w:pos="1370" w:val="left" w:leader="none"/>
        </w:tabs>
        <w:spacing w:line="446" w:lineRule="auto" w:before="0" w:after="0"/>
        <w:ind w:left="418" w:right="1431" w:firstLine="422"/>
        <w:jc w:val="left"/>
        <w:rPr>
          <w:sz w:val="21"/>
        </w:rPr>
      </w:pPr>
      <w:r>
        <w:rPr>
          <w:spacing w:val="-6"/>
          <w:sz w:val="21"/>
        </w:rPr>
        <w:t>未设火灾自动报警系统时，独立式电气火灾监控探测器应将报警信号传至有人值班的</w:t>
      </w:r>
      <w:r>
        <w:rPr>
          <w:spacing w:val="-5"/>
          <w:sz w:val="21"/>
        </w:rPr>
        <w:t>场所。</w:t>
      </w:r>
      <w:r>
        <w:rPr>
          <w:sz w:val="21"/>
        </w:rPr>
        <w:t> </w:t>
      </w:r>
    </w:p>
    <w:p>
      <w:pPr>
        <w:pStyle w:val="ListParagraph"/>
        <w:numPr>
          <w:ilvl w:val="1"/>
          <w:numId w:val="655"/>
        </w:numPr>
        <w:tabs>
          <w:tab w:pos="1159" w:val="left" w:leader="none"/>
        </w:tabs>
        <w:spacing w:line="240" w:lineRule="auto" w:before="0" w:after="0"/>
        <w:ind w:left="1158" w:right="0" w:hanging="319"/>
        <w:jc w:val="left"/>
        <w:rPr>
          <w:sz w:val="21"/>
        </w:rPr>
      </w:pPr>
      <w:r>
        <w:rPr>
          <w:spacing w:val="-3"/>
          <w:sz w:val="21"/>
        </w:rPr>
        <w:t>电气火灾监控器的设置。</w:t>
      </w:r>
      <w:r>
        <w:rPr>
          <w:sz w:val="21"/>
        </w:rPr>
        <w:t> </w:t>
      </w:r>
    </w:p>
    <w:p>
      <w:pPr>
        <w:pStyle w:val="BodyText"/>
        <w:spacing w:before="11"/>
        <w:rPr>
          <w:sz w:val="17"/>
        </w:rPr>
      </w:pPr>
    </w:p>
    <w:p>
      <w:pPr>
        <w:pStyle w:val="ListParagraph"/>
        <w:numPr>
          <w:ilvl w:val="2"/>
          <w:numId w:val="655"/>
        </w:numPr>
        <w:tabs>
          <w:tab w:pos="1370" w:val="left" w:leader="none"/>
        </w:tabs>
        <w:spacing w:line="446" w:lineRule="auto" w:before="1" w:after="0"/>
        <w:ind w:left="418" w:right="1431" w:firstLine="422"/>
        <w:jc w:val="left"/>
        <w:rPr>
          <w:sz w:val="21"/>
        </w:rPr>
      </w:pPr>
      <w:r>
        <w:rPr>
          <w:spacing w:val="-6"/>
          <w:sz w:val="21"/>
        </w:rPr>
        <w:t>设有消防控制室时，电气火灾监控器应设置在消防控制室内或保护区域附近；设置在</w:t>
      </w:r>
      <w:r>
        <w:rPr>
          <w:spacing w:val="-4"/>
          <w:sz w:val="21"/>
        </w:rPr>
        <w:t>保护区域附近时，应将报警信息和故障信息传入消防控制室。 </w:t>
      </w:r>
      <w:r>
        <w:rPr>
          <w:sz w:val="21"/>
        </w:rPr>
        <w:t> </w:t>
      </w:r>
    </w:p>
    <w:p>
      <w:pPr>
        <w:pStyle w:val="ListParagraph"/>
        <w:numPr>
          <w:ilvl w:val="2"/>
          <w:numId w:val="655"/>
        </w:numPr>
        <w:tabs>
          <w:tab w:pos="1371" w:val="left" w:leader="none"/>
        </w:tabs>
        <w:spacing w:line="240" w:lineRule="auto" w:before="0" w:after="0"/>
        <w:ind w:left="1370" w:right="0" w:hanging="531"/>
        <w:jc w:val="left"/>
        <w:rPr>
          <w:sz w:val="21"/>
        </w:rPr>
      </w:pPr>
      <w:r>
        <w:rPr>
          <w:spacing w:val="-3"/>
          <w:sz w:val="21"/>
        </w:rPr>
        <w:t>未设消防控制室时，电气火灾监控器应设置在有人值班的场所。 </w:t>
      </w:r>
      <w:r>
        <w:rPr>
          <w:sz w:val="21"/>
        </w:rPr>
        <w:t> </w:t>
      </w:r>
    </w:p>
    <w:p>
      <w:pPr>
        <w:pStyle w:val="BodyText"/>
        <w:spacing w:before="8"/>
        <w:rPr>
          <w:sz w:val="15"/>
        </w:rPr>
      </w:pPr>
    </w:p>
    <w:p>
      <w:pPr>
        <w:pStyle w:val="Heading4"/>
      </w:pPr>
      <w:r>
        <w:rPr/>
        <w:t>10 系统供电</w:t>
      </w:r>
      <w:r>
        <w:rPr>
          <w:w w:val="99"/>
        </w:rPr>
        <w:t> </w:t>
      </w:r>
    </w:p>
    <w:p>
      <w:pPr>
        <w:pStyle w:val="BodyText"/>
        <w:spacing w:before="6"/>
        <w:rPr>
          <w:b/>
          <w:sz w:val="17"/>
        </w:rPr>
      </w:pPr>
    </w:p>
    <w:p>
      <w:pPr>
        <w:pStyle w:val="ListParagraph"/>
        <w:numPr>
          <w:ilvl w:val="1"/>
          <w:numId w:val="657"/>
        </w:numPr>
        <w:tabs>
          <w:tab w:pos="1318" w:val="left" w:leader="none"/>
        </w:tabs>
        <w:spacing w:line="240" w:lineRule="auto" w:before="0" w:after="0"/>
        <w:ind w:left="1318" w:right="0" w:hanging="478"/>
        <w:jc w:val="left"/>
        <w:rPr>
          <w:b/>
          <w:sz w:val="21"/>
        </w:rPr>
      </w:pPr>
      <w:r>
        <w:rPr>
          <w:spacing w:val="-3"/>
          <w:sz w:val="21"/>
        </w:rPr>
        <w:t>一般规定</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657"/>
        </w:numPr>
        <w:tabs>
          <w:tab w:pos="1478" w:val="left" w:leader="none"/>
          <w:tab w:pos="7138" w:val="left" w:leader="none"/>
        </w:tabs>
        <w:spacing w:line="240" w:lineRule="auto" w:before="47" w:after="0"/>
        <w:ind w:left="1477" w:right="0" w:hanging="638"/>
        <w:jc w:val="left"/>
        <w:rPr>
          <w:sz w:val="21"/>
        </w:rPr>
      </w:pPr>
      <w:r>
        <w:rPr>
          <w:sz w:val="21"/>
        </w:rPr>
        <w:t>火</w:t>
      </w:r>
      <w:r>
        <w:rPr>
          <w:spacing w:val="-3"/>
          <w:sz w:val="21"/>
        </w:rPr>
        <w:t>灾</w:t>
      </w:r>
      <w:r>
        <w:rPr>
          <w:sz w:val="21"/>
        </w:rPr>
        <w:t>自</w:t>
      </w:r>
      <w:r>
        <w:rPr>
          <w:spacing w:val="-3"/>
          <w:sz w:val="21"/>
        </w:rPr>
        <w:t>动</w:t>
      </w:r>
      <w:r>
        <w:rPr>
          <w:sz w:val="21"/>
        </w:rPr>
        <w:t>报</w:t>
      </w:r>
      <w:r>
        <w:rPr>
          <w:spacing w:val="-3"/>
          <w:sz w:val="21"/>
        </w:rPr>
        <w:t>警</w:t>
      </w:r>
      <w:r>
        <w:rPr>
          <w:sz w:val="21"/>
        </w:rPr>
        <w:t>系</w:t>
      </w:r>
      <w:r>
        <w:rPr>
          <w:spacing w:val="-3"/>
          <w:sz w:val="21"/>
        </w:rPr>
        <w:t>统</w:t>
      </w:r>
      <w:r>
        <w:rPr>
          <w:sz w:val="21"/>
        </w:rPr>
        <w:t>应设</w:t>
      </w:r>
      <w:r>
        <w:rPr>
          <w:spacing w:val="-3"/>
          <w:sz w:val="21"/>
        </w:rPr>
        <w:t>置</w:t>
      </w:r>
      <w:r>
        <w:rPr>
          <w:sz w:val="21"/>
        </w:rPr>
        <w:t>交</w:t>
      </w:r>
      <w:r>
        <w:rPr>
          <w:spacing w:val="-3"/>
          <w:sz w:val="21"/>
        </w:rPr>
        <w:t>流</w:t>
      </w:r>
      <w:r>
        <w:rPr>
          <w:sz w:val="21"/>
        </w:rPr>
        <w:t>电</w:t>
      </w:r>
      <w:r>
        <w:rPr>
          <w:spacing w:val="-3"/>
          <w:sz w:val="21"/>
        </w:rPr>
        <w:t>源</w:t>
      </w:r>
      <w:r>
        <w:rPr>
          <w:sz w:val="21"/>
        </w:rPr>
        <w:t>和</w:t>
      </w:r>
      <w:r>
        <w:rPr>
          <w:spacing w:val="-3"/>
          <w:sz w:val="21"/>
        </w:rPr>
        <w:t>蓄</w:t>
      </w:r>
      <w:r>
        <w:rPr>
          <w:sz w:val="21"/>
        </w:rPr>
        <w:t>电</w:t>
      </w:r>
      <w:r>
        <w:rPr>
          <w:spacing w:val="-3"/>
          <w:sz w:val="21"/>
        </w:rPr>
        <w:t>池</w:t>
      </w:r>
      <w:r>
        <w:rPr>
          <w:sz w:val="21"/>
        </w:rPr>
        <w:t>备用</w:t>
      </w:r>
      <w:r>
        <w:rPr>
          <w:spacing w:val="-3"/>
          <w:sz w:val="21"/>
        </w:rPr>
        <w:t>电</w:t>
      </w:r>
      <w:r>
        <w:rPr>
          <w:sz w:val="21"/>
        </w:rPr>
        <w:t>源</w:t>
      </w:r>
      <w:r>
        <w:rPr>
          <w:spacing w:val="-3"/>
          <w:sz w:val="21"/>
        </w:rPr>
        <w:t>。</w:t>
      </w:r>
      <w:r>
        <w:rPr>
          <w:spacing w:val="-12"/>
          <w:sz w:val="21"/>
        </w:rPr>
        <w:t> </w:t>
      </w:r>
      <w:r>
        <w:rPr>
          <w:sz w:val="21"/>
        </w:rPr>
        <w:t>  </w:t>
        <w:tab/>
      </w:r>
      <w:r>
        <w:rPr>
          <w:w w:val="100"/>
          <w:sz w:val="21"/>
        </w:rPr>
        <w:t>  </w:t>
      </w:r>
    </w:p>
    <w:p>
      <w:pPr>
        <w:pStyle w:val="BodyText"/>
        <w:rPr>
          <w:sz w:val="18"/>
        </w:rPr>
      </w:pPr>
    </w:p>
    <w:p>
      <w:pPr>
        <w:pStyle w:val="ListParagraph"/>
        <w:numPr>
          <w:ilvl w:val="2"/>
          <w:numId w:val="657"/>
        </w:numPr>
        <w:tabs>
          <w:tab w:pos="1478" w:val="left" w:leader="none"/>
          <w:tab w:pos="5878" w:val="left" w:leader="none"/>
          <w:tab w:pos="6298" w:val="left" w:leader="none"/>
        </w:tabs>
        <w:spacing w:line="446" w:lineRule="auto" w:before="0" w:after="0"/>
        <w:ind w:left="418" w:right="1330" w:firstLine="422"/>
        <w:jc w:val="left"/>
        <w:rPr>
          <w:sz w:val="21"/>
        </w:rPr>
      </w:pPr>
      <w:r>
        <w:rPr>
          <w:sz w:val="21"/>
        </w:rPr>
        <w:t>火</w:t>
      </w:r>
      <w:r>
        <w:rPr>
          <w:spacing w:val="-3"/>
          <w:sz w:val="21"/>
        </w:rPr>
        <w:t>灾</w:t>
      </w:r>
      <w:r>
        <w:rPr>
          <w:sz w:val="21"/>
        </w:rPr>
        <w:t>自动</w:t>
      </w:r>
      <w:r>
        <w:rPr>
          <w:spacing w:val="-3"/>
          <w:sz w:val="21"/>
        </w:rPr>
        <w:t>报</w:t>
      </w:r>
      <w:r>
        <w:rPr>
          <w:sz w:val="21"/>
        </w:rPr>
        <w:t>警</w:t>
      </w:r>
      <w:r>
        <w:rPr>
          <w:spacing w:val="-3"/>
          <w:sz w:val="21"/>
        </w:rPr>
        <w:t>系</w:t>
      </w:r>
      <w:r>
        <w:rPr>
          <w:sz w:val="21"/>
        </w:rPr>
        <w:t>统的交</w:t>
      </w:r>
      <w:r>
        <w:rPr>
          <w:spacing w:val="-3"/>
          <w:sz w:val="21"/>
        </w:rPr>
        <w:t>流</w:t>
      </w:r>
      <w:r>
        <w:rPr>
          <w:sz w:val="21"/>
        </w:rPr>
        <w:t>电源</w:t>
      </w:r>
      <w:r>
        <w:rPr>
          <w:spacing w:val="-3"/>
          <w:sz w:val="21"/>
        </w:rPr>
        <w:t>应</w:t>
      </w:r>
      <w:r>
        <w:rPr>
          <w:sz w:val="21"/>
        </w:rPr>
        <w:t>采用</w:t>
      </w:r>
      <w:r>
        <w:rPr>
          <w:spacing w:val="-3"/>
          <w:sz w:val="21"/>
        </w:rPr>
        <w:t>消防</w:t>
      </w:r>
      <w:r>
        <w:rPr>
          <w:sz w:val="21"/>
        </w:rPr>
        <w:t>电源，</w:t>
      </w:r>
      <w:r>
        <w:rPr>
          <w:spacing w:val="-3"/>
          <w:sz w:val="21"/>
        </w:rPr>
        <w:t>备</w:t>
      </w:r>
      <w:r>
        <w:rPr>
          <w:sz w:val="21"/>
        </w:rPr>
        <w:t>用电</w:t>
      </w:r>
      <w:r>
        <w:rPr>
          <w:spacing w:val="-3"/>
          <w:sz w:val="21"/>
        </w:rPr>
        <w:t>源</w:t>
      </w:r>
      <w:r>
        <w:rPr>
          <w:sz w:val="21"/>
        </w:rPr>
        <w:t>可采</w:t>
      </w:r>
      <w:r>
        <w:rPr>
          <w:spacing w:val="-3"/>
          <w:sz w:val="21"/>
        </w:rPr>
        <w:t>用火</w:t>
      </w:r>
      <w:r>
        <w:rPr>
          <w:sz w:val="21"/>
        </w:rPr>
        <w:t>灾报警</w:t>
      </w:r>
      <w:r>
        <w:rPr>
          <w:spacing w:val="-3"/>
          <w:sz w:val="21"/>
        </w:rPr>
        <w:t>控</w:t>
      </w:r>
      <w:r>
        <w:rPr>
          <w:sz w:val="21"/>
        </w:rPr>
        <w:t>制器和消防联动控制器自带的蓄电池电源或消防设备应急电源。当备用电源采用消防设备应急电源时</w:t>
      </w:r>
      <w:r>
        <w:rPr>
          <w:spacing w:val="-16"/>
          <w:sz w:val="21"/>
        </w:rPr>
        <w:t>，</w:t>
      </w:r>
      <w:r>
        <w:rPr>
          <w:sz w:val="21"/>
        </w:rPr>
        <w:t>火灾</w:t>
      </w:r>
      <w:r>
        <w:rPr>
          <w:spacing w:val="-3"/>
          <w:sz w:val="21"/>
        </w:rPr>
        <w:t>报</w:t>
      </w:r>
      <w:r>
        <w:rPr>
          <w:sz w:val="21"/>
        </w:rPr>
        <w:t>警</w:t>
      </w:r>
      <w:r>
        <w:rPr>
          <w:spacing w:val="-3"/>
          <w:sz w:val="21"/>
        </w:rPr>
        <w:t>控</w:t>
      </w:r>
      <w:r>
        <w:rPr>
          <w:sz w:val="21"/>
        </w:rPr>
        <w:t>制</w:t>
      </w:r>
      <w:r>
        <w:rPr>
          <w:spacing w:val="-3"/>
          <w:sz w:val="21"/>
        </w:rPr>
        <w:t>器</w:t>
      </w:r>
      <w:r>
        <w:rPr>
          <w:sz w:val="21"/>
        </w:rPr>
        <w:t>和</w:t>
      </w:r>
      <w:r>
        <w:rPr>
          <w:spacing w:val="-3"/>
          <w:sz w:val="21"/>
        </w:rPr>
        <w:t>消</w:t>
      </w:r>
      <w:r>
        <w:rPr>
          <w:sz w:val="21"/>
        </w:rPr>
        <w:t>防</w:t>
      </w:r>
      <w:r>
        <w:rPr>
          <w:spacing w:val="-3"/>
          <w:sz w:val="21"/>
        </w:rPr>
        <w:t>联</w:t>
      </w:r>
      <w:r>
        <w:rPr>
          <w:sz w:val="21"/>
        </w:rPr>
        <w:t>动控</w:t>
      </w:r>
      <w:r>
        <w:rPr>
          <w:spacing w:val="-3"/>
          <w:sz w:val="21"/>
        </w:rPr>
        <w:t>制</w:t>
      </w:r>
      <w:r>
        <w:rPr>
          <w:sz w:val="21"/>
        </w:rPr>
        <w:t>器</w:t>
      </w:r>
      <w:r>
        <w:rPr>
          <w:spacing w:val="-3"/>
          <w:sz w:val="21"/>
        </w:rPr>
        <w:t>应</w:t>
      </w:r>
      <w:r>
        <w:rPr>
          <w:sz w:val="21"/>
        </w:rPr>
        <w:t>采</w:t>
      </w:r>
      <w:r>
        <w:rPr>
          <w:spacing w:val="-3"/>
          <w:sz w:val="21"/>
        </w:rPr>
        <w:t>用</w:t>
      </w:r>
      <w:r>
        <w:rPr>
          <w:sz w:val="21"/>
        </w:rPr>
        <w:t>单</w:t>
      </w:r>
      <w:r>
        <w:rPr>
          <w:spacing w:val="-3"/>
          <w:sz w:val="21"/>
        </w:rPr>
        <w:t>独</w:t>
      </w:r>
      <w:r>
        <w:rPr>
          <w:sz w:val="21"/>
        </w:rPr>
        <w:t>的</w:t>
      </w:r>
      <w:r>
        <w:rPr>
          <w:spacing w:val="-3"/>
          <w:sz w:val="21"/>
        </w:rPr>
        <w:t>供</w:t>
      </w:r>
      <w:r>
        <w:rPr>
          <w:sz w:val="21"/>
        </w:rPr>
        <w:t>电回</w:t>
      </w:r>
      <w:r>
        <w:rPr>
          <w:spacing w:val="-3"/>
          <w:sz w:val="21"/>
        </w:rPr>
        <w:t>路</w:t>
      </w:r>
      <w:r>
        <w:rPr>
          <w:spacing w:val="-32"/>
          <w:sz w:val="21"/>
        </w:rPr>
        <w:t>，</w:t>
      </w:r>
      <w:r>
        <w:rPr>
          <w:spacing w:val="-3"/>
          <w:sz w:val="21"/>
        </w:rPr>
        <w:t>并</w:t>
      </w:r>
      <w:r>
        <w:rPr>
          <w:sz w:val="21"/>
        </w:rPr>
        <w:t>应</w:t>
      </w:r>
      <w:r>
        <w:rPr>
          <w:spacing w:val="-3"/>
          <w:sz w:val="21"/>
        </w:rPr>
        <w:t>保</w:t>
      </w:r>
      <w:r>
        <w:rPr>
          <w:sz w:val="21"/>
        </w:rPr>
        <w:t>证</w:t>
      </w:r>
      <w:r>
        <w:rPr>
          <w:spacing w:val="-3"/>
          <w:sz w:val="21"/>
        </w:rPr>
        <w:t>在</w:t>
      </w:r>
      <w:r>
        <w:rPr>
          <w:sz w:val="21"/>
        </w:rPr>
        <w:t>系</w:t>
      </w:r>
      <w:r>
        <w:rPr>
          <w:spacing w:val="-3"/>
          <w:sz w:val="21"/>
        </w:rPr>
        <w:t>统</w:t>
      </w:r>
      <w:r>
        <w:rPr>
          <w:sz w:val="21"/>
        </w:rPr>
        <w:t>处于</w:t>
      </w:r>
      <w:r>
        <w:rPr>
          <w:spacing w:val="-3"/>
          <w:sz w:val="21"/>
        </w:rPr>
        <w:t>最</w:t>
      </w:r>
      <w:r>
        <w:rPr>
          <w:sz w:val="21"/>
        </w:rPr>
        <w:t>大</w:t>
      </w:r>
      <w:r>
        <w:rPr>
          <w:spacing w:val="-3"/>
          <w:sz w:val="21"/>
        </w:rPr>
        <w:t>负</w:t>
      </w:r>
      <w:r>
        <w:rPr>
          <w:sz w:val="21"/>
        </w:rPr>
        <w:t>载</w:t>
      </w:r>
      <w:r>
        <w:rPr>
          <w:spacing w:val="-3"/>
          <w:sz w:val="21"/>
        </w:rPr>
        <w:t>状态</w:t>
      </w:r>
      <w:r>
        <w:rPr>
          <w:sz w:val="21"/>
        </w:rPr>
        <w:t>下不影</w:t>
      </w:r>
      <w:r>
        <w:rPr>
          <w:spacing w:val="-3"/>
          <w:sz w:val="21"/>
        </w:rPr>
        <w:t>响</w:t>
      </w:r>
      <w:r>
        <w:rPr>
          <w:sz w:val="21"/>
        </w:rPr>
        <w:t>火</w:t>
      </w:r>
      <w:r>
        <w:rPr>
          <w:spacing w:val="-3"/>
          <w:sz w:val="21"/>
        </w:rPr>
        <w:t>灾</w:t>
      </w:r>
      <w:r>
        <w:rPr>
          <w:sz w:val="21"/>
        </w:rPr>
        <w:t>报</w:t>
      </w:r>
      <w:r>
        <w:rPr>
          <w:spacing w:val="-3"/>
          <w:sz w:val="21"/>
        </w:rPr>
        <w:t>警</w:t>
      </w:r>
      <w:r>
        <w:rPr>
          <w:sz w:val="21"/>
        </w:rPr>
        <w:t>控</w:t>
      </w:r>
      <w:r>
        <w:rPr>
          <w:spacing w:val="-3"/>
          <w:sz w:val="21"/>
        </w:rPr>
        <w:t>制</w:t>
      </w:r>
      <w:r>
        <w:rPr>
          <w:sz w:val="21"/>
        </w:rPr>
        <w:t>器</w:t>
      </w:r>
      <w:r>
        <w:rPr>
          <w:spacing w:val="-3"/>
          <w:sz w:val="21"/>
        </w:rPr>
        <w:t>和</w:t>
      </w:r>
      <w:r>
        <w:rPr>
          <w:sz w:val="21"/>
        </w:rPr>
        <w:t>消防</w:t>
      </w:r>
      <w:r>
        <w:rPr>
          <w:spacing w:val="-3"/>
          <w:sz w:val="21"/>
        </w:rPr>
        <w:t>联</w:t>
      </w:r>
      <w:r>
        <w:rPr>
          <w:sz w:val="21"/>
        </w:rPr>
        <w:t>动</w:t>
      </w:r>
      <w:r>
        <w:rPr>
          <w:spacing w:val="-3"/>
          <w:sz w:val="21"/>
        </w:rPr>
        <w:t>控</w:t>
      </w:r>
      <w:r>
        <w:rPr>
          <w:sz w:val="21"/>
        </w:rPr>
        <w:t>制</w:t>
      </w:r>
      <w:r>
        <w:rPr>
          <w:spacing w:val="-3"/>
          <w:sz w:val="21"/>
        </w:rPr>
        <w:t>器</w:t>
      </w:r>
      <w:r>
        <w:rPr>
          <w:sz w:val="21"/>
        </w:rPr>
        <w:t>的</w:t>
      </w:r>
      <w:r>
        <w:rPr>
          <w:spacing w:val="-3"/>
          <w:sz w:val="21"/>
        </w:rPr>
        <w:t>正</w:t>
      </w:r>
      <w:r>
        <w:rPr>
          <w:sz w:val="21"/>
        </w:rPr>
        <w:t>常</w:t>
      </w:r>
      <w:r>
        <w:rPr>
          <w:spacing w:val="-3"/>
          <w:sz w:val="21"/>
        </w:rPr>
        <w:t>工</w:t>
      </w:r>
      <w:r>
        <w:rPr>
          <w:sz w:val="21"/>
        </w:rPr>
        <w:t>作</w:t>
      </w:r>
      <w:r>
        <w:rPr>
          <w:spacing w:val="-3"/>
          <w:sz w:val="21"/>
        </w:rPr>
        <w:t>。</w:t>
      </w:r>
      <w:r>
        <w:rPr>
          <w:sz w:val="21"/>
        </w:rPr>
        <w:t> </w:t>
        <w:tab/>
      </w:r>
      <w:r>
        <w:rPr>
          <w:w w:val="100"/>
          <w:sz w:val="21"/>
        </w:rPr>
        <w:t>  </w:t>
      </w:r>
      <w:r>
        <w:rPr>
          <w:sz w:val="21"/>
        </w:rPr>
        <w:tab/>
      </w:r>
      <w:r>
        <w:rPr>
          <w:w w:val="100"/>
          <w:sz w:val="21"/>
        </w:rPr>
        <w:t>  </w:t>
      </w:r>
    </w:p>
    <w:p>
      <w:pPr>
        <w:pStyle w:val="ListParagraph"/>
        <w:numPr>
          <w:ilvl w:val="2"/>
          <w:numId w:val="657"/>
        </w:numPr>
        <w:tabs>
          <w:tab w:pos="1478" w:val="left" w:leader="none"/>
          <w:tab w:pos="2517" w:val="left" w:leader="none"/>
        </w:tabs>
        <w:spacing w:line="446" w:lineRule="auto" w:before="0" w:after="0"/>
        <w:ind w:left="418" w:right="1433" w:firstLine="422"/>
        <w:jc w:val="left"/>
        <w:rPr>
          <w:sz w:val="21"/>
        </w:rPr>
      </w:pPr>
      <w:r>
        <w:rPr>
          <w:spacing w:val="-3"/>
          <w:sz w:val="21"/>
        </w:rPr>
        <w:t>消</w:t>
      </w:r>
      <w:r>
        <w:rPr>
          <w:sz w:val="21"/>
        </w:rPr>
        <w:t>防</w:t>
      </w:r>
      <w:r>
        <w:rPr>
          <w:spacing w:val="-3"/>
          <w:sz w:val="21"/>
        </w:rPr>
        <w:t>控</w:t>
      </w:r>
      <w:r>
        <w:rPr>
          <w:sz w:val="21"/>
        </w:rPr>
        <w:t>制</w:t>
      </w:r>
      <w:r>
        <w:rPr>
          <w:spacing w:val="-3"/>
          <w:sz w:val="21"/>
        </w:rPr>
        <w:t>室</w:t>
      </w:r>
      <w:r>
        <w:rPr>
          <w:sz w:val="21"/>
        </w:rPr>
        <w:t>图</w:t>
      </w:r>
      <w:r>
        <w:rPr>
          <w:spacing w:val="-3"/>
          <w:sz w:val="21"/>
        </w:rPr>
        <w:t>形显</w:t>
      </w:r>
      <w:r>
        <w:rPr>
          <w:sz w:val="21"/>
        </w:rPr>
        <w:t>示装</w:t>
      </w:r>
      <w:r>
        <w:rPr>
          <w:spacing w:val="-3"/>
          <w:sz w:val="21"/>
        </w:rPr>
        <w:t>置</w:t>
      </w:r>
      <w:r>
        <w:rPr>
          <w:spacing w:val="-20"/>
          <w:sz w:val="21"/>
        </w:rPr>
        <w:t>、</w:t>
      </w:r>
      <w:r>
        <w:rPr>
          <w:spacing w:val="-3"/>
          <w:sz w:val="21"/>
        </w:rPr>
        <w:t>消</w:t>
      </w:r>
      <w:r>
        <w:rPr>
          <w:sz w:val="21"/>
        </w:rPr>
        <w:t>防</w:t>
      </w:r>
      <w:r>
        <w:rPr>
          <w:spacing w:val="-3"/>
          <w:sz w:val="21"/>
        </w:rPr>
        <w:t>通</w:t>
      </w:r>
      <w:r>
        <w:rPr>
          <w:sz w:val="21"/>
        </w:rPr>
        <w:t>信</w:t>
      </w:r>
      <w:r>
        <w:rPr>
          <w:spacing w:val="-3"/>
          <w:sz w:val="21"/>
        </w:rPr>
        <w:t>设</w:t>
      </w:r>
      <w:r>
        <w:rPr>
          <w:sz w:val="21"/>
        </w:rPr>
        <w:t>备</w:t>
      </w:r>
      <w:r>
        <w:rPr>
          <w:spacing w:val="-3"/>
          <w:sz w:val="21"/>
        </w:rPr>
        <w:t>等</w:t>
      </w:r>
      <w:r>
        <w:rPr>
          <w:sz w:val="21"/>
        </w:rPr>
        <w:t>的电</w:t>
      </w:r>
      <w:r>
        <w:rPr>
          <w:spacing w:val="-3"/>
          <w:sz w:val="21"/>
        </w:rPr>
        <w:t>源</w:t>
      </w:r>
      <w:r>
        <w:rPr>
          <w:spacing w:val="-20"/>
          <w:sz w:val="21"/>
        </w:rPr>
        <w:t>，</w:t>
      </w:r>
      <w:r>
        <w:rPr>
          <w:spacing w:val="-3"/>
          <w:sz w:val="21"/>
        </w:rPr>
        <w:t>宜</w:t>
      </w:r>
      <w:r>
        <w:rPr>
          <w:sz w:val="21"/>
        </w:rPr>
        <w:t>由</w:t>
      </w:r>
      <w:r>
        <w:rPr>
          <w:spacing w:val="13"/>
          <w:sz w:val="21"/>
        </w:rPr>
        <w:t> </w:t>
      </w:r>
      <w:r>
        <w:rPr>
          <w:sz w:val="21"/>
        </w:rPr>
        <w:t>UPS</w:t>
      </w:r>
      <w:r>
        <w:rPr>
          <w:spacing w:val="9"/>
          <w:sz w:val="21"/>
        </w:rPr>
        <w:t> </w:t>
      </w:r>
      <w:r>
        <w:rPr>
          <w:sz w:val="21"/>
        </w:rPr>
        <w:t>电</w:t>
      </w:r>
      <w:r>
        <w:rPr>
          <w:spacing w:val="-3"/>
          <w:sz w:val="21"/>
        </w:rPr>
        <w:t>源装</w:t>
      </w:r>
      <w:r>
        <w:rPr>
          <w:sz w:val="21"/>
        </w:rPr>
        <w:t>置或</w:t>
      </w:r>
      <w:r>
        <w:rPr>
          <w:spacing w:val="-3"/>
          <w:sz w:val="21"/>
        </w:rPr>
        <w:t>消</w:t>
      </w:r>
      <w:r>
        <w:rPr>
          <w:sz w:val="21"/>
        </w:rPr>
        <w:t>防</w:t>
      </w:r>
      <w:r>
        <w:rPr>
          <w:spacing w:val="-3"/>
          <w:sz w:val="21"/>
        </w:rPr>
        <w:t>设</w:t>
      </w:r>
      <w:r>
        <w:rPr>
          <w:sz w:val="21"/>
        </w:rPr>
        <w:t>备应急</w:t>
      </w:r>
      <w:r>
        <w:rPr>
          <w:spacing w:val="-3"/>
          <w:sz w:val="21"/>
        </w:rPr>
        <w:t>电</w:t>
      </w:r>
      <w:r>
        <w:rPr>
          <w:sz w:val="21"/>
        </w:rPr>
        <w:t>源</w:t>
      </w:r>
      <w:r>
        <w:rPr>
          <w:spacing w:val="-3"/>
          <w:sz w:val="21"/>
        </w:rPr>
        <w:t>供</w:t>
      </w:r>
      <w:r>
        <w:rPr>
          <w:sz w:val="21"/>
        </w:rPr>
        <w:t>电</w:t>
      </w:r>
      <w:r>
        <w:rPr>
          <w:spacing w:val="-3"/>
          <w:sz w:val="21"/>
        </w:rPr>
        <w:t>。</w:t>
      </w:r>
      <w:r>
        <w:rPr>
          <w:sz w:val="21"/>
        </w:rPr>
        <w:t> </w:t>
      </w:r>
      <w:r>
        <w:rPr>
          <w:spacing w:val="-2"/>
          <w:sz w:val="21"/>
        </w:rPr>
        <w:t> </w:t>
      </w:r>
      <w:r>
        <w:rPr>
          <w:w w:val="100"/>
          <w:sz w:val="21"/>
        </w:rPr>
        <w:t>  </w:t>
      </w:r>
      <w:r>
        <w:rPr>
          <w:sz w:val="21"/>
        </w:rPr>
        <w:tab/>
      </w:r>
      <w:r>
        <w:rPr>
          <w:w w:val="100"/>
          <w:sz w:val="21"/>
        </w:rPr>
        <w:t>  </w:t>
      </w:r>
    </w:p>
    <w:p>
      <w:pPr>
        <w:pStyle w:val="ListParagraph"/>
        <w:numPr>
          <w:ilvl w:val="2"/>
          <w:numId w:val="657"/>
        </w:numPr>
        <w:tabs>
          <w:tab w:pos="1478" w:val="left" w:leader="none"/>
        </w:tabs>
        <w:spacing w:line="240" w:lineRule="auto" w:before="0" w:after="0"/>
        <w:ind w:left="1477" w:right="0" w:hanging="638"/>
        <w:jc w:val="left"/>
        <w:rPr>
          <w:sz w:val="21"/>
        </w:rPr>
      </w:pPr>
      <w:r>
        <w:rPr>
          <w:spacing w:val="-3"/>
          <w:sz w:val="21"/>
        </w:rPr>
        <w:t>火灾自动报警系统主电源不应设置剩余电流动作保护和过负荷保护装置。</w:t>
      </w:r>
      <w:r>
        <w:rPr>
          <w:spacing w:val="-10"/>
          <w:sz w:val="21"/>
        </w:rPr>
        <w:t> </w:t>
      </w:r>
      <w:r>
        <w:rPr>
          <w:sz w:val="21"/>
        </w:rPr>
        <w:t>  </w:t>
      </w:r>
    </w:p>
    <w:p>
      <w:pPr>
        <w:pStyle w:val="BodyText"/>
        <w:spacing w:before="10"/>
        <w:rPr>
          <w:sz w:val="17"/>
        </w:rPr>
      </w:pPr>
    </w:p>
    <w:p>
      <w:pPr>
        <w:pStyle w:val="ListParagraph"/>
        <w:numPr>
          <w:ilvl w:val="2"/>
          <w:numId w:val="657"/>
        </w:numPr>
        <w:tabs>
          <w:tab w:pos="1478" w:val="left" w:leader="none"/>
        </w:tabs>
        <w:spacing w:line="240" w:lineRule="auto" w:before="0" w:after="0"/>
        <w:ind w:left="1477" w:right="0" w:hanging="638"/>
        <w:jc w:val="left"/>
        <w:rPr>
          <w:sz w:val="21"/>
        </w:rPr>
      </w:pPr>
      <w:r>
        <w:rPr>
          <w:spacing w:val="8"/>
          <w:sz w:val="21"/>
        </w:rPr>
        <w:t>消防设备应急电源输出功率应大于火灾自动报警及联动控制系统全负荷功率的</w:t>
      </w:r>
      <w:r>
        <w:rPr>
          <w:sz w:val="21"/>
        </w:rPr>
        <w:t> </w:t>
      </w:r>
    </w:p>
    <w:p>
      <w:pPr>
        <w:pStyle w:val="BodyText"/>
        <w:spacing w:before="2"/>
        <w:rPr>
          <w:sz w:val="18"/>
        </w:rPr>
      </w:pPr>
    </w:p>
    <w:p>
      <w:pPr>
        <w:pStyle w:val="BodyText"/>
        <w:tabs>
          <w:tab w:pos="2517" w:val="left" w:leader="none"/>
        </w:tabs>
        <w:spacing w:line="446" w:lineRule="auto"/>
        <w:ind w:left="418" w:right="1434"/>
      </w:pPr>
      <w:r>
        <w:rPr/>
        <w:t>120%</w:t>
      </w:r>
      <w:r>
        <w:rPr>
          <w:spacing w:val="93"/>
        </w:rPr>
        <w:t> </w:t>
      </w:r>
      <w:r>
        <w:rPr/>
        <w:t>，蓄电</w:t>
      </w:r>
      <w:r>
        <w:rPr>
          <w:spacing w:val="-3"/>
        </w:rPr>
        <w:t>池</w:t>
      </w:r>
      <w:r>
        <w:rPr/>
        <w:t>组的容</w:t>
      </w:r>
      <w:r>
        <w:rPr>
          <w:spacing w:val="-3"/>
        </w:rPr>
        <w:t>量</w:t>
      </w:r>
      <w:r>
        <w:rPr/>
        <w:t>应保证火</w:t>
      </w:r>
      <w:r>
        <w:rPr>
          <w:spacing w:val="-3"/>
        </w:rPr>
        <w:t>灾</w:t>
      </w:r>
      <w:r>
        <w:rPr/>
        <w:t>自动报</w:t>
      </w:r>
      <w:r>
        <w:rPr>
          <w:spacing w:val="-3"/>
        </w:rPr>
        <w:t>警</w:t>
      </w:r>
      <w:r>
        <w:rPr/>
        <w:t>及</w:t>
      </w:r>
      <w:r>
        <w:rPr>
          <w:spacing w:val="-3"/>
        </w:rPr>
        <w:t>联</w:t>
      </w:r>
      <w:r>
        <w:rPr/>
        <w:t>动控制系</w:t>
      </w:r>
      <w:r>
        <w:rPr>
          <w:spacing w:val="-3"/>
        </w:rPr>
        <w:t>统</w:t>
      </w:r>
      <w:r>
        <w:rPr/>
        <w:t>在火灾</w:t>
      </w:r>
      <w:r>
        <w:rPr>
          <w:spacing w:val="-3"/>
        </w:rPr>
        <w:t>状</w:t>
      </w:r>
      <w:r>
        <w:rPr/>
        <w:t>态</w:t>
      </w:r>
      <w:r>
        <w:rPr>
          <w:spacing w:val="-3"/>
        </w:rPr>
        <w:t>同</w:t>
      </w:r>
      <w:r>
        <w:rPr/>
        <w:t>时工作负</w:t>
      </w:r>
      <w:r>
        <w:rPr>
          <w:spacing w:val="-3"/>
        </w:rPr>
        <w:t>荷</w:t>
      </w:r>
      <w:r>
        <w:rPr/>
        <w:t>条件</w:t>
      </w:r>
      <w:r>
        <w:rPr>
          <w:spacing w:val="-3"/>
        </w:rPr>
        <w:t>下</w:t>
      </w:r>
      <w:r>
        <w:rPr>
          <w:spacing w:val="-11"/>
        </w:rPr>
        <w:t>连</w:t>
      </w:r>
      <w:r>
        <w:rPr/>
        <w:t>续工</w:t>
      </w:r>
      <w:r>
        <w:rPr>
          <w:spacing w:val="-3"/>
        </w:rPr>
        <w:t>作</w:t>
      </w:r>
      <w:r>
        <w:rPr>
          <w:spacing w:val="4"/>
        </w:rPr>
        <w:t> </w:t>
      </w:r>
      <w:r>
        <w:rPr/>
        <w:t>3h</w:t>
      </w:r>
      <w:r>
        <w:rPr>
          <w:spacing w:val="2"/>
        </w:rPr>
        <w:t> </w:t>
      </w:r>
      <w:r>
        <w:rPr/>
        <w:t>以</w:t>
      </w:r>
      <w:r>
        <w:rPr>
          <w:spacing w:val="-3"/>
        </w:rPr>
        <w:t>上。</w:t>
      </w:r>
      <w:r>
        <w:rPr/>
        <w:t> </w:t>
        <w:tab/>
      </w:r>
      <w:r>
        <w:rPr>
          <w:w w:val="100"/>
        </w:rPr>
        <w:t>  </w:t>
      </w:r>
    </w:p>
    <w:p>
      <w:pPr>
        <w:pStyle w:val="ListParagraph"/>
        <w:numPr>
          <w:ilvl w:val="2"/>
          <w:numId w:val="657"/>
        </w:numPr>
        <w:tabs>
          <w:tab w:pos="1478" w:val="left" w:leader="none"/>
        </w:tabs>
        <w:spacing w:line="446" w:lineRule="auto" w:before="0" w:after="0"/>
        <w:ind w:left="418" w:right="1434" w:firstLine="422"/>
        <w:jc w:val="left"/>
        <w:rPr>
          <w:sz w:val="21"/>
        </w:rPr>
      </w:pPr>
      <w:r>
        <w:rPr>
          <w:spacing w:val="-3"/>
          <w:sz w:val="21"/>
        </w:rPr>
        <w:t>消防用电设备应采用专用的供电回路，其配电设备应设有明显标志。其配电线路和 控制回路宜按防火分区划分。</w:t>
      </w:r>
      <w:r>
        <w:rPr>
          <w:sz w:val="21"/>
        </w:rPr>
        <w:t> </w:t>
      </w:r>
      <w:r>
        <w:rPr>
          <w:spacing w:val="-2"/>
          <w:sz w:val="21"/>
        </w:rPr>
        <w:t> </w:t>
      </w:r>
      <w:r>
        <w:rPr>
          <w:w w:val="100"/>
          <w:sz w:val="21"/>
        </w:rPr>
        <w:t>  </w:t>
      </w:r>
    </w:p>
    <w:p>
      <w:pPr>
        <w:pStyle w:val="ListParagraph"/>
        <w:numPr>
          <w:ilvl w:val="1"/>
          <w:numId w:val="657"/>
        </w:numPr>
        <w:tabs>
          <w:tab w:pos="1318" w:val="left" w:leader="none"/>
        </w:tabs>
        <w:spacing w:line="240" w:lineRule="auto" w:before="0" w:after="0"/>
        <w:ind w:left="1318" w:right="0" w:hanging="478"/>
        <w:jc w:val="left"/>
        <w:rPr>
          <w:sz w:val="21"/>
        </w:rPr>
      </w:pPr>
      <w:r>
        <w:rPr>
          <w:spacing w:val="-3"/>
          <w:sz w:val="21"/>
        </w:rPr>
        <w:t>系统接地</w:t>
      </w:r>
      <w:r>
        <w:rPr>
          <w:sz w:val="21"/>
        </w:rPr>
        <w:t> </w:t>
      </w:r>
    </w:p>
    <w:p>
      <w:pPr>
        <w:pStyle w:val="BodyText"/>
        <w:spacing w:before="10"/>
        <w:rPr>
          <w:sz w:val="17"/>
        </w:rPr>
      </w:pPr>
    </w:p>
    <w:p>
      <w:pPr>
        <w:pStyle w:val="ListParagraph"/>
        <w:numPr>
          <w:ilvl w:val="2"/>
          <w:numId w:val="657"/>
        </w:numPr>
        <w:tabs>
          <w:tab w:pos="1478" w:val="left" w:leader="none"/>
        </w:tabs>
        <w:spacing w:line="240" w:lineRule="auto" w:before="0" w:after="0"/>
        <w:ind w:left="1477" w:right="0" w:hanging="638"/>
        <w:jc w:val="left"/>
        <w:rPr>
          <w:sz w:val="21"/>
        </w:rPr>
      </w:pPr>
      <w:r>
        <w:rPr>
          <w:spacing w:val="-3"/>
          <w:sz w:val="21"/>
        </w:rPr>
        <w:t>火灾自动报警系统接地装置的接地电阻值应符合下列规定：</w:t>
      </w:r>
      <w:r>
        <w:rPr>
          <w:sz w:val="21"/>
        </w:rPr>
        <w:t> </w:t>
      </w:r>
    </w:p>
    <w:p>
      <w:pPr>
        <w:pStyle w:val="BodyText"/>
        <w:spacing w:before="2"/>
        <w:rPr>
          <w:sz w:val="18"/>
        </w:rPr>
      </w:pPr>
    </w:p>
    <w:p>
      <w:pPr>
        <w:pStyle w:val="ListParagraph"/>
        <w:numPr>
          <w:ilvl w:val="0"/>
          <w:numId w:val="658"/>
        </w:numPr>
        <w:tabs>
          <w:tab w:pos="1367" w:val="left" w:leader="none"/>
        </w:tabs>
        <w:spacing w:line="240" w:lineRule="auto" w:before="0" w:after="0"/>
        <w:ind w:left="1367" w:right="0" w:hanging="529"/>
        <w:jc w:val="left"/>
        <w:rPr>
          <w:sz w:val="21"/>
        </w:rPr>
      </w:pPr>
      <w:r>
        <w:rPr>
          <w:spacing w:val="-3"/>
          <w:sz w:val="21"/>
        </w:rPr>
        <w:t>采用共用接地装置时，接地电阻值不应大于 </w:t>
      </w:r>
      <w:r>
        <w:rPr>
          <w:sz w:val="21"/>
        </w:rPr>
        <w:t>1Ω</w:t>
      </w:r>
      <w:r>
        <w:rPr>
          <w:spacing w:val="4"/>
          <w:sz w:val="21"/>
        </w:rPr>
        <w:t> 。</w:t>
      </w:r>
      <w:r>
        <w:rPr>
          <w:sz w:val="21"/>
        </w:rPr>
        <w:t> </w:t>
      </w:r>
    </w:p>
    <w:p>
      <w:pPr>
        <w:pStyle w:val="BodyText"/>
        <w:rPr>
          <w:sz w:val="18"/>
        </w:rPr>
      </w:pPr>
    </w:p>
    <w:p>
      <w:pPr>
        <w:pStyle w:val="ListParagraph"/>
        <w:numPr>
          <w:ilvl w:val="0"/>
          <w:numId w:val="658"/>
        </w:numPr>
        <w:tabs>
          <w:tab w:pos="1367" w:val="left" w:leader="none"/>
        </w:tabs>
        <w:spacing w:line="240" w:lineRule="auto" w:before="0" w:after="0"/>
        <w:ind w:left="1367" w:right="0" w:hanging="529"/>
        <w:jc w:val="left"/>
        <w:rPr>
          <w:sz w:val="21"/>
        </w:rPr>
      </w:pPr>
      <w:r>
        <w:rPr>
          <w:spacing w:val="-3"/>
          <w:sz w:val="21"/>
        </w:rPr>
        <w:t>采用专用接地装置时，接地电阻值不应大于 </w:t>
      </w:r>
      <w:r>
        <w:rPr>
          <w:sz w:val="21"/>
        </w:rPr>
        <w:t>4Ω</w:t>
      </w:r>
      <w:r>
        <w:rPr>
          <w:spacing w:val="4"/>
          <w:sz w:val="21"/>
        </w:rPr>
        <w:t> 。</w:t>
      </w:r>
      <w:r>
        <w:rPr>
          <w:sz w:val="21"/>
        </w:rPr>
        <w:t> </w:t>
      </w:r>
      <w:r>
        <w:rPr>
          <w:spacing w:val="-2"/>
          <w:sz w:val="21"/>
        </w:rPr>
        <w:t> </w:t>
      </w:r>
      <w:r>
        <w:rPr>
          <w:w w:val="100"/>
          <w:sz w:val="21"/>
        </w:rPr>
        <w:t>  </w:t>
      </w:r>
    </w:p>
    <w:p>
      <w:pPr>
        <w:pStyle w:val="BodyText"/>
        <w:spacing w:before="12"/>
        <w:rPr>
          <w:sz w:val="17"/>
        </w:rPr>
      </w:pPr>
    </w:p>
    <w:p>
      <w:pPr>
        <w:pStyle w:val="ListParagraph"/>
        <w:numPr>
          <w:ilvl w:val="2"/>
          <w:numId w:val="657"/>
        </w:numPr>
        <w:tabs>
          <w:tab w:pos="1478" w:val="left" w:leader="none"/>
        </w:tabs>
        <w:spacing w:line="446" w:lineRule="auto" w:before="0" w:after="0"/>
        <w:ind w:left="418" w:right="1431" w:firstLine="422"/>
        <w:jc w:val="left"/>
        <w:rPr>
          <w:sz w:val="21"/>
        </w:rPr>
      </w:pPr>
      <w:r>
        <w:rPr>
          <w:spacing w:val="-10"/>
          <w:sz w:val="21"/>
        </w:rPr>
        <w:t>消防控制室内的电气和电子设备的金属外壳、机柜、机架和金属管、槽等，应采用等</w:t>
      </w:r>
      <w:r>
        <w:rPr>
          <w:spacing w:val="-6"/>
          <w:sz w:val="21"/>
        </w:rPr>
        <w:t>电位连接。</w:t>
      </w:r>
      <w:r>
        <w:rPr>
          <w:sz w:val="21"/>
        </w:rPr>
        <w:t> </w:t>
      </w:r>
      <w:r>
        <w:rPr>
          <w:spacing w:val="-2"/>
          <w:sz w:val="21"/>
        </w:rPr>
        <w:t> </w:t>
      </w:r>
      <w:r>
        <w:rPr>
          <w:w w:val="100"/>
          <w:sz w:val="21"/>
        </w:rPr>
        <w:t>  </w:t>
      </w:r>
    </w:p>
    <w:p>
      <w:pPr>
        <w:pStyle w:val="ListParagraph"/>
        <w:numPr>
          <w:ilvl w:val="2"/>
          <w:numId w:val="657"/>
        </w:numPr>
        <w:tabs>
          <w:tab w:pos="1478" w:val="left" w:leader="none"/>
        </w:tabs>
        <w:spacing w:line="446" w:lineRule="auto" w:before="1" w:after="0"/>
        <w:ind w:left="418" w:right="1434" w:firstLine="422"/>
        <w:jc w:val="left"/>
        <w:rPr>
          <w:sz w:val="21"/>
        </w:rPr>
      </w:pPr>
      <w:r>
        <w:rPr>
          <w:spacing w:val="-3"/>
          <w:sz w:val="21"/>
        </w:rPr>
        <w:t>由消防控制室接地板引至各消防电子设备的专用接地线应选用铜芯绝缘导线，其线 芯截面面积不应小于 </w:t>
      </w:r>
      <w:r>
        <w:rPr>
          <w:sz w:val="21"/>
        </w:rPr>
        <w:t>4mm²</w:t>
      </w:r>
      <w:r>
        <w:rPr>
          <w:spacing w:val="-1"/>
          <w:sz w:val="21"/>
        </w:rPr>
        <w:t> 。</w:t>
      </w:r>
      <w:r>
        <w:rPr>
          <w:sz w:val="21"/>
        </w:rPr>
        <w:t>  </w:t>
      </w:r>
      <w:r>
        <w:rPr>
          <w:w w:val="100"/>
          <w:sz w:val="21"/>
        </w:rPr>
        <w:t>  </w:t>
      </w:r>
    </w:p>
    <w:p>
      <w:pPr>
        <w:pStyle w:val="ListParagraph"/>
        <w:numPr>
          <w:ilvl w:val="2"/>
          <w:numId w:val="657"/>
        </w:numPr>
        <w:tabs>
          <w:tab w:pos="1478" w:val="left" w:leader="none"/>
          <w:tab w:pos="2097" w:val="left" w:leader="none"/>
        </w:tabs>
        <w:spacing w:line="446" w:lineRule="auto" w:before="0" w:after="0"/>
        <w:ind w:left="418" w:right="1433" w:firstLine="422"/>
        <w:jc w:val="left"/>
        <w:rPr>
          <w:sz w:val="21"/>
        </w:rPr>
      </w:pPr>
      <w:r>
        <w:rPr>
          <w:spacing w:val="-3"/>
          <w:sz w:val="21"/>
        </w:rPr>
        <w:t>消</w:t>
      </w:r>
      <w:r>
        <w:rPr>
          <w:sz w:val="21"/>
        </w:rPr>
        <w:t>防</w:t>
      </w:r>
      <w:r>
        <w:rPr>
          <w:spacing w:val="-3"/>
          <w:sz w:val="21"/>
        </w:rPr>
        <w:t>控</w:t>
      </w:r>
      <w:r>
        <w:rPr>
          <w:sz w:val="21"/>
        </w:rPr>
        <w:t>制</w:t>
      </w:r>
      <w:r>
        <w:rPr>
          <w:spacing w:val="-3"/>
          <w:sz w:val="21"/>
        </w:rPr>
        <w:t>室</w:t>
      </w:r>
      <w:r>
        <w:rPr>
          <w:sz w:val="21"/>
        </w:rPr>
        <w:t>接</w:t>
      </w:r>
      <w:r>
        <w:rPr>
          <w:spacing w:val="-3"/>
          <w:sz w:val="21"/>
        </w:rPr>
        <w:t>地板</w:t>
      </w:r>
      <w:r>
        <w:rPr>
          <w:sz w:val="21"/>
        </w:rPr>
        <w:t>与建</w:t>
      </w:r>
      <w:r>
        <w:rPr>
          <w:spacing w:val="-3"/>
          <w:sz w:val="21"/>
        </w:rPr>
        <w:t>筑</w:t>
      </w:r>
      <w:r>
        <w:rPr>
          <w:sz w:val="21"/>
        </w:rPr>
        <w:t>接</w:t>
      </w:r>
      <w:r>
        <w:rPr>
          <w:spacing w:val="-3"/>
          <w:sz w:val="21"/>
        </w:rPr>
        <w:t>地</w:t>
      </w:r>
      <w:r>
        <w:rPr>
          <w:sz w:val="21"/>
        </w:rPr>
        <w:t>体</w:t>
      </w:r>
      <w:r>
        <w:rPr>
          <w:spacing w:val="-3"/>
          <w:sz w:val="21"/>
        </w:rPr>
        <w:t>之</w:t>
      </w:r>
      <w:r>
        <w:rPr>
          <w:sz w:val="21"/>
        </w:rPr>
        <w:t>间</w:t>
      </w:r>
      <w:r>
        <w:rPr>
          <w:spacing w:val="-41"/>
          <w:sz w:val="21"/>
        </w:rPr>
        <w:t>，</w:t>
      </w:r>
      <w:r>
        <w:rPr>
          <w:sz w:val="21"/>
        </w:rPr>
        <w:t>应</w:t>
      </w:r>
      <w:r>
        <w:rPr>
          <w:spacing w:val="-3"/>
          <w:sz w:val="21"/>
        </w:rPr>
        <w:t>采</w:t>
      </w:r>
      <w:r>
        <w:rPr>
          <w:sz w:val="21"/>
        </w:rPr>
        <w:t>用线</w:t>
      </w:r>
      <w:r>
        <w:rPr>
          <w:spacing w:val="-3"/>
          <w:sz w:val="21"/>
        </w:rPr>
        <w:t>芯</w:t>
      </w:r>
      <w:r>
        <w:rPr>
          <w:sz w:val="21"/>
        </w:rPr>
        <w:t>截</w:t>
      </w:r>
      <w:r>
        <w:rPr>
          <w:spacing w:val="-3"/>
          <w:sz w:val="21"/>
        </w:rPr>
        <w:t>面</w:t>
      </w:r>
      <w:r>
        <w:rPr>
          <w:sz w:val="21"/>
        </w:rPr>
        <w:t>面</w:t>
      </w:r>
      <w:r>
        <w:rPr>
          <w:spacing w:val="-3"/>
          <w:sz w:val="21"/>
        </w:rPr>
        <w:t>积</w:t>
      </w:r>
      <w:r>
        <w:rPr>
          <w:sz w:val="21"/>
        </w:rPr>
        <w:t>不</w:t>
      </w:r>
      <w:r>
        <w:rPr>
          <w:spacing w:val="-3"/>
          <w:sz w:val="21"/>
        </w:rPr>
        <w:t>小</w:t>
      </w:r>
      <w:r>
        <w:rPr>
          <w:sz w:val="21"/>
        </w:rPr>
        <w:t>于</w:t>
      </w:r>
      <w:r>
        <w:rPr>
          <w:spacing w:val="11"/>
          <w:sz w:val="21"/>
        </w:rPr>
        <w:t> </w:t>
      </w:r>
      <w:r>
        <w:rPr>
          <w:sz w:val="21"/>
        </w:rPr>
        <w:t>25mm²</w:t>
      </w:r>
      <w:r>
        <w:rPr>
          <w:spacing w:val="12"/>
          <w:sz w:val="21"/>
        </w:rPr>
        <w:t> </w:t>
      </w:r>
      <w:r>
        <w:rPr>
          <w:spacing w:val="-3"/>
          <w:sz w:val="21"/>
        </w:rPr>
        <w:t>的</w:t>
      </w:r>
      <w:r>
        <w:rPr>
          <w:sz w:val="21"/>
        </w:rPr>
        <w:t>铜</w:t>
      </w:r>
      <w:r>
        <w:rPr>
          <w:spacing w:val="-3"/>
          <w:sz w:val="21"/>
        </w:rPr>
        <w:t>芯</w:t>
      </w:r>
      <w:r>
        <w:rPr>
          <w:sz w:val="21"/>
        </w:rPr>
        <w:t>绝缘导</w:t>
      </w:r>
      <w:r>
        <w:rPr>
          <w:spacing w:val="-3"/>
          <w:sz w:val="21"/>
        </w:rPr>
        <w:t>线</w:t>
      </w:r>
      <w:r>
        <w:rPr>
          <w:sz w:val="21"/>
        </w:rPr>
        <w:t>连</w:t>
      </w:r>
      <w:r>
        <w:rPr>
          <w:spacing w:val="-3"/>
          <w:sz w:val="21"/>
        </w:rPr>
        <w:t>接。</w:t>
      </w:r>
      <w:r>
        <w:rPr>
          <w:sz w:val="21"/>
        </w:rPr>
        <w:t> </w:t>
        <w:tab/>
      </w:r>
      <w:r>
        <w:rPr>
          <w:w w:val="100"/>
          <w:sz w:val="21"/>
        </w:rPr>
        <w:t>  </w:t>
      </w:r>
    </w:p>
    <w:p>
      <w:pPr>
        <w:pStyle w:val="Heading4"/>
        <w:spacing w:line="275" w:lineRule="exact"/>
      </w:pPr>
      <w:r>
        <w:rPr/>
        <w:t>11 布线</w:t>
      </w:r>
      <w:r>
        <w:rPr>
          <w:w w:val="99"/>
        </w:rPr>
        <w:t> </w:t>
      </w:r>
    </w:p>
    <w:p>
      <w:pPr>
        <w:pStyle w:val="BodyText"/>
        <w:spacing w:before="6"/>
        <w:rPr>
          <w:b/>
          <w:sz w:val="17"/>
        </w:rPr>
      </w:pPr>
    </w:p>
    <w:p>
      <w:pPr>
        <w:pStyle w:val="ListParagraph"/>
        <w:numPr>
          <w:ilvl w:val="1"/>
          <w:numId w:val="659"/>
        </w:numPr>
        <w:tabs>
          <w:tab w:pos="1264" w:val="left" w:leader="none"/>
        </w:tabs>
        <w:spacing w:line="240" w:lineRule="auto" w:before="0" w:after="0"/>
        <w:ind w:left="1263" w:right="0" w:hanging="424"/>
        <w:jc w:val="both"/>
        <w:rPr>
          <w:sz w:val="21"/>
        </w:rPr>
      </w:pPr>
      <w:r>
        <w:rPr>
          <w:spacing w:val="-2"/>
          <w:sz w:val="21"/>
        </w:rPr>
        <w:t>一般规定</w:t>
      </w:r>
      <w:r>
        <w:rPr>
          <w:sz w:val="21"/>
        </w:rPr>
        <w:t> </w:t>
      </w:r>
    </w:p>
    <w:p>
      <w:pPr>
        <w:pStyle w:val="BodyText"/>
        <w:rPr>
          <w:sz w:val="18"/>
        </w:rPr>
      </w:pPr>
    </w:p>
    <w:p>
      <w:pPr>
        <w:pStyle w:val="ListParagraph"/>
        <w:numPr>
          <w:ilvl w:val="2"/>
          <w:numId w:val="659"/>
        </w:numPr>
        <w:tabs>
          <w:tab w:pos="1478" w:val="left" w:leader="none"/>
        </w:tabs>
        <w:spacing w:line="446" w:lineRule="auto" w:before="0" w:after="0"/>
        <w:ind w:left="418" w:right="1603" w:firstLine="422"/>
        <w:jc w:val="both"/>
        <w:rPr>
          <w:sz w:val="21"/>
        </w:rPr>
      </w:pPr>
      <w:r>
        <w:rPr>
          <w:spacing w:val="-2"/>
          <w:sz w:val="21"/>
        </w:rPr>
        <w:t>火灾自动报警系统的传输线路和 </w:t>
      </w:r>
      <w:r>
        <w:rPr>
          <w:sz w:val="21"/>
        </w:rPr>
        <w:t>50V</w:t>
      </w:r>
      <w:r>
        <w:rPr>
          <w:spacing w:val="-3"/>
          <w:sz w:val="21"/>
        </w:rPr>
        <w:t> 以下供电的控制线路，应采用电压等级不低</w:t>
      </w:r>
      <w:r>
        <w:rPr>
          <w:spacing w:val="-1"/>
          <w:sz w:val="21"/>
        </w:rPr>
        <w:t>于交流 </w:t>
      </w:r>
      <w:r>
        <w:rPr>
          <w:sz w:val="21"/>
        </w:rPr>
        <w:t>300V/500V</w:t>
      </w:r>
      <w:r>
        <w:rPr>
          <w:spacing w:val="-3"/>
          <w:sz w:val="21"/>
        </w:rPr>
        <w:t> 的铜芯绝缘导线或铜芯电缆。采用交流 </w:t>
      </w:r>
      <w:r>
        <w:rPr>
          <w:sz w:val="21"/>
        </w:rPr>
        <w:t>220V/380V</w:t>
      </w:r>
      <w:r>
        <w:rPr>
          <w:spacing w:val="-3"/>
          <w:sz w:val="21"/>
        </w:rPr>
        <w:t> 的供电和控制线路，应</w:t>
      </w:r>
      <w:r>
        <w:rPr>
          <w:spacing w:val="-8"/>
          <w:sz w:val="21"/>
        </w:rPr>
        <w:t>采用电压等级不低于交流 </w:t>
      </w:r>
      <w:r>
        <w:rPr>
          <w:sz w:val="21"/>
        </w:rPr>
        <w:t>450V/750V</w:t>
      </w:r>
      <w:r>
        <w:rPr>
          <w:spacing w:val="-3"/>
          <w:sz w:val="21"/>
        </w:rPr>
        <w:t> 的铜芯绝缘导线或铜芯电缆。</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659"/>
        </w:numPr>
        <w:tabs>
          <w:tab w:pos="1478" w:val="left" w:leader="none"/>
        </w:tabs>
        <w:spacing w:line="446" w:lineRule="auto" w:before="47" w:after="0"/>
        <w:ind w:left="418" w:right="1496" w:firstLine="422"/>
        <w:jc w:val="both"/>
        <w:rPr>
          <w:sz w:val="21"/>
        </w:rPr>
      </w:pPr>
      <w:r>
        <w:rPr>
          <w:spacing w:val="-3"/>
          <w:sz w:val="21"/>
        </w:rPr>
        <w:t>火灾自动报警系统传输线路的线芯截面选择，除应满足自动报警装置技术条件的要求外，还应满足机械强度的要求。铜芯绝缘导线和铜芯电缆线芯的最小截面面积，不应小于表11.1.2 的规定。</w:t>
      </w:r>
      <w:r>
        <w:rPr>
          <w:sz w:val="21"/>
        </w:rPr>
        <w:t> </w:t>
      </w:r>
    </w:p>
    <w:p>
      <w:pPr>
        <w:pStyle w:val="BodyText"/>
        <w:ind w:left="1168"/>
        <w:rPr>
          <w:sz w:val="20"/>
        </w:rPr>
      </w:pPr>
      <w:r>
        <w:rPr>
          <w:sz w:val="20"/>
        </w:rPr>
        <w:drawing>
          <wp:inline distT="0" distB="0" distL="0" distR="0">
            <wp:extent cx="4677976" cy="1463040"/>
            <wp:effectExtent l="0" t="0" r="0" b="0"/>
            <wp:docPr id="499" name="image290.jpeg"/>
            <wp:cNvGraphicFramePr>
              <a:graphicFrameLocks noChangeAspect="1"/>
            </wp:cNvGraphicFramePr>
            <a:graphic>
              <a:graphicData uri="http://schemas.openxmlformats.org/drawingml/2006/picture">
                <pic:pic>
                  <pic:nvPicPr>
                    <pic:cNvPr id="500" name="image290.jpeg"/>
                    <pic:cNvPicPr/>
                  </pic:nvPicPr>
                  <pic:blipFill>
                    <a:blip r:embed="rId353" cstate="print"/>
                    <a:stretch>
                      <a:fillRect/>
                    </a:stretch>
                  </pic:blipFill>
                  <pic:spPr>
                    <a:xfrm>
                      <a:off x="0" y="0"/>
                      <a:ext cx="4677976" cy="146304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
        <w:rPr>
          <w:sz w:val="15"/>
        </w:rPr>
      </w:pPr>
    </w:p>
    <w:p>
      <w:pPr>
        <w:pStyle w:val="ListParagraph"/>
        <w:numPr>
          <w:ilvl w:val="2"/>
          <w:numId w:val="659"/>
        </w:numPr>
        <w:tabs>
          <w:tab w:pos="1478" w:val="left" w:leader="none"/>
        </w:tabs>
        <w:spacing w:line="240" w:lineRule="auto" w:before="0" w:after="0"/>
        <w:ind w:left="1477" w:right="0" w:hanging="638"/>
        <w:jc w:val="left"/>
        <w:rPr>
          <w:b/>
          <w:sz w:val="21"/>
        </w:rPr>
      </w:pPr>
      <w:r>
        <w:rPr>
          <w:spacing w:val="-3"/>
          <w:sz w:val="21"/>
        </w:rPr>
        <w:t>火灾自动报警系统的供电线路和传输线路设置在室外时，应埋地敷设。</w:t>
      </w:r>
      <w:r>
        <w:rPr>
          <w:b/>
          <w:spacing w:val="-3"/>
          <w:w w:val="99"/>
          <w:sz w:val="21"/>
        </w:rPr>
        <w:t> </w:t>
      </w:r>
    </w:p>
    <w:p>
      <w:pPr>
        <w:pStyle w:val="BodyText"/>
        <w:spacing w:before="12"/>
        <w:rPr>
          <w:b/>
          <w:sz w:val="17"/>
        </w:rPr>
      </w:pPr>
    </w:p>
    <w:p>
      <w:pPr>
        <w:pStyle w:val="ListParagraph"/>
        <w:numPr>
          <w:ilvl w:val="2"/>
          <w:numId w:val="659"/>
        </w:numPr>
        <w:tabs>
          <w:tab w:pos="1478" w:val="left" w:leader="none"/>
        </w:tabs>
        <w:spacing w:line="240" w:lineRule="auto" w:before="0" w:after="0"/>
        <w:ind w:left="1477" w:right="0" w:hanging="638"/>
        <w:jc w:val="left"/>
        <w:rPr>
          <w:sz w:val="21"/>
        </w:rPr>
      </w:pPr>
      <w:r>
        <w:rPr>
          <w:spacing w:val="-3"/>
          <w:sz w:val="21"/>
        </w:rPr>
        <w:t>火灾自动报警系统的供电线路和传输线路设置在地</w:t>
      </w:r>
      <w:r>
        <w:rPr>
          <w:sz w:val="21"/>
        </w:rPr>
        <w:t>（</w:t>
      </w:r>
      <w:r>
        <w:rPr>
          <w:spacing w:val="-3"/>
          <w:sz w:val="21"/>
        </w:rPr>
        <w:t>水</w:t>
      </w:r>
      <w:r>
        <w:rPr>
          <w:sz w:val="21"/>
        </w:rPr>
        <w:t>）</w:t>
      </w:r>
      <w:r>
        <w:rPr>
          <w:spacing w:val="-3"/>
          <w:sz w:val="21"/>
        </w:rPr>
        <w:t>下隧道或湿度大于 </w:t>
      </w:r>
      <w:r>
        <w:rPr>
          <w:sz w:val="21"/>
        </w:rPr>
        <w:t>90% </w:t>
      </w:r>
    </w:p>
    <w:p>
      <w:pPr>
        <w:pStyle w:val="BodyText"/>
        <w:spacing w:before="2"/>
        <w:rPr>
          <w:sz w:val="18"/>
        </w:rPr>
      </w:pPr>
    </w:p>
    <w:p>
      <w:pPr>
        <w:pStyle w:val="BodyText"/>
        <w:ind w:left="418"/>
        <w:rPr>
          <w:b/>
        </w:rPr>
      </w:pPr>
      <w:r>
        <w:rPr/>
        <w:t>的场所时，线路及接线处应做防水处理。</w:t>
      </w:r>
      <w:r>
        <w:rPr>
          <w:b/>
          <w:w w:val="99"/>
        </w:rPr>
        <w:t> </w:t>
      </w:r>
    </w:p>
    <w:p>
      <w:pPr>
        <w:pStyle w:val="BodyText"/>
        <w:spacing w:before="12"/>
        <w:rPr>
          <w:b/>
          <w:sz w:val="17"/>
        </w:rPr>
      </w:pPr>
    </w:p>
    <w:p>
      <w:pPr>
        <w:pStyle w:val="ListParagraph"/>
        <w:numPr>
          <w:ilvl w:val="2"/>
          <w:numId w:val="659"/>
        </w:numPr>
        <w:tabs>
          <w:tab w:pos="1478" w:val="left" w:leader="none"/>
        </w:tabs>
        <w:spacing w:line="240" w:lineRule="auto" w:before="0" w:after="0"/>
        <w:ind w:left="1477" w:right="0" w:hanging="638"/>
        <w:jc w:val="left"/>
        <w:rPr>
          <w:sz w:val="21"/>
        </w:rPr>
      </w:pPr>
      <w:r>
        <w:rPr>
          <w:spacing w:val="-3"/>
          <w:sz w:val="21"/>
        </w:rPr>
        <w:t>采用无线通信方式的系统设计，应符合下列规定：</w:t>
      </w:r>
      <w:r>
        <w:rPr>
          <w:sz w:val="21"/>
        </w:rPr>
        <w:t> </w:t>
      </w:r>
    </w:p>
    <w:p>
      <w:pPr>
        <w:pStyle w:val="BodyText"/>
        <w:rPr>
          <w:sz w:val="18"/>
        </w:rPr>
      </w:pPr>
    </w:p>
    <w:p>
      <w:pPr>
        <w:pStyle w:val="ListParagraph"/>
        <w:numPr>
          <w:ilvl w:val="0"/>
          <w:numId w:val="660"/>
        </w:numPr>
        <w:tabs>
          <w:tab w:pos="1367" w:val="left" w:leader="none"/>
        </w:tabs>
        <w:spacing w:line="240" w:lineRule="auto" w:before="0" w:after="0"/>
        <w:ind w:left="1367" w:right="0" w:hanging="529"/>
        <w:jc w:val="left"/>
        <w:rPr>
          <w:sz w:val="21"/>
        </w:rPr>
      </w:pPr>
      <w:r>
        <w:rPr>
          <w:spacing w:val="-3"/>
          <w:sz w:val="21"/>
        </w:rPr>
        <w:t>无线通信模块的设置间距不应大于额定通信距离的 </w:t>
      </w:r>
      <w:r>
        <w:rPr>
          <w:sz w:val="21"/>
        </w:rPr>
        <w:t>75%</w:t>
      </w:r>
      <w:r>
        <w:rPr>
          <w:spacing w:val="-3"/>
          <w:sz w:val="21"/>
        </w:rPr>
        <w:t> 。</w:t>
      </w:r>
      <w:r>
        <w:rPr>
          <w:sz w:val="21"/>
        </w:rPr>
        <w:t> </w:t>
      </w:r>
    </w:p>
    <w:p>
      <w:pPr>
        <w:pStyle w:val="BodyText"/>
        <w:spacing w:before="2"/>
        <w:rPr>
          <w:sz w:val="18"/>
        </w:rPr>
      </w:pPr>
    </w:p>
    <w:p>
      <w:pPr>
        <w:pStyle w:val="ListParagraph"/>
        <w:numPr>
          <w:ilvl w:val="0"/>
          <w:numId w:val="660"/>
        </w:numPr>
        <w:tabs>
          <w:tab w:pos="1367" w:val="left" w:leader="none"/>
          <w:tab w:pos="1677" w:val="left" w:leader="none"/>
        </w:tabs>
        <w:spacing w:line="446" w:lineRule="auto" w:before="0" w:after="0"/>
        <w:ind w:left="840" w:right="4343" w:hanging="3"/>
        <w:jc w:val="left"/>
        <w:rPr>
          <w:b/>
          <w:sz w:val="21"/>
        </w:rPr>
      </w:pPr>
      <w:r>
        <w:rPr>
          <w:sz w:val="21"/>
        </w:rPr>
        <w:t>无</w:t>
      </w:r>
      <w:r>
        <w:rPr>
          <w:spacing w:val="-3"/>
          <w:sz w:val="21"/>
        </w:rPr>
        <w:t>线</w:t>
      </w:r>
      <w:r>
        <w:rPr>
          <w:sz w:val="21"/>
        </w:rPr>
        <w:t>通</w:t>
      </w:r>
      <w:r>
        <w:rPr>
          <w:spacing w:val="-3"/>
          <w:sz w:val="21"/>
        </w:rPr>
        <w:t>信</w:t>
      </w:r>
      <w:r>
        <w:rPr>
          <w:sz w:val="21"/>
        </w:rPr>
        <w:t>模</w:t>
      </w:r>
      <w:r>
        <w:rPr>
          <w:spacing w:val="-3"/>
          <w:sz w:val="21"/>
        </w:rPr>
        <w:t>块</w:t>
      </w:r>
      <w:r>
        <w:rPr>
          <w:sz w:val="21"/>
        </w:rPr>
        <w:t>应</w:t>
      </w:r>
      <w:r>
        <w:rPr>
          <w:spacing w:val="-3"/>
          <w:sz w:val="21"/>
        </w:rPr>
        <w:t>设置</w:t>
      </w:r>
      <w:r>
        <w:rPr>
          <w:sz w:val="21"/>
        </w:rPr>
        <w:t>在明</w:t>
      </w:r>
      <w:r>
        <w:rPr>
          <w:spacing w:val="-3"/>
          <w:sz w:val="21"/>
        </w:rPr>
        <w:t>显</w:t>
      </w:r>
      <w:r>
        <w:rPr>
          <w:sz w:val="21"/>
        </w:rPr>
        <w:t>部</w:t>
      </w:r>
      <w:r>
        <w:rPr>
          <w:spacing w:val="-3"/>
          <w:sz w:val="21"/>
        </w:rPr>
        <w:t>位</w:t>
      </w:r>
      <w:r>
        <w:rPr>
          <w:sz w:val="21"/>
        </w:rPr>
        <w:t>，</w:t>
      </w:r>
      <w:r>
        <w:rPr>
          <w:spacing w:val="-3"/>
          <w:sz w:val="21"/>
        </w:rPr>
        <w:t>且</w:t>
      </w:r>
      <w:r>
        <w:rPr>
          <w:sz w:val="21"/>
        </w:rPr>
        <w:t>应</w:t>
      </w:r>
      <w:r>
        <w:rPr>
          <w:spacing w:val="-3"/>
          <w:sz w:val="21"/>
        </w:rPr>
        <w:t>有</w:t>
      </w:r>
      <w:r>
        <w:rPr>
          <w:sz w:val="21"/>
        </w:rPr>
        <w:t>明</w:t>
      </w:r>
      <w:r>
        <w:rPr>
          <w:spacing w:val="-3"/>
          <w:sz w:val="21"/>
        </w:rPr>
        <w:t>显</w:t>
      </w:r>
      <w:r>
        <w:rPr>
          <w:sz w:val="21"/>
        </w:rPr>
        <w:t>标识</w:t>
      </w:r>
      <w:r>
        <w:rPr>
          <w:spacing w:val="-3"/>
          <w:sz w:val="21"/>
        </w:rPr>
        <w:t>。</w:t>
      </w:r>
      <w:r>
        <w:rPr>
          <w:b/>
          <w:sz w:val="21"/>
        </w:rPr>
        <w:t>11.2</w:t>
        <w:tab/>
        <w:tab/>
      </w:r>
      <w:r>
        <w:rPr>
          <w:sz w:val="21"/>
        </w:rPr>
        <w:t>室内</w:t>
      </w:r>
      <w:r>
        <w:rPr>
          <w:spacing w:val="-3"/>
          <w:sz w:val="21"/>
        </w:rPr>
        <w:t>布线</w:t>
      </w:r>
      <w:r>
        <w:rPr>
          <w:b/>
          <w:w w:val="99"/>
          <w:sz w:val="21"/>
        </w:rPr>
        <w:t> </w:t>
      </w:r>
    </w:p>
    <w:p>
      <w:pPr>
        <w:pStyle w:val="ListParagraph"/>
        <w:numPr>
          <w:ilvl w:val="2"/>
          <w:numId w:val="661"/>
        </w:numPr>
        <w:tabs>
          <w:tab w:pos="1478" w:val="left" w:leader="none"/>
        </w:tabs>
        <w:spacing w:line="446" w:lineRule="auto" w:before="0" w:after="0"/>
        <w:ind w:left="418" w:right="1431" w:firstLine="422"/>
        <w:jc w:val="both"/>
        <w:rPr>
          <w:sz w:val="21"/>
        </w:rPr>
      </w:pPr>
      <w:r>
        <w:rPr>
          <w:spacing w:val="-3"/>
          <w:sz w:val="21"/>
        </w:rPr>
        <w:t>火灾自动报警系统的传输线路应采用金属管、可挠</w:t>
      </w:r>
      <w:r>
        <w:rPr>
          <w:sz w:val="21"/>
        </w:rPr>
        <w:t>（</w:t>
      </w:r>
      <w:r>
        <w:rPr>
          <w:spacing w:val="-2"/>
          <w:sz w:val="21"/>
        </w:rPr>
        <w:t>金属</w:t>
      </w:r>
      <w:r>
        <w:rPr>
          <w:spacing w:val="-3"/>
          <w:sz w:val="21"/>
        </w:rPr>
        <w:t>）电气导管、</w:t>
      </w:r>
      <w:r>
        <w:rPr>
          <w:sz w:val="21"/>
        </w:rPr>
        <w:t>B1</w:t>
      </w:r>
      <w:r>
        <w:rPr>
          <w:spacing w:val="12"/>
          <w:sz w:val="21"/>
        </w:rPr>
        <w:t>  级以上</w:t>
      </w:r>
      <w:r>
        <w:rPr>
          <w:spacing w:val="-3"/>
          <w:sz w:val="21"/>
        </w:rPr>
        <w:t>的钢性塑料管或封闭式线槽保护。</w:t>
      </w:r>
      <w:r>
        <w:rPr>
          <w:sz w:val="21"/>
        </w:rPr>
        <w:t> </w:t>
      </w:r>
      <w:r>
        <w:rPr>
          <w:spacing w:val="-2"/>
          <w:sz w:val="21"/>
        </w:rPr>
        <w:t> </w:t>
      </w:r>
      <w:r>
        <w:rPr>
          <w:w w:val="100"/>
          <w:sz w:val="21"/>
        </w:rPr>
        <w:t>  </w:t>
      </w:r>
    </w:p>
    <w:p>
      <w:pPr>
        <w:pStyle w:val="ListParagraph"/>
        <w:numPr>
          <w:ilvl w:val="2"/>
          <w:numId w:val="661"/>
        </w:numPr>
        <w:tabs>
          <w:tab w:pos="1478" w:val="left" w:leader="none"/>
        </w:tabs>
        <w:spacing w:line="446" w:lineRule="auto" w:before="0" w:after="0"/>
        <w:ind w:left="418" w:right="1434" w:firstLine="422"/>
        <w:jc w:val="both"/>
        <w:rPr>
          <w:sz w:val="21"/>
        </w:rPr>
      </w:pPr>
      <w:r>
        <w:rPr>
          <w:spacing w:val="-3"/>
          <w:sz w:val="21"/>
        </w:rPr>
        <w:t>火灾自动报警系统的供电线路、消防联动控制线路应采用耐火铜芯电线电缆，报警 总线、消防应急广播和消防专用电话等传输线路应采用阻燃或阻燃耐火电线电缆。</w:t>
      </w:r>
      <w:r>
        <w:rPr>
          <w:sz w:val="21"/>
        </w:rPr>
        <w:t> </w:t>
      </w:r>
    </w:p>
    <w:p>
      <w:pPr>
        <w:pStyle w:val="ListParagraph"/>
        <w:numPr>
          <w:ilvl w:val="2"/>
          <w:numId w:val="661"/>
        </w:numPr>
        <w:tabs>
          <w:tab w:pos="1479" w:val="left" w:leader="none"/>
        </w:tabs>
        <w:spacing w:line="446" w:lineRule="auto" w:before="0" w:after="0"/>
        <w:ind w:left="418" w:right="1431" w:firstLine="422"/>
        <w:jc w:val="both"/>
        <w:rPr>
          <w:sz w:val="21"/>
        </w:rPr>
      </w:pPr>
      <w:r>
        <w:rPr>
          <w:spacing w:val="-3"/>
          <w:sz w:val="21"/>
        </w:rPr>
        <w:t>线路暗敷设时，应采用金属管、可挠（</w:t>
      </w:r>
      <w:r>
        <w:rPr>
          <w:spacing w:val="-2"/>
          <w:sz w:val="21"/>
        </w:rPr>
        <w:t>金属</w:t>
      </w:r>
      <w:r>
        <w:rPr>
          <w:sz w:val="21"/>
        </w:rPr>
        <w:t>）</w:t>
      </w:r>
      <w:r>
        <w:rPr>
          <w:spacing w:val="3"/>
          <w:sz w:val="21"/>
        </w:rPr>
        <w:t>电气导管或 </w:t>
      </w:r>
      <w:r>
        <w:rPr>
          <w:sz w:val="21"/>
        </w:rPr>
        <w:t>B1 级以上的刚性塑料管</w:t>
      </w:r>
      <w:r>
        <w:rPr>
          <w:spacing w:val="-5"/>
          <w:sz w:val="21"/>
        </w:rPr>
        <w:t>保护，并应敷设在不燃烧体的结构层内，且保护层厚度不宜小于 </w:t>
      </w:r>
      <w:r>
        <w:rPr>
          <w:sz w:val="21"/>
        </w:rPr>
        <w:t>30mm ；线路明敷设时，应采用</w:t>
      </w:r>
      <w:r>
        <w:rPr>
          <w:spacing w:val="8"/>
          <w:sz w:val="21"/>
        </w:rPr>
        <w:t>金属管、可挠</w:t>
      </w:r>
      <w:r>
        <w:rPr>
          <w:spacing w:val="6"/>
          <w:sz w:val="21"/>
        </w:rPr>
        <w:t>（</w:t>
      </w:r>
      <w:r>
        <w:rPr>
          <w:spacing w:val="9"/>
          <w:sz w:val="21"/>
        </w:rPr>
        <w:t>金属</w:t>
      </w:r>
      <w:r>
        <w:rPr>
          <w:spacing w:val="6"/>
          <w:sz w:val="21"/>
        </w:rPr>
        <w:t>）</w:t>
      </w:r>
      <w:r>
        <w:rPr>
          <w:spacing w:val="5"/>
          <w:sz w:val="21"/>
        </w:rPr>
        <w:t>电气导管或金属封闭线槽保护。矿物绝缘类不燃性电缆可直接明敷。</w:t>
      </w:r>
    </w:p>
    <w:p>
      <w:pPr>
        <w:pStyle w:val="BodyText"/>
        <w:rPr>
          <w:sz w:val="20"/>
        </w:rPr>
      </w:pPr>
    </w:p>
    <w:p>
      <w:pPr>
        <w:pStyle w:val="BodyText"/>
        <w:spacing w:before="9"/>
        <w:rPr>
          <w:sz w:val="18"/>
        </w:rPr>
      </w:pPr>
    </w:p>
    <w:p>
      <w:pPr>
        <w:pStyle w:val="ListParagraph"/>
        <w:numPr>
          <w:ilvl w:val="2"/>
          <w:numId w:val="661"/>
        </w:numPr>
        <w:tabs>
          <w:tab w:pos="1478" w:val="left" w:leader="none"/>
        </w:tabs>
        <w:spacing w:line="446" w:lineRule="auto" w:before="0" w:after="0"/>
        <w:ind w:left="418" w:right="1433" w:firstLine="422"/>
        <w:jc w:val="both"/>
        <w:rPr>
          <w:sz w:val="21"/>
        </w:rPr>
      </w:pPr>
      <w:r>
        <w:rPr>
          <w:spacing w:val="-3"/>
          <w:sz w:val="21"/>
        </w:rPr>
        <w:t>火灾自动报警系统用的电缆竖井，宜与电力、照明用的低压配电线路电缆竖井分别 </w:t>
      </w:r>
      <w:r>
        <w:rPr>
          <w:spacing w:val="-7"/>
          <w:sz w:val="21"/>
        </w:rPr>
        <w:t>设置。受条件限制必须合用时，应将火灾自动报警系统用的电缆和电力、照明用的低压配电线路</w:t>
      </w:r>
      <w:r>
        <w:rPr>
          <w:spacing w:val="-5"/>
          <w:sz w:val="21"/>
        </w:rPr>
        <w:t>电缆分别布置在竖井的两侧。</w:t>
      </w:r>
      <w:r>
        <w:rPr>
          <w:sz w:val="21"/>
        </w:rPr>
        <w:t> </w:t>
      </w:r>
      <w:r>
        <w:rPr>
          <w:spacing w:val="-2"/>
          <w:sz w:val="21"/>
        </w:rPr>
        <w:t> </w:t>
      </w:r>
      <w:r>
        <w:rPr>
          <w:w w:val="100"/>
          <w:sz w:val="21"/>
        </w:rPr>
        <w:t>  </w:t>
      </w:r>
    </w:p>
    <w:p>
      <w:pPr>
        <w:pStyle w:val="ListParagraph"/>
        <w:numPr>
          <w:ilvl w:val="2"/>
          <w:numId w:val="661"/>
        </w:numPr>
        <w:tabs>
          <w:tab w:pos="1478" w:val="left" w:leader="none"/>
        </w:tabs>
        <w:spacing w:line="268" w:lineRule="exact" w:before="0" w:after="0"/>
        <w:ind w:left="1477" w:right="0" w:hanging="638"/>
        <w:jc w:val="both"/>
        <w:rPr>
          <w:sz w:val="21"/>
        </w:rPr>
      </w:pPr>
      <w:r>
        <w:rPr>
          <w:spacing w:val="-3"/>
          <w:sz w:val="21"/>
        </w:rPr>
        <w:t>不同电压等级的线缆不应穿入同一根保护管内，当合用同一线槽时，线槽内应有隔</w:t>
      </w:r>
    </w:p>
    <w:p>
      <w:pPr>
        <w:spacing w:after="0" w:line="268" w:lineRule="exact"/>
        <w:jc w:val="both"/>
        <w:rPr>
          <w:sz w:val="21"/>
        </w:rPr>
        <w:sectPr>
          <w:pgSz w:w="11910" w:h="16850"/>
          <w:pgMar w:header="0" w:footer="1239" w:top="1220" w:bottom="1420" w:left="1260" w:right="0"/>
        </w:sectPr>
      </w:pPr>
    </w:p>
    <w:p>
      <w:pPr>
        <w:pStyle w:val="BodyText"/>
        <w:spacing w:before="47"/>
        <w:ind w:left="418"/>
      </w:pPr>
      <w:r>
        <w:rPr/>
        <w:t>板分隔。 </w:t>
      </w:r>
    </w:p>
    <w:p>
      <w:pPr>
        <w:pStyle w:val="BodyText"/>
        <w:rPr>
          <w:sz w:val="18"/>
        </w:rPr>
      </w:pPr>
    </w:p>
    <w:p>
      <w:pPr>
        <w:pStyle w:val="ListParagraph"/>
        <w:numPr>
          <w:ilvl w:val="2"/>
          <w:numId w:val="661"/>
        </w:numPr>
        <w:tabs>
          <w:tab w:pos="1478" w:val="left" w:leader="none"/>
        </w:tabs>
        <w:spacing w:line="240" w:lineRule="auto" w:before="0" w:after="0"/>
        <w:ind w:left="1477" w:right="0" w:hanging="638"/>
        <w:jc w:val="left"/>
        <w:rPr>
          <w:sz w:val="21"/>
        </w:rPr>
      </w:pPr>
      <w:r>
        <w:rPr>
          <w:spacing w:val="-3"/>
          <w:sz w:val="21"/>
        </w:rPr>
        <w:t>采用穿管水平敷设时，除报警总线外，不同防火分区的线路不应穿入同一根管内。 </w:t>
      </w:r>
      <w:r>
        <w:rPr>
          <w:sz w:val="21"/>
        </w:rPr>
        <w:t> </w:t>
      </w:r>
    </w:p>
    <w:p>
      <w:pPr>
        <w:pStyle w:val="BodyText"/>
        <w:rPr>
          <w:sz w:val="18"/>
        </w:rPr>
      </w:pPr>
    </w:p>
    <w:p>
      <w:pPr>
        <w:pStyle w:val="ListParagraph"/>
        <w:numPr>
          <w:ilvl w:val="2"/>
          <w:numId w:val="661"/>
        </w:numPr>
        <w:tabs>
          <w:tab w:pos="1478" w:val="left" w:leader="none"/>
        </w:tabs>
        <w:spacing w:line="446" w:lineRule="auto" w:before="0" w:after="0"/>
        <w:ind w:left="418" w:right="1431" w:firstLine="422"/>
        <w:jc w:val="both"/>
        <w:rPr>
          <w:sz w:val="21"/>
        </w:rPr>
      </w:pPr>
      <w:r>
        <w:rPr>
          <w:spacing w:val="-13"/>
          <w:sz w:val="21"/>
        </w:rPr>
        <w:t>从接线盒、线槽等处引到探测器底座盒、控制设备盒、扬声器箱的线路，均应加金属</w:t>
      </w:r>
      <w:r>
        <w:rPr>
          <w:spacing w:val="-6"/>
          <w:sz w:val="21"/>
        </w:rPr>
        <w:t>保护管 保护。</w:t>
      </w:r>
      <w:r>
        <w:rPr>
          <w:sz w:val="21"/>
        </w:rPr>
        <w:t>  </w:t>
      </w:r>
      <w:r>
        <w:rPr>
          <w:spacing w:val="-2"/>
          <w:sz w:val="21"/>
        </w:rPr>
        <w:t> </w:t>
      </w:r>
      <w:r>
        <w:rPr>
          <w:w w:val="100"/>
          <w:sz w:val="21"/>
        </w:rPr>
        <w:t>  </w:t>
      </w:r>
      <w:r>
        <w:rPr>
          <w:sz w:val="21"/>
        </w:rPr>
        <w:t> </w:t>
      </w:r>
      <w:r>
        <w:rPr>
          <w:spacing w:val="-2"/>
          <w:sz w:val="21"/>
        </w:rPr>
        <w:t> </w:t>
      </w:r>
      <w:r>
        <w:rPr>
          <w:w w:val="100"/>
          <w:sz w:val="21"/>
        </w:rPr>
        <w:t>  </w:t>
      </w:r>
    </w:p>
    <w:p>
      <w:pPr>
        <w:pStyle w:val="ListParagraph"/>
        <w:numPr>
          <w:ilvl w:val="2"/>
          <w:numId w:val="661"/>
        </w:numPr>
        <w:tabs>
          <w:tab w:pos="1478" w:val="left" w:leader="none"/>
        </w:tabs>
        <w:spacing w:line="446" w:lineRule="auto" w:before="0" w:after="0"/>
        <w:ind w:left="418" w:right="1433" w:firstLine="422"/>
        <w:jc w:val="both"/>
        <w:rPr>
          <w:sz w:val="21"/>
        </w:rPr>
      </w:pPr>
      <w:r>
        <w:rPr>
          <w:spacing w:val="-3"/>
          <w:sz w:val="21"/>
        </w:rPr>
        <w:t>火灾探测器的传输线路，宜选择不同颜色的绝缘导线或电缆。正极―十‖线应为红 </w:t>
      </w:r>
      <w:r>
        <w:rPr>
          <w:spacing w:val="-1"/>
          <w:sz w:val="21"/>
        </w:rPr>
        <w:t>色，负极―一‖ 线应为蓝色或黑色。同一工程中相同用途导线的颜色应一致，接线端子应有标</w:t>
      </w:r>
      <w:r>
        <w:rPr>
          <w:spacing w:val="-2"/>
          <w:sz w:val="21"/>
        </w:rPr>
        <w:t>号。</w:t>
      </w:r>
      <w:r>
        <w:rPr>
          <w:sz w:val="21"/>
        </w:rPr>
        <w:t>   </w:t>
      </w:r>
      <w:r>
        <w:rPr>
          <w:spacing w:val="-1"/>
          <w:sz w:val="21"/>
        </w:rPr>
        <w:t> </w:t>
      </w:r>
      <w:r>
        <w:rPr>
          <w:w w:val="100"/>
          <w:sz w:val="21"/>
        </w:rPr>
        <w:t>  </w:t>
      </w:r>
    </w:p>
    <w:p>
      <w:pPr>
        <w:pStyle w:val="Heading4"/>
        <w:spacing w:line="277" w:lineRule="exact"/>
      </w:pPr>
      <w:r>
        <w:rPr/>
        <w:t>12 典型场所的火灾自动报警系统</w:t>
      </w:r>
      <w:r>
        <w:rPr>
          <w:w w:val="99"/>
        </w:rPr>
        <w:t> </w:t>
      </w:r>
    </w:p>
    <w:p>
      <w:pPr>
        <w:pStyle w:val="BodyText"/>
        <w:spacing w:before="3"/>
        <w:rPr>
          <w:b/>
          <w:sz w:val="17"/>
        </w:rPr>
      </w:pPr>
    </w:p>
    <w:p>
      <w:pPr>
        <w:pStyle w:val="ListParagraph"/>
        <w:numPr>
          <w:ilvl w:val="1"/>
          <w:numId w:val="662"/>
        </w:numPr>
        <w:tabs>
          <w:tab w:pos="1318" w:val="left" w:leader="none"/>
        </w:tabs>
        <w:spacing w:line="240" w:lineRule="auto" w:before="0" w:after="0"/>
        <w:ind w:left="1318" w:right="0" w:hanging="478"/>
        <w:jc w:val="both"/>
        <w:rPr>
          <w:sz w:val="21"/>
        </w:rPr>
      </w:pPr>
      <w:r>
        <w:rPr>
          <w:spacing w:val="-3"/>
          <w:sz w:val="21"/>
        </w:rPr>
        <w:t>道路隧道</w:t>
      </w:r>
      <w:r>
        <w:rPr>
          <w:sz w:val="21"/>
        </w:rPr>
        <w:t> </w:t>
      </w:r>
    </w:p>
    <w:p>
      <w:pPr>
        <w:pStyle w:val="BodyText"/>
        <w:spacing w:before="2"/>
        <w:rPr>
          <w:sz w:val="18"/>
        </w:rPr>
      </w:pPr>
    </w:p>
    <w:p>
      <w:pPr>
        <w:pStyle w:val="ListParagraph"/>
        <w:numPr>
          <w:ilvl w:val="2"/>
          <w:numId w:val="662"/>
        </w:numPr>
        <w:tabs>
          <w:tab w:pos="1478" w:val="left" w:leader="none"/>
        </w:tabs>
        <w:spacing w:line="446" w:lineRule="auto" w:before="0" w:after="0"/>
        <w:ind w:left="418" w:right="1433" w:firstLine="422"/>
        <w:jc w:val="both"/>
        <w:rPr>
          <w:sz w:val="21"/>
        </w:rPr>
      </w:pPr>
      <w:r>
        <w:rPr>
          <w:spacing w:val="-3"/>
          <w:sz w:val="21"/>
        </w:rPr>
        <w:t>城市道路隧道、特长双向公路隧道和道路中的水底隧道，应同时采用线型光纤感温 </w:t>
      </w:r>
      <w:r>
        <w:rPr>
          <w:spacing w:val="-4"/>
          <w:sz w:val="21"/>
        </w:rPr>
        <w:t>火灾探测 器和点型红外火焰探测器</w:t>
      </w:r>
      <w:r>
        <w:rPr>
          <w:sz w:val="21"/>
        </w:rPr>
        <w:t>（</w:t>
      </w:r>
      <w:r>
        <w:rPr>
          <w:spacing w:val="-5"/>
          <w:sz w:val="21"/>
        </w:rPr>
        <w:t>或图像型火灾探测器)；其他公路隧道应采用线型光纤感温</w:t>
      </w:r>
      <w:r>
        <w:rPr>
          <w:spacing w:val="-4"/>
          <w:sz w:val="21"/>
        </w:rPr>
        <w:t>火灾探测器或 点型红外火掐探测器。</w:t>
      </w:r>
      <w:r>
        <w:rPr>
          <w:sz w:val="21"/>
        </w:rPr>
        <w:t>  </w:t>
      </w:r>
      <w:r>
        <w:rPr>
          <w:spacing w:val="-2"/>
          <w:sz w:val="21"/>
        </w:rPr>
        <w:t> </w:t>
      </w:r>
      <w:r>
        <w:rPr>
          <w:w w:val="100"/>
          <w:sz w:val="21"/>
        </w:rPr>
        <w:t>  </w:t>
      </w:r>
      <w:r>
        <w:rPr>
          <w:sz w:val="21"/>
        </w:rPr>
        <w:t> </w:t>
      </w:r>
      <w:r>
        <w:rPr>
          <w:spacing w:val="-2"/>
          <w:sz w:val="21"/>
        </w:rPr>
        <w:t> </w:t>
      </w:r>
      <w:r>
        <w:rPr>
          <w:w w:val="100"/>
          <w:sz w:val="21"/>
        </w:rPr>
        <w:t>  </w:t>
      </w:r>
      <w:r>
        <w:rPr>
          <w:sz w:val="21"/>
        </w:rPr>
        <w:t> </w:t>
      </w:r>
      <w:r>
        <w:rPr>
          <w:spacing w:val="-2"/>
          <w:sz w:val="21"/>
        </w:rPr>
        <w:t> </w:t>
      </w:r>
      <w:r>
        <w:rPr>
          <w:w w:val="100"/>
          <w:sz w:val="21"/>
        </w:rPr>
        <w:t>  </w:t>
      </w:r>
    </w:p>
    <w:p>
      <w:pPr>
        <w:pStyle w:val="ListParagraph"/>
        <w:numPr>
          <w:ilvl w:val="2"/>
          <w:numId w:val="662"/>
        </w:numPr>
        <w:tabs>
          <w:tab w:pos="1478" w:val="left" w:leader="none"/>
          <w:tab w:pos="2938" w:val="left" w:leader="none"/>
        </w:tabs>
        <w:spacing w:line="446" w:lineRule="auto" w:before="0" w:after="0"/>
        <w:ind w:left="418" w:right="1328" w:firstLine="422"/>
        <w:jc w:val="left"/>
        <w:rPr>
          <w:sz w:val="21"/>
        </w:rPr>
      </w:pPr>
      <w:r>
        <w:rPr>
          <w:sz w:val="21"/>
        </w:rPr>
        <w:t>线</w:t>
      </w:r>
      <w:r>
        <w:rPr>
          <w:spacing w:val="-3"/>
          <w:sz w:val="21"/>
        </w:rPr>
        <w:t>型</w:t>
      </w:r>
      <w:r>
        <w:rPr>
          <w:sz w:val="21"/>
        </w:rPr>
        <w:t>光</w:t>
      </w:r>
      <w:r>
        <w:rPr>
          <w:spacing w:val="-3"/>
          <w:sz w:val="21"/>
        </w:rPr>
        <w:t>纤</w:t>
      </w:r>
      <w:r>
        <w:rPr>
          <w:sz w:val="21"/>
        </w:rPr>
        <w:t>感</w:t>
      </w:r>
      <w:r>
        <w:rPr>
          <w:spacing w:val="-3"/>
          <w:sz w:val="21"/>
        </w:rPr>
        <w:t>温</w:t>
      </w:r>
      <w:r>
        <w:rPr>
          <w:sz w:val="21"/>
        </w:rPr>
        <w:t>火</w:t>
      </w:r>
      <w:r>
        <w:rPr>
          <w:spacing w:val="-3"/>
          <w:sz w:val="21"/>
        </w:rPr>
        <w:t>灾</w:t>
      </w:r>
      <w:r>
        <w:rPr>
          <w:sz w:val="21"/>
        </w:rPr>
        <w:t>探测</w:t>
      </w:r>
      <w:r>
        <w:rPr>
          <w:spacing w:val="-3"/>
          <w:sz w:val="21"/>
        </w:rPr>
        <w:t>器</w:t>
      </w:r>
      <w:r>
        <w:rPr>
          <w:sz w:val="21"/>
        </w:rPr>
        <w:t>应</w:t>
      </w:r>
      <w:r>
        <w:rPr>
          <w:spacing w:val="-3"/>
          <w:sz w:val="21"/>
        </w:rPr>
        <w:t>设</w:t>
      </w:r>
      <w:r>
        <w:rPr>
          <w:sz w:val="21"/>
        </w:rPr>
        <w:t>置</w:t>
      </w:r>
      <w:r>
        <w:rPr>
          <w:spacing w:val="-3"/>
          <w:sz w:val="21"/>
        </w:rPr>
        <w:t>在</w:t>
      </w:r>
      <w:r>
        <w:rPr>
          <w:sz w:val="21"/>
        </w:rPr>
        <w:t>车</w:t>
      </w:r>
      <w:r>
        <w:rPr>
          <w:spacing w:val="-3"/>
          <w:sz w:val="21"/>
        </w:rPr>
        <w:t>道</w:t>
      </w:r>
      <w:r>
        <w:rPr>
          <w:sz w:val="21"/>
        </w:rPr>
        <w:t>顶</w:t>
      </w:r>
      <w:r>
        <w:rPr>
          <w:spacing w:val="-3"/>
          <w:sz w:val="21"/>
        </w:rPr>
        <w:t>部</w:t>
      </w:r>
      <w:r>
        <w:rPr>
          <w:sz w:val="21"/>
        </w:rPr>
        <w:t>距顶</w:t>
      </w:r>
      <w:r>
        <w:rPr>
          <w:spacing w:val="-3"/>
          <w:sz w:val="21"/>
        </w:rPr>
        <w:t>棚</w:t>
      </w:r>
      <w:r>
        <w:rPr>
          <w:spacing w:val="38"/>
          <w:sz w:val="21"/>
        </w:rPr>
        <w:t> </w:t>
      </w:r>
      <w:r>
        <w:rPr>
          <w:sz w:val="21"/>
        </w:rPr>
        <w:t>100～200mm</w:t>
      </w:r>
      <w:r>
        <w:rPr>
          <w:spacing w:val="35"/>
          <w:sz w:val="21"/>
        </w:rPr>
        <w:t> </w:t>
      </w:r>
      <w:r>
        <w:rPr>
          <w:sz w:val="21"/>
        </w:rPr>
        <w:t>，</w:t>
      </w:r>
      <w:r>
        <w:rPr>
          <w:spacing w:val="-3"/>
          <w:sz w:val="21"/>
        </w:rPr>
        <w:t>线</w:t>
      </w:r>
      <w:r>
        <w:rPr>
          <w:sz w:val="21"/>
        </w:rPr>
        <w:t>型光</w:t>
      </w:r>
      <w:r>
        <w:rPr>
          <w:spacing w:val="-3"/>
          <w:sz w:val="21"/>
        </w:rPr>
        <w:t>栅</w:t>
      </w:r>
      <w:r>
        <w:rPr>
          <w:sz w:val="21"/>
        </w:rPr>
        <w:t>光</w:t>
      </w:r>
      <w:r>
        <w:rPr>
          <w:spacing w:val="-3"/>
          <w:sz w:val="21"/>
        </w:rPr>
        <w:t>纤</w:t>
      </w:r>
      <w:r>
        <w:rPr>
          <w:sz w:val="21"/>
        </w:rPr>
        <w:t>感温火</w:t>
      </w:r>
      <w:r>
        <w:rPr>
          <w:spacing w:val="8"/>
          <w:sz w:val="21"/>
        </w:rPr>
        <w:t> </w:t>
      </w:r>
      <w:r>
        <w:rPr>
          <w:sz w:val="21"/>
        </w:rPr>
        <w:t>灾</w:t>
      </w:r>
      <w:r>
        <w:rPr>
          <w:spacing w:val="-3"/>
          <w:sz w:val="21"/>
        </w:rPr>
        <w:t>探</w:t>
      </w:r>
      <w:r>
        <w:rPr>
          <w:sz w:val="21"/>
        </w:rPr>
        <w:t>测</w:t>
      </w:r>
      <w:r>
        <w:rPr>
          <w:spacing w:val="-3"/>
          <w:sz w:val="21"/>
        </w:rPr>
        <w:t>器</w:t>
      </w:r>
      <w:r>
        <w:rPr>
          <w:sz w:val="21"/>
        </w:rPr>
        <w:t>的</w:t>
      </w:r>
      <w:r>
        <w:rPr>
          <w:spacing w:val="-3"/>
          <w:sz w:val="21"/>
        </w:rPr>
        <w:t>光</w:t>
      </w:r>
      <w:r>
        <w:rPr>
          <w:sz w:val="21"/>
        </w:rPr>
        <w:t>栅</w:t>
      </w:r>
      <w:r>
        <w:rPr>
          <w:spacing w:val="-3"/>
          <w:sz w:val="21"/>
        </w:rPr>
        <w:t>间距</w:t>
      </w:r>
      <w:r>
        <w:rPr>
          <w:sz w:val="21"/>
        </w:rPr>
        <w:t>不应</w:t>
      </w:r>
      <w:r>
        <w:rPr>
          <w:spacing w:val="-3"/>
          <w:sz w:val="21"/>
        </w:rPr>
        <w:t>大</w:t>
      </w:r>
      <w:r>
        <w:rPr>
          <w:sz w:val="21"/>
        </w:rPr>
        <w:t>于</w:t>
      </w:r>
      <w:r>
        <w:rPr>
          <w:spacing w:val="11"/>
          <w:sz w:val="21"/>
        </w:rPr>
        <w:t> </w:t>
      </w:r>
      <w:r>
        <w:rPr>
          <w:sz w:val="21"/>
        </w:rPr>
        <w:t>10m</w:t>
      </w:r>
      <w:r>
        <w:rPr>
          <w:spacing w:val="8"/>
          <w:sz w:val="21"/>
        </w:rPr>
        <w:t> </w:t>
      </w:r>
      <w:r>
        <w:rPr>
          <w:spacing w:val="-32"/>
          <w:sz w:val="21"/>
        </w:rPr>
        <w:t>；</w:t>
      </w:r>
      <w:r>
        <w:rPr>
          <w:spacing w:val="-3"/>
          <w:sz w:val="21"/>
        </w:rPr>
        <w:t>每</w:t>
      </w:r>
      <w:r>
        <w:rPr>
          <w:sz w:val="21"/>
        </w:rPr>
        <w:t>根</w:t>
      </w:r>
      <w:r>
        <w:rPr>
          <w:spacing w:val="-3"/>
          <w:sz w:val="21"/>
        </w:rPr>
        <w:t>分布</w:t>
      </w:r>
      <w:r>
        <w:rPr>
          <w:sz w:val="21"/>
        </w:rPr>
        <w:t>式线</w:t>
      </w:r>
      <w:r>
        <w:rPr>
          <w:spacing w:val="-3"/>
          <w:sz w:val="21"/>
        </w:rPr>
        <w:t>型</w:t>
      </w:r>
      <w:r>
        <w:rPr>
          <w:sz w:val="21"/>
        </w:rPr>
        <w:t>光</w:t>
      </w:r>
      <w:r>
        <w:rPr>
          <w:spacing w:val="-3"/>
          <w:sz w:val="21"/>
        </w:rPr>
        <w:t>纤</w:t>
      </w:r>
      <w:r>
        <w:rPr>
          <w:sz w:val="21"/>
        </w:rPr>
        <w:t>感</w:t>
      </w:r>
      <w:r>
        <w:rPr>
          <w:spacing w:val="-3"/>
          <w:sz w:val="21"/>
        </w:rPr>
        <w:t>温</w:t>
      </w:r>
      <w:r>
        <w:rPr>
          <w:sz w:val="21"/>
        </w:rPr>
        <w:t>火</w:t>
      </w:r>
      <w:r>
        <w:rPr>
          <w:spacing w:val="-3"/>
          <w:sz w:val="21"/>
        </w:rPr>
        <w:t>灾</w:t>
      </w:r>
      <w:r>
        <w:rPr>
          <w:sz w:val="21"/>
        </w:rPr>
        <w:t>探</w:t>
      </w:r>
      <w:r>
        <w:rPr>
          <w:spacing w:val="-3"/>
          <w:sz w:val="21"/>
        </w:rPr>
        <w:t>测</w:t>
      </w:r>
      <w:r>
        <w:rPr>
          <w:sz w:val="21"/>
        </w:rPr>
        <w:t>器和</w:t>
      </w:r>
      <w:r>
        <w:rPr>
          <w:spacing w:val="-3"/>
          <w:sz w:val="21"/>
        </w:rPr>
        <w:t>线</w:t>
      </w:r>
      <w:r>
        <w:rPr>
          <w:sz w:val="21"/>
        </w:rPr>
        <w:t>型</w:t>
      </w:r>
      <w:r>
        <w:rPr>
          <w:spacing w:val="-3"/>
          <w:sz w:val="21"/>
        </w:rPr>
        <w:t>光</w:t>
      </w:r>
      <w:r>
        <w:rPr>
          <w:sz w:val="21"/>
        </w:rPr>
        <w:t>栅</w:t>
      </w:r>
      <w:r>
        <w:rPr>
          <w:spacing w:val="-3"/>
          <w:sz w:val="21"/>
        </w:rPr>
        <w:t>光</w:t>
      </w:r>
      <w:r>
        <w:rPr>
          <w:sz w:val="21"/>
        </w:rPr>
        <w:t>纤感温</w:t>
      </w:r>
      <w:r>
        <w:rPr>
          <w:spacing w:val="-3"/>
          <w:sz w:val="21"/>
        </w:rPr>
        <w:t>火</w:t>
      </w:r>
      <w:r>
        <w:rPr>
          <w:spacing w:val="12"/>
          <w:sz w:val="21"/>
        </w:rPr>
        <w:t> </w:t>
      </w:r>
      <w:r>
        <w:rPr>
          <w:spacing w:val="-3"/>
          <w:sz w:val="21"/>
        </w:rPr>
        <w:t>灾</w:t>
      </w:r>
      <w:r>
        <w:rPr>
          <w:sz w:val="21"/>
        </w:rPr>
        <w:t>探</w:t>
      </w:r>
      <w:r>
        <w:rPr>
          <w:spacing w:val="-3"/>
          <w:sz w:val="21"/>
        </w:rPr>
        <w:t>测</w:t>
      </w:r>
      <w:r>
        <w:rPr>
          <w:sz w:val="21"/>
        </w:rPr>
        <w:t>保</w:t>
      </w:r>
      <w:r>
        <w:rPr>
          <w:spacing w:val="-3"/>
          <w:sz w:val="21"/>
        </w:rPr>
        <w:t>护</w:t>
      </w:r>
      <w:r>
        <w:rPr>
          <w:sz w:val="21"/>
        </w:rPr>
        <w:t>车</w:t>
      </w:r>
      <w:r>
        <w:rPr>
          <w:spacing w:val="-3"/>
          <w:sz w:val="21"/>
        </w:rPr>
        <w:t>道的</w:t>
      </w:r>
      <w:r>
        <w:rPr>
          <w:sz w:val="21"/>
        </w:rPr>
        <w:t>数量</w:t>
      </w:r>
      <w:r>
        <w:rPr>
          <w:spacing w:val="-3"/>
          <w:sz w:val="21"/>
        </w:rPr>
        <w:t>不</w:t>
      </w:r>
      <w:r>
        <w:rPr>
          <w:sz w:val="21"/>
        </w:rPr>
        <w:t>应</w:t>
      </w:r>
      <w:r>
        <w:rPr>
          <w:spacing w:val="-3"/>
          <w:sz w:val="21"/>
        </w:rPr>
        <w:t>超</w:t>
      </w:r>
      <w:r>
        <w:rPr>
          <w:sz w:val="21"/>
        </w:rPr>
        <w:t>过</w:t>
      </w:r>
      <w:r>
        <w:rPr>
          <w:spacing w:val="12"/>
          <w:sz w:val="21"/>
        </w:rPr>
        <w:t> </w:t>
      </w:r>
      <w:r>
        <w:rPr>
          <w:spacing w:val="-3"/>
          <w:sz w:val="21"/>
        </w:rPr>
        <w:t>2</w:t>
      </w:r>
      <w:r>
        <w:rPr>
          <w:spacing w:val="12"/>
          <w:sz w:val="21"/>
        </w:rPr>
        <w:t> </w:t>
      </w:r>
      <w:r>
        <w:rPr>
          <w:spacing w:val="-3"/>
          <w:sz w:val="21"/>
        </w:rPr>
        <w:t>条</w:t>
      </w:r>
      <w:r>
        <w:rPr>
          <w:spacing w:val="-32"/>
          <w:sz w:val="21"/>
        </w:rPr>
        <w:t>，</w:t>
      </w:r>
      <w:r>
        <w:rPr>
          <w:spacing w:val="-3"/>
          <w:sz w:val="21"/>
        </w:rPr>
        <w:t>点型</w:t>
      </w:r>
      <w:r>
        <w:rPr>
          <w:sz w:val="21"/>
        </w:rPr>
        <w:t>红外</w:t>
      </w:r>
      <w:r>
        <w:rPr>
          <w:spacing w:val="-3"/>
          <w:sz w:val="21"/>
        </w:rPr>
        <w:t>火</w:t>
      </w:r>
      <w:r>
        <w:rPr>
          <w:sz w:val="21"/>
        </w:rPr>
        <w:t>焰</w:t>
      </w:r>
      <w:r>
        <w:rPr>
          <w:spacing w:val="-3"/>
          <w:sz w:val="21"/>
        </w:rPr>
        <w:t>探</w:t>
      </w:r>
      <w:r>
        <w:rPr>
          <w:sz w:val="21"/>
        </w:rPr>
        <w:t>测</w:t>
      </w:r>
      <w:r>
        <w:rPr>
          <w:spacing w:val="-3"/>
          <w:sz w:val="21"/>
        </w:rPr>
        <w:t>器</w:t>
      </w:r>
      <w:r>
        <w:rPr>
          <w:sz w:val="21"/>
        </w:rPr>
        <w:t>或</w:t>
      </w:r>
      <w:r>
        <w:rPr>
          <w:spacing w:val="-3"/>
          <w:sz w:val="21"/>
        </w:rPr>
        <w:t>图</w:t>
      </w:r>
      <w:r>
        <w:rPr>
          <w:sz w:val="21"/>
        </w:rPr>
        <w:t>像</w:t>
      </w:r>
      <w:r>
        <w:rPr>
          <w:spacing w:val="-3"/>
          <w:sz w:val="21"/>
        </w:rPr>
        <w:t>型</w:t>
      </w:r>
      <w:r>
        <w:rPr>
          <w:sz w:val="21"/>
        </w:rPr>
        <w:t>火灾</w:t>
      </w:r>
      <w:r>
        <w:rPr>
          <w:spacing w:val="-3"/>
          <w:sz w:val="21"/>
        </w:rPr>
        <w:t>探</w:t>
      </w:r>
      <w:r>
        <w:rPr>
          <w:sz w:val="21"/>
        </w:rPr>
        <w:t>测</w:t>
      </w:r>
      <w:r>
        <w:rPr>
          <w:spacing w:val="-3"/>
          <w:sz w:val="21"/>
        </w:rPr>
        <w:t>器</w:t>
      </w:r>
      <w:r>
        <w:rPr>
          <w:sz w:val="21"/>
        </w:rPr>
        <w:t>应</w:t>
      </w:r>
      <w:r>
        <w:rPr>
          <w:spacing w:val="-3"/>
          <w:sz w:val="21"/>
        </w:rPr>
        <w:t>设</w:t>
      </w:r>
      <w:r>
        <w:rPr>
          <w:sz w:val="21"/>
        </w:rPr>
        <w:t>置在行</w:t>
      </w:r>
      <w:r>
        <w:rPr>
          <w:spacing w:val="-3"/>
          <w:sz w:val="21"/>
        </w:rPr>
        <w:t>车</w:t>
      </w:r>
      <w:r>
        <w:rPr>
          <w:sz w:val="21"/>
        </w:rPr>
        <w:t>道</w:t>
      </w:r>
      <w:r>
        <w:rPr>
          <w:spacing w:val="-3"/>
          <w:sz w:val="21"/>
        </w:rPr>
        <w:t>侧</w:t>
      </w:r>
      <w:r>
        <w:rPr>
          <w:spacing w:val="14"/>
          <w:sz w:val="21"/>
        </w:rPr>
        <w:t> </w:t>
      </w:r>
      <w:r>
        <w:rPr>
          <w:spacing w:val="-3"/>
          <w:sz w:val="21"/>
        </w:rPr>
        <w:t>面</w:t>
      </w:r>
      <w:r>
        <w:rPr>
          <w:sz w:val="21"/>
        </w:rPr>
        <w:t>墙</w:t>
      </w:r>
      <w:r>
        <w:rPr>
          <w:spacing w:val="-3"/>
          <w:sz w:val="21"/>
        </w:rPr>
        <w:t>上</w:t>
      </w:r>
      <w:r>
        <w:rPr>
          <w:sz w:val="21"/>
        </w:rPr>
        <w:t>距</w:t>
      </w:r>
      <w:r>
        <w:rPr>
          <w:spacing w:val="-3"/>
          <w:sz w:val="21"/>
        </w:rPr>
        <w:t>行车</w:t>
      </w:r>
      <w:r>
        <w:rPr>
          <w:sz w:val="21"/>
        </w:rPr>
        <w:t>道地</w:t>
      </w:r>
      <w:r>
        <w:rPr>
          <w:spacing w:val="-3"/>
          <w:sz w:val="21"/>
        </w:rPr>
        <w:t>面</w:t>
      </w:r>
      <w:r>
        <w:rPr>
          <w:sz w:val="21"/>
        </w:rPr>
        <w:t>高</w:t>
      </w:r>
      <w:r>
        <w:rPr>
          <w:spacing w:val="-3"/>
          <w:sz w:val="21"/>
        </w:rPr>
        <w:t>度</w:t>
      </w:r>
      <w:r>
        <w:rPr>
          <w:spacing w:val="14"/>
          <w:sz w:val="21"/>
        </w:rPr>
        <w:t> </w:t>
      </w:r>
      <w:r>
        <w:rPr>
          <w:sz w:val="21"/>
        </w:rPr>
        <w:t>2.7～3.5m</w:t>
      </w:r>
      <w:r>
        <w:rPr>
          <w:spacing w:val="12"/>
          <w:sz w:val="21"/>
        </w:rPr>
        <w:t> </w:t>
      </w:r>
      <w:r>
        <w:rPr>
          <w:spacing w:val="-70"/>
          <w:sz w:val="21"/>
        </w:rPr>
        <w:t>，</w:t>
      </w:r>
      <w:r>
        <w:rPr>
          <w:sz w:val="21"/>
        </w:rPr>
        <w:t>并应</w:t>
      </w:r>
      <w:r>
        <w:rPr>
          <w:spacing w:val="-3"/>
          <w:sz w:val="21"/>
        </w:rPr>
        <w:t>保</w:t>
      </w:r>
      <w:r>
        <w:rPr>
          <w:sz w:val="21"/>
        </w:rPr>
        <w:t>证</w:t>
      </w:r>
      <w:r>
        <w:rPr>
          <w:spacing w:val="-3"/>
          <w:sz w:val="21"/>
        </w:rPr>
        <w:t>无</w:t>
      </w:r>
      <w:r>
        <w:rPr>
          <w:sz w:val="21"/>
        </w:rPr>
        <w:t>探</w:t>
      </w:r>
      <w:r>
        <w:rPr>
          <w:spacing w:val="-3"/>
          <w:sz w:val="21"/>
        </w:rPr>
        <w:t>测</w:t>
      </w:r>
      <w:r>
        <w:rPr>
          <w:sz w:val="21"/>
        </w:rPr>
        <w:t>盲</w:t>
      </w:r>
      <w:r>
        <w:rPr>
          <w:spacing w:val="-3"/>
          <w:sz w:val="21"/>
        </w:rPr>
        <w:t>区</w:t>
      </w:r>
      <w:r>
        <w:rPr>
          <w:spacing w:val="-70"/>
          <w:sz w:val="21"/>
        </w:rPr>
        <w:t>；</w:t>
      </w:r>
      <w:r>
        <w:rPr>
          <w:sz w:val="21"/>
        </w:rPr>
        <w:t>在</w:t>
      </w:r>
      <w:r>
        <w:rPr>
          <w:spacing w:val="-3"/>
          <w:sz w:val="21"/>
        </w:rPr>
        <w:t>行</w:t>
      </w:r>
      <w:r>
        <w:rPr>
          <w:sz w:val="21"/>
        </w:rPr>
        <w:t>车道</w:t>
      </w:r>
      <w:r>
        <w:rPr>
          <w:spacing w:val="-3"/>
          <w:sz w:val="21"/>
        </w:rPr>
        <w:t>两</w:t>
      </w:r>
      <w:r>
        <w:rPr>
          <w:sz w:val="21"/>
        </w:rPr>
        <w:t>侧</w:t>
      </w:r>
      <w:r>
        <w:rPr>
          <w:spacing w:val="-3"/>
          <w:sz w:val="21"/>
        </w:rPr>
        <w:t>设</w:t>
      </w:r>
      <w:r>
        <w:rPr>
          <w:sz w:val="21"/>
        </w:rPr>
        <w:t>置</w:t>
      </w:r>
      <w:r>
        <w:rPr>
          <w:spacing w:val="-3"/>
          <w:sz w:val="21"/>
        </w:rPr>
        <w:t>时</w:t>
      </w:r>
      <w:r>
        <w:rPr>
          <w:sz w:val="21"/>
        </w:rPr>
        <w:t>，探测</w:t>
      </w:r>
      <w:r>
        <w:rPr>
          <w:spacing w:val="-3"/>
          <w:sz w:val="21"/>
        </w:rPr>
        <w:t>器</w:t>
      </w:r>
      <w:r>
        <w:rPr>
          <w:sz w:val="21"/>
        </w:rPr>
        <w:t>应</w:t>
      </w:r>
      <w:r>
        <w:rPr>
          <w:spacing w:val="-3"/>
          <w:sz w:val="21"/>
        </w:rPr>
        <w:t>交</w:t>
      </w:r>
      <w:r>
        <w:rPr>
          <w:spacing w:val="10"/>
          <w:sz w:val="21"/>
        </w:rPr>
        <w:t> </w:t>
      </w:r>
      <w:r>
        <w:rPr>
          <w:spacing w:val="-3"/>
          <w:sz w:val="21"/>
        </w:rPr>
        <w:t>错</w:t>
      </w:r>
      <w:r>
        <w:rPr>
          <w:sz w:val="21"/>
        </w:rPr>
        <w:t>设</w:t>
      </w:r>
      <w:r>
        <w:rPr>
          <w:spacing w:val="-3"/>
          <w:sz w:val="21"/>
        </w:rPr>
        <w:t>置。</w:t>
      </w:r>
      <w:r>
        <w:rPr>
          <w:sz w:val="21"/>
        </w:rPr>
        <w:t>   </w:t>
        <w:tab/>
      </w:r>
      <w:r>
        <w:rPr>
          <w:w w:val="100"/>
          <w:sz w:val="21"/>
        </w:rPr>
        <w:t>  </w:t>
      </w:r>
    </w:p>
    <w:p>
      <w:pPr>
        <w:pStyle w:val="ListParagraph"/>
        <w:numPr>
          <w:ilvl w:val="2"/>
          <w:numId w:val="662"/>
        </w:numPr>
        <w:tabs>
          <w:tab w:pos="1478" w:val="left" w:leader="none"/>
        </w:tabs>
        <w:spacing w:line="266" w:lineRule="exact" w:before="0" w:after="0"/>
        <w:ind w:left="1477" w:right="0" w:hanging="638"/>
        <w:jc w:val="left"/>
        <w:rPr>
          <w:sz w:val="21"/>
        </w:rPr>
      </w:pPr>
      <w:r>
        <w:rPr>
          <w:spacing w:val="-3"/>
          <w:sz w:val="21"/>
        </w:rPr>
        <w:t>火灾自动报警系统需联动消防设施时，其报警区域长度不宜大于 </w:t>
      </w:r>
      <w:r>
        <w:rPr>
          <w:sz w:val="21"/>
        </w:rPr>
        <w:t>150m</w:t>
      </w:r>
      <w:r>
        <w:rPr>
          <w:spacing w:val="-1"/>
          <w:sz w:val="21"/>
        </w:rPr>
        <w:t> 。</w:t>
      </w:r>
      <w:r>
        <w:rPr>
          <w:spacing w:val="-10"/>
          <w:sz w:val="21"/>
        </w:rPr>
        <w:t> </w:t>
      </w:r>
      <w:r>
        <w:rPr>
          <w:sz w:val="21"/>
        </w:rPr>
        <w:t>  </w:t>
      </w:r>
    </w:p>
    <w:p>
      <w:pPr>
        <w:pStyle w:val="BodyText"/>
        <w:spacing w:before="1"/>
        <w:rPr>
          <w:sz w:val="18"/>
        </w:rPr>
      </w:pPr>
    </w:p>
    <w:p>
      <w:pPr>
        <w:pStyle w:val="ListParagraph"/>
        <w:numPr>
          <w:ilvl w:val="2"/>
          <w:numId w:val="662"/>
        </w:numPr>
        <w:tabs>
          <w:tab w:pos="1478" w:val="left" w:leader="none"/>
        </w:tabs>
        <w:spacing w:line="446" w:lineRule="auto" w:before="0" w:after="0"/>
        <w:ind w:left="418" w:right="1431" w:firstLine="422"/>
        <w:jc w:val="both"/>
        <w:rPr>
          <w:sz w:val="21"/>
        </w:rPr>
      </w:pPr>
      <w:r>
        <w:rPr>
          <w:spacing w:val="-3"/>
          <w:sz w:val="21"/>
        </w:rPr>
        <w:t>隧道出入口以及隧道内每隔 </w:t>
      </w:r>
      <w:r>
        <w:rPr>
          <w:sz w:val="21"/>
        </w:rPr>
        <w:t>200m</w:t>
      </w:r>
      <w:r>
        <w:rPr>
          <w:spacing w:val="-5"/>
          <w:sz w:val="21"/>
        </w:rPr>
        <w:t> 处应设置报警电话，每隔 </w:t>
      </w:r>
      <w:r>
        <w:rPr>
          <w:sz w:val="21"/>
        </w:rPr>
        <w:t>50m</w:t>
      </w:r>
      <w:r>
        <w:rPr>
          <w:spacing w:val="-3"/>
          <w:sz w:val="21"/>
        </w:rPr>
        <w:t> 处应设置手动火灾</w:t>
      </w:r>
      <w:r>
        <w:rPr>
          <w:spacing w:val="-1"/>
          <w:sz w:val="21"/>
        </w:rPr>
        <w:t>报警按 钮和闪烁红光的火灾声光警报器。隧道入口前方 </w:t>
      </w:r>
      <w:r>
        <w:rPr>
          <w:sz w:val="21"/>
        </w:rPr>
        <w:t>50～250m</w:t>
      </w:r>
      <w:r>
        <w:rPr>
          <w:spacing w:val="-1"/>
          <w:sz w:val="21"/>
        </w:rPr>
        <w:t> 内应设置指示隧道内发生火</w:t>
      </w:r>
      <w:r>
        <w:rPr>
          <w:spacing w:val="-3"/>
          <w:sz w:val="21"/>
        </w:rPr>
        <w:t>灾的声光警报装置。</w:t>
      </w:r>
      <w:r>
        <w:rPr>
          <w:sz w:val="21"/>
        </w:rPr>
        <w:t> </w:t>
      </w:r>
      <w:r>
        <w:rPr>
          <w:spacing w:val="-2"/>
          <w:sz w:val="21"/>
        </w:rPr>
        <w:t> </w:t>
      </w:r>
      <w:r>
        <w:rPr>
          <w:w w:val="100"/>
          <w:sz w:val="21"/>
        </w:rPr>
        <w:t>  </w:t>
      </w:r>
      <w:r>
        <w:rPr>
          <w:sz w:val="21"/>
        </w:rPr>
        <w:t> </w:t>
      </w:r>
      <w:r>
        <w:rPr>
          <w:spacing w:val="-2"/>
          <w:sz w:val="21"/>
        </w:rPr>
        <w:t> </w:t>
      </w:r>
      <w:r>
        <w:rPr>
          <w:w w:val="100"/>
          <w:sz w:val="21"/>
        </w:rPr>
        <w:t>  </w:t>
      </w:r>
    </w:p>
    <w:p>
      <w:pPr>
        <w:pStyle w:val="ListParagraph"/>
        <w:numPr>
          <w:ilvl w:val="2"/>
          <w:numId w:val="662"/>
        </w:numPr>
        <w:tabs>
          <w:tab w:pos="1478" w:val="left" w:leader="none"/>
        </w:tabs>
        <w:spacing w:line="446" w:lineRule="auto" w:before="0" w:after="0"/>
        <w:ind w:left="418" w:right="1434" w:firstLine="422"/>
        <w:jc w:val="both"/>
        <w:rPr>
          <w:sz w:val="21"/>
        </w:rPr>
      </w:pPr>
      <w:r>
        <w:rPr>
          <w:spacing w:val="-3"/>
          <w:sz w:val="21"/>
        </w:rPr>
        <w:t>隧道用电缆通道宜设置线型感温火灾探测器，主要设备用房内的配电线路应设置电 气火灾监控探测器。</w:t>
      </w:r>
      <w:r>
        <w:rPr>
          <w:sz w:val="21"/>
        </w:rPr>
        <w:t> </w:t>
      </w:r>
      <w:r>
        <w:rPr>
          <w:spacing w:val="-2"/>
          <w:sz w:val="21"/>
        </w:rPr>
        <w:t> </w:t>
      </w:r>
      <w:r>
        <w:rPr>
          <w:w w:val="100"/>
          <w:sz w:val="21"/>
        </w:rPr>
        <w:t>  </w:t>
      </w:r>
    </w:p>
    <w:p>
      <w:pPr>
        <w:pStyle w:val="ListParagraph"/>
        <w:numPr>
          <w:ilvl w:val="2"/>
          <w:numId w:val="662"/>
        </w:numPr>
        <w:tabs>
          <w:tab w:pos="1478" w:val="left" w:leader="none"/>
        </w:tabs>
        <w:spacing w:line="267" w:lineRule="exact" w:before="0" w:after="0"/>
        <w:ind w:left="1477" w:right="0" w:hanging="638"/>
        <w:jc w:val="left"/>
        <w:rPr>
          <w:sz w:val="21"/>
        </w:rPr>
      </w:pPr>
      <w:r>
        <w:rPr>
          <w:spacing w:val="-3"/>
          <w:sz w:val="21"/>
        </w:rPr>
        <w:t>隧道中设置的火灾自动报警系统宜联动隧道中设置的视频监视系统确认火灾。</w:t>
      </w:r>
      <w:r>
        <w:rPr>
          <w:sz w:val="21"/>
        </w:rPr>
        <w:t> </w:t>
      </w:r>
    </w:p>
    <w:p>
      <w:pPr>
        <w:pStyle w:val="BodyText"/>
        <w:spacing w:before="1"/>
        <w:rPr>
          <w:sz w:val="18"/>
        </w:rPr>
      </w:pPr>
    </w:p>
    <w:p>
      <w:pPr>
        <w:pStyle w:val="ListParagraph"/>
        <w:numPr>
          <w:ilvl w:val="2"/>
          <w:numId w:val="662"/>
        </w:numPr>
        <w:tabs>
          <w:tab w:pos="1478" w:val="left" w:leader="none"/>
        </w:tabs>
        <w:spacing w:line="240" w:lineRule="auto" w:before="0" w:after="0"/>
        <w:ind w:left="1477" w:right="0" w:hanging="638"/>
        <w:jc w:val="left"/>
        <w:rPr>
          <w:sz w:val="21"/>
        </w:rPr>
      </w:pPr>
      <w:r>
        <w:rPr>
          <w:spacing w:val="-3"/>
          <w:sz w:val="21"/>
        </w:rPr>
        <w:t>火灾自动报警系统应将火灾报警信号传输给隧道中央控制管理设备。</w:t>
      </w:r>
      <w:r>
        <w:rPr>
          <w:spacing w:val="-10"/>
          <w:sz w:val="21"/>
        </w:rPr>
        <w:t> </w:t>
      </w:r>
      <w:r>
        <w:rPr>
          <w:sz w:val="21"/>
        </w:rPr>
        <w:t>  </w:t>
      </w:r>
    </w:p>
    <w:p>
      <w:pPr>
        <w:pStyle w:val="BodyText"/>
        <w:rPr>
          <w:sz w:val="18"/>
        </w:rPr>
      </w:pPr>
    </w:p>
    <w:p>
      <w:pPr>
        <w:pStyle w:val="ListParagraph"/>
        <w:numPr>
          <w:ilvl w:val="2"/>
          <w:numId w:val="662"/>
        </w:numPr>
        <w:tabs>
          <w:tab w:pos="1478" w:val="left" w:leader="none"/>
        </w:tabs>
        <w:spacing w:line="446" w:lineRule="auto" w:before="0" w:after="0"/>
        <w:ind w:left="418" w:right="1433" w:firstLine="422"/>
        <w:jc w:val="left"/>
        <w:rPr>
          <w:sz w:val="21"/>
        </w:rPr>
      </w:pPr>
      <w:r>
        <w:rPr>
          <w:spacing w:val="-5"/>
          <w:sz w:val="21"/>
        </w:rPr>
        <w:t>消防应急广播可与隧道内设置的有线广播合用，其设置应符合本规范第 </w:t>
      </w:r>
      <w:r>
        <w:rPr>
          <w:sz w:val="21"/>
        </w:rPr>
        <w:t>6.6 节的规</w:t>
      </w:r>
      <w:r>
        <w:rPr>
          <w:spacing w:val="-2"/>
          <w:sz w:val="21"/>
        </w:rPr>
        <w:t>定。</w:t>
      </w:r>
      <w:r>
        <w:rPr>
          <w:sz w:val="21"/>
        </w:rPr>
        <w:t> </w:t>
      </w:r>
    </w:p>
    <w:p>
      <w:pPr>
        <w:pStyle w:val="ListParagraph"/>
        <w:numPr>
          <w:ilvl w:val="2"/>
          <w:numId w:val="662"/>
        </w:numPr>
        <w:tabs>
          <w:tab w:pos="1478" w:val="left" w:leader="none"/>
        </w:tabs>
        <w:spacing w:line="240" w:lineRule="auto" w:before="0" w:after="0"/>
        <w:ind w:left="1477" w:right="0" w:hanging="638"/>
        <w:jc w:val="left"/>
        <w:rPr>
          <w:sz w:val="21"/>
        </w:rPr>
      </w:pPr>
      <w:r>
        <w:rPr>
          <w:spacing w:val="-5"/>
          <w:sz w:val="21"/>
        </w:rPr>
        <w:t>消防专用电话可与隧道内设置的紧急电话合用，其设置应符合本规范第 </w:t>
      </w:r>
      <w:r>
        <w:rPr>
          <w:sz w:val="21"/>
        </w:rPr>
        <w:t>6.7</w:t>
      </w:r>
      <w:r>
        <w:rPr>
          <w:spacing w:val="-3"/>
          <w:sz w:val="21"/>
        </w:rPr>
        <w:t> 节的规</w:t>
      </w:r>
    </w:p>
    <w:p>
      <w:pPr>
        <w:spacing w:after="0" w:line="240" w:lineRule="auto"/>
        <w:jc w:val="left"/>
        <w:rPr>
          <w:sz w:val="21"/>
        </w:rPr>
        <w:sectPr>
          <w:footerReference w:type="default" r:id="rId354"/>
          <w:pgSz w:w="11910" w:h="16850"/>
          <w:pgMar w:footer="1239" w:header="0" w:top="1220" w:bottom="1420" w:left="1260" w:right="0"/>
          <w:pgNumType w:start="1300"/>
        </w:sectPr>
      </w:pPr>
    </w:p>
    <w:p>
      <w:pPr>
        <w:pStyle w:val="BodyText"/>
        <w:spacing w:before="47"/>
        <w:ind w:left="418"/>
      </w:pPr>
      <w:r>
        <w:rPr/>
        <w:t>定。 </w:t>
      </w:r>
    </w:p>
    <w:p>
      <w:pPr>
        <w:pStyle w:val="BodyText"/>
        <w:rPr>
          <w:sz w:val="18"/>
        </w:rPr>
      </w:pPr>
    </w:p>
    <w:p>
      <w:pPr>
        <w:pStyle w:val="ListParagraph"/>
        <w:numPr>
          <w:ilvl w:val="2"/>
          <w:numId w:val="662"/>
        </w:numPr>
        <w:tabs>
          <w:tab w:pos="1583" w:val="left" w:leader="none"/>
          <w:tab w:pos="7558" w:val="left" w:leader="none"/>
        </w:tabs>
        <w:spacing w:line="240" w:lineRule="auto" w:before="0" w:after="0"/>
        <w:ind w:left="1582" w:right="0" w:hanging="743"/>
        <w:jc w:val="left"/>
        <w:rPr>
          <w:sz w:val="21"/>
        </w:rPr>
      </w:pPr>
      <w:r>
        <w:rPr>
          <w:sz w:val="21"/>
        </w:rPr>
        <w:t>消</w:t>
      </w:r>
      <w:r>
        <w:rPr>
          <w:spacing w:val="-3"/>
          <w:sz w:val="21"/>
        </w:rPr>
        <w:t>防</w:t>
      </w:r>
      <w:r>
        <w:rPr>
          <w:sz w:val="21"/>
        </w:rPr>
        <w:t>联</w:t>
      </w:r>
      <w:r>
        <w:rPr>
          <w:spacing w:val="-3"/>
          <w:sz w:val="21"/>
        </w:rPr>
        <w:t>动</w:t>
      </w:r>
      <w:r>
        <w:rPr>
          <w:sz w:val="21"/>
        </w:rPr>
        <w:t>控</w:t>
      </w:r>
      <w:r>
        <w:rPr>
          <w:spacing w:val="-3"/>
          <w:sz w:val="21"/>
        </w:rPr>
        <w:t>制器</w:t>
      </w:r>
      <w:r>
        <w:rPr>
          <w:sz w:val="21"/>
        </w:rPr>
        <w:t>应能</w:t>
      </w:r>
      <w:r>
        <w:rPr>
          <w:spacing w:val="-3"/>
          <w:sz w:val="21"/>
        </w:rPr>
        <w:t>手</w:t>
      </w:r>
      <w:r>
        <w:rPr>
          <w:sz w:val="21"/>
        </w:rPr>
        <w:t>动</w:t>
      </w:r>
      <w:r>
        <w:rPr>
          <w:spacing w:val="-3"/>
          <w:sz w:val="21"/>
        </w:rPr>
        <w:t>控</w:t>
      </w:r>
      <w:r>
        <w:rPr>
          <w:sz w:val="21"/>
        </w:rPr>
        <w:t>制</w:t>
      </w:r>
      <w:r>
        <w:rPr>
          <w:spacing w:val="-3"/>
          <w:sz w:val="21"/>
        </w:rPr>
        <w:t>与</w:t>
      </w:r>
      <w:r>
        <w:rPr>
          <w:sz w:val="21"/>
        </w:rPr>
        <w:t>正</w:t>
      </w:r>
      <w:r>
        <w:rPr>
          <w:spacing w:val="-3"/>
          <w:sz w:val="21"/>
        </w:rPr>
        <w:t>常</w:t>
      </w:r>
      <w:r>
        <w:rPr>
          <w:sz w:val="21"/>
        </w:rPr>
        <w:t>通</w:t>
      </w:r>
      <w:r>
        <w:rPr>
          <w:spacing w:val="-3"/>
          <w:sz w:val="21"/>
        </w:rPr>
        <w:t>风</w:t>
      </w:r>
      <w:r>
        <w:rPr>
          <w:sz w:val="21"/>
        </w:rPr>
        <w:t>合用</w:t>
      </w:r>
      <w:r>
        <w:rPr>
          <w:spacing w:val="-3"/>
          <w:sz w:val="21"/>
        </w:rPr>
        <w:t>的</w:t>
      </w:r>
      <w:r>
        <w:rPr>
          <w:sz w:val="21"/>
        </w:rPr>
        <w:t>排</w:t>
      </w:r>
      <w:r>
        <w:rPr>
          <w:spacing w:val="-3"/>
          <w:sz w:val="21"/>
        </w:rPr>
        <w:t>烟</w:t>
      </w:r>
      <w:r>
        <w:rPr>
          <w:sz w:val="21"/>
        </w:rPr>
        <w:t>风</w:t>
      </w:r>
      <w:r>
        <w:rPr>
          <w:spacing w:val="-3"/>
          <w:sz w:val="21"/>
        </w:rPr>
        <w:t>机。</w:t>
      </w:r>
      <w:r>
        <w:rPr>
          <w:sz w:val="21"/>
        </w:rPr>
        <w:t> </w:t>
        <w:tab/>
      </w:r>
      <w:r>
        <w:rPr>
          <w:w w:val="100"/>
          <w:sz w:val="21"/>
        </w:rPr>
        <w:t>  </w:t>
      </w:r>
    </w:p>
    <w:p>
      <w:pPr>
        <w:pStyle w:val="BodyText"/>
        <w:rPr>
          <w:sz w:val="18"/>
        </w:rPr>
      </w:pPr>
    </w:p>
    <w:p>
      <w:pPr>
        <w:pStyle w:val="ListParagraph"/>
        <w:numPr>
          <w:ilvl w:val="2"/>
          <w:numId w:val="662"/>
        </w:numPr>
        <w:tabs>
          <w:tab w:pos="1583" w:val="left" w:leader="none"/>
        </w:tabs>
        <w:spacing w:line="240" w:lineRule="auto" w:before="0" w:after="0"/>
        <w:ind w:left="1582" w:right="0" w:hanging="743"/>
        <w:jc w:val="left"/>
        <w:rPr>
          <w:sz w:val="21"/>
        </w:rPr>
      </w:pPr>
      <w:r>
        <w:rPr>
          <w:spacing w:val="-3"/>
          <w:sz w:val="21"/>
        </w:rPr>
        <w:t>隧道内设置的消防设备的防护等级不应低于 </w:t>
      </w:r>
      <w:r>
        <w:rPr>
          <w:sz w:val="21"/>
        </w:rPr>
        <w:t>IP65</w:t>
      </w:r>
      <w:r>
        <w:rPr>
          <w:spacing w:val="-2"/>
          <w:sz w:val="21"/>
        </w:rPr>
        <w:t> 。</w:t>
      </w:r>
      <w:r>
        <w:rPr>
          <w:sz w:val="21"/>
        </w:rPr>
        <w:t> </w:t>
      </w:r>
      <w:r>
        <w:rPr>
          <w:spacing w:val="-12"/>
          <w:sz w:val="21"/>
        </w:rPr>
        <w:t> </w:t>
      </w:r>
      <w:r>
        <w:rPr>
          <w:w w:val="100"/>
          <w:sz w:val="21"/>
        </w:rPr>
        <w:t>  </w:t>
      </w:r>
    </w:p>
    <w:p>
      <w:pPr>
        <w:pStyle w:val="BodyText"/>
        <w:spacing w:before="1"/>
        <w:rPr>
          <w:sz w:val="18"/>
        </w:rPr>
      </w:pPr>
    </w:p>
    <w:p>
      <w:pPr>
        <w:pStyle w:val="ListParagraph"/>
        <w:numPr>
          <w:ilvl w:val="1"/>
          <w:numId w:val="662"/>
        </w:numPr>
        <w:tabs>
          <w:tab w:pos="1264" w:val="left" w:leader="none"/>
        </w:tabs>
        <w:spacing w:line="240" w:lineRule="auto" w:before="1" w:after="0"/>
        <w:ind w:left="1263" w:right="0" w:hanging="424"/>
        <w:jc w:val="left"/>
        <w:rPr>
          <w:sz w:val="21"/>
        </w:rPr>
      </w:pPr>
      <w:r>
        <w:rPr>
          <w:spacing w:val="-3"/>
          <w:sz w:val="21"/>
        </w:rPr>
        <w:t>油罐区</w:t>
      </w:r>
      <w:r>
        <w:rPr>
          <w:sz w:val="21"/>
        </w:rPr>
        <w:t> </w:t>
      </w:r>
    </w:p>
    <w:p>
      <w:pPr>
        <w:pStyle w:val="BodyText"/>
        <w:spacing w:before="12"/>
        <w:rPr>
          <w:sz w:val="17"/>
        </w:rPr>
      </w:pPr>
    </w:p>
    <w:p>
      <w:pPr>
        <w:pStyle w:val="ListParagraph"/>
        <w:numPr>
          <w:ilvl w:val="2"/>
          <w:numId w:val="662"/>
        </w:numPr>
        <w:tabs>
          <w:tab w:pos="1478" w:val="left" w:leader="none"/>
          <w:tab w:pos="5038" w:val="left" w:leader="none"/>
          <w:tab w:pos="5458" w:val="left" w:leader="none"/>
          <w:tab w:pos="5878" w:val="left" w:leader="none"/>
        </w:tabs>
        <w:spacing w:line="446" w:lineRule="auto" w:before="0" w:after="0"/>
        <w:ind w:left="418" w:right="1434" w:firstLine="422"/>
        <w:jc w:val="left"/>
        <w:rPr>
          <w:sz w:val="21"/>
        </w:rPr>
      </w:pPr>
      <w:r>
        <w:rPr>
          <w:sz w:val="21"/>
        </w:rPr>
        <w:t>外</w:t>
      </w:r>
      <w:r>
        <w:rPr>
          <w:spacing w:val="-3"/>
          <w:sz w:val="21"/>
        </w:rPr>
        <w:t>浮</w:t>
      </w:r>
      <w:r>
        <w:rPr>
          <w:sz w:val="21"/>
        </w:rPr>
        <w:t>顶油</w:t>
      </w:r>
      <w:r>
        <w:rPr>
          <w:spacing w:val="-3"/>
          <w:sz w:val="21"/>
        </w:rPr>
        <w:t>罐</w:t>
      </w:r>
      <w:r>
        <w:rPr>
          <w:sz w:val="21"/>
        </w:rPr>
        <w:t>宜</w:t>
      </w:r>
      <w:r>
        <w:rPr>
          <w:spacing w:val="-3"/>
          <w:sz w:val="21"/>
        </w:rPr>
        <w:t>采</w:t>
      </w:r>
      <w:r>
        <w:rPr>
          <w:sz w:val="21"/>
        </w:rPr>
        <w:t>用线型</w:t>
      </w:r>
      <w:r>
        <w:rPr>
          <w:spacing w:val="-3"/>
          <w:sz w:val="21"/>
        </w:rPr>
        <w:t>光</w:t>
      </w:r>
      <w:r>
        <w:rPr>
          <w:sz w:val="21"/>
        </w:rPr>
        <w:t>纤感</w:t>
      </w:r>
      <w:r>
        <w:rPr>
          <w:spacing w:val="-3"/>
          <w:sz w:val="21"/>
        </w:rPr>
        <w:t>温</w:t>
      </w:r>
      <w:r>
        <w:rPr>
          <w:sz w:val="21"/>
        </w:rPr>
        <w:t>火灾</w:t>
      </w:r>
      <w:r>
        <w:rPr>
          <w:spacing w:val="-3"/>
          <w:sz w:val="21"/>
        </w:rPr>
        <w:t>探测</w:t>
      </w:r>
      <w:r>
        <w:rPr>
          <w:sz w:val="21"/>
        </w:rPr>
        <w:t>器，且</w:t>
      </w:r>
      <w:r>
        <w:rPr>
          <w:spacing w:val="-3"/>
          <w:sz w:val="21"/>
        </w:rPr>
        <w:t>每</w:t>
      </w:r>
      <w:r>
        <w:rPr>
          <w:sz w:val="21"/>
        </w:rPr>
        <w:t>只线</w:t>
      </w:r>
      <w:r>
        <w:rPr>
          <w:spacing w:val="-3"/>
          <w:sz w:val="21"/>
        </w:rPr>
        <w:t>型</w:t>
      </w:r>
      <w:r>
        <w:rPr>
          <w:sz w:val="21"/>
        </w:rPr>
        <w:t>光纤</w:t>
      </w:r>
      <w:r>
        <w:rPr>
          <w:spacing w:val="-3"/>
          <w:sz w:val="21"/>
        </w:rPr>
        <w:t>感温</w:t>
      </w:r>
      <w:r>
        <w:rPr>
          <w:sz w:val="21"/>
        </w:rPr>
        <w:t>火灾探</w:t>
      </w:r>
      <w:r>
        <w:rPr>
          <w:spacing w:val="-3"/>
          <w:sz w:val="21"/>
        </w:rPr>
        <w:t>测</w:t>
      </w:r>
      <w:r>
        <w:rPr>
          <w:sz w:val="21"/>
        </w:rPr>
        <w:t>器应只 能保</w:t>
      </w:r>
      <w:r>
        <w:rPr>
          <w:spacing w:val="-3"/>
          <w:sz w:val="21"/>
        </w:rPr>
        <w:t>护</w:t>
      </w:r>
      <w:r>
        <w:rPr>
          <w:sz w:val="21"/>
        </w:rPr>
        <w:t>一</w:t>
      </w:r>
      <w:r>
        <w:rPr>
          <w:spacing w:val="-3"/>
          <w:sz w:val="21"/>
        </w:rPr>
        <w:t>个</w:t>
      </w:r>
      <w:r>
        <w:rPr>
          <w:sz w:val="21"/>
        </w:rPr>
        <w:t>油</w:t>
      </w:r>
      <w:r>
        <w:rPr>
          <w:spacing w:val="-3"/>
          <w:sz w:val="21"/>
        </w:rPr>
        <w:t>罐</w:t>
      </w:r>
      <w:r>
        <w:rPr>
          <w:sz w:val="21"/>
        </w:rPr>
        <w:t>；</w:t>
      </w:r>
      <w:r>
        <w:rPr>
          <w:spacing w:val="-3"/>
          <w:sz w:val="21"/>
        </w:rPr>
        <w:t>并</w:t>
      </w:r>
      <w:r>
        <w:rPr>
          <w:sz w:val="21"/>
        </w:rPr>
        <w:t>应</w:t>
      </w:r>
      <w:r>
        <w:rPr>
          <w:spacing w:val="-3"/>
          <w:sz w:val="21"/>
        </w:rPr>
        <w:t>设</w:t>
      </w:r>
      <w:r>
        <w:rPr>
          <w:sz w:val="21"/>
        </w:rPr>
        <w:t>置在</w:t>
      </w:r>
      <w:r>
        <w:rPr>
          <w:spacing w:val="-3"/>
          <w:sz w:val="21"/>
        </w:rPr>
        <w:t>浮</w:t>
      </w:r>
      <w:r>
        <w:rPr>
          <w:sz w:val="21"/>
        </w:rPr>
        <w:t>盘</w:t>
      </w:r>
      <w:r>
        <w:rPr>
          <w:spacing w:val="-3"/>
          <w:sz w:val="21"/>
        </w:rPr>
        <w:t>的</w:t>
      </w:r>
      <w:r>
        <w:rPr>
          <w:sz w:val="21"/>
        </w:rPr>
        <w:t>堰</w:t>
      </w:r>
      <w:r>
        <w:rPr>
          <w:spacing w:val="-3"/>
          <w:sz w:val="21"/>
        </w:rPr>
        <w:t>板</w:t>
      </w:r>
      <w:r>
        <w:rPr>
          <w:sz w:val="21"/>
        </w:rPr>
        <w:t>上</w:t>
      </w:r>
      <w:r>
        <w:rPr>
          <w:spacing w:val="-3"/>
          <w:sz w:val="21"/>
        </w:rPr>
        <w:t>。</w:t>
      </w:r>
      <w:r>
        <w:rPr>
          <w:sz w:val="21"/>
        </w:rPr>
        <w:t> </w:t>
        <w:tab/>
      </w:r>
      <w:r>
        <w:rPr>
          <w:w w:val="100"/>
          <w:sz w:val="21"/>
        </w:rPr>
        <w:t>  </w:t>
      </w:r>
      <w:r>
        <w:rPr>
          <w:sz w:val="21"/>
        </w:rPr>
        <w:tab/>
      </w:r>
      <w:r>
        <w:rPr>
          <w:w w:val="100"/>
          <w:sz w:val="21"/>
        </w:rPr>
        <w:t>  </w:t>
      </w:r>
      <w:r>
        <w:rPr>
          <w:sz w:val="21"/>
        </w:rPr>
        <w:tab/>
      </w:r>
      <w:r>
        <w:rPr>
          <w:w w:val="100"/>
          <w:sz w:val="21"/>
        </w:rPr>
        <w:t>  </w:t>
      </w:r>
    </w:p>
    <w:p>
      <w:pPr>
        <w:pStyle w:val="ListParagraph"/>
        <w:numPr>
          <w:ilvl w:val="2"/>
          <w:numId w:val="662"/>
        </w:numPr>
        <w:tabs>
          <w:tab w:pos="1478" w:val="left" w:leader="none"/>
          <w:tab w:pos="6718" w:val="left" w:leader="none"/>
        </w:tabs>
        <w:spacing w:line="240" w:lineRule="auto" w:before="0" w:after="0"/>
        <w:ind w:left="1477" w:right="0" w:hanging="638"/>
        <w:jc w:val="left"/>
        <w:rPr>
          <w:sz w:val="21"/>
        </w:rPr>
      </w:pPr>
      <w:r>
        <w:rPr>
          <w:spacing w:val="-3"/>
          <w:sz w:val="21"/>
        </w:rPr>
        <w:t>除</w:t>
      </w:r>
      <w:r>
        <w:rPr>
          <w:spacing w:val="-1"/>
          <w:sz w:val="21"/>
        </w:rPr>
        <w:t>浮</w:t>
      </w:r>
      <w:r>
        <w:rPr>
          <w:spacing w:val="-3"/>
          <w:sz w:val="21"/>
        </w:rPr>
        <w:t>顶</w:t>
      </w:r>
      <w:r>
        <w:rPr>
          <w:spacing w:val="-1"/>
          <w:sz w:val="21"/>
        </w:rPr>
        <w:t>和</w:t>
      </w:r>
      <w:r>
        <w:rPr>
          <w:sz w:val="21"/>
        </w:rPr>
        <w:t>卧式</w:t>
      </w:r>
      <w:r>
        <w:rPr>
          <w:spacing w:val="-3"/>
          <w:sz w:val="21"/>
        </w:rPr>
        <w:t>油罐</w:t>
      </w:r>
      <w:r>
        <w:rPr>
          <w:sz w:val="21"/>
        </w:rPr>
        <w:t>外的</w:t>
      </w:r>
      <w:r>
        <w:rPr>
          <w:spacing w:val="-3"/>
          <w:sz w:val="21"/>
        </w:rPr>
        <w:t>其</w:t>
      </w:r>
      <w:r>
        <w:rPr>
          <w:sz w:val="21"/>
        </w:rPr>
        <w:t>他</w:t>
      </w:r>
      <w:r>
        <w:rPr>
          <w:spacing w:val="-3"/>
          <w:sz w:val="21"/>
        </w:rPr>
        <w:t>油</w:t>
      </w:r>
      <w:r>
        <w:rPr>
          <w:sz w:val="21"/>
        </w:rPr>
        <w:t>罐</w:t>
      </w:r>
      <w:r>
        <w:rPr>
          <w:spacing w:val="-3"/>
          <w:sz w:val="21"/>
        </w:rPr>
        <w:t>宜</w:t>
      </w:r>
      <w:r>
        <w:rPr>
          <w:sz w:val="21"/>
        </w:rPr>
        <w:t>采</w:t>
      </w:r>
      <w:r>
        <w:rPr>
          <w:spacing w:val="-3"/>
          <w:sz w:val="21"/>
        </w:rPr>
        <w:t>用</w:t>
      </w:r>
      <w:r>
        <w:rPr>
          <w:sz w:val="21"/>
        </w:rPr>
        <w:t>火</w:t>
      </w:r>
      <w:r>
        <w:rPr>
          <w:spacing w:val="-3"/>
          <w:sz w:val="21"/>
        </w:rPr>
        <w:t>焰</w:t>
      </w:r>
      <w:r>
        <w:rPr>
          <w:sz w:val="21"/>
        </w:rPr>
        <w:t>探测</w:t>
      </w:r>
      <w:r>
        <w:rPr>
          <w:spacing w:val="-3"/>
          <w:sz w:val="21"/>
        </w:rPr>
        <w:t>器。</w:t>
      </w:r>
      <w:r>
        <w:rPr>
          <w:sz w:val="21"/>
        </w:rPr>
        <w:t> </w:t>
        <w:tab/>
      </w:r>
      <w:r>
        <w:rPr>
          <w:w w:val="100"/>
          <w:sz w:val="21"/>
        </w:rPr>
        <w:t>  </w:t>
      </w:r>
    </w:p>
    <w:p>
      <w:pPr>
        <w:pStyle w:val="BodyText"/>
        <w:rPr>
          <w:sz w:val="18"/>
        </w:rPr>
      </w:pPr>
    </w:p>
    <w:p>
      <w:pPr>
        <w:pStyle w:val="ListParagraph"/>
        <w:numPr>
          <w:ilvl w:val="2"/>
          <w:numId w:val="662"/>
        </w:numPr>
        <w:tabs>
          <w:tab w:pos="1478" w:val="left" w:leader="none"/>
        </w:tabs>
        <w:spacing w:line="240" w:lineRule="auto" w:before="0" w:after="0"/>
        <w:ind w:left="1477" w:right="0" w:hanging="638"/>
        <w:jc w:val="left"/>
        <w:rPr>
          <w:sz w:val="21"/>
        </w:rPr>
      </w:pPr>
      <w:r>
        <w:rPr>
          <w:spacing w:val="4"/>
          <w:sz w:val="21"/>
        </w:rPr>
        <w:t>采用光栅光纤感温火灾探测器保护外浮顶油罐时，两个相邻光栅间距离不应大于</w:t>
      </w:r>
      <w:r>
        <w:rPr>
          <w:sz w:val="21"/>
        </w:rPr>
        <w:t> </w:t>
      </w:r>
    </w:p>
    <w:p>
      <w:pPr>
        <w:pStyle w:val="BodyText"/>
        <w:spacing w:before="12"/>
        <w:rPr>
          <w:sz w:val="17"/>
        </w:rPr>
      </w:pPr>
    </w:p>
    <w:p>
      <w:pPr>
        <w:pStyle w:val="BodyText"/>
        <w:ind w:left="418"/>
      </w:pPr>
      <w:r>
        <w:rPr/>
        <w:t>3m 。 </w:t>
      </w:r>
    </w:p>
    <w:p>
      <w:pPr>
        <w:pStyle w:val="BodyText"/>
        <w:spacing w:before="2"/>
        <w:rPr>
          <w:sz w:val="18"/>
        </w:rPr>
      </w:pPr>
    </w:p>
    <w:p>
      <w:pPr>
        <w:pStyle w:val="ListParagraph"/>
        <w:numPr>
          <w:ilvl w:val="2"/>
          <w:numId w:val="662"/>
        </w:numPr>
        <w:tabs>
          <w:tab w:pos="1478" w:val="left" w:leader="none"/>
        </w:tabs>
        <w:spacing w:line="446" w:lineRule="auto" w:before="0" w:after="0"/>
        <w:ind w:left="418" w:right="1434" w:firstLine="422"/>
        <w:jc w:val="left"/>
        <w:rPr>
          <w:sz w:val="21"/>
        </w:rPr>
      </w:pPr>
      <w:r>
        <w:rPr>
          <w:spacing w:val="-3"/>
          <w:sz w:val="21"/>
        </w:rPr>
        <w:t>油罐区可在高架杆等高位处设置点型红外火焰探测器或图像型火灾探测器做辅助探 测。</w:t>
      </w:r>
      <w:r>
        <w:rPr>
          <w:sz w:val="21"/>
        </w:rPr>
        <w:t> </w:t>
      </w:r>
    </w:p>
    <w:p>
      <w:pPr>
        <w:pStyle w:val="ListParagraph"/>
        <w:numPr>
          <w:ilvl w:val="2"/>
          <w:numId w:val="662"/>
        </w:numPr>
        <w:tabs>
          <w:tab w:pos="1478" w:val="left" w:leader="none"/>
        </w:tabs>
        <w:spacing w:line="267" w:lineRule="exact" w:before="0" w:after="0"/>
        <w:ind w:left="1477" w:right="0" w:hanging="638"/>
        <w:jc w:val="left"/>
        <w:rPr>
          <w:sz w:val="21"/>
        </w:rPr>
      </w:pPr>
      <w:r>
        <w:rPr>
          <w:spacing w:val="-3"/>
          <w:sz w:val="21"/>
        </w:rPr>
        <w:t>火灾报警信号宜联动报警区域内的工业视频装置确认火灾。</w:t>
      </w:r>
      <w:r>
        <w:rPr>
          <w:spacing w:val="-12"/>
          <w:sz w:val="21"/>
        </w:rPr>
        <w:t> </w:t>
      </w:r>
      <w:r>
        <w:rPr>
          <w:sz w:val="21"/>
        </w:rPr>
        <w:t>  </w:t>
      </w:r>
    </w:p>
    <w:p>
      <w:pPr>
        <w:pStyle w:val="BodyText"/>
        <w:spacing w:before="2"/>
        <w:rPr>
          <w:sz w:val="18"/>
        </w:rPr>
      </w:pPr>
    </w:p>
    <w:p>
      <w:pPr>
        <w:pStyle w:val="ListParagraph"/>
        <w:numPr>
          <w:ilvl w:val="1"/>
          <w:numId w:val="662"/>
        </w:numPr>
        <w:tabs>
          <w:tab w:pos="1318" w:val="left" w:leader="none"/>
        </w:tabs>
        <w:spacing w:line="240" w:lineRule="auto" w:before="0" w:after="0"/>
        <w:ind w:left="1318" w:right="0" w:hanging="478"/>
        <w:jc w:val="both"/>
        <w:rPr>
          <w:sz w:val="21"/>
        </w:rPr>
      </w:pPr>
      <w:r>
        <w:rPr>
          <w:spacing w:val="-3"/>
          <w:sz w:val="21"/>
        </w:rPr>
        <w:t>电缆隧道</w:t>
      </w:r>
      <w:r>
        <w:rPr>
          <w:sz w:val="21"/>
        </w:rPr>
        <w:t> </w:t>
      </w:r>
    </w:p>
    <w:p>
      <w:pPr>
        <w:pStyle w:val="BodyText"/>
        <w:rPr>
          <w:sz w:val="18"/>
        </w:rPr>
      </w:pPr>
    </w:p>
    <w:p>
      <w:pPr>
        <w:pStyle w:val="ListParagraph"/>
        <w:numPr>
          <w:ilvl w:val="2"/>
          <w:numId w:val="662"/>
        </w:numPr>
        <w:tabs>
          <w:tab w:pos="1478" w:val="left" w:leader="none"/>
        </w:tabs>
        <w:spacing w:line="446" w:lineRule="auto" w:before="0" w:after="0"/>
        <w:ind w:left="418" w:right="1430" w:firstLine="422"/>
        <w:jc w:val="both"/>
        <w:rPr>
          <w:sz w:val="21"/>
        </w:rPr>
      </w:pPr>
      <w:r>
        <w:rPr>
          <w:spacing w:val="-3"/>
          <w:sz w:val="21"/>
        </w:rPr>
        <w:t>隧道外的电缆接头、端子等发热部位应设置测温式电气火灾监控探测器，探测器的 </w:t>
      </w:r>
      <w:r>
        <w:rPr>
          <w:spacing w:val="-2"/>
          <w:sz w:val="21"/>
        </w:rPr>
        <w:t>设置应符合本规范第 </w:t>
      </w:r>
      <w:r>
        <w:rPr>
          <w:sz w:val="21"/>
        </w:rPr>
        <w:t>9</w:t>
      </w:r>
      <w:r>
        <w:rPr>
          <w:spacing w:val="-3"/>
          <w:sz w:val="21"/>
        </w:rPr>
        <w:t> 章的有关规定；除隧道内所有电缆的燃烧性能均为 A 级外，隧道内应沿</w:t>
      </w:r>
      <w:r>
        <w:rPr>
          <w:spacing w:val="-6"/>
          <w:sz w:val="21"/>
        </w:rPr>
        <w:t>电缆设置线型感温火灾探测器，且在电缆接头、端子等发热部位应保证有效探测长度；隧道内设</w:t>
      </w:r>
      <w:r>
        <w:rPr>
          <w:spacing w:val="-4"/>
          <w:sz w:val="21"/>
        </w:rPr>
        <w:t>置的线型感温火灾探测器可接入电气火灾监控器。</w:t>
      </w:r>
      <w:r>
        <w:rPr>
          <w:sz w:val="21"/>
        </w:rPr>
        <w:t>   </w:t>
      </w:r>
      <w:r>
        <w:rPr>
          <w:spacing w:val="-3"/>
          <w:sz w:val="21"/>
        </w:rPr>
        <w:t> </w:t>
      </w:r>
      <w:r>
        <w:rPr>
          <w:w w:val="100"/>
          <w:sz w:val="21"/>
        </w:rPr>
        <w:t>  </w:t>
      </w:r>
      <w:r>
        <w:rPr>
          <w:sz w:val="21"/>
        </w:rPr>
        <w:t> </w:t>
      </w:r>
      <w:r>
        <w:rPr>
          <w:spacing w:val="-2"/>
          <w:sz w:val="21"/>
        </w:rPr>
        <w:t> </w:t>
      </w:r>
      <w:r>
        <w:rPr>
          <w:w w:val="100"/>
          <w:sz w:val="21"/>
        </w:rPr>
        <w:t>  </w:t>
      </w:r>
    </w:p>
    <w:p>
      <w:pPr>
        <w:pStyle w:val="ListParagraph"/>
        <w:numPr>
          <w:ilvl w:val="2"/>
          <w:numId w:val="662"/>
        </w:numPr>
        <w:tabs>
          <w:tab w:pos="1478" w:val="left" w:leader="none"/>
        </w:tabs>
        <w:spacing w:line="446" w:lineRule="auto" w:before="0" w:after="0"/>
        <w:ind w:left="418" w:right="1434" w:firstLine="422"/>
        <w:jc w:val="both"/>
        <w:rPr>
          <w:b/>
          <w:sz w:val="21"/>
        </w:rPr>
      </w:pPr>
      <w:r>
        <w:rPr>
          <w:spacing w:val="-3"/>
          <w:sz w:val="21"/>
        </w:rPr>
        <w:t>无外部火源进入的电缆隧道应在电缆层上表面设置线型感温火灾探测器；有外部火 源进入可 能的电缆隧道在电缆层上表面和隧道顶部，均应设置线型感温火灾探测器。</w:t>
      </w:r>
      <w:r>
        <w:rPr>
          <w:b/>
          <w:spacing w:val="-3"/>
          <w:w w:val="99"/>
          <w:sz w:val="21"/>
        </w:rPr>
        <w:t> </w:t>
      </w:r>
    </w:p>
    <w:p>
      <w:pPr>
        <w:pStyle w:val="ListParagraph"/>
        <w:numPr>
          <w:ilvl w:val="2"/>
          <w:numId w:val="662"/>
        </w:numPr>
        <w:tabs>
          <w:tab w:pos="1478" w:val="left" w:leader="none"/>
        </w:tabs>
        <w:spacing w:line="446" w:lineRule="auto" w:before="0" w:after="0"/>
        <w:ind w:left="418" w:right="1431" w:firstLine="422"/>
        <w:jc w:val="both"/>
        <w:rPr>
          <w:sz w:val="21"/>
        </w:rPr>
      </w:pPr>
      <w:r>
        <w:rPr>
          <w:spacing w:val="-6"/>
          <w:sz w:val="21"/>
        </w:rPr>
        <w:t>线型感温火灾探测器采用“S</w:t>
      </w:r>
      <w:r>
        <w:rPr>
          <w:spacing w:val="-4"/>
          <w:sz w:val="21"/>
        </w:rPr>
        <w:t>”形布置或有外部火源进入可能的电缆隧道内，应采用</w:t>
      </w:r>
      <w:r>
        <w:rPr>
          <w:spacing w:val="-3"/>
          <w:sz w:val="21"/>
        </w:rPr>
        <w:t>能响应火 焰规模不大于 </w:t>
      </w:r>
      <w:r>
        <w:rPr>
          <w:sz w:val="21"/>
        </w:rPr>
        <w:t>100mm</w:t>
      </w:r>
      <w:r>
        <w:rPr>
          <w:spacing w:val="-3"/>
          <w:sz w:val="21"/>
        </w:rPr>
        <w:t> 的线型感温火灾探测器。</w:t>
      </w:r>
      <w:r>
        <w:rPr>
          <w:sz w:val="21"/>
        </w:rPr>
        <w:t>  </w:t>
      </w:r>
      <w:r>
        <w:rPr>
          <w:w w:val="100"/>
          <w:sz w:val="21"/>
        </w:rPr>
        <w:t>  </w:t>
      </w:r>
      <w:r>
        <w:rPr>
          <w:sz w:val="21"/>
        </w:rPr>
        <w:t> </w:t>
      </w:r>
      <w:r>
        <w:rPr>
          <w:spacing w:val="-2"/>
          <w:sz w:val="21"/>
        </w:rPr>
        <w:t> </w:t>
      </w:r>
      <w:r>
        <w:rPr>
          <w:w w:val="100"/>
          <w:sz w:val="21"/>
        </w:rPr>
        <w:t>  </w:t>
      </w:r>
    </w:p>
    <w:p>
      <w:pPr>
        <w:pStyle w:val="ListParagraph"/>
        <w:numPr>
          <w:ilvl w:val="2"/>
          <w:numId w:val="662"/>
        </w:numPr>
        <w:tabs>
          <w:tab w:pos="1478" w:val="left" w:leader="none"/>
          <w:tab w:pos="7138" w:val="left" w:leader="none"/>
          <w:tab w:pos="7558" w:val="left" w:leader="none"/>
        </w:tabs>
        <w:spacing w:line="446" w:lineRule="auto" w:before="0" w:after="0"/>
        <w:ind w:left="418" w:right="1225" w:firstLine="422"/>
        <w:jc w:val="left"/>
        <w:rPr>
          <w:sz w:val="21"/>
        </w:rPr>
      </w:pPr>
      <w:r>
        <w:rPr>
          <w:sz w:val="21"/>
        </w:rPr>
        <w:t>线型</w:t>
      </w:r>
      <w:r>
        <w:rPr>
          <w:spacing w:val="-3"/>
          <w:sz w:val="21"/>
        </w:rPr>
        <w:t>感</w:t>
      </w:r>
      <w:r>
        <w:rPr>
          <w:sz w:val="21"/>
        </w:rPr>
        <w:t>温火</w:t>
      </w:r>
      <w:r>
        <w:rPr>
          <w:spacing w:val="-3"/>
          <w:sz w:val="21"/>
        </w:rPr>
        <w:t>灾探</w:t>
      </w:r>
      <w:r>
        <w:rPr>
          <w:sz w:val="21"/>
        </w:rPr>
        <w:t>测器应</w:t>
      </w:r>
      <w:r>
        <w:rPr>
          <w:spacing w:val="-3"/>
          <w:sz w:val="21"/>
        </w:rPr>
        <w:t>采</w:t>
      </w:r>
      <w:r>
        <w:rPr>
          <w:sz w:val="21"/>
        </w:rPr>
        <w:t>用接</w:t>
      </w:r>
      <w:r>
        <w:rPr>
          <w:spacing w:val="-3"/>
          <w:sz w:val="21"/>
        </w:rPr>
        <w:t>触</w:t>
      </w:r>
      <w:r>
        <w:rPr>
          <w:sz w:val="21"/>
        </w:rPr>
        <w:t>式的</w:t>
      </w:r>
      <w:r>
        <w:rPr>
          <w:spacing w:val="-3"/>
          <w:sz w:val="21"/>
        </w:rPr>
        <w:t>敷设</w:t>
      </w:r>
      <w:r>
        <w:rPr>
          <w:sz w:val="21"/>
        </w:rPr>
        <w:t>方式对</w:t>
      </w:r>
      <w:r>
        <w:rPr>
          <w:spacing w:val="-3"/>
          <w:sz w:val="21"/>
        </w:rPr>
        <w:t>隧</w:t>
      </w:r>
      <w:r>
        <w:rPr>
          <w:sz w:val="21"/>
        </w:rPr>
        <w:t>道内</w:t>
      </w:r>
      <w:r>
        <w:rPr>
          <w:spacing w:val="-3"/>
          <w:sz w:val="21"/>
        </w:rPr>
        <w:t>的</w:t>
      </w:r>
      <w:r>
        <w:rPr>
          <w:sz w:val="21"/>
        </w:rPr>
        <w:t>所有</w:t>
      </w:r>
      <w:r>
        <w:rPr>
          <w:spacing w:val="-3"/>
          <w:sz w:val="21"/>
        </w:rPr>
        <w:t>的动</w:t>
      </w:r>
      <w:r>
        <w:rPr>
          <w:sz w:val="21"/>
        </w:rPr>
        <w:t>力电缆</w:t>
      </w:r>
      <w:r>
        <w:rPr>
          <w:spacing w:val="-3"/>
          <w:sz w:val="21"/>
        </w:rPr>
        <w:t>进</w:t>
      </w:r>
      <w:r>
        <w:rPr>
          <w:sz w:val="21"/>
        </w:rPr>
        <w:t>行探</w:t>
      </w:r>
      <w:r>
        <w:rPr>
          <w:spacing w:val="-3"/>
          <w:sz w:val="21"/>
        </w:rPr>
        <w:t>测</w:t>
      </w:r>
      <w:r>
        <w:rPr>
          <w:sz w:val="21"/>
        </w:rPr>
        <w:t>； 缆式线型感温火灾探测器应采用―S‖形布置在每层电缆的上表面，线型光纤感温火灾探测器应 采用</w:t>
      </w:r>
      <w:r>
        <w:rPr>
          <w:spacing w:val="-3"/>
          <w:sz w:val="21"/>
        </w:rPr>
        <w:t>一</w:t>
      </w:r>
      <w:r>
        <w:rPr>
          <w:sz w:val="21"/>
        </w:rPr>
        <w:t>根</w:t>
      </w:r>
      <w:r>
        <w:rPr>
          <w:spacing w:val="-3"/>
          <w:sz w:val="21"/>
        </w:rPr>
        <w:t>感</w:t>
      </w:r>
      <w:r>
        <w:rPr>
          <w:sz w:val="21"/>
        </w:rPr>
        <w:t>温</w:t>
      </w:r>
      <w:r>
        <w:rPr>
          <w:spacing w:val="32"/>
          <w:sz w:val="21"/>
        </w:rPr>
        <w:t> </w:t>
      </w:r>
      <w:r>
        <w:rPr>
          <w:sz w:val="21"/>
        </w:rPr>
        <w:t>光</w:t>
      </w:r>
      <w:r>
        <w:rPr>
          <w:spacing w:val="-3"/>
          <w:sz w:val="21"/>
        </w:rPr>
        <w:t>缆</w:t>
      </w:r>
      <w:r>
        <w:rPr>
          <w:sz w:val="21"/>
        </w:rPr>
        <w:t>保</w:t>
      </w:r>
      <w:r>
        <w:rPr>
          <w:spacing w:val="-3"/>
          <w:sz w:val="21"/>
        </w:rPr>
        <w:t>护一</w:t>
      </w:r>
      <w:r>
        <w:rPr>
          <w:sz w:val="21"/>
        </w:rPr>
        <w:t>根动</w:t>
      </w:r>
      <w:r>
        <w:rPr>
          <w:spacing w:val="-3"/>
          <w:sz w:val="21"/>
        </w:rPr>
        <w:t>力</w:t>
      </w:r>
      <w:r>
        <w:rPr>
          <w:sz w:val="21"/>
        </w:rPr>
        <w:t>电</w:t>
      </w:r>
      <w:r>
        <w:rPr>
          <w:spacing w:val="-3"/>
          <w:sz w:val="21"/>
        </w:rPr>
        <w:t>缆</w:t>
      </w:r>
      <w:r>
        <w:rPr>
          <w:sz w:val="21"/>
        </w:rPr>
        <w:t>的</w:t>
      </w:r>
      <w:r>
        <w:rPr>
          <w:spacing w:val="-3"/>
          <w:sz w:val="21"/>
        </w:rPr>
        <w:t>方</w:t>
      </w:r>
      <w:r>
        <w:rPr>
          <w:sz w:val="21"/>
        </w:rPr>
        <w:t>式</w:t>
      </w:r>
      <w:r>
        <w:rPr>
          <w:spacing w:val="-3"/>
          <w:sz w:val="21"/>
        </w:rPr>
        <w:t>，</w:t>
      </w:r>
      <w:r>
        <w:rPr>
          <w:sz w:val="21"/>
        </w:rPr>
        <w:t>并</w:t>
      </w:r>
      <w:r>
        <w:rPr>
          <w:spacing w:val="-3"/>
          <w:sz w:val="21"/>
        </w:rPr>
        <w:t>应</w:t>
      </w:r>
      <w:r>
        <w:rPr>
          <w:sz w:val="21"/>
        </w:rPr>
        <w:t>沿动</w:t>
      </w:r>
      <w:r>
        <w:rPr>
          <w:spacing w:val="-3"/>
          <w:sz w:val="21"/>
        </w:rPr>
        <w:t>力</w:t>
      </w:r>
      <w:r>
        <w:rPr>
          <w:sz w:val="21"/>
        </w:rPr>
        <w:t>电</w:t>
      </w:r>
      <w:r>
        <w:rPr>
          <w:spacing w:val="-3"/>
          <w:sz w:val="21"/>
        </w:rPr>
        <w:t>缆</w:t>
      </w:r>
      <w:r>
        <w:rPr>
          <w:sz w:val="21"/>
        </w:rPr>
        <w:t>敷</w:t>
      </w:r>
      <w:r>
        <w:rPr>
          <w:spacing w:val="-3"/>
          <w:sz w:val="21"/>
        </w:rPr>
        <w:t>设。</w:t>
      </w:r>
      <w:r>
        <w:rPr>
          <w:sz w:val="21"/>
        </w:rPr>
        <w:t> </w:t>
        <w:tab/>
      </w:r>
      <w:r>
        <w:rPr>
          <w:w w:val="100"/>
          <w:sz w:val="21"/>
        </w:rPr>
        <w:t>  </w:t>
      </w:r>
      <w:r>
        <w:rPr>
          <w:sz w:val="21"/>
        </w:rPr>
        <w:tab/>
      </w:r>
      <w:r>
        <w:rPr>
          <w:w w:val="100"/>
          <w:sz w:val="21"/>
        </w:rPr>
        <w:t>  </w:t>
      </w:r>
    </w:p>
    <w:p>
      <w:pPr>
        <w:pStyle w:val="ListParagraph"/>
        <w:numPr>
          <w:ilvl w:val="2"/>
          <w:numId w:val="662"/>
        </w:numPr>
        <w:tabs>
          <w:tab w:pos="1478" w:val="left" w:leader="none"/>
        </w:tabs>
        <w:spacing w:line="446" w:lineRule="auto" w:before="0" w:after="0"/>
        <w:ind w:left="418" w:right="1430" w:firstLine="422"/>
        <w:jc w:val="both"/>
        <w:rPr>
          <w:sz w:val="21"/>
        </w:rPr>
      </w:pPr>
      <w:r>
        <w:rPr>
          <w:spacing w:val="-3"/>
          <w:sz w:val="21"/>
        </w:rPr>
        <w:t>分布式线型光纤感温火灾探测器在电缆接头、端子等发热部位敷设时，其感温光缆 </w:t>
      </w:r>
      <w:r>
        <w:rPr>
          <w:sz w:val="21"/>
        </w:rPr>
        <w:t>的延展长度不应少于探测单元长度的 1.5</w:t>
      </w:r>
      <w:r>
        <w:rPr>
          <w:spacing w:val="-3"/>
          <w:sz w:val="21"/>
        </w:rPr>
        <w:t> 倍；线型光栅光纤感温火灾探测器在电缆接头、端子等发热部位应 设置感温光栅。</w:t>
      </w:r>
      <w:r>
        <w:rPr>
          <w:sz w:val="21"/>
        </w:rPr>
        <w:t>    </w:t>
      </w:r>
      <w:r>
        <w:rPr>
          <w:spacing w:val="-2"/>
          <w:sz w:val="21"/>
        </w:rPr>
        <w:t> </w:t>
      </w:r>
      <w:r>
        <w:rPr>
          <w:w w:val="100"/>
          <w:sz w:val="21"/>
        </w:rPr>
        <w:t>  </w:t>
      </w:r>
    </w:p>
    <w:p>
      <w:pPr>
        <w:pStyle w:val="ListParagraph"/>
        <w:numPr>
          <w:ilvl w:val="2"/>
          <w:numId w:val="662"/>
        </w:numPr>
        <w:tabs>
          <w:tab w:pos="1478" w:val="left" w:leader="none"/>
        </w:tabs>
        <w:spacing w:line="268" w:lineRule="exact" w:before="0" w:after="0"/>
        <w:ind w:left="1477" w:right="0" w:hanging="638"/>
        <w:jc w:val="both"/>
        <w:rPr>
          <w:sz w:val="21"/>
        </w:rPr>
      </w:pPr>
      <w:r>
        <w:rPr>
          <w:spacing w:val="-3"/>
          <w:sz w:val="21"/>
        </w:rPr>
        <w:t>其他隧道内设置动力电缆时，除隧道顶部可不设置线型感温火灾探测器外，探测器</w:t>
      </w:r>
    </w:p>
    <w:p>
      <w:pPr>
        <w:spacing w:after="0" w:line="268" w:lineRule="exact"/>
        <w:jc w:val="both"/>
        <w:rPr>
          <w:sz w:val="21"/>
        </w:rPr>
        <w:sectPr>
          <w:pgSz w:w="11910" w:h="16850"/>
          <w:pgMar w:header="0" w:footer="1239" w:top="1220" w:bottom="1420" w:left="1260" w:right="0"/>
        </w:sectPr>
      </w:pPr>
    </w:p>
    <w:p>
      <w:pPr>
        <w:pStyle w:val="BodyText"/>
        <w:spacing w:line="446" w:lineRule="auto" w:before="47"/>
        <w:ind w:left="840" w:right="6753" w:hanging="423"/>
      </w:pPr>
      <w:r>
        <w:rPr/>
        <w:t>设置均应   符合本规范的规定。</w:t>
      </w:r>
      <w:r>
        <w:rPr>
          <w:b/>
        </w:rPr>
        <w:t>12.4 </w:t>
      </w:r>
      <w:r>
        <w:rPr/>
        <w:t>高度大于 12m 的空间场所 </w:t>
      </w:r>
    </w:p>
    <w:p>
      <w:pPr>
        <w:pStyle w:val="ListParagraph"/>
        <w:numPr>
          <w:ilvl w:val="2"/>
          <w:numId w:val="663"/>
        </w:numPr>
        <w:tabs>
          <w:tab w:pos="1478" w:val="left" w:leader="none"/>
        </w:tabs>
        <w:spacing w:line="267" w:lineRule="exact" w:before="0" w:after="0"/>
        <w:ind w:left="1477" w:right="0" w:hanging="638"/>
        <w:jc w:val="left"/>
        <w:rPr>
          <w:sz w:val="21"/>
        </w:rPr>
      </w:pPr>
      <w:r>
        <w:rPr>
          <w:spacing w:val="-2"/>
          <w:sz w:val="21"/>
        </w:rPr>
        <w:t>高度大于 </w:t>
      </w:r>
      <w:r>
        <w:rPr>
          <w:sz w:val="21"/>
        </w:rPr>
        <w:t>12m</w:t>
      </w:r>
      <w:r>
        <w:rPr>
          <w:spacing w:val="-3"/>
          <w:sz w:val="21"/>
        </w:rPr>
        <w:t> 的空间场所宜同时选择两种及以上火灾参数的火灾探测器。</w:t>
      </w:r>
      <w:r>
        <w:rPr>
          <w:sz w:val="21"/>
        </w:rPr>
        <w:t> </w:t>
      </w:r>
    </w:p>
    <w:p>
      <w:pPr>
        <w:pStyle w:val="BodyText"/>
        <w:spacing w:before="2"/>
        <w:rPr>
          <w:sz w:val="18"/>
        </w:rPr>
      </w:pPr>
    </w:p>
    <w:p>
      <w:pPr>
        <w:pStyle w:val="ListParagraph"/>
        <w:numPr>
          <w:ilvl w:val="2"/>
          <w:numId w:val="663"/>
        </w:numPr>
        <w:tabs>
          <w:tab w:pos="1478" w:val="left" w:leader="none"/>
          <w:tab w:pos="4198" w:val="left" w:leader="none"/>
        </w:tabs>
        <w:spacing w:line="446" w:lineRule="auto" w:before="0" w:after="0"/>
        <w:ind w:left="418" w:right="1434" w:firstLine="422"/>
        <w:jc w:val="left"/>
        <w:rPr>
          <w:sz w:val="21"/>
        </w:rPr>
      </w:pPr>
      <w:r>
        <w:rPr>
          <w:sz w:val="21"/>
        </w:rPr>
        <w:t>火灾</w:t>
      </w:r>
      <w:r>
        <w:rPr>
          <w:spacing w:val="-3"/>
          <w:sz w:val="21"/>
        </w:rPr>
        <w:t>初</w:t>
      </w:r>
      <w:r>
        <w:rPr>
          <w:sz w:val="21"/>
        </w:rPr>
        <w:t>期产</w:t>
      </w:r>
      <w:r>
        <w:rPr>
          <w:spacing w:val="-3"/>
          <w:sz w:val="21"/>
        </w:rPr>
        <w:t>生大</w:t>
      </w:r>
      <w:r>
        <w:rPr>
          <w:sz w:val="21"/>
        </w:rPr>
        <w:t>量烟的</w:t>
      </w:r>
      <w:r>
        <w:rPr>
          <w:spacing w:val="-3"/>
          <w:sz w:val="21"/>
        </w:rPr>
        <w:t>场</w:t>
      </w:r>
      <w:r>
        <w:rPr>
          <w:sz w:val="21"/>
        </w:rPr>
        <w:t>所，</w:t>
      </w:r>
      <w:r>
        <w:rPr>
          <w:spacing w:val="-3"/>
          <w:sz w:val="21"/>
        </w:rPr>
        <w:t>应</w:t>
      </w:r>
      <w:r>
        <w:rPr>
          <w:sz w:val="21"/>
        </w:rPr>
        <w:t>选择</w:t>
      </w:r>
      <w:r>
        <w:rPr>
          <w:spacing w:val="-3"/>
          <w:sz w:val="21"/>
        </w:rPr>
        <w:t>线型</w:t>
      </w:r>
      <w:r>
        <w:rPr>
          <w:sz w:val="21"/>
        </w:rPr>
        <w:t>光束感</w:t>
      </w:r>
      <w:r>
        <w:rPr>
          <w:spacing w:val="-3"/>
          <w:sz w:val="21"/>
        </w:rPr>
        <w:t>烟</w:t>
      </w:r>
      <w:r>
        <w:rPr>
          <w:sz w:val="21"/>
        </w:rPr>
        <w:t>火灾</w:t>
      </w:r>
      <w:r>
        <w:rPr>
          <w:spacing w:val="-3"/>
          <w:sz w:val="21"/>
        </w:rPr>
        <w:t>探</w:t>
      </w:r>
      <w:r>
        <w:rPr>
          <w:sz w:val="21"/>
        </w:rPr>
        <w:t>测器</w:t>
      </w:r>
      <w:r>
        <w:rPr>
          <w:spacing w:val="-3"/>
          <w:sz w:val="21"/>
        </w:rPr>
        <w:t>、管</w:t>
      </w:r>
      <w:r>
        <w:rPr>
          <w:sz w:val="21"/>
        </w:rPr>
        <w:t>路吸气</w:t>
      </w:r>
      <w:r>
        <w:rPr>
          <w:spacing w:val="-3"/>
          <w:sz w:val="21"/>
        </w:rPr>
        <w:t>式</w:t>
      </w:r>
      <w:r>
        <w:rPr>
          <w:sz w:val="21"/>
        </w:rPr>
        <w:t>感烟火 灾探</w:t>
      </w:r>
      <w:r>
        <w:rPr>
          <w:spacing w:val="-3"/>
          <w:sz w:val="21"/>
        </w:rPr>
        <w:t>测</w:t>
      </w:r>
      <w:r>
        <w:rPr>
          <w:sz w:val="21"/>
        </w:rPr>
        <w:t>器</w:t>
      </w:r>
      <w:r>
        <w:rPr>
          <w:spacing w:val="15"/>
          <w:sz w:val="21"/>
        </w:rPr>
        <w:t> </w:t>
      </w:r>
      <w:r>
        <w:rPr>
          <w:sz w:val="21"/>
        </w:rPr>
        <w:t>或</w:t>
      </w:r>
      <w:r>
        <w:rPr>
          <w:spacing w:val="-3"/>
          <w:sz w:val="21"/>
        </w:rPr>
        <w:t>图</w:t>
      </w:r>
      <w:r>
        <w:rPr>
          <w:sz w:val="21"/>
        </w:rPr>
        <w:t>像</w:t>
      </w:r>
      <w:r>
        <w:rPr>
          <w:spacing w:val="-3"/>
          <w:sz w:val="21"/>
        </w:rPr>
        <w:t>型</w:t>
      </w:r>
      <w:r>
        <w:rPr>
          <w:sz w:val="21"/>
        </w:rPr>
        <w:t>感</w:t>
      </w:r>
      <w:r>
        <w:rPr>
          <w:spacing w:val="-3"/>
          <w:sz w:val="21"/>
        </w:rPr>
        <w:t>烟火</w:t>
      </w:r>
      <w:r>
        <w:rPr>
          <w:sz w:val="21"/>
        </w:rPr>
        <w:t>灾探</w:t>
      </w:r>
      <w:r>
        <w:rPr>
          <w:spacing w:val="-3"/>
          <w:sz w:val="21"/>
        </w:rPr>
        <w:t>测</w:t>
      </w:r>
      <w:r>
        <w:rPr>
          <w:sz w:val="21"/>
        </w:rPr>
        <w:t>器</w:t>
      </w:r>
      <w:r>
        <w:rPr>
          <w:spacing w:val="-3"/>
          <w:sz w:val="21"/>
        </w:rPr>
        <w:t>。</w:t>
      </w:r>
      <w:r>
        <w:rPr>
          <w:sz w:val="21"/>
        </w:rPr>
        <w:t> </w:t>
        <w:tab/>
      </w:r>
      <w:r>
        <w:rPr>
          <w:w w:val="100"/>
          <w:sz w:val="21"/>
        </w:rPr>
        <w:t>  </w:t>
      </w:r>
    </w:p>
    <w:p>
      <w:pPr>
        <w:pStyle w:val="ListParagraph"/>
        <w:numPr>
          <w:ilvl w:val="2"/>
          <w:numId w:val="663"/>
        </w:numPr>
        <w:tabs>
          <w:tab w:pos="1478" w:val="left" w:leader="none"/>
        </w:tabs>
        <w:spacing w:line="267" w:lineRule="exact" w:before="0" w:after="0"/>
        <w:ind w:left="1477" w:right="0" w:hanging="638"/>
        <w:jc w:val="left"/>
        <w:rPr>
          <w:sz w:val="21"/>
        </w:rPr>
      </w:pPr>
      <w:r>
        <w:rPr>
          <w:spacing w:val="-3"/>
          <w:sz w:val="21"/>
        </w:rPr>
        <w:t>线型光束感烟火灾探测器的设置应符合下列要求：</w:t>
      </w:r>
      <w:r>
        <w:rPr>
          <w:sz w:val="21"/>
        </w:rPr>
        <w:t> </w:t>
      </w:r>
    </w:p>
    <w:p>
      <w:pPr>
        <w:pStyle w:val="BodyText"/>
        <w:spacing w:before="2"/>
        <w:rPr>
          <w:sz w:val="18"/>
        </w:rPr>
      </w:pPr>
    </w:p>
    <w:p>
      <w:pPr>
        <w:pStyle w:val="ListParagraph"/>
        <w:numPr>
          <w:ilvl w:val="0"/>
          <w:numId w:val="664"/>
        </w:numPr>
        <w:tabs>
          <w:tab w:pos="1367" w:val="left" w:leader="none"/>
        </w:tabs>
        <w:spacing w:line="240" w:lineRule="auto" w:before="0" w:after="0"/>
        <w:ind w:left="1367" w:right="0" w:hanging="529"/>
        <w:jc w:val="left"/>
        <w:rPr>
          <w:sz w:val="21"/>
        </w:rPr>
      </w:pPr>
      <w:r>
        <w:rPr>
          <w:spacing w:val="-3"/>
          <w:sz w:val="21"/>
        </w:rPr>
        <w:t>探测器应设置在建筑顶部。</w:t>
      </w:r>
      <w:r>
        <w:rPr>
          <w:sz w:val="21"/>
        </w:rPr>
        <w:t> </w:t>
      </w:r>
    </w:p>
    <w:p>
      <w:pPr>
        <w:pStyle w:val="BodyText"/>
        <w:rPr>
          <w:sz w:val="18"/>
        </w:rPr>
      </w:pPr>
    </w:p>
    <w:p>
      <w:pPr>
        <w:pStyle w:val="ListParagraph"/>
        <w:numPr>
          <w:ilvl w:val="0"/>
          <w:numId w:val="664"/>
        </w:numPr>
        <w:tabs>
          <w:tab w:pos="1367" w:val="left" w:leader="none"/>
        </w:tabs>
        <w:spacing w:line="240" w:lineRule="auto" w:before="0" w:after="0"/>
        <w:ind w:left="1367" w:right="0" w:hanging="529"/>
        <w:jc w:val="left"/>
        <w:rPr>
          <w:sz w:val="21"/>
        </w:rPr>
      </w:pPr>
      <w:r>
        <w:rPr>
          <w:spacing w:val="-3"/>
          <w:sz w:val="21"/>
        </w:rPr>
        <w:t>探测器宜采用分层组网的探测方式。</w:t>
      </w:r>
      <w:r>
        <w:rPr>
          <w:sz w:val="21"/>
        </w:rPr>
        <w:t> </w:t>
      </w:r>
    </w:p>
    <w:p>
      <w:pPr>
        <w:pStyle w:val="BodyText"/>
        <w:rPr>
          <w:sz w:val="18"/>
        </w:rPr>
      </w:pPr>
    </w:p>
    <w:p>
      <w:pPr>
        <w:pStyle w:val="ListParagraph"/>
        <w:numPr>
          <w:ilvl w:val="0"/>
          <w:numId w:val="664"/>
        </w:numPr>
        <w:tabs>
          <w:tab w:pos="1367" w:val="left" w:leader="none"/>
        </w:tabs>
        <w:spacing w:line="240" w:lineRule="auto" w:before="0" w:after="0"/>
        <w:ind w:left="1367" w:right="0" w:hanging="529"/>
        <w:jc w:val="left"/>
        <w:rPr>
          <w:sz w:val="21"/>
        </w:rPr>
      </w:pPr>
      <w:r>
        <w:rPr>
          <w:spacing w:val="-3"/>
          <w:sz w:val="21"/>
        </w:rPr>
        <w:t>建筑高度不超过 </w:t>
      </w:r>
      <w:r>
        <w:rPr>
          <w:sz w:val="21"/>
        </w:rPr>
        <w:t>16m</w:t>
      </w:r>
      <w:r>
        <w:rPr>
          <w:spacing w:val="-2"/>
          <w:sz w:val="21"/>
        </w:rPr>
        <w:t> 时，宜在 </w:t>
      </w:r>
      <w:r>
        <w:rPr>
          <w:sz w:val="21"/>
        </w:rPr>
        <w:t>6～7m</w:t>
      </w:r>
      <w:r>
        <w:rPr>
          <w:spacing w:val="-3"/>
          <w:sz w:val="21"/>
        </w:rPr>
        <w:t> 增设一层探测器。</w:t>
      </w:r>
      <w:r>
        <w:rPr>
          <w:sz w:val="21"/>
        </w:rPr>
        <w:t> </w:t>
      </w:r>
    </w:p>
    <w:p>
      <w:pPr>
        <w:pStyle w:val="BodyText"/>
        <w:spacing w:before="1"/>
        <w:rPr>
          <w:sz w:val="18"/>
        </w:rPr>
      </w:pPr>
    </w:p>
    <w:p>
      <w:pPr>
        <w:pStyle w:val="ListParagraph"/>
        <w:numPr>
          <w:ilvl w:val="0"/>
          <w:numId w:val="664"/>
        </w:numPr>
        <w:tabs>
          <w:tab w:pos="1367" w:val="left" w:leader="none"/>
        </w:tabs>
        <w:spacing w:line="240" w:lineRule="auto" w:before="1" w:after="0"/>
        <w:ind w:left="1367" w:right="0" w:hanging="529"/>
        <w:jc w:val="left"/>
        <w:rPr>
          <w:sz w:val="21"/>
        </w:rPr>
      </w:pPr>
      <w:r>
        <w:rPr>
          <w:spacing w:val="-11"/>
          <w:sz w:val="21"/>
        </w:rPr>
        <w:t>建筑高度超过 </w:t>
      </w:r>
      <w:r>
        <w:rPr>
          <w:sz w:val="21"/>
        </w:rPr>
        <w:t>16m</w:t>
      </w:r>
      <w:r>
        <w:rPr>
          <w:spacing w:val="-20"/>
          <w:sz w:val="21"/>
        </w:rPr>
        <w:t> 但不超过 </w:t>
      </w:r>
      <w:r>
        <w:rPr>
          <w:sz w:val="21"/>
        </w:rPr>
        <w:t>26m</w:t>
      </w:r>
      <w:r>
        <w:rPr>
          <w:spacing w:val="-20"/>
          <w:sz w:val="21"/>
        </w:rPr>
        <w:t> 时，宜在 </w:t>
      </w:r>
      <w:r>
        <w:rPr>
          <w:sz w:val="21"/>
        </w:rPr>
        <w:t>6～7m</w:t>
      </w:r>
      <w:r>
        <w:rPr>
          <w:spacing w:val="-18"/>
          <w:sz w:val="21"/>
        </w:rPr>
        <w:t> 和 </w:t>
      </w:r>
      <w:r>
        <w:rPr>
          <w:sz w:val="21"/>
        </w:rPr>
        <w:t>11～12m</w:t>
      </w:r>
      <w:r>
        <w:rPr>
          <w:spacing w:val="-3"/>
          <w:sz w:val="21"/>
        </w:rPr>
        <w:t> 处各增设一层探测器。</w:t>
      </w:r>
      <w:r>
        <w:rPr>
          <w:sz w:val="21"/>
        </w:rPr>
        <w:t> </w:t>
      </w:r>
    </w:p>
    <w:p>
      <w:pPr>
        <w:pStyle w:val="BodyText"/>
        <w:spacing w:before="12"/>
        <w:rPr>
          <w:sz w:val="17"/>
        </w:rPr>
      </w:pPr>
    </w:p>
    <w:p>
      <w:pPr>
        <w:pStyle w:val="ListParagraph"/>
        <w:numPr>
          <w:ilvl w:val="0"/>
          <w:numId w:val="664"/>
        </w:numPr>
        <w:tabs>
          <w:tab w:pos="1367" w:val="left" w:leader="none"/>
        </w:tabs>
        <w:spacing w:line="446" w:lineRule="auto" w:before="0" w:after="0"/>
        <w:ind w:left="418" w:right="1433" w:firstLine="419"/>
        <w:jc w:val="left"/>
        <w:rPr>
          <w:sz w:val="21"/>
        </w:rPr>
      </w:pPr>
      <w:r>
        <w:rPr>
          <w:sz w:val="21"/>
        </w:rPr>
        <w:t>由开窗或通风空调形成的对流层为 7～13m</w:t>
      </w:r>
      <w:r>
        <w:rPr>
          <w:spacing w:val="-3"/>
          <w:sz w:val="21"/>
        </w:rPr>
        <w:t> 时，可将增设的一层探测器设置在对流层</w:t>
      </w:r>
      <w:r>
        <w:rPr>
          <w:spacing w:val="-20"/>
          <w:sz w:val="21"/>
        </w:rPr>
        <w:t>下面 </w:t>
      </w:r>
      <w:r>
        <w:rPr>
          <w:sz w:val="21"/>
        </w:rPr>
        <w:t>1m</w:t>
      </w:r>
      <w:r>
        <w:rPr>
          <w:spacing w:val="-3"/>
          <w:sz w:val="21"/>
        </w:rPr>
        <w:t> 处。</w:t>
      </w:r>
      <w:r>
        <w:rPr>
          <w:sz w:val="21"/>
        </w:rPr>
        <w:t> </w:t>
      </w:r>
    </w:p>
    <w:p>
      <w:pPr>
        <w:pStyle w:val="ListParagraph"/>
        <w:numPr>
          <w:ilvl w:val="0"/>
          <w:numId w:val="664"/>
        </w:numPr>
        <w:tabs>
          <w:tab w:pos="1367" w:val="left" w:leader="none"/>
          <w:tab w:pos="8399" w:val="left" w:leader="none"/>
        </w:tabs>
        <w:spacing w:line="240" w:lineRule="auto" w:before="0" w:after="0"/>
        <w:ind w:left="1367" w:right="0" w:hanging="529"/>
        <w:jc w:val="left"/>
        <w:rPr>
          <w:sz w:val="21"/>
        </w:rPr>
      </w:pPr>
      <w:r>
        <w:rPr>
          <w:sz w:val="21"/>
        </w:rPr>
        <w:t>分</w:t>
      </w:r>
      <w:r>
        <w:rPr>
          <w:spacing w:val="-3"/>
          <w:sz w:val="21"/>
        </w:rPr>
        <w:t>层</w:t>
      </w:r>
      <w:r>
        <w:rPr>
          <w:sz w:val="21"/>
        </w:rPr>
        <w:t>设</w:t>
      </w:r>
      <w:r>
        <w:rPr>
          <w:spacing w:val="-3"/>
          <w:sz w:val="21"/>
        </w:rPr>
        <w:t>置</w:t>
      </w:r>
      <w:r>
        <w:rPr>
          <w:sz w:val="21"/>
        </w:rPr>
        <w:t>的</w:t>
      </w:r>
      <w:r>
        <w:rPr>
          <w:spacing w:val="-3"/>
          <w:sz w:val="21"/>
        </w:rPr>
        <w:t>探</w:t>
      </w:r>
      <w:r>
        <w:rPr>
          <w:sz w:val="21"/>
        </w:rPr>
        <w:t>测</w:t>
      </w:r>
      <w:r>
        <w:rPr>
          <w:spacing w:val="-3"/>
          <w:sz w:val="21"/>
        </w:rPr>
        <w:t>器保</w:t>
      </w:r>
      <w:r>
        <w:rPr>
          <w:sz w:val="21"/>
        </w:rPr>
        <w:t>护面</w:t>
      </w:r>
      <w:r>
        <w:rPr>
          <w:spacing w:val="-3"/>
          <w:sz w:val="21"/>
        </w:rPr>
        <w:t>积</w:t>
      </w:r>
      <w:r>
        <w:rPr>
          <w:sz w:val="21"/>
        </w:rPr>
        <w:t>可</w:t>
      </w:r>
      <w:r>
        <w:rPr>
          <w:spacing w:val="-3"/>
          <w:sz w:val="21"/>
        </w:rPr>
        <w:t>按</w:t>
      </w:r>
      <w:r>
        <w:rPr>
          <w:sz w:val="21"/>
        </w:rPr>
        <w:t>常</w:t>
      </w:r>
      <w:r>
        <w:rPr>
          <w:spacing w:val="-3"/>
          <w:sz w:val="21"/>
        </w:rPr>
        <w:t>规</w:t>
      </w:r>
      <w:r>
        <w:rPr>
          <w:sz w:val="21"/>
        </w:rPr>
        <w:t>计</w:t>
      </w:r>
      <w:r>
        <w:rPr>
          <w:spacing w:val="-3"/>
          <w:sz w:val="21"/>
        </w:rPr>
        <w:t>算</w:t>
      </w:r>
      <w:r>
        <w:rPr>
          <w:sz w:val="21"/>
        </w:rPr>
        <w:t>，</w:t>
      </w:r>
      <w:r>
        <w:rPr>
          <w:spacing w:val="-3"/>
          <w:sz w:val="21"/>
        </w:rPr>
        <w:t>并</w:t>
      </w:r>
      <w:r>
        <w:rPr>
          <w:sz w:val="21"/>
        </w:rPr>
        <w:t>宜与</w:t>
      </w:r>
      <w:r>
        <w:rPr>
          <w:spacing w:val="-3"/>
          <w:sz w:val="21"/>
        </w:rPr>
        <w:t>下</w:t>
      </w:r>
      <w:r>
        <w:rPr>
          <w:sz w:val="21"/>
        </w:rPr>
        <w:t>层</w:t>
      </w:r>
      <w:r>
        <w:rPr>
          <w:spacing w:val="-3"/>
          <w:sz w:val="21"/>
        </w:rPr>
        <w:t>探</w:t>
      </w:r>
      <w:r>
        <w:rPr>
          <w:sz w:val="21"/>
        </w:rPr>
        <w:t>测</w:t>
      </w:r>
      <w:r>
        <w:rPr>
          <w:spacing w:val="-3"/>
          <w:sz w:val="21"/>
        </w:rPr>
        <w:t>器</w:t>
      </w:r>
      <w:r>
        <w:rPr>
          <w:sz w:val="21"/>
        </w:rPr>
        <w:t>交</w:t>
      </w:r>
      <w:r>
        <w:rPr>
          <w:spacing w:val="-3"/>
          <w:sz w:val="21"/>
        </w:rPr>
        <w:t>错</w:t>
      </w:r>
      <w:r>
        <w:rPr>
          <w:sz w:val="21"/>
        </w:rPr>
        <w:t>布</w:t>
      </w:r>
      <w:r>
        <w:rPr>
          <w:spacing w:val="-3"/>
          <w:sz w:val="21"/>
        </w:rPr>
        <w:t>置</w:t>
      </w:r>
      <w:r>
        <w:rPr>
          <w:sz w:val="21"/>
        </w:rPr>
        <w:t>。 </w:t>
        <w:tab/>
      </w:r>
      <w:r>
        <w:rPr>
          <w:w w:val="100"/>
          <w:sz w:val="21"/>
        </w:rPr>
        <w:t> </w:t>
      </w:r>
    </w:p>
    <w:p>
      <w:pPr>
        <w:pStyle w:val="BodyText"/>
        <w:rPr>
          <w:sz w:val="18"/>
        </w:rPr>
      </w:pPr>
    </w:p>
    <w:p>
      <w:pPr>
        <w:tabs>
          <w:tab w:pos="837" w:val="left" w:leader="none"/>
        </w:tabs>
        <w:spacing w:before="0"/>
        <w:ind w:left="418" w:right="0" w:firstLine="0"/>
        <w:jc w:val="left"/>
        <w:rPr>
          <w:sz w:val="21"/>
        </w:rPr>
      </w:pPr>
      <w:r>
        <w:rPr>
          <w:w w:val="100"/>
          <w:sz w:val="21"/>
        </w:rPr>
        <w:t> </w:t>
      </w:r>
      <w:r>
        <w:rPr>
          <w:sz w:val="21"/>
        </w:rPr>
        <w:tab/>
      </w:r>
      <w:r>
        <w:rPr>
          <w:b/>
          <w:sz w:val="21"/>
        </w:rPr>
        <w:t>12.4.4 </w:t>
      </w:r>
      <w:r>
        <w:rPr>
          <w:spacing w:val="-3"/>
          <w:sz w:val="21"/>
        </w:rPr>
        <w:t>管路吸气式感烟火灾探测器的设置应符合下列要求：</w:t>
      </w:r>
      <w:r>
        <w:rPr>
          <w:sz w:val="21"/>
        </w:rPr>
        <w:t> </w:t>
      </w:r>
    </w:p>
    <w:p>
      <w:pPr>
        <w:pStyle w:val="BodyText"/>
        <w:spacing w:before="12"/>
        <w:rPr>
          <w:sz w:val="17"/>
        </w:rPr>
      </w:pPr>
    </w:p>
    <w:p>
      <w:pPr>
        <w:pStyle w:val="ListParagraph"/>
        <w:numPr>
          <w:ilvl w:val="0"/>
          <w:numId w:val="665"/>
        </w:numPr>
        <w:tabs>
          <w:tab w:pos="1365" w:val="left" w:leader="none"/>
        </w:tabs>
        <w:spacing w:line="446" w:lineRule="auto" w:before="0" w:after="0"/>
        <w:ind w:left="418" w:right="1332" w:firstLine="419"/>
        <w:jc w:val="left"/>
        <w:rPr>
          <w:sz w:val="21"/>
        </w:rPr>
      </w:pPr>
      <w:r>
        <w:rPr>
          <w:spacing w:val="-6"/>
          <w:sz w:val="21"/>
        </w:rPr>
        <w:t>探测器的采样管宜采用水平和垂直结合的布管方式，并应保证至少有两个采样孔在 </w:t>
      </w:r>
      <w:r>
        <w:rPr>
          <w:spacing w:val="-3"/>
          <w:sz w:val="21"/>
        </w:rPr>
        <w:t>16m </w:t>
      </w:r>
      <w:r>
        <w:rPr>
          <w:spacing w:val="-2"/>
          <w:sz w:val="21"/>
        </w:rPr>
        <w:t>以 下，并宜有 </w:t>
      </w:r>
      <w:r>
        <w:rPr>
          <w:sz w:val="21"/>
        </w:rPr>
        <w:t>2</w:t>
      </w:r>
      <w:r>
        <w:rPr>
          <w:spacing w:val="-3"/>
          <w:sz w:val="21"/>
        </w:rPr>
        <w:t> 个采样孔设置在开窗或通风空调对流层下面 </w:t>
      </w:r>
      <w:r>
        <w:rPr>
          <w:sz w:val="21"/>
        </w:rPr>
        <w:t>1m</w:t>
      </w:r>
      <w:r>
        <w:rPr>
          <w:spacing w:val="-2"/>
          <w:sz w:val="21"/>
        </w:rPr>
        <w:t> 处。</w:t>
      </w:r>
      <w:r>
        <w:rPr>
          <w:sz w:val="21"/>
        </w:rPr>
        <w:t> </w:t>
      </w:r>
    </w:p>
    <w:p>
      <w:pPr>
        <w:pStyle w:val="ListParagraph"/>
        <w:numPr>
          <w:ilvl w:val="0"/>
          <w:numId w:val="665"/>
        </w:numPr>
        <w:tabs>
          <w:tab w:pos="1367" w:val="left" w:leader="none"/>
          <w:tab w:pos="5878" w:val="left" w:leader="none"/>
          <w:tab w:pos="6298" w:val="left" w:leader="none"/>
        </w:tabs>
        <w:spacing w:line="240" w:lineRule="auto" w:before="0" w:after="0"/>
        <w:ind w:left="1367" w:right="0" w:hanging="529"/>
        <w:jc w:val="left"/>
        <w:rPr>
          <w:sz w:val="21"/>
        </w:rPr>
      </w:pPr>
      <w:r>
        <w:rPr>
          <w:sz w:val="21"/>
        </w:rPr>
        <w:t>可</w:t>
      </w:r>
      <w:r>
        <w:rPr>
          <w:spacing w:val="-3"/>
          <w:sz w:val="21"/>
        </w:rPr>
        <w:t>在</w:t>
      </w:r>
      <w:r>
        <w:rPr>
          <w:sz w:val="21"/>
        </w:rPr>
        <w:t>回</w:t>
      </w:r>
      <w:r>
        <w:rPr>
          <w:spacing w:val="-3"/>
          <w:sz w:val="21"/>
        </w:rPr>
        <w:t>风</w:t>
      </w:r>
      <w:r>
        <w:rPr>
          <w:sz w:val="21"/>
        </w:rPr>
        <w:t>口</w:t>
      </w:r>
      <w:r>
        <w:rPr>
          <w:spacing w:val="-3"/>
          <w:sz w:val="21"/>
        </w:rPr>
        <w:t>处</w:t>
      </w:r>
      <w:r>
        <w:rPr>
          <w:sz w:val="21"/>
        </w:rPr>
        <w:t>设</w:t>
      </w:r>
      <w:r>
        <w:rPr>
          <w:spacing w:val="-3"/>
          <w:sz w:val="21"/>
        </w:rPr>
        <w:t>置起</w:t>
      </w:r>
      <w:r>
        <w:rPr>
          <w:sz w:val="21"/>
        </w:rPr>
        <w:t>辅助</w:t>
      </w:r>
      <w:r>
        <w:rPr>
          <w:spacing w:val="-3"/>
          <w:sz w:val="21"/>
        </w:rPr>
        <w:t>报</w:t>
      </w:r>
      <w:r>
        <w:rPr>
          <w:sz w:val="21"/>
        </w:rPr>
        <w:t>警</w:t>
      </w:r>
      <w:r>
        <w:rPr>
          <w:spacing w:val="-3"/>
          <w:sz w:val="21"/>
        </w:rPr>
        <w:t>作</w:t>
      </w:r>
      <w:r>
        <w:rPr>
          <w:sz w:val="21"/>
        </w:rPr>
        <w:t>用</w:t>
      </w:r>
      <w:r>
        <w:rPr>
          <w:spacing w:val="-3"/>
          <w:sz w:val="21"/>
        </w:rPr>
        <w:t>的</w:t>
      </w:r>
      <w:r>
        <w:rPr>
          <w:sz w:val="21"/>
        </w:rPr>
        <w:t>采</w:t>
      </w:r>
      <w:r>
        <w:rPr>
          <w:spacing w:val="-3"/>
          <w:sz w:val="21"/>
        </w:rPr>
        <w:t>样</w:t>
      </w:r>
      <w:r>
        <w:rPr>
          <w:sz w:val="21"/>
        </w:rPr>
        <w:t>孔</w:t>
      </w:r>
      <w:r>
        <w:rPr>
          <w:spacing w:val="-3"/>
          <w:sz w:val="21"/>
        </w:rPr>
        <w:t>。</w:t>
      </w:r>
      <w:r>
        <w:rPr>
          <w:sz w:val="21"/>
        </w:rPr>
        <w:t> </w:t>
        <w:tab/>
      </w:r>
      <w:r>
        <w:rPr>
          <w:w w:val="100"/>
          <w:sz w:val="21"/>
        </w:rPr>
        <w:t>  </w:t>
      </w:r>
      <w:r>
        <w:rPr>
          <w:sz w:val="21"/>
        </w:rPr>
        <w:tab/>
      </w:r>
      <w:r>
        <w:rPr>
          <w:w w:val="100"/>
          <w:sz w:val="21"/>
        </w:rPr>
        <w:t>  </w:t>
      </w:r>
    </w:p>
    <w:p>
      <w:pPr>
        <w:pStyle w:val="BodyText"/>
        <w:spacing w:before="12"/>
        <w:rPr>
          <w:sz w:val="17"/>
        </w:rPr>
      </w:pPr>
    </w:p>
    <w:p>
      <w:pPr>
        <w:pStyle w:val="ListParagraph"/>
        <w:numPr>
          <w:ilvl w:val="2"/>
          <w:numId w:val="666"/>
        </w:numPr>
        <w:tabs>
          <w:tab w:pos="1478" w:val="left" w:leader="none"/>
          <w:tab w:pos="5878" w:val="left" w:leader="none"/>
        </w:tabs>
        <w:spacing w:line="446" w:lineRule="auto" w:before="0" w:after="0"/>
        <w:ind w:left="418" w:right="1431" w:firstLine="422"/>
        <w:jc w:val="left"/>
        <w:rPr>
          <w:sz w:val="21"/>
        </w:rPr>
      </w:pPr>
      <w:r>
        <w:rPr>
          <w:spacing w:val="-3"/>
          <w:sz w:val="21"/>
        </w:rPr>
        <w:t>火</w:t>
      </w:r>
      <w:r>
        <w:rPr>
          <w:sz w:val="21"/>
        </w:rPr>
        <w:t>灾</w:t>
      </w:r>
      <w:r>
        <w:rPr>
          <w:spacing w:val="-3"/>
          <w:sz w:val="21"/>
        </w:rPr>
        <w:t>初</w:t>
      </w:r>
      <w:r>
        <w:rPr>
          <w:sz w:val="21"/>
        </w:rPr>
        <w:t>期</w:t>
      </w:r>
      <w:r>
        <w:rPr>
          <w:spacing w:val="-3"/>
          <w:sz w:val="21"/>
        </w:rPr>
        <w:t>产</w:t>
      </w:r>
      <w:r>
        <w:rPr>
          <w:sz w:val="21"/>
        </w:rPr>
        <w:t>生</w:t>
      </w:r>
      <w:r>
        <w:rPr>
          <w:spacing w:val="-3"/>
          <w:sz w:val="21"/>
        </w:rPr>
        <w:t>少量</w:t>
      </w:r>
      <w:r>
        <w:rPr>
          <w:sz w:val="21"/>
        </w:rPr>
        <w:t>烟并</w:t>
      </w:r>
      <w:r>
        <w:rPr>
          <w:spacing w:val="-3"/>
          <w:sz w:val="21"/>
        </w:rPr>
        <w:t>产</w:t>
      </w:r>
      <w:r>
        <w:rPr>
          <w:sz w:val="21"/>
        </w:rPr>
        <w:t>生</w:t>
      </w:r>
      <w:r>
        <w:rPr>
          <w:spacing w:val="-3"/>
          <w:sz w:val="21"/>
        </w:rPr>
        <w:t>明</w:t>
      </w:r>
      <w:r>
        <w:rPr>
          <w:sz w:val="21"/>
        </w:rPr>
        <w:t>显</w:t>
      </w:r>
      <w:r>
        <w:rPr>
          <w:spacing w:val="-3"/>
          <w:sz w:val="21"/>
        </w:rPr>
        <w:t>火</w:t>
      </w:r>
      <w:r>
        <w:rPr>
          <w:sz w:val="21"/>
        </w:rPr>
        <w:t>焰</w:t>
      </w:r>
      <w:r>
        <w:rPr>
          <w:spacing w:val="-3"/>
          <w:sz w:val="21"/>
        </w:rPr>
        <w:t>的</w:t>
      </w:r>
      <w:r>
        <w:rPr>
          <w:sz w:val="21"/>
        </w:rPr>
        <w:t>场</w:t>
      </w:r>
      <w:r>
        <w:rPr>
          <w:spacing w:val="-3"/>
          <w:sz w:val="21"/>
        </w:rPr>
        <w:t>所</w:t>
      </w:r>
      <w:r>
        <w:rPr>
          <w:spacing w:val="-39"/>
          <w:sz w:val="21"/>
        </w:rPr>
        <w:t>，</w:t>
      </w:r>
      <w:r>
        <w:rPr>
          <w:sz w:val="21"/>
        </w:rPr>
        <w:t>应</w:t>
      </w:r>
      <w:r>
        <w:rPr>
          <w:spacing w:val="-3"/>
          <w:sz w:val="21"/>
        </w:rPr>
        <w:t>选</w:t>
      </w:r>
      <w:r>
        <w:rPr>
          <w:sz w:val="21"/>
        </w:rPr>
        <w:t>择</w:t>
      </w:r>
      <w:r>
        <w:rPr>
          <w:spacing w:val="14"/>
          <w:sz w:val="21"/>
        </w:rPr>
        <w:t> </w:t>
      </w:r>
      <w:r>
        <w:rPr>
          <w:spacing w:val="-3"/>
          <w:sz w:val="21"/>
        </w:rPr>
        <w:t>1</w:t>
      </w:r>
      <w:r>
        <w:rPr>
          <w:spacing w:val="14"/>
          <w:sz w:val="21"/>
        </w:rPr>
        <w:t> </w:t>
      </w:r>
      <w:r>
        <w:rPr>
          <w:spacing w:val="-3"/>
          <w:sz w:val="21"/>
        </w:rPr>
        <w:t>级</w:t>
      </w:r>
      <w:r>
        <w:rPr>
          <w:sz w:val="21"/>
        </w:rPr>
        <w:t>灵敏</w:t>
      </w:r>
      <w:r>
        <w:rPr>
          <w:spacing w:val="-3"/>
          <w:sz w:val="21"/>
        </w:rPr>
        <w:t>度</w:t>
      </w:r>
      <w:r>
        <w:rPr>
          <w:sz w:val="21"/>
        </w:rPr>
        <w:t>的</w:t>
      </w:r>
      <w:r>
        <w:rPr>
          <w:spacing w:val="-3"/>
          <w:sz w:val="21"/>
        </w:rPr>
        <w:t>点</w:t>
      </w:r>
      <w:r>
        <w:rPr>
          <w:sz w:val="21"/>
        </w:rPr>
        <w:t>型红</w:t>
      </w:r>
      <w:r>
        <w:rPr>
          <w:spacing w:val="-3"/>
          <w:sz w:val="21"/>
        </w:rPr>
        <w:t>外</w:t>
      </w:r>
      <w:r>
        <w:rPr>
          <w:sz w:val="21"/>
        </w:rPr>
        <w:t>火</w:t>
      </w:r>
      <w:r>
        <w:rPr>
          <w:spacing w:val="-3"/>
          <w:sz w:val="21"/>
        </w:rPr>
        <w:t>焰</w:t>
      </w:r>
      <w:r>
        <w:rPr>
          <w:sz w:val="21"/>
        </w:rPr>
        <w:t>探测器</w:t>
      </w:r>
      <w:r>
        <w:rPr>
          <w:spacing w:val="-3"/>
          <w:sz w:val="21"/>
        </w:rPr>
        <w:t>或</w:t>
      </w:r>
      <w:r>
        <w:rPr>
          <w:sz w:val="21"/>
        </w:rPr>
        <w:t>图</w:t>
      </w:r>
      <w:r>
        <w:rPr>
          <w:spacing w:val="25"/>
          <w:sz w:val="21"/>
        </w:rPr>
        <w:t> </w:t>
      </w:r>
      <w:r>
        <w:rPr>
          <w:sz w:val="21"/>
        </w:rPr>
        <w:t>像</w:t>
      </w:r>
      <w:r>
        <w:rPr>
          <w:spacing w:val="-3"/>
          <w:sz w:val="21"/>
        </w:rPr>
        <w:t>型</w:t>
      </w:r>
      <w:r>
        <w:rPr>
          <w:sz w:val="21"/>
        </w:rPr>
        <w:t>火</w:t>
      </w:r>
      <w:r>
        <w:rPr>
          <w:spacing w:val="-3"/>
          <w:sz w:val="21"/>
        </w:rPr>
        <w:t>焰</w:t>
      </w:r>
      <w:r>
        <w:rPr>
          <w:sz w:val="21"/>
        </w:rPr>
        <w:t>探</w:t>
      </w:r>
      <w:r>
        <w:rPr>
          <w:spacing w:val="-3"/>
          <w:sz w:val="21"/>
        </w:rPr>
        <w:t>测器</w:t>
      </w:r>
      <w:r>
        <w:rPr>
          <w:sz w:val="21"/>
        </w:rPr>
        <w:t>，并</w:t>
      </w:r>
      <w:r>
        <w:rPr>
          <w:spacing w:val="-3"/>
          <w:sz w:val="21"/>
        </w:rPr>
        <w:t>应</w:t>
      </w:r>
      <w:r>
        <w:rPr>
          <w:sz w:val="21"/>
        </w:rPr>
        <w:t>降</w:t>
      </w:r>
      <w:r>
        <w:rPr>
          <w:spacing w:val="-3"/>
          <w:sz w:val="21"/>
        </w:rPr>
        <w:t>低</w:t>
      </w:r>
      <w:r>
        <w:rPr>
          <w:sz w:val="21"/>
        </w:rPr>
        <w:t>探</w:t>
      </w:r>
      <w:r>
        <w:rPr>
          <w:spacing w:val="-3"/>
          <w:sz w:val="21"/>
        </w:rPr>
        <w:t>测</w:t>
      </w:r>
      <w:r>
        <w:rPr>
          <w:sz w:val="21"/>
        </w:rPr>
        <w:t>器</w:t>
      </w:r>
      <w:r>
        <w:rPr>
          <w:spacing w:val="-3"/>
          <w:sz w:val="21"/>
        </w:rPr>
        <w:t>设</w:t>
      </w:r>
      <w:r>
        <w:rPr>
          <w:sz w:val="21"/>
        </w:rPr>
        <w:t>置</w:t>
      </w:r>
      <w:r>
        <w:rPr>
          <w:spacing w:val="-3"/>
          <w:sz w:val="21"/>
        </w:rPr>
        <w:t>高</w:t>
      </w:r>
      <w:r>
        <w:rPr>
          <w:sz w:val="21"/>
        </w:rPr>
        <w:t>度</w:t>
      </w:r>
      <w:r>
        <w:rPr>
          <w:spacing w:val="-3"/>
          <w:sz w:val="21"/>
        </w:rPr>
        <w:t>。</w:t>
      </w:r>
      <w:r>
        <w:rPr>
          <w:sz w:val="21"/>
        </w:rPr>
        <w:t> </w:t>
        <w:tab/>
      </w:r>
      <w:r>
        <w:rPr>
          <w:w w:val="100"/>
          <w:sz w:val="21"/>
        </w:rPr>
        <w:t>  </w:t>
      </w:r>
    </w:p>
    <w:p>
      <w:pPr>
        <w:pStyle w:val="ListParagraph"/>
        <w:numPr>
          <w:ilvl w:val="2"/>
          <w:numId w:val="666"/>
        </w:numPr>
        <w:tabs>
          <w:tab w:pos="1478" w:val="left" w:leader="none"/>
        </w:tabs>
        <w:spacing w:line="446" w:lineRule="auto" w:before="1" w:after="0"/>
        <w:ind w:left="418" w:right="1434" w:firstLine="422"/>
        <w:jc w:val="left"/>
        <w:rPr>
          <w:sz w:val="21"/>
        </w:rPr>
      </w:pPr>
      <w:r>
        <w:rPr>
          <w:spacing w:val="-3"/>
          <w:sz w:val="21"/>
        </w:rPr>
        <w:t>电气线路应设置电气火灾监控探测器，照明线路上应设置具有探测故障电弧功能的 电气火灾 监控探测器。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31"/>
        <w:ind w:left="2703"/>
        <w:jc w:val="left"/>
      </w:pPr>
      <w:bookmarkStart w:name="_bookmark26" w:id="27"/>
      <w:bookmarkEnd w:id="27"/>
      <w:r>
        <w:rPr>
          <w:b w:val="0"/>
        </w:rPr>
      </w:r>
      <w:r>
        <w:rPr/>
        <w:t>消防给水及消火栓系统技术规范</w:t>
      </w:r>
      <w:r>
        <w:rPr>
          <w:w w:val="99"/>
        </w:rPr>
        <w:t> </w:t>
      </w:r>
    </w:p>
    <w:p>
      <w:pPr>
        <w:pStyle w:val="BodyText"/>
        <w:rPr>
          <w:b/>
          <w:sz w:val="20"/>
        </w:rPr>
      </w:pPr>
    </w:p>
    <w:p>
      <w:pPr>
        <w:pStyle w:val="BodyText"/>
        <w:spacing w:before="4"/>
        <w:rPr>
          <w:b/>
          <w:sz w:val="14"/>
        </w:rPr>
      </w:pPr>
    </w:p>
    <w:p>
      <w:pPr>
        <w:pStyle w:val="Heading4"/>
        <w:spacing w:before="67"/>
      </w:pPr>
      <w:r>
        <w:rPr/>
        <w:t>1 总则</w:t>
      </w:r>
      <w:r>
        <w:rPr>
          <w:w w:val="99"/>
        </w:rPr>
        <w:t> </w:t>
      </w:r>
    </w:p>
    <w:p>
      <w:pPr>
        <w:pStyle w:val="BodyText"/>
        <w:spacing w:before="4"/>
        <w:rPr>
          <w:b/>
          <w:sz w:val="17"/>
        </w:rPr>
      </w:pPr>
    </w:p>
    <w:p>
      <w:pPr>
        <w:pStyle w:val="ListParagraph"/>
        <w:numPr>
          <w:ilvl w:val="1"/>
          <w:numId w:val="667"/>
        </w:numPr>
        <w:tabs>
          <w:tab w:pos="1213" w:val="left" w:leader="none"/>
        </w:tabs>
        <w:spacing w:line="446" w:lineRule="auto" w:before="0" w:after="0"/>
        <w:ind w:left="418" w:right="1445" w:firstLine="422"/>
        <w:jc w:val="left"/>
        <w:rPr>
          <w:sz w:val="21"/>
        </w:rPr>
      </w:pPr>
      <w:r>
        <w:rPr>
          <w:color w:val="333333"/>
          <w:spacing w:val="-3"/>
          <w:sz w:val="21"/>
        </w:rPr>
        <w:t>为了合理设计消防给水及消火栓系统，保障施工质量，规范验收和维护管理，减少火灾危害，保护人身和财产安全，制定本规范。</w:t>
      </w:r>
      <w:r>
        <w:rPr>
          <w:sz w:val="21"/>
        </w:rPr>
        <w:t> </w:t>
      </w:r>
    </w:p>
    <w:p>
      <w:pPr>
        <w:pStyle w:val="ListParagraph"/>
        <w:numPr>
          <w:ilvl w:val="1"/>
          <w:numId w:val="667"/>
        </w:numPr>
        <w:tabs>
          <w:tab w:pos="1213" w:val="left" w:leader="none"/>
        </w:tabs>
        <w:spacing w:line="446" w:lineRule="auto" w:before="0" w:after="0"/>
        <w:ind w:left="418" w:right="1445" w:firstLine="422"/>
        <w:jc w:val="left"/>
        <w:rPr>
          <w:sz w:val="21"/>
        </w:rPr>
      </w:pPr>
      <w:r>
        <w:rPr>
          <w:color w:val="333333"/>
          <w:spacing w:val="-3"/>
          <w:sz w:val="21"/>
        </w:rPr>
        <w:t>本规范适用于新建、扩建、改建的工业、民用、市政等建设工程的消防给水及消火栓系统的设计、施工、验收和维护管理。</w:t>
      </w:r>
      <w:r>
        <w:rPr>
          <w:color w:val="333333"/>
          <w:sz w:val="21"/>
        </w:rPr>
        <w:t> </w:t>
      </w:r>
    </w:p>
    <w:p>
      <w:pPr>
        <w:pStyle w:val="ListParagraph"/>
        <w:numPr>
          <w:ilvl w:val="1"/>
          <w:numId w:val="667"/>
        </w:numPr>
        <w:tabs>
          <w:tab w:pos="1213" w:val="left" w:leader="none"/>
        </w:tabs>
        <w:spacing w:line="446" w:lineRule="auto" w:before="0" w:after="0"/>
        <w:ind w:left="418" w:right="1445" w:firstLine="422"/>
        <w:jc w:val="left"/>
        <w:rPr>
          <w:sz w:val="21"/>
        </w:rPr>
      </w:pPr>
      <w:r>
        <w:rPr>
          <w:color w:val="333333"/>
          <w:spacing w:val="-3"/>
          <w:sz w:val="21"/>
        </w:rPr>
        <w:t>消防给水及消火栓系统的设计、施工、验收和维护管理应遵循国家的有关方针政策，结合工程特点，采取有效的技术措施，做到安全可靠、技术先进、经济适用、保护环境。</w:t>
      </w:r>
      <w:r>
        <w:rPr>
          <w:color w:val="333333"/>
          <w:sz w:val="21"/>
        </w:rPr>
        <w:t> </w:t>
      </w:r>
    </w:p>
    <w:p>
      <w:pPr>
        <w:pStyle w:val="ListParagraph"/>
        <w:numPr>
          <w:ilvl w:val="1"/>
          <w:numId w:val="667"/>
        </w:numPr>
        <w:tabs>
          <w:tab w:pos="1213" w:val="left" w:leader="none"/>
        </w:tabs>
        <w:spacing w:line="446" w:lineRule="auto" w:before="0" w:after="0"/>
        <w:ind w:left="418" w:right="1445" w:firstLine="422"/>
        <w:jc w:val="left"/>
        <w:rPr>
          <w:sz w:val="21"/>
        </w:rPr>
      </w:pPr>
      <w:r>
        <w:rPr>
          <w:color w:val="333333"/>
          <w:spacing w:val="-3"/>
          <w:sz w:val="21"/>
        </w:rPr>
        <w:t>工程中采用的消防给水及消火栓系统的组件和设备等应为符合国家现行有关标准和准入制度要求的产品。</w:t>
      </w:r>
      <w:r>
        <w:rPr>
          <w:color w:val="333333"/>
          <w:sz w:val="21"/>
        </w:rPr>
        <w:t> </w:t>
      </w:r>
    </w:p>
    <w:p>
      <w:pPr>
        <w:spacing w:after="0" w:line="446" w:lineRule="auto"/>
        <w:jc w:val="left"/>
        <w:rPr>
          <w:sz w:val="21"/>
        </w:rPr>
        <w:sectPr>
          <w:pgSz w:w="11910" w:h="16850"/>
          <w:pgMar w:header="0" w:footer="1239" w:top="1600" w:bottom="1420" w:left="1260" w:right="0"/>
        </w:sectPr>
      </w:pPr>
    </w:p>
    <w:p>
      <w:pPr>
        <w:pStyle w:val="ListParagraph"/>
        <w:numPr>
          <w:ilvl w:val="1"/>
          <w:numId w:val="667"/>
        </w:numPr>
        <w:tabs>
          <w:tab w:pos="1213" w:val="left" w:leader="none"/>
        </w:tabs>
        <w:spacing w:line="446" w:lineRule="auto" w:before="47" w:after="0"/>
        <w:ind w:left="418" w:right="1445" w:firstLine="422"/>
        <w:jc w:val="left"/>
        <w:rPr>
          <w:sz w:val="21"/>
        </w:rPr>
      </w:pPr>
      <w:r>
        <w:rPr>
          <w:color w:val="333333"/>
          <w:spacing w:val="-3"/>
          <w:sz w:val="21"/>
        </w:rPr>
        <w:t>消防给水及消火栓系统的设计、施工、验收和维护管理，除应符合本规范外，尚应符合国家现行有关标准的规定。 </w:t>
      </w:r>
    </w:p>
    <w:p>
      <w:pPr>
        <w:pStyle w:val="Heading4"/>
        <w:spacing w:line="275" w:lineRule="exact"/>
      </w:pPr>
      <w:r>
        <w:rPr/>
        <w:t>2</w:t>
      </w:r>
      <w:r>
        <w:rPr>
          <w:spacing w:val="-1"/>
        </w:rPr>
        <w:t> 术语和符号</w:t>
      </w:r>
      <w:r>
        <w:rPr>
          <w:spacing w:val="-1"/>
          <w:w w:val="99"/>
        </w:rPr>
        <w:t> </w:t>
      </w:r>
    </w:p>
    <w:p>
      <w:pPr>
        <w:pStyle w:val="BodyText"/>
        <w:spacing w:before="6"/>
        <w:rPr>
          <w:b/>
          <w:sz w:val="17"/>
        </w:rPr>
      </w:pPr>
    </w:p>
    <w:p>
      <w:pPr>
        <w:pStyle w:val="ListParagraph"/>
        <w:numPr>
          <w:ilvl w:val="1"/>
          <w:numId w:val="668"/>
        </w:numPr>
        <w:tabs>
          <w:tab w:pos="1159" w:val="left" w:leader="none"/>
        </w:tabs>
        <w:spacing w:line="240" w:lineRule="auto" w:before="1" w:after="0"/>
        <w:ind w:left="1158" w:right="0" w:hanging="319"/>
        <w:jc w:val="left"/>
        <w:rPr>
          <w:b/>
          <w:sz w:val="21"/>
        </w:rPr>
      </w:pPr>
      <w:r>
        <w:rPr>
          <w:spacing w:val="-3"/>
          <w:sz w:val="21"/>
        </w:rPr>
        <w:t>术语</w:t>
      </w:r>
      <w:r>
        <w:rPr>
          <w:b/>
          <w:w w:val="99"/>
          <w:sz w:val="21"/>
        </w:rPr>
        <w:t> </w:t>
      </w:r>
    </w:p>
    <w:p>
      <w:pPr>
        <w:pStyle w:val="BodyText"/>
        <w:spacing w:before="12"/>
        <w:rPr>
          <w:b/>
          <w:sz w:val="17"/>
        </w:rPr>
      </w:pPr>
    </w:p>
    <w:p>
      <w:pPr>
        <w:pStyle w:val="ListParagraph"/>
        <w:numPr>
          <w:ilvl w:val="2"/>
          <w:numId w:val="668"/>
        </w:numPr>
        <w:tabs>
          <w:tab w:pos="1424" w:val="left" w:leader="none"/>
        </w:tabs>
        <w:spacing w:line="240" w:lineRule="auto" w:before="0" w:after="0"/>
        <w:ind w:left="1423" w:right="0" w:hanging="584"/>
        <w:jc w:val="left"/>
        <w:rPr>
          <w:color w:val="333333"/>
          <w:sz w:val="21"/>
        </w:rPr>
      </w:pPr>
      <w:r>
        <w:rPr>
          <w:color w:val="333333"/>
          <w:spacing w:val="-3"/>
          <w:sz w:val="21"/>
        </w:rPr>
        <w:t>消防水源 </w:t>
      </w:r>
      <w:r>
        <w:rPr>
          <w:color w:val="333333"/>
          <w:sz w:val="21"/>
        </w:rPr>
        <w:t>fire</w:t>
      </w:r>
      <w:r>
        <w:rPr>
          <w:color w:val="333333"/>
          <w:spacing w:val="104"/>
          <w:sz w:val="21"/>
        </w:rPr>
        <w:t> </w:t>
      </w:r>
      <w:r>
        <w:rPr>
          <w:color w:val="333333"/>
          <w:sz w:val="21"/>
        </w:rPr>
        <w:t>water </w:t>
      </w:r>
    </w:p>
    <w:p>
      <w:pPr>
        <w:pStyle w:val="BodyText"/>
        <w:spacing w:before="12"/>
        <w:rPr>
          <w:sz w:val="17"/>
        </w:rPr>
      </w:pPr>
    </w:p>
    <w:p>
      <w:pPr>
        <w:pStyle w:val="BodyText"/>
        <w:spacing w:line="446" w:lineRule="auto"/>
        <w:ind w:left="418" w:right="1609" w:firstLine="419"/>
      </w:pPr>
      <w:r>
        <w:rPr/>
        <w:t>向水灭火设施、车载或手抬等移动消防水泵、固定消防水泵等提供消防用水的水源，包括市政给水、消防水池、高位消防水池和天然水源等。 </w:t>
      </w:r>
    </w:p>
    <w:p>
      <w:pPr>
        <w:pStyle w:val="ListParagraph"/>
        <w:numPr>
          <w:ilvl w:val="2"/>
          <w:numId w:val="668"/>
        </w:numPr>
        <w:tabs>
          <w:tab w:pos="1424" w:val="left" w:leader="none"/>
        </w:tabs>
        <w:spacing w:line="446" w:lineRule="auto" w:before="1" w:after="0"/>
        <w:ind w:left="418" w:right="2604" w:firstLine="422"/>
        <w:jc w:val="left"/>
        <w:rPr>
          <w:sz w:val="21"/>
        </w:rPr>
      </w:pPr>
      <w:r>
        <w:rPr>
          <w:spacing w:val="-3"/>
          <w:sz w:val="21"/>
        </w:rPr>
        <w:t>高压消防给水系统 </w:t>
      </w:r>
      <w:r>
        <w:rPr>
          <w:sz w:val="21"/>
        </w:rPr>
        <w:t>constant</w:t>
      </w:r>
      <w:r>
        <w:rPr>
          <w:spacing w:val="1"/>
          <w:sz w:val="21"/>
        </w:rPr>
        <w:t> </w:t>
      </w:r>
      <w:r>
        <w:rPr>
          <w:sz w:val="21"/>
        </w:rPr>
        <w:t>high</w:t>
      </w:r>
      <w:r>
        <w:rPr>
          <w:spacing w:val="-2"/>
          <w:sz w:val="21"/>
        </w:rPr>
        <w:t> </w:t>
      </w:r>
      <w:r>
        <w:rPr>
          <w:sz w:val="21"/>
        </w:rPr>
        <w:t>pressure</w:t>
      </w:r>
      <w:r>
        <w:rPr>
          <w:spacing w:val="3"/>
          <w:sz w:val="21"/>
        </w:rPr>
        <w:t> </w:t>
      </w:r>
      <w:r>
        <w:rPr>
          <w:sz w:val="21"/>
        </w:rPr>
        <w:t>fire</w:t>
      </w:r>
      <w:r>
        <w:rPr>
          <w:spacing w:val="1"/>
          <w:sz w:val="21"/>
        </w:rPr>
        <w:t> </w:t>
      </w:r>
      <w:r>
        <w:rPr>
          <w:sz w:val="21"/>
        </w:rPr>
        <w:t>protection</w:t>
      </w:r>
      <w:r>
        <w:rPr>
          <w:spacing w:val="-2"/>
          <w:sz w:val="21"/>
        </w:rPr>
        <w:t> </w:t>
      </w:r>
      <w:r>
        <w:rPr>
          <w:sz w:val="21"/>
        </w:rPr>
        <w:t>water supply system </w:t>
      </w:r>
    </w:p>
    <w:p>
      <w:pPr>
        <w:pStyle w:val="BodyText"/>
        <w:spacing w:line="446" w:lineRule="auto"/>
        <w:ind w:left="418" w:right="1609" w:firstLine="419"/>
      </w:pPr>
      <w:r>
        <w:rPr>
          <w:spacing w:val="-3"/>
        </w:rPr>
        <w:t>能始终保持满足水灭火设施所需的工作压力和流量，火灾时无须消防水泵直接加压的供水系统。</w:t>
      </w:r>
      <w:r>
        <w:rPr/>
        <w:t> </w:t>
      </w:r>
    </w:p>
    <w:p>
      <w:pPr>
        <w:pStyle w:val="ListParagraph"/>
        <w:numPr>
          <w:ilvl w:val="2"/>
          <w:numId w:val="668"/>
        </w:numPr>
        <w:tabs>
          <w:tab w:pos="1424" w:val="left" w:leader="none"/>
        </w:tabs>
        <w:spacing w:line="446" w:lineRule="auto" w:before="0" w:after="0"/>
        <w:ind w:left="418" w:right="1344" w:firstLine="422"/>
        <w:jc w:val="left"/>
        <w:rPr>
          <w:sz w:val="21"/>
        </w:rPr>
      </w:pPr>
      <w:r>
        <w:rPr>
          <w:spacing w:val="-3"/>
          <w:sz w:val="21"/>
        </w:rPr>
        <w:t>临时高压消防给水系统 </w:t>
      </w:r>
      <w:r>
        <w:rPr>
          <w:sz w:val="21"/>
        </w:rPr>
        <w:t>temporary</w:t>
      </w:r>
      <w:r>
        <w:rPr>
          <w:spacing w:val="1"/>
          <w:sz w:val="21"/>
        </w:rPr>
        <w:t> </w:t>
      </w:r>
      <w:r>
        <w:rPr>
          <w:sz w:val="21"/>
        </w:rPr>
        <w:t>high</w:t>
      </w:r>
      <w:r>
        <w:rPr>
          <w:spacing w:val="1"/>
          <w:sz w:val="21"/>
        </w:rPr>
        <w:t> </w:t>
      </w:r>
      <w:r>
        <w:rPr>
          <w:sz w:val="21"/>
        </w:rPr>
        <w:t>pressure</w:t>
      </w:r>
      <w:r>
        <w:rPr>
          <w:spacing w:val="-2"/>
          <w:sz w:val="21"/>
        </w:rPr>
        <w:t> </w:t>
      </w:r>
      <w:r>
        <w:rPr>
          <w:sz w:val="21"/>
        </w:rPr>
        <w:t>fire</w:t>
      </w:r>
      <w:r>
        <w:rPr>
          <w:spacing w:val="2"/>
          <w:sz w:val="21"/>
        </w:rPr>
        <w:t> </w:t>
      </w:r>
      <w:r>
        <w:rPr>
          <w:sz w:val="21"/>
        </w:rPr>
        <w:t>protection</w:t>
      </w:r>
      <w:r>
        <w:rPr>
          <w:spacing w:val="-2"/>
          <w:sz w:val="21"/>
        </w:rPr>
        <w:t> </w:t>
      </w:r>
      <w:r>
        <w:rPr>
          <w:sz w:val="21"/>
        </w:rPr>
        <w:t>water  supply system </w:t>
      </w:r>
    </w:p>
    <w:p>
      <w:pPr>
        <w:pStyle w:val="BodyText"/>
        <w:spacing w:line="446" w:lineRule="auto"/>
        <w:ind w:left="418" w:right="1609" w:firstLine="419"/>
      </w:pPr>
      <w:r>
        <w:rPr/>
        <w:t>平时不能满足水灭火设施所需的工作压力和流量，火灾时能自动启动消防水泵以满足水灭火设施所需的工作压力和流量的供水系统。 </w:t>
      </w:r>
    </w:p>
    <w:p>
      <w:pPr>
        <w:pStyle w:val="ListParagraph"/>
        <w:numPr>
          <w:ilvl w:val="2"/>
          <w:numId w:val="668"/>
        </w:numPr>
        <w:tabs>
          <w:tab w:pos="1424" w:val="left" w:leader="none"/>
        </w:tabs>
        <w:spacing w:line="240" w:lineRule="auto" w:before="0" w:after="0"/>
        <w:ind w:left="1423" w:right="0" w:hanging="584"/>
        <w:jc w:val="left"/>
        <w:rPr>
          <w:sz w:val="21"/>
        </w:rPr>
      </w:pPr>
      <w:r>
        <w:rPr>
          <w:spacing w:val="-3"/>
          <w:sz w:val="21"/>
        </w:rPr>
        <w:t>低压消防给水系统 </w:t>
      </w:r>
      <w:r>
        <w:rPr>
          <w:sz w:val="21"/>
        </w:rPr>
        <w:t>low</w:t>
      </w:r>
      <w:r>
        <w:rPr>
          <w:spacing w:val="1"/>
          <w:sz w:val="21"/>
        </w:rPr>
        <w:t> </w:t>
      </w:r>
      <w:r>
        <w:rPr>
          <w:sz w:val="21"/>
        </w:rPr>
        <w:t>pressure</w:t>
      </w:r>
      <w:r>
        <w:rPr>
          <w:spacing w:val="1"/>
          <w:sz w:val="21"/>
        </w:rPr>
        <w:t> </w:t>
      </w:r>
      <w:r>
        <w:rPr>
          <w:sz w:val="21"/>
        </w:rPr>
        <w:t>fire</w:t>
      </w:r>
      <w:r>
        <w:rPr>
          <w:spacing w:val="-2"/>
          <w:sz w:val="21"/>
        </w:rPr>
        <w:t> </w:t>
      </w:r>
      <w:r>
        <w:rPr>
          <w:sz w:val="21"/>
        </w:rPr>
        <w:t>protection</w:t>
      </w:r>
      <w:r>
        <w:rPr>
          <w:spacing w:val="-3"/>
          <w:sz w:val="21"/>
        </w:rPr>
        <w:t> </w:t>
      </w:r>
      <w:r>
        <w:rPr>
          <w:sz w:val="21"/>
        </w:rPr>
        <w:t>water</w:t>
      </w:r>
      <w:r>
        <w:rPr>
          <w:spacing w:val="1"/>
          <w:sz w:val="21"/>
        </w:rPr>
        <w:t> </w:t>
      </w:r>
      <w:r>
        <w:rPr>
          <w:sz w:val="21"/>
        </w:rPr>
        <w:t>supply</w:t>
      </w:r>
      <w:r>
        <w:rPr>
          <w:spacing w:val="1"/>
          <w:sz w:val="21"/>
        </w:rPr>
        <w:t> </w:t>
      </w:r>
      <w:r>
        <w:rPr>
          <w:sz w:val="21"/>
        </w:rPr>
        <w:t>system </w:t>
      </w:r>
      <w:r>
        <w:rPr>
          <w:spacing w:val="-2"/>
          <w:sz w:val="21"/>
        </w:rPr>
        <w:t> </w:t>
      </w:r>
      <w:r>
        <w:rPr>
          <w:w w:val="100"/>
          <w:sz w:val="21"/>
        </w:rPr>
        <w:t> </w:t>
      </w:r>
    </w:p>
    <w:p>
      <w:pPr>
        <w:pStyle w:val="BodyText"/>
        <w:spacing w:before="9"/>
        <w:rPr>
          <w:sz w:val="17"/>
        </w:rPr>
      </w:pPr>
    </w:p>
    <w:p>
      <w:pPr>
        <w:pStyle w:val="BodyText"/>
        <w:spacing w:before="1"/>
        <w:ind w:left="838"/>
      </w:pPr>
      <w:r>
        <w:rPr/>
        <w:t>能满足车载或手抬移动消防水泵等取水所需的工作压力和流量的供水系统。 </w:t>
      </w:r>
    </w:p>
    <w:p>
      <w:pPr>
        <w:pStyle w:val="BodyText"/>
        <w:spacing w:before="12"/>
        <w:rPr>
          <w:sz w:val="17"/>
        </w:rPr>
      </w:pPr>
    </w:p>
    <w:p>
      <w:pPr>
        <w:pStyle w:val="ListParagraph"/>
        <w:numPr>
          <w:ilvl w:val="2"/>
          <w:numId w:val="668"/>
        </w:numPr>
        <w:tabs>
          <w:tab w:pos="1424" w:val="left" w:leader="none"/>
        </w:tabs>
        <w:spacing w:line="240" w:lineRule="auto" w:before="0" w:after="0"/>
        <w:ind w:left="1423" w:right="0" w:hanging="584"/>
        <w:jc w:val="left"/>
        <w:rPr>
          <w:sz w:val="21"/>
        </w:rPr>
      </w:pPr>
      <w:r>
        <w:rPr>
          <w:spacing w:val="-3"/>
          <w:sz w:val="21"/>
        </w:rPr>
        <w:t>消防水池 </w:t>
      </w:r>
      <w:r>
        <w:rPr>
          <w:sz w:val="21"/>
        </w:rPr>
        <w:t>fire</w:t>
      </w:r>
      <w:r>
        <w:rPr>
          <w:spacing w:val="1"/>
          <w:sz w:val="21"/>
        </w:rPr>
        <w:t> </w:t>
      </w:r>
      <w:r>
        <w:rPr>
          <w:sz w:val="21"/>
        </w:rPr>
        <w:t>reservoir </w:t>
      </w:r>
    </w:p>
    <w:p>
      <w:pPr>
        <w:pStyle w:val="BodyText"/>
        <w:spacing w:before="2"/>
        <w:rPr>
          <w:sz w:val="18"/>
        </w:rPr>
      </w:pPr>
    </w:p>
    <w:p>
      <w:pPr>
        <w:pStyle w:val="BodyText"/>
        <w:ind w:left="838"/>
      </w:pPr>
      <w:r>
        <w:rPr/>
        <w:t>人工建造的供固定或移动消防水泵吸水的储水设施。 </w:t>
      </w:r>
    </w:p>
    <w:p>
      <w:pPr>
        <w:pStyle w:val="BodyText"/>
        <w:rPr>
          <w:sz w:val="18"/>
        </w:rPr>
      </w:pPr>
    </w:p>
    <w:p>
      <w:pPr>
        <w:pStyle w:val="ListParagraph"/>
        <w:numPr>
          <w:ilvl w:val="2"/>
          <w:numId w:val="668"/>
        </w:numPr>
        <w:tabs>
          <w:tab w:pos="1424" w:val="left" w:leader="none"/>
        </w:tabs>
        <w:spacing w:line="240" w:lineRule="auto" w:before="0" w:after="0"/>
        <w:ind w:left="1423" w:right="0" w:hanging="584"/>
        <w:jc w:val="left"/>
        <w:rPr>
          <w:sz w:val="21"/>
        </w:rPr>
      </w:pPr>
      <w:r>
        <w:rPr>
          <w:spacing w:val="-3"/>
          <w:sz w:val="21"/>
        </w:rPr>
        <w:t>高位消防水池 </w:t>
      </w:r>
      <w:r>
        <w:rPr>
          <w:sz w:val="21"/>
        </w:rPr>
        <w:t>gravity</w:t>
      </w:r>
      <w:r>
        <w:rPr>
          <w:spacing w:val="1"/>
          <w:sz w:val="21"/>
        </w:rPr>
        <w:t> </w:t>
      </w:r>
      <w:r>
        <w:rPr>
          <w:sz w:val="21"/>
        </w:rPr>
        <w:t>fire reservoir </w:t>
      </w:r>
    </w:p>
    <w:p>
      <w:pPr>
        <w:pStyle w:val="BodyText"/>
        <w:spacing w:before="12"/>
        <w:rPr>
          <w:sz w:val="17"/>
        </w:rPr>
      </w:pPr>
    </w:p>
    <w:p>
      <w:pPr>
        <w:pStyle w:val="BodyText"/>
        <w:ind w:left="838"/>
      </w:pPr>
      <w:r>
        <w:rPr/>
        <w:t>设置在高处直接向水灭火设施重力供水的储水设施。 </w:t>
      </w:r>
    </w:p>
    <w:p>
      <w:pPr>
        <w:pStyle w:val="BodyText"/>
        <w:spacing w:before="2"/>
        <w:rPr>
          <w:sz w:val="18"/>
        </w:rPr>
      </w:pPr>
    </w:p>
    <w:p>
      <w:pPr>
        <w:pStyle w:val="ListParagraph"/>
        <w:numPr>
          <w:ilvl w:val="2"/>
          <w:numId w:val="668"/>
        </w:numPr>
        <w:tabs>
          <w:tab w:pos="1424" w:val="left" w:leader="none"/>
        </w:tabs>
        <w:spacing w:line="240" w:lineRule="auto" w:before="0" w:after="0"/>
        <w:ind w:left="1423" w:right="0" w:hanging="584"/>
        <w:jc w:val="left"/>
        <w:rPr>
          <w:sz w:val="21"/>
        </w:rPr>
      </w:pPr>
      <w:r>
        <w:rPr>
          <w:spacing w:val="-3"/>
          <w:sz w:val="21"/>
        </w:rPr>
        <w:t>高位消防水箱 </w:t>
      </w:r>
      <w:r>
        <w:rPr>
          <w:sz w:val="21"/>
        </w:rPr>
        <w:t>elevated/gravity</w:t>
      </w:r>
      <w:r>
        <w:rPr>
          <w:spacing w:val="1"/>
          <w:sz w:val="21"/>
        </w:rPr>
        <w:t> </w:t>
      </w:r>
      <w:r>
        <w:rPr>
          <w:sz w:val="21"/>
        </w:rPr>
        <w:t>fire</w:t>
      </w:r>
      <w:r>
        <w:rPr>
          <w:spacing w:val="-2"/>
          <w:sz w:val="21"/>
        </w:rPr>
        <w:t> </w:t>
      </w:r>
      <w:r>
        <w:rPr>
          <w:sz w:val="21"/>
        </w:rPr>
        <w:t>tank </w:t>
      </w:r>
    </w:p>
    <w:p>
      <w:pPr>
        <w:pStyle w:val="BodyText"/>
        <w:rPr>
          <w:sz w:val="18"/>
        </w:rPr>
      </w:pPr>
    </w:p>
    <w:p>
      <w:pPr>
        <w:pStyle w:val="BodyText"/>
        <w:ind w:left="838"/>
      </w:pPr>
      <w:r>
        <w:rPr/>
        <w:t>设置在高处直接向水灭火设施重力供应初期火灾消防用水量的储水设施。 </w:t>
      </w:r>
    </w:p>
    <w:p>
      <w:pPr>
        <w:pStyle w:val="BodyText"/>
        <w:spacing w:before="12"/>
        <w:rPr>
          <w:sz w:val="17"/>
        </w:rPr>
      </w:pPr>
    </w:p>
    <w:p>
      <w:pPr>
        <w:pStyle w:val="ListParagraph"/>
        <w:numPr>
          <w:ilvl w:val="2"/>
          <w:numId w:val="668"/>
        </w:numPr>
        <w:tabs>
          <w:tab w:pos="1424" w:val="left" w:leader="none"/>
        </w:tabs>
        <w:spacing w:line="446" w:lineRule="auto" w:before="0" w:after="0"/>
        <w:ind w:left="838" w:right="3551" w:firstLine="2"/>
        <w:jc w:val="left"/>
        <w:rPr>
          <w:sz w:val="21"/>
        </w:rPr>
      </w:pPr>
      <w:r>
        <w:rPr>
          <w:spacing w:val="-3"/>
          <w:sz w:val="21"/>
        </w:rPr>
        <w:t>消火栓系统 </w:t>
      </w:r>
      <w:r>
        <w:rPr>
          <w:sz w:val="21"/>
        </w:rPr>
        <w:t>hydrant systems/standpipe and hose</w:t>
      </w:r>
      <w:r>
        <w:rPr>
          <w:spacing w:val="-2"/>
          <w:sz w:val="21"/>
        </w:rPr>
        <w:t> </w:t>
      </w:r>
      <w:r>
        <w:rPr>
          <w:sz w:val="21"/>
        </w:rPr>
        <w:t>systems </w:t>
      </w:r>
      <w:r>
        <w:rPr>
          <w:spacing w:val="-3"/>
          <w:sz w:val="21"/>
        </w:rPr>
        <w:t>由供水设施、消火栓、配水管网和阀门等组成的系统。</w:t>
      </w:r>
      <w:r>
        <w:rPr>
          <w:sz w:val="21"/>
        </w:rPr>
        <w:t> </w:t>
      </w:r>
    </w:p>
    <w:p>
      <w:pPr>
        <w:pStyle w:val="ListParagraph"/>
        <w:numPr>
          <w:ilvl w:val="2"/>
          <w:numId w:val="668"/>
        </w:numPr>
        <w:tabs>
          <w:tab w:pos="1424" w:val="left" w:leader="none"/>
        </w:tabs>
        <w:spacing w:line="446" w:lineRule="auto" w:before="0" w:after="0"/>
        <w:ind w:left="838" w:right="3445" w:firstLine="2"/>
        <w:jc w:val="left"/>
        <w:rPr>
          <w:sz w:val="21"/>
        </w:rPr>
      </w:pPr>
      <w:r>
        <w:rPr>
          <w:spacing w:val="-3"/>
          <w:sz w:val="21"/>
        </w:rPr>
        <w:t>湿式消火栓系统 </w:t>
      </w:r>
      <w:r>
        <w:rPr>
          <w:sz w:val="21"/>
        </w:rPr>
        <w:t>wet</w:t>
      </w:r>
      <w:r>
        <w:rPr>
          <w:spacing w:val="1"/>
          <w:sz w:val="21"/>
        </w:rPr>
        <w:t> </w:t>
      </w:r>
      <w:r>
        <w:rPr>
          <w:sz w:val="21"/>
        </w:rPr>
        <w:t>hydrant</w:t>
      </w:r>
      <w:r>
        <w:rPr>
          <w:spacing w:val="-2"/>
          <w:sz w:val="21"/>
        </w:rPr>
        <w:t> </w:t>
      </w:r>
      <w:r>
        <w:rPr>
          <w:sz w:val="21"/>
        </w:rPr>
        <w:t>system/wet</w:t>
      </w:r>
      <w:r>
        <w:rPr>
          <w:spacing w:val="1"/>
          <w:sz w:val="21"/>
        </w:rPr>
        <w:t> </w:t>
      </w:r>
      <w:r>
        <w:rPr>
          <w:sz w:val="21"/>
        </w:rPr>
        <w:t>standpipe</w:t>
      </w:r>
      <w:r>
        <w:rPr>
          <w:spacing w:val="1"/>
          <w:sz w:val="21"/>
        </w:rPr>
        <w:t> </w:t>
      </w:r>
      <w:r>
        <w:rPr>
          <w:sz w:val="21"/>
        </w:rPr>
        <w:t>system </w:t>
      </w:r>
      <w:r>
        <w:rPr>
          <w:spacing w:val="-3"/>
          <w:sz w:val="21"/>
        </w:rPr>
        <w:t>平时配水管网内充满水的消火栓系统。</w:t>
      </w:r>
      <w:r>
        <w:rPr>
          <w:sz w:val="21"/>
        </w:rPr>
        <w:t> </w:t>
      </w:r>
    </w:p>
    <w:p>
      <w:pPr>
        <w:pStyle w:val="ListParagraph"/>
        <w:numPr>
          <w:ilvl w:val="2"/>
          <w:numId w:val="668"/>
        </w:numPr>
        <w:tabs>
          <w:tab w:pos="1530" w:val="left" w:leader="none"/>
        </w:tabs>
        <w:spacing w:line="240" w:lineRule="auto" w:before="0" w:after="0"/>
        <w:ind w:left="1529" w:right="0" w:hanging="690"/>
        <w:jc w:val="left"/>
        <w:rPr>
          <w:sz w:val="21"/>
        </w:rPr>
      </w:pPr>
      <w:r>
        <w:rPr>
          <w:spacing w:val="-3"/>
          <w:sz w:val="21"/>
        </w:rPr>
        <w:t>干式消火栓系统 </w:t>
      </w:r>
      <w:r>
        <w:rPr>
          <w:sz w:val="21"/>
        </w:rPr>
        <w:t>dry</w:t>
      </w:r>
      <w:r>
        <w:rPr>
          <w:spacing w:val="1"/>
          <w:sz w:val="21"/>
        </w:rPr>
        <w:t> </w:t>
      </w:r>
      <w:r>
        <w:rPr>
          <w:sz w:val="21"/>
        </w:rPr>
        <w:t>hydrant system/</w:t>
      </w:r>
      <w:r>
        <w:rPr>
          <w:spacing w:val="1"/>
          <w:sz w:val="21"/>
        </w:rPr>
        <w:t> </w:t>
      </w:r>
      <w:r>
        <w:rPr>
          <w:sz w:val="21"/>
        </w:rPr>
        <w:t>dry</w:t>
      </w:r>
      <w:r>
        <w:rPr>
          <w:spacing w:val="-2"/>
          <w:sz w:val="21"/>
        </w:rPr>
        <w:t> </w:t>
      </w:r>
      <w:r>
        <w:rPr>
          <w:sz w:val="21"/>
        </w:rPr>
        <w:t>standpipe</w:t>
      </w:r>
      <w:r>
        <w:rPr>
          <w:spacing w:val="-3"/>
          <w:sz w:val="21"/>
        </w:rPr>
        <w:t> </w:t>
      </w:r>
      <w:r>
        <w:rPr>
          <w:sz w:val="21"/>
        </w:rPr>
        <w:t>system </w:t>
      </w:r>
    </w:p>
    <w:p>
      <w:pPr>
        <w:spacing w:after="0" w:line="240" w:lineRule="auto"/>
        <w:jc w:val="left"/>
        <w:rPr>
          <w:sz w:val="21"/>
        </w:rPr>
        <w:sectPr>
          <w:pgSz w:w="11910" w:h="16850"/>
          <w:pgMar w:header="0" w:footer="1239" w:top="1220" w:bottom="1420" w:left="1260" w:right="0"/>
        </w:sectPr>
      </w:pPr>
    </w:p>
    <w:p>
      <w:pPr>
        <w:pStyle w:val="BodyText"/>
        <w:spacing w:before="47"/>
        <w:ind w:left="838"/>
      </w:pPr>
      <w:r>
        <w:rPr/>
        <w:t>平时配水管网内不充水，火灾时向配水管网充水的消火栓系统。 </w:t>
      </w:r>
    </w:p>
    <w:p>
      <w:pPr>
        <w:pStyle w:val="BodyText"/>
        <w:rPr>
          <w:sz w:val="18"/>
        </w:rPr>
      </w:pPr>
    </w:p>
    <w:p>
      <w:pPr>
        <w:pStyle w:val="ListParagraph"/>
        <w:numPr>
          <w:ilvl w:val="2"/>
          <w:numId w:val="668"/>
        </w:numPr>
        <w:tabs>
          <w:tab w:pos="1530" w:val="left" w:leader="none"/>
        </w:tabs>
        <w:spacing w:line="240" w:lineRule="auto" w:before="0" w:after="0"/>
        <w:ind w:left="1529" w:right="0" w:hanging="690"/>
        <w:jc w:val="left"/>
        <w:rPr>
          <w:sz w:val="21"/>
        </w:rPr>
      </w:pPr>
      <w:r>
        <w:rPr>
          <w:spacing w:val="-3"/>
          <w:sz w:val="21"/>
        </w:rPr>
        <w:t>静水压力 </w:t>
      </w:r>
      <w:r>
        <w:rPr>
          <w:sz w:val="21"/>
        </w:rPr>
        <w:t>static</w:t>
      </w:r>
      <w:r>
        <w:rPr>
          <w:spacing w:val="-2"/>
          <w:sz w:val="21"/>
        </w:rPr>
        <w:t> </w:t>
      </w:r>
      <w:r>
        <w:rPr>
          <w:sz w:val="21"/>
        </w:rPr>
        <w:t>pressure </w:t>
      </w:r>
    </w:p>
    <w:p>
      <w:pPr>
        <w:pStyle w:val="BodyText"/>
        <w:rPr>
          <w:sz w:val="18"/>
        </w:rPr>
      </w:pPr>
    </w:p>
    <w:p>
      <w:pPr>
        <w:pStyle w:val="BodyText"/>
        <w:ind w:left="838"/>
      </w:pPr>
      <w:r>
        <w:rPr/>
        <w:t>消防给水系统管网内水在静止时管道某一点的压力，简称静压。 </w:t>
      </w:r>
    </w:p>
    <w:p>
      <w:pPr>
        <w:pStyle w:val="BodyText"/>
        <w:spacing w:before="1"/>
        <w:rPr>
          <w:sz w:val="18"/>
        </w:rPr>
      </w:pPr>
    </w:p>
    <w:p>
      <w:pPr>
        <w:pStyle w:val="ListParagraph"/>
        <w:numPr>
          <w:ilvl w:val="2"/>
          <w:numId w:val="668"/>
        </w:numPr>
        <w:tabs>
          <w:tab w:pos="1530" w:val="left" w:leader="none"/>
        </w:tabs>
        <w:spacing w:line="240" w:lineRule="auto" w:before="1" w:after="0"/>
        <w:ind w:left="1529" w:right="0" w:hanging="690"/>
        <w:jc w:val="left"/>
        <w:rPr>
          <w:sz w:val="21"/>
        </w:rPr>
      </w:pPr>
      <w:r>
        <w:rPr>
          <w:spacing w:val="-3"/>
          <w:sz w:val="21"/>
        </w:rPr>
        <w:t>动水压力 </w:t>
      </w:r>
      <w:r>
        <w:rPr>
          <w:sz w:val="21"/>
        </w:rPr>
        <w:t>residual/running</w:t>
      </w:r>
      <w:r>
        <w:rPr>
          <w:spacing w:val="-2"/>
          <w:sz w:val="21"/>
        </w:rPr>
        <w:t> </w:t>
      </w:r>
      <w:r>
        <w:rPr>
          <w:sz w:val="21"/>
        </w:rPr>
        <w:t>pressure </w:t>
      </w:r>
    </w:p>
    <w:p>
      <w:pPr>
        <w:pStyle w:val="BodyText"/>
        <w:spacing w:before="12"/>
        <w:rPr>
          <w:sz w:val="17"/>
        </w:rPr>
      </w:pPr>
    </w:p>
    <w:p>
      <w:pPr>
        <w:pStyle w:val="BodyText"/>
        <w:spacing w:line="446" w:lineRule="auto"/>
        <w:ind w:left="840" w:right="2134" w:hanging="3"/>
        <w:rPr>
          <w:b/>
        </w:rPr>
      </w:pPr>
      <w:r>
        <w:rPr/>
        <w:t>消防给水系统管网内水在流动时管道某一点的总压力与速度压力之差，简称动压。</w:t>
      </w:r>
      <w:r>
        <w:rPr>
          <w:b/>
        </w:rPr>
        <w:t>2.2 符号</w:t>
      </w:r>
      <w:r>
        <w:rPr>
          <w:b/>
          <w:w w:val="99"/>
        </w:rPr>
        <w:t> </w:t>
      </w:r>
    </w:p>
    <w:p>
      <w:pPr>
        <w:pStyle w:val="BodyText"/>
        <w:spacing w:line="446" w:lineRule="auto"/>
        <w:ind w:left="838" w:right="6654"/>
      </w:pPr>
      <w:r>
        <w:rPr/>
        <w:t>A——消防水池进水管断面面积； Bmax ——最大船宽度； </w:t>
      </w:r>
    </w:p>
    <w:p>
      <w:pPr>
        <w:pStyle w:val="BodyText"/>
        <w:spacing w:line="446" w:lineRule="auto"/>
        <w:ind w:left="838" w:right="7127"/>
      </w:pPr>
      <w:r>
        <w:rPr/>
        <w:t>C——海澄—威廉系数； Cv——流速系数； </w:t>
      </w:r>
    </w:p>
    <w:p>
      <w:pPr>
        <w:pStyle w:val="BodyText"/>
        <w:spacing w:line="446" w:lineRule="auto"/>
        <w:ind w:left="838" w:right="6918"/>
      </w:pPr>
      <w:r>
        <w:rPr/>
        <w:t>c——水击波的传播速度； co——水中声波的传播速度； dg——节流管计算内径； </w:t>
      </w:r>
    </w:p>
    <w:p>
      <w:pPr>
        <w:pStyle w:val="BodyText"/>
        <w:spacing w:line="446" w:lineRule="auto"/>
        <w:ind w:left="838" w:right="6287"/>
      </w:pPr>
      <w:r>
        <w:rPr/>
        <w:t>dk——减压孔板孔口的计算内径； di——管道计算内径； </w:t>
      </w:r>
    </w:p>
    <w:p>
      <w:pPr>
        <w:pStyle w:val="BodyText"/>
        <w:spacing w:line="446" w:lineRule="auto"/>
        <w:ind w:left="838" w:right="7127"/>
      </w:pPr>
      <w:r>
        <w:rPr/>
        <w:t>E——管道材料的弹性模量； F——着火油船冷却面积； </w:t>
      </w:r>
    </w:p>
    <w:p>
      <w:pPr>
        <w:pStyle w:val="BodyText"/>
        <w:spacing w:line="446" w:lineRule="auto"/>
        <w:ind w:left="838" w:right="6654"/>
      </w:pPr>
      <w:r>
        <w:rPr/>
        <w:t>fmax ——最大船的最大舱面积； g——重力加速度； </w:t>
      </w:r>
    </w:p>
    <w:p>
      <w:pPr>
        <w:pStyle w:val="BodyText"/>
        <w:spacing w:line="446" w:lineRule="auto"/>
        <w:ind w:left="838" w:right="3294"/>
      </w:pPr>
      <w:r>
        <w:rPr/>
        <w:t>H——消防水池最低有效水位至最不利点处水灭火设施的几何高差； Hg——节流管的水头损失； </w:t>
      </w:r>
    </w:p>
    <w:p>
      <w:pPr>
        <w:pStyle w:val="BodyText"/>
        <w:spacing w:line="446" w:lineRule="auto"/>
        <w:ind w:left="838" w:right="6573"/>
      </w:pPr>
      <w:r>
        <w:rPr/>
        <w:t>Hk—</w:t>
      </w:r>
      <w:r>
        <w:rPr>
          <w:spacing w:val="-3"/>
        </w:rPr>
        <w:t>—减压孔板的水头损失；  </w:t>
      </w:r>
      <w:r>
        <w:rPr/>
        <w:t>i—</w:t>
      </w:r>
      <w:r>
        <w:rPr>
          <w:spacing w:val="-3"/>
        </w:rPr>
        <w:t>—单位长度管道沿程水头损失； </w:t>
      </w:r>
      <w:r>
        <w:rPr/>
        <w:t>K—</w:t>
      </w:r>
      <w:r>
        <w:rPr>
          <w:spacing w:val="-3"/>
        </w:rPr>
        <w:t>—水的体积弹性模量；</w:t>
      </w:r>
      <w:r>
        <w:rPr/>
        <w:t> </w:t>
      </w:r>
    </w:p>
    <w:p>
      <w:pPr>
        <w:pStyle w:val="BodyText"/>
        <w:spacing w:line="446" w:lineRule="auto"/>
        <w:ind w:left="838" w:right="5709"/>
        <w:rPr>
          <w:b/>
        </w:rPr>
      </w:pPr>
      <w:r>
        <w:rPr/>
        <w:t>k1——管件和阀门当量长度换算系数； k2——安全系数；</w:t>
      </w:r>
      <w:r>
        <w:rPr>
          <w:b/>
          <w:w w:val="99"/>
        </w:rPr>
        <w:t> </w:t>
      </w:r>
    </w:p>
    <w:p>
      <w:pPr>
        <w:pStyle w:val="BodyText"/>
        <w:spacing w:line="446" w:lineRule="auto"/>
        <w:ind w:left="838" w:right="6654"/>
        <w:rPr>
          <w:b/>
        </w:rPr>
      </w:pPr>
      <w:r>
        <w:rPr/>
        <w:t>k3——消防水带弯曲折减系数； L——管道直线段长度；</w:t>
      </w:r>
      <w:r>
        <w:rPr>
          <w:b/>
          <w:w w:val="99"/>
        </w:rPr>
        <w:t> </w:t>
      </w:r>
    </w:p>
    <w:p>
      <w:pPr>
        <w:spacing w:after="0" w:line="446" w:lineRule="auto"/>
        <w:sectPr>
          <w:pgSz w:w="11910" w:h="16850"/>
          <w:pgMar w:header="0" w:footer="1239" w:top="1220" w:bottom="1420" w:left="1260" w:right="0"/>
        </w:sectPr>
      </w:pPr>
    </w:p>
    <w:p>
      <w:pPr>
        <w:pStyle w:val="BodyText"/>
        <w:spacing w:line="446" w:lineRule="auto" w:before="47"/>
        <w:ind w:left="838" w:right="7127"/>
      </w:pPr>
      <w:r>
        <w:rPr/>
        <w:t>Ld——消防水带长度； Lj――节流管长度； </w:t>
      </w:r>
    </w:p>
    <w:p>
      <w:pPr>
        <w:pStyle w:val="BodyText"/>
        <w:spacing w:line="446" w:lineRule="auto"/>
        <w:ind w:left="838" w:right="6287"/>
      </w:pPr>
      <w:r>
        <w:rPr/>
        <w:t>Lmax——最大船的最大舱纵向长度； Lp——管件和阀门等当量长度； </w:t>
      </w:r>
    </w:p>
    <w:p>
      <w:pPr>
        <w:pStyle w:val="BodyText"/>
        <w:spacing w:line="446" w:lineRule="auto"/>
        <w:ind w:left="838" w:right="5288"/>
      </w:pPr>
      <w:r>
        <w:rPr/>
        <w:t>Ls——水枪充实水柱长度在平面上的投影长度； m——建筑同时作用的室内水灭火系统数量； n——建筑同时作用的室外水灭火系统数量； nε——管道粗糙系数； </w:t>
      </w:r>
    </w:p>
    <w:p>
      <w:pPr>
        <w:pStyle w:val="BodyText"/>
        <w:spacing w:line="446" w:lineRule="auto"/>
        <w:ind w:left="838" w:right="3606"/>
      </w:pPr>
      <w:r>
        <w:rPr/>
        <w:t>P——消防给水泵或消防给水系统所需要的设计扬程和设计压力； po——最不利点处水灭火设施所需的设计压力； </w:t>
      </w:r>
    </w:p>
    <w:p>
      <w:pPr>
        <w:pStyle w:val="BodyText"/>
        <w:spacing w:line="446" w:lineRule="auto"/>
        <w:ind w:left="838" w:right="6753"/>
      </w:pPr>
      <w:r>
        <w:rPr/>
        <w:t>pf——管道沿程水头损失； pn——管道某一点处的压力； </w:t>
      </w:r>
    </w:p>
    <w:p>
      <w:pPr>
        <w:pStyle w:val="BodyText"/>
        <w:spacing w:line="446" w:lineRule="auto"/>
        <w:ind w:left="838" w:right="6287"/>
      </w:pPr>
      <w:r>
        <w:rPr/>
        <w:t>pp——管件和阀门等局部水头损失； pt——管道某一点处的总压力； pv——管道速度压力； </w:t>
      </w:r>
    </w:p>
    <w:p>
      <w:pPr>
        <w:pStyle w:val="BodyText"/>
        <w:spacing w:line="446" w:lineRule="auto"/>
        <w:ind w:left="838" w:right="6865"/>
      </w:pPr>
      <w:r>
        <w:rPr/>
        <w:t>Δp</w:t>
      </w:r>
      <w:r>
        <w:rPr>
          <w:spacing w:val="-3"/>
        </w:rPr>
        <w:t>——水锤最大压力；   </w:t>
      </w:r>
      <w:r>
        <w:rPr/>
        <w:t>q—</w:t>
      </w:r>
      <w:r>
        <w:rPr>
          <w:spacing w:val="-3"/>
        </w:rPr>
        <w:t>—管段消防给水设计流量；</w:t>
      </w:r>
      <w:r>
        <w:rPr/>
        <w:t> </w:t>
      </w:r>
    </w:p>
    <w:p>
      <w:pPr>
        <w:pStyle w:val="BodyText"/>
        <w:spacing w:line="446" w:lineRule="auto"/>
        <w:ind w:left="838" w:right="5759"/>
      </w:pPr>
      <w:r>
        <w:rPr/>
        <w:t>qt—</w:t>
      </w:r>
      <w:r>
        <w:rPr>
          <w:spacing w:val="-3"/>
        </w:rPr>
        <w:t>—火灾时消防水池的补水流量；  </w:t>
      </w:r>
      <w:r>
        <w:rPr/>
        <w:t>q1i</w:t>
      </w:r>
      <w:r>
        <w:rPr>
          <w:spacing w:val="-10"/>
        </w:rPr>
        <w:t>——室外第 </w:t>
      </w:r>
      <w:r>
        <w:rPr/>
        <w:t>i</w:t>
      </w:r>
      <w:r>
        <w:rPr>
          <w:spacing w:val="-9"/>
        </w:rPr>
        <w:t> 种水灭火设施的设计流量； </w:t>
      </w:r>
      <w:r>
        <w:rPr/>
        <w:t>q2i</w:t>
      </w:r>
      <w:r>
        <w:rPr>
          <w:spacing w:val="-10"/>
        </w:rPr>
        <w:t>——室内第 </w:t>
      </w:r>
      <w:r>
        <w:rPr/>
        <w:t>i</w:t>
      </w:r>
      <w:r>
        <w:rPr>
          <w:spacing w:val="-9"/>
        </w:rPr>
        <w:t> 种水灭火设施的设计流量； </w:t>
      </w:r>
      <w:r>
        <w:rPr/>
        <w:t>R—</w:t>
      </w:r>
      <w:r>
        <w:rPr>
          <w:spacing w:val="-3"/>
        </w:rPr>
        <w:t>—管道水力半径；</w:t>
      </w:r>
      <w:r>
        <w:rPr/>
        <w:t> </w:t>
      </w:r>
    </w:p>
    <w:p>
      <w:pPr>
        <w:pStyle w:val="BodyText"/>
        <w:spacing w:line="446" w:lineRule="auto"/>
        <w:ind w:left="838" w:right="7127"/>
      </w:pPr>
      <w:r>
        <w:rPr/>
        <w:t>Ro——消火栓保护半径； Re—— 管 道 雷 诺 数 ； Sk——水枪充实水柱长度； T——水的温度； </w:t>
      </w:r>
    </w:p>
    <w:p>
      <w:pPr>
        <w:pStyle w:val="BodyText"/>
        <w:spacing w:line="446" w:lineRule="auto"/>
        <w:ind w:left="838" w:right="4974"/>
        <w:jc w:val="both"/>
      </w:pPr>
      <w:r>
        <w:rPr/>
        <w:t>t1i ——室外第 i 种水灭火系统的火灾延续时间； t2i ——室内第 i 种水灭火系统的火灾延续时间； υ——管道内水的平均流速； </w:t>
      </w:r>
    </w:p>
    <w:p>
      <w:pPr>
        <w:spacing w:after="0" w:line="446" w:lineRule="auto"/>
        <w:jc w:val="both"/>
        <w:sectPr>
          <w:pgSz w:w="11910" w:h="16850"/>
          <w:pgMar w:header="0" w:footer="1239" w:top="1220" w:bottom="1420" w:left="1260" w:right="0"/>
        </w:sectPr>
      </w:pPr>
    </w:p>
    <w:p>
      <w:pPr>
        <w:pStyle w:val="BodyText"/>
        <w:spacing w:line="446" w:lineRule="auto" w:before="47"/>
        <w:ind w:left="838" w:right="5394"/>
      </w:pPr>
      <w:r>
        <w:rPr/>
        <w:t>V—</w:t>
      </w:r>
      <w:r>
        <w:rPr>
          <w:spacing w:val="-3"/>
        </w:rPr>
        <w:t>—建筑物消防给水一起火灾灭火用水总量； </w:t>
      </w:r>
      <w:r>
        <w:rPr/>
        <w:t>V1—</w:t>
      </w:r>
      <w:r>
        <w:rPr>
          <w:spacing w:val="-3"/>
        </w:rPr>
        <w:t>—室外消防给水一起火灾灭火用水量 </w:t>
      </w:r>
      <w:r>
        <w:rPr/>
        <w:t>V2—</w:t>
      </w:r>
      <w:r>
        <w:rPr>
          <w:spacing w:val="-3"/>
        </w:rPr>
        <w:t>—室内消防给水一起火灾灭火用水量； </w:t>
      </w:r>
      <w:r>
        <w:rPr/>
        <w:t>Vg―</w:t>
      </w:r>
      <w:r>
        <w:rPr>
          <w:spacing w:val="-3"/>
        </w:rPr>
        <w:t>―节流管内水的平均流速；</w:t>
      </w:r>
      <w:r>
        <w:rPr/>
        <w:t> </w:t>
      </w:r>
    </w:p>
    <w:p>
      <w:pPr>
        <w:pStyle w:val="BodyText"/>
        <w:spacing w:line="446" w:lineRule="auto"/>
        <w:ind w:left="838" w:right="5709"/>
      </w:pPr>
      <w:r>
        <w:rPr/>
        <w:t>Vk――减压孔板后管道内水的平均流速； y——系数； </w:t>
      </w:r>
    </w:p>
    <w:p>
      <w:pPr>
        <w:pStyle w:val="BodyText"/>
        <w:spacing w:line="446" w:lineRule="auto"/>
        <w:ind w:left="838" w:right="6654"/>
      </w:pPr>
      <w:r>
        <w:rPr/>
        <w:t>λ——水头损失沿程阻力系数； ρ——水的密度； </w:t>
      </w:r>
    </w:p>
    <w:p>
      <w:pPr>
        <w:pStyle w:val="BodyText"/>
        <w:spacing w:line="446" w:lineRule="auto"/>
        <w:ind w:left="838" w:right="7177"/>
        <w:jc w:val="both"/>
      </w:pPr>
      <w:r>
        <w:rPr/>
        <w:t>μ——水的动力黏滞系数； ν——水的运动黏滞系数； ε——当量粗糙度； </w:t>
      </w:r>
    </w:p>
    <w:p>
      <w:pPr>
        <w:pStyle w:val="BodyText"/>
        <w:spacing w:line="268" w:lineRule="exact"/>
        <w:ind w:left="838"/>
      </w:pPr>
      <w:r>
        <w:rPr/>
        <w:t>ζ1――减压孔板的局部阻力系数； </w:t>
      </w:r>
    </w:p>
    <w:p>
      <w:pPr>
        <w:pStyle w:val="BodyText"/>
        <w:spacing w:before="11"/>
        <w:rPr>
          <w:sz w:val="17"/>
        </w:rPr>
      </w:pPr>
    </w:p>
    <w:p>
      <w:pPr>
        <w:pStyle w:val="BodyText"/>
        <w:spacing w:line="446" w:lineRule="auto"/>
        <w:ind w:left="838" w:right="4554"/>
      </w:pPr>
      <w:r>
        <w:rPr/>
        <w:t>ζ2――节流管中渐缩管与渐扩管的局部阻力系数之和； δ——管道壁厚。 </w:t>
      </w:r>
    </w:p>
    <w:p>
      <w:pPr>
        <w:pStyle w:val="Heading4"/>
        <w:spacing w:line="275" w:lineRule="exact"/>
      </w:pPr>
      <w:r>
        <w:rPr/>
        <w:t>3 基本参数</w:t>
      </w:r>
      <w:r>
        <w:rPr>
          <w:w w:val="99"/>
        </w:rPr>
        <w:t> </w:t>
      </w:r>
    </w:p>
    <w:p>
      <w:pPr>
        <w:pStyle w:val="BodyText"/>
        <w:spacing w:before="6"/>
        <w:rPr>
          <w:b/>
          <w:sz w:val="17"/>
        </w:rPr>
      </w:pPr>
    </w:p>
    <w:p>
      <w:pPr>
        <w:pStyle w:val="ListParagraph"/>
        <w:numPr>
          <w:ilvl w:val="1"/>
          <w:numId w:val="669"/>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669"/>
        </w:numPr>
        <w:tabs>
          <w:tab w:pos="1424" w:val="left" w:leader="none"/>
        </w:tabs>
        <w:spacing w:line="446" w:lineRule="auto" w:before="0" w:after="0"/>
        <w:ind w:left="418" w:right="1445" w:firstLine="422"/>
        <w:jc w:val="left"/>
        <w:rPr>
          <w:sz w:val="21"/>
        </w:rPr>
      </w:pPr>
      <w:r>
        <w:rPr>
          <w:spacing w:val="-3"/>
          <w:sz w:val="21"/>
        </w:rPr>
        <w:t>工厂、仓库、堆场、储罐区或民用建筑的室外消防用水量，应按同一时间内的火灾起数和一起火灾灭火所需室外消防用水量确定。同一时间内的火灾起数应符合下列规定：</w:t>
      </w:r>
      <w:r>
        <w:rPr>
          <w:sz w:val="21"/>
        </w:rPr>
        <w:t> </w:t>
      </w:r>
    </w:p>
    <w:p>
      <w:pPr>
        <w:pStyle w:val="ListParagraph"/>
        <w:numPr>
          <w:ilvl w:val="0"/>
          <w:numId w:val="670"/>
        </w:numPr>
        <w:tabs>
          <w:tab w:pos="1367" w:val="left" w:leader="none"/>
        </w:tabs>
        <w:spacing w:line="269" w:lineRule="exact" w:before="0" w:after="0"/>
        <w:ind w:left="1367" w:right="0" w:hanging="529"/>
        <w:jc w:val="left"/>
        <w:rPr>
          <w:sz w:val="21"/>
        </w:rPr>
      </w:pPr>
      <w:r>
        <w:rPr>
          <w:spacing w:val="-6"/>
          <w:sz w:val="21"/>
        </w:rPr>
        <w:t>工厂、堆场和储罐区等，当占地面积小于等于 </w:t>
      </w:r>
      <w:r>
        <w:rPr>
          <w:sz w:val="21"/>
        </w:rPr>
        <w:t>100hm</w:t>
      </w:r>
      <w:r>
        <w:rPr>
          <w:position w:val="11"/>
          <w:sz w:val="11"/>
        </w:rPr>
        <w:t>2</w:t>
      </w:r>
      <w:r>
        <w:rPr>
          <w:spacing w:val="-3"/>
          <w:sz w:val="21"/>
        </w:rPr>
        <w:t>，且附有居住区人数小于或等于</w:t>
      </w:r>
    </w:p>
    <w:p>
      <w:pPr>
        <w:pStyle w:val="BodyText"/>
        <w:spacing w:before="3"/>
        <w:rPr>
          <w:sz w:val="17"/>
        </w:rPr>
      </w:pPr>
    </w:p>
    <w:p>
      <w:pPr>
        <w:pStyle w:val="BodyText"/>
        <w:spacing w:line="446" w:lineRule="auto"/>
        <w:ind w:left="418" w:right="1450"/>
      </w:pPr>
      <w:r>
        <w:rPr/>
        <w:t>1.5</w:t>
      </w:r>
      <w:r>
        <w:rPr>
          <w:spacing w:val="-10"/>
        </w:rPr>
        <w:t> 万人时，同一时间内的火灾起数应按 </w:t>
      </w:r>
      <w:r>
        <w:rPr/>
        <w:t>1</w:t>
      </w:r>
      <w:r>
        <w:rPr>
          <w:spacing w:val="-11"/>
        </w:rPr>
        <w:t> 起确定；当占地面积小于或等于 </w:t>
      </w:r>
      <w:r>
        <w:rPr/>
        <w:t>100hm</w:t>
      </w:r>
      <w:r>
        <w:rPr>
          <w:position w:val="11"/>
          <w:sz w:val="11"/>
        </w:rPr>
        <w:t>2</w:t>
      </w:r>
      <w:r>
        <w:rPr>
          <w:spacing w:val="-3"/>
        </w:rPr>
        <w:t>，且附有居住</w:t>
      </w:r>
      <w:r>
        <w:rPr>
          <w:spacing w:val="-11"/>
        </w:rPr>
        <w:t>区人数大于 </w:t>
      </w:r>
      <w:r>
        <w:rPr/>
        <w:t>1.5</w:t>
      </w:r>
      <w:r>
        <w:rPr>
          <w:spacing w:val="-12"/>
        </w:rPr>
        <w:t> 万人时，同一时间内的火灾起数应按 </w:t>
      </w:r>
      <w:r>
        <w:rPr/>
        <w:t>2</w:t>
      </w:r>
      <w:r>
        <w:rPr>
          <w:spacing w:val="-13"/>
        </w:rPr>
        <w:t> 起确定，居住区应计 </w:t>
      </w:r>
      <w:r>
        <w:rPr/>
        <w:t>1</w:t>
      </w:r>
      <w:r>
        <w:rPr>
          <w:spacing w:val="-8"/>
        </w:rPr>
        <w:t> 起，工厂、堆场</w:t>
      </w:r>
      <w:r>
        <w:rPr>
          <w:spacing w:val="-12"/>
        </w:rPr>
        <w:t>或储罐区应计 </w:t>
      </w:r>
      <w:r>
        <w:rPr/>
        <w:t>1</w:t>
      </w:r>
      <w:r>
        <w:rPr>
          <w:spacing w:val="-20"/>
        </w:rPr>
        <w:t> 起；</w:t>
      </w:r>
      <w:r>
        <w:rPr/>
        <w:t> </w:t>
      </w:r>
    </w:p>
    <w:p>
      <w:pPr>
        <w:pStyle w:val="ListParagraph"/>
        <w:numPr>
          <w:ilvl w:val="0"/>
          <w:numId w:val="670"/>
        </w:numPr>
        <w:tabs>
          <w:tab w:pos="1367" w:val="left" w:leader="none"/>
        </w:tabs>
        <w:spacing w:line="446" w:lineRule="auto" w:before="0" w:after="0"/>
        <w:ind w:left="418" w:right="1508" w:firstLine="419"/>
        <w:jc w:val="left"/>
        <w:rPr>
          <w:sz w:val="21"/>
        </w:rPr>
      </w:pPr>
      <w:r>
        <w:rPr>
          <w:spacing w:val="-5"/>
          <w:sz w:val="21"/>
        </w:rPr>
        <w:t>工厂、堆场和储罐区等，当占地面积大于 </w:t>
      </w:r>
      <w:r>
        <w:rPr>
          <w:sz w:val="21"/>
        </w:rPr>
        <w:t>100hm</w:t>
      </w:r>
      <w:r>
        <w:rPr>
          <w:position w:val="11"/>
          <w:sz w:val="11"/>
        </w:rPr>
        <w:t>2</w:t>
      </w:r>
      <w:r>
        <w:rPr>
          <w:spacing w:val="-6"/>
          <w:sz w:val="21"/>
        </w:rPr>
        <w:t>，同一时间内的火灾起数应按 </w:t>
      </w:r>
      <w:r>
        <w:rPr>
          <w:sz w:val="21"/>
        </w:rPr>
        <w:t>2</w:t>
      </w:r>
      <w:r>
        <w:rPr>
          <w:spacing w:val="-17"/>
          <w:sz w:val="21"/>
        </w:rPr>
        <w:t> 起确</w:t>
      </w:r>
      <w:r>
        <w:rPr>
          <w:spacing w:val="-3"/>
          <w:sz w:val="21"/>
        </w:rPr>
        <w:t>定，工厂、堆场和储罐区应按需水量最大的两座建筑</w:t>
      </w:r>
      <w:r>
        <w:rPr>
          <w:sz w:val="21"/>
        </w:rPr>
        <w:t>（</w:t>
      </w:r>
      <w:r>
        <w:rPr>
          <w:spacing w:val="-3"/>
          <w:sz w:val="21"/>
        </w:rPr>
        <w:t>或堆场、储罐）</w:t>
      </w:r>
      <w:r>
        <w:rPr>
          <w:spacing w:val="-20"/>
          <w:sz w:val="21"/>
        </w:rPr>
        <w:t>各计 </w:t>
      </w:r>
      <w:r>
        <w:rPr>
          <w:sz w:val="21"/>
        </w:rPr>
        <w:t>1</w:t>
      </w:r>
      <w:r>
        <w:rPr>
          <w:spacing w:val="-18"/>
          <w:sz w:val="21"/>
        </w:rPr>
        <w:t> 起； </w:t>
      </w:r>
    </w:p>
    <w:p>
      <w:pPr>
        <w:pStyle w:val="ListParagraph"/>
        <w:numPr>
          <w:ilvl w:val="0"/>
          <w:numId w:val="670"/>
        </w:numPr>
        <w:tabs>
          <w:tab w:pos="1367" w:val="left" w:leader="none"/>
        </w:tabs>
        <w:spacing w:line="240" w:lineRule="auto" w:before="0" w:after="0"/>
        <w:ind w:left="1367" w:right="0" w:hanging="529"/>
        <w:jc w:val="left"/>
        <w:rPr>
          <w:sz w:val="21"/>
        </w:rPr>
      </w:pPr>
      <w:r>
        <w:rPr>
          <w:spacing w:val="-6"/>
          <w:sz w:val="21"/>
        </w:rPr>
        <w:t>仓库和民用建筑同一时间内的火灾起数应按 </w:t>
      </w:r>
      <w:r>
        <w:rPr>
          <w:sz w:val="21"/>
        </w:rPr>
        <w:t>1</w:t>
      </w:r>
      <w:r>
        <w:rPr>
          <w:spacing w:val="-13"/>
          <w:sz w:val="21"/>
        </w:rPr>
        <w:t> 起确定。</w:t>
      </w:r>
      <w:r>
        <w:rPr>
          <w:sz w:val="21"/>
        </w:rPr>
        <w:t> </w:t>
      </w:r>
    </w:p>
    <w:p>
      <w:pPr>
        <w:pStyle w:val="BodyText"/>
        <w:spacing w:before="1"/>
        <w:rPr>
          <w:sz w:val="17"/>
        </w:rPr>
      </w:pPr>
    </w:p>
    <w:p>
      <w:pPr>
        <w:pStyle w:val="ListParagraph"/>
        <w:numPr>
          <w:ilvl w:val="2"/>
          <w:numId w:val="669"/>
        </w:numPr>
        <w:tabs>
          <w:tab w:pos="1424" w:val="left" w:leader="none"/>
        </w:tabs>
        <w:spacing w:line="446" w:lineRule="auto" w:before="1" w:after="0"/>
        <w:ind w:left="418" w:right="1608" w:firstLine="422"/>
        <w:jc w:val="both"/>
        <w:rPr>
          <w:sz w:val="21"/>
        </w:rPr>
      </w:pPr>
      <w:r>
        <w:rPr>
          <w:spacing w:val="-3"/>
          <w:sz w:val="21"/>
        </w:rPr>
        <w:t>一起火灾灭火所需消防用水的设计流量应由建筑的室外消火栓系统、室内消火栓系统、自动喷水灭火系统、泡沫灭火系统、水喷雾灭火系统、固定消防炮灭火系统、固定冷却水系统等需要同时作用的各种水灭火系统的设计流量组成，并应符合下列规定： </w:t>
      </w:r>
    </w:p>
    <w:p>
      <w:pPr>
        <w:spacing w:after="0" w:line="446" w:lineRule="auto"/>
        <w:jc w:val="both"/>
        <w:rPr>
          <w:sz w:val="21"/>
        </w:rPr>
        <w:sectPr>
          <w:pgSz w:w="11910" w:h="16850"/>
          <w:pgMar w:header="0" w:footer="1239" w:top="1220" w:bottom="1420" w:left="1260" w:right="0"/>
        </w:sectPr>
      </w:pPr>
    </w:p>
    <w:p>
      <w:pPr>
        <w:pStyle w:val="ListParagraph"/>
        <w:numPr>
          <w:ilvl w:val="0"/>
          <w:numId w:val="671"/>
        </w:numPr>
        <w:tabs>
          <w:tab w:pos="1367" w:val="left" w:leader="none"/>
        </w:tabs>
        <w:spacing w:line="240" w:lineRule="auto" w:before="47" w:after="0"/>
        <w:ind w:left="1367" w:right="0" w:hanging="529"/>
        <w:jc w:val="left"/>
        <w:rPr>
          <w:sz w:val="21"/>
        </w:rPr>
      </w:pPr>
      <w:r>
        <w:rPr>
          <w:spacing w:val="-3"/>
          <w:sz w:val="21"/>
        </w:rPr>
        <w:t>应按需要同时作用的各种水灭火系统最大设计流量之和确定；</w:t>
      </w:r>
      <w:r>
        <w:rPr>
          <w:sz w:val="21"/>
        </w:rPr>
        <w:t> </w:t>
      </w:r>
    </w:p>
    <w:p>
      <w:pPr>
        <w:pStyle w:val="BodyText"/>
        <w:rPr>
          <w:sz w:val="18"/>
        </w:rPr>
      </w:pPr>
    </w:p>
    <w:p>
      <w:pPr>
        <w:pStyle w:val="ListParagraph"/>
        <w:numPr>
          <w:ilvl w:val="0"/>
          <w:numId w:val="671"/>
        </w:numPr>
        <w:tabs>
          <w:tab w:pos="1367" w:val="left" w:leader="none"/>
        </w:tabs>
        <w:spacing w:line="240" w:lineRule="auto" w:before="0" w:after="0"/>
        <w:ind w:left="1367" w:right="0" w:hanging="529"/>
        <w:jc w:val="left"/>
        <w:rPr>
          <w:sz w:val="21"/>
        </w:rPr>
      </w:pPr>
      <w:r>
        <w:rPr>
          <w:spacing w:val="-3"/>
          <w:sz w:val="21"/>
        </w:rPr>
        <w:t>两座及以上建筑合用消防给水系统时，应按其中一座设计流量最大者确定；</w:t>
      </w:r>
      <w:r>
        <w:rPr>
          <w:sz w:val="21"/>
        </w:rPr>
        <w:t> </w:t>
      </w:r>
    </w:p>
    <w:p>
      <w:pPr>
        <w:pStyle w:val="BodyText"/>
        <w:rPr>
          <w:sz w:val="18"/>
        </w:rPr>
      </w:pPr>
    </w:p>
    <w:p>
      <w:pPr>
        <w:pStyle w:val="ListParagraph"/>
        <w:numPr>
          <w:ilvl w:val="0"/>
          <w:numId w:val="671"/>
        </w:numPr>
        <w:tabs>
          <w:tab w:pos="1367" w:val="left" w:leader="none"/>
        </w:tabs>
        <w:spacing w:line="446" w:lineRule="auto" w:before="0" w:after="0"/>
        <w:ind w:left="418" w:right="1505" w:firstLine="419"/>
        <w:jc w:val="left"/>
        <w:rPr>
          <w:sz w:val="21"/>
        </w:rPr>
      </w:pPr>
      <w:r>
        <w:rPr>
          <w:spacing w:val="-3"/>
          <w:sz w:val="21"/>
        </w:rPr>
        <w:t>当消防给水与生活、生产给水合用时，合用系统的给水设计流量应为消防给水设计流</w:t>
      </w:r>
      <w:r>
        <w:rPr>
          <w:spacing w:val="-4"/>
          <w:sz w:val="21"/>
        </w:rPr>
        <w:t>量与生活、生产用水最大小时流量之和。计算生活用水最大小时流量时，淋浴用水量宜按 </w:t>
      </w:r>
      <w:r>
        <w:rPr>
          <w:sz w:val="21"/>
        </w:rPr>
        <w:t>15% </w:t>
      </w:r>
      <w:r>
        <w:rPr>
          <w:spacing w:val="-3"/>
          <w:sz w:val="21"/>
        </w:rPr>
        <w:t>计，浇洒及洗刷等火灾时能停用的用水量可不计。</w:t>
      </w:r>
      <w:r>
        <w:rPr>
          <w:sz w:val="21"/>
        </w:rPr>
        <w:t> </w:t>
      </w:r>
    </w:p>
    <w:p>
      <w:pPr>
        <w:pStyle w:val="ListParagraph"/>
        <w:numPr>
          <w:ilvl w:val="2"/>
          <w:numId w:val="669"/>
        </w:numPr>
        <w:tabs>
          <w:tab w:pos="1424" w:val="left" w:leader="none"/>
        </w:tabs>
        <w:spacing w:line="446" w:lineRule="auto" w:before="0" w:after="0"/>
        <w:ind w:left="418" w:right="1445" w:firstLine="422"/>
        <w:jc w:val="left"/>
        <w:rPr>
          <w:sz w:val="21"/>
        </w:rPr>
      </w:pPr>
      <w:r>
        <w:rPr>
          <w:spacing w:val="-3"/>
          <w:sz w:val="21"/>
        </w:rPr>
        <w:t>自动喷水灭火系统、泡沫灭火系统、水喷雾灭火系统、固定消防炮灭火系统等水灭火系统的消防给水设计流量，应分别按现行国家标准《自动喷水灭火系统设计规范》</w:t>
      </w:r>
      <w:r>
        <w:rPr>
          <w:sz w:val="21"/>
        </w:rPr>
        <w:t>GB</w:t>
      </w:r>
      <w:r>
        <w:rPr>
          <w:spacing w:val="16"/>
          <w:sz w:val="21"/>
        </w:rPr>
        <w:t> </w:t>
      </w:r>
      <w:r>
        <w:rPr>
          <w:sz w:val="21"/>
        </w:rPr>
        <w:t>50084、</w:t>
      </w:r>
    </w:p>
    <w:p>
      <w:pPr>
        <w:pStyle w:val="BodyText"/>
        <w:spacing w:line="446" w:lineRule="auto"/>
        <w:ind w:left="418" w:right="1497"/>
        <w:rPr>
          <w:b/>
        </w:rPr>
      </w:pPr>
      <w:r>
        <w:rPr/>
        <w:t>《泡沫灭火系统设计规范》GB 50151、《水喷雾灭火系统设计规范》GB 50219 和《固定消防炮灭火系统设计规范》GB 50338 等的有关规定执行。</w:t>
      </w:r>
      <w:r>
        <w:rPr>
          <w:b/>
          <w:w w:val="99"/>
        </w:rPr>
        <w:t> </w:t>
      </w:r>
    </w:p>
    <w:p>
      <w:pPr>
        <w:pStyle w:val="ListParagraph"/>
        <w:numPr>
          <w:ilvl w:val="2"/>
          <w:numId w:val="669"/>
        </w:numPr>
        <w:tabs>
          <w:tab w:pos="1424" w:val="left" w:leader="none"/>
        </w:tabs>
        <w:spacing w:line="446" w:lineRule="auto" w:before="0" w:after="0"/>
        <w:ind w:left="418" w:right="1445" w:firstLine="422"/>
        <w:jc w:val="left"/>
        <w:rPr>
          <w:sz w:val="21"/>
        </w:rPr>
      </w:pPr>
      <w:r>
        <w:rPr>
          <w:spacing w:val="-3"/>
          <w:sz w:val="21"/>
        </w:rPr>
        <w:t>本规范未规定的建筑室内外消火栓设计流量，应根据其火灾危险性、建筑功能性质、耐火等级和建筑体积等相似建筑确定。</w:t>
      </w:r>
      <w:r>
        <w:rPr>
          <w:sz w:val="21"/>
        </w:rPr>
        <w:t> </w:t>
      </w:r>
    </w:p>
    <w:p>
      <w:pPr>
        <w:pStyle w:val="ListParagraph"/>
        <w:numPr>
          <w:ilvl w:val="1"/>
          <w:numId w:val="672"/>
        </w:numPr>
        <w:tabs>
          <w:tab w:pos="1159" w:val="left" w:leader="none"/>
        </w:tabs>
        <w:spacing w:line="267" w:lineRule="exact" w:before="0" w:after="0"/>
        <w:ind w:left="1158" w:right="0" w:hanging="319"/>
        <w:jc w:val="left"/>
        <w:rPr>
          <w:sz w:val="21"/>
        </w:rPr>
      </w:pPr>
      <w:r>
        <w:rPr>
          <w:spacing w:val="-3"/>
          <w:sz w:val="21"/>
        </w:rPr>
        <w:t>市政消防给水设计流量 </w:t>
      </w:r>
    </w:p>
    <w:p>
      <w:pPr>
        <w:pStyle w:val="BodyText"/>
        <w:rPr>
          <w:sz w:val="18"/>
        </w:rPr>
      </w:pPr>
    </w:p>
    <w:p>
      <w:pPr>
        <w:pStyle w:val="ListParagraph"/>
        <w:numPr>
          <w:ilvl w:val="2"/>
          <w:numId w:val="672"/>
        </w:numPr>
        <w:tabs>
          <w:tab w:pos="1424" w:val="left" w:leader="none"/>
        </w:tabs>
        <w:spacing w:line="446" w:lineRule="auto" w:before="1" w:after="0"/>
        <w:ind w:left="418" w:right="1445" w:firstLine="422"/>
        <w:jc w:val="left"/>
        <w:rPr>
          <w:sz w:val="21"/>
        </w:rPr>
      </w:pPr>
      <w:r>
        <w:rPr>
          <w:spacing w:val="-3"/>
          <w:sz w:val="21"/>
        </w:rPr>
        <w:t>市政消防给水设计流量，应根据当地火灾统计资料、火灾扑救用水量统计资料、灭火用水量保证率、建筑的组成和市政给水管网运行合理性等因素综合分析计算确定。</w:t>
      </w:r>
      <w:r>
        <w:rPr>
          <w:sz w:val="21"/>
        </w:rPr>
        <w:t> </w:t>
      </w: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城镇市政消防给水设计流量，应按同一时间内的火灾起数和一起火灾灭火设计流量经</w:t>
      </w:r>
      <w:r>
        <w:rPr>
          <w:spacing w:val="-5"/>
          <w:sz w:val="21"/>
        </w:rPr>
        <w:t>计算确定。同一时间内的火灾起数和一起火灾灭火设计流量不应小于表 </w:t>
      </w:r>
      <w:r>
        <w:rPr>
          <w:sz w:val="21"/>
        </w:rPr>
        <w:t>3.2.2</w:t>
      </w:r>
      <w:r>
        <w:rPr>
          <w:spacing w:val="-12"/>
          <w:sz w:val="21"/>
        </w:rPr>
        <w:t> 的规定。 </w:t>
      </w:r>
    </w:p>
    <w:p>
      <w:pPr>
        <w:pStyle w:val="Heading6"/>
        <w:ind w:left="2150"/>
      </w:pPr>
      <w:r>
        <w:rPr/>
        <w:t>表 3.2.2 城镇同一时间内的火灾起数和一起火灾灭火设计流量</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8"/>
        </w:rPr>
      </w:pPr>
    </w:p>
    <w:p>
      <w:pPr>
        <w:pStyle w:val="BodyText"/>
        <w:spacing w:before="71"/>
        <w:ind w:right="495"/>
        <w:jc w:val="center"/>
      </w:pPr>
      <w:r>
        <w:rPr>
          <w:w w:val="100"/>
        </w:rPr>
        <w:t> </w:t>
      </w:r>
    </w:p>
    <w:p>
      <w:pPr>
        <w:spacing w:after="0"/>
        <w:jc w:val="center"/>
        <w:sectPr>
          <w:pgSz w:w="11910" w:h="16850"/>
          <w:pgMar w:header="0" w:footer="1239" w:top="1220" w:bottom="1420" w:left="1260" w:right="0"/>
        </w:sectPr>
      </w:pPr>
    </w:p>
    <w:p>
      <w:pPr>
        <w:pStyle w:val="BodyText"/>
        <w:ind w:left="973"/>
        <w:rPr>
          <w:sz w:val="20"/>
        </w:rPr>
      </w:pPr>
      <w:r>
        <w:rPr>
          <w:sz w:val="20"/>
        </w:rPr>
        <w:drawing>
          <wp:inline distT="0" distB="0" distL="0" distR="0">
            <wp:extent cx="4905375" cy="2562225"/>
            <wp:effectExtent l="0" t="0" r="0" b="0"/>
            <wp:docPr id="501" name="image291.jpeg"/>
            <wp:cNvGraphicFramePr>
              <a:graphicFrameLocks noChangeAspect="1"/>
            </wp:cNvGraphicFramePr>
            <a:graphic>
              <a:graphicData uri="http://schemas.openxmlformats.org/drawingml/2006/picture">
                <pic:pic>
                  <pic:nvPicPr>
                    <pic:cNvPr id="502" name="image291.jpeg"/>
                    <pic:cNvPicPr/>
                  </pic:nvPicPr>
                  <pic:blipFill>
                    <a:blip r:embed="rId355" cstate="print"/>
                    <a:stretch>
                      <a:fillRect/>
                    </a:stretch>
                  </pic:blipFill>
                  <pic:spPr>
                    <a:xfrm>
                      <a:off x="0" y="0"/>
                      <a:ext cx="4905375" cy="2562225"/>
                    </a:xfrm>
                    <a:prstGeom prst="rect">
                      <a:avLst/>
                    </a:prstGeom>
                  </pic:spPr>
                </pic:pic>
              </a:graphicData>
            </a:graphic>
          </wp:inline>
        </w:drawing>
      </w:r>
      <w:r>
        <w:rPr>
          <w:sz w:val="20"/>
        </w:rPr>
      </w:r>
    </w:p>
    <w:p>
      <w:pPr>
        <w:pStyle w:val="BodyText"/>
        <w:spacing w:before="5"/>
        <w:rPr>
          <w:sz w:val="9"/>
        </w:rPr>
      </w:pPr>
    </w:p>
    <w:p>
      <w:pPr>
        <w:pStyle w:val="ListParagraph"/>
        <w:numPr>
          <w:ilvl w:val="2"/>
          <w:numId w:val="672"/>
        </w:numPr>
        <w:tabs>
          <w:tab w:pos="1422" w:val="left" w:leader="none"/>
        </w:tabs>
        <w:spacing w:line="446" w:lineRule="auto" w:before="72" w:after="0"/>
        <w:ind w:left="418" w:right="1448" w:firstLine="419"/>
        <w:jc w:val="left"/>
        <w:rPr>
          <w:sz w:val="21"/>
        </w:rPr>
      </w:pPr>
      <w:r>
        <w:rPr>
          <w:spacing w:val="-3"/>
          <w:sz w:val="21"/>
        </w:rPr>
        <w:t>工业园区、商务区、居住区等市政消防给水设计流量，宜根据其规划区域的规模和同一时间的火灾起数，以及规划中的各类建筑室内外同时作用的水灭火系统设计流量之和经计算 分析确定。</w:t>
      </w:r>
      <w:r>
        <w:rPr>
          <w:sz w:val="21"/>
        </w:rPr>
        <w:t> </w:t>
      </w:r>
    </w:p>
    <w:p>
      <w:pPr>
        <w:pStyle w:val="ListParagraph"/>
        <w:numPr>
          <w:ilvl w:val="1"/>
          <w:numId w:val="672"/>
        </w:numPr>
        <w:tabs>
          <w:tab w:pos="1159" w:val="left" w:leader="none"/>
        </w:tabs>
        <w:spacing w:line="268" w:lineRule="exact" w:before="0" w:after="0"/>
        <w:ind w:left="1158" w:right="0" w:hanging="319"/>
        <w:jc w:val="left"/>
        <w:rPr>
          <w:b/>
          <w:sz w:val="21"/>
        </w:rPr>
      </w:pPr>
      <w:r>
        <w:rPr>
          <w:spacing w:val="-3"/>
          <w:sz w:val="21"/>
        </w:rPr>
        <w:t>建筑物室外消火栓设计流量</w:t>
      </w:r>
      <w:r>
        <w:rPr>
          <w:b/>
          <w:w w:val="99"/>
          <w:sz w:val="21"/>
        </w:rPr>
        <w:t> </w:t>
      </w:r>
    </w:p>
    <w:p>
      <w:pPr>
        <w:pStyle w:val="BodyText"/>
        <w:spacing w:before="12"/>
        <w:rPr>
          <w:b/>
          <w:sz w:val="17"/>
        </w:rPr>
      </w:pP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建筑物室外消火栓设计流量，应根据建筑物的用途功能、体积、耐火等级、火灾危险性等因素综合分析确定。</w:t>
      </w:r>
      <w:r>
        <w:rPr>
          <w:sz w:val="21"/>
        </w:rPr>
        <w:t> </w:t>
      </w:r>
    </w:p>
    <w:p>
      <w:pPr>
        <w:pStyle w:val="ListParagraph"/>
        <w:numPr>
          <w:ilvl w:val="2"/>
          <w:numId w:val="672"/>
        </w:numPr>
        <w:tabs>
          <w:tab w:pos="1424" w:val="left" w:leader="none"/>
        </w:tabs>
        <w:spacing w:line="240" w:lineRule="auto" w:before="0" w:after="0"/>
        <w:ind w:left="1423" w:right="0" w:hanging="584"/>
        <w:jc w:val="left"/>
        <w:rPr>
          <w:sz w:val="21"/>
        </w:rPr>
      </w:pPr>
      <w:r>
        <w:rPr>
          <w:spacing w:val="-6"/>
          <w:sz w:val="21"/>
        </w:rPr>
        <w:t>建筑物室外消火栓设计流量不应小于表 </w:t>
      </w:r>
      <w:r>
        <w:rPr>
          <w:sz w:val="21"/>
        </w:rPr>
        <w:t>3.3.2</w:t>
      </w:r>
      <w:r>
        <w:rPr>
          <w:spacing w:val="-13"/>
          <w:sz w:val="21"/>
        </w:rPr>
        <w:t> 的规定。</w:t>
      </w:r>
      <w:r>
        <w:rPr>
          <w:sz w:val="21"/>
        </w:rPr>
        <w:t> </w:t>
      </w:r>
    </w:p>
    <w:p>
      <w:pPr>
        <w:pStyle w:val="BodyText"/>
        <w:rPr>
          <w:sz w:val="18"/>
        </w:rPr>
      </w:pPr>
    </w:p>
    <w:p>
      <w:pPr>
        <w:pStyle w:val="Heading6"/>
        <w:ind w:left="2941"/>
        <w:rPr>
          <w:b w:val="0"/>
        </w:rPr>
      </w:pPr>
      <w:r>
        <w:rPr/>
        <w:t>表 3.3.2 建筑物室外消火栓设计流量（L/s）</w:t>
      </w:r>
      <w:r>
        <w:rPr>
          <w:b w:val="0"/>
          <w:w w:val="100"/>
        </w:rPr>
        <w:t> </w:t>
      </w:r>
    </w:p>
    <w:p>
      <w:pPr>
        <w:pStyle w:val="BodyText"/>
        <w:rPr>
          <w:sz w:val="20"/>
        </w:rPr>
      </w:pPr>
    </w:p>
    <w:p>
      <w:pPr>
        <w:pStyle w:val="BodyText"/>
        <w:spacing w:before="10"/>
        <w:rPr>
          <w:sz w:val="10"/>
        </w:rPr>
      </w:pPr>
      <w:r>
        <w:rPr/>
        <w:drawing>
          <wp:anchor distT="0" distB="0" distL="0" distR="0" allowOverlap="1" layoutInCell="1" locked="0" behindDoc="0" simplePos="0" relativeHeight="211">
            <wp:simplePos x="0" y="0"/>
            <wp:positionH relativeFrom="page">
              <wp:posOffset>1437005</wp:posOffset>
            </wp:positionH>
            <wp:positionV relativeFrom="paragraph">
              <wp:posOffset>112966</wp:posOffset>
            </wp:positionV>
            <wp:extent cx="4505325" cy="2781300"/>
            <wp:effectExtent l="0" t="0" r="0" b="0"/>
            <wp:wrapTopAndBottom/>
            <wp:docPr id="503" name="image292.jpeg"/>
            <wp:cNvGraphicFramePr>
              <a:graphicFrameLocks noChangeAspect="1"/>
            </wp:cNvGraphicFramePr>
            <a:graphic>
              <a:graphicData uri="http://schemas.openxmlformats.org/drawingml/2006/picture">
                <pic:pic>
                  <pic:nvPicPr>
                    <pic:cNvPr id="504" name="image292.jpeg"/>
                    <pic:cNvPicPr/>
                  </pic:nvPicPr>
                  <pic:blipFill>
                    <a:blip r:embed="rId356" cstate="print"/>
                    <a:stretch>
                      <a:fillRect/>
                    </a:stretch>
                  </pic:blipFill>
                  <pic:spPr>
                    <a:xfrm>
                      <a:off x="0" y="0"/>
                      <a:ext cx="4505325" cy="2781300"/>
                    </a:xfrm>
                    <a:prstGeom prst="rect">
                      <a:avLst/>
                    </a:prstGeom>
                  </pic:spPr>
                </pic:pic>
              </a:graphicData>
            </a:graphic>
          </wp:anchor>
        </w:drawing>
      </w:r>
    </w:p>
    <w:p>
      <w:pPr>
        <w:spacing w:after="0"/>
        <w:rPr>
          <w:sz w:val="10"/>
        </w:rPr>
        <w:sectPr>
          <w:pgSz w:w="11910" w:h="16850"/>
          <w:pgMar w:header="0" w:footer="1239" w:top="1240" w:bottom="1420" w:left="1260" w:right="0"/>
        </w:sectPr>
      </w:pPr>
    </w:p>
    <w:p>
      <w:pPr>
        <w:pStyle w:val="BodyText"/>
        <w:spacing w:line="446" w:lineRule="auto" w:before="167"/>
        <w:ind w:left="838" w:right="1609" w:firstLine="2"/>
      </w:pPr>
      <w:r>
        <w:rPr>
          <w:b/>
        </w:rPr>
        <w:t>注：</w:t>
      </w:r>
      <w:r>
        <w:rPr/>
        <w:t>1.</w:t>
      </w:r>
      <w:r>
        <w:rPr>
          <w:spacing w:val="-3"/>
        </w:rPr>
        <w:t>成组布置的建筑物应按消火栓设计流量较大的相邻两座建筑物的体积之和确定； </w:t>
      </w:r>
      <w:r>
        <w:rPr/>
        <w:t>2.</w:t>
      </w:r>
      <w:r>
        <w:rPr>
          <w:spacing w:val="-3"/>
        </w:rPr>
        <w:t>火车站、码头和机场的中转库房，其室外消火栓设计流量应按相应耐火等级的丙类物品</w:t>
      </w:r>
    </w:p>
    <w:p>
      <w:pPr>
        <w:pStyle w:val="BodyText"/>
        <w:ind w:left="418"/>
      </w:pPr>
      <w:r>
        <w:rPr/>
        <w:t>库房确定； </w:t>
      </w:r>
    </w:p>
    <w:p>
      <w:pPr>
        <w:pStyle w:val="BodyText"/>
        <w:spacing w:before="12"/>
        <w:rPr>
          <w:sz w:val="17"/>
        </w:rPr>
      </w:pPr>
    </w:p>
    <w:p>
      <w:pPr>
        <w:pStyle w:val="ListParagraph"/>
        <w:numPr>
          <w:ilvl w:val="0"/>
          <w:numId w:val="673"/>
        </w:numPr>
        <w:tabs>
          <w:tab w:pos="1051" w:val="left" w:leader="none"/>
        </w:tabs>
        <w:spacing w:line="446" w:lineRule="auto" w:before="0" w:after="0"/>
        <w:ind w:left="418" w:right="1609" w:firstLine="419"/>
        <w:jc w:val="left"/>
        <w:rPr>
          <w:sz w:val="21"/>
        </w:rPr>
      </w:pPr>
      <w:r>
        <w:rPr>
          <w:spacing w:val="-3"/>
          <w:sz w:val="21"/>
        </w:rPr>
        <w:t>国家级文物保护单位的重点砖木、木结构的建筑物室外消火栓设计流量，按三级耐火等级民用建筑物消火栓设计流量确定；</w:t>
      </w:r>
      <w:r>
        <w:rPr>
          <w:sz w:val="21"/>
        </w:rPr>
        <w:t> </w:t>
      </w:r>
    </w:p>
    <w:p>
      <w:pPr>
        <w:pStyle w:val="ListParagraph"/>
        <w:numPr>
          <w:ilvl w:val="0"/>
          <w:numId w:val="673"/>
        </w:numPr>
        <w:tabs>
          <w:tab w:pos="1051" w:val="left" w:leader="none"/>
        </w:tabs>
        <w:spacing w:line="446" w:lineRule="auto" w:before="0" w:after="0"/>
        <w:ind w:left="418" w:right="1580" w:firstLine="419"/>
        <w:jc w:val="left"/>
        <w:rPr>
          <w:sz w:val="21"/>
        </w:rPr>
      </w:pPr>
      <w:r>
        <w:rPr>
          <w:spacing w:val="-5"/>
          <w:sz w:val="21"/>
        </w:rPr>
        <w:t>当单座建筑的总建筑面积大于 </w:t>
      </w:r>
      <w:r>
        <w:rPr>
          <w:sz w:val="21"/>
        </w:rPr>
        <w:t>500000m</w:t>
      </w:r>
      <w:r>
        <w:rPr>
          <w:position w:val="11"/>
          <w:sz w:val="11"/>
        </w:rPr>
        <w:t>2</w:t>
      </w:r>
      <w:r>
        <w:rPr>
          <w:spacing w:val="-18"/>
          <w:position w:val="11"/>
          <w:sz w:val="11"/>
        </w:rPr>
        <w:t> </w:t>
      </w:r>
      <w:r>
        <w:rPr>
          <w:spacing w:val="-3"/>
          <w:sz w:val="21"/>
        </w:rPr>
        <w:t>时，建筑物室外消火栓设计流量应按本表规定的最大值增加一倍。</w:t>
      </w:r>
      <w:r>
        <w:rPr>
          <w:sz w:val="21"/>
        </w:rPr>
        <w:t> </w:t>
      </w:r>
    </w:p>
    <w:p>
      <w:pPr>
        <w:pStyle w:val="ListParagraph"/>
        <w:numPr>
          <w:ilvl w:val="2"/>
          <w:numId w:val="672"/>
        </w:numPr>
        <w:tabs>
          <w:tab w:pos="1371" w:val="left" w:leader="none"/>
        </w:tabs>
        <w:spacing w:line="267" w:lineRule="exact" w:before="0" w:after="0"/>
        <w:ind w:left="1370" w:right="0" w:hanging="531"/>
        <w:jc w:val="left"/>
        <w:rPr>
          <w:sz w:val="19"/>
        </w:rPr>
      </w:pPr>
      <w:r>
        <w:rPr>
          <w:spacing w:val="-5"/>
          <w:sz w:val="21"/>
        </w:rPr>
        <w:t>宿舍、公寓等非住宅类居住建筑的室外消火栓设计流量，应按本规范表 </w:t>
      </w:r>
      <w:r>
        <w:rPr>
          <w:sz w:val="21"/>
        </w:rPr>
        <w:t>3.3.2</w:t>
      </w:r>
      <w:r>
        <w:rPr>
          <w:spacing w:val="-20"/>
          <w:sz w:val="21"/>
        </w:rPr>
        <w:t> 中的</w:t>
      </w:r>
    </w:p>
    <w:p>
      <w:pPr>
        <w:pStyle w:val="BodyText"/>
        <w:spacing w:before="9"/>
        <w:rPr>
          <w:sz w:val="13"/>
        </w:rPr>
      </w:pPr>
      <w:r>
        <w:rPr/>
        <w:drawing>
          <wp:anchor distT="0" distB="0" distL="0" distR="0" allowOverlap="1" layoutInCell="1" locked="0" behindDoc="0" simplePos="0" relativeHeight="212">
            <wp:simplePos x="0" y="0"/>
            <wp:positionH relativeFrom="page">
              <wp:posOffset>1408585</wp:posOffset>
            </wp:positionH>
            <wp:positionV relativeFrom="paragraph">
              <wp:posOffset>136803</wp:posOffset>
            </wp:positionV>
            <wp:extent cx="4581311" cy="609600"/>
            <wp:effectExtent l="0" t="0" r="0" b="0"/>
            <wp:wrapTopAndBottom/>
            <wp:docPr id="505" name="image293.jpeg"/>
            <wp:cNvGraphicFramePr>
              <a:graphicFrameLocks noChangeAspect="1"/>
            </wp:cNvGraphicFramePr>
            <a:graphic>
              <a:graphicData uri="http://schemas.openxmlformats.org/drawingml/2006/picture">
                <pic:pic>
                  <pic:nvPicPr>
                    <pic:cNvPr id="506" name="image293.jpeg"/>
                    <pic:cNvPicPr/>
                  </pic:nvPicPr>
                  <pic:blipFill>
                    <a:blip r:embed="rId358" cstate="print"/>
                    <a:stretch>
                      <a:fillRect/>
                    </a:stretch>
                  </pic:blipFill>
                  <pic:spPr>
                    <a:xfrm>
                      <a:off x="0" y="0"/>
                      <a:ext cx="4581311" cy="609600"/>
                    </a:xfrm>
                    <a:prstGeom prst="rect">
                      <a:avLst/>
                    </a:prstGeom>
                  </pic:spPr>
                </pic:pic>
              </a:graphicData>
            </a:graphic>
          </wp:anchor>
        </w:drawing>
      </w:r>
    </w:p>
    <w:p>
      <w:pPr>
        <w:pStyle w:val="BodyText"/>
        <w:spacing w:before="163"/>
        <w:ind w:left="418"/>
        <w:rPr>
          <w:b/>
        </w:rPr>
      </w:pPr>
      <w:r>
        <w:rPr/>
        <w:t>公共建筑确定。</w:t>
      </w:r>
      <w:r>
        <w:rPr>
          <w:b/>
          <w:w w:val="99"/>
        </w:rPr>
        <w:t> </w:t>
      </w:r>
    </w:p>
    <w:p>
      <w:pPr>
        <w:pStyle w:val="BodyText"/>
        <w:spacing w:before="12"/>
        <w:rPr>
          <w:b/>
          <w:sz w:val="17"/>
        </w:rPr>
      </w:pPr>
    </w:p>
    <w:p>
      <w:pPr>
        <w:pStyle w:val="ListParagraph"/>
        <w:numPr>
          <w:ilvl w:val="1"/>
          <w:numId w:val="672"/>
        </w:numPr>
        <w:tabs>
          <w:tab w:pos="1159" w:val="left" w:leader="none"/>
        </w:tabs>
        <w:spacing w:line="240" w:lineRule="auto" w:before="0" w:after="0"/>
        <w:ind w:left="1158" w:right="0" w:hanging="319"/>
        <w:jc w:val="left"/>
        <w:rPr>
          <w:sz w:val="21"/>
        </w:rPr>
      </w:pPr>
      <w:r>
        <w:rPr>
          <w:spacing w:val="-3"/>
          <w:sz w:val="21"/>
        </w:rPr>
        <w:t>构筑物消防给水设计流量 </w:t>
      </w:r>
    </w:p>
    <w:p>
      <w:pPr>
        <w:pStyle w:val="BodyText"/>
        <w:spacing w:before="2"/>
        <w:rPr>
          <w:sz w:val="18"/>
        </w:rPr>
      </w:pPr>
    </w:p>
    <w:p>
      <w:pPr>
        <w:pStyle w:val="ListParagraph"/>
        <w:numPr>
          <w:ilvl w:val="2"/>
          <w:numId w:val="672"/>
        </w:numPr>
        <w:tabs>
          <w:tab w:pos="1424" w:val="left" w:leader="none"/>
        </w:tabs>
        <w:spacing w:line="446" w:lineRule="auto" w:before="1" w:after="0"/>
        <w:ind w:left="418" w:right="1445" w:firstLine="422"/>
        <w:jc w:val="left"/>
        <w:rPr>
          <w:sz w:val="21"/>
        </w:rPr>
      </w:pPr>
      <w:r>
        <w:rPr>
          <w:spacing w:val="-3"/>
          <w:sz w:val="21"/>
        </w:rPr>
        <w:t>以煤、天然气、石油及其产品等为原料的工艺生产装置的消防给水设计流量，应根据其规模、火灾危险性等因素综合确定，且应为室外消火栓设计流量、泡沫灭火系统和固定冷却 水系统等水灭火系统的设计流量之和，并应符合下列规定：</w:t>
      </w:r>
      <w:r>
        <w:rPr>
          <w:sz w:val="21"/>
        </w:rPr>
        <w:t> </w:t>
      </w:r>
    </w:p>
    <w:p>
      <w:pPr>
        <w:pStyle w:val="ListParagraph"/>
        <w:numPr>
          <w:ilvl w:val="0"/>
          <w:numId w:val="674"/>
        </w:numPr>
        <w:tabs>
          <w:tab w:pos="1367" w:val="left" w:leader="none"/>
        </w:tabs>
        <w:spacing w:line="446" w:lineRule="auto" w:before="0" w:after="0"/>
        <w:ind w:left="418" w:right="1505" w:firstLine="419"/>
        <w:jc w:val="both"/>
        <w:rPr>
          <w:sz w:val="21"/>
        </w:rPr>
      </w:pPr>
      <w:r>
        <w:rPr>
          <w:spacing w:val="-3"/>
          <w:sz w:val="21"/>
        </w:rPr>
        <w:t>石油化工厂工艺生产装置的消防给水设计流量，应符合现行国家标准《石油化工企业设计防火规范》</w:t>
      </w:r>
      <w:r>
        <w:rPr>
          <w:sz w:val="21"/>
        </w:rPr>
        <w:t>GB 50160</w:t>
      </w:r>
      <w:r>
        <w:rPr>
          <w:spacing w:val="-10"/>
          <w:sz w:val="21"/>
        </w:rPr>
        <w:t> 的有关规定；</w:t>
      </w:r>
      <w:r>
        <w:rPr>
          <w:sz w:val="21"/>
        </w:rPr>
        <w:t> </w:t>
      </w:r>
    </w:p>
    <w:p>
      <w:pPr>
        <w:pStyle w:val="ListParagraph"/>
        <w:numPr>
          <w:ilvl w:val="0"/>
          <w:numId w:val="674"/>
        </w:numPr>
        <w:tabs>
          <w:tab w:pos="1367" w:val="left" w:leader="none"/>
        </w:tabs>
        <w:spacing w:line="448" w:lineRule="auto" w:before="0" w:after="0"/>
        <w:ind w:left="418" w:right="1505" w:firstLine="419"/>
        <w:jc w:val="both"/>
        <w:rPr>
          <w:sz w:val="21"/>
        </w:rPr>
      </w:pPr>
      <w:r>
        <w:rPr>
          <w:spacing w:val="-3"/>
          <w:sz w:val="21"/>
        </w:rPr>
        <w:t>石油天然气工程工艺生产装置的消防给水设计流量，应符合现行国家标准《石油天然气工程设计防火规范》</w:t>
      </w:r>
      <w:r>
        <w:rPr>
          <w:sz w:val="21"/>
        </w:rPr>
        <w:t>GB</w:t>
      </w:r>
      <w:r>
        <w:rPr>
          <w:spacing w:val="-2"/>
          <w:sz w:val="21"/>
        </w:rPr>
        <w:t> </w:t>
      </w:r>
      <w:r>
        <w:rPr>
          <w:sz w:val="21"/>
        </w:rPr>
        <w:t>50183</w:t>
      </w:r>
      <w:r>
        <w:rPr>
          <w:spacing w:val="-10"/>
          <w:sz w:val="21"/>
        </w:rPr>
        <w:t> 的有关规定。</w:t>
      </w:r>
      <w:r>
        <w:rPr>
          <w:sz w:val="21"/>
        </w:rPr>
        <w:t> </w:t>
      </w:r>
    </w:p>
    <w:p>
      <w:pPr>
        <w:pStyle w:val="ListParagraph"/>
        <w:numPr>
          <w:ilvl w:val="2"/>
          <w:numId w:val="672"/>
        </w:numPr>
        <w:tabs>
          <w:tab w:pos="1370" w:val="left" w:leader="none"/>
        </w:tabs>
        <w:spacing w:line="446" w:lineRule="auto" w:before="0" w:after="0"/>
        <w:ind w:left="418" w:right="1604" w:firstLine="422"/>
        <w:jc w:val="both"/>
        <w:rPr>
          <w:sz w:val="19"/>
        </w:rPr>
      </w:pPr>
      <w:r>
        <w:rPr>
          <w:spacing w:val="-3"/>
          <w:sz w:val="21"/>
        </w:rPr>
        <w:t>甲、乙、丙类可燃液体储罐的消防给水设计流量应按最大罐组确定，并应按泡沫灭火系统设计流量、固定冷却水系统设计流量与室外消火栓设计流量之和确定，同时应符合下列规定：</w:t>
      </w:r>
      <w:r>
        <w:rPr>
          <w:sz w:val="21"/>
        </w:rPr>
        <w:t> </w:t>
      </w:r>
    </w:p>
    <w:p>
      <w:pPr>
        <w:pStyle w:val="ListParagraph"/>
        <w:numPr>
          <w:ilvl w:val="0"/>
          <w:numId w:val="675"/>
        </w:numPr>
        <w:tabs>
          <w:tab w:pos="1367" w:val="left" w:leader="none"/>
        </w:tabs>
        <w:spacing w:line="446" w:lineRule="auto" w:before="0" w:after="0"/>
        <w:ind w:left="418" w:right="1503" w:firstLine="419"/>
        <w:jc w:val="both"/>
        <w:rPr>
          <w:sz w:val="21"/>
        </w:rPr>
      </w:pPr>
      <w:r>
        <w:rPr>
          <w:spacing w:val="-3"/>
          <w:sz w:val="21"/>
        </w:rPr>
        <w:t>泡沫灭火系统设计流量应按系统扑救储罐区一起火灾的固定式、半固定式或移动式泡沫混合液量及泡沫液混合比经计算确定，并应符合现行国家标准《泡沫灭火系统设计规范》</w:t>
      </w:r>
      <w:r>
        <w:rPr>
          <w:sz w:val="21"/>
        </w:rPr>
        <w:t>GB 50151</w:t>
      </w:r>
      <w:r>
        <w:rPr>
          <w:spacing w:val="-10"/>
          <w:sz w:val="21"/>
        </w:rPr>
        <w:t> 的有关规定；</w:t>
      </w:r>
      <w:r>
        <w:rPr>
          <w:sz w:val="21"/>
        </w:rPr>
        <w:t> </w:t>
      </w:r>
    </w:p>
    <w:p>
      <w:pPr>
        <w:pStyle w:val="ListParagraph"/>
        <w:numPr>
          <w:ilvl w:val="0"/>
          <w:numId w:val="675"/>
        </w:numPr>
        <w:tabs>
          <w:tab w:pos="1367" w:val="left" w:leader="none"/>
        </w:tabs>
        <w:spacing w:line="446" w:lineRule="auto" w:before="0" w:after="0"/>
        <w:ind w:left="418" w:right="1505" w:firstLine="419"/>
        <w:jc w:val="both"/>
        <w:rPr>
          <w:sz w:val="21"/>
        </w:rPr>
      </w:pPr>
      <w:r>
        <w:rPr>
          <w:spacing w:val="-3"/>
          <w:sz w:val="21"/>
        </w:rPr>
        <w:t>固定冷却水系统设计流量应按着火罐与邻近罐最大设计流量经计算确定，固定式冷却</w:t>
      </w:r>
      <w:r>
        <w:rPr>
          <w:spacing w:val="-8"/>
          <w:sz w:val="21"/>
        </w:rPr>
        <w:t>水系统设计流量应按表 </w:t>
      </w:r>
      <w:r>
        <w:rPr>
          <w:sz w:val="21"/>
        </w:rPr>
        <w:t>3.4.2-1</w:t>
      </w:r>
      <w:r>
        <w:rPr>
          <w:spacing w:val="-27"/>
          <w:sz w:val="21"/>
        </w:rPr>
        <w:t> 或表 </w:t>
      </w:r>
      <w:r>
        <w:rPr>
          <w:sz w:val="21"/>
        </w:rPr>
        <w:t>3.4.2-2</w:t>
      </w:r>
      <w:r>
        <w:rPr>
          <w:spacing w:val="-9"/>
          <w:sz w:val="21"/>
        </w:rPr>
        <w:t> 规定的设计参数经计算确定。</w:t>
      </w:r>
      <w:r>
        <w:rPr>
          <w:sz w:val="21"/>
        </w:rPr>
        <w:t> </w:t>
      </w:r>
    </w:p>
    <w:p>
      <w:pPr>
        <w:spacing w:after="0" w:line="446" w:lineRule="auto"/>
        <w:jc w:val="both"/>
        <w:rPr>
          <w:sz w:val="21"/>
        </w:rPr>
        <w:sectPr>
          <w:footerReference w:type="default" r:id="rId357"/>
          <w:pgSz w:w="11910" w:h="16850"/>
          <w:pgMar w:footer="1189" w:header="0" w:top="1600" w:bottom="1380" w:left="1260" w:right="0"/>
          <w:pgNumType w:start="1310"/>
        </w:sectPr>
      </w:pPr>
    </w:p>
    <w:p>
      <w:pPr>
        <w:pStyle w:val="Heading6"/>
        <w:spacing w:before="47"/>
        <w:ind w:left="2256"/>
      </w:pPr>
      <w:r>
        <w:rPr/>
        <w:t>表 3.4.2-1 地上立式储罐冷却水系统的保护范围和喷水强度</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6"/>
        </w:rPr>
      </w:pPr>
      <w:r>
        <w:rPr/>
        <w:drawing>
          <wp:anchor distT="0" distB="0" distL="0" distR="0" allowOverlap="1" layoutInCell="1" locked="0" behindDoc="0" simplePos="0" relativeHeight="213">
            <wp:simplePos x="0" y="0"/>
            <wp:positionH relativeFrom="page">
              <wp:posOffset>1456055</wp:posOffset>
            </wp:positionH>
            <wp:positionV relativeFrom="paragraph">
              <wp:posOffset>241387</wp:posOffset>
            </wp:positionV>
            <wp:extent cx="4955908" cy="1741265"/>
            <wp:effectExtent l="0" t="0" r="0" b="0"/>
            <wp:wrapTopAndBottom/>
            <wp:docPr id="507" name="image294.jpeg"/>
            <wp:cNvGraphicFramePr>
              <a:graphicFrameLocks noChangeAspect="1"/>
            </wp:cNvGraphicFramePr>
            <a:graphic>
              <a:graphicData uri="http://schemas.openxmlformats.org/drawingml/2006/picture">
                <pic:pic>
                  <pic:nvPicPr>
                    <pic:cNvPr id="508" name="image294.jpeg"/>
                    <pic:cNvPicPr/>
                  </pic:nvPicPr>
                  <pic:blipFill>
                    <a:blip r:embed="rId359" cstate="print"/>
                    <a:stretch>
                      <a:fillRect/>
                    </a:stretch>
                  </pic:blipFill>
                  <pic:spPr>
                    <a:xfrm>
                      <a:off x="0" y="0"/>
                      <a:ext cx="4955908" cy="1741265"/>
                    </a:xfrm>
                    <a:prstGeom prst="rect">
                      <a:avLst/>
                    </a:prstGeom>
                  </pic:spPr>
                </pic:pic>
              </a:graphicData>
            </a:graphic>
          </wp:anchor>
        </w:drawing>
      </w:r>
    </w:p>
    <w:p>
      <w:pPr>
        <w:pStyle w:val="BodyText"/>
        <w:rPr>
          <w:b/>
          <w:sz w:val="20"/>
        </w:rPr>
      </w:pPr>
    </w:p>
    <w:p>
      <w:pPr>
        <w:pStyle w:val="BodyText"/>
        <w:spacing w:before="3"/>
        <w:rPr>
          <w:b/>
          <w:sz w:val="25"/>
        </w:rPr>
      </w:pPr>
    </w:p>
    <w:p>
      <w:pPr>
        <w:pStyle w:val="BodyText"/>
        <w:spacing w:line="446" w:lineRule="auto" w:before="72"/>
        <w:ind w:left="418" w:right="1606" w:firstLine="422"/>
      </w:pPr>
      <w:r>
        <w:rPr>
          <w:b/>
        </w:rPr>
        <w:t>注</w:t>
      </w:r>
      <w:r>
        <w:rPr/>
        <w:t>：1.当浮顶、内浮顶罐的浮盘采用易熔材料制作时，内浮顶罐的喷水强度应按固定顶罐计算； </w:t>
      </w:r>
    </w:p>
    <w:p>
      <w:pPr>
        <w:pStyle w:val="ListParagraph"/>
        <w:numPr>
          <w:ilvl w:val="0"/>
          <w:numId w:val="676"/>
        </w:numPr>
        <w:tabs>
          <w:tab w:pos="1051" w:val="left" w:leader="none"/>
        </w:tabs>
        <w:spacing w:line="267" w:lineRule="exact" w:before="0" w:after="0"/>
        <w:ind w:left="1050" w:right="0" w:hanging="213"/>
        <w:jc w:val="left"/>
        <w:rPr>
          <w:sz w:val="21"/>
        </w:rPr>
      </w:pPr>
      <w:r>
        <w:rPr>
          <w:spacing w:val="-3"/>
          <w:sz w:val="21"/>
        </w:rPr>
        <w:t>当浮顶、内浮顶罐的浮盘为浅盘式时，内浮顶罐的喷水强度应按固定顶罐计算； </w:t>
      </w:r>
    </w:p>
    <w:p>
      <w:pPr>
        <w:pStyle w:val="BodyText"/>
        <w:spacing w:before="2"/>
        <w:rPr>
          <w:sz w:val="18"/>
        </w:rPr>
      </w:pPr>
    </w:p>
    <w:p>
      <w:pPr>
        <w:pStyle w:val="ListParagraph"/>
        <w:numPr>
          <w:ilvl w:val="0"/>
          <w:numId w:val="676"/>
        </w:numPr>
        <w:tabs>
          <w:tab w:pos="1051" w:val="left" w:leader="none"/>
        </w:tabs>
        <w:spacing w:line="240" w:lineRule="auto" w:before="0" w:after="0"/>
        <w:ind w:left="1050" w:right="0" w:hanging="213"/>
        <w:jc w:val="left"/>
        <w:rPr>
          <w:sz w:val="21"/>
        </w:rPr>
      </w:pPr>
      <w:r>
        <w:rPr>
          <w:spacing w:val="-5"/>
          <w:sz w:val="21"/>
        </w:rPr>
        <w:t>固定冷却水系统邻近罐应按实际冷却面积计算，但不应小于罐壁表面积的 </w:t>
      </w:r>
      <w:r>
        <w:rPr>
          <w:sz w:val="21"/>
        </w:rPr>
        <w:t>1/2； </w:t>
      </w:r>
    </w:p>
    <w:p>
      <w:pPr>
        <w:pStyle w:val="BodyText"/>
        <w:spacing w:before="12"/>
        <w:rPr>
          <w:sz w:val="17"/>
        </w:rPr>
      </w:pPr>
    </w:p>
    <w:p>
      <w:pPr>
        <w:pStyle w:val="ListParagraph"/>
        <w:numPr>
          <w:ilvl w:val="0"/>
          <w:numId w:val="676"/>
        </w:numPr>
        <w:tabs>
          <w:tab w:pos="1051" w:val="left" w:leader="none"/>
        </w:tabs>
        <w:spacing w:line="240" w:lineRule="auto" w:before="0" w:after="0"/>
        <w:ind w:left="1050" w:right="0" w:hanging="213"/>
        <w:jc w:val="left"/>
        <w:rPr>
          <w:sz w:val="21"/>
        </w:rPr>
      </w:pPr>
      <w:r>
        <w:rPr>
          <w:spacing w:val="-9"/>
          <w:sz w:val="21"/>
        </w:rPr>
        <w:t>距着火固定罐罐壁 </w:t>
      </w:r>
      <w:r>
        <w:rPr>
          <w:sz w:val="21"/>
        </w:rPr>
        <w:t>1.5</w:t>
      </w:r>
      <w:r>
        <w:rPr>
          <w:spacing w:val="-11"/>
          <w:sz w:val="21"/>
        </w:rPr>
        <w:t> 倍着火罐直径范围内的邻近罐应设置冷却水系统，当邻近罐超过 </w:t>
      </w:r>
      <w:r>
        <w:rPr>
          <w:sz w:val="21"/>
        </w:rPr>
        <w:t>3</w:t>
      </w:r>
    </w:p>
    <w:p>
      <w:pPr>
        <w:pStyle w:val="BodyText"/>
        <w:rPr>
          <w:sz w:val="18"/>
        </w:rPr>
      </w:pPr>
    </w:p>
    <w:p>
      <w:pPr>
        <w:pStyle w:val="BodyText"/>
        <w:ind w:left="418"/>
        <w:jc w:val="both"/>
      </w:pPr>
      <w:r>
        <w:rPr/>
        <w:t>个时，冷却水系统可按 3 个罐的设计流量计算； </w:t>
      </w:r>
    </w:p>
    <w:p>
      <w:pPr>
        <w:pStyle w:val="BodyText"/>
        <w:spacing w:before="1"/>
        <w:rPr>
          <w:sz w:val="18"/>
        </w:rPr>
      </w:pPr>
    </w:p>
    <w:p>
      <w:pPr>
        <w:pStyle w:val="ListParagraph"/>
        <w:numPr>
          <w:ilvl w:val="0"/>
          <w:numId w:val="676"/>
        </w:numPr>
        <w:tabs>
          <w:tab w:pos="1051" w:val="left" w:leader="none"/>
        </w:tabs>
        <w:spacing w:line="446" w:lineRule="auto" w:before="1" w:after="0"/>
        <w:ind w:left="418" w:right="1505" w:firstLine="419"/>
        <w:jc w:val="both"/>
        <w:rPr>
          <w:sz w:val="21"/>
        </w:rPr>
      </w:pPr>
      <w:r>
        <w:rPr>
          <w:spacing w:val="-3"/>
          <w:sz w:val="21"/>
        </w:rPr>
        <w:t>除浮盘采用易熔材料制作的储罐外，当着火罐为浮顶、内浮顶罐时，距着火罐壁的净距</w:t>
      </w:r>
      <w:r>
        <w:rPr>
          <w:spacing w:val="-9"/>
          <w:sz w:val="21"/>
        </w:rPr>
        <w:t>离大于或等于 </w:t>
      </w:r>
      <w:r>
        <w:rPr>
          <w:sz w:val="21"/>
        </w:rPr>
        <w:t>0.4D</w:t>
      </w:r>
      <w:r>
        <w:rPr>
          <w:spacing w:val="-8"/>
          <w:sz w:val="21"/>
        </w:rPr>
        <w:t> 的邻近罐可不设冷却水系统</w:t>
      </w:r>
      <w:r>
        <w:rPr>
          <w:sz w:val="21"/>
        </w:rPr>
        <w:t>，D</w:t>
      </w:r>
      <w:r>
        <w:rPr>
          <w:spacing w:val="-8"/>
          <w:sz w:val="21"/>
        </w:rPr>
        <w:t> 为着火油罐与相邻油罐两者中较大油罐的直径；距着火罐壁的净距离小于 </w:t>
      </w:r>
      <w:r>
        <w:rPr>
          <w:sz w:val="21"/>
        </w:rPr>
        <w:t>0.4D</w:t>
      </w:r>
      <w:r>
        <w:rPr>
          <w:spacing w:val="-8"/>
          <w:sz w:val="21"/>
        </w:rPr>
        <w:t> 范围内的相邻油罐受火焰辐射热影响比较大的局部应设置冷</w:t>
      </w:r>
      <w:r>
        <w:rPr>
          <w:spacing w:val="-7"/>
          <w:sz w:val="21"/>
        </w:rPr>
        <w:t>却水系统，且所有相邻油罐的冷却水系统设计流量之和不应小于 </w:t>
      </w:r>
      <w:r>
        <w:rPr>
          <w:sz w:val="21"/>
        </w:rPr>
        <w:t>45L/s； </w:t>
      </w:r>
    </w:p>
    <w:p>
      <w:pPr>
        <w:pStyle w:val="ListParagraph"/>
        <w:numPr>
          <w:ilvl w:val="0"/>
          <w:numId w:val="676"/>
        </w:numPr>
        <w:tabs>
          <w:tab w:pos="1051" w:val="left" w:leader="none"/>
        </w:tabs>
        <w:spacing w:line="267" w:lineRule="exact" w:before="0" w:after="0"/>
        <w:ind w:left="1050" w:right="0" w:hanging="213"/>
        <w:jc w:val="left"/>
        <w:rPr>
          <w:sz w:val="21"/>
        </w:rPr>
      </w:pPr>
      <w:r>
        <w:rPr>
          <w:spacing w:val="-3"/>
          <w:sz w:val="21"/>
        </w:rPr>
        <w:t>移动式冷却宜为室外消火栓或消防炮。</w:t>
      </w:r>
      <w:r>
        <w:rPr>
          <w:sz w:val="21"/>
        </w:rPr>
        <w:t> </w:t>
      </w:r>
    </w:p>
    <w:p>
      <w:pPr>
        <w:pStyle w:val="BodyText"/>
        <w:spacing w:before="12"/>
        <w:rPr>
          <w:sz w:val="17"/>
        </w:rPr>
      </w:pPr>
    </w:p>
    <w:p>
      <w:pPr>
        <w:pStyle w:val="Heading6"/>
        <w:ind w:left="840"/>
      </w:pPr>
      <w:r>
        <w:rPr/>
        <w:t>表 3.4.2-2 卧式储罐、无覆土地下及半地下立式储罐冷却水系统的保护范围和喷水强度</w:t>
      </w:r>
      <w:r>
        <w:rPr>
          <w:w w:val="99"/>
        </w:rPr>
        <w:t> </w:t>
      </w:r>
    </w:p>
    <w:p>
      <w:pPr>
        <w:pStyle w:val="BodyText"/>
        <w:rPr>
          <w:b/>
          <w:sz w:val="16"/>
        </w:rPr>
      </w:pPr>
      <w:r>
        <w:rPr/>
        <w:drawing>
          <wp:anchor distT="0" distB="0" distL="0" distR="0" allowOverlap="1" layoutInCell="1" locked="0" behindDoc="0" simplePos="0" relativeHeight="214">
            <wp:simplePos x="0" y="0"/>
            <wp:positionH relativeFrom="page">
              <wp:posOffset>1198244</wp:posOffset>
            </wp:positionH>
            <wp:positionV relativeFrom="paragraph">
              <wp:posOffset>155074</wp:posOffset>
            </wp:positionV>
            <wp:extent cx="5189158" cy="1256823"/>
            <wp:effectExtent l="0" t="0" r="0" b="0"/>
            <wp:wrapTopAndBottom/>
            <wp:docPr id="509" name="image295.jpeg"/>
            <wp:cNvGraphicFramePr>
              <a:graphicFrameLocks noChangeAspect="1"/>
            </wp:cNvGraphicFramePr>
            <a:graphic>
              <a:graphicData uri="http://schemas.openxmlformats.org/drawingml/2006/picture">
                <pic:pic>
                  <pic:nvPicPr>
                    <pic:cNvPr id="510" name="image295.jpeg"/>
                    <pic:cNvPicPr/>
                  </pic:nvPicPr>
                  <pic:blipFill>
                    <a:blip r:embed="rId360" cstate="print"/>
                    <a:stretch>
                      <a:fillRect/>
                    </a:stretch>
                  </pic:blipFill>
                  <pic:spPr>
                    <a:xfrm>
                      <a:off x="0" y="0"/>
                      <a:ext cx="5189158" cy="1256823"/>
                    </a:xfrm>
                    <a:prstGeom prst="rect">
                      <a:avLst/>
                    </a:prstGeom>
                  </pic:spPr>
                </pic:pic>
              </a:graphicData>
            </a:graphic>
          </wp:anchor>
        </w:drawing>
      </w:r>
    </w:p>
    <w:p>
      <w:pPr>
        <w:pStyle w:val="BodyText"/>
        <w:spacing w:before="164"/>
        <w:ind w:left="840"/>
      </w:pPr>
      <w:r>
        <w:rPr>
          <w:b/>
        </w:rPr>
        <w:t>注</w:t>
      </w:r>
      <w:r>
        <w:rPr/>
        <w:t>：1.当计算出的着火罐冷却水系统设计流量小于 15L/s 时，应采用 15L/s； </w:t>
      </w:r>
    </w:p>
    <w:p>
      <w:pPr>
        <w:spacing w:after="0"/>
        <w:sectPr>
          <w:pgSz w:w="11910" w:h="16850"/>
          <w:pgMar w:header="0" w:footer="1189" w:top="1220" w:bottom="1420" w:left="1260" w:right="0"/>
        </w:sectPr>
      </w:pPr>
    </w:p>
    <w:p>
      <w:pPr>
        <w:pStyle w:val="ListParagraph"/>
        <w:numPr>
          <w:ilvl w:val="0"/>
          <w:numId w:val="677"/>
        </w:numPr>
        <w:tabs>
          <w:tab w:pos="1051" w:val="left" w:leader="none"/>
        </w:tabs>
        <w:spacing w:line="446" w:lineRule="auto" w:before="47" w:after="0"/>
        <w:ind w:left="418" w:right="1608" w:firstLine="419"/>
        <w:jc w:val="left"/>
        <w:rPr>
          <w:sz w:val="21"/>
        </w:rPr>
      </w:pPr>
      <w:r>
        <w:rPr>
          <w:spacing w:val="-4"/>
          <w:sz w:val="21"/>
        </w:rPr>
        <w:t>着火罐直径与长度之和的一半范围内的邻近卧式罐应进行冷却；着火罐直径 </w:t>
      </w:r>
      <w:r>
        <w:rPr>
          <w:sz w:val="21"/>
        </w:rPr>
        <w:t>1.5</w:t>
      </w:r>
      <w:r>
        <w:rPr>
          <w:spacing w:val="-10"/>
          <w:sz w:val="21"/>
        </w:rPr>
        <w:t> 倍范围</w:t>
      </w:r>
      <w:r>
        <w:rPr>
          <w:spacing w:val="-5"/>
          <w:sz w:val="21"/>
        </w:rPr>
        <w:t>内的邻近地下、半地下立式罐应冷却；</w:t>
      </w:r>
      <w:r>
        <w:rPr>
          <w:sz w:val="21"/>
        </w:rPr>
        <w:t> </w:t>
      </w:r>
    </w:p>
    <w:p>
      <w:pPr>
        <w:pStyle w:val="ListParagraph"/>
        <w:numPr>
          <w:ilvl w:val="0"/>
          <w:numId w:val="677"/>
        </w:numPr>
        <w:tabs>
          <w:tab w:pos="1051" w:val="left" w:leader="none"/>
        </w:tabs>
        <w:spacing w:line="267" w:lineRule="exact" w:before="0" w:after="0"/>
        <w:ind w:left="1050" w:right="0" w:hanging="213"/>
        <w:jc w:val="left"/>
        <w:rPr>
          <w:sz w:val="21"/>
        </w:rPr>
      </w:pPr>
      <w:r>
        <w:rPr>
          <w:spacing w:val="-10"/>
          <w:sz w:val="21"/>
        </w:rPr>
        <w:t>当邻近储罐超过 </w:t>
      </w:r>
      <w:r>
        <w:rPr>
          <w:sz w:val="21"/>
        </w:rPr>
        <w:t>4</w:t>
      </w:r>
      <w:r>
        <w:rPr>
          <w:spacing w:val="-13"/>
          <w:sz w:val="21"/>
        </w:rPr>
        <w:t> 个时，冷却水系统可按 </w:t>
      </w:r>
      <w:r>
        <w:rPr>
          <w:sz w:val="21"/>
        </w:rPr>
        <w:t>4</w:t>
      </w:r>
      <w:r>
        <w:rPr>
          <w:spacing w:val="-9"/>
          <w:sz w:val="21"/>
        </w:rPr>
        <w:t> 个罐的设计流量计算；</w:t>
      </w:r>
      <w:r>
        <w:rPr>
          <w:sz w:val="21"/>
        </w:rPr>
        <w:t> </w:t>
      </w:r>
    </w:p>
    <w:p>
      <w:pPr>
        <w:pStyle w:val="BodyText"/>
        <w:spacing w:before="2"/>
        <w:rPr>
          <w:sz w:val="18"/>
        </w:rPr>
      </w:pPr>
    </w:p>
    <w:p>
      <w:pPr>
        <w:pStyle w:val="ListParagraph"/>
        <w:numPr>
          <w:ilvl w:val="0"/>
          <w:numId w:val="677"/>
        </w:numPr>
        <w:tabs>
          <w:tab w:pos="1051" w:val="left" w:leader="none"/>
        </w:tabs>
        <w:spacing w:line="446" w:lineRule="auto" w:before="0" w:after="0"/>
        <w:ind w:left="418" w:right="1452" w:firstLine="419"/>
        <w:jc w:val="left"/>
        <w:rPr>
          <w:sz w:val="21"/>
        </w:rPr>
      </w:pPr>
      <w:r>
        <w:rPr>
          <w:spacing w:val="-4"/>
          <w:sz w:val="21"/>
        </w:rPr>
        <w:t>当邻近罐采用不燃材料作绝热层时，其冷却水系统喷水强度可按本表减少 </w:t>
      </w:r>
      <w:r>
        <w:rPr>
          <w:sz w:val="21"/>
        </w:rPr>
        <w:t>50%</w:t>
      </w:r>
      <w:r>
        <w:rPr>
          <w:spacing w:val="-1"/>
          <w:sz w:val="21"/>
        </w:rPr>
        <w:t>，但设计流</w:t>
      </w:r>
      <w:r>
        <w:rPr>
          <w:spacing w:val="-12"/>
          <w:sz w:val="21"/>
        </w:rPr>
        <w:t>量不应小于 </w:t>
      </w:r>
      <w:r>
        <w:rPr>
          <w:sz w:val="21"/>
        </w:rPr>
        <w:t>7.5L/s； </w:t>
      </w:r>
    </w:p>
    <w:p>
      <w:pPr>
        <w:pStyle w:val="ListParagraph"/>
        <w:numPr>
          <w:ilvl w:val="0"/>
          <w:numId w:val="677"/>
        </w:numPr>
        <w:tabs>
          <w:tab w:pos="1051" w:val="left" w:leader="none"/>
        </w:tabs>
        <w:spacing w:line="446" w:lineRule="auto" w:before="0" w:after="0"/>
        <w:ind w:left="418" w:right="1817" w:firstLine="419"/>
        <w:jc w:val="left"/>
        <w:rPr>
          <w:sz w:val="21"/>
        </w:rPr>
      </w:pPr>
      <w:r>
        <w:rPr>
          <w:spacing w:val="-3"/>
          <w:sz w:val="21"/>
        </w:rPr>
        <w:t>无覆土半地下、地下卧式罐冷却水系统的保护范围和喷水强度应按本表地上卧式罐确定。</w:t>
      </w:r>
      <w:r>
        <w:rPr>
          <w:sz w:val="21"/>
        </w:rPr>
        <w:t> </w:t>
      </w:r>
    </w:p>
    <w:p>
      <w:pPr>
        <w:pStyle w:val="ListParagraph"/>
        <w:numPr>
          <w:ilvl w:val="0"/>
          <w:numId w:val="675"/>
        </w:numPr>
        <w:tabs>
          <w:tab w:pos="1367" w:val="left" w:leader="none"/>
        </w:tabs>
        <w:spacing w:line="240" w:lineRule="auto" w:before="0" w:after="0"/>
        <w:ind w:left="1367" w:right="0" w:hanging="529"/>
        <w:jc w:val="left"/>
        <w:rPr>
          <w:sz w:val="21"/>
        </w:rPr>
      </w:pPr>
      <w:r>
        <w:rPr>
          <w:spacing w:val="-5"/>
          <w:sz w:val="21"/>
        </w:rPr>
        <w:t>当储罐采用固定式冷却水系统时室外消火栓设计流量不应小于表 </w:t>
      </w:r>
      <w:r>
        <w:rPr>
          <w:sz w:val="21"/>
        </w:rPr>
        <w:t>3.4.2-3</w:t>
      </w:r>
      <w:r>
        <w:rPr>
          <w:spacing w:val="-11"/>
          <w:sz w:val="21"/>
        </w:rPr>
        <w:t> 的规定，当</w:t>
      </w:r>
    </w:p>
    <w:p>
      <w:pPr>
        <w:pStyle w:val="BodyText"/>
        <w:spacing w:before="10"/>
        <w:rPr>
          <w:sz w:val="17"/>
        </w:rPr>
      </w:pPr>
    </w:p>
    <w:p>
      <w:pPr>
        <w:pStyle w:val="BodyText"/>
        <w:spacing w:line="446" w:lineRule="auto" w:before="1"/>
        <w:ind w:left="418" w:right="1609"/>
      </w:pPr>
      <w:r>
        <w:rPr>
          <w:spacing w:val="-5"/>
        </w:rPr>
        <w:t>采用移动式冷却水系统时室外消火栓设计流量应按表 </w:t>
      </w:r>
      <w:r>
        <w:rPr/>
        <w:t>3.4.2-1</w:t>
      </w:r>
      <w:r>
        <w:rPr>
          <w:spacing w:val="-24"/>
        </w:rPr>
        <w:t> 或表 </w:t>
      </w:r>
      <w:r>
        <w:rPr/>
        <w:t>3.4.2-2</w:t>
      </w:r>
      <w:r>
        <w:rPr>
          <w:spacing w:val="-8"/>
        </w:rPr>
        <w:t> 规定的设计参数经</w:t>
      </w:r>
      <w:r>
        <w:rPr>
          <w:spacing w:val="-10"/>
        </w:rPr>
        <w:t>计算确定，且不应小于 </w:t>
      </w:r>
      <w:r>
        <w:rPr/>
        <w:t>15L/s</w:t>
      </w:r>
      <w:r>
        <w:rPr>
          <w:spacing w:val="-3"/>
        </w:rPr>
        <w:t>。</w:t>
      </w:r>
      <w:r>
        <w:rPr/>
        <w:t> </w:t>
      </w:r>
    </w:p>
    <w:p>
      <w:pPr>
        <w:pStyle w:val="Heading6"/>
        <w:ind w:left="1622"/>
        <w:rPr>
          <w:b w:val="0"/>
        </w:rPr>
      </w:pPr>
      <w:r>
        <w:rPr/>
        <w:t>表 3.4.2-3 甲、乙、丙类可燃液体地上立式储罐区的室外消火栓设计流量</w:t>
      </w:r>
      <w:r>
        <w:rPr>
          <w:b w:val="0"/>
          <w:w w:val="100"/>
        </w:rPr>
        <w:t> </w:t>
      </w:r>
    </w:p>
    <w:p>
      <w:pPr>
        <w:pStyle w:val="BodyText"/>
        <w:spacing w:before="5"/>
        <w:rPr>
          <w:sz w:val="23"/>
        </w:rPr>
      </w:pPr>
      <w:r>
        <w:rPr/>
        <w:drawing>
          <wp:anchor distT="0" distB="0" distL="0" distR="0" allowOverlap="1" layoutInCell="1" locked="0" behindDoc="0" simplePos="0" relativeHeight="215">
            <wp:simplePos x="0" y="0"/>
            <wp:positionH relativeFrom="page">
              <wp:posOffset>1513205</wp:posOffset>
            </wp:positionH>
            <wp:positionV relativeFrom="paragraph">
              <wp:posOffset>215288</wp:posOffset>
            </wp:positionV>
            <wp:extent cx="4455571" cy="1311021"/>
            <wp:effectExtent l="0" t="0" r="0" b="0"/>
            <wp:wrapTopAndBottom/>
            <wp:docPr id="511" name="image296.jpeg"/>
            <wp:cNvGraphicFramePr>
              <a:graphicFrameLocks noChangeAspect="1"/>
            </wp:cNvGraphicFramePr>
            <a:graphic>
              <a:graphicData uri="http://schemas.openxmlformats.org/drawingml/2006/picture">
                <pic:pic>
                  <pic:nvPicPr>
                    <pic:cNvPr id="512" name="image296.jpeg"/>
                    <pic:cNvPicPr/>
                  </pic:nvPicPr>
                  <pic:blipFill>
                    <a:blip r:embed="rId361" cstate="print"/>
                    <a:stretch>
                      <a:fillRect/>
                    </a:stretch>
                  </pic:blipFill>
                  <pic:spPr>
                    <a:xfrm>
                      <a:off x="0" y="0"/>
                      <a:ext cx="4455571" cy="1311021"/>
                    </a:xfrm>
                    <a:prstGeom prst="rect">
                      <a:avLst/>
                    </a:prstGeom>
                  </pic:spPr>
                </pic:pic>
              </a:graphicData>
            </a:graphic>
          </wp:anchor>
        </w:drawing>
      </w:r>
    </w:p>
    <w:p>
      <w:pPr>
        <w:pStyle w:val="ListParagraph"/>
        <w:numPr>
          <w:ilvl w:val="2"/>
          <w:numId w:val="672"/>
        </w:numPr>
        <w:tabs>
          <w:tab w:pos="1371" w:val="left" w:leader="none"/>
        </w:tabs>
        <w:spacing w:line="446" w:lineRule="auto" w:before="168" w:after="0"/>
        <w:ind w:left="418" w:right="1604" w:firstLine="422"/>
        <w:jc w:val="left"/>
        <w:rPr>
          <w:sz w:val="19"/>
        </w:rPr>
      </w:pPr>
      <w:r>
        <w:rPr>
          <w:spacing w:val="-3"/>
          <w:sz w:val="21"/>
        </w:rPr>
        <w:t>甲、乙、丙类可燃液体地上立式储罐冷却水系统保护范围和喷水强度不应小于本规</w:t>
      </w:r>
      <w:r>
        <w:rPr>
          <w:spacing w:val="-15"/>
          <w:sz w:val="21"/>
        </w:rPr>
        <w:t>范表 </w:t>
      </w:r>
      <w:r>
        <w:rPr>
          <w:sz w:val="21"/>
        </w:rPr>
        <w:t>3.4.2-1</w:t>
      </w:r>
      <w:r>
        <w:rPr>
          <w:spacing w:val="-7"/>
          <w:sz w:val="21"/>
        </w:rPr>
        <w:t> 的规定；卧式储罐、无覆土地下及半地下立式储罐冷却水系统保护范围和喷水强</w:t>
      </w:r>
    </w:p>
    <w:p>
      <w:pPr>
        <w:pStyle w:val="BodyText"/>
        <w:spacing w:line="446" w:lineRule="auto"/>
        <w:ind w:left="418" w:right="1613"/>
      </w:pPr>
      <w:r>
        <w:rPr>
          <w:spacing w:val="-8"/>
        </w:rPr>
        <w:t>度不应小于本规范表 </w:t>
      </w:r>
      <w:r>
        <w:rPr/>
        <w:t>3.4.2-2</w:t>
      </w:r>
      <w:r>
        <w:rPr>
          <w:spacing w:val="-11"/>
        </w:rPr>
        <w:t> 的规定；室外消火栓设计流量应按本规范第 </w:t>
      </w:r>
      <w:r>
        <w:rPr/>
        <w:t>3.4.2</w:t>
      </w:r>
      <w:r>
        <w:rPr>
          <w:spacing w:val="-25"/>
        </w:rPr>
        <w:t> 条第 </w:t>
      </w:r>
      <w:r>
        <w:rPr/>
        <w:t>3</w:t>
      </w:r>
      <w:r>
        <w:rPr>
          <w:spacing w:val="-14"/>
        </w:rPr>
        <w:t> 款的规</w:t>
      </w:r>
      <w:r>
        <w:rPr>
          <w:spacing w:val="-9"/>
        </w:rPr>
        <w:t>定确定。</w:t>
      </w:r>
      <w:r>
        <w:rPr/>
        <w:t> </w:t>
      </w: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覆土油罐的室外消火栓设计流量应按最大单罐周长和喷水强度计算确定，喷水强度不</w:t>
      </w:r>
      <w:r>
        <w:rPr>
          <w:spacing w:val="-15"/>
          <w:sz w:val="21"/>
        </w:rPr>
        <w:t>应小于 </w:t>
      </w:r>
      <w:r>
        <w:rPr>
          <w:sz w:val="21"/>
        </w:rPr>
        <w:t>0.30L/（s·m）</w:t>
      </w:r>
      <w:r>
        <w:rPr>
          <w:spacing w:val="-8"/>
          <w:sz w:val="21"/>
        </w:rPr>
        <w:t>；当计算设计流量小于 </w:t>
      </w:r>
      <w:r>
        <w:rPr>
          <w:sz w:val="21"/>
        </w:rPr>
        <w:t>15L/s</w:t>
      </w:r>
      <w:r>
        <w:rPr>
          <w:spacing w:val="-17"/>
          <w:sz w:val="21"/>
        </w:rPr>
        <w:t> 时，应采用 </w:t>
      </w:r>
      <w:r>
        <w:rPr>
          <w:sz w:val="21"/>
        </w:rPr>
        <w:t>15L/s</w:t>
      </w:r>
      <w:r>
        <w:rPr>
          <w:spacing w:val="-3"/>
          <w:sz w:val="21"/>
        </w:rPr>
        <w:t>。</w:t>
      </w:r>
      <w:r>
        <w:rPr>
          <w:sz w:val="21"/>
        </w:rPr>
        <w:t> </w:t>
      </w: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液化烃罐区的消防给水设计流量应按最大罐组确定，并应按固定冷却水系统设计流量与室外消火栓设计流量之和确定，同时应符合下列规定： </w:t>
      </w:r>
    </w:p>
    <w:p>
      <w:pPr>
        <w:pStyle w:val="ListParagraph"/>
        <w:numPr>
          <w:ilvl w:val="0"/>
          <w:numId w:val="678"/>
        </w:numPr>
        <w:tabs>
          <w:tab w:pos="1367" w:val="left" w:leader="none"/>
        </w:tabs>
        <w:spacing w:line="240" w:lineRule="auto" w:before="0" w:after="0"/>
        <w:ind w:left="1367" w:right="0" w:hanging="529"/>
        <w:jc w:val="left"/>
        <w:rPr>
          <w:sz w:val="21"/>
        </w:rPr>
      </w:pPr>
      <w:r>
        <w:rPr>
          <w:spacing w:val="-7"/>
          <w:sz w:val="21"/>
        </w:rPr>
        <w:t>固定冷却水系统设计流量应按表 </w:t>
      </w:r>
      <w:r>
        <w:rPr>
          <w:sz w:val="21"/>
        </w:rPr>
        <w:t>3.4.5-1</w:t>
      </w:r>
      <w:r>
        <w:rPr>
          <w:spacing w:val="-9"/>
          <w:sz w:val="21"/>
        </w:rPr>
        <w:t> 规定的设计参数经计算确定；室外消火栓设</w:t>
      </w:r>
    </w:p>
    <w:p>
      <w:pPr>
        <w:pStyle w:val="BodyText"/>
        <w:spacing w:before="10"/>
        <w:rPr>
          <w:sz w:val="17"/>
        </w:rPr>
      </w:pPr>
    </w:p>
    <w:p>
      <w:pPr>
        <w:pStyle w:val="BodyText"/>
        <w:spacing w:before="1"/>
        <w:ind w:left="418"/>
      </w:pPr>
      <w:r>
        <w:rPr/>
        <w:t>计流量不应小于表 3.4.5-2 的规定值； </w:t>
      </w:r>
    </w:p>
    <w:p>
      <w:pPr>
        <w:spacing w:after="0"/>
        <w:sectPr>
          <w:pgSz w:w="11910" w:h="16850"/>
          <w:pgMar w:header="0" w:footer="1189" w:top="1220" w:bottom="1420" w:left="1260" w:right="0"/>
        </w:sectPr>
      </w:pPr>
    </w:p>
    <w:p>
      <w:pPr>
        <w:pStyle w:val="ListParagraph"/>
        <w:numPr>
          <w:ilvl w:val="0"/>
          <w:numId w:val="678"/>
        </w:numPr>
        <w:tabs>
          <w:tab w:pos="1367" w:val="left" w:leader="none"/>
        </w:tabs>
        <w:spacing w:line="446" w:lineRule="auto" w:before="57" w:after="0"/>
        <w:ind w:left="418" w:right="1580" w:firstLine="419"/>
        <w:jc w:val="left"/>
        <w:rPr>
          <w:sz w:val="21"/>
        </w:rPr>
      </w:pPr>
      <w:r>
        <w:rPr>
          <w:spacing w:val="-5"/>
          <w:sz w:val="21"/>
        </w:rPr>
        <w:t>当企业设有独立消防站，且单罐容积小于或等于 </w:t>
      </w:r>
      <w:r>
        <w:rPr>
          <w:sz w:val="21"/>
        </w:rPr>
        <w:t>100m</w:t>
      </w:r>
      <w:r>
        <w:rPr>
          <w:position w:val="11"/>
          <w:sz w:val="11"/>
        </w:rPr>
        <w:t>3</w:t>
      </w:r>
      <w:r>
        <w:rPr>
          <w:spacing w:val="-18"/>
          <w:position w:val="11"/>
          <w:sz w:val="11"/>
        </w:rPr>
        <w:t> </w:t>
      </w:r>
      <w:r>
        <w:rPr>
          <w:spacing w:val="-3"/>
          <w:sz w:val="21"/>
        </w:rPr>
        <w:t>时，可采用室外消火栓等移动</w:t>
      </w:r>
      <w:r>
        <w:rPr>
          <w:spacing w:val="-6"/>
          <w:sz w:val="21"/>
        </w:rPr>
        <w:t>式冷却水系统，其罐区消防给水设计流量应按表 </w:t>
      </w:r>
      <w:r>
        <w:rPr>
          <w:sz w:val="21"/>
        </w:rPr>
        <w:t>3.4.5-1</w:t>
      </w:r>
      <w:r>
        <w:rPr>
          <w:spacing w:val="-9"/>
          <w:sz w:val="21"/>
        </w:rPr>
        <w:t> 的规定经计算确定，但不应低于100L/s</w:t>
      </w:r>
      <w:r>
        <w:rPr>
          <w:spacing w:val="-3"/>
          <w:sz w:val="21"/>
        </w:rPr>
        <w:t>。</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9"/>
        </w:rPr>
      </w:pPr>
    </w:p>
    <w:p>
      <w:pPr>
        <w:pStyle w:val="Heading6"/>
        <w:spacing w:before="72"/>
        <w:ind w:left="2782"/>
        <w:rPr>
          <w:b w:val="0"/>
        </w:rPr>
      </w:pPr>
      <w:r>
        <w:rPr/>
        <w:t>表 3.4.5-1 液化烃储罐固定冷却水系统设计流量</w:t>
      </w:r>
      <w:r>
        <w:rPr>
          <w:b w:val="0"/>
          <w:w w:val="100"/>
        </w:rPr>
        <w:t> </w:t>
      </w:r>
    </w:p>
    <w:p>
      <w:pPr>
        <w:pStyle w:val="BodyText"/>
        <w:rPr>
          <w:sz w:val="18"/>
        </w:rPr>
      </w:pPr>
      <w:r>
        <w:rPr/>
        <w:drawing>
          <wp:anchor distT="0" distB="0" distL="0" distR="0" allowOverlap="1" layoutInCell="1" locked="0" behindDoc="0" simplePos="0" relativeHeight="216">
            <wp:simplePos x="0" y="0"/>
            <wp:positionH relativeFrom="page">
              <wp:posOffset>1341755</wp:posOffset>
            </wp:positionH>
            <wp:positionV relativeFrom="paragraph">
              <wp:posOffset>171580</wp:posOffset>
            </wp:positionV>
            <wp:extent cx="4733924" cy="1847850"/>
            <wp:effectExtent l="0" t="0" r="0" b="0"/>
            <wp:wrapTopAndBottom/>
            <wp:docPr id="513" name="image297.jpeg"/>
            <wp:cNvGraphicFramePr>
              <a:graphicFrameLocks noChangeAspect="1"/>
            </wp:cNvGraphicFramePr>
            <a:graphic>
              <a:graphicData uri="http://schemas.openxmlformats.org/drawingml/2006/picture">
                <pic:pic>
                  <pic:nvPicPr>
                    <pic:cNvPr id="514" name="image297.jpeg"/>
                    <pic:cNvPicPr/>
                  </pic:nvPicPr>
                  <pic:blipFill>
                    <a:blip r:embed="rId362" cstate="print"/>
                    <a:stretch>
                      <a:fillRect/>
                    </a:stretch>
                  </pic:blipFill>
                  <pic:spPr>
                    <a:xfrm>
                      <a:off x="0" y="0"/>
                      <a:ext cx="4733924" cy="1847850"/>
                    </a:xfrm>
                    <a:prstGeom prst="rect">
                      <a:avLst/>
                    </a:prstGeom>
                  </pic:spPr>
                </pic:pic>
              </a:graphicData>
            </a:graphic>
          </wp:anchor>
        </w:drawing>
      </w:r>
    </w:p>
    <w:p>
      <w:pPr>
        <w:pStyle w:val="BodyText"/>
        <w:spacing w:line="446" w:lineRule="auto" w:before="163"/>
        <w:ind w:left="418" w:right="1609" w:firstLine="419"/>
      </w:pPr>
      <w:r>
        <w:rPr/>
        <w:t>注：1.固定冷却水系统当采用水喷雾系统冷却时喷水强度应符合本规范要求，且系统设置应符合现行国家标准《水喷雾灭火系统设计规范》GB 50219 的有关规定； </w:t>
      </w:r>
    </w:p>
    <w:p>
      <w:pPr>
        <w:pStyle w:val="ListParagraph"/>
        <w:numPr>
          <w:ilvl w:val="0"/>
          <w:numId w:val="679"/>
        </w:numPr>
        <w:tabs>
          <w:tab w:pos="1051" w:val="left" w:leader="none"/>
        </w:tabs>
        <w:spacing w:line="446" w:lineRule="auto" w:before="0" w:after="0"/>
        <w:ind w:left="418" w:right="1609" w:firstLine="419"/>
        <w:jc w:val="left"/>
        <w:rPr>
          <w:sz w:val="21"/>
        </w:rPr>
      </w:pPr>
      <w:r>
        <w:rPr>
          <w:spacing w:val="-3"/>
          <w:sz w:val="21"/>
        </w:rPr>
        <w:t>全冷冻式液化烃储罐，当双防罐、全防罐外壁为钢筋混凝土结构时，罐顶和罐壁的冷却</w:t>
      </w:r>
      <w:r>
        <w:rPr>
          <w:spacing w:val="-5"/>
          <w:sz w:val="21"/>
        </w:rPr>
        <w:t>水量可不计；但管道进出口等局部危险处应设置水喷雾系统冷却，供水强度不应小于 </w:t>
      </w:r>
      <w:r>
        <w:rPr>
          <w:sz w:val="21"/>
        </w:rPr>
        <w:t>20.0L/</w:t>
      </w:r>
    </w:p>
    <w:p>
      <w:pPr>
        <w:pStyle w:val="BodyText"/>
        <w:spacing w:line="267" w:lineRule="exact"/>
        <w:ind w:left="418"/>
      </w:pPr>
      <w:r>
        <w:rPr/>
        <w:t>（min·m</w:t>
      </w:r>
      <w:r>
        <w:rPr>
          <w:position w:val="11"/>
          <w:sz w:val="11"/>
        </w:rPr>
        <w:t>2</w:t>
      </w:r>
      <w:r>
        <w:rPr/>
        <w:t>）； </w:t>
      </w:r>
    </w:p>
    <w:p>
      <w:pPr>
        <w:pStyle w:val="BodyText"/>
        <w:spacing w:before="1"/>
        <w:rPr>
          <w:sz w:val="18"/>
        </w:rPr>
      </w:pPr>
    </w:p>
    <w:p>
      <w:pPr>
        <w:pStyle w:val="ListParagraph"/>
        <w:numPr>
          <w:ilvl w:val="0"/>
          <w:numId w:val="679"/>
        </w:numPr>
        <w:tabs>
          <w:tab w:pos="1051" w:val="left" w:leader="none"/>
        </w:tabs>
        <w:spacing w:line="240" w:lineRule="auto" w:before="1" w:after="0"/>
        <w:ind w:left="1050" w:right="0" w:hanging="213"/>
        <w:jc w:val="left"/>
        <w:rPr>
          <w:sz w:val="21"/>
        </w:rPr>
      </w:pPr>
      <w:r>
        <w:rPr>
          <w:spacing w:val="-10"/>
          <w:sz w:val="21"/>
        </w:rPr>
        <w:t>距着火罐罐壁 </w:t>
      </w:r>
      <w:r>
        <w:rPr>
          <w:sz w:val="21"/>
        </w:rPr>
        <w:t>1.5</w:t>
      </w:r>
      <w:r>
        <w:rPr>
          <w:spacing w:val="-11"/>
          <w:sz w:val="21"/>
        </w:rPr>
        <w:t> 倍着火罐直径范围内的邻近罐应计算冷却水系统，当邻近罐超过 </w:t>
      </w:r>
      <w:r>
        <w:rPr>
          <w:sz w:val="21"/>
        </w:rPr>
        <w:t>3</w:t>
      </w:r>
      <w:r>
        <w:rPr>
          <w:spacing w:val="-27"/>
          <w:sz w:val="21"/>
        </w:rPr>
        <w:t> 个</w:t>
      </w:r>
    </w:p>
    <w:p>
      <w:pPr>
        <w:pStyle w:val="BodyText"/>
        <w:spacing w:before="12"/>
        <w:rPr>
          <w:sz w:val="17"/>
        </w:rPr>
      </w:pPr>
    </w:p>
    <w:p>
      <w:pPr>
        <w:pStyle w:val="BodyText"/>
        <w:ind w:left="418"/>
      </w:pPr>
      <w:r>
        <w:rPr/>
        <w:t>时，冷却水系统可按 3 个罐的设计流量计算； </w:t>
      </w:r>
    </w:p>
    <w:p>
      <w:pPr>
        <w:pStyle w:val="BodyText"/>
        <w:spacing w:before="12"/>
        <w:rPr>
          <w:sz w:val="17"/>
        </w:rPr>
      </w:pPr>
    </w:p>
    <w:p>
      <w:pPr>
        <w:pStyle w:val="ListParagraph"/>
        <w:numPr>
          <w:ilvl w:val="0"/>
          <w:numId w:val="679"/>
        </w:numPr>
        <w:tabs>
          <w:tab w:pos="1051" w:val="left" w:leader="none"/>
        </w:tabs>
        <w:spacing w:line="446" w:lineRule="auto" w:before="0" w:after="0"/>
        <w:ind w:left="418" w:right="1608" w:firstLine="419"/>
        <w:jc w:val="left"/>
        <w:rPr>
          <w:sz w:val="21"/>
        </w:rPr>
      </w:pPr>
      <w:r>
        <w:rPr>
          <w:spacing w:val="-3"/>
          <w:sz w:val="21"/>
        </w:rPr>
        <w:t>当储罐采用固定消防水炮作为固定冷却设施时，其设计流量不宜小于水喷雾系统计算流</w:t>
      </w:r>
      <w:r>
        <w:rPr>
          <w:spacing w:val="-20"/>
          <w:sz w:val="21"/>
        </w:rPr>
        <w:t>量的 </w:t>
      </w:r>
      <w:r>
        <w:rPr>
          <w:sz w:val="21"/>
        </w:rPr>
        <w:t>1.3</w:t>
      </w:r>
      <w:r>
        <w:rPr>
          <w:spacing w:val="-20"/>
          <w:sz w:val="21"/>
        </w:rPr>
        <w:t> 倍。</w:t>
      </w:r>
      <w:r>
        <w:rPr>
          <w:sz w:val="21"/>
        </w:rPr>
        <w:t> </w:t>
      </w:r>
    </w:p>
    <w:p>
      <w:pPr>
        <w:spacing w:after="0" w:line="446" w:lineRule="auto"/>
        <w:jc w:val="left"/>
        <w:rPr>
          <w:sz w:val="21"/>
        </w:rPr>
        <w:sectPr>
          <w:pgSz w:w="11910" w:h="16850"/>
          <w:pgMar w:header="0" w:footer="1189" w:top="1200" w:bottom="1420" w:left="1260" w:right="0"/>
        </w:sectPr>
      </w:pPr>
    </w:p>
    <w:p>
      <w:pPr>
        <w:pStyle w:val="Heading6"/>
        <w:spacing w:before="47"/>
        <w:ind w:left="2888"/>
        <w:rPr>
          <w:b w:val="0"/>
        </w:rPr>
      </w:pPr>
      <w:r>
        <w:rPr/>
        <w:drawing>
          <wp:anchor distT="0" distB="0" distL="0" distR="0" allowOverlap="1" layoutInCell="1" locked="0" behindDoc="0" simplePos="0" relativeHeight="217">
            <wp:simplePos x="0" y="0"/>
            <wp:positionH relativeFrom="page">
              <wp:posOffset>1381760</wp:posOffset>
            </wp:positionH>
            <wp:positionV relativeFrom="paragraph">
              <wp:posOffset>285495</wp:posOffset>
            </wp:positionV>
            <wp:extent cx="4664356" cy="1681448"/>
            <wp:effectExtent l="0" t="0" r="0" b="0"/>
            <wp:wrapTopAndBottom/>
            <wp:docPr id="515" name="image298.jpeg"/>
            <wp:cNvGraphicFramePr>
              <a:graphicFrameLocks noChangeAspect="1"/>
            </wp:cNvGraphicFramePr>
            <a:graphic>
              <a:graphicData uri="http://schemas.openxmlformats.org/drawingml/2006/picture">
                <pic:pic>
                  <pic:nvPicPr>
                    <pic:cNvPr id="516" name="image298.jpeg"/>
                    <pic:cNvPicPr/>
                  </pic:nvPicPr>
                  <pic:blipFill>
                    <a:blip r:embed="rId363" cstate="print"/>
                    <a:stretch>
                      <a:fillRect/>
                    </a:stretch>
                  </pic:blipFill>
                  <pic:spPr>
                    <a:xfrm>
                      <a:off x="0" y="0"/>
                      <a:ext cx="4664356" cy="1681448"/>
                    </a:xfrm>
                    <a:prstGeom prst="rect">
                      <a:avLst/>
                    </a:prstGeom>
                  </pic:spPr>
                </pic:pic>
              </a:graphicData>
            </a:graphic>
          </wp:anchor>
        </w:drawing>
      </w:r>
      <w:r>
        <w:rPr/>
        <w:t>表 3.4.5-2 液化烃罐区的室外消火栓设计流量</w:t>
      </w:r>
      <w:r>
        <w:rPr>
          <w:b w:val="0"/>
          <w:w w:val="100"/>
        </w:rPr>
        <w:t> </w:t>
      </w:r>
    </w:p>
    <w:p>
      <w:pPr>
        <w:pStyle w:val="BodyText"/>
        <w:spacing w:before="171"/>
        <w:ind w:left="838"/>
      </w:pPr>
      <w:r>
        <w:rPr/>
        <w:t>注：1.罐区的室外消火栓设计流量应按罐组内最大单罐计； </w:t>
      </w:r>
    </w:p>
    <w:p>
      <w:pPr>
        <w:pStyle w:val="BodyText"/>
        <w:spacing w:before="12"/>
        <w:rPr>
          <w:sz w:val="17"/>
        </w:rPr>
      </w:pPr>
    </w:p>
    <w:p>
      <w:pPr>
        <w:pStyle w:val="BodyText"/>
        <w:spacing w:line="446" w:lineRule="auto"/>
        <w:ind w:left="418" w:right="1609" w:firstLine="419"/>
      </w:pPr>
      <w:r>
        <w:rPr/>
        <w:t>2.当储罐区四周设固定消防水炮作为辅助冷却设施时，辅助冷却水设计流量不应小于室外消火栓设计流量。 </w:t>
      </w:r>
    </w:p>
    <w:p>
      <w:pPr>
        <w:pStyle w:val="ListParagraph"/>
        <w:numPr>
          <w:ilvl w:val="2"/>
          <w:numId w:val="672"/>
        </w:numPr>
        <w:tabs>
          <w:tab w:pos="1424" w:val="left" w:leader="none"/>
        </w:tabs>
        <w:spacing w:line="446" w:lineRule="auto" w:before="0" w:after="0"/>
        <w:ind w:left="418" w:right="1606" w:firstLine="422"/>
        <w:jc w:val="left"/>
        <w:rPr>
          <w:sz w:val="21"/>
        </w:rPr>
      </w:pPr>
      <w:r>
        <w:rPr>
          <w:spacing w:val="-11"/>
          <w:sz w:val="21"/>
        </w:rPr>
        <w:t>沸点低于 </w:t>
      </w:r>
      <w:r>
        <w:rPr>
          <w:sz w:val="21"/>
        </w:rPr>
        <w:t>45</w:t>
      </w:r>
      <w:r>
        <w:rPr>
          <w:spacing w:val="-5"/>
          <w:sz w:val="21"/>
        </w:rPr>
        <w:t>℃甲类液体压力球罐的消防给水设计流量，应按本规范第 </w:t>
      </w:r>
      <w:r>
        <w:rPr>
          <w:sz w:val="21"/>
        </w:rPr>
        <w:t>3.4.5</w:t>
      </w:r>
      <w:r>
        <w:rPr>
          <w:spacing w:val="-12"/>
          <w:sz w:val="21"/>
        </w:rPr>
        <w:t> 条中全</w:t>
      </w:r>
      <w:r>
        <w:rPr>
          <w:spacing w:val="-6"/>
          <w:sz w:val="21"/>
        </w:rPr>
        <w:t>压力式储罐的要求经计算确定。</w:t>
      </w:r>
      <w:r>
        <w:rPr>
          <w:sz w:val="21"/>
        </w:rPr>
        <w:t> </w:t>
      </w:r>
    </w:p>
    <w:p>
      <w:pPr>
        <w:pStyle w:val="ListParagraph"/>
        <w:numPr>
          <w:ilvl w:val="2"/>
          <w:numId w:val="672"/>
        </w:numPr>
        <w:tabs>
          <w:tab w:pos="1424" w:val="left" w:leader="none"/>
        </w:tabs>
        <w:spacing w:line="444" w:lineRule="auto" w:before="0" w:after="0"/>
        <w:ind w:left="418" w:right="1498" w:firstLine="422"/>
        <w:jc w:val="left"/>
        <w:rPr>
          <w:sz w:val="21"/>
        </w:rPr>
      </w:pPr>
      <w:r>
        <w:rPr>
          <w:spacing w:val="-4"/>
          <w:sz w:val="21"/>
        </w:rPr>
        <w:t>全压力式、半冷冻式和全冷冻式液氨储罐的消防给水设计流量，应按本规范第 </w:t>
      </w:r>
      <w:r>
        <w:rPr>
          <w:sz w:val="21"/>
        </w:rPr>
        <w:t>3.4.5 </w:t>
      </w:r>
      <w:r>
        <w:rPr>
          <w:spacing w:val="-5"/>
          <w:sz w:val="21"/>
        </w:rPr>
        <w:t>条中全压力式及半冷冻式储罐的要求经计算确定，但喷水强度应按不小于 </w:t>
      </w:r>
      <w:r>
        <w:rPr>
          <w:sz w:val="21"/>
        </w:rPr>
        <w:t>6.0L/（min·m</w:t>
      </w:r>
      <w:r>
        <w:rPr>
          <w:position w:val="11"/>
          <w:sz w:val="11"/>
        </w:rPr>
        <w:t>2</w:t>
      </w:r>
      <w:r>
        <w:rPr>
          <w:sz w:val="21"/>
        </w:rPr>
        <w:t>）</w:t>
      </w:r>
      <w:r>
        <w:rPr>
          <w:spacing w:val="-3"/>
          <w:sz w:val="21"/>
        </w:rPr>
        <w:t>计算，全冷冻式液氨储罐的冷却水系统设计流量应按全冷冻式液化烃储罐外壁为钢制单防罐的要求计算。</w:t>
      </w:r>
      <w:r>
        <w:rPr>
          <w:sz w:val="21"/>
        </w:rPr>
        <w:t> </w:t>
      </w: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空分站，可燃液体、液化烃的火车和汽车装卸栈台，变电站等室外消火栓设计流量不</w:t>
      </w:r>
      <w:r>
        <w:rPr>
          <w:spacing w:val="-12"/>
          <w:sz w:val="21"/>
        </w:rPr>
        <w:t>应小于表 </w:t>
      </w:r>
      <w:r>
        <w:rPr>
          <w:sz w:val="21"/>
        </w:rPr>
        <w:t>3.4.8</w:t>
      </w:r>
      <w:r>
        <w:rPr>
          <w:spacing w:val="-8"/>
          <w:sz w:val="21"/>
        </w:rPr>
        <w:t> 的规定。当室外变压器采用水喷雾灭火系统全保护时，其室外消火栓给水设计</w:t>
      </w:r>
      <w:r>
        <w:rPr>
          <w:spacing w:val="-13"/>
          <w:sz w:val="21"/>
        </w:rPr>
        <w:t>流量可按表 </w:t>
      </w:r>
      <w:r>
        <w:rPr>
          <w:sz w:val="21"/>
        </w:rPr>
        <w:t>3.4.8</w:t>
      </w:r>
      <w:r>
        <w:rPr>
          <w:spacing w:val="-19"/>
          <w:sz w:val="21"/>
        </w:rPr>
        <w:t> 规定值的 </w:t>
      </w:r>
      <w:r>
        <w:rPr>
          <w:sz w:val="21"/>
        </w:rPr>
        <w:t>50</w:t>
      </w:r>
      <w:r>
        <w:rPr>
          <w:spacing w:val="-9"/>
          <w:sz w:val="21"/>
        </w:rPr>
        <w:t>%计算，但不应小于 </w:t>
      </w:r>
      <w:r>
        <w:rPr>
          <w:sz w:val="21"/>
        </w:rPr>
        <w:t>15L/s</w:t>
      </w:r>
      <w:r>
        <w:rPr>
          <w:spacing w:val="-3"/>
          <w:sz w:val="21"/>
        </w:rPr>
        <w:t>。</w:t>
      </w:r>
      <w:r>
        <w:rPr>
          <w:sz w:val="21"/>
        </w:rPr>
        <w:t> </w:t>
      </w:r>
    </w:p>
    <w:p>
      <w:pPr>
        <w:pStyle w:val="Heading6"/>
        <w:spacing w:line="268" w:lineRule="exact"/>
        <w:ind w:left="840"/>
      </w:pPr>
      <w:r>
        <w:rPr/>
        <w:drawing>
          <wp:anchor distT="0" distB="0" distL="0" distR="0" allowOverlap="1" layoutInCell="1" locked="0" behindDoc="0" simplePos="0" relativeHeight="218">
            <wp:simplePos x="0" y="0"/>
            <wp:positionH relativeFrom="page">
              <wp:posOffset>1341755</wp:posOffset>
            </wp:positionH>
            <wp:positionV relativeFrom="paragraph">
              <wp:posOffset>248431</wp:posOffset>
            </wp:positionV>
            <wp:extent cx="4581525" cy="752475"/>
            <wp:effectExtent l="0" t="0" r="0" b="0"/>
            <wp:wrapTopAndBottom/>
            <wp:docPr id="517" name="image299.jpeg"/>
            <wp:cNvGraphicFramePr>
              <a:graphicFrameLocks noChangeAspect="1"/>
            </wp:cNvGraphicFramePr>
            <a:graphic>
              <a:graphicData uri="http://schemas.openxmlformats.org/drawingml/2006/picture">
                <pic:pic>
                  <pic:nvPicPr>
                    <pic:cNvPr id="518" name="image299.jpeg"/>
                    <pic:cNvPicPr/>
                  </pic:nvPicPr>
                  <pic:blipFill>
                    <a:blip r:embed="rId364" cstate="print"/>
                    <a:stretch>
                      <a:fillRect/>
                    </a:stretch>
                  </pic:blipFill>
                  <pic:spPr>
                    <a:xfrm>
                      <a:off x="0" y="0"/>
                      <a:ext cx="4581525" cy="752475"/>
                    </a:xfrm>
                    <a:prstGeom prst="rect">
                      <a:avLst/>
                    </a:prstGeom>
                  </pic:spPr>
                </pic:pic>
              </a:graphicData>
            </a:graphic>
          </wp:anchor>
        </w:drawing>
      </w:r>
      <w:r>
        <w:rPr/>
        <w:t>表 3.4.8 空分站，可燃液体、液化烃的火车和汽车装卸栈台，变电站室外消火栓设计流量</w:t>
      </w:r>
      <w:r>
        <w:rPr>
          <w:w w:val="99"/>
        </w:rPr>
        <w:t> </w:t>
      </w:r>
    </w:p>
    <w:p>
      <w:pPr>
        <w:spacing w:before="179"/>
        <w:ind w:left="840" w:right="0" w:firstLine="0"/>
        <w:jc w:val="left"/>
        <w:rPr>
          <w:b/>
          <w:sz w:val="21"/>
        </w:rPr>
      </w:pPr>
      <w:r>
        <w:rPr>
          <w:b/>
          <w:w w:val="99"/>
          <w:sz w:val="21"/>
        </w:rPr>
        <w:t> </w:t>
      </w:r>
    </w:p>
    <w:p>
      <w:pPr>
        <w:pStyle w:val="BodyText"/>
        <w:spacing w:before="12"/>
        <w:rPr>
          <w:b/>
          <w:sz w:val="23"/>
        </w:rPr>
      </w:pPr>
      <w:r>
        <w:rPr/>
        <w:drawing>
          <wp:anchor distT="0" distB="0" distL="0" distR="0" allowOverlap="1" layoutInCell="1" locked="0" behindDoc="0" simplePos="0" relativeHeight="219">
            <wp:simplePos x="0" y="0"/>
            <wp:positionH relativeFrom="page">
              <wp:posOffset>1341755</wp:posOffset>
            </wp:positionH>
            <wp:positionV relativeFrom="paragraph">
              <wp:posOffset>219670</wp:posOffset>
            </wp:positionV>
            <wp:extent cx="4581524" cy="1514475"/>
            <wp:effectExtent l="0" t="0" r="0" b="0"/>
            <wp:wrapTopAndBottom/>
            <wp:docPr id="519" name="image300.jpeg"/>
            <wp:cNvGraphicFramePr>
              <a:graphicFrameLocks noChangeAspect="1"/>
            </wp:cNvGraphicFramePr>
            <a:graphic>
              <a:graphicData uri="http://schemas.openxmlformats.org/drawingml/2006/picture">
                <pic:pic>
                  <pic:nvPicPr>
                    <pic:cNvPr id="520" name="image300.jpeg"/>
                    <pic:cNvPicPr/>
                  </pic:nvPicPr>
                  <pic:blipFill>
                    <a:blip r:embed="rId365" cstate="print"/>
                    <a:stretch>
                      <a:fillRect/>
                    </a:stretch>
                  </pic:blipFill>
                  <pic:spPr>
                    <a:xfrm>
                      <a:off x="0" y="0"/>
                      <a:ext cx="4581524" cy="1514475"/>
                    </a:xfrm>
                    <a:prstGeom prst="rect">
                      <a:avLst/>
                    </a:prstGeom>
                  </pic:spPr>
                </pic:pic>
              </a:graphicData>
            </a:graphic>
          </wp:anchor>
        </w:drawing>
      </w:r>
    </w:p>
    <w:p>
      <w:pPr>
        <w:spacing w:after="0"/>
        <w:rPr>
          <w:sz w:val="23"/>
        </w:rPr>
        <w:sectPr>
          <w:pgSz w:w="11910" w:h="16850"/>
          <w:pgMar w:header="0" w:footer="1189" w:top="1220" w:bottom="1420" w:left="1260" w:right="0"/>
        </w:sectPr>
      </w:pPr>
    </w:p>
    <w:p>
      <w:pPr>
        <w:pStyle w:val="BodyText"/>
        <w:spacing w:line="446" w:lineRule="auto" w:before="47"/>
        <w:ind w:left="418" w:right="1498" w:firstLine="419"/>
      </w:pPr>
      <w:r>
        <w:rPr/>
        <w:t>注：当室外油浸变压器单台功率小于 300MV·A，且周围无其他建筑物和生产生活给水时， 可不设置室外消火栓。 </w:t>
      </w: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装卸油品码头的消防给水设计流量，应按着火油船泡沫灭火设计流量、冷却水系统设计流量、隔离水幕系统设计流量和码头室外消火栓设计流量之和确定，并应符合下列规定：</w:t>
      </w:r>
      <w:r>
        <w:rPr>
          <w:sz w:val="21"/>
        </w:rPr>
        <w:t> </w:t>
      </w:r>
    </w:p>
    <w:p>
      <w:pPr>
        <w:pStyle w:val="BodyText"/>
        <w:spacing w:line="446" w:lineRule="auto"/>
        <w:ind w:left="418" w:right="1609" w:firstLine="419"/>
      </w:pPr>
      <w:r>
        <w:rPr>
          <w:w w:val="100"/>
        </w:rPr>
        <w:t> </w:t>
      </w:r>
      <w:r>
        <w:rPr/>
        <w:t>（1）</w:t>
      </w:r>
      <w:r>
        <w:rPr>
          <w:spacing w:val="-3"/>
        </w:rPr>
        <w:t>泡沫灭火系统设计流量应按系统扑救着火油船一起火灾的泡沫混合液量及泡沫液混</w:t>
      </w:r>
      <w:r>
        <w:rPr>
          <w:spacing w:val="-4"/>
        </w:rPr>
        <w:t>合比经计算确定，泡沫混合液供给强度、保护范围和连续供给时间不应小于表 </w:t>
      </w:r>
      <w:r>
        <w:rPr/>
        <w:t>3.4.9-1</w:t>
      </w:r>
      <w:r>
        <w:rPr>
          <w:spacing w:val="-9"/>
        </w:rPr>
        <w:t> 的规</w:t>
      </w:r>
      <w:r>
        <w:rPr>
          <w:spacing w:val="-5"/>
        </w:rPr>
        <w:t>定，并应符合现行国家标准《泡沫灭火系统设计规范》</w:t>
      </w:r>
      <w:r>
        <w:rPr/>
        <w:t>GB 50151</w:t>
      </w:r>
      <w:r>
        <w:rPr>
          <w:spacing w:val="-11"/>
        </w:rPr>
        <w:t> 的有关规定；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9"/>
        </w:rPr>
      </w:pPr>
    </w:p>
    <w:p>
      <w:pPr>
        <w:pStyle w:val="Heading6"/>
        <w:spacing w:before="72"/>
        <w:ind w:left="1411"/>
        <w:rPr>
          <w:b w:val="0"/>
        </w:rPr>
      </w:pPr>
      <w:r>
        <w:rPr/>
        <w:t>表 3.4.9-1 油船泡沫灭火系统混合液量的供给强度、保护范围和连续供给时间</w:t>
      </w:r>
      <w:r>
        <w:rPr>
          <w:b w:val="0"/>
          <w:w w:val="100"/>
        </w:rPr>
        <w:t> </w:t>
      </w:r>
    </w:p>
    <w:p>
      <w:pPr>
        <w:pStyle w:val="BodyText"/>
        <w:rPr>
          <w:sz w:val="20"/>
        </w:rPr>
      </w:pPr>
    </w:p>
    <w:p>
      <w:pPr>
        <w:pStyle w:val="BodyText"/>
        <w:spacing w:before="7"/>
        <w:rPr>
          <w:sz w:val="12"/>
        </w:rPr>
      </w:pPr>
      <w:r>
        <w:rPr/>
        <w:drawing>
          <wp:anchor distT="0" distB="0" distL="0" distR="0" allowOverlap="1" layoutInCell="1" locked="0" behindDoc="0" simplePos="0" relativeHeight="220">
            <wp:simplePos x="0" y="0"/>
            <wp:positionH relativeFrom="page">
              <wp:posOffset>1304925</wp:posOffset>
            </wp:positionH>
            <wp:positionV relativeFrom="paragraph">
              <wp:posOffset>127083</wp:posOffset>
            </wp:positionV>
            <wp:extent cx="4758265" cy="1136427"/>
            <wp:effectExtent l="0" t="0" r="0" b="0"/>
            <wp:wrapTopAndBottom/>
            <wp:docPr id="521" name="image301.jpeg"/>
            <wp:cNvGraphicFramePr>
              <a:graphicFrameLocks noChangeAspect="1"/>
            </wp:cNvGraphicFramePr>
            <a:graphic>
              <a:graphicData uri="http://schemas.openxmlformats.org/drawingml/2006/picture">
                <pic:pic>
                  <pic:nvPicPr>
                    <pic:cNvPr id="522" name="image301.jpeg"/>
                    <pic:cNvPicPr/>
                  </pic:nvPicPr>
                  <pic:blipFill>
                    <a:blip r:embed="rId366" cstate="print"/>
                    <a:stretch>
                      <a:fillRect/>
                    </a:stretch>
                  </pic:blipFill>
                  <pic:spPr>
                    <a:xfrm>
                      <a:off x="0" y="0"/>
                      <a:ext cx="4758265" cy="1136427"/>
                    </a:xfrm>
                    <a:prstGeom prst="rect">
                      <a:avLst/>
                    </a:prstGeom>
                  </pic:spPr>
                </pic:pic>
              </a:graphicData>
            </a:graphic>
          </wp:anchor>
        </w:drawing>
      </w:r>
    </w:p>
    <w:p>
      <w:pPr>
        <w:pStyle w:val="BodyText"/>
        <w:spacing w:before="11"/>
        <w:rPr>
          <w:sz w:val="15"/>
        </w:rPr>
      </w:pPr>
    </w:p>
    <w:p>
      <w:pPr>
        <w:pStyle w:val="BodyText"/>
        <w:spacing w:line="446" w:lineRule="auto" w:before="1"/>
        <w:ind w:left="418" w:right="1455" w:firstLine="419"/>
      </w:pPr>
      <w:r>
        <w:rPr/>
        <w:t>（2）油船冷却水系统设计流量应按火灾时着火油舱冷却水保护范围内的油舱甲板面冷却用水量计算确定，冷却水系统保护范围、喷水强度和火灾延续时间不应小于表 3.4.9-2 的规定； </w:t>
      </w:r>
    </w:p>
    <w:p>
      <w:pPr>
        <w:pStyle w:val="Heading6"/>
        <w:spacing w:line="267" w:lineRule="exact"/>
        <w:ind w:left="1939"/>
      </w:pPr>
      <w:r>
        <w:rPr/>
        <w:drawing>
          <wp:anchor distT="0" distB="0" distL="0" distR="0" allowOverlap="1" layoutInCell="1" locked="0" behindDoc="0" simplePos="0" relativeHeight="221">
            <wp:simplePos x="0" y="0"/>
            <wp:positionH relativeFrom="page">
              <wp:posOffset>1437005</wp:posOffset>
            </wp:positionH>
            <wp:positionV relativeFrom="paragraph">
              <wp:posOffset>251642</wp:posOffset>
            </wp:positionV>
            <wp:extent cx="4486275" cy="1247775"/>
            <wp:effectExtent l="0" t="0" r="0" b="0"/>
            <wp:wrapTopAndBottom/>
            <wp:docPr id="523" name="image302.jpeg"/>
            <wp:cNvGraphicFramePr>
              <a:graphicFrameLocks noChangeAspect="1"/>
            </wp:cNvGraphicFramePr>
            <a:graphic>
              <a:graphicData uri="http://schemas.openxmlformats.org/drawingml/2006/picture">
                <pic:pic>
                  <pic:nvPicPr>
                    <pic:cNvPr id="524" name="image302.jpeg"/>
                    <pic:cNvPicPr/>
                  </pic:nvPicPr>
                  <pic:blipFill>
                    <a:blip r:embed="rId367" cstate="print"/>
                    <a:stretch>
                      <a:fillRect/>
                    </a:stretch>
                  </pic:blipFill>
                  <pic:spPr>
                    <a:xfrm>
                      <a:off x="0" y="0"/>
                      <a:ext cx="4486275" cy="1247775"/>
                    </a:xfrm>
                    <a:prstGeom prst="rect">
                      <a:avLst/>
                    </a:prstGeom>
                  </pic:spPr>
                </pic:pic>
              </a:graphicData>
            </a:graphic>
          </wp:anchor>
        </w:drawing>
      </w:r>
      <w:r>
        <w:rPr/>
        <w:t>表 3.4.9-2 油船冷却水系统的保护范围、喷水强度和火灾延续时间</w:t>
      </w:r>
      <w:r>
        <w:rPr>
          <w:w w:val="99"/>
        </w:rPr>
        <w:t> </w:t>
      </w:r>
    </w:p>
    <w:p>
      <w:pPr>
        <w:pStyle w:val="BodyText"/>
        <w:spacing w:line="446" w:lineRule="auto" w:before="164"/>
        <w:ind w:left="418" w:right="1609" w:firstLine="419"/>
      </w:pPr>
      <w:r>
        <w:rPr/>
        <w:t>注：1.当油船发生火灾时，陆上消防设备所提供的冷却油舱甲板面的冷却设计流量不应小于全部冷却水用量的 50%； </w:t>
      </w:r>
    </w:p>
    <w:p>
      <w:pPr>
        <w:pStyle w:val="ListParagraph"/>
        <w:numPr>
          <w:ilvl w:val="0"/>
          <w:numId w:val="680"/>
        </w:numPr>
        <w:tabs>
          <w:tab w:pos="1051" w:val="left" w:leader="none"/>
        </w:tabs>
        <w:spacing w:line="240" w:lineRule="auto" w:before="0" w:after="0"/>
        <w:ind w:left="1050" w:right="0" w:hanging="213"/>
        <w:jc w:val="left"/>
        <w:rPr>
          <w:sz w:val="21"/>
        </w:rPr>
      </w:pPr>
      <w:r>
        <w:rPr>
          <w:spacing w:val="-5"/>
          <w:sz w:val="21"/>
        </w:rPr>
        <w:t>当配备水上消防设施进行监护时，陆上消防设备冷却水供给时间可缩短至 </w:t>
      </w:r>
      <w:r>
        <w:rPr>
          <w:sz w:val="21"/>
        </w:rPr>
        <w:t>4h</w:t>
      </w:r>
      <w:r>
        <w:rPr>
          <w:spacing w:val="-3"/>
          <w:sz w:val="21"/>
        </w:rPr>
        <w:t>。</w:t>
      </w:r>
      <w:r>
        <w:rPr>
          <w:sz w:val="21"/>
        </w:rPr>
        <w:t> </w:t>
      </w:r>
    </w:p>
    <w:p>
      <w:pPr>
        <w:spacing w:after="0" w:line="240" w:lineRule="auto"/>
        <w:jc w:val="left"/>
        <w:rPr>
          <w:sz w:val="21"/>
        </w:rPr>
        <w:sectPr>
          <w:pgSz w:w="11910" w:h="16850"/>
          <w:pgMar w:header="0" w:footer="1189" w:top="1220" w:bottom="1420" w:left="1260" w:right="0"/>
        </w:sectPr>
      </w:pPr>
    </w:p>
    <w:p>
      <w:pPr>
        <w:pStyle w:val="BodyText"/>
        <w:ind w:left="617"/>
        <w:rPr>
          <w:sz w:val="20"/>
        </w:rPr>
      </w:pPr>
      <w:r>
        <w:rPr>
          <w:sz w:val="20"/>
        </w:rPr>
        <w:pict>
          <v:group style="width:376.4pt;height:136.3pt;mso-position-horizontal-relative:char;mso-position-vertical-relative:line" coordorigin="0,0" coordsize="7528,2726">
            <v:shape style="position:absolute;left:0;top:584;width:6963;height:2142" type="#_x0000_t75" stroked="false">
              <v:imagedata r:id="rId368" o:title=""/>
            </v:shape>
            <v:shape style="position:absolute;left:268;top:0;width:7260;height:1755" type="#_x0000_t75" stroked="false">
              <v:imagedata r:id="rId369" o:title=""/>
            </v:shape>
          </v:group>
        </w:pict>
      </w:r>
      <w:r>
        <w:rPr>
          <w:sz w:val="20"/>
        </w:rPr>
      </w:r>
    </w:p>
    <w:p>
      <w:pPr>
        <w:pStyle w:val="BodyText"/>
        <w:spacing w:before="4"/>
        <w:rPr>
          <w:sz w:val="8"/>
        </w:rPr>
      </w:pPr>
    </w:p>
    <w:p>
      <w:pPr>
        <w:pStyle w:val="ListParagraph"/>
        <w:numPr>
          <w:ilvl w:val="0"/>
          <w:numId w:val="680"/>
        </w:numPr>
        <w:tabs>
          <w:tab w:pos="1051" w:val="left" w:leader="none"/>
        </w:tabs>
        <w:spacing w:line="240" w:lineRule="auto" w:before="72" w:after="0"/>
        <w:ind w:left="1050" w:right="0" w:hanging="213"/>
        <w:jc w:val="left"/>
        <w:rPr>
          <w:sz w:val="21"/>
        </w:rPr>
      </w:pPr>
      <w:r>
        <w:rPr>
          <w:spacing w:val="-3"/>
          <w:sz w:val="21"/>
        </w:rPr>
        <w:t>着火油船冷却范围应按下式计算：</w:t>
      </w:r>
      <w:r>
        <w:rPr>
          <w:sz w:val="21"/>
        </w:rPr>
        <w:t> </w:t>
      </w:r>
    </w:p>
    <w:p>
      <w:pPr>
        <w:pStyle w:val="BodyText"/>
        <w:rPr>
          <w:sz w:val="18"/>
        </w:rPr>
      </w:pPr>
    </w:p>
    <w:p>
      <w:pPr>
        <w:pStyle w:val="BodyText"/>
        <w:spacing w:line="446" w:lineRule="auto"/>
        <w:ind w:left="838" w:right="5077"/>
      </w:pPr>
      <w:r>
        <w:rPr/>
        <w:t>（4）隔离水幕系统的设计流量应符合下列规定： 1）喷水强度宜为 1.0～2.0L/（s·m）； </w:t>
      </w:r>
    </w:p>
    <w:p>
      <w:pPr>
        <w:pStyle w:val="ListParagraph"/>
        <w:numPr>
          <w:ilvl w:val="0"/>
          <w:numId w:val="681"/>
        </w:numPr>
        <w:tabs>
          <w:tab w:pos="1156" w:val="left" w:leader="none"/>
        </w:tabs>
        <w:spacing w:line="240" w:lineRule="auto" w:before="0" w:after="0"/>
        <w:ind w:left="1155" w:right="0" w:hanging="318"/>
        <w:jc w:val="left"/>
        <w:rPr>
          <w:sz w:val="21"/>
        </w:rPr>
      </w:pPr>
      <w:r>
        <w:rPr>
          <w:spacing w:val="-6"/>
          <w:sz w:val="21"/>
        </w:rPr>
        <w:t>保护范围宜为装卸设备的两端各延伸 </w:t>
      </w:r>
      <w:r>
        <w:rPr>
          <w:sz w:val="21"/>
        </w:rPr>
        <w:t>5m</w:t>
      </w:r>
      <w:r>
        <w:rPr>
          <w:spacing w:val="-7"/>
          <w:sz w:val="21"/>
        </w:rPr>
        <w:t>，水幕喷射高度宜高于被保护对象 </w:t>
      </w:r>
      <w:r>
        <w:rPr>
          <w:sz w:val="21"/>
        </w:rPr>
        <w:t>1.50m； </w:t>
      </w:r>
    </w:p>
    <w:p>
      <w:pPr>
        <w:pStyle w:val="BodyText"/>
        <w:spacing w:before="12"/>
        <w:rPr>
          <w:sz w:val="17"/>
        </w:rPr>
      </w:pPr>
    </w:p>
    <w:p>
      <w:pPr>
        <w:pStyle w:val="ListParagraph"/>
        <w:numPr>
          <w:ilvl w:val="0"/>
          <w:numId w:val="681"/>
        </w:numPr>
        <w:tabs>
          <w:tab w:pos="1156" w:val="left" w:leader="none"/>
        </w:tabs>
        <w:spacing w:line="240" w:lineRule="auto" w:before="0" w:after="0"/>
        <w:ind w:left="1155" w:right="0" w:hanging="318"/>
        <w:jc w:val="left"/>
        <w:rPr>
          <w:sz w:val="21"/>
        </w:rPr>
      </w:pPr>
      <w:r>
        <w:rPr>
          <w:spacing w:val="-8"/>
          <w:sz w:val="21"/>
        </w:rPr>
        <w:t>火灾延续时间不应小于 </w:t>
      </w:r>
      <w:r>
        <w:rPr>
          <w:sz w:val="21"/>
        </w:rPr>
        <w:t>1.0h</w:t>
      </w:r>
      <w:r>
        <w:rPr>
          <w:spacing w:val="-3"/>
          <w:sz w:val="21"/>
        </w:rPr>
        <w:t>，并应满足现行国家标准《自动喷水灭火系统设计规范》</w:t>
      </w:r>
      <w:r>
        <w:rPr>
          <w:sz w:val="21"/>
        </w:rPr>
        <w:t>GB </w:t>
      </w:r>
    </w:p>
    <w:p>
      <w:pPr>
        <w:pStyle w:val="BodyText"/>
        <w:spacing w:before="12"/>
        <w:rPr>
          <w:sz w:val="17"/>
        </w:rPr>
      </w:pPr>
    </w:p>
    <w:p>
      <w:pPr>
        <w:pStyle w:val="BodyText"/>
        <w:ind w:left="418"/>
      </w:pPr>
      <w:r>
        <w:rPr/>
        <w:t>50084 的有关规定。 </w:t>
      </w:r>
    </w:p>
    <w:p>
      <w:pPr>
        <w:pStyle w:val="BodyText"/>
        <w:spacing w:before="2"/>
        <w:rPr>
          <w:sz w:val="18"/>
        </w:rPr>
      </w:pPr>
    </w:p>
    <w:p>
      <w:pPr>
        <w:pStyle w:val="BodyText"/>
        <w:ind w:left="838"/>
      </w:pPr>
      <w:r>
        <w:rPr>
          <w:w w:val="100"/>
        </w:rPr>
        <w:t> </w:t>
      </w:r>
      <w:r>
        <w:rPr/>
        <w:t>（5）油品码头的室外消火栓设计流量不应小于表 3.4.9-3 的规定。 </w:t>
      </w:r>
    </w:p>
    <w:p>
      <w:pPr>
        <w:pStyle w:val="BodyText"/>
        <w:spacing w:before="12"/>
        <w:rPr>
          <w:sz w:val="17"/>
        </w:rPr>
      </w:pPr>
    </w:p>
    <w:p>
      <w:pPr>
        <w:pStyle w:val="Heading6"/>
        <w:ind w:left="2993"/>
      </w:pPr>
      <w:r>
        <w:rPr/>
        <w:t>表 3.4.9-3 油品码头的室外消火栓设计流量</w:t>
      </w:r>
      <w:r>
        <w:rPr>
          <w:w w:val="99"/>
        </w:rPr>
        <w:t> </w:t>
      </w:r>
    </w:p>
    <w:p>
      <w:pPr>
        <w:pStyle w:val="BodyText"/>
        <w:rPr>
          <w:b/>
          <w:sz w:val="18"/>
        </w:rPr>
      </w:pPr>
    </w:p>
    <w:p>
      <w:pPr>
        <w:pStyle w:val="ListParagraph"/>
        <w:numPr>
          <w:ilvl w:val="2"/>
          <w:numId w:val="672"/>
        </w:numPr>
        <w:tabs>
          <w:tab w:pos="1530" w:val="left" w:leader="none"/>
        </w:tabs>
        <w:spacing w:line="444" w:lineRule="auto" w:before="0" w:after="0"/>
        <w:ind w:left="418" w:right="1453" w:firstLine="422"/>
        <w:jc w:val="left"/>
        <w:rPr>
          <w:sz w:val="21"/>
        </w:rPr>
      </w:pPr>
      <w:r>
        <w:rPr>
          <w:spacing w:val="-5"/>
          <w:sz w:val="21"/>
        </w:rPr>
        <w:t>液化石油气船的消防给水设计流量应按着火罐与距着火罐 </w:t>
      </w:r>
      <w:r>
        <w:rPr>
          <w:sz w:val="21"/>
        </w:rPr>
        <w:t>1.5</w:t>
      </w:r>
      <w:r>
        <w:rPr>
          <w:spacing w:val="-8"/>
          <w:sz w:val="21"/>
        </w:rPr>
        <w:t> 倍着火罐直径范围内</w:t>
      </w:r>
      <w:r>
        <w:rPr>
          <w:spacing w:val="-5"/>
          <w:sz w:val="21"/>
        </w:rPr>
        <w:t>罐组的冷却水系统设计流量与室外消火栓设计流量之和确定；着火罐和邻近罐的冷却面积均应 取设计船型最大储罐甲板以上部分的表面积，并不应小于储罐总表面积的 </w:t>
      </w:r>
      <w:r>
        <w:rPr>
          <w:sz w:val="21"/>
        </w:rPr>
        <w:t>1/2，</w:t>
      </w:r>
      <w:r>
        <w:rPr>
          <w:spacing w:val="-3"/>
          <w:sz w:val="21"/>
        </w:rPr>
        <w:t>着火罐冷却水喷</w:t>
      </w:r>
      <w:r>
        <w:rPr>
          <w:spacing w:val="-11"/>
          <w:sz w:val="21"/>
        </w:rPr>
        <w:t>水强度应为 </w:t>
      </w:r>
      <w:r>
        <w:rPr>
          <w:sz w:val="21"/>
        </w:rPr>
        <w:t>10.0L/（min·m</w:t>
      </w:r>
      <w:r>
        <w:rPr>
          <w:position w:val="11"/>
          <w:sz w:val="11"/>
        </w:rPr>
        <w:t>2</w:t>
      </w:r>
      <w:r>
        <w:rPr>
          <w:sz w:val="21"/>
        </w:rPr>
        <w:t>）</w:t>
      </w:r>
      <w:r>
        <w:rPr>
          <w:spacing w:val="-7"/>
          <w:sz w:val="21"/>
        </w:rPr>
        <w:t>，邻近罐冷却水喷水强度应为 </w:t>
      </w:r>
      <w:r>
        <w:rPr>
          <w:sz w:val="21"/>
        </w:rPr>
        <w:t>5.0L/（min·m</w:t>
      </w:r>
      <w:r>
        <w:rPr>
          <w:position w:val="11"/>
          <w:sz w:val="11"/>
        </w:rPr>
        <w:t>2</w:t>
      </w:r>
      <w:r>
        <w:rPr>
          <w:sz w:val="21"/>
        </w:rPr>
        <w:t>）</w:t>
      </w:r>
      <w:r>
        <w:rPr>
          <w:spacing w:val="-2"/>
          <w:sz w:val="21"/>
        </w:rPr>
        <w:t>；室外消火栓设</w:t>
      </w:r>
      <w:r>
        <w:rPr>
          <w:spacing w:val="-8"/>
          <w:sz w:val="21"/>
        </w:rPr>
        <w:t>计流量不应小于本规范表 </w:t>
      </w:r>
      <w:r>
        <w:rPr>
          <w:sz w:val="21"/>
        </w:rPr>
        <w:t>3.4.9-3</w:t>
      </w:r>
      <w:r>
        <w:rPr>
          <w:spacing w:val="-13"/>
          <w:sz w:val="21"/>
        </w:rPr>
        <w:t> 的规定。</w:t>
      </w:r>
      <w:r>
        <w:rPr>
          <w:sz w:val="21"/>
        </w:rPr>
        <w:t> </w:t>
      </w:r>
    </w:p>
    <w:p>
      <w:pPr>
        <w:pStyle w:val="ListParagraph"/>
        <w:numPr>
          <w:ilvl w:val="2"/>
          <w:numId w:val="672"/>
        </w:numPr>
        <w:tabs>
          <w:tab w:pos="1530" w:val="left" w:leader="none"/>
        </w:tabs>
        <w:spacing w:line="446" w:lineRule="auto" w:before="2" w:after="0"/>
        <w:ind w:left="418" w:right="1505" w:firstLine="422"/>
        <w:jc w:val="both"/>
        <w:rPr>
          <w:sz w:val="21"/>
        </w:rPr>
      </w:pPr>
      <w:r>
        <w:rPr>
          <w:spacing w:val="-3"/>
          <w:sz w:val="21"/>
        </w:rPr>
        <w:t>液化石油气加气站的消防给水设计流量，应按固定冷却水系统设计流量与室外消火</w:t>
      </w:r>
      <w:r>
        <w:rPr>
          <w:spacing w:val="-5"/>
          <w:sz w:val="21"/>
        </w:rPr>
        <w:t>栓设计流量之和确定，固定冷却水系统设计流量应按表 </w:t>
      </w:r>
      <w:r>
        <w:rPr>
          <w:sz w:val="21"/>
        </w:rPr>
        <w:t>3.4.11-1</w:t>
      </w:r>
      <w:r>
        <w:rPr>
          <w:spacing w:val="-7"/>
          <w:sz w:val="21"/>
        </w:rPr>
        <w:t> 规定的设计参数经计算确定， </w:t>
      </w:r>
      <w:r>
        <w:rPr>
          <w:spacing w:val="-8"/>
          <w:sz w:val="21"/>
        </w:rPr>
        <w:t>室外消火栓设计流量不应小于表 </w:t>
      </w:r>
      <w:r>
        <w:rPr>
          <w:sz w:val="21"/>
        </w:rPr>
        <w:t>3.4.11-2</w:t>
      </w:r>
      <w:r>
        <w:rPr>
          <w:spacing w:val="-8"/>
          <w:sz w:val="21"/>
        </w:rPr>
        <w:t> 的规定；当仅采用移动式冷却系统时，室外消火栓的</w:t>
      </w:r>
      <w:r>
        <w:rPr>
          <w:spacing w:val="-12"/>
          <w:sz w:val="21"/>
        </w:rPr>
        <w:t>设计流量应按表 </w:t>
      </w:r>
      <w:r>
        <w:rPr>
          <w:sz w:val="21"/>
        </w:rPr>
        <w:t>3.4.11-1</w:t>
      </w:r>
      <w:r>
        <w:rPr>
          <w:spacing w:val="-12"/>
          <w:sz w:val="21"/>
        </w:rPr>
        <w:t> 规定的设计参数计算，且不应小于 </w:t>
      </w:r>
      <w:r>
        <w:rPr>
          <w:sz w:val="21"/>
        </w:rPr>
        <w:t>15L/s</w:t>
      </w:r>
      <w:r>
        <w:rPr>
          <w:spacing w:val="-3"/>
          <w:sz w:val="21"/>
        </w:rPr>
        <w:t>。</w:t>
      </w:r>
      <w:r>
        <w:rPr>
          <w:sz w:val="21"/>
        </w:rPr>
        <w:t> </w:t>
      </w:r>
    </w:p>
    <w:p>
      <w:pPr>
        <w:pStyle w:val="Heading6"/>
        <w:spacing w:line="267" w:lineRule="exact"/>
        <w:ind w:left="1778"/>
        <w:jc w:val="both"/>
      </w:pPr>
      <w:r>
        <w:rPr/>
        <w:t>表 3.4.11-1 液化石油气加气站地上储罐冷却系统保护范围和喷水强度</w:t>
      </w:r>
      <w:r>
        <w:rPr>
          <w:w w:val="99"/>
        </w:rPr>
        <w:t> </w:t>
      </w:r>
    </w:p>
    <w:p>
      <w:pPr>
        <w:pStyle w:val="BodyText"/>
        <w:spacing w:before="11"/>
        <w:rPr>
          <w:b/>
          <w:sz w:val="24"/>
        </w:rPr>
      </w:pPr>
      <w:r>
        <w:rPr/>
        <w:drawing>
          <wp:anchor distT="0" distB="0" distL="0" distR="0" allowOverlap="1" layoutInCell="1" locked="0" behindDoc="0" simplePos="0" relativeHeight="223">
            <wp:simplePos x="0" y="0"/>
            <wp:positionH relativeFrom="page">
              <wp:posOffset>1304925</wp:posOffset>
            </wp:positionH>
            <wp:positionV relativeFrom="paragraph">
              <wp:posOffset>227196</wp:posOffset>
            </wp:positionV>
            <wp:extent cx="4790992" cy="1422368"/>
            <wp:effectExtent l="0" t="0" r="0" b="0"/>
            <wp:wrapTopAndBottom/>
            <wp:docPr id="525" name="image305.jpeg"/>
            <wp:cNvGraphicFramePr>
              <a:graphicFrameLocks noChangeAspect="1"/>
            </wp:cNvGraphicFramePr>
            <a:graphic>
              <a:graphicData uri="http://schemas.openxmlformats.org/drawingml/2006/picture">
                <pic:pic>
                  <pic:nvPicPr>
                    <pic:cNvPr id="526" name="image305.jpeg"/>
                    <pic:cNvPicPr/>
                  </pic:nvPicPr>
                  <pic:blipFill>
                    <a:blip r:embed="rId370" cstate="print"/>
                    <a:stretch>
                      <a:fillRect/>
                    </a:stretch>
                  </pic:blipFill>
                  <pic:spPr>
                    <a:xfrm>
                      <a:off x="0" y="0"/>
                      <a:ext cx="4790992" cy="1422368"/>
                    </a:xfrm>
                    <a:prstGeom prst="rect">
                      <a:avLst/>
                    </a:prstGeom>
                  </pic:spPr>
                </pic:pic>
              </a:graphicData>
            </a:graphic>
          </wp:anchor>
        </w:drawing>
      </w:r>
    </w:p>
    <w:p>
      <w:pPr>
        <w:spacing w:after="0"/>
        <w:rPr>
          <w:sz w:val="24"/>
        </w:rPr>
        <w:sectPr>
          <w:pgSz w:w="11910" w:h="16850"/>
          <w:pgMar w:header="0" w:footer="1189" w:top="1080" w:bottom="1380" w:left="1260" w:right="0"/>
        </w:sectPr>
      </w:pPr>
    </w:p>
    <w:p>
      <w:pPr>
        <w:spacing w:before="47"/>
        <w:ind w:left="0" w:right="3114" w:firstLine="0"/>
        <w:jc w:val="right"/>
        <w:rPr>
          <w:sz w:val="21"/>
        </w:rPr>
      </w:pPr>
      <w:r>
        <w:rPr>
          <w:b/>
          <w:spacing w:val="-26"/>
          <w:sz w:val="21"/>
        </w:rPr>
        <w:t>表 </w:t>
      </w:r>
      <w:r>
        <w:rPr>
          <w:b/>
          <w:sz w:val="21"/>
        </w:rPr>
        <w:t>3.4.11-2</w:t>
      </w:r>
      <w:r>
        <w:rPr>
          <w:b/>
          <w:spacing w:val="-3"/>
          <w:sz w:val="21"/>
        </w:rPr>
        <w:t> 液化石油气加气站室外消火栓设计流量</w:t>
      </w:r>
      <w:r>
        <w:rPr>
          <w:spacing w:val="-3"/>
          <w:w w:val="100"/>
          <w:sz w:val="21"/>
        </w:rPr>
        <w:t> </w:t>
      </w:r>
    </w:p>
    <w:p>
      <w:pPr>
        <w:pStyle w:val="BodyText"/>
        <w:rPr>
          <w:sz w:val="18"/>
        </w:rPr>
      </w:pPr>
    </w:p>
    <w:p>
      <w:pPr>
        <w:pStyle w:val="BodyText"/>
        <w:ind w:right="3080"/>
        <w:jc w:val="right"/>
      </w:pPr>
      <w:r>
        <w:rPr>
          <w:spacing w:val="-6"/>
        </w:rPr>
        <w:t>注：着火罐的直径与长度之和 </w:t>
      </w:r>
      <w:r>
        <w:rPr/>
        <w:t>0.75</w:t>
      </w:r>
      <w:r>
        <w:rPr>
          <w:spacing w:val="-8"/>
        </w:rPr>
        <w:t> 倍范围内的邻近地上罐应进行冷却。</w:t>
      </w:r>
      <w:r>
        <w:rPr/>
        <w:t> </w:t>
      </w:r>
    </w:p>
    <w:p>
      <w:pPr>
        <w:pStyle w:val="BodyText"/>
        <w:rPr>
          <w:sz w:val="20"/>
        </w:rPr>
      </w:pPr>
    </w:p>
    <w:p>
      <w:pPr>
        <w:pStyle w:val="BodyText"/>
        <w:spacing w:before="5"/>
        <w:rPr>
          <w:sz w:val="14"/>
        </w:rPr>
      </w:pPr>
      <w:r>
        <w:rPr/>
        <w:drawing>
          <wp:anchor distT="0" distB="0" distL="0" distR="0" allowOverlap="1" layoutInCell="1" locked="0" behindDoc="0" simplePos="0" relativeHeight="224">
            <wp:simplePos x="0" y="0"/>
            <wp:positionH relativeFrom="page">
              <wp:posOffset>1352550</wp:posOffset>
            </wp:positionH>
            <wp:positionV relativeFrom="paragraph">
              <wp:posOffset>142367</wp:posOffset>
            </wp:positionV>
            <wp:extent cx="4818251" cy="1136427"/>
            <wp:effectExtent l="0" t="0" r="0" b="0"/>
            <wp:wrapTopAndBottom/>
            <wp:docPr id="527" name="image306.jpeg"/>
            <wp:cNvGraphicFramePr>
              <a:graphicFrameLocks noChangeAspect="1"/>
            </wp:cNvGraphicFramePr>
            <a:graphic>
              <a:graphicData uri="http://schemas.openxmlformats.org/drawingml/2006/picture">
                <pic:pic>
                  <pic:nvPicPr>
                    <pic:cNvPr id="528" name="image306.jpeg"/>
                    <pic:cNvPicPr/>
                  </pic:nvPicPr>
                  <pic:blipFill>
                    <a:blip r:embed="rId371" cstate="print"/>
                    <a:stretch>
                      <a:fillRect/>
                    </a:stretch>
                  </pic:blipFill>
                  <pic:spPr>
                    <a:xfrm>
                      <a:off x="0" y="0"/>
                      <a:ext cx="4818251" cy="1136427"/>
                    </a:xfrm>
                    <a:prstGeom prst="rect">
                      <a:avLst/>
                    </a:prstGeom>
                  </pic:spPr>
                </pic:pic>
              </a:graphicData>
            </a:graphic>
          </wp:anchor>
        </w:drawing>
      </w:r>
    </w:p>
    <w:p>
      <w:pPr>
        <w:pStyle w:val="BodyText"/>
        <w:spacing w:before="3"/>
        <w:rPr>
          <w:sz w:val="18"/>
        </w:rPr>
      </w:pPr>
    </w:p>
    <w:p>
      <w:pPr>
        <w:pStyle w:val="ListParagraph"/>
        <w:numPr>
          <w:ilvl w:val="2"/>
          <w:numId w:val="672"/>
        </w:numPr>
        <w:tabs>
          <w:tab w:pos="1530" w:val="left" w:leader="none"/>
        </w:tabs>
        <w:spacing w:line="446" w:lineRule="auto" w:before="0" w:after="0"/>
        <w:ind w:left="418" w:right="1549" w:firstLine="422"/>
        <w:jc w:val="left"/>
        <w:rPr>
          <w:sz w:val="21"/>
        </w:rPr>
      </w:pPr>
      <w:r>
        <w:rPr>
          <w:spacing w:val="-3"/>
          <w:sz w:val="21"/>
        </w:rPr>
        <w:t>易燃、可燃材料露天、半露天堆场，可燃气体罐区的室外消火栓设计流量，不应小</w:t>
      </w:r>
      <w:r>
        <w:rPr>
          <w:spacing w:val="-20"/>
          <w:sz w:val="21"/>
        </w:rPr>
        <w:t>于表 </w:t>
      </w:r>
      <w:r>
        <w:rPr>
          <w:sz w:val="21"/>
        </w:rPr>
        <w:t>3.4.12</w:t>
      </w:r>
      <w:r>
        <w:rPr>
          <w:spacing w:val="-13"/>
          <w:sz w:val="21"/>
        </w:rPr>
        <w:t> 的规定。</w:t>
      </w:r>
      <w:r>
        <w:rPr>
          <w:sz w:val="21"/>
        </w:rPr>
        <w:t> </w:t>
      </w:r>
    </w:p>
    <w:p>
      <w:pPr>
        <w:pStyle w:val="Heading6"/>
        <w:spacing w:line="267" w:lineRule="exact"/>
        <w:ind w:left="1150"/>
        <w:rPr>
          <w:b w:val="0"/>
        </w:rPr>
      </w:pPr>
      <w:r>
        <w:rPr/>
        <w:t>表 3.4.12 易燃、可燃材料露天、半露天堆场，可燃气体罐区的室外消火栓设计流量</w:t>
      </w:r>
      <w:r>
        <w:rPr>
          <w:b w:val="0"/>
          <w:w w:val="100"/>
        </w:rPr>
        <w:t> </w:t>
      </w:r>
    </w:p>
    <w:p>
      <w:pPr>
        <w:pStyle w:val="BodyText"/>
        <w:rPr>
          <w:sz w:val="20"/>
        </w:rPr>
      </w:pPr>
    </w:p>
    <w:p>
      <w:pPr>
        <w:pStyle w:val="BodyText"/>
        <w:rPr>
          <w:sz w:val="16"/>
        </w:rPr>
      </w:pPr>
      <w:r>
        <w:rPr/>
        <w:drawing>
          <wp:anchor distT="0" distB="0" distL="0" distR="0" allowOverlap="1" layoutInCell="1" locked="0" behindDoc="0" simplePos="0" relativeHeight="225">
            <wp:simplePos x="0" y="0"/>
            <wp:positionH relativeFrom="page">
              <wp:posOffset>1113155</wp:posOffset>
            </wp:positionH>
            <wp:positionV relativeFrom="paragraph">
              <wp:posOffset>154948</wp:posOffset>
            </wp:positionV>
            <wp:extent cx="5237363" cy="4572000"/>
            <wp:effectExtent l="0" t="0" r="0" b="0"/>
            <wp:wrapTopAndBottom/>
            <wp:docPr id="529" name="image307.jpeg"/>
            <wp:cNvGraphicFramePr>
              <a:graphicFrameLocks noChangeAspect="1"/>
            </wp:cNvGraphicFramePr>
            <a:graphic>
              <a:graphicData uri="http://schemas.openxmlformats.org/drawingml/2006/picture">
                <pic:pic>
                  <pic:nvPicPr>
                    <pic:cNvPr id="530" name="image307.jpeg"/>
                    <pic:cNvPicPr/>
                  </pic:nvPicPr>
                  <pic:blipFill>
                    <a:blip r:embed="rId372" cstate="print"/>
                    <a:stretch>
                      <a:fillRect/>
                    </a:stretch>
                  </pic:blipFill>
                  <pic:spPr>
                    <a:xfrm>
                      <a:off x="0" y="0"/>
                      <a:ext cx="5237363" cy="4572000"/>
                    </a:xfrm>
                    <a:prstGeom prst="rect">
                      <a:avLst/>
                    </a:prstGeom>
                  </pic:spPr>
                </pic:pic>
              </a:graphicData>
            </a:graphic>
          </wp:anchor>
        </w:drawing>
      </w:r>
    </w:p>
    <w:p>
      <w:pPr>
        <w:pStyle w:val="BodyText"/>
        <w:spacing w:line="436" w:lineRule="auto" w:before="170"/>
        <w:ind w:left="418" w:right="1545"/>
      </w:pPr>
      <w:r>
        <w:rPr>
          <w:b/>
          <w:w w:val="99"/>
        </w:rPr>
        <w:t>   </w:t>
      </w:r>
      <w:r>
        <w:rPr/>
        <w:t>注：1.固定容积的可燃气体储罐的总容积按其几何容积（m</w:t>
      </w:r>
      <w:r>
        <w:rPr>
          <w:position w:val="11"/>
          <w:sz w:val="11"/>
        </w:rPr>
        <w:t>3</w:t>
      </w:r>
      <w:r>
        <w:rPr/>
        <w:t>）和设计工作压力（绝对压力， 10</w:t>
      </w:r>
      <w:r>
        <w:rPr>
          <w:position w:val="11"/>
          <w:sz w:val="11"/>
        </w:rPr>
        <w:t>5</w:t>
      </w:r>
      <w:r>
        <w:rPr/>
        <w:t>Pa）的乘积计算； </w:t>
      </w:r>
    </w:p>
    <w:p>
      <w:pPr>
        <w:spacing w:after="0" w:line="436" w:lineRule="auto"/>
        <w:sectPr>
          <w:pgSz w:w="11910" w:h="16850"/>
          <w:pgMar w:header="0" w:footer="1189" w:top="1220" w:bottom="1420" w:left="1260" w:right="0"/>
        </w:sectPr>
      </w:pPr>
    </w:p>
    <w:p>
      <w:pPr>
        <w:pStyle w:val="BodyText"/>
        <w:spacing w:line="441" w:lineRule="auto" w:before="47"/>
        <w:ind w:left="418" w:right="1445" w:firstLine="419"/>
      </w:pPr>
      <w:r>
        <w:rPr/>
        <w:t>2.</w:t>
      </w:r>
      <w:r>
        <w:rPr>
          <w:spacing w:val="-5"/>
        </w:rPr>
        <w:t>当稻草、麦秸、芦苇等易燃材料堆垛单垛重量大于 </w:t>
      </w:r>
      <w:r>
        <w:rPr/>
        <w:t>5000t</w:t>
      </w:r>
      <w:r>
        <w:rPr>
          <w:spacing w:val="-15"/>
        </w:rPr>
        <w:t> 或总重量大于 </w:t>
      </w:r>
      <w:r>
        <w:rPr/>
        <w:t>50000t</w:t>
      </w:r>
      <w:r>
        <w:rPr>
          <w:spacing w:val="-3"/>
        </w:rPr>
        <w:t>、木材等</w:t>
      </w:r>
      <w:r>
        <w:rPr>
          <w:spacing w:val="-6"/>
        </w:rPr>
        <w:t>可燃材料堆垛单垛容量大于 </w:t>
      </w:r>
      <w:r>
        <w:rPr/>
        <w:t>5000m</w:t>
      </w:r>
      <w:r>
        <w:rPr>
          <w:position w:val="11"/>
          <w:sz w:val="11"/>
        </w:rPr>
        <w:t>3 </w:t>
      </w:r>
      <w:r>
        <w:rPr>
          <w:spacing w:val="-9"/>
        </w:rPr>
        <w:t>或总容量大于 </w:t>
      </w:r>
      <w:r>
        <w:rPr/>
        <w:t>50000m</w:t>
      </w:r>
      <w:r>
        <w:rPr>
          <w:position w:val="11"/>
          <w:sz w:val="11"/>
        </w:rPr>
        <w:t>3 </w:t>
      </w:r>
      <w:r>
        <w:rPr>
          <w:spacing w:val="-3"/>
        </w:rPr>
        <w:t>时，室外消火栓设计流量应按本表规定的最大值增加一倍。</w:t>
      </w:r>
      <w:r>
        <w:rPr/>
        <w:t> </w:t>
      </w:r>
    </w:p>
    <w:p>
      <w:pPr>
        <w:pStyle w:val="ListParagraph"/>
        <w:numPr>
          <w:ilvl w:val="2"/>
          <w:numId w:val="672"/>
        </w:numPr>
        <w:tabs>
          <w:tab w:pos="1530" w:val="left" w:leader="none"/>
        </w:tabs>
        <w:spacing w:line="240" w:lineRule="auto" w:before="5" w:after="0"/>
        <w:ind w:left="1529" w:right="0" w:hanging="690"/>
        <w:jc w:val="left"/>
        <w:rPr>
          <w:sz w:val="21"/>
        </w:rPr>
      </w:pPr>
      <w:r>
        <w:rPr>
          <w:spacing w:val="-6"/>
          <w:sz w:val="21"/>
        </w:rPr>
        <w:t>城市交通隧道洞口外室外消火栓设计流量不应小于表 </w:t>
      </w:r>
      <w:r>
        <w:rPr>
          <w:sz w:val="21"/>
        </w:rPr>
        <w:t>3.4.13</w:t>
      </w:r>
      <w:r>
        <w:rPr>
          <w:spacing w:val="-12"/>
          <w:sz w:val="21"/>
        </w:rPr>
        <w:t>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9"/>
        </w:rPr>
      </w:pPr>
    </w:p>
    <w:p>
      <w:pPr>
        <w:pStyle w:val="Heading6"/>
        <w:spacing w:before="71"/>
        <w:ind w:left="2624"/>
      </w:pPr>
      <w:r>
        <w:rPr/>
        <w:t>表 3.4.13 城市交通隧道洞口外室外消火栓设计流量</w:t>
      </w:r>
      <w:r>
        <w:rPr>
          <w:w w:val="99"/>
        </w:rPr>
        <w:t> </w:t>
      </w:r>
    </w:p>
    <w:p>
      <w:pPr>
        <w:pStyle w:val="BodyText"/>
        <w:spacing w:before="5"/>
        <w:rPr>
          <w:b/>
          <w:sz w:val="11"/>
        </w:rPr>
      </w:pPr>
      <w:r>
        <w:rPr/>
        <w:drawing>
          <wp:anchor distT="0" distB="0" distL="0" distR="0" allowOverlap="1" layoutInCell="1" locked="0" behindDoc="0" simplePos="0" relativeHeight="226">
            <wp:simplePos x="0" y="0"/>
            <wp:positionH relativeFrom="page">
              <wp:posOffset>1170305</wp:posOffset>
            </wp:positionH>
            <wp:positionV relativeFrom="paragraph">
              <wp:posOffset>117498</wp:posOffset>
            </wp:positionV>
            <wp:extent cx="5107857" cy="1657350"/>
            <wp:effectExtent l="0" t="0" r="0" b="0"/>
            <wp:wrapTopAndBottom/>
            <wp:docPr id="531" name="image308.jpeg"/>
            <wp:cNvGraphicFramePr>
              <a:graphicFrameLocks noChangeAspect="1"/>
            </wp:cNvGraphicFramePr>
            <a:graphic>
              <a:graphicData uri="http://schemas.openxmlformats.org/drawingml/2006/picture">
                <pic:pic>
                  <pic:nvPicPr>
                    <pic:cNvPr id="532" name="image308.jpeg"/>
                    <pic:cNvPicPr/>
                  </pic:nvPicPr>
                  <pic:blipFill>
                    <a:blip r:embed="rId373" cstate="print"/>
                    <a:stretch>
                      <a:fillRect/>
                    </a:stretch>
                  </pic:blipFill>
                  <pic:spPr>
                    <a:xfrm>
                      <a:off x="0" y="0"/>
                      <a:ext cx="5107857" cy="1657350"/>
                    </a:xfrm>
                    <a:prstGeom prst="rect">
                      <a:avLst/>
                    </a:prstGeom>
                  </pic:spPr>
                </pic:pic>
              </a:graphicData>
            </a:graphic>
          </wp:anchor>
        </w:drawing>
      </w:r>
    </w:p>
    <w:p>
      <w:pPr>
        <w:pStyle w:val="ListParagraph"/>
        <w:numPr>
          <w:ilvl w:val="1"/>
          <w:numId w:val="672"/>
        </w:numPr>
        <w:tabs>
          <w:tab w:pos="1159" w:val="left" w:leader="none"/>
        </w:tabs>
        <w:spacing w:line="240" w:lineRule="auto" w:before="179" w:after="0"/>
        <w:ind w:left="1158" w:right="0" w:hanging="319"/>
        <w:jc w:val="left"/>
        <w:rPr>
          <w:sz w:val="21"/>
        </w:rPr>
      </w:pPr>
      <w:r>
        <w:rPr>
          <w:spacing w:val="-3"/>
          <w:sz w:val="21"/>
        </w:rPr>
        <w:t>室内消火栓设计流量</w:t>
      </w:r>
      <w:r>
        <w:rPr>
          <w:sz w:val="21"/>
        </w:rPr>
        <w:t> </w:t>
      </w:r>
    </w:p>
    <w:p>
      <w:pPr>
        <w:pStyle w:val="BodyText"/>
        <w:spacing w:before="12"/>
        <w:rPr>
          <w:sz w:val="17"/>
        </w:rPr>
      </w:pPr>
    </w:p>
    <w:p>
      <w:pPr>
        <w:pStyle w:val="ListParagraph"/>
        <w:numPr>
          <w:ilvl w:val="2"/>
          <w:numId w:val="672"/>
        </w:numPr>
        <w:tabs>
          <w:tab w:pos="1371" w:val="left" w:leader="none"/>
        </w:tabs>
        <w:spacing w:line="446" w:lineRule="auto" w:before="0" w:after="0"/>
        <w:ind w:left="418" w:right="1604" w:firstLine="422"/>
        <w:jc w:val="left"/>
        <w:rPr>
          <w:sz w:val="19"/>
        </w:rPr>
      </w:pPr>
      <w:r>
        <w:rPr>
          <w:spacing w:val="-3"/>
          <w:sz w:val="21"/>
        </w:rPr>
        <w:t>建筑物室内消火栓设计流量，应根据建筑物的用途功能、体积、高度、耐火等级、火灾危险性等因素综合确定。</w:t>
      </w:r>
      <w:r>
        <w:rPr>
          <w:sz w:val="21"/>
        </w:rPr>
        <w:t> </w:t>
      </w:r>
    </w:p>
    <w:p>
      <w:pPr>
        <w:pStyle w:val="ListParagraph"/>
        <w:numPr>
          <w:ilvl w:val="2"/>
          <w:numId w:val="672"/>
        </w:numPr>
        <w:tabs>
          <w:tab w:pos="1424" w:val="left" w:leader="none"/>
        </w:tabs>
        <w:spacing w:line="240" w:lineRule="auto" w:before="0" w:after="0"/>
        <w:ind w:left="1423" w:right="0" w:hanging="584"/>
        <w:jc w:val="left"/>
        <w:rPr>
          <w:sz w:val="21"/>
        </w:rPr>
      </w:pPr>
      <w:r>
        <w:rPr>
          <w:spacing w:val="-6"/>
          <w:sz w:val="21"/>
        </w:rPr>
        <w:t>建筑物室内消火栓设计流量不应小于表 </w:t>
      </w:r>
      <w:r>
        <w:rPr>
          <w:sz w:val="21"/>
        </w:rPr>
        <w:t>3.5.2</w:t>
      </w:r>
      <w:r>
        <w:rPr>
          <w:spacing w:val="-13"/>
          <w:sz w:val="21"/>
        </w:rPr>
        <w:t> 的规定。</w:t>
      </w:r>
      <w:r>
        <w:rPr>
          <w:sz w:val="21"/>
        </w:rPr>
        <w:t> </w:t>
      </w:r>
    </w:p>
    <w:p>
      <w:pPr>
        <w:spacing w:after="0" w:line="240" w:lineRule="auto"/>
        <w:jc w:val="left"/>
        <w:rPr>
          <w:sz w:val="21"/>
        </w:rPr>
        <w:sectPr>
          <w:pgSz w:w="11910" w:h="16850"/>
          <w:pgMar w:header="0" w:footer="1189" w:top="1220" w:bottom="1420" w:left="1260" w:right="0"/>
        </w:sectPr>
      </w:pPr>
    </w:p>
    <w:p>
      <w:pPr>
        <w:pStyle w:val="Heading6"/>
        <w:spacing w:before="47"/>
        <w:ind w:right="490"/>
        <w:jc w:val="center"/>
      </w:pPr>
      <w:r>
        <w:rPr/>
        <w:drawing>
          <wp:anchor distT="0" distB="0" distL="0" distR="0" allowOverlap="1" layoutInCell="1" locked="0" behindDoc="0" simplePos="0" relativeHeight="227">
            <wp:simplePos x="0" y="0"/>
            <wp:positionH relativeFrom="page">
              <wp:posOffset>1332230</wp:posOffset>
            </wp:positionH>
            <wp:positionV relativeFrom="paragraph">
              <wp:posOffset>286130</wp:posOffset>
            </wp:positionV>
            <wp:extent cx="4700077" cy="3509391"/>
            <wp:effectExtent l="0" t="0" r="0" b="0"/>
            <wp:wrapTopAndBottom/>
            <wp:docPr id="533" name="image309.jpeg"/>
            <wp:cNvGraphicFramePr>
              <a:graphicFrameLocks noChangeAspect="1"/>
            </wp:cNvGraphicFramePr>
            <a:graphic>
              <a:graphicData uri="http://schemas.openxmlformats.org/drawingml/2006/picture">
                <pic:pic>
                  <pic:nvPicPr>
                    <pic:cNvPr id="534" name="image309.jpeg"/>
                    <pic:cNvPicPr/>
                  </pic:nvPicPr>
                  <pic:blipFill>
                    <a:blip r:embed="rId374" cstate="print"/>
                    <a:stretch>
                      <a:fillRect/>
                    </a:stretch>
                  </pic:blipFill>
                  <pic:spPr>
                    <a:xfrm>
                      <a:off x="0" y="0"/>
                      <a:ext cx="4700077" cy="3509391"/>
                    </a:xfrm>
                    <a:prstGeom prst="rect">
                      <a:avLst/>
                    </a:prstGeom>
                  </pic:spPr>
                </pic:pic>
              </a:graphicData>
            </a:graphic>
          </wp:anchor>
        </w:drawing>
      </w:r>
      <w:r>
        <w:rPr/>
        <w:t>表 3.5.2 建筑物室内消火栓设计流量</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130"/>
        <w:ind w:left="0" w:right="490" w:firstLine="0"/>
        <w:jc w:val="center"/>
        <w:rPr>
          <w:b/>
          <w:sz w:val="21"/>
        </w:rPr>
      </w:pPr>
      <w:r>
        <w:rPr>
          <w:b/>
          <w:w w:val="99"/>
          <w:sz w:val="21"/>
        </w:rPr>
        <w:t> </w:t>
      </w:r>
    </w:p>
    <w:p>
      <w:pPr>
        <w:spacing w:after="0"/>
        <w:jc w:val="center"/>
        <w:rPr>
          <w:sz w:val="21"/>
        </w:rPr>
        <w:sectPr>
          <w:pgSz w:w="11910" w:h="16850"/>
          <w:pgMar w:header="0" w:footer="1189" w:top="1220" w:bottom="1420" w:left="1260" w:right="0"/>
        </w:sectPr>
      </w:pPr>
    </w:p>
    <w:p>
      <w:pPr>
        <w:pStyle w:val="BodyText"/>
        <w:ind w:left="943"/>
        <w:rPr>
          <w:sz w:val="20"/>
        </w:rPr>
      </w:pPr>
      <w:r>
        <w:rPr>
          <w:sz w:val="20"/>
        </w:rPr>
        <w:drawing>
          <wp:inline distT="0" distB="0" distL="0" distR="0">
            <wp:extent cx="4563899" cy="6324600"/>
            <wp:effectExtent l="0" t="0" r="0" b="0"/>
            <wp:docPr id="535" name="image310.jpeg"/>
            <wp:cNvGraphicFramePr>
              <a:graphicFrameLocks noChangeAspect="1"/>
            </wp:cNvGraphicFramePr>
            <a:graphic>
              <a:graphicData uri="http://schemas.openxmlformats.org/drawingml/2006/picture">
                <pic:pic>
                  <pic:nvPicPr>
                    <pic:cNvPr id="536" name="image310.jpeg"/>
                    <pic:cNvPicPr/>
                  </pic:nvPicPr>
                  <pic:blipFill>
                    <a:blip r:embed="rId376" cstate="print"/>
                    <a:stretch>
                      <a:fillRect/>
                    </a:stretch>
                  </pic:blipFill>
                  <pic:spPr>
                    <a:xfrm>
                      <a:off x="0" y="0"/>
                      <a:ext cx="4563899" cy="6324600"/>
                    </a:xfrm>
                    <a:prstGeom prst="rect">
                      <a:avLst/>
                    </a:prstGeom>
                  </pic:spPr>
                </pic:pic>
              </a:graphicData>
            </a:graphic>
          </wp:inline>
        </w:drawing>
      </w:r>
      <w:r>
        <w:rPr>
          <w:sz w:val="20"/>
        </w:rPr>
      </w:r>
    </w:p>
    <w:p>
      <w:pPr>
        <w:pStyle w:val="BodyText"/>
        <w:spacing w:before="9"/>
        <w:rPr>
          <w:b/>
          <w:sz w:val="23"/>
        </w:rPr>
      </w:pPr>
    </w:p>
    <w:p>
      <w:pPr>
        <w:spacing w:before="72"/>
        <w:ind w:left="0" w:right="490" w:firstLine="0"/>
        <w:jc w:val="center"/>
        <w:rPr>
          <w:b/>
          <w:sz w:val="21"/>
        </w:rPr>
      </w:pPr>
      <w:r>
        <w:rPr>
          <w:b/>
          <w:w w:val="99"/>
          <w:sz w:val="21"/>
        </w:rPr>
        <w:t> </w:t>
      </w:r>
    </w:p>
    <w:p>
      <w:pPr>
        <w:spacing w:after="0"/>
        <w:jc w:val="center"/>
        <w:rPr>
          <w:sz w:val="21"/>
        </w:rPr>
        <w:sectPr>
          <w:footerReference w:type="default" r:id="rId375"/>
          <w:pgSz w:w="11910" w:h="16850"/>
          <w:pgMar w:footer="1228" w:header="0" w:top="1520" w:bottom="1420" w:left="1260" w:right="0"/>
          <w:pgNumType w:start="1320"/>
        </w:sectPr>
      </w:pPr>
    </w:p>
    <w:p>
      <w:pPr>
        <w:pStyle w:val="BodyText"/>
        <w:ind w:left="1278"/>
        <w:rPr>
          <w:sz w:val="20"/>
        </w:rPr>
      </w:pPr>
      <w:r>
        <w:rPr>
          <w:sz w:val="20"/>
        </w:rPr>
        <w:drawing>
          <wp:inline distT="0" distB="0" distL="0" distR="0">
            <wp:extent cx="4039969" cy="5371338"/>
            <wp:effectExtent l="0" t="0" r="0" b="0"/>
            <wp:docPr id="537" name="image311.jpeg"/>
            <wp:cNvGraphicFramePr>
              <a:graphicFrameLocks noChangeAspect="1"/>
            </wp:cNvGraphicFramePr>
            <a:graphic>
              <a:graphicData uri="http://schemas.openxmlformats.org/drawingml/2006/picture">
                <pic:pic>
                  <pic:nvPicPr>
                    <pic:cNvPr id="538" name="image311.jpeg"/>
                    <pic:cNvPicPr/>
                  </pic:nvPicPr>
                  <pic:blipFill>
                    <a:blip r:embed="rId377" cstate="print"/>
                    <a:stretch>
                      <a:fillRect/>
                    </a:stretch>
                  </pic:blipFill>
                  <pic:spPr>
                    <a:xfrm>
                      <a:off x="0" y="0"/>
                      <a:ext cx="4039969" cy="5371338"/>
                    </a:xfrm>
                    <a:prstGeom prst="rect">
                      <a:avLst/>
                    </a:prstGeom>
                  </pic:spPr>
                </pic:pic>
              </a:graphicData>
            </a:graphic>
          </wp:inline>
        </w:drawing>
      </w:r>
      <w:r>
        <w:rPr>
          <w:sz w:val="20"/>
        </w:rPr>
      </w:r>
    </w:p>
    <w:p>
      <w:pPr>
        <w:pStyle w:val="BodyText"/>
        <w:spacing w:before="1"/>
        <w:rPr>
          <w:b/>
          <w:sz w:val="8"/>
        </w:rPr>
      </w:pPr>
    </w:p>
    <w:p>
      <w:pPr>
        <w:pStyle w:val="BodyText"/>
        <w:spacing w:line="446" w:lineRule="auto" w:before="72"/>
        <w:ind w:left="418" w:right="1392" w:firstLine="419"/>
      </w:pPr>
      <w:r>
        <w:rPr/>
        <w:t>注：1.丁、戊类高层厂房（仓库）室内消火栓的设计流量可按本表减少 10L/s，同时使用消防水枪数量可按本表减少 2 支； </w:t>
      </w:r>
    </w:p>
    <w:p>
      <w:pPr>
        <w:pStyle w:val="ListParagraph"/>
        <w:numPr>
          <w:ilvl w:val="0"/>
          <w:numId w:val="682"/>
        </w:numPr>
        <w:tabs>
          <w:tab w:pos="1051" w:val="left" w:leader="none"/>
        </w:tabs>
        <w:spacing w:line="446" w:lineRule="auto" w:before="0" w:after="0"/>
        <w:ind w:left="418" w:right="1609" w:firstLine="419"/>
        <w:jc w:val="left"/>
        <w:rPr>
          <w:sz w:val="21"/>
        </w:rPr>
      </w:pPr>
      <w:r>
        <w:rPr>
          <w:spacing w:val="-3"/>
          <w:sz w:val="21"/>
        </w:rPr>
        <w:t>消防软管卷盘、轻便消防水龙及多层住宅楼梯间中的干式消防竖管，其消火栓设计流量可不计入室内消防给水设计流量；</w:t>
      </w:r>
      <w:r>
        <w:rPr>
          <w:sz w:val="21"/>
        </w:rPr>
        <w:t> </w:t>
      </w:r>
    </w:p>
    <w:p>
      <w:pPr>
        <w:pStyle w:val="ListParagraph"/>
        <w:numPr>
          <w:ilvl w:val="0"/>
          <w:numId w:val="682"/>
        </w:numPr>
        <w:tabs>
          <w:tab w:pos="1051" w:val="left" w:leader="none"/>
        </w:tabs>
        <w:spacing w:line="446" w:lineRule="auto" w:before="0" w:after="0"/>
        <w:ind w:left="418" w:right="1817" w:firstLine="419"/>
        <w:jc w:val="left"/>
        <w:rPr>
          <w:sz w:val="21"/>
        </w:rPr>
      </w:pPr>
      <w:r>
        <w:rPr>
          <w:spacing w:val="-3"/>
          <w:sz w:val="21"/>
        </w:rPr>
        <w:t>当一座多层建筑有多种使用功能时，室内消火栓设计流量应分别按本表中不同功能计算，且应取最大值。</w:t>
      </w:r>
      <w:r>
        <w:rPr>
          <w:sz w:val="21"/>
        </w:rPr>
        <w:t> </w:t>
      </w: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当建筑物室内设有自动喷水灭火系统、水喷雾灭火系统、泡沫灭火系统或固定消防炮</w:t>
      </w:r>
      <w:r>
        <w:rPr>
          <w:spacing w:val="-5"/>
          <w:sz w:val="21"/>
        </w:rPr>
        <w:t>灭火系统等一种或两种以上自动水灭火系统全保护时，高层建筑当高度不超过 </w:t>
      </w:r>
      <w:r>
        <w:rPr>
          <w:sz w:val="21"/>
        </w:rPr>
        <w:t>50m</w:t>
      </w:r>
      <w:r>
        <w:rPr>
          <w:spacing w:val="-10"/>
          <w:sz w:val="21"/>
        </w:rPr>
        <w:t> 且室内消火栓系统设计流量超过 </w:t>
      </w:r>
      <w:r>
        <w:rPr>
          <w:sz w:val="21"/>
        </w:rPr>
        <w:t>20L/s</w:t>
      </w:r>
      <w:r>
        <w:rPr>
          <w:spacing w:val="-10"/>
          <w:sz w:val="21"/>
        </w:rPr>
        <w:t> 时，其室内消火栓设计流量可按本规范表 </w:t>
      </w:r>
      <w:r>
        <w:rPr>
          <w:sz w:val="21"/>
        </w:rPr>
        <w:t>3.5.2</w:t>
      </w:r>
      <w:r>
        <w:rPr>
          <w:spacing w:val="-26"/>
          <w:sz w:val="21"/>
        </w:rPr>
        <w:t> 减少 </w:t>
      </w:r>
      <w:r>
        <w:rPr>
          <w:sz w:val="21"/>
        </w:rPr>
        <w:t>5L/s</w:t>
      </w:r>
      <w:r>
        <w:rPr>
          <w:spacing w:val="-2"/>
          <w:sz w:val="21"/>
        </w:rPr>
        <w:t>；多层建</w:t>
      </w:r>
      <w:r>
        <w:rPr>
          <w:spacing w:val="-7"/>
          <w:sz w:val="21"/>
        </w:rPr>
        <w:t>筑室内消火栓设计流量可减少 </w:t>
      </w:r>
      <w:r>
        <w:rPr>
          <w:sz w:val="21"/>
        </w:rPr>
        <w:t>50</w:t>
      </w:r>
      <w:r>
        <w:rPr>
          <w:spacing w:val="-9"/>
          <w:sz w:val="21"/>
        </w:rPr>
        <w:t>%，但不应小于 </w:t>
      </w:r>
      <w:r>
        <w:rPr>
          <w:sz w:val="21"/>
        </w:rPr>
        <w:t>10L/s</w:t>
      </w:r>
      <w:r>
        <w:rPr>
          <w:spacing w:val="-3"/>
          <w:sz w:val="21"/>
        </w:rPr>
        <w:t>。</w:t>
      </w:r>
      <w:r>
        <w:rPr>
          <w:sz w:val="21"/>
        </w:rPr>
        <w:t> </w:t>
      </w:r>
    </w:p>
    <w:p>
      <w:pPr>
        <w:spacing w:after="0" w:line="446" w:lineRule="auto"/>
        <w:jc w:val="left"/>
        <w:rPr>
          <w:sz w:val="21"/>
        </w:rPr>
        <w:sectPr>
          <w:pgSz w:w="11910" w:h="16850"/>
          <w:pgMar w:header="0" w:footer="1228" w:top="1560" w:bottom="1420" w:left="1260" w:right="0"/>
        </w:sectPr>
      </w:pPr>
    </w:p>
    <w:p>
      <w:pPr>
        <w:pStyle w:val="ListParagraph"/>
        <w:numPr>
          <w:ilvl w:val="2"/>
          <w:numId w:val="672"/>
        </w:numPr>
        <w:tabs>
          <w:tab w:pos="1424" w:val="left" w:leader="none"/>
        </w:tabs>
        <w:spacing w:line="446" w:lineRule="auto" w:before="47" w:after="0"/>
        <w:ind w:left="418" w:right="1445" w:firstLine="422"/>
        <w:jc w:val="left"/>
        <w:rPr>
          <w:sz w:val="21"/>
        </w:rPr>
      </w:pPr>
      <w:r>
        <w:rPr>
          <w:spacing w:val="-3"/>
          <w:sz w:val="21"/>
        </w:rPr>
        <w:t>宿舍、公寓等非住宅类居住建筑的室内消火栓设计流量，当为多层建筑时，应按本规</w:t>
      </w:r>
      <w:r>
        <w:rPr>
          <w:spacing w:val="-18"/>
          <w:sz w:val="21"/>
        </w:rPr>
        <w:t>范表 </w:t>
      </w:r>
      <w:r>
        <w:rPr>
          <w:sz w:val="21"/>
        </w:rPr>
        <w:t>3.5.2</w:t>
      </w:r>
      <w:r>
        <w:rPr>
          <w:spacing w:val="-10"/>
          <w:sz w:val="21"/>
        </w:rPr>
        <w:t> 中的宿舍、公寓确定，当为高层建筑时，应按本规范表 </w:t>
      </w:r>
      <w:r>
        <w:rPr>
          <w:sz w:val="21"/>
        </w:rPr>
        <w:t>3.5.2</w:t>
      </w:r>
      <w:r>
        <w:rPr>
          <w:spacing w:val="-8"/>
          <w:sz w:val="21"/>
        </w:rPr>
        <w:t> 中的公共建筑确定。</w:t>
      </w:r>
      <w:r>
        <w:rPr>
          <w:sz w:val="21"/>
        </w:rPr>
        <w:t> </w:t>
      </w:r>
    </w:p>
    <w:p>
      <w:pPr>
        <w:pStyle w:val="ListParagraph"/>
        <w:numPr>
          <w:ilvl w:val="2"/>
          <w:numId w:val="672"/>
        </w:numPr>
        <w:tabs>
          <w:tab w:pos="1424" w:val="left" w:leader="none"/>
        </w:tabs>
        <w:spacing w:line="267" w:lineRule="exact" w:before="0" w:after="0"/>
        <w:ind w:left="1423" w:right="0" w:hanging="584"/>
        <w:jc w:val="left"/>
        <w:rPr>
          <w:sz w:val="21"/>
        </w:rPr>
      </w:pPr>
      <w:r>
        <w:rPr>
          <w:spacing w:val="-6"/>
          <w:sz w:val="21"/>
        </w:rPr>
        <w:t>城市交通隧道内室内消火栓设计流量不应小于表 </w:t>
      </w:r>
      <w:r>
        <w:rPr>
          <w:sz w:val="21"/>
        </w:rPr>
        <w:t>3.5.5</w:t>
      </w:r>
      <w:r>
        <w:rPr>
          <w:spacing w:val="-13"/>
          <w:sz w:val="21"/>
        </w:rPr>
        <w:t> 的规定。</w:t>
      </w:r>
      <w:r>
        <w:rPr>
          <w:sz w:val="21"/>
        </w:rPr>
        <w:t> </w:t>
      </w:r>
    </w:p>
    <w:p>
      <w:pPr>
        <w:pStyle w:val="BodyText"/>
        <w:spacing w:before="2"/>
        <w:rPr>
          <w:sz w:val="18"/>
        </w:rPr>
      </w:pPr>
    </w:p>
    <w:p>
      <w:pPr>
        <w:pStyle w:val="Heading6"/>
        <w:ind w:left="2888"/>
      </w:pPr>
      <w:r>
        <w:rPr/>
        <w:t>表 3.5.5 城市交通隧道内室内消火栓设计流量</w:t>
      </w:r>
      <w:r>
        <w:rPr>
          <w:w w:val="99"/>
        </w:rPr>
        <w:t> </w:t>
      </w:r>
    </w:p>
    <w:p>
      <w:pPr>
        <w:pStyle w:val="BodyText"/>
        <w:spacing w:before="3"/>
        <w:rPr>
          <w:b/>
          <w:sz w:val="24"/>
        </w:rPr>
      </w:pPr>
      <w:r>
        <w:rPr/>
        <w:drawing>
          <wp:anchor distT="0" distB="0" distL="0" distR="0" allowOverlap="1" layoutInCell="1" locked="0" behindDoc="0" simplePos="0" relativeHeight="228">
            <wp:simplePos x="0" y="0"/>
            <wp:positionH relativeFrom="page">
              <wp:posOffset>1434464</wp:posOffset>
            </wp:positionH>
            <wp:positionV relativeFrom="paragraph">
              <wp:posOffset>222027</wp:posOffset>
            </wp:positionV>
            <wp:extent cx="4804744" cy="1329594"/>
            <wp:effectExtent l="0" t="0" r="0" b="0"/>
            <wp:wrapTopAndBottom/>
            <wp:docPr id="539" name="image312.jpeg"/>
            <wp:cNvGraphicFramePr>
              <a:graphicFrameLocks noChangeAspect="1"/>
            </wp:cNvGraphicFramePr>
            <a:graphic>
              <a:graphicData uri="http://schemas.openxmlformats.org/drawingml/2006/picture">
                <pic:pic>
                  <pic:nvPicPr>
                    <pic:cNvPr id="540" name="image312.jpeg"/>
                    <pic:cNvPicPr/>
                  </pic:nvPicPr>
                  <pic:blipFill>
                    <a:blip r:embed="rId378" cstate="print"/>
                    <a:stretch>
                      <a:fillRect/>
                    </a:stretch>
                  </pic:blipFill>
                  <pic:spPr>
                    <a:xfrm>
                      <a:off x="0" y="0"/>
                      <a:ext cx="4804744" cy="1329594"/>
                    </a:xfrm>
                    <a:prstGeom prst="rect">
                      <a:avLst/>
                    </a:prstGeom>
                  </pic:spPr>
                </pic:pic>
              </a:graphicData>
            </a:graphic>
          </wp:anchor>
        </w:drawing>
      </w:r>
    </w:p>
    <w:p>
      <w:pPr>
        <w:pStyle w:val="ListParagraph"/>
        <w:numPr>
          <w:ilvl w:val="2"/>
          <w:numId w:val="672"/>
        </w:numPr>
        <w:tabs>
          <w:tab w:pos="1371" w:val="left" w:leader="none"/>
        </w:tabs>
        <w:spacing w:line="240" w:lineRule="auto" w:before="158" w:after="0"/>
        <w:ind w:left="1370" w:right="0" w:hanging="531"/>
        <w:jc w:val="left"/>
        <w:rPr>
          <w:sz w:val="19"/>
        </w:rPr>
      </w:pPr>
      <w:r>
        <w:rPr>
          <w:spacing w:val="-6"/>
          <w:sz w:val="21"/>
        </w:rPr>
        <w:t>地铁地下车站室内消火栓设计流量不应小于 </w:t>
      </w:r>
      <w:r>
        <w:rPr>
          <w:sz w:val="21"/>
        </w:rPr>
        <w:t>20L/s</w:t>
      </w:r>
      <w:r>
        <w:rPr>
          <w:spacing w:val="-8"/>
          <w:sz w:val="21"/>
        </w:rPr>
        <w:t>，区间隧道不应小于 </w:t>
      </w:r>
      <w:r>
        <w:rPr>
          <w:sz w:val="21"/>
        </w:rPr>
        <w:t>10L/s</w:t>
      </w:r>
      <w:r>
        <w:rPr>
          <w:spacing w:val="-3"/>
          <w:sz w:val="21"/>
        </w:rPr>
        <w:t>。</w:t>
      </w:r>
      <w:r>
        <w:rPr>
          <w:sz w:val="21"/>
        </w:rPr>
        <w:t> </w:t>
      </w:r>
    </w:p>
    <w:p>
      <w:pPr>
        <w:pStyle w:val="BodyText"/>
        <w:rPr>
          <w:sz w:val="18"/>
        </w:rPr>
      </w:pPr>
    </w:p>
    <w:p>
      <w:pPr>
        <w:pStyle w:val="ListParagraph"/>
        <w:numPr>
          <w:ilvl w:val="1"/>
          <w:numId w:val="672"/>
        </w:numPr>
        <w:tabs>
          <w:tab w:pos="1160" w:val="left" w:leader="none"/>
        </w:tabs>
        <w:spacing w:line="240" w:lineRule="auto" w:before="0" w:after="0"/>
        <w:ind w:left="1159" w:right="0" w:hanging="320"/>
        <w:jc w:val="left"/>
        <w:rPr>
          <w:b/>
          <w:sz w:val="21"/>
        </w:rPr>
      </w:pPr>
      <w:r>
        <w:rPr>
          <w:spacing w:val="-3"/>
          <w:sz w:val="21"/>
        </w:rPr>
        <w:t>消防用水量</w:t>
      </w:r>
      <w:r>
        <w:rPr>
          <w:b/>
          <w:w w:val="99"/>
          <w:sz w:val="21"/>
        </w:rPr>
        <w:t> </w:t>
      </w:r>
    </w:p>
    <w:p>
      <w:pPr>
        <w:pStyle w:val="BodyText"/>
        <w:spacing w:before="12"/>
        <w:rPr>
          <w:b/>
          <w:sz w:val="17"/>
        </w:rPr>
      </w:pPr>
    </w:p>
    <w:p>
      <w:pPr>
        <w:pStyle w:val="ListParagraph"/>
        <w:numPr>
          <w:ilvl w:val="2"/>
          <w:numId w:val="672"/>
        </w:numPr>
        <w:tabs>
          <w:tab w:pos="1424" w:val="left" w:leader="none"/>
        </w:tabs>
        <w:spacing w:line="446" w:lineRule="auto" w:before="0" w:after="0"/>
        <w:ind w:left="418" w:right="1657" w:firstLine="422"/>
        <w:jc w:val="left"/>
        <w:rPr>
          <w:sz w:val="21"/>
        </w:rPr>
      </w:pPr>
      <w:r>
        <w:rPr>
          <w:spacing w:val="-3"/>
          <w:sz w:val="21"/>
        </w:rPr>
        <w:t>消防给水一起火灾灭火用水量应按需要同时作用的室内、外消防给水用水量之和计算，两座及以上建筑合用时，应取最大者，并应按下列公式计算：</w:t>
      </w:r>
      <w:r>
        <w:rPr>
          <w:sz w:val="21"/>
        </w:rPr>
        <w:t> </w:t>
      </w:r>
    </w:p>
    <w:p>
      <w:pPr>
        <w:pStyle w:val="BodyText"/>
        <w:spacing w:before="5"/>
        <w:rPr>
          <w:sz w:val="18"/>
        </w:rPr>
      </w:pPr>
      <w:r>
        <w:rPr/>
        <w:drawing>
          <wp:anchor distT="0" distB="0" distL="0" distR="0" allowOverlap="1" layoutInCell="1" locked="0" behindDoc="0" simplePos="0" relativeHeight="229">
            <wp:simplePos x="0" y="0"/>
            <wp:positionH relativeFrom="page">
              <wp:posOffset>1970106</wp:posOffset>
            </wp:positionH>
            <wp:positionV relativeFrom="paragraph">
              <wp:posOffset>174717</wp:posOffset>
            </wp:positionV>
            <wp:extent cx="3484678" cy="2286000"/>
            <wp:effectExtent l="0" t="0" r="0" b="0"/>
            <wp:wrapTopAndBottom/>
            <wp:docPr id="541" name="image313.jpeg"/>
            <wp:cNvGraphicFramePr>
              <a:graphicFrameLocks noChangeAspect="1"/>
            </wp:cNvGraphicFramePr>
            <a:graphic>
              <a:graphicData uri="http://schemas.openxmlformats.org/drawingml/2006/picture">
                <pic:pic>
                  <pic:nvPicPr>
                    <pic:cNvPr id="542" name="image313.jpeg"/>
                    <pic:cNvPicPr/>
                  </pic:nvPicPr>
                  <pic:blipFill>
                    <a:blip r:embed="rId379" cstate="print"/>
                    <a:stretch>
                      <a:fillRect/>
                    </a:stretch>
                  </pic:blipFill>
                  <pic:spPr>
                    <a:xfrm>
                      <a:off x="0" y="0"/>
                      <a:ext cx="3484678" cy="22860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2"/>
        </w:rPr>
      </w:pPr>
      <w:r>
        <w:rPr/>
        <w:drawing>
          <wp:anchor distT="0" distB="0" distL="0" distR="0" allowOverlap="1" layoutInCell="1" locked="0" behindDoc="0" simplePos="0" relativeHeight="230">
            <wp:simplePos x="0" y="0"/>
            <wp:positionH relativeFrom="page">
              <wp:posOffset>1970211</wp:posOffset>
            </wp:positionH>
            <wp:positionV relativeFrom="paragraph">
              <wp:posOffset>206711</wp:posOffset>
            </wp:positionV>
            <wp:extent cx="2808148" cy="1076325"/>
            <wp:effectExtent l="0" t="0" r="0" b="0"/>
            <wp:wrapTopAndBottom/>
            <wp:docPr id="543" name="image314.jpeg"/>
            <wp:cNvGraphicFramePr>
              <a:graphicFrameLocks noChangeAspect="1"/>
            </wp:cNvGraphicFramePr>
            <a:graphic>
              <a:graphicData uri="http://schemas.openxmlformats.org/drawingml/2006/picture">
                <pic:pic>
                  <pic:nvPicPr>
                    <pic:cNvPr id="544" name="image314.jpeg"/>
                    <pic:cNvPicPr/>
                  </pic:nvPicPr>
                  <pic:blipFill>
                    <a:blip r:embed="rId380" cstate="print"/>
                    <a:stretch>
                      <a:fillRect/>
                    </a:stretch>
                  </pic:blipFill>
                  <pic:spPr>
                    <a:xfrm>
                      <a:off x="0" y="0"/>
                      <a:ext cx="2808148" cy="1076325"/>
                    </a:xfrm>
                    <a:prstGeom prst="rect">
                      <a:avLst/>
                    </a:prstGeom>
                  </pic:spPr>
                </pic:pic>
              </a:graphicData>
            </a:graphic>
          </wp:anchor>
        </w:drawing>
      </w:r>
    </w:p>
    <w:p>
      <w:pPr>
        <w:pStyle w:val="BodyText"/>
        <w:spacing w:before="9"/>
        <w:rPr>
          <w:sz w:val="10"/>
        </w:rPr>
      </w:pPr>
    </w:p>
    <w:p>
      <w:pPr>
        <w:pStyle w:val="ListParagraph"/>
        <w:numPr>
          <w:ilvl w:val="2"/>
          <w:numId w:val="672"/>
        </w:numPr>
        <w:tabs>
          <w:tab w:pos="1417" w:val="left" w:leader="none"/>
        </w:tabs>
        <w:spacing w:line="240" w:lineRule="auto" w:before="71" w:after="0"/>
        <w:ind w:left="1416" w:right="0" w:hanging="579"/>
        <w:jc w:val="left"/>
        <w:rPr>
          <w:sz w:val="21"/>
        </w:rPr>
      </w:pPr>
      <w:r>
        <w:rPr>
          <w:spacing w:val="-5"/>
          <w:sz w:val="21"/>
        </w:rPr>
        <w:t>不同场所消火栓系统和固定冷却水系统的火灾延续时间不应小于表 </w:t>
      </w:r>
      <w:r>
        <w:rPr>
          <w:sz w:val="21"/>
        </w:rPr>
        <w:t>3.6.2</w:t>
      </w:r>
      <w:r>
        <w:rPr>
          <w:spacing w:val="-13"/>
          <w:sz w:val="21"/>
        </w:rPr>
        <w:t> 的规定。</w:t>
      </w:r>
      <w:r>
        <w:rPr>
          <w:sz w:val="21"/>
        </w:rPr>
        <w:t> </w:t>
      </w:r>
    </w:p>
    <w:p>
      <w:pPr>
        <w:spacing w:after="0" w:line="240" w:lineRule="auto"/>
        <w:jc w:val="left"/>
        <w:rPr>
          <w:sz w:val="21"/>
        </w:rPr>
        <w:sectPr>
          <w:pgSz w:w="11910" w:h="16850"/>
          <w:pgMar w:header="0" w:footer="1228" w:top="1220" w:bottom="1420" w:left="1260" w:right="0"/>
        </w:sectPr>
      </w:pPr>
    </w:p>
    <w:p>
      <w:pPr>
        <w:pStyle w:val="BodyText"/>
        <w:ind w:left="381"/>
        <w:rPr>
          <w:sz w:val="20"/>
        </w:rPr>
      </w:pPr>
      <w:r>
        <w:rPr>
          <w:sz w:val="20"/>
        </w:rPr>
        <w:drawing>
          <wp:inline distT="0" distB="0" distL="0" distR="0">
            <wp:extent cx="4681765" cy="3712464"/>
            <wp:effectExtent l="0" t="0" r="0" b="0"/>
            <wp:docPr id="545" name="image315.jpeg"/>
            <wp:cNvGraphicFramePr>
              <a:graphicFrameLocks noChangeAspect="1"/>
            </wp:cNvGraphicFramePr>
            <a:graphic>
              <a:graphicData uri="http://schemas.openxmlformats.org/drawingml/2006/picture">
                <pic:pic>
                  <pic:nvPicPr>
                    <pic:cNvPr id="546" name="image315.jpeg"/>
                    <pic:cNvPicPr/>
                  </pic:nvPicPr>
                  <pic:blipFill>
                    <a:blip r:embed="rId381" cstate="print"/>
                    <a:stretch>
                      <a:fillRect/>
                    </a:stretch>
                  </pic:blipFill>
                  <pic:spPr>
                    <a:xfrm>
                      <a:off x="0" y="0"/>
                      <a:ext cx="4681765" cy="3712464"/>
                    </a:xfrm>
                    <a:prstGeom prst="rect">
                      <a:avLst/>
                    </a:prstGeom>
                  </pic:spPr>
                </pic:pic>
              </a:graphicData>
            </a:graphic>
          </wp:inline>
        </w:drawing>
      </w:r>
      <w:r>
        <w:rPr>
          <w:sz w:val="20"/>
        </w:rPr>
      </w:r>
    </w:p>
    <w:p>
      <w:pPr>
        <w:pStyle w:val="BodyText"/>
        <w:spacing w:before="1"/>
      </w:pPr>
    </w:p>
    <w:p>
      <w:pPr>
        <w:pStyle w:val="BodyText"/>
        <w:spacing w:before="71"/>
        <w:ind w:left="418"/>
      </w:pPr>
      <w:r>
        <w:rPr/>
        <w:drawing>
          <wp:anchor distT="0" distB="0" distL="0" distR="0" allowOverlap="1" layoutInCell="1" locked="0" behindDoc="0" simplePos="0" relativeHeight="231">
            <wp:simplePos x="0" y="0"/>
            <wp:positionH relativeFrom="page">
              <wp:posOffset>1065530</wp:posOffset>
            </wp:positionH>
            <wp:positionV relativeFrom="paragraph">
              <wp:posOffset>249301</wp:posOffset>
            </wp:positionV>
            <wp:extent cx="4828502" cy="4914900"/>
            <wp:effectExtent l="0" t="0" r="0" b="0"/>
            <wp:wrapTopAndBottom/>
            <wp:docPr id="547" name="image316.jpeg"/>
            <wp:cNvGraphicFramePr>
              <a:graphicFrameLocks noChangeAspect="1"/>
            </wp:cNvGraphicFramePr>
            <a:graphic>
              <a:graphicData uri="http://schemas.openxmlformats.org/drawingml/2006/picture">
                <pic:pic>
                  <pic:nvPicPr>
                    <pic:cNvPr id="548" name="image316.jpeg"/>
                    <pic:cNvPicPr/>
                  </pic:nvPicPr>
                  <pic:blipFill>
                    <a:blip r:embed="rId382" cstate="print"/>
                    <a:stretch>
                      <a:fillRect/>
                    </a:stretch>
                  </pic:blipFill>
                  <pic:spPr>
                    <a:xfrm>
                      <a:off x="0" y="0"/>
                      <a:ext cx="4828502" cy="4914900"/>
                    </a:xfrm>
                    <a:prstGeom prst="rect">
                      <a:avLst/>
                    </a:prstGeom>
                  </pic:spPr>
                </pic:pic>
              </a:graphicData>
            </a:graphic>
          </wp:anchor>
        </w:drawing>
      </w:r>
      <w:r>
        <w:rPr>
          <w:w w:val="100"/>
        </w:rPr>
        <w:t> </w:t>
      </w:r>
    </w:p>
    <w:p>
      <w:pPr>
        <w:spacing w:after="0"/>
        <w:sectPr>
          <w:pgSz w:w="11910" w:h="16850"/>
          <w:pgMar w:header="0" w:footer="1228" w:top="1080" w:bottom="1420" w:left="1260" w:right="0"/>
        </w:sectPr>
      </w:pPr>
    </w:p>
    <w:p>
      <w:pPr>
        <w:pStyle w:val="ListParagraph"/>
        <w:numPr>
          <w:ilvl w:val="2"/>
          <w:numId w:val="672"/>
        </w:numPr>
        <w:tabs>
          <w:tab w:pos="1424" w:val="left" w:leader="none"/>
        </w:tabs>
        <w:spacing w:line="446" w:lineRule="auto" w:before="47" w:after="0"/>
        <w:ind w:left="418" w:right="1445" w:firstLine="422"/>
        <w:jc w:val="left"/>
        <w:rPr>
          <w:sz w:val="21"/>
        </w:rPr>
      </w:pPr>
      <w:r>
        <w:rPr>
          <w:spacing w:val="-3"/>
          <w:sz w:val="21"/>
        </w:rPr>
        <w:t>自动喷水灭火系统、泡沫灭火系统、水喷雾灭火系统、固定消防炮灭火系统、自动跟踪定位射流灭火系统等水灭火系统的火灾延续时间，应分别按现行国家标准《自动喷水灭火系 统设计规范》</w:t>
      </w:r>
      <w:r>
        <w:rPr>
          <w:sz w:val="21"/>
        </w:rPr>
        <w:t>GB</w:t>
      </w:r>
      <w:r>
        <w:rPr>
          <w:spacing w:val="9"/>
          <w:sz w:val="21"/>
        </w:rPr>
        <w:t> </w:t>
      </w:r>
      <w:r>
        <w:rPr>
          <w:sz w:val="21"/>
        </w:rPr>
        <w:t>50084</w:t>
      </w:r>
      <w:r>
        <w:rPr>
          <w:spacing w:val="-3"/>
          <w:sz w:val="21"/>
        </w:rPr>
        <w:t>、《泡沫灭火系统设计规范》</w:t>
      </w:r>
      <w:r>
        <w:rPr>
          <w:sz w:val="21"/>
        </w:rPr>
        <w:t>GB</w:t>
      </w:r>
      <w:r>
        <w:rPr>
          <w:spacing w:val="10"/>
          <w:sz w:val="21"/>
        </w:rPr>
        <w:t> </w:t>
      </w:r>
      <w:r>
        <w:rPr>
          <w:sz w:val="21"/>
        </w:rPr>
        <w:t>50151</w:t>
      </w:r>
      <w:r>
        <w:rPr>
          <w:spacing w:val="-3"/>
          <w:sz w:val="21"/>
        </w:rPr>
        <w:t>、《水喷雾灭火系统设计规范》GB</w:t>
      </w:r>
      <w:r>
        <w:rPr>
          <w:spacing w:val="1"/>
          <w:sz w:val="21"/>
        </w:rPr>
        <w:t> </w:t>
      </w:r>
      <w:r>
        <w:rPr>
          <w:sz w:val="21"/>
        </w:rPr>
        <w:t>50219</w:t>
      </w:r>
      <w:r>
        <w:rPr>
          <w:spacing w:val="-3"/>
          <w:sz w:val="21"/>
        </w:rPr>
        <w:t> 和《固定消防炮灭火系统设计规范》</w:t>
      </w:r>
      <w:r>
        <w:rPr>
          <w:sz w:val="21"/>
        </w:rPr>
        <w:t>GB</w:t>
      </w:r>
      <w:r>
        <w:rPr>
          <w:spacing w:val="2"/>
          <w:sz w:val="21"/>
        </w:rPr>
        <w:t> </w:t>
      </w:r>
      <w:r>
        <w:rPr>
          <w:sz w:val="21"/>
        </w:rPr>
        <w:t>50338</w:t>
      </w:r>
      <w:r>
        <w:rPr>
          <w:spacing w:val="-10"/>
          <w:sz w:val="21"/>
        </w:rPr>
        <w:t> 的有关规定执行。</w:t>
      </w:r>
      <w:r>
        <w:rPr>
          <w:sz w:val="21"/>
        </w:rPr>
        <w:t> </w:t>
      </w:r>
    </w:p>
    <w:p>
      <w:pPr>
        <w:pStyle w:val="ListParagraph"/>
        <w:numPr>
          <w:ilvl w:val="2"/>
          <w:numId w:val="672"/>
        </w:numPr>
        <w:tabs>
          <w:tab w:pos="1424" w:val="left" w:leader="none"/>
        </w:tabs>
        <w:spacing w:line="446" w:lineRule="auto" w:before="0" w:after="0"/>
        <w:ind w:left="418" w:right="1445" w:firstLine="422"/>
        <w:jc w:val="left"/>
        <w:rPr>
          <w:sz w:val="21"/>
        </w:rPr>
      </w:pPr>
      <w:r>
        <w:rPr>
          <w:spacing w:val="-3"/>
          <w:sz w:val="21"/>
        </w:rPr>
        <w:t>建筑内用于防火分隔的防火分隔水幕和防护冷却水幕的火灾延续时间，不应小于防火分隔水幕或防护冷却火幕设置部位墙体的耐火极限。 </w:t>
      </w:r>
    </w:p>
    <w:p>
      <w:pPr>
        <w:pStyle w:val="ListParagraph"/>
        <w:numPr>
          <w:ilvl w:val="2"/>
          <w:numId w:val="672"/>
        </w:numPr>
        <w:tabs>
          <w:tab w:pos="1424" w:val="left" w:leader="none"/>
        </w:tabs>
        <w:spacing w:line="446" w:lineRule="auto" w:before="0" w:after="0"/>
        <w:ind w:left="418" w:right="1448" w:firstLine="422"/>
        <w:jc w:val="left"/>
        <w:rPr>
          <w:sz w:val="21"/>
        </w:rPr>
      </w:pPr>
      <w:r>
        <w:rPr>
          <w:spacing w:val="-5"/>
          <w:sz w:val="21"/>
        </w:rPr>
        <w:t>城市交通隧道的火灾延续时间不应小于表 </w:t>
      </w:r>
      <w:r>
        <w:rPr>
          <w:sz w:val="21"/>
        </w:rPr>
        <w:t>3.6.5</w:t>
      </w:r>
      <w:r>
        <w:rPr>
          <w:spacing w:val="-8"/>
          <w:sz w:val="21"/>
        </w:rPr>
        <w:t> 的规定，一类城市交通隧道的火灾延</w:t>
      </w:r>
      <w:r>
        <w:rPr>
          <w:spacing w:val="-7"/>
          <w:sz w:val="21"/>
        </w:rPr>
        <w:t>续时间应根据火灾危险性分析确定，确有困难时，可按不小于 </w:t>
      </w:r>
      <w:r>
        <w:rPr>
          <w:sz w:val="21"/>
        </w:rPr>
        <w:t>3.0h</w:t>
      </w:r>
      <w:r>
        <w:rPr>
          <w:spacing w:val="-20"/>
          <w:sz w:val="21"/>
        </w:rPr>
        <w:t> 计。</w:t>
      </w:r>
      <w:r>
        <w:rPr>
          <w:sz w:val="21"/>
        </w:rPr>
        <w:t> </w:t>
      </w:r>
    </w:p>
    <w:p>
      <w:pPr>
        <w:pStyle w:val="Heading6"/>
        <w:spacing w:line="267" w:lineRule="exact"/>
        <w:ind w:left="3205"/>
      </w:pPr>
      <w:r>
        <w:rPr/>
        <w:t>表 3.6.5 城市交通隧道的火灾延续时间</w:t>
      </w:r>
      <w:r>
        <w:rPr>
          <w:w w:val="99"/>
        </w:rPr>
        <w:t> </w:t>
      </w:r>
    </w:p>
    <w:p>
      <w:pPr>
        <w:pStyle w:val="BodyText"/>
        <w:rPr>
          <w:b/>
          <w:sz w:val="20"/>
        </w:rPr>
      </w:pPr>
    </w:p>
    <w:p>
      <w:pPr>
        <w:pStyle w:val="BodyText"/>
        <w:spacing w:before="1"/>
        <w:rPr>
          <w:b/>
          <w:sz w:val="18"/>
        </w:rPr>
      </w:pPr>
      <w:r>
        <w:rPr/>
        <w:drawing>
          <wp:anchor distT="0" distB="0" distL="0" distR="0" allowOverlap="1" layoutInCell="1" locked="0" behindDoc="0" simplePos="0" relativeHeight="232">
            <wp:simplePos x="0" y="0"/>
            <wp:positionH relativeFrom="page">
              <wp:posOffset>1215389</wp:posOffset>
            </wp:positionH>
            <wp:positionV relativeFrom="paragraph">
              <wp:posOffset>172180</wp:posOffset>
            </wp:positionV>
            <wp:extent cx="4678373" cy="1600200"/>
            <wp:effectExtent l="0" t="0" r="0" b="0"/>
            <wp:wrapTopAndBottom/>
            <wp:docPr id="549" name="image317.jpeg"/>
            <wp:cNvGraphicFramePr>
              <a:graphicFrameLocks noChangeAspect="1"/>
            </wp:cNvGraphicFramePr>
            <a:graphic>
              <a:graphicData uri="http://schemas.openxmlformats.org/drawingml/2006/picture">
                <pic:pic>
                  <pic:nvPicPr>
                    <pic:cNvPr id="550" name="image317.jpeg"/>
                    <pic:cNvPicPr/>
                  </pic:nvPicPr>
                  <pic:blipFill>
                    <a:blip r:embed="rId383" cstate="print"/>
                    <a:stretch>
                      <a:fillRect/>
                    </a:stretch>
                  </pic:blipFill>
                  <pic:spPr>
                    <a:xfrm>
                      <a:off x="0" y="0"/>
                      <a:ext cx="4678373" cy="1600200"/>
                    </a:xfrm>
                    <a:prstGeom prst="rect">
                      <a:avLst/>
                    </a:prstGeom>
                  </pic:spPr>
                </pic:pic>
              </a:graphicData>
            </a:graphic>
          </wp:anchor>
        </w:drawing>
      </w:r>
    </w:p>
    <w:p>
      <w:pPr>
        <w:pStyle w:val="BodyText"/>
        <w:spacing w:before="5"/>
        <w:rPr>
          <w:b/>
          <w:sz w:val="17"/>
        </w:rPr>
      </w:pPr>
    </w:p>
    <w:p>
      <w:pPr>
        <w:spacing w:before="0"/>
        <w:ind w:left="418" w:right="0" w:firstLine="0"/>
        <w:jc w:val="left"/>
        <w:rPr>
          <w:b/>
          <w:sz w:val="24"/>
        </w:rPr>
      </w:pPr>
      <w:r>
        <w:rPr>
          <w:b/>
          <w:sz w:val="24"/>
        </w:rPr>
        <w:t>4 消防水源</w:t>
      </w:r>
      <w:r>
        <w:rPr>
          <w:b/>
          <w:w w:val="99"/>
          <w:sz w:val="24"/>
        </w:rPr>
        <w:t> </w:t>
      </w:r>
    </w:p>
    <w:p>
      <w:pPr>
        <w:pStyle w:val="BodyText"/>
        <w:spacing w:before="4"/>
        <w:rPr>
          <w:b/>
          <w:sz w:val="17"/>
        </w:rPr>
      </w:pPr>
    </w:p>
    <w:p>
      <w:pPr>
        <w:pStyle w:val="ListParagraph"/>
        <w:numPr>
          <w:ilvl w:val="1"/>
          <w:numId w:val="683"/>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2"/>
        <w:rPr>
          <w:sz w:val="18"/>
        </w:rPr>
      </w:pPr>
    </w:p>
    <w:p>
      <w:pPr>
        <w:pStyle w:val="ListParagraph"/>
        <w:numPr>
          <w:ilvl w:val="2"/>
          <w:numId w:val="683"/>
        </w:numPr>
        <w:tabs>
          <w:tab w:pos="1424" w:val="left" w:leader="none"/>
        </w:tabs>
        <w:spacing w:line="240" w:lineRule="auto" w:before="0" w:after="0"/>
        <w:ind w:left="1423" w:right="0" w:hanging="584"/>
        <w:jc w:val="left"/>
        <w:rPr>
          <w:sz w:val="21"/>
        </w:rPr>
      </w:pPr>
      <w:r>
        <w:rPr>
          <w:spacing w:val="-3"/>
          <w:sz w:val="21"/>
        </w:rPr>
        <w:t>在城乡规划区域范围内，市政消防给水应与市政给水管网同步规划、设计与实施。</w:t>
      </w:r>
      <w:r>
        <w:rPr>
          <w:sz w:val="21"/>
        </w:rPr>
        <w:t> </w:t>
      </w:r>
    </w:p>
    <w:p>
      <w:pPr>
        <w:pStyle w:val="BodyText"/>
        <w:spacing w:before="12"/>
        <w:rPr>
          <w:sz w:val="17"/>
        </w:rPr>
      </w:pPr>
    </w:p>
    <w:p>
      <w:pPr>
        <w:pStyle w:val="ListParagraph"/>
        <w:numPr>
          <w:ilvl w:val="2"/>
          <w:numId w:val="683"/>
        </w:numPr>
        <w:tabs>
          <w:tab w:pos="1424" w:val="left" w:leader="none"/>
        </w:tabs>
        <w:spacing w:line="240" w:lineRule="auto" w:before="0" w:after="0"/>
        <w:ind w:left="1423" w:right="0" w:hanging="584"/>
        <w:jc w:val="left"/>
        <w:rPr>
          <w:sz w:val="21"/>
        </w:rPr>
      </w:pPr>
      <w:r>
        <w:rPr>
          <w:spacing w:val="-3"/>
          <w:sz w:val="21"/>
        </w:rPr>
        <w:t>消防水源水质应满足水灭火设施的功能要求。 </w:t>
      </w:r>
    </w:p>
    <w:p>
      <w:pPr>
        <w:pStyle w:val="BodyText"/>
        <w:rPr>
          <w:sz w:val="18"/>
        </w:rPr>
      </w:pPr>
    </w:p>
    <w:p>
      <w:pPr>
        <w:pStyle w:val="ListParagraph"/>
        <w:numPr>
          <w:ilvl w:val="2"/>
          <w:numId w:val="683"/>
        </w:numPr>
        <w:tabs>
          <w:tab w:pos="1424" w:val="left" w:leader="none"/>
        </w:tabs>
        <w:spacing w:line="240" w:lineRule="auto" w:before="0" w:after="0"/>
        <w:ind w:left="1423" w:right="0" w:hanging="584"/>
        <w:jc w:val="left"/>
        <w:rPr>
          <w:sz w:val="21"/>
        </w:rPr>
      </w:pPr>
      <w:r>
        <w:rPr>
          <w:spacing w:val="-3"/>
          <w:sz w:val="21"/>
        </w:rPr>
        <w:t>消防水源应符合下列规定：</w:t>
      </w:r>
      <w:r>
        <w:rPr>
          <w:sz w:val="21"/>
        </w:rPr>
        <w:t> </w:t>
      </w:r>
    </w:p>
    <w:p>
      <w:pPr>
        <w:pStyle w:val="BodyText"/>
        <w:spacing w:before="2"/>
        <w:rPr>
          <w:sz w:val="18"/>
        </w:rPr>
      </w:pPr>
    </w:p>
    <w:p>
      <w:pPr>
        <w:pStyle w:val="ListParagraph"/>
        <w:numPr>
          <w:ilvl w:val="0"/>
          <w:numId w:val="684"/>
        </w:numPr>
        <w:tabs>
          <w:tab w:pos="1367" w:val="left" w:leader="none"/>
        </w:tabs>
        <w:spacing w:line="240" w:lineRule="auto" w:before="0" w:after="0"/>
        <w:ind w:left="1367" w:right="0" w:hanging="529"/>
        <w:jc w:val="left"/>
        <w:rPr>
          <w:sz w:val="21"/>
        </w:rPr>
      </w:pPr>
      <w:r>
        <w:rPr>
          <w:spacing w:val="-3"/>
          <w:sz w:val="21"/>
        </w:rPr>
        <w:t>市政给水、消防水池、天然水源等可作为消防水源，并宜采用市政给水； </w:t>
      </w:r>
    </w:p>
    <w:p>
      <w:pPr>
        <w:pStyle w:val="BodyText"/>
        <w:rPr>
          <w:sz w:val="18"/>
        </w:rPr>
      </w:pPr>
    </w:p>
    <w:p>
      <w:pPr>
        <w:pStyle w:val="ListParagraph"/>
        <w:numPr>
          <w:ilvl w:val="0"/>
          <w:numId w:val="684"/>
        </w:numPr>
        <w:tabs>
          <w:tab w:pos="1367" w:val="left" w:leader="none"/>
        </w:tabs>
        <w:spacing w:line="240" w:lineRule="auto" w:before="0" w:after="0"/>
        <w:ind w:left="1367" w:right="0" w:hanging="529"/>
        <w:jc w:val="left"/>
        <w:rPr>
          <w:sz w:val="21"/>
        </w:rPr>
      </w:pPr>
      <w:r>
        <w:rPr>
          <w:spacing w:val="-3"/>
          <w:sz w:val="21"/>
        </w:rPr>
        <w:t>雨水清水池、中水清水池、水景和游泳池可作为备用消防水源。</w:t>
      </w:r>
      <w:r>
        <w:rPr>
          <w:sz w:val="21"/>
        </w:rPr>
        <w:t> </w:t>
      </w:r>
    </w:p>
    <w:p>
      <w:pPr>
        <w:pStyle w:val="BodyText"/>
        <w:spacing w:before="12"/>
        <w:rPr>
          <w:sz w:val="17"/>
        </w:rPr>
      </w:pPr>
    </w:p>
    <w:p>
      <w:pPr>
        <w:pStyle w:val="ListParagraph"/>
        <w:numPr>
          <w:ilvl w:val="2"/>
          <w:numId w:val="683"/>
        </w:numPr>
        <w:tabs>
          <w:tab w:pos="1424" w:val="left" w:leader="none"/>
        </w:tabs>
        <w:spacing w:line="240" w:lineRule="auto" w:before="0" w:after="0"/>
        <w:ind w:left="1423" w:right="0" w:hanging="584"/>
        <w:jc w:val="left"/>
        <w:rPr>
          <w:sz w:val="21"/>
        </w:rPr>
      </w:pPr>
      <w:r>
        <w:rPr>
          <w:spacing w:val="-7"/>
          <w:sz w:val="21"/>
        </w:rPr>
        <w:t>消防给水管道内平时所充水的 </w:t>
      </w:r>
      <w:r>
        <w:rPr>
          <w:sz w:val="21"/>
        </w:rPr>
        <w:t>pH</w:t>
      </w:r>
      <w:r>
        <w:rPr>
          <w:spacing w:val="-23"/>
          <w:sz w:val="21"/>
        </w:rPr>
        <w:t> 值应为 </w:t>
      </w:r>
      <w:r>
        <w:rPr>
          <w:sz w:val="21"/>
        </w:rPr>
        <w:t>6.0～9.0</w:t>
      </w:r>
      <w:r>
        <w:rPr>
          <w:spacing w:val="-3"/>
          <w:sz w:val="21"/>
        </w:rPr>
        <w:t>。</w:t>
      </w:r>
      <w:r>
        <w:rPr>
          <w:sz w:val="21"/>
        </w:rPr>
        <w:t> </w:t>
      </w:r>
    </w:p>
    <w:p>
      <w:pPr>
        <w:pStyle w:val="BodyText"/>
        <w:spacing w:before="2"/>
        <w:rPr>
          <w:sz w:val="18"/>
        </w:rPr>
      </w:pPr>
    </w:p>
    <w:p>
      <w:pPr>
        <w:pStyle w:val="ListParagraph"/>
        <w:numPr>
          <w:ilvl w:val="2"/>
          <w:numId w:val="683"/>
        </w:numPr>
        <w:tabs>
          <w:tab w:pos="1371" w:val="left" w:leader="none"/>
        </w:tabs>
        <w:spacing w:line="240" w:lineRule="auto" w:before="0" w:after="0"/>
        <w:ind w:left="1370" w:right="0" w:hanging="531"/>
        <w:jc w:val="left"/>
        <w:rPr>
          <w:sz w:val="21"/>
        </w:rPr>
      </w:pPr>
      <w:r>
        <w:rPr>
          <w:spacing w:val="-3"/>
          <w:sz w:val="21"/>
        </w:rPr>
        <w:t>严寒、寒冷等冬季结冰地区的消防水池、水塔和高位消防水池等应采取防冻措施。</w:t>
      </w:r>
      <w:r>
        <w:rPr>
          <w:sz w:val="21"/>
        </w:rPr>
        <w:t> </w:t>
      </w:r>
    </w:p>
    <w:p>
      <w:pPr>
        <w:pStyle w:val="BodyText"/>
        <w:spacing w:before="12"/>
        <w:rPr>
          <w:sz w:val="17"/>
        </w:rPr>
      </w:pPr>
    </w:p>
    <w:p>
      <w:pPr>
        <w:pStyle w:val="ListParagraph"/>
        <w:numPr>
          <w:ilvl w:val="2"/>
          <w:numId w:val="683"/>
        </w:numPr>
        <w:tabs>
          <w:tab w:pos="1371" w:val="left" w:leader="none"/>
        </w:tabs>
        <w:spacing w:line="446" w:lineRule="auto" w:before="0" w:after="0"/>
        <w:ind w:left="418" w:right="1604" w:firstLine="422"/>
        <w:jc w:val="left"/>
        <w:rPr>
          <w:sz w:val="21"/>
        </w:rPr>
      </w:pPr>
      <w:r>
        <w:rPr>
          <w:spacing w:val="-3"/>
          <w:sz w:val="21"/>
        </w:rPr>
        <w:t>雨水清水池、中水清水池、水景和游泳池必须作为消防水源时，应有保证在任何情况下均能满足消防给水系统所需的水量和水质的技术措施。</w:t>
      </w:r>
      <w:r>
        <w:rPr>
          <w:sz w:val="21"/>
        </w:rPr>
        <w:t> </w:t>
      </w:r>
    </w:p>
    <w:p>
      <w:pPr>
        <w:pStyle w:val="ListParagraph"/>
        <w:numPr>
          <w:ilvl w:val="1"/>
          <w:numId w:val="683"/>
        </w:numPr>
        <w:tabs>
          <w:tab w:pos="1159" w:val="left" w:leader="none"/>
        </w:tabs>
        <w:spacing w:line="240" w:lineRule="auto" w:before="1" w:after="0"/>
        <w:ind w:left="1158" w:right="0" w:hanging="319"/>
        <w:jc w:val="left"/>
        <w:rPr>
          <w:b/>
          <w:sz w:val="21"/>
        </w:rPr>
      </w:pPr>
      <w:r>
        <w:rPr>
          <w:spacing w:val="-3"/>
          <w:sz w:val="21"/>
        </w:rPr>
        <w:t>市政给水</w:t>
      </w:r>
      <w:r>
        <w:rPr>
          <w:b/>
          <w:w w:val="99"/>
          <w:sz w:val="21"/>
        </w:rPr>
        <w:t> </w:t>
      </w:r>
    </w:p>
    <w:p>
      <w:pPr>
        <w:pStyle w:val="BodyText"/>
        <w:spacing w:before="12"/>
        <w:rPr>
          <w:b/>
          <w:sz w:val="17"/>
        </w:rPr>
      </w:pPr>
    </w:p>
    <w:p>
      <w:pPr>
        <w:pStyle w:val="ListParagraph"/>
        <w:numPr>
          <w:ilvl w:val="2"/>
          <w:numId w:val="683"/>
        </w:numPr>
        <w:tabs>
          <w:tab w:pos="1424" w:val="left" w:leader="none"/>
        </w:tabs>
        <w:spacing w:line="240" w:lineRule="auto" w:before="0" w:after="0"/>
        <w:ind w:left="1423" w:right="0" w:hanging="584"/>
        <w:jc w:val="left"/>
        <w:rPr>
          <w:sz w:val="21"/>
        </w:rPr>
      </w:pPr>
      <w:r>
        <w:rPr>
          <w:spacing w:val="-3"/>
          <w:sz w:val="21"/>
        </w:rPr>
        <w:t>当市政给水管网连续供水时，消防给水系统可采用市政给水管网直接供水。 </w:t>
      </w:r>
    </w:p>
    <w:p>
      <w:pPr>
        <w:spacing w:after="0" w:line="240" w:lineRule="auto"/>
        <w:jc w:val="left"/>
        <w:rPr>
          <w:sz w:val="21"/>
        </w:rPr>
        <w:sectPr>
          <w:pgSz w:w="11910" w:h="16850"/>
          <w:pgMar w:header="0" w:footer="1228" w:top="1220" w:bottom="1420" w:left="1260" w:right="0"/>
        </w:sectPr>
      </w:pPr>
    </w:p>
    <w:p>
      <w:pPr>
        <w:pStyle w:val="ListParagraph"/>
        <w:numPr>
          <w:ilvl w:val="2"/>
          <w:numId w:val="683"/>
        </w:numPr>
        <w:tabs>
          <w:tab w:pos="1371" w:val="left" w:leader="none"/>
        </w:tabs>
        <w:spacing w:line="240" w:lineRule="auto" w:before="47" w:after="0"/>
        <w:ind w:left="1370" w:right="0" w:hanging="531"/>
        <w:jc w:val="left"/>
        <w:rPr>
          <w:sz w:val="21"/>
        </w:rPr>
      </w:pPr>
      <w:r>
        <w:rPr>
          <w:spacing w:val="-3"/>
          <w:sz w:val="21"/>
        </w:rPr>
        <w:t>用作两路消防供水的市政给水管网应符合下列要求：</w:t>
      </w:r>
      <w:r>
        <w:rPr>
          <w:sz w:val="21"/>
        </w:rPr>
        <w:t> </w:t>
      </w:r>
    </w:p>
    <w:p>
      <w:pPr>
        <w:pStyle w:val="BodyText"/>
        <w:rPr>
          <w:sz w:val="18"/>
        </w:rPr>
      </w:pPr>
    </w:p>
    <w:p>
      <w:pPr>
        <w:pStyle w:val="ListParagraph"/>
        <w:numPr>
          <w:ilvl w:val="0"/>
          <w:numId w:val="685"/>
        </w:numPr>
        <w:tabs>
          <w:tab w:pos="1367" w:val="left" w:leader="none"/>
        </w:tabs>
        <w:spacing w:line="240" w:lineRule="auto" w:before="0" w:after="0"/>
        <w:ind w:left="1367" w:right="0" w:hanging="529"/>
        <w:jc w:val="left"/>
        <w:rPr>
          <w:sz w:val="21"/>
        </w:rPr>
      </w:pPr>
      <w:r>
        <w:rPr>
          <w:spacing w:val="-3"/>
          <w:sz w:val="21"/>
        </w:rPr>
        <w:t>市政给水厂应至少两条输水干管向市政给水管网输水；</w:t>
      </w:r>
      <w:r>
        <w:rPr>
          <w:sz w:val="21"/>
        </w:rPr>
        <w:t> </w:t>
      </w:r>
    </w:p>
    <w:p>
      <w:pPr>
        <w:pStyle w:val="BodyText"/>
        <w:rPr>
          <w:sz w:val="18"/>
        </w:rPr>
      </w:pPr>
    </w:p>
    <w:p>
      <w:pPr>
        <w:pStyle w:val="ListParagraph"/>
        <w:numPr>
          <w:ilvl w:val="0"/>
          <w:numId w:val="685"/>
        </w:numPr>
        <w:tabs>
          <w:tab w:pos="1367" w:val="left" w:leader="none"/>
        </w:tabs>
        <w:spacing w:line="240" w:lineRule="auto" w:before="0" w:after="0"/>
        <w:ind w:left="1367" w:right="0" w:hanging="529"/>
        <w:jc w:val="left"/>
        <w:rPr>
          <w:sz w:val="21"/>
        </w:rPr>
      </w:pPr>
      <w:r>
        <w:rPr>
          <w:spacing w:val="-3"/>
          <w:sz w:val="21"/>
        </w:rPr>
        <w:t>市政给水管网应为环状管网；</w:t>
      </w:r>
      <w:r>
        <w:rPr>
          <w:sz w:val="21"/>
        </w:rPr>
        <w:t> </w:t>
      </w:r>
    </w:p>
    <w:p>
      <w:pPr>
        <w:pStyle w:val="BodyText"/>
        <w:spacing w:before="1"/>
        <w:rPr>
          <w:sz w:val="18"/>
        </w:rPr>
      </w:pPr>
    </w:p>
    <w:p>
      <w:pPr>
        <w:pStyle w:val="ListParagraph"/>
        <w:numPr>
          <w:ilvl w:val="0"/>
          <w:numId w:val="685"/>
        </w:numPr>
        <w:tabs>
          <w:tab w:pos="1367" w:val="left" w:leader="none"/>
        </w:tabs>
        <w:spacing w:line="446" w:lineRule="auto" w:before="1" w:after="0"/>
        <w:ind w:left="840" w:right="2031" w:hanging="3"/>
        <w:jc w:val="left"/>
        <w:rPr>
          <w:b/>
          <w:sz w:val="21"/>
        </w:rPr>
      </w:pPr>
      <w:r>
        <w:rPr>
          <w:spacing w:val="-3"/>
          <w:sz w:val="21"/>
        </w:rPr>
        <w:t>应至少有两条不同的市政给水干管上不少于两条引入管向消防给水系统供水。</w:t>
      </w:r>
      <w:r>
        <w:rPr>
          <w:b/>
          <w:sz w:val="21"/>
        </w:rPr>
        <w:t>4.3</w:t>
      </w:r>
      <w:r>
        <w:rPr>
          <w:b/>
          <w:spacing w:val="1"/>
          <w:sz w:val="21"/>
        </w:rPr>
        <w:t> </w:t>
      </w:r>
      <w:r>
        <w:rPr>
          <w:spacing w:val="-3"/>
          <w:sz w:val="21"/>
        </w:rPr>
        <w:t>消防水池</w:t>
      </w:r>
      <w:r>
        <w:rPr>
          <w:b/>
          <w:w w:val="99"/>
          <w:sz w:val="21"/>
        </w:rPr>
        <w:t> </w:t>
      </w:r>
    </w:p>
    <w:p>
      <w:pPr>
        <w:pStyle w:val="ListParagraph"/>
        <w:numPr>
          <w:ilvl w:val="2"/>
          <w:numId w:val="686"/>
        </w:numPr>
        <w:tabs>
          <w:tab w:pos="1424" w:val="left" w:leader="none"/>
        </w:tabs>
        <w:spacing w:line="267" w:lineRule="exact" w:before="0" w:after="0"/>
        <w:ind w:left="1423" w:right="0" w:hanging="584"/>
        <w:jc w:val="left"/>
        <w:rPr>
          <w:sz w:val="21"/>
        </w:rPr>
      </w:pPr>
      <w:r>
        <w:rPr>
          <w:spacing w:val="-3"/>
          <w:sz w:val="21"/>
        </w:rPr>
        <w:t>符合下列规定之一时，应设置消防水池：</w:t>
      </w:r>
      <w:r>
        <w:rPr>
          <w:sz w:val="21"/>
        </w:rPr>
        <w:t> </w:t>
      </w:r>
    </w:p>
    <w:p>
      <w:pPr>
        <w:pStyle w:val="BodyText"/>
        <w:spacing w:before="1"/>
        <w:rPr>
          <w:sz w:val="18"/>
        </w:rPr>
      </w:pPr>
    </w:p>
    <w:p>
      <w:pPr>
        <w:pStyle w:val="ListParagraph"/>
        <w:numPr>
          <w:ilvl w:val="0"/>
          <w:numId w:val="687"/>
        </w:numPr>
        <w:tabs>
          <w:tab w:pos="1367" w:val="left" w:leader="none"/>
        </w:tabs>
        <w:spacing w:line="446" w:lineRule="auto" w:before="1" w:after="0"/>
        <w:ind w:left="418" w:right="1505" w:firstLine="419"/>
        <w:jc w:val="left"/>
        <w:rPr>
          <w:sz w:val="21"/>
        </w:rPr>
      </w:pPr>
      <w:r>
        <w:rPr>
          <w:spacing w:val="-3"/>
          <w:sz w:val="21"/>
        </w:rPr>
        <w:t>当生产、生活用水量达到最大时，市政给水管网或入户引入管不能满足室内、室外消防给水设计流量；</w:t>
      </w:r>
      <w:r>
        <w:rPr>
          <w:sz w:val="21"/>
        </w:rPr>
        <w:t> </w:t>
      </w:r>
    </w:p>
    <w:p>
      <w:pPr>
        <w:pStyle w:val="ListParagraph"/>
        <w:numPr>
          <w:ilvl w:val="0"/>
          <w:numId w:val="687"/>
        </w:numPr>
        <w:tabs>
          <w:tab w:pos="1367" w:val="left" w:leader="none"/>
        </w:tabs>
        <w:spacing w:line="446" w:lineRule="auto" w:before="0" w:after="0"/>
        <w:ind w:left="418" w:right="1508" w:firstLine="419"/>
        <w:jc w:val="left"/>
        <w:rPr>
          <w:sz w:val="21"/>
        </w:rPr>
      </w:pPr>
      <w:r>
        <w:rPr>
          <w:spacing w:val="-4"/>
          <w:sz w:val="21"/>
        </w:rPr>
        <w:t>当采用一路消防供水或只有一条入户引入管，且室外消火栓设计流量大于 </w:t>
      </w:r>
      <w:r>
        <w:rPr>
          <w:sz w:val="21"/>
        </w:rPr>
        <w:t>20L/s</w:t>
      </w:r>
      <w:r>
        <w:rPr>
          <w:spacing w:val="-14"/>
          <w:sz w:val="21"/>
        </w:rPr>
        <w:t> 或建</w:t>
      </w:r>
      <w:r>
        <w:rPr>
          <w:spacing w:val="-11"/>
          <w:sz w:val="21"/>
        </w:rPr>
        <w:t>筑高度大于 </w:t>
      </w:r>
      <w:r>
        <w:rPr>
          <w:sz w:val="21"/>
        </w:rPr>
        <w:t>50m</w:t>
      </w:r>
      <w:r>
        <w:rPr>
          <w:spacing w:val="-20"/>
          <w:sz w:val="21"/>
        </w:rPr>
        <w:t> 时；</w:t>
      </w:r>
      <w:r>
        <w:rPr>
          <w:sz w:val="21"/>
        </w:rPr>
        <w:t> </w:t>
      </w:r>
    </w:p>
    <w:p>
      <w:pPr>
        <w:pStyle w:val="ListParagraph"/>
        <w:numPr>
          <w:ilvl w:val="0"/>
          <w:numId w:val="687"/>
        </w:numPr>
        <w:tabs>
          <w:tab w:pos="1367" w:val="left" w:leader="none"/>
        </w:tabs>
        <w:spacing w:line="240" w:lineRule="auto" w:before="0" w:after="0"/>
        <w:ind w:left="1367" w:right="0" w:hanging="529"/>
        <w:jc w:val="left"/>
        <w:rPr>
          <w:sz w:val="21"/>
        </w:rPr>
      </w:pPr>
      <w:r>
        <w:rPr>
          <w:spacing w:val="-3"/>
          <w:sz w:val="21"/>
        </w:rPr>
        <w:t>市政消防给水设计流量小于建筑室内外消防给水设计流量。</w:t>
      </w:r>
      <w:r>
        <w:rPr>
          <w:sz w:val="21"/>
        </w:rPr>
        <w:t> </w:t>
      </w:r>
    </w:p>
    <w:p>
      <w:pPr>
        <w:pStyle w:val="BodyText"/>
        <w:spacing w:before="10"/>
        <w:rPr>
          <w:sz w:val="17"/>
        </w:rPr>
      </w:pPr>
    </w:p>
    <w:p>
      <w:pPr>
        <w:pStyle w:val="ListParagraph"/>
        <w:numPr>
          <w:ilvl w:val="2"/>
          <w:numId w:val="686"/>
        </w:numPr>
        <w:tabs>
          <w:tab w:pos="1424" w:val="left" w:leader="none"/>
        </w:tabs>
        <w:spacing w:line="240" w:lineRule="auto" w:before="0" w:after="0"/>
        <w:ind w:left="1423" w:right="0" w:hanging="584"/>
        <w:jc w:val="left"/>
        <w:rPr>
          <w:sz w:val="21"/>
        </w:rPr>
      </w:pPr>
      <w:r>
        <w:rPr>
          <w:spacing w:val="-3"/>
          <w:sz w:val="21"/>
        </w:rPr>
        <w:t>消防水池有效容积的计算应符合下列规定：</w:t>
      </w:r>
      <w:r>
        <w:rPr>
          <w:sz w:val="21"/>
        </w:rPr>
        <w:t> </w:t>
      </w:r>
    </w:p>
    <w:p>
      <w:pPr>
        <w:pStyle w:val="BodyText"/>
        <w:spacing w:before="2"/>
        <w:rPr>
          <w:sz w:val="18"/>
        </w:rPr>
      </w:pPr>
    </w:p>
    <w:p>
      <w:pPr>
        <w:pStyle w:val="ListParagraph"/>
        <w:numPr>
          <w:ilvl w:val="0"/>
          <w:numId w:val="688"/>
        </w:numPr>
        <w:tabs>
          <w:tab w:pos="1367" w:val="left" w:leader="none"/>
        </w:tabs>
        <w:spacing w:line="446" w:lineRule="auto" w:before="0" w:after="0"/>
        <w:ind w:left="418" w:right="1505" w:firstLine="419"/>
        <w:jc w:val="left"/>
        <w:rPr>
          <w:sz w:val="21"/>
        </w:rPr>
      </w:pPr>
      <w:r>
        <w:rPr>
          <w:spacing w:val="-3"/>
          <w:sz w:val="21"/>
        </w:rPr>
        <w:t>当市政给水管网能保证室外消防给水设计流量时，消防水池的有效容积应满足在火灾延续时间内室内消防用水量的要求；</w:t>
      </w:r>
      <w:r>
        <w:rPr>
          <w:sz w:val="21"/>
        </w:rPr>
        <w:t> </w:t>
      </w:r>
    </w:p>
    <w:p>
      <w:pPr>
        <w:pStyle w:val="ListParagraph"/>
        <w:numPr>
          <w:ilvl w:val="0"/>
          <w:numId w:val="688"/>
        </w:numPr>
        <w:tabs>
          <w:tab w:pos="1367" w:val="left" w:leader="none"/>
        </w:tabs>
        <w:spacing w:line="446" w:lineRule="auto" w:before="0" w:after="0"/>
        <w:ind w:left="418" w:right="1505" w:firstLine="419"/>
        <w:jc w:val="left"/>
        <w:rPr>
          <w:sz w:val="21"/>
        </w:rPr>
      </w:pPr>
      <w:r>
        <w:rPr>
          <w:spacing w:val="-3"/>
          <w:sz w:val="21"/>
        </w:rPr>
        <w:t>当市政给水管网不能保证室外消防给水设计流量时，消防水池的有效容积应满足火灾延续时间内室内消防用水量和室外消防用水量不足部分之和的要求。</w:t>
      </w:r>
      <w:r>
        <w:rPr>
          <w:sz w:val="21"/>
        </w:rPr>
        <w:t> </w:t>
      </w:r>
    </w:p>
    <w:p>
      <w:pPr>
        <w:pStyle w:val="ListParagraph"/>
        <w:numPr>
          <w:ilvl w:val="2"/>
          <w:numId w:val="686"/>
        </w:numPr>
        <w:tabs>
          <w:tab w:pos="1424" w:val="left" w:leader="none"/>
        </w:tabs>
        <w:spacing w:line="441" w:lineRule="auto" w:before="0" w:after="0"/>
        <w:ind w:left="418" w:right="1498" w:firstLine="422"/>
        <w:jc w:val="left"/>
        <w:rPr>
          <w:sz w:val="21"/>
        </w:rPr>
      </w:pPr>
      <w:r>
        <w:rPr>
          <w:spacing w:val="-4"/>
          <w:sz w:val="21"/>
        </w:rPr>
        <w:t>消防水池的给水管应根据其有效容积和补水时间确定，补水时间不宜大于 </w:t>
      </w:r>
      <w:r>
        <w:rPr>
          <w:sz w:val="21"/>
        </w:rPr>
        <w:t>48h，但当</w:t>
      </w:r>
      <w:r>
        <w:rPr>
          <w:spacing w:val="-7"/>
          <w:sz w:val="21"/>
        </w:rPr>
        <w:t>消防水池有效总容积大于 </w:t>
      </w:r>
      <w:r>
        <w:rPr>
          <w:sz w:val="21"/>
        </w:rPr>
        <w:t>2000m</w:t>
      </w:r>
      <w:r>
        <w:rPr>
          <w:position w:val="11"/>
          <w:sz w:val="11"/>
        </w:rPr>
        <w:t>3</w:t>
      </w:r>
      <w:r>
        <w:rPr>
          <w:spacing w:val="-25"/>
          <w:position w:val="11"/>
          <w:sz w:val="11"/>
        </w:rPr>
        <w:t> </w:t>
      </w:r>
      <w:r>
        <w:rPr>
          <w:spacing w:val="-9"/>
          <w:sz w:val="21"/>
        </w:rPr>
        <w:t>时，不应大于 </w:t>
      </w:r>
      <w:r>
        <w:rPr>
          <w:sz w:val="21"/>
        </w:rPr>
        <w:t>96h</w:t>
      </w:r>
      <w:r>
        <w:rPr>
          <w:spacing w:val="-3"/>
          <w:sz w:val="21"/>
        </w:rPr>
        <w:t>。消防水池进水管管径应计算确定，且不应</w:t>
      </w:r>
      <w:r>
        <w:rPr>
          <w:spacing w:val="-20"/>
          <w:sz w:val="21"/>
        </w:rPr>
        <w:t>小于 </w:t>
      </w:r>
      <w:r>
        <w:rPr>
          <w:sz w:val="21"/>
        </w:rPr>
        <w:t>DN100</w:t>
      </w:r>
      <w:r>
        <w:rPr>
          <w:spacing w:val="-3"/>
          <w:sz w:val="21"/>
        </w:rPr>
        <w:t>。</w:t>
      </w:r>
      <w:r>
        <w:rPr>
          <w:sz w:val="21"/>
        </w:rPr>
        <w:t> </w:t>
      </w:r>
    </w:p>
    <w:p>
      <w:pPr>
        <w:pStyle w:val="ListParagraph"/>
        <w:numPr>
          <w:ilvl w:val="2"/>
          <w:numId w:val="686"/>
        </w:numPr>
        <w:tabs>
          <w:tab w:pos="1424" w:val="left" w:leader="none"/>
        </w:tabs>
        <w:spacing w:line="436" w:lineRule="auto" w:before="3" w:after="0"/>
        <w:ind w:left="418" w:right="1445" w:firstLine="422"/>
        <w:jc w:val="left"/>
        <w:rPr>
          <w:sz w:val="21"/>
        </w:rPr>
      </w:pPr>
      <w:r>
        <w:rPr>
          <w:spacing w:val="-3"/>
          <w:sz w:val="21"/>
        </w:rPr>
        <w:t>当消防水池采用两路消防供水且在火灾情况下连续补水能满足消防要求时，消防水池</w:t>
      </w:r>
      <w:r>
        <w:rPr>
          <w:spacing w:val="-6"/>
          <w:sz w:val="21"/>
        </w:rPr>
        <w:t>的有效容积应根据计算确定，但不应小于 </w:t>
      </w:r>
      <w:r>
        <w:rPr>
          <w:sz w:val="21"/>
        </w:rPr>
        <w:t>100m</w:t>
      </w:r>
      <w:r>
        <w:rPr>
          <w:position w:val="11"/>
          <w:sz w:val="11"/>
        </w:rPr>
        <w:t>3</w:t>
      </w:r>
      <w:r>
        <w:rPr>
          <w:spacing w:val="-6"/>
          <w:sz w:val="21"/>
        </w:rPr>
        <w:t>，当仅设有消火栓系统时不应小于 </w:t>
      </w:r>
      <w:r>
        <w:rPr>
          <w:sz w:val="21"/>
        </w:rPr>
        <w:t>50m</w:t>
      </w:r>
      <w:r>
        <w:rPr>
          <w:position w:val="11"/>
          <w:sz w:val="11"/>
        </w:rPr>
        <w:t>3</w:t>
      </w:r>
      <w:r>
        <w:rPr>
          <w:spacing w:val="-3"/>
          <w:sz w:val="21"/>
        </w:rPr>
        <w:t>。</w:t>
      </w:r>
      <w:r>
        <w:rPr>
          <w:sz w:val="21"/>
        </w:rPr>
        <w:t> </w:t>
      </w:r>
    </w:p>
    <w:p>
      <w:pPr>
        <w:pStyle w:val="ListParagraph"/>
        <w:numPr>
          <w:ilvl w:val="2"/>
          <w:numId w:val="686"/>
        </w:numPr>
        <w:tabs>
          <w:tab w:pos="1424" w:val="left" w:leader="none"/>
        </w:tabs>
        <w:spacing w:line="240" w:lineRule="auto" w:before="11" w:after="0"/>
        <w:ind w:left="1423" w:right="0" w:hanging="584"/>
        <w:jc w:val="left"/>
        <w:rPr>
          <w:sz w:val="21"/>
        </w:rPr>
      </w:pPr>
      <w:r>
        <w:rPr>
          <w:spacing w:val="-3"/>
          <w:sz w:val="21"/>
        </w:rPr>
        <w:t>火灾时消防水池连续补水应符合下列规定：</w:t>
      </w:r>
      <w:r>
        <w:rPr>
          <w:sz w:val="21"/>
        </w:rPr>
        <w:t> </w:t>
      </w:r>
    </w:p>
    <w:p>
      <w:pPr>
        <w:pStyle w:val="BodyText"/>
        <w:rPr>
          <w:sz w:val="18"/>
        </w:rPr>
      </w:pPr>
    </w:p>
    <w:p>
      <w:pPr>
        <w:pStyle w:val="ListParagraph"/>
        <w:numPr>
          <w:ilvl w:val="0"/>
          <w:numId w:val="689"/>
        </w:numPr>
        <w:tabs>
          <w:tab w:pos="1367" w:val="left" w:leader="none"/>
        </w:tabs>
        <w:spacing w:line="240" w:lineRule="auto" w:before="0" w:after="0"/>
        <w:ind w:left="1367" w:right="0" w:hanging="529"/>
        <w:jc w:val="left"/>
        <w:rPr>
          <w:b/>
          <w:sz w:val="21"/>
        </w:rPr>
      </w:pPr>
      <w:r>
        <w:rPr>
          <w:spacing w:val="-3"/>
          <w:sz w:val="21"/>
        </w:rPr>
        <w:t>消防水池应采用两路消防给水；</w:t>
      </w:r>
      <w:r>
        <w:rPr>
          <w:b/>
          <w:w w:val="99"/>
          <w:sz w:val="21"/>
        </w:rPr>
        <w:t> </w:t>
      </w:r>
    </w:p>
    <w:p>
      <w:pPr>
        <w:spacing w:after="0" w:line="240" w:lineRule="auto"/>
        <w:jc w:val="left"/>
        <w:rPr>
          <w:sz w:val="21"/>
        </w:rPr>
        <w:sectPr>
          <w:pgSz w:w="11910" w:h="16850"/>
          <w:pgMar w:header="0" w:footer="1228" w:top="1220" w:bottom="1420" w:left="1260" w:right="0"/>
        </w:sectPr>
      </w:pPr>
    </w:p>
    <w:p>
      <w:pPr>
        <w:pStyle w:val="ListParagraph"/>
        <w:numPr>
          <w:ilvl w:val="0"/>
          <w:numId w:val="689"/>
        </w:numPr>
        <w:tabs>
          <w:tab w:pos="1367" w:val="left" w:leader="none"/>
        </w:tabs>
        <w:spacing w:line="446" w:lineRule="auto" w:before="47" w:after="0"/>
        <w:ind w:left="418" w:right="1505" w:firstLine="419"/>
        <w:jc w:val="left"/>
        <w:rPr>
          <w:b/>
          <w:sz w:val="21"/>
        </w:rPr>
      </w:pPr>
      <w:r>
        <w:rPr>
          <w:spacing w:val="-3"/>
          <w:sz w:val="21"/>
        </w:rPr>
        <w:t>火灾延续时间内的连续补水流量应按消防水池最不利进水管供水量计算，并可按下式计算：</w:t>
      </w:r>
      <w:r>
        <w:rPr>
          <w:b/>
          <w:w w:val="99"/>
          <w:sz w:val="21"/>
        </w:rPr>
        <w:t> </w:t>
      </w:r>
    </w:p>
    <w:p>
      <w:pPr>
        <w:pStyle w:val="BodyText"/>
        <w:spacing w:before="4"/>
        <w:rPr>
          <w:b/>
          <w:sz w:val="14"/>
        </w:rPr>
      </w:pPr>
      <w:r>
        <w:rPr/>
        <w:drawing>
          <wp:anchor distT="0" distB="0" distL="0" distR="0" allowOverlap="1" layoutInCell="1" locked="0" behindDoc="0" simplePos="0" relativeHeight="233">
            <wp:simplePos x="0" y="0"/>
            <wp:positionH relativeFrom="page">
              <wp:posOffset>1576705</wp:posOffset>
            </wp:positionH>
            <wp:positionV relativeFrom="paragraph">
              <wp:posOffset>141313</wp:posOffset>
            </wp:positionV>
            <wp:extent cx="3936781" cy="1123950"/>
            <wp:effectExtent l="0" t="0" r="0" b="0"/>
            <wp:wrapTopAndBottom/>
            <wp:docPr id="551" name="image318.jpeg"/>
            <wp:cNvGraphicFramePr>
              <a:graphicFrameLocks noChangeAspect="1"/>
            </wp:cNvGraphicFramePr>
            <a:graphic>
              <a:graphicData uri="http://schemas.openxmlformats.org/drawingml/2006/picture">
                <pic:pic>
                  <pic:nvPicPr>
                    <pic:cNvPr id="552" name="image318.jpeg"/>
                    <pic:cNvPicPr/>
                  </pic:nvPicPr>
                  <pic:blipFill>
                    <a:blip r:embed="rId384" cstate="print"/>
                    <a:stretch>
                      <a:fillRect/>
                    </a:stretch>
                  </pic:blipFill>
                  <pic:spPr>
                    <a:xfrm>
                      <a:off x="0" y="0"/>
                      <a:ext cx="3936781" cy="1123950"/>
                    </a:xfrm>
                    <a:prstGeom prst="rect">
                      <a:avLst/>
                    </a:prstGeom>
                  </pic:spPr>
                </pic:pic>
              </a:graphicData>
            </a:graphic>
          </wp:anchor>
        </w:drawing>
      </w:r>
    </w:p>
    <w:p>
      <w:pPr>
        <w:pStyle w:val="BodyText"/>
        <w:rPr>
          <w:b/>
          <w:sz w:val="15"/>
        </w:rPr>
      </w:pPr>
    </w:p>
    <w:p>
      <w:pPr>
        <w:pStyle w:val="ListParagraph"/>
        <w:numPr>
          <w:ilvl w:val="0"/>
          <w:numId w:val="689"/>
        </w:numPr>
        <w:tabs>
          <w:tab w:pos="1367" w:val="left" w:leader="none"/>
        </w:tabs>
        <w:spacing w:line="446" w:lineRule="auto" w:before="0" w:after="0"/>
        <w:ind w:left="418" w:right="1505" w:firstLine="419"/>
        <w:jc w:val="left"/>
        <w:rPr>
          <w:sz w:val="21"/>
        </w:rPr>
      </w:pPr>
      <w:r>
        <w:rPr>
          <w:spacing w:val="-3"/>
          <w:sz w:val="21"/>
        </w:rPr>
        <w:t>消防水池进水管管径和流量应根据市政给水管网或其他给水管网的压力、入户引入管管径、消防水池进水管管径，以及火灾时其他用水量等经水力计算确定，当计算条件不具备  </w:t>
      </w:r>
      <w:r>
        <w:rPr>
          <w:spacing w:val="-7"/>
          <w:sz w:val="21"/>
        </w:rPr>
        <w:t>时，给水管的平均流速不宜大于 </w:t>
      </w:r>
      <w:r>
        <w:rPr>
          <w:sz w:val="21"/>
        </w:rPr>
        <w:t>1.5m/s</w:t>
      </w:r>
      <w:r>
        <w:rPr>
          <w:spacing w:val="-3"/>
          <w:sz w:val="21"/>
        </w:rPr>
        <w:t>。</w:t>
      </w:r>
      <w:r>
        <w:rPr>
          <w:sz w:val="21"/>
        </w:rPr>
        <w:t> </w:t>
      </w:r>
    </w:p>
    <w:p>
      <w:pPr>
        <w:pStyle w:val="ListParagraph"/>
        <w:numPr>
          <w:ilvl w:val="2"/>
          <w:numId w:val="686"/>
        </w:numPr>
        <w:tabs>
          <w:tab w:pos="1424" w:val="left" w:leader="none"/>
        </w:tabs>
        <w:spacing w:line="441" w:lineRule="auto" w:before="0" w:after="0"/>
        <w:ind w:left="418" w:right="1522" w:firstLine="422"/>
        <w:jc w:val="left"/>
        <w:rPr>
          <w:sz w:val="21"/>
        </w:rPr>
      </w:pPr>
      <w:r>
        <w:rPr>
          <w:spacing w:val="-5"/>
          <w:sz w:val="21"/>
        </w:rPr>
        <w:t>消防水池的总蓄水有效容积大于 </w:t>
      </w:r>
      <w:r>
        <w:rPr>
          <w:sz w:val="21"/>
        </w:rPr>
        <w:t>500m</w:t>
      </w:r>
      <w:r>
        <w:rPr>
          <w:position w:val="11"/>
          <w:sz w:val="11"/>
        </w:rPr>
        <w:t>3</w:t>
      </w:r>
      <w:r>
        <w:rPr>
          <w:spacing w:val="-18"/>
          <w:position w:val="11"/>
          <w:sz w:val="11"/>
        </w:rPr>
        <w:t> </w:t>
      </w:r>
      <w:r>
        <w:rPr>
          <w:spacing w:val="-3"/>
          <w:sz w:val="21"/>
        </w:rPr>
        <w:t>时，宜设两格能独立使用的消防水池；当大于1000m</w:t>
      </w:r>
      <w:r>
        <w:rPr>
          <w:spacing w:val="-3"/>
          <w:position w:val="11"/>
          <w:sz w:val="11"/>
        </w:rPr>
        <w:t>3</w:t>
      </w:r>
      <w:r>
        <w:rPr>
          <w:spacing w:val="-22"/>
          <w:position w:val="11"/>
          <w:sz w:val="11"/>
        </w:rPr>
        <w:t> </w:t>
      </w:r>
      <w:r>
        <w:rPr>
          <w:spacing w:val="-3"/>
          <w:sz w:val="21"/>
        </w:rPr>
        <w:t>时，应设置能独立使用的两座消防水池。每格</w:t>
      </w:r>
      <w:r>
        <w:rPr>
          <w:sz w:val="21"/>
        </w:rPr>
        <w:t>（</w:t>
      </w:r>
      <w:r>
        <w:rPr>
          <w:spacing w:val="-2"/>
          <w:sz w:val="21"/>
        </w:rPr>
        <w:t>或座</w:t>
      </w:r>
      <w:r>
        <w:rPr>
          <w:spacing w:val="-3"/>
          <w:sz w:val="21"/>
        </w:rPr>
        <w:t>）消防水池应设置独立的出水管， 并应设置满足最低有效水位的连通管，且其管径应能满足消防给水设计流量的要求。</w:t>
      </w:r>
      <w:r>
        <w:rPr>
          <w:sz w:val="21"/>
        </w:rPr>
        <w:t> </w:t>
      </w:r>
    </w:p>
    <w:p>
      <w:pPr>
        <w:pStyle w:val="ListParagraph"/>
        <w:numPr>
          <w:ilvl w:val="2"/>
          <w:numId w:val="686"/>
        </w:numPr>
        <w:tabs>
          <w:tab w:pos="1424" w:val="left" w:leader="none"/>
        </w:tabs>
        <w:spacing w:line="240" w:lineRule="auto" w:before="0" w:after="0"/>
        <w:ind w:left="1423" w:right="0" w:hanging="584"/>
        <w:jc w:val="left"/>
        <w:rPr>
          <w:sz w:val="21"/>
        </w:rPr>
      </w:pPr>
      <w:r>
        <w:rPr>
          <w:spacing w:val="-3"/>
          <w:sz w:val="21"/>
        </w:rPr>
        <w:t>储存室外消防用水的消防水池或供消防车取水的消防水池，应符合下列规定：</w:t>
      </w:r>
      <w:r>
        <w:rPr>
          <w:sz w:val="21"/>
        </w:rPr>
        <w:t> </w:t>
      </w:r>
    </w:p>
    <w:p>
      <w:pPr>
        <w:pStyle w:val="BodyText"/>
        <w:spacing w:before="6"/>
        <w:rPr>
          <w:sz w:val="17"/>
        </w:rPr>
      </w:pPr>
    </w:p>
    <w:p>
      <w:pPr>
        <w:pStyle w:val="ListParagraph"/>
        <w:numPr>
          <w:ilvl w:val="0"/>
          <w:numId w:val="690"/>
        </w:numPr>
        <w:tabs>
          <w:tab w:pos="1367" w:val="left" w:leader="none"/>
        </w:tabs>
        <w:spacing w:line="240" w:lineRule="auto" w:before="0" w:after="0"/>
        <w:ind w:left="1367" w:right="0" w:hanging="529"/>
        <w:jc w:val="left"/>
        <w:rPr>
          <w:sz w:val="21"/>
        </w:rPr>
      </w:pPr>
      <w:r>
        <w:rPr>
          <w:spacing w:val="-3"/>
          <w:sz w:val="21"/>
        </w:rPr>
        <w:t>消防水池应设置取水口</w:t>
      </w:r>
      <w:r>
        <w:rPr>
          <w:sz w:val="21"/>
        </w:rPr>
        <w:t>（</w:t>
      </w:r>
      <w:r>
        <w:rPr>
          <w:spacing w:val="-3"/>
          <w:sz w:val="21"/>
        </w:rPr>
        <w:t>井</w:t>
      </w:r>
      <w:r>
        <w:rPr>
          <w:sz w:val="21"/>
        </w:rPr>
        <w:t>）</w:t>
      </w:r>
      <w:r>
        <w:rPr>
          <w:spacing w:val="-8"/>
          <w:sz w:val="21"/>
        </w:rPr>
        <w:t>，且吸水高度不应大于 </w:t>
      </w:r>
      <w:r>
        <w:rPr>
          <w:sz w:val="21"/>
        </w:rPr>
        <w:t>6.0m； </w:t>
      </w:r>
    </w:p>
    <w:p>
      <w:pPr>
        <w:pStyle w:val="BodyText"/>
        <w:spacing w:before="2"/>
        <w:rPr>
          <w:sz w:val="18"/>
        </w:rPr>
      </w:pPr>
    </w:p>
    <w:p>
      <w:pPr>
        <w:pStyle w:val="ListParagraph"/>
        <w:numPr>
          <w:ilvl w:val="0"/>
          <w:numId w:val="690"/>
        </w:numPr>
        <w:tabs>
          <w:tab w:pos="1367" w:val="left" w:leader="none"/>
        </w:tabs>
        <w:spacing w:line="240" w:lineRule="auto" w:before="0" w:after="0"/>
        <w:ind w:left="1367" w:right="0" w:hanging="529"/>
        <w:jc w:val="left"/>
        <w:rPr>
          <w:b/>
          <w:sz w:val="21"/>
        </w:rPr>
      </w:pPr>
      <w:r>
        <w:rPr>
          <w:spacing w:val="-2"/>
          <w:sz w:val="21"/>
        </w:rPr>
        <w:t>取水口</w:t>
      </w:r>
      <w:r>
        <w:rPr>
          <w:spacing w:val="-3"/>
          <w:sz w:val="21"/>
        </w:rPr>
        <w:t>（</w:t>
      </w:r>
      <w:r>
        <w:rPr>
          <w:sz w:val="21"/>
        </w:rPr>
        <w:t>井</w:t>
      </w:r>
      <w:r>
        <w:rPr>
          <w:spacing w:val="-3"/>
          <w:sz w:val="21"/>
        </w:rPr>
        <w:t>）与建筑物</w:t>
      </w:r>
      <w:r>
        <w:rPr>
          <w:sz w:val="21"/>
        </w:rPr>
        <w:t>（</w:t>
      </w:r>
      <w:r>
        <w:rPr>
          <w:spacing w:val="-3"/>
          <w:sz w:val="21"/>
        </w:rPr>
        <w:t>水泵房除外</w:t>
      </w:r>
      <w:r>
        <w:rPr>
          <w:sz w:val="21"/>
        </w:rPr>
        <w:t>）</w:t>
      </w:r>
      <w:r>
        <w:rPr>
          <w:spacing w:val="-10"/>
          <w:sz w:val="21"/>
        </w:rPr>
        <w:t>的距离不宜小于 </w:t>
      </w:r>
      <w:r>
        <w:rPr>
          <w:sz w:val="21"/>
        </w:rPr>
        <w:t>15m；</w:t>
      </w:r>
      <w:r>
        <w:rPr>
          <w:b/>
          <w:w w:val="99"/>
          <w:sz w:val="21"/>
        </w:rPr>
        <w:t> </w:t>
      </w:r>
    </w:p>
    <w:p>
      <w:pPr>
        <w:pStyle w:val="BodyText"/>
        <w:rPr>
          <w:b/>
          <w:sz w:val="18"/>
        </w:rPr>
      </w:pPr>
    </w:p>
    <w:p>
      <w:pPr>
        <w:pStyle w:val="ListParagraph"/>
        <w:numPr>
          <w:ilvl w:val="0"/>
          <w:numId w:val="690"/>
        </w:numPr>
        <w:tabs>
          <w:tab w:pos="1367" w:val="left" w:leader="none"/>
        </w:tabs>
        <w:spacing w:line="240" w:lineRule="auto" w:before="0" w:after="0"/>
        <w:ind w:left="1367" w:right="0" w:hanging="529"/>
        <w:jc w:val="left"/>
        <w:rPr>
          <w:b/>
          <w:sz w:val="21"/>
        </w:rPr>
      </w:pPr>
      <w:r>
        <w:rPr>
          <w:spacing w:val="-2"/>
          <w:sz w:val="21"/>
        </w:rPr>
        <w:t>取水口</w:t>
      </w:r>
      <w:r>
        <w:rPr>
          <w:spacing w:val="-3"/>
          <w:sz w:val="21"/>
        </w:rPr>
        <w:t>（</w:t>
      </w:r>
      <w:r>
        <w:rPr>
          <w:sz w:val="21"/>
        </w:rPr>
        <w:t>井</w:t>
      </w:r>
      <w:r>
        <w:rPr>
          <w:spacing w:val="-3"/>
          <w:sz w:val="21"/>
        </w:rPr>
        <w:t>）</w:t>
      </w:r>
      <w:r>
        <w:rPr>
          <w:spacing w:val="-6"/>
          <w:sz w:val="21"/>
        </w:rPr>
        <w:t>与甲、乙、丙类液体储罐等构筑物的距离不宜小于 </w:t>
      </w:r>
      <w:r>
        <w:rPr>
          <w:sz w:val="21"/>
        </w:rPr>
        <w:t>40m；</w:t>
      </w:r>
      <w:r>
        <w:rPr>
          <w:b/>
          <w:w w:val="99"/>
          <w:sz w:val="21"/>
        </w:rPr>
        <w:t> </w:t>
      </w:r>
    </w:p>
    <w:p>
      <w:pPr>
        <w:pStyle w:val="BodyText"/>
        <w:spacing w:before="12"/>
        <w:rPr>
          <w:b/>
          <w:sz w:val="17"/>
        </w:rPr>
      </w:pPr>
    </w:p>
    <w:p>
      <w:pPr>
        <w:pStyle w:val="ListParagraph"/>
        <w:numPr>
          <w:ilvl w:val="0"/>
          <w:numId w:val="690"/>
        </w:numPr>
        <w:tabs>
          <w:tab w:pos="1367" w:val="left" w:leader="none"/>
        </w:tabs>
        <w:spacing w:line="446" w:lineRule="auto" w:before="0" w:after="0"/>
        <w:ind w:left="418" w:right="1767" w:firstLine="419"/>
        <w:jc w:val="left"/>
        <w:rPr>
          <w:sz w:val="21"/>
        </w:rPr>
      </w:pPr>
      <w:r>
        <w:rPr>
          <w:spacing w:val="-2"/>
          <w:sz w:val="21"/>
        </w:rPr>
        <w:t>取水口</w:t>
      </w:r>
      <w:r>
        <w:rPr>
          <w:spacing w:val="-3"/>
          <w:sz w:val="21"/>
        </w:rPr>
        <w:t>（</w:t>
      </w:r>
      <w:r>
        <w:rPr>
          <w:sz w:val="21"/>
        </w:rPr>
        <w:t>井</w:t>
      </w:r>
      <w:r>
        <w:rPr>
          <w:spacing w:val="-3"/>
          <w:sz w:val="21"/>
        </w:rPr>
        <w:t>）</w:t>
      </w:r>
      <w:r>
        <w:rPr>
          <w:spacing w:val="-5"/>
          <w:sz w:val="21"/>
        </w:rPr>
        <w:t>与液化石油气储罐的距离不宜小于 </w:t>
      </w:r>
      <w:r>
        <w:rPr>
          <w:sz w:val="21"/>
        </w:rPr>
        <w:t>60m</w:t>
      </w:r>
      <w:r>
        <w:rPr>
          <w:spacing w:val="-3"/>
          <w:sz w:val="21"/>
        </w:rPr>
        <w:t>，当采取防止辐射热保护措施</w:t>
      </w:r>
      <w:r>
        <w:rPr>
          <w:spacing w:val="-13"/>
          <w:sz w:val="21"/>
        </w:rPr>
        <w:t>时，可为 </w:t>
      </w:r>
      <w:r>
        <w:rPr>
          <w:sz w:val="21"/>
        </w:rPr>
        <w:t>40m</w:t>
      </w:r>
      <w:r>
        <w:rPr>
          <w:spacing w:val="-3"/>
          <w:sz w:val="21"/>
        </w:rPr>
        <w:t>。</w:t>
      </w:r>
      <w:r>
        <w:rPr>
          <w:sz w:val="21"/>
        </w:rPr>
        <w:t> </w:t>
      </w:r>
    </w:p>
    <w:p>
      <w:pPr>
        <w:pStyle w:val="ListParagraph"/>
        <w:numPr>
          <w:ilvl w:val="2"/>
          <w:numId w:val="686"/>
        </w:numPr>
        <w:tabs>
          <w:tab w:pos="1424" w:val="left" w:leader="none"/>
        </w:tabs>
        <w:spacing w:line="240" w:lineRule="auto" w:before="0" w:after="0"/>
        <w:ind w:left="1423" w:right="0" w:hanging="584"/>
        <w:jc w:val="left"/>
        <w:rPr>
          <w:sz w:val="21"/>
        </w:rPr>
      </w:pPr>
      <w:r>
        <w:rPr>
          <w:spacing w:val="-3"/>
          <w:sz w:val="21"/>
        </w:rPr>
        <w:t>消防用水与其他用水共用的水池，应采取确保消防用水量不作他用的技术措施。</w:t>
      </w:r>
      <w:r>
        <w:rPr>
          <w:sz w:val="21"/>
        </w:rPr>
        <w:t> </w:t>
      </w:r>
    </w:p>
    <w:p>
      <w:pPr>
        <w:pStyle w:val="BodyText"/>
        <w:rPr>
          <w:sz w:val="18"/>
        </w:rPr>
      </w:pPr>
    </w:p>
    <w:p>
      <w:pPr>
        <w:pStyle w:val="ListParagraph"/>
        <w:numPr>
          <w:ilvl w:val="2"/>
          <w:numId w:val="686"/>
        </w:numPr>
        <w:tabs>
          <w:tab w:pos="1424" w:val="left" w:leader="none"/>
        </w:tabs>
        <w:spacing w:line="240" w:lineRule="auto" w:before="0" w:after="0"/>
        <w:ind w:left="1423" w:right="0" w:hanging="584"/>
        <w:jc w:val="left"/>
        <w:rPr>
          <w:b/>
          <w:sz w:val="21"/>
        </w:rPr>
      </w:pPr>
      <w:r>
        <w:rPr>
          <w:spacing w:val="-3"/>
          <w:sz w:val="21"/>
        </w:rPr>
        <w:t>消防水池的出水、排水和水位应符合下列规定：</w:t>
      </w:r>
      <w:r>
        <w:rPr>
          <w:b/>
          <w:w w:val="99"/>
          <w:sz w:val="21"/>
        </w:rPr>
        <w:t> </w:t>
      </w:r>
    </w:p>
    <w:p>
      <w:pPr>
        <w:pStyle w:val="BodyText"/>
        <w:spacing w:before="2"/>
        <w:rPr>
          <w:b/>
          <w:sz w:val="18"/>
        </w:rPr>
      </w:pPr>
    </w:p>
    <w:p>
      <w:pPr>
        <w:pStyle w:val="ListParagraph"/>
        <w:numPr>
          <w:ilvl w:val="0"/>
          <w:numId w:val="691"/>
        </w:numPr>
        <w:tabs>
          <w:tab w:pos="1367" w:val="left" w:leader="none"/>
        </w:tabs>
        <w:spacing w:line="240" w:lineRule="auto" w:before="0" w:after="0"/>
        <w:ind w:left="1367" w:right="0" w:hanging="529"/>
        <w:jc w:val="left"/>
        <w:rPr>
          <w:sz w:val="21"/>
        </w:rPr>
      </w:pPr>
      <w:r>
        <w:rPr>
          <w:spacing w:val="-3"/>
          <w:sz w:val="21"/>
        </w:rPr>
        <w:t>消防水池的出水管应保证消防水池的有效容积能被全部利用；</w:t>
      </w:r>
      <w:r>
        <w:rPr>
          <w:sz w:val="21"/>
        </w:rPr>
        <w:t> </w:t>
      </w:r>
    </w:p>
    <w:p>
      <w:pPr>
        <w:pStyle w:val="BodyText"/>
        <w:spacing w:before="12"/>
        <w:rPr>
          <w:sz w:val="17"/>
        </w:rPr>
      </w:pPr>
    </w:p>
    <w:p>
      <w:pPr>
        <w:pStyle w:val="ListParagraph"/>
        <w:numPr>
          <w:ilvl w:val="0"/>
          <w:numId w:val="691"/>
        </w:numPr>
        <w:tabs>
          <w:tab w:pos="1367" w:val="left" w:leader="none"/>
        </w:tabs>
        <w:spacing w:line="446" w:lineRule="auto" w:before="0" w:after="0"/>
        <w:ind w:left="418" w:right="1505" w:firstLine="419"/>
        <w:jc w:val="left"/>
        <w:rPr>
          <w:sz w:val="21"/>
        </w:rPr>
      </w:pPr>
      <w:r>
        <w:rPr>
          <w:spacing w:val="-3"/>
          <w:sz w:val="21"/>
        </w:rPr>
        <w:t>消防水池应设置就地水位显示装置，并应在消防控制中心或值班室等地点设置显示消防水池水位的装置，同时应有最高和最低报警水位； </w:t>
      </w:r>
    </w:p>
    <w:p>
      <w:pPr>
        <w:pStyle w:val="ListParagraph"/>
        <w:numPr>
          <w:ilvl w:val="0"/>
          <w:numId w:val="691"/>
        </w:numPr>
        <w:tabs>
          <w:tab w:pos="1367" w:val="left" w:leader="none"/>
        </w:tabs>
        <w:spacing w:line="240" w:lineRule="auto" w:before="0" w:after="0"/>
        <w:ind w:left="1367" w:right="0" w:hanging="529"/>
        <w:jc w:val="left"/>
        <w:rPr>
          <w:sz w:val="21"/>
        </w:rPr>
      </w:pPr>
      <w:r>
        <w:rPr>
          <w:spacing w:val="-3"/>
          <w:sz w:val="21"/>
        </w:rPr>
        <w:t>消防水池应设置溢流水管和排水设施，并应采用间接排水。</w:t>
      </w:r>
      <w:r>
        <w:rPr>
          <w:sz w:val="21"/>
        </w:rPr>
        <w:t> </w:t>
      </w:r>
    </w:p>
    <w:p>
      <w:pPr>
        <w:pStyle w:val="BodyText"/>
        <w:rPr>
          <w:sz w:val="18"/>
        </w:rPr>
      </w:pPr>
    </w:p>
    <w:p>
      <w:pPr>
        <w:pStyle w:val="ListParagraph"/>
        <w:numPr>
          <w:ilvl w:val="2"/>
          <w:numId w:val="686"/>
        </w:numPr>
        <w:tabs>
          <w:tab w:pos="1530" w:val="left" w:leader="none"/>
        </w:tabs>
        <w:spacing w:line="240" w:lineRule="auto" w:before="0" w:after="0"/>
        <w:ind w:left="1529" w:right="0" w:hanging="690"/>
        <w:jc w:val="left"/>
        <w:rPr>
          <w:sz w:val="21"/>
        </w:rPr>
      </w:pPr>
      <w:r>
        <w:rPr>
          <w:spacing w:val="-3"/>
          <w:sz w:val="21"/>
        </w:rPr>
        <w:t>消防水池的通气管和呼吸管等应符合下列规定：</w:t>
      </w:r>
      <w:r>
        <w:rPr>
          <w:sz w:val="21"/>
        </w:rPr>
        <w:t> </w:t>
      </w:r>
    </w:p>
    <w:p>
      <w:pPr>
        <w:pStyle w:val="BodyText"/>
        <w:spacing w:before="12"/>
        <w:rPr>
          <w:sz w:val="17"/>
        </w:rPr>
      </w:pPr>
    </w:p>
    <w:p>
      <w:pPr>
        <w:pStyle w:val="ListParagraph"/>
        <w:numPr>
          <w:ilvl w:val="0"/>
          <w:numId w:val="692"/>
        </w:numPr>
        <w:tabs>
          <w:tab w:pos="1367" w:val="left" w:leader="none"/>
        </w:tabs>
        <w:spacing w:line="240" w:lineRule="auto" w:before="1" w:after="0"/>
        <w:ind w:left="1367" w:right="0" w:hanging="529"/>
        <w:jc w:val="left"/>
        <w:rPr>
          <w:sz w:val="21"/>
        </w:rPr>
      </w:pPr>
      <w:r>
        <w:rPr>
          <w:spacing w:val="-3"/>
          <w:sz w:val="21"/>
        </w:rPr>
        <w:t>消防水池应设置通气管；</w:t>
      </w:r>
      <w:r>
        <w:rPr>
          <w:sz w:val="21"/>
        </w:rPr>
        <w:t> </w:t>
      </w:r>
    </w:p>
    <w:p>
      <w:pPr>
        <w:pStyle w:val="BodyText"/>
        <w:spacing w:before="1"/>
        <w:rPr>
          <w:sz w:val="18"/>
        </w:rPr>
      </w:pPr>
    </w:p>
    <w:p>
      <w:pPr>
        <w:pStyle w:val="ListParagraph"/>
        <w:numPr>
          <w:ilvl w:val="0"/>
          <w:numId w:val="692"/>
        </w:numPr>
        <w:tabs>
          <w:tab w:pos="1367" w:val="left" w:leader="none"/>
        </w:tabs>
        <w:spacing w:line="240" w:lineRule="auto" w:before="0" w:after="0"/>
        <w:ind w:left="1367" w:right="0" w:hanging="529"/>
        <w:jc w:val="left"/>
        <w:rPr>
          <w:sz w:val="21"/>
        </w:rPr>
      </w:pPr>
      <w:r>
        <w:rPr>
          <w:spacing w:val="-3"/>
          <w:sz w:val="21"/>
        </w:rPr>
        <w:t>消防水池通气管、呼吸管和溢流水管等应采取防止虫鼠等进入消防水池的技术措施。</w:t>
      </w:r>
      <w:r>
        <w:rPr>
          <w:sz w:val="21"/>
        </w:rPr>
        <w:t> </w:t>
      </w:r>
    </w:p>
    <w:p>
      <w:pPr>
        <w:spacing w:after="0" w:line="240" w:lineRule="auto"/>
        <w:jc w:val="left"/>
        <w:rPr>
          <w:sz w:val="21"/>
        </w:rPr>
        <w:sectPr>
          <w:pgSz w:w="11910" w:h="16850"/>
          <w:pgMar w:header="0" w:footer="1228" w:top="1220" w:bottom="1420" w:left="1260" w:right="0"/>
        </w:sectPr>
      </w:pPr>
    </w:p>
    <w:p>
      <w:pPr>
        <w:pStyle w:val="ListParagraph"/>
        <w:numPr>
          <w:ilvl w:val="2"/>
          <w:numId w:val="686"/>
        </w:numPr>
        <w:tabs>
          <w:tab w:pos="1530" w:val="left" w:leader="none"/>
        </w:tabs>
        <w:spacing w:line="446" w:lineRule="auto" w:before="47" w:after="0"/>
        <w:ind w:left="418" w:right="1549" w:firstLine="422"/>
        <w:jc w:val="left"/>
        <w:rPr>
          <w:sz w:val="21"/>
        </w:rPr>
      </w:pPr>
      <w:r>
        <w:rPr>
          <w:spacing w:val="-3"/>
          <w:sz w:val="21"/>
        </w:rPr>
        <w:t>高位消防水池的最低有效水位应能满足其所服务的水灭火设施所需的工作压力和流量，且其有效容积应满足火灾延续时间内所需消防用水量，并应符合下列规定： </w:t>
      </w:r>
    </w:p>
    <w:p>
      <w:pPr>
        <w:pStyle w:val="ListParagraph"/>
        <w:numPr>
          <w:ilvl w:val="0"/>
          <w:numId w:val="693"/>
        </w:numPr>
        <w:tabs>
          <w:tab w:pos="1367" w:val="left" w:leader="none"/>
        </w:tabs>
        <w:spacing w:line="267" w:lineRule="exact" w:before="0" w:after="0"/>
        <w:ind w:left="1367" w:right="0" w:hanging="529"/>
        <w:jc w:val="left"/>
        <w:rPr>
          <w:sz w:val="21"/>
        </w:rPr>
      </w:pPr>
      <w:r>
        <w:rPr>
          <w:spacing w:val="-5"/>
          <w:sz w:val="21"/>
        </w:rPr>
        <w:t>高位消防水池的有效容积、出水、排水和水位，应符合本规范第 </w:t>
      </w:r>
      <w:r>
        <w:rPr>
          <w:sz w:val="21"/>
        </w:rPr>
        <w:t>4.3.8</w:t>
      </w:r>
      <w:r>
        <w:rPr>
          <w:spacing w:val="-23"/>
          <w:sz w:val="21"/>
        </w:rPr>
        <w:t> 条和第 </w:t>
      </w:r>
      <w:r>
        <w:rPr>
          <w:sz w:val="21"/>
        </w:rPr>
        <w:t>4.3.9</w:t>
      </w:r>
    </w:p>
    <w:p>
      <w:pPr>
        <w:pStyle w:val="BodyText"/>
        <w:spacing w:before="2"/>
        <w:rPr>
          <w:sz w:val="18"/>
        </w:rPr>
      </w:pPr>
    </w:p>
    <w:p>
      <w:pPr>
        <w:pStyle w:val="BodyText"/>
        <w:ind w:left="418"/>
      </w:pPr>
      <w:r>
        <w:rPr/>
        <w:t>条的规定； </w:t>
      </w:r>
    </w:p>
    <w:p>
      <w:pPr>
        <w:pStyle w:val="BodyText"/>
        <w:rPr>
          <w:sz w:val="18"/>
        </w:rPr>
      </w:pPr>
    </w:p>
    <w:p>
      <w:pPr>
        <w:pStyle w:val="ListParagraph"/>
        <w:numPr>
          <w:ilvl w:val="0"/>
          <w:numId w:val="693"/>
        </w:numPr>
        <w:tabs>
          <w:tab w:pos="1367" w:val="left" w:leader="none"/>
        </w:tabs>
        <w:spacing w:line="240" w:lineRule="auto" w:before="0" w:after="0"/>
        <w:ind w:left="1367" w:right="0" w:hanging="529"/>
        <w:jc w:val="left"/>
        <w:rPr>
          <w:sz w:val="21"/>
        </w:rPr>
      </w:pPr>
      <w:r>
        <w:rPr>
          <w:spacing w:val="-6"/>
          <w:sz w:val="21"/>
        </w:rPr>
        <w:t>高位消防水池的通气管和呼吸管等应符合本规范第 </w:t>
      </w:r>
      <w:r>
        <w:rPr>
          <w:sz w:val="21"/>
        </w:rPr>
        <w:t>4.3.10</w:t>
      </w:r>
      <w:r>
        <w:rPr>
          <w:spacing w:val="-10"/>
          <w:sz w:val="21"/>
        </w:rPr>
        <w:t> 条的规定； </w:t>
      </w:r>
    </w:p>
    <w:p>
      <w:pPr>
        <w:pStyle w:val="BodyText"/>
        <w:spacing w:before="12"/>
        <w:rPr>
          <w:sz w:val="17"/>
        </w:rPr>
      </w:pPr>
    </w:p>
    <w:p>
      <w:pPr>
        <w:pStyle w:val="ListParagraph"/>
        <w:numPr>
          <w:ilvl w:val="0"/>
          <w:numId w:val="693"/>
        </w:numPr>
        <w:tabs>
          <w:tab w:pos="1367" w:val="left" w:leader="none"/>
        </w:tabs>
        <w:spacing w:line="240" w:lineRule="auto" w:before="0" w:after="0"/>
        <w:ind w:left="1367" w:right="0" w:hanging="529"/>
        <w:jc w:val="left"/>
        <w:rPr>
          <w:sz w:val="21"/>
        </w:rPr>
      </w:pPr>
      <w:r>
        <w:rPr>
          <w:spacing w:val="-3"/>
          <w:sz w:val="21"/>
        </w:rPr>
        <w:t>除可一路消防供水的建筑物外，向高位消防水池供水的给水管不应少于两条；</w:t>
      </w:r>
      <w:r>
        <w:rPr>
          <w:sz w:val="21"/>
        </w:rPr>
        <w:t> </w:t>
      </w:r>
    </w:p>
    <w:p>
      <w:pPr>
        <w:pStyle w:val="BodyText"/>
        <w:spacing w:before="2"/>
        <w:rPr>
          <w:sz w:val="18"/>
        </w:rPr>
      </w:pPr>
    </w:p>
    <w:p>
      <w:pPr>
        <w:pStyle w:val="ListParagraph"/>
        <w:numPr>
          <w:ilvl w:val="0"/>
          <w:numId w:val="693"/>
        </w:numPr>
        <w:tabs>
          <w:tab w:pos="1367" w:val="left" w:leader="none"/>
        </w:tabs>
        <w:spacing w:line="446" w:lineRule="auto" w:before="0" w:after="0"/>
        <w:ind w:left="418" w:right="1505" w:firstLine="419"/>
        <w:jc w:val="left"/>
        <w:rPr>
          <w:sz w:val="21"/>
        </w:rPr>
      </w:pPr>
      <w:r>
        <w:rPr>
          <w:spacing w:val="-3"/>
          <w:sz w:val="21"/>
        </w:rPr>
        <w:t>当高层民用建筑采用高位消防水池供水的高压消防给水系统时，高位消防水池储存室</w:t>
      </w:r>
      <w:r>
        <w:rPr>
          <w:spacing w:val="-5"/>
          <w:sz w:val="21"/>
        </w:rPr>
        <w:t>内消防用水量确有困难，但火灾时补水可靠，其总有效容积不应小于室内消防用水量的 </w:t>
      </w:r>
      <w:r>
        <w:rPr>
          <w:sz w:val="21"/>
        </w:rPr>
        <w:t>50%； </w:t>
      </w:r>
    </w:p>
    <w:p>
      <w:pPr>
        <w:pStyle w:val="ListParagraph"/>
        <w:numPr>
          <w:ilvl w:val="0"/>
          <w:numId w:val="693"/>
        </w:numPr>
        <w:tabs>
          <w:tab w:pos="1367" w:val="left" w:leader="none"/>
        </w:tabs>
        <w:spacing w:line="446" w:lineRule="auto" w:before="0" w:after="0"/>
        <w:ind w:left="418" w:right="1505" w:firstLine="419"/>
        <w:jc w:val="left"/>
        <w:rPr>
          <w:sz w:val="21"/>
        </w:rPr>
      </w:pPr>
      <w:r>
        <w:rPr>
          <w:spacing w:val="-5"/>
          <w:sz w:val="21"/>
        </w:rPr>
        <w:t>高层民用建筑高压消防给水系统的高位消防水池总有效容积大于 </w:t>
      </w:r>
      <w:r>
        <w:rPr>
          <w:sz w:val="21"/>
        </w:rPr>
        <w:t>200m</w:t>
      </w:r>
      <w:r>
        <w:rPr>
          <w:position w:val="11"/>
          <w:sz w:val="11"/>
        </w:rPr>
        <w:t>3</w:t>
      </w:r>
      <w:r>
        <w:rPr>
          <w:spacing w:val="-23"/>
          <w:position w:val="11"/>
          <w:sz w:val="11"/>
        </w:rPr>
        <w:t> </w:t>
      </w:r>
      <w:r>
        <w:rPr>
          <w:spacing w:val="-3"/>
          <w:sz w:val="21"/>
        </w:rPr>
        <w:t>时，宜设置蓄</w:t>
      </w:r>
      <w:r>
        <w:rPr>
          <w:spacing w:val="-5"/>
          <w:sz w:val="21"/>
        </w:rPr>
        <w:t>水有效容积相等且可独立使用的两格；当建筑高度大于 </w:t>
      </w:r>
      <w:r>
        <w:rPr>
          <w:sz w:val="21"/>
        </w:rPr>
        <w:t>100m</w:t>
      </w:r>
      <w:r>
        <w:rPr>
          <w:spacing w:val="-8"/>
          <w:sz w:val="21"/>
        </w:rPr>
        <w:t> 时应设置独立的两座。每格或座应</w:t>
      </w:r>
      <w:r>
        <w:rPr>
          <w:spacing w:val="-5"/>
          <w:sz w:val="21"/>
        </w:rPr>
        <w:t>有一条独立的出水管向消防给水系统供水；</w:t>
      </w:r>
      <w:r>
        <w:rPr>
          <w:sz w:val="21"/>
        </w:rPr>
        <w:t> </w:t>
      </w:r>
    </w:p>
    <w:p>
      <w:pPr>
        <w:pStyle w:val="ListParagraph"/>
        <w:numPr>
          <w:ilvl w:val="0"/>
          <w:numId w:val="693"/>
        </w:numPr>
        <w:tabs>
          <w:tab w:pos="1367" w:val="left" w:leader="none"/>
        </w:tabs>
        <w:spacing w:line="446" w:lineRule="auto" w:before="0" w:after="0"/>
        <w:ind w:left="418" w:right="1508" w:firstLine="419"/>
        <w:jc w:val="left"/>
        <w:rPr>
          <w:b/>
          <w:sz w:val="21"/>
        </w:rPr>
      </w:pPr>
      <w:r>
        <w:rPr>
          <w:spacing w:val="-5"/>
          <w:sz w:val="21"/>
        </w:rPr>
        <w:t>高位消防水池设置在建筑物内时，应采用耐火极限不低于 </w:t>
      </w:r>
      <w:r>
        <w:rPr>
          <w:sz w:val="21"/>
        </w:rPr>
        <w:t>2.00h</w:t>
      </w:r>
      <w:r>
        <w:rPr>
          <w:spacing w:val="-17"/>
          <w:sz w:val="21"/>
        </w:rPr>
        <w:t> 的隔墙和 </w:t>
      </w:r>
      <w:r>
        <w:rPr>
          <w:sz w:val="21"/>
        </w:rPr>
        <w:t>1.50h</w:t>
      </w:r>
      <w:r>
        <w:rPr>
          <w:spacing w:val="-17"/>
          <w:sz w:val="21"/>
        </w:rPr>
        <w:t> 的楼</w:t>
      </w:r>
      <w:r>
        <w:rPr>
          <w:spacing w:val="-3"/>
          <w:sz w:val="21"/>
        </w:rPr>
        <w:t>板与其他部位隔开，并应设甲级防火门；且消防水池及其支承框架与建筑构件应连接牢固。</w:t>
      </w:r>
      <w:r>
        <w:rPr>
          <w:b/>
          <w:w w:val="99"/>
          <w:sz w:val="21"/>
        </w:rPr>
        <w:t> </w:t>
      </w:r>
    </w:p>
    <w:p>
      <w:pPr>
        <w:pStyle w:val="ListParagraph"/>
        <w:numPr>
          <w:ilvl w:val="1"/>
          <w:numId w:val="694"/>
        </w:numPr>
        <w:tabs>
          <w:tab w:pos="1159" w:val="left" w:leader="none"/>
        </w:tabs>
        <w:spacing w:line="240" w:lineRule="auto" w:before="0" w:after="0"/>
        <w:ind w:left="1158" w:right="0" w:hanging="319"/>
        <w:jc w:val="left"/>
        <w:rPr>
          <w:sz w:val="21"/>
        </w:rPr>
      </w:pPr>
      <w:r>
        <w:rPr>
          <w:spacing w:val="-3"/>
          <w:sz w:val="21"/>
        </w:rPr>
        <w:t>天然水源及其他</w:t>
      </w:r>
      <w:r>
        <w:rPr>
          <w:sz w:val="21"/>
        </w:rPr>
        <w:t> </w:t>
      </w:r>
    </w:p>
    <w:p>
      <w:pPr>
        <w:pStyle w:val="BodyText"/>
        <w:spacing w:before="12"/>
        <w:rPr>
          <w:sz w:val="16"/>
        </w:rPr>
      </w:pPr>
    </w:p>
    <w:p>
      <w:pPr>
        <w:pStyle w:val="ListParagraph"/>
        <w:numPr>
          <w:ilvl w:val="2"/>
          <w:numId w:val="694"/>
        </w:numPr>
        <w:tabs>
          <w:tab w:pos="1424" w:val="left" w:leader="none"/>
        </w:tabs>
        <w:spacing w:line="240" w:lineRule="auto" w:before="0" w:after="0"/>
        <w:ind w:left="1423" w:right="0" w:hanging="584"/>
        <w:jc w:val="left"/>
        <w:rPr>
          <w:sz w:val="21"/>
        </w:rPr>
      </w:pPr>
      <w:r>
        <w:rPr>
          <w:spacing w:val="-3"/>
          <w:sz w:val="21"/>
        </w:rPr>
        <w:t>井水等地下水源可作为消防水源。</w:t>
      </w:r>
      <w:r>
        <w:rPr>
          <w:sz w:val="21"/>
        </w:rPr>
        <w:t> </w:t>
      </w:r>
    </w:p>
    <w:p>
      <w:pPr>
        <w:pStyle w:val="BodyText"/>
        <w:spacing w:before="2"/>
        <w:rPr>
          <w:sz w:val="18"/>
        </w:rPr>
      </w:pPr>
    </w:p>
    <w:p>
      <w:pPr>
        <w:pStyle w:val="ListParagraph"/>
        <w:numPr>
          <w:ilvl w:val="2"/>
          <w:numId w:val="694"/>
        </w:numPr>
        <w:tabs>
          <w:tab w:pos="1424" w:val="left" w:leader="none"/>
        </w:tabs>
        <w:spacing w:line="446" w:lineRule="auto" w:before="0" w:after="0"/>
        <w:ind w:left="418" w:right="1445" w:firstLine="422"/>
        <w:jc w:val="left"/>
        <w:rPr>
          <w:sz w:val="21"/>
        </w:rPr>
      </w:pPr>
      <w:r>
        <w:rPr>
          <w:spacing w:val="-3"/>
          <w:sz w:val="21"/>
        </w:rPr>
        <w:t>井水作为消防水源向消防给水系统直接供水时，其最不利水位应满足水泵吸水要求， 其最小出流量和水泵扬程应满足消防要求，且当需要两路消防供水时，水井不应少于两眼，每 眼井的深井泵的供电均应采用一级供电负荷。</w:t>
      </w:r>
      <w:r>
        <w:rPr>
          <w:sz w:val="21"/>
        </w:rPr>
        <w:t> </w:t>
      </w:r>
    </w:p>
    <w:p>
      <w:pPr>
        <w:pStyle w:val="ListParagraph"/>
        <w:numPr>
          <w:ilvl w:val="2"/>
          <w:numId w:val="694"/>
        </w:numPr>
        <w:tabs>
          <w:tab w:pos="1424" w:val="left" w:leader="none"/>
        </w:tabs>
        <w:spacing w:line="446" w:lineRule="auto" w:before="0" w:after="0"/>
        <w:ind w:left="418" w:right="1445" w:firstLine="422"/>
        <w:jc w:val="left"/>
        <w:rPr>
          <w:sz w:val="21"/>
        </w:rPr>
      </w:pPr>
      <w:r>
        <w:rPr>
          <w:spacing w:val="-3"/>
          <w:sz w:val="21"/>
        </w:rPr>
        <w:t>江、河、湖、海、水库等天然水源的设计枯水流量保证率应根据城乡规模和工业项目</w:t>
      </w:r>
      <w:r>
        <w:rPr>
          <w:spacing w:val="-5"/>
          <w:sz w:val="21"/>
        </w:rPr>
        <w:t>的重要性、火灾危险性和经济合理性等综合因素确定，宜为 </w:t>
      </w:r>
      <w:r>
        <w:rPr>
          <w:sz w:val="21"/>
        </w:rPr>
        <w:t>90%～97</w:t>
      </w:r>
      <w:r>
        <w:rPr>
          <w:spacing w:val="-3"/>
          <w:sz w:val="21"/>
        </w:rPr>
        <w:t>%。但村镇的室外消防给水水源的设计枯水流量保证率可根据当地水源情况适当降低。</w:t>
      </w:r>
      <w:r>
        <w:rPr>
          <w:sz w:val="21"/>
        </w:rPr>
        <w:t> </w:t>
      </w:r>
    </w:p>
    <w:p>
      <w:pPr>
        <w:pStyle w:val="ListParagraph"/>
        <w:numPr>
          <w:ilvl w:val="2"/>
          <w:numId w:val="694"/>
        </w:numPr>
        <w:tabs>
          <w:tab w:pos="1424" w:val="left" w:leader="none"/>
        </w:tabs>
        <w:spacing w:line="446" w:lineRule="auto" w:before="0" w:after="0"/>
        <w:ind w:left="418" w:right="1445" w:firstLine="422"/>
        <w:jc w:val="left"/>
        <w:rPr>
          <w:sz w:val="21"/>
        </w:rPr>
      </w:pPr>
      <w:r>
        <w:rPr>
          <w:spacing w:val="-3"/>
          <w:sz w:val="21"/>
        </w:rPr>
        <w:t>当室外消防水源采用天然水源时，应采取防止冰凌、漂浮物、悬浮物等物质堵塞消防水泵的技术措施，并应采取确保安全取水的措施。</w:t>
      </w:r>
      <w:r>
        <w:rPr>
          <w:sz w:val="21"/>
        </w:rPr>
        <w:t> </w:t>
      </w:r>
    </w:p>
    <w:p>
      <w:pPr>
        <w:pStyle w:val="ListParagraph"/>
        <w:numPr>
          <w:ilvl w:val="2"/>
          <w:numId w:val="694"/>
        </w:numPr>
        <w:tabs>
          <w:tab w:pos="1424" w:val="left" w:leader="none"/>
        </w:tabs>
        <w:spacing w:line="267" w:lineRule="exact" w:before="0" w:after="0"/>
        <w:ind w:left="1423" w:right="0" w:hanging="584"/>
        <w:jc w:val="left"/>
        <w:rPr>
          <w:sz w:val="21"/>
        </w:rPr>
      </w:pPr>
      <w:r>
        <w:rPr>
          <w:spacing w:val="-3"/>
          <w:sz w:val="21"/>
        </w:rPr>
        <w:t>当天然水源等作为消防水源时，应符合下列规定：</w:t>
      </w:r>
      <w:r>
        <w:rPr>
          <w:sz w:val="21"/>
        </w:rPr>
        <w:t> </w:t>
      </w:r>
    </w:p>
    <w:p>
      <w:pPr>
        <w:pStyle w:val="BodyText"/>
        <w:rPr>
          <w:sz w:val="18"/>
        </w:rPr>
      </w:pPr>
    </w:p>
    <w:p>
      <w:pPr>
        <w:pStyle w:val="ListParagraph"/>
        <w:numPr>
          <w:ilvl w:val="0"/>
          <w:numId w:val="695"/>
        </w:numPr>
        <w:tabs>
          <w:tab w:pos="1367" w:val="left" w:leader="none"/>
        </w:tabs>
        <w:spacing w:line="446" w:lineRule="auto" w:before="0" w:after="0"/>
        <w:ind w:left="418" w:right="1505" w:firstLine="419"/>
        <w:jc w:val="left"/>
        <w:rPr>
          <w:sz w:val="21"/>
        </w:rPr>
      </w:pPr>
      <w:r>
        <w:rPr>
          <w:spacing w:val="-3"/>
          <w:sz w:val="21"/>
        </w:rPr>
        <w:t>当地表水作为室外消防水源时，应采取确保消防车、固定和移动消防水泵在枯水位取</w:t>
      </w:r>
      <w:r>
        <w:rPr>
          <w:spacing w:val="-5"/>
          <w:sz w:val="21"/>
        </w:rPr>
        <w:t>水的技术措施；当消防车取水时，最大吸水高度不应超过 </w:t>
      </w:r>
      <w:r>
        <w:rPr>
          <w:sz w:val="21"/>
        </w:rPr>
        <w:t>6.0m； </w:t>
      </w:r>
    </w:p>
    <w:p>
      <w:pPr>
        <w:pStyle w:val="ListParagraph"/>
        <w:numPr>
          <w:ilvl w:val="0"/>
          <w:numId w:val="695"/>
        </w:numPr>
        <w:tabs>
          <w:tab w:pos="1367" w:val="left" w:leader="none"/>
        </w:tabs>
        <w:spacing w:line="267" w:lineRule="exact" w:before="0" w:after="0"/>
        <w:ind w:left="1367" w:right="0" w:hanging="529"/>
        <w:jc w:val="left"/>
        <w:rPr>
          <w:sz w:val="21"/>
        </w:rPr>
      </w:pPr>
      <w:r>
        <w:rPr>
          <w:spacing w:val="-3"/>
          <w:sz w:val="21"/>
        </w:rPr>
        <w:t>当井水作为消防水源时，还应设置探测水井水位的水位测试装置。</w:t>
      </w:r>
      <w:r>
        <w:rPr>
          <w:sz w:val="21"/>
        </w:rPr>
        <w:t> </w:t>
      </w:r>
    </w:p>
    <w:p>
      <w:pPr>
        <w:spacing w:after="0" w:line="267" w:lineRule="exact"/>
        <w:jc w:val="left"/>
        <w:rPr>
          <w:sz w:val="21"/>
        </w:rPr>
        <w:sectPr>
          <w:pgSz w:w="11910" w:h="16850"/>
          <w:pgMar w:header="0" w:footer="1228" w:top="1220" w:bottom="1420" w:left="1260" w:right="0"/>
        </w:sectPr>
      </w:pPr>
    </w:p>
    <w:p>
      <w:pPr>
        <w:pStyle w:val="ListParagraph"/>
        <w:numPr>
          <w:ilvl w:val="2"/>
          <w:numId w:val="694"/>
        </w:numPr>
        <w:tabs>
          <w:tab w:pos="1424" w:val="left" w:leader="none"/>
        </w:tabs>
        <w:spacing w:line="446" w:lineRule="auto" w:before="47" w:after="0"/>
        <w:ind w:left="418" w:right="1505" w:firstLine="422"/>
        <w:jc w:val="left"/>
        <w:rPr>
          <w:sz w:val="21"/>
        </w:rPr>
      </w:pPr>
      <w:r>
        <w:rPr>
          <w:spacing w:val="-3"/>
          <w:sz w:val="21"/>
        </w:rPr>
        <w:t>天然水源消防车取水口的设置位置和设施，应符合现行国家标准《室外给水设计规 范》GB</w:t>
      </w:r>
      <w:r>
        <w:rPr>
          <w:spacing w:val="16"/>
          <w:sz w:val="21"/>
        </w:rPr>
        <w:t> </w:t>
      </w:r>
      <w:r>
        <w:rPr>
          <w:sz w:val="21"/>
        </w:rPr>
        <w:t>50013</w:t>
      </w:r>
      <w:r>
        <w:rPr>
          <w:spacing w:val="-10"/>
          <w:sz w:val="21"/>
        </w:rPr>
        <w:t> 中有关地表水取水的规定，且取水头部宜设置格栅，其栅条间距不宜小于 </w:t>
      </w:r>
      <w:r>
        <w:rPr>
          <w:sz w:val="21"/>
        </w:rPr>
        <w:t>50mm， </w:t>
      </w:r>
      <w:r>
        <w:rPr>
          <w:spacing w:val="-3"/>
          <w:sz w:val="21"/>
        </w:rPr>
        <w:t>也可采用过滤管。</w:t>
      </w:r>
      <w:r>
        <w:rPr>
          <w:sz w:val="21"/>
        </w:rPr>
        <w:t> </w:t>
      </w:r>
    </w:p>
    <w:p>
      <w:pPr>
        <w:pStyle w:val="ListParagraph"/>
        <w:numPr>
          <w:ilvl w:val="2"/>
          <w:numId w:val="694"/>
        </w:numPr>
        <w:tabs>
          <w:tab w:pos="1424" w:val="left" w:leader="none"/>
        </w:tabs>
        <w:spacing w:line="446" w:lineRule="auto" w:before="0" w:after="0"/>
        <w:ind w:left="418" w:right="1445" w:firstLine="422"/>
        <w:jc w:val="left"/>
        <w:rPr>
          <w:b/>
          <w:sz w:val="21"/>
        </w:rPr>
      </w:pPr>
      <w:r>
        <w:rPr>
          <w:spacing w:val="-3"/>
          <w:sz w:val="21"/>
        </w:rPr>
        <w:t>设有消防车取水口的天然水源，应设置消防车到达取水口的消防车道和消防车回车场或回车道。</w:t>
      </w:r>
      <w:r>
        <w:rPr>
          <w:b/>
          <w:w w:val="99"/>
          <w:sz w:val="21"/>
        </w:rPr>
        <w:t> </w:t>
      </w:r>
    </w:p>
    <w:p>
      <w:pPr>
        <w:pStyle w:val="Heading4"/>
        <w:spacing w:line="275" w:lineRule="exact"/>
      </w:pPr>
      <w:r>
        <w:rPr/>
        <w:t>5 供水设施</w:t>
      </w:r>
      <w:r>
        <w:rPr>
          <w:w w:val="99"/>
        </w:rPr>
        <w:t> </w:t>
      </w:r>
    </w:p>
    <w:p>
      <w:pPr>
        <w:pStyle w:val="BodyText"/>
        <w:spacing w:before="5"/>
        <w:rPr>
          <w:b/>
          <w:sz w:val="17"/>
        </w:rPr>
      </w:pPr>
    </w:p>
    <w:p>
      <w:pPr>
        <w:pStyle w:val="ListParagraph"/>
        <w:numPr>
          <w:ilvl w:val="1"/>
          <w:numId w:val="696"/>
        </w:numPr>
        <w:tabs>
          <w:tab w:pos="1160" w:val="left" w:leader="none"/>
        </w:tabs>
        <w:spacing w:line="240" w:lineRule="auto" w:before="1" w:after="0"/>
        <w:ind w:left="1159" w:right="0" w:hanging="320"/>
        <w:jc w:val="left"/>
        <w:rPr>
          <w:sz w:val="21"/>
        </w:rPr>
      </w:pPr>
      <w:r>
        <w:rPr>
          <w:spacing w:val="-3"/>
          <w:sz w:val="21"/>
        </w:rPr>
        <w:t>消防水泵</w:t>
      </w:r>
      <w:r>
        <w:rPr>
          <w:sz w:val="21"/>
        </w:rPr>
        <w:t> </w:t>
      </w:r>
    </w:p>
    <w:p>
      <w:pPr>
        <w:pStyle w:val="BodyText"/>
        <w:rPr>
          <w:sz w:val="18"/>
        </w:rPr>
      </w:pPr>
    </w:p>
    <w:p>
      <w:pPr>
        <w:pStyle w:val="ListParagraph"/>
        <w:numPr>
          <w:ilvl w:val="2"/>
          <w:numId w:val="696"/>
        </w:numPr>
        <w:tabs>
          <w:tab w:pos="1424" w:val="left" w:leader="none"/>
        </w:tabs>
        <w:spacing w:line="446" w:lineRule="auto" w:before="0" w:after="0"/>
        <w:ind w:left="418" w:right="1445" w:firstLine="422"/>
        <w:jc w:val="left"/>
        <w:rPr>
          <w:sz w:val="21"/>
        </w:rPr>
      </w:pPr>
      <w:r>
        <w:rPr>
          <w:spacing w:val="-3"/>
          <w:sz w:val="21"/>
        </w:rPr>
        <w:t>消防水泵宜根据可靠性、安装场所、消防水源、消防给水设计流量和扬程等综合因素确定水泵的形式，水泵驱动器宜采用电动机或柴油机直接传动，消防水泵不应采用双电动机或 基于柴油机等组成的双动力驱动水泵。</w:t>
      </w:r>
      <w:r>
        <w:rPr>
          <w:sz w:val="21"/>
        </w:rPr>
        <w:t> </w:t>
      </w:r>
    </w:p>
    <w:p>
      <w:pPr>
        <w:pStyle w:val="ListParagraph"/>
        <w:numPr>
          <w:ilvl w:val="2"/>
          <w:numId w:val="696"/>
        </w:numPr>
        <w:tabs>
          <w:tab w:pos="1424" w:val="left" w:leader="none"/>
        </w:tabs>
        <w:spacing w:line="446" w:lineRule="auto" w:before="0" w:after="0"/>
        <w:ind w:left="418" w:right="1445" w:firstLine="422"/>
        <w:jc w:val="left"/>
        <w:rPr>
          <w:sz w:val="21"/>
        </w:rPr>
      </w:pPr>
      <w:r>
        <w:rPr>
          <w:spacing w:val="-3"/>
          <w:sz w:val="21"/>
        </w:rPr>
        <w:t>消防水泵机组应由水泵、驱动器和专用控制柜等组成；一组消防水泵可由同一消防给水系统的工作泵和备用泵组成。</w:t>
      </w:r>
      <w:r>
        <w:rPr>
          <w:sz w:val="21"/>
        </w:rPr>
        <w:t> </w:t>
      </w:r>
    </w:p>
    <w:p>
      <w:pPr>
        <w:pStyle w:val="ListParagraph"/>
        <w:numPr>
          <w:ilvl w:val="2"/>
          <w:numId w:val="696"/>
        </w:numPr>
        <w:tabs>
          <w:tab w:pos="1424" w:val="left" w:leader="none"/>
        </w:tabs>
        <w:spacing w:line="446" w:lineRule="auto" w:before="0" w:after="0"/>
        <w:ind w:left="418" w:right="1445" w:firstLine="422"/>
        <w:jc w:val="left"/>
        <w:rPr>
          <w:sz w:val="21"/>
        </w:rPr>
      </w:pPr>
      <w:r>
        <w:rPr>
          <w:spacing w:val="-3"/>
          <w:sz w:val="21"/>
        </w:rPr>
        <w:t>消防水泵生产厂商应提供完整的水泵流量扬程性能曲线，并应标示流量、扬程、气蚀余量、功率和效率等参数。 </w:t>
      </w:r>
    </w:p>
    <w:p>
      <w:pPr>
        <w:pStyle w:val="ListParagraph"/>
        <w:numPr>
          <w:ilvl w:val="2"/>
          <w:numId w:val="696"/>
        </w:numPr>
        <w:tabs>
          <w:tab w:pos="1424" w:val="left" w:leader="none"/>
        </w:tabs>
        <w:spacing w:line="267" w:lineRule="exact" w:before="0" w:after="0"/>
        <w:ind w:left="1423" w:right="0" w:hanging="584"/>
        <w:jc w:val="left"/>
        <w:rPr>
          <w:sz w:val="21"/>
        </w:rPr>
      </w:pPr>
      <w:r>
        <w:rPr>
          <w:spacing w:val="-6"/>
          <w:sz w:val="21"/>
        </w:rPr>
        <w:t>单台消防水泵的最小额定流量不应小于 </w:t>
      </w:r>
      <w:r>
        <w:rPr>
          <w:sz w:val="21"/>
        </w:rPr>
        <w:t>10L/s，</w:t>
      </w:r>
      <w:r>
        <w:rPr>
          <w:spacing w:val="-8"/>
          <w:sz w:val="21"/>
        </w:rPr>
        <w:t>最大额定流量不宜大于 </w:t>
      </w:r>
      <w:r>
        <w:rPr>
          <w:sz w:val="21"/>
        </w:rPr>
        <w:t>320L/s</w:t>
      </w:r>
      <w:r>
        <w:rPr>
          <w:spacing w:val="-3"/>
          <w:sz w:val="21"/>
        </w:rPr>
        <w:t>。</w:t>
      </w:r>
      <w:r>
        <w:rPr>
          <w:sz w:val="21"/>
        </w:rPr>
        <w:t> </w:t>
      </w:r>
    </w:p>
    <w:p>
      <w:pPr>
        <w:pStyle w:val="BodyText"/>
        <w:rPr>
          <w:sz w:val="18"/>
        </w:rPr>
      </w:pPr>
    </w:p>
    <w:p>
      <w:pPr>
        <w:pStyle w:val="ListParagraph"/>
        <w:numPr>
          <w:ilvl w:val="2"/>
          <w:numId w:val="696"/>
        </w:numPr>
        <w:tabs>
          <w:tab w:pos="1424" w:val="left" w:leader="none"/>
        </w:tabs>
        <w:spacing w:line="446" w:lineRule="auto" w:before="0" w:after="0"/>
        <w:ind w:left="418" w:right="1445" w:firstLine="422"/>
        <w:jc w:val="left"/>
        <w:rPr>
          <w:sz w:val="21"/>
        </w:rPr>
      </w:pPr>
      <w:r>
        <w:rPr>
          <w:spacing w:val="-3"/>
          <w:sz w:val="21"/>
        </w:rPr>
        <w:t>当消防水泵采用离心泵时，泵的形式宜根据流量、扬程、气蚀余量、功率和效率、转速、噪声，以及安装场所的环境要求等因素综合确定。</w:t>
      </w:r>
      <w:r>
        <w:rPr>
          <w:sz w:val="21"/>
        </w:rPr>
        <w:t> </w:t>
      </w:r>
    </w:p>
    <w:p>
      <w:pPr>
        <w:pStyle w:val="ListParagraph"/>
        <w:numPr>
          <w:ilvl w:val="2"/>
          <w:numId w:val="696"/>
        </w:numPr>
        <w:tabs>
          <w:tab w:pos="1424" w:val="left" w:leader="none"/>
        </w:tabs>
        <w:spacing w:line="267" w:lineRule="exact" w:before="0" w:after="0"/>
        <w:ind w:left="1423" w:right="0" w:hanging="584"/>
        <w:jc w:val="left"/>
        <w:rPr>
          <w:sz w:val="21"/>
        </w:rPr>
      </w:pPr>
      <w:r>
        <w:rPr>
          <w:spacing w:val="-3"/>
          <w:sz w:val="21"/>
        </w:rPr>
        <w:t>消防水泵的选择和应用应符合下列规定：</w:t>
      </w:r>
      <w:r>
        <w:rPr>
          <w:sz w:val="21"/>
        </w:rPr>
        <w:t> </w:t>
      </w:r>
    </w:p>
    <w:p>
      <w:pPr>
        <w:pStyle w:val="BodyText"/>
        <w:spacing w:before="2"/>
        <w:rPr>
          <w:sz w:val="18"/>
        </w:rPr>
      </w:pPr>
    </w:p>
    <w:p>
      <w:pPr>
        <w:pStyle w:val="ListParagraph"/>
        <w:numPr>
          <w:ilvl w:val="0"/>
          <w:numId w:val="697"/>
        </w:numPr>
        <w:tabs>
          <w:tab w:pos="1367" w:val="left" w:leader="none"/>
        </w:tabs>
        <w:spacing w:line="240" w:lineRule="auto" w:before="0" w:after="0"/>
        <w:ind w:left="1367" w:right="0" w:hanging="529"/>
        <w:jc w:val="left"/>
        <w:rPr>
          <w:sz w:val="21"/>
        </w:rPr>
      </w:pPr>
      <w:r>
        <w:rPr>
          <w:spacing w:val="-3"/>
          <w:sz w:val="21"/>
        </w:rPr>
        <w:t>消防水泵的性能应满足消防给水系统所需流量和压力的要求；</w:t>
      </w:r>
      <w:r>
        <w:rPr>
          <w:sz w:val="21"/>
        </w:rPr>
        <w:t> </w:t>
      </w:r>
    </w:p>
    <w:p>
      <w:pPr>
        <w:pStyle w:val="BodyText"/>
        <w:rPr>
          <w:sz w:val="18"/>
        </w:rPr>
      </w:pPr>
    </w:p>
    <w:p>
      <w:pPr>
        <w:pStyle w:val="ListParagraph"/>
        <w:numPr>
          <w:ilvl w:val="0"/>
          <w:numId w:val="697"/>
        </w:numPr>
        <w:tabs>
          <w:tab w:pos="1367" w:val="left" w:leader="none"/>
        </w:tabs>
        <w:spacing w:line="446" w:lineRule="auto" w:before="0" w:after="0"/>
        <w:ind w:left="418" w:right="1505" w:firstLine="419"/>
        <w:jc w:val="left"/>
        <w:rPr>
          <w:sz w:val="21"/>
        </w:rPr>
      </w:pPr>
      <w:r>
        <w:rPr>
          <w:spacing w:val="-3"/>
          <w:sz w:val="21"/>
        </w:rPr>
        <w:t>消防水泵所配驱动器的功率应满足所选水泵流量扬程性能曲线上任何一点运行所需功率的要求；</w:t>
      </w:r>
      <w:r>
        <w:rPr>
          <w:sz w:val="21"/>
        </w:rPr>
        <w:t> </w:t>
      </w:r>
    </w:p>
    <w:p>
      <w:pPr>
        <w:pStyle w:val="ListParagraph"/>
        <w:numPr>
          <w:ilvl w:val="0"/>
          <w:numId w:val="697"/>
        </w:numPr>
        <w:tabs>
          <w:tab w:pos="1367" w:val="left" w:leader="none"/>
        </w:tabs>
        <w:spacing w:line="240" w:lineRule="auto" w:before="0" w:after="0"/>
        <w:ind w:left="1367" w:right="0" w:hanging="529"/>
        <w:jc w:val="left"/>
        <w:rPr>
          <w:sz w:val="21"/>
        </w:rPr>
      </w:pPr>
      <w:r>
        <w:rPr>
          <w:spacing w:val="-3"/>
          <w:sz w:val="21"/>
        </w:rPr>
        <w:t>当采用电动机驱动的消防水泵时，应选择电动机干式安装的消防水泵； </w:t>
      </w:r>
    </w:p>
    <w:p>
      <w:pPr>
        <w:pStyle w:val="BodyText"/>
        <w:spacing w:before="12"/>
        <w:rPr>
          <w:sz w:val="17"/>
        </w:rPr>
      </w:pPr>
    </w:p>
    <w:p>
      <w:pPr>
        <w:pStyle w:val="ListParagraph"/>
        <w:numPr>
          <w:ilvl w:val="0"/>
          <w:numId w:val="697"/>
        </w:numPr>
        <w:tabs>
          <w:tab w:pos="1367" w:val="left" w:leader="none"/>
        </w:tabs>
        <w:spacing w:line="446" w:lineRule="auto" w:before="0" w:after="0"/>
        <w:ind w:left="418" w:right="1505" w:firstLine="419"/>
        <w:jc w:val="left"/>
        <w:rPr>
          <w:sz w:val="21"/>
        </w:rPr>
      </w:pPr>
      <w:r>
        <w:rPr>
          <w:spacing w:val="-3"/>
          <w:sz w:val="21"/>
        </w:rPr>
        <w:t>流量扬程性能曲线应为无驼峰、无拐点的光滑曲线，零流量时的压力不应大于设计工</w:t>
      </w:r>
      <w:r>
        <w:rPr>
          <w:spacing w:val="-13"/>
          <w:sz w:val="21"/>
        </w:rPr>
        <w:t>作压力的 </w:t>
      </w:r>
      <w:r>
        <w:rPr>
          <w:sz w:val="21"/>
        </w:rPr>
        <w:t>140</w:t>
      </w:r>
      <w:r>
        <w:rPr>
          <w:spacing w:val="-7"/>
          <w:sz w:val="21"/>
        </w:rPr>
        <w:t>%，且宜大于设计工作压力的 </w:t>
      </w:r>
      <w:r>
        <w:rPr>
          <w:sz w:val="21"/>
        </w:rPr>
        <w:t>120%； </w:t>
      </w:r>
    </w:p>
    <w:p>
      <w:pPr>
        <w:pStyle w:val="ListParagraph"/>
        <w:numPr>
          <w:ilvl w:val="0"/>
          <w:numId w:val="697"/>
        </w:numPr>
        <w:tabs>
          <w:tab w:pos="1367" w:val="left" w:leader="none"/>
        </w:tabs>
        <w:spacing w:line="240" w:lineRule="auto" w:before="0" w:after="0"/>
        <w:ind w:left="1367" w:right="0" w:hanging="529"/>
        <w:jc w:val="left"/>
        <w:rPr>
          <w:sz w:val="21"/>
        </w:rPr>
      </w:pPr>
      <w:r>
        <w:rPr>
          <w:spacing w:val="-8"/>
          <w:sz w:val="21"/>
        </w:rPr>
        <w:t>当出流量为设计流量的 </w:t>
      </w:r>
      <w:r>
        <w:rPr>
          <w:sz w:val="21"/>
        </w:rPr>
        <w:t>150</w:t>
      </w:r>
      <w:r>
        <w:rPr>
          <w:spacing w:val="-6"/>
          <w:sz w:val="21"/>
        </w:rPr>
        <w:t>%时，其出口压力不应低于设计工作压力的 </w:t>
      </w:r>
      <w:r>
        <w:rPr>
          <w:spacing w:val="-3"/>
          <w:sz w:val="21"/>
        </w:rPr>
        <w:t>65%；</w:t>
      </w:r>
      <w:r>
        <w:rPr>
          <w:sz w:val="21"/>
        </w:rPr>
        <w:t> </w:t>
      </w:r>
    </w:p>
    <w:p>
      <w:pPr>
        <w:pStyle w:val="BodyText"/>
        <w:rPr>
          <w:sz w:val="18"/>
        </w:rPr>
      </w:pPr>
    </w:p>
    <w:p>
      <w:pPr>
        <w:pStyle w:val="ListParagraph"/>
        <w:numPr>
          <w:ilvl w:val="0"/>
          <w:numId w:val="697"/>
        </w:numPr>
        <w:tabs>
          <w:tab w:pos="1367" w:val="left" w:leader="none"/>
        </w:tabs>
        <w:spacing w:line="240" w:lineRule="auto" w:before="0" w:after="0"/>
        <w:ind w:left="1367" w:right="0" w:hanging="529"/>
        <w:jc w:val="left"/>
        <w:rPr>
          <w:sz w:val="21"/>
        </w:rPr>
      </w:pPr>
      <w:r>
        <w:rPr>
          <w:spacing w:val="-3"/>
          <w:sz w:val="21"/>
        </w:rPr>
        <w:t>泵轴的密封方式和材料应满足消防水泵在低流量时运转的要求；</w:t>
      </w:r>
      <w:r>
        <w:rPr>
          <w:sz w:val="21"/>
        </w:rPr>
        <w:t> </w:t>
      </w:r>
    </w:p>
    <w:p>
      <w:pPr>
        <w:pStyle w:val="BodyText"/>
        <w:rPr>
          <w:sz w:val="18"/>
        </w:rPr>
      </w:pPr>
    </w:p>
    <w:p>
      <w:pPr>
        <w:pStyle w:val="ListParagraph"/>
        <w:numPr>
          <w:ilvl w:val="0"/>
          <w:numId w:val="697"/>
        </w:numPr>
        <w:tabs>
          <w:tab w:pos="1367" w:val="left" w:leader="none"/>
        </w:tabs>
        <w:spacing w:line="240" w:lineRule="auto" w:before="0" w:after="0"/>
        <w:ind w:left="1367" w:right="0" w:hanging="529"/>
        <w:jc w:val="left"/>
        <w:rPr>
          <w:sz w:val="21"/>
        </w:rPr>
      </w:pPr>
      <w:r>
        <w:rPr>
          <w:spacing w:val="-5"/>
          <w:sz w:val="21"/>
        </w:rPr>
        <w:t>消防给水同一泵组的消防水泵型号宜一致，且工作泵不宜超过 </w:t>
      </w:r>
      <w:r>
        <w:rPr>
          <w:sz w:val="21"/>
        </w:rPr>
        <w:t>3</w:t>
      </w:r>
      <w:r>
        <w:rPr>
          <w:spacing w:val="-14"/>
          <w:sz w:val="21"/>
        </w:rPr>
        <w:t> 台； </w:t>
      </w:r>
    </w:p>
    <w:p>
      <w:pPr>
        <w:pStyle w:val="BodyText"/>
        <w:spacing w:before="1"/>
        <w:rPr>
          <w:sz w:val="18"/>
        </w:rPr>
      </w:pPr>
    </w:p>
    <w:p>
      <w:pPr>
        <w:pStyle w:val="ListParagraph"/>
        <w:numPr>
          <w:ilvl w:val="0"/>
          <w:numId w:val="697"/>
        </w:numPr>
        <w:tabs>
          <w:tab w:pos="1367" w:val="left" w:leader="none"/>
        </w:tabs>
        <w:spacing w:line="240" w:lineRule="auto" w:before="1" w:after="0"/>
        <w:ind w:left="1367" w:right="0" w:hanging="529"/>
        <w:jc w:val="left"/>
        <w:rPr>
          <w:sz w:val="21"/>
        </w:rPr>
      </w:pPr>
      <w:r>
        <w:rPr>
          <w:spacing w:val="-3"/>
          <w:sz w:val="21"/>
        </w:rPr>
        <w:t>多台消防水泵并联时，应校核流量叠加对消防水泵出口压力的影响。 </w:t>
      </w:r>
    </w:p>
    <w:p>
      <w:pPr>
        <w:spacing w:after="0" w:line="240" w:lineRule="auto"/>
        <w:jc w:val="left"/>
        <w:rPr>
          <w:sz w:val="21"/>
        </w:rPr>
        <w:sectPr>
          <w:pgSz w:w="11910" w:h="16850"/>
          <w:pgMar w:header="0" w:footer="1228" w:top="1220" w:bottom="1420" w:left="1260" w:right="0"/>
        </w:sectPr>
      </w:pPr>
    </w:p>
    <w:p>
      <w:pPr>
        <w:pStyle w:val="ListParagraph"/>
        <w:numPr>
          <w:ilvl w:val="2"/>
          <w:numId w:val="696"/>
        </w:numPr>
        <w:tabs>
          <w:tab w:pos="1424" w:val="left" w:leader="none"/>
        </w:tabs>
        <w:spacing w:line="240" w:lineRule="auto" w:before="47" w:after="0"/>
        <w:ind w:left="1423" w:right="0" w:hanging="584"/>
        <w:jc w:val="left"/>
        <w:rPr>
          <w:sz w:val="21"/>
        </w:rPr>
      </w:pPr>
      <w:r>
        <w:rPr>
          <w:spacing w:val="-3"/>
          <w:sz w:val="21"/>
        </w:rPr>
        <w:t>消防水泵的主要材质应符合下列规定：</w:t>
      </w:r>
      <w:r>
        <w:rPr>
          <w:sz w:val="21"/>
        </w:rPr>
        <w:t> </w:t>
      </w:r>
    </w:p>
    <w:p>
      <w:pPr>
        <w:pStyle w:val="BodyText"/>
        <w:rPr>
          <w:sz w:val="18"/>
        </w:rPr>
      </w:pPr>
    </w:p>
    <w:p>
      <w:pPr>
        <w:pStyle w:val="BodyText"/>
        <w:ind w:left="838"/>
      </w:pPr>
      <w:r>
        <w:rPr>
          <w:w w:val="100"/>
        </w:rPr>
        <w:t> </w:t>
      </w:r>
      <w:r>
        <w:rPr/>
        <w:t>（1）水泵外壳宜为球墨铸铁； </w:t>
      </w:r>
    </w:p>
    <w:p>
      <w:pPr>
        <w:pStyle w:val="BodyText"/>
        <w:rPr>
          <w:sz w:val="18"/>
        </w:rPr>
      </w:pPr>
    </w:p>
    <w:p>
      <w:pPr>
        <w:pStyle w:val="BodyText"/>
        <w:ind w:left="838"/>
      </w:pPr>
      <w:r>
        <w:rPr/>
        <w:t>（2）叶轮宜为青铜或不锈钢。 </w:t>
      </w:r>
    </w:p>
    <w:p>
      <w:pPr>
        <w:pStyle w:val="BodyText"/>
        <w:spacing w:before="1"/>
        <w:rPr>
          <w:sz w:val="18"/>
        </w:rPr>
      </w:pPr>
    </w:p>
    <w:p>
      <w:pPr>
        <w:pStyle w:val="ListParagraph"/>
        <w:numPr>
          <w:ilvl w:val="2"/>
          <w:numId w:val="696"/>
        </w:numPr>
        <w:tabs>
          <w:tab w:pos="1424" w:val="left" w:leader="none"/>
        </w:tabs>
        <w:spacing w:line="240" w:lineRule="auto" w:before="1" w:after="0"/>
        <w:ind w:left="1423" w:right="0" w:hanging="584"/>
        <w:jc w:val="left"/>
        <w:rPr>
          <w:sz w:val="21"/>
        </w:rPr>
      </w:pPr>
      <w:r>
        <w:rPr>
          <w:spacing w:val="-3"/>
          <w:sz w:val="21"/>
        </w:rPr>
        <w:t>当采用柴油机消防水泵时应符合下列规定：</w:t>
      </w:r>
      <w:r>
        <w:rPr>
          <w:sz w:val="21"/>
        </w:rPr>
        <w:t> </w:t>
      </w:r>
    </w:p>
    <w:p>
      <w:pPr>
        <w:pStyle w:val="BodyText"/>
        <w:spacing w:before="12"/>
        <w:rPr>
          <w:sz w:val="17"/>
        </w:rPr>
      </w:pPr>
    </w:p>
    <w:p>
      <w:pPr>
        <w:pStyle w:val="ListParagraph"/>
        <w:numPr>
          <w:ilvl w:val="0"/>
          <w:numId w:val="698"/>
        </w:numPr>
        <w:tabs>
          <w:tab w:pos="1367" w:val="left" w:leader="none"/>
        </w:tabs>
        <w:spacing w:line="240" w:lineRule="auto" w:before="0" w:after="0"/>
        <w:ind w:left="1367" w:right="0" w:hanging="529"/>
        <w:jc w:val="left"/>
        <w:rPr>
          <w:sz w:val="21"/>
        </w:rPr>
      </w:pPr>
      <w:r>
        <w:rPr>
          <w:spacing w:val="-3"/>
          <w:sz w:val="21"/>
        </w:rPr>
        <w:t>柴油机消防水泵应采用压缩式点火型柴油机；</w:t>
      </w:r>
      <w:r>
        <w:rPr>
          <w:sz w:val="21"/>
        </w:rPr>
        <w:t> </w:t>
      </w:r>
    </w:p>
    <w:p>
      <w:pPr>
        <w:pStyle w:val="BodyText"/>
        <w:spacing w:before="12"/>
        <w:rPr>
          <w:sz w:val="17"/>
        </w:rPr>
      </w:pPr>
    </w:p>
    <w:p>
      <w:pPr>
        <w:pStyle w:val="ListParagraph"/>
        <w:numPr>
          <w:ilvl w:val="0"/>
          <w:numId w:val="698"/>
        </w:numPr>
        <w:tabs>
          <w:tab w:pos="1367" w:val="left" w:leader="none"/>
        </w:tabs>
        <w:spacing w:line="240" w:lineRule="auto" w:before="0" w:after="0"/>
        <w:ind w:left="1367" w:right="0" w:hanging="529"/>
        <w:jc w:val="left"/>
        <w:rPr>
          <w:sz w:val="21"/>
        </w:rPr>
      </w:pPr>
      <w:r>
        <w:rPr>
          <w:spacing w:val="-3"/>
          <w:sz w:val="21"/>
        </w:rPr>
        <w:t>柴油机的额定功率应校核海拔高度和环境温度对柴油机功率的影响； </w:t>
      </w:r>
    </w:p>
    <w:p>
      <w:pPr>
        <w:pStyle w:val="BodyText"/>
        <w:spacing w:before="2"/>
        <w:rPr>
          <w:sz w:val="18"/>
        </w:rPr>
      </w:pPr>
    </w:p>
    <w:p>
      <w:pPr>
        <w:pStyle w:val="ListParagraph"/>
        <w:numPr>
          <w:ilvl w:val="0"/>
          <w:numId w:val="698"/>
        </w:numPr>
        <w:tabs>
          <w:tab w:pos="1367" w:val="left" w:leader="none"/>
        </w:tabs>
        <w:spacing w:line="240" w:lineRule="auto" w:before="0" w:after="0"/>
        <w:ind w:left="1367" w:right="0" w:hanging="529"/>
        <w:jc w:val="left"/>
        <w:rPr>
          <w:sz w:val="21"/>
        </w:rPr>
      </w:pPr>
      <w:r>
        <w:rPr>
          <w:spacing w:val="-5"/>
          <w:sz w:val="21"/>
        </w:rPr>
        <w:t>柴油机消防水泵应具备连续工作的性能，试验运行时间不应小于 </w:t>
      </w:r>
      <w:r>
        <w:rPr>
          <w:sz w:val="21"/>
        </w:rPr>
        <w:t>24h； </w:t>
      </w:r>
    </w:p>
    <w:p>
      <w:pPr>
        <w:pStyle w:val="BodyText"/>
        <w:rPr>
          <w:sz w:val="18"/>
        </w:rPr>
      </w:pPr>
    </w:p>
    <w:p>
      <w:pPr>
        <w:pStyle w:val="ListParagraph"/>
        <w:numPr>
          <w:ilvl w:val="0"/>
          <w:numId w:val="698"/>
        </w:numPr>
        <w:tabs>
          <w:tab w:pos="1367" w:val="left" w:leader="none"/>
        </w:tabs>
        <w:spacing w:line="240" w:lineRule="auto" w:before="0" w:after="0"/>
        <w:ind w:left="1367" w:right="0" w:hanging="529"/>
        <w:jc w:val="left"/>
        <w:rPr>
          <w:sz w:val="21"/>
        </w:rPr>
      </w:pPr>
      <w:r>
        <w:rPr>
          <w:spacing w:val="-3"/>
          <w:sz w:val="21"/>
        </w:rPr>
        <w:t>柴油机消防水泵的蓄电池应保证消防水泵随时自动启泵的要求；</w:t>
      </w:r>
      <w:r>
        <w:rPr>
          <w:sz w:val="21"/>
        </w:rPr>
        <w:t> </w:t>
      </w:r>
    </w:p>
    <w:p>
      <w:pPr>
        <w:pStyle w:val="BodyText"/>
        <w:rPr>
          <w:sz w:val="18"/>
        </w:rPr>
      </w:pPr>
    </w:p>
    <w:p>
      <w:pPr>
        <w:pStyle w:val="ListParagraph"/>
        <w:numPr>
          <w:ilvl w:val="0"/>
          <w:numId w:val="698"/>
        </w:numPr>
        <w:tabs>
          <w:tab w:pos="1367" w:val="left" w:leader="none"/>
        </w:tabs>
        <w:spacing w:line="240" w:lineRule="auto" w:before="0" w:after="0"/>
        <w:ind w:left="1367" w:right="0" w:hanging="529"/>
        <w:jc w:val="left"/>
        <w:rPr>
          <w:sz w:val="21"/>
        </w:rPr>
      </w:pPr>
      <w:r>
        <w:rPr>
          <w:spacing w:val="-3"/>
          <w:sz w:val="21"/>
        </w:rPr>
        <w:t>柴油机消防水泵的供油箱应根据火灾延续时间确定，且油箱最小有效容积应按</w:t>
      </w:r>
    </w:p>
    <w:p>
      <w:pPr>
        <w:pStyle w:val="BodyText"/>
        <w:spacing w:before="2"/>
        <w:rPr>
          <w:sz w:val="18"/>
        </w:rPr>
      </w:pPr>
    </w:p>
    <w:p>
      <w:pPr>
        <w:pStyle w:val="BodyText"/>
        <w:ind w:left="418"/>
      </w:pPr>
      <w:r>
        <w:rPr/>
        <w:t>1.5L/kW 配置，柴油机消防水泵油箱内储存的燃料不应小于 50%的储量。 </w:t>
      </w:r>
    </w:p>
    <w:p>
      <w:pPr>
        <w:pStyle w:val="BodyText"/>
        <w:spacing w:before="12"/>
        <w:rPr>
          <w:sz w:val="17"/>
        </w:rPr>
      </w:pPr>
    </w:p>
    <w:p>
      <w:pPr>
        <w:pStyle w:val="ListParagraph"/>
        <w:numPr>
          <w:ilvl w:val="2"/>
          <w:numId w:val="696"/>
        </w:numPr>
        <w:tabs>
          <w:tab w:pos="1424" w:val="left" w:leader="none"/>
        </w:tabs>
        <w:spacing w:line="240" w:lineRule="auto" w:before="0" w:after="0"/>
        <w:ind w:left="1423" w:right="0" w:hanging="584"/>
        <w:jc w:val="left"/>
        <w:rPr>
          <w:sz w:val="21"/>
        </w:rPr>
      </w:pPr>
      <w:r>
        <w:rPr>
          <w:spacing w:val="-3"/>
          <w:sz w:val="21"/>
        </w:rPr>
        <w:t>轴流深井泵宜安装于水井、消防水池和其他消防水源上，并应符合下列规定：</w:t>
      </w:r>
      <w:r>
        <w:rPr>
          <w:sz w:val="21"/>
        </w:rPr>
        <w:t> </w:t>
      </w:r>
    </w:p>
    <w:p>
      <w:pPr>
        <w:pStyle w:val="BodyText"/>
        <w:spacing w:before="12"/>
        <w:rPr>
          <w:sz w:val="17"/>
        </w:rPr>
      </w:pPr>
    </w:p>
    <w:p>
      <w:pPr>
        <w:pStyle w:val="ListParagraph"/>
        <w:numPr>
          <w:ilvl w:val="0"/>
          <w:numId w:val="699"/>
        </w:numPr>
        <w:tabs>
          <w:tab w:pos="1367" w:val="left" w:leader="none"/>
        </w:tabs>
        <w:spacing w:line="446" w:lineRule="auto" w:before="0" w:after="0"/>
        <w:ind w:left="418" w:right="1450" w:firstLine="419"/>
        <w:jc w:val="left"/>
        <w:rPr>
          <w:sz w:val="21"/>
        </w:rPr>
      </w:pPr>
      <w:r>
        <w:rPr>
          <w:spacing w:val="-3"/>
          <w:sz w:val="21"/>
        </w:rPr>
        <w:t>轴流深井泵安装于水井时，其淹没深度应满足其可靠运行的要求，在水泵出流量为150</w:t>
      </w:r>
      <w:r>
        <w:rPr>
          <w:spacing w:val="-4"/>
          <w:sz w:val="21"/>
        </w:rPr>
        <w:t>%设计流量时，其最低淹没深度应是第一个水泵叶轮底部水位线以上不少于 </w:t>
      </w:r>
      <w:r>
        <w:rPr>
          <w:sz w:val="21"/>
        </w:rPr>
        <w:t>3.20m</w:t>
      </w:r>
      <w:r>
        <w:rPr>
          <w:spacing w:val="-1"/>
          <w:sz w:val="21"/>
        </w:rPr>
        <w:t>，且海拔高</w:t>
      </w:r>
      <w:r>
        <w:rPr>
          <w:spacing w:val="-13"/>
          <w:sz w:val="21"/>
        </w:rPr>
        <w:t>度每增加 </w:t>
      </w:r>
      <w:r>
        <w:rPr>
          <w:sz w:val="21"/>
        </w:rPr>
        <w:t>300m</w:t>
      </w:r>
      <w:r>
        <w:rPr>
          <w:spacing w:val="-7"/>
          <w:sz w:val="21"/>
        </w:rPr>
        <w:t>，深井泵的最低淹没深度应至少增加 </w:t>
      </w:r>
      <w:r>
        <w:rPr>
          <w:sz w:val="21"/>
        </w:rPr>
        <w:t>0.30m； </w:t>
      </w:r>
    </w:p>
    <w:p>
      <w:pPr>
        <w:pStyle w:val="ListParagraph"/>
        <w:numPr>
          <w:ilvl w:val="0"/>
          <w:numId w:val="699"/>
        </w:numPr>
        <w:tabs>
          <w:tab w:pos="1367" w:val="left" w:leader="none"/>
        </w:tabs>
        <w:spacing w:line="446" w:lineRule="auto" w:before="0" w:after="0"/>
        <w:ind w:left="418" w:right="1505" w:firstLine="419"/>
        <w:jc w:val="left"/>
        <w:rPr>
          <w:sz w:val="21"/>
        </w:rPr>
      </w:pPr>
      <w:r>
        <w:rPr>
          <w:spacing w:val="-3"/>
          <w:sz w:val="21"/>
        </w:rPr>
        <w:t>轴流深井泵安装在消防水池等消防水源上时，其第一个水泵叶轮底部应低于消防水池的最低有效水位线，且淹没深度应根据水力条件经计算确定，并应满足消防水池等消防水源有</w:t>
      </w:r>
      <w:r>
        <w:rPr>
          <w:spacing w:val="-5"/>
          <w:sz w:val="21"/>
        </w:rPr>
        <w:t>效储水量或有效水位能全部被利用的要求；当水泵设计流量大于 </w:t>
      </w:r>
      <w:r>
        <w:rPr>
          <w:sz w:val="21"/>
        </w:rPr>
        <w:t>125L/s</w:t>
      </w:r>
      <w:r>
        <w:rPr>
          <w:spacing w:val="-7"/>
          <w:sz w:val="21"/>
        </w:rPr>
        <w:t> 时，应根据水泵性能确</w:t>
      </w:r>
      <w:r>
        <w:rPr>
          <w:spacing w:val="-5"/>
          <w:sz w:val="21"/>
        </w:rPr>
        <w:t>定淹没深度，并应满足水泵气蚀余量的要求；</w:t>
      </w:r>
      <w:r>
        <w:rPr>
          <w:sz w:val="21"/>
        </w:rPr>
        <w:t> </w:t>
      </w:r>
    </w:p>
    <w:p>
      <w:pPr>
        <w:pStyle w:val="ListParagraph"/>
        <w:numPr>
          <w:ilvl w:val="0"/>
          <w:numId w:val="699"/>
        </w:numPr>
        <w:tabs>
          <w:tab w:pos="1367" w:val="left" w:leader="none"/>
        </w:tabs>
        <w:spacing w:line="446" w:lineRule="auto" w:before="0" w:after="0"/>
        <w:ind w:left="418" w:right="1611" w:firstLine="419"/>
        <w:jc w:val="left"/>
        <w:rPr>
          <w:sz w:val="21"/>
        </w:rPr>
      </w:pPr>
      <w:r>
        <w:rPr>
          <w:spacing w:val="-5"/>
          <w:sz w:val="21"/>
        </w:rPr>
        <w:t>轴流深井泵的出水管与消防给水管网连接应符合本规范第 </w:t>
      </w:r>
      <w:r>
        <w:rPr>
          <w:sz w:val="21"/>
        </w:rPr>
        <w:t>5.1.13</w:t>
      </w:r>
      <w:r>
        <w:rPr>
          <w:spacing w:val="-24"/>
          <w:sz w:val="21"/>
        </w:rPr>
        <w:t> 条第 </w:t>
      </w:r>
      <w:r>
        <w:rPr>
          <w:sz w:val="21"/>
        </w:rPr>
        <w:t>3</w:t>
      </w:r>
      <w:r>
        <w:rPr>
          <w:spacing w:val="-10"/>
          <w:sz w:val="21"/>
        </w:rPr>
        <w:t> 款的有关规</w:t>
      </w:r>
      <w:r>
        <w:rPr>
          <w:spacing w:val="-7"/>
          <w:sz w:val="21"/>
        </w:rPr>
        <w:t>定；</w:t>
      </w:r>
      <w:r>
        <w:rPr>
          <w:sz w:val="21"/>
        </w:rPr>
        <w:t> </w:t>
      </w:r>
    </w:p>
    <w:p>
      <w:pPr>
        <w:pStyle w:val="ListParagraph"/>
        <w:numPr>
          <w:ilvl w:val="0"/>
          <w:numId w:val="699"/>
        </w:numPr>
        <w:tabs>
          <w:tab w:pos="1367" w:val="left" w:leader="none"/>
        </w:tabs>
        <w:spacing w:line="267" w:lineRule="exact" w:before="0" w:after="0"/>
        <w:ind w:left="1367" w:right="0" w:hanging="529"/>
        <w:jc w:val="left"/>
        <w:rPr>
          <w:sz w:val="21"/>
        </w:rPr>
      </w:pPr>
      <w:r>
        <w:rPr>
          <w:spacing w:val="-6"/>
          <w:sz w:val="21"/>
        </w:rPr>
        <w:t>轴流深井泵出水管的阀门设置应符合本规范第 </w:t>
      </w:r>
      <w:r>
        <w:rPr>
          <w:sz w:val="21"/>
        </w:rPr>
        <w:t>5.1.13</w:t>
      </w:r>
      <w:r>
        <w:rPr>
          <w:spacing w:val="-28"/>
          <w:sz w:val="21"/>
        </w:rPr>
        <w:t> 条第 </w:t>
      </w:r>
      <w:r>
        <w:rPr>
          <w:sz w:val="21"/>
        </w:rPr>
        <w:t>5</w:t>
      </w:r>
      <w:r>
        <w:rPr>
          <w:spacing w:val="-23"/>
          <w:sz w:val="21"/>
        </w:rPr>
        <w:t> 款和第 </w:t>
      </w:r>
      <w:r>
        <w:rPr>
          <w:sz w:val="21"/>
        </w:rPr>
        <w:t>6</w:t>
      </w:r>
      <w:r>
        <w:rPr>
          <w:spacing w:val="-12"/>
          <w:sz w:val="21"/>
        </w:rPr>
        <w:t> 款的规定；</w:t>
      </w:r>
      <w:r>
        <w:rPr>
          <w:sz w:val="21"/>
        </w:rPr>
        <w:t> </w:t>
      </w:r>
    </w:p>
    <w:p>
      <w:pPr>
        <w:pStyle w:val="BodyText"/>
        <w:spacing w:before="1"/>
        <w:rPr>
          <w:sz w:val="18"/>
        </w:rPr>
      </w:pPr>
    </w:p>
    <w:p>
      <w:pPr>
        <w:pStyle w:val="ListParagraph"/>
        <w:numPr>
          <w:ilvl w:val="0"/>
          <w:numId w:val="699"/>
        </w:numPr>
        <w:tabs>
          <w:tab w:pos="1367" w:val="left" w:leader="none"/>
        </w:tabs>
        <w:spacing w:line="446" w:lineRule="auto" w:before="0" w:after="0"/>
        <w:ind w:left="418" w:right="1714" w:firstLine="419"/>
        <w:jc w:val="left"/>
        <w:rPr>
          <w:sz w:val="21"/>
        </w:rPr>
      </w:pPr>
      <w:r>
        <w:rPr>
          <w:spacing w:val="-3"/>
          <w:sz w:val="21"/>
        </w:rPr>
        <w:t>当消防水池最低水位低于离心水泵出水管中心线或水源水位不能保证离心水泵吸水时，可采用轴流深井泵，并应采用湿式深坑的安装方式安装于消防水池等消防水源上；</w:t>
      </w:r>
      <w:r>
        <w:rPr>
          <w:sz w:val="21"/>
        </w:rPr>
        <w:t> </w:t>
      </w:r>
    </w:p>
    <w:p>
      <w:pPr>
        <w:pStyle w:val="ListParagraph"/>
        <w:numPr>
          <w:ilvl w:val="0"/>
          <w:numId w:val="699"/>
        </w:numPr>
        <w:tabs>
          <w:tab w:pos="1367" w:val="left" w:leader="none"/>
        </w:tabs>
        <w:spacing w:line="267" w:lineRule="exact" w:before="0" w:after="0"/>
        <w:ind w:left="1367" w:right="0" w:hanging="529"/>
        <w:jc w:val="left"/>
        <w:rPr>
          <w:sz w:val="21"/>
        </w:rPr>
      </w:pPr>
      <w:r>
        <w:rPr>
          <w:spacing w:val="-3"/>
          <w:sz w:val="21"/>
        </w:rPr>
        <w:t>当轴流深井泵的电动机露天设置时，应有防雨功能；</w:t>
      </w:r>
      <w:r>
        <w:rPr>
          <w:sz w:val="21"/>
        </w:rPr>
        <w:t> </w:t>
      </w:r>
    </w:p>
    <w:p>
      <w:pPr>
        <w:pStyle w:val="BodyText"/>
        <w:spacing w:before="2"/>
        <w:rPr>
          <w:sz w:val="18"/>
        </w:rPr>
      </w:pPr>
    </w:p>
    <w:p>
      <w:pPr>
        <w:pStyle w:val="ListParagraph"/>
        <w:numPr>
          <w:ilvl w:val="0"/>
          <w:numId w:val="699"/>
        </w:numPr>
        <w:tabs>
          <w:tab w:pos="1367" w:val="left" w:leader="none"/>
        </w:tabs>
        <w:spacing w:line="446" w:lineRule="auto" w:before="0" w:after="0"/>
        <w:ind w:left="840" w:right="2235" w:hanging="3"/>
        <w:jc w:val="left"/>
        <w:rPr>
          <w:sz w:val="21"/>
        </w:rPr>
      </w:pPr>
      <w:r>
        <w:rPr>
          <w:spacing w:val="-3"/>
          <w:sz w:val="21"/>
        </w:rPr>
        <w:t>其他应符合现行国家标准《室外给水设计规范》</w:t>
      </w:r>
      <w:r>
        <w:rPr>
          <w:sz w:val="21"/>
        </w:rPr>
        <w:t>GB</w:t>
      </w:r>
      <w:r>
        <w:rPr>
          <w:spacing w:val="5"/>
          <w:sz w:val="21"/>
        </w:rPr>
        <w:t> </w:t>
      </w:r>
      <w:r>
        <w:rPr>
          <w:sz w:val="21"/>
        </w:rPr>
        <w:t>50013</w:t>
      </w:r>
      <w:r>
        <w:rPr>
          <w:spacing w:val="-10"/>
          <w:sz w:val="21"/>
        </w:rPr>
        <w:t> 的有关规定。</w:t>
      </w:r>
      <w:r>
        <w:rPr>
          <w:b/>
          <w:sz w:val="21"/>
        </w:rPr>
        <w:t>5.1.10</w:t>
      </w:r>
      <w:r>
        <w:rPr>
          <w:b/>
          <w:spacing w:val="16"/>
          <w:sz w:val="21"/>
        </w:rPr>
        <w:t> </w:t>
      </w:r>
      <w:r>
        <w:rPr>
          <w:spacing w:val="-3"/>
          <w:sz w:val="21"/>
        </w:rPr>
        <w:t>消防水泵应设置备用泵，其性能应与工作泵性能一致，但下列建筑除外： </w:t>
      </w:r>
    </w:p>
    <w:p>
      <w:pPr>
        <w:pStyle w:val="ListParagraph"/>
        <w:numPr>
          <w:ilvl w:val="0"/>
          <w:numId w:val="700"/>
        </w:numPr>
        <w:tabs>
          <w:tab w:pos="1367" w:val="left" w:leader="none"/>
        </w:tabs>
        <w:spacing w:line="267" w:lineRule="exact" w:before="0" w:after="0"/>
        <w:ind w:left="1367" w:right="0" w:hanging="529"/>
        <w:jc w:val="left"/>
        <w:rPr>
          <w:sz w:val="21"/>
        </w:rPr>
      </w:pPr>
      <w:r>
        <w:rPr>
          <w:spacing w:val="-11"/>
          <w:sz w:val="21"/>
        </w:rPr>
        <w:t>建筑高度小于 </w:t>
      </w:r>
      <w:r>
        <w:rPr>
          <w:sz w:val="21"/>
        </w:rPr>
        <w:t>54m</w:t>
      </w:r>
      <w:r>
        <w:rPr>
          <w:spacing w:val="-12"/>
          <w:sz w:val="21"/>
        </w:rPr>
        <w:t> 的住宅和室外消防给水设计流量小于等于 </w:t>
      </w:r>
      <w:r>
        <w:rPr>
          <w:sz w:val="21"/>
        </w:rPr>
        <w:t>25L/s</w:t>
      </w:r>
      <w:r>
        <w:rPr>
          <w:spacing w:val="-12"/>
          <w:sz w:val="21"/>
        </w:rPr>
        <w:t> 的建筑； </w:t>
      </w:r>
    </w:p>
    <w:p>
      <w:pPr>
        <w:pStyle w:val="BodyText"/>
        <w:spacing w:before="2"/>
        <w:rPr>
          <w:sz w:val="18"/>
        </w:rPr>
      </w:pPr>
    </w:p>
    <w:p>
      <w:pPr>
        <w:pStyle w:val="ListParagraph"/>
        <w:numPr>
          <w:ilvl w:val="0"/>
          <w:numId w:val="700"/>
        </w:numPr>
        <w:tabs>
          <w:tab w:pos="1367" w:val="left" w:leader="none"/>
        </w:tabs>
        <w:spacing w:line="240" w:lineRule="auto" w:before="0" w:after="0"/>
        <w:ind w:left="1367" w:right="0" w:hanging="529"/>
        <w:jc w:val="left"/>
        <w:rPr>
          <w:sz w:val="21"/>
        </w:rPr>
      </w:pPr>
      <w:r>
        <w:rPr>
          <w:spacing w:val="-7"/>
          <w:sz w:val="21"/>
        </w:rPr>
        <w:t>室内消防给水设计流量小于等于 </w:t>
      </w:r>
      <w:r>
        <w:rPr>
          <w:sz w:val="21"/>
        </w:rPr>
        <w:t>10L/s</w:t>
      </w:r>
      <w:r>
        <w:rPr>
          <w:spacing w:val="-12"/>
          <w:sz w:val="21"/>
        </w:rPr>
        <w:t> 的建筑。 </w:t>
      </w:r>
    </w:p>
    <w:p>
      <w:pPr>
        <w:spacing w:after="0" w:line="240" w:lineRule="auto"/>
        <w:jc w:val="left"/>
        <w:rPr>
          <w:sz w:val="21"/>
        </w:rPr>
        <w:sectPr>
          <w:pgSz w:w="11910" w:h="16850"/>
          <w:pgMar w:header="0" w:footer="1228" w:top="1220" w:bottom="1420" w:left="1260" w:right="0"/>
        </w:sectPr>
      </w:pPr>
    </w:p>
    <w:p>
      <w:pPr>
        <w:pStyle w:val="BodyText"/>
        <w:spacing w:before="47"/>
        <w:ind w:left="840"/>
      </w:pPr>
      <w:r>
        <w:rPr>
          <w:b/>
        </w:rPr>
        <w:t>5.1.11 </w:t>
      </w:r>
      <w:r>
        <w:rPr/>
        <w:t>一组消防水泵应在消防水泵房内设置流量和压力测试装置，并应符合下列规定： </w:t>
      </w:r>
    </w:p>
    <w:p>
      <w:pPr>
        <w:pStyle w:val="BodyText"/>
        <w:rPr>
          <w:sz w:val="18"/>
        </w:rPr>
      </w:pPr>
    </w:p>
    <w:p>
      <w:pPr>
        <w:pStyle w:val="ListParagraph"/>
        <w:numPr>
          <w:ilvl w:val="0"/>
          <w:numId w:val="701"/>
        </w:numPr>
        <w:tabs>
          <w:tab w:pos="1367" w:val="left" w:leader="none"/>
        </w:tabs>
        <w:spacing w:line="446" w:lineRule="auto" w:before="0" w:after="0"/>
        <w:ind w:left="418" w:right="1558" w:firstLine="419"/>
        <w:jc w:val="left"/>
        <w:rPr>
          <w:sz w:val="21"/>
        </w:rPr>
      </w:pPr>
      <w:r>
        <w:rPr>
          <w:spacing w:val="-6"/>
          <w:sz w:val="21"/>
        </w:rPr>
        <w:t>单台消防给水泵的流量不大于 </w:t>
      </w:r>
      <w:r>
        <w:rPr>
          <w:sz w:val="21"/>
        </w:rPr>
        <w:t>20L/s</w:t>
      </w:r>
      <w:r>
        <w:rPr>
          <w:spacing w:val="-7"/>
          <w:sz w:val="21"/>
        </w:rPr>
        <w:t>、设计工作压力不大于 </w:t>
      </w:r>
      <w:r>
        <w:rPr>
          <w:sz w:val="21"/>
        </w:rPr>
        <w:t>0.50MPa</w:t>
      </w:r>
      <w:r>
        <w:rPr>
          <w:spacing w:val="-8"/>
          <w:sz w:val="21"/>
        </w:rPr>
        <w:t> 时，泵组应预留</w:t>
      </w:r>
      <w:r>
        <w:rPr>
          <w:spacing w:val="-5"/>
          <w:sz w:val="21"/>
        </w:rPr>
        <w:t>测量用流量计和压力计接口，其他泵组宜设置泵组流量和压力测试装置；</w:t>
      </w:r>
      <w:r>
        <w:rPr>
          <w:sz w:val="21"/>
        </w:rPr>
        <w:t> </w:t>
      </w:r>
    </w:p>
    <w:p>
      <w:pPr>
        <w:pStyle w:val="ListParagraph"/>
        <w:numPr>
          <w:ilvl w:val="0"/>
          <w:numId w:val="701"/>
        </w:numPr>
        <w:tabs>
          <w:tab w:pos="1367" w:val="left" w:leader="none"/>
        </w:tabs>
        <w:spacing w:line="446" w:lineRule="auto" w:before="0" w:after="0"/>
        <w:ind w:left="418" w:right="1558" w:firstLine="419"/>
        <w:jc w:val="left"/>
        <w:rPr>
          <w:sz w:val="21"/>
        </w:rPr>
      </w:pPr>
      <w:r>
        <w:rPr>
          <w:spacing w:val="-6"/>
          <w:sz w:val="21"/>
        </w:rPr>
        <w:t>消防水泵流量检测装置的计量精度应为 </w:t>
      </w:r>
      <w:r>
        <w:rPr>
          <w:sz w:val="21"/>
        </w:rPr>
        <w:t>0.4</w:t>
      </w:r>
      <w:r>
        <w:rPr>
          <w:spacing w:val="-12"/>
          <w:sz w:val="21"/>
        </w:rPr>
        <w:t> 级，最大量程的 </w:t>
      </w:r>
      <w:r>
        <w:rPr>
          <w:sz w:val="21"/>
        </w:rPr>
        <w:t>75</w:t>
      </w:r>
      <w:r>
        <w:rPr>
          <w:spacing w:val="-3"/>
          <w:sz w:val="21"/>
        </w:rPr>
        <w:t>%应大于最大一台消防</w:t>
      </w:r>
      <w:r>
        <w:rPr>
          <w:spacing w:val="-9"/>
          <w:sz w:val="21"/>
        </w:rPr>
        <w:t>水泵设计流量值的 </w:t>
      </w:r>
      <w:r>
        <w:rPr>
          <w:sz w:val="21"/>
        </w:rPr>
        <w:t>175%； </w:t>
      </w:r>
    </w:p>
    <w:p>
      <w:pPr>
        <w:pStyle w:val="ListParagraph"/>
        <w:numPr>
          <w:ilvl w:val="0"/>
          <w:numId w:val="701"/>
        </w:numPr>
        <w:tabs>
          <w:tab w:pos="1367" w:val="left" w:leader="none"/>
        </w:tabs>
        <w:spacing w:line="446" w:lineRule="auto" w:before="0" w:after="0"/>
        <w:ind w:left="418" w:right="1558" w:firstLine="419"/>
        <w:jc w:val="left"/>
        <w:rPr>
          <w:sz w:val="21"/>
        </w:rPr>
      </w:pPr>
      <w:r>
        <w:rPr>
          <w:spacing w:val="-6"/>
          <w:sz w:val="21"/>
        </w:rPr>
        <w:t>消防水泵压力检测装置的计量精度应为 </w:t>
      </w:r>
      <w:r>
        <w:rPr>
          <w:sz w:val="21"/>
        </w:rPr>
        <w:t>0.5</w:t>
      </w:r>
      <w:r>
        <w:rPr>
          <w:spacing w:val="-12"/>
          <w:sz w:val="21"/>
        </w:rPr>
        <w:t> 级，最大量程的 </w:t>
      </w:r>
      <w:r>
        <w:rPr>
          <w:sz w:val="21"/>
        </w:rPr>
        <w:t>75</w:t>
      </w:r>
      <w:r>
        <w:rPr>
          <w:spacing w:val="-3"/>
          <w:sz w:val="21"/>
        </w:rPr>
        <w:t>%应大于最大一台消防</w:t>
      </w:r>
      <w:r>
        <w:rPr>
          <w:spacing w:val="-9"/>
          <w:sz w:val="21"/>
        </w:rPr>
        <w:t>水泵设计压力值的 </w:t>
      </w:r>
      <w:r>
        <w:rPr>
          <w:sz w:val="21"/>
        </w:rPr>
        <w:t>165%； </w:t>
      </w:r>
    </w:p>
    <w:p>
      <w:pPr>
        <w:pStyle w:val="ListParagraph"/>
        <w:numPr>
          <w:ilvl w:val="0"/>
          <w:numId w:val="701"/>
        </w:numPr>
        <w:tabs>
          <w:tab w:pos="1367" w:val="left" w:leader="none"/>
        </w:tabs>
        <w:spacing w:line="446" w:lineRule="auto" w:before="0" w:after="0"/>
        <w:ind w:left="840" w:right="2979" w:hanging="3"/>
        <w:jc w:val="left"/>
        <w:rPr>
          <w:sz w:val="21"/>
        </w:rPr>
      </w:pPr>
      <w:r>
        <w:rPr>
          <w:spacing w:val="-7"/>
          <w:sz w:val="21"/>
        </w:rPr>
        <w:t>每台消防水泵出水管上应设置 </w:t>
      </w:r>
      <w:r>
        <w:rPr>
          <w:sz w:val="21"/>
        </w:rPr>
        <w:t>DN65</w:t>
      </w:r>
      <w:r>
        <w:rPr>
          <w:spacing w:val="-8"/>
          <w:sz w:val="21"/>
        </w:rPr>
        <w:t> 的试水管，并应采取排水措施。</w:t>
      </w:r>
      <w:r>
        <w:rPr>
          <w:b/>
          <w:sz w:val="21"/>
        </w:rPr>
        <w:t>5.1.12 </w:t>
      </w:r>
      <w:r>
        <w:rPr>
          <w:spacing w:val="-3"/>
          <w:sz w:val="21"/>
        </w:rPr>
        <w:t>消防水泵吸水应符合下列规定：</w:t>
      </w:r>
      <w:r>
        <w:rPr>
          <w:sz w:val="21"/>
        </w:rPr>
        <w:t> </w:t>
      </w:r>
    </w:p>
    <w:p>
      <w:pPr>
        <w:pStyle w:val="ListParagraph"/>
        <w:numPr>
          <w:ilvl w:val="0"/>
          <w:numId w:val="702"/>
        </w:numPr>
        <w:tabs>
          <w:tab w:pos="1367" w:val="left" w:leader="none"/>
        </w:tabs>
        <w:spacing w:line="240" w:lineRule="auto" w:before="0" w:after="0"/>
        <w:ind w:left="1367" w:right="0" w:hanging="529"/>
        <w:jc w:val="left"/>
        <w:rPr>
          <w:sz w:val="21"/>
        </w:rPr>
      </w:pPr>
      <w:r>
        <w:rPr>
          <w:spacing w:val="-3"/>
          <w:sz w:val="21"/>
        </w:rPr>
        <w:t>消防水泵应采取自灌式吸水；</w:t>
      </w:r>
      <w:r>
        <w:rPr>
          <w:sz w:val="21"/>
        </w:rPr>
        <w:t> </w:t>
      </w:r>
    </w:p>
    <w:p>
      <w:pPr>
        <w:pStyle w:val="BodyText"/>
        <w:spacing w:before="10"/>
        <w:rPr>
          <w:sz w:val="17"/>
        </w:rPr>
      </w:pPr>
    </w:p>
    <w:p>
      <w:pPr>
        <w:pStyle w:val="ListParagraph"/>
        <w:numPr>
          <w:ilvl w:val="0"/>
          <w:numId w:val="702"/>
        </w:numPr>
        <w:tabs>
          <w:tab w:pos="1367" w:val="left" w:leader="none"/>
        </w:tabs>
        <w:spacing w:line="446" w:lineRule="auto" w:before="0" w:after="0"/>
        <w:ind w:left="418" w:right="1505" w:firstLine="419"/>
        <w:jc w:val="left"/>
        <w:rPr>
          <w:sz w:val="21"/>
        </w:rPr>
      </w:pPr>
      <w:r>
        <w:rPr>
          <w:spacing w:val="-3"/>
          <w:sz w:val="21"/>
        </w:rPr>
        <w:t>消防水泵从市政管网直接抽水时，应在消防水泵出水管上设置有空气隔断的倒流防止器；</w:t>
      </w:r>
      <w:r>
        <w:rPr>
          <w:sz w:val="21"/>
        </w:rPr>
        <w:t> </w:t>
      </w:r>
    </w:p>
    <w:p>
      <w:pPr>
        <w:pStyle w:val="ListParagraph"/>
        <w:numPr>
          <w:ilvl w:val="0"/>
          <w:numId w:val="702"/>
        </w:numPr>
        <w:tabs>
          <w:tab w:pos="1367" w:val="left" w:leader="none"/>
        </w:tabs>
        <w:spacing w:line="240" w:lineRule="auto" w:before="0" w:after="0"/>
        <w:ind w:left="1367" w:right="0" w:hanging="529"/>
        <w:jc w:val="left"/>
        <w:rPr>
          <w:sz w:val="21"/>
        </w:rPr>
      </w:pPr>
      <w:r>
        <w:rPr>
          <w:spacing w:val="-3"/>
          <w:sz w:val="21"/>
        </w:rPr>
        <w:t>当吸水口处无吸水井时，吸水口处应设置旋流防止器。</w:t>
      </w:r>
      <w:r>
        <w:rPr>
          <w:sz w:val="21"/>
        </w:rPr>
        <w:t> </w:t>
      </w:r>
    </w:p>
    <w:p>
      <w:pPr>
        <w:pStyle w:val="BodyText"/>
        <w:rPr>
          <w:sz w:val="18"/>
        </w:rPr>
      </w:pPr>
    </w:p>
    <w:p>
      <w:pPr>
        <w:pStyle w:val="ListParagraph"/>
        <w:numPr>
          <w:ilvl w:val="2"/>
          <w:numId w:val="703"/>
        </w:numPr>
        <w:tabs>
          <w:tab w:pos="1478" w:val="left" w:leader="none"/>
        </w:tabs>
        <w:spacing w:line="240" w:lineRule="auto" w:before="0" w:after="0"/>
        <w:ind w:left="1477" w:right="0" w:hanging="638"/>
        <w:jc w:val="left"/>
        <w:rPr>
          <w:sz w:val="21"/>
        </w:rPr>
      </w:pPr>
      <w:r>
        <w:rPr>
          <w:spacing w:val="-3"/>
          <w:sz w:val="21"/>
        </w:rPr>
        <w:t>离心式消防水泵吸水管、出水管和阀门等，应符合下列规定：</w:t>
      </w:r>
      <w:r>
        <w:rPr>
          <w:sz w:val="21"/>
        </w:rPr>
        <w:t> </w:t>
      </w:r>
    </w:p>
    <w:p>
      <w:pPr>
        <w:pStyle w:val="BodyText"/>
        <w:spacing w:before="12"/>
        <w:rPr>
          <w:sz w:val="17"/>
        </w:rPr>
      </w:pPr>
    </w:p>
    <w:p>
      <w:pPr>
        <w:pStyle w:val="ListParagraph"/>
        <w:numPr>
          <w:ilvl w:val="0"/>
          <w:numId w:val="704"/>
        </w:numPr>
        <w:tabs>
          <w:tab w:pos="1367" w:val="left" w:leader="none"/>
        </w:tabs>
        <w:spacing w:line="446" w:lineRule="auto" w:before="0" w:after="0"/>
        <w:ind w:left="418" w:right="1505" w:firstLine="419"/>
        <w:jc w:val="left"/>
        <w:rPr>
          <w:sz w:val="21"/>
        </w:rPr>
      </w:pPr>
      <w:r>
        <w:rPr>
          <w:spacing w:val="-3"/>
          <w:sz w:val="21"/>
        </w:rPr>
        <w:t>一组消防水泵，吸水管不应少于两条，当其中一条损坏或检修时，其余吸水管应仍能通过全部消防给水设计流量；</w:t>
      </w:r>
      <w:r>
        <w:rPr>
          <w:sz w:val="21"/>
        </w:rPr>
        <w:t> </w:t>
      </w:r>
    </w:p>
    <w:p>
      <w:pPr>
        <w:pStyle w:val="ListParagraph"/>
        <w:numPr>
          <w:ilvl w:val="0"/>
          <w:numId w:val="704"/>
        </w:numPr>
        <w:tabs>
          <w:tab w:pos="1367" w:val="left" w:leader="none"/>
        </w:tabs>
        <w:spacing w:line="240" w:lineRule="auto" w:before="0" w:after="0"/>
        <w:ind w:left="1367" w:right="0" w:hanging="529"/>
        <w:jc w:val="left"/>
        <w:rPr>
          <w:sz w:val="21"/>
        </w:rPr>
      </w:pPr>
      <w:r>
        <w:rPr>
          <w:spacing w:val="-3"/>
          <w:sz w:val="21"/>
        </w:rPr>
        <w:t>消防水泵吸水管布置应避免形成气囊；</w:t>
      </w:r>
      <w:r>
        <w:rPr>
          <w:sz w:val="21"/>
        </w:rPr>
        <w:t> </w:t>
      </w:r>
    </w:p>
    <w:p>
      <w:pPr>
        <w:pStyle w:val="BodyText"/>
        <w:rPr>
          <w:sz w:val="18"/>
        </w:rPr>
      </w:pPr>
    </w:p>
    <w:p>
      <w:pPr>
        <w:pStyle w:val="ListParagraph"/>
        <w:numPr>
          <w:ilvl w:val="0"/>
          <w:numId w:val="704"/>
        </w:numPr>
        <w:tabs>
          <w:tab w:pos="1367" w:val="left" w:leader="none"/>
        </w:tabs>
        <w:spacing w:line="446" w:lineRule="auto" w:before="0" w:after="0"/>
        <w:ind w:left="418" w:right="1505" w:firstLine="419"/>
        <w:jc w:val="left"/>
        <w:rPr>
          <w:sz w:val="21"/>
        </w:rPr>
      </w:pPr>
      <w:r>
        <w:rPr>
          <w:spacing w:val="-3"/>
          <w:sz w:val="21"/>
        </w:rPr>
        <w:t>一组消防水泵应设不少于两条的输水干管与消防给水环状管网连接，当其中一条输水管检修时，其余输水管应仍能供应全部消防给水设计流量；</w:t>
      </w:r>
      <w:r>
        <w:rPr>
          <w:sz w:val="21"/>
        </w:rPr>
        <w:t> </w:t>
      </w:r>
    </w:p>
    <w:p>
      <w:pPr>
        <w:pStyle w:val="ListParagraph"/>
        <w:numPr>
          <w:ilvl w:val="0"/>
          <w:numId w:val="704"/>
        </w:numPr>
        <w:tabs>
          <w:tab w:pos="1367" w:val="left" w:leader="none"/>
        </w:tabs>
        <w:spacing w:line="446" w:lineRule="auto" w:before="0" w:after="0"/>
        <w:ind w:left="418" w:right="1505" w:firstLine="419"/>
        <w:jc w:val="left"/>
        <w:rPr>
          <w:sz w:val="21"/>
        </w:rPr>
      </w:pPr>
      <w:r>
        <w:rPr>
          <w:spacing w:val="-3"/>
          <w:sz w:val="21"/>
        </w:rPr>
        <w:t>消防水泵吸水口的淹没深度应满足消防水泵在最低水位运行安全的要求，吸水管喇叭口在消防水池最低有效水位下的淹没深度应根据吸水管喇叭口的水流速度和水力条件确定，但</w:t>
      </w:r>
      <w:r>
        <w:rPr>
          <w:spacing w:val="-13"/>
          <w:sz w:val="21"/>
        </w:rPr>
        <w:t>不应小于 </w:t>
      </w:r>
      <w:r>
        <w:rPr>
          <w:sz w:val="21"/>
        </w:rPr>
        <w:t>600mm</w:t>
      </w:r>
      <w:r>
        <w:rPr>
          <w:spacing w:val="-6"/>
          <w:sz w:val="21"/>
        </w:rPr>
        <w:t>，当采用旋流防止器时，淹没深度不应小于 </w:t>
      </w:r>
      <w:r>
        <w:rPr>
          <w:sz w:val="21"/>
        </w:rPr>
        <w:t>200mm； </w:t>
      </w:r>
    </w:p>
    <w:p>
      <w:pPr>
        <w:pStyle w:val="ListParagraph"/>
        <w:numPr>
          <w:ilvl w:val="0"/>
          <w:numId w:val="704"/>
        </w:numPr>
        <w:tabs>
          <w:tab w:pos="1367" w:val="left" w:leader="none"/>
        </w:tabs>
        <w:spacing w:line="446" w:lineRule="auto" w:before="0" w:after="0"/>
        <w:ind w:left="418" w:right="1505" w:firstLine="419"/>
        <w:jc w:val="left"/>
        <w:rPr>
          <w:sz w:val="21"/>
        </w:rPr>
      </w:pPr>
      <w:r>
        <w:rPr>
          <w:spacing w:val="-3"/>
          <w:sz w:val="21"/>
        </w:rPr>
        <w:t>消防水泵的吸水管上应设置明杆闸阀或带自锁装置的蝶阀，但当设置暗杆阀门时应设</w:t>
      </w:r>
      <w:r>
        <w:rPr>
          <w:spacing w:val="-7"/>
          <w:sz w:val="21"/>
        </w:rPr>
        <w:t>有开启刻度和标志；当管径超过 </w:t>
      </w:r>
      <w:r>
        <w:rPr>
          <w:sz w:val="21"/>
        </w:rPr>
        <w:t>DN300</w:t>
      </w:r>
      <w:r>
        <w:rPr>
          <w:spacing w:val="-9"/>
          <w:sz w:val="21"/>
        </w:rPr>
        <w:t> 时，宜设置电动阀门；</w:t>
      </w:r>
      <w:r>
        <w:rPr>
          <w:sz w:val="21"/>
        </w:rPr>
        <w:t> </w:t>
      </w:r>
    </w:p>
    <w:p>
      <w:pPr>
        <w:pStyle w:val="ListParagraph"/>
        <w:numPr>
          <w:ilvl w:val="0"/>
          <w:numId w:val="704"/>
        </w:numPr>
        <w:tabs>
          <w:tab w:pos="1367" w:val="left" w:leader="none"/>
        </w:tabs>
        <w:spacing w:line="446" w:lineRule="auto" w:before="0" w:after="0"/>
        <w:ind w:left="418" w:right="1505" w:firstLine="419"/>
        <w:jc w:val="left"/>
        <w:rPr>
          <w:sz w:val="21"/>
        </w:rPr>
      </w:pPr>
      <w:r>
        <w:rPr>
          <w:spacing w:val="-3"/>
          <w:sz w:val="21"/>
        </w:rPr>
        <w:t>消防水泵的出水管上应设止回阀、明杆闸阀；当采用蝶阀时，应带有自锁装置；当管</w:t>
      </w:r>
      <w:r>
        <w:rPr>
          <w:spacing w:val="-15"/>
          <w:sz w:val="21"/>
        </w:rPr>
        <w:t>径大于 </w:t>
      </w:r>
      <w:r>
        <w:rPr>
          <w:sz w:val="21"/>
        </w:rPr>
        <w:t>DN300</w:t>
      </w:r>
      <w:r>
        <w:rPr>
          <w:spacing w:val="-9"/>
          <w:sz w:val="21"/>
        </w:rPr>
        <w:t> 时，宜设置电动阀门；</w:t>
      </w:r>
      <w:r>
        <w:rPr>
          <w:sz w:val="21"/>
        </w:rPr>
        <w:t> </w:t>
      </w:r>
    </w:p>
    <w:p>
      <w:pPr>
        <w:pStyle w:val="ListParagraph"/>
        <w:numPr>
          <w:ilvl w:val="0"/>
          <w:numId w:val="704"/>
        </w:numPr>
        <w:tabs>
          <w:tab w:pos="1367" w:val="left" w:leader="none"/>
        </w:tabs>
        <w:spacing w:line="267" w:lineRule="exact" w:before="0" w:after="0"/>
        <w:ind w:left="1367" w:right="0" w:hanging="529"/>
        <w:jc w:val="left"/>
        <w:rPr>
          <w:sz w:val="21"/>
        </w:rPr>
      </w:pPr>
      <w:r>
        <w:rPr>
          <w:spacing w:val="-7"/>
          <w:sz w:val="21"/>
        </w:rPr>
        <w:t>消防水泵吸水管的直径小于 </w:t>
      </w:r>
      <w:r>
        <w:rPr>
          <w:sz w:val="21"/>
        </w:rPr>
        <w:t>DN250</w:t>
      </w:r>
      <w:r>
        <w:rPr>
          <w:spacing w:val="-14"/>
          <w:sz w:val="21"/>
        </w:rPr>
        <w:t> 时，其流速宜为 </w:t>
      </w:r>
      <w:r>
        <w:rPr>
          <w:sz w:val="21"/>
        </w:rPr>
        <w:t>1.0～1.2m/s</w:t>
      </w:r>
      <w:r>
        <w:rPr>
          <w:spacing w:val="-10"/>
          <w:sz w:val="21"/>
        </w:rPr>
        <w:t>；直径大于 </w:t>
      </w:r>
      <w:r>
        <w:rPr>
          <w:sz w:val="21"/>
        </w:rPr>
        <w:t>DN250</w:t>
      </w:r>
    </w:p>
    <w:p>
      <w:pPr>
        <w:pStyle w:val="BodyText"/>
        <w:spacing w:before="1"/>
        <w:rPr>
          <w:sz w:val="18"/>
        </w:rPr>
      </w:pPr>
    </w:p>
    <w:p>
      <w:pPr>
        <w:pStyle w:val="BodyText"/>
        <w:ind w:left="418"/>
      </w:pPr>
      <w:r>
        <w:rPr/>
        <w:t>时，宜为 1.2～1.6m/s； </w:t>
      </w:r>
    </w:p>
    <w:p>
      <w:pPr>
        <w:spacing w:after="0"/>
        <w:sectPr>
          <w:footerReference w:type="default" r:id="rId385"/>
          <w:pgSz w:w="11910" w:h="16850"/>
          <w:pgMar w:footer="1239" w:header="0" w:top="1220" w:bottom="1420" w:left="1260" w:right="0"/>
          <w:pgNumType w:start="1330"/>
        </w:sectPr>
      </w:pPr>
    </w:p>
    <w:p>
      <w:pPr>
        <w:pStyle w:val="ListParagraph"/>
        <w:numPr>
          <w:ilvl w:val="0"/>
          <w:numId w:val="704"/>
        </w:numPr>
        <w:tabs>
          <w:tab w:pos="1367" w:val="left" w:leader="none"/>
        </w:tabs>
        <w:spacing w:line="240" w:lineRule="auto" w:before="47" w:after="0"/>
        <w:ind w:left="1367" w:right="0" w:hanging="529"/>
        <w:jc w:val="left"/>
        <w:rPr>
          <w:sz w:val="21"/>
        </w:rPr>
      </w:pPr>
      <w:r>
        <w:rPr>
          <w:spacing w:val="-7"/>
          <w:sz w:val="21"/>
        </w:rPr>
        <w:t>消防水泵出水管的直径小于 </w:t>
      </w:r>
      <w:r>
        <w:rPr>
          <w:sz w:val="21"/>
        </w:rPr>
        <w:t>DN250</w:t>
      </w:r>
      <w:r>
        <w:rPr>
          <w:spacing w:val="-14"/>
          <w:sz w:val="21"/>
        </w:rPr>
        <w:t> 时，其流速宜为 </w:t>
      </w:r>
      <w:r>
        <w:rPr>
          <w:sz w:val="21"/>
        </w:rPr>
        <w:t>1.5～2.0m/s</w:t>
      </w:r>
      <w:r>
        <w:rPr>
          <w:spacing w:val="-10"/>
          <w:sz w:val="21"/>
        </w:rPr>
        <w:t>；直径大于 </w:t>
      </w:r>
      <w:r>
        <w:rPr>
          <w:sz w:val="21"/>
        </w:rPr>
        <w:t>DN250</w:t>
      </w:r>
    </w:p>
    <w:p>
      <w:pPr>
        <w:pStyle w:val="BodyText"/>
        <w:rPr>
          <w:sz w:val="18"/>
        </w:rPr>
      </w:pPr>
    </w:p>
    <w:p>
      <w:pPr>
        <w:pStyle w:val="BodyText"/>
        <w:ind w:left="418"/>
      </w:pPr>
      <w:r>
        <w:rPr/>
        <w:t>时，宜为 2.0～2.5m/s； </w:t>
      </w:r>
    </w:p>
    <w:p>
      <w:pPr>
        <w:pStyle w:val="BodyText"/>
        <w:rPr>
          <w:sz w:val="18"/>
        </w:rPr>
      </w:pPr>
    </w:p>
    <w:p>
      <w:pPr>
        <w:pStyle w:val="ListParagraph"/>
        <w:numPr>
          <w:ilvl w:val="0"/>
          <w:numId w:val="704"/>
        </w:numPr>
        <w:tabs>
          <w:tab w:pos="1367" w:val="left" w:leader="none"/>
        </w:tabs>
        <w:spacing w:line="446" w:lineRule="auto" w:before="0" w:after="0"/>
        <w:ind w:left="418" w:right="1505" w:firstLine="419"/>
        <w:jc w:val="left"/>
        <w:rPr>
          <w:sz w:val="21"/>
        </w:rPr>
      </w:pPr>
      <w:r>
        <w:rPr>
          <w:spacing w:val="-3"/>
          <w:sz w:val="21"/>
        </w:rPr>
        <w:t>吸水井的布置应满足井内水流顺畅、流速均匀、不产生涡漩的要求，并应便于安装施工；</w:t>
      </w:r>
      <w:r>
        <w:rPr>
          <w:sz w:val="21"/>
        </w:rPr>
        <w:t> </w:t>
      </w:r>
    </w:p>
    <w:p>
      <w:pPr>
        <w:pStyle w:val="ListParagraph"/>
        <w:numPr>
          <w:ilvl w:val="0"/>
          <w:numId w:val="704"/>
        </w:numPr>
        <w:tabs>
          <w:tab w:pos="1473" w:val="left" w:leader="none"/>
        </w:tabs>
        <w:spacing w:line="446" w:lineRule="auto" w:before="0" w:after="0"/>
        <w:ind w:left="418" w:right="1817" w:firstLine="419"/>
        <w:jc w:val="left"/>
        <w:rPr>
          <w:sz w:val="21"/>
        </w:rPr>
      </w:pPr>
      <w:r>
        <w:rPr>
          <w:spacing w:val="-3"/>
          <w:sz w:val="21"/>
        </w:rPr>
        <w:t>消防水泵的吸水管、出水管道穿越外墙时，应采用防水套管；当穿越墙体和楼板时，应符合本规范第 </w:t>
      </w:r>
      <w:r>
        <w:rPr>
          <w:sz w:val="21"/>
        </w:rPr>
        <w:t>12.3.19</w:t>
      </w:r>
      <w:r>
        <w:rPr>
          <w:spacing w:val="-14"/>
          <w:sz w:val="21"/>
        </w:rPr>
        <w:t> 条第 </w:t>
      </w:r>
      <w:r>
        <w:rPr>
          <w:sz w:val="21"/>
        </w:rPr>
        <w:t>5</w:t>
      </w:r>
      <w:r>
        <w:rPr>
          <w:spacing w:val="-12"/>
          <w:sz w:val="21"/>
        </w:rPr>
        <w:t> 款的要求；</w:t>
      </w:r>
      <w:r>
        <w:rPr>
          <w:sz w:val="21"/>
        </w:rPr>
        <w:t> </w:t>
      </w:r>
    </w:p>
    <w:p>
      <w:pPr>
        <w:pStyle w:val="ListParagraph"/>
        <w:numPr>
          <w:ilvl w:val="0"/>
          <w:numId w:val="704"/>
        </w:numPr>
        <w:tabs>
          <w:tab w:pos="1473" w:val="left" w:leader="none"/>
        </w:tabs>
        <w:spacing w:line="446" w:lineRule="auto" w:before="0" w:after="0"/>
        <w:ind w:left="418" w:right="1609" w:firstLine="419"/>
        <w:jc w:val="left"/>
        <w:rPr>
          <w:sz w:val="21"/>
        </w:rPr>
      </w:pPr>
      <w:r>
        <w:rPr>
          <w:spacing w:val="-3"/>
          <w:sz w:val="21"/>
        </w:rPr>
        <w:t>消防水泵的吸水管穿越消防水池时，应采用柔性套管；采用刚性防水套管时应在水</w:t>
      </w:r>
      <w:r>
        <w:rPr>
          <w:spacing w:val="-6"/>
          <w:sz w:val="21"/>
        </w:rPr>
        <w:t>泵吸水管上设置柔性接头，且管径不应大于 </w:t>
      </w:r>
      <w:r>
        <w:rPr>
          <w:sz w:val="21"/>
        </w:rPr>
        <w:t>DN150。 </w:t>
      </w:r>
    </w:p>
    <w:p>
      <w:pPr>
        <w:pStyle w:val="ListParagraph"/>
        <w:numPr>
          <w:ilvl w:val="2"/>
          <w:numId w:val="703"/>
        </w:numPr>
        <w:tabs>
          <w:tab w:pos="1478" w:val="left" w:leader="none"/>
        </w:tabs>
        <w:spacing w:line="267" w:lineRule="exact" w:before="0" w:after="0"/>
        <w:ind w:left="1477" w:right="0" w:hanging="638"/>
        <w:jc w:val="left"/>
        <w:rPr>
          <w:sz w:val="21"/>
        </w:rPr>
      </w:pPr>
      <w:r>
        <w:rPr>
          <w:spacing w:val="-3"/>
          <w:sz w:val="21"/>
        </w:rPr>
        <w:t>当有两路消防供水且允许消防水泵直接吸水时，应符合下列规定： </w:t>
      </w:r>
    </w:p>
    <w:p>
      <w:pPr>
        <w:pStyle w:val="BodyText"/>
        <w:spacing w:before="1"/>
        <w:rPr>
          <w:sz w:val="18"/>
        </w:rPr>
      </w:pPr>
    </w:p>
    <w:p>
      <w:pPr>
        <w:pStyle w:val="ListParagraph"/>
        <w:numPr>
          <w:ilvl w:val="0"/>
          <w:numId w:val="705"/>
        </w:numPr>
        <w:tabs>
          <w:tab w:pos="1367" w:val="left" w:leader="none"/>
        </w:tabs>
        <w:spacing w:line="240" w:lineRule="auto" w:before="0" w:after="0"/>
        <w:ind w:left="1367" w:right="0" w:hanging="529"/>
        <w:jc w:val="left"/>
        <w:rPr>
          <w:sz w:val="21"/>
        </w:rPr>
      </w:pPr>
      <w:r>
        <w:rPr>
          <w:spacing w:val="-3"/>
          <w:sz w:val="21"/>
        </w:rPr>
        <w:t>每一路消防供水应满足消防给水设计流量和火灾时必须保证的其他用水； </w:t>
      </w:r>
    </w:p>
    <w:p>
      <w:pPr>
        <w:pStyle w:val="BodyText"/>
        <w:rPr>
          <w:sz w:val="18"/>
        </w:rPr>
      </w:pPr>
    </w:p>
    <w:p>
      <w:pPr>
        <w:pStyle w:val="ListParagraph"/>
        <w:numPr>
          <w:ilvl w:val="0"/>
          <w:numId w:val="705"/>
        </w:numPr>
        <w:tabs>
          <w:tab w:pos="1367" w:val="left" w:leader="none"/>
        </w:tabs>
        <w:spacing w:line="240" w:lineRule="auto" w:before="0" w:after="0"/>
        <w:ind w:left="1367" w:right="0" w:hanging="529"/>
        <w:jc w:val="left"/>
        <w:rPr>
          <w:sz w:val="21"/>
        </w:rPr>
      </w:pPr>
      <w:r>
        <w:rPr>
          <w:spacing w:val="-6"/>
          <w:sz w:val="21"/>
        </w:rPr>
        <w:t>火灾时室外给水管网的压力从地面算起不应小于 </w:t>
      </w:r>
      <w:r>
        <w:rPr>
          <w:sz w:val="21"/>
        </w:rPr>
        <w:t>0.10MPa； </w:t>
      </w:r>
    </w:p>
    <w:p>
      <w:pPr>
        <w:pStyle w:val="BodyText"/>
        <w:spacing w:before="12"/>
        <w:rPr>
          <w:sz w:val="17"/>
        </w:rPr>
      </w:pPr>
    </w:p>
    <w:p>
      <w:pPr>
        <w:pStyle w:val="ListParagraph"/>
        <w:numPr>
          <w:ilvl w:val="0"/>
          <w:numId w:val="705"/>
        </w:numPr>
        <w:tabs>
          <w:tab w:pos="1367" w:val="left" w:leader="none"/>
        </w:tabs>
        <w:spacing w:line="446" w:lineRule="auto" w:before="0" w:after="0"/>
        <w:ind w:left="418" w:right="1505" w:firstLine="419"/>
        <w:jc w:val="left"/>
        <w:rPr>
          <w:sz w:val="21"/>
        </w:rPr>
      </w:pPr>
      <w:r>
        <w:rPr>
          <w:spacing w:val="-3"/>
          <w:sz w:val="21"/>
        </w:rPr>
        <w:t>消防水泵扬程应按室外给水管网的最低水压计算，并应以室外给水的最高水压校核消防水泵的工作工况。</w:t>
      </w:r>
      <w:r>
        <w:rPr>
          <w:sz w:val="21"/>
        </w:rPr>
        <w:t> </w:t>
      </w:r>
    </w:p>
    <w:p>
      <w:pPr>
        <w:pStyle w:val="ListParagraph"/>
        <w:numPr>
          <w:ilvl w:val="2"/>
          <w:numId w:val="703"/>
        </w:numPr>
        <w:tabs>
          <w:tab w:pos="1478" w:val="left" w:leader="none"/>
        </w:tabs>
        <w:spacing w:line="240" w:lineRule="auto" w:before="1" w:after="0"/>
        <w:ind w:left="1477" w:right="0" w:hanging="638"/>
        <w:jc w:val="left"/>
        <w:rPr>
          <w:sz w:val="21"/>
        </w:rPr>
      </w:pPr>
      <w:r>
        <w:rPr>
          <w:spacing w:val="-3"/>
          <w:sz w:val="21"/>
        </w:rPr>
        <w:t>消防水泵吸水管可设置管道过滤器，管道过滤器的过水面积应大于管道过水面积的</w:t>
      </w:r>
    </w:p>
    <w:p>
      <w:pPr>
        <w:pStyle w:val="BodyText"/>
        <w:spacing w:before="12"/>
        <w:rPr>
          <w:sz w:val="17"/>
        </w:rPr>
      </w:pPr>
    </w:p>
    <w:p>
      <w:pPr>
        <w:pStyle w:val="BodyText"/>
        <w:ind w:left="418"/>
      </w:pPr>
      <w:r>
        <w:rPr/>
        <w:t>4 倍，且孔径不宜小于 3mm。 </w:t>
      </w:r>
    </w:p>
    <w:p>
      <w:pPr>
        <w:pStyle w:val="BodyText"/>
        <w:spacing w:before="2"/>
        <w:rPr>
          <w:sz w:val="18"/>
        </w:rPr>
      </w:pPr>
    </w:p>
    <w:p>
      <w:pPr>
        <w:pStyle w:val="ListParagraph"/>
        <w:numPr>
          <w:ilvl w:val="2"/>
          <w:numId w:val="703"/>
        </w:numPr>
        <w:tabs>
          <w:tab w:pos="1478" w:val="left" w:leader="none"/>
        </w:tabs>
        <w:spacing w:line="240" w:lineRule="auto" w:before="0" w:after="0"/>
        <w:ind w:left="1477" w:right="0" w:hanging="638"/>
        <w:jc w:val="left"/>
        <w:rPr>
          <w:sz w:val="21"/>
        </w:rPr>
      </w:pPr>
      <w:r>
        <w:rPr>
          <w:spacing w:val="-3"/>
          <w:sz w:val="21"/>
        </w:rPr>
        <w:t>临时高压消防给水系统应采取防止消防水泵低流量空转过热的技术措施。 </w:t>
      </w:r>
    </w:p>
    <w:p>
      <w:pPr>
        <w:pStyle w:val="BodyText"/>
        <w:spacing w:before="12"/>
        <w:rPr>
          <w:sz w:val="17"/>
        </w:rPr>
      </w:pPr>
    </w:p>
    <w:p>
      <w:pPr>
        <w:pStyle w:val="ListParagraph"/>
        <w:numPr>
          <w:ilvl w:val="2"/>
          <w:numId w:val="703"/>
        </w:numPr>
        <w:tabs>
          <w:tab w:pos="1478" w:val="left" w:leader="none"/>
        </w:tabs>
        <w:spacing w:line="240" w:lineRule="auto" w:before="0" w:after="0"/>
        <w:ind w:left="1477" w:right="0" w:hanging="638"/>
        <w:jc w:val="left"/>
        <w:rPr>
          <w:sz w:val="21"/>
        </w:rPr>
      </w:pPr>
      <w:r>
        <w:rPr>
          <w:spacing w:val="-3"/>
          <w:sz w:val="21"/>
        </w:rPr>
        <w:t>消防水泵吸水管和出水管上应设置压力表，并应符合下列规定：</w:t>
      </w:r>
      <w:r>
        <w:rPr>
          <w:sz w:val="21"/>
        </w:rPr>
        <w:t> </w:t>
      </w:r>
    </w:p>
    <w:p>
      <w:pPr>
        <w:pStyle w:val="BodyText"/>
        <w:spacing w:before="12"/>
        <w:rPr>
          <w:sz w:val="17"/>
        </w:rPr>
      </w:pPr>
    </w:p>
    <w:p>
      <w:pPr>
        <w:pStyle w:val="ListParagraph"/>
        <w:numPr>
          <w:ilvl w:val="0"/>
          <w:numId w:val="706"/>
        </w:numPr>
        <w:tabs>
          <w:tab w:pos="1367" w:val="left" w:leader="none"/>
        </w:tabs>
        <w:spacing w:line="240" w:lineRule="auto" w:before="0" w:after="0"/>
        <w:ind w:left="1367" w:right="0" w:hanging="529"/>
        <w:jc w:val="left"/>
        <w:rPr>
          <w:sz w:val="21"/>
        </w:rPr>
      </w:pPr>
      <w:r>
        <w:rPr>
          <w:spacing w:val="-5"/>
          <w:sz w:val="21"/>
        </w:rPr>
        <w:t>消防水泵出水管压力表的最大量程不应低于其设计工作压力的 </w:t>
      </w:r>
      <w:r>
        <w:rPr>
          <w:sz w:val="21"/>
        </w:rPr>
        <w:t>2</w:t>
      </w:r>
      <w:r>
        <w:rPr>
          <w:spacing w:val="-8"/>
          <w:sz w:val="21"/>
        </w:rPr>
        <w:t> 倍，且不应低于</w:t>
      </w:r>
    </w:p>
    <w:p>
      <w:pPr>
        <w:pStyle w:val="BodyText"/>
        <w:spacing w:before="2"/>
        <w:rPr>
          <w:sz w:val="18"/>
        </w:rPr>
      </w:pPr>
    </w:p>
    <w:p>
      <w:pPr>
        <w:pStyle w:val="BodyText"/>
        <w:ind w:left="418"/>
      </w:pPr>
      <w:r>
        <w:rPr/>
        <w:t>1.60MPa； </w:t>
      </w:r>
    </w:p>
    <w:p>
      <w:pPr>
        <w:pStyle w:val="BodyText"/>
        <w:rPr>
          <w:sz w:val="18"/>
        </w:rPr>
      </w:pPr>
    </w:p>
    <w:p>
      <w:pPr>
        <w:pStyle w:val="ListParagraph"/>
        <w:numPr>
          <w:ilvl w:val="0"/>
          <w:numId w:val="706"/>
        </w:numPr>
        <w:tabs>
          <w:tab w:pos="1367" w:val="left" w:leader="none"/>
        </w:tabs>
        <w:spacing w:line="446" w:lineRule="auto" w:before="0" w:after="0"/>
        <w:ind w:left="418" w:right="1505" w:firstLine="419"/>
        <w:jc w:val="left"/>
        <w:rPr>
          <w:sz w:val="21"/>
        </w:rPr>
      </w:pPr>
      <w:r>
        <w:rPr>
          <w:spacing w:val="-3"/>
          <w:sz w:val="21"/>
        </w:rPr>
        <w:t>消防水泵吸水管宜设置真空表、压力表或真空压力表，压力表的最大量程应根据工程</w:t>
      </w:r>
      <w:r>
        <w:rPr>
          <w:spacing w:val="-7"/>
          <w:sz w:val="21"/>
        </w:rPr>
        <w:t>具体情况确定，但不应低于 </w:t>
      </w:r>
      <w:r>
        <w:rPr>
          <w:sz w:val="21"/>
        </w:rPr>
        <w:t>0.70MPa</w:t>
      </w:r>
      <w:r>
        <w:rPr>
          <w:spacing w:val="-3"/>
          <w:sz w:val="21"/>
        </w:rPr>
        <w:t>，真空表的最大量程宜为</w:t>
      </w:r>
      <w:r>
        <w:rPr>
          <w:sz w:val="21"/>
        </w:rPr>
        <w:t>-0.10MPa； </w:t>
      </w:r>
    </w:p>
    <w:p>
      <w:pPr>
        <w:pStyle w:val="ListParagraph"/>
        <w:numPr>
          <w:ilvl w:val="0"/>
          <w:numId w:val="706"/>
        </w:numPr>
        <w:tabs>
          <w:tab w:pos="1367" w:val="left" w:leader="none"/>
        </w:tabs>
        <w:spacing w:line="446" w:lineRule="auto" w:before="0" w:after="0"/>
        <w:ind w:left="418" w:right="1558" w:firstLine="419"/>
        <w:jc w:val="left"/>
        <w:rPr>
          <w:sz w:val="21"/>
        </w:rPr>
      </w:pPr>
      <w:r>
        <w:rPr>
          <w:spacing w:val="-7"/>
          <w:sz w:val="21"/>
        </w:rPr>
        <w:t>压力表的直径不应小于 </w:t>
      </w:r>
      <w:r>
        <w:rPr>
          <w:sz w:val="21"/>
        </w:rPr>
        <w:t>100mm</w:t>
      </w:r>
      <w:r>
        <w:rPr>
          <w:spacing w:val="-7"/>
          <w:sz w:val="21"/>
        </w:rPr>
        <w:t>，应采用直径不小于 </w:t>
      </w:r>
      <w:r>
        <w:rPr>
          <w:sz w:val="21"/>
        </w:rPr>
        <w:t>6mm</w:t>
      </w:r>
      <w:r>
        <w:rPr>
          <w:spacing w:val="-8"/>
          <w:sz w:val="21"/>
        </w:rPr>
        <w:t> 的管道与消防水泵进出口管相</w:t>
      </w:r>
      <w:r>
        <w:rPr>
          <w:spacing w:val="-5"/>
          <w:sz w:val="21"/>
        </w:rPr>
        <w:t>接，并应设置关断阀门。</w:t>
      </w:r>
      <w:r>
        <w:rPr>
          <w:sz w:val="21"/>
        </w:rPr>
        <w:t> </w:t>
      </w:r>
    </w:p>
    <w:p>
      <w:pPr>
        <w:pStyle w:val="ListParagraph"/>
        <w:numPr>
          <w:ilvl w:val="1"/>
          <w:numId w:val="707"/>
        </w:numPr>
        <w:tabs>
          <w:tab w:pos="1159" w:val="left" w:leader="none"/>
        </w:tabs>
        <w:spacing w:line="267" w:lineRule="exact" w:before="0" w:after="0"/>
        <w:ind w:left="1158" w:right="0" w:hanging="319"/>
        <w:jc w:val="left"/>
        <w:rPr>
          <w:sz w:val="21"/>
        </w:rPr>
      </w:pPr>
      <w:r>
        <w:rPr>
          <w:spacing w:val="-3"/>
          <w:sz w:val="21"/>
        </w:rPr>
        <w:t>高位消防水箱</w:t>
      </w:r>
      <w:r>
        <w:rPr>
          <w:sz w:val="21"/>
        </w:rPr>
        <w:t> </w:t>
      </w:r>
    </w:p>
    <w:p>
      <w:pPr>
        <w:pStyle w:val="BodyText"/>
        <w:spacing w:before="2"/>
        <w:rPr>
          <w:sz w:val="18"/>
        </w:rPr>
      </w:pPr>
    </w:p>
    <w:p>
      <w:pPr>
        <w:pStyle w:val="ListParagraph"/>
        <w:numPr>
          <w:ilvl w:val="2"/>
          <w:numId w:val="707"/>
        </w:numPr>
        <w:tabs>
          <w:tab w:pos="1424" w:val="left" w:leader="none"/>
        </w:tabs>
        <w:spacing w:line="446" w:lineRule="auto" w:before="0" w:after="0"/>
        <w:ind w:left="418" w:right="1657" w:firstLine="422"/>
        <w:jc w:val="left"/>
        <w:rPr>
          <w:sz w:val="21"/>
        </w:rPr>
      </w:pPr>
      <w:r>
        <w:rPr>
          <w:spacing w:val="-3"/>
          <w:sz w:val="21"/>
        </w:rPr>
        <w:t>临时高压消防给水系统的高位消防水箱的有效容积应满足初期火灾消防用水量的要求，并应符合下列规定：</w:t>
      </w:r>
      <w:r>
        <w:rPr>
          <w:sz w:val="21"/>
        </w:rPr>
        <w:t> </w:t>
      </w:r>
    </w:p>
    <w:p>
      <w:pPr>
        <w:pStyle w:val="ListParagraph"/>
        <w:numPr>
          <w:ilvl w:val="0"/>
          <w:numId w:val="708"/>
        </w:numPr>
        <w:tabs>
          <w:tab w:pos="1367" w:val="left" w:leader="none"/>
        </w:tabs>
        <w:spacing w:line="439" w:lineRule="auto" w:before="0" w:after="0"/>
        <w:ind w:left="418" w:right="1606" w:firstLine="419"/>
        <w:jc w:val="left"/>
        <w:rPr>
          <w:sz w:val="21"/>
        </w:rPr>
      </w:pPr>
      <w:r>
        <w:rPr>
          <w:spacing w:val="-7"/>
          <w:sz w:val="21"/>
        </w:rPr>
        <w:t>一类高层公共建筑，不应小于 </w:t>
      </w:r>
      <w:r>
        <w:rPr>
          <w:sz w:val="21"/>
        </w:rPr>
        <w:t>36m</w:t>
      </w:r>
      <w:r>
        <w:rPr>
          <w:position w:val="11"/>
          <w:sz w:val="11"/>
        </w:rPr>
        <w:t>3</w:t>
      </w:r>
      <w:r>
        <w:rPr>
          <w:spacing w:val="-8"/>
          <w:sz w:val="21"/>
        </w:rPr>
        <w:t>，但当建筑高度大于 </w:t>
      </w:r>
      <w:r>
        <w:rPr>
          <w:sz w:val="21"/>
        </w:rPr>
        <w:t>100m</w:t>
      </w:r>
      <w:r>
        <w:rPr>
          <w:spacing w:val="-14"/>
          <w:sz w:val="21"/>
        </w:rPr>
        <w:t> 时，不应小于 </w:t>
      </w:r>
      <w:r>
        <w:rPr>
          <w:sz w:val="21"/>
        </w:rPr>
        <w:t>50m</w:t>
      </w:r>
      <w:r>
        <w:rPr>
          <w:position w:val="11"/>
          <w:sz w:val="11"/>
        </w:rPr>
        <w:t>3</w:t>
      </w:r>
      <w:r>
        <w:rPr>
          <w:sz w:val="21"/>
        </w:rPr>
        <w:t>，当</w:t>
      </w:r>
      <w:r>
        <w:rPr>
          <w:spacing w:val="-10"/>
          <w:sz w:val="21"/>
        </w:rPr>
        <w:t>建筑高度大于 </w:t>
      </w:r>
      <w:r>
        <w:rPr>
          <w:sz w:val="21"/>
        </w:rPr>
        <w:t>150m</w:t>
      </w:r>
      <w:r>
        <w:rPr>
          <w:spacing w:val="-17"/>
          <w:sz w:val="21"/>
        </w:rPr>
        <w:t> 时，不应小于 </w:t>
      </w:r>
      <w:r>
        <w:rPr>
          <w:sz w:val="21"/>
        </w:rPr>
        <w:t>100m</w:t>
      </w:r>
      <w:r>
        <w:rPr>
          <w:position w:val="11"/>
          <w:sz w:val="11"/>
        </w:rPr>
        <w:t>3</w:t>
      </w:r>
      <w:r>
        <w:rPr>
          <w:sz w:val="21"/>
        </w:rPr>
        <w:t>； </w:t>
      </w:r>
    </w:p>
    <w:p>
      <w:pPr>
        <w:spacing w:after="0" w:line="439" w:lineRule="auto"/>
        <w:jc w:val="left"/>
        <w:rPr>
          <w:sz w:val="21"/>
        </w:rPr>
        <w:sectPr>
          <w:pgSz w:w="11910" w:h="16850"/>
          <w:pgMar w:header="0" w:footer="1239" w:top="1220" w:bottom="1420" w:left="1260" w:right="0"/>
        </w:sectPr>
      </w:pPr>
    </w:p>
    <w:p>
      <w:pPr>
        <w:pStyle w:val="ListParagraph"/>
        <w:numPr>
          <w:ilvl w:val="0"/>
          <w:numId w:val="708"/>
        </w:numPr>
        <w:tabs>
          <w:tab w:pos="1367" w:val="left" w:leader="none"/>
        </w:tabs>
        <w:spacing w:line="436" w:lineRule="auto" w:before="57" w:after="0"/>
        <w:ind w:left="418" w:right="1503" w:firstLine="419"/>
        <w:jc w:val="left"/>
        <w:rPr>
          <w:sz w:val="21"/>
        </w:rPr>
      </w:pPr>
      <w:r>
        <w:rPr>
          <w:spacing w:val="-4"/>
          <w:sz w:val="21"/>
        </w:rPr>
        <w:t>多层公共建筑、二类高层公共建筑和一类高层住宅，不应小于 </w:t>
      </w:r>
      <w:r>
        <w:rPr>
          <w:sz w:val="21"/>
        </w:rPr>
        <w:t>18m</w:t>
      </w:r>
      <w:r>
        <w:rPr>
          <w:position w:val="11"/>
          <w:sz w:val="11"/>
        </w:rPr>
        <w:t>3</w:t>
      </w:r>
      <w:r>
        <w:rPr>
          <w:spacing w:val="-3"/>
          <w:sz w:val="21"/>
        </w:rPr>
        <w:t>，当一类高层住宅</w:t>
      </w:r>
      <w:r>
        <w:rPr>
          <w:spacing w:val="-11"/>
          <w:sz w:val="21"/>
        </w:rPr>
        <w:t>建筑高度超过 </w:t>
      </w:r>
      <w:r>
        <w:rPr>
          <w:sz w:val="21"/>
        </w:rPr>
        <w:t>100m</w:t>
      </w:r>
      <w:r>
        <w:rPr>
          <w:spacing w:val="-17"/>
          <w:sz w:val="21"/>
        </w:rPr>
        <w:t> 时，不应小于 </w:t>
      </w:r>
      <w:r>
        <w:rPr>
          <w:sz w:val="21"/>
        </w:rPr>
        <w:t>36m</w:t>
      </w:r>
      <w:r>
        <w:rPr>
          <w:position w:val="11"/>
          <w:sz w:val="11"/>
        </w:rPr>
        <w:t>3</w:t>
      </w:r>
      <w:r>
        <w:rPr>
          <w:sz w:val="21"/>
        </w:rPr>
        <w:t>； </w:t>
      </w:r>
    </w:p>
    <w:p>
      <w:pPr>
        <w:pStyle w:val="ListParagraph"/>
        <w:numPr>
          <w:ilvl w:val="0"/>
          <w:numId w:val="708"/>
        </w:numPr>
        <w:tabs>
          <w:tab w:pos="1367" w:val="left" w:leader="none"/>
        </w:tabs>
        <w:spacing w:line="278" w:lineRule="exact" w:before="0" w:after="0"/>
        <w:ind w:left="1367" w:right="0" w:hanging="529"/>
        <w:jc w:val="left"/>
        <w:rPr>
          <w:sz w:val="21"/>
        </w:rPr>
      </w:pPr>
      <w:r>
        <w:rPr>
          <w:spacing w:val="-8"/>
          <w:sz w:val="21"/>
        </w:rPr>
        <w:t>二类高层住宅，不应小于 </w:t>
      </w:r>
      <w:r>
        <w:rPr>
          <w:sz w:val="21"/>
        </w:rPr>
        <w:t>12m</w:t>
      </w:r>
      <w:r>
        <w:rPr>
          <w:position w:val="11"/>
          <w:sz w:val="11"/>
        </w:rPr>
        <w:t>3</w:t>
      </w:r>
      <w:r>
        <w:rPr>
          <w:sz w:val="21"/>
        </w:rPr>
        <w:t>； </w:t>
      </w:r>
    </w:p>
    <w:p>
      <w:pPr>
        <w:pStyle w:val="BodyText"/>
        <w:spacing w:before="5"/>
        <w:rPr>
          <w:sz w:val="17"/>
        </w:rPr>
      </w:pPr>
    </w:p>
    <w:p>
      <w:pPr>
        <w:pStyle w:val="ListParagraph"/>
        <w:numPr>
          <w:ilvl w:val="0"/>
          <w:numId w:val="708"/>
        </w:numPr>
        <w:tabs>
          <w:tab w:pos="1367" w:val="left" w:leader="none"/>
        </w:tabs>
        <w:spacing w:line="240" w:lineRule="auto" w:before="0" w:after="0"/>
        <w:ind w:left="1367" w:right="0" w:hanging="529"/>
        <w:jc w:val="left"/>
        <w:rPr>
          <w:sz w:val="21"/>
        </w:rPr>
      </w:pPr>
      <w:r>
        <w:rPr>
          <w:spacing w:val="-11"/>
          <w:sz w:val="21"/>
        </w:rPr>
        <w:t>建筑高度大于 </w:t>
      </w:r>
      <w:r>
        <w:rPr>
          <w:sz w:val="21"/>
        </w:rPr>
        <w:t>21m</w:t>
      </w:r>
      <w:r>
        <w:rPr>
          <w:spacing w:val="-13"/>
          <w:sz w:val="21"/>
        </w:rPr>
        <w:t> 的多层住宅，不应小于 </w:t>
      </w:r>
      <w:r>
        <w:rPr>
          <w:sz w:val="21"/>
        </w:rPr>
        <w:t>6m</w:t>
      </w:r>
      <w:r>
        <w:rPr>
          <w:position w:val="11"/>
          <w:sz w:val="11"/>
        </w:rPr>
        <w:t>3</w:t>
      </w:r>
      <w:r>
        <w:rPr>
          <w:sz w:val="21"/>
        </w:rPr>
        <w:t>； </w:t>
      </w:r>
    </w:p>
    <w:p>
      <w:pPr>
        <w:pStyle w:val="BodyText"/>
        <w:spacing w:before="2"/>
        <w:rPr>
          <w:sz w:val="17"/>
        </w:rPr>
      </w:pPr>
    </w:p>
    <w:p>
      <w:pPr>
        <w:pStyle w:val="ListParagraph"/>
        <w:numPr>
          <w:ilvl w:val="0"/>
          <w:numId w:val="708"/>
        </w:numPr>
        <w:tabs>
          <w:tab w:pos="1367" w:val="left" w:leader="none"/>
        </w:tabs>
        <w:spacing w:line="240" w:lineRule="auto" w:before="0" w:after="0"/>
        <w:ind w:left="1367" w:right="0" w:hanging="529"/>
        <w:jc w:val="left"/>
        <w:rPr>
          <w:sz w:val="21"/>
        </w:rPr>
      </w:pPr>
      <w:r>
        <w:rPr>
          <w:spacing w:val="-6"/>
          <w:sz w:val="21"/>
        </w:rPr>
        <w:t>工业建筑室内消防给水设计流量当小于或等于 </w:t>
      </w:r>
      <w:r>
        <w:rPr>
          <w:sz w:val="21"/>
        </w:rPr>
        <w:t>25L/s</w:t>
      </w:r>
      <w:r>
        <w:rPr>
          <w:spacing w:val="-16"/>
          <w:sz w:val="21"/>
        </w:rPr>
        <w:t> 时，不应小于 </w:t>
      </w:r>
      <w:r>
        <w:rPr>
          <w:sz w:val="21"/>
        </w:rPr>
        <w:t>12m</w:t>
      </w:r>
      <w:r>
        <w:rPr>
          <w:position w:val="11"/>
          <w:sz w:val="11"/>
        </w:rPr>
        <w:t>3</w:t>
      </w:r>
      <w:r>
        <w:rPr>
          <w:spacing w:val="-15"/>
          <w:sz w:val="21"/>
        </w:rPr>
        <w:t>，大于 </w:t>
      </w:r>
      <w:r>
        <w:rPr>
          <w:sz w:val="21"/>
        </w:rPr>
        <w:t>25L/s</w:t>
      </w:r>
    </w:p>
    <w:p>
      <w:pPr>
        <w:pStyle w:val="BodyText"/>
        <w:spacing w:before="2"/>
        <w:rPr>
          <w:sz w:val="17"/>
        </w:rPr>
      </w:pPr>
    </w:p>
    <w:p>
      <w:pPr>
        <w:pStyle w:val="BodyText"/>
        <w:spacing w:before="1"/>
        <w:ind w:left="418"/>
      </w:pPr>
      <w:r>
        <w:rPr/>
        <w:t>时不应小于 18m</w:t>
      </w:r>
      <w:r>
        <w:rPr>
          <w:position w:val="11"/>
          <w:sz w:val="11"/>
        </w:rPr>
        <w:t>3</w:t>
      </w:r>
      <w:r>
        <w:rPr/>
        <w:t>； </w:t>
      </w:r>
    </w:p>
    <w:p>
      <w:pPr>
        <w:pStyle w:val="BodyText"/>
        <w:spacing w:before="4"/>
        <w:rPr>
          <w:sz w:val="17"/>
        </w:rPr>
      </w:pPr>
    </w:p>
    <w:p>
      <w:pPr>
        <w:pStyle w:val="ListParagraph"/>
        <w:numPr>
          <w:ilvl w:val="0"/>
          <w:numId w:val="708"/>
        </w:numPr>
        <w:tabs>
          <w:tab w:pos="1367" w:val="left" w:leader="none"/>
        </w:tabs>
        <w:spacing w:line="436" w:lineRule="auto" w:before="0" w:after="0"/>
        <w:ind w:left="418" w:right="1445" w:firstLine="419"/>
        <w:jc w:val="left"/>
        <w:rPr>
          <w:sz w:val="21"/>
        </w:rPr>
      </w:pPr>
      <w:r>
        <w:rPr>
          <w:spacing w:val="-9"/>
          <w:sz w:val="21"/>
        </w:rPr>
        <w:t>总建筑面积大于 </w:t>
      </w:r>
      <w:r>
        <w:rPr>
          <w:sz w:val="21"/>
        </w:rPr>
        <w:t>10000m</w:t>
      </w:r>
      <w:r>
        <w:rPr>
          <w:position w:val="11"/>
          <w:sz w:val="11"/>
        </w:rPr>
        <w:t>2</w:t>
      </w:r>
      <w:r>
        <w:rPr>
          <w:spacing w:val="-25"/>
          <w:position w:val="11"/>
          <w:sz w:val="11"/>
        </w:rPr>
        <w:t> </w:t>
      </w:r>
      <w:r>
        <w:rPr>
          <w:spacing w:val="-13"/>
          <w:sz w:val="21"/>
        </w:rPr>
        <w:t>且小于 </w:t>
      </w:r>
      <w:r>
        <w:rPr>
          <w:sz w:val="21"/>
        </w:rPr>
        <w:t>30000m</w:t>
      </w:r>
      <w:r>
        <w:rPr>
          <w:position w:val="11"/>
          <w:sz w:val="11"/>
        </w:rPr>
        <w:t>2</w:t>
      </w:r>
      <w:r>
        <w:rPr>
          <w:spacing w:val="-28"/>
          <w:position w:val="11"/>
          <w:sz w:val="11"/>
        </w:rPr>
        <w:t> </w:t>
      </w:r>
      <w:r>
        <w:rPr>
          <w:spacing w:val="-7"/>
          <w:sz w:val="21"/>
        </w:rPr>
        <w:t>的商店建筑，不应小于 </w:t>
      </w:r>
      <w:r>
        <w:rPr>
          <w:sz w:val="21"/>
        </w:rPr>
        <w:t>36m</w:t>
      </w:r>
      <w:r>
        <w:rPr>
          <w:position w:val="11"/>
          <w:sz w:val="11"/>
        </w:rPr>
        <w:t>3</w:t>
      </w:r>
      <w:r>
        <w:rPr>
          <w:spacing w:val="-3"/>
          <w:sz w:val="21"/>
        </w:rPr>
        <w:t>，总建筑面积大于30000m</w:t>
      </w:r>
      <w:r>
        <w:rPr>
          <w:spacing w:val="-3"/>
          <w:position w:val="11"/>
          <w:sz w:val="11"/>
        </w:rPr>
        <w:t>2</w:t>
      </w:r>
      <w:r>
        <w:rPr>
          <w:spacing w:val="-31"/>
          <w:position w:val="11"/>
          <w:sz w:val="11"/>
        </w:rPr>
        <w:t> </w:t>
      </w:r>
      <w:r>
        <w:rPr>
          <w:spacing w:val="-9"/>
          <w:sz w:val="21"/>
        </w:rPr>
        <w:t>的商店，不应小于 </w:t>
      </w:r>
      <w:r>
        <w:rPr>
          <w:sz w:val="21"/>
        </w:rPr>
        <w:t>50m</w:t>
      </w:r>
      <w:r>
        <w:rPr>
          <w:position w:val="11"/>
          <w:sz w:val="11"/>
        </w:rPr>
        <w:t>3</w:t>
      </w:r>
      <w:r>
        <w:rPr>
          <w:spacing w:val="-10"/>
          <w:sz w:val="21"/>
        </w:rPr>
        <w:t>，当与本条第 </w:t>
      </w:r>
      <w:r>
        <w:rPr>
          <w:sz w:val="21"/>
        </w:rPr>
        <w:t>1</w:t>
      </w:r>
      <w:r>
        <w:rPr>
          <w:spacing w:val="-9"/>
          <w:sz w:val="21"/>
        </w:rPr>
        <w:t> 款规定不一致时应取其较大值。 </w:t>
      </w:r>
    </w:p>
    <w:p>
      <w:pPr>
        <w:pStyle w:val="ListParagraph"/>
        <w:numPr>
          <w:ilvl w:val="2"/>
          <w:numId w:val="707"/>
        </w:numPr>
        <w:tabs>
          <w:tab w:pos="1371" w:val="left" w:leader="none"/>
        </w:tabs>
        <w:spacing w:line="446" w:lineRule="auto" w:before="10" w:after="0"/>
        <w:ind w:left="418" w:right="1604" w:firstLine="422"/>
        <w:jc w:val="left"/>
        <w:rPr>
          <w:sz w:val="21"/>
        </w:rPr>
      </w:pPr>
      <w:r>
        <w:rPr>
          <w:spacing w:val="-3"/>
          <w:sz w:val="21"/>
        </w:rPr>
        <w:t>高位消防水箱的设置位置应高于其所服务的水灭火设施，且最低有效水位应满足水灭火设施最不利点处的静水压力，并应按下列规定确定：</w:t>
      </w:r>
      <w:r>
        <w:rPr>
          <w:sz w:val="21"/>
        </w:rPr>
        <w:t> </w:t>
      </w:r>
    </w:p>
    <w:p>
      <w:pPr>
        <w:pStyle w:val="ListParagraph"/>
        <w:numPr>
          <w:ilvl w:val="0"/>
          <w:numId w:val="709"/>
        </w:numPr>
        <w:tabs>
          <w:tab w:pos="1367" w:val="left" w:leader="none"/>
        </w:tabs>
        <w:spacing w:line="240" w:lineRule="auto" w:before="0" w:after="0"/>
        <w:ind w:left="1367" w:right="0" w:hanging="529"/>
        <w:jc w:val="left"/>
        <w:rPr>
          <w:sz w:val="21"/>
        </w:rPr>
      </w:pPr>
      <w:r>
        <w:rPr>
          <w:spacing w:val="-7"/>
          <w:sz w:val="21"/>
        </w:rPr>
        <w:t>一类高层公共建筑，不应低于 </w:t>
      </w:r>
      <w:r>
        <w:rPr>
          <w:sz w:val="21"/>
        </w:rPr>
        <w:t>0.10MPa</w:t>
      </w:r>
      <w:r>
        <w:rPr>
          <w:spacing w:val="-8"/>
          <w:sz w:val="21"/>
        </w:rPr>
        <w:t>，但当建筑高度超过 </w:t>
      </w:r>
      <w:r>
        <w:rPr>
          <w:sz w:val="21"/>
        </w:rPr>
        <w:t>100m</w:t>
      </w:r>
      <w:r>
        <w:rPr>
          <w:spacing w:val="-10"/>
          <w:sz w:val="21"/>
        </w:rPr>
        <w:t> 时，不应低于</w:t>
      </w:r>
    </w:p>
    <w:p>
      <w:pPr>
        <w:pStyle w:val="BodyText"/>
        <w:spacing w:before="12"/>
        <w:rPr>
          <w:sz w:val="17"/>
        </w:rPr>
      </w:pPr>
    </w:p>
    <w:p>
      <w:pPr>
        <w:pStyle w:val="BodyText"/>
        <w:ind w:left="418"/>
      </w:pPr>
      <w:r>
        <w:rPr/>
        <w:t>0.15MPa； </w:t>
      </w:r>
    </w:p>
    <w:p>
      <w:pPr>
        <w:pStyle w:val="BodyText"/>
        <w:spacing w:before="2"/>
        <w:rPr>
          <w:sz w:val="18"/>
        </w:rPr>
      </w:pPr>
    </w:p>
    <w:p>
      <w:pPr>
        <w:pStyle w:val="ListParagraph"/>
        <w:numPr>
          <w:ilvl w:val="0"/>
          <w:numId w:val="709"/>
        </w:numPr>
        <w:tabs>
          <w:tab w:pos="1367" w:val="left" w:leader="none"/>
        </w:tabs>
        <w:spacing w:line="446" w:lineRule="auto" w:before="0" w:after="0"/>
        <w:ind w:left="418" w:right="1558" w:firstLine="419"/>
        <w:jc w:val="left"/>
        <w:rPr>
          <w:sz w:val="21"/>
        </w:rPr>
      </w:pPr>
      <w:r>
        <w:rPr>
          <w:spacing w:val="-4"/>
          <w:sz w:val="21"/>
        </w:rPr>
        <w:t>高层住宅、二类高层公共建筑、多层公共建筑，不应低于 </w:t>
      </w:r>
      <w:r>
        <w:rPr>
          <w:sz w:val="21"/>
        </w:rPr>
        <w:t>0.07MPa</w:t>
      </w:r>
      <w:r>
        <w:rPr>
          <w:spacing w:val="-3"/>
          <w:sz w:val="21"/>
        </w:rPr>
        <w:t>，多层住宅不宜低</w:t>
      </w:r>
      <w:r>
        <w:rPr>
          <w:spacing w:val="-29"/>
          <w:sz w:val="21"/>
        </w:rPr>
        <w:t>于 </w:t>
      </w:r>
      <w:r>
        <w:rPr>
          <w:sz w:val="21"/>
        </w:rPr>
        <w:t>0.07MPa； </w:t>
      </w:r>
    </w:p>
    <w:p>
      <w:pPr>
        <w:pStyle w:val="ListParagraph"/>
        <w:numPr>
          <w:ilvl w:val="0"/>
          <w:numId w:val="709"/>
        </w:numPr>
        <w:tabs>
          <w:tab w:pos="1367" w:val="left" w:leader="none"/>
        </w:tabs>
        <w:spacing w:line="446" w:lineRule="auto" w:before="0" w:after="0"/>
        <w:ind w:left="838" w:right="1817" w:firstLine="0"/>
        <w:jc w:val="left"/>
        <w:rPr>
          <w:sz w:val="21"/>
        </w:rPr>
      </w:pPr>
      <w:r>
        <w:rPr>
          <w:spacing w:val="-3"/>
          <w:sz w:val="21"/>
        </w:rPr>
        <w:t>工业建筑不应低于 </w:t>
      </w:r>
      <w:r>
        <w:rPr>
          <w:sz w:val="21"/>
        </w:rPr>
        <w:t>0.10MPa</w:t>
      </w:r>
      <w:r>
        <w:rPr>
          <w:spacing w:val="-3"/>
          <w:sz w:val="21"/>
        </w:rPr>
        <w:t>，当建筑体积小于 </w:t>
      </w:r>
      <w:r>
        <w:rPr>
          <w:sz w:val="21"/>
        </w:rPr>
        <w:t>20000m</w:t>
      </w:r>
      <w:r>
        <w:rPr>
          <w:position w:val="11"/>
          <w:sz w:val="11"/>
        </w:rPr>
        <w:t>3</w:t>
      </w:r>
      <w:r>
        <w:rPr>
          <w:spacing w:val="24"/>
          <w:position w:val="11"/>
          <w:sz w:val="11"/>
        </w:rPr>
        <w:t> </w:t>
      </w:r>
      <w:r>
        <w:rPr>
          <w:spacing w:val="-2"/>
          <w:sz w:val="21"/>
        </w:rPr>
        <w:t>时，不宜低于 </w:t>
      </w:r>
      <w:r>
        <w:rPr>
          <w:sz w:val="21"/>
        </w:rPr>
        <w:t>0.07MPa； 4</w:t>
      </w:r>
      <w:r>
        <w:rPr>
          <w:spacing w:val="-3"/>
          <w:sz w:val="21"/>
        </w:rPr>
        <w:t> 自动喷水灭火系统等自动水灭火系统应根据喷头灭火需求压力确定，但最小不应小于</w:t>
      </w:r>
    </w:p>
    <w:p>
      <w:pPr>
        <w:pStyle w:val="BodyText"/>
        <w:ind w:left="418"/>
      </w:pPr>
      <w:r>
        <w:rPr/>
        <w:t>0.10MPa； </w:t>
      </w:r>
    </w:p>
    <w:p>
      <w:pPr>
        <w:pStyle w:val="BodyText"/>
        <w:rPr>
          <w:sz w:val="17"/>
        </w:rPr>
      </w:pPr>
    </w:p>
    <w:p>
      <w:pPr>
        <w:pStyle w:val="BodyText"/>
        <w:spacing w:line="446" w:lineRule="auto"/>
        <w:ind w:left="840" w:right="2130" w:hanging="3"/>
      </w:pPr>
      <w:r>
        <w:rPr/>
        <w:t>（5）当高位消防水箱不能满足本条第 1 款～第 4 款的静压要求时，应设稳压泵。</w:t>
      </w:r>
      <w:r>
        <w:rPr>
          <w:b/>
        </w:rPr>
        <w:t>5.2.3 </w:t>
      </w:r>
      <w:r>
        <w:rPr/>
        <w:t>高位消防水箱可采用热浸锌镀锌钢板、钢筋混凝土、不锈钢板等建造。 </w:t>
      </w:r>
    </w:p>
    <w:p>
      <w:pPr>
        <w:pStyle w:val="ListParagraph"/>
        <w:numPr>
          <w:ilvl w:val="2"/>
          <w:numId w:val="710"/>
        </w:numPr>
        <w:tabs>
          <w:tab w:pos="1370" w:val="left" w:leader="none"/>
        </w:tabs>
        <w:spacing w:line="240" w:lineRule="auto" w:before="1" w:after="0"/>
        <w:ind w:left="1369" w:right="0" w:hanging="530"/>
        <w:jc w:val="left"/>
        <w:rPr>
          <w:sz w:val="21"/>
        </w:rPr>
      </w:pPr>
      <w:r>
        <w:rPr>
          <w:spacing w:val="-3"/>
          <w:sz w:val="21"/>
        </w:rPr>
        <w:t>高位消防水箱的设置应符合下列规定：</w:t>
      </w:r>
      <w:r>
        <w:rPr>
          <w:sz w:val="21"/>
        </w:rPr>
        <w:t> </w:t>
      </w:r>
    </w:p>
    <w:p>
      <w:pPr>
        <w:pStyle w:val="BodyText"/>
        <w:spacing w:before="12"/>
        <w:rPr>
          <w:sz w:val="17"/>
        </w:rPr>
      </w:pPr>
    </w:p>
    <w:p>
      <w:pPr>
        <w:pStyle w:val="ListParagraph"/>
        <w:numPr>
          <w:ilvl w:val="0"/>
          <w:numId w:val="711"/>
        </w:numPr>
        <w:tabs>
          <w:tab w:pos="1367" w:val="left" w:leader="none"/>
        </w:tabs>
        <w:spacing w:line="446" w:lineRule="auto" w:before="0" w:after="0"/>
        <w:ind w:left="418" w:right="1505" w:firstLine="419"/>
        <w:jc w:val="left"/>
        <w:rPr>
          <w:sz w:val="21"/>
        </w:rPr>
      </w:pPr>
      <w:r>
        <w:rPr>
          <w:spacing w:val="-3"/>
          <w:sz w:val="21"/>
        </w:rPr>
        <w:t>当高位消防水箱在屋顶露天设置时，水箱的人孔以及进出水管的阀门等应采取锁具或阀门箱等保护措施；</w:t>
      </w:r>
      <w:r>
        <w:rPr>
          <w:sz w:val="21"/>
        </w:rPr>
        <w:t> </w:t>
      </w:r>
    </w:p>
    <w:p>
      <w:pPr>
        <w:pStyle w:val="ListParagraph"/>
        <w:numPr>
          <w:ilvl w:val="0"/>
          <w:numId w:val="711"/>
        </w:numPr>
        <w:tabs>
          <w:tab w:pos="1367" w:val="left" w:leader="none"/>
        </w:tabs>
        <w:spacing w:line="446" w:lineRule="auto" w:before="0" w:after="0"/>
        <w:ind w:left="418" w:right="1505" w:firstLine="419"/>
        <w:jc w:val="left"/>
        <w:rPr>
          <w:sz w:val="21"/>
        </w:rPr>
      </w:pPr>
      <w:r>
        <w:rPr>
          <w:spacing w:val="-3"/>
          <w:sz w:val="21"/>
        </w:rPr>
        <w:t>严寒、寒冷等冬季冰冻地区的消防水箱应设置在消防水箱间内，其他地区宜设置在室内，当必须在屋顶露天设置时，应采取防冻隔热等安全措施；</w:t>
      </w:r>
      <w:r>
        <w:rPr>
          <w:sz w:val="21"/>
        </w:rPr>
        <w:t> </w:t>
      </w:r>
    </w:p>
    <w:p>
      <w:pPr>
        <w:pStyle w:val="ListParagraph"/>
        <w:numPr>
          <w:ilvl w:val="0"/>
          <w:numId w:val="711"/>
        </w:numPr>
        <w:tabs>
          <w:tab w:pos="1367" w:val="left" w:leader="none"/>
        </w:tabs>
        <w:spacing w:line="240" w:lineRule="auto" w:before="0" w:after="0"/>
        <w:ind w:left="1367" w:right="0" w:hanging="529"/>
        <w:jc w:val="left"/>
        <w:rPr>
          <w:sz w:val="21"/>
        </w:rPr>
      </w:pPr>
      <w:r>
        <w:rPr>
          <w:spacing w:val="-3"/>
          <w:sz w:val="21"/>
        </w:rPr>
        <w:t>高位消防水箱与基础应牢固连接。</w:t>
      </w:r>
      <w:r>
        <w:rPr>
          <w:sz w:val="21"/>
        </w:rPr>
        <w:t> </w:t>
      </w:r>
    </w:p>
    <w:p>
      <w:pPr>
        <w:pStyle w:val="BodyText"/>
        <w:rPr>
          <w:sz w:val="18"/>
        </w:rPr>
      </w:pPr>
    </w:p>
    <w:p>
      <w:pPr>
        <w:pStyle w:val="ListParagraph"/>
        <w:numPr>
          <w:ilvl w:val="2"/>
          <w:numId w:val="710"/>
        </w:numPr>
        <w:tabs>
          <w:tab w:pos="1370" w:val="left" w:leader="none"/>
        </w:tabs>
        <w:spacing w:line="446" w:lineRule="auto" w:before="0" w:after="0"/>
        <w:ind w:left="418" w:right="1604" w:firstLine="422"/>
        <w:jc w:val="left"/>
        <w:rPr>
          <w:sz w:val="21"/>
        </w:rPr>
      </w:pPr>
      <w:r>
        <w:rPr>
          <w:spacing w:val="-3"/>
          <w:sz w:val="21"/>
        </w:rPr>
        <w:t>高位消防水箱间应通风良好，不应结冰，当必须设置在严寒、寒冷等冬季结冰地区</w:t>
      </w:r>
      <w:r>
        <w:rPr>
          <w:spacing w:val="-5"/>
          <w:sz w:val="21"/>
        </w:rPr>
        <w:t>的非采暖房间时，应采取防冻措施，环境温度或水温不应低于 </w:t>
      </w:r>
      <w:r>
        <w:rPr>
          <w:sz w:val="21"/>
        </w:rPr>
        <w:t>5</w:t>
      </w:r>
      <w:r>
        <w:rPr>
          <w:spacing w:val="-2"/>
          <w:sz w:val="21"/>
        </w:rPr>
        <w:t>℃。</w:t>
      </w:r>
      <w:r>
        <w:rPr>
          <w:sz w:val="21"/>
        </w:rPr>
        <w:t> </w:t>
      </w:r>
    </w:p>
    <w:p>
      <w:pPr>
        <w:pStyle w:val="ListParagraph"/>
        <w:numPr>
          <w:ilvl w:val="2"/>
          <w:numId w:val="710"/>
        </w:numPr>
        <w:tabs>
          <w:tab w:pos="1370" w:val="left" w:leader="none"/>
        </w:tabs>
        <w:spacing w:line="240" w:lineRule="auto" w:before="0" w:after="0"/>
        <w:ind w:left="1369" w:right="0" w:hanging="530"/>
        <w:jc w:val="left"/>
        <w:rPr>
          <w:sz w:val="21"/>
        </w:rPr>
      </w:pPr>
      <w:r>
        <w:rPr>
          <w:spacing w:val="-3"/>
          <w:sz w:val="21"/>
        </w:rPr>
        <w:t>高位消防水箱应符合下列规定：</w:t>
      </w:r>
      <w:r>
        <w:rPr>
          <w:sz w:val="21"/>
        </w:rPr>
        <w:t> </w:t>
      </w:r>
    </w:p>
    <w:p>
      <w:pPr>
        <w:spacing w:after="0" w:line="240" w:lineRule="auto"/>
        <w:jc w:val="left"/>
        <w:rPr>
          <w:sz w:val="21"/>
        </w:rPr>
        <w:sectPr>
          <w:pgSz w:w="11910" w:h="16850"/>
          <w:pgMar w:header="0" w:footer="1239" w:top="1200" w:bottom="1420" w:left="1260" w:right="0"/>
        </w:sectPr>
      </w:pPr>
    </w:p>
    <w:p>
      <w:pPr>
        <w:pStyle w:val="ListParagraph"/>
        <w:numPr>
          <w:ilvl w:val="0"/>
          <w:numId w:val="712"/>
        </w:numPr>
        <w:tabs>
          <w:tab w:pos="1367" w:val="left" w:leader="none"/>
        </w:tabs>
        <w:spacing w:line="240" w:lineRule="auto" w:before="47" w:after="0"/>
        <w:ind w:left="1367" w:right="0" w:hanging="529"/>
        <w:jc w:val="left"/>
        <w:rPr>
          <w:sz w:val="21"/>
        </w:rPr>
      </w:pPr>
      <w:r>
        <w:rPr>
          <w:spacing w:val="-5"/>
          <w:sz w:val="21"/>
        </w:rPr>
        <w:t>高位消防水箱的有效容积、出水、排水和水位等，应符合本规范第 </w:t>
      </w:r>
      <w:r>
        <w:rPr>
          <w:sz w:val="21"/>
        </w:rPr>
        <w:t>4.3.8</w:t>
      </w:r>
      <w:r>
        <w:rPr>
          <w:spacing w:val="-15"/>
          <w:sz w:val="21"/>
        </w:rPr>
        <w:t> 条和第</w:t>
      </w:r>
    </w:p>
    <w:p>
      <w:pPr>
        <w:pStyle w:val="BodyText"/>
        <w:rPr>
          <w:sz w:val="18"/>
        </w:rPr>
      </w:pPr>
    </w:p>
    <w:p>
      <w:pPr>
        <w:pStyle w:val="BodyText"/>
        <w:ind w:left="418"/>
        <w:jc w:val="both"/>
      </w:pPr>
      <w:r>
        <w:rPr/>
        <w:t>4.3.9 条的规定； </w:t>
      </w:r>
    </w:p>
    <w:p>
      <w:pPr>
        <w:pStyle w:val="BodyText"/>
        <w:rPr>
          <w:sz w:val="18"/>
        </w:rPr>
      </w:pPr>
    </w:p>
    <w:p>
      <w:pPr>
        <w:pStyle w:val="ListParagraph"/>
        <w:numPr>
          <w:ilvl w:val="0"/>
          <w:numId w:val="712"/>
        </w:numPr>
        <w:tabs>
          <w:tab w:pos="1367" w:val="left" w:leader="none"/>
        </w:tabs>
        <w:spacing w:line="446" w:lineRule="auto" w:before="0" w:after="0"/>
        <w:ind w:left="418" w:right="1503" w:firstLine="419"/>
        <w:jc w:val="both"/>
        <w:rPr>
          <w:sz w:val="21"/>
        </w:rPr>
      </w:pPr>
      <w:r>
        <w:rPr>
          <w:spacing w:val="-3"/>
          <w:sz w:val="21"/>
        </w:rPr>
        <w:t>高位消防水箱的最低有效水位应根据出水管喇叭口和防止旋流器的淹没深度确定，当</w:t>
      </w:r>
      <w:r>
        <w:rPr>
          <w:spacing w:val="-6"/>
          <w:sz w:val="21"/>
        </w:rPr>
        <w:t>采用出水管喇叭口时，应符合本规范第 </w:t>
      </w:r>
      <w:r>
        <w:rPr>
          <w:sz w:val="21"/>
        </w:rPr>
        <w:t>5.1.13</w:t>
      </w:r>
      <w:r>
        <w:rPr>
          <w:spacing w:val="-23"/>
          <w:sz w:val="21"/>
        </w:rPr>
        <w:t> 条第 </w:t>
      </w:r>
      <w:r>
        <w:rPr>
          <w:sz w:val="21"/>
        </w:rPr>
        <w:t>4</w:t>
      </w:r>
      <w:r>
        <w:rPr>
          <w:spacing w:val="-8"/>
          <w:sz w:val="21"/>
        </w:rPr>
        <w:t> 款的规定；当采用防止旋流器时应根据产</w:t>
      </w:r>
      <w:r>
        <w:rPr>
          <w:spacing w:val="-10"/>
          <w:sz w:val="21"/>
        </w:rPr>
        <w:t>品确定，且不应小于 </w:t>
      </w:r>
      <w:r>
        <w:rPr>
          <w:sz w:val="21"/>
        </w:rPr>
        <w:t>150mm</w:t>
      </w:r>
      <w:r>
        <w:rPr>
          <w:spacing w:val="-10"/>
          <w:sz w:val="21"/>
        </w:rPr>
        <w:t> 的保护高度；</w:t>
      </w:r>
      <w:r>
        <w:rPr>
          <w:sz w:val="21"/>
        </w:rPr>
        <w:t> </w:t>
      </w:r>
    </w:p>
    <w:p>
      <w:pPr>
        <w:pStyle w:val="ListParagraph"/>
        <w:numPr>
          <w:ilvl w:val="0"/>
          <w:numId w:val="712"/>
        </w:numPr>
        <w:tabs>
          <w:tab w:pos="1367" w:val="left" w:leader="none"/>
        </w:tabs>
        <w:spacing w:line="268" w:lineRule="exact" w:before="0" w:after="0"/>
        <w:ind w:left="1367" w:right="0" w:hanging="529"/>
        <w:jc w:val="both"/>
        <w:rPr>
          <w:sz w:val="21"/>
        </w:rPr>
      </w:pPr>
      <w:r>
        <w:rPr>
          <w:spacing w:val="-6"/>
          <w:sz w:val="21"/>
        </w:rPr>
        <w:t>高位消防水箱的通气管、呼吸管等应符合本规范第 </w:t>
      </w:r>
      <w:r>
        <w:rPr>
          <w:sz w:val="21"/>
        </w:rPr>
        <w:t>4.3.10</w:t>
      </w:r>
      <w:r>
        <w:rPr>
          <w:spacing w:val="-10"/>
          <w:sz w:val="21"/>
        </w:rPr>
        <w:t> 条的规定； </w:t>
      </w:r>
    </w:p>
    <w:p>
      <w:pPr>
        <w:pStyle w:val="BodyText"/>
        <w:spacing w:before="1"/>
        <w:rPr>
          <w:sz w:val="18"/>
        </w:rPr>
      </w:pPr>
    </w:p>
    <w:p>
      <w:pPr>
        <w:pStyle w:val="ListParagraph"/>
        <w:numPr>
          <w:ilvl w:val="0"/>
          <w:numId w:val="712"/>
        </w:numPr>
        <w:tabs>
          <w:tab w:pos="1367" w:val="left" w:leader="none"/>
        </w:tabs>
        <w:spacing w:line="446" w:lineRule="auto" w:before="1" w:after="0"/>
        <w:ind w:left="418" w:right="1505" w:firstLine="419"/>
        <w:jc w:val="both"/>
        <w:rPr>
          <w:sz w:val="21"/>
        </w:rPr>
      </w:pPr>
      <w:r>
        <w:rPr>
          <w:spacing w:val="-3"/>
          <w:sz w:val="21"/>
        </w:rPr>
        <w:t>高位消防水箱外壁与建筑本体结构墙面或其他池壁之间的净距，应满足施工或装配的</w:t>
      </w:r>
      <w:r>
        <w:rPr>
          <w:spacing w:val="-6"/>
          <w:sz w:val="21"/>
        </w:rPr>
        <w:t>需要，无管道的侧面，净距不宜小于 </w:t>
      </w:r>
      <w:r>
        <w:rPr>
          <w:sz w:val="21"/>
        </w:rPr>
        <w:t>0.7m</w:t>
      </w:r>
      <w:r>
        <w:rPr>
          <w:spacing w:val="-5"/>
          <w:sz w:val="21"/>
        </w:rPr>
        <w:t>；安装有管道的侧面，净距不宜小于 </w:t>
      </w:r>
      <w:r>
        <w:rPr>
          <w:sz w:val="21"/>
        </w:rPr>
        <w:t>1.0m</w:t>
      </w:r>
      <w:r>
        <w:rPr>
          <w:spacing w:val="-1"/>
          <w:sz w:val="21"/>
        </w:rPr>
        <w:t>，且管道外</w:t>
      </w:r>
      <w:r>
        <w:rPr>
          <w:spacing w:val="-5"/>
          <w:sz w:val="21"/>
        </w:rPr>
        <w:t>壁与建筑本体墙面之间的通道宽度不宜小于 </w:t>
      </w:r>
      <w:r>
        <w:rPr>
          <w:sz w:val="21"/>
        </w:rPr>
        <w:t>0.6m</w:t>
      </w:r>
      <w:r>
        <w:rPr>
          <w:spacing w:val="-3"/>
          <w:sz w:val="21"/>
        </w:rPr>
        <w:t>，设有人孔的水箱顶，其顶面与其上面的建筑</w:t>
      </w:r>
      <w:r>
        <w:rPr>
          <w:spacing w:val="-7"/>
          <w:sz w:val="21"/>
        </w:rPr>
        <w:t>物本体板底的净空不应小于 </w:t>
      </w:r>
      <w:r>
        <w:rPr>
          <w:sz w:val="21"/>
        </w:rPr>
        <w:t>0.8m； </w:t>
      </w:r>
    </w:p>
    <w:p>
      <w:pPr>
        <w:pStyle w:val="ListParagraph"/>
        <w:numPr>
          <w:ilvl w:val="0"/>
          <w:numId w:val="712"/>
        </w:numPr>
        <w:tabs>
          <w:tab w:pos="1367" w:val="left" w:leader="none"/>
        </w:tabs>
        <w:spacing w:line="446" w:lineRule="auto" w:before="0" w:after="0"/>
        <w:ind w:left="418" w:right="1560" w:firstLine="419"/>
        <w:jc w:val="both"/>
        <w:rPr>
          <w:sz w:val="21"/>
        </w:rPr>
      </w:pPr>
      <w:r>
        <w:rPr>
          <w:spacing w:val="-6"/>
          <w:sz w:val="21"/>
        </w:rPr>
        <w:t>进水管的管径应满足消防水箱 </w:t>
      </w:r>
      <w:r>
        <w:rPr>
          <w:sz w:val="21"/>
        </w:rPr>
        <w:t>8h</w:t>
      </w:r>
      <w:r>
        <w:rPr>
          <w:spacing w:val="-11"/>
          <w:sz w:val="21"/>
        </w:rPr>
        <w:t> 充满水的要求，但管径不应小于 </w:t>
      </w:r>
      <w:r>
        <w:rPr>
          <w:sz w:val="21"/>
        </w:rPr>
        <w:t>DN32</w:t>
      </w:r>
      <w:r>
        <w:rPr>
          <w:spacing w:val="-1"/>
          <w:sz w:val="21"/>
        </w:rPr>
        <w:t>，进水管宜设</w:t>
      </w:r>
      <w:r>
        <w:rPr>
          <w:spacing w:val="-3"/>
          <w:sz w:val="21"/>
        </w:rPr>
        <w:t>置液位阀或浮球阀；</w:t>
      </w:r>
      <w:r>
        <w:rPr>
          <w:sz w:val="21"/>
        </w:rPr>
        <w:t> </w:t>
      </w:r>
    </w:p>
    <w:p>
      <w:pPr>
        <w:pStyle w:val="ListParagraph"/>
        <w:numPr>
          <w:ilvl w:val="0"/>
          <w:numId w:val="712"/>
        </w:numPr>
        <w:tabs>
          <w:tab w:pos="1367" w:val="left" w:leader="none"/>
        </w:tabs>
        <w:spacing w:line="446" w:lineRule="auto" w:before="0" w:after="0"/>
        <w:ind w:left="418" w:right="1505" w:firstLine="419"/>
        <w:jc w:val="both"/>
        <w:rPr>
          <w:sz w:val="21"/>
        </w:rPr>
      </w:pPr>
      <w:r>
        <w:rPr>
          <w:spacing w:val="-3"/>
          <w:sz w:val="21"/>
        </w:rPr>
        <w:t>进水管应在溢流水位以上接入，进水管口的最低点高出溢流边缘的高度应等于进水管</w:t>
      </w:r>
      <w:r>
        <w:rPr>
          <w:spacing w:val="-8"/>
          <w:sz w:val="21"/>
        </w:rPr>
        <w:t>管径，但最小不应小于 </w:t>
      </w:r>
      <w:r>
        <w:rPr>
          <w:sz w:val="21"/>
        </w:rPr>
        <w:t>100mm</w:t>
      </w:r>
      <w:r>
        <w:rPr>
          <w:spacing w:val="-9"/>
          <w:sz w:val="21"/>
        </w:rPr>
        <w:t>，最大不应大于 </w:t>
      </w:r>
      <w:r>
        <w:rPr>
          <w:sz w:val="21"/>
        </w:rPr>
        <w:t>150mm； </w:t>
      </w:r>
    </w:p>
    <w:p>
      <w:pPr>
        <w:pStyle w:val="ListParagraph"/>
        <w:numPr>
          <w:ilvl w:val="0"/>
          <w:numId w:val="712"/>
        </w:numPr>
        <w:tabs>
          <w:tab w:pos="1367" w:val="left" w:leader="none"/>
        </w:tabs>
        <w:spacing w:line="446" w:lineRule="auto" w:before="0" w:after="0"/>
        <w:ind w:left="418" w:right="1505" w:firstLine="419"/>
        <w:jc w:val="left"/>
        <w:rPr>
          <w:sz w:val="21"/>
        </w:rPr>
      </w:pPr>
      <w:r>
        <w:rPr>
          <w:spacing w:val="-3"/>
          <w:sz w:val="21"/>
        </w:rPr>
        <w:t>当进水管为淹没出流时，应在进水管上设置防止倒流的措施或在管道上设置虹吸破坏</w:t>
      </w:r>
      <w:r>
        <w:rPr>
          <w:spacing w:val="-5"/>
          <w:sz w:val="21"/>
        </w:rPr>
        <w:t>孔和真空破坏器，虹吸破坏孔的孔径不宜小于管径的 </w:t>
      </w:r>
      <w:r>
        <w:rPr>
          <w:sz w:val="21"/>
        </w:rPr>
        <w:t>1/5</w:t>
      </w:r>
      <w:r>
        <w:rPr>
          <w:spacing w:val="-9"/>
          <w:sz w:val="21"/>
        </w:rPr>
        <w:t>，且不应小于 </w:t>
      </w:r>
      <w:r>
        <w:rPr>
          <w:sz w:val="21"/>
        </w:rPr>
        <w:t>25mm</w:t>
      </w:r>
      <w:r>
        <w:rPr>
          <w:spacing w:val="-3"/>
          <w:sz w:val="21"/>
        </w:rPr>
        <w:t>。但当采用生活给水系统补水时，进水管不应淹没出流；</w:t>
      </w:r>
      <w:r>
        <w:rPr>
          <w:sz w:val="21"/>
        </w:rPr>
        <w:t> </w:t>
      </w:r>
    </w:p>
    <w:p>
      <w:pPr>
        <w:pStyle w:val="ListParagraph"/>
        <w:numPr>
          <w:ilvl w:val="0"/>
          <w:numId w:val="712"/>
        </w:numPr>
        <w:tabs>
          <w:tab w:pos="1367" w:val="left" w:leader="none"/>
        </w:tabs>
        <w:spacing w:line="446" w:lineRule="auto" w:before="0" w:after="0"/>
        <w:ind w:left="418" w:right="1558" w:firstLine="419"/>
        <w:jc w:val="left"/>
        <w:rPr>
          <w:sz w:val="21"/>
        </w:rPr>
      </w:pPr>
      <w:r>
        <w:rPr>
          <w:spacing w:val="-6"/>
          <w:sz w:val="21"/>
        </w:rPr>
        <w:t>溢流管的直径不应小于进水管直径的 </w:t>
      </w:r>
      <w:r>
        <w:rPr>
          <w:sz w:val="21"/>
        </w:rPr>
        <w:t>2</w:t>
      </w:r>
      <w:r>
        <w:rPr>
          <w:spacing w:val="-12"/>
          <w:sz w:val="21"/>
        </w:rPr>
        <w:t> 倍，且不应小于 </w:t>
      </w:r>
      <w:r>
        <w:rPr>
          <w:sz w:val="21"/>
        </w:rPr>
        <w:t>DN100</w:t>
      </w:r>
      <w:r>
        <w:rPr>
          <w:spacing w:val="-3"/>
          <w:sz w:val="21"/>
        </w:rPr>
        <w:t>，溢流管的喇叭口直径</w:t>
      </w:r>
      <w:r>
        <w:rPr>
          <w:spacing w:val="-8"/>
          <w:sz w:val="21"/>
        </w:rPr>
        <w:t>不应小于溢流管直径的 </w:t>
      </w:r>
      <w:r>
        <w:rPr>
          <w:sz w:val="21"/>
        </w:rPr>
        <w:t>1.5～2.5</w:t>
      </w:r>
      <w:r>
        <w:rPr>
          <w:spacing w:val="-20"/>
          <w:sz w:val="21"/>
        </w:rPr>
        <w:t> 倍；</w:t>
      </w:r>
      <w:r>
        <w:rPr>
          <w:sz w:val="21"/>
        </w:rPr>
        <w:t> </w:t>
      </w:r>
    </w:p>
    <w:p>
      <w:pPr>
        <w:pStyle w:val="ListParagraph"/>
        <w:numPr>
          <w:ilvl w:val="0"/>
          <w:numId w:val="712"/>
        </w:numPr>
        <w:tabs>
          <w:tab w:pos="1367" w:val="left" w:leader="none"/>
        </w:tabs>
        <w:spacing w:line="240" w:lineRule="auto" w:before="0" w:after="0"/>
        <w:ind w:left="1367" w:right="0" w:hanging="529"/>
        <w:jc w:val="left"/>
        <w:rPr>
          <w:sz w:val="21"/>
        </w:rPr>
      </w:pPr>
      <w:r>
        <w:rPr>
          <w:spacing w:val="-5"/>
          <w:sz w:val="21"/>
        </w:rPr>
        <w:t>高位消防水箱出水管管径应满足消防给水设计流量的出水要求，且不应小于 </w:t>
      </w:r>
      <w:r>
        <w:rPr>
          <w:sz w:val="21"/>
        </w:rPr>
        <w:t>DN100； </w:t>
      </w:r>
    </w:p>
    <w:p>
      <w:pPr>
        <w:pStyle w:val="BodyText"/>
        <w:spacing w:before="7"/>
        <w:rPr>
          <w:sz w:val="17"/>
        </w:rPr>
      </w:pPr>
    </w:p>
    <w:p>
      <w:pPr>
        <w:pStyle w:val="ListParagraph"/>
        <w:numPr>
          <w:ilvl w:val="0"/>
          <w:numId w:val="712"/>
        </w:numPr>
        <w:tabs>
          <w:tab w:pos="1473" w:val="left" w:leader="none"/>
        </w:tabs>
        <w:spacing w:line="446" w:lineRule="auto" w:before="0" w:after="0"/>
        <w:ind w:left="418" w:right="1608" w:firstLine="419"/>
        <w:jc w:val="left"/>
        <w:rPr>
          <w:sz w:val="21"/>
        </w:rPr>
      </w:pPr>
      <w:r>
        <w:rPr>
          <w:spacing w:val="-3"/>
          <w:sz w:val="21"/>
        </w:rPr>
        <w:t>高位消防水箱出水管应位于高位消防水箱最低水位以下，并应设置防止消防用水进入高位消防水箱的止回阀； </w:t>
      </w:r>
    </w:p>
    <w:p>
      <w:pPr>
        <w:pStyle w:val="ListParagraph"/>
        <w:numPr>
          <w:ilvl w:val="0"/>
          <w:numId w:val="712"/>
        </w:numPr>
        <w:tabs>
          <w:tab w:pos="1473" w:val="left" w:leader="none"/>
        </w:tabs>
        <w:spacing w:line="446" w:lineRule="auto" w:before="0" w:after="0"/>
        <w:ind w:left="840" w:right="3397" w:hanging="3"/>
        <w:jc w:val="left"/>
        <w:rPr>
          <w:sz w:val="21"/>
        </w:rPr>
      </w:pPr>
      <w:r>
        <w:rPr>
          <w:spacing w:val="-3"/>
          <w:sz w:val="21"/>
        </w:rPr>
        <w:t>高位消防水箱的进、出水管应设置带有指示启闭装置的阀门。</w:t>
      </w:r>
      <w:r>
        <w:rPr>
          <w:b/>
          <w:sz w:val="21"/>
        </w:rPr>
        <w:t>5.3</w:t>
      </w:r>
      <w:r>
        <w:rPr>
          <w:b/>
          <w:spacing w:val="1"/>
          <w:sz w:val="21"/>
        </w:rPr>
        <w:t> </w:t>
      </w:r>
      <w:r>
        <w:rPr>
          <w:spacing w:val="-3"/>
          <w:sz w:val="21"/>
        </w:rPr>
        <w:t>稳压泵</w:t>
      </w:r>
      <w:r>
        <w:rPr>
          <w:sz w:val="21"/>
        </w:rPr>
        <w:t> </w:t>
      </w:r>
    </w:p>
    <w:p>
      <w:pPr>
        <w:spacing w:before="0"/>
        <w:ind w:left="840" w:right="0" w:firstLine="0"/>
        <w:jc w:val="left"/>
        <w:rPr>
          <w:sz w:val="21"/>
        </w:rPr>
      </w:pPr>
      <w:r>
        <w:rPr>
          <w:b/>
          <w:sz w:val="21"/>
        </w:rPr>
        <w:t>5.3.1 </w:t>
      </w:r>
      <w:r>
        <w:rPr>
          <w:sz w:val="21"/>
        </w:rPr>
        <w:t>稳压泵宜采用离心泵，并宜符合下列规定： </w:t>
      </w:r>
    </w:p>
    <w:p>
      <w:pPr>
        <w:pStyle w:val="BodyText"/>
        <w:spacing w:before="12"/>
        <w:rPr>
          <w:sz w:val="17"/>
        </w:rPr>
      </w:pPr>
    </w:p>
    <w:p>
      <w:pPr>
        <w:pStyle w:val="ListParagraph"/>
        <w:numPr>
          <w:ilvl w:val="0"/>
          <w:numId w:val="713"/>
        </w:numPr>
        <w:tabs>
          <w:tab w:pos="1367" w:val="left" w:leader="none"/>
        </w:tabs>
        <w:spacing w:line="240" w:lineRule="auto" w:before="0" w:after="0"/>
        <w:ind w:left="1367" w:right="0" w:hanging="529"/>
        <w:jc w:val="left"/>
        <w:rPr>
          <w:b/>
          <w:sz w:val="21"/>
        </w:rPr>
      </w:pPr>
      <w:r>
        <w:rPr>
          <w:spacing w:val="-3"/>
          <w:sz w:val="21"/>
        </w:rPr>
        <w:t>宜采用单吸单级或单吸多级离心泵；</w:t>
      </w:r>
      <w:r>
        <w:rPr>
          <w:b/>
          <w:w w:val="99"/>
          <w:sz w:val="21"/>
        </w:rPr>
        <w:t> </w:t>
      </w:r>
    </w:p>
    <w:p>
      <w:pPr>
        <w:pStyle w:val="BodyText"/>
        <w:rPr>
          <w:b/>
          <w:sz w:val="18"/>
        </w:rPr>
      </w:pPr>
    </w:p>
    <w:p>
      <w:pPr>
        <w:pStyle w:val="ListParagraph"/>
        <w:numPr>
          <w:ilvl w:val="0"/>
          <w:numId w:val="713"/>
        </w:numPr>
        <w:tabs>
          <w:tab w:pos="1367" w:val="left" w:leader="none"/>
        </w:tabs>
        <w:spacing w:line="446" w:lineRule="auto" w:before="0" w:after="0"/>
        <w:ind w:left="840" w:right="4763" w:hanging="3"/>
        <w:jc w:val="left"/>
        <w:rPr>
          <w:sz w:val="21"/>
        </w:rPr>
      </w:pPr>
      <w:r>
        <w:rPr>
          <w:spacing w:val="-3"/>
          <w:sz w:val="21"/>
        </w:rPr>
        <w:t>泵外壳和叶轮等主要部件的材质宜采用不锈钢。</w:t>
      </w:r>
      <w:r>
        <w:rPr>
          <w:b/>
          <w:spacing w:val="-3"/>
          <w:sz w:val="21"/>
        </w:rPr>
        <w:t>5.3.2</w:t>
      </w:r>
      <w:r>
        <w:rPr>
          <w:b/>
          <w:spacing w:val="3"/>
          <w:sz w:val="21"/>
        </w:rPr>
        <w:t> </w:t>
      </w:r>
      <w:r>
        <w:rPr>
          <w:spacing w:val="-3"/>
          <w:sz w:val="21"/>
        </w:rPr>
        <w:t>稳压泵的设计流量应符合下列规定：</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0"/>
          <w:numId w:val="714"/>
        </w:numPr>
        <w:tabs>
          <w:tab w:pos="1367" w:val="left" w:leader="none"/>
        </w:tabs>
        <w:spacing w:line="240" w:lineRule="auto" w:before="47" w:after="0"/>
        <w:ind w:left="1367" w:right="0" w:hanging="529"/>
        <w:jc w:val="left"/>
        <w:rPr>
          <w:sz w:val="21"/>
        </w:rPr>
      </w:pPr>
      <w:r>
        <w:rPr>
          <w:spacing w:val="-3"/>
          <w:sz w:val="21"/>
        </w:rPr>
        <w:t>稳压泵的设计流量不应小于消防给水系统管网的正常泄漏量和系统自动启动流量；</w:t>
      </w:r>
      <w:r>
        <w:rPr>
          <w:sz w:val="21"/>
        </w:rPr>
        <w:t> </w:t>
      </w:r>
    </w:p>
    <w:p>
      <w:pPr>
        <w:pStyle w:val="BodyText"/>
        <w:rPr>
          <w:sz w:val="18"/>
        </w:rPr>
      </w:pPr>
    </w:p>
    <w:p>
      <w:pPr>
        <w:pStyle w:val="ListParagraph"/>
        <w:numPr>
          <w:ilvl w:val="0"/>
          <w:numId w:val="714"/>
        </w:numPr>
        <w:tabs>
          <w:tab w:pos="1367" w:val="left" w:leader="none"/>
        </w:tabs>
        <w:spacing w:line="446" w:lineRule="auto" w:before="0" w:after="0"/>
        <w:ind w:left="418" w:right="1505" w:firstLine="419"/>
        <w:jc w:val="left"/>
        <w:rPr>
          <w:sz w:val="21"/>
        </w:rPr>
      </w:pPr>
      <w:r>
        <w:rPr>
          <w:spacing w:val="-3"/>
          <w:sz w:val="21"/>
        </w:rPr>
        <w:t>消防给水系统管网的正常泄漏量应根据管道材质、接口形式等确定，当没有管网泄漏</w:t>
      </w:r>
      <w:r>
        <w:rPr>
          <w:spacing w:val="-5"/>
          <w:sz w:val="21"/>
        </w:rPr>
        <w:t>量数据时，稳压泵的设计流量宜按消防给水设计流量的 </w:t>
      </w:r>
      <w:r>
        <w:rPr>
          <w:sz w:val="21"/>
        </w:rPr>
        <w:t>1%～3</w:t>
      </w:r>
      <w:r>
        <w:rPr>
          <w:spacing w:val="-9"/>
          <w:sz w:val="21"/>
        </w:rPr>
        <w:t>%计，且不宜小于 </w:t>
      </w:r>
      <w:r>
        <w:rPr>
          <w:sz w:val="21"/>
        </w:rPr>
        <w:t>1L/s； </w:t>
      </w:r>
    </w:p>
    <w:p>
      <w:pPr>
        <w:pStyle w:val="ListParagraph"/>
        <w:numPr>
          <w:ilvl w:val="0"/>
          <w:numId w:val="714"/>
        </w:numPr>
        <w:tabs>
          <w:tab w:pos="1367" w:val="left" w:leader="none"/>
        </w:tabs>
        <w:spacing w:line="446" w:lineRule="auto" w:before="0" w:after="0"/>
        <w:ind w:left="840" w:right="2662" w:hanging="3"/>
        <w:jc w:val="left"/>
        <w:rPr>
          <w:sz w:val="21"/>
        </w:rPr>
      </w:pPr>
      <w:r>
        <w:rPr>
          <w:spacing w:val="-3"/>
          <w:sz w:val="21"/>
        </w:rPr>
        <w:t>消防给水系统所采用报警阀压力开关等自动启动流量应根据产品确定。</w:t>
      </w:r>
      <w:r>
        <w:rPr>
          <w:b/>
          <w:spacing w:val="-3"/>
          <w:sz w:val="21"/>
        </w:rPr>
        <w:t>5.3.3 </w:t>
      </w:r>
      <w:r>
        <w:rPr>
          <w:spacing w:val="-3"/>
          <w:sz w:val="21"/>
        </w:rPr>
        <w:t>稳压泵的设计压力应符合下列要求：</w:t>
      </w:r>
      <w:r>
        <w:rPr>
          <w:sz w:val="21"/>
        </w:rPr>
        <w:t> </w:t>
      </w:r>
    </w:p>
    <w:p>
      <w:pPr>
        <w:pStyle w:val="ListParagraph"/>
        <w:numPr>
          <w:ilvl w:val="0"/>
          <w:numId w:val="715"/>
        </w:numPr>
        <w:tabs>
          <w:tab w:pos="1367" w:val="left" w:leader="none"/>
        </w:tabs>
        <w:spacing w:line="267" w:lineRule="exact" w:before="0" w:after="0"/>
        <w:ind w:left="1367" w:right="0" w:hanging="529"/>
        <w:jc w:val="left"/>
        <w:rPr>
          <w:sz w:val="21"/>
        </w:rPr>
      </w:pPr>
      <w:r>
        <w:rPr>
          <w:spacing w:val="-3"/>
          <w:sz w:val="21"/>
        </w:rPr>
        <w:t>稳压泵的设计压力应满足系统自动启动和管网充满水的要求；</w:t>
      </w:r>
      <w:r>
        <w:rPr>
          <w:sz w:val="21"/>
        </w:rPr>
        <w:t> </w:t>
      </w:r>
    </w:p>
    <w:p>
      <w:pPr>
        <w:pStyle w:val="BodyText"/>
        <w:spacing w:before="2"/>
        <w:rPr>
          <w:sz w:val="18"/>
        </w:rPr>
      </w:pPr>
    </w:p>
    <w:p>
      <w:pPr>
        <w:pStyle w:val="ListParagraph"/>
        <w:numPr>
          <w:ilvl w:val="0"/>
          <w:numId w:val="715"/>
        </w:numPr>
        <w:tabs>
          <w:tab w:pos="1367" w:val="left" w:leader="none"/>
        </w:tabs>
        <w:spacing w:line="446" w:lineRule="auto" w:before="0" w:after="0"/>
        <w:ind w:left="418" w:right="1505" w:firstLine="419"/>
        <w:jc w:val="both"/>
        <w:rPr>
          <w:sz w:val="21"/>
        </w:rPr>
      </w:pPr>
      <w:r>
        <w:rPr>
          <w:spacing w:val="-3"/>
          <w:sz w:val="21"/>
        </w:rPr>
        <w:t>稳压泵的设计压力应保持系统自动启泵压力设置点处的压力在准工作状态时大于系统</w:t>
      </w:r>
      <w:r>
        <w:rPr>
          <w:spacing w:val="-6"/>
          <w:sz w:val="21"/>
        </w:rPr>
        <w:t>设置自动启泵压力值，且增加值宜为 </w:t>
      </w:r>
      <w:r>
        <w:rPr>
          <w:sz w:val="21"/>
        </w:rPr>
        <w:t>0.07～0.10MPa； </w:t>
      </w:r>
    </w:p>
    <w:p>
      <w:pPr>
        <w:pStyle w:val="ListParagraph"/>
        <w:numPr>
          <w:ilvl w:val="0"/>
          <w:numId w:val="715"/>
        </w:numPr>
        <w:tabs>
          <w:tab w:pos="1367" w:val="left" w:leader="none"/>
        </w:tabs>
        <w:spacing w:line="446" w:lineRule="auto" w:before="0" w:after="0"/>
        <w:ind w:left="418" w:right="1505" w:firstLine="419"/>
        <w:jc w:val="both"/>
        <w:rPr>
          <w:sz w:val="21"/>
        </w:rPr>
      </w:pPr>
      <w:r>
        <w:rPr>
          <w:spacing w:val="-3"/>
          <w:sz w:val="21"/>
        </w:rPr>
        <w:t>稳压泵的设计压力应保持系统最不利点处水灭火设施在准工作状态时的静水压力应大</w:t>
      </w:r>
      <w:r>
        <w:rPr>
          <w:spacing w:val="-28"/>
          <w:sz w:val="21"/>
        </w:rPr>
        <w:t>于 </w:t>
      </w:r>
      <w:r>
        <w:rPr>
          <w:sz w:val="21"/>
        </w:rPr>
        <w:t>0.15MPa</w:t>
      </w:r>
      <w:r>
        <w:rPr>
          <w:spacing w:val="-3"/>
          <w:sz w:val="21"/>
        </w:rPr>
        <w:t>。</w:t>
      </w:r>
      <w:r>
        <w:rPr>
          <w:sz w:val="21"/>
        </w:rPr>
        <w:t> </w:t>
      </w:r>
    </w:p>
    <w:p>
      <w:pPr>
        <w:pStyle w:val="ListParagraph"/>
        <w:numPr>
          <w:ilvl w:val="2"/>
          <w:numId w:val="716"/>
        </w:numPr>
        <w:tabs>
          <w:tab w:pos="1424" w:val="left" w:leader="none"/>
        </w:tabs>
        <w:spacing w:line="446" w:lineRule="auto" w:before="0" w:after="0"/>
        <w:ind w:left="418" w:right="1445" w:firstLine="422"/>
        <w:jc w:val="both"/>
        <w:rPr>
          <w:sz w:val="21"/>
        </w:rPr>
      </w:pPr>
      <w:r>
        <w:rPr>
          <w:spacing w:val="-3"/>
          <w:sz w:val="21"/>
        </w:rPr>
        <w:t>设置稳压泵的临时高压消防给水系统应设置防止稳压泵频繁启停的技术措施，当采用</w:t>
      </w:r>
      <w:r>
        <w:rPr>
          <w:spacing w:val="-5"/>
          <w:sz w:val="21"/>
        </w:rPr>
        <w:t>气压水罐时，其调节容积应根据稳压泵启泵次数不大于 </w:t>
      </w:r>
      <w:r>
        <w:rPr>
          <w:sz w:val="21"/>
        </w:rPr>
        <w:t>15</w:t>
      </w:r>
      <w:r>
        <w:rPr>
          <w:spacing w:val="-21"/>
          <w:sz w:val="21"/>
        </w:rPr>
        <w:t> 次</w:t>
      </w:r>
      <w:r>
        <w:rPr>
          <w:sz w:val="21"/>
        </w:rPr>
        <w:t>/h</w:t>
      </w:r>
      <w:r>
        <w:rPr>
          <w:spacing w:val="-7"/>
          <w:sz w:val="21"/>
        </w:rPr>
        <w:t> 计算确定，但有效储水容积不宜</w:t>
      </w:r>
      <w:r>
        <w:rPr>
          <w:spacing w:val="-23"/>
          <w:sz w:val="21"/>
        </w:rPr>
        <w:t>小于 </w:t>
      </w:r>
      <w:r>
        <w:rPr>
          <w:sz w:val="21"/>
        </w:rPr>
        <w:t>150L</w:t>
      </w:r>
      <w:r>
        <w:rPr>
          <w:spacing w:val="-3"/>
          <w:sz w:val="21"/>
        </w:rPr>
        <w:t>。</w:t>
      </w:r>
      <w:r>
        <w:rPr>
          <w:sz w:val="21"/>
        </w:rPr>
        <w:t> </w:t>
      </w:r>
    </w:p>
    <w:p>
      <w:pPr>
        <w:pStyle w:val="ListParagraph"/>
        <w:numPr>
          <w:ilvl w:val="2"/>
          <w:numId w:val="716"/>
        </w:numPr>
        <w:tabs>
          <w:tab w:pos="1370" w:val="left" w:leader="none"/>
        </w:tabs>
        <w:spacing w:line="268" w:lineRule="exact" w:before="0" w:after="0"/>
        <w:ind w:left="1369" w:right="0" w:hanging="530"/>
        <w:jc w:val="left"/>
        <w:rPr>
          <w:sz w:val="21"/>
        </w:rPr>
      </w:pPr>
      <w:r>
        <w:rPr>
          <w:spacing w:val="-3"/>
          <w:sz w:val="21"/>
        </w:rPr>
        <w:t>稳压泵吸水管应设置明杆闸阀，稳压泵出水管应设置消声止回阀和明杆闸阀。</w:t>
      </w:r>
      <w:r>
        <w:rPr>
          <w:sz w:val="21"/>
        </w:rPr>
        <w:t> </w:t>
      </w:r>
    </w:p>
    <w:p>
      <w:pPr>
        <w:pStyle w:val="BodyText"/>
        <w:spacing w:before="10"/>
        <w:rPr>
          <w:sz w:val="17"/>
        </w:rPr>
      </w:pPr>
    </w:p>
    <w:p>
      <w:pPr>
        <w:pStyle w:val="ListParagraph"/>
        <w:numPr>
          <w:ilvl w:val="2"/>
          <w:numId w:val="716"/>
        </w:numPr>
        <w:tabs>
          <w:tab w:pos="1370" w:val="left" w:leader="none"/>
        </w:tabs>
        <w:spacing w:line="240" w:lineRule="auto" w:before="0" w:after="0"/>
        <w:ind w:left="1369" w:right="0" w:hanging="530"/>
        <w:jc w:val="left"/>
        <w:rPr>
          <w:sz w:val="21"/>
        </w:rPr>
      </w:pPr>
      <w:r>
        <w:rPr>
          <w:spacing w:val="-3"/>
          <w:sz w:val="21"/>
        </w:rPr>
        <w:t>稳压泵应设置备用泵。</w:t>
      </w:r>
      <w:r>
        <w:rPr>
          <w:sz w:val="21"/>
        </w:rPr>
        <w:t> </w:t>
      </w:r>
    </w:p>
    <w:p>
      <w:pPr>
        <w:pStyle w:val="BodyText"/>
        <w:spacing w:before="2"/>
        <w:rPr>
          <w:sz w:val="18"/>
        </w:rPr>
      </w:pPr>
    </w:p>
    <w:p>
      <w:pPr>
        <w:pStyle w:val="ListParagraph"/>
        <w:numPr>
          <w:ilvl w:val="1"/>
          <w:numId w:val="717"/>
        </w:numPr>
        <w:tabs>
          <w:tab w:pos="1160" w:val="left" w:leader="none"/>
        </w:tabs>
        <w:spacing w:line="240" w:lineRule="auto" w:before="0" w:after="0"/>
        <w:ind w:left="1159" w:right="0" w:hanging="320"/>
        <w:jc w:val="left"/>
        <w:rPr>
          <w:sz w:val="21"/>
        </w:rPr>
      </w:pPr>
      <w:r>
        <w:rPr>
          <w:spacing w:val="-3"/>
          <w:sz w:val="21"/>
        </w:rPr>
        <w:t>消防水泵接合器</w:t>
      </w:r>
      <w:r>
        <w:rPr>
          <w:sz w:val="21"/>
        </w:rPr>
        <w:t> </w:t>
      </w:r>
    </w:p>
    <w:p>
      <w:pPr>
        <w:pStyle w:val="BodyText"/>
        <w:rPr>
          <w:sz w:val="18"/>
        </w:rPr>
      </w:pPr>
    </w:p>
    <w:p>
      <w:pPr>
        <w:pStyle w:val="ListParagraph"/>
        <w:numPr>
          <w:ilvl w:val="2"/>
          <w:numId w:val="717"/>
        </w:numPr>
        <w:tabs>
          <w:tab w:pos="1370" w:val="left" w:leader="none"/>
        </w:tabs>
        <w:spacing w:line="240" w:lineRule="auto" w:before="0" w:after="0"/>
        <w:ind w:left="1369" w:right="0" w:hanging="530"/>
        <w:jc w:val="left"/>
        <w:rPr>
          <w:sz w:val="21"/>
        </w:rPr>
      </w:pPr>
      <w:r>
        <w:rPr>
          <w:spacing w:val="-3"/>
          <w:sz w:val="21"/>
        </w:rPr>
        <w:t>下列场所的室内消火栓给水系统应设置消防水泵接合器：</w:t>
      </w:r>
      <w:r>
        <w:rPr>
          <w:sz w:val="21"/>
        </w:rPr>
        <w:t> </w:t>
      </w:r>
    </w:p>
    <w:p>
      <w:pPr>
        <w:pStyle w:val="BodyText"/>
        <w:spacing w:before="12"/>
        <w:rPr>
          <w:sz w:val="17"/>
        </w:rPr>
      </w:pPr>
    </w:p>
    <w:p>
      <w:pPr>
        <w:pStyle w:val="ListParagraph"/>
        <w:numPr>
          <w:ilvl w:val="0"/>
          <w:numId w:val="718"/>
        </w:numPr>
        <w:tabs>
          <w:tab w:pos="1367" w:val="left" w:leader="none"/>
        </w:tabs>
        <w:spacing w:line="240" w:lineRule="auto" w:before="0" w:after="0"/>
        <w:ind w:left="1367" w:right="0" w:hanging="529"/>
        <w:jc w:val="left"/>
        <w:rPr>
          <w:sz w:val="21"/>
        </w:rPr>
      </w:pPr>
      <w:r>
        <w:rPr>
          <w:spacing w:val="-3"/>
          <w:sz w:val="21"/>
        </w:rPr>
        <w:t>高层民用建筑；</w:t>
      </w:r>
      <w:r>
        <w:rPr>
          <w:sz w:val="21"/>
        </w:rPr>
        <w:t> </w:t>
      </w:r>
    </w:p>
    <w:p>
      <w:pPr>
        <w:pStyle w:val="BodyText"/>
        <w:spacing w:before="2"/>
        <w:rPr>
          <w:sz w:val="18"/>
        </w:rPr>
      </w:pPr>
    </w:p>
    <w:p>
      <w:pPr>
        <w:pStyle w:val="ListParagraph"/>
        <w:numPr>
          <w:ilvl w:val="0"/>
          <w:numId w:val="718"/>
        </w:numPr>
        <w:tabs>
          <w:tab w:pos="1367" w:val="left" w:leader="none"/>
        </w:tabs>
        <w:spacing w:line="240" w:lineRule="auto" w:before="0" w:after="0"/>
        <w:ind w:left="1367" w:right="0" w:hanging="529"/>
        <w:jc w:val="left"/>
        <w:rPr>
          <w:sz w:val="21"/>
        </w:rPr>
      </w:pPr>
      <w:r>
        <w:rPr>
          <w:spacing w:val="-3"/>
          <w:sz w:val="21"/>
        </w:rPr>
        <w:t>设有消防给水的住宅、超过五层的其他多层民用建筑；</w:t>
      </w:r>
      <w:r>
        <w:rPr>
          <w:sz w:val="21"/>
        </w:rPr>
        <w:t> </w:t>
      </w:r>
    </w:p>
    <w:p>
      <w:pPr>
        <w:pStyle w:val="BodyText"/>
        <w:spacing w:before="3"/>
        <w:rPr>
          <w:sz w:val="17"/>
        </w:rPr>
      </w:pPr>
    </w:p>
    <w:p>
      <w:pPr>
        <w:pStyle w:val="ListParagraph"/>
        <w:numPr>
          <w:ilvl w:val="0"/>
          <w:numId w:val="718"/>
        </w:numPr>
        <w:tabs>
          <w:tab w:pos="1367" w:val="left" w:leader="none"/>
        </w:tabs>
        <w:spacing w:line="446" w:lineRule="auto" w:before="0" w:after="0"/>
        <w:ind w:left="418" w:right="1580" w:firstLine="419"/>
        <w:jc w:val="left"/>
        <w:rPr>
          <w:sz w:val="21"/>
        </w:rPr>
      </w:pPr>
      <w:r>
        <w:rPr>
          <w:spacing w:val="-16"/>
          <w:sz w:val="21"/>
        </w:rPr>
        <w:t>超过 </w:t>
      </w:r>
      <w:r>
        <w:rPr>
          <w:sz w:val="21"/>
        </w:rPr>
        <w:t>2</w:t>
      </w:r>
      <w:r>
        <w:rPr>
          <w:spacing w:val="-12"/>
          <w:sz w:val="21"/>
        </w:rPr>
        <w:t> 层或建筑面积大于 </w:t>
      </w:r>
      <w:r>
        <w:rPr>
          <w:sz w:val="21"/>
        </w:rPr>
        <w:t>10000m</w:t>
      </w:r>
      <w:r>
        <w:rPr>
          <w:position w:val="11"/>
          <w:sz w:val="11"/>
        </w:rPr>
        <w:t>2</w:t>
      </w:r>
      <w:r>
        <w:rPr>
          <w:spacing w:val="-24"/>
          <w:position w:val="11"/>
          <w:sz w:val="11"/>
        </w:rPr>
        <w:t> </w:t>
      </w:r>
      <w:r>
        <w:rPr>
          <w:spacing w:val="-3"/>
          <w:sz w:val="21"/>
        </w:rPr>
        <w:t>的地下或半地下建筑</w:t>
      </w:r>
      <w:r>
        <w:rPr>
          <w:sz w:val="21"/>
        </w:rPr>
        <w:t>（</w:t>
      </w:r>
      <w:r>
        <w:rPr>
          <w:spacing w:val="-3"/>
          <w:sz w:val="21"/>
        </w:rPr>
        <w:t>室</w:t>
      </w:r>
      <w:r>
        <w:rPr>
          <w:sz w:val="21"/>
        </w:rPr>
        <w:t>）</w:t>
      </w:r>
      <w:r>
        <w:rPr>
          <w:spacing w:val="-3"/>
          <w:sz w:val="21"/>
        </w:rPr>
        <w:t>、室内消火栓设计流量</w:t>
      </w:r>
      <w:r>
        <w:rPr>
          <w:spacing w:val="-20"/>
          <w:sz w:val="21"/>
        </w:rPr>
        <w:t>大于 </w:t>
      </w:r>
      <w:r>
        <w:rPr>
          <w:sz w:val="21"/>
        </w:rPr>
        <w:t>10L/s</w:t>
      </w:r>
      <w:r>
        <w:rPr>
          <w:spacing w:val="-8"/>
          <w:sz w:val="21"/>
        </w:rPr>
        <w:t> 平战结合的人防工程；</w:t>
      </w:r>
      <w:r>
        <w:rPr>
          <w:sz w:val="21"/>
        </w:rPr>
        <w:t> </w:t>
      </w:r>
    </w:p>
    <w:p>
      <w:pPr>
        <w:pStyle w:val="ListParagraph"/>
        <w:numPr>
          <w:ilvl w:val="0"/>
          <w:numId w:val="718"/>
        </w:numPr>
        <w:tabs>
          <w:tab w:pos="1367" w:val="left" w:leader="none"/>
        </w:tabs>
        <w:spacing w:line="240" w:lineRule="auto" w:before="0" w:after="0"/>
        <w:ind w:left="1367" w:right="0" w:hanging="529"/>
        <w:jc w:val="left"/>
        <w:rPr>
          <w:sz w:val="21"/>
        </w:rPr>
      </w:pPr>
      <w:r>
        <w:rPr>
          <w:spacing w:val="-3"/>
          <w:sz w:val="21"/>
        </w:rPr>
        <w:t>高层工业建筑和超过四层的多层工业建筑；</w:t>
      </w:r>
      <w:r>
        <w:rPr>
          <w:sz w:val="21"/>
        </w:rPr>
        <w:t> </w:t>
      </w:r>
    </w:p>
    <w:p>
      <w:pPr>
        <w:pStyle w:val="BodyText"/>
        <w:spacing w:before="12"/>
        <w:rPr>
          <w:sz w:val="17"/>
        </w:rPr>
      </w:pPr>
    </w:p>
    <w:p>
      <w:pPr>
        <w:pStyle w:val="ListParagraph"/>
        <w:numPr>
          <w:ilvl w:val="0"/>
          <w:numId w:val="718"/>
        </w:numPr>
        <w:tabs>
          <w:tab w:pos="1367" w:val="left" w:leader="none"/>
        </w:tabs>
        <w:spacing w:line="240" w:lineRule="auto" w:before="0" w:after="0"/>
        <w:ind w:left="1367" w:right="0" w:hanging="529"/>
        <w:jc w:val="left"/>
        <w:rPr>
          <w:sz w:val="21"/>
        </w:rPr>
      </w:pPr>
      <w:r>
        <w:rPr>
          <w:spacing w:val="-3"/>
          <w:sz w:val="21"/>
        </w:rPr>
        <w:t>城市交通隧道。</w:t>
      </w:r>
      <w:r>
        <w:rPr>
          <w:sz w:val="21"/>
        </w:rPr>
        <w:t> </w:t>
      </w:r>
    </w:p>
    <w:p>
      <w:pPr>
        <w:pStyle w:val="BodyText"/>
        <w:spacing w:before="12"/>
        <w:rPr>
          <w:sz w:val="17"/>
        </w:rPr>
      </w:pPr>
    </w:p>
    <w:p>
      <w:pPr>
        <w:pStyle w:val="ListParagraph"/>
        <w:numPr>
          <w:ilvl w:val="2"/>
          <w:numId w:val="717"/>
        </w:numPr>
        <w:tabs>
          <w:tab w:pos="1424" w:val="left" w:leader="none"/>
        </w:tabs>
        <w:spacing w:line="446" w:lineRule="auto" w:before="0" w:after="0"/>
        <w:ind w:left="418" w:right="1445" w:firstLine="422"/>
        <w:jc w:val="left"/>
        <w:rPr>
          <w:sz w:val="21"/>
        </w:rPr>
      </w:pPr>
      <w:r>
        <w:rPr>
          <w:spacing w:val="-3"/>
          <w:sz w:val="21"/>
        </w:rPr>
        <w:t>自动喷水灭火系统、水喷雾灭火系统、泡沫灭火系统和固定消防炮灭火系统等水灭火系统，均应设置消防水泵接合器。</w:t>
      </w:r>
      <w:r>
        <w:rPr>
          <w:sz w:val="21"/>
        </w:rPr>
        <w:t> </w:t>
      </w:r>
    </w:p>
    <w:p>
      <w:pPr>
        <w:pStyle w:val="ListParagraph"/>
        <w:numPr>
          <w:ilvl w:val="2"/>
          <w:numId w:val="717"/>
        </w:numPr>
        <w:tabs>
          <w:tab w:pos="1424" w:val="left" w:leader="none"/>
        </w:tabs>
        <w:spacing w:line="446" w:lineRule="auto" w:before="1" w:after="0"/>
        <w:ind w:left="418" w:right="1448" w:firstLine="422"/>
        <w:jc w:val="left"/>
        <w:rPr>
          <w:sz w:val="21"/>
        </w:rPr>
      </w:pPr>
      <w:r>
        <w:rPr>
          <w:spacing w:val="-6"/>
          <w:sz w:val="21"/>
        </w:rPr>
        <w:t>消防水泵接合器的给水流量宜按每个 </w:t>
      </w:r>
      <w:r>
        <w:rPr>
          <w:sz w:val="21"/>
        </w:rPr>
        <w:t>10～15L/s</w:t>
      </w:r>
      <w:r>
        <w:rPr>
          <w:spacing w:val="-8"/>
          <w:sz w:val="21"/>
        </w:rPr>
        <w:t> 计算。每种水灭火系统的消防水泵接</w:t>
      </w:r>
      <w:r>
        <w:rPr>
          <w:spacing w:val="-7"/>
          <w:sz w:val="21"/>
        </w:rPr>
        <w:t>合器设置的数量应按系统设计流量经计算确定，但当计算数量超过 </w:t>
      </w:r>
      <w:r>
        <w:rPr>
          <w:sz w:val="21"/>
        </w:rPr>
        <w:t>3</w:t>
      </w:r>
      <w:r>
        <w:rPr>
          <w:spacing w:val="-8"/>
          <w:sz w:val="21"/>
        </w:rPr>
        <w:t> 个时，可根据供水可靠性 </w:t>
      </w:r>
      <w:r>
        <w:rPr>
          <w:spacing w:val="-6"/>
          <w:sz w:val="21"/>
        </w:rPr>
        <w:t>适当减少；</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17"/>
        </w:numPr>
        <w:tabs>
          <w:tab w:pos="1371" w:val="left" w:leader="none"/>
        </w:tabs>
        <w:spacing w:line="446" w:lineRule="auto" w:before="47" w:after="0"/>
        <w:ind w:left="418" w:right="1604" w:firstLine="422"/>
        <w:jc w:val="left"/>
        <w:rPr>
          <w:sz w:val="21"/>
        </w:rPr>
      </w:pPr>
      <w:r>
        <w:rPr>
          <w:spacing w:val="-3"/>
          <w:sz w:val="21"/>
        </w:rPr>
        <w:t>临时高压消防给水系统向多栋建筑供水时，消防水泵接合器应在每座建筑附近就近设置。</w:t>
      </w:r>
      <w:r>
        <w:rPr>
          <w:sz w:val="21"/>
        </w:rPr>
        <w:t> </w:t>
      </w:r>
    </w:p>
    <w:p>
      <w:pPr>
        <w:pStyle w:val="ListParagraph"/>
        <w:numPr>
          <w:ilvl w:val="2"/>
          <w:numId w:val="717"/>
        </w:numPr>
        <w:tabs>
          <w:tab w:pos="1424" w:val="left" w:leader="none"/>
        </w:tabs>
        <w:spacing w:line="267" w:lineRule="exact" w:before="0" w:after="0"/>
        <w:ind w:left="1423" w:right="0" w:hanging="584"/>
        <w:jc w:val="left"/>
        <w:rPr>
          <w:sz w:val="21"/>
        </w:rPr>
      </w:pPr>
      <w:r>
        <w:rPr>
          <w:spacing w:val="-3"/>
          <w:sz w:val="21"/>
        </w:rPr>
        <w:t>消防水泵接合器的供水范围，应根据当地消防车的供水流量和压力确定。 </w:t>
      </w:r>
    </w:p>
    <w:p>
      <w:pPr>
        <w:pStyle w:val="BodyText"/>
        <w:spacing w:before="2"/>
        <w:rPr>
          <w:sz w:val="18"/>
        </w:rPr>
      </w:pPr>
    </w:p>
    <w:p>
      <w:pPr>
        <w:pStyle w:val="ListParagraph"/>
        <w:numPr>
          <w:ilvl w:val="2"/>
          <w:numId w:val="717"/>
        </w:numPr>
        <w:tabs>
          <w:tab w:pos="1424" w:val="left" w:leader="none"/>
        </w:tabs>
        <w:spacing w:line="446" w:lineRule="auto" w:before="0" w:after="0"/>
        <w:ind w:left="418" w:right="1445" w:firstLine="422"/>
        <w:jc w:val="left"/>
        <w:rPr>
          <w:sz w:val="21"/>
        </w:rPr>
      </w:pPr>
      <w:r>
        <w:rPr>
          <w:spacing w:val="-3"/>
          <w:sz w:val="21"/>
        </w:rPr>
        <w:t>消防给水为竖向分区供水时，在消防车供水压力范围内的分区，应分别设置水泵接合器；当建筑高度超过消防车供水高度时，消防给水应在设备层等方便操作的地点设置手抬泵或 移动泵接力供水的吸水和加压接口。</w:t>
      </w:r>
      <w:r>
        <w:rPr>
          <w:sz w:val="21"/>
        </w:rPr>
        <w:t> </w:t>
      </w:r>
    </w:p>
    <w:p>
      <w:pPr>
        <w:pStyle w:val="ListParagraph"/>
        <w:numPr>
          <w:ilvl w:val="2"/>
          <w:numId w:val="717"/>
        </w:numPr>
        <w:tabs>
          <w:tab w:pos="1424" w:val="left" w:leader="none"/>
        </w:tabs>
        <w:spacing w:line="446" w:lineRule="auto" w:before="0" w:after="0"/>
        <w:ind w:left="418" w:right="1445" w:firstLine="422"/>
        <w:jc w:val="left"/>
        <w:rPr>
          <w:sz w:val="21"/>
        </w:rPr>
      </w:pPr>
      <w:r>
        <w:rPr>
          <w:spacing w:val="-3"/>
          <w:sz w:val="21"/>
        </w:rPr>
        <w:t>水泵接合器应设在室外便于消防车使用的地点，且距室外消火栓或消防水池的距离不</w:t>
      </w:r>
      <w:r>
        <w:rPr>
          <w:spacing w:val="-15"/>
          <w:sz w:val="21"/>
        </w:rPr>
        <w:t>宜小于 </w:t>
      </w:r>
      <w:r>
        <w:rPr>
          <w:sz w:val="21"/>
        </w:rPr>
        <w:t>15m</w:t>
      </w:r>
      <w:r>
        <w:rPr>
          <w:spacing w:val="-11"/>
          <w:sz w:val="21"/>
        </w:rPr>
        <w:t>，并不宜大于 </w:t>
      </w:r>
      <w:r>
        <w:rPr>
          <w:sz w:val="21"/>
        </w:rPr>
        <w:t>40m</w:t>
      </w:r>
      <w:r>
        <w:rPr>
          <w:spacing w:val="-3"/>
          <w:sz w:val="21"/>
        </w:rPr>
        <w:t>。</w:t>
      </w:r>
      <w:r>
        <w:rPr>
          <w:sz w:val="21"/>
        </w:rPr>
        <w:t> </w:t>
      </w:r>
    </w:p>
    <w:p>
      <w:pPr>
        <w:pStyle w:val="ListParagraph"/>
        <w:numPr>
          <w:ilvl w:val="2"/>
          <w:numId w:val="717"/>
        </w:numPr>
        <w:tabs>
          <w:tab w:pos="1424" w:val="left" w:leader="none"/>
        </w:tabs>
        <w:spacing w:line="446" w:lineRule="auto" w:before="0" w:after="0"/>
        <w:ind w:left="418" w:right="1503" w:firstLine="422"/>
        <w:jc w:val="both"/>
        <w:rPr>
          <w:sz w:val="21"/>
        </w:rPr>
      </w:pPr>
      <w:r>
        <w:rPr>
          <w:spacing w:val="-5"/>
          <w:sz w:val="21"/>
        </w:rPr>
        <w:t>墙壁消防水泵接合器的安装高度距地面宜为 </w:t>
      </w:r>
      <w:r>
        <w:rPr>
          <w:sz w:val="21"/>
        </w:rPr>
        <w:t>0.70m</w:t>
      </w:r>
      <w:r>
        <w:rPr>
          <w:spacing w:val="-3"/>
          <w:sz w:val="21"/>
        </w:rPr>
        <w:t>；与墙面上的门、窗、孔、洞的净</w:t>
      </w:r>
      <w:r>
        <w:rPr>
          <w:spacing w:val="-8"/>
          <w:sz w:val="21"/>
        </w:rPr>
        <w:t>距离不应小于 </w:t>
      </w:r>
      <w:r>
        <w:rPr>
          <w:sz w:val="21"/>
        </w:rPr>
        <w:t>2.0m</w:t>
      </w:r>
      <w:r>
        <w:rPr>
          <w:spacing w:val="-3"/>
          <w:sz w:val="21"/>
        </w:rPr>
        <w:t>，且不应安装在玻璃幕墙下方；地下消防水泵接合器的安装，应使进水口与井盖底面的距离不大于 </w:t>
      </w:r>
      <w:r>
        <w:rPr>
          <w:sz w:val="21"/>
        </w:rPr>
        <w:t>0.4m</w:t>
      </w:r>
      <w:r>
        <w:rPr>
          <w:spacing w:val="-3"/>
          <w:sz w:val="21"/>
        </w:rPr>
        <w:t>，且不应小于井盖的半径。</w:t>
      </w:r>
      <w:r>
        <w:rPr>
          <w:sz w:val="21"/>
        </w:rPr>
        <w:t> </w:t>
      </w:r>
    </w:p>
    <w:p>
      <w:pPr>
        <w:pStyle w:val="ListParagraph"/>
        <w:numPr>
          <w:ilvl w:val="2"/>
          <w:numId w:val="717"/>
        </w:numPr>
        <w:tabs>
          <w:tab w:pos="1424" w:val="left" w:leader="none"/>
        </w:tabs>
        <w:spacing w:line="446" w:lineRule="auto" w:before="0" w:after="0"/>
        <w:ind w:left="840" w:right="1553" w:firstLine="0"/>
        <w:jc w:val="both"/>
        <w:rPr>
          <w:sz w:val="21"/>
        </w:rPr>
      </w:pPr>
      <w:r>
        <w:rPr>
          <w:spacing w:val="-3"/>
          <w:sz w:val="21"/>
        </w:rPr>
        <w:t>水泵接合器处应设置永久性标志铭牌，并应标明供水系统、供水范围和额定压力。</w:t>
      </w:r>
      <w:r>
        <w:rPr>
          <w:b/>
          <w:sz w:val="21"/>
        </w:rPr>
        <w:t>5.5</w:t>
      </w:r>
      <w:r>
        <w:rPr>
          <w:b/>
          <w:spacing w:val="1"/>
          <w:sz w:val="21"/>
        </w:rPr>
        <w:t> </w:t>
      </w:r>
      <w:r>
        <w:rPr>
          <w:spacing w:val="-3"/>
          <w:sz w:val="21"/>
        </w:rPr>
        <w:t>消防水泵房</w:t>
      </w:r>
      <w:r>
        <w:rPr>
          <w:sz w:val="21"/>
        </w:rPr>
        <w:t> </w:t>
      </w:r>
    </w:p>
    <w:p>
      <w:pPr>
        <w:spacing w:before="0"/>
        <w:ind w:left="840" w:right="0" w:firstLine="0"/>
        <w:jc w:val="both"/>
        <w:rPr>
          <w:sz w:val="21"/>
        </w:rPr>
      </w:pPr>
      <w:r>
        <w:rPr>
          <w:b/>
          <w:sz w:val="21"/>
        </w:rPr>
        <w:t>5.5.1</w:t>
      </w:r>
      <w:r>
        <w:rPr>
          <w:b/>
          <w:spacing w:val="-51"/>
          <w:sz w:val="21"/>
        </w:rPr>
        <w:t> </w:t>
      </w:r>
      <w:r>
        <w:rPr>
          <w:spacing w:val="-3"/>
          <w:sz w:val="21"/>
        </w:rPr>
        <w:t>消防水泵房应设置起重设施，并应符合下列规定：</w:t>
      </w:r>
      <w:r>
        <w:rPr>
          <w:sz w:val="21"/>
        </w:rPr>
        <w:t> </w:t>
      </w:r>
    </w:p>
    <w:p>
      <w:pPr>
        <w:pStyle w:val="BodyText"/>
        <w:spacing w:before="8"/>
        <w:rPr>
          <w:sz w:val="17"/>
        </w:rPr>
      </w:pPr>
    </w:p>
    <w:p>
      <w:pPr>
        <w:pStyle w:val="ListParagraph"/>
        <w:numPr>
          <w:ilvl w:val="0"/>
          <w:numId w:val="719"/>
        </w:numPr>
        <w:tabs>
          <w:tab w:pos="1367" w:val="left" w:leader="none"/>
        </w:tabs>
        <w:spacing w:line="240" w:lineRule="auto" w:before="0" w:after="0"/>
        <w:ind w:left="1367" w:right="0" w:hanging="529"/>
        <w:jc w:val="left"/>
        <w:rPr>
          <w:sz w:val="21"/>
        </w:rPr>
      </w:pPr>
      <w:r>
        <w:rPr>
          <w:spacing w:val="-8"/>
          <w:sz w:val="21"/>
        </w:rPr>
        <w:t>消防水泵的重量小于 </w:t>
      </w:r>
      <w:r>
        <w:rPr>
          <w:sz w:val="21"/>
        </w:rPr>
        <w:t>0.5t</w:t>
      </w:r>
      <w:r>
        <w:rPr>
          <w:spacing w:val="-9"/>
          <w:sz w:val="21"/>
        </w:rPr>
        <w:t> 时，宜设置固定吊钩或移动吊架；</w:t>
      </w:r>
      <w:r>
        <w:rPr>
          <w:sz w:val="21"/>
        </w:rPr>
        <w:t> </w:t>
      </w:r>
    </w:p>
    <w:p>
      <w:pPr>
        <w:pStyle w:val="BodyText"/>
        <w:spacing w:before="2"/>
        <w:rPr>
          <w:sz w:val="18"/>
        </w:rPr>
      </w:pPr>
    </w:p>
    <w:p>
      <w:pPr>
        <w:pStyle w:val="ListParagraph"/>
        <w:numPr>
          <w:ilvl w:val="0"/>
          <w:numId w:val="719"/>
        </w:numPr>
        <w:tabs>
          <w:tab w:pos="1367" w:val="left" w:leader="none"/>
        </w:tabs>
        <w:spacing w:line="240" w:lineRule="auto" w:before="0" w:after="0"/>
        <w:ind w:left="1367" w:right="0" w:hanging="529"/>
        <w:jc w:val="left"/>
        <w:rPr>
          <w:sz w:val="21"/>
        </w:rPr>
      </w:pPr>
      <w:r>
        <w:rPr>
          <w:spacing w:val="-9"/>
          <w:sz w:val="21"/>
        </w:rPr>
        <w:t>消防水泵的重量为 </w:t>
      </w:r>
      <w:r>
        <w:rPr>
          <w:sz w:val="21"/>
        </w:rPr>
        <w:t>0.5～3t</w:t>
      </w:r>
      <w:r>
        <w:rPr>
          <w:spacing w:val="-9"/>
          <w:sz w:val="21"/>
        </w:rPr>
        <w:t> 时，宜设置手动起重设备；</w:t>
      </w:r>
      <w:r>
        <w:rPr>
          <w:sz w:val="21"/>
        </w:rPr>
        <w:t> </w:t>
      </w:r>
    </w:p>
    <w:p>
      <w:pPr>
        <w:pStyle w:val="BodyText"/>
        <w:spacing w:before="12"/>
        <w:rPr>
          <w:sz w:val="17"/>
        </w:rPr>
      </w:pPr>
    </w:p>
    <w:p>
      <w:pPr>
        <w:pStyle w:val="ListParagraph"/>
        <w:numPr>
          <w:ilvl w:val="0"/>
          <w:numId w:val="719"/>
        </w:numPr>
        <w:tabs>
          <w:tab w:pos="1367" w:val="left" w:leader="none"/>
        </w:tabs>
        <w:spacing w:line="446" w:lineRule="auto" w:before="0" w:after="0"/>
        <w:ind w:left="840" w:right="4448" w:hanging="3"/>
        <w:jc w:val="left"/>
        <w:rPr>
          <w:sz w:val="21"/>
        </w:rPr>
      </w:pPr>
      <w:r>
        <w:rPr>
          <w:spacing w:val="-8"/>
          <w:sz w:val="21"/>
        </w:rPr>
        <w:t>消防水泵的重量大于 </w:t>
      </w:r>
      <w:r>
        <w:rPr>
          <w:sz w:val="21"/>
        </w:rPr>
        <w:t>3t</w:t>
      </w:r>
      <w:r>
        <w:rPr>
          <w:spacing w:val="-8"/>
          <w:sz w:val="21"/>
        </w:rPr>
        <w:t> 时，应设置电动起重设备。</w:t>
      </w:r>
      <w:r>
        <w:rPr>
          <w:b/>
          <w:sz w:val="21"/>
        </w:rPr>
        <w:t>5.5.2</w:t>
      </w:r>
      <w:r>
        <w:rPr>
          <w:b/>
          <w:spacing w:val="3"/>
          <w:sz w:val="21"/>
        </w:rPr>
        <w:t> </w:t>
      </w:r>
      <w:r>
        <w:rPr>
          <w:spacing w:val="-3"/>
          <w:sz w:val="21"/>
        </w:rPr>
        <w:t>消防水泵机组的布置应符合下列规定：</w:t>
      </w:r>
      <w:r>
        <w:rPr>
          <w:sz w:val="21"/>
        </w:rPr>
        <w:t> </w:t>
      </w:r>
    </w:p>
    <w:p>
      <w:pPr>
        <w:pStyle w:val="ListParagraph"/>
        <w:numPr>
          <w:ilvl w:val="0"/>
          <w:numId w:val="720"/>
        </w:numPr>
        <w:tabs>
          <w:tab w:pos="1367" w:val="left" w:leader="none"/>
        </w:tabs>
        <w:spacing w:line="446" w:lineRule="auto" w:before="0" w:after="0"/>
        <w:ind w:left="418" w:right="1457" w:firstLine="419"/>
        <w:jc w:val="left"/>
        <w:rPr>
          <w:sz w:val="21"/>
        </w:rPr>
      </w:pPr>
      <w:r>
        <w:rPr>
          <w:spacing w:val="-5"/>
          <w:sz w:val="21"/>
        </w:rPr>
        <w:t>相邻两个机组及机组至墙壁间的净距，当电机容量小于 </w:t>
      </w:r>
      <w:r>
        <w:rPr>
          <w:sz w:val="21"/>
        </w:rPr>
        <w:t>22kW</w:t>
      </w:r>
      <w:r>
        <w:rPr>
          <w:spacing w:val="-14"/>
          <w:sz w:val="21"/>
        </w:rPr>
        <w:t> 时，不宜小于 </w:t>
      </w:r>
      <w:r>
        <w:rPr>
          <w:sz w:val="21"/>
        </w:rPr>
        <w:t>0.60m</w:t>
      </w:r>
      <w:r>
        <w:rPr>
          <w:spacing w:val="-2"/>
          <w:sz w:val="21"/>
        </w:rPr>
        <w:t>；当</w:t>
      </w:r>
      <w:r>
        <w:rPr>
          <w:spacing w:val="-9"/>
          <w:sz w:val="21"/>
        </w:rPr>
        <w:t>电动机容量不小于 </w:t>
      </w:r>
      <w:r>
        <w:rPr>
          <w:sz w:val="21"/>
        </w:rPr>
        <w:t>22kW</w:t>
      </w:r>
      <w:r>
        <w:rPr>
          <w:spacing w:val="-10"/>
          <w:sz w:val="21"/>
        </w:rPr>
        <w:t>，且不大于 </w:t>
      </w:r>
      <w:r>
        <w:rPr>
          <w:sz w:val="21"/>
        </w:rPr>
        <w:t>55kW</w:t>
      </w:r>
      <w:r>
        <w:rPr>
          <w:spacing w:val="-16"/>
          <w:sz w:val="21"/>
        </w:rPr>
        <w:t> 时，不宜小于 </w:t>
      </w:r>
      <w:r>
        <w:rPr>
          <w:sz w:val="21"/>
        </w:rPr>
        <w:t>0.8m</w:t>
      </w:r>
      <w:r>
        <w:rPr>
          <w:spacing w:val="-8"/>
          <w:sz w:val="21"/>
        </w:rPr>
        <w:t>；当电动机容量大于 </w:t>
      </w:r>
      <w:r>
        <w:rPr>
          <w:sz w:val="21"/>
        </w:rPr>
        <w:t>55kW</w:t>
      </w:r>
      <w:r>
        <w:rPr>
          <w:spacing w:val="-14"/>
          <w:sz w:val="21"/>
        </w:rPr>
        <w:t> 且小于255kW</w:t>
      </w:r>
      <w:r>
        <w:rPr>
          <w:spacing w:val="-16"/>
          <w:sz w:val="21"/>
        </w:rPr>
        <w:t> 时，不宜小于 </w:t>
      </w:r>
      <w:r>
        <w:rPr>
          <w:sz w:val="21"/>
        </w:rPr>
        <w:t>1.2m</w:t>
      </w:r>
      <w:r>
        <w:rPr>
          <w:spacing w:val="-8"/>
          <w:sz w:val="21"/>
        </w:rPr>
        <w:t>；当电动机容量大于 </w:t>
      </w:r>
      <w:r>
        <w:rPr>
          <w:sz w:val="21"/>
        </w:rPr>
        <w:t>255kW</w:t>
      </w:r>
      <w:r>
        <w:rPr>
          <w:spacing w:val="-16"/>
          <w:sz w:val="21"/>
        </w:rPr>
        <w:t> 时，不宜小于 </w:t>
      </w:r>
      <w:r>
        <w:rPr>
          <w:sz w:val="21"/>
        </w:rPr>
        <w:t>1.5m； </w:t>
      </w:r>
    </w:p>
    <w:p>
      <w:pPr>
        <w:pStyle w:val="ListParagraph"/>
        <w:numPr>
          <w:ilvl w:val="0"/>
          <w:numId w:val="720"/>
        </w:numPr>
        <w:tabs>
          <w:tab w:pos="1367" w:val="left" w:leader="none"/>
        </w:tabs>
        <w:spacing w:line="446" w:lineRule="auto" w:before="0" w:after="0"/>
        <w:ind w:left="418" w:right="1822" w:firstLine="419"/>
        <w:jc w:val="left"/>
        <w:rPr>
          <w:sz w:val="21"/>
        </w:rPr>
      </w:pPr>
      <w:r>
        <w:rPr>
          <w:spacing w:val="-5"/>
          <w:sz w:val="21"/>
        </w:rPr>
        <w:t>当消防水泵就地检修时，应至少在每个机组一侧设消防水泵机组宽度加 </w:t>
      </w:r>
      <w:r>
        <w:rPr>
          <w:sz w:val="21"/>
        </w:rPr>
        <w:t>0.5m</w:t>
      </w:r>
      <w:r>
        <w:rPr>
          <w:spacing w:val="-13"/>
          <w:sz w:val="21"/>
        </w:rPr>
        <w:t> 的通</w:t>
      </w:r>
      <w:r>
        <w:rPr>
          <w:spacing w:val="-6"/>
          <w:sz w:val="21"/>
        </w:rPr>
        <w:t>道，并应保证消防水泵轴和电动机转子在检修时能拆卸；</w:t>
      </w:r>
      <w:r>
        <w:rPr>
          <w:sz w:val="21"/>
        </w:rPr>
        <w:t> </w:t>
      </w:r>
    </w:p>
    <w:p>
      <w:pPr>
        <w:pStyle w:val="ListParagraph"/>
        <w:numPr>
          <w:ilvl w:val="0"/>
          <w:numId w:val="720"/>
        </w:numPr>
        <w:tabs>
          <w:tab w:pos="1367" w:val="left" w:leader="none"/>
        </w:tabs>
        <w:spacing w:line="267" w:lineRule="exact" w:before="0" w:after="0"/>
        <w:ind w:left="1367" w:right="0" w:hanging="529"/>
        <w:jc w:val="left"/>
        <w:rPr>
          <w:sz w:val="21"/>
        </w:rPr>
      </w:pPr>
      <w:r>
        <w:rPr>
          <w:spacing w:val="-6"/>
          <w:sz w:val="21"/>
        </w:rPr>
        <w:t>消防水泵房的主要通道宽度不应小于 </w:t>
      </w:r>
      <w:r>
        <w:rPr>
          <w:sz w:val="21"/>
        </w:rPr>
        <w:t>1.2m</w:t>
      </w:r>
      <w:r>
        <w:rPr>
          <w:spacing w:val="-3"/>
          <w:sz w:val="21"/>
        </w:rPr>
        <w:t>。</w:t>
      </w:r>
      <w:r>
        <w:rPr>
          <w:sz w:val="21"/>
        </w:rPr>
        <w:t> </w:t>
      </w:r>
    </w:p>
    <w:p>
      <w:pPr>
        <w:pStyle w:val="BodyText"/>
        <w:spacing w:before="1"/>
        <w:rPr>
          <w:sz w:val="18"/>
        </w:rPr>
      </w:pPr>
    </w:p>
    <w:p>
      <w:pPr>
        <w:pStyle w:val="ListParagraph"/>
        <w:numPr>
          <w:ilvl w:val="2"/>
          <w:numId w:val="721"/>
        </w:numPr>
        <w:tabs>
          <w:tab w:pos="1424" w:val="left" w:leader="none"/>
        </w:tabs>
        <w:spacing w:line="446" w:lineRule="auto" w:before="0" w:after="0"/>
        <w:ind w:left="418" w:right="1604" w:firstLine="422"/>
        <w:jc w:val="left"/>
        <w:rPr>
          <w:sz w:val="21"/>
        </w:rPr>
      </w:pPr>
      <w:r>
        <w:rPr>
          <w:spacing w:val="-5"/>
          <w:sz w:val="21"/>
        </w:rPr>
        <w:t>当采用柴油机消防水泵时，机组间的净距宜按本规范第 </w:t>
      </w:r>
      <w:r>
        <w:rPr>
          <w:sz w:val="21"/>
        </w:rPr>
        <w:t>5.5.2</w:t>
      </w:r>
      <w:r>
        <w:rPr>
          <w:spacing w:val="-13"/>
          <w:sz w:val="21"/>
        </w:rPr>
        <w:t> 条规定值增加 </w:t>
      </w:r>
      <w:r>
        <w:rPr>
          <w:sz w:val="21"/>
        </w:rPr>
        <w:t>0.2m， </w:t>
      </w:r>
      <w:r>
        <w:rPr>
          <w:spacing w:val="-11"/>
          <w:sz w:val="21"/>
        </w:rPr>
        <w:t>但不应小于 </w:t>
      </w:r>
      <w:r>
        <w:rPr>
          <w:sz w:val="21"/>
        </w:rPr>
        <w:t>1.2m</w:t>
      </w:r>
      <w:r>
        <w:rPr>
          <w:spacing w:val="-3"/>
          <w:sz w:val="21"/>
        </w:rPr>
        <w:t>。</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21"/>
        </w:numPr>
        <w:tabs>
          <w:tab w:pos="1424" w:val="left" w:leader="none"/>
        </w:tabs>
        <w:spacing w:line="446" w:lineRule="auto" w:before="47" w:after="0"/>
        <w:ind w:left="418" w:right="1445" w:firstLine="422"/>
        <w:jc w:val="both"/>
        <w:rPr>
          <w:sz w:val="21"/>
        </w:rPr>
      </w:pPr>
      <w:r>
        <w:rPr>
          <w:spacing w:val="-3"/>
          <w:sz w:val="21"/>
        </w:rPr>
        <w:t>当消防水泵房内设有集中检修场地时，其面积应根据水泵或电动机外形尺寸确定，并</w:t>
      </w:r>
      <w:r>
        <w:rPr>
          <w:spacing w:val="-7"/>
          <w:sz w:val="21"/>
        </w:rPr>
        <w:t>应在周围留有宽度不小于 </w:t>
      </w:r>
      <w:r>
        <w:rPr>
          <w:sz w:val="21"/>
        </w:rPr>
        <w:t>0.7m</w:t>
      </w:r>
      <w:r>
        <w:rPr>
          <w:spacing w:val="-8"/>
          <w:sz w:val="21"/>
        </w:rPr>
        <w:t> 的通道。地下式泵房宜利用空间设集中检修场地。对于装有深井</w:t>
      </w:r>
      <w:r>
        <w:rPr>
          <w:spacing w:val="-5"/>
          <w:sz w:val="21"/>
        </w:rPr>
        <w:t>水泵的湿式竖井泵房，还应设堆放泵管的场地。</w:t>
      </w:r>
      <w:r>
        <w:rPr>
          <w:sz w:val="21"/>
        </w:rPr>
        <w:t> </w:t>
      </w:r>
    </w:p>
    <w:p>
      <w:pPr>
        <w:pStyle w:val="ListParagraph"/>
        <w:numPr>
          <w:ilvl w:val="2"/>
          <w:numId w:val="721"/>
        </w:numPr>
        <w:tabs>
          <w:tab w:pos="1424" w:val="left" w:leader="none"/>
        </w:tabs>
        <w:spacing w:line="446" w:lineRule="auto" w:before="0" w:after="0"/>
        <w:ind w:left="418" w:right="1445" w:firstLine="422"/>
        <w:jc w:val="both"/>
        <w:rPr>
          <w:sz w:val="21"/>
        </w:rPr>
      </w:pPr>
      <w:r>
        <w:rPr>
          <w:spacing w:val="-3"/>
          <w:sz w:val="21"/>
        </w:rPr>
        <w:t>消防水泵房内的架空水管道，不应阻碍通道和跨越电气设备，当必须跨越时，应采取保证通道畅通和保护电气设备的措施。</w:t>
      </w:r>
      <w:r>
        <w:rPr>
          <w:sz w:val="21"/>
        </w:rPr>
        <w:t> </w:t>
      </w:r>
    </w:p>
    <w:p>
      <w:pPr>
        <w:pStyle w:val="ListParagraph"/>
        <w:numPr>
          <w:ilvl w:val="2"/>
          <w:numId w:val="721"/>
        </w:numPr>
        <w:tabs>
          <w:tab w:pos="1424" w:val="left" w:leader="none"/>
        </w:tabs>
        <w:spacing w:line="446" w:lineRule="auto" w:before="0" w:after="0"/>
        <w:ind w:left="418" w:right="1445" w:firstLine="422"/>
        <w:jc w:val="both"/>
        <w:rPr>
          <w:sz w:val="21"/>
        </w:rPr>
      </w:pPr>
      <w:r>
        <w:rPr>
          <w:spacing w:val="-3"/>
          <w:sz w:val="21"/>
        </w:rPr>
        <w:t>独立的消防水泵房地面层的地坪至屋盖或天花板等的突出构件底部间的净高，除应按通风采光等条件确定外，且应符合下列规定：</w:t>
      </w:r>
      <w:r>
        <w:rPr>
          <w:sz w:val="21"/>
        </w:rPr>
        <w:t> </w:t>
      </w:r>
    </w:p>
    <w:p>
      <w:pPr>
        <w:pStyle w:val="ListParagraph"/>
        <w:numPr>
          <w:ilvl w:val="0"/>
          <w:numId w:val="722"/>
        </w:numPr>
        <w:tabs>
          <w:tab w:pos="1367" w:val="left" w:leader="none"/>
        </w:tabs>
        <w:spacing w:line="240" w:lineRule="auto" w:before="0" w:after="0"/>
        <w:ind w:left="1367" w:right="0" w:hanging="529"/>
        <w:jc w:val="left"/>
        <w:rPr>
          <w:sz w:val="21"/>
        </w:rPr>
      </w:pPr>
      <w:r>
        <w:rPr>
          <w:spacing w:val="-6"/>
          <w:sz w:val="21"/>
        </w:rPr>
        <w:t>当采用固定吊钩或移动吊架时，其值不应小于 </w:t>
      </w:r>
      <w:r>
        <w:rPr>
          <w:sz w:val="21"/>
        </w:rPr>
        <w:t>3.0m； </w:t>
      </w:r>
    </w:p>
    <w:p>
      <w:pPr>
        <w:pStyle w:val="BodyText"/>
        <w:spacing w:before="9"/>
        <w:rPr>
          <w:sz w:val="17"/>
        </w:rPr>
      </w:pPr>
    </w:p>
    <w:p>
      <w:pPr>
        <w:pStyle w:val="ListParagraph"/>
        <w:numPr>
          <w:ilvl w:val="0"/>
          <w:numId w:val="722"/>
        </w:numPr>
        <w:tabs>
          <w:tab w:pos="1367" w:val="left" w:leader="none"/>
        </w:tabs>
        <w:spacing w:line="446" w:lineRule="auto" w:before="1" w:after="0"/>
        <w:ind w:left="418" w:right="1507" w:firstLine="419"/>
        <w:jc w:val="left"/>
        <w:rPr>
          <w:sz w:val="21"/>
        </w:rPr>
      </w:pPr>
      <w:r>
        <w:rPr>
          <w:spacing w:val="-5"/>
          <w:sz w:val="21"/>
        </w:rPr>
        <w:t>当采用单轨起重机时，应保持吊起物底部与吊运所越过物体顶部之间有 </w:t>
      </w:r>
      <w:r>
        <w:rPr>
          <w:sz w:val="21"/>
        </w:rPr>
        <w:t>0.50m</w:t>
      </w:r>
      <w:r>
        <w:rPr>
          <w:spacing w:val="-11"/>
          <w:sz w:val="21"/>
        </w:rPr>
        <w:t> 以上的</w:t>
      </w:r>
      <w:r>
        <w:rPr>
          <w:spacing w:val="-9"/>
          <w:sz w:val="21"/>
        </w:rPr>
        <w:t>净距；</w:t>
      </w:r>
      <w:r>
        <w:rPr>
          <w:sz w:val="21"/>
        </w:rPr>
        <w:t> </w:t>
      </w:r>
    </w:p>
    <w:p>
      <w:pPr>
        <w:pStyle w:val="ListParagraph"/>
        <w:numPr>
          <w:ilvl w:val="0"/>
          <w:numId w:val="722"/>
        </w:numPr>
        <w:tabs>
          <w:tab w:pos="1367" w:val="left" w:leader="none"/>
        </w:tabs>
        <w:spacing w:line="446" w:lineRule="auto" w:before="0" w:after="0"/>
        <w:ind w:left="418" w:right="1505" w:firstLine="419"/>
        <w:jc w:val="left"/>
        <w:rPr>
          <w:sz w:val="21"/>
        </w:rPr>
      </w:pPr>
      <w:r>
        <w:rPr>
          <w:spacing w:val="-5"/>
          <w:sz w:val="21"/>
        </w:rPr>
        <w:t>当采用桁架式起重机时，除应符合本条第 </w:t>
      </w:r>
      <w:r>
        <w:rPr>
          <w:sz w:val="21"/>
        </w:rPr>
        <w:t>2</w:t>
      </w:r>
      <w:r>
        <w:rPr>
          <w:spacing w:val="-7"/>
          <w:sz w:val="21"/>
        </w:rPr>
        <w:t> 款的规定外，还应另外增加起重机安装和</w:t>
      </w:r>
      <w:r>
        <w:rPr>
          <w:spacing w:val="-5"/>
          <w:sz w:val="21"/>
        </w:rPr>
        <w:t>检修空间的高度。</w:t>
      </w:r>
      <w:r>
        <w:rPr>
          <w:sz w:val="21"/>
        </w:rPr>
        <w:t> </w:t>
      </w:r>
    </w:p>
    <w:p>
      <w:pPr>
        <w:pStyle w:val="ListParagraph"/>
        <w:numPr>
          <w:ilvl w:val="2"/>
          <w:numId w:val="721"/>
        </w:numPr>
        <w:tabs>
          <w:tab w:pos="1424" w:val="left" w:leader="none"/>
        </w:tabs>
        <w:spacing w:line="446" w:lineRule="auto" w:before="0" w:after="0"/>
        <w:ind w:left="418" w:right="1445" w:firstLine="422"/>
        <w:jc w:val="left"/>
        <w:rPr>
          <w:sz w:val="21"/>
        </w:rPr>
      </w:pPr>
      <w:r>
        <w:rPr>
          <w:spacing w:val="-3"/>
          <w:sz w:val="21"/>
        </w:rPr>
        <w:t>当采用轴流深井水泵时，水泵房净高应按消防水泵吊装和维修的要求确定，当高度过高时，应根据水泵传动轴长度产品规格选择较短规格的产品。</w:t>
      </w:r>
      <w:r>
        <w:rPr>
          <w:sz w:val="21"/>
        </w:rPr>
        <w:t> </w:t>
      </w:r>
    </w:p>
    <w:p>
      <w:pPr>
        <w:pStyle w:val="ListParagraph"/>
        <w:numPr>
          <w:ilvl w:val="2"/>
          <w:numId w:val="721"/>
        </w:numPr>
        <w:tabs>
          <w:tab w:pos="1424" w:val="left" w:leader="none"/>
        </w:tabs>
        <w:spacing w:line="267" w:lineRule="exact" w:before="0" w:after="0"/>
        <w:ind w:left="1423" w:right="0" w:hanging="584"/>
        <w:jc w:val="left"/>
        <w:rPr>
          <w:sz w:val="21"/>
        </w:rPr>
      </w:pPr>
      <w:r>
        <w:rPr>
          <w:spacing w:val="-3"/>
          <w:sz w:val="21"/>
        </w:rPr>
        <w:t>消防水泵房应至少有一个可以搬运最大设备的门。</w:t>
      </w:r>
      <w:r>
        <w:rPr>
          <w:sz w:val="21"/>
        </w:rPr>
        <w:t> </w:t>
      </w:r>
    </w:p>
    <w:p>
      <w:pPr>
        <w:pStyle w:val="BodyText"/>
        <w:spacing w:before="1"/>
        <w:rPr>
          <w:sz w:val="18"/>
        </w:rPr>
      </w:pPr>
    </w:p>
    <w:p>
      <w:pPr>
        <w:pStyle w:val="ListParagraph"/>
        <w:numPr>
          <w:ilvl w:val="2"/>
          <w:numId w:val="721"/>
        </w:numPr>
        <w:tabs>
          <w:tab w:pos="1424" w:val="left" w:leader="none"/>
        </w:tabs>
        <w:spacing w:line="446" w:lineRule="auto" w:before="0" w:after="0"/>
        <w:ind w:left="418" w:right="1445" w:firstLine="422"/>
        <w:jc w:val="left"/>
        <w:rPr>
          <w:sz w:val="21"/>
        </w:rPr>
      </w:pPr>
      <w:r>
        <w:rPr>
          <w:spacing w:val="-3"/>
          <w:sz w:val="21"/>
        </w:rPr>
        <w:t>消防水泵房的设计应根据具体情况设计相应的采暖、通风和排水设施，并应符合下列规定：</w:t>
      </w:r>
      <w:r>
        <w:rPr>
          <w:sz w:val="21"/>
        </w:rPr>
        <w:t> </w:t>
      </w:r>
    </w:p>
    <w:p>
      <w:pPr>
        <w:pStyle w:val="ListParagraph"/>
        <w:numPr>
          <w:ilvl w:val="0"/>
          <w:numId w:val="723"/>
        </w:numPr>
        <w:tabs>
          <w:tab w:pos="1367" w:val="left" w:leader="none"/>
        </w:tabs>
        <w:spacing w:line="267" w:lineRule="exact" w:before="0" w:after="0"/>
        <w:ind w:left="1367" w:right="0" w:hanging="529"/>
        <w:jc w:val="left"/>
        <w:rPr>
          <w:sz w:val="21"/>
        </w:rPr>
      </w:pPr>
      <w:r>
        <w:rPr>
          <w:spacing w:val="-6"/>
          <w:sz w:val="21"/>
        </w:rPr>
        <w:t>严寒、寒冷等冬季结冰地区采暖温度不应低于 </w:t>
      </w:r>
      <w:r>
        <w:rPr>
          <w:sz w:val="21"/>
        </w:rPr>
        <w:t>10℃</w:t>
      </w:r>
      <w:r>
        <w:rPr>
          <w:spacing w:val="-7"/>
          <w:sz w:val="21"/>
        </w:rPr>
        <w:t>，但当无人值守时不应低于 </w:t>
      </w:r>
      <w:r>
        <w:rPr>
          <w:sz w:val="21"/>
        </w:rPr>
        <w:t>5℃； </w:t>
      </w:r>
    </w:p>
    <w:p>
      <w:pPr>
        <w:pStyle w:val="BodyText"/>
        <w:spacing w:before="2"/>
        <w:rPr>
          <w:sz w:val="18"/>
        </w:rPr>
      </w:pPr>
    </w:p>
    <w:p>
      <w:pPr>
        <w:pStyle w:val="ListParagraph"/>
        <w:numPr>
          <w:ilvl w:val="0"/>
          <w:numId w:val="723"/>
        </w:numPr>
        <w:tabs>
          <w:tab w:pos="1367" w:val="left" w:leader="none"/>
        </w:tabs>
        <w:spacing w:line="240" w:lineRule="auto" w:before="0" w:after="0"/>
        <w:ind w:left="1367" w:right="0" w:hanging="529"/>
        <w:jc w:val="left"/>
        <w:rPr>
          <w:sz w:val="21"/>
        </w:rPr>
      </w:pPr>
      <w:r>
        <w:rPr>
          <w:spacing w:val="-8"/>
          <w:sz w:val="21"/>
        </w:rPr>
        <w:t>消防水泵房的通风宜按 </w:t>
      </w:r>
      <w:r>
        <w:rPr>
          <w:sz w:val="21"/>
        </w:rPr>
        <w:t>6</w:t>
      </w:r>
      <w:r>
        <w:rPr>
          <w:spacing w:val="-28"/>
          <w:sz w:val="21"/>
        </w:rPr>
        <w:t> 次</w:t>
      </w:r>
      <w:r>
        <w:rPr>
          <w:sz w:val="21"/>
        </w:rPr>
        <w:t>/h</w:t>
      </w:r>
      <w:r>
        <w:rPr>
          <w:spacing w:val="-16"/>
          <w:sz w:val="21"/>
        </w:rPr>
        <w:t> 设计；</w:t>
      </w:r>
      <w:r>
        <w:rPr>
          <w:sz w:val="21"/>
        </w:rPr>
        <w:t> </w:t>
      </w:r>
    </w:p>
    <w:p>
      <w:pPr>
        <w:pStyle w:val="BodyText"/>
        <w:rPr>
          <w:sz w:val="18"/>
        </w:rPr>
      </w:pPr>
    </w:p>
    <w:p>
      <w:pPr>
        <w:pStyle w:val="ListParagraph"/>
        <w:numPr>
          <w:ilvl w:val="0"/>
          <w:numId w:val="723"/>
        </w:numPr>
        <w:tabs>
          <w:tab w:pos="1367" w:val="left" w:leader="none"/>
        </w:tabs>
        <w:spacing w:line="240" w:lineRule="auto" w:before="0" w:after="0"/>
        <w:ind w:left="1367" w:right="0" w:hanging="529"/>
        <w:jc w:val="left"/>
        <w:rPr>
          <w:sz w:val="21"/>
        </w:rPr>
      </w:pPr>
      <w:r>
        <w:rPr>
          <w:spacing w:val="-3"/>
          <w:sz w:val="21"/>
        </w:rPr>
        <w:t>消防水泵房应设置排水设施。</w:t>
      </w:r>
      <w:r>
        <w:rPr>
          <w:sz w:val="21"/>
        </w:rPr>
        <w:t> </w:t>
      </w:r>
    </w:p>
    <w:p>
      <w:pPr>
        <w:pStyle w:val="BodyText"/>
        <w:rPr>
          <w:sz w:val="18"/>
        </w:rPr>
      </w:pPr>
    </w:p>
    <w:p>
      <w:pPr>
        <w:pStyle w:val="ListParagraph"/>
        <w:numPr>
          <w:ilvl w:val="2"/>
          <w:numId w:val="721"/>
        </w:numPr>
        <w:tabs>
          <w:tab w:pos="1478" w:val="left" w:leader="none"/>
        </w:tabs>
        <w:spacing w:line="446" w:lineRule="auto" w:before="0" w:after="0"/>
        <w:ind w:left="418" w:right="1498" w:firstLine="422"/>
        <w:jc w:val="left"/>
        <w:rPr>
          <w:sz w:val="21"/>
        </w:rPr>
      </w:pPr>
      <w:r>
        <w:rPr>
          <w:spacing w:val="-3"/>
          <w:sz w:val="21"/>
        </w:rPr>
        <w:t>消防水泵不宜设在有防振或有安静要求房间的上一层、下一层和毗邻位置，当必须时，应采取下列降噪减振措施：</w:t>
      </w:r>
      <w:r>
        <w:rPr>
          <w:sz w:val="21"/>
        </w:rPr>
        <w:t> </w:t>
      </w:r>
    </w:p>
    <w:p>
      <w:pPr>
        <w:pStyle w:val="ListParagraph"/>
        <w:numPr>
          <w:ilvl w:val="0"/>
          <w:numId w:val="724"/>
        </w:numPr>
        <w:tabs>
          <w:tab w:pos="1367" w:val="left" w:leader="none"/>
        </w:tabs>
        <w:spacing w:line="240" w:lineRule="auto" w:before="0" w:after="0"/>
        <w:ind w:left="1367" w:right="0" w:hanging="529"/>
        <w:jc w:val="left"/>
        <w:rPr>
          <w:b/>
          <w:sz w:val="21"/>
        </w:rPr>
      </w:pPr>
      <w:r>
        <w:rPr>
          <w:spacing w:val="-3"/>
          <w:sz w:val="21"/>
        </w:rPr>
        <w:t>消防水泵应采用低噪声水泵；</w:t>
      </w:r>
      <w:r>
        <w:rPr>
          <w:b/>
          <w:w w:val="99"/>
          <w:sz w:val="21"/>
        </w:rPr>
        <w:t> </w:t>
      </w:r>
    </w:p>
    <w:p>
      <w:pPr>
        <w:pStyle w:val="BodyText"/>
        <w:spacing w:before="12"/>
        <w:rPr>
          <w:b/>
          <w:sz w:val="17"/>
        </w:rPr>
      </w:pPr>
    </w:p>
    <w:p>
      <w:pPr>
        <w:pStyle w:val="ListParagraph"/>
        <w:numPr>
          <w:ilvl w:val="0"/>
          <w:numId w:val="724"/>
        </w:numPr>
        <w:tabs>
          <w:tab w:pos="1367" w:val="left" w:leader="none"/>
        </w:tabs>
        <w:spacing w:line="240" w:lineRule="auto" w:before="0" w:after="0"/>
        <w:ind w:left="1367" w:right="0" w:hanging="529"/>
        <w:jc w:val="left"/>
        <w:rPr>
          <w:b/>
          <w:sz w:val="21"/>
        </w:rPr>
      </w:pPr>
      <w:r>
        <w:rPr>
          <w:spacing w:val="-3"/>
          <w:sz w:val="21"/>
        </w:rPr>
        <w:t>消防水泵机组应设隔振装置；</w:t>
      </w:r>
      <w:r>
        <w:rPr>
          <w:b/>
          <w:w w:val="99"/>
          <w:sz w:val="21"/>
        </w:rPr>
        <w:t> </w:t>
      </w:r>
    </w:p>
    <w:p>
      <w:pPr>
        <w:pStyle w:val="BodyText"/>
        <w:spacing w:before="2"/>
        <w:rPr>
          <w:b/>
          <w:sz w:val="18"/>
        </w:rPr>
      </w:pPr>
    </w:p>
    <w:p>
      <w:pPr>
        <w:pStyle w:val="ListParagraph"/>
        <w:numPr>
          <w:ilvl w:val="0"/>
          <w:numId w:val="724"/>
        </w:numPr>
        <w:tabs>
          <w:tab w:pos="1367" w:val="left" w:leader="none"/>
        </w:tabs>
        <w:spacing w:line="240" w:lineRule="auto" w:before="0" w:after="0"/>
        <w:ind w:left="1367" w:right="0" w:hanging="529"/>
        <w:jc w:val="left"/>
        <w:rPr>
          <w:b/>
          <w:sz w:val="21"/>
        </w:rPr>
      </w:pPr>
      <w:r>
        <w:rPr>
          <w:spacing w:val="-3"/>
          <w:sz w:val="21"/>
        </w:rPr>
        <w:t>消防水泵吸水管和出水管上应设隔振装置；</w:t>
      </w:r>
      <w:r>
        <w:rPr>
          <w:b/>
          <w:w w:val="99"/>
          <w:sz w:val="21"/>
        </w:rPr>
        <w:t> </w:t>
      </w:r>
    </w:p>
    <w:p>
      <w:pPr>
        <w:pStyle w:val="BodyText"/>
        <w:rPr>
          <w:b/>
          <w:sz w:val="18"/>
        </w:rPr>
      </w:pPr>
    </w:p>
    <w:p>
      <w:pPr>
        <w:pStyle w:val="ListParagraph"/>
        <w:numPr>
          <w:ilvl w:val="0"/>
          <w:numId w:val="724"/>
        </w:numPr>
        <w:tabs>
          <w:tab w:pos="1367" w:val="left" w:leader="none"/>
        </w:tabs>
        <w:spacing w:line="240" w:lineRule="auto" w:before="0" w:after="0"/>
        <w:ind w:left="1367" w:right="0" w:hanging="529"/>
        <w:jc w:val="left"/>
        <w:rPr>
          <w:b/>
          <w:sz w:val="21"/>
        </w:rPr>
      </w:pPr>
      <w:r>
        <w:rPr>
          <w:spacing w:val="-3"/>
          <w:sz w:val="21"/>
        </w:rPr>
        <w:t>消防水泵房内管道支架和管道穿墙和穿楼板处，应采取防止固体传声的措施；</w:t>
      </w:r>
      <w:r>
        <w:rPr>
          <w:b/>
          <w:w w:val="99"/>
          <w:sz w:val="21"/>
        </w:rPr>
        <w:t> </w:t>
      </w:r>
    </w:p>
    <w:p>
      <w:pPr>
        <w:pStyle w:val="BodyText"/>
        <w:spacing w:before="12"/>
        <w:rPr>
          <w:b/>
          <w:sz w:val="17"/>
        </w:rPr>
      </w:pPr>
    </w:p>
    <w:p>
      <w:pPr>
        <w:pStyle w:val="ListParagraph"/>
        <w:numPr>
          <w:ilvl w:val="0"/>
          <w:numId w:val="724"/>
        </w:numPr>
        <w:tabs>
          <w:tab w:pos="1367" w:val="left" w:leader="none"/>
        </w:tabs>
        <w:spacing w:line="240" w:lineRule="auto" w:before="0" w:after="0"/>
        <w:ind w:left="1367" w:right="0" w:hanging="529"/>
        <w:jc w:val="left"/>
        <w:rPr>
          <w:b/>
          <w:sz w:val="21"/>
        </w:rPr>
      </w:pPr>
      <w:r>
        <w:rPr>
          <w:spacing w:val="-3"/>
          <w:sz w:val="21"/>
        </w:rPr>
        <w:t>在消防水泵房内墙应采取隔声吸音的技术措施。</w:t>
      </w:r>
      <w:r>
        <w:rPr>
          <w:b/>
          <w:spacing w:val="-3"/>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721"/>
        </w:numPr>
        <w:tabs>
          <w:tab w:pos="1527" w:val="left" w:leader="none"/>
        </w:tabs>
        <w:spacing w:line="240" w:lineRule="auto" w:before="47" w:after="0"/>
        <w:ind w:left="1526" w:right="0" w:hanging="689"/>
        <w:jc w:val="left"/>
        <w:rPr>
          <w:sz w:val="21"/>
        </w:rPr>
      </w:pPr>
      <w:r>
        <w:rPr>
          <w:spacing w:val="-3"/>
          <w:sz w:val="21"/>
        </w:rPr>
        <w:t>消防水泵出水管应进行停泵水锤压力计算，并宜按下列公式计算，当计算所得的水</w:t>
      </w:r>
    </w:p>
    <w:p>
      <w:pPr>
        <w:pStyle w:val="BodyText"/>
        <w:spacing w:before="6"/>
        <w:rPr>
          <w:sz w:val="27"/>
        </w:rPr>
      </w:pPr>
      <w:r>
        <w:rPr/>
        <w:drawing>
          <wp:anchor distT="0" distB="0" distL="0" distR="0" allowOverlap="1" layoutInCell="1" locked="0" behindDoc="0" simplePos="0" relativeHeight="234">
            <wp:simplePos x="0" y="0"/>
            <wp:positionH relativeFrom="page">
              <wp:posOffset>1875960</wp:posOffset>
            </wp:positionH>
            <wp:positionV relativeFrom="paragraph">
              <wp:posOffset>248604</wp:posOffset>
            </wp:positionV>
            <wp:extent cx="3471584" cy="654081"/>
            <wp:effectExtent l="0" t="0" r="0" b="0"/>
            <wp:wrapTopAndBottom/>
            <wp:docPr id="553" name="image319.jpeg"/>
            <wp:cNvGraphicFramePr>
              <a:graphicFrameLocks noChangeAspect="1"/>
            </wp:cNvGraphicFramePr>
            <a:graphic>
              <a:graphicData uri="http://schemas.openxmlformats.org/drawingml/2006/picture">
                <pic:pic>
                  <pic:nvPicPr>
                    <pic:cNvPr id="554" name="image319.jpeg"/>
                    <pic:cNvPicPr/>
                  </pic:nvPicPr>
                  <pic:blipFill>
                    <a:blip r:embed="rId386" cstate="print"/>
                    <a:stretch>
                      <a:fillRect/>
                    </a:stretch>
                  </pic:blipFill>
                  <pic:spPr>
                    <a:xfrm>
                      <a:off x="0" y="0"/>
                      <a:ext cx="3471584" cy="654081"/>
                    </a:xfrm>
                    <a:prstGeom prst="rect">
                      <a:avLst/>
                    </a:prstGeom>
                  </pic:spPr>
                </pic:pic>
              </a:graphicData>
            </a:graphic>
          </wp:anchor>
        </w:drawing>
      </w:r>
      <w:r>
        <w:rPr/>
        <w:drawing>
          <wp:anchor distT="0" distB="0" distL="0" distR="0" allowOverlap="1" layoutInCell="1" locked="0" behindDoc="0" simplePos="0" relativeHeight="235">
            <wp:simplePos x="0" y="0"/>
            <wp:positionH relativeFrom="page">
              <wp:posOffset>2070152</wp:posOffset>
            </wp:positionH>
            <wp:positionV relativeFrom="paragraph">
              <wp:posOffset>1007965</wp:posOffset>
            </wp:positionV>
            <wp:extent cx="3348075" cy="238125"/>
            <wp:effectExtent l="0" t="0" r="0" b="0"/>
            <wp:wrapTopAndBottom/>
            <wp:docPr id="555" name="image320.jpeg"/>
            <wp:cNvGraphicFramePr>
              <a:graphicFrameLocks noChangeAspect="1"/>
            </wp:cNvGraphicFramePr>
            <a:graphic>
              <a:graphicData uri="http://schemas.openxmlformats.org/drawingml/2006/picture">
                <pic:pic>
                  <pic:nvPicPr>
                    <pic:cNvPr id="556" name="image320.jpeg"/>
                    <pic:cNvPicPr/>
                  </pic:nvPicPr>
                  <pic:blipFill>
                    <a:blip r:embed="rId387" cstate="print"/>
                    <a:stretch>
                      <a:fillRect/>
                    </a:stretch>
                  </pic:blipFill>
                  <pic:spPr>
                    <a:xfrm>
                      <a:off x="0" y="0"/>
                      <a:ext cx="3348075" cy="238125"/>
                    </a:xfrm>
                    <a:prstGeom prst="rect">
                      <a:avLst/>
                    </a:prstGeom>
                  </pic:spPr>
                </pic:pic>
              </a:graphicData>
            </a:graphic>
          </wp:anchor>
        </w:drawing>
      </w:r>
    </w:p>
    <w:p>
      <w:pPr>
        <w:pStyle w:val="BodyText"/>
        <w:spacing w:before="8"/>
        <w:rPr>
          <w:sz w:val="7"/>
        </w:rPr>
      </w:pPr>
    </w:p>
    <w:p>
      <w:pPr>
        <w:pStyle w:val="BodyText"/>
        <w:spacing w:before="11"/>
        <w:rPr>
          <w:sz w:val="20"/>
        </w:rPr>
      </w:pPr>
    </w:p>
    <w:p>
      <w:pPr>
        <w:pStyle w:val="BodyText"/>
        <w:spacing w:line="446" w:lineRule="auto"/>
        <w:ind w:left="418" w:right="1608"/>
      </w:pPr>
      <w:r>
        <w:rPr/>
        <w:t>锤压力值超过管道试验压力值时，应采取消除停泵水锤的技术措施。停泵水锤消除装置应装设在消防水泵出水总管上，以及消防给水系统管网其他适当的位置： </w:t>
      </w:r>
    </w:p>
    <w:p>
      <w:pPr>
        <w:pStyle w:val="BodyText"/>
        <w:spacing w:before="4"/>
        <w:rPr>
          <w:sz w:val="23"/>
        </w:rPr>
      </w:pPr>
      <w:r>
        <w:rPr/>
        <w:drawing>
          <wp:anchor distT="0" distB="0" distL="0" distR="0" allowOverlap="1" layoutInCell="1" locked="0" behindDoc="0" simplePos="0" relativeHeight="236">
            <wp:simplePos x="0" y="0"/>
            <wp:positionH relativeFrom="page">
              <wp:posOffset>1633926</wp:posOffset>
            </wp:positionH>
            <wp:positionV relativeFrom="paragraph">
              <wp:posOffset>215028</wp:posOffset>
            </wp:positionV>
            <wp:extent cx="2066817" cy="627888"/>
            <wp:effectExtent l="0" t="0" r="0" b="0"/>
            <wp:wrapTopAndBottom/>
            <wp:docPr id="557" name="image321.jpeg"/>
            <wp:cNvGraphicFramePr>
              <a:graphicFrameLocks noChangeAspect="1"/>
            </wp:cNvGraphicFramePr>
            <a:graphic>
              <a:graphicData uri="http://schemas.openxmlformats.org/drawingml/2006/picture">
                <pic:pic>
                  <pic:nvPicPr>
                    <pic:cNvPr id="558" name="image321.jpeg"/>
                    <pic:cNvPicPr/>
                  </pic:nvPicPr>
                  <pic:blipFill>
                    <a:blip r:embed="rId388" cstate="print"/>
                    <a:stretch>
                      <a:fillRect/>
                    </a:stretch>
                  </pic:blipFill>
                  <pic:spPr>
                    <a:xfrm>
                      <a:off x="0" y="0"/>
                      <a:ext cx="2066817" cy="627888"/>
                    </a:xfrm>
                    <a:prstGeom prst="rect">
                      <a:avLst/>
                    </a:prstGeom>
                  </pic:spPr>
                </pic:pic>
              </a:graphicData>
            </a:graphic>
          </wp:anchor>
        </w:drawing>
      </w:r>
    </w:p>
    <w:p>
      <w:pPr>
        <w:pStyle w:val="BodyText"/>
        <w:spacing w:before="8"/>
        <w:rPr>
          <w:sz w:val="9"/>
        </w:rPr>
      </w:pPr>
    </w:p>
    <w:p>
      <w:pPr>
        <w:pStyle w:val="ListParagraph"/>
        <w:numPr>
          <w:ilvl w:val="2"/>
          <w:numId w:val="721"/>
        </w:numPr>
        <w:tabs>
          <w:tab w:pos="1530" w:val="left" w:leader="none"/>
        </w:tabs>
        <w:spacing w:line="240" w:lineRule="auto" w:before="71" w:after="0"/>
        <w:ind w:left="1529" w:right="0" w:hanging="690"/>
        <w:jc w:val="left"/>
        <w:rPr>
          <w:sz w:val="21"/>
        </w:rPr>
      </w:pPr>
      <w:r>
        <w:rPr>
          <w:spacing w:val="-3"/>
          <w:sz w:val="21"/>
        </w:rPr>
        <w:t>消防水泵房应符合下列规定：</w:t>
      </w:r>
      <w:r>
        <w:rPr>
          <w:sz w:val="21"/>
        </w:rPr>
        <w:t> </w:t>
      </w:r>
    </w:p>
    <w:p>
      <w:pPr>
        <w:pStyle w:val="BodyText"/>
        <w:rPr>
          <w:sz w:val="18"/>
        </w:rPr>
      </w:pPr>
    </w:p>
    <w:p>
      <w:pPr>
        <w:pStyle w:val="ListParagraph"/>
        <w:numPr>
          <w:ilvl w:val="0"/>
          <w:numId w:val="725"/>
        </w:numPr>
        <w:tabs>
          <w:tab w:pos="1367" w:val="left" w:leader="none"/>
        </w:tabs>
        <w:spacing w:line="240" w:lineRule="auto" w:before="0" w:after="0"/>
        <w:ind w:left="1367" w:right="0" w:hanging="529"/>
        <w:jc w:val="left"/>
        <w:rPr>
          <w:sz w:val="21"/>
        </w:rPr>
      </w:pPr>
      <w:r>
        <w:rPr>
          <w:spacing w:val="-3"/>
          <w:sz w:val="21"/>
        </w:rPr>
        <w:t>独立建造的消防水泵房耐火等级不应低于二级； </w:t>
      </w:r>
    </w:p>
    <w:p>
      <w:pPr>
        <w:pStyle w:val="BodyText"/>
        <w:spacing w:before="12"/>
        <w:rPr>
          <w:sz w:val="17"/>
        </w:rPr>
      </w:pPr>
    </w:p>
    <w:p>
      <w:pPr>
        <w:pStyle w:val="ListParagraph"/>
        <w:numPr>
          <w:ilvl w:val="0"/>
          <w:numId w:val="725"/>
        </w:numPr>
        <w:tabs>
          <w:tab w:pos="1367" w:val="left" w:leader="none"/>
        </w:tabs>
        <w:spacing w:line="448" w:lineRule="auto" w:before="0" w:after="0"/>
        <w:ind w:left="418" w:right="1505" w:firstLine="419"/>
        <w:jc w:val="left"/>
        <w:rPr>
          <w:sz w:val="21"/>
        </w:rPr>
      </w:pPr>
      <w:r>
        <w:rPr/>
        <w:drawing>
          <wp:anchor distT="0" distB="0" distL="0" distR="0" allowOverlap="1" layoutInCell="1" locked="0" behindDoc="0" simplePos="0" relativeHeight="251900928">
            <wp:simplePos x="0" y="0"/>
            <wp:positionH relativeFrom="page">
              <wp:posOffset>1179830</wp:posOffset>
            </wp:positionH>
            <wp:positionV relativeFrom="paragraph">
              <wp:posOffset>614302</wp:posOffset>
            </wp:positionV>
            <wp:extent cx="4405452" cy="2810125"/>
            <wp:effectExtent l="0" t="0" r="0" b="0"/>
            <wp:wrapNone/>
            <wp:docPr id="559" name="image322.jpeg"/>
            <wp:cNvGraphicFramePr>
              <a:graphicFrameLocks noChangeAspect="1"/>
            </wp:cNvGraphicFramePr>
            <a:graphic>
              <a:graphicData uri="http://schemas.openxmlformats.org/drawingml/2006/picture">
                <pic:pic>
                  <pic:nvPicPr>
                    <pic:cNvPr id="560" name="image322.jpeg"/>
                    <pic:cNvPicPr/>
                  </pic:nvPicPr>
                  <pic:blipFill>
                    <a:blip r:embed="rId389" cstate="print"/>
                    <a:stretch>
                      <a:fillRect/>
                    </a:stretch>
                  </pic:blipFill>
                  <pic:spPr>
                    <a:xfrm>
                      <a:off x="0" y="0"/>
                      <a:ext cx="4405452" cy="2810125"/>
                    </a:xfrm>
                    <a:prstGeom prst="rect">
                      <a:avLst/>
                    </a:prstGeom>
                  </pic:spPr>
                </pic:pic>
              </a:graphicData>
            </a:graphic>
          </wp:anchor>
        </w:drawing>
      </w:r>
      <w:r>
        <w:rPr>
          <w:spacing w:val="-3"/>
          <w:sz w:val="21"/>
        </w:rPr>
        <w:t>附设在建筑物内的消防水泵房，不应设置在地下三层及以下，或室内地面与室外出入</w:t>
      </w:r>
      <w:r>
        <w:rPr>
          <w:spacing w:val="-10"/>
          <w:sz w:val="21"/>
        </w:rPr>
        <w:t>口地坪高差大于 </w:t>
      </w:r>
      <w:r>
        <w:rPr>
          <w:sz w:val="21"/>
        </w:rPr>
        <w:t>10m</w:t>
      </w:r>
      <w:r>
        <w:rPr>
          <w:spacing w:val="-10"/>
          <w:sz w:val="21"/>
        </w:rPr>
        <w:t> 的地下楼层；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7"/>
        </w:rPr>
      </w:pPr>
    </w:p>
    <w:p>
      <w:pPr>
        <w:pStyle w:val="BodyText"/>
        <w:spacing w:line="446" w:lineRule="auto" w:before="1"/>
        <w:ind w:left="818" w:right="1522" w:hanging="312"/>
      </w:pPr>
      <w:r>
        <w:rPr>
          <w:w w:val="100"/>
        </w:rPr>
        <w:t>    </w:t>
      </w:r>
      <w:r>
        <w:rPr/>
        <w:t>（3）</w:t>
      </w:r>
      <w:r>
        <w:rPr>
          <w:spacing w:val="-5"/>
        </w:rPr>
        <w:t>附设在建筑物内的消防水泵房，应采用耐火极限不低于 </w:t>
      </w:r>
      <w:r>
        <w:rPr/>
        <w:t>2.0h</w:t>
      </w:r>
      <w:r>
        <w:rPr>
          <w:spacing w:val="-18"/>
        </w:rPr>
        <w:t> 的隔墙和 </w:t>
      </w:r>
      <w:r>
        <w:rPr/>
        <w:t>1.50h</w:t>
      </w:r>
      <w:r>
        <w:rPr>
          <w:spacing w:val="-12"/>
        </w:rPr>
        <w:t> 的楼板</w:t>
      </w:r>
      <w:r>
        <w:rPr>
          <w:spacing w:val="-6"/>
        </w:rPr>
        <w:t>与其他部位隔开，其疏散门应直通安全出口，且开向疏散走道的门应采用甲级防火门。</w:t>
      </w:r>
      <w:r>
        <w:rPr/>
        <w:t> </w:t>
      </w:r>
    </w:p>
    <w:p>
      <w:pPr>
        <w:pStyle w:val="ListParagraph"/>
        <w:numPr>
          <w:ilvl w:val="2"/>
          <w:numId w:val="721"/>
        </w:numPr>
        <w:tabs>
          <w:tab w:pos="1530" w:val="left" w:leader="none"/>
        </w:tabs>
        <w:spacing w:line="446" w:lineRule="auto" w:before="0" w:after="0"/>
        <w:ind w:left="418" w:right="1758" w:firstLine="422"/>
        <w:jc w:val="left"/>
        <w:rPr>
          <w:sz w:val="21"/>
        </w:rPr>
      </w:pPr>
      <w:r>
        <w:rPr>
          <w:spacing w:val="-3"/>
          <w:sz w:val="21"/>
        </w:rPr>
        <w:t>当采用柴油机消防水泵时宜设置独立消防水泵房，并应设置满足柴油机运行的通风、排烟和阻火设施。</w:t>
      </w:r>
      <w:r>
        <w:rPr>
          <w:sz w:val="21"/>
        </w:rPr>
        <w:t> </w:t>
      </w:r>
    </w:p>
    <w:p>
      <w:pPr>
        <w:pStyle w:val="ListParagraph"/>
        <w:numPr>
          <w:ilvl w:val="2"/>
          <w:numId w:val="721"/>
        </w:numPr>
        <w:tabs>
          <w:tab w:pos="1530" w:val="left" w:leader="none"/>
        </w:tabs>
        <w:spacing w:line="267" w:lineRule="exact" w:before="0" w:after="0"/>
        <w:ind w:left="1529" w:right="0" w:hanging="690"/>
        <w:jc w:val="left"/>
        <w:rPr>
          <w:sz w:val="21"/>
        </w:rPr>
      </w:pPr>
      <w:r>
        <w:rPr>
          <w:spacing w:val="-3"/>
          <w:sz w:val="21"/>
        </w:rPr>
        <w:t>消防水泵房应采取防水淹没的技术措施。</w:t>
      </w:r>
      <w:r>
        <w:rPr>
          <w:sz w:val="21"/>
        </w:rPr>
        <w:t> </w:t>
      </w:r>
    </w:p>
    <w:p>
      <w:pPr>
        <w:spacing w:after="0" w:line="267" w:lineRule="exact"/>
        <w:jc w:val="left"/>
        <w:rPr>
          <w:sz w:val="21"/>
        </w:rPr>
        <w:sectPr>
          <w:pgSz w:w="11910" w:h="16850"/>
          <w:pgMar w:header="0" w:footer="1239" w:top="1220" w:bottom="1420" w:left="1260" w:right="0"/>
        </w:sectPr>
      </w:pPr>
    </w:p>
    <w:p>
      <w:pPr>
        <w:pStyle w:val="ListParagraph"/>
        <w:numPr>
          <w:ilvl w:val="2"/>
          <w:numId w:val="721"/>
        </w:numPr>
        <w:tabs>
          <w:tab w:pos="1530" w:val="left" w:leader="none"/>
        </w:tabs>
        <w:spacing w:line="446" w:lineRule="auto" w:before="47" w:after="0"/>
        <w:ind w:left="418" w:right="1548" w:firstLine="422"/>
        <w:jc w:val="both"/>
        <w:rPr>
          <w:sz w:val="21"/>
        </w:rPr>
      </w:pPr>
      <w:r>
        <w:rPr>
          <w:spacing w:val="-4"/>
          <w:sz w:val="21"/>
        </w:rPr>
        <w:t>独立消防水泵房的抗震应满足当地地震要求，且宜按本地区抗震设防烈度提高 </w:t>
      </w:r>
      <w:r>
        <w:rPr>
          <w:sz w:val="21"/>
        </w:rPr>
        <w:t>1</w:t>
      </w:r>
      <w:r>
        <w:rPr>
          <w:spacing w:val="-19"/>
          <w:sz w:val="21"/>
        </w:rPr>
        <w:t> 度</w:t>
      </w:r>
      <w:r>
        <w:rPr>
          <w:spacing w:val="-11"/>
          <w:sz w:val="21"/>
        </w:rPr>
        <w:t>采取抗震措施，但不宜做提高 </w:t>
      </w:r>
      <w:r>
        <w:rPr>
          <w:sz w:val="21"/>
        </w:rPr>
        <w:t>1</w:t>
      </w:r>
      <w:r>
        <w:rPr>
          <w:spacing w:val="-8"/>
          <w:sz w:val="21"/>
        </w:rPr>
        <w:t> 度抗震计算，并应符合现行国家标准《室外给水排水和燃气热</w:t>
      </w:r>
      <w:r>
        <w:rPr>
          <w:spacing w:val="-5"/>
          <w:sz w:val="21"/>
        </w:rPr>
        <w:t>力工程抗震设计规范》</w:t>
      </w:r>
      <w:r>
        <w:rPr>
          <w:sz w:val="21"/>
        </w:rPr>
        <w:t>GB</w:t>
      </w:r>
      <w:r>
        <w:rPr>
          <w:spacing w:val="-2"/>
          <w:sz w:val="21"/>
        </w:rPr>
        <w:t> </w:t>
      </w:r>
      <w:r>
        <w:rPr>
          <w:sz w:val="21"/>
        </w:rPr>
        <w:t>50032</w:t>
      </w:r>
      <w:r>
        <w:rPr>
          <w:spacing w:val="-10"/>
          <w:sz w:val="21"/>
        </w:rPr>
        <w:t> 的有关规定。</w:t>
      </w:r>
      <w:r>
        <w:rPr>
          <w:sz w:val="21"/>
        </w:rPr>
        <w:t> </w:t>
      </w:r>
    </w:p>
    <w:p>
      <w:pPr>
        <w:pStyle w:val="ListParagraph"/>
        <w:numPr>
          <w:ilvl w:val="2"/>
          <w:numId w:val="721"/>
        </w:numPr>
        <w:tabs>
          <w:tab w:pos="1530" w:val="left" w:leader="none"/>
        </w:tabs>
        <w:spacing w:line="268" w:lineRule="exact" w:before="0" w:after="0"/>
        <w:ind w:left="1529" w:right="0" w:hanging="690"/>
        <w:jc w:val="both"/>
        <w:rPr>
          <w:sz w:val="21"/>
        </w:rPr>
      </w:pPr>
      <w:r>
        <w:rPr>
          <w:spacing w:val="-3"/>
          <w:sz w:val="21"/>
        </w:rPr>
        <w:t>消防水泵和控制柜应采取安全保护措施。</w:t>
      </w:r>
      <w:r>
        <w:rPr>
          <w:sz w:val="21"/>
        </w:rPr>
        <w:t> </w:t>
      </w:r>
    </w:p>
    <w:p>
      <w:pPr>
        <w:pStyle w:val="BodyText"/>
        <w:spacing w:before="8"/>
        <w:rPr>
          <w:sz w:val="15"/>
        </w:rPr>
      </w:pPr>
    </w:p>
    <w:p>
      <w:pPr>
        <w:pStyle w:val="Heading4"/>
      </w:pPr>
      <w:r>
        <w:rPr/>
        <w:t>6 给水形式</w:t>
      </w:r>
      <w:r>
        <w:rPr>
          <w:w w:val="99"/>
        </w:rPr>
        <w:t> </w:t>
      </w:r>
    </w:p>
    <w:p>
      <w:pPr>
        <w:pStyle w:val="BodyText"/>
        <w:spacing w:before="4"/>
        <w:rPr>
          <w:b/>
          <w:sz w:val="17"/>
        </w:rPr>
      </w:pPr>
    </w:p>
    <w:p>
      <w:pPr>
        <w:pStyle w:val="ListParagraph"/>
        <w:numPr>
          <w:ilvl w:val="1"/>
          <w:numId w:val="726"/>
        </w:numPr>
        <w:tabs>
          <w:tab w:pos="1160" w:val="left" w:leader="none"/>
        </w:tabs>
        <w:spacing w:line="240" w:lineRule="auto" w:before="0" w:after="0"/>
        <w:ind w:left="1159" w:right="0" w:hanging="320"/>
        <w:jc w:val="left"/>
        <w:rPr>
          <w:sz w:val="24"/>
        </w:rPr>
      </w:pPr>
      <w:r>
        <w:rPr>
          <w:spacing w:val="-3"/>
          <w:sz w:val="21"/>
        </w:rPr>
        <w:t>一般规定</w:t>
      </w:r>
      <w:r>
        <w:rPr>
          <w:color w:val="333333"/>
          <w:sz w:val="24"/>
        </w:rPr>
        <w:t> </w:t>
      </w:r>
    </w:p>
    <w:p>
      <w:pPr>
        <w:pStyle w:val="BodyText"/>
        <w:spacing w:before="2"/>
        <w:rPr>
          <w:sz w:val="18"/>
        </w:rPr>
      </w:pPr>
    </w:p>
    <w:p>
      <w:pPr>
        <w:pStyle w:val="ListParagraph"/>
        <w:numPr>
          <w:ilvl w:val="2"/>
          <w:numId w:val="726"/>
        </w:numPr>
        <w:tabs>
          <w:tab w:pos="1424" w:val="left" w:leader="none"/>
        </w:tabs>
        <w:spacing w:line="446" w:lineRule="auto" w:before="0" w:after="0"/>
        <w:ind w:left="418" w:right="1608" w:firstLine="422"/>
        <w:jc w:val="both"/>
        <w:rPr>
          <w:sz w:val="21"/>
        </w:rPr>
      </w:pPr>
      <w:r>
        <w:rPr>
          <w:spacing w:val="-3"/>
          <w:sz w:val="21"/>
        </w:rPr>
        <w:t>消防给水系统应根据建筑的用途功能、体积、高度、耐火等级、火灾危险性、重要性、次生灾害、商务连续性、水源条件等因素综合确定其可靠性和供水方式，并应满足水灭火系统所需流量和压力的要求。</w:t>
      </w:r>
      <w:r>
        <w:rPr>
          <w:sz w:val="21"/>
        </w:rPr>
        <w:t> </w:t>
      </w:r>
    </w:p>
    <w:p>
      <w:pPr>
        <w:pStyle w:val="ListParagraph"/>
        <w:numPr>
          <w:ilvl w:val="2"/>
          <w:numId w:val="726"/>
        </w:numPr>
        <w:tabs>
          <w:tab w:pos="1370" w:val="left" w:leader="none"/>
        </w:tabs>
        <w:spacing w:line="268" w:lineRule="exact" w:before="0" w:after="0"/>
        <w:ind w:left="1369" w:right="0" w:hanging="530"/>
        <w:jc w:val="left"/>
        <w:rPr>
          <w:sz w:val="21"/>
        </w:rPr>
      </w:pPr>
      <w:r>
        <w:rPr>
          <w:spacing w:val="-3"/>
          <w:sz w:val="21"/>
        </w:rPr>
        <w:t>城镇消防给水宜采用城镇市政给水管网供应，并应符合下列规定：</w:t>
      </w:r>
      <w:r>
        <w:rPr>
          <w:sz w:val="21"/>
        </w:rPr>
        <w:t> </w:t>
      </w:r>
    </w:p>
    <w:p>
      <w:pPr>
        <w:pStyle w:val="BodyText"/>
        <w:spacing w:before="12"/>
        <w:rPr>
          <w:sz w:val="17"/>
        </w:rPr>
      </w:pPr>
    </w:p>
    <w:p>
      <w:pPr>
        <w:pStyle w:val="ListParagraph"/>
        <w:numPr>
          <w:ilvl w:val="0"/>
          <w:numId w:val="727"/>
        </w:numPr>
        <w:tabs>
          <w:tab w:pos="1367" w:val="left" w:leader="none"/>
        </w:tabs>
        <w:spacing w:line="446" w:lineRule="auto" w:before="0" w:after="0"/>
        <w:ind w:left="418" w:right="1452" w:firstLine="419"/>
        <w:jc w:val="left"/>
        <w:rPr>
          <w:sz w:val="21"/>
        </w:rPr>
      </w:pPr>
      <w:r>
        <w:rPr>
          <w:spacing w:val="-3"/>
          <w:sz w:val="21"/>
        </w:rPr>
        <w:t>城镇市政给水管网及输水干管应符合现行国家标准《室外给水设计规范》</w:t>
      </w:r>
      <w:r>
        <w:rPr>
          <w:sz w:val="21"/>
        </w:rPr>
        <w:t>GB</w:t>
      </w:r>
      <w:r>
        <w:rPr>
          <w:spacing w:val="23"/>
          <w:sz w:val="21"/>
        </w:rPr>
        <w:t> </w:t>
      </w:r>
      <w:r>
        <w:rPr>
          <w:sz w:val="21"/>
        </w:rPr>
        <w:t>50013</w:t>
      </w:r>
      <w:r>
        <w:rPr>
          <w:spacing w:val="-21"/>
          <w:sz w:val="21"/>
        </w:rPr>
        <w:t> 的</w:t>
      </w:r>
      <w:r>
        <w:rPr>
          <w:spacing w:val="-11"/>
          <w:sz w:val="21"/>
        </w:rPr>
        <w:t>有关规定。</w:t>
      </w:r>
      <w:r>
        <w:rPr>
          <w:sz w:val="21"/>
        </w:rPr>
        <w:t> </w:t>
      </w:r>
    </w:p>
    <w:p>
      <w:pPr>
        <w:pStyle w:val="ListParagraph"/>
        <w:numPr>
          <w:ilvl w:val="0"/>
          <w:numId w:val="727"/>
        </w:numPr>
        <w:tabs>
          <w:tab w:pos="1367" w:val="left" w:leader="none"/>
        </w:tabs>
        <w:spacing w:line="240" w:lineRule="auto" w:before="0" w:after="0"/>
        <w:ind w:left="1367" w:right="0" w:hanging="529"/>
        <w:jc w:val="left"/>
        <w:rPr>
          <w:sz w:val="21"/>
        </w:rPr>
      </w:pPr>
      <w:r>
        <w:rPr>
          <w:spacing w:val="-3"/>
          <w:sz w:val="21"/>
        </w:rPr>
        <w:t>工业园区、商务区和居住区宜采用两路消防供水。</w:t>
      </w:r>
      <w:r>
        <w:rPr>
          <w:sz w:val="21"/>
        </w:rPr>
        <w:t> </w:t>
      </w:r>
    </w:p>
    <w:p>
      <w:pPr>
        <w:pStyle w:val="BodyText"/>
        <w:rPr>
          <w:sz w:val="18"/>
        </w:rPr>
      </w:pPr>
    </w:p>
    <w:p>
      <w:pPr>
        <w:pStyle w:val="ListParagraph"/>
        <w:numPr>
          <w:ilvl w:val="0"/>
          <w:numId w:val="727"/>
        </w:numPr>
        <w:tabs>
          <w:tab w:pos="1367" w:val="left" w:leader="none"/>
        </w:tabs>
        <w:spacing w:line="446" w:lineRule="auto" w:before="0" w:after="0"/>
        <w:ind w:left="418" w:right="1505" w:firstLine="419"/>
        <w:jc w:val="left"/>
        <w:rPr>
          <w:sz w:val="21"/>
        </w:rPr>
      </w:pPr>
      <w:r>
        <w:rPr>
          <w:spacing w:val="-3"/>
          <w:sz w:val="21"/>
        </w:rPr>
        <w:t>当采用天然水源作为消防水源时，每个天然水源消防取水口宜按一个市政消火栓计算或根据消防车停放数量确定。</w:t>
      </w:r>
      <w:r>
        <w:rPr>
          <w:sz w:val="21"/>
        </w:rPr>
        <w:t> </w:t>
      </w:r>
    </w:p>
    <w:p>
      <w:pPr>
        <w:pStyle w:val="ListParagraph"/>
        <w:numPr>
          <w:ilvl w:val="0"/>
          <w:numId w:val="727"/>
        </w:numPr>
        <w:tabs>
          <w:tab w:pos="1367" w:val="left" w:leader="none"/>
        </w:tabs>
        <w:spacing w:line="446" w:lineRule="auto" w:before="0" w:after="0"/>
        <w:ind w:left="418" w:right="1505" w:firstLine="419"/>
        <w:jc w:val="left"/>
        <w:rPr>
          <w:sz w:val="21"/>
        </w:rPr>
      </w:pPr>
      <w:r>
        <w:rPr>
          <w:spacing w:val="-3"/>
          <w:sz w:val="21"/>
        </w:rPr>
        <w:t>当市政给水为间歇供水或供水能力不足时，宜建设市政消防水池，且建筑消防水池宜有作为市政消防给水的技术措施。</w:t>
      </w:r>
      <w:r>
        <w:rPr>
          <w:sz w:val="21"/>
        </w:rPr>
        <w:t> </w:t>
      </w:r>
    </w:p>
    <w:p>
      <w:pPr>
        <w:pStyle w:val="ListParagraph"/>
        <w:numPr>
          <w:ilvl w:val="0"/>
          <w:numId w:val="727"/>
        </w:numPr>
        <w:tabs>
          <w:tab w:pos="1367" w:val="left" w:leader="none"/>
        </w:tabs>
        <w:spacing w:line="267" w:lineRule="exact" w:before="0" w:after="0"/>
        <w:ind w:left="1367" w:right="0" w:hanging="529"/>
        <w:jc w:val="left"/>
        <w:rPr>
          <w:sz w:val="21"/>
        </w:rPr>
      </w:pPr>
      <w:r>
        <w:rPr>
          <w:spacing w:val="-5"/>
          <w:sz w:val="21"/>
        </w:rPr>
        <w:t>城市避难场所宜设置独立的城市消防水池，且每座容量不宜小于 </w:t>
      </w:r>
      <w:r>
        <w:rPr>
          <w:sz w:val="21"/>
        </w:rPr>
        <w:t>200m</w:t>
      </w:r>
      <w:r>
        <w:rPr>
          <w:position w:val="11"/>
          <w:sz w:val="11"/>
        </w:rPr>
        <w:t>3</w:t>
      </w:r>
      <w:r>
        <w:rPr>
          <w:spacing w:val="-3"/>
          <w:sz w:val="21"/>
        </w:rPr>
        <w:t>。</w:t>
      </w:r>
      <w:r>
        <w:rPr>
          <w:sz w:val="21"/>
        </w:rPr>
        <w:t> </w:t>
      </w:r>
    </w:p>
    <w:p>
      <w:pPr>
        <w:pStyle w:val="BodyText"/>
        <w:spacing w:before="2"/>
        <w:rPr>
          <w:sz w:val="18"/>
        </w:rPr>
      </w:pPr>
    </w:p>
    <w:p>
      <w:pPr>
        <w:pStyle w:val="ListParagraph"/>
        <w:numPr>
          <w:ilvl w:val="2"/>
          <w:numId w:val="726"/>
        </w:numPr>
        <w:tabs>
          <w:tab w:pos="1424" w:val="left" w:leader="none"/>
        </w:tabs>
        <w:spacing w:line="446" w:lineRule="auto" w:before="0" w:after="0"/>
        <w:ind w:left="418" w:right="1657" w:firstLine="422"/>
        <w:jc w:val="left"/>
        <w:rPr>
          <w:sz w:val="21"/>
        </w:rPr>
      </w:pPr>
      <w:r>
        <w:rPr>
          <w:spacing w:val="-3"/>
          <w:sz w:val="21"/>
        </w:rPr>
        <w:t>建筑物室外宜采用低压消防给水系统，当采用市政给水管网供水时，应符合下列规定：</w:t>
      </w:r>
      <w:r>
        <w:rPr>
          <w:sz w:val="21"/>
        </w:rPr>
        <w:t> </w:t>
      </w:r>
    </w:p>
    <w:p>
      <w:pPr>
        <w:pStyle w:val="ListParagraph"/>
        <w:numPr>
          <w:ilvl w:val="0"/>
          <w:numId w:val="728"/>
        </w:numPr>
        <w:tabs>
          <w:tab w:pos="1367" w:val="left" w:leader="none"/>
        </w:tabs>
        <w:spacing w:line="267" w:lineRule="exact" w:before="0" w:after="0"/>
        <w:ind w:left="1367" w:right="0" w:hanging="529"/>
        <w:jc w:val="left"/>
        <w:rPr>
          <w:sz w:val="21"/>
        </w:rPr>
      </w:pPr>
      <w:r>
        <w:rPr>
          <w:spacing w:val="-6"/>
          <w:sz w:val="21"/>
        </w:rPr>
        <w:t>应采用两路消防供水，除建筑高度超过 </w:t>
      </w:r>
      <w:r>
        <w:rPr>
          <w:sz w:val="21"/>
        </w:rPr>
        <w:t>54m</w:t>
      </w:r>
      <w:r>
        <w:rPr>
          <w:spacing w:val="-8"/>
          <w:sz w:val="21"/>
        </w:rPr>
        <w:t> 的住宅外，室外消火栓设计流量小于等于</w:t>
      </w:r>
    </w:p>
    <w:p>
      <w:pPr>
        <w:pStyle w:val="BodyText"/>
        <w:spacing w:before="2"/>
        <w:rPr>
          <w:sz w:val="18"/>
        </w:rPr>
      </w:pPr>
    </w:p>
    <w:p>
      <w:pPr>
        <w:pStyle w:val="BodyText"/>
        <w:ind w:left="418"/>
      </w:pPr>
      <w:r>
        <w:rPr/>
        <w:t>20L/s 时可采用一路消防供水； </w:t>
      </w:r>
    </w:p>
    <w:p>
      <w:pPr>
        <w:pStyle w:val="BodyText"/>
        <w:spacing w:before="12"/>
        <w:rPr>
          <w:sz w:val="17"/>
        </w:rPr>
      </w:pPr>
    </w:p>
    <w:p>
      <w:pPr>
        <w:pStyle w:val="ListParagraph"/>
        <w:numPr>
          <w:ilvl w:val="0"/>
          <w:numId w:val="728"/>
        </w:numPr>
        <w:tabs>
          <w:tab w:pos="1367" w:val="left" w:leader="none"/>
        </w:tabs>
        <w:spacing w:line="240" w:lineRule="auto" w:before="0" w:after="0"/>
        <w:ind w:left="1367" w:right="0" w:hanging="529"/>
        <w:jc w:val="left"/>
        <w:rPr>
          <w:sz w:val="21"/>
        </w:rPr>
      </w:pPr>
      <w:r>
        <w:rPr>
          <w:spacing w:val="-3"/>
          <w:sz w:val="21"/>
        </w:rPr>
        <w:t>室外消火栓应由市政给水管网直接供水。</w:t>
      </w:r>
      <w:r>
        <w:rPr>
          <w:sz w:val="21"/>
        </w:rPr>
        <w:t> </w:t>
      </w:r>
    </w:p>
    <w:p>
      <w:pPr>
        <w:pStyle w:val="BodyText"/>
        <w:rPr>
          <w:sz w:val="18"/>
        </w:rPr>
      </w:pPr>
    </w:p>
    <w:p>
      <w:pPr>
        <w:pStyle w:val="ListParagraph"/>
        <w:numPr>
          <w:ilvl w:val="2"/>
          <w:numId w:val="726"/>
        </w:numPr>
        <w:tabs>
          <w:tab w:pos="1424" w:val="left" w:leader="none"/>
        </w:tabs>
        <w:spacing w:line="240" w:lineRule="auto" w:before="0" w:after="0"/>
        <w:ind w:left="1423" w:right="0" w:hanging="584"/>
        <w:jc w:val="both"/>
        <w:rPr>
          <w:sz w:val="21"/>
        </w:rPr>
      </w:pPr>
      <w:r>
        <w:rPr>
          <w:spacing w:val="-3"/>
          <w:sz w:val="21"/>
        </w:rPr>
        <w:t>工艺装置区、储罐区、堆场等构筑物室外消防给水，应符合下列规定： </w:t>
      </w:r>
    </w:p>
    <w:p>
      <w:pPr>
        <w:pStyle w:val="BodyText"/>
        <w:spacing w:before="1"/>
        <w:rPr>
          <w:sz w:val="18"/>
        </w:rPr>
      </w:pPr>
    </w:p>
    <w:p>
      <w:pPr>
        <w:pStyle w:val="ListParagraph"/>
        <w:numPr>
          <w:ilvl w:val="0"/>
          <w:numId w:val="729"/>
        </w:numPr>
        <w:tabs>
          <w:tab w:pos="1367" w:val="left" w:leader="none"/>
        </w:tabs>
        <w:spacing w:line="446" w:lineRule="auto" w:before="1" w:after="0"/>
        <w:ind w:left="418" w:right="1450" w:firstLine="419"/>
        <w:jc w:val="both"/>
        <w:rPr>
          <w:sz w:val="21"/>
        </w:rPr>
      </w:pPr>
      <w:r>
        <w:rPr>
          <w:spacing w:val="-3"/>
          <w:sz w:val="21"/>
        </w:rPr>
        <w:t>工艺装置区、储罐区等场所应采用高压或临时高压消防给水系统，但当无泡沫灭火系</w:t>
      </w:r>
      <w:r>
        <w:rPr>
          <w:spacing w:val="-4"/>
          <w:sz w:val="21"/>
        </w:rPr>
        <w:t>统、固定冷却水系统和消防炮，室外消防给水设计流量不大于 </w:t>
      </w:r>
      <w:r>
        <w:rPr>
          <w:sz w:val="21"/>
        </w:rPr>
        <w:t>30L/s</w:t>
      </w:r>
      <w:r>
        <w:rPr>
          <w:spacing w:val="-3"/>
          <w:sz w:val="21"/>
        </w:rPr>
        <w:t>，且在城镇消防站保护范围内时，可采用低压消防给水系统；</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0"/>
          <w:numId w:val="729"/>
        </w:numPr>
        <w:tabs>
          <w:tab w:pos="1367" w:val="left" w:leader="none"/>
        </w:tabs>
        <w:spacing w:line="446" w:lineRule="auto" w:before="47" w:after="0"/>
        <w:ind w:left="418" w:right="1505" w:firstLine="419"/>
        <w:jc w:val="left"/>
        <w:rPr>
          <w:sz w:val="21"/>
        </w:rPr>
      </w:pPr>
      <w:r>
        <w:rPr>
          <w:spacing w:val="-3"/>
          <w:sz w:val="21"/>
        </w:rPr>
        <w:t>堆场等场所宜采用低压消防给水系统，但当可燃物堆场规模大、堆垛高、易起火、扑救难度大，应采用高压或临时高压消防给水系统。</w:t>
      </w:r>
      <w:r>
        <w:rPr>
          <w:sz w:val="21"/>
        </w:rPr>
        <w:t> </w:t>
      </w:r>
    </w:p>
    <w:p>
      <w:pPr>
        <w:pStyle w:val="ListParagraph"/>
        <w:numPr>
          <w:ilvl w:val="2"/>
          <w:numId w:val="726"/>
        </w:numPr>
        <w:tabs>
          <w:tab w:pos="1370" w:val="left" w:leader="none"/>
        </w:tabs>
        <w:spacing w:line="446" w:lineRule="auto" w:before="0" w:after="0"/>
        <w:ind w:left="418" w:right="1505" w:firstLine="422"/>
        <w:jc w:val="left"/>
        <w:rPr>
          <w:sz w:val="21"/>
        </w:rPr>
      </w:pPr>
      <w:r>
        <w:rPr>
          <w:spacing w:val="-2"/>
          <w:sz w:val="21"/>
        </w:rPr>
        <w:t>市政消火栓或消防车从消防水池吸水向建筑供应室外消防给水时，应符合下列规 定</w:t>
      </w:r>
      <w:r>
        <w:rPr>
          <w:spacing w:val="-3"/>
          <w:sz w:val="21"/>
        </w:rPr>
        <w:t>：供消防车吸水的室外消防水池的每个取水口宜按一个室外消火栓计算，且其保护半径不应大</w:t>
      </w:r>
      <w:r>
        <w:rPr>
          <w:spacing w:val="-24"/>
          <w:sz w:val="21"/>
        </w:rPr>
        <w:t>于 </w:t>
      </w:r>
      <w:r>
        <w:rPr>
          <w:sz w:val="21"/>
        </w:rPr>
        <w:t>150m</w:t>
      </w:r>
      <w:r>
        <w:rPr>
          <w:spacing w:val="-9"/>
          <w:sz w:val="21"/>
        </w:rPr>
        <w:t>；距建筑外缘 </w:t>
      </w:r>
      <w:r>
        <w:rPr>
          <w:sz w:val="21"/>
        </w:rPr>
        <w:t>5～150m</w:t>
      </w:r>
      <w:r>
        <w:rPr>
          <w:spacing w:val="-9"/>
          <w:sz w:val="21"/>
        </w:rPr>
        <w:t> 的市政消火栓可计入建筑室外消火栓的数量，但当为消防水泵接</w:t>
      </w:r>
      <w:r>
        <w:rPr>
          <w:spacing w:val="-7"/>
          <w:sz w:val="21"/>
        </w:rPr>
        <w:t>合器供水时，距建筑外缘 </w:t>
      </w:r>
      <w:r>
        <w:rPr>
          <w:sz w:val="21"/>
        </w:rPr>
        <w:t>5～40m</w:t>
      </w:r>
      <w:r>
        <w:rPr>
          <w:spacing w:val="-8"/>
          <w:sz w:val="21"/>
        </w:rPr>
        <w:t> 的市政消火栓可计入建筑室外消火栓的数量；当市政给水管网</w:t>
      </w:r>
      <w:r>
        <w:rPr>
          <w:spacing w:val="-4"/>
          <w:sz w:val="21"/>
        </w:rPr>
        <w:t>为环状时，符合本条上述内容的室外消火栓出流量宜计入建筑室外消火栓设计流量；但当市政</w:t>
      </w:r>
      <w:r>
        <w:rPr>
          <w:spacing w:val="-3"/>
          <w:sz w:val="21"/>
        </w:rPr>
        <w:t>给水管网为枝状时，计入建筑的室外消火栓设计流量不宜超过一个市政消火栓的出流量。</w:t>
      </w:r>
      <w:r>
        <w:rPr>
          <w:sz w:val="21"/>
        </w:rPr>
        <w:t> </w:t>
      </w:r>
    </w:p>
    <w:p>
      <w:pPr>
        <w:pStyle w:val="ListParagraph"/>
        <w:numPr>
          <w:ilvl w:val="2"/>
          <w:numId w:val="726"/>
        </w:numPr>
        <w:tabs>
          <w:tab w:pos="1424" w:val="left" w:leader="none"/>
        </w:tabs>
        <w:spacing w:line="267" w:lineRule="exact" w:before="0" w:after="0"/>
        <w:ind w:left="1423" w:right="0" w:hanging="584"/>
        <w:jc w:val="left"/>
        <w:rPr>
          <w:sz w:val="21"/>
        </w:rPr>
      </w:pPr>
      <w:r>
        <w:rPr>
          <w:spacing w:val="-3"/>
          <w:sz w:val="21"/>
        </w:rPr>
        <w:t>当室外采用高压或临时高压消防给水系统时，宜与室内消防给水合用。 </w:t>
      </w:r>
    </w:p>
    <w:p>
      <w:pPr>
        <w:pStyle w:val="BodyText"/>
        <w:rPr>
          <w:sz w:val="18"/>
        </w:rPr>
      </w:pPr>
    </w:p>
    <w:p>
      <w:pPr>
        <w:pStyle w:val="ListParagraph"/>
        <w:numPr>
          <w:ilvl w:val="2"/>
          <w:numId w:val="726"/>
        </w:numPr>
        <w:tabs>
          <w:tab w:pos="1424" w:val="left" w:leader="none"/>
        </w:tabs>
        <w:spacing w:line="240" w:lineRule="auto" w:before="0" w:after="0"/>
        <w:ind w:left="1423" w:right="0" w:hanging="584"/>
        <w:jc w:val="left"/>
        <w:rPr>
          <w:sz w:val="21"/>
        </w:rPr>
      </w:pPr>
      <w:r>
        <w:rPr>
          <w:spacing w:val="-3"/>
          <w:sz w:val="21"/>
        </w:rPr>
        <w:t>独立的室外临时高压消防给水系统宜采用稳压泵维持系统的充水和压力。</w:t>
      </w:r>
      <w:r>
        <w:rPr>
          <w:sz w:val="21"/>
        </w:rPr>
        <w:t> </w:t>
      </w:r>
    </w:p>
    <w:p>
      <w:pPr>
        <w:pStyle w:val="BodyText"/>
        <w:spacing w:before="12"/>
        <w:rPr>
          <w:sz w:val="17"/>
        </w:rPr>
      </w:pPr>
    </w:p>
    <w:p>
      <w:pPr>
        <w:pStyle w:val="ListParagraph"/>
        <w:numPr>
          <w:ilvl w:val="2"/>
          <w:numId w:val="726"/>
        </w:numPr>
        <w:tabs>
          <w:tab w:pos="1424" w:val="left" w:leader="none"/>
        </w:tabs>
        <w:spacing w:line="446" w:lineRule="auto" w:before="0" w:after="0"/>
        <w:ind w:left="418" w:right="1445" w:firstLine="422"/>
        <w:jc w:val="left"/>
        <w:rPr>
          <w:sz w:val="21"/>
        </w:rPr>
      </w:pPr>
      <w:r>
        <w:rPr>
          <w:spacing w:val="-3"/>
          <w:sz w:val="21"/>
        </w:rPr>
        <w:t>室内应采用高压或临时高压消防给水系统，且不应与生产生活给水系统合用；但当自动喷水灭火系统局部应用系统和仅设有消防软管卷盘或轻便水龙的室内消防给水系统时，可与 生产生活给水系统合用。</w:t>
      </w:r>
      <w:r>
        <w:rPr>
          <w:sz w:val="21"/>
        </w:rPr>
        <w:t> </w:t>
      </w:r>
    </w:p>
    <w:p>
      <w:pPr>
        <w:pStyle w:val="ListParagraph"/>
        <w:numPr>
          <w:ilvl w:val="2"/>
          <w:numId w:val="726"/>
        </w:numPr>
        <w:tabs>
          <w:tab w:pos="1424" w:val="left" w:leader="none"/>
        </w:tabs>
        <w:spacing w:line="268" w:lineRule="exact" w:before="0" w:after="0"/>
        <w:ind w:left="1423" w:right="0" w:hanging="584"/>
        <w:jc w:val="left"/>
        <w:rPr>
          <w:sz w:val="21"/>
        </w:rPr>
      </w:pPr>
      <w:r>
        <w:rPr>
          <w:spacing w:val="-3"/>
          <w:sz w:val="21"/>
        </w:rPr>
        <w:t>室内采用临时高压消防给水系统时，高位消防水箱的设置应符合下列规定： </w:t>
      </w:r>
    </w:p>
    <w:p>
      <w:pPr>
        <w:pStyle w:val="BodyText"/>
        <w:spacing w:before="3"/>
        <w:rPr>
          <w:sz w:val="17"/>
        </w:rPr>
      </w:pPr>
    </w:p>
    <w:p>
      <w:pPr>
        <w:pStyle w:val="ListParagraph"/>
        <w:numPr>
          <w:ilvl w:val="0"/>
          <w:numId w:val="730"/>
        </w:numPr>
        <w:tabs>
          <w:tab w:pos="1367" w:val="left" w:leader="none"/>
        </w:tabs>
        <w:spacing w:line="446" w:lineRule="auto" w:before="0" w:after="0"/>
        <w:ind w:left="418" w:right="1791" w:firstLine="419"/>
        <w:jc w:val="left"/>
        <w:rPr>
          <w:sz w:val="21"/>
        </w:rPr>
      </w:pPr>
      <w:r>
        <w:rPr>
          <w:spacing w:val="-6"/>
          <w:sz w:val="21"/>
        </w:rPr>
        <w:t>高层民用建筑、总建筑面积大于 </w:t>
      </w:r>
      <w:r>
        <w:rPr>
          <w:sz w:val="21"/>
        </w:rPr>
        <w:t>10000m</w:t>
      </w:r>
      <w:r>
        <w:rPr>
          <w:position w:val="11"/>
          <w:sz w:val="11"/>
        </w:rPr>
        <w:t>2</w:t>
      </w:r>
      <w:r>
        <w:rPr>
          <w:spacing w:val="-24"/>
          <w:position w:val="11"/>
          <w:sz w:val="11"/>
        </w:rPr>
        <w:t> </w:t>
      </w:r>
      <w:r>
        <w:rPr>
          <w:spacing w:val="-10"/>
          <w:sz w:val="21"/>
        </w:rPr>
        <w:t>且层数超过 </w:t>
      </w:r>
      <w:r>
        <w:rPr>
          <w:sz w:val="21"/>
        </w:rPr>
        <w:t>2</w:t>
      </w:r>
      <w:r>
        <w:rPr>
          <w:spacing w:val="-8"/>
          <w:sz w:val="21"/>
        </w:rPr>
        <w:t> 层的公共建筑和其他重要建</w:t>
      </w:r>
      <w:r>
        <w:rPr>
          <w:spacing w:val="-5"/>
          <w:sz w:val="21"/>
        </w:rPr>
        <w:t>筑，必须设置高位消防水箱；</w:t>
      </w:r>
      <w:r>
        <w:rPr>
          <w:sz w:val="21"/>
        </w:rPr>
        <w:t> </w:t>
      </w:r>
    </w:p>
    <w:p>
      <w:pPr>
        <w:pStyle w:val="ListParagraph"/>
        <w:numPr>
          <w:ilvl w:val="0"/>
          <w:numId w:val="730"/>
        </w:numPr>
        <w:tabs>
          <w:tab w:pos="1367" w:val="left" w:leader="none"/>
        </w:tabs>
        <w:spacing w:line="446" w:lineRule="auto" w:before="0" w:after="0"/>
        <w:ind w:left="418" w:right="1505" w:firstLine="419"/>
        <w:jc w:val="left"/>
        <w:rPr>
          <w:sz w:val="21"/>
        </w:rPr>
      </w:pPr>
      <w:r>
        <w:rPr>
          <w:spacing w:val="-3"/>
          <w:sz w:val="21"/>
        </w:rPr>
        <w:t>其他建筑应设置高位消防水箱，但当设置高位消防水箱确有困难，且采用安全可靠的消防给水形式时，可不设高位消防水箱，但应设稳压泵；</w:t>
      </w:r>
      <w:r>
        <w:rPr>
          <w:sz w:val="21"/>
        </w:rPr>
        <w:t> </w:t>
      </w:r>
    </w:p>
    <w:p>
      <w:pPr>
        <w:pStyle w:val="ListParagraph"/>
        <w:numPr>
          <w:ilvl w:val="0"/>
          <w:numId w:val="730"/>
        </w:numPr>
        <w:tabs>
          <w:tab w:pos="1367" w:val="left" w:leader="none"/>
        </w:tabs>
        <w:spacing w:line="446" w:lineRule="auto" w:before="0" w:after="0"/>
        <w:ind w:left="418" w:right="1505" w:firstLine="419"/>
        <w:jc w:val="left"/>
        <w:rPr>
          <w:sz w:val="21"/>
        </w:rPr>
      </w:pPr>
      <w:r>
        <w:rPr>
          <w:spacing w:val="-3"/>
          <w:sz w:val="21"/>
        </w:rPr>
        <w:t>当市政供水管网的供水能力在满足生产、生活最大小时用水量后，仍能满足初期火灾所需的消防流量和压力时，市政直接供水可替代高位消防水箱。</w:t>
      </w:r>
      <w:r>
        <w:rPr>
          <w:sz w:val="21"/>
        </w:rPr>
        <w:t> </w:t>
      </w:r>
    </w:p>
    <w:p>
      <w:pPr>
        <w:pStyle w:val="ListParagraph"/>
        <w:numPr>
          <w:ilvl w:val="2"/>
          <w:numId w:val="726"/>
        </w:numPr>
        <w:tabs>
          <w:tab w:pos="1478" w:val="left" w:leader="none"/>
        </w:tabs>
        <w:spacing w:line="267" w:lineRule="exact" w:before="0" w:after="0"/>
        <w:ind w:left="1477" w:right="0" w:hanging="638"/>
        <w:jc w:val="left"/>
        <w:rPr>
          <w:sz w:val="21"/>
        </w:rPr>
      </w:pPr>
      <w:r>
        <w:rPr>
          <w:spacing w:val="-3"/>
          <w:sz w:val="21"/>
        </w:rPr>
        <w:t>当室内临时高压消防给水系统仅采用稳压泵稳压，且为室外消火栓设计流量大于</w:t>
      </w:r>
    </w:p>
    <w:p>
      <w:pPr>
        <w:pStyle w:val="BodyText"/>
        <w:spacing w:before="1"/>
        <w:rPr>
          <w:sz w:val="18"/>
        </w:rPr>
      </w:pPr>
    </w:p>
    <w:p>
      <w:pPr>
        <w:pStyle w:val="BodyText"/>
        <w:ind w:left="418"/>
      </w:pPr>
      <w:r>
        <w:rPr/>
        <w:t>20L/s 的建筑和建筑高度大于 54m 的住宅时，消防水泵的供电或备用动力应符合下列要求： </w:t>
      </w:r>
    </w:p>
    <w:p>
      <w:pPr>
        <w:pStyle w:val="BodyText"/>
        <w:rPr>
          <w:sz w:val="18"/>
        </w:rPr>
      </w:pPr>
    </w:p>
    <w:p>
      <w:pPr>
        <w:pStyle w:val="ListParagraph"/>
        <w:numPr>
          <w:ilvl w:val="0"/>
          <w:numId w:val="731"/>
        </w:numPr>
        <w:tabs>
          <w:tab w:pos="1367" w:val="left" w:leader="none"/>
        </w:tabs>
        <w:spacing w:line="446" w:lineRule="auto" w:before="0" w:after="0"/>
        <w:ind w:left="418" w:right="1505" w:firstLine="419"/>
        <w:jc w:val="left"/>
        <w:rPr>
          <w:sz w:val="21"/>
        </w:rPr>
      </w:pPr>
      <w:r>
        <w:rPr>
          <w:spacing w:val="-3"/>
          <w:sz w:val="21"/>
        </w:rPr>
        <w:t>消防水泵应按一级负荷要求供电，当不能满足一级负荷要求供电时应采用柴油发电机组作备用动力；</w:t>
      </w:r>
      <w:r>
        <w:rPr>
          <w:sz w:val="21"/>
        </w:rPr>
        <w:t> </w:t>
      </w:r>
    </w:p>
    <w:p>
      <w:pPr>
        <w:pStyle w:val="ListParagraph"/>
        <w:numPr>
          <w:ilvl w:val="0"/>
          <w:numId w:val="731"/>
        </w:numPr>
        <w:tabs>
          <w:tab w:pos="1367" w:val="left" w:leader="none"/>
        </w:tabs>
        <w:spacing w:line="240" w:lineRule="auto" w:before="0" w:after="0"/>
        <w:ind w:left="1367" w:right="0" w:hanging="529"/>
        <w:jc w:val="left"/>
        <w:rPr>
          <w:sz w:val="21"/>
        </w:rPr>
      </w:pPr>
      <w:r>
        <w:rPr>
          <w:spacing w:val="-3"/>
          <w:sz w:val="21"/>
        </w:rPr>
        <w:t>工业建筑备用泵宜采用柴油机消防水泵。</w:t>
      </w:r>
      <w:r>
        <w:rPr>
          <w:sz w:val="21"/>
        </w:rPr>
        <w:t> </w:t>
      </w:r>
    </w:p>
    <w:p>
      <w:pPr>
        <w:pStyle w:val="BodyText"/>
        <w:rPr>
          <w:sz w:val="18"/>
        </w:rPr>
      </w:pPr>
    </w:p>
    <w:p>
      <w:pPr>
        <w:pStyle w:val="ListParagraph"/>
        <w:numPr>
          <w:ilvl w:val="2"/>
          <w:numId w:val="726"/>
        </w:numPr>
        <w:tabs>
          <w:tab w:pos="1530" w:val="left" w:leader="none"/>
        </w:tabs>
        <w:spacing w:line="240" w:lineRule="auto" w:before="0" w:after="0"/>
        <w:ind w:left="1529" w:right="0" w:hanging="690"/>
        <w:jc w:val="left"/>
        <w:rPr>
          <w:sz w:val="21"/>
        </w:rPr>
      </w:pPr>
      <w:r>
        <w:rPr>
          <w:spacing w:val="-3"/>
          <w:sz w:val="21"/>
        </w:rPr>
        <w:t>建筑群共用临时高压消防给水系统时，应符合下列规定：</w:t>
      </w:r>
      <w:r>
        <w:rPr>
          <w:sz w:val="21"/>
        </w:rPr>
        <w:t> </w:t>
      </w:r>
    </w:p>
    <w:p>
      <w:pPr>
        <w:pStyle w:val="BodyText"/>
        <w:spacing w:before="2"/>
        <w:rPr>
          <w:sz w:val="17"/>
        </w:rPr>
      </w:pPr>
    </w:p>
    <w:p>
      <w:pPr>
        <w:pStyle w:val="ListParagraph"/>
        <w:numPr>
          <w:ilvl w:val="0"/>
          <w:numId w:val="732"/>
        </w:numPr>
        <w:tabs>
          <w:tab w:pos="1367" w:val="left" w:leader="none"/>
        </w:tabs>
        <w:spacing w:line="240" w:lineRule="auto" w:before="0" w:after="0"/>
        <w:ind w:left="1367" w:right="0" w:hanging="529"/>
        <w:jc w:val="left"/>
        <w:rPr>
          <w:sz w:val="21"/>
        </w:rPr>
      </w:pPr>
      <w:r>
        <w:rPr>
          <w:spacing w:val="-6"/>
          <w:sz w:val="21"/>
        </w:rPr>
        <w:t>工矿企业消防供水的最大保护半径不宜超过 </w:t>
      </w:r>
      <w:r>
        <w:rPr>
          <w:sz w:val="21"/>
        </w:rPr>
        <w:t>1200m</w:t>
      </w:r>
      <w:r>
        <w:rPr>
          <w:spacing w:val="-8"/>
          <w:sz w:val="21"/>
        </w:rPr>
        <w:t>，且占地面积不宜大于 </w:t>
      </w:r>
      <w:r>
        <w:rPr>
          <w:sz w:val="21"/>
        </w:rPr>
        <w:t>200hm</w:t>
      </w:r>
      <w:r>
        <w:rPr>
          <w:position w:val="11"/>
          <w:sz w:val="11"/>
        </w:rPr>
        <w:t>2</w:t>
      </w:r>
      <w:r>
        <w:rPr>
          <w:sz w:val="21"/>
        </w:rPr>
        <w:t>； </w:t>
      </w:r>
    </w:p>
    <w:p>
      <w:pPr>
        <w:pStyle w:val="BodyText"/>
        <w:spacing w:before="5"/>
        <w:rPr>
          <w:sz w:val="17"/>
        </w:rPr>
      </w:pPr>
    </w:p>
    <w:p>
      <w:pPr>
        <w:pStyle w:val="ListParagraph"/>
        <w:numPr>
          <w:ilvl w:val="0"/>
          <w:numId w:val="732"/>
        </w:numPr>
        <w:tabs>
          <w:tab w:pos="1367" w:val="left" w:leader="none"/>
        </w:tabs>
        <w:spacing w:line="240" w:lineRule="auto" w:before="0" w:after="0"/>
        <w:ind w:left="1367" w:right="0" w:hanging="529"/>
        <w:jc w:val="left"/>
        <w:rPr>
          <w:sz w:val="21"/>
        </w:rPr>
      </w:pPr>
      <w:r>
        <w:rPr>
          <w:spacing w:val="-6"/>
          <w:sz w:val="21"/>
        </w:rPr>
        <w:t>居住小区消防供水的最大保护建筑面积不宜超过 </w:t>
      </w:r>
      <w:r>
        <w:rPr>
          <w:sz w:val="21"/>
        </w:rPr>
        <w:t>500000m</w:t>
      </w:r>
      <w:r>
        <w:rPr>
          <w:position w:val="11"/>
          <w:sz w:val="11"/>
        </w:rPr>
        <w:t>2</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732"/>
        </w:numPr>
        <w:tabs>
          <w:tab w:pos="1367" w:val="left" w:leader="none"/>
        </w:tabs>
        <w:spacing w:line="240" w:lineRule="auto" w:before="47" w:after="0"/>
        <w:ind w:left="1367" w:right="0" w:hanging="529"/>
        <w:jc w:val="left"/>
        <w:rPr>
          <w:sz w:val="21"/>
        </w:rPr>
      </w:pPr>
      <w:r>
        <w:rPr>
          <w:spacing w:val="-3"/>
          <w:sz w:val="21"/>
        </w:rPr>
        <w:t>公共建筑宜为同一产权或物业管理单位。</w:t>
      </w:r>
      <w:r>
        <w:rPr>
          <w:sz w:val="21"/>
        </w:rPr>
        <w:t> </w:t>
      </w:r>
    </w:p>
    <w:p>
      <w:pPr>
        <w:pStyle w:val="BodyText"/>
        <w:rPr>
          <w:sz w:val="18"/>
        </w:rPr>
      </w:pPr>
    </w:p>
    <w:p>
      <w:pPr>
        <w:pStyle w:val="ListParagraph"/>
        <w:numPr>
          <w:ilvl w:val="2"/>
          <w:numId w:val="726"/>
        </w:numPr>
        <w:tabs>
          <w:tab w:pos="1530" w:val="left" w:leader="none"/>
        </w:tabs>
        <w:spacing w:line="446" w:lineRule="auto" w:before="0" w:after="0"/>
        <w:ind w:left="418" w:right="1549" w:firstLine="422"/>
        <w:jc w:val="both"/>
        <w:rPr>
          <w:sz w:val="21"/>
        </w:rPr>
      </w:pPr>
      <w:r>
        <w:rPr>
          <w:spacing w:val="-3"/>
          <w:sz w:val="21"/>
        </w:rPr>
        <w:t>当市政给水管网能满足生产生活和消防给水设计流量，且市政允许消防水泵直接吸水时，临时高压消防给水系统的消防水泵宜直接从市政给水管网吸水，但城镇市政消防给水设计流量宜大于建筑的室内外消防给水设计流量之和。 </w:t>
      </w:r>
    </w:p>
    <w:p>
      <w:pPr>
        <w:pStyle w:val="ListParagraph"/>
        <w:numPr>
          <w:ilvl w:val="2"/>
          <w:numId w:val="726"/>
        </w:numPr>
        <w:tabs>
          <w:tab w:pos="1530" w:val="left" w:leader="none"/>
        </w:tabs>
        <w:spacing w:line="444" w:lineRule="auto" w:before="0" w:after="0"/>
        <w:ind w:left="418" w:right="1448" w:firstLine="422"/>
        <w:jc w:val="left"/>
        <w:rPr>
          <w:sz w:val="21"/>
        </w:rPr>
      </w:pPr>
      <w:r>
        <w:rPr>
          <w:spacing w:val="-7"/>
          <w:sz w:val="21"/>
        </w:rPr>
        <w:t>当建筑物高度超过 </w:t>
      </w:r>
      <w:r>
        <w:rPr>
          <w:sz w:val="21"/>
        </w:rPr>
        <w:t>100m</w:t>
      </w:r>
      <w:r>
        <w:rPr>
          <w:spacing w:val="-8"/>
          <w:sz w:val="21"/>
        </w:rPr>
        <w:t> 时，室内消防给水系统应分析比较多种系统的可靠性，采用</w:t>
      </w:r>
      <w:r>
        <w:rPr>
          <w:spacing w:val="-5"/>
          <w:sz w:val="21"/>
        </w:rPr>
        <w:t>安全可靠的消防给水形式；当采用常高压消防给水系统时，但高位消防水池无法满足上部楼层 </w:t>
      </w:r>
      <w:r>
        <w:rPr>
          <w:spacing w:val="-4"/>
          <w:sz w:val="21"/>
        </w:rPr>
        <w:t>所需的压力和流量时，上部楼层应采用临时高压消防给水系统，该系统的高位消防水箱的有效 </w:t>
      </w:r>
      <w:r>
        <w:rPr>
          <w:spacing w:val="-9"/>
          <w:sz w:val="21"/>
        </w:rPr>
        <w:t>容积应按本规范第 </w:t>
      </w:r>
      <w:r>
        <w:rPr>
          <w:sz w:val="21"/>
        </w:rPr>
        <w:t>5.2.1</w:t>
      </w:r>
      <w:r>
        <w:rPr>
          <w:spacing w:val="-11"/>
          <w:sz w:val="21"/>
        </w:rPr>
        <w:t> 条的规定根据该系统供水高度确定，且不应小于 </w:t>
      </w:r>
      <w:r>
        <w:rPr>
          <w:sz w:val="21"/>
        </w:rPr>
        <w:t>18m</w:t>
      </w:r>
      <w:r>
        <w:rPr>
          <w:position w:val="11"/>
          <w:sz w:val="11"/>
        </w:rPr>
        <w:t>3</w:t>
      </w:r>
      <w:r>
        <w:rPr>
          <w:sz w:val="21"/>
        </w:rPr>
        <w:t>。 </w:t>
      </w:r>
    </w:p>
    <w:p>
      <w:pPr>
        <w:pStyle w:val="ListParagraph"/>
        <w:numPr>
          <w:ilvl w:val="1"/>
          <w:numId w:val="726"/>
        </w:numPr>
        <w:tabs>
          <w:tab w:pos="1159" w:val="left" w:leader="none"/>
        </w:tabs>
        <w:spacing w:line="268" w:lineRule="exact" w:before="0" w:after="0"/>
        <w:ind w:left="1158" w:right="0" w:hanging="319"/>
        <w:jc w:val="left"/>
        <w:rPr>
          <w:sz w:val="21"/>
        </w:rPr>
      </w:pPr>
      <w:r>
        <w:rPr>
          <w:spacing w:val="-3"/>
          <w:sz w:val="21"/>
        </w:rPr>
        <w:t>分区供水</w:t>
      </w:r>
      <w:r>
        <w:rPr>
          <w:sz w:val="21"/>
        </w:rPr>
        <w:t> </w:t>
      </w:r>
    </w:p>
    <w:p>
      <w:pPr>
        <w:pStyle w:val="BodyText"/>
        <w:spacing w:before="1"/>
        <w:rPr>
          <w:sz w:val="18"/>
        </w:rPr>
      </w:pPr>
    </w:p>
    <w:p>
      <w:pPr>
        <w:pStyle w:val="ListParagraph"/>
        <w:numPr>
          <w:ilvl w:val="2"/>
          <w:numId w:val="726"/>
        </w:numPr>
        <w:tabs>
          <w:tab w:pos="1424" w:val="left" w:leader="none"/>
        </w:tabs>
        <w:spacing w:line="240" w:lineRule="auto" w:before="0" w:after="0"/>
        <w:ind w:left="1423" w:right="0" w:hanging="584"/>
        <w:jc w:val="left"/>
        <w:rPr>
          <w:sz w:val="21"/>
        </w:rPr>
      </w:pPr>
      <w:r>
        <w:rPr>
          <w:spacing w:val="-3"/>
          <w:sz w:val="21"/>
        </w:rPr>
        <w:t>符合下列条件时，消防给水系统应分区供水： </w:t>
      </w:r>
    </w:p>
    <w:p>
      <w:pPr>
        <w:pStyle w:val="BodyText"/>
        <w:spacing w:before="12"/>
        <w:rPr>
          <w:sz w:val="17"/>
        </w:rPr>
      </w:pPr>
    </w:p>
    <w:p>
      <w:pPr>
        <w:pStyle w:val="ListParagraph"/>
        <w:numPr>
          <w:ilvl w:val="0"/>
          <w:numId w:val="733"/>
        </w:numPr>
        <w:tabs>
          <w:tab w:pos="1367" w:val="left" w:leader="none"/>
        </w:tabs>
        <w:spacing w:line="240" w:lineRule="auto" w:before="0" w:after="0"/>
        <w:ind w:left="1367" w:right="0" w:hanging="529"/>
        <w:jc w:val="left"/>
        <w:rPr>
          <w:sz w:val="21"/>
        </w:rPr>
      </w:pPr>
      <w:r>
        <w:rPr>
          <w:spacing w:val="-9"/>
          <w:sz w:val="21"/>
        </w:rPr>
        <w:t>系统工作压力大于 </w:t>
      </w:r>
      <w:r>
        <w:rPr>
          <w:sz w:val="21"/>
        </w:rPr>
        <w:t>2.40MPa； </w:t>
      </w:r>
    </w:p>
    <w:p>
      <w:pPr>
        <w:pStyle w:val="BodyText"/>
        <w:spacing w:before="12"/>
        <w:rPr>
          <w:sz w:val="17"/>
        </w:rPr>
      </w:pPr>
    </w:p>
    <w:p>
      <w:pPr>
        <w:pStyle w:val="ListParagraph"/>
        <w:numPr>
          <w:ilvl w:val="0"/>
          <w:numId w:val="733"/>
        </w:numPr>
        <w:tabs>
          <w:tab w:pos="1367" w:val="left" w:leader="none"/>
        </w:tabs>
        <w:spacing w:line="240" w:lineRule="auto" w:before="0" w:after="0"/>
        <w:ind w:left="1367" w:right="0" w:hanging="529"/>
        <w:jc w:val="left"/>
        <w:rPr>
          <w:sz w:val="21"/>
        </w:rPr>
      </w:pPr>
      <w:r>
        <w:rPr>
          <w:spacing w:val="-8"/>
          <w:sz w:val="21"/>
        </w:rPr>
        <w:t>消火栓栓口处静压大于 </w:t>
      </w:r>
      <w:r>
        <w:rPr>
          <w:sz w:val="21"/>
        </w:rPr>
        <w:t>1.0MPa； </w:t>
      </w:r>
      <w:r>
        <w:rPr>
          <w:spacing w:val="-2"/>
          <w:sz w:val="21"/>
        </w:rPr>
        <w:t> </w:t>
      </w:r>
      <w:r>
        <w:rPr>
          <w:w w:val="100"/>
          <w:sz w:val="21"/>
        </w:rPr>
        <w:t> </w:t>
      </w:r>
    </w:p>
    <w:p>
      <w:pPr>
        <w:pStyle w:val="BodyText"/>
        <w:spacing w:before="2"/>
        <w:rPr>
          <w:sz w:val="18"/>
        </w:rPr>
      </w:pPr>
    </w:p>
    <w:p>
      <w:pPr>
        <w:pStyle w:val="ListParagraph"/>
        <w:numPr>
          <w:ilvl w:val="0"/>
          <w:numId w:val="733"/>
        </w:numPr>
        <w:tabs>
          <w:tab w:pos="1367" w:val="left" w:leader="none"/>
        </w:tabs>
        <w:spacing w:line="240" w:lineRule="auto" w:before="0" w:after="0"/>
        <w:ind w:left="1367" w:right="0" w:hanging="529"/>
        <w:jc w:val="left"/>
        <w:rPr>
          <w:sz w:val="21"/>
        </w:rPr>
      </w:pPr>
      <w:r>
        <w:rPr>
          <w:spacing w:val="-6"/>
          <w:sz w:val="21"/>
        </w:rPr>
        <w:t>自动水灭火系统报警阀处的工作压力大于 </w:t>
      </w:r>
      <w:r>
        <w:rPr>
          <w:sz w:val="21"/>
        </w:rPr>
        <w:t>1.60MPa</w:t>
      </w:r>
      <w:r>
        <w:rPr>
          <w:spacing w:val="-9"/>
          <w:sz w:val="21"/>
        </w:rPr>
        <w:t> 或喷头处的工作压力大于</w:t>
      </w:r>
    </w:p>
    <w:p>
      <w:pPr>
        <w:pStyle w:val="BodyText"/>
        <w:rPr>
          <w:sz w:val="18"/>
        </w:rPr>
      </w:pPr>
    </w:p>
    <w:p>
      <w:pPr>
        <w:pStyle w:val="BodyText"/>
        <w:ind w:left="418"/>
      </w:pPr>
      <w:r>
        <w:rPr/>
        <w:t>1.20MPa。 </w:t>
      </w:r>
    </w:p>
    <w:p>
      <w:pPr>
        <w:pStyle w:val="BodyText"/>
        <w:rPr>
          <w:sz w:val="18"/>
        </w:rPr>
      </w:pPr>
    </w:p>
    <w:p>
      <w:pPr>
        <w:pStyle w:val="ListParagraph"/>
        <w:numPr>
          <w:ilvl w:val="2"/>
          <w:numId w:val="726"/>
        </w:numPr>
        <w:tabs>
          <w:tab w:pos="1424" w:val="left" w:leader="none"/>
        </w:tabs>
        <w:spacing w:line="446" w:lineRule="auto" w:before="0" w:after="0"/>
        <w:ind w:left="418" w:right="1657" w:firstLine="422"/>
        <w:jc w:val="left"/>
        <w:rPr>
          <w:sz w:val="21"/>
        </w:rPr>
      </w:pPr>
      <w:r>
        <w:rPr>
          <w:spacing w:val="-3"/>
          <w:sz w:val="21"/>
        </w:rPr>
        <w:t>分区供水形式应根据系统压力、建筑特征，经技术经济和安全可靠性等综合因素确定，可采用消防水泵并行或串联、减压水箱和减压阀减压的形式，但当系统的工作压力大于2.40MPa</w:t>
      </w:r>
      <w:r>
        <w:rPr>
          <w:spacing w:val="-9"/>
          <w:sz w:val="21"/>
        </w:rPr>
        <w:t> 时，应采用消防水泵串联或减压水箱分区供水形式。</w:t>
      </w:r>
      <w:r>
        <w:rPr>
          <w:sz w:val="21"/>
        </w:rPr>
        <w:t> </w:t>
      </w:r>
    </w:p>
    <w:p>
      <w:pPr>
        <w:pStyle w:val="ListParagraph"/>
        <w:numPr>
          <w:ilvl w:val="2"/>
          <w:numId w:val="726"/>
        </w:numPr>
        <w:tabs>
          <w:tab w:pos="1370" w:val="left" w:leader="none"/>
        </w:tabs>
        <w:spacing w:line="446" w:lineRule="auto" w:before="0" w:after="0"/>
        <w:ind w:left="418" w:right="1604" w:firstLine="422"/>
        <w:jc w:val="left"/>
        <w:rPr>
          <w:sz w:val="21"/>
        </w:rPr>
      </w:pPr>
      <w:r>
        <w:rPr>
          <w:spacing w:val="-3"/>
          <w:sz w:val="21"/>
        </w:rPr>
        <w:t>采用消防水泵串联分区供水时，宜采用消防水泵转输水箱串联供水方式，并应符合下列规定：</w:t>
      </w:r>
      <w:r>
        <w:rPr>
          <w:sz w:val="21"/>
        </w:rPr>
        <w:t> </w:t>
      </w:r>
    </w:p>
    <w:p>
      <w:pPr>
        <w:pStyle w:val="ListParagraph"/>
        <w:numPr>
          <w:ilvl w:val="0"/>
          <w:numId w:val="734"/>
        </w:numPr>
        <w:tabs>
          <w:tab w:pos="1367" w:val="left" w:leader="none"/>
        </w:tabs>
        <w:spacing w:line="446" w:lineRule="auto" w:before="0" w:after="0"/>
        <w:ind w:left="418" w:right="1505" w:firstLine="419"/>
        <w:jc w:val="left"/>
        <w:rPr>
          <w:sz w:val="21"/>
        </w:rPr>
      </w:pPr>
      <w:r>
        <w:rPr>
          <w:spacing w:val="-4"/>
          <w:sz w:val="21"/>
        </w:rPr>
        <w:t>当采用消防水泵转输水箱串联时，转输水箱的有效储水容积不应小于 </w:t>
      </w:r>
      <w:r>
        <w:rPr>
          <w:sz w:val="21"/>
        </w:rPr>
        <w:t>60m</w:t>
      </w:r>
      <w:r>
        <w:rPr>
          <w:position w:val="11"/>
          <w:sz w:val="11"/>
        </w:rPr>
        <w:t>3</w:t>
      </w:r>
      <w:r>
        <w:rPr>
          <w:spacing w:val="-3"/>
          <w:sz w:val="21"/>
        </w:rPr>
        <w:t>，转输水箱可作为高位消防水箱；</w:t>
      </w:r>
      <w:r>
        <w:rPr>
          <w:sz w:val="21"/>
        </w:rPr>
        <w:t> </w:t>
      </w:r>
    </w:p>
    <w:p>
      <w:pPr>
        <w:pStyle w:val="ListParagraph"/>
        <w:numPr>
          <w:ilvl w:val="0"/>
          <w:numId w:val="734"/>
        </w:numPr>
        <w:tabs>
          <w:tab w:pos="1367" w:val="left" w:leader="none"/>
        </w:tabs>
        <w:spacing w:line="240" w:lineRule="auto" w:before="0" w:after="0"/>
        <w:ind w:left="1367" w:right="0" w:hanging="529"/>
        <w:jc w:val="left"/>
        <w:rPr>
          <w:sz w:val="21"/>
        </w:rPr>
      </w:pPr>
      <w:r>
        <w:rPr>
          <w:spacing w:val="-3"/>
          <w:sz w:val="21"/>
        </w:rPr>
        <w:t>串联转输水箱的溢流管宜连接到消防水池；</w:t>
      </w:r>
      <w:r>
        <w:rPr>
          <w:sz w:val="21"/>
        </w:rPr>
        <w:t> </w:t>
      </w:r>
    </w:p>
    <w:p>
      <w:pPr>
        <w:pStyle w:val="BodyText"/>
        <w:spacing w:before="1"/>
        <w:rPr>
          <w:sz w:val="17"/>
        </w:rPr>
      </w:pPr>
    </w:p>
    <w:p>
      <w:pPr>
        <w:pStyle w:val="ListParagraph"/>
        <w:numPr>
          <w:ilvl w:val="0"/>
          <w:numId w:val="734"/>
        </w:numPr>
        <w:tabs>
          <w:tab w:pos="1367" w:val="left" w:leader="none"/>
        </w:tabs>
        <w:spacing w:line="446" w:lineRule="auto" w:before="0" w:after="0"/>
        <w:ind w:left="418" w:right="1505" w:firstLine="419"/>
        <w:jc w:val="left"/>
        <w:rPr>
          <w:sz w:val="21"/>
        </w:rPr>
      </w:pPr>
      <w:r>
        <w:rPr>
          <w:spacing w:val="-3"/>
          <w:sz w:val="21"/>
        </w:rPr>
        <w:t>当采用消防水泵直接串联时，应采取确保供水可靠性的措施，且消防水泵从低区到高区应能依次顺序启动；</w:t>
      </w:r>
      <w:r>
        <w:rPr>
          <w:sz w:val="21"/>
        </w:rPr>
        <w:t> </w:t>
      </w:r>
    </w:p>
    <w:p>
      <w:pPr>
        <w:pStyle w:val="ListParagraph"/>
        <w:numPr>
          <w:ilvl w:val="0"/>
          <w:numId w:val="734"/>
        </w:numPr>
        <w:tabs>
          <w:tab w:pos="1367" w:val="left" w:leader="none"/>
        </w:tabs>
        <w:spacing w:line="446" w:lineRule="auto" w:before="0" w:after="0"/>
        <w:ind w:left="418" w:right="1505" w:firstLine="419"/>
        <w:jc w:val="left"/>
        <w:rPr>
          <w:sz w:val="21"/>
        </w:rPr>
      </w:pPr>
      <w:r>
        <w:rPr>
          <w:spacing w:val="-3"/>
          <w:sz w:val="21"/>
        </w:rPr>
        <w:t>当采用消防水泵直接串联时，应校核系统供水压力，并应在串联消防水泵出水管上设置减压型倒流防止器。</w:t>
      </w:r>
      <w:r>
        <w:rPr>
          <w:sz w:val="21"/>
        </w:rPr>
        <w:t> </w:t>
      </w:r>
    </w:p>
    <w:p>
      <w:pPr>
        <w:pStyle w:val="ListParagraph"/>
        <w:numPr>
          <w:ilvl w:val="2"/>
          <w:numId w:val="726"/>
        </w:numPr>
        <w:tabs>
          <w:tab w:pos="1424" w:val="left" w:leader="none"/>
        </w:tabs>
        <w:spacing w:line="267" w:lineRule="exact" w:before="0" w:after="0"/>
        <w:ind w:left="1423" w:right="0" w:hanging="584"/>
        <w:jc w:val="left"/>
        <w:rPr>
          <w:sz w:val="21"/>
        </w:rPr>
      </w:pPr>
      <w:r>
        <w:rPr>
          <w:spacing w:val="-3"/>
          <w:sz w:val="21"/>
        </w:rPr>
        <w:t>采用减压阀减压分区供水时应符合下列规定： </w:t>
      </w:r>
    </w:p>
    <w:p>
      <w:pPr>
        <w:pStyle w:val="BodyText"/>
        <w:spacing w:before="2"/>
        <w:rPr>
          <w:sz w:val="18"/>
        </w:rPr>
      </w:pPr>
    </w:p>
    <w:p>
      <w:pPr>
        <w:pStyle w:val="ListParagraph"/>
        <w:numPr>
          <w:ilvl w:val="0"/>
          <w:numId w:val="735"/>
        </w:numPr>
        <w:tabs>
          <w:tab w:pos="1367" w:val="left" w:leader="none"/>
        </w:tabs>
        <w:spacing w:line="240" w:lineRule="auto" w:before="0" w:after="0"/>
        <w:ind w:left="1367" w:right="0" w:hanging="529"/>
        <w:jc w:val="left"/>
        <w:rPr>
          <w:sz w:val="21"/>
        </w:rPr>
      </w:pPr>
      <w:r>
        <w:rPr>
          <w:spacing w:val="-3"/>
          <w:sz w:val="21"/>
        </w:rPr>
        <w:t>消防给水所采用的减压阀性能应安全可靠，并应满足消防给水的要求； </w:t>
      </w:r>
    </w:p>
    <w:p>
      <w:pPr>
        <w:spacing w:after="0" w:line="240" w:lineRule="auto"/>
        <w:jc w:val="left"/>
        <w:rPr>
          <w:sz w:val="21"/>
        </w:rPr>
        <w:sectPr>
          <w:footerReference w:type="default" r:id="rId390"/>
          <w:pgSz w:w="11910" w:h="16850"/>
          <w:pgMar w:footer="1239" w:header="0" w:top="1220" w:bottom="1420" w:left="1260" w:right="0"/>
          <w:pgNumType w:start="1340"/>
        </w:sectPr>
      </w:pPr>
    </w:p>
    <w:p>
      <w:pPr>
        <w:pStyle w:val="ListParagraph"/>
        <w:numPr>
          <w:ilvl w:val="0"/>
          <w:numId w:val="735"/>
        </w:numPr>
        <w:tabs>
          <w:tab w:pos="1367" w:val="left" w:leader="none"/>
        </w:tabs>
        <w:spacing w:line="446" w:lineRule="auto" w:before="47" w:after="0"/>
        <w:ind w:left="418" w:right="1505" w:firstLine="419"/>
        <w:jc w:val="left"/>
        <w:rPr>
          <w:sz w:val="21"/>
        </w:rPr>
      </w:pPr>
      <w:r>
        <w:rPr>
          <w:spacing w:val="-3"/>
          <w:sz w:val="21"/>
        </w:rPr>
        <w:t>减压阀应根据消防给水设计流量和压力选择，且设计流量应在减压阀流量压力特性曲</w:t>
      </w:r>
      <w:r>
        <w:rPr>
          <w:spacing w:val="-8"/>
          <w:sz w:val="21"/>
        </w:rPr>
        <w:t>线的有效段内，并校核在 </w:t>
      </w:r>
      <w:r>
        <w:rPr>
          <w:sz w:val="21"/>
        </w:rPr>
        <w:t>150%</w:t>
      </w:r>
      <w:r>
        <w:rPr>
          <w:spacing w:val="-6"/>
          <w:sz w:val="21"/>
        </w:rPr>
        <w:t>设计流量时，减压阀的出口动压不应小于设计值的 </w:t>
      </w:r>
      <w:r>
        <w:rPr>
          <w:sz w:val="21"/>
        </w:rPr>
        <w:t>65%； </w:t>
      </w:r>
    </w:p>
    <w:p>
      <w:pPr>
        <w:pStyle w:val="ListParagraph"/>
        <w:numPr>
          <w:ilvl w:val="0"/>
          <w:numId w:val="735"/>
        </w:numPr>
        <w:tabs>
          <w:tab w:pos="1367" w:val="left" w:leader="none"/>
        </w:tabs>
        <w:spacing w:line="267" w:lineRule="exact" w:before="0" w:after="0"/>
        <w:ind w:left="1367" w:right="0" w:hanging="529"/>
        <w:jc w:val="left"/>
        <w:rPr>
          <w:sz w:val="21"/>
        </w:rPr>
      </w:pPr>
      <w:r>
        <w:rPr>
          <w:spacing w:val="-3"/>
          <w:sz w:val="21"/>
        </w:rPr>
        <w:t>每一供水分区应设不少于两组减压阀组，每组减压阀组宜设置备用减压阀；</w:t>
      </w:r>
      <w:r>
        <w:rPr>
          <w:sz w:val="21"/>
        </w:rPr>
        <w:t> </w:t>
      </w:r>
    </w:p>
    <w:p>
      <w:pPr>
        <w:pStyle w:val="BodyText"/>
        <w:spacing w:before="2"/>
        <w:rPr>
          <w:sz w:val="18"/>
        </w:rPr>
      </w:pPr>
    </w:p>
    <w:p>
      <w:pPr>
        <w:pStyle w:val="ListParagraph"/>
        <w:numPr>
          <w:ilvl w:val="0"/>
          <w:numId w:val="735"/>
        </w:numPr>
        <w:tabs>
          <w:tab w:pos="1367" w:val="left" w:leader="none"/>
        </w:tabs>
        <w:spacing w:line="240" w:lineRule="auto" w:before="0" w:after="0"/>
        <w:ind w:left="1367" w:right="0" w:hanging="529"/>
        <w:jc w:val="left"/>
        <w:rPr>
          <w:sz w:val="21"/>
        </w:rPr>
      </w:pPr>
      <w:r>
        <w:rPr>
          <w:spacing w:val="-3"/>
          <w:sz w:val="21"/>
        </w:rPr>
        <w:t>减压阀仅应设置在单向流动的供水管上，不应设置在有双向流动的输水干管上；</w:t>
      </w:r>
      <w:r>
        <w:rPr>
          <w:sz w:val="21"/>
        </w:rPr>
        <w:t> </w:t>
      </w:r>
    </w:p>
    <w:p>
      <w:pPr>
        <w:pStyle w:val="BodyText"/>
        <w:rPr>
          <w:sz w:val="18"/>
        </w:rPr>
      </w:pPr>
    </w:p>
    <w:p>
      <w:pPr>
        <w:pStyle w:val="ListParagraph"/>
        <w:numPr>
          <w:ilvl w:val="0"/>
          <w:numId w:val="735"/>
        </w:numPr>
        <w:tabs>
          <w:tab w:pos="1367" w:val="left" w:leader="none"/>
        </w:tabs>
        <w:spacing w:line="240" w:lineRule="auto" w:before="0" w:after="0"/>
        <w:ind w:left="1367" w:right="0" w:hanging="529"/>
        <w:jc w:val="both"/>
        <w:rPr>
          <w:sz w:val="21"/>
        </w:rPr>
      </w:pPr>
      <w:r>
        <w:rPr>
          <w:spacing w:val="-6"/>
          <w:sz w:val="21"/>
        </w:rPr>
        <w:t>减压阀宜采用比例式减压阀，当超过 </w:t>
      </w:r>
      <w:r>
        <w:rPr>
          <w:sz w:val="21"/>
        </w:rPr>
        <w:t>1.20MPa</w:t>
      </w:r>
      <w:r>
        <w:rPr>
          <w:spacing w:val="-9"/>
          <w:sz w:val="21"/>
        </w:rPr>
        <w:t> 时，宜采用先导式减压阀； </w:t>
      </w:r>
    </w:p>
    <w:p>
      <w:pPr>
        <w:pStyle w:val="BodyText"/>
        <w:spacing w:before="12"/>
        <w:rPr>
          <w:sz w:val="17"/>
        </w:rPr>
      </w:pPr>
    </w:p>
    <w:p>
      <w:pPr>
        <w:pStyle w:val="ListParagraph"/>
        <w:numPr>
          <w:ilvl w:val="0"/>
          <w:numId w:val="735"/>
        </w:numPr>
        <w:tabs>
          <w:tab w:pos="1367" w:val="left" w:leader="none"/>
        </w:tabs>
        <w:spacing w:line="446" w:lineRule="auto" w:before="0" w:after="0"/>
        <w:ind w:left="418" w:right="1558" w:firstLine="419"/>
        <w:jc w:val="both"/>
        <w:rPr>
          <w:sz w:val="21"/>
        </w:rPr>
      </w:pPr>
      <w:r>
        <w:rPr>
          <w:spacing w:val="-5"/>
          <w:sz w:val="21"/>
        </w:rPr>
        <w:t>减压阀的阀前阀后压力比值不宜大于 </w:t>
      </w:r>
      <w:r>
        <w:rPr>
          <w:sz w:val="21"/>
        </w:rPr>
        <w:t>3:1</w:t>
      </w:r>
      <w:r>
        <w:rPr>
          <w:spacing w:val="-3"/>
          <w:sz w:val="21"/>
        </w:rPr>
        <w:t>，当一级减压阀减压不能满足要求时，可采用减压阀串联减压，但串联减压不应大于两级，第二级减压阀宜采用先导式减压阀，阀前后压</w:t>
      </w:r>
      <w:r>
        <w:rPr>
          <w:spacing w:val="-11"/>
          <w:sz w:val="21"/>
        </w:rPr>
        <w:t>力差不宜超过 </w:t>
      </w:r>
      <w:r>
        <w:rPr>
          <w:sz w:val="21"/>
        </w:rPr>
        <w:t>0.40MPa； </w:t>
      </w:r>
    </w:p>
    <w:p>
      <w:pPr>
        <w:pStyle w:val="ListParagraph"/>
        <w:numPr>
          <w:ilvl w:val="0"/>
          <w:numId w:val="735"/>
        </w:numPr>
        <w:tabs>
          <w:tab w:pos="1367" w:val="left" w:leader="none"/>
        </w:tabs>
        <w:spacing w:line="446" w:lineRule="auto" w:before="0" w:after="0"/>
        <w:ind w:left="418" w:right="1505" w:firstLine="419"/>
        <w:jc w:val="left"/>
        <w:rPr>
          <w:sz w:val="21"/>
        </w:rPr>
      </w:pPr>
      <w:r>
        <w:rPr>
          <w:spacing w:val="-3"/>
          <w:sz w:val="21"/>
        </w:rPr>
        <w:t>减压阀后应设置安全阀，安全阀的开启压力应能满足系统安全，且不应影响系统的供水安全性。</w:t>
      </w:r>
      <w:r>
        <w:rPr>
          <w:sz w:val="21"/>
        </w:rPr>
        <w:t> </w:t>
      </w:r>
    </w:p>
    <w:p>
      <w:pPr>
        <w:pStyle w:val="ListParagraph"/>
        <w:numPr>
          <w:ilvl w:val="2"/>
          <w:numId w:val="726"/>
        </w:numPr>
        <w:tabs>
          <w:tab w:pos="1424" w:val="left" w:leader="none"/>
        </w:tabs>
        <w:spacing w:line="240" w:lineRule="auto" w:before="0" w:after="0"/>
        <w:ind w:left="1423" w:right="0" w:hanging="584"/>
        <w:jc w:val="left"/>
        <w:rPr>
          <w:sz w:val="21"/>
        </w:rPr>
      </w:pPr>
      <w:r>
        <w:rPr>
          <w:spacing w:val="-3"/>
          <w:sz w:val="21"/>
        </w:rPr>
        <w:t>采用减压水箱减压分区供水时应符合下列规定：</w:t>
      </w:r>
      <w:r>
        <w:rPr>
          <w:sz w:val="21"/>
        </w:rPr>
        <w:t> </w:t>
      </w:r>
    </w:p>
    <w:p>
      <w:pPr>
        <w:pStyle w:val="BodyText"/>
        <w:spacing w:before="11"/>
        <w:rPr>
          <w:sz w:val="17"/>
        </w:rPr>
      </w:pPr>
    </w:p>
    <w:p>
      <w:pPr>
        <w:pStyle w:val="ListParagraph"/>
        <w:numPr>
          <w:ilvl w:val="0"/>
          <w:numId w:val="736"/>
        </w:numPr>
        <w:tabs>
          <w:tab w:pos="1367" w:val="left" w:leader="none"/>
        </w:tabs>
        <w:spacing w:line="240" w:lineRule="auto" w:before="0" w:after="0"/>
        <w:ind w:left="1367" w:right="0" w:hanging="529"/>
        <w:jc w:val="both"/>
        <w:rPr>
          <w:sz w:val="21"/>
        </w:rPr>
      </w:pPr>
      <w:r>
        <w:rPr>
          <w:spacing w:val="-5"/>
          <w:sz w:val="21"/>
        </w:rPr>
        <w:t>减压水箱的有效容积、出水、排水、水位和设置场所，应符合本规范第 </w:t>
      </w:r>
      <w:r>
        <w:rPr>
          <w:sz w:val="21"/>
        </w:rPr>
        <w:t>4.3.8</w:t>
      </w:r>
      <w:r>
        <w:rPr>
          <w:spacing w:val="-15"/>
          <w:sz w:val="21"/>
        </w:rPr>
        <w:t> 条、第</w:t>
      </w:r>
    </w:p>
    <w:p>
      <w:pPr>
        <w:pStyle w:val="BodyText"/>
        <w:spacing w:before="2"/>
        <w:rPr>
          <w:sz w:val="18"/>
        </w:rPr>
      </w:pPr>
    </w:p>
    <w:p>
      <w:pPr>
        <w:pStyle w:val="BodyText"/>
        <w:ind w:left="418"/>
      </w:pPr>
      <w:r>
        <w:rPr/>
        <w:t>4.3.9 条、第 5.2.5 条和 5.2.6 条第 2 款的规定； </w:t>
      </w:r>
    </w:p>
    <w:p>
      <w:pPr>
        <w:pStyle w:val="BodyText"/>
        <w:rPr>
          <w:sz w:val="18"/>
        </w:rPr>
      </w:pPr>
    </w:p>
    <w:p>
      <w:pPr>
        <w:pStyle w:val="ListParagraph"/>
        <w:numPr>
          <w:ilvl w:val="0"/>
          <w:numId w:val="736"/>
        </w:numPr>
        <w:tabs>
          <w:tab w:pos="1367" w:val="left" w:leader="none"/>
        </w:tabs>
        <w:spacing w:line="446" w:lineRule="auto" w:before="0" w:after="0"/>
        <w:ind w:left="418" w:right="1613" w:firstLine="419"/>
        <w:jc w:val="left"/>
        <w:rPr>
          <w:sz w:val="21"/>
        </w:rPr>
      </w:pPr>
      <w:r>
        <w:rPr>
          <w:spacing w:val="-5"/>
          <w:sz w:val="21"/>
        </w:rPr>
        <w:t>减压水箱的布置和通气管、呼吸管等，应符合本规范第 </w:t>
      </w:r>
      <w:r>
        <w:rPr>
          <w:sz w:val="21"/>
        </w:rPr>
        <w:t>5.2.6</w:t>
      </w:r>
      <w:r>
        <w:rPr>
          <w:spacing w:val="-26"/>
          <w:sz w:val="21"/>
        </w:rPr>
        <w:t> 条第 </w:t>
      </w:r>
      <w:r>
        <w:rPr>
          <w:sz w:val="21"/>
        </w:rPr>
        <w:t>3</w:t>
      </w:r>
      <w:r>
        <w:rPr>
          <w:spacing w:val="-25"/>
          <w:sz w:val="21"/>
        </w:rPr>
        <w:t> 款</w:t>
      </w:r>
      <w:r>
        <w:rPr>
          <w:sz w:val="21"/>
        </w:rPr>
        <w:t>～</w:t>
      </w:r>
      <w:r>
        <w:rPr>
          <w:spacing w:val="-24"/>
          <w:sz w:val="21"/>
        </w:rPr>
        <w:t>第 </w:t>
      </w:r>
      <w:r>
        <w:rPr>
          <w:sz w:val="21"/>
        </w:rPr>
        <w:t>11</w:t>
      </w:r>
      <w:r>
        <w:rPr>
          <w:spacing w:val="-18"/>
          <w:sz w:val="21"/>
        </w:rPr>
        <w:t> 款的</w:t>
      </w:r>
      <w:r>
        <w:rPr>
          <w:spacing w:val="-1"/>
          <w:sz w:val="21"/>
        </w:rPr>
        <w:t>规定；</w:t>
      </w:r>
      <w:r>
        <w:rPr>
          <w:sz w:val="21"/>
        </w:rPr>
        <w:t> </w:t>
      </w:r>
    </w:p>
    <w:p>
      <w:pPr>
        <w:pStyle w:val="ListParagraph"/>
        <w:numPr>
          <w:ilvl w:val="0"/>
          <w:numId w:val="736"/>
        </w:numPr>
        <w:tabs>
          <w:tab w:pos="1367" w:val="left" w:leader="none"/>
        </w:tabs>
        <w:spacing w:line="269" w:lineRule="exact" w:before="0" w:after="0"/>
        <w:ind w:left="1367" w:right="0" w:hanging="529"/>
        <w:jc w:val="left"/>
        <w:rPr>
          <w:sz w:val="21"/>
        </w:rPr>
      </w:pPr>
      <w:r>
        <w:rPr>
          <w:spacing w:val="-7"/>
          <w:sz w:val="21"/>
        </w:rPr>
        <w:t>减压水箱的有效容积不应小于 </w:t>
      </w:r>
      <w:r>
        <w:rPr>
          <w:sz w:val="21"/>
        </w:rPr>
        <w:t>18m</w:t>
      </w:r>
      <w:r>
        <w:rPr>
          <w:position w:val="11"/>
          <w:sz w:val="11"/>
        </w:rPr>
        <w:t>3</w:t>
      </w:r>
      <w:r>
        <w:rPr>
          <w:spacing w:val="-3"/>
          <w:sz w:val="21"/>
        </w:rPr>
        <w:t>，且宜分为两格；</w:t>
      </w:r>
      <w:r>
        <w:rPr>
          <w:sz w:val="21"/>
        </w:rPr>
        <w:t> </w:t>
      </w:r>
    </w:p>
    <w:p>
      <w:pPr>
        <w:pStyle w:val="BodyText"/>
        <w:rPr>
          <w:sz w:val="18"/>
        </w:rPr>
      </w:pPr>
    </w:p>
    <w:p>
      <w:pPr>
        <w:pStyle w:val="ListParagraph"/>
        <w:numPr>
          <w:ilvl w:val="0"/>
          <w:numId w:val="736"/>
        </w:numPr>
        <w:tabs>
          <w:tab w:pos="1367" w:val="left" w:leader="none"/>
        </w:tabs>
        <w:spacing w:line="446" w:lineRule="auto" w:before="0" w:after="0"/>
        <w:ind w:left="418" w:right="1505" w:firstLine="419"/>
        <w:jc w:val="left"/>
        <w:rPr>
          <w:sz w:val="21"/>
        </w:rPr>
      </w:pPr>
      <w:r>
        <w:rPr>
          <w:spacing w:val="-3"/>
          <w:sz w:val="21"/>
        </w:rPr>
        <w:t>减压水箱应有两条进、出水管，且每条进、出水管应满足消防给水系统所需消防用水量的要求；</w:t>
      </w:r>
      <w:r>
        <w:rPr>
          <w:sz w:val="21"/>
        </w:rPr>
        <w:t> </w:t>
      </w:r>
    </w:p>
    <w:p>
      <w:pPr>
        <w:pStyle w:val="ListParagraph"/>
        <w:numPr>
          <w:ilvl w:val="0"/>
          <w:numId w:val="736"/>
        </w:numPr>
        <w:tabs>
          <w:tab w:pos="1367" w:val="left" w:leader="none"/>
        </w:tabs>
        <w:spacing w:line="240" w:lineRule="auto" w:before="0" w:after="0"/>
        <w:ind w:left="1367" w:right="0" w:hanging="529"/>
        <w:jc w:val="left"/>
        <w:rPr>
          <w:sz w:val="21"/>
        </w:rPr>
      </w:pPr>
      <w:r>
        <w:rPr>
          <w:spacing w:val="-3"/>
          <w:sz w:val="21"/>
        </w:rPr>
        <w:t>减压水箱进水管的水位控制应可靠，宜采用水位控制阀；</w:t>
      </w:r>
      <w:r>
        <w:rPr>
          <w:sz w:val="21"/>
        </w:rPr>
        <w:t> </w:t>
      </w:r>
    </w:p>
    <w:p>
      <w:pPr>
        <w:pStyle w:val="BodyText"/>
        <w:rPr>
          <w:sz w:val="18"/>
        </w:rPr>
      </w:pPr>
    </w:p>
    <w:p>
      <w:pPr>
        <w:pStyle w:val="ListParagraph"/>
        <w:numPr>
          <w:ilvl w:val="0"/>
          <w:numId w:val="736"/>
        </w:numPr>
        <w:tabs>
          <w:tab w:pos="1367" w:val="left" w:leader="none"/>
        </w:tabs>
        <w:spacing w:line="446" w:lineRule="auto" w:before="0" w:after="0"/>
        <w:ind w:left="418" w:right="1714" w:firstLine="419"/>
        <w:jc w:val="left"/>
        <w:rPr>
          <w:sz w:val="21"/>
        </w:rPr>
      </w:pPr>
      <w:r>
        <w:rPr>
          <w:spacing w:val="-3"/>
          <w:sz w:val="21"/>
        </w:rPr>
        <w:t>减压水箱进水管应设置防冲击和溢水的技术措施，并宜在进水管上设置紧急关闭阀门，溢流水宜回流到消防水池。</w:t>
      </w:r>
      <w:r>
        <w:rPr>
          <w:sz w:val="21"/>
        </w:rPr>
        <w:t> </w:t>
      </w:r>
    </w:p>
    <w:p>
      <w:pPr>
        <w:pStyle w:val="Heading4"/>
        <w:spacing w:line="277" w:lineRule="exact"/>
      </w:pPr>
      <w:r>
        <w:rPr/>
        <w:t>7 消火栓系统</w:t>
      </w:r>
      <w:r>
        <w:rPr>
          <w:w w:val="99"/>
        </w:rPr>
        <w:t> </w:t>
      </w:r>
    </w:p>
    <w:p>
      <w:pPr>
        <w:pStyle w:val="BodyText"/>
        <w:spacing w:before="4"/>
        <w:rPr>
          <w:b/>
          <w:sz w:val="17"/>
        </w:rPr>
      </w:pPr>
    </w:p>
    <w:p>
      <w:pPr>
        <w:pStyle w:val="ListParagraph"/>
        <w:numPr>
          <w:ilvl w:val="1"/>
          <w:numId w:val="737"/>
        </w:numPr>
        <w:tabs>
          <w:tab w:pos="1159" w:val="left" w:leader="none"/>
        </w:tabs>
        <w:spacing w:line="240" w:lineRule="auto" w:before="0" w:after="0"/>
        <w:ind w:left="1158" w:right="0" w:hanging="319"/>
        <w:jc w:val="left"/>
        <w:rPr>
          <w:sz w:val="21"/>
        </w:rPr>
      </w:pPr>
      <w:r>
        <w:rPr>
          <w:spacing w:val="-3"/>
          <w:sz w:val="21"/>
        </w:rPr>
        <w:t>系统选择</w:t>
      </w:r>
      <w:r>
        <w:rPr>
          <w:sz w:val="21"/>
        </w:rPr>
        <w:t> </w:t>
      </w:r>
    </w:p>
    <w:p>
      <w:pPr>
        <w:pStyle w:val="BodyText"/>
        <w:spacing w:before="12"/>
        <w:rPr>
          <w:sz w:val="17"/>
        </w:rPr>
      </w:pPr>
    </w:p>
    <w:p>
      <w:pPr>
        <w:pStyle w:val="ListParagraph"/>
        <w:numPr>
          <w:ilvl w:val="2"/>
          <w:numId w:val="737"/>
        </w:numPr>
        <w:tabs>
          <w:tab w:pos="1424" w:val="left" w:leader="none"/>
        </w:tabs>
        <w:spacing w:line="240" w:lineRule="auto" w:before="0" w:after="0"/>
        <w:ind w:left="1423" w:right="0" w:hanging="584"/>
        <w:jc w:val="left"/>
        <w:rPr>
          <w:sz w:val="21"/>
        </w:rPr>
      </w:pPr>
      <w:r>
        <w:rPr>
          <w:spacing w:val="-3"/>
          <w:sz w:val="21"/>
        </w:rPr>
        <w:t>市政消火栓和建筑室外消火栓应采用湿式消火栓系统。</w:t>
      </w:r>
      <w:r>
        <w:rPr>
          <w:sz w:val="21"/>
        </w:rPr>
        <w:t> </w:t>
      </w:r>
    </w:p>
    <w:p>
      <w:pPr>
        <w:pStyle w:val="BodyText"/>
        <w:spacing w:before="2"/>
        <w:rPr>
          <w:sz w:val="18"/>
        </w:rPr>
      </w:pPr>
    </w:p>
    <w:p>
      <w:pPr>
        <w:pStyle w:val="ListParagraph"/>
        <w:numPr>
          <w:ilvl w:val="2"/>
          <w:numId w:val="737"/>
        </w:numPr>
        <w:tabs>
          <w:tab w:pos="1424" w:val="left" w:leader="none"/>
        </w:tabs>
        <w:spacing w:line="240" w:lineRule="auto" w:before="0" w:after="0"/>
        <w:ind w:left="1423" w:right="0" w:hanging="584"/>
        <w:jc w:val="left"/>
        <w:rPr>
          <w:sz w:val="21"/>
        </w:rPr>
      </w:pPr>
      <w:r>
        <w:rPr>
          <w:spacing w:val="-8"/>
          <w:sz w:val="21"/>
        </w:rPr>
        <w:t>室内环境温度不低于 </w:t>
      </w:r>
      <w:r>
        <w:rPr>
          <w:sz w:val="21"/>
        </w:rPr>
        <w:t>4</w:t>
      </w:r>
      <w:r>
        <w:rPr>
          <w:spacing w:val="-10"/>
          <w:sz w:val="21"/>
        </w:rPr>
        <w:t>℃，且不高于 </w:t>
      </w:r>
      <w:r>
        <w:rPr>
          <w:sz w:val="21"/>
        </w:rPr>
        <w:t>70</w:t>
      </w:r>
      <w:r>
        <w:rPr>
          <w:spacing w:val="-3"/>
          <w:sz w:val="21"/>
        </w:rPr>
        <w:t>℃的场所，应采用湿式室内消火栓系统。 </w:t>
      </w:r>
    </w:p>
    <w:p>
      <w:pPr>
        <w:pStyle w:val="BodyText"/>
        <w:rPr>
          <w:sz w:val="18"/>
        </w:rPr>
      </w:pPr>
    </w:p>
    <w:p>
      <w:pPr>
        <w:pStyle w:val="ListParagraph"/>
        <w:numPr>
          <w:ilvl w:val="2"/>
          <w:numId w:val="737"/>
        </w:numPr>
        <w:tabs>
          <w:tab w:pos="1424" w:val="left" w:leader="none"/>
        </w:tabs>
        <w:spacing w:line="240" w:lineRule="auto" w:before="0" w:after="0"/>
        <w:ind w:left="1423" w:right="0" w:hanging="584"/>
        <w:jc w:val="left"/>
        <w:rPr>
          <w:sz w:val="21"/>
        </w:rPr>
      </w:pPr>
      <w:r>
        <w:rPr>
          <w:spacing w:val="-9"/>
          <w:sz w:val="21"/>
        </w:rPr>
        <w:t>室内环境温度低于 </w:t>
      </w:r>
      <w:r>
        <w:rPr>
          <w:sz w:val="21"/>
        </w:rPr>
        <w:t>4</w:t>
      </w:r>
      <w:r>
        <w:rPr>
          <w:spacing w:val="-12"/>
          <w:sz w:val="21"/>
        </w:rPr>
        <w:t>℃或高于 </w:t>
      </w:r>
      <w:r>
        <w:rPr>
          <w:sz w:val="21"/>
        </w:rPr>
        <w:t>70</w:t>
      </w:r>
      <w:r>
        <w:rPr>
          <w:spacing w:val="-3"/>
          <w:sz w:val="21"/>
        </w:rPr>
        <w:t>℃的场所，宜采用干式消火栓系统。</w:t>
      </w:r>
      <w:r>
        <w:rPr>
          <w:sz w:val="21"/>
        </w:rPr>
        <w:t> </w:t>
      </w:r>
    </w:p>
    <w:p>
      <w:pPr>
        <w:pStyle w:val="BodyText"/>
        <w:spacing w:before="12"/>
        <w:rPr>
          <w:sz w:val="17"/>
        </w:rPr>
      </w:pPr>
    </w:p>
    <w:p>
      <w:pPr>
        <w:pStyle w:val="ListParagraph"/>
        <w:numPr>
          <w:ilvl w:val="2"/>
          <w:numId w:val="737"/>
        </w:numPr>
        <w:tabs>
          <w:tab w:pos="1424" w:val="left" w:leader="none"/>
        </w:tabs>
        <w:spacing w:line="446" w:lineRule="auto" w:before="0" w:after="0"/>
        <w:ind w:left="418" w:right="1445" w:firstLine="422"/>
        <w:jc w:val="left"/>
        <w:rPr>
          <w:sz w:val="21"/>
        </w:rPr>
      </w:pPr>
      <w:r>
        <w:rPr>
          <w:spacing w:val="-8"/>
          <w:sz w:val="21"/>
        </w:rPr>
        <w:t>建筑高度不大于 </w:t>
      </w:r>
      <w:r>
        <w:rPr>
          <w:sz w:val="21"/>
        </w:rPr>
        <w:t>27m</w:t>
      </w:r>
      <w:r>
        <w:rPr>
          <w:spacing w:val="-8"/>
          <w:sz w:val="21"/>
        </w:rPr>
        <w:t> 的多层住宅建筑设置室内湿式消火栓系统确有困难时，可设置干</w:t>
      </w:r>
      <w:r>
        <w:rPr>
          <w:spacing w:val="-6"/>
          <w:sz w:val="21"/>
        </w:rPr>
        <w:t>式消防竖管。</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37"/>
        </w:numPr>
        <w:tabs>
          <w:tab w:pos="1424" w:val="left" w:leader="none"/>
        </w:tabs>
        <w:spacing w:line="446" w:lineRule="auto" w:before="47" w:after="0"/>
        <w:ind w:left="418" w:right="1445" w:firstLine="422"/>
        <w:jc w:val="left"/>
        <w:rPr>
          <w:sz w:val="21"/>
        </w:rPr>
      </w:pPr>
      <w:r>
        <w:rPr>
          <w:spacing w:val="-3"/>
          <w:sz w:val="21"/>
        </w:rPr>
        <w:t>严寒、寒冷等冬季结冰地区城市隧道及其他构筑物的消火栓系统，应采取防冻措施， 并宜采用干式消火栓系统和干式室外消火栓。</w:t>
      </w:r>
      <w:r>
        <w:rPr>
          <w:sz w:val="21"/>
        </w:rPr>
        <w:t> </w:t>
      </w:r>
    </w:p>
    <w:p>
      <w:pPr>
        <w:pStyle w:val="ListParagraph"/>
        <w:numPr>
          <w:ilvl w:val="2"/>
          <w:numId w:val="737"/>
        </w:numPr>
        <w:tabs>
          <w:tab w:pos="1424" w:val="left" w:leader="none"/>
        </w:tabs>
        <w:spacing w:line="267" w:lineRule="exact" w:before="0" w:after="0"/>
        <w:ind w:left="1423" w:right="0" w:hanging="584"/>
        <w:jc w:val="left"/>
        <w:rPr>
          <w:sz w:val="21"/>
        </w:rPr>
      </w:pPr>
      <w:r>
        <w:rPr>
          <w:spacing w:val="-6"/>
          <w:sz w:val="21"/>
        </w:rPr>
        <w:t>干式消火栓系统的充水时间不应大于 </w:t>
      </w:r>
      <w:r>
        <w:rPr>
          <w:sz w:val="21"/>
        </w:rPr>
        <w:t>5min</w:t>
      </w:r>
      <w:r>
        <w:rPr>
          <w:spacing w:val="-3"/>
          <w:sz w:val="21"/>
        </w:rPr>
        <w:t>，并应符合下列规定：</w:t>
      </w:r>
      <w:r>
        <w:rPr>
          <w:sz w:val="21"/>
        </w:rPr>
        <w:t> </w:t>
      </w:r>
    </w:p>
    <w:p>
      <w:pPr>
        <w:pStyle w:val="BodyText"/>
        <w:spacing w:before="2"/>
        <w:rPr>
          <w:sz w:val="18"/>
        </w:rPr>
      </w:pPr>
    </w:p>
    <w:p>
      <w:pPr>
        <w:pStyle w:val="ListParagraph"/>
        <w:numPr>
          <w:ilvl w:val="0"/>
          <w:numId w:val="738"/>
        </w:numPr>
        <w:tabs>
          <w:tab w:pos="1367" w:val="left" w:leader="none"/>
        </w:tabs>
        <w:spacing w:line="446" w:lineRule="auto" w:before="0" w:after="0"/>
        <w:ind w:left="418" w:right="1505" w:firstLine="419"/>
        <w:jc w:val="left"/>
        <w:rPr>
          <w:sz w:val="21"/>
        </w:rPr>
      </w:pPr>
      <w:r>
        <w:rPr>
          <w:spacing w:val="-3"/>
          <w:sz w:val="21"/>
        </w:rPr>
        <w:t>在供水干管上宜设干式报警阀、雨淋阀或电磁阀、电动阀等快速启闭装置，当采用电</w:t>
      </w:r>
      <w:r>
        <w:rPr>
          <w:spacing w:val="-8"/>
          <w:sz w:val="21"/>
        </w:rPr>
        <w:t>动阀时开启时间不应超过 </w:t>
      </w:r>
      <w:r>
        <w:rPr>
          <w:sz w:val="21"/>
        </w:rPr>
        <w:t>30s； </w:t>
      </w:r>
    </w:p>
    <w:p>
      <w:pPr>
        <w:pStyle w:val="ListParagraph"/>
        <w:numPr>
          <w:ilvl w:val="0"/>
          <w:numId w:val="738"/>
        </w:numPr>
        <w:tabs>
          <w:tab w:pos="1367" w:val="left" w:leader="none"/>
        </w:tabs>
        <w:spacing w:line="446" w:lineRule="auto" w:before="0" w:after="0"/>
        <w:ind w:left="418" w:right="1505" w:firstLine="419"/>
        <w:jc w:val="left"/>
        <w:rPr>
          <w:sz w:val="21"/>
        </w:rPr>
      </w:pPr>
      <w:r>
        <w:rPr>
          <w:spacing w:val="-3"/>
          <w:sz w:val="21"/>
        </w:rPr>
        <w:t>当采用雨淋阀、电磁阀和电动阀时，在消火栓箱处应设置直接开启快速启闭装置的手动按钮；</w:t>
      </w:r>
      <w:r>
        <w:rPr>
          <w:sz w:val="21"/>
        </w:rPr>
        <w:t> </w:t>
      </w:r>
    </w:p>
    <w:p>
      <w:pPr>
        <w:pStyle w:val="ListParagraph"/>
        <w:numPr>
          <w:ilvl w:val="0"/>
          <w:numId w:val="738"/>
        </w:numPr>
        <w:tabs>
          <w:tab w:pos="1367" w:val="left" w:leader="none"/>
        </w:tabs>
        <w:spacing w:line="446" w:lineRule="auto" w:before="0" w:after="0"/>
        <w:ind w:left="840" w:right="5394" w:hanging="3"/>
        <w:jc w:val="left"/>
        <w:rPr>
          <w:sz w:val="21"/>
        </w:rPr>
      </w:pPr>
      <w:r>
        <w:rPr>
          <w:spacing w:val="-3"/>
          <w:sz w:val="21"/>
        </w:rPr>
        <w:t>在系统管道的最高处应设置快速排气阀。</w:t>
      </w:r>
      <w:r>
        <w:rPr>
          <w:b/>
          <w:sz w:val="21"/>
        </w:rPr>
        <w:t>7.2</w:t>
      </w:r>
      <w:r>
        <w:rPr>
          <w:b/>
          <w:spacing w:val="1"/>
          <w:sz w:val="21"/>
        </w:rPr>
        <w:t> </w:t>
      </w:r>
      <w:r>
        <w:rPr>
          <w:spacing w:val="-3"/>
          <w:sz w:val="21"/>
        </w:rPr>
        <w:t>市政消火栓</w:t>
      </w:r>
      <w:r>
        <w:rPr>
          <w:sz w:val="21"/>
        </w:rPr>
        <w:t> </w:t>
      </w:r>
    </w:p>
    <w:p>
      <w:pPr>
        <w:pStyle w:val="ListParagraph"/>
        <w:numPr>
          <w:ilvl w:val="2"/>
          <w:numId w:val="739"/>
        </w:numPr>
        <w:tabs>
          <w:tab w:pos="1424" w:val="left" w:leader="none"/>
        </w:tabs>
        <w:spacing w:line="446" w:lineRule="auto" w:before="0" w:after="0"/>
        <w:ind w:left="418" w:right="1445" w:firstLine="422"/>
        <w:jc w:val="left"/>
        <w:rPr>
          <w:sz w:val="21"/>
        </w:rPr>
      </w:pPr>
      <w:r>
        <w:rPr>
          <w:spacing w:val="-3"/>
          <w:sz w:val="21"/>
        </w:rPr>
        <w:t>市政消火栓宜采用地上式室外消火栓；在严寒、寒冷等冬季结冰地区宜采用干式地上式室外消火栓，严寒地区宜增置消防水鹤。当采用地下式室外消火栓，地下消火栓井的直径不 </w:t>
      </w:r>
      <w:r>
        <w:rPr>
          <w:spacing w:val="-15"/>
          <w:sz w:val="21"/>
        </w:rPr>
        <w:t>宜小于 </w:t>
      </w:r>
      <w:r>
        <w:rPr>
          <w:sz w:val="21"/>
        </w:rPr>
        <w:t>1.5m</w:t>
      </w:r>
      <w:r>
        <w:rPr>
          <w:spacing w:val="-3"/>
          <w:sz w:val="21"/>
        </w:rPr>
        <w:t>，且当地下式室外消火栓的取水口在冰冻线以上时，应采取保温措施。 </w:t>
      </w:r>
    </w:p>
    <w:p>
      <w:pPr>
        <w:pStyle w:val="ListParagraph"/>
        <w:numPr>
          <w:ilvl w:val="2"/>
          <w:numId w:val="739"/>
        </w:numPr>
        <w:tabs>
          <w:tab w:pos="1370" w:val="left" w:leader="none"/>
        </w:tabs>
        <w:spacing w:line="268" w:lineRule="exact" w:before="0" w:after="0"/>
        <w:ind w:left="1369" w:right="0" w:hanging="530"/>
        <w:jc w:val="left"/>
        <w:rPr>
          <w:sz w:val="21"/>
        </w:rPr>
      </w:pPr>
      <w:r>
        <w:rPr>
          <w:spacing w:val="-8"/>
          <w:sz w:val="21"/>
        </w:rPr>
        <w:t>市政消火栓宜采用直径 </w:t>
      </w:r>
      <w:r>
        <w:rPr>
          <w:sz w:val="21"/>
        </w:rPr>
        <w:t>DN150</w:t>
      </w:r>
      <w:r>
        <w:rPr>
          <w:spacing w:val="-8"/>
          <w:sz w:val="21"/>
        </w:rPr>
        <w:t> 的室外消火栓，并应符合下列要求。</w:t>
      </w:r>
      <w:r>
        <w:rPr>
          <w:sz w:val="21"/>
        </w:rPr>
        <w:t> </w:t>
      </w:r>
    </w:p>
    <w:p>
      <w:pPr>
        <w:pStyle w:val="BodyText"/>
        <w:spacing w:before="11"/>
        <w:rPr>
          <w:sz w:val="17"/>
        </w:rPr>
      </w:pPr>
    </w:p>
    <w:p>
      <w:pPr>
        <w:pStyle w:val="ListParagraph"/>
        <w:numPr>
          <w:ilvl w:val="0"/>
          <w:numId w:val="740"/>
        </w:numPr>
        <w:tabs>
          <w:tab w:pos="1367" w:val="left" w:leader="none"/>
        </w:tabs>
        <w:spacing w:line="240" w:lineRule="auto" w:before="0" w:after="0"/>
        <w:ind w:left="1367" w:right="0" w:hanging="529"/>
        <w:jc w:val="left"/>
        <w:rPr>
          <w:sz w:val="21"/>
        </w:rPr>
      </w:pPr>
      <w:r>
        <w:rPr>
          <w:spacing w:val="-7"/>
          <w:sz w:val="21"/>
        </w:rPr>
        <w:t>室外地上式消火栓应有一个直径为 </w:t>
      </w:r>
      <w:r>
        <w:rPr>
          <w:sz w:val="21"/>
        </w:rPr>
        <w:t>150mm</w:t>
      </w:r>
      <w:r>
        <w:rPr>
          <w:spacing w:val="-36"/>
          <w:sz w:val="21"/>
        </w:rPr>
        <w:t> 或 </w:t>
      </w:r>
      <w:r>
        <w:rPr>
          <w:sz w:val="21"/>
        </w:rPr>
        <w:t>100mm</w:t>
      </w:r>
      <w:r>
        <w:rPr>
          <w:spacing w:val="-16"/>
          <w:sz w:val="21"/>
        </w:rPr>
        <w:t> 和两个直径为 </w:t>
      </w:r>
      <w:r>
        <w:rPr>
          <w:sz w:val="21"/>
        </w:rPr>
        <w:t>65mm</w:t>
      </w:r>
      <w:r>
        <w:rPr>
          <w:spacing w:val="-13"/>
          <w:sz w:val="21"/>
        </w:rPr>
        <w:t> 的栓口；</w:t>
      </w:r>
      <w:r>
        <w:rPr>
          <w:sz w:val="21"/>
        </w:rPr>
        <w:t> </w:t>
      </w:r>
    </w:p>
    <w:p>
      <w:pPr>
        <w:pStyle w:val="BodyText"/>
        <w:spacing w:before="12"/>
        <w:rPr>
          <w:sz w:val="17"/>
        </w:rPr>
      </w:pPr>
    </w:p>
    <w:p>
      <w:pPr>
        <w:pStyle w:val="ListParagraph"/>
        <w:numPr>
          <w:ilvl w:val="0"/>
          <w:numId w:val="740"/>
        </w:numPr>
        <w:tabs>
          <w:tab w:pos="1367" w:val="left" w:leader="none"/>
        </w:tabs>
        <w:spacing w:line="240" w:lineRule="auto" w:before="0" w:after="0"/>
        <w:ind w:left="1367" w:right="0" w:hanging="529"/>
        <w:jc w:val="left"/>
        <w:rPr>
          <w:sz w:val="21"/>
        </w:rPr>
      </w:pPr>
      <w:r>
        <w:rPr>
          <w:spacing w:val="-7"/>
          <w:sz w:val="21"/>
        </w:rPr>
        <w:t>室外地下式消火栓应有直径为 </w:t>
      </w:r>
      <w:r>
        <w:rPr>
          <w:sz w:val="21"/>
        </w:rPr>
        <w:t>100mm</w:t>
      </w:r>
      <w:r>
        <w:rPr>
          <w:spacing w:val="-37"/>
          <w:sz w:val="21"/>
        </w:rPr>
        <w:t> 和 </w:t>
      </w:r>
      <w:r>
        <w:rPr>
          <w:sz w:val="21"/>
        </w:rPr>
        <w:t>65mm</w:t>
      </w:r>
      <w:r>
        <w:rPr>
          <w:spacing w:val="-10"/>
          <w:sz w:val="21"/>
        </w:rPr>
        <w:t> 的栓口各一个。</w:t>
      </w:r>
      <w:r>
        <w:rPr>
          <w:sz w:val="21"/>
        </w:rPr>
        <w:t> </w:t>
      </w:r>
    </w:p>
    <w:p>
      <w:pPr>
        <w:pStyle w:val="BodyText"/>
        <w:spacing w:before="2"/>
        <w:rPr>
          <w:sz w:val="18"/>
        </w:rPr>
      </w:pPr>
    </w:p>
    <w:p>
      <w:pPr>
        <w:pStyle w:val="ListParagraph"/>
        <w:numPr>
          <w:ilvl w:val="2"/>
          <w:numId w:val="739"/>
        </w:numPr>
        <w:tabs>
          <w:tab w:pos="1424" w:val="left" w:leader="none"/>
        </w:tabs>
        <w:spacing w:line="240" w:lineRule="auto" w:before="0" w:after="0"/>
        <w:ind w:left="1423" w:right="0" w:hanging="584"/>
        <w:jc w:val="left"/>
        <w:rPr>
          <w:sz w:val="21"/>
        </w:rPr>
      </w:pPr>
      <w:r>
        <w:rPr>
          <w:spacing w:val="-5"/>
          <w:sz w:val="21"/>
        </w:rPr>
        <w:t>市政消火栓宜在道路的一侧设置，并宜靠近十字路口，但当市政道路宽度超过 </w:t>
      </w:r>
      <w:r>
        <w:rPr>
          <w:sz w:val="21"/>
        </w:rPr>
        <w:t>60m</w:t>
      </w:r>
    </w:p>
    <w:p>
      <w:pPr>
        <w:pStyle w:val="BodyText"/>
        <w:spacing w:before="12"/>
        <w:rPr>
          <w:sz w:val="17"/>
        </w:rPr>
      </w:pPr>
    </w:p>
    <w:p>
      <w:pPr>
        <w:pStyle w:val="BodyText"/>
        <w:ind w:left="418"/>
      </w:pPr>
      <w:r>
        <w:rPr/>
        <w:t>时，应在道路的两侧交叉错落设置市政消火栓。 </w:t>
      </w:r>
    </w:p>
    <w:p>
      <w:pPr>
        <w:pStyle w:val="BodyText"/>
        <w:rPr>
          <w:sz w:val="18"/>
        </w:rPr>
      </w:pPr>
    </w:p>
    <w:p>
      <w:pPr>
        <w:pStyle w:val="ListParagraph"/>
        <w:numPr>
          <w:ilvl w:val="2"/>
          <w:numId w:val="739"/>
        </w:numPr>
        <w:tabs>
          <w:tab w:pos="1424" w:val="left" w:leader="none"/>
        </w:tabs>
        <w:spacing w:line="240" w:lineRule="auto" w:before="0" w:after="0"/>
        <w:ind w:left="1423" w:right="0" w:hanging="584"/>
        <w:jc w:val="left"/>
        <w:rPr>
          <w:sz w:val="21"/>
        </w:rPr>
      </w:pPr>
      <w:r>
        <w:rPr>
          <w:spacing w:val="-3"/>
          <w:sz w:val="21"/>
        </w:rPr>
        <w:t>市政桥桥头和城市交通隧道出入口等市政公用设施处，应设置市政消火栓。 </w:t>
      </w:r>
    </w:p>
    <w:p>
      <w:pPr>
        <w:pStyle w:val="BodyText"/>
        <w:spacing w:before="2"/>
        <w:rPr>
          <w:sz w:val="18"/>
        </w:rPr>
      </w:pPr>
    </w:p>
    <w:p>
      <w:pPr>
        <w:pStyle w:val="ListParagraph"/>
        <w:numPr>
          <w:ilvl w:val="2"/>
          <w:numId w:val="739"/>
        </w:numPr>
        <w:tabs>
          <w:tab w:pos="1424" w:val="left" w:leader="none"/>
        </w:tabs>
        <w:spacing w:line="240" w:lineRule="auto" w:before="0" w:after="0"/>
        <w:ind w:left="1423" w:right="0" w:hanging="584"/>
        <w:jc w:val="left"/>
        <w:rPr>
          <w:sz w:val="21"/>
        </w:rPr>
      </w:pPr>
      <w:r>
        <w:rPr>
          <w:spacing w:val="-7"/>
          <w:sz w:val="21"/>
        </w:rPr>
        <w:t>市政消火栓的保护半径不应超过 </w:t>
      </w:r>
      <w:r>
        <w:rPr>
          <w:sz w:val="21"/>
        </w:rPr>
        <w:t>150m</w:t>
      </w:r>
      <w:r>
        <w:rPr>
          <w:spacing w:val="-10"/>
          <w:sz w:val="21"/>
        </w:rPr>
        <w:t>，间距不应大于 </w:t>
      </w:r>
      <w:r>
        <w:rPr>
          <w:sz w:val="21"/>
        </w:rPr>
        <w:t>120m</w:t>
      </w:r>
      <w:r>
        <w:rPr>
          <w:spacing w:val="-3"/>
          <w:sz w:val="21"/>
        </w:rPr>
        <w:t>。</w:t>
      </w:r>
      <w:r>
        <w:rPr>
          <w:sz w:val="21"/>
        </w:rPr>
        <w:t> </w:t>
      </w:r>
    </w:p>
    <w:p>
      <w:pPr>
        <w:pStyle w:val="BodyText"/>
        <w:rPr>
          <w:sz w:val="18"/>
        </w:rPr>
      </w:pPr>
    </w:p>
    <w:p>
      <w:pPr>
        <w:pStyle w:val="ListParagraph"/>
        <w:numPr>
          <w:ilvl w:val="2"/>
          <w:numId w:val="739"/>
        </w:numPr>
        <w:tabs>
          <w:tab w:pos="1424" w:val="left" w:leader="none"/>
        </w:tabs>
        <w:spacing w:line="446" w:lineRule="auto" w:before="0" w:after="0"/>
        <w:ind w:left="418" w:right="1445" w:firstLine="422"/>
        <w:jc w:val="left"/>
        <w:rPr>
          <w:sz w:val="21"/>
        </w:rPr>
      </w:pPr>
      <w:r>
        <w:rPr>
          <w:spacing w:val="-3"/>
          <w:sz w:val="21"/>
        </w:rPr>
        <w:t>市政消火栓应布置在消防车易于接近的人行道和绿地等地点，且不应妨碍交通，并应符合下列规定：</w:t>
      </w:r>
      <w:r>
        <w:rPr>
          <w:sz w:val="21"/>
        </w:rPr>
        <w:t> </w:t>
      </w:r>
    </w:p>
    <w:p>
      <w:pPr>
        <w:pStyle w:val="ListParagraph"/>
        <w:numPr>
          <w:ilvl w:val="0"/>
          <w:numId w:val="741"/>
        </w:numPr>
        <w:tabs>
          <w:tab w:pos="1367" w:val="left" w:leader="none"/>
        </w:tabs>
        <w:spacing w:line="240" w:lineRule="auto" w:before="0" w:after="0"/>
        <w:ind w:left="1367" w:right="0" w:hanging="529"/>
        <w:jc w:val="left"/>
        <w:rPr>
          <w:sz w:val="21"/>
        </w:rPr>
      </w:pPr>
      <w:r>
        <w:rPr>
          <w:spacing w:val="-7"/>
          <w:sz w:val="21"/>
        </w:rPr>
        <w:t>市政消火栓距路边不宜小于 </w:t>
      </w:r>
      <w:r>
        <w:rPr>
          <w:sz w:val="21"/>
        </w:rPr>
        <w:t>0.5m</w:t>
      </w:r>
      <w:r>
        <w:rPr>
          <w:spacing w:val="-10"/>
          <w:sz w:val="21"/>
        </w:rPr>
        <w:t>，并不应大于 </w:t>
      </w:r>
      <w:r>
        <w:rPr>
          <w:sz w:val="21"/>
        </w:rPr>
        <w:t>2.0m； </w:t>
      </w:r>
    </w:p>
    <w:p>
      <w:pPr>
        <w:pStyle w:val="BodyText"/>
        <w:spacing w:before="12"/>
        <w:rPr>
          <w:sz w:val="17"/>
        </w:rPr>
      </w:pPr>
    </w:p>
    <w:p>
      <w:pPr>
        <w:pStyle w:val="ListParagraph"/>
        <w:numPr>
          <w:ilvl w:val="0"/>
          <w:numId w:val="741"/>
        </w:numPr>
        <w:tabs>
          <w:tab w:pos="1367" w:val="left" w:leader="none"/>
        </w:tabs>
        <w:spacing w:line="240" w:lineRule="auto" w:before="0" w:after="0"/>
        <w:ind w:left="1367" w:right="0" w:hanging="529"/>
        <w:jc w:val="left"/>
        <w:rPr>
          <w:sz w:val="21"/>
        </w:rPr>
      </w:pPr>
      <w:r>
        <w:rPr>
          <w:spacing w:val="-6"/>
          <w:sz w:val="21"/>
        </w:rPr>
        <w:t>市政消火栓距建筑外墙或外墙边缘不宜小于 </w:t>
      </w:r>
      <w:r>
        <w:rPr>
          <w:sz w:val="21"/>
        </w:rPr>
        <w:t>5.0m； </w:t>
      </w:r>
    </w:p>
    <w:p>
      <w:pPr>
        <w:pStyle w:val="BodyText"/>
        <w:spacing w:before="12"/>
        <w:rPr>
          <w:sz w:val="17"/>
        </w:rPr>
      </w:pPr>
    </w:p>
    <w:p>
      <w:pPr>
        <w:pStyle w:val="ListParagraph"/>
        <w:numPr>
          <w:ilvl w:val="0"/>
          <w:numId w:val="741"/>
        </w:numPr>
        <w:tabs>
          <w:tab w:pos="1367" w:val="left" w:leader="none"/>
        </w:tabs>
        <w:spacing w:line="240" w:lineRule="auto" w:before="0" w:after="0"/>
        <w:ind w:left="1367" w:right="0" w:hanging="529"/>
        <w:jc w:val="left"/>
        <w:rPr>
          <w:sz w:val="21"/>
        </w:rPr>
      </w:pPr>
      <w:r>
        <w:rPr>
          <w:spacing w:val="-3"/>
          <w:sz w:val="21"/>
        </w:rPr>
        <w:t>市政消火栓应避免设置在机械易撞击的地点，确有困难时，应采取防撞措施。</w:t>
      </w:r>
      <w:r>
        <w:rPr>
          <w:sz w:val="21"/>
        </w:rPr>
        <w:t> </w:t>
      </w:r>
    </w:p>
    <w:p>
      <w:pPr>
        <w:pStyle w:val="BodyText"/>
        <w:spacing w:before="2"/>
        <w:rPr>
          <w:sz w:val="18"/>
        </w:rPr>
      </w:pPr>
    </w:p>
    <w:p>
      <w:pPr>
        <w:pStyle w:val="ListParagraph"/>
        <w:numPr>
          <w:ilvl w:val="2"/>
          <w:numId w:val="739"/>
        </w:numPr>
        <w:tabs>
          <w:tab w:pos="1424" w:val="left" w:leader="none"/>
        </w:tabs>
        <w:spacing w:line="240" w:lineRule="auto" w:before="0" w:after="0"/>
        <w:ind w:left="1423" w:right="0" w:hanging="584"/>
        <w:jc w:val="left"/>
        <w:rPr>
          <w:sz w:val="21"/>
        </w:rPr>
      </w:pPr>
      <w:r>
        <w:rPr>
          <w:spacing w:val="-3"/>
          <w:sz w:val="21"/>
        </w:rPr>
        <w:t>市政给水管网的阀门设置应便于市政消火栓的使用和维护，并应符合现行国家标准</w:t>
      </w:r>
    </w:p>
    <w:p>
      <w:pPr>
        <w:pStyle w:val="BodyText"/>
        <w:rPr>
          <w:sz w:val="18"/>
        </w:rPr>
      </w:pPr>
    </w:p>
    <w:p>
      <w:pPr>
        <w:pStyle w:val="BodyText"/>
        <w:ind w:left="418"/>
      </w:pPr>
      <w:r>
        <w:rPr/>
        <w:t>《室外给水设计规范》GB 50013 的有关规定。 </w:t>
      </w:r>
    </w:p>
    <w:p>
      <w:pPr>
        <w:pStyle w:val="BodyText"/>
        <w:rPr>
          <w:sz w:val="18"/>
        </w:rPr>
      </w:pPr>
    </w:p>
    <w:p>
      <w:pPr>
        <w:pStyle w:val="ListParagraph"/>
        <w:numPr>
          <w:ilvl w:val="2"/>
          <w:numId w:val="739"/>
        </w:numPr>
        <w:tabs>
          <w:tab w:pos="1424" w:val="left" w:leader="none"/>
        </w:tabs>
        <w:spacing w:line="446" w:lineRule="auto" w:before="0" w:after="0"/>
        <w:ind w:left="418" w:right="1500" w:firstLine="422"/>
        <w:jc w:val="left"/>
        <w:rPr>
          <w:sz w:val="21"/>
        </w:rPr>
      </w:pPr>
      <w:r>
        <w:rPr>
          <w:spacing w:val="-4"/>
          <w:sz w:val="21"/>
        </w:rPr>
        <w:t>当市政给水管网设有市政消火栓时，其平时运行工作压力不应小于 </w:t>
      </w:r>
      <w:r>
        <w:rPr>
          <w:sz w:val="21"/>
        </w:rPr>
        <w:t>0.14MPa</w:t>
      </w:r>
      <w:r>
        <w:rPr>
          <w:spacing w:val="-2"/>
          <w:sz w:val="21"/>
        </w:rPr>
        <w:t>，火灾时</w:t>
      </w:r>
      <w:r>
        <w:rPr>
          <w:spacing w:val="-6"/>
          <w:sz w:val="21"/>
        </w:rPr>
        <w:t>水力最不利市政消火栓的出流量不应小于 </w:t>
      </w:r>
      <w:r>
        <w:rPr>
          <w:sz w:val="21"/>
        </w:rPr>
        <w:t>15L/s</w:t>
      </w:r>
      <w:r>
        <w:rPr>
          <w:spacing w:val="-6"/>
          <w:sz w:val="21"/>
        </w:rPr>
        <w:t>，且供水压力从地面算起不应小于 </w:t>
      </w:r>
      <w:r>
        <w:rPr>
          <w:sz w:val="21"/>
        </w:rPr>
        <w:t>0.10MPa</w:t>
      </w:r>
      <w:r>
        <w:rPr>
          <w:spacing w:val="-3"/>
          <w:sz w:val="21"/>
        </w:rPr>
        <w:t>。</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39"/>
        </w:numPr>
        <w:tabs>
          <w:tab w:pos="1424" w:val="left" w:leader="none"/>
        </w:tabs>
        <w:spacing w:line="446" w:lineRule="auto" w:before="47" w:after="0"/>
        <w:ind w:left="418" w:right="1498" w:firstLine="422"/>
        <w:jc w:val="left"/>
        <w:rPr>
          <w:sz w:val="21"/>
        </w:rPr>
      </w:pPr>
      <w:r>
        <w:rPr>
          <w:spacing w:val="-4"/>
          <w:sz w:val="21"/>
        </w:rPr>
        <w:t>严寒地区在城市主要干道上设置消防水鹤的布置间距宜为 </w:t>
      </w:r>
      <w:r>
        <w:rPr>
          <w:sz w:val="21"/>
        </w:rPr>
        <w:t>1000m</w:t>
      </w:r>
      <w:r>
        <w:rPr>
          <w:spacing w:val="-3"/>
          <w:sz w:val="21"/>
        </w:rPr>
        <w:t>，连接消防水鹤的市</w:t>
      </w:r>
      <w:r>
        <w:rPr>
          <w:spacing w:val="-8"/>
          <w:sz w:val="21"/>
        </w:rPr>
        <w:t>政给水管的管径不宜小于 </w:t>
      </w:r>
      <w:r>
        <w:rPr>
          <w:sz w:val="21"/>
        </w:rPr>
        <w:t>DN200</w:t>
      </w:r>
      <w:r>
        <w:rPr>
          <w:spacing w:val="-3"/>
          <w:sz w:val="21"/>
        </w:rPr>
        <w:t>。</w:t>
      </w:r>
      <w:r>
        <w:rPr>
          <w:sz w:val="21"/>
        </w:rPr>
        <w:t> </w:t>
      </w:r>
    </w:p>
    <w:p>
      <w:pPr>
        <w:pStyle w:val="ListParagraph"/>
        <w:numPr>
          <w:ilvl w:val="2"/>
          <w:numId w:val="739"/>
        </w:numPr>
        <w:tabs>
          <w:tab w:pos="1530" w:val="left" w:leader="none"/>
        </w:tabs>
        <w:spacing w:line="446" w:lineRule="auto" w:before="0" w:after="0"/>
        <w:ind w:left="418" w:right="2230" w:firstLine="422"/>
        <w:jc w:val="left"/>
        <w:rPr>
          <w:sz w:val="21"/>
        </w:rPr>
      </w:pPr>
      <w:r>
        <w:rPr>
          <w:spacing w:val="-5"/>
          <w:sz w:val="21"/>
        </w:rPr>
        <w:t>火灾时消防水鹤的出流量不宜低于 </w:t>
      </w:r>
      <w:r>
        <w:rPr>
          <w:sz w:val="21"/>
        </w:rPr>
        <w:t>30L/s</w:t>
      </w:r>
      <w:r>
        <w:rPr>
          <w:spacing w:val="-3"/>
          <w:sz w:val="21"/>
        </w:rPr>
        <w:t>，且供水压力从地面算起不应小于0.10MPa。</w:t>
      </w:r>
      <w:r>
        <w:rPr>
          <w:sz w:val="21"/>
        </w:rPr>
        <w:t> </w:t>
      </w:r>
    </w:p>
    <w:p>
      <w:pPr>
        <w:pStyle w:val="ListParagraph"/>
        <w:numPr>
          <w:ilvl w:val="2"/>
          <w:numId w:val="739"/>
        </w:numPr>
        <w:tabs>
          <w:tab w:pos="1530" w:val="left" w:leader="none"/>
        </w:tabs>
        <w:spacing w:line="446" w:lineRule="auto" w:before="0" w:after="0"/>
        <w:ind w:left="840" w:right="5017" w:firstLine="0"/>
        <w:jc w:val="left"/>
        <w:rPr>
          <w:sz w:val="21"/>
        </w:rPr>
      </w:pPr>
      <w:r>
        <w:rPr>
          <w:spacing w:val="-3"/>
          <w:sz w:val="21"/>
        </w:rPr>
        <w:t>地下式市政消火栓应有明显的永久性标志。</w:t>
      </w:r>
      <w:r>
        <w:rPr>
          <w:b/>
          <w:sz w:val="21"/>
        </w:rPr>
        <w:t>7.3</w:t>
      </w:r>
      <w:r>
        <w:rPr>
          <w:b/>
          <w:spacing w:val="1"/>
          <w:sz w:val="21"/>
        </w:rPr>
        <w:t> </w:t>
      </w:r>
      <w:r>
        <w:rPr>
          <w:spacing w:val="-3"/>
          <w:sz w:val="21"/>
        </w:rPr>
        <w:t>室外消火栓</w:t>
      </w:r>
      <w:r>
        <w:rPr>
          <w:sz w:val="21"/>
        </w:rPr>
        <w:t> </w:t>
      </w:r>
    </w:p>
    <w:p>
      <w:pPr>
        <w:pStyle w:val="ListParagraph"/>
        <w:numPr>
          <w:ilvl w:val="2"/>
          <w:numId w:val="742"/>
        </w:numPr>
        <w:tabs>
          <w:tab w:pos="1424" w:val="left" w:leader="none"/>
        </w:tabs>
        <w:spacing w:line="446" w:lineRule="auto" w:before="0" w:after="0"/>
        <w:ind w:left="418" w:right="1659" w:firstLine="422"/>
        <w:jc w:val="left"/>
        <w:rPr>
          <w:sz w:val="21"/>
        </w:rPr>
      </w:pPr>
      <w:r>
        <w:rPr>
          <w:spacing w:val="-5"/>
          <w:sz w:val="21"/>
        </w:rPr>
        <w:t>建筑室外消火栓的布置除应符合本节的规定外，还应符合本规范第 </w:t>
      </w:r>
      <w:r>
        <w:rPr>
          <w:sz w:val="21"/>
        </w:rPr>
        <w:t>7.2</w:t>
      </w:r>
      <w:r>
        <w:rPr>
          <w:spacing w:val="-9"/>
          <w:sz w:val="21"/>
        </w:rPr>
        <w:t> 节的有关规</w:t>
      </w:r>
      <w:r>
        <w:rPr>
          <w:spacing w:val="-6"/>
          <w:sz w:val="21"/>
        </w:rPr>
        <w:t>定。</w:t>
      </w:r>
      <w:r>
        <w:rPr>
          <w:sz w:val="21"/>
        </w:rPr>
        <w:t> </w:t>
      </w:r>
    </w:p>
    <w:p>
      <w:pPr>
        <w:pStyle w:val="ListParagraph"/>
        <w:numPr>
          <w:ilvl w:val="2"/>
          <w:numId w:val="742"/>
        </w:numPr>
        <w:tabs>
          <w:tab w:pos="1424" w:val="left" w:leader="none"/>
        </w:tabs>
        <w:spacing w:line="446" w:lineRule="auto" w:before="0" w:after="0"/>
        <w:ind w:left="418" w:right="1445" w:firstLine="422"/>
        <w:jc w:val="left"/>
        <w:rPr>
          <w:sz w:val="21"/>
        </w:rPr>
      </w:pPr>
      <w:r>
        <w:rPr>
          <w:spacing w:val="-3"/>
          <w:sz w:val="21"/>
        </w:rPr>
        <w:t>建筑室外消火栓的数量应根据室外消火栓设计流量和保护半径经计算确定，保护半径</w:t>
      </w:r>
      <w:r>
        <w:rPr>
          <w:spacing w:val="-13"/>
          <w:sz w:val="21"/>
        </w:rPr>
        <w:t>不应大于 </w:t>
      </w:r>
      <w:r>
        <w:rPr>
          <w:sz w:val="21"/>
        </w:rPr>
        <w:t>150.0m</w:t>
      </w:r>
      <w:r>
        <w:rPr>
          <w:spacing w:val="-7"/>
          <w:sz w:val="21"/>
        </w:rPr>
        <w:t>，每个室外消火栓的出流量宜按 </w:t>
      </w:r>
      <w:r>
        <w:rPr>
          <w:sz w:val="21"/>
        </w:rPr>
        <w:t>10～15L/s</w:t>
      </w:r>
      <w:r>
        <w:rPr>
          <w:spacing w:val="-15"/>
          <w:sz w:val="21"/>
        </w:rPr>
        <w:t> 计算。</w:t>
      </w:r>
      <w:r>
        <w:rPr>
          <w:sz w:val="21"/>
        </w:rPr>
        <w:t> </w:t>
      </w:r>
    </w:p>
    <w:p>
      <w:pPr>
        <w:pStyle w:val="ListParagraph"/>
        <w:numPr>
          <w:ilvl w:val="2"/>
          <w:numId w:val="742"/>
        </w:numPr>
        <w:tabs>
          <w:tab w:pos="1424" w:val="left" w:leader="none"/>
        </w:tabs>
        <w:spacing w:line="446" w:lineRule="auto" w:before="0" w:after="0"/>
        <w:ind w:left="418" w:right="1445" w:firstLine="422"/>
        <w:jc w:val="left"/>
        <w:rPr>
          <w:sz w:val="21"/>
        </w:rPr>
      </w:pPr>
      <w:r>
        <w:rPr>
          <w:spacing w:val="-3"/>
          <w:sz w:val="21"/>
        </w:rPr>
        <w:t>室外消火栓宜沿建筑周围均匀布置，且不宜集中布置在建筑一侧；建筑消防扑救面一</w:t>
      </w:r>
      <w:r>
        <w:rPr>
          <w:spacing w:val="-7"/>
          <w:sz w:val="21"/>
        </w:rPr>
        <w:t>侧的室外消火栓数量不宜少于 </w:t>
      </w:r>
      <w:r>
        <w:rPr>
          <w:sz w:val="21"/>
        </w:rPr>
        <w:t>2</w:t>
      </w:r>
      <w:r>
        <w:rPr>
          <w:spacing w:val="-20"/>
          <w:sz w:val="21"/>
        </w:rPr>
        <w:t> 个。</w:t>
      </w:r>
      <w:r>
        <w:rPr>
          <w:sz w:val="21"/>
        </w:rPr>
        <w:t> </w:t>
      </w:r>
    </w:p>
    <w:p>
      <w:pPr>
        <w:pStyle w:val="ListParagraph"/>
        <w:numPr>
          <w:ilvl w:val="2"/>
          <w:numId w:val="742"/>
        </w:numPr>
        <w:tabs>
          <w:tab w:pos="1424" w:val="left" w:leader="none"/>
        </w:tabs>
        <w:spacing w:line="446" w:lineRule="auto" w:before="0" w:after="0"/>
        <w:ind w:left="418" w:right="1445" w:firstLine="422"/>
        <w:jc w:val="left"/>
        <w:rPr>
          <w:sz w:val="21"/>
        </w:rPr>
      </w:pPr>
      <w:r>
        <w:rPr>
          <w:spacing w:val="-3"/>
          <w:sz w:val="21"/>
        </w:rPr>
        <w:t>人防工程、地下工程等建筑应在出入口附近设置室外消火栓，且距出入口的距离不宜</w:t>
      </w:r>
      <w:r>
        <w:rPr>
          <w:spacing w:val="-20"/>
          <w:sz w:val="21"/>
        </w:rPr>
        <w:t>小于 </w:t>
      </w:r>
      <w:r>
        <w:rPr>
          <w:sz w:val="21"/>
        </w:rPr>
        <w:t>5m</w:t>
      </w:r>
      <w:r>
        <w:rPr>
          <w:spacing w:val="-10"/>
          <w:sz w:val="21"/>
        </w:rPr>
        <w:t>，并不宜大于 </w:t>
      </w:r>
      <w:r>
        <w:rPr>
          <w:sz w:val="21"/>
        </w:rPr>
        <w:t>40m。 </w:t>
      </w:r>
    </w:p>
    <w:p>
      <w:pPr>
        <w:pStyle w:val="ListParagraph"/>
        <w:numPr>
          <w:ilvl w:val="2"/>
          <w:numId w:val="742"/>
        </w:numPr>
        <w:tabs>
          <w:tab w:pos="1424" w:val="left" w:leader="none"/>
        </w:tabs>
        <w:spacing w:line="446" w:lineRule="auto" w:before="0" w:after="0"/>
        <w:ind w:left="418" w:right="1604" w:firstLine="422"/>
        <w:jc w:val="left"/>
        <w:rPr>
          <w:sz w:val="21"/>
        </w:rPr>
      </w:pPr>
      <w:r>
        <w:rPr>
          <w:spacing w:val="-4"/>
          <w:sz w:val="21"/>
        </w:rPr>
        <w:t>停车场的室外消火栓宜沿停车场周边设置，且与最近一排汽车的距离不宜小于 </w:t>
      </w:r>
      <w:r>
        <w:rPr>
          <w:sz w:val="21"/>
        </w:rPr>
        <w:t>7m， </w:t>
      </w:r>
      <w:r>
        <w:rPr>
          <w:spacing w:val="-8"/>
          <w:sz w:val="21"/>
        </w:rPr>
        <w:t>距加油站或油库不宜小于 </w:t>
      </w:r>
      <w:r>
        <w:rPr>
          <w:sz w:val="21"/>
        </w:rPr>
        <w:t>15m</w:t>
      </w:r>
      <w:r>
        <w:rPr>
          <w:spacing w:val="-3"/>
          <w:sz w:val="21"/>
        </w:rPr>
        <w:t>。</w:t>
      </w:r>
      <w:r>
        <w:rPr>
          <w:sz w:val="21"/>
        </w:rPr>
        <w:t> </w:t>
      </w:r>
    </w:p>
    <w:p>
      <w:pPr>
        <w:pStyle w:val="ListParagraph"/>
        <w:numPr>
          <w:ilvl w:val="2"/>
          <w:numId w:val="742"/>
        </w:numPr>
        <w:tabs>
          <w:tab w:pos="1424" w:val="left" w:leader="none"/>
        </w:tabs>
        <w:spacing w:line="446" w:lineRule="auto" w:before="0" w:after="0"/>
        <w:ind w:left="418" w:right="1445" w:firstLine="422"/>
        <w:jc w:val="left"/>
        <w:rPr>
          <w:sz w:val="21"/>
        </w:rPr>
      </w:pPr>
      <w:r>
        <w:rPr>
          <w:spacing w:val="-3"/>
          <w:sz w:val="21"/>
        </w:rPr>
        <w:t>甲、乙、丙类液体储罐区和液化烃罐罐区等构筑物的室外消火栓，应设在防火堤或防</w:t>
      </w:r>
      <w:r>
        <w:rPr>
          <w:spacing w:val="-5"/>
          <w:sz w:val="21"/>
        </w:rPr>
        <w:t>护墙外，数量应根据每个罐的设计流量经计算确定，但距罐壁 </w:t>
      </w:r>
      <w:r>
        <w:rPr>
          <w:sz w:val="21"/>
        </w:rPr>
        <w:t>15m</w:t>
      </w:r>
      <w:r>
        <w:rPr>
          <w:spacing w:val="-8"/>
          <w:sz w:val="21"/>
        </w:rPr>
        <w:t> 范围内的消火栓，不应计算</w:t>
      </w:r>
      <w:r>
        <w:rPr>
          <w:spacing w:val="-5"/>
          <w:sz w:val="21"/>
        </w:rPr>
        <w:t>在该罐可使用的数量内。</w:t>
      </w:r>
      <w:r>
        <w:rPr>
          <w:sz w:val="21"/>
        </w:rPr>
        <w:t> </w:t>
      </w:r>
    </w:p>
    <w:p>
      <w:pPr>
        <w:pStyle w:val="ListParagraph"/>
        <w:numPr>
          <w:ilvl w:val="2"/>
          <w:numId w:val="742"/>
        </w:numPr>
        <w:tabs>
          <w:tab w:pos="1424" w:val="left" w:leader="none"/>
        </w:tabs>
        <w:spacing w:line="446" w:lineRule="auto" w:before="0" w:after="0"/>
        <w:ind w:left="418" w:right="1445" w:firstLine="422"/>
        <w:jc w:val="left"/>
        <w:rPr>
          <w:sz w:val="21"/>
        </w:rPr>
      </w:pPr>
      <w:r>
        <w:rPr>
          <w:spacing w:val="-3"/>
          <w:sz w:val="21"/>
        </w:rPr>
        <w:t>工艺装置区等采用高压或临时高压消防给水系统的场所，其周围应设置室外消火栓， </w:t>
      </w:r>
      <w:r>
        <w:rPr>
          <w:spacing w:val="-5"/>
          <w:sz w:val="21"/>
        </w:rPr>
        <w:t>数量应根据设计流量经计算确定，且间距不应大于 </w:t>
      </w:r>
      <w:r>
        <w:rPr>
          <w:sz w:val="21"/>
        </w:rPr>
        <w:t>60.0m</w:t>
      </w:r>
      <w:r>
        <w:rPr>
          <w:spacing w:val="-7"/>
          <w:sz w:val="21"/>
        </w:rPr>
        <w:t>。当工艺装置区宽度大于 </w:t>
      </w:r>
      <w:r>
        <w:rPr>
          <w:sz w:val="21"/>
        </w:rPr>
        <w:t>120.0m</w:t>
      </w:r>
      <w:r>
        <w:rPr>
          <w:spacing w:val="-18"/>
          <w:sz w:val="21"/>
        </w:rPr>
        <w:t> 时， </w:t>
      </w:r>
      <w:r>
        <w:rPr>
          <w:spacing w:val="-3"/>
          <w:sz w:val="21"/>
        </w:rPr>
        <w:t>宜在该装置区内的路边设置室外消火栓。</w:t>
      </w:r>
      <w:r>
        <w:rPr>
          <w:sz w:val="21"/>
        </w:rPr>
        <w:t> </w:t>
      </w:r>
    </w:p>
    <w:p>
      <w:pPr>
        <w:pStyle w:val="ListParagraph"/>
        <w:numPr>
          <w:ilvl w:val="2"/>
          <w:numId w:val="742"/>
        </w:numPr>
        <w:tabs>
          <w:tab w:pos="1424" w:val="left" w:leader="none"/>
        </w:tabs>
        <w:spacing w:line="446" w:lineRule="auto" w:before="0" w:after="0"/>
        <w:ind w:left="418" w:right="1445" w:firstLine="422"/>
        <w:jc w:val="left"/>
        <w:rPr>
          <w:sz w:val="21"/>
        </w:rPr>
      </w:pPr>
      <w:r>
        <w:rPr>
          <w:spacing w:val="-3"/>
          <w:sz w:val="21"/>
        </w:rPr>
        <w:t>当工艺装置区、罐区、堆场、可燃气体和液体码头等构筑物的面积较大或高度较高， 室外消火栓的充实水柱无法完全覆盖时，宜在适当部位设置室外固定消防炮。 </w:t>
      </w:r>
    </w:p>
    <w:p>
      <w:pPr>
        <w:pStyle w:val="BodyText"/>
        <w:rPr>
          <w:sz w:val="20"/>
        </w:rPr>
      </w:pPr>
    </w:p>
    <w:p>
      <w:pPr>
        <w:pStyle w:val="BodyText"/>
        <w:spacing w:before="4"/>
        <w:rPr>
          <w:sz w:val="18"/>
        </w:rPr>
      </w:pPr>
    </w:p>
    <w:p>
      <w:pPr>
        <w:pStyle w:val="ListParagraph"/>
        <w:numPr>
          <w:ilvl w:val="2"/>
          <w:numId w:val="742"/>
        </w:numPr>
        <w:tabs>
          <w:tab w:pos="1424" w:val="left" w:leader="none"/>
        </w:tabs>
        <w:spacing w:line="446" w:lineRule="auto" w:before="0" w:after="0"/>
        <w:ind w:left="418" w:right="1445" w:firstLine="422"/>
        <w:jc w:val="left"/>
        <w:rPr>
          <w:sz w:val="21"/>
        </w:rPr>
      </w:pPr>
      <w:r>
        <w:rPr>
          <w:spacing w:val="-3"/>
          <w:sz w:val="21"/>
        </w:rPr>
        <w:t>当工艺装置区、储罐区、堆场等构筑物采用高压或临时高压消防给水系统时，消火栓的设置应符合下列规定：</w:t>
      </w:r>
      <w:r>
        <w:rPr>
          <w:sz w:val="21"/>
        </w:rPr>
        <w:t> </w:t>
      </w:r>
    </w:p>
    <w:p>
      <w:pPr>
        <w:pStyle w:val="ListParagraph"/>
        <w:numPr>
          <w:ilvl w:val="0"/>
          <w:numId w:val="743"/>
        </w:numPr>
        <w:tabs>
          <w:tab w:pos="1367" w:val="left" w:leader="none"/>
        </w:tabs>
        <w:spacing w:line="240" w:lineRule="auto" w:before="0" w:after="0"/>
        <w:ind w:left="1367" w:right="0" w:hanging="529"/>
        <w:jc w:val="left"/>
        <w:rPr>
          <w:sz w:val="21"/>
        </w:rPr>
      </w:pPr>
      <w:r>
        <w:rPr>
          <w:spacing w:val="-3"/>
          <w:sz w:val="21"/>
        </w:rPr>
        <w:t>室外消火栓处宜配置消防水带和消防水枪；</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743"/>
        </w:numPr>
        <w:tabs>
          <w:tab w:pos="1367" w:val="left" w:leader="none"/>
        </w:tabs>
        <w:spacing w:line="446" w:lineRule="auto" w:before="47" w:after="0"/>
        <w:ind w:left="418" w:right="1505" w:firstLine="419"/>
        <w:jc w:val="left"/>
        <w:rPr>
          <w:sz w:val="21"/>
        </w:rPr>
      </w:pPr>
      <w:r>
        <w:rPr>
          <w:spacing w:val="-3"/>
          <w:sz w:val="21"/>
        </w:rPr>
        <w:t>工艺装置休息平台等处需要设置的消火栓的场所应采用室内消火栓，并应符合本规范</w:t>
      </w:r>
      <w:r>
        <w:rPr>
          <w:spacing w:val="-28"/>
          <w:sz w:val="21"/>
        </w:rPr>
        <w:t>第 </w:t>
      </w:r>
      <w:r>
        <w:rPr>
          <w:sz w:val="21"/>
        </w:rPr>
        <w:t>7.4</w:t>
      </w:r>
      <w:r>
        <w:rPr>
          <w:spacing w:val="-10"/>
          <w:sz w:val="21"/>
        </w:rPr>
        <w:t> 节的有关规定。</w:t>
      </w:r>
      <w:r>
        <w:rPr>
          <w:sz w:val="21"/>
        </w:rPr>
        <w:t> </w:t>
      </w:r>
    </w:p>
    <w:p>
      <w:pPr>
        <w:pStyle w:val="ListParagraph"/>
        <w:numPr>
          <w:ilvl w:val="2"/>
          <w:numId w:val="742"/>
        </w:numPr>
        <w:tabs>
          <w:tab w:pos="1478" w:val="left" w:leader="none"/>
        </w:tabs>
        <w:spacing w:line="446" w:lineRule="auto" w:before="0" w:after="0"/>
        <w:ind w:left="418" w:right="1496" w:firstLine="422"/>
        <w:jc w:val="left"/>
        <w:rPr>
          <w:sz w:val="21"/>
        </w:rPr>
      </w:pPr>
      <w:r>
        <w:rPr>
          <w:spacing w:val="-3"/>
          <w:sz w:val="21"/>
        </w:rPr>
        <w:t>室外消防给水引入管当设有倒流防止器，且火灾时因其水头损失导致室外消火栓不</w:t>
      </w:r>
      <w:r>
        <w:rPr>
          <w:spacing w:val="-10"/>
          <w:sz w:val="21"/>
        </w:rPr>
        <w:t>能满足本规范第 </w:t>
      </w:r>
      <w:r>
        <w:rPr>
          <w:sz w:val="21"/>
        </w:rPr>
        <w:t>7.2.8</w:t>
      </w:r>
      <w:r>
        <w:rPr>
          <w:spacing w:val="-9"/>
          <w:sz w:val="21"/>
        </w:rPr>
        <w:t> 条的要求时，应在该倒流防止器前设置一个室外消火栓。 </w:t>
      </w:r>
    </w:p>
    <w:p>
      <w:pPr>
        <w:pStyle w:val="ListParagraph"/>
        <w:numPr>
          <w:ilvl w:val="1"/>
          <w:numId w:val="744"/>
        </w:numPr>
        <w:tabs>
          <w:tab w:pos="1159" w:val="left" w:leader="none"/>
        </w:tabs>
        <w:spacing w:line="240" w:lineRule="auto" w:before="0" w:after="0"/>
        <w:ind w:left="1158" w:right="0" w:hanging="319"/>
        <w:jc w:val="left"/>
        <w:rPr>
          <w:sz w:val="21"/>
        </w:rPr>
      </w:pPr>
      <w:r>
        <w:rPr>
          <w:spacing w:val="-3"/>
          <w:sz w:val="21"/>
        </w:rPr>
        <w:t>室内消火栓</w:t>
      </w:r>
      <w:r>
        <w:rPr>
          <w:sz w:val="21"/>
        </w:rPr>
        <w:t> </w:t>
      </w:r>
    </w:p>
    <w:p>
      <w:pPr>
        <w:pStyle w:val="BodyText"/>
        <w:spacing w:before="10"/>
        <w:rPr>
          <w:sz w:val="17"/>
        </w:rPr>
      </w:pPr>
    </w:p>
    <w:p>
      <w:pPr>
        <w:pStyle w:val="ListParagraph"/>
        <w:numPr>
          <w:ilvl w:val="2"/>
          <w:numId w:val="744"/>
        </w:numPr>
        <w:tabs>
          <w:tab w:pos="1424" w:val="left" w:leader="none"/>
        </w:tabs>
        <w:spacing w:line="446" w:lineRule="auto" w:before="0" w:after="0"/>
        <w:ind w:left="418" w:right="1445" w:firstLine="422"/>
        <w:jc w:val="left"/>
        <w:rPr>
          <w:sz w:val="21"/>
        </w:rPr>
      </w:pPr>
      <w:r>
        <w:rPr>
          <w:spacing w:val="-3"/>
          <w:sz w:val="21"/>
        </w:rPr>
        <w:t>室内消火栓的选型应根据使用者、火灾危险性、火灾类型和不同灭火功能等因素综合确定。</w:t>
      </w:r>
      <w:r>
        <w:rPr>
          <w:sz w:val="21"/>
        </w:rPr>
        <w:t> </w:t>
      </w:r>
    </w:p>
    <w:p>
      <w:pPr>
        <w:pStyle w:val="ListParagraph"/>
        <w:numPr>
          <w:ilvl w:val="2"/>
          <w:numId w:val="744"/>
        </w:numPr>
        <w:tabs>
          <w:tab w:pos="1424" w:val="left" w:leader="none"/>
        </w:tabs>
        <w:spacing w:line="240" w:lineRule="auto" w:before="1" w:after="0"/>
        <w:ind w:left="1423" w:right="0" w:hanging="584"/>
        <w:jc w:val="left"/>
        <w:rPr>
          <w:sz w:val="21"/>
        </w:rPr>
      </w:pPr>
      <w:r>
        <w:rPr>
          <w:spacing w:val="-3"/>
          <w:sz w:val="21"/>
        </w:rPr>
        <w:t>室内消火栓的配置应符合下列要求：</w:t>
      </w:r>
      <w:r>
        <w:rPr>
          <w:sz w:val="21"/>
        </w:rPr>
        <w:t> </w:t>
      </w:r>
    </w:p>
    <w:p>
      <w:pPr>
        <w:pStyle w:val="BodyText"/>
        <w:spacing w:before="12"/>
        <w:rPr>
          <w:sz w:val="17"/>
        </w:rPr>
      </w:pPr>
    </w:p>
    <w:p>
      <w:pPr>
        <w:pStyle w:val="ListParagraph"/>
        <w:numPr>
          <w:ilvl w:val="0"/>
          <w:numId w:val="745"/>
        </w:numPr>
        <w:tabs>
          <w:tab w:pos="1367" w:val="left" w:leader="none"/>
        </w:tabs>
        <w:spacing w:line="240" w:lineRule="auto" w:before="0" w:after="0"/>
        <w:ind w:left="1367" w:right="0" w:hanging="529"/>
        <w:jc w:val="both"/>
        <w:rPr>
          <w:sz w:val="21"/>
        </w:rPr>
      </w:pPr>
      <w:r>
        <w:rPr>
          <w:spacing w:val="-15"/>
          <w:sz w:val="21"/>
        </w:rPr>
        <w:t>应采用 </w:t>
      </w:r>
      <w:r>
        <w:rPr>
          <w:sz w:val="21"/>
        </w:rPr>
        <w:t>DN65</w:t>
      </w:r>
      <w:r>
        <w:rPr>
          <w:spacing w:val="-8"/>
          <w:sz w:val="21"/>
        </w:rPr>
        <w:t> 室内消火栓，并可与消防软管卷盘或轻便水龙设置在同一箱体内； </w:t>
      </w:r>
    </w:p>
    <w:p>
      <w:pPr>
        <w:pStyle w:val="BodyText"/>
        <w:spacing w:before="2"/>
        <w:rPr>
          <w:sz w:val="18"/>
        </w:rPr>
      </w:pPr>
    </w:p>
    <w:p>
      <w:pPr>
        <w:pStyle w:val="ListParagraph"/>
        <w:numPr>
          <w:ilvl w:val="0"/>
          <w:numId w:val="745"/>
        </w:numPr>
        <w:tabs>
          <w:tab w:pos="1367" w:val="left" w:leader="none"/>
        </w:tabs>
        <w:spacing w:line="446" w:lineRule="auto" w:before="0" w:after="0"/>
        <w:ind w:left="418" w:right="1450" w:firstLine="419"/>
        <w:jc w:val="both"/>
        <w:rPr>
          <w:sz w:val="21"/>
        </w:rPr>
      </w:pPr>
      <w:r>
        <w:rPr>
          <w:spacing w:val="-8"/>
          <w:sz w:val="21"/>
        </w:rPr>
        <w:t>应配置公称直径 </w:t>
      </w:r>
      <w:r>
        <w:rPr>
          <w:sz w:val="21"/>
        </w:rPr>
        <w:t>65</w:t>
      </w:r>
      <w:r>
        <w:rPr>
          <w:spacing w:val="-10"/>
          <w:sz w:val="21"/>
        </w:rPr>
        <w:t> 有内衬里的消防水带，长度不宜超过 </w:t>
      </w:r>
      <w:r>
        <w:rPr>
          <w:sz w:val="21"/>
        </w:rPr>
        <w:t>25.0m</w:t>
      </w:r>
      <w:r>
        <w:rPr>
          <w:spacing w:val="-3"/>
          <w:sz w:val="21"/>
        </w:rPr>
        <w:t>；消防软管卷盘应配置内径不小于</w:t>
      </w:r>
      <w:r>
        <w:rPr>
          <w:sz w:val="21"/>
        </w:rPr>
        <w:t>ф19</w:t>
      </w:r>
      <w:r>
        <w:rPr>
          <w:spacing w:val="-11"/>
          <w:sz w:val="21"/>
        </w:rPr>
        <w:t> 的消防软管，其长度宜为 </w:t>
      </w:r>
      <w:r>
        <w:rPr>
          <w:sz w:val="21"/>
        </w:rPr>
        <w:t>30.0m</w:t>
      </w:r>
      <w:r>
        <w:rPr>
          <w:spacing w:val="-7"/>
          <w:sz w:val="21"/>
        </w:rPr>
        <w:t>；轻便水龙应配置公称直径 </w:t>
      </w:r>
      <w:r>
        <w:rPr>
          <w:sz w:val="21"/>
        </w:rPr>
        <w:t>25</w:t>
      </w:r>
      <w:r>
        <w:rPr>
          <w:spacing w:val="-8"/>
          <w:sz w:val="21"/>
        </w:rPr>
        <w:t> 有内衬里的消防</w:t>
      </w:r>
      <w:r>
        <w:rPr>
          <w:spacing w:val="-12"/>
          <w:sz w:val="21"/>
        </w:rPr>
        <w:t>水带，长度宜为 </w:t>
      </w:r>
      <w:r>
        <w:rPr>
          <w:sz w:val="21"/>
        </w:rPr>
        <w:t>30.0m； </w:t>
      </w:r>
    </w:p>
    <w:p>
      <w:pPr>
        <w:pStyle w:val="ListParagraph"/>
        <w:numPr>
          <w:ilvl w:val="0"/>
          <w:numId w:val="745"/>
        </w:numPr>
        <w:tabs>
          <w:tab w:pos="1367" w:val="left" w:leader="none"/>
        </w:tabs>
        <w:spacing w:line="446" w:lineRule="auto" w:before="0" w:after="0"/>
        <w:ind w:left="418" w:right="1452" w:firstLine="419"/>
        <w:jc w:val="left"/>
        <w:rPr>
          <w:sz w:val="21"/>
        </w:rPr>
      </w:pPr>
      <w:r>
        <w:rPr>
          <w:spacing w:val="-8"/>
          <w:sz w:val="21"/>
        </w:rPr>
        <w:t>宜配置当量喷嘴直径 </w:t>
      </w:r>
      <w:r>
        <w:rPr>
          <w:sz w:val="21"/>
        </w:rPr>
        <w:t>16mm</w:t>
      </w:r>
      <w:r>
        <w:rPr>
          <w:spacing w:val="-34"/>
          <w:sz w:val="21"/>
        </w:rPr>
        <w:t> 或 </w:t>
      </w:r>
      <w:r>
        <w:rPr>
          <w:sz w:val="21"/>
        </w:rPr>
        <w:t>19mm</w:t>
      </w:r>
      <w:r>
        <w:rPr>
          <w:spacing w:val="-12"/>
          <w:sz w:val="21"/>
        </w:rPr>
        <w:t> 的消防水枪，但当消火栓设计流量为 </w:t>
      </w:r>
      <w:r>
        <w:rPr>
          <w:sz w:val="21"/>
        </w:rPr>
        <w:t>2.5L/s</w:t>
      </w:r>
      <w:r>
        <w:rPr>
          <w:spacing w:val="-18"/>
          <w:sz w:val="21"/>
        </w:rPr>
        <w:t> 时宜</w:t>
      </w:r>
      <w:r>
        <w:rPr>
          <w:spacing w:val="-12"/>
          <w:sz w:val="21"/>
        </w:rPr>
        <w:t>配置当量喷嘴直径 </w:t>
      </w:r>
      <w:r>
        <w:rPr>
          <w:sz w:val="21"/>
        </w:rPr>
        <w:t>11mm</w:t>
      </w:r>
      <w:r>
        <w:rPr>
          <w:spacing w:val="-31"/>
          <w:sz w:val="21"/>
        </w:rPr>
        <w:t> 或 </w:t>
      </w:r>
      <w:r>
        <w:rPr>
          <w:sz w:val="21"/>
        </w:rPr>
        <w:t>13mm</w:t>
      </w:r>
      <w:r>
        <w:rPr>
          <w:spacing w:val="-11"/>
          <w:sz w:val="21"/>
        </w:rPr>
        <w:t> 的消防水枪；消防软管卷盘和轻便水龙应配置当量喷嘴直径 </w:t>
      </w:r>
      <w:r>
        <w:rPr>
          <w:sz w:val="21"/>
        </w:rPr>
        <w:t>6mm </w:t>
      </w:r>
      <w:r>
        <w:rPr>
          <w:spacing w:val="-3"/>
          <w:sz w:val="21"/>
        </w:rPr>
        <w:t>的消防水枪。</w:t>
      </w:r>
      <w:r>
        <w:rPr>
          <w:sz w:val="21"/>
        </w:rPr>
        <w:t> </w:t>
      </w:r>
    </w:p>
    <w:p>
      <w:pPr>
        <w:pStyle w:val="ListParagraph"/>
        <w:numPr>
          <w:ilvl w:val="2"/>
          <w:numId w:val="744"/>
        </w:numPr>
        <w:tabs>
          <w:tab w:pos="1424" w:val="left" w:leader="none"/>
        </w:tabs>
        <w:spacing w:line="268" w:lineRule="exact" w:before="0" w:after="0"/>
        <w:ind w:left="1423" w:right="0" w:hanging="584"/>
        <w:jc w:val="left"/>
        <w:rPr>
          <w:sz w:val="21"/>
        </w:rPr>
      </w:pPr>
      <w:r>
        <w:rPr>
          <w:spacing w:val="-3"/>
          <w:sz w:val="21"/>
        </w:rPr>
        <w:t>设置室内消火栓的建筑，包括设备层在内的各层均应设置消火栓。</w:t>
      </w:r>
      <w:r>
        <w:rPr>
          <w:sz w:val="21"/>
        </w:rPr>
        <w:t> </w:t>
      </w:r>
    </w:p>
    <w:p>
      <w:pPr>
        <w:pStyle w:val="BodyText"/>
        <w:spacing w:before="11"/>
        <w:rPr>
          <w:sz w:val="17"/>
        </w:rPr>
      </w:pPr>
    </w:p>
    <w:p>
      <w:pPr>
        <w:pStyle w:val="ListParagraph"/>
        <w:numPr>
          <w:ilvl w:val="2"/>
          <w:numId w:val="744"/>
        </w:numPr>
        <w:tabs>
          <w:tab w:pos="1424" w:val="left" w:leader="none"/>
        </w:tabs>
        <w:spacing w:line="446" w:lineRule="auto" w:before="0" w:after="0"/>
        <w:ind w:left="418" w:right="1657" w:firstLine="422"/>
        <w:jc w:val="left"/>
        <w:rPr>
          <w:sz w:val="21"/>
        </w:rPr>
      </w:pPr>
      <w:r>
        <w:rPr>
          <w:spacing w:val="-3"/>
          <w:sz w:val="21"/>
        </w:rPr>
        <w:t>屋顶设有直升机停机坪的建筑，应在停机坪出入口处或非电器设备机房处设置消火</w:t>
      </w:r>
      <w:r>
        <w:rPr>
          <w:spacing w:val="-6"/>
          <w:sz w:val="21"/>
        </w:rPr>
        <w:t>栓，且距停机坪机位边缘的距离不应小于 </w:t>
      </w:r>
      <w:r>
        <w:rPr>
          <w:sz w:val="21"/>
        </w:rPr>
        <w:t>5.0m</w:t>
      </w:r>
      <w:r>
        <w:rPr>
          <w:spacing w:val="-3"/>
          <w:sz w:val="21"/>
        </w:rPr>
        <w:t>。</w:t>
      </w:r>
      <w:r>
        <w:rPr>
          <w:sz w:val="21"/>
        </w:rPr>
        <w:t> </w:t>
      </w:r>
    </w:p>
    <w:p>
      <w:pPr>
        <w:pStyle w:val="ListParagraph"/>
        <w:numPr>
          <w:ilvl w:val="2"/>
          <w:numId w:val="744"/>
        </w:numPr>
        <w:tabs>
          <w:tab w:pos="1424" w:val="left" w:leader="none"/>
        </w:tabs>
        <w:spacing w:line="240" w:lineRule="auto" w:before="0" w:after="0"/>
        <w:ind w:left="1423" w:right="0" w:hanging="584"/>
        <w:jc w:val="left"/>
        <w:rPr>
          <w:sz w:val="21"/>
        </w:rPr>
      </w:pPr>
      <w:r>
        <w:rPr>
          <w:spacing w:val="-3"/>
          <w:sz w:val="21"/>
        </w:rPr>
        <w:t>消防电梯前室应设置室内消火栓，并应计入消火栓使用数量。</w:t>
      </w:r>
      <w:r>
        <w:rPr>
          <w:sz w:val="21"/>
        </w:rPr>
        <w:t> </w:t>
      </w:r>
    </w:p>
    <w:p>
      <w:pPr>
        <w:pStyle w:val="BodyText"/>
        <w:rPr>
          <w:sz w:val="18"/>
        </w:rPr>
      </w:pPr>
    </w:p>
    <w:p>
      <w:pPr>
        <w:pStyle w:val="ListParagraph"/>
        <w:numPr>
          <w:ilvl w:val="2"/>
          <w:numId w:val="744"/>
        </w:numPr>
        <w:tabs>
          <w:tab w:pos="1424" w:val="left" w:leader="none"/>
        </w:tabs>
        <w:spacing w:line="444" w:lineRule="auto" w:before="0" w:after="0"/>
        <w:ind w:left="418" w:right="1445" w:firstLine="422"/>
        <w:jc w:val="left"/>
        <w:rPr>
          <w:sz w:val="21"/>
        </w:rPr>
      </w:pPr>
      <w:r>
        <w:rPr>
          <w:spacing w:val="-6"/>
          <w:sz w:val="21"/>
        </w:rPr>
        <w:t>室内消火栓的布置应满足同一平面有 </w:t>
      </w:r>
      <w:r>
        <w:rPr>
          <w:sz w:val="21"/>
        </w:rPr>
        <w:t>2</w:t>
      </w:r>
      <w:r>
        <w:rPr>
          <w:spacing w:val="-14"/>
          <w:sz w:val="21"/>
        </w:rPr>
        <w:t> 支消防水枪的 </w:t>
      </w:r>
      <w:r>
        <w:rPr>
          <w:sz w:val="21"/>
        </w:rPr>
        <w:t>2</w:t>
      </w:r>
      <w:r>
        <w:rPr>
          <w:spacing w:val="-8"/>
          <w:sz w:val="21"/>
        </w:rPr>
        <w:t> 股充实水柱同时达到任何部位的要求，但建筑高度小于或等于 </w:t>
      </w:r>
      <w:r>
        <w:rPr>
          <w:sz w:val="21"/>
        </w:rPr>
        <w:t>24.0m</w:t>
      </w:r>
      <w:r>
        <w:rPr>
          <w:spacing w:val="-7"/>
          <w:sz w:val="21"/>
        </w:rPr>
        <w:t> 且体积小于或等于 </w:t>
      </w:r>
      <w:r>
        <w:rPr>
          <w:sz w:val="21"/>
        </w:rPr>
        <w:t>5000m</w:t>
      </w:r>
      <w:r>
        <w:rPr>
          <w:position w:val="11"/>
          <w:sz w:val="11"/>
        </w:rPr>
        <w:t>3</w:t>
      </w:r>
      <w:r>
        <w:rPr>
          <w:spacing w:val="-26"/>
          <w:position w:val="11"/>
          <w:sz w:val="11"/>
        </w:rPr>
        <w:t> </w:t>
      </w:r>
      <w:r>
        <w:rPr>
          <w:spacing w:val="-3"/>
          <w:sz w:val="21"/>
        </w:rPr>
        <w:t>的多层仓库、建筑高度小于或</w:t>
      </w:r>
      <w:r>
        <w:rPr>
          <w:spacing w:val="-19"/>
          <w:sz w:val="21"/>
        </w:rPr>
        <w:t>等于 </w:t>
      </w:r>
      <w:r>
        <w:rPr>
          <w:sz w:val="21"/>
        </w:rPr>
        <w:t>54m</w:t>
      </w:r>
      <w:r>
        <w:rPr>
          <w:spacing w:val="-11"/>
          <w:sz w:val="21"/>
        </w:rPr>
        <w:t> 且每单元设置一部疏散楼梯的住宅，以及本规范表 </w:t>
      </w:r>
      <w:r>
        <w:rPr>
          <w:sz w:val="21"/>
        </w:rPr>
        <w:t>3.5.2</w:t>
      </w:r>
      <w:r>
        <w:rPr>
          <w:spacing w:val="-15"/>
          <w:sz w:val="21"/>
        </w:rPr>
        <w:t> 中规定可采用 </w:t>
      </w:r>
      <w:r>
        <w:rPr>
          <w:sz w:val="21"/>
        </w:rPr>
        <w:t>1</w:t>
      </w:r>
      <w:r>
        <w:rPr>
          <w:spacing w:val="-10"/>
          <w:sz w:val="21"/>
        </w:rPr>
        <w:t> 支消防水枪</w:t>
      </w:r>
      <w:r>
        <w:rPr>
          <w:spacing w:val="-12"/>
          <w:sz w:val="21"/>
        </w:rPr>
        <w:t>的场所，可采用 </w:t>
      </w:r>
      <w:r>
        <w:rPr>
          <w:sz w:val="21"/>
        </w:rPr>
        <w:t>1</w:t>
      </w:r>
      <w:r>
        <w:rPr>
          <w:spacing w:val="-16"/>
          <w:sz w:val="21"/>
        </w:rPr>
        <w:t> 支消防水枪的 </w:t>
      </w:r>
      <w:r>
        <w:rPr>
          <w:sz w:val="21"/>
        </w:rPr>
        <w:t>1</w:t>
      </w:r>
      <w:r>
        <w:rPr>
          <w:spacing w:val="-9"/>
          <w:sz w:val="21"/>
        </w:rPr>
        <w:t> 股充实水柱到达室内任何部位。</w:t>
      </w:r>
      <w:r>
        <w:rPr>
          <w:sz w:val="21"/>
        </w:rPr>
        <w:t> </w:t>
      </w:r>
    </w:p>
    <w:p>
      <w:pPr>
        <w:pStyle w:val="ListParagraph"/>
        <w:numPr>
          <w:ilvl w:val="2"/>
          <w:numId w:val="744"/>
        </w:numPr>
        <w:tabs>
          <w:tab w:pos="1424" w:val="left" w:leader="none"/>
        </w:tabs>
        <w:spacing w:line="267" w:lineRule="exact" w:before="0" w:after="0"/>
        <w:ind w:left="1423" w:right="0" w:hanging="584"/>
        <w:jc w:val="left"/>
        <w:rPr>
          <w:sz w:val="21"/>
        </w:rPr>
      </w:pPr>
      <w:r>
        <w:rPr>
          <w:spacing w:val="-3"/>
          <w:sz w:val="21"/>
        </w:rPr>
        <w:t>建筑室内消火栓的设置位置应满足火灾扑救要求，并应符合下列规定： </w:t>
      </w:r>
    </w:p>
    <w:p>
      <w:pPr>
        <w:pStyle w:val="BodyText"/>
        <w:spacing w:before="2"/>
        <w:rPr>
          <w:sz w:val="18"/>
        </w:rPr>
      </w:pPr>
    </w:p>
    <w:p>
      <w:pPr>
        <w:pStyle w:val="ListParagraph"/>
        <w:numPr>
          <w:ilvl w:val="0"/>
          <w:numId w:val="746"/>
        </w:numPr>
        <w:tabs>
          <w:tab w:pos="1367" w:val="left" w:leader="none"/>
        </w:tabs>
        <w:spacing w:line="446" w:lineRule="auto" w:before="0" w:after="0"/>
        <w:ind w:left="418" w:right="1505" w:firstLine="419"/>
        <w:jc w:val="left"/>
        <w:rPr>
          <w:sz w:val="21"/>
        </w:rPr>
      </w:pPr>
      <w:r>
        <w:rPr>
          <w:spacing w:val="-3"/>
          <w:sz w:val="21"/>
        </w:rPr>
        <w:t>室内消火栓应设置在楼梯间及其休息平台和前室、走道等明显易于取用，以及便于火灾扑救的位置；</w:t>
      </w:r>
      <w:r>
        <w:rPr>
          <w:sz w:val="21"/>
        </w:rPr>
        <w:t> </w:t>
      </w:r>
    </w:p>
    <w:p>
      <w:pPr>
        <w:pStyle w:val="ListParagraph"/>
        <w:numPr>
          <w:ilvl w:val="0"/>
          <w:numId w:val="746"/>
        </w:numPr>
        <w:tabs>
          <w:tab w:pos="1367" w:val="left" w:leader="none"/>
        </w:tabs>
        <w:spacing w:line="267" w:lineRule="exact" w:before="0" w:after="0"/>
        <w:ind w:left="1367" w:right="0" w:hanging="529"/>
        <w:jc w:val="left"/>
        <w:rPr>
          <w:sz w:val="21"/>
        </w:rPr>
      </w:pPr>
      <w:r>
        <w:rPr>
          <w:spacing w:val="-3"/>
          <w:sz w:val="21"/>
        </w:rPr>
        <w:t>住宅的室内消火栓宜设置在楼梯间及其休息平台；</w:t>
      </w:r>
      <w:r>
        <w:rPr>
          <w:sz w:val="21"/>
        </w:rPr>
        <w:t> </w:t>
      </w:r>
    </w:p>
    <w:p>
      <w:pPr>
        <w:pStyle w:val="BodyText"/>
        <w:spacing w:before="2"/>
        <w:rPr>
          <w:sz w:val="18"/>
        </w:rPr>
      </w:pPr>
    </w:p>
    <w:p>
      <w:pPr>
        <w:pStyle w:val="ListParagraph"/>
        <w:numPr>
          <w:ilvl w:val="0"/>
          <w:numId w:val="746"/>
        </w:numPr>
        <w:tabs>
          <w:tab w:pos="1367" w:val="left" w:leader="none"/>
        </w:tabs>
        <w:spacing w:line="240" w:lineRule="auto" w:before="0" w:after="0"/>
        <w:ind w:left="1367" w:right="0" w:hanging="529"/>
        <w:jc w:val="left"/>
        <w:rPr>
          <w:sz w:val="21"/>
        </w:rPr>
      </w:pPr>
      <w:r>
        <w:rPr>
          <w:spacing w:val="-3"/>
          <w:sz w:val="21"/>
        </w:rPr>
        <w:t>汽车库内消火栓的设置不应影响汽车的通行和车位的设置，并应确保消火栓的开启；</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0"/>
          <w:numId w:val="746"/>
        </w:numPr>
        <w:tabs>
          <w:tab w:pos="1367" w:val="left" w:leader="none"/>
        </w:tabs>
        <w:spacing w:line="240" w:lineRule="auto" w:before="47" w:after="0"/>
        <w:ind w:left="1367" w:right="0" w:hanging="529"/>
        <w:jc w:val="left"/>
        <w:rPr>
          <w:sz w:val="21"/>
        </w:rPr>
      </w:pPr>
      <w:r>
        <w:rPr>
          <w:spacing w:val="-3"/>
          <w:sz w:val="21"/>
        </w:rPr>
        <w:t>同一楼梯间及其附近不同层设置的消火栓，其平面位置宜相同；</w:t>
      </w:r>
      <w:r>
        <w:rPr>
          <w:sz w:val="21"/>
        </w:rPr>
        <w:t> </w:t>
      </w:r>
    </w:p>
    <w:p>
      <w:pPr>
        <w:pStyle w:val="BodyText"/>
        <w:rPr>
          <w:sz w:val="18"/>
        </w:rPr>
      </w:pPr>
    </w:p>
    <w:p>
      <w:pPr>
        <w:pStyle w:val="ListParagraph"/>
        <w:numPr>
          <w:ilvl w:val="0"/>
          <w:numId w:val="746"/>
        </w:numPr>
        <w:tabs>
          <w:tab w:pos="1367" w:val="left" w:leader="none"/>
        </w:tabs>
        <w:spacing w:line="240" w:lineRule="auto" w:before="0" w:after="0"/>
        <w:ind w:left="1367" w:right="0" w:hanging="529"/>
        <w:jc w:val="left"/>
        <w:rPr>
          <w:sz w:val="21"/>
        </w:rPr>
      </w:pPr>
      <w:r>
        <w:rPr>
          <w:spacing w:val="-3"/>
          <w:sz w:val="21"/>
        </w:rPr>
        <w:t>冷库的室内消火栓应设置在常温穿堂或楼梯间内。</w:t>
      </w:r>
      <w:r>
        <w:rPr>
          <w:sz w:val="21"/>
        </w:rPr>
        <w:t> </w:t>
      </w:r>
    </w:p>
    <w:p>
      <w:pPr>
        <w:pStyle w:val="BodyText"/>
        <w:rPr>
          <w:sz w:val="18"/>
        </w:rPr>
      </w:pPr>
    </w:p>
    <w:p>
      <w:pPr>
        <w:pStyle w:val="ListParagraph"/>
        <w:numPr>
          <w:ilvl w:val="2"/>
          <w:numId w:val="744"/>
        </w:numPr>
        <w:tabs>
          <w:tab w:pos="1424" w:val="left" w:leader="none"/>
        </w:tabs>
        <w:spacing w:line="240" w:lineRule="auto" w:before="0" w:after="0"/>
        <w:ind w:left="1423" w:right="0" w:hanging="584"/>
        <w:jc w:val="left"/>
        <w:rPr>
          <w:sz w:val="21"/>
        </w:rPr>
      </w:pPr>
      <w:r>
        <w:rPr>
          <w:spacing w:val="-3"/>
          <w:sz w:val="21"/>
        </w:rPr>
        <w:t>建筑室内消火栓栓口的安装高度应便于消防水龙带的连接和使用，其距地面高度宜为</w:t>
      </w:r>
    </w:p>
    <w:p>
      <w:pPr>
        <w:pStyle w:val="BodyText"/>
        <w:spacing w:before="1"/>
        <w:rPr>
          <w:sz w:val="18"/>
        </w:rPr>
      </w:pPr>
    </w:p>
    <w:p>
      <w:pPr>
        <w:pStyle w:val="BodyText"/>
        <w:spacing w:before="1"/>
        <w:ind w:left="418"/>
      </w:pPr>
      <w:r>
        <w:rPr/>
        <w:t>1.1m；其出水方向应便于消防水带的敷设，并宜与设置消火栓的墙面成 90º角或向下。 </w:t>
      </w:r>
    </w:p>
    <w:p>
      <w:pPr>
        <w:pStyle w:val="BodyText"/>
        <w:spacing w:before="12"/>
        <w:rPr>
          <w:sz w:val="17"/>
        </w:rPr>
      </w:pPr>
    </w:p>
    <w:p>
      <w:pPr>
        <w:pStyle w:val="ListParagraph"/>
        <w:numPr>
          <w:ilvl w:val="2"/>
          <w:numId w:val="744"/>
        </w:numPr>
        <w:tabs>
          <w:tab w:pos="1424" w:val="left" w:leader="none"/>
        </w:tabs>
        <w:spacing w:line="446" w:lineRule="auto" w:before="0" w:after="0"/>
        <w:ind w:left="418" w:right="1657" w:firstLine="422"/>
        <w:jc w:val="left"/>
        <w:rPr>
          <w:sz w:val="21"/>
        </w:rPr>
      </w:pPr>
      <w:r>
        <w:rPr>
          <w:spacing w:val="-3"/>
          <w:sz w:val="21"/>
        </w:rPr>
        <w:t>设有室内消火栓的建筑应设置带有压力表的试验消火栓，其设置位置应符合下列规定：</w:t>
      </w:r>
      <w:r>
        <w:rPr>
          <w:sz w:val="21"/>
        </w:rPr>
        <w:t> </w:t>
      </w:r>
    </w:p>
    <w:p>
      <w:pPr>
        <w:pStyle w:val="ListParagraph"/>
        <w:numPr>
          <w:ilvl w:val="0"/>
          <w:numId w:val="747"/>
        </w:numPr>
        <w:tabs>
          <w:tab w:pos="1367" w:val="left" w:leader="none"/>
        </w:tabs>
        <w:spacing w:line="446" w:lineRule="auto" w:before="0" w:after="0"/>
        <w:ind w:left="418" w:right="1505" w:firstLine="419"/>
        <w:jc w:val="left"/>
        <w:rPr>
          <w:sz w:val="21"/>
        </w:rPr>
      </w:pPr>
      <w:r>
        <w:rPr>
          <w:spacing w:val="-3"/>
          <w:sz w:val="21"/>
        </w:rPr>
        <w:t>多层和高层建筑应在其屋顶设置，严寒、寒冷等冬季结冰地区可设置在顶层出口处或水箱间内等便于操作和防冻的位置；</w:t>
      </w:r>
      <w:r>
        <w:rPr>
          <w:sz w:val="21"/>
        </w:rPr>
        <w:t> </w:t>
      </w:r>
    </w:p>
    <w:p>
      <w:pPr>
        <w:pStyle w:val="ListParagraph"/>
        <w:numPr>
          <w:ilvl w:val="0"/>
          <w:numId w:val="747"/>
        </w:numPr>
        <w:tabs>
          <w:tab w:pos="1367" w:val="left" w:leader="none"/>
        </w:tabs>
        <w:spacing w:line="267" w:lineRule="exact" w:before="0" w:after="0"/>
        <w:ind w:left="1367" w:right="0" w:hanging="529"/>
        <w:jc w:val="left"/>
        <w:rPr>
          <w:sz w:val="21"/>
        </w:rPr>
      </w:pPr>
      <w:r>
        <w:rPr>
          <w:spacing w:val="-3"/>
          <w:sz w:val="21"/>
        </w:rPr>
        <w:t>单层建筑宜设置在水力最不利处，且应靠近出入口。</w:t>
      </w:r>
      <w:r>
        <w:rPr>
          <w:sz w:val="21"/>
        </w:rPr>
        <w:t> </w:t>
      </w:r>
    </w:p>
    <w:p>
      <w:pPr>
        <w:pStyle w:val="BodyText"/>
        <w:spacing w:before="2"/>
        <w:rPr>
          <w:sz w:val="18"/>
        </w:rPr>
      </w:pPr>
    </w:p>
    <w:p>
      <w:pPr>
        <w:pStyle w:val="ListParagraph"/>
        <w:numPr>
          <w:ilvl w:val="2"/>
          <w:numId w:val="744"/>
        </w:numPr>
        <w:tabs>
          <w:tab w:pos="1530" w:val="left" w:leader="none"/>
        </w:tabs>
        <w:spacing w:line="240" w:lineRule="auto" w:before="0" w:after="0"/>
        <w:ind w:left="1529" w:right="0" w:hanging="690"/>
        <w:jc w:val="left"/>
        <w:rPr>
          <w:sz w:val="21"/>
        </w:rPr>
      </w:pPr>
      <w:r>
        <w:rPr>
          <w:spacing w:val="-3"/>
          <w:sz w:val="21"/>
        </w:rPr>
        <w:t>室内消火栓宜按直线距离计算其布置间距，并应符合下列规定：</w:t>
      </w:r>
      <w:r>
        <w:rPr>
          <w:sz w:val="21"/>
        </w:rPr>
        <w:t> </w:t>
      </w:r>
    </w:p>
    <w:p>
      <w:pPr>
        <w:pStyle w:val="BodyText"/>
        <w:spacing w:before="12"/>
        <w:rPr>
          <w:sz w:val="17"/>
        </w:rPr>
      </w:pPr>
    </w:p>
    <w:p>
      <w:pPr>
        <w:pStyle w:val="BodyText"/>
        <w:ind w:left="838"/>
      </w:pPr>
      <w:r>
        <w:rPr/>
        <w:t>消火栓按 2 支消防水枪的 2 股充实水柱布置的建筑物，消火栓的布置间距不应大于 30.0m； </w:t>
      </w:r>
    </w:p>
    <w:p>
      <w:pPr>
        <w:pStyle w:val="BodyText"/>
        <w:spacing w:before="12"/>
        <w:rPr>
          <w:sz w:val="17"/>
        </w:rPr>
      </w:pPr>
    </w:p>
    <w:p>
      <w:pPr>
        <w:pStyle w:val="BodyText"/>
        <w:ind w:left="838"/>
      </w:pPr>
      <w:r>
        <w:rPr/>
        <w:t>消火栓按 1 支消防水枪的 1 股充实水柱布置的的建筑物，消火栓的布置间距不应大于</w:t>
      </w:r>
    </w:p>
    <w:p>
      <w:pPr>
        <w:pStyle w:val="BodyText"/>
        <w:spacing w:before="2"/>
        <w:rPr>
          <w:sz w:val="18"/>
        </w:rPr>
      </w:pPr>
    </w:p>
    <w:p>
      <w:pPr>
        <w:pStyle w:val="BodyText"/>
        <w:ind w:left="418"/>
      </w:pPr>
      <w:r>
        <w:rPr/>
        <w:t>50.0m。 </w:t>
      </w:r>
    </w:p>
    <w:p>
      <w:pPr>
        <w:pStyle w:val="BodyText"/>
        <w:rPr>
          <w:sz w:val="18"/>
        </w:rPr>
      </w:pPr>
    </w:p>
    <w:p>
      <w:pPr>
        <w:pStyle w:val="ListParagraph"/>
        <w:numPr>
          <w:ilvl w:val="2"/>
          <w:numId w:val="744"/>
        </w:numPr>
        <w:tabs>
          <w:tab w:pos="1530" w:val="left" w:leader="none"/>
        </w:tabs>
        <w:spacing w:line="240" w:lineRule="auto" w:before="0" w:after="0"/>
        <w:ind w:left="1529" w:right="0" w:hanging="690"/>
        <w:jc w:val="left"/>
        <w:rPr>
          <w:sz w:val="21"/>
        </w:rPr>
      </w:pPr>
      <w:r>
        <w:rPr>
          <w:spacing w:val="-3"/>
          <w:sz w:val="21"/>
        </w:rPr>
        <w:t>消防软管卷盘和轻便水龙的用水量可不计入消防用水总量。</w:t>
      </w:r>
      <w:r>
        <w:rPr>
          <w:sz w:val="21"/>
        </w:rPr>
        <w:t> </w:t>
      </w:r>
    </w:p>
    <w:p>
      <w:pPr>
        <w:pStyle w:val="BodyText"/>
        <w:rPr>
          <w:sz w:val="18"/>
        </w:rPr>
      </w:pPr>
    </w:p>
    <w:p>
      <w:pPr>
        <w:pStyle w:val="ListParagraph"/>
        <w:numPr>
          <w:ilvl w:val="2"/>
          <w:numId w:val="744"/>
        </w:numPr>
        <w:tabs>
          <w:tab w:pos="1530" w:val="left" w:leader="none"/>
        </w:tabs>
        <w:spacing w:line="240" w:lineRule="auto" w:before="0" w:after="0"/>
        <w:ind w:left="1529" w:right="0" w:hanging="690"/>
        <w:jc w:val="left"/>
        <w:rPr>
          <w:sz w:val="21"/>
        </w:rPr>
      </w:pPr>
      <w:r>
        <w:rPr>
          <w:spacing w:val="-3"/>
          <w:sz w:val="21"/>
        </w:rPr>
        <w:t>室内消火栓栓口压力和消防水枪充实水柱，应符合下列规定：</w:t>
      </w:r>
      <w:r>
        <w:rPr>
          <w:sz w:val="21"/>
        </w:rPr>
        <w:t> </w:t>
      </w:r>
    </w:p>
    <w:p>
      <w:pPr>
        <w:pStyle w:val="BodyText"/>
        <w:spacing w:before="1"/>
        <w:rPr>
          <w:sz w:val="18"/>
        </w:rPr>
      </w:pPr>
    </w:p>
    <w:p>
      <w:pPr>
        <w:pStyle w:val="BodyText"/>
        <w:spacing w:before="1"/>
        <w:ind w:left="838"/>
      </w:pPr>
      <w:r>
        <w:rPr/>
        <w:t>消火栓栓口动压力不应大于 0.50MPa，当大于 0.70MPa 时必须设置减压装置； </w:t>
      </w:r>
    </w:p>
    <w:p>
      <w:pPr>
        <w:pStyle w:val="BodyText"/>
        <w:spacing w:before="12"/>
        <w:rPr>
          <w:sz w:val="17"/>
        </w:rPr>
      </w:pPr>
    </w:p>
    <w:p>
      <w:pPr>
        <w:pStyle w:val="BodyText"/>
        <w:spacing w:line="446" w:lineRule="auto"/>
        <w:ind w:left="418" w:right="1505" w:firstLine="419"/>
      </w:pPr>
      <w:r>
        <w:rPr>
          <w:spacing w:val="-5"/>
        </w:rPr>
        <w:t>高层建筑、厂房、库房和室内净空高度超过 </w:t>
      </w:r>
      <w:r>
        <w:rPr/>
        <w:t>8m</w:t>
      </w:r>
      <w:r>
        <w:rPr>
          <w:spacing w:val="-7"/>
        </w:rPr>
        <w:t> 的民用建筑等场所，消火栓栓口动压不应小</w:t>
      </w:r>
      <w:r>
        <w:rPr>
          <w:spacing w:val="-30"/>
        </w:rPr>
        <w:t>于 </w:t>
      </w:r>
      <w:r>
        <w:rPr/>
        <w:t>0.35MPa</w:t>
      </w:r>
      <w:r>
        <w:rPr>
          <w:spacing w:val="-7"/>
        </w:rPr>
        <w:t>，且消防水枪充实水柱应按 </w:t>
      </w:r>
      <w:r>
        <w:rPr/>
        <w:t>13m</w:t>
      </w:r>
      <w:r>
        <w:rPr>
          <w:spacing w:val="-8"/>
        </w:rPr>
        <w:t> 计算；其他场所，消火栓栓口动压不应小于0.25MPa</w:t>
      </w:r>
      <w:r>
        <w:rPr>
          <w:spacing w:val="-9"/>
        </w:rPr>
        <w:t>，且消防水枪充实水柱应按 </w:t>
      </w:r>
      <w:r>
        <w:rPr/>
        <w:t>10m</w:t>
      </w:r>
      <w:r>
        <w:rPr>
          <w:spacing w:val="-15"/>
        </w:rPr>
        <w:t> 计算。</w:t>
      </w:r>
      <w:r>
        <w:rPr/>
        <w:t> </w:t>
      </w:r>
    </w:p>
    <w:p>
      <w:pPr>
        <w:pStyle w:val="ListParagraph"/>
        <w:numPr>
          <w:ilvl w:val="2"/>
          <w:numId w:val="744"/>
        </w:numPr>
        <w:tabs>
          <w:tab w:pos="1530" w:val="left" w:leader="none"/>
        </w:tabs>
        <w:spacing w:line="446" w:lineRule="auto" w:before="0" w:after="0"/>
        <w:ind w:left="418" w:right="1551" w:firstLine="422"/>
        <w:jc w:val="left"/>
        <w:rPr>
          <w:sz w:val="21"/>
        </w:rPr>
      </w:pPr>
      <w:r>
        <w:rPr>
          <w:spacing w:val="-8"/>
          <w:sz w:val="21"/>
        </w:rPr>
        <w:t>建筑高度不大于 </w:t>
      </w:r>
      <w:r>
        <w:rPr>
          <w:sz w:val="21"/>
        </w:rPr>
        <w:t>27m</w:t>
      </w:r>
      <w:r>
        <w:rPr>
          <w:spacing w:val="-8"/>
          <w:sz w:val="21"/>
        </w:rPr>
        <w:t> 的住宅，当设置消火栓时，可采用干式消防竖管，并应符合下</w:t>
      </w:r>
      <w:r>
        <w:rPr>
          <w:spacing w:val="-6"/>
          <w:sz w:val="21"/>
        </w:rPr>
        <w:t>列规定：</w:t>
      </w:r>
      <w:r>
        <w:rPr>
          <w:sz w:val="21"/>
        </w:rPr>
        <w:t> </w:t>
      </w:r>
    </w:p>
    <w:p>
      <w:pPr>
        <w:pStyle w:val="BodyText"/>
        <w:spacing w:line="446" w:lineRule="auto"/>
        <w:ind w:left="838" w:right="3606"/>
      </w:pPr>
      <w:r>
        <w:rPr/>
        <w:t>干式消防竖管宜设置在楼梯间休息平台，且仅应配置消火栓栓口； 干式消防竖管应设置消防车供水的接口； </w:t>
      </w:r>
    </w:p>
    <w:p>
      <w:pPr>
        <w:pStyle w:val="BodyText"/>
        <w:spacing w:line="446" w:lineRule="auto"/>
        <w:ind w:left="838" w:right="4026"/>
      </w:pPr>
      <w:r>
        <w:rPr/>
        <w:t>消防车供水接口应设置在首层便于消防车接近和安全的地点； 竖管顶端应设置自动排气阀。 </w:t>
      </w:r>
    </w:p>
    <w:p>
      <w:pPr>
        <w:pStyle w:val="ListParagraph"/>
        <w:numPr>
          <w:ilvl w:val="2"/>
          <w:numId w:val="744"/>
        </w:numPr>
        <w:tabs>
          <w:tab w:pos="1530" w:val="left" w:leader="none"/>
        </w:tabs>
        <w:spacing w:line="240" w:lineRule="auto" w:before="0" w:after="0"/>
        <w:ind w:left="1529" w:right="0" w:hanging="690"/>
        <w:jc w:val="left"/>
        <w:rPr>
          <w:sz w:val="21"/>
        </w:rPr>
      </w:pPr>
      <w:r>
        <w:rPr>
          <w:spacing w:val="-6"/>
          <w:sz w:val="21"/>
        </w:rPr>
        <w:t>住宅户内宜在生活给水管道上预留一个接 </w:t>
      </w:r>
      <w:r>
        <w:rPr>
          <w:sz w:val="21"/>
        </w:rPr>
        <w:t>DN15</w:t>
      </w:r>
      <w:r>
        <w:rPr>
          <w:spacing w:val="-9"/>
          <w:sz w:val="21"/>
        </w:rPr>
        <w:t> 消防软管或轻便水龙的接口。</w:t>
      </w:r>
      <w:r>
        <w:rPr>
          <w:sz w:val="21"/>
        </w:rPr>
        <w:t> </w:t>
      </w:r>
    </w:p>
    <w:p>
      <w:pPr>
        <w:pStyle w:val="BodyText"/>
        <w:spacing w:before="9"/>
        <w:rPr>
          <w:sz w:val="17"/>
        </w:rPr>
      </w:pPr>
    </w:p>
    <w:p>
      <w:pPr>
        <w:pStyle w:val="BodyText"/>
        <w:ind w:left="838"/>
      </w:pPr>
      <w:r>
        <w:rPr>
          <w:w w:val="100"/>
        </w:rPr>
        <w:t> </w:t>
      </w:r>
    </w:p>
    <w:p>
      <w:pPr>
        <w:spacing w:after="0"/>
        <w:sectPr>
          <w:pgSz w:w="11910" w:h="16850"/>
          <w:pgMar w:header="0" w:footer="1239" w:top="1220" w:bottom="1420" w:left="1260" w:right="0"/>
        </w:sectPr>
      </w:pPr>
    </w:p>
    <w:p>
      <w:pPr>
        <w:pStyle w:val="ListParagraph"/>
        <w:numPr>
          <w:ilvl w:val="2"/>
          <w:numId w:val="744"/>
        </w:numPr>
        <w:tabs>
          <w:tab w:pos="1530" w:val="left" w:leader="none"/>
        </w:tabs>
        <w:spacing w:line="446" w:lineRule="auto" w:before="47" w:after="0"/>
        <w:ind w:left="418" w:right="1549" w:firstLine="422"/>
        <w:jc w:val="left"/>
        <w:rPr>
          <w:sz w:val="21"/>
        </w:rPr>
      </w:pPr>
      <w:r>
        <w:rPr>
          <w:spacing w:val="-3"/>
          <w:sz w:val="21"/>
        </w:rPr>
        <w:t>跃层住宅和商业网点的室内消火栓应至少满足一股充实水柱到达室内任何部位，并宜设置在户门附近。</w:t>
      </w:r>
      <w:r>
        <w:rPr>
          <w:sz w:val="21"/>
        </w:rPr>
        <w:t> </w:t>
      </w:r>
    </w:p>
    <w:p>
      <w:pPr>
        <w:pStyle w:val="ListParagraph"/>
        <w:numPr>
          <w:ilvl w:val="2"/>
          <w:numId w:val="744"/>
        </w:numPr>
        <w:tabs>
          <w:tab w:pos="1530" w:val="left" w:leader="none"/>
        </w:tabs>
        <w:spacing w:line="446" w:lineRule="auto" w:before="0" w:after="0"/>
        <w:ind w:left="838" w:right="3966" w:firstLine="2"/>
        <w:jc w:val="left"/>
        <w:rPr>
          <w:sz w:val="21"/>
        </w:rPr>
      </w:pPr>
      <w:r>
        <w:rPr>
          <w:spacing w:val="-3"/>
          <w:sz w:val="21"/>
        </w:rPr>
        <w:t>城市交通隧道室内消火栓系统的设置应符合下列规定： 隧道内宜设置独立的消防给水系统；</w:t>
      </w:r>
      <w:r>
        <w:rPr>
          <w:sz w:val="21"/>
        </w:rPr>
        <w:t> </w:t>
      </w:r>
    </w:p>
    <w:p>
      <w:pPr>
        <w:pStyle w:val="BodyText"/>
        <w:spacing w:line="446" w:lineRule="auto"/>
        <w:ind w:left="418" w:right="1392" w:firstLine="419"/>
      </w:pPr>
      <w:r>
        <w:rPr/>
        <w:t>管道内的消防供水压力应保证用水量达到最大时，最低压力不应小于 0.30MPa，但当消火栓栓口处的出水压力超过 0.70MPa 时，应设置减压设施； </w:t>
      </w:r>
    </w:p>
    <w:p>
      <w:pPr>
        <w:pStyle w:val="BodyText"/>
        <w:ind w:left="838"/>
      </w:pPr>
      <w:r>
        <w:rPr/>
        <w:t>在隧道出入口处应设置消防水泵接合器和室外消火栓； </w:t>
      </w:r>
    </w:p>
    <w:p>
      <w:pPr>
        <w:pStyle w:val="BodyText"/>
        <w:spacing w:before="11"/>
        <w:rPr>
          <w:sz w:val="17"/>
        </w:rPr>
      </w:pPr>
    </w:p>
    <w:p>
      <w:pPr>
        <w:pStyle w:val="BodyText"/>
        <w:spacing w:line="446" w:lineRule="auto"/>
        <w:ind w:left="838" w:right="1352"/>
      </w:pPr>
      <w:r>
        <w:rPr>
          <w:spacing w:val="-7"/>
        </w:rPr>
        <w:t>消火栓的间距不应大于 </w:t>
      </w:r>
      <w:r>
        <w:rPr/>
        <w:t>50m，</w:t>
      </w:r>
      <w:r>
        <w:rPr>
          <w:spacing w:val="-6"/>
        </w:rPr>
        <w:t>双向同行车道或单行通行但大于 </w:t>
      </w:r>
      <w:r>
        <w:rPr/>
        <w:t>3</w:t>
      </w:r>
      <w:r>
        <w:rPr>
          <w:spacing w:val="-8"/>
        </w:rPr>
        <w:t> 车道时，应双面间隔设置； </w:t>
      </w:r>
      <w:r>
        <w:rPr>
          <w:spacing w:val="-5"/>
        </w:rPr>
        <w:t>隧道内允许通行危险化学品的机动车，且隧道长度超过 </w:t>
      </w:r>
      <w:r>
        <w:rPr/>
        <w:t>3000m</w:t>
      </w:r>
      <w:r>
        <w:rPr>
          <w:spacing w:val="-8"/>
        </w:rPr>
        <w:t> 时，应配置水雾或泡沫消防</w:t>
      </w:r>
    </w:p>
    <w:p>
      <w:pPr>
        <w:pStyle w:val="BodyText"/>
        <w:ind w:left="418"/>
      </w:pPr>
      <w:r>
        <w:rPr/>
        <w:t>水枪。 </w:t>
      </w:r>
    </w:p>
    <w:p>
      <w:pPr>
        <w:pStyle w:val="BodyText"/>
        <w:spacing w:before="8"/>
        <w:rPr>
          <w:sz w:val="15"/>
        </w:rPr>
      </w:pPr>
    </w:p>
    <w:p>
      <w:pPr>
        <w:pStyle w:val="Heading4"/>
      </w:pPr>
      <w:r>
        <w:rPr/>
        <w:t>8 管网</w:t>
      </w:r>
      <w:r>
        <w:rPr>
          <w:w w:val="99"/>
        </w:rPr>
        <w:t> </w:t>
      </w:r>
    </w:p>
    <w:p>
      <w:pPr>
        <w:pStyle w:val="BodyText"/>
        <w:spacing w:before="3"/>
        <w:rPr>
          <w:b/>
          <w:sz w:val="17"/>
        </w:rPr>
      </w:pPr>
    </w:p>
    <w:p>
      <w:pPr>
        <w:pStyle w:val="ListParagraph"/>
        <w:numPr>
          <w:ilvl w:val="1"/>
          <w:numId w:val="748"/>
        </w:numPr>
        <w:tabs>
          <w:tab w:pos="1160" w:val="left" w:leader="none"/>
        </w:tabs>
        <w:spacing w:line="240" w:lineRule="auto" w:before="1" w:after="0"/>
        <w:ind w:left="1159" w:right="0" w:hanging="320"/>
        <w:jc w:val="left"/>
        <w:rPr>
          <w:sz w:val="21"/>
        </w:rPr>
      </w:pPr>
      <w:r>
        <w:rPr>
          <w:spacing w:val="-3"/>
          <w:sz w:val="21"/>
        </w:rPr>
        <w:t>一般规定</w:t>
      </w:r>
      <w:r>
        <w:rPr>
          <w:sz w:val="21"/>
        </w:rPr>
        <w:t> </w:t>
      </w:r>
    </w:p>
    <w:p>
      <w:pPr>
        <w:pStyle w:val="BodyText"/>
        <w:spacing w:before="1"/>
        <w:rPr>
          <w:sz w:val="18"/>
        </w:rPr>
      </w:pPr>
    </w:p>
    <w:p>
      <w:pPr>
        <w:pStyle w:val="ListParagraph"/>
        <w:numPr>
          <w:ilvl w:val="2"/>
          <w:numId w:val="748"/>
        </w:numPr>
        <w:tabs>
          <w:tab w:pos="1424" w:val="left" w:leader="none"/>
        </w:tabs>
        <w:spacing w:line="240" w:lineRule="auto" w:before="1" w:after="0"/>
        <w:ind w:left="1423" w:right="0" w:hanging="584"/>
        <w:jc w:val="left"/>
        <w:rPr>
          <w:sz w:val="21"/>
        </w:rPr>
      </w:pPr>
      <w:r>
        <w:rPr>
          <w:spacing w:val="-3"/>
          <w:sz w:val="21"/>
        </w:rPr>
        <w:t>当市政给水管网设有市政消火栓时，应符合下列规定：</w:t>
      </w:r>
      <w:r>
        <w:rPr>
          <w:sz w:val="21"/>
        </w:rPr>
        <w:t> </w:t>
      </w:r>
    </w:p>
    <w:p>
      <w:pPr>
        <w:pStyle w:val="BodyText"/>
        <w:spacing w:before="12"/>
        <w:rPr>
          <w:sz w:val="17"/>
        </w:rPr>
      </w:pPr>
    </w:p>
    <w:p>
      <w:pPr>
        <w:pStyle w:val="BodyText"/>
        <w:spacing w:line="446" w:lineRule="auto"/>
        <w:ind w:left="418" w:right="1609" w:firstLine="419"/>
      </w:pPr>
      <w:r>
        <w:rPr>
          <w:spacing w:val="-5"/>
        </w:rPr>
        <w:t>设有市政消火栓的市政给水管网宜为环状管网，但当城镇人口小于 </w:t>
      </w:r>
      <w:r>
        <w:rPr/>
        <w:t>2.5</w:t>
      </w:r>
      <w:r>
        <w:rPr>
          <w:spacing w:val="-7"/>
        </w:rPr>
        <w:t> 万人时，可为枝状</w:t>
      </w:r>
      <w:r>
        <w:rPr>
          <w:spacing w:val="-6"/>
        </w:rPr>
        <w:t>管网；</w:t>
      </w:r>
      <w:r>
        <w:rPr/>
        <w:t> </w:t>
      </w:r>
    </w:p>
    <w:p>
      <w:pPr>
        <w:pStyle w:val="BodyText"/>
        <w:spacing w:line="446" w:lineRule="auto"/>
        <w:ind w:left="418" w:right="1510" w:firstLine="419"/>
      </w:pPr>
      <w:r>
        <w:rPr>
          <w:spacing w:val="-5"/>
        </w:rPr>
        <w:t>接市政消火栓的环状给水管网的管径不应小于 </w:t>
      </w:r>
      <w:r>
        <w:rPr/>
        <w:t>DN150</w:t>
      </w:r>
      <w:r>
        <w:rPr>
          <w:spacing w:val="-6"/>
        </w:rPr>
        <w:t>，枝状管网的管径不宜小于 </w:t>
      </w:r>
      <w:r>
        <w:rPr/>
        <w:t>DN200</w:t>
      </w:r>
      <w:r>
        <w:rPr>
          <w:spacing w:val="-3"/>
        </w:rPr>
        <w:t>。当</w:t>
      </w:r>
      <w:r>
        <w:rPr>
          <w:spacing w:val="-8"/>
        </w:rPr>
        <w:t>城镇人口小于 </w:t>
      </w:r>
      <w:r>
        <w:rPr/>
        <w:t>2.5</w:t>
      </w:r>
      <w:r>
        <w:rPr>
          <w:spacing w:val="-8"/>
        </w:rPr>
        <w:t> 万人时，接市政消火栓的给水管网的管径可适当减少，环状管网时不应小于DN100</w:t>
      </w:r>
      <w:r>
        <w:rPr>
          <w:spacing w:val="-9"/>
        </w:rPr>
        <w:t>，枝状管网时不宜小于 </w:t>
      </w:r>
      <w:r>
        <w:rPr/>
        <w:t>DN150； </w:t>
      </w:r>
    </w:p>
    <w:p>
      <w:pPr>
        <w:pStyle w:val="BodyText"/>
        <w:spacing w:line="446" w:lineRule="auto"/>
        <w:ind w:left="418" w:right="1450" w:firstLine="419"/>
      </w:pPr>
      <w:r>
        <w:rPr>
          <w:spacing w:val="-3"/>
        </w:rPr>
        <w:t>工业园区、商务区和居住区等区域采用两路消防供水，当其中一条引入管发生故障时，其 </w:t>
      </w:r>
      <w:r>
        <w:rPr>
          <w:spacing w:val="-5"/>
        </w:rPr>
        <w:t>余引入管在保证满足 </w:t>
      </w:r>
      <w:r>
        <w:rPr/>
        <w:t>70</w:t>
      </w:r>
      <w:r>
        <w:rPr>
          <w:spacing w:val="-3"/>
        </w:rPr>
        <w:t>%生产生活给水的最大小时设计流量条件下，应仍能满足本规范规定的消防给水设计流量。</w:t>
      </w:r>
      <w:r>
        <w:rPr/>
        <w:t> </w:t>
      </w:r>
    </w:p>
    <w:p>
      <w:pPr>
        <w:pStyle w:val="ListParagraph"/>
        <w:numPr>
          <w:ilvl w:val="2"/>
          <w:numId w:val="748"/>
        </w:numPr>
        <w:tabs>
          <w:tab w:pos="1424" w:val="left" w:leader="none"/>
        </w:tabs>
        <w:spacing w:line="446" w:lineRule="auto" w:before="0" w:after="0"/>
        <w:ind w:left="838" w:right="5757" w:firstLine="2"/>
        <w:jc w:val="left"/>
        <w:rPr>
          <w:sz w:val="21"/>
        </w:rPr>
      </w:pPr>
      <w:r>
        <w:rPr>
          <w:spacing w:val="-3"/>
          <w:sz w:val="21"/>
        </w:rPr>
        <w:t>下列消防给水应采用环状给水管网： 向两栋或两座及以上建筑供水时；</w:t>
      </w:r>
      <w:r>
        <w:rPr>
          <w:sz w:val="21"/>
        </w:rPr>
        <w:t> </w:t>
      </w:r>
    </w:p>
    <w:p>
      <w:pPr>
        <w:pStyle w:val="BodyText"/>
        <w:spacing w:line="267" w:lineRule="exact"/>
        <w:ind w:left="838"/>
      </w:pPr>
      <w:r>
        <w:rPr/>
        <w:t>向两种及以上水灭火系统供水时； </w:t>
      </w:r>
    </w:p>
    <w:p>
      <w:pPr>
        <w:pStyle w:val="BodyText"/>
        <w:rPr>
          <w:sz w:val="18"/>
        </w:rPr>
      </w:pPr>
    </w:p>
    <w:p>
      <w:pPr>
        <w:pStyle w:val="BodyText"/>
        <w:spacing w:line="446" w:lineRule="auto"/>
        <w:ind w:left="838" w:right="4866"/>
      </w:pPr>
      <w:r>
        <w:rPr/>
        <w:t>采用设有高位消防水箱的临时高压消防给水系统时； 向两个及以上报警阀控制的自动水灭火系统供水时。 </w:t>
      </w:r>
    </w:p>
    <w:p>
      <w:pPr>
        <w:pStyle w:val="ListParagraph"/>
        <w:numPr>
          <w:ilvl w:val="2"/>
          <w:numId w:val="748"/>
        </w:numPr>
        <w:tabs>
          <w:tab w:pos="1424" w:val="left" w:leader="none"/>
        </w:tabs>
        <w:spacing w:line="446" w:lineRule="auto" w:before="0" w:after="0"/>
        <w:ind w:left="418" w:right="1445" w:firstLine="422"/>
        <w:jc w:val="left"/>
        <w:rPr>
          <w:sz w:val="21"/>
        </w:rPr>
      </w:pPr>
      <w:r>
        <w:rPr>
          <w:spacing w:val="-3"/>
          <w:sz w:val="21"/>
        </w:rPr>
        <w:t>向室外、室内环状消防给水管网供水的输水干管不应少于两条，当其中一条发生故障时，其余的输水干管应仍能满足消防给水设计流量。 </w:t>
      </w:r>
    </w:p>
    <w:p>
      <w:pPr>
        <w:spacing w:after="0" w:line="446" w:lineRule="auto"/>
        <w:jc w:val="left"/>
        <w:rPr>
          <w:sz w:val="21"/>
        </w:rPr>
        <w:sectPr>
          <w:pgSz w:w="11910" w:h="16850"/>
          <w:pgMar w:header="0" w:footer="1239" w:top="1220" w:bottom="1420" w:left="1260" w:right="0"/>
        </w:sectPr>
      </w:pPr>
    </w:p>
    <w:p>
      <w:pPr>
        <w:pStyle w:val="ListParagraph"/>
        <w:numPr>
          <w:ilvl w:val="2"/>
          <w:numId w:val="748"/>
        </w:numPr>
        <w:tabs>
          <w:tab w:pos="1424" w:val="left" w:leader="none"/>
        </w:tabs>
        <w:spacing w:line="240" w:lineRule="auto" w:before="47" w:after="0"/>
        <w:ind w:left="1423" w:right="0" w:hanging="584"/>
        <w:jc w:val="left"/>
        <w:rPr>
          <w:sz w:val="21"/>
        </w:rPr>
      </w:pPr>
      <w:r>
        <w:rPr>
          <w:spacing w:val="-3"/>
          <w:sz w:val="21"/>
        </w:rPr>
        <w:t>室外消防给水管网应符合下列规定：</w:t>
      </w:r>
      <w:r>
        <w:rPr>
          <w:sz w:val="21"/>
        </w:rPr>
        <w:t> </w:t>
      </w:r>
    </w:p>
    <w:p>
      <w:pPr>
        <w:pStyle w:val="BodyText"/>
        <w:rPr>
          <w:sz w:val="18"/>
        </w:rPr>
      </w:pPr>
    </w:p>
    <w:p>
      <w:pPr>
        <w:pStyle w:val="BodyText"/>
        <w:spacing w:line="446" w:lineRule="auto"/>
        <w:ind w:left="418" w:right="1609" w:firstLine="419"/>
      </w:pPr>
      <w:r>
        <w:rPr/>
        <w:t>室外消防给水采用两路消防供水时应采用环状管网，但当采用一路消防供水时可采用枝状管网； </w:t>
      </w:r>
    </w:p>
    <w:p>
      <w:pPr>
        <w:pStyle w:val="BodyText"/>
        <w:ind w:left="838"/>
      </w:pPr>
      <w:r>
        <w:rPr/>
        <w:t>管道的直径应根据流量、流速和压力要求经计算确定，但不应小于 DN100； </w:t>
      </w:r>
    </w:p>
    <w:p>
      <w:pPr>
        <w:pStyle w:val="BodyText"/>
        <w:spacing w:before="12"/>
        <w:rPr>
          <w:sz w:val="17"/>
        </w:rPr>
      </w:pPr>
    </w:p>
    <w:p>
      <w:pPr>
        <w:pStyle w:val="BodyText"/>
        <w:spacing w:line="446" w:lineRule="auto"/>
        <w:ind w:left="838" w:right="1664"/>
      </w:pPr>
      <w:r>
        <w:rPr>
          <w:spacing w:val="-2"/>
        </w:rPr>
        <w:t>消防给水管道应采用阀门分成若干独立段，每段内室外消火栓的数量不宜超过 </w:t>
      </w:r>
      <w:r>
        <w:rPr/>
        <w:t>5</w:t>
      </w:r>
      <w:r>
        <w:rPr>
          <w:spacing w:val="17"/>
        </w:rPr>
        <w:t> 个； </w:t>
      </w:r>
      <w:r>
        <w:rPr>
          <w:spacing w:val="-3"/>
        </w:rPr>
        <w:t>管道设计的其他要求应符合现行国家标准《室外给水设计规范》</w:t>
      </w:r>
      <w:r>
        <w:rPr/>
        <w:t>GB</w:t>
      </w:r>
      <w:r>
        <w:rPr>
          <w:spacing w:val="14"/>
        </w:rPr>
        <w:t> </w:t>
      </w:r>
      <w:r>
        <w:rPr/>
        <w:t>50013</w:t>
      </w:r>
      <w:r>
        <w:rPr>
          <w:spacing w:val="-9"/>
        </w:rPr>
        <w:t> 的有关规定。 </w:t>
      </w:r>
    </w:p>
    <w:p>
      <w:pPr>
        <w:pStyle w:val="ListParagraph"/>
        <w:numPr>
          <w:ilvl w:val="2"/>
          <w:numId w:val="748"/>
        </w:numPr>
        <w:tabs>
          <w:tab w:pos="1424" w:val="left" w:leader="none"/>
        </w:tabs>
        <w:spacing w:line="240" w:lineRule="auto" w:before="0" w:after="0"/>
        <w:ind w:left="1423" w:right="0" w:hanging="584"/>
        <w:jc w:val="left"/>
        <w:rPr>
          <w:sz w:val="21"/>
        </w:rPr>
      </w:pPr>
      <w:r>
        <w:rPr>
          <w:spacing w:val="-3"/>
          <w:sz w:val="21"/>
        </w:rPr>
        <w:t>室内消防给水管网应符合下列规定：</w:t>
      </w:r>
      <w:r>
        <w:rPr>
          <w:sz w:val="21"/>
        </w:rPr>
        <w:t> </w:t>
      </w:r>
    </w:p>
    <w:p>
      <w:pPr>
        <w:pStyle w:val="BodyText"/>
        <w:rPr>
          <w:sz w:val="18"/>
        </w:rPr>
      </w:pPr>
    </w:p>
    <w:p>
      <w:pPr>
        <w:pStyle w:val="BodyText"/>
        <w:spacing w:line="446" w:lineRule="auto"/>
        <w:ind w:left="418" w:right="1391" w:firstLine="419"/>
      </w:pPr>
      <w:r>
        <w:rPr/>
        <w:t>室内消火栓系统管网应布置成环状，当室外消火栓设计流量不大于 20L/s，且室内消火栓不超过 10 个时，除本规范第 8.1.2 条外，可布置成枝状； </w:t>
      </w:r>
    </w:p>
    <w:p>
      <w:pPr>
        <w:pStyle w:val="BodyText"/>
        <w:spacing w:line="446" w:lineRule="auto"/>
        <w:ind w:left="418" w:right="1609" w:firstLine="419"/>
      </w:pPr>
      <w:r>
        <w:rPr>
          <w:spacing w:val="-3"/>
        </w:rPr>
        <w:t>当由室外生产生活消防合用系统直接供水时，合用系统除应满足室外消防给水设计流量以及生产和生活最大小时设计流量的要求外，还应满足室内消防给水系统的设计流量和压力要 求；</w:t>
      </w:r>
      <w:r>
        <w:rPr/>
        <w:t> </w:t>
      </w:r>
    </w:p>
    <w:p>
      <w:pPr>
        <w:pStyle w:val="BodyText"/>
        <w:spacing w:line="446" w:lineRule="auto"/>
        <w:ind w:left="418" w:right="1609" w:firstLine="419"/>
      </w:pPr>
      <w:r>
        <w:rPr/>
        <w:t>室内消防管道管径应根据系统设计流量、流速和压力要求经计算确定；室内消火栓竖管管径应根据竖管最低流量经计算确定，但不应小于 DN100。 </w:t>
      </w:r>
    </w:p>
    <w:p>
      <w:pPr>
        <w:pStyle w:val="ListParagraph"/>
        <w:numPr>
          <w:ilvl w:val="2"/>
          <w:numId w:val="748"/>
        </w:numPr>
        <w:tabs>
          <w:tab w:pos="1424" w:val="left" w:leader="none"/>
        </w:tabs>
        <w:spacing w:line="267" w:lineRule="exact" w:before="0" w:after="0"/>
        <w:ind w:left="1423" w:right="0" w:hanging="584"/>
        <w:jc w:val="left"/>
        <w:rPr>
          <w:sz w:val="21"/>
        </w:rPr>
      </w:pPr>
      <w:r>
        <w:rPr>
          <w:spacing w:val="-3"/>
          <w:sz w:val="21"/>
        </w:rPr>
        <w:t>室内消火栓环状给水管道检修时应符合下列规定：</w:t>
      </w:r>
      <w:r>
        <w:rPr>
          <w:sz w:val="21"/>
        </w:rPr>
        <w:t> </w:t>
      </w:r>
    </w:p>
    <w:p>
      <w:pPr>
        <w:pStyle w:val="BodyText"/>
        <w:spacing w:before="1"/>
        <w:rPr>
          <w:sz w:val="18"/>
        </w:rPr>
      </w:pPr>
    </w:p>
    <w:p>
      <w:pPr>
        <w:pStyle w:val="BodyText"/>
        <w:ind w:left="838"/>
      </w:pPr>
      <w:r>
        <w:rPr/>
        <w:t>室内消火栓竖管应保证检修管道时关闭停用的竖管不超过 1 根，当竖管超过 4 根时，可关</w:t>
      </w:r>
    </w:p>
    <w:p>
      <w:pPr>
        <w:pStyle w:val="BodyText"/>
        <w:spacing w:before="12"/>
        <w:rPr>
          <w:sz w:val="17"/>
        </w:rPr>
      </w:pPr>
    </w:p>
    <w:p>
      <w:pPr>
        <w:pStyle w:val="BodyText"/>
        <w:ind w:left="418"/>
      </w:pPr>
      <w:r>
        <w:rPr/>
        <w:t>闭不相邻的 2 根； </w:t>
      </w:r>
    </w:p>
    <w:p>
      <w:pPr>
        <w:pStyle w:val="BodyText"/>
        <w:spacing w:before="12"/>
        <w:rPr>
          <w:sz w:val="17"/>
        </w:rPr>
      </w:pPr>
    </w:p>
    <w:p>
      <w:pPr>
        <w:pStyle w:val="BodyText"/>
        <w:spacing w:before="1"/>
        <w:ind w:left="838"/>
      </w:pPr>
      <w:r>
        <w:rPr/>
        <w:t>每根竖管与供水横干管相接处应设置阀门。 </w:t>
      </w:r>
    </w:p>
    <w:p>
      <w:pPr>
        <w:pStyle w:val="BodyText"/>
        <w:spacing w:before="1"/>
        <w:rPr>
          <w:sz w:val="18"/>
        </w:rPr>
      </w:pPr>
    </w:p>
    <w:p>
      <w:pPr>
        <w:pStyle w:val="ListParagraph"/>
        <w:numPr>
          <w:ilvl w:val="2"/>
          <w:numId w:val="748"/>
        </w:numPr>
        <w:tabs>
          <w:tab w:pos="1424" w:val="left" w:leader="none"/>
        </w:tabs>
        <w:spacing w:line="446" w:lineRule="auto" w:before="0" w:after="0"/>
        <w:ind w:left="418" w:right="1445" w:firstLine="422"/>
        <w:jc w:val="left"/>
        <w:rPr>
          <w:sz w:val="21"/>
        </w:rPr>
      </w:pPr>
      <w:r>
        <w:rPr>
          <w:spacing w:val="-3"/>
          <w:sz w:val="21"/>
        </w:rPr>
        <w:t>室内消火栓给水管网宜与自动喷水等其他水灭火系统的管网分开设置；当合用消防泵时，供水管路沿水流方向应在报警阀前分开设置。</w:t>
      </w:r>
      <w:r>
        <w:rPr>
          <w:sz w:val="21"/>
        </w:rPr>
        <w:t> </w:t>
      </w:r>
    </w:p>
    <w:p>
      <w:pPr>
        <w:pStyle w:val="ListParagraph"/>
        <w:numPr>
          <w:ilvl w:val="2"/>
          <w:numId w:val="748"/>
        </w:numPr>
        <w:tabs>
          <w:tab w:pos="1424" w:val="left" w:leader="none"/>
        </w:tabs>
        <w:spacing w:line="446" w:lineRule="auto" w:before="0" w:after="0"/>
        <w:ind w:left="418" w:right="1606" w:firstLine="422"/>
        <w:jc w:val="left"/>
        <w:rPr>
          <w:sz w:val="21"/>
        </w:rPr>
      </w:pPr>
      <w:r>
        <w:rPr>
          <w:spacing w:val="-5"/>
          <w:sz w:val="21"/>
        </w:rPr>
        <w:t>消防给水管道的设计流速不宜大于 </w:t>
      </w:r>
      <w:r>
        <w:rPr>
          <w:sz w:val="21"/>
        </w:rPr>
        <w:t>2.5m/s</w:t>
      </w:r>
      <w:r>
        <w:rPr>
          <w:spacing w:val="-3"/>
          <w:sz w:val="21"/>
        </w:rPr>
        <w:t>，自动水灭火系统管道设计流速，应符合现行国家标准《自动喷水灭火系统设计规范》</w:t>
      </w:r>
      <w:r>
        <w:rPr>
          <w:sz w:val="21"/>
        </w:rPr>
        <w:t>GB</w:t>
      </w:r>
      <w:r>
        <w:rPr>
          <w:spacing w:val="32"/>
          <w:sz w:val="21"/>
        </w:rPr>
        <w:t>  </w:t>
      </w:r>
      <w:r>
        <w:rPr>
          <w:sz w:val="21"/>
        </w:rPr>
        <w:t>50084</w:t>
      </w:r>
      <w:r>
        <w:rPr>
          <w:spacing w:val="-3"/>
          <w:sz w:val="21"/>
        </w:rPr>
        <w:t>、《泡沫灭火系统设计规范》</w:t>
      </w:r>
      <w:r>
        <w:rPr>
          <w:sz w:val="21"/>
        </w:rPr>
        <w:t>GB 50151</w:t>
      </w:r>
      <w:r>
        <w:rPr>
          <w:spacing w:val="-3"/>
          <w:sz w:val="21"/>
        </w:rPr>
        <w:t>、《水喷雾灭火系统设计规范》</w:t>
      </w:r>
      <w:r>
        <w:rPr>
          <w:sz w:val="21"/>
        </w:rPr>
        <w:t>GB</w:t>
      </w:r>
      <w:r>
        <w:rPr>
          <w:spacing w:val="10"/>
          <w:sz w:val="21"/>
        </w:rPr>
        <w:t> </w:t>
      </w:r>
      <w:r>
        <w:rPr>
          <w:sz w:val="21"/>
        </w:rPr>
        <w:t>50219</w:t>
      </w:r>
      <w:r>
        <w:rPr>
          <w:spacing w:val="-3"/>
          <w:sz w:val="21"/>
        </w:rPr>
        <w:t> 和《固定消防炮灭火系统设计规范》</w:t>
      </w:r>
      <w:r>
        <w:rPr>
          <w:sz w:val="21"/>
        </w:rPr>
        <w:t>GB</w:t>
      </w:r>
      <w:r>
        <w:rPr>
          <w:spacing w:val="11"/>
          <w:sz w:val="21"/>
        </w:rPr>
        <w:t> </w:t>
      </w:r>
      <w:r>
        <w:rPr>
          <w:sz w:val="21"/>
        </w:rPr>
        <w:t>50338 </w:t>
      </w:r>
      <w:r>
        <w:rPr>
          <w:spacing w:val="-6"/>
          <w:sz w:val="21"/>
        </w:rPr>
        <w:t>的有关规定，但任何消防管道的给水流速不应大于 </w:t>
      </w:r>
      <w:r>
        <w:rPr>
          <w:sz w:val="21"/>
        </w:rPr>
        <w:t>7m/s</w:t>
      </w:r>
      <w:r>
        <w:rPr>
          <w:spacing w:val="-3"/>
          <w:sz w:val="21"/>
        </w:rPr>
        <w:t>。</w:t>
      </w:r>
      <w:r>
        <w:rPr>
          <w:sz w:val="21"/>
        </w:rPr>
        <w:t> </w:t>
      </w:r>
    </w:p>
    <w:p>
      <w:pPr>
        <w:pStyle w:val="ListParagraph"/>
        <w:numPr>
          <w:ilvl w:val="1"/>
          <w:numId w:val="748"/>
        </w:numPr>
        <w:tabs>
          <w:tab w:pos="1159" w:val="left" w:leader="none"/>
        </w:tabs>
        <w:spacing w:line="269" w:lineRule="exact" w:before="0" w:after="0"/>
        <w:ind w:left="1158" w:right="0" w:hanging="319"/>
        <w:jc w:val="left"/>
        <w:rPr>
          <w:sz w:val="21"/>
        </w:rPr>
      </w:pPr>
      <w:r>
        <w:rPr>
          <w:spacing w:val="-3"/>
          <w:sz w:val="21"/>
        </w:rPr>
        <w:t>管道设计</w:t>
      </w:r>
      <w:r>
        <w:rPr>
          <w:sz w:val="21"/>
        </w:rPr>
        <w:t> </w:t>
      </w:r>
    </w:p>
    <w:p>
      <w:pPr>
        <w:pStyle w:val="BodyText"/>
        <w:spacing w:before="11"/>
        <w:rPr>
          <w:sz w:val="17"/>
        </w:rPr>
      </w:pPr>
    </w:p>
    <w:p>
      <w:pPr>
        <w:pStyle w:val="ListParagraph"/>
        <w:numPr>
          <w:ilvl w:val="2"/>
          <w:numId w:val="748"/>
        </w:numPr>
        <w:tabs>
          <w:tab w:pos="1424" w:val="left" w:leader="none"/>
        </w:tabs>
        <w:spacing w:line="446" w:lineRule="auto" w:before="0" w:after="0"/>
        <w:ind w:left="418" w:right="1445" w:firstLine="422"/>
        <w:jc w:val="left"/>
        <w:rPr>
          <w:sz w:val="21"/>
        </w:rPr>
      </w:pPr>
      <w:r>
        <w:rPr>
          <w:spacing w:val="-3"/>
          <w:sz w:val="21"/>
        </w:rPr>
        <w:t>消防给水系统中采用的设备、器材、管材管件、阀门和配件等系统组件的产品工作压力等级，应大于消防给水系统的系统工作压力，且应保证系统在可能最大运行压力时安全可</w:t>
      </w:r>
    </w:p>
    <w:p>
      <w:pPr>
        <w:pStyle w:val="BodyText"/>
        <w:ind w:left="418"/>
      </w:pPr>
      <w:r>
        <w:rPr/>
        <w:t>靠。 </w:t>
      </w:r>
    </w:p>
    <w:p>
      <w:pPr>
        <w:spacing w:after="0"/>
        <w:sectPr>
          <w:pgSz w:w="11910" w:h="16850"/>
          <w:pgMar w:header="0" w:footer="1239" w:top="1220" w:bottom="1420" w:left="1260" w:right="0"/>
        </w:sectPr>
      </w:pPr>
    </w:p>
    <w:p>
      <w:pPr>
        <w:pStyle w:val="ListParagraph"/>
        <w:numPr>
          <w:ilvl w:val="2"/>
          <w:numId w:val="748"/>
        </w:numPr>
        <w:tabs>
          <w:tab w:pos="1371" w:val="left" w:leader="none"/>
        </w:tabs>
        <w:spacing w:line="446" w:lineRule="auto" w:before="47" w:after="0"/>
        <w:ind w:left="418" w:right="1604" w:firstLine="422"/>
        <w:jc w:val="left"/>
        <w:rPr>
          <w:sz w:val="21"/>
        </w:rPr>
      </w:pPr>
      <w:r>
        <w:rPr>
          <w:spacing w:val="-3"/>
          <w:sz w:val="21"/>
        </w:rPr>
        <w:t>低压消防给水系统的系统工作压力应根据市政给水管网和其他给水管网等的系统工</w:t>
      </w:r>
      <w:r>
        <w:rPr>
          <w:spacing w:val="-8"/>
          <w:sz w:val="21"/>
        </w:rPr>
        <w:t>作压力确定，且不应小于 </w:t>
      </w:r>
      <w:r>
        <w:rPr>
          <w:sz w:val="21"/>
        </w:rPr>
        <w:t>0.60MPa</w:t>
      </w:r>
      <w:r>
        <w:rPr>
          <w:spacing w:val="-3"/>
          <w:sz w:val="21"/>
        </w:rPr>
        <w:t>。</w:t>
      </w:r>
      <w:r>
        <w:rPr>
          <w:sz w:val="21"/>
        </w:rPr>
        <w:t> </w:t>
      </w:r>
    </w:p>
    <w:p>
      <w:pPr>
        <w:pStyle w:val="ListParagraph"/>
        <w:numPr>
          <w:ilvl w:val="2"/>
          <w:numId w:val="748"/>
        </w:numPr>
        <w:tabs>
          <w:tab w:pos="1424" w:val="left" w:leader="none"/>
        </w:tabs>
        <w:spacing w:line="446" w:lineRule="auto" w:before="0" w:after="0"/>
        <w:ind w:left="418" w:right="1445" w:firstLine="422"/>
        <w:jc w:val="left"/>
        <w:rPr>
          <w:sz w:val="21"/>
        </w:rPr>
      </w:pPr>
      <w:r>
        <w:rPr>
          <w:spacing w:val="-3"/>
          <w:sz w:val="21"/>
        </w:rPr>
        <w:t>高压和临时高压消防给水系统的系统工作压力应根据系统在供水时，可能的最大运行供水压力确定，并应符合下列规定：</w:t>
      </w:r>
      <w:r>
        <w:rPr>
          <w:sz w:val="21"/>
        </w:rPr>
        <w:t> </w:t>
      </w:r>
    </w:p>
    <w:p>
      <w:pPr>
        <w:pStyle w:val="BodyText"/>
        <w:spacing w:line="446" w:lineRule="auto"/>
        <w:ind w:left="418" w:right="1609" w:firstLine="419"/>
      </w:pPr>
      <w:r>
        <w:rPr>
          <w:spacing w:val="-3"/>
        </w:rPr>
        <w:t>高位消防水池、水塔供水的高压消防给水系统的系统工作压力，应为高位消防水池、水塔最大静压；</w:t>
      </w:r>
      <w:r>
        <w:rPr/>
        <w:t> </w:t>
      </w:r>
    </w:p>
    <w:p>
      <w:pPr>
        <w:pStyle w:val="BodyText"/>
        <w:spacing w:line="446" w:lineRule="auto"/>
        <w:ind w:left="418" w:right="1608" w:firstLine="419"/>
      </w:pPr>
      <w:r>
        <w:rPr>
          <w:spacing w:val="-3"/>
        </w:rPr>
        <w:t>市政给水管网直接供水的高压消防给水系统的系统工作压力，应根据市政给水管网的工作压力确定；</w:t>
      </w:r>
      <w:r>
        <w:rPr/>
        <w:t> </w:t>
      </w:r>
    </w:p>
    <w:p>
      <w:pPr>
        <w:pStyle w:val="BodyText"/>
        <w:spacing w:line="446" w:lineRule="auto"/>
        <w:ind w:left="418" w:right="1609" w:firstLine="419"/>
      </w:pPr>
      <w:r>
        <w:rPr/>
        <w:t>采用高位消防水箱稳压的临时高压消防给水系统的系统工作压力，应为消防水泵零流量时的压力与水泵吸水口最大静水压力之和； </w:t>
      </w:r>
    </w:p>
    <w:p>
      <w:pPr>
        <w:pStyle w:val="BodyText"/>
        <w:spacing w:line="446" w:lineRule="auto"/>
        <w:ind w:left="418" w:right="1817" w:firstLine="419"/>
      </w:pPr>
      <w:r>
        <w:rPr/>
        <w:t>采用稳压泵稳压的临时高压消防给水系统的系统工作压力，应取消防水泵零流量时的压力、消防水泵吸水口最大静压二者之和与稳压泵维持系统压力时两者其中的较大值。 </w:t>
      </w:r>
    </w:p>
    <w:p>
      <w:pPr>
        <w:pStyle w:val="ListParagraph"/>
        <w:numPr>
          <w:ilvl w:val="2"/>
          <w:numId w:val="748"/>
        </w:numPr>
        <w:tabs>
          <w:tab w:pos="1424" w:val="left" w:leader="none"/>
        </w:tabs>
        <w:spacing w:line="446" w:lineRule="auto" w:before="0" w:after="0"/>
        <w:ind w:left="418" w:right="1445" w:firstLine="422"/>
        <w:jc w:val="left"/>
        <w:rPr>
          <w:sz w:val="21"/>
        </w:rPr>
      </w:pPr>
      <w:r>
        <w:rPr>
          <w:spacing w:val="-3"/>
          <w:sz w:val="21"/>
        </w:rPr>
        <w:t>埋地管道宜采用球墨铸铁管、钢丝网骨架塑料复合管和加强防腐的钢管等管材，室内外架空管道应采用热浸锌镀锌钢管等金属管材，并应按下列因素对管道的综合影响选择管材和 设计管道：</w:t>
      </w:r>
      <w:r>
        <w:rPr>
          <w:sz w:val="21"/>
        </w:rPr>
        <w:t> </w:t>
      </w:r>
    </w:p>
    <w:p>
      <w:pPr>
        <w:pStyle w:val="ListParagraph"/>
        <w:numPr>
          <w:ilvl w:val="0"/>
          <w:numId w:val="749"/>
        </w:numPr>
        <w:tabs>
          <w:tab w:pos="1367" w:val="left" w:leader="none"/>
        </w:tabs>
        <w:spacing w:line="268" w:lineRule="exact" w:before="0" w:after="0"/>
        <w:ind w:left="1367" w:right="0" w:hanging="529"/>
        <w:jc w:val="left"/>
        <w:rPr>
          <w:sz w:val="21"/>
        </w:rPr>
      </w:pPr>
      <w:r>
        <w:rPr>
          <w:spacing w:val="-3"/>
          <w:sz w:val="21"/>
        </w:rPr>
        <w:t>系统工作压力；</w:t>
      </w:r>
      <w:r>
        <w:rPr>
          <w:sz w:val="21"/>
        </w:rPr>
        <w:t> </w:t>
      </w:r>
    </w:p>
    <w:p>
      <w:pPr>
        <w:pStyle w:val="BodyText"/>
        <w:spacing w:before="8"/>
        <w:rPr>
          <w:sz w:val="17"/>
        </w:rPr>
      </w:pPr>
    </w:p>
    <w:p>
      <w:pPr>
        <w:pStyle w:val="ListParagraph"/>
        <w:numPr>
          <w:ilvl w:val="0"/>
          <w:numId w:val="749"/>
        </w:numPr>
        <w:tabs>
          <w:tab w:pos="1367" w:val="left" w:leader="none"/>
        </w:tabs>
        <w:spacing w:line="240" w:lineRule="auto" w:before="0" w:after="0"/>
        <w:ind w:left="1367" w:right="0" w:hanging="529"/>
        <w:jc w:val="left"/>
        <w:rPr>
          <w:sz w:val="21"/>
        </w:rPr>
      </w:pPr>
      <w:r>
        <w:rPr>
          <w:spacing w:val="-3"/>
          <w:sz w:val="21"/>
        </w:rPr>
        <w:t>覆土深度；</w:t>
      </w:r>
      <w:r>
        <w:rPr>
          <w:sz w:val="21"/>
        </w:rPr>
        <w:t> </w:t>
      </w:r>
    </w:p>
    <w:p>
      <w:pPr>
        <w:pStyle w:val="BodyText"/>
        <w:spacing w:before="12"/>
        <w:rPr>
          <w:sz w:val="17"/>
        </w:rPr>
      </w:pPr>
    </w:p>
    <w:p>
      <w:pPr>
        <w:pStyle w:val="ListParagraph"/>
        <w:numPr>
          <w:ilvl w:val="0"/>
          <w:numId w:val="749"/>
        </w:numPr>
        <w:tabs>
          <w:tab w:pos="1367" w:val="left" w:leader="none"/>
        </w:tabs>
        <w:spacing w:line="240" w:lineRule="auto" w:before="0" w:after="0"/>
        <w:ind w:left="1367" w:right="0" w:hanging="529"/>
        <w:jc w:val="left"/>
        <w:rPr>
          <w:sz w:val="21"/>
        </w:rPr>
      </w:pPr>
      <w:r>
        <w:rPr>
          <w:spacing w:val="-3"/>
          <w:sz w:val="21"/>
        </w:rPr>
        <w:t>土壤的性质；</w:t>
      </w:r>
      <w:r>
        <w:rPr>
          <w:sz w:val="21"/>
        </w:rPr>
        <w:t> </w:t>
      </w:r>
    </w:p>
    <w:p>
      <w:pPr>
        <w:pStyle w:val="BodyText"/>
        <w:spacing w:before="2"/>
        <w:rPr>
          <w:sz w:val="18"/>
        </w:rPr>
      </w:pPr>
    </w:p>
    <w:p>
      <w:pPr>
        <w:pStyle w:val="ListParagraph"/>
        <w:numPr>
          <w:ilvl w:val="0"/>
          <w:numId w:val="749"/>
        </w:numPr>
        <w:tabs>
          <w:tab w:pos="1367" w:val="left" w:leader="none"/>
        </w:tabs>
        <w:spacing w:line="240" w:lineRule="auto" w:before="0" w:after="0"/>
        <w:ind w:left="1367" w:right="0" w:hanging="529"/>
        <w:jc w:val="left"/>
        <w:rPr>
          <w:sz w:val="21"/>
        </w:rPr>
      </w:pPr>
      <w:r>
        <w:rPr>
          <w:spacing w:val="-3"/>
          <w:sz w:val="21"/>
        </w:rPr>
        <w:t>管道的耐腐蚀能力；</w:t>
      </w:r>
      <w:r>
        <w:rPr>
          <w:sz w:val="21"/>
        </w:rPr>
        <w:t> </w:t>
      </w:r>
    </w:p>
    <w:p>
      <w:pPr>
        <w:pStyle w:val="BodyText"/>
        <w:rPr>
          <w:sz w:val="18"/>
        </w:rPr>
      </w:pPr>
    </w:p>
    <w:p>
      <w:pPr>
        <w:pStyle w:val="ListParagraph"/>
        <w:numPr>
          <w:ilvl w:val="0"/>
          <w:numId w:val="749"/>
        </w:numPr>
        <w:tabs>
          <w:tab w:pos="1367" w:val="left" w:leader="none"/>
        </w:tabs>
        <w:spacing w:line="240" w:lineRule="auto" w:before="0" w:after="0"/>
        <w:ind w:left="1367" w:right="0" w:hanging="529"/>
        <w:jc w:val="left"/>
        <w:rPr>
          <w:sz w:val="21"/>
        </w:rPr>
      </w:pPr>
      <w:r>
        <w:rPr>
          <w:spacing w:val="-3"/>
          <w:sz w:val="21"/>
        </w:rPr>
        <w:t>可能受到土壤、建筑基础、机动车和铁路等其他附加荷载的影响；</w:t>
      </w:r>
      <w:r>
        <w:rPr>
          <w:sz w:val="21"/>
        </w:rPr>
        <w:t> </w:t>
      </w:r>
    </w:p>
    <w:p>
      <w:pPr>
        <w:pStyle w:val="BodyText"/>
        <w:rPr>
          <w:sz w:val="18"/>
        </w:rPr>
      </w:pPr>
    </w:p>
    <w:p>
      <w:pPr>
        <w:pStyle w:val="ListParagraph"/>
        <w:numPr>
          <w:ilvl w:val="0"/>
          <w:numId w:val="749"/>
        </w:numPr>
        <w:tabs>
          <w:tab w:pos="1367" w:val="left" w:leader="none"/>
        </w:tabs>
        <w:spacing w:line="240" w:lineRule="auto" w:before="0" w:after="0"/>
        <w:ind w:left="1367" w:right="0" w:hanging="529"/>
        <w:jc w:val="left"/>
        <w:rPr>
          <w:sz w:val="21"/>
        </w:rPr>
      </w:pPr>
      <w:r>
        <w:rPr>
          <w:spacing w:val="-3"/>
          <w:sz w:val="21"/>
        </w:rPr>
        <w:t>管道穿越伸缩缝和沉降缝。</w:t>
      </w:r>
      <w:r>
        <w:rPr>
          <w:sz w:val="21"/>
        </w:rPr>
        <w:t> </w:t>
      </w:r>
    </w:p>
    <w:p>
      <w:pPr>
        <w:pStyle w:val="BodyText"/>
        <w:spacing w:before="2"/>
        <w:rPr>
          <w:sz w:val="18"/>
        </w:rPr>
      </w:pPr>
    </w:p>
    <w:p>
      <w:pPr>
        <w:pStyle w:val="ListParagraph"/>
        <w:numPr>
          <w:ilvl w:val="2"/>
          <w:numId w:val="748"/>
        </w:numPr>
        <w:tabs>
          <w:tab w:pos="1424" w:val="left" w:leader="none"/>
        </w:tabs>
        <w:spacing w:line="446" w:lineRule="auto" w:before="0" w:after="0"/>
        <w:ind w:left="418" w:right="1445" w:firstLine="422"/>
        <w:jc w:val="left"/>
        <w:rPr>
          <w:sz w:val="21"/>
        </w:rPr>
      </w:pPr>
      <w:r>
        <w:rPr>
          <w:spacing w:val="-6"/>
          <w:sz w:val="21"/>
        </w:rPr>
        <w:t>埋地管道当系统工作压力不大于 </w:t>
      </w:r>
      <w:r>
        <w:rPr>
          <w:sz w:val="21"/>
        </w:rPr>
        <w:t>1.20MPa</w:t>
      </w:r>
      <w:r>
        <w:rPr>
          <w:spacing w:val="-8"/>
          <w:sz w:val="21"/>
        </w:rPr>
        <w:t> 时，宜采用球墨铸铁管或钢丝网骨架塑料复合管给水管道；当系统工作压力大于 </w:t>
      </w:r>
      <w:r>
        <w:rPr>
          <w:sz w:val="21"/>
        </w:rPr>
        <w:t>1.20MPa</w:t>
      </w:r>
      <w:r>
        <w:rPr>
          <w:spacing w:val="-13"/>
          <w:sz w:val="21"/>
        </w:rPr>
        <w:t> 小于 </w:t>
      </w:r>
      <w:r>
        <w:rPr>
          <w:sz w:val="21"/>
        </w:rPr>
        <w:t>1.60MPa</w:t>
      </w:r>
      <w:r>
        <w:rPr>
          <w:spacing w:val="-9"/>
          <w:sz w:val="21"/>
        </w:rPr>
        <w:t> 时，宜采用钢丝网骨架塑料复合</w:t>
      </w:r>
    </w:p>
    <w:p>
      <w:pPr>
        <w:pStyle w:val="BodyText"/>
        <w:spacing w:line="446" w:lineRule="auto"/>
        <w:ind w:left="418" w:right="1450"/>
      </w:pPr>
      <w:r>
        <w:rPr>
          <w:spacing w:val="-5"/>
        </w:rPr>
        <w:t>管、加厚钢管和无缝钢管；当系统工作压力大于 </w:t>
      </w:r>
      <w:r>
        <w:rPr/>
        <w:t>1.60MPa</w:t>
      </w:r>
      <w:r>
        <w:rPr>
          <w:spacing w:val="-8"/>
        </w:rPr>
        <w:t> 时，宜采用无缝钢管。钢管连接宜采</w:t>
      </w:r>
      <w:r>
        <w:rPr>
          <w:spacing w:val="-5"/>
        </w:rPr>
        <w:t>用沟槽连接件</w:t>
      </w:r>
      <w:r>
        <w:rPr>
          <w:spacing w:val="-3"/>
        </w:rPr>
        <w:t>（</w:t>
      </w:r>
      <w:r>
        <w:rPr>
          <w:spacing w:val="-2"/>
        </w:rPr>
        <w:t>卡箍</w:t>
      </w:r>
      <w:r>
        <w:rPr/>
        <w:t>）</w:t>
      </w:r>
      <w:r>
        <w:rPr>
          <w:spacing w:val="-5"/>
        </w:rPr>
        <w:t>和法兰，当采用沟槽连接件连接时，公称直径小于等于 </w:t>
      </w:r>
      <w:r>
        <w:rPr/>
        <w:t>DN250</w:t>
      </w:r>
      <w:r>
        <w:rPr>
          <w:spacing w:val="-11"/>
        </w:rPr>
        <w:t> 的沟槽式</w:t>
      </w:r>
      <w:r>
        <w:rPr>
          <w:spacing w:val="-9"/>
        </w:rPr>
        <w:t>管接头系统工作压力不应大于 </w:t>
      </w:r>
      <w:r>
        <w:rPr/>
        <w:t>2.50MPa</w:t>
      </w:r>
      <w:r>
        <w:rPr>
          <w:spacing w:val="-7"/>
        </w:rPr>
        <w:t>，公称直径大于或等于 </w:t>
      </w:r>
      <w:r>
        <w:rPr/>
        <w:t>DN300</w:t>
      </w:r>
      <w:r>
        <w:rPr>
          <w:spacing w:val="-8"/>
        </w:rPr>
        <w:t> 的沟槽式管接头系统工作压</w:t>
      </w:r>
      <w:r>
        <w:rPr>
          <w:spacing w:val="-13"/>
        </w:rPr>
        <w:t>力不应大于 </w:t>
      </w:r>
      <w:r>
        <w:rPr/>
        <w:t>1.60MPa</w:t>
      </w:r>
      <w:r>
        <w:rPr>
          <w:spacing w:val="-3"/>
        </w:rPr>
        <w:t>。</w:t>
      </w:r>
      <w:r>
        <w:rPr/>
        <w:t> </w:t>
      </w:r>
    </w:p>
    <w:p>
      <w:pPr>
        <w:pStyle w:val="ListParagraph"/>
        <w:numPr>
          <w:ilvl w:val="2"/>
          <w:numId w:val="748"/>
        </w:numPr>
        <w:tabs>
          <w:tab w:pos="1424" w:val="left" w:leader="none"/>
        </w:tabs>
        <w:spacing w:line="240" w:lineRule="auto" w:before="0" w:after="0"/>
        <w:ind w:left="1423" w:right="0" w:hanging="584"/>
        <w:jc w:val="left"/>
        <w:rPr>
          <w:sz w:val="21"/>
        </w:rPr>
      </w:pPr>
      <w:r>
        <w:rPr>
          <w:spacing w:val="-3"/>
          <w:sz w:val="21"/>
        </w:rPr>
        <w:t>埋地金属管道的管顶覆土应符合下列规定：</w:t>
      </w:r>
      <w:r>
        <w:rPr>
          <w:sz w:val="21"/>
        </w:rPr>
        <w:t> </w:t>
      </w:r>
    </w:p>
    <w:p>
      <w:pPr>
        <w:spacing w:after="0" w:line="240" w:lineRule="auto"/>
        <w:jc w:val="left"/>
        <w:rPr>
          <w:sz w:val="21"/>
        </w:rPr>
        <w:sectPr>
          <w:pgSz w:w="11910" w:h="16850"/>
          <w:pgMar w:header="0" w:footer="1239" w:top="1220" w:bottom="1420" w:left="1260" w:right="0"/>
        </w:sectPr>
      </w:pPr>
    </w:p>
    <w:p>
      <w:pPr>
        <w:pStyle w:val="BodyText"/>
        <w:spacing w:before="47"/>
        <w:ind w:left="838"/>
      </w:pPr>
      <w:r>
        <w:rPr/>
        <w:t>管道最小管顶覆土应按地面荷载、埋深荷载和冰冻线对管道的综合影响确定； </w:t>
      </w:r>
    </w:p>
    <w:p>
      <w:pPr>
        <w:pStyle w:val="BodyText"/>
        <w:rPr>
          <w:sz w:val="18"/>
        </w:rPr>
      </w:pPr>
    </w:p>
    <w:p>
      <w:pPr>
        <w:pStyle w:val="BodyText"/>
        <w:spacing w:line="446" w:lineRule="auto"/>
        <w:ind w:left="418" w:right="1391" w:firstLine="419"/>
      </w:pPr>
      <w:r>
        <w:rPr/>
        <w:t>管道最小管顶覆土不应小于 0.70m；但当在机动车道下时管道最小管顶覆土应经计算确定， 并不宜小于 0.90m； </w:t>
      </w:r>
    </w:p>
    <w:p>
      <w:pPr>
        <w:pStyle w:val="BodyText"/>
        <w:ind w:left="838"/>
      </w:pPr>
      <w:r>
        <w:rPr/>
        <w:t>管道最小管顶覆土应至少在冰冻线以下 0.30m。 </w:t>
      </w:r>
    </w:p>
    <w:p>
      <w:pPr>
        <w:pStyle w:val="BodyText"/>
        <w:spacing w:before="12"/>
        <w:rPr>
          <w:sz w:val="17"/>
        </w:rPr>
      </w:pPr>
    </w:p>
    <w:p>
      <w:pPr>
        <w:pStyle w:val="ListParagraph"/>
        <w:numPr>
          <w:ilvl w:val="2"/>
          <w:numId w:val="748"/>
        </w:numPr>
        <w:tabs>
          <w:tab w:pos="1424" w:val="left" w:leader="none"/>
        </w:tabs>
        <w:spacing w:line="446" w:lineRule="auto" w:before="0" w:after="0"/>
        <w:ind w:left="838" w:right="3865" w:firstLine="2"/>
        <w:jc w:val="left"/>
        <w:rPr>
          <w:sz w:val="21"/>
        </w:rPr>
      </w:pPr>
      <w:r>
        <w:rPr>
          <w:spacing w:val="-3"/>
          <w:sz w:val="21"/>
        </w:rPr>
        <w:t>埋地管道采用钢丝网骨架塑料复合管时应符合下列规定： 钢丝网骨架塑料复合管的聚乙烯</w:t>
      </w:r>
      <w:r>
        <w:rPr>
          <w:sz w:val="21"/>
        </w:rPr>
        <w:t>（PE）</w:t>
      </w:r>
      <w:r>
        <w:rPr>
          <w:spacing w:val="-4"/>
          <w:sz w:val="21"/>
        </w:rPr>
        <w:t>原材料不应低于 </w:t>
      </w:r>
      <w:r>
        <w:rPr>
          <w:sz w:val="21"/>
        </w:rPr>
        <w:t>PE80； </w:t>
      </w:r>
      <w:r>
        <w:rPr>
          <w:spacing w:val="-6"/>
          <w:sz w:val="21"/>
        </w:rPr>
        <w:t>钢丝网骨架塑料复合管的内环向应力不应低于 </w:t>
      </w:r>
      <w:r>
        <w:rPr>
          <w:sz w:val="21"/>
        </w:rPr>
        <w:t>8.0MPa； </w:t>
      </w:r>
    </w:p>
    <w:p>
      <w:pPr>
        <w:pStyle w:val="BodyText"/>
        <w:spacing w:line="268" w:lineRule="exact"/>
        <w:ind w:left="838"/>
      </w:pPr>
      <w:r>
        <w:rPr/>
        <w:t>钢丝网骨架塑料复合管的复合层应满足静压稳定性和剥离强度的要求； </w:t>
      </w:r>
    </w:p>
    <w:p>
      <w:pPr>
        <w:pStyle w:val="BodyText"/>
        <w:rPr>
          <w:sz w:val="18"/>
        </w:rPr>
      </w:pPr>
    </w:p>
    <w:p>
      <w:pPr>
        <w:pStyle w:val="BodyText"/>
        <w:spacing w:line="446" w:lineRule="auto"/>
        <w:ind w:left="418" w:right="1608" w:firstLine="419"/>
        <w:jc w:val="both"/>
      </w:pPr>
      <w:r>
        <w:rPr/>
        <w:t>钢丝网骨架塑料复合管及配套管件的熔体质量流动速率（MFR） ，应按现行国家标准《热塑性塑料熔体质量流动速率和熔体体积流动速率的测定》GB/T 3682 规定的试验方法进行试验时，加工前后MFR 变化不应超过±20%； </w:t>
      </w:r>
    </w:p>
    <w:p>
      <w:pPr>
        <w:pStyle w:val="BodyText"/>
        <w:spacing w:line="268" w:lineRule="exact"/>
        <w:ind w:left="838"/>
      </w:pPr>
      <w:r>
        <w:rPr/>
        <w:t>管材及连接管件应采用同一品牌产品，连接方式应采用可靠的电熔连接或机械连接； </w:t>
      </w:r>
    </w:p>
    <w:p>
      <w:pPr>
        <w:pStyle w:val="BodyText"/>
        <w:spacing w:before="2"/>
        <w:rPr>
          <w:sz w:val="18"/>
        </w:rPr>
      </w:pPr>
    </w:p>
    <w:p>
      <w:pPr>
        <w:pStyle w:val="BodyText"/>
        <w:spacing w:line="446" w:lineRule="auto"/>
        <w:ind w:left="418" w:right="1450" w:firstLine="419"/>
      </w:pPr>
      <w:r>
        <w:rPr/>
        <w:t>6</w:t>
      </w:r>
      <w:r>
        <w:rPr>
          <w:spacing w:val="-8"/>
        </w:rPr>
        <w:t> 管材耐静压强度应符合现行行业标准《埋地聚乙烯给水管道工程技术规程》</w:t>
      </w:r>
      <w:r>
        <w:rPr/>
        <w:t>CJJ 101</w:t>
      </w:r>
      <w:r>
        <w:rPr>
          <w:spacing w:val="4"/>
        </w:rPr>
        <w:t> 的有</w:t>
      </w:r>
      <w:r>
        <w:rPr>
          <w:spacing w:val="-3"/>
        </w:rPr>
        <w:t>关规定和设计要求；</w:t>
      </w:r>
      <w:r>
        <w:rPr/>
        <w:t> </w:t>
      </w:r>
    </w:p>
    <w:p>
      <w:pPr>
        <w:pStyle w:val="BodyText"/>
        <w:spacing w:line="446" w:lineRule="auto"/>
        <w:ind w:left="418" w:right="1391" w:firstLine="419"/>
      </w:pPr>
      <w:r>
        <w:rPr/>
        <w:t>钢丝网骨架塑料复合管道最小管顶覆土深度，在人行道下不宜小于 0.80m，在轻型车行道下不应小于 1.0ｍ，且应在冰冻线下 0.3m；在重型汽车道路或铁路、高速公路下应设置保护套</w:t>
      </w:r>
    </w:p>
    <w:p>
      <w:pPr>
        <w:pStyle w:val="BodyText"/>
        <w:ind w:left="418"/>
      </w:pPr>
      <w:r>
        <w:rPr/>
        <w:t>管，套管与钢丝网骨架塑料复合管的净距不应小于 100mm； </w:t>
      </w:r>
    </w:p>
    <w:p>
      <w:pPr>
        <w:pStyle w:val="BodyText"/>
        <w:spacing w:before="10"/>
        <w:rPr>
          <w:sz w:val="17"/>
        </w:rPr>
      </w:pPr>
    </w:p>
    <w:p>
      <w:pPr>
        <w:pStyle w:val="BodyText"/>
        <w:spacing w:line="446" w:lineRule="auto"/>
        <w:ind w:left="418" w:right="1556" w:firstLine="419"/>
        <w:jc w:val="both"/>
      </w:pPr>
      <w:r>
        <w:rPr>
          <w:spacing w:val="-4"/>
        </w:rPr>
        <w:t>钢丝网骨架塑料复合管道与热力管道间的距离，应在保证聚乙烯管道表面温度不超过 </w:t>
      </w:r>
      <w:r>
        <w:rPr/>
        <w:t>40℃ </w:t>
      </w:r>
      <w:r>
        <w:rPr>
          <w:spacing w:val="-6"/>
        </w:rPr>
        <w:t>的条件下计算确定，但最小净距不应小于 </w:t>
      </w:r>
      <w:r>
        <w:rPr/>
        <w:t>1.50ｍ。 </w:t>
      </w:r>
    </w:p>
    <w:p>
      <w:pPr>
        <w:pStyle w:val="ListParagraph"/>
        <w:numPr>
          <w:ilvl w:val="2"/>
          <w:numId w:val="748"/>
        </w:numPr>
        <w:tabs>
          <w:tab w:pos="1424" w:val="left" w:leader="none"/>
        </w:tabs>
        <w:spacing w:line="446" w:lineRule="auto" w:before="0" w:after="0"/>
        <w:ind w:left="418" w:right="1558" w:firstLine="422"/>
        <w:jc w:val="both"/>
        <w:rPr>
          <w:sz w:val="21"/>
        </w:rPr>
      </w:pPr>
      <w:r>
        <w:rPr>
          <w:spacing w:val="-6"/>
          <w:sz w:val="21"/>
        </w:rPr>
        <w:t>架空管道当系统工作压力小于等于 </w:t>
      </w:r>
      <w:r>
        <w:rPr>
          <w:sz w:val="21"/>
        </w:rPr>
        <w:t>1.20MPa</w:t>
      </w:r>
      <w:r>
        <w:rPr>
          <w:spacing w:val="-3"/>
          <w:sz w:val="21"/>
        </w:rPr>
        <w:t> 时，可采用热浸锌镀锌钢管；当系统工</w:t>
      </w:r>
      <w:r>
        <w:rPr>
          <w:spacing w:val="-10"/>
          <w:sz w:val="21"/>
        </w:rPr>
        <w:t>作压力大于 </w:t>
      </w:r>
      <w:r>
        <w:rPr>
          <w:sz w:val="21"/>
        </w:rPr>
        <w:t>1.20MPa</w:t>
      </w:r>
      <w:r>
        <w:rPr>
          <w:spacing w:val="-3"/>
          <w:sz w:val="21"/>
        </w:rPr>
        <w:t> 时，应采用热浸镀锌加厚钢管或热浸镀锌无缝钢管；当系统工作压力大于1.60MPa 时，应采用热浸镀锌无缝钢管。</w:t>
      </w:r>
      <w:r>
        <w:rPr>
          <w:sz w:val="21"/>
        </w:rPr>
        <w:t> </w:t>
      </w:r>
    </w:p>
    <w:p>
      <w:pPr>
        <w:pStyle w:val="ListParagraph"/>
        <w:numPr>
          <w:ilvl w:val="2"/>
          <w:numId w:val="748"/>
        </w:numPr>
        <w:tabs>
          <w:tab w:pos="1424" w:val="left" w:leader="none"/>
        </w:tabs>
        <w:spacing w:line="446" w:lineRule="auto" w:before="0" w:after="0"/>
        <w:ind w:left="418" w:right="1445" w:firstLine="422"/>
        <w:jc w:val="left"/>
        <w:rPr>
          <w:sz w:val="21"/>
        </w:rPr>
      </w:pPr>
      <w:r>
        <w:rPr>
          <w:spacing w:val="-3"/>
          <w:sz w:val="21"/>
        </w:rPr>
        <w:t>架空管道的连接宜采用沟槽连接件</w:t>
      </w:r>
      <w:r>
        <w:rPr>
          <w:sz w:val="21"/>
        </w:rPr>
        <w:t>（</w:t>
      </w:r>
      <w:r>
        <w:rPr>
          <w:spacing w:val="-2"/>
          <w:sz w:val="21"/>
        </w:rPr>
        <w:t>卡箍</w:t>
      </w:r>
      <w:r>
        <w:rPr>
          <w:spacing w:val="-3"/>
          <w:sz w:val="21"/>
        </w:rPr>
        <w:t>）、螺纹、法兰、卡压等方式，不宜采用焊</w:t>
      </w:r>
      <w:r>
        <w:rPr>
          <w:spacing w:val="-7"/>
          <w:sz w:val="21"/>
        </w:rPr>
        <w:t>接连接。当管径小于或等于 </w:t>
      </w:r>
      <w:r>
        <w:rPr>
          <w:sz w:val="21"/>
        </w:rPr>
        <w:t>DN50</w:t>
      </w:r>
      <w:r>
        <w:rPr>
          <w:spacing w:val="-11"/>
          <w:sz w:val="21"/>
        </w:rPr>
        <w:t> 时，应采用螺纹和卡压连接，当管径大于 </w:t>
      </w:r>
      <w:r>
        <w:rPr>
          <w:sz w:val="21"/>
        </w:rPr>
        <w:t>DN50</w:t>
      </w:r>
      <w:r>
        <w:rPr>
          <w:spacing w:val="-10"/>
          <w:sz w:val="21"/>
        </w:rPr>
        <w:t> 时，应采用沟</w:t>
      </w:r>
      <w:r>
        <w:rPr>
          <w:spacing w:val="-5"/>
          <w:sz w:val="21"/>
        </w:rPr>
        <w:t>槽连接件连接、法兰连接，当安装空间较小时应采用沟槽连接件连接。</w:t>
      </w:r>
      <w:r>
        <w:rPr>
          <w:sz w:val="21"/>
        </w:rPr>
        <w:t> </w:t>
      </w:r>
    </w:p>
    <w:p>
      <w:pPr>
        <w:pStyle w:val="ListParagraph"/>
        <w:numPr>
          <w:ilvl w:val="2"/>
          <w:numId w:val="748"/>
        </w:numPr>
        <w:tabs>
          <w:tab w:pos="1530" w:val="left" w:leader="none"/>
        </w:tabs>
        <w:spacing w:line="446" w:lineRule="auto" w:before="0" w:after="0"/>
        <w:ind w:left="418" w:right="1445" w:firstLine="422"/>
        <w:jc w:val="left"/>
        <w:rPr>
          <w:sz w:val="21"/>
        </w:rPr>
      </w:pPr>
      <w:r>
        <w:rPr>
          <w:spacing w:val="-5"/>
          <w:sz w:val="21"/>
        </w:rPr>
        <w:t>架空充水管道应设置在环境温度不低于 </w:t>
      </w:r>
      <w:r>
        <w:rPr>
          <w:sz w:val="21"/>
        </w:rPr>
        <w:t>5</w:t>
      </w:r>
      <w:r>
        <w:rPr>
          <w:spacing w:val="-6"/>
          <w:sz w:val="21"/>
        </w:rPr>
        <w:t>℃的区域，当环境温度低于 </w:t>
      </w:r>
      <w:r>
        <w:rPr>
          <w:sz w:val="21"/>
        </w:rPr>
        <w:t>5℃</w:t>
      </w:r>
      <w:r>
        <w:rPr>
          <w:spacing w:val="-3"/>
          <w:sz w:val="21"/>
        </w:rPr>
        <w:t>时，应采取防冻措施；室外架空管道当温差变化较大时应校核管道系统的膨胀和收缩，并应采取相应的技 术措施。</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48"/>
        </w:numPr>
        <w:tabs>
          <w:tab w:pos="1530" w:val="left" w:leader="none"/>
        </w:tabs>
        <w:spacing w:line="446" w:lineRule="auto" w:before="47" w:after="0"/>
        <w:ind w:left="418" w:right="1549" w:firstLine="422"/>
        <w:jc w:val="left"/>
        <w:rPr>
          <w:sz w:val="21"/>
        </w:rPr>
      </w:pPr>
      <w:r>
        <w:rPr>
          <w:spacing w:val="-3"/>
          <w:sz w:val="21"/>
        </w:rPr>
        <w:t>埋地管道的地基、基础、垫层、回填土压实密度等的要求，应根据刚性管或柔性管管材的性质，结合管道埋设处的具体情况，按现行国家标准《给水排水管道工程施工验收标  准》GB</w:t>
      </w:r>
      <w:r>
        <w:rPr>
          <w:spacing w:val="7"/>
          <w:sz w:val="21"/>
        </w:rPr>
        <w:t> </w:t>
      </w:r>
      <w:r>
        <w:rPr>
          <w:sz w:val="21"/>
        </w:rPr>
        <w:t>50268</w:t>
      </w:r>
      <w:r>
        <w:rPr>
          <w:spacing w:val="-3"/>
          <w:sz w:val="21"/>
        </w:rPr>
        <w:t> 和《给水排水工程管道结构设计规范》</w:t>
      </w:r>
      <w:r>
        <w:rPr>
          <w:sz w:val="21"/>
        </w:rPr>
        <w:t>GB</w:t>
      </w:r>
      <w:r>
        <w:rPr>
          <w:spacing w:val="7"/>
          <w:sz w:val="21"/>
        </w:rPr>
        <w:t> </w:t>
      </w:r>
      <w:r>
        <w:rPr>
          <w:sz w:val="21"/>
        </w:rPr>
        <w:t>50332</w:t>
      </w:r>
      <w:r>
        <w:rPr>
          <w:spacing w:val="-3"/>
          <w:sz w:val="21"/>
        </w:rPr>
        <w:t> 的有关规定执行。当埋地管直</w:t>
      </w:r>
      <w:r>
        <w:rPr>
          <w:spacing w:val="-13"/>
          <w:sz w:val="21"/>
        </w:rPr>
        <w:t>径不小于 </w:t>
      </w:r>
      <w:r>
        <w:rPr>
          <w:sz w:val="21"/>
        </w:rPr>
        <w:t>DN100</w:t>
      </w:r>
      <w:r>
        <w:rPr>
          <w:spacing w:val="-3"/>
          <w:sz w:val="21"/>
        </w:rPr>
        <w:t> 时，应在管道弯头、三通和堵头等位置设置钢筋混凝土支墩。 </w:t>
      </w:r>
    </w:p>
    <w:p>
      <w:pPr>
        <w:pStyle w:val="ListParagraph"/>
        <w:numPr>
          <w:ilvl w:val="2"/>
          <w:numId w:val="748"/>
        </w:numPr>
        <w:tabs>
          <w:tab w:pos="1530" w:val="left" w:leader="none"/>
        </w:tabs>
        <w:spacing w:line="267" w:lineRule="exact" w:before="0" w:after="0"/>
        <w:ind w:left="1529" w:right="0" w:hanging="690"/>
        <w:jc w:val="left"/>
        <w:rPr>
          <w:sz w:val="21"/>
        </w:rPr>
      </w:pPr>
      <w:r>
        <w:rPr>
          <w:spacing w:val="-3"/>
          <w:sz w:val="21"/>
        </w:rPr>
        <w:t>消防给水管道不宜穿越建筑基础，当必须穿越时，应采取防护套管等保护措施。 </w:t>
      </w:r>
    </w:p>
    <w:p>
      <w:pPr>
        <w:pStyle w:val="BodyText"/>
        <w:rPr>
          <w:sz w:val="18"/>
        </w:rPr>
      </w:pPr>
    </w:p>
    <w:p>
      <w:pPr>
        <w:pStyle w:val="ListParagraph"/>
        <w:numPr>
          <w:ilvl w:val="2"/>
          <w:numId w:val="748"/>
        </w:numPr>
        <w:tabs>
          <w:tab w:pos="1530" w:val="left" w:leader="none"/>
        </w:tabs>
        <w:spacing w:line="446" w:lineRule="auto" w:before="0" w:after="0"/>
        <w:ind w:left="418" w:right="1758" w:firstLine="422"/>
        <w:jc w:val="left"/>
        <w:rPr>
          <w:sz w:val="21"/>
        </w:rPr>
      </w:pPr>
      <w:r>
        <w:rPr>
          <w:spacing w:val="-3"/>
          <w:sz w:val="21"/>
        </w:rPr>
        <w:t>埋地钢管和铸铁管，应根据土壤和地下水腐蚀性等因素确定管外壁防腐措施；海边、空气潮湿等空气中含有腐蚀性介质的场所的架空管道外壁，应采取相应的防腐措施。</w:t>
      </w:r>
      <w:r>
        <w:rPr>
          <w:sz w:val="21"/>
        </w:rPr>
        <w:t> </w:t>
      </w:r>
    </w:p>
    <w:p>
      <w:pPr>
        <w:pStyle w:val="ListParagraph"/>
        <w:numPr>
          <w:ilvl w:val="1"/>
          <w:numId w:val="748"/>
        </w:numPr>
        <w:tabs>
          <w:tab w:pos="1160" w:val="left" w:leader="none"/>
        </w:tabs>
        <w:spacing w:line="240" w:lineRule="auto" w:before="0" w:after="0"/>
        <w:ind w:left="1159" w:right="0" w:hanging="320"/>
        <w:jc w:val="left"/>
        <w:rPr>
          <w:sz w:val="21"/>
        </w:rPr>
      </w:pPr>
      <w:r>
        <w:rPr>
          <w:spacing w:val="-3"/>
          <w:sz w:val="21"/>
        </w:rPr>
        <w:t>阀门及其他</w:t>
      </w:r>
      <w:r>
        <w:rPr>
          <w:sz w:val="21"/>
        </w:rPr>
        <w:t> </w:t>
      </w:r>
    </w:p>
    <w:p>
      <w:pPr>
        <w:pStyle w:val="BodyText"/>
        <w:rPr>
          <w:sz w:val="18"/>
        </w:rPr>
      </w:pPr>
    </w:p>
    <w:p>
      <w:pPr>
        <w:pStyle w:val="ListParagraph"/>
        <w:numPr>
          <w:ilvl w:val="2"/>
          <w:numId w:val="748"/>
        </w:numPr>
        <w:tabs>
          <w:tab w:pos="1424" w:val="left" w:leader="none"/>
        </w:tabs>
        <w:spacing w:line="240" w:lineRule="auto" w:before="0" w:after="0"/>
        <w:ind w:left="1423" w:right="0" w:hanging="584"/>
        <w:jc w:val="left"/>
        <w:rPr>
          <w:sz w:val="21"/>
        </w:rPr>
      </w:pPr>
      <w:r>
        <w:rPr>
          <w:spacing w:val="-3"/>
          <w:sz w:val="21"/>
        </w:rPr>
        <w:t>消防给水系统的阀门选择应符合下列规定：</w:t>
      </w:r>
      <w:r>
        <w:rPr>
          <w:sz w:val="21"/>
        </w:rPr>
        <w:t> </w:t>
      </w:r>
    </w:p>
    <w:p>
      <w:pPr>
        <w:pStyle w:val="BodyText"/>
        <w:spacing w:before="2"/>
        <w:rPr>
          <w:sz w:val="18"/>
        </w:rPr>
      </w:pPr>
    </w:p>
    <w:p>
      <w:pPr>
        <w:pStyle w:val="BodyText"/>
        <w:spacing w:line="446" w:lineRule="auto"/>
        <w:ind w:left="418" w:right="1609" w:firstLine="419"/>
      </w:pPr>
      <w:r>
        <w:rPr/>
        <w:t>埋地管道的阀门宜采用带启闭刻度的暗杆闸阀，当设置在阀门井内时可采用耐腐蚀的明杆闸阀； </w:t>
      </w:r>
    </w:p>
    <w:p>
      <w:pPr>
        <w:pStyle w:val="BodyText"/>
        <w:spacing w:line="446" w:lineRule="auto"/>
        <w:ind w:left="838" w:right="2977"/>
      </w:pPr>
      <w:r>
        <w:rPr>
          <w:spacing w:val="-3"/>
        </w:rPr>
        <w:t>室内架空管道的阀门宜采用蝶阀、明杆闸阀或带启闭刻度的暗杆闸阀等； 室外架空管道宜采用带启闭刻度的暗杆闸阀或耐腐蚀的明杆闸阀；</w:t>
      </w:r>
      <w:r>
        <w:rPr/>
        <w:t> </w:t>
      </w:r>
    </w:p>
    <w:p>
      <w:pPr>
        <w:pStyle w:val="BodyText"/>
        <w:spacing w:line="446" w:lineRule="auto"/>
        <w:ind w:left="418" w:right="1817" w:firstLine="419"/>
      </w:pPr>
      <w:r>
        <w:rPr/>
        <w:t>埋地管道的阀门应采用球墨铸铁阀门，室内架空管道的阀门应采用球墨铸铁或不锈钢阀门，室外架空管道的阀门应采用球墨铸铁阀门或不锈钢阀门。 </w:t>
      </w:r>
    </w:p>
    <w:p>
      <w:pPr>
        <w:pStyle w:val="ListParagraph"/>
        <w:numPr>
          <w:ilvl w:val="2"/>
          <w:numId w:val="748"/>
        </w:numPr>
        <w:tabs>
          <w:tab w:pos="1424" w:val="left" w:leader="none"/>
        </w:tabs>
        <w:spacing w:line="240" w:lineRule="auto" w:before="0" w:after="0"/>
        <w:ind w:left="1423" w:right="0" w:hanging="584"/>
        <w:jc w:val="left"/>
        <w:rPr>
          <w:sz w:val="21"/>
        </w:rPr>
      </w:pPr>
      <w:r>
        <w:rPr>
          <w:spacing w:val="-3"/>
          <w:sz w:val="21"/>
        </w:rPr>
        <w:t>消防给水系统管道的最高点处宜设置自动排气阀。</w:t>
      </w:r>
      <w:r>
        <w:rPr>
          <w:sz w:val="21"/>
        </w:rPr>
        <w:t> </w:t>
      </w:r>
    </w:p>
    <w:p>
      <w:pPr>
        <w:pStyle w:val="BodyText"/>
        <w:spacing w:before="10"/>
        <w:rPr>
          <w:sz w:val="17"/>
        </w:rPr>
      </w:pPr>
    </w:p>
    <w:p>
      <w:pPr>
        <w:pStyle w:val="ListParagraph"/>
        <w:numPr>
          <w:ilvl w:val="2"/>
          <w:numId w:val="748"/>
        </w:numPr>
        <w:tabs>
          <w:tab w:pos="1424" w:val="left" w:leader="none"/>
        </w:tabs>
        <w:spacing w:line="240" w:lineRule="auto" w:before="0" w:after="0"/>
        <w:ind w:left="1423" w:right="0" w:hanging="584"/>
        <w:jc w:val="left"/>
        <w:rPr>
          <w:sz w:val="21"/>
        </w:rPr>
      </w:pPr>
      <w:r>
        <w:rPr>
          <w:spacing w:val="-5"/>
          <w:sz w:val="21"/>
        </w:rPr>
        <w:t>消防水泵出水管上的止回阀宜采用水锤消除止回阀，当消防水泵供水高度超过 </w:t>
      </w:r>
      <w:r>
        <w:rPr>
          <w:sz w:val="21"/>
        </w:rPr>
        <w:t>24m</w:t>
      </w:r>
    </w:p>
    <w:p>
      <w:pPr>
        <w:pStyle w:val="BodyText"/>
        <w:spacing w:before="12"/>
        <w:rPr>
          <w:sz w:val="17"/>
        </w:rPr>
      </w:pPr>
    </w:p>
    <w:p>
      <w:pPr>
        <w:pStyle w:val="BodyText"/>
        <w:ind w:left="418"/>
      </w:pPr>
      <w:r>
        <w:rPr/>
        <w:t>时，应采用水锤消除器。当消防水泵出水管上设有囊式气压水罐时，可不设水锤消除设施。 </w:t>
      </w:r>
    </w:p>
    <w:p>
      <w:pPr>
        <w:pStyle w:val="BodyText"/>
        <w:spacing w:before="2"/>
        <w:rPr>
          <w:sz w:val="18"/>
        </w:rPr>
      </w:pPr>
    </w:p>
    <w:p>
      <w:pPr>
        <w:pStyle w:val="ListParagraph"/>
        <w:numPr>
          <w:ilvl w:val="2"/>
          <w:numId w:val="748"/>
        </w:numPr>
        <w:tabs>
          <w:tab w:pos="1424" w:val="left" w:leader="none"/>
        </w:tabs>
        <w:spacing w:line="240" w:lineRule="auto" w:before="0" w:after="0"/>
        <w:ind w:left="1423" w:right="0" w:hanging="584"/>
        <w:jc w:val="left"/>
        <w:rPr>
          <w:sz w:val="21"/>
        </w:rPr>
      </w:pPr>
      <w:r>
        <w:rPr>
          <w:spacing w:val="-3"/>
          <w:sz w:val="21"/>
        </w:rPr>
        <w:t>减压阀的设置应符合下列规定：</w:t>
      </w:r>
      <w:r>
        <w:rPr>
          <w:sz w:val="21"/>
        </w:rPr>
        <w:t> </w:t>
      </w:r>
    </w:p>
    <w:p>
      <w:pPr>
        <w:pStyle w:val="BodyText"/>
        <w:rPr>
          <w:sz w:val="18"/>
        </w:rPr>
      </w:pPr>
    </w:p>
    <w:p>
      <w:pPr>
        <w:pStyle w:val="BodyText"/>
        <w:spacing w:line="436" w:lineRule="auto"/>
        <w:ind w:left="838" w:right="1556"/>
      </w:pPr>
      <w:r>
        <w:rPr>
          <w:spacing w:val="-3"/>
        </w:rPr>
        <w:t>减压阀应设置在报警阀组入口前，当连接两个及以上报警阀组时，应设置备用减压阀；  </w:t>
      </w:r>
      <w:r>
        <w:rPr>
          <w:spacing w:val="-5"/>
        </w:rPr>
        <w:t>减压阀的进口处应设置过滤器，过滤器的孔网直径不宜小于 </w:t>
      </w:r>
      <w:r>
        <w:rPr/>
        <w:t>4～5</w:t>
      </w:r>
      <w:r>
        <w:rPr>
          <w:spacing w:val="-20"/>
        </w:rPr>
        <w:t> 目</w:t>
      </w:r>
      <w:r>
        <w:rPr/>
        <w:t>/cm</w:t>
      </w:r>
      <w:r>
        <w:rPr>
          <w:position w:val="11"/>
          <w:sz w:val="11"/>
        </w:rPr>
        <w:t>2</w:t>
      </w:r>
      <w:r>
        <w:rPr>
          <w:spacing w:val="-3"/>
        </w:rPr>
        <w:t>，过流面积不应小</w:t>
      </w:r>
    </w:p>
    <w:p>
      <w:pPr>
        <w:pStyle w:val="BodyText"/>
        <w:spacing w:before="11"/>
        <w:ind w:left="418"/>
      </w:pPr>
      <w:r>
        <w:rPr/>
        <w:t>于管道截面积的 4 倍； </w:t>
      </w:r>
    </w:p>
    <w:p>
      <w:pPr>
        <w:pStyle w:val="BodyText"/>
        <w:rPr>
          <w:sz w:val="18"/>
        </w:rPr>
      </w:pPr>
    </w:p>
    <w:p>
      <w:pPr>
        <w:pStyle w:val="BodyText"/>
        <w:spacing w:line="446" w:lineRule="auto"/>
        <w:ind w:left="418" w:right="1391" w:firstLine="419"/>
      </w:pPr>
      <w:r>
        <w:rPr/>
        <w:t>过滤器和减压阀前后应设压力表，压力表的表盘直径不应小于 100mm，最大量程宜为设计压力的 2 倍； </w:t>
      </w:r>
    </w:p>
    <w:p>
      <w:pPr>
        <w:pStyle w:val="BodyText"/>
        <w:spacing w:line="446" w:lineRule="auto"/>
        <w:ind w:left="838" w:right="6129"/>
      </w:pPr>
      <w:r>
        <w:rPr/>
        <w:t>过滤器前和减压阀后应设置控制阀门； 减压阀后应设置压力试验排水阀； </w:t>
      </w:r>
    </w:p>
    <w:p>
      <w:pPr>
        <w:pStyle w:val="BodyText"/>
        <w:spacing w:line="446" w:lineRule="auto"/>
        <w:ind w:left="838" w:right="5709"/>
      </w:pPr>
      <w:r>
        <w:rPr/>
        <w:t>减压阀应设置流量检测测试接口或流量计； 垂直安装的减压阀，水流方向宜向下； </w:t>
      </w:r>
    </w:p>
    <w:p>
      <w:pPr>
        <w:spacing w:after="0" w:line="446" w:lineRule="auto"/>
        <w:sectPr>
          <w:footerReference w:type="default" r:id="rId391"/>
          <w:pgSz w:w="11910" w:h="16850"/>
          <w:pgMar w:footer="1239" w:header="0" w:top="1220" w:bottom="1420" w:left="1260" w:right="0"/>
          <w:pgNumType w:start="1350"/>
        </w:sectPr>
      </w:pPr>
    </w:p>
    <w:p>
      <w:pPr>
        <w:pStyle w:val="BodyText"/>
        <w:spacing w:line="446" w:lineRule="auto" w:before="47"/>
        <w:ind w:left="838" w:right="4657"/>
      </w:pPr>
      <w:r>
        <w:rPr>
          <w:spacing w:val="-3"/>
        </w:rPr>
        <w:t>比例式减压阀宜垂直安装，可调式减压阀宜水平安装； 减压阀和控制阀门宜有保护或锁定调节配件的装置；  接减压阀的管段不应有气堵、气阻。</w:t>
      </w:r>
      <w:r>
        <w:rPr/>
        <w:t> </w:t>
      </w:r>
    </w:p>
    <w:p>
      <w:pPr>
        <w:pStyle w:val="BodyText"/>
        <w:rPr>
          <w:sz w:val="20"/>
        </w:rPr>
      </w:pPr>
    </w:p>
    <w:p>
      <w:pPr>
        <w:pStyle w:val="BodyText"/>
        <w:rPr>
          <w:sz w:val="20"/>
        </w:rPr>
      </w:pPr>
    </w:p>
    <w:p>
      <w:pPr>
        <w:pStyle w:val="BodyText"/>
        <w:rPr>
          <w:sz w:val="20"/>
        </w:rPr>
      </w:pPr>
    </w:p>
    <w:p>
      <w:pPr>
        <w:pStyle w:val="BodyText"/>
        <w:spacing w:before="11"/>
        <w:rPr>
          <w:sz w:val="17"/>
        </w:rPr>
      </w:pPr>
    </w:p>
    <w:p>
      <w:pPr>
        <w:pStyle w:val="ListParagraph"/>
        <w:numPr>
          <w:ilvl w:val="2"/>
          <w:numId w:val="748"/>
        </w:numPr>
        <w:tabs>
          <w:tab w:pos="1424" w:val="left" w:leader="none"/>
        </w:tabs>
        <w:spacing w:line="446" w:lineRule="auto" w:before="0" w:after="0"/>
        <w:ind w:left="418" w:right="1445" w:firstLine="422"/>
        <w:jc w:val="left"/>
        <w:rPr>
          <w:sz w:val="21"/>
        </w:rPr>
      </w:pPr>
      <w:r>
        <w:rPr>
          <w:spacing w:val="-3"/>
          <w:sz w:val="21"/>
        </w:rPr>
        <w:t>室内消防给水系统由生活、生产给水系统管网直接供水时，应在引入管处设置倒流防止器。当消防给水系统采用有空气隔断的倒流防止器时，该倒流防止器应设置在清洁卫生的场 所，其排水口应采取防止被水淹没的技术措施。</w:t>
      </w:r>
      <w:r>
        <w:rPr>
          <w:sz w:val="21"/>
        </w:rPr>
        <w:t> </w:t>
      </w:r>
    </w:p>
    <w:p>
      <w:pPr>
        <w:pStyle w:val="ListParagraph"/>
        <w:numPr>
          <w:ilvl w:val="2"/>
          <w:numId w:val="748"/>
        </w:numPr>
        <w:tabs>
          <w:tab w:pos="1424" w:val="left" w:leader="none"/>
        </w:tabs>
        <w:spacing w:line="268" w:lineRule="exact" w:before="0" w:after="0"/>
        <w:ind w:left="1423" w:right="0" w:hanging="584"/>
        <w:jc w:val="left"/>
        <w:rPr>
          <w:sz w:val="21"/>
        </w:rPr>
      </w:pPr>
      <w:r>
        <w:rPr>
          <w:spacing w:val="-3"/>
          <w:sz w:val="21"/>
        </w:rPr>
        <w:t>在寒冷、严寒地区，室外阀门井应采取防冻措施。</w:t>
      </w:r>
      <w:r>
        <w:rPr>
          <w:sz w:val="21"/>
        </w:rPr>
        <w:t> </w:t>
      </w:r>
    </w:p>
    <w:p>
      <w:pPr>
        <w:pStyle w:val="BodyText"/>
        <w:spacing w:before="2"/>
        <w:rPr>
          <w:sz w:val="18"/>
        </w:rPr>
      </w:pPr>
    </w:p>
    <w:p>
      <w:pPr>
        <w:pStyle w:val="ListParagraph"/>
        <w:numPr>
          <w:ilvl w:val="2"/>
          <w:numId w:val="748"/>
        </w:numPr>
        <w:tabs>
          <w:tab w:pos="1424" w:val="left" w:leader="none"/>
        </w:tabs>
        <w:spacing w:line="240" w:lineRule="auto" w:before="0" w:after="0"/>
        <w:ind w:left="1423" w:right="0" w:hanging="584"/>
        <w:jc w:val="left"/>
        <w:rPr>
          <w:sz w:val="21"/>
        </w:rPr>
      </w:pPr>
      <w:r>
        <w:rPr>
          <w:spacing w:val="-3"/>
          <w:sz w:val="21"/>
        </w:rPr>
        <w:t>消防给水系统的室内外消火栓、阀门等设置位置，应设置永久性固定标识。 </w:t>
      </w:r>
    </w:p>
    <w:p>
      <w:pPr>
        <w:pStyle w:val="BodyText"/>
        <w:spacing w:before="8"/>
        <w:rPr>
          <w:sz w:val="15"/>
        </w:rPr>
      </w:pPr>
    </w:p>
    <w:p>
      <w:pPr>
        <w:pStyle w:val="Heading4"/>
      </w:pPr>
      <w:r>
        <w:rPr/>
        <w:t>9 消防排水</w:t>
      </w:r>
      <w:r>
        <w:rPr>
          <w:w w:val="99"/>
        </w:rPr>
        <w:t> </w:t>
      </w:r>
    </w:p>
    <w:p>
      <w:pPr>
        <w:pStyle w:val="BodyText"/>
        <w:spacing w:before="4"/>
        <w:rPr>
          <w:b/>
          <w:sz w:val="17"/>
        </w:rPr>
      </w:pPr>
    </w:p>
    <w:p>
      <w:pPr>
        <w:pStyle w:val="ListParagraph"/>
        <w:numPr>
          <w:ilvl w:val="1"/>
          <w:numId w:val="750"/>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2"/>
        <w:rPr>
          <w:sz w:val="18"/>
        </w:rPr>
      </w:pPr>
    </w:p>
    <w:p>
      <w:pPr>
        <w:pStyle w:val="ListParagraph"/>
        <w:numPr>
          <w:ilvl w:val="2"/>
          <w:numId w:val="750"/>
        </w:numPr>
        <w:tabs>
          <w:tab w:pos="1424" w:val="left" w:leader="none"/>
        </w:tabs>
        <w:spacing w:line="240" w:lineRule="auto" w:before="0" w:after="0"/>
        <w:ind w:left="1423" w:right="0" w:hanging="584"/>
        <w:jc w:val="left"/>
        <w:rPr>
          <w:sz w:val="21"/>
        </w:rPr>
      </w:pPr>
      <w:r>
        <w:rPr>
          <w:spacing w:val="-3"/>
          <w:sz w:val="21"/>
        </w:rPr>
        <w:t>设有消防给水系统的建设工程宜采取消防排水措施。</w:t>
      </w:r>
      <w:r>
        <w:rPr>
          <w:sz w:val="21"/>
        </w:rPr>
        <w:t> </w:t>
      </w:r>
    </w:p>
    <w:p>
      <w:pPr>
        <w:pStyle w:val="BodyText"/>
        <w:rPr>
          <w:sz w:val="18"/>
        </w:rPr>
      </w:pPr>
    </w:p>
    <w:p>
      <w:pPr>
        <w:pStyle w:val="ListParagraph"/>
        <w:numPr>
          <w:ilvl w:val="2"/>
          <w:numId w:val="750"/>
        </w:numPr>
        <w:tabs>
          <w:tab w:pos="1424" w:val="left" w:leader="none"/>
        </w:tabs>
        <w:spacing w:line="446" w:lineRule="auto" w:before="0" w:after="0"/>
        <w:ind w:left="418" w:right="1445" w:firstLine="422"/>
        <w:jc w:val="left"/>
        <w:rPr>
          <w:sz w:val="21"/>
        </w:rPr>
      </w:pPr>
      <w:r>
        <w:rPr>
          <w:spacing w:val="-3"/>
          <w:sz w:val="21"/>
        </w:rPr>
        <w:t>排水措施应满足财产和消防设施安全，以及系统调试和日常维护管理等安全和功能的需要。</w:t>
      </w:r>
      <w:r>
        <w:rPr>
          <w:sz w:val="21"/>
        </w:rPr>
        <w:t> </w:t>
      </w:r>
    </w:p>
    <w:p>
      <w:pPr>
        <w:pStyle w:val="ListParagraph"/>
        <w:numPr>
          <w:ilvl w:val="1"/>
          <w:numId w:val="750"/>
        </w:numPr>
        <w:tabs>
          <w:tab w:pos="1160" w:val="left" w:leader="none"/>
        </w:tabs>
        <w:spacing w:line="240" w:lineRule="auto" w:before="0" w:after="0"/>
        <w:ind w:left="1159" w:right="0" w:hanging="320"/>
        <w:jc w:val="left"/>
        <w:rPr>
          <w:sz w:val="21"/>
        </w:rPr>
      </w:pPr>
      <w:r>
        <w:rPr>
          <w:spacing w:val="-3"/>
          <w:sz w:val="21"/>
        </w:rPr>
        <w:t>消防排水</w:t>
      </w:r>
      <w:r>
        <w:rPr>
          <w:sz w:val="21"/>
        </w:rPr>
        <w:t> </w:t>
      </w:r>
    </w:p>
    <w:p>
      <w:pPr>
        <w:pStyle w:val="BodyText"/>
        <w:spacing w:before="12"/>
        <w:rPr>
          <w:sz w:val="17"/>
        </w:rPr>
      </w:pPr>
    </w:p>
    <w:p>
      <w:pPr>
        <w:pStyle w:val="ListParagraph"/>
        <w:numPr>
          <w:ilvl w:val="2"/>
          <w:numId w:val="750"/>
        </w:numPr>
        <w:tabs>
          <w:tab w:pos="1424" w:val="left" w:leader="none"/>
        </w:tabs>
        <w:spacing w:line="240" w:lineRule="auto" w:before="0" w:after="0"/>
        <w:ind w:left="1423" w:right="0" w:hanging="584"/>
        <w:jc w:val="left"/>
        <w:rPr>
          <w:sz w:val="21"/>
        </w:rPr>
      </w:pPr>
      <w:r>
        <w:rPr>
          <w:spacing w:val="-3"/>
          <w:sz w:val="21"/>
        </w:rPr>
        <w:t>下列建筑物和场所内应采取消防排水措施：</w:t>
      </w:r>
      <w:r>
        <w:rPr>
          <w:sz w:val="21"/>
        </w:rPr>
        <w:t> </w:t>
      </w:r>
    </w:p>
    <w:p>
      <w:pPr>
        <w:pStyle w:val="BodyText"/>
        <w:spacing w:before="12"/>
        <w:rPr>
          <w:sz w:val="17"/>
        </w:rPr>
      </w:pPr>
    </w:p>
    <w:p>
      <w:pPr>
        <w:pStyle w:val="ListParagraph"/>
        <w:numPr>
          <w:ilvl w:val="0"/>
          <w:numId w:val="751"/>
        </w:numPr>
        <w:tabs>
          <w:tab w:pos="1367" w:val="left" w:leader="none"/>
        </w:tabs>
        <w:spacing w:line="240" w:lineRule="auto" w:before="0" w:after="0"/>
        <w:ind w:left="1367" w:right="0" w:hanging="529"/>
        <w:jc w:val="left"/>
        <w:rPr>
          <w:sz w:val="21"/>
        </w:rPr>
      </w:pPr>
      <w:r>
        <w:rPr>
          <w:spacing w:val="-3"/>
          <w:sz w:val="21"/>
        </w:rPr>
        <w:t>消防水泵房；</w:t>
      </w:r>
      <w:r>
        <w:rPr>
          <w:sz w:val="21"/>
        </w:rPr>
        <w:t> </w:t>
      </w:r>
    </w:p>
    <w:p>
      <w:pPr>
        <w:pStyle w:val="BodyText"/>
        <w:spacing w:before="2"/>
        <w:rPr>
          <w:sz w:val="18"/>
        </w:rPr>
      </w:pPr>
    </w:p>
    <w:p>
      <w:pPr>
        <w:pStyle w:val="ListParagraph"/>
        <w:numPr>
          <w:ilvl w:val="0"/>
          <w:numId w:val="751"/>
        </w:numPr>
        <w:tabs>
          <w:tab w:pos="1367" w:val="left" w:leader="none"/>
        </w:tabs>
        <w:spacing w:line="240" w:lineRule="auto" w:before="0" w:after="0"/>
        <w:ind w:left="1367" w:right="0" w:hanging="529"/>
        <w:jc w:val="left"/>
        <w:rPr>
          <w:sz w:val="21"/>
        </w:rPr>
      </w:pPr>
      <w:r>
        <w:rPr>
          <w:spacing w:val="-3"/>
          <w:sz w:val="21"/>
        </w:rPr>
        <w:t>设有消防给水系统的地下室；</w:t>
      </w:r>
      <w:r>
        <w:rPr>
          <w:sz w:val="21"/>
        </w:rPr>
        <w:t> </w:t>
      </w:r>
    </w:p>
    <w:p>
      <w:pPr>
        <w:pStyle w:val="BodyText"/>
        <w:rPr>
          <w:sz w:val="18"/>
        </w:rPr>
      </w:pPr>
    </w:p>
    <w:p>
      <w:pPr>
        <w:pStyle w:val="ListParagraph"/>
        <w:numPr>
          <w:ilvl w:val="0"/>
          <w:numId w:val="751"/>
        </w:numPr>
        <w:tabs>
          <w:tab w:pos="1367" w:val="left" w:leader="none"/>
        </w:tabs>
        <w:spacing w:line="240" w:lineRule="auto" w:before="0" w:after="0"/>
        <w:ind w:left="1367" w:right="0" w:hanging="529"/>
        <w:jc w:val="left"/>
        <w:rPr>
          <w:sz w:val="21"/>
        </w:rPr>
      </w:pPr>
      <w:r>
        <w:rPr>
          <w:spacing w:val="-3"/>
          <w:sz w:val="21"/>
        </w:rPr>
        <w:t>消防电梯的井底；</w:t>
      </w:r>
      <w:r>
        <w:rPr>
          <w:sz w:val="21"/>
        </w:rPr>
        <w:t> </w:t>
      </w:r>
    </w:p>
    <w:p>
      <w:pPr>
        <w:pStyle w:val="BodyText"/>
        <w:rPr>
          <w:sz w:val="18"/>
        </w:rPr>
      </w:pPr>
    </w:p>
    <w:p>
      <w:pPr>
        <w:pStyle w:val="ListParagraph"/>
        <w:numPr>
          <w:ilvl w:val="0"/>
          <w:numId w:val="751"/>
        </w:numPr>
        <w:tabs>
          <w:tab w:pos="1367" w:val="left" w:leader="none"/>
        </w:tabs>
        <w:spacing w:line="240" w:lineRule="auto" w:before="0" w:after="0"/>
        <w:ind w:left="1367" w:right="0" w:hanging="529"/>
        <w:jc w:val="left"/>
        <w:rPr>
          <w:sz w:val="21"/>
        </w:rPr>
      </w:pPr>
      <w:r>
        <w:rPr>
          <w:spacing w:val="-3"/>
          <w:sz w:val="21"/>
        </w:rPr>
        <w:t>仓库。</w:t>
      </w:r>
      <w:r>
        <w:rPr>
          <w:sz w:val="21"/>
        </w:rPr>
        <w:t> </w:t>
      </w:r>
    </w:p>
    <w:p>
      <w:pPr>
        <w:pStyle w:val="BodyText"/>
        <w:spacing w:before="2"/>
        <w:rPr>
          <w:sz w:val="18"/>
        </w:rPr>
      </w:pPr>
    </w:p>
    <w:p>
      <w:pPr>
        <w:pStyle w:val="ListParagraph"/>
        <w:numPr>
          <w:ilvl w:val="2"/>
          <w:numId w:val="750"/>
        </w:numPr>
        <w:tabs>
          <w:tab w:pos="1424" w:val="left" w:leader="none"/>
        </w:tabs>
        <w:spacing w:line="240" w:lineRule="auto" w:before="0" w:after="0"/>
        <w:ind w:left="1423" w:right="0" w:hanging="584"/>
        <w:jc w:val="left"/>
        <w:rPr>
          <w:sz w:val="21"/>
        </w:rPr>
      </w:pPr>
      <w:r>
        <w:rPr>
          <w:spacing w:val="-3"/>
          <w:sz w:val="21"/>
        </w:rPr>
        <w:t>室内消防排水系统应符合下列规定：</w:t>
      </w:r>
      <w:r>
        <w:rPr>
          <w:sz w:val="21"/>
        </w:rPr>
        <w:t> </w:t>
      </w:r>
    </w:p>
    <w:p>
      <w:pPr>
        <w:pStyle w:val="BodyText"/>
        <w:spacing w:before="12"/>
        <w:rPr>
          <w:sz w:val="17"/>
        </w:rPr>
      </w:pPr>
    </w:p>
    <w:p>
      <w:pPr>
        <w:pStyle w:val="ListParagraph"/>
        <w:numPr>
          <w:ilvl w:val="0"/>
          <w:numId w:val="752"/>
        </w:numPr>
        <w:tabs>
          <w:tab w:pos="1367" w:val="left" w:leader="none"/>
        </w:tabs>
        <w:spacing w:line="240" w:lineRule="auto" w:before="0" w:after="0"/>
        <w:ind w:left="1367" w:right="0" w:hanging="529"/>
        <w:jc w:val="left"/>
        <w:rPr>
          <w:sz w:val="21"/>
        </w:rPr>
      </w:pPr>
      <w:r>
        <w:rPr>
          <w:spacing w:val="-3"/>
          <w:sz w:val="21"/>
        </w:rPr>
        <w:t>室内消防排水宜排入室外雨水管道；</w:t>
      </w:r>
      <w:r>
        <w:rPr>
          <w:sz w:val="21"/>
        </w:rPr>
        <w:t> </w:t>
      </w:r>
    </w:p>
    <w:p>
      <w:pPr>
        <w:pStyle w:val="BodyText"/>
        <w:spacing w:before="12"/>
        <w:rPr>
          <w:sz w:val="17"/>
        </w:rPr>
      </w:pPr>
    </w:p>
    <w:p>
      <w:pPr>
        <w:pStyle w:val="ListParagraph"/>
        <w:numPr>
          <w:ilvl w:val="0"/>
          <w:numId w:val="752"/>
        </w:numPr>
        <w:tabs>
          <w:tab w:pos="1367" w:val="left" w:leader="none"/>
        </w:tabs>
        <w:spacing w:line="240" w:lineRule="auto" w:before="0" w:after="0"/>
        <w:ind w:left="1367" w:right="0" w:hanging="529"/>
        <w:jc w:val="left"/>
        <w:rPr>
          <w:sz w:val="21"/>
        </w:rPr>
      </w:pPr>
      <w:r>
        <w:rPr>
          <w:spacing w:val="-3"/>
          <w:sz w:val="21"/>
        </w:rPr>
        <w:t>当存有少量可燃液体时，排水管道应设置水封，并宜间接排入室外污水管道；</w:t>
      </w:r>
      <w:r>
        <w:rPr>
          <w:sz w:val="21"/>
        </w:rPr>
        <w:t> </w:t>
      </w:r>
    </w:p>
    <w:p>
      <w:pPr>
        <w:pStyle w:val="BodyText"/>
        <w:spacing w:before="2"/>
        <w:rPr>
          <w:sz w:val="18"/>
        </w:rPr>
      </w:pPr>
    </w:p>
    <w:p>
      <w:pPr>
        <w:pStyle w:val="ListParagraph"/>
        <w:numPr>
          <w:ilvl w:val="0"/>
          <w:numId w:val="752"/>
        </w:numPr>
        <w:tabs>
          <w:tab w:pos="1367" w:val="left" w:leader="none"/>
        </w:tabs>
        <w:spacing w:line="240" w:lineRule="auto" w:before="0" w:after="0"/>
        <w:ind w:left="1367" w:right="0" w:hanging="529"/>
        <w:jc w:val="left"/>
        <w:rPr>
          <w:sz w:val="21"/>
        </w:rPr>
      </w:pPr>
      <w:r>
        <w:rPr>
          <w:spacing w:val="-3"/>
          <w:sz w:val="21"/>
        </w:rPr>
        <w:t>地下室的消防排水设施宜与地下室其他地面废水排水设施共用。</w:t>
      </w:r>
      <w:r>
        <w:rPr>
          <w:sz w:val="21"/>
        </w:rPr>
        <w:t> </w:t>
      </w:r>
    </w:p>
    <w:p>
      <w:pPr>
        <w:pStyle w:val="BodyText"/>
        <w:rPr>
          <w:sz w:val="18"/>
        </w:rPr>
      </w:pPr>
    </w:p>
    <w:p>
      <w:pPr>
        <w:pStyle w:val="ListParagraph"/>
        <w:numPr>
          <w:ilvl w:val="2"/>
          <w:numId w:val="750"/>
        </w:numPr>
        <w:tabs>
          <w:tab w:pos="1424" w:val="left" w:leader="none"/>
        </w:tabs>
        <w:spacing w:line="446" w:lineRule="auto" w:before="0" w:after="0"/>
        <w:ind w:left="838" w:right="5125" w:firstLine="2"/>
        <w:jc w:val="left"/>
        <w:rPr>
          <w:sz w:val="21"/>
        </w:rPr>
      </w:pPr>
      <w:r>
        <w:rPr>
          <w:spacing w:val="-3"/>
          <w:sz w:val="21"/>
        </w:rPr>
        <w:t>消防电梯的井底排水设施应符合下列规定： </w:t>
      </w:r>
      <w:r>
        <w:rPr>
          <w:spacing w:val="-7"/>
          <w:sz w:val="21"/>
        </w:rPr>
        <w:t>排水泵集水井的有效容量不应小于 </w:t>
      </w:r>
      <w:r>
        <w:rPr>
          <w:sz w:val="21"/>
        </w:rPr>
        <w:t>2.00m3； </w:t>
      </w:r>
    </w:p>
    <w:p>
      <w:pPr>
        <w:pStyle w:val="BodyText"/>
        <w:ind w:left="838"/>
      </w:pPr>
      <w:r>
        <w:rPr/>
        <w:t>排水泵的排水量不应小于 10L/s。 </w:t>
      </w:r>
    </w:p>
    <w:p>
      <w:pPr>
        <w:spacing w:after="0"/>
        <w:sectPr>
          <w:pgSz w:w="11910" w:h="16850"/>
          <w:pgMar w:header="0" w:footer="1239" w:top="1220" w:bottom="1420" w:left="1260" w:right="0"/>
        </w:sectPr>
      </w:pPr>
    </w:p>
    <w:p>
      <w:pPr>
        <w:pStyle w:val="ListParagraph"/>
        <w:numPr>
          <w:ilvl w:val="2"/>
          <w:numId w:val="750"/>
        </w:numPr>
        <w:tabs>
          <w:tab w:pos="1371" w:val="left" w:leader="none"/>
        </w:tabs>
        <w:spacing w:line="240" w:lineRule="auto" w:before="47" w:after="0"/>
        <w:ind w:left="1370" w:right="0" w:hanging="531"/>
        <w:jc w:val="left"/>
        <w:rPr>
          <w:sz w:val="21"/>
        </w:rPr>
      </w:pPr>
      <w:r>
        <w:rPr>
          <w:spacing w:val="-3"/>
          <w:sz w:val="21"/>
        </w:rPr>
        <w:t>室内消防排水设施应采取防止倒灌的技术措施。</w:t>
      </w:r>
      <w:r>
        <w:rPr>
          <w:sz w:val="21"/>
        </w:rPr>
        <w:t> </w:t>
      </w:r>
    </w:p>
    <w:p>
      <w:pPr>
        <w:pStyle w:val="BodyText"/>
        <w:rPr>
          <w:sz w:val="18"/>
        </w:rPr>
      </w:pPr>
    </w:p>
    <w:p>
      <w:pPr>
        <w:pStyle w:val="ListParagraph"/>
        <w:numPr>
          <w:ilvl w:val="1"/>
          <w:numId w:val="750"/>
        </w:numPr>
        <w:tabs>
          <w:tab w:pos="1159" w:val="left" w:leader="none"/>
        </w:tabs>
        <w:spacing w:line="240" w:lineRule="auto" w:before="0" w:after="0"/>
        <w:ind w:left="1158" w:right="0" w:hanging="319"/>
        <w:jc w:val="left"/>
        <w:rPr>
          <w:sz w:val="21"/>
        </w:rPr>
      </w:pPr>
      <w:r>
        <w:rPr>
          <w:spacing w:val="-3"/>
          <w:sz w:val="21"/>
        </w:rPr>
        <w:t>测试排水</w:t>
      </w:r>
      <w:r>
        <w:rPr>
          <w:sz w:val="21"/>
        </w:rPr>
        <w:t> </w:t>
      </w:r>
    </w:p>
    <w:p>
      <w:pPr>
        <w:pStyle w:val="BodyText"/>
        <w:rPr>
          <w:sz w:val="18"/>
        </w:rPr>
      </w:pPr>
    </w:p>
    <w:p>
      <w:pPr>
        <w:pStyle w:val="ListParagraph"/>
        <w:numPr>
          <w:ilvl w:val="2"/>
          <w:numId w:val="750"/>
        </w:numPr>
        <w:tabs>
          <w:tab w:pos="1424" w:val="left" w:leader="none"/>
        </w:tabs>
        <w:spacing w:line="240" w:lineRule="auto" w:before="0" w:after="0"/>
        <w:ind w:left="1423" w:right="0" w:hanging="584"/>
        <w:jc w:val="left"/>
        <w:rPr>
          <w:sz w:val="21"/>
        </w:rPr>
      </w:pPr>
      <w:r>
        <w:rPr>
          <w:spacing w:val="-3"/>
          <w:sz w:val="21"/>
        </w:rPr>
        <w:t>消防给水系统试验装置处应设置专用排水设施，排水管径应符合下列规定： </w:t>
      </w:r>
    </w:p>
    <w:p>
      <w:pPr>
        <w:pStyle w:val="BodyText"/>
        <w:spacing w:before="1"/>
        <w:rPr>
          <w:sz w:val="18"/>
        </w:rPr>
      </w:pPr>
    </w:p>
    <w:p>
      <w:pPr>
        <w:pStyle w:val="BodyText"/>
        <w:spacing w:line="446" w:lineRule="auto" w:before="1"/>
        <w:ind w:left="418" w:right="1609" w:firstLine="419"/>
      </w:pPr>
      <w:r>
        <w:rPr/>
        <w:t>自动喷水灭火系统等自动水灭火系统末端试水装置处的排水立管管径，应根据末端试水装置的泄流量确定，并不宜小于 DN75； </w:t>
      </w:r>
    </w:p>
    <w:p>
      <w:pPr>
        <w:pStyle w:val="BodyText"/>
        <w:spacing w:line="267" w:lineRule="exact"/>
        <w:ind w:left="838"/>
      </w:pPr>
      <w:r>
        <w:rPr/>
        <w:t>报警阀处的排水立管宜为 DN100； </w:t>
      </w:r>
    </w:p>
    <w:p>
      <w:pPr>
        <w:pStyle w:val="BodyText"/>
        <w:spacing w:before="1"/>
        <w:rPr>
          <w:sz w:val="18"/>
        </w:rPr>
      </w:pPr>
    </w:p>
    <w:p>
      <w:pPr>
        <w:pStyle w:val="BodyText"/>
        <w:spacing w:before="1"/>
        <w:ind w:left="838"/>
      </w:pPr>
      <w:r>
        <w:rPr/>
        <w:t>减压阀处的压力试验排水管道直径应根据减压阀流量确定，但不应小于 DN100。 </w:t>
      </w:r>
    </w:p>
    <w:p>
      <w:pPr>
        <w:pStyle w:val="BodyText"/>
        <w:spacing w:before="12"/>
        <w:rPr>
          <w:sz w:val="17"/>
        </w:rPr>
      </w:pPr>
    </w:p>
    <w:p>
      <w:pPr>
        <w:pStyle w:val="ListParagraph"/>
        <w:numPr>
          <w:ilvl w:val="2"/>
          <w:numId w:val="750"/>
        </w:numPr>
        <w:tabs>
          <w:tab w:pos="1424" w:val="left" w:leader="none"/>
        </w:tabs>
        <w:spacing w:line="240" w:lineRule="auto" w:before="0" w:after="0"/>
        <w:ind w:left="1423" w:right="0" w:hanging="584"/>
        <w:jc w:val="left"/>
        <w:rPr>
          <w:sz w:val="21"/>
        </w:rPr>
      </w:pPr>
      <w:r>
        <w:rPr>
          <w:spacing w:val="-3"/>
          <w:sz w:val="21"/>
        </w:rPr>
        <w:t>试验排水可回收部分宜排入专用消防水池循环再利用。</w:t>
      </w:r>
      <w:r>
        <w:rPr>
          <w:sz w:val="21"/>
        </w:rPr>
        <w:t> </w:t>
      </w:r>
    </w:p>
    <w:p>
      <w:pPr>
        <w:pStyle w:val="BodyText"/>
        <w:spacing w:before="8"/>
        <w:rPr>
          <w:sz w:val="15"/>
        </w:rPr>
      </w:pPr>
    </w:p>
    <w:p>
      <w:pPr>
        <w:pStyle w:val="Heading4"/>
      </w:pPr>
      <w:r>
        <w:rPr/>
        <w:t>10 水力计算</w:t>
      </w:r>
      <w:r>
        <w:rPr>
          <w:w w:val="99"/>
        </w:rPr>
        <w:t> </w:t>
      </w:r>
    </w:p>
    <w:p>
      <w:pPr>
        <w:pStyle w:val="BodyText"/>
        <w:spacing w:before="7"/>
        <w:rPr>
          <w:b/>
          <w:sz w:val="17"/>
        </w:rPr>
      </w:pPr>
    </w:p>
    <w:p>
      <w:pPr>
        <w:pStyle w:val="ListParagraph"/>
        <w:numPr>
          <w:ilvl w:val="1"/>
          <w:numId w:val="753"/>
        </w:numPr>
        <w:tabs>
          <w:tab w:pos="1266" w:val="left" w:leader="none"/>
        </w:tabs>
        <w:spacing w:line="240" w:lineRule="auto" w:before="0" w:after="0"/>
        <w:ind w:left="1265" w:right="0" w:hanging="426"/>
        <w:jc w:val="left"/>
        <w:rPr>
          <w:sz w:val="21"/>
        </w:rPr>
      </w:pPr>
      <w:r>
        <w:rPr>
          <w:spacing w:val="-3"/>
          <w:sz w:val="21"/>
        </w:rPr>
        <w:t>水力计算</w:t>
      </w:r>
      <w:r>
        <w:rPr>
          <w:sz w:val="21"/>
        </w:rPr>
        <w:t> </w:t>
      </w:r>
    </w:p>
    <w:p>
      <w:pPr>
        <w:pStyle w:val="BodyText"/>
        <w:spacing w:before="12"/>
        <w:rPr>
          <w:sz w:val="17"/>
        </w:rPr>
      </w:pPr>
    </w:p>
    <w:p>
      <w:pPr>
        <w:pStyle w:val="ListParagraph"/>
        <w:numPr>
          <w:ilvl w:val="2"/>
          <w:numId w:val="753"/>
        </w:numPr>
        <w:tabs>
          <w:tab w:pos="1530" w:val="left" w:leader="none"/>
        </w:tabs>
        <w:spacing w:line="446" w:lineRule="auto" w:before="0" w:after="0"/>
        <w:ind w:left="418" w:right="1549" w:firstLine="422"/>
        <w:jc w:val="left"/>
        <w:rPr>
          <w:sz w:val="21"/>
        </w:rPr>
      </w:pPr>
      <w:r>
        <w:rPr>
          <w:spacing w:val="-3"/>
          <w:sz w:val="21"/>
        </w:rPr>
        <w:t>消防给水的设计压力应满足所服务的各种水灭火系统最不利点处水灭火设施的压力要求。</w:t>
      </w:r>
      <w:r>
        <w:rPr>
          <w:sz w:val="21"/>
        </w:rPr>
        <w:t> </w:t>
      </w:r>
    </w:p>
    <w:p>
      <w:pPr>
        <w:pStyle w:val="ListParagraph"/>
        <w:numPr>
          <w:ilvl w:val="2"/>
          <w:numId w:val="753"/>
        </w:numPr>
        <w:tabs>
          <w:tab w:pos="1530" w:val="left" w:leader="none"/>
        </w:tabs>
        <w:spacing w:line="446" w:lineRule="auto" w:before="0" w:after="0"/>
        <w:ind w:left="418" w:right="1549" w:firstLine="422"/>
        <w:jc w:val="left"/>
        <w:rPr>
          <w:sz w:val="21"/>
        </w:rPr>
      </w:pPr>
      <w:r>
        <w:rPr>
          <w:spacing w:val="-3"/>
          <w:sz w:val="21"/>
        </w:rPr>
        <w:t>消防给水管道单位长度管道沿程水头损失应根据管材、水力条件等因素选择，可按下列公式计算：</w:t>
      </w:r>
      <w:r>
        <w:rPr>
          <w:sz w:val="21"/>
        </w:rPr>
        <w:t> </w:t>
      </w:r>
    </w:p>
    <w:p>
      <w:pPr>
        <w:pStyle w:val="BodyText"/>
        <w:spacing w:line="267" w:lineRule="exact"/>
        <w:ind w:left="838"/>
      </w:pPr>
      <w:r>
        <w:rPr/>
        <w:t>（1）消防给水管道或室外塑料管可采用下列公式计算： </w:t>
      </w:r>
    </w:p>
    <w:p>
      <w:pPr>
        <w:pStyle w:val="BodyText"/>
        <w:rPr>
          <w:sz w:val="20"/>
        </w:rPr>
      </w:pPr>
    </w:p>
    <w:p>
      <w:pPr>
        <w:pStyle w:val="BodyText"/>
        <w:spacing w:before="6"/>
        <w:rPr>
          <w:sz w:val="10"/>
        </w:rPr>
      </w:pPr>
      <w:r>
        <w:rPr/>
        <w:drawing>
          <wp:anchor distT="0" distB="0" distL="0" distR="0" allowOverlap="1" layoutInCell="1" locked="0" behindDoc="0" simplePos="0" relativeHeight="238">
            <wp:simplePos x="0" y="0"/>
            <wp:positionH relativeFrom="page">
              <wp:posOffset>1932304</wp:posOffset>
            </wp:positionH>
            <wp:positionV relativeFrom="paragraph">
              <wp:posOffset>110307</wp:posOffset>
            </wp:positionV>
            <wp:extent cx="3253740" cy="2124075"/>
            <wp:effectExtent l="0" t="0" r="0" b="0"/>
            <wp:wrapTopAndBottom/>
            <wp:docPr id="561" name="image323.png"/>
            <wp:cNvGraphicFramePr>
              <a:graphicFrameLocks noChangeAspect="1"/>
            </wp:cNvGraphicFramePr>
            <a:graphic>
              <a:graphicData uri="http://schemas.openxmlformats.org/drawingml/2006/picture">
                <pic:pic>
                  <pic:nvPicPr>
                    <pic:cNvPr id="562" name="image323.png"/>
                    <pic:cNvPicPr/>
                  </pic:nvPicPr>
                  <pic:blipFill>
                    <a:blip r:embed="rId392" cstate="print"/>
                    <a:stretch>
                      <a:fillRect/>
                    </a:stretch>
                  </pic:blipFill>
                  <pic:spPr>
                    <a:xfrm>
                      <a:off x="0" y="0"/>
                      <a:ext cx="3253740" cy="2124075"/>
                    </a:xfrm>
                    <a:prstGeom prst="rect">
                      <a:avLst/>
                    </a:prstGeom>
                  </pic:spPr>
                </pic:pic>
              </a:graphicData>
            </a:graphic>
          </wp:anchor>
        </w:drawing>
      </w:r>
    </w:p>
    <w:p>
      <w:pPr>
        <w:pStyle w:val="BodyText"/>
        <w:rPr>
          <w:sz w:val="20"/>
        </w:rPr>
      </w:pPr>
    </w:p>
    <w:p>
      <w:pPr>
        <w:pStyle w:val="BodyText"/>
        <w:spacing w:before="5"/>
        <w:rPr>
          <w:sz w:val="25"/>
        </w:rPr>
      </w:pPr>
    </w:p>
    <w:p>
      <w:pPr>
        <w:pStyle w:val="BodyText"/>
        <w:spacing w:before="71"/>
        <w:ind w:left="838"/>
      </w:pPr>
      <w:r>
        <w:rPr/>
        <w:t>式中：</w:t>
      </w:r>
      <w:r>
        <w:rPr>
          <w:i/>
          <w:sz w:val="22"/>
        </w:rPr>
        <w:t>i</w:t>
      </w:r>
      <w:r>
        <w:rPr/>
        <w:t>——单位长度管道沿程水头损失（MPa/m）； </w:t>
      </w:r>
    </w:p>
    <w:p>
      <w:pPr>
        <w:pStyle w:val="BodyText"/>
        <w:spacing w:before="2"/>
        <w:rPr>
          <w:sz w:val="17"/>
        </w:rPr>
      </w:pPr>
    </w:p>
    <w:p>
      <w:pPr>
        <w:pStyle w:val="BodyText"/>
        <w:ind w:left="838"/>
      </w:pPr>
      <w:r>
        <w:rPr>
          <w:i/>
          <w:sz w:val="22"/>
        </w:rPr>
        <w:t>di</w:t>
      </w:r>
      <w:r>
        <w:rPr/>
        <w:t>——管道的内径（m）； </w:t>
      </w:r>
    </w:p>
    <w:p>
      <w:pPr>
        <w:pStyle w:val="BodyText"/>
        <w:rPr>
          <w:sz w:val="17"/>
        </w:rPr>
      </w:pPr>
    </w:p>
    <w:p>
      <w:pPr>
        <w:pStyle w:val="BodyText"/>
        <w:ind w:left="838"/>
      </w:pPr>
      <w:r>
        <w:rPr>
          <w:i/>
          <w:sz w:val="22"/>
        </w:rPr>
        <w:t>v</w:t>
      </w:r>
      <w:r>
        <w:rPr/>
        <w:t>——管道内水的平均流速（m/s）； </w:t>
      </w:r>
    </w:p>
    <w:p>
      <w:pPr>
        <w:pStyle w:val="BodyText"/>
        <w:spacing w:line="502" w:lineRule="exact" w:before="36"/>
        <w:ind w:left="838" w:right="7127"/>
      </w:pPr>
      <w:r>
        <w:rPr>
          <w:i/>
          <w:sz w:val="22"/>
        </w:rPr>
        <w:t>ρ</w:t>
      </w:r>
      <w:r>
        <w:rPr/>
        <w:t>——水的密度（kg/m³）； </w:t>
      </w:r>
      <w:r>
        <w:rPr>
          <w:i/>
          <w:sz w:val="22"/>
        </w:rPr>
        <w:t>λ</w:t>
      </w:r>
      <w:r>
        <w:rPr/>
        <w:t>——沿程损失阻力系数； </w:t>
      </w:r>
    </w:p>
    <w:p>
      <w:pPr>
        <w:spacing w:after="0" w:line="502" w:lineRule="exact"/>
        <w:sectPr>
          <w:pgSz w:w="11910" w:h="16850"/>
          <w:pgMar w:header="0" w:footer="1239" w:top="1220" w:bottom="1420" w:left="1260" w:right="0"/>
        </w:sectPr>
      </w:pPr>
    </w:p>
    <w:p>
      <w:pPr>
        <w:pStyle w:val="BodyText"/>
        <w:spacing w:before="57"/>
        <w:ind w:left="838"/>
      </w:pPr>
      <w:r>
        <w:rPr>
          <w:i/>
          <w:sz w:val="22"/>
        </w:rPr>
        <w:t>ε</w:t>
      </w:r>
      <w:r>
        <w:rPr/>
        <w:t>——当量粗糙度，可按表 10.1.2 取值（m）； </w:t>
      </w:r>
    </w:p>
    <w:p>
      <w:pPr>
        <w:pStyle w:val="BodyText"/>
        <w:rPr>
          <w:sz w:val="17"/>
        </w:rPr>
      </w:pPr>
    </w:p>
    <w:p>
      <w:pPr>
        <w:pStyle w:val="BodyText"/>
        <w:ind w:left="838"/>
      </w:pPr>
      <w:r>
        <w:rPr>
          <w:i/>
          <w:sz w:val="22"/>
        </w:rPr>
        <w:t>Re</w:t>
      </w:r>
      <w:r>
        <w:rPr/>
        <w:t>——雷诺数，无量纲； </w:t>
      </w:r>
    </w:p>
    <w:p>
      <w:pPr>
        <w:pStyle w:val="BodyText"/>
        <w:rPr>
          <w:sz w:val="17"/>
        </w:rPr>
      </w:pPr>
    </w:p>
    <w:p>
      <w:pPr>
        <w:pStyle w:val="BodyText"/>
        <w:ind w:left="838"/>
      </w:pPr>
      <w:r>
        <w:rPr>
          <w:i/>
          <w:sz w:val="22"/>
        </w:rPr>
        <w:t>μ</w:t>
      </w:r>
      <w:r>
        <w:rPr/>
        <w:t>——水的动力黏滞系数（Pa/s）；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BodyText"/>
        <w:spacing w:line="424" w:lineRule="auto" w:before="71"/>
        <w:ind w:left="838" w:right="6445"/>
      </w:pPr>
      <w:r>
        <w:rPr>
          <w:i/>
          <w:sz w:val="22"/>
        </w:rPr>
        <w:t>v</w:t>
      </w:r>
      <w:r>
        <w:rPr/>
        <w:t>——水的运动黏滞系数（Pa/s）； </w:t>
      </w:r>
      <w:r>
        <w:rPr>
          <w:i/>
          <w:sz w:val="22"/>
        </w:rPr>
        <w:t>T</w:t>
      </w:r>
      <w:r>
        <w:rPr/>
        <w:t>——水的温度，宜取 10℃。 </w:t>
      </w:r>
    </w:p>
    <w:p>
      <w:pPr>
        <w:pStyle w:val="BodyText"/>
        <w:spacing w:before="12"/>
        <w:ind w:left="418"/>
      </w:pPr>
      <w:r>
        <w:rPr>
          <w:w w:val="100"/>
        </w:rPr>
        <w:t>   </w:t>
      </w:r>
      <w:r>
        <w:rPr/>
        <w:t>（2）内衬水泥砂浆球墨铸铁管可按下列公式计算：    </w:t>
      </w:r>
    </w:p>
    <w:p>
      <w:pPr>
        <w:pStyle w:val="BodyText"/>
        <w:rPr>
          <w:sz w:val="20"/>
        </w:rPr>
      </w:pPr>
    </w:p>
    <w:p>
      <w:pPr>
        <w:pStyle w:val="BodyText"/>
        <w:spacing w:before="8"/>
        <w:rPr>
          <w:sz w:val="24"/>
        </w:rPr>
      </w:pPr>
      <w:r>
        <w:rPr/>
        <w:drawing>
          <wp:anchor distT="0" distB="0" distL="0" distR="0" allowOverlap="1" layoutInCell="1" locked="0" behindDoc="0" simplePos="0" relativeHeight="239">
            <wp:simplePos x="0" y="0"/>
            <wp:positionH relativeFrom="page">
              <wp:posOffset>1575640</wp:posOffset>
            </wp:positionH>
            <wp:positionV relativeFrom="paragraph">
              <wp:posOffset>225140</wp:posOffset>
            </wp:positionV>
            <wp:extent cx="3598529" cy="1762125"/>
            <wp:effectExtent l="0" t="0" r="0" b="0"/>
            <wp:wrapTopAndBottom/>
            <wp:docPr id="563" name="image324.jpeg"/>
            <wp:cNvGraphicFramePr>
              <a:graphicFrameLocks noChangeAspect="1"/>
            </wp:cNvGraphicFramePr>
            <a:graphic>
              <a:graphicData uri="http://schemas.openxmlformats.org/drawingml/2006/picture">
                <pic:pic>
                  <pic:nvPicPr>
                    <pic:cNvPr id="564" name="image324.jpeg"/>
                    <pic:cNvPicPr/>
                  </pic:nvPicPr>
                  <pic:blipFill>
                    <a:blip r:embed="rId393" cstate="print"/>
                    <a:stretch>
                      <a:fillRect/>
                    </a:stretch>
                  </pic:blipFill>
                  <pic:spPr>
                    <a:xfrm>
                      <a:off x="0" y="0"/>
                      <a:ext cx="3598529" cy="1762125"/>
                    </a:xfrm>
                    <a:prstGeom prst="rect">
                      <a:avLst/>
                    </a:prstGeom>
                  </pic:spPr>
                </pic:pic>
              </a:graphicData>
            </a:graphic>
          </wp:anchor>
        </w:drawing>
      </w:r>
    </w:p>
    <w:p>
      <w:pPr>
        <w:pStyle w:val="BodyText"/>
        <w:spacing w:before="156" w:after="39"/>
        <w:ind w:left="418"/>
      </w:pPr>
      <w:r>
        <w:rPr/>
        <w:t>（3）室内外输配水管道可按下式计算： </w:t>
      </w:r>
    </w:p>
    <w:p>
      <w:pPr>
        <w:pStyle w:val="BodyText"/>
        <w:ind w:left="1663"/>
        <w:rPr>
          <w:sz w:val="20"/>
        </w:rPr>
      </w:pPr>
      <w:r>
        <w:rPr>
          <w:sz w:val="20"/>
        </w:rPr>
        <w:drawing>
          <wp:inline distT="0" distB="0" distL="0" distR="0">
            <wp:extent cx="3728114" cy="762000"/>
            <wp:effectExtent l="0" t="0" r="0" b="0"/>
            <wp:docPr id="565" name="image325.jpeg"/>
            <wp:cNvGraphicFramePr>
              <a:graphicFrameLocks noChangeAspect="1"/>
            </wp:cNvGraphicFramePr>
            <a:graphic>
              <a:graphicData uri="http://schemas.openxmlformats.org/drawingml/2006/picture">
                <pic:pic>
                  <pic:nvPicPr>
                    <pic:cNvPr id="566" name="image325.jpeg"/>
                    <pic:cNvPicPr/>
                  </pic:nvPicPr>
                  <pic:blipFill>
                    <a:blip r:embed="rId394" cstate="print"/>
                    <a:stretch>
                      <a:fillRect/>
                    </a:stretch>
                  </pic:blipFill>
                  <pic:spPr>
                    <a:xfrm>
                      <a:off x="0" y="0"/>
                      <a:ext cx="3728114" cy="762000"/>
                    </a:xfrm>
                    <a:prstGeom prst="rect">
                      <a:avLst/>
                    </a:prstGeom>
                  </pic:spPr>
                </pic:pic>
              </a:graphicData>
            </a:graphic>
          </wp:inline>
        </w:drawing>
      </w:r>
      <w:r>
        <w:rPr>
          <w:sz w:val="20"/>
        </w:rPr>
      </w:r>
    </w:p>
    <w:p>
      <w:pPr>
        <w:pStyle w:val="BodyText"/>
        <w:rPr>
          <w:sz w:val="20"/>
        </w:rPr>
      </w:pPr>
    </w:p>
    <w:p>
      <w:pPr>
        <w:pStyle w:val="BodyText"/>
        <w:rPr>
          <w:sz w:val="20"/>
        </w:rPr>
      </w:pPr>
    </w:p>
    <w:p>
      <w:pPr>
        <w:pStyle w:val="Heading6"/>
        <w:spacing w:before="170"/>
        <w:ind w:left="2729"/>
      </w:pPr>
      <w:r>
        <w:rPr/>
        <w:t>表 10.1.2 各种管道水头损失计算参数</w:t>
      </w:r>
      <w:r>
        <w:rPr>
          <w:i/>
          <w:sz w:val="22"/>
        </w:rPr>
        <w:t>ε</w:t>
      </w:r>
      <w:r>
        <w:rPr/>
        <w:t>、</w:t>
      </w:r>
      <w:r>
        <w:rPr>
          <w:i/>
          <w:sz w:val="22"/>
        </w:rPr>
        <w:t>nε</w:t>
      </w:r>
      <w:r>
        <w:rPr/>
        <w:t>、</w:t>
      </w:r>
      <w:r>
        <w:rPr>
          <w:i/>
          <w:sz w:val="22"/>
        </w:rPr>
        <w:t>C</w:t>
      </w:r>
      <w:r>
        <w:rPr>
          <w:w w:val="99"/>
        </w:rPr>
        <w:t> </w:t>
      </w:r>
    </w:p>
    <w:p>
      <w:pPr>
        <w:pStyle w:val="BodyText"/>
        <w:spacing w:before="2"/>
        <w:rPr>
          <w:b/>
          <w:sz w:val="27"/>
        </w:rPr>
      </w:pPr>
      <w:r>
        <w:rPr/>
        <w:drawing>
          <wp:anchor distT="0" distB="0" distL="0" distR="0" allowOverlap="1" layoutInCell="1" locked="0" behindDoc="0" simplePos="0" relativeHeight="240">
            <wp:simplePos x="0" y="0"/>
            <wp:positionH relativeFrom="page">
              <wp:posOffset>1791970</wp:posOffset>
            </wp:positionH>
            <wp:positionV relativeFrom="paragraph">
              <wp:posOffset>246141</wp:posOffset>
            </wp:positionV>
            <wp:extent cx="4072198" cy="1885950"/>
            <wp:effectExtent l="0" t="0" r="0" b="0"/>
            <wp:wrapTopAndBottom/>
            <wp:docPr id="567" name="image326.jpeg"/>
            <wp:cNvGraphicFramePr>
              <a:graphicFrameLocks noChangeAspect="1"/>
            </wp:cNvGraphicFramePr>
            <a:graphic>
              <a:graphicData uri="http://schemas.openxmlformats.org/drawingml/2006/picture">
                <pic:pic>
                  <pic:nvPicPr>
                    <pic:cNvPr id="568" name="image326.jpeg"/>
                    <pic:cNvPicPr/>
                  </pic:nvPicPr>
                  <pic:blipFill>
                    <a:blip r:embed="rId395" cstate="print"/>
                    <a:stretch>
                      <a:fillRect/>
                    </a:stretch>
                  </pic:blipFill>
                  <pic:spPr>
                    <a:xfrm>
                      <a:off x="0" y="0"/>
                      <a:ext cx="4072198" cy="1885950"/>
                    </a:xfrm>
                    <a:prstGeom prst="rect">
                      <a:avLst/>
                    </a:prstGeom>
                  </pic:spPr>
                </pic:pic>
              </a:graphicData>
            </a:graphic>
          </wp:anchor>
        </w:drawing>
      </w:r>
    </w:p>
    <w:p>
      <w:pPr>
        <w:spacing w:after="0"/>
        <w:rPr>
          <w:sz w:val="27"/>
        </w:rPr>
        <w:sectPr>
          <w:pgSz w:w="11910" w:h="16850"/>
          <w:pgMar w:header="0" w:footer="1239" w:top="1200" w:bottom="1420" w:left="1260" w:right="0"/>
        </w:sectPr>
      </w:pPr>
    </w:p>
    <w:p>
      <w:pPr>
        <w:pStyle w:val="ListParagraph"/>
        <w:numPr>
          <w:ilvl w:val="2"/>
          <w:numId w:val="753"/>
        </w:numPr>
        <w:tabs>
          <w:tab w:pos="1530" w:val="left" w:leader="none"/>
        </w:tabs>
        <w:spacing w:line="240" w:lineRule="auto" w:before="47" w:after="0"/>
        <w:ind w:left="1529" w:right="0" w:hanging="690"/>
        <w:jc w:val="left"/>
        <w:rPr>
          <w:sz w:val="21"/>
        </w:rPr>
      </w:pPr>
      <w:r>
        <w:rPr>
          <w:spacing w:val="-3"/>
          <w:sz w:val="21"/>
        </w:rPr>
        <w:t>管道速度压力可按下式计算：</w:t>
      </w:r>
      <w:r>
        <w:rPr>
          <w:sz w:val="21"/>
        </w:rPr>
        <w:t> </w:t>
      </w:r>
    </w:p>
    <w:p>
      <w:pPr>
        <w:pStyle w:val="BodyText"/>
        <w:spacing w:before="12"/>
        <w:rPr>
          <w:sz w:val="19"/>
        </w:rPr>
      </w:pPr>
      <w:r>
        <w:rPr/>
        <w:drawing>
          <wp:anchor distT="0" distB="0" distL="0" distR="0" allowOverlap="1" layoutInCell="1" locked="0" behindDoc="0" simplePos="0" relativeHeight="241">
            <wp:simplePos x="0" y="0"/>
            <wp:positionH relativeFrom="page">
              <wp:posOffset>1532255</wp:posOffset>
            </wp:positionH>
            <wp:positionV relativeFrom="paragraph">
              <wp:posOffset>187412</wp:posOffset>
            </wp:positionV>
            <wp:extent cx="4561840" cy="838200"/>
            <wp:effectExtent l="0" t="0" r="0" b="0"/>
            <wp:wrapTopAndBottom/>
            <wp:docPr id="569" name="image327.jpeg"/>
            <wp:cNvGraphicFramePr>
              <a:graphicFrameLocks noChangeAspect="1"/>
            </wp:cNvGraphicFramePr>
            <a:graphic>
              <a:graphicData uri="http://schemas.openxmlformats.org/drawingml/2006/picture">
                <pic:pic>
                  <pic:nvPicPr>
                    <pic:cNvPr id="570" name="image327.jpeg"/>
                    <pic:cNvPicPr/>
                  </pic:nvPicPr>
                  <pic:blipFill>
                    <a:blip r:embed="rId396" cstate="print"/>
                    <a:stretch>
                      <a:fillRect/>
                    </a:stretch>
                  </pic:blipFill>
                  <pic:spPr>
                    <a:xfrm>
                      <a:off x="0" y="0"/>
                      <a:ext cx="4561840" cy="838200"/>
                    </a:xfrm>
                    <a:prstGeom prst="rect">
                      <a:avLst/>
                    </a:prstGeom>
                  </pic:spPr>
                </pic:pic>
              </a:graphicData>
            </a:graphic>
          </wp:anchor>
        </w:drawing>
      </w:r>
    </w:p>
    <w:p>
      <w:pPr>
        <w:pStyle w:val="BodyText"/>
        <w:rPr>
          <w:sz w:val="15"/>
        </w:rPr>
      </w:pPr>
    </w:p>
    <w:p>
      <w:pPr>
        <w:pStyle w:val="ListParagraph"/>
        <w:numPr>
          <w:ilvl w:val="2"/>
          <w:numId w:val="753"/>
        </w:numPr>
        <w:tabs>
          <w:tab w:pos="1527" w:val="left" w:leader="none"/>
        </w:tabs>
        <w:spacing w:line="240" w:lineRule="auto" w:before="0" w:after="0"/>
        <w:ind w:left="1526" w:right="0" w:hanging="689"/>
        <w:jc w:val="left"/>
        <w:rPr>
          <w:sz w:val="21"/>
        </w:rPr>
      </w:pPr>
      <w:r>
        <w:rPr>
          <w:spacing w:val="-3"/>
          <w:sz w:val="21"/>
        </w:rPr>
        <w:t>管道压力可按下式计算：</w:t>
      </w:r>
      <w:r>
        <w:rPr>
          <w:sz w:val="21"/>
        </w:rPr>
        <w:t> </w:t>
      </w:r>
    </w:p>
    <w:p>
      <w:pPr>
        <w:pStyle w:val="BodyText"/>
        <w:spacing w:before="2"/>
        <w:rPr>
          <w:sz w:val="17"/>
        </w:rPr>
      </w:pPr>
    </w:p>
    <w:p>
      <w:pPr>
        <w:spacing w:before="0"/>
        <w:ind w:left="3377" w:right="0" w:firstLine="0"/>
        <w:jc w:val="left"/>
        <w:rPr>
          <w:sz w:val="21"/>
        </w:rPr>
      </w:pPr>
      <w:r>
        <w:rPr>
          <w:i/>
          <w:position w:val="1"/>
          <w:sz w:val="22"/>
        </w:rPr>
        <w:t>P</w:t>
      </w:r>
      <w:r>
        <w:rPr>
          <w:sz w:val="11"/>
        </w:rPr>
        <w:t>n＝</w:t>
      </w:r>
      <w:r>
        <w:rPr>
          <w:i/>
          <w:position w:val="1"/>
          <w:sz w:val="22"/>
        </w:rPr>
        <w:t>P</w:t>
      </w:r>
      <w:r>
        <w:rPr>
          <w:sz w:val="11"/>
        </w:rPr>
        <w:t>t－</w:t>
      </w:r>
      <w:r>
        <w:rPr>
          <w:i/>
          <w:position w:val="1"/>
          <w:sz w:val="22"/>
        </w:rPr>
        <w:t>P</w:t>
      </w:r>
      <w:r>
        <w:rPr>
          <w:sz w:val="11"/>
        </w:rPr>
        <w:t>v </w:t>
      </w:r>
      <w:r>
        <w:rPr>
          <w:position w:val="1"/>
          <w:sz w:val="21"/>
        </w:rPr>
        <w:t>（10.1.4） </w:t>
      </w:r>
    </w:p>
    <w:p>
      <w:pPr>
        <w:pStyle w:val="BodyText"/>
        <w:spacing w:before="2"/>
        <w:rPr>
          <w:sz w:val="17"/>
        </w:rPr>
      </w:pPr>
    </w:p>
    <w:p>
      <w:pPr>
        <w:pStyle w:val="BodyText"/>
        <w:ind w:left="838"/>
      </w:pPr>
      <w:r>
        <w:rPr>
          <w:position w:val="1"/>
        </w:rPr>
        <w:t>式中：</w:t>
      </w:r>
      <w:r>
        <w:rPr>
          <w:i/>
          <w:position w:val="1"/>
          <w:sz w:val="22"/>
        </w:rPr>
        <w:t>P</w:t>
      </w:r>
      <w:r>
        <w:rPr>
          <w:sz w:val="11"/>
        </w:rPr>
        <w:t>n</w:t>
      </w:r>
      <w:r>
        <w:rPr>
          <w:position w:val="1"/>
        </w:rPr>
        <w:t>——管道某一点处压力（MPa）； </w:t>
      </w:r>
    </w:p>
    <w:p>
      <w:pPr>
        <w:pStyle w:val="BodyText"/>
        <w:rPr>
          <w:sz w:val="17"/>
        </w:rPr>
      </w:pPr>
    </w:p>
    <w:p>
      <w:pPr>
        <w:pStyle w:val="BodyText"/>
        <w:ind w:left="838"/>
      </w:pPr>
      <w:r>
        <w:rPr>
          <w:i/>
          <w:position w:val="1"/>
          <w:sz w:val="22"/>
        </w:rPr>
        <w:t>P</w:t>
      </w:r>
      <w:r>
        <w:rPr>
          <w:sz w:val="11"/>
        </w:rPr>
        <w:t>t</w:t>
      </w:r>
      <w:r>
        <w:rPr>
          <w:position w:val="1"/>
        </w:rPr>
        <w:t>——管道某一点处总压力（MPa）。 </w:t>
      </w:r>
    </w:p>
    <w:p>
      <w:pPr>
        <w:pStyle w:val="BodyText"/>
        <w:spacing w:before="10"/>
        <w:rPr>
          <w:sz w:val="17"/>
        </w:rPr>
      </w:pPr>
    </w:p>
    <w:p>
      <w:pPr>
        <w:pStyle w:val="ListParagraph"/>
        <w:numPr>
          <w:ilvl w:val="2"/>
          <w:numId w:val="753"/>
        </w:numPr>
        <w:tabs>
          <w:tab w:pos="1530" w:val="left" w:leader="none"/>
        </w:tabs>
        <w:spacing w:line="240" w:lineRule="auto" w:before="0" w:after="0"/>
        <w:ind w:left="1529" w:right="0" w:hanging="690"/>
        <w:jc w:val="left"/>
        <w:rPr>
          <w:sz w:val="21"/>
        </w:rPr>
      </w:pPr>
      <w:r>
        <w:rPr>
          <w:spacing w:val="-3"/>
          <w:sz w:val="21"/>
        </w:rPr>
        <w:t>管道沿程水头损失宜按下式计算：</w:t>
      </w:r>
      <w:r>
        <w:rPr>
          <w:sz w:val="21"/>
        </w:rPr>
        <w:t> </w:t>
      </w:r>
    </w:p>
    <w:p>
      <w:pPr>
        <w:pStyle w:val="BodyText"/>
        <w:spacing w:before="4"/>
        <w:rPr>
          <w:sz w:val="17"/>
        </w:rPr>
      </w:pPr>
    </w:p>
    <w:p>
      <w:pPr>
        <w:spacing w:before="0"/>
        <w:ind w:left="3408" w:right="0" w:firstLine="0"/>
        <w:jc w:val="left"/>
        <w:rPr>
          <w:sz w:val="21"/>
        </w:rPr>
      </w:pPr>
      <w:r>
        <w:rPr>
          <w:i/>
          <w:position w:val="1"/>
          <w:sz w:val="22"/>
        </w:rPr>
        <w:t>P</w:t>
      </w:r>
      <w:r>
        <w:rPr>
          <w:sz w:val="11"/>
        </w:rPr>
        <w:t>f</w:t>
      </w:r>
      <w:r>
        <w:rPr>
          <w:position w:val="1"/>
          <w:sz w:val="21"/>
        </w:rPr>
        <w:t>＝</w:t>
      </w:r>
      <w:r>
        <w:rPr>
          <w:i/>
          <w:position w:val="1"/>
          <w:sz w:val="22"/>
        </w:rPr>
        <w:t>iL</w:t>
      </w:r>
      <w:r>
        <w:rPr>
          <w:i/>
          <w:sz w:val="22"/>
        </w:rPr>
        <w:t> </w:t>
      </w:r>
      <w:r>
        <w:rPr>
          <w:position w:val="1"/>
          <w:sz w:val="21"/>
        </w:rPr>
        <w:t>（10.1.5） </w:t>
      </w:r>
    </w:p>
    <w:p>
      <w:pPr>
        <w:pStyle w:val="BodyText"/>
        <w:rPr>
          <w:sz w:val="17"/>
        </w:rPr>
      </w:pPr>
    </w:p>
    <w:p>
      <w:pPr>
        <w:pStyle w:val="BodyText"/>
        <w:ind w:left="838"/>
      </w:pPr>
      <w:r>
        <w:rPr>
          <w:position w:val="1"/>
        </w:rPr>
        <w:t>式中：</w:t>
      </w:r>
      <w:r>
        <w:rPr>
          <w:i/>
          <w:position w:val="1"/>
          <w:sz w:val="22"/>
        </w:rPr>
        <w:t>P</w:t>
      </w:r>
      <w:r>
        <w:rPr>
          <w:sz w:val="11"/>
        </w:rPr>
        <w:t>f</w:t>
      </w:r>
      <w:r>
        <w:rPr>
          <w:position w:val="1"/>
        </w:rPr>
        <w:t>——管道沿程水头损失（MPa）； </w:t>
      </w:r>
    </w:p>
    <w:p>
      <w:pPr>
        <w:pStyle w:val="BodyText"/>
        <w:rPr>
          <w:sz w:val="17"/>
        </w:rPr>
      </w:pPr>
    </w:p>
    <w:p>
      <w:pPr>
        <w:pStyle w:val="BodyText"/>
        <w:ind w:left="838"/>
      </w:pPr>
      <w:r>
        <w:rPr>
          <w:i/>
          <w:sz w:val="22"/>
        </w:rPr>
        <w:t>L</w:t>
      </w:r>
      <w:r>
        <w:rPr/>
        <w:t>——管道直线段的长度（m）。 </w:t>
      </w:r>
    </w:p>
    <w:p>
      <w:pPr>
        <w:pStyle w:val="BodyText"/>
        <w:spacing w:before="11"/>
        <w:rPr>
          <w:sz w:val="17"/>
        </w:rPr>
      </w:pPr>
    </w:p>
    <w:p>
      <w:pPr>
        <w:pStyle w:val="ListParagraph"/>
        <w:numPr>
          <w:ilvl w:val="2"/>
          <w:numId w:val="753"/>
        </w:numPr>
        <w:tabs>
          <w:tab w:pos="1527" w:val="left" w:leader="none"/>
        </w:tabs>
        <w:spacing w:line="446" w:lineRule="auto" w:before="1" w:after="0"/>
        <w:ind w:left="418" w:right="1508" w:firstLine="419"/>
        <w:jc w:val="both"/>
        <w:rPr>
          <w:sz w:val="21"/>
        </w:rPr>
      </w:pPr>
      <w:r>
        <w:rPr/>
        <w:drawing>
          <wp:anchor distT="0" distB="0" distL="0" distR="0" allowOverlap="1" layoutInCell="1" locked="0" behindDoc="1" simplePos="0" relativeHeight="215881728">
            <wp:simplePos x="0" y="0"/>
            <wp:positionH relativeFrom="page">
              <wp:posOffset>1437005</wp:posOffset>
            </wp:positionH>
            <wp:positionV relativeFrom="paragraph">
              <wp:posOffset>855345</wp:posOffset>
            </wp:positionV>
            <wp:extent cx="5058410" cy="814705"/>
            <wp:effectExtent l="0" t="0" r="0" b="0"/>
            <wp:wrapNone/>
            <wp:docPr id="571" name="image328.jpeg"/>
            <wp:cNvGraphicFramePr>
              <a:graphicFrameLocks noChangeAspect="1"/>
            </wp:cNvGraphicFramePr>
            <a:graphic>
              <a:graphicData uri="http://schemas.openxmlformats.org/drawingml/2006/picture">
                <pic:pic>
                  <pic:nvPicPr>
                    <pic:cNvPr id="572" name="image328.jpeg"/>
                    <pic:cNvPicPr/>
                  </pic:nvPicPr>
                  <pic:blipFill>
                    <a:blip r:embed="rId397" cstate="print"/>
                    <a:stretch>
                      <a:fillRect/>
                    </a:stretch>
                  </pic:blipFill>
                  <pic:spPr>
                    <a:xfrm>
                      <a:off x="0" y="0"/>
                      <a:ext cx="5058410" cy="814705"/>
                    </a:xfrm>
                    <a:prstGeom prst="rect">
                      <a:avLst/>
                    </a:prstGeom>
                  </pic:spPr>
                </pic:pic>
              </a:graphicData>
            </a:graphic>
          </wp:anchor>
        </w:drawing>
      </w:r>
      <w:r>
        <w:rPr>
          <w:spacing w:val="-3"/>
          <w:sz w:val="21"/>
        </w:rPr>
        <w:t>管道局部水头损失宜按下式计算。当资料不全时，局部水头损失可按根据管道沿程</w:t>
      </w:r>
      <w:r>
        <w:rPr>
          <w:spacing w:val="-10"/>
          <w:sz w:val="21"/>
        </w:rPr>
        <w:t>水头损失的 </w:t>
      </w:r>
      <w:r>
        <w:rPr>
          <w:sz w:val="21"/>
        </w:rPr>
        <w:t>10%～30</w:t>
      </w:r>
      <w:r>
        <w:rPr>
          <w:spacing w:val="-5"/>
          <w:sz w:val="21"/>
        </w:rPr>
        <w:t>%估算，消防给水干管和室内消火栓可按 </w:t>
      </w:r>
      <w:r>
        <w:rPr>
          <w:sz w:val="21"/>
        </w:rPr>
        <w:t>10%～20</w:t>
      </w:r>
      <w:r>
        <w:rPr>
          <w:spacing w:val="-3"/>
          <w:sz w:val="21"/>
        </w:rPr>
        <w:t>%计，自动喷水等支管较多</w:t>
      </w:r>
      <w:r>
        <w:rPr>
          <w:spacing w:val="-15"/>
          <w:sz w:val="21"/>
        </w:rPr>
        <w:t>时可按 </w:t>
      </w:r>
      <w:r>
        <w:rPr>
          <w:sz w:val="21"/>
        </w:rPr>
        <w:t>30</w:t>
      </w:r>
      <w:r>
        <w:rPr>
          <w:spacing w:val="-1"/>
          <w:sz w:val="21"/>
        </w:rPr>
        <w:t>%计。</w:t>
      </w:r>
      <w:r>
        <w:rPr>
          <w:sz w:val="21"/>
        </w:rPr>
        <w:t> </w:t>
      </w:r>
    </w:p>
    <w:p>
      <w:pPr>
        <w:spacing w:after="0" w:line="446" w:lineRule="auto"/>
        <w:jc w:val="both"/>
        <w:rPr>
          <w:sz w:val="21"/>
        </w:rPr>
        <w:sectPr>
          <w:pgSz w:w="11910" w:h="16850"/>
          <w:pgMar w:header="0" w:footer="1239" w:top="1220" w:bottom="1420" w:left="1260" w:right="0"/>
        </w:sectPr>
      </w:pPr>
    </w:p>
    <w:p>
      <w:pPr>
        <w:pStyle w:val="Heading6"/>
        <w:spacing w:before="47"/>
        <w:ind w:left="3202"/>
      </w:pPr>
      <w:r>
        <w:rPr/>
        <w:t>表 10.1.6-1 管件和阀门当量长度（m）</w:t>
      </w:r>
      <w:r>
        <w:rPr>
          <w:w w:val="99"/>
        </w:rPr>
        <w:t> </w:t>
      </w:r>
    </w:p>
    <w:p>
      <w:pPr>
        <w:pStyle w:val="BodyText"/>
        <w:spacing w:before="5"/>
        <w:rPr>
          <w:b/>
          <w:sz w:val="25"/>
        </w:rPr>
      </w:pPr>
      <w:r>
        <w:rPr/>
        <w:pict>
          <v:group style="position:absolute;margin-left:87.650002pt;margin-top:18.256874pt;width:428.3pt;height:397.55pt;mso-position-horizontal-relative:page;mso-position-vertical-relative:paragraph;z-index:-251409408;mso-wrap-distance-left:0;mso-wrap-distance-right:0" coordorigin="1753,365" coordsize="8566,7951">
            <v:shape style="position:absolute;left:1753;top:2975;width:8565;height:5341" type="#_x0000_t75" stroked="false">
              <v:imagedata r:id="rId398" o:title=""/>
            </v:shape>
            <v:shape style="position:absolute;left:1754;top:365;width:8565;height:2685" type="#_x0000_t75" stroked="false">
              <v:imagedata r:id="rId399" o:title=""/>
            </v:shape>
            <w10:wrap type="topAndBottom"/>
          </v:group>
        </w:pict>
      </w:r>
    </w:p>
    <w:p>
      <w:pPr>
        <w:pStyle w:val="BodyText"/>
        <w:spacing w:before="2"/>
        <w:rPr>
          <w:b/>
          <w:sz w:val="15"/>
        </w:rPr>
      </w:pPr>
    </w:p>
    <w:p>
      <w:pPr>
        <w:pStyle w:val="BodyText"/>
        <w:ind w:left="840"/>
      </w:pPr>
      <w:r>
        <w:rPr/>
        <w:t>注：1.当异径接头的出口直径不变而入口直径提高 Ⅰ级时，其当量长度应增大 0.5 倍；提</w:t>
      </w:r>
    </w:p>
    <w:p>
      <w:pPr>
        <w:pStyle w:val="BodyText"/>
        <w:spacing w:before="12"/>
        <w:rPr>
          <w:sz w:val="17"/>
        </w:rPr>
      </w:pPr>
    </w:p>
    <w:p>
      <w:pPr>
        <w:pStyle w:val="BodyText"/>
        <w:ind w:left="418"/>
      </w:pPr>
      <w:r>
        <w:rPr/>
        <w:t>高 2 级或 2 级以上时，其当量长度应增加 1.0 倍； </w:t>
      </w:r>
    </w:p>
    <w:p>
      <w:pPr>
        <w:pStyle w:val="BodyText"/>
        <w:rPr>
          <w:sz w:val="18"/>
        </w:rPr>
      </w:pPr>
    </w:p>
    <w:p>
      <w:pPr>
        <w:pStyle w:val="BodyText"/>
        <w:spacing w:line="446" w:lineRule="auto"/>
        <w:ind w:left="418" w:right="1505" w:firstLine="419"/>
      </w:pPr>
      <w:r>
        <w:rPr>
          <w:w w:val="100"/>
        </w:rPr>
        <w:t> </w:t>
      </w:r>
      <w:r>
        <w:rPr/>
        <w:t>2.</w:t>
      </w:r>
      <w:r>
        <w:rPr>
          <w:spacing w:val="-6"/>
        </w:rPr>
        <w:t>表中当量长度是在海澄威廉系数 </w:t>
      </w:r>
      <w:r>
        <w:rPr/>
        <w:t>C=120</w:t>
      </w:r>
      <w:r>
        <w:rPr>
          <w:spacing w:val="-8"/>
        </w:rPr>
        <w:t> 的条件下测得，当选择的管材不同时，当量长度</w:t>
      </w:r>
      <w:r>
        <w:rPr>
          <w:spacing w:val="-5"/>
        </w:rPr>
        <w:t>应根据下列系数作调整：</w:t>
      </w:r>
      <w:r>
        <w:rPr/>
        <w:t> </w:t>
      </w:r>
    </w:p>
    <w:p>
      <w:pPr>
        <w:pStyle w:val="BodyText"/>
        <w:spacing w:line="269" w:lineRule="exact"/>
        <w:ind w:left="838"/>
      </w:pPr>
      <w:r>
        <w:rPr>
          <w:position w:val="1"/>
        </w:rPr>
        <w:t>C=100，k</w:t>
      </w:r>
      <w:r>
        <w:rPr>
          <w:sz w:val="11"/>
        </w:rPr>
        <w:t>1</w:t>
      </w:r>
      <w:r>
        <w:rPr>
          <w:position w:val="1"/>
        </w:rPr>
        <w:t>=0.713；C=120，k</w:t>
      </w:r>
      <w:r>
        <w:rPr>
          <w:sz w:val="11"/>
        </w:rPr>
        <w:t>1</w:t>
      </w:r>
      <w:r>
        <w:rPr>
          <w:position w:val="1"/>
        </w:rPr>
        <w:t>=1.0；C=130，k</w:t>
      </w:r>
      <w:r>
        <w:rPr>
          <w:sz w:val="11"/>
        </w:rPr>
        <w:t>1</w:t>
      </w:r>
      <w:r>
        <w:rPr>
          <w:position w:val="1"/>
        </w:rPr>
        <w:t>=1.16；C=140，k</w:t>
      </w:r>
      <w:r>
        <w:rPr>
          <w:sz w:val="11"/>
        </w:rPr>
        <w:t>1</w:t>
      </w:r>
      <w:r>
        <w:rPr>
          <w:position w:val="1"/>
        </w:rPr>
        <w:t>=1.33；C=150，k</w:t>
      </w:r>
      <w:r>
        <w:rPr>
          <w:sz w:val="11"/>
        </w:rPr>
        <w:t>1</w:t>
      </w:r>
      <w:r>
        <w:rPr>
          <w:position w:val="1"/>
        </w:rPr>
        <w:t>=1.51； </w:t>
      </w:r>
    </w:p>
    <w:p>
      <w:pPr>
        <w:pStyle w:val="BodyText"/>
        <w:rPr>
          <w:sz w:val="18"/>
        </w:rPr>
      </w:pPr>
    </w:p>
    <w:p>
      <w:pPr>
        <w:pStyle w:val="BodyText"/>
        <w:ind w:left="838"/>
      </w:pPr>
      <w:r>
        <w:rPr/>
        <w:t>3.表中没有提供管件和阀门当量长度时，可按 10.1.6-2 提供的参数经计算确定。 </w:t>
      </w:r>
    </w:p>
    <w:p>
      <w:pPr>
        <w:spacing w:after="0"/>
        <w:sectPr>
          <w:pgSz w:w="11910" w:h="16850"/>
          <w:pgMar w:header="0" w:footer="1239" w:top="1220" w:bottom="1420" w:left="1260" w:right="0"/>
        </w:sectPr>
      </w:pPr>
    </w:p>
    <w:p>
      <w:pPr>
        <w:pStyle w:val="Heading6"/>
        <w:spacing w:before="47"/>
        <w:ind w:left="2729"/>
        <w:rPr>
          <w:b w:val="0"/>
        </w:rPr>
      </w:pPr>
      <w:r>
        <w:rPr/>
        <w:t>表 10.1.6-2 各种管件和阀门的当量长度折算系数</w:t>
      </w:r>
      <w:r>
        <w:rPr>
          <w:b w:val="0"/>
          <w:w w:val="100"/>
        </w:rPr>
        <w:t> </w:t>
      </w:r>
    </w:p>
    <w:p>
      <w:pPr>
        <w:pStyle w:val="BodyText"/>
        <w:spacing w:before="5"/>
        <w:rPr>
          <w:sz w:val="18"/>
        </w:rPr>
      </w:pPr>
      <w:r>
        <w:rPr/>
        <w:drawing>
          <wp:anchor distT="0" distB="0" distL="0" distR="0" allowOverlap="1" layoutInCell="1" locked="0" behindDoc="0" simplePos="0" relativeHeight="244">
            <wp:simplePos x="0" y="0"/>
            <wp:positionH relativeFrom="page">
              <wp:posOffset>1227455</wp:posOffset>
            </wp:positionH>
            <wp:positionV relativeFrom="paragraph">
              <wp:posOffset>174712</wp:posOffset>
            </wp:positionV>
            <wp:extent cx="4838700" cy="2790825"/>
            <wp:effectExtent l="0" t="0" r="0" b="0"/>
            <wp:wrapTopAndBottom/>
            <wp:docPr id="573" name="image331.jpeg"/>
            <wp:cNvGraphicFramePr>
              <a:graphicFrameLocks noChangeAspect="1"/>
            </wp:cNvGraphicFramePr>
            <a:graphic>
              <a:graphicData uri="http://schemas.openxmlformats.org/drawingml/2006/picture">
                <pic:pic>
                  <pic:nvPicPr>
                    <pic:cNvPr id="574" name="image331.jpeg"/>
                    <pic:cNvPicPr/>
                  </pic:nvPicPr>
                  <pic:blipFill>
                    <a:blip r:embed="rId400" cstate="print"/>
                    <a:stretch>
                      <a:fillRect/>
                    </a:stretch>
                  </pic:blipFill>
                  <pic:spPr>
                    <a:xfrm>
                      <a:off x="0" y="0"/>
                      <a:ext cx="4838700" cy="2790825"/>
                    </a:xfrm>
                    <a:prstGeom prst="rect">
                      <a:avLst/>
                    </a:prstGeom>
                  </pic:spPr>
                </pic:pic>
              </a:graphicData>
            </a:graphic>
          </wp:anchor>
        </w:drawing>
      </w:r>
    </w:p>
    <w:p>
      <w:pPr>
        <w:pStyle w:val="ListParagraph"/>
        <w:numPr>
          <w:ilvl w:val="2"/>
          <w:numId w:val="753"/>
        </w:numPr>
        <w:tabs>
          <w:tab w:pos="1530" w:val="left" w:leader="none"/>
        </w:tabs>
        <w:spacing w:line="240" w:lineRule="auto" w:before="179" w:after="38"/>
        <w:ind w:left="1529" w:right="0" w:hanging="690"/>
        <w:jc w:val="left"/>
        <w:rPr>
          <w:sz w:val="21"/>
        </w:rPr>
      </w:pPr>
      <w:r>
        <w:rPr>
          <w:spacing w:val="-3"/>
          <w:sz w:val="21"/>
        </w:rPr>
        <w:t>消防水泵或消防给水所需要的设计扬程或设计压力，宜按下式计算： </w:t>
      </w:r>
    </w:p>
    <w:p>
      <w:pPr>
        <w:pStyle w:val="BodyText"/>
        <w:ind w:left="1872"/>
        <w:rPr>
          <w:sz w:val="20"/>
        </w:rPr>
      </w:pPr>
      <w:r>
        <w:rPr>
          <w:sz w:val="20"/>
        </w:rPr>
        <w:drawing>
          <wp:inline distT="0" distB="0" distL="0" distR="0">
            <wp:extent cx="4257119" cy="253364"/>
            <wp:effectExtent l="0" t="0" r="0" b="0"/>
            <wp:docPr id="575" name="image332.jpeg"/>
            <wp:cNvGraphicFramePr>
              <a:graphicFrameLocks noChangeAspect="1"/>
            </wp:cNvGraphicFramePr>
            <a:graphic>
              <a:graphicData uri="http://schemas.openxmlformats.org/drawingml/2006/picture">
                <pic:pic>
                  <pic:nvPicPr>
                    <pic:cNvPr id="576" name="image332.jpeg"/>
                    <pic:cNvPicPr/>
                  </pic:nvPicPr>
                  <pic:blipFill>
                    <a:blip r:embed="rId401" cstate="print"/>
                    <a:stretch>
                      <a:fillRect/>
                    </a:stretch>
                  </pic:blipFill>
                  <pic:spPr>
                    <a:xfrm>
                      <a:off x="0" y="0"/>
                      <a:ext cx="4257119" cy="253364"/>
                    </a:xfrm>
                    <a:prstGeom prst="rect">
                      <a:avLst/>
                    </a:prstGeom>
                  </pic:spPr>
                </pic:pic>
              </a:graphicData>
            </a:graphic>
          </wp:inline>
        </w:drawing>
      </w:r>
      <w:r>
        <w:rPr>
          <w:sz w:val="20"/>
        </w:rPr>
      </w:r>
    </w:p>
    <w:p>
      <w:pPr>
        <w:pStyle w:val="BodyText"/>
        <w:rPr>
          <w:sz w:val="22"/>
        </w:rPr>
      </w:pPr>
    </w:p>
    <w:p>
      <w:pPr>
        <w:pStyle w:val="BodyText"/>
        <w:ind w:left="838"/>
      </w:pPr>
      <w:r>
        <w:rPr/>
        <w:t>式中：</w:t>
      </w:r>
      <w:r>
        <w:rPr>
          <w:i/>
          <w:sz w:val="22"/>
        </w:rPr>
        <w:t>P</w:t>
      </w:r>
      <w:r>
        <w:rPr/>
        <w:t>——消防水泵或消防给水系统所需要的设计扬程或设计压力(MPa)； </w:t>
      </w:r>
    </w:p>
    <w:p>
      <w:pPr>
        <w:pStyle w:val="BodyText"/>
        <w:spacing w:line="350" w:lineRule="auto" w:before="162"/>
        <w:ind w:left="418" w:right="1545" w:firstLine="419"/>
      </w:pPr>
      <w:r>
        <w:rPr>
          <w:i/>
          <w:position w:val="1"/>
          <w:sz w:val="22"/>
        </w:rPr>
        <w:t>k</w:t>
      </w:r>
      <w:r>
        <w:rPr>
          <w:sz w:val="11"/>
        </w:rPr>
        <w:t>2</w:t>
      </w:r>
      <w:r>
        <w:rPr>
          <w:position w:val="1"/>
        </w:rPr>
        <w:t>——安全系数，可取 1.20</w:t>
      </w:r>
      <w:r>
        <w:rPr>
          <w:rFonts w:ascii="微软雅黑" w:hAnsi="微软雅黑" w:eastAsia="微软雅黑" w:hint="eastAsia"/>
          <w:position w:val="1"/>
        </w:rPr>
        <w:t>〜</w:t>
      </w:r>
      <w:r>
        <w:rPr>
          <w:position w:val="1"/>
        </w:rPr>
        <w:t>1.40；宜根据管道的复杂程度和不可预见发生的管道变更所</w:t>
      </w:r>
      <w:r>
        <w:rPr/>
        <w:t>带来的不确定性； </w:t>
      </w:r>
    </w:p>
    <w:p>
      <w:pPr>
        <w:pStyle w:val="BodyText"/>
        <w:spacing w:line="441" w:lineRule="auto" w:before="98"/>
        <w:ind w:left="418" w:right="1450" w:firstLine="419"/>
        <w:jc w:val="both"/>
      </w:pPr>
      <w:r>
        <w:rPr>
          <w:w w:val="100"/>
        </w:rPr>
        <w:t> </w:t>
      </w:r>
      <w:r>
        <w:rPr>
          <w:i/>
          <w:sz w:val="22"/>
        </w:rPr>
        <w:t>H</w:t>
      </w:r>
      <w:r>
        <w:rPr>
          <w:spacing w:val="-3"/>
        </w:rPr>
        <w:t>——当消防水泵从消防水池吸水时</w:t>
      </w:r>
      <w:r>
        <w:rPr/>
        <w:t>，H</w:t>
      </w:r>
      <w:r>
        <w:rPr>
          <w:spacing w:val="-6"/>
        </w:rPr>
        <w:t> 为最低有效水位至最不利水灭火设施的几何高差； </w:t>
      </w:r>
      <w:r>
        <w:rPr>
          <w:spacing w:val="-4"/>
        </w:rPr>
        <w:t>当消防水泵从市政给水管网直接吸水时，</w:t>
      </w:r>
      <w:r>
        <w:rPr/>
        <w:t>H</w:t>
      </w:r>
      <w:r>
        <w:rPr>
          <w:spacing w:val="-5"/>
        </w:rPr>
        <w:t> 为火灾时市政给水管网在消防水泵入口处的设计压力</w:t>
      </w:r>
      <w:r>
        <w:rPr>
          <w:spacing w:val="-4"/>
        </w:rPr>
        <w:t>值的高程至最不利水灭火设施的几何高差</w:t>
      </w:r>
      <w:r>
        <w:rPr/>
        <w:t>（m)； </w:t>
      </w:r>
    </w:p>
    <w:p>
      <w:pPr>
        <w:pStyle w:val="BodyText"/>
        <w:spacing w:line="273" w:lineRule="exact"/>
        <w:ind w:left="838"/>
      </w:pPr>
      <w:r>
        <w:rPr>
          <w:i/>
          <w:position w:val="1"/>
          <w:sz w:val="22"/>
        </w:rPr>
        <w:t>P</w:t>
      </w:r>
      <w:r>
        <w:rPr>
          <w:sz w:val="11"/>
        </w:rPr>
        <w:t>0</w:t>
      </w:r>
      <w:r>
        <w:rPr>
          <w:position w:val="1"/>
        </w:rPr>
        <w:t>——最不利点水灭火设施所需的设计压力（MPa)。 </w:t>
      </w:r>
    </w:p>
    <w:p>
      <w:pPr>
        <w:pStyle w:val="BodyText"/>
        <w:rPr>
          <w:sz w:val="18"/>
        </w:rPr>
      </w:pPr>
    </w:p>
    <w:p>
      <w:pPr>
        <w:pStyle w:val="ListParagraph"/>
        <w:numPr>
          <w:ilvl w:val="2"/>
          <w:numId w:val="753"/>
        </w:numPr>
        <w:tabs>
          <w:tab w:pos="1530" w:val="left" w:leader="none"/>
        </w:tabs>
        <w:spacing w:line="446" w:lineRule="auto" w:before="0" w:after="0"/>
        <w:ind w:left="418" w:right="1549" w:firstLine="422"/>
        <w:jc w:val="left"/>
        <w:rPr>
          <w:sz w:val="21"/>
        </w:rPr>
      </w:pPr>
      <w:r>
        <w:rPr>
          <w:spacing w:val="-3"/>
          <w:sz w:val="21"/>
        </w:rPr>
        <w:t>市政给水管网直接向消防给水系统供水时，消防给水入户引入管的工作压力应根据市政供水公司确定值进行复核计算。</w:t>
      </w:r>
      <w:r>
        <w:rPr>
          <w:sz w:val="21"/>
        </w:rPr>
        <w:t> </w:t>
      </w:r>
    </w:p>
    <w:p>
      <w:pPr>
        <w:pStyle w:val="ListParagraph"/>
        <w:numPr>
          <w:ilvl w:val="2"/>
          <w:numId w:val="753"/>
        </w:numPr>
        <w:tabs>
          <w:tab w:pos="1530" w:val="left" w:leader="none"/>
        </w:tabs>
        <w:spacing w:line="267" w:lineRule="exact" w:before="0" w:after="0"/>
        <w:ind w:left="1529" w:right="0" w:hanging="690"/>
        <w:jc w:val="left"/>
        <w:rPr>
          <w:sz w:val="21"/>
        </w:rPr>
      </w:pPr>
      <w:r>
        <w:rPr>
          <w:spacing w:val="-3"/>
          <w:sz w:val="21"/>
        </w:rPr>
        <w:t>消火栓系统管网水力计算应符合下列规定：</w:t>
      </w:r>
      <w:r>
        <w:rPr>
          <w:sz w:val="21"/>
        </w:rPr>
        <w:t> </w:t>
      </w:r>
    </w:p>
    <w:p>
      <w:pPr>
        <w:pStyle w:val="BodyText"/>
        <w:spacing w:before="2"/>
        <w:rPr>
          <w:sz w:val="18"/>
        </w:rPr>
      </w:pPr>
    </w:p>
    <w:p>
      <w:pPr>
        <w:pStyle w:val="BodyText"/>
        <w:spacing w:line="446" w:lineRule="auto"/>
        <w:ind w:left="418" w:right="1609" w:firstLine="419"/>
      </w:pPr>
      <w:r>
        <w:rPr/>
        <w:t>室外消火栓系统的管网在水力计算时不应简化，应根据枝状或事故状态下环状管网进行水力计算； </w:t>
      </w:r>
    </w:p>
    <w:p>
      <w:pPr>
        <w:pStyle w:val="BodyText"/>
        <w:spacing w:line="267" w:lineRule="exact"/>
        <w:ind w:left="838"/>
      </w:pPr>
      <w:r>
        <w:rPr/>
        <w:t>室内消火栓系统管网在水力计算时，可简化为枝状管网。 </w:t>
      </w:r>
    </w:p>
    <w:p>
      <w:pPr>
        <w:pStyle w:val="BodyText"/>
        <w:spacing w:before="3"/>
        <w:rPr>
          <w:sz w:val="18"/>
        </w:rPr>
      </w:pPr>
    </w:p>
    <w:p>
      <w:pPr>
        <w:pStyle w:val="BodyText"/>
        <w:spacing w:line="446" w:lineRule="auto"/>
        <w:ind w:left="418" w:right="1608" w:firstLine="419"/>
        <w:jc w:val="both"/>
      </w:pPr>
      <w:r>
        <w:rPr>
          <w:spacing w:val="-6"/>
        </w:rPr>
        <w:t>室内消火栓系统的竖管流量应按本规范第 </w:t>
      </w:r>
      <w:r>
        <w:rPr/>
        <w:t>8.1.6</w:t>
      </w:r>
      <w:r>
        <w:rPr>
          <w:spacing w:val="-23"/>
        </w:rPr>
        <w:t> 条第 </w:t>
      </w:r>
      <w:r>
        <w:rPr/>
        <w:t>1</w:t>
      </w:r>
      <w:r>
        <w:rPr>
          <w:spacing w:val="-8"/>
        </w:rPr>
        <w:t> 款规定可关闭竖管数量最大时，剩</w:t>
      </w:r>
      <w:r>
        <w:rPr>
          <w:spacing w:val="-5"/>
        </w:rPr>
        <w:t>余一组最不利的竖管确定该组竖管中每根竖管平均分摊室内消火栓设计流量，且不应小于本规</w:t>
      </w:r>
      <w:r>
        <w:rPr>
          <w:spacing w:val="-20"/>
        </w:rPr>
        <w:t>范表 </w:t>
      </w:r>
      <w:r>
        <w:rPr/>
        <w:t>3.5.2</w:t>
      </w:r>
      <w:r>
        <w:rPr>
          <w:spacing w:val="-8"/>
        </w:rPr>
        <w:t> 规定的竖管流量。室内消火栓系统供水横干管的流量应为室内消火栓设计流量。 </w:t>
      </w:r>
    </w:p>
    <w:p>
      <w:pPr>
        <w:spacing w:after="0" w:line="446" w:lineRule="auto"/>
        <w:jc w:val="both"/>
        <w:sectPr>
          <w:pgSz w:w="11910" w:h="16850"/>
          <w:pgMar w:header="0" w:footer="1239" w:top="1220" w:bottom="1420" w:left="1260" w:right="0"/>
        </w:sectPr>
      </w:pPr>
    </w:p>
    <w:p>
      <w:pPr>
        <w:pStyle w:val="ListParagraph"/>
        <w:numPr>
          <w:ilvl w:val="1"/>
          <w:numId w:val="753"/>
        </w:numPr>
        <w:tabs>
          <w:tab w:pos="1264" w:val="left" w:leader="none"/>
        </w:tabs>
        <w:spacing w:line="240" w:lineRule="auto" w:before="47" w:after="0"/>
        <w:ind w:left="1263" w:right="0" w:hanging="424"/>
        <w:jc w:val="left"/>
        <w:rPr>
          <w:sz w:val="21"/>
        </w:rPr>
      </w:pPr>
      <w:r>
        <w:rPr>
          <w:spacing w:val="-3"/>
          <w:sz w:val="21"/>
        </w:rPr>
        <w:t>消火栓</w:t>
      </w:r>
      <w:r>
        <w:rPr>
          <w:sz w:val="21"/>
        </w:rPr>
        <w:t> </w:t>
      </w:r>
    </w:p>
    <w:p>
      <w:pPr>
        <w:pStyle w:val="BodyText"/>
        <w:rPr>
          <w:sz w:val="18"/>
        </w:rPr>
      </w:pPr>
    </w:p>
    <w:p>
      <w:pPr>
        <w:pStyle w:val="ListParagraph"/>
        <w:numPr>
          <w:ilvl w:val="2"/>
          <w:numId w:val="753"/>
        </w:numPr>
        <w:tabs>
          <w:tab w:pos="1475" w:val="left" w:leader="none"/>
        </w:tabs>
        <w:spacing w:line="240" w:lineRule="auto" w:before="0" w:after="0"/>
        <w:ind w:left="1474" w:right="0" w:hanging="637"/>
        <w:jc w:val="left"/>
        <w:rPr>
          <w:sz w:val="21"/>
        </w:rPr>
      </w:pPr>
      <w:r>
        <w:rPr>
          <w:spacing w:val="-3"/>
          <w:sz w:val="21"/>
        </w:rPr>
        <w:t>室内消火栓的保护半径可按下式计算： </w:t>
      </w:r>
    </w:p>
    <w:p>
      <w:pPr>
        <w:pStyle w:val="BodyText"/>
        <w:spacing w:before="9"/>
        <w:rPr>
          <w:sz w:val="28"/>
        </w:rPr>
      </w:pPr>
      <w:r>
        <w:rPr/>
        <w:pict>
          <v:group style="position:absolute;margin-left:102.800003pt;margin-top:20.372499pt;width:429.4pt;height:163.1pt;mso-position-horizontal-relative:page;mso-position-vertical-relative:paragraph;z-index:-251407360;mso-wrap-distance-left:0;mso-wrap-distance-right:0" coordorigin="2056,407" coordsize="8588,3262">
            <v:shape style="position:absolute;left:2057;top:407;width:8360;height:1899" type="#_x0000_t75" stroked="false">
              <v:imagedata r:id="rId402" o:title=""/>
            </v:shape>
            <v:shape style="position:absolute;left:2056;top:1995;width:8588;height:1674" type="#_x0000_t75" stroked="false">
              <v:imagedata r:id="rId403" o:title=""/>
            </v:shape>
            <w10:wrap type="topAndBottom"/>
          </v:group>
        </w:pict>
      </w:r>
    </w:p>
    <w:p>
      <w:pPr>
        <w:pStyle w:val="ListParagraph"/>
        <w:numPr>
          <w:ilvl w:val="1"/>
          <w:numId w:val="753"/>
        </w:numPr>
        <w:tabs>
          <w:tab w:pos="1264" w:val="left" w:leader="none"/>
        </w:tabs>
        <w:spacing w:line="240" w:lineRule="auto" w:before="169" w:after="0"/>
        <w:ind w:left="1263" w:right="0" w:hanging="424"/>
        <w:jc w:val="left"/>
        <w:rPr>
          <w:sz w:val="21"/>
        </w:rPr>
      </w:pPr>
      <w:r>
        <w:rPr>
          <w:spacing w:val="-3"/>
          <w:sz w:val="21"/>
        </w:rPr>
        <w:t>减压计算</w:t>
      </w:r>
      <w:r>
        <w:rPr>
          <w:sz w:val="21"/>
        </w:rPr>
        <w:t> </w:t>
      </w:r>
    </w:p>
    <w:p>
      <w:pPr>
        <w:pStyle w:val="BodyText"/>
        <w:spacing w:before="12"/>
        <w:rPr>
          <w:sz w:val="17"/>
        </w:rPr>
      </w:pPr>
    </w:p>
    <w:p>
      <w:pPr>
        <w:pStyle w:val="ListParagraph"/>
        <w:numPr>
          <w:ilvl w:val="2"/>
          <w:numId w:val="753"/>
        </w:numPr>
        <w:tabs>
          <w:tab w:pos="1530" w:val="left" w:leader="none"/>
        </w:tabs>
        <w:spacing w:line="240" w:lineRule="auto" w:before="0" w:after="0"/>
        <w:ind w:left="1529" w:right="0" w:hanging="690"/>
        <w:jc w:val="left"/>
        <w:rPr>
          <w:sz w:val="21"/>
        </w:rPr>
      </w:pPr>
      <w:r>
        <w:rPr>
          <w:spacing w:val="-3"/>
          <w:sz w:val="21"/>
        </w:rPr>
        <w:t>减压孔板应符合下列规定：</w:t>
      </w:r>
      <w:r>
        <w:rPr>
          <w:sz w:val="21"/>
        </w:rPr>
        <w:t> </w:t>
      </w:r>
    </w:p>
    <w:p>
      <w:pPr>
        <w:pStyle w:val="BodyText"/>
        <w:spacing w:before="2"/>
        <w:rPr>
          <w:sz w:val="18"/>
        </w:rPr>
      </w:pPr>
    </w:p>
    <w:p>
      <w:pPr>
        <w:pStyle w:val="BodyText"/>
        <w:spacing w:line="446" w:lineRule="auto"/>
        <w:ind w:left="838" w:right="1347"/>
      </w:pPr>
      <w:r>
        <w:rPr>
          <w:spacing w:val="-8"/>
        </w:rPr>
        <w:t>应设在直径不小于 </w:t>
      </w:r>
      <w:r>
        <w:rPr/>
        <w:t>50mm</w:t>
      </w:r>
      <w:r>
        <w:rPr>
          <w:spacing w:val="-5"/>
        </w:rPr>
        <w:t> 的水平直管段上，前后管段的长度均不宜小于该管段直径的 </w:t>
      </w:r>
      <w:r>
        <w:rPr/>
        <w:t>5</w:t>
      </w:r>
      <w:r>
        <w:rPr>
          <w:spacing w:val="-18"/>
        </w:rPr>
        <w:t> 倍； </w:t>
      </w:r>
      <w:r>
        <w:rPr>
          <w:spacing w:val="-7"/>
        </w:rPr>
        <w:t>孔口直径不应小于设置管段直径的 </w:t>
      </w:r>
      <w:r>
        <w:rPr/>
        <w:t>30</w:t>
      </w:r>
      <w:r>
        <w:rPr>
          <w:spacing w:val="-9"/>
        </w:rPr>
        <w:t>%，且不应小于 </w:t>
      </w:r>
      <w:r>
        <w:rPr/>
        <w:t>20mm； </w:t>
      </w:r>
    </w:p>
    <w:p>
      <w:pPr>
        <w:pStyle w:val="BodyText"/>
        <w:spacing w:line="267" w:lineRule="exact"/>
        <w:ind w:left="838"/>
      </w:pPr>
      <w:r>
        <w:rPr/>
        <w:t>应采用不锈钢板材制作。 </w:t>
      </w:r>
    </w:p>
    <w:p>
      <w:pPr>
        <w:pStyle w:val="BodyText"/>
        <w:spacing w:before="1"/>
        <w:rPr>
          <w:sz w:val="18"/>
        </w:rPr>
      </w:pPr>
    </w:p>
    <w:p>
      <w:pPr>
        <w:pStyle w:val="ListParagraph"/>
        <w:numPr>
          <w:ilvl w:val="2"/>
          <w:numId w:val="753"/>
        </w:numPr>
        <w:tabs>
          <w:tab w:pos="1530" w:val="left" w:leader="none"/>
        </w:tabs>
        <w:spacing w:line="240" w:lineRule="auto" w:before="1" w:after="0"/>
        <w:ind w:left="1529" w:right="0" w:hanging="690"/>
        <w:jc w:val="left"/>
        <w:rPr>
          <w:sz w:val="21"/>
        </w:rPr>
      </w:pPr>
      <w:r>
        <w:rPr>
          <w:spacing w:val="-3"/>
          <w:sz w:val="21"/>
        </w:rPr>
        <w:t>节流管应符合下列规定：</w:t>
      </w:r>
      <w:r>
        <w:rPr>
          <w:sz w:val="21"/>
        </w:rPr>
        <w:t> </w:t>
      </w:r>
    </w:p>
    <w:p>
      <w:pPr>
        <w:pStyle w:val="BodyText"/>
        <w:spacing w:before="12"/>
        <w:rPr>
          <w:sz w:val="17"/>
        </w:rPr>
      </w:pPr>
    </w:p>
    <w:p>
      <w:pPr>
        <w:pStyle w:val="BodyText"/>
        <w:spacing w:line="446" w:lineRule="auto"/>
        <w:ind w:left="838" w:right="6340"/>
      </w:pPr>
      <w:r>
        <w:rPr/>
        <w:t>直径宜按上游管段直径的 1/2 确定； 长度不宜小于 1m； </w:t>
      </w:r>
    </w:p>
    <w:p>
      <w:pPr>
        <w:pStyle w:val="BodyText"/>
        <w:ind w:left="838"/>
      </w:pPr>
      <w:r>
        <w:rPr/>
        <w:t>节流管内水的平均流速不应大于 20m/s。 </w:t>
      </w:r>
    </w:p>
    <w:p>
      <w:pPr>
        <w:pStyle w:val="BodyText"/>
        <w:spacing w:before="12"/>
        <w:rPr>
          <w:sz w:val="17"/>
        </w:rPr>
      </w:pPr>
    </w:p>
    <w:p>
      <w:pPr>
        <w:pStyle w:val="ListParagraph"/>
        <w:numPr>
          <w:ilvl w:val="2"/>
          <w:numId w:val="753"/>
        </w:numPr>
        <w:tabs>
          <w:tab w:pos="1530" w:val="left" w:leader="none"/>
        </w:tabs>
        <w:spacing w:line="240" w:lineRule="auto" w:before="0" w:after="0"/>
        <w:ind w:left="1529" w:right="0" w:hanging="690"/>
        <w:jc w:val="left"/>
        <w:rPr>
          <w:sz w:val="21"/>
        </w:rPr>
      </w:pPr>
      <w:r>
        <w:rPr>
          <w:spacing w:val="-3"/>
          <w:sz w:val="21"/>
        </w:rPr>
        <w:t>减压孔板的水头损失，应按下列公式计算：</w:t>
      </w:r>
      <w:r>
        <w:rPr>
          <w:sz w:val="21"/>
        </w:rPr>
        <w:t> </w:t>
      </w:r>
    </w:p>
    <w:p>
      <w:pPr>
        <w:pStyle w:val="BodyText"/>
        <w:rPr>
          <w:sz w:val="20"/>
        </w:rPr>
      </w:pPr>
    </w:p>
    <w:p>
      <w:pPr>
        <w:pStyle w:val="BodyText"/>
        <w:spacing w:before="7"/>
        <w:rPr>
          <w:sz w:val="13"/>
        </w:rPr>
      </w:pPr>
      <w:r>
        <w:rPr/>
        <w:drawing>
          <wp:anchor distT="0" distB="0" distL="0" distR="0" allowOverlap="1" layoutInCell="1" locked="0" behindDoc="0" simplePos="0" relativeHeight="246">
            <wp:simplePos x="0" y="0"/>
            <wp:positionH relativeFrom="page">
              <wp:posOffset>1890395</wp:posOffset>
            </wp:positionH>
            <wp:positionV relativeFrom="paragraph">
              <wp:posOffset>135239</wp:posOffset>
            </wp:positionV>
            <wp:extent cx="3982492" cy="1495425"/>
            <wp:effectExtent l="0" t="0" r="0" b="0"/>
            <wp:wrapTopAndBottom/>
            <wp:docPr id="577" name="image335.jpeg"/>
            <wp:cNvGraphicFramePr>
              <a:graphicFrameLocks noChangeAspect="1"/>
            </wp:cNvGraphicFramePr>
            <a:graphic>
              <a:graphicData uri="http://schemas.openxmlformats.org/drawingml/2006/picture">
                <pic:pic>
                  <pic:nvPicPr>
                    <pic:cNvPr id="578" name="image335.jpeg"/>
                    <pic:cNvPicPr/>
                  </pic:nvPicPr>
                  <pic:blipFill>
                    <a:blip r:embed="rId404" cstate="print"/>
                    <a:stretch>
                      <a:fillRect/>
                    </a:stretch>
                  </pic:blipFill>
                  <pic:spPr>
                    <a:xfrm>
                      <a:off x="0" y="0"/>
                      <a:ext cx="3982492" cy="1495425"/>
                    </a:xfrm>
                    <a:prstGeom prst="rect">
                      <a:avLst/>
                    </a:prstGeom>
                  </pic:spPr>
                </pic:pic>
              </a:graphicData>
            </a:graphic>
          </wp:anchor>
        </w:drawing>
      </w:r>
    </w:p>
    <w:p>
      <w:pPr>
        <w:pStyle w:val="BodyText"/>
        <w:rPr>
          <w:sz w:val="20"/>
        </w:rPr>
      </w:pPr>
    </w:p>
    <w:p>
      <w:pPr>
        <w:pStyle w:val="BodyText"/>
        <w:spacing w:before="7"/>
        <w:rPr>
          <w:sz w:val="26"/>
        </w:rPr>
      </w:pPr>
    </w:p>
    <w:p>
      <w:pPr>
        <w:pStyle w:val="BodyText"/>
        <w:spacing w:before="71"/>
        <w:ind w:left="838"/>
      </w:pPr>
      <w:r>
        <w:rPr>
          <w:position w:val="1"/>
        </w:rPr>
        <w:t>式中：</w:t>
      </w:r>
      <w:r>
        <w:rPr>
          <w:i/>
          <w:position w:val="1"/>
          <w:sz w:val="22"/>
        </w:rPr>
        <w:t>H</w:t>
      </w:r>
      <w:r>
        <w:rPr>
          <w:sz w:val="11"/>
        </w:rPr>
        <w:t>k</w:t>
      </w:r>
      <w:r>
        <w:rPr>
          <w:position w:val="1"/>
        </w:rPr>
        <w:t>——减压孔板的水头损失（MPa）； </w:t>
      </w:r>
    </w:p>
    <w:p>
      <w:pPr>
        <w:pStyle w:val="BodyText"/>
        <w:spacing w:before="2"/>
        <w:rPr>
          <w:sz w:val="17"/>
        </w:rPr>
      </w:pPr>
    </w:p>
    <w:p>
      <w:pPr>
        <w:pStyle w:val="BodyText"/>
        <w:ind w:left="838"/>
      </w:pPr>
      <w:r>
        <w:rPr>
          <w:i/>
          <w:position w:val="1"/>
          <w:sz w:val="22"/>
        </w:rPr>
        <w:t>V</w:t>
      </w:r>
      <w:r>
        <w:rPr>
          <w:sz w:val="11"/>
        </w:rPr>
        <w:t>k</w:t>
      </w:r>
      <w:r>
        <w:rPr>
          <w:position w:val="1"/>
        </w:rPr>
        <w:t>——减压孔板后管道内水的平均流速（m/s）； </w:t>
      </w:r>
    </w:p>
    <w:p>
      <w:pPr>
        <w:spacing w:after="0"/>
        <w:sectPr>
          <w:pgSz w:w="11910" w:h="16850"/>
          <w:pgMar w:header="0" w:footer="1239" w:top="1220" w:bottom="1420" w:left="1260" w:right="0"/>
        </w:sectPr>
      </w:pPr>
    </w:p>
    <w:p>
      <w:pPr>
        <w:pStyle w:val="BodyText"/>
        <w:spacing w:before="57"/>
        <w:ind w:left="838"/>
      </w:pPr>
      <w:r>
        <w:rPr>
          <w:i/>
          <w:sz w:val="22"/>
        </w:rPr>
        <w:t>g</w:t>
      </w:r>
      <w:r>
        <w:rPr/>
        <w:t>——重力加速度（m/s</w:t>
      </w:r>
      <w:r>
        <w:rPr>
          <w:position w:val="11"/>
          <w:sz w:val="11"/>
        </w:rPr>
        <w:t>2</w:t>
      </w:r>
      <w:r>
        <w:rPr/>
        <w:t>）； </w:t>
      </w:r>
    </w:p>
    <w:p>
      <w:pPr>
        <w:pStyle w:val="BodyText"/>
        <w:spacing w:before="137"/>
        <w:ind w:left="838"/>
      </w:pPr>
      <w:r>
        <w:rPr>
          <w:spacing w:val="-1"/>
          <w:w w:val="100"/>
        </w:rPr>
        <w:t> </w:t>
      </w:r>
      <w:r>
        <w:rPr>
          <w:spacing w:val="-1"/>
          <w:w w:val="100"/>
          <w:position w:val="2"/>
        </w:rPr>
        <w:drawing>
          <wp:inline distT="0" distB="0" distL="0" distR="0">
            <wp:extent cx="172719" cy="180975"/>
            <wp:effectExtent l="0" t="0" r="0" b="0"/>
            <wp:docPr id="579" name="image336.png"/>
            <wp:cNvGraphicFramePr>
              <a:graphicFrameLocks noChangeAspect="1"/>
            </wp:cNvGraphicFramePr>
            <a:graphic>
              <a:graphicData uri="http://schemas.openxmlformats.org/drawingml/2006/picture">
                <pic:pic>
                  <pic:nvPicPr>
                    <pic:cNvPr id="580" name="image336.png"/>
                    <pic:cNvPicPr/>
                  </pic:nvPicPr>
                  <pic:blipFill>
                    <a:blip r:embed="rId405" cstate="print"/>
                    <a:stretch>
                      <a:fillRect/>
                    </a:stretch>
                  </pic:blipFill>
                  <pic:spPr>
                    <a:xfrm>
                      <a:off x="0" y="0"/>
                      <a:ext cx="172719" cy="180975"/>
                    </a:xfrm>
                    <a:prstGeom prst="rect">
                      <a:avLst/>
                    </a:prstGeom>
                  </pic:spPr>
                </pic:pic>
              </a:graphicData>
            </a:graphic>
          </wp:inline>
        </w:drawing>
      </w:r>
      <w:r>
        <w:rPr>
          <w:spacing w:val="-1"/>
          <w:w w:val="100"/>
          <w:position w:val="2"/>
        </w:rPr>
      </w:r>
      <w:r>
        <w:rPr>
          <w:rFonts w:ascii="Times New Roman" w:hAnsi="Times New Roman" w:eastAsia="Times New Roman"/>
          <w:spacing w:val="-24"/>
          <w:w w:val="100"/>
        </w:rPr>
        <w:t> </w:t>
      </w:r>
      <w:r>
        <w:rPr>
          <w:spacing w:val="-6"/>
        </w:rPr>
        <w:t>——减压孔板的局部阻力系数，也可按表 </w:t>
      </w:r>
      <w:r>
        <w:rPr/>
        <w:t>10.3.3</w:t>
      </w:r>
      <w:r>
        <w:rPr>
          <w:spacing w:val="-16"/>
        </w:rPr>
        <w:t> 取值；</w:t>
      </w:r>
      <w:r>
        <w:rPr/>
        <w:t> </w:t>
      </w:r>
    </w:p>
    <w:p>
      <w:pPr>
        <w:pStyle w:val="BodyText"/>
        <w:spacing w:before="220"/>
        <w:ind w:left="838"/>
      </w:pPr>
      <w:r>
        <w:rPr>
          <w:i/>
          <w:position w:val="1"/>
          <w:sz w:val="22"/>
        </w:rPr>
        <w:t>d</w:t>
      </w:r>
      <w:r>
        <w:rPr>
          <w:sz w:val="11"/>
        </w:rPr>
        <w:t>k</w:t>
      </w:r>
      <w:r>
        <w:rPr>
          <w:position w:val="1"/>
        </w:rPr>
        <w:t>——减压孔板孔口的计算内径；取值应按减压孔板孔口直径减 1mm 确定（m）； </w:t>
      </w:r>
    </w:p>
    <w:p>
      <w:pPr>
        <w:pStyle w:val="BodyText"/>
        <w:spacing w:before="1"/>
        <w:rPr>
          <w:sz w:val="17"/>
        </w:rPr>
      </w:pPr>
    </w:p>
    <w:p>
      <w:pPr>
        <w:pStyle w:val="BodyText"/>
        <w:spacing w:before="1"/>
        <w:ind w:left="838"/>
      </w:pPr>
      <w:r>
        <w:rPr>
          <w:i/>
          <w:position w:val="1"/>
          <w:sz w:val="22"/>
        </w:rPr>
        <w:t>d</w:t>
      </w:r>
      <w:r>
        <w:rPr>
          <w:sz w:val="11"/>
        </w:rPr>
        <w:t>i</w:t>
      </w:r>
      <w:r>
        <w:rPr>
          <w:position w:val="1"/>
        </w:rPr>
        <w:t>——管道的内径（m）。 </w:t>
      </w:r>
    </w:p>
    <w:p>
      <w:pPr>
        <w:pStyle w:val="BodyText"/>
        <w:spacing w:before="9"/>
        <w:rPr>
          <w:sz w:val="17"/>
        </w:rPr>
      </w:pPr>
    </w:p>
    <w:p>
      <w:pPr>
        <w:pStyle w:val="Heading6"/>
        <w:spacing w:before="1"/>
        <w:ind w:left="3469"/>
      </w:pPr>
      <w:r>
        <w:rPr/>
        <w:t>表 10.3.3 减压孔板局部阻力系数</w:t>
      </w:r>
      <w:r>
        <w:rPr>
          <w:w w:val="99"/>
        </w:rPr>
        <w:t> </w:t>
      </w:r>
    </w:p>
    <w:p>
      <w:pPr>
        <w:pStyle w:val="BodyText"/>
        <w:rPr>
          <w:b/>
          <w:sz w:val="16"/>
        </w:rPr>
      </w:pPr>
      <w:r>
        <w:rPr/>
        <w:drawing>
          <wp:anchor distT="0" distB="0" distL="0" distR="0" allowOverlap="1" layoutInCell="1" locked="0" behindDoc="0" simplePos="0" relativeHeight="247">
            <wp:simplePos x="0" y="0"/>
            <wp:positionH relativeFrom="page">
              <wp:posOffset>1275080</wp:posOffset>
            </wp:positionH>
            <wp:positionV relativeFrom="paragraph">
              <wp:posOffset>155464</wp:posOffset>
            </wp:positionV>
            <wp:extent cx="4951989" cy="933259"/>
            <wp:effectExtent l="0" t="0" r="0" b="0"/>
            <wp:wrapTopAndBottom/>
            <wp:docPr id="581" name="image337.jpeg"/>
            <wp:cNvGraphicFramePr>
              <a:graphicFrameLocks noChangeAspect="1"/>
            </wp:cNvGraphicFramePr>
            <a:graphic>
              <a:graphicData uri="http://schemas.openxmlformats.org/drawingml/2006/picture">
                <pic:pic>
                  <pic:nvPicPr>
                    <pic:cNvPr id="582" name="image337.jpeg"/>
                    <pic:cNvPicPr/>
                  </pic:nvPicPr>
                  <pic:blipFill>
                    <a:blip r:embed="rId406" cstate="print"/>
                    <a:stretch>
                      <a:fillRect/>
                    </a:stretch>
                  </pic:blipFill>
                  <pic:spPr>
                    <a:xfrm>
                      <a:off x="0" y="0"/>
                      <a:ext cx="4951989" cy="933259"/>
                    </a:xfrm>
                    <a:prstGeom prst="rect">
                      <a:avLst/>
                    </a:prstGeom>
                  </pic:spPr>
                </pic:pic>
              </a:graphicData>
            </a:graphic>
          </wp:anchor>
        </w:drawing>
      </w:r>
    </w:p>
    <w:p>
      <w:pPr>
        <w:pStyle w:val="BodyText"/>
        <w:rPr>
          <w:b/>
          <w:sz w:val="20"/>
        </w:rPr>
      </w:pPr>
    </w:p>
    <w:p>
      <w:pPr>
        <w:pStyle w:val="BodyText"/>
        <w:rPr>
          <w:b/>
          <w:sz w:val="20"/>
        </w:rPr>
      </w:pPr>
    </w:p>
    <w:p>
      <w:pPr>
        <w:pStyle w:val="ListParagraph"/>
        <w:numPr>
          <w:ilvl w:val="2"/>
          <w:numId w:val="753"/>
        </w:numPr>
        <w:tabs>
          <w:tab w:pos="1530" w:val="left" w:leader="none"/>
        </w:tabs>
        <w:spacing w:line="240" w:lineRule="auto" w:before="151" w:after="0"/>
        <w:ind w:left="1529" w:right="0" w:hanging="690"/>
        <w:jc w:val="left"/>
        <w:rPr>
          <w:sz w:val="21"/>
        </w:rPr>
      </w:pPr>
      <w:r>
        <w:rPr>
          <w:spacing w:val="-3"/>
          <w:sz w:val="21"/>
        </w:rPr>
        <w:t>节流管的水头损失，应按下式计算：</w:t>
      </w:r>
      <w:r>
        <w:rPr>
          <w:sz w:val="21"/>
        </w:rPr>
        <w:t> </w:t>
      </w:r>
    </w:p>
    <w:p>
      <w:pPr>
        <w:pStyle w:val="BodyText"/>
        <w:spacing w:before="7"/>
        <w:rPr>
          <w:sz w:val="26"/>
        </w:rPr>
      </w:pPr>
      <w:r>
        <w:rPr/>
        <w:drawing>
          <wp:anchor distT="0" distB="0" distL="0" distR="0" allowOverlap="1" layoutInCell="1" locked="0" behindDoc="0" simplePos="0" relativeHeight="248">
            <wp:simplePos x="0" y="0"/>
            <wp:positionH relativeFrom="page">
              <wp:posOffset>1395094</wp:posOffset>
            </wp:positionH>
            <wp:positionV relativeFrom="paragraph">
              <wp:posOffset>241133</wp:posOffset>
            </wp:positionV>
            <wp:extent cx="5179154" cy="466725"/>
            <wp:effectExtent l="0" t="0" r="0" b="0"/>
            <wp:wrapTopAndBottom/>
            <wp:docPr id="583" name="image338.jpeg"/>
            <wp:cNvGraphicFramePr>
              <a:graphicFrameLocks noChangeAspect="1"/>
            </wp:cNvGraphicFramePr>
            <a:graphic>
              <a:graphicData uri="http://schemas.openxmlformats.org/drawingml/2006/picture">
                <pic:pic>
                  <pic:nvPicPr>
                    <pic:cNvPr id="584" name="image338.jpeg"/>
                    <pic:cNvPicPr/>
                  </pic:nvPicPr>
                  <pic:blipFill>
                    <a:blip r:embed="rId407" cstate="print"/>
                    <a:stretch>
                      <a:fillRect/>
                    </a:stretch>
                  </pic:blipFill>
                  <pic:spPr>
                    <a:xfrm>
                      <a:off x="0" y="0"/>
                      <a:ext cx="5179154" cy="466725"/>
                    </a:xfrm>
                    <a:prstGeom prst="rect">
                      <a:avLst/>
                    </a:prstGeom>
                  </pic:spPr>
                </pic:pic>
              </a:graphicData>
            </a:graphic>
          </wp:anchor>
        </w:drawing>
      </w:r>
    </w:p>
    <w:p>
      <w:pPr>
        <w:pStyle w:val="BodyText"/>
        <w:spacing w:before="5"/>
        <w:rPr>
          <w:sz w:val="15"/>
        </w:rPr>
      </w:pPr>
    </w:p>
    <w:p>
      <w:pPr>
        <w:pStyle w:val="BodyText"/>
        <w:ind w:left="838"/>
      </w:pPr>
      <w:r>
        <w:rPr>
          <w:position w:val="1"/>
        </w:rPr>
        <w:t>式中：</w:t>
      </w:r>
      <w:r>
        <w:rPr>
          <w:i/>
          <w:position w:val="1"/>
          <w:sz w:val="22"/>
        </w:rPr>
        <w:t>H</w:t>
      </w:r>
      <w:r>
        <w:rPr>
          <w:i/>
          <w:sz w:val="11"/>
        </w:rPr>
        <w:t>g</w:t>
      </w:r>
      <w:r>
        <w:rPr>
          <w:position w:val="1"/>
        </w:rPr>
        <w:t>——节流管的水头损失（MPa）； </w:t>
      </w:r>
    </w:p>
    <w:p>
      <w:pPr>
        <w:pStyle w:val="BodyText"/>
        <w:spacing w:before="107"/>
        <w:ind w:left="838"/>
      </w:pPr>
      <w:r>
        <w:rPr>
          <w:position w:val="2"/>
        </w:rPr>
        <w:drawing>
          <wp:inline distT="0" distB="0" distL="0" distR="0">
            <wp:extent cx="180975" cy="197485"/>
            <wp:effectExtent l="0" t="0" r="0" b="0"/>
            <wp:docPr id="585" name="image339.jpeg"/>
            <wp:cNvGraphicFramePr>
              <a:graphicFrameLocks noChangeAspect="1"/>
            </wp:cNvGraphicFramePr>
            <a:graphic>
              <a:graphicData uri="http://schemas.openxmlformats.org/drawingml/2006/picture">
                <pic:pic>
                  <pic:nvPicPr>
                    <pic:cNvPr id="586" name="image339.jpeg"/>
                    <pic:cNvPicPr/>
                  </pic:nvPicPr>
                  <pic:blipFill>
                    <a:blip r:embed="rId408" cstate="print"/>
                    <a:stretch>
                      <a:fillRect/>
                    </a:stretch>
                  </pic:blipFill>
                  <pic:spPr>
                    <a:xfrm>
                      <a:off x="0" y="0"/>
                      <a:ext cx="180975" cy="197485"/>
                    </a:xfrm>
                    <a:prstGeom prst="rect">
                      <a:avLst/>
                    </a:prstGeom>
                  </pic:spPr>
                </pic:pic>
              </a:graphicData>
            </a:graphic>
          </wp:inline>
        </w:drawing>
      </w:r>
      <w:r>
        <w:rPr>
          <w:position w:val="2"/>
        </w:rPr>
      </w:r>
      <w:r>
        <w:rPr>
          <w:spacing w:val="-5"/>
        </w:rPr>
        <w:t>——节流管中渐缩管与渐扩管的局部阻力系数之和，取值 </w:t>
      </w:r>
      <w:r>
        <w:rPr/>
        <w:t>0.7； </w:t>
      </w:r>
    </w:p>
    <w:p>
      <w:pPr>
        <w:pStyle w:val="BodyText"/>
        <w:spacing w:before="222"/>
        <w:ind w:left="838"/>
      </w:pPr>
      <w:r>
        <w:rPr>
          <w:i/>
          <w:position w:val="1"/>
          <w:sz w:val="22"/>
        </w:rPr>
        <w:t>V</w:t>
      </w:r>
      <w:r>
        <w:rPr>
          <w:sz w:val="11"/>
        </w:rPr>
        <w:t>g</w:t>
      </w:r>
      <w:r>
        <w:rPr>
          <w:position w:val="1"/>
        </w:rPr>
        <w:t>——节流管内水的平均流速（m/s）； </w:t>
      </w:r>
    </w:p>
    <w:p>
      <w:pPr>
        <w:pStyle w:val="BodyText"/>
        <w:spacing w:before="12"/>
        <w:rPr>
          <w:sz w:val="16"/>
        </w:rPr>
      </w:pPr>
    </w:p>
    <w:p>
      <w:pPr>
        <w:pStyle w:val="BodyText"/>
        <w:ind w:left="838"/>
      </w:pPr>
      <w:r>
        <w:rPr>
          <w:i/>
          <w:position w:val="1"/>
          <w:sz w:val="22"/>
        </w:rPr>
        <w:t>d</w:t>
      </w:r>
      <w:r>
        <w:rPr>
          <w:sz w:val="11"/>
        </w:rPr>
        <w:t>g</w:t>
      </w:r>
      <w:r>
        <w:rPr>
          <w:position w:val="1"/>
        </w:rPr>
        <w:t>——节流管的计算内径，取值应按节流管内径减 1mm 确定（m）； </w:t>
      </w:r>
    </w:p>
    <w:p>
      <w:pPr>
        <w:pStyle w:val="BodyText"/>
        <w:spacing w:before="12"/>
        <w:rPr>
          <w:sz w:val="16"/>
        </w:rPr>
      </w:pPr>
    </w:p>
    <w:p>
      <w:pPr>
        <w:pStyle w:val="BodyText"/>
        <w:ind w:left="838"/>
      </w:pPr>
      <w:r>
        <w:rPr>
          <w:i/>
          <w:position w:val="1"/>
          <w:sz w:val="22"/>
        </w:rPr>
        <w:t>L</w:t>
      </w:r>
      <w:r>
        <w:rPr>
          <w:sz w:val="11"/>
        </w:rPr>
        <w:t>j</w:t>
      </w:r>
      <w:r>
        <w:rPr>
          <w:position w:val="1"/>
        </w:rPr>
        <w:t>——节流管的长度（m）。 </w:t>
      </w:r>
    </w:p>
    <w:p>
      <w:pPr>
        <w:pStyle w:val="BodyText"/>
        <w:rPr>
          <w:sz w:val="18"/>
        </w:rPr>
      </w:pPr>
    </w:p>
    <w:p>
      <w:pPr>
        <w:pStyle w:val="ListParagraph"/>
        <w:numPr>
          <w:ilvl w:val="2"/>
          <w:numId w:val="753"/>
        </w:numPr>
        <w:tabs>
          <w:tab w:pos="1530" w:val="left" w:leader="none"/>
        </w:tabs>
        <w:spacing w:line="240" w:lineRule="auto" w:before="0" w:after="0"/>
        <w:ind w:left="1529" w:right="0" w:hanging="690"/>
        <w:jc w:val="left"/>
        <w:rPr>
          <w:sz w:val="21"/>
        </w:rPr>
      </w:pPr>
      <w:r>
        <w:rPr>
          <w:spacing w:val="-3"/>
          <w:sz w:val="21"/>
        </w:rPr>
        <w:t>减压阀的水头损失计算应符合下列规定：</w:t>
      </w:r>
      <w:r>
        <w:rPr>
          <w:sz w:val="21"/>
        </w:rPr>
        <w:t> </w:t>
      </w:r>
    </w:p>
    <w:p>
      <w:pPr>
        <w:pStyle w:val="BodyText"/>
        <w:spacing w:before="12"/>
        <w:rPr>
          <w:sz w:val="17"/>
        </w:rPr>
      </w:pPr>
    </w:p>
    <w:p>
      <w:pPr>
        <w:pStyle w:val="BodyText"/>
        <w:ind w:left="838"/>
      </w:pPr>
      <w:r>
        <w:rPr/>
        <w:t>应根据产品技术参数确定，当无资料时，减压阀阀前后静压与动压差应按不小于 0.10MPa </w:t>
      </w:r>
    </w:p>
    <w:p>
      <w:pPr>
        <w:pStyle w:val="BodyText"/>
        <w:rPr>
          <w:sz w:val="18"/>
        </w:rPr>
      </w:pPr>
    </w:p>
    <w:p>
      <w:pPr>
        <w:pStyle w:val="BodyText"/>
        <w:ind w:left="418"/>
      </w:pPr>
      <w:r>
        <w:rPr/>
        <w:t>计算； </w:t>
      </w:r>
    </w:p>
    <w:p>
      <w:pPr>
        <w:pStyle w:val="BodyText"/>
        <w:spacing w:before="2"/>
        <w:rPr>
          <w:sz w:val="18"/>
        </w:rPr>
      </w:pPr>
    </w:p>
    <w:p>
      <w:pPr>
        <w:pStyle w:val="BodyText"/>
        <w:ind w:left="838"/>
      </w:pPr>
      <w:r>
        <w:rPr/>
        <w:t>减压阀串联减压时，应计算第一级减压阀的水头损失对第二级减压阀出水动压的影响。 </w:t>
      </w:r>
    </w:p>
    <w:p>
      <w:pPr>
        <w:pStyle w:val="BodyText"/>
        <w:spacing w:before="8"/>
        <w:rPr>
          <w:sz w:val="15"/>
        </w:rPr>
      </w:pPr>
    </w:p>
    <w:p>
      <w:pPr>
        <w:pStyle w:val="Heading4"/>
      </w:pPr>
      <w:r>
        <w:rPr/>
        <w:t>11 控制与操作</w:t>
      </w:r>
      <w:r>
        <w:rPr>
          <w:w w:val="99"/>
        </w:rPr>
        <w:t> </w:t>
      </w:r>
    </w:p>
    <w:p>
      <w:pPr>
        <w:pStyle w:val="BodyText"/>
        <w:spacing w:before="4"/>
        <w:rPr>
          <w:b/>
          <w:sz w:val="17"/>
        </w:rPr>
      </w:pPr>
    </w:p>
    <w:p>
      <w:pPr>
        <w:pStyle w:val="ListParagraph"/>
        <w:numPr>
          <w:ilvl w:val="1"/>
          <w:numId w:val="754"/>
        </w:numPr>
        <w:tabs>
          <w:tab w:pos="1318" w:val="left" w:leader="none"/>
        </w:tabs>
        <w:spacing w:line="446" w:lineRule="auto" w:before="0" w:after="0"/>
        <w:ind w:left="838" w:right="1448" w:firstLine="2"/>
        <w:jc w:val="left"/>
        <w:rPr>
          <w:sz w:val="21"/>
        </w:rPr>
      </w:pPr>
      <w:r>
        <w:rPr>
          <w:spacing w:val="-3"/>
          <w:sz w:val="21"/>
        </w:rPr>
        <w:t>消防水泵控制柜应设置在消防水泵房或专用消防水泵控制室内，并应符合下列要求： 消防水泵控制柜在平时应使消防水泵处于自动启泵状态；</w:t>
      </w:r>
      <w:r>
        <w:rPr>
          <w:sz w:val="21"/>
        </w:rPr>
        <w:t> </w:t>
      </w:r>
    </w:p>
    <w:p>
      <w:pPr>
        <w:pStyle w:val="BodyText"/>
        <w:spacing w:line="446" w:lineRule="auto"/>
        <w:ind w:left="418" w:right="1609" w:firstLine="419"/>
      </w:pPr>
      <w:r>
        <w:rPr/>
        <w:t>当自动水灭火系统为开式系统，且设置自动启动确有困难时，经论证后消防水泵可设置在手动启动状态，并应确保 24h 有人工值班。 </w:t>
      </w:r>
    </w:p>
    <w:p>
      <w:pPr>
        <w:pStyle w:val="ListParagraph"/>
        <w:numPr>
          <w:ilvl w:val="1"/>
          <w:numId w:val="754"/>
        </w:numPr>
        <w:tabs>
          <w:tab w:pos="1318" w:val="left" w:leader="none"/>
        </w:tabs>
        <w:spacing w:line="240" w:lineRule="auto" w:before="0" w:after="0"/>
        <w:ind w:left="1318" w:right="0" w:hanging="478"/>
        <w:jc w:val="left"/>
        <w:rPr>
          <w:sz w:val="21"/>
        </w:rPr>
      </w:pPr>
      <w:r>
        <w:rPr>
          <w:spacing w:val="-3"/>
          <w:sz w:val="21"/>
        </w:rPr>
        <w:t>消防水泵不应设置自动停泵的控制功能，停泵应由具有管理权限的工作人员根据火灾</w:t>
      </w:r>
    </w:p>
    <w:p>
      <w:pPr>
        <w:spacing w:after="0" w:line="240" w:lineRule="auto"/>
        <w:jc w:val="left"/>
        <w:rPr>
          <w:sz w:val="21"/>
        </w:rPr>
        <w:sectPr>
          <w:pgSz w:w="11910" w:h="16850"/>
          <w:pgMar w:header="0" w:footer="1239" w:top="1200" w:bottom="1420" w:left="1260" w:right="0"/>
        </w:sectPr>
      </w:pPr>
    </w:p>
    <w:p>
      <w:pPr>
        <w:pStyle w:val="BodyText"/>
        <w:spacing w:before="47"/>
        <w:ind w:left="418"/>
      </w:pPr>
      <w:r>
        <w:rPr/>
        <w:t>扑救情况确定。 </w:t>
      </w:r>
    </w:p>
    <w:p>
      <w:pPr>
        <w:pStyle w:val="BodyText"/>
        <w:rPr>
          <w:sz w:val="18"/>
        </w:rPr>
      </w:pPr>
    </w:p>
    <w:p>
      <w:pPr>
        <w:pStyle w:val="ListParagraph"/>
        <w:numPr>
          <w:ilvl w:val="1"/>
          <w:numId w:val="754"/>
        </w:numPr>
        <w:tabs>
          <w:tab w:pos="1318" w:val="left" w:leader="none"/>
        </w:tabs>
        <w:spacing w:line="240" w:lineRule="auto" w:before="0" w:after="0"/>
        <w:ind w:left="1318" w:right="0" w:hanging="478"/>
        <w:jc w:val="both"/>
        <w:rPr>
          <w:sz w:val="21"/>
        </w:rPr>
      </w:pPr>
      <w:r>
        <w:rPr>
          <w:spacing w:val="-5"/>
          <w:sz w:val="21"/>
        </w:rPr>
        <w:t>消防水泵应确保从接到启泵信号到水泵正常运转的自动启动时间不应大于 </w:t>
      </w:r>
      <w:r>
        <w:rPr>
          <w:sz w:val="21"/>
        </w:rPr>
        <w:t>2min</w:t>
      </w:r>
      <w:r>
        <w:rPr>
          <w:spacing w:val="-1"/>
          <w:sz w:val="21"/>
        </w:rPr>
        <w:t> 。</w:t>
      </w:r>
      <w:r>
        <w:rPr>
          <w:sz w:val="21"/>
        </w:rPr>
        <w:t> </w:t>
      </w:r>
    </w:p>
    <w:p>
      <w:pPr>
        <w:pStyle w:val="BodyText"/>
        <w:rPr>
          <w:sz w:val="18"/>
        </w:rPr>
      </w:pPr>
    </w:p>
    <w:p>
      <w:pPr>
        <w:pStyle w:val="ListParagraph"/>
        <w:numPr>
          <w:ilvl w:val="1"/>
          <w:numId w:val="754"/>
        </w:numPr>
        <w:tabs>
          <w:tab w:pos="1318" w:val="left" w:leader="none"/>
        </w:tabs>
        <w:spacing w:line="446" w:lineRule="auto" w:before="0" w:after="0"/>
        <w:ind w:left="418" w:right="1551" w:firstLine="422"/>
        <w:jc w:val="both"/>
        <w:rPr>
          <w:sz w:val="21"/>
        </w:rPr>
      </w:pPr>
      <w:r>
        <w:rPr>
          <w:spacing w:val="-3"/>
          <w:sz w:val="21"/>
        </w:rPr>
        <w:t>消防水泵应由消防水泵出水干管上设置的压力开关、高位消防水箱出水管上的流量开关，或报警阀压力开关等开关信号应能直接自动启动消防水泵。消防水泵房内的压力开关宜引入消防水泵控制柜内。</w:t>
      </w:r>
      <w:r>
        <w:rPr>
          <w:sz w:val="21"/>
        </w:rPr>
        <w:t> </w:t>
      </w:r>
    </w:p>
    <w:p>
      <w:pPr>
        <w:pStyle w:val="ListParagraph"/>
        <w:numPr>
          <w:ilvl w:val="1"/>
          <w:numId w:val="754"/>
        </w:numPr>
        <w:tabs>
          <w:tab w:pos="1318" w:val="left" w:leader="none"/>
        </w:tabs>
        <w:spacing w:line="268" w:lineRule="exact" w:before="0" w:after="0"/>
        <w:ind w:left="1318" w:right="0" w:hanging="478"/>
        <w:jc w:val="both"/>
        <w:rPr>
          <w:sz w:val="21"/>
        </w:rPr>
      </w:pPr>
      <w:r>
        <w:rPr>
          <w:spacing w:val="-3"/>
          <w:sz w:val="21"/>
        </w:rPr>
        <w:t>消防水泵应能手动启停和自动启动。</w:t>
      </w:r>
      <w:r>
        <w:rPr>
          <w:sz w:val="21"/>
        </w:rPr>
        <w:t> </w:t>
      </w:r>
    </w:p>
    <w:p>
      <w:pPr>
        <w:pStyle w:val="BodyText"/>
        <w:spacing w:before="1"/>
        <w:rPr>
          <w:sz w:val="18"/>
        </w:rPr>
      </w:pPr>
    </w:p>
    <w:p>
      <w:pPr>
        <w:pStyle w:val="ListParagraph"/>
        <w:numPr>
          <w:ilvl w:val="1"/>
          <w:numId w:val="754"/>
        </w:numPr>
        <w:tabs>
          <w:tab w:pos="1318" w:val="left" w:leader="none"/>
        </w:tabs>
        <w:spacing w:line="446" w:lineRule="auto" w:before="1" w:after="0"/>
        <w:ind w:left="418" w:right="1551" w:firstLine="422"/>
        <w:jc w:val="both"/>
        <w:rPr>
          <w:sz w:val="21"/>
        </w:rPr>
      </w:pPr>
      <w:r>
        <w:rPr>
          <w:spacing w:val="-3"/>
          <w:sz w:val="21"/>
        </w:rPr>
        <w:t>稳压泵应由消防给水管网或气压水罐上设置的稳压泵自动启停泵压力开关或压力变送器控制。</w:t>
      </w:r>
      <w:r>
        <w:rPr>
          <w:sz w:val="21"/>
        </w:rPr>
        <w:t> </w:t>
      </w:r>
    </w:p>
    <w:p>
      <w:pPr>
        <w:pStyle w:val="ListParagraph"/>
        <w:numPr>
          <w:ilvl w:val="1"/>
          <w:numId w:val="754"/>
        </w:numPr>
        <w:tabs>
          <w:tab w:pos="1318" w:val="left" w:leader="none"/>
        </w:tabs>
        <w:spacing w:line="267" w:lineRule="exact" w:before="0" w:after="0"/>
        <w:ind w:left="1318" w:right="0" w:hanging="478"/>
        <w:jc w:val="both"/>
        <w:rPr>
          <w:sz w:val="21"/>
        </w:rPr>
      </w:pPr>
      <w:r>
        <w:rPr>
          <w:spacing w:val="-3"/>
          <w:sz w:val="21"/>
        </w:rPr>
        <w:t>消防控制室或值班室，应具有下列控制和显示功能：</w:t>
      </w:r>
      <w:r>
        <w:rPr>
          <w:sz w:val="21"/>
        </w:rPr>
        <w:t> </w:t>
      </w:r>
    </w:p>
    <w:p>
      <w:pPr>
        <w:pStyle w:val="BodyText"/>
        <w:spacing w:before="1"/>
        <w:rPr>
          <w:sz w:val="18"/>
        </w:rPr>
      </w:pPr>
    </w:p>
    <w:p>
      <w:pPr>
        <w:pStyle w:val="BodyText"/>
        <w:spacing w:line="446" w:lineRule="auto" w:before="1"/>
        <w:ind w:left="838" w:right="3817"/>
      </w:pPr>
      <w:r>
        <w:rPr/>
        <w:t>消防控制柜或控制盘应设置专用线路连接的手动直接启泵按钮； 消防控制柜或控制盘应能显示消防水泵和稳压泵的运行状态； </w:t>
      </w:r>
    </w:p>
    <w:p>
      <w:pPr>
        <w:pStyle w:val="BodyText"/>
        <w:spacing w:line="446" w:lineRule="auto"/>
        <w:ind w:left="418" w:right="1817" w:firstLine="419"/>
      </w:pPr>
      <w:r>
        <w:rPr/>
        <w:t>消防控制柜或控制盘应能显示消防水池、高位消防水箱等水源的高水位、低水位报警信号，以及正常水位。 </w:t>
      </w:r>
    </w:p>
    <w:p>
      <w:pPr>
        <w:pStyle w:val="ListParagraph"/>
        <w:numPr>
          <w:ilvl w:val="1"/>
          <w:numId w:val="754"/>
        </w:numPr>
        <w:tabs>
          <w:tab w:pos="1318" w:val="left" w:leader="none"/>
        </w:tabs>
        <w:spacing w:line="240" w:lineRule="auto" w:before="0" w:after="0"/>
        <w:ind w:left="1318" w:right="0" w:hanging="478"/>
        <w:jc w:val="left"/>
        <w:rPr>
          <w:sz w:val="21"/>
        </w:rPr>
      </w:pPr>
      <w:r>
        <w:rPr>
          <w:spacing w:val="-3"/>
          <w:sz w:val="21"/>
        </w:rPr>
        <w:t>消防水泵、稳压泵应设置就地强制启停泵按钮，并应有保护装置。</w:t>
      </w:r>
      <w:r>
        <w:rPr>
          <w:sz w:val="21"/>
        </w:rPr>
        <w:t> </w:t>
      </w:r>
    </w:p>
    <w:p>
      <w:pPr>
        <w:pStyle w:val="BodyText"/>
        <w:spacing w:before="9"/>
        <w:rPr>
          <w:sz w:val="17"/>
        </w:rPr>
      </w:pPr>
    </w:p>
    <w:p>
      <w:pPr>
        <w:pStyle w:val="ListParagraph"/>
        <w:numPr>
          <w:ilvl w:val="1"/>
          <w:numId w:val="754"/>
        </w:numPr>
        <w:tabs>
          <w:tab w:pos="1318" w:val="left" w:leader="none"/>
        </w:tabs>
        <w:spacing w:line="446" w:lineRule="auto" w:before="1" w:after="0"/>
        <w:ind w:left="418" w:right="1500" w:firstLine="422"/>
        <w:jc w:val="left"/>
        <w:rPr>
          <w:sz w:val="21"/>
        </w:rPr>
      </w:pPr>
      <w:r>
        <w:rPr>
          <w:spacing w:val="-4"/>
          <w:sz w:val="21"/>
        </w:rPr>
        <w:t>消防水泵控制柜设置在专用消防水泵控制室时，其防护等级不应低于 </w:t>
      </w:r>
      <w:r>
        <w:rPr>
          <w:sz w:val="21"/>
        </w:rPr>
        <w:t>IP30</w:t>
      </w:r>
      <w:r>
        <w:rPr>
          <w:spacing w:val="-3"/>
          <w:sz w:val="21"/>
        </w:rPr>
        <w:t>；与消防水</w:t>
      </w:r>
      <w:r>
        <w:rPr>
          <w:spacing w:val="-6"/>
          <w:sz w:val="21"/>
        </w:rPr>
        <w:t>泵设置在同一空间时，其防护等级不应低于 </w:t>
      </w:r>
      <w:r>
        <w:rPr>
          <w:sz w:val="21"/>
        </w:rPr>
        <w:t>IP55。 </w:t>
      </w:r>
    </w:p>
    <w:p>
      <w:pPr>
        <w:pStyle w:val="ListParagraph"/>
        <w:numPr>
          <w:ilvl w:val="1"/>
          <w:numId w:val="754"/>
        </w:numPr>
        <w:tabs>
          <w:tab w:pos="1424" w:val="left" w:leader="none"/>
        </w:tabs>
        <w:spacing w:line="446" w:lineRule="auto" w:before="0" w:after="0"/>
        <w:ind w:left="418" w:right="1445" w:firstLine="422"/>
        <w:jc w:val="left"/>
        <w:rPr>
          <w:sz w:val="21"/>
        </w:rPr>
      </w:pPr>
      <w:r>
        <w:rPr>
          <w:spacing w:val="-3"/>
          <w:sz w:val="21"/>
        </w:rPr>
        <w:t>消防水泵控制柜应采取防止被水淹没的措施。在高温潮湿环境下，消防水泵控制柜内应设置自动防潮除湿的装置。</w:t>
      </w:r>
      <w:r>
        <w:rPr>
          <w:sz w:val="21"/>
        </w:rPr>
        <w:t> </w:t>
      </w:r>
    </w:p>
    <w:p>
      <w:pPr>
        <w:pStyle w:val="ListParagraph"/>
        <w:numPr>
          <w:ilvl w:val="1"/>
          <w:numId w:val="754"/>
        </w:numPr>
        <w:tabs>
          <w:tab w:pos="1424" w:val="left" w:leader="none"/>
        </w:tabs>
        <w:spacing w:line="446" w:lineRule="auto" w:before="0" w:after="0"/>
        <w:ind w:left="418" w:right="1445" w:firstLine="422"/>
        <w:jc w:val="left"/>
        <w:rPr>
          <w:sz w:val="21"/>
        </w:rPr>
      </w:pPr>
      <w:r>
        <w:rPr>
          <w:spacing w:val="-3"/>
          <w:sz w:val="21"/>
        </w:rPr>
        <w:t>当消防给水分区供水采用转输消防水泵时，转输泵宜在消防水泵启动后再启动；当消防给水分区供水采用串联消防水泵时，上区消防水泵宜在下区消防水泵启动后再启动。 </w:t>
      </w:r>
    </w:p>
    <w:p>
      <w:pPr>
        <w:pStyle w:val="ListParagraph"/>
        <w:numPr>
          <w:ilvl w:val="1"/>
          <w:numId w:val="754"/>
        </w:numPr>
        <w:tabs>
          <w:tab w:pos="1424" w:val="left" w:leader="none"/>
        </w:tabs>
        <w:spacing w:line="446" w:lineRule="auto" w:before="0" w:after="0"/>
        <w:ind w:left="418" w:right="1445" w:firstLine="422"/>
        <w:jc w:val="left"/>
        <w:rPr>
          <w:b/>
          <w:sz w:val="21"/>
        </w:rPr>
      </w:pPr>
      <w:r>
        <w:rPr>
          <w:spacing w:val="-3"/>
          <w:sz w:val="21"/>
        </w:rPr>
        <w:t>消防水泵控制柜应设置机械应急启泵功能，并应保证在控制柜内的控制线路发生故障时由有管理权限的人员在紧急时启动消防水泵。机械应急启动时，应确保消防水泵在报警 </w:t>
      </w:r>
      <w:r>
        <w:rPr>
          <w:sz w:val="21"/>
        </w:rPr>
        <w:t>5.0min</w:t>
      </w:r>
      <w:r>
        <w:rPr>
          <w:spacing w:val="-10"/>
          <w:sz w:val="21"/>
        </w:rPr>
        <w:t> 内正常工作。</w:t>
      </w:r>
      <w:r>
        <w:rPr>
          <w:b/>
          <w:w w:val="99"/>
          <w:sz w:val="21"/>
        </w:rPr>
        <w:t> </w:t>
      </w:r>
    </w:p>
    <w:p>
      <w:pPr>
        <w:pStyle w:val="ListParagraph"/>
        <w:numPr>
          <w:ilvl w:val="1"/>
          <w:numId w:val="754"/>
        </w:numPr>
        <w:tabs>
          <w:tab w:pos="1424" w:val="left" w:leader="none"/>
        </w:tabs>
        <w:spacing w:line="268" w:lineRule="exact" w:before="0" w:after="0"/>
        <w:ind w:left="1423" w:right="0" w:hanging="584"/>
        <w:jc w:val="left"/>
        <w:rPr>
          <w:sz w:val="21"/>
        </w:rPr>
      </w:pPr>
      <w:r>
        <w:rPr>
          <w:spacing w:val="-3"/>
          <w:sz w:val="21"/>
        </w:rPr>
        <w:t>消防水泵控制柜前面板的明显部位应设置紧急时打开柜门的装置。</w:t>
      </w:r>
      <w:r>
        <w:rPr>
          <w:sz w:val="21"/>
        </w:rPr>
        <w:t> </w:t>
      </w:r>
    </w:p>
    <w:p>
      <w:pPr>
        <w:pStyle w:val="BodyText"/>
        <w:spacing w:before="12"/>
        <w:rPr>
          <w:sz w:val="17"/>
        </w:rPr>
      </w:pPr>
    </w:p>
    <w:p>
      <w:pPr>
        <w:pStyle w:val="ListParagraph"/>
        <w:numPr>
          <w:ilvl w:val="1"/>
          <w:numId w:val="754"/>
        </w:numPr>
        <w:tabs>
          <w:tab w:pos="1424" w:val="left" w:leader="none"/>
        </w:tabs>
        <w:spacing w:line="446" w:lineRule="auto" w:before="0" w:after="0"/>
        <w:ind w:left="418" w:right="1445" w:firstLine="422"/>
        <w:jc w:val="left"/>
        <w:rPr>
          <w:sz w:val="21"/>
        </w:rPr>
      </w:pPr>
      <w:r>
        <w:rPr>
          <w:spacing w:val="-3"/>
          <w:sz w:val="21"/>
        </w:rPr>
        <w:t>火灾时消防水泵应工频运行，消防水泵应工频直接启泵；当功率较大时，宜采用星三角和自耦降压变压器启动，不宜采用有源器件启动。 </w:t>
      </w:r>
    </w:p>
    <w:p>
      <w:pPr>
        <w:pStyle w:val="BodyText"/>
        <w:spacing w:line="446" w:lineRule="auto"/>
        <w:ind w:left="418" w:right="1714" w:firstLine="419"/>
      </w:pPr>
      <w:r>
        <w:rPr>
          <w:w w:val="100"/>
        </w:rPr>
        <w:t> </w:t>
      </w:r>
      <w:r>
        <w:rPr/>
        <w:t>消防水泵准工作状态的自动巡检应采用变频运行，定期人工巡检应工频满负荷运行并出流。 </w:t>
      </w:r>
    </w:p>
    <w:p>
      <w:pPr>
        <w:spacing w:after="0" w:line="446" w:lineRule="auto"/>
        <w:sectPr>
          <w:pgSz w:w="11910" w:h="16850"/>
          <w:pgMar w:header="0" w:footer="1239" w:top="1220" w:bottom="1420" w:left="1260" w:right="0"/>
        </w:sectPr>
      </w:pPr>
    </w:p>
    <w:p>
      <w:pPr>
        <w:pStyle w:val="ListParagraph"/>
        <w:numPr>
          <w:ilvl w:val="1"/>
          <w:numId w:val="754"/>
        </w:numPr>
        <w:tabs>
          <w:tab w:pos="1424" w:val="left" w:leader="none"/>
        </w:tabs>
        <w:spacing w:line="240" w:lineRule="auto" w:before="47" w:after="0"/>
        <w:ind w:left="1423" w:right="0" w:hanging="584"/>
        <w:jc w:val="left"/>
        <w:rPr>
          <w:sz w:val="21"/>
        </w:rPr>
      </w:pPr>
      <w:r>
        <w:rPr>
          <w:spacing w:val="-5"/>
          <w:sz w:val="21"/>
        </w:rPr>
        <w:t>当工频启动消防水泵时，从接通电路到水泵达到额定转速的时间不宜大于表 </w:t>
      </w:r>
      <w:r>
        <w:rPr>
          <w:sz w:val="21"/>
        </w:rPr>
        <w:t>11.0.15</w:t>
      </w:r>
    </w:p>
    <w:p>
      <w:pPr>
        <w:pStyle w:val="BodyText"/>
        <w:rPr>
          <w:sz w:val="18"/>
        </w:rPr>
      </w:pPr>
    </w:p>
    <w:p>
      <w:pPr>
        <w:pStyle w:val="BodyText"/>
        <w:ind w:left="418"/>
      </w:pPr>
      <w:r>
        <w:rPr/>
        <w:t>的规定值。 </w:t>
      </w:r>
    </w:p>
    <w:p>
      <w:pPr>
        <w:pStyle w:val="BodyText"/>
        <w:rPr>
          <w:sz w:val="18"/>
        </w:rPr>
      </w:pPr>
    </w:p>
    <w:p>
      <w:pPr>
        <w:pStyle w:val="Heading6"/>
        <w:ind w:right="492"/>
        <w:jc w:val="center"/>
      </w:pPr>
      <w:r>
        <w:rPr/>
        <w:drawing>
          <wp:anchor distT="0" distB="0" distL="0" distR="0" allowOverlap="1" layoutInCell="1" locked="0" behindDoc="0" simplePos="0" relativeHeight="249">
            <wp:simplePos x="0" y="0"/>
            <wp:positionH relativeFrom="page">
              <wp:posOffset>1227455</wp:posOffset>
            </wp:positionH>
            <wp:positionV relativeFrom="paragraph">
              <wp:posOffset>231647</wp:posOffset>
            </wp:positionV>
            <wp:extent cx="5051162" cy="829818"/>
            <wp:effectExtent l="0" t="0" r="0" b="0"/>
            <wp:wrapTopAndBottom/>
            <wp:docPr id="587" name="image340.jpeg"/>
            <wp:cNvGraphicFramePr>
              <a:graphicFrameLocks noChangeAspect="1"/>
            </wp:cNvGraphicFramePr>
            <a:graphic>
              <a:graphicData uri="http://schemas.openxmlformats.org/drawingml/2006/picture">
                <pic:pic>
                  <pic:nvPicPr>
                    <pic:cNvPr id="588" name="image340.jpeg"/>
                    <pic:cNvPicPr/>
                  </pic:nvPicPr>
                  <pic:blipFill>
                    <a:blip r:embed="rId410" cstate="print"/>
                    <a:stretch>
                      <a:fillRect/>
                    </a:stretch>
                  </pic:blipFill>
                  <pic:spPr>
                    <a:xfrm>
                      <a:off x="0" y="0"/>
                      <a:ext cx="5051162" cy="829818"/>
                    </a:xfrm>
                    <a:prstGeom prst="rect">
                      <a:avLst/>
                    </a:prstGeom>
                  </pic:spPr>
                </pic:pic>
              </a:graphicData>
            </a:graphic>
          </wp:anchor>
        </w:drawing>
      </w:r>
      <w:r>
        <w:rPr/>
        <w:t>表 11.0.15 工频泵启动时间</w:t>
      </w:r>
      <w:r>
        <w:rPr>
          <w:w w:val="99"/>
        </w:rPr>
        <w:t> </w:t>
      </w:r>
    </w:p>
    <w:p>
      <w:pPr>
        <w:pStyle w:val="ListParagraph"/>
        <w:numPr>
          <w:ilvl w:val="1"/>
          <w:numId w:val="754"/>
        </w:numPr>
        <w:tabs>
          <w:tab w:pos="1424" w:val="left" w:leader="none"/>
        </w:tabs>
        <w:spacing w:line="448" w:lineRule="auto" w:before="159" w:after="0"/>
        <w:ind w:left="838" w:right="3654" w:firstLine="2"/>
        <w:jc w:val="left"/>
        <w:rPr>
          <w:sz w:val="21"/>
        </w:rPr>
      </w:pPr>
      <w:r>
        <w:rPr>
          <w:spacing w:val="-3"/>
          <w:sz w:val="21"/>
        </w:rPr>
        <w:t>电动驱动消防水泵自动巡检时，巡检功能应符合下列规定： </w:t>
      </w:r>
      <w:r>
        <w:rPr>
          <w:spacing w:val="-9"/>
          <w:sz w:val="21"/>
        </w:rPr>
        <w:t>巡检周期不宜大于 </w:t>
      </w:r>
      <w:r>
        <w:rPr>
          <w:sz w:val="21"/>
        </w:rPr>
        <w:t>7d</w:t>
      </w:r>
      <w:r>
        <w:rPr>
          <w:spacing w:val="-3"/>
          <w:sz w:val="21"/>
        </w:rPr>
        <w:t>，且应能按需要任意设定；</w:t>
      </w:r>
      <w:r>
        <w:rPr>
          <w:sz w:val="21"/>
        </w:rPr>
        <w:t> </w:t>
      </w:r>
    </w:p>
    <w:p>
      <w:pPr>
        <w:pStyle w:val="BodyText"/>
        <w:spacing w:line="264" w:lineRule="exact"/>
        <w:ind w:left="838"/>
      </w:pPr>
      <w:r>
        <w:rPr/>
        <w:t>以低频交流电源逐台驱动消防水泵，使每台消防水泵低速转动的时间不应少于 2min； </w:t>
      </w:r>
    </w:p>
    <w:p>
      <w:pPr>
        <w:pStyle w:val="BodyText"/>
        <w:spacing w:before="12"/>
        <w:rPr>
          <w:sz w:val="17"/>
        </w:rPr>
      </w:pPr>
    </w:p>
    <w:p>
      <w:pPr>
        <w:pStyle w:val="BodyText"/>
        <w:spacing w:line="446" w:lineRule="auto"/>
        <w:ind w:left="838" w:right="1505"/>
      </w:pPr>
      <w:r>
        <w:rPr>
          <w:spacing w:val="-3"/>
        </w:rPr>
        <w:t>对消防水泵控制柜一次回路中的主要低压器件宜有巡检功能，并应检查器件的动作状态； 当有启泵信号时，应立即退出巡检，进入工作状态； </w:t>
      </w:r>
    </w:p>
    <w:p>
      <w:pPr>
        <w:pStyle w:val="BodyText"/>
        <w:spacing w:line="446" w:lineRule="auto"/>
        <w:ind w:left="838" w:right="4657"/>
      </w:pPr>
      <w:r>
        <w:rPr/>
        <w:t>发现故障时，应有声光报警，并应有记录和储存功能； 自动巡检时，应设置电源自动切换功能的检查。 </w:t>
      </w:r>
    </w:p>
    <w:p>
      <w:pPr>
        <w:pStyle w:val="ListParagraph"/>
        <w:numPr>
          <w:ilvl w:val="1"/>
          <w:numId w:val="754"/>
        </w:numPr>
        <w:tabs>
          <w:tab w:pos="1424" w:val="left" w:leader="none"/>
        </w:tabs>
        <w:spacing w:line="446" w:lineRule="auto" w:before="1" w:after="0"/>
        <w:ind w:left="838" w:right="5336" w:firstLine="2"/>
        <w:jc w:val="left"/>
        <w:rPr>
          <w:sz w:val="21"/>
        </w:rPr>
      </w:pPr>
      <w:r>
        <w:rPr>
          <w:spacing w:val="-3"/>
          <w:sz w:val="21"/>
        </w:rPr>
        <w:t>消防水泵的双电源切换应符合下列规定： </w:t>
      </w:r>
      <w:r>
        <w:rPr>
          <w:spacing w:val="-7"/>
          <w:sz w:val="21"/>
        </w:rPr>
        <w:t>双路电源自动切换时间不应大于 </w:t>
      </w:r>
      <w:r>
        <w:rPr>
          <w:sz w:val="21"/>
        </w:rPr>
        <w:t>2s； </w:t>
      </w:r>
    </w:p>
    <w:p>
      <w:pPr>
        <w:pStyle w:val="BodyText"/>
        <w:spacing w:line="267" w:lineRule="exact"/>
        <w:ind w:left="838"/>
      </w:pPr>
      <w:r>
        <w:rPr/>
        <w:t>当一路电源与内燃机动力的切换时间不应大于 15s。 </w:t>
      </w:r>
    </w:p>
    <w:p>
      <w:pPr>
        <w:pStyle w:val="BodyText"/>
        <w:spacing w:before="1"/>
        <w:rPr>
          <w:sz w:val="18"/>
        </w:rPr>
      </w:pPr>
    </w:p>
    <w:p>
      <w:pPr>
        <w:pStyle w:val="ListParagraph"/>
        <w:numPr>
          <w:ilvl w:val="1"/>
          <w:numId w:val="754"/>
        </w:numPr>
        <w:tabs>
          <w:tab w:pos="1424" w:val="left" w:leader="none"/>
        </w:tabs>
        <w:spacing w:line="446" w:lineRule="auto" w:before="1" w:after="0"/>
        <w:ind w:left="418" w:right="1445" w:firstLine="422"/>
        <w:jc w:val="left"/>
        <w:rPr>
          <w:sz w:val="21"/>
        </w:rPr>
      </w:pPr>
      <w:r>
        <w:rPr>
          <w:spacing w:val="-3"/>
          <w:sz w:val="21"/>
        </w:rPr>
        <w:t>消防水泵控制柜应有显示消防水泵工作状态和故障状态的输出端子及远程控制消防水泵启动的输入端子。控制柜应具有自动巡检可调、显示巡检状态和信号等功能，且对话界面应 有汉语语言，图标应便于识别和操作。</w:t>
      </w:r>
      <w:r>
        <w:rPr>
          <w:sz w:val="21"/>
        </w:rPr>
        <w:t> </w:t>
      </w:r>
    </w:p>
    <w:p>
      <w:pPr>
        <w:pStyle w:val="ListParagraph"/>
        <w:numPr>
          <w:ilvl w:val="1"/>
          <w:numId w:val="754"/>
        </w:numPr>
        <w:tabs>
          <w:tab w:pos="1424" w:val="left" w:leader="none"/>
        </w:tabs>
        <w:spacing w:line="446" w:lineRule="auto" w:before="0" w:after="0"/>
        <w:ind w:left="418" w:right="1445" w:firstLine="422"/>
        <w:jc w:val="left"/>
        <w:rPr>
          <w:sz w:val="21"/>
        </w:rPr>
      </w:pPr>
      <w:r>
        <w:rPr>
          <w:spacing w:val="-3"/>
          <w:sz w:val="21"/>
        </w:rPr>
        <w:t>消火栓按钮不宜作为直接启动消防水泵的开关，但可作为发出报警信号的开关或启动干式消火栓系统的快速启闭装置等。</w:t>
      </w:r>
      <w:r>
        <w:rPr>
          <w:sz w:val="21"/>
        </w:rPr>
        <w:t> </w:t>
      </w:r>
    </w:p>
    <w:p>
      <w:pPr>
        <w:pStyle w:val="Heading4"/>
        <w:spacing w:line="276" w:lineRule="exact"/>
      </w:pPr>
      <w:r>
        <w:rPr/>
        <w:t>12 施工</w:t>
      </w:r>
      <w:r>
        <w:rPr>
          <w:w w:val="99"/>
        </w:rPr>
        <w:t> </w:t>
      </w:r>
    </w:p>
    <w:p>
      <w:pPr>
        <w:pStyle w:val="BodyText"/>
        <w:spacing w:before="4"/>
        <w:rPr>
          <w:b/>
          <w:sz w:val="17"/>
        </w:rPr>
      </w:pPr>
    </w:p>
    <w:p>
      <w:pPr>
        <w:pStyle w:val="ListParagraph"/>
        <w:numPr>
          <w:ilvl w:val="1"/>
          <w:numId w:val="755"/>
        </w:numPr>
        <w:tabs>
          <w:tab w:pos="1266" w:val="left" w:leader="none"/>
        </w:tabs>
        <w:spacing w:line="240" w:lineRule="auto" w:before="0" w:after="0"/>
        <w:ind w:left="1265" w:right="0" w:hanging="426"/>
        <w:jc w:val="left"/>
        <w:rPr>
          <w:b/>
          <w:sz w:val="21"/>
        </w:rPr>
      </w:pPr>
      <w:r>
        <w:rPr>
          <w:spacing w:val="-3"/>
          <w:sz w:val="21"/>
        </w:rPr>
        <w:t>一般规定</w:t>
      </w:r>
      <w:r>
        <w:rPr>
          <w:b/>
          <w:w w:val="99"/>
          <w:sz w:val="21"/>
        </w:rPr>
        <w:t> </w:t>
      </w:r>
    </w:p>
    <w:p>
      <w:pPr>
        <w:pStyle w:val="BodyText"/>
        <w:rPr>
          <w:b/>
          <w:sz w:val="18"/>
        </w:rPr>
      </w:pPr>
    </w:p>
    <w:p>
      <w:pPr>
        <w:pStyle w:val="ListParagraph"/>
        <w:numPr>
          <w:ilvl w:val="2"/>
          <w:numId w:val="755"/>
        </w:numPr>
        <w:tabs>
          <w:tab w:pos="1530" w:val="left" w:leader="none"/>
        </w:tabs>
        <w:spacing w:line="240" w:lineRule="auto" w:before="0" w:after="0"/>
        <w:ind w:left="1529" w:right="0" w:hanging="690"/>
        <w:jc w:val="left"/>
        <w:rPr>
          <w:sz w:val="21"/>
        </w:rPr>
      </w:pPr>
      <w:r>
        <w:rPr>
          <w:spacing w:val="-3"/>
          <w:sz w:val="21"/>
        </w:rPr>
        <w:t>消防给水及消火栓系统的施工必须由具有相应等级资质的施工队伍承担。 </w:t>
      </w:r>
    </w:p>
    <w:p>
      <w:pPr>
        <w:pStyle w:val="BodyText"/>
        <w:spacing w:before="12"/>
        <w:rPr>
          <w:sz w:val="17"/>
        </w:rPr>
      </w:pPr>
    </w:p>
    <w:p>
      <w:pPr>
        <w:pStyle w:val="ListParagraph"/>
        <w:numPr>
          <w:ilvl w:val="2"/>
          <w:numId w:val="755"/>
        </w:numPr>
        <w:tabs>
          <w:tab w:pos="1530" w:val="left" w:leader="none"/>
        </w:tabs>
        <w:spacing w:line="446" w:lineRule="auto" w:before="0" w:after="0"/>
        <w:ind w:left="418" w:right="1757" w:firstLine="422"/>
        <w:jc w:val="left"/>
        <w:rPr>
          <w:sz w:val="21"/>
        </w:rPr>
      </w:pPr>
      <w:r>
        <w:rPr>
          <w:spacing w:val="-4"/>
          <w:sz w:val="21"/>
        </w:rPr>
        <w:t>消防给水及消火栓系统分部工程、子分部工程、分项工程，宜按本规范附录 </w:t>
      </w:r>
      <w:r>
        <w:rPr>
          <w:sz w:val="21"/>
        </w:rPr>
        <w:t>A</w:t>
      </w:r>
      <w:r>
        <w:rPr>
          <w:spacing w:val="-18"/>
          <w:sz w:val="21"/>
        </w:rPr>
        <w:t> 划</w:t>
      </w:r>
      <w:r>
        <w:rPr>
          <w:spacing w:val="-11"/>
          <w:sz w:val="21"/>
        </w:rPr>
        <w:t>分。</w:t>
      </w:r>
      <w:r>
        <w:rPr>
          <w:sz w:val="21"/>
        </w:rPr>
        <w:t> </w:t>
      </w:r>
    </w:p>
    <w:p>
      <w:pPr>
        <w:pStyle w:val="ListParagraph"/>
        <w:numPr>
          <w:ilvl w:val="2"/>
          <w:numId w:val="755"/>
        </w:numPr>
        <w:tabs>
          <w:tab w:pos="1530" w:val="left" w:leader="none"/>
        </w:tabs>
        <w:spacing w:line="446" w:lineRule="auto" w:before="1" w:after="0"/>
        <w:ind w:left="418" w:right="1549" w:firstLine="422"/>
        <w:jc w:val="left"/>
        <w:rPr>
          <w:sz w:val="21"/>
        </w:rPr>
      </w:pPr>
      <w:r>
        <w:rPr>
          <w:spacing w:val="-3"/>
          <w:sz w:val="21"/>
        </w:rPr>
        <w:t>系统施工应按设计要求编制施工方案或施工组织设计。施工现场应具有相应的施工</w:t>
      </w:r>
      <w:r>
        <w:rPr>
          <w:spacing w:val="-5"/>
          <w:sz w:val="21"/>
        </w:rPr>
        <w:t>技术标准、施工质量管理体系和工程质量检验制度，并应按本规范附录 </w:t>
      </w:r>
      <w:r>
        <w:rPr>
          <w:sz w:val="21"/>
        </w:rPr>
        <w:t>B</w:t>
      </w:r>
      <w:r>
        <w:rPr>
          <w:spacing w:val="-8"/>
          <w:sz w:val="21"/>
        </w:rPr>
        <w:t> 的要求填写有关记</w:t>
      </w:r>
    </w:p>
    <w:p>
      <w:pPr>
        <w:spacing w:after="0" w:line="446" w:lineRule="auto"/>
        <w:jc w:val="left"/>
        <w:rPr>
          <w:sz w:val="21"/>
        </w:rPr>
        <w:sectPr>
          <w:footerReference w:type="default" r:id="rId409"/>
          <w:pgSz w:w="11910" w:h="16850"/>
          <w:pgMar w:footer="1239" w:header="0" w:top="1220" w:bottom="1420" w:left="1260" w:right="0"/>
          <w:pgNumType w:start="1360"/>
        </w:sectPr>
      </w:pPr>
    </w:p>
    <w:p>
      <w:pPr>
        <w:pStyle w:val="BodyText"/>
        <w:spacing w:before="47"/>
        <w:ind w:left="418"/>
      </w:pPr>
      <w:r>
        <w:rPr/>
        <w:t>录。 </w:t>
      </w:r>
    </w:p>
    <w:p>
      <w:pPr>
        <w:pStyle w:val="BodyText"/>
        <w:rPr>
          <w:sz w:val="18"/>
        </w:rPr>
      </w:pPr>
    </w:p>
    <w:p>
      <w:pPr>
        <w:pStyle w:val="ListParagraph"/>
        <w:numPr>
          <w:ilvl w:val="2"/>
          <w:numId w:val="755"/>
        </w:numPr>
        <w:tabs>
          <w:tab w:pos="1530" w:val="left" w:leader="none"/>
        </w:tabs>
        <w:spacing w:line="446" w:lineRule="auto" w:before="0" w:after="0"/>
        <w:ind w:left="838" w:right="4446" w:firstLine="2"/>
        <w:jc w:val="left"/>
        <w:rPr>
          <w:sz w:val="21"/>
        </w:rPr>
      </w:pPr>
      <w:r>
        <w:rPr>
          <w:spacing w:val="-3"/>
          <w:sz w:val="21"/>
        </w:rPr>
        <w:t>消防给水及消火栓系统施工前应具备下列条件： 施工图应经国家相关机构审查审核批准或备案后再施工；</w:t>
      </w:r>
      <w:r>
        <w:rPr>
          <w:sz w:val="21"/>
        </w:rPr>
        <w:t> </w:t>
      </w:r>
    </w:p>
    <w:p>
      <w:pPr>
        <w:pStyle w:val="BodyText"/>
        <w:spacing w:line="446" w:lineRule="auto"/>
        <w:ind w:left="418" w:right="1609" w:firstLine="419"/>
      </w:pPr>
      <w:r>
        <w:rPr/>
        <w:t>平面图、系统图（展开系统原理图）、详图等图纸及说明书、设备表、材料表等技术文件应齐全； </w:t>
      </w:r>
    </w:p>
    <w:p>
      <w:pPr>
        <w:pStyle w:val="BodyText"/>
        <w:spacing w:line="267" w:lineRule="exact"/>
        <w:ind w:left="838"/>
      </w:pPr>
      <w:r>
        <w:rPr/>
        <w:t>设计单位应向施工、建设、监理单位进行技术交底； </w:t>
      </w:r>
    </w:p>
    <w:p>
      <w:pPr>
        <w:pStyle w:val="BodyText"/>
        <w:spacing w:before="2"/>
        <w:rPr>
          <w:sz w:val="18"/>
        </w:rPr>
      </w:pPr>
    </w:p>
    <w:p>
      <w:pPr>
        <w:pStyle w:val="BodyText"/>
        <w:spacing w:line="446" w:lineRule="auto"/>
        <w:ind w:left="838" w:right="2977"/>
      </w:pPr>
      <w:r>
        <w:rPr>
          <w:spacing w:val="-3"/>
        </w:rPr>
        <w:t>系统主要设备、组件、管材管件及其他设备、材料，应能保证正常施工； 施工现场及施工中使用的水、电、气应满足施工要求。</w:t>
      </w:r>
      <w:r>
        <w:rPr/>
        <w:t> </w:t>
      </w:r>
    </w:p>
    <w:p>
      <w:pPr>
        <w:pStyle w:val="ListParagraph"/>
        <w:numPr>
          <w:ilvl w:val="2"/>
          <w:numId w:val="755"/>
        </w:numPr>
        <w:tabs>
          <w:tab w:pos="1530" w:val="left" w:leader="none"/>
        </w:tabs>
        <w:spacing w:line="446" w:lineRule="auto" w:before="0" w:after="0"/>
        <w:ind w:left="418" w:right="1549" w:firstLine="422"/>
        <w:jc w:val="left"/>
        <w:rPr>
          <w:sz w:val="21"/>
        </w:rPr>
      </w:pPr>
      <w:r>
        <w:rPr>
          <w:spacing w:val="-3"/>
          <w:sz w:val="21"/>
        </w:rPr>
        <w:t>消防给水及消火栓系统工程的施工，应按批准的工程设计文件和施工技术标准进行施工。</w:t>
      </w:r>
      <w:r>
        <w:rPr>
          <w:sz w:val="21"/>
        </w:rPr>
        <w:t> </w:t>
      </w:r>
    </w:p>
    <w:p>
      <w:pPr>
        <w:pStyle w:val="ListParagraph"/>
        <w:numPr>
          <w:ilvl w:val="2"/>
          <w:numId w:val="755"/>
        </w:numPr>
        <w:tabs>
          <w:tab w:pos="1530" w:val="left" w:leader="none"/>
        </w:tabs>
        <w:spacing w:line="446" w:lineRule="auto" w:before="0" w:after="0"/>
        <w:ind w:left="838" w:right="2494" w:firstLine="2"/>
        <w:jc w:val="left"/>
        <w:rPr>
          <w:sz w:val="21"/>
        </w:rPr>
      </w:pPr>
      <w:r>
        <w:rPr>
          <w:spacing w:val="-3"/>
          <w:sz w:val="21"/>
        </w:rPr>
        <w:t>消防给水及消火栓系统工程的施工过程质量控制，应按下列规定进行： 应校对审核图纸复核是否同施工现场一致；</w:t>
      </w:r>
      <w:r>
        <w:rPr>
          <w:sz w:val="21"/>
        </w:rPr>
        <w:t> </w:t>
      </w:r>
    </w:p>
    <w:p>
      <w:pPr>
        <w:pStyle w:val="BodyText"/>
        <w:spacing w:line="446" w:lineRule="auto"/>
        <w:ind w:left="418" w:right="1609" w:firstLine="419"/>
      </w:pPr>
      <w:r>
        <w:rPr/>
        <w:t>各工序应按施工技术标准进行质量控制，每道工序完成后，应进行检查，并应检查合格后再进行下道工序； </w:t>
      </w:r>
    </w:p>
    <w:p>
      <w:pPr>
        <w:pStyle w:val="BodyText"/>
        <w:spacing w:line="446" w:lineRule="auto"/>
        <w:ind w:left="838" w:right="2134"/>
      </w:pPr>
      <w:r>
        <w:rPr>
          <w:spacing w:val="-3"/>
        </w:rPr>
        <w:t>相关各专业工种之间应进行交接检验，并应经监理工程师签证后再进行下道工序； 安装工程完工后，施工单位应按相关专业调试规定进行调试；</w:t>
      </w:r>
      <w:r>
        <w:rPr/>
        <w:t> </w:t>
      </w:r>
    </w:p>
    <w:p>
      <w:pPr>
        <w:pStyle w:val="BodyText"/>
        <w:spacing w:line="446" w:lineRule="auto"/>
        <w:ind w:left="838" w:right="1714"/>
      </w:pPr>
      <w:r>
        <w:rPr>
          <w:spacing w:val="-3"/>
        </w:rPr>
        <w:t>调试完工后，施工单位应向建设单位提供质量控制资料和各类施工过程质量检查记录； 施工过程质量检查组织应由监理工程师组织施工单位人员组成；</w:t>
      </w:r>
      <w:r>
        <w:rPr/>
        <w:t> </w:t>
      </w:r>
    </w:p>
    <w:p>
      <w:pPr>
        <w:pStyle w:val="BodyText"/>
        <w:ind w:left="838"/>
      </w:pPr>
      <w:r>
        <w:rPr/>
        <w:t>施工过程质量检查记录应按本规范表 C.0.1 的要求填写。 </w:t>
      </w:r>
    </w:p>
    <w:p>
      <w:pPr>
        <w:pStyle w:val="BodyText"/>
        <w:spacing w:before="8"/>
        <w:rPr>
          <w:sz w:val="17"/>
        </w:rPr>
      </w:pPr>
    </w:p>
    <w:p>
      <w:pPr>
        <w:pStyle w:val="ListParagraph"/>
        <w:numPr>
          <w:ilvl w:val="2"/>
          <w:numId w:val="755"/>
        </w:numPr>
        <w:tabs>
          <w:tab w:pos="1530" w:val="left" w:leader="none"/>
        </w:tabs>
        <w:spacing w:line="240" w:lineRule="auto" w:before="0" w:after="0"/>
        <w:ind w:left="1529" w:right="0" w:hanging="690"/>
        <w:jc w:val="left"/>
        <w:rPr>
          <w:sz w:val="21"/>
        </w:rPr>
      </w:pPr>
      <w:r>
        <w:rPr>
          <w:spacing w:val="-6"/>
          <w:sz w:val="21"/>
        </w:rPr>
        <w:t>消防给水及消火栓系统质量控制资料应按本规范附录 </w:t>
      </w:r>
      <w:r>
        <w:rPr>
          <w:sz w:val="21"/>
        </w:rPr>
        <w:t>D</w:t>
      </w:r>
      <w:r>
        <w:rPr>
          <w:spacing w:val="-10"/>
          <w:sz w:val="21"/>
        </w:rPr>
        <w:t> 的要求填写。 </w:t>
      </w:r>
    </w:p>
    <w:p>
      <w:pPr>
        <w:pStyle w:val="BodyText"/>
        <w:rPr>
          <w:sz w:val="18"/>
        </w:rPr>
      </w:pPr>
    </w:p>
    <w:p>
      <w:pPr>
        <w:pStyle w:val="ListParagraph"/>
        <w:numPr>
          <w:ilvl w:val="2"/>
          <w:numId w:val="755"/>
        </w:numPr>
        <w:tabs>
          <w:tab w:pos="1530" w:val="left" w:leader="none"/>
        </w:tabs>
        <w:spacing w:line="446" w:lineRule="auto" w:before="0" w:after="0"/>
        <w:ind w:left="418" w:right="1549" w:firstLine="422"/>
        <w:jc w:val="left"/>
        <w:rPr>
          <w:sz w:val="21"/>
        </w:rPr>
      </w:pPr>
      <w:r>
        <w:rPr>
          <w:spacing w:val="-3"/>
          <w:sz w:val="21"/>
        </w:rPr>
        <w:t>分部工程质量验收应由建设单位组织施工、监理和设计等单位相关人员进行，并应</w:t>
      </w:r>
      <w:r>
        <w:rPr>
          <w:spacing w:val="6"/>
          <w:sz w:val="21"/>
        </w:rPr>
        <w:t>按本规范附录</w:t>
      </w:r>
      <w:r>
        <w:rPr>
          <w:sz w:val="21"/>
        </w:rPr>
        <w:t>E</w:t>
      </w:r>
      <w:r>
        <w:rPr>
          <w:spacing w:val="-9"/>
          <w:sz w:val="21"/>
        </w:rPr>
        <w:t> 的要求填写消防给水及消火栓系统工程验收记录。</w:t>
      </w:r>
      <w:r>
        <w:rPr>
          <w:sz w:val="21"/>
        </w:rPr>
        <w:t> </w:t>
      </w:r>
    </w:p>
    <w:p>
      <w:pPr>
        <w:pStyle w:val="ListParagraph"/>
        <w:numPr>
          <w:ilvl w:val="2"/>
          <w:numId w:val="755"/>
        </w:numPr>
        <w:tabs>
          <w:tab w:pos="1530" w:val="left" w:leader="none"/>
        </w:tabs>
        <w:spacing w:line="446" w:lineRule="auto" w:before="0" w:after="0"/>
        <w:ind w:left="418" w:right="1448" w:firstLine="422"/>
        <w:jc w:val="left"/>
        <w:rPr>
          <w:sz w:val="21"/>
        </w:rPr>
      </w:pPr>
      <w:r>
        <w:rPr>
          <w:spacing w:val="-5"/>
          <w:sz w:val="21"/>
        </w:rPr>
        <w:t>当建筑物仅设有消防软管卷盘或轻便水龙和 </w:t>
      </w:r>
      <w:r>
        <w:rPr>
          <w:sz w:val="21"/>
        </w:rPr>
        <w:t>DN25</w:t>
      </w:r>
      <w:r>
        <w:rPr>
          <w:spacing w:val="-8"/>
          <w:sz w:val="21"/>
        </w:rPr>
        <w:t> 消火栓时，其施工验收维护管理等</w:t>
      </w:r>
      <w:r>
        <w:rPr>
          <w:spacing w:val="-5"/>
          <w:sz w:val="21"/>
        </w:rPr>
        <w:t>应符合现行国家标准《建筑给水排水及采暖工程施工及验收规范》</w:t>
      </w:r>
      <w:r>
        <w:rPr>
          <w:sz w:val="21"/>
        </w:rPr>
        <w:t>GB</w:t>
      </w:r>
      <w:r>
        <w:rPr>
          <w:spacing w:val="6"/>
          <w:sz w:val="21"/>
        </w:rPr>
        <w:t> </w:t>
      </w:r>
      <w:r>
        <w:rPr>
          <w:sz w:val="21"/>
        </w:rPr>
        <w:t>50242</w:t>
      </w:r>
      <w:r>
        <w:rPr>
          <w:spacing w:val="-10"/>
          <w:sz w:val="21"/>
        </w:rPr>
        <w:t> 的有关规定。 </w:t>
      </w:r>
    </w:p>
    <w:p>
      <w:pPr>
        <w:pStyle w:val="ListParagraph"/>
        <w:numPr>
          <w:ilvl w:val="1"/>
          <w:numId w:val="755"/>
        </w:numPr>
        <w:tabs>
          <w:tab w:pos="1264" w:val="left" w:leader="none"/>
        </w:tabs>
        <w:spacing w:line="240" w:lineRule="auto" w:before="0" w:after="0"/>
        <w:ind w:left="1263" w:right="0" w:hanging="424"/>
        <w:jc w:val="left"/>
        <w:rPr>
          <w:b/>
          <w:sz w:val="21"/>
        </w:rPr>
      </w:pPr>
      <w:r>
        <w:rPr>
          <w:spacing w:val="-3"/>
          <w:sz w:val="21"/>
        </w:rPr>
        <w:t>进场检验</w:t>
      </w:r>
      <w:r>
        <w:rPr>
          <w:b/>
          <w:w w:val="99"/>
          <w:sz w:val="21"/>
        </w:rPr>
        <w:t> </w:t>
      </w:r>
    </w:p>
    <w:p>
      <w:pPr>
        <w:pStyle w:val="BodyText"/>
        <w:spacing w:before="12"/>
        <w:rPr>
          <w:b/>
          <w:sz w:val="17"/>
        </w:rPr>
      </w:pPr>
    </w:p>
    <w:p>
      <w:pPr>
        <w:pStyle w:val="ListParagraph"/>
        <w:numPr>
          <w:ilvl w:val="2"/>
          <w:numId w:val="755"/>
        </w:numPr>
        <w:tabs>
          <w:tab w:pos="1530" w:val="left" w:leader="none"/>
        </w:tabs>
        <w:spacing w:line="446" w:lineRule="auto" w:before="0" w:after="0"/>
        <w:ind w:left="418" w:right="1549" w:firstLine="422"/>
        <w:jc w:val="left"/>
        <w:rPr>
          <w:sz w:val="21"/>
        </w:rPr>
      </w:pPr>
      <w:r>
        <w:rPr>
          <w:spacing w:val="-3"/>
          <w:sz w:val="21"/>
        </w:rPr>
        <w:t>消防给水及消火栓系统施工前应对采用的主要设备、系统组件、管材管件及其他设备、材料进行进场检查，并应符合下列要求：</w:t>
      </w:r>
      <w:r>
        <w:rPr>
          <w:sz w:val="21"/>
        </w:rPr>
        <w:t> </w:t>
      </w:r>
    </w:p>
    <w:p>
      <w:pPr>
        <w:pStyle w:val="BodyText"/>
        <w:ind w:left="838"/>
      </w:pPr>
      <w:r>
        <w:rPr/>
        <w:t>主要设备、系统组件、管材管件及其他设备、材料，应符合国家现行相关产品标准的规</w:t>
      </w:r>
    </w:p>
    <w:p>
      <w:pPr>
        <w:spacing w:after="0"/>
        <w:sectPr>
          <w:pgSz w:w="11910" w:h="16850"/>
          <w:pgMar w:header="0" w:footer="1239" w:top="1220" w:bottom="1420" w:left="1260" w:right="0"/>
        </w:sectPr>
      </w:pPr>
    </w:p>
    <w:p>
      <w:pPr>
        <w:pStyle w:val="BodyText"/>
        <w:spacing w:before="47"/>
        <w:ind w:left="418"/>
      </w:pPr>
      <w:r>
        <w:rPr/>
        <w:t>定，并应具有出厂合格证或质量认证书； </w:t>
      </w:r>
    </w:p>
    <w:p>
      <w:pPr>
        <w:pStyle w:val="BodyText"/>
        <w:rPr>
          <w:sz w:val="18"/>
        </w:rPr>
      </w:pPr>
    </w:p>
    <w:p>
      <w:pPr>
        <w:pStyle w:val="BodyText"/>
        <w:ind w:left="838"/>
      </w:pPr>
      <w:r>
        <w:rPr/>
        <w:t>消防水泵、消火栓、消防水带、消防水枪、消防软管卷盘或轻便水龙、报警阀组、电动</w:t>
      </w:r>
    </w:p>
    <w:p>
      <w:pPr>
        <w:pStyle w:val="BodyText"/>
        <w:rPr>
          <w:sz w:val="18"/>
        </w:rPr>
      </w:pPr>
    </w:p>
    <w:p>
      <w:pPr>
        <w:pStyle w:val="BodyText"/>
        <w:spacing w:line="446" w:lineRule="auto"/>
        <w:ind w:left="418" w:right="1505"/>
      </w:pPr>
      <w:r>
        <w:rPr/>
        <w:t>（磁） 阀、压力开关、流量开关、消防水泵接合器、沟槽连接件等系统主要设备和组件，应经国家消防产品质量监督检验中心检测合格； </w:t>
      </w:r>
    </w:p>
    <w:p>
      <w:pPr>
        <w:pStyle w:val="BodyText"/>
        <w:spacing w:line="446" w:lineRule="auto"/>
        <w:ind w:left="418" w:right="1608" w:firstLine="419"/>
        <w:jc w:val="both"/>
      </w:pPr>
      <w:r>
        <w:rPr/>
        <w:t>稳压泵、气压水罐、消防水箱、自动排气阀、信号阀、止回阀、安全阀、减压阀、倒流防止器、蝶阀、闸阀、流量计、压力表、水位计等，应经相应国家产品质量监督检验中心检测合格； </w:t>
      </w:r>
    </w:p>
    <w:p>
      <w:pPr>
        <w:pStyle w:val="BodyText"/>
        <w:spacing w:line="446" w:lineRule="auto"/>
        <w:ind w:left="418" w:right="1609" w:firstLine="419"/>
      </w:pPr>
      <w:r>
        <w:rPr/>
        <w:t>气压水罐、组合式消防水池、屋顶消防水箱、地下水取水和地表水取水设施，以及其附件等，应符合国家现行相关产品标准的规定。 </w:t>
      </w:r>
    </w:p>
    <w:p>
      <w:pPr>
        <w:pStyle w:val="BodyText"/>
        <w:ind w:left="838"/>
      </w:pPr>
      <w:r>
        <w:rPr/>
        <w:t>检查数量：全数检查。 </w:t>
      </w:r>
    </w:p>
    <w:p>
      <w:pPr>
        <w:pStyle w:val="BodyText"/>
        <w:spacing w:before="11"/>
        <w:rPr>
          <w:sz w:val="17"/>
        </w:rPr>
      </w:pPr>
    </w:p>
    <w:p>
      <w:pPr>
        <w:pStyle w:val="BodyText"/>
        <w:ind w:left="838"/>
      </w:pPr>
      <w:r>
        <w:rPr/>
        <w:t>检查方法：检查相关资料。 </w:t>
      </w:r>
    </w:p>
    <w:p>
      <w:pPr>
        <w:pStyle w:val="BodyText"/>
        <w:spacing w:before="12"/>
        <w:rPr>
          <w:sz w:val="17"/>
        </w:rPr>
      </w:pPr>
    </w:p>
    <w:p>
      <w:pPr>
        <w:pStyle w:val="ListParagraph"/>
        <w:numPr>
          <w:ilvl w:val="2"/>
          <w:numId w:val="755"/>
        </w:numPr>
        <w:tabs>
          <w:tab w:pos="1530" w:val="left" w:leader="none"/>
        </w:tabs>
        <w:spacing w:line="240" w:lineRule="auto" w:before="0" w:after="0"/>
        <w:ind w:left="1529" w:right="0" w:hanging="690"/>
        <w:jc w:val="left"/>
        <w:rPr>
          <w:sz w:val="21"/>
        </w:rPr>
      </w:pPr>
      <w:r>
        <w:rPr>
          <w:spacing w:val="-3"/>
          <w:sz w:val="21"/>
        </w:rPr>
        <w:t>消防水泵和稳压泵的检验应符合下列要求：</w:t>
      </w:r>
      <w:r>
        <w:rPr>
          <w:sz w:val="21"/>
        </w:rPr>
        <w:t> </w:t>
      </w:r>
    </w:p>
    <w:p>
      <w:pPr>
        <w:pStyle w:val="BodyText"/>
        <w:spacing w:before="2"/>
        <w:rPr>
          <w:sz w:val="18"/>
        </w:rPr>
      </w:pPr>
    </w:p>
    <w:p>
      <w:pPr>
        <w:pStyle w:val="BodyText"/>
        <w:ind w:left="838"/>
      </w:pPr>
      <w:r>
        <w:rPr/>
        <w:t>消防水泵和稳压泵的流量、压力和电机功率应满足设计要求； </w:t>
      </w:r>
    </w:p>
    <w:p>
      <w:pPr>
        <w:pStyle w:val="BodyText"/>
        <w:rPr>
          <w:sz w:val="18"/>
        </w:rPr>
      </w:pPr>
    </w:p>
    <w:p>
      <w:pPr>
        <w:pStyle w:val="BodyText"/>
        <w:ind w:left="838"/>
      </w:pPr>
      <w:r>
        <w:rPr/>
        <w:t>消防水泵产品质量应符合现行国家标准《消防泵》GB 6245、《离心泵技术条件（Ⅰ）类》</w:t>
      </w:r>
    </w:p>
    <w:p>
      <w:pPr>
        <w:pStyle w:val="BodyText"/>
        <w:rPr>
          <w:sz w:val="18"/>
        </w:rPr>
      </w:pPr>
    </w:p>
    <w:p>
      <w:pPr>
        <w:pStyle w:val="BodyText"/>
        <w:ind w:left="418"/>
      </w:pPr>
      <w:r>
        <w:rPr/>
        <w:t>GB/T 16907 或《离心泵技术条件（Ⅱ类）》GB /T 5656 的有关规定； </w:t>
      </w:r>
    </w:p>
    <w:p>
      <w:pPr>
        <w:pStyle w:val="BodyText"/>
        <w:spacing w:before="1"/>
        <w:rPr>
          <w:sz w:val="18"/>
        </w:rPr>
      </w:pPr>
    </w:p>
    <w:p>
      <w:pPr>
        <w:pStyle w:val="BodyText"/>
        <w:spacing w:line="446" w:lineRule="auto" w:before="1"/>
        <w:ind w:left="418" w:right="1819" w:firstLine="419"/>
      </w:pPr>
      <w:r>
        <w:rPr/>
        <w:t>稳压泵产品质量应符合现行国家标准《离心泵技术条件（Ⅱ类）》GB/T 5656 的有关规定； </w:t>
      </w:r>
    </w:p>
    <w:p>
      <w:pPr>
        <w:pStyle w:val="BodyText"/>
        <w:spacing w:line="446" w:lineRule="auto"/>
        <w:ind w:left="838" w:right="3606"/>
      </w:pPr>
      <w:r>
        <w:rPr/>
        <w:t>消防水泵和稳压泵的电机功率应满足水泵全性能曲线运行的要求； 泵及电机的外观表面不应有碰损，轴心不应有偏心。 </w:t>
      </w:r>
    </w:p>
    <w:p>
      <w:pPr>
        <w:pStyle w:val="BodyText"/>
        <w:ind w:left="838"/>
      </w:pPr>
      <w:r>
        <w:rPr/>
        <w:t>检查数量：全数检查。 </w:t>
      </w:r>
    </w:p>
    <w:p>
      <w:pPr>
        <w:pStyle w:val="BodyText"/>
        <w:spacing w:before="10"/>
        <w:rPr>
          <w:sz w:val="17"/>
        </w:rPr>
      </w:pPr>
    </w:p>
    <w:p>
      <w:pPr>
        <w:pStyle w:val="BodyText"/>
        <w:ind w:left="838"/>
      </w:pPr>
      <w:r>
        <w:rPr/>
        <w:t>检查方法：直观检查和查验认证文件。 </w:t>
      </w:r>
    </w:p>
    <w:p>
      <w:pPr>
        <w:pStyle w:val="BodyText"/>
        <w:spacing w:before="2"/>
        <w:rPr>
          <w:sz w:val="18"/>
        </w:rPr>
      </w:pPr>
    </w:p>
    <w:p>
      <w:pPr>
        <w:pStyle w:val="ListParagraph"/>
        <w:numPr>
          <w:ilvl w:val="2"/>
          <w:numId w:val="755"/>
        </w:numPr>
        <w:tabs>
          <w:tab w:pos="1530" w:val="left" w:leader="none"/>
        </w:tabs>
        <w:spacing w:line="240" w:lineRule="auto" w:before="0" w:after="0"/>
        <w:ind w:left="1529" w:right="0" w:hanging="690"/>
        <w:jc w:val="left"/>
        <w:rPr>
          <w:sz w:val="21"/>
        </w:rPr>
      </w:pPr>
      <w:r>
        <w:rPr>
          <w:spacing w:val="-3"/>
          <w:sz w:val="21"/>
        </w:rPr>
        <w:t>消火栓的现场检验应符合下列要求：</w:t>
      </w:r>
      <w:r>
        <w:rPr>
          <w:sz w:val="21"/>
        </w:rPr>
        <w:t> </w:t>
      </w:r>
    </w:p>
    <w:p>
      <w:pPr>
        <w:pStyle w:val="BodyText"/>
        <w:spacing w:before="12"/>
        <w:rPr>
          <w:sz w:val="17"/>
        </w:rPr>
      </w:pPr>
    </w:p>
    <w:p>
      <w:pPr>
        <w:pStyle w:val="BodyText"/>
        <w:spacing w:line="446" w:lineRule="auto"/>
        <w:ind w:left="838" w:right="2612"/>
      </w:pPr>
      <w:r>
        <w:rPr>
          <w:spacing w:val="-3"/>
        </w:rPr>
        <w:t>室外消火栓应符合现行国家标准《室外消火栓》</w:t>
      </w:r>
      <w:r>
        <w:rPr/>
        <w:t>GB</w:t>
      </w:r>
      <w:r>
        <w:rPr>
          <w:spacing w:val="11"/>
        </w:rPr>
        <w:t> </w:t>
      </w:r>
      <w:r>
        <w:rPr/>
        <w:t>4452</w:t>
      </w:r>
      <w:r>
        <w:rPr>
          <w:spacing w:val="-8"/>
        </w:rPr>
        <w:t> 的性能和质量要求； </w:t>
      </w:r>
      <w:r>
        <w:rPr>
          <w:spacing w:val="-3"/>
        </w:rPr>
        <w:t>室内消火栓应符合现行国家标准《室内消火栓》</w:t>
      </w:r>
      <w:r>
        <w:rPr/>
        <w:t>GB</w:t>
      </w:r>
      <w:r>
        <w:rPr>
          <w:spacing w:val="11"/>
        </w:rPr>
        <w:t> </w:t>
      </w:r>
      <w:r>
        <w:rPr/>
        <w:t>3445</w:t>
      </w:r>
      <w:r>
        <w:rPr>
          <w:spacing w:val="-8"/>
        </w:rPr>
        <w:t> 的性能和质量要求； </w:t>
      </w:r>
      <w:r>
        <w:rPr>
          <w:spacing w:val="-3"/>
        </w:rPr>
        <w:t>消防水带应符合现行国家标准《消防水带》</w:t>
      </w:r>
      <w:r>
        <w:rPr/>
        <w:t>GB</w:t>
      </w:r>
      <w:r>
        <w:rPr>
          <w:spacing w:val="37"/>
        </w:rPr>
        <w:t>  </w:t>
      </w:r>
      <w:r>
        <w:rPr/>
        <w:t>6246</w:t>
      </w:r>
      <w:r>
        <w:rPr>
          <w:spacing w:val="-2"/>
        </w:rPr>
        <w:t>  的性能和质量要求； </w:t>
      </w:r>
      <w:r>
        <w:rPr>
          <w:spacing w:val="-3"/>
        </w:rPr>
        <w:t>消防水枪应符合现行国家标准《消防水枪》</w:t>
      </w:r>
      <w:r>
        <w:rPr/>
        <w:t>GB</w:t>
      </w:r>
      <w:r>
        <w:rPr>
          <w:spacing w:val="5"/>
        </w:rPr>
        <w:t> </w:t>
      </w:r>
      <w:r>
        <w:rPr/>
        <w:t>8181</w:t>
      </w:r>
      <w:r>
        <w:rPr>
          <w:spacing w:val="-8"/>
        </w:rPr>
        <w:t> 的性能和质量要求；</w:t>
      </w:r>
      <w:r>
        <w:rPr/>
        <w:t> </w:t>
      </w:r>
    </w:p>
    <w:p>
      <w:pPr>
        <w:pStyle w:val="BodyText"/>
        <w:spacing w:line="267" w:lineRule="exact"/>
        <w:ind w:left="838"/>
      </w:pPr>
      <w:r>
        <w:rPr/>
        <w:t>消火栓、消防水带、消防水枪的商标、制造厂等标志应齐全； </w:t>
      </w:r>
    </w:p>
    <w:p>
      <w:pPr>
        <w:pStyle w:val="BodyText"/>
        <w:spacing w:before="2"/>
        <w:rPr>
          <w:sz w:val="18"/>
        </w:rPr>
      </w:pPr>
    </w:p>
    <w:p>
      <w:pPr>
        <w:pStyle w:val="BodyText"/>
        <w:ind w:left="838"/>
      </w:pPr>
      <w:r>
        <w:rPr/>
        <w:t>消火栓、消防水带、消防水枪的型号、规格等技术参数应符合设计要求； </w:t>
      </w:r>
    </w:p>
    <w:p>
      <w:pPr>
        <w:spacing w:after="0"/>
        <w:sectPr>
          <w:pgSz w:w="11910" w:h="16850"/>
          <w:pgMar w:header="0" w:footer="1239" w:top="1220" w:bottom="1420" w:left="1260" w:right="0"/>
        </w:sectPr>
      </w:pPr>
    </w:p>
    <w:p>
      <w:pPr>
        <w:pStyle w:val="BodyText"/>
        <w:spacing w:line="446" w:lineRule="auto" w:before="47"/>
        <w:ind w:left="418" w:right="1608" w:firstLine="419"/>
        <w:jc w:val="both"/>
      </w:pPr>
      <w:r>
        <w:rPr/>
        <w:t>消火栓外观应无加工缺陷和机械损伤；铸件表面应无结疤、毛刺、裂纹和缩孔等缺陷；铸铁阀体外部应涂红色油漆，内表面应涂防锈漆，手轮应涂黑色油漆；外部漆膜应光滑、平整、色泽一致，应无气泡、流痕、皱纹等缺陷，并应无明显碰、划等现象。 </w:t>
      </w:r>
    </w:p>
    <w:p>
      <w:pPr>
        <w:pStyle w:val="BodyText"/>
        <w:spacing w:line="268" w:lineRule="exact"/>
        <w:ind w:left="838"/>
      </w:pPr>
      <w:r>
        <w:rPr/>
        <w:t>消火栓螺纹密封面应无伤痕、毛刺、缺丝或断丝现象； </w:t>
      </w:r>
    </w:p>
    <w:p>
      <w:pPr>
        <w:pStyle w:val="BodyText"/>
        <w:rPr>
          <w:sz w:val="18"/>
        </w:rPr>
      </w:pPr>
    </w:p>
    <w:p>
      <w:pPr>
        <w:pStyle w:val="BodyText"/>
        <w:spacing w:line="446" w:lineRule="auto"/>
        <w:ind w:left="838" w:right="1505"/>
      </w:pPr>
      <w:r>
        <w:rPr>
          <w:spacing w:val="-3"/>
        </w:rPr>
        <w:t>消火栓的螺纹出水口和快速连接卡扣应无缺陷和机械损伤，并应能满足使用功能的要求； 消火栓阀杆升降或开启应平稳、灵活，不应有卡涩和松动现象；</w:t>
      </w:r>
      <w:r>
        <w:rPr/>
        <w:t> </w:t>
      </w:r>
    </w:p>
    <w:p>
      <w:pPr>
        <w:pStyle w:val="BodyText"/>
        <w:spacing w:line="446" w:lineRule="auto"/>
        <w:ind w:left="418" w:right="1609" w:firstLine="419"/>
      </w:pPr>
      <w:r>
        <w:rPr/>
        <w:t>旋转型消火栓其内部构造应合理，转动部件应为铜或不锈钢，并应保证旋转可靠、无卡涩和漏水现象； </w:t>
      </w:r>
    </w:p>
    <w:p>
      <w:pPr>
        <w:pStyle w:val="BodyText"/>
        <w:spacing w:line="267" w:lineRule="exact"/>
        <w:ind w:left="838"/>
      </w:pPr>
      <w:r>
        <w:rPr/>
        <w:t>减压稳压消火栓应保证可靠、无堵塞现象； </w:t>
      </w:r>
    </w:p>
    <w:p>
      <w:pPr>
        <w:pStyle w:val="BodyText"/>
        <w:spacing w:before="1"/>
        <w:rPr>
          <w:sz w:val="18"/>
        </w:rPr>
      </w:pPr>
    </w:p>
    <w:p>
      <w:pPr>
        <w:pStyle w:val="BodyText"/>
        <w:spacing w:before="1"/>
        <w:ind w:left="838"/>
      </w:pPr>
      <w:r>
        <w:rPr/>
        <w:t>活动部件应转动灵活，材料应耐腐蚀，不应卡涩或脱扣； </w:t>
      </w:r>
    </w:p>
    <w:p>
      <w:pPr>
        <w:pStyle w:val="BodyText"/>
        <w:spacing w:before="12"/>
        <w:rPr>
          <w:sz w:val="17"/>
        </w:rPr>
      </w:pPr>
    </w:p>
    <w:p>
      <w:pPr>
        <w:pStyle w:val="BodyText"/>
        <w:spacing w:line="446" w:lineRule="auto"/>
        <w:ind w:left="418" w:right="1452" w:firstLine="419"/>
      </w:pPr>
      <w:r>
        <w:rPr>
          <w:spacing w:val="-3"/>
        </w:rPr>
        <w:t>消火栓固定接口应进行密封性能试验，应以无渗漏、无损伤为合格。试验数量宜从每批中 </w:t>
      </w:r>
      <w:r>
        <w:rPr>
          <w:spacing w:val="-18"/>
        </w:rPr>
        <w:t>抽查 </w:t>
      </w:r>
      <w:r>
        <w:rPr/>
        <w:t>1</w:t>
      </w:r>
      <w:r>
        <w:rPr>
          <w:spacing w:val="-8"/>
        </w:rPr>
        <w:t>%，但不应少于 </w:t>
      </w:r>
      <w:r>
        <w:rPr/>
        <w:t>5</w:t>
      </w:r>
      <w:r>
        <w:rPr>
          <w:spacing w:val="-12"/>
        </w:rPr>
        <w:t> 个，应缓慢而均匀地升压 </w:t>
      </w:r>
      <w:r>
        <w:rPr/>
        <w:t>1.6MPa</w:t>
      </w:r>
      <w:r>
        <w:rPr>
          <w:spacing w:val="-11"/>
        </w:rPr>
        <w:t>，应保压 </w:t>
      </w:r>
      <w:r>
        <w:rPr/>
        <w:t>2min</w:t>
      </w:r>
      <w:r>
        <w:rPr>
          <w:spacing w:val="-3"/>
        </w:rPr>
        <w:t>。当两个及两个以上不合</w:t>
      </w:r>
      <w:r>
        <w:rPr>
          <w:spacing w:val="-6"/>
        </w:rPr>
        <w:t>格时，不应使用该批消火栓。当仅有 </w:t>
      </w:r>
      <w:r>
        <w:rPr/>
        <w:t>1</w:t>
      </w:r>
      <w:r>
        <w:rPr>
          <w:spacing w:val="-11"/>
        </w:rPr>
        <w:t> 个不合格时，应再抽查 </w:t>
      </w:r>
      <w:r>
        <w:rPr/>
        <w:t>2</w:t>
      </w:r>
      <w:r>
        <w:rPr>
          <w:spacing w:val="-9"/>
        </w:rPr>
        <w:t>%，但不应少于 </w:t>
      </w:r>
      <w:r>
        <w:rPr/>
        <w:t>10</w:t>
      </w:r>
      <w:r>
        <w:rPr>
          <w:spacing w:val="-9"/>
        </w:rPr>
        <w:t> 个，并应重新</w:t>
      </w:r>
      <w:r>
        <w:rPr>
          <w:spacing w:val="-5"/>
        </w:rPr>
        <w:t>进行密封性能试验；当仍有不合格时，亦不应使用该批消火栓；</w:t>
      </w:r>
      <w:r>
        <w:rPr/>
        <w:t> </w:t>
      </w:r>
    </w:p>
    <w:p>
      <w:pPr>
        <w:pStyle w:val="BodyText"/>
        <w:spacing w:line="267" w:lineRule="exact"/>
        <w:ind w:left="838"/>
      </w:pPr>
      <w:r>
        <w:rPr/>
        <w:t>消防水带的织物层应编织得均匀，表面应整洁；应无跳双经、断双经、跳纬及划伤，衬里</w:t>
      </w:r>
    </w:p>
    <w:p>
      <w:pPr>
        <w:pStyle w:val="BodyText"/>
        <w:spacing w:before="2"/>
        <w:rPr>
          <w:sz w:val="18"/>
        </w:rPr>
      </w:pPr>
    </w:p>
    <w:p>
      <w:pPr>
        <w:pStyle w:val="BodyText"/>
        <w:ind w:left="418"/>
      </w:pPr>
      <w:r>
        <w:rPr/>
        <w:t>（或覆盖层）的厚度应均匀，表面应光滑平整、无折皱或其他缺陷； </w:t>
      </w:r>
    </w:p>
    <w:p>
      <w:pPr>
        <w:pStyle w:val="BodyText"/>
        <w:spacing w:before="12"/>
        <w:rPr>
          <w:sz w:val="17"/>
        </w:rPr>
      </w:pPr>
    </w:p>
    <w:p>
      <w:pPr>
        <w:pStyle w:val="BodyText"/>
        <w:spacing w:line="446" w:lineRule="auto"/>
        <w:ind w:left="418" w:right="1500" w:firstLine="419"/>
      </w:pPr>
      <w:r>
        <w:rPr/>
        <w:t>消防水枪的外观质量应符合本条第 4 款的有关规定，消防水枪的进出口口径应满足设计要求； </w:t>
      </w:r>
    </w:p>
    <w:p>
      <w:pPr>
        <w:pStyle w:val="BodyText"/>
        <w:ind w:left="838"/>
      </w:pPr>
      <w:r>
        <w:rPr/>
        <w:t>消火栓箱应符合现行国家标准《消火栓箱》GB 14561 的性能和质量要求； </w:t>
      </w:r>
    </w:p>
    <w:p>
      <w:pPr>
        <w:pStyle w:val="BodyText"/>
        <w:rPr>
          <w:sz w:val="18"/>
        </w:rPr>
      </w:pPr>
    </w:p>
    <w:p>
      <w:pPr>
        <w:pStyle w:val="BodyText"/>
        <w:ind w:left="838"/>
      </w:pPr>
      <w:r>
        <w:rPr/>
        <w:t>消防软管卷盘和轻便水龙应符合现行国家标准《消防软管卷盘》GB 15090 和现行行业标准</w:t>
      </w:r>
    </w:p>
    <w:p>
      <w:pPr>
        <w:pStyle w:val="BodyText"/>
        <w:spacing w:before="12"/>
        <w:rPr>
          <w:sz w:val="17"/>
        </w:rPr>
      </w:pPr>
    </w:p>
    <w:p>
      <w:pPr>
        <w:pStyle w:val="BodyText"/>
        <w:spacing w:line="446" w:lineRule="auto" w:before="1"/>
        <w:ind w:left="838" w:right="5867" w:hanging="420"/>
      </w:pPr>
      <w:r>
        <w:rPr/>
        <w:t>《轻便消防水龙》GA 180 的性能和质量要求。外观和一般检查数量：全数检查。 </w:t>
      </w:r>
    </w:p>
    <w:p>
      <w:pPr>
        <w:pStyle w:val="BodyText"/>
        <w:ind w:left="838"/>
      </w:pPr>
      <w:r>
        <w:rPr/>
        <w:t>检查方法：直观和尺量检查。 </w:t>
      </w:r>
    </w:p>
    <w:p>
      <w:pPr>
        <w:pStyle w:val="BodyText"/>
        <w:spacing w:before="12"/>
        <w:rPr>
          <w:sz w:val="17"/>
        </w:rPr>
      </w:pPr>
    </w:p>
    <w:p>
      <w:pPr>
        <w:pStyle w:val="BodyText"/>
        <w:ind w:left="838"/>
      </w:pPr>
      <w:r>
        <w:rPr/>
        <w:t>性能检查数量：抽查符合本条第 14 款的规定。 </w:t>
      </w:r>
    </w:p>
    <w:p>
      <w:pPr>
        <w:pStyle w:val="BodyText"/>
        <w:spacing w:before="1"/>
        <w:rPr>
          <w:sz w:val="18"/>
        </w:rPr>
      </w:pPr>
    </w:p>
    <w:p>
      <w:pPr>
        <w:pStyle w:val="BodyText"/>
        <w:spacing w:before="1"/>
        <w:ind w:left="838"/>
      </w:pPr>
      <w:r>
        <w:rPr/>
        <w:t>检查方法：直观检查及在专用试验装置上测试，主要测试设备有试压泵、压力表、秒表。 </w:t>
      </w:r>
    </w:p>
    <w:p>
      <w:pPr>
        <w:pStyle w:val="BodyText"/>
        <w:spacing w:before="12"/>
        <w:rPr>
          <w:sz w:val="17"/>
        </w:rPr>
      </w:pPr>
    </w:p>
    <w:p>
      <w:pPr>
        <w:pStyle w:val="ListParagraph"/>
        <w:numPr>
          <w:ilvl w:val="2"/>
          <w:numId w:val="755"/>
        </w:numPr>
        <w:tabs>
          <w:tab w:pos="1530" w:val="left" w:leader="none"/>
        </w:tabs>
        <w:spacing w:line="446" w:lineRule="auto" w:before="0" w:after="0"/>
        <w:ind w:left="418" w:right="1549" w:firstLine="422"/>
        <w:jc w:val="both"/>
        <w:rPr>
          <w:sz w:val="21"/>
        </w:rPr>
      </w:pPr>
      <w:r>
        <w:rPr>
          <w:spacing w:val="-3"/>
          <w:sz w:val="21"/>
        </w:rPr>
        <w:t>消防炮、洒水喷头、泡沫产生装置、泡沫比例混合装置、泡沫液压力储罐和泡沫喷头等水灭火系统的专用组件的进场检查，应符合现行国家标准《自动喷水灭火系统施工及验收规范》</w:t>
      </w:r>
      <w:r>
        <w:rPr>
          <w:sz w:val="21"/>
        </w:rPr>
        <w:t>GB50261</w:t>
      </w:r>
      <w:r>
        <w:rPr>
          <w:spacing w:val="-3"/>
          <w:sz w:val="21"/>
        </w:rPr>
        <w:t>、《泡沫灭火系统施工及验收规范》</w:t>
      </w:r>
      <w:r>
        <w:rPr>
          <w:sz w:val="21"/>
        </w:rPr>
        <w:t>GB50281</w:t>
      </w:r>
      <w:r>
        <w:rPr>
          <w:spacing w:val="-3"/>
          <w:sz w:val="21"/>
        </w:rPr>
        <w:t> 等的有关规定。</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755"/>
        </w:numPr>
        <w:tabs>
          <w:tab w:pos="1530" w:val="left" w:leader="none"/>
        </w:tabs>
        <w:spacing w:line="240" w:lineRule="auto" w:before="47" w:after="0"/>
        <w:ind w:left="1529" w:right="0" w:hanging="690"/>
        <w:jc w:val="both"/>
        <w:rPr>
          <w:sz w:val="21"/>
        </w:rPr>
      </w:pPr>
      <w:r>
        <w:rPr>
          <w:spacing w:val="-3"/>
          <w:sz w:val="21"/>
        </w:rPr>
        <w:t>管材、管件应进行现场外观检查，并应符合下列要求：</w:t>
      </w:r>
      <w:r>
        <w:rPr>
          <w:sz w:val="21"/>
        </w:rPr>
        <w:t> </w:t>
      </w:r>
    </w:p>
    <w:p>
      <w:pPr>
        <w:pStyle w:val="BodyText"/>
        <w:rPr>
          <w:sz w:val="18"/>
        </w:rPr>
      </w:pPr>
    </w:p>
    <w:p>
      <w:pPr>
        <w:pStyle w:val="BodyText"/>
        <w:spacing w:line="446" w:lineRule="auto"/>
        <w:ind w:left="418" w:right="1608" w:firstLine="419"/>
        <w:jc w:val="both"/>
      </w:pPr>
      <w:r>
        <w:rPr/>
        <w:t>镀锌钢管应为内外壁热镀锌钢管，钢管内外表面的镀锌层不应有脱落、锈蚀等现象，球墨铸铁管球墨铸铁内涂水泥层和外涂防腐涂层不应脱落，不应有锈蚀等现象，钢丝网骨架塑料复合管管道壁厚度均匀、内外壁应无划痕，各种管材管件应符合表 12.2.5 所列相应标准； </w:t>
      </w:r>
    </w:p>
    <w:p>
      <w:pPr>
        <w:pStyle w:val="Heading6"/>
        <w:spacing w:line="268" w:lineRule="exact"/>
        <w:ind w:left="3363"/>
        <w:jc w:val="both"/>
      </w:pPr>
      <w:r>
        <w:rPr/>
        <w:t>表 12.2.5 消防给水管材及管件标准</w:t>
      </w:r>
      <w:r>
        <w:rPr>
          <w:w w:val="99"/>
        </w:rPr>
        <w:t> </w:t>
      </w:r>
    </w:p>
    <w:p>
      <w:pPr>
        <w:pStyle w:val="BodyText"/>
        <w:spacing w:before="9"/>
        <w:rPr>
          <w:b/>
          <w:sz w:val="29"/>
        </w:rPr>
      </w:pPr>
      <w:r>
        <w:rPr/>
        <w:drawing>
          <wp:anchor distT="0" distB="0" distL="0" distR="0" allowOverlap="1" layoutInCell="1" locked="0" behindDoc="0" simplePos="0" relativeHeight="250">
            <wp:simplePos x="0" y="0"/>
            <wp:positionH relativeFrom="page">
              <wp:posOffset>1360805</wp:posOffset>
            </wp:positionH>
            <wp:positionV relativeFrom="paragraph">
              <wp:posOffset>266985</wp:posOffset>
            </wp:positionV>
            <wp:extent cx="5055803" cy="2591657"/>
            <wp:effectExtent l="0" t="0" r="0" b="0"/>
            <wp:wrapTopAndBottom/>
            <wp:docPr id="589" name="image341.jpeg"/>
            <wp:cNvGraphicFramePr>
              <a:graphicFrameLocks noChangeAspect="1"/>
            </wp:cNvGraphicFramePr>
            <a:graphic>
              <a:graphicData uri="http://schemas.openxmlformats.org/drawingml/2006/picture">
                <pic:pic>
                  <pic:nvPicPr>
                    <pic:cNvPr id="590" name="image341.jpeg"/>
                    <pic:cNvPicPr/>
                  </pic:nvPicPr>
                  <pic:blipFill>
                    <a:blip r:embed="rId411" cstate="print"/>
                    <a:stretch>
                      <a:fillRect/>
                    </a:stretch>
                  </pic:blipFill>
                  <pic:spPr>
                    <a:xfrm>
                      <a:off x="0" y="0"/>
                      <a:ext cx="5055803" cy="2591657"/>
                    </a:xfrm>
                    <a:prstGeom prst="rect">
                      <a:avLst/>
                    </a:prstGeom>
                  </pic:spPr>
                </pic:pic>
              </a:graphicData>
            </a:graphic>
          </wp:anchor>
        </w:drawing>
      </w:r>
    </w:p>
    <w:p>
      <w:pPr>
        <w:pStyle w:val="BodyText"/>
        <w:spacing w:before="148"/>
        <w:ind w:left="838"/>
      </w:pPr>
      <w:r>
        <w:rPr/>
        <w:t>表面应无裂纹、缩孔、夹渣、折叠和重皮； </w:t>
      </w:r>
    </w:p>
    <w:p>
      <w:pPr>
        <w:pStyle w:val="BodyText"/>
        <w:spacing w:before="12"/>
        <w:rPr>
          <w:sz w:val="17"/>
        </w:rPr>
      </w:pPr>
    </w:p>
    <w:p>
      <w:pPr>
        <w:pStyle w:val="BodyText"/>
        <w:spacing w:line="446" w:lineRule="auto"/>
        <w:ind w:left="838" w:right="1402"/>
      </w:pPr>
      <w:r>
        <w:rPr>
          <w:spacing w:val="-5"/>
        </w:rPr>
        <w:t>管材管件不应有妨碍使用的凹凸不平的缺陷，其尺寸公差应符合本规范表 </w:t>
      </w:r>
      <w:r>
        <w:rPr/>
        <w:t>12.2.5</w:t>
      </w:r>
      <w:r>
        <w:rPr>
          <w:spacing w:val="-11"/>
        </w:rPr>
        <w:t> 的规定； </w:t>
      </w:r>
      <w:r>
        <w:rPr>
          <w:spacing w:val="-3"/>
        </w:rPr>
        <w:t>螺纹密封面应完整、无损伤、无毛刺；</w:t>
      </w:r>
      <w:r>
        <w:rPr/>
        <w:t> </w:t>
      </w:r>
    </w:p>
    <w:p>
      <w:pPr>
        <w:pStyle w:val="BodyText"/>
        <w:spacing w:line="446" w:lineRule="auto"/>
        <w:ind w:left="838" w:right="1925"/>
        <w:jc w:val="both"/>
      </w:pPr>
      <w:r>
        <w:rPr>
          <w:spacing w:val="-3"/>
        </w:rPr>
        <w:t>非金属密封垫片应质地柔韧、无老化变质或分层现象，表面应无折损、皱纹等缺陷； 法兰密封面应完整光洁，不应有毛刺及径向沟槽；螺纹法兰的螺纹应完整、无损伤； </w:t>
      </w:r>
      <w:r>
        <w:rPr>
          <w:spacing w:val="-8"/>
        </w:rPr>
        <w:t>不圆度应符合本规范表 </w:t>
      </w:r>
      <w:r>
        <w:rPr/>
        <w:t>12.2.5</w:t>
      </w:r>
      <w:r>
        <w:rPr>
          <w:spacing w:val="-13"/>
        </w:rPr>
        <w:t> 的规定；</w:t>
      </w:r>
      <w:r>
        <w:rPr/>
        <w:t> </w:t>
      </w:r>
    </w:p>
    <w:p>
      <w:pPr>
        <w:pStyle w:val="BodyText"/>
        <w:spacing w:line="446" w:lineRule="auto"/>
        <w:ind w:left="418" w:right="1609" w:firstLine="419"/>
      </w:pPr>
      <w:r>
        <w:rPr/>
        <w:t>球墨铸铁管承口的内工作面和插口的外工作面应光滑、轮廓清晰，不应有影响接口密封性的缺陷； </w:t>
      </w:r>
    </w:p>
    <w:p>
      <w:pPr>
        <w:pStyle w:val="BodyText"/>
        <w:spacing w:line="446" w:lineRule="auto"/>
        <w:ind w:left="838" w:right="1714"/>
      </w:pPr>
      <w:r>
        <w:rPr>
          <w:spacing w:val="-3"/>
        </w:rPr>
        <w:t>钢丝网骨架塑料</w:t>
      </w:r>
      <w:r>
        <w:rPr/>
        <w:t>（PE）</w:t>
      </w:r>
      <w:r>
        <w:rPr>
          <w:spacing w:val="-3"/>
        </w:rPr>
        <w:t>复合管内外壁应光滑、无划痕，钢丝骨料与塑料应黏结牢固等。检查数量：全数检查。</w:t>
      </w:r>
      <w:r>
        <w:rPr/>
        <w:t> </w:t>
      </w:r>
    </w:p>
    <w:p>
      <w:pPr>
        <w:pStyle w:val="BodyText"/>
        <w:ind w:left="838"/>
      </w:pPr>
      <w:r>
        <w:rPr/>
        <w:t>检查方法：直观和尺量检查。 </w:t>
      </w:r>
    </w:p>
    <w:p>
      <w:pPr>
        <w:pStyle w:val="BodyText"/>
        <w:spacing w:before="9"/>
        <w:rPr>
          <w:sz w:val="17"/>
        </w:rPr>
      </w:pPr>
    </w:p>
    <w:p>
      <w:pPr>
        <w:pStyle w:val="ListParagraph"/>
        <w:numPr>
          <w:ilvl w:val="2"/>
          <w:numId w:val="755"/>
        </w:numPr>
        <w:tabs>
          <w:tab w:pos="1530" w:val="left" w:leader="none"/>
        </w:tabs>
        <w:spacing w:line="240" w:lineRule="auto" w:before="0" w:after="0"/>
        <w:ind w:left="1529" w:right="0" w:hanging="690"/>
        <w:jc w:val="left"/>
        <w:rPr>
          <w:sz w:val="21"/>
        </w:rPr>
      </w:pPr>
      <w:r>
        <w:rPr>
          <w:spacing w:val="-3"/>
          <w:sz w:val="21"/>
        </w:rPr>
        <w:t>阀门及其附件的现场检验应符合下列要求：</w:t>
      </w:r>
      <w:r>
        <w:rPr>
          <w:sz w:val="21"/>
        </w:rPr>
        <w:t> </w:t>
      </w:r>
    </w:p>
    <w:p>
      <w:pPr>
        <w:pStyle w:val="BodyText"/>
        <w:spacing w:before="2"/>
        <w:rPr>
          <w:sz w:val="18"/>
        </w:rPr>
      </w:pPr>
    </w:p>
    <w:p>
      <w:pPr>
        <w:pStyle w:val="BodyText"/>
        <w:spacing w:line="446" w:lineRule="auto"/>
        <w:ind w:left="838" w:right="2554"/>
      </w:pPr>
      <w:r>
        <w:rPr>
          <w:spacing w:val="-3"/>
        </w:rPr>
        <w:t>阀门的商标、型号、规格等标志应齐全，阀门的型号、规格应符合设计要求； 阀门及其附件应配备齐全，不应有加工缺陷和机械损伤；</w:t>
      </w:r>
      <w:r>
        <w:rPr/>
        <w:t> </w:t>
      </w:r>
    </w:p>
    <w:p>
      <w:pPr>
        <w:spacing w:after="0" w:line="446" w:lineRule="auto"/>
        <w:sectPr>
          <w:pgSz w:w="11910" w:h="16850"/>
          <w:pgMar w:header="0" w:footer="1239" w:top="1220" w:bottom="1420" w:left="1260" w:right="0"/>
        </w:sectPr>
      </w:pPr>
    </w:p>
    <w:p>
      <w:pPr>
        <w:pStyle w:val="BodyText"/>
        <w:spacing w:line="446" w:lineRule="auto" w:before="47"/>
        <w:ind w:left="418" w:right="1817" w:firstLine="419"/>
      </w:pPr>
      <w:r>
        <w:rPr/>
        <w:t>报警阀和水力警铃的现场检验，应符合现行国家标准《自动喷水灭火系统施工及验收规范》GB 50261 的有关规定； </w:t>
      </w:r>
    </w:p>
    <w:p>
      <w:pPr>
        <w:pStyle w:val="BodyText"/>
        <w:spacing w:line="446" w:lineRule="auto"/>
        <w:ind w:left="418" w:right="1404" w:firstLine="419"/>
      </w:pPr>
      <w:r>
        <w:rPr>
          <w:spacing w:val="-3"/>
        </w:rPr>
        <w:t>闸阀、截止阀、球阀、蝶阀和信号阀等通用阀门，应符合现行国家标准《通用阀门   压力试验》</w:t>
      </w:r>
      <w:r>
        <w:rPr/>
        <w:t>GB/T</w:t>
      </w:r>
      <w:r>
        <w:rPr>
          <w:spacing w:val="5"/>
        </w:rPr>
        <w:t> </w:t>
      </w:r>
      <w:r>
        <w:rPr/>
        <w:t>13927</w:t>
      </w:r>
      <w:r>
        <w:rPr>
          <w:spacing w:val="-9"/>
        </w:rPr>
        <w:t> 和《自动喷水灭火系统   第 </w:t>
      </w:r>
      <w:r>
        <w:rPr/>
        <w:t>6</w:t>
      </w:r>
      <w:r>
        <w:rPr>
          <w:spacing w:val="-9"/>
        </w:rPr>
        <w:t> 部分：通用阀门》</w:t>
      </w:r>
      <w:r>
        <w:rPr/>
        <w:t>GB</w:t>
      </w:r>
      <w:r>
        <w:rPr>
          <w:spacing w:val="5"/>
        </w:rPr>
        <w:t> </w:t>
      </w:r>
      <w:r>
        <w:rPr/>
        <w:t>5135.6</w:t>
      </w:r>
      <w:r>
        <w:rPr>
          <w:spacing w:val="-9"/>
        </w:rPr>
        <w:t> 等的有关规定；</w:t>
      </w:r>
      <w:r>
        <w:rPr/>
        <w:t> </w:t>
      </w:r>
    </w:p>
    <w:p>
      <w:pPr>
        <w:pStyle w:val="BodyText"/>
        <w:spacing w:line="446" w:lineRule="auto"/>
        <w:ind w:left="838" w:right="1503"/>
      </w:pPr>
      <w:r>
        <w:rPr>
          <w:spacing w:val="-3"/>
        </w:rPr>
        <w:t>消防水泵接合器应符合现行国家标准《消防水泵接合器》</w:t>
      </w:r>
      <w:r>
        <w:rPr/>
        <w:t>GB</w:t>
      </w:r>
      <w:r>
        <w:rPr>
          <w:spacing w:val="3"/>
        </w:rPr>
        <w:t>  </w:t>
      </w:r>
      <w:r>
        <w:rPr/>
        <w:t>3446</w:t>
      </w:r>
      <w:r>
        <w:rPr>
          <w:spacing w:val="2"/>
        </w:rPr>
        <w:t> 的性能和质量要求； </w:t>
      </w:r>
      <w:r>
        <w:rPr>
          <w:spacing w:val="-2"/>
        </w:rPr>
        <w:t>自动排气阀、减压阀、泄压阀、止回阀等阀门性能，应符合现行国家标准《通用阀门   压</w:t>
      </w:r>
    </w:p>
    <w:p>
      <w:pPr>
        <w:pStyle w:val="BodyText"/>
        <w:spacing w:line="446" w:lineRule="auto"/>
        <w:ind w:left="418" w:right="1611"/>
        <w:jc w:val="both"/>
      </w:pPr>
      <w:r>
        <w:rPr/>
        <w:t>力试验》GB/T 13927、《自动喷水灭火系统  第 6 部分：通用阀门》GB 5135.6、《压力释放装置  性能试验规范》GB/T 12242、《减压阀   性能试验方法》GB/T 12245、《安全阀一般要求》GB/T 12241、《阀门的检验与试验》JB/T 9092 等的有关规定； </w:t>
      </w:r>
    </w:p>
    <w:p>
      <w:pPr>
        <w:pStyle w:val="BodyText"/>
        <w:spacing w:line="446" w:lineRule="auto"/>
        <w:ind w:left="838" w:right="2134"/>
      </w:pPr>
      <w:r>
        <w:rPr>
          <w:spacing w:val="-3"/>
        </w:rPr>
        <w:t>阀门应有清晰的铭牌、安全操作指示标志、产品说明书和水流方向的永久性标志。检查数量：全数检查。</w:t>
      </w:r>
      <w:r>
        <w:rPr/>
        <w:t> </w:t>
      </w:r>
    </w:p>
    <w:p>
      <w:pPr>
        <w:pStyle w:val="BodyText"/>
        <w:spacing w:line="267" w:lineRule="exact"/>
        <w:ind w:left="838"/>
      </w:pPr>
      <w:r>
        <w:rPr/>
        <w:t>检查方法：直观检查及在专用试验装置上测试，主要测试设备有试压泵、压力表、秒表。 </w:t>
      </w:r>
    </w:p>
    <w:p>
      <w:pPr>
        <w:pStyle w:val="BodyText"/>
        <w:spacing w:before="12"/>
        <w:rPr>
          <w:sz w:val="17"/>
        </w:rPr>
      </w:pPr>
    </w:p>
    <w:p>
      <w:pPr>
        <w:pStyle w:val="ListParagraph"/>
        <w:numPr>
          <w:ilvl w:val="2"/>
          <w:numId w:val="755"/>
        </w:numPr>
        <w:tabs>
          <w:tab w:pos="1530" w:val="left" w:leader="none"/>
        </w:tabs>
        <w:spacing w:line="240" w:lineRule="auto" w:before="0" w:after="0"/>
        <w:ind w:left="1529" w:right="0" w:hanging="690"/>
        <w:jc w:val="left"/>
        <w:rPr>
          <w:sz w:val="21"/>
        </w:rPr>
      </w:pPr>
      <w:r>
        <w:rPr>
          <w:spacing w:val="-3"/>
          <w:sz w:val="21"/>
        </w:rPr>
        <w:t>消防水泵控制柜的检验应符合下列要求：</w:t>
      </w:r>
      <w:r>
        <w:rPr>
          <w:sz w:val="21"/>
        </w:rPr>
        <w:t> </w:t>
      </w:r>
    </w:p>
    <w:p>
      <w:pPr>
        <w:pStyle w:val="BodyText"/>
        <w:rPr>
          <w:sz w:val="18"/>
        </w:rPr>
      </w:pPr>
    </w:p>
    <w:p>
      <w:pPr>
        <w:pStyle w:val="BodyText"/>
        <w:spacing w:line="446" w:lineRule="auto"/>
        <w:ind w:left="418" w:right="1505" w:firstLine="419"/>
      </w:pPr>
      <w:r>
        <w:rPr>
          <w:spacing w:val="-5"/>
        </w:rPr>
        <w:t>消防水泵控制柜的控制功能应符合本规范第 </w:t>
      </w:r>
      <w:r>
        <w:rPr/>
        <w:t>11</w:t>
      </w:r>
      <w:r>
        <w:rPr>
          <w:spacing w:val="-7"/>
        </w:rPr>
        <w:t> 章和设计要求，并应经国家批准的质量监督</w:t>
      </w:r>
      <w:r>
        <w:rPr>
          <w:spacing w:val="-5"/>
        </w:rPr>
        <w:t>检验中心检测合格的产品； </w:t>
      </w:r>
    </w:p>
    <w:p>
      <w:pPr>
        <w:pStyle w:val="BodyText"/>
        <w:ind w:left="838"/>
      </w:pPr>
      <w:r>
        <w:rPr/>
        <w:t>控制柜体应端正，表面应平整，涂层颜色应均匀一致，应无眩光，并应符合现行国家标准</w:t>
      </w:r>
    </w:p>
    <w:p>
      <w:pPr>
        <w:pStyle w:val="BodyText"/>
        <w:spacing w:before="12"/>
        <w:rPr>
          <w:sz w:val="17"/>
        </w:rPr>
      </w:pPr>
    </w:p>
    <w:p>
      <w:pPr>
        <w:pStyle w:val="BodyText"/>
        <w:spacing w:line="446" w:lineRule="auto"/>
        <w:ind w:left="418" w:right="1558"/>
      </w:pPr>
      <w:r>
        <w:rPr>
          <w:spacing w:val="-9"/>
        </w:rPr>
        <w:t>《高度进制为 </w:t>
      </w:r>
      <w:r>
        <w:rPr/>
        <w:t>20mm</w:t>
      </w:r>
      <w:r>
        <w:rPr>
          <w:spacing w:val="-8"/>
        </w:rPr>
        <w:t> 的面板、架和柜的基本尺寸系列》</w:t>
      </w:r>
      <w:r>
        <w:rPr/>
        <w:t>GB/T 3047.1</w:t>
      </w:r>
      <w:r>
        <w:rPr>
          <w:spacing w:val="-8"/>
        </w:rPr>
        <w:t> 的有关规定，且控制柜外表</w:t>
      </w:r>
      <w:r>
        <w:rPr>
          <w:spacing w:val="-5"/>
        </w:rPr>
        <w:t>面不应有明显的磕碰伤痕和变形掉漆；</w:t>
      </w:r>
      <w:r>
        <w:rPr/>
        <w:t> </w:t>
      </w:r>
    </w:p>
    <w:p>
      <w:pPr>
        <w:pStyle w:val="BodyText"/>
        <w:spacing w:line="446" w:lineRule="auto"/>
        <w:ind w:left="418" w:right="1609" w:firstLine="419"/>
      </w:pPr>
      <w:r>
        <w:rPr/>
        <w:t>控制柜面板应设有电源电压、电流、水泵（启）停状况、巡检状况、火警及故障的声光报警等显示； </w:t>
      </w:r>
    </w:p>
    <w:p>
      <w:pPr>
        <w:pStyle w:val="BodyText"/>
        <w:spacing w:line="446" w:lineRule="auto"/>
        <w:ind w:left="418" w:right="1392" w:firstLine="419"/>
      </w:pPr>
      <w:r>
        <w:rPr/>
        <w:t>控制柜导线的颜色应符合现行国家标准《电工成套装置中的导线颜色》GB/T 2681 的有关规定； </w:t>
      </w:r>
    </w:p>
    <w:p>
      <w:pPr>
        <w:pStyle w:val="BodyText"/>
        <w:ind w:left="838"/>
      </w:pPr>
      <w:r>
        <w:rPr/>
        <w:t>面板上的按钮、开关、指示灯应易于操作和观察且有功能标示，并应符合现行国家标准</w:t>
      </w:r>
    </w:p>
    <w:p>
      <w:pPr>
        <w:pStyle w:val="BodyText"/>
        <w:spacing w:before="10"/>
        <w:rPr>
          <w:sz w:val="17"/>
        </w:rPr>
      </w:pPr>
    </w:p>
    <w:p>
      <w:pPr>
        <w:pStyle w:val="BodyText"/>
        <w:spacing w:line="446" w:lineRule="auto"/>
        <w:ind w:left="418" w:right="1431"/>
      </w:pPr>
      <w:r>
        <w:rPr/>
        <w:t>《电工成套装置中的导线颜色》GB/T 2681 和《电工成套装置中的指示灯和按钮的颜色》GB/T 2682 的有关规定； </w:t>
      </w:r>
    </w:p>
    <w:p>
      <w:pPr>
        <w:pStyle w:val="BodyText"/>
        <w:spacing w:line="446" w:lineRule="auto" w:before="1"/>
        <w:ind w:left="418" w:right="1455" w:firstLine="419"/>
      </w:pPr>
      <w:r>
        <w:rPr>
          <w:spacing w:val="-3"/>
        </w:rPr>
        <w:t>控制柜内的电器元件及材料的选用：应符合现行国家标准《控制用电磁继电器可靠性试验 通则》</w:t>
      </w:r>
      <w:r>
        <w:rPr/>
        <w:t>GB/T</w:t>
      </w:r>
      <w:r>
        <w:rPr>
          <w:spacing w:val="16"/>
        </w:rPr>
        <w:t> </w:t>
      </w:r>
      <w:r>
        <w:rPr/>
        <w:t>15510</w:t>
      </w:r>
      <w:r>
        <w:rPr>
          <w:spacing w:val="-8"/>
        </w:rPr>
        <w:t> 等的有关规定，并应安装合理，其工作位置应符合产品使用说明书的规定；</w:t>
      </w:r>
      <w:r>
        <w:rPr/>
        <w:t> </w:t>
      </w:r>
    </w:p>
    <w:p>
      <w:pPr>
        <w:spacing w:after="0" w:line="446" w:lineRule="auto"/>
        <w:sectPr>
          <w:pgSz w:w="11910" w:h="16850"/>
          <w:pgMar w:header="0" w:footer="1239" w:top="1220" w:bottom="1420" w:left="1260" w:right="0"/>
        </w:sectPr>
      </w:pPr>
    </w:p>
    <w:p>
      <w:pPr>
        <w:pStyle w:val="BodyText"/>
        <w:spacing w:line="446" w:lineRule="auto" w:before="47"/>
        <w:ind w:left="418" w:right="1452" w:firstLine="419"/>
      </w:pPr>
      <w:r>
        <w:rPr>
          <w:spacing w:val="-5"/>
        </w:rPr>
        <w:t>控制柜应按现行国家标准《电工电子产品基本环境试验  第 </w:t>
      </w:r>
      <w:r>
        <w:rPr/>
        <w:t>2</w:t>
      </w:r>
      <w:r>
        <w:rPr>
          <w:spacing w:val="-2"/>
        </w:rPr>
        <w:t> 部分：试验方法  试验</w:t>
      </w:r>
      <w:r>
        <w:rPr/>
        <w:t>A： </w:t>
      </w:r>
      <w:r>
        <w:rPr>
          <w:spacing w:val="-1"/>
        </w:rPr>
        <w:t>低温》</w:t>
      </w:r>
      <w:r>
        <w:rPr/>
        <w:t>GB/T</w:t>
      </w:r>
      <w:r>
        <w:rPr>
          <w:spacing w:val="11"/>
        </w:rPr>
        <w:t> </w:t>
      </w:r>
      <w:r>
        <w:rPr/>
        <w:t>2423.1</w:t>
      </w:r>
      <w:r>
        <w:rPr>
          <w:spacing w:val="-9"/>
        </w:rPr>
        <w:t> 的有关规定进行低温实验检测，检测结果不应产生影响正常工作的故障； </w:t>
      </w:r>
    </w:p>
    <w:p>
      <w:pPr>
        <w:pStyle w:val="BodyText"/>
        <w:spacing w:line="446" w:lineRule="auto"/>
        <w:ind w:left="418" w:right="1452" w:firstLine="419"/>
      </w:pPr>
      <w:r>
        <w:rPr>
          <w:spacing w:val="-5"/>
        </w:rPr>
        <w:t>控制柜应按现行国家标准《电工电子产品基本环境试验  第 </w:t>
      </w:r>
      <w:r>
        <w:rPr/>
        <w:t>2</w:t>
      </w:r>
      <w:r>
        <w:rPr>
          <w:spacing w:val="-2"/>
        </w:rPr>
        <w:t> 部分：试验方法  试验</w:t>
      </w:r>
      <w:r>
        <w:rPr/>
        <w:t>B： </w:t>
      </w:r>
      <w:r>
        <w:rPr>
          <w:spacing w:val="-1"/>
        </w:rPr>
        <w:t>高温》</w:t>
      </w:r>
      <w:r>
        <w:rPr/>
        <w:t>GB/T</w:t>
      </w:r>
      <w:r>
        <w:rPr>
          <w:spacing w:val="11"/>
        </w:rPr>
        <w:t> </w:t>
      </w:r>
      <w:r>
        <w:rPr/>
        <w:t>2423.2</w:t>
      </w:r>
      <w:r>
        <w:rPr>
          <w:spacing w:val="-9"/>
        </w:rPr>
        <w:t> 的有关规定进行高温试验检测，检测结果不应产生影响正常工作的故障； </w:t>
      </w:r>
    </w:p>
    <w:p>
      <w:pPr>
        <w:pStyle w:val="BodyText"/>
        <w:spacing w:line="446" w:lineRule="auto"/>
        <w:ind w:left="418" w:right="1347" w:firstLine="419"/>
      </w:pPr>
      <w:r>
        <w:rPr>
          <w:spacing w:val="-5"/>
        </w:rPr>
        <w:t>控制柜应按现行行业标准《固定消防给水设备的性能要求和试验方法   第 </w:t>
      </w:r>
      <w:r>
        <w:rPr/>
        <w:t>2</w:t>
      </w:r>
      <w:r>
        <w:rPr>
          <w:spacing w:val="-10"/>
        </w:rPr>
        <w:t> 部分：消防自</w:t>
      </w:r>
      <w:r>
        <w:rPr>
          <w:spacing w:val="-5"/>
        </w:rPr>
        <w:t>动恒压给水设备》</w:t>
      </w:r>
      <w:r>
        <w:rPr/>
        <w:t>GA 30.2</w:t>
      </w:r>
      <w:r>
        <w:rPr>
          <w:spacing w:val="-8"/>
        </w:rPr>
        <w:t> 的有关规定进行湿热试验检测，检测结果不应产生影响工作的故障；</w:t>
      </w:r>
      <w:r>
        <w:rPr/>
        <w:t> </w:t>
      </w:r>
    </w:p>
    <w:p>
      <w:pPr>
        <w:pStyle w:val="BodyText"/>
        <w:spacing w:line="446" w:lineRule="auto"/>
        <w:ind w:left="418" w:right="1450" w:firstLine="419"/>
        <w:jc w:val="both"/>
      </w:pPr>
      <w:r>
        <w:rPr>
          <w:spacing w:val="-5"/>
        </w:rPr>
        <w:t>控制柜应按现行行业标准《固定消防给水设备的性能要求和试验方法  第 </w:t>
      </w:r>
      <w:r>
        <w:rPr/>
        <w:t>2</w:t>
      </w:r>
      <w:r>
        <w:rPr>
          <w:spacing w:val="-10"/>
        </w:rPr>
        <w:t> 部分：消防自</w:t>
      </w:r>
      <w:r>
        <w:rPr>
          <w:spacing w:val="-5"/>
        </w:rPr>
        <w:t>动恒压给水设备》</w:t>
      </w:r>
      <w:r>
        <w:rPr/>
        <w:t>GA 30.2</w:t>
      </w:r>
      <w:r>
        <w:rPr>
          <w:spacing w:val="-8"/>
        </w:rPr>
        <w:t> 的有关规定进行振动试验检测，检测结果柜体结构及内部零部件应完</w:t>
      </w:r>
      <w:r>
        <w:rPr>
          <w:spacing w:val="-5"/>
        </w:rPr>
        <w:t>好无损，并不应产生影响正常工作的故障；</w:t>
      </w:r>
      <w:r>
        <w:rPr/>
        <w:t> </w:t>
      </w:r>
    </w:p>
    <w:p>
      <w:pPr>
        <w:pStyle w:val="BodyText"/>
        <w:spacing w:line="446" w:lineRule="auto"/>
        <w:ind w:left="418" w:right="1455" w:firstLine="419"/>
        <w:jc w:val="both"/>
      </w:pPr>
      <w:r>
        <w:rPr>
          <w:spacing w:val="-4"/>
        </w:rPr>
        <w:t>控制柜温升值应按现行国家标准《低压成套开关设备和控制设备  第 </w:t>
      </w:r>
      <w:r>
        <w:rPr/>
        <w:t>1</w:t>
      </w:r>
      <w:r>
        <w:rPr>
          <w:spacing w:val="-9"/>
        </w:rPr>
        <w:t> 部分：形式试验和</w:t>
      </w:r>
      <w:r>
        <w:rPr>
          <w:spacing w:val="-5"/>
        </w:rPr>
        <w:t>部分形式试验成套设备》</w:t>
      </w:r>
      <w:r>
        <w:rPr/>
        <w:t>GB/T 7251.1</w:t>
      </w:r>
      <w:r>
        <w:rPr>
          <w:spacing w:val="-8"/>
        </w:rPr>
        <w:t> 的有关规定进行试验检测，检测结果不应产生影响正常工</w:t>
      </w:r>
      <w:r>
        <w:rPr>
          <w:spacing w:val="-6"/>
        </w:rPr>
        <w:t>作的故障；</w:t>
      </w:r>
      <w:r>
        <w:rPr/>
        <w:t> </w:t>
      </w:r>
    </w:p>
    <w:p>
      <w:pPr>
        <w:pStyle w:val="BodyText"/>
        <w:spacing w:line="446" w:lineRule="auto"/>
        <w:ind w:left="418" w:right="1558" w:firstLine="419"/>
        <w:jc w:val="both"/>
      </w:pPr>
      <w:r>
        <w:rPr>
          <w:spacing w:val="-3"/>
        </w:rPr>
        <w:t>控制柜中各带电回路之间及带电间隙和爬电距离，应按现行行业标准《固定消防给水设备</w:t>
      </w:r>
      <w:r>
        <w:rPr>
          <w:spacing w:val="-6"/>
        </w:rPr>
        <w:t>的性能要求和试验方法  第 </w:t>
      </w:r>
      <w:r>
        <w:rPr/>
        <w:t>2</w:t>
      </w:r>
      <w:r>
        <w:rPr>
          <w:spacing w:val="-9"/>
        </w:rPr>
        <w:t> 部分：消防自动恒压给水设备》</w:t>
      </w:r>
      <w:r>
        <w:rPr/>
        <w:t>GA 30.2</w:t>
      </w:r>
      <w:r>
        <w:rPr>
          <w:spacing w:val="-9"/>
        </w:rPr>
        <w:t> 的有关规定进行试验检</w:t>
      </w:r>
      <w:r>
        <w:rPr>
          <w:spacing w:val="-5"/>
        </w:rPr>
        <w:t>测，检测结果不应产生影响正常工作的故障；</w:t>
      </w:r>
      <w:r>
        <w:rPr/>
        <w:t> </w:t>
      </w:r>
    </w:p>
    <w:p>
      <w:pPr>
        <w:pStyle w:val="BodyText"/>
        <w:spacing w:line="446" w:lineRule="auto"/>
        <w:ind w:left="418" w:right="1450" w:firstLine="419"/>
      </w:pPr>
      <w:r>
        <w:rPr>
          <w:spacing w:val="-3"/>
        </w:rPr>
        <w:t>金属柜体上应有接地点，且其标志、线号标记、线径应按现行行业标准《固定消防给水设 </w:t>
      </w:r>
      <w:r>
        <w:rPr>
          <w:spacing w:val="-5"/>
        </w:rPr>
        <w:t>备的性能要求和试验方法  第 </w:t>
      </w:r>
      <w:r>
        <w:rPr/>
        <w:t>2</w:t>
      </w:r>
      <w:r>
        <w:rPr>
          <w:spacing w:val="-9"/>
        </w:rPr>
        <w:t> 部分：消防自动恒压给水设备》</w:t>
      </w:r>
      <w:r>
        <w:rPr/>
        <w:t>GA30.2</w:t>
      </w:r>
      <w:r>
        <w:rPr>
          <w:spacing w:val="-9"/>
        </w:rPr>
        <w:t> 的有关规定检测绝缘电</w:t>
      </w:r>
      <w:r>
        <w:rPr>
          <w:spacing w:val="-6"/>
        </w:rPr>
        <w:t>阻；控制柜中带电端子与机壳之间的绝缘电阻应大于 </w:t>
      </w:r>
      <w:r>
        <w:rPr/>
        <w:t>20MΩ</w:t>
      </w:r>
      <w:r>
        <w:rPr>
          <w:spacing w:val="-3"/>
        </w:rPr>
        <w:t>，电源接线端子与地之间的绝缘电阻</w:t>
      </w:r>
      <w:r>
        <w:rPr>
          <w:spacing w:val="-15"/>
        </w:rPr>
        <w:t>应大于 </w:t>
      </w:r>
      <w:r>
        <w:rPr/>
        <w:t>50MΩ； </w:t>
      </w:r>
    </w:p>
    <w:p>
      <w:pPr>
        <w:pStyle w:val="BodyText"/>
        <w:spacing w:line="446" w:lineRule="auto"/>
        <w:ind w:left="418" w:right="1391" w:firstLine="419"/>
      </w:pPr>
      <w:r>
        <w:rPr/>
        <w:t>控制柜的介电强度试验应按现行国家标准《电气控制设备》GB/T 3739 的有关规定进行介电强度测试，测试结果应无击穿、无闪络； </w:t>
      </w:r>
    </w:p>
    <w:p>
      <w:pPr>
        <w:pStyle w:val="BodyText"/>
        <w:ind w:left="838"/>
      </w:pPr>
      <w:r>
        <w:rPr/>
        <w:t>在控制柜的明显部位应设置标志牌和控制原理图等； </w:t>
      </w:r>
    </w:p>
    <w:p>
      <w:pPr>
        <w:pStyle w:val="BodyText"/>
        <w:spacing w:before="5"/>
        <w:rPr>
          <w:sz w:val="17"/>
        </w:rPr>
      </w:pPr>
    </w:p>
    <w:p>
      <w:pPr>
        <w:pStyle w:val="BodyText"/>
        <w:spacing w:line="446" w:lineRule="auto"/>
        <w:ind w:left="418" w:right="1609" w:firstLine="419"/>
      </w:pPr>
      <w:r>
        <w:rPr/>
        <w:t>设备型号、规格、数量、标牌、线路图纸及说明书、设备表、材料表等技术文件应齐全， 并应符合设计要求。 </w:t>
      </w:r>
    </w:p>
    <w:p>
      <w:pPr>
        <w:pStyle w:val="BodyText"/>
        <w:ind w:left="838"/>
      </w:pPr>
      <w:r>
        <w:rPr/>
        <w:t>检查数量：全数检查。 </w:t>
      </w:r>
    </w:p>
    <w:p>
      <w:pPr>
        <w:pStyle w:val="BodyText"/>
        <w:rPr>
          <w:sz w:val="18"/>
        </w:rPr>
      </w:pPr>
    </w:p>
    <w:p>
      <w:pPr>
        <w:pStyle w:val="BodyText"/>
        <w:ind w:left="838"/>
      </w:pPr>
      <w:r>
        <w:rPr/>
        <w:t>检查方法：直观检查和查验认证文件。 </w:t>
      </w:r>
    </w:p>
    <w:p>
      <w:pPr>
        <w:pStyle w:val="BodyText"/>
        <w:spacing w:before="12"/>
        <w:rPr>
          <w:sz w:val="17"/>
        </w:rPr>
      </w:pPr>
    </w:p>
    <w:p>
      <w:pPr>
        <w:pStyle w:val="ListParagraph"/>
        <w:numPr>
          <w:ilvl w:val="2"/>
          <w:numId w:val="755"/>
        </w:numPr>
        <w:tabs>
          <w:tab w:pos="1530" w:val="left" w:leader="none"/>
        </w:tabs>
        <w:spacing w:line="446" w:lineRule="auto" w:before="0" w:after="0"/>
        <w:ind w:left="838" w:right="1445" w:firstLine="2"/>
        <w:jc w:val="left"/>
        <w:rPr>
          <w:sz w:val="21"/>
        </w:rPr>
      </w:pPr>
      <w:r>
        <w:rPr>
          <w:spacing w:val="-3"/>
          <w:sz w:val="21"/>
        </w:rPr>
        <w:t>压力开关、流量开关、水位显示与控制开关等仪表的进场检验，应符合下列要求： 性能规格应满足设计要求；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611" w:firstLine="419"/>
      </w:pPr>
      <w:r>
        <w:rPr>
          <w:spacing w:val="-4"/>
        </w:rPr>
        <w:t>压力开关应符合现行国家标准《自动喷水灭火系统 第 </w:t>
      </w:r>
      <w:r>
        <w:rPr/>
        <w:t>10</w:t>
      </w:r>
      <w:r>
        <w:rPr>
          <w:spacing w:val="-10"/>
        </w:rPr>
        <w:t> 部分：压力开关》</w:t>
      </w:r>
      <w:r>
        <w:rPr/>
        <w:t>GB</w:t>
      </w:r>
      <w:r>
        <w:rPr>
          <w:spacing w:val="8"/>
        </w:rPr>
        <w:t> </w:t>
      </w:r>
      <w:r>
        <w:rPr/>
        <w:t>5135.10 </w:t>
      </w:r>
      <w:r>
        <w:rPr>
          <w:spacing w:val="-3"/>
        </w:rPr>
        <w:t>的性能和质量要求；</w:t>
      </w:r>
      <w:r>
        <w:rPr/>
        <w:t> </w:t>
      </w:r>
    </w:p>
    <w:p>
      <w:pPr>
        <w:pStyle w:val="BodyText"/>
        <w:spacing w:line="446" w:lineRule="auto"/>
        <w:ind w:left="838" w:right="1505"/>
      </w:pPr>
      <w:r>
        <w:rPr>
          <w:spacing w:val="-3"/>
        </w:rPr>
        <w:t>水位显示与控制开关应符合现行国家标准《水位测量仪器》</w:t>
      </w:r>
      <w:r>
        <w:rPr/>
        <w:t>GB/T</w:t>
      </w:r>
      <w:r>
        <w:rPr>
          <w:spacing w:val="57"/>
        </w:rPr>
        <w:t> </w:t>
      </w:r>
      <w:r>
        <w:rPr/>
        <w:t>11828</w:t>
      </w:r>
      <w:r>
        <w:rPr>
          <w:spacing w:val="-3"/>
        </w:rPr>
        <w:t> 等的有关规定； </w:t>
      </w:r>
      <w:r>
        <w:rPr>
          <w:spacing w:val="-6"/>
        </w:rPr>
        <w:t>流量开关应能在管道流速为 </w:t>
      </w:r>
      <w:r>
        <w:rPr/>
        <w:t>0.1～10m/s</w:t>
      </w:r>
      <w:r>
        <w:rPr>
          <w:spacing w:val="-7"/>
        </w:rPr>
        <w:t> 时可靠启动，其他性能宜符合现行国家标准《自动</w:t>
      </w:r>
    </w:p>
    <w:p>
      <w:pPr>
        <w:pStyle w:val="BodyText"/>
        <w:spacing w:line="446" w:lineRule="auto"/>
        <w:ind w:left="838" w:right="3975" w:hanging="420"/>
      </w:pPr>
      <w:r>
        <w:rPr>
          <w:spacing w:val="-7"/>
        </w:rPr>
        <w:t>喷水灭火系统  第 </w:t>
      </w:r>
      <w:r>
        <w:rPr/>
        <w:t>7</w:t>
      </w:r>
      <w:r>
        <w:rPr>
          <w:spacing w:val="-9"/>
        </w:rPr>
        <w:t> 部分：水流指示器》</w:t>
      </w:r>
      <w:r>
        <w:rPr/>
        <w:t>GB</w:t>
      </w:r>
      <w:r>
        <w:rPr>
          <w:spacing w:val="5"/>
        </w:rPr>
        <w:t> </w:t>
      </w:r>
      <w:r>
        <w:rPr/>
        <w:t>5135.7</w:t>
      </w:r>
      <w:r>
        <w:rPr>
          <w:spacing w:val="-9"/>
        </w:rPr>
        <w:t> 的有关规定； </w:t>
      </w:r>
      <w:r>
        <w:rPr>
          <w:spacing w:val="-3"/>
        </w:rPr>
        <w:t>外观完整不应有损伤。</w:t>
      </w:r>
      <w:r>
        <w:rPr/>
        <w:t> </w:t>
      </w:r>
    </w:p>
    <w:p>
      <w:pPr>
        <w:pStyle w:val="BodyText"/>
        <w:ind w:left="838"/>
      </w:pPr>
      <w:r>
        <w:rPr>
          <w:spacing w:val="-3"/>
        </w:rPr>
        <w:t>检查数量：全数检查。</w:t>
      </w:r>
      <w:r>
        <w:rPr/>
        <w:t> </w:t>
      </w:r>
    </w:p>
    <w:p>
      <w:pPr>
        <w:pStyle w:val="BodyText"/>
        <w:spacing w:before="11"/>
        <w:rPr>
          <w:sz w:val="17"/>
        </w:rPr>
      </w:pPr>
    </w:p>
    <w:p>
      <w:pPr>
        <w:spacing w:line="446" w:lineRule="auto" w:before="0"/>
        <w:ind w:left="840" w:right="6129" w:hanging="3"/>
        <w:jc w:val="left"/>
        <w:rPr>
          <w:b/>
          <w:sz w:val="21"/>
        </w:rPr>
      </w:pPr>
      <w:r>
        <w:rPr>
          <w:sz w:val="21"/>
        </w:rPr>
        <w:t>检查方法：直观检查和查验认证文件。</w:t>
      </w:r>
      <w:r>
        <w:rPr>
          <w:b/>
          <w:sz w:val="21"/>
        </w:rPr>
        <w:t>12.3 </w:t>
      </w:r>
      <w:r>
        <w:rPr>
          <w:sz w:val="21"/>
        </w:rPr>
        <w:t>施工</w:t>
      </w:r>
      <w:r>
        <w:rPr>
          <w:b/>
          <w:w w:val="99"/>
          <w:sz w:val="21"/>
        </w:rPr>
        <w:t> </w:t>
      </w:r>
    </w:p>
    <w:p>
      <w:pPr>
        <w:pStyle w:val="ListParagraph"/>
        <w:numPr>
          <w:ilvl w:val="2"/>
          <w:numId w:val="756"/>
        </w:numPr>
        <w:tabs>
          <w:tab w:pos="1530" w:val="left" w:leader="none"/>
        </w:tabs>
        <w:spacing w:line="240" w:lineRule="auto" w:before="0" w:after="0"/>
        <w:ind w:left="1529" w:right="0" w:hanging="690"/>
        <w:jc w:val="left"/>
        <w:rPr>
          <w:sz w:val="21"/>
        </w:rPr>
      </w:pPr>
      <w:r>
        <w:rPr>
          <w:spacing w:val="-3"/>
          <w:sz w:val="21"/>
        </w:rPr>
        <w:t>消防给水及消火栓系统的安装应符合下列要求：</w:t>
      </w:r>
      <w:r>
        <w:rPr>
          <w:sz w:val="21"/>
        </w:rPr>
        <w:t> </w:t>
      </w:r>
    </w:p>
    <w:p>
      <w:pPr>
        <w:pStyle w:val="BodyText"/>
        <w:spacing w:before="12"/>
        <w:rPr>
          <w:sz w:val="17"/>
        </w:rPr>
      </w:pPr>
    </w:p>
    <w:p>
      <w:pPr>
        <w:pStyle w:val="BodyText"/>
        <w:spacing w:line="446" w:lineRule="auto"/>
        <w:ind w:left="418" w:right="1609" w:firstLine="419"/>
      </w:pPr>
      <w:r>
        <w:rPr/>
        <w:t>消防水泵、消防水箱、消防水池、消防气压给水设备、消防水泵接合器等供水设施及其附属管道安装前，应清除其内部污垢和杂物； </w:t>
      </w:r>
    </w:p>
    <w:p>
      <w:pPr>
        <w:pStyle w:val="BodyText"/>
        <w:spacing w:line="446" w:lineRule="auto"/>
        <w:ind w:left="838" w:right="1925"/>
      </w:pPr>
      <w:r>
        <w:rPr>
          <w:spacing w:val="-3"/>
        </w:rPr>
        <w:t>消防供水设施应采取安全可靠的防护措施，其安装位置应便于日常操作和维护管理； 管道的安装应采用符合管材的施工工艺，管道安装中断时，其敞口处应封闭。 </w:t>
      </w:r>
    </w:p>
    <w:p>
      <w:pPr>
        <w:pStyle w:val="ListParagraph"/>
        <w:numPr>
          <w:ilvl w:val="2"/>
          <w:numId w:val="756"/>
        </w:numPr>
        <w:tabs>
          <w:tab w:pos="1530" w:val="left" w:leader="none"/>
        </w:tabs>
        <w:spacing w:line="267" w:lineRule="exact" w:before="0" w:after="0"/>
        <w:ind w:left="1529" w:right="0" w:hanging="690"/>
        <w:jc w:val="left"/>
        <w:rPr>
          <w:sz w:val="21"/>
        </w:rPr>
      </w:pPr>
      <w:r>
        <w:rPr>
          <w:spacing w:val="-3"/>
          <w:sz w:val="21"/>
        </w:rPr>
        <w:t>消防水泵的安装应符合下列要求：</w:t>
      </w:r>
      <w:r>
        <w:rPr>
          <w:sz w:val="21"/>
        </w:rPr>
        <w:t> </w:t>
      </w:r>
    </w:p>
    <w:p>
      <w:pPr>
        <w:pStyle w:val="BodyText"/>
        <w:spacing w:before="2"/>
        <w:rPr>
          <w:sz w:val="18"/>
        </w:rPr>
      </w:pPr>
    </w:p>
    <w:p>
      <w:pPr>
        <w:pStyle w:val="BodyText"/>
        <w:spacing w:line="446" w:lineRule="auto"/>
        <w:ind w:left="418" w:right="1609" w:firstLine="419"/>
      </w:pPr>
      <w:r>
        <w:rPr/>
        <w:t>消防水泵安装前应校核产品合格证，以及其规格、型号和性能与设计要求应一致，并应根据安装使用说明书安装； </w:t>
      </w:r>
    </w:p>
    <w:p>
      <w:pPr>
        <w:pStyle w:val="BodyText"/>
        <w:spacing w:line="446" w:lineRule="auto"/>
        <w:ind w:left="418" w:right="1817" w:firstLine="419"/>
      </w:pPr>
      <w:r>
        <w:rPr/>
        <w:t>消防水泵安装前应复核水泵基础混凝土强度、隔振装置、坐标、标高、尺寸和螺栓孔位置； </w:t>
      </w:r>
    </w:p>
    <w:p>
      <w:pPr>
        <w:pStyle w:val="BodyText"/>
        <w:spacing w:line="446" w:lineRule="auto"/>
        <w:ind w:left="418" w:right="1608" w:firstLine="419"/>
      </w:pPr>
      <w:r>
        <w:rPr/>
        <w:t>消防水泵的安装应符合现行国家标准《机械设备安装工程施工及验收通用规范》GB 50231 和《风机、压缩机、泵安装工程施工及验收规范》GB 50275 的有关规定； </w:t>
      </w:r>
    </w:p>
    <w:p>
      <w:pPr>
        <w:pStyle w:val="BodyText"/>
        <w:spacing w:line="446" w:lineRule="auto"/>
        <w:ind w:left="418" w:right="1609" w:firstLine="419"/>
      </w:pPr>
      <w:r>
        <w:rPr/>
        <w:t>消防水泵安装前应复核消防水泵之间，以及消防水泵与墙或其他设备之间的间距，并应满足安装、运行和维护管理的要求； </w:t>
      </w:r>
    </w:p>
    <w:p>
      <w:pPr>
        <w:pStyle w:val="BodyText"/>
        <w:spacing w:line="446" w:lineRule="auto"/>
        <w:ind w:left="418" w:right="1608" w:firstLine="419"/>
        <w:jc w:val="both"/>
      </w:pPr>
      <w:r>
        <w:rPr/>
        <w:t>消防水泵吸水管上的控制阀应在消防水泵固定于基础上后再进行安装，其直径不应小于消防水泵吸水口直径，且不应采用没有可靠锁定装置的控制阀，控制阀应采用沟槽式或法兰式阀门； </w:t>
      </w:r>
    </w:p>
    <w:p>
      <w:pPr>
        <w:pStyle w:val="BodyText"/>
        <w:spacing w:line="446" w:lineRule="auto"/>
        <w:ind w:left="418" w:right="1609" w:firstLine="419"/>
      </w:pPr>
      <w:r>
        <w:rPr/>
        <w:t>当消防水泵和消防水池位于独立的两个基础上且相互为刚性连接时，吸水管上应加设柔性连接管；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pPr>
      <w:r>
        <w:rPr/>
        <w:t>吸水管水平管段上不应有气囊和漏气现象。变径连接时，应采用偏心异径管件并应采用管顶平接； </w:t>
      </w:r>
    </w:p>
    <w:p>
      <w:pPr>
        <w:pStyle w:val="BodyText"/>
        <w:spacing w:line="446" w:lineRule="auto"/>
        <w:ind w:left="418" w:right="1608" w:firstLine="419"/>
        <w:jc w:val="both"/>
      </w:pPr>
      <w:r>
        <w:rPr/>
        <w:t>消防水泵出水管上应安装消声止回阀、控制阀和压力表；系统的总出水管上还应安装压力表和压力开关；安装压力表时应加设缓冲装置。压力表和缓冲装置之间应安装旋塞；压力表量程在没有设计要求时，应为系统工作压力的 2 倍～2.5 倍； </w:t>
      </w:r>
    </w:p>
    <w:p>
      <w:pPr>
        <w:pStyle w:val="BodyText"/>
        <w:spacing w:line="446" w:lineRule="auto"/>
        <w:ind w:left="418" w:right="1609" w:firstLine="419"/>
      </w:pPr>
      <w:r>
        <w:rPr/>
        <w:t>消防水泵的隔振装置、进出水管柔性接头的安装应符合设计要求，并应有产品说明和安装使用说明。 </w:t>
      </w:r>
    </w:p>
    <w:p>
      <w:pPr>
        <w:pStyle w:val="BodyText"/>
        <w:ind w:left="838"/>
      </w:pPr>
      <w:r>
        <w:rPr/>
        <w:t>检查数量：全数检查。 </w:t>
      </w:r>
    </w:p>
    <w:p>
      <w:pPr>
        <w:pStyle w:val="BodyText"/>
        <w:spacing w:before="9"/>
        <w:rPr>
          <w:sz w:val="17"/>
        </w:rPr>
      </w:pPr>
    </w:p>
    <w:p>
      <w:pPr>
        <w:pStyle w:val="BodyText"/>
        <w:spacing w:before="1"/>
        <w:ind w:left="838"/>
      </w:pPr>
      <w:r>
        <w:rPr/>
        <w:t>检查方法：核实设计图、核对产品的性能检验报告、直观检查。 </w:t>
      </w:r>
    </w:p>
    <w:p>
      <w:pPr>
        <w:pStyle w:val="BodyText"/>
        <w:spacing w:before="1"/>
        <w:rPr>
          <w:sz w:val="18"/>
        </w:rPr>
      </w:pPr>
    </w:p>
    <w:p>
      <w:pPr>
        <w:pStyle w:val="ListParagraph"/>
        <w:numPr>
          <w:ilvl w:val="2"/>
          <w:numId w:val="756"/>
        </w:numPr>
        <w:tabs>
          <w:tab w:pos="1530" w:val="left" w:leader="none"/>
        </w:tabs>
        <w:spacing w:line="446" w:lineRule="auto" w:before="1" w:after="0"/>
        <w:ind w:left="838" w:right="1654" w:firstLine="2"/>
        <w:jc w:val="left"/>
        <w:rPr>
          <w:sz w:val="21"/>
        </w:rPr>
      </w:pPr>
      <w:r>
        <w:rPr>
          <w:spacing w:val="-3"/>
          <w:sz w:val="21"/>
        </w:rPr>
        <w:t>天然水源取水口、地下水井、消防水池和消防水箱安装施工，应符合下列要求： 天然水源取水口、地下水井、消防水池和消防水箱的水位、出水量、有效容积、安装位</w:t>
      </w:r>
    </w:p>
    <w:p>
      <w:pPr>
        <w:pStyle w:val="BodyText"/>
        <w:spacing w:line="267" w:lineRule="exact"/>
        <w:ind w:left="418"/>
      </w:pPr>
      <w:r>
        <w:rPr/>
        <w:t>置，应符合设计要求； </w:t>
      </w:r>
    </w:p>
    <w:p>
      <w:pPr>
        <w:pStyle w:val="BodyText"/>
        <w:spacing w:before="1"/>
        <w:rPr>
          <w:sz w:val="18"/>
        </w:rPr>
      </w:pPr>
    </w:p>
    <w:p>
      <w:pPr>
        <w:pStyle w:val="BodyText"/>
        <w:ind w:left="838"/>
      </w:pPr>
      <w:r>
        <w:rPr/>
        <w:t>天然水源取水口、地下水井、消防水池、消防水箱的施工和安装，应符合现行国家标准</w:t>
      </w:r>
    </w:p>
    <w:p>
      <w:pPr>
        <w:pStyle w:val="BodyText"/>
        <w:rPr>
          <w:sz w:val="18"/>
        </w:rPr>
      </w:pPr>
    </w:p>
    <w:p>
      <w:pPr>
        <w:pStyle w:val="BodyText"/>
        <w:spacing w:line="446" w:lineRule="auto"/>
        <w:ind w:left="418" w:right="1497"/>
      </w:pPr>
      <w:r>
        <w:rPr/>
        <w:t>《给水排水构筑物工程施工及验收规范》GB 50141、《供水管井技术规范》GB 50296 和《建筑给水排水及采暖工程施工质量验收规范》GB 50242 的有关规定； </w:t>
      </w:r>
    </w:p>
    <w:p>
      <w:pPr>
        <w:pStyle w:val="BodyText"/>
        <w:spacing w:line="446" w:lineRule="auto"/>
        <w:ind w:left="838" w:right="1609"/>
      </w:pPr>
      <w:r>
        <w:rPr>
          <w:spacing w:val="-3"/>
        </w:rPr>
        <w:t>消防水池和消防水箱出水管或水泵吸水管应满足最低有效水位出水不掺气的技术要求； 安装时池外壁与建筑本体结构墙面或其他池壁之间的净距，应满足施工、装配和检修的需</w:t>
      </w:r>
    </w:p>
    <w:p>
      <w:pPr>
        <w:pStyle w:val="BodyText"/>
        <w:spacing w:line="267" w:lineRule="exact"/>
        <w:ind w:left="418"/>
      </w:pPr>
      <w:r>
        <w:rPr/>
        <w:t>要； </w:t>
      </w:r>
    </w:p>
    <w:p>
      <w:pPr>
        <w:pStyle w:val="BodyText"/>
        <w:spacing w:before="2"/>
        <w:rPr>
          <w:sz w:val="18"/>
        </w:rPr>
      </w:pPr>
    </w:p>
    <w:p>
      <w:pPr>
        <w:pStyle w:val="BodyText"/>
        <w:spacing w:line="446" w:lineRule="auto"/>
        <w:ind w:left="418" w:right="1505" w:firstLine="419"/>
        <w:jc w:val="both"/>
      </w:pPr>
      <w:r>
        <w:rPr>
          <w:spacing w:val="-3"/>
        </w:rPr>
        <w:t>钢筋混凝土制作的消防水池和消防水箱的进出水等管道应加设防水套管，钢板等制作的消防水池和消防水箱的进出水等管道宜采用法兰连接，对有振动的管道应加设柔性接头。组合式消防水池或消防水箱的进水管、出水管接头宜采用法兰连接，采用其他连接时应做防锈处理；</w:t>
      </w:r>
      <w:r>
        <w:rPr/>
        <w:t> </w:t>
      </w:r>
    </w:p>
    <w:p>
      <w:pPr>
        <w:pStyle w:val="BodyText"/>
        <w:spacing w:line="446" w:lineRule="auto"/>
        <w:ind w:left="418" w:right="1609" w:firstLine="419"/>
      </w:pPr>
      <w:r>
        <w:rPr/>
        <w:t>消防水池、消防水箱的溢流管、泄水管不应与生产或生活用水的排水系统直接相连，应采用间接排水方式。 </w:t>
      </w:r>
    </w:p>
    <w:p>
      <w:pPr>
        <w:pStyle w:val="BodyText"/>
        <w:spacing w:line="267" w:lineRule="exact"/>
        <w:ind w:left="838"/>
      </w:pPr>
      <w:r>
        <w:rPr/>
        <w:t>检查数量：全数检查。 </w:t>
      </w:r>
    </w:p>
    <w:p>
      <w:pPr>
        <w:pStyle w:val="BodyText"/>
        <w:spacing w:before="1"/>
        <w:rPr>
          <w:sz w:val="18"/>
        </w:rPr>
      </w:pPr>
    </w:p>
    <w:p>
      <w:pPr>
        <w:pStyle w:val="BodyText"/>
        <w:ind w:left="838"/>
      </w:pPr>
      <w:r>
        <w:rPr/>
        <w:t>检查方法：核实设计图、直观检查。 </w:t>
      </w:r>
    </w:p>
    <w:p>
      <w:pPr>
        <w:pStyle w:val="BodyText"/>
        <w:rPr>
          <w:sz w:val="18"/>
        </w:rPr>
      </w:pPr>
    </w:p>
    <w:p>
      <w:pPr>
        <w:pStyle w:val="ListParagraph"/>
        <w:numPr>
          <w:ilvl w:val="2"/>
          <w:numId w:val="756"/>
        </w:numPr>
        <w:tabs>
          <w:tab w:pos="1530" w:val="left" w:leader="none"/>
        </w:tabs>
        <w:spacing w:line="240" w:lineRule="auto" w:before="0" w:after="0"/>
        <w:ind w:left="1529" w:right="0" w:hanging="690"/>
        <w:jc w:val="left"/>
        <w:rPr>
          <w:sz w:val="21"/>
        </w:rPr>
      </w:pPr>
      <w:r>
        <w:rPr>
          <w:spacing w:val="-3"/>
          <w:sz w:val="21"/>
        </w:rPr>
        <w:t>气压水罐安装应符合下列要求：</w:t>
      </w:r>
      <w:r>
        <w:rPr>
          <w:sz w:val="21"/>
        </w:rPr>
        <w:t> </w:t>
      </w:r>
    </w:p>
    <w:p>
      <w:pPr>
        <w:pStyle w:val="BodyText"/>
        <w:rPr>
          <w:sz w:val="18"/>
        </w:rPr>
      </w:pPr>
    </w:p>
    <w:p>
      <w:pPr>
        <w:pStyle w:val="BodyText"/>
        <w:ind w:left="838"/>
      </w:pPr>
      <w:r>
        <w:rPr/>
        <w:t>气压水罐有效容积、气压、水位及设计压力应符合设计要求； </w:t>
      </w:r>
    </w:p>
    <w:p>
      <w:pPr>
        <w:pStyle w:val="BodyText"/>
        <w:spacing w:before="1"/>
        <w:rPr>
          <w:sz w:val="18"/>
        </w:rPr>
      </w:pPr>
    </w:p>
    <w:p>
      <w:pPr>
        <w:pStyle w:val="BodyText"/>
        <w:spacing w:before="1"/>
        <w:ind w:left="838"/>
      </w:pPr>
      <w:r>
        <w:rPr/>
        <w:t>气压水罐安装位置和间距、进水管及出水管方向应符合设计要求；出水管上应设止回阀； </w:t>
      </w:r>
    </w:p>
    <w:p>
      <w:pPr>
        <w:spacing w:after="0"/>
        <w:sectPr>
          <w:pgSz w:w="11910" w:h="16850"/>
          <w:pgMar w:header="0" w:footer="1239" w:top="1220" w:bottom="1420" w:left="1260" w:right="0"/>
        </w:sectPr>
      </w:pPr>
    </w:p>
    <w:p>
      <w:pPr>
        <w:pStyle w:val="BodyText"/>
        <w:spacing w:line="446" w:lineRule="auto" w:before="47"/>
        <w:ind w:left="838" w:right="6549"/>
      </w:pPr>
      <w:r>
        <w:rPr/>
        <w:t>气压水罐宜有有效水容积指示器。检查数量：全数检查。 </w:t>
      </w:r>
    </w:p>
    <w:p>
      <w:pPr>
        <w:pStyle w:val="BodyText"/>
        <w:spacing w:line="267" w:lineRule="exact"/>
        <w:ind w:left="838"/>
      </w:pPr>
      <w:r>
        <w:rPr/>
        <w:t>检查方法：核实设计图、核对产品的性能检验报告、直观检查。 </w:t>
      </w:r>
    </w:p>
    <w:p>
      <w:pPr>
        <w:pStyle w:val="BodyText"/>
        <w:spacing w:before="2"/>
        <w:rPr>
          <w:sz w:val="18"/>
        </w:rPr>
      </w:pPr>
    </w:p>
    <w:p>
      <w:pPr>
        <w:pStyle w:val="ListParagraph"/>
        <w:numPr>
          <w:ilvl w:val="2"/>
          <w:numId w:val="756"/>
        </w:numPr>
        <w:tabs>
          <w:tab w:pos="1530" w:val="left" w:leader="none"/>
        </w:tabs>
        <w:spacing w:line="240" w:lineRule="auto" w:before="0" w:after="0"/>
        <w:ind w:left="1529" w:right="0" w:hanging="690"/>
        <w:jc w:val="both"/>
        <w:rPr>
          <w:sz w:val="21"/>
        </w:rPr>
      </w:pPr>
      <w:r>
        <w:rPr>
          <w:spacing w:val="-3"/>
          <w:sz w:val="21"/>
        </w:rPr>
        <w:t>稳压泵的安装应符合下列要求：</w:t>
      </w:r>
      <w:r>
        <w:rPr>
          <w:sz w:val="21"/>
        </w:rPr>
        <w:t> </w:t>
      </w:r>
    </w:p>
    <w:p>
      <w:pPr>
        <w:pStyle w:val="BodyText"/>
        <w:rPr>
          <w:sz w:val="18"/>
        </w:rPr>
      </w:pPr>
    </w:p>
    <w:p>
      <w:pPr>
        <w:pStyle w:val="BodyText"/>
        <w:ind w:left="838"/>
      </w:pPr>
      <w:r>
        <w:rPr/>
        <w:t>规格、型号、流量和扬程应符合设计要求，并应有产品合格证和安装使用说明书； </w:t>
      </w:r>
    </w:p>
    <w:p>
      <w:pPr>
        <w:pStyle w:val="BodyText"/>
        <w:spacing w:before="12"/>
        <w:rPr>
          <w:sz w:val="17"/>
        </w:rPr>
      </w:pPr>
    </w:p>
    <w:p>
      <w:pPr>
        <w:pStyle w:val="BodyText"/>
        <w:ind w:left="838"/>
      </w:pPr>
      <w:r>
        <w:rPr/>
        <w:t>稳压泵的安装应符合现行国家标准《机械设备安装工程施工及验收通用规范》GB 50231 和</w:t>
      </w:r>
    </w:p>
    <w:p>
      <w:pPr>
        <w:pStyle w:val="BodyText"/>
        <w:spacing w:before="2"/>
        <w:rPr>
          <w:sz w:val="18"/>
        </w:rPr>
      </w:pPr>
    </w:p>
    <w:p>
      <w:pPr>
        <w:pStyle w:val="BodyText"/>
        <w:spacing w:line="446" w:lineRule="auto"/>
        <w:ind w:left="838" w:right="3555" w:hanging="420"/>
      </w:pPr>
      <w:r>
        <w:rPr/>
        <w:t>《风机、压缩机、泵安装工程施工及验收规范》GB 50275 的有关规定。检查数量：全数检查。 </w:t>
      </w:r>
    </w:p>
    <w:p>
      <w:pPr>
        <w:pStyle w:val="BodyText"/>
        <w:spacing w:line="267" w:lineRule="exact"/>
        <w:ind w:left="838"/>
      </w:pPr>
      <w:r>
        <w:rPr/>
        <w:t>检查方法：尺量和直观检查。 </w:t>
      </w:r>
    </w:p>
    <w:p>
      <w:pPr>
        <w:pStyle w:val="BodyText"/>
        <w:spacing w:before="2"/>
        <w:rPr>
          <w:sz w:val="18"/>
        </w:rPr>
      </w:pPr>
    </w:p>
    <w:p>
      <w:pPr>
        <w:pStyle w:val="ListParagraph"/>
        <w:numPr>
          <w:ilvl w:val="2"/>
          <w:numId w:val="756"/>
        </w:numPr>
        <w:tabs>
          <w:tab w:pos="1530" w:val="left" w:leader="none"/>
        </w:tabs>
        <w:spacing w:line="240" w:lineRule="auto" w:before="0" w:after="0"/>
        <w:ind w:left="1529" w:right="0" w:hanging="690"/>
        <w:jc w:val="both"/>
        <w:rPr>
          <w:sz w:val="21"/>
        </w:rPr>
      </w:pPr>
      <w:r>
        <w:rPr>
          <w:spacing w:val="-3"/>
          <w:sz w:val="21"/>
        </w:rPr>
        <w:t>消防水泵接合器的安装应符合下列规定：</w:t>
      </w:r>
      <w:r>
        <w:rPr>
          <w:sz w:val="21"/>
        </w:rPr>
        <w:t> </w:t>
      </w:r>
    </w:p>
    <w:p>
      <w:pPr>
        <w:pStyle w:val="BodyText"/>
        <w:spacing w:before="12"/>
        <w:rPr>
          <w:sz w:val="17"/>
        </w:rPr>
      </w:pPr>
    </w:p>
    <w:p>
      <w:pPr>
        <w:pStyle w:val="BodyText"/>
        <w:spacing w:line="446" w:lineRule="auto"/>
        <w:ind w:left="418" w:right="1608" w:firstLine="419"/>
        <w:jc w:val="both"/>
      </w:pPr>
      <w:r>
        <w:rPr/>
        <w:t>消防水泵接合器的安装，应按接口、本体、连接管、止回阀、安全阀、放空管、控制阀的顺序进行，止回阀的安装方向应使消防用水能从消防水泵接合器进入系统，整体式消防水泵接合器的安装，应按其使用安装说明书进行； </w:t>
      </w:r>
    </w:p>
    <w:p>
      <w:pPr>
        <w:pStyle w:val="BodyText"/>
        <w:spacing w:line="268" w:lineRule="exact"/>
        <w:ind w:left="838"/>
      </w:pPr>
      <w:r>
        <w:rPr/>
        <w:t>消防水泵接合器的设置位置应符合设计要求； </w:t>
      </w:r>
    </w:p>
    <w:p>
      <w:pPr>
        <w:pStyle w:val="BodyText"/>
        <w:rPr>
          <w:sz w:val="18"/>
        </w:rPr>
      </w:pPr>
    </w:p>
    <w:p>
      <w:pPr>
        <w:pStyle w:val="BodyText"/>
        <w:spacing w:line="446" w:lineRule="auto"/>
        <w:ind w:left="418" w:right="1609" w:firstLine="419"/>
      </w:pPr>
      <w:r>
        <w:rPr/>
        <w:t>消防水泵接合器永久性固定标志应能识别其所对应的消防给水系统或水灭火系统，当有分区时应有分区标识； </w:t>
      </w:r>
    </w:p>
    <w:p>
      <w:pPr>
        <w:pStyle w:val="BodyText"/>
        <w:spacing w:line="446" w:lineRule="auto"/>
        <w:ind w:left="418" w:right="1609" w:firstLine="419"/>
      </w:pPr>
      <w:r>
        <w:rPr/>
        <w:t>地下消防水泵接合器应采用铸有“消防水泵接合器”标志的铸铁井盖，并应在其附近设置指示其位置的永久性固定标志； </w:t>
      </w:r>
    </w:p>
    <w:p>
      <w:pPr>
        <w:pStyle w:val="BodyText"/>
        <w:ind w:left="838"/>
      </w:pPr>
      <w:r>
        <w:rPr/>
        <w:t>墙壁消防水泵接合器的安装应符合设计要求。设计无要求时，其安装高度距地面宜为</w:t>
      </w:r>
    </w:p>
    <w:p>
      <w:pPr>
        <w:pStyle w:val="BodyText"/>
        <w:spacing w:before="12"/>
        <w:rPr>
          <w:sz w:val="17"/>
        </w:rPr>
      </w:pPr>
    </w:p>
    <w:p>
      <w:pPr>
        <w:pStyle w:val="BodyText"/>
        <w:ind w:left="418"/>
      </w:pPr>
      <w:r>
        <w:rPr/>
        <w:t>0.7m；与墙面上的门、窗、孔、洞的净距离不应小于 2.0m，且不应安装在玻璃幕墙下方； </w:t>
      </w:r>
    </w:p>
    <w:p>
      <w:pPr>
        <w:pStyle w:val="BodyText"/>
        <w:rPr>
          <w:sz w:val="18"/>
        </w:rPr>
      </w:pPr>
    </w:p>
    <w:p>
      <w:pPr>
        <w:pStyle w:val="BodyText"/>
        <w:spacing w:line="446" w:lineRule="auto"/>
        <w:ind w:left="418" w:right="1498" w:firstLine="419"/>
      </w:pPr>
      <w:r>
        <w:rPr/>
        <w:t>地下消防水泵接合器的安装，应使进水口与井盖底面的距离不大于 0.4m，且不应小于井盖的半径； </w:t>
      </w:r>
    </w:p>
    <w:p>
      <w:pPr>
        <w:pStyle w:val="BodyText"/>
        <w:spacing w:line="446" w:lineRule="auto"/>
        <w:ind w:left="838" w:right="2765"/>
      </w:pPr>
      <w:r>
        <w:rPr>
          <w:spacing w:val="-3"/>
        </w:rPr>
        <w:t>消火栓水泵接合器与消防通道之间不应设有妨碍消防车加压供水的障碍物； 地下消防水泵接合器井的砌筑应有防水和排水措施。 </w:t>
      </w:r>
    </w:p>
    <w:p>
      <w:pPr>
        <w:pStyle w:val="BodyText"/>
        <w:ind w:left="838"/>
      </w:pPr>
      <w:r>
        <w:rPr/>
        <w:t>检查数量：全数检查。 </w:t>
      </w:r>
    </w:p>
    <w:p>
      <w:pPr>
        <w:pStyle w:val="BodyText"/>
        <w:spacing w:before="12"/>
        <w:rPr>
          <w:sz w:val="17"/>
        </w:rPr>
      </w:pPr>
    </w:p>
    <w:p>
      <w:pPr>
        <w:pStyle w:val="BodyText"/>
        <w:ind w:left="838"/>
      </w:pPr>
      <w:r>
        <w:rPr/>
        <w:t>检查方法：核实设计图、核对产品的性能检验报告、直观检查。 </w:t>
      </w:r>
    </w:p>
    <w:p>
      <w:pPr>
        <w:pStyle w:val="BodyText"/>
        <w:rPr>
          <w:sz w:val="18"/>
        </w:rPr>
      </w:pPr>
    </w:p>
    <w:p>
      <w:pPr>
        <w:pStyle w:val="ListParagraph"/>
        <w:numPr>
          <w:ilvl w:val="2"/>
          <w:numId w:val="756"/>
        </w:numPr>
        <w:tabs>
          <w:tab w:pos="1530" w:val="left" w:leader="none"/>
        </w:tabs>
        <w:spacing w:line="446" w:lineRule="auto" w:before="0" w:after="0"/>
        <w:ind w:left="838" w:right="5017" w:firstLine="2"/>
        <w:jc w:val="left"/>
        <w:rPr>
          <w:sz w:val="21"/>
        </w:rPr>
      </w:pPr>
      <w:r>
        <w:rPr>
          <w:spacing w:val="-3"/>
          <w:sz w:val="21"/>
        </w:rPr>
        <w:t>市政和室外消火栓的安装应符合下列规定： 市政和室外消火栓的选型、规格应符合设计要求；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431" w:firstLine="419"/>
      </w:pPr>
      <w:r>
        <w:rPr/>
        <w:t>管道和阀门的施工和安装，应符合现行国家标准《给水排水管道工程施工及验收规范》GB 50268、《建筑给水排水及采暖工程施工质量验收规范》GB 50242 的有关规定； </w:t>
      </w:r>
    </w:p>
    <w:p>
      <w:pPr>
        <w:pStyle w:val="BodyText"/>
        <w:spacing w:line="446" w:lineRule="auto"/>
        <w:ind w:left="418" w:right="1609" w:firstLine="419"/>
      </w:pPr>
      <w:r>
        <w:rPr/>
        <w:t>地下式消火栓顶部进水口或顶部出水口应正对井口。顶部进水口或顶部出水口与消防井盖底面的距离不应大于 0.4m，井内应有足够的操作空间，并应做好防水措施； </w:t>
      </w:r>
    </w:p>
    <w:p>
      <w:pPr>
        <w:pStyle w:val="BodyText"/>
        <w:ind w:left="838"/>
      </w:pPr>
      <w:r>
        <w:rPr/>
        <w:t>地下式室外消火栓应设置永久性固定标志； </w:t>
      </w:r>
    </w:p>
    <w:p>
      <w:pPr>
        <w:pStyle w:val="BodyText"/>
        <w:spacing w:before="10"/>
        <w:rPr>
          <w:sz w:val="17"/>
        </w:rPr>
      </w:pPr>
    </w:p>
    <w:p>
      <w:pPr>
        <w:pStyle w:val="BodyText"/>
        <w:spacing w:line="446" w:lineRule="auto"/>
        <w:ind w:left="838" w:right="1608"/>
      </w:pPr>
      <w:r>
        <w:rPr>
          <w:spacing w:val="-3"/>
        </w:rPr>
        <w:t>当室外消火栓安装部位火灾时存在可能落物危险时，上方应采取防坠落物撞击的措施； 市政和室外消火栓安装位置应符合设计要求，且不应妨碍交通，在易碰撞的地点应设置防</w:t>
      </w:r>
    </w:p>
    <w:p>
      <w:pPr>
        <w:pStyle w:val="BodyText"/>
        <w:spacing w:before="1"/>
        <w:ind w:left="418"/>
      </w:pPr>
      <w:r>
        <w:rPr/>
        <w:t>撞设施。 </w:t>
      </w:r>
    </w:p>
    <w:p>
      <w:pPr>
        <w:pStyle w:val="BodyText"/>
        <w:spacing w:before="12"/>
        <w:rPr>
          <w:sz w:val="17"/>
        </w:rPr>
      </w:pPr>
    </w:p>
    <w:p>
      <w:pPr>
        <w:pStyle w:val="BodyText"/>
        <w:ind w:left="838"/>
      </w:pPr>
      <w:r>
        <w:rPr/>
        <w:t>检查数量：按数量抽查 30%，但不应小于 10 个。 </w:t>
      </w:r>
    </w:p>
    <w:p>
      <w:pPr>
        <w:pStyle w:val="BodyText"/>
        <w:spacing w:before="2"/>
        <w:rPr>
          <w:sz w:val="18"/>
        </w:rPr>
      </w:pPr>
    </w:p>
    <w:p>
      <w:pPr>
        <w:pStyle w:val="BodyText"/>
        <w:ind w:left="838"/>
      </w:pPr>
      <w:r>
        <w:rPr/>
        <w:t>检查方法：核实设计图、核对产品的性能检验报告、直观检查。 </w:t>
      </w:r>
    </w:p>
    <w:p>
      <w:pPr>
        <w:pStyle w:val="BodyText"/>
        <w:spacing w:before="12"/>
        <w:rPr>
          <w:sz w:val="17"/>
        </w:rPr>
      </w:pPr>
    </w:p>
    <w:p>
      <w:pPr>
        <w:pStyle w:val="ListParagraph"/>
        <w:numPr>
          <w:ilvl w:val="2"/>
          <w:numId w:val="756"/>
        </w:numPr>
        <w:tabs>
          <w:tab w:pos="1530" w:val="left" w:leader="none"/>
        </w:tabs>
        <w:spacing w:line="446" w:lineRule="auto" w:before="0" w:after="0"/>
        <w:ind w:left="838" w:right="5437" w:firstLine="2"/>
        <w:jc w:val="left"/>
        <w:rPr>
          <w:sz w:val="21"/>
        </w:rPr>
      </w:pPr>
      <w:r>
        <w:rPr>
          <w:spacing w:val="-3"/>
          <w:sz w:val="21"/>
        </w:rPr>
        <w:t>市政消防水鹤的安装应符合下列规定： 市政消防水鹤的选型、规格应符合设计要求；</w:t>
      </w:r>
      <w:r>
        <w:rPr>
          <w:sz w:val="21"/>
        </w:rPr>
        <w:t> </w:t>
      </w:r>
    </w:p>
    <w:p>
      <w:pPr>
        <w:pStyle w:val="BodyText"/>
        <w:spacing w:line="446" w:lineRule="auto"/>
        <w:ind w:left="418" w:right="1431" w:firstLine="419"/>
      </w:pPr>
      <w:r>
        <w:rPr/>
        <w:t>管道和阀门的施工和安装，应符合现行国家标准《给水排水管道工程施工及验收规范》GB 50268、《建筑给水排水及采暖工程施工质量验收规范》GB 50242 的有关规定； </w:t>
      </w:r>
    </w:p>
    <w:p>
      <w:pPr>
        <w:pStyle w:val="BodyText"/>
        <w:spacing w:line="446" w:lineRule="auto"/>
        <w:ind w:left="838" w:right="2134"/>
      </w:pPr>
      <w:r>
        <w:rPr>
          <w:spacing w:val="-3"/>
        </w:rPr>
        <w:t>市政消防水鹤的安装空间应满足使用要求，并不应妨碍市政道路和人行道的畅通。检查数量：全数检查。</w:t>
      </w:r>
      <w:r>
        <w:rPr/>
        <w:t> </w:t>
      </w:r>
    </w:p>
    <w:p>
      <w:pPr>
        <w:pStyle w:val="BodyText"/>
        <w:ind w:left="838"/>
      </w:pPr>
      <w:r>
        <w:rPr/>
        <w:t>检查方法：核实设计图、核对产品的性能检验报告、直观检查。 </w:t>
      </w:r>
    </w:p>
    <w:p>
      <w:pPr>
        <w:pStyle w:val="BodyText"/>
        <w:spacing w:before="10"/>
        <w:rPr>
          <w:sz w:val="17"/>
        </w:rPr>
      </w:pPr>
    </w:p>
    <w:p>
      <w:pPr>
        <w:pStyle w:val="ListParagraph"/>
        <w:numPr>
          <w:ilvl w:val="2"/>
          <w:numId w:val="756"/>
        </w:numPr>
        <w:tabs>
          <w:tab w:pos="1478" w:val="left" w:leader="none"/>
        </w:tabs>
        <w:spacing w:line="240" w:lineRule="auto" w:before="0" w:after="0"/>
        <w:ind w:left="1477" w:right="0" w:hanging="638"/>
        <w:jc w:val="left"/>
        <w:rPr>
          <w:sz w:val="21"/>
        </w:rPr>
      </w:pPr>
      <w:r>
        <w:rPr>
          <w:spacing w:val="-3"/>
          <w:sz w:val="21"/>
        </w:rPr>
        <w:t>室内消火栓及消防软管卷盘或轻便水龙的安装应符合下列规定：</w:t>
      </w:r>
      <w:r>
        <w:rPr>
          <w:sz w:val="21"/>
        </w:rPr>
        <w:t> </w:t>
      </w:r>
    </w:p>
    <w:p>
      <w:pPr>
        <w:pStyle w:val="BodyText"/>
        <w:spacing w:before="2"/>
        <w:rPr>
          <w:sz w:val="18"/>
        </w:rPr>
      </w:pPr>
    </w:p>
    <w:p>
      <w:pPr>
        <w:pStyle w:val="BodyText"/>
        <w:ind w:left="838"/>
      </w:pPr>
      <w:r>
        <w:rPr/>
        <w:t>室内消火栓及消防软管卷盘和轻便水龙的选型、规格应符合设计要求； </w:t>
      </w:r>
    </w:p>
    <w:p>
      <w:pPr>
        <w:pStyle w:val="BodyText"/>
        <w:rPr>
          <w:sz w:val="18"/>
        </w:rPr>
      </w:pPr>
    </w:p>
    <w:p>
      <w:pPr>
        <w:pStyle w:val="BodyText"/>
        <w:spacing w:line="446" w:lineRule="auto"/>
        <w:ind w:left="418" w:right="1609" w:firstLine="419"/>
      </w:pPr>
      <w:r>
        <w:rPr/>
        <w:t>同一建筑物内设置的消火栓、消防软管卷盘和轻便水龙应采用统一规格的栓口、消防水枪和水带及配件； </w:t>
      </w:r>
    </w:p>
    <w:p>
      <w:pPr>
        <w:pStyle w:val="BodyText"/>
        <w:ind w:left="838"/>
      </w:pPr>
      <w:r>
        <w:rPr/>
        <w:t>试验用消火栓栓口处应设置压力表； </w:t>
      </w:r>
    </w:p>
    <w:p>
      <w:pPr>
        <w:pStyle w:val="BodyText"/>
        <w:rPr>
          <w:sz w:val="18"/>
        </w:rPr>
      </w:pPr>
    </w:p>
    <w:p>
      <w:pPr>
        <w:pStyle w:val="BodyText"/>
        <w:spacing w:line="446" w:lineRule="auto"/>
        <w:ind w:left="418" w:right="1609" w:firstLine="419"/>
      </w:pPr>
      <w:r>
        <w:rPr/>
        <w:t>当消火栓设置减压装置时，应检查减压装置符合设计要求，且安装时应有防止砂石等杂物进入栓口的措施； </w:t>
      </w:r>
    </w:p>
    <w:p>
      <w:pPr>
        <w:pStyle w:val="BodyText"/>
        <w:spacing w:line="446" w:lineRule="auto"/>
        <w:ind w:left="418" w:right="1609" w:firstLine="419"/>
      </w:pPr>
      <w:r>
        <w:rPr/>
        <w:t>室内消火栓及消防软管卷盘和轻便水龙应设置明显的永久性固定标志，当室内消火栓因美观要求需要隐蔽安装时，应有明显的标志，并应便于开启使用； </w:t>
      </w:r>
    </w:p>
    <w:p>
      <w:pPr>
        <w:pStyle w:val="BodyText"/>
        <w:spacing w:line="267" w:lineRule="exact"/>
        <w:ind w:left="838"/>
      </w:pPr>
      <w:r>
        <w:rPr/>
        <w:t>消火栓栓口出水方向宜向下或与设置消火栓的墙面成 90°角，栓口不应安装在门轴侧； </w:t>
      </w:r>
    </w:p>
    <w:p>
      <w:pPr>
        <w:pStyle w:val="BodyText"/>
        <w:spacing w:before="1"/>
        <w:rPr>
          <w:sz w:val="18"/>
        </w:rPr>
      </w:pPr>
    </w:p>
    <w:p>
      <w:pPr>
        <w:pStyle w:val="BodyText"/>
        <w:spacing w:before="1"/>
        <w:ind w:left="838"/>
      </w:pPr>
      <w:r>
        <w:rPr/>
        <w:t>消火栓栓口中心距地面应为 1.1m，特殊地点的高度可特殊对待，允许偏差±20mm。 </w:t>
      </w:r>
    </w:p>
    <w:p>
      <w:pPr>
        <w:spacing w:after="0"/>
        <w:sectPr>
          <w:footerReference w:type="default" r:id="rId412"/>
          <w:pgSz w:w="11910" w:h="16850"/>
          <w:pgMar w:footer="1239" w:header="0" w:top="1220" w:bottom="1420" w:left="1260" w:right="0"/>
          <w:pgNumType w:start="1370"/>
        </w:sectPr>
      </w:pPr>
    </w:p>
    <w:p>
      <w:pPr>
        <w:pStyle w:val="BodyText"/>
        <w:spacing w:before="47"/>
        <w:ind w:left="838"/>
      </w:pPr>
      <w:r>
        <w:rPr/>
        <w:t>检查数量：按数量抽查 30%，但不应小于 10 个。 </w:t>
      </w:r>
    </w:p>
    <w:p>
      <w:pPr>
        <w:pStyle w:val="BodyText"/>
        <w:rPr>
          <w:sz w:val="18"/>
        </w:rPr>
      </w:pPr>
    </w:p>
    <w:p>
      <w:pPr>
        <w:pStyle w:val="BodyText"/>
        <w:ind w:left="838"/>
      </w:pPr>
      <w:r>
        <w:rPr/>
        <w:t>检验方法：核实设计图、核对产品的性能检验报告、直观检查。 </w:t>
      </w:r>
    </w:p>
    <w:p>
      <w:pPr>
        <w:pStyle w:val="BodyText"/>
        <w:rPr>
          <w:sz w:val="18"/>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消火栓箱的安装应符合下列规定：</w:t>
      </w:r>
      <w:r>
        <w:rPr>
          <w:sz w:val="21"/>
        </w:rPr>
        <w:t> </w:t>
      </w:r>
    </w:p>
    <w:p>
      <w:pPr>
        <w:pStyle w:val="BodyText"/>
        <w:spacing w:before="1"/>
        <w:rPr>
          <w:sz w:val="18"/>
        </w:rPr>
      </w:pPr>
    </w:p>
    <w:p>
      <w:pPr>
        <w:pStyle w:val="BodyText"/>
        <w:spacing w:line="446" w:lineRule="auto" w:before="1"/>
        <w:ind w:left="418" w:right="1392" w:firstLine="419"/>
      </w:pPr>
      <w:r>
        <w:rPr/>
        <w:t>消火栓的启闭阀门设置位置应便于操作使用，阀门的中心距箱侧面应为 140mm，距箱后内表面应为 100mm，允许偏差±5mm； </w:t>
      </w:r>
    </w:p>
    <w:p>
      <w:pPr>
        <w:pStyle w:val="BodyText"/>
        <w:spacing w:line="446" w:lineRule="auto"/>
        <w:ind w:left="838" w:right="2345"/>
      </w:pPr>
      <w:r>
        <w:rPr>
          <w:spacing w:val="-3"/>
        </w:rPr>
        <w:t>室内消火栓箱的安装应平正、牢固，暗装的消火栓箱不应破坏隔墙的耐火性能； 箱体安装的垂直度允许偏差为±</w:t>
      </w:r>
      <w:r>
        <w:rPr/>
        <w:t>3mm； </w:t>
      </w:r>
    </w:p>
    <w:p>
      <w:pPr>
        <w:pStyle w:val="BodyText"/>
        <w:ind w:left="838"/>
      </w:pPr>
      <w:r>
        <w:rPr/>
        <w:t>消火栓箱门的开启不应小于 120°； </w:t>
      </w:r>
    </w:p>
    <w:p>
      <w:pPr>
        <w:pStyle w:val="BodyText"/>
        <w:spacing w:before="10"/>
        <w:rPr>
          <w:sz w:val="17"/>
        </w:rPr>
      </w:pPr>
    </w:p>
    <w:p>
      <w:pPr>
        <w:pStyle w:val="BodyText"/>
        <w:spacing w:line="446" w:lineRule="auto"/>
        <w:ind w:left="418" w:right="1609" w:firstLine="419"/>
      </w:pPr>
      <w:r>
        <w:rPr/>
        <w:t>安装消火栓水龙带，水龙带与消防水枪和快速接头绑扎好后，应根据箱内构造将水龙带放置； </w:t>
      </w:r>
    </w:p>
    <w:p>
      <w:pPr>
        <w:pStyle w:val="BodyText"/>
        <w:spacing w:line="446" w:lineRule="auto"/>
        <w:ind w:left="418" w:right="1503" w:firstLine="419"/>
      </w:pPr>
      <w:r>
        <w:rPr>
          <w:spacing w:val="-4"/>
        </w:rPr>
        <w:t>双向开门消火栓箱应有耐火等级应符合设计要求，当设计没有要求时应至少满足 </w:t>
      </w:r>
      <w:r>
        <w:rPr/>
        <w:t>1h</w:t>
      </w:r>
      <w:r>
        <w:rPr>
          <w:spacing w:val="-10"/>
        </w:rPr>
        <w:t> 耐火极</w:t>
      </w:r>
      <w:r>
        <w:rPr>
          <w:spacing w:val="-6"/>
        </w:rPr>
        <w:t>限的要求；</w:t>
      </w:r>
      <w:r>
        <w:rPr/>
        <w:t> </w:t>
      </w:r>
    </w:p>
    <w:p>
      <w:pPr>
        <w:pStyle w:val="BodyText"/>
        <w:spacing w:line="446" w:lineRule="auto"/>
        <w:ind w:left="838" w:right="5077"/>
      </w:pPr>
      <w:r>
        <w:rPr>
          <w:spacing w:val="-3"/>
        </w:rPr>
        <w:t>消火栓箱门上应用红色字体注明“消火栓”字样。</w:t>
      </w:r>
      <w:r>
        <w:rPr>
          <w:spacing w:val="-5"/>
        </w:rPr>
        <w:t>检查数量：按数量抽查 </w:t>
      </w:r>
      <w:r>
        <w:rPr/>
        <w:t>30</w:t>
      </w:r>
      <w:r>
        <w:rPr>
          <w:spacing w:val="-5"/>
        </w:rPr>
        <w:t>%，但不应小于 </w:t>
      </w:r>
      <w:r>
        <w:rPr/>
        <w:t>10</w:t>
      </w:r>
      <w:r>
        <w:rPr>
          <w:spacing w:val="-8"/>
        </w:rPr>
        <w:t> 个。检</w:t>
      </w:r>
      <w:r>
        <w:rPr>
          <w:spacing w:val="-4"/>
        </w:rPr>
        <w:t>验方法：直观和尺量检查。</w:t>
      </w:r>
      <w:r>
        <w:rPr/>
        <w:t> </w:t>
      </w:r>
    </w:p>
    <w:p>
      <w:pPr>
        <w:pStyle w:val="ListParagraph"/>
        <w:numPr>
          <w:ilvl w:val="2"/>
          <w:numId w:val="756"/>
        </w:numPr>
        <w:tabs>
          <w:tab w:pos="1635" w:val="left" w:leader="none"/>
        </w:tabs>
        <w:spacing w:line="268" w:lineRule="exact" w:before="0" w:after="0"/>
        <w:ind w:left="1634" w:right="0" w:hanging="795"/>
        <w:jc w:val="left"/>
        <w:rPr>
          <w:sz w:val="21"/>
        </w:rPr>
      </w:pPr>
      <w:r>
        <w:rPr>
          <w:spacing w:val="-3"/>
          <w:sz w:val="21"/>
        </w:rPr>
        <w:t>当管道采用螺纹、法兰、承插、卡压等方式连接时，应符合下列要求： </w:t>
      </w:r>
    </w:p>
    <w:p>
      <w:pPr>
        <w:pStyle w:val="BodyText"/>
        <w:spacing w:before="12"/>
        <w:rPr>
          <w:sz w:val="17"/>
        </w:rPr>
      </w:pPr>
    </w:p>
    <w:p>
      <w:pPr>
        <w:pStyle w:val="BodyText"/>
        <w:spacing w:line="446" w:lineRule="auto"/>
        <w:ind w:left="418" w:right="1556" w:firstLine="419"/>
      </w:pPr>
      <w:r>
        <w:rPr>
          <w:spacing w:val="-3"/>
        </w:rPr>
        <w:t>采用螺纹连接时，热浸镀锌钢管的管件宜采用现行国家标准《可锻铸铁管路连接件》</w:t>
      </w:r>
      <w:r>
        <w:rPr/>
        <w:t>GB 3287</w:t>
      </w:r>
      <w:r>
        <w:rPr>
          <w:spacing w:val="-3"/>
        </w:rPr>
        <w:t>、《可锻铸铁管路连接件验收规则》</w:t>
      </w:r>
      <w:r>
        <w:rPr/>
        <w:t>GB 3288</w:t>
      </w:r>
      <w:r>
        <w:rPr>
          <w:spacing w:val="-3"/>
        </w:rPr>
        <w:t>、《可锻铸铁管路连接件形式尺寸》</w:t>
      </w:r>
      <w:r>
        <w:rPr/>
        <w:t>GB 3289 </w:t>
      </w:r>
      <w:r>
        <w:rPr>
          <w:spacing w:val="-3"/>
        </w:rPr>
        <w:t>的有关规定，热浸镀锌无缝钢管的管件宜采用现行国家标准《锻钢制螺纹管件》</w:t>
      </w:r>
      <w:r>
        <w:rPr/>
        <w:t>GB/T 14626</w:t>
      </w:r>
      <w:r>
        <w:rPr>
          <w:spacing w:val="-21"/>
        </w:rPr>
        <w:t> 的</w:t>
      </w:r>
      <w:r>
        <w:rPr>
          <w:spacing w:val="-11"/>
        </w:rPr>
        <w:t>有关规定；</w:t>
      </w:r>
      <w:r>
        <w:rPr/>
        <w:t> </w:t>
      </w:r>
    </w:p>
    <w:p>
      <w:pPr>
        <w:pStyle w:val="BodyText"/>
        <w:spacing w:line="267" w:lineRule="exact"/>
        <w:ind w:left="838"/>
      </w:pPr>
      <w:r>
        <w:rPr/>
        <w:t>螺纹连接时螺纹应符合现行国家标准《55º密封管螺纹第 2 部分：圆锥内螺纹与圆锥外螺</w:t>
      </w:r>
    </w:p>
    <w:p>
      <w:pPr>
        <w:pStyle w:val="BodyText"/>
        <w:spacing w:before="2"/>
        <w:rPr>
          <w:sz w:val="18"/>
        </w:rPr>
      </w:pPr>
    </w:p>
    <w:p>
      <w:pPr>
        <w:pStyle w:val="BodyText"/>
        <w:spacing w:line="446" w:lineRule="auto"/>
        <w:ind w:left="838" w:right="1347" w:hanging="420"/>
      </w:pPr>
      <w:r>
        <w:rPr/>
        <w:t>纹》GB 7306.2</w:t>
      </w:r>
      <w:r>
        <w:rPr>
          <w:spacing w:val="-8"/>
        </w:rPr>
        <w:t> 的有关规定，宜采用密封胶带作为螺纹接口的密封，密封带应在阳螺纹上施加； </w:t>
      </w:r>
      <w:r>
        <w:rPr>
          <w:spacing w:val="-5"/>
        </w:rPr>
        <w:t>法兰连接时法兰的密封面形式和压力等级应与消防给水系统技术要求相符合；法兰类型宜</w:t>
      </w:r>
    </w:p>
    <w:p>
      <w:pPr>
        <w:pStyle w:val="BodyText"/>
        <w:spacing w:line="446" w:lineRule="auto"/>
        <w:ind w:left="418" w:right="1608"/>
      </w:pPr>
      <w:r>
        <w:rPr/>
        <w:t>根据连接形式采用平焊法兰、对焊法兰和螺纹法兰等，法兰选择应符合现行国家标准《钢制管法兰类型与参数》GB 9112、《整体钢制管法兰》GB/T 9113、《钢制对焊无缝管件》GB/T 12459 和《管法兰用聚四氟乙烯包覆垫片》GB/T 13404 的有关规定； </w:t>
      </w:r>
    </w:p>
    <w:p>
      <w:pPr>
        <w:spacing w:after="0" w:line="446" w:lineRule="auto"/>
        <w:sectPr>
          <w:pgSz w:w="11910" w:h="16850"/>
          <w:pgMar w:header="0" w:footer="1239" w:top="1220" w:bottom="1420" w:left="1260" w:right="0"/>
        </w:sectPr>
      </w:pPr>
    </w:p>
    <w:p>
      <w:pPr>
        <w:pStyle w:val="BodyText"/>
        <w:spacing w:line="446" w:lineRule="auto" w:before="47"/>
        <w:ind w:left="418" w:right="1558" w:firstLine="419"/>
        <w:jc w:val="both"/>
      </w:pPr>
      <w:r>
        <w:rPr>
          <w:spacing w:val="-3"/>
        </w:rPr>
        <w:t>当热浸镀锌钢管采用法兰连接时应选用螺纹法兰，当必须焊接连接时，法兰焊接应符合现行国家标准《现场设备、工业管道焊接工程施工规范》</w:t>
      </w:r>
      <w:r>
        <w:rPr/>
        <w:t>GB 50236</w:t>
      </w:r>
      <w:r>
        <w:rPr>
          <w:spacing w:val="-8"/>
        </w:rPr>
        <w:t> 和《工业金属管道工程施工规范》GB 50235</w:t>
      </w:r>
      <w:r>
        <w:rPr>
          <w:spacing w:val="-11"/>
        </w:rPr>
        <w:t> 的有关规定； </w:t>
      </w:r>
    </w:p>
    <w:p>
      <w:pPr>
        <w:pStyle w:val="BodyText"/>
        <w:spacing w:line="268" w:lineRule="exact"/>
        <w:ind w:left="838"/>
      </w:pPr>
      <w:r>
        <w:rPr/>
        <w:t>球墨铸铁管承插连接时，应符合现行国家标准《给水排水管道工程施工及验收规范》</w:t>
      </w:r>
    </w:p>
    <w:p>
      <w:pPr>
        <w:pStyle w:val="BodyText"/>
        <w:rPr>
          <w:sz w:val="18"/>
        </w:rPr>
      </w:pPr>
    </w:p>
    <w:p>
      <w:pPr>
        <w:pStyle w:val="BodyText"/>
        <w:ind w:left="418"/>
      </w:pPr>
      <w:r>
        <w:rPr/>
        <w:t>GB50268 的有关规定； </w:t>
      </w:r>
    </w:p>
    <w:p>
      <w:pPr>
        <w:pStyle w:val="BodyText"/>
        <w:spacing w:before="12"/>
        <w:rPr>
          <w:sz w:val="17"/>
        </w:rPr>
      </w:pPr>
    </w:p>
    <w:p>
      <w:pPr>
        <w:pStyle w:val="BodyText"/>
        <w:ind w:left="838"/>
      </w:pPr>
      <w:r>
        <w:rPr/>
        <w:t>钢丝网骨架塑料复合管施工安装时除应符合本规范的有关规定外，还应符合现行行业标准</w:t>
      </w:r>
    </w:p>
    <w:p>
      <w:pPr>
        <w:pStyle w:val="BodyText"/>
        <w:spacing w:before="2"/>
        <w:rPr>
          <w:sz w:val="18"/>
        </w:rPr>
      </w:pPr>
    </w:p>
    <w:p>
      <w:pPr>
        <w:pStyle w:val="BodyText"/>
        <w:ind w:left="418"/>
      </w:pPr>
      <w:r>
        <w:rPr/>
        <w:t>《埋地聚乙烯给水管道工程技术规程》CJJ 101 的有关规定； </w:t>
      </w:r>
    </w:p>
    <w:p>
      <w:pPr>
        <w:pStyle w:val="BodyText"/>
        <w:rPr>
          <w:sz w:val="18"/>
        </w:rPr>
      </w:pPr>
    </w:p>
    <w:p>
      <w:pPr>
        <w:pStyle w:val="BodyText"/>
        <w:spacing w:line="446" w:lineRule="auto"/>
        <w:ind w:left="838" w:right="2242"/>
      </w:pPr>
      <w:r>
        <w:rPr>
          <w:spacing w:val="-10"/>
        </w:rPr>
        <w:t>管径大于 </w:t>
      </w:r>
      <w:r>
        <w:rPr/>
        <w:t>DN50</w:t>
      </w:r>
      <w:r>
        <w:rPr>
          <w:spacing w:val="-8"/>
        </w:rPr>
        <w:t> 的管道不应使用螺纹活接头，在管道变径处应采用单体异径接头。</w:t>
      </w:r>
      <w:r>
        <w:rPr>
          <w:spacing w:val="-10"/>
        </w:rPr>
        <w:t>检查数量：按数量抽查 </w:t>
      </w:r>
      <w:r>
        <w:rPr/>
        <w:t>30</w:t>
      </w:r>
      <w:r>
        <w:rPr>
          <w:spacing w:val="-9"/>
        </w:rPr>
        <w:t>%，但不应小于 </w:t>
      </w:r>
      <w:r>
        <w:rPr/>
        <w:t>10</w:t>
      </w:r>
      <w:r>
        <w:rPr>
          <w:spacing w:val="-19"/>
        </w:rPr>
        <w:t> 个。 </w:t>
      </w:r>
    </w:p>
    <w:p>
      <w:pPr>
        <w:pStyle w:val="BodyText"/>
        <w:ind w:left="838"/>
      </w:pPr>
      <w:r>
        <w:rPr/>
        <w:t>检验方法：直观和尺量检查。 </w:t>
      </w:r>
    </w:p>
    <w:p>
      <w:pPr>
        <w:pStyle w:val="BodyText"/>
        <w:spacing w:before="12"/>
        <w:rPr>
          <w:sz w:val="17"/>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沟槽连接件（</w:t>
      </w:r>
      <w:r>
        <w:rPr>
          <w:spacing w:val="-2"/>
          <w:sz w:val="21"/>
        </w:rPr>
        <w:t>卡箍</w:t>
      </w:r>
      <w:r>
        <w:rPr>
          <w:sz w:val="21"/>
        </w:rPr>
        <w:t>）</w:t>
      </w:r>
      <w:r>
        <w:rPr>
          <w:spacing w:val="-3"/>
          <w:sz w:val="21"/>
        </w:rPr>
        <w:t>连接应符合下列规定： </w:t>
      </w:r>
    </w:p>
    <w:p>
      <w:pPr>
        <w:pStyle w:val="BodyText"/>
        <w:rPr>
          <w:sz w:val="18"/>
        </w:rPr>
      </w:pPr>
    </w:p>
    <w:p>
      <w:pPr>
        <w:pStyle w:val="BodyText"/>
        <w:spacing w:line="446" w:lineRule="auto"/>
        <w:ind w:left="418" w:right="1609" w:firstLine="419"/>
      </w:pPr>
      <w:r>
        <w:rPr/>
        <w:t>沟槽式连接件（管接头）、钢管沟槽深度和钢管壁厚等，应符合现行国家标准《自动喷水灭火系统第 11 部分：沟槽式管接件》GB 5135.11 的有关规定； </w:t>
      </w:r>
    </w:p>
    <w:p>
      <w:pPr>
        <w:pStyle w:val="BodyText"/>
        <w:spacing w:line="446" w:lineRule="auto"/>
        <w:ind w:left="418" w:right="1817" w:firstLine="419"/>
      </w:pPr>
      <w:r>
        <w:rPr/>
        <w:t>有振动的场所和埋地管道应采用柔性接头，其他场所宜采用刚性接头，当采用刚性接头时，每隔 4～5 个刚性接头应设置一个挠性接头，埋地连接时螺栓和螺母应采用不锈钢件； </w:t>
      </w:r>
    </w:p>
    <w:p>
      <w:pPr>
        <w:pStyle w:val="BodyText"/>
        <w:spacing w:line="446" w:lineRule="auto"/>
        <w:ind w:left="418" w:right="1608" w:firstLine="419"/>
        <w:jc w:val="both"/>
      </w:pPr>
      <w:r>
        <w:rPr/>
        <w:t>沟槽式管件连接时，其管道连接沟槽和开孔应用专用滚槽机和开孔机加工，并应做防腐处理；连接前应检查沟槽和孔洞尺寸，加工质量应符合技术要求；沟槽、孔洞处不应有毛刺、破损性裂纹和脏物； </w:t>
      </w:r>
    </w:p>
    <w:p>
      <w:pPr>
        <w:pStyle w:val="BodyText"/>
        <w:spacing w:line="446" w:lineRule="auto"/>
        <w:ind w:left="418" w:right="1608" w:firstLine="419"/>
      </w:pPr>
      <w:r>
        <w:rPr/>
        <w:t>沟槽式管件的凸边应卡进沟槽后再紧固螺栓，两边应同时紧固，紧固时发现橡胶圈起皱应更换新橡胶圈； </w:t>
      </w:r>
    </w:p>
    <w:p>
      <w:pPr>
        <w:pStyle w:val="BodyText"/>
        <w:spacing w:line="446" w:lineRule="auto"/>
        <w:ind w:left="418" w:right="1507" w:firstLine="419"/>
      </w:pPr>
      <w:r>
        <w:rPr>
          <w:spacing w:val="-3"/>
        </w:rPr>
        <w:t>机械三通连接时，应检查机械三通与孔洞的间隙，各部位应均匀，然后再紧固到位；机械</w:t>
      </w:r>
      <w:r>
        <w:rPr>
          <w:spacing w:val="-7"/>
        </w:rPr>
        <w:t>三通开孔间距不应小于 </w:t>
      </w:r>
      <w:r>
        <w:rPr/>
        <w:t>1m</w:t>
      </w:r>
      <w:r>
        <w:rPr>
          <w:spacing w:val="-6"/>
        </w:rPr>
        <w:t>，机械四通开孔间距不应小于 </w:t>
      </w:r>
      <w:r>
        <w:rPr/>
        <w:t>2m</w:t>
      </w:r>
      <w:r>
        <w:rPr>
          <w:spacing w:val="-3"/>
        </w:rPr>
        <w:t>；机械三通、机械四通连接时支管的</w:t>
      </w:r>
      <w:r>
        <w:rPr>
          <w:spacing w:val="-10"/>
        </w:rPr>
        <w:t>直径应满足表 </w:t>
      </w:r>
      <w:r>
        <w:rPr/>
        <w:t>12.3.12</w:t>
      </w:r>
      <w:r>
        <w:rPr>
          <w:spacing w:val="-7"/>
        </w:rPr>
        <w:t> 的规定，当主管与支管连接不符合表 </w:t>
      </w:r>
      <w:r>
        <w:rPr/>
        <w:t>12.3.12</w:t>
      </w:r>
      <w:r>
        <w:rPr>
          <w:spacing w:val="-8"/>
        </w:rPr>
        <w:t> 时应采用沟槽式三通、四</w:t>
      </w:r>
      <w:r>
        <w:rPr>
          <w:spacing w:val="-6"/>
        </w:rPr>
        <w:t>通管件连接；</w:t>
      </w:r>
      <w:r>
        <w:rPr/>
        <w:t> </w:t>
      </w:r>
    </w:p>
    <w:p>
      <w:pPr>
        <w:pStyle w:val="Heading6"/>
        <w:spacing w:line="269" w:lineRule="exact"/>
        <w:ind w:left="2782"/>
        <w:rPr>
          <w:b w:val="0"/>
        </w:rPr>
      </w:pPr>
      <w:r>
        <w:rPr/>
        <w:t>表 12.3.12 机械三通、机械四通连接时支管直径</w:t>
      </w:r>
      <w:r>
        <w:rPr>
          <w:b w:val="0"/>
          <w:w w:val="100"/>
        </w:rPr>
        <w:t> </w:t>
      </w:r>
    </w:p>
    <w:p>
      <w:pPr>
        <w:pStyle w:val="BodyText"/>
        <w:spacing w:before="12"/>
        <w:rPr>
          <w:sz w:val="17"/>
        </w:rPr>
      </w:pPr>
      <w:r>
        <w:rPr/>
        <w:drawing>
          <wp:anchor distT="0" distB="0" distL="0" distR="0" allowOverlap="1" layoutInCell="1" locked="0" behindDoc="0" simplePos="0" relativeHeight="251">
            <wp:simplePos x="0" y="0"/>
            <wp:positionH relativeFrom="page">
              <wp:posOffset>1071880</wp:posOffset>
            </wp:positionH>
            <wp:positionV relativeFrom="paragraph">
              <wp:posOffset>170813</wp:posOffset>
            </wp:positionV>
            <wp:extent cx="5302802" cy="980694"/>
            <wp:effectExtent l="0" t="0" r="0" b="0"/>
            <wp:wrapTopAndBottom/>
            <wp:docPr id="591" name="image342.jpeg"/>
            <wp:cNvGraphicFramePr>
              <a:graphicFrameLocks noChangeAspect="1"/>
            </wp:cNvGraphicFramePr>
            <a:graphic>
              <a:graphicData uri="http://schemas.openxmlformats.org/drawingml/2006/picture">
                <pic:pic>
                  <pic:nvPicPr>
                    <pic:cNvPr id="592" name="image342.jpeg"/>
                    <pic:cNvPicPr/>
                  </pic:nvPicPr>
                  <pic:blipFill>
                    <a:blip r:embed="rId413" cstate="print"/>
                    <a:stretch>
                      <a:fillRect/>
                    </a:stretch>
                  </pic:blipFill>
                  <pic:spPr>
                    <a:xfrm>
                      <a:off x="0" y="0"/>
                      <a:ext cx="5302802" cy="980694"/>
                    </a:xfrm>
                    <a:prstGeom prst="rect">
                      <a:avLst/>
                    </a:prstGeom>
                  </pic:spPr>
                </pic:pic>
              </a:graphicData>
            </a:graphic>
          </wp:anchor>
        </w:drawing>
      </w:r>
    </w:p>
    <w:p>
      <w:pPr>
        <w:spacing w:after="0"/>
        <w:rPr>
          <w:sz w:val="17"/>
        </w:rPr>
        <w:sectPr>
          <w:pgSz w:w="11910" w:h="16850"/>
          <w:pgMar w:header="0" w:footer="1239" w:top="1220" w:bottom="1420" w:left="1260" w:right="0"/>
        </w:sectPr>
      </w:pPr>
    </w:p>
    <w:p>
      <w:pPr>
        <w:pStyle w:val="BodyText"/>
        <w:spacing w:before="47"/>
        <w:ind w:left="838"/>
      </w:pPr>
      <w:r>
        <w:rPr/>
        <w:t>配水干管(立管)与配水管(水平管)连接，应采用沟槽式管件，不应采用机械三通； </w:t>
      </w:r>
    </w:p>
    <w:p>
      <w:pPr>
        <w:pStyle w:val="BodyText"/>
        <w:rPr>
          <w:sz w:val="18"/>
        </w:rPr>
      </w:pPr>
    </w:p>
    <w:p>
      <w:pPr>
        <w:pStyle w:val="BodyText"/>
        <w:spacing w:line="446" w:lineRule="auto"/>
        <w:ind w:left="418" w:right="1817" w:firstLine="419"/>
      </w:pPr>
      <w:r>
        <w:rPr/>
        <w:t>埋地的沟槽式管件的螺栓、螺帽应做防腐处理。水泵房内的埋地管道连接应采用挠性接头。 </w:t>
      </w:r>
    </w:p>
    <w:p>
      <w:pPr>
        <w:pStyle w:val="BodyText"/>
        <w:spacing w:line="446" w:lineRule="auto"/>
        <w:ind w:left="418" w:right="1609" w:firstLine="419"/>
      </w:pPr>
      <w:r>
        <w:rPr/>
        <w:t>采用沟槽连接件连接管道变径和转弯时，宜采用沟槽式异径管件和弯头；当需要采用补芯时，三通上可用一个，四通上不应超过二个；公称直径大于 50mm 的管道不宜采用活接头； </w:t>
      </w:r>
    </w:p>
    <w:p>
      <w:pPr>
        <w:pStyle w:val="BodyText"/>
        <w:spacing w:line="446" w:lineRule="auto"/>
        <w:ind w:left="418" w:right="1450" w:firstLine="419"/>
      </w:pPr>
      <w:r>
        <w:rPr>
          <w:spacing w:val="-3"/>
        </w:rPr>
        <w:t>沟槽连接件应采用三元乙丙橡胶</w:t>
      </w:r>
      <w:r>
        <w:rPr/>
        <w:t>（EDPM）C</w:t>
      </w:r>
      <w:r>
        <w:rPr>
          <w:spacing w:val="-7"/>
        </w:rPr>
        <w:t> 型密封胶圈，弹性应良好，应无破损和变形，安</w:t>
      </w:r>
      <w:r>
        <w:rPr>
          <w:spacing w:val="-15"/>
        </w:rPr>
        <w:t>装压紧后 </w:t>
      </w:r>
      <w:r>
        <w:rPr/>
        <w:t>C</w:t>
      </w:r>
      <w:r>
        <w:rPr>
          <w:spacing w:val="-8"/>
        </w:rPr>
        <w:t> 型密封胶圈中间应有空隙。</w:t>
      </w:r>
      <w:r>
        <w:rPr/>
        <w:t> </w:t>
      </w:r>
    </w:p>
    <w:p>
      <w:pPr>
        <w:pStyle w:val="BodyText"/>
        <w:spacing w:line="446" w:lineRule="auto"/>
        <w:ind w:left="838" w:right="5447"/>
      </w:pPr>
      <w:r>
        <w:rPr>
          <w:spacing w:val="-8"/>
        </w:rPr>
        <w:t>检查数量：按数量抽查 </w:t>
      </w:r>
      <w:r>
        <w:rPr/>
        <w:t>30</w:t>
      </w:r>
      <w:r>
        <w:rPr>
          <w:spacing w:val="-9"/>
        </w:rPr>
        <w:t>%，不应少于 </w:t>
      </w:r>
      <w:r>
        <w:rPr/>
        <w:t>10</w:t>
      </w:r>
      <w:r>
        <w:rPr>
          <w:spacing w:val="-18"/>
        </w:rPr>
        <w:t> 件。</w:t>
      </w:r>
      <w:r>
        <w:rPr>
          <w:spacing w:val="-7"/>
        </w:rPr>
        <w:t>检验方法：直观和尺量检查。</w:t>
      </w:r>
      <w:r>
        <w:rPr/>
        <w:t> </w:t>
      </w:r>
    </w:p>
    <w:p>
      <w:pPr>
        <w:pStyle w:val="ListParagraph"/>
        <w:numPr>
          <w:ilvl w:val="2"/>
          <w:numId w:val="756"/>
        </w:numPr>
        <w:tabs>
          <w:tab w:pos="1583" w:val="left" w:leader="none"/>
        </w:tabs>
        <w:spacing w:line="240" w:lineRule="auto" w:before="0" w:after="0"/>
        <w:ind w:left="1582" w:right="0" w:hanging="743"/>
        <w:jc w:val="left"/>
        <w:rPr>
          <w:sz w:val="21"/>
        </w:rPr>
      </w:pPr>
      <w:r>
        <w:rPr>
          <w:spacing w:val="-3"/>
          <w:sz w:val="21"/>
        </w:rPr>
        <w:t>钢丝网骨架塑料复合管材、管件以及管道附件的连接，应符合下列要求：</w:t>
      </w:r>
      <w:r>
        <w:rPr>
          <w:sz w:val="21"/>
        </w:rPr>
        <w:t> </w:t>
      </w:r>
    </w:p>
    <w:p>
      <w:pPr>
        <w:pStyle w:val="BodyText"/>
        <w:spacing w:before="10"/>
        <w:rPr>
          <w:sz w:val="17"/>
        </w:rPr>
      </w:pPr>
    </w:p>
    <w:p>
      <w:pPr>
        <w:pStyle w:val="BodyText"/>
        <w:spacing w:line="446" w:lineRule="auto"/>
        <w:ind w:left="418" w:right="1608" w:firstLine="419"/>
        <w:jc w:val="both"/>
      </w:pPr>
      <w:r>
        <w:rPr/>
        <w:t>钢丝网骨架塑料复合管材、管件以及管道附件，应采用同一品牌的产品；管道连接宜采用同种牌号级别，且压力等级相同的管材、管件以及管道附件。不同牌号的管材以及管道附件之间的连接，应经过试验，并应判定连接质量能得到保证后再连接； </w:t>
      </w:r>
    </w:p>
    <w:p>
      <w:pPr>
        <w:pStyle w:val="BodyText"/>
        <w:spacing w:line="446" w:lineRule="auto"/>
        <w:ind w:left="418" w:right="1609" w:firstLine="419"/>
      </w:pPr>
      <w:r>
        <w:rPr/>
        <w:t>连接应采用电熔连接或机械连接，电熔连接宜采用电熔承插连接和电熔鞍形连接；机械连接宜采用锁紧型和非锁紧型承插式连接、法兰连接、钢塑过渡连接； </w:t>
      </w:r>
    </w:p>
    <w:p>
      <w:pPr>
        <w:pStyle w:val="BodyText"/>
        <w:spacing w:line="446" w:lineRule="auto"/>
        <w:ind w:left="418" w:right="1505" w:firstLine="419"/>
      </w:pPr>
      <w:r>
        <w:rPr>
          <w:spacing w:val="-3"/>
        </w:rPr>
        <w:t>钢丝网骨架塑料复合管给水管道与金属管道或金属管道附件的连接，应采用法兰或钢塑过</w:t>
      </w:r>
      <w:r>
        <w:rPr>
          <w:spacing w:val="-6"/>
        </w:rPr>
        <w:t>渡接头连接，与直径小于或等于 </w:t>
      </w:r>
      <w:r>
        <w:rPr/>
        <w:t>DN50</w:t>
      </w:r>
      <w:r>
        <w:rPr>
          <w:spacing w:val="-7"/>
        </w:rPr>
        <w:t> 的镀锌管道或内衬塑镀锌管的连接，宜采用锁紧型承插式</w:t>
      </w:r>
      <w:r>
        <w:rPr>
          <w:spacing w:val="-6"/>
        </w:rPr>
        <w:t>连接；</w:t>
      </w:r>
      <w:r>
        <w:rPr/>
        <w:t> </w:t>
      </w:r>
    </w:p>
    <w:p>
      <w:pPr>
        <w:pStyle w:val="BodyText"/>
        <w:spacing w:line="268" w:lineRule="exact"/>
        <w:ind w:left="838"/>
      </w:pPr>
      <w:r>
        <w:rPr/>
        <w:t>管道各种连接应采用相应的专用连接工具； </w:t>
      </w:r>
    </w:p>
    <w:p>
      <w:pPr>
        <w:pStyle w:val="BodyText"/>
        <w:spacing w:before="12"/>
        <w:rPr>
          <w:sz w:val="17"/>
        </w:rPr>
      </w:pPr>
    </w:p>
    <w:p>
      <w:pPr>
        <w:pStyle w:val="BodyText"/>
        <w:spacing w:line="446" w:lineRule="auto"/>
        <w:ind w:left="418" w:right="1609" w:firstLine="419"/>
      </w:pPr>
      <w:r>
        <w:rPr/>
        <w:t>钢丝网骨架塑料复合管材、管件与金属管、管道附件的连接，当采用钢制喷塑或球墨铸铁过渡管件时，其过渡管件的压力等级不应低于管材公称压力； </w:t>
      </w:r>
    </w:p>
    <w:p>
      <w:pPr>
        <w:pStyle w:val="BodyText"/>
        <w:spacing w:line="446" w:lineRule="auto"/>
        <w:ind w:left="418" w:right="1609" w:firstLine="419"/>
      </w:pPr>
      <w:r>
        <w:rPr/>
        <w:t>在-5℃以下或大风环境条件下进行热熔或电熔连接操作时，应采取保护措施，或调整连接机具的工艺参数； </w:t>
      </w:r>
    </w:p>
    <w:p>
      <w:pPr>
        <w:pStyle w:val="BodyText"/>
        <w:spacing w:line="446" w:lineRule="auto"/>
        <w:ind w:left="418" w:right="1608" w:firstLine="419"/>
        <w:jc w:val="both"/>
      </w:pPr>
      <w:r>
        <w:rPr/>
        <w:t>管材、管件以及管道附件存放处与施工现场温差较大时，连接前应将钢丝网骨架塑料复合管管材、管件以及管道附件在施工现场放置一段时间，并应使管材的温度与施工现场的温度相当； </w:t>
      </w:r>
    </w:p>
    <w:p>
      <w:pPr>
        <w:pStyle w:val="BodyText"/>
        <w:spacing w:line="446" w:lineRule="auto"/>
        <w:ind w:left="418" w:right="1609" w:firstLine="419"/>
      </w:pPr>
      <w:r>
        <w:rPr/>
        <w:t>管道连接时，管材切割应采用专用割刀或切管工具，切割断面应平整、光滑、无毛刺，且应垂直于管轴线； </w:t>
      </w:r>
    </w:p>
    <w:p>
      <w:pPr>
        <w:spacing w:after="0" w:line="446" w:lineRule="auto"/>
        <w:sectPr>
          <w:pgSz w:w="11910" w:h="16850"/>
          <w:pgMar w:header="0" w:footer="1239" w:top="1220" w:bottom="1420" w:left="1260" w:right="0"/>
        </w:sectPr>
      </w:pPr>
    </w:p>
    <w:p>
      <w:pPr>
        <w:pStyle w:val="BodyText"/>
        <w:spacing w:line="446" w:lineRule="auto" w:before="47"/>
        <w:ind w:left="838" w:right="2715"/>
      </w:pPr>
      <w:r>
        <w:rPr>
          <w:spacing w:val="-5"/>
        </w:rPr>
        <w:t>管道合拢连接的时间宜为常年平均温度，且宜为第二天上午的 </w:t>
      </w:r>
      <w:r>
        <w:rPr/>
        <w:t>8</w:t>
      </w:r>
      <w:r>
        <w:rPr>
          <w:spacing w:val="-25"/>
        </w:rPr>
        <w:t> 点</w:t>
      </w:r>
      <w:r>
        <w:rPr/>
        <w:t>～10</w:t>
      </w:r>
      <w:r>
        <w:rPr>
          <w:spacing w:val="-17"/>
        </w:rPr>
        <w:t> 点； </w:t>
      </w:r>
      <w:r>
        <w:rPr>
          <w:spacing w:val="-7"/>
        </w:rPr>
        <w:t>管道连接后，应及时检查接头外观质量。</w:t>
      </w:r>
      <w:r>
        <w:rPr/>
        <w:t> </w:t>
      </w:r>
    </w:p>
    <w:p>
      <w:pPr>
        <w:pStyle w:val="BodyText"/>
        <w:spacing w:line="446" w:lineRule="auto"/>
        <w:ind w:left="838" w:right="5447"/>
      </w:pPr>
      <w:r>
        <w:rPr>
          <w:spacing w:val="-8"/>
        </w:rPr>
        <w:t>检查数量：按数量抽查 </w:t>
      </w:r>
      <w:r>
        <w:rPr/>
        <w:t>30</w:t>
      </w:r>
      <w:r>
        <w:rPr>
          <w:spacing w:val="-9"/>
        </w:rPr>
        <w:t>%，不应少于 </w:t>
      </w:r>
      <w:r>
        <w:rPr/>
        <w:t>10</w:t>
      </w:r>
      <w:r>
        <w:rPr>
          <w:spacing w:val="-18"/>
        </w:rPr>
        <w:t> 件。</w:t>
      </w:r>
      <w:r>
        <w:rPr>
          <w:spacing w:val="-7"/>
        </w:rPr>
        <w:t>检验方法：直观检查。</w:t>
      </w:r>
      <w:r>
        <w:rPr/>
        <w:t> </w:t>
      </w:r>
    </w:p>
    <w:p>
      <w:pPr>
        <w:pStyle w:val="ListParagraph"/>
        <w:numPr>
          <w:ilvl w:val="2"/>
          <w:numId w:val="756"/>
        </w:numPr>
        <w:tabs>
          <w:tab w:pos="1635" w:val="left" w:leader="none"/>
        </w:tabs>
        <w:spacing w:line="446" w:lineRule="auto" w:before="0" w:after="0"/>
        <w:ind w:left="838" w:right="3231" w:firstLine="2"/>
        <w:jc w:val="left"/>
        <w:rPr>
          <w:sz w:val="21"/>
        </w:rPr>
      </w:pPr>
      <w:r>
        <w:rPr>
          <w:spacing w:val="-3"/>
          <w:sz w:val="21"/>
        </w:rPr>
        <w:t>钢丝网骨架塑料复合管材、管件电熔连接，应符合下列要求： 电熔连接机具输出电流、电压应稳定，并应符合电熔连接工艺要求；</w:t>
      </w:r>
      <w:r>
        <w:rPr>
          <w:sz w:val="21"/>
        </w:rPr>
        <w:t> </w:t>
      </w:r>
    </w:p>
    <w:p>
      <w:pPr>
        <w:pStyle w:val="BodyText"/>
        <w:spacing w:line="446" w:lineRule="auto"/>
        <w:ind w:left="418" w:right="1609" w:firstLine="419"/>
      </w:pPr>
      <w:r>
        <w:rPr>
          <w:spacing w:val="-3"/>
        </w:rPr>
        <w:t>电熔连接机具与电熔管件应正确连通，连接时，通电加热的电压和加热时间应符合电熔连接机具和电熔管件生产企业的规定；</w:t>
      </w:r>
      <w:r>
        <w:rPr/>
        <w:t> </w:t>
      </w:r>
    </w:p>
    <w:p>
      <w:pPr>
        <w:pStyle w:val="BodyText"/>
        <w:spacing w:line="446" w:lineRule="auto"/>
        <w:ind w:left="838" w:right="3606"/>
      </w:pPr>
      <w:r>
        <w:rPr>
          <w:spacing w:val="-3"/>
        </w:rPr>
        <w:t>电熔连接冷却期间，不应移动连接件或在连接件上施加任何外力； 电熔承插连接应符合下列规定：</w:t>
      </w:r>
      <w:r>
        <w:rPr/>
        <w:t> </w:t>
      </w:r>
    </w:p>
    <w:p>
      <w:pPr>
        <w:pStyle w:val="BodyText"/>
        <w:spacing w:line="446" w:lineRule="auto"/>
        <w:ind w:left="838" w:right="1714"/>
      </w:pPr>
      <w:r>
        <w:rPr>
          <w:spacing w:val="-3"/>
        </w:rPr>
        <w:t>测量管件承口长度，并在管材插入端标出插入长度标记，用专用工具刮除插入段表皮； 用洁净棉布擦净管材、管件连接面上的污物；</w:t>
      </w:r>
      <w:r>
        <w:rPr/>
        <w:t> </w:t>
      </w:r>
    </w:p>
    <w:p>
      <w:pPr>
        <w:pStyle w:val="BodyText"/>
        <w:ind w:left="838"/>
      </w:pPr>
      <w:r>
        <w:rPr>
          <w:spacing w:val="-3"/>
        </w:rPr>
        <w:t>将管材插入管件承口内，直至长度标记位置；</w:t>
      </w:r>
      <w:r>
        <w:rPr/>
        <w:t> </w:t>
      </w:r>
    </w:p>
    <w:p>
      <w:pPr>
        <w:pStyle w:val="BodyText"/>
        <w:spacing w:before="8"/>
        <w:rPr>
          <w:sz w:val="17"/>
        </w:rPr>
      </w:pPr>
    </w:p>
    <w:p>
      <w:pPr>
        <w:pStyle w:val="BodyText"/>
        <w:spacing w:line="446" w:lineRule="auto" w:before="1"/>
        <w:ind w:left="418" w:right="1609" w:firstLine="419"/>
      </w:pPr>
      <w:r>
        <w:rPr/>
        <w:t>通电前，应校直两对应的待连接件，使其在同一轴线上，用整圆工具保持管材插入端的圆度。 </w:t>
      </w:r>
    </w:p>
    <w:p>
      <w:pPr>
        <w:pStyle w:val="BodyText"/>
        <w:ind w:left="838"/>
      </w:pPr>
      <w:r>
        <w:rPr/>
        <w:t>电熔鞍形连接应符合下列规定： </w:t>
      </w:r>
    </w:p>
    <w:p>
      <w:pPr>
        <w:pStyle w:val="BodyText"/>
        <w:spacing w:before="12"/>
        <w:rPr>
          <w:sz w:val="17"/>
        </w:rPr>
      </w:pPr>
    </w:p>
    <w:p>
      <w:pPr>
        <w:pStyle w:val="ListParagraph"/>
        <w:numPr>
          <w:ilvl w:val="0"/>
          <w:numId w:val="757"/>
        </w:numPr>
        <w:tabs>
          <w:tab w:pos="1156" w:val="left" w:leader="none"/>
        </w:tabs>
        <w:spacing w:line="240" w:lineRule="auto" w:before="0" w:after="0"/>
        <w:ind w:left="1155" w:right="0" w:hanging="318"/>
        <w:jc w:val="left"/>
        <w:rPr>
          <w:sz w:val="21"/>
        </w:rPr>
      </w:pPr>
      <w:r>
        <w:rPr>
          <w:spacing w:val="-3"/>
          <w:sz w:val="21"/>
        </w:rPr>
        <w:t>电熔鞍形连接应采用机械装置固定干管连接部位的管段，并确保管道的直线度和圆度；</w:t>
      </w:r>
      <w:r>
        <w:rPr>
          <w:sz w:val="21"/>
        </w:rPr>
        <w:t> </w:t>
      </w:r>
    </w:p>
    <w:p>
      <w:pPr>
        <w:pStyle w:val="BodyText"/>
        <w:spacing w:before="12"/>
        <w:rPr>
          <w:sz w:val="17"/>
        </w:rPr>
      </w:pPr>
    </w:p>
    <w:p>
      <w:pPr>
        <w:pStyle w:val="ListParagraph"/>
        <w:numPr>
          <w:ilvl w:val="0"/>
          <w:numId w:val="757"/>
        </w:numPr>
        <w:tabs>
          <w:tab w:pos="1156" w:val="left" w:leader="none"/>
        </w:tabs>
        <w:spacing w:line="240" w:lineRule="auto" w:before="0" w:after="0"/>
        <w:ind w:left="1155" w:right="0" w:hanging="318"/>
        <w:jc w:val="left"/>
        <w:rPr>
          <w:sz w:val="21"/>
        </w:rPr>
      </w:pPr>
      <w:r>
        <w:rPr>
          <w:spacing w:val="-3"/>
          <w:sz w:val="21"/>
        </w:rPr>
        <w:t>干管连接部位上的污物应使用洁净棉布擦净，并用专用工具刮除干管连接部位表皮；</w:t>
      </w:r>
      <w:r>
        <w:rPr>
          <w:sz w:val="21"/>
        </w:rPr>
        <w:t> </w:t>
      </w:r>
    </w:p>
    <w:p>
      <w:pPr>
        <w:pStyle w:val="BodyText"/>
        <w:spacing w:before="2"/>
        <w:rPr>
          <w:sz w:val="18"/>
        </w:rPr>
      </w:pPr>
    </w:p>
    <w:p>
      <w:pPr>
        <w:pStyle w:val="ListParagraph"/>
        <w:numPr>
          <w:ilvl w:val="0"/>
          <w:numId w:val="757"/>
        </w:numPr>
        <w:tabs>
          <w:tab w:pos="1156" w:val="left" w:leader="none"/>
        </w:tabs>
        <w:spacing w:line="240" w:lineRule="auto" w:before="0" w:after="0"/>
        <w:ind w:left="1155" w:right="0" w:hanging="318"/>
        <w:jc w:val="left"/>
        <w:rPr>
          <w:sz w:val="21"/>
        </w:rPr>
      </w:pPr>
      <w:r>
        <w:rPr>
          <w:spacing w:val="-3"/>
          <w:sz w:val="21"/>
        </w:rPr>
        <w:t>通电前，应将电熔鞍形连接管件用机械装置固定在干管连接部位。</w:t>
      </w:r>
      <w:r>
        <w:rPr>
          <w:sz w:val="21"/>
        </w:rPr>
        <w:t> </w:t>
      </w:r>
    </w:p>
    <w:p>
      <w:pPr>
        <w:pStyle w:val="BodyText"/>
        <w:rPr>
          <w:sz w:val="18"/>
        </w:rPr>
      </w:pPr>
    </w:p>
    <w:p>
      <w:pPr>
        <w:pStyle w:val="BodyText"/>
        <w:spacing w:line="446" w:lineRule="auto"/>
        <w:ind w:left="838" w:right="5447"/>
      </w:pPr>
      <w:r>
        <w:rPr>
          <w:spacing w:val="-8"/>
        </w:rPr>
        <w:t>检查数量：按数量抽查 </w:t>
      </w:r>
      <w:r>
        <w:rPr/>
        <w:t>30</w:t>
      </w:r>
      <w:r>
        <w:rPr>
          <w:spacing w:val="-9"/>
        </w:rPr>
        <w:t>%，不应少于 </w:t>
      </w:r>
      <w:r>
        <w:rPr/>
        <w:t>10</w:t>
      </w:r>
      <w:r>
        <w:rPr>
          <w:spacing w:val="-18"/>
        </w:rPr>
        <w:t> 件。</w:t>
      </w:r>
      <w:r>
        <w:rPr>
          <w:spacing w:val="-7"/>
        </w:rPr>
        <w:t>检验方法：直观检查。</w:t>
      </w:r>
      <w:r>
        <w:rPr/>
        <w:t> </w:t>
      </w: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钢丝网骨架塑料复合管管材、管件法兰连接应符合下列要求：</w:t>
      </w:r>
      <w:r>
        <w:rPr>
          <w:sz w:val="21"/>
        </w:rPr>
        <w:t> </w:t>
      </w:r>
    </w:p>
    <w:p>
      <w:pPr>
        <w:pStyle w:val="BodyText"/>
        <w:spacing w:before="12"/>
        <w:rPr>
          <w:sz w:val="17"/>
        </w:rPr>
      </w:pPr>
    </w:p>
    <w:p>
      <w:pPr>
        <w:pStyle w:val="BodyText"/>
        <w:spacing w:line="446" w:lineRule="auto"/>
        <w:ind w:left="418" w:right="1608" w:firstLine="419"/>
      </w:pPr>
      <w:r>
        <w:rPr>
          <w:spacing w:val="-3"/>
        </w:rPr>
        <w:t>钢丝网骨架塑料复合管管端法兰盘（背压松套法兰</w:t>
      </w:r>
      <w:r>
        <w:rPr/>
        <w:t>）</w:t>
      </w:r>
      <w:r>
        <w:rPr>
          <w:spacing w:val="-3"/>
        </w:rPr>
        <w:t>连接，应先将法兰盘（</w:t>
      </w:r>
      <w:r>
        <w:rPr>
          <w:spacing w:val="-1"/>
        </w:rPr>
        <w:t>背压松套法 兰）</w:t>
      </w:r>
      <w:r>
        <w:rPr>
          <w:spacing w:val="-3"/>
        </w:rPr>
        <w:t>套入待连接的聚乙烯法兰连接件</w:t>
      </w:r>
      <w:r>
        <w:rPr/>
        <w:t>（</w:t>
      </w:r>
      <w:r>
        <w:rPr>
          <w:spacing w:val="-3"/>
        </w:rPr>
        <w:t>跟形管端）的端部，再将法兰连接件</w:t>
      </w:r>
      <w:r>
        <w:rPr/>
        <w:t>（</w:t>
      </w:r>
      <w:r>
        <w:rPr>
          <w:spacing w:val="-3"/>
        </w:rPr>
        <w:t>跟形管端</w:t>
      </w:r>
      <w:r>
        <w:rPr/>
        <w:t>）</w:t>
      </w:r>
      <w:r>
        <w:rPr>
          <w:spacing w:val="-2"/>
        </w:rPr>
        <w:t>平口</w:t>
      </w:r>
      <w:r>
        <w:rPr>
          <w:spacing w:val="-8"/>
        </w:rPr>
        <w:t>端与管道按本规范第 </w:t>
      </w:r>
      <w:r>
        <w:rPr/>
        <w:t>12.3.13</w:t>
      </w:r>
      <w:r>
        <w:rPr>
          <w:spacing w:val="-27"/>
        </w:rPr>
        <w:t> 条第 </w:t>
      </w:r>
      <w:r>
        <w:rPr/>
        <w:t>2</w:t>
      </w:r>
      <w:r>
        <w:rPr>
          <w:spacing w:val="-8"/>
        </w:rPr>
        <w:t> 款电熔连接的要求进行连接；</w:t>
      </w:r>
      <w:r>
        <w:rPr/>
        <w:t> </w:t>
      </w:r>
    </w:p>
    <w:p>
      <w:pPr>
        <w:pStyle w:val="BodyText"/>
        <w:spacing w:line="446" w:lineRule="auto"/>
        <w:ind w:left="418" w:right="1450" w:firstLine="419"/>
      </w:pPr>
      <w:r>
        <w:rPr>
          <w:spacing w:val="-3"/>
        </w:rPr>
        <w:t>两法兰盘上螺孔应对中，法兰面应相互平行，螺孔与螺栓直径应配套，螺栓长短应一致， </w:t>
      </w:r>
      <w:r>
        <w:rPr>
          <w:spacing w:val="-4"/>
        </w:rPr>
        <w:t>螺帽应在同一侧；紧固法兰盘上螺栓时应按对称顺序分次均匀紧固，螺栓拧紧后宜伸出螺帽 </w:t>
      </w:r>
      <w:r>
        <w:rPr/>
        <w:t>1～ 3</w:t>
      </w:r>
      <w:r>
        <w:rPr>
          <w:spacing w:val="-15"/>
        </w:rPr>
        <w:t> 丝扣；</w:t>
      </w:r>
      <w:r>
        <w:rPr/>
        <w:t> </w:t>
      </w:r>
    </w:p>
    <w:p>
      <w:pPr>
        <w:spacing w:after="0" w:line="446" w:lineRule="auto"/>
        <w:sectPr>
          <w:pgSz w:w="11910" w:h="16850"/>
          <w:pgMar w:header="0" w:footer="1239" w:top="1220" w:bottom="1420" w:left="1260" w:right="0"/>
        </w:sectPr>
      </w:pPr>
    </w:p>
    <w:p>
      <w:pPr>
        <w:pStyle w:val="BodyText"/>
        <w:spacing w:line="446" w:lineRule="auto" w:before="47"/>
        <w:ind w:left="418" w:right="1602" w:firstLine="419"/>
      </w:pPr>
      <w:r>
        <w:rPr/>
        <w:t>法兰垫片材质应符合现行国家标准《钢制管法兰类型与参数》GB 9112 和《整体钢制管法兰》GB/T 9113 的有关规定，松套法兰表面宜采用喷塑防腐处理； </w:t>
      </w:r>
    </w:p>
    <w:p>
      <w:pPr>
        <w:pStyle w:val="BodyText"/>
        <w:spacing w:line="446" w:lineRule="auto"/>
        <w:ind w:left="838" w:right="4657"/>
      </w:pPr>
      <w:r>
        <w:rPr/>
        <w:t>法兰盘应采用钢质法兰盘且应采用磷化镀铬防腐处理。检查数量：按数量抽查 30%，不应少于 10 件。 </w:t>
      </w:r>
    </w:p>
    <w:p>
      <w:pPr>
        <w:pStyle w:val="BodyText"/>
        <w:ind w:left="838"/>
      </w:pPr>
      <w:r>
        <w:rPr/>
        <w:t>检验方法：直观检查。 </w:t>
      </w:r>
    </w:p>
    <w:p>
      <w:pPr>
        <w:pStyle w:val="BodyText"/>
        <w:spacing w:before="10"/>
        <w:rPr>
          <w:sz w:val="17"/>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钢丝网骨架塑料复合管道钢塑过渡接头连接应符合下列要求：</w:t>
      </w:r>
      <w:r>
        <w:rPr>
          <w:sz w:val="21"/>
        </w:rPr>
        <w:t> </w:t>
      </w:r>
    </w:p>
    <w:p>
      <w:pPr>
        <w:pStyle w:val="BodyText"/>
        <w:spacing w:before="2"/>
        <w:rPr>
          <w:sz w:val="18"/>
        </w:rPr>
      </w:pPr>
    </w:p>
    <w:p>
      <w:pPr>
        <w:pStyle w:val="BodyText"/>
        <w:spacing w:line="446" w:lineRule="auto"/>
        <w:ind w:left="418" w:right="1609" w:firstLine="419"/>
      </w:pPr>
      <w:r>
        <w:rPr/>
        <w:t>钢塑过渡接头的钢丝网骨架塑料复合管管端与聚乙烯管道连接，应符合热熔连接或电熔连接的规定； </w:t>
      </w:r>
    </w:p>
    <w:p>
      <w:pPr>
        <w:pStyle w:val="BodyText"/>
        <w:spacing w:line="446" w:lineRule="auto"/>
        <w:ind w:left="418" w:right="1817" w:firstLine="419"/>
      </w:pPr>
      <w:r>
        <w:rPr/>
        <w:t>钢塑过渡接头钢管端与金属管道连接应符合相应的钢管焊接、法兰连接或机械连接的规定； </w:t>
      </w:r>
    </w:p>
    <w:p>
      <w:pPr>
        <w:pStyle w:val="BodyText"/>
        <w:spacing w:line="446" w:lineRule="auto"/>
        <w:ind w:left="418" w:right="1609" w:firstLine="419"/>
      </w:pPr>
      <w:r>
        <w:rPr/>
        <w:t>钢塑过渡接头钢管端与钢管应采用法兰连接，不得采用焊接连接，当必须焊接时，应采取降温措施； </w:t>
      </w:r>
    </w:p>
    <w:p>
      <w:pPr>
        <w:pStyle w:val="BodyText"/>
        <w:spacing w:line="446" w:lineRule="auto"/>
        <w:ind w:left="418" w:right="1505" w:firstLine="419"/>
      </w:pPr>
      <w:r>
        <w:rPr>
          <w:spacing w:val="-8"/>
        </w:rPr>
        <w:t>公称外径大于或等于 </w:t>
      </w:r>
      <w:r>
        <w:rPr/>
        <w:t>dn110</w:t>
      </w:r>
      <w:r>
        <w:rPr>
          <w:spacing w:val="-10"/>
        </w:rPr>
        <w:t> 的钢丝网骨架塑料复合管与管径大于或等于 </w:t>
      </w:r>
      <w:r>
        <w:rPr/>
        <w:t>DN100</w:t>
      </w:r>
      <w:r>
        <w:rPr>
          <w:spacing w:val="-10"/>
        </w:rPr>
        <w:t> 的金属管连</w:t>
      </w:r>
      <w:r>
        <w:rPr>
          <w:spacing w:val="-5"/>
        </w:rPr>
        <w:t>接时，可采用人字形柔性接口配件，配件两端的密封胶圈应分别与聚乙烯管和金属管相配套；</w:t>
      </w:r>
      <w:r>
        <w:rPr/>
        <w:t> </w:t>
      </w:r>
    </w:p>
    <w:p>
      <w:pPr>
        <w:pStyle w:val="BodyText"/>
        <w:spacing w:line="446" w:lineRule="auto"/>
        <w:ind w:left="838" w:right="2977"/>
      </w:pPr>
      <w:r>
        <w:rPr>
          <w:spacing w:val="-3"/>
        </w:rPr>
        <w:t>钢丝网骨架塑料复合管和金属管、阀门相连接时，规格尺寸应相互配套。</w:t>
      </w:r>
      <w:r>
        <w:rPr>
          <w:spacing w:val="-8"/>
        </w:rPr>
        <w:t>检查数量：按数量抽查 </w:t>
      </w:r>
      <w:r>
        <w:rPr/>
        <w:t>30</w:t>
      </w:r>
      <w:r>
        <w:rPr>
          <w:spacing w:val="-10"/>
        </w:rPr>
        <w:t>%，不应少于 </w:t>
      </w:r>
      <w:r>
        <w:rPr/>
        <w:t>10</w:t>
      </w:r>
      <w:r>
        <w:rPr>
          <w:spacing w:val="-19"/>
        </w:rPr>
        <w:t> 件。 </w:t>
      </w:r>
    </w:p>
    <w:p>
      <w:pPr>
        <w:pStyle w:val="BodyText"/>
        <w:ind w:left="838"/>
      </w:pPr>
      <w:r>
        <w:rPr/>
        <w:t>检验方法：直观检查。 </w:t>
      </w:r>
    </w:p>
    <w:p>
      <w:pPr>
        <w:pStyle w:val="BodyText"/>
        <w:spacing w:before="8"/>
        <w:rPr>
          <w:sz w:val="17"/>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埋地管道的连接方式和基础支墩应符合下列要求：</w:t>
      </w:r>
      <w:r>
        <w:rPr>
          <w:sz w:val="21"/>
        </w:rPr>
        <w:t> </w:t>
      </w:r>
    </w:p>
    <w:p>
      <w:pPr>
        <w:pStyle w:val="BodyText"/>
        <w:spacing w:before="2"/>
        <w:rPr>
          <w:sz w:val="18"/>
        </w:rPr>
      </w:pPr>
    </w:p>
    <w:p>
      <w:pPr>
        <w:pStyle w:val="BodyText"/>
        <w:spacing w:line="446" w:lineRule="auto"/>
        <w:ind w:left="838" w:right="1714"/>
      </w:pPr>
      <w:r>
        <w:rPr>
          <w:spacing w:val="-10"/>
        </w:rPr>
        <w:t>地震裂度在 </w:t>
      </w:r>
      <w:r>
        <w:rPr/>
        <w:t>7</w:t>
      </w:r>
      <w:r>
        <w:rPr>
          <w:spacing w:val="-24"/>
        </w:rPr>
        <w:t> 度及 </w:t>
      </w:r>
      <w:r>
        <w:rPr/>
        <w:t>7</w:t>
      </w:r>
      <w:r>
        <w:rPr>
          <w:spacing w:val="-9"/>
        </w:rPr>
        <w:t> 度以上时宜采用柔性连接的金属管道或钢丝网骨架塑料复合管等； </w:t>
      </w:r>
      <w:r>
        <w:rPr>
          <w:spacing w:val="-3"/>
        </w:rPr>
        <w:t>当采用球墨铸铁时宜采用承插连接；</w:t>
      </w:r>
      <w:r>
        <w:rPr/>
        <w:t> </w:t>
      </w:r>
    </w:p>
    <w:p>
      <w:pPr>
        <w:pStyle w:val="BodyText"/>
        <w:spacing w:line="446" w:lineRule="auto"/>
        <w:ind w:left="838" w:right="5077"/>
      </w:pPr>
      <w:r>
        <w:rPr/>
        <w:t>当采用焊接钢管时宜采用法兰和沟槽连接件连接； 当采用钢丝网骨架塑料复合管时应采用电熔连接； </w:t>
      </w:r>
    </w:p>
    <w:p>
      <w:pPr>
        <w:pStyle w:val="BodyText"/>
        <w:spacing w:line="446" w:lineRule="auto"/>
        <w:ind w:left="418" w:right="1609" w:firstLine="419"/>
      </w:pPr>
      <w:r>
        <w:rPr/>
        <w:t>埋地管道的施工时除符合本规范的有关规定外，还应符合现行国家标准《给水排水管道工程施工及验收规范》GB 50268 的有关规定； </w:t>
      </w:r>
    </w:p>
    <w:p>
      <w:pPr>
        <w:pStyle w:val="BodyText"/>
        <w:spacing w:line="446" w:lineRule="auto"/>
        <w:ind w:left="418" w:right="1609" w:firstLine="419"/>
      </w:pPr>
      <w:r>
        <w:rPr/>
        <w:t>埋地消防给水管道的基础和支墩应符合设计要求，当设计对支墩没有要求时，应在管道三通或转弯处设置混凝土支墩。 </w:t>
      </w:r>
    </w:p>
    <w:p>
      <w:pPr>
        <w:pStyle w:val="BodyText"/>
        <w:spacing w:line="446" w:lineRule="auto"/>
        <w:ind w:left="838" w:right="7600"/>
      </w:pPr>
      <w:r>
        <w:rPr/>
        <w:t>检查数量：全部检查。检验方法：直观检查。 </w:t>
      </w:r>
    </w:p>
    <w:p>
      <w:pPr>
        <w:spacing w:after="0" w:line="446" w:lineRule="auto"/>
        <w:sectPr>
          <w:pgSz w:w="11910" w:h="16850"/>
          <w:pgMar w:header="0" w:footer="1239" w:top="1220" w:bottom="1420" w:left="1260" w:right="0"/>
        </w:sectPr>
      </w:pPr>
    </w:p>
    <w:p>
      <w:pPr>
        <w:pStyle w:val="ListParagraph"/>
        <w:numPr>
          <w:ilvl w:val="2"/>
          <w:numId w:val="756"/>
        </w:numPr>
        <w:tabs>
          <w:tab w:pos="1583" w:val="left" w:leader="none"/>
        </w:tabs>
        <w:spacing w:line="446" w:lineRule="auto" w:before="47" w:after="0"/>
        <w:ind w:left="418" w:right="1601" w:firstLine="422"/>
        <w:jc w:val="left"/>
        <w:rPr>
          <w:sz w:val="21"/>
        </w:rPr>
      </w:pPr>
      <w:r>
        <w:rPr>
          <w:spacing w:val="-3"/>
          <w:sz w:val="21"/>
        </w:rPr>
        <w:t>架空管道应采用热浸镀锌钢管，并宜采用沟槽连接件、螺纹、法兰和卡压等方式连接；架空管道不应安装使用钢丝网骨架塑料复合管等非金属管道。</w:t>
      </w:r>
      <w:r>
        <w:rPr>
          <w:sz w:val="21"/>
        </w:rPr>
        <w:t> </w:t>
      </w:r>
    </w:p>
    <w:p>
      <w:pPr>
        <w:pStyle w:val="BodyText"/>
        <w:spacing w:line="446" w:lineRule="auto"/>
        <w:ind w:left="838" w:right="7600"/>
      </w:pPr>
      <w:r>
        <w:rPr/>
        <w:t>检查数量：全部检查。检验方法：直观检查。 </w:t>
      </w: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架空管道的安装位置应符合设计要求，并应符合下列规定：</w:t>
      </w:r>
      <w:r>
        <w:rPr>
          <w:sz w:val="21"/>
        </w:rPr>
        <w:t> </w:t>
      </w:r>
    </w:p>
    <w:p>
      <w:pPr>
        <w:pStyle w:val="BodyText"/>
        <w:spacing w:before="10"/>
        <w:rPr>
          <w:sz w:val="17"/>
        </w:rPr>
      </w:pPr>
    </w:p>
    <w:p>
      <w:pPr>
        <w:pStyle w:val="BodyText"/>
        <w:spacing w:line="446" w:lineRule="auto"/>
        <w:ind w:left="838" w:right="1508"/>
      </w:pPr>
      <w:r>
        <w:rPr>
          <w:spacing w:val="-3"/>
        </w:rPr>
        <w:t>架空管道的安装不应影响建筑功能的正常使用，不应影响和妨碍通行以及门窗等开启；  </w:t>
      </w:r>
      <w:r>
        <w:rPr>
          <w:spacing w:val="-5"/>
        </w:rPr>
        <w:t>当设计无要求时，管道的中心线与梁、柱、楼板等的最小距离应符合表 </w:t>
      </w:r>
      <w:r>
        <w:rPr/>
        <w:t>12.3.19</w:t>
      </w:r>
      <w:r>
        <w:rPr>
          <w:spacing w:val="-11"/>
        </w:rPr>
        <w:t> 的规定；</w:t>
      </w:r>
      <w:r>
        <w:rPr/>
        <w:t> </w:t>
      </w:r>
    </w:p>
    <w:p>
      <w:pPr>
        <w:pStyle w:val="Heading6"/>
        <w:spacing w:before="1"/>
        <w:ind w:left="2465"/>
      </w:pPr>
      <w:r>
        <w:rPr/>
        <w:t>表 12.3.19 管道的中心线与梁、柱、楼板等的最小距离</w:t>
      </w:r>
      <w:r>
        <w:rPr>
          <w:w w:val="99"/>
        </w:rPr>
        <w:t> </w:t>
      </w:r>
    </w:p>
    <w:p>
      <w:pPr>
        <w:pStyle w:val="BodyText"/>
        <w:spacing w:before="5"/>
        <w:rPr>
          <w:b/>
          <w:sz w:val="23"/>
        </w:rPr>
      </w:pPr>
      <w:r>
        <w:rPr/>
        <w:drawing>
          <wp:anchor distT="0" distB="0" distL="0" distR="0" allowOverlap="1" layoutInCell="1" locked="0" behindDoc="0" simplePos="0" relativeHeight="252">
            <wp:simplePos x="0" y="0"/>
            <wp:positionH relativeFrom="page">
              <wp:posOffset>1408430</wp:posOffset>
            </wp:positionH>
            <wp:positionV relativeFrom="paragraph">
              <wp:posOffset>215598</wp:posOffset>
            </wp:positionV>
            <wp:extent cx="5365719" cy="666750"/>
            <wp:effectExtent l="0" t="0" r="0" b="0"/>
            <wp:wrapTopAndBottom/>
            <wp:docPr id="593" name="image343.jpeg"/>
            <wp:cNvGraphicFramePr>
              <a:graphicFrameLocks noChangeAspect="1"/>
            </wp:cNvGraphicFramePr>
            <a:graphic>
              <a:graphicData uri="http://schemas.openxmlformats.org/drawingml/2006/picture">
                <pic:pic>
                  <pic:nvPicPr>
                    <pic:cNvPr id="594" name="image343.jpeg"/>
                    <pic:cNvPicPr/>
                  </pic:nvPicPr>
                  <pic:blipFill>
                    <a:blip r:embed="rId414" cstate="print"/>
                    <a:stretch>
                      <a:fillRect/>
                    </a:stretch>
                  </pic:blipFill>
                  <pic:spPr>
                    <a:xfrm>
                      <a:off x="0" y="0"/>
                      <a:ext cx="5365719" cy="666750"/>
                    </a:xfrm>
                    <a:prstGeom prst="rect">
                      <a:avLst/>
                    </a:prstGeom>
                  </pic:spPr>
                </pic:pic>
              </a:graphicData>
            </a:graphic>
          </wp:anchor>
        </w:drawing>
      </w:r>
    </w:p>
    <w:p>
      <w:pPr>
        <w:pStyle w:val="BodyText"/>
        <w:spacing w:line="446" w:lineRule="auto" w:before="163"/>
        <w:ind w:left="838" w:right="1609"/>
      </w:pPr>
      <w:r>
        <w:rPr>
          <w:spacing w:val="-3"/>
        </w:rPr>
        <w:t>消防给水管穿过地下室外墙、构筑物墙壁以及屋面等有防水要求处时，应设防水套管； 消防给水管穿过建筑物承重墙或基础时，应预留洞口，洞口高度应保证管顶上部净空不小</w:t>
      </w:r>
    </w:p>
    <w:p>
      <w:pPr>
        <w:pStyle w:val="BodyText"/>
        <w:ind w:left="418"/>
      </w:pPr>
      <w:r>
        <w:rPr/>
        <w:t>于建筑物的沉降量，不宜小于 0.1m，并应填充不透水的弹性材料； </w:t>
      </w:r>
    </w:p>
    <w:p>
      <w:pPr>
        <w:pStyle w:val="BodyText"/>
        <w:spacing w:before="12"/>
        <w:rPr>
          <w:sz w:val="17"/>
        </w:rPr>
      </w:pPr>
    </w:p>
    <w:p>
      <w:pPr>
        <w:pStyle w:val="BodyText"/>
        <w:spacing w:line="446" w:lineRule="auto"/>
        <w:ind w:left="418" w:right="1609" w:firstLine="419"/>
      </w:pPr>
      <w:r>
        <w:rPr/>
        <w:t>消防给水管穿过墙体或楼板时应加设套管，套管长度不应小于墙体厚度，或应高出楼面或地面 50mm；套管与管道的间隙应采用不燃材料填塞，管道的接口不应位于套管内； </w:t>
      </w:r>
    </w:p>
    <w:p>
      <w:pPr>
        <w:pStyle w:val="BodyText"/>
        <w:spacing w:line="446" w:lineRule="auto"/>
        <w:ind w:left="838" w:right="2554"/>
      </w:pPr>
      <w:r>
        <w:rPr>
          <w:spacing w:val="-3"/>
        </w:rPr>
        <w:t>消防给水管必须穿过伸缩缝及沉降缝时，应采用波纹管和补偿器等技术措施； 消防给水管可能发生冰冻时，应采取防冻技术措施； </w:t>
      </w:r>
    </w:p>
    <w:p>
      <w:pPr>
        <w:pStyle w:val="BodyText"/>
        <w:spacing w:line="446" w:lineRule="auto"/>
        <w:ind w:left="838" w:right="2554"/>
      </w:pPr>
      <w:r>
        <w:rPr>
          <w:spacing w:val="-3"/>
        </w:rPr>
        <w:t>通过及敷设在有腐蚀性气体的房间内时，管外壁应刷防腐漆或缠绕防腐材料。</w:t>
      </w:r>
      <w:r>
        <w:rPr>
          <w:spacing w:val="-8"/>
        </w:rPr>
        <w:t>检查数量：按数量抽查 </w:t>
      </w:r>
      <w:r>
        <w:rPr/>
        <w:t>30</w:t>
      </w:r>
      <w:r>
        <w:rPr>
          <w:spacing w:val="-10"/>
        </w:rPr>
        <w:t>%，不应少于 </w:t>
      </w:r>
      <w:r>
        <w:rPr/>
        <w:t>10</w:t>
      </w:r>
      <w:r>
        <w:rPr>
          <w:spacing w:val="-19"/>
        </w:rPr>
        <w:t> 件。 </w:t>
      </w:r>
    </w:p>
    <w:p>
      <w:pPr>
        <w:pStyle w:val="BodyText"/>
        <w:spacing w:line="267" w:lineRule="exact"/>
        <w:ind w:left="838"/>
      </w:pPr>
      <w:r>
        <w:rPr/>
        <w:t>检验方法：尺量检查。 </w:t>
      </w:r>
    </w:p>
    <w:p>
      <w:pPr>
        <w:pStyle w:val="BodyText"/>
        <w:spacing w:before="2"/>
        <w:rPr>
          <w:sz w:val="18"/>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架空管道的支吊架应符合下列规定：</w:t>
      </w:r>
      <w:r>
        <w:rPr>
          <w:sz w:val="21"/>
        </w:rPr>
        <w:t> </w:t>
      </w:r>
    </w:p>
    <w:p>
      <w:pPr>
        <w:pStyle w:val="BodyText"/>
        <w:spacing w:before="12"/>
        <w:rPr>
          <w:sz w:val="17"/>
        </w:rPr>
      </w:pPr>
    </w:p>
    <w:p>
      <w:pPr>
        <w:pStyle w:val="BodyText"/>
        <w:spacing w:line="446" w:lineRule="auto"/>
        <w:ind w:left="418" w:right="1609" w:firstLine="419"/>
      </w:pPr>
      <w:r>
        <w:rPr/>
        <w:t>架空管道支架、吊架、防晃或固定支架的安装应固定牢固，其形式、材质及施工应符合设计要求； </w:t>
      </w:r>
    </w:p>
    <w:p>
      <w:pPr>
        <w:pStyle w:val="BodyText"/>
        <w:spacing w:line="446" w:lineRule="auto"/>
        <w:ind w:left="418" w:right="1609" w:firstLine="419"/>
      </w:pPr>
      <w:r>
        <w:rPr>
          <w:spacing w:val="-5"/>
        </w:rPr>
        <w:t>设计的吊架在管道的每一支撑点处应能承受 </w:t>
      </w:r>
      <w:r>
        <w:rPr/>
        <w:t>5</w:t>
      </w:r>
      <w:r>
        <w:rPr>
          <w:spacing w:val="-7"/>
        </w:rPr>
        <w:t> 倍于充满水的管重，且管道系统支撑点应支</w:t>
      </w:r>
      <w:r>
        <w:rPr>
          <w:spacing w:val="-5"/>
        </w:rPr>
        <w:t>撑整个消防给水系统；</w:t>
      </w:r>
      <w:r>
        <w:rPr/>
        <w:t>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pPr>
      <w:r>
        <w:rPr>
          <w:spacing w:val="-3"/>
        </w:rPr>
        <w:t>管道支架的支撑点宜设在建筑物的结构上，其结构在管道悬吊点应能承受充满水管道重量</w:t>
      </w:r>
      <w:r>
        <w:rPr>
          <w:spacing w:val="-11"/>
        </w:rPr>
        <w:t>另加至少 </w:t>
      </w:r>
      <w:r>
        <w:rPr/>
        <w:t>114kg</w:t>
      </w:r>
      <w:r>
        <w:rPr>
          <w:spacing w:val="-10"/>
        </w:rPr>
        <w:t> 的阀门、法兰和接头等附加荷载，充水管道的参考重量可按表 </w:t>
      </w:r>
      <w:r>
        <w:rPr/>
        <w:t>12.3.20-1</w:t>
      </w:r>
      <w:r>
        <w:rPr>
          <w:spacing w:val="-20"/>
        </w:rPr>
        <w:t> 选</w:t>
      </w:r>
      <w:r>
        <w:rPr>
          <w:spacing w:val="-12"/>
        </w:rPr>
        <w:t>取；</w:t>
      </w:r>
      <w:r>
        <w:rPr/>
        <w:t> </w:t>
      </w:r>
    </w:p>
    <w:p>
      <w:pPr>
        <w:pStyle w:val="Heading6"/>
        <w:spacing w:line="268" w:lineRule="exact"/>
        <w:ind w:left="3413"/>
      </w:pPr>
      <w:r>
        <w:rPr/>
        <w:t>表 12.3.20-1 充水管道的参考重量</w:t>
      </w:r>
      <w:r>
        <w:rPr>
          <w:w w:val="99"/>
        </w:rPr>
        <w:t> </w:t>
      </w:r>
    </w:p>
    <w:p>
      <w:pPr>
        <w:pStyle w:val="BodyText"/>
        <w:spacing w:before="10"/>
        <w:rPr>
          <w:b/>
          <w:sz w:val="29"/>
        </w:rPr>
      </w:pPr>
      <w:r>
        <w:rPr/>
        <w:drawing>
          <wp:anchor distT="0" distB="0" distL="0" distR="0" allowOverlap="1" layoutInCell="1" locked="0" behindDoc="0" simplePos="0" relativeHeight="253">
            <wp:simplePos x="0" y="0"/>
            <wp:positionH relativeFrom="page">
              <wp:posOffset>1240155</wp:posOffset>
            </wp:positionH>
            <wp:positionV relativeFrom="paragraph">
              <wp:posOffset>267168</wp:posOffset>
            </wp:positionV>
            <wp:extent cx="4933913" cy="990600"/>
            <wp:effectExtent l="0" t="0" r="0" b="0"/>
            <wp:wrapTopAndBottom/>
            <wp:docPr id="595" name="image344.jpeg"/>
            <wp:cNvGraphicFramePr>
              <a:graphicFrameLocks noChangeAspect="1"/>
            </wp:cNvGraphicFramePr>
            <a:graphic>
              <a:graphicData uri="http://schemas.openxmlformats.org/drawingml/2006/picture">
                <pic:pic>
                  <pic:nvPicPr>
                    <pic:cNvPr id="596" name="image344.jpeg"/>
                    <pic:cNvPicPr/>
                  </pic:nvPicPr>
                  <pic:blipFill>
                    <a:blip r:embed="rId415" cstate="print"/>
                    <a:stretch>
                      <a:fillRect/>
                    </a:stretch>
                  </pic:blipFill>
                  <pic:spPr>
                    <a:xfrm>
                      <a:off x="0" y="0"/>
                      <a:ext cx="4933913" cy="990600"/>
                    </a:xfrm>
                    <a:prstGeom prst="rect">
                      <a:avLst/>
                    </a:prstGeom>
                  </pic:spPr>
                </pic:pic>
              </a:graphicData>
            </a:graphic>
          </wp:anchor>
        </w:drawing>
      </w:r>
    </w:p>
    <w:p>
      <w:pPr>
        <w:pStyle w:val="BodyText"/>
        <w:spacing w:line="446" w:lineRule="auto" w:before="163"/>
        <w:ind w:left="838" w:right="4343"/>
      </w:pPr>
      <w:r>
        <w:rPr/>
        <w:t>注：1</w:t>
      </w:r>
      <w:r>
        <w:rPr>
          <w:spacing w:val="-9"/>
        </w:rPr>
        <w:t>.计算管重量按 </w:t>
      </w:r>
      <w:r>
        <w:rPr/>
        <w:t>10kg</w:t>
      </w:r>
      <w:r>
        <w:rPr>
          <w:spacing w:val="-17"/>
        </w:rPr>
        <w:t> 化整，不足 </w:t>
      </w:r>
      <w:r>
        <w:rPr/>
        <w:t>20kg</w:t>
      </w:r>
      <w:r>
        <w:rPr>
          <w:spacing w:val="-35"/>
        </w:rPr>
        <w:t> 按 </w:t>
      </w:r>
      <w:r>
        <w:rPr/>
        <w:t>20kg</w:t>
      </w:r>
      <w:r>
        <w:rPr>
          <w:spacing w:val="-15"/>
        </w:rPr>
        <w:t> 计算； </w:t>
      </w:r>
      <w:r>
        <w:rPr/>
        <w:t>2.</w:t>
      </w:r>
      <w:r>
        <w:rPr>
          <w:spacing w:val="-3"/>
        </w:rPr>
        <w:t> 表中管重不包括阀门重量。</w:t>
      </w:r>
      <w:r>
        <w:rPr/>
        <w:t> </w:t>
      </w:r>
    </w:p>
    <w:p>
      <w:pPr>
        <w:pStyle w:val="BodyText"/>
        <w:ind w:left="838"/>
      </w:pPr>
      <w:r>
        <w:rPr/>
        <w:t>管道支架或吊架的设置间距不应大于表 12.3.20-2 的要求； </w:t>
      </w:r>
    </w:p>
    <w:p>
      <w:pPr>
        <w:pStyle w:val="BodyText"/>
        <w:spacing w:before="12"/>
        <w:rPr>
          <w:sz w:val="17"/>
        </w:rPr>
      </w:pPr>
    </w:p>
    <w:p>
      <w:pPr>
        <w:pStyle w:val="Heading6"/>
        <w:ind w:left="3097"/>
      </w:pPr>
      <w:r>
        <w:rPr/>
        <w:t>表 12.3.20-2 管道支架或吊架的设置间距</w:t>
      </w:r>
      <w:r>
        <w:rPr>
          <w:w w:val="99"/>
        </w:rPr>
        <w:t> </w:t>
      </w:r>
    </w:p>
    <w:p>
      <w:pPr>
        <w:pStyle w:val="BodyText"/>
        <w:rPr>
          <w:b/>
          <w:sz w:val="20"/>
        </w:rPr>
      </w:pPr>
    </w:p>
    <w:p>
      <w:pPr>
        <w:pStyle w:val="BodyText"/>
        <w:rPr>
          <w:b/>
          <w:sz w:val="17"/>
        </w:rPr>
      </w:pPr>
      <w:r>
        <w:rPr/>
        <w:drawing>
          <wp:anchor distT="0" distB="0" distL="0" distR="0" allowOverlap="1" layoutInCell="1" locked="0" behindDoc="0" simplePos="0" relativeHeight="254">
            <wp:simplePos x="0" y="0"/>
            <wp:positionH relativeFrom="page">
              <wp:posOffset>1170305</wp:posOffset>
            </wp:positionH>
            <wp:positionV relativeFrom="paragraph">
              <wp:posOffset>163131</wp:posOffset>
            </wp:positionV>
            <wp:extent cx="4913572" cy="810767"/>
            <wp:effectExtent l="0" t="0" r="0" b="0"/>
            <wp:wrapTopAndBottom/>
            <wp:docPr id="597" name="image345.jpeg"/>
            <wp:cNvGraphicFramePr>
              <a:graphicFrameLocks noChangeAspect="1"/>
            </wp:cNvGraphicFramePr>
            <a:graphic>
              <a:graphicData uri="http://schemas.openxmlformats.org/drawingml/2006/picture">
                <pic:pic>
                  <pic:nvPicPr>
                    <pic:cNvPr id="598" name="image345.jpeg"/>
                    <pic:cNvPicPr/>
                  </pic:nvPicPr>
                  <pic:blipFill>
                    <a:blip r:embed="rId416" cstate="print"/>
                    <a:stretch>
                      <a:fillRect/>
                    </a:stretch>
                  </pic:blipFill>
                  <pic:spPr>
                    <a:xfrm>
                      <a:off x="0" y="0"/>
                      <a:ext cx="4913572" cy="810767"/>
                    </a:xfrm>
                    <a:prstGeom prst="rect">
                      <a:avLst/>
                    </a:prstGeom>
                  </pic:spPr>
                </pic:pic>
              </a:graphicData>
            </a:graphic>
          </wp:anchor>
        </w:drawing>
      </w:r>
    </w:p>
    <w:p>
      <w:pPr>
        <w:pStyle w:val="BodyText"/>
        <w:spacing w:line="446" w:lineRule="auto" w:before="161"/>
        <w:ind w:left="838" w:right="5497"/>
      </w:pPr>
      <w:r>
        <w:rPr/>
        <w:t>当管道穿梁安装时，穿梁处宜作为一个吊架； 下列部位应设置固定支架或防晃支架： </w:t>
      </w:r>
    </w:p>
    <w:p>
      <w:pPr>
        <w:pStyle w:val="ListParagraph"/>
        <w:numPr>
          <w:ilvl w:val="0"/>
          <w:numId w:val="758"/>
        </w:numPr>
        <w:tabs>
          <w:tab w:pos="1156" w:val="left" w:leader="none"/>
        </w:tabs>
        <w:spacing w:line="240" w:lineRule="auto" w:before="0" w:after="0"/>
        <w:ind w:left="1155" w:right="0" w:hanging="318"/>
        <w:jc w:val="left"/>
        <w:rPr>
          <w:sz w:val="21"/>
        </w:rPr>
      </w:pPr>
      <w:r>
        <w:rPr>
          <w:spacing w:val="-6"/>
          <w:sz w:val="21"/>
        </w:rPr>
        <w:t>配水管宜在中点设一个防晃支架，但当管径小于 </w:t>
      </w:r>
      <w:r>
        <w:rPr>
          <w:sz w:val="21"/>
        </w:rPr>
        <w:t>DN50</w:t>
      </w:r>
      <w:r>
        <w:rPr>
          <w:spacing w:val="-12"/>
          <w:sz w:val="21"/>
        </w:rPr>
        <w:t> 时可不设；</w:t>
      </w:r>
      <w:r>
        <w:rPr>
          <w:sz w:val="21"/>
        </w:rPr>
        <w:t> </w:t>
      </w:r>
    </w:p>
    <w:p>
      <w:pPr>
        <w:pStyle w:val="BodyText"/>
        <w:spacing w:before="12"/>
        <w:rPr>
          <w:sz w:val="17"/>
        </w:rPr>
      </w:pPr>
    </w:p>
    <w:p>
      <w:pPr>
        <w:pStyle w:val="ListParagraph"/>
        <w:numPr>
          <w:ilvl w:val="0"/>
          <w:numId w:val="758"/>
        </w:numPr>
        <w:tabs>
          <w:tab w:pos="1156" w:val="left" w:leader="none"/>
        </w:tabs>
        <w:spacing w:line="446" w:lineRule="auto" w:before="1" w:after="0"/>
        <w:ind w:left="418" w:right="1430" w:firstLine="419"/>
        <w:jc w:val="both"/>
        <w:rPr>
          <w:sz w:val="21"/>
        </w:rPr>
      </w:pPr>
      <w:r>
        <w:rPr>
          <w:spacing w:val="-9"/>
          <w:sz w:val="21"/>
        </w:rPr>
        <w:t>配水干管及配水管，配水支管的长度超过 </w:t>
      </w:r>
      <w:r>
        <w:rPr>
          <w:spacing w:val="-7"/>
          <w:sz w:val="21"/>
        </w:rPr>
        <w:t>15m</w:t>
      </w:r>
      <w:r>
        <w:rPr>
          <w:spacing w:val="-18"/>
          <w:sz w:val="21"/>
        </w:rPr>
        <w:t>，每 </w:t>
      </w:r>
      <w:r>
        <w:rPr>
          <w:sz w:val="21"/>
        </w:rPr>
        <w:t>15m</w:t>
      </w:r>
      <w:r>
        <w:rPr>
          <w:spacing w:val="-12"/>
          <w:sz w:val="21"/>
        </w:rPr>
        <w:t> 长度内应至少设 </w:t>
      </w:r>
      <w:r>
        <w:rPr>
          <w:sz w:val="21"/>
        </w:rPr>
        <w:t>1</w:t>
      </w:r>
      <w:r>
        <w:rPr>
          <w:spacing w:val="-12"/>
          <w:sz w:val="21"/>
        </w:rPr>
        <w:t> 个防晃支架， </w:t>
      </w:r>
      <w:r>
        <w:rPr>
          <w:spacing w:val="5"/>
          <w:sz w:val="21"/>
        </w:rPr>
        <w:t>但当管径不大于</w:t>
      </w:r>
      <w:r>
        <w:rPr>
          <w:sz w:val="21"/>
        </w:rPr>
        <w:t>DN40</w:t>
      </w:r>
      <w:r>
        <w:rPr>
          <w:spacing w:val="-13"/>
          <w:sz w:val="21"/>
        </w:rPr>
        <w:t> 可不设； </w:t>
      </w:r>
    </w:p>
    <w:p>
      <w:pPr>
        <w:pStyle w:val="ListParagraph"/>
        <w:numPr>
          <w:ilvl w:val="0"/>
          <w:numId w:val="758"/>
        </w:numPr>
        <w:tabs>
          <w:tab w:pos="1156" w:val="left" w:leader="none"/>
        </w:tabs>
        <w:spacing w:line="240" w:lineRule="auto" w:before="0" w:after="0"/>
        <w:ind w:left="1155" w:right="0" w:hanging="318"/>
        <w:jc w:val="both"/>
        <w:rPr>
          <w:sz w:val="21"/>
        </w:rPr>
      </w:pPr>
      <w:r>
        <w:rPr>
          <w:spacing w:val="-13"/>
          <w:sz w:val="21"/>
        </w:rPr>
        <w:t>管径大于 </w:t>
      </w:r>
      <w:r>
        <w:rPr>
          <w:sz w:val="21"/>
        </w:rPr>
        <w:t>DN50</w:t>
      </w:r>
      <w:r>
        <w:rPr>
          <w:spacing w:val="-11"/>
          <w:sz w:val="21"/>
        </w:rPr>
        <w:t> 的管道拐弯、三通及四通位置处应设 </w:t>
      </w:r>
      <w:r>
        <w:rPr>
          <w:sz w:val="21"/>
        </w:rPr>
        <w:t>1</w:t>
      </w:r>
      <w:r>
        <w:rPr>
          <w:spacing w:val="-10"/>
          <w:sz w:val="21"/>
        </w:rPr>
        <w:t> 个防晃支架；</w:t>
      </w:r>
      <w:r>
        <w:rPr>
          <w:sz w:val="21"/>
        </w:rPr>
        <w:t> </w:t>
      </w:r>
    </w:p>
    <w:p>
      <w:pPr>
        <w:pStyle w:val="BodyText"/>
        <w:spacing w:before="12"/>
        <w:rPr>
          <w:sz w:val="17"/>
        </w:rPr>
      </w:pPr>
    </w:p>
    <w:p>
      <w:pPr>
        <w:pStyle w:val="ListParagraph"/>
        <w:numPr>
          <w:ilvl w:val="0"/>
          <w:numId w:val="758"/>
        </w:numPr>
        <w:tabs>
          <w:tab w:pos="1156" w:val="left" w:leader="none"/>
        </w:tabs>
        <w:spacing w:line="446" w:lineRule="auto" w:before="0" w:after="0"/>
        <w:ind w:left="418" w:right="1431" w:firstLine="419"/>
        <w:jc w:val="both"/>
        <w:rPr>
          <w:sz w:val="21"/>
        </w:rPr>
      </w:pPr>
      <w:r>
        <w:rPr>
          <w:spacing w:val="-10"/>
          <w:sz w:val="21"/>
        </w:rPr>
        <w:t>防晃支架的强度，应满足管道、配件及管内水的重量再加 </w:t>
      </w:r>
      <w:r>
        <w:rPr>
          <w:sz w:val="21"/>
        </w:rPr>
        <w:t>50</w:t>
      </w:r>
      <w:r>
        <w:rPr>
          <w:spacing w:val="-3"/>
          <w:sz w:val="21"/>
        </w:rPr>
        <w:t>%的水平方向推力时不损坏或</w:t>
      </w:r>
      <w:r>
        <w:rPr>
          <w:spacing w:val="-8"/>
          <w:sz w:val="21"/>
        </w:rPr>
        <w:t>不产生永久变形；当管道穿梁安装时，管道再用紧固件固定于混凝土结构上，宜可作为 </w:t>
      </w:r>
      <w:r>
        <w:rPr>
          <w:sz w:val="21"/>
        </w:rPr>
        <w:t>1</w:t>
      </w:r>
      <w:r>
        <w:rPr>
          <w:spacing w:val="-10"/>
          <w:sz w:val="21"/>
        </w:rPr>
        <w:t> 个防晃</w:t>
      </w:r>
      <w:r>
        <w:rPr>
          <w:spacing w:val="-6"/>
          <w:sz w:val="21"/>
        </w:rPr>
        <w:t>支架处理。</w:t>
      </w:r>
      <w:r>
        <w:rPr>
          <w:sz w:val="21"/>
        </w:rPr>
        <w:t> </w:t>
      </w:r>
    </w:p>
    <w:p>
      <w:pPr>
        <w:pStyle w:val="BodyText"/>
        <w:spacing w:line="446" w:lineRule="auto"/>
        <w:ind w:left="838" w:right="5447"/>
      </w:pPr>
      <w:r>
        <w:rPr>
          <w:spacing w:val="-8"/>
        </w:rPr>
        <w:t>检查数量：按数量抽查 </w:t>
      </w:r>
      <w:r>
        <w:rPr/>
        <w:t>30</w:t>
      </w:r>
      <w:r>
        <w:rPr>
          <w:spacing w:val="-9"/>
        </w:rPr>
        <w:t>%，不应少于 </w:t>
      </w:r>
      <w:r>
        <w:rPr/>
        <w:t>10</w:t>
      </w:r>
      <w:r>
        <w:rPr>
          <w:spacing w:val="-18"/>
        </w:rPr>
        <w:t> 件。</w:t>
      </w:r>
      <w:r>
        <w:rPr>
          <w:spacing w:val="-7"/>
        </w:rPr>
        <w:t>检验方法：尺量检查。</w:t>
      </w:r>
      <w:r>
        <w:rPr/>
        <w:t> </w:t>
      </w:r>
    </w:p>
    <w:p>
      <w:pPr>
        <w:pStyle w:val="ListParagraph"/>
        <w:numPr>
          <w:ilvl w:val="2"/>
          <w:numId w:val="756"/>
        </w:numPr>
        <w:tabs>
          <w:tab w:pos="1640" w:val="left" w:leader="none"/>
        </w:tabs>
        <w:spacing w:line="240" w:lineRule="auto" w:before="0" w:after="0"/>
        <w:ind w:left="1639" w:right="0" w:hanging="800"/>
        <w:jc w:val="left"/>
        <w:rPr>
          <w:sz w:val="21"/>
        </w:rPr>
      </w:pPr>
      <w:r>
        <w:rPr>
          <w:spacing w:val="-6"/>
          <w:sz w:val="21"/>
        </w:rPr>
        <w:t>架空管道每段管道设置的防晃支架不应少于 </w:t>
      </w:r>
      <w:r>
        <w:rPr>
          <w:sz w:val="21"/>
        </w:rPr>
        <w:t>1</w:t>
      </w:r>
      <w:r>
        <w:rPr>
          <w:spacing w:val="-8"/>
          <w:sz w:val="21"/>
        </w:rPr>
        <w:t> 个；当管道改变方向时，应增设防晃</w:t>
      </w:r>
    </w:p>
    <w:p>
      <w:pPr>
        <w:pStyle w:val="BodyText"/>
        <w:spacing w:before="11"/>
        <w:rPr>
          <w:sz w:val="17"/>
        </w:rPr>
      </w:pPr>
    </w:p>
    <w:p>
      <w:pPr>
        <w:pStyle w:val="BodyText"/>
        <w:spacing w:before="1"/>
        <w:ind w:left="418"/>
      </w:pPr>
      <w:r>
        <w:rPr/>
        <w:t>支架；立管应在其始端和终端设防晃支架或采用管卡固定。 </w:t>
      </w:r>
    </w:p>
    <w:p>
      <w:pPr>
        <w:spacing w:after="0"/>
        <w:sectPr>
          <w:pgSz w:w="11910" w:h="16850"/>
          <w:pgMar w:header="0" w:footer="1239" w:top="1220" w:bottom="1420" w:left="1260" w:right="0"/>
        </w:sectPr>
      </w:pPr>
    </w:p>
    <w:p>
      <w:pPr>
        <w:pStyle w:val="BodyText"/>
        <w:spacing w:line="446" w:lineRule="auto" w:before="47"/>
        <w:ind w:left="838" w:right="5447"/>
      </w:pPr>
      <w:r>
        <w:rPr>
          <w:spacing w:val="-8"/>
        </w:rPr>
        <w:t>检查数量：按数量抽查 </w:t>
      </w:r>
      <w:r>
        <w:rPr/>
        <w:t>30</w:t>
      </w:r>
      <w:r>
        <w:rPr>
          <w:spacing w:val="-9"/>
        </w:rPr>
        <w:t>%，不应少于 </w:t>
      </w:r>
      <w:r>
        <w:rPr/>
        <w:t>10</w:t>
      </w:r>
      <w:r>
        <w:rPr>
          <w:spacing w:val="-18"/>
        </w:rPr>
        <w:t> 件。</w:t>
      </w:r>
      <w:r>
        <w:rPr>
          <w:spacing w:val="-7"/>
        </w:rPr>
        <w:t>检验方法：直观检查。</w:t>
      </w:r>
      <w:r>
        <w:rPr/>
        <w:t> </w:t>
      </w:r>
    </w:p>
    <w:p>
      <w:pPr>
        <w:pStyle w:val="ListParagraph"/>
        <w:numPr>
          <w:ilvl w:val="2"/>
          <w:numId w:val="756"/>
        </w:numPr>
        <w:tabs>
          <w:tab w:pos="1650" w:val="left" w:leader="none"/>
        </w:tabs>
        <w:spacing w:line="267" w:lineRule="exact" w:before="0" w:after="0"/>
        <w:ind w:left="1649" w:right="0" w:hanging="810"/>
        <w:jc w:val="left"/>
        <w:rPr>
          <w:sz w:val="21"/>
        </w:rPr>
      </w:pPr>
      <w:r>
        <w:rPr>
          <w:spacing w:val="-3"/>
          <w:sz w:val="21"/>
        </w:rPr>
        <w:t>埋地钢管应做防腐处理，防腐层材质和结构应符合设计要求，并应按现行国家标准</w:t>
      </w:r>
    </w:p>
    <w:p>
      <w:pPr>
        <w:pStyle w:val="BodyText"/>
        <w:spacing w:before="2"/>
        <w:rPr>
          <w:sz w:val="18"/>
        </w:rPr>
      </w:pPr>
    </w:p>
    <w:p>
      <w:pPr>
        <w:pStyle w:val="BodyText"/>
        <w:spacing w:line="446" w:lineRule="auto"/>
        <w:ind w:left="418" w:right="1431"/>
        <w:jc w:val="both"/>
      </w:pPr>
      <w:r>
        <w:rPr>
          <w:spacing w:val="-5"/>
        </w:rPr>
        <w:t>《给水排水管道工程施工及验收规范》</w:t>
      </w:r>
      <w:r>
        <w:rPr/>
        <w:t>GB 50268</w:t>
      </w:r>
      <w:r>
        <w:rPr>
          <w:spacing w:val="-10"/>
        </w:rPr>
        <w:t> 的有关规定施工；室外埋地球墨铸铁给水管要求</w:t>
      </w:r>
      <w:r>
        <w:rPr>
          <w:spacing w:val="-8"/>
        </w:rPr>
        <w:t>外壁应刷沥青漆防腐；埋地管道连接用的螺栓、螺母以及垫片等附件应采用防腐蚀材料，或涂覆</w:t>
      </w:r>
      <w:r>
        <w:rPr>
          <w:spacing w:val="-5"/>
        </w:rPr>
        <w:t>沥青涂层等防腐涂层；埋地钢丝网骨架塑料复合管不应做防腐处理。</w:t>
      </w:r>
      <w:r>
        <w:rPr/>
        <w:t> </w:t>
      </w:r>
    </w:p>
    <w:p>
      <w:pPr>
        <w:pStyle w:val="BodyText"/>
        <w:spacing w:line="268" w:lineRule="exact"/>
        <w:ind w:left="838"/>
        <w:jc w:val="both"/>
      </w:pPr>
      <w:r>
        <w:rPr/>
        <w:t>检查数量：按数量抽查 30%，不应少于 10 件。 </w:t>
      </w:r>
    </w:p>
    <w:p>
      <w:pPr>
        <w:pStyle w:val="BodyText"/>
        <w:rPr>
          <w:sz w:val="18"/>
        </w:rPr>
      </w:pPr>
    </w:p>
    <w:p>
      <w:pPr>
        <w:pStyle w:val="BodyText"/>
        <w:ind w:left="838"/>
      </w:pPr>
      <w:r>
        <w:rPr/>
        <w:t>检验方法：放水试验、观察、核对隐蔽工程记录，必要时局部解剖检查。 </w:t>
      </w:r>
    </w:p>
    <w:p>
      <w:pPr>
        <w:pStyle w:val="BodyText"/>
        <w:rPr>
          <w:sz w:val="18"/>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12"/>
          <w:sz w:val="21"/>
        </w:rPr>
        <w:t>地震裂度在 </w:t>
      </w:r>
      <w:r>
        <w:rPr>
          <w:sz w:val="21"/>
        </w:rPr>
        <w:t>7</w:t>
      </w:r>
      <w:r>
        <w:rPr>
          <w:spacing w:val="-29"/>
          <w:sz w:val="21"/>
        </w:rPr>
        <w:t> 度及 </w:t>
      </w:r>
      <w:r>
        <w:rPr>
          <w:sz w:val="21"/>
        </w:rPr>
        <w:t>7</w:t>
      </w:r>
      <w:r>
        <w:rPr>
          <w:spacing w:val="-9"/>
          <w:sz w:val="21"/>
        </w:rPr>
        <w:t> 度以上时，架空管道保护应符合下列要求：</w:t>
      </w:r>
      <w:r>
        <w:rPr>
          <w:sz w:val="21"/>
        </w:rPr>
        <w:t> </w:t>
      </w:r>
    </w:p>
    <w:p>
      <w:pPr>
        <w:pStyle w:val="BodyText"/>
        <w:spacing w:before="2"/>
        <w:rPr>
          <w:sz w:val="18"/>
        </w:rPr>
      </w:pPr>
    </w:p>
    <w:p>
      <w:pPr>
        <w:pStyle w:val="BodyText"/>
        <w:spacing w:line="446" w:lineRule="auto"/>
        <w:ind w:left="838" w:right="1925"/>
      </w:pPr>
      <w:r>
        <w:rPr>
          <w:spacing w:val="-3"/>
        </w:rPr>
        <w:t>地震区的消防给水管道宜采用沟槽连接件的柔性接头或间隙保护系统的安全可靠性； 应用支架将管道牢固地固定在建筑上；</w:t>
      </w:r>
      <w:r>
        <w:rPr/>
        <w:t> </w:t>
      </w:r>
    </w:p>
    <w:p>
      <w:pPr>
        <w:pStyle w:val="BodyText"/>
        <w:spacing w:line="267" w:lineRule="exact"/>
        <w:ind w:left="838"/>
      </w:pPr>
      <w:r>
        <w:rPr/>
        <w:t>管道应有固定部分和活动部分组成； </w:t>
      </w:r>
    </w:p>
    <w:p>
      <w:pPr>
        <w:pStyle w:val="BodyText"/>
        <w:spacing w:before="1"/>
        <w:rPr>
          <w:sz w:val="18"/>
        </w:rPr>
      </w:pPr>
    </w:p>
    <w:p>
      <w:pPr>
        <w:pStyle w:val="BodyText"/>
        <w:spacing w:line="446" w:lineRule="auto" w:before="1"/>
        <w:ind w:left="418" w:right="1410" w:firstLine="419"/>
      </w:pPr>
      <w:r>
        <w:rPr/>
        <w:t>当系统管道穿越连接地面以上部分建筑物的地震接缝时，无论管径大小，均应设带柔性配件的管道地震保护装置； </w:t>
      </w:r>
    </w:p>
    <w:p>
      <w:pPr>
        <w:pStyle w:val="BodyText"/>
        <w:spacing w:line="446" w:lineRule="auto"/>
        <w:ind w:left="418" w:right="1433" w:firstLine="419"/>
      </w:pPr>
      <w:r>
        <w:rPr>
          <w:spacing w:val="-7"/>
        </w:rPr>
        <w:t>所有穿越墙、楼板、平台以及基础的管道，包括泄水管，水泵接合器连接管及其他辅助管道</w:t>
      </w:r>
      <w:r>
        <w:rPr>
          <w:spacing w:val="-5"/>
        </w:rPr>
        <w:t>的周围应留有间隙；</w:t>
      </w:r>
      <w:r>
        <w:rPr/>
        <w:t> </w:t>
      </w:r>
    </w:p>
    <w:p>
      <w:pPr>
        <w:pStyle w:val="BodyText"/>
        <w:spacing w:line="446" w:lineRule="auto"/>
        <w:ind w:left="418" w:right="1431" w:firstLine="419"/>
      </w:pPr>
      <w:r>
        <w:rPr>
          <w:spacing w:val="-3"/>
        </w:rPr>
        <w:t>管道周围的间隙，DN25～DN80</w:t>
      </w:r>
      <w:r>
        <w:rPr>
          <w:spacing w:val="-12"/>
        </w:rPr>
        <w:t> 管径的管道，不应小于 </w:t>
      </w:r>
      <w:r>
        <w:rPr>
          <w:spacing w:val="-3"/>
        </w:rPr>
        <w:t>25mm，DN100</w:t>
      </w:r>
      <w:r>
        <w:rPr>
          <w:spacing w:val="-10"/>
        </w:rPr>
        <w:t> 及以上管径的管道，不应</w:t>
      </w:r>
      <w:r>
        <w:rPr>
          <w:spacing w:val="-25"/>
        </w:rPr>
        <w:t>小于 </w:t>
      </w:r>
      <w:r>
        <w:rPr/>
        <w:t>50mm</w:t>
      </w:r>
      <w:r>
        <w:rPr>
          <w:spacing w:val="-3"/>
        </w:rPr>
        <w:t>；间隙内应填充腻子等防火柔性材料；</w:t>
      </w:r>
      <w:r>
        <w:rPr/>
        <w:t> </w:t>
      </w:r>
    </w:p>
    <w:p>
      <w:pPr>
        <w:pStyle w:val="BodyText"/>
        <w:ind w:left="838"/>
      </w:pPr>
      <w:r>
        <w:rPr/>
        <w:t>竖向支撑应符合下列规定： </w:t>
      </w:r>
    </w:p>
    <w:p>
      <w:pPr>
        <w:pStyle w:val="BodyText"/>
        <w:spacing w:before="10"/>
        <w:rPr>
          <w:sz w:val="17"/>
        </w:rPr>
      </w:pPr>
    </w:p>
    <w:p>
      <w:pPr>
        <w:pStyle w:val="ListParagraph"/>
        <w:numPr>
          <w:ilvl w:val="0"/>
          <w:numId w:val="759"/>
        </w:numPr>
        <w:tabs>
          <w:tab w:pos="1156" w:val="left" w:leader="none"/>
        </w:tabs>
        <w:spacing w:line="240" w:lineRule="auto" w:before="0" w:after="0"/>
        <w:ind w:left="1155" w:right="0" w:hanging="318"/>
        <w:jc w:val="left"/>
        <w:rPr>
          <w:sz w:val="21"/>
        </w:rPr>
      </w:pPr>
      <w:r>
        <w:rPr>
          <w:spacing w:val="-3"/>
          <w:sz w:val="21"/>
        </w:rPr>
        <w:t>系统管道应有承受横向和纵向水平载荷的支撑；</w:t>
      </w:r>
      <w:r>
        <w:rPr>
          <w:sz w:val="21"/>
        </w:rPr>
        <w:t> </w:t>
      </w:r>
    </w:p>
    <w:p>
      <w:pPr>
        <w:pStyle w:val="BodyText"/>
        <w:rPr>
          <w:sz w:val="18"/>
        </w:rPr>
      </w:pPr>
    </w:p>
    <w:p>
      <w:pPr>
        <w:pStyle w:val="ListParagraph"/>
        <w:numPr>
          <w:ilvl w:val="0"/>
          <w:numId w:val="759"/>
        </w:numPr>
        <w:tabs>
          <w:tab w:pos="1156" w:val="left" w:leader="none"/>
        </w:tabs>
        <w:spacing w:line="240" w:lineRule="auto" w:before="0" w:after="0"/>
        <w:ind w:left="1155" w:right="0" w:hanging="318"/>
        <w:jc w:val="left"/>
        <w:rPr>
          <w:sz w:val="21"/>
        </w:rPr>
      </w:pPr>
      <w:r>
        <w:rPr>
          <w:spacing w:val="-3"/>
          <w:sz w:val="21"/>
        </w:rPr>
        <w:t>竖向支撑应牢固且同心，支撑的所有部件和配件应在同一直线上</w:t>
      </w:r>
      <w:r>
        <w:rPr>
          <w:sz w:val="21"/>
        </w:rPr>
        <w:t> </w:t>
      </w:r>
    </w:p>
    <w:p>
      <w:pPr>
        <w:pStyle w:val="BodyText"/>
        <w:spacing w:before="1"/>
        <w:rPr>
          <w:sz w:val="18"/>
        </w:rPr>
      </w:pPr>
    </w:p>
    <w:p>
      <w:pPr>
        <w:pStyle w:val="ListParagraph"/>
        <w:numPr>
          <w:ilvl w:val="0"/>
          <w:numId w:val="759"/>
        </w:numPr>
        <w:tabs>
          <w:tab w:pos="1156" w:val="left" w:leader="none"/>
        </w:tabs>
        <w:spacing w:line="240" w:lineRule="auto" w:before="1" w:after="0"/>
        <w:ind w:left="1155" w:right="0" w:hanging="318"/>
        <w:jc w:val="left"/>
        <w:rPr>
          <w:sz w:val="21"/>
        </w:rPr>
      </w:pPr>
      <w:r>
        <w:rPr>
          <w:spacing w:val="-6"/>
          <w:sz w:val="21"/>
        </w:rPr>
        <w:t>对供水主管，竖向支撑的间距不应大于 </w:t>
      </w:r>
      <w:r>
        <w:rPr>
          <w:sz w:val="21"/>
        </w:rPr>
        <w:t>24m； </w:t>
      </w:r>
    </w:p>
    <w:p>
      <w:pPr>
        <w:pStyle w:val="BodyText"/>
        <w:spacing w:before="12"/>
        <w:rPr>
          <w:sz w:val="17"/>
        </w:rPr>
      </w:pPr>
    </w:p>
    <w:p>
      <w:pPr>
        <w:pStyle w:val="ListParagraph"/>
        <w:numPr>
          <w:ilvl w:val="0"/>
          <w:numId w:val="759"/>
        </w:numPr>
        <w:tabs>
          <w:tab w:pos="1156" w:val="left" w:leader="none"/>
        </w:tabs>
        <w:spacing w:line="240" w:lineRule="auto" w:before="0" w:after="0"/>
        <w:ind w:left="1155" w:right="0" w:hanging="318"/>
        <w:jc w:val="left"/>
        <w:rPr>
          <w:sz w:val="21"/>
        </w:rPr>
      </w:pPr>
      <w:r>
        <w:rPr>
          <w:spacing w:val="-3"/>
          <w:sz w:val="21"/>
        </w:rPr>
        <w:t>立管的顶部应采用四个方向的支撑固定；</w:t>
      </w:r>
      <w:r>
        <w:rPr>
          <w:sz w:val="21"/>
        </w:rPr>
        <w:t> </w:t>
      </w:r>
    </w:p>
    <w:p>
      <w:pPr>
        <w:pStyle w:val="BodyText"/>
        <w:spacing w:before="12"/>
        <w:rPr>
          <w:sz w:val="17"/>
        </w:rPr>
      </w:pPr>
    </w:p>
    <w:p>
      <w:pPr>
        <w:pStyle w:val="ListParagraph"/>
        <w:numPr>
          <w:ilvl w:val="0"/>
          <w:numId w:val="759"/>
        </w:numPr>
        <w:tabs>
          <w:tab w:pos="1156" w:val="left" w:leader="none"/>
        </w:tabs>
        <w:spacing w:line="240" w:lineRule="auto" w:before="0" w:after="0"/>
        <w:ind w:left="1155" w:right="0" w:hanging="318"/>
        <w:jc w:val="left"/>
        <w:rPr>
          <w:sz w:val="21"/>
        </w:rPr>
      </w:pPr>
      <w:r>
        <w:rPr>
          <w:spacing w:val="-6"/>
          <w:sz w:val="21"/>
        </w:rPr>
        <w:t>供水主管上的横向固定支架，其间距不应大于 </w:t>
      </w:r>
      <w:r>
        <w:rPr>
          <w:sz w:val="21"/>
        </w:rPr>
        <w:t>12m</w:t>
      </w:r>
      <w:r>
        <w:rPr>
          <w:spacing w:val="-3"/>
          <w:sz w:val="21"/>
        </w:rPr>
        <w:t>。</w:t>
      </w:r>
      <w:r>
        <w:rPr>
          <w:sz w:val="21"/>
        </w:rPr>
        <w:t> </w:t>
      </w:r>
    </w:p>
    <w:p>
      <w:pPr>
        <w:pStyle w:val="BodyText"/>
        <w:spacing w:before="2"/>
        <w:rPr>
          <w:sz w:val="18"/>
        </w:rPr>
      </w:pPr>
    </w:p>
    <w:p>
      <w:pPr>
        <w:pStyle w:val="BodyText"/>
        <w:spacing w:line="446" w:lineRule="auto"/>
        <w:ind w:left="838" w:right="5447"/>
      </w:pPr>
      <w:r>
        <w:rPr>
          <w:spacing w:val="-8"/>
        </w:rPr>
        <w:t>检查数量：按数量抽查 </w:t>
      </w:r>
      <w:r>
        <w:rPr/>
        <w:t>30</w:t>
      </w:r>
      <w:r>
        <w:rPr>
          <w:spacing w:val="-9"/>
        </w:rPr>
        <w:t>%，不应少于 </w:t>
      </w:r>
      <w:r>
        <w:rPr/>
        <w:t>10</w:t>
      </w:r>
      <w:r>
        <w:rPr>
          <w:spacing w:val="-18"/>
        </w:rPr>
        <w:t> 件。</w:t>
      </w:r>
      <w:r>
        <w:rPr>
          <w:spacing w:val="-7"/>
        </w:rPr>
        <w:t>检验方法：直观检查。</w:t>
      </w:r>
      <w:r>
        <w:rPr/>
        <w:t> </w:t>
      </w:r>
    </w:p>
    <w:p>
      <w:pPr>
        <w:pStyle w:val="ListParagraph"/>
        <w:numPr>
          <w:ilvl w:val="2"/>
          <w:numId w:val="756"/>
        </w:numPr>
        <w:tabs>
          <w:tab w:pos="1583" w:val="left" w:leader="none"/>
        </w:tabs>
        <w:spacing w:line="446" w:lineRule="auto" w:before="0" w:after="0"/>
        <w:ind w:left="418" w:right="1328" w:firstLine="422"/>
        <w:jc w:val="left"/>
        <w:rPr>
          <w:sz w:val="21"/>
        </w:rPr>
      </w:pPr>
      <w:r>
        <w:rPr>
          <w:spacing w:val="-3"/>
          <w:sz w:val="21"/>
        </w:rPr>
        <w:t>架空管道外应刷红色油漆或涂红色环圈标志，并应注明管道名称和水流方向标识。 </w:t>
      </w:r>
      <w:r>
        <w:rPr>
          <w:spacing w:val="-12"/>
          <w:sz w:val="21"/>
        </w:rPr>
        <w:t>红色环圈标志，宽度不应小于 </w:t>
      </w:r>
      <w:r>
        <w:rPr>
          <w:spacing w:val="-11"/>
          <w:sz w:val="21"/>
        </w:rPr>
        <w:t>20mm</w:t>
      </w:r>
      <w:r>
        <w:rPr>
          <w:spacing w:val="-10"/>
          <w:sz w:val="21"/>
        </w:rPr>
        <w:t>，间隔不宜大于 </w:t>
      </w:r>
      <w:r>
        <w:rPr>
          <w:spacing w:val="-16"/>
          <w:sz w:val="21"/>
        </w:rPr>
        <w:t>4m</w:t>
      </w:r>
      <w:r>
        <w:rPr>
          <w:spacing w:val="-8"/>
          <w:sz w:val="21"/>
        </w:rPr>
        <w:t>，在一个独立的单元内环圈不宜少于 </w:t>
      </w:r>
      <w:r>
        <w:rPr>
          <w:sz w:val="21"/>
        </w:rPr>
        <w:t>2</w:t>
      </w:r>
      <w:r>
        <w:rPr>
          <w:spacing w:val="-18"/>
          <w:sz w:val="21"/>
        </w:rPr>
        <w:t> 处。</w:t>
      </w:r>
      <w:r>
        <w:rPr>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838" w:right="5447"/>
      </w:pPr>
      <w:r>
        <w:rPr>
          <w:spacing w:val="-8"/>
        </w:rPr>
        <w:t>检查数量：按数量抽查 </w:t>
      </w:r>
      <w:r>
        <w:rPr/>
        <w:t>30</w:t>
      </w:r>
      <w:r>
        <w:rPr>
          <w:spacing w:val="-9"/>
        </w:rPr>
        <w:t>%，不应少于 </w:t>
      </w:r>
      <w:r>
        <w:rPr/>
        <w:t>10</w:t>
      </w:r>
      <w:r>
        <w:rPr>
          <w:spacing w:val="-18"/>
        </w:rPr>
        <w:t> 件。</w:t>
      </w:r>
      <w:r>
        <w:rPr>
          <w:spacing w:val="-7"/>
        </w:rPr>
        <w:t>检验方法：直观检查。</w:t>
      </w:r>
      <w:r>
        <w:rPr/>
        <w:t> </w:t>
      </w:r>
    </w:p>
    <w:p>
      <w:pPr>
        <w:pStyle w:val="ListParagraph"/>
        <w:numPr>
          <w:ilvl w:val="2"/>
          <w:numId w:val="756"/>
        </w:numPr>
        <w:tabs>
          <w:tab w:pos="1583" w:val="left" w:leader="none"/>
        </w:tabs>
        <w:spacing w:line="267" w:lineRule="exact" w:before="0" w:after="0"/>
        <w:ind w:left="1582" w:right="0" w:hanging="743"/>
        <w:jc w:val="left"/>
        <w:rPr>
          <w:sz w:val="21"/>
        </w:rPr>
      </w:pPr>
      <w:r>
        <w:rPr>
          <w:spacing w:val="-3"/>
          <w:sz w:val="21"/>
        </w:rPr>
        <w:t>消防给水系统阀门的安装应符合下列要求： </w:t>
      </w:r>
    </w:p>
    <w:p>
      <w:pPr>
        <w:pStyle w:val="BodyText"/>
        <w:spacing w:before="2"/>
        <w:rPr>
          <w:sz w:val="18"/>
        </w:rPr>
      </w:pPr>
    </w:p>
    <w:p>
      <w:pPr>
        <w:pStyle w:val="BodyText"/>
        <w:ind w:left="838"/>
      </w:pPr>
      <w:r>
        <w:rPr/>
        <w:t>各类阀门型号、规格及公称压力应符合设计要求。 </w:t>
      </w:r>
    </w:p>
    <w:p>
      <w:pPr>
        <w:pStyle w:val="BodyText"/>
        <w:rPr>
          <w:sz w:val="18"/>
        </w:rPr>
      </w:pPr>
    </w:p>
    <w:p>
      <w:pPr>
        <w:pStyle w:val="BodyText"/>
        <w:spacing w:line="446" w:lineRule="auto"/>
        <w:ind w:left="418" w:right="1410" w:firstLine="419"/>
      </w:pPr>
      <w:r>
        <w:rPr/>
        <w:t>阀门的设置应便于安装维修和操作，且安装空间应能满足阀门完全启闭的要求，并应作出标志； </w:t>
      </w:r>
    </w:p>
    <w:p>
      <w:pPr>
        <w:pStyle w:val="BodyText"/>
        <w:ind w:left="838"/>
      </w:pPr>
      <w:r>
        <w:rPr/>
        <w:t>阀门应有明显的启闭标志； </w:t>
      </w:r>
    </w:p>
    <w:p>
      <w:pPr>
        <w:pStyle w:val="BodyText"/>
        <w:rPr>
          <w:sz w:val="18"/>
        </w:rPr>
      </w:pPr>
    </w:p>
    <w:p>
      <w:pPr>
        <w:pStyle w:val="BodyText"/>
        <w:spacing w:line="446" w:lineRule="auto"/>
        <w:ind w:left="838" w:right="1925"/>
      </w:pPr>
      <w:r>
        <w:rPr>
          <w:spacing w:val="-3"/>
        </w:rPr>
        <w:t>消防给水系统干管与水灭火系统连接处应设置独立阀门，并应保证各系统独立使用。检查数量：全部检查。</w:t>
      </w:r>
      <w:r>
        <w:rPr/>
        <w:t> </w:t>
      </w:r>
    </w:p>
    <w:p>
      <w:pPr>
        <w:pStyle w:val="BodyText"/>
        <w:ind w:left="838"/>
      </w:pPr>
      <w:r>
        <w:rPr>
          <w:spacing w:val="-3"/>
        </w:rPr>
        <w:t>检查方法：直观检查。</w:t>
      </w:r>
      <w:r>
        <w:rPr/>
        <w:t> </w:t>
      </w:r>
    </w:p>
    <w:p>
      <w:pPr>
        <w:pStyle w:val="BodyText"/>
        <w:spacing w:before="12"/>
        <w:rPr>
          <w:sz w:val="17"/>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消防给水系统减压阀的安装应符合下列要求：</w:t>
      </w:r>
      <w:r>
        <w:rPr>
          <w:sz w:val="21"/>
        </w:rPr>
        <w:t> </w:t>
      </w:r>
    </w:p>
    <w:p>
      <w:pPr>
        <w:pStyle w:val="BodyText"/>
        <w:spacing w:before="12"/>
        <w:rPr>
          <w:sz w:val="17"/>
        </w:rPr>
      </w:pPr>
    </w:p>
    <w:p>
      <w:pPr>
        <w:pStyle w:val="BodyText"/>
        <w:spacing w:line="446" w:lineRule="auto"/>
        <w:ind w:left="838" w:right="3606"/>
      </w:pPr>
      <w:r>
        <w:rPr/>
        <w:t>安装位置处的减压阀的型号、规格、压力、流量应符合设计要求； 减压阀安装应在供水管网试压、冲洗合格后进行； </w:t>
      </w:r>
    </w:p>
    <w:p>
      <w:pPr>
        <w:pStyle w:val="BodyText"/>
        <w:spacing w:line="446" w:lineRule="auto" w:before="1"/>
        <w:ind w:left="838" w:right="5497"/>
      </w:pPr>
      <w:r>
        <w:rPr/>
        <w:t>减压阀水流方向应与供水管网水流方向一致； 减压阀前应有过滤器； </w:t>
      </w:r>
    </w:p>
    <w:p>
      <w:pPr>
        <w:pStyle w:val="BodyText"/>
        <w:ind w:left="838"/>
      </w:pPr>
      <w:r>
        <w:rPr/>
        <w:t>减压阀前后应安装压力表； </w:t>
      </w:r>
    </w:p>
    <w:p>
      <w:pPr>
        <w:pStyle w:val="BodyText"/>
        <w:spacing w:before="12"/>
        <w:rPr>
          <w:sz w:val="17"/>
        </w:rPr>
      </w:pPr>
    </w:p>
    <w:p>
      <w:pPr>
        <w:pStyle w:val="BodyText"/>
        <w:spacing w:line="446" w:lineRule="auto"/>
        <w:ind w:left="838" w:right="6337"/>
      </w:pPr>
      <w:r>
        <w:rPr/>
        <w:t>减压阀处应有压力试验用排水设施。检查数量：全数检查。 </w:t>
      </w:r>
    </w:p>
    <w:p>
      <w:pPr>
        <w:pStyle w:val="BodyText"/>
        <w:ind w:left="838"/>
      </w:pPr>
      <w:r>
        <w:rPr/>
        <w:t>检验方法：核实设计图、核对产品的性能检验报告、直观检查。 </w:t>
      </w:r>
    </w:p>
    <w:p>
      <w:pPr>
        <w:pStyle w:val="BodyText"/>
        <w:rPr>
          <w:sz w:val="18"/>
        </w:rPr>
      </w:pPr>
    </w:p>
    <w:p>
      <w:pPr>
        <w:pStyle w:val="ListParagraph"/>
        <w:numPr>
          <w:ilvl w:val="2"/>
          <w:numId w:val="756"/>
        </w:numPr>
        <w:tabs>
          <w:tab w:pos="1635" w:val="left" w:leader="none"/>
        </w:tabs>
        <w:spacing w:line="240" w:lineRule="auto" w:before="0" w:after="0"/>
        <w:ind w:left="1634" w:right="0" w:hanging="795"/>
        <w:jc w:val="left"/>
        <w:rPr>
          <w:sz w:val="21"/>
        </w:rPr>
      </w:pPr>
      <w:r>
        <w:rPr>
          <w:spacing w:val="-3"/>
          <w:sz w:val="21"/>
        </w:rPr>
        <w:t>控制柜的安装应符合下列要求：</w:t>
      </w:r>
      <w:r>
        <w:rPr>
          <w:sz w:val="21"/>
        </w:rPr>
        <w:t> </w:t>
      </w:r>
    </w:p>
    <w:p>
      <w:pPr>
        <w:pStyle w:val="BodyText"/>
        <w:spacing w:before="12"/>
        <w:rPr>
          <w:sz w:val="17"/>
        </w:rPr>
      </w:pPr>
    </w:p>
    <w:p>
      <w:pPr>
        <w:pStyle w:val="BodyText"/>
        <w:ind w:left="838"/>
      </w:pPr>
      <w:r>
        <w:rPr/>
        <w:t>控制柜的基座其水平度误差不大于±2mm，并应做防腐处理及防水措施； </w:t>
      </w:r>
    </w:p>
    <w:p>
      <w:pPr>
        <w:pStyle w:val="BodyText"/>
        <w:spacing w:before="2"/>
        <w:rPr>
          <w:sz w:val="18"/>
        </w:rPr>
      </w:pPr>
    </w:p>
    <w:p>
      <w:pPr>
        <w:pStyle w:val="BodyText"/>
        <w:spacing w:line="446" w:lineRule="auto"/>
        <w:ind w:left="838" w:right="2662"/>
      </w:pPr>
      <w:r>
        <w:rPr/>
        <w:t>控制柜与基座应采用不小于ф12mm 的螺栓固定，每只柜不应少于 4 只螺栓； 做控制柜的上下进出线口时，不应破坏控制柜的防护等级。 </w:t>
      </w:r>
    </w:p>
    <w:p>
      <w:pPr>
        <w:pStyle w:val="BodyText"/>
        <w:spacing w:line="446" w:lineRule="auto"/>
        <w:ind w:left="838" w:right="7600"/>
        <w:jc w:val="both"/>
        <w:rPr>
          <w:b/>
        </w:rPr>
      </w:pPr>
      <w:r>
        <w:rPr/>
        <w:t>检查数量：全部检查。检查方法：直观检查。</w:t>
      </w:r>
      <w:r>
        <w:rPr>
          <w:b/>
        </w:rPr>
        <w:t>12.4 </w:t>
      </w:r>
      <w:r>
        <w:rPr/>
        <w:t>试压和冲洗</w:t>
      </w:r>
      <w:r>
        <w:rPr>
          <w:b/>
          <w:w w:val="99"/>
        </w:rPr>
        <w:t> </w:t>
      </w:r>
    </w:p>
    <w:p>
      <w:pPr>
        <w:pStyle w:val="ListParagraph"/>
        <w:numPr>
          <w:ilvl w:val="2"/>
          <w:numId w:val="760"/>
        </w:numPr>
        <w:tabs>
          <w:tab w:pos="1530" w:val="left" w:leader="none"/>
        </w:tabs>
        <w:spacing w:line="446" w:lineRule="auto" w:before="0" w:after="0"/>
        <w:ind w:left="838" w:right="4026" w:firstLine="2"/>
        <w:jc w:val="both"/>
        <w:rPr>
          <w:sz w:val="21"/>
        </w:rPr>
      </w:pPr>
      <w:r>
        <w:rPr>
          <w:spacing w:val="-3"/>
          <w:sz w:val="21"/>
        </w:rPr>
        <w:t>消防给水及消火栓系统试压和冲洗应符合下列要求： 管网安装完毕后，应对其进行强度试验、冲洗和严密性试验；</w:t>
      </w:r>
      <w:r>
        <w:rPr>
          <w:sz w:val="21"/>
        </w:rPr>
        <w:t> </w:t>
      </w:r>
    </w:p>
    <w:p>
      <w:pPr>
        <w:spacing w:after="0" w:line="446" w:lineRule="auto"/>
        <w:jc w:val="both"/>
        <w:rPr>
          <w:sz w:val="21"/>
        </w:rPr>
        <w:sectPr>
          <w:pgSz w:w="11910" w:h="16850"/>
          <w:pgMar w:header="0" w:footer="1239" w:top="1220" w:bottom="1420" w:left="1260" w:right="0"/>
        </w:sectPr>
      </w:pPr>
    </w:p>
    <w:p>
      <w:pPr>
        <w:pStyle w:val="BodyText"/>
        <w:spacing w:before="47"/>
        <w:ind w:left="838"/>
      </w:pPr>
      <w:r>
        <w:rPr/>
        <w:t>强度试验和严密性试验宜用水进行。干式消火栓系统应做水压试验和气压试验； </w:t>
      </w:r>
    </w:p>
    <w:p>
      <w:pPr>
        <w:pStyle w:val="BodyText"/>
        <w:rPr>
          <w:sz w:val="18"/>
        </w:rPr>
      </w:pPr>
    </w:p>
    <w:p>
      <w:pPr>
        <w:pStyle w:val="BodyText"/>
        <w:spacing w:line="446" w:lineRule="auto"/>
        <w:ind w:left="418" w:right="1609" w:firstLine="419"/>
      </w:pPr>
      <w:r>
        <w:rPr/>
        <w:t>系统试压完成后，应及时拆除所有临时盲板及试验用的管道，并应与记录核对无误，且应按本规范表 C.0.2 的格式填写记录； </w:t>
      </w:r>
    </w:p>
    <w:p>
      <w:pPr>
        <w:pStyle w:val="BodyText"/>
        <w:spacing w:line="446" w:lineRule="auto"/>
        <w:ind w:left="418" w:right="1609" w:firstLine="419"/>
      </w:pPr>
      <w:r>
        <w:rPr/>
        <w:t>管网冲洗应在试压合格后分段进行。冲洗顺序应先室外，后室内；先地下，后地上；室内部分的冲洗应按供水干管、水平管和立管的顺序进行； </w:t>
      </w:r>
    </w:p>
    <w:p>
      <w:pPr>
        <w:pStyle w:val="BodyText"/>
        <w:spacing w:line="267" w:lineRule="exact"/>
        <w:ind w:left="838"/>
      </w:pPr>
      <w:r>
        <w:rPr/>
        <w:t>系统试压前应具备下列条件： </w:t>
      </w:r>
    </w:p>
    <w:p>
      <w:pPr>
        <w:pStyle w:val="BodyText"/>
        <w:spacing w:before="2"/>
        <w:rPr>
          <w:sz w:val="18"/>
        </w:rPr>
      </w:pPr>
    </w:p>
    <w:p>
      <w:pPr>
        <w:pStyle w:val="BodyText"/>
        <w:ind w:left="838"/>
      </w:pPr>
      <w:r>
        <w:rPr/>
        <w:t>1 埋地管道的位置及管道基础、支墩等经复查应符合设计要求； </w:t>
      </w:r>
    </w:p>
    <w:p>
      <w:pPr>
        <w:pStyle w:val="BodyText"/>
        <w:rPr>
          <w:sz w:val="18"/>
        </w:rPr>
      </w:pPr>
    </w:p>
    <w:p>
      <w:pPr>
        <w:pStyle w:val="ListParagraph"/>
        <w:numPr>
          <w:ilvl w:val="0"/>
          <w:numId w:val="761"/>
        </w:numPr>
        <w:tabs>
          <w:tab w:pos="1156" w:val="left" w:leader="none"/>
        </w:tabs>
        <w:spacing w:line="240" w:lineRule="auto" w:before="0" w:after="0"/>
        <w:ind w:left="1155" w:right="0" w:hanging="318"/>
        <w:jc w:val="left"/>
        <w:rPr>
          <w:sz w:val="21"/>
        </w:rPr>
      </w:pPr>
      <w:r>
        <w:rPr>
          <w:spacing w:val="-8"/>
          <w:sz w:val="21"/>
        </w:rPr>
        <w:t>试压用的压力表不应少于 </w:t>
      </w:r>
      <w:r>
        <w:rPr>
          <w:sz w:val="21"/>
        </w:rPr>
        <w:t>2</w:t>
      </w:r>
      <w:r>
        <w:rPr>
          <w:spacing w:val="-14"/>
          <w:sz w:val="21"/>
        </w:rPr>
        <w:t> 只；精度不应低于 </w:t>
      </w:r>
      <w:r>
        <w:rPr>
          <w:sz w:val="21"/>
        </w:rPr>
        <w:t>1.5</w:t>
      </w:r>
      <w:r>
        <w:rPr>
          <w:spacing w:val="-12"/>
          <w:sz w:val="21"/>
        </w:rPr>
        <w:t> 级，量程应为试验压力值的 </w:t>
      </w:r>
      <w:r>
        <w:rPr>
          <w:sz w:val="21"/>
        </w:rPr>
        <w:t>1.5</w:t>
      </w:r>
      <w:r>
        <w:rPr>
          <w:spacing w:val="-28"/>
          <w:sz w:val="21"/>
        </w:rPr>
        <w:t> 倍</w:t>
      </w:r>
      <w:r>
        <w:rPr>
          <w:spacing w:val="-3"/>
          <w:sz w:val="21"/>
        </w:rPr>
        <w:t>～</w:t>
      </w:r>
    </w:p>
    <w:p>
      <w:pPr>
        <w:pStyle w:val="BodyText"/>
        <w:spacing w:before="12"/>
        <w:rPr>
          <w:sz w:val="17"/>
        </w:rPr>
      </w:pPr>
    </w:p>
    <w:p>
      <w:pPr>
        <w:pStyle w:val="BodyText"/>
        <w:ind w:left="418"/>
      </w:pPr>
      <w:r>
        <w:rPr/>
        <w:t>2 倍； </w:t>
      </w:r>
    </w:p>
    <w:p>
      <w:pPr>
        <w:pStyle w:val="BodyText"/>
        <w:spacing w:before="2"/>
        <w:rPr>
          <w:sz w:val="18"/>
        </w:rPr>
      </w:pPr>
    </w:p>
    <w:p>
      <w:pPr>
        <w:pStyle w:val="ListParagraph"/>
        <w:numPr>
          <w:ilvl w:val="0"/>
          <w:numId w:val="761"/>
        </w:numPr>
        <w:tabs>
          <w:tab w:pos="1156" w:val="left" w:leader="none"/>
        </w:tabs>
        <w:spacing w:line="240" w:lineRule="auto" w:before="0" w:after="0"/>
        <w:ind w:left="1155" w:right="0" w:hanging="318"/>
        <w:jc w:val="left"/>
        <w:rPr>
          <w:sz w:val="21"/>
        </w:rPr>
      </w:pPr>
      <w:r>
        <w:rPr>
          <w:spacing w:val="-3"/>
          <w:sz w:val="21"/>
        </w:rPr>
        <w:t>试压冲洗方案已经批准； </w:t>
      </w:r>
    </w:p>
    <w:p>
      <w:pPr>
        <w:pStyle w:val="BodyText"/>
        <w:rPr>
          <w:sz w:val="18"/>
        </w:rPr>
      </w:pPr>
    </w:p>
    <w:p>
      <w:pPr>
        <w:pStyle w:val="ListParagraph"/>
        <w:numPr>
          <w:ilvl w:val="0"/>
          <w:numId w:val="761"/>
        </w:numPr>
        <w:tabs>
          <w:tab w:pos="1156" w:val="left" w:leader="none"/>
        </w:tabs>
        <w:spacing w:line="446" w:lineRule="auto" w:before="0" w:after="0"/>
        <w:ind w:left="418" w:right="1505" w:firstLine="419"/>
        <w:jc w:val="left"/>
        <w:rPr>
          <w:sz w:val="21"/>
        </w:rPr>
      </w:pPr>
      <w:r>
        <w:rPr>
          <w:spacing w:val="-3"/>
          <w:sz w:val="21"/>
        </w:rPr>
        <w:t>对不能参与试压的设备、仪表、阀门及附件应加以隔离或拆除；加设的临时盲板应具有突出于法兰的边耳，且应做明显标志，并记录临时盲板的数量。</w:t>
      </w:r>
      <w:r>
        <w:rPr>
          <w:sz w:val="21"/>
        </w:rPr>
        <w:t> </w:t>
      </w:r>
    </w:p>
    <w:p>
      <w:pPr>
        <w:pStyle w:val="BodyText"/>
        <w:spacing w:line="446" w:lineRule="auto"/>
        <w:ind w:left="418" w:right="1817" w:firstLine="419"/>
      </w:pPr>
      <w:r>
        <w:rPr/>
        <w:t>系统试压过程中，当出现泄漏时，应停止试压，并应放空管网中的试验介质，消除缺陷后，应重新再试； </w:t>
      </w:r>
    </w:p>
    <w:p>
      <w:pPr>
        <w:pStyle w:val="BodyText"/>
        <w:spacing w:line="267" w:lineRule="exact"/>
        <w:ind w:left="838"/>
      </w:pPr>
      <w:r>
        <w:rPr/>
        <w:t>管网冲冼宜用水进行。冲洗前，应对系统的仪表采取保护措施； </w:t>
      </w:r>
    </w:p>
    <w:p>
      <w:pPr>
        <w:pStyle w:val="BodyText"/>
        <w:spacing w:before="1"/>
        <w:rPr>
          <w:sz w:val="18"/>
        </w:rPr>
      </w:pPr>
    </w:p>
    <w:p>
      <w:pPr>
        <w:pStyle w:val="BodyText"/>
        <w:spacing w:line="446" w:lineRule="auto" w:before="1"/>
        <w:ind w:left="838" w:right="2554"/>
      </w:pPr>
      <w:r>
        <w:rPr>
          <w:spacing w:val="-3"/>
        </w:rPr>
        <w:t>冲洗前，应对管道防晃支架、支吊架等进行检查，必要时应采取加固措施；  对不能经受冲冼的设备和冲冼后可能存留脏物、杂物的管段，应进行清理；  </w:t>
      </w:r>
      <w:r>
        <w:rPr>
          <w:spacing w:val="-8"/>
        </w:rPr>
        <w:t>冲洗管道直径大于 </w:t>
      </w:r>
      <w:r>
        <w:rPr/>
        <w:t>DN100</w:t>
      </w:r>
      <w:r>
        <w:rPr>
          <w:spacing w:val="-8"/>
        </w:rPr>
        <w:t> 时，应对其死角和底部进行振动，但不应损伤管道； </w:t>
      </w:r>
      <w:r>
        <w:rPr>
          <w:spacing w:val="-9"/>
        </w:rPr>
        <w:t>管网冲洗合格后，应按本规范表 </w:t>
      </w:r>
      <w:r>
        <w:rPr/>
        <w:t>C.0.3</w:t>
      </w:r>
      <w:r>
        <w:rPr>
          <w:spacing w:val="-9"/>
        </w:rPr>
        <w:t> 的要求填写记录；</w:t>
      </w:r>
      <w:r>
        <w:rPr/>
        <w:t> </w:t>
      </w:r>
    </w:p>
    <w:p>
      <w:pPr>
        <w:pStyle w:val="BodyText"/>
        <w:spacing w:line="446" w:lineRule="auto"/>
        <w:ind w:left="838" w:right="1925"/>
      </w:pPr>
      <w:r>
        <w:rPr>
          <w:spacing w:val="-3"/>
        </w:rPr>
        <w:t>水压试验和水冲洗宜采用生活用水进行，不应使用海水或含有腐蚀性化学物质的水。检查数量：全数检查。</w:t>
      </w:r>
      <w:r>
        <w:rPr/>
        <w:t> </w:t>
      </w:r>
    </w:p>
    <w:p>
      <w:pPr>
        <w:pStyle w:val="BodyText"/>
        <w:ind w:left="838"/>
      </w:pPr>
      <w:r>
        <w:rPr>
          <w:spacing w:val="-3"/>
        </w:rPr>
        <w:t>检查方法：直观检查。</w:t>
      </w:r>
      <w:r>
        <w:rPr/>
        <w:t> </w:t>
      </w:r>
    </w:p>
    <w:p>
      <w:pPr>
        <w:pStyle w:val="BodyText"/>
        <w:spacing w:before="10"/>
        <w:rPr>
          <w:sz w:val="17"/>
        </w:rPr>
      </w:pPr>
    </w:p>
    <w:p>
      <w:pPr>
        <w:pStyle w:val="ListParagraph"/>
        <w:numPr>
          <w:ilvl w:val="2"/>
          <w:numId w:val="760"/>
        </w:numPr>
        <w:tabs>
          <w:tab w:pos="1530" w:val="left" w:leader="none"/>
        </w:tabs>
        <w:spacing w:line="446" w:lineRule="auto" w:before="0" w:after="0"/>
        <w:ind w:left="838" w:right="3445" w:firstLine="2"/>
        <w:jc w:val="left"/>
        <w:rPr>
          <w:sz w:val="21"/>
        </w:rPr>
      </w:pPr>
      <w:r>
        <w:rPr>
          <w:spacing w:val="-6"/>
          <w:sz w:val="21"/>
        </w:rPr>
        <w:t>压力管道水压强度试验的试验压力应符合表 </w:t>
      </w:r>
      <w:r>
        <w:rPr>
          <w:sz w:val="21"/>
        </w:rPr>
        <w:t>12.4.2</w:t>
      </w:r>
      <w:r>
        <w:rPr>
          <w:spacing w:val="-12"/>
          <w:sz w:val="21"/>
        </w:rPr>
        <w:t> 的规定。</w:t>
      </w:r>
      <w:r>
        <w:rPr>
          <w:spacing w:val="-3"/>
          <w:sz w:val="21"/>
        </w:rPr>
        <w:t>检查数量：全数检查。</w:t>
      </w:r>
      <w:r>
        <w:rPr>
          <w:sz w:val="21"/>
        </w:rPr>
        <w:t> </w:t>
      </w:r>
    </w:p>
    <w:p>
      <w:pPr>
        <w:pStyle w:val="BodyText"/>
        <w:ind w:left="838"/>
      </w:pPr>
      <w:r>
        <w:rPr/>
        <w:t>检查方法：直观检查。 </w:t>
      </w:r>
    </w:p>
    <w:p>
      <w:pPr>
        <w:pStyle w:val="BodyText"/>
        <w:spacing w:before="12"/>
        <w:rPr>
          <w:sz w:val="17"/>
        </w:rPr>
      </w:pPr>
    </w:p>
    <w:p>
      <w:pPr>
        <w:pStyle w:val="Heading6"/>
        <w:ind w:left="2941"/>
        <w:rPr>
          <w:b w:val="0"/>
        </w:rPr>
      </w:pPr>
      <w:r>
        <w:rPr/>
        <w:t>表 12.4.2 压力管道水压强度试验的试验压力</w:t>
      </w:r>
      <w:r>
        <w:rPr>
          <w:b w:val="0"/>
          <w:w w:val="100"/>
        </w:rPr>
        <w:t> </w:t>
      </w:r>
    </w:p>
    <w:p>
      <w:pPr>
        <w:spacing w:after="0"/>
        <w:sectPr>
          <w:footerReference w:type="default" r:id="rId417"/>
          <w:pgSz w:w="11910" w:h="16850"/>
          <w:pgMar w:footer="1239" w:header="0" w:top="1220" w:bottom="1420" w:left="1260" w:right="0"/>
          <w:pgNumType w:start="1380"/>
        </w:sectPr>
      </w:pPr>
    </w:p>
    <w:p>
      <w:pPr>
        <w:pStyle w:val="BodyText"/>
        <w:ind w:left="582"/>
        <w:rPr>
          <w:sz w:val="20"/>
        </w:rPr>
      </w:pPr>
      <w:r>
        <w:rPr>
          <w:sz w:val="20"/>
        </w:rPr>
        <w:drawing>
          <wp:inline distT="0" distB="0" distL="0" distR="0">
            <wp:extent cx="4996814" cy="1962150"/>
            <wp:effectExtent l="0" t="0" r="0" b="0"/>
            <wp:docPr id="599" name="image346.jpeg"/>
            <wp:cNvGraphicFramePr>
              <a:graphicFrameLocks noChangeAspect="1"/>
            </wp:cNvGraphicFramePr>
            <a:graphic>
              <a:graphicData uri="http://schemas.openxmlformats.org/drawingml/2006/picture">
                <pic:pic>
                  <pic:nvPicPr>
                    <pic:cNvPr id="600" name="image346.jpeg"/>
                    <pic:cNvPicPr/>
                  </pic:nvPicPr>
                  <pic:blipFill>
                    <a:blip r:embed="rId418" cstate="print"/>
                    <a:stretch>
                      <a:fillRect/>
                    </a:stretch>
                  </pic:blipFill>
                  <pic:spPr>
                    <a:xfrm>
                      <a:off x="0" y="0"/>
                      <a:ext cx="4996814" cy="1962150"/>
                    </a:xfrm>
                    <a:prstGeom prst="rect">
                      <a:avLst/>
                    </a:prstGeom>
                  </pic:spPr>
                </pic:pic>
              </a:graphicData>
            </a:graphic>
          </wp:inline>
        </w:drawing>
      </w:r>
      <w:r>
        <w:rPr>
          <w:sz w:val="20"/>
        </w:rPr>
      </w:r>
    </w:p>
    <w:p>
      <w:pPr>
        <w:pStyle w:val="BodyText"/>
        <w:rPr>
          <w:sz w:val="9"/>
        </w:rPr>
      </w:pPr>
    </w:p>
    <w:p>
      <w:pPr>
        <w:pStyle w:val="ListParagraph"/>
        <w:numPr>
          <w:ilvl w:val="2"/>
          <w:numId w:val="760"/>
        </w:numPr>
        <w:tabs>
          <w:tab w:pos="1530" w:val="left" w:leader="none"/>
        </w:tabs>
        <w:spacing w:line="446" w:lineRule="auto" w:before="72" w:after="0"/>
        <w:ind w:left="418" w:right="1549" w:firstLine="422"/>
        <w:jc w:val="both"/>
        <w:rPr>
          <w:sz w:val="21"/>
        </w:rPr>
      </w:pPr>
      <w:r>
        <w:rPr>
          <w:spacing w:val="-3"/>
          <w:sz w:val="21"/>
        </w:rPr>
        <w:t>水压强度试验的测试点应设在系统管网的最低点。对管网注水时，应将管网内的空</w:t>
      </w:r>
      <w:r>
        <w:rPr>
          <w:spacing w:val="-5"/>
          <w:sz w:val="21"/>
        </w:rPr>
        <w:t>气排净，并应缓慢升压，达到试验压力后，稳压 </w:t>
      </w:r>
      <w:r>
        <w:rPr>
          <w:sz w:val="21"/>
        </w:rPr>
        <w:t>30min</w:t>
      </w:r>
      <w:r>
        <w:rPr>
          <w:spacing w:val="-8"/>
          <w:sz w:val="21"/>
        </w:rPr>
        <w:t> 后，管网应无泄漏、无变形，且压力降</w:t>
      </w:r>
      <w:r>
        <w:rPr>
          <w:spacing w:val="-5"/>
          <w:sz w:val="21"/>
        </w:rPr>
        <w:t>不应大于 </w:t>
      </w:r>
      <w:r>
        <w:rPr>
          <w:sz w:val="21"/>
        </w:rPr>
        <w:t>0.05MPa</w:t>
      </w:r>
      <w:r>
        <w:rPr>
          <w:spacing w:val="-3"/>
          <w:sz w:val="21"/>
        </w:rPr>
        <w:t>。</w:t>
      </w:r>
      <w:r>
        <w:rPr>
          <w:sz w:val="21"/>
        </w:rPr>
        <w:t> </w:t>
      </w:r>
    </w:p>
    <w:p>
      <w:pPr>
        <w:pStyle w:val="BodyText"/>
        <w:spacing w:line="446" w:lineRule="auto"/>
        <w:ind w:left="838" w:right="7600"/>
      </w:pPr>
      <w:r>
        <w:rPr/>
        <w:t>检查数量：全数检查。检查方法：直观检查。 </w:t>
      </w:r>
    </w:p>
    <w:p>
      <w:pPr>
        <w:pStyle w:val="ListParagraph"/>
        <w:numPr>
          <w:ilvl w:val="2"/>
          <w:numId w:val="760"/>
        </w:numPr>
        <w:tabs>
          <w:tab w:pos="1530" w:val="left" w:leader="none"/>
        </w:tabs>
        <w:spacing w:line="446" w:lineRule="auto" w:before="0" w:after="0"/>
        <w:ind w:left="418" w:right="1549" w:firstLine="422"/>
        <w:jc w:val="left"/>
        <w:rPr>
          <w:sz w:val="21"/>
        </w:rPr>
      </w:pPr>
      <w:r>
        <w:rPr>
          <w:spacing w:val="-3"/>
          <w:sz w:val="21"/>
        </w:rPr>
        <w:t>水压严密性试验应在水压强度试验和管网冲洗合格后进行。试验压力应为系统工作</w:t>
      </w:r>
      <w:r>
        <w:rPr>
          <w:spacing w:val="-12"/>
          <w:sz w:val="21"/>
        </w:rPr>
        <w:t>压力，稳压 </w:t>
      </w:r>
      <w:r>
        <w:rPr>
          <w:sz w:val="21"/>
        </w:rPr>
        <w:t>24h</w:t>
      </w:r>
      <w:r>
        <w:rPr>
          <w:spacing w:val="-3"/>
          <w:sz w:val="21"/>
        </w:rPr>
        <w:t>，应无泄漏。 </w:t>
      </w:r>
    </w:p>
    <w:p>
      <w:pPr>
        <w:pStyle w:val="BodyText"/>
        <w:spacing w:line="446" w:lineRule="auto"/>
        <w:ind w:left="838" w:right="7600"/>
      </w:pPr>
      <w:r>
        <w:rPr/>
        <w:t>检查数量：全数检查。检查方法：直观检查。 </w:t>
      </w:r>
    </w:p>
    <w:p>
      <w:pPr>
        <w:pStyle w:val="ListParagraph"/>
        <w:numPr>
          <w:ilvl w:val="2"/>
          <w:numId w:val="760"/>
        </w:numPr>
        <w:tabs>
          <w:tab w:pos="1530" w:val="left" w:leader="none"/>
        </w:tabs>
        <w:spacing w:line="240" w:lineRule="auto" w:before="0" w:after="0"/>
        <w:ind w:left="1529" w:right="0" w:hanging="690"/>
        <w:jc w:val="left"/>
        <w:rPr>
          <w:sz w:val="21"/>
        </w:rPr>
      </w:pPr>
      <w:r>
        <w:rPr>
          <w:spacing w:val="-7"/>
          <w:sz w:val="21"/>
        </w:rPr>
        <w:t>水压试验时环境温度不宜低于 </w:t>
      </w:r>
      <w:r>
        <w:rPr>
          <w:sz w:val="21"/>
        </w:rPr>
        <w:t>5</w:t>
      </w:r>
      <w:r>
        <w:rPr>
          <w:spacing w:val="-10"/>
          <w:sz w:val="21"/>
        </w:rPr>
        <w:t>℃，当低于 </w:t>
      </w:r>
      <w:r>
        <w:rPr>
          <w:sz w:val="21"/>
        </w:rPr>
        <w:t>5</w:t>
      </w:r>
      <w:r>
        <w:rPr>
          <w:spacing w:val="-3"/>
          <w:sz w:val="21"/>
        </w:rPr>
        <w:t>℃时，水压试验应采取防冻措施。</w:t>
      </w:r>
      <w:r>
        <w:rPr>
          <w:sz w:val="21"/>
        </w:rPr>
        <w:t> </w:t>
      </w:r>
    </w:p>
    <w:p>
      <w:pPr>
        <w:pStyle w:val="BodyText"/>
        <w:spacing w:before="9"/>
        <w:rPr>
          <w:sz w:val="17"/>
        </w:rPr>
      </w:pPr>
    </w:p>
    <w:p>
      <w:pPr>
        <w:pStyle w:val="BodyText"/>
        <w:ind w:left="838"/>
      </w:pPr>
      <w:r>
        <w:rPr/>
        <w:t>检查数量：全数检查。 </w:t>
      </w:r>
    </w:p>
    <w:p>
      <w:pPr>
        <w:pStyle w:val="BodyText"/>
        <w:rPr>
          <w:sz w:val="18"/>
        </w:rPr>
      </w:pPr>
    </w:p>
    <w:p>
      <w:pPr>
        <w:pStyle w:val="BodyText"/>
        <w:ind w:left="838"/>
      </w:pPr>
      <w:r>
        <w:rPr/>
        <w:t>检查方法：用温度计检查。 </w:t>
      </w:r>
    </w:p>
    <w:p>
      <w:pPr>
        <w:pStyle w:val="BodyText"/>
        <w:spacing w:before="1"/>
        <w:rPr>
          <w:sz w:val="18"/>
        </w:rPr>
      </w:pPr>
    </w:p>
    <w:p>
      <w:pPr>
        <w:pStyle w:val="ListParagraph"/>
        <w:numPr>
          <w:ilvl w:val="2"/>
          <w:numId w:val="760"/>
        </w:numPr>
        <w:tabs>
          <w:tab w:pos="1530" w:val="left" w:leader="none"/>
        </w:tabs>
        <w:spacing w:line="446" w:lineRule="auto" w:before="1" w:after="0"/>
        <w:ind w:left="418" w:right="1549" w:firstLine="422"/>
        <w:jc w:val="left"/>
        <w:rPr>
          <w:sz w:val="21"/>
        </w:rPr>
      </w:pPr>
      <w:r>
        <w:rPr>
          <w:spacing w:val="-3"/>
          <w:sz w:val="21"/>
        </w:rPr>
        <w:t>消防给水系统的水源干管、进户管和室内埋地管道应在回填前单独或与系统同时进行水压强度试验和水压严密性试验。</w:t>
      </w:r>
      <w:r>
        <w:rPr>
          <w:sz w:val="21"/>
        </w:rPr>
        <w:t> </w:t>
      </w:r>
    </w:p>
    <w:p>
      <w:pPr>
        <w:pStyle w:val="BodyText"/>
        <w:spacing w:line="267" w:lineRule="exact"/>
        <w:ind w:left="838"/>
      </w:pPr>
      <w:r>
        <w:rPr/>
        <w:t>检查数量：全数检查。 </w:t>
      </w:r>
    </w:p>
    <w:p>
      <w:pPr>
        <w:pStyle w:val="BodyText"/>
        <w:spacing w:before="1"/>
        <w:rPr>
          <w:sz w:val="18"/>
        </w:rPr>
      </w:pPr>
    </w:p>
    <w:p>
      <w:pPr>
        <w:pStyle w:val="BodyText"/>
        <w:spacing w:before="1"/>
        <w:ind w:left="838"/>
      </w:pPr>
      <w:r>
        <w:rPr/>
        <w:t>检查方法：观察和检查水压强度试验和水压严密性试验记录。 </w:t>
      </w:r>
    </w:p>
    <w:p>
      <w:pPr>
        <w:pStyle w:val="BodyText"/>
        <w:spacing w:before="12"/>
        <w:rPr>
          <w:sz w:val="17"/>
        </w:rPr>
      </w:pPr>
    </w:p>
    <w:p>
      <w:pPr>
        <w:pStyle w:val="ListParagraph"/>
        <w:numPr>
          <w:ilvl w:val="2"/>
          <w:numId w:val="760"/>
        </w:numPr>
        <w:tabs>
          <w:tab w:pos="1530" w:val="left" w:leader="none"/>
        </w:tabs>
        <w:spacing w:line="446" w:lineRule="auto" w:before="0" w:after="0"/>
        <w:ind w:left="418" w:right="1553" w:firstLine="422"/>
        <w:jc w:val="left"/>
        <w:rPr>
          <w:sz w:val="21"/>
        </w:rPr>
      </w:pPr>
      <w:r>
        <w:rPr>
          <w:spacing w:val="-5"/>
          <w:sz w:val="21"/>
        </w:rPr>
        <w:t>气压严密性试验的介质宜采用空气或氮气，试验压力应为 </w:t>
      </w:r>
      <w:r>
        <w:rPr>
          <w:sz w:val="21"/>
        </w:rPr>
        <w:t>0.28MPa</w:t>
      </w:r>
      <w:r>
        <w:rPr>
          <w:spacing w:val="-10"/>
          <w:sz w:val="21"/>
        </w:rPr>
        <w:t>,且稳压 </w:t>
      </w:r>
      <w:r>
        <w:rPr>
          <w:sz w:val="21"/>
        </w:rPr>
        <w:t>24h</w:t>
      </w:r>
      <w:r>
        <w:rPr>
          <w:spacing w:val="-2"/>
          <w:sz w:val="21"/>
        </w:rPr>
        <w:t>，压</w:t>
      </w:r>
      <w:r>
        <w:rPr>
          <w:spacing w:val="-10"/>
          <w:sz w:val="21"/>
        </w:rPr>
        <w:t>力降不应大于 </w:t>
      </w:r>
      <w:r>
        <w:rPr>
          <w:sz w:val="21"/>
        </w:rPr>
        <w:t>0.01MPa。 </w:t>
      </w:r>
    </w:p>
    <w:p>
      <w:pPr>
        <w:pStyle w:val="BodyText"/>
        <w:spacing w:line="446" w:lineRule="auto"/>
        <w:ind w:left="838" w:right="7600"/>
      </w:pPr>
      <w:r>
        <w:rPr/>
        <w:t>检查数量：全数检查。检查方法：直观检查。 </w:t>
      </w:r>
    </w:p>
    <w:p>
      <w:pPr>
        <w:pStyle w:val="ListParagraph"/>
        <w:numPr>
          <w:ilvl w:val="2"/>
          <w:numId w:val="760"/>
        </w:numPr>
        <w:tabs>
          <w:tab w:pos="1530" w:val="left" w:leader="none"/>
        </w:tabs>
        <w:spacing w:line="446" w:lineRule="auto" w:before="0" w:after="0"/>
        <w:ind w:left="418" w:right="1758" w:firstLine="422"/>
        <w:jc w:val="left"/>
        <w:rPr>
          <w:sz w:val="21"/>
        </w:rPr>
      </w:pPr>
      <w:r>
        <w:rPr>
          <w:spacing w:val="-3"/>
          <w:sz w:val="21"/>
        </w:rPr>
        <w:t>管网冲洗的水流流速、流量不应小于系统设计的水流流速、流量；管网冲洗宜分区、分段进行；水平管网冲洗时，其排水管位置应低于冲洗管网。</w:t>
      </w:r>
      <w:r>
        <w:rPr>
          <w:sz w:val="21"/>
        </w:rPr>
        <w:t> </w:t>
      </w:r>
    </w:p>
    <w:p>
      <w:pPr>
        <w:spacing w:after="0" w:line="446" w:lineRule="auto"/>
        <w:jc w:val="left"/>
        <w:rPr>
          <w:sz w:val="21"/>
        </w:rPr>
        <w:sectPr>
          <w:pgSz w:w="11910" w:h="16850"/>
          <w:pgMar w:header="0" w:footer="1239" w:top="1120" w:bottom="1420" w:left="1260" w:right="0"/>
        </w:sectPr>
      </w:pPr>
    </w:p>
    <w:p>
      <w:pPr>
        <w:pStyle w:val="BodyText"/>
        <w:spacing w:before="47"/>
        <w:ind w:left="838"/>
      </w:pPr>
      <w:r>
        <w:rPr/>
        <w:t>检查数量：全数检查。 </w:t>
      </w:r>
    </w:p>
    <w:p>
      <w:pPr>
        <w:pStyle w:val="BodyText"/>
        <w:rPr>
          <w:sz w:val="18"/>
        </w:rPr>
      </w:pPr>
    </w:p>
    <w:p>
      <w:pPr>
        <w:pStyle w:val="BodyText"/>
        <w:ind w:left="838"/>
      </w:pPr>
      <w:r>
        <w:rPr/>
        <w:t>检查方法：使用流量计和直观检查。 </w:t>
      </w:r>
    </w:p>
    <w:p>
      <w:pPr>
        <w:pStyle w:val="BodyText"/>
        <w:rPr>
          <w:sz w:val="18"/>
        </w:rPr>
      </w:pPr>
    </w:p>
    <w:p>
      <w:pPr>
        <w:pStyle w:val="ListParagraph"/>
        <w:numPr>
          <w:ilvl w:val="2"/>
          <w:numId w:val="760"/>
        </w:numPr>
        <w:tabs>
          <w:tab w:pos="1530" w:val="left" w:leader="none"/>
        </w:tabs>
        <w:spacing w:line="446" w:lineRule="auto" w:before="0" w:after="0"/>
        <w:ind w:left="838" w:right="3966" w:firstLine="2"/>
        <w:jc w:val="left"/>
        <w:rPr>
          <w:sz w:val="21"/>
        </w:rPr>
      </w:pPr>
      <w:r>
        <w:rPr>
          <w:spacing w:val="-3"/>
          <w:sz w:val="21"/>
        </w:rPr>
        <w:t>管网冲洗的水流方向应与灭火时管网的水流方向一致。检查数量：全数检查。</w:t>
      </w:r>
      <w:r>
        <w:rPr>
          <w:sz w:val="21"/>
        </w:rPr>
        <w:t> </w:t>
      </w:r>
    </w:p>
    <w:p>
      <w:pPr>
        <w:pStyle w:val="BodyText"/>
        <w:ind w:left="838"/>
      </w:pPr>
      <w:r>
        <w:rPr/>
        <w:t>检查方法：直观检查。 </w:t>
      </w:r>
    </w:p>
    <w:p>
      <w:pPr>
        <w:pStyle w:val="BodyText"/>
        <w:spacing w:before="12"/>
        <w:rPr>
          <w:sz w:val="17"/>
        </w:rPr>
      </w:pPr>
    </w:p>
    <w:p>
      <w:pPr>
        <w:pStyle w:val="ListParagraph"/>
        <w:numPr>
          <w:ilvl w:val="2"/>
          <w:numId w:val="760"/>
        </w:numPr>
        <w:tabs>
          <w:tab w:pos="1635" w:val="left" w:leader="none"/>
        </w:tabs>
        <w:spacing w:line="446" w:lineRule="auto" w:before="0" w:after="0"/>
        <w:ind w:left="418" w:right="1443" w:firstLine="422"/>
        <w:jc w:val="left"/>
        <w:rPr>
          <w:sz w:val="21"/>
        </w:rPr>
      </w:pPr>
      <w:r>
        <w:rPr>
          <w:spacing w:val="-3"/>
          <w:sz w:val="21"/>
        </w:rPr>
        <w:t>管网冲洗应连续进行。当出口处水的颜色、透明度与入口处水的颜色、透明度基本一致时，冲洗可结束。</w:t>
      </w:r>
      <w:r>
        <w:rPr>
          <w:sz w:val="21"/>
        </w:rPr>
        <w:t> </w:t>
      </w:r>
    </w:p>
    <w:p>
      <w:pPr>
        <w:pStyle w:val="BodyText"/>
        <w:spacing w:line="446" w:lineRule="auto"/>
        <w:ind w:left="838" w:right="7600"/>
      </w:pPr>
      <w:r>
        <w:rPr/>
        <w:t>检查数量：全数检查。检查方法：直观检查。 </w:t>
      </w:r>
    </w:p>
    <w:p>
      <w:pPr>
        <w:pStyle w:val="ListParagraph"/>
        <w:numPr>
          <w:ilvl w:val="2"/>
          <w:numId w:val="760"/>
        </w:numPr>
        <w:tabs>
          <w:tab w:pos="1635" w:val="left" w:leader="none"/>
        </w:tabs>
        <w:spacing w:line="446" w:lineRule="auto" w:before="0" w:after="0"/>
        <w:ind w:left="418" w:right="1443" w:firstLine="422"/>
        <w:jc w:val="left"/>
        <w:rPr>
          <w:sz w:val="21"/>
        </w:rPr>
      </w:pPr>
      <w:r>
        <w:rPr>
          <w:spacing w:val="-3"/>
          <w:sz w:val="21"/>
        </w:rPr>
        <w:t>管网冲洗宜设临时专用排水管道，其排放应畅通和安全。排水管道的截面面积不应</w:t>
      </w:r>
      <w:r>
        <w:rPr>
          <w:spacing w:val="-7"/>
          <w:sz w:val="21"/>
        </w:rPr>
        <w:t>小于被冲洗管道截面面积的 </w:t>
      </w:r>
      <w:r>
        <w:rPr>
          <w:sz w:val="21"/>
        </w:rPr>
        <w:t>60</w:t>
      </w:r>
      <w:r>
        <w:rPr>
          <w:spacing w:val="-2"/>
          <w:sz w:val="21"/>
        </w:rPr>
        <w:t>%。</w:t>
      </w:r>
      <w:r>
        <w:rPr>
          <w:sz w:val="21"/>
        </w:rPr>
        <w:t> </w:t>
      </w:r>
    </w:p>
    <w:p>
      <w:pPr>
        <w:pStyle w:val="BodyText"/>
        <w:spacing w:line="267" w:lineRule="exact"/>
        <w:ind w:left="838"/>
      </w:pPr>
      <w:r>
        <w:rPr/>
        <w:t>检查数量：全数检查。 </w:t>
      </w:r>
    </w:p>
    <w:p>
      <w:pPr>
        <w:pStyle w:val="BodyText"/>
        <w:spacing w:before="2"/>
        <w:rPr>
          <w:sz w:val="18"/>
        </w:rPr>
      </w:pPr>
    </w:p>
    <w:p>
      <w:pPr>
        <w:pStyle w:val="BodyText"/>
        <w:ind w:left="838"/>
      </w:pPr>
      <w:r>
        <w:rPr/>
        <w:t>检查方法：直观和尺量、试水检查。 </w:t>
      </w:r>
    </w:p>
    <w:p>
      <w:pPr>
        <w:pStyle w:val="BodyText"/>
        <w:rPr>
          <w:sz w:val="18"/>
        </w:rPr>
      </w:pPr>
    </w:p>
    <w:p>
      <w:pPr>
        <w:pStyle w:val="ListParagraph"/>
        <w:numPr>
          <w:ilvl w:val="2"/>
          <w:numId w:val="760"/>
        </w:numPr>
        <w:tabs>
          <w:tab w:pos="1635" w:val="left" w:leader="none"/>
        </w:tabs>
        <w:spacing w:line="446" w:lineRule="auto" w:before="0" w:after="0"/>
        <w:ind w:left="418" w:right="1443" w:firstLine="422"/>
        <w:jc w:val="left"/>
        <w:rPr>
          <w:sz w:val="21"/>
        </w:rPr>
      </w:pPr>
      <w:r>
        <w:rPr>
          <w:spacing w:val="-3"/>
          <w:sz w:val="21"/>
        </w:rPr>
        <w:t>管网的地上管道与地下管道连接前，应在管道连接处加设堵头后，对地下管道进行冲洗。</w:t>
      </w:r>
      <w:r>
        <w:rPr>
          <w:sz w:val="21"/>
        </w:rPr>
        <w:t> </w:t>
      </w:r>
    </w:p>
    <w:p>
      <w:pPr>
        <w:pStyle w:val="BodyText"/>
        <w:spacing w:line="446" w:lineRule="auto"/>
        <w:ind w:left="838" w:right="7600"/>
      </w:pPr>
      <w:r>
        <w:rPr/>
        <w:t>检查数量：全数检查。检查方法：直观检查。 </w:t>
      </w:r>
    </w:p>
    <w:p>
      <w:pPr>
        <w:pStyle w:val="ListParagraph"/>
        <w:numPr>
          <w:ilvl w:val="2"/>
          <w:numId w:val="760"/>
        </w:numPr>
        <w:tabs>
          <w:tab w:pos="1635" w:val="left" w:leader="none"/>
        </w:tabs>
        <w:spacing w:line="446" w:lineRule="auto" w:before="0" w:after="0"/>
        <w:ind w:left="838" w:right="4703" w:firstLine="2"/>
        <w:jc w:val="left"/>
        <w:rPr>
          <w:sz w:val="21"/>
        </w:rPr>
      </w:pPr>
      <w:r>
        <w:rPr>
          <w:spacing w:val="-3"/>
          <w:sz w:val="21"/>
        </w:rPr>
        <w:t>管网冲洗结束后，应将管网内的水排除干净。检查数量：全数检查。</w:t>
      </w:r>
      <w:r>
        <w:rPr>
          <w:sz w:val="21"/>
        </w:rPr>
        <w:t> </w:t>
      </w:r>
    </w:p>
    <w:p>
      <w:pPr>
        <w:pStyle w:val="BodyText"/>
        <w:ind w:left="838"/>
      </w:pPr>
      <w:r>
        <w:rPr/>
        <w:t>检查方法：直观检查。 </w:t>
      </w:r>
    </w:p>
    <w:p>
      <w:pPr>
        <w:pStyle w:val="BodyText"/>
        <w:spacing w:before="10"/>
        <w:rPr>
          <w:sz w:val="17"/>
        </w:rPr>
      </w:pPr>
    </w:p>
    <w:p>
      <w:pPr>
        <w:pStyle w:val="ListParagraph"/>
        <w:numPr>
          <w:ilvl w:val="2"/>
          <w:numId w:val="760"/>
        </w:numPr>
        <w:tabs>
          <w:tab w:pos="1635" w:val="left" w:leader="none"/>
        </w:tabs>
        <w:spacing w:line="446" w:lineRule="auto" w:before="0" w:after="0"/>
        <w:ind w:left="838" w:right="1760" w:firstLine="2"/>
        <w:jc w:val="left"/>
        <w:rPr>
          <w:sz w:val="21"/>
        </w:rPr>
      </w:pPr>
      <w:r>
        <w:rPr>
          <w:spacing w:val="-3"/>
          <w:sz w:val="21"/>
        </w:rPr>
        <w:t>干式消火栓系统管网冲洗结束，管网内水排除干净后，宜采用压缩空气吹干。检查数量：全数检查。</w:t>
      </w:r>
      <w:r>
        <w:rPr>
          <w:sz w:val="21"/>
        </w:rPr>
        <w:t> </w:t>
      </w:r>
    </w:p>
    <w:p>
      <w:pPr>
        <w:pStyle w:val="BodyText"/>
        <w:ind w:left="838"/>
      </w:pPr>
      <w:r>
        <w:rPr/>
        <w:t>检查方法：直观检查。 </w:t>
      </w:r>
    </w:p>
    <w:p>
      <w:pPr>
        <w:pStyle w:val="BodyText"/>
        <w:spacing w:before="8"/>
        <w:rPr>
          <w:sz w:val="15"/>
        </w:rPr>
      </w:pPr>
    </w:p>
    <w:p>
      <w:pPr>
        <w:pStyle w:val="Heading4"/>
      </w:pPr>
      <w:r>
        <w:rPr/>
        <w:t>13 系统调试与验收</w:t>
      </w:r>
      <w:r>
        <w:rPr>
          <w:w w:val="99"/>
        </w:rPr>
        <w:t> </w:t>
      </w:r>
    </w:p>
    <w:p>
      <w:pPr>
        <w:pStyle w:val="BodyText"/>
        <w:spacing w:before="6"/>
        <w:rPr>
          <w:b/>
          <w:sz w:val="17"/>
        </w:rPr>
      </w:pPr>
    </w:p>
    <w:p>
      <w:pPr>
        <w:pStyle w:val="ListParagraph"/>
        <w:numPr>
          <w:ilvl w:val="1"/>
          <w:numId w:val="762"/>
        </w:numPr>
        <w:tabs>
          <w:tab w:pos="1264" w:val="left" w:leader="none"/>
        </w:tabs>
        <w:spacing w:line="240" w:lineRule="auto" w:before="0" w:after="0"/>
        <w:ind w:left="1263" w:right="0" w:hanging="424"/>
        <w:jc w:val="left"/>
        <w:rPr>
          <w:b/>
          <w:sz w:val="21"/>
        </w:rPr>
      </w:pPr>
      <w:r>
        <w:rPr>
          <w:spacing w:val="-3"/>
          <w:sz w:val="21"/>
        </w:rPr>
        <w:t>系统调试</w:t>
      </w:r>
      <w:r>
        <w:rPr>
          <w:b/>
          <w:w w:val="99"/>
          <w:sz w:val="21"/>
        </w:rPr>
        <w:t> </w:t>
      </w:r>
    </w:p>
    <w:p>
      <w:pPr>
        <w:pStyle w:val="BodyText"/>
        <w:rPr>
          <w:b/>
          <w:sz w:val="18"/>
        </w:rPr>
      </w:pPr>
    </w:p>
    <w:p>
      <w:pPr>
        <w:pStyle w:val="ListParagraph"/>
        <w:numPr>
          <w:ilvl w:val="2"/>
          <w:numId w:val="762"/>
        </w:numPr>
        <w:tabs>
          <w:tab w:pos="1530" w:val="left" w:leader="none"/>
        </w:tabs>
        <w:spacing w:line="240" w:lineRule="auto" w:before="0" w:after="0"/>
        <w:ind w:left="1529" w:right="0" w:hanging="690"/>
        <w:jc w:val="left"/>
        <w:rPr>
          <w:sz w:val="21"/>
        </w:rPr>
      </w:pPr>
      <w:r>
        <w:rPr>
          <w:spacing w:val="-3"/>
          <w:sz w:val="21"/>
        </w:rPr>
        <w:t>消防给水及消火栓系统调试应在系统施工完成后进行，并应具备下列条件： </w:t>
      </w:r>
    </w:p>
    <w:p>
      <w:pPr>
        <w:pStyle w:val="BodyText"/>
        <w:rPr>
          <w:sz w:val="18"/>
        </w:rPr>
      </w:pPr>
    </w:p>
    <w:p>
      <w:pPr>
        <w:pStyle w:val="BodyText"/>
        <w:spacing w:line="446" w:lineRule="auto"/>
        <w:ind w:left="418" w:right="1609" w:firstLine="419"/>
      </w:pPr>
      <w:r>
        <w:rPr/>
        <w:t>天然水源取水口、地下水井、消防水池、高位消防水池、高位消防水箱等蓄水和供水设施水位、出水量、已储水量等符合设计要求； </w:t>
      </w:r>
    </w:p>
    <w:p>
      <w:pPr>
        <w:spacing w:after="0" w:line="446" w:lineRule="auto"/>
        <w:sectPr>
          <w:pgSz w:w="11910" w:h="16850"/>
          <w:pgMar w:header="0" w:footer="1239" w:top="1220" w:bottom="1420" w:left="1260" w:right="0"/>
        </w:sectPr>
      </w:pPr>
    </w:p>
    <w:p>
      <w:pPr>
        <w:pStyle w:val="BodyText"/>
        <w:spacing w:before="47"/>
        <w:ind w:left="838"/>
      </w:pPr>
      <w:r>
        <w:rPr/>
        <w:t>消防水泵、稳压泵和稳压设施等处于准工作状态； </w:t>
      </w:r>
    </w:p>
    <w:p>
      <w:pPr>
        <w:pStyle w:val="BodyText"/>
        <w:rPr>
          <w:sz w:val="18"/>
        </w:rPr>
      </w:pPr>
    </w:p>
    <w:p>
      <w:pPr>
        <w:pStyle w:val="BodyText"/>
        <w:spacing w:line="446" w:lineRule="auto"/>
        <w:ind w:left="838" w:right="4446"/>
      </w:pPr>
      <w:r>
        <w:rPr/>
        <w:t>系统供电正常，若柴油机泵油箱应充满油并能正常工作； 消防给水系统管网内已经充满水； </w:t>
      </w:r>
    </w:p>
    <w:p>
      <w:pPr>
        <w:pStyle w:val="BodyText"/>
        <w:spacing w:line="446" w:lineRule="auto"/>
        <w:ind w:left="418" w:right="1817" w:firstLine="419"/>
      </w:pPr>
      <w:r>
        <w:rPr/>
        <w:t>湿式消火栓系统管网内已充满水，手动干式、干式消火栓系统管网内的气压符合设计要求； </w:t>
      </w:r>
    </w:p>
    <w:p>
      <w:pPr>
        <w:pStyle w:val="BodyText"/>
        <w:spacing w:line="267" w:lineRule="exact"/>
        <w:ind w:left="838"/>
      </w:pPr>
      <w:r>
        <w:rPr/>
        <w:t>系统自动控制处于准工作状态； </w:t>
      </w:r>
    </w:p>
    <w:p>
      <w:pPr>
        <w:pStyle w:val="BodyText"/>
        <w:spacing w:before="2"/>
        <w:rPr>
          <w:sz w:val="18"/>
        </w:rPr>
      </w:pPr>
    </w:p>
    <w:p>
      <w:pPr>
        <w:pStyle w:val="BodyText"/>
        <w:ind w:left="838"/>
      </w:pPr>
      <w:r>
        <w:rPr/>
        <w:t>减压阀和阀门等处于正常工作位置。 </w:t>
      </w:r>
    </w:p>
    <w:p>
      <w:pPr>
        <w:pStyle w:val="BodyText"/>
        <w:rPr>
          <w:sz w:val="18"/>
        </w:rPr>
      </w:pPr>
    </w:p>
    <w:p>
      <w:pPr>
        <w:pStyle w:val="ListParagraph"/>
        <w:numPr>
          <w:ilvl w:val="2"/>
          <w:numId w:val="762"/>
        </w:numPr>
        <w:tabs>
          <w:tab w:pos="1530" w:val="left" w:leader="none"/>
        </w:tabs>
        <w:spacing w:line="446" w:lineRule="auto" w:before="0" w:after="0"/>
        <w:ind w:left="838" w:right="6489" w:firstLine="2"/>
        <w:jc w:val="left"/>
        <w:rPr>
          <w:sz w:val="21"/>
        </w:rPr>
      </w:pPr>
      <w:r>
        <w:rPr>
          <w:spacing w:val="-3"/>
          <w:sz w:val="21"/>
        </w:rPr>
        <w:t>系统调试应包括下列内容： 水源调试和测试；</w:t>
      </w:r>
      <w:r>
        <w:rPr>
          <w:sz w:val="21"/>
        </w:rPr>
        <w:t> </w:t>
      </w:r>
    </w:p>
    <w:p>
      <w:pPr>
        <w:pStyle w:val="BodyText"/>
        <w:ind w:left="838"/>
      </w:pPr>
      <w:r>
        <w:rPr/>
        <w:t>消防水泵调试； </w:t>
      </w:r>
    </w:p>
    <w:p>
      <w:pPr>
        <w:pStyle w:val="BodyText"/>
        <w:spacing w:before="12"/>
        <w:rPr>
          <w:sz w:val="17"/>
        </w:rPr>
      </w:pPr>
    </w:p>
    <w:p>
      <w:pPr>
        <w:pStyle w:val="BodyText"/>
        <w:spacing w:line="446" w:lineRule="auto"/>
        <w:ind w:left="838" w:right="7389"/>
      </w:pPr>
      <w:r>
        <w:rPr>
          <w:spacing w:val="-3"/>
        </w:rPr>
        <w:t>稳压泵或稳压设施调试； 减压阀调试；</w:t>
      </w:r>
      <w:r>
        <w:rPr/>
        <w:t> </w:t>
      </w:r>
    </w:p>
    <w:p>
      <w:pPr>
        <w:pStyle w:val="BodyText"/>
        <w:ind w:left="838"/>
      </w:pPr>
      <w:r>
        <w:rPr>
          <w:spacing w:val="-3"/>
        </w:rPr>
        <w:t>消火栓调试；</w:t>
      </w:r>
      <w:r>
        <w:rPr/>
        <w:t> </w:t>
      </w:r>
    </w:p>
    <w:p>
      <w:pPr>
        <w:pStyle w:val="BodyText"/>
        <w:rPr>
          <w:sz w:val="18"/>
        </w:rPr>
      </w:pPr>
    </w:p>
    <w:p>
      <w:pPr>
        <w:pStyle w:val="BodyText"/>
        <w:ind w:left="838"/>
      </w:pPr>
      <w:r>
        <w:rPr/>
        <w:t>自动控制探测器调试； </w:t>
      </w:r>
    </w:p>
    <w:p>
      <w:pPr>
        <w:pStyle w:val="BodyText"/>
        <w:spacing w:before="12"/>
        <w:rPr>
          <w:sz w:val="17"/>
        </w:rPr>
      </w:pPr>
    </w:p>
    <w:p>
      <w:pPr>
        <w:pStyle w:val="BodyText"/>
        <w:spacing w:line="446" w:lineRule="auto"/>
        <w:ind w:left="418" w:right="1609" w:firstLine="419"/>
      </w:pPr>
      <w:r>
        <w:rPr/>
        <w:t>干式消火栓系统的报警阀等快速启闭装置调试，并应包含报警阀的附件电动或磁阀等阀门的调试； </w:t>
      </w:r>
    </w:p>
    <w:p>
      <w:pPr>
        <w:pStyle w:val="BodyText"/>
        <w:spacing w:line="446" w:lineRule="auto"/>
        <w:ind w:left="838" w:right="8229"/>
      </w:pPr>
      <w:r>
        <w:rPr/>
        <w:t>排水设施调试； 联锁控制试验。 </w:t>
      </w:r>
    </w:p>
    <w:p>
      <w:pPr>
        <w:pStyle w:val="ListParagraph"/>
        <w:numPr>
          <w:ilvl w:val="2"/>
          <w:numId w:val="762"/>
        </w:numPr>
        <w:tabs>
          <w:tab w:pos="1530" w:val="left" w:leader="none"/>
        </w:tabs>
        <w:spacing w:line="240" w:lineRule="auto" w:before="0" w:after="0"/>
        <w:ind w:left="1529" w:right="0" w:hanging="690"/>
        <w:jc w:val="left"/>
        <w:rPr>
          <w:sz w:val="21"/>
        </w:rPr>
      </w:pPr>
      <w:r>
        <w:rPr>
          <w:spacing w:val="-3"/>
          <w:sz w:val="21"/>
        </w:rPr>
        <w:t>水源调试和测试应符合下列要求：</w:t>
      </w:r>
      <w:r>
        <w:rPr>
          <w:sz w:val="21"/>
        </w:rPr>
        <w:t> </w:t>
      </w:r>
    </w:p>
    <w:p>
      <w:pPr>
        <w:pStyle w:val="BodyText"/>
        <w:rPr>
          <w:sz w:val="18"/>
        </w:rPr>
      </w:pPr>
    </w:p>
    <w:p>
      <w:pPr>
        <w:pStyle w:val="BodyText"/>
        <w:spacing w:line="446" w:lineRule="auto"/>
        <w:ind w:left="418" w:right="1608" w:firstLine="419"/>
        <w:jc w:val="both"/>
      </w:pPr>
      <w:r>
        <w:rPr/>
        <w:t>按设计要求核实高位消防水箱、高位消防水池、消防水池的容积，高位消防水池、高位消防水箱设置高度应符合设计要求；消防储水应有不作他用的技术措施。当有江河湖海、水库和水塘等天然水源作为消防水源时应验证其枯水位、洪水位和常水位的流量符合设计要求。地下水井的常水位、出水量等应符合设计要求； </w:t>
      </w:r>
    </w:p>
    <w:p>
      <w:pPr>
        <w:pStyle w:val="BodyText"/>
        <w:spacing w:line="446" w:lineRule="auto"/>
        <w:ind w:left="418" w:right="1817" w:firstLine="419"/>
      </w:pPr>
      <w:r>
        <w:rPr/>
        <w:t>消防水泵直接从市政管网吸水时，应测试市政供水的压力和流量能否满足设计要求的流量； </w:t>
      </w:r>
    </w:p>
    <w:p>
      <w:pPr>
        <w:pStyle w:val="BodyText"/>
        <w:spacing w:line="446" w:lineRule="auto"/>
        <w:ind w:left="418" w:right="1609" w:firstLine="419"/>
      </w:pPr>
      <w:r>
        <w:rPr/>
        <w:t>应按设计要求核实消防水泵接合器的数量和供水能力，并应通过消防车车载移动泵供水进行试验验证； </w:t>
      </w:r>
    </w:p>
    <w:p>
      <w:pPr>
        <w:pStyle w:val="BodyText"/>
        <w:ind w:left="838"/>
      </w:pPr>
      <w:r>
        <w:rPr/>
        <w:t>应核实地下水井的常水位和设计抽升流量时的水位。 </w:t>
      </w:r>
    </w:p>
    <w:p>
      <w:pPr>
        <w:spacing w:after="0"/>
        <w:sectPr>
          <w:pgSz w:w="11910" w:h="16850"/>
          <w:pgMar w:header="0" w:footer="1239" w:top="1220" w:bottom="1420" w:left="1260" w:right="0"/>
        </w:sectPr>
      </w:pPr>
    </w:p>
    <w:p>
      <w:pPr>
        <w:pStyle w:val="BodyText"/>
        <w:spacing w:before="47"/>
        <w:ind w:left="838"/>
      </w:pPr>
      <w:r>
        <w:rPr/>
        <w:t>检查数量：全数检查。 </w:t>
      </w:r>
    </w:p>
    <w:p>
      <w:pPr>
        <w:pStyle w:val="BodyText"/>
        <w:rPr>
          <w:sz w:val="18"/>
        </w:rPr>
      </w:pPr>
    </w:p>
    <w:p>
      <w:pPr>
        <w:pStyle w:val="BodyText"/>
        <w:ind w:left="838"/>
      </w:pPr>
      <w:r>
        <w:rPr/>
        <w:t>检查方法：直观检查和进行通水试验。 </w:t>
      </w:r>
    </w:p>
    <w:p>
      <w:pPr>
        <w:pStyle w:val="BodyText"/>
        <w:rPr>
          <w:sz w:val="18"/>
        </w:rPr>
      </w:pPr>
    </w:p>
    <w:p>
      <w:pPr>
        <w:pStyle w:val="ListParagraph"/>
        <w:numPr>
          <w:ilvl w:val="2"/>
          <w:numId w:val="762"/>
        </w:numPr>
        <w:tabs>
          <w:tab w:pos="1530" w:val="left" w:leader="none"/>
        </w:tabs>
        <w:spacing w:line="240" w:lineRule="auto" w:before="0" w:after="0"/>
        <w:ind w:left="1529" w:right="0" w:hanging="690"/>
        <w:jc w:val="left"/>
        <w:rPr>
          <w:sz w:val="21"/>
        </w:rPr>
      </w:pPr>
      <w:r>
        <w:rPr>
          <w:spacing w:val="-3"/>
          <w:sz w:val="21"/>
        </w:rPr>
        <w:t>消防水泵调试应符合下列要求：</w:t>
      </w:r>
      <w:r>
        <w:rPr>
          <w:sz w:val="21"/>
        </w:rPr>
        <w:t> </w:t>
      </w:r>
    </w:p>
    <w:p>
      <w:pPr>
        <w:pStyle w:val="BodyText"/>
        <w:spacing w:before="1"/>
        <w:rPr>
          <w:sz w:val="18"/>
        </w:rPr>
      </w:pPr>
    </w:p>
    <w:p>
      <w:pPr>
        <w:pStyle w:val="BodyText"/>
        <w:spacing w:line="446" w:lineRule="auto" w:before="1"/>
        <w:ind w:left="418" w:right="1609" w:firstLine="419"/>
      </w:pPr>
      <w:r>
        <w:rPr>
          <w:spacing w:val="-5"/>
        </w:rPr>
        <w:t>以自动直接启动或手动直接启动消防水泵时，消防水泵应在 </w:t>
      </w:r>
      <w:r>
        <w:rPr/>
        <w:t>55s</w:t>
      </w:r>
      <w:r>
        <w:rPr>
          <w:spacing w:val="-7"/>
        </w:rPr>
        <w:t> 内投入正常运行，且应无</w:t>
      </w:r>
      <w:r>
        <w:rPr>
          <w:spacing w:val="-5"/>
        </w:rPr>
        <w:t>不良噪声和振动；</w:t>
      </w:r>
      <w:r>
        <w:rPr/>
        <w:t> </w:t>
      </w:r>
    </w:p>
    <w:p>
      <w:pPr>
        <w:pStyle w:val="BodyText"/>
        <w:spacing w:line="267" w:lineRule="exact"/>
        <w:ind w:left="838"/>
      </w:pPr>
      <w:r>
        <w:rPr/>
        <w:t>2min 内投入正常运行； </w:t>
      </w:r>
    </w:p>
    <w:p>
      <w:pPr>
        <w:pStyle w:val="BodyText"/>
        <w:spacing w:before="1"/>
        <w:rPr>
          <w:sz w:val="18"/>
        </w:rPr>
      </w:pPr>
    </w:p>
    <w:p>
      <w:pPr>
        <w:pStyle w:val="BodyText"/>
        <w:spacing w:line="446" w:lineRule="auto" w:before="1"/>
        <w:ind w:left="418" w:right="1609" w:firstLine="419"/>
      </w:pPr>
      <w:r>
        <w:rPr/>
        <w:t>消防水泵安装后应进行现场性能测试，其性能应与生产厂商提供的数据相符，并应满足消防给水设计流量和压力的要求； </w:t>
      </w:r>
    </w:p>
    <w:p>
      <w:pPr>
        <w:pStyle w:val="BodyText"/>
        <w:spacing w:line="267" w:lineRule="exact"/>
        <w:ind w:left="838"/>
      </w:pPr>
      <w:r>
        <w:rPr/>
        <w:t>消防水泵零流量时的压力不应超过设计工作压力的 140%；当出流量为设计工作流量的 150%</w:t>
      </w:r>
    </w:p>
    <w:p>
      <w:pPr>
        <w:pStyle w:val="BodyText"/>
        <w:spacing w:before="1"/>
        <w:rPr>
          <w:sz w:val="18"/>
        </w:rPr>
      </w:pPr>
    </w:p>
    <w:p>
      <w:pPr>
        <w:pStyle w:val="BodyText"/>
        <w:ind w:left="418"/>
      </w:pPr>
      <w:r>
        <w:rPr/>
        <w:t>时，其出口压力不应低于设计工作压力的 65%。 </w:t>
      </w:r>
    </w:p>
    <w:p>
      <w:pPr>
        <w:pStyle w:val="BodyText"/>
        <w:rPr>
          <w:sz w:val="18"/>
        </w:rPr>
      </w:pPr>
    </w:p>
    <w:p>
      <w:pPr>
        <w:pStyle w:val="BodyText"/>
        <w:spacing w:line="446" w:lineRule="auto"/>
        <w:ind w:left="838" w:right="7389"/>
      </w:pPr>
      <w:r>
        <w:rPr>
          <w:spacing w:val="-3"/>
        </w:rPr>
        <w:t>检查数量：全数检查。  检查方法：用秒表检查。</w:t>
      </w:r>
      <w:r>
        <w:rPr/>
        <w:t> </w:t>
      </w:r>
    </w:p>
    <w:p>
      <w:pPr>
        <w:pStyle w:val="ListParagraph"/>
        <w:numPr>
          <w:ilvl w:val="2"/>
          <w:numId w:val="762"/>
        </w:numPr>
        <w:tabs>
          <w:tab w:pos="1530" w:val="left" w:leader="none"/>
        </w:tabs>
        <w:spacing w:line="240" w:lineRule="auto" w:before="0" w:after="0"/>
        <w:ind w:left="1529" w:right="0" w:hanging="690"/>
        <w:jc w:val="left"/>
        <w:rPr>
          <w:sz w:val="21"/>
        </w:rPr>
      </w:pPr>
      <w:r>
        <w:rPr>
          <w:spacing w:val="-3"/>
          <w:sz w:val="21"/>
        </w:rPr>
        <w:t>稳压泵应按设计要求进行调试，并应符合下列规定：</w:t>
      </w:r>
      <w:r>
        <w:rPr>
          <w:sz w:val="21"/>
        </w:rPr>
        <w:t> </w:t>
      </w:r>
    </w:p>
    <w:p>
      <w:pPr>
        <w:pStyle w:val="BodyText"/>
        <w:rPr>
          <w:sz w:val="18"/>
        </w:rPr>
      </w:pPr>
    </w:p>
    <w:p>
      <w:pPr>
        <w:pStyle w:val="BodyText"/>
        <w:spacing w:line="446" w:lineRule="auto"/>
        <w:ind w:left="418" w:right="1609" w:firstLine="419"/>
      </w:pPr>
      <w:r>
        <w:rPr/>
        <w:t>当达到设计启动压力时，稳压泵应立即启动；当达到系统停泵压力时，稳压泵应自动停止运行；稳压泵启停应达到设计压力要求； </w:t>
      </w:r>
    </w:p>
    <w:p>
      <w:pPr>
        <w:pStyle w:val="BodyText"/>
        <w:ind w:left="838"/>
      </w:pPr>
      <w:r>
        <w:rPr/>
        <w:t>能满足系统自动启动要求，且当消防主泵启动时，稳压泵应停止运行； </w:t>
      </w:r>
    </w:p>
    <w:p>
      <w:pPr>
        <w:pStyle w:val="BodyText"/>
        <w:spacing w:before="12"/>
        <w:rPr>
          <w:sz w:val="17"/>
        </w:rPr>
      </w:pPr>
    </w:p>
    <w:p>
      <w:pPr>
        <w:pStyle w:val="BodyText"/>
        <w:ind w:left="838"/>
      </w:pPr>
      <w:r>
        <w:rPr/>
        <w:t>稳压泵在正常工作时每小时的启停次数应符合设计要求，且不应大于 15 次/h； </w:t>
      </w:r>
    </w:p>
    <w:p>
      <w:pPr>
        <w:pStyle w:val="BodyText"/>
        <w:spacing w:before="12"/>
        <w:rPr>
          <w:sz w:val="17"/>
        </w:rPr>
      </w:pPr>
    </w:p>
    <w:p>
      <w:pPr>
        <w:pStyle w:val="BodyText"/>
        <w:spacing w:line="446" w:lineRule="auto"/>
        <w:ind w:left="838" w:right="4446"/>
      </w:pPr>
      <w:r>
        <w:rPr>
          <w:spacing w:val="-3"/>
        </w:rPr>
        <w:t>稳压泵启停时系统压力应平稳，且稳压泵不应频繁启停。检查数量：全数检查。</w:t>
      </w:r>
      <w:r>
        <w:rPr/>
        <w:t> </w:t>
      </w:r>
    </w:p>
    <w:p>
      <w:pPr>
        <w:pStyle w:val="BodyText"/>
        <w:spacing w:before="1"/>
        <w:ind w:left="838"/>
      </w:pPr>
      <w:r>
        <w:rPr>
          <w:spacing w:val="-3"/>
        </w:rPr>
        <w:t>检查方法：直观检查。</w:t>
      </w:r>
      <w:r>
        <w:rPr/>
        <w:t> </w:t>
      </w:r>
    </w:p>
    <w:p>
      <w:pPr>
        <w:pStyle w:val="BodyText"/>
        <w:spacing w:before="12"/>
        <w:rPr>
          <w:sz w:val="17"/>
        </w:rPr>
      </w:pPr>
    </w:p>
    <w:p>
      <w:pPr>
        <w:pStyle w:val="ListParagraph"/>
        <w:numPr>
          <w:ilvl w:val="2"/>
          <w:numId w:val="762"/>
        </w:numPr>
        <w:tabs>
          <w:tab w:pos="1530" w:val="left" w:leader="none"/>
        </w:tabs>
        <w:spacing w:line="240" w:lineRule="auto" w:before="0" w:after="0"/>
        <w:ind w:left="1529" w:right="0" w:hanging="690"/>
        <w:jc w:val="left"/>
        <w:rPr>
          <w:sz w:val="21"/>
        </w:rPr>
      </w:pPr>
      <w:r>
        <w:rPr>
          <w:spacing w:val="-3"/>
          <w:sz w:val="21"/>
        </w:rPr>
        <w:t>干式消火栓系统快速启闭装置调试应符合下列要求：</w:t>
      </w:r>
      <w:r>
        <w:rPr>
          <w:sz w:val="21"/>
        </w:rPr>
        <w:t> </w:t>
      </w:r>
    </w:p>
    <w:p>
      <w:pPr>
        <w:pStyle w:val="BodyText"/>
        <w:spacing w:before="2"/>
        <w:rPr>
          <w:sz w:val="18"/>
        </w:rPr>
      </w:pPr>
    </w:p>
    <w:p>
      <w:pPr>
        <w:pStyle w:val="BodyText"/>
        <w:spacing w:line="446" w:lineRule="auto"/>
        <w:ind w:left="418" w:right="1609" w:firstLine="419"/>
      </w:pPr>
      <w:r>
        <w:rPr/>
        <w:t>干式消火栓系统调试时，开启系统试验阀或按下消火栓按钮，干式消火栓系统快速启闭装置的启动时间、系统启动压力、水流到试验装置出口所需时间，均应符合设计要求； </w:t>
      </w:r>
    </w:p>
    <w:p>
      <w:pPr>
        <w:pStyle w:val="BodyText"/>
        <w:spacing w:line="446" w:lineRule="auto"/>
        <w:ind w:left="838" w:right="2977"/>
      </w:pPr>
      <w:r>
        <w:rPr>
          <w:spacing w:val="-3"/>
        </w:rPr>
        <w:t>快速启闭装置后的管道容积应符合设计要求，并应满足充水时间的要求； 干式报警阀在充气压力下降到设定值时应能及时启动；</w:t>
      </w:r>
      <w:r>
        <w:rPr/>
        <w:t> </w:t>
      </w:r>
    </w:p>
    <w:p>
      <w:pPr>
        <w:pStyle w:val="BodyText"/>
        <w:spacing w:line="446" w:lineRule="auto"/>
        <w:ind w:left="418" w:right="1609" w:firstLine="419"/>
      </w:pPr>
      <w:r>
        <w:rPr/>
        <w:t>干式报警阀充气系统在设定低压点时应启动，在设定高压点时应停止充气，当压力低于设定低压点时应报警； </w:t>
      </w:r>
    </w:p>
    <w:p>
      <w:pPr>
        <w:pStyle w:val="BodyText"/>
        <w:ind w:left="838"/>
      </w:pPr>
      <w:r>
        <w:rPr/>
        <w:t>干式报警阀当设有加速排气器时，应验证其可靠工作。 </w:t>
      </w:r>
    </w:p>
    <w:p>
      <w:pPr>
        <w:spacing w:after="0"/>
        <w:sectPr>
          <w:pgSz w:w="11910" w:h="16850"/>
          <w:pgMar w:header="0" w:footer="1239" w:top="1220" w:bottom="1420" w:left="1260" w:right="0"/>
        </w:sectPr>
      </w:pPr>
    </w:p>
    <w:p>
      <w:pPr>
        <w:pStyle w:val="BodyText"/>
        <w:spacing w:before="47"/>
        <w:ind w:left="838"/>
      </w:pPr>
      <w:r>
        <w:rPr/>
        <w:t>检查数量：全数检查。 </w:t>
      </w:r>
    </w:p>
    <w:p>
      <w:pPr>
        <w:pStyle w:val="BodyText"/>
        <w:rPr>
          <w:sz w:val="18"/>
        </w:rPr>
      </w:pPr>
    </w:p>
    <w:p>
      <w:pPr>
        <w:pStyle w:val="BodyText"/>
        <w:ind w:left="838"/>
      </w:pPr>
      <w:r>
        <w:rPr/>
        <w:t>检查方法：使用压力表、秒表、声强计和直观检查。 </w:t>
      </w:r>
    </w:p>
    <w:p>
      <w:pPr>
        <w:pStyle w:val="BodyText"/>
        <w:rPr>
          <w:sz w:val="18"/>
        </w:rPr>
      </w:pPr>
    </w:p>
    <w:p>
      <w:pPr>
        <w:pStyle w:val="ListParagraph"/>
        <w:numPr>
          <w:ilvl w:val="2"/>
          <w:numId w:val="762"/>
        </w:numPr>
        <w:tabs>
          <w:tab w:pos="1530" w:val="left" w:leader="none"/>
        </w:tabs>
        <w:spacing w:line="240" w:lineRule="auto" w:before="0" w:after="0"/>
        <w:ind w:left="1529" w:right="0" w:hanging="690"/>
        <w:jc w:val="left"/>
        <w:rPr>
          <w:sz w:val="21"/>
        </w:rPr>
      </w:pPr>
      <w:r>
        <w:rPr>
          <w:spacing w:val="-3"/>
          <w:sz w:val="21"/>
        </w:rPr>
        <w:t>减压阀调试应符合下列要求：</w:t>
      </w:r>
      <w:r>
        <w:rPr>
          <w:sz w:val="21"/>
        </w:rPr>
        <w:t> </w:t>
      </w:r>
    </w:p>
    <w:p>
      <w:pPr>
        <w:pStyle w:val="BodyText"/>
        <w:spacing w:before="1"/>
        <w:rPr>
          <w:sz w:val="18"/>
        </w:rPr>
      </w:pPr>
    </w:p>
    <w:p>
      <w:pPr>
        <w:pStyle w:val="BodyText"/>
        <w:spacing w:before="1"/>
        <w:ind w:left="838"/>
      </w:pPr>
      <w:r>
        <w:rPr/>
        <w:t>减压阀的阀前阀后动静压力应满足设计要求； </w:t>
      </w:r>
    </w:p>
    <w:p>
      <w:pPr>
        <w:pStyle w:val="BodyText"/>
        <w:spacing w:before="12"/>
        <w:rPr>
          <w:sz w:val="17"/>
        </w:rPr>
      </w:pPr>
    </w:p>
    <w:p>
      <w:pPr>
        <w:pStyle w:val="BodyText"/>
        <w:spacing w:line="446" w:lineRule="auto"/>
        <w:ind w:left="418" w:right="1498" w:firstLine="419"/>
      </w:pPr>
      <w:r>
        <w:rPr/>
        <w:t>减压阀的出流量应满足设计要求，当出流量为设计流量的 150%时，阀后动压不应小于额定设计工作压力的 65%； </w:t>
      </w:r>
    </w:p>
    <w:p>
      <w:pPr>
        <w:pStyle w:val="BodyText"/>
        <w:ind w:left="838"/>
      </w:pPr>
      <w:r>
        <w:rPr/>
        <w:t>减压阀在小流量、设计流量和设计流量的 150%时不应出现噪声明显增加； </w:t>
      </w:r>
    </w:p>
    <w:p>
      <w:pPr>
        <w:pStyle w:val="BodyText"/>
        <w:rPr>
          <w:sz w:val="18"/>
        </w:rPr>
      </w:pPr>
    </w:p>
    <w:p>
      <w:pPr>
        <w:pStyle w:val="BodyText"/>
        <w:spacing w:line="446" w:lineRule="auto"/>
        <w:ind w:left="838" w:right="5497"/>
      </w:pPr>
      <w:r>
        <w:rPr/>
        <w:t>测试减压阀的阀后动静压差应符合设计要求。检查数量：全数检查。 </w:t>
      </w:r>
    </w:p>
    <w:p>
      <w:pPr>
        <w:pStyle w:val="BodyText"/>
        <w:ind w:left="838"/>
      </w:pPr>
      <w:r>
        <w:rPr/>
        <w:t>检查方法：使用压力表、流量计、声强计和直观检查。 </w:t>
      </w:r>
    </w:p>
    <w:p>
      <w:pPr>
        <w:pStyle w:val="BodyText"/>
        <w:spacing w:before="12"/>
        <w:rPr>
          <w:sz w:val="17"/>
        </w:rPr>
      </w:pPr>
    </w:p>
    <w:p>
      <w:pPr>
        <w:pStyle w:val="ListParagraph"/>
        <w:numPr>
          <w:ilvl w:val="2"/>
          <w:numId w:val="762"/>
        </w:numPr>
        <w:tabs>
          <w:tab w:pos="1530" w:val="left" w:leader="none"/>
        </w:tabs>
        <w:spacing w:line="240" w:lineRule="auto" w:before="0" w:after="0"/>
        <w:ind w:left="1529" w:right="0" w:hanging="690"/>
        <w:jc w:val="left"/>
        <w:rPr>
          <w:sz w:val="21"/>
        </w:rPr>
      </w:pPr>
      <w:r>
        <w:rPr>
          <w:spacing w:val="-3"/>
          <w:sz w:val="21"/>
        </w:rPr>
        <w:t>消火栓的调试和测试应符合下列规定： </w:t>
      </w:r>
    </w:p>
    <w:p>
      <w:pPr>
        <w:pStyle w:val="BodyText"/>
        <w:spacing w:before="12"/>
        <w:rPr>
          <w:sz w:val="17"/>
        </w:rPr>
      </w:pPr>
    </w:p>
    <w:p>
      <w:pPr>
        <w:pStyle w:val="BodyText"/>
        <w:spacing w:before="1"/>
        <w:ind w:left="838"/>
      </w:pPr>
      <w:r>
        <w:rPr/>
        <w:t>试验消火栓动作时，应检测消防水泵是否在本规范规定的时间内自动启动； </w:t>
      </w:r>
    </w:p>
    <w:p>
      <w:pPr>
        <w:pStyle w:val="BodyText"/>
        <w:spacing w:before="1"/>
        <w:rPr>
          <w:sz w:val="18"/>
        </w:rPr>
      </w:pPr>
    </w:p>
    <w:p>
      <w:pPr>
        <w:pStyle w:val="BodyText"/>
        <w:spacing w:line="446" w:lineRule="auto"/>
        <w:ind w:left="418" w:right="1609" w:firstLine="419"/>
      </w:pPr>
      <w:r>
        <w:rPr/>
        <w:t>试验消火栓动作时，应测试其出流量、压力和充实水柱的长度；并应根据消防水泵的性能曲线核实消防水泵供水能力； </w:t>
      </w:r>
    </w:p>
    <w:p>
      <w:pPr>
        <w:pStyle w:val="BodyText"/>
        <w:spacing w:line="267" w:lineRule="exact"/>
        <w:ind w:left="838"/>
      </w:pPr>
      <w:r>
        <w:rPr/>
        <w:t>应检查旋转型消火栓的性能能否满足其性能要求； </w:t>
      </w:r>
    </w:p>
    <w:p>
      <w:pPr>
        <w:pStyle w:val="BodyText"/>
        <w:spacing w:before="2"/>
        <w:rPr>
          <w:sz w:val="18"/>
        </w:rPr>
      </w:pPr>
    </w:p>
    <w:p>
      <w:pPr>
        <w:pStyle w:val="BodyText"/>
        <w:spacing w:line="446" w:lineRule="auto"/>
        <w:ind w:left="838" w:right="2345"/>
      </w:pPr>
      <w:r>
        <w:rPr>
          <w:spacing w:val="-3"/>
        </w:rPr>
        <w:t>应采用专用检测工具，测试减压稳压型消火栓的阀后动静压是否满足设计要求。检查数量：全数检查。</w:t>
      </w:r>
      <w:r>
        <w:rPr/>
        <w:t> </w:t>
      </w:r>
    </w:p>
    <w:p>
      <w:pPr>
        <w:pStyle w:val="BodyText"/>
        <w:spacing w:line="267" w:lineRule="exact"/>
        <w:ind w:left="838"/>
      </w:pPr>
      <w:r>
        <w:rPr/>
        <w:t>检查方法：使用压力表、流量计和直观检查。 </w:t>
      </w:r>
    </w:p>
    <w:p>
      <w:pPr>
        <w:pStyle w:val="BodyText"/>
        <w:spacing w:before="2"/>
        <w:rPr>
          <w:sz w:val="18"/>
        </w:rPr>
      </w:pPr>
    </w:p>
    <w:p>
      <w:pPr>
        <w:pStyle w:val="ListParagraph"/>
        <w:numPr>
          <w:ilvl w:val="2"/>
          <w:numId w:val="762"/>
        </w:numPr>
        <w:tabs>
          <w:tab w:pos="1530" w:val="left" w:leader="none"/>
        </w:tabs>
        <w:spacing w:line="446" w:lineRule="auto" w:before="0" w:after="0"/>
        <w:ind w:left="838" w:right="2074" w:firstLine="2"/>
        <w:jc w:val="left"/>
        <w:rPr>
          <w:sz w:val="21"/>
        </w:rPr>
      </w:pPr>
      <w:r>
        <w:rPr>
          <w:spacing w:val="-3"/>
          <w:sz w:val="21"/>
        </w:rPr>
        <w:t>调试过程中，系统排出的水应通过排水设施全部排走，并应符合下列规定： 消防电梯排水设施的自动控制和排水能力应进行测试；</w:t>
      </w:r>
      <w:r>
        <w:rPr>
          <w:sz w:val="21"/>
        </w:rPr>
        <w:t> </w:t>
      </w:r>
    </w:p>
    <w:p>
      <w:pPr>
        <w:pStyle w:val="BodyText"/>
        <w:spacing w:line="446" w:lineRule="auto"/>
        <w:ind w:left="418" w:right="1609" w:firstLine="419"/>
      </w:pPr>
      <w:r>
        <w:rPr/>
        <w:t>报警阀排水试验管处和末端试水装置处排水设施的排水能力应进行测试，且在地面不应有积水； </w:t>
      </w:r>
    </w:p>
    <w:p>
      <w:pPr>
        <w:pStyle w:val="BodyText"/>
        <w:ind w:left="838"/>
      </w:pPr>
      <w:r>
        <w:rPr/>
        <w:t>试验消火栓处的排水能力应满足试验要求； </w:t>
      </w:r>
    </w:p>
    <w:p>
      <w:pPr>
        <w:pStyle w:val="BodyText"/>
        <w:spacing w:before="10"/>
        <w:rPr>
          <w:sz w:val="17"/>
        </w:rPr>
      </w:pPr>
    </w:p>
    <w:p>
      <w:pPr>
        <w:pStyle w:val="BodyText"/>
        <w:spacing w:line="446" w:lineRule="auto" w:before="1"/>
        <w:ind w:left="838" w:right="3606"/>
      </w:pPr>
      <w:r>
        <w:rPr/>
        <w:t>消防水泵房排水设施的排水能力应进行测试，并应符合设计要求。检查数量：全数检查。 </w:t>
      </w:r>
    </w:p>
    <w:p>
      <w:pPr>
        <w:pStyle w:val="BodyText"/>
        <w:ind w:left="838"/>
      </w:pPr>
      <w:r>
        <w:rPr/>
        <w:t>检查方法：使用压力表、流量计、专用测试工具和直观检查。 </w:t>
      </w:r>
    </w:p>
    <w:p>
      <w:pPr>
        <w:pStyle w:val="BodyText"/>
        <w:spacing w:before="12"/>
        <w:rPr>
          <w:sz w:val="17"/>
        </w:rPr>
      </w:pPr>
    </w:p>
    <w:p>
      <w:pPr>
        <w:pStyle w:val="ListParagraph"/>
        <w:numPr>
          <w:ilvl w:val="2"/>
          <w:numId w:val="762"/>
        </w:numPr>
        <w:tabs>
          <w:tab w:pos="1635" w:val="left" w:leader="none"/>
        </w:tabs>
        <w:spacing w:line="240" w:lineRule="auto" w:before="0" w:after="0"/>
        <w:ind w:left="1634" w:right="0" w:hanging="795"/>
        <w:jc w:val="left"/>
        <w:rPr>
          <w:sz w:val="21"/>
        </w:rPr>
      </w:pPr>
      <w:r>
        <w:rPr>
          <w:spacing w:val="-3"/>
          <w:sz w:val="21"/>
        </w:rPr>
        <w:t>控制柜调试和测试应符合下列要求：</w:t>
      </w:r>
      <w:r>
        <w:rPr>
          <w:sz w:val="21"/>
        </w:rPr>
        <w:t> </w:t>
      </w:r>
    </w:p>
    <w:p>
      <w:pPr>
        <w:pStyle w:val="BodyText"/>
        <w:spacing w:before="2"/>
        <w:rPr>
          <w:sz w:val="18"/>
        </w:rPr>
      </w:pPr>
    </w:p>
    <w:p>
      <w:pPr>
        <w:pStyle w:val="BodyText"/>
        <w:ind w:left="838"/>
      </w:pPr>
      <w:r>
        <w:rPr/>
        <w:t>应首先空载调试控制柜的控制功能，并应对各个控制程序进行试验验证； </w:t>
      </w:r>
    </w:p>
    <w:p>
      <w:pPr>
        <w:spacing w:after="0"/>
        <w:sectPr>
          <w:pgSz w:w="11910" w:h="16850"/>
          <w:pgMar w:header="0" w:footer="1239" w:top="1220" w:bottom="1420" w:left="1260" w:right="0"/>
        </w:sectPr>
      </w:pPr>
    </w:p>
    <w:p>
      <w:pPr>
        <w:pStyle w:val="BodyText"/>
        <w:spacing w:line="446" w:lineRule="auto" w:before="47"/>
        <w:ind w:left="418" w:right="1609" w:firstLine="419"/>
      </w:pPr>
      <w:r>
        <w:rPr/>
        <w:t>当空载调试合格后，应加负载调试控制柜的控制功能，并应对各个负载电流的状况进行试验检测和验证； </w:t>
      </w:r>
    </w:p>
    <w:p>
      <w:pPr>
        <w:pStyle w:val="BodyText"/>
        <w:spacing w:line="446" w:lineRule="auto"/>
        <w:ind w:left="838" w:right="1609"/>
      </w:pPr>
      <w:r>
        <w:rPr>
          <w:spacing w:val="-3"/>
        </w:rPr>
        <w:t>应检查显示功能，并应对电压、电流、故障、声光报警等功能进行试验检测和验证；   应调试自动巡检功能，并应对各泵的巡检动作、时间、周期、频率和转速等进行试验检测</w:t>
      </w:r>
    </w:p>
    <w:p>
      <w:pPr>
        <w:pStyle w:val="BodyText"/>
        <w:ind w:left="418"/>
      </w:pPr>
      <w:r>
        <w:rPr/>
        <w:t>和验证； </w:t>
      </w:r>
    </w:p>
    <w:p>
      <w:pPr>
        <w:pStyle w:val="BodyText"/>
        <w:spacing w:before="10"/>
        <w:rPr>
          <w:sz w:val="17"/>
        </w:rPr>
      </w:pPr>
    </w:p>
    <w:p>
      <w:pPr>
        <w:pStyle w:val="BodyText"/>
        <w:spacing w:line="446" w:lineRule="auto"/>
        <w:ind w:left="838" w:right="6129"/>
      </w:pPr>
      <w:r>
        <w:rPr/>
        <w:t>应试验消防水泵的各种强制启泵功能。检查数量：全数检查。 </w:t>
      </w:r>
    </w:p>
    <w:p>
      <w:pPr>
        <w:pStyle w:val="BodyText"/>
        <w:spacing w:before="1"/>
        <w:ind w:left="838"/>
      </w:pPr>
      <w:r>
        <w:rPr/>
        <w:t>检查方法：使用电压表、电流表、秒表等仪表和直观检查。 </w:t>
      </w:r>
    </w:p>
    <w:p>
      <w:pPr>
        <w:pStyle w:val="BodyText"/>
        <w:spacing w:before="12"/>
        <w:rPr>
          <w:sz w:val="17"/>
        </w:rPr>
      </w:pPr>
    </w:p>
    <w:p>
      <w:pPr>
        <w:pStyle w:val="ListParagraph"/>
        <w:numPr>
          <w:ilvl w:val="2"/>
          <w:numId w:val="762"/>
        </w:numPr>
        <w:tabs>
          <w:tab w:pos="1635" w:val="left" w:leader="none"/>
        </w:tabs>
        <w:spacing w:line="240" w:lineRule="auto" w:before="0" w:after="0"/>
        <w:ind w:left="1634" w:right="0" w:hanging="795"/>
        <w:jc w:val="left"/>
        <w:rPr>
          <w:sz w:val="21"/>
        </w:rPr>
      </w:pPr>
      <w:r>
        <w:rPr>
          <w:spacing w:val="-6"/>
          <w:sz w:val="21"/>
        </w:rPr>
        <w:t>联锁试验应符合下列要求，并应按本规范表 </w:t>
      </w:r>
      <w:r>
        <w:rPr>
          <w:sz w:val="21"/>
        </w:rPr>
        <w:t>C.0.4</w:t>
      </w:r>
      <w:r>
        <w:rPr>
          <w:spacing w:val="-9"/>
          <w:sz w:val="21"/>
        </w:rPr>
        <w:t> 的要求进行记录： </w:t>
      </w:r>
    </w:p>
    <w:p>
      <w:pPr>
        <w:pStyle w:val="BodyText"/>
        <w:spacing w:before="2"/>
        <w:rPr>
          <w:sz w:val="18"/>
        </w:rPr>
      </w:pPr>
    </w:p>
    <w:p>
      <w:pPr>
        <w:pStyle w:val="BodyText"/>
        <w:spacing w:line="446" w:lineRule="auto"/>
        <w:ind w:left="418" w:right="1505" w:firstLine="419"/>
      </w:pPr>
      <w:r>
        <w:rPr>
          <w:spacing w:val="-6"/>
        </w:rPr>
        <w:t>干式消火栓系统联锁试验，当打开 </w:t>
      </w:r>
      <w:r>
        <w:rPr/>
        <w:t>1</w:t>
      </w:r>
      <w:r>
        <w:rPr>
          <w:spacing w:val="-13"/>
        </w:rPr>
        <w:t> 个消火栓或模拟 </w:t>
      </w:r>
      <w:r>
        <w:rPr/>
        <w:t>1</w:t>
      </w:r>
      <w:r>
        <w:rPr>
          <w:spacing w:val="-9"/>
        </w:rPr>
        <w:t> 个消火栓的排气量排气时，干式报警阀</w:t>
      </w:r>
      <w:r>
        <w:rPr>
          <w:spacing w:val="-3"/>
        </w:rPr>
        <w:t>（</w:t>
      </w:r>
      <w:r>
        <w:rPr>
          <w:spacing w:val="-2"/>
        </w:rPr>
        <w:t>电动阀</w:t>
      </w:r>
      <w:r>
        <w:rPr>
          <w:spacing w:val="-3"/>
        </w:rPr>
        <w:t>/</w:t>
      </w:r>
      <w:r>
        <w:rPr>
          <w:spacing w:val="-2"/>
        </w:rPr>
        <w:t>电磁阀</w:t>
      </w:r>
      <w:r>
        <w:rPr>
          <w:spacing w:val="-3"/>
        </w:rPr>
        <w:t>）应及时启动，压力开关应发出信号或联锁启动消防防水泵，水力警铃动作应发出机械报警信号；</w:t>
      </w:r>
      <w:r>
        <w:rPr/>
        <w:t> </w:t>
      </w:r>
    </w:p>
    <w:p>
      <w:pPr>
        <w:pStyle w:val="BodyText"/>
        <w:spacing w:line="446" w:lineRule="auto"/>
        <w:ind w:left="418" w:right="1608" w:firstLine="419"/>
        <w:jc w:val="both"/>
      </w:pPr>
      <w:r>
        <w:rPr/>
        <w:t>消防给水系统的试验管放水时，管网压力应持续降低，消防水泵出水干管上压力开关应能自动启动消防水泵；消防给水系统的试验管放水或高位消防水箱排水管放水时，高位消防水箱出水管上的流量开关应动作，且应能自动启动消防水泵； </w:t>
      </w:r>
    </w:p>
    <w:p>
      <w:pPr>
        <w:pStyle w:val="BodyText"/>
        <w:spacing w:line="446" w:lineRule="auto"/>
        <w:ind w:left="838" w:right="3714"/>
      </w:pPr>
      <w:r>
        <w:rPr/>
        <w:t>自动启动时间应符合设计要求和本规范第 11.0.3 条的有关规定。检查数量：全数检查。 </w:t>
      </w:r>
    </w:p>
    <w:p>
      <w:pPr>
        <w:spacing w:line="446" w:lineRule="auto" w:before="0"/>
        <w:ind w:left="840" w:right="7600" w:hanging="3"/>
        <w:jc w:val="left"/>
        <w:rPr>
          <w:sz w:val="21"/>
        </w:rPr>
      </w:pPr>
      <w:r>
        <w:rPr>
          <w:sz w:val="21"/>
        </w:rPr>
        <w:t>检查方法：直观检查。</w:t>
      </w:r>
      <w:r>
        <w:rPr>
          <w:b/>
          <w:sz w:val="21"/>
        </w:rPr>
        <w:t>13.2 </w:t>
      </w:r>
      <w:r>
        <w:rPr>
          <w:sz w:val="21"/>
        </w:rPr>
        <w:t>系统验收 </w:t>
      </w:r>
    </w:p>
    <w:p>
      <w:pPr>
        <w:pStyle w:val="ListParagraph"/>
        <w:numPr>
          <w:ilvl w:val="2"/>
          <w:numId w:val="763"/>
        </w:numPr>
        <w:tabs>
          <w:tab w:pos="1530" w:val="left" w:leader="none"/>
        </w:tabs>
        <w:spacing w:line="446" w:lineRule="auto" w:before="0" w:after="0"/>
        <w:ind w:left="418" w:right="1549" w:firstLine="422"/>
        <w:jc w:val="left"/>
        <w:rPr>
          <w:sz w:val="21"/>
        </w:rPr>
      </w:pPr>
      <w:r>
        <w:rPr>
          <w:spacing w:val="-3"/>
          <w:sz w:val="21"/>
        </w:rPr>
        <w:t>系统竣工后，必须进行工程验收，验收应由建设单位组织质检、设计、施工、监理参加，验收不合格不应投入使用。</w:t>
      </w:r>
      <w:r>
        <w:rPr>
          <w:sz w:val="21"/>
        </w:rPr>
        <w:t> </w:t>
      </w:r>
    </w:p>
    <w:p>
      <w:pPr>
        <w:pStyle w:val="ListParagraph"/>
        <w:numPr>
          <w:ilvl w:val="2"/>
          <w:numId w:val="763"/>
        </w:numPr>
        <w:tabs>
          <w:tab w:pos="1530" w:val="left" w:leader="none"/>
        </w:tabs>
        <w:spacing w:line="240" w:lineRule="auto" w:before="0" w:after="0"/>
        <w:ind w:left="1529" w:right="0" w:hanging="690"/>
        <w:jc w:val="left"/>
        <w:rPr>
          <w:sz w:val="21"/>
        </w:rPr>
      </w:pPr>
      <w:r>
        <w:rPr>
          <w:spacing w:val="-6"/>
          <w:sz w:val="21"/>
        </w:rPr>
        <w:t>消防给水及消火栓系统工程验收应按本规范附录 </w:t>
      </w:r>
      <w:r>
        <w:rPr>
          <w:sz w:val="21"/>
        </w:rPr>
        <w:t>E</w:t>
      </w:r>
      <w:r>
        <w:rPr>
          <w:spacing w:val="-10"/>
          <w:sz w:val="21"/>
        </w:rPr>
        <w:t> 的要求填写。</w:t>
      </w:r>
      <w:r>
        <w:rPr>
          <w:sz w:val="21"/>
        </w:rPr>
        <w:t> </w:t>
      </w:r>
    </w:p>
    <w:p>
      <w:pPr>
        <w:pStyle w:val="BodyText"/>
        <w:spacing w:before="8"/>
        <w:rPr>
          <w:sz w:val="17"/>
        </w:rPr>
      </w:pPr>
    </w:p>
    <w:p>
      <w:pPr>
        <w:pStyle w:val="ListParagraph"/>
        <w:numPr>
          <w:ilvl w:val="2"/>
          <w:numId w:val="763"/>
        </w:numPr>
        <w:tabs>
          <w:tab w:pos="1530" w:val="left" w:leader="none"/>
        </w:tabs>
        <w:spacing w:line="446" w:lineRule="auto" w:before="0" w:after="0"/>
        <w:ind w:left="838" w:right="5228" w:firstLine="2"/>
        <w:jc w:val="left"/>
        <w:rPr>
          <w:sz w:val="21"/>
        </w:rPr>
      </w:pPr>
      <w:r>
        <w:rPr>
          <w:spacing w:val="-3"/>
          <w:sz w:val="21"/>
        </w:rPr>
        <w:t>系统验收时，施工单位应提供下列资料： 竣工验收申请报告、设计文件、竣工资料；</w:t>
      </w:r>
      <w:r>
        <w:rPr>
          <w:sz w:val="21"/>
        </w:rPr>
        <w:t> </w:t>
      </w:r>
    </w:p>
    <w:p>
      <w:pPr>
        <w:pStyle w:val="BodyText"/>
        <w:spacing w:line="446" w:lineRule="auto"/>
        <w:ind w:left="838" w:right="6337"/>
      </w:pPr>
      <w:r>
        <w:rPr/>
        <w:t>消防给水及消火栓系统的调试报告； 工程质量事故处理报告； </w:t>
      </w:r>
    </w:p>
    <w:p>
      <w:pPr>
        <w:pStyle w:val="BodyText"/>
        <w:spacing w:line="267" w:lineRule="exact"/>
        <w:ind w:left="838"/>
      </w:pPr>
      <w:r>
        <w:rPr/>
        <w:t>施工现场质量管理检查记录； </w:t>
      </w:r>
    </w:p>
    <w:p>
      <w:pPr>
        <w:pStyle w:val="BodyText"/>
        <w:spacing w:before="2"/>
        <w:rPr>
          <w:sz w:val="18"/>
        </w:rPr>
      </w:pPr>
    </w:p>
    <w:p>
      <w:pPr>
        <w:pStyle w:val="BodyText"/>
        <w:ind w:left="838"/>
      </w:pPr>
      <w:r>
        <w:rPr/>
        <w:t>消防给水及消火栓系统施工过程质量管理检查记录； </w:t>
      </w:r>
    </w:p>
    <w:p>
      <w:pPr>
        <w:spacing w:after="0"/>
        <w:sectPr>
          <w:pgSz w:w="11910" w:h="16850"/>
          <w:pgMar w:header="0" w:footer="1239" w:top="1220" w:bottom="1420" w:left="1260" w:right="0"/>
        </w:sectPr>
      </w:pPr>
    </w:p>
    <w:p>
      <w:pPr>
        <w:pStyle w:val="BodyText"/>
        <w:spacing w:before="47"/>
        <w:ind w:left="838"/>
      </w:pPr>
      <w:r>
        <w:rPr/>
        <w:t>消防给水及消火栓系统质量控制检查资料。 </w:t>
      </w:r>
    </w:p>
    <w:p>
      <w:pPr>
        <w:pStyle w:val="BodyText"/>
        <w:rPr>
          <w:sz w:val="18"/>
        </w:rPr>
      </w:pPr>
    </w:p>
    <w:p>
      <w:pPr>
        <w:pStyle w:val="ListParagraph"/>
        <w:numPr>
          <w:ilvl w:val="2"/>
          <w:numId w:val="763"/>
        </w:numPr>
        <w:tabs>
          <w:tab w:pos="1530" w:val="left" w:leader="none"/>
        </w:tabs>
        <w:spacing w:line="240" w:lineRule="auto" w:before="0" w:after="0"/>
        <w:ind w:left="1529" w:right="0" w:hanging="690"/>
        <w:jc w:val="left"/>
        <w:rPr>
          <w:sz w:val="21"/>
        </w:rPr>
      </w:pPr>
      <w:r>
        <w:rPr>
          <w:spacing w:val="-3"/>
          <w:sz w:val="21"/>
        </w:rPr>
        <w:t>水源的检查验收应符合下列要求：</w:t>
      </w:r>
      <w:r>
        <w:rPr>
          <w:sz w:val="21"/>
        </w:rPr>
        <w:t> </w:t>
      </w:r>
    </w:p>
    <w:p>
      <w:pPr>
        <w:pStyle w:val="BodyText"/>
        <w:rPr>
          <w:sz w:val="18"/>
        </w:rPr>
      </w:pPr>
    </w:p>
    <w:p>
      <w:pPr>
        <w:pStyle w:val="BodyText"/>
        <w:spacing w:line="446" w:lineRule="auto"/>
        <w:ind w:left="418" w:right="1608" w:firstLine="419"/>
      </w:pPr>
      <w:r>
        <w:rPr/>
        <w:t>应检查室外给水管网的进水管管径及供水能力，并应检查高位消防水箱、高位消防水池和消防水池等的有效容积和水位测量装置等应符合设计要求； </w:t>
      </w:r>
    </w:p>
    <w:p>
      <w:pPr>
        <w:pStyle w:val="BodyText"/>
        <w:ind w:left="838"/>
      </w:pPr>
      <w:r>
        <w:rPr/>
        <w:t>当采用地表天然水源作为消防水源时，其水位、水量、水质等应符合设计要求； </w:t>
      </w:r>
    </w:p>
    <w:p>
      <w:pPr>
        <w:pStyle w:val="BodyText"/>
        <w:spacing w:before="12"/>
        <w:rPr>
          <w:sz w:val="17"/>
        </w:rPr>
      </w:pPr>
    </w:p>
    <w:p>
      <w:pPr>
        <w:pStyle w:val="BodyText"/>
        <w:spacing w:line="446" w:lineRule="auto"/>
        <w:ind w:left="418" w:right="1609" w:firstLine="419"/>
      </w:pPr>
      <w:r>
        <w:rPr/>
        <w:t>应根据有效水文资料检查天然水源枯水期最低水位、常水位和洪水位时确保消防用水应符合设计要求。 </w:t>
      </w:r>
    </w:p>
    <w:p>
      <w:pPr>
        <w:pStyle w:val="BodyText"/>
        <w:spacing w:line="446" w:lineRule="auto"/>
        <w:ind w:left="418" w:right="1609" w:firstLine="419"/>
      </w:pPr>
      <w:r>
        <w:rPr/>
        <w:t>应根据地下水井抽水试验资料确定常水位、最低水位、出水量和水位测量装置等技术参数和装备应符合设计要求。 </w:t>
      </w:r>
    </w:p>
    <w:p>
      <w:pPr>
        <w:pStyle w:val="BodyText"/>
        <w:ind w:left="838"/>
      </w:pPr>
      <w:r>
        <w:rPr/>
        <w:t>检查数量：全数检查。 </w:t>
      </w:r>
    </w:p>
    <w:p>
      <w:pPr>
        <w:pStyle w:val="BodyText"/>
        <w:rPr>
          <w:sz w:val="18"/>
        </w:rPr>
      </w:pPr>
    </w:p>
    <w:p>
      <w:pPr>
        <w:pStyle w:val="BodyText"/>
        <w:ind w:left="838"/>
      </w:pPr>
      <w:r>
        <w:rPr/>
        <w:t>检查方法：对照设计资料直观检查。 </w:t>
      </w:r>
    </w:p>
    <w:p>
      <w:pPr>
        <w:pStyle w:val="BodyText"/>
        <w:spacing w:before="12"/>
        <w:rPr>
          <w:sz w:val="17"/>
        </w:rPr>
      </w:pPr>
    </w:p>
    <w:p>
      <w:pPr>
        <w:pStyle w:val="ListParagraph"/>
        <w:numPr>
          <w:ilvl w:val="2"/>
          <w:numId w:val="763"/>
        </w:numPr>
        <w:tabs>
          <w:tab w:pos="1530" w:val="left" w:leader="none"/>
        </w:tabs>
        <w:spacing w:line="240" w:lineRule="auto" w:before="0" w:after="0"/>
        <w:ind w:left="1529" w:right="0" w:hanging="690"/>
        <w:jc w:val="both"/>
        <w:rPr>
          <w:sz w:val="21"/>
        </w:rPr>
      </w:pPr>
      <w:r>
        <w:rPr>
          <w:spacing w:val="-3"/>
          <w:sz w:val="21"/>
        </w:rPr>
        <w:t>消防水泵房的验收应符合下列要求：</w:t>
      </w:r>
      <w:r>
        <w:rPr>
          <w:sz w:val="21"/>
        </w:rPr>
        <w:t> </w:t>
      </w:r>
    </w:p>
    <w:p>
      <w:pPr>
        <w:pStyle w:val="BodyText"/>
        <w:spacing w:before="2"/>
        <w:rPr>
          <w:sz w:val="18"/>
        </w:rPr>
      </w:pPr>
    </w:p>
    <w:p>
      <w:pPr>
        <w:pStyle w:val="BodyText"/>
        <w:spacing w:line="446" w:lineRule="auto"/>
        <w:ind w:left="418" w:right="1923" w:firstLine="419"/>
        <w:jc w:val="both"/>
      </w:pPr>
      <w:r>
        <w:rPr/>
        <w:t>消防水泵房的建筑防火要求应符合设计要求和现行国家标准《建筑设计防火规范》GB 50016 的有关规定； </w:t>
      </w:r>
    </w:p>
    <w:p>
      <w:pPr>
        <w:pStyle w:val="BodyText"/>
        <w:spacing w:line="446" w:lineRule="auto"/>
        <w:ind w:left="838" w:right="4446"/>
        <w:jc w:val="both"/>
      </w:pPr>
      <w:r>
        <w:rPr/>
        <w:t>消防水泵房设置的应急照明、安全出口应符合设计要求； 消防水泵房的采暖通风、排水和防洪等应符合设计要求； 消防水泵房的设备进出和维修安装空间应满足设备要求； 消防水泵控制柜的安装位置和防护等级应符合设计要求。检查数量：全数检查。 </w:t>
      </w:r>
    </w:p>
    <w:p>
      <w:pPr>
        <w:pStyle w:val="BodyText"/>
        <w:spacing w:line="268" w:lineRule="exact"/>
        <w:ind w:left="838"/>
      </w:pPr>
      <w:r>
        <w:rPr/>
        <w:t>检查方法：对照图纸直观检查。 </w:t>
      </w:r>
    </w:p>
    <w:p>
      <w:pPr>
        <w:pStyle w:val="BodyText"/>
        <w:spacing w:before="10"/>
        <w:rPr>
          <w:sz w:val="17"/>
        </w:rPr>
      </w:pPr>
    </w:p>
    <w:p>
      <w:pPr>
        <w:pStyle w:val="ListParagraph"/>
        <w:numPr>
          <w:ilvl w:val="2"/>
          <w:numId w:val="763"/>
        </w:numPr>
        <w:tabs>
          <w:tab w:pos="1478" w:val="left" w:leader="none"/>
        </w:tabs>
        <w:spacing w:line="240" w:lineRule="auto" w:before="0" w:after="0"/>
        <w:ind w:left="1477" w:right="0" w:hanging="638"/>
        <w:jc w:val="left"/>
        <w:rPr>
          <w:sz w:val="21"/>
        </w:rPr>
      </w:pPr>
      <w:r>
        <w:rPr>
          <w:spacing w:val="-3"/>
          <w:sz w:val="21"/>
        </w:rPr>
        <w:t>消防水泵验收应符合下列要求：</w:t>
      </w:r>
      <w:r>
        <w:rPr>
          <w:sz w:val="21"/>
        </w:rPr>
        <w:t> </w:t>
      </w:r>
    </w:p>
    <w:p>
      <w:pPr>
        <w:pStyle w:val="BodyText"/>
        <w:spacing w:before="2"/>
        <w:rPr>
          <w:sz w:val="18"/>
        </w:rPr>
      </w:pPr>
    </w:p>
    <w:p>
      <w:pPr>
        <w:pStyle w:val="BodyText"/>
        <w:ind w:left="838"/>
      </w:pPr>
      <w:r>
        <w:rPr/>
        <w:t>消防水泵运转应平稳，应无不良噪声的振动； </w:t>
      </w:r>
    </w:p>
    <w:p>
      <w:pPr>
        <w:pStyle w:val="BodyText"/>
        <w:spacing w:before="12"/>
        <w:rPr>
          <w:sz w:val="17"/>
        </w:rPr>
      </w:pPr>
    </w:p>
    <w:p>
      <w:pPr>
        <w:pStyle w:val="BodyText"/>
        <w:spacing w:line="446" w:lineRule="auto" w:before="1"/>
        <w:ind w:left="418" w:right="1608" w:firstLine="419"/>
        <w:jc w:val="both"/>
      </w:pPr>
      <w:r>
        <w:rPr/>
        <w:t>工作泵、备用泵、吸水管、出水管及出水管上的泄压阀、水锤消除设施、止回阀、信号阀等的规格、型号、数量，应符合设计要求；吸水管、出水管上的控制阀应锁定在常开位置，并应有明显标记； </w:t>
      </w:r>
    </w:p>
    <w:p>
      <w:pPr>
        <w:pStyle w:val="BodyText"/>
        <w:spacing w:line="268" w:lineRule="exact"/>
        <w:ind w:left="838"/>
      </w:pPr>
      <w:r>
        <w:rPr/>
        <w:t>消防水泵应采用自灌式引水方式，并应保证全部有效储水被有效利用； </w:t>
      </w:r>
    </w:p>
    <w:p>
      <w:pPr>
        <w:pStyle w:val="BodyText"/>
        <w:spacing w:before="12"/>
        <w:rPr>
          <w:sz w:val="17"/>
        </w:rPr>
      </w:pPr>
    </w:p>
    <w:p>
      <w:pPr>
        <w:pStyle w:val="BodyText"/>
        <w:spacing w:line="446" w:lineRule="auto"/>
        <w:ind w:left="418" w:right="1609" w:firstLine="419"/>
      </w:pPr>
      <w:r>
        <w:rPr/>
        <w:t>分别开启系统中的每一个末端试水装置、试水阀和试验消火栓，水流指示器、压力开关、压力开关（管网）、高位消防水箱流量开关等信号的功能，均应符合设计要求；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jc w:val="both"/>
      </w:pPr>
      <w:r>
        <w:rPr/>
        <w:t>打开消防水泵出水管上试水阀，当采用主电源启动消防水泵时，消防水泵应启动正常；关掉主电源，主、备电源应能正常切换；备用泵启动和相互切换正常；消防水泵就地和远程启停功能应正常； </w:t>
      </w:r>
    </w:p>
    <w:p>
      <w:pPr>
        <w:pStyle w:val="BodyText"/>
        <w:spacing w:line="446" w:lineRule="auto"/>
        <w:ind w:left="838" w:right="1928"/>
      </w:pPr>
      <w:r>
        <w:rPr>
          <w:spacing w:val="-5"/>
        </w:rPr>
        <w:t>消防水泵停泵时，水锤消除设施后的压力不应超过水泵出口设计工作压力的 </w:t>
      </w:r>
      <w:r>
        <w:rPr/>
        <w:t>1.4</w:t>
      </w:r>
      <w:r>
        <w:rPr>
          <w:spacing w:val="-17"/>
        </w:rPr>
        <w:t> 倍； </w:t>
      </w:r>
      <w:r>
        <w:rPr>
          <w:spacing w:val="-3"/>
        </w:rPr>
        <w:t>消防水泵启动控制应置于自动启动挡；</w:t>
      </w:r>
      <w:r>
        <w:rPr/>
        <w:t> </w:t>
      </w:r>
    </w:p>
    <w:p>
      <w:pPr>
        <w:pStyle w:val="BodyText"/>
        <w:spacing w:line="446" w:lineRule="auto"/>
        <w:ind w:left="838" w:right="2134"/>
      </w:pPr>
      <w:r>
        <w:rPr>
          <w:spacing w:val="-3"/>
        </w:rPr>
        <w:t>采用固定和移动式流量计和压力表测试消防水泵的性能，水泵性能应满足设计要求检查数量：全数检查。</w:t>
      </w:r>
      <w:r>
        <w:rPr/>
        <w:t> </w:t>
      </w:r>
    </w:p>
    <w:p>
      <w:pPr>
        <w:pStyle w:val="BodyText"/>
        <w:ind w:left="838"/>
      </w:pPr>
      <w:r>
        <w:rPr/>
        <w:t>检查方法：直观检查和采用仪表检测。 </w:t>
      </w:r>
    </w:p>
    <w:p>
      <w:pPr>
        <w:pStyle w:val="BodyText"/>
        <w:spacing w:before="9"/>
        <w:rPr>
          <w:sz w:val="17"/>
        </w:rPr>
      </w:pPr>
    </w:p>
    <w:p>
      <w:pPr>
        <w:pStyle w:val="ListParagraph"/>
        <w:numPr>
          <w:ilvl w:val="2"/>
          <w:numId w:val="763"/>
        </w:numPr>
        <w:tabs>
          <w:tab w:pos="1530" w:val="left" w:leader="none"/>
        </w:tabs>
        <w:spacing w:line="446" w:lineRule="auto" w:before="1" w:after="0"/>
        <w:ind w:left="838" w:right="6129" w:firstLine="2"/>
        <w:jc w:val="left"/>
        <w:rPr>
          <w:sz w:val="21"/>
        </w:rPr>
      </w:pPr>
      <w:r>
        <w:rPr>
          <w:spacing w:val="-3"/>
          <w:sz w:val="21"/>
        </w:rPr>
        <w:t>稳压泵验收应符合下列要求： 稳压泵的型号性能等应符合设计要求；</w:t>
      </w:r>
      <w:r>
        <w:rPr>
          <w:sz w:val="21"/>
        </w:rPr>
        <w:t> </w:t>
      </w:r>
    </w:p>
    <w:p>
      <w:pPr>
        <w:pStyle w:val="BodyText"/>
        <w:spacing w:line="446" w:lineRule="auto"/>
        <w:ind w:left="838" w:right="2977"/>
      </w:pPr>
      <w:r>
        <w:rPr>
          <w:spacing w:val="-3"/>
        </w:rPr>
        <w:t>稳压泵的控制应符合设计要求，并应有防止稳压泵频繁启动的技术措施； </w:t>
      </w:r>
      <w:r>
        <w:rPr>
          <w:spacing w:val="-12"/>
        </w:rPr>
        <w:t>稳压泵在 </w:t>
      </w:r>
      <w:r>
        <w:rPr/>
        <w:t>1h</w:t>
      </w:r>
      <w:r>
        <w:rPr>
          <w:spacing w:val="-11"/>
        </w:rPr>
        <w:t> 内的启停次数应符合设计要求，并不宜大于 </w:t>
      </w:r>
      <w:r>
        <w:rPr/>
        <w:t>15</w:t>
      </w:r>
      <w:r>
        <w:rPr>
          <w:spacing w:val="-26"/>
        </w:rPr>
        <w:t> 次</w:t>
      </w:r>
      <w:r>
        <w:rPr/>
        <w:t>/h； </w:t>
      </w:r>
    </w:p>
    <w:p>
      <w:pPr>
        <w:pStyle w:val="BodyText"/>
        <w:spacing w:line="446" w:lineRule="auto"/>
        <w:ind w:left="838" w:right="1925"/>
      </w:pPr>
      <w:r>
        <w:rPr>
          <w:spacing w:val="-3"/>
        </w:rPr>
        <w:t>稳压泵供电应正常，自动手动启停应正常；关掉主电源，主、备电源应能正常切换； 检查数量：全数检查。</w:t>
      </w:r>
      <w:r>
        <w:rPr/>
        <w:t> </w:t>
      </w:r>
    </w:p>
    <w:p>
      <w:pPr>
        <w:pStyle w:val="BodyText"/>
        <w:spacing w:line="267" w:lineRule="exact"/>
        <w:ind w:left="838"/>
      </w:pPr>
      <w:r>
        <w:rPr>
          <w:spacing w:val="-3"/>
        </w:rPr>
        <w:t>检查方法：直观检查。</w:t>
      </w:r>
      <w:r>
        <w:rPr/>
        <w:t> </w:t>
      </w:r>
    </w:p>
    <w:p>
      <w:pPr>
        <w:pStyle w:val="BodyText"/>
        <w:spacing w:before="1"/>
        <w:rPr>
          <w:sz w:val="18"/>
        </w:rPr>
      </w:pPr>
    </w:p>
    <w:p>
      <w:pPr>
        <w:pStyle w:val="ListParagraph"/>
        <w:numPr>
          <w:ilvl w:val="2"/>
          <w:numId w:val="763"/>
        </w:numPr>
        <w:tabs>
          <w:tab w:pos="1530" w:val="left" w:leader="none"/>
        </w:tabs>
        <w:spacing w:line="240" w:lineRule="auto" w:before="0" w:after="0"/>
        <w:ind w:left="1529" w:right="0" w:hanging="690"/>
        <w:jc w:val="left"/>
        <w:rPr>
          <w:sz w:val="21"/>
        </w:rPr>
      </w:pPr>
      <w:r>
        <w:rPr>
          <w:spacing w:val="-3"/>
          <w:sz w:val="21"/>
        </w:rPr>
        <w:t>减压阀验收应符合下列要求：</w:t>
      </w:r>
      <w:r>
        <w:rPr>
          <w:sz w:val="21"/>
        </w:rPr>
        <w:t> </w:t>
      </w:r>
    </w:p>
    <w:p>
      <w:pPr>
        <w:pStyle w:val="BodyText"/>
        <w:rPr>
          <w:sz w:val="18"/>
        </w:rPr>
      </w:pPr>
    </w:p>
    <w:p>
      <w:pPr>
        <w:pStyle w:val="BodyText"/>
        <w:ind w:left="838"/>
      </w:pPr>
      <w:r>
        <w:rPr/>
        <w:t>减压阀的型号、规格、设计压力和设计流量应符合设计要求； </w:t>
      </w:r>
    </w:p>
    <w:p>
      <w:pPr>
        <w:pStyle w:val="BodyText"/>
        <w:spacing w:before="12"/>
        <w:rPr>
          <w:sz w:val="17"/>
        </w:rPr>
      </w:pPr>
    </w:p>
    <w:p>
      <w:pPr>
        <w:pStyle w:val="BodyText"/>
        <w:ind w:left="838"/>
      </w:pPr>
      <w:r>
        <w:rPr/>
        <w:t>减压阀阀前应有过滤器，过滤器的过滤面积和孔径应符合设计要求和本规范第 8.3.4 条第 2</w:t>
      </w:r>
    </w:p>
    <w:p>
      <w:pPr>
        <w:pStyle w:val="BodyText"/>
        <w:spacing w:before="2"/>
        <w:rPr>
          <w:sz w:val="18"/>
        </w:rPr>
      </w:pPr>
    </w:p>
    <w:p>
      <w:pPr>
        <w:pStyle w:val="BodyText"/>
        <w:ind w:left="418"/>
      </w:pPr>
      <w:r>
        <w:rPr/>
        <w:t>款的规定； </w:t>
      </w:r>
    </w:p>
    <w:p>
      <w:pPr>
        <w:pStyle w:val="BodyText"/>
        <w:rPr>
          <w:sz w:val="18"/>
        </w:rPr>
      </w:pPr>
    </w:p>
    <w:p>
      <w:pPr>
        <w:pStyle w:val="BodyText"/>
        <w:spacing w:line="446" w:lineRule="auto"/>
        <w:ind w:left="838" w:right="5709"/>
      </w:pPr>
      <w:r>
        <w:rPr/>
        <w:t>减压阀阀前阀后动静压力应符合设计要求； 减压阀处应有试验用压力排水管道； </w:t>
      </w:r>
    </w:p>
    <w:p>
      <w:pPr>
        <w:pStyle w:val="BodyText"/>
        <w:ind w:left="838"/>
      </w:pPr>
      <w:r>
        <w:rPr/>
        <w:t>减压阀在小流量、设计流量和设计流量的 150%时不应出现噪声明显增加或管道出现喘振； </w:t>
      </w:r>
    </w:p>
    <w:p>
      <w:pPr>
        <w:pStyle w:val="BodyText"/>
        <w:spacing w:before="12"/>
        <w:rPr>
          <w:sz w:val="17"/>
        </w:rPr>
      </w:pPr>
    </w:p>
    <w:p>
      <w:pPr>
        <w:pStyle w:val="BodyText"/>
        <w:spacing w:line="446" w:lineRule="auto"/>
        <w:ind w:left="838" w:right="5077"/>
      </w:pPr>
      <w:r>
        <w:rPr/>
        <w:t>减压阀的水头损失应小于设计阀后静压和动压差。检查数量：全数检查。 </w:t>
      </w:r>
    </w:p>
    <w:p>
      <w:pPr>
        <w:pStyle w:val="BodyText"/>
        <w:ind w:left="838"/>
      </w:pPr>
      <w:r>
        <w:rPr/>
        <w:t>检查方法：使用压力表、流量计和直观检查。 </w:t>
      </w:r>
    </w:p>
    <w:p>
      <w:pPr>
        <w:pStyle w:val="BodyText"/>
        <w:rPr>
          <w:sz w:val="18"/>
        </w:rPr>
      </w:pPr>
    </w:p>
    <w:p>
      <w:pPr>
        <w:pStyle w:val="ListParagraph"/>
        <w:numPr>
          <w:ilvl w:val="2"/>
          <w:numId w:val="763"/>
        </w:numPr>
        <w:tabs>
          <w:tab w:pos="1530" w:val="left" w:leader="none"/>
        </w:tabs>
        <w:spacing w:line="446" w:lineRule="auto" w:before="0" w:after="0"/>
        <w:ind w:left="838" w:right="3126" w:firstLine="2"/>
        <w:jc w:val="left"/>
        <w:rPr>
          <w:sz w:val="21"/>
        </w:rPr>
      </w:pPr>
      <w:r>
        <w:rPr>
          <w:spacing w:val="-3"/>
          <w:sz w:val="21"/>
        </w:rPr>
        <w:t>消防水池、高位消防水池和高位消防水箱验收应符合下列要求： 设置位置应符合设计要求；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t>消防水池、高位消防水池和高位消防水箱的有效容积、水位、报警水位等，应符合设计要求； </w:t>
      </w:r>
    </w:p>
    <w:p>
      <w:pPr>
        <w:pStyle w:val="BodyText"/>
        <w:spacing w:line="446" w:lineRule="auto"/>
        <w:ind w:left="838" w:right="2765"/>
      </w:pPr>
      <w:r>
        <w:rPr>
          <w:spacing w:val="-3"/>
        </w:rPr>
        <w:t>进出水管、溢流管、排水管等应符合设计要求，且溢流管应采用间接排水； 管道、阀门和进水浮球阀等应便于检修，人孔和爬梯位置应合理；</w:t>
      </w:r>
      <w:r>
        <w:rPr/>
        <w:t> </w:t>
      </w:r>
    </w:p>
    <w:p>
      <w:pPr>
        <w:pStyle w:val="BodyText"/>
        <w:spacing w:line="446" w:lineRule="auto"/>
        <w:ind w:left="838" w:right="3397"/>
      </w:pPr>
      <w:r>
        <w:rPr>
          <w:spacing w:val="-3"/>
        </w:rPr>
        <w:t>消防水池吸水井、吸</w:t>
      </w:r>
      <w:r>
        <w:rPr/>
        <w:t>（</w:t>
      </w:r>
      <w:r>
        <w:rPr>
          <w:spacing w:val="-3"/>
        </w:rPr>
        <w:t>出</w:t>
      </w:r>
      <w:r>
        <w:rPr/>
        <w:t>）</w:t>
      </w:r>
      <w:r>
        <w:rPr>
          <w:spacing w:val="-3"/>
        </w:rPr>
        <w:t>水管喇叭口等设置位置应符合设计要求。检查数量：全数检查。</w:t>
      </w:r>
      <w:r>
        <w:rPr/>
        <w:t> </w:t>
      </w:r>
    </w:p>
    <w:p>
      <w:pPr>
        <w:pStyle w:val="BodyText"/>
        <w:ind w:left="838"/>
      </w:pPr>
      <w:r>
        <w:rPr>
          <w:spacing w:val="-3"/>
        </w:rPr>
        <w:t>检查方法：直观检查。</w:t>
      </w:r>
      <w:r>
        <w:rPr/>
        <w:t> </w:t>
      </w:r>
    </w:p>
    <w:p>
      <w:pPr>
        <w:pStyle w:val="BodyText"/>
        <w:spacing w:before="11"/>
        <w:rPr>
          <w:sz w:val="17"/>
        </w:rPr>
      </w:pPr>
    </w:p>
    <w:p>
      <w:pPr>
        <w:pStyle w:val="ListParagraph"/>
        <w:numPr>
          <w:ilvl w:val="2"/>
          <w:numId w:val="763"/>
        </w:numPr>
        <w:tabs>
          <w:tab w:pos="1635" w:val="left" w:leader="none"/>
        </w:tabs>
        <w:spacing w:line="240" w:lineRule="auto" w:before="0" w:after="0"/>
        <w:ind w:left="1634" w:right="0" w:hanging="795"/>
        <w:jc w:val="left"/>
        <w:rPr>
          <w:sz w:val="21"/>
        </w:rPr>
      </w:pPr>
      <w:r>
        <w:rPr>
          <w:spacing w:val="-3"/>
          <w:sz w:val="21"/>
        </w:rPr>
        <w:t>气压水罐验收应符合下列要求</w:t>
      </w:r>
      <w:r>
        <w:rPr>
          <w:sz w:val="21"/>
        </w:rPr>
        <w:t> </w:t>
      </w:r>
    </w:p>
    <w:p>
      <w:pPr>
        <w:pStyle w:val="BodyText"/>
        <w:spacing w:before="12"/>
        <w:rPr>
          <w:sz w:val="17"/>
        </w:rPr>
      </w:pPr>
    </w:p>
    <w:p>
      <w:pPr>
        <w:pStyle w:val="BodyText"/>
        <w:spacing w:line="446" w:lineRule="auto"/>
        <w:ind w:left="838" w:right="3397"/>
      </w:pPr>
      <w:r>
        <w:rPr/>
        <w:t>气压水罐的有效容积、调节容积和稳压泵启泵次数应符合设计要求； 气压水罐气侧压力应符合设计要求。 </w:t>
      </w:r>
    </w:p>
    <w:p>
      <w:pPr>
        <w:pStyle w:val="BodyText"/>
        <w:spacing w:line="446" w:lineRule="auto"/>
        <w:ind w:left="838" w:right="7600"/>
      </w:pPr>
      <w:r>
        <w:rPr/>
        <w:t>检查数量：全数检查。检查方法：直观检查。 </w:t>
      </w:r>
    </w:p>
    <w:p>
      <w:pPr>
        <w:pStyle w:val="ListParagraph"/>
        <w:numPr>
          <w:ilvl w:val="2"/>
          <w:numId w:val="763"/>
        </w:numPr>
        <w:tabs>
          <w:tab w:pos="1635" w:val="left" w:leader="none"/>
        </w:tabs>
        <w:spacing w:line="446" w:lineRule="auto" w:before="0" w:after="0"/>
        <w:ind w:left="838" w:right="4283" w:firstLine="2"/>
        <w:jc w:val="left"/>
        <w:rPr>
          <w:sz w:val="21"/>
        </w:rPr>
      </w:pPr>
      <w:r>
        <w:rPr>
          <w:spacing w:val="-3"/>
          <w:sz w:val="21"/>
        </w:rPr>
        <w:t>干式消火栓系统报警阀组的验收应符合下列要求： 报警阀组的各组件应符合产品标准要求；</w:t>
      </w:r>
      <w:r>
        <w:rPr>
          <w:sz w:val="21"/>
        </w:rPr>
        <w:t> </w:t>
      </w:r>
    </w:p>
    <w:p>
      <w:pPr>
        <w:pStyle w:val="BodyText"/>
        <w:spacing w:line="267" w:lineRule="exact"/>
        <w:ind w:left="838"/>
      </w:pPr>
      <w:r>
        <w:rPr/>
        <w:t>打开系统流量压力检测装置放水阀，测试的流量、压力应符合设计要求； </w:t>
      </w:r>
    </w:p>
    <w:p>
      <w:pPr>
        <w:pStyle w:val="BodyText"/>
        <w:spacing w:before="2"/>
        <w:rPr>
          <w:sz w:val="18"/>
        </w:rPr>
      </w:pPr>
    </w:p>
    <w:p>
      <w:pPr>
        <w:pStyle w:val="BodyText"/>
        <w:spacing w:line="446" w:lineRule="auto"/>
        <w:ind w:left="418" w:right="1392" w:firstLine="419"/>
      </w:pPr>
      <w:r>
        <w:rPr/>
        <w:t>水力警铃的设置位置应正确。测试时，水力警铃喷嘴处压力不应小于 0.05MPa，且距水力警铃 3m 远处警铃声声强不应小于 70dB； </w:t>
      </w:r>
    </w:p>
    <w:p>
      <w:pPr>
        <w:pStyle w:val="BodyText"/>
        <w:spacing w:line="446" w:lineRule="auto"/>
        <w:ind w:left="838" w:right="6969"/>
      </w:pPr>
      <w:r>
        <w:rPr/>
        <w:t>打开手动试水阀动作应可靠； 控制阀均应锁定在常开位置； </w:t>
      </w:r>
    </w:p>
    <w:p>
      <w:pPr>
        <w:pStyle w:val="BodyText"/>
        <w:spacing w:line="446" w:lineRule="auto"/>
        <w:ind w:left="838" w:right="3606"/>
      </w:pPr>
      <w:r>
        <w:rPr>
          <w:spacing w:val="-3"/>
        </w:rPr>
        <w:t>与空气压缩机或火灾自动报警系统的联锁控制，应符合设计要求。检查数量：全数检查。</w:t>
      </w:r>
      <w:r>
        <w:rPr/>
        <w:t> </w:t>
      </w:r>
    </w:p>
    <w:p>
      <w:pPr>
        <w:pStyle w:val="BodyText"/>
        <w:ind w:left="838"/>
      </w:pPr>
      <w:r>
        <w:rPr>
          <w:spacing w:val="-3"/>
        </w:rPr>
        <w:t>检查方法：直观检查。</w:t>
      </w:r>
      <w:r>
        <w:rPr/>
        <w:t> </w:t>
      </w:r>
    </w:p>
    <w:p>
      <w:pPr>
        <w:pStyle w:val="BodyText"/>
        <w:spacing w:before="10"/>
        <w:rPr>
          <w:sz w:val="17"/>
        </w:rPr>
      </w:pPr>
    </w:p>
    <w:p>
      <w:pPr>
        <w:pStyle w:val="ListParagraph"/>
        <w:numPr>
          <w:ilvl w:val="2"/>
          <w:numId w:val="763"/>
        </w:numPr>
        <w:tabs>
          <w:tab w:pos="1635" w:val="left" w:leader="none"/>
        </w:tabs>
        <w:spacing w:line="240" w:lineRule="auto" w:before="0" w:after="0"/>
        <w:ind w:left="1634" w:right="0" w:hanging="795"/>
        <w:jc w:val="left"/>
        <w:rPr>
          <w:sz w:val="21"/>
        </w:rPr>
      </w:pPr>
      <w:r>
        <w:rPr>
          <w:spacing w:val="-3"/>
          <w:sz w:val="21"/>
        </w:rPr>
        <w:t>管网验收应符合下列要求：</w:t>
      </w:r>
      <w:r>
        <w:rPr>
          <w:sz w:val="21"/>
        </w:rPr>
        <w:t> </w:t>
      </w:r>
    </w:p>
    <w:p>
      <w:pPr>
        <w:pStyle w:val="BodyText"/>
        <w:spacing w:before="12"/>
        <w:rPr>
          <w:sz w:val="17"/>
        </w:rPr>
      </w:pPr>
    </w:p>
    <w:p>
      <w:pPr>
        <w:pStyle w:val="BodyText"/>
        <w:spacing w:line="446" w:lineRule="auto"/>
        <w:ind w:left="418" w:right="1609" w:firstLine="419"/>
      </w:pPr>
      <w:r>
        <w:rPr/>
        <w:t>管道的材质、管径、接头、连接方式及采取的防腐、防冻措施，应符合设计要求，管道标识应符合设计要求； </w:t>
      </w:r>
    </w:p>
    <w:p>
      <w:pPr>
        <w:pStyle w:val="BodyText"/>
        <w:spacing w:line="446" w:lineRule="auto" w:before="1"/>
        <w:ind w:left="838" w:right="4866"/>
      </w:pPr>
      <w:r>
        <w:rPr>
          <w:spacing w:val="-3"/>
        </w:rPr>
        <w:t>管网排水坡度及辅助排水设施，应符合设计要求；  系统中的试验消火栓、自动排气阀应符合设计要求； </w:t>
      </w:r>
    </w:p>
    <w:p>
      <w:pPr>
        <w:spacing w:after="0" w:line="446" w:lineRule="auto"/>
        <w:sectPr>
          <w:pgSz w:w="11910" w:h="16850"/>
          <w:pgMar w:header="0" w:footer="1239" w:top="1220" w:bottom="1420" w:left="1260" w:right="0"/>
        </w:sectPr>
      </w:pPr>
    </w:p>
    <w:p>
      <w:pPr>
        <w:pStyle w:val="BodyText"/>
        <w:spacing w:line="446" w:lineRule="auto" w:before="47"/>
        <w:ind w:left="418" w:right="1817" w:firstLine="419"/>
      </w:pPr>
      <w:r>
        <w:rPr/>
        <w:t>管网不同部位安装的报警阀组、闸阀、止回阀、电磁阀、信号阀、水流指示器、减压孔板、节流管、减压阀、柔性接头、排水管、排气阀、泄压阀等，均应符合设计要求； </w:t>
      </w:r>
    </w:p>
    <w:p>
      <w:pPr>
        <w:pStyle w:val="BodyText"/>
        <w:spacing w:line="267" w:lineRule="exact"/>
        <w:ind w:left="838"/>
      </w:pPr>
      <w:r>
        <w:rPr/>
        <w:t>干式消火栓系统允许的最大充水时间不应大于 5min； </w:t>
      </w:r>
    </w:p>
    <w:p>
      <w:pPr>
        <w:pStyle w:val="BodyText"/>
        <w:spacing w:before="2"/>
        <w:rPr>
          <w:sz w:val="18"/>
        </w:rPr>
      </w:pPr>
    </w:p>
    <w:p>
      <w:pPr>
        <w:pStyle w:val="BodyText"/>
        <w:ind w:left="838"/>
      </w:pPr>
      <w:r>
        <w:rPr/>
        <w:t>干式消火栓系统报警阀后的管道仅应设置消火栓和有信号显示的阀门； </w:t>
      </w:r>
    </w:p>
    <w:p>
      <w:pPr>
        <w:pStyle w:val="BodyText"/>
        <w:rPr>
          <w:sz w:val="18"/>
        </w:rPr>
      </w:pPr>
    </w:p>
    <w:p>
      <w:pPr>
        <w:pStyle w:val="BodyText"/>
        <w:ind w:left="838"/>
      </w:pPr>
      <w:r>
        <w:rPr/>
        <w:t>架空管道的立管、配水支管、配水管、配水干管设置的支架，应符合本规范第 12.3.19～</w:t>
      </w:r>
    </w:p>
    <w:p>
      <w:pPr>
        <w:pStyle w:val="BodyText"/>
        <w:spacing w:before="12"/>
        <w:rPr>
          <w:sz w:val="17"/>
        </w:rPr>
      </w:pPr>
    </w:p>
    <w:p>
      <w:pPr>
        <w:pStyle w:val="BodyText"/>
        <w:ind w:left="418"/>
      </w:pPr>
      <w:r>
        <w:rPr/>
        <w:t>12.3.23 条的规定； </w:t>
      </w:r>
    </w:p>
    <w:p>
      <w:pPr>
        <w:pStyle w:val="BodyText"/>
        <w:spacing w:before="2"/>
        <w:rPr>
          <w:sz w:val="18"/>
        </w:rPr>
      </w:pPr>
    </w:p>
    <w:p>
      <w:pPr>
        <w:pStyle w:val="BodyText"/>
        <w:ind w:left="838"/>
      </w:pPr>
      <w:r>
        <w:rPr/>
        <w:t>室外埋地管道应符合本规范第 12.3.17、12.3.22 条等的规定。 </w:t>
      </w:r>
    </w:p>
    <w:p>
      <w:pPr>
        <w:pStyle w:val="BodyText"/>
        <w:rPr>
          <w:sz w:val="18"/>
        </w:rPr>
      </w:pPr>
    </w:p>
    <w:p>
      <w:pPr>
        <w:pStyle w:val="BodyText"/>
        <w:spacing w:line="446" w:lineRule="auto"/>
        <w:ind w:left="418" w:right="1661" w:firstLine="419"/>
      </w:pPr>
      <w:r>
        <w:rPr>
          <w:spacing w:val="-9"/>
        </w:rPr>
        <w:t>检查数量：本条第 </w:t>
      </w:r>
      <w:r>
        <w:rPr/>
        <w:t>7</w:t>
      </w:r>
      <w:r>
        <w:rPr>
          <w:spacing w:val="-22"/>
        </w:rPr>
        <w:t> 款抽查 </w:t>
      </w:r>
      <w:r>
        <w:rPr/>
        <w:t>20</w:t>
      </w:r>
      <w:r>
        <w:rPr>
          <w:spacing w:val="-9"/>
        </w:rPr>
        <w:t>%，且不应少于 </w:t>
      </w:r>
      <w:r>
        <w:rPr/>
        <w:t>5</w:t>
      </w:r>
      <w:r>
        <w:rPr>
          <w:spacing w:val="-16"/>
        </w:rPr>
        <w:t> 处；本条第 </w:t>
      </w:r>
      <w:r>
        <w:rPr/>
        <w:t>1</w:t>
      </w:r>
      <w:r>
        <w:rPr>
          <w:spacing w:val="-26"/>
        </w:rPr>
        <w:t> 款</w:t>
      </w:r>
      <w:r>
        <w:rPr>
          <w:spacing w:val="-3"/>
        </w:rPr>
        <w:t>～</w:t>
      </w:r>
      <w:r>
        <w:rPr>
          <w:spacing w:val="-25"/>
        </w:rPr>
        <w:t>第 </w:t>
      </w:r>
      <w:r>
        <w:rPr/>
        <w:t>6</w:t>
      </w:r>
      <w:r>
        <w:rPr>
          <w:spacing w:val="-22"/>
        </w:rPr>
        <w:t> 款、第 </w:t>
      </w:r>
      <w:r>
        <w:rPr/>
        <w:t>8</w:t>
      </w:r>
      <w:r>
        <w:rPr>
          <w:spacing w:val="-12"/>
        </w:rPr>
        <w:t> 款全数抽</w:t>
      </w:r>
      <w:r>
        <w:rPr>
          <w:spacing w:val="-8"/>
        </w:rPr>
        <w:t>查。</w:t>
      </w:r>
      <w:r>
        <w:rPr/>
        <w:t> </w:t>
      </w:r>
    </w:p>
    <w:p>
      <w:pPr>
        <w:pStyle w:val="BodyText"/>
        <w:ind w:left="838"/>
      </w:pPr>
      <w:r>
        <w:rPr/>
        <w:t>检查方法：直观和尺量检查、秒表测量。 </w:t>
      </w:r>
    </w:p>
    <w:p>
      <w:pPr>
        <w:pStyle w:val="BodyText"/>
        <w:spacing w:before="12"/>
        <w:rPr>
          <w:sz w:val="17"/>
        </w:rPr>
      </w:pPr>
    </w:p>
    <w:p>
      <w:pPr>
        <w:pStyle w:val="ListParagraph"/>
        <w:numPr>
          <w:ilvl w:val="2"/>
          <w:numId w:val="764"/>
        </w:numPr>
        <w:tabs>
          <w:tab w:pos="1635" w:val="left" w:leader="none"/>
        </w:tabs>
        <w:spacing w:line="240" w:lineRule="auto" w:before="0" w:after="0"/>
        <w:ind w:left="1634" w:right="0" w:hanging="795"/>
        <w:jc w:val="left"/>
        <w:rPr>
          <w:sz w:val="21"/>
        </w:rPr>
      </w:pPr>
      <w:r>
        <w:rPr>
          <w:spacing w:val="-3"/>
          <w:sz w:val="21"/>
        </w:rPr>
        <w:t>消火栓验收应符合下列要求：</w:t>
      </w:r>
      <w:r>
        <w:rPr>
          <w:sz w:val="21"/>
        </w:rPr>
        <w:t> </w:t>
      </w:r>
    </w:p>
    <w:p>
      <w:pPr>
        <w:pStyle w:val="BodyText"/>
        <w:rPr>
          <w:sz w:val="18"/>
        </w:rPr>
      </w:pPr>
    </w:p>
    <w:p>
      <w:pPr>
        <w:pStyle w:val="BodyText"/>
        <w:spacing w:line="446" w:lineRule="auto"/>
        <w:ind w:left="418" w:right="1608" w:firstLine="419"/>
      </w:pPr>
      <w:r>
        <w:rPr>
          <w:spacing w:val="-5"/>
        </w:rPr>
        <w:t>消火栓的设置场所、位置、规格、型号应符合设计要求和本规范第 </w:t>
      </w:r>
      <w:r>
        <w:rPr/>
        <w:t>7.2</w:t>
      </w:r>
      <w:r>
        <w:rPr>
          <w:spacing w:val="-23"/>
        </w:rPr>
        <w:t> 节</w:t>
      </w:r>
      <w:r>
        <w:rPr>
          <w:spacing w:val="-3"/>
        </w:rPr>
        <w:t>～</w:t>
      </w:r>
      <w:r>
        <w:rPr>
          <w:spacing w:val="-21"/>
        </w:rPr>
        <w:t>第 </w:t>
      </w:r>
      <w:r>
        <w:rPr/>
        <w:t>7.4</w:t>
      </w:r>
      <w:r>
        <w:rPr>
          <w:spacing w:val="-13"/>
        </w:rPr>
        <w:t> 节的有</w:t>
      </w:r>
      <w:r>
        <w:rPr>
          <w:spacing w:val="-9"/>
        </w:rPr>
        <w:t>关规定；</w:t>
      </w:r>
      <w:r>
        <w:rPr/>
        <w:t> </w:t>
      </w:r>
    </w:p>
    <w:p>
      <w:pPr>
        <w:pStyle w:val="BodyText"/>
        <w:ind w:left="838"/>
      </w:pPr>
      <w:r>
        <w:rPr/>
        <w:t>室内消火栓的安装高度应符合设计要求； </w:t>
      </w:r>
    </w:p>
    <w:p>
      <w:pPr>
        <w:pStyle w:val="BodyText"/>
        <w:spacing w:before="12"/>
        <w:rPr>
          <w:sz w:val="17"/>
        </w:rPr>
      </w:pPr>
    </w:p>
    <w:p>
      <w:pPr>
        <w:pStyle w:val="BodyText"/>
        <w:spacing w:line="446" w:lineRule="auto"/>
        <w:ind w:left="418" w:right="1608" w:firstLine="419"/>
      </w:pPr>
      <w:r>
        <w:rPr>
          <w:spacing w:val="-5"/>
        </w:rPr>
        <w:t>消火栓的设置位置应符合设计要求和本规范第 </w:t>
      </w:r>
      <w:r>
        <w:rPr/>
        <w:t>7</w:t>
      </w:r>
      <w:r>
        <w:rPr>
          <w:spacing w:val="-7"/>
        </w:rPr>
        <w:t> 章的有关规定，并应符合消防救援和火灾</w:t>
      </w:r>
      <w:r>
        <w:rPr>
          <w:spacing w:val="-5"/>
        </w:rPr>
        <w:t>扑救工艺的要求；</w:t>
      </w:r>
      <w:r>
        <w:rPr/>
        <w:t> </w:t>
      </w:r>
    </w:p>
    <w:p>
      <w:pPr>
        <w:pStyle w:val="BodyText"/>
        <w:ind w:left="838"/>
      </w:pPr>
      <w:r>
        <w:rPr/>
        <w:t>消火栓的减压装置和活动部件应灵活可靠，栓后压力应符合设计要求。 </w:t>
      </w:r>
    </w:p>
    <w:p>
      <w:pPr>
        <w:pStyle w:val="BodyText"/>
        <w:rPr>
          <w:sz w:val="18"/>
        </w:rPr>
      </w:pPr>
    </w:p>
    <w:p>
      <w:pPr>
        <w:pStyle w:val="BodyText"/>
        <w:ind w:left="838"/>
      </w:pPr>
      <w:r>
        <w:rPr/>
        <w:t>检查数量：抽查消火栓数量 10％，且总数每个供水分区不应少于 10 个, 合格率应为</w:t>
      </w:r>
    </w:p>
    <w:p>
      <w:pPr>
        <w:pStyle w:val="BodyText"/>
        <w:spacing w:before="2"/>
        <w:rPr>
          <w:sz w:val="18"/>
        </w:rPr>
      </w:pPr>
    </w:p>
    <w:p>
      <w:pPr>
        <w:pStyle w:val="BodyText"/>
        <w:ind w:left="418"/>
      </w:pPr>
      <w:r>
        <w:rPr/>
        <w:t>100%。 </w:t>
      </w:r>
    </w:p>
    <w:p>
      <w:pPr>
        <w:pStyle w:val="BodyText"/>
        <w:rPr>
          <w:sz w:val="18"/>
        </w:rPr>
      </w:pPr>
    </w:p>
    <w:p>
      <w:pPr>
        <w:pStyle w:val="BodyText"/>
        <w:ind w:left="838"/>
      </w:pPr>
      <w:r>
        <w:rPr/>
        <w:t>检查方法：对照图纸尺量检查。 </w:t>
      </w:r>
    </w:p>
    <w:p>
      <w:pPr>
        <w:pStyle w:val="BodyText"/>
        <w:spacing w:before="12"/>
        <w:rPr>
          <w:sz w:val="17"/>
        </w:rPr>
      </w:pPr>
    </w:p>
    <w:p>
      <w:pPr>
        <w:pStyle w:val="ListParagraph"/>
        <w:numPr>
          <w:ilvl w:val="2"/>
          <w:numId w:val="764"/>
        </w:numPr>
        <w:tabs>
          <w:tab w:pos="1635" w:val="left" w:leader="none"/>
        </w:tabs>
        <w:spacing w:line="446" w:lineRule="auto" w:before="0" w:after="0"/>
        <w:ind w:left="418" w:right="1443" w:firstLine="422"/>
        <w:jc w:val="left"/>
        <w:rPr>
          <w:sz w:val="21"/>
        </w:rPr>
      </w:pPr>
      <w:r>
        <w:rPr>
          <w:spacing w:val="-3"/>
          <w:sz w:val="21"/>
        </w:rPr>
        <w:t>消防水泵接合器数量及进水管位置应符合设计要求，消防水泵接合器应采用消防车车载消防水泵进行充水试验，且供水最不利点的压力、流量应符合设计要求；当有分区供水时 应确定消防车的最大供水高度和接力泵的设置位置的合理性。</w:t>
      </w:r>
      <w:r>
        <w:rPr>
          <w:sz w:val="21"/>
        </w:rPr>
        <w:t> </w:t>
      </w:r>
    </w:p>
    <w:p>
      <w:pPr>
        <w:pStyle w:val="BodyText"/>
        <w:spacing w:line="268" w:lineRule="exact"/>
        <w:ind w:left="838"/>
      </w:pPr>
      <w:r>
        <w:rPr/>
        <w:t>检查数量：全数检查。 </w:t>
      </w:r>
    </w:p>
    <w:p>
      <w:pPr>
        <w:pStyle w:val="BodyText"/>
        <w:spacing w:before="2"/>
        <w:rPr>
          <w:sz w:val="18"/>
        </w:rPr>
      </w:pPr>
    </w:p>
    <w:p>
      <w:pPr>
        <w:pStyle w:val="BodyText"/>
        <w:ind w:left="838"/>
      </w:pPr>
      <w:r>
        <w:rPr/>
        <w:t>检查方法：使用流量计、压力表和直观检查。 </w:t>
      </w:r>
    </w:p>
    <w:p>
      <w:pPr>
        <w:pStyle w:val="BodyText"/>
        <w:rPr>
          <w:sz w:val="18"/>
        </w:rPr>
      </w:pPr>
    </w:p>
    <w:p>
      <w:pPr>
        <w:pStyle w:val="ListParagraph"/>
        <w:numPr>
          <w:ilvl w:val="2"/>
          <w:numId w:val="764"/>
        </w:numPr>
        <w:tabs>
          <w:tab w:pos="1635" w:val="left" w:leader="none"/>
        </w:tabs>
        <w:spacing w:line="446" w:lineRule="auto" w:before="0" w:after="0"/>
        <w:ind w:left="418" w:right="1443" w:firstLine="422"/>
        <w:jc w:val="left"/>
        <w:rPr>
          <w:sz w:val="21"/>
        </w:rPr>
      </w:pPr>
      <w:r>
        <w:rPr>
          <w:spacing w:val="-3"/>
          <w:sz w:val="21"/>
        </w:rPr>
        <w:t>消防给水系统流量、压力的验收，应通过系统流量、压力检测装置和末端试水装置进行放水试验，系统流量、压力和消火栓充实水柱等应符合设计要求。</w:t>
      </w:r>
      <w:r>
        <w:rPr>
          <w:sz w:val="21"/>
        </w:rPr>
        <w:t> </w:t>
      </w:r>
    </w:p>
    <w:p>
      <w:pPr>
        <w:pStyle w:val="BodyText"/>
        <w:ind w:left="838"/>
      </w:pPr>
      <w:r>
        <w:rPr/>
        <w:t>检查数量：全数检查。 </w:t>
      </w:r>
    </w:p>
    <w:p>
      <w:pPr>
        <w:spacing w:after="0"/>
        <w:sectPr>
          <w:footerReference w:type="default" r:id="rId419"/>
          <w:pgSz w:w="11910" w:h="16850"/>
          <w:pgMar w:footer="1239" w:header="0" w:top="1220" w:bottom="1420" w:left="1260" w:right="0"/>
          <w:pgNumType w:start="1390"/>
        </w:sectPr>
      </w:pPr>
    </w:p>
    <w:p>
      <w:pPr>
        <w:pStyle w:val="BodyText"/>
        <w:spacing w:before="47"/>
        <w:ind w:left="838"/>
      </w:pPr>
      <w:r>
        <w:rPr/>
        <w:t>检查方法：直观检查。 </w:t>
      </w:r>
    </w:p>
    <w:p>
      <w:pPr>
        <w:pStyle w:val="BodyText"/>
        <w:rPr>
          <w:sz w:val="18"/>
        </w:rPr>
      </w:pPr>
    </w:p>
    <w:p>
      <w:pPr>
        <w:pStyle w:val="ListParagraph"/>
        <w:numPr>
          <w:ilvl w:val="2"/>
          <w:numId w:val="764"/>
        </w:numPr>
        <w:tabs>
          <w:tab w:pos="1635" w:val="left" w:leader="none"/>
        </w:tabs>
        <w:spacing w:line="240" w:lineRule="auto" w:before="0" w:after="0"/>
        <w:ind w:left="1634" w:right="0" w:hanging="795"/>
        <w:jc w:val="left"/>
        <w:rPr>
          <w:sz w:val="21"/>
        </w:rPr>
      </w:pPr>
      <w:r>
        <w:rPr>
          <w:spacing w:val="-3"/>
          <w:sz w:val="21"/>
        </w:rPr>
        <w:t>控制柜的验收应符合下列要求：</w:t>
      </w:r>
      <w:r>
        <w:rPr>
          <w:sz w:val="21"/>
        </w:rPr>
        <w:t> </w:t>
      </w:r>
    </w:p>
    <w:p>
      <w:pPr>
        <w:pStyle w:val="BodyText"/>
        <w:rPr>
          <w:sz w:val="18"/>
        </w:rPr>
      </w:pPr>
    </w:p>
    <w:p>
      <w:pPr>
        <w:pStyle w:val="BodyText"/>
        <w:spacing w:line="446" w:lineRule="auto"/>
        <w:ind w:left="838" w:right="5497"/>
      </w:pPr>
      <w:r>
        <w:rPr/>
        <w:t>控制柜的规格、型号、数量应符合设计要求； 控制柜的图纸塑封后应牢固粘贴于柜门内侧； </w:t>
      </w:r>
    </w:p>
    <w:p>
      <w:pPr>
        <w:pStyle w:val="BodyText"/>
        <w:ind w:left="838"/>
      </w:pPr>
      <w:r>
        <w:rPr/>
        <w:t>控制柜的动作应符合设计要求和本规范第 11 章的有关规定； </w:t>
      </w:r>
    </w:p>
    <w:p>
      <w:pPr>
        <w:pStyle w:val="BodyText"/>
        <w:spacing w:before="12"/>
        <w:rPr>
          <w:sz w:val="17"/>
        </w:rPr>
      </w:pPr>
    </w:p>
    <w:p>
      <w:pPr>
        <w:pStyle w:val="BodyText"/>
        <w:spacing w:line="446" w:lineRule="auto"/>
        <w:ind w:left="838" w:right="4134"/>
      </w:pPr>
      <w:r>
        <w:rPr/>
        <w:t>控制柜的质量应符合产品标准和本规范第 12.2.7 条的要求。主、备用电源自动切换装置的设置应符合设计要求。 </w:t>
      </w:r>
    </w:p>
    <w:p>
      <w:pPr>
        <w:pStyle w:val="BodyText"/>
        <w:spacing w:line="446" w:lineRule="auto"/>
        <w:ind w:left="838" w:right="7600"/>
      </w:pPr>
      <w:r>
        <w:rPr/>
        <w:t>检查数量：全数检查。检查方法：直观检查。 </w:t>
      </w:r>
    </w:p>
    <w:p>
      <w:pPr>
        <w:pStyle w:val="ListParagraph"/>
        <w:numPr>
          <w:ilvl w:val="2"/>
          <w:numId w:val="764"/>
        </w:numPr>
        <w:tabs>
          <w:tab w:pos="1635" w:val="left" w:leader="none"/>
        </w:tabs>
        <w:spacing w:line="446" w:lineRule="auto" w:before="0" w:after="0"/>
        <w:ind w:left="838" w:right="4071" w:firstLine="2"/>
        <w:jc w:val="left"/>
        <w:rPr>
          <w:sz w:val="21"/>
        </w:rPr>
      </w:pPr>
      <w:r>
        <w:rPr>
          <w:spacing w:val="-3"/>
          <w:sz w:val="21"/>
        </w:rPr>
        <w:t>应进行系统模拟灭火功能试验，且应符合下列要求： 干式消火栓报警阀动作，水力警铃应鸣响压力开关动作；</w:t>
      </w:r>
      <w:r>
        <w:rPr>
          <w:sz w:val="21"/>
        </w:rPr>
        <w:t> </w:t>
      </w:r>
    </w:p>
    <w:p>
      <w:pPr>
        <w:pStyle w:val="BodyText"/>
        <w:spacing w:line="446" w:lineRule="auto"/>
        <w:ind w:left="418" w:right="1609" w:firstLine="419"/>
      </w:pPr>
      <w:r>
        <w:rPr/>
        <w:t>流量开关、低压压力开关和报警阀压力开关等动作，应能自动启动消防水泵及与其联锁的相关设备，并应有反馈信号显示； </w:t>
      </w:r>
    </w:p>
    <w:p>
      <w:pPr>
        <w:pStyle w:val="BodyText"/>
        <w:ind w:left="838"/>
      </w:pPr>
      <w:r>
        <w:rPr/>
        <w:t>消防水泵启动后，应有反馈信号显示； </w:t>
      </w:r>
    </w:p>
    <w:p>
      <w:pPr>
        <w:pStyle w:val="BodyText"/>
        <w:spacing w:before="10"/>
        <w:rPr>
          <w:sz w:val="17"/>
        </w:rPr>
      </w:pPr>
    </w:p>
    <w:p>
      <w:pPr>
        <w:pStyle w:val="BodyText"/>
        <w:spacing w:line="446" w:lineRule="auto"/>
        <w:ind w:left="838" w:right="2977"/>
      </w:pPr>
      <w:r>
        <w:rPr>
          <w:spacing w:val="-3"/>
        </w:rPr>
        <w:t>干式消火栓系统的干式报警阀的加速排气器动作后，应有反馈信号显示； 其他消防联动控制设备启动后，应有反馈信号显示。 </w:t>
      </w:r>
    </w:p>
    <w:p>
      <w:pPr>
        <w:pStyle w:val="BodyText"/>
        <w:spacing w:line="446" w:lineRule="auto"/>
        <w:ind w:left="838" w:right="7600"/>
      </w:pPr>
      <w:r>
        <w:rPr/>
        <w:t>检查数量：全数检查。检查方法：直观检查。 </w:t>
      </w:r>
    </w:p>
    <w:p>
      <w:pPr>
        <w:pStyle w:val="ListParagraph"/>
        <w:numPr>
          <w:ilvl w:val="2"/>
          <w:numId w:val="764"/>
        </w:numPr>
        <w:tabs>
          <w:tab w:pos="1635" w:val="left" w:leader="none"/>
        </w:tabs>
        <w:spacing w:line="446" w:lineRule="auto" w:before="0" w:after="0"/>
        <w:ind w:left="838" w:right="4703" w:firstLine="2"/>
        <w:jc w:val="left"/>
        <w:rPr>
          <w:sz w:val="21"/>
        </w:rPr>
      </w:pPr>
      <w:r>
        <w:rPr>
          <w:spacing w:val="-3"/>
          <w:sz w:val="21"/>
        </w:rPr>
        <w:t>系统工程质量验收判定条件应符合下列规定： </w:t>
      </w:r>
      <w:r>
        <w:rPr>
          <w:spacing w:val="-7"/>
          <w:sz w:val="21"/>
        </w:rPr>
        <w:t>系统工程质量缺陷应按本规范附录 </w:t>
      </w:r>
      <w:r>
        <w:rPr>
          <w:sz w:val="21"/>
        </w:rPr>
        <w:t>F</w:t>
      </w:r>
      <w:r>
        <w:rPr>
          <w:spacing w:val="-12"/>
          <w:sz w:val="21"/>
        </w:rPr>
        <w:t> 要求划分。</w:t>
      </w:r>
      <w:r>
        <w:rPr>
          <w:sz w:val="21"/>
        </w:rPr>
        <w:t> </w:t>
      </w:r>
    </w:p>
    <w:p>
      <w:pPr>
        <w:pStyle w:val="BodyText"/>
        <w:spacing w:line="446" w:lineRule="auto"/>
        <w:ind w:left="838" w:right="4239"/>
      </w:pPr>
      <w:r>
        <w:rPr/>
        <w:t>系统验收合格判定应为 A=0，且 B≤2，且B＋C≤6 为合格； 系统验收当不符合本条第 2 款要求时应为不合格。 </w:t>
      </w:r>
    </w:p>
    <w:p>
      <w:pPr>
        <w:pStyle w:val="Heading4"/>
        <w:spacing w:line="277" w:lineRule="exact"/>
      </w:pPr>
      <w:r>
        <w:rPr/>
        <w:t>14 维护管理</w:t>
      </w:r>
      <w:r>
        <w:rPr>
          <w:w w:val="99"/>
        </w:rPr>
        <w:t> </w:t>
      </w:r>
    </w:p>
    <w:p>
      <w:pPr>
        <w:pStyle w:val="BodyText"/>
        <w:spacing w:before="2"/>
        <w:rPr>
          <w:b/>
          <w:sz w:val="17"/>
        </w:rPr>
      </w:pPr>
    </w:p>
    <w:p>
      <w:pPr>
        <w:pStyle w:val="ListParagraph"/>
        <w:numPr>
          <w:ilvl w:val="1"/>
          <w:numId w:val="765"/>
        </w:numPr>
        <w:tabs>
          <w:tab w:pos="1318" w:val="left" w:leader="none"/>
        </w:tabs>
        <w:spacing w:line="446" w:lineRule="auto" w:before="0" w:after="0"/>
        <w:ind w:left="418" w:right="1551" w:firstLine="422"/>
        <w:jc w:val="left"/>
        <w:rPr>
          <w:sz w:val="21"/>
        </w:rPr>
      </w:pPr>
      <w:r>
        <w:rPr>
          <w:spacing w:val="-3"/>
          <w:sz w:val="21"/>
        </w:rPr>
        <w:t>消防给水及消火栓系统应有管理、检查检测、维护保养的操作规程；并应保证系统处</w:t>
      </w:r>
      <w:r>
        <w:rPr>
          <w:spacing w:val="-6"/>
          <w:sz w:val="21"/>
        </w:rPr>
        <w:t>于准工作状态。维护管理应按本规范附录 </w:t>
      </w:r>
      <w:r>
        <w:rPr>
          <w:sz w:val="21"/>
        </w:rPr>
        <w:t>G</w:t>
      </w:r>
      <w:r>
        <w:rPr>
          <w:spacing w:val="-9"/>
          <w:sz w:val="21"/>
        </w:rPr>
        <w:t> 的要求进行。</w:t>
      </w:r>
      <w:r>
        <w:rPr>
          <w:sz w:val="21"/>
        </w:rPr>
        <w:t> </w:t>
      </w:r>
    </w:p>
    <w:p>
      <w:pPr>
        <w:pStyle w:val="ListParagraph"/>
        <w:numPr>
          <w:ilvl w:val="1"/>
          <w:numId w:val="765"/>
        </w:numPr>
        <w:tabs>
          <w:tab w:pos="1318" w:val="left" w:leader="none"/>
        </w:tabs>
        <w:spacing w:line="240" w:lineRule="auto" w:before="0" w:after="0"/>
        <w:ind w:left="1318" w:right="0" w:hanging="478"/>
        <w:jc w:val="left"/>
        <w:rPr>
          <w:sz w:val="21"/>
        </w:rPr>
      </w:pPr>
      <w:r>
        <w:rPr>
          <w:spacing w:val="-3"/>
          <w:sz w:val="21"/>
        </w:rPr>
        <w:t>维护管理人员应掌握和熟悉消防给水系统的原理、性能和操作规程。 </w:t>
      </w:r>
    </w:p>
    <w:p>
      <w:pPr>
        <w:pStyle w:val="BodyText"/>
        <w:rPr>
          <w:sz w:val="18"/>
        </w:rPr>
      </w:pPr>
    </w:p>
    <w:p>
      <w:pPr>
        <w:pStyle w:val="ListParagraph"/>
        <w:numPr>
          <w:ilvl w:val="1"/>
          <w:numId w:val="765"/>
        </w:numPr>
        <w:tabs>
          <w:tab w:pos="1318" w:val="left" w:leader="none"/>
        </w:tabs>
        <w:spacing w:line="240" w:lineRule="auto" w:before="0" w:after="0"/>
        <w:ind w:left="1318" w:right="0" w:hanging="478"/>
        <w:jc w:val="left"/>
        <w:rPr>
          <w:sz w:val="21"/>
        </w:rPr>
      </w:pPr>
      <w:r>
        <w:rPr>
          <w:spacing w:val="-3"/>
          <w:sz w:val="21"/>
        </w:rPr>
        <w:t>水源的维护管理应符合下列规定：</w:t>
      </w:r>
      <w:r>
        <w:rPr>
          <w:sz w:val="21"/>
        </w:rPr>
        <w:t> </w:t>
      </w:r>
    </w:p>
    <w:p>
      <w:pPr>
        <w:pStyle w:val="BodyText"/>
        <w:spacing w:before="2"/>
        <w:rPr>
          <w:sz w:val="18"/>
        </w:rPr>
      </w:pPr>
    </w:p>
    <w:p>
      <w:pPr>
        <w:pStyle w:val="BodyText"/>
        <w:ind w:left="838"/>
      </w:pPr>
      <w:r>
        <w:rPr/>
        <w:t>每季度应监测市政给水管网的压力和供水能力； </w:t>
      </w:r>
    </w:p>
    <w:p>
      <w:pPr>
        <w:spacing w:after="0"/>
        <w:sectPr>
          <w:pgSz w:w="11910" w:h="16850"/>
          <w:pgMar w:header="0" w:footer="1239" w:top="1220" w:bottom="1420" w:left="1260" w:right="0"/>
        </w:sectPr>
      </w:pPr>
    </w:p>
    <w:p>
      <w:pPr>
        <w:pStyle w:val="BodyText"/>
        <w:spacing w:line="446" w:lineRule="auto" w:before="47"/>
        <w:ind w:left="418" w:right="1609" w:firstLine="419"/>
      </w:pPr>
      <w:r>
        <w:rPr/>
        <w:t>每年应对天然河湖等地表水消防水源的常水位、枯水位、洪水位，以及枯水位流量或蓄水量等进行一次检测； </w:t>
      </w:r>
    </w:p>
    <w:p>
      <w:pPr>
        <w:pStyle w:val="BodyText"/>
        <w:spacing w:line="446" w:lineRule="auto"/>
        <w:ind w:left="418" w:right="1817" w:firstLine="419"/>
      </w:pPr>
      <w:r>
        <w:rPr/>
        <w:t>每年应对水井等地下水消防水源的常水位、最低水位、最高水位和出水量等进行一次测定； </w:t>
      </w:r>
    </w:p>
    <w:p>
      <w:pPr>
        <w:pStyle w:val="BodyText"/>
        <w:spacing w:line="446" w:lineRule="auto"/>
        <w:ind w:left="418" w:right="1817" w:firstLine="419"/>
      </w:pPr>
      <w:r>
        <w:rPr/>
        <w:t>每月应对消防水池、高位消防水池、高位消防水箱等消防水源设施的水位等进行一次检测；消防水池（箱）玻璃水位计两端的角阀在不进行水位观察时应关闭； </w:t>
      </w:r>
    </w:p>
    <w:p>
      <w:pPr>
        <w:pStyle w:val="BodyText"/>
        <w:spacing w:line="446" w:lineRule="auto"/>
        <w:ind w:left="418" w:right="1391" w:firstLine="419"/>
      </w:pPr>
      <w:r>
        <w:rPr/>
        <w:t>在冬季每天应对消防储水设施进行室内温度和水温检测，当结冰或室内温度低于 5℃时，应采取确保不结冰和室温不低于 5℃的措施。 </w:t>
      </w:r>
    </w:p>
    <w:p>
      <w:pPr>
        <w:pStyle w:val="ListParagraph"/>
        <w:numPr>
          <w:ilvl w:val="1"/>
          <w:numId w:val="765"/>
        </w:numPr>
        <w:tabs>
          <w:tab w:pos="1318" w:val="left" w:leader="none"/>
        </w:tabs>
        <w:spacing w:line="446" w:lineRule="auto" w:before="0" w:after="0"/>
        <w:ind w:left="838" w:right="3759" w:firstLine="2"/>
        <w:jc w:val="left"/>
        <w:rPr>
          <w:sz w:val="21"/>
        </w:rPr>
      </w:pPr>
      <w:r>
        <w:rPr>
          <w:spacing w:val="-3"/>
          <w:sz w:val="21"/>
        </w:rPr>
        <w:t>消防水泵和稳压泵等供水设施的维护管理应符合下列规定： 每月应手动启动消防水泵运转一次，并应检查供电电源的情况；</w:t>
      </w:r>
      <w:r>
        <w:rPr>
          <w:sz w:val="21"/>
        </w:rPr>
        <w:t> </w:t>
      </w:r>
    </w:p>
    <w:p>
      <w:pPr>
        <w:pStyle w:val="BodyText"/>
        <w:spacing w:line="446" w:lineRule="auto"/>
        <w:ind w:left="418" w:right="1609" w:firstLine="419"/>
      </w:pPr>
      <w:r>
        <w:rPr/>
        <w:t>每周应模拟消防水泵自动控制的条件自动启动消防水泵运转一次，且应自动记录自动巡检情况，每月应检测记录； </w:t>
      </w:r>
    </w:p>
    <w:p>
      <w:pPr>
        <w:pStyle w:val="BodyText"/>
        <w:ind w:left="838"/>
      </w:pPr>
      <w:r>
        <w:rPr/>
        <w:t>每日应对稳压泵的停泵启泵压力和启泵次数等进行检查和记录运行情况； </w:t>
      </w:r>
    </w:p>
    <w:p>
      <w:pPr>
        <w:pStyle w:val="BodyText"/>
        <w:spacing w:before="8"/>
        <w:rPr>
          <w:sz w:val="17"/>
        </w:rPr>
      </w:pPr>
    </w:p>
    <w:p>
      <w:pPr>
        <w:pStyle w:val="BodyText"/>
        <w:spacing w:line="446" w:lineRule="auto" w:before="1"/>
        <w:ind w:left="418" w:right="1609" w:firstLine="419"/>
      </w:pPr>
      <w:r>
        <w:rPr/>
        <w:t>每日应对柴油机消防水泵的启动电池的电量进行检测，每周应检查储油箱的储油量，每月应手动启动柴油机消防水泵运行一次； </w:t>
      </w:r>
    </w:p>
    <w:p>
      <w:pPr>
        <w:pStyle w:val="BodyText"/>
        <w:spacing w:line="446" w:lineRule="auto"/>
        <w:ind w:left="838" w:right="4657"/>
      </w:pPr>
      <w:r>
        <w:rPr>
          <w:spacing w:val="-3"/>
        </w:rPr>
        <w:t>每季度应对消防水泵的出流量和压力进行一次试验；  每月应对气压水罐的压力和有效容积等进行一次检测。</w:t>
      </w:r>
      <w:r>
        <w:rPr/>
        <w:t> </w:t>
      </w:r>
    </w:p>
    <w:p>
      <w:pPr>
        <w:pStyle w:val="ListParagraph"/>
        <w:numPr>
          <w:ilvl w:val="1"/>
          <w:numId w:val="765"/>
        </w:numPr>
        <w:tabs>
          <w:tab w:pos="1318" w:val="left" w:leader="none"/>
        </w:tabs>
        <w:spacing w:line="267" w:lineRule="exact" w:before="0" w:after="0"/>
        <w:ind w:left="1318" w:right="0" w:hanging="478"/>
        <w:jc w:val="left"/>
        <w:rPr>
          <w:sz w:val="21"/>
        </w:rPr>
      </w:pPr>
      <w:r>
        <w:rPr>
          <w:spacing w:val="-3"/>
          <w:sz w:val="21"/>
        </w:rPr>
        <w:t>减压阀的维护管理应符合下列规定：</w:t>
      </w:r>
      <w:r>
        <w:rPr>
          <w:sz w:val="21"/>
        </w:rPr>
        <w:t> </w:t>
      </w:r>
    </w:p>
    <w:p>
      <w:pPr>
        <w:pStyle w:val="BodyText"/>
        <w:spacing w:before="1"/>
        <w:rPr>
          <w:sz w:val="18"/>
        </w:rPr>
      </w:pPr>
    </w:p>
    <w:p>
      <w:pPr>
        <w:pStyle w:val="BodyText"/>
        <w:spacing w:line="446" w:lineRule="auto"/>
        <w:ind w:left="418" w:right="1609" w:firstLine="419"/>
      </w:pPr>
      <w:r>
        <w:rPr/>
        <w:t>每月应对减压阀组进行一次放水试验，并应检测和记录减压阀前后的压力，当不符合设计值时应采取满足系统要求的调试和维修等措施； </w:t>
      </w:r>
    </w:p>
    <w:p>
      <w:pPr>
        <w:pStyle w:val="BodyText"/>
        <w:spacing w:line="267" w:lineRule="exact"/>
        <w:ind w:left="838"/>
      </w:pPr>
      <w:r>
        <w:rPr/>
        <w:t>每年应对减压阀的流量和压力进行一次试验。 </w:t>
      </w:r>
    </w:p>
    <w:p>
      <w:pPr>
        <w:pStyle w:val="BodyText"/>
        <w:spacing w:before="2"/>
        <w:rPr>
          <w:sz w:val="18"/>
        </w:rPr>
      </w:pPr>
    </w:p>
    <w:p>
      <w:pPr>
        <w:pStyle w:val="ListParagraph"/>
        <w:numPr>
          <w:ilvl w:val="1"/>
          <w:numId w:val="765"/>
        </w:numPr>
        <w:tabs>
          <w:tab w:pos="1318" w:val="left" w:leader="none"/>
        </w:tabs>
        <w:spacing w:line="240" w:lineRule="auto" w:before="0" w:after="0"/>
        <w:ind w:left="1318" w:right="0" w:hanging="478"/>
        <w:jc w:val="left"/>
        <w:rPr>
          <w:sz w:val="21"/>
        </w:rPr>
      </w:pPr>
      <w:r>
        <w:rPr>
          <w:spacing w:val="-3"/>
          <w:sz w:val="21"/>
        </w:rPr>
        <w:t>阀门的维护管理应符合下列规定：</w:t>
      </w:r>
      <w:r>
        <w:rPr>
          <w:sz w:val="21"/>
        </w:rPr>
        <w:t> </w:t>
      </w:r>
    </w:p>
    <w:p>
      <w:pPr>
        <w:pStyle w:val="BodyText"/>
        <w:rPr>
          <w:sz w:val="18"/>
        </w:rPr>
      </w:pPr>
    </w:p>
    <w:p>
      <w:pPr>
        <w:pStyle w:val="BodyText"/>
        <w:spacing w:line="446" w:lineRule="auto"/>
        <w:ind w:left="838" w:right="2765"/>
      </w:pPr>
      <w:r>
        <w:rPr>
          <w:spacing w:val="-3"/>
        </w:rPr>
        <w:t>雨林阀的附属电磁阀应每月检查并应作启动试验，动作失常时应及时更换； 每月应对电动阀和电磁阀的供电和启闭性能进行检测；</w:t>
      </w:r>
      <w:r>
        <w:rPr/>
        <w:t> </w:t>
      </w:r>
    </w:p>
    <w:p>
      <w:pPr>
        <w:pStyle w:val="BodyText"/>
        <w:spacing w:line="446" w:lineRule="auto"/>
        <w:ind w:left="418" w:right="1609" w:firstLine="419"/>
      </w:pPr>
      <w:r>
        <w:rPr/>
        <w:t>系统上所有的控制阀门均应采用铅封或锁链固定在开启或规定的状态，每月应对铅封、锁链进行一次检查，当有破坏或损坏时应及时修理更换； </w:t>
      </w:r>
    </w:p>
    <w:p>
      <w:pPr>
        <w:pStyle w:val="BodyText"/>
        <w:spacing w:line="446" w:lineRule="auto"/>
        <w:ind w:left="418" w:right="1609" w:firstLine="419"/>
      </w:pPr>
      <w:r>
        <w:rPr/>
        <w:t>每季度应对室外阀门井中，进水管上的控制阀门进行一次检查，并应核实其处于全开启状态； </w:t>
      </w:r>
    </w:p>
    <w:p>
      <w:pPr>
        <w:spacing w:after="0" w:line="446" w:lineRule="auto"/>
        <w:sectPr>
          <w:pgSz w:w="11910" w:h="16850"/>
          <w:pgMar w:header="0" w:footer="1239" w:top="1220" w:bottom="1420" w:left="1260" w:right="0"/>
        </w:sectPr>
      </w:pPr>
    </w:p>
    <w:p>
      <w:pPr>
        <w:pStyle w:val="BodyText"/>
        <w:spacing w:before="47"/>
        <w:ind w:left="838"/>
      </w:pPr>
      <w:r>
        <w:rPr/>
        <w:t>每天应对水源控制阀、报警阀组进行外观检查，并应保证系统处于无故障状态； </w:t>
      </w:r>
    </w:p>
    <w:p>
      <w:pPr>
        <w:pStyle w:val="BodyText"/>
        <w:rPr>
          <w:sz w:val="18"/>
        </w:rPr>
      </w:pPr>
    </w:p>
    <w:p>
      <w:pPr>
        <w:pStyle w:val="BodyText"/>
        <w:spacing w:line="446" w:lineRule="auto"/>
        <w:ind w:left="418" w:right="1609" w:firstLine="419"/>
      </w:pPr>
      <w:r>
        <w:rPr/>
        <w:t>每季度应对系统所有的末端试水阀和报警阀的放水试验阀进行一次放水试验，并应检查系统启动、报警功能以及出水情况是否正常； </w:t>
      </w:r>
    </w:p>
    <w:p>
      <w:pPr>
        <w:pStyle w:val="BodyText"/>
        <w:spacing w:line="446" w:lineRule="auto"/>
        <w:ind w:left="418" w:right="1558" w:firstLine="419"/>
        <w:jc w:val="both"/>
      </w:pPr>
      <w:r>
        <w:rPr>
          <w:spacing w:val="-3"/>
        </w:rPr>
        <w:t>在市政供水阀门处于完全开启状态时，每月应对倒流防止器的压差进行检测，且应符合国家现行标准《减压型倒流防止器》</w:t>
      </w:r>
      <w:r>
        <w:rPr/>
        <w:t>GB/T 25178</w:t>
      </w:r>
      <w:r>
        <w:rPr>
          <w:spacing w:val="-3"/>
        </w:rPr>
        <w:t>、《低阻力倒流防止器》</w:t>
      </w:r>
      <w:r>
        <w:rPr/>
        <w:t>JB/T 11151</w:t>
      </w:r>
      <w:r>
        <w:rPr>
          <w:spacing w:val="-10"/>
        </w:rPr>
        <w:t> 和《双止回</w:t>
      </w:r>
      <w:r>
        <w:rPr>
          <w:spacing w:val="-5"/>
        </w:rPr>
        <w:t>阀倒流防止器》</w:t>
      </w:r>
      <w:r>
        <w:rPr/>
        <w:t>CJ/T 160</w:t>
      </w:r>
      <w:r>
        <w:rPr>
          <w:spacing w:val="-10"/>
        </w:rPr>
        <w:t> 等的有关规定。</w:t>
      </w:r>
      <w:r>
        <w:rPr/>
        <w:t> </w:t>
      </w:r>
    </w:p>
    <w:p>
      <w:pPr>
        <w:pStyle w:val="ListParagraph"/>
        <w:numPr>
          <w:ilvl w:val="1"/>
          <w:numId w:val="765"/>
        </w:numPr>
        <w:tabs>
          <w:tab w:pos="1318" w:val="left" w:leader="none"/>
        </w:tabs>
        <w:spacing w:line="268" w:lineRule="exact" w:before="0" w:after="0"/>
        <w:ind w:left="1318" w:right="0" w:hanging="478"/>
        <w:jc w:val="left"/>
        <w:rPr>
          <w:sz w:val="21"/>
        </w:rPr>
      </w:pPr>
      <w:r>
        <w:rPr>
          <w:spacing w:val="-3"/>
          <w:sz w:val="21"/>
        </w:rPr>
        <w:t>每季度应对消火栓进行一次外观和漏水检查，发现有不正常的消火栓应及时更换。</w:t>
      </w:r>
      <w:r>
        <w:rPr>
          <w:sz w:val="21"/>
        </w:rPr>
        <w:t> </w:t>
      </w:r>
    </w:p>
    <w:p>
      <w:pPr>
        <w:pStyle w:val="BodyText"/>
        <w:rPr>
          <w:sz w:val="18"/>
        </w:rPr>
      </w:pPr>
    </w:p>
    <w:p>
      <w:pPr>
        <w:pStyle w:val="ListParagraph"/>
        <w:numPr>
          <w:ilvl w:val="1"/>
          <w:numId w:val="765"/>
        </w:numPr>
        <w:tabs>
          <w:tab w:pos="1318" w:val="left" w:leader="none"/>
        </w:tabs>
        <w:spacing w:line="446" w:lineRule="auto" w:before="0" w:after="0"/>
        <w:ind w:left="418" w:right="1760" w:firstLine="422"/>
        <w:jc w:val="left"/>
        <w:rPr>
          <w:sz w:val="21"/>
        </w:rPr>
      </w:pPr>
      <w:r>
        <w:rPr>
          <w:spacing w:val="-3"/>
          <w:sz w:val="21"/>
        </w:rPr>
        <w:t>每季度应对消防水泵接合器的接口及附件进行检查一次，并应保证接口完好、无渗漏、闷盖齐全。</w:t>
      </w:r>
      <w:r>
        <w:rPr>
          <w:sz w:val="21"/>
        </w:rPr>
        <w:t> </w:t>
      </w:r>
    </w:p>
    <w:p>
      <w:pPr>
        <w:pStyle w:val="ListParagraph"/>
        <w:numPr>
          <w:ilvl w:val="1"/>
          <w:numId w:val="765"/>
        </w:numPr>
        <w:tabs>
          <w:tab w:pos="1318" w:val="left" w:leader="none"/>
        </w:tabs>
        <w:spacing w:line="446" w:lineRule="auto" w:before="0" w:after="0"/>
        <w:ind w:left="418" w:right="1551" w:firstLine="422"/>
        <w:jc w:val="left"/>
        <w:rPr>
          <w:sz w:val="21"/>
        </w:rPr>
      </w:pPr>
      <w:r>
        <w:rPr>
          <w:spacing w:val="-3"/>
          <w:sz w:val="21"/>
        </w:rPr>
        <w:t>每年应对系统过滤器进行至少一次排渣，并应检查过滤器是否处于完好状态，当堵塞或损坏时应及时检修。</w:t>
      </w:r>
      <w:r>
        <w:rPr>
          <w:sz w:val="21"/>
        </w:rPr>
        <w:t> </w:t>
      </w:r>
    </w:p>
    <w:p>
      <w:pPr>
        <w:pStyle w:val="ListParagraph"/>
        <w:numPr>
          <w:ilvl w:val="1"/>
          <w:numId w:val="765"/>
        </w:numPr>
        <w:tabs>
          <w:tab w:pos="1424" w:val="left" w:leader="none"/>
        </w:tabs>
        <w:spacing w:line="446" w:lineRule="auto" w:before="0" w:after="0"/>
        <w:ind w:left="418" w:right="1445" w:firstLine="422"/>
        <w:jc w:val="left"/>
        <w:rPr>
          <w:sz w:val="21"/>
        </w:rPr>
      </w:pPr>
      <w:r>
        <w:rPr>
          <w:spacing w:val="-3"/>
          <w:sz w:val="21"/>
        </w:rPr>
        <w:t>每年应检查消防水池、消防水箱等蓄水设施的结构材料是否完好，发现问题时应及时处理。</w:t>
      </w:r>
      <w:r>
        <w:rPr>
          <w:sz w:val="21"/>
        </w:rPr>
        <w:t> </w:t>
      </w:r>
    </w:p>
    <w:p>
      <w:pPr>
        <w:pStyle w:val="ListParagraph"/>
        <w:numPr>
          <w:ilvl w:val="1"/>
          <w:numId w:val="765"/>
        </w:numPr>
        <w:tabs>
          <w:tab w:pos="1424" w:val="left" w:leader="none"/>
        </w:tabs>
        <w:spacing w:line="446" w:lineRule="auto" w:before="0" w:after="0"/>
        <w:ind w:left="418" w:right="1445" w:firstLine="422"/>
        <w:jc w:val="left"/>
        <w:rPr>
          <w:sz w:val="21"/>
        </w:rPr>
      </w:pPr>
      <w:r>
        <w:rPr>
          <w:spacing w:val="-3"/>
          <w:sz w:val="21"/>
        </w:rPr>
        <w:t>建筑的使用性质功能或障碍物的改变，影响到消防给水及消火栓系统功能而需要进行修改时，应重新进行设计。 </w:t>
      </w:r>
    </w:p>
    <w:p>
      <w:pPr>
        <w:pStyle w:val="ListParagraph"/>
        <w:numPr>
          <w:ilvl w:val="1"/>
          <w:numId w:val="765"/>
        </w:numPr>
        <w:tabs>
          <w:tab w:pos="1424" w:val="left" w:leader="none"/>
        </w:tabs>
        <w:spacing w:line="446" w:lineRule="auto" w:before="0" w:after="0"/>
        <w:ind w:left="418" w:right="1445" w:firstLine="422"/>
        <w:jc w:val="left"/>
        <w:rPr>
          <w:sz w:val="21"/>
        </w:rPr>
      </w:pPr>
      <w:r>
        <w:rPr>
          <w:spacing w:val="-3"/>
          <w:sz w:val="21"/>
        </w:rPr>
        <w:t>消火栓、消防水泵接合器、消防水泵房、消防水泵、减压阀、报警阀和阀门等，应有明确的标识。</w:t>
      </w:r>
      <w:r>
        <w:rPr>
          <w:sz w:val="21"/>
        </w:rPr>
        <w:t> </w:t>
      </w:r>
    </w:p>
    <w:p>
      <w:pPr>
        <w:pStyle w:val="ListParagraph"/>
        <w:numPr>
          <w:ilvl w:val="1"/>
          <w:numId w:val="765"/>
        </w:numPr>
        <w:tabs>
          <w:tab w:pos="1424" w:val="left" w:leader="none"/>
        </w:tabs>
        <w:spacing w:line="446" w:lineRule="auto" w:before="0" w:after="0"/>
        <w:ind w:left="418" w:right="1445" w:firstLine="422"/>
        <w:jc w:val="left"/>
        <w:rPr>
          <w:sz w:val="21"/>
        </w:rPr>
      </w:pPr>
      <w:r>
        <w:rPr>
          <w:spacing w:val="-3"/>
          <w:sz w:val="21"/>
        </w:rPr>
        <w:t>消防给水及消火栓系统应有产权单位负责管理，并应使系统处于随时满足消防的需求和安全状态。</w:t>
      </w:r>
      <w:r>
        <w:rPr>
          <w:sz w:val="21"/>
        </w:rPr>
        <w:t> </w:t>
      </w:r>
    </w:p>
    <w:p>
      <w:pPr>
        <w:pStyle w:val="ListParagraph"/>
        <w:numPr>
          <w:ilvl w:val="1"/>
          <w:numId w:val="765"/>
        </w:numPr>
        <w:tabs>
          <w:tab w:pos="1424" w:val="left" w:leader="none"/>
        </w:tabs>
        <w:spacing w:line="240" w:lineRule="auto" w:before="0" w:after="0"/>
        <w:ind w:left="1423" w:right="0" w:hanging="584"/>
        <w:jc w:val="left"/>
        <w:rPr>
          <w:sz w:val="21"/>
        </w:rPr>
      </w:pPr>
      <w:r>
        <w:rPr>
          <w:spacing w:val="-3"/>
          <w:sz w:val="21"/>
        </w:rPr>
        <w:t>永久性地表水天然水源消防取水口应有防止水生生物繁殖的管理技术措施。 </w:t>
      </w:r>
    </w:p>
    <w:p>
      <w:pPr>
        <w:pStyle w:val="BodyText"/>
        <w:spacing w:before="8"/>
        <w:rPr>
          <w:sz w:val="17"/>
        </w:rPr>
      </w:pPr>
    </w:p>
    <w:p>
      <w:pPr>
        <w:pStyle w:val="ListParagraph"/>
        <w:numPr>
          <w:ilvl w:val="1"/>
          <w:numId w:val="765"/>
        </w:numPr>
        <w:tabs>
          <w:tab w:pos="1424" w:val="left" w:leader="none"/>
        </w:tabs>
        <w:spacing w:line="446" w:lineRule="auto" w:before="0" w:after="0"/>
        <w:ind w:left="418" w:right="1445" w:firstLine="422"/>
        <w:jc w:val="left"/>
        <w:rPr>
          <w:sz w:val="21"/>
        </w:rPr>
      </w:pPr>
      <w:r>
        <w:rPr>
          <w:spacing w:val="-3"/>
          <w:sz w:val="21"/>
        </w:rPr>
        <w:t>消防给水及消火栓系统发生故障，需停水进行修理前，应向主管值班人员报告，并应取得维护负责人的同意，同时应临场监督，应在采取防范措施后再动工。</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9"/>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pPr>
    </w:p>
    <w:p>
      <w:pPr>
        <w:pStyle w:val="BodyText"/>
        <w:spacing w:before="72"/>
        <w:ind w:left="3298"/>
      </w:pPr>
      <w:r>
        <w:rPr>
          <w:w w:val="100"/>
        </w:rPr>
        <w:t> </w:t>
      </w:r>
    </w:p>
    <w:p>
      <w:pPr>
        <w:spacing w:after="0"/>
        <w:sectPr>
          <w:pgSz w:w="11910" w:h="16850"/>
          <w:pgMar w:header="0" w:footer="1239" w:top="1600" w:bottom="1420" w:left="1260" w:right="0"/>
        </w:sectPr>
      </w:pPr>
    </w:p>
    <w:p>
      <w:pPr>
        <w:pStyle w:val="Heading2"/>
        <w:ind w:left="2251"/>
        <w:jc w:val="left"/>
      </w:pPr>
      <w:bookmarkStart w:name="_bookmark27" w:id="28"/>
      <w:bookmarkEnd w:id="28"/>
      <w:r>
        <w:rPr>
          <w:b w:val="0"/>
        </w:rPr>
      </w:r>
      <w:r>
        <w:rPr/>
        <w:t>汽车库、修车库、停车场设计防火规范</w:t>
      </w:r>
      <w:r>
        <w:rPr>
          <w:w w:val="99"/>
        </w:rPr>
        <w:t> </w:t>
      </w:r>
    </w:p>
    <w:p>
      <w:pPr>
        <w:pStyle w:val="BodyText"/>
        <w:rPr>
          <w:b/>
          <w:sz w:val="20"/>
        </w:rPr>
      </w:pPr>
    </w:p>
    <w:p>
      <w:pPr>
        <w:pStyle w:val="BodyText"/>
        <w:spacing w:before="5"/>
        <w:rPr>
          <w:b/>
          <w:sz w:val="14"/>
        </w:rPr>
      </w:pPr>
    </w:p>
    <w:p>
      <w:pPr>
        <w:pStyle w:val="Heading4"/>
        <w:numPr>
          <w:ilvl w:val="0"/>
          <w:numId w:val="766"/>
        </w:numPr>
        <w:tabs>
          <w:tab w:pos="601" w:val="left" w:leader="none"/>
        </w:tabs>
        <w:spacing w:line="240" w:lineRule="auto" w:before="66" w:after="0"/>
        <w:ind w:left="600" w:right="0" w:hanging="183"/>
        <w:jc w:val="left"/>
      </w:pPr>
      <w:r>
        <w:rPr/>
        <w:t>总则</w:t>
      </w:r>
      <w:r>
        <w:rPr>
          <w:w w:val="99"/>
        </w:rPr>
        <w:t> </w:t>
      </w:r>
    </w:p>
    <w:p>
      <w:pPr>
        <w:pStyle w:val="BodyText"/>
        <w:spacing w:before="4"/>
        <w:rPr>
          <w:b/>
          <w:sz w:val="17"/>
        </w:rPr>
      </w:pPr>
    </w:p>
    <w:p>
      <w:pPr>
        <w:pStyle w:val="ListParagraph"/>
        <w:numPr>
          <w:ilvl w:val="1"/>
          <w:numId w:val="766"/>
        </w:numPr>
        <w:tabs>
          <w:tab w:pos="1160" w:val="left" w:leader="none"/>
        </w:tabs>
        <w:spacing w:line="446" w:lineRule="auto" w:before="0" w:after="0"/>
        <w:ind w:left="418" w:right="1813" w:firstLine="422"/>
        <w:jc w:val="left"/>
        <w:rPr>
          <w:sz w:val="21"/>
        </w:rPr>
      </w:pPr>
      <w:r>
        <w:rPr>
          <w:spacing w:val="-3"/>
          <w:sz w:val="21"/>
        </w:rPr>
        <w:t>为了防止和减少汽车库、修车库、停车场的火灾危险和危害，保护人身和财产的安全，制定 本规范。 </w:t>
      </w:r>
      <w:r>
        <w:rPr>
          <w:sz w:val="21"/>
        </w:rPr>
        <w:t> </w:t>
      </w:r>
    </w:p>
    <w:p>
      <w:pPr>
        <w:pStyle w:val="ListParagraph"/>
        <w:numPr>
          <w:ilvl w:val="1"/>
          <w:numId w:val="766"/>
        </w:numPr>
        <w:tabs>
          <w:tab w:pos="1159" w:val="left" w:leader="none"/>
        </w:tabs>
        <w:spacing w:line="446" w:lineRule="auto" w:before="0" w:after="0"/>
        <w:ind w:left="418" w:right="1604" w:firstLine="422"/>
        <w:jc w:val="left"/>
        <w:rPr>
          <w:sz w:val="21"/>
        </w:rPr>
      </w:pPr>
      <w:r>
        <w:rPr>
          <w:spacing w:val="-3"/>
          <w:sz w:val="21"/>
        </w:rPr>
        <w:t>本规范适用于新建、扩建和改建的汽车库、修车库、停车场的防火设计，不适用于消防站的 汽车库、修车库、停车场的防火设计。 </w:t>
      </w:r>
      <w:r>
        <w:rPr>
          <w:sz w:val="21"/>
        </w:rPr>
        <w:t> </w:t>
      </w:r>
    </w:p>
    <w:p>
      <w:pPr>
        <w:pStyle w:val="ListParagraph"/>
        <w:numPr>
          <w:ilvl w:val="1"/>
          <w:numId w:val="766"/>
        </w:numPr>
        <w:tabs>
          <w:tab w:pos="1159" w:val="left" w:leader="none"/>
          <w:tab w:pos="6447" w:val="left" w:leader="none"/>
        </w:tabs>
        <w:spacing w:line="446" w:lineRule="auto" w:before="0" w:after="0"/>
        <w:ind w:left="418" w:right="1594" w:firstLine="422"/>
        <w:jc w:val="left"/>
        <w:rPr>
          <w:sz w:val="21"/>
        </w:rPr>
      </w:pPr>
      <w:r>
        <w:rPr>
          <w:spacing w:val="-3"/>
          <w:sz w:val="21"/>
        </w:rPr>
        <w:t>汽</w:t>
      </w:r>
      <w:r>
        <w:rPr>
          <w:sz w:val="21"/>
        </w:rPr>
        <w:t>车库</w:t>
      </w:r>
      <w:r>
        <w:rPr>
          <w:spacing w:val="-3"/>
          <w:sz w:val="21"/>
        </w:rPr>
        <w:t>、</w:t>
      </w:r>
      <w:r>
        <w:rPr>
          <w:sz w:val="21"/>
        </w:rPr>
        <w:t>修</w:t>
      </w:r>
      <w:r>
        <w:rPr>
          <w:spacing w:val="-3"/>
          <w:sz w:val="21"/>
        </w:rPr>
        <w:t>车</w:t>
      </w:r>
      <w:r>
        <w:rPr>
          <w:sz w:val="21"/>
        </w:rPr>
        <w:t>库</w:t>
      </w:r>
      <w:r>
        <w:rPr>
          <w:spacing w:val="-3"/>
          <w:sz w:val="21"/>
        </w:rPr>
        <w:t>、停</w:t>
      </w:r>
      <w:r>
        <w:rPr>
          <w:sz w:val="21"/>
        </w:rPr>
        <w:t>车</w:t>
      </w:r>
      <w:r>
        <w:rPr>
          <w:spacing w:val="-3"/>
          <w:sz w:val="21"/>
        </w:rPr>
        <w:t>场</w:t>
      </w:r>
      <w:r>
        <w:rPr>
          <w:spacing w:val="4"/>
          <w:sz w:val="21"/>
        </w:rPr>
        <w:t>的</w:t>
      </w:r>
      <w:r>
        <w:rPr>
          <w:spacing w:val="-3"/>
          <w:sz w:val="21"/>
        </w:rPr>
        <w:t>防</w:t>
      </w:r>
      <w:r>
        <w:rPr>
          <w:sz w:val="21"/>
        </w:rPr>
        <w:t>火</w:t>
      </w:r>
      <w:r>
        <w:rPr>
          <w:spacing w:val="-3"/>
          <w:sz w:val="21"/>
        </w:rPr>
        <w:t>设</w:t>
      </w:r>
      <w:r>
        <w:rPr>
          <w:sz w:val="21"/>
        </w:rPr>
        <w:t>计</w:t>
      </w:r>
      <w:r>
        <w:rPr>
          <w:spacing w:val="-3"/>
          <w:sz w:val="21"/>
        </w:rPr>
        <w:t>，</w:t>
      </w:r>
      <w:r>
        <w:rPr>
          <w:sz w:val="21"/>
        </w:rPr>
        <w:t>应</w:t>
      </w:r>
      <w:r>
        <w:rPr>
          <w:spacing w:val="-3"/>
          <w:sz w:val="21"/>
        </w:rPr>
        <w:t>结合</w:t>
      </w:r>
      <w:r>
        <w:rPr>
          <w:sz w:val="21"/>
        </w:rPr>
        <w:t>汽</w:t>
      </w:r>
      <w:r>
        <w:rPr>
          <w:spacing w:val="-3"/>
          <w:sz w:val="21"/>
        </w:rPr>
        <w:t>车</w:t>
      </w:r>
      <w:r>
        <w:rPr>
          <w:spacing w:val="4"/>
          <w:sz w:val="21"/>
        </w:rPr>
        <w:t>库</w:t>
      </w:r>
      <w:r>
        <w:rPr>
          <w:spacing w:val="-3"/>
          <w:sz w:val="21"/>
        </w:rPr>
        <w:t>、</w:t>
      </w:r>
      <w:r>
        <w:rPr>
          <w:sz w:val="21"/>
        </w:rPr>
        <w:t>修</w:t>
      </w:r>
      <w:r>
        <w:rPr>
          <w:spacing w:val="-3"/>
          <w:sz w:val="21"/>
        </w:rPr>
        <w:t>车</w:t>
      </w:r>
      <w:r>
        <w:rPr>
          <w:sz w:val="21"/>
        </w:rPr>
        <w:t>库</w:t>
      </w:r>
      <w:r>
        <w:rPr>
          <w:spacing w:val="-3"/>
          <w:sz w:val="21"/>
        </w:rPr>
        <w:t>、</w:t>
      </w:r>
      <w:r>
        <w:rPr>
          <w:sz w:val="21"/>
        </w:rPr>
        <w:t>停</w:t>
      </w:r>
      <w:r>
        <w:rPr>
          <w:spacing w:val="-3"/>
          <w:sz w:val="21"/>
        </w:rPr>
        <w:t>车场</w:t>
      </w:r>
      <w:r>
        <w:rPr>
          <w:sz w:val="21"/>
        </w:rPr>
        <w:t>的</w:t>
      </w:r>
      <w:r>
        <w:rPr>
          <w:spacing w:val="-3"/>
          <w:sz w:val="21"/>
        </w:rPr>
        <w:t>特</w:t>
      </w:r>
      <w:r>
        <w:rPr>
          <w:spacing w:val="4"/>
          <w:sz w:val="21"/>
        </w:rPr>
        <w:t>点</w:t>
      </w:r>
      <w:r>
        <w:rPr>
          <w:spacing w:val="-3"/>
          <w:sz w:val="21"/>
        </w:rPr>
        <w:t>，</w:t>
      </w:r>
      <w:r>
        <w:rPr>
          <w:sz w:val="21"/>
        </w:rPr>
        <w:t>采取有效的</w:t>
      </w:r>
      <w:r>
        <w:rPr>
          <w:spacing w:val="29"/>
          <w:sz w:val="21"/>
        </w:rPr>
        <w:t> </w:t>
      </w:r>
      <w:r>
        <w:rPr>
          <w:sz w:val="21"/>
        </w:rPr>
        <w:t>防</w:t>
      </w:r>
      <w:r>
        <w:rPr>
          <w:spacing w:val="-3"/>
          <w:sz w:val="21"/>
        </w:rPr>
        <w:t>火</w:t>
      </w:r>
      <w:r>
        <w:rPr>
          <w:spacing w:val="-8"/>
          <w:sz w:val="21"/>
        </w:rPr>
        <w:t>措</w:t>
      </w:r>
      <w:r>
        <w:rPr>
          <w:spacing w:val="-3"/>
          <w:sz w:val="21"/>
        </w:rPr>
        <w:t>施</w:t>
      </w:r>
      <w:r>
        <w:rPr>
          <w:spacing w:val="-5"/>
          <w:sz w:val="21"/>
        </w:rPr>
        <w:t>，</w:t>
      </w:r>
      <w:r>
        <w:rPr>
          <w:spacing w:val="-3"/>
          <w:sz w:val="21"/>
        </w:rPr>
        <w:t>并</w:t>
      </w:r>
      <w:r>
        <w:rPr>
          <w:spacing w:val="-5"/>
          <w:sz w:val="21"/>
        </w:rPr>
        <w:t>应</w:t>
      </w:r>
      <w:r>
        <w:rPr>
          <w:spacing w:val="-3"/>
          <w:sz w:val="21"/>
        </w:rPr>
        <w:t>做</w:t>
      </w:r>
      <w:r>
        <w:rPr>
          <w:spacing w:val="-5"/>
          <w:sz w:val="21"/>
        </w:rPr>
        <w:t>到</w:t>
      </w:r>
      <w:r>
        <w:rPr>
          <w:spacing w:val="-3"/>
          <w:sz w:val="21"/>
        </w:rPr>
        <w:t>安</w:t>
      </w:r>
      <w:r>
        <w:rPr>
          <w:spacing w:val="-8"/>
          <w:sz w:val="21"/>
        </w:rPr>
        <w:t>全</w:t>
      </w:r>
      <w:r>
        <w:rPr>
          <w:sz w:val="21"/>
        </w:rPr>
        <w:t>可</w:t>
      </w:r>
      <w:r>
        <w:rPr>
          <w:spacing w:val="-3"/>
          <w:sz w:val="21"/>
        </w:rPr>
        <w:t>靠</w:t>
      </w:r>
      <w:r>
        <w:rPr>
          <w:spacing w:val="-8"/>
          <w:sz w:val="21"/>
        </w:rPr>
        <w:t>、</w:t>
      </w:r>
      <w:r>
        <w:rPr>
          <w:spacing w:val="-3"/>
          <w:sz w:val="21"/>
        </w:rPr>
        <w:t>技</w:t>
      </w:r>
      <w:r>
        <w:rPr>
          <w:spacing w:val="-5"/>
          <w:sz w:val="21"/>
        </w:rPr>
        <w:t>术</w:t>
      </w:r>
      <w:r>
        <w:rPr>
          <w:spacing w:val="-3"/>
          <w:sz w:val="21"/>
        </w:rPr>
        <w:t>先</w:t>
      </w:r>
      <w:r>
        <w:rPr>
          <w:spacing w:val="-8"/>
          <w:sz w:val="21"/>
        </w:rPr>
        <w:t>进</w:t>
      </w:r>
      <w:r>
        <w:rPr>
          <w:sz w:val="21"/>
        </w:rPr>
        <w:t>、</w:t>
      </w:r>
      <w:r>
        <w:rPr>
          <w:spacing w:val="-5"/>
          <w:sz w:val="21"/>
        </w:rPr>
        <w:t>经</w:t>
      </w:r>
      <w:r>
        <w:rPr>
          <w:spacing w:val="-3"/>
          <w:sz w:val="21"/>
        </w:rPr>
        <w:t>济</w:t>
      </w:r>
      <w:r>
        <w:rPr>
          <w:spacing w:val="-8"/>
          <w:sz w:val="21"/>
        </w:rPr>
        <w:t>合</w:t>
      </w:r>
      <w:r>
        <w:rPr>
          <w:sz w:val="21"/>
        </w:rPr>
        <w:t>理</w:t>
      </w:r>
      <w:r>
        <w:rPr>
          <w:spacing w:val="-3"/>
          <w:sz w:val="21"/>
        </w:rPr>
        <w:t>。</w:t>
      </w:r>
      <w:r>
        <w:rPr>
          <w:sz w:val="21"/>
        </w:rPr>
        <w:t> </w:t>
        <w:tab/>
      </w:r>
      <w:r>
        <w:rPr>
          <w:w w:val="100"/>
          <w:sz w:val="21"/>
        </w:rPr>
        <w:t> </w:t>
      </w:r>
    </w:p>
    <w:p>
      <w:pPr>
        <w:pStyle w:val="ListParagraph"/>
        <w:numPr>
          <w:ilvl w:val="1"/>
          <w:numId w:val="766"/>
        </w:numPr>
        <w:tabs>
          <w:tab w:pos="1159" w:val="left" w:leader="none"/>
        </w:tabs>
        <w:spacing w:line="446" w:lineRule="auto" w:before="0" w:after="0"/>
        <w:ind w:left="418" w:right="1594" w:firstLine="422"/>
        <w:jc w:val="left"/>
        <w:rPr>
          <w:sz w:val="21"/>
        </w:rPr>
      </w:pPr>
      <w:r>
        <w:rPr>
          <w:spacing w:val="-3"/>
          <w:sz w:val="21"/>
        </w:rPr>
        <w:t>汽车库、修车库、停车场的防火设计，除应符合本规范外，尚应符合国家现行有关标准的规 定。 </w:t>
      </w:r>
      <w:r>
        <w:rPr>
          <w:sz w:val="21"/>
        </w:rPr>
        <w:t> </w:t>
      </w:r>
    </w:p>
    <w:p>
      <w:pPr>
        <w:pStyle w:val="Heading4"/>
        <w:spacing w:line="277" w:lineRule="exact"/>
      </w:pPr>
      <w:r>
        <w:rPr/>
        <w:t>2 术语</w:t>
      </w:r>
      <w:r>
        <w:rPr>
          <w:w w:val="99"/>
        </w:rPr>
        <w:t> </w:t>
      </w:r>
    </w:p>
    <w:p>
      <w:pPr>
        <w:pStyle w:val="BodyText"/>
        <w:spacing w:before="2"/>
        <w:rPr>
          <w:b/>
          <w:sz w:val="17"/>
        </w:rPr>
      </w:pPr>
    </w:p>
    <w:p>
      <w:pPr>
        <w:pStyle w:val="ListParagraph"/>
        <w:numPr>
          <w:ilvl w:val="1"/>
          <w:numId w:val="767"/>
        </w:numPr>
        <w:tabs>
          <w:tab w:pos="1160" w:val="left" w:leader="none"/>
        </w:tabs>
        <w:spacing w:line="446" w:lineRule="auto" w:before="0" w:after="0"/>
        <w:ind w:left="418" w:right="1707" w:firstLine="422"/>
        <w:jc w:val="left"/>
        <w:rPr>
          <w:sz w:val="21"/>
        </w:rPr>
      </w:pPr>
      <w:r>
        <w:rPr>
          <w:spacing w:val="-1"/>
          <w:sz w:val="21"/>
        </w:rPr>
        <w:t>汽车库 </w:t>
      </w:r>
      <w:r>
        <w:rPr>
          <w:spacing w:val="-3"/>
          <w:sz w:val="21"/>
        </w:rPr>
        <w:t>garage</w:t>
      </w:r>
      <w:r>
        <w:rPr>
          <w:spacing w:val="-8"/>
          <w:sz w:val="21"/>
        </w:rPr>
        <w:t> 用于停放由内燃机驱动且无轨道的客车、货车、工程车等汽车的建筑</w:t>
      </w:r>
      <w:r>
        <w:rPr>
          <w:spacing w:val="-5"/>
          <w:sz w:val="21"/>
        </w:rPr>
        <w:t>物。</w:t>
      </w:r>
      <w:r>
        <w:rPr>
          <w:spacing w:val="-3"/>
          <w:sz w:val="21"/>
        </w:rPr>
        <w:t> </w:t>
      </w:r>
      <w:r>
        <w:rPr>
          <w:sz w:val="21"/>
        </w:rPr>
        <w:t> </w:t>
      </w:r>
    </w:p>
    <w:p>
      <w:pPr>
        <w:pStyle w:val="ListParagraph"/>
        <w:numPr>
          <w:ilvl w:val="1"/>
          <w:numId w:val="767"/>
        </w:numPr>
        <w:tabs>
          <w:tab w:pos="1159" w:val="left" w:leader="none"/>
        </w:tabs>
        <w:spacing w:line="446" w:lineRule="auto" w:before="0" w:after="0"/>
        <w:ind w:left="418" w:right="1587" w:firstLine="422"/>
        <w:jc w:val="left"/>
        <w:rPr>
          <w:sz w:val="21"/>
        </w:rPr>
      </w:pPr>
      <w:r>
        <w:rPr>
          <w:spacing w:val="-2"/>
          <w:sz w:val="21"/>
        </w:rPr>
        <w:t>修车库 </w:t>
      </w:r>
      <w:r>
        <w:rPr>
          <w:spacing w:val="-3"/>
          <w:sz w:val="21"/>
        </w:rPr>
        <w:t>motor</w:t>
      </w:r>
      <w:r>
        <w:rPr>
          <w:spacing w:val="8"/>
          <w:sz w:val="21"/>
        </w:rPr>
        <w:t> </w:t>
      </w:r>
      <w:r>
        <w:rPr>
          <w:spacing w:val="-3"/>
          <w:sz w:val="21"/>
        </w:rPr>
        <w:t>repair</w:t>
      </w:r>
      <w:r>
        <w:rPr>
          <w:spacing w:val="7"/>
          <w:sz w:val="21"/>
        </w:rPr>
        <w:t> </w:t>
      </w:r>
      <w:r>
        <w:rPr>
          <w:sz w:val="21"/>
        </w:rPr>
        <w:t>shop</w:t>
      </w:r>
      <w:r>
        <w:rPr>
          <w:spacing w:val="-8"/>
          <w:sz w:val="21"/>
        </w:rPr>
        <w:t> 用于保养、修理由内燃机驱动且无轨道的客车、货车、工程车等汽车的建</w:t>
      </w:r>
      <w:r>
        <w:rPr>
          <w:spacing w:val="-5"/>
          <w:sz w:val="21"/>
        </w:rPr>
        <w:t>（</w:t>
      </w:r>
      <w:r>
        <w:rPr>
          <w:spacing w:val="-3"/>
          <w:sz w:val="21"/>
        </w:rPr>
        <w:t>构）</w:t>
      </w:r>
      <w:r>
        <w:rPr>
          <w:spacing w:val="-5"/>
          <w:sz w:val="21"/>
        </w:rPr>
        <w:t>筑物。</w:t>
      </w:r>
      <w:r>
        <w:rPr>
          <w:spacing w:val="-3"/>
          <w:sz w:val="21"/>
        </w:rPr>
        <w:t> </w:t>
      </w:r>
      <w:r>
        <w:rPr>
          <w:sz w:val="21"/>
        </w:rPr>
        <w:t> </w:t>
      </w:r>
    </w:p>
    <w:p>
      <w:pPr>
        <w:pStyle w:val="ListParagraph"/>
        <w:numPr>
          <w:ilvl w:val="1"/>
          <w:numId w:val="767"/>
        </w:numPr>
        <w:tabs>
          <w:tab w:pos="1160" w:val="left" w:leader="none"/>
        </w:tabs>
        <w:spacing w:line="446" w:lineRule="auto" w:before="0" w:after="0"/>
        <w:ind w:left="418" w:right="1599" w:firstLine="422"/>
        <w:jc w:val="left"/>
        <w:rPr>
          <w:sz w:val="21"/>
        </w:rPr>
      </w:pPr>
      <w:r>
        <w:rPr>
          <w:spacing w:val="-2"/>
          <w:sz w:val="21"/>
        </w:rPr>
        <w:t>停车场 </w:t>
      </w:r>
      <w:r>
        <w:rPr>
          <w:sz w:val="21"/>
        </w:rPr>
        <w:t>parking</w:t>
      </w:r>
      <w:r>
        <w:rPr>
          <w:spacing w:val="8"/>
          <w:sz w:val="21"/>
        </w:rPr>
        <w:t> </w:t>
      </w:r>
      <w:r>
        <w:rPr>
          <w:spacing w:val="-3"/>
          <w:sz w:val="21"/>
        </w:rPr>
        <w:t>lot</w:t>
      </w:r>
      <w:r>
        <w:rPr>
          <w:spacing w:val="-8"/>
          <w:sz w:val="21"/>
        </w:rPr>
        <w:t> 专用于停放由内燃机驱动且无轨道的客车、货车、工程车等汽车</w:t>
      </w:r>
      <w:r>
        <w:rPr>
          <w:spacing w:val="-6"/>
          <w:sz w:val="21"/>
        </w:rPr>
        <w:t>的露天场地或构筑物。</w:t>
      </w:r>
      <w:r>
        <w:rPr>
          <w:spacing w:val="-2"/>
          <w:sz w:val="21"/>
        </w:rPr>
        <w:t> </w:t>
      </w:r>
      <w:r>
        <w:rPr>
          <w:sz w:val="21"/>
        </w:rPr>
        <w:t> </w:t>
      </w:r>
    </w:p>
    <w:p>
      <w:pPr>
        <w:pStyle w:val="ListParagraph"/>
        <w:numPr>
          <w:ilvl w:val="1"/>
          <w:numId w:val="767"/>
        </w:numPr>
        <w:tabs>
          <w:tab w:pos="1160" w:val="left" w:leader="none"/>
        </w:tabs>
        <w:spacing w:line="446" w:lineRule="auto" w:before="0" w:after="0"/>
        <w:ind w:left="418" w:right="1700" w:firstLine="422"/>
        <w:jc w:val="left"/>
        <w:rPr>
          <w:sz w:val="21"/>
        </w:rPr>
      </w:pPr>
      <w:r>
        <w:rPr>
          <w:spacing w:val="-4"/>
          <w:sz w:val="21"/>
        </w:rPr>
        <w:t>地下汽车库 </w:t>
      </w:r>
      <w:r>
        <w:rPr>
          <w:sz w:val="21"/>
        </w:rPr>
        <w:t>underground garage</w:t>
      </w:r>
      <w:r>
        <w:rPr>
          <w:spacing w:val="-8"/>
          <w:sz w:val="21"/>
        </w:rPr>
        <w:t> 地下室内地坪面与室外地坪面的高度之差大于该层</w:t>
      </w:r>
      <w:r>
        <w:rPr>
          <w:spacing w:val="-6"/>
          <w:sz w:val="21"/>
        </w:rPr>
        <w:t>车库净高</w:t>
      </w:r>
      <w:r>
        <w:rPr>
          <w:sz w:val="21"/>
        </w:rPr>
        <w:t>1/2</w:t>
      </w:r>
      <w:r>
        <w:rPr>
          <w:spacing w:val="-7"/>
          <w:sz w:val="21"/>
        </w:rPr>
        <w:t>的汽车库。</w:t>
      </w:r>
      <w:r>
        <w:rPr>
          <w:sz w:val="21"/>
        </w:rPr>
        <w:t> </w:t>
      </w:r>
    </w:p>
    <w:p>
      <w:pPr>
        <w:pStyle w:val="ListParagraph"/>
        <w:numPr>
          <w:ilvl w:val="1"/>
          <w:numId w:val="767"/>
        </w:numPr>
        <w:tabs>
          <w:tab w:pos="1159" w:val="left" w:leader="none"/>
        </w:tabs>
        <w:spacing w:line="446" w:lineRule="auto" w:before="0" w:after="0"/>
        <w:ind w:left="418" w:right="1793" w:firstLine="422"/>
        <w:jc w:val="left"/>
        <w:rPr>
          <w:sz w:val="21"/>
        </w:rPr>
      </w:pPr>
      <w:r>
        <w:rPr>
          <w:spacing w:val="-4"/>
          <w:sz w:val="21"/>
        </w:rPr>
        <w:t>半地下汽车库 </w:t>
      </w:r>
      <w:r>
        <w:rPr>
          <w:sz w:val="21"/>
        </w:rPr>
        <w:t>semi-underground</w:t>
      </w:r>
      <w:r>
        <w:rPr>
          <w:spacing w:val="1"/>
          <w:sz w:val="21"/>
        </w:rPr>
        <w:t> </w:t>
      </w:r>
      <w:r>
        <w:rPr>
          <w:spacing w:val="-3"/>
          <w:sz w:val="21"/>
        </w:rPr>
        <w:t>garage</w:t>
      </w:r>
      <w:r>
        <w:rPr>
          <w:spacing w:val="-7"/>
          <w:sz w:val="21"/>
        </w:rPr>
        <w:t> 地下室内地坪面与室外地坪面的高度之差大于该层车库净高</w:t>
      </w:r>
      <w:r>
        <w:rPr>
          <w:sz w:val="21"/>
        </w:rPr>
        <w:t>1/3</w:t>
      </w:r>
      <w:r>
        <w:rPr>
          <w:spacing w:val="-5"/>
          <w:sz w:val="21"/>
        </w:rPr>
        <w:t>且不大于</w:t>
      </w:r>
      <w:r>
        <w:rPr>
          <w:spacing w:val="-106"/>
          <w:sz w:val="21"/>
        </w:rPr>
        <w:t>1</w:t>
      </w:r>
      <w:r>
        <w:rPr>
          <w:spacing w:val="-2"/>
          <w:sz w:val="21"/>
        </w:rPr>
        <w:t> </w:t>
      </w:r>
      <w:r>
        <w:rPr>
          <w:spacing w:val="-4"/>
          <w:sz w:val="21"/>
        </w:rPr>
        <w:t>/2</w:t>
      </w:r>
      <w:r>
        <w:rPr>
          <w:spacing w:val="-5"/>
          <w:sz w:val="21"/>
        </w:rPr>
        <w:t>的汽车库。</w:t>
      </w:r>
      <w:r>
        <w:rPr>
          <w:spacing w:val="-3"/>
          <w:sz w:val="21"/>
        </w:rPr>
        <w:t> </w:t>
      </w:r>
      <w:r>
        <w:rPr>
          <w:sz w:val="21"/>
        </w:rPr>
        <w:t> </w:t>
      </w:r>
    </w:p>
    <w:p>
      <w:pPr>
        <w:pStyle w:val="ListParagraph"/>
        <w:numPr>
          <w:ilvl w:val="1"/>
          <w:numId w:val="767"/>
        </w:numPr>
        <w:tabs>
          <w:tab w:pos="1160" w:val="left" w:leader="none"/>
        </w:tabs>
        <w:spacing w:line="267" w:lineRule="exact" w:before="0" w:after="0"/>
        <w:ind w:left="1159" w:right="0" w:hanging="320"/>
        <w:jc w:val="left"/>
        <w:rPr>
          <w:b/>
          <w:sz w:val="21"/>
        </w:rPr>
      </w:pPr>
      <w:r>
        <w:rPr>
          <w:spacing w:val="-5"/>
          <w:sz w:val="21"/>
        </w:rPr>
        <w:t>多层汽车库 </w:t>
      </w:r>
      <w:r>
        <w:rPr>
          <w:sz w:val="21"/>
        </w:rPr>
        <w:t>multi-storey</w:t>
      </w:r>
      <w:r>
        <w:rPr>
          <w:spacing w:val="-3"/>
          <w:sz w:val="21"/>
        </w:rPr>
        <w:t> </w:t>
      </w:r>
      <w:r>
        <w:rPr>
          <w:sz w:val="21"/>
        </w:rPr>
        <w:t>garage</w:t>
      </w:r>
      <w:r>
        <w:rPr>
          <w:spacing w:val="-3"/>
          <w:sz w:val="21"/>
        </w:rPr>
        <w:t> </w:t>
      </w:r>
      <w:r>
        <w:rPr>
          <w:b/>
          <w:w w:val="99"/>
          <w:sz w:val="21"/>
        </w:rPr>
        <w:t> </w:t>
      </w:r>
    </w:p>
    <w:p>
      <w:pPr>
        <w:pStyle w:val="BodyText"/>
        <w:rPr>
          <w:b/>
          <w:sz w:val="18"/>
        </w:rPr>
      </w:pPr>
    </w:p>
    <w:p>
      <w:pPr>
        <w:pStyle w:val="BodyText"/>
        <w:spacing w:line="446" w:lineRule="auto"/>
        <w:ind w:left="418" w:right="1810" w:firstLine="419"/>
        <w:rPr>
          <w:b/>
        </w:rPr>
      </w:pPr>
      <w:r>
        <w:rPr>
          <w:spacing w:val="-5"/>
        </w:rPr>
        <w:t>建筑高度小于或等于</w:t>
      </w:r>
      <w:r>
        <w:rPr/>
        <w:t>24m</w:t>
      </w:r>
      <w:r>
        <w:rPr>
          <w:spacing w:val="-8"/>
        </w:rPr>
        <w:t>的两层及以上的汽车库或设在多层建筑内地面层以上楼层的汽车</w:t>
      </w:r>
      <w:r>
        <w:rPr>
          <w:spacing w:val="-5"/>
        </w:rPr>
        <w:t>库。</w:t>
      </w:r>
      <w:r>
        <w:rPr>
          <w:spacing w:val="-3"/>
        </w:rPr>
        <w:t> </w:t>
      </w:r>
      <w:r>
        <w:rPr>
          <w:b/>
          <w:w w:val="99"/>
        </w:rPr>
        <w:t> </w:t>
      </w:r>
    </w:p>
    <w:p>
      <w:pPr>
        <w:pStyle w:val="ListParagraph"/>
        <w:numPr>
          <w:ilvl w:val="1"/>
          <w:numId w:val="767"/>
        </w:numPr>
        <w:tabs>
          <w:tab w:pos="1160" w:val="left" w:leader="none"/>
        </w:tabs>
        <w:spacing w:line="267" w:lineRule="exact" w:before="0" w:after="0"/>
        <w:ind w:left="1159" w:right="0" w:hanging="320"/>
        <w:jc w:val="left"/>
        <w:rPr>
          <w:sz w:val="21"/>
        </w:rPr>
      </w:pPr>
      <w:r>
        <w:rPr>
          <w:spacing w:val="-5"/>
          <w:sz w:val="21"/>
        </w:rPr>
        <w:t>高层汽车库 </w:t>
      </w:r>
      <w:r>
        <w:rPr>
          <w:sz w:val="21"/>
        </w:rPr>
        <w:t>high-rise</w:t>
      </w:r>
      <w:r>
        <w:rPr>
          <w:spacing w:val="1"/>
          <w:sz w:val="21"/>
        </w:rPr>
        <w:t> </w:t>
      </w:r>
      <w:r>
        <w:rPr>
          <w:spacing w:val="-3"/>
          <w:sz w:val="21"/>
        </w:rPr>
        <w:t>garage </w:t>
      </w:r>
      <w:r>
        <w:rPr>
          <w:sz w:val="21"/>
        </w:rPr>
        <w:t> </w:t>
      </w:r>
    </w:p>
    <w:p>
      <w:pPr>
        <w:pStyle w:val="BodyText"/>
        <w:spacing w:before="2"/>
        <w:rPr>
          <w:sz w:val="18"/>
        </w:rPr>
      </w:pPr>
    </w:p>
    <w:p>
      <w:pPr>
        <w:pStyle w:val="BodyText"/>
        <w:tabs>
          <w:tab w:pos="7684" w:val="left" w:leader="none"/>
        </w:tabs>
        <w:ind w:left="838"/>
        <w:rPr>
          <w:sz w:val="24"/>
        </w:rPr>
      </w:pPr>
      <w:r>
        <w:rPr>
          <w:spacing w:val="-2"/>
        </w:rPr>
        <w:t>建</w:t>
      </w:r>
      <w:r>
        <w:rPr>
          <w:spacing w:val="-3"/>
        </w:rPr>
        <w:t>筑</w:t>
      </w:r>
      <w:r>
        <w:rPr>
          <w:spacing w:val="-5"/>
        </w:rPr>
        <w:t>高</w:t>
      </w:r>
      <w:r>
        <w:rPr>
          <w:spacing w:val="-3"/>
        </w:rPr>
        <w:t>度</w:t>
      </w:r>
      <w:r>
        <w:rPr>
          <w:spacing w:val="-8"/>
        </w:rPr>
        <w:t>大</w:t>
      </w:r>
      <w:r>
        <w:rPr>
          <w:spacing w:val="-3"/>
        </w:rPr>
        <w:t>于</w:t>
      </w:r>
      <w:r>
        <w:rPr>
          <w:spacing w:val="-1"/>
        </w:rPr>
        <w:t>24m</w:t>
      </w:r>
      <w:r>
        <w:rPr>
          <w:spacing w:val="-5"/>
        </w:rPr>
        <w:t>的</w:t>
      </w:r>
      <w:r>
        <w:rPr>
          <w:spacing w:val="-3"/>
        </w:rPr>
        <w:t>汽</w:t>
      </w:r>
      <w:r>
        <w:rPr>
          <w:spacing w:val="-5"/>
        </w:rPr>
        <w:t>车</w:t>
      </w:r>
      <w:r>
        <w:rPr>
          <w:spacing w:val="-3"/>
        </w:rPr>
        <w:t>库</w:t>
      </w:r>
      <w:r>
        <w:rPr>
          <w:spacing w:val="-1"/>
        </w:rPr>
        <w:t>或</w:t>
      </w:r>
      <w:r>
        <w:rPr>
          <w:spacing w:val="-8"/>
        </w:rPr>
        <w:t>设</w:t>
      </w:r>
      <w:r>
        <w:rPr>
          <w:spacing w:val="-3"/>
        </w:rPr>
        <w:t>在</w:t>
      </w:r>
      <w:r>
        <w:rPr>
          <w:spacing w:val="-5"/>
        </w:rPr>
        <w:t>高</w:t>
      </w:r>
      <w:r>
        <w:rPr>
          <w:spacing w:val="-3"/>
        </w:rPr>
        <w:t>层</w:t>
      </w:r>
      <w:r>
        <w:rPr>
          <w:spacing w:val="-8"/>
        </w:rPr>
        <w:t>建</w:t>
      </w:r>
      <w:r>
        <w:rPr>
          <w:spacing w:val="-3"/>
        </w:rPr>
        <w:t>筑</w:t>
      </w:r>
      <w:r>
        <w:rPr>
          <w:spacing w:val="-5"/>
        </w:rPr>
        <w:t>内</w:t>
      </w:r>
      <w:r>
        <w:rPr>
          <w:spacing w:val="-1"/>
        </w:rPr>
        <w:t>地</w:t>
      </w:r>
      <w:r>
        <w:rPr>
          <w:spacing w:val="-8"/>
        </w:rPr>
        <w:t>面</w:t>
      </w:r>
      <w:r>
        <w:rPr>
          <w:spacing w:val="-3"/>
        </w:rPr>
        <w:t>层</w:t>
      </w:r>
      <w:r>
        <w:rPr>
          <w:spacing w:val="-1"/>
        </w:rPr>
        <w:t>以</w:t>
      </w:r>
      <w:r>
        <w:rPr>
          <w:spacing w:val="-8"/>
        </w:rPr>
        <w:t>上</w:t>
      </w:r>
      <w:r>
        <w:rPr>
          <w:spacing w:val="-3"/>
        </w:rPr>
        <w:t>楼</w:t>
      </w:r>
      <w:r>
        <w:rPr>
          <w:spacing w:val="-5"/>
        </w:rPr>
        <w:t>层</w:t>
      </w:r>
      <w:r>
        <w:rPr>
          <w:spacing w:val="-3"/>
        </w:rPr>
        <w:t>的</w:t>
      </w:r>
      <w:r>
        <w:rPr>
          <w:spacing w:val="-8"/>
        </w:rPr>
        <w:t>汽</w:t>
      </w:r>
      <w:r>
        <w:rPr>
          <w:spacing w:val="-3"/>
        </w:rPr>
        <w:t>车</w:t>
      </w:r>
      <w:r>
        <w:rPr>
          <w:spacing w:val="-5"/>
        </w:rPr>
        <w:t>库</w:t>
      </w:r>
      <w:r>
        <w:rPr>
          <w:spacing w:val="-3"/>
        </w:rPr>
        <w:t>。</w:t>
      </w:r>
      <w:r>
        <w:rPr/>
        <w:t> </w:t>
        <w:tab/>
      </w:r>
      <w:r>
        <w:rPr>
          <w:sz w:val="24"/>
        </w:rPr>
        <w:t> </w:t>
      </w:r>
    </w:p>
    <w:p>
      <w:pPr>
        <w:pStyle w:val="BodyText"/>
        <w:spacing w:before="12"/>
        <w:rPr>
          <w:sz w:val="17"/>
        </w:rPr>
      </w:pPr>
    </w:p>
    <w:p>
      <w:pPr>
        <w:pStyle w:val="ListParagraph"/>
        <w:numPr>
          <w:ilvl w:val="1"/>
          <w:numId w:val="767"/>
        </w:numPr>
        <w:tabs>
          <w:tab w:pos="1160" w:val="left" w:leader="none"/>
        </w:tabs>
        <w:spacing w:line="240" w:lineRule="auto" w:before="0" w:after="0"/>
        <w:ind w:left="1159" w:right="0" w:hanging="320"/>
        <w:jc w:val="left"/>
        <w:rPr>
          <w:sz w:val="21"/>
        </w:rPr>
      </w:pPr>
      <w:r>
        <w:rPr>
          <w:spacing w:val="-5"/>
          <w:sz w:val="21"/>
        </w:rPr>
        <w:t>机械式汽车库 </w:t>
      </w:r>
      <w:r>
        <w:rPr>
          <w:sz w:val="21"/>
        </w:rPr>
        <w:t>mechanical</w:t>
      </w:r>
      <w:r>
        <w:rPr>
          <w:spacing w:val="-3"/>
          <w:sz w:val="21"/>
        </w:rPr>
        <w:t> </w:t>
      </w:r>
      <w:r>
        <w:rPr>
          <w:sz w:val="21"/>
        </w:rPr>
        <w:t>garage</w:t>
      </w:r>
      <w:r>
        <w:rPr>
          <w:spacing w:val="-3"/>
          <w:sz w:val="21"/>
        </w:rPr>
        <w:t> </w:t>
      </w:r>
      <w:r>
        <w:rPr>
          <w:sz w:val="21"/>
        </w:rPr>
        <w:t> </w:t>
      </w:r>
    </w:p>
    <w:p>
      <w:pPr>
        <w:spacing w:after="0" w:line="240" w:lineRule="auto"/>
        <w:jc w:val="left"/>
        <w:rPr>
          <w:sz w:val="21"/>
        </w:rPr>
        <w:sectPr>
          <w:pgSz w:w="11910" w:h="16850"/>
          <w:pgMar w:header="0" w:footer="1239" w:top="1140" w:bottom="1420" w:left="1260" w:right="0"/>
        </w:sectPr>
      </w:pPr>
    </w:p>
    <w:p>
      <w:pPr>
        <w:pStyle w:val="BodyText"/>
        <w:spacing w:before="67"/>
        <w:ind w:left="838"/>
        <w:rPr>
          <w:sz w:val="24"/>
        </w:rPr>
      </w:pPr>
      <w:r>
        <w:rPr/>
        <w:t>采用机械设备进行垂直或水平移动等形式停放汽车的汽车库。 </w:t>
      </w:r>
      <w:r>
        <w:rPr>
          <w:sz w:val="24"/>
        </w:rPr>
        <w:t> </w:t>
      </w:r>
    </w:p>
    <w:p>
      <w:pPr>
        <w:pStyle w:val="BodyText"/>
        <w:rPr>
          <w:sz w:val="18"/>
        </w:rPr>
      </w:pPr>
    </w:p>
    <w:p>
      <w:pPr>
        <w:pStyle w:val="ListParagraph"/>
        <w:numPr>
          <w:ilvl w:val="1"/>
          <w:numId w:val="767"/>
        </w:numPr>
        <w:tabs>
          <w:tab w:pos="1160" w:val="left" w:leader="none"/>
        </w:tabs>
        <w:spacing w:line="240" w:lineRule="auto" w:before="0" w:after="0"/>
        <w:ind w:left="1159" w:right="0" w:hanging="320"/>
        <w:jc w:val="left"/>
        <w:rPr>
          <w:sz w:val="21"/>
        </w:rPr>
      </w:pPr>
      <w:r>
        <w:rPr>
          <w:spacing w:val="-5"/>
          <w:sz w:val="21"/>
        </w:rPr>
        <w:t>敞开式汽车库 </w:t>
      </w:r>
      <w:r>
        <w:rPr>
          <w:sz w:val="21"/>
        </w:rPr>
        <w:t>open</w:t>
      </w:r>
      <w:r>
        <w:rPr>
          <w:spacing w:val="1"/>
          <w:sz w:val="21"/>
        </w:rPr>
        <w:t> </w:t>
      </w:r>
      <w:r>
        <w:rPr>
          <w:sz w:val="21"/>
        </w:rPr>
        <w:t>garage</w:t>
      </w:r>
      <w:r>
        <w:rPr>
          <w:spacing w:val="-3"/>
          <w:sz w:val="21"/>
        </w:rPr>
        <w:t> </w:t>
      </w:r>
      <w:r>
        <w:rPr>
          <w:sz w:val="21"/>
        </w:rPr>
        <w:t> </w:t>
      </w:r>
    </w:p>
    <w:p>
      <w:pPr>
        <w:pStyle w:val="BodyText"/>
        <w:rPr>
          <w:sz w:val="18"/>
        </w:rPr>
      </w:pPr>
    </w:p>
    <w:p>
      <w:pPr>
        <w:pStyle w:val="BodyText"/>
        <w:tabs>
          <w:tab w:pos="4776" w:val="left" w:leader="none"/>
        </w:tabs>
        <w:spacing w:line="446" w:lineRule="auto"/>
        <w:ind w:left="418" w:right="1704" w:firstLine="419"/>
      </w:pPr>
      <w:r>
        <w:rPr/>
        <w:t>任</w:t>
      </w:r>
      <w:r>
        <w:rPr>
          <w:spacing w:val="-3"/>
        </w:rPr>
        <w:t>一</w:t>
      </w:r>
      <w:r>
        <w:rPr>
          <w:spacing w:val="-5"/>
        </w:rPr>
        <w:t>层</w:t>
      </w:r>
      <w:r>
        <w:rPr>
          <w:spacing w:val="-3"/>
        </w:rPr>
        <w:t>车</w:t>
      </w:r>
      <w:r>
        <w:rPr>
          <w:spacing w:val="-8"/>
        </w:rPr>
        <w:t>库</w:t>
      </w:r>
      <w:r>
        <w:rPr>
          <w:spacing w:val="-3"/>
        </w:rPr>
        <w:t>外</w:t>
      </w:r>
      <w:r>
        <w:rPr>
          <w:spacing w:val="-5"/>
        </w:rPr>
        <w:t>墙</w:t>
      </w:r>
      <w:r>
        <w:rPr>
          <w:spacing w:val="-3"/>
        </w:rPr>
        <w:t>敞</w:t>
      </w:r>
      <w:r>
        <w:rPr>
          <w:spacing w:val="-7"/>
        </w:rPr>
        <w:t>开</w:t>
      </w:r>
      <w:r>
        <w:rPr>
          <w:spacing w:val="-3"/>
        </w:rPr>
        <w:t>面</w:t>
      </w:r>
      <w:r>
        <w:rPr>
          <w:spacing w:val="-8"/>
        </w:rPr>
        <w:t>积</w:t>
      </w:r>
      <w:r>
        <w:rPr/>
        <w:t>大</w:t>
      </w:r>
      <w:r>
        <w:rPr>
          <w:spacing w:val="-3"/>
        </w:rPr>
        <w:t>于</w:t>
      </w:r>
      <w:r>
        <w:rPr>
          <w:spacing w:val="-5"/>
        </w:rPr>
        <w:t>该</w:t>
      </w:r>
      <w:r>
        <w:rPr>
          <w:spacing w:val="-3"/>
        </w:rPr>
        <w:t>层</w:t>
      </w:r>
      <w:r>
        <w:rPr>
          <w:spacing w:val="-8"/>
        </w:rPr>
        <w:t>四</w:t>
      </w:r>
      <w:r>
        <w:rPr>
          <w:spacing w:val="-3"/>
        </w:rPr>
        <w:t>周</w:t>
      </w:r>
      <w:r>
        <w:rPr>
          <w:spacing w:val="-5"/>
        </w:rPr>
        <w:t>外</w:t>
      </w:r>
      <w:r>
        <w:rPr>
          <w:spacing w:val="-3"/>
        </w:rPr>
        <w:t>墙</w:t>
      </w:r>
      <w:r>
        <w:rPr>
          <w:spacing w:val="-8"/>
        </w:rPr>
        <w:t>体</w:t>
      </w:r>
      <w:r>
        <w:rPr/>
        <w:t>总</w:t>
      </w:r>
      <w:r>
        <w:rPr>
          <w:spacing w:val="-8"/>
        </w:rPr>
        <w:t>面</w:t>
      </w:r>
      <w:r>
        <w:rPr/>
        <w:t>积的</w:t>
      </w:r>
      <w:r>
        <w:rPr>
          <w:spacing w:val="-83"/>
        </w:rPr>
        <w:t> </w:t>
      </w:r>
      <w:r>
        <w:rPr>
          <w:spacing w:val="-4"/>
        </w:rPr>
        <w:t>25％，</w:t>
      </w:r>
      <w:r>
        <w:rPr>
          <w:spacing w:val="-8"/>
        </w:rPr>
        <w:t>敞</w:t>
      </w:r>
      <w:r>
        <w:rPr>
          <w:spacing w:val="-3"/>
        </w:rPr>
        <w:t>开</w:t>
      </w:r>
      <w:r>
        <w:rPr>
          <w:spacing w:val="-5"/>
        </w:rPr>
        <w:t>区</w:t>
      </w:r>
      <w:r>
        <w:rPr>
          <w:spacing w:val="-3"/>
        </w:rPr>
        <w:t>域</w:t>
      </w:r>
      <w:r>
        <w:rPr>
          <w:spacing w:val="-8"/>
        </w:rPr>
        <w:t>均</w:t>
      </w:r>
      <w:r>
        <w:rPr>
          <w:spacing w:val="-7"/>
        </w:rPr>
        <w:t>匀</w:t>
      </w:r>
      <w:r>
        <w:rPr/>
        <w:t>布</w:t>
      </w:r>
      <w:r>
        <w:rPr>
          <w:spacing w:val="-3"/>
        </w:rPr>
        <w:t>置</w:t>
      </w:r>
      <w:r>
        <w:rPr>
          <w:spacing w:val="-5"/>
        </w:rPr>
        <w:t>在</w:t>
      </w:r>
      <w:r>
        <w:rPr>
          <w:spacing w:val="-3"/>
        </w:rPr>
        <w:t>外</w:t>
      </w:r>
      <w:r>
        <w:rPr>
          <w:spacing w:val="-8"/>
        </w:rPr>
        <w:t>墙</w:t>
      </w:r>
      <w:r>
        <w:rPr/>
        <w:t>上</w:t>
      </w:r>
      <w:r>
        <w:rPr>
          <w:spacing w:val="-5"/>
        </w:rPr>
        <w:t>且</w:t>
      </w:r>
      <w:r>
        <w:rPr>
          <w:spacing w:val="-3"/>
        </w:rPr>
        <w:t>其</w:t>
      </w:r>
      <w:r>
        <w:rPr>
          <w:spacing w:val="22"/>
        </w:rPr>
        <w:t> </w:t>
      </w:r>
      <w:r>
        <w:rPr>
          <w:spacing w:val="-3"/>
        </w:rPr>
        <w:t>长度</w:t>
      </w:r>
      <w:r>
        <w:rPr>
          <w:spacing w:val="-5"/>
        </w:rPr>
        <w:t>不</w:t>
      </w:r>
      <w:r>
        <w:rPr>
          <w:spacing w:val="-3"/>
        </w:rPr>
        <w:t>小</w:t>
      </w:r>
      <w:r>
        <w:rPr>
          <w:spacing w:val="-8"/>
        </w:rPr>
        <w:t>于</w:t>
      </w:r>
      <w:r>
        <w:rPr>
          <w:spacing w:val="-3"/>
        </w:rPr>
        <w:t>车</w:t>
      </w:r>
      <w:r>
        <w:rPr>
          <w:spacing w:val="-5"/>
        </w:rPr>
        <w:t>库</w:t>
      </w:r>
      <w:r>
        <w:rPr/>
        <w:t>周</w:t>
      </w:r>
      <w:r>
        <w:rPr>
          <w:spacing w:val="-8"/>
        </w:rPr>
        <w:t>长</w:t>
      </w:r>
      <w:r>
        <w:rPr/>
        <w:t>的</w:t>
      </w:r>
      <w:r>
        <w:rPr>
          <w:spacing w:val="-3"/>
        </w:rPr>
        <w:t>50％的</w:t>
      </w:r>
      <w:r>
        <w:rPr>
          <w:spacing w:val="-8"/>
        </w:rPr>
        <w:t>汽</w:t>
      </w:r>
      <w:r>
        <w:rPr>
          <w:spacing w:val="-3"/>
        </w:rPr>
        <w:t>车</w:t>
      </w:r>
      <w:r>
        <w:rPr>
          <w:spacing w:val="-5"/>
        </w:rPr>
        <w:t>库</w:t>
      </w:r>
      <w:r>
        <w:rPr>
          <w:spacing w:val="-3"/>
        </w:rPr>
        <w:t>。</w:t>
      </w:r>
      <w:r>
        <w:rPr/>
        <w:t> </w:t>
        <w:tab/>
      </w:r>
      <w:r>
        <w:rPr>
          <w:w w:val="100"/>
        </w:rPr>
        <w:t> </w:t>
      </w:r>
    </w:p>
    <w:p>
      <w:pPr>
        <w:pStyle w:val="Heading4"/>
        <w:spacing w:line="277" w:lineRule="exact"/>
      </w:pPr>
      <w:r>
        <w:rPr/>
        <w:t>3 分类和耐火等级</w:t>
      </w:r>
      <w:r>
        <w:rPr>
          <w:w w:val="99"/>
        </w:rPr>
        <w:t> </w:t>
      </w:r>
    </w:p>
    <w:p>
      <w:pPr>
        <w:pStyle w:val="BodyText"/>
        <w:spacing w:before="3"/>
        <w:rPr>
          <w:b/>
          <w:sz w:val="17"/>
        </w:rPr>
      </w:pPr>
    </w:p>
    <w:p>
      <w:pPr>
        <w:pStyle w:val="ListParagraph"/>
        <w:numPr>
          <w:ilvl w:val="1"/>
          <w:numId w:val="768"/>
        </w:numPr>
        <w:tabs>
          <w:tab w:pos="1159" w:val="left" w:leader="none"/>
        </w:tabs>
        <w:spacing w:line="240" w:lineRule="auto" w:before="1" w:after="0"/>
        <w:ind w:left="1158" w:right="0" w:hanging="319"/>
        <w:jc w:val="left"/>
        <w:rPr>
          <w:sz w:val="21"/>
        </w:rPr>
      </w:pPr>
      <w:r>
        <w:rPr>
          <w:spacing w:val="-29"/>
          <w:sz w:val="21"/>
        </w:rPr>
        <w:t>汽车库、修车库、停车场的分类应根据停车</w:t>
      </w:r>
      <w:r>
        <w:rPr>
          <w:spacing w:val="-5"/>
          <w:sz w:val="21"/>
        </w:rPr>
        <w:t>（</w:t>
      </w:r>
      <w:r>
        <w:rPr>
          <w:spacing w:val="-2"/>
          <w:sz w:val="21"/>
        </w:rPr>
        <w:t>车位</w:t>
      </w:r>
      <w:r>
        <w:rPr>
          <w:spacing w:val="-132"/>
          <w:sz w:val="21"/>
        </w:rPr>
        <w:t>）</w:t>
      </w:r>
      <w:r>
        <w:rPr>
          <w:spacing w:val="-6"/>
          <w:sz w:val="21"/>
        </w:rPr>
        <w:t>数量和总建筑面积确定</w:t>
      </w:r>
      <w:r>
        <w:rPr>
          <w:spacing w:val="-27"/>
          <w:sz w:val="21"/>
        </w:rPr>
        <w:t>，并应符合表</w:t>
      </w:r>
      <w:r>
        <w:rPr>
          <w:sz w:val="21"/>
        </w:rPr>
        <w:t> </w:t>
      </w:r>
    </w:p>
    <w:p>
      <w:pPr>
        <w:pStyle w:val="BodyText"/>
        <w:spacing w:before="1"/>
        <w:rPr>
          <w:sz w:val="18"/>
        </w:rPr>
      </w:pPr>
    </w:p>
    <w:p>
      <w:pPr>
        <w:pStyle w:val="BodyText"/>
        <w:spacing w:before="1"/>
        <w:ind w:left="418"/>
      </w:pPr>
      <w:r>
        <w:rPr/>
        <w:t>3.0.1 的规定。 </w:t>
      </w:r>
    </w:p>
    <w:p>
      <w:pPr>
        <w:pStyle w:val="BodyText"/>
        <w:spacing w:before="12"/>
        <w:rPr>
          <w:sz w:val="17"/>
        </w:rPr>
      </w:pPr>
    </w:p>
    <w:p>
      <w:pPr>
        <w:pStyle w:val="Heading6"/>
        <w:spacing w:after="40"/>
        <w:ind w:left="2732"/>
      </w:pPr>
      <w:r>
        <w:rPr/>
        <w:t>表3.0.1 汽车库、修车库、停车场的防火分类</w:t>
      </w:r>
      <w:r>
        <w:rPr>
          <w:w w:val="99"/>
        </w:rPr>
        <w:t> </w:t>
      </w:r>
    </w:p>
    <w:tbl>
      <w:tblPr>
        <w:tblW w:w="0" w:type="auto"/>
        <w:jc w:val="left"/>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7"/>
        <w:gridCol w:w="2033"/>
        <w:gridCol w:w="1267"/>
        <w:gridCol w:w="1742"/>
        <w:gridCol w:w="1440"/>
        <w:gridCol w:w="988"/>
      </w:tblGrid>
      <w:tr>
        <w:trPr>
          <w:trHeight w:val="561" w:hRule="atLeast"/>
        </w:trPr>
        <w:tc>
          <w:tcPr>
            <w:tcW w:w="3180" w:type="dxa"/>
            <w:gridSpan w:val="2"/>
          </w:tcPr>
          <w:p>
            <w:pPr>
              <w:pStyle w:val="TableParagraph"/>
              <w:rPr>
                <w:b/>
                <w:sz w:val="15"/>
              </w:rPr>
            </w:pPr>
          </w:p>
          <w:p>
            <w:pPr>
              <w:pStyle w:val="TableParagraph"/>
              <w:spacing w:before="1"/>
              <w:ind w:left="1412" w:right="1297"/>
              <w:jc w:val="center"/>
              <w:rPr>
                <w:sz w:val="21"/>
              </w:rPr>
            </w:pPr>
            <w:r>
              <w:rPr>
                <w:sz w:val="21"/>
              </w:rPr>
              <w:t>名称 </w:t>
            </w:r>
          </w:p>
        </w:tc>
        <w:tc>
          <w:tcPr>
            <w:tcW w:w="1267" w:type="dxa"/>
          </w:tcPr>
          <w:p>
            <w:pPr>
              <w:pStyle w:val="TableParagraph"/>
              <w:rPr>
                <w:b/>
                <w:sz w:val="15"/>
              </w:rPr>
            </w:pPr>
          </w:p>
          <w:p>
            <w:pPr>
              <w:pStyle w:val="TableParagraph"/>
              <w:spacing w:before="1"/>
              <w:ind w:left="528"/>
              <w:rPr>
                <w:sz w:val="21"/>
              </w:rPr>
            </w:pPr>
            <w:r>
              <w:rPr>
                <w:sz w:val="21"/>
              </w:rPr>
              <w:t>Ⅰ </w:t>
            </w:r>
          </w:p>
        </w:tc>
        <w:tc>
          <w:tcPr>
            <w:tcW w:w="1742" w:type="dxa"/>
          </w:tcPr>
          <w:p>
            <w:pPr>
              <w:pStyle w:val="TableParagraph"/>
              <w:rPr>
                <w:b/>
                <w:sz w:val="15"/>
              </w:rPr>
            </w:pPr>
          </w:p>
          <w:p>
            <w:pPr>
              <w:pStyle w:val="TableParagraph"/>
              <w:spacing w:before="1"/>
              <w:ind w:left="799" w:right="682"/>
              <w:jc w:val="center"/>
              <w:rPr>
                <w:sz w:val="21"/>
              </w:rPr>
            </w:pPr>
            <w:r>
              <w:rPr>
                <w:sz w:val="21"/>
              </w:rPr>
              <w:t>Ⅱ </w:t>
            </w:r>
          </w:p>
        </w:tc>
        <w:tc>
          <w:tcPr>
            <w:tcW w:w="1440" w:type="dxa"/>
          </w:tcPr>
          <w:p>
            <w:pPr>
              <w:pStyle w:val="TableParagraph"/>
              <w:rPr>
                <w:b/>
                <w:sz w:val="15"/>
              </w:rPr>
            </w:pPr>
          </w:p>
          <w:p>
            <w:pPr>
              <w:pStyle w:val="TableParagraph"/>
              <w:spacing w:before="1"/>
              <w:ind w:left="373"/>
              <w:rPr>
                <w:sz w:val="21"/>
              </w:rPr>
            </w:pPr>
            <w:r>
              <w:rPr>
                <w:sz w:val="21"/>
              </w:rPr>
              <w:t>Ⅲ </w:t>
            </w:r>
          </w:p>
        </w:tc>
        <w:tc>
          <w:tcPr>
            <w:tcW w:w="988" w:type="dxa"/>
          </w:tcPr>
          <w:p>
            <w:pPr>
              <w:pStyle w:val="TableParagraph"/>
              <w:rPr>
                <w:b/>
                <w:sz w:val="15"/>
              </w:rPr>
            </w:pPr>
          </w:p>
          <w:p>
            <w:pPr>
              <w:pStyle w:val="TableParagraph"/>
              <w:spacing w:before="1"/>
              <w:ind w:left="390"/>
              <w:rPr>
                <w:sz w:val="21"/>
              </w:rPr>
            </w:pPr>
            <w:r>
              <w:rPr>
                <w:sz w:val="21"/>
              </w:rPr>
              <w:t>Ⅳ </w:t>
            </w:r>
          </w:p>
        </w:tc>
      </w:tr>
      <w:tr>
        <w:trPr>
          <w:trHeight w:val="566" w:hRule="atLeast"/>
        </w:trPr>
        <w:tc>
          <w:tcPr>
            <w:tcW w:w="1147" w:type="dxa"/>
            <w:vMerge w:val="restart"/>
          </w:tcPr>
          <w:p>
            <w:pPr>
              <w:pStyle w:val="TableParagraph"/>
              <w:spacing w:before="11"/>
              <w:rPr>
                <w:b/>
                <w:sz w:val="14"/>
              </w:rPr>
            </w:pPr>
          </w:p>
          <w:p>
            <w:pPr>
              <w:pStyle w:val="TableParagraph"/>
              <w:ind w:left="107"/>
              <w:rPr>
                <w:sz w:val="21"/>
              </w:rPr>
            </w:pPr>
            <w:r>
              <w:rPr>
                <w:w w:val="100"/>
                <w:sz w:val="21"/>
              </w:rPr>
              <w:t> </w:t>
            </w:r>
          </w:p>
          <w:p>
            <w:pPr>
              <w:pStyle w:val="TableParagraph"/>
              <w:spacing w:before="12"/>
              <w:rPr>
                <w:b/>
                <w:sz w:val="17"/>
              </w:rPr>
            </w:pPr>
          </w:p>
          <w:p>
            <w:pPr>
              <w:pStyle w:val="TableParagraph"/>
              <w:ind w:left="107"/>
              <w:rPr>
                <w:sz w:val="21"/>
              </w:rPr>
            </w:pPr>
            <w:r>
              <w:rPr>
                <w:sz w:val="21"/>
              </w:rPr>
              <w:t>汽车库 </w:t>
            </w:r>
          </w:p>
        </w:tc>
        <w:tc>
          <w:tcPr>
            <w:tcW w:w="2033" w:type="dxa"/>
          </w:tcPr>
          <w:p>
            <w:pPr>
              <w:pStyle w:val="TableParagraph"/>
              <w:spacing w:before="11"/>
              <w:rPr>
                <w:b/>
                <w:sz w:val="14"/>
              </w:rPr>
            </w:pPr>
          </w:p>
          <w:p>
            <w:pPr>
              <w:pStyle w:val="TableParagraph"/>
              <w:ind w:left="107"/>
              <w:rPr>
                <w:sz w:val="21"/>
              </w:rPr>
            </w:pPr>
            <w:r>
              <w:rPr>
                <w:sz w:val="21"/>
              </w:rPr>
              <w:t>停车数量（辆） </w:t>
            </w:r>
          </w:p>
        </w:tc>
        <w:tc>
          <w:tcPr>
            <w:tcW w:w="1267" w:type="dxa"/>
          </w:tcPr>
          <w:p>
            <w:pPr>
              <w:pStyle w:val="TableParagraph"/>
              <w:spacing w:before="11"/>
              <w:rPr>
                <w:b/>
                <w:sz w:val="14"/>
              </w:rPr>
            </w:pPr>
          </w:p>
          <w:p>
            <w:pPr>
              <w:pStyle w:val="TableParagraph"/>
              <w:ind w:left="108"/>
              <w:rPr>
                <w:sz w:val="21"/>
              </w:rPr>
            </w:pPr>
            <w:r>
              <w:rPr>
                <w:sz w:val="21"/>
              </w:rPr>
              <w:t>&gt;300 </w:t>
            </w:r>
          </w:p>
        </w:tc>
        <w:tc>
          <w:tcPr>
            <w:tcW w:w="1742" w:type="dxa"/>
          </w:tcPr>
          <w:p>
            <w:pPr>
              <w:pStyle w:val="TableParagraph"/>
              <w:spacing w:before="11"/>
              <w:rPr>
                <w:b/>
                <w:sz w:val="14"/>
              </w:rPr>
            </w:pPr>
          </w:p>
          <w:p>
            <w:pPr>
              <w:pStyle w:val="TableParagraph"/>
              <w:ind w:left="108"/>
              <w:rPr>
                <w:sz w:val="21"/>
              </w:rPr>
            </w:pPr>
            <w:r>
              <w:rPr>
                <w:sz w:val="21"/>
              </w:rPr>
              <w:t>151～300 </w:t>
            </w:r>
          </w:p>
        </w:tc>
        <w:tc>
          <w:tcPr>
            <w:tcW w:w="1440" w:type="dxa"/>
          </w:tcPr>
          <w:p>
            <w:pPr>
              <w:pStyle w:val="TableParagraph"/>
              <w:spacing w:before="11"/>
              <w:rPr>
                <w:b/>
                <w:sz w:val="14"/>
              </w:rPr>
            </w:pPr>
          </w:p>
          <w:p>
            <w:pPr>
              <w:pStyle w:val="TableParagraph"/>
              <w:ind w:left="109"/>
              <w:rPr>
                <w:sz w:val="21"/>
              </w:rPr>
            </w:pPr>
            <w:r>
              <w:rPr>
                <w:sz w:val="21"/>
              </w:rPr>
              <w:t>51～150 </w:t>
            </w:r>
          </w:p>
        </w:tc>
        <w:tc>
          <w:tcPr>
            <w:tcW w:w="988" w:type="dxa"/>
          </w:tcPr>
          <w:p>
            <w:pPr>
              <w:pStyle w:val="TableParagraph"/>
              <w:spacing w:before="11"/>
              <w:rPr>
                <w:b/>
                <w:sz w:val="14"/>
              </w:rPr>
            </w:pPr>
          </w:p>
          <w:p>
            <w:pPr>
              <w:pStyle w:val="TableParagraph"/>
              <w:ind w:left="287"/>
              <w:rPr>
                <w:sz w:val="21"/>
              </w:rPr>
            </w:pPr>
            <w:r>
              <w:rPr>
                <w:sz w:val="21"/>
              </w:rPr>
              <w:t>≤50 </w:t>
            </w:r>
          </w:p>
        </w:tc>
      </w:tr>
      <w:tr>
        <w:trPr>
          <w:trHeight w:val="561" w:hRule="atLeast"/>
        </w:trPr>
        <w:tc>
          <w:tcPr>
            <w:tcW w:w="1147" w:type="dxa"/>
            <w:vMerge/>
            <w:tcBorders>
              <w:top w:val="nil"/>
            </w:tcBorders>
          </w:tcPr>
          <w:p>
            <w:pPr>
              <w:rPr>
                <w:sz w:val="2"/>
                <w:szCs w:val="2"/>
              </w:rPr>
            </w:pPr>
          </w:p>
        </w:tc>
        <w:tc>
          <w:tcPr>
            <w:tcW w:w="2033" w:type="dxa"/>
          </w:tcPr>
          <w:p>
            <w:pPr>
              <w:pStyle w:val="TableParagraph"/>
              <w:spacing w:before="11"/>
              <w:rPr>
                <w:b/>
                <w:sz w:val="14"/>
              </w:rPr>
            </w:pPr>
          </w:p>
          <w:p>
            <w:pPr>
              <w:pStyle w:val="TableParagraph"/>
              <w:ind w:left="107"/>
              <w:rPr>
                <w:sz w:val="21"/>
              </w:rPr>
            </w:pPr>
            <w:r>
              <w:rPr>
                <w:sz w:val="21"/>
              </w:rPr>
              <w:t>总建筑面积S（㎡） </w:t>
            </w:r>
          </w:p>
        </w:tc>
        <w:tc>
          <w:tcPr>
            <w:tcW w:w="1267" w:type="dxa"/>
          </w:tcPr>
          <w:p>
            <w:pPr>
              <w:pStyle w:val="TableParagraph"/>
              <w:spacing w:before="11"/>
              <w:rPr>
                <w:b/>
                <w:sz w:val="14"/>
              </w:rPr>
            </w:pPr>
          </w:p>
          <w:p>
            <w:pPr>
              <w:pStyle w:val="TableParagraph"/>
              <w:ind w:left="108"/>
              <w:rPr>
                <w:sz w:val="21"/>
              </w:rPr>
            </w:pPr>
            <w:r>
              <w:rPr>
                <w:sz w:val="21"/>
              </w:rPr>
              <w:t>S&gt;10000 </w:t>
            </w:r>
          </w:p>
        </w:tc>
        <w:tc>
          <w:tcPr>
            <w:tcW w:w="1742" w:type="dxa"/>
          </w:tcPr>
          <w:p>
            <w:pPr>
              <w:pStyle w:val="TableParagraph"/>
              <w:spacing w:before="11"/>
              <w:rPr>
                <w:b/>
                <w:sz w:val="14"/>
              </w:rPr>
            </w:pPr>
          </w:p>
          <w:p>
            <w:pPr>
              <w:pStyle w:val="TableParagraph"/>
              <w:ind w:left="108"/>
              <w:rPr>
                <w:sz w:val="21"/>
              </w:rPr>
            </w:pPr>
            <w:r>
              <w:rPr>
                <w:sz w:val="21"/>
              </w:rPr>
              <w:t>5000＜S ≤</w:t>
            </w:r>
          </w:p>
        </w:tc>
        <w:tc>
          <w:tcPr>
            <w:tcW w:w="1440" w:type="dxa"/>
          </w:tcPr>
          <w:p>
            <w:pPr>
              <w:pStyle w:val="TableParagraph"/>
              <w:spacing w:before="11"/>
              <w:rPr>
                <w:b/>
                <w:sz w:val="14"/>
              </w:rPr>
            </w:pPr>
          </w:p>
          <w:p>
            <w:pPr>
              <w:pStyle w:val="TableParagraph"/>
              <w:ind w:left="109"/>
              <w:rPr>
                <w:sz w:val="21"/>
              </w:rPr>
            </w:pPr>
            <w:r>
              <w:rPr>
                <w:sz w:val="21"/>
              </w:rPr>
              <w:t>2000＜S ≤</w:t>
            </w:r>
          </w:p>
        </w:tc>
        <w:tc>
          <w:tcPr>
            <w:tcW w:w="988" w:type="dxa"/>
          </w:tcPr>
          <w:p>
            <w:pPr>
              <w:pStyle w:val="TableParagraph"/>
              <w:spacing w:before="11"/>
              <w:rPr>
                <w:b/>
                <w:sz w:val="14"/>
              </w:rPr>
            </w:pPr>
          </w:p>
          <w:p>
            <w:pPr>
              <w:pStyle w:val="TableParagraph"/>
              <w:ind w:left="109"/>
              <w:rPr>
                <w:sz w:val="21"/>
              </w:rPr>
            </w:pPr>
            <w:r>
              <w:rPr>
                <w:sz w:val="21"/>
              </w:rPr>
              <w:t>S≤2000 </w:t>
            </w:r>
          </w:p>
        </w:tc>
      </w:tr>
      <w:tr>
        <w:trPr>
          <w:trHeight w:val="568" w:hRule="atLeast"/>
        </w:trPr>
        <w:tc>
          <w:tcPr>
            <w:tcW w:w="1147" w:type="dxa"/>
            <w:vMerge w:val="restart"/>
          </w:tcPr>
          <w:p>
            <w:pPr>
              <w:pStyle w:val="TableParagraph"/>
              <w:spacing w:before="11"/>
              <w:rPr>
                <w:b/>
                <w:sz w:val="14"/>
              </w:rPr>
            </w:pPr>
          </w:p>
          <w:p>
            <w:pPr>
              <w:pStyle w:val="TableParagraph"/>
              <w:ind w:left="107"/>
              <w:rPr>
                <w:sz w:val="21"/>
              </w:rPr>
            </w:pPr>
            <w:r>
              <w:rPr>
                <w:w w:val="100"/>
                <w:sz w:val="21"/>
              </w:rPr>
              <w:t> </w:t>
            </w:r>
          </w:p>
          <w:p>
            <w:pPr>
              <w:pStyle w:val="TableParagraph"/>
              <w:spacing w:before="12"/>
              <w:rPr>
                <w:b/>
                <w:sz w:val="17"/>
              </w:rPr>
            </w:pPr>
          </w:p>
          <w:p>
            <w:pPr>
              <w:pStyle w:val="TableParagraph"/>
              <w:ind w:left="107"/>
              <w:rPr>
                <w:sz w:val="21"/>
              </w:rPr>
            </w:pPr>
            <w:r>
              <w:rPr>
                <w:sz w:val="21"/>
              </w:rPr>
              <w:t>修车库 </w:t>
            </w:r>
          </w:p>
        </w:tc>
        <w:tc>
          <w:tcPr>
            <w:tcW w:w="2033" w:type="dxa"/>
          </w:tcPr>
          <w:p>
            <w:pPr>
              <w:pStyle w:val="TableParagraph"/>
              <w:spacing w:before="11"/>
              <w:rPr>
                <w:b/>
                <w:sz w:val="14"/>
              </w:rPr>
            </w:pPr>
          </w:p>
          <w:p>
            <w:pPr>
              <w:pStyle w:val="TableParagraph"/>
              <w:ind w:left="107"/>
              <w:rPr>
                <w:sz w:val="21"/>
              </w:rPr>
            </w:pPr>
            <w:r>
              <w:rPr>
                <w:sz w:val="21"/>
              </w:rPr>
              <w:t>车位数（个） </w:t>
            </w:r>
          </w:p>
        </w:tc>
        <w:tc>
          <w:tcPr>
            <w:tcW w:w="1267" w:type="dxa"/>
          </w:tcPr>
          <w:p>
            <w:pPr>
              <w:pStyle w:val="TableParagraph"/>
              <w:spacing w:before="11"/>
              <w:rPr>
                <w:b/>
                <w:sz w:val="14"/>
              </w:rPr>
            </w:pPr>
          </w:p>
          <w:p>
            <w:pPr>
              <w:pStyle w:val="TableParagraph"/>
              <w:ind w:left="475"/>
              <w:rPr>
                <w:sz w:val="21"/>
              </w:rPr>
            </w:pPr>
            <w:r>
              <w:rPr>
                <w:sz w:val="21"/>
              </w:rPr>
              <w:t>&gt;15 </w:t>
            </w:r>
          </w:p>
        </w:tc>
        <w:tc>
          <w:tcPr>
            <w:tcW w:w="1742" w:type="dxa"/>
          </w:tcPr>
          <w:p>
            <w:pPr>
              <w:pStyle w:val="TableParagraph"/>
              <w:spacing w:before="11"/>
              <w:rPr>
                <w:b/>
                <w:sz w:val="14"/>
              </w:rPr>
            </w:pPr>
          </w:p>
          <w:p>
            <w:pPr>
              <w:pStyle w:val="TableParagraph"/>
              <w:ind w:left="608"/>
              <w:rPr>
                <w:sz w:val="21"/>
              </w:rPr>
            </w:pPr>
            <w:r>
              <w:rPr>
                <w:sz w:val="21"/>
              </w:rPr>
              <w:t>6～15 </w:t>
            </w:r>
          </w:p>
        </w:tc>
        <w:tc>
          <w:tcPr>
            <w:tcW w:w="1440" w:type="dxa"/>
          </w:tcPr>
          <w:p>
            <w:pPr>
              <w:pStyle w:val="TableParagraph"/>
              <w:spacing w:before="11"/>
              <w:rPr>
                <w:b/>
                <w:sz w:val="14"/>
              </w:rPr>
            </w:pPr>
          </w:p>
          <w:p>
            <w:pPr>
              <w:pStyle w:val="TableParagraph"/>
              <w:ind w:left="270"/>
              <w:rPr>
                <w:sz w:val="21"/>
              </w:rPr>
            </w:pPr>
            <w:r>
              <w:rPr>
                <w:sz w:val="21"/>
              </w:rPr>
              <w:t>3～5 </w:t>
            </w:r>
          </w:p>
        </w:tc>
        <w:tc>
          <w:tcPr>
            <w:tcW w:w="988" w:type="dxa"/>
          </w:tcPr>
          <w:p>
            <w:pPr>
              <w:pStyle w:val="TableParagraph"/>
              <w:spacing w:before="11"/>
              <w:rPr>
                <w:b/>
                <w:sz w:val="14"/>
              </w:rPr>
            </w:pPr>
          </w:p>
          <w:p>
            <w:pPr>
              <w:pStyle w:val="TableParagraph"/>
              <w:ind w:left="340"/>
              <w:rPr>
                <w:sz w:val="21"/>
              </w:rPr>
            </w:pPr>
            <w:r>
              <w:rPr>
                <w:sz w:val="21"/>
              </w:rPr>
              <w:t>≤2 </w:t>
            </w:r>
          </w:p>
        </w:tc>
      </w:tr>
      <w:tr>
        <w:trPr>
          <w:trHeight w:val="552" w:hRule="atLeast"/>
        </w:trPr>
        <w:tc>
          <w:tcPr>
            <w:tcW w:w="1147" w:type="dxa"/>
            <w:vMerge/>
            <w:tcBorders>
              <w:top w:val="nil"/>
            </w:tcBorders>
          </w:tcPr>
          <w:p>
            <w:pPr>
              <w:rPr>
                <w:sz w:val="2"/>
                <w:szCs w:val="2"/>
              </w:rPr>
            </w:pPr>
          </w:p>
        </w:tc>
        <w:tc>
          <w:tcPr>
            <w:tcW w:w="2033" w:type="dxa"/>
          </w:tcPr>
          <w:p>
            <w:pPr>
              <w:pStyle w:val="TableParagraph"/>
              <w:spacing w:before="11"/>
              <w:rPr>
                <w:b/>
                <w:sz w:val="14"/>
              </w:rPr>
            </w:pPr>
          </w:p>
          <w:p>
            <w:pPr>
              <w:pStyle w:val="TableParagraph"/>
              <w:ind w:left="107"/>
              <w:rPr>
                <w:sz w:val="21"/>
              </w:rPr>
            </w:pPr>
            <w:r>
              <w:rPr>
                <w:spacing w:val="-5"/>
                <w:sz w:val="21"/>
              </w:rPr>
              <w:t>总建筑面积</w:t>
            </w:r>
            <w:r>
              <w:rPr>
                <w:spacing w:val="-106"/>
                <w:sz w:val="21"/>
              </w:rPr>
              <w:t>S</w:t>
            </w:r>
            <w:r>
              <w:rPr>
                <w:spacing w:val="4"/>
                <w:sz w:val="21"/>
              </w:rPr>
              <w:t> </w:t>
            </w:r>
            <w:r>
              <w:rPr>
                <w:spacing w:val="-8"/>
                <w:sz w:val="21"/>
              </w:rPr>
              <w:t>（</w:t>
            </w:r>
            <w:r>
              <w:rPr>
                <w:sz w:val="21"/>
              </w:rPr>
              <w:t>㎡</w:t>
            </w:r>
            <w:r>
              <w:rPr>
                <w:spacing w:val="-3"/>
                <w:sz w:val="21"/>
              </w:rPr>
              <w:t>）</w:t>
            </w:r>
            <w:r>
              <w:rPr>
                <w:sz w:val="21"/>
              </w:rPr>
              <w:t> </w:t>
            </w:r>
          </w:p>
        </w:tc>
        <w:tc>
          <w:tcPr>
            <w:tcW w:w="1267" w:type="dxa"/>
          </w:tcPr>
          <w:p>
            <w:pPr>
              <w:pStyle w:val="TableParagraph"/>
              <w:spacing w:before="11"/>
              <w:rPr>
                <w:b/>
                <w:sz w:val="14"/>
              </w:rPr>
            </w:pPr>
          </w:p>
          <w:p>
            <w:pPr>
              <w:pStyle w:val="TableParagraph"/>
              <w:ind w:left="108"/>
              <w:rPr>
                <w:sz w:val="21"/>
              </w:rPr>
            </w:pPr>
            <w:r>
              <w:rPr>
                <w:sz w:val="21"/>
              </w:rPr>
              <w:t>S&gt;3000 </w:t>
            </w:r>
          </w:p>
        </w:tc>
        <w:tc>
          <w:tcPr>
            <w:tcW w:w="1742" w:type="dxa"/>
          </w:tcPr>
          <w:p>
            <w:pPr>
              <w:pStyle w:val="TableParagraph"/>
              <w:spacing w:before="11"/>
              <w:rPr>
                <w:b/>
                <w:sz w:val="14"/>
              </w:rPr>
            </w:pPr>
          </w:p>
          <w:p>
            <w:pPr>
              <w:pStyle w:val="TableParagraph"/>
              <w:ind w:left="108"/>
              <w:rPr>
                <w:sz w:val="21"/>
              </w:rPr>
            </w:pPr>
            <w:r>
              <w:rPr>
                <w:sz w:val="21"/>
              </w:rPr>
              <w:t>1000＜S ≤3000 </w:t>
            </w:r>
          </w:p>
        </w:tc>
        <w:tc>
          <w:tcPr>
            <w:tcW w:w="1440" w:type="dxa"/>
          </w:tcPr>
          <w:p>
            <w:pPr>
              <w:pStyle w:val="TableParagraph"/>
              <w:spacing w:before="11"/>
              <w:rPr>
                <w:b/>
                <w:sz w:val="14"/>
              </w:rPr>
            </w:pPr>
          </w:p>
          <w:p>
            <w:pPr>
              <w:pStyle w:val="TableParagraph"/>
              <w:ind w:left="109"/>
              <w:rPr>
                <w:sz w:val="21"/>
              </w:rPr>
            </w:pPr>
            <w:r>
              <w:rPr>
                <w:sz w:val="21"/>
              </w:rPr>
              <w:t>500＜S ≤</w:t>
            </w:r>
          </w:p>
        </w:tc>
        <w:tc>
          <w:tcPr>
            <w:tcW w:w="988" w:type="dxa"/>
          </w:tcPr>
          <w:p>
            <w:pPr>
              <w:pStyle w:val="TableParagraph"/>
              <w:spacing w:before="11"/>
              <w:rPr>
                <w:b/>
                <w:sz w:val="14"/>
              </w:rPr>
            </w:pPr>
          </w:p>
          <w:p>
            <w:pPr>
              <w:pStyle w:val="TableParagraph"/>
              <w:ind w:left="109"/>
              <w:rPr>
                <w:sz w:val="21"/>
              </w:rPr>
            </w:pPr>
            <w:r>
              <w:rPr>
                <w:sz w:val="21"/>
              </w:rPr>
              <w:t>S≤500 </w:t>
            </w:r>
          </w:p>
        </w:tc>
      </w:tr>
      <w:tr>
        <w:trPr>
          <w:trHeight w:val="686" w:hRule="atLeast"/>
        </w:trPr>
        <w:tc>
          <w:tcPr>
            <w:tcW w:w="1147" w:type="dxa"/>
          </w:tcPr>
          <w:p>
            <w:pPr>
              <w:pStyle w:val="TableParagraph"/>
              <w:spacing w:before="11"/>
              <w:rPr>
                <w:b/>
                <w:sz w:val="14"/>
              </w:rPr>
            </w:pPr>
          </w:p>
          <w:p>
            <w:pPr>
              <w:pStyle w:val="TableParagraph"/>
              <w:ind w:left="107"/>
              <w:rPr>
                <w:sz w:val="21"/>
              </w:rPr>
            </w:pPr>
            <w:r>
              <w:rPr>
                <w:sz w:val="21"/>
              </w:rPr>
              <w:t>停车场 </w:t>
            </w:r>
          </w:p>
        </w:tc>
        <w:tc>
          <w:tcPr>
            <w:tcW w:w="2033" w:type="dxa"/>
          </w:tcPr>
          <w:p>
            <w:pPr>
              <w:pStyle w:val="TableParagraph"/>
              <w:spacing w:before="11"/>
              <w:rPr>
                <w:b/>
                <w:sz w:val="14"/>
              </w:rPr>
            </w:pPr>
          </w:p>
          <w:p>
            <w:pPr>
              <w:pStyle w:val="TableParagraph"/>
              <w:ind w:left="107"/>
              <w:rPr>
                <w:sz w:val="21"/>
              </w:rPr>
            </w:pPr>
            <w:r>
              <w:rPr>
                <w:sz w:val="21"/>
              </w:rPr>
              <w:t>停车数量（辆） </w:t>
            </w:r>
          </w:p>
        </w:tc>
        <w:tc>
          <w:tcPr>
            <w:tcW w:w="1267" w:type="dxa"/>
          </w:tcPr>
          <w:p>
            <w:pPr>
              <w:pStyle w:val="TableParagraph"/>
              <w:spacing w:before="11"/>
              <w:rPr>
                <w:b/>
                <w:sz w:val="14"/>
              </w:rPr>
            </w:pPr>
          </w:p>
          <w:p>
            <w:pPr>
              <w:pStyle w:val="TableParagraph"/>
              <w:ind w:left="108"/>
              <w:rPr>
                <w:sz w:val="21"/>
              </w:rPr>
            </w:pPr>
            <w:r>
              <w:rPr>
                <w:sz w:val="21"/>
              </w:rPr>
              <w:t>&gt;400 </w:t>
            </w:r>
          </w:p>
        </w:tc>
        <w:tc>
          <w:tcPr>
            <w:tcW w:w="1742" w:type="dxa"/>
          </w:tcPr>
          <w:p>
            <w:pPr>
              <w:pStyle w:val="TableParagraph"/>
              <w:spacing w:before="11"/>
              <w:rPr>
                <w:b/>
                <w:sz w:val="14"/>
              </w:rPr>
            </w:pPr>
          </w:p>
          <w:p>
            <w:pPr>
              <w:pStyle w:val="TableParagraph"/>
              <w:ind w:left="108"/>
              <w:rPr>
                <w:sz w:val="21"/>
              </w:rPr>
            </w:pPr>
            <w:r>
              <w:rPr>
                <w:sz w:val="21"/>
              </w:rPr>
              <w:t>251～400 </w:t>
            </w:r>
          </w:p>
        </w:tc>
        <w:tc>
          <w:tcPr>
            <w:tcW w:w="1440" w:type="dxa"/>
          </w:tcPr>
          <w:p>
            <w:pPr>
              <w:pStyle w:val="TableParagraph"/>
              <w:spacing w:before="11"/>
              <w:rPr>
                <w:b/>
                <w:sz w:val="14"/>
              </w:rPr>
            </w:pPr>
          </w:p>
          <w:p>
            <w:pPr>
              <w:pStyle w:val="TableParagraph"/>
              <w:ind w:left="109"/>
              <w:rPr>
                <w:sz w:val="21"/>
              </w:rPr>
            </w:pPr>
            <w:r>
              <w:rPr>
                <w:sz w:val="21"/>
              </w:rPr>
              <w:t>101～250 </w:t>
            </w:r>
          </w:p>
        </w:tc>
        <w:tc>
          <w:tcPr>
            <w:tcW w:w="988" w:type="dxa"/>
          </w:tcPr>
          <w:p>
            <w:pPr>
              <w:pStyle w:val="TableParagraph"/>
              <w:spacing w:before="11"/>
              <w:rPr>
                <w:b/>
                <w:sz w:val="14"/>
              </w:rPr>
            </w:pPr>
          </w:p>
          <w:p>
            <w:pPr>
              <w:pStyle w:val="TableParagraph"/>
              <w:ind w:left="109"/>
              <w:rPr>
                <w:sz w:val="21"/>
              </w:rPr>
            </w:pPr>
            <w:r>
              <w:rPr>
                <w:sz w:val="21"/>
              </w:rPr>
              <w:t>≤100 </w:t>
            </w:r>
          </w:p>
        </w:tc>
      </w:tr>
    </w:tbl>
    <w:p>
      <w:pPr>
        <w:pStyle w:val="BodyText"/>
        <w:spacing w:before="11"/>
        <w:rPr>
          <w:b/>
          <w:sz w:val="14"/>
        </w:rPr>
      </w:pPr>
    </w:p>
    <w:p>
      <w:pPr>
        <w:pStyle w:val="BodyText"/>
        <w:spacing w:line="446" w:lineRule="auto"/>
        <w:ind w:left="418" w:right="1411" w:firstLine="419"/>
      </w:pPr>
      <w:r>
        <w:rPr/>
        <w:t>注：1.当屋面露天停车场与下部汽车库共用汽车坡道时，其停车数量应计算在汽车库的车辆总数内。  </w:t>
      </w:r>
    </w:p>
    <w:p>
      <w:pPr>
        <w:pStyle w:val="ListParagraph"/>
        <w:numPr>
          <w:ilvl w:val="0"/>
          <w:numId w:val="769"/>
        </w:numPr>
        <w:tabs>
          <w:tab w:pos="1055" w:val="left" w:leader="none"/>
        </w:tabs>
        <w:spacing w:line="240" w:lineRule="auto" w:before="0" w:after="0"/>
        <w:ind w:left="1055" w:right="0" w:hanging="213"/>
        <w:jc w:val="left"/>
        <w:rPr>
          <w:sz w:val="21"/>
        </w:rPr>
      </w:pPr>
      <w:r>
        <w:rPr>
          <w:spacing w:val="-4"/>
          <w:sz w:val="21"/>
        </w:rPr>
        <w:t>室外坡道、屋面露天停车场的建筑面积可不计入汽车库的建筑面积之内。</w:t>
      </w:r>
      <w:r>
        <w:rPr>
          <w:spacing w:val="-3"/>
          <w:sz w:val="21"/>
        </w:rPr>
        <w:t> </w:t>
      </w:r>
      <w:r>
        <w:rPr>
          <w:sz w:val="21"/>
        </w:rPr>
        <w:t> </w:t>
      </w:r>
    </w:p>
    <w:p>
      <w:pPr>
        <w:pStyle w:val="BodyText"/>
        <w:spacing w:before="12"/>
        <w:rPr>
          <w:sz w:val="17"/>
        </w:rPr>
      </w:pPr>
    </w:p>
    <w:p>
      <w:pPr>
        <w:pStyle w:val="ListParagraph"/>
        <w:numPr>
          <w:ilvl w:val="0"/>
          <w:numId w:val="769"/>
        </w:numPr>
        <w:tabs>
          <w:tab w:pos="1071" w:val="left" w:leader="none"/>
        </w:tabs>
        <w:spacing w:line="448" w:lineRule="auto" w:before="0" w:after="0"/>
        <w:ind w:left="418" w:right="4967" w:firstLine="424"/>
        <w:jc w:val="left"/>
        <w:rPr>
          <w:sz w:val="21"/>
        </w:rPr>
      </w:pPr>
      <w:r>
        <w:rPr>
          <w:spacing w:val="12"/>
          <w:sz w:val="21"/>
        </w:rPr>
        <w:t>公交汽车库的建筑面积可按本表的规定值增加2.0</w:t>
      </w:r>
      <w:r>
        <w:rPr>
          <w:spacing w:val="-33"/>
          <w:sz w:val="21"/>
        </w:rPr>
        <w:t> 倍。</w:t>
      </w:r>
      <w:r>
        <w:rPr>
          <w:spacing w:val="-3"/>
          <w:sz w:val="21"/>
        </w:rPr>
        <w:t> </w:t>
      </w:r>
      <w:r>
        <w:rPr>
          <w:sz w:val="21"/>
        </w:rPr>
        <w:t> </w:t>
      </w:r>
    </w:p>
    <w:p>
      <w:pPr>
        <w:pStyle w:val="ListParagraph"/>
        <w:numPr>
          <w:ilvl w:val="1"/>
          <w:numId w:val="768"/>
        </w:numPr>
        <w:tabs>
          <w:tab w:pos="1159" w:val="left" w:leader="none"/>
          <w:tab w:pos="3336" w:val="left" w:leader="none"/>
        </w:tabs>
        <w:spacing w:line="446" w:lineRule="auto" w:before="0" w:after="0"/>
        <w:ind w:left="418" w:right="1591" w:firstLine="422"/>
        <w:jc w:val="left"/>
        <w:rPr>
          <w:sz w:val="21"/>
        </w:rPr>
      </w:pPr>
      <w:r>
        <w:rPr>
          <w:spacing w:val="-3"/>
          <w:sz w:val="21"/>
        </w:rPr>
        <w:t>汽</w:t>
      </w:r>
      <w:r>
        <w:rPr>
          <w:sz w:val="21"/>
        </w:rPr>
        <w:t>车库</w:t>
      </w:r>
      <w:r>
        <w:rPr>
          <w:spacing w:val="-3"/>
          <w:sz w:val="21"/>
        </w:rPr>
        <w:t>、</w:t>
      </w:r>
      <w:r>
        <w:rPr>
          <w:sz w:val="21"/>
        </w:rPr>
        <w:t>修</w:t>
      </w:r>
      <w:r>
        <w:rPr>
          <w:spacing w:val="-3"/>
          <w:sz w:val="21"/>
        </w:rPr>
        <w:t>车</w:t>
      </w:r>
      <w:r>
        <w:rPr>
          <w:sz w:val="21"/>
        </w:rPr>
        <w:t>库</w:t>
      </w:r>
      <w:r>
        <w:rPr>
          <w:spacing w:val="-3"/>
          <w:sz w:val="21"/>
        </w:rPr>
        <w:t>的耐</w:t>
      </w:r>
      <w:r>
        <w:rPr>
          <w:sz w:val="21"/>
        </w:rPr>
        <w:t>火</w:t>
      </w:r>
      <w:r>
        <w:rPr>
          <w:spacing w:val="-3"/>
          <w:sz w:val="21"/>
        </w:rPr>
        <w:t>等</w:t>
      </w:r>
      <w:r>
        <w:rPr>
          <w:spacing w:val="4"/>
          <w:sz w:val="21"/>
        </w:rPr>
        <w:t>级</w:t>
      </w:r>
      <w:r>
        <w:rPr>
          <w:spacing w:val="-3"/>
          <w:sz w:val="21"/>
        </w:rPr>
        <w:t>应</w:t>
      </w:r>
      <w:r>
        <w:rPr>
          <w:sz w:val="21"/>
        </w:rPr>
        <w:t>分</w:t>
      </w:r>
      <w:r>
        <w:rPr>
          <w:spacing w:val="-3"/>
          <w:sz w:val="21"/>
        </w:rPr>
        <w:t>为</w:t>
      </w:r>
      <w:r>
        <w:rPr>
          <w:sz w:val="21"/>
        </w:rPr>
        <w:t>一</w:t>
      </w:r>
      <w:r>
        <w:rPr>
          <w:spacing w:val="-3"/>
          <w:sz w:val="21"/>
        </w:rPr>
        <w:t>级</w:t>
      </w:r>
      <w:r>
        <w:rPr>
          <w:sz w:val="21"/>
        </w:rPr>
        <w:t>、</w:t>
      </w:r>
      <w:r>
        <w:rPr>
          <w:spacing w:val="-3"/>
          <w:sz w:val="21"/>
        </w:rPr>
        <w:t>二级</w:t>
      </w:r>
      <w:r>
        <w:rPr>
          <w:sz w:val="21"/>
        </w:rPr>
        <w:t>和</w:t>
      </w:r>
      <w:r>
        <w:rPr>
          <w:spacing w:val="-3"/>
          <w:sz w:val="21"/>
        </w:rPr>
        <w:t>三</w:t>
      </w:r>
      <w:r>
        <w:rPr>
          <w:spacing w:val="4"/>
          <w:sz w:val="21"/>
        </w:rPr>
        <w:t>级</w:t>
      </w:r>
      <w:r>
        <w:rPr>
          <w:spacing w:val="-3"/>
          <w:sz w:val="21"/>
        </w:rPr>
        <w:t>，</w:t>
      </w:r>
      <w:r>
        <w:rPr>
          <w:sz w:val="21"/>
        </w:rPr>
        <w:t>其</w:t>
      </w:r>
      <w:r>
        <w:rPr>
          <w:spacing w:val="-3"/>
          <w:sz w:val="21"/>
        </w:rPr>
        <w:t>构</w:t>
      </w:r>
      <w:r>
        <w:rPr>
          <w:sz w:val="21"/>
        </w:rPr>
        <w:t>件</w:t>
      </w:r>
      <w:r>
        <w:rPr>
          <w:spacing w:val="-3"/>
          <w:sz w:val="21"/>
        </w:rPr>
        <w:t>的</w:t>
      </w:r>
      <w:r>
        <w:rPr>
          <w:sz w:val="21"/>
        </w:rPr>
        <w:t>燃</w:t>
      </w:r>
      <w:r>
        <w:rPr>
          <w:spacing w:val="-3"/>
          <w:sz w:val="21"/>
        </w:rPr>
        <w:t>烧性</w:t>
      </w:r>
      <w:r>
        <w:rPr>
          <w:sz w:val="21"/>
        </w:rPr>
        <w:t>能</w:t>
      </w:r>
      <w:r>
        <w:rPr>
          <w:spacing w:val="-3"/>
          <w:sz w:val="21"/>
        </w:rPr>
        <w:t>和</w:t>
      </w:r>
      <w:r>
        <w:rPr>
          <w:spacing w:val="4"/>
          <w:sz w:val="21"/>
        </w:rPr>
        <w:t>耐</w:t>
      </w:r>
      <w:r>
        <w:rPr>
          <w:spacing w:val="-3"/>
          <w:sz w:val="21"/>
        </w:rPr>
        <w:t>火</w:t>
      </w:r>
      <w:r>
        <w:rPr>
          <w:sz w:val="21"/>
        </w:rPr>
        <w:t>极限</w:t>
      </w:r>
      <w:r>
        <w:rPr>
          <w:spacing w:val="-1"/>
          <w:sz w:val="21"/>
        </w:rPr>
        <w:t>均不应</w:t>
      </w:r>
      <w:r>
        <w:rPr>
          <w:spacing w:val="-3"/>
          <w:sz w:val="21"/>
        </w:rPr>
        <w:t>低</w:t>
      </w:r>
      <w:r>
        <w:rPr>
          <w:spacing w:val="-8"/>
          <w:sz w:val="21"/>
        </w:rPr>
        <w:t>于</w:t>
      </w:r>
      <w:r>
        <w:rPr>
          <w:spacing w:val="-3"/>
          <w:sz w:val="21"/>
        </w:rPr>
        <w:t>表</w:t>
      </w:r>
      <w:r>
        <w:rPr>
          <w:spacing w:val="-1"/>
          <w:sz w:val="21"/>
        </w:rPr>
        <w:t>3.0.2</w:t>
      </w:r>
      <w:r>
        <w:rPr>
          <w:spacing w:val="-8"/>
          <w:sz w:val="21"/>
        </w:rPr>
        <w:t>的</w:t>
      </w:r>
      <w:r>
        <w:rPr>
          <w:sz w:val="21"/>
        </w:rPr>
        <w:t>规</w:t>
      </w:r>
      <w:r>
        <w:rPr>
          <w:spacing w:val="-8"/>
          <w:sz w:val="21"/>
        </w:rPr>
        <w:t>定</w:t>
      </w:r>
      <w:r>
        <w:rPr>
          <w:spacing w:val="-3"/>
          <w:sz w:val="21"/>
        </w:rPr>
        <w:t>。</w:t>
      </w:r>
      <w:r>
        <w:rPr>
          <w:sz w:val="21"/>
        </w:rPr>
        <w:t> </w:t>
        <w:tab/>
      </w:r>
      <w:r>
        <w:rPr>
          <w:w w:val="100"/>
          <w:sz w:val="21"/>
        </w:rPr>
        <w:t> </w:t>
      </w:r>
    </w:p>
    <w:p>
      <w:pPr>
        <w:pStyle w:val="Heading6"/>
        <w:spacing w:after="35"/>
        <w:ind w:left="2155"/>
      </w:pPr>
      <w:r>
        <w:rPr/>
        <w:t>表3.0.2 汽车库、修车库构件的燃烧性能和耐火极限（h）</w:t>
      </w:r>
      <w:r>
        <w:rPr>
          <w:w w:val="99"/>
        </w:rPr>
        <w:t> </w:t>
      </w:r>
    </w:p>
    <w:tbl>
      <w:tblPr>
        <w:tblW w:w="0" w:type="auto"/>
        <w:jc w:val="left"/>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729"/>
        <w:gridCol w:w="1706"/>
        <w:gridCol w:w="1598"/>
        <w:gridCol w:w="1594"/>
      </w:tblGrid>
      <w:tr>
        <w:trPr>
          <w:trHeight w:val="633" w:hRule="atLeast"/>
        </w:trPr>
        <w:tc>
          <w:tcPr>
            <w:tcW w:w="3547" w:type="dxa"/>
            <w:gridSpan w:val="2"/>
            <w:vMerge w:val="restart"/>
          </w:tcPr>
          <w:p>
            <w:pPr>
              <w:pStyle w:val="TableParagraph"/>
              <w:spacing w:before="11"/>
              <w:rPr>
                <w:b/>
                <w:sz w:val="14"/>
              </w:rPr>
            </w:pPr>
          </w:p>
          <w:p>
            <w:pPr>
              <w:pStyle w:val="TableParagraph"/>
              <w:ind w:left="107"/>
              <w:rPr>
                <w:sz w:val="21"/>
              </w:rPr>
            </w:pPr>
            <w:r>
              <w:rPr>
                <w:w w:val="100"/>
                <w:sz w:val="21"/>
              </w:rPr>
              <w:t> </w:t>
            </w:r>
          </w:p>
          <w:p>
            <w:pPr>
              <w:pStyle w:val="TableParagraph"/>
              <w:spacing w:before="2"/>
              <w:rPr>
                <w:b/>
                <w:sz w:val="18"/>
              </w:rPr>
            </w:pPr>
          </w:p>
          <w:p>
            <w:pPr>
              <w:pStyle w:val="TableParagraph"/>
              <w:ind w:left="107"/>
              <w:rPr>
                <w:sz w:val="21"/>
              </w:rPr>
            </w:pPr>
            <w:r>
              <w:rPr>
                <w:sz w:val="21"/>
              </w:rPr>
              <w:t>建筑构件名称 </w:t>
            </w:r>
          </w:p>
        </w:tc>
        <w:tc>
          <w:tcPr>
            <w:tcW w:w="4898" w:type="dxa"/>
            <w:gridSpan w:val="3"/>
          </w:tcPr>
          <w:p>
            <w:pPr>
              <w:pStyle w:val="TableParagraph"/>
              <w:spacing w:before="11"/>
              <w:rPr>
                <w:b/>
                <w:sz w:val="14"/>
              </w:rPr>
            </w:pPr>
          </w:p>
          <w:p>
            <w:pPr>
              <w:pStyle w:val="TableParagraph"/>
              <w:ind w:left="2061" w:right="1946"/>
              <w:jc w:val="center"/>
              <w:rPr>
                <w:sz w:val="21"/>
              </w:rPr>
            </w:pPr>
            <w:r>
              <w:rPr>
                <w:sz w:val="21"/>
              </w:rPr>
              <w:t>耐火等级 </w:t>
            </w:r>
          </w:p>
        </w:tc>
      </w:tr>
      <w:tr>
        <w:trPr>
          <w:trHeight w:val="597" w:hRule="atLeast"/>
        </w:trPr>
        <w:tc>
          <w:tcPr>
            <w:tcW w:w="3547" w:type="dxa"/>
            <w:gridSpan w:val="2"/>
            <w:vMerge/>
            <w:tcBorders>
              <w:top w:val="nil"/>
            </w:tcBorders>
          </w:tcPr>
          <w:p>
            <w:pPr>
              <w:rPr>
                <w:sz w:val="2"/>
                <w:szCs w:val="2"/>
              </w:rPr>
            </w:pPr>
          </w:p>
        </w:tc>
        <w:tc>
          <w:tcPr>
            <w:tcW w:w="1706" w:type="dxa"/>
          </w:tcPr>
          <w:p>
            <w:pPr>
              <w:pStyle w:val="TableParagraph"/>
              <w:spacing w:before="11"/>
              <w:rPr>
                <w:b/>
                <w:sz w:val="14"/>
              </w:rPr>
            </w:pPr>
          </w:p>
          <w:p>
            <w:pPr>
              <w:pStyle w:val="TableParagraph"/>
              <w:ind w:left="336"/>
              <w:rPr>
                <w:sz w:val="21"/>
              </w:rPr>
            </w:pPr>
            <w:r>
              <w:rPr>
                <w:sz w:val="21"/>
              </w:rPr>
              <w:t>一级 </w:t>
            </w:r>
          </w:p>
        </w:tc>
        <w:tc>
          <w:tcPr>
            <w:tcW w:w="1598" w:type="dxa"/>
          </w:tcPr>
          <w:p>
            <w:pPr>
              <w:pStyle w:val="TableParagraph"/>
              <w:spacing w:before="11"/>
              <w:rPr>
                <w:b/>
                <w:sz w:val="14"/>
              </w:rPr>
            </w:pPr>
          </w:p>
          <w:p>
            <w:pPr>
              <w:pStyle w:val="TableParagraph"/>
              <w:ind w:left="284"/>
              <w:rPr>
                <w:sz w:val="21"/>
              </w:rPr>
            </w:pPr>
            <w:r>
              <w:rPr>
                <w:sz w:val="21"/>
              </w:rPr>
              <w:t>二级 </w:t>
            </w:r>
          </w:p>
        </w:tc>
        <w:tc>
          <w:tcPr>
            <w:tcW w:w="1594" w:type="dxa"/>
          </w:tcPr>
          <w:p>
            <w:pPr>
              <w:pStyle w:val="TableParagraph"/>
              <w:spacing w:before="11"/>
              <w:rPr>
                <w:b/>
                <w:sz w:val="14"/>
              </w:rPr>
            </w:pPr>
          </w:p>
          <w:p>
            <w:pPr>
              <w:pStyle w:val="TableParagraph"/>
              <w:ind w:left="587"/>
              <w:rPr>
                <w:sz w:val="21"/>
              </w:rPr>
            </w:pPr>
            <w:r>
              <w:rPr>
                <w:sz w:val="21"/>
              </w:rPr>
              <w:t>三级 </w:t>
            </w:r>
          </w:p>
        </w:tc>
      </w:tr>
      <w:tr>
        <w:trPr>
          <w:trHeight w:val="508" w:hRule="atLeast"/>
        </w:trPr>
        <w:tc>
          <w:tcPr>
            <w:tcW w:w="818" w:type="dxa"/>
            <w:vMerge w:val="restart"/>
          </w:tcPr>
          <w:p>
            <w:pPr>
              <w:pStyle w:val="TableParagraph"/>
              <w:spacing w:before="11"/>
              <w:rPr>
                <w:b/>
                <w:sz w:val="14"/>
              </w:rPr>
            </w:pPr>
          </w:p>
          <w:p>
            <w:pPr>
              <w:pStyle w:val="TableParagraph"/>
              <w:ind w:left="107"/>
              <w:rPr>
                <w:sz w:val="21"/>
              </w:rPr>
            </w:pPr>
            <w:r>
              <w:rPr>
                <w:w w:val="100"/>
                <w:sz w:val="21"/>
              </w:rPr>
              <w:t> </w:t>
            </w:r>
          </w:p>
          <w:p>
            <w:pPr>
              <w:pStyle w:val="TableParagraph"/>
              <w:rPr>
                <w:b/>
                <w:sz w:val="18"/>
              </w:rPr>
            </w:pPr>
          </w:p>
          <w:p>
            <w:pPr>
              <w:pStyle w:val="TableParagraph"/>
              <w:ind w:left="107"/>
              <w:rPr>
                <w:sz w:val="21"/>
              </w:rPr>
            </w:pPr>
            <w:r>
              <w:rPr>
                <w:sz w:val="21"/>
              </w:rPr>
              <w:t>墙 </w:t>
            </w:r>
          </w:p>
        </w:tc>
        <w:tc>
          <w:tcPr>
            <w:tcW w:w="2729" w:type="dxa"/>
          </w:tcPr>
          <w:p>
            <w:pPr>
              <w:pStyle w:val="TableParagraph"/>
              <w:spacing w:before="11"/>
              <w:rPr>
                <w:b/>
                <w:sz w:val="14"/>
              </w:rPr>
            </w:pPr>
          </w:p>
          <w:p>
            <w:pPr>
              <w:pStyle w:val="TableParagraph"/>
              <w:ind w:left="484"/>
              <w:rPr>
                <w:sz w:val="21"/>
              </w:rPr>
            </w:pPr>
            <w:r>
              <w:rPr>
                <w:sz w:val="21"/>
              </w:rPr>
              <w:t>防火墙 </w:t>
            </w:r>
          </w:p>
        </w:tc>
        <w:tc>
          <w:tcPr>
            <w:tcW w:w="1706" w:type="dxa"/>
          </w:tcPr>
          <w:p>
            <w:pPr>
              <w:pStyle w:val="TableParagraph"/>
              <w:spacing w:before="11"/>
              <w:rPr>
                <w:b/>
                <w:sz w:val="14"/>
              </w:rPr>
            </w:pPr>
          </w:p>
          <w:p>
            <w:pPr>
              <w:pStyle w:val="TableParagraph"/>
              <w:ind w:left="108"/>
              <w:rPr>
                <w:sz w:val="21"/>
              </w:rPr>
            </w:pPr>
            <w:r>
              <w:rPr>
                <w:sz w:val="21"/>
              </w:rPr>
              <w:t>不燃性3.00 </w:t>
            </w:r>
          </w:p>
        </w:tc>
        <w:tc>
          <w:tcPr>
            <w:tcW w:w="1598" w:type="dxa"/>
          </w:tcPr>
          <w:p>
            <w:pPr>
              <w:pStyle w:val="TableParagraph"/>
              <w:spacing w:before="11"/>
              <w:rPr>
                <w:b/>
                <w:sz w:val="14"/>
              </w:rPr>
            </w:pPr>
          </w:p>
          <w:p>
            <w:pPr>
              <w:pStyle w:val="TableParagraph"/>
              <w:ind w:left="111"/>
              <w:rPr>
                <w:sz w:val="21"/>
              </w:rPr>
            </w:pPr>
            <w:r>
              <w:rPr>
                <w:sz w:val="21"/>
              </w:rPr>
              <w:t>不燃性3.00 </w:t>
            </w:r>
          </w:p>
        </w:tc>
        <w:tc>
          <w:tcPr>
            <w:tcW w:w="1594" w:type="dxa"/>
          </w:tcPr>
          <w:p>
            <w:pPr>
              <w:pStyle w:val="TableParagraph"/>
              <w:spacing w:before="11"/>
              <w:rPr>
                <w:b/>
                <w:sz w:val="14"/>
              </w:rPr>
            </w:pPr>
          </w:p>
          <w:p>
            <w:pPr>
              <w:pStyle w:val="TableParagraph"/>
              <w:ind w:left="110"/>
              <w:rPr>
                <w:sz w:val="21"/>
              </w:rPr>
            </w:pPr>
            <w:r>
              <w:rPr>
                <w:sz w:val="21"/>
              </w:rPr>
              <w:t>不燃性3.00 </w:t>
            </w:r>
          </w:p>
        </w:tc>
      </w:tr>
      <w:tr>
        <w:trPr>
          <w:trHeight w:val="546" w:hRule="atLeast"/>
        </w:trPr>
        <w:tc>
          <w:tcPr>
            <w:tcW w:w="818" w:type="dxa"/>
            <w:vMerge/>
            <w:tcBorders>
              <w:top w:val="nil"/>
            </w:tcBorders>
          </w:tcPr>
          <w:p>
            <w:pPr>
              <w:rPr>
                <w:sz w:val="2"/>
                <w:szCs w:val="2"/>
              </w:rPr>
            </w:pPr>
          </w:p>
        </w:tc>
        <w:tc>
          <w:tcPr>
            <w:tcW w:w="2729" w:type="dxa"/>
          </w:tcPr>
          <w:p>
            <w:pPr>
              <w:pStyle w:val="TableParagraph"/>
              <w:spacing w:before="11"/>
              <w:rPr>
                <w:b/>
                <w:sz w:val="14"/>
              </w:rPr>
            </w:pPr>
          </w:p>
          <w:p>
            <w:pPr>
              <w:pStyle w:val="TableParagraph"/>
              <w:ind w:left="484"/>
              <w:rPr>
                <w:sz w:val="21"/>
              </w:rPr>
            </w:pPr>
            <w:r>
              <w:rPr>
                <w:sz w:val="21"/>
              </w:rPr>
              <w:t>承重墙 </w:t>
            </w:r>
          </w:p>
        </w:tc>
        <w:tc>
          <w:tcPr>
            <w:tcW w:w="1706" w:type="dxa"/>
          </w:tcPr>
          <w:p>
            <w:pPr>
              <w:pStyle w:val="TableParagraph"/>
              <w:spacing w:before="11"/>
              <w:rPr>
                <w:b/>
                <w:sz w:val="14"/>
              </w:rPr>
            </w:pPr>
          </w:p>
          <w:p>
            <w:pPr>
              <w:pStyle w:val="TableParagraph"/>
              <w:ind w:left="108"/>
              <w:rPr>
                <w:sz w:val="21"/>
              </w:rPr>
            </w:pPr>
            <w:r>
              <w:rPr>
                <w:sz w:val="21"/>
              </w:rPr>
              <w:t>不燃性3.00 </w:t>
            </w:r>
          </w:p>
        </w:tc>
        <w:tc>
          <w:tcPr>
            <w:tcW w:w="1598" w:type="dxa"/>
          </w:tcPr>
          <w:p>
            <w:pPr>
              <w:pStyle w:val="TableParagraph"/>
              <w:spacing w:before="11"/>
              <w:rPr>
                <w:b/>
                <w:sz w:val="14"/>
              </w:rPr>
            </w:pPr>
          </w:p>
          <w:p>
            <w:pPr>
              <w:pStyle w:val="TableParagraph"/>
              <w:ind w:left="111"/>
              <w:rPr>
                <w:sz w:val="21"/>
              </w:rPr>
            </w:pPr>
            <w:r>
              <w:rPr>
                <w:sz w:val="21"/>
              </w:rPr>
              <w:t>不燃性2.50 </w:t>
            </w:r>
          </w:p>
        </w:tc>
        <w:tc>
          <w:tcPr>
            <w:tcW w:w="1594" w:type="dxa"/>
          </w:tcPr>
          <w:p>
            <w:pPr>
              <w:pStyle w:val="TableParagraph"/>
              <w:spacing w:before="11"/>
              <w:rPr>
                <w:b/>
                <w:sz w:val="14"/>
              </w:rPr>
            </w:pPr>
          </w:p>
          <w:p>
            <w:pPr>
              <w:pStyle w:val="TableParagraph"/>
              <w:ind w:left="110"/>
              <w:rPr>
                <w:sz w:val="21"/>
              </w:rPr>
            </w:pPr>
            <w:r>
              <w:rPr>
                <w:sz w:val="21"/>
              </w:rPr>
              <w:t>不燃性2.00 </w:t>
            </w:r>
          </w:p>
        </w:tc>
      </w:tr>
    </w:tbl>
    <w:p>
      <w:pPr>
        <w:spacing w:after="0"/>
        <w:rPr>
          <w:sz w:val="21"/>
        </w:rPr>
        <w:sectPr>
          <w:pgSz w:w="11910" w:h="16850"/>
          <w:pgMar w:header="0" w:footer="1239" w:top="1200" w:bottom="1420" w:left="1260" w:right="0"/>
        </w:sectPr>
      </w:pPr>
    </w:p>
    <w:tbl>
      <w:tblPr>
        <w:tblW w:w="0" w:type="auto"/>
        <w:jc w:val="left"/>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729"/>
        <w:gridCol w:w="1706"/>
        <w:gridCol w:w="1598"/>
        <w:gridCol w:w="1594"/>
      </w:tblGrid>
      <w:tr>
        <w:trPr>
          <w:trHeight w:val="551" w:hRule="atLeast"/>
        </w:trPr>
        <w:tc>
          <w:tcPr>
            <w:tcW w:w="818" w:type="dxa"/>
            <w:vMerge w:val="restart"/>
          </w:tcPr>
          <w:p>
            <w:pPr>
              <w:pStyle w:val="TableParagraph"/>
              <w:rPr>
                <w:rFonts w:ascii="Times New Roman"/>
                <w:sz w:val="20"/>
              </w:rPr>
            </w:pPr>
          </w:p>
        </w:tc>
        <w:tc>
          <w:tcPr>
            <w:tcW w:w="2729" w:type="dxa"/>
          </w:tcPr>
          <w:p>
            <w:pPr>
              <w:pStyle w:val="TableParagraph"/>
              <w:spacing w:before="8"/>
              <w:rPr>
                <w:b/>
                <w:sz w:val="14"/>
              </w:rPr>
            </w:pPr>
          </w:p>
          <w:p>
            <w:pPr>
              <w:pStyle w:val="TableParagraph"/>
              <w:ind w:left="108"/>
              <w:rPr>
                <w:sz w:val="21"/>
              </w:rPr>
            </w:pPr>
            <w:r>
              <w:rPr>
                <w:sz w:val="21"/>
              </w:rPr>
              <w:t>楼梯间和前室的墙、防火隔</w:t>
            </w:r>
          </w:p>
        </w:tc>
        <w:tc>
          <w:tcPr>
            <w:tcW w:w="1706" w:type="dxa"/>
          </w:tcPr>
          <w:p>
            <w:pPr>
              <w:pStyle w:val="TableParagraph"/>
              <w:spacing w:before="8"/>
              <w:rPr>
                <w:b/>
                <w:sz w:val="14"/>
              </w:rPr>
            </w:pPr>
          </w:p>
          <w:p>
            <w:pPr>
              <w:pStyle w:val="TableParagraph"/>
              <w:ind w:left="108"/>
              <w:rPr>
                <w:sz w:val="21"/>
              </w:rPr>
            </w:pPr>
            <w:r>
              <w:rPr>
                <w:sz w:val="21"/>
              </w:rPr>
              <w:t>不燃性2.00 </w:t>
            </w:r>
          </w:p>
        </w:tc>
        <w:tc>
          <w:tcPr>
            <w:tcW w:w="1598" w:type="dxa"/>
          </w:tcPr>
          <w:p>
            <w:pPr>
              <w:pStyle w:val="TableParagraph"/>
              <w:spacing w:before="8"/>
              <w:rPr>
                <w:b/>
                <w:sz w:val="14"/>
              </w:rPr>
            </w:pPr>
          </w:p>
          <w:p>
            <w:pPr>
              <w:pStyle w:val="TableParagraph"/>
              <w:ind w:left="111"/>
              <w:rPr>
                <w:sz w:val="21"/>
              </w:rPr>
            </w:pPr>
            <w:r>
              <w:rPr>
                <w:spacing w:val="-4"/>
                <w:sz w:val="21"/>
              </w:rPr>
              <w:t>不燃性</w:t>
            </w:r>
            <w:r>
              <w:rPr>
                <w:spacing w:val="-106"/>
                <w:sz w:val="21"/>
              </w:rPr>
              <w:t>2</w:t>
            </w:r>
            <w:r>
              <w:rPr>
                <w:sz w:val="21"/>
              </w:rPr>
              <w:t> .00 </w:t>
            </w:r>
          </w:p>
        </w:tc>
        <w:tc>
          <w:tcPr>
            <w:tcW w:w="1594" w:type="dxa"/>
          </w:tcPr>
          <w:p>
            <w:pPr>
              <w:pStyle w:val="TableParagraph"/>
              <w:spacing w:before="8"/>
              <w:rPr>
                <w:b/>
                <w:sz w:val="14"/>
              </w:rPr>
            </w:pPr>
          </w:p>
          <w:p>
            <w:pPr>
              <w:pStyle w:val="TableParagraph"/>
              <w:ind w:left="110"/>
              <w:rPr>
                <w:sz w:val="21"/>
              </w:rPr>
            </w:pPr>
            <w:r>
              <w:rPr>
                <w:sz w:val="21"/>
              </w:rPr>
              <w:t>不燃性2.00 </w:t>
            </w:r>
          </w:p>
        </w:tc>
      </w:tr>
      <w:tr>
        <w:trPr>
          <w:trHeight w:val="563" w:hRule="atLeast"/>
        </w:trPr>
        <w:tc>
          <w:tcPr>
            <w:tcW w:w="818" w:type="dxa"/>
            <w:vMerge/>
            <w:tcBorders>
              <w:top w:val="nil"/>
            </w:tcBorders>
          </w:tcPr>
          <w:p>
            <w:pPr>
              <w:rPr>
                <w:sz w:val="2"/>
                <w:szCs w:val="2"/>
              </w:rPr>
            </w:pPr>
          </w:p>
        </w:tc>
        <w:tc>
          <w:tcPr>
            <w:tcW w:w="2729" w:type="dxa"/>
          </w:tcPr>
          <w:p>
            <w:pPr>
              <w:pStyle w:val="TableParagraph"/>
              <w:spacing w:before="10"/>
              <w:rPr>
                <w:b/>
                <w:sz w:val="14"/>
              </w:rPr>
            </w:pPr>
          </w:p>
          <w:p>
            <w:pPr>
              <w:pStyle w:val="TableParagraph"/>
              <w:ind w:left="108"/>
              <w:rPr>
                <w:sz w:val="21"/>
              </w:rPr>
            </w:pPr>
            <w:r>
              <w:rPr>
                <w:sz w:val="21"/>
              </w:rPr>
              <w:t>隔墙、非承重外墙 </w:t>
            </w:r>
          </w:p>
        </w:tc>
        <w:tc>
          <w:tcPr>
            <w:tcW w:w="1706" w:type="dxa"/>
          </w:tcPr>
          <w:p>
            <w:pPr>
              <w:pStyle w:val="TableParagraph"/>
              <w:spacing w:before="10"/>
              <w:rPr>
                <w:b/>
                <w:sz w:val="14"/>
              </w:rPr>
            </w:pPr>
          </w:p>
          <w:p>
            <w:pPr>
              <w:pStyle w:val="TableParagraph"/>
              <w:ind w:left="108"/>
              <w:rPr>
                <w:sz w:val="21"/>
              </w:rPr>
            </w:pPr>
            <w:r>
              <w:rPr>
                <w:sz w:val="21"/>
              </w:rPr>
              <w:t>不燃性1.00 </w:t>
            </w:r>
          </w:p>
        </w:tc>
        <w:tc>
          <w:tcPr>
            <w:tcW w:w="1598" w:type="dxa"/>
          </w:tcPr>
          <w:p>
            <w:pPr>
              <w:pStyle w:val="TableParagraph"/>
              <w:spacing w:before="10"/>
              <w:rPr>
                <w:b/>
                <w:sz w:val="14"/>
              </w:rPr>
            </w:pPr>
          </w:p>
          <w:p>
            <w:pPr>
              <w:pStyle w:val="TableParagraph"/>
              <w:ind w:left="111"/>
              <w:rPr>
                <w:sz w:val="21"/>
              </w:rPr>
            </w:pPr>
            <w:r>
              <w:rPr>
                <w:sz w:val="21"/>
              </w:rPr>
              <w:t>不燃性1.00 </w:t>
            </w:r>
          </w:p>
        </w:tc>
        <w:tc>
          <w:tcPr>
            <w:tcW w:w="1594" w:type="dxa"/>
          </w:tcPr>
          <w:p>
            <w:pPr>
              <w:pStyle w:val="TableParagraph"/>
              <w:spacing w:before="10"/>
              <w:rPr>
                <w:b/>
                <w:sz w:val="14"/>
              </w:rPr>
            </w:pPr>
          </w:p>
          <w:p>
            <w:pPr>
              <w:pStyle w:val="TableParagraph"/>
              <w:ind w:left="110"/>
              <w:rPr>
                <w:sz w:val="21"/>
              </w:rPr>
            </w:pPr>
            <w:r>
              <w:rPr>
                <w:sz w:val="21"/>
              </w:rPr>
              <w:t>不燃性0.50 </w:t>
            </w:r>
          </w:p>
        </w:tc>
      </w:tr>
      <w:tr>
        <w:trPr>
          <w:trHeight w:val="678" w:hRule="atLeast"/>
        </w:trPr>
        <w:tc>
          <w:tcPr>
            <w:tcW w:w="3547" w:type="dxa"/>
            <w:gridSpan w:val="2"/>
          </w:tcPr>
          <w:p>
            <w:pPr>
              <w:pStyle w:val="TableParagraph"/>
              <w:spacing w:before="8"/>
              <w:rPr>
                <w:b/>
                <w:sz w:val="14"/>
              </w:rPr>
            </w:pPr>
          </w:p>
          <w:p>
            <w:pPr>
              <w:pStyle w:val="TableParagraph"/>
              <w:ind w:left="1491" w:right="1376"/>
              <w:jc w:val="center"/>
              <w:rPr>
                <w:sz w:val="21"/>
              </w:rPr>
            </w:pPr>
            <w:r>
              <w:rPr>
                <w:sz w:val="21"/>
              </w:rPr>
              <w:t>柱 </w:t>
            </w:r>
          </w:p>
        </w:tc>
        <w:tc>
          <w:tcPr>
            <w:tcW w:w="1706" w:type="dxa"/>
          </w:tcPr>
          <w:p>
            <w:pPr>
              <w:pStyle w:val="TableParagraph"/>
              <w:spacing w:before="8"/>
              <w:rPr>
                <w:b/>
                <w:sz w:val="14"/>
              </w:rPr>
            </w:pPr>
          </w:p>
          <w:p>
            <w:pPr>
              <w:pStyle w:val="TableParagraph"/>
              <w:ind w:left="108"/>
              <w:rPr>
                <w:sz w:val="21"/>
              </w:rPr>
            </w:pPr>
            <w:r>
              <w:rPr>
                <w:sz w:val="21"/>
              </w:rPr>
              <w:t>不燃性3.00 </w:t>
            </w:r>
          </w:p>
        </w:tc>
        <w:tc>
          <w:tcPr>
            <w:tcW w:w="1598" w:type="dxa"/>
          </w:tcPr>
          <w:p>
            <w:pPr>
              <w:pStyle w:val="TableParagraph"/>
              <w:spacing w:before="8"/>
              <w:rPr>
                <w:b/>
                <w:sz w:val="14"/>
              </w:rPr>
            </w:pPr>
          </w:p>
          <w:p>
            <w:pPr>
              <w:pStyle w:val="TableParagraph"/>
              <w:ind w:left="111"/>
              <w:rPr>
                <w:sz w:val="21"/>
              </w:rPr>
            </w:pPr>
            <w:r>
              <w:rPr>
                <w:sz w:val="21"/>
              </w:rPr>
              <w:t>不燃性2.50 </w:t>
            </w:r>
          </w:p>
        </w:tc>
        <w:tc>
          <w:tcPr>
            <w:tcW w:w="1594" w:type="dxa"/>
          </w:tcPr>
          <w:p>
            <w:pPr>
              <w:pStyle w:val="TableParagraph"/>
              <w:spacing w:before="8"/>
              <w:rPr>
                <w:b/>
                <w:sz w:val="14"/>
              </w:rPr>
            </w:pPr>
          </w:p>
          <w:p>
            <w:pPr>
              <w:pStyle w:val="TableParagraph"/>
              <w:ind w:left="110"/>
              <w:rPr>
                <w:sz w:val="21"/>
              </w:rPr>
            </w:pPr>
            <w:r>
              <w:rPr>
                <w:sz w:val="21"/>
              </w:rPr>
              <w:t>不燃性2.00 </w:t>
            </w:r>
          </w:p>
        </w:tc>
      </w:tr>
      <w:tr>
        <w:trPr>
          <w:trHeight w:val="563" w:hRule="atLeast"/>
        </w:trPr>
        <w:tc>
          <w:tcPr>
            <w:tcW w:w="3547" w:type="dxa"/>
            <w:gridSpan w:val="2"/>
          </w:tcPr>
          <w:p>
            <w:pPr>
              <w:pStyle w:val="TableParagraph"/>
              <w:spacing w:before="8"/>
              <w:rPr>
                <w:b/>
                <w:sz w:val="14"/>
              </w:rPr>
            </w:pPr>
          </w:p>
          <w:p>
            <w:pPr>
              <w:pStyle w:val="TableParagraph"/>
              <w:ind w:left="1491" w:right="1376"/>
              <w:jc w:val="center"/>
              <w:rPr>
                <w:sz w:val="21"/>
              </w:rPr>
            </w:pPr>
            <w:r>
              <w:rPr>
                <w:sz w:val="21"/>
              </w:rPr>
              <w:t>梁 </w:t>
            </w:r>
          </w:p>
        </w:tc>
        <w:tc>
          <w:tcPr>
            <w:tcW w:w="1706" w:type="dxa"/>
          </w:tcPr>
          <w:p>
            <w:pPr>
              <w:pStyle w:val="TableParagraph"/>
              <w:spacing w:before="8"/>
              <w:rPr>
                <w:b/>
                <w:sz w:val="14"/>
              </w:rPr>
            </w:pPr>
          </w:p>
          <w:p>
            <w:pPr>
              <w:pStyle w:val="TableParagraph"/>
              <w:ind w:left="108"/>
              <w:rPr>
                <w:sz w:val="21"/>
              </w:rPr>
            </w:pPr>
            <w:r>
              <w:rPr>
                <w:sz w:val="21"/>
              </w:rPr>
              <w:t>不燃性2.00 </w:t>
            </w:r>
          </w:p>
        </w:tc>
        <w:tc>
          <w:tcPr>
            <w:tcW w:w="1598" w:type="dxa"/>
          </w:tcPr>
          <w:p>
            <w:pPr>
              <w:pStyle w:val="TableParagraph"/>
              <w:spacing w:before="8"/>
              <w:rPr>
                <w:b/>
                <w:sz w:val="14"/>
              </w:rPr>
            </w:pPr>
          </w:p>
          <w:p>
            <w:pPr>
              <w:pStyle w:val="TableParagraph"/>
              <w:ind w:left="111"/>
              <w:rPr>
                <w:sz w:val="21"/>
              </w:rPr>
            </w:pPr>
            <w:r>
              <w:rPr>
                <w:spacing w:val="-4"/>
                <w:sz w:val="21"/>
              </w:rPr>
              <w:t>不燃性</w:t>
            </w:r>
            <w:r>
              <w:rPr>
                <w:spacing w:val="-106"/>
                <w:sz w:val="21"/>
              </w:rPr>
              <w:t>1</w:t>
            </w:r>
            <w:r>
              <w:rPr>
                <w:sz w:val="21"/>
              </w:rPr>
              <w:t> .50 </w:t>
            </w:r>
          </w:p>
        </w:tc>
        <w:tc>
          <w:tcPr>
            <w:tcW w:w="1594" w:type="dxa"/>
          </w:tcPr>
          <w:p>
            <w:pPr>
              <w:pStyle w:val="TableParagraph"/>
              <w:spacing w:before="8"/>
              <w:rPr>
                <w:b/>
                <w:sz w:val="14"/>
              </w:rPr>
            </w:pPr>
          </w:p>
          <w:p>
            <w:pPr>
              <w:pStyle w:val="TableParagraph"/>
              <w:ind w:left="110"/>
              <w:rPr>
                <w:sz w:val="21"/>
              </w:rPr>
            </w:pPr>
            <w:r>
              <w:rPr>
                <w:sz w:val="21"/>
              </w:rPr>
              <w:t>不燃性1.00 </w:t>
            </w:r>
          </w:p>
        </w:tc>
      </w:tr>
      <w:tr>
        <w:trPr>
          <w:trHeight w:val="554" w:hRule="atLeast"/>
        </w:trPr>
        <w:tc>
          <w:tcPr>
            <w:tcW w:w="3547" w:type="dxa"/>
            <w:gridSpan w:val="2"/>
          </w:tcPr>
          <w:p>
            <w:pPr>
              <w:pStyle w:val="TableParagraph"/>
              <w:spacing w:before="8"/>
              <w:rPr>
                <w:b/>
                <w:sz w:val="14"/>
              </w:rPr>
            </w:pPr>
          </w:p>
          <w:p>
            <w:pPr>
              <w:pStyle w:val="TableParagraph"/>
              <w:ind w:left="1491" w:right="1376"/>
              <w:jc w:val="center"/>
              <w:rPr>
                <w:sz w:val="21"/>
              </w:rPr>
            </w:pPr>
            <w:r>
              <w:rPr>
                <w:sz w:val="21"/>
              </w:rPr>
              <w:t>楼  板 </w:t>
            </w:r>
          </w:p>
        </w:tc>
        <w:tc>
          <w:tcPr>
            <w:tcW w:w="1706" w:type="dxa"/>
          </w:tcPr>
          <w:p>
            <w:pPr>
              <w:pStyle w:val="TableParagraph"/>
              <w:spacing w:before="8"/>
              <w:rPr>
                <w:b/>
                <w:sz w:val="14"/>
              </w:rPr>
            </w:pPr>
          </w:p>
          <w:p>
            <w:pPr>
              <w:pStyle w:val="TableParagraph"/>
              <w:ind w:left="108"/>
              <w:rPr>
                <w:sz w:val="21"/>
              </w:rPr>
            </w:pPr>
            <w:r>
              <w:rPr>
                <w:sz w:val="21"/>
              </w:rPr>
              <w:t>不燃性1.50 </w:t>
            </w:r>
          </w:p>
        </w:tc>
        <w:tc>
          <w:tcPr>
            <w:tcW w:w="1598" w:type="dxa"/>
          </w:tcPr>
          <w:p>
            <w:pPr>
              <w:pStyle w:val="TableParagraph"/>
              <w:spacing w:before="8"/>
              <w:rPr>
                <w:b/>
                <w:sz w:val="14"/>
              </w:rPr>
            </w:pPr>
          </w:p>
          <w:p>
            <w:pPr>
              <w:pStyle w:val="TableParagraph"/>
              <w:ind w:left="111"/>
              <w:rPr>
                <w:sz w:val="21"/>
              </w:rPr>
            </w:pPr>
            <w:r>
              <w:rPr>
                <w:sz w:val="21"/>
              </w:rPr>
              <w:t>不燃性1.00 </w:t>
            </w:r>
          </w:p>
        </w:tc>
        <w:tc>
          <w:tcPr>
            <w:tcW w:w="1594" w:type="dxa"/>
          </w:tcPr>
          <w:p>
            <w:pPr>
              <w:pStyle w:val="TableParagraph"/>
              <w:spacing w:before="8"/>
              <w:rPr>
                <w:b/>
                <w:sz w:val="14"/>
              </w:rPr>
            </w:pPr>
          </w:p>
          <w:p>
            <w:pPr>
              <w:pStyle w:val="TableParagraph"/>
              <w:ind w:left="110"/>
              <w:rPr>
                <w:sz w:val="21"/>
              </w:rPr>
            </w:pPr>
            <w:r>
              <w:rPr>
                <w:sz w:val="21"/>
              </w:rPr>
              <w:t>不燃性0.50 </w:t>
            </w:r>
          </w:p>
        </w:tc>
      </w:tr>
      <w:tr>
        <w:trPr>
          <w:trHeight w:val="691" w:hRule="atLeast"/>
        </w:trPr>
        <w:tc>
          <w:tcPr>
            <w:tcW w:w="3547" w:type="dxa"/>
            <w:gridSpan w:val="2"/>
          </w:tcPr>
          <w:p>
            <w:pPr>
              <w:pStyle w:val="TableParagraph"/>
              <w:spacing w:before="8"/>
              <w:rPr>
                <w:b/>
                <w:sz w:val="14"/>
              </w:rPr>
            </w:pPr>
          </w:p>
          <w:p>
            <w:pPr>
              <w:pStyle w:val="TableParagraph"/>
              <w:ind w:left="107"/>
              <w:rPr>
                <w:sz w:val="21"/>
              </w:rPr>
            </w:pPr>
            <w:r>
              <w:rPr>
                <w:sz w:val="21"/>
              </w:rPr>
              <w:t>疏散楼梯、坡道 </w:t>
            </w:r>
          </w:p>
        </w:tc>
        <w:tc>
          <w:tcPr>
            <w:tcW w:w="1706" w:type="dxa"/>
          </w:tcPr>
          <w:p>
            <w:pPr>
              <w:pStyle w:val="TableParagraph"/>
              <w:spacing w:before="8"/>
              <w:rPr>
                <w:b/>
                <w:sz w:val="14"/>
              </w:rPr>
            </w:pPr>
          </w:p>
          <w:p>
            <w:pPr>
              <w:pStyle w:val="TableParagraph"/>
              <w:ind w:left="108"/>
              <w:rPr>
                <w:sz w:val="21"/>
              </w:rPr>
            </w:pPr>
            <w:r>
              <w:rPr>
                <w:sz w:val="21"/>
              </w:rPr>
              <w:t>不燃性1.50 </w:t>
            </w:r>
          </w:p>
        </w:tc>
        <w:tc>
          <w:tcPr>
            <w:tcW w:w="1598" w:type="dxa"/>
          </w:tcPr>
          <w:p>
            <w:pPr>
              <w:pStyle w:val="TableParagraph"/>
              <w:spacing w:before="8"/>
              <w:rPr>
                <w:b/>
                <w:sz w:val="14"/>
              </w:rPr>
            </w:pPr>
          </w:p>
          <w:p>
            <w:pPr>
              <w:pStyle w:val="TableParagraph"/>
              <w:ind w:left="111"/>
              <w:rPr>
                <w:sz w:val="21"/>
              </w:rPr>
            </w:pPr>
            <w:r>
              <w:rPr>
                <w:sz w:val="21"/>
              </w:rPr>
              <w:t>不燃性1.00 </w:t>
            </w:r>
          </w:p>
        </w:tc>
        <w:tc>
          <w:tcPr>
            <w:tcW w:w="1594" w:type="dxa"/>
          </w:tcPr>
          <w:p>
            <w:pPr>
              <w:pStyle w:val="TableParagraph"/>
              <w:spacing w:before="8"/>
              <w:rPr>
                <w:b/>
                <w:sz w:val="14"/>
              </w:rPr>
            </w:pPr>
          </w:p>
          <w:p>
            <w:pPr>
              <w:pStyle w:val="TableParagraph"/>
              <w:ind w:left="110"/>
              <w:rPr>
                <w:sz w:val="21"/>
              </w:rPr>
            </w:pPr>
            <w:r>
              <w:rPr>
                <w:sz w:val="21"/>
              </w:rPr>
              <w:t>不燃性1.00 </w:t>
            </w:r>
          </w:p>
        </w:tc>
      </w:tr>
      <w:tr>
        <w:trPr>
          <w:trHeight w:val="558" w:hRule="atLeast"/>
        </w:trPr>
        <w:tc>
          <w:tcPr>
            <w:tcW w:w="3547" w:type="dxa"/>
            <w:gridSpan w:val="2"/>
          </w:tcPr>
          <w:p>
            <w:pPr>
              <w:pStyle w:val="TableParagraph"/>
              <w:spacing w:before="8"/>
              <w:rPr>
                <w:b/>
                <w:sz w:val="14"/>
              </w:rPr>
            </w:pPr>
          </w:p>
          <w:p>
            <w:pPr>
              <w:pStyle w:val="TableParagraph"/>
              <w:ind w:left="107"/>
              <w:rPr>
                <w:sz w:val="21"/>
              </w:rPr>
            </w:pPr>
            <w:r>
              <w:rPr>
                <w:sz w:val="21"/>
              </w:rPr>
              <w:t>屋顶承重构件 </w:t>
            </w:r>
          </w:p>
        </w:tc>
        <w:tc>
          <w:tcPr>
            <w:tcW w:w="1706" w:type="dxa"/>
          </w:tcPr>
          <w:p>
            <w:pPr>
              <w:pStyle w:val="TableParagraph"/>
              <w:spacing w:before="8"/>
              <w:rPr>
                <w:b/>
                <w:sz w:val="14"/>
              </w:rPr>
            </w:pPr>
          </w:p>
          <w:p>
            <w:pPr>
              <w:pStyle w:val="TableParagraph"/>
              <w:ind w:left="108"/>
              <w:rPr>
                <w:sz w:val="21"/>
              </w:rPr>
            </w:pPr>
            <w:r>
              <w:rPr>
                <w:sz w:val="21"/>
              </w:rPr>
              <w:t>不燃性1.50 </w:t>
            </w:r>
          </w:p>
        </w:tc>
        <w:tc>
          <w:tcPr>
            <w:tcW w:w="1598" w:type="dxa"/>
          </w:tcPr>
          <w:p>
            <w:pPr>
              <w:pStyle w:val="TableParagraph"/>
              <w:spacing w:before="8"/>
              <w:rPr>
                <w:b/>
                <w:sz w:val="14"/>
              </w:rPr>
            </w:pPr>
          </w:p>
          <w:p>
            <w:pPr>
              <w:pStyle w:val="TableParagraph"/>
              <w:ind w:left="111"/>
              <w:rPr>
                <w:sz w:val="21"/>
              </w:rPr>
            </w:pPr>
            <w:r>
              <w:rPr>
                <w:spacing w:val="-4"/>
                <w:sz w:val="21"/>
              </w:rPr>
              <w:t>不燃性</w:t>
            </w:r>
            <w:r>
              <w:rPr>
                <w:spacing w:val="-106"/>
                <w:sz w:val="21"/>
              </w:rPr>
              <w:t>1</w:t>
            </w:r>
            <w:r>
              <w:rPr>
                <w:sz w:val="21"/>
              </w:rPr>
              <w:t> .00 </w:t>
            </w:r>
          </w:p>
        </w:tc>
        <w:tc>
          <w:tcPr>
            <w:tcW w:w="1594" w:type="dxa"/>
          </w:tcPr>
          <w:p>
            <w:pPr>
              <w:pStyle w:val="TableParagraph"/>
              <w:spacing w:before="8"/>
              <w:rPr>
                <w:b/>
                <w:sz w:val="14"/>
              </w:rPr>
            </w:pPr>
          </w:p>
          <w:p>
            <w:pPr>
              <w:pStyle w:val="TableParagraph"/>
              <w:ind w:left="110"/>
              <w:rPr>
                <w:sz w:val="21"/>
              </w:rPr>
            </w:pPr>
            <w:r>
              <w:rPr>
                <w:sz w:val="21"/>
              </w:rPr>
              <w:t>可燃性0.50 </w:t>
            </w:r>
          </w:p>
        </w:tc>
      </w:tr>
      <w:tr>
        <w:trPr>
          <w:trHeight w:val="553" w:hRule="atLeast"/>
        </w:trPr>
        <w:tc>
          <w:tcPr>
            <w:tcW w:w="3547" w:type="dxa"/>
            <w:gridSpan w:val="2"/>
          </w:tcPr>
          <w:p>
            <w:pPr>
              <w:pStyle w:val="TableParagraph"/>
              <w:spacing w:before="8"/>
              <w:rPr>
                <w:b/>
                <w:sz w:val="14"/>
              </w:rPr>
            </w:pPr>
          </w:p>
          <w:p>
            <w:pPr>
              <w:pStyle w:val="TableParagraph"/>
              <w:ind w:left="107"/>
              <w:rPr>
                <w:sz w:val="21"/>
              </w:rPr>
            </w:pPr>
            <w:r>
              <w:rPr>
                <w:sz w:val="21"/>
              </w:rPr>
              <w:t>吊顶（包括吊顶格栅） </w:t>
            </w:r>
          </w:p>
        </w:tc>
        <w:tc>
          <w:tcPr>
            <w:tcW w:w="1706" w:type="dxa"/>
          </w:tcPr>
          <w:p>
            <w:pPr>
              <w:pStyle w:val="TableParagraph"/>
              <w:spacing w:before="8"/>
              <w:rPr>
                <w:b/>
                <w:sz w:val="14"/>
              </w:rPr>
            </w:pPr>
          </w:p>
          <w:p>
            <w:pPr>
              <w:pStyle w:val="TableParagraph"/>
              <w:ind w:left="108"/>
              <w:rPr>
                <w:sz w:val="21"/>
              </w:rPr>
            </w:pPr>
            <w:r>
              <w:rPr>
                <w:sz w:val="21"/>
              </w:rPr>
              <w:t>不燃性0.25 </w:t>
            </w:r>
          </w:p>
        </w:tc>
        <w:tc>
          <w:tcPr>
            <w:tcW w:w="1598" w:type="dxa"/>
          </w:tcPr>
          <w:p>
            <w:pPr>
              <w:pStyle w:val="TableParagraph"/>
              <w:spacing w:before="8"/>
              <w:rPr>
                <w:b/>
                <w:sz w:val="14"/>
              </w:rPr>
            </w:pPr>
          </w:p>
          <w:p>
            <w:pPr>
              <w:pStyle w:val="TableParagraph"/>
              <w:ind w:left="111"/>
              <w:rPr>
                <w:sz w:val="21"/>
              </w:rPr>
            </w:pPr>
            <w:r>
              <w:rPr>
                <w:sz w:val="21"/>
              </w:rPr>
              <w:t>不燃性0.25 </w:t>
            </w:r>
          </w:p>
        </w:tc>
        <w:tc>
          <w:tcPr>
            <w:tcW w:w="1594" w:type="dxa"/>
          </w:tcPr>
          <w:p>
            <w:pPr>
              <w:pStyle w:val="TableParagraph"/>
              <w:spacing w:before="8"/>
              <w:rPr>
                <w:b/>
                <w:sz w:val="14"/>
              </w:rPr>
            </w:pPr>
          </w:p>
          <w:p>
            <w:pPr>
              <w:pStyle w:val="TableParagraph"/>
              <w:ind w:left="110"/>
              <w:rPr>
                <w:sz w:val="21"/>
              </w:rPr>
            </w:pPr>
            <w:r>
              <w:rPr>
                <w:sz w:val="21"/>
              </w:rPr>
              <w:t>难燃性0.15 </w:t>
            </w:r>
          </w:p>
        </w:tc>
      </w:tr>
    </w:tbl>
    <w:p>
      <w:pPr>
        <w:pStyle w:val="BodyText"/>
        <w:rPr>
          <w:b/>
          <w:sz w:val="9"/>
        </w:rPr>
      </w:pPr>
    </w:p>
    <w:p>
      <w:pPr>
        <w:pStyle w:val="BodyText"/>
        <w:spacing w:line="436" w:lineRule="auto" w:before="72"/>
        <w:ind w:left="418" w:right="1436" w:firstLine="427"/>
      </w:pPr>
      <w:r>
        <w:rPr>
          <w:spacing w:val="-9"/>
        </w:rPr>
        <w:t>注：预制钢筋混凝土构件的节点缝隙或金属承重构件的外露部位应加设防火保护层，其耐火</w:t>
      </w:r>
      <w:r>
        <w:rPr>
          <w:spacing w:val="7"/>
        </w:rPr>
        <w:t>极限</w:t>
      </w:r>
      <w:r>
        <w:rPr>
          <w:spacing w:val="-2"/>
          <w:position w:val="1"/>
        </w:rPr>
        <w:t>不应低于表中相 </w:t>
      </w:r>
      <w:r>
        <w:rPr>
          <w:spacing w:val="-3"/>
        </w:rPr>
        <w:t>应构件的规定。 </w:t>
      </w:r>
    </w:p>
    <w:p>
      <w:pPr>
        <w:pStyle w:val="ListParagraph"/>
        <w:numPr>
          <w:ilvl w:val="1"/>
          <w:numId w:val="768"/>
        </w:numPr>
        <w:tabs>
          <w:tab w:pos="1159" w:val="left" w:leader="none"/>
        </w:tabs>
        <w:spacing w:line="240" w:lineRule="auto" w:before="11" w:after="0"/>
        <w:ind w:left="1158" w:right="0" w:hanging="319"/>
        <w:jc w:val="left"/>
        <w:rPr>
          <w:b/>
          <w:sz w:val="21"/>
        </w:rPr>
      </w:pPr>
      <w:r>
        <w:rPr>
          <w:spacing w:val="-8"/>
          <w:sz w:val="21"/>
        </w:rPr>
        <w:t>汽车库和修车库的耐火等级应符合下列规定：</w:t>
      </w:r>
      <w:r>
        <w:rPr>
          <w:b/>
          <w:w w:val="99"/>
          <w:sz w:val="21"/>
        </w:rPr>
        <w:t> </w:t>
      </w:r>
    </w:p>
    <w:p>
      <w:pPr>
        <w:pStyle w:val="BodyText"/>
        <w:rPr>
          <w:b/>
          <w:sz w:val="18"/>
        </w:rPr>
      </w:pPr>
    </w:p>
    <w:p>
      <w:pPr>
        <w:pStyle w:val="BodyText"/>
        <w:ind w:left="838"/>
        <w:rPr>
          <w:b/>
        </w:rPr>
      </w:pPr>
      <w:r>
        <w:rPr/>
        <w:t>地下、半地下和高层汽车库应为一级。</w:t>
      </w:r>
      <w:r>
        <w:rPr>
          <w:b/>
          <w:w w:val="99"/>
        </w:rPr>
        <w:t> </w:t>
      </w:r>
    </w:p>
    <w:p>
      <w:pPr>
        <w:pStyle w:val="BodyText"/>
        <w:rPr>
          <w:b/>
          <w:sz w:val="18"/>
        </w:rPr>
      </w:pPr>
    </w:p>
    <w:p>
      <w:pPr>
        <w:pStyle w:val="BodyText"/>
        <w:spacing w:line="446" w:lineRule="auto"/>
        <w:ind w:left="838" w:right="2951"/>
        <w:rPr>
          <w:b/>
        </w:rPr>
      </w:pPr>
      <w:r>
        <w:rPr>
          <w:spacing w:val="-14"/>
        </w:rPr>
        <w:t>甲、乙类物品运输车的汽车库、修车库和Ⅰ类汽车库、修车库，应为一级； </w:t>
      </w:r>
      <w:r>
        <w:rPr>
          <w:spacing w:val="-8"/>
        </w:rPr>
        <w:t>Ⅱ、Ⅲ类汽车库、修车库的耐火等级不应低于二级。</w:t>
      </w:r>
      <w:r>
        <w:rPr>
          <w:b/>
          <w:spacing w:val="-8"/>
          <w:w w:val="99"/>
        </w:rPr>
        <w:t> </w:t>
      </w:r>
    </w:p>
    <w:p>
      <w:pPr>
        <w:pStyle w:val="BodyText"/>
        <w:ind w:left="830"/>
        <w:rPr>
          <w:b/>
        </w:rPr>
      </w:pPr>
      <w:r>
        <w:rPr>
          <w:w w:val="100"/>
        </w:rPr>
        <w:t> </w:t>
      </w:r>
      <w:r>
        <w:rPr/>
        <w:t>Ⅳ类汽车库、修车库的耐火等级不应低于三级。 </w:t>
      </w:r>
      <w:r>
        <w:rPr>
          <w:b/>
          <w:w w:val="99"/>
        </w:rPr>
        <w:t> </w:t>
      </w:r>
    </w:p>
    <w:p>
      <w:pPr>
        <w:pStyle w:val="BodyText"/>
        <w:spacing w:before="7"/>
        <w:rPr>
          <w:b/>
          <w:sz w:val="15"/>
        </w:rPr>
      </w:pPr>
    </w:p>
    <w:p>
      <w:pPr>
        <w:pStyle w:val="Heading4"/>
        <w:spacing w:before="1"/>
      </w:pPr>
      <w:r>
        <w:rPr/>
        <w:t>4 总平面布局和平面布置</w:t>
      </w:r>
      <w:r>
        <w:rPr>
          <w:w w:val="99"/>
        </w:rPr>
        <w:t> </w:t>
      </w:r>
    </w:p>
    <w:p>
      <w:pPr>
        <w:pStyle w:val="BodyText"/>
        <w:spacing w:before="6"/>
        <w:rPr>
          <w:b/>
          <w:sz w:val="17"/>
        </w:rPr>
      </w:pPr>
    </w:p>
    <w:p>
      <w:pPr>
        <w:pStyle w:val="ListParagraph"/>
        <w:numPr>
          <w:ilvl w:val="1"/>
          <w:numId w:val="770"/>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770"/>
        </w:numPr>
        <w:tabs>
          <w:tab w:pos="1371" w:val="left" w:leader="none"/>
        </w:tabs>
        <w:spacing w:line="446" w:lineRule="auto" w:before="0" w:after="0"/>
        <w:ind w:left="418" w:right="1604" w:firstLine="422"/>
        <w:jc w:val="left"/>
        <w:rPr>
          <w:sz w:val="21"/>
        </w:rPr>
      </w:pPr>
      <w:r>
        <w:rPr>
          <w:spacing w:val="-3"/>
          <w:sz w:val="21"/>
        </w:rPr>
        <w:t>汽车库、修车库、停车场的选址和总平面设计，应根据城市规划要求，合理确定汽车库、修车库、停车场的位置、防火间距、消防车道和消防水源等。</w:t>
      </w:r>
      <w:r>
        <w:rPr>
          <w:sz w:val="21"/>
        </w:rPr>
        <w:t> </w:t>
      </w:r>
    </w:p>
    <w:p>
      <w:pPr>
        <w:pStyle w:val="ListParagraph"/>
        <w:numPr>
          <w:ilvl w:val="2"/>
          <w:numId w:val="770"/>
        </w:numPr>
        <w:tabs>
          <w:tab w:pos="1370" w:val="left" w:leader="none"/>
        </w:tabs>
        <w:spacing w:line="446" w:lineRule="auto" w:before="1" w:after="0"/>
        <w:ind w:left="418" w:right="1604" w:firstLine="422"/>
        <w:jc w:val="left"/>
        <w:rPr>
          <w:sz w:val="21"/>
        </w:rPr>
      </w:pPr>
      <w:r>
        <w:rPr>
          <w:spacing w:val="-3"/>
          <w:sz w:val="21"/>
        </w:rPr>
        <w:t>汽车库、修车库、停车场不应布置在易燃、可燃液体或可燃气体的生产装置区和贮存区内。</w:t>
      </w:r>
      <w:r>
        <w:rPr>
          <w:sz w:val="21"/>
        </w:rPr>
        <w:t> </w:t>
      </w:r>
    </w:p>
    <w:p>
      <w:pPr>
        <w:pStyle w:val="ListParagraph"/>
        <w:numPr>
          <w:ilvl w:val="2"/>
          <w:numId w:val="770"/>
        </w:numPr>
        <w:tabs>
          <w:tab w:pos="1370" w:val="left" w:leader="none"/>
        </w:tabs>
        <w:spacing w:line="267" w:lineRule="exact" w:before="0" w:after="0"/>
        <w:ind w:left="1369" w:right="0" w:hanging="530"/>
        <w:jc w:val="left"/>
        <w:rPr>
          <w:sz w:val="21"/>
        </w:rPr>
      </w:pPr>
      <w:r>
        <w:rPr>
          <w:spacing w:val="-3"/>
          <w:sz w:val="21"/>
        </w:rPr>
        <w:t>汽车库不应与火灾危险性为甲、乙类的厂房、仓库贴邻或组合建造。  </w:t>
      </w:r>
      <w:r>
        <w:rPr>
          <w:spacing w:val="-3"/>
          <w:w w:val="100"/>
          <w:sz w:val="21"/>
        </w:rPr>
        <w:t> </w:t>
      </w:r>
    </w:p>
    <w:p>
      <w:pPr>
        <w:pStyle w:val="BodyText"/>
        <w:spacing w:before="1"/>
        <w:rPr>
          <w:sz w:val="18"/>
        </w:rPr>
      </w:pPr>
    </w:p>
    <w:p>
      <w:pPr>
        <w:pStyle w:val="ListParagraph"/>
        <w:numPr>
          <w:ilvl w:val="2"/>
          <w:numId w:val="770"/>
        </w:numPr>
        <w:tabs>
          <w:tab w:pos="1370" w:val="left" w:leader="none"/>
        </w:tabs>
        <w:spacing w:line="446" w:lineRule="auto" w:before="1" w:after="0"/>
        <w:ind w:left="418" w:right="1604" w:firstLine="422"/>
        <w:jc w:val="both"/>
        <w:rPr>
          <w:sz w:val="21"/>
        </w:rPr>
      </w:pPr>
      <w:r>
        <w:rPr>
          <w:spacing w:val="-3"/>
          <w:sz w:val="21"/>
        </w:rPr>
        <w:t>汽车库不应与托儿所、幼儿园、老年人建筑，中小学校的教学楼，病房楼等组合建造。当符合下列要求时，汽车库可设置在托儿所、幼儿园、老年人建筑，中小学校的教学楼， 病房楼等的地下部分：</w:t>
      </w:r>
      <w:r>
        <w:rPr>
          <w:sz w:val="21"/>
        </w:rPr>
        <w:t> </w:t>
      </w:r>
    </w:p>
    <w:p>
      <w:pPr>
        <w:pStyle w:val="BodyText"/>
        <w:spacing w:line="268" w:lineRule="exact"/>
        <w:ind w:left="838"/>
      </w:pPr>
      <w:r>
        <w:rPr/>
        <w:t>汽车库与托儿所、幼儿园、老年人建筑，中小学校的教学楼，病房楼等建筑之间，应采用</w:t>
      </w:r>
    </w:p>
    <w:p>
      <w:pPr>
        <w:spacing w:after="0" w:line="268" w:lineRule="exact"/>
        <w:sectPr>
          <w:pgSz w:w="11910" w:h="16850"/>
          <w:pgMar w:header="0" w:footer="1239" w:top="1080" w:bottom="1420" w:left="1260" w:right="0"/>
        </w:sectPr>
      </w:pPr>
    </w:p>
    <w:p>
      <w:pPr>
        <w:pStyle w:val="BodyText"/>
        <w:spacing w:before="47"/>
        <w:ind w:left="418"/>
      </w:pPr>
      <w:r>
        <w:rPr/>
        <w:t>耐火极限不低于 2.00h 的楼板完全分隔； </w:t>
      </w:r>
    </w:p>
    <w:p>
      <w:pPr>
        <w:pStyle w:val="BodyText"/>
        <w:rPr>
          <w:sz w:val="18"/>
        </w:rPr>
      </w:pPr>
    </w:p>
    <w:p>
      <w:pPr>
        <w:pStyle w:val="BodyText"/>
        <w:spacing w:line="446" w:lineRule="auto"/>
        <w:ind w:left="418" w:right="1609" w:firstLine="419"/>
      </w:pPr>
      <w:r>
        <w:rPr/>
        <w:t>汽车库与托儿所、幼儿园、老年人建筑，中小学校的教学楼，病房楼等的安全出口和疏散楼梯应分别独立设置。 </w:t>
      </w:r>
    </w:p>
    <w:p>
      <w:pPr>
        <w:pStyle w:val="ListParagraph"/>
        <w:numPr>
          <w:ilvl w:val="2"/>
          <w:numId w:val="770"/>
        </w:numPr>
        <w:tabs>
          <w:tab w:pos="1371" w:val="left" w:leader="none"/>
        </w:tabs>
        <w:spacing w:line="446" w:lineRule="auto" w:before="0" w:after="0"/>
        <w:ind w:left="418" w:right="1604" w:firstLine="422"/>
        <w:jc w:val="left"/>
        <w:rPr>
          <w:sz w:val="21"/>
        </w:rPr>
      </w:pPr>
      <w:r>
        <w:rPr>
          <w:spacing w:val="-3"/>
          <w:sz w:val="21"/>
        </w:rPr>
        <w:t>甲、乙类物品运输车的汽车库、修车库应为单层建筑，且应独立建造。当停车数量</w:t>
      </w:r>
      <w:r>
        <w:rPr>
          <w:spacing w:val="-15"/>
          <w:sz w:val="21"/>
        </w:rPr>
        <w:t>不大于 </w:t>
      </w:r>
      <w:r>
        <w:rPr>
          <w:sz w:val="21"/>
        </w:rPr>
        <w:t>3</w:t>
      </w:r>
      <w:r>
        <w:rPr>
          <w:spacing w:val="-9"/>
          <w:sz w:val="21"/>
        </w:rPr>
        <w:t> 辆时，可与一、二级耐火等级的Ⅳ类汽车库贴邻，但应采用防火墙隔开。 </w:t>
      </w:r>
    </w:p>
    <w:p>
      <w:pPr>
        <w:pStyle w:val="ListParagraph"/>
        <w:numPr>
          <w:ilvl w:val="2"/>
          <w:numId w:val="770"/>
        </w:numPr>
        <w:tabs>
          <w:tab w:pos="1371" w:val="left" w:leader="none"/>
        </w:tabs>
        <w:spacing w:line="446" w:lineRule="auto" w:before="0" w:after="0"/>
        <w:ind w:left="418" w:right="1604" w:firstLine="422"/>
        <w:jc w:val="both"/>
        <w:rPr>
          <w:sz w:val="21"/>
        </w:rPr>
      </w:pPr>
      <w:r>
        <w:rPr>
          <w:spacing w:val="-3"/>
          <w:sz w:val="21"/>
        </w:rPr>
        <w:t>Ⅰ类修车库应单独建造；Ⅱ、Ⅲ、Ⅳ类修车库可设置在一、二级耐火等级建筑的首层或与其贴邻，但不得与甲、乙类厂房、仓库、明火作业的车间或托儿所、幼儿园、中小学校的教学楼、老年人建筑、病房楼及人员密集场所组合建造或贴邻。</w:t>
      </w:r>
      <w:r>
        <w:rPr>
          <w:sz w:val="21"/>
        </w:rPr>
        <w:t> </w:t>
      </w:r>
    </w:p>
    <w:p>
      <w:pPr>
        <w:pStyle w:val="ListParagraph"/>
        <w:numPr>
          <w:ilvl w:val="2"/>
          <w:numId w:val="770"/>
        </w:numPr>
        <w:tabs>
          <w:tab w:pos="1370" w:val="left" w:leader="none"/>
        </w:tabs>
        <w:spacing w:line="446" w:lineRule="auto" w:before="0" w:after="0"/>
        <w:ind w:left="418" w:right="1604" w:firstLine="422"/>
        <w:jc w:val="left"/>
        <w:rPr>
          <w:sz w:val="21"/>
        </w:rPr>
      </w:pPr>
      <w:r>
        <w:rPr>
          <w:spacing w:val="-3"/>
          <w:sz w:val="21"/>
        </w:rPr>
        <w:t>为汽车库、修车库服务的下列附属建筑，可与汽车库、修车库贴邻，但应采用防火墙隔开，并应设置直通室外的安全出口：</w:t>
      </w:r>
      <w:r>
        <w:rPr>
          <w:sz w:val="21"/>
        </w:rPr>
        <w:t> </w:t>
      </w:r>
    </w:p>
    <w:p>
      <w:pPr>
        <w:pStyle w:val="BodyText"/>
        <w:ind w:left="838"/>
      </w:pPr>
      <w:r>
        <w:rPr/>
        <w:t>贮存量不超过 1.0t 的甲类物品库房； </w:t>
      </w:r>
    </w:p>
    <w:p>
      <w:pPr>
        <w:pStyle w:val="BodyText"/>
        <w:spacing w:before="12"/>
        <w:rPr>
          <w:sz w:val="16"/>
        </w:rPr>
      </w:pPr>
    </w:p>
    <w:p>
      <w:pPr>
        <w:pStyle w:val="BodyText"/>
        <w:spacing w:line="446" w:lineRule="auto"/>
        <w:ind w:left="838" w:right="1556"/>
      </w:pPr>
      <w:r>
        <w:rPr>
          <w:spacing w:val="-7"/>
        </w:rPr>
        <w:t>总安装容量不大于 </w:t>
      </w:r>
      <w:r>
        <w:rPr/>
        <w:t>5.0m</w:t>
      </w:r>
      <w:r>
        <w:rPr>
          <w:position w:val="11"/>
          <w:sz w:val="11"/>
        </w:rPr>
        <w:t>3</w:t>
      </w:r>
      <w:r>
        <w:rPr/>
        <w:t>/h</w:t>
      </w:r>
      <w:r>
        <w:rPr>
          <w:spacing w:val="-10"/>
        </w:rPr>
        <w:t> 的乙炔发生器间和贮存量不超过 </w:t>
      </w:r>
      <w:r>
        <w:rPr/>
        <w:t>5</w:t>
      </w:r>
      <w:r>
        <w:rPr>
          <w:spacing w:val="-8"/>
        </w:rPr>
        <w:t> 个标准钢瓶的乙炔气瓶库； </w:t>
      </w:r>
      <w:r>
        <w:rPr/>
        <w:t>1</w:t>
      </w:r>
      <w:r>
        <w:rPr>
          <w:spacing w:val="-12"/>
        </w:rPr>
        <w:t> 个车位的非封闭喷漆间或不大于 </w:t>
      </w:r>
      <w:r>
        <w:rPr/>
        <w:t>2</w:t>
      </w:r>
      <w:r>
        <w:rPr>
          <w:spacing w:val="-8"/>
        </w:rPr>
        <w:t> 个车位的封闭喷漆间；</w:t>
      </w:r>
      <w:r>
        <w:rPr/>
        <w:t> </w:t>
      </w:r>
    </w:p>
    <w:p>
      <w:pPr>
        <w:pStyle w:val="BodyText"/>
        <w:spacing w:line="269" w:lineRule="exact"/>
        <w:ind w:left="838"/>
      </w:pPr>
      <w:r>
        <w:rPr/>
        <w:t>建筑面积不大于 200m</w:t>
      </w:r>
      <w:r>
        <w:rPr>
          <w:position w:val="11"/>
          <w:sz w:val="11"/>
        </w:rPr>
        <w:t>2 </w:t>
      </w:r>
      <w:r>
        <w:rPr/>
        <w:t>的充电间和其他甲类生产场所。 </w:t>
      </w:r>
    </w:p>
    <w:p>
      <w:pPr>
        <w:pStyle w:val="BodyText"/>
        <w:spacing w:before="12"/>
        <w:rPr>
          <w:sz w:val="17"/>
        </w:rPr>
      </w:pPr>
    </w:p>
    <w:p>
      <w:pPr>
        <w:pStyle w:val="ListParagraph"/>
        <w:numPr>
          <w:ilvl w:val="2"/>
          <w:numId w:val="770"/>
        </w:numPr>
        <w:tabs>
          <w:tab w:pos="1370" w:val="left" w:leader="none"/>
        </w:tabs>
        <w:spacing w:line="446" w:lineRule="auto" w:before="0" w:after="0"/>
        <w:ind w:left="418" w:right="1604" w:firstLine="422"/>
        <w:jc w:val="left"/>
        <w:rPr>
          <w:sz w:val="21"/>
        </w:rPr>
      </w:pPr>
      <w:r>
        <w:rPr>
          <w:spacing w:val="-3"/>
          <w:sz w:val="21"/>
        </w:rPr>
        <w:t>地下、半地下汽车库内不应设置修理车位、喷漆间、充电间、乙炔间和甲、乙类物品库房。</w:t>
      </w:r>
      <w:r>
        <w:rPr>
          <w:sz w:val="21"/>
        </w:rPr>
        <w:t> </w:t>
      </w:r>
    </w:p>
    <w:p>
      <w:pPr>
        <w:pStyle w:val="ListParagraph"/>
        <w:numPr>
          <w:ilvl w:val="2"/>
          <w:numId w:val="770"/>
        </w:numPr>
        <w:tabs>
          <w:tab w:pos="1370" w:val="left" w:leader="none"/>
        </w:tabs>
        <w:spacing w:line="446" w:lineRule="auto" w:before="0" w:after="0"/>
        <w:ind w:left="418" w:right="1604" w:firstLine="422"/>
        <w:jc w:val="left"/>
        <w:rPr>
          <w:sz w:val="21"/>
        </w:rPr>
      </w:pPr>
      <w:r>
        <w:rPr>
          <w:spacing w:val="-3"/>
          <w:sz w:val="21"/>
        </w:rPr>
        <w:t>汽车库和修车库内不应设置汽油罐、加油机、液化石油气或液化天然气储罐、加气机。</w:t>
      </w:r>
      <w:r>
        <w:rPr>
          <w:sz w:val="21"/>
        </w:rPr>
        <w:t> </w:t>
      </w:r>
    </w:p>
    <w:p>
      <w:pPr>
        <w:pStyle w:val="ListParagraph"/>
        <w:numPr>
          <w:ilvl w:val="2"/>
          <w:numId w:val="770"/>
        </w:numPr>
        <w:tabs>
          <w:tab w:pos="1478" w:val="left" w:leader="none"/>
        </w:tabs>
        <w:spacing w:line="240" w:lineRule="auto" w:before="0" w:after="0"/>
        <w:ind w:left="1477" w:right="0" w:hanging="638"/>
        <w:jc w:val="left"/>
        <w:rPr>
          <w:sz w:val="21"/>
        </w:rPr>
      </w:pPr>
      <w:r>
        <w:rPr>
          <w:spacing w:val="-3"/>
          <w:sz w:val="21"/>
        </w:rPr>
        <w:t>停放易燃液体、液化石油气罐车的汽车库内，不得设置地下室和地沟。 </w:t>
      </w:r>
    </w:p>
    <w:p>
      <w:pPr>
        <w:pStyle w:val="BodyText"/>
        <w:rPr>
          <w:sz w:val="18"/>
        </w:rPr>
      </w:pPr>
    </w:p>
    <w:p>
      <w:pPr>
        <w:pStyle w:val="ListParagraph"/>
        <w:numPr>
          <w:ilvl w:val="2"/>
          <w:numId w:val="770"/>
        </w:numPr>
        <w:tabs>
          <w:tab w:pos="1478" w:val="left" w:leader="none"/>
        </w:tabs>
        <w:spacing w:line="446" w:lineRule="auto" w:before="0" w:after="0"/>
        <w:ind w:left="418" w:right="1608" w:firstLine="422"/>
        <w:jc w:val="left"/>
        <w:rPr>
          <w:sz w:val="21"/>
        </w:rPr>
      </w:pPr>
      <w:r>
        <w:rPr>
          <w:spacing w:val="-3"/>
          <w:sz w:val="21"/>
        </w:rPr>
        <w:t>燃油或燃气锅炉、油浸变压器、充有可燃油的高压电容器和多油开关等，不应设置在汽车库、修车库内。当受条件限制必须贴邻汽车库、修车库布置时，应符合现行国家标准</w:t>
      </w:r>
    </w:p>
    <w:p>
      <w:pPr>
        <w:pStyle w:val="BodyText"/>
        <w:ind w:left="418"/>
      </w:pPr>
      <w:r>
        <w:rPr/>
        <w:t>《建筑设计防火规范》GB 50016 的有关规定。 </w:t>
      </w:r>
    </w:p>
    <w:p>
      <w:pPr>
        <w:pStyle w:val="BodyText"/>
        <w:spacing w:before="12"/>
        <w:rPr>
          <w:sz w:val="17"/>
        </w:rPr>
      </w:pPr>
    </w:p>
    <w:p>
      <w:pPr>
        <w:pStyle w:val="ListParagraph"/>
        <w:numPr>
          <w:ilvl w:val="2"/>
          <w:numId w:val="770"/>
        </w:numPr>
        <w:tabs>
          <w:tab w:pos="1478" w:val="left" w:leader="none"/>
        </w:tabs>
        <w:spacing w:line="240" w:lineRule="auto" w:before="0" w:after="0"/>
        <w:ind w:left="1477" w:right="0" w:hanging="638"/>
        <w:jc w:val="left"/>
        <w:rPr>
          <w:sz w:val="21"/>
        </w:rPr>
      </w:pPr>
      <w:r>
        <w:rPr>
          <w:spacing w:val="-3"/>
          <w:sz w:val="21"/>
        </w:rPr>
        <w:t>Ⅰ、Ⅱ类汽车库、停车场宜设置耐火等级不低于二级的灭火器材间。 </w:t>
      </w:r>
    </w:p>
    <w:p>
      <w:pPr>
        <w:pStyle w:val="BodyText"/>
        <w:rPr>
          <w:sz w:val="18"/>
        </w:rPr>
      </w:pPr>
    </w:p>
    <w:p>
      <w:pPr>
        <w:pStyle w:val="ListParagraph"/>
        <w:numPr>
          <w:ilvl w:val="1"/>
          <w:numId w:val="770"/>
        </w:numPr>
        <w:tabs>
          <w:tab w:pos="1160" w:val="left" w:leader="none"/>
        </w:tabs>
        <w:spacing w:line="240" w:lineRule="auto" w:before="0" w:after="0"/>
        <w:ind w:left="1159" w:right="0" w:hanging="320"/>
        <w:jc w:val="left"/>
        <w:rPr>
          <w:sz w:val="21"/>
        </w:rPr>
      </w:pPr>
      <w:r>
        <w:rPr>
          <w:spacing w:val="-3"/>
          <w:sz w:val="21"/>
        </w:rPr>
        <w:t>防火间距</w:t>
      </w:r>
      <w:r>
        <w:rPr>
          <w:sz w:val="21"/>
        </w:rPr>
        <w:t> </w:t>
      </w:r>
    </w:p>
    <w:p>
      <w:pPr>
        <w:pStyle w:val="BodyText"/>
        <w:spacing w:before="2"/>
        <w:rPr>
          <w:sz w:val="18"/>
        </w:rPr>
      </w:pPr>
    </w:p>
    <w:p>
      <w:pPr>
        <w:pStyle w:val="ListParagraph"/>
        <w:numPr>
          <w:ilvl w:val="2"/>
          <w:numId w:val="770"/>
        </w:numPr>
        <w:tabs>
          <w:tab w:pos="1371" w:val="left" w:leader="none"/>
        </w:tabs>
        <w:spacing w:line="446" w:lineRule="auto" w:before="0" w:after="0"/>
        <w:ind w:left="418" w:right="1609" w:firstLine="422"/>
        <w:jc w:val="left"/>
        <w:rPr>
          <w:sz w:val="21"/>
        </w:rPr>
      </w:pPr>
      <w:r>
        <w:rPr>
          <w:spacing w:val="-3"/>
          <w:sz w:val="21"/>
        </w:rPr>
        <w:t>除本规范另有规定外，汽车库、修车库、停车场之间及汽车库、修车库、停车场与</w:t>
      </w:r>
      <w:r>
        <w:rPr>
          <w:spacing w:val="-5"/>
          <w:sz w:val="21"/>
        </w:rPr>
        <w:t>除甲类物品仓库外的其他建筑物的防火间距，不应小于表 </w:t>
      </w:r>
      <w:r>
        <w:rPr>
          <w:sz w:val="21"/>
        </w:rPr>
        <w:t>4.2.1</w:t>
      </w:r>
      <w:r>
        <w:rPr>
          <w:spacing w:val="-7"/>
          <w:sz w:val="21"/>
        </w:rPr>
        <w:t> 的规定。其中，高层汽车库与</w:t>
      </w:r>
      <w:r>
        <w:rPr>
          <w:spacing w:val="-6"/>
          <w:sz w:val="21"/>
        </w:rPr>
        <w:t>其他建筑物，汽车库、修车库与高层建筑的防火间距应按表 </w:t>
      </w:r>
      <w:r>
        <w:rPr>
          <w:sz w:val="21"/>
        </w:rPr>
        <w:t>4.2.1</w:t>
      </w:r>
      <w:r>
        <w:rPr>
          <w:spacing w:val="-15"/>
          <w:sz w:val="21"/>
        </w:rPr>
        <w:t> 的规定值增加 </w:t>
      </w:r>
      <w:r>
        <w:rPr>
          <w:sz w:val="21"/>
        </w:rPr>
        <w:t>3m</w:t>
      </w:r>
      <w:r>
        <w:rPr>
          <w:spacing w:val="-2"/>
          <w:sz w:val="21"/>
        </w:rPr>
        <w:t>；汽车库</w:t>
      </w:r>
      <w:r>
        <w:rPr>
          <w:spacing w:val="-6"/>
          <w:sz w:val="21"/>
        </w:rPr>
        <w:t>、修车库与甲类厂房的防火间距应按表 </w:t>
      </w:r>
      <w:r>
        <w:rPr>
          <w:sz w:val="21"/>
        </w:rPr>
        <w:t>4.2.1</w:t>
      </w:r>
      <w:r>
        <w:rPr>
          <w:spacing w:val="-17"/>
          <w:sz w:val="21"/>
        </w:rPr>
        <w:t> 的规定值增加 </w:t>
      </w:r>
      <w:r>
        <w:rPr>
          <w:sz w:val="21"/>
        </w:rPr>
        <w:t>2m</w:t>
      </w:r>
      <w:r>
        <w:rPr>
          <w:spacing w:val="-3"/>
          <w:sz w:val="21"/>
        </w:rPr>
        <w:t>。</w:t>
      </w:r>
      <w:r>
        <w:rPr>
          <w:sz w:val="21"/>
        </w:rPr>
        <w:t> </w:t>
      </w:r>
    </w:p>
    <w:p>
      <w:pPr>
        <w:spacing w:after="0" w:line="446" w:lineRule="auto"/>
        <w:jc w:val="left"/>
        <w:rPr>
          <w:sz w:val="21"/>
        </w:rPr>
        <w:sectPr>
          <w:pgSz w:w="11910" w:h="16850"/>
          <w:pgMar w:header="0" w:footer="1239" w:top="1220" w:bottom="1420" w:left="1260" w:right="0"/>
        </w:sectPr>
      </w:pPr>
    </w:p>
    <w:p>
      <w:pPr>
        <w:pStyle w:val="BodyText"/>
        <w:ind w:left="463"/>
        <w:rPr>
          <w:sz w:val="20"/>
        </w:rPr>
      </w:pPr>
      <w:r>
        <w:rPr>
          <w:sz w:val="20"/>
        </w:rPr>
        <w:drawing>
          <wp:inline distT="0" distB="0" distL="0" distR="0">
            <wp:extent cx="5419725" cy="1533525"/>
            <wp:effectExtent l="0" t="0" r="0" b="0"/>
            <wp:docPr id="601" name="image347.jpeg"/>
            <wp:cNvGraphicFramePr>
              <a:graphicFrameLocks noChangeAspect="1"/>
            </wp:cNvGraphicFramePr>
            <a:graphic>
              <a:graphicData uri="http://schemas.openxmlformats.org/drawingml/2006/picture">
                <pic:pic>
                  <pic:nvPicPr>
                    <pic:cNvPr id="602" name="image347.jpeg"/>
                    <pic:cNvPicPr/>
                  </pic:nvPicPr>
                  <pic:blipFill>
                    <a:blip r:embed="rId420" cstate="print"/>
                    <a:stretch>
                      <a:fillRect/>
                    </a:stretch>
                  </pic:blipFill>
                  <pic:spPr>
                    <a:xfrm>
                      <a:off x="0" y="0"/>
                      <a:ext cx="5419725" cy="1533525"/>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p>
    <w:p>
      <w:pPr>
        <w:pStyle w:val="BodyText"/>
        <w:spacing w:line="446" w:lineRule="auto" w:before="71"/>
        <w:ind w:left="418" w:right="1609" w:firstLine="419"/>
      </w:pPr>
      <w:r>
        <w:rPr/>
        <w:t>注：1.防火间距应按相邻建筑物外墙的最近距离算起，如外墙有凸出的可燃物构件时，则应从其凸出部分外缘算起，停车场从靠近建筑物的最近停车位置边缘算起。 </w:t>
      </w:r>
    </w:p>
    <w:p>
      <w:pPr>
        <w:pStyle w:val="BodyText"/>
        <w:spacing w:line="446" w:lineRule="auto"/>
        <w:ind w:left="418" w:right="1707" w:firstLine="419"/>
      </w:pPr>
      <w:r>
        <w:rPr/>
        <w:t>2.厂房、仓库的火灾危险性分类应符合现行国家标准《建筑设计防火规范》GB 50016 的有关规定。 </w:t>
      </w:r>
    </w:p>
    <w:p>
      <w:pPr>
        <w:pStyle w:val="ListParagraph"/>
        <w:numPr>
          <w:ilvl w:val="2"/>
          <w:numId w:val="770"/>
        </w:numPr>
        <w:tabs>
          <w:tab w:pos="1371" w:val="left" w:leader="none"/>
        </w:tabs>
        <w:spacing w:line="446" w:lineRule="auto" w:before="0" w:after="0"/>
        <w:ind w:left="418" w:right="1604" w:firstLine="422"/>
        <w:jc w:val="left"/>
        <w:rPr>
          <w:sz w:val="21"/>
        </w:rPr>
      </w:pPr>
      <w:r>
        <w:rPr>
          <w:spacing w:val="-3"/>
          <w:sz w:val="21"/>
        </w:rPr>
        <w:t>汽车库、修车库之间或汽车库、修车库与其他建筑之间的防火间距可适当减少，但应符合下列规定：</w:t>
      </w:r>
      <w:r>
        <w:rPr>
          <w:sz w:val="21"/>
        </w:rPr>
        <w:t> </w:t>
      </w:r>
    </w:p>
    <w:p>
      <w:pPr>
        <w:pStyle w:val="BodyText"/>
        <w:spacing w:line="446" w:lineRule="auto"/>
        <w:ind w:left="418" w:right="1608" w:firstLine="419"/>
      </w:pPr>
      <w:r>
        <w:rPr>
          <w:spacing w:val="-3"/>
        </w:rPr>
        <w:t>当两座建筑相邻较高一面外墙为无门、窗、洞口的防火墙或当较高一面外墙比较低一座 </w:t>
      </w:r>
      <w:r>
        <w:rPr>
          <w:spacing w:val="-6"/>
        </w:rPr>
        <w:t>一、二级耐火等级建筑屋面高 </w:t>
      </w:r>
      <w:r>
        <w:rPr/>
        <w:t>15m</w:t>
      </w:r>
      <w:r>
        <w:rPr>
          <w:spacing w:val="-7"/>
        </w:rPr>
        <w:t> 及以下范围内的外墙为无门、窗、洞口的防火墙时，其防火</w:t>
      </w:r>
      <w:r>
        <w:rPr>
          <w:spacing w:val="-5"/>
        </w:rPr>
        <w:t>间距可不限；</w:t>
      </w:r>
      <w:r>
        <w:rPr/>
        <w:t> </w:t>
      </w:r>
    </w:p>
    <w:p>
      <w:pPr>
        <w:pStyle w:val="BodyText"/>
        <w:spacing w:line="446" w:lineRule="auto"/>
        <w:ind w:left="418" w:right="1609" w:firstLine="419"/>
      </w:pPr>
      <w:r>
        <w:rPr/>
        <w:t>当两座建筑相邻较高一面外墙上，同较低建筑等高的以下范围内的墙为无门、窗、洞口的防火墙时，其防火间距可按本规范表 4.2.1 的规定值减小 50％； </w:t>
      </w:r>
    </w:p>
    <w:p>
      <w:pPr>
        <w:pStyle w:val="BodyText"/>
        <w:spacing w:line="446" w:lineRule="auto"/>
        <w:ind w:left="418" w:right="1609" w:firstLine="419"/>
        <w:jc w:val="both"/>
      </w:pPr>
      <w:r>
        <w:rPr>
          <w:spacing w:val="-5"/>
        </w:rPr>
        <w:t>相邻的两座一、二级耐火等级建筑，当较高一面外墙的耐火极限不低于 </w:t>
      </w:r>
      <w:r>
        <w:rPr/>
        <w:t>2.00h，</w:t>
      </w:r>
      <w:r>
        <w:rPr>
          <w:spacing w:val="-3"/>
        </w:rPr>
        <w:t>墙上开口</w:t>
      </w:r>
      <w:r>
        <w:rPr>
          <w:spacing w:val="-5"/>
        </w:rPr>
        <w:t>部位设置甲级防火门、窗或耐火极限不低于 </w:t>
      </w:r>
      <w:r>
        <w:rPr/>
        <w:t>2.00h</w:t>
      </w:r>
      <w:r>
        <w:rPr>
          <w:spacing w:val="-7"/>
        </w:rPr>
        <w:t> 的防火卷帘、水幕等防火设施时，其防火间</w:t>
      </w:r>
      <w:r>
        <w:rPr>
          <w:spacing w:val="-10"/>
        </w:rPr>
        <w:t>距可减小，但不应小于 </w:t>
      </w:r>
      <w:r>
        <w:rPr/>
        <w:t>4m； </w:t>
      </w:r>
    </w:p>
    <w:p>
      <w:pPr>
        <w:pStyle w:val="BodyText"/>
        <w:spacing w:line="268" w:lineRule="exact"/>
        <w:ind w:left="838"/>
      </w:pPr>
      <w:r>
        <w:rPr/>
        <w:t>相邻的两座一、二级耐火等级建筑，当较低一座的屋顶无开口，屋顶的耐火极限不低于</w:t>
      </w:r>
    </w:p>
    <w:p>
      <w:pPr>
        <w:pStyle w:val="BodyText"/>
        <w:spacing w:before="9"/>
        <w:rPr>
          <w:sz w:val="17"/>
        </w:rPr>
      </w:pPr>
    </w:p>
    <w:p>
      <w:pPr>
        <w:pStyle w:val="BodyText"/>
        <w:ind w:left="418"/>
      </w:pPr>
      <w:r>
        <w:rPr/>
        <w:t>1.00h，且较低一面外墙为防火墙时，其防火间距可减小，但不应小于 4m。 </w:t>
      </w:r>
    </w:p>
    <w:p>
      <w:pPr>
        <w:pStyle w:val="BodyText"/>
        <w:rPr>
          <w:sz w:val="18"/>
        </w:rPr>
      </w:pPr>
    </w:p>
    <w:p>
      <w:pPr>
        <w:pStyle w:val="ListParagraph"/>
        <w:numPr>
          <w:ilvl w:val="2"/>
          <w:numId w:val="770"/>
        </w:numPr>
        <w:tabs>
          <w:tab w:pos="1371" w:val="left" w:leader="none"/>
        </w:tabs>
        <w:spacing w:line="446" w:lineRule="auto" w:before="0" w:after="0"/>
        <w:ind w:left="418" w:right="1604" w:firstLine="422"/>
        <w:jc w:val="both"/>
        <w:rPr>
          <w:sz w:val="21"/>
        </w:rPr>
      </w:pPr>
      <w:r>
        <w:rPr>
          <w:spacing w:val="-3"/>
          <w:sz w:val="21"/>
        </w:rPr>
        <w:t>停车场与相邻的一、二级耐火等级建筑之间，当相邻建筑的外墙为无门、窗、洞口</w:t>
      </w:r>
      <w:r>
        <w:rPr>
          <w:spacing w:val="-6"/>
          <w:sz w:val="21"/>
        </w:rPr>
        <w:t>的防火墙，或比停车部位高 </w:t>
      </w:r>
      <w:r>
        <w:rPr>
          <w:sz w:val="21"/>
        </w:rPr>
        <w:t>15m</w:t>
      </w:r>
      <w:r>
        <w:rPr>
          <w:spacing w:val="-7"/>
          <w:sz w:val="21"/>
        </w:rPr>
        <w:t> 范围以下的外墙均为无门、窗、洞口的防火墙时，防火间距可</w:t>
      </w:r>
    </w:p>
    <w:p>
      <w:pPr>
        <w:spacing w:after="0" w:line="446" w:lineRule="auto"/>
        <w:jc w:val="both"/>
        <w:rPr>
          <w:sz w:val="21"/>
        </w:rPr>
        <w:sectPr>
          <w:pgSz w:w="11910" w:h="16850"/>
          <w:pgMar w:header="0" w:footer="1239" w:top="1080" w:bottom="1420" w:left="1260" w:right="0"/>
        </w:sectPr>
      </w:pPr>
    </w:p>
    <w:p>
      <w:pPr>
        <w:pStyle w:val="BodyText"/>
        <w:spacing w:before="47"/>
        <w:ind w:left="418"/>
      </w:pPr>
      <w:r>
        <w:rPr/>
        <w:t>不限。 </w:t>
      </w:r>
    </w:p>
    <w:p>
      <w:pPr>
        <w:pStyle w:val="BodyText"/>
        <w:rPr>
          <w:sz w:val="20"/>
        </w:rPr>
      </w:pPr>
    </w:p>
    <w:p>
      <w:pPr>
        <w:pStyle w:val="BodyText"/>
        <w:spacing w:before="4"/>
        <w:rPr>
          <w:sz w:val="16"/>
        </w:rPr>
      </w:pPr>
      <w:r>
        <w:rPr/>
        <w:drawing>
          <wp:anchor distT="0" distB="0" distL="0" distR="0" allowOverlap="1" layoutInCell="1" locked="0" behindDoc="0" simplePos="0" relativeHeight="255">
            <wp:simplePos x="0" y="0"/>
            <wp:positionH relativeFrom="page">
              <wp:posOffset>1179830</wp:posOffset>
            </wp:positionH>
            <wp:positionV relativeFrom="paragraph">
              <wp:posOffset>158043</wp:posOffset>
            </wp:positionV>
            <wp:extent cx="4981575" cy="2038350"/>
            <wp:effectExtent l="0" t="0" r="0" b="0"/>
            <wp:wrapTopAndBottom/>
            <wp:docPr id="603" name="image348.jpeg"/>
            <wp:cNvGraphicFramePr>
              <a:graphicFrameLocks noChangeAspect="1"/>
            </wp:cNvGraphicFramePr>
            <a:graphic>
              <a:graphicData uri="http://schemas.openxmlformats.org/drawingml/2006/picture">
                <pic:pic>
                  <pic:nvPicPr>
                    <pic:cNvPr id="604" name="image348.jpeg"/>
                    <pic:cNvPicPr/>
                  </pic:nvPicPr>
                  <pic:blipFill>
                    <a:blip r:embed="rId422" cstate="print"/>
                    <a:stretch>
                      <a:fillRect/>
                    </a:stretch>
                  </pic:blipFill>
                  <pic:spPr>
                    <a:xfrm>
                      <a:off x="0" y="0"/>
                      <a:ext cx="4981575" cy="2038350"/>
                    </a:xfrm>
                    <a:prstGeom prst="rect">
                      <a:avLst/>
                    </a:prstGeom>
                  </pic:spPr>
                </pic:pic>
              </a:graphicData>
            </a:graphic>
          </wp:anchor>
        </w:drawing>
      </w:r>
    </w:p>
    <w:p>
      <w:pPr>
        <w:pStyle w:val="ListParagraph"/>
        <w:numPr>
          <w:ilvl w:val="2"/>
          <w:numId w:val="770"/>
        </w:numPr>
        <w:tabs>
          <w:tab w:pos="1370" w:val="left" w:leader="none"/>
        </w:tabs>
        <w:spacing w:line="446" w:lineRule="auto" w:before="162" w:after="0"/>
        <w:ind w:left="838" w:right="1606" w:firstLine="2"/>
        <w:jc w:val="left"/>
        <w:rPr>
          <w:sz w:val="21"/>
        </w:rPr>
      </w:pPr>
      <w:r>
        <w:rPr>
          <w:spacing w:val="-5"/>
          <w:sz w:val="21"/>
        </w:rPr>
        <w:t>汽车库、修车库、停车场与甲类物品仓库的防火间距不应小于表 </w:t>
      </w:r>
      <w:r>
        <w:rPr>
          <w:sz w:val="21"/>
        </w:rPr>
        <w:t>4.2.4</w:t>
      </w:r>
      <w:r>
        <w:rPr>
          <w:spacing w:val="-6"/>
          <w:sz w:val="21"/>
        </w:rPr>
        <w:t> 的规定。 注：1</w:t>
      </w:r>
      <w:r>
        <w:rPr>
          <w:spacing w:val="-4"/>
          <w:sz w:val="21"/>
        </w:rPr>
        <w:t>.甲类物品的分项应符合现行国家标准《建筑设计防火规范》</w:t>
      </w:r>
      <w:r>
        <w:rPr>
          <w:sz w:val="21"/>
        </w:rPr>
        <w:t>GB</w:t>
      </w:r>
      <w:r>
        <w:rPr>
          <w:spacing w:val="5"/>
          <w:sz w:val="21"/>
        </w:rPr>
        <w:t> </w:t>
      </w:r>
      <w:r>
        <w:rPr>
          <w:sz w:val="21"/>
        </w:rPr>
        <w:t>50016</w:t>
      </w:r>
      <w:r>
        <w:rPr>
          <w:spacing w:val="-12"/>
          <w:sz w:val="21"/>
        </w:rPr>
        <w:t> 的有关规</w:t>
      </w:r>
    </w:p>
    <w:p>
      <w:pPr>
        <w:pStyle w:val="BodyText"/>
        <w:ind w:left="418"/>
      </w:pPr>
      <w:r>
        <w:rPr/>
        <w:t>定。 </w:t>
      </w:r>
    </w:p>
    <w:p>
      <w:pPr>
        <w:pStyle w:val="BodyText"/>
        <w:spacing w:before="12"/>
        <w:rPr>
          <w:sz w:val="17"/>
        </w:rPr>
      </w:pPr>
    </w:p>
    <w:p>
      <w:pPr>
        <w:pStyle w:val="BodyText"/>
        <w:spacing w:line="446" w:lineRule="auto"/>
        <w:ind w:left="418" w:right="1609" w:firstLine="419"/>
      </w:pPr>
      <w:r>
        <w:rPr/>
        <w:t>2.甲、乙类物品运输车的汽车库、修车库、停车场与甲类物品仓库的防火间距应按本表的规定值增加 5m。 </w:t>
      </w:r>
    </w:p>
    <w:p>
      <w:pPr>
        <w:pStyle w:val="ListParagraph"/>
        <w:numPr>
          <w:ilvl w:val="2"/>
          <w:numId w:val="770"/>
        </w:numPr>
        <w:tabs>
          <w:tab w:pos="1371" w:val="left" w:leader="none"/>
        </w:tabs>
        <w:spacing w:line="240" w:lineRule="auto" w:before="0" w:after="0"/>
        <w:ind w:left="1370" w:right="0" w:hanging="531"/>
        <w:jc w:val="left"/>
        <w:rPr>
          <w:sz w:val="21"/>
        </w:rPr>
      </w:pPr>
      <w:r>
        <w:rPr>
          <w:spacing w:val="-3"/>
          <w:sz w:val="21"/>
        </w:rPr>
        <w:t>甲、乙类物品运输车的汽车库、修车库、停车场与民用建筑的防火间距不应小于</w:t>
      </w:r>
    </w:p>
    <w:p>
      <w:pPr>
        <w:pStyle w:val="BodyText"/>
        <w:rPr>
          <w:sz w:val="18"/>
        </w:rPr>
      </w:pPr>
    </w:p>
    <w:p>
      <w:pPr>
        <w:pStyle w:val="BodyText"/>
        <w:spacing w:line="446" w:lineRule="auto"/>
        <w:ind w:left="418" w:right="1707"/>
      </w:pPr>
      <w:r>
        <w:rPr/>
        <w:t>25m，与重要公共建筑的防火间距不应小于 50m。甲类物品运输车的汽车库、修车库、停车场与明火或散发火花地点的防火间距不应小于 30m，与厂房、仓库的防火间距应按本规范表</w:t>
      </w:r>
    </w:p>
    <w:p>
      <w:pPr>
        <w:pStyle w:val="BodyText"/>
        <w:ind w:left="418"/>
      </w:pPr>
      <w:r>
        <w:rPr/>
        <w:t>4.2.1 的规定值增加 2m。 </w:t>
      </w:r>
    </w:p>
    <w:p>
      <w:pPr>
        <w:spacing w:after="0"/>
        <w:sectPr>
          <w:footerReference w:type="default" r:id="rId421"/>
          <w:pgSz w:w="11910" w:h="16850"/>
          <w:pgMar w:footer="1239" w:header="0" w:top="1220" w:bottom="1420" w:left="1260" w:right="0"/>
          <w:pgNumType w:start="1400"/>
        </w:sectPr>
      </w:pPr>
    </w:p>
    <w:p>
      <w:pPr>
        <w:pStyle w:val="BodyText"/>
        <w:ind w:left="118"/>
        <w:rPr>
          <w:sz w:val="20"/>
        </w:rPr>
      </w:pPr>
      <w:r>
        <w:rPr>
          <w:sz w:val="20"/>
        </w:rPr>
        <w:pict>
          <v:group style="width:434.25pt;height:369.75pt;mso-position-horizontal-relative:char;mso-position-vertical-relative:line" coordorigin="0,0" coordsize="8685,7395">
            <v:shape style="position:absolute;left:780;top:820;width:7905;height:5220" type="#_x0000_t75" stroked="false">
              <v:imagedata r:id="rId423" o:title=""/>
            </v:shape>
            <v:shape style="position:absolute;left:0;top:0;width:8596;height:7395" type="#_x0000_t75" stroked="false">
              <v:imagedata r:id="rId424" o:title=""/>
            </v:shape>
          </v:group>
        </w:pict>
      </w:r>
      <w:r>
        <w:rPr>
          <w:sz w:val="20"/>
        </w:rPr>
      </w:r>
    </w:p>
    <w:p>
      <w:pPr>
        <w:pStyle w:val="BodyText"/>
        <w:spacing w:before="6"/>
        <w:rPr>
          <w:sz w:val="9"/>
        </w:rPr>
      </w:pPr>
    </w:p>
    <w:p>
      <w:pPr>
        <w:pStyle w:val="ListParagraph"/>
        <w:numPr>
          <w:ilvl w:val="2"/>
          <w:numId w:val="771"/>
        </w:numPr>
        <w:tabs>
          <w:tab w:pos="1370" w:val="left" w:leader="none"/>
        </w:tabs>
        <w:spacing w:line="446" w:lineRule="auto" w:before="72" w:after="0"/>
        <w:ind w:left="418" w:right="1603" w:firstLine="422"/>
        <w:jc w:val="left"/>
        <w:rPr>
          <w:sz w:val="21"/>
        </w:rPr>
      </w:pPr>
      <w:r>
        <w:rPr>
          <w:spacing w:val="-3"/>
          <w:sz w:val="21"/>
        </w:rPr>
        <w:t>汽车库、修车库、停车场与易燃、可燃液体储罐，可燃气体储罐，以及液化石油气</w:t>
      </w:r>
      <w:r>
        <w:rPr>
          <w:spacing w:val="-7"/>
          <w:sz w:val="21"/>
        </w:rPr>
        <w:t>储罐的防火间距，不应小于表 </w:t>
      </w:r>
      <w:r>
        <w:rPr>
          <w:sz w:val="21"/>
        </w:rPr>
        <w:t>4.2.6</w:t>
      </w:r>
      <w:r>
        <w:rPr>
          <w:spacing w:val="-13"/>
          <w:sz w:val="21"/>
        </w:rPr>
        <w:t> 的规定。</w:t>
      </w:r>
      <w:r>
        <w:rPr>
          <w:sz w:val="21"/>
        </w:rPr>
        <w:t> </w:t>
      </w:r>
    </w:p>
    <w:p>
      <w:pPr>
        <w:pStyle w:val="BodyText"/>
        <w:spacing w:line="446" w:lineRule="auto"/>
        <w:ind w:left="418" w:right="1609" w:firstLine="419"/>
      </w:pPr>
      <w:r>
        <w:rPr/>
        <w:t>注：1.防火间距应从距汽车库、修车库、停车场最近的储罐外壁算起，但设有防火堤的储罐，其防火堤外侧基脚线距汽车库、修车库、停车场的距离不应小于 10m。 </w:t>
      </w:r>
    </w:p>
    <w:p>
      <w:pPr>
        <w:pStyle w:val="ListParagraph"/>
        <w:numPr>
          <w:ilvl w:val="0"/>
          <w:numId w:val="772"/>
        </w:numPr>
        <w:tabs>
          <w:tab w:pos="1051" w:val="left" w:leader="none"/>
        </w:tabs>
        <w:spacing w:line="267" w:lineRule="exact" w:before="0" w:after="0"/>
        <w:ind w:left="1050" w:right="0" w:hanging="213"/>
        <w:jc w:val="left"/>
        <w:rPr>
          <w:sz w:val="21"/>
        </w:rPr>
      </w:pPr>
      <w:r>
        <w:rPr>
          <w:spacing w:val="-3"/>
          <w:sz w:val="21"/>
        </w:rPr>
        <w:t>计算易燃、可燃液体储罐区总容量时，</w:t>
      </w:r>
      <w:r>
        <w:rPr>
          <w:sz w:val="21"/>
        </w:rPr>
        <w:t>1m3</w:t>
      </w:r>
      <w:r>
        <w:rPr>
          <w:spacing w:val="-16"/>
          <w:sz w:val="21"/>
        </w:rPr>
        <w:t> 的易燃液体按 </w:t>
      </w:r>
      <w:r>
        <w:rPr>
          <w:sz w:val="21"/>
        </w:rPr>
        <w:t>5m3</w:t>
      </w:r>
      <w:r>
        <w:rPr>
          <w:spacing w:val="-9"/>
          <w:sz w:val="21"/>
        </w:rPr>
        <w:t> 的可燃液体计算。</w:t>
      </w:r>
      <w:r>
        <w:rPr>
          <w:sz w:val="21"/>
        </w:rPr>
        <w:t> </w:t>
      </w:r>
    </w:p>
    <w:p>
      <w:pPr>
        <w:pStyle w:val="BodyText"/>
        <w:spacing w:before="2"/>
        <w:rPr>
          <w:sz w:val="18"/>
        </w:rPr>
      </w:pPr>
    </w:p>
    <w:p>
      <w:pPr>
        <w:pStyle w:val="ListParagraph"/>
        <w:numPr>
          <w:ilvl w:val="0"/>
          <w:numId w:val="772"/>
        </w:numPr>
        <w:tabs>
          <w:tab w:pos="1051" w:val="left" w:leader="none"/>
        </w:tabs>
        <w:spacing w:line="446" w:lineRule="auto" w:before="0" w:after="0"/>
        <w:ind w:left="418" w:right="1608" w:firstLine="419"/>
        <w:jc w:val="left"/>
        <w:rPr>
          <w:sz w:val="21"/>
        </w:rPr>
      </w:pPr>
      <w:r>
        <w:rPr>
          <w:spacing w:val="-3"/>
          <w:sz w:val="21"/>
        </w:rPr>
        <w:t>干式可燃气体储罐与汽车库、修车库、停车场的防火间距，当可燃气体的密度比空气大</w:t>
      </w:r>
      <w:r>
        <w:rPr>
          <w:spacing w:val="-5"/>
          <w:sz w:val="21"/>
        </w:rPr>
        <w:t>时，应按本表对湿式可燃气体储罐的规定增加 </w:t>
      </w:r>
      <w:r>
        <w:rPr>
          <w:sz w:val="21"/>
        </w:rPr>
        <w:t>25</w:t>
      </w:r>
      <w:r>
        <w:rPr>
          <w:spacing w:val="-3"/>
          <w:sz w:val="21"/>
        </w:rPr>
        <w:t>％；当可燃气体的密度比空气小时，可执行本表对湿式可燃气体储罐的规定。固定容积的可燃气体储罐与汽车库、修车库、停车场的防火间距，不应小于本表对湿式可燃气体储罐的规定。固定容积的可燃气体储罐的总容积按储罐几何容积</w:t>
      </w:r>
      <w:r>
        <w:rPr>
          <w:sz w:val="21"/>
        </w:rPr>
        <w:t>（m3）</w:t>
      </w:r>
      <w:r>
        <w:rPr>
          <w:spacing w:val="-3"/>
          <w:sz w:val="21"/>
        </w:rPr>
        <w:t>和设计储存压力（绝对压力</w:t>
      </w:r>
      <w:r>
        <w:rPr>
          <w:sz w:val="21"/>
        </w:rPr>
        <w:t>，105Pa）</w:t>
      </w:r>
      <w:r>
        <w:rPr>
          <w:spacing w:val="-3"/>
          <w:sz w:val="21"/>
        </w:rPr>
        <w:t>的乘积计算。</w:t>
      </w:r>
      <w:r>
        <w:rPr>
          <w:sz w:val="21"/>
        </w:rPr>
        <w:t> </w:t>
      </w:r>
    </w:p>
    <w:p>
      <w:pPr>
        <w:pStyle w:val="ListParagraph"/>
        <w:numPr>
          <w:ilvl w:val="0"/>
          <w:numId w:val="772"/>
        </w:numPr>
        <w:tabs>
          <w:tab w:pos="1051" w:val="left" w:leader="none"/>
        </w:tabs>
        <w:spacing w:line="446" w:lineRule="auto" w:before="0" w:after="0"/>
        <w:ind w:left="418" w:right="1609" w:firstLine="419"/>
        <w:jc w:val="left"/>
        <w:rPr>
          <w:sz w:val="21"/>
        </w:rPr>
      </w:pPr>
      <w:r>
        <w:rPr>
          <w:spacing w:val="-12"/>
          <w:sz w:val="21"/>
        </w:rPr>
        <w:t>容积小于 </w:t>
      </w:r>
      <w:r>
        <w:rPr>
          <w:sz w:val="21"/>
        </w:rPr>
        <w:t>1m3</w:t>
      </w:r>
      <w:r>
        <w:rPr>
          <w:spacing w:val="-11"/>
          <w:sz w:val="21"/>
        </w:rPr>
        <w:t> 的易燃液体储罐或小于 </w:t>
      </w:r>
      <w:r>
        <w:rPr>
          <w:sz w:val="21"/>
        </w:rPr>
        <w:t>5m3</w:t>
      </w:r>
      <w:r>
        <w:rPr>
          <w:spacing w:val="-8"/>
          <w:sz w:val="21"/>
        </w:rPr>
        <w:t> 的可燃液体储罐与汽车库、修车库、停车场的</w:t>
      </w:r>
      <w:r>
        <w:rPr>
          <w:spacing w:val="-5"/>
          <w:sz w:val="21"/>
        </w:rPr>
        <w:t>防火间距，当采用防火墙隔开时，其防火间距可不限。</w:t>
      </w:r>
      <w:r>
        <w:rPr>
          <w:sz w:val="21"/>
        </w:rPr>
        <w:t> </w:t>
      </w:r>
    </w:p>
    <w:p>
      <w:pPr>
        <w:spacing w:after="0" w:line="446" w:lineRule="auto"/>
        <w:jc w:val="left"/>
        <w:rPr>
          <w:sz w:val="21"/>
        </w:rPr>
        <w:sectPr>
          <w:pgSz w:w="11910" w:h="16850"/>
          <w:pgMar w:header="0" w:footer="1239" w:top="1480" w:bottom="1420" w:left="1260" w:right="0"/>
        </w:sectPr>
      </w:pPr>
    </w:p>
    <w:p>
      <w:pPr>
        <w:pStyle w:val="ListParagraph"/>
        <w:numPr>
          <w:ilvl w:val="2"/>
          <w:numId w:val="771"/>
        </w:numPr>
        <w:tabs>
          <w:tab w:pos="1370" w:val="left" w:leader="none"/>
        </w:tabs>
        <w:spacing w:line="240" w:lineRule="auto" w:before="47" w:after="0"/>
        <w:ind w:left="1369" w:right="0" w:hanging="530"/>
        <w:jc w:val="left"/>
        <w:rPr>
          <w:sz w:val="21"/>
        </w:rPr>
      </w:pPr>
      <w:r>
        <w:rPr>
          <w:spacing w:val="-3"/>
          <w:sz w:val="21"/>
        </w:rPr>
        <w:t>汽车库、修车库、停车场与可燃材料露天、半露天堆场的防火间距不应小于表</w:t>
      </w:r>
    </w:p>
    <w:p>
      <w:pPr>
        <w:pStyle w:val="BodyText"/>
        <w:rPr>
          <w:sz w:val="18"/>
        </w:rPr>
      </w:pPr>
    </w:p>
    <w:p>
      <w:pPr>
        <w:pStyle w:val="ListParagraph"/>
        <w:numPr>
          <w:ilvl w:val="2"/>
          <w:numId w:val="773"/>
        </w:numPr>
        <w:tabs>
          <w:tab w:pos="997" w:val="left" w:leader="none"/>
        </w:tabs>
        <w:spacing w:line="240" w:lineRule="auto" w:before="0" w:after="0"/>
        <w:ind w:left="996" w:right="0" w:hanging="579"/>
        <w:jc w:val="left"/>
        <w:rPr>
          <w:sz w:val="21"/>
        </w:rPr>
      </w:pPr>
      <w:r>
        <w:rPr>
          <w:spacing w:val="-3"/>
          <w:sz w:val="21"/>
        </w:rPr>
        <w:t>的规定。</w:t>
      </w:r>
      <w:r>
        <w:rPr>
          <w:sz w:val="21"/>
        </w:rPr>
        <w:t> </w:t>
      </w:r>
    </w:p>
    <w:p>
      <w:pPr>
        <w:pStyle w:val="BodyText"/>
        <w:spacing w:before="2"/>
        <w:rPr>
          <w:sz w:val="10"/>
        </w:rPr>
      </w:pPr>
      <w:r>
        <w:rPr/>
        <w:drawing>
          <wp:anchor distT="0" distB="0" distL="0" distR="0" allowOverlap="1" layoutInCell="1" locked="0" behindDoc="0" simplePos="0" relativeHeight="257">
            <wp:simplePos x="0" y="0"/>
            <wp:positionH relativeFrom="page">
              <wp:posOffset>1017905</wp:posOffset>
            </wp:positionH>
            <wp:positionV relativeFrom="paragraph">
              <wp:posOffset>107600</wp:posOffset>
            </wp:positionV>
            <wp:extent cx="5199958" cy="5781675"/>
            <wp:effectExtent l="0" t="0" r="0" b="0"/>
            <wp:wrapTopAndBottom/>
            <wp:docPr id="605" name="image351.jpeg"/>
            <wp:cNvGraphicFramePr>
              <a:graphicFrameLocks noChangeAspect="1"/>
            </wp:cNvGraphicFramePr>
            <a:graphic>
              <a:graphicData uri="http://schemas.openxmlformats.org/drawingml/2006/picture">
                <pic:pic>
                  <pic:nvPicPr>
                    <pic:cNvPr id="606" name="image351.jpeg"/>
                    <pic:cNvPicPr/>
                  </pic:nvPicPr>
                  <pic:blipFill>
                    <a:blip r:embed="rId425" cstate="print"/>
                    <a:stretch>
                      <a:fillRect/>
                    </a:stretch>
                  </pic:blipFill>
                  <pic:spPr>
                    <a:xfrm>
                      <a:off x="0" y="0"/>
                      <a:ext cx="5199958" cy="5781675"/>
                    </a:xfrm>
                    <a:prstGeom prst="rect">
                      <a:avLst/>
                    </a:prstGeom>
                  </pic:spPr>
                </pic:pic>
              </a:graphicData>
            </a:graphic>
          </wp:anchor>
        </w:drawing>
      </w:r>
    </w:p>
    <w:p>
      <w:pPr>
        <w:pStyle w:val="BodyText"/>
        <w:spacing w:before="4"/>
        <w:rPr>
          <w:sz w:val="16"/>
        </w:rPr>
      </w:pPr>
    </w:p>
    <w:p>
      <w:pPr>
        <w:pStyle w:val="ListParagraph"/>
        <w:numPr>
          <w:ilvl w:val="2"/>
          <w:numId w:val="773"/>
        </w:numPr>
        <w:tabs>
          <w:tab w:pos="1371" w:val="left" w:leader="none"/>
        </w:tabs>
        <w:spacing w:line="446" w:lineRule="auto" w:before="0" w:after="0"/>
        <w:ind w:left="418" w:right="1604" w:firstLine="422"/>
        <w:jc w:val="left"/>
        <w:rPr>
          <w:sz w:val="19"/>
        </w:rPr>
      </w:pPr>
      <w:r>
        <w:rPr>
          <w:spacing w:val="-3"/>
          <w:sz w:val="21"/>
        </w:rPr>
        <w:t>汽车库、修车库、停车场与燃气调压站、液化石油气的瓶装供应站的防火间距，应符合现行国家标准《城镇燃气设计规范》</w:t>
      </w:r>
      <w:r>
        <w:rPr>
          <w:sz w:val="21"/>
        </w:rPr>
        <w:t>GB</w:t>
      </w:r>
      <w:r>
        <w:rPr>
          <w:spacing w:val="1"/>
          <w:sz w:val="21"/>
        </w:rPr>
        <w:t> </w:t>
      </w:r>
      <w:r>
        <w:rPr>
          <w:sz w:val="21"/>
        </w:rPr>
        <w:t>50028</w:t>
      </w:r>
      <w:r>
        <w:rPr>
          <w:spacing w:val="-10"/>
          <w:sz w:val="21"/>
        </w:rPr>
        <w:t> 的有关规定。</w:t>
      </w:r>
      <w:r>
        <w:rPr>
          <w:sz w:val="21"/>
        </w:rPr>
        <w:t> </w:t>
      </w:r>
    </w:p>
    <w:p>
      <w:pPr>
        <w:pStyle w:val="ListParagraph"/>
        <w:numPr>
          <w:ilvl w:val="2"/>
          <w:numId w:val="773"/>
        </w:numPr>
        <w:tabs>
          <w:tab w:pos="1371" w:val="left" w:leader="none"/>
        </w:tabs>
        <w:spacing w:line="446" w:lineRule="auto" w:before="0" w:after="0"/>
        <w:ind w:left="418" w:right="1604" w:firstLine="422"/>
        <w:jc w:val="left"/>
        <w:rPr>
          <w:sz w:val="19"/>
        </w:rPr>
      </w:pPr>
      <w:r>
        <w:rPr>
          <w:spacing w:val="-3"/>
          <w:sz w:val="21"/>
        </w:rPr>
        <w:t>汽车库、修车库、停车场与石油库、汽车加油加气站的防火间距，应符合现行国家标准《石油库设计规范》</w:t>
      </w:r>
      <w:r>
        <w:rPr>
          <w:sz w:val="21"/>
        </w:rPr>
        <w:t>GB</w:t>
      </w:r>
      <w:r>
        <w:rPr>
          <w:spacing w:val="9"/>
          <w:sz w:val="21"/>
        </w:rPr>
        <w:t> </w:t>
      </w:r>
      <w:r>
        <w:rPr>
          <w:sz w:val="21"/>
        </w:rPr>
        <w:t>50074</w:t>
      </w:r>
      <w:r>
        <w:rPr>
          <w:spacing w:val="-9"/>
          <w:sz w:val="21"/>
        </w:rPr>
        <w:t> 和《汽车加油加气站设计与施工规范》</w:t>
      </w:r>
      <w:r>
        <w:rPr>
          <w:sz w:val="21"/>
        </w:rPr>
        <w:t>GB</w:t>
      </w:r>
      <w:r>
        <w:rPr>
          <w:spacing w:val="6"/>
          <w:sz w:val="21"/>
        </w:rPr>
        <w:t> </w:t>
      </w:r>
      <w:r>
        <w:rPr>
          <w:sz w:val="21"/>
        </w:rPr>
        <w:t>50156</w:t>
      </w:r>
      <w:r>
        <w:rPr>
          <w:spacing w:val="-12"/>
          <w:sz w:val="21"/>
        </w:rPr>
        <w:t> 的有关规</w:t>
      </w:r>
      <w:r>
        <w:rPr>
          <w:spacing w:val="-8"/>
          <w:sz w:val="21"/>
        </w:rPr>
        <w:t>定。</w:t>
      </w:r>
      <w:r>
        <w:rPr>
          <w:sz w:val="21"/>
        </w:rPr>
        <w:t> </w:t>
      </w:r>
    </w:p>
    <w:p>
      <w:pPr>
        <w:pStyle w:val="ListParagraph"/>
        <w:numPr>
          <w:ilvl w:val="2"/>
          <w:numId w:val="773"/>
        </w:numPr>
        <w:tabs>
          <w:tab w:pos="1478" w:val="left" w:leader="none"/>
        </w:tabs>
        <w:spacing w:line="446" w:lineRule="auto" w:before="0" w:after="0"/>
        <w:ind w:left="418" w:right="1604" w:firstLine="422"/>
        <w:jc w:val="left"/>
        <w:rPr>
          <w:sz w:val="19"/>
        </w:rPr>
      </w:pPr>
      <w:r>
        <w:rPr>
          <w:spacing w:val="-5"/>
          <w:sz w:val="21"/>
        </w:rPr>
        <w:t>停车场的汽车宜分组停放，每组的停车数量不宜大于 </w:t>
      </w:r>
      <w:r>
        <w:rPr>
          <w:sz w:val="21"/>
        </w:rPr>
        <w:t>50</w:t>
      </w:r>
      <w:r>
        <w:rPr>
          <w:spacing w:val="-8"/>
          <w:sz w:val="21"/>
        </w:rPr>
        <w:t> 辆，组之间的防火间距不</w:t>
      </w:r>
      <w:r>
        <w:rPr>
          <w:spacing w:val="-17"/>
          <w:sz w:val="21"/>
        </w:rPr>
        <w:t>应小于 </w:t>
      </w:r>
      <w:r>
        <w:rPr>
          <w:sz w:val="21"/>
        </w:rPr>
        <w:t>6m</w:t>
      </w:r>
      <w:r>
        <w:rPr>
          <w:spacing w:val="-3"/>
          <w:sz w:val="21"/>
        </w:rPr>
        <w:t>。</w:t>
      </w:r>
      <w:r>
        <w:rPr>
          <w:sz w:val="21"/>
        </w:rPr>
        <w:t> </w:t>
      </w:r>
    </w:p>
    <w:p>
      <w:pPr>
        <w:pStyle w:val="ListParagraph"/>
        <w:numPr>
          <w:ilvl w:val="2"/>
          <w:numId w:val="773"/>
        </w:numPr>
        <w:tabs>
          <w:tab w:pos="1478" w:val="left" w:leader="none"/>
        </w:tabs>
        <w:spacing w:line="240" w:lineRule="auto" w:before="0" w:after="0"/>
        <w:ind w:left="1477" w:right="0" w:hanging="638"/>
        <w:jc w:val="left"/>
        <w:rPr>
          <w:sz w:val="19"/>
        </w:rPr>
      </w:pPr>
      <w:r>
        <w:rPr>
          <w:spacing w:val="-3"/>
          <w:sz w:val="21"/>
        </w:rPr>
        <w:t>屋面停车区域与建筑其他部分或相邻其他建筑物的防火间距，应按地面停车场与</w:t>
      </w:r>
    </w:p>
    <w:p>
      <w:pPr>
        <w:spacing w:after="0" w:line="240" w:lineRule="auto"/>
        <w:jc w:val="left"/>
        <w:rPr>
          <w:sz w:val="19"/>
        </w:rPr>
        <w:sectPr>
          <w:pgSz w:w="11910" w:h="16850"/>
          <w:pgMar w:header="0" w:footer="1239" w:top="1220" w:bottom="1420" w:left="1260" w:right="0"/>
        </w:sectPr>
      </w:pPr>
    </w:p>
    <w:p>
      <w:pPr>
        <w:spacing w:line="446" w:lineRule="auto" w:before="47"/>
        <w:ind w:left="840" w:right="7809" w:hanging="423"/>
        <w:jc w:val="left"/>
        <w:rPr>
          <w:b/>
          <w:sz w:val="21"/>
        </w:rPr>
      </w:pPr>
      <w:r>
        <w:rPr>
          <w:spacing w:val="-3"/>
          <w:sz w:val="21"/>
        </w:rPr>
        <w:t>建筑的防火间距确定。 </w:t>
      </w:r>
      <w:r>
        <w:rPr>
          <w:b/>
          <w:spacing w:val="-3"/>
          <w:sz w:val="21"/>
        </w:rPr>
        <w:t>4.3 </w:t>
      </w:r>
      <w:r>
        <w:rPr>
          <w:spacing w:val="-3"/>
          <w:sz w:val="21"/>
        </w:rPr>
        <w:t>消防车道</w:t>
      </w:r>
      <w:r>
        <w:rPr>
          <w:b/>
          <w:w w:val="99"/>
          <w:sz w:val="21"/>
        </w:rPr>
        <w:t> </w:t>
      </w:r>
    </w:p>
    <w:p>
      <w:pPr>
        <w:pStyle w:val="ListParagraph"/>
        <w:numPr>
          <w:ilvl w:val="2"/>
          <w:numId w:val="774"/>
        </w:numPr>
        <w:tabs>
          <w:tab w:pos="1370" w:val="left" w:leader="none"/>
        </w:tabs>
        <w:spacing w:line="267" w:lineRule="exact" w:before="0" w:after="0"/>
        <w:ind w:left="1369" w:right="0" w:hanging="530"/>
        <w:jc w:val="left"/>
        <w:rPr>
          <w:sz w:val="21"/>
        </w:rPr>
      </w:pPr>
      <w:r>
        <w:rPr>
          <w:spacing w:val="-3"/>
          <w:sz w:val="21"/>
        </w:rPr>
        <w:t>汽车库、修车库周围应设置消防车道。</w:t>
      </w:r>
      <w:r>
        <w:rPr>
          <w:sz w:val="21"/>
        </w:rPr>
        <w:t> </w:t>
      </w:r>
    </w:p>
    <w:p>
      <w:pPr>
        <w:pStyle w:val="BodyText"/>
        <w:spacing w:before="2"/>
        <w:rPr>
          <w:sz w:val="18"/>
        </w:rPr>
      </w:pPr>
    </w:p>
    <w:p>
      <w:pPr>
        <w:pStyle w:val="ListParagraph"/>
        <w:numPr>
          <w:ilvl w:val="2"/>
          <w:numId w:val="774"/>
        </w:numPr>
        <w:tabs>
          <w:tab w:pos="1370" w:val="left" w:leader="none"/>
        </w:tabs>
        <w:spacing w:line="240" w:lineRule="auto" w:before="0" w:after="0"/>
        <w:ind w:left="1369" w:right="0" w:hanging="530"/>
        <w:jc w:val="left"/>
        <w:rPr>
          <w:sz w:val="21"/>
        </w:rPr>
      </w:pPr>
      <w:r>
        <w:rPr>
          <w:spacing w:val="-3"/>
          <w:sz w:val="21"/>
        </w:rPr>
        <w:t>消防车道的设置应符合下列要求：</w:t>
      </w:r>
      <w:r>
        <w:rPr>
          <w:sz w:val="21"/>
        </w:rPr>
        <w:t> </w:t>
      </w:r>
    </w:p>
    <w:p>
      <w:pPr>
        <w:pStyle w:val="BodyText"/>
        <w:rPr>
          <w:sz w:val="18"/>
        </w:rPr>
      </w:pPr>
    </w:p>
    <w:p>
      <w:pPr>
        <w:pStyle w:val="BodyText"/>
        <w:spacing w:line="446" w:lineRule="auto"/>
        <w:ind w:left="418" w:right="1714" w:firstLine="419"/>
      </w:pPr>
      <w:r>
        <w:rPr>
          <w:w w:val="100"/>
        </w:rPr>
        <w:t> </w:t>
      </w:r>
      <w:r>
        <w:rPr/>
        <w:t>除Ⅳ类汽车库和修车库以外，消防车道应为环形，当设置环形车道有困难时，可沿建筑物的一个长边和另一边设置； </w:t>
      </w:r>
    </w:p>
    <w:p>
      <w:pPr>
        <w:pStyle w:val="BodyText"/>
        <w:ind w:left="838"/>
      </w:pPr>
      <w:r>
        <w:rPr/>
        <w:t>尽头式消防车道应设置回车道或回车场，回车场的面积不应小于 12m×12m； </w:t>
      </w:r>
    </w:p>
    <w:p>
      <w:pPr>
        <w:pStyle w:val="BodyText"/>
        <w:rPr>
          <w:sz w:val="18"/>
        </w:rPr>
      </w:pPr>
    </w:p>
    <w:p>
      <w:pPr>
        <w:pStyle w:val="BodyText"/>
        <w:ind w:left="838"/>
      </w:pPr>
      <w:r>
        <w:rPr/>
        <w:t>消防车道的宽度不应小于 4m。 </w:t>
      </w:r>
    </w:p>
    <w:p>
      <w:pPr>
        <w:pStyle w:val="BodyText"/>
        <w:spacing w:before="12"/>
        <w:rPr>
          <w:sz w:val="17"/>
        </w:rPr>
      </w:pPr>
    </w:p>
    <w:p>
      <w:pPr>
        <w:pStyle w:val="ListParagraph"/>
        <w:numPr>
          <w:ilvl w:val="2"/>
          <w:numId w:val="774"/>
        </w:numPr>
        <w:tabs>
          <w:tab w:pos="1370" w:val="left" w:leader="none"/>
        </w:tabs>
        <w:spacing w:line="446" w:lineRule="auto" w:before="0" w:after="0"/>
        <w:ind w:left="418" w:right="1762" w:firstLine="422"/>
        <w:jc w:val="left"/>
        <w:rPr>
          <w:sz w:val="21"/>
        </w:rPr>
      </w:pPr>
      <w:r>
        <w:rPr>
          <w:spacing w:val="-5"/>
          <w:sz w:val="21"/>
        </w:rPr>
        <w:t>穿过汽车库、修车库、停车场的消防车道，其净空高度和净宽度均不应小于 </w:t>
      </w:r>
      <w:r>
        <w:rPr>
          <w:sz w:val="21"/>
        </w:rPr>
        <w:t>4m； </w:t>
      </w:r>
      <w:r>
        <w:rPr>
          <w:spacing w:val="-5"/>
          <w:sz w:val="21"/>
        </w:rPr>
        <w:t>当消防车道上空遇有障碍物时，路面与障碍物之间的净空高度不应小于 </w:t>
      </w:r>
      <w:r>
        <w:rPr>
          <w:sz w:val="21"/>
        </w:rPr>
        <w:t>4m</w:t>
      </w:r>
      <w:r>
        <w:rPr>
          <w:spacing w:val="-3"/>
          <w:sz w:val="21"/>
        </w:rPr>
        <w:t>。</w:t>
      </w:r>
      <w:r>
        <w:rPr>
          <w:sz w:val="21"/>
        </w:rPr>
        <w:t> </w:t>
      </w:r>
    </w:p>
    <w:p>
      <w:pPr>
        <w:pStyle w:val="Heading4"/>
        <w:spacing w:line="277" w:lineRule="exact"/>
      </w:pPr>
      <w:r>
        <w:rPr/>
        <w:t>5 防火分隔和建筑构造</w:t>
      </w:r>
      <w:r>
        <w:rPr>
          <w:w w:val="99"/>
        </w:rPr>
        <w:t> </w:t>
      </w:r>
    </w:p>
    <w:p>
      <w:pPr>
        <w:pStyle w:val="BodyText"/>
        <w:spacing w:before="4"/>
        <w:rPr>
          <w:b/>
          <w:sz w:val="17"/>
        </w:rPr>
      </w:pPr>
    </w:p>
    <w:p>
      <w:pPr>
        <w:pStyle w:val="ListParagraph"/>
        <w:numPr>
          <w:ilvl w:val="1"/>
          <w:numId w:val="775"/>
        </w:numPr>
        <w:tabs>
          <w:tab w:pos="1159" w:val="left" w:leader="none"/>
        </w:tabs>
        <w:spacing w:line="240" w:lineRule="auto" w:before="0" w:after="0"/>
        <w:ind w:left="1158" w:right="0" w:hanging="319"/>
        <w:jc w:val="left"/>
        <w:rPr>
          <w:b/>
          <w:sz w:val="21"/>
        </w:rPr>
      </w:pPr>
      <w:r>
        <w:rPr>
          <w:spacing w:val="-3"/>
          <w:sz w:val="21"/>
        </w:rPr>
        <w:t>防火分隔</w:t>
      </w:r>
      <w:r>
        <w:rPr>
          <w:b/>
          <w:w w:val="99"/>
          <w:sz w:val="21"/>
        </w:rPr>
        <w:t> </w:t>
      </w:r>
    </w:p>
    <w:p>
      <w:pPr>
        <w:pStyle w:val="BodyText"/>
        <w:spacing w:before="2"/>
        <w:rPr>
          <w:b/>
          <w:sz w:val="18"/>
        </w:rPr>
      </w:pPr>
    </w:p>
    <w:p>
      <w:pPr>
        <w:pStyle w:val="ListParagraph"/>
        <w:numPr>
          <w:ilvl w:val="2"/>
          <w:numId w:val="775"/>
        </w:numPr>
        <w:tabs>
          <w:tab w:pos="1371" w:val="left" w:leader="none"/>
        </w:tabs>
        <w:spacing w:line="240" w:lineRule="auto" w:before="0" w:after="0"/>
        <w:ind w:left="1370" w:right="0" w:hanging="531"/>
        <w:jc w:val="left"/>
        <w:rPr>
          <w:sz w:val="21"/>
        </w:rPr>
      </w:pPr>
      <w:r>
        <w:rPr/>
        <w:drawing>
          <wp:anchor distT="0" distB="0" distL="0" distR="0" allowOverlap="1" layoutInCell="1" locked="0" behindDoc="0" simplePos="0" relativeHeight="258">
            <wp:simplePos x="0" y="0"/>
            <wp:positionH relativeFrom="page">
              <wp:posOffset>1084580</wp:posOffset>
            </wp:positionH>
            <wp:positionV relativeFrom="paragraph">
              <wp:posOffset>226441</wp:posOffset>
            </wp:positionV>
            <wp:extent cx="5403215" cy="1628775"/>
            <wp:effectExtent l="0" t="0" r="0" b="0"/>
            <wp:wrapTopAndBottom/>
            <wp:docPr id="607" name="image352.jpeg"/>
            <wp:cNvGraphicFramePr>
              <a:graphicFrameLocks noChangeAspect="1"/>
            </wp:cNvGraphicFramePr>
            <a:graphic>
              <a:graphicData uri="http://schemas.openxmlformats.org/drawingml/2006/picture">
                <pic:pic>
                  <pic:nvPicPr>
                    <pic:cNvPr id="608" name="image352.jpeg"/>
                    <pic:cNvPicPr/>
                  </pic:nvPicPr>
                  <pic:blipFill>
                    <a:blip r:embed="rId426" cstate="print"/>
                    <a:stretch>
                      <a:fillRect/>
                    </a:stretch>
                  </pic:blipFill>
                  <pic:spPr>
                    <a:xfrm>
                      <a:off x="0" y="0"/>
                      <a:ext cx="5403215" cy="1628775"/>
                    </a:xfrm>
                    <a:prstGeom prst="rect">
                      <a:avLst/>
                    </a:prstGeom>
                  </pic:spPr>
                </pic:pic>
              </a:graphicData>
            </a:graphic>
          </wp:anchor>
        </w:drawing>
      </w:r>
      <w:r>
        <w:rPr>
          <w:spacing w:val="-6"/>
          <w:sz w:val="21"/>
        </w:rPr>
        <w:t>汽车库防火分区的最大允许建筑面积应符合表 </w:t>
      </w:r>
      <w:r>
        <w:rPr>
          <w:sz w:val="21"/>
        </w:rPr>
        <w:t>5.1.1</w:t>
      </w:r>
      <w:r>
        <w:rPr>
          <w:spacing w:val="-9"/>
          <w:sz w:val="21"/>
        </w:rPr>
        <w:t> 的规定。其中，敞开式、错</w:t>
      </w:r>
    </w:p>
    <w:p>
      <w:pPr>
        <w:pStyle w:val="BodyText"/>
        <w:spacing w:line="446" w:lineRule="auto" w:before="179"/>
        <w:ind w:left="418" w:right="1608"/>
        <w:jc w:val="both"/>
      </w:pPr>
      <w:r>
        <w:rPr>
          <w:spacing w:val="-3"/>
        </w:rPr>
        <w:t>层式、斜楼板式汽车库的上下连通层面积应叠加计算，每个防火分区的最大允许建筑面积不应</w:t>
      </w:r>
      <w:r>
        <w:rPr>
          <w:spacing w:val="-13"/>
        </w:rPr>
        <w:t>大于表 </w:t>
      </w:r>
      <w:r>
        <w:rPr/>
        <w:t>5.1.1</w:t>
      </w:r>
      <w:r>
        <w:rPr>
          <w:spacing w:val="-19"/>
        </w:rPr>
        <w:t> 规定的 </w:t>
      </w:r>
      <w:r>
        <w:rPr/>
        <w:t>2.0</w:t>
      </w:r>
      <w:r>
        <w:rPr>
          <w:spacing w:val="-8"/>
        </w:rPr>
        <w:t> 倍；室内有车道且有人员停留的机械式汽车库，其防火分区最大允许</w:t>
      </w:r>
      <w:r>
        <w:rPr>
          <w:spacing w:val="-12"/>
        </w:rPr>
        <w:t>建筑面积应按表 </w:t>
      </w:r>
      <w:r>
        <w:rPr/>
        <w:t>5.1.1</w:t>
      </w:r>
      <w:r>
        <w:rPr>
          <w:spacing w:val="-17"/>
        </w:rPr>
        <w:t> 的规定减少 </w:t>
      </w:r>
      <w:r>
        <w:rPr/>
        <w:t>35</w:t>
      </w:r>
      <w:r>
        <w:rPr>
          <w:spacing w:val="-2"/>
        </w:rPr>
        <w:t>％。</w:t>
      </w:r>
      <w:r>
        <w:rPr/>
        <w:t> </w:t>
      </w:r>
    </w:p>
    <w:p>
      <w:pPr>
        <w:pStyle w:val="BodyText"/>
        <w:spacing w:line="446" w:lineRule="auto"/>
        <w:ind w:left="418" w:right="1609" w:firstLine="419"/>
      </w:pPr>
      <w:r>
        <w:rPr/>
        <w:t>注：除本规范另有规定外，防火分区之间应采用符合本规范规定的防火墙、防火卷帘等分隔。 </w:t>
      </w:r>
    </w:p>
    <w:p>
      <w:pPr>
        <w:pStyle w:val="ListParagraph"/>
        <w:numPr>
          <w:ilvl w:val="2"/>
          <w:numId w:val="775"/>
        </w:numPr>
        <w:tabs>
          <w:tab w:pos="1371" w:val="left" w:leader="none"/>
        </w:tabs>
        <w:spacing w:line="446" w:lineRule="auto" w:before="0" w:after="0"/>
        <w:ind w:left="418" w:right="1604" w:firstLine="422"/>
        <w:jc w:val="left"/>
        <w:rPr>
          <w:sz w:val="21"/>
        </w:rPr>
      </w:pPr>
      <w:r>
        <w:rPr>
          <w:spacing w:val="-3"/>
          <w:sz w:val="21"/>
        </w:rPr>
        <w:t>设置自动灭火系统的汽车库，其每个防火分区的最大允许建筑面积不应大于本规范</w:t>
      </w:r>
      <w:r>
        <w:rPr>
          <w:spacing w:val="-28"/>
          <w:sz w:val="21"/>
        </w:rPr>
        <w:t>第 </w:t>
      </w:r>
      <w:r>
        <w:rPr>
          <w:sz w:val="21"/>
        </w:rPr>
        <w:t>5.1.1</w:t>
      </w:r>
      <w:r>
        <w:rPr>
          <w:spacing w:val="-19"/>
          <w:sz w:val="21"/>
        </w:rPr>
        <w:t> 条规定的 </w:t>
      </w:r>
      <w:r>
        <w:rPr>
          <w:sz w:val="21"/>
        </w:rPr>
        <w:t>2.0</w:t>
      </w:r>
      <w:r>
        <w:rPr>
          <w:spacing w:val="-19"/>
          <w:sz w:val="21"/>
        </w:rPr>
        <w:t> 倍。 </w:t>
      </w:r>
    </w:p>
    <w:p>
      <w:pPr>
        <w:pStyle w:val="ListParagraph"/>
        <w:numPr>
          <w:ilvl w:val="2"/>
          <w:numId w:val="775"/>
        </w:numPr>
        <w:tabs>
          <w:tab w:pos="1370" w:val="left" w:leader="none"/>
        </w:tabs>
        <w:spacing w:line="240" w:lineRule="auto" w:before="0" w:after="0"/>
        <w:ind w:left="1369" w:right="0" w:hanging="530"/>
        <w:jc w:val="left"/>
        <w:rPr>
          <w:sz w:val="21"/>
        </w:rPr>
      </w:pPr>
      <w:r>
        <w:rPr>
          <w:spacing w:val="-3"/>
          <w:sz w:val="21"/>
        </w:rPr>
        <w:t>室内无车道且无人员停留的机械式汽车库，应符合下列规定： </w:t>
      </w:r>
      <w:r>
        <w:rPr>
          <w:spacing w:val="-2"/>
          <w:sz w:val="21"/>
        </w:rPr>
        <w:t> </w:t>
      </w:r>
      <w:r>
        <w:rPr>
          <w:w w:val="100"/>
          <w:sz w:val="21"/>
        </w:rPr>
        <w:t> </w:t>
      </w:r>
    </w:p>
    <w:p>
      <w:pPr>
        <w:pStyle w:val="BodyText"/>
        <w:spacing w:before="9"/>
        <w:rPr>
          <w:sz w:val="17"/>
        </w:rPr>
      </w:pPr>
    </w:p>
    <w:p>
      <w:pPr>
        <w:pStyle w:val="BodyText"/>
        <w:ind w:left="838"/>
      </w:pPr>
      <w:r>
        <w:rPr/>
        <w:t>当停车数量超过 100 辆时，应采用无门、窗、洞口的防火墙分隔为多个停车数量不大于</w:t>
      </w:r>
    </w:p>
    <w:p>
      <w:pPr>
        <w:pStyle w:val="BodyText"/>
        <w:spacing w:before="2"/>
        <w:rPr>
          <w:sz w:val="18"/>
        </w:rPr>
      </w:pPr>
    </w:p>
    <w:p>
      <w:pPr>
        <w:pStyle w:val="BodyText"/>
        <w:ind w:left="418"/>
        <w:jc w:val="both"/>
      </w:pPr>
      <w:r>
        <w:rPr/>
        <w:t>100 辆的区域，但当采用防火隔墙和耐火极限不低于 1.00h 的不燃性楼板分隔成多个停车单 </w:t>
      </w:r>
    </w:p>
    <w:p>
      <w:pPr>
        <w:spacing w:after="0"/>
        <w:jc w:val="both"/>
        <w:sectPr>
          <w:pgSz w:w="11910" w:h="16850"/>
          <w:pgMar w:header="0" w:footer="1239" w:top="1220" w:bottom="1420" w:left="1260" w:right="0"/>
        </w:sectPr>
      </w:pPr>
    </w:p>
    <w:p>
      <w:pPr>
        <w:pStyle w:val="BodyText"/>
        <w:spacing w:before="47"/>
        <w:ind w:left="418"/>
      </w:pPr>
      <w:r>
        <w:rPr/>
        <w:t>元，且停车单元内的停车数量不大于 3 辆时，应分隔为停车数量不大于 300 辆的区域；  </w:t>
      </w:r>
      <w:r>
        <w:rPr>
          <w:w w:val="100"/>
        </w:rPr>
        <w:t> </w:t>
      </w:r>
    </w:p>
    <w:p>
      <w:pPr>
        <w:pStyle w:val="BodyText"/>
        <w:rPr>
          <w:sz w:val="18"/>
        </w:rPr>
      </w:pPr>
    </w:p>
    <w:p>
      <w:pPr>
        <w:pStyle w:val="BodyText"/>
        <w:spacing w:line="446" w:lineRule="auto"/>
        <w:ind w:left="418" w:right="1609" w:firstLine="419"/>
      </w:pPr>
      <w:r>
        <w:rPr/>
        <w:t>汽车库内应设置火灾自动报警系统和自动喷水灭火系统，自动喷水灭火系统应选用快速响应喷头； </w:t>
      </w:r>
    </w:p>
    <w:p>
      <w:pPr>
        <w:pStyle w:val="BodyText"/>
        <w:ind w:left="838"/>
      </w:pPr>
      <w:r>
        <w:rPr/>
        <w:t>楼梯间及停车区的检修通道上应设置室内消火栓； </w:t>
      </w:r>
    </w:p>
    <w:p>
      <w:pPr>
        <w:pStyle w:val="BodyText"/>
        <w:spacing w:before="12"/>
        <w:rPr>
          <w:sz w:val="17"/>
        </w:rPr>
      </w:pPr>
    </w:p>
    <w:p>
      <w:pPr>
        <w:pStyle w:val="BodyText"/>
        <w:ind w:left="838"/>
      </w:pPr>
      <w:r>
        <w:rPr/>
        <w:t>汽车库内应设置排烟设施，排烟口应设置在运输车辆的通道顶部。 </w:t>
      </w:r>
    </w:p>
    <w:p>
      <w:pPr>
        <w:pStyle w:val="BodyText"/>
        <w:rPr>
          <w:sz w:val="18"/>
        </w:rPr>
      </w:pPr>
    </w:p>
    <w:p>
      <w:pPr>
        <w:pStyle w:val="ListParagraph"/>
        <w:numPr>
          <w:ilvl w:val="2"/>
          <w:numId w:val="775"/>
        </w:numPr>
        <w:tabs>
          <w:tab w:pos="1370" w:val="left" w:leader="none"/>
        </w:tabs>
        <w:spacing w:line="439" w:lineRule="auto" w:before="0" w:after="0"/>
        <w:ind w:left="418" w:right="1707" w:firstLine="422"/>
        <w:jc w:val="left"/>
        <w:rPr>
          <w:sz w:val="21"/>
        </w:rPr>
      </w:pPr>
      <w:r>
        <w:rPr>
          <w:spacing w:val="-3"/>
          <w:sz w:val="21"/>
        </w:rPr>
        <w:t>甲、乙类物品运输车的汽车库、修车库，每个防火分区的最大允许建筑面积不应大</w:t>
      </w:r>
      <w:r>
        <w:rPr>
          <w:spacing w:val="-29"/>
          <w:sz w:val="21"/>
        </w:rPr>
        <w:t>于 </w:t>
      </w:r>
      <w:r>
        <w:rPr>
          <w:sz w:val="21"/>
        </w:rPr>
        <w:t>500m</w:t>
      </w:r>
      <w:r>
        <w:rPr>
          <w:position w:val="11"/>
          <w:sz w:val="11"/>
        </w:rPr>
        <w:t>2</w:t>
      </w:r>
      <w:r>
        <w:rPr>
          <w:spacing w:val="-3"/>
          <w:sz w:val="21"/>
        </w:rPr>
        <w:t>。</w:t>
      </w:r>
      <w:r>
        <w:rPr>
          <w:sz w:val="21"/>
        </w:rPr>
        <w:t> </w:t>
      </w:r>
    </w:p>
    <w:p>
      <w:pPr>
        <w:pStyle w:val="ListParagraph"/>
        <w:numPr>
          <w:ilvl w:val="2"/>
          <w:numId w:val="775"/>
        </w:numPr>
        <w:tabs>
          <w:tab w:pos="1370" w:val="left" w:leader="none"/>
        </w:tabs>
        <w:spacing w:line="441" w:lineRule="auto" w:before="0" w:after="0"/>
        <w:ind w:left="418" w:right="1608" w:firstLine="422"/>
        <w:jc w:val="left"/>
        <w:rPr>
          <w:sz w:val="21"/>
        </w:rPr>
      </w:pPr>
      <w:r>
        <w:rPr>
          <w:spacing w:val="-5"/>
          <w:sz w:val="21"/>
        </w:rPr>
        <w:t>修车库每个防火分区的最大允许建筑面积不应大于 </w:t>
      </w:r>
      <w:r>
        <w:rPr>
          <w:sz w:val="21"/>
        </w:rPr>
        <w:t>2000m</w:t>
      </w:r>
      <w:r>
        <w:rPr>
          <w:position w:val="11"/>
          <w:sz w:val="11"/>
        </w:rPr>
        <w:t>2</w:t>
      </w:r>
      <w:r>
        <w:rPr>
          <w:spacing w:val="-3"/>
          <w:sz w:val="21"/>
        </w:rPr>
        <w:t>，当修车部位与相邻使用有机溶剂的清洗和喷漆工段采用防火墙分隔时，每个防火分区的最大允许建筑面积不应大于4000m</w:t>
      </w:r>
      <w:r>
        <w:rPr>
          <w:spacing w:val="-3"/>
          <w:position w:val="11"/>
          <w:sz w:val="11"/>
        </w:rPr>
        <w:t>2</w:t>
      </w:r>
      <w:r>
        <w:rPr>
          <w:spacing w:val="-3"/>
          <w:sz w:val="21"/>
        </w:rPr>
        <w:t>。</w:t>
      </w:r>
      <w:r>
        <w:rPr>
          <w:sz w:val="21"/>
        </w:rPr>
        <w:t> </w:t>
      </w:r>
    </w:p>
    <w:p>
      <w:pPr>
        <w:pStyle w:val="ListParagraph"/>
        <w:numPr>
          <w:ilvl w:val="2"/>
          <w:numId w:val="775"/>
        </w:numPr>
        <w:tabs>
          <w:tab w:pos="1370" w:val="left" w:leader="none"/>
        </w:tabs>
        <w:spacing w:line="240" w:lineRule="auto" w:before="1" w:after="0"/>
        <w:ind w:left="1369" w:right="0" w:hanging="530"/>
        <w:jc w:val="left"/>
        <w:rPr>
          <w:sz w:val="21"/>
        </w:rPr>
      </w:pPr>
      <w:r>
        <w:rPr>
          <w:spacing w:val="-3"/>
          <w:sz w:val="21"/>
        </w:rPr>
        <w:t>汽车库、修车库与其他建筑合建时，应符合下列规定：</w:t>
      </w:r>
      <w:r>
        <w:rPr>
          <w:sz w:val="21"/>
        </w:rPr>
        <w:t> </w:t>
      </w:r>
    </w:p>
    <w:p>
      <w:pPr>
        <w:pStyle w:val="BodyText"/>
        <w:rPr>
          <w:sz w:val="18"/>
        </w:rPr>
      </w:pPr>
    </w:p>
    <w:p>
      <w:pPr>
        <w:pStyle w:val="BodyText"/>
        <w:ind w:left="838"/>
      </w:pPr>
      <w:r>
        <w:rPr>
          <w:spacing w:val="-3"/>
        </w:rPr>
        <w:t>当贴邻建造时，应采用防火墙隔开；</w:t>
      </w:r>
      <w:r>
        <w:rPr/>
        <w:t> </w:t>
      </w:r>
    </w:p>
    <w:p>
      <w:pPr>
        <w:pStyle w:val="BodyText"/>
        <w:spacing w:before="2"/>
        <w:rPr>
          <w:sz w:val="18"/>
        </w:rPr>
      </w:pPr>
    </w:p>
    <w:p>
      <w:pPr>
        <w:pStyle w:val="BodyText"/>
        <w:spacing w:line="446" w:lineRule="auto"/>
        <w:ind w:left="418" w:right="1609" w:firstLine="419"/>
      </w:pPr>
      <w:r>
        <w:rPr>
          <w:spacing w:val="-3"/>
        </w:rPr>
        <w:t>设在建筑物内的汽车库（包括屋顶停车场</w:t>
      </w:r>
      <w:r>
        <w:rPr/>
        <w:t>）</w:t>
      </w:r>
      <w:r>
        <w:rPr>
          <w:spacing w:val="-3"/>
        </w:rPr>
        <w:t>、修车库与其他部位之间，应采用防火墙和耐</w:t>
      </w:r>
      <w:r>
        <w:rPr>
          <w:spacing w:val="-11"/>
        </w:rPr>
        <w:t>火极限不低于 </w:t>
      </w:r>
      <w:r>
        <w:rPr/>
        <w:t>2.00h</w:t>
      </w:r>
      <w:r>
        <w:rPr>
          <w:spacing w:val="-9"/>
        </w:rPr>
        <w:t> 的不燃性楼板分隔；</w:t>
      </w:r>
      <w:r>
        <w:rPr/>
        <w:t> </w:t>
      </w:r>
    </w:p>
    <w:p>
      <w:pPr>
        <w:pStyle w:val="BodyText"/>
        <w:spacing w:line="446" w:lineRule="auto"/>
        <w:ind w:left="418" w:right="2022" w:firstLine="419"/>
      </w:pPr>
      <w:r>
        <w:rPr/>
        <w:t>汽车库、修车库的外墙门、洞口的上方，应设置耐火极限不低于 1.00h、宽度不小于1.0m、长度不小于开口宽度的不燃性防火挑檐； </w:t>
      </w:r>
    </w:p>
    <w:p>
      <w:pPr>
        <w:pStyle w:val="BodyText"/>
        <w:spacing w:line="446" w:lineRule="auto"/>
        <w:ind w:left="418" w:right="1714" w:firstLine="419"/>
      </w:pPr>
      <w:r>
        <w:rPr>
          <w:spacing w:val="-5"/>
        </w:rPr>
        <w:t>汽车库、修车库的外墙上、下层开口之间墙的高度，不应小于 </w:t>
      </w:r>
      <w:r>
        <w:rPr/>
        <w:t>1.2m</w:t>
      </w:r>
      <w:r>
        <w:rPr>
          <w:spacing w:val="-8"/>
        </w:rPr>
        <w:t> 或设置耐火极限不低</w:t>
      </w:r>
      <w:r>
        <w:rPr>
          <w:spacing w:val="-31"/>
        </w:rPr>
        <w:t>于 </w:t>
      </w:r>
      <w:r>
        <w:rPr/>
        <w:t>1.00h</w:t>
      </w:r>
      <w:r>
        <w:rPr>
          <w:spacing w:val="-11"/>
        </w:rPr>
        <w:t>、宽度不小于 </w:t>
      </w:r>
      <w:r>
        <w:rPr/>
        <w:t>1.0m</w:t>
      </w:r>
      <w:r>
        <w:rPr>
          <w:spacing w:val="-9"/>
        </w:rPr>
        <w:t> 的不燃性防火挑檐。</w:t>
      </w:r>
      <w:r>
        <w:rPr/>
        <w:t> </w:t>
      </w:r>
    </w:p>
    <w:p>
      <w:pPr>
        <w:pStyle w:val="ListParagraph"/>
        <w:numPr>
          <w:ilvl w:val="2"/>
          <w:numId w:val="775"/>
        </w:numPr>
        <w:tabs>
          <w:tab w:pos="1371" w:val="left" w:leader="none"/>
        </w:tabs>
        <w:spacing w:line="446" w:lineRule="auto" w:before="0" w:after="0"/>
        <w:ind w:left="418" w:right="1604" w:firstLine="422"/>
        <w:jc w:val="left"/>
        <w:rPr>
          <w:sz w:val="21"/>
        </w:rPr>
      </w:pPr>
      <w:r>
        <w:rPr>
          <w:spacing w:val="-3"/>
          <w:sz w:val="21"/>
        </w:rPr>
        <w:t>汽车库内设置修理车位时，停车部位与修车部位之间应采用防火墙和耐火极限不低</w:t>
      </w:r>
      <w:r>
        <w:rPr>
          <w:spacing w:val="-28"/>
          <w:sz w:val="21"/>
        </w:rPr>
        <w:t>于 </w:t>
      </w:r>
      <w:r>
        <w:rPr>
          <w:sz w:val="21"/>
        </w:rPr>
        <w:t>2.00h</w:t>
      </w:r>
      <w:r>
        <w:rPr>
          <w:spacing w:val="-9"/>
          <w:sz w:val="21"/>
        </w:rPr>
        <w:t> 的不燃性楼板分隔。</w:t>
      </w:r>
      <w:r>
        <w:rPr>
          <w:sz w:val="21"/>
        </w:rPr>
        <w:t> </w:t>
      </w:r>
    </w:p>
    <w:p>
      <w:pPr>
        <w:pStyle w:val="ListParagraph"/>
        <w:numPr>
          <w:ilvl w:val="2"/>
          <w:numId w:val="775"/>
        </w:numPr>
        <w:tabs>
          <w:tab w:pos="1371" w:val="left" w:leader="none"/>
        </w:tabs>
        <w:spacing w:line="446" w:lineRule="auto" w:before="0" w:after="0"/>
        <w:ind w:left="418" w:right="1604" w:firstLine="422"/>
        <w:jc w:val="left"/>
        <w:rPr>
          <w:b/>
          <w:sz w:val="21"/>
        </w:rPr>
      </w:pPr>
      <w:r>
        <w:rPr>
          <w:spacing w:val="-5"/>
          <w:sz w:val="21"/>
        </w:rPr>
        <w:t>修车库内使用有机溶剂清洗和喷漆的工段，当超过 </w:t>
      </w:r>
      <w:r>
        <w:rPr>
          <w:sz w:val="21"/>
        </w:rPr>
        <w:t>3</w:t>
      </w:r>
      <w:r>
        <w:rPr>
          <w:spacing w:val="-8"/>
          <w:sz w:val="21"/>
        </w:rPr>
        <w:t> 个车位时，均应采用防火隔墙</w:t>
      </w:r>
      <w:r>
        <w:rPr>
          <w:spacing w:val="-6"/>
          <w:sz w:val="21"/>
        </w:rPr>
        <w:t>等分隔措施。</w:t>
      </w:r>
      <w:r>
        <w:rPr>
          <w:b/>
          <w:w w:val="99"/>
          <w:sz w:val="21"/>
        </w:rPr>
        <w:t> </w:t>
      </w:r>
    </w:p>
    <w:p>
      <w:pPr>
        <w:pStyle w:val="ListParagraph"/>
        <w:numPr>
          <w:ilvl w:val="2"/>
          <w:numId w:val="775"/>
        </w:numPr>
        <w:tabs>
          <w:tab w:pos="1370" w:val="left" w:leader="none"/>
        </w:tabs>
        <w:spacing w:line="446" w:lineRule="auto" w:before="0" w:after="0"/>
        <w:ind w:left="418" w:right="1604" w:firstLine="422"/>
        <w:jc w:val="both"/>
        <w:rPr>
          <w:sz w:val="21"/>
        </w:rPr>
      </w:pPr>
      <w:r>
        <w:rPr>
          <w:spacing w:val="-3"/>
          <w:sz w:val="21"/>
        </w:rPr>
        <w:t>附设在汽车库、修车库内的消防控制室、自动灭火系统的设备室、消防水泵房和排</w:t>
      </w:r>
      <w:r>
        <w:rPr>
          <w:spacing w:val="-5"/>
          <w:sz w:val="21"/>
        </w:rPr>
        <w:t>烟、通风空气调节机房等，应采用防火隔墙和耐火极限不低于 </w:t>
      </w:r>
      <w:r>
        <w:rPr>
          <w:sz w:val="21"/>
        </w:rPr>
        <w:t>1.50h</w:t>
      </w:r>
      <w:r>
        <w:rPr>
          <w:spacing w:val="-7"/>
          <w:sz w:val="21"/>
        </w:rPr>
        <w:t> 的不燃性楼板相互隔开或</w:t>
      </w:r>
      <w:r>
        <w:rPr>
          <w:spacing w:val="-5"/>
          <w:sz w:val="21"/>
        </w:rPr>
        <w:t>与相邻部位分隔。</w:t>
      </w:r>
      <w:r>
        <w:rPr>
          <w:sz w:val="21"/>
        </w:rPr>
        <w:t> </w:t>
      </w:r>
    </w:p>
    <w:p>
      <w:pPr>
        <w:pStyle w:val="ListParagraph"/>
        <w:numPr>
          <w:ilvl w:val="1"/>
          <w:numId w:val="775"/>
        </w:numPr>
        <w:tabs>
          <w:tab w:pos="1160" w:val="left" w:leader="none"/>
        </w:tabs>
        <w:spacing w:line="268" w:lineRule="exact" w:before="0" w:after="0"/>
        <w:ind w:left="1159" w:right="0" w:hanging="320"/>
        <w:jc w:val="left"/>
        <w:rPr>
          <w:b/>
          <w:sz w:val="21"/>
        </w:rPr>
      </w:pPr>
      <w:r>
        <w:rPr>
          <w:spacing w:val="-3"/>
          <w:sz w:val="21"/>
        </w:rPr>
        <w:t>防火墙、防火隔墙和防火卷帘</w:t>
      </w:r>
      <w:r>
        <w:rPr>
          <w:b/>
          <w:w w:val="99"/>
          <w:sz w:val="21"/>
        </w:rPr>
        <w:t> </w:t>
      </w:r>
    </w:p>
    <w:p>
      <w:pPr>
        <w:pStyle w:val="BodyText"/>
        <w:spacing w:before="8"/>
        <w:rPr>
          <w:b/>
          <w:sz w:val="17"/>
        </w:rPr>
      </w:pPr>
    </w:p>
    <w:p>
      <w:pPr>
        <w:pStyle w:val="ListParagraph"/>
        <w:numPr>
          <w:ilvl w:val="2"/>
          <w:numId w:val="775"/>
        </w:numPr>
        <w:tabs>
          <w:tab w:pos="1424" w:val="left" w:leader="none"/>
        </w:tabs>
        <w:spacing w:line="446" w:lineRule="auto" w:before="0" w:after="0"/>
        <w:ind w:left="418" w:right="1608" w:firstLine="422"/>
        <w:jc w:val="left"/>
        <w:rPr>
          <w:sz w:val="21"/>
        </w:rPr>
      </w:pPr>
      <w:r>
        <w:rPr>
          <w:spacing w:val="-3"/>
          <w:sz w:val="21"/>
        </w:rPr>
        <w:t>防火墙应直接设置在建筑的基础或框架、梁等承重结构上，框架、梁等承重结构的耐火极限不应低于防火墙的耐火极限。防火墙、防火隔墙应从楼地面基层隔断至梁、楼板或屋</w:t>
      </w:r>
    </w:p>
    <w:p>
      <w:pPr>
        <w:spacing w:after="0" w:line="446" w:lineRule="auto"/>
        <w:jc w:val="left"/>
        <w:rPr>
          <w:sz w:val="21"/>
        </w:rPr>
        <w:sectPr>
          <w:pgSz w:w="11910" w:h="16850"/>
          <w:pgMar w:header="0" w:footer="1239" w:top="1220" w:bottom="1420" w:left="1260" w:right="0"/>
        </w:sectPr>
      </w:pPr>
    </w:p>
    <w:p>
      <w:pPr>
        <w:pStyle w:val="BodyText"/>
        <w:spacing w:before="47"/>
        <w:ind w:left="418"/>
      </w:pPr>
      <w:r>
        <w:rPr/>
        <w:t>面结构层的底面。 </w:t>
      </w:r>
    </w:p>
    <w:p>
      <w:pPr>
        <w:pStyle w:val="BodyText"/>
        <w:rPr>
          <w:sz w:val="18"/>
        </w:rPr>
      </w:pPr>
    </w:p>
    <w:p>
      <w:pPr>
        <w:pStyle w:val="ListParagraph"/>
        <w:numPr>
          <w:ilvl w:val="2"/>
          <w:numId w:val="775"/>
        </w:numPr>
        <w:tabs>
          <w:tab w:pos="1371" w:val="left" w:leader="none"/>
        </w:tabs>
        <w:spacing w:line="446" w:lineRule="auto" w:before="0" w:after="0"/>
        <w:ind w:left="418" w:right="1604" w:firstLine="422"/>
        <w:jc w:val="left"/>
        <w:rPr>
          <w:sz w:val="21"/>
        </w:rPr>
      </w:pPr>
      <w:r>
        <w:rPr>
          <w:spacing w:val="-5"/>
          <w:sz w:val="21"/>
        </w:rPr>
        <w:t>当汽车库、修车库的屋面板为不燃材料且耐火极限不低于 </w:t>
      </w:r>
      <w:r>
        <w:rPr>
          <w:sz w:val="21"/>
        </w:rPr>
        <w:t>0.50h</w:t>
      </w:r>
      <w:r>
        <w:rPr>
          <w:spacing w:val="-8"/>
          <w:sz w:val="21"/>
        </w:rPr>
        <w:t> 时，防火墙、防火</w:t>
      </w:r>
      <w:r>
        <w:rPr>
          <w:spacing w:val="-5"/>
          <w:sz w:val="21"/>
        </w:rPr>
        <w:t>隔墙可砌至屋面基层的底部。</w:t>
      </w:r>
      <w:r>
        <w:rPr>
          <w:sz w:val="21"/>
        </w:rPr>
        <w:t> </w:t>
      </w:r>
    </w:p>
    <w:p>
      <w:pPr>
        <w:pStyle w:val="ListParagraph"/>
        <w:numPr>
          <w:ilvl w:val="2"/>
          <w:numId w:val="775"/>
        </w:numPr>
        <w:tabs>
          <w:tab w:pos="1370" w:val="left" w:leader="none"/>
        </w:tabs>
        <w:spacing w:line="446" w:lineRule="auto" w:before="0" w:after="0"/>
        <w:ind w:left="418" w:right="1604" w:firstLine="422"/>
        <w:jc w:val="left"/>
        <w:rPr>
          <w:sz w:val="21"/>
        </w:rPr>
      </w:pPr>
      <w:r>
        <w:rPr>
          <w:spacing w:val="-3"/>
          <w:sz w:val="21"/>
        </w:rPr>
        <w:t>三级耐火等级汽车库、修车库的防火墙、防火隔墙应截断其屋顶结构，并应高出其</w:t>
      </w:r>
      <w:r>
        <w:rPr>
          <w:spacing w:val="-9"/>
          <w:sz w:val="21"/>
        </w:rPr>
        <w:t>不燃性屋面不小于 </w:t>
      </w:r>
      <w:r>
        <w:rPr>
          <w:sz w:val="21"/>
        </w:rPr>
        <w:t>0.4m</w:t>
      </w:r>
      <w:r>
        <w:rPr>
          <w:spacing w:val="-7"/>
          <w:sz w:val="21"/>
        </w:rPr>
        <w:t>；高出可燃性或难燃性屋面不小于 </w:t>
      </w:r>
      <w:r>
        <w:rPr>
          <w:sz w:val="21"/>
        </w:rPr>
        <w:t>0.5m</w:t>
      </w:r>
      <w:r>
        <w:rPr>
          <w:spacing w:val="-3"/>
          <w:sz w:val="21"/>
        </w:rPr>
        <w:t>。</w:t>
      </w:r>
      <w:r>
        <w:rPr>
          <w:sz w:val="21"/>
        </w:rPr>
        <w:t> </w:t>
      </w:r>
    </w:p>
    <w:p>
      <w:pPr>
        <w:pStyle w:val="ListParagraph"/>
        <w:numPr>
          <w:ilvl w:val="2"/>
          <w:numId w:val="775"/>
        </w:numPr>
        <w:tabs>
          <w:tab w:pos="1370" w:val="left" w:leader="none"/>
        </w:tabs>
        <w:spacing w:line="446" w:lineRule="auto" w:before="0" w:after="0"/>
        <w:ind w:left="418" w:right="1603" w:firstLine="422"/>
        <w:jc w:val="left"/>
        <w:rPr>
          <w:sz w:val="21"/>
        </w:rPr>
      </w:pPr>
      <w:r>
        <w:rPr>
          <w:spacing w:val="-3"/>
          <w:sz w:val="21"/>
        </w:rPr>
        <w:t>防火墙不宜设在汽车库、修车库的内转角处。当设在转角处时，内转角处两侧墙上</w:t>
      </w:r>
      <w:r>
        <w:rPr>
          <w:spacing w:val="-5"/>
          <w:sz w:val="21"/>
        </w:rPr>
        <w:t>的门、窗、洞口之间的水平距离不应小于 </w:t>
      </w:r>
      <w:r>
        <w:rPr>
          <w:sz w:val="21"/>
        </w:rPr>
        <w:t>4m</w:t>
      </w:r>
      <w:r>
        <w:rPr>
          <w:spacing w:val="-3"/>
          <w:sz w:val="21"/>
        </w:rPr>
        <w:t>。防火墙两侧的门、窗、洞口之间最近边缘的水</w:t>
      </w:r>
      <w:r>
        <w:rPr>
          <w:spacing w:val="-10"/>
          <w:sz w:val="21"/>
        </w:rPr>
        <w:t>平距离不应小于 </w:t>
      </w:r>
      <w:r>
        <w:rPr>
          <w:sz w:val="21"/>
        </w:rPr>
        <w:t>2m</w:t>
      </w:r>
      <w:r>
        <w:rPr>
          <w:spacing w:val="-3"/>
          <w:sz w:val="21"/>
        </w:rPr>
        <w:t>。当防火墙两侧设置固定乙级防火窗时，可不受距离的限制。 </w:t>
      </w:r>
    </w:p>
    <w:p>
      <w:pPr>
        <w:pStyle w:val="ListParagraph"/>
        <w:numPr>
          <w:ilvl w:val="2"/>
          <w:numId w:val="775"/>
        </w:numPr>
        <w:tabs>
          <w:tab w:pos="1371" w:val="left" w:leader="none"/>
        </w:tabs>
        <w:spacing w:line="446" w:lineRule="auto" w:before="0" w:after="0"/>
        <w:ind w:left="418" w:right="1604" w:firstLine="422"/>
        <w:jc w:val="both"/>
        <w:rPr>
          <w:sz w:val="21"/>
        </w:rPr>
      </w:pPr>
      <w:r>
        <w:rPr>
          <w:spacing w:val="-3"/>
          <w:sz w:val="21"/>
        </w:rPr>
        <w:t>可燃气体和甲、乙类液体管道严禁穿过防火墙，防火墙内不应设置排气道。防火墙或防火隔墙上不应设置通风孔道，也不宜穿过其他管道（</w:t>
      </w:r>
      <w:r>
        <w:rPr>
          <w:sz w:val="21"/>
        </w:rPr>
        <w:t>线）</w:t>
      </w:r>
      <w:r>
        <w:rPr>
          <w:spacing w:val="-3"/>
          <w:sz w:val="21"/>
        </w:rPr>
        <w:t>；当管道</w:t>
      </w:r>
      <w:r>
        <w:rPr>
          <w:sz w:val="21"/>
        </w:rPr>
        <w:t>（</w:t>
      </w:r>
      <w:r>
        <w:rPr>
          <w:spacing w:val="-3"/>
          <w:sz w:val="21"/>
        </w:rPr>
        <w:t>线</w:t>
      </w:r>
      <w:r>
        <w:rPr>
          <w:sz w:val="21"/>
        </w:rPr>
        <w:t>）</w:t>
      </w:r>
      <w:r>
        <w:rPr>
          <w:spacing w:val="-3"/>
          <w:sz w:val="21"/>
        </w:rPr>
        <w:t>穿过防火墙或防火隔墙时，应采用防火封堵材料将孔洞周围的空隙紧密填塞。</w:t>
      </w:r>
      <w:r>
        <w:rPr>
          <w:sz w:val="21"/>
        </w:rPr>
        <w:t> </w:t>
      </w:r>
    </w:p>
    <w:p>
      <w:pPr>
        <w:pStyle w:val="ListParagraph"/>
        <w:numPr>
          <w:ilvl w:val="2"/>
          <w:numId w:val="775"/>
        </w:numPr>
        <w:tabs>
          <w:tab w:pos="1371" w:val="left" w:leader="none"/>
        </w:tabs>
        <w:spacing w:line="446" w:lineRule="auto" w:before="0" w:after="0"/>
        <w:ind w:left="418" w:right="1604" w:firstLine="422"/>
        <w:jc w:val="both"/>
        <w:rPr>
          <w:sz w:val="21"/>
        </w:rPr>
      </w:pPr>
      <w:r>
        <w:rPr>
          <w:spacing w:val="-3"/>
          <w:sz w:val="21"/>
        </w:rPr>
        <w:t>防火墙或防火隔墙上不宜开设门、窗、洞口，当必须开设时，应设置甲级防火门、</w:t>
      </w:r>
      <w:r>
        <w:rPr>
          <w:spacing w:val="-8"/>
          <w:sz w:val="21"/>
        </w:rPr>
        <w:t>窗、或耐火极限不低于 </w:t>
      </w:r>
      <w:r>
        <w:rPr>
          <w:sz w:val="21"/>
        </w:rPr>
        <w:t>3.00h</w:t>
      </w:r>
      <w:r>
        <w:rPr>
          <w:spacing w:val="-10"/>
          <w:sz w:val="21"/>
        </w:rPr>
        <w:t> 的防火卷帘。</w:t>
      </w:r>
      <w:r>
        <w:rPr>
          <w:sz w:val="21"/>
        </w:rPr>
        <w:t> </w:t>
      </w:r>
    </w:p>
    <w:p>
      <w:pPr>
        <w:pStyle w:val="ListParagraph"/>
        <w:numPr>
          <w:ilvl w:val="2"/>
          <w:numId w:val="775"/>
        </w:numPr>
        <w:tabs>
          <w:tab w:pos="1371" w:val="left" w:leader="none"/>
        </w:tabs>
        <w:spacing w:line="446" w:lineRule="auto" w:before="0" w:after="0"/>
        <w:ind w:left="418" w:right="1662" w:firstLine="422"/>
        <w:jc w:val="both"/>
        <w:rPr>
          <w:sz w:val="21"/>
        </w:rPr>
      </w:pPr>
      <w:r>
        <w:rPr>
          <w:spacing w:val="-3"/>
          <w:sz w:val="21"/>
        </w:rPr>
        <w:t>设置在车道上的防火卷帘的耐火极限，应符合现行国家标准《门和卷帘的耐火试验</w:t>
      </w:r>
      <w:r>
        <w:rPr>
          <w:spacing w:val="-2"/>
          <w:sz w:val="21"/>
        </w:rPr>
        <w:t>方法》</w:t>
      </w:r>
      <w:r>
        <w:rPr>
          <w:sz w:val="21"/>
        </w:rPr>
        <w:t>GB/T</w:t>
      </w:r>
      <w:r>
        <w:rPr>
          <w:spacing w:val="25"/>
          <w:sz w:val="21"/>
        </w:rPr>
        <w:t> </w:t>
      </w:r>
      <w:r>
        <w:rPr>
          <w:sz w:val="21"/>
        </w:rPr>
        <w:t>7633</w:t>
      </w:r>
      <w:r>
        <w:rPr>
          <w:spacing w:val="-8"/>
          <w:sz w:val="21"/>
        </w:rPr>
        <w:t> 有关耐火完整性的判定标准；设置在停车区域上的防火卷帘的耐火极限，应</w:t>
      </w:r>
      <w:r>
        <w:rPr>
          <w:spacing w:val="-4"/>
          <w:sz w:val="21"/>
        </w:rPr>
        <w:t>符合现行国家标准《门和卷帘的耐火试验方法》</w:t>
      </w:r>
      <w:r>
        <w:rPr>
          <w:sz w:val="21"/>
        </w:rPr>
        <w:t>GB/T</w:t>
      </w:r>
      <w:r>
        <w:rPr>
          <w:spacing w:val="25"/>
          <w:sz w:val="21"/>
        </w:rPr>
        <w:t> </w:t>
      </w:r>
      <w:r>
        <w:rPr>
          <w:sz w:val="21"/>
        </w:rPr>
        <w:t>7633</w:t>
      </w:r>
      <w:r>
        <w:rPr>
          <w:spacing w:val="-8"/>
          <w:sz w:val="21"/>
        </w:rPr>
        <w:t> 有关耐火完整性和耐火隔热性的判</w:t>
      </w:r>
      <w:r>
        <w:rPr>
          <w:spacing w:val="-4"/>
          <w:sz w:val="21"/>
        </w:rPr>
        <w:t>定标准。</w:t>
      </w:r>
      <w:r>
        <w:rPr>
          <w:sz w:val="21"/>
        </w:rPr>
        <w:t> </w:t>
      </w:r>
    </w:p>
    <w:p>
      <w:pPr>
        <w:pStyle w:val="ListParagraph"/>
        <w:numPr>
          <w:ilvl w:val="1"/>
          <w:numId w:val="775"/>
        </w:numPr>
        <w:tabs>
          <w:tab w:pos="1160" w:val="left" w:leader="none"/>
        </w:tabs>
        <w:spacing w:line="266" w:lineRule="exact" w:before="0" w:after="0"/>
        <w:ind w:left="1159" w:right="0" w:hanging="320"/>
        <w:jc w:val="left"/>
        <w:rPr>
          <w:b/>
          <w:sz w:val="21"/>
        </w:rPr>
      </w:pPr>
      <w:r>
        <w:rPr>
          <w:spacing w:val="-3"/>
          <w:sz w:val="21"/>
        </w:rPr>
        <w:t>电梯井、管道井和其他防火构造</w:t>
      </w:r>
      <w:r>
        <w:rPr>
          <w:b/>
          <w:w w:val="99"/>
          <w:sz w:val="21"/>
        </w:rPr>
        <w:t> </w:t>
      </w:r>
    </w:p>
    <w:p>
      <w:pPr>
        <w:pStyle w:val="BodyText"/>
        <w:spacing w:before="10"/>
        <w:rPr>
          <w:b/>
          <w:sz w:val="17"/>
        </w:rPr>
      </w:pPr>
    </w:p>
    <w:p>
      <w:pPr>
        <w:pStyle w:val="ListParagraph"/>
        <w:numPr>
          <w:ilvl w:val="2"/>
          <w:numId w:val="775"/>
        </w:numPr>
        <w:tabs>
          <w:tab w:pos="1370" w:val="left" w:leader="none"/>
        </w:tabs>
        <w:spacing w:line="446" w:lineRule="auto" w:before="0" w:after="0"/>
        <w:ind w:left="418" w:right="1661" w:firstLine="422"/>
        <w:jc w:val="both"/>
        <w:rPr>
          <w:sz w:val="21"/>
        </w:rPr>
      </w:pPr>
      <w:r>
        <w:rPr>
          <w:spacing w:val="-3"/>
          <w:sz w:val="21"/>
        </w:rPr>
        <w:t>电梯井、管道井、电缆井和楼梯间应分别独立设置。管道井、电缆井的井壁应采用</w:t>
      </w:r>
      <w:r>
        <w:rPr>
          <w:spacing w:val="-5"/>
          <w:sz w:val="21"/>
        </w:rPr>
        <w:t>不燃材料，且耐火极限不应低于 </w:t>
      </w:r>
      <w:r>
        <w:rPr>
          <w:sz w:val="21"/>
        </w:rPr>
        <w:t>1.00h</w:t>
      </w:r>
      <w:r>
        <w:rPr>
          <w:spacing w:val="-3"/>
          <w:sz w:val="21"/>
        </w:rPr>
        <w:t>。电梯井的井壁应采用不燃材料，且耐火极限不应低于2.00h。</w:t>
      </w:r>
      <w:r>
        <w:rPr>
          <w:sz w:val="21"/>
        </w:rPr>
        <w:t> </w:t>
      </w:r>
      <w:r>
        <w:rPr>
          <w:spacing w:val="-2"/>
          <w:sz w:val="21"/>
        </w:rPr>
        <w:t> </w:t>
      </w:r>
      <w:r>
        <w:rPr>
          <w:w w:val="100"/>
          <w:sz w:val="21"/>
        </w:rPr>
        <w:t> </w:t>
      </w:r>
    </w:p>
    <w:p>
      <w:pPr>
        <w:pStyle w:val="ListParagraph"/>
        <w:numPr>
          <w:ilvl w:val="2"/>
          <w:numId w:val="775"/>
        </w:numPr>
        <w:tabs>
          <w:tab w:pos="1370" w:val="left" w:leader="none"/>
        </w:tabs>
        <w:spacing w:line="446" w:lineRule="auto" w:before="0" w:after="0"/>
        <w:ind w:left="418" w:right="1707" w:firstLine="422"/>
        <w:jc w:val="both"/>
        <w:rPr>
          <w:sz w:val="21"/>
        </w:rPr>
      </w:pPr>
      <w:r>
        <w:rPr>
          <w:spacing w:val="-3"/>
          <w:sz w:val="21"/>
        </w:rPr>
        <w:t>电缆井、管道井应在每层楼板处采用不燃材料或防火封堵材料进行分隔，且分隔后的耐火极限不应低于楼板的耐火极限，井壁上的检查门应采用丙级防火门。 </w:t>
      </w:r>
    </w:p>
    <w:p>
      <w:pPr>
        <w:pStyle w:val="ListParagraph"/>
        <w:numPr>
          <w:ilvl w:val="2"/>
          <w:numId w:val="775"/>
        </w:numPr>
        <w:tabs>
          <w:tab w:pos="1370" w:val="left" w:leader="none"/>
        </w:tabs>
        <w:spacing w:line="446" w:lineRule="auto" w:before="0" w:after="0"/>
        <w:ind w:left="418" w:right="1604" w:firstLine="422"/>
        <w:jc w:val="left"/>
        <w:rPr>
          <w:sz w:val="21"/>
        </w:rPr>
      </w:pPr>
      <w:r>
        <w:rPr>
          <w:spacing w:val="-3"/>
          <w:sz w:val="21"/>
        </w:rPr>
        <w:t>除敞开式汽车库、斜楼板式汽车库外，其他汽车库内的汽车坡道两侧应采用防火墙与停车区隔开，坡道的出入口应采用水幕、防火卷帘或甲级防火门等与停车区隔开；但当汽车库和汽车坡道上均设置自动灭火系统时，坡道的出入口可不设置水幕、防火卷帘或甲级防火 门。</w:t>
      </w:r>
      <w:r>
        <w:rPr>
          <w:sz w:val="21"/>
        </w:rPr>
        <w:t> </w:t>
      </w:r>
    </w:p>
    <w:p>
      <w:pPr>
        <w:pStyle w:val="ListParagraph"/>
        <w:numPr>
          <w:ilvl w:val="2"/>
          <w:numId w:val="775"/>
        </w:numPr>
        <w:tabs>
          <w:tab w:pos="1371" w:val="left" w:leader="none"/>
        </w:tabs>
        <w:spacing w:line="240" w:lineRule="auto" w:before="0" w:after="0"/>
        <w:ind w:left="1370" w:right="0" w:hanging="531"/>
        <w:jc w:val="left"/>
        <w:rPr>
          <w:sz w:val="21"/>
        </w:rPr>
      </w:pPr>
      <w:r>
        <w:rPr>
          <w:spacing w:val="-3"/>
          <w:sz w:val="21"/>
        </w:rPr>
        <w:t>汽车库、修车库的内部装修，应符合现行国家标准《建筑内部装修设计防火规范》</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GB 50222 的有关规定。 </w:t>
      </w:r>
    </w:p>
    <w:p>
      <w:pPr>
        <w:pStyle w:val="BodyText"/>
        <w:rPr>
          <w:sz w:val="20"/>
        </w:rPr>
      </w:pPr>
    </w:p>
    <w:p>
      <w:pPr>
        <w:pStyle w:val="BodyText"/>
        <w:spacing w:before="6"/>
        <w:rPr>
          <w:sz w:val="29"/>
        </w:rPr>
      </w:pPr>
    </w:p>
    <w:p>
      <w:pPr>
        <w:pStyle w:val="Heading4"/>
        <w:spacing w:before="66"/>
      </w:pPr>
      <w:r>
        <w:rPr/>
        <w:t>6 安全疏散和救援设施</w:t>
      </w:r>
      <w:r>
        <w:rPr>
          <w:w w:val="99"/>
        </w:rPr>
        <w:t> </w:t>
      </w:r>
    </w:p>
    <w:p>
      <w:pPr>
        <w:pStyle w:val="BodyText"/>
        <w:spacing w:before="6"/>
        <w:rPr>
          <w:b/>
          <w:sz w:val="17"/>
        </w:rPr>
      </w:pPr>
    </w:p>
    <w:p>
      <w:pPr>
        <w:pStyle w:val="ListParagraph"/>
        <w:numPr>
          <w:ilvl w:val="1"/>
          <w:numId w:val="776"/>
        </w:numPr>
        <w:tabs>
          <w:tab w:pos="1213" w:val="left" w:leader="none"/>
        </w:tabs>
        <w:spacing w:line="446" w:lineRule="auto" w:before="1" w:after="0"/>
        <w:ind w:left="418" w:right="1657" w:firstLine="422"/>
        <w:jc w:val="left"/>
        <w:rPr>
          <w:sz w:val="21"/>
        </w:rPr>
      </w:pPr>
      <w:r>
        <w:rPr>
          <w:spacing w:val="-3"/>
          <w:sz w:val="21"/>
        </w:rPr>
        <w:t>汽车库、修车库的人员安全出口和汽车疏散出口应分开设置。设置在工业与民用建筑内的汽车库，其车辆疏散出口应与其他场所的人员安全出口分开设置。</w:t>
      </w:r>
      <w:r>
        <w:rPr>
          <w:sz w:val="21"/>
        </w:rPr>
        <w:t> </w:t>
      </w:r>
    </w:p>
    <w:p>
      <w:pPr>
        <w:pStyle w:val="ListParagraph"/>
        <w:numPr>
          <w:ilvl w:val="1"/>
          <w:numId w:val="776"/>
        </w:numPr>
        <w:tabs>
          <w:tab w:pos="1159" w:val="left" w:leader="none"/>
        </w:tabs>
        <w:spacing w:line="446" w:lineRule="auto" w:before="0" w:after="0"/>
        <w:ind w:left="418" w:right="1604" w:firstLine="422"/>
        <w:jc w:val="left"/>
        <w:rPr>
          <w:sz w:val="21"/>
        </w:rPr>
      </w:pPr>
      <w:r>
        <w:rPr>
          <w:spacing w:val="-3"/>
          <w:sz w:val="21"/>
        </w:rPr>
        <w:t>除室内无车道且无人员停留的机械式汽车库外，汽车库、修车库内每个防火分区的人</w:t>
      </w:r>
      <w:r>
        <w:rPr>
          <w:spacing w:val="-8"/>
          <w:sz w:val="21"/>
        </w:rPr>
        <w:t>员安全出口不应少于 </w:t>
      </w:r>
      <w:r>
        <w:rPr>
          <w:sz w:val="21"/>
        </w:rPr>
        <w:t>2</w:t>
      </w:r>
      <w:r>
        <w:rPr>
          <w:spacing w:val="-11"/>
          <w:sz w:val="21"/>
        </w:rPr>
        <w:t> 个，Ⅳ类汽车库和Ⅲ、Ⅳ类修车库可设置 </w:t>
      </w:r>
      <w:r>
        <w:rPr>
          <w:sz w:val="21"/>
        </w:rPr>
        <w:t>1</w:t>
      </w:r>
      <w:r>
        <w:rPr>
          <w:spacing w:val="-19"/>
          <w:sz w:val="21"/>
        </w:rPr>
        <w:t> 个。</w:t>
      </w:r>
      <w:r>
        <w:rPr>
          <w:sz w:val="21"/>
        </w:rPr>
        <w:t> </w:t>
      </w:r>
    </w:p>
    <w:p>
      <w:pPr>
        <w:pStyle w:val="ListParagraph"/>
        <w:numPr>
          <w:ilvl w:val="1"/>
          <w:numId w:val="776"/>
        </w:numPr>
        <w:tabs>
          <w:tab w:pos="1160" w:val="left" w:leader="none"/>
        </w:tabs>
        <w:spacing w:line="240" w:lineRule="auto" w:before="0" w:after="0"/>
        <w:ind w:left="1159" w:right="0" w:hanging="320"/>
        <w:jc w:val="left"/>
        <w:rPr>
          <w:sz w:val="21"/>
        </w:rPr>
      </w:pPr>
      <w:r>
        <w:rPr>
          <w:spacing w:val="-3"/>
          <w:sz w:val="21"/>
        </w:rPr>
        <w:t>汽车库、修车库的疏散楼梯应符合下列规定：</w:t>
      </w:r>
      <w:r>
        <w:rPr>
          <w:sz w:val="21"/>
        </w:rPr>
        <w:t> </w:t>
      </w:r>
    </w:p>
    <w:p>
      <w:pPr>
        <w:pStyle w:val="BodyText"/>
        <w:spacing w:before="10"/>
        <w:rPr>
          <w:sz w:val="17"/>
        </w:rPr>
      </w:pPr>
    </w:p>
    <w:p>
      <w:pPr>
        <w:pStyle w:val="BodyText"/>
        <w:spacing w:line="446" w:lineRule="auto"/>
        <w:ind w:left="418" w:right="1611" w:firstLine="419"/>
      </w:pPr>
      <w:r>
        <w:rPr>
          <w:spacing w:val="-9"/>
        </w:rPr>
        <w:t>建筑高度大于 </w:t>
      </w:r>
      <w:r>
        <w:rPr/>
        <w:t>32m</w:t>
      </w:r>
      <w:r>
        <w:rPr>
          <w:spacing w:val="-10"/>
        </w:rPr>
        <w:t> 的高层汽车库、室内地面与室外出入口地坪的高差大于 </w:t>
      </w:r>
      <w:r>
        <w:rPr/>
        <w:t>10m</w:t>
      </w:r>
      <w:r>
        <w:rPr>
          <w:spacing w:val="-10"/>
        </w:rPr>
        <w:t> 的地下汽车</w:t>
      </w:r>
      <w:r>
        <w:rPr>
          <w:spacing w:val="-5"/>
        </w:rPr>
        <w:t>库应采用防烟楼梯间，其他汽车库、修车库应采用封闭楼梯间；</w:t>
      </w:r>
      <w:r>
        <w:rPr/>
        <w:t> </w:t>
      </w:r>
    </w:p>
    <w:p>
      <w:pPr>
        <w:pStyle w:val="BodyText"/>
        <w:spacing w:line="446" w:lineRule="auto"/>
        <w:ind w:left="838" w:right="4026"/>
      </w:pPr>
      <w:r>
        <w:rPr/>
        <w:t>楼梯间和前室的门应采用乙级防火门，并应向疏散方向开启； 疏散楼梯的宽度不应小于 1.1m。 </w:t>
      </w:r>
    </w:p>
    <w:p>
      <w:pPr>
        <w:pStyle w:val="ListParagraph"/>
        <w:numPr>
          <w:ilvl w:val="1"/>
          <w:numId w:val="776"/>
        </w:numPr>
        <w:tabs>
          <w:tab w:pos="1159" w:val="left" w:leader="none"/>
        </w:tabs>
        <w:spacing w:line="446" w:lineRule="auto" w:before="0" w:after="0"/>
        <w:ind w:left="418" w:right="1604" w:firstLine="422"/>
        <w:jc w:val="left"/>
        <w:rPr>
          <w:sz w:val="21"/>
        </w:rPr>
      </w:pPr>
      <w:r>
        <w:rPr>
          <w:spacing w:val="-5"/>
          <w:sz w:val="21"/>
        </w:rPr>
        <w:t>除室内无车道且无人员停留的机械式汽车库外，建筑高度大于 </w:t>
      </w:r>
      <w:r>
        <w:rPr>
          <w:sz w:val="21"/>
        </w:rPr>
        <w:t>32m</w:t>
      </w:r>
      <w:r>
        <w:rPr>
          <w:spacing w:val="-8"/>
          <w:sz w:val="21"/>
        </w:rPr>
        <w:t> 的汽车库应设置消</w:t>
      </w:r>
      <w:r>
        <w:rPr>
          <w:spacing w:val="-5"/>
          <w:sz w:val="21"/>
        </w:rPr>
        <w:t>防电梯。消防电梯的设置应符合现行国家标准《建筑设计防火规范》</w:t>
      </w:r>
      <w:r>
        <w:rPr>
          <w:sz w:val="21"/>
        </w:rPr>
        <w:t>GB</w:t>
      </w:r>
      <w:r>
        <w:rPr>
          <w:spacing w:val="11"/>
          <w:sz w:val="21"/>
        </w:rPr>
        <w:t> </w:t>
      </w:r>
      <w:r>
        <w:rPr>
          <w:sz w:val="21"/>
        </w:rPr>
        <w:t>50016</w:t>
      </w:r>
      <w:r>
        <w:rPr>
          <w:spacing w:val="-9"/>
          <w:sz w:val="21"/>
        </w:rPr>
        <w:t> 的有关规定。 </w:t>
      </w:r>
    </w:p>
    <w:p>
      <w:pPr>
        <w:pStyle w:val="ListParagraph"/>
        <w:numPr>
          <w:ilvl w:val="1"/>
          <w:numId w:val="776"/>
        </w:numPr>
        <w:tabs>
          <w:tab w:pos="1159" w:val="left" w:leader="none"/>
        </w:tabs>
        <w:spacing w:line="267" w:lineRule="exact" w:before="0" w:after="0"/>
        <w:ind w:left="1158" w:right="0" w:hanging="319"/>
        <w:jc w:val="left"/>
        <w:rPr>
          <w:sz w:val="21"/>
        </w:rPr>
      </w:pPr>
      <w:r>
        <w:rPr>
          <w:spacing w:val="-3"/>
          <w:sz w:val="21"/>
        </w:rPr>
        <w:t>室外疏散楼梯可采用金属楼梯，并应符合下列规定：</w:t>
      </w:r>
      <w:r>
        <w:rPr>
          <w:sz w:val="21"/>
        </w:rPr>
        <w:t> </w:t>
      </w:r>
    </w:p>
    <w:p>
      <w:pPr>
        <w:pStyle w:val="BodyText"/>
        <w:spacing w:before="1"/>
        <w:rPr>
          <w:sz w:val="18"/>
        </w:rPr>
      </w:pPr>
    </w:p>
    <w:p>
      <w:pPr>
        <w:pStyle w:val="BodyText"/>
        <w:spacing w:before="1"/>
        <w:ind w:left="838"/>
      </w:pPr>
      <w:r>
        <w:rPr/>
        <w:t>倾斜角度不应大于 45°，栏杆扶手的高度不应小于 1.1m； </w:t>
      </w:r>
    </w:p>
    <w:p>
      <w:pPr>
        <w:pStyle w:val="BodyText"/>
        <w:spacing w:before="12"/>
        <w:rPr>
          <w:sz w:val="17"/>
        </w:rPr>
      </w:pPr>
    </w:p>
    <w:p>
      <w:pPr>
        <w:pStyle w:val="BodyText"/>
        <w:ind w:left="838"/>
      </w:pPr>
      <w:r>
        <w:rPr/>
        <w:t>每层楼梯平台应采用耐火极限不低于 1.00h 的不燃材料制作； </w:t>
      </w:r>
    </w:p>
    <w:p>
      <w:pPr>
        <w:pStyle w:val="BodyText"/>
        <w:spacing w:before="12"/>
        <w:rPr>
          <w:sz w:val="17"/>
        </w:rPr>
      </w:pPr>
    </w:p>
    <w:p>
      <w:pPr>
        <w:pStyle w:val="BodyText"/>
        <w:spacing w:line="446" w:lineRule="auto"/>
        <w:ind w:left="838" w:right="2242"/>
      </w:pPr>
      <w:r>
        <w:rPr>
          <w:spacing w:val="-9"/>
        </w:rPr>
        <w:t>在室外楼梯周围 </w:t>
      </w:r>
      <w:r>
        <w:rPr/>
        <w:t>2m</w:t>
      </w:r>
      <w:r>
        <w:rPr>
          <w:spacing w:val="-8"/>
        </w:rPr>
        <w:t> 范围内的墙面上，不应开设除疏散门外的其他门、窗、洞口； </w:t>
      </w:r>
      <w:r>
        <w:rPr>
          <w:spacing w:val="-3"/>
        </w:rPr>
        <w:t>通向室外楼梯的门应采用乙级防火门。</w:t>
      </w:r>
      <w:r>
        <w:rPr/>
        <w:t> </w:t>
      </w:r>
    </w:p>
    <w:p>
      <w:pPr>
        <w:pStyle w:val="ListParagraph"/>
        <w:numPr>
          <w:ilvl w:val="1"/>
          <w:numId w:val="776"/>
        </w:numPr>
        <w:tabs>
          <w:tab w:pos="1160" w:val="left" w:leader="none"/>
        </w:tabs>
        <w:spacing w:line="446" w:lineRule="auto" w:before="1" w:after="0"/>
        <w:ind w:left="418" w:right="1664" w:firstLine="422"/>
        <w:jc w:val="left"/>
        <w:rPr>
          <w:sz w:val="21"/>
        </w:rPr>
      </w:pPr>
      <w:r>
        <w:rPr>
          <w:spacing w:val="-5"/>
          <w:sz w:val="21"/>
        </w:rPr>
        <w:t>汽车库室内任一点至最近人员安全出口的疏散距离不应大于 </w:t>
      </w:r>
      <w:r>
        <w:rPr>
          <w:sz w:val="21"/>
        </w:rPr>
        <w:t>45m</w:t>
      </w:r>
      <w:r>
        <w:rPr>
          <w:spacing w:val="-2"/>
          <w:sz w:val="21"/>
        </w:rPr>
        <w:t>，当设置自动灭火系</w:t>
      </w:r>
      <w:r>
        <w:rPr>
          <w:spacing w:val="-5"/>
          <w:sz w:val="21"/>
        </w:rPr>
        <w:t>统时，其距离不应大于 </w:t>
      </w:r>
      <w:r>
        <w:rPr>
          <w:sz w:val="21"/>
        </w:rPr>
        <w:t>60m</w:t>
      </w:r>
      <w:r>
        <w:rPr>
          <w:spacing w:val="-3"/>
          <w:sz w:val="21"/>
        </w:rPr>
        <w:t>，对于单层或设置在建筑首层的汽车库，室内任一点至室外最近出</w:t>
      </w:r>
      <w:r>
        <w:rPr>
          <w:spacing w:val="-8"/>
          <w:sz w:val="21"/>
        </w:rPr>
        <w:t>口的疏散距离不应大于 </w:t>
      </w:r>
      <w:r>
        <w:rPr>
          <w:sz w:val="21"/>
        </w:rPr>
        <w:t>60m</w:t>
      </w:r>
      <w:r>
        <w:rPr>
          <w:spacing w:val="-3"/>
          <w:sz w:val="21"/>
        </w:rPr>
        <w:t>。</w:t>
      </w:r>
      <w:r>
        <w:rPr>
          <w:sz w:val="21"/>
        </w:rPr>
        <w:t> </w:t>
      </w:r>
    </w:p>
    <w:p>
      <w:pPr>
        <w:pStyle w:val="ListParagraph"/>
        <w:numPr>
          <w:ilvl w:val="1"/>
          <w:numId w:val="776"/>
        </w:numPr>
        <w:tabs>
          <w:tab w:pos="1160" w:val="left" w:leader="none"/>
        </w:tabs>
        <w:spacing w:line="446" w:lineRule="auto" w:before="0" w:after="0"/>
        <w:ind w:left="418" w:right="1604" w:firstLine="422"/>
        <w:jc w:val="both"/>
        <w:rPr>
          <w:sz w:val="21"/>
        </w:rPr>
      </w:pPr>
      <w:r>
        <w:rPr>
          <w:spacing w:val="-3"/>
          <w:sz w:val="21"/>
        </w:rPr>
        <w:t>与住宅地下室相连通的地下汽车库、半地下汽车库，人员疏散可借用住宅部分的疏散楼梯；当不能直接进入住宅部分的疏散楼梯间时，应在汽车库与住宅部分的疏散楼梯之间设置连通走道，走道应采用防火隔墙分隔，汽车库开向该走道的门均应采用甲级防火门。</w:t>
      </w:r>
      <w:r>
        <w:rPr>
          <w:sz w:val="21"/>
        </w:rPr>
        <w:t> </w:t>
      </w:r>
    </w:p>
    <w:p>
      <w:pPr>
        <w:pStyle w:val="ListParagraph"/>
        <w:numPr>
          <w:ilvl w:val="1"/>
          <w:numId w:val="776"/>
        </w:numPr>
        <w:tabs>
          <w:tab w:pos="1159" w:val="left" w:leader="none"/>
        </w:tabs>
        <w:spacing w:line="446" w:lineRule="auto" w:before="0" w:after="0"/>
        <w:ind w:left="418" w:right="1603" w:firstLine="422"/>
        <w:jc w:val="left"/>
        <w:rPr>
          <w:sz w:val="21"/>
        </w:rPr>
      </w:pPr>
      <w:r>
        <w:rPr>
          <w:spacing w:val="-3"/>
          <w:sz w:val="21"/>
        </w:rPr>
        <w:t>室内无车道且无人员停留的机械式汽车库可不设置人员安全出口，但应按下列规定设置供灭火救援用的楼梯间： </w:t>
      </w:r>
    </w:p>
    <w:p>
      <w:pPr>
        <w:pStyle w:val="BodyText"/>
        <w:ind w:left="838"/>
      </w:pPr>
      <w:r>
        <w:rPr/>
        <w:t>每个停车区域当停车数量大于 100 辆时，应至少设置 1 个楼梯间； </w:t>
      </w:r>
    </w:p>
    <w:p>
      <w:pPr>
        <w:spacing w:after="0"/>
        <w:sectPr>
          <w:pgSz w:w="11910" w:h="16850"/>
          <w:pgMar w:header="0" w:footer="1239" w:top="1220" w:bottom="1420" w:left="1260" w:right="0"/>
        </w:sectPr>
      </w:pPr>
    </w:p>
    <w:p>
      <w:pPr>
        <w:pStyle w:val="BodyText"/>
        <w:spacing w:line="446" w:lineRule="auto" w:before="47"/>
        <w:ind w:left="838" w:right="2134"/>
      </w:pPr>
      <w:r>
        <w:rPr>
          <w:spacing w:val="-3"/>
        </w:rPr>
        <w:t>楼梯间与停车区域之间应采用防火隔墙进行分隔，楼梯间的门应采用乙级防火门； </w:t>
      </w:r>
      <w:r>
        <w:rPr>
          <w:spacing w:val="-8"/>
        </w:rPr>
        <w:t>楼梯的净宽不应小于 </w:t>
      </w:r>
      <w:r>
        <w:rPr/>
        <w:t>0.9m。 </w:t>
      </w:r>
    </w:p>
    <w:p>
      <w:pPr>
        <w:pStyle w:val="ListParagraph"/>
        <w:numPr>
          <w:ilvl w:val="1"/>
          <w:numId w:val="776"/>
        </w:numPr>
        <w:tabs>
          <w:tab w:pos="1159" w:val="left" w:leader="none"/>
        </w:tabs>
        <w:spacing w:line="446" w:lineRule="auto" w:before="0" w:after="0"/>
        <w:ind w:left="418" w:right="1707" w:firstLine="422"/>
        <w:jc w:val="left"/>
        <w:rPr>
          <w:sz w:val="21"/>
        </w:rPr>
      </w:pPr>
      <w:r>
        <w:rPr>
          <w:spacing w:val="-4"/>
          <w:sz w:val="21"/>
        </w:rPr>
        <w:t>除本规范另有规定外，汽车库、修车库的汽车疏散出口总数不应少于 </w:t>
      </w:r>
      <w:r>
        <w:rPr>
          <w:sz w:val="21"/>
        </w:rPr>
        <w:t>2</w:t>
      </w:r>
      <w:r>
        <w:rPr>
          <w:spacing w:val="-7"/>
          <w:sz w:val="21"/>
        </w:rPr>
        <w:t> 个，且应分散</w:t>
      </w:r>
      <w:r>
        <w:rPr>
          <w:spacing w:val="-5"/>
          <w:sz w:val="21"/>
        </w:rPr>
        <w:t>布置。</w:t>
      </w:r>
      <w:r>
        <w:rPr>
          <w:sz w:val="21"/>
        </w:rPr>
        <w:t> </w:t>
      </w:r>
    </w:p>
    <w:p>
      <w:pPr>
        <w:pStyle w:val="ListParagraph"/>
        <w:numPr>
          <w:ilvl w:val="1"/>
          <w:numId w:val="776"/>
        </w:numPr>
        <w:tabs>
          <w:tab w:pos="1266" w:val="left" w:leader="none"/>
        </w:tabs>
        <w:spacing w:line="446" w:lineRule="auto" w:before="0" w:after="0"/>
        <w:ind w:left="838" w:right="2655" w:firstLine="2"/>
        <w:jc w:val="left"/>
        <w:rPr>
          <w:sz w:val="21"/>
        </w:rPr>
      </w:pPr>
      <w:r>
        <w:rPr>
          <w:spacing w:val="-4"/>
          <w:sz w:val="21"/>
        </w:rPr>
        <w:t>当符合下列条件之一时，汽车库、修车库的汽车疏散出口可设置 </w:t>
      </w:r>
      <w:r>
        <w:rPr>
          <w:sz w:val="21"/>
        </w:rPr>
        <w:t>1</w:t>
      </w:r>
      <w:r>
        <w:rPr>
          <w:spacing w:val="-10"/>
          <w:sz w:val="21"/>
        </w:rPr>
        <w:t> 个： </w:t>
      </w:r>
      <w:r>
        <w:rPr>
          <w:spacing w:val="-6"/>
          <w:sz w:val="21"/>
        </w:rPr>
        <w:t>Ⅳ类汽车库；</w:t>
      </w:r>
      <w:r>
        <w:rPr>
          <w:sz w:val="21"/>
        </w:rPr>
        <w:t> </w:t>
      </w:r>
    </w:p>
    <w:p>
      <w:pPr>
        <w:pStyle w:val="BodyText"/>
        <w:ind w:left="838"/>
      </w:pPr>
      <w:r>
        <w:rPr/>
        <w:t>设置双车道汽车疏散出口的Ⅲ类地上汽车库； </w:t>
      </w:r>
    </w:p>
    <w:p>
      <w:pPr>
        <w:pStyle w:val="BodyText"/>
        <w:spacing w:before="11"/>
        <w:rPr>
          <w:sz w:val="17"/>
        </w:rPr>
      </w:pPr>
    </w:p>
    <w:p>
      <w:pPr>
        <w:pStyle w:val="BodyText"/>
        <w:spacing w:line="446" w:lineRule="auto"/>
        <w:ind w:left="418" w:right="1716" w:firstLine="419"/>
      </w:pPr>
      <w:r>
        <w:rPr>
          <w:spacing w:val="-5"/>
        </w:rPr>
        <w:t>设置双车道汽车疏散出口、停车数量小于或等于 </w:t>
      </w:r>
      <w:r>
        <w:rPr/>
        <w:t>100</w:t>
      </w:r>
      <w:r>
        <w:rPr>
          <w:spacing w:val="-12"/>
        </w:rPr>
        <w:t> 辆且建筑面积小于 </w:t>
      </w:r>
      <w:r>
        <w:rPr/>
        <w:t>4000m2</w:t>
      </w:r>
      <w:r>
        <w:rPr>
          <w:spacing w:val="-10"/>
        </w:rPr>
        <w:t> 的地下或</w:t>
      </w:r>
      <w:r>
        <w:rPr>
          <w:spacing w:val="-5"/>
        </w:rPr>
        <w:t>半地下汽车库；</w:t>
      </w:r>
      <w:r>
        <w:rPr/>
        <w:t> </w:t>
      </w:r>
    </w:p>
    <w:p>
      <w:pPr>
        <w:pStyle w:val="BodyText"/>
        <w:ind w:left="838"/>
      </w:pPr>
      <w:r>
        <w:rPr/>
        <w:t>Ⅱ、Ⅲ、Ⅳ类修车库。 </w:t>
      </w:r>
    </w:p>
    <w:p>
      <w:pPr>
        <w:pStyle w:val="BodyText"/>
        <w:spacing w:before="12"/>
        <w:rPr>
          <w:sz w:val="17"/>
        </w:rPr>
      </w:pPr>
    </w:p>
    <w:p>
      <w:pPr>
        <w:pStyle w:val="ListParagraph"/>
        <w:numPr>
          <w:ilvl w:val="1"/>
          <w:numId w:val="776"/>
        </w:numPr>
        <w:tabs>
          <w:tab w:pos="1266" w:val="left" w:leader="none"/>
        </w:tabs>
        <w:spacing w:line="446" w:lineRule="auto" w:before="0" w:after="0"/>
        <w:ind w:left="418" w:right="1608" w:firstLine="422"/>
        <w:jc w:val="left"/>
        <w:rPr>
          <w:sz w:val="21"/>
        </w:rPr>
      </w:pPr>
      <w:r>
        <w:rPr>
          <w:spacing w:val="-5"/>
          <w:sz w:val="21"/>
        </w:rPr>
        <w:t>Ⅰ、Ⅱ类地上汽车库和停车数量大于 </w:t>
      </w:r>
      <w:r>
        <w:rPr>
          <w:sz w:val="21"/>
        </w:rPr>
        <w:t>100</w:t>
      </w:r>
      <w:r>
        <w:rPr>
          <w:spacing w:val="-7"/>
          <w:sz w:val="21"/>
        </w:rPr>
        <w:t> 辆的地下、半地下汽车库，当采用错层或斜</w:t>
      </w:r>
      <w:r>
        <w:rPr>
          <w:spacing w:val="-4"/>
          <w:sz w:val="21"/>
        </w:rPr>
        <w:t>楼板式，坡道为双车道且设置自动喷水灭火系统时，其首层或地下一层至室外的汽车疏散出口</w:t>
      </w:r>
      <w:r>
        <w:rPr>
          <w:spacing w:val="-13"/>
          <w:sz w:val="21"/>
        </w:rPr>
        <w:t>不应少于 </w:t>
      </w:r>
      <w:r>
        <w:rPr>
          <w:sz w:val="21"/>
        </w:rPr>
        <w:t>2</w:t>
      </w:r>
      <w:r>
        <w:rPr>
          <w:spacing w:val="-11"/>
          <w:sz w:val="21"/>
        </w:rPr>
        <w:t> 个，汽车库内的其他楼层的汽车疏散坡道可设置 </w:t>
      </w:r>
      <w:r>
        <w:rPr>
          <w:sz w:val="21"/>
        </w:rPr>
        <w:t>1</w:t>
      </w:r>
      <w:r>
        <w:rPr>
          <w:spacing w:val="-20"/>
          <w:sz w:val="21"/>
        </w:rPr>
        <w:t> 个。</w:t>
      </w:r>
      <w:r>
        <w:rPr>
          <w:sz w:val="21"/>
        </w:rPr>
        <w:t> </w:t>
      </w:r>
    </w:p>
    <w:p>
      <w:pPr>
        <w:pStyle w:val="ListParagraph"/>
        <w:numPr>
          <w:ilvl w:val="1"/>
          <w:numId w:val="776"/>
        </w:numPr>
        <w:tabs>
          <w:tab w:pos="1266" w:val="left" w:leader="none"/>
        </w:tabs>
        <w:spacing w:line="446" w:lineRule="auto" w:before="0" w:after="0"/>
        <w:ind w:left="418" w:right="1707" w:firstLine="422"/>
        <w:jc w:val="left"/>
        <w:rPr>
          <w:sz w:val="21"/>
        </w:rPr>
      </w:pPr>
      <w:r>
        <w:rPr>
          <w:spacing w:val="-3"/>
          <w:sz w:val="21"/>
        </w:rPr>
        <w:t>Ⅳ类汽车库设置汽车坡道有困难时，可采用汽车专用升降机作汽车疏散出口，升降</w:t>
      </w:r>
      <w:r>
        <w:rPr>
          <w:spacing w:val="-9"/>
          <w:sz w:val="21"/>
        </w:rPr>
        <w:t>机的数量不应少于 </w:t>
      </w:r>
      <w:r>
        <w:rPr>
          <w:sz w:val="21"/>
        </w:rPr>
        <w:t>2</w:t>
      </w:r>
      <w:r>
        <w:rPr>
          <w:spacing w:val="-14"/>
          <w:sz w:val="21"/>
        </w:rPr>
        <w:t> 台，停车数量少于 </w:t>
      </w:r>
      <w:r>
        <w:rPr>
          <w:sz w:val="21"/>
        </w:rPr>
        <w:t>25</w:t>
      </w:r>
      <w:r>
        <w:rPr>
          <w:spacing w:val="-16"/>
          <w:sz w:val="21"/>
        </w:rPr>
        <w:t> 辆时，可设置 </w:t>
      </w:r>
      <w:r>
        <w:rPr>
          <w:sz w:val="21"/>
        </w:rPr>
        <w:t>1</w:t>
      </w:r>
      <w:r>
        <w:rPr>
          <w:spacing w:val="-20"/>
          <w:sz w:val="21"/>
        </w:rPr>
        <w:t> 台。</w:t>
      </w:r>
      <w:r>
        <w:rPr>
          <w:sz w:val="21"/>
        </w:rPr>
        <w:t> </w:t>
      </w:r>
    </w:p>
    <w:p>
      <w:pPr>
        <w:pStyle w:val="ListParagraph"/>
        <w:numPr>
          <w:ilvl w:val="1"/>
          <w:numId w:val="776"/>
        </w:numPr>
        <w:tabs>
          <w:tab w:pos="1266" w:val="left" w:leader="none"/>
        </w:tabs>
        <w:spacing w:line="240" w:lineRule="auto" w:before="0" w:after="0"/>
        <w:ind w:left="1265" w:right="0" w:hanging="426"/>
        <w:jc w:val="left"/>
        <w:rPr>
          <w:sz w:val="21"/>
        </w:rPr>
      </w:pPr>
      <w:r>
        <w:rPr>
          <w:spacing w:val="-6"/>
          <w:sz w:val="21"/>
        </w:rPr>
        <w:t>汽车疏散坡道的净宽度，单车道不应小于 </w:t>
      </w:r>
      <w:r>
        <w:rPr>
          <w:sz w:val="21"/>
        </w:rPr>
        <w:t>3.0m</w:t>
      </w:r>
      <w:r>
        <w:rPr>
          <w:spacing w:val="-9"/>
          <w:sz w:val="21"/>
        </w:rPr>
        <w:t>，双车道不应小于 </w:t>
      </w:r>
      <w:r>
        <w:rPr>
          <w:sz w:val="21"/>
        </w:rPr>
        <w:t>5.5m</w:t>
      </w:r>
      <w:r>
        <w:rPr>
          <w:spacing w:val="-3"/>
          <w:sz w:val="21"/>
        </w:rPr>
        <w:t>。</w:t>
      </w:r>
      <w:r>
        <w:rPr>
          <w:sz w:val="21"/>
        </w:rPr>
        <w:t> </w:t>
      </w:r>
    </w:p>
    <w:p>
      <w:pPr>
        <w:pStyle w:val="BodyText"/>
        <w:spacing w:before="11"/>
        <w:rPr>
          <w:sz w:val="17"/>
        </w:rPr>
      </w:pPr>
    </w:p>
    <w:p>
      <w:pPr>
        <w:pStyle w:val="ListParagraph"/>
        <w:numPr>
          <w:ilvl w:val="1"/>
          <w:numId w:val="776"/>
        </w:numPr>
        <w:tabs>
          <w:tab w:pos="1266" w:val="left" w:leader="none"/>
        </w:tabs>
        <w:spacing w:line="446" w:lineRule="auto" w:before="0" w:after="0"/>
        <w:ind w:left="418" w:right="1707" w:firstLine="422"/>
        <w:jc w:val="left"/>
        <w:rPr>
          <w:sz w:val="21"/>
        </w:rPr>
      </w:pPr>
      <w:r>
        <w:rPr>
          <w:spacing w:val="-3"/>
          <w:sz w:val="21"/>
        </w:rPr>
        <w:t>除室内无车道且无人员停留的机械式汽车库外，相邻两个汽车疏散出口之间的水平</w:t>
      </w:r>
      <w:r>
        <w:rPr>
          <w:spacing w:val="-11"/>
          <w:sz w:val="21"/>
        </w:rPr>
        <w:t>距离不应小于 </w:t>
      </w:r>
      <w:r>
        <w:rPr>
          <w:sz w:val="21"/>
        </w:rPr>
        <w:t>10m</w:t>
      </w:r>
      <w:r>
        <w:rPr>
          <w:spacing w:val="-3"/>
          <w:sz w:val="21"/>
        </w:rPr>
        <w:t>；毗邻设置的两个汽车坡道应采用防火隔墙分隔。</w:t>
      </w:r>
      <w:r>
        <w:rPr>
          <w:sz w:val="21"/>
        </w:rPr>
        <w:t> </w:t>
      </w:r>
    </w:p>
    <w:p>
      <w:pPr>
        <w:pStyle w:val="ListParagraph"/>
        <w:numPr>
          <w:ilvl w:val="1"/>
          <w:numId w:val="776"/>
        </w:numPr>
        <w:tabs>
          <w:tab w:pos="1264" w:val="left" w:leader="none"/>
        </w:tabs>
        <w:spacing w:line="240" w:lineRule="auto" w:before="0" w:after="0"/>
        <w:ind w:left="1263" w:right="0" w:hanging="424"/>
        <w:jc w:val="left"/>
        <w:rPr>
          <w:sz w:val="21"/>
        </w:rPr>
      </w:pPr>
      <w:r>
        <w:rPr>
          <w:spacing w:val="-7"/>
          <w:sz w:val="21"/>
        </w:rPr>
        <w:t>停车场的汽车疏散出口不应少于 </w:t>
      </w:r>
      <w:r>
        <w:rPr>
          <w:sz w:val="21"/>
        </w:rPr>
        <w:t>2</w:t>
      </w:r>
      <w:r>
        <w:rPr>
          <w:spacing w:val="-13"/>
          <w:sz w:val="21"/>
        </w:rPr>
        <w:t> 个；停车数量不大于 </w:t>
      </w:r>
      <w:r>
        <w:rPr>
          <w:sz w:val="21"/>
        </w:rPr>
        <w:t>50</w:t>
      </w:r>
      <w:r>
        <w:rPr>
          <w:spacing w:val="-16"/>
          <w:sz w:val="21"/>
        </w:rPr>
        <w:t> 辆时，可设置 </w:t>
      </w:r>
      <w:r>
        <w:rPr>
          <w:sz w:val="21"/>
        </w:rPr>
        <w:t>1</w:t>
      </w:r>
      <w:r>
        <w:rPr>
          <w:spacing w:val="-20"/>
          <w:sz w:val="21"/>
        </w:rPr>
        <w:t> 个。</w:t>
      </w:r>
      <w:r>
        <w:rPr>
          <w:sz w:val="21"/>
        </w:rPr>
        <w:t> </w:t>
      </w:r>
    </w:p>
    <w:p>
      <w:pPr>
        <w:pStyle w:val="BodyText"/>
        <w:rPr>
          <w:sz w:val="18"/>
        </w:rPr>
      </w:pPr>
    </w:p>
    <w:p>
      <w:pPr>
        <w:pStyle w:val="ListParagraph"/>
        <w:numPr>
          <w:ilvl w:val="1"/>
          <w:numId w:val="776"/>
        </w:numPr>
        <w:tabs>
          <w:tab w:pos="1262" w:val="left" w:leader="none"/>
        </w:tabs>
        <w:spacing w:line="446" w:lineRule="auto" w:before="0" w:after="0"/>
        <w:ind w:left="418" w:right="1709" w:firstLine="419"/>
        <w:jc w:val="left"/>
        <w:rPr>
          <w:sz w:val="21"/>
        </w:rPr>
      </w:pPr>
      <w:r>
        <w:rPr/>
        <w:drawing>
          <wp:anchor distT="0" distB="0" distL="0" distR="0" allowOverlap="1" layoutInCell="1" locked="0" behindDoc="0" simplePos="0" relativeHeight="259">
            <wp:simplePos x="0" y="0"/>
            <wp:positionH relativeFrom="page">
              <wp:posOffset>1192530</wp:posOffset>
            </wp:positionH>
            <wp:positionV relativeFrom="paragraph">
              <wp:posOffset>657478</wp:posOffset>
            </wp:positionV>
            <wp:extent cx="4970780" cy="2238375"/>
            <wp:effectExtent l="0" t="0" r="0" b="0"/>
            <wp:wrapTopAndBottom/>
            <wp:docPr id="609" name="image353.jpeg"/>
            <wp:cNvGraphicFramePr>
              <a:graphicFrameLocks noChangeAspect="1"/>
            </wp:cNvGraphicFramePr>
            <a:graphic>
              <a:graphicData uri="http://schemas.openxmlformats.org/drawingml/2006/picture">
                <pic:pic>
                  <pic:nvPicPr>
                    <pic:cNvPr id="610" name="image353.jpeg"/>
                    <pic:cNvPicPr/>
                  </pic:nvPicPr>
                  <pic:blipFill>
                    <a:blip r:embed="rId427" cstate="print"/>
                    <a:stretch>
                      <a:fillRect/>
                    </a:stretch>
                  </pic:blipFill>
                  <pic:spPr>
                    <a:xfrm>
                      <a:off x="0" y="0"/>
                      <a:ext cx="4970780" cy="2238375"/>
                    </a:xfrm>
                    <a:prstGeom prst="rect">
                      <a:avLst/>
                    </a:prstGeom>
                  </pic:spPr>
                </pic:pic>
              </a:graphicData>
            </a:graphic>
          </wp:anchor>
        </w:drawing>
      </w:r>
      <w:r>
        <w:rPr>
          <w:spacing w:val="-3"/>
          <w:sz w:val="21"/>
        </w:rPr>
        <w:t>除室内无车道且无人员停留的机械式汽车库外，汽车库内汽车之间和汽车与墙、柱</w:t>
      </w:r>
      <w:r>
        <w:rPr>
          <w:spacing w:val="-7"/>
          <w:sz w:val="21"/>
        </w:rPr>
        <w:t>之间的水平距离，不应小于表 </w:t>
      </w:r>
      <w:r>
        <w:rPr>
          <w:sz w:val="21"/>
        </w:rPr>
        <w:t>6.0.16</w:t>
      </w:r>
      <w:r>
        <w:rPr>
          <w:spacing w:val="-13"/>
          <w:sz w:val="21"/>
        </w:rPr>
        <w:t> 的规定。</w:t>
      </w:r>
      <w:r>
        <w:rPr>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609" w:firstLine="419"/>
      </w:pPr>
      <w:r>
        <w:rPr/>
        <w:t>注：当墙、柱外有暖气片等突出物时，汽车与墙、柱之间的水平距离应从其凸出部分外缘算起。 </w:t>
      </w:r>
    </w:p>
    <w:p>
      <w:pPr>
        <w:pStyle w:val="BodyText"/>
        <w:rPr>
          <w:sz w:val="20"/>
        </w:rPr>
      </w:pPr>
    </w:p>
    <w:p>
      <w:pPr>
        <w:pStyle w:val="Heading4"/>
        <w:spacing w:before="214"/>
      </w:pPr>
      <w:r>
        <w:rPr/>
        <w:t>7 消防给水和灭火设施</w:t>
      </w:r>
      <w:r>
        <w:rPr>
          <w:w w:val="99"/>
        </w:rPr>
        <w:t> </w:t>
      </w:r>
    </w:p>
    <w:p>
      <w:pPr>
        <w:pStyle w:val="BodyText"/>
        <w:spacing w:before="3"/>
        <w:rPr>
          <w:b/>
          <w:sz w:val="17"/>
        </w:rPr>
      </w:pPr>
    </w:p>
    <w:p>
      <w:pPr>
        <w:pStyle w:val="ListParagraph"/>
        <w:numPr>
          <w:ilvl w:val="1"/>
          <w:numId w:val="777"/>
        </w:numPr>
        <w:tabs>
          <w:tab w:pos="1159" w:val="left" w:leader="none"/>
        </w:tabs>
        <w:spacing w:line="240" w:lineRule="auto" w:before="0" w:after="0"/>
        <w:ind w:left="1158" w:right="0" w:hanging="319"/>
        <w:jc w:val="left"/>
        <w:rPr>
          <w:sz w:val="21"/>
        </w:rPr>
      </w:pPr>
      <w:r>
        <w:rPr>
          <w:spacing w:val="-3"/>
          <w:sz w:val="21"/>
        </w:rPr>
        <w:t>消防给水</w:t>
      </w:r>
      <w:r>
        <w:rPr>
          <w:sz w:val="21"/>
        </w:rPr>
        <w:t> </w:t>
      </w:r>
    </w:p>
    <w:p>
      <w:pPr>
        <w:pStyle w:val="BodyText"/>
        <w:rPr>
          <w:sz w:val="18"/>
        </w:rPr>
      </w:pPr>
    </w:p>
    <w:p>
      <w:pPr>
        <w:pStyle w:val="ListParagraph"/>
        <w:numPr>
          <w:ilvl w:val="2"/>
          <w:numId w:val="777"/>
        </w:numPr>
        <w:tabs>
          <w:tab w:pos="1371" w:val="left" w:leader="none"/>
        </w:tabs>
        <w:spacing w:line="446" w:lineRule="auto" w:before="0" w:after="0"/>
        <w:ind w:left="418" w:right="1604" w:firstLine="422"/>
        <w:jc w:val="both"/>
        <w:rPr>
          <w:sz w:val="21"/>
        </w:rPr>
      </w:pPr>
      <w:r>
        <w:rPr>
          <w:spacing w:val="-3"/>
          <w:sz w:val="21"/>
        </w:rPr>
        <w:t>汽车库、修车库、停车场应设置消防给水系统。消防给水可由市政给水管道、消防水池或天然水源供给。利用天然水源时，应设置可靠的取水设施和通向天然水源的道路，并应在枯水期最低水位时，确保消防用水量。</w:t>
      </w:r>
      <w:r>
        <w:rPr>
          <w:sz w:val="21"/>
        </w:rPr>
        <w:t> </w:t>
      </w:r>
    </w:p>
    <w:p>
      <w:pPr>
        <w:pStyle w:val="ListParagraph"/>
        <w:numPr>
          <w:ilvl w:val="2"/>
          <w:numId w:val="777"/>
        </w:numPr>
        <w:tabs>
          <w:tab w:pos="1371" w:val="left" w:leader="none"/>
        </w:tabs>
        <w:spacing w:line="268" w:lineRule="exact" w:before="0" w:after="0"/>
        <w:ind w:left="1370" w:right="0" w:hanging="531"/>
        <w:jc w:val="left"/>
        <w:rPr>
          <w:sz w:val="21"/>
        </w:rPr>
      </w:pPr>
      <w:r>
        <w:rPr>
          <w:spacing w:val="-3"/>
          <w:sz w:val="21"/>
        </w:rPr>
        <w:t>符合下列条件之一的汽车库、修车库、停车场，可不设置消防给水系统： </w:t>
      </w:r>
    </w:p>
    <w:p>
      <w:pPr>
        <w:pStyle w:val="BodyText"/>
        <w:spacing w:before="2"/>
        <w:rPr>
          <w:sz w:val="18"/>
        </w:rPr>
      </w:pPr>
    </w:p>
    <w:p>
      <w:pPr>
        <w:pStyle w:val="BodyText"/>
        <w:spacing w:line="446" w:lineRule="auto"/>
        <w:ind w:left="838" w:right="4657"/>
      </w:pPr>
      <w:r>
        <w:rPr/>
        <w:t>耐火等级为一、二级且停车数量不大于 5 辆的汽车库； 耐火等级为一、二级的Ⅳ类修车库； </w:t>
      </w:r>
    </w:p>
    <w:p>
      <w:pPr>
        <w:pStyle w:val="BodyText"/>
        <w:spacing w:line="267" w:lineRule="exact"/>
        <w:ind w:left="838"/>
      </w:pPr>
      <w:r>
        <w:rPr/>
        <w:t>停车数量不大于 5 辆的停车场。 </w:t>
      </w:r>
    </w:p>
    <w:p>
      <w:pPr>
        <w:pStyle w:val="BodyText"/>
        <w:spacing w:before="2"/>
        <w:rPr>
          <w:sz w:val="18"/>
        </w:rPr>
      </w:pPr>
    </w:p>
    <w:p>
      <w:pPr>
        <w:pStyle w:val="ListParagraph"/>
        <w:numPr>
          <w:ilvl w:val="2"/>
          <w:numId w:val="777"/>
        </w:numPr>
        <w:tabs>
          <w:tab w:pos="1371" w:val="left" w:leader="none"/>
        </w:tabs>
        <w:spacing w:line="446" w:lineRule="auto" w:before="0" w:after="0"/>
        <w:ind w:left="418" w:right="1604" w:firstLine="422"/>
        <w:jc w:val="both"/>
        <w:rPr>
          <w:sz w:val="21"/>
        </w:rPr>
      </w:pPr>
      <w:r>
        <w:rPr>
          <w:spacing w:val="-3"/>
          <w:sz w:val="21"/>
        </w:rPr>
        <w:t>当室外消防给水采用高压或临时高压给水系统时，汽车库、修车库、停车场消防给</w:t>
      </w:r>
      <w:r>
        <w:rPr>
          <w:spacing w:val="-4"/>
          <w:sz w:val="21"/>
        </w:rPr>
        <w:t>水管道内的压力应保证在消防用水量达到最大时，最不利点水枪的充实水柱不小于 </w:t>
      </w:r>
      <w:r>
        <w:rPr>
          <w:sz w:val="21"/>
        </w:rPr>
        <w:t>10m</w:t>
      </w:r>
      <w:r>
        <w:rPr>
          <w:spacing w:val="-2"/>
          <w:sz w:val="21"/>
        </w:rPr>
        <w:t>；当室</w:t>
      </w:r>
      <w:r>
        <w:rPr>
          <w:spacing w:val="-3"/>
          <w:sz w:val="21"/>
        </w:rPr>
        <w:t>外消防给水采用低压给水系统时，消防给水管道内的压力应保证灭火时最不利点消火栓的水压</w:t>
      </w:r>
      <w:r>
        <w:rPr>
          <w:spacing w:val="-15"/>
          <w:sz w:val="21"/>
        </w:rPr>
        <w:t>不小于 </w:t>
      </w:r>
      <w:r>
        <w:rPr>
          <w:sz w:val="21"/>
        </w:rPr>
        <w:t>0.1MPa（</w:t>
      </w:r>
      <w:r>
        <w:rPr>
          <w:spacing w:val="-3"/>
          <w:sz w:val="21"/>
        </w:rPr>
        <w:t>从室外地面算起</w:t>
      </w:r>
      <w:r>
        <w:rPr>
          <w:sz w:val="21"/>
        </w:rPr>
        <w:t>）</w:t>
      </w:r>
      <w:r>
        <w:rPr>
          <w:spacing w:val="-3"/>
          <w:sz w:val="21"/>
        </w:rPr>
        <w:t>。</w:t>
      </w:r>
      <w:r>
        <w:rPr>
          <w:sz w:val="21"/>
        </w:rPr>
        <w:t> </w:t>
      </w:r>
    </w:p>
    <w:p>
      <w:pPr>
        <w:pStyle w:val="ListParagraph"/>
        <w:numPr>
          <w:ilvl w:val="2"/>
          <w:numId w:val="777"/>
        </w:numPr>
        <w:tabs>
          <w:tab w:pos="1370" w:val="left" w:leader="none"/>
        </w:tabs>
        <w:spacing w:line="446" w:lineRule="auto" w:before="0" w:after="0"/>
        <w:ind w:left="418" w:right="1604" w:firstLine="422"/>
        <w:jc w:val="both"/>
        <w:rPr>
          <w:sz w:val="21"/>
        </w:rPr>
      </w:pPr>
      <w:r>
        <w:rPr>
          <w:spacing w:val="-3"/>
          <w:sz w:val="21"/>
        </w:rPr>
        <w:t>汽车库、修车库的消防用水量应按室内、外消防用水量之和计算。其中，汽车库、修车库内设置消火栓、自动喷水、泡沫等灭火系统时，其室内消防用水量应按需要同时开启的灭火系统用水量之和计算。 </w:t>
      </w:r>
    </w:p>
    <w:p>
      <w:pPr>
        <w:pStyle w:val="ListParagraph"/>
        <w:numPr>
          <w:ilvl w:val="2"/>
          <w:numId w:val="777"/>
        </w:numPr>
        <w:tabs>
          <w:tab w:pos="1370" w:val="left" w:leader="none"/>
        </w:tabs>
        <w:spacing w:line="446" w:lineRule="auto" w:before="0" w:after="0"/>
        <w:ind w:left="418" w:right="1707" w:firstLine="422"/>
        <w:jc w:val="both"/>
        <w:rPr>
          <w:sz w:val="21"/>
        </w:rPr>
      </w:pPr>
      <w:r>
        <w:rPr>
          <w:spacing w:val="-3"/>
          <w:sz w:val="21"/>
        </w:rPr>
        <w:t>除本规范另有规定外，汽车库、修车库、停车场应设置室外消火栓系统，其室外消防用水量应按消防用水量最大的一座计算，并应符合下列规定：</w:t>
      </w:r>
      <w:r>
        <w:rPr>
          <w:sz w:val="21"/>
        </w:rPr>
        <w:t> </w:t>
      </w:r>
    </w:p>
    <w:p>
      <w:pPr>
        <w:pStyle w:val="BodyText"/>
        <w:spacing w:line="446" w:lineRule="auto"/>
        <w:ind w:left="838" w:right="4712"/>
      </w:pPr>
      <w:r>
        <w:rPr>
          <w:spacing w:val="-6"/>
        </w:rPr>
        <w:t>Ⅰ、Ⅱ类汽车库、修车库、停车场，不应小于 </w:t>
      </w:r>
      <w:r>
        <w:rPr/>
        <w:t>20L/s； </w:t>
      </w:r>
      <w:r>
        <w:rPr>
          <w:spacing w:val="1"/>
        </w:rPr>
        <w:t>Ⅲ类汽车库、修车库、停车场，不应小于   </w:t>
      </w:r>
      <w:r>
        <w:rPr/>
        <w:t>15L/s； </w:t>
      </w:r>
      <w:r>
        <w:rPr>
          <w:spacing w:val="-6"/>
        </w:rPr>
        <w:t>Ⅳ类汽车库、修车库、停车场，不应小于 </w:t>
      </w:r>
      <w:r>
        <w:rPr/>
        <w:t>10L/s</w:t>
      </w:r>
      <w:r>
        <w:rPr>
          <w:spacing w:val="-3"/>
        </w:rPr>
        <w:t>。</w:t>
      </w:r>
      <w:r>
        <w:rPr/>
        <w:t> </w:t>
      </w:r>
    </w:p>
    <w:p>
      <w:pPr>
        <w:pStyle w:val="ListParagraph"/>
        <w:numPr>
          <w:ilvl w:val="2"/>
          <w:numId w:val="777"/>
        </w:numPr>
        <w:tabs>
          <w:tab w:pos="1371" w:val="left" w:leader="none"/>
        </w:tabs>
        <w:spacing w:line="446" w:lineRule="auto" w:before="0" w:after="0"/>
        <w:ind w:left="418" w:right="1604" w:firstLine="422"/>
        <w:jc w:val="left"/>
        <w:rPr>
          <w:sz w:val="21"/>
        </w:rPr>
      </w:pPr>
      <w:r>
        <w:rPr>
          <w:spacing w:val="-3"/>
          <w:sz w:val="21"/>
        </w:rPr>
        <w:t>汽车库、修车库、停车场的室外消防给水管道、室外消火栓、消防泵房的设置，应符合现行国家标准《消防给水及消火栓系统技术规范》</w:t>
      </w:r>
      <w:r>
        <w:rPr>
          <w:sz w:val="21"/>
        </w:rPr>
        <w:t>GB</w:t>
      </w:r>
      <w:r>
        <w:rPr>
          <w:spacing w:val="2"/>
          <w:sz w:val="21"/>
        </w:rPr>
        <w:t> </w:t>
      </w:r>
      <w:r>
        <w:rPr>
          <w:sz w:val="21"/>
        </w:rPr>
        <w:t>50974</w:t>
      </w:r>
      <w:r>
        <w:rPr>
          <w:spacing w:val="-11"/>
          <w:sz w:val="21"/>
        </w:rPr>
        <w:t> 的有关规定。 </w:t>
      </w:r>
    </w:p>
    <w:p>
      <w:pPr>
        <w:pStyle w:val="BodyText"/>
        <w:spacing w:line="446" w:lineRule="auto"/>
        <w:ind w:left="418" w:right="1707" w:firstLine="419"/>
      </w:pPr>
      <w:r>
        <w:rPr/>
        <w:t>停车场的室外消火栓宜沿停车场周边设置，且距离最近一排汽车不宜小于 7m，距加油站或油库不宜小于 15m。 </w:t>
      </w:r>
    </w:p>
    <w:p>
      <w:pPr>
        <w:spacing w:after="0" w:line="446" w:lineRule="auto"/>
        <w:sectPr>
          <w:pgSz w:w="11910" w:h="16850"/>
          <w:pgMar w:header="0" w:footer="1239" w:top="1220" w:bottom="1420" w:left="1260" w:right="0"/>
        </w:sectPr>
      </w:pPr>
    </w:p>
    <w:p>
      <w:pPr>
        <w:pStyle w:val="ListParagraph"/>
        <w:numPr>
          <w:ilvl w:val="2"/>
          <w:numId w:val="777"/>
        </w:numPr>
        <w:tabs>
          <w:tab w:pos="1371" w:val="left" w:leader="none"/>
        </w:tabs>
        <w:spacing w:line="446" w:lineRule="auto" w:before="47" w:after="0"/>
        <w:ind w:left="418" w:right="1659" w:firstLine="422"/>
        <w:jc w:val="left"/>
        <w:rPr>
          <w:sz w:val="21"/>
        </w:rPr>
      </w:pPr>
      <w:r>
        <w:rPr>
          <w:spacing w:val="-6"/>
          <w:sz w:val="21"/>
        </w:rPr>
        <w:t>室外消火栓的保护半径不应大于 </w:t>
      </w:r>
      <w:r>
        <w:rPr>
          <w:sz w:val="21"/>
        </w:rPr>
        <w:t>150m</w:t>
      </w:r>
      <w:r>
        <w:rPr>
          <w:spacing w:val="-7"/>
          <w:sz w:val="21"/>
        </w:rPr>
        <w:t>，在市政消火栓保护半径 </w:t>
      </w:r>
      <w:r>
        <w:rPr>
          <w:sz w:val="21"/>
        </w:rPr>
        <w:t>150m</w:t>
      </w:r>
      <w:r>
        <w:rPr>
          <w:spacing w:val="-9"/>
          <w:sz w:val="21"/>
        </w:rPr>
        <w:t> 范围内的汽车</w:t>
      </w:r>
      <w:r>
        <w:rPr>
          <w:spacing w:val="-5"/>
          <w:sz w:val="21"/>
        </w:rPr>
        <w:t>库、修车库、停车场，市政消火栓可计入建筑室外消火栓的数量。</w:t>
      </w:r>
      <w:r>
        <w:rPr>
          <w:sz w:val="21"/>
        </w:rPr>
        <w:t> </w:t>
      </w:r>
    </w:p>
    <w:p>
      <w:pPr>
        <w:pStyle w:val="ListParagraph"/>
        <w:numPr>
          <w:ilvl w:val="2"/>
          <w:numId w:val="777"/>
        </w:numPr>
        <w:tabs>
          <w:tab w:pos="1370" w:val="left" w:leader="none"/>
        </w:tabs>
        <w:spacing w:line="446" w:lineRule="auto" w:before="0" w:after="0"/>
        <w:ind w:left="418" w:right="1707" w:firstLine="422"/>
        <w:jc w:val="left"/>
        <w:rPr>
          <w:sz w:val="21"/>
        </w:rPr>
      </w:pPr>
      <w:r>
        <w:rPr>
          <w:spacing w:val="-3"/>
          <w:sz w:val="21"/>
        </w:rPr>
        <w:t>除本规范另有规定外，汽车库、修车库应设置室内消火栓系统，其消防用水量应符合下列规定：</w:t>
      </w:r>
      <w:r>
        <w:rPr>
          <w:sz w:val="21"/>
        </w:rPr>
        <w:t> </w:t>
      </w:r>
    </w:p>
    <w:p>
      <w:pPr>
        <w:pStyle w:val="BodyText"/>
        <w:spacing w:line="446" w:lineRule="auto"/>
        <w:ind w:left="418" w:right="1602" w:firstLine="419"/>
      </w:pPr>
      <w:r>
        <w:rPr/>
        <w:t>Ⅰ、Ⅱ、Ⅲ类汽车库及Ⅰ、Ⅱ类修车库的用水量不应小于 10L/s，系统管道内的压力应保证相邻两个消火栓的水枪充实水柱同时到达室内任何部位；  </w:t>
      </w:r>
      <w:r>
        <w:rPr>
          <w:w w:val="100"/>
        </w:rPr>
        <w:t> </w:t>
      </w:r>
    </w:p>
    <w:p>
      <w:pPr>
        <w:pStyle w:val="BodyText"/>
        <w:spacing w:line="446" w:lineRule="auto"/>
        <w:ind w:left="418" w:right="1707" w:firstLine="419"/>
      </w:pPr>
      <w:r>
        <w:rPr/>
        <w:t>Ⅳ类汽车库及Ⅲ、Ⅳ类修车库的用水量不应小于 5L/s，系统管道内的压力应保证一个消火栓的水枪充实水柱到达室内任何部位。 </w:t>
      </w:r>
    </w:p>
    <w:p>
      <w:pPr>
        <w:pStyle w:val="ListParagraph"/>
        <w:numPr>
          <w:ilvl w:val="2"/>
          <w:numId w:val="777"/>
        </w:numPr>
        <w:tabs>
          <w:tab w:pos="1370" w:val="left" w:leader="none"/>
        </w:tabs>
        <w:spacing w:line="267" w:lineRule="exact" w:before="0" w:after="0"/>
        <w:ind w:left="1369" w:right="0" w:hanging="530"/>
        <w:jc w:val="left"/>
        <w:rPr>
          <w:sz w:val="21"/>
        </w:rPr>
      </w:pPr>
      <w:r>
        <w:rPr>
          <w:spacing w:val="-6"/>
          <w:sz w:val="21"/>
        </w:rPr>
        <w:t>室内消火栓水枪的充实水柱不应小于 </w:t>
      </w:r>
      <w:r>
        <w:rPr>
          <w:sz w:val="21"/>
        </w:rPr>
        <w:t>10m</w:t>
      </w:r>
      <w:r>
        <w:rPr>
          <w:spacing w:val="-3"/>
          <w:sz w:val="21"/>
        </w:rPr>
        <w:t>。同层相邻室内消火栓的间距不应大于</w:t>
      </w:r>
    </w:p>
    <w:p>
      <w:pPr>
        <w:pStyle w:val="BodyText"/>
        <w:rPr>
          <w:sz w:val="18"/>
        </w:rPr>
      </w:pPr>
    </w:p>
    <w:p>
      <w:pPr>
        <w:pStyle w:val="BodyText"/>
        <w:ind w:left="418"/>
      </w:pPr>
      <w:r>
        <w:rPr/>
        <w:t>50m，高层汽车库和地下汽车库、半地下汽车库室内消火栓的间距不应大于 30m。 </w:t>
      </w:r>
    </w:p>
    <w:p>
      <w:pPr>
        <w:pStyle w:val="BodyText"/>
        <w:spacing w:before="12"/>
        <w:rPr>
          <w:sz w:val="17"/>
        </w:rPr>
      </w:pPr>
    </w:p>
    <w:p>
      <w:pPr>
        <w:pStyle w:val="BodyText"/>
        <w:spacing w:line="446" w:lineRule="auto"/>
        <w:ind w:left="418" w:right="1707" w:firstLine="419"/>
      </w:pPr>
      <w:r>
        <w:rPr/>
        <w:t>室内消火栓应设置在易于取用的明显地点，栓口距离地面宜为 1.1m，其出水方向宜向下或与设置消火栓的墙面垂直。 </w:t>
      </w:r>
    </w:p>
    <w:p>
      <w:pPr>
        <w:pStyle w:val="ListParagraph"/>
        <w:numPr>
          <w:ilvl w:val="2"/>
          <w:numId w:val="777"/>
        </w:numPr>
        <w:tabs>
          <w:tab w:pos="1478" w:val="left" w:leader="none"/>
        </w:tabs>
        <w:spacing w:line="446" w:lineRule="auto" w:before="0" w:after="0"/>
        <w:ind w:left="418" w:right="1601" w:firstLine="422"/>
        <w:jc w:val="left"/>
        <w:rPr>
          <w:sz w:val="21"/>
        </w:rPr>
      </w:pPr>
      <w:r>
        <w:rPr>
          <w:spacing w:val="-6"/>
          <w:sz w:val="21"/>
        </w:rPr>
        <w:t>汽车库、修车库室内消火栓超过 </w:t>
      </w:r>
      <w:r>
        <w:rPr>
          <w:sz w:val="21"/>
        </w:rPr>
        <w:t>10</w:t>
      </w:r>
      <w:r>
        <w:rPr>
          <w:spacing w:val="-8"/>
          <w:sz w:val="21"/>
        </w:rPr>
        <w:t> 个时，室内消防管道应布置成环状，并应有两</w:t>
      </w:r>
      <w:r>
        <w:rPr>
          <w:spacing w:val="-5"/>
          <w:sz w:val="21"/>
        </w:rPr>
        <w:t>条进水管与室外管道相连接。</w:t>
      </w:r>
      <w:r>
        <w:rPr>
          <w:sz w:val="21"/>
        </w:rPr>
        <w:t> </w:t>
      </w:r>
    </w:p>
    <w:p>
      <w:pPr>
        <w:pStyle w:val="ListParagraph"/>
        <w:numPr>
          <w:ilvl w:val="2"/>
          <w:numId w:val="777"/>
        </w:numPr>
        <w:tabs>
          <w:tab w:pos="1478" w:val="left" w:leader="none"/>
        </w:tabs>
        <w:spacing w:line="267" w:lineRule="exact" w:before="0" w:after="0"/>
        <w:ind w:left="1477" w:right="0" w:hanging="638"/>
        <w:jc w:val="left"/>
        <w:rPr>
          <w:sz w:val="21"/>
        </w:rPr>
      </w:pPr>
      <w:r>
        <w:rPr>
          <w:spacing w:val="-5"/>
          <w:sz w:val="21"/>
        </w:rPr>
        <w:t>室内消防管道应采用阀门分成若干独立段，每段内消火栓不应超过 </w:t>
      </w:r>
      <w:r>
        <w:rPr>
          <w:sz w:val="21"/>
        </w:rPr>
        <w:t>5</w:t>
      </w:r>
      <w:r>
        <w:rPr>
          <w:spacing w:val="-10"/>
          <w:sz w:val="21"/>
        </w:rPr>
        <w:t> 个。高层汽</w:t>
      </w:r>
    </w:p>
    <w:p>
      <w:pPr>
        <w:pStyle w:val="BodyText"/>
        <w:spacing w:before="2"/>
        <w:rPr>
          <w:sz w:val="18"/>
        </w:rPr>
      </w:pPr>
    </w:p>
    <w:p>
      <w:pPr>
        <w:pStyle w:val="BodyText"/>
        <w:ind w:left="418"/>
      </w:pPr>
      <w:r>
        <w:rPr/>
        <w:t>车库内管道阀门的布置，应保证检修管道时关闭的竖管不超过 1 根，当竖管超过 4 根时，可关</w:t>
      </w:r>
    </w:p>
    <w:p>
      <w:pPr>
        <w:pStyle w:val="BodyText"/>
        <w:spacing w:before="12"/>
        <w:rPr>
          <w:sz w:val="17"/>
        </w:rPr>
      </w:pPr>
    </w:p>
    <w:p>
      <w:pPr>
        <w:pStyle w:val="BodyText"/>
        <w:ind w:left="418"/>
      </w:pPr>
      <w:r>
        <w:rPr/>
        <w:t>闭不相邻的 2 根。 </w:t>
      </w:r>
    </w:p>
    <w:p>
      <w:pPr>
        <w:pStyle w:val="BodyText"/>
        <w:rPr>
          <w:sz w:val="18"/>
        </w:rPr>
      </w:pPr>
    </w:p>
    <w:p>
      <w:pPr>
        <w:pStyle w:val="ListParagraph"/>
        <w:numPr>
          <w:ilvl w:val="2"/>
          <w:numId w:val="777"/>
        </w:numPr>
        <w:tabs>
          <w:tab w:pos="1478" w:val="left" w:leader="none"/>
        </w:tabs>
        <w:spacing w:line="446" w:lineRule="auto" w:before="0" w:after="0"/>
        <w:ind w:left="418" w:right="1608" w:firstLine="422"/>
        <w:jc w:val="left"/>
        <w:rPr>
          <w:sz w:val="21"/>
        </w:rPr>
      </w:pPr>
      <w:r>
        <w:rPr>
          <w:sz w:val="21"/>
        </w:rPr>
        <w:t>4</w:t>
      </w:r>
      <w:r>
        <w:rPr>
          <w:spacing w:val="-7"/>
          <w:sz w:val="21"/>
        </w:rPr>
        <w:t> 层以上的多层汽车库、高层汽车库和地下、半地下汽车库，其室内消防给水管网</w:t>
      </w:r>
      <w:r>
        <w:rPr>
          <w:spacing w:val="-4"/>
          <w:sz w:val="21"/>
        </w:rPr>
        <w:t>应设置水泵接合器。水泵接合器的数量应按室内消防用水量计算确定，每个水泵接合器的流量</w:t>
      </w:r>
      <w:r>
        <w:rPr>
          <w:spacing w:val="-14"/>
          <w:sz w:val="21"/>
        </w:rPr>
        <w:t>应按 </w:t>
      </w:r>
      <w:r>
        <w:rPr>
          <w:sz w:val="21"/>
        </w:rPr>
        <w:t>10～15L/s</w:t>
      </w:r>
      <w:r>
        <w:rPr>
          <w:spacing w:val="-7"/>
          <w:sz w:val="21"/>
        </w:rPr>
        <w:t> 计算。水泵接合器应设置明显的标志，并应设置在便于消防车停靠和安全使用</w:t>
      </w:r>
      <w:r>
        <w:rPr>
          <w:spacing w:val="-11"/>
          <w:sz w:val="21"/>
        </w:rPr>
        <w:t>的地点，其周围 </w:t>
      </w:r>
      <w:r>
        <w:rPr>
          <w:sz w:val="21"/>
        </w:rPr>
        <w:t>15m～40m</w:t>
      </w:r>
      <w:r>
        <w:rPr>
          <w:spacing w:val="-9"/>
          <w:sz w:val="21"/>
        </w:rPr>
        <w:t> 范围内应设室外消火栓或消防水池。</w:t>
      </w:r>
      <w:r>
        <w:rPr>
          <w:sz w:val="21"/>
        </w:rPr>
        <w:t> </w:t>
      </w:r>
    </w:p>
    <w:p>
      <w:pPr>
        <w:pStyle w:val="ListParagraph"/>
        <w:numPr>
          <w:ilvl w:val="2"/>
          <w:numId w:val="777"/>
        </w:numPr>
        <w:tabs>
          <w:tab w:pos="1478" w:val="left" w:leader="none"/>
        </w:tabs>
        <w:spacing w:line="446" w:lineRule="auto" w:before="0" w:after="0"/>
        <w:ind w:left="418" w:right="1705" w:firstLine="422"/>
        <w:jc w:val="left"/>
        <w:rPr>
          <w:sz w:val="21"/>
        </w:rPr>
      </w:pPr>
      <w:r>
        <w:rPr>
          <w:spacing w:val="-3"/>
          <w:sz w:val="21"/>
        </w:rPr>
        <w:t>设置高压给水系统的汽车库、修车库，当能保证最不利点消火栓和自动喷水灭火系统等的水量和水压时，可不设置消防水箱。</w:t>
      </w:r>
      <w:r>
        <w:rPr>
          <w:sz w:val="21"/>
        </w:rPr>
        <w:t> </w:t>
      </w:r>
    </w:p>
    <w:p>
      <w:pPr>
        <w:pStyle w:val="BodyText"/>
        <w:spacing w:line="441" w:lineRule="auto"/>
        <w:ind w:left="418" w:right="1548" w:firstLine="419"/>
      </w:pPr>
      <w:r>
        <w:rPr/>
        <w:t>设置临时高压消防给水系统的汽车库、修车库，应设置屋顶消防水箱，其容量不应小于12m</w:t>
      </w:r>
      <w:r>
        <w:rPr>
          <w:position w:val="11"/>
          <w:sz w:val="11"/>
        </w:rPr>
        <w:t>3</w:t>
      </w:r>
      <w:r>
        <w:rPr/>
        <w:t>，并应符合现行国家标准《消防给水及消火栓系统技术规范》GB 50974 的有关规定。消防用水与其他用水合用的水箱，应采取保证消防用水不作他用的技术措施。 </w:t>
      </w:r>
    </w:p>
    <w:p>
      <w:pPr>
        <w:pStyle w:val="ListParagraph"/>
        <w:numPr>
          <w:ilvl w:val="2"/>
          <w:numId w:val="777"/>
        </w:numPr>
        <w:tabs>
          <w:tab w:pos="1478" w:val="left" w:leader="none"/>
        </w:tabs>
        <w:spacing w:line="446" w:lineRule="auto" w:before="3" w:after="0"/>
        <w:ind w:left="418" w:right="1707" w:firstLine="422"/>
        <w:jc w:val="left"/>
        <w:rPr>
          <w:sz w:val="21"/>
        </w:rPr>
      </w:pPr>
      <w:r>
        <w:rPr>
          <w:spacing w:val="-3"/>
          <w:sz w:val="21"/>
        </w:rPr>
        <w:t>采用临时高压消防给水系统的汽车库、修车库，其消防水泵的控制应符合现行国家标准《消防给水及消火栓系统技术规范》</w:t>
      </w:r>
      <w:r>
        <w:rPr>
          <w:sz w:val="21"/>
        </w:rPr>
        <w:t>GB</w:t>
      </w:r>
      <w:r>
        <w:rPr>
          <w:spacing w:val="1"/>
          <w:sz w:val="21"/>
        </w:rPr>
        <w:t> </w:t>
      </w:r>
      <w:r>
        <w:rPr>
          <w:sz w:val="21"/>
        </w:rPr>
        <w:t>50974</w:t>
      </w:r>
      <w:r>
        <w:rPr>
          <w:spacing w:val="-10"/>
          <w:sz w:val="21"/>
        </w:rPr>
        <w:t> 的有关规定。</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77"/>
        </w:numPr>
        <w:tabs>
          <w:tab w:pos="1478" w:val="left" w:leader="none"/>
        </w:tabs>
        <w:spacing w:line="446" w:lineRule="auto" w:before="47" w:after="0"/>
        <w:ind w:left="418" w:right="1601" w:firstLine="422"/>
        <w:jc w:val="left"/>
        <w:rPr>
          <w:sz w:val="21"/>
        </w:rPr>
      </w:pPr>
      <w:r>
        <w:rPr>
          <w:spacing w:val="-3"/>
          <w:sz w:val="21"/>
        </w:rPr>
        <w:t>采用消防水池作为消防水源时，其有效容量应满足火灾延续时间内室内、外消防用水量之和的要求。</w:t>
      </w:r>
      <w:r>
        <w:rPr>
          <w:sz w:val="21"/>
        </w:rPr>
        <w:t> </w:t>
      </w:r>
    </w:p>
    <w:p>
      <w:pPr>
        <w:pStyle w:val="ListParagraph"/>
        <w:numPr>
          <w:ilvl w:val="2"/>
          <w:numId w:val="777"/>
        </w:numPr>
        <w:tabs>
          <w:tab w:pos="1478" w:val="left" w:leader="none"/>
        </w:tabs>
        <w:spacing w:line="446" w:lineRule="auto" w:before="0" w:after="0"/>
        <w:ind w:left="418" w:right="1609" w:firstLine="422"/>
        <w:jc w:val="left"/>
        <w:rPr>
          <w:sz w:val="21"/>
        </w:rPr>
      </w:pPr>
      <w:r>
        <w:rPr>
          <w:spacing w:val="-8"/>
          <w:sz w:val="21"/>
        </w:rPr>
        <w:t>火灾延续时间应按 </w:t>
      </w:r>
      <w:r>
        <w:rPr>
          <w:sz w:val="21"/>
        </w:rPr>
        <w:t>2.00h</w:t>
      </w:r>
      <w:r>
        <w:rPr>
          <w:spacing w:val="-11"/>
          <w:sz w:val="21"/>
        </w:rPr>
        <w:t> 计算，但自动喷水灭火系统可按 </w:t>
      </w:r>
      <w:r>
        <w:rPr>
          <w:sz w:val="21"/>
        </w:rPr>
        <w:t>1.00h</w:t>
      </w:r>
      <w:r>
        <w:rPr>
          <w:spacing w:val="-8"/>
          <w:sz w:val="21"/>
        </w:rPr>
        <w:t> 计算，泡沫灭火系</w:t>
      </w:r>
      <w:r>
        <w:rPr>
          <w:spacing w:val="-12"/>
          <w:sz w:val="21"/>
        </w:rPr>
        <w:t>统可按 </w:t>
      </w:r>
      <w:r>
        <w:rPr>
          <w:sz w:val="21"/>
        </w:rPr>
        <w:t>0.50h</w:t>
      </w:r>
      <w:r>
        <w:rPr>
          <w:spacing w:val="-7"/>
          <w:sz w:val="21"/>
        </w:rPr>
        <w:t> 计算。当室外给水管网能确保连续补水时，消防水池的有效容量可减去火灾延续</w:t>
      </w:r>
      <w:r>
        <w:rPr>
          <w:spacing w:val="-4"/>
          <w:sz w:val="21"/>
        </w:rPr>
        <w:t>时间内连续补充的水量。 </w:t>
      </w:r>
    </w:p>
    <w:p>
      <w:pPr>
        <w:pStyle w:val="ListParagraph"/>
        <w:numPr>
          <w:ilvl w:val="2"/>
          <w:numId w:val="777"/>
        </w:numPr>
        <w:tabs>
          <w:tab w:pos="1478" w:val="left" w:leader="none"/>
        </w:tabs>
        <w:spacing w:line="446" w:lineRule="auto" w:before="0" w:after="0"/>
        <w:ind w:left="418" w:right="1705" w:firstLine="422"/>
        <w:jc w:val="both"/>
        <w:rPr>
          <w:sz w:val="21"/>
        </w:rPr>
      </w:pPr>
      <w:r>
        <w:rPr>
          <w:spacing w:val="-3"/>
          <w:sz w:val="21"/>
        </w:rPr>
        <w:t>供消防车取水的消防水池应设置取水口或取水井，其水深应保证消防车的消防水</w:t>
      </w:r>
      <w:r>
        <w:rPr>
          <w:spacing w:val="-7"/>
          <w:sz w:val="21"/>
        </w:rPr>
        <w:t>泵吸水高度不大于 </w:t>
      </w:r>
      <w:r>
        <w:rPr>
          <w:sz w:val="21"/>
        </w:rPr>
        <w:t>6m</w:t>
      </w:r>
      <w:r>
        <w:rPr>
          <w:spacing w:val="-3"/>
          <w:sz w:val="21"/>
        </w:rPr>
        <w:t>。消防用水与其他用水共用的水池，应采取保证消防用水不作他用的技术措施。严寒或寒冷地区的消防水池应采取防冻措施。</w:t>
      </w:r>
      <w:r>
        <w:rPr>
          <w:sz w:val="21"/>
        </w:rPr>
        <w:t> </w:t>
      </w:r>
    </w:p>
    <w:p>
      <w:pPr>
        <w:pStyle w:val="ListParagraph"/>
        <w:numPr>
          <w:ilvl w:val="1"/>
          <w:numId w:val="777"/>
        </w:numPr>
        <w:tabs>
          <w:tab w:pos="1159" w:val="left" w:leader="none"/>
        </w:tabs>
        <w:spacing w:line="268" w:lineRule="exact" w:before="0" w:after="0"/>
        <w:ind w:left="1158" w:right="0" w:hanging="319"/>
        <w:jc w:val="left"/>
        <w:rPr>
          <w:sz w:val="21"/>
        </w:rPr>
      </w:pPr>
      <w:r>
        <w:rPr>
          <w:spacing w:val="-3"/>
          <w:sz w:val="21"/>
        </w:rPr>
        <w:t>自动灭火系统</w:t>
      </w:r>
      <w:r>
        <w:rPr>
          <w:sz w:val="21"/>
        </w:rPr>
        <w:t> </w:t>
      </w:r>
    </w:p>
    <w:p>
      <w:pPr>
        <w:pStyle w:val="BodyText"/>
        <w:spacing w:before="11"/>
        <w:rPr>
          <w:sz w:val="17"/>
        </w:rPr>
      </w:pPr>
    </w:p>
    <w:p>
      <w:pPr>
        <w:pStyle w:val="ListParagraph"/>
        <w:numPr>
          <w:ilvl w:val="2"/>
          <w:numId w:val="777"/>
        </w:numPr>
        <w:tabs>
          <w:tab w:pos="1371" w:val="left" w:leader="none"/>
        </w:tabs>
        <w:spacing w:line="240" w:lineRule="auto" w:before="1" w:after="0"/>
        <w:ind w:left="1370" w:right="0" w:hanging="531"/>
        <w:jc w:val="left"/>
        <w:rPr>
          <w:sz w:val="21"/>
        </w:rPr>
      </w:pPr>
      <w:r>
        <w:rPr>
          <w:spacing w:val="-3"/>
          <w:sz w:val="21"/>
        </w:rPr>
        <w:t>除敞开式汽车库、屋面停车场外，下列汽车库、修车库应设置自动喷水灭火系统：</w:t>
      </w:r>
      <w:r>
        <w:rPr>
          <w:sz w:val="21"/>
        </w:rPr>
        <w:t> </w:t>
      </w:r>
    </w:p>
    <w:p>
      <w:pPr>
        <w:pStyle w:val="BodyText"/>
        <w:spacing w:before="12"/>
        <w:rPr>
          <w:sz w:val="17"/>
        </w:rPr>
      </w:pPr>
    </w:p>
    <w:p>
      <w:pPr>
        <w:pStyle w:val="BodyText"/>
        <w:ind w:left="838"/>
      </w:pPr>
      <w:r>
        <w:rPr/>
        <w:t>Ⅰ、Ⅱ、Ⅲ类地上汽车库； </w:t>
      </w:r>
    </w:p>
    <w:p>
      <w:pPr>
        <w:pStyle w:val="BodyText"/>
        <w:spacing w:before="12"/>
        <w:rPr>
          <w:sz w:val="17"/>
        </w:rPr>
      </w:pPr>
    </w:p>
    <w:p>
      <w:pPr>
        <w:pStyle w:val="BodyText"/>
        <w:spacing w:line="446" w:lineRule="auto"/>
        <w:ind w:left="838" w:right="5814"/>
      </w:pPr>
      <w:r>
        <w:rPr/>
        <w:t>停车数大于 10 辆的地下、半地下汽车库； 机械式汽车库； </w:t>
      </w:r>
    </w:p>
    <w:p>
      <w:pPr>
        <w:pStyle w:val="BodyText"/>
        <w:spacing w:line="446" w:lineRule="auto"/>
        <w:ind w:left="838" w:right="5288"/>
      </w:pPr>
      <w:r>
        <w:rPr/>
        <w:t>采用汽车专用升降机作汽车疏散出口的汽车库； Ⅰ类修车库。 </w:t>
      </w:r>
    </w:p>
    <w:p>
      <w:pPr>
        <w:pStyle w:val="ListParagraph"/>
        <w:numPr>
          <w:ilvl w:val="2"/>
          <w:numId w:val="777"/>
        </w:numPr>
        <w:tabs>
          <w:tab w:pos="1370" w:val="left" w:leader="none"/>
        </w:tabs>
        <w:spacing w:line="446" w:lineRule="auto" w:before="0" w:after="0"/>
        <w:ind w:left="418" w:right="1606" w:firstLine="422"/>
        <w:jc w:val="left"/>
        <w:rPr>
          <w:sz w:val="21"/>
        </w:rPr>
      </w:pPr>
      <w:r>
        <w:rPr>
          <w:spacing w:val="-5"/>
          <w:sz w:val="21"/>
        </w:rPr>
        <w:t>对于需要设置自动灭火系统的场所，除符合本规范第 </w:t>
      </w:r>
      <w:r>
        <w:rPr>
          <w:sz w:val="21"/>
        </w:rPr>
        <w:t>7.2.3</w:t>
      </w:r>
      <w:r>
        <w:rPr>
          <w:spacing w:val="-21"/>
          <w:sz w:val="21"/>
        </w:rPr>
        <w:t> 条、第 </w:t>
      </w:r>
      <w:r>
        <w:rPr>
          <w:sz w:val="21"/>
        </w:rPr>
        <w:t>7.2.4</w:t>
      </w:r>
      <w:r>
        <w:rPr>
          <w:spacing w:val="-12"/>
          <w:sz w:val="21"/>
        </w:rPr>
        <w:t> 条的规定</w:t>
      </w:r>
      <w:r>
        <w:rPr>
          <w:spacing w:val="-6"/>
          <w:sz w:val="21"/>
        </w:rPr>
        <w:t>可采用相应类型的灭火系统外，应采用自动喷水灭火系统。</w:t>
      </w:r>
      <w:r>
        <w:rPr>
          <w:sz w:val="21"/>
        </w:rPr>
        <w:t> </w:t>
      </w:r>
    </w:p>
    <w:p>
      <w:pPr>
        <w:pStyle w:val="ListParagraph"/>
        <w:numPr>
          <w:ilvl w:val="2"/>
          <w:numId w:val="777"/>
        </w:numPr>
        <w:tabs>
          <w:tab w:pos="1370" w:val="left" w:leader="none"/>
        </w:tabs>
        <w:spacing w:line="446" w:lineRule="auto" w:before="0" w:after="0"/>
        <w:ind w:left="418" w:right="1604" w:firstLine="422"/>
        <w:jc w:val="left"/>
        <w:rPr>
          <w:sz w:val="21"/>
        </w:rPr>
      </w:pPr>
      <w:r>
        <w:rPr>
          <w:spacing w:val="-3"/>
          <w:sz w:val="21"/>
        </w:rPr>
        <w:t>下列汽车库、修车库宜采用泡沫—水喷淋系统，泡沫—水喷淋系统的设计应符合现行国家标准《泡沫灭火系统设计规范》</w:t>
      </w:r>
      <w:r>
        <w:rPr>
          <w:sz w:val="21"/>
        </w:rPr>
        <w:t>GB</w:t>
      </w:r>
      <w:r>
        <w:rPr>
          <w:spacing w:val="1"/>
          <w:sz w:val="21"/>
        </w:rPr>
        <w:t> </w:t>
      </w:r>
      <w:r>
        <w:rPr>
          <w:sz w:val="21"/>
        </w:rPr>
        <w:t>50151</w:t>
      </w:r>
      <w:r>
        <w:rPr>
          <w:spacing w:val="-10"/>
          <w:sz w:val="21"/>
        </w:rPr>
        <w:t> 的有关规定：</w:t>
      </w:r>
      <w:r>
        <w:rPr>
          <w:sz w:val="21"/>
        </w:rPr>
        <w:t> </w:t>
      </w:r>
    </w:p>
    <w:p>
      <w:pPr>
        <w:pStyle w:val="BodyText"/>
        <w:spacing w:line="446" w:lineRule="auto"/>
        <w:ind w:left="838" w:right="7127"/>
      </w:pPr>
      <w:r>
        <w:rPr/>
        <w:t>Ⅰ类地下、半地下汽车库； Ⅰ类修车库； </w:t>
      </w:r>
    </w:p>
    <w:p>
      <w:pPr>
        <w:pStyle w:val="BodyText"/>
        <w:ind w:left="838"/>
      </w:pPr>
      <w:r>
        <w:rPr/>
        <w:t>停车数大于 100 辆的室内无车道且无人员停留的机械式汽车库。 </w:t>
      </w:r>
    </w:p>
    <w:p>
      <w:pPr>
        <w:pStyle w:val="BodyText"/>
        <w:spacing w:before="10"/>
        <w:rPr>
          <w:sz w:val="17"/>
        </w:rPr>
      </w:pPr>
    </w:p>
    <w:p>
      <w:pPr>
        <w:pStyle w:val="ListParagraph"/>
        <w:numPr>
          <w:ilvl w:val="2"/>
          <w:numId w:val="777"/>
        </w:numPr>
        <w:tabs>
          <w:tab w:pos="1371" w:val="left" w:leader="none"/>
        </w:tabs>
        <w:spacing w:line="446" w:lineRule="auto" w:before="1" w:after="0"/>
        <w:ind w:left="418" w:right="1608" w:firstLine="422"/>
        <w:jc w:val="left"/>
        <w:rPr>
          <w:sz w:val="21"/>
        </w:rPr>
      </w:pPr>
      <w:r>
        <w:rPr>
          <w:spacing w:val="-5"/>
          <w:sz w:val="21"/>
        </w:rPr>
        <w:t>地下、半地下汽车库可采用高倍数泡沫灭火系统。停车数量不大于 </w:t>
      </w:r>
      <w:r>
        <w:rPr>
          <w:sz w:val="21"/>
        </w:rPr>
        <w:t>50</w:t>
      </w:r>
      <w:r>
        <w:rPr>
          <w:spacing w:val="-7"/>
          <w:sz w:val="21"/>
        </w:rPr>
        <w:t> 辆的室内无车</w:t>
      </w:r>
      <w:r>
        <w:rPr>
          <w:spacing w:val="-4"/>
          <w:sz w:val="21"/>
        </w:rPr>
        <w:t>道且无人员停留的机械式汽车库，可采用二氧化碳等气体灭火系统。高倍数泡沫灭火系统、二</w:t>
      </w:r>
      <w:r>
        <w:rPr>
          <w:spacing w:val="-3"/>
          <w:sz w:val="21"/>
        </w:rPr>
        <w:t>氧化碳等气体灭火系统的设计，应符合现行国家标准《泡沫灭火系统设计规范》</w:t>
      </w:r>
      <w:r>
        <w:rPr>
          <w:sz w:val="21"/>
        </w:rPr>
        <w:t>GB</w:t>
      </w:r>
      <w:r>
        <w:rPr>
          <w:spacing w:val="13"/>
          <w:sz w:val="21"/>
        </w:rPr>
        <w:t> </w:t>
      </w:r>
      <w:r>
        <w:rPr>
          <w:sz w:val="21"/>
        </w:rPr>
        <w:t>50151、</w:t>
      </w:r>
    </w:p>
    <w:p>
      <w:pPr>
        <w:pStyle w:val="BodyText"/>
        <w:spacing w:line="446" w:lineRule="auto"/>
        <w:ind w:left="418" w:right="1927"/>
      </w:pPr>
      <w:r>
        <w:rPr>
          <w:spacing w:val="-3"/>
        </w:rPr>
        <w:t>《二氧化碳灭火系统设计规范》</w:t>
      </w:r>
      <w:r>
        <w:rPr/>
        <w:t>GB 50193</w:t>
      </w:r>
      <w:r>
        <w:rPr>
          <w:spacing w:val="-9"/>
        </w:rPr>
        <w:t> 和《气体灭火系统设计规范》</w:t>
      </w:r>
      <w:r>
        <w:rPr/>
        <w:t>GB 50370</w:t>
      </w:r>
      <w:r>
        <w:rPr>
          <w:spacing w:val="-12"/>
        </w:rPr>
        <w:t> 的有关规</w:t>
      </w:r>
      <w:r>
        <w:rPr>
          <w:spacing w:val="-8"/>
        </w:rPr>
        <w:t>定。</w:t>
      </w:r>
      <w:r>
        <w:rPr/>
        <w:t> </w:t>
      </w:r>
    </w:p>
    <w:p>
      <w:pPr>
        <w:pStyle w:val="ListParagraph"/>
        <w:numPr>
          <w:ilvl w:val="2"/>
          <w:numId w:val="777"/>
        </w:numPr>
        <w:tabs>
          <w:tab w:pos="1370" w:val="left" w:leader="none"/>
        </w:tabs>
        <w:spacing w:line="240" w:lineRule="auto" w:before="0" w:after="0"/>
        <w:ind w:left="1369" w:right="0" w:hanging="530"/>
        <w:jc w:val="left"/>
        <w:rPr>
          <w:sz w:val="21"/>
        </w:rPr>
      </w:pPr>
      <w:r>
        <w:rPr>
          <w:spacing w:val="-10"/>
          <w:sz w:val="21"/>
        </w:rPr>
        <w:t>环境温度低于 </w:t>
      </w:r>
      <w:r>
        <w:rPr>
          <w:sz w:val="21"/>
        </w:rPr>
        <w:t>4</w:t>
      </w:r>
      <w:r>
        <w:rPr>
          <w:spacing w:val="-3"/>
          <w:sz w:val="21"/>
        </w:rPr>
        <w:t>℃时间较短的非寒冷或寒冷地区，可采用湿式自动喷水灭火系统，</w:t>
      </w:r>
    </w:p>
    <w:p>
      <w:pPr>
        <w:spacing w:after="0" w:line="240" w:lineRule="auto"/>
        <w:jc w:val="left"/>
        <w:rPr>
          <w:sz w:val="21"/>
        </w:rPr>
        <w:sectPr>
          <w:footerReference w:type="default" r:id="rId428"/>
          <w:pgSz w:w="11910" w:h="16850"/>
          <w:pgMar w:footer="1189" w:header="0" w:top="1220" w:bottom="1380" w:left="1260" w:right="0"/>
          <w:pgNumType w:start="1410"/>
        </w:sectPr>
      </w:pPr>
    </w:p>
    <w:p>
      <w:pPr>
        <w:pStyle w:val="BodyText"/>
        <w:spacing w:before="47"/>
        <w:ind w:left="418"/>
      </w:pPr>
      <w:r>
        <w:rPr/>
        <w:t>但应采用防冻措施。 </w:t>
      </w:r>
    </w:p>
    <w:p>
      <w:pPr>
        <w:pStyle w:val="BodyText"/>
        <w:rPr>
          <w:sz w:val="18"/>
        </w:rPr>
      </w:pPr>
    </w:p>
    <w:p>
      <w:pPr>
        <w:pStyle w:val="ListParagraph"/>
        <w:numPr>
          <w:ilvl w:val="2"/>
          <w:numId w:val="777"/>
        </w:numPr>
        <w:tabs>
          <w:tab w:pos="1371" w:val="left" w:leader="none"/>
        </w:tabs>
        <w:spacing w:line="446" w:lineRule="auto" w:before="0" w:after="0"/>
        <w:ind w:left="418" w:right="1604" w:firstLine="422"/>
        <w:jc w:val="left"/>
        <w:rPr>
          <w:sz w:val="21"/>
        </w:rPr>
      </w:pPr>
      <w:r>
        <w:rPr>
          <w:spacing w:val="-3"/>
          <w:sz w:val="21"/>
        </w:rPr>
        <w:t>设置在汽车库、修车库内的自动喷水灭火系统，其设计除应符合现行国家标准《自动喷水灭火系统设计规范》</w:t>
      </w:r>
      <w:r>
        <w:rPr>
          <w:sz w:val="21"/>
        </w:rPr>
        <w:t>GB</w:t>
      </w:r>
      <w:r>
        <w:rPr>
          <w:spacing w:val="3"/>
          <w:sz w:val="21"/>
        </w:rPr>
        <w:t> </w:t>
      </w:r>
      <w:r>
        <w:rPr>
          <w:sz w:val="21"/>
        </w:rPr>
        <w:t>50084</w:t>
      </w:r>
      <w:r>
        <w:rPr>
          <w:spacing w:val="-8"/>
          <w:sz w:val="21"/>
        </w:rPr>
        <w:t> 的有关规定外，喷头布置还应符合下列规定：</w:t>
      </w:r>
      <w:r>
        <w:rPr>
          <w:sz w:val="21"/>
        </w:rPr>
        <w:t> </w:t>
      </w:r>
    </w:p>
    <w:p>
      <w:pPr>
        <w:pStyle w:val="BodyText"/>
        <w:spacing w:line="446" w:lineRule="auto"/>
        <w:ind w:left="418" w:right="1609" w:firstLine="419"/>
      </w:pPr>
      <w:r>
        <w:rPr/>
        <w:t>应设置在汽车库停车位的上方或侧上方，对于机械式汽车库，尚应按停车的载车板分层布置，且应在喷头的上方设置集热板； </w:t>
      </w:r>
    </w:p>
    <w:p>
      <w:pPr>
        <w:pStyle w:val="BodyText"/>
        <w:spacing w:line="267" w:lineRule="exact"/>
        <w:ind w:left="838"/>
      </w:pPr>
      <w:r>
        <w:rPr/>
        <w:t>错层式、斜楼板式汽车库的车道、坡道上方均应设置喷头。 </w:t>
      </w:r>
    </w:p>
    <w:p>
      <w:pPr>
        <w:pStyle w:val="BodyText"/>
        <w:spacing w:before="2"/>
        <w:rPr>
          <w:sz w:val="18"/>
        </w:rPr>
      </w:pPr>
    </w:p>
    <w:p>
      <w:pPr>
        <w:pStyle w:val="ListParagraph"/>
        <w:numPr>
          <w:ilvl w:val="2"/>
          <w:numId w:val="777"/>
        </w:numPr>
        <w:tabs>
          <w:tab w:pos="1371" w:val="left" w:leader="none"/>
        </w:tabs>
        <w:spacing w:line="446" w:lineRule="auto" w:before="0" w:after="0"/>
        <w:ind w:left="418" w:right="1604" w:firstLine="422"/>
        <w:jc w:val="left"/>
        <w:rPr>
          <w:sz w:val="21"/>
        </w:rPr>
      </w:pPr>
      <w:r>
        <w:rPr>
          <w:spacing w:val="-3"/>
          <w:sz w:val="21"/>
        </w:rPr>
        <w:t>除室内无车道且无人员停留的机械式汽车库外，汽车库、修车库、停车场均应配置灭火器。灭火器的配置设计应符合现行国家标准《建筑灭火器配置设计规范》</w:t>
      </w:r>
      <w:r>
        <w:rPr>
          <w:sz w:val="21"/>
        </w:rPr>
        <w:t>GB</w:t>
      </w:r>
      <w:r>
        <w:rPr>
          <w:spacing w:val="13"/>
          <w:sz w:val="21"/>
        </w:rPr>
        <w:t> </w:t>
      </w:r>
      <w:r>
        <w:rPr>
          <w:sz w:val="21"/>
        </w:rPr>
        <w:t>50140</w:t>
      </w:r>
      <w:r>
        <w:rPr>
          <w:spacing w:val="-18"/>
          <w:sz w:val="21"/>
        </w:rPr>
        <w:t> 的有</w:t>
      </w:r>
      <w:r>
        <w:rPr>
          <w:spacing w:val="-2"/>
          <w:sz w:val="21"/>
        </w:rPr>
        <w:t>关规定。</w:t>
      </w:r>
      <w:r>
        <w:rPr>
          <w:sz w:val="21"/>
        </w:rPr>
        <w:t> </w:t>
      </w:r>
    </w:p>
    <w:p>
      <w:pPr>
        <w:pStyle w:val="Heading4"/>
        <w:spacing w:line="277" w:lineRule="exact"/>
      </w:pPr>
      <w:r>
        <w:rPr/>
        <w:t>8 供暖、通风和排烟</w:t>
      </w:r>
      <w:r>
        <w:rPr>
          <w:w w:val="99"/>
        </w:rPr>
        <w:t> </w:t>
      </w:r>
    </w:p>
    <w:p>
      <w:pPr>
        <w:pStyle w:val="BodyText"/>
        <w:spacing w:before="4"/>
        <w:rPr>
          <w:b/>
          <w:sz w:val="17"/>
        </w:rPr>
      </w:pPr>
    </w:p>
    <w:p>
      <w:pPr>
        <w:pStyle w:val="ListParagraph"/>
        <w:numPr>
          <w:ilvl w:val="1"/>
          <w:numId w:val="778"/>
        </w:numPr>
        <w:tabs>
          <w:tab w:pos="1159" w:val="left" w:leader="none"/>
        </w:tabs>
        <w:spacing w:line="240" w:lineRule="auto" w:before="0" w:after="0"/>
        <w:ind w:left="1158" w:right="0" w:hanging="319"/>
        <w:jc w:val="left"/>
        <w:rPr>
          <w:sz w:val="21"/>
        </w:rPr>
      </w:pPr>
      <w:r>
        <w:rPr>
          <w:spacing w:val="-3"/>
          <w:sz w:val="21"/>
        </w:rPr>
        <w:t>供暖和通风</w:t>
      </w:r>
      <w:r>
        <w:rPr>
          <w:sz w:val="21"/>
        </w:rPr>
        <w:t> </w:t>
      </w:r>
    </w:p>
    <w:p>
      <w:pPr>
        <w:pStyle w:val="BodyText"/>
        <w:spacing w:before="12"/>
        <w:rPr>
          <w:sz w:val="17"/>
        </w:rPr>
      </w:pPr>
    </w:p>
    <w:p>
      <w:pPr>
        <w:pStyle w:val="ListParagraph"/>
        <w:numPr>
          <w:ilvl w:val="2"/>
          <w:numId w:val="778"/>
        </w:numPr>
        <w:tabs>
          <w:tab w:pos="1370" w:val="left" w:leader="none"/>
        </w:tabs>
        <w:spacing w:line="240" w:lineRule="auto" w:before="0" w:after="0"/>
        <w:ind w:left="1369" w:right="0" w:hanging="530"/>
        <w:jc w:val="left"/>
        <w:rPr>
          <w:sz w:val="21"/>
        </w:rPr>
      </w:pPr>
      <w:r>
        <w:rPr>
          <w:spacing w:val="-3"/>
          <w:sz w:val="21"/>
        </w:rPr>
        <w:t>汽车库、修车库、停车场内不得采用明火取暖。</w:t>
      </w:r>
      <w:r>
        <w:rPr>
          <w:sz w:val="21"/>
        </w:rPr>
        <w:t> </w:t>
      </w:r>
    </w:p>
    <w:p>
      <w:pPr>
        <w:pStyle w:val="BodyText"/>
        <w:spacing w:before="2"/>
        <w:rPr>
          <w:sz w:val="18"/>
        </w:rPr>
      </w:pPr>
    </w:p>
    <w:p>
      <w:pPr>
        <w:pStyle w:val="ListParagraph"/>
        <w:numPr>
          <w:ilvl w:val="2"/>
          <w:numId w:val="778"/>
        </w:numPr>
        <w:tabs>
          <w:tab w:pos="1371" w:val="left" w:leader="none"/>
        </w:tabs>
        <w:spacing w:line="240" w:lineRule="auto" w:before="0" w:after="0"/>
        <w:ind w:left="1370" w:right="0" w:hanging="531"/>
        <w:jc w:val="left"/>
        <w:rPr>
          <w:sz w:val="21"/>
        </w:rPr>
      </w:pPr>
      <w:r>
        <w:rPr>
          <w:spacing w:val="-3"/>
          <w:sz w:val="21"/>
        </w:rPr>
        <w:t>需要供暖的下列汽车库或修车库，应采用集中供暖方式：</w:t>
      </w:r>
      <w:r>
        <w:rPr>
          <w:sz w:val="21"/>
        </w:rPr>
        <w:t> </w:t>
      </w:r>
    </w:p>
    <w:p>
      <w:pPr>
        <w:pStyle w:val="BodyText"/>
        <w:rPr>
          <w:sz w:val="18"/>
        </w:rPr>
      </w:pPr>
    </w:p>
    <w:p>
      <w:pPr>
        <w:pStyle w:val="BodyText"/>
        <w:spacing w:line="446" w:lineRule="auto"/>
        <w:ind w:left="838" w:right="6753"/>
      </w:pPr>
      <w:r>
        <w:rPr/>
        <w:t>甲、乙类物品运输车的汽车库； Ⅰ、Ⅱ、Ⅲ类汽车库； </w:t>
      </w:r>
    </w:p>
    <w:p>
      <w:pPr>
        <w:pStyle w:val="BodyText"/>
        <w:ind w:left="838"/>
      </w:pPr>
      <w:r>
        <w:rPr/>
        <w:t>Ⅰ、Ⅱ类修车库。 </w:t>
      </w:r>
    </w:p>
    <w:p>
      <w:pPr>
        <w:pStyle w:val="BodyText"/>
        <w:spacing w:before="12"/>
        <w:rPr>
          <w:sz w:val="17"/>
        </w:rPr>
      </w:pPr>
    </w:p>
    <w:p>
      <w:pPr>
        <w:pStyle w:val="ListParagraph"/>
        <w:numPr>
          <w:ilvl w:val="2"/>
          <w:numId w:val="778"/>
        </w:numPr>
        <w:tabs>
          <w:tab w:pos="1371" w:val="left" w:leader="none"/>
        </w:tabs>
        <w:spacing w:line="446" w:lineRule="auto" w:before="0" w:after="0"/>
        <w:ind w:left="418" w:right="1813" w:firstLine="422"/>
        <w:jc w:val="left"/>
        <w:rPr>
          <w:sz w:val="21"/>
        </w:rPr>
      </w:pPr>
      <w:r>
        <w:rPr>
          <w:spacing w:val="-3"/>
          <w:sz w:val="21"/>
        </w:rPr>
        <w:t>Ⅳ类汽车库，Ⅲ、Ⅳ类修车库，当集中供暖有困难时，可采用火墙供暖，但其炉门、节风门、除灰门不得设置在汽车库、修车库内。 </w:t>
      </w:r>
    </w:p>
    <w:p>
      <w:pPr>
        <w:pStyle w:val="ListParagraph"/>
        <w:numPr>
          <w:ilvl w:val="2"/>
          <w:numId w:val="778"/>
        </w:numPr>
        <w:tabs>
          <w:tab w:pos="1371" w:val="left" w:leader="none"/>
        </w:tabs>
        <w:spacing w:line="446" w:lineRule="auto" w:before="0" w:after="0"/>
        <w:ind w:left="418" w:right="1604" w:firstLine="422"/>
        <w:jc w:val="left"/>
        <w:rPr>
          <w:sz w:val="21"/>
        </w:rPr>
      </w:pPr>
      <w:r>
        <w:rPr>
          <w:spacing w:val="-3"/>
          <w:sz w:val="21"/>
        </w:rPr>
        <w:t>喷漆间、电瓶间均应设置独立的排气系统，乙炔站的通风系统设计，应符合现行国家标准《乙炔站设计规范》</w:t>
      </w:r>
      <w:r>
        <w:rPr>
          <w:sz w:val="21"/>
        </w:rPr>
        <w:t>GB</w:t>
      </w:r>
      <w:r>
        <w:rPr>
          <w:spacing w:val="1"/>
          <w:sz w:val="21"/>
        </w:rPr>
        <w:t> </w:t>
      </w:r>
      <w:r>
        <w:rPr>
          <w:sz w:val="21"/>
        </w:rPr>
        <w:t>50031</w:t>
      </w:r>
      <w:r>
        <w:rPr>
          <w:spacing w:val="-10"/>
          <w:sz w:val="21"/>
        </w:rPr>
        <w:t> 的有关规定。</w:t>
      </w:r>
      <w:r>
        <w:rPr>
          <w:sz w:val="21"/>
        </w:rPr>
        <w:t> </w:t>
      </w:r>
    </w:p>
    <w:p>
      <w:pPr>
        <w:pStyle w:val="ListParagraph"/>
        <w:numPr>
          <w:ilvl w:val="2"/>
          <w:numId w:val="778"/>
        </w:numPr>
        <w:tabs>
          <w:tab w:pos="1370" w:val="left" w:leader="none"/>
        </w:tabs>
        <w:spacing w:line="267" w:lineRule="exact" w:before="0" w:after="0"/>
        <w:ind w:left="1369" w:right="0" w:hanging="530"/>
        <w:jc w:val="left"/>
        <w:rPr>
          <w:sz w:val="21"/>
        </w:rPr>
      </w:pPr>
      <w:r>
        <w:rPr>
          <w:spacing w:val="-3"/>
          <w:sz w:val="21"/>
        </w:rPr>
        <w:t>设置通风系统的汽车库，其通风系统宜独立设置。</w:t>
      </w:r>
      <w:r>
        <w:rPr>
          <w:sz w:val="21"/>
        </w:rPr>
        <w:t> </w:t>
      </w:r>
    </w:p>
    <w:p>
      <w:pPr>
        <w:pStyle w:val="BodyText"/>
        <w:spacing w:before="2"/>
        <w:rPr>
          <w:sz w:val="18"/>
        </w:rPr>
      </w:pPr>
    </w:p>
    <w:p>
      <w:pPr>
        <w:pStyle w:val="ListParagraph"/>
        <w:numPr>
          <w:ilvl w:val="2"/>
          <w:numId w:val="778"/>
        </w:numPr>
        <w:tabs>
          <w:tab w:pos="1370" w:val="left" w:leader="none"/>
        </w:tabs>
        <w:spacing w:line="446" w:lineRule="auto" w:before="0" w:after="0"/>
        <w:ind w:left="418" w:right="1604" w:firstLine="422"/>
        <w:jc w:val="left"/>
        <w:rPr>
          <w:sz w:val="21"/>
        </w:rPr>
      </w:pPr>
      <w:r>
        <w:rPr>
          <w:spacing w:val="-3"/>
          <w:sz w:val="21"/>
        </w:rPr>
        <w:t>风管应采用不燃材料制作，且不应穿过防火墙、防火隔墙，当必须穿过时，除应符</w:t>
      </w:r>
      <w:r>
        <w:rPr>
          <w:spacing w:val="-12"/>
          <w:sz w:val="21"/>
        </w:rPr>
        <w:t>合本规范第 </w:t>
      </w:r>
      <w:r>
        <w:rPr>
          <w:sz w:val="21"/>
        </w:rPr>
        <w:t>5.2.5</w:t>
      </w:r>
      <w:r>
        <w:rPr>
          <w:spacing w:val="-8"/>
          <w:sz w:val="21"/>
        </w:rPr>
        <w:t> 条的规定外，尚应符合下列规定： </w:t>
      </w:r>
    </w:p>
    <w:p>
      <w:pPr>
        <w:pStyle w:val="BodyText"/>
        <w:spacing w:line="267" w:lineRule="exact"/>
        <w:ind w:left="838"/>
      </w:pPr>
      <w:r>
        <w:rPr/>
        <w:t>应在穿过处设置防火阀，防火阀的动作温度宜为 70℃； </w:t>
      </w:r>
    </w:p>
    <w:p>
      <w:pPr>
        <w:pStyle w:val="BodyText"/>
        <w:spacing w:before="2"/>
        <w:rPr>
          <w:sz w:val="18"/>
        </w:rPr>
      </w:pPr>
    </w:p>
    <w:p>
      <w:pPr>
        <w:pStyle w:val="BodyText"/>
        <w:spacing w:line="446" w:lineRule="auto"/>
        <w:ind w:left="840" w:right="3083" w:hanging="3"/>
        <w:rPr>
          <w:b/>
        </w:rPr>
      </w:pPr>
      <w:r>
        <w:rPr/>
        <w:t>位于防火墙、防火隔墙两侧各 2m 范围内的风管绝热材料应为不燃材料。</w:t>
      </w:r>
      <w:r>
        <w:rPr>
          <w:b/>
        </w:rPr>
        <w:t>8.2 </w:t>
      </w:r>
      <w:r>
        <w:rPr/>
        <w:t>排烟</w:t>
      </w:r>
      <w:r>
        <w:rPr>
          <w:b/>
          <w:w w:val="99"/>
        </w:rPr>
        <w:t> </w:t>
      </w:r>
    </w:p>
    <w:p>
      <w:pPr>
        <w:pStyle w:val="ListParagraph"/>
        <w:numPr>
          <w:ilvl w:val="2"/>
          <w:numId w:val="779"/>
        </w:numPr>
        <w:tabs>
          <w:tab w:pos="1371" w:val="left" w:leader="none"/>
        </w:tabs>
        <w:spacing w:line="446" w:lineRule="auto" w:before="0" w:after="0"/>
        <w:ind w:left="418" w:right="1678" w:firstLine="422"/>
        <w:jc w:val="left"/>
        <w:rPr>
          <w:sz w:val="21"/>
        </w:rPr>
      </w:pPr>
      <w:r>
        <w:rPr>
          <w:spacing w:val="-5"/>
          <w:sz w:val="21"/>
        </w:rPr>
        <w:t>除敞开式汽车库、建筑面积小于 </w:t>
      </w:r>
      <w:r>
        <w:rPr>
          <w:sz w:val="21"/>
        </w:rPr>
        <w:t>1000m</w:t>
      </w:r>
      <w:r>
        <w:rPr>
          <w:position w:val="11"/>
          <w:sz w:val="11"/>
        </w:rPr>
        <w:t>2</w:t>
      </w:r>
      <w:r>
        <w:rPr>
          <w:spacing w:val="-18"/>
          <w:position w:val="11"/>
          <w:sz w:val="11"/>
        </w:rPr>
        <w:t> </w:t>
      </w:r>
      <w:r>
        <w:rPr>
          <w:spacing w:val="-3"/>
          <w:sz w:val="21"/>
        </w:rPr>
        <w:t>的地下一层汽车库和修车库外，汽车库、修车库应设置排烟系统，并应划分防烟分区。</w:t>
      </w:r>
      <w:r>
        <w:rPr>
          <w:sz w:val="21"/>
        </w:rPr>
        <w:t> </w:t>
      </w:r>
    </w:p>
    <w:p>
      <w:pPr>
        <w:spacing w:after="0" w:line="446" w:lineRule="auto"/>
        <w:jc w:val="left"/>
        <w:rPr>
          <w:sz w:val="21"/>
        </w:rPr>
        <w:sectPr>
          <w:pgSz w:w="11910" w:h="16850"/>
          <w:pgMar w:header="0" w:footer="1189" w:top="1220" w:bottom="1420" w:left="1260" w:right="0"/>
        </w:sectPr>
      </w:pPr>
    </w:p>
    <w:p>
      <w:pPr>
        <w:pStyle w:val="ListParagraph"/>
        <w:numPr>
          <w:ilvl w:val="2"/>
          <w:numId w:val="779"/>
        </w:numPr>
        <w:tabs>
          <w:tab w:pos="1371" w:val="left" w:leader="none"/>
        </w:tabs>
        <w:spacing w:line="446" w:lineRule="auto" w:before="57" w:after="0"/>
        <w:ind w:left="418" w:right="1601" w:firstLine="422"/>
        <w:jc w:val="left"/>
        <w:rPr>
          <w:sz w:val="21"/>
        </w:rPr>
      </w:pPr>
      <w:r>
        <w:rPr>
          <w:spacing w:val="-6"/>
          <w:sz w:val="21"/>
        </w:rPr>
        <w:t>防烟分区的建筑面积不宜大于 </w:t>
      </w:r>
      <w:r>
        <w:rPr>
          <w:sz w:val="21"/>
        </w:rPr>
        <w:t>2000</w:t>
      </w:r>
      <w:r>
        <w:rPr>
          <w:spacing w:val="22"/>
          <w:sz w:val="21"/>
        </w:rPr>
        <w:t> </w:t>
      </w:r>
      <w:r>
        <w:rPr>
          <w:sz w:val="21"/>
        </w:rPr>
        <w:t>m</w:t>
      </w:r>
      <w:r>
        <w:rPr>
          <w:position w:val="11"/>
          <w:sz w:val="11"/>
        </w:rPr>
        <w:t>2</w:t>
      </w:r>
      <w:r>
        <w:rPr>
          <w:spacing w:val="-3"/>
          <w:sz w:val="21"/>
        </w:rPr>
        <w:t>，且防烟分区不应跨越防火分区。防烟分区可</w:t>
      </w:r>
      <w:r>
        <w:rPr>
          <w:spacing w:val="-6"/>
          <w:sz w:val="21"/>
        </w:rPr>
        <w:t>采用挡烟垂壁、隔墙或从顶棚下突出不小于 </w:t>
      </w:r>
      <w:r>
        <w:rPr>
          <w:sz w:val="21"/>
        </w:rPr>
        <w:t>0.5m</w:t>
      </w:r>
      <w:r>
        <w:rPr>
          <w:spacing w:val="-11"/>
          <w:sz w:val="21"/>
        </w:rPr>
        <w:t> 的梁划分。</w:t>
      </w:r>
      <w:r>
        <w:rPr>
          <w:sz w:val="21"/>
        </w:rPr>
        <w:t> </w:t>
      </w:r>
    </w:p>
    <w:p>
      <w:pPr>
        <w:pStyle w:val="ListParagraph"/>
        <w:numPr>
          <w:ilvl w:val="2"/>
          <w:numId w:val="779"/>
        </w:numPr>
        <w:tabs>
          <w:tab w:pos="1371" w:val="left" w:leader="none"/>
        </w:tabs>
        <w:spacing w:line="446" w:lineRule="auto" w:before="0" w:after="0"/>
        <w:ind w:left="418" w:right="1604" w:firstLine="422"/>
        <w:jc w:val="left"/>
        <w:rPr>
          <w:sz w:val="21"/>
        </w:rPr>
      </w:pPr>
      <w:r>
        <w:rPr>
          <w:spacing w:val="-3"/>
          <w:sz w:val="21"/>
        </w:rPr>
        <w:t>排烟系统可采用自然排烟方式或机械排烟方式。机械排烟系统可与人防、卫生等排气、通风系统合用。</w:t>
      </w:r>
      <w:r>
        <w:rPr>
          <w:sz w:val="21"/>
        </w:rPr>
        <w:t> </w:t>
      </w:r>
    </w:p>
    <w:p>
      <w:pPr>
        <w:pStyle w:val="ListParagraph"/>
        <w:numPr>
          <w:ilvl w:val="2"/>
          <w:numId w:val="779"/>
        </w:numPr>
        <w:tabs>
          <w:tab w:pos="1371" w:val="left" w:leader="none"/>
        </w:tabs>
        <w:spacing w:line="446" w:lineRule="auto" w:before="0" w:after="0"/>
        <w:ind w:left="418" w:right="1813" w:firstLine="422"/>
        <w:jc w:val="left"/>
        <w:rPr>
          <w:sz w:val="21"/>
        </w:rPr>
      </w:pPr>
      <w:r>
        <w:rPr>
          <w:spacing w:val="-3"/>
          <w:sz w:val="21"/>
        </w:rPr>
        <w:t>当采用自然排烟方式时，可采用手动排烟窗、自动排烟窗、孔洞等作为自然排烟口，并应符合下列规定：</w:t>
      </w:r>
      <w:r>
        <w:rPr>
          <w:sz w:val="21"/>
        </w:rPr>
        <w:t> </w:t>
      </w:r>
    </w:p>
    <w:p>
      <w:pPr>
        <w:pStyle w:val="BodyText"/>
        <w:ind w:left="838"/>
      </w:pPr>
      <w:r>
        <w:rPr/>
        <w:t>自然排烟口的总面积不应小于室内地面面积的 2％； </w:t>
      </w:r>
    </w:p>
    <w:p>
      <w:pPr>
        <w:pStyle w:val="BodyText"/>
        <w:spacing w:before="11"/>
        <w:rPr>
          <w:sz w:val="17"/>
        </w:rPr>
      </w:pPr>
    </w:p>
    <w:p>
      <w:pPr>
        <w:pStyle w:val="BodyText"/>
        <w:ind w:left="838"/>
      </w:pPr>
      <w:r>
        <w:rPr/>
        <w:t>自然排烟口应设置在外墙上方或屋顶上，并应设置方便开启的装置； </w:t>
      </w:r>
    </w:p>
    <w:p>
      <w:pPr>
        <w:pStyle w:val="BodyText"/>
        <w:spacing w:before="12"/>
        <w:rPr>
          <w:sz w:val="17"/>
        </w:rPr>
      </w:pPr>
    </w:p>
    <w:p>
      <w:pPr>
        <w:pStyle w:val="BodyText"/>
        <w:spacing w:line="446" w:lineRule="auto"/>
        <w:ind w:left="418" w:right="1609" w:firstLine="419"/>
      </w:pPr>
      <w:r>
        <w:rPr/>
        <w:t>房间外墙上的排烟口（窗）宜沿外墙周长方向均匀分布，排烟口（窗）的下沿不应低于室内净高的 1/2，并应沿气流方向开启。 </w:t>
      </w:r>
    </w:p>
    <w:p>
      <w:pPr>
        <w:pStyle w:val="ListParagraph"/>
        <w:numPr>
          <w:ilvl w:val="2"/>
          <w:numId w:val="779"/>
        </w:numPr>
        <w:tabs>
          <w:tab w:pos="1369" w:val="left" w:leader="none"/>
        </w:tabs>
        <w:spacing w:line="240" w:lineRule="auto" w:before="0" w:after="0"/>
        <w:ind w:left="1368" w:right="0" w:hanging="531"/>
        <w:jc w:val="left"/>
        <w:rPr>
          <w:sz w:val="21"/>
        </w:rPr>
      </w:pPr>
      <w:r>
        <w:rPr>
          <w:spacing w:val="-5"/>
          <w:sz w:val="21"/>
        </w:rPr>
        <w:t>汽车库、修车库内每个防烟分区排烟风机的排烟量不应小于表 </w:t>
      </w:r>
      <w:r>
        <w:rPr>
          <w:sz w:val="21"/>
        </w:rPr>
        <w:t>8.2.5</w:t>
      </w:r>
      <w:r>
        <w:rPr>
          <w:spacing w:val="-13"/>
          <w:sz w:val="21"/>
        </w:rPr>
        <w:t> 的规定。</w:t>
      </w:r>
      <w:r>
        <w:rPr>
          <w:sz w:val="21"/>
        </w:rPr>
        <w:t> </w:t>
      </w:r>
    </w:p>
    <w:p>
      <w:pPr>
        <w:pStyle w:val="BodyText"/>
        <w:spacing w:before="1"/>
        <w:rPr>
          <w:sz w:val="10"/>
        </w:rPr>
      </w:pPr>
      <w:r>
        <w:rPr/>
        <w:drawing>
          <wp:anchor distT="0" distB="0" distL="0" distR="0" allowOverlap="1" layoutInCell="1" locked="0" behindDoc="0" simplePos="0" relativeHeight="260">
            <wp:simplePos x="0" y="0"/>
            <wp:positionH relativeFrom="page">
              <wp:posOffset>1056005</wp:posOffset>
            </wp:positionH>
            <wp:positionV relativeFrom="paragraph">
              <wp:posOffset>107148</wp:posOffset>
            </wp:positionV>
            <wp:extent cx="5322570" cy="2409825"/>
            <wp:effectExtent l="0" t="0" r="0" b="0"/>
            <wp:wrapTopAndBottom/>
            <wp:docPr id="611" name="image354.jpeg"/>
            <wp:cNvGraphicFramePr>
              <a:graphicFrameLocks noChangeAspect="1"/>
            </wp:cNvGraphicFramePr>
            <a:graphic>
              <a:graphicData uri="http://schemas.openxmlformats.org/drawingml/2006/picture">
                <pic:pic>
                  <pic:nvPicPr>
                    <pic:cNvPr id="612" name="image354.jpeg"/>
                    <pic:cNvPicPr/>
                  </pic:nvPicPr>
                  <pic:blipFill>
                    <a:blip r:embed="rId429" cstate="print"/>
                    <a:stretch>
                      <a:fillRect/>
                    </a:stretch>
                  </pic:blipFill>
                  <pic:spPr>
                    <a:xfrm>
                      <a:off x="0" y="0"/>
                      <a:ext cx="5322570" cy="2409825"/>
                    </a:xfrm>
                    <a:prstGeom prst="rect">
                      <a:avLst/>
                    </a:prstGeom>
                  </pic:spPr>
                </pic:pic>
              </a:graphicData>
            </a:graphic>
          </wp:anchor>
        </w:drawing>
      </w:r>
    </w:p>
    <w:p>
      <w:pPr>
        <w:pStyle w:val="BodyText"/>
        <w:spacing w:before="179"/>
        <w:ind w:left="418"/>
      </w:pPr>
      <w:r>
        <w:rPr/>
        <w:t>注：建筑空间净高位于表中两个高度之间的，按线性插值法取值。 </w:t>
      </w:r>
    </w:p>
    <w:p>
      <w:pPr>
        <w:pStyle w:val="BodyText"/>
        <w:rPr>
          <w:sz w:val="18"/>
        </w:rPr>
      </w:pPr>
    </w:p>
    <w:p>
      <w:pPr>
        <w:pStyle w:val="ListParagraph"/>
        <w:numPr>
          <w:ilvl w:val="2"/>
          <w:numId w:val="779"/>
        </w:numPr>
        <w:tabs>
          <w:tab w:pos="1370" w:val="left" w:leader="none"/>
        </w:tabs>
        <w:spacing w:line="446" w:lineRule="auto" w:before="0" w:after="0"/>
        <w:ind w:left="418" w:right="1604" w:firstLine="422"/>
        <w:jc w:val="left"/>
        <w:rPr>
          <w:sz w:val="21"/>
        </w:rPr>
      </w:pPr>
      <w:r>
        <w:rPr>
          <w:spacing w:val="-3"/>
          <w:sz w:val="21"/>
        </w:rPr>
        <w:t>每个防烟分区应设置排烟口，排烟口宜设在顶棚或靠近顶棚的墙面上。排烟口距该</w:t>
      </w:r>
      <w:r>
        <w:rPr>
          <w:spacing w:val="-6"/>
          <w:sz w:val="21"/>
        </w:rPr>
        <w:t>防烟分区内最远点的水平距离不应大于 </w:t>
      </w:r>
      <w:r>
        <w:rPr>
          <w:sz w:val="21"/>
        </w:rPr>
        <w:t>30m</w:t>
      </w:r>
      <w:r>
        <w:rPr>
          <w:spacing w:val="-3"/>
          <w:sz w:val="21"/>
        </w:rPr>
        <w:t>。</w:t>
      </w:r>
      <w:r>
        <w:rPr>
          <w:sz w:val="21"/>
        </w:rPr>
        <w:t> </w:t>
      </w:r>
    </w:p>
    <w:p>
      <w:pPr>
        <w:pStyle w:val="ListParagraph"/>
        <w:numPr>
          <w:ilvl w:val="2"/>
          <w:numId w:val="779"/>
        </w:numPr>
        <w:tabs>
          <w:tab w:pos="1371" w:val="left" w:leader="none"/>
        </w:tabs>
        <w:spacing w:line="240" w:lineRule="auto" w:before="0" w:after="0"/>
        <w:ind w:left="1370" w:right="0" w:hanging="531"/>
        <w:jc w:val="left"/>
        <w:rPr>
          <w:sz w:val="21"/>
        </w:rPr>
      </w:pPr>
      <w:r>
        <w:rPr>
          <w:spacing w:val="-6"/>
          <w:sz w:val="21"/>
        </w:rPr>
        <w:t>排烟风机可采用离心风机或排烟轴流风机，并应保证 </w:t>
      </w:r>
      <w:r>
        <w:rPr>
          <w:sz w:val="21"/>
        </w:rPr>
        <w:t>280</w:t>
      </w:r>
      <w:r>
        <w:rPr>
          <w:spacing w:val="-9"/>
          <w:sz w:val="21"/>
        </w:rPr>
        <w:t>℃时能连续工作 </w:t>
      </w:r>
      <w:r>
        <w:rPr>
          <w:sz w:val="21"/>
        </w:rPr>
        <w:t>30min</w:t>
      </w:r>
      <w:r>
        <w:rPr>
          <w:spacing w:val="-3"/>
          <w:sz w:val="21"/>
        </w:rPr>
        <w:t>。</w:t>
      </w:r>
      <w:r>
        <w:rPr>
          <w:sz w:val="21"/>
        </w:rPr>
        <w:t> </w:t>
      </w:r>
    </w:p>
    <w:p>
      <w:pPr>
        <w:pStyle w:val="BodyText"/>
        <w:spacing w:before="12"/>
        <w:rPr>
          <w:sz w:val="17"/>
        </w:rPr>
      </w:pPr>
    </w:p>
    <w:p>
      <w:pPr>
        <w:pStyle w:val="ListParagraph"/>
        <w:numPr>
          <w:ilvl w:val="2"/>
          <w:numId w:val="779"/>
        </w:numPr>
        <w:tabs>
          <w:tab w:pos="1371" w:val="left" w:leader="none"/>
        </w:tabs>
        <w:spacing w:line="446" w:lineRule="auto" w:before="0" w:after="0"/>
        <w:ind w:left="418" w:right="1657" w:firstLine="422"/>
        <w:jc w:val="left"/>
        <w:rPr>
          <w:sz w:val="21"/>
        </w:rPr>
      </w:pPr>
      <w:r>
        <w:rPr>
          <w:spacing w:val="-5"/>
          <w:sz w:val="21"/>
        </w:rPr>
        <w:t>在穿过不同防烟分区的排烟支管上应设置烟气温度大于 </w:t>
      </w:r>
      <w:r>
        <w:rPr>
          <w:sz w:val="21"/>
        </w:rPr>
        <w:t>280</w:t>
      </w:r>
      <w:r>
        <w:rPr>
          <w:spacing w:val="-3"/>
          <w:sz w:val="21"/>
        </w:rPr>
        <w:t>℃时能自动关闭的排烟防火阀，排烟防火阀应联锁关闭相应的排烟风机。</w:t>
      </w:r>
      <w:r>
        <w:rPr>
          <w:sz w:val="21"/>
        </w:rPr>
        <w:t> </w:t>
      </w:r>
    </w:p>
    <w:p>
      <w:pPr>
        <w:pStyle w:val="ListParagraph"/>
        <w:numPr>
          <w:ilvl w:val="2"/>
          <w:numId w:val="779"/>
        </w:numPr>
        <w:tabs>
          <w:tab w:pos="1370" w:val="left" w:leader="none"/>
        </w:tabs>
        <w:spacing w:line="446" w:lineRule="auto" w:before="0" w:after="0"/>
        <w:ind w:left="418" w:right="1657" w:firstLine="422"/>
        <w:jc w:val="left"/>
        <w:rPr>
          <w:sz w:val="21"/>
        </w:rPr>
      </w:pPr>
      <w:r>
        <w:rPr>
          <w:spacing w:val="-5"/>
          <w:sz w:val="21"/>
        </w:rPr>
        <w:t>机械排烟管道的风速，采用金属管道时不应大于 </w:t>
      </w:r>
      <w:r>
        <w:rPr>
          <w:sz w:val="21"/>
        </w:rPr>
        <w:t>20m/s</w:t>
      </w:r>
      <w:r>
        <w:rPr>
          <w:spacing w:val="-3"/>
          <w:sz w:val="21"/>
        </w:rPr>
        <w:t>；采用内表面光滑的非金属</w:t>
      </w:r>
      <w:r>
        <w:rPr>
          <w:spacing w:val="-8"/>
          <w:sz w:val="21"/>
        </w:rPr>
        <w:t>材料风道时，不应大于 </w:t>
      </w:r>
      <w:r>
        <w:rPr>
          <w:sz w:val="21"/>
        </w:rPr>
        <w:t>15m/s</w:t>
      </w:r>
      <w:r>
        <w:rPr>
          <w:spacing w:val="-8"/>
          <w:sz w:val="21"/>
        </w:rPr>
        <w:t>。排烟口的风速不宜大于 </w:t>
      </w:r>
      <w:r>
        <w:rPr>
          <w:sz w:val="21"/>
        </w:rPr>
        <w:t>10m/s</w:t>
      </w:r>
      <w:r>
        <w:rPr>
          <w:spacing w:val="-3"/>
          <w:sz w:val="21"/>
        </w:rPr>
        <w:t>。</w:t>
      </w:r>
      <w:r>
        <w:rPr>
          <w:sz w:val="21"/>
        </w:rPr>
        <w:t> </w:t>
      </w:r>
    </w:p>
    <w:p>
      <w:pPr>
        <w:pStyle w:val="ListParagraph"/>
        <w:numPr>
          <w:ilvl w:val="2"/>
          <w:numId w:val="779"/>
        </w:numPr>
        <w:tabs>
          <w:tab w:pos="1478" w:val="left" w:leader="none"/>
        </w:tabs>
        <w:spacing w:line="267" w:lineRule="exact" w:before="0" w:after="0"/>
        <w:ind w:left="1477" w:right="0" w:hanging="638"/>
        <w:jc w:val="left"/>
        <w:rPr>
          <w:sz w:val="21"/>
        </w:rPr>
      </w:pPr>
      <w:r>
        <w:rPr>
          <w:spacing w:val="-3"/>
          <w:sz w:val="21"/>
        </w:rPr>
        <w:t>汽车库内无直接通向室外的汽车疏散出口的防火分区，当设置机械排烟系统时，</w:t>
      </w:r>
    </w:p>
    <w:p>
      <w:pPr>
        <w:spacing w:after="0" w:line="267" w:lineRule="exact"/>
        <w:jc w:val="left"/>
        <w:rPr>
          <w:sz w:val="21"/>
        </w:rPr>
        <w:sectPr>
          <w:pgSz w:w="11910" w:h="16850"/>
          <w:pgMar w:header="0" w:footer="1189" w:top="1200" w:bottom="1420" w:left="1260" w:right="0"/>
        </w:sectPr>
      </w:pPr>
    </w:p>
    <w:p>
      <w:pPr>
        <w:pStyle w:val="BodyText"/>
        <w:spacing w:before="47"/>
        <w:ind w:left="418"/>
      </w:pPr>
      <w:r>
        <w:rPr/>
        <w:t>应同时设置补风系统，且补风量不宜小于排烟量的 50％。 </w:t>
      </w:r>
    </w:p>
    <w:p>
      <w:pPr>
        <w:pStyle w:val="BodyText"/>
        <w:spacing w:before="8"/>
        <w:rPr>
          <w:sz w:val="15"/>
        </w:rPr>
      </w:pPr>
    </w:p>
    <w:p>
      <w:pPr>
        <w:pStyle w:val="Heading4"/>
        <w:spacing w:before="1"/>
      </w:pPr>
      <w:r>
        <w:rPr/>
        <w:t>9 电气</w:t>
      </w:r>
      <w:r>
        <w:rPr>
          <w:w w:val="99"/>
        </w:rPr>
        <w:t> </w:t>
      </w:r>
    </w:p>
    <w:p>
      <w:pPr>
        <w:pStyle w:val="BodyText"/>
        <w:spacing w:before="3"/>
        <w:rPr>
          <w:b/>
          <w:sz w:val="17"/>
        </w:rPr>
      </w:pPr>
    </w:p>
    <w:p>
      <w:pPr>
        <w:pStyle w:val="ListParagraph"/>
        <w:numPr>
          <w:ilvl w:val="2"/>
          <w:numId w:val="780"/>
        </w:numPr>
        <w:tabs>
          <w:tab w:pos="1370" w:val="left" w:leader="none"/>
        </w:tabs>
        <w:spacing w:line="446" w:lineRule="auto" w:before="1" w:after="0"/>
        <w:ind w:left="418" w:right="1604" w:firstLine="422"/>
        <w:jc w:val="both"/>
        <w:rPr>
          <w:sz w:val="21"/>
        </w:rPr>
      </w:pPr>
      <w:r>
        <w:rPr>
          <w:spacing w:val="-3"/>
          <w:sz w:val="21"/>
        </w:rPr>
        <w:t>消防水泵、火灾自动报警系统、自动灭火系统、防排烟设备、电动防火卷帘、电动防火门、消防应急照明和疏散指示标志等消防用电设备，以及采用汽车专用升降机作车辆疏散出口的升降机用电，应符合下列规定：</w:t>
      </w:r>
      <w:r>
        <w:rPr>
          <w:sz w:val="21"/>
        </w:rPr>
        <w:t> </w:t>
      </w:r>
    </w:p>
    <w:p>
      <w:pPr>
        <w:pStyle w:val="BodyText"/>
        <w:spacing w:line="446" w:lineRule="auto"/>
        <w:ind w:left="838" w:right="2079"/>
      </w:pPr>
      <w:r>
        <w:rPr>
          <w:spacing w:val="-3"/>
        </w:rPr>
        <w:t>Ⅰ类汽车库、采用汽车专用升降机作车辆疏散出口的升降机用电应按一级负荷供电； Ⅱ、Ⅲ类汽车库和Ⅰ类修车库应按二级负荷供电；</w:t>
      </w:r>
      <w:r>
        <w:rPr/>
        <w:t> </w:t>
      </w:r>
    </w:p>
    <w:p>
      <w:pPr>
        <w:pStyle w:val="BodyText"/>
        <w:ind w:left="838"/>
      </w:pPr>
      <w:r>
        <w:rPr/>
        <w:t>Ⅳ类汽车库和Ⅱ、Ⅲ、Ⅳ类修车库可采用三级负荷供电。 </w:t>
      </w:r>
    </w:p>
    <w:p>
      <w:pPr>
        <w:pStyle w:val="BodyText"/>
        <w:spacing w:before="11"/>
        <w:rPr>
          <w:sz w:val="17"/>
        </w:rPr>
      </w:pPr>
    </w:p>
    <w:p>
      <w:pPr>
        <w:pStyle w:val="ListParagraph"/>
        <w:numPr>
          <w:ilvl w:val="2"/>
          <w:numId w:val="780"/>
        </w:numPr>
        <w:tabs>
          <w:tab w:pos="1371" w:val="left" w:leader="none"/>
        </w:tabs>
        <w:spacing w:line="446" w:lineRule="auto" w:before="0" w:after="0"/>
        <w:ind w:left="418" w:right="1604" w:firstLine="422"/>
        <w:jc w:val="both"/>
        <w:rPr>
          <w:sz w:val="21"/>
        </w:rPr>
      </w:pPr>
      <w:r>
        <w:rPr>
          <w:spacing w:val="-3"/>
          <w:sz w:val="21"/>
        </w:rPr>
        <w:t>按一、二级负荷供电的消防用电设备的两个电源或两个回路，应能在最末一级配电箱处自动切换。消防用电设备的配电线路应与其他动力、照明等配电线路分开设置。消防用电设备应采用专用供电回路，其配电设备应有明显标志。</w:t>
      </w:r>
      <w:r>
        <w:rPr>
          <w:sz w:val="21"/>
        </w:rPr>
        <w:t> </w:t>
      </w:r>
    </w:p>
    <w:p>
      <w:pPr>
        <w:pStyle w:val="ListParagraph"/>
        <w:numPr>
          <w:ilvl w:val="2"/>
          <w:numId w:val="780"/>
        </w:numPr>
        <w:tabs>
          <w:tab w:pos="1370" w:val="left" w:leader="none"/>
        </w:tabs>
        <w:spacing w:line="268" w:lineRule="exact" w:before="0" w:after="0"/>
        <w:ind w:left="1369" w:right="0" w:hanging="530"/>
        <w:jc w:val="left"/>
        <w:rPr>
          <w:sz w:val="21"/>
        </w:rPr>
      </w:pPr>
      <w:r>
        <w:rPr>
          <w:spacing w:val="-3"/>
          <w:sz w:val="21"/>
        </w:rPr>
        <w:t>消防用电的配电线路应满足火灾时连续供电的要求，其敷设应符合现行国家标准</w:t>
      </w:r>
    </w:p>
    <w:p>
      <w:pPr>
        <w:pStyle w:val="BodyText"/>
        <w:spacing w:before="2"/>
        <w:rPr>
          <w:sz w:val="18"/>
        </w:rPr>
      </w:pPr>
    </w:p>
    <w:p>
      <w:pPr>
        <w:pStyle w:val="BodyText"/>
        <w:ind w:left="418"/>
      </w:pPr>
      <w:r>
        <w:rPr/>
        <w:t>《建筑设计防火规范》GB 50016 的有关规定。 </w:t>
      </w:r>
    </w:p>
    <w:p>
      <w:pPr>
        <w:pStyle w:val="BodyText"/>
        <w:rPr>
          <w:sz w:val="18"/>
        </w:rPr>
      </w:pPr>
    </w:p>
    <w:p>
      <w:pPr>
        <w:pStyle w:val="ListParagraph"/>
        <w:numPr>
          <w:ilvl w:val="2"/>
          <w:numId w:val="780"/>
        </w:numPr>
        <w:tabs>
          <w:tab w:pos="1370" w:val="left" w:leader="none"/>
        </w:tabs>
        <w:spacing w:line="446" w:lineRule="auto" w:before="0" w:after="0"/>
        <w:ind w:left="418" w:right="1608" w:firstLine="422"/>
        <w:jc w:val="left"/>
        <w:rPr>
          <w:sz w:val="21"/>
        </w:rPr>
      </w:pPr>
      <w:r>
        <w:rPr>
          <w:spacing w:val="-7"/>
          <w:sz w:val="21"/>
        </w:rPr>
        <w:t>除停车数量不大于 </w:t>
      </w:r>
      <w:r>
        <w:rPr>
          <w:sz w:val="21"/>
        </w:rPr>
        <w:t>50</w:t>
      </w:r>
      <w:r>
        <w:rPr>
          <w:spacing w:val="-7"/>
          <w:sz w:val="21"/>
        </w:rPr>
        <w:t> 辆的汽车库，以及室内无车道且无人员停留的机械式汽车库外</w:t>
      </w:r>
      <w:r>
        <w:rPr>
          <w:spacing w:val="-4"/>
          <w:sz w:val="21"/>
        </w:rPr>
        <w:t>，汽车库内应设置消防应急照明和疏散指示标志。用于疏散走道上的消防应急照明和疏散指示</w:t>
      </w:r>
      <w:r>
        <w:rPr>
          <w:spacing w:val="-5"/>
          <w:sz w:val="21"/>
        </w:rPr>
        <w:t>标志，可采用蓄电池作备用电源，但其连续供电时间不应小于 </w:t>
      </w:r>
      <w:r>
        <w:rPr>
          <w:sz w:val="21"/>
        </w:rPr>
        <w:t>30min</w:t>
      </w:r>
      <w:r>
        <w:rPr>
          <w:spacing w:val="-3"/>
          <w:sz w:val="21"/>
        </w:rPr>
        <w:t>。</w:t>
      </w:r>
      <w:r>
        <w:rPr>
          <w:sz w:val="21"/>
        </w:rPr>
        <w:t> </w:t>
      </w:r>
    </w:p>
    <w:p>
      <w:pPr>
        <w:pStyle w:val="ListParagraph"/>
        <w:numPr>
          <w:ilvl w:val="2"/>
          <w:numId w:val="780"/>
        </w:numPr>
        <w:tabs>
          <w:tab w:pos="1370" w:val="left" w:leader="none"/>
        </w:tabs>
        <w:spacing w:line="446" w:lineRule="auto" w:before="0" w:after="0"/>
        <w:ind w:left="418" w:right="1608" w:firstLine="422"/>
        <w:jc w:val="both"/>
        <w:rPr>
          <w:sz w:val="21"/>
        </w:rPr>
      </w:pPr>
      <w:r>
        <w:rPr>
          <w:spacing w:val="-5"/>
          <w:sz w:val="21"/>
        </w:rPr>
        <w:t>消防应急照明灯宜设置在墙面或顶棚上，其地面最低水平照度不应低于 </w:t>
      </w:r>
      <w:r>
        <w:rPr>
          <w:sz w:val="21"/>
        </w:rPr>
        <w:t>1.0Lx</w:t>
      </w:r>
      <w:r>
        <w:rPr>
          <w:spacing w:val="-3"/>
          <w:sz w:val="21"/>
        </w:rPr>
        <w:t>。安全出口标志宜设置在疏散出口的顶部；疏散指示标志宜设置在疏散通道及其转角处，且距地面</w:t>
      </w:r>
      <w:r>
        <w:rPr>
          <w:spacing w:val="-20"/>
          <w:sz w:val="21"/>
        </w:rPr>
        <w:t>高度 </w:t>
      </w:r>
      <w:r>
        <w:rPr>
          <w:sz w:val="21"/>
        </w:rPr>
        <w:t>1m</w:t>
      </w:r>
      <w:r>
        <w:rPr>
          <w:spacing w:val="-11"/>
          <w:sz w:val="21"/>
        </w:rPr>
        <w:t> 以下的墙面上。通道上的指示标志，其间距不宜大于 </w:t>
      </w:r>
      <w:r>
        <w:rPr>
          <w:sz w:val="21"/>
        </w:rPr>
        <w:t>20m</w:t>
      </w:r>
      <w:r>
        <w:rPr>
          <w:spacing w:val="-3"/>
          <w:sz w:val="21"/>
        </w:rPr>
        <w:t>。</w:t>
      </w:r>
      <w:r>
        <w:rPr>
          <w:sz w:val="21"/>
        </w:rPr>
        <w:t> </w:t>
      </w:r>
    </w:p>
    <w:p>
      <w:pPr>
        <w:pStyle w:val="ListParagraph"/>
        <w:numPr>
          <w:ilvl w:val="2"/>
          <w:numId w:val="780"/>
        </w:numPr>
        <w:tabs>
          <w:tab w:pos="1370" w:val="left" w:leader="none"/>
        </w:tabs>
        <w:spacing w:line="446" w:lineRule="auto" w:before="0" w:after="0"/>
        <w:ind w:left="418" w:right="1604" w:firstLine="422"/>
        <w:jc w:val="left"/>
        <w:rPr>
          <w:sz w:val="21"/>
        </w:rPr>
      </w:pPr>
      <w:r>
        <w:rPr>
          <w:spacing w:val="-3"/>
          <w:sz w:val="21"/>
        </w:rPr>
        <w:t>甲、乙类物品运输车的汽车库、修车库，以及修车库内的喷漆间、电瓶间、乙炔间等室内电气设备的防爆要求，均应符合现行国家标准《爆炸危险环境电力装置设计规范》</w:t>
      </w:r>
      <w:r>
        <w:rPr>
          <w:sz w:val="21"/>
        </w:rPr>
        <w:t>GB 50058</w:t>
      </w:r>
      <w:r>
        <w:rPr>
          <w:spacing w:val="-10"/>
          <w:sz w:val="21"/>
        </w:rPr>
        <w:t> 的有关规定。</w:t>
      </w:r>
      <w:r>
        <w:rPr>
          <w:sz w:val="21"/>
        </w:rPr>
        <w:t> </w:t>
      </w:r>
    </w:p>
    <w:p>
      <w:pPr>
        <w:pStyle w:val="ListParagraph"/>
        <w:numPr>
          <w:ilvl w:val="2"/>
          <w:numId w:val="780"/>
        </w:numPr>
        <w:tabs>
          <w:tab w:pos="1371" w:val="left" w:leader="none"/>
        </w:tabs>
        <w:spacing w:line="446" w:lineRule="auto" w:before="0" w:after="0"/>
        <w:ind w:left="418" w:right="1918" w:firstLine="422"/>
        <w:jc w:val="left"/>
        <w:rPr>
          <w:sz w:val="21"/>
        </w:rPr>
      </w:pPr>
      <w:r>
        <w:rPr>
          <w:spacing w:val="-3"/>
          <w:sz w:val="21"/>
        </w:rPr>
        <w:t>除敞开式汽车库、屋面停车场外，下列汽车库、修车库应设置火灾自动报警系统： </w:t>
      </w:r>
      <w:r>
        <w:rPr>
          <w:spacing w:val="-2"/>
          <w:sz w:val="21"/>
        </w:rPr>
        <w:t> </w:t>
      </w:r>
      <w:r>
        <w:rPr>
          <w:w w:val="100"/>
          <w:sz w:val="21"/>
        </w:rPr>
        <w:t> </w:t>
      </w:r>
    </w:p>
    <w:p>
      <w:pPr>
        <w:pStyle w:val="BodyText"/>
        <w:ind w:left="838"/>
      </w:pPr>
      <w:r>
        <w:rPr/>
        <w:t>Ⅰ类汽车库、修车库； </w:t>
      </w:r>
    </w:p>
    <w:p>
      <w:pPr>
        <w:pStyle w:val="BodyText"/>
        <w:spacing w:before="9"/>
        <w:rPr>
          <w:sz w:val="17"/>
        </w:rPr>
      </w:pPr>
    </w:p>
    <w:p>
      <w:pPr>
        <w:pStyle w:val="BodyText"/>
        <w:spacing w:line="446" w:lineRule="auto"/>
        <w:ind w:left="838" w:right="6287"/>
      </w:pPr>
      <w:r>
        <w:rPr/>
        <w:t>Ⅱ类地下、半地下汽车库、修车库； Ⅱ类高层汽车库、修车库； </w:t>
      </w:r>
    </w:p>
    <w:p>
      <w:pPr>
        <w:pStyle w:val="BodyText"/>
        <w:ind w:left="838"/>
      </w:pPr>
      <w:r>
        <w:rPr/>
        <w:t>机械式汽车库； </w:t>
      </w:r>
    </w:p>
    <w:p>
      <w:pPr>
        <w:spacing w:after="0"/>
        <w:sectPr>
          <w:pgSz w:w="11910" w:h="16850"/>
          <w:pgMar w:header="0" w:footer="1189" w:top="1220" w:bottom="1420" w:left="1260" w:right="0"/>
        </w:sectPr>
      </w:pPr>
    </w:p>
    <w:p>
      <w:pPr>
        <w:pStyle w:val="BodyText"/>
        <w:spacing w:before="47"/>
        <w:ind w:left="838"/>
      </w:pPr>
      <w:r>
        <w:rPr/>
        <w:t>采用汽车专用升降机作汽车疏散出口的汽车库。 </w:t>
      </w:r>
    </w:p>
    <w:p>
      <w:pPr>
        <w:pStyle w:val="BodyText"/>
        <w:rPr>
          <w:sz w:val="18"/>
        </w:rPr>
      </w:pPr>
    </w:p>
    <w:p>
      <w:pPr>
        <w:pStyle w:val="ListParagraph"/>
        <w:numPr>
          <w:ilvl w:val="2"/>
          <w:numId w:val="780"/>
        </w:numPr>
        <w:tabs>
          <w:tab w:pos="1371" w:val="left" w:leader="none"/>
        </w:tabs>
        <w:spacing w:line="446" w:lineRule="auto" w:before="0" w:after="0"/>
        <w:ind w:left="418" w:right="1604" w:firstLine="422"/>
        <w:jc w:val="left"/>
        <w:rPr>
          <w:sz w:val="21"/>
        </w:rPr>
      </w:pPr>
      <w:r>
        <w:rPr>
          <w:spacing w:val="-3"/>
          <w:sz w:val="21"/>
        </w:rPr>
        <w:t>气体灭火系统、泡沫—水喷淋系统、高倍数泡沫灭火系统以及设置防火卷帘、防烟排烟系统的联动控制设计，应符合现行国家标准《火灾自动报警系统设计规范》</w:t>
      </w:r>
      <w:r>
        <w:rPr>
          <w:sz w:val="21"/>
        </w:rPr>
        <w:t>GB</w:t>
      </w:r>
      <w:r>
        <w:rPr>
          <w:spacing w:val="13"/>
          <w:sz w:val="21"/>
        </w:rPr>
        <w:t> </w:t>
      </w:r>
      <w:r>
        <w:rPr>
          <w:sz w:val="21"/>
        </w:rPr>
        <w:t>50116</w:t>
      </w:r>
      <w:r>
        <w:rPr>
          <w:spacing w:val="-25"/>
          <w:sz w:val="21"/>
        </w:rPr>
        <w:t> 等</w:t>
      </w:r>
      <w:r>
        <w:rPr>
          <w:spacing w:val="-11"/>
          <w:sz w:val="21"/>
        </w:rPr>
        <w:t>的有关规定。</w:t>
      </w:r>
      <w:r>
        <w:rPr>
          <w:sz w:val="21"/>
        </w:rPr>
        <w:t> </w:t>
      </w:r>
    </w:p>
    <w:p>
      <w:pPr>
        <w:pStyle w:val="ListParagraph"/>
        <w:numPr>
          <w:ilvl w:val="2"/>
          <w:numId w:val="780"/>
        </w:numPr>
        <w:tabs>
          <w:tab w:pos="1370" w:val="left" w:leader="none"/>
        </w:tabs>
        <w:spacing w:line="446" w:lineRule="auto" w:before="0" w:after="0"/>
        <w:ind w:left="418" w:right="1604" w:firstLine="422"/>
        <w:jc w:val="left"/>
        <w:rPr>
          <w:sz w:val="21"/>
        </w:rPr>
      </w:pPr>
      <w:r>
        <w:rPr>
          <w:spacing w:val="-3"/>
          <w:sz w:val="21"/>
        </w:rPr>
        <w:t>设置火灾自动报警系统和自动灭火系统的汽车库、修车库，应设置消防控制室，消防控制室宜独立设置，也可与其他控制室、值班室组合设置。</w:t>
      </w:r>
      <w:r>
        <w:rPr>
          <w:sz w:val="21"/>
        </w:rPr>
        <w:t> </w:t>
      </w:r>
    </w:p>
    <w:p>
      <w:pPr>
        <w:pStyle w:val="BodyText"/>
        <w:rPr>
          <w:sz w:val="20"/>
        </w:rPr>
      </w:pPr>
    </w:p>
    <w:p>
      <w:pPr>
        <w:pStyle w:val="BodyText"/>
        <w:rPr>
          <w:sz w:val="20"/>
        </w:rPr>
      </w:pPr>
    </w:p>
    <w:p>
      <w:pPr>
        <w:pStyle w:val="BodyText"/>
        <w:rPr>
          <w:sz w:val="20"/>
        </w:rPr>
      </w:pPr>
    </w:p>
    <w:p>
      <w:pPr>
        <w:pStyle w:val="BodyText"/>
        <w:spacing w:before="11"/>
        <w:rPr>
          <w:sz w:val="17"/>
        </w:rPr>
      </w:pPr>
    </w:p>
    <w:p>
      <w:pPr>
        <w:pStyle w:val="BodyText"/>
        <w:ind w:left="3298"/>
      </w:pPr>
      <w:r>
        <w:rPr>
          <w:w w:val="100"/>
        </w:rPr>
        <w:t> </w:t>
      </w:r>
    </w:p>
    <w:p>
      <w:pPr>
        <w:spacing w:after="0"/>
        <w:sectPr>
          <w:pgSz w:w="11910" w:h="16850"/>
          <w:pgMar w:header="0" w:footer="1189" w:top="1220" w:bottom="1420" w:left="1260" w:right="0"/>
        </w:sectPr>
      </w:pPr>
    </w:p>
    <w:p>
      <w:pPr>
        <w:pStyle w:val="Heading2"/>
        <w:ind w:left="3457"/>
        <w:jc w:val="left"/>
      </w:pPr>
      <w:bookmarkStart w:name="_bookmark28" w:id="29"/>
      <w:bookmarkEnd w:id="29"/>
      <w:r>
        <w:rPr>
          <w:b w:val="0"/>
        </w:rPr>
      </w:r>
      <w:r>
        <w:rPr/>
        <w:t>城市消防站设计规范</w:t>
      </w:r>
      <w:r>
        <w:rPr>
          <w:w w:val="99"/>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781"/>
        </w:numPr>
        <w:tabs>
          <w:tab w:pos="1160" w:val="left" w:leader="none"/>
        </w:tabs>
        <w:spacing w:line="446" w:lineRule="auto" w:before="0" w:after="0"/>
        <w:ind w:left="418" w:right="1604" w:firstLine="422"/>
        <w:jc w:val="left"/>
        <w:rPr>
          <w:sz w:val="21"/>
        </w:rPr>
      </w:pPr>
      <w:r>
        <w:rPr>
          <w:spacing w:val="-3"/>
          <w:sz w:val="21"/>
        </w:rPr>
        <w:t>为了规范城市消防站</w:t>
      </w:r>
      <w:r>
        <w:rPr>
          <w:sz w:val="21"/>
        </w:rPr>
        <w:t>（</w:t>
      </w:r>
      <w:r>
        <w:rPr>
          <w:spacing w:val="-3"/>
          <w:sz w:val="21"/>
        </w:rPr>
        <w:t>以下简称”消防站”</w:t>
      </w:r>
      <w:r>
        <w:rPr>
          <w:sz w:val="21"/>
        </w:rPr>
        <w:t>）</w:t>
      </w:r>
      <w:r>
        <w:rPr>
          <w:spacing w:val="-3"/>
          <w:sz w:val="21"/>
        </w:rPr>
        <w:t>的设计，提高消防站用房、设施和场地规划布局及配置的科学性和合理性，做到安全适用、技术先进、经济合理，制定本规范。</w:t>
      </w:r>
      <w:r>
        <w:rPr>
          <w:sz w:val="21"/>
        </w:rPr>
        <w:t> </w:t>
      </w:r>
    </w:p>
    <w:p>
      <w:pPr>
        <w:pStyle w:val="ListParagraph"/>
        <w:numPr>
          <w:ilvl w:val="1"/>
          <w:numId w:val="781"/>
        </w:numPr>
        <w:tabs>
          <w:tab w:pos="1160" w:val="left" w:leader="none"/>
        </w:tabs>
        <w:spacing w:line="240" w:lineRule="auto" w:before="0" w:after="0"/>
        <w:ind w:left="1159" w:right="0" w:hanging="320"/>
        <w:jc w:val="left"/>
        <w:rPr>
          <w:sz w:val="21"/>
        </w:rPr>
      </w:pPr>
      <w:r>
        <w:rPr>
          <w:spacing w:val="-3"/>
          <w:sz w:val="21"/>
        </w:rPr>
        <w:t>本规范适用于城市新建、改建和扩建消防站的设计。</w:t>
      </w:r>
      <w:r>
        <w:rPr>
          <w:sz w:val="21"/>
        </w:rPr>
        <w:t> </w:t>
      </w:r>
    </w:p>
    <w:p>
      <w:pPr>
        <w:pStyle w:val="BodyText"/>
        <w:spacing w:before="12"/>
        <w:rPr>
          <w:sz w:val="17"/>
        </w:rPr>
      </w:pPr>
    </w:p>
    <w:p>
      <w:pPr>
        <w:pStyle w:val="BodyText"/>
        <w:ind w:left="838"/>
      </w:pPr>
      <w:r>
        <w:rPr/>
        <w:t>本规范不适用于战勤保障消防站的设计。 </w:t>
      </w:r>
    </w:p>
    <w:p>
      <w:pPr>
        <w:pStyle w:val="BodyText"/>
        <w:rPr>
          <w:sz w:val="18"/>
        </w:rPr>
      </w:pPr>
    </w:p>
    <w:p>
      <w:pPr>
        <w:pStyle w:val="ListParagraph"/>
        <w:numPr>
          <w:ilvl w:val="1"/>
          <w:numId w:val="781"/>
        </w:numPr>
        <w:tabs>
          <w:tab w:pos="1160" w:val="left" w:leader="none"/>
        </w:tabs>
        <w:spacing w:line="240" w:lineRule="auto" w:before="0" w:after="0"/>
        <w:ind w:left="1159" w:right="0" w:hanging="320"/>
        <w:jc w:val="left"/>
        <w:rPr>
          <w:sz w:val="21"/>
        </w:rPr>
      </w:pPr>
      <w:r>
        <w:rPr>
          <w:spacing w:val="-3"/>
          <w:sz w:val="21"/>
        </w:rPr>
        <w:t>消防站的没计除应符合本规范外，尚应符合同家现行有关标准的规定。 </w:t>
      </w:r>
    </w:p>
    <w:p>
      <w:pPr>
        <w:pStyle w:val="BodyText"/>
        <w:spacing w:before="10"/>
        <w:rPr>
          <w:sz w:val="15"/>
        </w:rPr>
      </w:pPr>
    </w:p>
    <w:p>
      <w:pPr>
        <w:pStyle w:val="Heading4"/>
        <w:spacing w:before="1"/>
      </w:pPr>
      <w:r>
        <w:rPr/>
        <w:t>2 术语</w:t>
      </w:r>
      <w:r>
        <w:rPr>
          <w:w w:val="99"/>
        </w:rPr>
        <w:t> </w:t>
      </w:r>
    </w:p>
    <w:p>
      <w:pPr>
        <w:pStyle w:val="BodyText"/>
        <w:spacing w:before="3"/>
        <w:rPr>
          <w:b/>
          <w:sz w:val="17"/>
        </w:rPr>
      </w:pPr>
    </w:p>
    <w:p>
      <w:pPr>
        <w:pStyle w:val="ListParagraph"/>
        <w:numPr>
          <w:ilvl w:val="1"/>
          <w:numId w:val="782"/>
        </w:numPr>
        <w:tabs>
          <w:tab w:pos="1160" w:val="left" w:leader="none"/>
        </w:tabs>
        <w:spacing w:line="240" w:lineRule="auto" w:before="1" w:after="0"/>
        <w:ind w:left="1159" w:right="0" w:hanging="320"/>
        <w:jc w:val="left"/>
        <w:rPr>
          <w:sz w:val="21"/>
        </w:rPr>
      </w:pPr>
      <w:r>
        <w:rPr>
          <w:spacing w:val="24"/>
          <w:sz w:val="21"/>
        </w:rPr>
        <w:t>消防站 </w:t>
      </w:r>
      <w:r>
        <w:rPr>
          <w:sz w:val="21"/>
        </w:rPr>
        <w:t>fire</w:t>
      </w:r>
      <w:r>
        <w:rPr>
          <w:spacing w:val="1"/>
          <w:sz w:val="21"/>
        </w:rPr>
        <w:t> </w:t>
      </w:r>
      <w:r>
        <w:rPr>
          <w:sz w:val="21"/>
        </w:rPr>
        <w:t>station </w:t>
      </w:r>
    </w:p>
    <w:p>
      <w:pPr>
        <w:pStyle w:val="BodyText"/>
        <w:spacing w:before="12"/>
        <w:rPr>
          <w:sz w:val="17"/>
        </w:rPr>
      </w:pPr>
    </w:p>
    <w:p>
      <w:pPr>
        <w:pStyle w:val="BodyText"/>
        <w:spacing w:line="446" w:lineRule="auto"/>
        <w:ind w:left="418" w:right="1609" w:firstLine="419"/>
      </w:pPr>
      <w:r>
        <w:rPr/>
        <w:t>城镇公共消防设施的重要组成部分，是公安、专职或其他类型消防队的驻在基地，主要包括建筑、道路、场地和设施等。 </w:t>
      </w:r>
    </w:p>
    <w:p>
      <w:pPr>
        <w:pStyle w:val="ListParagraph"/>
        <w:numPr>
          <w:ilvl w:val="1"/>
          <w:numId w:val="782"/>
        </w:numPr>
        <w:tabs>
          <w:tab w:pos="1160" w:val="left" w:leader="none"/>
        </w:tabs>
        <w:spacing w:line="240" w:lineRule="auto" w:before="0" w:after="0"/>
        <w:ind w:left="1159" w:right="0" w:hanging="320"/>
        <w:jc w:val="left"/>
        <w:rPr>
          <w:sz w:val="21"/>
        </w:rPr>
      </w:pPr>
      <w:r>
        <w:rPr>
          <w:spacing w:val="-3"/>
          <w:sz w:val="21"/>
        </w:rPr>
        <w:t>普通消防站 </w:t>
      </w:r>
      <w:r>
        <w:rPr>
          <w:sz w:val="21"/>
        </w:rPr>
        <w:t>normal</w:t>
      </w:r>
      <w:r>
        <w:rPr>
          <w:spacing w:val="1"/>
          <w:sz w:val="21"/>
        </w:rPr>
        <w:t> </w:t>
      </w:r>
      <w:r>
        <w:rPr>
          <w:sz w:val="21"/>
        </w:rPr>
        <w:t>mission fire</w:t>
      </w:r>
      <w:r>
        <w:rPr>
          <w:spacing w:val="-2"/>
          <w:sz w:val="21"/>
        </w:rPr>
        <w:t> </w:t>
      </w:r>
      <w:r>
        <w:rPr>
          <w:sz w:val="21"/>
        </w:rPr>
        <w:t>station </w:t>
      </w:r>
    </w:p>
    <w:p>
      <w:pPr>
        <w:pStyle w:val="BodyText"/>
        <w:spacing w:before="12"/>
        <w:rPr>
          <w:sz w:val="17"/>
        </w:rPr>
      </w:pPr>
    </w:p>
    <w:p>
      <w:pPr>
        <w:pStyle w:val="BodyText"/>
        <w:spacing w:line="446" w:lineRule="auto"/>
        <w:ind w:left="840" w:right="2977" w:hanging="3"/>
      </w:pPr>
      <w:r>
        <w:rPr>
          <w:spacing w:val="-3"/>
        </w:rPr>
        <w:t>有明确辖区，主要承担火灾扑救和一般灾害事故抢险救援任务的消防站。</w:t>
      </w:r>
      <w:r>
        <w:rPr>
          <w:b/>
        </w:rPr>
        <w:t>2.3</w:t>
      </w:r>
      <w:r>
        <w:rPr>
          <w:b/>
          <w:spacing w:val="101"/>
        </w:rPr>
        <w:t> </w:t>
      </w:r>
      <w:r>
        <w:rPr>
          <w:spacing w:val="14"/>
        </w:rPr>
        <w:t>特勤消防站 </w:t>
      </w:r>
      <w:r>
        <w:rPr/>
        <w:t>special mission fire station </w:t>
      </w:r>
    </w:p>
    <w:p>
      <w:pPr>
        <w:pStyle w:val="BodyText"/>
        <w:spacing w:line="446" w:lineRule="auto"/>
        <w:ind w:left="418" w:right="1609" w:firstLine="419"/>
      </w:pPr>
      <w:r>
        <w:rPr/>
        <w:t>主要承担特种灾害事故应急救援和特殊火灾扑救任务的消防站，对有明确辖区要求的，同时承担普通消防站任务。 </w:t>
      </w:r>
    </w:p>
    <w:p>
      <w:pPr>
        <w:pStyle w:val="BodyText"/>
        <w:spacing w:line="446" w:lineRule="auto"/>
        <w:ind w:left="838" w:right="5286" w:firstLine="2"/>
        <w:jc w:val="both"/>
      </w:pPr>
      <w:r>
        <w:rPr>
          <w:b/>
        </w:rPr>
        <w:t>2.4</w:t>
      </w:r>
      <w:r>
        <w:rPr>
          <w:b/>
          <w:spacing w:val="101"/>
        </w:rPr>
        <w:t> </w:t>
      </w:r>
      <w:r>
        <w:rPr>
          <w:spacing w:val="-3"/>
        </w:rPr>
        <w:t>消防员备勤室  </w:t>
      </w:r>
      <w:r>
        <w:rPr/>
        <w:t>fire</w:t>
      </w:r>
      <w:r>
        <w:rPr>
          <w:spacing w:val="1"/>
        </w:rPr>
        <w:t> </w:t>
      </w:r>
      <w:r>
        <w:rPr/>
        <w:t>fighter</w:t>
      </w:r>
      <w:r>
        <w:rPr>
          <w:spacing w:val="-3"/>
        </w:rPr>
        <w:t> </w:t>
      </w:r>
      <w:r>
        <w:rPr/>
        <w:t>dormitory </w:t>
      </w:r>
      <w:r>
        <w:rPr>
          <w:spacing w:val="-3"/>
        </w:rPr>
        <w:t>供消防员执勤备战时睡眠、休息或学习的房间。</w:t>
      </w:r>
      <w:r>
        <w:rPr>
          <w:b/>
          <w:spacing w:val="-3"/>
        </w:rPr>
        <w:t>2.5</w:t>
      </w:r>
      <w:r>
        <w:rPr>
          <w:b/>
          <w:spacing w:val="101"/>
        </w:rPr>
        <w:t> </w:t>
      </w:r>
      <w:r>
        <w:rPr>
          <w:spacing w:val="-2"/>
        </w:rPr>
        <w:t>出警通道 </w:t>
      </w:r>
      <w:r>
        <w:rPr/>
        <w:t>fire engine</w:t>
      </w:r>
      <w:r>
        <w:rPr>
          <w:spacing w:val="1"/>
        </w:rPr>
        <w:t> </w:t>
      </w:r>
      <w:r>
        <w:rPr/>
        <w:t>path </w:t>
      </w:r>
    </w:p>
    <w:p>
      <w:pPr>
        <w:pStyle w:val="BodyText"/>
        <w:spacing w:line="446" w:lineRule="auto"/>
        <w:ind w:left="840" w:right="3817" w:hanging="3"/>
      </w:pPr>
      <w:r>
        <w:rPr>
          <w:spacing w:val="-3"/>
        </w:rPr>
        <w:t>从消防车库门口至消防站主出入口或城市道路之间的消防车道。</w:t>
      </w:r>
      <w:r>
        <w:rPr>
          <w:b/>
        </w:rPr>
        <w:t>2.6</w:t>
      </w:r>
      <w:r>
        <w:rPr>
          <w:b/>
          <w:spacing w:val="101"/>
        </w:rPr>
        <w:t> </w:t>
      </w:r>
      <w:r>
        <w:rPr>
          <w:spacing w:val="-15"/>
        </w:rPr>
        <w:t>执勤楼 </w:t>
      </w:r>
      <w:r>
        <w:rPr/>
        <w:t>fire station building </w:t>
      </w:r>
    </w:p>
    <w:p>
      <w:pPr>
        <w:pStyle w:val="BodyText"/>
        <w:spacing w:line="446" w:lineRule="auto"/>
        <w:ind w:left="840" w:right="3606" w:hanging="3"/>
      </w:pPr>
      <w:r>
        <w:rPr>
          <w:spacing w:val="-3"/>
        </w:rPr>
        <w:t>容纳相关业务用房和辅助用房便于消防员值班和备战的建筑场所。</w:t>
      </w:r>
      <w:r>
        <w:rPr>
          <w:b/>
        </w:rPr>
        <w:t>2.7</w:t>
      </w:r>
      <w:r>
        <w:rPr>
          <w:b/>
          <w:spacing w:val="101"/>
        </w:rPr>
        <w:t> </w:t>
      </w:r>
      <w:r>
        <w:rPr>
          <w:spacing w:val="-15"/>
        </w:rPr>
        <w:t>训练塔 </w:t>
      </w:r>
      <w:r>
        <w:rPr/>
        <w:t>training tower </w:t>
      </w:r>
    </w:p>
    <w:p>
      <w:pPr>
        <w:pStyle w:val="BodyText"/>
        <w:spacing w:line="446" w:lineRule="auto"/>
        <w:ind w:left="840" w:right="2977" w:hanging="3"/>
        <w:rPr>
          <w:b/>
        </w:rPr>
      </w:pPr>
      <w:r>
        <w:rPr>
          <w:spacing w:val="-3"/>
        </w:rPr>
        <w:t>供消防员进行身体素质、登高技巧和高楼灭火救生等训练的塔式构筑物。</w:t>
      </w:r>
      <w:r>
        <w:rPr>
          <w:b/>
        </w:rPr>
        <w:t>2.8</w:t>
      </w:r>
      <w:r>
        <w:rPr>
          <w:b/>
          <w:spacing w:val="53"/>
        </w:rPr>
        <w:t> </w:t>
      </w:r>
      <w:r>
        <w:rPr>
          <w:spacing w:val="-2"/>
        </w:rPr>
        <w:t>滑 杆 </w:t>
      </w:r>
      <w:r>
        <w:rPr/>
        <w:t>fire station sliding pole</w:t>
      </w:r>
      <w:r>
        <w:rPr>
          <w:b/>
          <w:w w:val="99"/>
        </w:rPr>
        <w:t> </w:t>
      </w:r>
    </w:p>
    <w:p>
      <w:pPr>
        <w:pStyle w:val="BodyText"/>
        <w:ind w:left="838"/>
      </w:pPr>
      <w:r>
        <w:rPr/>
        <w:t>供消防员从高处直接滑降到指定部位方便快速出动的圆柱形杆状物。 </w:t>
      </w:r>
    </w:p>
    <w:p>
      <w:pPr>
        <w:pStyle w:val="BodyText"/>
        <w:spacing w:before="5"/>
        <w:rPr>
          <w:sz w:val="15"/>
        </w:rPr>
      </w:pPr>
    </w:p>
    <w:p>
      <w:pPr>
        <w:pStyle w:val="Heading4"/>
      </w:pPr>
      <w:r>
        <w:rPr/>
        <w:t>3 造址和总平面设计</w:t>
      </w:r>
      <w:r>
        <w:rPr>
          <w:w w:val="99"/>
        </w:rPr>
        <w:t> </w:t>
      </w:r>
    </w:p>
    <w:p>
      <w:pPr>
        <w:spacing w:after="0"/>
        <w:sectPr>
          <w:pgSz w:w="11910" w:h="16850"/>
          <w:pgMar w:header="0" w:footer="1189" w:top="1140" w:bottom="1420" w:left="1260" w:right="0"/>
        </w:sectPr>
      </w:pPr>
    </w:p>
    <w:p>
      <w:pPr>
        <w:pStyle w:val="ListParagraph"/>
        <w:numPr>
          <w:ilvl w:val="1"/>
          <w:numId w:val="783"/>
        </w:numPr>
        <w:tabs>
          <w:tab w:pos="1160" w:val="left" w:leader="none"/>
        </w:tabs>
        <w:spacing w:line="446" w:lineRule="auto" w:before="47" w:after="0"/>
        <w:ind w:left="418" w:right="1604" w:firstLine="422"/>
        <w:jc w:val="both"/>
        <w:rPr>
          <w:sz w:val="21"/>
        </w:rPr>
      </w:pPr>
      <w:r>
        <w:rPr>
          <w:spacing w:val="-3"/>
          <w:sz w:val="21"/>
        </w:rPr>
        <w:t>消防站的执勤车辆主出入口应设在便于车辆迅速出动的部位，且距医院、学校、幼儿园、托儿所、影剧院、商场、体育场馆、展览馆等人员密集场所的公共建筑的主要疏散出口和</w:t>
      </w:r>
      <w:r>
        <w:rPr>
          <w:spacing w:val="-9"/>
          <w:sz w:val="21"/>
        </w:rPr>
        <w:t>公交站台不应小于 </w:t>
      </w:r>
      <w:r>
        <w:rPr>
          <w:sz w:val="21"/>
        </w:rPr>
        <w:t>50m。 </w:t>
      </w:r>
    </w:p>
    <w:p>
      <w:pPr>
        <w:pStyle w:val="ListParagraph"/>
        <w:numPr>
          <w:ilvl w:val="1"/>
          <w:numId w:val="783"/>
        </w:numPr>
        <w:tabs>
          <w:tab w:pos="1160" w:val="left" w:leader="none"/>
        </w:tabs>
        <w:spacing w:line="268" w:lineRule="exact" w:before="0" w:after="0"/>
        <w:ind w:left="1159" w:right="0" w:hanging="320"/>
        <w:jc w:val="both"/>
        <w:rPr>
          <w:sz w:val="21"/>
        </w:rPr>
      </w:pPr>
      <w:r>
        <w:rPr>
          <w:spacing w:val="-5"/>
          <w:sz w:val="21"/>
        </w:rPr>
        <w:t>消防站与加油站、加气站等易燃易爆危险场所的距离不应小于 </w:t>
      </w:r>
      <w:r>
        <w:rPr>
          <w:sz w:val="21"/>
        </w:rPr>
        <w:t>50m</w:t>
      </w:r>
      <w:r>
        <w:rPr>
          <w:spacing w:val="-3"/>
          <w:sz w:val="21"/>
        </w:rPr>
        <w:t>。</w:t>
      </w:r>
      <w:r>
        <w:rPr>
          <w:sz w:val="21"/>
        </w:rPr>
        <w:t> </w:t>
      </w:r>
    </w:p>
    <w:p>
      <w:pPr>
        <w:pStyle w:val="BodyText"/>
        <w:rPr>
          <w:sz w:val="18"/>
        </w:rPr>
      </w:pPr>
    </w:p>
    <w:p>
      <w:pPr>
        <w:pStyle w:val="ListParagraph"/>
        <w:numPr>
          <w:ilvl w:val="1"/>
          <w:numId w:val="783"/>
        </w:numPr>
        <w:tabs>
          <w:tab w:pos="1160" w:val="left" w:leader="none"/>
        </w:tabs>
        <w:spacing w:line="446" w:lineRule="auto" w:before="0" w:after="0"/>
        <w:ind w:left="418" w:right="1501" w:firstLine="422"/>
        <w:jc w:val="both"/>
        <w:rPr>
          <w:sz w:val="21"/>
        </w:rPr>
      </w:pPr>
      <w:r>
        <w:rPr>
          <w:spacing w:val="-3"/>
          <w:sz w:val="21"/>
        </w:rPr>
        <w:t>辖区内有生产、贮存危险化学品单位的，消防站应设置在常年主导风向的上风或侧风处</w:t>
      </w:r>
      <w:r>
        <w:rPr>
          <w:spacing w:val="-5"/>
          <w:sz w:val="21"/>
        </w:rPr>
        <w:t>，其边界距生产、贮存危险化学品的危险部位不宜小于 </w:t>
      </w:r>
      <w:r>
        <w:rPr>
          <w:sz w:val="21"/>
        </w:rPr>
        <w:t>200m</w:t>
      </w:r>
      <w:r>
        <w:rPr>
          <w:spacing w:val="-3"/>
          <w:sz w:val="21"/>
        </w:rPr>
        <w:t>。</w:t>
      </w:r>
      <w:r>
        <w:rPr>
          <w:sz w:val="21"/>
        </w:rPr>
        <w:t> </w:t>
      </w:r>
    </w:p>
    <w:p>
      <w:pPr>
        <w:pStyle w:val="ListParagraph"/>
        <w:numPr>
          <w:ilvl w:val="1"/>
          <w:numId w:val="783"/>
        </w:numPr>
        <w:tabs>
          <w:tab w:pos="1160" w:val="left" w:leader="none"/>
        </w:tabs>
        <w:spacing w:line="240" w:lineRule="auto" w:before="0" w:after="0"/>
        <w:ind w:left="1159" w:right="0" w:hanging="320"/>
        <w:jc w:val="both"/>
        <w:rPr>
          <w:sz w:val="21"/>
        </w:rPr>
      </w:pPr>
      <w:r>
        <w:rPr>
          <w:spacing w:val="-5"/>
          <w:sz w:val="21"/>
        </w:rPr>
        <w:t>消防站车库门直接临街的应朝向城市道路，且应后退道路红线不小于 </w:t>
      </w:r>
      <w:r>
        <w:rPr>
          <w:sz w:val="21"/>
        </w:rPr>
        <w:t>15m</w:t>
      </w:r>
      <w:r>
        <w:rPr>
          <w:spacing w:val="-3"/>
          <w:sz w:val="21"/>
        </w:rPr>
        <w:t>。</w:t>
      </w:r>
      <w:r>
        <w:rPr>
          <w:sz w:val="21"/>
        </w:rPr>
        <w:t> </w:t>
      </w:r>
    </w:p>
    <w:p>
      <w:pPr>
        <w:pStyle w:val="BodyText"/>
        <w:rPr>
          <w:sz w:val="18"/>
        </w:rPr>
      </w:pPr>
    </w:p>
    <w:p>
      <w:pPr>
        <w:pStyle w:val="ListParagraph"/>
        <w:numPr>
          <w:ilvl w:val="1"/>
          <w:numId w:val="783"/>
        </w:numPr>
        <w:tabs>
          <w:tab w:pos="1160" w:val="left" w:leader="none"/>
        </w:tabs>
        <w:spacing w:line="446" w:lineRule="auto" w:before="0" w:after="0"/>
        <w:ind w:left="418" w:right="1501" w:firstLine="422"/>
        <w:jc w:val="both"/>
        <w:rPr>
          <w:sz w:val="21"/>
        </w:rPr>
      </w:pPr>
      <w:r>
        <w:rPr>
          <w:spacing w:val="-3"/>
          <w:sz w:val="21"/>
        </w:rPr>
        <w:t>消防站车库门在消防站院内时，消防站主出人口与城市道路的距离应满足大型消防车辆出动时的转弯半径要求。 </w:t>
      </w:r>
    </w:p>
    <w:p>
      <w:pPr>
        <w:pStyle w:val="ListParagraph"/>
        <w:numPr>
          <w:ilvl w:val="1"/>
          <w:numId w:val="783"/>
        </w:numPr>
        <w:tabs>
          <w:tab w:pos="1160" w:val="left" w:leader="none"/>
        </w:tabs>
        <w:spacing w:line="240" w:lineRule="auto" w:before="0" w:after="0"/>
        <w:ind w:left="1159" w:right="0" w:hanging="320"/>
        <w:jc w:val="both"/>
        <w:rPr>
          <w:sz w:val="21"/>
        </w:rPr>
      </w:pPr>
      <w:r>
        <w:rPr>
          <w:spacing w:val="-3"/>
          <w:sz w:val="21"/>
        </w:rPr>
        <w:t>消防车出警通道不应为上坡。</w:t>
      </w:r>
      <w:r>
        <w:rPr>
          <w:sz w:val="21"/>
        </w:rPr>
        <w:t> </w:t>
      </w:r>
    </w:p>
    <w:p>
      <w:pPr>
        <w:pStyle w:val="BodyText"/>
        <w:spacing w:before="12"/>
        <w:rPr>
          <w:sz w:val="17"/>
        </w:rPr>
      </w:pPr>
    </w:p>
    <w:p>
      <w:pPr>
        <w:pStyle w:val="ListParagraph"/>
        <w:numPr>
          <w:ilvl w:val="1"/>
          <w:numId w:val="783"/>
        </w:numPr>
        <w:tabs>
          <w:tab w:pos="1160" w:val="left" w:leader="none"/>
        </w:tabs>
        <w:spacing w:line="240" w:lineRule="auto" w:before="0" w:after="0"/>
        <w:ind w:left="1159" w:right="0" w:hanging="320"/>
        <w:jc w:val="left"/>
        <w:rPr>
          <w:sz w:val="21"/>
        </w:rPr>
      </w:pPr>
      <w:r>
        <w:rPr>
          <w:spacing w:val="-3"/>
          <w:sz w:val="21"/>
        </w:rPr>
        <w:t>消防车主出入口处的城市道路两侧宜设置可控交通信号灯、标志标线或隔离设施等，</w:t>
      </w:r>
    </w:p>
    <w:p>
      <w:pPr>
        <w:pStyle w:val="BodyText"/>
        <w:spacing w:before="12"/>
        <w:rPr>
          <w:sz w:val="17"/>
        </w:rPr>
      </w:pPr>
    </w:p>
    <w:p>
      <w:pPr>
        <w:pStyle w:val="BodyText"/>
        <w:ind w:left="418"/>
      </w:pPr>
      <w:r>
        <w:rPr/>
        <w:t>30m 以内的路段应设置禁止停车标志。 </w:t>
      </w:r>
    </w:p>
    <w:p>
      <w:pPr>
        <w:pStyle w:val="BodyText"/>
        <w:spacing w:before="2"/>
        <w:rPr>
          <w:sz w:val="18"/>
        </w:rPr>
      </w:pPr>
    </w:p>
    <w:p>
      <w:pPr>
        <w:pStyle w:val="ListParagraph"/>
        <w:numPr>
          <w:ilvl w:val="1"/>
          <w:numId w:val="783"/>
        </w:numPr>
        <w:tabs>
          <w:tab w:pos="1160" w:val="left" w:leader="none"/>
        </w:tabs>
        <w:spacing w:line="446" w:lineRule="auto" w:before="0" w:after="0"/>
        <w:ind w:left="418" w:right="1604" w:firstLine="422"/>
        <w:jc w:val="left"/>
        <w:rPr>
          <w:sz w:val="21"/>
        </w:rPr>
      </w:pPr>
      <w:r>
        <w:rPr>
          <w:spacing w:val="-3"/>
          <w:sz w:val="21"/>
        </w:rPr>
        <w:t>消防站内应设置业务用房、业务附属用房、辅助用房、训练场地与车道、训练设施、给水排水设施以及其他必要的建</w:t>
      </w:r>
      <w:r>
        <w:rPr>
          <w:sz w:val="21"/>
        </w:rPr>
        <w:t>（</w:t>
      </w:r>
      <w:r>
        <w:rPr>
          <w:spacing w:val="-3"/>
          <w:sz w:val="21"/>
        </w:rPr>
        <w:t>构</w:t>
      </w:r>
      <w:r>
        <w:rPr>
          <w:sz w:val="21"/>
        </w:rPr>
        <w:t>）</w:t>
      </w:r>
      <w:r>
        <w:rPr>
          <w:spacing w:val="-3"/>
          <w:sz w:val="21"/>
        </w:rPr>
        <w:t>筑物，并应合理布局。</w:t>
      </w:r>
      <w:r>
        <w:rPr>
          <w:sz w:val="21"/>
        </w:rPr>
        <w:t> </w:t>
      </w:r>
    </w:p>
    <w:p>
      <w:pPr>
        <w:pStyle w:val="ListParagraph"/>
        <w:numPr>
          <w:ilvl w:val="1"/>
          <w:numId w:val="783"/>
        </w:numPr>
        <w:tabs>
          <w:tab w:pos="1160" w:val="left" w:leader="none"/>
        </w:tabs>
        <w:spacing w:line="267" w:lineRule="exact" w:before="0" w:after="0"/>
        <w:ind w:left="1159" w:right="0" w:hanging="320"/>
        <w:jc w:val="left"/>
        <w:rPr>
          <w:sz w:val="21"/>
        </w:rPr>
      </w:pPr>
      <w:r>
        <w:rPr>
          <w:spacing w:val="-8"/>
          <w:sz w:val="21"/>
        </w:rPr>
        <w:t>消防站备勤室不应设在 </w:t>
      </w:r>
      <w:r>
        <w:rPr>
          <w:sz w:val="21"/>
        </w:rPr>
        <w:t>3</w:t>
      </w:r>
      <w:r>
        <w:rPr>
          <w:spacing w:val="-28"/>
          <w:sz w:val="21"/>
        </w:rPr>
        <w:t> 层或 </w:t>
      </w:r>
      <w:r>
        <w:rPr>
          <w:sz w:val="21"/>
        </w:rPr>
        <w:t>3</w:t>
      </w:r>
      <w:r>
        <w:rPr>
          <w:spacing w:val="-16"/>
          <w:sz w:val="21"/>
        </w:rPr>
        <w:t> 层以上</w:t>
      </w:r>
      <w:r>
        <w:rPr>
          <w:b/>
          <w:sz w:val="21"/>
        </w:rPr>
        <w:t>。</w:t>
      </w:r>
      <w:r>
        <w:rPr>
          <w:w w:val="100"/>
          <w:sz w:val="21"/>
        </w:rPr>
        <w:t> </w:t>
      </w:r>
    </w:p>
    <w:p>
      <w:pPr>
        <w:pStyle w:val="BodyText"/>
        <w:spacing w:before="2"/>
        <w:rPr>
          <w:sz w:val="18"/>
        </w:rPr>
      </w:pPr>
    </w:p>
    <w:p>
      <w:pPr>
        <w:pStyle w:val="ListParagraph"/>
        <w:numPr>
          <w:ilvl w:val="1"/>
          <w:numId w:val="783"/>
        </w:numPr>
        <w:tabs>
          <w:tab w:pos="1266" w:val="left" w:leader="none"/>
        </w:tabs>
        <w:spacing w:line="240" w:lineRule="auto" w:before="0" w:after="0"/>
        <w:ind w:left="1265" w:right="0" w:hanging="426"/>
        <w:jc w:val="left"/>
        <w:rPr>
          <w:sz w:val="21"/>
        </w:rPr>
      </w:pPr>
      <w:r>
        <w:rPr>
          <w:spacing w:val="-3"/>
          <w:sz w:val="21"/>
        </w:rPr>
        <w:t>有条件的消防站，可将执勤楼、训练区、坐活区分区设计。</w:t>
      </w:r>
      <w:r>
        <w:rPr>
          <w:sz w:val="21"/>
        </w:rPr>
        <w:t> </w:t>
      </w:r>
    </w:p>
    <w:p>
      <w:pPr>
        <w:pStyle w:val="BodyText"/>
        <w:spacing w:before="12"/>
        <w:rPr>
          <w:sz w:val="17"/>
        </w:rPr>
      </w:pPr>
    </w:p>
    <w:p>
      <w:pPr>
        <w:pStyle w:val="ListParagraph"/>
        <w:numPr>
          <w:ilvl w:val="1"/>
          <w:numId w:val="783"/>
        </w:numPr>
        <w:tabs>
          <w:tab w:pos="1266" w:val="left" w:leader="none"/>
        </w:tabs>
        <w:spacing w:line="446" w:lineRule="auto" w:before="0" w:after="0"/>
        <w:ind w:left="418" w:right="1813" w:firstLine="422"/>
        <w:jc w:val="left"/>
        <w:rPr>
          <w:sz w:val="21"/>
        </w:rPr>
      </w:pPr>
      <w:r>
        <w:rPr>
          <w:spacing w:val="-2"/>
          <w:sz w:val="21"/>
        </w:rPr>
        <w:t>消防支</w:t>
      </w:r>
      <w:r>
        <w:rPr>
          <w:spacing w:val="-3"/>
          <w:sz w:val="21"/>
        </w:rPr>
        <w:t>（</w:t>
      </w:r>
      <w:r>
        <w:rPr>
          <w:sz w:val="21"/>
        </w:rPr>
        <w:t>大</w:t>
      </w:r>
      <w:r>
        <w:rPr>
          <w:spacing w:val="-3"/>
          <w:sz w:val="21"/>
        </w:rPr>
        <w:t>）队与消防中队集中布置时，两者宜相对独立布置，或采用两栋楼并列，以连廊的形式连接。两部分宜分别设置出入口。 </w:t>
      </w:r>
    </w:p>
    <w:p>
      <w:pPr>
        <w:pStyle w:val="ListParagraph"/>
        <w:numPr>
          <w:ilvl w:val="1"/>
          <w:numId w:val="783"/>
        </w:numPr>
        <w:tabs>
          <w:tab w:pos="1266" w:val="left" w:leader="none"/>
        </w:tabs>
        <w:spacing w:line="446" w:lineRule="auto" w:before="0" w:after="0"/>
        <w:ind w:left="418" w:right="1707" w:firstLine="422"/>
        <w:jc w:val="left"/>
        <w:rPr>
          <w:sz w:val="21"/>
        </w:rPr>
      </w:pPr>
      <w:r>
        <w:rPr>
          <w:spacing w:val="-3"/>
          <w:sz w:val="21"/>
        </w:rPr>
        <w:t>消防站不宜设在综合性建筑物中。当必须设在综合性建筑物中时，消防站应自成一区，并应有专用出入口。</w:t>
      </w:r>
      <w:r>
        <w:rPr>
          <w:sz w:val="21"/>
        </w:rPr>
        <w:t> </w:t>
      </w:r>
    </w:p>
    <w:p>
      <w:pPr>
        <w:pStyle w:val="ListParagraph"/>
        <w:numPr>
          <w:ilvl w:val="1"/>
          <w:numId w:val="783"/>
        </w:numPr>
        <w:tabs>
          <w:tab w:pos="1266" w:val="left" w:leader="none"/>
        </w:tabs>
        <w:spacing w:line="444" w:lineRule="auto" w:before="0" w:after="0"/>
        <w:ind w:left="418" w:right="1604" w:firstLine="422"/>
        <w:jc w:val="both"/>
        <w:rPr>
          <w:sz w:val="21"/>
        </w:rPr>
      </w:pPr>
      <w:r>
        <w:rPr>
          <w:spacing w:val="-3"/>
          <w:sz w:val="21"/>
        </w:rPr>
        <w:t>消防站内应设置室外训练场地，场地内设施宜包括：业务训练设施、体能训练设施和心理训练设施。业务训练设施宜包括：训练塔、模拟训练场等；体能训练设施宜包括：篮球场、训练跑道等。应根据场地特点合理布置模拟训练场、心理素质训练场、训练塔等设施。室外</w:t>
      </w:r>
      <w:r>
        <w:rPr>
          <w:spacing w:val="-8"/>
          <w:sz w:val="21"/>
        </w:rPr>
        <w:t>训练场面积宜符合表 </w:t>
      </w:r>
      <w:r>
        <w:rPr>
          <w:sz w:val="21"/>
        </w:rPr>
        <w:t>3.0.13</w:t>
      </w:r>
      <w:r>
        <w:rPr>
          <w:spacing w:val="-14"/>
          <w:sz w:val="21"/>
        </w:rPr>
        <w:t> 的规定，且不得小于 </w:t>
      </w:r>
      <w:r>
        <w:rPr>
          <w:sz w:val="21"/>
        </w:rPr>
        <w:t>1000m</w:t>
      </w:r>
      <w:r>
        <w:rPr>
          <w:position w:val="11"/>
          <w:sz w:val="11"/>
        </w:rPr>
        <w:t>2</w:t>
      </w:r>
      <w:r>
        <w:rPr>
          <w:spacing w:val="-3"/>
          <w:sz w:val="21"/>
        </w:rPr>
        <w:t>。</w:t>
      </w:r>
      <w:r>
        <w:rPr>
          <w:sz w:val="21"/>
        </w:rPr>
        <w:t> </w:t>
      </w:r>
    </w:p>
    <w:p>
      <w:pPr>
        <w:pStyle w:val="Heading6"/>
        <w:ind w:left="3915"/>
        <w:jc w:val="both"/>
        <w:rPr>
          <w:b w:val="0"/>
        </w:rPr>
      </w:pPr>
      <w:r>
        <w:rPr/>
        <w:t>表 3.0.13 训练场地面积</w:t>
      </w:r>
      <w:r>
        <w:rPr>
          <w:b w:val="0"/>
          <w:w w:val="100"/>
        </w:rPr>
        <w:t> </w:t>
      </w:r>
    </w:p>
    <w:p>
      <w:pPr>
        <w:pStyle w:val="BodyText"/>
        <w:spacing w:before="8"/>
        <w:rPr>
          <w:sz w:val="19"/>
        </w:rPr>
      </w:pPr>
      <w:r>
        <w:rPr/>
        <w:drawing>
          <wp:anchor distT="0" distB="0" distL="0" distR="0" allowOverlap="1" layoutInCell="1" locked="0" behindDoc="0" simplePos="0" relativeHeight="261">
            <wp:simplePos x="0" y="0"/>
            <wp:positionH relativeFrom="page">
              <wp:posOffset>1468119</wp:posOffset>
            </wp:positionH>
            <wp:positionV relativeFrom="paragraph">
              <wp:posOffset>184689</wp:posOffset>
            </wp:positionV>
            <wp:extent cx="4283955" cy="822960"/>
            <wp:effectExtent l="0" t="0" r="0" b="0"/>
            <wp:wrapTopAndBottom/>
            <wp:docPr id="613" name="image355.jpeg"/>
            <wp:cNvGraphicFramePr>
              <a:graphicFrameLocks noChangeAspect="1"/>
            </wp:cNvGraphicFramePr>
            <a:graphic>
              <a:graphicData uri="http://schemas.openxmlformats.org/drawingml/2006/picture">
                <pic:pic>
                  <pic:nvPicPr>
                    <pic:cNvPr id="614" name="image355.jpeg"/>
                    <pic:cNvPicPr/>
                  </pic:nvPicPr>
                  <pic:blipFill>
                    <a:blip r:embed="rId430" cstate="print"/>
                    <a:stretch>
                      <a:fillRect/>
                    </a:stretch>
                  </pic:blipFill>
                  <pic:spPr>
                    <a:xfrm>
                      <a:off x="0" y="0"/>
                      <a:ext cx="4283955" cy="822960"/>
                    </a:xfrm>
                    <a:prstGeom prst="rect">
                      <a:avLst/>
                    </a:prstGeom>
                  </pic:spPr>
                </pic:pic>
              </a:graphicData>
            </a:graphic>
          </wp:anchor>
        </w:drawing>
      </w:r>
    </w:p>
    <w:p>
      <w:pPr>
        <w:spacing w:after="0"/>
        <w:rPr>
          <w:sz w:val="19"/>
        </w:rPr>
        <w:sectPr>
          <w:pgSz w:w="11910" w:h="16850"/>
          <w:pgMar w:header="0" w:footer="1189" w:top="1220" w:bottom="1420" w:left="1260" w:right="0"/>
        </w:sectPr>
      </w:pPr>
    </w:p>
    <w:p>
      <w:pPr>
        <w:pStyle w:val="BodyText"/>
        <w:spacing w:before="47"/>
        <w:ind w:left="838"/>
      </w:pPr>
      <w:r>
        <w:rPr/>
        <w:t>注：1.有条件的消防站，应没置宽度大于或等于 15m、长度宜为 150m 的训练场地。 </w:t>
      </w:r>
    </w:p>
    <w:p>
      <w:pPr>
        <w:pStyle w:val="BodyText"/>
        <w:rPr>
          <w:sz w:val="18"/>
        </w:rPr>
      </w:pPr>
    </w:p>
    <w:p>
      <w:pPr>
        <w:pStyle w:val="BodyText"/>
        <w:spacing w:line="446" w:lineRule="auto"/>
        <w:ind w:left="418" w:right="1505" w:firstLine="419"/>
      </w:pPr>
      <w:r>
        <w:rPr/>
        <w:t>2.</w:t>
      </w:r>
      <w:r>
        <w:rPr>
          <w:spacing w:val="-10"/>
        </w:rPr>
        <w:t>在执行表 </w:t>
      </w:r>
      <w:r>
        <w:rPr/>
        <w:t>3.0.13</w:t>
      </w:r>
      <w:r>
        <w:rPr>
          <w:spacing w:val="-8"/>
        </w:rPr>
        <w:t> 的规定确有困难时，其面积可适当减小。并应根据需要在若干此类消防站的适中地点设置宽度大于或等于 </w:t>
      </w:r>
      <w:r>
        <w:rPr/>
        <w:t>15m</w:t>
      </w:r>
      <w:r>
        <w:rPr>
          <w:spacing w:val="-12"/>
        </w:rPr>
        <w:t>、长度宜为 </w:t>
      </w:r>
      <w:r>
        <w:rPr/>
        <w:t>150m</w:t>
      </w:r>
      <w:r>
        <w:rPr>
          <w:spacing w:val="-9"/>
        </w:rPr>
        <w:t> 训练场地的消防站。</w:t>
      </w:r>
      <w:r>
        <w:rPr/>
        <w:t> </w:t>
      </w:r>
    </w:p>
    <w:p>
      <w:pPr>
        <w:pStyle w:val="ListParagraph"/>
        <w:numPr>
          <w:ilvl w:val="1"/>
          <w:numId w:val="783"/>
        </w:numPr>
        <w:tabs>
          <w:tab w:pos="1266" w:val="left" w:leader="none"/>
        </w:tabs>
        <w:spacing w:line="240" w:lineRule="auto" w:before="0" w:after="0"/>
        <w:ind w:left="1265" w:right="0" w:hanging="426"/>
        <w:jc w:val="left"/>
        <w:rPr>
          <w:sz w:val="21"/>
        </w:rPr>
      </w:pPr>
      <w:r>
        <w:rPr>
          <w:spacing w:val="-3"/>
          <w:sz w:val="21"/>
        </w:rPr>
        <w:t>消防站内应合理设置消防车道和绿化用地。</w:t>
      </w:r>
      <w:r>
        <w:rPr>
          <w:sz w:val="21"/>
        </w:rPr>
        <w:t> </w:t>
      </w:r>
    </w:p>
    <w:p>
      <w:pPr>
        <w:pStyle w:val="BodyText"/>
        <w:spacing w:before="12"/>
        <w:rPr>
          <w:sz w:val="17"/>
        </w:rPr>
      </w:pPr>
    </w:p>
    <w:p>
      <w:pPr>
        <w:pStyle w:val="ListParagraph"/>
        <w:numPr>
          <w:ilvl w:val="1"/>
          <w:numId w:val="783"/>
        </w:numPr>
        <w:tabs>
          <w:tab w:pos="1266" w:val="left" w:leader="none"/>
        </w:tabs>
        <w:spacing w:line="240" w:lineRule="auto" w:before="0" w:after="0"/>
        <w:ind w:left="1265" w:right="0" w:hanging="426"/>
        <w:jc w:val="left"/>
        <w:rPr>
          <w:sz w:val="21"/>
        </w:rPr>
      </w:pPr>
      <w:r>
        <w:rPr>
          <w:spacing w:val="-9"/>
          <w:sz w:val="21"/>
        </w:rPr>
        <w:t>消防站容积率可按 </w:t>
      </w:r>
      <w:r>
        <w:rPr>
          <w:sz w:val="21"/>
        </w:rPr>
        <w:t>0.5～0.6</w:t>
      </w:r>
      <w:r>
        <w:rPr>
          <w:spacing w:val="-12"/>
          <w:sz w:val="21"/>
        </w:rPr>
        <w:t> 进行测算。</w:t>
      </w:r>
      <w:r>
        <w:rPr>
          <w:sz w:val="21"/>
        </w:rPr>
        <w:t> </w:t>
      </w:r>
    </w:p>
    <w:p>
      <w:pPr>
        <w:pStyle w:val="BodyText"/>
        <w:spacing w:before="8"/>
        <w:rPr>
          <w:sz w:val="15"/>
        </w:rPr>
      </w:pPr>
    </w:p>
    <w:p>
      <w:pPr>
        <w:pStyle w:val="Heading4"/>
      </w:pPr>
      <w:r>
        <w:rPr/>
        <w:t>4 建筑设计</w:t>
      </w:r>
      <w:r>
        <w:rPr>
          <w:w w:val="99"/>
        </w:rPr>
        <w:t> </w:t>
      </w:r>
    </w:p>
    <w:p>
      <w:pPr>
        <w:pStyle w:val="BodyText"/>
        <w:spacing w:before="6"/>
        <w:rPr>
          <w:b/>
          <w:sz w:val="17"/>
        </w:rPr>
      </w:pPr>
    </w:p>
    <w:p>
      <w:pPr>
        <w:pStyle w:val="ListParagraph"/>
        <w:numPr>
          <w:ilvl w:val="1"/>
          <w:numId w:val="784"/>
        </w:numPr>
        <w:tabs>
          <w:tab w:pos="1159" w:val="left" w:leader="none"/>
        </w:tabs>
        <w:spacing w:line="240" w:lineRule="auto" w:before="1" w:after="0"/>
        <w:ind w:left="1158" w:right="0" w:hanging="319"/>
        <w:jc w:val="left"/>
        <w:rPr>
          <w:b/>
          <w:sz w:val="21"/>
        </w:rPr>
      </w:pPr>
      <w:r>
        <w:rPr>
          <w:spacing w:val="-3"/>
          <w:sz w:val="21"/>
        </w:rPr>
        <w:t>一般要求</w:t>
      </w:r>
      <w:r>
        <w:rPr>
          <w:b/>
          <w:w w:val="99"/>
          <w:sz w:val="21"/>
        </w:rPr>
        <w:t> </w:t>
      </w:r>
    </w:p>
    <w:p>
      <w:pPr>
        <w:pStyle w:val="BodyText"/>
        <w:rPr>
          <w:b/>
          <w:sz w:val="18"/>
        </w:rPr>
      </w:pPr>
    </w:p>
    <w:p>
      <w:pPr>
        <w:pStyle w:val="ListParagraph"/>
        <w:numPr>
          <w:ilvl w:val="2"/>
          <w:numId w:val="784"/>
        </w:numPr>
        <w:tabs>
          <w:tab w:pos="1371" w:val="left" w:leader="none"/>
        </w:tabs>
        <w:spacing w:line="240" w:lineRule="auto" w:before="0" w:after="0"/>
        <w:ind w:left="1370" w:right="0" w:hanging="531"/>
        <w:jc w:val="left"/>
        <w:rPr>
          <w:sz w:val="21"/>
        </w:rPr>
      </w:pPr>
      <w:r>
        <w:rPr>
          <w:spacing w:val="-3"/>
          <w:sz w:val="21"/>
        </w:rPr>
        <w:t>消防站业务用房和业务附属用房的门和通道设置应有利于快速出动。 </w:t>
      </w:r>
    </w:p>
    <w:p>
      <w:pPr>
        <w:pStyle w:val="BodyText"/>
        <w:spacing w:before="12"/>
        <w:rPr>
          <w:sz w:val="17"/>
        </w:rPr>
      </w:pPr>
    </w:p>
    <w:p>
      <w:pPr>
        <w:pStyle w:val="ListParagraph"/>
        <w:numPr>
          <w:ilvl w:val="2"/>
          <w:numId w:val="784"/>
        </w:numPr>
        <w:tabs>
          <w:tab w:pos="1371" w:val="left" w:leader="none"/>
        </w:tabs>
        <w:spacing w:line="446" w:lineRule="auto" w:before="0" w:after="0"/>
        <w:ind w:left="2253" w:right="2655" w:hanging="1414"/>
        <w:jc w:val="left"/>
        <w:rPr>
          <w:b/>
          <w:sz w:val="21"/>
        </w:rPr>
      </w:pPr>
      <w:r>
        <w:rPr/>
        <w:drawing>
          <wp:anchor distT="0" distB="0" distL="0" distR="0" allowOverlap="1" layoutInCell="1" locked="0" behindDoc="0" simplePos="0" relativeHeight="262">
            <wp:simplePos x="0" y="0"/>
            <wp:positionH relativeFrom="page">
              <wp:posOffset>1617980</wp:posOffset>
            </wp:positionH>
            <wp:positionV relativeFrom="paragraph">
              <wp:posOffset>682117</wp:posOffset>
            </wp:positionV>
            <wp:extent cx="4485313" cy="3886200"/>
            <wp:effectExtent l="0" t="0" r="0" b="0"/>
            <wp:wrapTopAndBottom/>
            <wp:docPr id="615" name="image356.jpeg"/>
            <wp:cNvGraphicFramePr>
              <a:graphicFrameLocks noChangeAspect="1"/>
            </wp:cNvGraphicFramePr>
            <a:graphic>
              <a:graphicData uri="http://schemas.openxmlformats.org/drawingml/2006/picture">
                <pic:pic>
                  <pic:nvPicPr>
                    <pic:cNvPr id="616" name="image356.jpeg"/>
                    <pic:cNvPicPr/>
                  </pic:nvPicPr>
                  <pic:blipFill>
                    <a:blip r:embed="rId431" cstate="print"/>
                    <a:stretch>
                      <a:fillRect/>
                    </a:stretch>
                  </pic:blipFill>
                  <pic:spPr>
                    <a:xfrm>
                      <a:off x="0" y="0"/>
                      <a:ext cx="4485313" cy="3886200"/>
                    </a:xfrm>
                    <a:prstGeom prst="rect">
                      <a:avLst/>
                    </a:prstGeom>
                  </pic:spPr>
                </pic:pic>
              </a:graphicData>
            </a:graphic>
          </wp:anchor>
        </w:drawing>
      </w:r>
      <w:r>
        <w:rPr>
          <w:spacing w:val="-5"/>
          <w:sz w:val="21"/>
        </w:rPr>
        <w:t>消防站业务用房和业务跗属用房的使用面积指标可按表 </w:t>
      </w:r>
      <w:r>
        <w:rPr>
          <w:sz w:val="21"/>
        </w:rPr>
        <w:t>4.1.2</w:t>
      </w:r>
      <w:r>
        <w:rPr>
          <w:spacing w:val="-8"/>
          <w:sz w:val="21"/>
        </w:rPr>
        <w:t> 确定。 </w:t>
      </w:r>
      <w:r>
        <w:rPr>
          <w:b/>
          <w:sz w:val="21"/>
        </w:rPr>
        <w:t>表4.1.2</w:t>
      </w:r>
      <w:r>
        <w:rPr>
          <w:b/>
          <w:spacing w:val="-10"/>
          <w:sz w:val="21"/>
        </w:rPr>
        <w:t> 消防站业务用房和业务附属用房的使用面积指标 </w:t>
      </w:r>
      <w:r>
        <w:rPr>
          <w:b/>
          <w:sz w:val="21"/>
        </w:rPr>
        <w:t>m²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15"/>
        </w:rPr>
      </w:pPr>
    </w:p>
    <w:p>
      <w:pPr>
        <w:pStyle w:val="BodyText"/>
        <w:ind w:left="418"/>
      </w:pPr>
      <w:r>
        <w:rPr>
          <w:w w:val="100"/>
        </w:rPr>
        <w:t> </w:t>
      </w:r>
    </w:p>
    <w:p>
      <w:pPr>
        <w:spacing w:after="0"/>
        <w:sectPr>
          <w:pgSz w:w="11910" w:h="16850"/>
          <w:pgMar w:header="0" w:footer="1189" w:top="1220" w:bottom="1420" w:left="1260" w:right="0"/>
        </w:sectPr>
      </w:pPr>
    </w:p>
    <w:p>
      <w:pPr>
        <w:pStyle w:val="BodyText"/>
        <w:rPr>
          <w:sz w:val="20"/>
        </w:rPr>
      </w:pPr>
    </w:p>
    <w:p>
      <w:pPr>
        <w:pStyle w:val="BodyText"/>
        <w:spacing w:before="5"/>
        <w:rPr>
          <w:sz w:val="26"/>
        </w:rPr>
      </w:pPr>
    </w:p>
    <w:p>
      <w:pPr>
        <w:pStyle w:val="Heading6"/>
        <w:spacing w:before="72"/>
        <w:ind w:right="912"/>
        <w:jc w:val="center"/>
      </w:pPr>
      <w:r>
        <w:rPr/>
        <w:t>续表 4.1.2 </w:t>
      </w:r>
    </w:p>
    <w:p>
      <w:pPr>
        <w:pStyle w:val="BodyText"/>
        <w:spacing w:before="6"/>
        <w:rPr>
          <w:b/>
          <w:sz w:val="18"/>
        </w:rPr>
      </w:pPr>
      <w:r>
        <w:rPr/>
        <w:drawing>
          <wp:anchor distT="0" distB="0" distL="0" distR="0" allowOverlap="1" layoutInCell="1" locked="0" behindDoc="0" simplePos="0" relativeHeight="263">
            <wp:simplePos x="0" y="0"/>
            <wp:positionH relativeFrom="page">
              <wp:posOffset>1579880</wp:posOffset>
            </wp:positionH>
            <wp:positionV relativeFrom="paragraph">
              <wp:posOffset>175109</wp:posOffset>
            </wp:positionV>
            <wp:extent cx="4684668" cy="3190398"/>
            <wp:effectExtent l="0" t="0" r="0" b="0"/>
            <wp:wrapTopAndBottom/>
            <wp:docPr id="617" name="image357.jpeg"/>
            <wp:cNvGraphicFramePr>
              <a:graphicFrameLocks noChangeAspect="1"/>
            </wp:cNvGraphicFramePr>
            <a:graphic>
              <a:graphicData uri="http://schemas.openxmlformats.org/drawingml/2006/picture">
                <pic:pic>
                  <pic:nvPicPr>
                    <pic:cNvPr id="618" name="image357.jpeg"/>
                    <pic:cNvPicPr/>
                  </pic:nvPicPr>
                  <pic:blipFill>
                    <a:blip r:embed="rId432" cstate="print"/>
                    <a:stretch>
                      <a:fillRect/>
                    </a:stretch>
                  </pic:blipFill>
                  <pic:spPr>
                    <a:xfrm>
                      <a:off x="0" y="0"/>
                      <a:ext cx="4684668" cy="3190398"/>
                    </a:xfrm>
                    <a:prstGeom prst="rect">
                      <a:avLst/>
                    </a:prstGeom>
                  </pic:spPr>
                </pic:pic>
              </a:graphicData>
            </a:graphic>
          </wp:anchor>
        </w:drawing>
      </w:r>
    </w:p>
    <w:p>
      <w:pPr>
        <w:pStyle w:val="ListParagraph"/>
        <w:numPr>
          <w:ilvl w:val="2"/>
          <w:numId w:val="784"/>
        </w:numPr>
        <w:tabs>
          <w:tab w:pos="1371" w:val="left" w:leader="none"/>
        </w:tabs>
        <w:spacing w:line="446" w:lineRule="auto" w:before="165" w:after="0"/>
        <w:ind w:left="418" w:right="1498" w:firstLine="422"/>
        <w:jc w:val="left"/>
        <w:rPr>
          <w:sz w:val="21"/>
        </w:rPr>
      </w:pPr>
      <w:r>
        <w:rPr>
          <w:spacing w:val="-3"/>
          <w:sz w:val="21"/>
        </w:rPr>
        <w:t>体能训练室、执勤器材库、清洗室、烘干室、器材修理间、呼吸器充气室等的设置宜临近消防车库。</w:t>
      </w:r>
      <w:r>
        <w:rPr>
          <w:sz w:val="21"/>
        </w:rPr>
        <w:t> </w:t>
      </w:r>
    </w:p>
    <w:p>
      <w:pPr>
        <w:pStyle w:val="ListParagraph"/>
        <w:numPr>
          <w:ilvl w:val="2"/>
          <w:numId w:val="784"/>
        </w:numPr>
        <w:tabs>
          <w:tab w:pos="1371" w:val="left" w:leader="none"/>
        </w:tabs>
        <w:spacing w:line="240" w:lineRule="auto" w:before="0" w:after="0"/>
        <w:ind w:left="1370" w:right="0" w:hanging="531"/>
        <w:jc w:val="left"/>
        <w:rPr>
          <w:sz w:val="21"/>
        </w:rPr>
      </w:pPr>
      <w:r>
        <w:rPr>
          <w:spacing w:val="-6"/>
          <w:sz w:val="21"/>
        </w:rPr>
        <w:t>消防站辅助用房的使用面积指标可按表 </w:t>
      </w:r>
      <w:r>
        <w:rPr>
          <w:sz w:val="21"/>
        </w:rPr>
        <w:t>4.1.4</w:t>
      </w:r>
      <w:r>
        <w:rPr>
          <w:spacing w:val="-15"/>
          <w:sz w:val="21"/>
        </w:rPr>
        <w:t> 确定。</w:t>
      </w:r>
      <w:r>
        <w:rPr>
          <w:sz w:val="21"/>
        </w:rPr>
        <w:t> </w:t>
      </w:r>
    </w:p>
    <w:p>
      <w:pPr>
        <w:pStyle w:val="BodyText"/>
        <w:spacing w:before="12"/>
        <w:rPr>
          <w:sz w:val="17"/>
        </w:rPr>
      </w:pPr>
    </w:p>
    <w:p>
      <w:pPr>
        <w:pStyle w:val="Heading6"/>
        <w:ind w:left="2914"/>
      </w:pPr>
      <w:r>
        <w:rPr/>
        <w:t>表 4.1.4 消防站辅助用户的使用面积指标 m² </w:t>
      </w:r>
    </w:p>
    <w:p>
      <w:pPr>
        <w:pStyle w:val="BodyText"/>
        <w:spacing w:before="5"/>
        <w:rPr>
          <w:b/>
          <w:sz w:val="17"/>
        </w:rPr>
      </w:pPr>
      <w:r>
        <w:rPr/>
        <w:drawing>
          <wp:anchor distT="0" distB="0" distL="0" distR="0" allowOverlap="1" layoutInCell="1" locked="0" behindDoc="0" simplePos="0" relativeHeight="264">
            <wp:simplePos x="0" y="0"/>
            <wp:positionH relativeFrom="page">
              <wp:posOffset>1332230</wp:posOffset>
            </wp:positionH>
            <wp:positionV relativeFrom="paragraph">
              <wp:posOffset>166547</wp:posOffset>
            </wp:positionV>
            <wp:extent cx="5141252" cy="3360420"/>
            <wp:effectExtent l="0" t="0" r="0" b="0"/>
            <wp:wrapTopAndBottom/>
            <wp:docPr id="619" name="image358.jpeg"/>
            <wp:cNvGraphicFramePr>
              <a:graphicFrameLocks noChangeAspect="1"/>
            </wp:cNvGraphicFramePr>
            <a:graphic>
              <a:graphicData uri="http://schemas.openxmlformats.org/drawingml/2006/picture">
                <pic:pic>
                  <pic:nvPicPr>
                    <pic:cNvPr id="620" name="image358.jpeg"/>
                    <pic:cNvPicPr/>
                  </pic:nvPicPr>
                  <pic:blipFill>
                    <a:blip r:embed="rId433" cstate="print"/>
                    <a:stretch>
                      <a:fillRect/>
                    </a:stretch>
                  </pic:blipFill>
                  <pic:spPr>
                    <a:xfrm>
                      <a:off x="0" y="0"/>
                      <a:ext cx="5141252" cy="3360420"/>
                    </a:xfrm>
                    <a:prstGeom prst="rect">
                      <a:avLst/>
                    </a:prstGeom>
                  </pic:spPr>
                </pic:pic>
              </a:graphicData>
            </a:graphic>
          </wp:anchor>
        </w:drawing>
      </w:r>
    </w:p>
    <w:p>
      <w:pPr>
        <w:spacing w:after="0"/>
        <w:rPr>
          <w:sz w:val="17"/>
        </w:rPr>
        <w:sectPr>
          <w:pgSz w:w="11910" w:h="16850"/>
          <w:pgMar w:header="0" w:footer="1189" w:top="1600" w:bottom="1380" w:left="1260" w:right="0"/>
        </w:sectPr>
      </w:pPr>
    </w:p>
    <w:p>
      <w:pPr>
        <w:spacing w:before="167"/>
        <w:ind w:left="418" w:right="0" w:firstLine="0"/>
        <w:jc w:val="left"/>
        <w:rPr>
          <w:b/>
          <w:sz w:val="21"/>
        </w:rPr>
      </w:pPr>
      <w:r>
        <w:rPr>
          <w:b/>
          <w:sz w:val="21"/>
        </w:rPr>
        <w:t>续表 4.1.4 </w:t>
      </w:r>
    </w:p>
    <w:p>
      <w:pPr>
        <w:pStyle w:val="BodyText"/>
        <w:spacing w:before="7"/>
        <w:rPr>
          <w:b/>
          <w:sz w:val="19"/>
        </w:rPr>
      </w:pPr>
      <w:r>
        <w:rPr/>
        <w:drawing>
          <wp:anchor distT="0" distB="0" distL="0" distR="0" allowOverlap="1" layoutInCell="1" locked="0" behindDoc="0" simplePos="0" relativeHeight="265">
            <wp:simplePos x="0" y="0"/>
            <wp:positionH relativeFrom="page">
              <wp:posOffset>1588769</wp:posOffset>
            </wp:positionH>
            <wp:positionV relativeFrom="paragraph">
              <wp:posOffset>184237</wp:posOffset>
            </wp:positionV>
            <wp:extent cx="4726033" cy="2464593"/>
            <wp:effectExtent l="0" t="0" r="0" b="0"/>
            <wp:wrapTopAndBottom/>
            <wp:docPr id="621" name="image359.jpeg"/>
            <wp:cNvGraphicFramePr>
              <a:graphicFrameLocks noChangeAspect="1"/>
            </wp:cNvGraphicFramePr>
            <a:graphic>
              <a:graphicData uri="http://schemas.openxmlformats.org/drawingml/2006/picture">
                <pic:pic>
                  <pic:nvPicPr>
                    <pic:cNvPr id="622" name="image359.jpeg"/>
                    <pic:cNvPicPr/>
                  </pic:nvPicPr>
                  <pic:blipFill>
                    <a:blip r:embed="rId434" cstate="print"/>
                    <a:stretch>
                      <a:fillRect/>
                    </a:stretch>
                  </pic:blipFill>
                  <pic:spPr>
                    <a:xfrm>
                      <a:off x="0" y="0"/>
                      <a:ext cx="4726033" cy="2464593"/>
                    </a:xfrm>
                    <a:prstGeom prst="rect">
                      <a:avLst/>
                    </a:prstGeom>
                  </pic:spPr>
                </pic:pic>
              </a:graphicData>
            </a:graphic>
          </wp:anchor>
        </w:drawing>
      </w:r>
    </w:p>
    <w:p>
      <w:pPr>
        <w:pStyle w:val="ListParagraph"/>
        <w:numPr>
          <w:ilvl w:val="2"/>
          <w:numId w:val="784"/>
        </w:numPr>
        <w:tabs>
          <w:tab w:pos="1371" w:val="left" w:leader="none"/>
        </w:tabs>
        <w:spacing w:line="240" w:lineRule="auto" w:before="151" w:after="0"/>
        <w:ind w:left="1370" w:right="0" w:hanging="531"/>
        <w:jc w:val="left"/>
        <w:rPr>
          <w:sz w:val="21"/>
        </w:rPr>
      </w:pPr>
      <w:r>
        <w:rPr>
          <w:spacing w:val="-3"/>
          <w:sz w:val="21"/>
        </w:rPr>
        <w:t>辅助用房中功能相近的用房宜集中设置。</w:t>
      </w:r>
      <w:r>
        <w:rPr>
          <w:sz w:val="21"/>
        </w:rPr>
        <w:t> </w:t>
      </w:r>
    </w:p>
    <w:p>
      <w:pPr>
        <w:pStyle w:val="BodyText"/>
        <w:spacing w:before="12"/>
        <w:rPr>
          <w:sz w:val="17"/>
        </w:rPr>
      </w:pPr>
    </w:p>
    <w:p>
      <w:pPr>
        <w:pStyle w:val="ListParagraph"/>
        <w:numPr>
          <w:ilvl w:val="2"/>
          <w:numId w:val="784"/>
        </w:numPr>
        <w:tabs>
          <w:tab w:pos="1371" w:val="left" w:leader="none"/>
        </w:tabs>
        <w:spacing w:line="446" w:lineRule="auto" w:before="0" w:after="0"/>
        <w:ind w:left="418" w:right="1498" w:firstLine="422"/>
        <w:jc w:val="left"/>
        <w:rPr>
          <w:sz w:val="21"/>
        </w:rPr>
      </w:pPr>
      <w:r>
        <w:rPr>
          <w:spacing w:val="-3"/>
          <w:sz w:val="21"/>
        </w:rPr>
        <w:t>辅助用房中有噪音、异味、辐射和易燃易燥危险等的用房，设置时宜远离备勤室、探亲用房等居住人员的房间。</w:t>
      </w:r>
      <w:r>
        <w:rPr>
          <w:sz w:val="21"/>
        </w:rPr>
        <w:t> </w:t>
      </w:r>
    </w:p>
    <w:p>
      <w:pPr>
        <w:pStyle w:val="ListParagraph"/>
        <w:numPr>
          <w:ilvl w:val="2"/>
          <w:numId w:val="784"/>
        </w:numPr>
        <w:tabs>
          <w:tab w:pos="1371" w:val="left" w:leader="none"/>
        </w:tabs>
        <w:spacing w:line="240" w:lineRule="auto" w:before="1" w:after="0"/>
        <w:ind w:left="1370" w:right="0" w:hanging="531"/>
        <w:jc w:val="left"/>
        <w:rPr>
          <w:sz w:val="21"/>
        </w:rPr>
      </w:pPr>
      <w:r>
        <w:rPr>
          <w:spacing w:val="-3"/>
          <w:sz w:val="21"/>
        </w:rPr>
        <w:t>消防站的建筑耐火等级不应低于二级。 </w:t>
      </w:r>
    </w:p>
    <w:p>
      <w:pPr>
        <w:pStyle w:val="BodyText"/>
        <w:spacing w:before="12"/>
        <w:rPr>
          <w:sz w:val="17"/>
        </w:rPr>
      </w:pPr>
    </w:p>
    <w:p>
      <w:pPr>
        <w:pStyle w:val="ListParagraph"/>
        <w:numPr>
          <w:ilvl w:val="2"/>
          <w:numId w:val="784"/>
        </w:numPr>
        <w:tabs>
          <w:tab w:pos="1371" w:val="left" w:leader="none"/>
        </w:tabs>
        <w:spacing w:line="446" w:lineRule="auto" w:before="0" w:after="0"/>
        <w:ind w:left="418" w:right="1450" w:firstLine="422"/>
        <w:jc w:val="left"/>
        <w:rPr>
          <w:sz w:val="21"/>
        </w:rPr>
      </w:pPr>
      <w:r>
        <w:rPr>
          <w:spacing w:val="-3"/>
          <w:sz w:val="21"/>
        </w:rPr>
        <w:t>消防站内建筑的防火设计应符合现行国家标准《建筑设计防火规范》</w:t>
      </w:r>
      <w:r>
        <w:rPr>
          <w:sz w:val="21"/>
        </w:rPr>
        <w:t>GB</w:t>
      </w:r>
      <w:r>
        <w:rPr>
          <w:spacing w:val="22"/>
          <w:sz w:val="21"/>
        </w:rPr>
        <w:t> </w:t>
      </w:r>
      <w:r>
        <w:rPr>
          <w:sz w:val="21"/>
        </w:rPr>
        <w:t>50016</w:t>
      </w:r>
      <w:r>
        <w:rPr>
          <w:spacing w:val="-13"/>
          <w:sz w:val="21"/>
        </w:rPr>
        <w:t> 的有关</w:t>
      </w:r>
      <w:r>
        <w:rPr>
          <w:spacing w:val="-7"/>
          <w:sz w:val="21"/>
        </w:rPr>
        <w:t>规定。</w:t>
      </w:r>
      <w:r>
        <w:rPr>
          <w:sz w:val="21"/>
        </w:rPr>
        <w:t> </w:t>
      </w:r>
    </w:p>
    <w:p>
      <w:pPr>
        <w:pStyle w:val="ListParagraph"/>
        <w:numPr>
          <w:ilvl w:val="2"/>
          <w:numId w:val="784"/>
        </w:numPr>
        <w:tabs>
          <w:tab w:pos="1371" w:val="left" w:leader="none"/>
        </w:tabs>
        <w:spacing w:line="446" w:lineRule="auto" w:before="0" w:after="0"/>
        <w:ind w:left="418" w:right="1503" w:firstLine="422"/>
        <w:jc w:val="left"/>
        <w:rPr>
          <w:sz w:val="21"/>
        </w:rPr>
      </w:pPr>
      <w:r>
        <w:rPr>
          <w:spacing w:val="-6"/>
          <w:sz w:val="21"/>
        </w:rPr>
        <w:t>消防站建筑物位于抗震设防烈度为 </w:t>
      </w:r>
      <w:r>
        <w:rPr>
          <w:sz w:val="21"/>
        </w:rPr>
        <w:t>6</w:t>
      </w:r>
      <w:r>
        <w:rPr>
          <w:spacing w:val="-26"/>
          <w:sz w:val="21"/>
        </w:rPr>
        <w:t> 度</w:t>
      </w:r>
      <w:r>
        <w:rPr>
          <w:sz w:val="21"/>
        </w:rPr>
        <w:t>～9</w:t>
      </w:r>
      <w:r>
        <w:rPr>
          <w:spacing w:val="-8"/>
          <w:sz w:val="21"/>
        </w:rPr>
        <w:t> 度地区的，应按乙类建筑进行抗震设 计</w:t>
      </w:r>
      <w:r>
        <w:rPr>
          <w:spacing w:val="-7"/>
          <w:sz w:val="21"/>
        </w:rPr>
        <w:t>，并应按本地区设防烈度提高 </w:t>
      </w:r>
      <w:r>
        <w:rPr>
          <w:sz w:val="21"/>
        </w:rPr>
        <w:t>l</w:t>
      </w:r>
      <w:r>
        <w:rPr>
          <w:spacing w:val="-10"/>
          <w:sz w:val="21"/>
        </w:rPr>
        <w:t> 度采取抗震构造措施。其中，位于抗震设防烈度 </w:t>
      </w:r>
      <w:r>
        <w:rPr>
          <w:sz w:val="21"/>
        </w:rPr>
        <w:t>8～9</w:t>
      </w:r>
      <w:r>
        <w:rPr>
          <w:spacing w:val="-10"/>
          <w:sz w:val="21"/>
        </w:rPr>
        <w:t> 度地区消</w:t>
      </w:r>
      <w:r>
        <w:rPr>
          <w:spacing w:val="-4"/>
          <w:sz w:val="21"/>
        </w:rPr>
        <w:t>防站建筑的消防车库的框架、门框、大门等影响消防车出动的重点部位应按现行国家标准</w:t>
      </w:r>
    </w:p>
    <w:p>
      <w:pPr>
        <w:pStyle w:val="BodyText"/>
        <w:spacing w:line="268" w:lineRule="exact"/>
        <w:ind w:left="418"/>
      </w:pPr>
      <w:r>
        <w:rPr/>
        <w:t>《建筑抗震设计规范》GB 50011 的有关规定进行抗震变形验算。 </w:t>
      </w:r>
    </w:p>
    <w:p>
      <w:pPr>
        <w:pStyle w:val="BodyText"/>
        <w:spacing w:before="12"/>
        <w:rPr>
          <w:sz w:val="17"/>
        </w:rPr>
      </w:pPr>
    </w:p>
    <w:p>
      <w:pPr>
        <w:pStyle w:val="ListParagraph"/>
        <w:numPr>
          <w:ilvl w:val="2"/>
          <w:numId w:val="784"/>
        </w:numPr>
        <w:tabs>
          <w:tab w:pos="1478" w:val="left" w:leader="none"/>
        </w:tabs>
        <w:spacing w:line="446" w:lineRule="auto" w:before="0" w:after="0"/>
        <w:ind w:left="418" w:right="1601" w:firstLine="422"/>
        <w:jc w:val="left"/>
        <w:rPr>
          <w:sz w:val="21"/>
        </w:rPr>
      </w:pPr>
      <w:r>
        <w:rPr>
          <w:spacing w:val="-3"/>
          <w:sz w:val="21"/>
        </w:rPr>
        <w:t>消防站的建筑外观应主题鲜明，造型应庄重简洁，宜采用体现消防站特点的装修风格，具有明确的标识性与可识别性，并应与周边环境相协调。</w:t>
      </w:r>
      <w:r>
        <w:rPr>
          <w:sz w:val="21"/>
        </w:rPr>
        <w:t> </w:t>
      </w:r>
    </w:p>
    <w:p>
      <w:pPr>
        <w:pStyle w:val="ListParagraph"/>
        <w:numPr>
          <w:ilvl w:val="2"/>
          <w:numId w:val="784"/>
        </w:numPr>
        <w:tabs>
          <w:tab w:pos="1478" w:val="left" w:leader="none"/>
        </w:tabs>
        <w:spacing w:line="446" w:lineRule="auto" w:before="0" w:after="0"/>
        <w:ind w:left="418" w:right="1601" w:firstLine="422"/>
        <w:jc w:val="left"/>
        <w:rPr>
          <w:sz w:val="21"/>
        </w:rPr>
      </w:pPr>
      <w:r>
        <w:rPr>
          <w:spacing w:val="-3"/>
          <w:sz w:val="21"/>
        </w:rPr>
        <w:t>消防站的内装修应适应消防员生活和业务训练的需要，并宜采用色彩明快和容易清洗的装修材料。</w:t>
      </w:r>
      <w:r>
        <w:rPr>
          <w:sz w:val="21"/>
        </w:rPr>
        <w:t> </w:t>
      </w:r>
    </w:p>
    <w:p>
      <w:pPr>
        <w:pStyle w:val="ListParagraph"/>
        <w:numPr>
          <w:ilvl w:val="2"/>
          <w:numId w:val="784"/>
        </w:numPr>
        <w:tabs>
          <w:tab w:pos="1478" w:val="left" w:leader="none"/>
        </w:tabs>
        <w:spacing w:line="446" w:lineRule="auto" w:before="0" w:after="0"/>
        <w:ind w:left="418" w:right="1551" w:firstLine="422"/>
        <w:jc w:val="left"/>
        <w:rPr>
          <w:sz w:val="21"/>
        </w:rPr>
      </w:pPr>
      <w:r>
        <w:rPr>
          <w:spacing w:val="-3"/>
          <w:sz w:val="21"/>
        </w:rPr>
        <w:t>建筑节能设计应符合现行国家标准《公共建筑节能设计标准》</w:t>
      </w:r>
      <w:r>
        <w:rPr>
          <w:sz w:val="21"/>
        </w:rPr>
        <w:t>GB</w:t>
      </w:r>
      <w:r>
        <w:rPr>
          <w:spacing w:val="22"/>
          <w:sz w:val="21"/>
        </w:rPr>
        <w:t> </w:t>
      </w:r>
      <w:r>
        <w:rPr>
          <w:sz w:val="21"/>
        </w:rPr>
        <w:t>50189</w:t>
      </w:r>
      <w:r>
        <w:rPr>
          <w:spacing w:val="-9"/>
          <w:sz w:val="21"/>
        </w:rPr>
        <w:t> 的有关规定</w:t>
      </w:r>
      <w:r>
        <w:rPr>
          <w:spacing w:val="-3"/>
          <w:sz w:val="21"/>
        </w:rPr>
        <w:t>。</w:t>
      </w:r>
      <w:r>
        <w:rPr>
          <w:sz w:val="21"/>
        </w:rPr>
        <w:t> </w:t>
      </w:r>
    </w:p>
    <w:p>
      <w:pPr>
        <w:spacing w:line="267" w:lineRule="exact" w:before="0"/>
        <w:ind w:left="840" w:right="0" w:firstLine="0"/>
        <w:jc w:val="left"/>
        <w:rPr>
          <w:sz w:val="21"/>
        </w:rPr>
      </w:pPr>
      <w:r>
        <w:rPr>
          <w:b/>
          <w:sz w:val="21"/>
        </w:rPr>
        <w:t>4.2 </w:t>
      </w:r>
      <w:r>
        <w:rPr>
          <w:sz w:val="21"/>
        </w:rPr>
        <w:t>消 防 车 库 </w:t>
      </w:r>
    </w:p>
    <w:p>
      <w:pPr>
        <w:pStyle w:val="BodyText"/>
        <w:spacing w:before="2"/>
        <w:rPr>
          <w:sz w:val="18"/>
        </w:rPr>
      </w:pPr>
    </w:p>
    <w:p>
      <w:pPr>
        <w:pStyle w:val="ListParagraph"/>
        <w:numPr>
          <w:ilvl w:val="2"/>
          <w:numId w:val="785"/>
        </w:numPr>
        <w:tabs>
          <w:tab w:pos="1371" w:val="left" w:leader="none"/>
        </w:tabs>
        <w:spacing w:line="240" w:lineRule="auto" w:before="0" w:after="0"/>
        <w:ind w:left="1370" w:right="0" w:hanging="531"/>
        <w:jc w:val="left"/>
        <w:rPr>
          <w:sz w:val="21"/>
        </w:rPr>
      </w:pPr>
      <w:r>
        <w:rPr>
          <w:spacing w:val="-3"/>
          <w:sz w:val="21"/>
        </w:rPr>
        <w:t>消防车库应布置在建筑物正面一层便于车辆迅速出动的部位。车库内每个车位的面</w:t>
      </w:r>
    </w:p>
    <w:p>
      <w:pPr>
        <w:spacing w:after="0" w:line="240" w:lineRule="auto"/>
        <w:jc w:val="left"/>
        <w:rPr>
          <w:sz w:val="21"/>
        </w:rPr>
        <w:sectPr>
          <w:pgSz w:w="11910" w:h="16850"/>
          <w:pgMar w:header="0" w:footer="1189" w:top="1600" w:bottom="1420" w:left="1260" w:right="0"/>
        </w:sectPr>
      </w:pPr>
    </w:p>
    <w:p>
      <w:pPr>
        <w:pStyle w:val="BodyText"/>
        <w:spacing w:before="47"/>
        <w:ind w:left="418"/>
      </w:pPr>
      <w:r>
        <w:rPr/>
        <w:t>积可按 90m2 设置。 </w:t>
      </w:r>
    </w:p>
    <w:p>
      <w:pPr>
        <w:pStyle w:val="BodyText"/>
        <w:rPr>
          <w:sz w:val="18"/>
        </w:rPr>
      </w:pPr>
    </w:p>
    <w:p>
      <w:pPr>
        <w:pStyle w:val="ListParagraph"/>
        <w:numPr>
          <w:ilvl w:val="2"/>
          <w:numId w:val="785"/>
        </w:numPr>
        <w:tabs>
          <w:tab w:pos="1371" w:val="left" w:leader="none"/>
        </w:tabs>
        <w:spacing w:line="446" w:lineRule="auto" w:before="0" w:after="0"/>
        <w:ind w:left="838" w:right="5387" w:firstLine="2"/>
        <w:jc w:val="left"/>
        <w:rPr>
          <w:sz w:val="21"/>
        </w:rPr>
      </w:pPr>
      <w:r>
        <w:rPr>
          <w:spacing w:val="-2"/>
          <w:sz w:val="21"/>
        </w:rPr>
        <w:t>消防车库的基本尺寸应符合下列要求： 车</w:t>
      </w:r>
      <w:r>
        <w:rPr>
          <w:spacing w:val="-6"/>
          <w:sz w:val="21"/>
        </w:rPr>
        <w:t>库内消防车外缘之间的净距不应小于 </w:t>
      </w:r>
      <w:r>
        <w:rPr>
          <w:sz w:val="21"/>
        </w:rPr>
        <w:t>2.0m； </w:t>
      </w:r>
    </w:p>
    <w:p>
      <w:pPr>
        <w:pStyle w:val="BodyText"/>
        <w:ind w:left="838"/>
      </w:pPr>
      <w:r>
        <w:rPr/>
        <w:t>消防车外缘至边墙、柱子表面的距离不应小于 1.0m； </w:t>
      </w:r>
    </w:p>
    <w:p>
      <w:pPr>
        <w:pStyle w:val="BodyText"/>
        <w:spacing w:before="12"/>
        <w:rPr>
          <w:sz w:val="17"/>
        </w:rPr>
      </w:pPr>
    </w:p>
    <w:p>
      <w:pPr>
        <w:pStyle w:val="BodyText"/>
        <w:ind w:left="838"/>
      </w:pPr>
      <w:r>
        <w:rPr/>
        <w:t>消防车外缘至后墙表面的距离不应小于 2.5m； </w:t>
      </w:r>
    </w:p>
    <w:p>
      <w:pPr>
        <w:pStyle w:val="BodyText"/>
        <w:rPr>
          <w:sz w:val="18"/>
        </w:rPr>
      </w:pPr>
    </w:p>
    <w:p>
      <w:pPr>
        <w:pStyle w:val="BodyText"/>
        <w:ind w:left="838"/>
      </w:pPr>
      <w:r>
        <w:rPr/>
        <w:t>消防车外缘至前门垛的距离不应小于 1.0m； </w:t>
      </w:r>
    </w:p>
    <w:p>
      <w:pPr>
        <w:pStyle w:val="BodyText"/>
        <w:spacing w:before="2"/>
        <w:rPr>
          <w:sz w:val="18"/>
        </w:rPr>
      </w:pPr>
    </w:p>
    <w:p>
      <w:pPr>
        <w:pStyle w:val="BodyText"/>
        <w:ind w:left="838"/>
      </w:pPr>
      <w:r>
        <w:rPr/>
        <w:t>车库的净高不应小于 4. 5m．且不应小于所配最大车高加 0. 3m。 </w:t>
      </w:r>
    </w:p>
    <w:p>
      <w:pPr>
        <w:pStyle w:val="BodyText"/>
        <w:rPr>
          <w:sz w:val="18"/>
        </w:rPr>
      </w:pPr>
    </w:p>
    <w:p>
      <w:pPr>
        <w:pStyle w:val="ListParagraph"/>
        <w:numPr>
          <w:ilvl w:val="2"/>
          <w:numId w:val="785"/>
        </w:numPr>
        <w:tabs>
          <w:tab w:pos="1371" w:val="left" w:leader="none"/>
        </w:tabs>
        <w:spacing w:line="444" w:lineRule="auto" w:before="0" w:after="0"/>
        <w:ind w:left="418" w:right="1455" w:firstLine="422"/>
        <w:jc w:val="left"/>
        <w:rPr>
          <w:sz w:val="21"/>
        </w:rPr>
      </w:pPr>
      <w:r>
        <w:rPr>
          <w:spacing w:val="-9"/>
          <w:sz w:val="21"/>
        </w:rPr>
        <w:t>消防车库应设置 </w:t>
      </w:r>
      <w:r>
        <w:rPr>
          <w:sz w:val="21"/>
        </w:rPr>
        <w:t>1</w:t>
      </w:r>
      <w:r>
        <w:rPr>
          <w:spacing w:val="-15"/>
          <w:sz w:val="21"/>
        </w:rPr>
        <w:t> 个修理间和 </w:t>
      </w:r>
      <w:r>
        <w:rPr>
          <w:sz w:val="21"/>
        </w:rPr>
        <w:t>1</w:t>
      </w:r>
      <w:r>
        <w:rPr>
          <w:spacing w:val="-8"/>
          <w:sz w:val="21"/>
        </w:rPr>
        <w:t> 个检修地沟。修理间应用防火隔墙、防火门与其他部</w:t>
      </w:r>
      <w:r>
        <w:rPr>
          <w:spacing w:val="-4"/>
          <w:sz w:val="21"/>
        </w:rPr>
        <w:t>位隔开，且不宜靠近通信室。检修地沟上必须设置可移动的防护盖板，盖板应能承受 </w:t>
      </w:r>
      <w:r>
        <w:rPr>
          <w:sz w:val="21"/>
        </w:rPr>
        <w:t>500kg/m</w:t>
      </w:r>
      <w:r>
        <w:rPr>
          <w:position w:val="11"/>
          <w:sz w:val="11"/>
        </w:rPr>
        <w:t>2 </w:t>
      </w:r>
      <w:r>
        <w:rPr>
          <w:spacing w:val="-3"/>
          <w:sz w:val="21"/>
        </w:rPr>
        <w:t>载重，地沟内应设置排水和照明措施，地沟尺寸应能满足日常检修车辆的要求，且长度不宜小 </w:t>
      </w:r>
      <w:r>
        <w:rPr>
          <w:spacing w:val="-21"/>
          <w:sz w:val="21"/>
        </w:rPr>
        <w:t>于 </w:t>
      </w:r>
      <w:r>
        <w:rPr>
          <w:sz w:val="21"/>
        </w:rPr>
        <w:t>7m</w:t>
      </w:r>
      <w:r>
        <w:rPr>
          <w:spacing w:val="-8"/>
          <w:sz w:val="21"/>
        </w:rPr>
        <w:t>，宽度不宜小于 </w:t>
      </w:r>
      <w:r>
        <w:rPr>
          <w:sz w:val="21"/>
        </w:rPr>
        <w:t>0.9m</w:t>
      </w:r>
      <w:r>
        <w:rPr>
          <w:spacing w:val="-8"/>
          <w:sz w:val="21"/>
        </w:rPr>
        <w:t>，深度不宜小于 </w:t>
      </w:r>
      <w:r>
        <w:rPr>
          <w:sz w:val="21"/>
        </w:rPr>
        <w:t>1.2m</w:t>
      </w:r>
      <w:r>
        <w:rPr>
          <w:spacing w:val="-3"/>
          <w:sz w:val="21"/>
        </w:rPr>
        <w:t>。室内未设检修地沟时，应在室外适宜位置设置检修槽，检修槽位置不应干扰正常训练及活动。</w:t>
      </w:r>
      <w:r>
        <w:rPr>
          <w:sz w:val="21"/>
        </w:rPr>
        <w:t> </w:t>
      </w:r>
    </w:p>
    <w:p>
      <w:pPr>
        <w:pStyle w:val="ListParagraph"/>
        <w:numPr>
          <w:ilvl w:val="2"/>
          <w:numId w:val="785"/>
        </w:numPr>
        <w:tabs>
          <w:tab w:pos="1370" w:val="left" w:leader="none"/>
        </w:tabs>
        <w:spacing w:line="446" w:lineRule="auto" w:before="2" w:after="0"/>
        <w:ind w:left="418" w:right="1498" w:firstLine="422"/>
        <w:jc w:val="both"/>
        <w:rPr>
          <w:sz w:val="21"/>
        </w:rPr>
      </w:pPr>
      <w:r>
        <w:rPr>
          <w:spacing w:val="-3"/>
          <w:sz w:val="21"/>
        </w:rPr>
        <w:t>消防车库门应按每个车位独立设置，并宜设自动开启装置，设自动开启装置的应有应</w:t>
      </w:r>
      <w:r>
        <w:rPr>
          <w:spacing w:val="-5"/>
          <w:sz w:val="21"/>
        </w:rPr>
        <w:t>急手动功能，宜与火警受理终端台联动；门的宽度不应小于 </w:t>
      </w:r>
      <w:r>
        <w:rPr>
          <w:sz w:val="21"/>
        </w:rPr>
        <w:t>3.5m</w:t>
      </w:r>
      <w:r>
        <w:rPr>
          <w:spacing w:val="-8"/>
          <w:sz w:val="21"/>
        </w:rPr>
        <w:t>，高度不应小于 </w:t>
      </w:r>
      <w:r>
        <w:rPr>
          <w:sz w:val="21"/>
        </w:rPr>
        <w:t>4.3m</w:t>
      </w:r>
      <w:r>
        <w:rPr>
          <w:spacing w:val="-2"/>
          <w:sz w:val="21"/>
        </w:rPr>
        <w:t>。严寒及</w:t>
      </w:r>
      <w:r>
        <w:rPr>
          <w:spacing w:val="-3"/>
          <w:sz w:val="21"/>
        </w:rPr>
        <w:t>寒冷地区的车库门的设置应考虑保暖性要求。</w:t>
      </w:r>
      <w:r>
        <w:rPr>
          <w:sz w:val="21"/>
        </w:rPr>
        <w:t> </w:t>
      </w:r>
    </w:p>
    <w:p>
      <w:pPr>
        <w:pStyle w:val="ListParagraph"/>
        <w:numPr>
          <w:ilvl w:val="2"/>
          <w:numId w:val="785"/>
        </w:numPr>
        <w:tabs>
          <w:tab w:pos="1370" w:val="left" w:leader="none"/>
        </w:tabs>
        <w:spacing w:line="268" w:lineRule="exact" w:before="0" w:after="0"/>
        <w:ind w:left="1369" w:right="0" w:hanging="530"/>
        <w:jc w:val="left"/>
        <w:rPr>
          <w:sz w:val="21"/>
        </w:rPr>
      </w:pPr>
      <w:r>
        <w:rPr>
          <w:spacing w:val="-3"/>
          <w:sz w:val="21"/>
        </w:rPr>
        <w:t>消防车库的设计应设置车辆充气、充电和废气排出的设施。</w:t>
      </w:r>
      <w:r>
        <w:rPr>
          <w:sz w:val="21"/>
        </w:rPr>
        <w:t> </w:t>
      </w:r>
    </w:p>
    <w:p>
      <w:pPr>
        <w:pStyle w:val="BodyText"/>
        <w:spacing w:before="12"/>
        <w:rPr>
          <w:sz w:val="17"/>
        </w:rPr>
      </w:pPr>
    </w:p>
    <w:p>
      <w:pPr>
        <w:pStyle w:val="ListParagraph"/>
        <w:numPr>
          <w:ilvl w:val="2"/>
          <w:numId w:val="785"/>
        </w:numPr>
        <w:tabs>
          <w:tab w:pos="1371" w:val="left" w:leader="none"/>
        </w:tabs>
        <w:spacing w:line="446" w:lineRule="auto" w:before="0" w:after="0"/>
        <w:ind w:left="418" w:right="1498" w:firstLine="422"/>
        <w:jc w:val="left"/>
        <w:rPr>
          <w:sz w:val="21"/>
        </w:rPr>
      </w:pPr>
      <w:r>
        <w:rPr>
          <w:spacing w:val="-3"/>
          <w:sz w:val="21"/>
        </w:rPr>
        <w:t>消防车库内外地面及沟、管盖板的承载能力应按最大吨位消防车的满载轮压进行设计</w:t>
      </w:r>
      <w:r>
        <w:rPr>
          <w:spacing w:val="-8"/>
          <w:sz w:val="21"/>
        </w:rPr>
        <w:t>，最小荷载不应小于 </w:t>
      </w:r>
      <w:r>
        <w:rPr>
          <w:sz w:val="21"/>
        </w:rPr>
        <w:t>35t</w:t>
      </w:r>
      <w:r>
        <w:rPr>
          <w:spacing w:val="-3"/>
          <w:sz w:val="21"/>
        </w:rPr>
        <w:t>。</w:t>
      </w:r>
      <w:r>
        <w:rPr>
          <w:sz w:val="21"/>
        </w:rPr>
        <w:t> </w:t>
      </w:r>
    </w:p>
    <w:p>
      <w:pPr>
        <w:pStyle w:val="ListParagraph"/>
        <w:numPr>
          <w:ilvl w:val="2"/>
          <w:numId w:val="785"/>
        </w:numPr>
        <w:tabs>
          <w:tab w:pos="1370" w:val="left" w:leader="none"/>
        </w:tabs>
        <w:spacing w:line="240" w:lineRule="auto" w:before="0" w:after="0"/>
        <w:ind w:left="1369" w:right="0" w:hanging="530"/>
        <w:jc w:val="left"/>
        <w:rPr>
          <w:sz w:val="21"/>
        </w:rPr>
      </w:pPr>
      <w:r>
        <w:rPr>
          <w:spacing w:val="-3"/>
          <w:sz w:val="21"/>
        </w:rPr>
        <w:t>车库地面和墙面应便于清洗，且地面应有排水设施。</w:t>
      </w:r>
      <w:r>
        <w:rPr>
          <w:sz w:val="21"/>
        </w:rPr>
        <w:t> </w:t>
      </w:r>
    </w:p>
    <w:p>
      <w:pPr>
        <w:pStyle w:val="BodyText"/>
        <w:rPr>
          <w:sz w:val="18"/>
        </w:rPr>
      </w:pPr>
    </w:p>
    <w:p>
      <w:pPr>
        <w:pStyle w:val="BodyText"/>
        <w:ind w:left="838"/>
      </w:pPr>
      <w:r>
        <w:rPr/>
        <w:t>门前地面材料宜采用硬质材料铺筑，直接临街的车库门前地面应向城市道路边线做 1%～2%</w:t>
      </w:r>
    </w:p>
    <w:p>
      <w:pPr>
        <w:pStyle w:val="BodyText"/>
        <w:rPr>
          <w:sz w:val="18"/>
        </w:rPr>
      </w:pPr>
    </w:p>
    <w:p>
      <w:pPr>
        <w:pStyle w:val="BodyText"/>
        <w:ind w:left="418"/>
      </w:pPr>
      <w:r>
        <w:rPr/>
        <w:t>的坡度。 </w:t>
      </w:r>
    </w:p>
    <w:p>
      <w:pPr>
        <w:pStyle w:val="BodyText"/>
        <w:spacing w:before="1"/>
        <w:rPr>
          <w:sz w:val="18"/>
        </w:rPr>
      </w:pPr>
    </w:p>
    <w:p>
      <w:pPr>
        <w:pStyle w:val="ListParagraph"/>
        <w:numPr>
          <w:ilvl w:val="2"/>
          <w:numId w:val="785"/>
        </w:numPr>
        <w:tabs>
          <w:tab w:pos="1370" w:val="left" w:leader="none"/>
        </w:tabs>
        <w:spacing w:line="240" w:lineRule="auto" w:before="1" w:after="0"/>
        <w:ind w:left="1369" w:right="0" w:hanging="530"/>
        <w:jc w:val="left"/>
        <w:rPr>
          <w:sz w:val="21"/>
        </w:rPr>
      </w:pPr>
      <w:r>
        <w:rPr>
          <w:spacing w:val="-3"/>
          <w:sz w:val="21"/>
        </w:rPr>
        <w:t>消防车库的停车位均应设倒车定位装置。</w:t>
      </w:r>
      <w:r>
        <w:rPr>
          <w:sz w:val="21"/>
        </w:rPr>
        <w:t> </w:t>
      </w:r>
    </w:p>
    <w:p>
      <w:pPr>
        <w:pStyle w:val="BodyText"/>
        <w:spacing w:before="12"/>
        <w:rPr>
          <w:sz w:val="17"/>
        </w:rPr>
      </w:pPr>
    </w:p>
    <w:p>
      <w:pPr>
        <w:pStyle w:val="ListParagraph"/>
        <w:numPr>
          <w:ilvl w:val="2"/>
          <w:numId w:val="785"/>
        </w:numPr>
        <w:tabs>
          <w:tab w:pos="1370" w:val="left" w:leader="none"/>
        </w:tabs>
        <w:spacing w:line="446" w:lineRule="auto" w:before="0" w:after="0"/>
        <w:ind w:left="838" w:right="5598" w:firstLine="2"/>
        <w:jc w:val="left"/>
        <w:rPr>
          <w:b/>
          <w:sz w:val="21"/>
        </w:rPr>
      </w:pPr>
      <w:r>
        <w:rPr>
          <w:spacing w:val="-2"/>
          <w:sz w:val="21"/>
        </w:rPr>
        <w:t>车库内设置的滑杆应符合下列要求： 滑</w:t>
      </w:r>
      <w:r>
        <w:rPr>
          <w:spacing w:val="-12"/>
          <w:sz w:val="21"/>
        </w:rPr>
        <w:t>杆直径应为 </w:t>
      </w:r>
      <w:r>
        <w:rPr>
          <w:sz w:val="21"/>
        </w:rPr>
        <w:t>0.08～0.</w:t>
      </w:r>
      <w:r>
        <w:rPr>
          <w:spacing w:val="-3"/>
          <w:sz w:val="21"/>
        </w:rPr>
        <w:t> </w:t>
      </w:r>
      <w:r>
        <w:rPr>
          <w:sz w:val="21"/>
        </w:rPr>
        <w:t>10m；</w:t>
      </w:r>
      <w:r>
        <w:rPr>
          <w:b/>
          <w:w w:val="99"/>
          <w:sz w:val="21"/>
        </w:rPr>
        <w:t> </w:t>
      </w:r>
    </w:p>
    <w:p>
      <w:pPr>
        <w:pStyle w:val="BodyText"/>
        <w:spacing w:line="446" w:lineRule="auto"/>
        <w:ind w:left="838" w:right="5288"/>
        <w:rPr>
          <w:b/>
        </w:rPr>
      </w:pPr>
      <w:r>
        <w:rPr>
          <w:spacing w:val="-3"/>
        </w:rPr>
        <w:t>滑杆的数量宜按一个值勤战斗班设一根布置；  </w:t>
      </w:r>
      <w:r>
        <w:rPr>
          <w:spacing w:val="-7"/>
        </w:rPr>
        <w:t>滑杆的底部应设置直径不小于 </w:t>
      </w:r>
      <w:r>
        <w:rPr/>
        <w:t>0</w:t>
      </w:r>
      <w:r>
        <w:rPr>
          <w:spacing w:val="3"/>
        </w:rPr>
        <w:t>. </w:t>
      </w:r>
      <w:r>
        <w:rPr/>
        <w:t>8m</w:t>
      </w:r>
      <w:r>
        <w:rPr>
          <w:spacing w:val="-12"/>
        </w:rPr>
        <w:t> 的弹性垫；</w:t>
      </w:r>
      <w:r>
        <w:rPr>
          <w:b/>
          <w:w w:val="99"/>
        </w:rPr>
        <w:t> </w:t>
      </w:r>
    </w:p>
    <w:p>
      <w:pPr>
        <w:pStyle w:val="BodyText"/>
        <w:spacing w:line="267" w:lineRule="exact"/>
        <w:ind w:left="838"/>
      </w:pPr>
      <w:r>
        <w:rPr/>
        <w:t>滑杆入孔直径宜为 0.9～1.0m，其周围应设置防护栏等安全防护设施； </w:t>
      </w:r>
    </w:p>
    <w:p>
      <w:pPr>
        <w:pStyle w:val="BodyText"/>
        <w:spacing w:before="2"/>
        <w:rPr>
          <w:sz w:val="18"/>
        </w:rPr>
      </w:pPr>
    </w:p>
    <w:p>
      <w:pPr>
        <w:pStyle w:val="BodyText"/>
        <w:ind w:left="838"/>
      </w:pPr>
      <w:r>
        <w:rPr/>
        <w:t>滑杆应位于使滑降消防员到达车辆时间最短的地方； </w:t>
      </w:r>
    </w:p>
    <w:p>
      <w:pPr>
        <w:spacing w:after="0"/>
        <w:sectPr>
          <w:footerReference w:type="default" r:id="rId435"/>
          <w:pgSz w:w="11910" w:h="16850"/>
          <w:pgMar w:footer="1239" w:header="0" w:top="1220" w:bottom="1420" w:left="1260" w:right="0"/>
          <w:pgNumType w:start="1420"/>
        </w:sectPr>
      </w:pPr>
    </w:p>
    <w:p>
      <w:pPr>
        <w:pStyle w:val="BodyText"/>
        <w:spacing w:line="446" w:lineRule="auto" w:before="47"/>
        <w:ind w:left="838" w:right="5288"/>
      </w:pPr>
      <w:r>
        <w:rPr/>
        <w:t>滑杆应安装在消防车库墙壁的附近或嵌入凹室； 滑杆上方及降落处应设置照明设施； </w:t>
      </w:r>
    </w:p>
    <w:p>
      <w:pPr>
        <w:pStyle w:val="BodyText"/>
        <w:spacing w:line="446" w:lineRule="auto"/>
        <w:ind w:left="418" w:right="1609" w:firstLine="419"/>
      </w:pPr>
      <w:r>
        <w:rPr/>
        <w:t>在滑杆整个长度范围内，滑杆中心与最近的障碍物（墙壁、管道、停车隔间门通道）的距离不应小于 0. 75m； </w:t>
      </w:r>
    </w:p>
    <w:p>
      <w:pPr>
        <w:pStyle w:val="BodyText"/>
        <w:ind w:left="838"/>
      </w:pPr>
      <w:r>
        <w:rPr/>
        <w:t>滑杆设置至三层及以上楼层时，应设置为交替滑杆，不应直接滑至一层。 </w:t>
      </w:r>
    </w:p>
    <w:p>
      <w:pPr>
        <w:pStyle w:val="BodyText"/>
        <w:spacing w:before="10"/>
        <w:rPr>
          <w:sz w:val="17"/>
        </w:rPr>
      </w:pPr>
    </w:p>
    <w:p>
      <w:pPr>
        <w:pStyle w:val="ListParagraph"/>
        <w:numPr>
          <w:ilvl w:val="2"/>
          <w:numId w:val="785"/>
        </w:numPr>
        <w:tabs>
          <w:tab w:pos="1478" w:val="left" w:leader="none"/>
        </w:tabs>
        <w:spacing w:line="446" w:lineRule="auto" w:before="0" w:after="0"/>
        <w:ind w:left="418" w:right="1448" w:firstLine="422"/>
        <w:jc w:val="left"/>
        <w:rPr>
          <w:sz w:val="21"/>
        </w:rPr>
      </w:pPr>
      <w:r>
        <w:rPr>
          <w:spacing w:val="-5"/>
          <w:sz w:val="21"/>
        </w:rPr>
        <w:t>消防员进入消防车库的侧门宜双向开启，宽度不宜小于 </w:t>
      </w:r>
      <w:r>
        <w:rPr>
          <w:sz w:val="21"/>
        </w:rPr>
        <w:t>1</w:t>
      </w:r>
      <w:r>
        <w:rPr>
          <w:spacing w:val="5"/>
          <w:sz w:val="21"/>
        </w:rPr>
        <w:t>. </w:t>
      </w:r>
      <w:r>
        <w:rPr>
          <w:sz w:val="21"/>
        </w:rPr>
        <w:t>4rn</w:t>
      </w:r>
      <w:r>
        <w:rPr>
          <w:spacing w:val="-3"/>
          <w:sz w:val="21"/>
        </w:rPr>
        <w:t>，门上应设有观察窗；通道口不宜设台阶。</w:t>
      </w:r>
      <w:r>
        <w:rPr>
          <w:sz w:val="21"/>
        </w:rPr>
        <w:t> </w:t>
      </w:r>
    </w:p>
    <w:p>
      <w:pPr>
        <w:pStyle w:val="ListParagraph"/>
        <w:numPr>
          <w:ilvl w:val="1"/>
          <w:numId w:val="786"/>
        </w:numPr>
        <w:tabs>
          <w:tab w:pos="1160" w:val="left" w:leader="none"/>
        </w:tabs>
        <w:spacing w:line="240" w:lineRule="auto" w:before="1" w:after="0"/>
        <w:ind w:left="1159" w:right="0" w:hanging="320"/>
        <w:jc w:val="left"/>
        <w:rPr>
          <w:sz w:val="21"/>
        </w:rPr>
      </w:pPr>
      <w:r>
        <w:rPr>
          <w:spacing w:val="-3"/>
          <w:sz w:val="21"/>
        </w:rPr>
        <w:t>通信室</w:t>
      </w:r>
      <w:r>
        <w:rPr>
          <w:sz w:val="21"/>
        </w:rPr>
        <w:t> </w:t>
      </w:r>
    </w:p>
    <w:p>
      <w:pPr>
        <w:pStyle w:val="BodyText"/>
        <w:spacing w:before="12"/>
        <w:rPr>
          <w:sz w:val="17"/>
        </w:rPr>
      </w:pPr>
    </w:p>
    <w:p>
      <w:pPr>
        <w:pStyle w:val="ListParagraph"/>
        <w:numPr>
          <w:ilvl w:val="2"/>
          <w:numId w:val="786"/>
        </w:numPr>
        <w:tabs>
          <w:tab w:pos="1371" w:val="left" w:leader="none"/>
        </w:tabs>
        <w:spacing w:line="446" w:lineRule="auto" w:before="0" w:after="0"/>
        <w:ind w:left="418" w:right="1707" w:firstLine="422"/>
        <w:jc w:val="left"/>
        <w:rPr>
          <w:sz w:val="21"/>
        </w:rPr>
      </w:pPr>
      <w:r>
        <w:rPr>
          <w:spacing w:val="-3"/>
          <w:sz w:val="21"/>
        </w:rPr>
        <w:t>通信室宜设在车库旁边，通信室的门应直通车库并靠近车库正门一侧，向室内开启。通信室与车库之间的墙上宜设有可开启窗户。</w:t>
      </w:r>
      <w:r>
        <w:rPr>
          <w:sz w:val="21"/>
        </w:rPr>
        <w:t> </w:t>
      </w: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通信室内宜设置值班室及卫生间。</w:t>
      </w:r>
      <w:r>
        <w:rPr>
          <w:sz w:val="21"/>
        </w:rPr>
        <w:t> </w:t>
      </w:r>
    </w:p>
    <w:p>
      <w:pPr>
        <w:pStyle w:val="BodyText"/>
        <w:spacing w:before="12"/>
        <w:rPr>
          <w:sz w:val="17"/>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通信室内应设置设备间或设备区。</w:t>
      </w:r>
      <w:r>
        <w:rPr>
          <w:sz w:val="21"/>
        </w:rPr>
        <w:t> </w:t>
      </w:r>
    </w:p>
    <w:p>
      <w:pPr>
        <w:pStyle w:val="BodyText"/>
        <w:spacing w:before="2"/>
        <w:rPr>
          <w:sz w:val="18"/>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通信室地面应设置防水层，并应铺设防静电地板。</w:t>
      </w:r>
      <w:r>
        <w:rPr>
          <w:sz w:val="21"/>
        </w:rPr>
        <w:t> </w:t>
      </w:r>
    </w:p>
    <w:p>
      <w:pPr>
        <w:pStyle w:val="BodyText"/>
        <w:rPr>
          <w:sz w:val="18"/>
        </w:rPr>
      </w:pPr>
    </w:p>
    <w:p>
      <w:pPr>
        <w:pStyle w:val="ListParagraph"/>
        <w:numPr>
          <w:ilvl w:val="2"/>
          <w:numId w:val="786"/>
        </w:numPr>
        <w:tabs>
          <w:tab w:pos="1371" w:val="left" w:leader="none"/>
        </w:tabs>
        <w:spacing w:line="446" w:lineRule="auto" w:before="0" w:after="0"/>
        <w:ind w:left="418" w:right="1707" w:firstLine="422"/>
        <w:jc w:val="left"/>
        <w:rPr>
          <w:sz w:val="21"/>
        </w:rPr>
      </w:pPr>
      <w:r>
        <w:rPr>
          <w:spacing w:val="-3"/>
          <w:sz w:val="21"/>
        </w:rPr>
        <w:t>通信室的火警受理终端台应设在便于通信员从可开启窗户观察车辆出动情况的地方。</w:t>
      </w:r>
      <w:r>
        <w:rPr>
          <w:sz w:val="21"/>
        </w:rPr>
        <w:t> </w:t>
      </w:r>
    </w:p>
    <w:p>
      <w:pPr>
        <w:pStyle w:val="ListParagraph"/>
        <w:numPr>
          <w:ilvl w:val="2"/>
          <w:numId w:val="786"/>
        </w:numPr>
        <w:tabs>
          <w:tab w:pos="1371" w:val="left" w:leader="none"/>
        </w:tabs>
        <w:spacing w:line="240" w:lineRule="auto" w:before="0" w:after="0"/>
        <w:ind w:left="1370" w:right="0" w:hanging="531"/>
        <w:jc w:val="left"/>
        <w:rPr>
          <w:sz w:val="21"/>
        </w:rPr>
      </w:pPr>
      <w:r>
        <w:rPr>
          <w:spacing w:val="-7"/>
          <w:sz w:val="21"/>
        </w:rPr>
        <w:t>通信室的墙面上，应设置不少于 </w:t>
      </w:r>
      <w:r>
        <w:rPr>
          <w:sz w:val="21"/>
        </w:rPr>
        <w:t>5</w:t>
      </w:r>
      <w:r>
        <w:rPr>
          <w:spacing w:val="-9"/>
          <w:sz w:val="21"/>
        </w:rPr>
        <w:t> 个电源插座，且不宜设置在同一面墙上；火警受</w:t>
      </w:r>
    </w:p>
    <w:p>
      <w:pPr>
        <w:pStyle w:val="BodyText"/>
        <w:spacing w:before="12"/>
        <w:rPr>
          <w:sz w:val="17"/>
        </w:rPr>
      </w:pPr>
    </w:p>
    <w:p>
      <w:pPr>
        <w:pStyle w:val="BodyText"/>
        <w:spacing w:line="446" w:lineRule="auto"/>
        <w:ind w:left="418" w:right="1611"/>
      </w:pPr>
      <w:r>
        <w:rPr>
          <w:spacing w:val="-6"/>
        </w:rPr>
        <w:t>理终端台下地面，应设置不少于 </w:t>
      </w:r>
      <w:r>
        <w:rPr/>
        <w:t>2</w:t>
      </w:r>
      <w:r>
        <w:rPr>
          <w:spacing w:val="-10"/>
        </w:rPr>
        <w:t> 个电源插座；设备间或设备区的墙面上应设置不少于 </w:t>
      </w:r>
      <w:r>
        <w:rPr/>
        <w:t>3</w:t>
      </w:r>
      <w:r>
        <w:rPr>
          <w:spacing w:val="-17"/>
        </w:rPr>
        <w:t> 个电</w:t>
      </w:r>
      <w:r>
        <w:rPr>
          <w:spacing w:val="-2"/>
        </w:rPr>
        <w:t>源插座。</w:t>
      </w:r>
      <w:r>
        <w:rPr/>
        <w:t> </w:t>
      </w:r>
    </w:p>
    <w:p>
      <w:pPr>
        <w:pStyle w:val="ListParagraph"/>
        <w:numPr>
          <w:ilvl w:val="2"/>
          <w:numId w:val="786"/>
        </w:numPr>
        <w:tabs>
          <w:tab w:pos="1371" w:val="left" w:leader="none"/>
        </w:tabs>
        <w:spacing w:line="446" w:lineRule="auto" w:before="0" w:after="0"/>
        <w:ind w:left="418" w:right="1498" w:firstLine="422"/>
        <w:jc w:val="left"/>
        <w:rPr>
          <w:sz w:val="21"/>
        </w:rPr>
      </w:pPr>
      <w:r>
        <w:rPr>
          <w:spacing w:val="-3"/>
          <w:sz w:val="21"/>
        </w:rPr>
        <w:t>通信室的布线应包括有线通信、无线通信、计算机网络、联动控制装置</w:t>
      </w:r>
      <w:r>
        <w:rPr>
          <w:sz w:val="21"/>
        </w:rPr>
        <w:t>（</w:t>
      </w:r>
      <w:r>
        <w:rPr>
          <w:spacing w:val="-3"/>
          <w:sz w:val="21"/>
        </w:rPr>
        <w:t>警灯、警铃、火警广播、车库门）、视频监控、应急警报控制等有关线路。</w:t>
      </w:r>
      <w:r>
        <w:rPr>
          <w:sz w:val="21"/>
        </w:rPr>
        <w:t> </w:t>
      </w:r>
    </w:p>
    <w:p>
      <w:pPr>
        <w:pStyle w:val="ListParagraph"/>
        <w:numPr>
          <w:ilvl w:val="2"/>
          <w:numId w:val="786"/>
        </w:numPr>
        <w:tabs>
          <w:tab w:pos="1371" w:val="left" w:leader="none"/>
        </w:tabs>
        <w:spacing w:line="446" w:lineRule="auto" w:before="0" w:after="0"/>
        <w:ind w:left="418" w:right="1604" w:firstLine="422"/>
        <w:jc w:val="left"/>
        <w:rPr>
          <w:sz w:val="21"/>
        </w:rPr>
      </w:pPr>
      <w:r>
        <w:rPr>
          <w:spacing w:val="-3"/>
          <w:sz w:val="21"/>
        </w:rPr>
        <w:t>通信室及其设备间的供电、防雷与接地、综合布线、防静电、照度、室内温、湿度等应符合现行国家标准《消防通信指挥系统设计规范》</w:t>
      </w:r>
      <w:r>
        <w:rPr>
          <w:sz w:val="21"/>
        </w:rPr>
        <w:t>GB</w:t>
      </w:r>
      <w:r>
        <w:rPr>
          <w:spacing w:val="2"/>
          <w:sz w:val="21"/>
        </w:rPr>
        <w:t> </w:t>
      </w:r>
      <w:r>
        <w:rPr>
          <w:sz w:val="21"/>
        </w:rPr>
        <w:t>50313</w:t>
      </w:r>
      <w:r>
        <w:rPr>
          <w:spacing w:val="-10"/>
          <w:sz w:val="21"/>
        </w:rPr>
        <w:t> 的有关规定。</w:t>
      </w:r>
      <w:r>
        <w:rPr>
          <w:sz w:val="21"/>
        </w:rPr>
        <w:t> </w:t>
      </w:r>
    </w:p>
    <w:p>
      <w:pPr>
        <w:pStyle w:val="ListParagraph"/>
        <w:numPr>
          <w:ilvl w:val="2"/>
          <w:numId w:val="786"/>
        </w:numPr>
        <w:tabs>
          <w:tab w:pos="1371" w:val="left" w:leader="none"/>
        </w:tabs>
        <w:spacing w:line="446" w:lineRule="auto" w:before="0" w:after="0"/>
        <w:ind w:left="418" w:right="1604" w:firstLine="422"/>
        <w:jc w:val="left"/>
        <w:rPr>
          <w:sz w:val="21"/>
        </w:rPr>
      </w:pPr>
      <w:r>
        <w:rPr>
          <w:spacing w:val="-3"/>
          <w:sz w:val="21"/>
        </w:rPr>
        <w:t>通信室及其设备间不应设置在电磁场干扰或其他可能影响通信设备工作的用房附近。</w:t>
      </w:r>
      <w:r>
        <w:rPr>
          <w:sz w:val="21"/>
        </w:rPr>
        <w:t> </w:t>
      </w:r>
    </w:p>
    <w:p>
      <w:pPr>
        <w:pStyle w:val="ListParagraph"/>
        <w:numPr>
          <w:ilvl w:val="1"/>
          <w:numId w:val="786"/>
        </w:numPr>
        <w:tabs>
          <w:tab w:pos="1159" w:val="left" w:leader="none"/>
        </w:tabs>
        <w:spacing w:line="240" w:lineRule="auto" w:before="0" w:after="0"/>
        <w:ind w:left="1158" w:right="0" w:hanging="319"/>
        <w:jc w:val="left"/>
        <w:rPr>
          <w:b/>
          <w:sz w:val="21"/>
        </w:rPr>
      </w:pPr>
      <w:r>
        <w:rPr>
          <w:spacing w:val="-3"/>
          <w:sz w:val="21"/>
        </w:rPr>
        <w:t>体能训练室</w:t>
      </w:r>
      <w:r>
        <w:rPr>
          <w:b/>
          <w:w w:val="99"/>
          <w:sz w:val="21"/>
        </w:rPr>
        <w:t> </w:t>
      </w:r>
    </w:p>
    <w:p>
      <w:pPr>
        <w:pStyle w:val="BodyText"/>
        <w:spacing w:before="11"/>
        <w:rPr>
          <w:b/>
          <w:sz w:val="17"/>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8"/>
          <w:sz w:val="21"/>
        </w:rPr>
        <w:t>体能训练室净高不宜低于 </w:t>
      </w:r>
      <w:r>
        <w:rPr>
          <w:sz w:val="21"/>
        </w:rPr>
        <w:t>2.8m</w:t>
      </w:r>
      <w:r>
        <w:rPr>
          <w:spacing w:val="-3"/>
          <w:sz w:val="21"/>
        </w:rPr>
        <w:t>。</w:t>
      </w:r>
      <w:r>
        <w:rPr>
          <w:sz w:val="21"/>
        </w:rPr>
        <w:t> </w:t>
      </w:r>
    </w:p>
    <w:p>
      <w:pPr>
        <w:pStyle w:val="BodyText"/>
        <w:spacing w:before="12"/>
        <w:rPr>
          <w:sz w:val="17"/>
        </w:rPr>
      </w:pPr>
    </w:p>
    <w:p>
      <w:pPr>
        <w:pStyle w:val="ListParagraph"/>
        <w:numPr>
          <w:ilvl w:val="2"/>
          <w:numId w:val="786"/>
        </w:numPr>
        <w:tabs>
          <w:tab w:pos="1371" w:val="left" w:leader="none"/>
        </w:tabs>
        <w:spacing w:line="446" w:lineRule="auto" w:before="0" w:after="0"/>
        <w:ind w:left="418" w:right="1498" w:firstLine="422"/>
        <w:jc w:val="left"/>
        <w:rPr>
          <w:sz w:val="21"/>
        </w:rPr>
      </w:pPr>
      <w:r>
        <w:rPr>
          <w:spacing w:val="-3"/>
          <w:sz w:val="21"/>
        </w:rPr>
        <w:t>体能训练室的门应向外开启并设置观察窗，其高度、宽度应满足人员和设备进出的要求。</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86"/>
        </w:numPr>
        <w:tabs>
          <w:tab w:pos="1371" w:val="left" w:leader="none"/>
        </w:tabs>
        <w:spacing w:line="446" w:lineRule="auto" w:before="47" w:after="0"/>
        <w:ind w:left="418" w:right="1604" w:firstLine="422"/>
        <w:jc w:val="left"/>
        <w:rPr>
          <w:sz w:val="21"/>
        </w:rPr>
      </w:pPr>
      <w:r>
        <w:rPr>
          <w:spacing w:val="-3"/>
          <w:sz w:val="21"/>
        </w:rPr>
        <w:t>体能训练室应设置适合爬梯机、多功能训练机、跑步机、拉力机、杠铃、哑铃、体重机等健身器材、设施的训练区域。</w:t>
      </w:r>
      <w:r>
        <w:rPr>
          <w:sz w:val="21"/>
        </w:rPr>
        <w:t> </w:t>
      </w:r>
    </w:p>
    <w:p>
      <w:pPr>
        <w:pStyle w:val="ListParagraph"/>
        <w:numPr>
          <w:ilvl w:val="2"/>
          <w:numId w:val="786"/>
        </w:numPr>
        <w:tabs>
          <w:tab w:pos="1371" w:val="left" w:leader="none"/>
        </w:tabs>
        <w:spacing w:line="267" w:lineRule="exact" w:before="0" w:after="0"/>
        <w:ind w:left="1370" w:right="0" w:hanging="531"/>
        <w:jc w:val="left"/>
        <w:rPr>
          <w:sz w:val="21"/>
        </w:rPr>
      </w:pPr>
      <w:r>
        <w:rPr>
          <w:spacing w:val="-3"/>
          <w:sz w:val="21"/>
        </w:rPr>
        <w:t>训练设施的配置应保障两组人员同时开展训练。</w:t>
      </w:r>
      <w:r>
        <w:rPr>
          <w:sz w:val="21"/>
        </w:rPr>
        <w:t> </w:t>
      </w:r>
    </w:p>
    <w:p>
      <w:pPr>
        <w:pStyle w:val="BodyText"/>
        <w:spacing w:before="2"/>
        <w:rPr>
          <w:sz w:val="18"/>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多功能训练机应固定安装于地面，防止倾覆。 </w:t>
      </w:r>
    </w:p>
    <w:p>
      <w:pPr>
        <w:pStyle w:val="BodyText"/>
        <w:rPr>
          <w:sz w:val="18"/>
        </w:rPr>
      </w:pPr>
    </w:p>
    <w:p>
      <w:pPr>
        <w:pStyle w:val="ListParagraph"/>
        <w:numPr>
          <w:ilvl w:val="2"/>
          <w:numId w:val="786"/>
        </w:numPr>
        <w:tabs>
          <w:tab w:pos="1371" w:val="left" w:leader="none"/>
        </w:tabs>
        <w:spacing w:line="446" w:lineRule="auto" w:before="0" w:after="0"/>
        <w:ind w:left="418" w:right="1498" w:firstLine="422"/>
        <w:jc w:val="left"/>
        <w:rPr>
          <w:sz w:val="21"/>
        </w:rPr>
      </w:pPr>
      <w:r>
        <w:rPr>
          <w:spacing w:val="-3"/>
          <w:sz w:val="21"/>
        </w:rPr>
        <w:t>体能训练室的墙面宜采用耐用的饰面。地面宜选用耐擦洗的木地板或橡胶底座的塑料地板。</w:t>
      </w:r>
      <w:r>
        <w:rPr>
          <w:sz w:val="21"/>
        </w:rPr>
        <w:t> </w:t>
      </w: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体能训练室的墙面、顶棚和地面宜采取降低噪声的措施。</w:t>
      </w:r>
      <w:r>
        <w:rPr>
          <w:sz w:val="21"/>
        </w:rPr>
        <w:t> </w:t>
      </w:r>
    </w:p>
    <w:p>
      <w:pPr>
        <w:pStyle w:val="BodyText"/>
        <w:rPr>
          <w:sz w:val="18"/>
        </w:rPr>
      </w:pPr>
    </w:p>
    <w:p>
      <w:pPr>
        <w:pStyle w:val="ListParagraph"/>
        <w:numPr>
          <w:ilvl w:val="1"/>
          <w:numId w:val="786"/>
        </w:numPr>
        <w:tabs>
          <w:tab w:pos="1160" w:val="left" w:leader="none"/>
        </w:tabs>
        <w:spacing w:line="240" w:lineRule="auto" w:before="0" w:after="0"/>
        <w:ind w:left="1159" w:right="0" w:hanging="320"/>
        <w:jc w:val="left"/>
        <w:rPr>
          <w:b/>
          <w:sz w:val="21"/>
        </w:rPr>
      </w:pPr>
      <w:r>
        <w:rPr>
          <w:spacing w:val="-3"/>
          <w:sz w:val="21"/>
        </w:rPr>
        <w:t>执勤器材库和训练器材库</w:t>
      </w:r>
      <w:r>
        <w:rPr>
          <w:b/>
          <w:w w:val="99"/>
          <w:sz w:val="21"/>
        </w:rPr>
        <w:t> </w:t>
      </w:r>
    </w:p>
    <w:p>
      <w:pPr>
        <w:pStyle w:val="BodyText"/>
        <w:spacing w:before="12"/>
        <w:rPr>
          <w:b/>
          <w:sz w:val="17"/>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执勤器材库和训练器材库宜设置在一楼。训练器材库宜布置在训练塔附近。 </w:t>
      </w:r>
    </w:p>
    <w:p>
      <w:pPr>
        <w:pStyle w:val="BodyText"/>
        <w:spacing w:before="2"/>
        <w:rPr>
          <w:sz w:val="18"/>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应根椐器材的种类设置必要的存储分区。各存储分区间的通道和间隔应合理设置。</w:t>
      </w:r>
      <w:r>
        <w:rPr>
          <w:sz w:val="21"/>
        </w:rPr>
        <w:t> </w:t>
      </w:r>
    </w:p>
    <w:p>
      <w:pPr>
        <w:pStyle w:val="BodyText"/>
        <w:spacing w:before="12"/>
        <w:rPr>
          <w:sz w:val="17"/>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器材库内应根据需要设置必要的储物架，并应合理布置。</w:t>
      </w:r>
      <w:r>
        <w:rPr>
          <w:sz w:val="21"/>
        </w:rPr>
        <w:t> </w:t>
      </w:r>
    </w:p>
    <w:p>
      <w:pPr>
        <w:pStyle w:val="BodyText"/>
        <w:rPr>
          <w:sz w:val="18"/>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器材库内应通风良好，并应保持干燥。</w:t>
      </w:r>
      <w:r>
        <w:rPr>
          <w:sz w:val="21"/>
        </w:rPr>
        <w:t> </w:t>
      </w:r>
    </w:p>
    <w:p>
      <w:pPr>
        <w:pStyle w:val="BodyText"/>
        <w:spacing w:before="2"/>
        <w:rPr>
          <w:sz w:val="18"/>
        </w:rPr>
      </w:pPr>
    </w:p>
    <w:p>
      <w:pPr>
        <w:pStyle w:val="ListParagraph"/>
        <w:numPr>
          <w:ilvl w:val="2"/>
          <w:numId w:val="786"/>
        </w:numPr>
        <w:tabs>
          <w:tab w:pos="1371" w:val="left" w:leader="none"/>
        </w:tabs>
        <w:spacing w:line="446" w:lineRule="auto" w:before="0" w:after="0"/>
        <w:ind w:left="418" w:right="1604" w:firstLine="422"/>
        <w:jc w:val="left"/>
        <w:rPr>
          <w:sz w:val="21"/>
        </w:rPr>
      </w:pPr>
      <w:r>
        <w:rPr>
          <w:spacing w:val="-3"/>
          <w:sz w:val="21"/>
        </w:rPr>
        <w:t>器材库门直接面向室外时，室内地坪标高应高出室外场地地面设计标高，且不宜小</w:t>
      </w:r>
      <w:r>
        <w:rPr>
          <w:spacing w:val="-28"/>
          <w:sz w:val="21"/>
        </w:rPr>
        <w:t>于 </w:t>
      </w:r>
      <w:r>
        <w:rPr>
          <w:sz w:val="21"/>
        </w:rPr>
        <w:t>0.30m</w:t>
      </w:r>
      <w:r>
        <w:rPr>
          <w:spacing w:val="-12"/>
          <w:sz w:val="21"/>
        </w:rPr>
        <w:t>。门前应做 </w:t>
      </w:r>
      <w:r>
        <w:rPr>
          <w:sz w:val="21"/>
        </w:rPr>
        <w:t>10%～20%</w:t>
      </w:r>
      <w:r>
        <w:rPr>
          <w:spacing w:val="-3"/>
          <w:sz w:val="21"/>
        </w:rPr>
        <w:t>的坡道。</w:t>
      </w:r>
      <w:r>
        <w:rPr>
          <w:sz w:val="21"/>
        </w:rPr>
        <w:t> </w:t>
      </w:r>
    </w:p>
    <w:p>
      <w:pPr>
        <w:pStyle w:val="ListParagraph"/>
        <w:numPr>
          <w:ilvl w:val="2"/>
          <w:numId w:val="786"/>
        </w:numPr>
        <w:tabs>
          <w:tab w:pos="1371" w:val="left" w:leader="none"/>
        </w:tabs>
        <w:spacing w:line="267" w:lineRule="exact" w:before="0" w:after="0"/>
        <w:ind w:left="1370" w:right="0" w:hanging="531"/>
        <w:jc w:val="left"/>
        <w:rPr>
          <w:sz w:val="21"/>
        </w:rPr>
      </w:pPr>
      <w:r>
        <w:rPr>
          <w:spacing w:val="-3"/>
          <w:sz w:val="21"/>
        </w:rPr>
        <w:t>器材库地面应采用耐磨、不起灰砂、强度较高的面层材料，并应采取防潮措施。</w:t>
      </w:r>
      <w:r>
        <w:rPr>
          <w:sz w:val="21"/>
        </w:rPr>
        <w:t> </w:t>
      </w:r>
    </w:p>
    <w:p>
      <w:pPr>
        <w:pStyle w:val="BodyText"/>
        <w:spacing w:before="1"/>
        <w:rPr>
          <w:sz w:val="18"/>
        </w:rPr>
      </w:pPr>
    </w:p>
    <w:p>
      <w:pPr>
        <w:pStyle w:val="ListParagraph"/>
        <w:numPr>
          <w:ilvl w:val="2"/>
          <w:numId w:val="786"/>
        </w:numPr>
        <w:tabs>
          <w:tab w:pos="1371" w:val="left" w:leader="none"/>
        </w:tabs>
        <w:spacing w:line="446" w:lineRule="auto" w:before="1" w:after="0"/>
        <w:ind w:left="418" w:right="1604" w:firstLine="422"/>
        <w:jc w:val="left"/>
        <w:rPr>
          <w:sz w:val="21"/>
        </w:rPr>
      </w:pPr>
      <w:r>
        <w:rPr>
          <w:spacing w:val="-3"/>
          <w:sz w:val="21"/>
        </w:rPr>
        <w:t>门窗应开关灵活、密封性好。窗的大小、高度应按通风、采光、建筑立面、管道安装以及节能等因素综合确定。</w:t>
      </w:r>
      <w:r>
        <w:rPr>
          <w:sz w:val="21"/>
        </w:rPr>
        <w:t> </w:t>
      </w:r>
    </w:p>
    <w:p>
      <w:pPr>
        <w:pStyle w:val="ListParagraph"/>
        <w:numPr>
          <w:ilvl w:val="2"/>
          <w:numId w:val="786"/>
        </w:numPr>
        <w:tabs>
          <w:tab w:pos="1371" w:val="left" w:leader="none"/>
        </w:tabs>
        <w:spacing w:line="267" w:lineRule="exact" w:before="0" w:after="0"/>
        <w:ind w:left="1370" w:right="0" w:hanging="531"/>
        <w:jc w:val="left"/>
        <w:rPr>
          <w:sz w:val="21"/>
        </w:rPr>
      </w:pPr>
      <w:r>
        <w:rPr>
          <w:spacing w:val="-3"/>
          <w:sz w:val="21"/>
        </w:rPr>
        <w:t>内墙及顶棚应具有防霉、防潮性能，且应不易积灰．方便清洁。</w:t>
      </w:r>
      <w:r>
        <w:rPr>
          <w:sz w:val="21"/>
        </w:rPr>
        <w:t> </w:t>
      </w:r>
    </w:p>
    <w:p>
      <w:pPr>
        <w:pStyle w:val="BodyText"/>
        <w:spacing w:before="1"/>
        <w:rPr>
          <w:sz w:val="18"/>
        </w:rPr>
      </w:pPr>
    </w:p>
    <w:p>
      <w:pPr>
        <w:pStyle w:val="ListParagraph"/>
        <w:numPr>
          <w:ilvl w:val="1"/>
          <w:numId w:val="786"/>
        </w:numPr>
        <w:tabs>
          <w:tab w:pos="1159" w:val="left" w:leader="none"/>
        </w:tabs>
        <w:spacing w:line="240" w:lineRule="auto" w:before="1" w:after="0"/>
        <w:ind w:left="1158" w:right="0" w:hanging="319"/>
        <w:jc w:val="left"/>
        <w:rPr>
          <w:b/>
          <w:sz w:val="21"/>
        </w:rPr>
      </w:pPr>
      <w:r>
        <w:rPr>
          <w:spacing w:val="-3"/>
          <w:sz w:val="21"/>
        </w:rPr>
        <w:t>被装营具库</w:t>
      </w:r>
      <w:r>
        <w:rPr>
          <w:b/>
          <w:w w:val="99"/>
          <w:sz w:val="21"/>
        </w:rPr>
        <w:t> </w:t>
      </w:r>
    </w:p>
    <w:p>
      <w:pPr>
        <w:pStyle w:val="BodyText"/>
        <w:spacing w:before="12"/>
        <w:rPr>
          <w:b/>
          <w:sz w:val="17"/>
        </w:rPr>
      </w:pPr>
    </w:p>
    <w:p>
      <w:pPr>
        <w:pStyle w:val="ListParagraph"/>
        <w:numPr>
          <w:ilvl w:val="2"/>
          <w:numId w:val="786"/>
        </w:numPr>
        <w:tabs>
          <w:tab w:pos="1371" w:val="left" w:leader="none"/>
        </w:tabs>
        <w:spacing w:line="240" w:lineRule="auto" w:before="0" w:after="0"/>
        <w:ind w:left="1370" w:right="0" w:hanging="531"/>
        <w:jc w:val="left"/>
        <w:rPr>
          <w:b/>
          <w:sz w:val="21"/>
        </w:rPr>
      </w:pPr>
      <w:r>
        <w:rPr>
          <w:spacing w:val="-3"/>
          <w:sz w:val="21"/>
        </w:rPr>
        <w:t>被装营具库宜与消防员备勤室设置在同一楼层。</w:t>
      </w:r>
      <w:r>
        <w:rPr>
          <w:b/>
          <w:w w:val="99"/>
          <w:sz w:val="21"/>
        </w:rPr>
        <w:t> </w:t>
      </w:r>
    </w:p>
    <w:p>
      <w:pPr>
        <w:pStyle w:val="BodyText"/>
        <w:rPr>
          <w:b/>
          <w:sz w:val="18"/>
        </w:rPr>
      </w:pPr>
    </w:p>
    <w:p>
      <w:pPr>
        <w:pStyle w:val="ListParagraph"/>
        <w:numPr>
          <w:ilvl w:val="2"/>
          <w:numId w:val="786"/>
        </w:numPr>
        <w:tabs>
          <w:tab w:pos="1371" w:val="left" w:leader="none"/>
        </w:tabs>
        <w:spacing w:line="240" w:lineRule="auto" w:before="0" w:after="0"/>
        <w:ind w:left="1370" w:right="0" w:hanging="531"/>
        <w:jc w:val="left"/>
        <w:rPr>
          <w:b/>
          <w:sz w:val="21"/>
        </w:rPr>
      </w:pPr>
      <w:r>
        <w:rPr>
          <w:spacing w:val="-3"/>
          <w:sz w:val="21"/>
        </w:rPr>
        <w:t>被装营具库内应设固定的个人用衣柜。</w:t>
      </w:r>
      <w:r>
        <w:rPr>
          <w:b/>
          <w:w w:val="99"/>
          <w:sz w:val="21"/>
        </w:rPr>
        <w:t> </w:t>
      </w:r>
    </w:p>
    <w:p>
      <w:pPr>
        <w:pStyle w:val="BodyText"/>
        <w:spacing w:before="2"/>
        <w:rPr>
          <w:b/>
          <w:sz w:val="18"/>
        </w:rPr>
      </w:pPr>
    </w:p>
    <w:p>
      <w:pPr>
        <w:pStyle w:val="ListParagraph"/>
        <w:numPr>
          <w:ilvl w:val="2"/>
          <w:numId w:val="786"/>
        </w:numPr>
        <w:tabs>
          <w:tab w:pos="1371" w:val="left" w:leader="none"/>
        </w:tabs>
        <w:spacing w:line="240" w:lineRule="auto" w:before="0" w:after="0"/>
        <w:ind w:left="1370" w:right="0" w:hanging="531"/>
        <w:jc w:val="left"/>
        <w:rPr>
          <w:b/>
          <w:sz w:val="21"/>
        </w:rPr>
      </w:pPr>
      <w:r>
        <w:rPr>
          <w:spacing w:val="-3"/>
          <w:sz w:val="21"/>
        </w:rPr>
        <w:t>被装营具库应具有良好的通风，并应保持干燥。</w:t>
      </w:r>
      <w:r>
        <w:rPr>
          <w:b/>
          <w:w w:val="99"/>
          <w:sz w:val="21"/>
        </w:rPr>
        <w:t> </w:t>
      </w:r>
    </w:p>
    <w:p>
      <w:pPr>
        <w:pStyle w:val="BodyText"/>
        <w:spacing w:before="12"/>
        <w:rPr>
          <w:b/>
          <w:sz w:val="17"/>
        </w:rPr>
      </w:pPr>
    </w:p>
    <w:p>
      <w:pPr>
        <w:pStyle w:val="ListParagraph"/>
        <w:numPr>
          <w:ilvl w:val="1"/>
          <w:numId w:val="786"/>
        </w:numPr>
        <w:tabs>
          <w:tab w:pos="1159" w:val="left" w:leader="none"/>
        </w:tabs>
        <w:spacing w:line="240" w:lineRule="auto" w:before="0" w:after="0"/>
        <w:ind w:left="1158" w:right="0" w:hanging="319"/>
        <w:jc w:val="left"/>
        <w:rPr>
          <w:sz w:val="21"/>
        </w:rPr>
      </w:pPr>
      <w:r>
        <w:rPr>
          <w:spacing w:val="-3"/>
          <w:sz w:val="21"/>
        </w:rPr>
        <w:t>清洗室、烘干室</w:t>
      </w:r>
      <w:r>
        <w:rPr>
          <w:sz w:val="21"/>
        </w:rPr>
        <w:t> </w:t>
      </w:r>
    </w:p>
    <w:p>
      <w:pPr>
        <w:pStyle w:val="BodyText"/>
        <w:rPr>
          <w:sz w:val="18"/>
        </w:rPr>
      </w:pPr>
    </w:p>
    <w:p>
      <w:pPr>
        <w:pStyle w:val="ListParagraph"/>
        <w:numPr>
          <w:ilvl w:val="2"/>
          <w:numId w:val="786"/>
        </w:numPr>
        <w:tabs>
          <w:tab w:pos="1371" w:val="left" w:leader="none"/>
        </w:tabs>
        <w:spacing w:line="240" w:lineRule="auto" w:before="0" w:after="0"/>
        <w:ind w:left="1370" w:right="0" w:hanging="531"/>
        <w:jc w:val="left"/>
        <w:rPr>
          <w:b/>
          <w:sz w:val="21"/>
        </w:rPr>
      </w:pPr>
      <w:r>
        <w:rPr>
          <w:spacing w:val="-3"/>
          <w:sz w:val="21"/>
        </w:rPr>
        <w:t>清洗室、烘干室应留有设备进出的设备洞。</w:t>
      </w:r>
      <w:r>
        <w:rPr>
          <w:b/>
          <w:w w:val="99"/>
          <w:sz w:val="21"/>
        </w:rPr>
        <w:t> </w:t>
      </w:r>
    </w:p>
    <w:p>
      <w:pPr>
        <w:pStyle w:val="BodyText"/>
        <w:spacing w:before="1"/>
        <w:rPr>
          <w:b/>
          <w:sz w:val="18"/>
        </w:rPr>
      </w:pPr>
    </w:p>
    <w:p>
      <w:pPr>
        <w:pStyle w:val="ListParagraph"/>
        <w:numPr>
          <w:ilvl w:val="2"/>
          <w:numId w:val="786"/>
        </w:numPr>
        <w:tabs>
          <w:tab w:pos="1371" w:val="left" w:leader="none"/>
        </w:tabs>
        <w:spacing w:line="240" w:lineRule="auto" w:before="1" w:after="0"/>
        <w:ind w:left="1370" w:right="0" w:hanging="531"/>
        <w:jc w:val="left"/>
        <w:rPr>
          <w:b/>
          <w:sz w:val="21"/>
        </w:rPr>
      </w:pPr>
      <w:r>
        <w:rPr>
          <w:spacing w:val="-3"/>
          <w:sz w:val="21"/>
        </w:rPr>
        <w:t>清洗室应有良好的通风，并应设置地漏。</w:t>
      </w:r>
      <w:r>
        <w:rPr>
          <w:b/>
          <w:w w:val="99"/>
          <w:sz w:val="21"/>
        </w:rPr>
        <w:t> </w:t>
      </w:r>
    </w:p>
    <w:p>
      <w:pPr>
        <w:pStyle w:val="BodyText"/>
        <w:spacing w:before="12"/>
        <w:rPr>
          <w:b/>
          <w:sz w:val="17"/>
        </w:rPr>
      </w:pPr>
    </w:p>
    <w:p>
      <w:pPr>
        <w:pStyle w:val="ListParagraph"/>
        <w:numPr>
          <w:ilvl w:val="2"/>
          <w:numId w:val="786"/>
        </w:numPr>
        <w:tabs>
          <w:tab w:pos="1371" w:val="left" w:leader="none"/>
        </w:tabs>
        <w:spacing w:line="240" w:lineRule="auto" w:before="0" w:after="0"/>
        <w:ind w:left="1370" w:right="0" w:hanging="531"/>
        <w:jc w:val="left"/>
        <w:rPr>
          <w:b/>
          <w:sz w:val="21"/>
        </w:rPr>
      </w:pPr>
      <w:r>
        <w:rPr>
          <w:spacing w:val="-10"/>
          <w:sz w:val="21"/>
        </w:rPr>
        <w:t>烘干室应设置 </w:t>
      </w:r>
      <w:r>
        <w:rPr>
          <w:sz w:val="21"/>
        </w:rPr>
        <w:t>380V</w:t>
      </w:r>
      <w:r>
        <w:rPr>
          <w:spacing w:val="-13"/>
          <w:sz w:val="21"/>
        </w:rPr>
        <w:t> 配电箱。</w:t>
      </w:r>
      <w:r>
        <w:rPr>
          <w:b/>
          <w:w w:val="99"/>
          <w:sz w:val="21"/>
        </w:rPr>
        <w:t> </w:t>
      </w:r>
    </w:p>
    <w:p>
      <w:pPr>
        <w:pStyle w:val="BodyText"/>
        <w:rPr>
          <w:b/>
          <w:sz w:val="18"/>
        </w:rPr>
      </w:pPr>
    </w:p>
    <w:p>
      <w:pPr>
        <w:pStyle w:val="ListParagraph"/>
        <w:numPr>
          <w:ilvl w:val="1"/>
          <w:numId w:val="786"/>
        </w:numPr>
        <w:tabs>
          <w:tab w:pos="1159" w:val="left" w:leader="none"/>
        </w:tabs>
        <w:spacing w:line="240" w:lineRule="auto" w:before="0" w:after="0"/>
        <w:ind w:left="1158" w:right="0" w:hanging="319"/>
        <w:jc w:val="left"/>
        <w:rPr>
          <w:sz w:val="21"/>
        </w:rPr>
      </w:pPr>
      <w:r>
        <w:rPr>
          <w:spacing w:val="-3"/>
          <w:sz w:val="21"/>
        </w:rPr>
        <w:t>器材修理间、呼吸器充气室</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786"/>
        </w:numPr>
        <w:tabs>
          <w:tab w:pos="1371" w:val="left" w:leader="none"/>
        </w:tabs>
        <w:spacing w:line="446" w:lineRule="auto" w:before="47" w:after="0"/>
        <w:ind w:left="418" w:right="1604" w:firstLine="422"/>
        <w:jc w:val="left"/>
        <w:rPr>
          <w:sz w:val="21"/>
        </w:rPr>
      </w:pPr>
      <w:r>
        <w:rPr>
          <w:spacing w:val="-3"/>
          <w:sz w:val="21"/>
        </w:rPr>
        <w:t>器材修理间、呼吸器充气室应设置空气充填泵、气瓶防爆箱、装具架、工作台、超声波清洗杌、气瓶及其他设备夹具、设备清洗水槽等，宜设置能搬运重物的电动葫芦。</w:t>
      </w:r>
      <w:r>
        <w:rPr>
          <w:sz w:val="21"/>
        </w:rPr>
        <w:t> </w:t>
      </w:r>
    </w:p>
    <w:p>
      <w:pPr>
        <w:pStyle w:val="ListParagraph"/>
        <w:numPr>
          <w:ilvl w:val="2"/>
          <w:numId w:val="786"/>
        </w:numPr>
        <w:tabs>
          <w:tab w:pos="1371" w:val="left" w:leader="none"/>
        </w:tabs>
        <w:spacing w:line="446" w:lineRule="auto" w:before="0" w:after="0"/>
        <w:ind w:left="418" w:right="1604" w:firstLine="422"/>
        <w:jc w:val="both"/>
        <w:rPr>
          <w:sz w:val="21"/>
        </w:rPr>
      </w:pPr>
      <w:r>
        <w:rPr>
          <w:spacing w:val="-3"/>
          <w:sz w:val="21"/>
        </w:rPr>
        <w:t>呼吸器充气室应有良好的通风。条件许可时，宜为守气充填泵设置通风机和通风管道，并设置室外取气口和通风口，空气流通面积应满足空气压缩机吸气和设备冷却要求，空气</w:t>
      </w:r>
      <w:r>
        <w:rPr>
          <w:spacing w:val="-13"/>
          <w:sz w:val="21"/>
        </w:rPr>
        <w:t>流速宜为 </w:t>
      </w:r>
      <w:r>
        <w:rPr>
          <w:sz w:val="21"/>
        </w:rPr>
        <w:t>6～10m/s</w:t>
      </w:r>
      <w:r>
        <w:rPr>
          <w:spacing w:val="-3"/>
          <w:sz w:val="21"/>
        </w:rPr>
        <w:t>。</w:t>
      </w:r>
      <w:r>
        <w:rPr>
          <w:sz w:val="21"/>
        </w:rPr>
        <w:t> </w:t>
      </w:r>
    </w:p>
    <w:p>
      <w:pPr>
        <w:pStyle w:val="ListParagraph"/>
        <w:numPr>
          <w:ilvl w:val="2"/>
          <w:numId w:val="786"/>
        </w:numPr>
        <w:tabs>
          <w:tab w:pos="1371" w:val="left" w:leader="none"/>
        </w:tabs>
        <w:spacing w:line="268" w:lineRule="exact" w:before="0" w:after="0"/>
        <w:ind w:left="1370" w:right="0" w:hanging="531"/>
        <w:jc w:val="left"/>
        <w:rPr>
          <w:sz w:val="21"/>
        </w:rPr>
      </w:pPr>
      <w:r>
        <w:rPr>
          <w:spacing w:val="-3"/>
          <w:sz w:val="21"/>
        </w:rPr>
        <w:t>器材修理间、呼吸器充气室地面和墙壁表面应便于冲洗，地面上不应设置台阶。</w:t>
      </w:r>
      <w:r>
        <w:rPr>
          <w:sz w:val="21"/>
        </w:rPr>
        <w:t> </w:t>
      </w:r>
    </w:p>
    <w:p>
      <w:pPr>
        <w:pStyle w:val="BodyText"/>
        <w:rPr>
          <w:sz w:val="18"/>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3"/>
          <w:sz w:val="21"/>
        </w:rPr>
        <w:t>器材修理间、呼吸器充气室门上应设观察窗，观察窗下沿距地面高度不应低于</w:t>
      </w:r>
    </w:p>
    <w:p>
      <w:pPr>
        <w:pStyle w:val="BodyText"/>
        <w:rPr>
          <w:sz w:val="18"/>
        </w:rPr>
      </w:pPr>
    </w:p>
    <w:p>
      <w:pPr>
        <w:pStyle w:val="BodyText"/>
        <w:ind w:left="418"/>
      </w:pPr>
      <w:r>
        <w:rPr/>
        <w:t>1.5m。  </w:t>
      </w:r>
      <w:r>
        <w:rPr>
          <w:w w:val="100"/>
        </w:rPr>
        <w:t> </w:t>
      </w:r>
    </w:p>
    <w:p>
      <w:pPr>
        <w:pStyle w:val="BodyText"/>
        <w:rPr>
          <w:sz w:val="18"/>
        </w:rPr>
      </w:pPr>
    </w:p>
    <w:p>
      <w:pPr>
        <w:pStyle w:val="ListParagraph"/>
        <w:numPr>
          <w:ilvl w:val="2"/>
          <w:numId w:val="786"/>
        </w:numPr>
        <w:tabs>
          <w:tab w:pos="1371" w:val="left" w:leader="none"/>
        </w:tabs>
        <w:spacing w:line="240" w:lineRule="auto" w:before="0" w:after="0"/>
        <w:ind w:left="1370" w:right="0" w:hanging="531"/>
        <w:jc w:val="left"/>
        <w:rPr>
          <w:sz w:val="21"/>
        </w:rPr>
      </w:pPr>
      <w:r>
        <w:rPr>
          <w:spacing w:val="-6"/>
          <w:sz w:val="21"/>
        </w:rPr>
        <w:t>器材修理间和呼吸器充气室内应设置 </w:t>
      </w:r>
      <w:r>
        <w:rPr>
          <w:sz w:val="21"/>
        </w:rPr>
        <w:t>380V</w:t>
      </w:r>
      <w:r>
        <w:rPr>
          <w:spacing w:val="-13"/>
          <w:sz w:val="21"/>
        </w:rPr>
        <w:t> 配电箱。</w:t>
      </w:r>
      <w:r>
        <w:rPr>
          <w:sz w:val="21"/>
        </w:rPr>
        <w:t> </w:t>
      </w:r>
    </w:p>
    <w:p>
      <w:pPr>
        <w:pStyle w:val="BodyText"/>
        <w:spacing w:before="1"/>
        <w:rPr>
          <w:sz w:val="18"/>
        </w:rPr>
      </w:pPr>
    </w:p>
    <w:p>
      <w:pPr>
        <w:pStyle w:val="ListParagraph"/>
        <w:numPr>
          <w:ilvl w:val="2"/>
          <w:numId w:val="786"/>
        </w:numPr>
        <w:tabs>
          <w:tab w:pos="1371" w:val="left" w:leader="none"/>
        </w:tabs>
        <w:spacing w:line="446" w:lineRule="auto" w:before="1" w:after="0"/>
        <w:ind w:left="418" w:right="1604" w:firstLine="422"/>
        <w:jc w:val="left"/>
        <w:rPr>
          <w:sz w:val="21"/>
        </w:rPr>
      </w:pPr>
      <w:r>
        <w:rPr>
          <w:spacing w:val="-3"/>
          <w:sz w:val="21"/>
        </w:rPr>
        <w:t>空气填充泵、工作台等设备之间应设置安全间距，其宽度应满足设备操作、拆装和运输的需要。</w:t>
      </w:r>
      <w:r>
        <w:rPr>
          <w:sz w:val="21"/>
        </w:rPr>
        <w:t> </w:t>
      </w:r>
    </w:p>
    <w:p>
      <w:pPr>
        <w:pStyle w:val="ListParagraph"/>
        <w:numPr>
          <w:ilvl w:val="2"/>
          <w:numId w:val="786"/>
        </w:numPr>
        <w:tabs>
          <w:tab w:pos="1371" w:val="left" w:leader="none"/>
        </w:tabs>
        <w:spacing w:line="446" w:lineRule="auto" w:before="0" w:after="0"/>
        <w:ind w:left="418" w:right="1604" w:firstLine="422"/>
        <w:jc w:val="left"/>
        <w:rPr>
          <w:sz w:val="21"/>
        </w:rPr>
      </w:pPr>
      <w:r>
        <w:rPr>
          <w:spacing w:val="-3"/>
          <w:sz w:val="21"/>
        </w:rPr>
        <w:t>器材修理间、呼吸器充气室应按照设备需要，设置冷水及热水供应管道以及废液排放管道。</w:t>
      </w:r>
      <w:r>
        <w:rPr>
          <w:sz w:val="21"/>
        </w:rPr>
        <w:t> </w:t>
      </w:r>
    </w:p>
    <w:p>
      <w:pPr>
        <w:pStyle w:val="ListParagraph"/>
        <w:numPr>
          <w:ilvl w:val="1"/>
          <w:numId w:val="787"/>
        </w:numPr>
        <w:tabs>
          <w:tab w:pos="1160" w:val="left" w:leader="none"/>
        </w:tabs>
        <w:spacing w:line="240" w:lineRule="auto" w:before="0" w:after="0"/>
        <w:ind w:left="1159" w:right="0" w:hanging="320"/>
        <w:jc w:val="left"/>
        <w:rPr>
          <w:sz w:val="21"/>
        </w:rPr>
      </w:pPr>
      <w:r>
        <w:rPr>
          <w:spacing w:val="-3"/>
          <w:sz w:val="21"/>
        </w:rPr>
        <w:t>灭火救援研讨室、电脑室</w:t>
      </w:r>
      <w:r>
        <w:rPr>
          <w:sz w:val="21"/>
        </w:rPr>
        <w:t> </w:t>
      </w:r>
    </w:p>
    <w:p>
      <w:pPr>
        <w:pStyle w:val="BodyText"/>
        <w:spacing w:before="10"/>
        <w:rPr>
          <w:sz w:val="17"/>
        </w:rPr>
      </w:pPr>
    </w:p>
    <w:p>
      <w:pPr>
        <w:pStyle w:val="ListParagraph"/>
        <w:numPr>
          <w:ilvl w:val="2"/>
          <w:numId w:val="787"/>
        </w:numPr>
        <w:tabs>
          <w:tab w:pos="1371" w:val="left" w:leader="none"/>
        </w:tabs>
        <w:spacing w:line="446" w:lineRule="auto" w:before="0" w:after="0"/>
        <w:ind w:left="418" w:right="1498" w:firstLine="422"/>
        <w:jc w:val="left"/>
        <w:rPr>
          <w:sz w:val="21"/>
        </w:rPr>
      </w:pPr>
      <w:r>
        <w:rPr>
          <w:spacing w:val="-3"/>
          <w:sz w:val="21"/>
        </w:rPr>
        <w:t>灭火救援研讨室、电脑室的计算机接口数应根据当地经济条件适量选配，条件许可的消防站宜按每人一台设计。</w:t>
      </w:r>
      <w:r>
        <w:rPr>
          <w:sz w:val="21"/>
        </w:rPr>
        <w:t> </w:t>
      </w:r>
    </w:p>
    <w:p>
      <w:pPr>
        <w:pStyle w:val="ListParagraph"/>
        <w:numPr>
          <w:ilvl w:val="2"/>
          <w:numId w:val="787"/>
        </w:numPr>
        <w:tabs>
          <w:tab w:pos="1371" w:val="left" w:leader="none"/>
        </w:tabs>
        <w:spacing w:line="240" w:lineRule="auto" w:before="0" w:after="0"/>
        <w:ind w:left="1370" w:right="0" w:hanging="531"/>
        <w:jc w:val="left"/>
        <w:rPr>
          <w:sz w:val="21"/>
        </w:rPr>
      </w:pPr>
      <w:r>
        <w:rPr>
          <w:spacing w:val="-3"/>
          <w:sz w:val="21"/>
        </w:rPr>
        <w:t>电脑桌和通道的布局应便于紧急出动。 </w:t>
      </w:r>
    </w:p>
    <w:p>
      <w:pPr>
        <w:pStyle w:val="BodyText"/>
        <w:spacing w:before="12"/>
        <w:rPr>
          <w:sz w:val="17"/>
        </w:rPr>
      </w:pPr>
    </w:p>
    <w:p>
      <w:pPr>
        <w:pStyle w:val="ListParagraph"/>
        <w:numPr>
          <w:ilvl w:val="2"/>
          <w:numId w:val="787"/>
        </w:numPr>
        <w:tabs>
          <w:tab w:pos="1371" w:val="left" w:leader="none"/>
        </w:tabs>
        <w:spacing w:line="240" w:lineRule="auto" w:before="0" w:after="0"/>
        <w:ind w:left="1370" w:right="0" w:hanging="531"/>
        <w:jc w:val="left"/>
        <w:rPr>
          <w:sz w:val="21"/>
        </w:rPr>
      </w:pPr>
      <w:r>
        <w:rPr>
          <w:spacing w:val="-3"/>
          <w:sz w:val="21"/>
        </w:rPr>
        <w:t>电脑室的布线应包括有线通信、计算机网络等有关线路。</w:t>
      </w:r>
      <w:r>
        <w:rPr>
          <w:sz w:val="21"/>
        </w:rPr>
        <w:t> </w:t>
      </w:r>
    </w:p>
    <w:p>
      <w:pPr>
        <w:pStyle w:val="BodyText"/>
        <w:spacing w:before="2"/>
        <w:rPr>
          <w:sz w:val="18"/>
        </w:rPr>
      </w:pPr>
    </w:p>
    <w:p>
      <w:pPr>
        <w:pStyle w:val="ListParagraph"/>
        <w:numPr>
          <w:ilvl w:val="2"/>
          <w:numId w:val="787"/>
        </w:numPr>
        <w:tabs>
          <w:tab w:pos="1371" w:val="left" w:leader="none"/>
        </w:tabs>
        <w:spacing w:line="240" w:lineRule="auto" w:before="0" w:after="0"/>
        <w:ind w:left="1370" w:right="0" w:hanging="531"/>
        <w:jc w:val="left"/>
        <w:rPr>
          <w:sz w:val="21"/>
        </w:rPr>
      </w:pPr>
      <w:r>
        <w:rPr>
          <w:spacing w:val="-3"/>
          <w:sz w:val="21"/>
        </w:rPr>
        <w:t>灭火救援研讨室应设置电子白板、黑板、音响、投影系统等设备。 </w:t>
      </w:r>
    </w:p>
    <w:p>
      <w:pPr>
        <w:pStyle w:val="BodyText"/>
        <w:rPr>
          <w:sz w:val="18"/>
        </w:rPr>
      </w:pPr>
    </w:p>
    <w:p>
      <w:pPr>
        <w:pStyle w:val="ListParagraph"/>
        <w:numPr>
          <w:ilvl w:val="2"/>
          <w:numId w:val="787"/>
        </w:numPr>
        <w:tabs>
          <w:tab w:pos="1371" w:val="left" w:leader="none"/>
        </w:tabs>
        <w:spacing w:line="446" w:lineRule="auto" w:before="0" w:after="0"/>
        <w:ind w:left="418" w:right="1498" w:firstLine="422"/>
        <w:jc w:val="left"/>
        <w:rPr>
          <w:sz w:val="21"/>
        </w:rPr>
      </w:pPr>
      <w:r>
        <w:rPr>
          <w:spacing w:val="-3"/>
          <w:sz w:val="21"/>
        </w:rPr>
        <w:t>灭火救援研讨室、电脑室的地板应有防静电要求，其电源功率应能满足所有电脑同时使用的要求。</w:t>
      </w:r>
      <w:r>
        <w:rPr>
          <w:sz w:val="21"/>
        </w:rPr>
        <w:t> </w:t>
      </w:r>
    </w:p>
    <w:p>
      <w:pPr>
        <w:pStyle w:val="ListParagraph"/>
        <w:numPr>
          <w:ilvl w:val="2"/>
          <w:numId w:val="787"/>
        </w:numPr>
        <w:tabs>
          <w:tab w:pos="1371" w:val="left" w:leader="none"/>
        </w:tabs>
        <w:spacing w:line="446" w:lineRule="auto" w:before="0" w:after="0"/>
        <w:ind w:left="418" w:right="1500" w:firstLine="422"/>
        <w:jc w:val="left"/>
        <w:rPr>
          <w:sz w:val="21"/>
        </w:rPr>
      </w:pPr>
      <w:r>
        <w:rPr>
          <w:spacing w:val="-5"/>
          <w:sz w:val="21"/>
        </w:rPr>
        <w:t>灭火救援研讨室、电脑室的防雷与接地、综合布线等应符合本规范第 </w:t>
      </w:r>
      <w:r>
        <w:rPr>
          <w:sz w:val="21"/>
        </w:rPr>
        <w:t>6</w:t>
      </w:r>
      <w:r>
        <w:rPr>
          <w:spacing w:val="-7"/>
          <w:sz w:val="21"/>
        </w:rPr>
        <w:t> 章的有关要求</w:t>
      </w:r>
      <w:r>
        <w:rPr>
          <w:spacing w:val="-3"/>
          <w:sz w:val="21"/>
        </w:rPr>
        <w:t>。</w:t>
      </w:r>
      <w:r>
        <w:rPr>
          <w:sz w:val="21"/>
        </w:rPr>
        <w:t> </w:t>
      </w:r>
    </w:p>
    <w:p>
      <w:pPr>
        <w:pStyle w:val="ListParagraph"/>
        <w:numPr>
          <w:ilvl w:val="1"/>
          <w:numId w:val="787"/>
        </w:numPr>
        <w:tabs>
          <w:tab w:pos="1264" w:val="left" w:leader="none"/>
        </w:tabs>
        <w:spacing w:line="267" w:lineRule="exact" w:before="0" w:after="0"/>
        <w:ind w:left="1263" w:right="0" w:hanging="424"/>
        <w:jc w:val="left"/>
        <w:rPr>
          <w:sz w:val="21"/>
        </w:rPr>
      </w:pPr>
      <w:r>
        <w:rPr>
          <w:spacing w:val="-3"/>
          <w:sz w:val="21"/>
        </w:rPr>
        <w:t>图书阅览室</w:t>
      </w:r>
      <w:r>
        <w:rPr>
          <w:sz w:val="21"/>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6"/>
          <w:sz w:val="21"/>
        </w:rPr>
        <w:t>图书阅览室的座位数应能满足所在队站 </w:t>
      </w:r>
      <w:r>
        <w:rPr>
          <w:sz w:val="21"/>
        </w:rPr>
        <w:t>1/2</w:t>
      </w:r>
      <w:r>
        <w:rPr>
          <w:spacing w:val="-9"/>
          <w:sz w:val="21"/>
        </w:rPr>
        <w:t> 人数同时使用的要求。</w:t>
      </w:r>
      <w:r>
        <w:rPr>
          <w:sz w:val="21"/>
        </w:rPr>
        <w:t> </w:t>
      </w:r>
    </w:p>
    <w:p>
      <w:pPr>
        <w:pStyle w:val="BodyText"/>
        <w:spacing w:before="12"/>
        <w:rPr>
          <w:sz w:val="17"/>
        </w:rPr>
      </w:pPr>
    </w:p>
    <w:p>
      <w:pPr>
        <w:pStyle w:val="ListParagraph"/>
        <w:numPr>
          <w:ilvl w:val="2"/>
          <w:numId w:val="787"/>
        </w:numPr>
        <w:tabs>
          <w:tab w:pos="1478" w:val="left" w:leader="none"/>
        </w:tabs>
        <w:spacing w:line="240" w:lineRule="auto" w:before="1" w:after="0"/>
        <w:ind w:left="1477" w:right="0" w:hanging="638"/>
        <w:jc w:val="left"/>
        <w:rPr>
          <w:sz w:val="21"/>
        </w:rPr>
      </w:pPr>
      <w:r>
        <w:rPr>
          <w:spacing w:val="-3"/>
          <w:sz w:val="21"/>
        </w:rPr>
        <w:t>图书阅览室应具有良好的通风和自然采光。 </w:t>
      </w:r>
    </w:p>
    <w:p>
      <w:pPr>
        <w:pStyle w:val="BodyText"/>
        <w:spacing w:before="12"/>
        <w:rPr>
          <w:sz w:val="17"/>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6"/>
          <w:sz w:val="21"/>
        </w:rPr>
        <w:t>图书阅览室的门应向外开启，其宽度不应小于 </w:t>
      </w:r>
      <w:r>
        <w:rPr>
          <w:sz w:val="21"/>
        </w:rPr>
        <w:t>1.4m</w:t>
      </w:r>
      <w:r>
        <w:rPr>
          <w:spacing w:val="-3"/>
          <w:sz w:val="21"/>
        </w:rPr>
        <w:t>。</w:t>
      </w:r>
      <w:r>
        <w:rPr>
          <w:sz w:val="21"/>
        </w:rPr>
        <w:t> </w:t>
      </w:r>
    </w:p>
    <w:p>
      <w:pPr>
        <w:pStyle w:val="BodyText"/>
        <w:spacing w:before="2"/>
        <w:rPr>
          <w:sz w:val="18"/>
        </w:rPr>
      </w:pPr>
    </w:p>
    <w:p>
      <w:pPr>
        <w:pStyle w:val="ListParagraph"/>
        <w:numPr>
          <w:ilvl w:val="1"/>
          <w:numId w:val="787"/>
        </w:numPr>
        <w:tabs>
          <w:tab w:pos="1266" w:val="left" w:leader="none"/>
        </w:tabs>
        <w:spacing w:line="240" w:lineRule="auto" w:before="0" w:after="0"/>
        <w:ind w:left="1265" w:right="0" w:hanging="426"/>
        <w:jc w:val="left"/>
        <w:rPr>
          <w:sz w:val="21"/>
        </w:rPr>
      </w:pPr>
      <w:r>
        <w:rPr>
          <w:spacing w:val="-3"/>
          <w:sz w:val="21"/>
        </w:rPr>
        <w:t>会议室</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787"/>
        </w:numPr>
        <w:tabs>
          <w:tab w:pos="1478" w:val="left" w:leader="none"/>
        </w:tabs>
        <w:spacing w:line="240" w:lineRule="auto" w:before="47" w:after="0"/>
        <w:ind w:left="1477" w:right="0" w:hanging="638"/>
        <w:jc w:val="left"/>
        <w:rPr>
          <w:sz w:val="21"/>
        </w:rPr>
      </w:pPr>
      <w:r>
        <w:rPr>
          <w:spacing w:val="-3"/>
          <w:sz w:val="21"/>
        </w:rPr>
        <w:t>会议室的座位数应能满足队站全体人员同时使用的要求。</w:t>
      </w:r>
      <w:r>
        <w:rPr>
          <w:sz w:val="21"/>
        </w:rPr>
        <w:t> </w:t>
      </w:r>
    </w:p>
    <w:p>
      <w:pPr>
        <w:pStyle w:val="BodyText"/>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会议室的布线应包括有线通信、计算机网络、视频会议等有关线路。 </w:t>
      </w:r>
    </w:p>
    <w:p>
      <w:pPr>
        <w:pStyle w:val="BodyText"/>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会议室应设置音响、视频会议终端、投影系统等设备。</w:t>
      </w:r>
      <w:r>
        <w:rPr>
          <w:sz w:val="21"/>
        </w:rPr>
        <w:t> </w:t>
      </w:r>
    </w:p>
    <w:p>
      <w:pPr>
        <w:pStyle w:val="BodyText"/>
        <w:spacing w:before="1"/>
        <w:rPr>
          <w:sz w:val="18"/>
        </w:rPr>
      </w:pPr>
    </w:p>
    <w:p>
      <w:pPr>
        <w:pStyle w:val="ListParagraph"/>
        <w:numPr>
          <w:ilvl w:val="2"/>
          <w:numId w:val="787"/>
        </w:numPr>
        <w:tabs>
          <w:tab w:pos="1478" w:val="left" w:leader="none"/>
        </w:tabs>
        <w:spacing w:line="240" w:lineRule="auto" w:before="1" w:after="0"/>
        <w:ind w:left="1477" w:right="0" w:hanging="638"/>
        <w:jc w:val="left"/>
        <w:rPr>
          <w:sz w:val="21"/>
        </w:rPr>
      </w:pPr>
      <w:r>
        <w:rPr>
          <w:spacing w:val="-3"/>
          <w:sz w:val="21"/>
        </w:rPr>
        <w:t>会议室应设置两个以上出入口。</w:t>
      </w:r>
      <w:r>
        <w:rPr>
          <w:sz w:val="21"/>
        </w:rPr>
        <w:t> </w:t>
      </w:r>
    </w:p>
    <w:p>
      <w:pPr>
        <w:pStyle w:val="BodyText"/>
        <w:spacing w:before="12"/>
        <w:rPr>
          <w:sz w:val="17"/>
        </w:rPr>
      </w:pPr>
    </w:p>
    <w:p>
      <w:pPr>
        <w:pStyle w:val="ListParagraph"/>
        <w:numPr>
          <w:ilvl w:val="2"/>
          <w:numId w:val="787"/>
        </w:numPr>
        <w:tabs>
          <w:tab w:pos="1530" w:val="left" w:leader="none"/>
        </w:tabs>
        <w:spacing w:line="446" w:lineRule="auto" w:before="0" w:after="0"/>
        <w:ind w:left="840" w:right="5228" w:firstLine="0"/>
        <w:jc w:val="left"/>
        <w:rPr>
          <w:sz w:val="21"/>
        </w:rPr>
      </w:pPr>
      <w:r>
        <w:rPr>
          <w:spacing w:val="-3"/>
          <w:sz w:val="21"/>
        </w:rPr>
        <w:t>会议室应采取必要的吸声</w:t>
      </w:r>
      <w:r>
        <w:rPr>
          <w:sz w:val="21"/>
        </w:rPr>
        <w:t>（</w:t>
      </w:r>
      <w:r>
        <w:rPr>
          <w:spacing w:val="-2"/>
          <w:sz w:val="21"/>
        </w:rPr>
        <w:t>隔声</w:t>
      </w:r>
      <w:r>
        <w:rPr>
          <w:spacing w:val="-3"/>
          <w:sz w:val="21"/>
        </w:rPr>
        <w:t>）措施。</w:t>
      </w:r>
      <w:r>
        <w:rPr>
          <w:b/>
          <w:sz w:val="21"/>
        </w:rPr>
        <w:t>4.11.6 </w:t>
      </w:r>
      <w:r>
        <w:rPr>
          <w:spacing w:val="-8"/>
          <w:sz w:val="21"/>
        </w:rPr>
        <w:t>会议室的净高不应低于 </w:t>
      </w:r>
      <w:r>
        <w:rPr>
          <w:sz w:val="21"/>
        </w:rPr>
        <w:t>3m</w:t>
      </w:r>
      <w:r>
        <w:rPr>
          <w:spacing w:val="-3"/>
          <w:sz w:val="21"/>
        </w:rPr>
        <w:t>。</w:t>
      </w:r>
      <w:r>
        <w:rPr>
          <w:sz w:val="21"/>
        </w:rPr>
        <w:t> </w:t>
      </w:r>
    </w:p>
    <w:p>
      <w:pPr>
        <w:pStyle w:val="ListParagraph"/>
        <w:numPr>
          <w:ilvl w:val="2"/>
          <w:numId w:val="788"/>
        </w:numPr>
        <w:tabs>
          <w:tab w:pos="1478" w:val="left" w:leader="none"/>
        </w:tabs>
        <w:spacing w:line="240" w:lineRule="auto" w:before="0" w:after="0"/>
        <w:ind w:left="1477" w:right="0" w:hanging="638"/>
        <w:jc w:val="left"/>
        <w:rPr>
          <w:sz w:val="21"/>
        </w:rPr>
      </w:pPr>
      <w:r>
        <w:rPr>
          <w:spacing w:val="-6"/>
          <w:sz w:val="21"/>
        </w:rPr>
        <w:t>会议室的防雷与接地、综合布线等应符合本规范第 </w:t>
      </w:r>
      <w:r>
        <w:rPr>
          <w:sz w:val="21"/>
        </w:rPr>
        <w:t>6</w:t>
      </w:r>
      <w:r>
        <w:rPr>
          <w:spacing w:val="-9"/>
          <w:sz w:val="21"/>
        </w:rPr>
        <w:t> 章的有关要求。 </w:t>
      </w:r>
    </w:p>
    <w:p>
      <w:pPr>
        <w:pStyle w:val="BodyText"/>
        <w:rPr>
          <w:sz w:val="18"/>
        </w:rPr>
      </w:pPr>
    </w:p>
    <w:p>
      <w:pPr>
        <w:pStyle w:val="ListParagraph"/>
        <w:numPr>
          <w:ilvl w:val="2"/>
          <w:numId w:val="788"/>
        </w:numPr>
        <w:tabs>
          <w:tab w:pos="1478" w:val="left" w:leader="none"/>
        </w:tabs>
        <w:spacing w:line="240" w:lineRule="auto" w:before="0" w:after="0"/>
        <w:ind w:left="1477" w:right="0" w:hanging="638"/>
        <w:jc w:val="left"/>
        <w:rPr>
          <w:sz w:val="21"/>
        </w:rPr>
      </w:pPr>
      <w:r>
        <w:rPr>
          <w:spacing w:val="-7"/>
          <w:sz w:val="21"/>
        </w:rPr>
        <w:t>会议室地面或周围的墙上每隔 </w:t>
      </w:r>
      <w:r>
        <w:rPr>
          <w:sz w:val="21"/>
        </w:rPr>
        <w:t>3m～5m</w:t>
      </w:r>
      <w:r>
        <w:rPr>
          <w:spacing w:val="-10"/>
          <w:sz w:val="21"/>
        </w:rPr>
        <w:t> 应设置电源插座。</w:t>
      </w:r>
      <w:r>
        <w:rPr>
          <w:sz w:val="21"/>
        </w:rPr>
        <w:t> </w:t>
      </w:r>
    </w:p>
    <w:p>
      <w:pPr>
        <w:pStyle w:val="BodyText"/>
        <w:spacing w:before="12"/>
        <w:rPr>
          <w:sz w:val="17"/>
        </w:rPr>
      </w:pPr>
    </w:p>
    <w:p>
      <w:pPr>
        <w:pStyle w:val="ListParagraph"/>
        <w:numPr>
          <w:ilvl w:val="1"/>
          <w:numId w:val="787"/>
        </w:numPr>
        <w:tabs>
          <w:tab w:pos="1266" w:val="left" w:leader="none"/>
        </w:tabs>
        <w:spacing w:line="240" w:lineRule="auto" w:before="0" w:after="0"/>
        <w:ind w:left="1265" w:right="0" w:hanging="426"/>
        <w:jc w:val="left"/>
        <w:rPr>
          <w:sz w:val="21"/>
        </w:rPr>
      </w:pPr>
      <w:r>
        <w:rPr>
          <w:spacing w:val="-3"/>
          <w:sz w:val="21"/>
        </w:rPr>
        <w:t>俱乐部</w:t>
      </w:r>
      <w:r>
        <w:rPr>
          <w:sz w:val="21"/>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俱乐部可根据需要和房间条件设置舞台。</w:t>
      </w:r>
      <w:r>
        <w:rPr>
          <w:b/>
          <w:w w:val="99"/>
          <w:sz w:val="21"/>
        </w:rPr>
        <w:t> </w:t>
      </w:r>
    </w:p>
    <w:p>
      <w:pPr>
        <w:pStyle w:val="BodyText"/>
        <w:rPr>
          <w:b/>
          <w:sz w:val="18"/>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8"/>
          <w:sz w:val="21"/>
        </w:rPr>
        <w:t>俱乐部应满足设置一套 </w:t>
      </w:r>
      <w:r>
        <w:rPr>
          <w:sz w:val="21"/>
        </w:rPr>
        <w:t>KTV</w:t>
      </w:r>
      <w:r>
        <w:rPr>
          <w:spacing w:val="-9"/>
          <w:sz w:val="21"/>
        </w:rPr>
        <w:t> 音响设施的空间要求。</w:t>
      </w:r>
      <w:r>
        <w:rPr>
          <w:b/>
          <w:w w:val="99"/>
          <w:sz w:val="21"/>
        </w:rPr>
        <w:t> </w:t>
      </w:r>
    </w:p>
    <w:p>
      <w:pPr>
        <w:pStyle w:val="BodyText"/>
        <w:spacing w:before="12"/>
        <w:rPr>
          <w:b/>
          <w:sz w:val="17"/>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俱乐部装修应与内部的功能和配套设施相匹配。</w:t>
      </w:r>
      <w:r>
        <w:rPr>
          <w:b/>
          <w:w w:val="99"/>
          <w:sz w:val="21"/>
        </w:rPr>
        <w:t> </w:t>
      </w:r>
    </w:p>
    <w:p>
      <w:pPr>
        <w:pStyle w:val="BodyText"/>
        <w:spacing w:before="2"/>
        <w:rPr>
          <w:b/>
          <w:sz w:val="18"/>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俱乐部的内装修应采取吸声</w:t>
      </w:r>
      <w:r>
        <w:rPr>
          <w:sz w:val="21"/>
        </w:rPr>
        <w:t>（</w:t>
      </w:r>
      <w:r>
        <w:rPr>
          <w:spacing w:val="-2"/>
          <w:sz w:val="21"/>
        </w:rPr>
        <w:t>隔声</w:t>
      </w:r>
      <w:r>
        <w:rPr>
          <w:spacing w:val="-3"/>
          <w:sz w:val="21"/>
        </w:rPr>
        <w:t>）</w:t>
      </w:r>
      <w:r>
        <w:rPr>
          <w:spacing w:val="-2"/>
          <w:sz w:val="21"/>
        </w:rPr>
        <w:t>措施。</w:t>
      </w:r>
      <w:r>
        <w:rPr>
          <w:b/>
          <w:spacing w:val="-2"/>
          <w:w w:val="99"/>
          <w:sz w:val="21"/>
        </w:rPr>
        <w:t> </w:t>
      </w:r>
    </w:p>
    <w:p>
      <w:pPr>
        <w:pStyle w:val="BodyText"/>
        <w:rPr>
          <w:b/>
          <w:sz w:val="18"/>
        </w:rPr>
      </w:pPr>
    </w:p>
    <w:p>
      <w:pPr>
        <w:pStyle w:val="ListParagraph"/>
        <w:numPr>
          <w:ilvl w:val="1"/>
          <w:numId w:val="787"/>
        </w:numPr>
        <w:tabs>
          <w:tab w:pos="1264" w:val="left" w:leader="none"/>
        </w:tabs>
        <w:spacing w:line="240" w:lineRule="auto" w:before="0" w:after="0"/>
        <w:ind w:left="1263" w:right="0" w:hanging="424"/>
        <w:jc w:val="left"/>
        <w:rPr>
          <w:b/>
          <w:sz w:val="21"/>
        </w:rPr>
      </w:pPr>
      <w:r>
        <w:rPr>
          <w:spacing w:val="-3"/>
          <w:sz w:val="21"/>
        </w:rPr>
        <w:t>公众消防宣传教育用房</w:t>
      </w:r>
      <w:r>
        <w:rPr>
          <w:b/>
          <w:spacing w:val="-3"/>
          <w:w w:val="99"/>
          <w:sz w:val="21"/>
        </w:rPr>
        <w:t> </w:t>
      </w:r>
    </w:p>
    <w:p>
      <w:pPr>
        <w:pStyle w:val="BodyText"/>
        <w:spacing w:before="12"/>
        <w:rPr>
          <w:b/>
          <w:sz w:val="17"/>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公众消防宣传教育用房空间大小应结合当地实际情况设置。</w:t>
      </w:r>
      <w:r>
        <w:rPr>
          <w:sz w:val="21"/>
        </w:rPr>
        <w:t> </w:t>
      </w:r>
    </w:p>
    <w:p>
      <w:pPr>
        <w:pStyle w:val="BodyText"/>
        <w:spacing w:before="2"/>
        <w:rPr>
          <w:sz w:val="18"/>
        </w:rPr>
      </w:pPr>
    </w:p>
    <w:p>
      <w:pPr>
        <w:pStyle w:val="ListParagraph"/>
        <w:numPr>
          <w:ilvl w:val="2"/>
          <w:numId w:val="787"/>
        </w:numPr>
        <w:tabs>
          <w:tab w:pos="1478" w:val="left" w:leader="none"/>
        </w:tabs>
        <w:spacing w:line="446" w:lineRule="auto" w:before="0" w:after="0"/>
        <w:ind w:left="418" w:right="1498" w:firstLine="422"/>
        <w:jc w:val="left"/>
        <w:rPr>
          <w:sz w:val="21"/>
        </w:rPr>
      </w:pPr>
      <w:r>
        <w:rPr>
          <w:spacing w:val="-3"/>
          <w:sz w:val="21"/>
        </w:rPr>
        <w:t>公众消防宣传教育用房可设置安全宣传教育区、模拟演习区、火场体验区、多媒体教育区、大火警示区等不同功能分区。</w:t>
      </w:r>
      <w:r>
        <w:rPr>
          <w:sz w:val="21"/>
        </w:rPr>
        <w:t> </w:t>
      </w:r>
    </w:p>
    <w:p>
      <w:pPr>
        <w:pStyle w:val="ListParagraph"/>
        <w:numPr>
          <w:ilvl w:val="2"/>
          <w:numId w:val="787"/>
        </w:numPr>
        <w:tabs>
          <w:tab w:pos="1478" w:val="left" w:leader="none"/>
        </w:tabs>
        <w:spacing w:line="267" w:lineRule="exact" w:before="0" w:after="0"/>
        <w:ind w:left="1477" w:right="0" w:hanging="638"/>
        <w:jc w:val="left"/>
        <w:rPr>
          <w:sz w:val="21"/>
        </w:rPr>
      </w:pPr>
      <w:r>
        <w:rPr>
          <w:spacing w:val="-3"/>
          <w:sz w:val="21"/>
        </w:rPr>
        <w:t>公众宣传教育用房宜设置必要的视频播放设备和音响设施设备。</w:t>
      </w:r>
      <w:r>
        <w:rPr>
          <w:sz w:val="21"/>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公众宣传教育用房的布局应科学合理。</w:t>
      </w:r>
      <w:r>
        <w:rPr>
          <w:sz w:val="21"/>
        </w:rPr>
        <w:t> </w:t>
      </w:r>
    </w:p>
    <w:p>
      <w:pPr>
        <w:pStyle w:val="BodyText"/>
        <w:rPr>
          <w:sz w:val="18"/>
        </w:rPr>
      </w:pPr>
    </w:p>
    <w:p>
      <w:pPr>
        <w:pStyle w:val="ListParagraph"/>
        <w:numPr>
          <w:ilvl w:val="1"/>
          <w:numId w:val="787"/>
        </w:numPr>
        <w:tabs>
          <w:tab w:pos="1264" w:val="left" w:leader="none"/>
        </w:tabs>
        <w:spacing w:line="240" w:lineRule="auto" w:before="0" w:after="0"/>
        <w:ind w:left="1263" w:right="0" w:hanging="424"/>
        <w:jc w:val="left"/>
        <w:rPr>
          <w:b/>
          <w:sz w:val="21"/>
        </w:rPr>
      </w:pPr>
      <w:r>
        <w:rPr>
          <w:spacing w:val="-3"/>
          <w:sz w:val="21"/>
        </w:rPr>
        <w:t>干部备勤室</w:t>
      </w:r>
      <w:r>
        <w:rPr>
          <w:b/>
          <w:w w:val="99"/>
          <w:sz w:val="21"/>
        </w:rPr>
        <w:t> </w:t>
      </w:r>
    </w:p>
    <w:p>
      <w:pPr>
        <w:pStyle w:val="BodyText"/>
        <w:spacing w:before="12"/>
        <w:rPr>
          <w:b/>
          <w:sz w:val="17"/>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干部备勤室的办公和值勤用房可分开设置，且应与消防员备勤室处于同一楼层。</w:t>
      </w:r>
      <w:r>
        <w:rPr>
          <w:sz w:val="21"/>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干部备勤室应设置电话。若办公室和值勤宿舍分开设置时，均应设置电话。 </w:t>
      </w:r>
    </w:p>
    <w:p>
      <w:pPr>
        <w:pStyle w:val="BodyText"/>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干部备勤室应设置两路网络接口。</w:t>
      </w:r>
      <w:r>
        <w:rPr>
          <w:sz w:val="21"/>
        </w:rPr>
        <w:t> </w:t>
      </w:r>
    </w:p>
    <w:p>
      <w:pPr>
        <w:pStyle w:val="BodyText"/>
        <w:spacing w:before="12"/>
        <w:rPr>
          <w:sz w:val="17"/>
        </w:rPr>
      </w:pPr>
    </w:p>
    <w:p>
      <w:pPr>
        <w:pStyle w:val="ListParagraph"/>
        <w:numPr>
          <w:ilvl w:val="1"/>
          <w:numId w:val="787"/>
        </w:numPr>
        <w:tabs>
          <w:tab w:pos="1264" w:val="left" w:leader="none"/>
        </w:tabs>
        <w:spacing w:line="240" w:lineRule="auto" w:before="0" w:after="0"/>
        <w:ind w:left="1263" w:right="0" w:hanging="424"/>
        <w:jc w:val="left"/>
        <w:rPr>
          <w:sz w:val="21"/>
        </w:rPr>
      </w:pPr>
      <w:r>
        <w:rPr>
          <w:spacing w:val="-3"/>
          <w:sz w:val="21"/>
        </w:rPr>
        <w:t>消防员备勤室</w:t>
      </w:r>
      <w:r>
        <w:rPr>
          <w:sz w:val="21"/>
        </w:rPr>
        <w:t> </w:t>
      </w:r>
    </w:p>
    <w:p>
      <w:pPr>
        <w:pStyle w:val="BodyText"/>
        <w:spacing w:before="2"/>
        <w:rPr>
          <w:sz w:val="18"/>
        </w:rPr>
      </w:pPr>
    </w:p>
    <w:p>
      <w:pPr>
        <w:pStyle w:val="ListParagraph"/>
        <w:numPr>
          <w:ilvl w:val="2"/>
          <w:numId w:val="787"/>
        </w:numPr>
        <w:tabs>
          <w:tab w:pos="1530" w:val="left" w:leader="none"/>
        </w:tabs>
        <w:spacing w:line="446" w:lineRule="auto" w:before="0" w:after="0"/>
        <w:ind w:left="418" w:right="1549" w:firstLine="422"/>
        <w:jc w:val="left"/>
        <w:rPr>
          <w:sz w:val="21"/>
        </w:rPr>
      </w:pPr>
      <w:r>
        <w:rPr>
          <w:spacing w:val="-3"/>
          <w:sz w:val="21"/>
        </w:rPr>
        <w:t>消防员备勤室应有良好的朝向，宜靠近卫生间，且应有通往车库的直接通道，通道</w:t>
      </w:r>
      <w:r>
        <w:rPr>
          <w:spacing w:val="-11"/>
          <w:sz w:val="21"/>
        </w:rPr>
        <w:t>净宽不应小于 </w:t>
      </w:r>
      <w:r>
        <w:rPr>
          <w:sz w:val="21"/>
        </w:rPr>
        <w:t>2.0m</w:t>
      </w:r>
      <w:r>
        <w:rPr>
          <w:spacing w:val="-3"/>
          <w:sz w:val="21"/>
        </w:rPr>
        <w:t>。</w:t>
      </w:r>
      <w:r>
        <w:rPr>
          <w:sz w:val="21"/>
        </w:rPr>
        <w:t> </w:t>
      </w:r>
    </w:p>
    <w:p>
      <w:pPr>
        <w:pStyle w:val="ListParagraph"/>
        <w:numPr>
          <w:ilvl w:val="2"/>
          <w:numId w:val="787"/>
        </w:numPr>
        <w:tabs>
          <w:tab w:pos="1530" w:val="left" w:leader="none"/>
        </w:tabs>
        <w:spacing w:line="446" w:lineRule="auto" w:before="0" w:after="0"/>
        <w:ind w:left="418" w:right="1758" w:firstLine="422"/>
        <w:jc w:val="left"/>
        <w:rPr>
          <w:sz w:val="21"/>
        </w:rPr>
      </w:pPr>
      <w:r>
        <w:rPr>
          <w:spacing w:val="-3"/>
          <w:sz w:val="21"/>
        </w:rPr>
        <w:t>消防员备勤室设置在二层时，两侧应有楼梯进入车库，且滑杆不应设置在备勤室内。</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87"/>
        </w:numPr>
        <w:tabs>
          <w:tab w:pos="1478" w:val="left" w:leader="none"/>
        </w:tabs>
        <w:spacing w:line="446" w:lineRule="auto" w:before="47" w:after="0"/>
        <w:ind w:left="418" w:right="1498" w:firstLine="422"/>
        <w:jc w:val="left"/>
        <w:rPr>
          <w:sz w:val="21"/>
        </w:rPr>
      </w:pPr>
      <w:r>
        <w:rPr>
          <w:spacing w:val="-6"/>
          <w:sz w:val="21"/>
        </w:rPr>
        <w:t>消防员备勤室单个房间床位数不宜超过 </w:t>
      </w:r>
      <w:r>
        <w:rPr>
          <w:sz w:val="21"/>
        </w:rPr>
        <w:t>8</w:t>
      </w:r>
      <w:r>
        <w:rPr>
          <w:spacing w:val="-8"/>
          <w:sz w:val="21"/>
        </w:rPr>
        <w:t> 个。条件许可的情况下，宜在消防员备勤</w:t>
      </w:r>
      <w:r>
        <w:rPr>
          <w:spacing w:val="-5"/>
          <w:sz w:val="21"/>
        </w:rPr>
        <w:t>室设置独立的卫生间。</w:t>
      </w:r>
      <w:r>
        <w:rPr>
          <w:sz w:val="21"/>
        </w:rPr>
        <w:t> </w:t>
      </w:r>
    </w:p>
    <w:p>
      <w:pPr>
        <w:pStyle w:val="ListParagraph"/>
        <w:numPr>
          <w:ilvl w:val="2"/>
          <w:numId w:val="787"/>
        </w:numPr>
        <w:tabs>
          <w:tab w:pos="1478" w:val="left" w:leader="none"/>
        </w:tabs>
        <w:spacing w:line="446" w:lineRule="auto" w:before="0" w:after="0"/>
        <w:ind w:left="838" w:right="5761" w:firstLine="2"/>
        <w:jc w:val="left"/>
        <w:rPr>
          <w:b/>
          <w:sz w:val="21"/>
        </w:rPr>
      </w:pPr>
      <w:r>
        <w:rPr>
          <w:spacing w:val="-3"/>
          <w:sz w:val="21"/>
        </w:rPr>
        <w:t>床位布置尺寸应符合下列规定： 两</w:t>
      </w:r>
      <w:r>
        <w:rPr>
          <w:spacing w:val="-7"/>
          <w:sz w:val="21"/>
        </w:rPr>
        <w:t>个单床长边之间的距离不应小于 </w:t>
      </w:r>
      <w:r>
        <w:rPr>
          <w:sz w:val="21"/>
        </w:rPr>
        <w:t>0.60m</w:t>
      </w:r>
      <w:r>
        <w:rPr>
          <w:spacing w:val="2"/>
          <w:sz w:val="21"/>
        </w:rPr>
        <w:t>； 两</w:t>
      </w:r>
      <w:r>
        <w:rPr>
          <w:spacing w:val="-7"/>
          <w:sz w:val="21"/>
        </w:rPr>
        <w:t>床床头之间的距离不应小于 </w:t>
      </w:r>
      <w:r>
        <w:rPr>
          <w:sz w:val="21"/>
        </w:rPr>
        <w:t>0.10m；</w:t>
      </w:r>
      <w:r>
        <w:rPr>
          <w:b/>
          <w:w w:val="99"/>
          <w:sz w:val="21"/>
        </w:rPr>
        <w:t> </w:t>
      </w:r>
    </w:p>
    <w:p>
      <w:pPr>
        <w:pStyle w:val="BodyText"/>
        <w:spacing w:line="446" w:lineRule="auto"/>
        <w:ind w:left="840" w:right="4547" w:hanging="3"/>
      </w:pPr>
      <w:r>
        <w:rPr/>
        <w:t>两排床或床与墙之间的走道宽度不应小于 1.20m。</w:t>
      </w:r>
      <w:r>
        <w:rPr>
          <w:b/>
        </w:rPr>
        <w:t>4.15.5 </w:t>
      </w:r>
      <w:r>
        <w:rPr/>
        <w:t>消防员备勤室内应按人数设固定的个人用衣柜。 </w:t>
      </w:r>
    </w:p>
    <w:p>
      <w:pPr>
        <w:pStyle w:val="BodyText"/>
        <w:spacing w:line="446" w:lineRule="auto"/>
        <w:ind w:left="418" w:right="1498" w:firstLine="422"/>
      </w:pPr>
      <w:r>
        <w:rPr>
          <w:b/>
        </w:rPr>
        <w:t>4.15.6 </w:t>
      </w:r>
      <w:r>
        <w:rPr>
          <w:spacing w:val="-6"/>
        </w:rPr>
        <w:t>在备勤室临近位置宜按每班设置 </w:t>
      </w:r>
      <w:r>
        <w:rPr/>
        <w:t>1</w:t>
      </w:r>
      <w:r>
        <w:rPr>
          <w:spacing w:val="-8"/>
        </w:rPr>
        <w:t> 个学习室。未设置学习室时，可在消防员备勤室</w:t>
      </w:r>
      <w:r>
        <w:rPr>
          <w:spacing w:val="-5"/>
        </w:rPr>
        <w:t>内设置必要的学习专用桌椅。</w:t>
      </w:r>
      <w:r>
        <w:rPr/>
        <w:t> </w:t>
      </w:r>
    </w:p>
    <w:p>
      <w:pPr>
        <w:pStyle w:val="ListParagraph"/>
        <w:numPr>
          <w:ilvl w:val="1"/>
          <w:numId w:val="787"/>
        </w:numPr>
        <w:tabs>
          <w:tab w:pos="1264" w:val="left" w:leader="none"/>
        </w:tabs>
        <w:spacing w:line="240" w:lineRule="auto" w:before="0" w:after="0"/>
        <w:ind w:left="1263" w:right="0" w:hanging="424"/>
        <w:jc w:val="left"/>
        <w:rPr>
          <w:b/>
          <w:sz w:val="21"/>
        </w:rPr>
      </w:pPr>
      <w:r>
        <w:rPr>
          <w:spacing w:val="-3"/>
          <w:sz w:val="21"/>
        </w:rPr>
        <w:t>餐厅、厨房</w:t>
      </w:r>
      <w:r>
        <w:rPr>
          <w:b/>
          <w:w w:val="99"/>
          <w:sz w:val="21"/>
        </w:rPr>
        <w:t> </w:t>
      </w:r>
    </w:p>
    <w:p>
      <w:pPr>
        <w:pStyle w:val="BodyText"/>
        <w:spacing w:before="9"/>
        <w:rPr>
          <w:b/>
          <w:sz w:val="17"/>
        </w:rPr>
      </w:pPr>
    </w:p>
    <w:p>
      <w:pPr>
        <w:pStyle w:val="ListParagraph"/>
        <w:numPr>
          <w:ilvl w:val="2"/>
          <w:numId w:val="787"/>
        </w:numPr>
        <w:tabs>
          <w:tab w:pos="1478" w:val="left" w:leader="none"/>
        </w:tabs>
        <w:spacing w:line="240" w:lineRule="auto" w:before="1" w:after="0"/>
        <w:ind w:left="1477" w:right="0" w:hanging="638"/>
        <w:jc w:val="left"/>
        <w:rPr>
          <w:sz w:val="21"/>
        </w:rPr>
      </w:pPr>
      <w:r>
        <w:rPr>
          <w:spacing w:val="-3"/>
          <w:sz w:val="21"/>
        </w:rPr>
        <w:t>厨房和餐厅宜设置于首层，并宜有通往消防车库的通道。</w:t>
      </w:r>
      <w:r>
        <w:rPr>
          <w:sz w:val="21"/>
        </w:rPr>
        <w:t> </w:t>
      </w:r>
    </w:p>
    <w:p>
      <w:pPr>
        <w:pStyle w:val="BodyText"/>
        <w:spacing w:before="12"/>
        <w:rPr>
          <w:sz w:val="17"/>
        </w:rPr>
      </w:pPr>
    </w:p>
    <w:p>
      <w:pPr>
        <w:pStyle w:val="ListParagraph"/>
        <w:numPr>
          <w:ilvl w:val="2"/>
          <w:numId w:val="787"/>
        </w:numPr>
        <w:tabs>
          <w:tab w:pos="1478" w:val="left" w:leader="none"/>
        </w:tabs>
        <w:spacing w:line="446" w:lineRule="auto" w:before="0" w:after="0"/>
        <w:ind w:left="418" w:right="1498" w:firstLine="422"/>
        <w:jc w:val="left"/>
        <w:rPr>
          <w:sz w:val="21"/>
        </w:rPr>
      </w:pPr>
      <w:r>
        <w:rPr>
          <w:spacing w:val="-3"/>
          <w:sz w:val="21"/>
        </w:rPr>
        <w:t>厨房应在操作间之外分区设置存放蔬菜、肉食的备料间和储存米、面等的食品库， 并应符合国家现行相关标准的规定。</w:t>
      </w:r>
      <w:r>
        <w:rPr>
          <w:sz w:val="21"/>
        </w:rPr>
        <w:t> </w:t>
      </w:r>
    </w:p>
    <w:p>
      <w:pPr>
        <w:pStyle w:val="ListParagraph"/>
        <w:numPr>
          <w:ilvl w:val="2"/>
          <w:numId w:val="787"/>
        </w:numPr>
        <w:tabs>
          <w:tab w:pos="1530" w:val="left" w:leader="none"/>
        </w:tabs>
        <w:spacing w:line="240" w:lineRule="auto" w:before="0" w:after="0"/>
        <w:ind w:left="1529" w:right="0" w:hanging="690"/>
        <w:jc w:val="left"/>
        <w:rPr>
          <w:sz w:val="21"/>
        </w:rPr>
      </w:pPr>
      <w:r>
        <w:rPr>
          <w:spacing w:val="-3"/>
          <w:sz w:val="21"/>
        </w:rPr>
        <w:t>厨房应有直接采光、自然通风，其外窗通风开口面积不应小于该房间地面面积的</w:t>
      </w:r>
    </w:p>
    <w:p>
      <w:pPr>
        <w:pStyle w:val="BodyText"/>
        <w:spacing w:before="2"/>
        <w:rPr>
          <w:sz w:val="17"/>
        </w:rPr>
      </w:pPr>
    </w:p>
    <w:p>
      <w:pPr>
        <w:pStyle w:val="BodyText"/>
        <w:ind w:left="418"/>
      </w:pPr>
      <w:r>
        <w:rPr/>
        <w:t>1/10，且不得小于 0.60m</w:t>
      </w:r>
      <w:r>
        <w:rPr>
          <w:position w:val="11"/>
          <w:sz w:val="11"/>
        </w:rPr>
        <w:t>2</w:t>
      </w:r>
      <w:r>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厨房应有满足设备放置和操作的面积。</w:t>
      </w:r>
      <w:r>
        <w:rPr>
          <w:sz w:val="21"/>
        </w:rPr>
        <w:t> </w:t>
      </w:r>
    </w:p>
    <w:p>
      <w:pPr>
        <w:pStyle w:val="BodyText"/>
        <w:rPr>
          <w:sz w:val="18"/>
        </w:rPr>
      </w:pPr>
    </w:p>
    <w:p>
      <w:pPr>
        <w:pStyle w:val="ListParagraph"/>
        <w:numPr>
          <w:ilvl w:val="2"/>
          <w:numId w:val="787"/>
        </w:numPr>
        <w:tabs>
          <w:tab w:pos="1530" w:val="left" w:leader="none"/>
        </w:tabs>
        <w:spacing w:line="446" w:lineRule="auto" w:before="0" w:after="0"/>
        <w:ind w:left="418" w:right="1549" w:firstLine="422"/>
        <w:jc w:val="left"/>
        <w:rPr>
          <w:sz w:val="21"/>
        </w:rPr>
      </w:pPr>
      <w:r>
        <w:rPr>
          <w:spacing w:val="-3"/>
          <w:sz w:val="21"/>
        </w:rPr>
        <w:t>厨房操作间应设置洗涤池、案台、炉灶、固定式橱柜（或隔板、壁龛</w:t>
      </w:r>
      <w:r>
        <w:rPr>
          <w:sz w:val="21"/>
        </w:rPr>
        <w:t>）</w:t>
      </w:r>
      <w:r>
        <w:rPr>
          <w:spacing w:val="-3"/>
          <w:sz w:val="21"/>
        </w:rPr>
        <w:t>等设施或预留位置。设施布置应符合操作流程，并应有必要的操作空间。</w:t>
      </w:r>
      <w:r>
        <w:rPr>
          <w:sz w:val="21"/>
        </w:rPr>
        <w:t> </w:t>
      </w:r>
    </w:p>
    <w:p>
      <w:pPr>
        <w:pStyle w:val="ListParagraph"/>
        <w:numPr>
          <w:ilvl w:val="2"/>
          <w:numId w:val="787"/>
        </w:numPr>
        <w:tabs>
          <w:tab w:pos="1530" w:val="left" w:leader="none"/>
        </w:tabs>
        <w:spacing w:line="446" w:lineRule="auto" w:before="0" w:after="0"/>
        <w:ind w:left="418" w:right="1549" w:firstLine="422"/>
        <w:jc w:val="left"/>
        <w:rPr>
          <w:sz w:val="21"/>
        </w:rPr>
      </w:pPr>
      <w:r>
        <w:rPr>
          <w:spacing w:val="-3"/>
          <w:sz w:val="21"/>
        </w:rPr>
        <w:t>厨房应有排除油烟、给排水、隔油等设施，墙、地面应能防水，并易于清洁。地面</w:t>
      </w:r>
      <w:r>
        <w:rPr>
          <w:spacing w:val="-7"/>
          <w:sz w:val="21"/>
        </w:rPr>
        <w:t>应防滑，且应比一般房间地面低 </w:t>
      </w:r>
      <w:r>
        <w:rPr>
          <w:sz w:val="21"/>
        </w:rPr>
        <w:t>15mm</w:t>
      </w:r>
      <w:r>
        <w:rPr>
          <w:spacing w:val="-3"/>
          <w:sz w:val="21"/>
        </w:rPr>
        <w:t>。</w:t>
      </w:r>
      <w:r>
        <w:rPr>
          <w:sz w:val="21"/>
        </w:rPr>
        <w:t> </w:t>
      </w:r>
    </w:p>
    <w:p>
      <w:pPr>
        <w:pStyle w:val="ListParagraph"/>
        <w:numPr>
          <w:ilvl w:val="2"/>
          <w:numId w:val="787"/>
        </w:numPr>
        <w:tabs>
          <w:tab w:pos="1478" w:val="left" w:leader="none"/>
        </w:tabs>
        <w:spacing w:line="446" w:lineRule="auto" w:before="0" w:after="0"/>
        <w:ind w:left="418" w:right="1498" w:firstLine="422"/>
        <w:jc w:val="left"/>
        <w:rPr>
          <w:sz w:val="21"/>
        </w:rPr>
      </w:pPr>
      <w:r>
        <w:rPr>
          <w:spacing w:val="-3"/>
          <w:sz w:val="21"/>
        </w:rPr>
        <w:t>餐厅的门宽、高应满足紧急情况下快速出动的要求，并应向外开启，地面应采取一定的防滑措施。</w:t>
      </w:r>
      <w:r>
        <w:rPr>
          <w:sz w:val="21"/>
        </w:rPr>
        <w:t> </w:t>
      </w:r>
    </w:p>
    <w:p>
      <w:pPr>
        <w:pStyle w:val="ListParagraph"/>
        <w:numPr>
          <w:ilvl w:val="2"/>
          <w:numId w:val="787"/>
        </w:numPr>
        <w:tabs>
          <w:tab w:pos="1478" w:val="left" w:leader="none"/>
        </w:tabs>
        <w:spacing w:line="240" w:lineRule="auto" w:before="0" w:after="0"/>
        <w:ind w:left="1477" w:right="0" w:hanging="638"/>
        <w:jc w:val="left"/>
        <w:rPr>
          <w:sz w:val="21"/>
        </w:rPr>
      </w:pPr>
      <w:r>
        <w:rPr>
          <w:spacing w:val="-10"/>
          <w:sz w:val="21"/>
        </w:rPr>
        <w:t>厨房内应当设置 </w:t>
      </w:r>
      <w:r>
        <w:rPr>
          <w:sz w:val="21"/>
        </w:rPr>
        <w:t>380V</w:t>
      </w:r>
      <w:r>
        <w:rPr>
          <w:spacing w:val="-9"/>
          <w:sz w:val="21"/>
        </w:rPr>
        <w:t> 配电箱，并应满足各类用电设备的负荷要求。</w:t>
      </w:r>
      <w:r>
        <w:rPr>
          <w:sz w:val="21"/>
        </w:rPr>
        <w:t> </w:t>
      </w:r>
    </w:p>
    <w:p>
      <w:pPr>
        <w:pStyle w:val="BodyText"/>
        <w:spacing w:before="10"/>
        <w:rPr>
          <w:sz w:val="17"/>
        </w:rPr>
      </w:pPr>
    </w:p>
    <w:p>
      <w:pPr>
        <w:pStyle w:val="ListParagraph"/>
        <w:numPr>
          <w:ilvl w:val="1"/>
          <w:numId w:val="787"/>
        </w:numPr>
        <w:tabs>
          <w:tab w:pos="1264" w:val="left" w:leader="none"/>
        </w:tabs>
        <w:spacing w:line="240" w:lineRule="auto" w:before="0" w:after="0"/>
        <w:ind w:left="1263" w:right="0" w:hanging="424"/>
        <w:jc w:val="left"/>
        <w:rPr>
          <w:sz w:val="21"/>
        </w:rPr>
      </w:pPr>
      <w:r>
        <w:rPr>
          <w:spacing w:val="-3"/>
          <w:sz w:val="21"/>
        </w:rPr>
        <w:t>家属探亲用房</w:t>
      </w:r>
      <w:r>
        <w:rPr>
          <w:sz w:val="21"/>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家属探亲用房宜布置在不影响执勤备战和业务训练的部位。</w:t>
      </w:r>
      <w:r>
        <w:rPr>
          <w:b/>
          <w:w w:val="99"/>
          <w:sz w:val="21"/>
        </w:rPr>
        <w:t> </w:t>
      </w:r>
    </w:p>
    <w:p>
      <w:pPr>
        <w:pStyle w:val="BodyText"/>
        <w:rPr>
          <w:b/>
          <w:sz w:val="18"/>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家属探亲用房内应设有独立卫生间。</w:t>
      </w:r>
      <w:r>
        <w:rPr>
          <w:b/>
          <w:w w:val="99"/>
          <w:sz w:val="21"/>
        </w:rPr>
        <w:t> </w:t>
      </w:r>
    </w:p>
    <w:p>
      <w:pPr>
        <w:pStyle w:val="BodyText"/>
        <w:spacing w:before="12"/>
        <w:rPr>
          <w:b/>
          <w:sz w:val="17"/>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家属探亲用房内宜设置电话、互联网和有线电视接口。</w:t>
      </w:r>
      <w:r>
        <w:rPr>
          <w:b/>
          <w:w w:val="99"/>
          <w:sz w:val="21"/>
        </w:rPr>
        <w:t> </w:t>
      </w:r>
    </w:p>
    <w:p>
      <w:pPr>
        <w:pStyle w:val="BodyText"/>
        <w:spacing w:before="5"/>
        <w:rPr>
          <w:b/>
          <w:sz w:val="17"/>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9"/>
          <w:sz w:val="21"/>
        </w:rPr>
        <w:t>家属探亲用房宜按 </w:t>
      </w:r>
      <w:r>
        <w:rPr>
          <w:sz w:val="21"/>
        </w:rPr>
        <w:t>20m</w:t>
      </w:r>
      <w:r>
        <w:rPr>
          <w:position w:val="11"/>
          <w:sz w:val="11"/>
        </w:rPr>
        <w:t>2</w:t>
      </w:r>
      <w:r>
        <w:rPr>
          <w:spacing w:val="-29"/>
          <w:position w:val="11"/>
          <w:sz w:val="11"/>
        </w:rPr>
        <w:t> </w:t>
      </w:r>
      <w:r>
        <w:rPr>
          <w:spacing w:val="-3"/>
          <w:sz w:val="21"/>
        </w:rPr>
        <w:t>一间设置。</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1"/>
          <w:numId w:val="787"/>
        </w:numPr>
        <w:tabs>
          <w:tab w:pos="1264" w:val="left" w:leader="none"/>
        </w:tabs>
        <w:spacing w:line="240" w:lineRule="auto" w:before="47" w:after="0"/>
        <w:ind w:left="1263" w:right="0" w:hanging="424"/>
        <w:jc w:val="left"/>
        <w:rPr>
          <w:sz w:val="21"/>
        </w:rPr>
      </w:pPr>
      <w:r>
        <w:rPr>
          <w:spacing w:val="-3"/>
          <w:sz w:val="21"/>
        </w:rPr>
        <w:t>浴室</w:t>
      </w:r>
      <w:r>
        <w:rPr>
          <w:sz w:val="21"/>
        </w:rPr>
        <w:t> </w:t>
      </w:r>
    </w:p>
    <w:p>
      <w:pPr>
        <w:pStyle w:val="BodyText"/>
        <w:rPr>
          <w:sz w:val="18"/>
        </w:rPr>
      </w:pPr>
    </w:p>
    <w:p>
      <w:pPr>
        <w:pStyle w:val="ListParagraph"/>
        <w:numPr>
          <w:ilvl w:val="2"/>
          <w:numId w:val="787"/>
        </w:numPr>
        <w:tabs>
          <w:tab w:pos="1478" w:val="left" w:leader="none"/>
        </w:tabs>
        <w:spacing w:line="446" w:lineRule="auto" w:before="0" w:after="0"/>
        <w:ind w:left="418" w:right="1601" w:firstLine="422"/>
        <w:jc w:val="left"/>
        <w:rPr>
          <w:sz w:val="21"/>
        </w:rPr>
      </w:pPr>
      <w:r>
        <w:rPr>
          <w:spacing w:val="-3"/>
          <w:sz w:val="21"/>
        </w:rPr>
        <w:t>浴室应与备勤室处于同一楼层，浴室内喷淋头数量应能满足两个班同时洗浴的要求。</w:t>
      </w:r>
      <w:r>
        <w:rPr>
          <w:sz w:val="21"/>
        </w:rPr>
        <w:t> </w:t>
      </w: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浴室内应设有独立的更衣区域。</w:t>
      </w:r>
      <w:r>
        <w:rPr>
          <w:sz w:val="21"/>
        </w:rPr>
        <w:t> </w:t>
      </w:r>
    </w:p>
    <w:p>
      <w:pPr>
        <w:pStyle w:val="BodyText"/>
        <w:spacing w:before="12"/>
        <w:rPr>
          <w:sz w:val="17"/>
        </w:rPr>
      </w:pPr>
    </w:p>
    <w:p>
      <w:pPr>
        <w:pStyle w:val="ListParagraph"/>
        <w:numPr>
          <w:ilvl w:val="2"/>
          <w:numId w:val="787"/>
        </w:numPr>
        <w:tabs>
          <w:tab w:pos="1478" w:val="left" w:leader="none"/>
        </w:tabs>
        <w:spacing w:line="446" w:lineRule="auto" w:before="0" w:after="0"/>
        <w:ind w:left="418" w:right="1551" w:firstLine="422"/>
        <w:jc w:val="left"/>
        <w:rPr>
          <w:sz w:val="21"/>
        </w:rPr>
      </w:pPr>
      <w:r>
        <w:rPr>
          <w:spacing w:val="-5"/>
          <w:sz w:val="21"/>
        </w:rPr>
        <w:t>外开门淋浴隔间的平面尺寸不应小于 </w:t>
      </w:r>
      <w:r>
        <w:rPr>
          <w:sz w:val="21"/>
        </w:rPr>
        <w:t>1.00m×1.20m</w:t>
      </w:r>
      <w:r>
        <w:rPr>
          <w:spacing w:val="-3"/>
          <w:sz w:val="21"/>
        </w:rPr>
        <w:t>。</w:t>
      </w:r>
      <w:r>
        <w:rPr>
          <w:sz w:val="21"/>
        </w:rPr>
        <w:t>（</w:t>
      </w:r>
      <w:r>
        <w:rPr>
          <w:spacing w:val="-3"/>
          <w:sz w:val="21"/>
        </w:rPr>
        <w:t>宽度×深度</w:t>
      </w:r>
      <w:r>
        <w:rPr>
          <w:sz w:val="21"/>
        </w:rPr>
        <w:t>）；</w:t>
      </w:r>
      <w:r>
        <w:rPr>
          <w:spacing w:val="-3"/>
          <w:sz w:val="21"/>
        </w:rPr>
        <w:t>内设更衣凳</w:t>
      </w:r>
      <w:r>
        <w:rPr>
          <w:spacing w:val="-7"/>
          <w:sz w:val="21"/>
        </w:rPr>
        <w:t>的淋浴隔间的平面尺寸不应小于 </w:t>
      </w:r>
      <w:r>
        <w:rPr>
          <w:sz w:val="21"/>
        </w:rPr>
        <w:t>1.00m×1.60m（</w:t>
      </w:r>
      <w:r>
        <w:rPr>
          <w:spacing w:val="-2"/>
          <w:sz w:val="21"/>
        </w:rPr>
        <w:t>宽度×深度</w:t>
      </w:r>
      <w:r>
        <w:rPr>
          <w:sz w:val="21"/>
        </w:rPr>
        <w:t>）</w:t>
      </w:r>
      <w:r>
        <w:rPr>
          <w:spacing w:val="-3"/>
          <w:sz w:val="21"/>
        </w:rPr>
        <w:t>。</w:t>
      </w:r>
      <w:r>
        <w:rPr>
          <w:sz w:val="21"/>
        </w:rPr>
        <w:t> </w:t>
      </w: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浴室内的冷、热水供应以及水压和水量应能满足所有喷淋头同时使用的要求。 </w:t>
      </w:r>
    </w:p>
    <w:p>
      <w:pPr>
        <w:pStyle w:val="BodyText"/>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室内上下水管和浴室顶棚应防冷凝水下滴，浴室热水管应采取防止烫伤措施。 </w:t>
      </w:r>
    </w:p>
    <w:p>
      <w:pPr>
        <w:pStyle w:val="BodyText"/>
        <w:rPr>
          <w:sz w:val="18"/>
        </w:rPr>
      </w:pPr>
    </w:p>
    <w:p>
      <w:pPr>
        <w:pStyle w:val="ListParagraph"/>
        <w:numPr>
          <w:ilvl w:val="2"/>
          <w:numId w:val="787"/>
        </w:numPr>
        <w:tabs>
          <w:tab w:pos="1478" w:val="left" w:leader="none"/>
        </w:tabs>
        <w:spacing w:line="446" w:lineRule="auto" w:before="0" w:after="0"/>
        <w:ind w:left="418" w:right="1496" w:firstLine="422"/>
        <w:jc w:val="left"/>
        <w:rPr>
          <w:sz w:val="21"/>
        </w:rPr>
      </w:pPr>
      <w:r>
        <w:rPr>
          <w:spacing w:val="-4"/>
          <w:sz w:val="21"/>
        </w:rPr>
        <w:t>地面、地面沟槽、管道穿楼板及楼板接墙面处应防水、防渗漏；离地高度 </w:t>
      </w:r>
      <w:r>
        <w:rPr>
          <w:sz w:val="21"/>
        </w:rPr>
        <w:t>1.8m</w:t>
      </w:r>
      <w:r>
        <w:rPr>
          <w:spacing w:val="-12"/>
          <w:sz w:val="21"/>
        </w:rPr>
        <w:t> 以下</w:t>
      </w:r>
      <w:r>
        <w:rPr>
          <w:spacing w:val="-5"/>
          <w:sz w:val="21"/>
        </w:rPr>
        <w:t>的墙面应做防水处理。</w:t>
      </w:r>
      <w:r>
        <w:rPr>
          <w:sz w:val="21"/>
        </w:rPr>
        <w:t> </w:t>
      </w: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地面、墙面或墙裙的面层应采用不吸水、不吸污、耐腐蚀、易清洗的材料。 </w:t>
      </w:r>
    </w:p>
    <w:p>
      <w:pPr>
        <w:pStyle w:val="BodyText"/>
        <w:spacing w:before="12"/>
        <w:rPr>
          <w:sz w:val="17"/>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地面应防滑，地面标高宜低于走道标高，并应有坡度坡向地漏或水沟。 </w:t>
      </w:r>
      <w:r>
        <w:rPr>
          <w:spacing w:val="-2"/>
          <w:sz w:val="21"/>
        </w:rPr>
        <w:t> </w:t>
      </w:r>
      <w:r>
        <w:rPr>
          <w:w w:val="100"/>
          <w:sz w:val="21"/>
        </w:rPr>
        <w:t> </w:t>
      </w:r>
      <w:r>
        <w:rPr>
          <w:sz w:val="21"/>
        </w:rPr>
        <w:t> </w:t>
      </w:r>
      <w:r>
        <w:rPr>
          <w:w w:val="100"/>
          <w:sz w:val="21"/>
        </w:rPr>
        <w:t> </w:t>
      </w:r>
      <w:r>
        <w:rPr>
          <w:spacing w:val="-2"/>
          <w:sz w:val="21"/>
        </w:rPr>
        <w:t> </w:t>
      </w:r>
      <w:r>
        <w:rPr>
          <w:w w:val="100"/>
          <w:sz w:val="21"/>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浴室天花板应使用防水型材料。</w:t>
      </w:r>
      <w:r>
        <w:rPr>
          <w:sz w:val="21"/>
        </w:rPr>
        <w:t> </w:t>
      </w:r>
    </w:p>
    <w:p>
      <w:pPr>
        <w:pStyle w:val="BodyText"/>
        <w:rPr>
          <w:sz w:val="18"/>
        </w:rPr>
      </w:pPr>
    </w:p>
    <w:p>
      <w:pPr>
        <w:pStyle w:val="ListParagraph"/>
        <w:numPr>
          <w:ilvl w:val="2"/>
          <w:numId w:val="787"/>
        </w:numPr>
        <w:tabs>
          <w:tab w:pos="1583" w:val="left" w:leader="none"/>
        </w:tabs>
        <w:spacing w:line="240" w:lineRule="auto" w:before="0" w:after="0"/>
        <w:ind w:left="1582" w:right="0" w:hanging="743"/>
        <w:jc w:val="left"/>
        <w:rPr>
          <w:sz w:val="21"/>
        </w:rPr>
      </w:pPr>
      <w:r>
        <w:rPr>
          <w:spacing w:val="-3"/>
          <w:sz w:val="21"/>
        </w:rPr>
        <w:t>浴室内应设置必要的取暖、通风和给排水设施。</w:t>
      </w:r>
      <w:r>
        <w:rPr>
          <w:sz w:val="21"/>
        </w:rPr>
        <w:t> </w:t>
      </w:r>
    </w:p>
    <w:p>
      <w:pPr>
        <w:pStyle w:val="BodyText"/>
        <w:spacing w:before="12"/>
        <w:rPr>
          <w:sz w:val="17"/>
        </w:rPr>
      </w:pPr>
    </w:p>
    <w:p>
      <w:pPr>
        <w:pStyle w:val="ListParagraph"/>
        <w:numPr>
          <w:ilvl w:val="2"/>
          <w:numId w:val="787"/>
        </w:numPr>
        <w:tabs>
          <w:tab w:pos="1583" w:val="left" w:leader="none"/>
        </w:tabs>
        <w:spacing w:line="446" w:lineRule="auto" w:before="0" w:after="0"/>
        <w:ind w:left="418" w:right="1601" w:firstLine="422"/>
        <w:jc w:val="left"/>
        <w:rPr>
          <w:b/>
          <w:sz w:val="21"/>
        </w:rPr>
      </w:pPr>
      <w:r>
        <w:rPr>
          <w:spacing w:val="-3"/>
          <w:sz w:val="21"/>
        </w:rPr>
        <w:t>浴室内应采取局部等电位联结措施，所有金属管道和金属构件应与局部等电位端子箱可靠连接。</w:t>
      </w:r>
      <w:r>
        <w:rPr>
          <w:b/>
          <w:w w:val="99"/>
          <w:sz w:val="21"/>
        </w:rPr>
        <w:t> </w:t>
      </w:r>
    </w:p>
    <w:p>
      <w:pPr>
        <w:pStyle w:val="ListParagraph"/>
        <w:numPr>
          <w:ilvl w:val="1"/>
          <w:numId w:val="787"/>
        </w:numPr>
        <w:tabs>
          <w:tab w:pos="1266" w:val="left" w:leader="none"/>
        </w:tabs>
        <w:spacing w:line="240" w:lineRule="auto" w:before="0" w:after="0"/>
        <w:ind w:left="1265" w:right="0" w:hanging="426"/>
        <w:jc w:val="left"/>
        <w:rPr>
          <w:sz w:val="21"/>
        </w:rPr>
      </w:pPr>
      <w:r>
        <w:rPr>
          <w:spacing w:val="-3"/>
          <w:sz w:val="21"/>
        </w:rPr>
        <w:t>锅炉房</w:t>
      </w:r>
      <w:r>
        <w:rPr>
          <w:sz w:val="21"/>
        </w:rPr>
        <w:t> </w:t>
      </w:r>
    </w:p>
    <w:p>
      <w:pPr>
        <w:pStyle w:val="BodyText"/>
        <w:spacing w:before="12"/>
        <w:rPr>
          <w:sz w:val="17"/>
        </w:rPr>
      </w:pPr>
    </w:p>
    <w:p>
      <w:pPr>
        <w:pStyle w:val="ListParagraph"/>
        <w:numPr>
          <w:ilvl w:val="2"/>
          <w:numId w:val="787"/>
        </w:numPr>
        <w:tabs>
          <w:tab w:pos="1478" w:val="left" w:leader="none"/>
        </w:tabs>
        <w:spacing w:line="240" w:lineRule="auto" w:before="1" w:after="0"/>
        <w:ind w:left="1477" w:right="0" w:hanging="638"/>
        <w:jc w:val="left"/>
        <w:rPr>
          <w:sz w:val="21"/>
        </w:rPr>
      </w:pPr>
      <w:r>
        <w:rPr>
          <w:spacing w:val="-3"/>
          <w:sz w:val="21"/>
        </w:rPr>
        <w:t>在采暖地区的消防站当无城市热网时可设置锅炉房。</w:t>
      </w:r>
      <w:r>
        <w:rPr>
          <w:sz w:val="21"/>
        </w:rPr>
        <w:t> </w:t>
      </w:r>
    </w:p>
    <w:p>
      <w:pPr>
        <w:pStyle w:val="BodyText"/>
        <w:spacing w:before="1"/>
        <w:rPr>
          <w:sz w:val="18"/>
        </w:rPr>
      </w:pPr>
    </w:p>
    <w:p>
      <w:pPr>
        <w:pStyle w:val="ListParagraph"/>
        <w:numPr>
          <w:ilvl w:val="2"/>
          <w:numId w:val="787"/>
        </w:numPr>
        <w:tabs>
          <w:tab w:pos="1478" w:val="left" w:leader="none"/>
        </w:tabs>
        <w:spacing w:line="446" w:lineRule="auto" w:before="0" w:after="0"/>
        <w:ind w:left="418" w:right="1445" w:firstLine="422"/>
        <w:jc w:val="left"/>
        <w:rPr>
          <w:sz w:val="21"/>
        </w:rPr>
      </w:pPr>
      <w:r>
        <w:rPr>
          <w:spacing w:val="-3"/>
          <w:sz w:val="21"/>
        </w:rPr>
        <w:t>锅炉房的位置选址及设计应符合现行国家标准《锅炉房设计规范》</w:t>
      </w:r>
      <w:r>
        <w:rPr>
          <w:sz w:val="21"/>
        </w:rPr>
        <w:t>GB</w:t>
      </w:r>
      <w:r>
        <w:rPr>
          <w:spacing w:val="12"/>
          <w:sz w:val="21"/>
        </w:rPr>
        <w:t> </w:t>
      </w:r>
      <w:r>
        <w:rPr>
          <w:sz w:val="21"/>
        </w:rPr>
        <w:t>50041</w:t>
      </w:r>
      <w:r>
        <w:rPr>
          <w:spacing w:val="-13"/>
          <w:sz w:val="21"/>
        </w:rPr>
        <w:t> 的有关</w:t>
      </w:r>
      <w:r>
        <w:rPr>
          <w:spacing w:val="-10"/>
          <w:sz w:val="21"/>
        </w:rPr>
        <w:t>规定。</w:t>
      </w:r>
      <w:r>
        <w:rPr>
          <w:sz w:val="21"/>
        </w:rPr>
        <w:t> </w:t>
      </w:r>
    </w:p>
    <w:p>
      <w:pPr>
        <w:pStyle w:val="ListParagraph"/>
        <w:numPr>
          <w:ilvl w:val="1"/>
          <w:numId w:val="787"/>
        </w:numPr>
        <w:tabs>
          <w:tab w:pos="1264" w:val="left" w:leader="none"/>
        </w:tabs>
        <w:spacing w:line="267" w:lineRule="exact" w:before="0" w:after="0"/>
        <w:ind w:left="1263" w:right="0" w:hanging="424"/>
        <w:jc w:val="left"/>
        <w:rPr>
          <w:sz w:val="21"/>
        </w:rPr>
      </w:pPr>
      <w:r>
        <w:rPr>
          <w:spacing w:val="-3"/>
          <w:sz w:val="21"/>
        </w:rPr>
        <w:t>心理辅导室</w:t>
      </w:r>
      <w:r>
        <w:rPr>
          <w:sz w:val="21"/>
        </w:rPr>
        <w:t> </w:t>
      </w:r>
    </w:p>
    <w:p>
      <w:pPr>
        <w:pStyle w:val="BodyText"/>
        <w:spacing w:before="2"/>
        <w:rPr>
          <w:sz w:val="18"/>
        </w:rPr>
      </w:pPr>
    </w:p>
    <w:p>
      <w:pPr>
        <w:pStyle w:val="ListParagraph"/>
        <w:numPr>
          <w:ilvl w:val="2"/>
          <w:numId w:val="787"/>
        </w:numPr>
        <w:tabs>
          <w:tab w:pos="1530" w:val="left" w:leader="none"/>
        </w:tabs>
        <w:spacing w:line="446" w:lineRule="auto" w:before="0" w:after="0"/>
        <w:ind w:left="840" w:right="1604" w:firstLine="0"/>
        <w:jc w:val="left"/>
        <w:rPr>
          <w:sz w:val="21"/>
        </w:rPr>
      </w:pPr>
      <w:r>
        <w:rPr>
          <w:spacing w:val="-3"/>
          <w:sz w:val="21"/>
        </w:rPr>
        <w:t>心理辅导室选址应本着安静和方便的原则，选择采光、通风条件良好的地方。</w:t>
      </w:r>
      <w:r>
        <w:rPr>
          <w:b/>
          <w:spacing w:val="-3"/>
          <w:sz w:val="21"/>
        </w:rPr>
        <w:t>4.20.2</w:t>
      </w:r>
      <w:r>
        <w:rPr>
          <w:b/>
          <w:spacing w:val="19"/>
          <w:sz w:val="21"/>
        </w:rPr>
        <w:t> </w:t>
      </w:r>
      <w:r>
        <w:rPr>
          <w:spacing w:val="-3"/>
          <w:sz w:val="21"/>
        </w:rPr>
        <w:t>心理辅导室应根据功能分区，可包括心理检测区、个体咨询区、情绪疏导区等。</w:t>
      </w:r>
      <w:r>
        <w:rPr>
          <w:b/>
          <w:sz w:val="21"/>
        </w:rPr>
        <w:t>4.20.3</w:t>
      </w:r>
      <w:r>
        <w:rPr>
          <w:b/>
          <w:spacing w:val="2"/>
          <w:sz w:val="21"/>
        </w:rPr>
        <w:t> </w:t>
      </w:r>
      <w:r>
        <w:rPr>
          <w:spacing w:val="-3"/>
          <w:sz w:val="21"/>
        </w:rPr>
        <w:t>心理辅导室的颜色选择和设备配置应符合心理辅导者的心理特点。 </w:t>
      </w:r>
    </w:p>
    <w:p>
      <w:pPr>
        <w:pStyle w:val="ListParagraph"/>
        <w:numPr>
          <w:ilvl w:val="1"/>
          <w:numId w:val="787"/>
        </w:numPr>
        <w:tabs>
          <w:tab w:pos="1264" w:val="left" w:leader="none"/>
        </w:tabs>
        <w:spacing w:line="268" w:lineRule="exact" w:before="0" w:after="0"/>
        <w:ind w:left="1263" w:right="0" w:hanging="424"/>
        <w:jc w:val="left"/>
        <w:rPr>
          <w:b/>
          <w:sz w:val="21"/>
        </w:rPr>
      </w:pPr>
      <w:r>
        <w:rPr>
          <w:spacing w:val="-3"/>
          <w:sz w:val="21"/>
        </w:rPr>
        <w:t>晾衣室</w:t>
      </w:r>
      <w:r>
        <w:rPr>
          <w:sz w:val="21"/>
        </w:rPr>
        <w:t>（</w:t>
      </w:r>
      <w:r>
        <w:rPr>
          <w:spacing w:val="-3"/>
          <w:sz w:val="21"/>
        </w:rPr>
        <w:t>场）</w:t>
      </w:r>
      <w:r>
        <w:rPr>
          <w:b/>
          <w:w w:val="99"/>
          <w:sz w:val="21"/>
        </w:rPr>
        <w:t> </w:t>
      </w:r>
    </w:p>
    <w:p>
      <w:pPr>
        <w:pStyle w:val="BodyText"/>
        <w:rPr>
          <w:b/>
          <w:sz w:val="18"/>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晾衣室</w:t>
      </w:r>
      <w:r>
        <w:rPr>
          <w:sz w:val="21"/>
        </w:rPr>
        <w:t>（</w:t>
      </w:r>
      <w:r>
        <w:rPr>
          <w:spacing w:val="-3"/>
          <w:sz w:val="21"/>
        </w:rPr>
        <w:t>场</w:t>
      </w:r>
      <w:r>
        <w:rPr>
          <w:sz w:val="21"/>
        </w:rPr>
        <w:t>）</w:t>
      </w:r>
      <w:r>
        <w:rPr>
          <w:spacing w:val="-3"/>
          <w:sz w:val="21"/>
        </w:rPr>
        <w:t>宜靠近盥洗室，并应有良好的采光及通风。</w:t>
      </w:r>
      <w:r>
        <w:rPr>
          <w:b/>
          <w:w w:val="99"/>
          <w:sz w:val="21"/>
        </w:rPr>
        <w:t> </w:t>
      </w:r>
    </w:p>
    <w:p>
      <w:pPr>
        <w:pStyle w:val="BodyText"/>
        <w:rPr>
          <w:b/>
          <w:sz w:val="18"/>
        </w:rPr>
      </w:pPr>
    </w:p>
    <w:p>
      <w:pPr>
        <w:pStyle w:val="ListParagraph"/>
        <w:numPr>
          <w:ilvl w:val="2"/>
          <w:numId w:val="787"/>
        </w:numPr>
        <w:tabs>
          <w:tab w:pos="1478" w:val="left" w:leader="none"/>
        </w:tabs>
        <w:spacing w:line="240" w:lineRule="auto" w:before="0" w:after="0"/>
        <w:ind w:left="1477" w:right="0" w:hanging="638"/>
        <w:jc w:val="left"/>
        <w:rPr>
          <w:b/>
          <w:sz w:val="21"/>
        </w:rPr>
      </w:pPr>
      <w:r>
        <w:rPr>
          <w:spacing w:val="-3"/>
          <w:sz w:val="21"/>
        </w:rPr>
        <w:t>晾衣室</w:t>
      </w:r>
      <w:r>
        <w:rPr>
          <w:sz w:val="21"/>
        </w:rPr>
        <w:t>（</w:t>
      </w:r>
      <w:r>
        <w:rPr>
          <w:spacing w:val="-3"/>
          <w:sz w:val="21"/>
        </w:rPr>
        <w:t>场</w:t>
      </w:r>
      <w:r>
        <w:rPr>
          <w:sz w:val="21"/>
        </w:rPr>
        <w:t>）</w:t>
      </w:r>
      <w:r>
        <w:rPr>
          <w:spacing w:val="-3"/>
          <w:sz w:val="21"/>
        </w:rPr>
        <w:t>的地面应采取必要的防水和排水措施。</w:t>
      </w:r>
      <w:r>
        <w:rPr>
          <w:b/>
          <w:w w:val="99"/>
          <w:sz w:val="21"/>
        </w:rPr>
        <w:t> </w:t>
      </w:r>
    </w:p>
    <w:p>
      <w:pPr>
        <w:pStyle w:val="BodyText"/>
        <w:spacing w:before="1"/>
        <w:rPr>
          <w:b/>
          <w:sz w:val="18"/>
        </w:rPr>
      </w:pPr>
    </w:p>
    <w:p>
      <w:pPr>
        <w:pStyle w:val="ListParagraph"/>
        <w:numPr>
          <w:ilvl w:val="2"/>
          <w:numId w:val="787"/>
        </w:numPr>
        <w:tabs>
          <w:tab w:pos="1478" w:val="left" w:leader="none"/>
        </w:tabs>
        <w:spacing w:line="240" w:lineRule="auto" w:before="1" w:after="0"/>
        <w:ind w:left="1477" w:right="0" w:hanging="638"/>
        <w:jc w:val="left"/>
        <w:rPr>
          <w:b/>
          <w:sz w:val="21"/>
        </w:rPr>
      </w:pPr>
      <w:r>
        <w:rPr>
          <w:spacing w:val="-3"/>
          <w:sz w:val="21"/>
        </w:rPr>
        <w:t>晾衣场应设置衣物晾晒架。</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787"/>
        </w:numPr>
        <w:tabs>
          <w:tab w:pos="1478" w:val="left" w:leader="none"/>
        </w:tabs>
        <w:spacing w:line="240" w:lineRule="auto" w:before="47" w:after="0"/>
        <w:ind w:left="1477" w:right="0" w:hanging="638"/>
        <w:jc w:val="left"/>
        <w:rPr>
          <w:b/>
          <w:sz w:val="21"/>
        </w:rPr>
      </w:pPr>
      <w:r>
        <w:rPr>
          <w:spacing w:val="-3"/>
          <w:sz w:val="21"/>
        </w:rPr>
        <w:t>晾衣场应设置防雨设施。寒冷地区的晾衣场应有封闭设施。</w:t>
      </w:r>
      <w:r>
        <w:rPr>
          <w:b/>
          <w:w w:val="99"/>
          <w:sz w:val="21"/>
        </w:rPr>
        <w:t> </w:t>
      </w:r>
    </w:p>
    <w:p>
      <w:pPr>
        <w:pStyle w:val="BodyText"/>
        <w:rPr>
          <w:b/>
          <w:sz w:val="18"/>
        </w:rPr>
      </w:pPr>
    </w:p>
    <w:p>
      <w:pPr>
        <w:pStyle w:val="ListParagraph"/>
        <w:numPr>
          <w:ilvl w:val="1"/>
          <w:numId w:val="787"/>
        </w:numPr>
        <w:tabs>
          <w:tab w:pos="1266" w:val="left" w:leader="none"/>
        </w:tabs>
        <w:spacing w:line="240" w:lineRule="auto" w:before="0" w:after="0"/>
        <w:ind w:left="1265" w:right="0" w:hanging="426"/>
        <w:jc w:val="left"/>
        <w:rPr>
          <w:sz w:val="21"/>
        </w:rPr>
      </w:pPr>
      <w:r>
        <w:rPr>
          <w:spacing w:val="-3"/>
          <w:sz w:val="21"/>
        </w:rPr>
        <w:t>贮藏室、盥洗室</w:t>
      </w:r>
      <w:r>
        <w:rPr>
          <w:sz w:val="21"/>
        </w:rPr>
        <w:t> </w:t>
      </w:r>
    </w:p>
    <w:p>
      <w:pPr>
        <w:pStyle w:val="BodyText"/>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贮藏室应有良好的通风，并应保持干燥。</w:t>
      </w:r>
      <w:r>
        <w:rPr>
          <w:sz w:val="21"/>
        </w:rPr>
        <w:t> </w:t>
      </w:r>
    </w:p>
    <w:p>
      <w:pPr>
        <w:pStyle w:val="BodyText"/>
        <w:spacing w:before="1"/>
        <w:rPr>
          <w:sz w:val="18"/>
        </w:rPr>
      </w:pPr>
    </w:p>
    <w:p>
      <w:pPr>
        <w:pStyle w:val="ListParagraph"/>
        <w:numPr>
          <w:ilvl w:val="2"/>
          <w:numId w:val="787"/>
        </w:numPr>
        <w:tabs>
          <w:tab w:pos="1478" w:val="left" w:leader="none"/>
        </w:tabs>
        <w:spacing w:line="240" w:lineRule="auto" w:before="1" w:after="0"/>
        <w:ind w:left="1477" w:right="0" w:hanging="638"/>
        <w:jc w:val="left"/>
        <w:rPr>
          <w:sz w:val="21"/>
        </w:rPr>
      </w:pPr>
      <w:r>
        <w:rPr>
          <w:spacing w:val="-3"/>
          <w:sz w:val="21"/>
        </w:rPr>
        <w:t>盥洗室、厕所应与消防员备勤室处于同一楼层，且应符合下列规定： </w:t>
      </w:r>
    </w:p>
    <w:p>
      <w:pPr>
        <w:pStyle w:val="BodyText"/>
        <w:spacing w:before="12"/>
        <w:rPr>
          <w:sz w:val="17"/>
        </w:rPr>
      </w:pPr>
    </w:p>
    <w:p>
      <w:pPr>
        <w:pStyle w:val="BodyText"/>
        <w:spacing w:line="446" w:lineRule="auto"/>
        <w:ind w:left="418" w:right="1817" w:firstLine="419"/>
      </w:pPr>
      <w:r>
        <w:rPr/>
        <w:t>不应直接布置在餐厅、医疗室、变配电室等有严格卫生要求或防水、防潮要求用房的上层； </w:t>
      </w:r>
    </w:p>
    <w:p>
      <w:pPr>
        <w:pStyle w:val="BodyText"/>
        <w:ind w:left="838"/>
      </w:pPr>
      <w:r>
        <w:rPr/>
        <w:t>卫生设备配置的数量应符合专用建筑设计规范的规定； </w:t>
      </w:r>
    </w:p>
    <w:p>
      <w:pPr>
        <w:pStyle w:val="BodyText"/>
        <w:rPr>
          <w:sz w:val="18"/>
        </w:rPr>
      </w:pPr>
    </w:p>
    <w:p>
      <w:pPr>
        <w:pStyle w:val="BodyText"/>
        <w:spacing w:line="446" w:lineRule="auto"/>
        <w:ind w:left="418" w:right="1609" w:firstLine="419"/>
      </w:pPr>
      <w:r>
        <w:rPr/>
        <w:t>卫生用房宜有天然采光和不向邻室对流的自然通风，无直接自然通风和严寒及寒冷地区用房宜设自然通风道；当自然通风不能满足通风换气要求时，应采用机械通风； </w:t>
      </w:r>
    </w:p>
    <w:p>
      <w:pPr>
        <w:pStyle w:val="BodyText"/>
        <w:spacing w:line="446" w:lineRule="auto"/>
        <w:ind w:left="838" w:right="2033"/>
      </w:pPr>
      <w:r>
        <w:rPr>
          <w:spacing w:val="-6"/>
        </w:rPr>
        <w:t>地面、墙面等设计应符合本规范第 </w:t>
      </w:r>
      <w:r>
        <w:rPr/>
        <w:t>4.18.6</w:t>
      </w:r>
      <w:r>
        <w:rPr>
          <w:spacing w:val="-22"/>
        </w:rPr>
        <w:t> 条、第 </w:t>
      </w:r>
      <w:r>
        <w:rPr/>
        <w:t>4.18.7</w:t>
      </w:r>
      <w:r>
        <w:rPr>
          <w:spacing w:val="-22"/>
        </w:rPr>
        <w:t> 条和第 </w:t>
      </w:r>
      <w:r>
        <w:rPr/>
        <w:t>4.18.8</w:t>
      </w:r>
      <w:r>
        <w:rPr>
          <w:spacing w:val="-10"/>
        </w:rPr>
        <w:t> 条的规定； </w:t>
      </w:r>
      <w:r>
        <w:rPr>
          <w:spacing w:val="-5"/>
        </w:rPr>
        <w:t>男女厕所宜分设前室，或有遮挡措施；</w:t>
      </w:r>
      <w:r>
        <w:rPr/>
        <w:t> </w:t>
      </w:r>
    </w:p>
    <w:p>
      <w:pPr>
        <w:pStyle w:val="BodyText"/>
        <w:spacing w:line="267" w:lineRule="exact"/>
        <w:ind w:left="838"/>
      </w:pPr>
      <w:r>
        <w:rPr/>
        <w:t>厕所宜设置独立的清洁间； </w:t>
      </w:r>
    </w:p>
    <w:p>
      <w:pPr>
        <w:pStyle w:val="BodyText"/>
        <w:spacing w:before="2"/>
        <w:rPr>
          <w:sz w:val="18"/>
        </w:rPr>
      </w:pPr>
    </w:p>
    <w:p>
      <w:pPr>
        <w:pStyle w:val="BodyText"/>
        <w:ind w:left="838"/>
      </w:pPr>
      <w:r>
        <w:rPr/>
        <w:t>严寒及寒冷地区的消防站盥洗室应设有水加热设备。 </w:t>
      </w:r>
    </w:p>
    <w:p>
      <w:pPr>
        <w:pStyle w:val="BodyText"/>
        <w:spacing w:before="12"/>
        <w:rPr>
          <w:sz w:val="17"/>
        </w:rPr>
      </w:pPr>
    </w:p>
    <w:p>
      <w:pPr>
        <w:pStyle w:val="ListParagraph"/>
        <w:numPr>
          <w:ilvl w:val="2"/>
          <w:numId w:val="787"/>
        </w:numPr>
        <w:tabs>
          <w:tab w:pos="1478" w:val="left" w:leader="none"/>
        </w:tabs>
        <w:spacing w:line="446" w:lineRule="auto" w:before="0" w:after="0"/>
        <w:ind w:left="418" w:right="1448" w:firstLine="422"/>
        <w:jc w:val="left"/>
        <w:rPr>
          <w:sz w:val="21"/>
        </w:rPr>
      </w:pPr>
      <w:r>
        <w:rPr>
          <w:spacing w:val="-6"/>
          <w:sz w:val="21"/>
        </w:rPr>
        <w:t>外开门的厕所隔间平面尺寸不应小于 </w:t>
      </w:r>
      <w:r>
        <w:rPr>
          <w:sz w:val="21"/>
        </w:rPr>
        <w:t>0.90m×1.20m（</w:t>
      </w:r>
      <w:r>
        <w:rPr>
          <w:spacing w:val="-3"/>
          <w:sz w:val="21"/>
        </w:rPr>
        <w:t>宽度×深度）；内开门的厕所</w:t>
      </w:r>
      <w:r>
        <w:rPr>
          <w:spacing w:val="-8"/>
          <w:sz w:val="21"/>
        </w:rPr>
        <w:t>隔间平面尺寸不应小于 </w:t>
      </w:r>
      <w:r>
        <w:rPr>
          <w:sz w:val="21"/>
        </w:rPr>
        <w:t>0.90m×1.40m（</w:t>
      </w:r>
      <w:r>
        <w:rPr>
          <w:spacing w:val="-3"/>
          <w:sz w:val="21"/>
        </w:rPr>
        <w:t>宽度×深度</w:t>
      </w:r>
      <w:r>
        <w:rPr>
          <w:sz w:val="21"/>
        </w:rPr>
        <w:t>）</w:t>
      </w:r>
      <w:r>
        <w:rPr>
          <w:spacing w:val="-3"/>
          <w:sz w:val="21"/>
        </w:rPr>
        <w:t>。</w:t>
      </w:r>
      <w:r>
        <w:rPr>
          <w:sz w:val="21"/>
        </w:rPr>
        <w:t> </w:t>
      </w: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卫生设备间距应符合现行国家标准《民用建筑设计通则》</w:t>
      </w:r>
      <w:r>
        <w:rPr>
          <w:sz w:val="21"/>
        </w:rPr>
        <w:t>GB</w:t>
      </w:r>
      <w:r>
        <w:rPr>
          <w:spacing w:val="2"/>
          <w:sz w:val="21"/>
        </w:rPr>
        <w:t> </w:t>
      </w:r>
      <w:r>
        <w:rPr>
          <w:sz w:val="21"/>
        </w:rPr>
        <w:t>50352</w:t>
      </w:r>
      <w:r>
        <w:rPr>
          <w:spacing w:val="-10"/>
          <w:sz w:val="21"/>
        </w:rPr>
        <w:t> 的有关规定。</w:t>
      </w:r>
      <w:r>
        <w:rPr>
          <w:sz w:val="21"/>
        </w:rPr>
        <w:t> </w:t>
      </w:r>
    </w:p>
    <w:p>
      <w:pPr>
        <w:pStyle w:val="BodyText"/>
        <w:rPr>
          <w:sz w:val="18"/>
        </w:rPr>
      </w:pPr>
    </w:p>
    <w:p>
      <w:pPr>
        <w:pStyle w:val="ListParagraph"/>
        <w:numPr>
          <w:ilvl w:val="1"/>
          <w:numId w:val="787"/>
        </w:numPr>
        <w:tabs>
          <w:tab w:pos="1264" w:val="left" w:leader="none"/>
        </w:tabs>
        <w:spacing w:line="240" w:lineRule="auto" w:before="0" w:after="0"/>
        <w:ind w:left="1263" w:right="0" w:hanging="424"/>
        <w:jc w:val="left"/>
        <w:rPr>
          <w:sz w:val="21"/>
        </w:rPr>
      </w:pPr>
      <w:r>
        <w:rPr>
          <w:spacing w:val="-3"/>
          <w:sz w:val="21"/>
        </w:rPr>
        <w:t>配电室和空调机房</w:t>
      </w:r>
      <w:r>
        <w:rPr>
          <w:sz w:val="21"/>
        </w:rPr>
        <w:t> </w:t>
      </w:r>
    </w:p>
    <w:p>
      <w:pPr>
        <w:pStyle w:val="BodyText"/>
        <w:spacing w:before="12"/>
        <w:rPr>
          <w:sz w:val="17"/>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配电室的设计应符合现行国家标准《低压配电设计规范》</w:t>
      </w:r>
      <w:r>
        <w:rPr>
          <w:sz w:val="21"/>
        </w:rPr>
        <w:t>GB</w:t>
      </w:r>
      <w:r>
        <w:rPr>
          <w:spacing w:val="2"/>
          <w:sz w:val="21"/>
        </w:rPr>
        <w:t> </w:t>
      </w:r>
      <w:r>
        <w:rPr>
          <w:sz w:val="21"/>
        </w:rPr>
        <w:t>50054</w:t>
      </w:r>
      <w:r>
        <w:rPr>
          <w:spacing w:val="-10"/>
          <w:sz w:val="21"/>
        </w:rPr>
        <w:t> 的有关规定。</w:t>
      </w:r>
      <w:r>
        <w:rPr>
          <w:sz w:val="21"/>
        </w:rPr>
        <w:t> </w:t>
      </w:r>
    </w:p>
    <w:p>
      <w:pPr>
        <w:pStyle w:val="BodyText"/>
        <w:spacing w:before="2"/>
        <w:rPr>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空调机房的设计应符合现行国家标准《采暖通风与空气调节设计规范》</w:t>
      </w:r>
      <w:r>
        <w:rPr>
          <w:sz w:val="21"/>
        </w:rPr>
        <w:t>GB</w:t>
      </w:r>
      <w:r>
        <w:rPr>
          <w:spacing w:val="2"/>
          <w:sz w:val="21"/>
        </w:rPr>
        <w:t> </w:t>
      </w:r>
      <w:r>
        <w:rPr>
          <w:sz w:val="21"/>
        </w:rPr>
        <w:t>50019</w:t>
      </w:r>
    </w:p>
    <w:p>
      <w:pPr>
        <w:pStyle w:val="BodyText"/>
        <w:rPr>
          <w:sz w:val="18"/>
        </w:rPr>
      </w:pPr>
    </w:p>
    <w:p>
      <w:pPr>
        <w:pStyle w:val="BodyText"/>
        <w:ind w:left="418"/>
      </w:pPr>
      <w:r>
        <w:rPr/>
        <w:t>的有关规定。 </w:t>
      </w:r>
    </w:p>
    <w:p>
      <w:pPr>
        <w:pStyle w:val="BodyText"/>
        <w:rPr>
          <w:sz w:val="18"/>
        </w:rPr>
      </w:pPr>
    </w:p>
    <w:p>
      <w:pPr>
        <w:pStyle w:val="ListParagraph"/>
        <w:numPr>
          <w:ilvl w:val="1"/>
          <w:numId w:val="787"/>
        </w:numPr>
        <w:tabs>
          <w:tab w:pos="1264" w:val="left" w:leader="none"/>
        </w:tabs>
        <w:spacing w:line="240" w:lineRule="auto" w:before="0" w:after="0"/>
        <w:ind w:left="1263" w:right="0" w:hanging="424"/>
        <w:jc w:val="left"/>
        <w:rPr>
          <w:sz w:val="21"/>
        </w:rPr>
      </w:pPr>
      <w:r>
        <w:rPr>
          <w:spacing w:val="-3"/>
          <w:sz w:val="21"/>
        </w:rPr>
        <w:t>油料库</w:t>
      </w:r>
      <w:r>
        <w:rPr>
          <w:sz w:val="21"/>
        </w:rPr>
        <w:t> </w:t>
      </w:r>
    </w:p>
    <w:p>
      <w:pPr>
        <w:pStyle w:val="BodyText"/>
        <w:spacing w:before="1"/>
        <w:rPr>
          <w:sz w:val="18"/>
        </w:rPr>
      </w:pPr>
    </w:p>
    <w:p>
      <w:pPr>
        <w:pStyle w:val="ListParagraph"/>
        <w:numPr>
          <w:ilvl w:val="2"/>
          <w:numId w:val="787"/>
        </w:numPr>
        <w:tabs>
          <w:tab w:pos="1478" w:val="left" w:leader="none"/>
        </w:tabs>
        <w:spacing w:line="446" w:lineRule="auto" w:before="1" w:after="0"/>
        <w:ind w:left="418" w:right="1505" w:firstLine="422"/>
        <w:jc w:val="left"/>
        <w:rPr>
          <w:sz w:val="21"/>
        </w:rPr>
      </w:pPr>
      <w:r>
        <w:rPr>
          <w:spacing w:val="-3"/>
          <w:sz w:val="21"/>
        </w:rPr>
        <w:t>油料库宜单独设置，当与其他用房共用一栋建筑时，则应设独立的防火分区。贮存</w:t>
      </w:r>
      <w:r>
        <w:rPr>
          <w:spacing w:val="-10"/>
          <w:sz w:val="21"/>
        </w:rPr>
        <w:t>量不超过 </w:t>
      </w:r>
      <w:r>
        <w:rPr>
          <w:sz w:val="21"/>
        </w:rPr>
        <w:t>0.4t</w:t>
      </w:r>
      <w:r>
        <w:rPr>
          <w:spacing w:val="-8"/>
          <w:sz w:val="21"/>
        </w:rPr>
        <w:t> 的油料库，当作为车库服务的附属建筑时，可与车库贴邻建造．但应采用防火墙</w:t>
      </w:r>
      <w:r>
        <w:rPr>
          <w:spacing w:val="-4"/>
          <w:sz w:val="21"/>
        </w:rPr>
        <w:t>隔开，并应设置直通室外的安全出口。</w:t>
      </w:r>
      <w:r>
        <w:rPr>
          <w:sz w:val="21"/>
        </w:rPr>
        <w:t> </w:t>
      </w:r>
    </w:p>
    <w:p>
      <w:pPr>
        <w:pStyle w:val="ListParagraph"/>
        <w:numPr>
          <w:ilvl w:val="2"/>
          <w:numId w:val="787"/>
        </w:numPr>
        <w:tabs>
          <w:tab w:pos="1478" w:val="left" w:leader="none"/>
        </w:tabs>
        <w:spacing w:line="268" w:lineRule="exact" w:before="0" w:after="0"/>
        <w:ind w:left="1477" w:right="0" w:hanging="638"/>
        <w:jc w:val="left"/>
        <w:rPr>
          <w:sz w:val="21"/>
        </w:rPr>
      </w:pPr>
      <w:r>
        <w:rPr>
          <w:spacing w:val="-3"/>
          <w:sz w:val="21"/>
        </w:rPr>
        <w:t>油料库内地面宜采用不产生火花的面层，需要时宜设防水层。</w:t>
      </w:r>
      <w:r>
        <w:rPr>
          <w:sz w:val="21"/>
        </w:rPr>
        <w:t> </w:t>
      </w:r>
    </w:p>
    <w:p>
      <w:pPr>
        <w:pStyle w:val="BodyText"/>
        <w:spacing w:before="12"/>
        <w:rPr>
          <w:sz w:val="17"/>
        </w:rPr>
      </w:pPr>
    </w:p>
    <w:p>
      <w:pPr>
        <w:pStyle w:val="ListParagraph"/>
        <w:numPr>
          <w:ilvl w:val="2"/>
          <w:numId w:val="787"/>
        </w:numPr>
        <w:tabs>
          <w:tab w:pos="1478" w:val="left" w:leader="none"/>
        </w:tabs>
        <w:spacing w:line="446" w:lineRule="auto" w:before="0" w:after="0"/>
        <w:ind w:left="418" w:right="1498" w:firstLine="422"/>
        <w:jc w:val="left"/>
        <w:rPr>
          <w:sz w:val="21"/>
        </w:rPr>
      </w:pPr>
      <w:r>
        <w:rPr>
          <w:spacing w:val="-3"/>
          <w:sz w:val="21"/>
        </w:rPr>
        <w:t>油料库应有良好的通风，宜设置相应的防晒、防火、防爆、防潮、防雷、防静电、防腐以及防泄漏等安全设施，并应设置明显的标志。 </w:t>
      </w:r>
    </w:p>
    <w:p>
      <w:pPr>
        <w:spacing w:after="0" w:line="446" w:lineRule="auto"/>
        <w:jc w:val="left"/>
        <w:rPr>
          <w:sz w:val="21"/>
        </w:rPr>
        <w:sectPr>
          <w:pgSz w:w="11910" w:h="16850"/>
          <w:pgMar w:header="0" w:footer="1239" w:top="1220" w:bottom="1420" w:left="1260" w:right="0"/>
        </w:sectPr>
      </w:pPr>
    </w:p>
    <w:p>
      <w:pPr>
        <w:pStyle w:val="ListParagraph"/>
        <w:numPr>
          <w:ilvl w:val="2"/>
          <w:numId w:val="787"/>
        </w:numPr>
        <w:tabs>
          <w:tab w:pos="1478" w:val="left" w:leader="none"/>
        </w:tabs>
        <w:spacing w:line="446" w:lineRule="auto" w:before="47" w:after="0"/>
        <w:ind w:left="418" w:right="1498" w:firstLine="422"/>
        <w:jc w:val="left"/>
        <w:rPr>
          <w:sz w:val="21"/>
        </w:rPr>
      </w:pPr>
      <w:r>
        <w:rPr>
          <w:spacing w:val="-3"/>
          <w:sz w:val="21"/>
        </w:rPr>
        <w:t>油料库的耐火等级、防火间距以及灭火器设置等应符合现行国家标准《建筑设计防火规范》</w:t>
      </w:r>
      <w:r>
        <w:rPr>
          <w:sz w:val="21"/>
        </w:rPr>
        <w:t>GB</w:t>
      </w:r>
      <w:r>
        <w:rPr>
          <w:spacing w:val="1"/>
          <w:sz w:val="21"/>
        </w:rPr>
        <w:t> </w:t>
      </w:r>
      <w:r>
        <w:rPr>
          <w:sz w:val="21"/>
        </w:rPr>
        <w:t>50016</w:t>
      </w:r>
      <w:r>
        <w:rPr>
          <w:spacing w:val="-8"/>
          <w:sz w:val="21"/>
        </w:rPr>
        <w:t> 和《建筑灭火器配置设计规范》</w:t>
      </w:r>
      <w:r>
        <w:rPr>
          <w:sz w:val="21"/>
        </w:rPr>
        <w:t>GB</w:t>
      </w:r>
      <w:r>
        <w:rPr>
          <w:spacing w:val="1"/>
          <w:sz w:val="21"/>
        </w:rPr>
        <w:t> </w:t>
      </w:r>
      <w:r>
        <w:rPr>
          <w:sz w:val="21"/>
        </w:rPr>
        <w:t>50140</w:t>
      </w:r>
      <w:r>
        <w:rPr>
          <w:spacing w:val="-10"/>
          <w:sz w:val="21"/>
        </w:rPr>
        <w:t> 的有关规定。</w:t>
      </w:r>
      <w:r>
        <w:rPr>
          <w:sz w:val="21"/>
        </w:rPr>
        <w:t> </w:t>
      </w:r>
    </w:p>
    <w:p>
      <w:pPr>
        <w:pStyle w:val="ListParagraph"/>
        <w:numPr>
          <w:ilvl w:val="1"/>
          <w:numId w:val="787"/>
        </w:numPr>
        <w:tabs>
          <w:tab w:pos="1264" w:val="left" w:leader="none"/>
        </w:tabs>
        <w:spacing w:line="267" w:lineRule="exact" w:before="0" w:after="0"/>
        <w:ind w:left="1263" w:right="0" w:hanging="424"/>
        <w:jc w:val="left"/>
        <w:rPr>
          <w:b/>
          <w:sz w:val="21"/>
        </w:rPr>
      </w:pPr>
      <w:r>
        <w:rPr>
          <w:spacing w:val="-3"/>
          <w:sz w:val="21"/>
        </w:rPr>
        <w:t>其他辅助建筑</w:t>
      </w:r>
      <w:r>
        <w:rPr>
          <w:b/>
          <w:w w:val="99"/>
          <w:sz w:val="21"/>
        </w:rPr>
        <w:t> </w:t>
      </w:r>
    </w:p>
    <w:p>
      <w:pPr>
        <w:pStyle w:val="BodyText"/>
        <w:spacing w:before="2"/>
        <w:rPr>
          <w:b/>
          <w:sz w:val="18"/>
        </w:rPr>
      </w:pPr>
    </w:p>
    <w:p>
      <w:pPr>
        <w:pStyle w:val="BodyText"/>
        <w:spacing w:line="446" w:lineRule="auto"/>
        <w:ind w:left="418" w:right="1601" w:firstLine="422"/>
      </w:pPr>
      <w:r>
        <w:rPr>
          <w:b/>
        </w:rPr>
        <w:t>4.25.l </w:t>
      </w:r>
      <w:r>
        <w:rPr/>
        <w:t>消防站应设置值班岗亭。岗亭应设置可靠的遮阳、避雨、防撞等措施，宜采用安全、防晒、内设空调的封闭式玻璃岗亭。内部宜设置通信及应急警报开关等装置。 </w:t>
      </w:r>
    </w:p>
    <w:p>
      <w:pPr>
        <w:spacing w:line="267" w:lineRule="exact" w:before="0"/>
        <w:ind w:left="840" w:right="0" w:firstLine="0"/>
        <w:jc w:val="left"/>
        <w:rPr>
          <w:sz w:val="21"/>
        </w:rPr>
      </w:pPr>
      <w:r>
        <w:rPr>
          <w:b/>
          <w:sz w:val="21"/>
        </w:rPr>
        <w:t>4.25.2 </w:t>
      </w:r>
      <w:r>
        <w:rPr>
          <w:sz w:val="21"/>
        </w:rPr>
        <w:t>消防站应依托站内建筑或训练塔等设置专门的水带晾晒架。 </w:t>
      </w:r>
    </w:p>
    <w:p>
      <w:pPr>
        <w:pStyle w:val="BodyText"/>
        <w:spacing w:before="2"/>
        <w:rPr>
          <w:sz w:val="18"/>
        </w:rPr>
      </w:pPr>
    </w:p>
    <w:p>
      <w:pPr>
        <w:pStyle w:val="ListParagraph"/>
        <w:numPr>
          <w:ilvl w:val="1"/>
          <w:numId w:val="787"/>
        </w:numPr>
        <w:tabs>
          <w:tab w:pos="1264" w:val="left" w:leader="none"/>
        </w:tabs>
        <w:spacing w:line="240" w:lineRule="auto" w:before="0" w:after="0"/>
        <w:ind w:left="1263" w:right="0" w:hanging="424"/>
        <w:jc w:val="left"/>
        <w:rPr>
          <w:b/>
          <w:sz w:val="21"/>
        </w:rPr>
      </w:pPr>
      <w:r>
        <w:rPr>
          <w:spacing w:val="-3"/>
          <w:sz w:val="21"/>
        </w:rPr>
        <w:t>台阶、坡道和栏杆</w:t>
      </w:r>
      <w:r>
        <w:rPr>
          <w:b/>
          <w:w w:val="99"/>
          <w:sz w:val="21"/>
        </w:rPr>
        <w:t> </w:t>
      </w:r>
    </w:p>
    <w:p>
      <w:pPr>
        <w:pStyle w:val="BodyText"/>
        <w:rPr>
          <w:b/>
          <w:sz w:val="18"/>
        </w:rPr>
      </w:pP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台阶设置应符合下列规定：</w:t>
      </w:r>
      <w:r>
        <w:rPr>
          <w:sz w:val="21"/>
        </w:rPr>
        <w:t> </w:t>
      </w:r>
    </w:p>
    <w:p>
      <w:pPr>
        <w:pStyle w:val="BodyText"/>
        <w:rPr>
          <w:sz w:val="18"/>
        </w:rPr>
      </w:pPr>
    </w:p>
    <w:p>
      <w:pPr>
        <w:pStyle w:val="BodyText"/>
        <w:spacing w:line="446" w:lineRule="auto"/>
        <w:ind w:left="418" w:right="2134" w:firstLine="419"/>
      </w:pPr>
      <w:r>
        <w:rPr>
          <w:spacing w:val="-6"/>
        </w:rPr>
        <w:t>消防站室内外台阶踏步宽度不宜小于 </w:t>
      </w:r>
      <w:r>
        <w:rPr/>
        <w:t>0.30m</w:t>
      </w:r>
      <w:r>
        <w:rPr>
          <w:spacing w:val="-7"/>
        </w:rPr>
        <w:t>，踏步高度不宜大于 </w:t>
      </w:r>
      <w:r>
        <w:rPr/>
        <w:t>0.15m</w:t>
      </w:r>
      <w:r>
        <w:rPr>
          <w:spacing w:val="-3"/>
        </w:rPr>
        <w:t>，并不宜小于0.10m，踏步应防滑；</w:t>
      </w:r>
      <w:r>
        <w:rPr/>
        <w:t> </w:t>
      </w:r>
    </w:p>
    <w:p>
      <w:pPr>
        <w:pStyle w:val="BodyText"/>
        <w:spacing w:line="446" w:lineRule="auto"/>
        <w:ind w:left="838" w:right="3399"/>
      </w:pPr>
      <w:r>
        <w:rPr>
          <w:spacing w:val="-7"/>
        </w:rPr>
        <w:t>室内台阶踏步数不应少于 </w:t>
      </w:r>
      <w:r>
        <w:rPr/>
        <w:t>2</w:t>
      </w:r>
      <w:r>
        <w:rPr>
          <w:spacing w:val="-13"/>
        </w:rPr>
        <w:t> 级，当高差不足 </w:t>
      </w:r>
      <w:r>
        <w:rPr/>
        <w:t>2</w:t>
      </w:r>
      <w:r>
        <w:rPr>
          <w:spacing w:val="-9"/>
        </w:rPr>
        <w:t> 级时，应按坡道设置； </w:t>
      </w:r>
      <w:r>
        <w:rPr>
          <w:spacing w:val="-10"/>
        </w:rPr>
        <w:t>台阶高度超过 </w:t>
      </w:r>
      <w:r>
        <w:rPr/>
        <w:t>0.70m</w:t>
      </w:r>
      <w:r>
        <w:rPr>
          <w:spacing w:val="-9"/>
        </w:rPr>
        <w:t> 并侧面临空时，应有防护设施。 </w:t>
      </w:r>
    </w:p>
    <w:p>
      <w:pPr>
        <w:pStyle w:val="ListParagraph"/>
        <w:numPr>
          <w:ilvl w:val="2"/>
          <w:numId w:val="787"/>
        </w:numPr>
        <w:tabs>
          <w:tab w:pos="1478" w:val="left" w:leader="none"/>
        </w:tabs>
        <w:spacing w:line="240" w:lineRule="auto" w:before="0" w:after="0"/>
        <w:ind w:left="1477" w:right="0" w:hanging="638"/>
        <w:jc w:val="left"/>
        <w:rPr>
          <w:sz w:val="21"/>
        </w:rPr>
      </w:pPr>
      <w:r>
        <w:rPr>
          <w:spacing w:val="-3"/>
          <w:sz w:val="21"/>
        </w:rPr>
        <w:t>坡道设置应符合下列规定：</w:t>
      </w:r>
      <w:r>
        <w:rPr>
          <w:sz w:val="21"/>
        </w:rPr>
        <w:t> </w:t>
      </w:r>
    </w:p>
    <w:p>
      <w:pPr>
        <w:pStyle w:val="BodyText"/>
        <w:spacing w:before="12"/>
        <w:rPr>
          <w:sz w:val="17"/>
        </w:rPr>
      </w:pPr>
    </w:p>
    <w:p>
      <w:pPr>
        <w:pStyle w:val="BodyText"/>
        <w:ind w:left="838"/>
      </w:pPr>
      <w:r>
        <w:rPr/>
        <w:t>室内坡道坡度不宜大于 1:8，室外坡道坡度不宜大于 1:10； </w:t>
      </w:r>
    </w:p>
    <w:p>
      <w:pPr>
        <w:pStyle w:val="BodyText"/>
        <w:rPr>
          <w:sz w:val="18"/>
        </w:rPr>
      </w:pPr>
    </w:p>
    <w:p>
      <w:pPr>
        <w:pStyle w:val="BodyText"/>
        <w:spacing w:line="446" w:lineRule="auto"/>
        <w:ind w:left="418" w:right="1608" w:firstLine="419"/>
      </w:pPr>
      <w:r>
        <w:rPr>
          <w:spacing w:val="-6"/>
        </w:rPr>
        <w:t>室内坡道水平投影长度超过 </w:t>
      </w:r>
      <w:r>
        <w:rPr/>
        <w:t>15m</w:t>
      </w:r>
      <w:r>
        <w:rPr>
          <w:spacing w:val="-7"/>
        </w:rPr>
        <w:t> 时，宜设休息平台，平台宽度应根据使用功能或设备尺寸</w:t>
      </w:r>
      <w:r>
        <w:rPr>
          <w:spacing w:val="-5"/>
        </w:rPr>
        <w:t>所需缓冲空间而定；</w:t>
      </w:r>
      <w:r>
        <w:rPr/>
        <w:t> </w:t>
      </w:r>
    </w:p>
    <w:p>
      <w:pPr>
        <w:pStyle w:val="BodyText"/>
        <w:spacing w:line="446" w:lineRule="auto"/>
        <w:ind w:left="838" w:right="2607"/>
      </w:pPr>
      <w:r>
        <w:rPr/>
        <w:t>机动车行坡道应符合现行行业标准《汽车库建筑设计规范》JGJ 100 的规定； 坡道应采取防滑措施。 </w:t>
      </w:r>
    </w:p>
    <w:p>
      <w:pPr>
        <w:pStyle w:val="ListParagraph"/>
        <w:numPr>
          <w:ilvl w:val="2"/>
          <w:numId w:val="787"/>
        </w:numPr>
        <w:tabs>
          <w:tab w:pos="1478" w:val="left" w:leader="none"/>
        </w:tabs>
        <w:spacing w:line="446" w:lineRule="auto" w:before="0" w:after="0"/>
        <w:ind w:left="418" w:right="1498" w:firstLine="422"/>
        <w:jc w:val="left"/>
        <w:rPr>
          <w:sz w:val="21"/>
        </w:rPr>
      </w:pPr>
      <w:r>
        <w:rPr>
          <w:spacing w:val="-3"/>
          <w:sz w:val="21"/>
        </w:rPr>
        <w:t>阳台、外廊、室内回廊、内天井、上人屋面及室外楼梯等临空处应设置防护栏杆， 并应符合下列规定：</w:t>
      </w:r>
      <w:r>
        <w:rPr>
          <w:sz w:val="21"/>
        </w:rPr>
        <w:t> </w:t>
      </w:r>
    </w:p>
    <w:p>
      <w:pPr>
        <w:pStyle w:val="BodyText"/>
        <w:spacing w:line="446" w:lineRule="auto"/>
        <w:ind w:left="418" w:right="1608" w:firstLine="419"/>
      </w:pPr>
      <w:r>
        <w:rPr/>
        <w:t>栏杆应以坚固、耐久的材料制作，应能承受现行国家标准《建筑结构荷载规范》GB 50009 规定的水平荷载。 </w:t>
      </w:r>
    </w:p>
    <w:p>
      <w:pPr>
        <w:pStyle w:val="BodyText"/>
        <w:spacing w:line="446" w:lineRule="auto"/>
        <w:ind w:left="418" w:right="1450" w:firstLine="419"/>
        <w:jc w:val="both"/>
      </w:pPr>
      <w:r>
        <w:rPr>
          <w:spacing w:val="-10"/>
        </w:rPr>
        <w:t>临空高度在 </w:t>
      </w:r>
      <w:r>
        <w:rPr/>
        <w:t>24m</w:t>
      </w:r>
      <w:r>
        <w:rPr>
          <w:spacing w:val="-12"/>
        </w:rPr>
        <w:t> 以下时，栏杆高度不应低于 </w:t>
      </w:r>
      <w:r>
        <w:rPr/>
        <w:t>1.05m</w:t>
      </w:r>
      <w:r>
        <w:rPr>
          <w:spacing w:val="-9"/>
        </w:rPr>
        <w:t>，临空高度在 </w:t>
      </w:r>
      <w:r>
        <w:rPr/>
        <w:t>24m</w:t>
      </w:r>
      <w:r>
        <w:rPr>
          <w:spacing w:val="-33"/>
        </w:rPr>
        <w:t> 及 </w:t>
      </w:r>
      <w:r>
        <w:rPr/>
        <w:t>24m</w:t>
      </w:r>
      <w:r>
        <w:rPr>
          <w:spacing w:val="-9"/>
        </w:rPr>
        <w:t> 以上时，栏杆高度不应低于 </w:t>
      </w:r>
      <w:r>
        <w:rPr/>
        <w:t>1.10m</w:t>
      </w:r>
      <w:r>
        <w:rPr>
          <w:spacing w:val="-3"/>
        </w:rPr>
        <w:t>；栏杆高度应从楼地面或屋面至栏杆扶手顶面垂直高度计算，当底部有宽度大</w:t>
      </w:r>
      <w:r>
        <w:rPr>
          <w:spacing w:val="-13"/>
        </w:rPr>
        <w:t>于或等于 </w:t>
      </w:r>
      <w:r>
        <w:rPr/>
        <w:t>0</w:t>
      </w:r>
      <w:r>
        <w:rPr>
          <w:spacing w:val="2"/>
        </w:rPr>
        <w:t>. </w:t>
      </w:r>
      <w:r>
        <w:rPr/>
        <w:t>22m</w:t>
      </w:r>
      <w:r>
        <w:rPr>
          <w:spacing w:val="-8"/>
        </w:rPr>
        <w:t>，且高度低于或等于 </w:t>
      </w:r>
      <w:r>
        <w:rPr/>
        <w:t>0.45m</w:t>
      </w:r>
      <w:r>
        <w:rPr>
          <w:spacing w:val="-8"/>
        </w:rPr>
        <w:t> 的可踏部位时，应从可踏部位顶面起计算。</w:t>
      </w:r>
      <w:r>
        <w:rPr/>
        <w:t> </w:t>
      </w:r>
    </w:p>
    <w:p>
      <w:pPr>
        <w:pStyle w:val="BodyText"/>
        <w:spacing w:line="268" w:lineRule="exact"/>
        <w:ind w:left="838"/>
        <w:jc w:val="both"/>
      </w:pPr>
      <w:r>
        <w:rPr/>
        <w:t>栏杆距离楼面或屋面 0.10m 高度内不宜留空。 </w:t>
      </w:r>
    </w:p>
    <w:p>
      <w:pPr>
        <w:pStyle w:val="BodyText"/>
        <w:spacing w:before="10"/>
        <w:rPr>
          <w:sz w:val="17"/>
        </w:rPr>
      </w:pPr>
    </w:p>
    <w:p>
      <w:pPr>
        <w:pStyle w:val="BodyText"/>
        <w:spacing w:line="446" w:lineRule="auto"/>
        <w:ind w:left="840" w:right="4501" w:hanging="3"/>
        <w:jc w:val="both"/>
        <w:rPr>
          <w:b/>
        </w:rPr>
      </w:pPr>
      <w:r>
        <w:rPr/>
        <w:t>当采用垂直杆件做栏杆时，其杆件净距不应大于 0.11m。</w:t>
      </w:r>
      <w:r>
        <w:rPr>
          <w:b/>
        </w:rPr>
        <w:t>4.27 </w:t>
      </w:r>
      <w:r>
        <w:rPr/>
        <w:t>走道和楼梯</w:t>
      </w:r>
      <w:r>
        <w:rPr>
          <w:b/>
          <w:w w:val="99"/>
        </w:rPr>
        <w:t> </w:t>
      </w:r>
    </w:p>
    <w:p>
      <w:pPr>
        <w:spacing w:after="0" w:line="446" w:lineRule="auto"/>
        <w:jc w:val="both"/>
        <w:sectPr>
          <w:pgSz w:w="11910" w:h="16850"/>
          <w:pgMar w:header="0" w:footer="1239" w:top="1220" w:bottom="1420" w:left="1260" w:right="0"/>
        </w:sectPr>
      </w:pPr>
    </w:p>
    <w:p>
      <w:pPr>
        <w:pStyle w:val="ListParagraph"/>
        <w:numPr>
          <w:ilvl w:val="2"/>
          <w:numId w:val="789"/>
        </w:numPr>
        <w:tabs>
          <w:tab w:pos="1530" w:val="left" w:leader="none"/>
        </w:tabs>
        <w:spacing w:line="441" w:lineRule="auto" w:before="47" w:after="0"/>
        <w:ind w:left="418" w:right="1498" w:firstLine="422"/>
        <w:jc w:val="both"/>
        <w:rPr>
          <w:sz w:val="21"/>
        </w:rPr>
      </w:pPr>
      <w:r>
        <w:rPr>
          <w:spacing w:val="-4"/>
          <w:sz w:val="21"/>
        </w:rPr>
        <w:t>消防站内供迅速出动用的通道的净宽，单面布房时不应小于 </w:t>
      </w:r>
      <w:r>
        <w:rPr>
          <w:sz w:val="21"/>
        </w:rPr>
        <w:t>1.4m</w:t>
      </w:r>
      <w:r>
        <w:rPr>
          <w:spacing w:val="-3"/>
          <w:sz w:val="21"/>
        </w:rPr>
        <w:t>，双面布房时不应</w:t>
      </w:r>
      <w:r>
        <w:rPr>
          <w:spacing w:val="-15"/>
          <w:sz w:val="21"/>
        </w:rPr>
        <w:t>小于 </w:t>
      </w:r>
      <w:r>
        <w:rPr>
          <w:sz w:val="21"/>
        </w:rPr>
        <w:t>2.0m</w:t>
      </w:r>
      <w:r>
        <w:rPr>
          <w:spacing w:val="-7"/>
          <w:sz w:val="21"/>
        </w:rPr>
        <w:t>，楼梯净宽不应小于 </w:t>
      </w:r>
      <w:r>
        <w:rPr>
          <w:sz w:val="21"/>
        </w:rPr>
        <w:t>1.4m</w:t>
      </w:r>
      <w:r>
        <w:rPr>
          <w:spacing w:val="-3"/>
          <w:sz w:val="21"/>
        </w:rPr>
        <w:t>。通道和楼梯两侧的墙面应平整、无突出物，地面应采用防</w:t>
      </w:r>
      <w:r>
        <w:rPr>
          <w:spacing w:val="-7"/>
          <w:sz w:val="21"/>
        </w:rPr>
        <w:t>滑材料。楼梯踏步高度宜为 </w:t>
      </w:r>
      <w:r>
        <w:rPr>
          <w:sz w:val="21"/>
        </w:rPr>
        <w:t>0.15～0.16m</w:t>
      </w:r>
      <w:r>
        <w:rPr>
          <w:spacing w:val="-11"/>
          <w:sz w:val="21"/>
        </w:rPr>
        <w:t>，宽度宜为 </w:t>
      </w:r>
      <w:r>
        <w:rPr>
          <w:sz w:val="21"/>
        </w:rPr>
        <w:t>0.28～0.30m</w:t>
      </w:r>
      <w:r>
        <w:rPr>
          <w:spacing w:val="-8"/>
          <w:sz w:val="21"/>
        </w:rPr>
        <w:t>。楼梯倾角不应大于 </w:t>
      </w:r>
      <w:r>
        <w:rPr>
          <w:sz w:val="21"/>
        </w:rPr>
        <w:t>30</w:t>
      </w:r>
      <w:r>
        <w:rPr>
          <w:spacing w:val="-3"/>
          <w:position w:val="11"/>
          <w:sz w:val="11"/>
        </w:rPr>
        <w:t>。</w:t>
      </w:r>
      <w:r>
        <w:rPr>
          <w:spacing w:val="-3"/>
          <w:sz w:val="21"/>
        </w:rPr>
        <w:t>。</w:t>
      </w:r>
      <w:r>
        <w:rPr>
          <w:sz w:val="21"/>
        </w:rPr>
        <w:t> </w:t>
      </w:r>
    </w:p>
    <w:p>
      <w:pPr>
        <w:pStyle w:val="ListParagraph"/>
        <w:numPr>
          <w:ilvl w:val="2"/>
          <w:numId w:val="789"/>
        </w:numPr>
        <w:tabs>
          <w:tab w:pos="1478" w:val="left" w:leader="none"/>
        </w:tabs>
        <w:spacing w:line="240" w:lineRule="auto" w:before="5" w:after="0"/>
        <w:ind w:left="1477" w:right="0" w:hanging="638"/>
        <w:jc w:val="left"/>
        <w:rPr>
          <w:sz w:val="21"/>
        </w:rPr>
      </w:pPr>
      <w:r>
        <w:rPr>
          <w:spacing w:val="-3"/>
          <w:sz w:val="21"/>
        </w:rPr>
        <w:t>楼梯的数量、位置、宽度和楼梯间形式应满足使用方便和安全疏散的要求。 </w:t>
      </w:r>
    </w:p>
    <w:p>
      <w:pPr>
        <w:pStyle w:val="BodyText"/>
        <w:rPr>
          <w:sz w:val="18"/>
        </w:rPr>
      </w:pPr>
    </w:p>
    <w:p>
      <w:pPr>
        <w:pStyle w:val="ListParagraph"/>
        <w:numPr>
          <w:ilvl w:val="2"/>
          <w:numId w:val="789"/>
        </w:numPr>
        <w:tabs>
          <w:tab w:pos="1478" w:val="left" w:leader="none"/>
        </w:tabs>
        <w:spacing w:line="446" w:lineRule="auto" w:before="0" w:after="0"/>
        <w:ind w:left="418" w:right="1498" w:firstLine="422"/>
        <w:jc w:val="left"/>
        <w:rPr>
          <w:sz w:val="21"/>
        </w:rPr>
      </w:pPr>
      <w:r>
        <w:rPr>
          <w:spacing w:val="-3"/>
          <w:sz w:val="21"/>
        </w:rPr>
        <w:t>梯段改变方向时，扶手转向端处的平台最小宽度不应小于梯段宽度，当有搬运大型物件需要时应适量加宽。</w:t>
      </w:r>
      <w:r>
        <w:rPr>
          <w:sz w:val="21"/>
        </w:rPr>
        <w:t> </w:t>
      </w:r>
    </w:p>
    <w:p>
      <w:pPr>
        <w:pStyle w:val="ListParagraph"/>
        <w:numPr>
          <w:ilvl w:val="2"/>
          <w:numId w:val="789"/>
        </w:numPr>
        <w:tabs>
          <w:tab w:pos="1478" w:val="left" w:leader="none"/>
        </w:tabs>
        <w:spacing w:line="240" w:lineRule="auto" w:before="0" w:after="0"/>
        <w:ind w:left="1477" w:right="0" w:hanging="638"/>
        <w:jc w:val="left"/>
        <w:rPr>
          <w:sz w:val="21"/>
        </w:rPr>
      </w:pPr>
      <w:r>
        <w:rPr>
          <w:spacing w:val="-8"/>
          <w:sz w:val="21"/>
        </w:rPr>
        <w:t>每个梯段的踏步不应超过 </w:t>
      </w:r>
      <w:r>
        <w:rPr>
          <w:sz w:val="21"/>
        </w:rPr>
        <w:t>18</w:t>
      </w:r>
      <w:r>
        <w:rPr>
          <w:spacing w:val="-14"/>
          <w:sz w:val="21"/>
        </w:rPr>
        <w:t> 级，且不应少于 </w:t>
      </w:r>
      <w:r>
        <w:rPr>
          <w:sz w:val="21"/>
        </w:rPr>
        <w:t>3</w:t>
      </w:r>
      <w:r>
        <w:rPr>
          <w:spacing w:val="-20"/>
          <w:sz w:val="21"/>
        </w:rPr>
        <w:t> 级。</w:t>
      </w:r>
      <w:r>
        <w:rPr>
          <w:sz w:val="21"/>
        </w:rPr>
        <w:t> </w:t>
      </w:r>
    </w:p>
    <w:p>
      <w:pPr>
        <w:pStyle w:val="BodyText"/>
        <w:rPr>
          <w:sz w:val="18"/>
        </w:rPr>
      </w:pPr>
    </w:p>
    <w:p>
      <w:pPr>
        <w:pStyle w:val="ListParagraph"/>
        <w:numPr>
          <w:ilvl w:val="2"/>
          <w:numId w:val="789"/>
        </w:numPr>
        <w:tabs>
          <w:tab w:pos="1478" w:val="left" w:leader="none"/>
        </w:tabs>
        <w:spacing w:line="446" w:lineRule="auto" w:before="0" w:after="0"/>
        <w:ind w:left="838" w:right="2028" w:firstLine="2"/>
        <w:jc w:val="left"/>
        <w:rPr>
          <w:sz w:val="21"/>
        </w:rPr>
      </w:pPr>
      <w:r>
        <w:rPr>
          <w:spacing w:val="-5"/>
          <w:sz w:val="21"/>
        </w:rPr>
        <w:t>楼梯平台上部及下部过道处的净高不应小于 </w:t>
      </w:r>
      <w:r>
        <w:rPr>
          <w:sz w:val="21"/>
        </w:rPr>
        <w:t>2m</w:t>
      </w:r>
      <w:r>
        <w:rPr>
          <w:spacing w:val="-6"/>
          <w:sz w:val="21"/>
        </w:rPr>
        <w:t>。梯段净高不宜小于 </w:t>
      </w:r>
      <w:r>
        <w:rPr>
          <w:sz w:val="21"/>
        </w:rPr>
        <w:t>2.40m</w:t>
      </w:r>
      <w:r>
        <w:rPr>
          <w:spacing w:val="-2"/>
          <w:sz w:val="21"/>
        </w:rPr>
        <w:t>。注</w:t>
      </w:r>
      <w:r>
        <w:rPr>
          <w:spacing w:val="-3"/>
          <w:sz w:val="21"/>
        </w:rPr>
        <w:t>：梯段净高为自踏步前缘</w:t>
      </w:r>
      <w:r>
        <w:rPr>
          <w:sz w:val="21"/>
        </w:rPr>
        <w:t>（</w:t>
      </w:r>
      <w:r>
        <w:rPr>
          <w:spacing w:val="-5"/>
          <w:sz w:val="21"/>
        </w:rPr>
        <w:t>包括最低和最高一级踏步前缘线以外 </w:t>
      </w:r>
      <w:r>
        <w:rPr>
          <w:sz w:val="21"/>
        </w:rPr>
        <w:t>0.30m</w:t>
      </w:r>
      <w:r>
        <w:rPr>
          <w:spacing w:val="-8"/>
          <w:sz w:val="21"/>
        </w:rPr>
        <w:t> 范围内</w:t>
      </w:r>
      <w:r>
        <w:rPr>
          <w:sz w:val="21"/>
        </w:rPr>
        <w:t>） 量</w:t>
      </w:r>
      <w:r>
        <w:rPr>
          <w:spacing w:val="-3"/>
          <w:sz w:val="21"/>
        </w:rPr>
        <w:t>至上方突出物下缘间的垂直高度。</w:t>
      </w:r>
      <w:r>
        <w:rPr>
          <w:sz w:val="21"/>
        </w:rPr>
        <w:t> </w:t>
      </w:r>
    </w:p>
    <w:p>
      <w:pPr>
        <w:pStyle w:val="ListParagraph"/>
        <w:numPr>
          <w:ilvl w:val="2"/>
          <w:numId w:val="789"/>
        </w:numPr>
        <w:tabs>
          <w:tab w:pos="1478" w:val="left" w:leader="none"/>
        </w:tabs>
        <w:spacing w:line="446" w:lineRule="auto" w:before="0" w:after="0"/>
        <w:ind w:left="418" w:right="1448" w:firstLine="422"/>
        <w:jc w:val="left"/>
        <w:rPr>
          <w:sz w:val="21"/>
        </w:rPr>
      </w:pPr>
      <w:r>
        <w:rPr>
          <w:spacing w:val="-5"/>
          <w:sz w:val="21"/>
        </w:rPr>
        <w:t>室内楼梯扶手高度自踏步前缘线量起不宜小于 </w:t>
      </w:r>
      <w:r>
        <w:rPr>
          <w:sz w:val="21"/>
        </w:rPr>
        <w:t>0.</w:t>
      </w:r>
      <w:r>
        <w:rPr>
          <w:spacing w:val="12"/>
          <w:sz w:val="21"/>
        </w:rPr>
        <w:t> </w:t>
      </w:r>
      <w:r>
        <w:rPr>
          <w:sz w:val="21"/>
        </w:rPr>
        <w:t>90m</w:t>
      </w:r>
      <w:r>
        <w:rPr>
          <w:spacing w:val="-3"/>
          <w:sz w:val="21"/>
        </w:rPr>
        <w:t>。靠楼梯井一侧水平扶手长度</w:t>
      </w:r>
      <w:r>
        <w:rPr>
          <w:spacing w:val="-20"/>
          <w:sz w:val="21"/>
        </w:rPr>
        <w:t>超过 </w:t>
      </w:r>
      <w:r>
        <w:rPr>
          <w:sz w:val="21"/>
        </w:rPr>
        <w:t>0.50m</w:t>
      </w:r>
      <w:r>
        <w:rPr>
          <w:spacing w:val="-13"/>
          <w:sz w:val="21"/>
        </w:rPr>
        <w:t> 时，其高度不应小于 </w:t>
      </w:r>
      <w:r>
        <w:rPr>
          <w:sz w:val="21"/>
        </w:rPr>
        <w:t>1.05m</w:t>
      </w:r>
      <w:r>
        <w:rPr>
          <w:spacing w:val="-3"/>
          <w:sz w:val="21"/>
        </w:rPr>
        <w:t>。</w:t>
      </w:r>
      <w:r>
        <w:rPr>
          <w:sz w:val="21"/>
        </w:rPr>
        <w:t> </w:t>
      </w:r>
    </w:p>
    <w:p>
      <w:pPr>
        <w:pStyle w:val="ListParagraph"/>
        <w:numPr>
          <w:ilvl w:val="2"/>
          <w:numId w:val="789"/>
        </w:numPr>
        <w:tabs>
          <w:tab w:pos="1478" w:val="left" w:leader="none"/>
        </w:tabs>
        <w:spacing w:line="240" w:lineRule="auto" w:before="0" w:after="0"/>
        <w:ind w:left="1477" w:right="0" w:hanging="638"/>
        <w:jc w:val="left"/>
        <w:rPr>
          <w:sz w:val="21"/>
        </w:rPr>
      </w:pPr>
      <w:r>
        <w:rPr>
          <w:spacing w:val="-3"/>
          <w:sz w:val="21"/>
        </w:rPr>
        <w:t>踏步应采取防滑措施。</w:t>
      </w:r>
      <w:r>
        <w:rPr>
          <w:sz w:val="21"/>
        </w:rPr>
        <w:t> </w:t>
      </w:r>
    </w:p>
    <w:p>
      <w:pPr>
        <w:pStyle w:val="BodyText"/>
        <w:spacing w:before="11"/>
        <w:rPr>
          <w:sz w:val="17"/>
        </w:rPr>
      </w:pPr>
    </w:p>
    <w:p>
      <w:pPr>
        <w:pStyle w:val="ListParagraph"/>
        <w:numPr>
          <w:ilvl w:val="1"/>
          <w:numId w:val="790"/>
        </w:numPr>
        <w:tabs>
          <w:tab w:pos="1264" w:val="left" w:leader="none"/>
        </w:tabs>
        <w:spacing w:line="240" w:lineRule="auto" w:before="0" w:after="0"/>
        <w:ind w:left="1263" w:right="0" w:hanging="424"/>
        <w:jc w:val="left"/>
        <w:rPr>
          <w:b/>
          <w:sz w:val="21"/>
        </w:rPr>
      </w:pPr>
      <w:r>
        <w:rPr>
          <w:spacing w:val="-3"/>
          <w:sz w:val="21"/>
        </w:rPr>
        <w:t>建筑造型与装修</w:t>
      </w:r>
      <w:r>
        <w:rPr>
          <w:b/>
          <w:w w:val="99"/>
          <w:sz w:val="21"/>
        </w:rPr>
        <w:t> </w:t>
      </w:r>
    </w:p>
    <w:p>
      <w:pPr>
        <w:pStyle w:val="BodyText"/>
        <w:rPr>
          <w:b/>
          <w:sz w:val="18"/>
        </w:rPr>
      </w:pPr>
    </w:p>
    <w:p>
      <w:pPr>
        <w:pStyle w:val="ListParagraph"/>
        <w:numPr>
          <w:ilvl w:val="2"/>
          <w:numId w:val="790"/>
        </w:numPr>
        <w:tabs>
          <w:tab w:pos="1478" w:val="left" w:leader="none"/>
        </w:tabs>
        <w:spacing w:line="446" w:lineRule="auto" w:before="0" w:after="0"/>
        <w:ind w:left="418" w:right="1498" w:firstLine="422"/>
        <w:jc w:val="left"/>
        <w:rPr>
          <w:sz w:val="21"/>
        </w:rPr>
      </w:pPr>
      <w:r>
        <w:rPr>
          <w:spacing w:val="-3"/>
          <w:sz w:val="21"/>
        </w:rPr>
        <w:t>消防站的建筑外观应主题鲜明，造型应庄重简洁，宜采用体现消防站特点的装修风格，具有明确的标识性与可识别性，并应与周边环境相协调。</w:t>
      </w:r>
      <w:r>
        <w:rPr>
          <w:sz w:val="21"/>
        </w:rPr>
        <w:t> </w:t>
      </w:r>
    </w:p>
    <w:p>
      <w:pPr>
        <w:pStyle w:val="ListParagraph"/>
        <w:numPr>
          <w:ilvl w:val="2"/>
          <w:numId w:val="790"/>
        </w:numPr>
        <w:tabs>
          <w:tab w:pos="1478" w:val="left" w:leader="none"/>
        </w:tabs>
        <w:spacing w:line="446" w:lineRule="auto" w:before="0" w:after="0"/>
        <w:ind w:left="418" w:right="1601" w:firstLine="422"/>
        <w:jc w:val="left"/>
        <w:rPr>
          <w:sz w:val="21"/>
        </w:rPr>
      </w:pPr>
      <w:r>
        <w:rPr>
          <w:spacing w:val="-3"/>
          <w:sz w:val="21"/>
        </w:rPr>
        <w:t>消防站的内装修应适应消防员生活和业务训练的需要，并宜采用色彩明快和容易清洗的装修材料。</w:t>
      </w:r>
      <w:r>
        <w:rPr>
          <w:sz w:val="21"/>
        </w:rPr>
        <w:t> </w:t>
      </w:r>
    </w:p>
    <w:p>
      <w:pPr>
        <w:pStyle w:val="ListParagraph"/>
        <w:numPr>
          <w:ilvl w:val="2"/>
          <w:numId w:val="790"/>
        </w:numPr>
        <w:tabs>
          <w:tab w:pos="1478" w:val="left" w:leader="none"/>
        </w:tabs>
        <w:spacing w:line="240" w:lineRule="auto" w:before="0" w:after="0"/>
        <w:ind w:left="1477" w:right="0" w:hanging="638"/>
        <w:jc w:val="left"/>
        <w:rPr>
          <w:sz w:val="21"/>
        </w:rPr>
      </w:pPr>
      <w:r>
        <w:rPr>
          <w:spacing w:val="-7"/>
          <w:sz w:val="21"/>
        </w:rPr>
        <w:t>消防站的车库大门颜色宜采用 </w:t>
      </w:r>
      <w:r>
        <w:rPr>
          <w:sz w:val="21"/>
        </w:rPr>
        <w:t>R25</w:t>
      </w:r>
      <w:r>
        <w:rPr>
          <w:spacing w:val="-3"/>
          <w:sz w:val="21"/>
        </w:rPr>
        <w:t>。</w:t>
      </w:r>
      <w:r>
        <w:rPr>
          <w:sz w:val="21"/>
        </w:rPr>
        <w:t> </w:t>
      </w:r>
    </w:p>
    <w:p>
      <w:pPr>
        <w:pStyle w:val="BodyText"/>
        <w:spacing w:before="8"/>
        <w:rPr>
          <w:sz w:val="15"/>
        </w:rPr>
      </w:pPr>
    </w:p>
    <w:p>
      <w:pPr>
        <w:pStyle w:val="Heading4"/>
      </w:pPr>
      <w:r>
        <w:rPr/>
        <w:t>5 消防站场地设计</w:t>
      </w:r>
      <w:r>
        <w:rPr>
          <w:w w:val="99"/>
        </w:rPr>
        <w:t> </w:t>
      </w:r>
    </w:p>
    <w:p>
      <w:pPr>
        <w:pStyle w:val="BodyText"/>
        <w:spacing w:before="4"/>
        <w:rPr>
          <w:b/>
          <w:sz w:val="17"/>
        </w:rPr>
      </w:pPr>
    </w:p>
    <w:p>
      <w:pPr>
        <w:pStyle w:val="ListParagraph"/>
        <w:numPr>
          <w:ilvl w:val="1"/>
          <w:numId w:val="791"/>
        </w:numPr>
        <w:tabs>
          <w:tab w:pos="1159" w:val="left" w:leader="none"/>
        </w:tabs>
        <w:spacing w:line="240" w:lineRule="auto" w:before="0" w:after="0"/>
        <w:ind w:left="1158" w:right="0" w:hanging="319"/>
        <w:jc w:val="left"/>
        <w:rPr>
          <w:sz w:val="21"/>
        </w:rPr>
      </w:pPr>
      <w:r>
        <w:rPr>
          <w:spacing w:val="-3"/>
          <w:sz w:val="21"/>
        </w:rPr>
        <w:t>室外训练场</w:t>
      </w:r>
      <w:r>
        <w:rPr>
          <w:sz w:val="21"/>
        </w:rPr>
        <w:t> </w:t>
      </w:r>
    </w:p>
    <w:p>
      <w:pPr>
        <w:pStyle w:val="BodyText"/>
        <w:spacing w:before="2"/>
        <w:rPr>
          <w:sz w:val="18"/>
        </w:rPr>
      </w:pPr>
    </w:p>
    <w:p>
      <w:pPr>
        <w:pStyle w:val="ListParagraph"/>
        <w:numPr>
          <w:ilvl w:val="2"/>
          <w:numId w:val="791"/>
        </w:numPr>
        <w:tabs>
          <w:tab w:pos="1371" w:val="left" w:leader="none"/>
        </w:tabs>
        <w:spacing w:line="446" w:lineRule="auto" w:before="0" w:after="0"/>
        <w:ind w:left="418" w:right="1604" w:firstLine="422"/>
        <w:jc w:val="left"/>
        <w:rPr>
          <w:sz w:val="21"/>
        </w:rPr>
      </w:pPr>
      <w:r>
        <w:rPr>
          <w:spacing w:val="-3"/>
          <w:sz w:val="21"/>
        </w:rPr>
        <w:t>室外训练场应能容纳训练塔、篮球场、训练跑道、模拟训练场等；模拟训练场宜设有百米障碍训练、破拆训练、器械训练以及深井救助训练等装置和设施。</w:t>
      </w:r>
      <w:r>
        <w:rPr>
          <w:sz w:val="21"/>
        </w:rPr>
        <w:t> </w:t>
      </w:r>
    </w:p>
    <w:p>
      <w:pPr>
        <w:pStyle w:val="ListParagraph"/>
        <w:numPr>
          <w:ilvl w:val="2"/>
          <w:numId w:val="791"/>
        </w:numPr>
        <w:tabs>
          <w:tab w:pos="1371" w:val="left" w:leader="none"/>
        </w:tabs>
        <w:spacing w:line="446" w:lineRule="auto" w:before="0" w:after="0"/>
        <w:ind w:left="418" w:right="1604" w:firstLine="422"/>
        <w:jc w:val="left"/>
        <w:rPr>
          <w:sz w:val="21"/>
        </w:rPr>
      </w:pPr>
      <w:r>
        <w:rPr>
          <w:spacing w:val="-3"/>
          <w:sz w:val="21"/>
        </w:rPr>
        <w:t>室外训练场应根据场地特点合理规划布置各类训练装置、设施和功能区域，各训练装置和设施周边应有必需的安全空间。各功能区域间应保持合理间距。</w:t>
      </w:r>
      <w:r>
        <w:rPr>
          <w:sz w:val="21"/>
        </w:rPr>
        <w:t> </w:t>
      </w:r>
    </w:p>
    <w:p>
      <w:pPr>
        <w:pStyle w:val="ListParagraph"/>
        <w:numPr>
          <w:ilvl w:val="2"/>
          <w:numId w:val="791"/>
        </w:numPr>
        <w:tabs>
          <w:tab w:pos="1371" w:val="left" w:leader="none"/>
        </w:tabs>
        <w:spacing w:line="446" w:lineRule="auto" w:before="0" w:after="0"/>
        <w:ind w:left="418" w:right="1604" w:firstLine="422"/>
        <w:jc w:val="both"/>
        <w:rPr>
          <w:sz w:val="21"/>
        </w:rPr>
      </w:pPr>
      <w:r>
        <w:rPr>
          <w:spacing w:val="-3"/>
          <w:sz w:val="21"/>
        </w:rPr>
        <w:t>训练场地地面材料应满足训练的要求。训练跑道、单双杠等有落地缓冲需求的训练区地面宜采用塑胶或煤渣、砖粉末和土等非刚性材料，并应满足训练设施的安装、固定、更换和搬运需求。</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791"/>
        </w:numPr>
        <w:tabs>
          <w:tab w:pos="1371" w:val="left" w:leader="none"/>
        </w:tabs>
        <w:spacing w:line="446" w:lineRule="auto" w:before="47" w:after="0"/>
        <w:ind w:left="418" w:right="1498" w:firstLine="422"/>
        <w:jc w:val="left"/>
        <w:rPr>
          <w:sz w:val="21"/>
        </w:rPr>
      </w:pPr>
      <w:r>
        <w:rPr>
          <w:spacing w:val="-3"/>
          <w:sz w:val="21"/>
        </w:rPr>
        <w:t>封闭管理的训练场地的对外出入口不应少于两处，出口大小应满足人员出入方便、疏散安全和器材运输的要求。</w:t>
      </w:r>
      <w:r>
        <w:rPr>
          <w:sz w:val="21"/>
        </w:rPr>
        <w:t> </w:t>
      </w:r>
    </w:p>
    <w:p>
      <w:pPr>
        <w:pStyle w:val="ListParagraph"/>
        <w:numPr>
          <w:ilvl w:val="2"/>
          <w:numId w:val="791"/>
        </w:numPr>
        <w:tabs>
          <w:tab w:pos="1371" w:val="left" w:leader="none"/>
        </w:tabs>
        <w:spacing w:line="446" w:lineRule="auto" w:before="0" w:after="0"/>
        <w:ind w:left="418" w:right="1604" w:firstLine="422"/>
        <w:jc w:val="left"/>
        <w:rPr>
          <w:sz w:val="21"/>
        </w:rPr>
      </w:pPr>
      <w:r>
        <w:rPr>
          <w:spacing w:val="-3"/>
          <w:sz w:val="21"/>
        </w:rPr>
        <w:t>训练场地应采取有效的排水措施，宜在训练场地外侧设排水沟，排水明沟应使用漏水盖板。</w:t>
      </w:r>
      <w:r>
        <w:rPr>
          <w:sz w:val="21"/>
        </w:rPr>
        <w:t> </w:t>
      </w:r>
    </w:p>
    <w:p>
      <w:pPr>
        <w:pStyle w:val="ListParagraph"/>
        <w:numPr>
          <w:ilvl w:val="2"/>
          <w:numId w:val="791"/>
        </w:numPr>
        <w:tabs>
          <w:tab w:pos="1371" w:val="left" w:leader="none"/>
        </w:tabs>
        <w:spacing w:line="240" w:lineRule="auto" w:before="0" w:after="0"/>
        <w:ind w:left="1370" w:right="0" w:hanging="531"/>
        <w:jc w:val="left"/>
        <w:rPr>
          <w:sz w:val="21"/>
        </w:rPr>
      </w:pPr>
      <w:r>
        <w:rPr>
          <w:spacing w:val="-7"/>
          <w:sz w:val="21"/>
        </w:rPr>
        <w:t>训练场地横向坡度不应大于 </w:t>
      </w:r>
      <w:r>
        <w:rPr>
          <w:sz w:val="21"/>
        </w:rPr>
        <w:t>1</w:t>
      </w:r>
      <w:r>
        <w:rPr>
          <w:spacing w:val="-2"/>
          <w:sz w:val="21"/>
        </w:rPr>
        <w:t>%。</w:t>
      </w:r>
      <w:r>
        <w:rPr>
          <w:sz w:val="21"/>
        </w:rPr>
        <w:t> </w:t>
      </w:r>
    </w:p>
    <w:p>
      <w:pPr>
        <w:pStyle w:val="BodyText"/>
        <w:spacing w:before="10"/>
        <w:rPr>
          <w:sz w:val="17"/>
        </w:rPr>
      </w:pPr>
    </w:p>
    <w:p>
      <w:pPr>
        <w:pStyle w:val="ListParagraph"/>
        <w:numPr>
          <w:ilvl w:val="2"/>
          <w:numId w:val="791"/>
        </w:numPr>
        <w:tabs>
          <w:tab w:pos="1371" w:val="left" w:leader="none"/>
        </w:tabs>
        <w:spacing w:line="446" w:lineRule="auto" w:before="0" w:after="0"/>
        <w:ind w:left="418" w:right="1813" w:firstLine="422"/>
        <w:jc w:val="left"/>
        <w:rPr>
          <w:sz w:val="21"/>
        </w:rPr>
      </w:pPr>
      <w:r>
        <w:rPr>
          <w:spacing w:val="-3"/>
          <w:sz w:val="21"/>
        </w:rPr>
        <w:t>训练跑道和篮球场应满足消防业务训练的特殊需要，同时还应设置训练时列队观摩、规范操作、器材摆放和准备活动场地以及终点线后的缓冲场地。</w:t>
      </w:r>
      <w:r>
        <w:rPr>
          <w:sz w:val="21"/>
        </w:rPr>
        <w:t> </w:t>
      </w:r>
    </w:p>
    <w:p>
      <w:pPr>
        <w:pStyle w:val="ListParagraph"/>
        <w:numPr>
          <w:ilvl w:val="2"/>
          <w:numId w:val="791"/>
        </w:numPr>
        <w:tabs>
          <w:tab w:pos="1371" w:val="left" w:leader="none"/>
        </w:tabs>
        <w:spacing w:line="446" w:lineRule="auto" w:before="1" w:after="0"/>
        <w:ind w:left="838" w:right="5807" w:firstLine="2"/>
        <w:jc w:val="left"/>
        <w:rPr>
          <w:b/>
          <w:sz w:val="21"/>
        </w:rPr>
      </w:pPr>
      <w:r>
        <w:rPr>
          <w:spacing w:val="-2"/>
          <w:sz w:val="21"/>
        </w:rPr>
        <w:t>消防站跑道设置应符合下列规定： 应</w:t>
      </w:r>
      <w:r>
        <w:rPr>
          <w:spacing w:val="-12"/>
          <w:sz w:val="21"/>
        </w:rPr>
        <w:t>设置不低于 </w:t>
      </w:r>
      <w:r>
        <w:rPr>
          <w:sz w:val="21"/>
        </w:rPr>
        <w:t>65m×8m</w:t>
      </w:r>
      <w:r>
        <w:rPr>
          <w:spacing w:val="-9"/>
          <w:sz w:val="21"/>
        </w:rPr>
        <w:t> 的训练用直跑道；</w:t>
      </w:r>
      <w:r>
        <w:rPr>
          <w:b/>
          <w:w w:val="99"/>
          <w:sz w:val="21"/>
        </w:rPr>
        <w:t> </w:t>
      </w:r>
    </w:p>
    <w:p>
      <w:pPr>
        <w:pStyle w:val="BodyText"/>
        <w:ind w:left="838"/>
      </w:pPr>
      <w:r>
        <w:rPr/>
        <w:t>如场地允许，宜设置 110m×10m 的直跑道或 200m 以上环形跑道。 </w:t>
      </w:r>
    </w:p>
    <w:p>
      <w:pPr>
        <w:pStyle w:val="BodyText"/>
        <w:spacing w:before="12"/>
        <w:rPr>
          <w:sz w:val="17"/>
        </w:rPr>
      </w:pPr>
    </w:p>
    <w:p>
      <w:pPr>
        <w:pStyle w:val="ListParagraph"/>
        <w:numPr>
          <w:ilvl w:val="2"/>
          <w:numId w:val="791"/>
        </w:numPr>
        <w:tabs>
          <w:tab w:pos="1371" w:val="left" w:leader="none"/>
        </w:tabs>
        <w:spacing w:line="240" w:lineRule="auto" w:before="0" w:after="0"/>
        <w:ind w:left="1370" w:right="0" w:hanging="531"/>
        <w:jc w:val="left"/>
        <w:rPr>
          <w:sz w:val="21"/>
        </w:rPr>
      </w:pPr>
      <w:r>
        <w:rPr>
          <w:spacing w:val="-5"/>
          <w:sz w:val="21"/>
        </w:rPr>
        <w:t>应在室外训练场适当位置布置篮球场，其尺寸不应低于 </w:t>
      </w:r>
      <w:r>
        <w:rPr>
          <w:sz w:val="21"/>
        </w:rPr>
        <w:t>15m×28m。 </w:t>
      </w:r>
    </w:p>
    <w:p>
      <w:pPr>
        <w:pStyle w:val="BodyText"/>
        <w:spacing w:before="12"/>
        <w:rPr>
          <w:sz w:val="17"/>
        </w:rPr>
      </w:pPr>
    </w:p>
    <w:p>
      <w:pPr>
        <w:pStyle w:val="ListParagraph"/>
        <w:numPr>
          <w:ilvl w:val="2"/>
          <w:numId w:val="791"/>
        </w:numPr>
        <w:tabs>
          <w:tab w:pos="1478" w:val="left" w:leader="none"/>
        </w:tabs>
        <w:spacing w:line="240" w:lineRule="auto" w:before="0" w:after="0"/>
        <w:ind w:left="1477" w:right="0" w:hanging="638"/>
        <w:jc w:val="left"/>
        <w:rPr>
          <w:sz w:val="21"/>
        </w:rPr>
      </w:pPr>
      <w:r>
        <w:rPr>
          <w:spacing w:val="-3"/>
          <w:sz w:val="21"/>
        </w:rPr>
        <w:t>训练塔应符合下列规定：</w:t>
      </w:r>
      <w:r>
        <w:rPr>
          <w:sz w:val="21"/>
        </w:rPr>
        <w:t> </w:t>
      </w:r>
    </w:p>
    <w:p>
      <w:pPr>
        <w:pStyle w:val="BodyText"/>
        <w:spacing w:before="2"/>
        <w:rPr>
          <w:sz w:val="18"/>
        </w:rPr>
      </w:pPr>
    </w:p>
    <w:p>
      <w:pPr>
        <w:pStyle w:val="BodyText"/>
        <w:ind w:left="838"/>
        <w:rPr>
          <w:b/>
        </w:rPr>
      </w:pPr>
      <w:r>
        <w:rPr/>
        <w:t>训练塔宜设在靠近训练场地尽端的部位。</w:t>
      </w:r>
      <w:r>
        <w:rPr>
          <w:b/>
          <w:w w:val="99"/>
        </w:rPr>
        <w:t> </w:t>
      </w:r>
    </w:p>
    <w:p>
      <w:pPr>
        <w:pStyle w:val="BodyText"/>
        <w:rPr>
          <w:b/>
          <w:sz w:val="18"/>
        </w:rPr>
      </w:pPr>
    </w:p>
    <w:p>
      <w:pPr>
        <w:pStyle w:val="BodyText"/>
        <w:spacing w:line="446" w:lineRule="auto"/>
        <w:ind w:left="838" w:right="1505"/>
      </w:pPr>
      <w:r>
        <w:rPr>
          <w:spacing w:val="-3"/>
        </w:rPr>
        <w:t>训练塔层数不应少于六层，特勤消防站和辖区内高层建筑物较多时，可增加训练塔层数。</w:t>
      </w:r>
      <w:r>
        <w:rPr>
          <w:spacing w:val="-10"/>
        </w:rPr>
        <w:t>训练塔层高应为 </w:t>
      </w:r>
      <w:r>
        <w:rPr/>
        <w:t>3.5m</w:t>
      </w:r>
      <w:r>
        <w:rPr>
          <w:spacing w:val="-7"/>
        </w:rPr>
        <w:t>，首层层高应从室外地面算起(图 </w:t>
      </w:r>
      <w:r>
        <w:rPr/>
        <w:t>5.1.10-1)</w:t>
      </w:r>
      <w:r>
        <w:rPr>
          <w:spacing w:val="-3"/>
        </w:rPr>
        <w:t>。</w:t>
      </w:r>
      <w:r>
        <w:rPr/>
        <w:t> </w:t>
      </w:r>
    </w:p>
    <w:p>
      <w:pPr>
        <w:pStyle w:val="BodyText"/>
        <w:spacing w:line="446" w:lineRule="auto"/>
        <w:ind w:left="418" w:right="1613" w:firstLine="419"/>
      </w:pPr>
      <w:r>
        <w:rPr>
          <w:spacing w:val="-7"/>
        </w:rPr>
        <w:t>训练塔应设有净宽不小于 </w:t>
      </w:r>
      <w:r>
        <w:rPr/>
        <w:t>0.7m</w:t>
      </w:r>
      <w:r>
        <w:rPr>
          <w:spacing w:val="-10"/>
        </w:rPr>
        <w:t> 的内楼梯。每层内侧应设宽度不小于 </w:t>
      </w:r>
      <w:r>
        <w:rPr/>
        <w:t>1.5m</w:t>
      </w:r>
      <w:r>
        <w:rPr>
          <w:spacing w:val="-8"/>
        </w:rPr>
        <w:t> 的平台，顶层应</w:t>
      </w:r>
      <w:r>
        <w:rPr>
          <w:spacing w:val="-7"/>
        </w:rPr>
        <w:t>设楼板</w:t>
      </w:r>
      <w:r>
        <w:rPr>
          <w:spacing w:val="-3"/>
        </w:rPr>
        <w:t>（</w:t>
      </w:r>
      <w:r>
        <w:rPr>
          <w:spacing w:val="-27"/>
        </w:rPr>
        <w:t>图 </w:t>
      </w:r>
      <w:r>
        <w:rPr/>
        <w:t>5.1.10-1）。 </w:t>
      </w:r>
    </w:p>
    <w:p>
      <w:pPr>
        <w:pStyle w:val="BodyText"/>
        <w:spacing w:line="446" w:lineRule="auto"/>
        <w:ind w:left="418" w:right="1391" w:firstLine="419"/>
      </w:pPr>
      <w:r>
        <w:rPr/>
        <w:t>训练塔正面的窗口每层不应少于两个，窗口距塔边水平距离不应小于 0.65m，窗间墙的宽度不应小于 1.0m(图 5.1.10-l)。 </w:t>
      </w:r>
    </w:p>
    <w:p>
      <w:pPr>
        <w:pStyle w:val="BodyText"/>
        <w:spacing w:line="446" w:lineRule="auto"/>
        <w:ind w:left="418" w:right="1611" w:firstLine="419"/>
      </w:pPr>
      <w:r>
        <w:rPr/>
        <w:t>训练塔窗口的尺寸应为 1.2m×1.8m，窗台板距该层地面的高度（含窗台板高度）应为 0. 8m（图 5.1.10-1）</w:t>
      </w:r>
      <w:r>
        <w:rPr>
          <w:b/>
        </w:rPr>
        <w:t>。</w:t>
      </w:r>
      <w:r>
        <w:rPr>
          <w:w w:val="100"/>
        </w:rPr>
        <w:t> </w:t>
      </w:r>
    </w:p>
    <w:p>
      <w:pPr>
        <w:spacing w:after="0" w:line="446" w:lineRule="auto"/>
        <w:sectPr>
          <w:footerReference w:type="default" r:id="rId436"/>
          <w:pgSz w:w="11910" w:h="16850"/>
          <w:pgMar w:footer="1239" w:header="0" w:top="1220" w:bottom="1420" w:left="1260" w:right="0"/>
          <w:pgNumType w:start="1430"/>
        </w:sectPr>
      </w:pPr>
    </w:p>
    <w:p>
      <w:pPr>
        <w:pStyle w:val="BodyText"/>
        <w:spacing w:before="11"/>
        <w:rPr>
          <w:sz w:val="24"/>
        </w:rPr>
      </w:pPr>
    </w:p>
    <w:p>
      <w:pPr>
        <w:pStyle w:val="BodyText"/>
        <w:ind w:left="1473"/>
        <w:rPr>
          <w:sz w:val="20"/>
        </w:rPr>
      </w:pPr>
      <w:r>
        <w:rPr>
          <w:sz w:val="20"/>
        </w:rPr>
        <w:drawing>
          <wp:inline distT="0" distB="0" distL="0" distR="0">
            <wp:extent cx="4133961" cy="2162175"/>
            <wp:effectExtent l="0" t="0" r="0" b="0"/>
            <wp:docPr id="623" name="image360.jpeg"/>
            <wp:cNvGraphicFramePr>
              <a:graphicFrameLocks noChangeAspect="1"/>
            </wp:cNvGraphicFramePr>
            <a:graphic>
              <a:graphicData uri="http://schemas.openxmlformats.org/drawingml/2006/picture">
                <pic:pic>
                  <pic:nvPicPr>
                    <pic:cNvPr id="624" name="image360.jpeg"/>
                    <pic:cNvPicPr/>
                  </pic:nvPicPr>
                  <pic:blipFill>
                    <a:blip r:embed="rId437" cstate="print"/>
                    <a:stretch>
                      <a:fillRect/>
                    </a:stretch>
                  </pic:blipFill>
                  <pic:spPr>
                    <a:xfrm>
                      <a:off x="0" y="0"/>
                      <a:ext cx="4133961" cy="2162175"/>
                    </a:xfrm>
                    <a:prstGeom prst="rect">
                      <a:avLst/>
                    </a:prstGeom>
                  </pic:spPr>
                </pic:pic>
              </a:graphicData>
            </a:graphic>
          </wp:inline>
        </w:drawing>
      </w:r>
      <w:r>
        <w:rPr>
          <w:sz w:val="20"/>
        </w:rPr>
      </w:r>
    </w:p>
    <w:p>
      <w:pPr>
        <w:pStyle w:val="BodyText"/>
        <w:spacing w:before="7"/>
        <w:rPr>
          <w:sz w:val="9"/>
        </w:rPr>
      </w:pPr>
    </w:p>
    <w:p>
      <w:pPr>
        <w:pStyle w:val="Heading6"/>
        <w:spacing w:before="72"/>
        <w:ind w:left="2938"/>
      </w:pPr>
      <w:r>
        <w:rPr/>
        <w:t>图 5.1.10-1 窗口及平台示意图(单位：mm) </w:t>
      </w:r>
    </w:p>
    <w:p>
      <w:pPr>
        <w:pStyle w:val="BodyText"/>
        <w:spacing w:before="12"/>
        <w:rPr>
          <w:b/>
          <w:sz w:val="17"/>
        </w:rPr>
      </w:pPr>
    </w:p>
    <w:p>
      <w:pPr>
        <w:pStyle w:val="BodyText"/>
        <w:spacing w:line="446" w:lineRule="auto" w:before="1"/>
        <w:ind w:left="418" w:right="1498" w:firstLine="419"/>
      </w:pPr>
      <w:r>
        <w:rPr/>
        <w:t>训练塔的窗台上应设有可更换的木质窗台板，窗台板宽度应为 0.4m，窗台板应突出前塔壁0.05m。训练塔塔壁上应设置木质垫板（图 5.1.10-2）。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BodyText"/>
        <w:spacing w:before="72"/>
        <w:ind w:left="838"/>
      </w:pPr>
      <w:r>
        <w:rPr>
          <w:w w:val="100"/>
        </w:rPr>
        <w:t> </w:t>
      </w:r>
    </w:p>
    <w:p>
      <w:pPr>
        <w:spacing w:after="0"/>
        <w:sectPr>
          <w:pgSz w:w="11910" w:h="16850"/>
          <w:pgMar w:header="0" w:footer="1239" w:top="1600" w:bottom="1420" w:left="1260" w:right="0"/>
        </w:sectPr>
      </w:pPr>
    </w:p>
    <w:p>
      <w:pPr>
        <w:pStyle w:val="BodyText"/>
        <w:spacing w:before="3"/>
        <w:rPr>
          <w:sz w:val="17"/>
        </w:rPr>
      </w:pPr>
    </w:p>
    <w:p>
      <w:pPr>
        <w:pStyle w:val="BodyText"/>
        <w:ind w:left="1763"/>
        <w:rPr>
          <w:sz w:val="20"/>
        </w:rPr>
      </w:pPr>
      <w:r>
        <w:rPr>
          <w:sz w:val="20"/>
        </w:rPr>
        <w:drawing>
          <wp:inline distT="0" distB="0" distL="0" distR="0">
            <wp:extent cx="3364891" cy="3055239"/>
            <wp:effectExtent l="0" t="0" r="0" b="0"/>
            <wp:docPr id="625" name="image361.jpeg"/>
            <wp:cNvGraphicFramePr>
              <a:graphicFrameLocks noChangeAspect="1"/>
            </wp:cNvGraphicFramePr>
            <a:graphic>
              <a:graphicData uri="http://schemas.openxmlformats.org/drawingml/2006/picture">
                <pic:pic>
                  <pic:nvPicPr>
                    <pic:cNvPr id="626" name="image361.jpeg"/>
                    <pic:cNvPicPr/>
                  </pic:nvPicPr>
                  <pic:blipFill>
                    <a:blip r:embed="rId438" cstate="print"/>
                    <a:stretch>
                      <a:fillRect/>
                    </a:stretch>
                  </pic:blipFill>
                  <pic:spPr>
                    <a:xfrm>
                      <a:off x="0" y="0"/>
                      <a:ext cx="3364891" cy="3055239"/>
                    </a:xfrm>
                    <a:prstGeom prst="rect">
                      <a:avLst/>
                    </a:prstGeom>
                  </pic:spPr>
                </pic:pic>
              </a:graphicData>
            </a:graphic>
          </wp:inline>
        </w:drawing>
      </w:r>
      <w:r>
        <w:rPr>
          <w:sz w:val="20"/>
        </w:rPr>
      </w:r>
    </w:p>
    <w:p>
      <w:pPr>
        <w:pStyle w:val="BodyText"/>
        <w:spacing w:before="10"/>
        <w:rPr>
          <w:sz w:val="7"/>
        </w:rPr>
      </w:pPr>
    </w:p>
    <w:p>
      <w:pPr>
        <w:pStyle w:val="Heading6"/>
        <w:spacing w:before="72"/>
        <w:ind w:left="2727"/>
      </w:pPr>
      <w:r>
        <w:rPr/>
        <w:t>图 5.1.10-2 窗台及塔壁板结构示意图(单位：mm) </w:t>
      </w:r>
    </w:p>
    <w:p>
      <w:pPr>
        <w:pStyle w:val="BodyText"/>
        <w:spacing w:before="12"/>
        <w:rPr>
          <w:b/>
          <w:sz w:val="17"/>
        </w:rPr>
      </w:pPr>
    </w:p>
    <w:p>
      <w:pPr>
        <w:pStyle w:val="BodyText"/>
        <w:ind w:left="838"/>
      </w:pPr>
      <w:r>
        <w:rPr/>
        <w:t>训练塔宜设置室外消防梯。消防梯应通至训练塔顶，宜离地面 3m 高处设起，宽度不宜小于</w:t>
      </w:r>
    </w:p>
    <w:p>
      <w:pPr>
        <w:pStyle w:val="BodyText"/>
        <w:spacing w:before="2"/>
        <w:rPr>
          <w:sz w:val="18"/>
        </w:rPr>
      </w:pPr>
    </w:p>
    <w:p>
      <w:pPr>
        <w:pStyle w:val="BodyText"/>
        <w:spacing w:before="1"/>
        <w:ind w:left="418"/>
      </w:pPr>
      <w:r>
        <w:rPr/>
        <w:t>0.5m。 </w:t>
      </w:r>
    </w:p>
    <w:p>
      <w:pPr>
        <w:pStyle w:val="BodyText"/>
        <w:spacing w:before="12"/>
        <w:rPr>
          <w:sz w:val="17"/>
        </w:rPr>
      </w:pPr>
    </w:p>
    <w:p>
      <w:pPr>
        <w:pStyle w:val="BodyText"/>
        <w:spacing w:line="446" w:lineRule="auto"/>
        <w:ind w:left="838" w:right="2134"/>
      </w:pPr>
      <w:r>
        <w:rPr>
          <w:spacing w:val="-3"/>
        </w:rPr>
        <w:t>训练塔顶部应设置绳索救援训练安全保护滑轮、安全钩、缓降器固定装置和绳索。训练塔应设置攀登墙角，并应安装避雷线、落水管。 </w:t>
      </w:r>
    </w:p>
    <w:p>
      <w:pPr>
        <w:pStyle w:val="BodyText"/>
        <w:spacing w:line="446" w:lineRule="auto"/>
        <w:ind w:left="418" w:right="1609" w:firstLine="419"/>
      </w:pPr>
      <w:r>
        <w:rPr/>
        <w:t>训练塔应设置绳索训练的固定锚点和备用锚点。锚点可以是梁、柱、楼梯栏杆或预埋的金属件。接触安全绳的部位宜采用木质材料。 </w:t>
      </w:r>
    </w:p>
    <w:p>
      <w:pPr>
        <w:pStyle w:val="BodyText"/>
        <w:spacing w:line="448" w:lineRule="auto"/>
        <w:ind w:left="838" w:right="2765"/>
      </w:pPr>
      <w:r>
        <w:rPr>
          <w:spacing w:val="-3"/>
        </w:rPr>
        <w:t>钢结构训练塔塔体材料应选用热镀锌材料或进行热喷涂等防锈、防腐处理。</w:t>
      </w:r>
      <w:r>
        <w:rPr>
          <w:spacing w:val="-7"/>
        </w:rPr>
        <w:t>训练塔的正面应设置不小于 </w:t>
      </w:r>
      <w:r>
        <w:rPr/>
        <w:t>50m×8m</w:t>
      </w:r>
      <w:r>
        <w:rPr>
          <w:spacing w:val="-10"/>
        </w:rPr>
        <w:t> 的训练跑道。</w:t>
      </w:r>
      <w:r>
        <w:rPr/>
        <w:t> </w:t>
      </w:r>
    </w:p>
    <w:p>
      <w:pPr>
        <w:pStyle w:val="BodyText"/>
        <w:spacing w:line="446" w:lineRule="auto"/>
        <w:ind w:left="418" w:right="1609" w:firstLine="419"/>
      </w:pPr>
      <w:r>
        <w:rPr/>
        <w:t>有条件的地区，训练塔可建有模拟防盗门、卷帘门、防盗网、电梯升降井、烟热训练室、低压配电室等训练设施，还可设置 18m×18m 登高车操作场。 </w:t>
      </w:r>
    </w:p>
    <w:p>
      <w:pPr>
        <w:pStyle w:val="ListParagraph"/>
        <w:numPr>
          <w:ilvl w:val="2"/>
          <w:numId w:val="791"/>
        </w:numPr>
        <w:tabs>
          <w:tab w:pos="1478" w:val="left" w:leader="none"/>
        </w:tabs>
        <w:spacing w:line="446" w:lineRule="auto" w:before="0" w:after="0"/>
        <w:ind w:left="418" w:right="1602" w:firstLine="422"/>
        <w:jc w:val="left"/>
        <w:rPr>
          <w:sz w:val="21"/>
        </w:rPr>
      </w:pPr>
      <w:r>
        <w:rPr>
          <w:spacing w:val="-3"/>
          <w:sz w:val="21"/>
        </w:rPr>
        <w:t>训练塔外宜设置训练用室外消火栓和水泵接合器，其位置应避免与消防车训练或登高训练相冲突，水泵接合器宜采用地上式。</w:t>
      </w:r>
      <w:r>
        <w:rPr>
          <w:sz w:val="21"/>
        </w:rPr>
        <w:t> </w:t>
      </w:r>
    </w:p>
    <w:p>
      <w:pPr>
        <w:pStyle w:val="ListParagraph"/>
        <w:numPr>
          <w:ilvl w:val="2"/>
          <w:numId w:val="791"/>
        </w:numPr>
        <w:tabs>
          <w:tab w:pos="1478" w:val="left" w:leader="none"/>
        </w:tabs>
        <w:spacing w:line="267" w:lineRule="exact" w:before="0" w:after="0"/>
        <w:ind w:left="1477" w:right="0" w:hanging="638"/>
        <w:jc w:val="left"/>
        <w:rPr>
          <w:sz w:val="21"/>
        </w:rPr>
      </w:pPr>
      <w:r>
        <w:rPr>
          <w:spacing w:val="-3"/>
          <w:sz w:val="21"/>
        </w:rPr>
        <w:t>攀岩训练设施可依托训练塔或建筑的承重墙体进行建设。</w:t>
      </w:r>
      <w:r>
        <w:rPr>
          <w:sz w:val="21"/>
        </w:rPr>
        <w:t> </w:t>
      </w:r>
    </w:p>
    <w:p>
      <w:pPr>
        <w:pStyle w:val="BodyText"/>
        <w:spacing w:before="7"/>
        <w:rPr>
          <w:sz w:val="17"/>
        </w:rPr>
      </w:pPr>
    </w:p>
    <w:p>
      <w:pPr>
        <w:pStyle w:val="ListParagraph"/>
        <w:numPr>
          <w:ilvl w:val="2"/>
          <w:numId w:val="791"/>
        </w:numPr>
        <w:tabs>
          <w:tab w:pos="1478" w:val="left" w:leader="none"/>
        </w:tabs>
        <w:spacing w:line="240" w:lineRule="auto" w:before="0" w:after="0"/>
        <w:ind w:left="1477" w:right="0" w:hanging="638"/>
        <w:jc w:val="left"/>
        <w:rPr>
          <w:sz w:val="21"/>
        </w:rPr>
      </w:pPr>
      <w:r>
        <w:rPr>
          <w:spacing w:val="-5"/>
          <w:sz w:val="21"/>
        </w:rPr>
        <w:t>百米障碍训练场应包括板障、独木桥和两条专用跑道，每条跑道不应小于 </w:t>
      </w:r>
      <w:r>
        <w:rPr>
          <w:sz w:val="21"/>
        </w:rPr>
        <w:t>100m×</w:t>
      </w:r>
    </w:p>
    <w:p>
      <w:pPr>
        <w:pStyle w:val="BodyText"/>
        <w:rPr>
          <w:sz w:val="18"/>
        </w:rPr>
      </w:pPr>
    </w:p>
    <w:p>
      <w:pPr>
        <w:pStyle w:val="BodyText"/>
        <w:ind w:left="418"/>
      </w:pPr>
      <w:r>
        <w:rPr/>
        <w:t>2.5m。 </w:t>
      </w:r>
    </w:p>
    <w:p>
      <w:pPr>
        <w:spacing w:after="0"/>
        <w:sectPr>
          <w:pgSz w:w="11910" w:h="16850"/>
          <w:pgMar w:header="0" w:footer="1239" w:top="1600" w:bottom="1420" w:left="1260" w:right="0"/>
        </w:sectPr>
      </w:pPr>
    </w:p>
    <w:p>
      <w:pPr>
        <w:pStyle w:val="ListParagraph"/>
        <w:numPr>
          <w:ilvl w:val="2"/>
          <w:numId w:val="791"/>
        </w:numPr>
        <w:tabs>
          <w:tab w:pos="1478" w:val="left" w:leader="none"/>
        </w:tabs>
        <w:spacing w:line="446" w:lineRule="auto" w:before="47" w:after="0"/>
        <w:ind w:left="418" w:right="1498" w:firstLine="422"/>
        <w:jc w:val="left"/>
        <w:rPr>
          <w:sz w:val="21"/>
        </w:rPr>
      </w:pPr>
      <w:r>
        <w:rPr>
          <w:spacing w:val="-3"/>
          <w:sz w:val="21"/>
        </w:rPr>
        <w:t>破拆训练场可根据需要设有模拟墙体和模拟防盗门、卷帘门、窗户栅栏、钢结构围栏等训练设施。模拟墙体可为木结构墙体、砖石砌体以及钢筋混凝土墙体等形式。</w:t>
      </w:r>
      <w:r>
        <w:rPr>
          <w:sz w:val="21"/>
        </w:rPr>
        <w:t> </w:t>
      </w:r>
    </w:p>
    <w:p>
      <w:pPr>
        <w:pStyle w:val="ListParagraph"/>
        <w:numPr>
          <w:ilvl w:val="2"/>
          <w:numId w:val="791"/>
        </w:numPr>
        <w:tabs>
          <w:tab w:pos="1478" w:val="left" w:leader="none"/>
        </w:tabs>
        <w:spacing w:line="446" w:lineRule="auto" w:before="0" w:after="0"/>
        <w:ind w:left="418" w:right="1608" w:firstLine="422"/>
        <w:jc w:val="left"/>
        <w:rPr>
          <w:sz w:val="21"/>
        </w:rPr>
      </w:pPr>
      <w:r>
        <w:rPr>
          <w:spacing w:val="-3"/>
          <w:sz w:val="21"/>
        </w:rPr>
        <w:t>器械训练场宜设有单杠、双杠、爬绳和爬竿等常规训练器械和多功能体能训练器械</w:t>
      </w:r>
      <w:r>
        <w:rPr>
          <w:spacing w:val="-5"/>
          <w:sz w:val="21"/>
        </w:rPr>
        <w:t>。各种训练器械宜建在相对独立的训练区域。单杠宜采用高杠，其训练场地不宜小于 </w:t>
      </w:r>
      <w:r>
        <w:rPr>
          <w:sz w:val="21"/>
        </w:rPr>
        <w:t>4m</w:t>
      </w:r>
      <w:r>
        <w:rPr>
          <w:spacing w:val="10"/>
          <w:sz w:val="21"/>
        </w:rPr>
        <w:t>× </w:t>
      </w:r>
      <w:r>
        <w:rPr>
          <w:sz w:val="21"/>
        </w:rPr>
        <w:t>3m </w:t>
      </w:r>
      <w:r>
        <w:rPr>
          <w:spacing w:val="-3"/>
          <w:sz w:val="21"/>
        </w:rPr>
        <w:t>。双杠宜采用可移动升降式，当受条件限制时，也可采用埋地式双杠，其训练场地不宜小于</w:t>
      </w:r>
    </w:p>
    <w:p>
      <w:pPr>
        <w:pStyle w:val="BodyText"/>
        <w:spacing w:line="268" w:lineRule="exact"/>
        <w:ind w:left="418"/>
      </w:pPr>
      <w:r>
        <w:rPr/>
        <w:t>4m×3m。 </w:t>
      </w:r>
    </w:p>
    <w:p>
      <w:pPr>
        <w:pStyle w:val="BodyText"/>
        <w:rPr>
          <w:sz w:val="18"/>
        </w:rPr>
      </w:pPr>
    </w:p>
    <w:p>
      <w:pPr>
        <w:pStyle w:val="BodyText"/>
        <w:spacing w:line="446" w:lineRule="auto"/>
        <w:ind w:left="418" w:right="1923" w:firstLine="419"/>
      </w:pPr>
      <w:r>
        <w:rPr/>
        <w:t>多功能体能训练器械及场地应符合现行国家标准《室外健身器材的安全通用要求》GB 19272 的有关规定。 </w:t>
      </w:r>
    </w:p>
    <w:p>
      <w:pPr>
        <w:pStyle w:val="ListParagraph"/>
        <w:numPr>
          <w:ilvl w:val="2"/>
          <w:numId w:val="791"/>
        </w:numPr>
        <w:tabs>
          <w:tab w:pos="1478" w:val="left" w:leader="none"/>
        </w:tabs>
        <w:spacing w:line="446" w:lineRule="auto" w:before="0" w:after="0"/>
        <w:ind w:left="418" w:right="1601" w:firstLine="422"/>
        <w:jc w:val="left"/>
        <w:rPr>
          <w:sz w:val="21"/>
        </w:rPr>
      </w:pPr>
      <w:r>
        <w:rPr>
          <w:spacing w:val="-3"/>
          <w:sz w:val="21"/>
        </w:rPr>
        <w:t>深井救助训练场一般可模拟竖井、斜井、横坑中一种或多种。模拟深井训练设施可依托训练塔建设，也可建在地下，竖井与斜井可组合建设，并应符合下列规定：</w:t>
      </w:r>
      <w:r>
        <w:rPr>
          <w:sz w:val="21"/>
        </w:rPr>
        <w:t> </w:t>
      </w:r>
    </w:p>
    <w:p>
      <w:pPr>
        <w:pStyle w:val="BodyText"/>
        <w:spacing w:line="446" w:lineRule="auto"/>
        <w:ind w:left="418" w:right="1443" w:firstLine="419"/>
      </w:pPr>
      <w:r>
        <w:rPr/>
        <w:t>深井救助训练设施应设有井口平台、井壁和紧急出口等结构，占地面积宜为 50～100m</w:t>
      </w:r>
      <w:r>
        <w:rPr>
          <w:position w:val="11"/>
          <w:sz w:val="11"/>
        </w:rPr>
        <w:t>2</w:t>
      </w:r>
      <w:r>
        <w:rPr/>
        <w:t>，深度不应小于 7m。 </w:t>
      </w:r>
    </w:p>
    <w:p>
      <w:pPr>
        <w:pStyle w:val="BodyText"/>
        <w:spacing w:line="446" w:lineRule="auto"/>
        <w:ind w:left="418" w:right="1505" w:firstLine="419"/>
      </w:pPr>
      <w:r>
        <w:rPr>
          <w:w w:val="100"/>
        </w:rPr>
        <w:t> </w:t>
      </w:r>
      <w:r>
        <w:rPr/>
        <w:t>建在地上的模拟深井训练设施，宜采用网栅结构，并应加装遮光设施；建在地下的模拟深井训练设施，宜采用钢筋混凝土结构，应设置应急照明和紧急出口，宜设置监控系统。 </w:t>
      </w:r>
    </w:p>
    <w:p>
      <w:pPr>
        <w:pStyle w:val="BodyText"/>
        <w:spacing w:line="267" w:lineRule="exact"/>
        <w:ind w:left="838"/>
      </w:pPr>
      <w:r>
        <w:rPr>
          <w:w w:val="100"/>
        </w:rPr>
        <w:t> </w:t>
      </w:r>
      <w:r>
        <w:rPr/>
        <w:t>建在地下的模拟横坑、斜井应设置紧急通道、导向灯、应急广播和送风设备。 </w:t>
      </w:r>
    </w:p>
    <w:p>
      <w:pPr>
        <w:pStyle w:val="BodyText"/>
        <w:spacing w:before="2"/>
        <w:rPr>
          <w:sz w:val="17"/>
        </w:rPr>
      </w:pPr>
    </w:p>
    <w:p>
      <w:pPr>
        <w:pStyle w:val="BodyText"/>
        <w:spacing w:line="446" w:lineRule="auto" w:before="1"/>
        <w:ind w:left="418" w:right="1609" w:firstLine="419"/>
      </w:pPr>
      <w:r>
        <w:rPr/>
        <w:t>深井救助训练设施上方应设置固定安全保护滑轮、安全钩以及缓降器的承重框架。接触安全绳的部位宜采用木质材料。 </w:t>
      </w:r>
    </w:p>
    <w:p>
      <w:pPr>
        <w:pStyle w:val="ListParagraph"/>
        <w:numPr>
          <w:ilvl w:val="1"/>
          <w:numId w:val="792"/>
        </w:numPr>
        <w:tabs>
          <w:tab w:pos="1159" w:val="left" w:leader="none"/>
        </w:tabs>
        <w:spacing w:line="267" w:lineRule="exact" w:before="0" w:after="0"/>
        <w:ind w:left="1158" w:right="0" w:hanging="319"/>
        <w:jc w:val="left"/>
        <w:rPr>
          <w:sz w:val="21"/>
        </w:rPr>
      </w:pPr>
      <w:r>
        <w:rPr>
          <w:spacing w:val="-3"/>
          <w:sz w:val="21"/>
        </w:rPr>
        <w:t>道路</w:t>
      </w:r>
      <w:r>
        <w:rPr>
          <w:sz w:val="21"/>
        </w:rPr>
        <w:t> </w:t>
      </w:r>
    </w:p>
    <w:p>
      <w:pPr>
        <w:pStyle w:val="BodyText"/>
        <w:spacing w:before="1"/>
        <w:rPr>
          <w:sz w:val="18"/>
        </w:rPr>
      </w:pPr>
    </w:p>
    <w:p>
      <w:pPr>
        <w:pStyle w:val="ListParagraph"/>
        <w:numPr>
          <w:ilvl w:val="2"/>
          <w:numId w:val="792"/>
        </w:numPr>
        <w:tabs>
          <w:tab w:pos="1371" w:val="left" w:leader="none"/>
        </w:tabs>
        <w:spacing w:line="240" w:lineRule="auto" w:before="1" w:after="0"/>
        <w:ind w:left="1370" w:right="0" w:hanging="531"/>
        <w:jc w:val="left"/>
        <w:rPr>
          <w:sz w:val="21"/>
        </w:rPr>
      </w:pPr>
      <w:r>
        <w:rPr>
          <w:spacing w:val="-3"/>
          <w:sz w:val="21"/>
        </w:rPr>
        <w:t>路面面层材料宜选用沥青混凝土，也可选用水泥混凝土，但不宜选用砂石路面。</w:t>
      </w:r>
      <w:r>
        <w:rPr>
          <w:sz w:val="21"/>
        </w:rPr>
        <w:t> </w:t>
      </w:r>
    </w:p>
    <w:p>
      <w:pPr>
        <w:pStyle w:val="BodyText"/>
        <w:rPr>
          <w:sz w:val="18"/>
        </w:rPr>
      </w:pPr>
    </w:p>
    <w:p>
      <w:pPr>
        <w:pStyle w:val="ListParagraph"/>
        <w:numPr>
          <w:ilvl w:val="2"/>
          <w:numId w:val="792"/>
        </w:numPr>
        <w:tabs>
          <w:tab w:pos="1371" w:val="left" w:leader="none"/>
        </w:tabs>
        <w:spacing w:line="446" w:lineRule="auto" w:before="0" w:after="0"/>
        <w:ind w:left="418" w:right="1707" w:firstLine="422"/>
        <w:jc w:val="left"/>
        <w:rPr>
          <w:sz w:val="21"/>
        </w:rPr>
      </w:pPr>
      <w:r>
        <w:rPr>
          <w:spacing w:val="-3"/>
          <w:sz w:val="21"/>
        </w:rPr>
        <w:t>消防站内消防车通行的道路尺寸应满足本站最大长度消防车转弯半径和回车的要求</w:t>
      </w:r>
      <w:r>
        <w:rPr>
          <w:spacing w:val="-8"/>
          <w:sz w:val="21"/>
        </w:rPr>
        <w:t>。回车场地不应小于 </w:t>
      </w:r>
      <w:r>
        <w:rPr>
          <w:sz w:val="21"/>
        </w:rPr>
        <w:t>12m×12m</w:t>
      </w:r>
      <w:r>
        <w:rPr>
          <w:spacing w:val="-6"/>
          <w:sz w:val="21"/>
        </w:rPr>
        <w:t>，配置重型消防车时回车场地不宜小于 </w:t>
      </w:r>
      <w:r>
        <w:rPr>
          <w:sz w:val="21"/>
        </w:rPr>
        <w:t>18m×18m</w:t>
      </w:r>
      <w:r>
        <w:rPr>
          <w:spacing w:val="-3"/>
          <w:sz w:val="21"/>
        </w:rPr>
        <w:t>。</w:t>
      </w:r>
      <w:r>
        <w:rPr>
          <w:sz w:val="21"/>
        </w:rPr>
        <w:t> </w:t>
      </w:r>
    </w:p>
    <w:p>
      <w:pPr>
        <w:pStyle w:val="ListParagraph"/>
        <w:numPr>
          <w:ilvl w:val="2"/>
          <w:numId w:val="792"/>
        </w:numPr>
        <w:tabs>
          <w:tab w:pos="1371" w:val="left" w:leader="none"/>
        </w:tabs>
        <w:spacing w:line="446" w:lineRule="auto" w:before="0" w:after="0"/>
        <w:ind w:left="418" w:right="1604" w:firstLine="422"/>
        <w:jc w:val="left"/>
        <w:rPr>
          <w:sz w:val="21"/>
        </w:rPr>
      </w:pPr>
      <w:r>
        <w:rPr>
          <w:spacing w:val="-3"/>
          <w:sz w:val="21"/>
        </w:rPr>
        <w:t>消防站内消防车通行的道路承载应满足重型消防车的通过要求，其他道路应满足正常通行的要求。</w:t>
      </w:r>
      <w:r>
        <w:rPr>
          <w:sz w:val="21"/>
        </w:rPr>
        <w:t> </w:t>
      </w:r>
    </w:p>
    <w:p>
      <w:pPr>
        <w:pStyle w:val="ListParagraph"/>
        <w:numPr>
          <w:ilvl w:val="2"/>
          <w:numId w:val="792"/>
        </w:numPr>
        <w:tabs>
          <w:tab w:pos="1371" w:val="left" w:leader="none"/>
        </w:tabs>
        <w:spacing w:line="267" w:lineRule="exact" w:before="0" w:after="0"/>
        <w:ind w:left="1370" w:right="0" w:hanging="531"/>
        <w:jc w:val="left"/>
        <w:rPr>
          <w:sz w:val="21"/>
        </w:rPr>
      </w:pPr>
      <w:r>
        <w:rPr>
          <w:spacing w:val="-3"/>
          <w:sz w:val="21"/>
        </w:rPr>
        <w:t>消防站内的车道宜设置必要的排水没施。窨井不宜设置在主干道和车库前。 </w:t>
      </w:r>
    </w:p>
    <w:p>
      <w:pPr>
        <w:pStyle w:val="BodyText"/>
        <w:spacing w:before="10"/>
        <w:rPr>
          <w:sz w:val="15"/>
        </w:rPr>
      </w:pPr>
    </w:p>
    <w:p>
      <w:pPr>
        <w:pStyle w:val="Heading4"/>
      </w:pPr>
      <w:r>
        <w:rPr/>
        <w:t>6 建筑设备与其他设施</w:t>
      </w:r>
      <w:r>
        <w:rPr>
          <w:w w:val="99"/>
        </w:rPr>
        <w:t> </w:t>
      </w:r>
    </w:p>
    <w:p>
      <w:pPr>
        <w:pStyle w:val="BodyText"/>
        <w:spacing w:before="4"/>
        <w:rPr>
          <w:b/>
          <w:sz w:val="17"/>
        </w:rPr>
      </w:pPr>
    </w:p>
    <w:p>
      <w:pPr>
        <w:pStyle w:val="ListParagraph"/>
        <w:numPr>
          <w:ilvl w:val="1"/>
          <w:numId w:val="793"/>
        </w:numPr>
        <w:tabs>
          <w:tab w:pos="1159" w:val="left" w:leader="none"/>
        </w:tabs>
        <w:spacing w:line="240" w:lineRule="auto" w:before="0" w:after="0"/>
        <w:ind w:left="1158" w:right="0" w:hanging="319"/>
        <w:jc w:val="left"/>
        <w:rPr>
          <w:b/>
          <w:sz w:val="21"/>
        </w:rPr>
      </w:pPr>
      <w:r>
        <w:rPr>
          <w:spacing w:val="-3"/>
          <w:sz w:val="21"/>
        </w:rPr>
        <w:t>给水排水</w:t>
      </w:r>
      <w:r>
        <w:rPr>
          <w:b/>
          <w:w w:val="99"/>
          <w:sz w:val="21"/>
        </w:rPr>
        <w:t> </w:t>
      </w:r>
    </w:p>
    <w:p>
      <w:pPr>
        <w:pStyle w:val="BodyText"/>
        <w:rPr>
          <w:b/>
          <w:sz w:val="18"/>
        </w:rPr>
      </w:pPr>
    </w:p>
    <w:p>
      <w:pPr>
        <w:pStyle w:val="ListParagraph"/>
        <w:numPr>
          <w:ilvl w:val="2"/>
          <w:numId w:val="793"/>
        </w:numPr>
        <w:tabs>
          <w:tab w:pos="1371" w:val="left" w:leader="none"/>
        </w:tabs>
        <w:spacing w:line="446" w:lineRule="auto" w:before="0" w:after="0"/>
        <w:ind w:left="418" w:right="1445" w:firstLine="422"/>
        <w:jc w:val="left"/>
        <w:rPr>
          <w:sz w:val="21"/>
        </w:rPr>
      </w:pPr>
      <w:r>
        <w:rPr>
          <w:spacing w:val="-3"/>
          <w:sz w:val="21"/>
        </w:rPr>
        <w:t>消防站的生活给排水设计应按现行国家标准《建筑给水排水设计规范》</w:t>
      </w:r>
      <w:r>
        <w:rPr>
          <w:sz w:val="21"/>
        </w:rPr>
        <w:t>GB</w:t>
      </w:r>
      <w:r>
        <w:rPr>
          <w:spacing w:val="23"/>
          <w:sz w:val="21"/>
        </w:rPr>
        <w:t> </w:t>
      </w:r>
      <w:r>
        <w:rPr>
          <w:sz w:val="21"/>
        </w:rPr>
        <w:t>50015</w:t>
      </w:r>
      <w:r>
        <w:rPr>
          <w:spacing w:val="-14"/>
          <w:sz w:val="21"/>
        </w:rPr>
        <w:t> 的有</w:t>
      </w:r>
      <w:r>
        <w:rPr>
          <w:spacing w:val="-5"/>
          <w:sz w:val="21"/>
        </w:rPr>
        <w:t>关规定执行。</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793"/>
        </w:numPr>
        <w:tabs>
          <w:tab w:pos="1371" w:val="left" w:leader="none"/>
        </w:tabs>
        <w:spacing w:line="240" w:lineRule="auto" w:before="47" w:after="0"/>
        <w:ind w:left="1370" w:right="0" w:hanging="531"/>
        <w:jc w:val="left"/>
        <w:rPr>
          <w:sz w:val="21"/>
        </w:rPr>
      </w:pPr>
      <w:r>
        <w:rPr>
          <w:spacing w:val="-3"/>
          <w:sz w:val="21"/>
        </w:rPr>
        <w:t>消防站的训练场或消防车库门外应设置取水用的室外消火栓或墙式消火栓。</w:t>
      </w:r>
      <w:r>
        <w:rPr>
          <w:sz w:val="21"/>
        </w:rPr>
        <w:t> </w:t>
      </w:r>
    </w:p>
    <w:p>
      <w:pPr>
        <w:pStyle w:val="BodyText"/>
        <w:rPr>
          <w:sz w:val="18"/>
        </w:rPr>
      </w:pPr>
    </w:p>
    <w:p>
      <w:pPr>
        <w:pStyle w:val="ListParagraph"/>
        <w:numPr>
          <w:ilvl w:val="2"/>
          <w:numId w:val="793"/>
        </w:numPr>
        <w:tabs>
          <w:tab w:pos="1371" w:val="left" w:leader="none"/>
        </w:tabs>
        <w:spacing w:line="446" w:lineRule="auto" w:before="0" w:after="0"/>
        <w:ind w:left="418" w:right="1604" w:firstLine="422"/>
        <w:jc w:val="left"/>
        <w:rPr>
          <w:sz w:val="21"/>
        </w:rPr>
      </w:pPr>
      <w:r>
        <w:rPr>
          <w:spacing w:val="-3"/>
          <w:sz w:val="21"/>
        </w:rPr>
        <w:t>严寒及寒冷地区的消防车库内应设置供消防车上水的专用设施和排水设施，供水流</w:t>
      </w:r>
      <w:r>
        <w:rPr>
          <w:spacing w:val="-12"/>
          <w:sz w:val="21"/>
        </w:rPr>
        <w:t>量不应小于 </w:t>
      </w:r>
      <w:r>
        <w:rPr>
          <w:sz w:val="21"/>
        </w:rPr>
        <w:t>15L/s</w:t>
      </w:r>
      <w:r>
        <w:rPr>
          <w:spacing w:val="-3"/>
          <w:sz w:val="21"/>
        </w:rPr>
        <w:t>。</w:t>
      </w:r>
      <w:r>
        <w:rPr>
          <w:sz w:val="21"/>
        </w:rPr>
        <w:t> </w:t>
      </w:r>
    </w:p>
    <w:p>
      <w:pPr>
        <w:pStyle w:val="ListParagraph"/>
        <w:numPr>
          <w:ilvl w:val="2"/>
          <w:numId w:val="793"/>
        </w:numPr>
        <w:tabs>
          <w:tab w:pos="1371" w:val="left" w:leader="none"/>
        </w:tabs>
        <w:spacing w:line="240" w:lineRule="auto" w:before="0" w:after="0"/>
        <w:ind w:left="1370" w:right="0" w:hanging="531"/>
        <w:jc w:val="left"/>
        <w:rPr>
          <w:sz w:val="21"/>
        </w:rPr>
      </w:pPr>
      <w:r>
        <w:rPr>
          <w:spacing w:val="-3"/>
          <w:sz w:val="21"/>
        </w:rPr>
        <w:t>训练塔内外应设置专用排水设施。</w:t>
      </w:r>
      <w:r>
        <w:rPr>
          <w:sz w:val="21"/>
        </w:rPr>
        <w:t> </w:t>
      </w:r>
    </w:p>
    <w:p>
      <w:pPr>
        <w:pStyle w:val="BodyText"/>
        <w:spacing w:before="12"/>
        <w:rPr>
          <w:sz w:val="17"/>
        </w:rPr>
      </w:pPr>
    </w:p>
    <w:p>
      <w:pPr>
        <w:pStyle w:val="ListParagraph"/>
        <w:numPr>
          <w:ilvl w:val="2"/>
          <w:numId w:val="793"/>
        </w:numPr>
        <w:tabs>
          <w:tab w:pos="1371" w:val="left" w:leader="none"/>
        </w:tabs>
        <w:spacing w:line="240" w:lineRule="auto" w:before="0" w:after="0"/>
        <w:ind w:left="1370" w:right="0" w:hanging="531"/>
        <w:jc w:val="left"/>
        <w:rPr>
          <w:sz w:val="21"/>
        </w:rPr>
      </w:pPr>
      <w:r>
        <w:rPr>
          <w:spacing w:val="-3"/>
          <w:sz w:val="21"/>
        </w:rPr>
        <w:t>严寒及寒冷地区给排水管道、消防管道应采取防冻措施。</w:t>
      </w:r>
      <w:r>
        <w:rPr>
          <w:sz w:val="21"/>
        </w:rPr>
        <w:t> </w:t>
      </w:r>
    </w:p>
    <w:p>
      <w:pPr>
        <w:pStyle w:val="BodyText"/>
        <w:rPr>
          <w:sz w:val="18"/>
        </w:rPr>
      </w:pPr>
    </w:p>
    <w:p>
      <w:pPr>
        <w:pStyle w:val="ListParagraph"/>
        <w:numPr>
          <w:ilvl w:val="2"/>
          <w:numId w:val="793"/>
        </w:numPr>
        <w:tabs>
          <w:tab w:pos="1371" w:val="left" w:leader="none"/>
        </w:tabs>
        <w:spacing w:line="240" w:lineRule="auto" w:before="0" w:after="0"/>
        <w:ind w:left="1370" w:right="0" w:hanging="531"/>
        <w:jc w:val="left"/>
        <w:rPr>
          <w:sz w:val="21"/>
        </w:rPr>
      </w:pPr>
      <w:r>
        <w:rPr>
          <w:spacing w:val="-3"/>
          <w:sz w:val="21"/>
        </w:rPr>
        <w:t>消防站内宜设置废水收集池，经处理后，达到现行国家排放标准时方可排放。</w:t>
      </w:r>
      <w:r>
        <w:rPr>
          <w:sz w:val="21"/>
        </w:rPr>
        <w:t> </w:t>
      </w:r>
    </w:p>
    <w:p>
      <w:pPr>
        <w:pStyle w:val="BodyText"/>
        <w:spacing w:before="2"/>
        <w:rPr>
          <w:sz w:val="18"/>
        </w:rPr>
      </w:pPr>
    </w:p>
    <w:p>
      <w:pPr>
        <w:pStyle w:val="ListParagraph"/>
        <w:numPr>
          <w:ilvl w:val="1"/>
          <w:numId w:val="793"/>
        </w:numPr>
        <w:tabs>
          <w:tab w:pos="1159" w:val="left" w:leader="none"/>
        </w:tabs>
        <w:spacing w:line="240" w:lineRule="auto" w:before="0" w:after="0"/>
        <w:ind w:left="1158" w:right="0" w:hanging="319"/>
        <w:jc w:val="left"/>
        <w:rPr>
          <w:sz w:val="21"/>
        </w:rPr>
      </w:pPr>
      <w:r>
        <w:rPr>
          <w:spacing w:val="-3"/>
          <w:sz w:val="21"/>
        </w:rPr>
        <w:t>采暖、通风、空调和防排烟</w:t>
      </w:r>
      <w:r>
        <w:rPr>
          <w:sz w:val="21"/>
        </w:rPr>
        <w:t> </w:t>
      </w:r>
    </w:p>
    <w:p>
      <w:pPr>
        <w:pStyle w:val="BodyText"/>
        <w:rPr>
          <w:sz w:val="18"/>
        </w:rPr>
      </w:pPr>
    </w:p>
    <w:p>
      <w:pPr>
        <w:pStyle w:val="ListParagraph"/>
        <w:numPr>
          <w:ilvl w:val="2"/>
          <w:numId w:val="793"/>
        </w:numPr>
        <w:tabs>
          <w:tab w:pos="1371" w:val="left" w:leader="none"/>
        </w:tabs>
        <w:spacing w:line="446" w:lineRule="auto" w:before="0" w:after="0"/>
        <w:ind w:left="418" w:right="1498" w:firstLine="422"/>
        <w:jc w:val="left"/>
        <w:rPr>
          <w:sz w:val="21"/>
        </w:rPr>
      </w:pPr>
      <w:r>
        <w:rPr>
          <w:spacing w:val="-3"/>
          <w:sz w:val="21"/>
        </w:rPr>
        <w:t>消防站的建筑用房应优先采用自然通风消除室内余热、余湿，并应满足室内卫生要求，当自然通风不能满足要求时，宜采用机械通风。 </w:t>
      </w:r>
    </w:p>
    <w:p>
      <w:pPr>
        <w:pStyle w:val="ListParagraph"/>
        <w:numPr>
          <w:ilvl w:val="2"/>
          <w:numId w:val="793"/>
        </w:numPr>
        <w:tabs>
          <w:tab w:pos="1371" w:val="left" w:leader="none"/>
        </w:tabs>
        <w:spacing w:line="446" w:lineRule="auto" w:before="0" w:after="0"/>
        <w:ind w:left="418" w:right="1604" w:firstLine="422"/>
        <w:jc w:val="left"/>
        <w:rPr>
          <w:sz w:val="21"/>
        </w:rPr>
      </w:pPr>
      <w:r>
        <w:rPr>
          <w:spacing w:val="-3"/>
          <w:sz w:val="21"/>
        </w:rPr>
        <w:t>位于采暖地区的消防站应按国家现行相关标准的规定设置采暖设施，并应优先使用城市热网或集中供暖。</w:t>
      </w:r>
      <w:r>
        <w:rPr>
          <w:sz w:val="21"/>
        </w:rPr>
        <w:t> </w:t>
      </w:r>
    </w:p>
    <w:p>
      <w:pPr>
        <w:pStyle w:val="ListParagraph"/>
        <w:numPr>
          <w:ilvl w:val="2"/>
          <w:numId w:val="793"/>
        </w:numPr>
        <w:tabs>
          <w:tab w:pos="1371" w:val="left" w:leader="none"/>
        </w:tabs>
        <w:spacing w:line="446" w:lineRule="auto" w:before="0" w:after="0"/>
        <w:ind w:left="418" w:right="1553" w:firstLine="422"/>
        <w:jc w:val="left"/>
        <w:rPr>
          <w:sz w:val="21"/>
        </w:rPr>
      </w:pPr>
      <w:r>
        <w:rPr>
          <w:spacing w:val="-6"/>
          <w:sz w:val="21"/>
        </w:rPr>
        <w:t>消防车库的室内温度不宜低于 </w:t>
      </w:r>
      <w:r>
        <w:rPr>
          <w:sz w:val="21"/>
        </w:rPr>
        <w:t>10</w:t>
      </w:r>
      <w:r>
        <w:rPr>
          <w:spacing w:val="-3"/>
          <w:sz w:val="21"/>
        </w:rPr>
        <w:t>℃。非采暖地区的消防车库，应根据需要采取防冻措施。</w:t>
      </w:r>
      <w:r>
        <w:rPr>
          <w:sz w:val="21"/>
        </w:rPr>
        <w:t> </w:t>
      </w:r>
    </w:p>
    <w:p>
      <w:pPr>
        <w:pStyle w:val="ListParagraph"/>
        <w:numPr>
          <w:ilvl w:val="2"/>
          <w:numId w:val="793"/>
        </w:numPr>
        <w:tabs>
          <w:tab w:pos="1371" w:val="left" w:leader="none"/>
        </w:tabs>
        <w:spacing w:line="446" w:lineRule="auto" w:before="0" w:after="0"/>
        <w:ind w:left="418" w:right="1553" w:firstLine="422"/>
        <w:jc w:val="left"/>
        <w:rPr>
          <w:sz w:val="21"/>
        </w:rPr>
      </w:pPr>
      <w:r>
        <w:rPr>
          <w:spacing w:val="-7"/>
          <w:sz w:val="21"/>
        </w:rPr>
        <w:t>最热月平均温度超过 </w:t>
      </w:r>
      <w:r>
        <w:rPr>
          <w:sz w:val="21"/>
        </w:rPr>
        <w:t>25</w:t>
      </w:r>
      <w:r>
        <w:rPr>
          <w:spacing w:val="-3"/>
          <w:sz w:val="21"/>
        </w:rPr>
        <w:t>℃地区消防站的备勤室、餐厅和通信室、体能训练室等宜设空调等降温设施或预留安装空调等降温设施的位置。 </w:t>
      </w:r>
    </w:p>
    <w:p>
      <w:pPr>
        <w:pStyle w:val="ListParagraph"/>
        <w:numPr>
          <w:ilvl w:val="2"/>
          <w:numId w:val="793"/>
        </w:numPr>
        <w:tabs>
          <w:tab w:pos="1371" w:val="left" w:leader="none"/>
        </w:tabs>
        <w:spacing w:line="446" w:lineRule="auto" w:before="0" w:after="0"/>
        <w:ind w:left="418" w:right="1551" w:firstLine="422"/>
        <w:jc w:val="left"/>
        <w:rPr>
          <w:sz w:val="21"/>
        </w:rPr>
      </w:pPr>
      <w:r>
        <w:rPr>
          <w:spacing w:val="-3"/>
          <w:sz w:val="21"/>
        </w:rPr>
        <w:t>消防站建筑的防排烟设计应符合现行国家标准《建筑设计防火规范》</w:t>
      </w:r>
      <w:r>
        <w:rPr>
          <w:sz w:val="21"/>
        </w:rPr>
        <w:t>GB</w:t>
      </w:r>
      <w:r>
        <w:rPr>
          <w:spacing w:val="14"/>
          <w:sz w:val="21"/>
        </w:rPr>
        <w:t> </w:t>
      </w:r>
      <w:r>
        <w:rPr>
          <w:sz w:val="21"/>
        </w:rPr>
        <w:t>50016</w:t>
      </w:r>
      <w:r>
        <w:rPr>
          <w:spacing w:val="-16"/>
          <w:sz w:val="21"/>
        </w:rPr>
        <w:t> 的有</w:t>
      </w:r>
      <w:r>
        <w:rPr>
          <w:spacing w:val="-6"/>
          <w:sz w:val="21"/>
        </w:rPr>
        <w:t>关规定。</w:t>
      </w:r>
      <w:r>
        <w:rPr>
          <w:sz w:val="21"/>
        </w:rPr>
        <w:t> </w:t>
      </w:r>
    </w:p>
    <w:p>
      <w:pPr>
        <w:pStyle w:val="ListParagraph"/>
        <w:numPr>
          <w:ilvl w:val="1"/>
          <w:numId w:val="793"/>
        </w:numPr>
        <w:tabs>
          <w:tab w:pos="1159" w:val="left" w:leader="none"/>
        </w:tabs>
        <w:spacing w:line="267" w:lineRule="exact" w:before="0" w:after="0"/>
        <w:ind w:left="1158" w:right="0" w:hanging="319"/>
        <w:jc w:val="left"/>
        <w:rPr>
          <w:b/>
          <w:sz w:val="21"/>
        </w:rPr>
      </w:pPr>
      <w:r>
        <w:rPr>
          <w:spacing w:val="-3"/>
          <w:sz w:val="21"/>
        </w:rPr>
        <w:t>防雷与接地</w:t>
      </w:r>
      <w:r>
        <w:rPr>
          <w:b/>
          <w:w w:val="99"/>
          <w:sz w:val="21"/>
        </w:rPr>
        <w:t> </w:t>
      </w:r>
    </w:p>
    <w:p>
      <w:pPr>
        <w:pStyle w:val="BodyText"/>
        <w:spacing w:before="12"/>
        <w:rPr>
          <w:b/>
          <w:sz w:val="17"/>
        </w:rPr>
      </w:pPr>
    </w:p>
    <w:p>
      <w:pPr>
        <w:pStyle w:val="ListParagraph"/>
        <w:numPr>
          <w:ilvl w:val="2"/>
          <w:numId w:val="793"/>
        </w:numPr>
        <w:tabs>
          <w:tab w:pos="1371" w:val="left" w:leader="none"/>
        </w:tabs>
        <w:spacing w:line="240" w:lineRule="auto" w:before="0" w:after="0"/>
        <w:ind w:left="1370" w:right="0" w:hanging="531"/>
        <w:jc w:val="left"/>
        <w:rPr>
          <w:sz w:val="21"/>
        </w:rPr>
      </w:pPr>
      <w:r>
        <w:rPr>
          <w:spacing w:val="-3"/>
          <w:sz w:val="21"/>
        </w:rPr>
        <w:t>消防站建筑与设施的防雷应符合现行国家标准《建筑物防雷设计规范》</w:t>
      </w:r>
      <w:r>
        <w:rPr>
          <w:sz w:val="21"/>
        </w:rPr>
        <w:t>GB</w:t>
      </w:r>
      <w:r>
        <w:rPr>
          <w:spacing w:val="2"/>
          <w:sz w:val="21"/>
        </w:rPr>
        <w:t> </w:t>
      </w:r>
      <w:r>
        <w:rPr>
          <w:sz w:val="21"/>
        </w:rPr>
        <w:t>50057</w:t>
      </w:r>
      <w:r>
        <w:rPr>
          <w:spacing w:val="-26"/>
          <w:sz w:val="21"/>
        </w:rPr>
        <w:t> 和</w:t>
      </w:r>
    </w:p>
    <w:p>
      <w:pPr>
        <w:pStyle w:val="BodyText"/>
        <w:rPr>
          <w:sz w:val="18"/>
        </w:rPr>
      </w:pPr>
    </w:p>
    <w:p>
      <w:pPr>
        <w:pStyle w:val="BodyText"/>
        <w:spacing w:line="446" w:lineRule="auto"/>
        <w:ind w:left="840" w:right="4395" w:hanging="423"/>
      </w:pPr>
      <w:r>
        <w:rPr>
          <w:spacing w:val="-3"/>
        </w:rPr>
        <w:t>《建筑物电子信息系统防雷设计规范》</w:t>
      </w:r>
      <w:r>
        <w:rPr/>
        <w:t>GB 50343</w:t>
      </w:r>
      <w:r>
        <w:rPr>
          <w:spacing w:val="-9"/>
        </w:rPr>
        <w:t> 的有关规定。</w:t>
      </w:r>
      <w:r>
        <w:rPr>
          <w:b/>
        </w:rPr>
        <w:t>6.3.2</w:t>
      </w:r>
      <w:r>
        <w:rPr>
          <w:b/>
          <w:spacing w:val="104"/>
        </w:rPr>
        <w:t> </w:t>
      </w:r>
      <w:r>
        <w:rPr>
          <w:spacing w:val="-3"/>
        </w:rPr>
        <w:t>消防站的接地应符合下列要求：</w:t>
      </w:r>
      <w:r>
        <w:rPr/>
        <w:t> </w:t>
      </w:r>
    </w:p>
    <w:p>
      <w:pPr>
        <w:pStyle w:val="BodyText"/>
        <w:spacing w:line="446" w:lineRule="auto"/>
        <w:ind w:left="418" w:right="1609" w:firstLine="419"/>
      </w:pPr>
      <w:r>
        <w:rPr/>
        <w:t>交流功能接地、保护接地、直流功能接地、防雷接地等各种接地宜共用接地网，接地电阻应按其中最小值确定； </w:t>
      </w:r>
    </w:p>
    <w:p>
      <w:pPr>
        <w:pStyle w:val="BodyText"/>
        <w:spacing w:line="267" w:lineRule="exact"/>
        <w:ind w:left="838"/>
      </w:pPr>
      <w:r>
        <w:rPr/>
        <w:t>当接地采用分设方式时，各接地系统的接地电阻应按设备要求的最小值确定。 </w:t>
      </w:r>
    </w:p>
    <w:p>
      <w:pPr>
        <w:pStyle w:val="BodyText"/>
        <w:spacing w:before="2"/>
        <w:rPr>
          <w:sz w:val="18"/>
        </w:rPr>
      </w:pPr>
    </w:p>
    <w:p>
      <w:pPr>
        <w:pStyle w:val="BodyText"/>
        <w:spacing w:line="446" w:lineRule="auto"/>
        <w:ind w:left="418" w:right="1604" w:firstLine="422"/>
      </w:pPr>
      <w:r>
        <w:rPr>
          <w:b/>
        </w:rPr>
        <w:t>6.3.3 </w:t>
      </w:r>
      <w:r>
        <w:rPr/>
        <w:t>建筑物内应做总等电位联结，进出建筑物的金属管道、电缆的金属外皮和电缆的金属保护导管、配电设备的外壳等均应与总等电位端子箱连接。 </w:t>
      </w:r>
    </w:p>
    <w:p>
      <w:pPr>
        <w:pStyle w:val="ListParagraph"/>
        <w:numPr>
          <w:ilvl w:val="1"/>
          <w:numId w:val="793"/>
        </w:numPr>
        <w:tabs>
          <w:tab w:pos="1159" w:val="left" w:leader="none"/>
        </w:tabs>
        <w:spacing w:line="267" w:lineRule="exact" w:before="0" w:after="0"/>
        <w:ind w:left="1158" w:right="0" w:hanging="319"/>
        <w:jc w:val="left"/>
        <w:rPr>
          <w:sz w:val="21"/>
        </w:rPr>
      </w:pPr>
      <w:r>
        <w:rPr>
          <w:spacing w:val="-3"/>
          <w:sz w:val="21"/>
        </w:rPr>
        <w:t>综合布线</w:t>
      </w:r>
      <w:r>
        <w:rPr>
          <w:sz w:val="21"/>
        </w:rPr>
        <w:t> </w:t>
      </w:r>
    </w:p>
    <w:p>
      <w:pPr>
        <w:pStyle w:val="BodyText"/>
        <w:spacing w:before="2"/>
        <w:rPr>
          <w:sz w:val="18"/>
        </w:rPr>
      </w:pPr>
    </w:p>
    <w:p>
      <w:pPr>
        <w:pStyle w:val="ListParagraph"/>
        <w:numPr>
          <w:ilvl w:val="2"/>
          <w:numId w:val="793"/>
        </w:numPr>
        <w:tabs>
          <w:tab w:pos="1371" w:val="left" w:leader="none"/>
        </w:tabs>
        <w:spacing w:line="240" w:lineRule="auto" w:before="0" w:after="0"/>
        <w:ind w:left="1370" w:right="0" w:hanging="531"/>
        <w:jc w:val="left"/>
        <w:rPr>
          <w:sz w:val="21"/>
        </w:rPr>
      </w:pPr>
      <w:r>
        <w:rPr>
          <w:spacing w:val="-3"/>
          <w:sz w:val="21"/>
        </w:rPr>
        <w:t>消防站宜采用光纤和铜缆同时接入的通信方式。</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793"/>
        </w:numPr>
        <w:tabs>
          <w:tab w:pos="1371" w:val="left" w:leader="none"/>
        </w:tabs>
        <w:spacing w:line="446" w:lineRule="auto" w:before="47" w:after="0"/>
        <w:ind w:left="418" w:right="1553" w:firstLine="422"/>
        <w:jc w:val="left"/>
        <w:rPr>
          <w:sz w:val="21"/>
        </w:rPr>
      </w:pPr>
      <w:r>
        <w:rPr>
          <w:spacing w:val="-3"/>
          <w:sz w:val="21"/>
        </w:rPr>
        <w:t>消防站的布线应符合现行国家标准《综合布线系统工程设计规范》</w:t>
      </w:r>
      <w:r>
        <w:rPr>
          <w:sz w:val="21"/>
        </w:rPr>
        <w:t>GB</w:t>
      </w:r>
      <w:r>
        <w:rPr>
          <w:spacing w:val="11"/>
          <w:sz w:val="21"/>
        </w:rPr>
        <w:t> </w:t>
      </w:r>
      <w:r>
        <w:rPr>
          <w:sz w:val="21"/>
        </w:rPr>
        <w:t>50311</w:t>
      </w:r>
      <w:r>
        <w:rPr>
          <w:spacing w:val="-13"/>
          <w:sz w:val="21"/>
        </w:rPr>
        <w:t> 的有关</w:t>
      </w:r>
      <w:r>
        <w:rPr>
          <w:spacing w:val="-10"/>
          <w:sz w:val="21"/>
        </w:rPr>
        <w:t>规定。</w:t>
      </w:r>
      <w:r>
        <w:rPr>
          <w:sz w:val="21"/>
        </w:rPr>
        <w:t> </w:t>
      </w:r>
    </w:p>
    <w:p>
      <w:pPr>
        <w:pStyle w:val="ListParagraph"/>
        <w:numPr>
          <w:ilvl w:val="1"/>
          <w:numId w:val="793"/>
        </w:numPr>
        <w:tabs>
          <w:tab w:pos="1159" w:val="left" w:leader="none"/>
        </w:tabs>
        <w:spacing w:line="267" w:lineRule="exact" w:before="0" w:after="0"/>
        <w:ind w:left="1158" w:right="0" w:hanging="319"/>
        <w:jc w:val="left"/>
        <w:rPr>
          <w:b/>
          <w:sz w:val="21"/>
        </w:rPr>
      </w:pPr>
      <w:r>
        <w:rPr>
          <w:spacing w:val="-3"/>
          <w:sz w:val="21"/>
        </w:rPr>
        <w:t>电气</w:t>
      </w:r>
      <w:r>
        <w:rPr>
          <w:b/>
          <w:w w:val="99"/>
          <w:sz w:val="21"/>
        </w:rPr>
        <w:t> </w:t>
      </w:r>
    </w:p>
    <w:p>
      <w:pPr>
        <w:pStyle w:val="BodyText"/>
        <w:spacing w:before="2"/>
        <w:rPr>
          <w:b/>
          <w:sz w:val="18"/>
        </w:rPr>
      </w:pPr>
    </w:p>
    <w:p>
      <w:pPr>
        <w:pStyle w:val="ListParagraph"/>
        <w:numPr>
          <w:ilvl w:val="2"/>
          <w:numId w:val="793"/>
        </w:numPr>
        <w:tabs>
          <w:tab w:pos="1371" w:val="left" w:leader="none"/>
        </w:tabs>
        <w:spacing w:line="446" w:lineRule="auto" w:before="0" w:after="0"/>
        <w:ind w:left="418" w:right="1604" w:firstLine="422"/>
        <w:jc w:val="left"/>
        <w:rPr>
          <w:sz w:val="21"/>
        </w:rPr>
      </w:pPr>
      <w:r>
        <w:rPr>
          <w:spacing w:val="-3"/>
          <w:sz w:val="21"/>
        </w:rPr>
        <w:t>消防站的供电负荷等级不宜低于二级，并应设置配电室和备用电源。备用电源应满足消防站正常运转所需重要设备的用电需求。</w:t>
      </w:r>
      <w:r>
        <w:rPr>
          <w:sz w:val="21"/>
        </w:rPr>
        <w:t> </w:t>
      </w:r>
    </w:p>
    <w:p>
      <w:pPr>
        <w:pStyle w:val="ListParagraph"/>
        <w:numPr>
          <w:ilvl w:val="2"/>
          <w:numId w:val="793"/>
        </w:numPr>
        <w:tabs>
          <w:tab w:pos="1371" w:val="left" w:leader="none"/>
        </w:tabs>
        <w:spacing w:line="267" w:lineRule="exact" w:before="0" w:after="0"/>
        <w:ind w:left="1370" w:right="0" w:hanging="531"/>
        <w:jc w:val="left"/>
        <w:rPr>
          <w:sz w:val="21"/>
        </w:rPr>
      </w:pPr>
      <w:r>
        <w:rPr>
          <w:spacing w:val="-3"/>
          <w:sz w:val="21"/>
        </w:rPr>
        <w:t>消防站应设置正常照明和应急照明两种系统，并应符合下列规定：</w:t>
      </w:r>
      <w:r>
        <w:rPr>
          <w:sz w:val="21"/>
        </w:rPr>
        <w:t> </w:t>
      </w:r>
    </w:p>
    <w:p>
      <w:pPr>
        <w:pStyle w:val="BodyText"/>
        <w:spacing w:before="2"/>
        <w:rPr>
          <w:sz w:val="18"/>
        </w:rPr>
      </w:pPr>
    </w:p>
    <w:p>
      <w:pPr>
        <w:pStyle w:val="BodyText"/>
        <w:spacing w:line="446" w:lineRule="auto"/>
        <w:ind w:left="418" w:right="1497" w:firstLine="419"/>
      </w:pPr>
      <w:r>
        <w:rPr/>
        <w:t>消防站主要用房及场地的照度标准应符合现行同家标准《建筑照明设计标准》GB 50034 的有关规定； </w:t>
      </w:r>
    </w:p>
    <w:p>
      <w:pPr>
        <w:pStyle w:val="BodyText"/>
        <w:spacing w:line="446" w:lineRule="auto"/>
        <w:ind w:left="418" w:right="1609" w:firstLine="419"/>
      </w:pPr>
      <w:r>
        <w:rPr/>
        <w:t>备勤室、车库、通信室、体能训练室、会议室、图书阅览室、餐厅及公共通道等应设置应急照明；  </w:t>
      </w:r>
      <w:r>
        <w:rPr>
          <w:w w:val="100"/>
        </w:rPr>
        <w:t> </w:t>
      </w:r>
      <w:r>
        <w:rPr/>
        <w:t> </w:t>
      </w:r>
      <w:r>
        <w:rPr>
          <w:w w:val="100"/>
        </w:rPr>
        <w:t> </w:t>
      </w:r>
      <w:r>
        <w:rPr/>
        <w:t> </w:t>
      </w:r>
      <w:r>
        <w:rPr>
          <w:w w:val="100"/>
        </w:rPr>
        <w:t> </w:t>
      </w:r>
    </w:p>
    <w:p>
      <w:pPr>
        <w:pStyle w:val="BodyText"/>
        <w:ind w:left="838"/>
      </w:pPr>
      <w:r>
        <w:rPr/>
        <w:t>公共走道、楼梯间应设疏散指示灯和出口指示灯； </w:t>
      </w:r>
    </w:p>
    <w:p>
      <w:pPr>
        <w:pStyle w:val="BodyText"/>
        <w:spacing w:before="10"/>
        <w:rPr>
          <w:sz w:val="17"/>
        </w:rPr>
      </w:pPr>
    </w:p>
    <w:p>
      <w:pPr>
        <w:pStyle w:val="BodyText"/>
        <w:spacing w:line="446" w:lineRule="auto"/>
        <w:ind w:left="838" w:right="4237"/>
      </w:pPr>
      <w:r>
        <w:rPr/>
        <w:t>通向车库通道的所有照明灯具在报警响起时应能自动开启； 应使用高效能灯具及定时钟或光电开关。 </w:t>
      </w:r>
    </w:p>
    <w:p>
      <w:pPr>
        <w:pStyle w:val="ListParagraph"/>
        <w:numPr>
          <w:ilvl w:val="2"/>
          <w:numId w:val="793"/>
        </w:numPr>
        <w:tabs>
          <w:tab w:pos="1371" w:val="left" w:leader="none"/>
        </w:tabs>
        <w:spacing w:line="446" w:lineRule="auto" w:before="1" w:after="0"/>
        <w:ind w:left="418" w:right="1604" w:firstLine="422"/>
        <w:jc w:val="left"/>
        <w:rPr>
          <w:sz w:val="21"/>
        </w:rPr>
      </w:pPr>
      <w:r>
        <w:rPr>
          <w:spacing w:val="-3"/>
          <w:sz w:val="21"/>
        </w:rPr>
        <w:t>消防站内应设置有线通信、电视、计算机网络、视频监控和广播系统，并应符合下列规定：</w:t>
      </w:r>
      <w:r>
        <w:rPr>
          <w:sz w:val="21"/>
        </w:rPr>
        <w:t> </w:t>
      </w:r>
    </w:p>
    <w:p>
      <w:pPr>
        <w:pStyle w:val="BodyText"/>
        <w:ind w:left="838"/>
      </w:pPr>
      <w:r>
        <w:rPr/>
        <w:t>宜在会议室、通信室、财务室、干部备勤室、心理辅导室等设置电话插口； </w:t>
      </w:r>
    </w:p>
    <w:p>
      <w:pPr>
        <w:pStyle w:val="BodyText"/>
        <w:spacing w:before="12"/>
        <w:rPr>
          <w:sz w:val="17"/>
        </w:rPr>
      </w:pPr>
    </w:p>
    <w:p>
      <w:pPr>
        <w:pStyle w:val="BodyText"/>
        <w:ind w:left="838"/>
      </w:pPr>
      <w:r>
        <w:rPr/>
        <w:t>宜在餐厅、会议室、干部备勤室、家属探亲用房、俱乐部等设置有线电视接收点； </w:t>
      </w:r>
    </w:p>
    <w:p>
      <w:pPr>
        <w:pStyle w:val="BodyText"/>
        <w:spacing w:before="12"/>
        <w:rPr>
          <w:sz w:val="17"/>
        </w:rPr>
      </w:pPr>
    </w:p>
    <w:p>
      <w:pPr>
        <w:pStyle w:val="BodyText"/>
        <w:spacing w:line="446" w:lineRule="auto"/>
        <w:ind w:left="418" w:right="1609" w:firstLine="419"/>
      </w:pPr>
      <w:r>
        <w:rPr/>
        <w:t>宜在会议室、通信室、干部备勤室、家属探亲用房、俱乐部、灭火救援研讨室、电脑室等设置计算机网络接口； </w:t>
      </w:r>
    </w:p>
    <w:p>
      <w:pPr>
        <w:pStyle w:val="BodyText"/>
        <w:spacing w:before="1"/>
        <w:ind w:left="838"/>
      </w:pPr>
      <w:r>
        <w:rPr/>
        <w:t>火警广播宜设置在各室内及走道内。 </w:t>
      </w:r>
    </w:p>
    <w:p>
      <w:pPr>
        <w:pStyle w:val="BodyText"/>
        <w:spacing w:before="12"/>
        <w:rPr>
          <w:sz w:val="17"/>
        </w:rPr>
      </w:pPr>
    </w:p>
    <w:p>
      <w:pPr>
        <w:pStyle w:val="ListParagraph"/>
        <w:numPr>
          <w:ilvl w:val="2"/>
          <w:numId w:val="793"/>
        </w:numPr>
        <w:tabs>
          <w:tab w:pos="1371" w:val="left" w:leader="none"/>
        </w:tabs>
        <w:spacing w:line="240" w:lineRule="auto" w:before="0" w:after="0"/>
        <w:ind w:left="1370" w:right="0" w:hanging="531"/>
        <w:jc w:val="left"/>
        <w:rPr>
          <w:sz w:val="21"/>
        </w:rPr>
      </w:pPr>
      <w:r>
        <w:rPr>
          <w:spacing w:val="-3"/>
          <w:sz w:val="21"/>
        </w:rPr>
        <w:t>消防站内必须设有警铃，并应在车库大门一侧安装车辆出动的警灯和警铃。 </w:t>
      </w:r>
    </w:p>
    <w:p>
      <w:pPr>
        <w:pStyle w:val="BodyText"/>
        <w:spacing w:before="2"/>
        <w:rPr>
          <w:sz w:val="18"/>
        </w:rPr>
      </w:pPr>
    </w:p>
    <w:p>
      <w:pPr>
        <w:pStyle w:val="ListParagraph"/>
        <w:numPr>
          <w:ilvl w:val="2"/>
          <w:numId w:val="793"/>
        </w:numPr>
        <w:tabs>
          <w:tab w:pos="1371" w:val="left" w:leader="none"/>
        </w:tabs>
        <w:spacing w:line="240" w:lineRule="auto" w:before="0" w:after="0"/>
        <w:ind w:left="1370" w:right="0" w:hanging="531"/>
        <w:jc w:val="left"/>
        <w:rPr>
          <w:sz w:val="21"/>
        </w:rPr>
      </w:pPr>
      <w:r>
        <w:rPr>
          <w:spacing w:val="-3"/>
          <w:sz w:val="21"/>
        </w:rPr>
        <w:t>消防站宜在消防车主出入口、操场、通信室、岗亭等处设视频监控终端。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7"/>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6"/>
        </w:rPr>
      </w:pPr>
    </w:p>
    <w:p>
      <w:pPr>
        <w:pStyle w:val="Heading2"/>
        <w:spacing w:before="58"/>
        <w:ind w:left="3305"/>
        <w:jc w:val="left"/>
      </w:pPr>
      <w:bookmarkStart w:name="_bookmark29" w:id="30"/>
      <w:bookmarkEnd w:id="30"/>
      <w:r>
        <w:rPr>
          <w:b w:val="0"/>
        </w:rPr>
      </w:r>
      <w:r>
        <w:rPr/>
        <w:t>综合医院建筑设计规范</w:t>
      </w:r>
      <w:r>
        <w:rPr>
          <w:w w:val="99"/>
        </w:rPr>
        <w:t> </w:t>
      </w:r>
    </w:p>
    <w:p>
      <w:pPr>
        <w:pStyle w:val="BodyText"/>
        <w:rPr>
          <w:b/>
          <w:sz w:val="20"/>
        </w:rPr>
      </w:pPr>
    </w:p>
    <w:p>
      <w:pPr>
        <w:pStyle w:val="BodyText"/>
        <w:spacing w:before="2"/>
        <w:rPr>
          <w:b/>
          <w:sz w:val="14"/>
        </w:rPr>
      </w:pPr>
    </w:p>
    <w:p>
      <w:pPr>
        <w:pStyle w:val="Heading4"/>
        <w:spacing w:before="66"/>
      </w:pPr>
      <w:r>
        <w:rPr/>
        <w:t>1 总则</w:t>
      </w:r>
      <w:r>
        <w:rPr>
          <w:w w:val="99"/>
        </w:rPr>
        <w:t> </w:t>
      </w:r>
    </w:p>
    <w:p>
      <w:pPr>
        <w:pStyle w:val="BodyText"/>
        <w:spacing w:before="7"/>
        <w:rPr>
          <w:b/>
          <w:sz w:val="17"/>
        </w:rPr>
      </w:pPr>
    </w:p>
    <w:p>
      <w:pPr>
        <w:pStyle w:val="ListParagraph"/>
        <w:numPr>
          <w:ilvl w:val="1"/>
          <w:numId w:val="794"/>
        </w:numPr>
        <w:tabs>
          <w:tab w:pos="1213" w:val="left" w:leader="none"/>
        </w:tabs>
        <w:spacing w:line="446" w:lineRule="auto" w:before="0" w:after="0"/>
        <w:ind w:left="418" w:right="1445" w:firstLine="422"/>
        <w:jc w:val="left"/>
        <w:rPr>
          <w:sz w:val="21"/>
        </w:rPr>
      </w:pPr>
      <w:r>
        <w:rPr>
          <w:spacing w:val="-3"/>
          <w:sz w:val="21"/>
        </w:rPr>
        <w:t>为规范综合医院建筑设计，满足医疗服务功能需要，符合安全、卫生、经济、适用、节能、环保等方面的要求，制定本规范。</w:t>
      </w:r>
      <w:r>
        <w:rPr>
          <w:sz w:val="21"/>
        </w:rPr>
        <w:t> </w:t>
      </w:r>
    </w:p>
    <w:p>
      <w:pPr>
        <w:pStyle w:val="ListParagraph"/>
        <w:numPr>
          <w:ilvl w:val="1"/>
          <w:numId w:val="794"/>
        </w:numPr>
        <w:tabs>
          <w:tab w:pos="1213" w:val="left" w:leader="none"/>
        </w:tabs>
        <w:spacing w:line="267" w:lineRule="exact" w:before="0" w:after="0"/>
        <w:ind w:left="1212" w:right="0" w:hanging="373"/>
        <w:jc w:val="left"/>
        <w:rPr>
          <w:sz w:val="21"/>
        </w:rPr>
      </w:pPr>
      <w:r>
        <w:rPr>
          <w:spacing w:val="-3"/>
          <w:sz w:val="21"/>
        </w:rPr>
        <w:t>本规范适用于新建、改建和扩建的综合医院的建筑设计。</w:t>
      </w:r>
      <w:r>
        <w:rPr>
          <w:sz w:val="21"/>
        </w:rPr>
        <w:t> </w:t>
      </w:r>
    </w:p>
    <w:p>
      <w:pPr>
        <w:pStyle w:val="BodyText"/>
        <w:spacing w:before="2"/>
        <w:rPr>
          <w:sz w:val="18"/>
        </w:rPr>
      </w:pPr>
    </w:p>
    <w:p>
      <w:pPr>
        <w:pStyle w:val="ListParagraph"/>
        <w:numPr>
          <w:ilvl w:val="1"/>
          <w:numId w:val="794"/>
        </w:numPr>
        <w:tabs>
          <w:tab w:pos="1213" w:val="left" w:leader="none"/>
        </w:tabs>
        <w:spacing w:line="446" w:lineRule="auto" w:before="0" w:after="0"/>
        <w:ind w:left="418" w:right="1445" w:firstLine="422"/>
        <w:jc w:val="left"/>
        <w:rPr>
          <w:sz w:val="21"/>
        </w:rPr>
      </w:pPr>
      <w:r>
        <w:rPr>
          <w:spacing w:val="-3"/>
          <w:sz w:val="21"/>
        </w:rPr>
        <w:t>医疗工艺应根据医院的建设规模、管理模式和科室设置等确定。医院建筑设计应满足医疗工艺要求。</w:t>
      </w:r>
      <w:r>
        <w:rPr>
          <w:sz w:val="21"/>
        </w:rPr>
        <w:t> </w:t>
      </w:r>
    </w:p>
    <w:p>
      <w:pPr>
        <w:pStyle w:val="ListParagraph"/>
        <w:numPr>
          <w:ilvl w:val="1"/>
          <w:numId w:val="794"/>
        </w:numPr>
        <w:tabs>
          <w:tab w:pos="1213" w:val="left" w:leader="none"/>
        </w:tabs>
        <w:spacing w:line="267" w:lineRule="exact" w:before="0" w:after="0"/>
        <w:ind w:left="1212" w:right="0" w:hanging="373"/>
        <w:jc w:val="left"/>
        <w:rPr>
          <w:sz w:val="21"/>
        </w:rPr>
      </w:pPr>
      <w:r>
        <w:rPr>
          <w:spacing w:val="-3"/>
          <w:sz w:val="21"/>
        </w:rPr>
        <w:t>综合医院建筑设计除应符合本规范外，尚应符合国家现行有关标准的规定。 </w:t>
      </w:r>
    </w:p>
    <w:p>
      <w:pPr>
        <w:pStyle w:val="BodyText"/>
        <w:spacing w:before="10"/>
        <w:rPr>
          <w:sz w:val="15"/>
        </w:rPr>
      </w:pPr>
    </w:p>
    <w:p>
      <w:pPr>
        <w:pStyle w:val="Heading4"/>
        <w:spacing w:before="1"/>
      </w:pPr>
      <w:r>
        <w:rPr/>
        <w:t>2 术语</w:t>
      </w:r>
      <w:r>
        <w:rPr>
          <w:w w:val="99"/>
        </w:rPr>
        <w:t> </w:t>
      </w:r>
    </w:p>
    <w:p>
      <w:pPr>
        <w:pStyle w:val="BodyText"/>
        <w:spacing w:before="4"/>
        <w:rPr>
          <w:b/>
          <w:sz w:val="17"/>
        </w:rPr>
      </w:pPr>
    </w:p>
    <w:p>
      <w:pPr>
        <w:pStyle w:val="ListParagraph"/>
        <w:numPr>
          <w:ilvl w:val="1"/>
          <w:numId w:val="795"/>
        </w:numPr>
        <w:tabs>
          <w:tab w:pos="1159" w:val="left" w:leader="none"/>
        </w:tabs>
        <w:spacing w:line="240" w:lineRule="auto" w:before="0" w:after="0"/>
        <w:ind w:left="1158" w:right="0" w:hanging="319"/>
        <w:jc w:val="left"/>
        <w:rPr>
          <w:sz w:val="21"/>
        </w:rPr>
      </w:pPr>
      <w:r>
        <w:rPr>
          <w:spacing w:val="18"/>
          <w:sz w:val="21"/>
        </w:rPr>
        <w:t>综合医院 </w:t>
      </w:r>
      <w:r>
        <w:rPr>
          <w:sz w:val="21"/>
        </w:rPr>
        <w:t>general hospital </w:t>
      </w:r>
    </w:p>
    <w:p>
      <w:pPr>
        <w:pStyle w:val="BodyText"/>
        <w:spacing w:before="12"/>
        <w:rPr>
          <w:sz w:val="17"/>
        </w:rPr>
      </w:pPr>
    </w:p>
    <w:p>
      <w:pPr>
        <w:pStyle w:val="BodyText"/>
        <w:spacing w:line="446" w:lineRule="auto"/>
        <w:ind w:left="418" w:right="1609" w:firstLine="419"/>
      </w:pPr>
      <w:r>
        <w:rPr/>
        <w:t>有一定数量的病床，分设内科、外科、妇科、儿科、眼科、耳鼻喉等各种科室及药剂、检验、放射等医技部门，拥有相应人员、设备的医院。 </w:t>
      </w:r>
    </w:p>
    <w:p>
      <w:pPr>
        <w:pStyle w:val="ListParagraph"/>
        <w:numPr>
          <w:ilvl w:val="1"/>
          <w:numId w:val="795"/>
        </w:numPr>
        <w:tabs>
          <w:tab w:pos="1160" w:val="left" w:leader="none"/>
        </w:tabs>
        <w:spacing w:line="240" w:lineRule="auto" w:before="0" w:after="0"/>
        <w:ind w:left="1159" w:right="0" w:hanging="320"/>
        <w:jc w:val="left"/>
        <w:rPr>
          <w:sz w:val="21"/>
        </w:rPr>
      </w:pPr>
      <w:r>
        <w:rPr>
          <w:spacing w:val="-1"/>
          <w:sz w:val="21"/>
        </w:rPr>
        <w:t>医疗工艺 </w:t>
      </w:r>
      <w:r>
        <w:rPr>
          <w:sz w:val="21"/>
        </w:rPr>
        <w:t>Medical process </w:t>
      </w:r>
    </w:p>
    <w:p>
      <w:pPr>
        <w:pStyle w:val="BodyText"/>
        <w:spacing w:before="12"/>
        <w:rPr>
          <w:sz w:val="17"/>
        </w:rPr>
      </w:pPr>
    </w:p>
    <w:p>
      <w:pPr>
        <w:pStyle w:val="BodyText"/>
        <w:spacing w:line="446" w:lineRule="auto"/>
        <w:ind w:left="840" w:right="4657" w:hanging="3"/>
      </w:pPr>
      <w:r>
        <w:rPr/>
        <w:t>医疗流程和医疗设备的匹配以及其他相关资源的配置。</w:t>
      </w:r>
      <w:r>
        <w:rPr>
          <w:b/>
        </w:rPr>
        <w:t>2.3 </w:t>
      </w:r>
      <w:r>
        <w:rPr/>
        <w:t>医疗流程 Medical flows </w:t>
      </w:r>
    </w:p>
    <w:p>
      <w:pPr>
        <w:pStyle w:val="BodyText"/>
        <w:spacing w:before="1"/>
        <w:ind w:left="838"/>
      </w:pPr>
      <w:r>
        <w:rPr/>
        <w:t>医疗服务的程序和环节。 </w:t>
      </w:r>
    </w:p>
    <w:p>
      <w:pPr>
        <w:pStyle w:val="BodyText"/>
        <w:spacing w:before="12"/>
        <w:rPr>
          <w:sz w:val="17"/>
        </w:rPr>
      </w:pPr>
    </w:p>
    <w:p>
      <w:pPr>
        <w:pStyle w:val="BodyText"/>
        <w:ind w:left="840"/>
        <w:rPr>
          <w:b/>
        </w:rPr>
      </w:pPr>
      <w:r>
        <w:rPr>
          <w:b/>
        </w:rPr>
        <w:t>2.4 </w:t>
      </w:r>
      <w:r>
        <w:rPr/>
        <w:t>急救通过量 Emergency throughput</w:t>
      </w:r>
      <w:r>
        <w:rPr>
          <w:b/>
          <w:w w:val="99"/>
        </w:rPr>
        <w:t> </w:t>
      </w:r>
    </w:p>
    <w:p>
      <w:pPr>
        <w:pStyle w:val="BodyText"/>
        <w:spacing w:before="2"/>
        <w:rPr>
          <w:b/>
          <w:sz w:val="18"/>
        </w:rPr>
      </w:pPr>
    </w:p>
    <w:p>
      <w:pPr>
        <w:pStyle w:val="BodyText"/>
        <w:spacing w:line="446" w:lineRule="auto"/>
        <w:ind w:left="840" w:right="5077" w:hanging="3"/>
        <w:rPr>
          <w:b/>
        </w:rPr>
      </w:pPr>
      <w:r>
        <w:rPr>
          <w:spacing w:val="-3"/>
        </w:rPr>
        <w:t>医院急诊部同时一次性接纳急救病人的医疗能力。</w:t>
      </w:r>
      <w:r>
        <w:rPr>
          <w:b/>
        </w:rPr>
        <w:t>2.5</w:t>
      </w:r>
      <w:r>
        <w:rPr>
          <w:b/>
          <w:spacing w:val="102"/>
        </w:rPr>
        <w:t> </w:t>
      </w:r>
      <w:r>
        <w:rPr>
          <w:spacing w:val="-3"/>
        </w:rPr>
        <w:t>医院卫生学  </w:t>
      </w:r>
      <w:r>
        <w:rPr/>
        <w:t>Hospital hygiene</w:t>
      </w:r>
      <w:r>
        <w:rPr>
          <w:b/>
          <w:w w:val="99"/>
        </w:rPr>
        <w:t> </w:t>
      </w:r>
    </w:p>
    <w:p>
      <w:pPr>
        <w:pStyle w:val="BodyText"/>
        <w:spacing w:line="446" w:lineRule="auto"/>
        <w:ind w:left="840" w:right="1925" w:hanging="3"/>
        <w:rPr>
          <w:b/>
        </w:rPr>
      </w:pPr>
      <w:r>
        <w:rPr/>
        <w:t>维持医院关键科室的卫生状态，主要任务是防止感染及有害气体和化学物质的危害。</w:t>
      </w:r>
      <w:r>
        <w:rPr>
          <w:b/>
        </w:rPr>
        <w:t>2.6 </w:t>
      </w:r>
      <w:r>
        <w:rPr/>
        <w:t>卫生通过 Hygiene passing through</w:t>
      </w:r>
      <w:r>
        <w:rPr>
          <w:b/>
          <w:w w:val="99"/>
        </w:rPr>
        <w:t> </w:t>
      </w:r>
    </w:p>
    <w:p>
      <w:pPr>
        <w:pStyle w:val="BodyText"/>
        <w:spacing w:line="446" w:lineRule="auto"/>
        <w:ind w:left="840" w:right="2345" w:hanging="3"/>
        <w:rPr>
          <w:b/>
        </w:rPr>
      </w:pPr>
      <w:r>
        <w:rPr>
          <w:spacing w:val="-3"/>
        </w:rPr>
        <w:t>采用换鞋、更衣、淋浴等措施控制人员、物品从非洁净区到洁净区的净化过程。</w:t>
      </w:r>
      <w:r>
        <w:rPr>
          <w:b/>
          <w:spacing w:val="-3"/>
        </w:rPr>
        <w:t>2.7</w:t>
      </w:r>
      <w:r>
        <w:rPr>
          <w:b/>
          <w:spacing w:val="102"/>
        </w:rPr>
        <w:t> </w:t>
      </w:r>
      <w:r>
        <w:rPr>
          <w:spacing w:val="19"/>
        </w:rPr>
        <w:t>监护病房 </w:t>
      </w:r>
      <w:r>
        <w:rPr/>
        <w:t>Intensive Care Unit</w:t>
      </w:r>
      <w:r>
        <w:rPr>
          <w:b/>
          <w:w w:val="99"/>
        </w:rPr>
        <w:t> </w:t>
      </w:r>
    </w:p>
    <w:p>
      <w:pPr>
        <w:spacing w:after="0" w:line="446" w:lineRule="auto"/>
        <w:sectPr>
          <w:pgSz w:w="11910" w:h="16850"/>
          <w:pgMar w:header="0" w:footer="1239" w:top="1600" w:bottom="1420" w:left="1260" w:right="0"/>
        </w:sectPr>
      </w:pPr>
    </w:p>
    <w:p>
      <w:pPr>
        <w:pStyle w:val="BodyText"/>
        <w:spacing w:line="446" w:lineRule="auto" w:before="47"/>
        <w:ind w:left="418" w:right="1611" w:firstLine="419"/>
      </w:pPr>
      <w:r>
        <w:rPr/>
        <w:t>医院独立设置的专业监护医疗单元，通常为重症监护病房(ICU)、心血管监护病房(CCU)， 以及由 ICU 派生的新生儿重症监护病房(NICU)等。 </w:t>
      </w:r>
    </w:p>
    <w:p>
      <w:pPr>
        <w:pStyle w:val="Heading4"/>
        <w:spacing w:line="275" w:lineRule="exact"/>
      </w:pPr>
      <w:r>
        <w:rPr/>
        <w:t>3 医疗工艺设计</w:t>
      </w:r>
      <w:r>
        <w:rPr>
          <w:w w:val="99"/>
        </w:rPr>
        <w:t> </w:t>
      </w:r>
    </w:p>
    <w:p>
      <w:pPr>
        <w:pStyle w:val="BodyText"/>
        <w:spacing w:before="6"/>
        <w:rPr>
          <w:b/>
          <w:sz w:val="17"/>
        </w:rPr>
      </w:pPr>
    </w:p>
    <w:p>
      <w:pPr>
        <w:pStyle w:val="ListParagraph"/>
        <w:numPr>
          <w:ilvl w:val="1"/>
          <w:numId w:val="796"/>
        </w:numPr>
        <w:tabs>
          <w:tab w:pos="1159" w:val="left" w:leader="none"/>
        </w:tabs>
        <w:spacing w:line="240" w:lineRule="auto" w:before="1" w:after="0"/>
        <w:ind w:left="1158" w:right="0" w:hanging="319"/>
        <w:jc w:val="left"/>
        <w:rPr>
          <w:sz w:val="21"/>
        </w:rPr>
      </w:pPr>
      <w:r>
        <w:rPr>
          <w:spacing w:val="-3"/>
          <w:sz w:val="21"/>
        </w:rPr>
        <w:t>一般规定</w:t>
      </w:r>
      <w:r>
        <w:rPr>
          <w:sz w:val="21"/>
        </w:rPr>
        <w:t> </w:t>
      </w:r>
    </w:p>
    <w:p>
      <w:pPr>
        <w:pStyle w:val="BodyText"/>
        <w:spacing w:before="12"/>
        <w:rPr>
          <w:sz w:val="17"/>
        </w:rPr>
      </w:pPr>
    </w:p>
    <w:p>
      <w:pPr>
        <w:pStyle w:val="ListParagraph"/>
        <w:numPr>
          <w:ilvl w:val="2"/>
          <w:numId w:val="796"/>
        </w:numPr>
        <w:tabs>
          <w:tab w:pos="1424" w:val="left" w:leader="none"/>
        </w:tabs>
        <w:spacing w:line="446" w:lineRule="auto" w:before="0" w:after="0"/>
        <w:ind w:left="418" w:right="1445" w:firstLine="422"/>
        <w:jc w:val="left"/>
        <w:rPr>
          <w:sz w:val="21"/>
        </w:rPr>
      </w:pPr>
      <w:r>
        <w:rPr>
          <w:spacing w:val="-3"/>
          <w:sz w:val="21"/>
        </w:rPr>
        <w:t>医疗工艺设计应确定医疗业务结构、功能和规模，以及相关医疗流程、医疗设备、技术条件和参数。</w:t>
      </w:r>
      <w:r>
        <w:rPr>
          <w:sz w:val="21"/>
        </w:rPr>
        <w:t> </w:t>
      </w:r>
      <w:r>
        <w:rPr>
          <w:spacing w:val="-2"/>
          <w:sz w:val="21"/>
        </w:rPr>
        <w:t> </w:t>
      </w:r>
      <w:r>
        <w:rPr>
          <w:w w:val="100"/>
          <w:sz w:val="21"/>
        </w:rPr>
        <w:t> </w:t>
      </w:r>
    </w:p>
    <w:p>
      <w:pPr>
        <w:pStyle w:val="ListParagraph"/>
        <w:numPr>
          <w:ilvl w:val="2"/>
          <w:numId w:val="796"/>
        </w:numPr>
        <w:tabs>
          <w:tab w:pos="1370" w:val="left" w:leader="none"/>
        </w:tabs>
        <w:spacing w:line="446" w:lineRule="auto" w:before="0" w:after="0"/>
        <w:ind w:left="418" w:right="1498" w:firstLine="422"/>
        <w:jc w:val="left"/>
        <w:rPr>
          <w:sz w:val="21"/>
        </w:rPr>
      </w:pPr>
      <w:r>
        <w:rPr>
          <w:spacing w:val="-3"/>
          <w:sz w:val="21"/>
        </w:rPr>
        <w:t>医疗工艺设计应进行前期设计和条件设计。前期设计应满足编制可行性研究报告、设计任务书及建筑方案设计的需要。条件设计应与医院建筑初步设计同步完成，并应与建筑设计的深化、完善过程相配合，同时应满足医院建筑初步设计及施工图设计的需要。</w:t>
      </w:r>
      <w:r>
        <w:rPr>
          <w:sz w:val="21"/>
        </w:rPr>
        <w:t> </w:t>
      </w:r>
    </w:p>
    <w:p>
      <w:pPr>
        <w:pStyle w:val="ListParagraph"/>
        <w:numPr>
          <w:ilvl w:val="2"/>
          <w:numId w:val="796"/>
        </w:numPr>
        <w:tabs>
          <w:tab w:pos="1371" w:val="left" w:leader="none"/>
        </w:tabs>
        <w:spacing w:line="446" w:lineRule="auto" w:before="0" w:after="0"/>
        <w:ind w:left="418" w:right="1498" w:firstLine="422"/>
        <w:jc w:val="left"/>
        <w:rPr>
          <w:sz w:val="21"/>
        </w:rPr>
      </w:pPr>
      <w:r>
        <w:rPr>
          <w:spacing w:val="-3"/>
          <w:sz w:val="21"/>
        </w:rPr>
        <w:t>医疗工艺流程应分为医院内各医疗功能单元之间的流程和各医疗功能单元内部的流程。</w:t>
      </w:r>
      <w:r>
        <w:rPr>
          <w:sz w:val="21"/>
        </w:rPr>
        <w:t> </w:t>
      </w:r>
    </w:p>
    <w:p>
      <w:pPr>
        <w:pStyle w:val="ListParagraph"/>
        <w:numPr>
          <w:ilvl w:val="2"/>
          <w:numId w:val="796"/>
        </w:numPr>
        <w:tabs>
          <w:tab w:pos="1371" w:val="left" w:leader="none"/>
        </w:tabs>
        <w:spacing w:line="267" w:lineRule="exact" w:before="0" w:after="0"/>
        <w:ind w:left="1370" w:right="0" w:hanging="531"/>
        <w:jc w:val="left"/>
        <w:rPr>
          <w:sz w:val="21"/>
        </w:rPr>
      </w:pPr>
      <w:r>
        <w:rPr>
          <w:spacing w:val="-7"/>
          <w:sz w:val="21"/>
        </w:rPr>
        <w:t>医疗功能单元的划分宜符合表 </w:t>
      </w:r>
      <w:r>
        <w:rPr>
          <w:sz w:val="21"/>
        </w:rPr>
        <w:t>3.1.4</w:t>
      </w:r>
      <w:r>
        <w:rPr>
          <w:spacing w:val="-12"/>
          <w:sz w:val="21"/>
        </w:rPr>
        <w:t> 的规定。 </w:t>
      </w:r>
    </w:p>
    <w:p>
      <w:pPr>
        <w:pStyle w:val="BodyText"/>
        <w:spacing w:before="1"/>
        <w:rPr>
          <w:sz w:val="18"/>
        </w:rPr>
      </w:pPr>
    </w:p>
    <w:p>
      <w:pPr>
        <w:pStyle w:val="Heading6"/>
        <w:ind w:left="3308"/>
        <w:rPr>
          <w:b w:val="0"/>
        </w:rPr>
      </w:pPr>
      <w:r>
        <w:rPr/>
        <w:t>表 3.1.4 医疗功能单元的划分</w:t>
      </w:r>
      <w:r>
        <w:rPr>
          <w:b w:val="0"/>
          <w:w w:val="100"/>
        </w:rPr>
        <w:t> </w:t>
      </w:r>
    </w:p>
    <w:p>
      <w:pPr>
        <w:pStyle w:val="BodyText"/>
        <w:rPr>
          <w:sz w:val="20"/>
        </w:rPr>
      </w:pPr>
    </w:p>
    <w:p>
      <w:pPr>
        <w:pStyle w:val="BodyText"/>
        <w:spacing w:before="9"/>
        <w:rPr>
          <w:sz w:val="12"/>
        </w:rPr>
      </w:pPr>
      <w:r>
        <w:rPr/>
        <w:drawing>
          <wp:anchor distT="0" distB="0" distL="0" distR="0" allowOverlap="1" layoutInCell="1" locked="0" behindDoc="0" simplePos="0" relativeHeight="266">
            <wp:simplePos x="0" y="0"/>
            <wp:positionH relativeFrom="page">
              <wp:posOffset>1179830</wp:posOffset>
            </wp:positionH>
            <wp:positionV relativeFrom="paragraph">
              <wp:posOffset>128607</wp:posOffset>
            </wp:positionV>
            <wp:extent cx="4917742" cy="3530441"/>
            <wp:effectExtent l="0" t="0" r="0" b="0"/>
            <wp:wrapTopAndBottom/>
            <wp:docPr id="627" name="image362.jpeg"/>
            <wp:cNvGraphicFramePr>
              <a:graphicFrameLocks noChangeAspect="1"/>
            </wp:cNvGraphicFramePr>
            <a:graphic>
              <a:graphicData uri="http://schemas.openxmlformats.org/drawingml/2006/picture">
                <pic:pic>
                  <pic:nvPicPr>
                    <pic:cNvPr id="628" name="image362.jpeg"/>
                    <pic:cNvPicPr/>
                  </pic:nvPicPr>
                  <pic:blipFill>
                    <a:blip r:embed="rId439" cstate="print"/>
                    <a:stretch>
                      <a:fillRect/>
                    </a:stretch>
                  </pic:blipFill>
                  <pic:spPr>
                    <a:xfrm>
                      <a:off x="0" y="0"/>
                      <a:ext cx="4917742" cy="3530441"/>
                    </a:xfrm>
                    <a:prstGeom prst="rect">
                      <a:avLst/>
                    </a:prstGeom>
                  </pic:spPr>
                </pic:pic>
              </a:graphicData>
            </a:graphic>
          </wp:anchor>
        </w:drawing>
      </w:r>
    </w:p>
    <w:p>
      <w:pPr>
        <w:pStyle w:val="ListParagraph"/>
        <w:numPr>
          <w:ilvl w:val="1"/>
          <w:numId w:val="796"/>
        </w:numPr>
        <w:tabs>
          <w:tab w:pos="1159" w:val="left" w:leader="none"/>
        </w:tabs>
        <w:spacing w:line="240" w:lineRule="auto" w:before="138" w:after="0"/>
        <w:ind w:left="1158" w:right="0" w:hanging="319"/>
        <w:jc w:val="left"/>
        <w:rPr>
          <w:sz w:val="21"/>
        </w:rPr>
      </w:pPr>
      <w:r>
        <w:rPr>
          <w:spacing w:val="-3"/>
          <w:sz w:val="21"/>
        </w:rPr>
        <w:t>医疗工艺设计参数</w:t>
      </w:r>
      <w:r>
        <w:rPr>
          <w:sz w:val="21"/>
        </w:rPr>
        <w:t> </w:t>
      </w:r>
    </w:p>
    <w:p>
      <w:pPr>
        <w:pStyle w:val="BodyText"/>
        <w:spacing w:before="2"/>
        <w:rPr>
          <w:sz w:val="18"/>
        </w:rPr>
      </w:pPr>
    </w:p>
    <w:p>
      <w:pPr>
        <w:pStyle w:val="ListParagraph"/>
        <w:numPr>
          <w:ilvl w:val="2"/>
          <w:numId w:val="796"/>
        </w:numPr>
        <w:tabs>
          <w:tab w:pos="1370" w:val="left" w:leader="none"/>
        </w:tabs>
        <w:spacing w:line="446" w:lineRule="auto" w:before="0" w:after="0"/>
        <w:ind w:left="418" w:right="1498" w:firstLine="422"/>
        <w:jc w:val="left"/>
        <w:rPr>
          <w:sz w:val="21"/>
        </w:rPr>
      </w:pPr>
      <w:r>
        <w:rPr>
          <w:spacing w:val="-3"/>
          <w:sz w:val="21"/>
        </w:rPr>
        <w:t>医疗工艺设计参数应根据不同医院的要求研究确定，当无相关数据时应符合下列要求：</w:t>
      </w:r>
      <w:r>
        <w:rPr>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838" w:right="3975"/>
      </w:pPr>
      <w:r>
        <w:rPr/>
        <w:t>门诊诊室间数可按日平均门诊诊疗人次／(50～60 人次)测算； 急救抢救床数可按急救通过量测算； </w:t>
      </w:r>
    </w:p>
    <w:p>
      <w:pPr>
        <w:pStyle w:val="BodyText"/>
        <w:spacing w:line="267" w:lineRule="exact"/>
        <w:ind w:left="838"/>
      </w:pPr>
      <w:r>
        <w:rPr/>
        <w:t>1 个护理单元宜设 40 张～50 张病床； </w:t>
      </w:r>
    </w:p>
    <w:p>
      <w:pPr>
        <w:pStyle w:val="BodyText"/>
        <w:spacing w:before="2"/>
        <w:rPr>
          <w:sz w:val="18"/>
        </w:rPr>
      </w:pPr>
    </w:p>
    <w:p>
      <w:pPr>
        <w:pStyle w:val="BodyText"/>
        <w:spacing w:line="446" w:lineRule="auto"/>
        <w:ind w:left="838" w:right="2927"/>
      </w:pPr>
      <w:r>
        <w:rPr>
          <w:spacing w:val="-7"/>
        </w:rPr>
        <w:t>手术室间数宜按病床总数每 </w:t>
      </w:r>
      <w:r>
        <w:rPr/>
        <w:t>50</w:t>
      </w:r>
      <w:r>
        <w:rPr>
          <w:spacing w:val="-13"/>
        </w:rPr>
        <w:t> 床或外科病床数每 </w:t>
      </w:r>
      <w:r>
        <w:rPr/>
        <w:t>25</w:t>
      </w:r>
      <w:r>
        <w:rPr>
          <w:spacing w:val="-25"/>
        </w:rPr>
        <w:t> 床</w:t>
      </w:r>
      <w:r>
        <w:rPr/>
        <w:t>～30</w:t>
      </w:r>
      <w:r>
        <w:rPr>
          <w:spacing w:val="-22"/>
        </w:rPr>
        <w:t> 床设置 </w:t>
      </w:r>
      <w:r>
        <w:rPr/>
        <w:t>1</w:t>
      </w:r>
      <w:r>
        <w:rPr>
          <w:spacing w:val="-19"/>
        </w:rPr>
        <w:t> 间； </w:t>
      </w:r>
      <w:r>
        <w:rPr>
          <w:spacing w:val="-2"/>
        </w:rPr>
        <w:t>重症监护病房(</w:t>
      </w:r>
      <w:r>
        <w:rPr/>
        <w:t>ICU</w:t>
      </w:r>
      <w:r>
        <w:rPr>
          <w:spacing w:val="-8"/>
        </w:rPr>
        <w:t>)床数宜按总床位数的 </w:t>
      </w:r>
      <w:r>
        <w:rPr/>
        <w:t>2％～3</w:t>
      </w:r>
      <w:r>
        <w:rPr>
          <w:spacing w:val="-3"/>
        </w:rPr>
        <w:t>％设置；</w:t>
      </w:r>
      <w:r>
        <w:rPr/>
        <w:t> </w:t>
      </w:r>
    </w:p>
    <w:p>
      <w:pPr>
        <w:pStyle w:val="BodyText"/>
        <w:spacing w:line="446" w:lineRule="auto"/>
        <w:ind w:left="838" w:right="1400"/>
      </w:pPr>
      <w:r>
        <w:rPr>
          <w:spacing w:val="-3"/>
        </w:rPr>
        <w:t>心血管造影机台数可按年平均心血管造影或介入治疗数／</w:t>
      </w:r>
      <w:r>
        <w:rPr/>
        <w:t>(3</w:t>
      </w:r>
      <w:r>
        <w:rPr>
          <w:spacing w:val="-23"/>
        </w:rPr>
        <w:t> 例</w:t>
      </w:r>
      <w:r>
        <w:rPr/>
        <w:t>～5</w:t>
      </w:r>
      <w:r>
        <w:rPr>
          <w:spacing w:val="-8"/>
        </w:rPr>
        <w:t> 例×年工作日数)测量； </w:t>
      </w:r>
      <w:r>
        <w:rPr>
          <w:spacing w:val="-10"/>
        </w:rPr>
        <w:t>日拍片人次达到 </w:t>
      </w:r>
      <w:r>
        <w:rPr/>
        <w:t>40～50</w:t>
      </w:r>
      <w:r>
        <w:rPr>
          <w:spacing w:val="-3"/>
        </w:rPr>
        <w:t> 人次时，可设</w:t>
      </w:r>
      <w:r>
        <w:rPr/>
        <w:t>X</w:t>
      </w:r>
      <w:r>
        <w:rPr>
          <w:spacing w:val="-19"/>
        </w:rPr>
        <w:t> 线拍片机 </w:t>
      </w:r>
      <w:r>
        <w:rPr/>
        <w:t>1</w:t>
      </w:r>
      <w:r>
        <w:rPr>
          <w:spacing w:val="-20"/>
        </w:rPr>
        <w:t> 台；</w:t>
      </w:r>
      <w:r>
        <w:rPr/>
        <w:t> </w:t>
      </w:r>
    </w:p>
    <w:p>
      <w:pPr>
        <w:pStyle w:val="BodyText"/>
        <w:spacing w:line="446" w:lineRule="auto"/>
        <w:ind w:left="838" w:right="4136"/>
      </w:pPr>
      <w:r>
        <w:rPr>
          <w:spacing w:val="-5"/>
        </w:rPr>
        <w:t>日胃肠透视人数达到 </w:t>
      </w:r>
      <w:r>
        <w:rPr/>
        <w:t>10～15</w:t>
      </w:r>
      <w:r>
        <w:rPr>
          <w:spacing w:val="-7"/>
        </w:rPr>
        <w:t> 例时，可设胃肠透视机 </w:t>
      </w:r>
      <w:r>
        <w:rPr/>
        <w:t>1</w:t>
      </w:r>
      <w:r>
        <w:rPr>
          <w:spacing w:val="-7"/>
        </w:rPr>
        <w:t> 台； </w:t>
      </w:r>
      <w:r>
        <w:rPr>
          <w:spacing w:val="-5"/>
        </w:rPr>
        <w:t>日胸透视人数达到 </w:t>
      </w:r>
      <w:r>
        <w:rPr/>
        <w:t>50～80</w:t>
      </w:r>
      <w:r>
        <w:rPr>
          <w:spacing w:val="-7"/>
        </w:rPr>
        <w:t> 人次时，可设胸部透视机 </w:t>
      </w:r>
      <w:r>
        <w:rPr/>
        <w:t>1</w:t>
      </w:r>
      <w:r>
        <w:rPr>
          <w:spacing w:val="-7"/>
        </w:rPr>
        <w:t> 台； </w:t>
      </w:r>
      <w:r>
        <w:rPr>
          <w:spacing w:val="-8"/>
        </w:rPr>
        <w:t>日心电检诊人次达到 </w:t>
      </w:r>
      <w:r>
        <w:rPr/>
        <w:t>60～80</w:t>
      </w:r>
      <w:r>
        <w:rPr>
          <w:spacing w:val="-13"/>
        </w:rPr>
        <w:t> 人次时，可设心电检诊间 </w:t>
      </w:r>
      <w:r>
        <w:rPr/>
        <w:t>1</w:t>
      </w:r>
      <w:r>
        <w:rPr>
          <w:spacing w:val="-19"/>
        </w:rPr>
        <w:t> 间； </w:t>
      </w:r>
      <w:r>
        <w:rPr>
          <w:spacing w:val="-15"/>
        </w:rPr>
        <w:t>日腹部 </w:t>
      </w:r>
      <w:r>
        <w:rPr/>
        <w:t>B</w:t>
      </w:r>
      <w:r>
        <w:rPr>
          <w:spacing w:val="-17"/>
        </w:rPr>
        <w:t> 超人数达到 </w:t>
      </w:r>
      <w:r>
        <w:rPr/>
        <w:t>40～60</w:t>
      </w:r>
      <w:r>
        <w:rPr>
          <w:spacing w:val="-14"/>
        </w:rPr>
        <w:t> 人次时，可设腹部 </w:t>
      </w:r>
      <w:r>
        <w:rPr/>
        <w:t>B</w:t>
      </w:r>
      <w:r>
        <w:rPr>
          <w:spacing w:val="-27"/>
        </w:rPr>
        <w:t> 超机 </w:t>
      </w:r>
      <w:r>
        <w:rPr/>
        <w:t>1</w:t>
      </w:r>
      <w:r>
        <w:rPr>
          <w:spacing w:val="-19"/>
        </w:rPr>
        <w:t> 台；</w:t>
      </w:r>
      <w:r>
        <w:rPr/>
        <w:t> </w:t>
      </w:r>
    </w:p>
    <w:p>
      <w:pPr>
        <w:pStyle w:val="BodyText"/>
        <w:spacing w:line="446" w:lineRule="auto"/>
        <w:ind w:left="838" w:right="3659"/>
      </w:pPr>
      <w:r>
        <w:rPr>
          <w:spacing w:val="-8"/>
        </w:rPr>
        <w:t>日心血管彩超人数达到 </w:t>
      </w:r>
      <w:r>
        <w:rPr/>
        <w:t>15～20</w:t>
      </w:r>
      <w:r>
        <w:rPr>
          <w:spacing w:val="-12"/>
        </w:rPr>
        <w:t> 人次时，可设心血管彩超机 </w:t>
      </w:r>
      <w:r>
        <w:rPr/>
        <w:t>1</w:t>
      </w:r>
      <w:r>
        <w:rPr>
          <w:spacing w:val="-19"/>
        </w:rPr>
        <w:t> 台； </w:t>
      </w:r>
      <w:r>
        <w:rPr>
          <w:spacing w:val="-9"/>
        </w:rPr>
        <w:t>日检诊人数达到 </w:t>
      </w:r>
      <w:r>
        <w:rPr/>
        <w:t>10</w:t>
      </w:r>
      <w:r>
        <w:rPr>
          <w:spacing w:val="-25"/>
        </w:rPr>
        <w:t> 例</w:t>
      </w:r>
      <w:r>
        <w:rPr/>
        <w:t>～15</w:t>
      </w:r>
      <w:r>
        <w:rPr>
          <w:spacing w:val="-11"/>
        </w:rPr>
        <w:t> 例时，可设十二指肠纤维内窥镜 </w:t>
      </w:r>
      <w:r>
        <w:rPr/>
        <w:t>1</w:t>
      </w:r>
      <w:r>
        <w:rPr>
          <w:spacing w:val="-19"/>
        </w:rPr>
        <w:t> 台。</w:t>
      </w:r>
      <w:r>
        <w:rPr/>
        <w:t> </w:t>
      </w:r>
    </w:p>
    <w:p>
      <w:pPr>
        <w:pStyle w:val="ListParagraph"/>
        <w:numPr>
          <w:ilvl w:val="2"/>
          <w:numId w:val="796"/>
        </w:numPr>
        <w:tabs>
          <w:tab w:pos="1371" w:val="left" w:leader="none"/>
        </w:tabs>
        <w:spacing w:line="446" w:lineRule="auto" w:before="0" w:after="18"/>
        <w:ind w:left="2993" w:right="2024" w:hanging="2154"/>
        <w:jc w:val="left"/>
        <w:rPr>
          <w:b/>
          <w:sz w:val="21"/>
        </w:rPr>
      </w:pPr>
      <w:r>
        <w:rPr>
          <w:spacing w:val="-5"/>
          <w:sz w:val="21"/>
        </w:rPr>
        <w:t>各科门诊量应根据医院统计数据确定，当无统计数据时可按表 </w:t>
      </w:r>
      <w:r>
        <w:rPr>
          <w:sz w:val="21"/>
        </w:rPr>
        <w:t>3.2.2</w:t>
      </w:r>
      <w:r>
        <w:rPr>
          <w:spacing w:val="-7"/>
          <w:sz w:val="21"/>
        </w:rPr>
        <w:t> 确定。 </w:t>
      </w:r>
      <w:r>
        <w:rPr>
          <w:b/>
          <w:sz w:val="21"/>
        </w:rPr>
        <w:t>表3.2.2</w:t>
      </w:r>
      <w:r>
        <w:rPr>
          <w:b/>
          <w:spacing w:val="5"/>
          <w:sz w:val="21"/>
        </w:rPr>
        <w:t> 各科门诊量占总门诊量比例</w:t>
      </w:r>
      <w:r>
        <w:rPr>
          <w:b/>
          <w:w w:val="99"/>
          <w:sz w:val="21"/>
        </w:rPr>
        <w:t> </w:t>
      </w:r>
    </w:p>
    <w:p>
      <w:pPr>
        <w:pStyle w:val="BodyText"/>
        <w:ind w:left="1048"/>
        <w:rPr>
          <w:sz w:val="20"/>
        </w:rPr>
      </w:pPr>
      <w:r>
        <w:rPr>
          <w:sz w:val="20"/>
        </w:rPr>
        <w:drawing>
          <wp:inline distT="0" distB="0" distL="0" distR="0">
            <wp:extent cx="4937950" cy="2873787"/>
            <wp:effectExtent l="0" t="0" r="0" b="0"/>
            <wp:docPr id="629" name="image363.jpeg"/>
            <wp:cNvGraphicFramePr>
              <a:graphicFrameLocks noChangeAspect="1"/>
            </wp:cNvGraphicFramePr>
            <a:graphic>
              <a:graphicData uri="http://schemas.openxmlformats.org/drawingml/2006/picture">
                <pic:pic>
                  <pic:nvPicPr>
                    <pic:cNvPr id="630" name="image363.jpeg"/>
                    <pic:cNvPicPr/>
                  </pic:nvPicPr>
                  <pic:blipFill>
                    <a:blip r:embed="rId440" cstate="print"/>
                    <a:stretch>
                      <a:fillRect/>
                    </a:stretch>
                  </pic:blipFill>
                  <pic:spPr>
                    <a:xfrm>
                      <a:off x="0" y="0"/>
                      <a:ext cx="4937950" cy="2873787"/>
                    </a:xfrm>
                    <a:prstGeom prst="rect">
                      <a:avLst/>
                    </a:prstGeom>
                  </pic:spPr>
                </pic:pic>
              </a:graphicData>
            </a:graphic>
          </wp:inline>
        </w:drawing>
      </w:r>
      <w:r>
        <w:rPr>
          <w:sz w:val="20"/>
        </w:rPr>
      </w:r>
    </w:p>
    <w:p>
      <w:pPr>
        <w:pStyle w:val="BodyText"/>
        <w:spacing w:before="3"/>
        <w:rPr>
          <w:b/>
          <w:sz w:val="14"/>
        </w:rPr>
      </w:pPr>
    </w:p>
    <w:p>
      <w:pPr>
        <w:pStyle w:val="ListParagraph"/>
        <w:numPr>
          <w:ilvl w:val="2"/>
          <w:numId w:val="796"/>
        </w:numPr>
        <w:tabs>
          <w:tab w:pos="1371" w:val="left" w:leader="none"/>
        </w:tabs>
        <w:spacing w:line="446" w:lineRule="auto" w:before="0" w:after="0"/>
        <w:ind w:left="2571" w:right="1606" w:hanging="1731"/>
        <w:jc w:val="left"/>
        <w:rPr>
          <w:b/>
          <w:sz w:val="21"/>
        </w:rPr>
      </w:pPr>
      <w:r>
        <w:rPr>
          <w:spacing w:val="-5"/>
          <w:sz w:val="21"/>
        </w:rPr>
        <w:t>各科住院床位数应根据医院统计数据确定，当无统计数据时可按表 </w:t>
      </w:r>
      <w:r>
        <w:rPr>
          <w:sz w:val="21"/>
        </w:rPr>
        <w:t>3.2.3</w:t>
      </w:r>
      <w:r>
        <w:rPr>
          <w:spacing w:val="-7"/>
          <w:sz w:val="21"/>
        </w:rPr>
        <w:t> 确定。 </w:t>
      </w:r>
      <w:r>
        <w:rPr>
          <w:b/>
          <w:sz w:val="21"/>
        </w:rPr>
        <w:t>表3.2.3</w:t>
      </w:r>
      <w:r>
        <w:rPr>
          <w:b/>
          <w:spacing w:val="1"/>
          <w:sz w:val="21"/>
        </w:rPr>
        <w:t> 各科住院床位数占医院总床位数比例</w:t>
      </w:r>
      <w:r>
        <w:rPr>
          <w:b/>
          <w:w w:val="99"/>
          <w:sz w:val="21"/>
        </w:rPr>
        <w:t> </w:t>
      </w:r>
    </w:p>
    <w:p>
      <w:pPr>
        <w:pStyle w:val="BodyText"/>
        <w:rPr>
          <w:b/>
          <w:sz w:val="20"/>
        </w:rPr>
      </w:pPr>
    </w:p>
    <w:p>
      <w:pPr>
        <w:pStyle w:val="BodyText"/>
        <w:rPr>
          <w:b/>
          <w:sz w:val="19"/>
        </w:rPr>
      </w:pPr>
    </w:p>
    <w:p>
      <w:pPr>
        <w:pStyle w:val="Heading6"/>
        <w:ind w:right="912"/>
        <w:jc w:val="center"/>
      </w:pPr>
      <w:r>
        <w:rPr>
          <w:w w:val="99"/>
        </w:rPr>
        <w:t> </w:t>
      </w:r>
    </w:p>
    <w:p>
      <w:pPr>
        <w:spacing w:after="0"/>
        <w:jc w:val="center"/>
        <w:sectPr>
          <w:pgSz w:w="11910" w:h="16850"/>
          <w:pgMar w:header="0" w:footer="1239" w:top="1220" w:bottom="1420" w:left="126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7"/>
        </w:rPr>
      </w:pPr>
    </w:p>
    <w:p>
      <w:pPr>
        <w:pStyle w:val="BodyText"/>
        <w:ind w:left="1168"/>
        <w:rPr>
          <w:sz w:val="20"/>
        </w:rPr>
      </w:pPr>
      <w:r>
        <w:rPr>
          <w:sz w:val="20"/>
        </w:rPr>
        <w:drawing>
          <wp:inline distT="0" distB="0" distL="0" distR="0">
            <wp:extent cx="4448174" cy="2847975"/>
            <wp:effectExtent l="0" t="0" r="0" b="0"/>
            <wp:docPr id="631" name="image364.jpeg"/>
            <wp:cNvGraphicFramePr>
              <a:graphicFrameLocks noChangeAspect="1"/>
            </wp:cNvGraphicFramePr>
            <a:graphic>
              <a:graphicData uri="http://schemas.openxmlformats.org/drawingml/2006/picture">
                <pic:pic>
                  <pic:nvPicPr>
                    <pic:cNvPr id="632" name="image364.jpeg"/>
                    <pic:cNvPicPr/>
                  </pic:nvPicPr>
                  <pic:blipFill>
                    <a:blip r:embed="rId441" cstate="print"/>
                    <a:stretch>
                      <a:fillRect/>
                    </a:stretch>
                  </pic:blipFill>
                  <pic:spPr>
                    <a:xfrm>
                      <a:off x="0" y="0"/>
                      <a:ext cx="4448174" cy="2847975"/>
                    </a:xfrm>
                    <a:prstGeom prst="rect">
                      <a:avLst/>
                    </a:prstGeom>
                  </pic:spPr>
                </pic:pic>
              </a:graphicData>
            </a:graphic>
          </wp:inline>
        </w:drawing>
      </w:r>
      <w:r>
        <w:rPr>
          <w:sz w:val="20"/>
        </w:rPr>
      </w:r>
    </w:p>
    <w:p>
      <w:pPr>
        <w:pStyle w:val="BodyText"/>
        <w:spacing w:before="6"/>
        <w:rPr>
          <w:b/>
          <w:sz w:val="7"/>
        </w:rPr>
      </w:pPr>
    </w:p>
    <w:p>
      <w:pPr>
        <w:spacing w:before="67"/>
        <w:ind w:left="418" w:right="0" w:firstLine="0"/>
        <w:jc w:val="left"/>
        <w:rPr>
          <w:b/>
          <w:sz w:val="24"/>
        </w:rPr>
      </w:pPr>
      <w:r>
        <w:rPr>
          <w:b/>
          <w:sz w:val="24"/>
        </w:rPr>
        <w:t>4 选址与总平面</w:t>
      </w:r>
      <w:r>
        <w:rPr>
          <w:b/>
          <w:w w:val="99"/>
          <w:sz w:val="24"/>
        </w:rPr>
        <w:t> </w:t>
      </w:r>
    </w:p>
    <w:p>
      <w:pPr>
        <w:pStyle w:val="BodyText"/>
        <w:spacing w:before="4"/>
        <w:rPr>
          <w:b/>
          <w:sz w:val="17"/>
        </w:rPr>
      </w:pPr>
    </w:p>
    <w:p>
      <w:pPr>
        <w:pStyle w:val="ListParagraph"/>
        <w:numPr>
          <w:ilvl w:val="1"/>
          <w:numId w:val="797"/>
        </w:numPr>
        <w:tabs>
          <w:tab w:pos="1159" w:val="left" w:leader="none"/>
        </w:tabs>
        <w:spacing w:line="240" w:lineRule="auto" w:before="0" w:after="0"/>
        <w:ind w:left="1158" w:right="0" w:hanging="319"/>
        <w:jc w:val="left"/>
        <w:rPr>
          <w:b/>
          <w:sz w:val="21"/>
        </w:rPr>
      </w:pPr>
      <w:r>
        <w:rPr>
          <w:spacing w:val="-3"/>
          <w:sz w:val="21"/>
        </w:rPr>
        <w:t>选址</w:t>
      </w:r>
      <w:r>
        <w:rPr>
          <w:b/>
          <w:w w:val="99"/>
          <w:sz w:val="21"/>
        </w:rPr>
        <w:t> </w:t>
      </w:r>
    </w:p>
    <w:p>
      <w:pPr>
        <w:pStyle w:val="BodyText"/>
        <w:spacing w:before="12"/>
        <w:rPr>
          <w:b/>
          <w:sz w:val="17"/>
        </w:rPr>
      </w:pPr>
    </w:p>
    <w:p>
      <w:pPr>
        <w:pStyle w:val="ListParagraph"/>
        <w:numPr>
          <w:ilvl w:val="2"/>
          <w:numId w:val="797"/>
        </w:numPr>
        <w:tabs>
          <w:tab w:pos="1424" w:val="left" w:leader="none"/>
        </w:tabs>
        <w:spacing w:line="448" w:lineRule="auto" w:before="0" w:after="0"/>
        <w:ind w:left="840" w:right="2602" w:firstLine="0"/>
        <w:jc w:val="left"/>
        <w:rPr>
          <w:sz w:val="21"/>
        </w:rPr>
      </w:pPr>
      <w:r>
        <w:rPr>
          <w:spacing w:val="-3"/>
          <w:sz w:val="21"/>
        </w:rPr>
        <w:t>综合医院选址应符合当地城镇规划、区域卫生规划和环保评估的要求。</w:t>
      </w:r>
      <w:r>
        <w:rPr>
          <w:b/>
          <w:spacing w:val="-3"/>
          <w:sz w:val="21"/>
        </w:rPr>
        <w:t>4.1.2</w:t>
      </w:r>
      <w:r>
        <w:rPr>
          <w:b/>
          <w:spacing w:val="103"/>
          <w:sz w:val="21"/>
        </w:rPr>
        <w:t> </w:t>
      </w:r>
      <w:r>
        <w:rPr>
          <w:spacing w:val="-3"/>
          <w:sz w:val="21"/>
        </w:rPr>
        <w:t>基地选择应符合下列要求：</w:t>
      </w:r>
      <w:r>
        <w:rPr>
          <w:sz w:val="21"/>
        </w:rPr>
        <w:t> </w:t>
      </w:r>
    </w:p>
    <w:p>
      <w:pPr>
        <w:pStyle w:val="BodyText"/>
        <w:spacing w:line="446" w:lineRule="auto"/>
        <w:ind w:left="838" w:right="6549"/>
      </w:pPr>
      <w:r>
        <w:rPr/>
        <w:t>交通方便，宜面临 2 条城市道路； 宜便于利用城市基础设施； </w:t>
      </w:r>
    </w:p>
    <w:p>
      <w:pPr>
        <w:pStyle w:val="BodyText"/>
        <w:ind w:left="838"/>
      </w:pPr>
      <w:r>
        <w:rPr/>
        <w:t>环境宜安静，应远离污染源； </w:t>
      </w:r>
    </w:p>
    <w:p>
      <w:pPr>
        <w:pStyle w:val="BodyText"/>
        <w:spacing w:before="7"/>
        <w:rPr>
          <w:sz w:val="17"/>
        </w:rPr>
      </w:pPr>
    </w:p>
    <w:p>
      <w:pPr>
        <w:pStyle w:val="BodyText"/>
        <w:ind w:left="838"/>
      </w:pPr>
      <w:r>
        <w:rPr/>
        <w:t>地形宜力求规整，适宜医院功能布局； </w:t>
      </w:r>
    </w:p>
    <w:p>
      <w:pPr>
        <w:pStyle w:val="BodyText"/>
        <w:rPr>
          <w:sz w:val="18"/>
        </w:rPr>
      </w:pPr>
    </w:p>
    <w:p>
      <w:pPr>
        <w:pStyle w:val="BodyText"/>
        <w:spacing w:line="446" w:lineRule="auto"/>
        <w:ind w:left="838" w:right="3397"/>
      </w:pPr>
      <w:r>
        <w:rPr/>
        <w:t>远离易燃、易爆物品的生产和储存区，并应远离高压线路及其设施； 不应临近少年儿童活动密集场所； </w:t>
      </w:r>
    </w:p>
    <w:p>
      <w:pPr>
        <w:spacing w:line="446" w:lineRule="auto" w:before="0"/>
        <w:ind w:left="840" w:right="6549" w:hanging="3"/>
        <w:jc w:val="left"/>
        <w:rPr>
          <w:b/>
          <w:sz w:val="21"/>
        </w:rPr>
      </w:pPr>
      <w:r>
        <w:rPr>
          <w:sz w:val="21"/>
        </w:rPr>
        <w:t>不应污染、影响城市的其他区域。</w:t>
      </w:r>
      <w:r>
        <w:rPr>
          <w:b/>
          <w:sz w:val="21"/>
        </w:rPr>
        <w:t>4.2 </w:t>
      </w:r>
      <w:r>
        <w:rPr>
          <w:sz w:val="21"/>
        </w:rPr>
        <w:t>总平面</w:t>
      </w:r>
      <w:r>
        <w:rPr>
          <w:b/>
          <w:w w:val="99"/>
          <w:sz w:val="21"/>
        </w:rPr>
        <w:t> </w:t>
      </w:r>
    </w:p>
    <w:p>
      <w:pPr>
        <w:spacing w:after="0" w:line="446" w:lineRule="auto"/>
        <w:jc w:val="left"/>
        <w:rPr>
          <w:sz w:val="21"/>
        </w:rPr>
        <w:sectPr>
          <w:pgSz w:w="11910" w:h="16850"/>
          <w:pgMar w:header="0" w:footer="1239" w:top="1600" w:bottom="1420" w:left="1260" w:right="0"/>
        </w:sectPr>
      </w:pPr>
    </w:p>
    <w:p>
      <w:pPr>
        <w:spacing w:before="47"/>
        <w:ind w:left="840" w:right="0" w:firstLine="0"/>
        <w:jc w:val="left"/>
        <w:rPr>
          <w:sz w:val="21"/>
        </w:rPr>
      </w:pPr>
      <w:r>
        <w:rPr>
          <w:b/>
          <w:sz w:val="21"/>
        </w:rPr>
        <w:t>4.2.1 </w:t>
      </w:r>
      <w:r>
        <w:rPr>
          <w:sz w:val="21"/>
        </w:rPr>
        <w:t>总平面设计应符合下列要求：  </w:t>
      </w:r>
      <w:r>
        <w:rPr>
          <w:w w:val="100"/>
          <w:sz w:val="21"/>
        </w:rPr>
        <w:t> </w:t>
      </w:r>
    </w:p>
    <w:p>
      <w:pPr>
        <w:pStyle w:val="BodyText"/>
        <w:rPr>
          <w:sz w:val="18"/>
        </w:rPr>
      </w:pPr>
    </w:p>
    <w:p>
      <w:pPr>
        <w:pStyle w:val="BodyText"/>
        <w:ind w:left="838"/>
      </w:pPr>
      <w:r>
        <w:rPr/>
        <w:t>合理进行功能分区，洁污、医患、人车等流线组织清晰，并应避免院内感染风险；  </w:t>
      </w:r>
      <w:r>
        <w:rPr>
          <w:w w:val="100"/>
        </w:rPr>
        <w:t> </w:t>
      </w:r>
    </w:p>
    <w:p>
      <w:pPr>
        <w:pStyle w:val="BodyText"/>
        <w:rPr>
          <w:sz w:val="18"/>
        </w:rPr>
      </w:pPr>
    </w:p>
    <w:p>
      <w:pPr>
        <w:pStyle w:val="BodyText"/>
        <w:ind w:left="838"/>
      </w:pPr>
      <w:r>
        <w:rPr/>
        <w:t>建筑布局紧凑，交通便捷，并应方便管理、减少能耗；  </w:t>
      </w:r>
      <w:r>
        <w:rPr>
          <w:w w:val="100"/>
        </w:rPr>
        <w:t> </w:t>
      </w:r>
    </w:p>
    <w:p>
      <w:pPr>
        <w:pStyle w:val="BodyText"/>
        <w:spacing w:before="1"/>
        <w:rPr>
          <w:sz w:val="18"/>
        </w:rPr>
      </w:pPr>
    </w:p>
    <w:p>
      <w:pPr>
        <w:pStyle w:val="BodyText"/>
        <w:spacing w:before="1"/>
        <w:ind w:left="838"/>
      </w:pPr>
      <w:r>
        <w:rPr/>
        <w:t>应保证住院、手术、功能检查和教学科研等用房的环境安静；  </w:t>
      </w:r>
      <w:r>
        <w:rPr>
          <w:w w:val="100"/>
        </w:rPr>
        <w:t> </w:t>
      </w:r>
    </w:p>
    <w:p>
      <w:pPr>
        <w:pStyle w:val="BodyText"/>
        <w:spacing w:before="12"/>
        <w:rPr>
          <w:sz w:val="17"/>
        </w:rPr>
      </w:pPr>
    </w:p>
    <w:p>
      <w:pPr>
        <w:pStyle w:val="BodyText"/>
        <w:ind w:left="838"/>
      </w:pPr>
      <w:r>
        <w:rPr/>
        <w:t>病房宜能获得良好朝向；  </w:t>
      </w:r>
      <w:r>
        <w:rPr>
          <w:w w:val="100"/>
        </w:rPr>
        <w:t> </w:t>
      </w:r>
    </w:p>
    <w:p>
      <w:pPr>
        <w:pStyle w:val="BodyText"/>
        <w:spacing w:before="12"/>
        <w:rPr>
          <w:sz w:val="17"/>
        </w:rPr>
      </w:pPr>
    </w:p>
    <w:p>
      <w:pPr>
        <w:pStyle w:val="BodyText"/>
        <w:ind w:left="838"/>
      </w:pPr>
      <w:r>
        <w:rPr/>
        <w:t>宜留有可发展或改建、扩建的用地；  </w:t>
      </w:r>
      <w:r>
        <w:rPr>
          <w:w w:val="100"/>
        </w:rPr>
        <w:t> </w:t>
      </w:r>
    </w:p>
    <w:p>
      <w:pPr>
        <w:pStyle w:val="BodyText"/>
        <w:spacing w:before="2"/>
        <w:rPr>
          <w:sz w:val="18"/>
        </w:rPr>
      </w:pPr>
    </w:p>
    <w:p>
      <w:pPr>
        <w:pStyle w:val="BodyText"/>
        <w:ind w:left="838"/>
      </w:pPr>
      <w:r>
        <w:rPr/>
        <w:t>应有完整的绿化规划；  </w:t>
      </w:r>
      <w:r>
        <w:rPr>
          <w:w w:val="100"/>
        </w:rPr>
        <w:t> </w:t>
      </w:r>
    </w:p>
    <w:p>
      <w:pPr>
        <w:pStyle w:val="BodyText"/>
        <w:rPr>
          <w:sz w:val="18"/>
        </w:rPr>
      </w:pPr>
    </w:p>
    <w:p>
      <w:pPr>
        <w:pStyle w:val="BodyText"/>
        <w:spacing w:line="446" w:lineRule="auto"/>
        <w:ind w:left="840" w:right="2554" w:hanging="3"/>
      </w:pPr>
      <w:r>
        <w:rPr/>
        <w:t>对废弃物的处理作出妥善的安排，并应符合有关环境保护法令、法规的规定。</w:t>
      </w:r>
      <w:r>
        <w:rPr>
          <w:b/>
        </w:rPr>
        <w:t>4.2.2 </w:t>
      </w:r>
      <w:r>
        <w:rPr/>
        <w:t>医院出入口不应少于 2 处，人员出入口不应兼作尸体或废弃物出口。 </w:t>
      </w:r>
    </w:p>
    <w:p>
      <w:pPr>
        <w:pStyle w:val="ListParagraph"/>
        <w:numPr>
          <w:ilvl w:val="2"/>
          <w:numId w:val="798"/>
        </w:numPr>
        <w:tabs>
          <w:tab w:pos="1370" w:val="left" w:leader="none"/>
        </w:tabs>
        <w:spacing w:line="240" w:lineRule="auto" w:before="0" w:after="0"/>
        <w:ind w:left="1369" w:right="0" w:hanging="530"/>
        <w:jc w:val="left"/>
        <w:rPr>
          <w:sz w:val="21"/>
        </w:rPr>
      </w:pPr>
      <w:r>
        <w:rPr>
          <w:spacing w:val="-3"/>
          <w:sz w:val="21"/>
        </w:rPr>
        <w:t>在门诊、急诊和住院用房等入口附近应设车辆停放场地。 </w:t>
      </w:r>
      <w:r>
        <w:rPr>
          <w:spacing w:val="-2"/>
          <w:sz w:val="21"/>
        </w:rPr>
        <w:t> </w:t>
      </w:r>
      <w:r>
        <w:rPr>
          <w:w w:val="100"/>
          <w:sz w:val="21"/>
        </w:rPr>
        <w:t> </w:t>
      </w:r>
    </w:p>
    <w:p>
      <w:pPr>
        <w:pStyle w:val="BodyText"/>
        <w:rPr>
          <w:sz w:val="18"/>
        </w:rPr>
      </w:pPr>
    </w:p>
    <w:p>
      <w:pPr>
        <w:pStyle w:val="ListParagraph"/>
        <w:numPr>
          <w:ilvl w:val="2"/>
          <w:numId w:val="798"/>
        </w:numPr>
        <w:tabs>
          <w:tab w:pos="1371" w:val="left" w:leader="none"/>
        </w:tabs>
        <w:spacing w:line="446" w:lineRule="auto" w:before="0" w:after="0"/>
        <w:ind w:left="418" w:right="1498" w:firstLine="422"/>
        <w:jc w:val="left"/>
        <w:rPr>
          <w:sz w:val="21"/>
        </w:rPr>
      </w:pPr>
      <w:r>
        <w:rPr>
          <w:spacing w:val="-3"/>
          <w:sz w:val="21"/>
        </w:rPr>
        <w:t>太平间、病理解剖室应设于医院隐蔽处。需设焚烧炉时，应避免风向影响，并应与主体建筑隔离。尸体运送路线应避免与出入院路线交叉。</w:t>
      </w:r>
      <w:r>
        <w:rPr>
          <w:sz w:val="21"/>
        </w:rPr>
        <w:t> </w:t>
      </w:r>
    </w:p>
    <w:p>
      <w:pPr>
        <w:pStyle w:val="ListParagraph"/>
        <w:numPr>
          <w:ilvl w:val="2"/>
          <w:numId w:val="798"/>
        </w:numPr>
        <w:tabs>
          <w:tab w:pos="1371" w:val="left" w:leader="none"/>
        </w:tabs>
        <w:spacing w:line="240" w:lineRule="auto" w:before="0" w:after="0"/>
        <w:ind w:left="1370" w:right="0" w:hanging="531"/>
        <w:jc w:val="left"/>
        <w:rPr>
          <w:sz w:val="21"/>
        </w:rPr>
      </w:pPr>
      <w:r>
        <w:rPr>
          <w:spacing w:val="-3"/>
          <w:sz w:val="21"/>
        </w:rPr>
        <w:t>环境设计应符合下列要求： </w:t>
      </w:r>
      <w:r>
        <w:rPr>
          <w:spacing w:val="-2"/>
          <w:sz w:val="21"/>
        </w:rPr>
        <w:t> </w:t>
      </w:r>
      <w:r>
        <w:rPr>
          <w:w w:val="100"/>
          <w:sz w:val="21"/>
        </w:rPr>
        <w:t> </w:t>
      </w:r>
    </w:p>
    <w:p>
      <w:pPr>
        <w:pStyle w:val="BodyText"/>
        <w:spacing w:before="12"/>
        <w:rPr>
          <w:sz w:val="17"/>
        </w:rPr>
      </w:pPr>
    </w:p>
    <w:p>
      <w:pPr>
        <w:pStyle w:val="BodyText"/>
        <w:spacing w:line="446" w:lineRule="auto"/>
        <w:ind w:left="418" w:right="2029" w:firstLine="419"/>
      </w:pPr>
      <w:r>
        <w:rPr/>
        <w:t>充分利用地形、防护间距和其他空地布置绿化景观，并应有供患者康复活动的专用绿地；  </w:t>
      </w:r>
      <w:r>
        <w:rPr>
          <w:w w:val="100"/>
        </w:rPr>
        <w:t> </w:t>
      </w:r>
    </w:p>
    <w:p>
      <w:pPr>
        <w:pStyle w:val="BodyText"/>
        <w:spacing w:line="446" w:lineRule="auto"/>
        <w:ind w:left="838" w:right="2134"/>
      </w:pPr>
      <w:r>
        <w:rPr>
          <w:spacing w:val="-3"/>
        </w:rPr>
        <w:t>应对绿化、景观、建筑内外空间、环境和室内外标识导向系统等做综合性设计；  在儿科用房及其入口附近，宜采取符合儿童生理和心理特点的环境设计。     </w:t>
      </w:r>
      <w:r>
        <w:rPr>
          <w:b/>
          <w:spacing w:val="-3"/>
        </w:rPr>
        <w:t>4.2.6</w:t>
      </w:r>
      <w:r>
        <w:rPr>
          <w:b/>
          <w:spacing w:val="4"/>
        </w:rPr>
        <w:t> </w:t>
      </w:r>
      <w:r>
        <w:rPr>
          <w:spacing w:val="-5"/>
        </w:rPr>
        <w:t>病房建筑的前后间距应满足日照和卫生间距要求，且不宜小于 </w:t>
      </w:r>
      <w:r>
        <w:rPr/>
        <w:t>12m</w:t>
      </w:r>
      <w:r>
        <w:rPr>
          <w:spacing w:val="-3"/>
        </w:rPr>
        <w:t>。</w:t>
      </w:r>
      <w:r>
        <w:rPr/>
        <w:t>  </w:t>
      </w:r>
      <w:r>
        <w:rPr>
          <w:w w:val="100"/>
        </w:rPr>
        <w:t> </w:t>
      </w:r>
    </w:p>
    <w:p>
      <w:pPr>
        <w:pStyle w:val="BodyText"/>
        <w:spacing w:line="446" w:lineRule="auto"/>
        <w:ind w:left="418" w:right="1498" w:firstLine="422"/>
      </w:pPr>
      <w:r>
        <w:rPr>
          <w:b/>
        </w:rPr>
        <w:t>4.2.7 </w:t>
      </w:r>
      <w:r>
        <w:rPr/>
        <w:t>在医疗用地内不得建职工住宅。医疗用地与职工住宅用地毗连时，应分隔，并应另设出入口。 </w:t>
      </w:r>
    </w:p>
    <w:p>
      <w:pPr>
        <w:pStyle w:val="Heading4"/>
        <w:spacing w:line="276" w:lineRule="exact"/>
      </w:pPr>
      <w:r>
        <w:rPr/>
        <w:t>5 建筑设计</w:t>
      </w:r>
      <w:r>
        <w:rPr>
          <w:w w:val="99"/>
        </w:rPr>
        <w:t> </w:t>
      </w:r>
    </w:p>
    <w:p>
      <w:pPr>
        <w:pStyle w:val="BodyText"/>
        <w:spacing w:before="5"/>
        <w:rPr>
          <w:b/>
          <w:sz w:val="17"/>
        </w:rPr>
      </w:pPr>
    </w:p>
    <w:p>
      <w:pPr>
        <w:pStyle w:val="ListParagraph"/>
        <w:numPr>
          <w:ilvl w:val="1"/>
          <w:numId w:val="799"/>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799"/>
        </w:numPr>
        <w:tabs>
          <w:tab w:pos="1371" w:val="left" w:leader="none"/>
        </w:tabs>
        <w:spacing w:line="446" w:lineRule="auto" w:before="0" w:after="0"/>
        <w:ind w:left="418" w:right="1498" w:firstLine="422"/>
        <w:jc w:val="left"/>
        <w:rPr>
          <w:sz w:val="21"/>
        </w:rPr>
      </w:pPr>
      <w:r>
        <w:rPr>
          <w:spacing w:val="-3"/>
          <w:sz w:val="21"/>
        </w:rPr>
        <w:t>主体建筑的平面布置、结构形式和机电设计，应为今后发展、改造和灵活分隔创造条件。</w:t>
      </w:r>
      <w:r>
        <w:rPr>
          <w:sz w:val="21"/>
        </w:rPr>
        <w:t> </w:t>
      </w:r>
    </w:p>
    <w:p>
      <w:pPr>
        <w:pStyle w:val="ListParagraph"/>
        <w:numPr>
          <w:ilvl w:val="2"/>
          <w:numId w:val="799"/>
        </w:numPr>
        <w:tabs>
          <w:tab w:pos="1371" w:val="left" w:leader="none"/>
        </w:tabs>
        <w:spacing w:line="240" w:lineRule="auto" w:before="0" w:after="0"/>
        <w:ind w:left="1370" w:right="0" w:hanging="531"/>
        <w:jc w:val="left"/>
        <w:rPr>
          <w:sz w:val="21"/>
        </w:rPr>
      </w:pPr>
      <w:r>
        <w:rPr>
          <w:spacing w:val="-3"/>
          <w:sz w:val="21"/>
        </w:rPr>
        <w:t>建筑物出入口的设置应符合下列要求：  </w:t>
      </w:r>
      <w:r>
        <w:rPr>
          <w:spacing w:val="-2"/>
          <w:sz w:val="21"/>
        </w:rPr>
        <w:t> </w:t>
      </w:r>
      <w:r>
        <w:rPr>
          <w:w w:val="100"/>
          <w:sz w:val="21"/>
        </w:rPr>
        <w:t> </w:t>
      </w:r>
    </w:p>
    <w:p>
      <w:pPr>
        <w:pStyle w:val="BodyText"/>
        <w:rPr>
          <w:sz w:val="18"/>
        </w:rPr>
      </w:pPr>
    </w:p>
    <w:p>
      <w:pPr>
        <w:pStyle w:val="BodyText"/>
        <w:ind w:left="838"/>
      </w:pPr>
      <w:r>
        <w:rPr/>
        <w:t>门诊、急诊、急救和住院应分别设置无障碍出入口；   </w:t>
      </w:r>
      <w:r>
        <w:rPr>
          <w:w w:val="100"/>
        </w:rPr>
        <w:t> </w:t>
      </w:r>
    </w:p>
    <w:p>
      <w:pPr>
        <w:pStyle w:val="BodyText"/>
        <w:rPr>
          <w:sz w:val="18"/>
        </w:rPr>
      </w:pPr>
    </w:p>
    <w:p>
      <w:pPr>
        <w:pStyle w:val="BodyText"/>
        <w:spacing w:line="446" w:lineRule="auto"/>
        <w:ind w:left="840" w:right="2345" w:hanging="3"/>
      </w:pPr>
      <w:r>
        <w:rPr/>
        <w:t>门诊、急诊、急救和住院主要出入口处，应有机动车停靠的平台，并应设雨篷。</w:t>
      </w:r>
      <w:r>
        <w:rPr>
          <w:b/>
        </w:rPr>
        <w:t>5.1.3 </w:t>
      </w:r>
      <w:r>
        <w:rPr/>
        <w:t>应设置具有引导、管理等功能的标识系统，并应符合下列要求：   </w:t>
      </w:r>
      <w:r>
        <w:rPr>
          <w:w w:val="100"/>
        </w:rPr>
        <w:t> </w:t>
      </w:r>
    </w:p>
    <w:p>
      <w:pPr>
        <w:spacing w:after="0" w:line="446" w:lineRule="auto"/>
        <w:sectPr>
          <w:footerReference w:type="default" r:id="rId442"/>
          <w:pgSz w:w="11910" w:h="16850"/>
          <w:pgMar w:footer="1239" w:header="0" w:top="1220" w:bottom="1420" w:left="1260" w:right="0"/>
          <w:pgNumType w:start="1440"/>
        </w:sectPr>
      </w:pPr>
    </w:p>
    <w:p>
      <w:pPr>
        <w:pStyle w:val="BodyText"/>
        <w:spacing w:before="47"/>
        <w:ind w:left="838"/>
      </w:pPr>
      <w:r>
        <w:rPr/>
        <w:t>标识系统可采用多种方式实现；   </w:t>
      </w:r>
      <w:r>
        <w:rPr>
          <w:w w:val="100"/>
        </w:rPr>
        <w:t> </w:t>
      </w:r>
    </w:p>
    <w:p>
      <w:pPr>
        <w:pStyle w:val="BodyText"/>
        <w:rPr>
          <w:sz w:val="18"/>
        </w:rPr>
      </w:pPr>
    </w:p>
    <w:p>
      <w:pPr>
        <w:pStyle w:val="BodyText"/>
        <w:ind w:left="838"/>
      </w:pPr>
      <w:r>
        <w:rPr/>
        <w:t>标识导向分级宜按表 5.1.3 设置。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6"/>
        </w:rPr>
      </w:pPr>
    </w:p>
    <w:p>
      <w:pPr>
        <w:pStyle w:val="Heading6"/>
        <w:spacing w:before="72"/>
        <w:ind w:left="3413"/>
      </w:pPr>
      <w:r>
        <w:rPr/>
        <w:t>表 5.1.3 医院标识导向分级</w:t>
      </w:r>
      <w:r>
        <w:rPr>
          <w:w w:val="99"/>
        </w:rPr>
        <w:t> </w:t>
      </w:r>
    </w:p>
    <w:p>
      <w:pPr>
        <w:pStyle w:val="BodyText"/>
        <w:rPr>
          <w:b/>
          <w:sz w:val="20"/>
        </w:rPr>
      </w:pPr>
    </w:p>
    <w:p>
      <w:pPr>
        <w:pStyle w:val="BodyText"/>
        <w:spacing w:before="7"/>
        <w:rPr>
          <w:b/>
          <w:sz w:val="17"/>
        </w:rPr>
      </w:pPr>
      <w:r>
        <w:rPr/>
        <w:drawing>
          <wp:anchor distT="0" distB="0" distL="0" distR="0" allowOverlap="1" layoutInCell="1" locked="0" behindDoc="0" simplePos="0" relativeHeight="267">
            <wp:simplePos x="0" y="0"/>
            <wp:positionH relativeFrom="page">
              <wp:posOffset>1646554</wp:posOffset>
            </wp:positionH>
            <wp:positionV relativeFrom="paragraph">
              <wp:posOffset>167806</wp:posOffset>
            </wp:positionV>
            <wp:extent cx="4454524" cy="2562225"/>
            <wp:effectExtent l="0" t="0" r="0" b="0"/>
            <wp:wrapTopAndBottom/>
            <wp:docPr id="633" name="image365.jpeg"/>
            <wp:cNvGraphicFramePr>
              <a:graphicFrameLocks noChangeAspect="1"/>
            </wp:cNvGraphicFramePr>
            <a:graphic>
              <a:graphicData uri="http://schemas.openxmlformats.org/drawingml/2006/picture">
                <pic:pic>
                  <pic:nvPicPr>
                    <pic:cNvPr id="634" name="image365.jpeg"/>
                    <pic:cNvPicPr/>
                  </pic:nvPicPr>
                  <pic:blipFill>
                    <a:blip r:embed="rId443" cstate="print"/>
                    <a:stretch>
                      <a:fillRect/>
                    </a:stretch>
                  </pic:blipFill>
                  <pic:spPr>
                    <a:xfrm>
                      <a:off x="0" y="0"/>
                      <a:ext cx="4454524" cy="2562225"/>
                    </a:xfrm>
                    <a:prstGeom prst="rect">
                      <a:avLst/>
                    </a:prstGeom>
                  </pic:spPr>
                </pic:pic>
              </a:graphicData>
            </a:graphic>
          </wp:anchor>
        </w:drawing>
      </w:r>
    </w:p>
    <w:p>
      <w:pPr>
        <w:pStyle w:val="BodyText"/>
        <w:rPr>
          <w:b/>
          <w:sz w:val="20"/>
        </w:rPr>
      </w:pPr>
    </w:p>
    <w:p>
      <w:pPr>
        <w:pStyle w:val="BodyText"/>
        <w:spacing w:before="2"/>
        <w:rPr>
          <w:b/>
          <w:sz w:val="26"/>
        </w:rPr>
      </w:pPr>
    </w:p>
    <w:p>
      <w:pPr>
        <w:pStyle w:val="ListParagraph"/>
        <w:numPr>
          <w:ilvl w:val="2"/>
          <w:numId w:val="800"/>
        </w:numPr>
        <w:tabs>
          <w:tab w:pos="1371" w:val="left" w:leader="none"/>
        </w:tabs>
        <w:spacing w:line="240" w:lineRule="auto" w:before="71" w:after="0"/>
        <w:ind w:left="1370" w:right="0" w:hanging="531"/>
        <w:jc w:val="left"/>
        <w:rPr>
          <w:sz w:val="21"/>
        </w:rPr>
      </w:pPr>
      <w:r>
        <w:rPr>
          <w:spacing w:val="-3"/>
          <w:sz w:val="21"/>
        </w:rPr>
        <w:t>电梯的设置应符合下列规定：</w:t>
      </w:r>
      <w:r>
        <w:rPr>
          <w:sz w:val="21"/>
        </w:rPr>
        <w:t> </w:t>
      </w:r>
    </w:p>
    <w:p>
      <w:pPr>
        <w:pStyle w:val="BodyText"/>
        <w:spacing w:before="2"/>
        <w:rPr>
          <w:sz w:val="18"/>
        </w:rPr>
      </w:pPr>
    </w:p>
    <w:p>
      <w:pPr>
        <w:pStyle w:val="BodyText"/>
        <w:spacing w:line="446" w:lineRule="auto"/>
        <w:ind w:left="838" w:right="2136"/>
      </w:pPr>
      <w:r>
        <w:rPr>
          <w:spacing w:val="-5"/>
        </w:rPr>
        <w:t>二层医疗用房宜设电梯；三层及三层以上的医疗用房应设电梯，且不得少于 </w:t>
      </w:r>
      <w:r>
        <w:rPr/>
        <w:t>2</w:t>
      </w:r>
      <w:r>
        <w:rPr>
          <w:spacing w:val="-16"/>
        </w:rPr>
        <w:t> 台。</w:t>
      </w:r>
      <w:r>
        <w:rPr>
          <w:spacing w:val="-3"/>
        </w:rPr>
        <w:t>供患者使用的电梯和污物梯，应采用病床梯。</w:t>
      </w:r>
      <w:r>
        <w:rPr/>
        <w:t> </w:t>
      </w:r>
    </w:p>
    <w:p>
      <w:pPr>
        <w:pStyle w:val="BodyText"/>
        <w:spacing w:line="446" w:lineRule="auto"/>
        <w:ind w:left="838" w:right="3606"/>
      </w:pPr>
      <w:r>
        <w:rPr/>
        <w:t>医院住院部宜增设供医护人员专用的客梯、送餐和污物专用货梯。电梯井道不应与有安静要求的用房贴邻。 </w:t>
      </w:r>
    </w:p>
    <w:p>
      <w:pPr>
        <w:pStyle w:val="ListParagraph"/>
        <w:numPr>
          <w:ilvl w:val="2"/>
          <w:numId w:val="800"/>
        </w:numPr>
        <w:tabs>
          <w:tab w:pos="1370" w:val="left" w:leader="none"/>
        </w:tabs>
        <w:spacing w:line="240" w:lineRule="auto" w:before="0" w:after="0"/>
        <w:ind w:left="1369" w:right="0" w:hanging="530"/>
        <w:jc w:val="left"/>
        <w:rPr>
          <w:sz w:val="21"/>
        </w:rPr>
      </w:pPr>
      <w:r>
        <w:rPr>
          <w:spacing w:val="-3"/>
          <w:sz w:val="21"/>
        </w:rPr>
        <w:t>楼梯的设置应符合下列要求：</w:t>
      </w:r>
      <w:r>
        <w:rPr>
          <w:sz w:val="21"/>
        </w:rPr>
        <w:t> </w:t>
      </w:r>
    </w:p>
    <w:p>
      <w:pPr>
        <w:pStyle w:val="BodyText"/>
        <w:spacing w:before="10"/>
        <w:rPr>
          <w:sz w:val="17"/>
        </w:rPr>
      </w:pPr>
    </w:p>
    <w:p>
      <w:pPr>
        <w:pStyle w:val="BodyText"/>
        <w:ind w:left="838"/>
      </w:pPr>
      <w:r>
        <w:rPr/>
        <w:t>楼梯的位置应同时符合防火、疏散和功能分区的要求； </w:t>
      </w:r>
    </w:p>
    <w:p>
      <w:pPr>
        <w:pStyle w:val="BodyText"/>
        <w:spacing w:before="2"/>
        <w:rPr>
          <w:sz w:val="18"/>
        </w:rPr>
      </w:pPr>
    </w:p>
    <w:p>
      <w:pPr>
        <w:pStyle w:val="BodyText"/>
        <w:ind w:left="838"/>
      </w:pPr>
      <w:r>
        <w:rPr/>
        <w:t>主楼梯宽度不得小于 1.65m，踏步宽度不应小于 0.28m，高度不应大于 0.16m。 </w:t>
      </w:r>
    </w:p>
    <w:p>
      <w:pPr>
        <w:spacing w:after="0"/>
        <w:sectPr>
          <w:pgSz w:w="11910" w:h="16850"/>
          <w:pgMar w:header="0" w:footer="1239" w:top="1220" w:bottom="1420" w:left="1260" w:right="0"/>
        </w:sectPr>
      </w:pPr>
    </w:p>
    <w:p>
      <w:pPr>
        <w:pStyle w:val="ListParagraph"/>
        <w:numPr>
          <w:ilvl w:val="2"/>
          <w:numId w:val="800"/>
        </w:numPr>
        <w:tabs>
          <w:tab w:pos="1370" w:val="left" w:leader="none"/>
        </w:tabs>
        <w:spacing w:line="446" w:lineRule="auto" w:before="47" w:after="0"/>
        <w:ind w:left="418" w:right="1551" w:firstLine="422"/>
        <w:jc w:val="left"/>
        <w:rPr>
          <w:sz w:val="21"/>
        </w:rPr>
      </w:pPr>
      <w:r>
        <w:rPr>
          <w:spacing w:val="-5"/>
          <w:sz w:val="21"/>
        </w:rPr>
        <w:t>通行推床的通道，净宽不应小于 </w:t>
      </w:r>
      <w:r>
        <w:rPr>
          <w:sz w:val="21"/>
        </w:rPr>
        <w:t>2.40m</w:t>
      </w:r>
      <w:r>
        <w:rPr>
          <w:spacing w:val="-3"/>
          <w:sz w:val="21"/>
        </w:rPr>
        <w:t>。有高差者应用坡道相接，坡道坡度应按无障碍坡道设计。</w:t>
      </w:r>
      <w:r>
        <w:rPr>
          <w:sz w:val="21"/>
        </w:rPr>
        <w:t> </w:t>
      </w:r>
    </w:p>
    <w:p>
      <w:pPr>
        <w:pStyle w:val="ListParagraph"/>
        <w:numPr>
          <w:ilvl w:val="2"/>
          <w:numId w:val="800"/>
        </w:numPr>
        <w:tabs>
          <w:tab w:pos="1371" w:val="left" w:leader="none"/>
        </w:tabs>
        <w:spacing w:line="446" w:lineRule="auto" w:before="0" w:after="0"/>
        <w:ind w:left="418" w:right="1447" w:firstLine="422"/>
        <w:jc w:val="left"/>
        <w:rPr>
          <w:sz w:val="21"/>
        </w:rPr>
      </w:pPr>
      <w:r>
        <w:rPr>
          <w:sz w:val="21"/>
        </w:rPr>
        <w:t>50％</w:t>
      </w:r>
      <w:r>
        <w:rPr>
          <w:spacing w:val="-3"/>
          <w:sz w:val="21"/>
        </w:rPr>
        <w:t>以上的病房日照应符合现行国家标准《民用建筑设计通则》</w:t>
      </w:r>
      <w:r>
        <w:rPr>
          <w:sz w:val="21"/>
        </w:rPr>
        <w:t>GB</w:t>
      </w:r>
      <w:r>
        <w:rPr>
          <w:spacing w:val="21"/>
          <w:sz w:val="21"/>
        </w:rPr>
        <w:t> </w:t>
      </w:r>
      <w:r>
        <w:rPr>
          <w:sz w:val="21"/>
        </w:rPr>
        <w:t>50352</w:t>
      </w:r>
      <w:r>
        <w:rPr>
          <w:spacing w:val="-10"/>
          <w:sz w:val="21"/>
        </w:rPr>
        <w:t> 的有关规定</w:t>
      </w:r>
      <w:r>
        <w:rPr>
          <w:spacing w:val="-3"/>
          <w:sz w:val="21"/>
        </w:rPr>
        <w:t>。</w:t>
      </w:r>
      <w:r>
        <w:rPr>
          <w:sz w:val="21"/>
        </w:rPr>
        <w:t> </w:t>
      </w:r>
    </w:p>
    <w:p>
      <w:pPr>
        <w:pStyle w:val="ListParagraph"/>
        <w:numPr>
          <w:ilvl w:val="2"/>
          <w:numId w:val="800"/>
        </w:numPr>
        <w:tabs>
          <w:tab w:pos="1370" w:val="left" w:leader="none"/>
        </w:tabs>
        <w:spacing w:line="240" w:lineRule="auto" w:before="0" w:after="0"/>
        <w:ind w:left="1369" w:right="0" w:hanging="530"/>
        <w:jc w:val="left"/>
        <w:rPr>
          <w:sz w:val="21"/>
        </w:rPr>
      </w:pPr>
      <w:r>
        <w:rPr>
          <w:spacing w:val="-3"/>
          <w:sz w:val="21"/>
        </w:rPr>
        <w:t>门诊、急诊和病房应充分利用自然通风和天然采光。</w:t>
      </w:r>
      <w:r>
        <w:rPr>
          <w:sz w:val="21"/>
        </w:rPr>
        <w:t> </w:t>
      </w:r>
    </w:p>
    <w:p>
      <w:pPr>
        <w:pStyle w:val="BodyText"/>
        <w:spacing w:before="10"/>
        <w:rPr>
          <w:sz w:val="17"/>
        </w:rPr>
      </w:pPr>
    </w:p>
    <w:p>
      <w:pPr>
        <w:pStyle w:val="ListParagraph"/>
        <w:numPr>
          <w:ilvl w:val="2"/>
          <w:numId w:val="800"/>
        </w:numPr>
        <w:tabs>
          <w:tab w:pos="1370" w:val="left" w:leader="none"/>
        </w:tabs>
        <w:spacing w:line="446" w:lineRule="auto" w:before="0" w:after="0"/>
        <w:ind w:left="838" w:right="6438" w:firstLine="2"/>
        <w:jc w:val="left"/>
        <w:rPr>
          <w:b/>
          <w:sz w:val="21"/>
        </w:rPr>
      </w:pPr>
      <w:r>
        <w:rPr>
          <w:spacing w:val="-2"/>
          <w:sz w:val="21"/>
        </w:rPr>
        <w:t>室内净高应符合下列要求： 诊</w:t>
      </w:r>
      <w:r>
        <w:rPr>
          <w:spacing w:val="-11"/>
          <w:sz w:val="21"/>
        </w:rPr>
        <w:t>查室不宜低于 </w:t>
      </w:r>
      <w:r>
        <w:rPr>
          <w:sz w:val="21"/>
        </w:rPr>
        <w:t>2.60m；</w:t>
      </w:r>
      <w:r>
        <w:rPr>
          <w:b/>
          <w:w w:val="99"/>
          <w:sz w:val="21"/>
        </w:rPr>
        <w:t> </w:t>
      </w:r>
    </w:p>
    <w:p>
      <w:pPr>
        <w:pStyle w:val="BodyText"/>
        <w:spacing w:before="1"/>
        <w:ind w:left="838"/>
        <w:rPr>
          <w:b/>
        </w:rPr>
      </w:pPr>
      <w:r>
        <w:rPr/>
        <w:t>病房不宜低于 2.80m；</w:t>
      </w:r>
      <w:r>
        <w:rPr>
          <w:b/>
          <w:w w:val="99"/>
        </w:rPr>
        <w:t> </w:t>
      </w:r>
    </w:p>
    <w:p>
      <w:pPr>
        <w:pStyle w:val="BodyText"/>
        <w:spacing w:before="12"/>
        <w:rPr>
          <w:b/>
          <w:sz w:val="17"/>
        </w:rPr>
      </w:pPr>
    </w:p>
    <w:p>
      <w:pPr>
        <w:pStyle w:val="BodyText"/>
        <w:ind w:left="838"/>
        <w:rPr>
          <w:b/>
        </w:rPr>
      </w:pPr>
      <w:r>
        <w:rPr/>
        <w:t>公共走道不宜低于 2.30m；</w:t>
      </w:r>
      <w:r>
        <w:rPr>
          <w:b/>
          <w:w w:val="99"/>
        </w:rPr>
        <w:t> </w:t>
      </w:r>
    </w:p>
    <w:p>
      <w:pPr>
        <w:pStyle w:val="BodyText"/>
        <w:spacing w:before="2"/>
        <w:rPr>
          <w:b/>
          <w:sz w:val="18"/>
        </w:rPr>
      </w:pPr>
    </w:p>
    <w:p>
      <w:pPr>
        <w:pStyle w:val="BodyText"/>
        <w:ind w:left="838"/>
        <w:rPr>
          <w:b/>
        </w:rPr>
      </w:pPr>
      <w:r>
        <w:rPr/>
        <w:t>医技科室宜根据需要确定。</w:t>
      </w:r>
      <w:r>
        <w:rPr>
          <w:b/>
          <w:w w:val="99"/>
        </w:rPr>
        <w:t> </w:t>
      </w:r>
    </w:p>
    <w:p>
      <w:pPr>
        <w:pStyle w:val="BodyText"/>
        <w:spacing w:before="12"/>
        <w:rPr>
          <w:b/>
          <w:sz w:val="17"/>
        </w:rPr>
      </w:pPr>
    </w:p>
    <w:p>
      <w:pPr>
        <w:pStyle w:val="ListParagraph"/>
        <w:numPr>
          <w:ilvl w:val="2"/>
          <w:numId w:val="800"/>
        </w:numPr>
        <w:tabs>
          <w:tab w:pos="1478" w:val="left" w:leader="none"/>
        </w:tabs>
        <w:spacing w:line="446" w:lineRule="auto" w:before="0" w:after="0"/>
        <w:ind w:left="418" w:right="1548" w:firstLine="422"/>
        <w:jc w:val="left"/>
        <w:rPr>
          <w:sz w:val="21"/>
        </w:rPr>
      </w:pPr>
      <w:r>
        <w:rPr>
          <w:spacing w:val="-3"/>
          <w:sz w:val="21"/>
        </w:rPr>
        <w:t>医院建筑的热工要求应符合现行国家标准《公共建筑节能设计标准》</w:t>
      </w:r>
      <w:r>
        <w:rPr>
          <w:sz w:val="21"/>
        </w:rPr>
        <w:t>GB</w:t>
      </w:r>
      <w:r>
        <w:rPr>
          <w:spacing w:val="22"/>
          <w:sz w:val="21"/>
        </w:rPr>
        <w:t> </w:t>
      </w:r>
      <w:r>
        <w:rPr>
          <w:sz w:val="21"/>
        </w:rPr>
        <w:t>50189</w:t>
      </w:r>
      <w:r>
        <w:rPr>
          <w:spacing w:val="-14"/>
          <w:sz w:val="21"/>
        </w:rPr>
        <w:t> 的有</w:t>
      </w:r>
      <w:r>
        <w:rPr>
          <w:spacing w:val="-6"/>
          <w:sz w:val="21"/>
        </w:rPr>
        <w:t>关规定。</w:t>
      </w:r>
      <w:r>
        <w:rPr>
          <w:sz w:val="21"/>
        </w:rPr>
        <w:t> </w:t>
      </w:r>
    </w:p>
    <w:p>
      <w:pPr>
        <w:pStyle w:val="ListParagraph"/>
        <w:numPr>
          <w:ilvl w:val="2"/>
          <w:numId w:val="800"/>
        </w:numPr>
        <w:tabs>
          <w:tab w:pos="1478" w:val="left" w:leader="none"/>
        </w:tabs>
        <w:spacing w:line="240" w:lineRule="auto" w:before="0" w:after="0"/>
        <w:ind w:left="1477" w:right="0" w:hanging="638"/>
        <w:jc w:val="left"/>
        <w:rPr>
          <w:sz w:val="21"/>
        </w:rPr>
      </w:pPr>
      <w:r>
        <w:rPr>
          <w:spacing w:val="-3"/>
          <w:sz w:val="21"/>
        </w:rPr>
        <w:t>病房的允许噪声级和隔声，应符合现行国家标准《民用建筑隔声设计规范》</w:t>
      </w:r>
      <w:r>
        <w:rPr>
          <w:sz w:val="21"/>
        </w:rPr>
        <w:t>GB </w:t>
      </w:r>
    </w:p>
    <w:p>
      <w:pPr>
        <w:pStyle w:val="BodyText"/>
        <w:rPr>
          <w:sz w:val="18"/>
        </w:rPr>
      </w:pPr>
    </w:p>
    <w:p>
      <w:pPr>
        <w:pStyle w:val="BodyText"/>
        <w:ind w:left="418"/>
      </w:pPr>
      <w:r>
        <w:rPr/>
        <w:t>50118 的规定。 </w:t>
      </w:r>
    </w:p>
    <w:p>
      <w:pPr>
        <w:pStyle w:val="BodyText"/>
        <w:rPr>
          <w:sz w:val="18"/>
        </w:rPr>
      </w:pPr>
    </w:p>
    <w:p>
      <w:pPr>
        <w:pStyle w:val="ListParagraph"/>
        <w:numPr>
          <w:ilvl w:val="2"/>
          <w:numId w:val="800"/>
        </w:numPr>
        <w:tabs>
          <w:tab w:pos="1478" w:val="left" w:leader="none"/>
        </w:tabs>
        <w:spacing w:line="240" w:lineRule="auto" w:before="0" w:after="0"/>
        <w:ind w:left="1477" w:right="0" w:hanging="638"/>
        <w:jc w:val="left"/>
        <w:rPr>
          <w:sz w:val="21"/>
        </w:rPr>
      </w:pPr>
      <w:r>
        <w:rPr>
          <w:spacing w:val="-3"/>
          <w:sz w:val="21"/>
        </w:rPr>
        <w:t>室内装修和防护宜符合下列要求：</w:t>
      </w:r>
      <w:r>
        <w:rPr>
          <w:sz w:val="21"/>
        </w:rPr>
        <w:t> </w:t>
      </w:r>
    </w:p>
    <w:p>
      <w:pPr>
        <w:pStyle w:val="BodyText"/>
        <w:spacing w:before="1"/>
        <w:rPr>
          <w:sz w:val="18"/>
        </w:rPr>
      </w:pPr>
    </w:p>
    <w:p>
      <w:pPr>
        <w:pStyle w:val="BodyText"/>
        <w:spacing w:line="446" w:lineRule="auto" w:before="1"/>
        <w:ind w:left="418" w:right="1609" w:firstLine="419"/>
      </w:pPr>
      <w:r>
        <w:rPr/>
        <w:t>医疗用房的地面、踢脚板、墙裙、墙面、顶棚应便于清扫或冲洗，其阴阳角宜做成圆角。踢脚板、墙裙应与墙面平。 </w:t>
      </w:r>
    </w:p>
    <w:p>
      <w:pPr>
        <w:pStyle w:val="BodyText"/>
        <w:spacing w:line="446" w:lineRule="auto"/>
        <w:ind w:left="418" w:right="1609" w:firstLine="419"/>
      </w:pPr>
      <w:r>
        <w:rPr/>
        <w:t>手术室、检验科、中心实验室和病理科等医院卫生学要求高的用房，其室内装修应满足易清洁、耐腐蚀的要求。 </w:t>
      </w:r>
    </w:p>
    <w:p>
      <w:pPr>
        <w:pStyle w:val="BodyText"/>
        <w:spacing w:line="446" w:lineRule="auto"/>
        <w:ind w:left="418" w:right="1609" w:firstLine="419"/>
      </w:pPr>
      <w:r>
        <w:rPr/>
        <w:t>检验科、中心实验室和病理科的操作台面应采用耐腐蚀、易冲洗、耐燃烧的面层。相关的洗涤池和排水管亦应采用耐腐蚀材料。 </w:t>
      </w:r>
    </w:p>
    <w:p>
      <w:pPr>
        <w:pStyle w:val="BodyText"/>
        <w:spacing w:line="446" w:lineRule="auto"/>
        <w:ind w:left="838" w:right="2345"/>
      </w:pPr>
      <w:r>
        <w:rPr>
          <w:spacing w:val="-3"/>
        </w:rPr>
        <w:t>药剂科的配方室、贮药室、中心药房、药库均应采取防潮、防虫、防鼠等措施。太平间、病理解剖室均应采取防虫、防雀、防鼠以及防其他动物侵入的措施。</w:t>
      </w:r>
      <w:r>
        <w:rPr>
          <w:b/>
          <w:spacing w:val="-3"/>
        </w:rPr>
        <w:t>5.1.13</w:t>
      </w:r>
      <w:r>
        <w:rPr>
          <w:b/>
          <w:spacing w:val="105"/>
        </w:rPr>
        <w:t> </w:t>
      </w:r>
      <w:r>
        <w:rPr>
          <w:spacing w:val="-3"/>
        </w:rPr>
        <w:t>卫生间的设置应符合下列要求：</w:t>
      </w:r>
      <w:r>
        <w:rPr/>
        <w:t> </w:t>
      </w:r>
    </w:p>
    <w:p>
      <w:pPr>
        <w:pStyle w:val="BodyText"/>
        <w:spacing w:line="446" w:lineRule="auto"/>
        <w:ind w:left="418" w:right="1558" w:firstLine="419"/>
      </w:pPr>
      <w:r>
        <w:rPr>
          <w:spacing w:val="-5"/>
        </w:rPr>
        <w:t>患者使用的卫生间隔间的平面尺寸，不应小于 </w:t>
      </w:r>
      <w:r>
        <w:rPr/>
        <w:t>1.10m×1.40m</w:t>
      </w:r>
      <w:r>
        <w:rPr>
          <w:spacing w:val="-3"/>
        </w:rPr>
        <w:t>，门应朝外开，门闩应能里外开启。卫生间隔间内应设输液吊钩。</w:t>
      </w:r>
      <w:r>
        <w:rPr/>
        <w:t> </w:t>
      </w:r>
    </w:p>
    <w:p>
      <w:pPr>
        <w:pStyle w:val="BodyText"/>
        <w:spacing w:line="446" w:lineRule="auto"/>
        <w:ind w:left="418" w:right="1609" w:firstLine="419"/>
      </w:pPr>
      <w:r>
        <w:rPr>
          <w:spacing w:val="-3"/>
        </w:rPr>
        <w:t>患者使用的坐式大便器坐圈宜采用不易被污染、易消毒的类型，进入蹲式大便器隔间不应有高差。大便器旁应装置安全抓杆。</w:t>
      </w:r>
      <w:r>
        <w:rPr/>
        <w:t> </w:t>
      </w:r>
    </w:p>
    <w:p>
      <w:pPr>
        <w:spacing w:after="0" w:line="446" w:lineRule="auto"/>
        <w:sectPr>
          <w:pgSz w:w="11910" w:h="16850"/>
          <w:pgMar w:header="0" w:footer="1239" w:top="1220" w:bottom="1420" w:left="1260" w:right="0"/>
        </w:sectPr>
      </w:pPr>
    </w:p>
    <w:p>
      <w:pPr>
        <w:pStyle w:val="BodyText"/>
        <w:spacing w:line="446" w:lineRule="auto" w:before="47"/>
        <w:ind w:left="838" w:right="4866"/>
      </w:pPr>
      <w:r>
        <w:rPr>
          <w:spacing w:val="-3"/>
        </w:rPr>
        <w:t>卫生间应设前室，并应设非手动开关的洗手设施。  采用室外卫生间时，宜用连廊与门诊、病房楼相接。宜设置无性别、无障碍患者专用卫生间。</w:t>
      </w:r>
      <w:r>
        <w:rPr/>
        <w:t> </w:t>
      </w:r>
    </w:p>
    <w:p>
      <w:pPr>
        <w:pStyle w:val="BodyText"/>
        <w:spacing w:line="446" w:lineRule="auto"/>
        <w:ind w:left="418" w:right="1817" w:firstLine="419"/>
      </w:pPr>
      <w:r>
        <w:rPr/>
        <w:t>无障碍专用卫生间和公共卫生间的无障碍设施与设计，应符合现行标准《无障碍设计规范》GB 50763 的有关规定。 </w:t>
      </w:r>
    </w:p>
    <w:p>
      <w:pPr>
        <w:spacing w:line="267" w:lineRule="exact" w:before="0"/>
        <w:ind w:left="840" w:right="0" w:firstLine="0"/>
        <w:jc w:val="left"/>
        <w:rPr>
          <w:sz w:val="21"/>
        </w:rPr>
      </w:pPr>
      <w:r>
        <w:rPr>
          <w:b/>
          <w:sz w:val="21"/>
        </w:rPr>
        <w:t>5.1.14</w:t>
      </w:r>
      <w:r>
        <w:rPr>
          <w:b/>
          <w:spacing w:val="105"/>
          <w:sz w:val="21"/>
        </w:rPr>
        <w:t> </w:t>
      </w:r>
      <w:r>
        <w:rPr>
          <w:spacing w:val="-3"/>
          <w:sz w:val="21"/>
        </w:rPr>
        <w:t>医疗废物和生活垃圾应分别处置。</w:t>
      </w:r>
      <w:r>
        <w:rPr>
          <w:sz w:val="21"/>
        </w:rPr>
        <w:t> </w:t>
      </w:r>
    </w:p>
    <w:p>
      <w:pPr>
        <w:pStyle w:val="BodyText"/>
        <w:spacing w:before="1"/>
        <w:rPr>
          <w:sz w:val="18"/>
        </w:rPr>
      </w:pPr>
    </w:p>
    <w:p>
      <w:pPr>
        <w:pStyle w:val="ListParagraph"/>
        <w:numPr>
          <w:ilvl w:val="1"/>
          <w:numId w:val="799"/>
        </w:numPr>
        <w:tabs>
          <w:tab w:pos="1159" w:val="left" w:leader="none"/>
        </w:tabs>
        <w:spacing w:line="240" w:lineRule="auto" w:before="0" w:after="0"/>
        <w:ind w:left="1158" w:right="0" w:hanging="319"/>
        <w:jc w:val="left"/>
        <w:rPr>
          <w:b/>
          <w:sz w:val="21"/>
        </w:rPr>
      </w:pPr>
      <w:r>
        <w:rPr>
          <w:spacing w:val="-3"/>
          <w:sz w:val="21"/>
        </w:rPr>
        <w:t>门诊部用房</w:t>
      </w:r>
      <w:r>
        <w:rPr>
          <w:b/>
          <w:w w:val="99"/>
          <w:sz w:val="21"/>
        </w:rPr>
        <w:t> </w:t>
      </w:r>
    </w:p>
    <w:p>
      <w:pPr>
        <w:pStyle w:val="BodyText"/>
        <w:rPr>
          <w:b/>
          <w:sz w:val="18"/>
        </w:rPr>
      </w:pPr>
    </w:p>
    <w:p>
      <w:pPr>
        <w:pStyle w:val="ListParagraph"/>
        <w:numPr>
          <w:ilvl w:val="2"/>
          <w:numId w:val="799"/>
        </w:numPr>
        <w:tabs>
          <w:tab w:pos="1370" w:val="left" w:leader="none"/>
        </w:tabs>
        <w:spacing w:line="446" w:lineRule="auto" w:before="0" w:after="0"/>
        <w:ind w:left="418" w:right="1604" w:firstLine="422"/>
        <w:jc w:val="left"/>
        <w:rPr>
          <w:sz w:val="21"/>
        </w:rPr>
      </w:pPr>
      <w:r>
        <w:rPr>
          <w:spacing w:val="-3"/>
          <w:sz w:val="21"/>
        </w:rPr>
        <w:t>门诊部应设在靠近医院交通入口处，应与医技用房邻近，并应处理好门诊内各部门的相互关系，流线应合理并避免院内感染。</w:t>
      </w:r>
      <w:r>
        <w:rPr>
          <w:sz w:val="21"/>
        </w:rPr>
        <w:t> </w:t>
      </w:r>
    </w:p>
    <w:p>
      <w:pPr>
        <w:pStyle w:val="ListParagraph"/>
        <w:numPr>
          <w:ilvl w:val="2"/>
          <w:numId w:val="799"/>
        </w:numPr>
        <w:tabs>
          <w:tab w:pos="1371" w:val="left" w:leader="none"/>
        </w:tabs>
        <w:spacing w:line="240" w:lineRule="auto" w:before="0" w:after="0"/>
        <w:ind w:left="1370" w:right="0" w:hanging="531"/>
        <w:jc w:val="left"/>
        <w:rPr>
          <w:sz w:val="21"/>
        </w:rPr>
      </w:pPr>
      <w:r>
        <w:rPr>
          <w:spacing w:val="-3"/>
          <w:sz w:val="21"/>
        </w:rPr>
        <w:t>门诊用房设置应符合下列要求：</w:t>
      </w:r>
      <w:r>
        <w:rPr>
          <w:sz w:val="21"/>
        </w:rPr>
        <w:t> </w:t>
      </w:r>
    </w:p>
    <w:p>
      <w:pPr>
        <w:pStyle w:val="BodyText"/>
        <w:rPr>
          <w:sz w:val="18"/>
        </w:rPr>
      </w:pPr>
    </w:p>
    <w:p>
      <w:pPr>
        <w:pStyle w:val="BodyText"/>
        <w:spacing w:line="446" w:lineRule="auto"/>
        <w:ind w:left="418" w:right="1609" w:firstLine="419"/>
      </w:pPr>
      <w:r>
        <w:rPr/>
        <w:t>公共部分应设置门厅、挂号、问讯、病历、预检分诊、记账、收费、药房、候诊、采血、检验、输液、注射、门诊办公、卫生间等用房和为患者服务的公共设施； </w:t>
      </w:r>
    </w:p>
    <w:p>
      <w:pPr>
        <w:pStyle w:val="BodyText"/>
        <w:ind w:left="838"/>
      </w:pPr>
      <w:r>
        <w:rPr/>
        <w:t>各科应设置诊查室、治疗室、护士站、污洗室等； </w:t>
      </w:r>
    </w:p>
    <w:p>
      <w:pPr>
        <w:pStyle w:val="BodyText"/>
        <w:spacing w:before="12"/>
        <w:rPr>
          <w:sz w:val="17"/>
        </w:rPr>
      </w:pPr>
    </w:p>
    <w:p>
      <w:pPr>
        <w:pStyle w:val="BodyText"/>
        <w:spacing w:line="446" w:lineRule="auto"/>
        <w:ind w:left="418" w:right="1408" w:firstLine="419"/>
      </w:pPr>
      <w:r>
        <w:rPr/>
        <w:t>可设置换药室、处置室、清创室、X 线检查室、功能检查室、值班更衣室、杂物贮藏室、卫生间等。 </w:t>
      </w:r>
    </w:p>
    <w:p>
      <w:pPr>
        <w:pStyle w:val="ListParagraph"/>
        <w:numPr>
          <w:ilvl w:val="2"/>
          <w:numId w:val="799"/>
        </w:numPr>
        <w:tabs>
          <w:tab w:pos="1371" w:val="left" w:leader="none"/>
        </w:tabs>
        <w:spacing w:line="446" w:lineRule="auto" w:before="0" w:after="0"/>
        <w:ind w:left="838" w:right="5709" w:firstLine="2"/>
        <w:jc w:val="left"/>
        <w:rPr>
          <w:sz w:val="21"/>
        </w:rPr>
      </w:pPr>
      <w:r>
        <w:rPr>
          <w:spacing w:val="-2"/>
          <w:sz w:val="21"/>
        </w:rPr>
        <w:t>候诊用房设置应符合下列要求：   门</w:t>
      </w:r>
      <w:r>
        <w:rPr>
          <w:spacing w:val="-3"/>
          <w:sz w:val="21"/>
        </w:rPr>
        <w:t>诊宜分科候诊，门诊量小时可合科候诊；</w:t>
      </w:r>
      <w:r>
        <w:rPr>
          <w:sz w:val="21"/>
        </w:rPr>
        <w:t> </w:t>
      </w:r>
    </w:p>
    <w:p>
      <w:pPr>
        <w:pStyle w:val="BodyText"/>
        <w:spacing w:line="267" w:lineRule="exact"/>
        <w:ind w:left="838"/>
      </w:pPr>
      <w:r>
        <w:rPr/>
        <w:t>利用走道单侧候诊时，走道净宽不应小于 2.40m，两侧候诊时，走道净宽不应小于 3.00m； </w:t>
      </w:r>
    </w:p>
    <w:p>
      <w:pPr>
        <w:pStyle w:val="BodyText"/>
        <w:spacing w:before="2"/>
        <w:rPr>
          <w:sz w:val="18"/>
        </w:rPr>
      </w:pPr>
    </w:p>
    <w:p>
      <w:pPr>
        <w:pStyle w:val="BodyText"/>
        <w:spacing w:line="446" w:lineRule="auto"/>
        <w:ind w:left="840" w:right="3397" w:hanging="3"/>
      </w:pPr>
      <w:r>
        <w:rPr>
          <w:spacing w:val="-3"/>
        </w:rPr>
        <w:t>可采用医患通道分设、电子叫号、预约挂号、分层挂号收费等方式。</w:t>
      </w:r>
      <w:r>
        <w:rPr>
          <w:b/>
        </w:rPr>
        <w:t>5.2.4</w:t>
      </w:r>
      <w:r>
        <w:rPr>
          <w:b/>
          <w:spacing w:val="104"/>
        </w:rPr>
        <w:t> </w:t>
      </w:r>
      <w:r>
        <w:rPr>
          <w:spacing w:val="-3"/>
        </w:rPr>
        <w:t>诊查用房设置应符合下列要求：</w:t>
      </w:r>
      <w:r>
        <w:rPr/>
        <w:t> </w:t>
      </w:r>
    </w:p>
    <w:p>
      <w:pPr>
        <w:pStyle w:val="BodyText"/>
        <w:spacing w:line="446" w:lineRule="auto"/>
        <w:ind w:left="838" w:right="3030"/>
      </w:pPr>
      <w:r>
        <w:rPr>
          <w:spacing w:val="-6"/>
        </w:rPr>
        <w:t>双人诊查室的开间净尺寸不应小于 </w:t>
      </w:r>
      <w:r>
        <w:rPr/>
        <w:t>3.00m</w:t>
      </w:r>
      <w:r>
        <w:rPr>
          <w:spacing w:val="-8"/>
        </w:rPr>
        <w:t>，使用面积不应小于 </w:t>
      </w:r>
      <w:r>
        <w:rPr/>
        <w:t>12.00</w:t>
      </w:r>
      <w:r>
        <w:rPr>
          <w:spacing w:val="-19"/>
        </w:rPr>
        <w:t> ㎡； </w:t>
      </w:r>
      <w:r>
        <w:rPr>
          <w:spacing w:val="-6"/>
        </w:rPr>
        <w:t>单人诊查室的开间净尺寸不应小于 </w:t>
      </w:r>
      <w:r>
        <w:rPr/>
        <w:t>2.50m</w:t>
      </w:r>
      <w:r>
        <w:rPr>
          <w:spacing w:val="-8"/>
        </w:rPr>
        <w:t>，使用面积不应小于 </w:t>
      </w:r>
      <w:r>
        <w:rPr/>
        <w:t>8.00</w:t>
      </w:r>
      <w:r>
        <w:rPr>
          <w:spacing w:val="-19"/>
        </w:rPr>
        <w:t> ㎡。</w:t>
      </w:r>
      <w:r>
        <w:rPr>
          <w:b/>
        </w:rPr>
        <w:t>5.2.5 </w:t>
      </w:r>
      <w:r>
        <w:rPr>
          <w:spacing w:val="-3"/>
        </w:rPr>
        <w:t>妇科、产科和计划生育用房设置应符合下列要求：</w:t>
      </w:r>
      <w:r>
        <w:rPr/>
        <w:t> </w:t>
      </w:r>
    </w:p>
    <w:p>
      <w:pPr>
        <w:pStyle w:val="BodyText"/>
        <w:spacing w:line="268" w:lineRule="exact"/>
        <w:ind w:left="838"/>
      </w:pPr>
      <w:r>
        <w:rPr/>
        <w:t>应自成一区，可设单独出入口。 </w:t>
      </w:r>
    </w:p>
    <w:p>
      <w:pPr>
        <w:pStyle w:val="BodyText"/>
        <w:rPr>
          <w:sz w:val="18"/>
        </w:rPr>
      </w:pPr>
    </w:p>
    <w:p>
      <w:pPr>
        <w:pStyle w:val="BodyText"/>
        <w:spacing w:line="446" w:lineRule="auto"/>
        <w:ind w:left="418" w:right="1608" w:firstLine="419"/>
      </w:pPr>
      <w:r>
        <w:rPr>
          <w:spacing w:val="-5"/>
        </w:rPr>
        <w:t>妇科应增设隔离诊室、妇科检查室及专用卫生间，宜采用不多于 </w:t>
      </w:r>
      <w:r>
        <w:rPr/>
        <w:t>2</w:t>
      </w:r>
      <w:r>
        <w:rPr>
          <w:spacing w:val="-15"/>
        </w:rPr>
        <w:t> 个诊室合用 </w:t>
      </w:r>
      <w:r>
        <w:rPr/>
        <w:t>1</w:t>
      </w:r>
      <w:r>
        <w:rPr>
          <w:spacing w:val="-11"/>
        </w:rPr>
        <w:t> 个妇科检</w:t>
      </w:r>
      <w:r>
        <w:rPr>
          <w:spacing w:val="-6"/>
        </w:rPr>
        <w:t>查室的组合方式。</w:t>
      </w:r>
      <w:r>
        <w:rPr/>
        <w:t> </w:t>
      </w:r>
    </w:p>
    <w:p>
      <w:pPr>
        <w:pStyle w:val="BodyText"/>
        <w:spacing w:line="267" w:lineRule="exact"/>
        <w:ind w:left="838"/>
      </w:pPr>
      <w:r>
        <w:rPr/>
        <w:t>产科和计划生育应增设休息室及专用卫生间。 </w:t>
      </w:r>
    </w:p>
    <w:p>
      <w:pPr>
        <w:pStyle w:val="BodyText"/>
        <w:spacing w:before="2"/>
        <w:rPr>
          <w:sz w:val="18"/>
        </w:rPr>
      </w:pPr>
    </w:p>
    <w:p>
      <w:pPr>
        <w:pStyle w:val="BodyText"/>
        <w:ind w:left="838"/>
      </w:pPr>
      <w:r>
        <w:rPr/>
        <w:t>妇科可增设手术室、休息室；产科可增设人流手术室、咨询室。 </w:t>
      </w:r>
    </w:p>
    <w:p>
      <w:pPr>
        <w:spacing w:after="0"/>
        <w:sectPr>
          <w:pgSz w:w="11910" w:h="16850"/>
          <w:pgMar w:header="0" w:footer="1239" w:top="1220" w:bottom="1420" w:left="1260" w:right="0"/>
        </w:sectPr>
      </w:pPr>
    </w:p>
    <w:p>
      <w:pPr>
        <w:pStyle w:val="BodyText"/>
        <w:spacing w:before="47"/>
        <w:ind w:left="838"/>
      </w:pPr>
      <w:r>
        <w:rPr/>
        <w:t>各室应有阻隔外界视线的措施。 </w:t>
      </w:r>
    </w:p>
    <w:p>
      <w:pPr>
        <w:pStyle w:val="BodyText"/>
        <w:rPr>
          <w:sz w:val="18"/>
        </w:rPr>
      </w:pPr>
    </w:p>
    <w:p>
      <w:pPr>
        <w:pStyle w:val="ListParagraph"/>
        <w:numPr>
          <w:ilvl w:val="2"/>
          <w:numId w:val="801"/>
        </w:numPr>
        <w:tabs>
          <w:tab w:pos="1371" w:val="left" w:leader="none"/>
        </w:tabs>
        <w:spacing w:line="446" w:lineRule="auto" w:before="0" w:after="0"/>
        <w:ind w:left="838" w:right="6018" w:firstLine="2"/>
        <w:jc w:val="left"/>
        <w:rPr>
          <w:sz w:val="21"/>
        </w:rPr>
      </w:pPr>
      <w:r>
        <w:rPr>
          <w:spacing w:val="-2"/>
          <w:sz w:val="21"/>
        </w:rPr>
        <w:t>儿科用房设置应符合下列要求： 应</w:t>
      </w:r>
      <w:r>
        <w:rPr>
          <w:spacing w:val="-3"/>
          <w:sz w:val="21"/>
        </w:rPr>
        <w:t>自成一区，可设单独出入口。</w:t>
      </w:r>
      <w:r>
        <w:rPr>
          <w:sz w:val="21"/>
        </w:rPr>
        <w:t> </w:t>
      </w:r>
    </w:p>
    <w:p>
      <w:pPr>
        <w:pStyle w:val="BodyText"/>
        <w:spacing w:line="446" w:lineRule="auto"/>
        <w:ind w:left="418" w:right="1609" w:firstLine="419"/>
      </w:pPr>
      <w:r>
        <w:rPr/>
        <w:t>应增设预检、候诊、儿科专用卫生间、隔离诊查和隔离卫生间等用房。隔离区宜有单独对外出口。 </w:t>
      </w:r>
    </w:p>
    <w:p>
      <w:pPr>
        <w:pStyle w:val="BodyText"/>
        <w:spacing w:line="446" w:lineRule="auto"/>
        <w:ind w:left="838" w:right="4866"/>
      </w:pPr>
      <w:r>
        <w:rPr/>
        <w:t>可单独设置挂号、药房、注射、检验和输液等用房。候诊处面积每患儿不应小于 1.50 ㎡。 </w:t>
      </w:r>
    </w:p>
    <w:p>
      <w:pPr>
        <w:pStyle w:val="ListParagraph"/>
        <w:numPr>
          <w:ilvl w:val="2"/>
          <w:numId w:val="801"/>
        </w:numPr>
        <w:tabs>
          <w:tab w:pos="1371" w:val="left" w:leader="none"/>
        </w:tabs>
        <w:spacing w:line="446" w:lineRule="auto" w:before="0" w:after="0"/>
        <w:ind w:left="838" w:right="5291" w:firstLine="2"/>
        <w:jc w:val="left"/>
        <w:rPr>
          <w:sz w:val="21"/>
        </w:rPr>
      </w:pPr>
      <w:r>
        <w:rPr>
          <w:spacing w:val="-2"/>
          <w:sz w:val="21"/>
        </w:rPr>
        <w:t>耳鼻喉科用房设置应符合下列要求：   应</w:t>
      </w:r>
      <w:r>
        <w:rPr>
          <w:spacing w:val="-3"/>
          <w:sz w:val="21"/>
        </w:rPr>
        <w:t>增设内镜检查(包括食道镜等)、治疗的用房；</w:t>
      </w:r>
      <w:r>
        <w:rPr>
          <w:sz w:val="21"/>
        </w:rPr>
        <w:t> </w:t>
      </w:r>
    </w:p>
    <w:p>
      <w:pPr>
        <w:pStyle w:val="BodyText"/>
        <w:spacing w:line="446" w:lineRule="auto"/>
        <w:ind w:left="840" w:right="2768" w:hanging="3"/>
      </w:pPr>
      <w:r>
        <w:rPr/>
        <w:t>可设置手术、测听、前庭功能、内镜检查(包括气管镜、食道镜等)等用房。</w:t>
      </w:r>
      <w:r>
        <w:rPr>
          <w:b/>
        </w:rPr>
        <w:t>5.2.8 </w:t>
      </w:r>
      <w:r>
        <w:rPr/>
        <w:t>眼科用房设置应符合下列要求： </w:t>
      </w:r>
    </w:p>
    <w:p>
      <w:pPr>
        <w:pStyle w:val="BodyText"/>
        <w:spacing w:line="446" w:lineRule="auto"/>
        <w:ind w:left="838" w:right="3399"/>
        <w:rPr>
          <w:b/>
        </w:rPr>
      </w:pPr>
      <w:r>
        <w:rPr/>
        <w:t>应增设初检(视力、眼压、屈光)、诊查、治疗、检查、暗室等用房； 初检室和诊查室宜具备明暗转换装置；</w:t>
      </w:r>
      <w:r>
        <w:rPr>
          <w:b/>
          <w:w w:val="99"/>
        </w:rPr>
        <w:t> </w:t>
      </w:r>
    </w:p>
    <w:p>
      <w:pPr>
        <w:pStyle w:val="BodyText"/>
        <w:ind w:left="838"/>
        <w:rPr>
          <w:b/>
        </w:rPr>
      </w:pPr>
      <w:r>
        <w:rPr/>
        <w:t>宜设置专用手术室。</w:t>
      </w:r>
      <w:r>
        <w:rPr>
          <w:b/>
          <w:w w:val="99"/>
        </w:rPr>
        <w:t> </w:t>
      </w:r>
    </w:p>
    <w:p>
      <w:pPr>
        <w:pStyle w:val="BodyText"/>
        <w:spacing w:before="8"/>
        <w:rPr>
          <w:b/>
          <w:sz w:val="17"/>
        </w:rPr>
      </w:pPr>
    </w:p>
    <w:p>
      <w:pPr>
        <w:pStyle w:val="ListParagraph"/>
        <w:numPr>
          <w:ilvl w:val="2"/>
          <w:numId w:val="802"/>
        </w:numPr>
        <w:tabs>
          <w:tab w:pos="1371" w:val="left" w:leader="none"/>
        </w:tabs>
        <w:spacing w:line="240" w:lineRule="auto" w:before="0" w:after="0"/>
        <w:ind w:left="1370" w:right="0" w:hanging="531"/>
        <w:jc w:val="left"/>
        <w:rPr>
          <w:sz w:val="21"/>
        </w:rPr>
      </w:pPr>
      <w:r>
        <w:rPr>
          <w:spacing w:val="-3"/>
          <w:sz w:val="21"/>
        </w:rPr>
        <w:t>口腔科用房设置应符合下列要求：</w:t>
      </w:r>
      <w:r>
        <w:rPr>
          <w:sz w:val="21"/>
        </w:rPr>
        <w:t> </w:t>
      </w:r>
    </w:p>
    <w:p>
      <w:pPr>
        <w:pStyle w:val="BodyText"/>
        <w:spacing w:before="2"/>
        <w:rPr>
          <w:sz w:val="18"/>
        </w:rPr>
      </w:pPr>
    </w:p>
    <w:p>
      <w:pPr>
        <w:pStyle w:val="BodyText"/>
        <w:ind w:left="838"/>
        <w:rPr>
          <w:b/>
        </w:rPr>
      </w:pPr>
      <w:r>
        <w:rPr/>
        <w:t>应增设 X 线检查、镶复、消毒洗涤、矫形等用房；</w:t>
      </w:r>
      <w:r>
        <w:rPr>
          <w:b/>
          <w:w w:val="99"/>
        </w:rPr>
        <w:t> </w:t>
      </w:r>
    </w:p>
    <w:p>
      <w:pPr>
        <w:pStyle w:val="BodyText"/>
        <w:spacing w:before="12"/>
        <w:rPr>
          <w:b/>
          <w:sz w:val="17"/>
        </w:rPr>
      </w:pPr>
    </w:p>
    <w:p>
      <w:pPr>
        <w:pStyle w:val="BodyText"/>
        <w:ind w:left="838"/>
        <w:rPr>
          <w:b/>
        </w:rPr>
      </w:pPr>
      <w:r>
        <w:rPr/>
        <w:t>诊查单元每椅中距不应小于 1.80m，椅中心距墙不应小于 1.20m；</w:t>
      </w:r>
      <w:r>
        <w:rPr>
          <w:b/>
          <w:w w:val="99"/>
        </w:rPr>
        <w:t> </w:t>
      </w:r>
    </w:p>
    <w:p>
      <w:pPr>
        <w:pStyle w:val="BodyText"/>
        <w:rPr>
          <w:b/>
          <w:sz w:val="18"/>
        </w:rPr>
      </w:pPr>
    </w:p>
    <w:p>
      <w:pPr>
        <w:pStyle w:val="BodyText"/>
        <w:spacing w:line="446" w:lineRule="auto"/>
        <w:ind w:left="838" w:right="6969"/>
        <w:rPr>
          <w:b/>
        </w:rPr>
      </w:pPr>
      <w:r>
        <w:rPr/>
        <w:t>镶复室宜考虑有良好的通风； 可设资料室。</w:t>
      </w:r>
      <w:r>
        <w:rPr>
          <w:b/>
          <w:w w:val="99"/>
        </w:rPr>
        <w:t> </w:t>
      </w:r>
    </w:p>
    <w:p>
      <w:pPr>
        <w:pStyle w:val="ListParagraph"/>
        <w:numPr>
          <w:ilvl w:val="2"/>
          <w:numId w:val="802"/>
        </w:numPr>
        <w:tabs>
          <w:tab w:pos="1478" w:val="left" w:leader="none"/>
        </w:tabs>
        <w:spacing w:line="446" w:lineRule="auto" w:before="0" w:after="0"/>
        <w:ind w:left="838" w:right="5490" w:firstLine="2"/>
        <w:jc w:val="left"/>
        <w:rPr>
          <w:b/>
          <w:sz w:val="21"/>
        </w:rPr>
      </w:pPr>
      <w:r>
        <w:rPr>
          <w:spacing w:val="-2"/>
          <w:sz w:val="21"/>
        </w:rPr>
        <w:t>门诊手术用房设置应符合下列要求： 门</w:t>
      </w:r>
      <w:r>
        <w:rPr>
          <w:spacing w:val="-3"/>
          <w:sz w:val="21"/>
        </w:rPr>
        <w:t>诊手术用房可与手术部合并设置；</w:t>
      </w:r>
      <w:r>
        <w:rPr>
          <w:b/>
          <w:w w:val="99"/>
          <w:sz w:val="21"/>
        </w:rPr>
        <w:t> </w:t>
      </w:r>
    </w:p>
    <w:p>
      <w:pPr>
        <w:pStyle w:val="BodyText"/>
        <w:spacing w:line="446" w:lineRule="auto"/>
        <w:ind w:left="418" w:right="1609" w:firstLine="419"/>
      </w:pPr>
      <w:r>
        <w:rPr/>
        <w:t>门诊手术用房应由手术室、准备室、更衣室、术后休息室和污物室组成。手术室平面尺寸不宜小于 3.60m×4.80m。 </w:t>
      </w:r>
    </w:p>
    <w:p>
      <w:pPr>
        <w:pStyle w:val="ListParagraph"/>
        <w:numPr>
          <w:ilvl w:val="2"/>
          <w:numId w:val="802"/>
        </w:numPr>
        <w:tabs>
          <w:tab w:pos="1478" w:val="left" w:leader="none"/>
        </w:tabs>
        <w:spacing w:line="267" w:lineRule="exact" w:before="0" w:after="0"/>
        <w:ind w:left="1477" w:right="0" w:hanging="638"/>
        <w:jc w:val="left"/>
        <w:rPr>
          <w:sz w:val="21"/>
        </w:rPr>
      </w:pPr>
      <w:r>
        <w:rPr>
          <w:spacing w:val="-3"/>
          <w:sz w:val="21"/>
        </w:rPr>
        <w:t>门诊卫生间设置应符合下列要求：</w:t>
      </w:r>
      <w:r>
        <w:rPr>
          <w:sz w:val="21"/>
        </w:rPr>
        <w:t> </w:t>
      </w:r>
    </w:p>
    <w:p>
      <w:pPr>
        <w:pStyle w:val="BodyText"/>
        <w:spacing w:before="2"/>
        <w:rPr>
          <w:sz w:val="18"/>
        </w:rPr>
      </w:pPr>
    </w:p>
    <w:p>
      <w:pPr>
        <w:pStyle w:val="BodyText"/>
        <w:ind w:left="838"/>
        <w:rPr>
          <w:b/>
        </w:rPr>
      </w:pPr>
      <w:r>
        <w:rPr/>
        <w:t>卫生间宜按日门诊量计算，男女患者比例宜为 1：1；</w:t>
      </w:r>
      <w:r>
        <w:rPr>
          <w:b/>
          <w:w w:val="99"/>
        </w:rPr>
        <w:t> </w:t>
      </w:r>
    </w:p>
    <w:p>
      <w:pPr>
        <w:pStyle w:val="BodyText"/>
        <w:rPr>
          <w:b/>
          <w:sz w:val="18"/>
        </w:rPr>
      </w:pPr>
    </w:p>
    <w:p>
      <w:pPr>
        <w:pStyle w:val="BodyText"/>
        <w:ind w:left="838"/>
        <w:rPr>
          <w:b/>
        </w:rPr>
      </w:pPr>
      <w:r>
        <w:rPr/>
        <w:t>男厕每 100 人次设大便器不应小于 1 个、小便器不应小于 1 个；</w:t>
      </w:r>
      <w:r>
        <w:rPr>
          <w:b/>
          <w:w w:val="99"/>
        </w:rPr>
        <w:t> </w:t>
      </w:r>
    </w:p>
    <w:p>
      <w:pPr>
        <w:pStyle w:val="BodyText"/>
        <w:spacing w:before="12"/>
        <w:rPr>
          <w:b/>
          <w:sz w:val="17"/>
        </w:rPr>
      </w:pPr>
    </w:p>
    <w:p>
      <w:pPr>
        <w:pStyle w:val="BodyText"/>
        <w:ind w:left="838"/>
        <w:rPr>
          <w:b/>
        </w:rPr>
      </w:pPr>
      <w:r>
        <w:rPr/>
        <w:t>女厕每 100 人次设大便器不应小于 3 个；</w:t>
      </w:r>
      <w:r>
        <w:rPr>
          <w:b/>
          <w:w w:val="99"/>
        </w:rPr>
        <w:t> </w:t>
      </w:r>
    </w:p>
    <w:p>
      <w:pPr>
        <w:pStyle w:val="BodyText"/>
        <w:spacing w:before="2"/>
        <w:rPr>
          <w:b/>
          <w:sz w:val="18"/>
        </w:rPr>
      </w:pPr>
    </w:p>
    <w:p>
      <w:pPr>
        <w:pStyle w:val="BodyText"/>
        <w:ind w:left="838"/>
        <w:rPr>
          <w:b/>
        </w:rPr>
      </w:pPr>
      <w:r>
        <w:rPr/>
        <w:t>应按本规范第 5.1.13 条的要求设置。</w:t>
      </w:r>
      <w:r>
        <w:rPr>
          <w:b/>
          <w:w w:val="99"/>
        </w:rPr>
        <w:t> </w:t>
      </w:r>
    </w:p>
    <w:p>
      <w:pPr>
        <w:spacing w:after="0"/>
        <w:sectPr>
          <w:pgSz w:w="11910" w:h="16850"/>
          <w:pgMar w:header="0" w:footer="1239" w:top="1220" w:bottom="1420" w:left="1260" w:right="0"/>
        </w:sectPr>
      </w:pPr>
    </w:p>
    <w:p>
      <w:pPr>
        <w:pStyle w:val="ListParagraph"/>
        <w:numPr>
          <w:ilvl w:val="2"/>
          <w:numId w:val="802"/>
        </w:numPr>
        <w:tabs>
          <w:tab w:pos="1478" w:val="left" w:leader="none"/>
        </w:tabs>
        <w:spacing w:line="240" w:lineRule="auto" w:before="47" w:after="0"/>
        <w:ind w:left="1477" w:right="0" w:hanging="638"/>
        <w:jc w:val="left"/>
        <w:rPr>
          <w:b/>
          <w:sz w:val="21"/>
        </w:rPr>
      </w:pPr>
      <w:r>
        <w:rPr>
          <w:spacing w:val="-3"/>
          <w:sz w:val="21"/>
        </w:rPr>
        <w:t>预防保健用房设置应符合下列要求：</w:t>
      </w:r>
      <w:r>
        <w:rPr>
          <w:b/>
          <w:w w:val="99"/>
          <w:sz w:val="21"/>
        </w:rPr>
        <w:t> </w:t>
      </w:r>
    </w:p>
    <w:p>
      <w:pPr>
        <w:pStyle w:val="BodyText"/>
        <w:rPr>
          <w:b/>
          <w:sz w:val="18"/>
        </w:rPr>
      </w:pPr>
    </w:p>
    <w:p>
      <w:pPr>
        <w:pStyle w:val="BodyText"/>
        <w:spacing w:line="446" w:lineRule="auto"/>
        <w:ind w:left="838" w:right="2977"/>
        <w:rPr>
          <w:b/>
        </w:rPr>
      </w:pPr>
      <w:r>
        <w:rPr>
          <w:spacing w:val="-3"/>
        </w:rPr>
        <w:t>应设宣教、档案、儿童保健、妇女保健、免疫接种、更衣、办公等用房； 可增设心理咨询用房。</w:t>
      </w:r>
      <w:r>
        <w:rPr>
          <w:b/>
          <w:w w:val="99"/>
        </w:rPr>
        <w:t> </w:t>
      </w:r>
    </w:p>
    <w:p>
      <w:pPr>
        <w:pStyle w:val="ListParagraph"/>
        <w:numPr>
          <w:ilvl w:val="1"/>
          <w:numId w:val="799"/>
        </w:numPr>
        <w:tabs>
          <w:tab w:pos="1159" w:val="left" w:leader="none"/>
        </w:tabs>
        <w:spacing w:line="240" w:lineRule="auto" w:before="0" w:after="0"/>
        <w:ind w:left="1158" w:right="0" w:hanging="319"/>
        <w:jc w:val="left"/>
        <w:rPr>
          <w:sz w:val="21"/>
        </w:rPr>
      </w:pPr>
      <w:r>
        <w:rPr>
          <w:spacing w:val="-3"/>
          <w:sz w:val="21"/>
        </w:rPr>
        <w:t>急诊部用房</w:t>
      </w:r>
      <w:r>
        <w:rPr>
          <w:sz w:val="21"/>
        </w:rPr>
        <w:t> </w:t>
      </w:r>
    </w:p>
    <w:p>
      <w:pPr>
        <w:pStyle w:val="BodyText"/>
        <w:spacing w:before="12"/>
        <w:rPr>
          <w:sz w:val="17"/>
        </w:rPr>
      </w:pPr>
    </w:p>
    <w:p>
      <w:pPr>
        <w:pStyle w:val="ListParagraph"/>
        <w:numPr>
          <w:ilvl w:val="2"/>
          <w:numId w:val="799"/>
        </w:numPr>
        <w:tabs>
          <w:tab w:pos="1424" w:val="left" w:leader="none"/>
        </w:tabs>
        <w:spacing w:line="240" w:lineRule="auto" w:before="0" w:after="0"/>
        <w:ind w:left="1423" w:right="0" w:hanging="584"/>
        <w:jc w:val="left"/>
        <w:rPr>
          <w:sz w:val="21"/>
        </w:rPr>
      </w:pPr>
      <w:r>
        <w:rPr>
          <w:spacing w:val="-3"/>
          <w:sz w:val="21"/>
        </w:rPr>
        <w:t>急诊部设置应符合下列要求：</w:t>
      </w:r>
      <w:r>
        <w:rPr>
          <w:sz w:val="21"/>
        </w:rPr>
        <w:t> </w:t>
      </w:r>
    </w:p>
    <w:p>
      <w:pPr>
        <w:pStyle w:val="BodyText"/>
        <w:rPr>
          <w:sz w:val="18"/>
        </w:rPr>
      </w:pPr>
    </w:p>
    <w:p>
      <w:pPr>
        <w:pStyle w:val="BodyText"/>
        <w:spacing w:line="446" w:lineRule="auto"/>
        <w:ind w:left="838" w:right="3186"/>
        <w:rPr>
          <w:b/>
        </w:rPr>
      </w:pPr>
      <w:r>
        <w:rPr>
          <w:spacing w:val="-3"/>
        </w:rPr>
        <w:t>自成一区，应单独设置出入口，便于急救车、担架车、轮椅车的停放； 急诊、急救应分区设置；</w:t>
      </w:r>
      <w:r>
        <w:rPr>
          <w:b/>
          <w:w w:val="99"/>
        </w:rPr>
        <w:t> </w:t>
      </w:r>
    </w:p>
    <w:p>
      <w:pPr>
        <w:pStyle w:val="BodyText"/>
        <w:spacing w:line="446" w:lineRule="auto"/>
        <w:ind w:left="838" w:right="4866"/>
      </w:pPr>
      <w:r>
        <w:rPr/>
        <w:t>急诊部与门诊部、医技部、手术部应有便捷的联系； 设置直升机停机坪时，应与急诊部有快捷的通道。</w:t>
      </w:r>
      <w:r>
        <w:rPr>
          <w:b/>
        </w:rPr>
        <w:t>5.3.2 </w:t>
      </w:r>
      <w:r>
        <w:rPr/>
        <w:t>急诊用房设置应符合下列要求： </w:t>
      </w:r>
    </w:p>
    <w:p>
      <w:pPr>
        <w:pStyle w:val="BodyText"/>
        <w:spacing w:line="446" w:lineRule="auto"/>
        <w:ind w:left="838" w:right="1925"/>
      </w:pPr>
      <w:r>
        <w:rPr>
          <w:spacing w:val="-3"/>
        </w:rPr>
        <w:t>应设接诊分诊、护士站、输液、观察、污洗、杂物贮藏、值班更衣、卫生间等用房； 急救部分应设抢救、抢救监护等用房；</w:t>
      </w:r>
      <w:r>
        <w:rPr/>
        <w:t> </w:t>
      </w:r>
    </w:p>
    <w:p>
      <w:pPr>
        <w:pStyle w:val="BodyText"/>
        <w:ind w:left="838"/>
      </w:pPr>
      <w:r>
        <w:rPr/>
        <w:t>急诊部分应设诊查、治疗、清创、换药等用房； </w:t>
      </w:r>
    </w:p>
    <w:p>
      <w:pPr>
        <w:pStyle w:val="BodyText"/>
        <w:spacing w:before="11"/>
        <w:rPr>
          <w:sz w:val="17"/>
        </w:rPr>
      </w:pPr>
    </w:p>
    <w:p>
      <w:pPr>
        <w:pStyle w:val="BodyText"/>
        <w:spacing w:line="446" w:lineRule="auto" w:before="1"/>
        <w:ind w:left="838" w:right="1347"/>
      </w:pPr>
      <w:r>
        <w:rPr>
          <w:spacing w:val="-3"/>
        </w:rPr>
        <w:t>可独立设挂号、收费、病历、药房、检验、</w:t>
      </w:r>
      <w:r>
        <w:rPr/>
        <w:t>X</w:t>
      </w:r>
      <w:r>
        <w:rPr>
          <w:spacing w:val="-8"/>
        </w:rPr>
        <w:t> 线检查、功能检查、手术、重症监护等用房； </w:t>
      </w:r>
      <w:r>
        <w:rPr>
          <w:spacing w:val="-3"/>
        </w:rPr>
        <w:t>输液室应由治疗间和输液间组成。</w:t>
      </w:r>
      <w:r>
        <w:rPr/>
        <w:t> </w:t>
      </w:r>
    </w:p>
    <w:p>
      <w:pPr>
        <w:pStyle w:val="ListParagraph"/>
        <w:numPr>
          <w:ilvl w:val="2"/>
          <w:numId w:val="803"/>
        </w:numPr>
        <w:tabs>
          <w:tab w:pos="1371" w:val="left" w:leader="none"/>
        </w:tabs>
        <w:spacing w:line="240" w:lineRule="auto" w:before="0" w:after="0"/>
        <w:ind w:left="1370" w:right="0" w:hanging="531"/>
        <w:jc w:val="left"/>
        <w:rPr>
          <w:sz w:val="21"/>
        </w:rPr>
      </w:pPr>
      <w:r>
        <w:rPr>
          <w:spacing w:val="-6"/>
          <w:sz w:val="21"/>
        </w:rPr>
        <w:t>当门厅兼用于分诊功能时，其面积不应小于 </w:t>
      </w:r>
      <w:r>
        <w:rPr>
          <w:sz w:val="21"/>
        </w:rPr>
        <w:t>24.00</w:t>
      </w:r>
      <w:r>
        <w:rPr>
          <w:spacing w:val="-20"/>
          <w:sz w:val="21"/>
        </w:rPr>
        <w:t> ㎡。</w:t>
      </w:r>
      <w:r>
        <w:rPr>
          <w:sz w:val="21"/>
        </w:rPr>
        <w:t> </w:t>
      </w:r>
    </w:p>
    <w:p>
      <w:pPr>
        <w:pStyle w:val="BodyText"/>
        <w:spacing w:before="12"/>
        <w:rPr>
          <w:sz w:val="17"/>
        </w:rPr>
      </w:pPr>
    </w:p>
    <w:p>
      <w:pPr>
        <w:pStyle w:val="ListParagraph"/>
        <w:numPr>
          <w:ilvl w:val="2"/>
          <w:numId w:val="803"/>
        </w:numPr>
        <w:tabs>
          <w:tab w:pos="1371" w:val="left" w:leader="none"/>
        </w:tabs>
        <w:spacing w:line="240" w:lineRule="auto" w:before="0" w:after="0"/>
        <w:ind w:left="1370" w:right="0" w:hanging="531"/>
        <w:jc w:val="left"/>
        <w:rPr>
          <w:sz w:val="21"/>
        </w:rPr>
      </w:pPr>
      <w:r>
        <w:rPr>
          <w:spacing w:val="-3"/>
          <w:sz w:val="21"/>
        </w:rPr>
        <w:t>抢救用房设置应符合下列要求：</w:t>
      </w:r>
      <w:r>
        <w:rPr>
          <w:sz w:val="21"/>
        </w:rPr>
        <w:t> </w:t>
      </w:r>
    </w:p>
    <w:p>
      <w:pPr>
        <w:pStyle w:val="BodyText"/>
        <w:spacing w:before="12"/>
        <w:rPr>
          <w:sz w:val="17"/>
        </w:rPr>
      </w:pPr>
    </w:p>
    <w:p>
      <w:pPr>
        <w:pStyle w:val="BodyText"/>
        <w:spacing w:line="446" w:lineRule="auto"/>
        <w:ind w:left="418" w:right="1611" w:firstLine="419"/>
      </w:pPr>
      <w:r>
        <w:rPr>
          <w:spacing w:val="-5"/>
        </w:rPr>
        <w:t>抢救室应直通门厅，有条件时宜直通急救车停车位，面积不应小于每床 </w:t>
      </w:r>
      <w:r>
        <w:rPr/>
        <w:t>30.00</w:t>
      </w:r>
      <w:r>
        <w:rPr>
          <w:spacing w:val="-8"/>
        </w:rPr>
        <w:t> ㎡，门的净</w:t>
      </w:r>
      <w:r>
        <w:rPr>
          <w:spacing w:val="-13"/>
        </w:rPr>
        <w:t>宽不应小于 </w:t>
      </w:r>
      <w:r>
        <w:rPr/>
        <w:t>1.40m； </w:t>
      </w:r>
    </w:p>
    <w:p>
      <w:pPr>
        <w:pStyle w:val="BodyText"/>
        <w:spacing w:before="1"/>
        <w:ind w:left="838"/>
      </w:pPr>
      <w:r>
        <w:rPr/>
        <w:t>宜设氧气、吸引等医疗气体的管道系统终端。 </w:t>
      </w:r>
    </w:p>
    <w:p>
      <w:pPr>
        <w:pStyle w:val="BodyText"/>
        <w:spacing w:before="12"/>
        <w:rPr>
          <w:sz w:val="17"/>
        </w:rPr>
      </w:pPr>
    </w:p>
    <w:p>
      <w:pPr>
        <w:pStyle w:val="ListParagraph"/>
        <w:numPr>
          <w:ilvl w:val="2"/>
          <w:numId w:val="803"/>
        </w:numPr>
        <w:tabs>
          <w:tab w:pos="1371" w:val="left" w:leader="none"/>
        </w:tabs>
        <w:spacing w:line="240" w:lineRule="auto" w:before="0" w:after="0"/>
        <w:ind w:left="1370" w:right="0" w:hanging="531"/>
        <w:jc w:val="left"/>
        <w:rPr>
          <w:sz w:val="21"/>
        </w:rPr>
      </w:pPr>
      <w:r>
        <w:rPr>
          <w:spacing w:val="-6"/>
          <w:sz w:val="21"/>
        </w:rPr>
        <w:t>抢救监护室内平行排列的观察床净距不应小于 </w:t>
      </w:r>
      <w:r>
        <w:rPr>
          <w:sz w:val="21"/>
        </w:rPr>
        <w:t>1.20m</w:t>
      </w:r>
      <w:r>
        <w:rPr>
          <w:spacing w:val="-3"/>
          <w:sz w:val="21"/>
        </w:rPr>
        <w:t>，有吊帘分隔时不应小于</w:t>
      </w:r>
    </w:p>
    <w:p>
      <w:pPr>
        <w:pStyle w:val="BodyText"/>
        <w:spacing w:before="2"/>
        <w:rPr>
          <w:sz w:val="18"/>
        </w:rPr>
      </w:pPr>
    </w:p>
    <w:p>
      <w:pPr>
        <w:pStyle w:val="BodyText"/>
        <w:ind w:left="418"/>
      </w:pPr>
      <w:r>
        <w:rPr/>
        <w:t>1.40m，床沿与墙面的净距不应小于 1.00m。 </w:t>
      </w:r>
    </w:p>
    <w:p>
      <w:pPr>
        <w:pStyle w:val="BodyText"/>
        <w:spacing w:before="12"/>
        <w:rPr>
          <w:sz w:val="17"/>
        </w:rPr>
      </w:pPr>
    </w:p>
    <w:p>
      <w:pPr>
        <w:pStyle w:val="ListParagraph"/>
        <w:numPr>
          <w:ilvl w:val="2"/>
          <w:numId w:val="803"/>
        </w:numPr>
        <w:tabs>
          <w:tab w:pos="1370" w:val="left" w:leader="none"/>
        </w:tabs>
        <w:spacing w:line="240" w:lineRule="auto" w:before="0" w:after="0"/>
        <w:ind w:left="1369" w:right="0" w:hanging="530"/>
        <w:jc w:val="left"/>
        <w:rPr>
          <w:sz w:val="21"/>
        </w:rPr>
      </w:pPr>
      <w:r>
        <w:rPr>
          <w:spacing w:val="-3"/>
          <w:sz w:val="21"/>
        </w:rPr>
        <w:t>观察用房设置应符合下列要求：</w:t>
      </w:r>
      <w:r>
        <w:rPr>
          <w:sz w:val="21"/>
        </w:rPr>
        <w:t> </w:t>
      </w:r>
    </w:p>
    <w:p>
      <w:pPr>
        <w:pStyle w:val="BodyText"/>
        <w:rPr>
          <w:sz w:val="18"/>
        </w:rPr>
      </w:pPr>
    </w:p>
    <w:p>
      <w:pPr>
        <w:pStyle w:val="BodyText"/>
        <w:spacing w:line="446" w:lineRule="auto"/>
        <w:ind w:left="418" w:right="1503" w:firstLine="419"/>
      </w:pPr>
      <w:r>
        <w:rPr>
          <w:spacing w:val="-6"/>
        </w:rPr>
        <w:t>平行排列的观察床净距不应小于 </w:t>
      </w:r>
      <w:r>
        <w:rPr/>
        <w:t>1.20m</w:t>
      </w:r>
      <w:r>
        <w:rPr>
          <w:spacing w:val="-6"/>
        </w:rPr>
        <w:t>，有吊帘分隔时不应小于 </w:t>
      </w:r>
      <w:r>
        <w:rPr/>
        <w:t>1.40m</w:t>
      </w:r>
      <w:r>
        <w:rPr>
          <w:spacing w:val="-3"/>
        </w:rPr>
        <w:t>，床沿与墙面的净距</w:t>
      </w:r>
      <w:r>
        <w:rPr>
          <w:spacing w:val="-13"/>
        </w:rPr>
        <w:t>不应小于 </w:t>
      </w:r>
      <w:r>
        <w:rPr/>
        <w:t>1.00m； </w:t>
      </w:r>
    </w:p>
    <w:p>
      <w:pPr>
        <w:pStyle w:val="BodyText"/>
        <w:spacing w:line="446" w:lineRule="auto"/>
        <w:ind w:left="838" w:right="1505"/>
      </w:pPr>
      <w:r>
        <w:rPr>
          <w:spacing w:val="-3"/>
        </w:rPr>
        <w:t>可设置隔离观察室或隔离单元，并应设单独出入口，入口处应设缓冲区及就地消毒设施； 宜设氧气、吸引等医疗气体的管道系统终端。</w:t>
      </w:r>
      <w:r>
        <w:rPr/>
        <w:t> </w:t>
      </w:r>
    </w:p>
    <w:p>
      <w:pPr>
        <w:pStyle w:val="ListParagraph"/>
        <w:numPr>
          <w:ilvl w:val="1"/>
          <w:numId w:val="804"/>
        </w:numPr>
        <w:tabs>
          <w:tab w:pos="1159" w:val="left" w:leader="none"/>
        </w:tabs>
        <w:spacing w:line="240" w:lineRule="auto" w:before="0" w:after="0"/>
        <w:ind w:left="1158" w:right="0" w:hanging="319"/>
        <w:jc w:val="left"/>
        <w:rPr>
          <w:b/>
          <w:sz w:val="21"/>
        </w:rPr>
      </w:pPr>
      <w:r>
        <w:rPr>
          <w:spacing w:val="-3"/>
          <w:sz w:val="21"/>
        </w:rPr>
        <w:t>感染疾病门诊用房</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04"/>
        </w:numPr>
        <w:tabs>
          <w:tab w:pos="1371" w:val="left" w:leader="none"/>
        </w:tabs>
        <w:spacing w:line="240" w:lineRule="auto" w:before="47" w:after="0"/>
        <w:ind w:left="1370" w:right="0" w:hanging="531"/>
        <w:jc w:val="left"/>
        <w:rPr>
          <w:sz w:val="21"/>
        </w:rPr>
      </w:pPr>
      <w:r>
        <w:rPr>
          <w:spacing w:val="-3"/>
          <w:sz w:val="21"/>
        </w:rPr>
        <w:t>消化道、呼吸道等感染疾病门诊均应自成一区，并应单独设置出入口。 </w:t>
      </w:r>
    </w:p>
    <w:p>
      <w:pPr>
        <w:pStyle w:val="BodyText"/>
        <w:rPr>
          <w:sz w:val="18"/>
        </w:rPr>
      </w:pPr>
    </w:p>
    <w:p>
      <w:pPr>
        <w:pStyle w:val="ListParagraph"/>
        <w:numPr>
          <w:ilvl w:val="2"/>
          <w:numId w:val="804"/>
        </w:numPr>
        <w:tabs>
          <w:tab w:pos="1370" w:val="left" w:leader="none"/>
        </w:tabs>
        <w:spacing w:line="446" w:lineRule="auto" w:before="0" w:after="0"/>
        <w:ind w:left="418" w:right="1498" w:firstLine="422"/>
        <w:jc w:val="left"/>
        <w:rPr>
          <w:sz w:val="21"/>
        </w:rPr>
      </w:pPr>
      <w:r>
        <w:rPr>
          <w:spacing w:val="-3"/>
          <w:sz w:val="21"/>
        </w:rPr>
        <w:t>感染门诊应根据具体情况设置分诊、接诊、挂号、收费、药房、检验、诊查、隔离观察、治疗、医护人员更衣、缓冲、专用卫生间等功能用房。</w:t>
      </w:r>
      <w:r>
        <w:rPr>
          <w:sz w:val="21"/>
        </w:rPr>
        <w:t> </w:t>
      </w:r>
    </w:p>
    <w:p>
      <w:pPr>
        <w:pStyle w:val="ListParagraph"/>
        <w:numPr>
          <w:ilvl w:val="1"/>
          <w:numId w:val="804"/>
        </w:numPr>
        <w:tabs>
          <w:tab w:pos="1159" w:val="left" w:leader="none"/>
        </w:tabs>
        <w:spacing w:line="240" w:lineRule="auto" w:before="0" w:after="0"/>
        <w:ind w:left="1158" w:right="0" w:hanging="319"/>
        <w:jc w:val="left"/>
        <w:rPr>
          <w:b/>
          <w:sz w:val="21"/>
        </w:rPr>
      </w:pPr>
      <w:r>
        <w:rPr>
          <w:spacing w:val="-3"/>
          <w:sz w:val="21"/>
        </w:rPr>
        <w:t>住院部用房</w:t>
      </w:r>
      <w:r>
        <w:rPr>
          <w:b/>
          <w:w w:val="99"/>
          <w:sz w:val="21"/>
        </w:rPr>
        <w:t> </w:t>
      </w:r>
    </w:p>
    <w:p>
      <w:pPr>
        <w:pStyle w:val="BodyText"/>
        <w:spacing w:before="12"/>
        <w:rPr>
          <w:b/>
          <w:sz w:val="17"/>
        </w:rPr>
      </w:pPr>
    </w:p>
    <w:p>
      <w:pPr>
        <w:pStyle w:val="ListParagraph"/>
        <w:numPr>
          <w:ilvl w:val="2"/>
          <w:numId w:val="804"/>
        </w:numPr>
        <w:tabs>
          <w:tab w:pos="1371" w:val="left" w:leader="none"/>
        </w:tabs>
        <w:spacing w:line="446" w:lineRule="auto" w:before="0" w:after="0"/>
        <w:ind w:left="418" w:right="1608" w:firstLine="422"/>
        <w:jc w:val="left"/>
        <w:rPr>
          <w:sz w:val="21"/>
        </w:rPr>
      </w:pPr>
      <w:r>
        <w:rPr>
          <w:spacing w:val="-3"/>
          <w:sz w:val="21"/>
        </w:rPr>
        <w:t>住院部应自成一区，设置单独或共用出入口，并应设在医院环境安静、交通方便处，与医技部、手术部和急诊部应有便捷的联系，同时应靠近医院的能源中心、营养厨房、洗衣房等辅助设施。</w:t>
      </w:r>
      <w:r>
        <w:rPr>
          <w:sz w:val="21"/>
        </w:rPr>
        <w:t> </w:t>
      </w:r>
    </w:p>
    <w:p>
      <w:pPr>
        <w:pStyle w:val="ListParagraph"/>
        <w:numPr>
          <w:ilvl w:val="2"/>
          <w:numId w:val="804"/>
        </w:numPr>
        <w:tabs>
          <w:tab w:pos="1424" w:val="left" w:leader="none"/>
        </w:tabs>
        <w:spacing w:line="446" w:lineRule="auto" w:before="0" w:after="0"/>
        <w:ind w:left="838" w:right="5965" w:firstLine="2"/>
        <w:jc w:val="left"/>
        <w:rPr>
          <w:b/>
          <w:sz w:val="21"/>
        </w:rPr>
      </w:pPr>
      <w:r>
        <w:rPr>
          <w:spacing w:val="-3"/>
          <w:sz w:val="21"/>
        </w:rPr>
        <w:t>出入院用房设置应符合下列要求： 应设登记、结算、探望患者管理用房； 可设为患者服务的公共设施。</w:t>
      </w:r>
      <w:r>
        <w:rPr>
          <w:b/>
          <w:w w:val="99"/>
          <w:sz w:val="21"/>
        </w:rPr>
        <w:t> </w:t>
      </w:r>
    </w:p>
    <w:p>
      <w:pPr>
        <w:pStyle w:val="ListParagraph"/>
        <w:numPr>
          <w:ilvl w:val="2"/>
          <w:numId w:val="804"/>
        </w:numPr>
        <w:tabs>
          <w:tab w:pos="1370" w:val="left" w:leader="none"/>
        </w:tabs>
        <w:spacing w:line="446" w:lineRule="auto" w:before="0" w:after="0"/>
        <w:ind w:left="418" w:right="1498" w:firstLine="422"/>
        <w:jc w:val="left"/>
        <w:rPr>
          <w:sz w:val="21"/>
        </w:rPr>
      </w:pPr>
      <w:r>
        <w:rPr>
          <w:spacing w:val="-6"/>
          <w:sz w:val="21"/>
        </w:rPr>
        <w:t>每个护理单元规模应符合本规范第 </w:t>
      </w:r>
      <w:r>
        <w:rPr>
          <w:sz w:val="21"/>
        </w:rPr>
        <w:t>3.2.1</w:t>
      </w:r>
      <w:r>
        <w:rPr>
          <w:spacing w:val="-7"/>
          <w:sz w:val="21"/>
        </w:rPr>
        <w:t> 条的规定，专科病房或因教学科研需要可根</w:t>
      </w:r>
      <w:r>
        <w:rPr>
          <w:spacing w:val="-4"/>
          <w:sz w:val="21"/>
        </w:rPr>
        <w:t>据具体情况确定。设传染病房时，应单独设置，并应自成一区。</w:t>
      </w:r>
      <w:r>
        <w:rPr>
          <w:sz w:val="21"/>
        </w:rPr>
        <w:t> </w:t>
      </w:r>
    </w:p>
    <w:p>
      <w:pPr>
        <w:pStyle w:val="ListParagraph"/>
        <w:numPr>
          <w:ilvl w:val="2"/>
          <w:numId w:val="804"/>
        </w:numPr>
        <w:tabs>
          <w:tab w:pos="1370" w:val="left" w:leader="none"/>
        </w:tabs>
        <w:spacing w:line="240" w:lineRule="auto" w:before="0" w:after="0"/>
        <w:ind w:left="1369" w:right="0" w:hanging="530"/>
        <w:jc w:val="left"/>
        <w:rPr>
          <w:sz w:val="21"/>
        </w:rPr>
      </w:pPr>
      <w:r>
        <w:rPr>
          <w:spacing w:val="-3"/>
          <w:sz w:val="21"/>
        </w:rPr>
        <w:t>护理单元用房设置应符合下列要求：</w:t>
      </w:r>
      <w:r>
        <w:rPr>
          <w:sz w:val="21"/>
        </w:rPr>
        <w:t> </w:t>
      </w:r>
    </w:p>
    <w:p>
      <w:pPr>
        <w:pStyle w:val="BodyText"/>
        <w:spacing w:before="11"/>
        <w:rPr>
          <w:sz w:val="17"/>
        </w:rPr>
      </w:pPr>
    </w:p>
    <w:p>
      <w:pPr>
        <w:pStyle w:val="BodyText"/>
        <w:spacing w:line="446" w:lineRule="auto"/>
        <w:ind w:left="418" w:right="1817" w:firstLine="419"/>
      </w:pPr>
      <w:r>
        <w:rPr/>
        <w:t>应设病房、抢救、患者和医护人员卫生间、盥洗、浴室、护士站、医生办公、处置、治疗、更衣、值班、配餐、库房、污洗等用房； </w:t>
      </w:r>
    </w:p>
    <w:p>
      <w:pPr>
        <w:pStyle w:val="BodyText"/>
        <w:spacing w:line="446" w:lineRule="auto"/>
        <w:ind w:left="840" w:right="3606" w:hanging="3"/>
      </w:pPr>
      <w:r>
        <w:rPr>
          <w:spacing w:val="-3"/>
        </w:rPr>
        <w:t>可设患者就餐、活动、换药、患者家属谈话、探视、示教等用房。</w:t>
      </w:r>
      <w:r>
        <w:rPr>
          <w:b/>
        </w:rPr>
        <w:t>5.5.5</w:t>
      </w:r>
      <w:r>
        <w:rPr>
          <w:b/>
          <w:spacing w:val="103"/>
        </w:rPr>
        <w:t> </w:t>
      </w:r>
      <w:r>
        <w:rPr>
          <w:spacing w:val="-3"/>
        </w:rPr>
        <w:t>病房设置应符合下列要求：</w:t>
      </w:r>
      <w:r>
        <w:rPr/>
        <w:t> </w:t>
      </w:r>
    </w:p>
    <w:p>
      <w:pPr>
        <w:pStyle w:val="BodyText"/>
        <w:spacing w:line="446" w:lineRule="auto"/>
        <w:ind w:left="838" w:right="2453"/>
      </w:pPr>
      <w:r>
        <w:rPr>
          <w:spacing w:val="-3"/>
        </w:rPr>
        <w:t>病床的排列应平行于采光窗墙面。单排不宜超过 </w:t>
      </w:r>
      <w:r>
        <w:rPr/>
        <w:t>3</w:t>
      </w:r>
      <w:r>
        <w:rPr>
          <w:spacing w:val="-1"/>
        </w:rPr>
        <w:t> 床，双排不宜超过 </w:t>
      </w:r>
      <w:r>
        <w:rPr/>
        <w:t>6</w:t>
      </w:r>
      <w:r>
        <w:rPr>
          <w:spacing w:val="3"/>
        </w:rPr>
        <w:t> 床； </w:t>
      </w:r>
      <w:r>
        <w:rPr>
          <w:spacing w:val="-7"/>
        </w:rPr>
        <w:t>平行的两床净距不应小于 </w:t>
      </w:r>
      <w:r>
        <w:rPr/>
        <w:t>0.80m</w:t>
      </w:r>
      <w:r>
        <w:rPr>
          <w:spacing w:val="-6"/>
        </w:rPr>
        <w:t>，靠墙病床床沿与墙面的净距不应小于 </w:t>
      </w:r>
      <w:r>
        <w:rPr/>
        <w:t>0.60m； </w:t>
      </w:r>
      <w:r>
        <w:rPr>
          <w:spacing w:val="-7"/>
        </w:rPr>
        <w:t>单排病床通道净宽不应小于 </w:t>
      </w:r>
      <w:r>
        <w:rPr/>
        <w:t>1.10m</w:t>
      </w:r>
      <w:r>
        <w:rPr>
          <w:spacing w:val="-6"/>
        </w:rPr>
        <w:t>，双排病床(床端)通道净宽不应小于 </w:t>
      </w:r>
      <w:r>
        <w:rPr/>
        <w:t>1.40m； </w:t>
      </w:r>
      <w:r>
        <w:rPr>
          <w:spacing w:val="-3"/>
        </w:rPr>
        <w:t>病房门应直接开向走道；</w:t>
      </w:r>
      <w:r>
        <w:rPr/>
        <w:t> </w:t>
      </w:r>
    </w:p>
    <w:p>
      <w:pPr>
        <w:pStyle w:val="BodyText"/>
        <w:ind w:left="838"/>
      </w:pPr>
      <w:r>
        <w:rPr/>
        <w:t>抢救室宜靠近护士站； </w:t>
      </w:r>
    </w:p>
    <w:p>
      <w:pPr>
        <w:pStyle w:val="BodyText"/>
        <w:spacing w:before="10"/>
        <w:rPr>
          <w:sz w:val="17"/>
        </w:rPr>
      </w:pPr>
    </w:p>
    <w:p>
      <w:pPr>
        <w:pStyle w:val="BodyText"/>
        <w:ind w:left="838"/>
      </w:pPr>
      <w:r>
        <w:rPr/>
        <w:t>病房门净宽不应小于 1.10m，门扇宜设观察窗； </w:t>
      </w:r>
    </w:p>
    <w:p>
      <w:pPr>
        <w:pStyle w:val="BodyText"/>
        <w:spacing w:before="12"/>
        <w:rPr>
          <w:sz w:val="17"/>
        </w:rPr>
      </w:pPr>
    </w:p>
    <w:p>
      <w:pPr>
        <w:pStyle w:val="BodyText"/>
        <w:ind w:left="838"/>
      </w:pPr>
      <w:r>
        <w:rPr/>
        <w:t>病房走道两侧墙面应设置靠墙扶手及防撞设施。 </w:t>
      </w:r>
    </w:p>
    <w:p>
      <w:pPr>
        <w:pStyle w:val="BodyText"/>
        <w:spacing w:before="2"/>
        <w:rPr>
          <w:sz w:val="18"/>
        </w:rPr>
      </w:pPr>
    </w:p>
    <w:p>
      <w:pPr>
        <w:pStyle w:val="ListParagraph"/>
        <w:numPr>
          <w:ilvl w:val="2"/>
          <w:numId w:val="805"/>
        </w:numPr>
        <w:tabs>
          <w:tab w:pos="1371" w:val="left" w:leader="none"/>
        </w:tabs>
        <w:spacing w:line="446" w:lineRule="auto" w:before="0" w:after="0"/>
        <w:ind w:left="418" w:right="1498" w:firstLine="422"/>
        <w:jc w:val="left"/>
        <w:rPr>
          <w:sz w:val="21"/>
        </w:rPr>
      </w:pPr>
      <w:r>
        <w:rPr>
          <w:spacing w:val="-3"/>
          <w:sz w:val="21"/>
        </w:rPr>
        <w:t>护士站宜以开敞空间与护理单元走道连通，并应与治疗室以门相连，护士站宜通视护</w:t>
      </w:r>
      <w:r>
        <w:rPr>
          <w:spacing w:val="-6"/>
          <w:sz w:val="21"/>
        </w:rPr>
        <w:t>理单元走廊，到最远病房门口的距离不宜超过 </w:t>
      </w:r>
      <w:r>
        <w:rPr>
          <w:sz w:val="21"/>
        </w:rPr>
        <w:t>30m</w:t>
      </w:r>
      <w:r>
        <w:rPr>
          <w:spacing w:val="-3"/>
          <w:sz w:val="21"/>
        </w:rPr>
        <w:t>。</w:t>
      </w:r>
      <w:r>
        <w:rPr>
          <w:sz w:val="21"/>
        </w:rPr>
        <w:t> </w:t>
      </w:r>
    </w:p>
    <w:p>
      <w:pPr>
        <w:pStyle w:val="ListParagraph"/>
        <w:numPr>
          <w:ilvl w:val="2"/>
          <w:numId w:val="805"/>
        </w:numPr>
        <w:tabs>
          <w:tab w:pos="1371" w:val="left" w:leader="none"/>
        </w:tabs>
        <w:spacing w:line="267" w:lineRule="exact" w:before="0" w:after="0"/>
        <w:ind w:left="1370" w:right="0" w:hanging="531"/>
        <w:jc w:val="left"/>
        <w:rPr>
          <w:sz w:val="21"/>
        </w:rPr>
      </w:pPr>
      <w:r>
        <w:rPr>
          <w:spacing w:val="-3"/>
          <w:sz w:val="21"/>
        </w:rPr>
        <w:t>配餐室应靠近餐车入口处，并应有供应开水和加热设施。</w:t>
      </w:r>
      <w:r>
        <w:rPr>
          <w:sz w:val="21"/>
        </w:rPr>
        <w:t> </w:t>
      </w:r>
    </w:p>
    <w:p>
      <w:pPr>
        <w:pStyle w:val="BodyText"/>
        <w:spacing w:before="2"/>
        <w:rPr>
          <w:sz w:val="18"/>
        </w:rPr>
      </w:pPr>
    </w:p>
    <w:p>
      <w:pPr>
        <w:pStyle w:val="ListParagraph"/>
        <w:numPr>
          <w:ilvl w:val="2"/>
          <w:numId w:val="805"/>
        </w:numPr>
        <w:tabs>
          <w:tab w:pos="1370" w:val="left" w:leader="none"/>
        </w:tabs>
        <w:spacing w:line="240" w:lineRule="auto" w:before="0" w:after="0"/>
        <w:ind w:left="1369" w:right="0" w:hanging="530"/>
        <w:jc w:val="left"/>
        <w:rPr>
          <w:sz w:val="21"/>
        </w:rPr>
      </w:pPr>
      <w:r>
        <w:rPr>
          <w:spacing w:val="-3"/>
          <w:sz w:val="21"/>
        </w:rPr>
        <w:t>护理单元的盥洗室、浴室和卫生间，应符合下列要求：</w:t>
      </w:r>
      <w:r>
        <w:rPr>
          <w:sz w:val="21"/>
        </w:rPr>
        <w:t> </w:t>
      </w:r>
    </w:p>
    <w:p>
      <w:pPr>
        <w:spacing w:after="0" w:line="240" w:lineRule="auto"/>
        <w:jc w:val="left"/>
        <w:rPr>
          <w:sz w:val="21"/>
        </w:rPr>
        <w:sectPr>
          <w:pgSz w:w="11910" w:h="16850"/>
          <w:pgMar w:header="0" w:footer="1239" w:top="1220" w:bottom="1420" w:left="1260" w:right="0"/>
        </w:sectPr>
      </w:pPr>
    </w:p>
    <w:p>
      <w:pPr>
        <w:pStyle w:val="BodyText"/>
        <w:spacing w:before="47"/>
        <w:ind w:left="838"/>
      </w:pPr>
      <w:r>
        <w:rPr/>
        <w:t>当卫生间设于病房内时，宜在护理单元内单独设置探视人员卫生间。 </w:t>
      </w:r>
    </w:p>
    <w:p>
      <w:pPr>
        <w:pStyle w:val="BodyText"/>
        <w:rPr>
          <w:sz w:val="18"/>
        </w:rPr>
      </w:pPr>
    </w:p>
    <w:p>
      <w:pPr>
        <w:pStyle w:val="BodyText"/>
        <w:ind w:left="838"/>
      </w:pPr>
      <w:r>
        <w:rPr/>
        <w:t>当护理单元集中设置卫生间时，男女患者比例宜为 1：1，男卫生间每 16 床应设 1 个大便器</w:t>
      </w:r>
    </w:p>
    <w:p>
      <w:pPr>
        <w:pStyle w:val="BodyText"/>
        <w:rPr>
          <w:sz w:val="18"/>
        </w:rPr>
      </w:pPr>
    </w:p>
    <w:p>
      <w:pPr>
        <w:pStyle w:val="BodyText"/>
        <w:spacing w:line="446" w:lineRule="auto"/>
        <w:ind w:left="838" w:right="5394" w:hanging="420"/>
      </w:pPr>
      <w:r>
        <w:rPr>
          <w:spacing w:val="-25"/>
        </w:rPr>
        <w:t>和 </w:t>
      </w:r>
      <w:r>
        <w:rPr/>
        <w:t>1</w:t>
      </w:r>
      <w:r>
        <w:rPr>
          <w:spacing w:val="-13"/>
        </w:rPr>
        <w:t> 个小便器。女卫生间每 </w:t>
      </w:r>
      <w:r>
        <w:rPr/>
        <w:t>16</w:t>
      </w:r>
      <w:r>
        <w:rPr>
          <w:spacing w:val="-22"/>
        </w:rPr>
        <w:t> 床应设 </w:t>
      </w:r>
      <w:r>
        <w:rPr/>
        <w:t>3</w:t>
      </w:r>
      <w:r>
        <w:rPr>
          <w:spacing w:val="-12"/>
        </w:rPr>
        <w:t> 个大便器。</w:t>
      </w:r>
      <w:r>
        <w:rPr>
          <w:spacing w:val="-3"/>
        </w:rPr>
        <w:t>医护人员卫生间应单独设置。</w:t>
      </w:r>
      <w:r>
        <w:rPr/>
        <w:t> </w:t>
      </w:r>
    </w:p>
    <w:p>
      <w:pPr>
        <w:pStyle w:val="BodyText"/>
        <w:ind w:left="838"/>
      </w:pPr>
      <w:r>
        <w:rPr/>
        <w:t>设置集中盥洗室和浴室的护理单元，盥洗水龙头和淋浴器每 12 床～15 床应各设 1 个，且每</w:t>
      </w:r>
    </w:p>
    <w:p>
      <w:pPr>
        <w:pStyle w:val="BodyText"/>
        <w:spacing w:before="12"/>
        <w:rPr>
          <w:sz w:val="17"/>
        </w:rPr>
      </w:pPr>
    </w:p>
    <w:p>
      <w:pPr>
        <w:pStyle w:val="BodyText"/>
        <w:ind w:left="418"/>
      </w:pPr>
      <w:r>
        <w:rPr/>
        <w:t>个护理单元应各不少于 2 个。盥洗室和淋浴室应设前室。 </w:t>
      </w:r>
    </w:p>
    <w:p>
      <w:pPr>
        <w:pStyle w:val="BodyText"/>
        <w:spacing w:before="2"/>
        <w:rPr>
          <w:sz w:val="18"/>
        </w:rPr>
      </w:pPr>
    </w:p>
    <w:p>
      <w:pPr>
        <w:pStyle w:val="BodyText"/>
        <w:spacing w:line="446" w:lineRule="auto"/>
        <w:ind w:left="418" w:right="1609" w:firstLine="419"/>
      </w:pPr>
      <w:r>
        <w:rPr/>
        <w:t>附设于病房内的浴室、卫生间面积和卫生洁具的数量，应根据使用要求确定，并应设紧急呼叫设施和输液吊钩。 </w:t>
      </w:r>
    </w:p>
    <w:p>
      <w:pPr>
        <w:pStyle w:val="BodyText"/>
        <w:spacing w:line="267" w:lineRule="exact"/>
        <w:ind w:left="838"/>
      </w:pPr>
      <w:r>
        <w:rPr/>
        <w:t>无障碍病房内的卫生间应按本规范第 5.1.13 条的要求设置。 </w:t>
      </w:r>
    </w:p>
    <w:p>
      <w:pPr>
        <w:pStyle w:val="BodyText"/>
        <w:spacing w:before="2"/>
        <w:rPr>
          <w:sz w:val="18"/>
        </w:rPr>
      </w:pPr>
    </w:p>
    <w:p>
      <w:pPr>
        <w:pStyle w:val="ListParagraph"/>
        <w:numPr>
          <w:ilvl w:val="2"/>
          <w:numId w:val="805"/>
        </w:numPr>
        <w:tabs>
          <w:tab w:pos="1371" w:val="left" w:leader="none"/>
        </w:tabs>
        <w:spacing w:line="240" w:lineRule="auto" w:before="0" w:after="0"/>
        <w:ind w:left="1370" w:right="0" w:hanging="531"/>
        <w:jc w:val="left"/>
        <w:rPr>
          <w:sz w:val="21"/>
        </w:rPr>
      </w:pPr>
      <w:r>
        <w:rPr>
          <w:spacing w:val="-3"/>
          <w:sz w:val="21"/>
        </w:rPr>
        <w:t>污洗室应邻近污物出口处，并应设倒便设施和便盆、痰杯的洗涤消毒设施。</w:t>
      </w:r>
      <w:r>
        <w:rPr>
          <w:sz w:val="21"/>
        </w:rPr>
        <w:t> </w:t>
      </w:r>
    </w:p>
    <w:p>
      <w:pPr>
        <w:pStyle w:val="BodyText"/>
        <w:spacing w:before="12"/>
        <w:rPr>
          <w:sz w:val="17"/>
        </w:rPr>
      </w:pPr>
    </w:p>
    <w:p>
      <w:pPr>
        <w:pStyle w:val="ListParagraph"/>
        <w:numPr>
          <w:ilvl w:val="2"/>
          <w:numId w:val="805"/>
        </w:numPr>
        <w:tabs>
          <w:tab w:pos="1478" w:val="left" w:leader="none"/>
        </w:tabs>
        <w:spacing w:line="240" w:lineRule="auto" w:before="0" w:after="0"/>
        <w:ind w:left="1477" w:right="0" w:hanging="638"/>
        <w:jc w:val="left"/>
        <w:rPr>
          <w:sz w:val="21"/>
        </w:rPr>
      </w:pPr>
      <w:r>
        <w:rPr>
          <w:spacing w:val="-3"/>
          <w:sz w:val="21"/>
        </w:rPr>
        <w:t>病房不应设置开敞式垃圾井道。</w:t>
      </w:r>
      <w:r>
        <w:rPr>
          <w:sz w:val="21"/>
        </w:rPr>
        <w:t> </w:t>
      </w:r>
    </w:p>
    <w:p>
      <w:pPr>
        <w:pStyle w:val="BodyText"/>
        <w:spacing w:before="12"/>
        <w:rPr>
          <w:sz w:val="17"/>
        </w:rPr>
      </w:pPr>
    </w:p>
    <w:p>
      <w:pPr>
        <w:pStyle w:val="ListParagraph"/>
        <w:numPr>
          <w:ilvl w:val="2"/>
          <w:numId w:val="805"/>
        </w:numPr>
        <w:tabs>
          <w:tab w:pos="1478" w:val="left" w:leader="none"/>
        </w:tabs>
        <w:spacing w:line="240" w:lineRule="auto" w:before="0" w:after="0"/>
        <w:ind w:left="1477" w:right="0" w:hanging="638"/>
        <w:jc w:val="left"/>
        <w:rPr>
          <w:sz w:val="21"/>
        </w:rPr>
      </w:pPr>
      <w:r>
        <w:rPr>
          <w:spacing w:val="-3"/>
          <w:sz w:val="21"/>
        </w:rPr>
        <w:t>监护用房设置应符合下列要求：</w:t>
      </w:r>
      <w:r>
        <w:rPr>
          <w:sz w:val="21"/>
        </w:rPr>
        <w:t> </w:t>
      </w:r>
    </w:p>
    <w:p>
      <w:pPr>
        <w:pStyle w:val="BodyText"/>
        <w:spacing w:before="2"/>
        <w:rPr>
          <w:sz w:val="18"/>
        </w:rPr>
      </w:pPr>
    </w:p>
    <w:p>
      <w:pPr>
        <w:pStyle w:val="BodyText"/>
        <w:ind w:left="838"/>
        <w:rPr>
          <w:b/>
        </w:rPr>
      </w:pPr>
      <w:r>
        <w:rPr/>
        <w:t>重症监护病房(ICU)宜与手术部、急诊部邻近，并应有快捷联系；</w:t>
      </w:r>
      <w:r>
        <w:rPr>
          <w:b/>
          <w:w w:val="99"/>
        </w:rPr>
        <w:t> </w:t>
      </w:r>
    </w:p>
    <w:p>
      <w:pPr>
        <w:pStyle w:val="BodyText"/>
        <w:rPr>
          <w:b/>
          <w:sz w:val="18"/>
        </w:rPr>
      </w:pPr>
    </w:p>
    <w:p>
      <w:pPr>
        <w:pStyle w:val="BodyText"/>
        <w:spacing w:line="446" w:lineRule="auto"/>
        <w:ind w:left="838" w:right="2873"/>
        <w:rPr>
          <w:b/>
        </w:rPr>
      </w:pPr>
      <w:r>
        <w:rPr/>
        <w:t>心血管监护病房(CCU)宜与急诊部、介入治疗科室邻近，并应有快捷联系； 应设监护病房、治疗、处置、仪器、护士站、污洗等用房；</w:t>
      </w:r>
      <w:r>
        <w:rPr>
          <w:b/>
          <w:w w:val="99"/>
        </w:rPr>
        <w:t> </w:t>
      </w:r>
    </w:p>
    <w:p>
      <w:pPr>
        <w:pStyle w:val="BodyText"/>
        <w:spacing w:line="446" w:lineRule="auto"/>
        <w:ind w:left="838" w:right="6119"/>
        <w:rPr>
          <w:b/>
        </w:rPr>
      </w:pPr>
      <w:r>
        <w:rPr/>
        <w:t>护士站的位置宜便于直视观察患者； 监护病床的床间净距不应小于 1.20m； 单床间不应小于 12.00m2。</w:t>
      </w:r>
      <w:r>
        <w:rPr>
          <w:b/>
          <w:w w:val="99"/>
        </w:rPr>
        <w:t> </w:t>
      </w:r>
    </w:p>
    <w:p>
      <w:pPr>
        <w:pStyle w:val="ListParagraph"/>
        <w:numPr>
          <w:ilvl w:val="2"/>
          <w:numId w:val="805"/>
        </w:numPr>
        <w:tabs>
          <w:tab w:pos="1478" w:val="left" w:leader="none"/>
        </w:tabs>
        <w:spacing w:line="268" w:lineRule="exact" w:before="0" w:after="0"/>
        <w:ind w:left="1477" w:right="0" w:hanging="638"/>
        <w:jc w:val="left"/>
        <w:rPr>
          <w:sz w:val="21"/>
        </w:rPr>
      </w:pPr>
      <w:r>
        <w:rPr>
          <w:spacing w:val="-3"/>
          <w:sz w:val="21"/>
        </w:rPr>
        <w:t>儿科病房用房设置应符合下列要求：</w:t>
      </w:r>
      <w:r>
        <w:rPr>
          <w:sz w:val="21"/>
        </w:rPr>
        <w:t> </w:t>
      </w:r>
    </w:p>
    <w:p>
      <w:pPr>
        <w:pStyle w:val="BodyText"/>
        <w:rPr>
          <w:sz w:val="18"/>
        </w:rPr>
      </w:pPr>
    </w:p>
    <w:p>
      <w:pPr>
        <w:pStyle w:val="BodyText"/>
        <w:spacing w:line="446" w:lineRule="auto"/>
        <w:ind w:left="838" w:right="4237"/>
        <w:rPr>
          <w:b/>
        </w:rPr>
      </w:pPr>
      <w:r>
        <w:rPr/>
        <w:t>宜设配奶室、奶具消毒室、隔离病房和专用卫生间等用房； 可设监护病房、新生儿病房、儿童活动室；</w:t>
      </w:r>
      <w:r>
        <w:rPr>
          <w:b/>
          <w:w w:val="99"/>
        </w:rPr>
        <w:t> </w:t>
      </w:r>
    </w:p>
    <w:p>
      <w:pPr>
        <w:pStyle w:val="BodyText"/>
        <w:ind w:left="838"/>
        <w:rPr>
          <w:b/>
        </w:rPr>
      </w:pPr>
      <w:r>
        <w:rPr/>
        <w:t>每间隔离病房不应多于 2 床；</w:t>
      </w:r>
      <w:r>
        <w:rPr>
          <w:b/>
          <w:w w:val="99"/>
        </w:rPr>
        <w:t> </w:t>
      </w:r>
    </w:p>
    <w:p>
      <w:pPr>
        <w:pStyle w:val="BodyText"/>
        <w:spacing w:before="12"/>
        <w:rPr>
          <w:b/>
          <w:sz w:val="17"/>
        </w:rPr>
      </w:pPr>
    </w:p>
    <w:p>
      <w:pPr>
        <w:pStyle w:val="BodyText"/>
        <w:ind w:left="838"/>
        <w:rPr>
          <w:b/>
        </w:rPr>
      </w:pPr>
      <w:r>
        <w:rPr/>
        <w:t>浴室、卫生间设施应适合儿童使用；</w:t>
      </w:r>
      <w:r>
        <w:rPr>
          <w:b/>
          <w:w w:val="99"/>
        </w:rPr>
        <w:t> </w:t>
      </w:r>
    </w:p>
    <w:p>
      <w:pPr>
        <w:pStyle w:val="BodyText"/>
        <w:rPr>
          <w:b/>
          <w:sz w:val="18"/>
        </w:rPr>
      </w:pPr>
    </w:p>
    <w:p>
      <w:pPr>
        <w:pStyle w:val="BodyText"/>
        <w:spacing w:line="446" w:lineRule="auto"/>
        <w:ind w:left="838" w:right="5281"/>
      </w:pPr>
      <w:r>
        <w:rPr>
          <w:spacing w:val="-3"/>
        </w:rPr>
        <w:t>窗和散热器等设施应采取安全防护措施。  </w:t>
      </w:r>
      <w:r>
        <w:rPr>
          <w:b/>
        </w:rPr>
        <w:t>5.5.13</w:t>
      </w:r>
      <w:r>
        <w:rPr>
          <w:b/>
          <w:spacing w:val="12"/>
        </w:rPr>
        <w:t> </w:t>
      </w:r>
      <w:r>
        <w:rPr>
          <w:spacing w:val="-3"/>
        </w:rPr>
        <w:t>妇产科病房用房设置应符合下列要求： 妇科应设检查和治疗用房。 </w:t>
      </w:r>
    </w:p>
    <w:p>
      <w:pPr>
        <w:pStyle w:val="BodyText"/>
        <w:spacing w:line="446" w:lineRule="auto"/>
        <w:ind w:left="418" w:right="1609" w:firstLine="419"/>
      </w:pPr>
      <w:r>
        <w:rPr/>
        <w:t>产科应设产前检查、待产、分娩、隔离待产、隔离分娩、产期监护、产休室等用房。隔离待产和隔离分娩用房可兼用。 </w:t>
      </w:r>
    </w:p>
    <w:p>
      <w:pPr>
        <w:spacing w:after="0" w:line="446" w:lineRule="auto"/>
        <w:sectPr>
          <w:pgSz w:w="11910" w:h="16850"/>
          <w:pgMar w:header="0" w:footer="1239" w:top="1220" w:bottom="1420" w:left="1260" w:right="0"/>
        </w:sectPr>
      </w:pPr>
    </w:p>
    <w:p>
      <w:pPr>
        <w:pStyle w:val="BodyText"/>
        <w:spacing w:line="446" w:lineRule="auto" w:before="47"/>
        <w:ind w:left="418" w:right="1608" w:firstLine="419"/>
      </w:pPr>
      <w:r>
        <w:rPr>
          <w:spacing w:val="-6"/>
        </w:rPr>
        <w:t>妇科、产科两科合为 </w:t>
      </w:r>
      <w:r>
        <w:rPr/>
        <w:t>1</w:t>
      </w:r>
      <w:r>
        <w:rPr>
          <w:spacing w:val="-7"/>
        </w:rPr>
        <w:t> 个单元时，妇科的病房、治疗室、浴室、卫生间与产科的产休室、</w:t>
      </w:r>
      <w:r>
        <w:rPr>
          <w:spacing w:val="-5"/>
        </w:rPr>
        <w:t>产前检查室、浴室、卫生间应分别设置。</w:t>
      </w:r>
      <w:r>
        <w:rPr/>
        <w:t> </w:t>
      </w:r>
    </w:p>
    <w:p>
      <w:pPr>
        <w:pStyle w:val="BodyText"/>
        <w:spacing w:line="267" w:lineRule="exact"/>
        <w:ind w:left="838"/>
      </w:pPr>
      <w:r>
        <w:rPr/>
        <w:t>产科宜设手术室。 </w:t>
      </w:r>
    </w:p>
    <w:p>
      <w:pPr>
        <w:pStyle w:val="BodyText"/>
        <w:spacing w:before="2"/>
        <w:rPr>
          <w:sz w:val="18"/>
        </w:rPr>
      </w:pPr>
    </w:p>
    <w:p>
      <w:pPr>
        <w:pStyle w:val="BodyText"/>
        <w:spacing w:line="446" w:lineRule="auto"/>
        <w:ind w:left="838" w:right="4446"/>
      </w:pPr>
      <w:r>
        <w:rPr/>
        <w:t>产房应自成一区，入口处应设卫生通过和浴室、卫生间。待产室应邻近分娩室，宜设专用卫生间。 </w:t>
      </w:r>
    </w:p>
    <w:p>
      <w:pPr>
        <w:pStyle w:val="BodyText"/>
        <w:spacing w:line="267" w:lineRule="exact"/>
        <w:ind w:left="838"/>
      </w:pPr>
      <w:r>
        <w:rPr/>
        <w:t>分娩室平面净尺寸宜为 4.20m×4.80m，剖腹产手术室宜为 5.40m×4.80m。 </w:t>
      </w:r>
    </w:p>
    <w:p>
      <w:pPr>
        <w:pStyle w:val="BodyText"/>
        <w:spacing w:before="2"/>
        <w:rPr>
          <w:sz w:val="18"/>
        </w:rPr>
      </w:pPr>
    </w:p>
    <w:p>
      <w:pPr>
        <w:pStyle w:val="BodyText"/>
        <w:ind w:left="838"/>
      </w:pPr>
      <w:r>
        <w:rPr/>
        <w:t>洗手池的位置应使医护人员在洗手时能观察临产产妇的动态。 </w:t>
      </w:r>
    </w:p>
    <w:p>
      <w:pPr>
        <w:pStyle w:val="BodyText"/>
        <w:rPr>
          <w:sz w:val="18"/>
        </w:rPr>
      </w:pPr>
    </w:p>
    <w:p>
      <w:pPr>
        <w:pStyle w:val="BodyText"/>
        <w:spacing w:line="446" w:lineRule="auto"/>
        <w:ind w:left="838" w:right="3606"/>
      </w:pPr>
      <w:r>
        <w:rPr/>
        <w:t>母婴同室或家庭产房应增设家属卫生通过，并应与其他区域分隔。家庭产房的病床宜采用可转换为产床的病床。 </w:t>
      </w:r>
    </w:p>
    <w:p>
      <w:pPr>
        <w:spacing w:line="446" w:lineRule="auto" w:before="0"/>
        <w:ind w:left="838" w:right="6121" w:firstLine="2"/>
        <w:jc w:val="left"/>
        <w:rPr>
          <w:sz w:val="21"/>
        </w:rPr>
      </w:pPr>
      <w:r>
        <w:rPr>
          <w:b/>
          <w:sz w:val="21"/>
        </w:rPr>
        <w:t>5.5.14</w:t>
      </w:r>
      <w:r>
        <w:rPr>
          <w:b/>
          <w:spacing w:val="9"/>
          <w:sz w:val="21"/>
        </w:rPr>
        <w:t> </w:t>
      </w:r>
      <w:r>
        <w:rPr>
          <w:spacing w:val="-3"/>
          <w:sz w:val="21"/>
        </w:rPr>
        <w:t>婴儿室设置应符合下列要求： 应邻近分娩室；</w:t>
      </w:r>
      <w:r>
        <w:rPr>
          <w:sz w:val="21"/>
        </w:rPr>
        <w:t> </w:t>
      </w:r>
    </w:p>
    <w:p>
      <w:pPr>
        <w:pStyle w:val="BodyText"/>
        <w:spacing w:line="446" w:lineRule="auto"/>
        <w:ind w:left="838" w:right="1505"/>
      </w:pPr>
      <w:r>
        <w:rPr>
          <w:spacing w:val="-3"/>
        </w:rPr>
        <w:t>应设婴儿间、洗婴池、配奶室、奶具消毒室、隔离婴儿室、隔离洗婴池、护士室等用房； 婴儿间宜朝南，应设观察窗，并应有防鼠、防蚊蝇等措施；</w:t>
      </w:r>
      <w:r>
        <w:rPr/>
        <w:t> </w:t>
      </w:r>
    </w:p>
    <w:p>
      <w:pPr>
        <w:pStyle w:val="BodyText"/>
        <w:ind w:left="838"/>
      </w:pPr>
      <w:r>
        <w:rPr/>
        <w:t>洗婴池应贴邻婴儿间，水龙头离地面高度宜为 1.20m，并应有防止蒸气窜入婴儿间的措施； </w:t>
      </w:r>
    </w:p>
    <w:p>
      <w:pPr>
        <w:pStyle w:val="BodyText"/>
        <w:spacing w:before="10"/>
        <w:rPr>
          <w:sz w:val="17"/>
        </w:rPr>
      </w:pPr>
    </w:p>
    <w:p>
      <w:pPr>
        <w:pStyle w:val="BodyText"/>
        <w:spacing w:line="446" w:lineRule="auto"/>
        <w:ind w:left="840" w:right="5490" w:hanging="3"/>
      </w:pPr>
      <w:r>
        <w:rPr/>
        <w:t>配奶室与奶具消毒室不应与护士室合用。</w:t>
      </w:r>
      <w:r>
        <w:rPr>
          <w:b/>
        </w:rPr>
        <w:t>5.5.15 </w:t>
      </w:r>
      <w:r>
        <w:rPr/>
        <w:t>烧伤病房用房设置应符合下列要求： </w:t>
      </w:r>
    </w:p>
    <w:p>
      <w:pPr>
        <w:pStyle w:val="BodyText"/>
        <w:spacing w:line="446" w:lineRule="auto"/>
        <w:ind w:left="418" w:right="1817" w:firstLine="419"/>
      </w:pPr>
      <w:r>
        <w:rPr/>
        <w:t>应设在环境良好、空气清洁的位置，可设于外科护理单元的尽端，宜相对独立或单独设置； </w:t>
      </w:r>
    </w:p>
    <w:p>
      <w:pPr>
        <w:pStyle w:val="BodyText"/>
        <w:spacing w:line="446" w:lineRule="auto"/>
        <w:ind w:left="418" w:right="1609" w:firstLine="419"/>
      </w:pPr>
      <w:r>
        <w:rPr/>
        <w:t>应设换药、浸浴、单人隔离病房、重点护理病房及专用卫生间、护士室、洗涤消毒、消毒品贮藏等用房； </w:t>
      </w:r>
    </w:p>
    <w:p>
      <w:pPr>
        <w:pStyle w:val="BodyText"/>
        <w:spacing w:line="446" w:lineRule="auto"/>
        <w:ind w:left="838" w:right="3186"/>
      </w:pPr>
      <w:r>
        <w:rPr>
          <w:spacing w:val="-3"/>
        </w:rPr>
        <w:t>入口处应设包括换鞋、更衣、卫生间和淋浴的医护人员卫生通过通道； 可设专用处置室、洁净病房。</w:t>
      </w:r>
      <w:r>
        <w:rPr/>
        <w:t> </w:t>
      </w:r>
    </w:p>
    <w:p>
      <w:pPr>
        <w:spacing w:before="0"/>
        <w:ind w:left="840" w:right="0" w:firstLine="0"/>
        <w:jc w:val="left"/>
        <w:rPr>
          <w:sz w:val="21"/>
        </w:rPr>
      </w:pPr>
      <w:r>
        <w:rPr>
          <w:b/>
          <w:sz w:val="21"/>
        </w:rPr>
        <w:t>5.5.16</w:t>
      </w:r>
      <w:r>
        <w:rPr>
          <w:b/>
          <w:spacing w:val="105"/>
          <w:sz w:val="21"/>
        </w:rPr>
        <w:t> </w:t>
      </w:r>
      <w:r>
        <w:rPr>
          <w:spacing w:val="-3"/>
          <w:sz w:val="21"/>
        </w:rPr>
        <w:t>血液病房用房设置应符合下列要求：</w:t>
      </w:r>
      <w:r>
        <w:rPr>
          <w:sz w:val="21"/>
        </w:rPr>
        <w:t> </w:t>
      </w:r>
    </w:p>
    <w:p>
      <w:pPr>
        <w:pStyle w:val="BodyText"/>
        <w:spacing w:before="10"/>
        <w:rPr>
          <w:sz w:val="17"/>
        </w:rPr>
      </w:pPr>
    </w:p>
    <w:p>
      <w:pPr>
        <w:pStyle w:val="BodyText"/>
        <w:spacing w:line="446" w:lineRule="auto"/>
        <w:ind w:left="418" w:right="1609" w:firstLine="419"/>
      </w:pPr>
      <w:r>
        <w:rPr/>
        <w:t>血液病房可设于内科护理单元内，亦可自成一区。可根据需要设置洁净病房，洁净病房应自成一区。 </w:t>
      </w:r>
    </w:p>
    <w:p>
      <w:pPr>
        <w:pStyle w:val="BodyText"/>
        <w:spacing w:line="446" w:lineRule="auto" w:before="1"/>
        <w:ind w:left="838" w:right="2134"/>
      </w:pPr>
      <w:r>
        <w:rPr>
          <w:spacing w:val="-3"/>
        </w:rPr>
        <w:t>洁净病区应设准备、患者浴室和卫生间、护士室、洗涤消毒用房、净化设备机房。入口处应设包括换鞋、更衣、卫生间和淋浴的医护人员卫生通道。</w:t>
      </w:r>
      <w:r>
        <w:rPr/>
        <w:t> </w:t>
      </w:r>
    </w:p>
    <w:p>
      <w:pPr>
        <w:pStyle w:val="BodyText"/>
        <w:ind w:left="838"/>
      </w:pPr>
      <w:r>
        <w:rPr/>
        <w:t>患者浴室和卫生间可单独设置，并应同时设有淋浴器和浴盆。 </w:t>
      </w:r>
    </w:p>
    <w:p>
      <w:pPr>
        <w:spacing w:after="0"/>
        <w:sectPr>
          <w:pgSz w:w="11910" w:h="16850"/>
          <w:pgMar w:header="0" w:footer="1239" w:top="1220" w:bottom="1420" w:left="1260" w:right="0"/>
        </w:sectPr>
      </w:pPr>
    </w:p>
    <w:p>
      <w:pPr>
        <w:pStyle w:val="BodyText"/>
        <w:spacing w:line="446" w:lineRule="auto" w:before="47"/>
        <w:ind w:left="418" w:right="1609" w:firstLine="419"/>
      </w:pPr>
      <w:r>
        <w:rPr>
          <w:spacing w:val="-5"/>
        </w:rPr>
        <w:t>洁净病房应仅供一位患者使用，洁净标准应符合本规范第 </w:t>
      </w:r>
      <w:r>
        <w:rPr/>
        <w:t>7.5.4</w:t>
      </w:r>
      <w:r>
        <w:rPr>
          <w:spacing w:val="-7"/>
        </w:rPr>
        <w:t> 条规定，并应在入口处设</w:t>
      </w:r>
      <w:r>
        <w:rPr>
          <w:spacing w:val="-5"/>
        </w:rPr>
        <w:t>第二次换鞋、更衣处。</w:t>
      </w:r>
      <w:r>
        <w:rPr/>
        <w:t> </w:t>
      </w:r>
    </w:p>
    <w:p>
      <w:pPr>
        <w:pStyle w:val="BodyText"/>
        <w:spacing w:line="446" w:lineRule="auto"/>
        <w:ind w:left="840" w:right="4446" w:hanging="3"/>
      </w:pPr>
      <w:r>
        <w:rPr/>
        <w:t>洁净病房应设观察窗，并应设置家属探视窗及对讲设备。</w:t>
      </w:r>
      <w:r>
        <w:rPr>
          <w:b/>
        </w:rPr>
        <w:t>5.5.17 </w:t>
      </w:r>
      <w:r>
        <w:rPr/>
        <w:t>血液透析室用房设置应符合下列要求： </w:t>
      </w:r>
    </w:p>
    <w:p>
      <w:pPr>
        <w:pStyle w:val="BodyText"/>
        <w:ind w:left="838"/>
      </w:pPr>
      <w:r>
        <w:rPr/>
        <w:t>可设于门诊部或住院部内，应自成一区； </w:t>
      </w:r>
    </w:p>
    <w:p>
      <w:pPr>
        <w:pStyle w:val="BodyText"/>
        <w:spacing w:before="10"/>
        <w:rPr>
          <w:sz w:val="17"/>
        </w:rPr>
      </w:pPr>
    </w:p>
    <w:p>
      <w:pPr>
        <w:pStyle w:val="BodyText"/>
        <w:spacing w:line="446" w:lineRule="auto"/>
        <w:ind w:left="418" w:right="1609" w:firstLine="419"/>
      </w:pPr>
      <w:r>
        <w:rPr/>
        <w:t>应设患者换鞋与更衣、透析、隔离透析治疗、治疗、复洗、污物处理、配药、水处理设备等用房； </w:t>
      </w:r>
    </w:p>
    <w:p>
      <w:pPr>
        <w:pStyle w:val="BodyText"/>
        <w:spacing w:before="1"/>
        <w:ind w:left="838"/>
      </w:pPr>
      <w:r>
        <w:rPr/>
        <w:t>入口处应设包括换鞋、更衣的医护人员卫生通过通道； </w:t>
      </w:r>
    </w:p>
    <w:p>
      <w:pPr>
        <w:pStyle w:val="BodyText"/>
        <w:spacing w:before="12"/>
        <w:rPr>
          <w:sz w:val="17"/>
        </w:rPr>
      </w:pPr>
    </w:p>
    <w:p>
      <w:pPr>
        <w:pStyle w:val="BodyText"/>
        <w:spacing w:line="446" w:lineRule="auto"/>
        <w:ind w:left="840" w:right="3503" w:hanging="3"/>
        <w:rPr>
          <w:b/>
        </w:rPr>
      </w:pPr>
      <w:r>
        <w:rPr/>
        <w:t>治疗床(椅)之间的净距不宜小于 1.20m，通道净距不宜小于 1.30m。</w:t>
      </w:r>
      <w:r>
        <w:rPr>
          <w:b/>
        </w:rPr>
        <w:t>5.6 </w:t>
      </w:r>
      <w:r>
        <w:rPr/>
        <w:t>生殖医学中心用房</w:t>
      </w:r>
      <w:r>
        <w:rPr>
          <w:b/>
          <w:w w:val="99"/>
        </w:rPr>
        <w:t> </w:t>
      </w:r>
    </w:p>
    <w:p>
      <w:pPr>
        <w:pStyle w:val="ListParagraph"/>
        <w:numPr>
          <w:ilvl w:val="2"/>
          <w:numId w:val="806"/>
        </w:numPr>
        <w:tabs>
          <w:tab w:pos="1370" w:val="left" w:leader="none"/>
        </w:tabs>
        <w:spacing w:line="446" w:lineRule="auto" w:before="0" w:after="0"/>
        <w:ind w:left="418" w:right="1551" w:firstLine="422"/>
        <w:jc w:val="left"/>
        <w:rPr>
          <w:sz w:val="21"/>
        </w:rPr>
      </w:pPr>
      <w:r>
        <w:rPr>
          <w:spacing w:val="-3"/>
          <w:sz w:val="21"/>
        </w:rPr>
        <w:t>生殖医学中心应设诊查、</w:t>
      </w:r>
      <w:r>
        <w:rPr>
          <w:sz w:val="21"/>
        </w:rPr>
        <w:t>B</w:t>
      </w:r>
      <w:r>
        <w:rPr>
          <w:spacing w:val="-6"/>
          <w:sz w:val="21"/>
        </w:rPr>
        <w:t> 超、取精、取卵、体外授精、胚胎移植、检查、妇科内分</w:t>
      </w:r>
      <w:r>
        <w:rPr>
          <w:spacing w:val="-4"/>
          <w:sz w:val="21"/>
        </w:rPr>
        <w:t>泌测定和精子库等用房。 </w:t>
      </w:r>
      <w:r>
        <w:rPr>
          <w:spacing w:val="-2"/>
          <w:sz w:val="21"/>
        </w:rPr>
        <w:t> </w:t>
      </w:r>
      <w:r>
        <w:rPr>
          <w:w w:val="100"/>
          <w:sz w:val="21"/>
        </w:rPr>
        <w:t> </w:t>
      </w:r>
    </w:p>
    <w:p>
      <w:pPr>
        <w:pStyle w:val="ListParagraph"/>
        <w:numPr>
          <w:ilvl w:val="2"/>
          <w:numId w:val="806"/>
        </w:numPr>
        <w:tabs>
          <w:tab w:pos="1370" w:val="left" w:leader="none"/>
        </w:tabs>
        <w:spacing w:line="240" w:lineRule="auto" w:before="0" w:after="0"/>
        <w:ind w:left="1369" w:right="0" w:hanging="530"/>
        <w:jc w:val="left"/>
        <w:rPr>
          <w:sz w:val="21"/>
        </w:rPr>
      </w:pPr>
      <w:r>
        <w:rPr>
          <w:spacing w:val="-3"/>
          <w:sz w:val="21"/>
        </w:rPr>
        <w:t>生殖医学中心可设影像学检查、遗传学检查等用房。 </w:t>
      </w:r>
      <w:r>
        <w:rPr>
          <w:spacing w:val="-2"/>
          <w:sz w:val="21"/>
        </w:rPr>
        <w:t> </w:t>
      </w:r>
      <w:r>
        <w:rPr>
          <w:w w:val="100"/>
          <w:sz w:val="21"/>
        </w:rPr>
        <w:t> </w:t>
      </w:r>
    </w:p>
    <w:p>
      <w:pPr>
        <w:pStyle w:val="BodyText"/>
        <w:rPr>
          <w:sz w:val="18"/>
        </w:rPr>
      </w:pPr>
    </w:p>
    <w:p>
      <w:pPr>
        <w:pStyle w:val="ListParagraph"/>
        <w:numPr>
          <w:ilvl w:val="2"/>
          <w:numId w:val="806"/>
        </w:numPr>
        <w:tabs>
          <w:tab w:pos="1370" w:val="left" w:leader="none"/>
        </w:tabs>
        <w:spacing w:line="240" w:lineRule="auto" w:before="0" w:after="0"/>
        <w:ind w:left="1369" w:right="0" w:hanging="530"/>
        <w:jc w:val="left"/>
        <w:rPr>
          <w:sz w:val="21"/>
        </w:rPr>
      </w:pPr>
      <w:r>
        <w:rPr>
          <w:spacing w:val="-3"/>
          <w:sz w:val="21"/>
        </w:rPr>
        <w:t>取卵室、体外授精实验室、胚胎移植室应满足医院卫生学要求。</w:t>
      </w:r>
      <w:r>
        <w:rPr>
          <w:sz w:val="21"/>
        </w:rPr>
        <w:t> </w:t>
      </w:r>
    </w:p>
    <w:p>
      <w:pPr>
        <w:pStyle w:val="BodyText"/>
        <w:spacing w:before="12"/>
        <w:rPr>
          <w:sz w:val="17"/>
        </w:rPr>
      </w:pPr>
    </w:p>
    <w:p>
      <w:pPr>
        <w:pStyle w:val="ListParagraph"/>
        <w:numPr>
          <w:ilvl w:val="1"/>
          <w:numId w:val="807"/>
        </w:numPr>
        <w:tabs>
          <w:tab w:pos="1159" w:val="left" w:leader="none"/>
        </w:tabs>
        <w:spacing w:line="240" w:lineRule="auto" w:before="0" w:after="0"/>
        <w:ind w:left="1158" w:right="0" w:hanging="319"/>
        <w:jc w:val="left"/>
        <w:rPr>
          <w:sz w:val="21"/>
        </w:rPr>
      </w:pPr>
      <w:r>
        <w:rPr>
          <w:spacing w:val="-3"/>
          <w:sz w:val="21"/>
        </w:rPr>
        <w:t>手术部用房</w:t>
      </w:r>
      <w:r>
        <w:rPr>
          <w:sz w:val="21"/>
        </w:rPr>
        <w:t> </w:t>
      </w:r>
    </w:p>
    <w:p>
      <w:pPr>
        <w:pStyle w:val="BodyText"/>
        <w:rPr>
          <w:sz w:val="20"/>
        </w:rPr>
      </w:pPr>
    </w:p>
    <w:p>
      <w:pPr>
        <w:pStyle w:val="BodyText"/>
        <w:rPr>
          <w:sz w:val="20"/>
        </w:rPr>
      </w:pPr>
    </w:p>
    <w:p>
      <w:pPr>
        <w:pStyle w:val="BodyText"/>
        <w:spacing w:before="1"/>
        <w:rPr>
          <w:sz w:val="17"/>
        </w:rPr>
      </w:pPr>
    </w:p>
    <w:p>
      <w:pPr>
        <w:pStyle w:val="ListParagraph"/>
        <w:numPr>
          <w:ilvl w:val="2"/>
          <w:numId w:val="807"/>
        </w:numPr>
        <w:tabs>
          <w:tab w:pos="1370" w:val="left" w:leader="none"/>
        </w:tabs>
        <w:spacing w:line="446" w:lineRule="auto" w:before="1" w:after="0"/>
        <w:ind w:left="418" w:right="1447" w:firstLine="422"/>
        <w:jc w:val="left"/>
        <w:rPr>
          <w:sz w:val="21"/>
        </w:rPr>
      </w:pPr>
      <w:r>
        <w:rPr>
          <w:spacing w:val="-3"/>
          <w:sz w:val="21"/>
        </w:rPr>
        <w:t>手术部的环境要求，应符合现行国家标准《医院消毒卫生标准》</w:t>
      </w:r>
      <w:r>
        <w:rPr>
          <w:sz w:val="21"/>
        </w:rPr>
        <w:t>GB</w:t>
      </w:r>
      <w:r>
        <w:rPr>
          <w:spacing w:val="22"/>
          <w:sz w:val="21"/>
        </w:rPr>
        <w:t> </w:t>
      </w:r>
      <w:r>
        <w:rPr>
          <w:sz w:val="21"/>
        </w:rPr>
        <w:t>15982</w:t>
      </w:r>
      <w:r>
        <w:rPr>
          <w:spacing w:val="-9"/>
          <w:sz w:val="21"/>
        </w:rPr>
        <w:t> 的有关规定</w:t>
      </w:r>
      <w:r>
        <w:rPr>
          <w:spacing w:val="-4"/>
          <w:sz w:val="21"/>
        </w:rPr>
        <w:t>，手术部应分为一般手术部和洁净手术部洁净手术部应按现行国家标准《医院洁净手术部建筑 </w:t>
      </w:r>
      <w:r>
        <w:rPr>
          <w:spacing w:val="-3"/>
          <w:sz w:val="21"/>
        </w:rPr>
        <w:t>技术规范》</w:t>
      </w:r>
      <w:r>
        <w:rPr>
          <w:sz w:val="21"/>
        </w:rPr>
        <w:t>GB 50333</w:t>
      </w:r>
      <w:r>
        <w:rPr>
          <w:spacing w:val="-9"/>
          <w:sz w:val="21"/>
        </w:rPr>
        <w:t> 的有关规定设计。</w:t>
      </w:r>
      <w:r>
        <w:rPr>
          <w:sz w:val="21"/>
        </w:rPr>
        <w:t> </w:t>
      </w:r>
    </w:p>
    <w:p>
      <w:pPr>
        <w:pStyle w:val="ListParagraph"/>
        <w:numPr>
          <w:ilvl w:val="2"/>
          <w:numId w:val="807"/>
        </w:numPr>
        <w:tabs>
          <w:tab w:pos="1371" w:val="left" w:leader="none"/>
        </w:tabs>
        <w:spacing w:line="268" w:lineRule="exact" w:before="0" w:after="0"/>
        <w:ind w:left="1370" w:right="0" w:hanging="531"/>
        <w:jc w:val="left"/>
        <w:rPr>
          <w:sz w:val="21"/>
        </w:rPr>
      </w:pPr>
      <w:r>
        <w:rPr>
          <w:spacing w:val="-3"/>
          <w:sz w:val="21"/>
        </w:rPr>
        <w:t>手术部用房位置和平面布置，应符合下列要求： </w:t>
      </w:r>
      <w:r>
        <w:rPr>
          <w:spacing w:val="-2"/>
          <w:sz w:val="21"/>
        </w:rPr>
        <w:t> </w:t>
      </w:r>
      <w:r>
        <w:rPr>
          <w:w w:val="100"/>
          <w:sz w:val="21"/>
        </w:rPr>
        <w:t> </w:t>
      </w:r>
    </w:p>
    <w:p>
      <w:pPr>
        <w:pStyle w:val="BodyText"/>
        <w:spacing w:before="12"/>
        <w:rPr>
          <w:sz w:val="17"/>
        </w:rPr>
      </w:pPr>
    </w:p>
    <w:p>
      <w:pPr>
        <w:pStyle w:val="BodyText"/>
        <w:spacing w:line="446" w:lineRule="auto"/>
        <w:ind w:left="418" w:right="1609" w:firstLine="419"/>
      </w:pPr>
      <w:r>
        <w:rPr/>
        <w:t>手术部应自成一区，宜与外科护理单元邻近，并宜与相关的急诊、介入治疗科、重症监护科(ICU)、病理科、中心(消毒)供应室、血库等路径便捷；  </w:t>
      </w:r>
      <w:r>
        <w:rPr>
          <w:w w:val="100"/>
        </w:rPr>
        <w:t> </w:t>
      </w:r>
    </w:p>
    <w:p>
      <w:pPr>
        <w:pStyle w:val="BodyText"/>
        <w:ind w:left="838"/>
      </w:pPr>
      <w:r>
        <w:rPr/>
        <w:t>手术部不宜设在首层；  </w:t>
      </w:r>
      <w:r>
        <w:rPr>
          <w:w w:val="100"/>
        </w:rPr>
        <w:t> </w:t>
      </w:r>
    </w:p>
    <w:p>
      <w:pPr>
        <w:pStyle w:val="BodyText"/>
        <w:spacing w:before="12"/>
        <w:rPr>
          <w:sz w:val="17"/>
        </w:rPr>
      </w:pPr>
    </w:p>
    <w:p>
      <w:pPr>
        <w:pStyle w:val="BodyText"/>
        <w:ind w:left="838"/>
      </w:pPr>
      <w:r>
        <w:rPr/>
        <w:t>平面布置应符合功能流程和洁污分区要求；  </w:t>
      </w:r>
      <w:r>
        <w:rPr>
          <w:w w:val="100"/>
        </w:rPr>
        <w:t> </w:t>
      </w:r>
    </w:p>
    <w:p>
      <w:pPr>
        <w:pStyle w:val="BodyText"/>
        <w:spacing w:before="2"/>
        <w:rPr>
          <w:sz w:val="18"/>
        </w:rPr>
      </w:pPr>
    </w:p>
    <w:p>
      <w:pPr>
        <w:pStyle w:val="BodyText"/>
        <w:ind w:left="838"/>
      </w:pPr>
      <w:r>
        <w:rPr/>
        <w:t>入口处应设医护人员卫生通过，且换鞋处应采取防止洁污交叉的措施；  </w:t>
      </w:r>
      <w:r>
        <w:rPr>
          <w:w w:val="100"/>
        </w:rPr>
        <w:t> </w:t>
      </w:r>
    </w:p>
    <w:p>
      <w:pPr>
        <w:pStyle w:val="BodyText"/>
        <w:rPr>
          <w:sz w:val="18"/>
        </w:rPr>
      </w:pPr>
    </w:p>
    <w:p>
      <w:pPr>
        <w:pStyle w:val="BodyText"/>
        <w:spacing w:line="446" w:lineRule="auto"/>
        <w:ind w:left="840" w:right="5598" w:hanging="3"/>
      </w:pPr>
      <w:r>
        <w:rPr/>
        <w:t>通往外部的门应采用弹簧门或自动启闭门。</w:t>
      </w:r>
      <w:r>
        <w:rPr>
          <w:b/>
        </w:rPr>
        <w:t>5.7.3 </w:t>
      </w:r>
      <w:r>
        <w:rPr/>
        <w:t>手术部用房设置应符合下列规定：  </w:t>
      </w:r>
      <w:r>
        <w:rPr>
          <w:w w:val="100"/>
        </w:rPr>
        <w:t>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pPr>
      <w:r>
        <w:rPr/>
        <w:t>应设手术室、刷手、术后苏醒、换床、护士室、麻醉师办公室、换鞋、男女更衣、男女浴室和卫生间、无菌物品存放、清洗、消毒、污物和库房等用房；  </w:t>
      </w:r>
      <w:r>
        <w:rPr>
          <w:w w:val="100"/>
        </w:rPr>
        <w:t> </w:t>
      </w:r>
    </w:p>
    <w:p>
      <w:pPr>
        <w:pStyle w:val="BodyText"/>
        <w:spacing w:line="446" w:lineRule="auto"/>
        <w:ind w:left="418" w:right="1609" w:firstLine="419"/>
      </w:pPr>
      <w:r>
        <w:rPr/>
        <w:t>可设洁净手术室、手术准备室、石膏室、冰冻切片、敷料制作、麻醉器械贮藏、教学、医护休息、男女值班和家属等候等用房。 </w:t>
      </w:r>
    </w:p>
    <w:p>
      <w:pPr>
        <w:pStyle w:val="ListParagraph"/>
        <w:numPr>
          <w:ilvl w:val="2"/>
          <w:numId w:val="808"/>
        </w:numPr>
        <w:tabs>
          <w:tab w:pos="1371" w:val="left" w:leader="none"/>
        </w:tabs>
        <w:spacing w:line="240" w:lineRule="auto" w:before="0" w:after="0"/>
        <w:ind w:left="1370" w:right="0" w:hanging="531"/>
        <w:jc w:val="left"/>
        <w:rPr>
          <w:sz w:val="21"/>
        </w:rPr>
      </w:pPr>
      <w:r>
        <w:rPr>
          <w:spacing w:val="-3"/>
          <w:sz w:val="21"/>
        </w:rPr>
        <w:t>手术室平面尺寸应符合下列要求：</w:t>
      </w:r>
      <w:r>
        <w:rPr>
          <w:sz w:val="21"/>
        </w:rPr>
        <w:t> </w:t>
      </w:r>
      <w:r>
        <w:rPr>
          <w:spacing w:val="-2"/>
          <w:sz w:val="21"/>
        </w:rPr>
        <w:t> </w:t>
      </w:r>
      <w:r>
        <w:rPr>
          <w:w w:val="100"/>
          <w:sz w:val="21"/>
        </w:rPr>
        <w:t> </w:t>
      </w:r>
    </w:p>
    <w:p>
      <w:pPr>
        <w:pStyle w:val="BodyText"/>
        <w:spacing w:before="10"/>
        <w:rPr>
          <w:sz w:val="17"/>
        </w:rPr>
      </w:pPr>
    </w:p>
    <w:p>
      <w:pPr>
        <w:pStyle w:val="BodyText"/>
        <w:ind w:left="840"/>
      </w:pPr>
      <w:r>
        <w:rPr/>
        <w:t>1 应根据需要选用手术室平面尺寸，平面尺寸不应小于表 5.7.4 的规定。  </w:t>
      </w:r>
      <w:r>
        <w:rPr>
          <w:w w:val="100"/>
        </w:rPr>
        <w:t> </w:t>
      </w:r>
    </w:p>
    <w:p>
      <w:pPr>
        <w:pStyle w:val="BodyText"/>
        <w:spacing w:before="2"/>
        <w:rPr>
          <w:sz w:val="18"/>
        </w:rPr>
      </w:pPr>
    </w:p>
    <w:p>
      <w:pPr>
        <w:pStyle w:val="Heading6"/>
        <w:ind w:left="3519"/>
      </w:pPr>
      <w:r>
        <w:rPr/>
        <w:t>表 5.7.4 手术室平面尺寸</w:t>
      </w:r>
      <w:r>
        <w:rPr>
          <w:w w:val="99"/>
        </w:rPr>
        <w:t> </w:t>
      </w:r>
    </w:p>
    <w:p>
      <w:pPr>
        <w:pStyle w:val="BodyText"/>
        <w:spacing w:before="12"/>
        <w:rPr>
          <w:b/>
        </w:rPr>
      </w:pPr>
      <w:r>
        <w:rPr/>
        <w:drawing>
          <wp:anchor distT="0" distB="0" distL="0" distR="0" allowOverlap="1" layoutInCell="1" locked="0" behindDoc="0" simplePos="0" relativeHeight="268">
            <wp:simplePos x="0" y="0"/>
            <wp:positionH relativeFrom="page">
              <wp:posOffset>1344930</wp:posOffset>
            </wp:positionH>
            <wp:positionV relativeFrom="paragraph">
              <wp:posOffset>203676</wp:posOffset>
            </wp:positionV>
            <wp:extent cx="4796479" cy="1743075"/>
            <wp:effectExtent l="0" t="0" r="0" b="0"/>
            <wp:wrapTopAndBottom/>
            <wp:docPr id="635" name="image366.png"/>
            <wp:cNvGraphicFramePr>
              <a:graphicFrameLocks noChangeAspect="1"/>
            </wp:cNvGraphicFramePr>
            <a:graphic>
              <a:graphicData uri="http://schemas.openxmlformats.org/drawingml/2006/picture">
                <pic:pic>
                  <pic:nvPicPr>
                    <pic:cNvPr id="636" name="image366.png"/>
                    <pic:cNvPicPr/>
                  </pic:nvPicPr>
                  <pic:blipFill>
                    <a:blip r:embed="rId445" cstate="print"/>
                    <a:stretch>
                      <a:fillRect/>
                    </a:stretch>
                  </pic:blipFill>
                  <pic:spPr>
                    <a:xfrm>
                      <a:off x="0" y="0"/>
                      <a:ext cx="4796479" cy="1743075"/>
                    </a:xfrm>
                    <a:prstGeom prst="rect">
                      <a:avLst/>
                    </a:prstGeom>
                  </pic:spPr>
                </pic:pic>
              </a:graphicData>
            </a:graphic>
          </wp:anchor>
        </w:drawing>
      </w:r>
    </w:p>
    <w:p>
      <w:pPr>
        <w:pStyle w:val="BodyText"/>
        <w:rPr>
          <w:b/>
          <w:sz w:val="20"/>
        </w:rPr>
      </w:pPr>
    </w:p>
    <w:p>
      <w:pPr>
        <w:pStyle w:val="BodyText"/>
        <w:rPr>
          <w:b/>
          <w:sz w:val="20"/>
        </w:rPr>
      </w:pPr>
    </w:p>
    <w:p>
      <w:pPr>
        <w:pStyle w:val="BodyText"/>
        <w:spacing w:line="446" w:lineRule="auto" w:before="167"/>
        <w:ind w:left="418" w:right="1505" w:firstLine="419"/>
      </w:pPr>
      <w:r>
        <w:rPr>
          <w:spacing w:val="-22"/>
        </w:rPr>
        <w:t>每 </w:t>
      </w:r>
      <w:r>
        <w:rPr/>
        <w:t>2～4</w:t>
      </w:r>
      <w:r>
        <w:rPr>
          <w:spacing w:val="-12"/>
        </w:rPr>
        <w:t> 间手术室宜单独设立 </w:t>
      </w:r>
      <w:r>
        <w:rPr/>
        <w:t>1</w:t>
      </w:r>
      <w:r>
        <w:rPr>
          <w:spacing w:val="-8"/>
        </w:rPr>
        <w:t> 间刷手间，可设于清洁区走廊内。刷手间不应设门。洁净手</w:t>
      </w:r>
      <w:r>
        <w:rPr>
          <w:spacing w:val="-7"/>
        </w:rPr>
        <w:t>术室的刷手间不得和普通手术室共用。每间手术室不得少于 </w:t>
      </w:r>
      <w:r>
        <w:rPr/>
        <w:t>2</w:t>
      </w:r>
      <w:r>
        <w:rPr>
          <w:spacing w:val="-8"/>
        </w:rPr>
        <w:t> 个洗手水龙头，并应采用非手动</w:t>
      </w:r>
      <w:r>
        <w:rPr>
          <w:spacing w:val="-7"/>
        </w:rPr>
        <w:t>开关。</w:t>
      </w:r>
      <w:r>
        <w:rPr/>
        <w:t> </w:t>
      </w:r>
    </w:p>
    <w:p>
      <w:pPr>
        <w:pStyle w:val="ListParagraph"/>
        <w:numPr>
          <w:ilvl w:val="2"/>
          <w:numId w:val="808"/>
        </w:numPr>
        <w:tabs>
          <w:tab w:pos="1371" w:val="left" w:leader="none"/>
        </w:tabs>
        <w:spacing w:line="446" w:lineRule="auto" w:before="0" w:after="0"/>
        <w:ind w:left="418" w:right="1551" w:firstLine="422"/>
        <w:jc w:val="both"/>
        <w:rPr>
          <w:sz w:val="21"/>
        </w:rPr>
      </w:pPr>
      <w:r>
        <w:rPr>
          <w:spacing w:val="-5"/>
          <w:sz w:val="21"/>
        </w:rPr>
        <w:t>推床通过的手术室门，净宽不宜小于 </w:t>
      </w:r>
      <w:r>
        <w:rPr>
          <w:sz w:val="21"/>
        </w:rPr>
        <w:t>1.40m</w:t>
      </w:r>
      <w:r>
        <w:rPr>
          <w:spacing w:val="-3"/>
          <w:sz w:val="21"/>
        </w:rPr>
        <w:t>，且宜设置自动启闭装置。手术室可采用</w:t>
      </w:r>
      <w:r>
        <w:rPr>
          <w:spacing w:val="-4"/>
          <w:sz w:val="21"/>
        </w:rPr>
        <w:t>天然光源或人工照明，当采用天然光源时，窗洞口面积与地板面积之比不得大于 </w:t>
      </w:r>
      <w:r>
        <w:rPr>
          <w:sz w:val="21"/>
        </w:rPr>
        <w:t>1／7，并应采</w:t>
      </w:r>
      <w:r>
        <w:rPr>
          <w:spacing w:val="-3"/>
          <w:sz w:val="21"/>
        </w:rPr>
        <w:t>取遮阳措施。</w:t>
      </w:r>
      <w:r>
        <w:rPr>
          <w:sz w:val="21"/>
        </w:rPr>
        <w:t> </w:t>
      </w:r>
    </w:p>
    <w:p>
      <w:pPr>
        <w:pStyle w:val="ListParagraph"/>
        <w:numPr>
          <w:ilvl w:val="2"/>
          <w:numId w:val="808"/>
        </w:numPr>
        <w:tabs>
          <w:tab w:pos="1370" w:val="left" w:leader="none"/>
        </w:tabs>
        <w:spacing w:line="268" w:lineRule="exact" w:before="0" w:after="0"/>
        <w:ind w:left="1369" w:right="0" w:hanging="530"/>
        <w:jc w:val="both"/>
        <w:rPr>
          <w:sz w:val="21"/>
        </w:rPr>
      </w:pPr>
      <w:r>
        <w:rPr>
          <w:spacing w:val="-3"/>
          <w:sz w:val="21"/>
        </w:rPr>
        <w:t>手术室内基本设施设置应符合下列规定： </w:t>
      </w:r>
      <w:r>
        <w:rPr>
          <w:spacing w:val="-2"/>
          <w:sz w:val="21"/>
        </w:rPr>
        <w:t> </w:t>
      </w:r>
      <w:r>
        <w:rPr>
          <w:w w:val="100"/>
          <w:sz w:val="21"/>
        </w:rPr>
        <w:t> </w:t>
      </w:r>
    </w:p>
    <w:p>
      <w:pPr>
        <w:pStyle w:val="BodyText"/>
        <w:spacing w:before="10"/>
        <w:rPr>
          <w:sz w:val="17"/>
        </w:rPr>
      </w:pPr>
    </w:p>
    <w:p>
      <w:pPr>
        <w:pStyle w:val="BodyText"/>
        <w:spacing w:before="1"/>
        <w:ind w:left="838"/>
        <w:jc w:val="both"/>
      </w:pPr>
      <w:r>
        <w:rPr/>
        <w:t>观片灯联数可按手术室大小类型配置，观片灯应设置在手术医生对面墙上；  </w:t>
      </w:r>
      <w:r>
        <w:rPr>
          <w:w w:val="100"/>
        </w:rPr>
        <w:t> </w:t>
      </w:r>
    </w:p>
    <w:p>
      <w:pPr>
        <w:pStyle w:val="BodyText"/>
        <w:spacing w:before="12"/>
        <w:rPr>
          <w:sz w:val="17"/>
        </w:rPr>
      </w:pPr>
    </w:p>
    <w:p>
      <w:pPr>
        <w:pStyle w:val="BodyText"/>
        <w:spacing w:line="446" w:lineRule="auto"/>
        <w:ind w:left="418" w:right="1609" w:firstLine="419"/>
        <w:jc w:val="both"/>
      </w:pPr>
      <w:r>
        <w:rPr>
          <w:spacing w:val="-3"/>
        </w:rPr>
        <w:t>手术台长向宜沿手术室长轴布置，台面中心点宜与手术室地面中心点相对应。患者头部不宜置于手术室门一侧； </w:t>
      </w:r>
      <w:r>
        <w:rPr>
          <w:spacing w:val="-2"/>
        </w:rPr>
        <w:t> </w:t>
      </w:r>
      <w:r>
        <w:rPr>
          <w:w w:val="100"/>
        </w:rPr>
        <w:t> </w:t>
      </w:r>
    </w:p>
    <w:p>
      <w:pPr>
        <w:pStyle w:val="BodyText"/>
        <w:spacing w:line="446" w:lineRule="auto"/>
        <w:ind w:left="838" w:right="7177"/>
        <w:jc w:val="both"/>
      </w:pPr>
      <w:r>
        <w:rPr>
          <w:spacing w:val="1"/>
        </w:rPr>
        <w:t>净高宜为  </w:t>
      </w:r>
      <w:r>
        <w:rPr/>
        <w:t>2.70～3.00m； </w:t>
      </w:r>
      <w:r>
        <w:rPr>
          <w:spacing w:val="-3"/>
        </w:rPr>
        <w:t>设置医用气体终端装置；  采取防静电措施； </w:t>
      </w:r>
      <w:r>
        <w:rPr>
          <w:spacing w:val="-2"/>
        </w:rPr>
        <w:t> </w:t>
      </w:r>
      <w:r>
        <w:rPr>
          <w:w w:val="100"/>
        </w:rPr>
        <w:t> </w:t>
      </w:r>
    </w:p>
    <w:p>
      <w:pPr>
        <w:pStyle w:val="BodyText"/>
        <w:spacing w:line="268" w:lineRule="exact"/>
        <w:ind w:left="838"/>
        <w:jc w:val="both"/>
      </w:pPr>
      <w:r>
        <w:rPr>
          <w:spacing w:val="-3"/>
        </w:rPr>
        <w:t>不应有明露管线； </w:t>
      </w:r>
      <w:r>
        <w:rPr>
          <w:spacing w:val="-2"/>
        </w:rPr>
        <w:t> </w:t>
      </w:r>
      <w:r>
        <w:rPr>
          <w:w w:val="100"/>
        </w:rPr>
        <w:t> </w:t>
      </w:r>
    </w:p>
    <w:p>
      <w:pPr>
        <w:spacing w:after="0" w:line="268" w:lineRule="exact"/>
        <w:jc w:val="both"/>
        <w:sectPr>
          <w:footerReference w:type="default" r:id="rId444"/>
          <w:pgSz w:w="11910" w:h="16850"/>
          <w:pgMar w:footer="1239" w:header="0" w:top="1220" w:bottom="1420" w:left="1260" w:right="0"/>
          <w:pgNumType w:start="1450"/>
        </w:sectPr>
      </w:pPr>
    </w:p>
    <w:p>
      <w:pPr>
        <w:pStyle w:val="BodyText"/>
        <w:spacing w:before="47"/>
        <w:ind w:left="838"/>
      </w:pPr>
      <w:r>
        <w:rPr/>
        <w:t>吊顶及吊挂件应采取固定措施，吊顶上不应开设人孔；  </w:t>
      </w:r>
      <w:r>
        <w:rPr>
          <w:w w:val="100"/>
        </w:rPr>
        <w:t> </w:t>
      </w:r>
    </w:p>
    <w:p>
      <w:pPr>
        <w:pStyle w:val="BodyText"/>
        <w:rPr>
          <w:sz w:val="18"/>
        </w:rPr>
      </w:pPr>
    </w:p>
    <w:p>
      <w:pPr>
        <w:spacing w:line="446" w:lineRule="auto" w:before="0"/>
        <w:ind w:left="840" w:right="7600" w:hanging="3"/>
        <w:jc w:val="left"/>
        <w:rPr>
          <w:b/>
          <w:sz w:val="21"/>
        </w:rPr>
      </w:pPr>
      <w:r>
        <w:rPr>
          <w:sz w:val="21"/>
        </w:rPr>
        <w:t>手术室内不应设地漏。</w:t>
      </w:r>
      <w:r>
        <w:rPr>
          <w:b/>
          <w:sz w:val="21"/>
        </w:rPr>
        <w:t>5.8 </w:t>
      </w:r>
      <w:r>
        <w:rPr>
          <w:sz w:val="21"/>
        </w:rPr>
        <w:t>放射科用房</w:t>
      </w:r>
      <w:r>
        <w:rPr>
          <w:b/>
          <w:w w:val="99"/>
          <w:sz w:val="21"/>
        </w:rPr>
        <w:t> </w:t>
      </w:r>
    </w:p>
    <w:p>
      <w:pPr>
        <w:pStyle w:val="ListParagraph"/>
        <w:numPr>
          <w:ilvl w:val="2"/>
          <w:numId w:val="809"/>
        </w:numPr>
        <w:tabs>
          <w:tab w:pos="1371" w:val="left" w:leader="none"/>
        </w:tabs>
        <w:spacing w:line="240" w:lineRule="auto" w:before="0" w:after="0"/>
        <w:ind w:left="1370" w:right="0" w:hanging="531"/>
        <w:jc w:val="left"/>
        <w:rPr>
          <w:sz w:val="21"/>
        </w:rPr>
      </w:pPr>
      <w:r>
        <w:rPr>
          <w:spacing w:val="-3"/>
          <w:sz w:val="21"/>
        </w:rPr>
        <w:t>放射科位置与平面布置应符合下列要求：</w:t>
      </w:r>
      <w:r>
        <w:rPr>
          <w:sz w:val="21"/>
        </w:rPr>
        <w:t> </w:t>
      </w:r>
    </w:p>
    <w:p>
      <w:pPr>
        <w:pStyle w:val="BodyText"/>
        <w:spacing w:before="12"/>
        <w:rPr>
          <w:sz w:val="17"/>
        </w:rPr>
      </w:pPr>
    </w:p>
    <w:p>
      <w:pPr>
        <w:pStyle w:val="BodyText"/>
        <w:spacing w:line="446" w:lineRule="auto"/>
        <w:ind w:left="838" w:right="1714"/>
        <w:rPr>
          <w:b/>
        </w:rPr>
      </w:pPr>
      <w:r>
        <w:rPr>
          <w:spacing w:val="-3"/>
        </w:rPr>
        <w:t>宜在底层设置，并应自成一区，且应与门、急诊部和住院部邻近布置，并有便捷联系； 有条件时，患者通道与医护工作人员通道应分开设置。</w:t>
      </w:r>
      <w:r>
        <w:rPr>
          <w:b/>
          <w:w w:val="99"/>
        </w:rPr>
        <w:t> </w:t>
      </w:r>
    </w:p>
    <w:p>
      <w:pPr>
        <w:pStyle w:val="ListParagraph"/>
        <w:numPr>
          <w:ilvl w:val="2"/>
          <w:numId w:val="809"/>
        </w:numPr>
        <w:tabs>
          <w:tab w:pos="1371" w:val="left" w:leader="none"/>
        </w:tabs>
        <w:spacing w:line="240" w:lineRule="auto" w:before="0" w:after="0"/>
        <w:ind w:left="1370" w:right="0" w:hanging="531"/>
        <w:jc w:val="left"/>
        <w:rPr>
          <w:b/>
          <w:sz w:val="21"/>
        </w:rPr>
      </w:pPr>
      <w:r>
        <w:rPr>
          <w:spacing w:val="-3"/>
          <w:sz w:val="21"/>
        </w:rPr>
        <w:t>用房设置应符合下列要求：</w:t>
      </w:r>
      <w:r>
        <w:rPr>
          <w:b/>
          <w:w w:val="99"/>
          <w:sz w:val="21"/>
        </w:rPr>
        <w:t> </w:t>
      </w:r>
    </w:p>
    <w:p>
      <w:pPr>
        <w:pStyle w:val="BodyText"/>
        <w:rPr>
          <w:b/>
          <w:sz w:val="18"/>
        </w:rPr>
      </w:pPr>
    </w:p>
    <w:p>
      <w:pPr>
        <w:pStyle w:val="BodyText"/>
        <w:spacing w:line="446" w:lineRule="auto"/>
        <w:ind w:left="418" w:right="1558" w:firstLine="419"/>
        <w:rPr>
          <w:b/>
        </w:rPr>
      </w:pPr>
      <w:r>
        <w:rPr>
          <w:spacing w:val="-3"/>
        </w:rPr>
        <w:t>应设放射设备机房(</w:t>
      </w:r>
      <w:r>
        <w:rPr/>
        <w:t>CT</w:t>
      </w:r>
      <w:r>
        <w:rPr>
          <w:spacing w:val="-6"/>
        </w:rPr>
        <w:t> 扫描室、透视室、摄片室)、控制、暗室、观片、登记存片和候诊等</w:t>
      </w:r>
      <w:r>
        <w:rPr>
          <w:spacing w:val="-5"/>
        </w:rPr>
        <w:t>用房；</w:t>
      </w:r>
      <w:r>
        <w:rPr>
          <w:b/>
          <w:w w:val="99"/>
        </w:rPr>
        <w:t> </w:t>
      </w:r>
    </w:p>
    <w:p>
      <w:pPr>
        <w:pStyle w:val="BodyText"/>
        <w:spacing w:line="446" w:lineRule="auto"/>
        <w:ind w:left="838" w:right="6129"/>
      </w:pPr>
      <w:r>
        <w:rPr>
          <w:spacing w:val="-3"/>
        </w:rPr>
        <w:t>可设诊室、办公、患者更衣等用房；  胃肠透视室应设调钡处和专用卫生间。</w:t>
      </w:r>
      <w:r>
        <w:rPr/>
        <w:t> </w:t>
      </w:r>
    </w:p>
    <w:p>
      <w:pPr>
        <w:pStyle w:val="ListParagraph"/>
        <w:numPr>
          <w:ilvl w:val="2"/>
          <w:numId w:val="809"/>
        </w:numPr>
        <w:tabs>
          <w:tab w:pos="1371" w:val="left" w:leader="none"/>
        </w:tabs>
        <w:spacing w:line="446" w:lineRule="auto" w:before="0" w:after="0"/>
        <w:ind w:left="418" w:right="1498" w:firstLine="422"/>
        <w:jc w:val="left"/>
        <w:rPr>
          <w:sz w:val="21"/>
        </w:rPr>
      </w:pPr>
      <w:r>
        <w:rPr>
          <w:spacing w:val="-3"/>
          <w:sz w:val="21"/>
        </w:rPr>
        <w:t>机房内地沟深度、地面标高、层高、出入口、室内环境、机电设施等，应根据医疗设备的安装使用要求确定。 </w:t>
      </w:r>
    </w:p>
    <w:p>
      <w:pPr>
        <w:pStyle w:val="ListParagraph"/>
        <w:numPr>
          <w:ilvl w:val="2"/>
          <w:numId w:val="809"/>
        </w:numPr>
        <w:tabs>
          <w:tab w:pos="1370" w:val="left" w:leader="none"/>
        </w:tabs>
        <w:spacing w:line="240" w:lineRule="auto" w:before="0" w:after="0"/>
        <w:ind w:left="1369" w:right="0" w:hanging="530"/>
        <w:jc w:val="left"/>
        <w:rPr>
          <w:sz w:val="21"/>
        </w:rPr>
      </w:pPr>
      <w:r>
        <w:rPr>
          <w:spacing w:val="-8"/>
          <w:sz w:val="21"/>
        </w:rPr>
        <w:t>照相室最小净尺寸宜为 </w:t>
      </w:r>
      <w:r>
        <w:rPr>
          <w:sz w:val="21"/>
        </w:rPr>
        <w:t>4.50m×5.40m</w:t>
      </w:r>
      <w:r>
        <w:rPr>
          <w:spacing w:val="-8"/>
          <w:sz w:val="21"/>
        </w:rPr>
        <w:t>，透视室最小净尺寸宜为 </w:t>
      </w:r>
      <w:r>
        <w:rPr>
          <w:sz w:val="21"/>
        </w:rPr>
        <w:t>6.00m×6.00m</w:t>
      </w:r>
      <w:r>
        <w:rPr>
          <w:spacing w:val="-3"/>
          <w:sz w:val="21"/>
        </w:rPr>
        <w:t>。</w:t>
      </w:r>
      <w:r>
        <w:rPr>
          <w:sz w:val="21"/>
        </w:rPr>
        <w:t> </w:t>
      </w:r>
    </w:p>
    <w:p>
      <w:pPr>
        <w:pStyle w:val="BodyText"/>
        <w:spacing w:before="10"/>
        <w:rPr>
          <w:sz w:val="17"/>
        </w:rPr>
      </w:pPr>
    </w:p>
    <w:p>
      <w:pPr>
        <w:pStyle w:val="ListParagraph"/>
        <w:numPr>
          <w:ilvl w:val="2"/>
          <w:numId w:val="809"/>
        </w:numPr>
        <w:tabs>
          <w:tab w:pos="1371" w:val="left" w:leader="none"/>
        </w:tabs>
        <w:spacing w:line="446" w:lineRule="auto" w:before="0" w:after="0"/>
        <w:ind w:left="418" w:right="1813" w:firstLine="422"/>
        <w:jc w:val="left"/>
        <w:rPr>
          <w:sz w:val="21"/>
        </w:rPr>
      </w:pPr>
      <w:r>
        <w:rPr>
          <w:spacing w:val="-7"/>
          <w:sz w:val="21"/>
        </w:rPr>
        <w:t>放射设备机房门的净宽不应小于 </w:t>
      </w:r>
      <w:r>
        <w:rPr>
          <w:sz w:val="21"/>
        </w:rPr>
        <w:t>1.20m</w:t>
      </w:r>
      <w:r>
        <w:rPr>
          <w:spacing w:val="-9"/>
          <w:sz w:val="21"/>
        </w:rPr>
        <w:t>，净高不应小于 </w:t>
      </w:r>
      <w:r>
        <w:rPr>
          <w:sz w:val="21"/>
        </w:rPr>
        <w:t>2.80m</w:t>
      </w:r>
      <w:r>
        <w:rPr>
          <w:spacing w:val="-2"/>
          <w:sz w:val="21"/>
        </w:rPr>
        <w:t>，计算机断层扫描(CT</w:t>
      </w:r>
      <w:r>
        <w:rPr>
          <w:spacing w:val="-8"/>
          <w:sz w:val="21"/>
        </w:rPr>
        <w:t>)室的门净宽不应小于 </w:t>
      </w:r>
      <w:r>
        <w:rPr>
          <w:sz w:val="21"/>
        </w:rPr>
        <w:t>1.20m</w:t>
      </w:r>
      <w:r>
        <w:rPr>
          <w:spacing w:val="-8"/>
          <w:sz w:val="21"/>
        </w:rPr>
        <w:t>，控制室门净宽宜为 </w:t>
      </w:r>
      <w:r>
        <w:rPr>
          <w:sz w:val="21"/>
        </w:rPr>
        <w:t>0.90m</w:t>
      </w:r>
      <w:r>
        <w:rPr>
          <w:spacing w:val="-3"/>
          <w:sz w:val="21"/>
        </w:rPr>
        <w:t>。</w:t>
      </w:r>
      <w:r>
        <w:rPr>
          <w:sz w:val="21"/>
        </w:rPr>
        <w:t> </w:t>
      </w:r>
    </w:p>
    <w:p>
      <w:pPr>
        <w:pStyle w:val="ListParagraph"/>
        <w:numPr>
          <w:ilvl w:val="2"/>
          <w:numId w:val="809"/>
        </w:numPr>
        <w:tabs>
          <w:tab w:pos="1370" w:val="left" w:leader="none"/>
        </w:tabs>
        <w:spacing w:line="446" w:lineRule="auto" w:before="0" w:after="0"/>
        <w:ind w:left="418" w:right="1500" w:firstLine="422"/>
        <w:jc w:val="left"/>
        <w:rPr>
          <w:sz w:val="21"/>
        </w:rPr>
      </w:pPr>
      <w:r>
        <w:rPr>
          <w:spacing w:val="-12"/>
          <w:sz w:val="21"/>
        </w:rPr>
        <w:t>透视室与 </w:t>
      </w:r>
      <w:r>
        <w:rPr>
          <w:sz w:val="21"/>
        </w:rPr>
        <w:t>CT</w:t>
      </w:r>
      <w:r>
        <w:rPr>
          <w:spacing w:val="-11"/>
          <w:sz w:val="21"/>
        </w:rPr>
        <w:t> 室的观察窗净宽不应小于 </w:t>
      </w:r>
      <w:r>
        <w:rPr>
          <w:sz w:val="21"/>
        </w:rPr>
        <w:t>0.80m</w:t>
      </w:r>
      <w:r>
        <w:rPr>
          <w:spacing w:val="-9"/>
          <w:sz w:val="21"/>
        </w:rPr>
        <w:t>，净高不应小于 </w:t>
      </w:r>
      <w:r>
        <w:rPr>
          <w:sz w:val="21"/>
        </w:rPr>
        <w:t>0.60m</w:t>
      </w:r>
      <w:r>
        <w:rPr>
          <w:spacing w:val="-3"/>
          <w:sz w:val="21"/>
        </w:rPr>
        <w:t>。照相室观察窗的</w:t>
      </w:r>
      <w:r>
        <w:rPr>
          <w:spacing w:val="-11"/>
          <w:sz w:val="21"/>
        </w:rPr>
        <w:t>净宽不应小于 </w:t>
      </w:r>
      <w:r>
        <w:rPr>
          <w:sz w:val="21"/>
        </w:rPr>
        <w:t>0.60m</w:t>
      </w:r>
      <w:r>
        <w:rPr>
          <w:spacing w:val="-9"/>
          <w:sz w:val="21"/>
        </w:rPr>
        <w:t>，净高不应小于 </w:t>
      </w:r>
      <w:r>
        <w:rPr>
          <w:sz w:val="21"/>
        </w:rPr>
        <w:t>0.40m</w:t>
      </w:r>
      <w:r>
        <w:rPr>
          <w:spacing w:val="-3"/>
          <w:sz w:val="21"/>
        </w:rPr>
        <w:t>。</w:t>
      </w:r>
      <w:r>
        <w:rPr>
          <w:sz w:val="21"/>
        </w:rPr>
        <w:t> </w:t>
      </w:r>
    </w:p>
    <w:p>
      <w:pPr>
        <w:pStyle w:val="ListParagraph"/>
        <w:numPr>
          <w:ilvl w:val="2"/>
          <w:numId w:val="809"/>
        </w:numPr>
        <w:tabs>
          <w:tab w:pos="1370" w:val="left" w:leader="none"/>
        </w:tabs>
        <w:spacing w:line="240" w:lineRule="auto" w:before="0" w:after="0"/>
        <w:ind w:left="1369" w:right="0" w:hanging="530"/>
        <w:jc w:val="left"/>
        <w:rPr>
          <w:sz w:val="21"/>
        </w:rPr>
      </w:pPr>
      <w:r>
        <w:rPr>
          <w:spacing w:val="-7"/>
          <w:sz w:val="21"/>
        </w:rPr>
        <w:t>防护设计应符合国家现行有关医用 </w:t>
      </w:r>
      <w:r>
        <w:rPr>
          <w:sz w:val="21"/>
        </w:rPr>
        <w:t>X</w:t>
      </w:r>
      <w:r>
        <w:rPr>
          <w:spacing w:val="-8"/>
          <w:sz w:val="21"/>
        </w:rPr>
        <w:t> 射线诊断卫生防护标准的规定。 </w:t>
      </w:r>
    </w:p>
    <w:p>
      <w:pPr>
        <w:pStyle w:val="BodyText"/>
        <w:rPr>
          <w:sz w:val="18"/>
        </w:rPr>
      </w:pPr>
    </w:p>
    <w:p>
      <w:pPr>
        <w:pStyle w:val="ListParagraph"/>
        <w:numPr>
          <w:ilvl w:val="1"/>
          <w:numId w:val="810"/>
        </w:numPr>
        <w:tabs>
          <w:tab w:pos="1159" w:val="left" w:leader="none"/>
        </w:tabs>
        <w:spacing w:line="240" w:lineRule="auto" w:before="0" w:after="0"/>
        <w:ind w:left="1158" w:right="0" w:hanging="319"/>
        <w:jc w:val="left"/>
        <w:rPr>
          <w:b/>
          <w:sz w:val="21"/>
        </w:rPr>
      </w:pPr>
      <w:r>
        <w:rPr>
          <w:spacing w:val="-3"/>
          <w:sz w:val="21"/>
        </w:rPr>
        <w:t>磁共振检查室用房</w:t>
      </w:r>
      <w:r>
        <w:rPr>
          <w:b/>
          <w:w w:val="99"/>
          <w:sz w:val="21"/>
        </w:rPr>
        <w:t> </w:t>
      </w:r>
    </w:p>
    <w:p>
      <w:pPr>
        <w:pStyle w:val="BodyText"/>
        <w:rPr>
          <w:b/>
          <w:sz w:val="18"/>
        </w:rPr>
      </w:pPr>
    </w:p>
    <w:p>
      <w:pPr>
        <w:pStyle w:val="ListParagraph"/>
        <w:numPr>
          <w:ilvl w:val="2"/>
          <w:numId w:val="810"/>
        </w:numPr>
        <w:tabs>
          <w:tab w:pos="1371" w:val="left" w:leader="none"/>
        </w:tabs>
        <w:spacing w:line="240" w:lineRule="auto" w:before="0" w:after="0"/>
        <w:ind w:left="1370" w:right="0" w:hanging="531"/>
        <w:jc w:val="left"/>
        <w:rPr>
          <w:sz w:val="21"/>
        </w:rPr>
      </w:pPr>
      <w:r>
        <w:rPr>
          <w:spacing w:val="-3"/>
          <w:sz w:val="21"/>
        </w:rPr>
        <w:t>磁共振检查室位置设置应符合下列要求： </w:t>
      </w:r>
      <w:r>
        <w:rPr>
          <w:spacing w:val="-2"/>
          <w:sz w:val="21"/>
        </w:rPr>
        <w:t> </w:t>
      </w:r>
      <w:r>
        <w:rPr>
          <w:w w:val="100"/>
          <w:sz w:val="21"/>
        </w:rPr>
        <w:t> </w:t>
      </w:r>
    </w:p>
    <w:p>
      <w:pPr>
        <w:pStyle w:val="BodyText"/>
        <w:spacing w:before="2"/>
        <w:rPr>
          <w:sz w:val="18"/>
        </w:rPr>
      </w:pPr>
    </w:p>
    <w:p>
      <w:pPr>
        <w:pStyle w:val="BodyText"/>
        <w:spacing w:line="446" w:lineRule="auto"/>
        <w:ind w:left="418" w:right="2029" w:firstLine="419"/>
        <w:rPr>
          <w:b/>
        </w:rPr>
      </w:pPr>
      <w:r>
        <w:rPr/>
        <w:t>宜自成一区或与放射科组成一区，宜与门诊部、急诊部、住院部邻近，并应设置在底层；  </w:t>
      </w:r>
      <w:r>
        <w:rPr>
          <w:b/>
          <w:w w:val="99"/>
        </w:rPr>
        <w:t> </w:t>
      </w:r>
    </w:p>
    <w:p>
      <w:pPr>
        <w:pStyle w:val="BodyText"/>
        <w:spacing w:line="446" w:lineRule="auto"/>
        <w:ind w:left="840" w:right="6227" w:hanging="3"/>
      </w:pPr>
      <w:r>
        <w:rPr/>
        <w:t>应避开电磁波和移动磁场的干扰。</w:t>
      </w:r>
      <w:r>
        <w:rPr>
          <w:b/>
        </w:rPr>
        <w:t>5.9.2 </w:t>
      </w:r>
      <w:r>
        <w:rPr/>
        <w:t>用房设置应符合下列要求：  </w:t>
      </w:r>
      <w:r>
        <w:rPr>
          <w:w w:val="100"/>
        </w:rPr>
        <w:t> </w:t>
      </w:r>
    </w:p>
    <w:p>
      <w:pPr>
        <w:pStyle w:val="BodyText"/>
        <w:ind w:left="838"/>
        <w:rPr>
          <w:b/>
        </w:rPr>
      </w:pPr>
      <w:r>
        <w:rPr/>
        <w:t>应设扫描、控制、附属机房(计算机、配电、空调机)等用房；  </w:t>
      </w:r>
      <w:r>
        <w:rPr>
          <w:b/>
          <w:w w:val="99"/>
        </w:rPr>
        <w:t> </w:t>
      </w:r>
    </w:p>
    <w:p>
      <w:pPr>
        <w:pStyle w:val="BodyText"/>
        <w:spacing w:before="10"/>
        <w:rPr>
          <w:b/>
          <w:sz w:val="17"/>
        </w:rPr>
      </w:pPr>
    </w:p>
    <w:p>
      <w:pPr>
        <w:pStyle w:val="BodyText"/>
        <w:ind w:left="838"/>
        <w:rPr>
          <w:b/>
        </w:rPr>
      </w:pPr>
      <w:r>
        <w:rPr/>
        <w:t>可设诊室、办公和患者更衣等用房。  </w:t>
      </w:r>
      <w:r>
        <w:rPr>
          <w:b/>
          <w:w w:val="99"/>
        </w:rPr>
        <w:t> </w:t>
      </w:r>
    </w:p>
    <w:p>
      <w:pPr>
        <w:pStyle w:val="BodyText"/>
        <w:spacing w:before="2"/>
        <w:rPr>
          <w:b/>
          <w:sz w:val="18"/>
        </w:rPr>
      </w:pPr>
    </w:p>
    <w:p>
      <w:pPr>
        <w:pStyle w:val="ListParagraph"/>
        <w:numPr>
          <w:ilvl w:val="2"/>
          <w:numId w:val="811"/>
        </w:numPr>
        <w:tabs>
          <w:tab w:pos="1371" w:val="left" w:leader="none"/>
        </w:tabs>
        <w:spacing w:line="240" w:lineRule="auto" w:before="0" w:after="0"/>
        <w:ind w:left="1370" w:right="0" w:hanging="531"/>
        <w:jc w:val="left"/>
        <w:rPr>
          <w:sz w:val="21"/>
        </w:rPr>
      </w:pPr>
      <w:r>
        <w:rPr>
          <w:spacing w:val="-3"/>
          <w:sz w:val="21"/>
        </w:rPr>
        <w:t>扫描室应设电磁屏蔽、氦气排放和冷却水供应设施。机电管道不应穿越扫描室。 </w:t>
      </w:r>
      <w:r>
        <w:rPr>
          <w:spacing w:val="-2"/>
          <w:sz w:val="21"/>
        </w:rPr>
        <w:t> </w:t>
      </w:r>
      <w:r>
        <w:rPr>
          <w:w w:val="100"/>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11"/>
        </w:numPr>
        <w:tabs>
          <w:tab w:pos="1370" w:val="left" w:leader="none"/>
        </w:tabs>
        <w:spacing w:line="446" w:lineRule="auto" w:before="47" w:after="0"/>
        <w:ind w:left="418" w:right="1813" w:firstLine="422"/>
        <w:jc w:val="left"/>
        <w:rPr>
          <w:sz w:val="21"/>
        </w:rPr>
      </w:pPr>
      <w:r>
        <w:rPr>
          <w:spacing w:val="-7"/>
          <w:sz w:val="21"/>
        </w:rPr>
        <w:t>扫描室门的净宽不应小于 </w:t>
      </w:r>
      <w:r>
        <w:rPr>
          <w:sz w:val="21"/>
        </w:rPr>
        <w:t>1.20m</w:t>
      </w:r>
      <w:r>
        <w:rPr>
          <w:spacing w:val="-7"/>
          <w:sz w:val="21"/>
        </w:rPr>
        <w:t>，控制室门的净宽宜为 </w:t>
      </w:r>
      <w:r>
        <w:rPr>
          <w:sz w:val="21"/>
        </w:rPr>
        <w:t>0.90m</w:t>
      </w:r>
      <w:r>
        <w:rPr>
          <w:spacing w:val="-2"/>
          <w:sz w:val="21"/>
        </w:rPr>
        <w:t>，并应满足设备通过</w:t>
      </w:r>
      <w:r>
        <w:rPr>
          <w:spacing w:val="-6"/>
          <w:sz w:val="21"/>
        </w:rPr>
        <w:t>。磁共振扫描室的观察窗净宽不应小于 </w:t>
      </w:r>
      <w:r>
        <w:rPr>
          <w:sz w:val="21"/>
        </w:rPr>
        <w:t>1.20m</w:t>
      </w:r>
      <w:r>
        <w:rPr>
          <w:spacing w:val="-9"/>
          <w:sz w:val="21"/>
        </w:rPr>
        <w:t>，净高不应小于 </w:t>
      </w:r>
      <w:r>
        <w:rPr>
          <w:sz w:val="21"/>
        </w:rPr>
        <w:t>0.80m。 </w:t>
      </w:r>
      <w:r>
        <w:rPr>
          <w:spacing w:val="-2"/>
          <w:sz w:val="21"/>
        </w:rPr>
        <w:t> </w:t>
      </w:r>
      <w:r>
        <w:rPr>
          <w:w w:val="100"/>
          <w:sz w:val="21"/>
        </w:rPr>
        <w:t> </w:t>
      </w:r>
    </w:p>
    <w:p>
      <w:pPr>
        <w:pStyle w:val="ListParagraph"/>
        <w:numPr>
          <w:ilvl w:val="2"/>
          <w:numId w:val="811"/>
        </w:numPr>
        <w:tabs>
          <w:tab w:pos="1370" w:val="left" w:leader="none"/>
        </w:tabs>
        <w:spacing w:line="446" w:lineRule="auto" w:before="0" w:after="0"/>
        <w:ind w:left="418" w:right="1498" w:firstLine="422"/>
        <w:jc w:val="left"/>
        <w:rPr>
          <w:sz w:val="21"/>
        </w:rPr>
      </w:pPr>
      <w:r>
        <w:rPr>
          <w:spacing w:val="-3"/>
          <w:sz w:val="21"/>
        </w:rPr>
        <w:t>磁共振诊断室的墙身、楼地面、门窗、洞口、嵌入体等所采用的材料、构造均应按设备要求和屏蔽专门规定采取屏蔽措施。机房选址后，确定屏蔽措施前，应测定自然场强。</w:t>
      </w:r>
      <w:r>
        <w:rPr>
          <w:sz w:val="21"/>
        </w:rPr>
        <w:t> </w:t>
      </w:r>
    </w:p>
    <w:p>
      <w:pPr>
        <w:pStyle w:val="ListParagraph"/>
        <w:numPr>
          <w:ilvl w:val="1"/>
          <w:numId w:val="810"/>
        </w:numPr>
        <w:tabs>
          <w:tab w:pos="1264" w:val="left" w:leader="none"/>
        </w:tabs>
        <w:spacing w:line="240" w:lineRule="auto" w:before="0" w:after="0"/>
        <w:ind w:left="1263" w:right="0" w:hanging="424"/>
        <w:jc w:val="left"/>
        <w:rPr>
          <w:b/>
          <w:sz w:val="21"/>
        </w:rPr>
      </w:pPr>
      <w:r>
        <w:rPr>
          <w:spacing w:val="-3"/>
          <w:sz w:val="21"/>
        </w:rPr>
        <w:t>放射治疗科用房</w:t>
      </w:r>
      <w:r>
        <w:rPr>
          <w:b/>
          <w:w w:val="99"/>
          <w:sz w:val="21"/>
        </w:rPr>
        <w:t> </w:t>
      </w:r>
    </w:p>
    <w:p>
      <w:pPr>
        <w:pStyle w:val="BodyText"/>
        <w:spacing w:before="10"/>
        <w:rPr>
          <w:b/>
          <w:sz w:val="17"/>
        </w:rPr>
      </w:pPr>
    </w:p>
    <w:p>
      <w:pPr>
        <w:pStyle w:val="ListParagraph"/>
        <w:numPr>
          <w:ilvl w:val="2"/>
          <w:numId w:val="810"/>
        </w:numPr>
        <w:tabs>
          <w:tab w:pos="1478" w:val="left" w:leader="none"/>
        </w:tabs>
        <w:spacing w:line="446" w:lineRule="auto" w:before="0" w:after="0"/>
        <w:ind w:left="418" w:right="1601" w:firstLine="422"/>
        <w:jc w:val="left"/>
        <w:rPr>
          <w:sz w:val="21"/>
        </w:rPr>
      </w:pPr>
      <w:r>
        <w:rPr>
          <w:spacing w:val="-3"/>
          <w:sz w:val="21"/>
        </w:rPr>
        <w:t>放射治疗用房宜设在底层、自成一区，并应符合国家现行有关防护标准的规定，其中治疗机房应集中设置。 </w:t>
      </w:r>
    </w:p>
    <w:p>
      <w:pPr>
        <w:pStyle w:val="ListParagraph"/>
        <w:numPr>
          <w:ilvl w:val="2"/>
          <w:numId w:val="810"/>
        </w:numPr>
        <w:tabs>
          <w:tab w:pos="1478" w:val="left" w:leader="none"/>
        </w:tabs>
        <w:spacing w:line="240" w:lineRule="auto" w:before="1" w:after="0"/>
        <w:ind w:left="1477" w:right="0" w:hanging="638"/>
        <w:jc w:val="left"/>
        <w:rPr>
          <w:sz w:val="21"/>
        </w:rPr>
      </w:pPr>
      <w:r>
        <w:rPr>
          <w:spacing w:val="-3"/>
          <w:sz w:val="21"/>
        </w:rPr>
        <w:t>用房设置应符合下列要求：</w:t>
      </w:r>
      <w:r>
        <w:rPr>
          <w:sz w:val="21"/>
        </w:rPr>
        <w:t> </w:t>
      </w:r>
    </w:p>
    <w:p>
      <w:pPr>
        <w:pStyle w:val="BodyText"/>
        <w:spacing w:before="12"/>
        <w:rPr>
          <w:sz w:val="17"/>
        </w:rPr>
      </w:pPr>
    </w:p>
    <w:p>
      <w:pPr>
        <w:pStyle w:val="BodyText"/>
        <w:spacing w:line="446" w:lineRule="auto"/>
        <w:ind w:left="418" w:right="1561" w:firstLine="419"/>
      </w:pPr>
      <w:r>
        <w:rPr>
          <w:spacing w:val="-6"/>
        </w:rPr>
        <w:t>应设治疗机房(后装机、钴 </w:t>
      </w:r>
      <w:r>
        <w:rPr/>
        <w:t>60</w:t>
      </w:r>
      <w:r>
        <w:rPr>
          <w:spacing w:val="-3"/>
        </w:rPr>
        <w:t>、直线加速器、γ</w:t>
      </w:r>
      <w:r>
        <w:rPr>
          <w:spacing w:val="-11"/>
        </w:rPr>
        <w:t>刀、深部 </w:t>
      </w:r>
      <w:r>
        <w:rPr/>
        <w:t>X</w:t>
      </w:r>
      <w:r>
        <w:rPr>
          <w:spacing w:val="-9"/>
        </w:rPr>
        <w:t> 线治疗等)、控制、治疗计划系</w:t>
      </w:r>
      <w:r>
        <w:rPr>
          <w:spacing w:val="-5"/>
        </w:rPr>
        <w:t>统、模拟定位、物理计划、模具间、候诊、护理、诊室、医生办公、卫生间、更衣(医患分开 </w:t>
      </w:r>
      <w:r>
        <w:rPr>
          <w:spacing w:val="-4"/>
        </w:rPr>
        <w:t>设)、污洗和固体废弃物存放等用房；</w:t>
      </w:r>
      <w:r>
        <w:rPr/>
        <w:t> </w:t>
      </w:r>
    </w:p>
    <w:p>
      <w:pPr>
        <w:pStyle w:val="BodyText"/>
        <w:spacing w:line="268" w:lineRule="exact"/>
        <w:ind w:left="838"/>
      </w:pPr>
      <w:r>
        <w:rPr/>
        <w:t>可设会诊和值班等用房。 </w:t>
      </w:r>
    </w:p>
    <w:p>
      <w:pPr>
        <w:pStyle w:val="BodyText"/>
        <w:spacing w:before="2"/>
        <w:rPr>
          <w:sz w:val="18"/>
        </w:rPr>
      </w:pPr>
    </w:p>
    <w:p>
      <w:pPr>
        <w:pStyle w:val="ListParagraph"/>
        <w:numPr>
          <w:ilvl w:val="2"/>
          <w:numId w:val="810"/>
        </w:numPr>
        <w:tabs>
          <w:tab w:pos="1478" w:val="left" w:leader="none"/>
        </w:tabs>
        <w:spacing w:line="240" w:lineRule="auto" w:before="0" w:after="0"/>
        <w:ind w:left="1477" w:right="0" w:hanging="638"/>
        <w:jc w:val="left"/>
        <w:rPr>
          <w:sz w:val="21"/>
        </w:rPr>
      </w:pPr>
      <w:r>
        <w:rPr>
          <w:spacing w:val="-8"/>
          <w:sz w:val="21"/>
        </w:rPr>
        <w:t>治疗室内噪声不应超过 </w:t>
      </w:r>
      <w:r>
        <w:rPr>
          <w:sz w:val="21"/>
        </w:rPr>
        <w:t>50dB(A</w:t>
      </w:r>
      <w:r>
        <w:rPr>
          <w:spacing w:val="-2"/>
          <w:sz w:val="21"/>
        </w:rPr>
        <w:t>)。</w:t>
      </w:r>
      <w:r>
        <w:rPr>
          <w:sz w:val="21"/>
        </w:rPr>
        <w:t> </w:t>
      </w:r>
    </w:p>
    <w:p>
      <w:pPr>
        <w:pStyle w:val="BodyText"/>
        <w:rPr>
          <w:sz w:val="18"/>
        </w:rPr>
      </w:pPr>
    </w:p>
    <w:p>
      <w:pPr>
        <w:pStyle w:val="ListParagraph"/>
        <w:numPr>
          <w:ilvl w:val="2"/>
          <w:numId w:val="810"/>
        </w:numPr>
        <w:tabs>
          <w:tab w:pos="1478" w:val="left" w:leader="none"/>
        </w:tabs>
        <w:spacing w:line="446" w:lineRule="auto" w:before="0" w:after="0"/>
        <w:ind w:left="418" w:right="1498" w:firstLine="422"/>
        <w:jc w:val="left"/>
        <w:rPr>
          <w:sz w:val="21"/>
        </w:rPr>
      </w:pPr>
      <w:r>
        <w:rPr>
          <w:spacing w:val="-17"/>
          <w:sz w:val="21"/>
        </w:rPr>
        <w:t>钴 </w:t>
      </w:r>
      <w:r>
        <w:rPr>
          <w:sz w:val="21"/>
        </w:rPr>
        <w:t>60</w:t>
      </w:r>
      <w:r>
        <w:rPr>
          <w:spacing w:val="-7"/>
          <w:sz w:val="21"/>
        </w:rPr>
        <w:t> 治疗室、加速器治疗室、</w:t>
      </w:r>
      <w:r>
        <w:rPr>
          <w:spacing w:val="-3"/>
          <w:sz w:val="21"/>
        </w:rPr>
        <w:t>γ刀治疗室及后装机治疗室的出入口应设迷路，且有用线束照射方向应尽可能避免照射在迷路墙上。防护门和迷路的净宽均应满足设备要求。</w:t>
      </w:r>
      <w:r>
        <w:rPr>
          <w:sz w:val="21"/>
        </w:rPr>
        <w:t> </w:t>
      </w:r>
    </w:p>
    <w:p>
      <w:pPr>
        <w:pStyle w:val="ListParagraph"/>
        <w:numPr>
          <w:ilvl w:val="2"/>
          <w:numId w:val="810"/>
        </w:numPr>
        <w:tabs>
          <w:tab w:pos="1478" w:val="left" w:leader="none"/>
        </w:tabs>
        <w:spacing w:line="446" w:lineRule="auto" w:before="0" w:after="0"/>
        <w:ind w:left="418" w:right="1601" w:firstLine="422"/>
        <w:jc w:val="left"/>
        <w:rPr>
          <w:sz w:val="21"/>
        </w:rPr>
      </w:pPr>
      <w:r>
        <w:rPr>
          <w:spacing w:val="-3"/>
          <w:sz w:val="21"/>
        </w:rPr>
        <w:t>防护应按国家现行有关后装</w:t>
      </w:r>
      <w:r>
        <w:rPr>
          <w:sz w:val="21"/>
        </w:rPr>
        <w:t>γ</w:t>
      </w:r>
      <w:r>
        <w:rPr>
          <w:spacing w:val="-3"/>
          <w:sz w:val="21"/>
        </w:rPr>
        <w:t>源近距离卫生防护标准、γ远距治疗室设计防护要求</w:t>
      </w:r>
      <w:r>
        <w:rPr>
          <w:spacing w:val="-6"/>
          <w:sz w:val="21"/>
        </w:rPr>
        <w:t>、医用电子加速器卫生防护标准、医用 </w:t>
      </w:r>
      <w:r>
        <w:rPr>
          <w:sz w:val="21"/>
        </w:rPr>
        <w:t>X</w:t>
      </w:r>
      <w:r>
        <w:rPr>
          <w:spacing w:val="-8"/>
          <w:sz w:val="21"/>
        </w:rPr>
        <w:t> 射线治疗卫生防护标准等的规定设计。 </w:t>
      </w:r>
    </w:p>
    <w:p>
      <w:pPr>
        <w:pStyle w:val="ListParagraph"/>
        <w:numPr>
          <w:ilvl w:val="1"/>
          <w:numId w:val="810"/>
        </w:numPr>
        <w:tabs>
          <w:tab w:pos="1264" w:val="left" w:leader="none"/>
        </w:tabs>
        <w:spacing w:line="267" w:lineRule="exact" w:before="0" w:after="0"/>
        <w:ind w:left="1263" w:right="0" w:hanging="424"/>
        <w:jc w:val="left"/>
        <w:rPr>
          <w:sz w:val="21"/>
        </w:rPr>
      </w:pPr>
      <w:r>
        <w:rPr>
          <w:spacing w:val="-3"/>
          <w:sz w:val="21"/>
        </w:rPr>
        <w:t>核医学科用房</w:t>
      </w:r>
      <w:r>
        <w:rPr>
          <w:sz w:val="21"/>
        </w:rPr>
        <w:t> </w:t>
      </w:r>
    </w:p>
    <w:p>
      <w:pPr>
        <w:pStyle w:val="BodyText"/>
        <w:spacing w:before="2"/>
        <w:rPr>
          <w:sz w:val="18"/>
        </w:rPr>
      </w:pPr>
    </w:p>
    <w:p>
      <w:pPr>
        <w:pStyle w:val="ListParagraph"/>
        <w:numPr>
          <w:ilvl w:val="2"/>
          <w:numId w:val="810"/>
        </w:numPr>
        <w:tabs>
          <w:tab w:pos="1478" w:val="left" w:leader="none"/>
        </w:tabs>
        <w:spacing w:line="240" w:lineRule="auto" w:before="0" w:after="0"/>
        <w:ind w:left="1477" w:right="0" w:hanging="638"/>
        <w:jc w:val="left"/>
        <w:rPr>
          <w:sz w:val="21"/>
        </w:rPr>
      </w:pPr>
      <w:r>
        <w:rPr>
          <w:spacing w:val="-3"/>
          <w:sz w:val="21"/>
        </w:rPr>
        <w:t>核医学科位置与平面布置应符合下列要求： </w:t>
      </w:r>
      <w:r>
        <w:rPr>
          <w:spacing w:val="-2"/>
          <w:sz w:val="21"/>
        </w:rPr>
        <w:t> </w:t>
      </w:r>
      <w:r>
        <w:rPr>
          <w:w w:val="100"/>
          <w:sz w:val="21"/>
        </w:rPr>
        <w:t> </w:t>
      </w:r>
    </w:p>
    <w:p>
      <w:pPr>
        <w:pStyle w:val="BodyText"/>
        <w:rPr>
          <w:sz w:val="18"/>
        </w:rPr>
      </w:pPr>
    </w:p>
    <w:p>
      <w:pPr>
        <w:pStyle w:val="BodyText"/>
        <w:ind w:left="838"/>
      </w:pPr>
      <w:r>
        <w:rPr/>
        <w:t>应自成一区，并应符合国家现行有关防护标准的规定。放射源应设单独出入口。  </w:t>
      </w:r>
      <w:r>
        <w:rPr>
          <w:w w:val="100"/>
        </w:rPr>
        <w:t> </w:t>
      </w:r>
    </w:p>
    <w:p>
      <w:pPr>
        <w:pStyle w:val="BodyText"/>
        <w:spacing w:before="12"/>
        <w:rPr>
          <w:sz w:val="17"/>
        </w:rPr>
      </w:pPr>
    </w:p>
    <w:p>
      <w:pPr>
        <w:pStyle w:val="BodyText"/>
        <w:ind w:left="838"/>
      </w:pPr>
      <w:r>
        <w:rPr/>
        <w:t>平面布置应按“控制区、监督区、非限制区”的顺序分区布置。  </w:t>
      </w:r>
      <w:r>
        <w:rPr>
          <w:w w:val="100"/>
        </w:rPr>
        <w:t> </w:t>
      </w:r>
    </w:p>
    <w:p>
      <w:pPr>
        <w:pStyle w:val="BodyText"/>
        <w:spacing w:before="2"/>
        <w:rPr>
          <w:sz w:val="18"/>
        </w:rPr>
      </w:pPr>
    </w:p>
    <w:p>
      <w:pPr>
        <w:pStyle w:val="BodyText"/>
        <w:ind w:left="838"/>
      </w:pPr>
      <w:r>
        <w:rPr/>
        <w:t>控制区应设于尽端，并应有贮运放射性物质及处理放射性废弃物的设施。  </w:t>
      </w:r>
      <w:r>
        <w:rPr>
          <w:w w:val="100"/>
        </w:rPr>
        <w:t> </w:t>
      </w:r>
    </w:p>
    <w:p>
      <w:pPr>
        <w:pStyle w:val="BodyText"/>
        <w:spacing w:before="12"/>
        <w:rPr>
          <w:sz w:val="17"/>
        </w:rPr>
      </w:pPr>
    </w:p>
    <w:p>
      <w:pPr>
        <w:pStyle w:val="BodyText"/>
        <w:spacing w:line="446" w:lineRule="auto" w:before="1"/>
        <w:ind w:left="840" w:right="4237" w:hanging="3"/>
      </w:pPr>
      <w:r>
        <w:rPr/>
        <w:t>非限制区进监督区和控制区的出入口处均应设卫生通过。</w:t>
      </w:r>
      <w:r>
        <w:rPr>
          <w:b/>
        </w:rPr>
        <w:t>5.11.2 </w:t>
      </w:r>
      <w:r>
        <w:rPr/>
        <w:t>用房设置应符合下列要求：  </w:t>
      </w:r>
      <w:r>
        <w:rPr>
          <w:w w:val="100"/>
        </w:rPr>
        <w:t> </w:t>
      </w:r>
    </w:p>
    <w:p>
      <w:pPr>
        <w:pStyle w:val="BodyText"/>
        <w:ind w:left="838"/>
      </w:pPr>
      <w:r>
        <w:rPr/>
        <w:t>非限制区应设候诊、诊室、医生办公和卫生间等用房；  </w:t>
      </w:r>
      <w:r>
        <w:rPr>
          <w:w w:val="100"/>
        </w:rPr>
        <w:t> </w:t>
      </w:r>
    </w:p>
    <w:p>
      <w:pPr>
        <w:pStyle w:val="BodyText"/>
        <w:spacing w:before="12"/>
        <w:rPr>
          <w:sz w:val="17"/>
        </w:rPr>
      </w:pPr>
    </w:p>
    <w:p>
      <w:pPr>
        <w:pStyle w:val="BodyText"/>
        <w:ind w:left="838"/>
      </w:pPr>
      <w:r>
        <w:rPr/>
        <w:t>监督区应设扫描、功能测定和运动负荷试验等用房，以及专用等候区和卫生间；  </w:t>
      </w:r>
      <w:r>
        <w:rPr>
          <w:w w:val="100"/>
        </w:rPr>
        <w:t> </w:t>
      </w:r>
    </w:p>
    <w:p>
      <w:pPr>
        <w:pStyle w:val="BodyText"/>
        <w:spacing w:before="12"/>
        <w:rPr>
          <w:sz w:val="17"/>
        </w:rPr>
      </w:pPr>
    </w:p>
    <w:p>
      <w:pPr>
        <w:pStyle w:val="BodyText"/>
        <w:spacing w:line="446" w:lineRule="auto"/>
        <w:ind w:left="418" w:right="2029" w:firstLine="419"/>
      </w:pPr>
      <w:r>
        <w:rPr/>
        <w:t>控制区应设计量、服药、注射、试剂配制、卫生通过、储源、分装、标记和洗涤等用房。  </w:t>
      </w:r>
      <w:r>
        <w:rPr>
          <w:w w:val="100"/>
        </w:rPr>
        <w:t> </w:t>
      </w:r>
    </w:p>
    <w:p>
      <w:pPr>
        <w:spacing w:after="0" w:line="446" w:lineRule="auto"/>
        <w:sectPr>
          <w:pgSz w:w="11910" w:h="16850"/>
          <w:pgMar w:header="0" w:footer="1239" w:top="1220" w:bottom="1420" w:left="1260" w:right="0"/>
        </w:sectPr>
      </w:pPr>
    </w:p>
    <w:p>
      <w:pPr>
        <w:pStyle w:val="ListParagraph"/>
        <w:numPr>
          <w:ilvl w:val="2"/>
          <w:numId w:val="812"/>
        </w:numPr>
        <w:tabs>
          <w:tab w:pos="1478" w:val="left" w:leader="none"/>
        </w:tabs>
        <w:spacing w:line="240" w:lineRule="auto" w:before="47" w:after="0"/>
        <w:ind w:left="1477" w:right="0" w:hanging="638"/>
        <w:jc w:val="left"/>
        <w:rPr>
          <w:sz w:val="21"/>
        </w:rPr>
      </w:pPr>
      <w:r>
        <w:rPr>
          <w:spacing w:val="-3"/>
          <w:sz w:val="21"/>
        </w:rPr>
        <w:t>核医学用房应按国家现行有关临床核医学卫生防护标准的规定设计。 </w:t>
      </w:r>
      <w:r>
        <w:rPr>
          <w:spacing w:val="-2"/>
          <w:sz w:val="21"/>
        </w:rPr>
        <w:t> </w:t>
      </w:r>
      <w:r>
        <w:rPr>
          <w:w w:val="100"/>
          <w:sz w:val="21"/>
        </w:rPr>
        <w:t> </w:t>
      </w:r>
    </w:p>
    <w:p>
      <w:pPr>
        <w:pStyle w:val="BodyText"/>
        <w:rPr>
          <w:sz w:val="18"/>
        </w:rPr>
      </w:pPr>
    </w:p>
    <w:p>
      <w:pPr>
        <w:pStyle w:val="ListParagraph"/>
        <w:numPr>
          <w:ilvl w:val="2"/>
          <w:numId w:val="812"/>
        </w:numPr>
        <w:tabs>
          <w:tab w:pos="1478" w:val="left" w:leader="none"/>
        </w:tabs>
        <w:spacing w:line="446" w:lineRule="auto" w:before="0" w:after="0"/>
        <w:ind w:left="418" w:right="1601" w:firstLine="422"/>
        <w:jc w:val="left"/>
        <w:rPr>
          <w:sz w:val="21"/>
        </w:rPr>
      </w:pPr>
      <w:r>
        <w:rPr>
          <w:spacing w:val="-3"/>
          <w:sz w:val="21"/>
        </w:rPr>
        <w:t>固体废弃物、废水应按国家现行有关医用放射性废弃物管理卫生防护标准的规定处理后排放。 </w:t>
      </w:r>
      <w:r>
        <w:rPr>
          <w:spacing w:val="-2"/>
          <w:sz w:val="21"/>
        </w:rPr>
        <w:t> </w:t>
      </w:r>
      <w:r>
        <w:rPr>
          <w:w w:val="100"/>
          <w:sz w:val="21"/>
        </w:rPr>
        <w:t> </w:t>
      </w:r>
    </w:p>
    <w:p>
      <w:pPr>
        <w:pStyle w:val="ListParagraph"/>
        <w:numPr>
          <w:ilvl w:val="2"/>
          <w:numId w:val="812"/>
        </w:numPr>
        <w:tabs>
          <w:tab w:pos="1478" w:val="left" w:leader="none"/>
        </w:tabs>
        <w:spacing w:line="240" w:lineRule="auto" w:before="0" w:after="0"/>
        <w:ind w:left="1477" w:right="0" w:hanging="638"/>
        <w:jc w:val="left"/>
        <w:rPr>
          <w:sz w:val="21"/>
        </w:rPr>
      </w:pPr>
      <w:r>
        <w:rPr>
          <w:spacing w:val="-3"/>
          <w:sz w:val="21"/>
        </w:rPr>
        <w:t>防护应按国家现行有关临床核医学卫生防护标准的规定设计。</w:t>
      </w:r>
      <w:r>
        <w:rPr>
          <w:sz w:val="21"/>
        </w:rPr>
        <w:t> </w:t>
      </w:r>
    </w:p>
    <w:p>
      <w:pPr>
        <w:pStyle w:val="BodyText"/>
        <w:spacing w:before="12"/>
        <w:rPr>
          <w:sz w:val="17"/>
        </w:rPr>
      </w:pPr>
    </w:p>
    <w:p>
      <w:pPr>
        <w:pStyle w:val="ListParagraph"/>
        <w:numPr>
          <w:ilvl w:val="1"/>
          <w:numId w:val="810"/>
        </w:numPr>
        <w:tabs>
          <w:tab w:pos="1264" w:val="left" w:leader="none"/>
        </w:tabs>
        <w:spacing w:line="240" w:lineRule="auto" w:before="0" w:after="0"/>
        <w:ind w:left="1263" w:right="0" w:hanging="424"/>
        <w:jc w:val="left"/>
        <w:rPr>
          <w:sz w:val="21"/>
        </w:rPr>
      </w:pPr>
      <w:r>
        <w:rPr>
          <w:spacing w:val="-3"/>
          <w:sz w:val="21"/>
        </w:rPr>
        <w:t>介入治疗用房</w:t>
      </w:r>
      <w:r>
        <w:rPr>
          <w:sz w:val="21"/>
        </w:rPr>
        <w:t> </w:t>
      </w:r>
    </w:p>
    <w:p>
      <w:pPr>
        <w:pStyle w:val="BodyText"/>
        <w:rPr>
          <w:sz w:val="18"/>
        </w:rPr>
      </w:pPr>
    </w:p>
    <w:p>
      <w:pPr>
        <w:pStyle w:val="ListParagraph"/>
        <w:numPr>
          <w:ilvl w:val="2"/>
          <w:numId w:val="810"/>
        </w:numPr>
        <w:tabs>
          <w:tab w:pos="1478" w:val="left" w:leader="none"/>
        </w:tabs>
        <w:spacing w:line="240" w:lineRule="auto" w:before="0" w:after="0"/>
        <w:ind w:left="1477" w:right="0" w:hanging="638"/>
        <w:jc w:val="left"/>
        <w:rPr>
          <w:sz w:val="21"/>
        </w:rPr>
      </w:pPr>
      <w:r>
        <w:rPr>
          <w:spacing w:val="-3"/>
          <w:sz w:val="21"/>
        </w:rPr>
        <w:t>介入治疗用房位置与平面布置应符合下列要求：</w:t>
      </w:r>
      <w:r>
        <w:rPr>
          <w:sz w:val="21"/>
        </w:rPr>
        <w:t> </w:t>
      </w:r>
      <w:r>
        <w:rPr>
          <w:spacing w:val="-2"/>
          <w:sz w:val="21"/>
        </w:rPr>
        <w:t> </w:t>
      </w:r>
      <w:r>
        <w:rPr>
          <w:w w:val="100"/>
          <w:sz w:val="21"/>
        </w:rPr>
        <w:t> </w:t>
      </w:r>
    </w:p>
    <w:p>
      <w:pPr>
        <w:pStyle w:val="BodyText"/>
        <w:spacing w:before="2"/>
        <w:rPr>
          <w:sz w:val="18"/>
        </w:rPr>
      </w:pPr>
    </w:p>
    <w:p>
      <w:pPr>
        <w:pStyle w:val="BodyText"/>
        <w:ind w:left="838"/>
        <w:rPr>
          <w:b/>
        </w:rPr>
      </w:pPr>
      <w:r>
        <w:rPr/>
        <w:t>应自成一区，且应与急诊部、手术部、心血管监护病房有便捷联系；  </w:t>
      </w:r>
      <w:r>
        <w:rPr>
          <w:b/>
          <w:w w:val="99"/>
        </w:rPr>
        <w:t> </w:t>
      </w:r>
    </w:p>
    <w:p>
      <w:pPr>
        <w:pStyle w:val="BodyText"/>
        <w:rPr>
          <w:b/>
          <w:sz w:val="18"/>
        </w:rPr>
      </w:pPr>
    </w:p>
    <w:p>
      <w:pPr>
        <w:pStyle w:val="BodyText"/>
        <w:ind w:left="838"/>
        <w:rPr>
          <w:b/>
        </w:rPr>
      </w:pPr>
      <w:r>
        <w:rPr/>
        <w:t>洁净区、非洁净区应分设。</w:t>
      </w:r>
      <w:r>
        <w:rPr>
          <w:b/>
          <w:w w:val="99"/>
        </w:rPr>
        <w:t> </w:t>
      </w:r>
    </w:p>
    <w:p>
      <w:pPr>
        <w:pStyle w:val="BodyText"/>
        <w:spacing w:before="12"/>
        <w:rPr>
          <w:b/>
          <w:sz w:val="17"/>
        </w:rPr>
      </w:pPr>
    </w:p>
    <w:p>
      <w:pPr>
        <w:pStyle w:val="ListParagraph"/>
        <w:numPr>
          <w:ilvl w:val="2"/>
          <w:numId w:val="810"/>
        </w:numPr>
        <w:tabs>
          <w:tab w:pos="1478" w:val="left" w:leader="none"/>
        </w:tabs>
        <w:spacing w:line="240" w:lineRule="auto" w:before="0" w:after="0"/>
        <w:ind w:left="1477" w:right="0" w:hanging="638"/>
        <w:jc w:val="left"/>
        <w:rPr>
          <w:sz w:val="21"/>
        </w:rPr>
      </w:pPr>
      <w:r>
        <w:rPr>
          <w:spacing w:val="-3"/>
          <w:sz w:val="21"/>
        </w:rPr>
        <w:t>用房设置应符合下列要求：</w:t>
      </w:r>
      <w:r>
        <w:rPr>
          <w:sz w:val="21"/>
        </w:rPr>
        <w:t> </w:t>
      </w:r>
      <w:r>
        <w:rPr>
          <w:spacing w:val="-2"/>
          <w:sz w:val="21"/>
        </w:rPr>
        <w:t> </w:t>
      </w:r>
      <w:r>
        <w:rPr>
          <w:w w:val="100"/>
          <w:sz w:val="21"/>
        </w:rPr>
        <w:t> </w:t>
      </w:r>
    </w:p>
    <w:p>
      <w:pPr>
        <w:pStyle w:val="BodyText"/>
        <w:spacing w:before="2"/>
        <w:rPr>
          <w:sz w:val="18"/>
        </w:rPr>
      </w:pPr>
    </w:p>
    <w:p>
      <w:pPr>
        <w:pStyle w:val="BodyText"/>
        <w:spacing w:line="446" w:lineRule="auto"/>
        <w:ind w:left="418" w:right="1817" w:firstLine="419"/>
        <w:rPr>
          <w:b/>
        </w:rPr>
      </w:pPr>
      <w:r>
        <w:rPr/>
        <w:t>应设心血管造影机房、控制、机械间、洗手准备、无菌物品、治疗、更衣和卫生间等用房；  </w:t>
      </w:r>
      <w:r>
        <w:rPr>
          <w:b/>
          <w:w w:val="99"/>
        </w:rPr>
        <w:t> </w:t>
      </w:r>
    </w:p>
    <w:p>
      <w:pPr>
        <w:pStyle w:val="BodyText"/>
        <w:spacing w:line="267" w:lineRule="exact"/>
        <w:ind w:left="838"/>
        <w:rPr>
          <w:b/>
        </w:rPr>
      </w:pPr>
      <w:r>
        <w:rPr/>
        <w:t>可设置办公、会诊、值班、护理和资料等用房。  </w:t>
      </w:r>
      <w:r>
        <w:rPr>
          <w:b/>
          <w:w w:val="99"/>
        </w:rPr>
        <w:t> </w:t>
      </w:r>
    </w:p>
    <w:p>
      <w:pPr>
        <w:pStyle w:val="BodyText"/>
        <w:spacing w:before="2"/>
        <w:rPr>
          <w:b/>
          <w:sz w:val="18"/>
        </w:rPr>
      </w:pPr>
    </w:p>
    <w:p>
      <w:pPr>
        <w:pStyle w:val="ListParagraph"/>
        <w:numPr>
          <w:ilvl w:val="2"/>
          <w:numId w:val="810"/>
        </w:numPr>
        <w:tabs>
          <w:tab w:pos="1478" w:val="left" w:leader="none"/>
        </w:tabs>
        <w:spacing w:line="240" w:lineRule="auto" w:before="0" w:after="0"/>
        <w:ind w:left="1477" w:right="0" w:hanging="638"/>
        <w:jc w:val="left"/>
        <w:rPr>
          <w:b/>
          <w:sz w:val="21"/>
        </w:rPr>
      </w:pPr>
      <w:r>
        <w:rPr>
          <w:spacing w:val="-3"/>
          <w:sz w:val="21"/>
        </w:rPr>
        <w:t>介入治疗用户应满足医疗设备安装、室内环境的要求。 </w:t>
      </w:r>
      <w:r>
        <w:rPr>
          <w:spacing w:val="-2"/>
          <w:sz w:val="21"/>
        </w:rPr>
        <w:t> </w:t>
      </w:r>
      <w:r>
        <w:rPr>
          <w:b/>
          <w:w w:val="99"/>
          <w:sz w:val="21"/>
        </w:rPr>
        <w:t> </w:t>
      </w:r>
    </w:p>
    <w:p>
      <w:pPr>
        <w:pStyle w:val="BodyText"/>
        <w:rPr>
          <w:b/>
          <w:sz w:val="18"/>
        </w:rPr>
      </w:pPr>
    </w:p>
    <w:p>
      <w:pPr>
        <w:pStyle w:val="ListParagraph"/>
        <w:numPr>
          <w:ilvl w:val="2"/>
          <w:numId w:val="810"/>
        </w:numPr>
        <w:tabs>
          <w:tab w:pos="1478" w:val="left" w:leader="none"/>
        </w:tabs>
        <w:spacing w:line="446" w:lineRule="auto" w:before="0" w:after="0"/>
        <w:ind w:left="418" w:right="1810" w:firstLine="422"/>
        <w:jc w:val="left"/>
        <w:rPr>
          <w:sz w:val="21"/>
        </w:rPr>
      </w:pPr>
      <w:r>
        <w:rPr>
          <w:spacing w:val="-5"/>
          <w:sz w:val="21"/>
        </w:rPr>
        <w:t>防护应根据设备要求，按现行国家有关医用 </w:t>
      </w:r>
      <w:r>
        <w:rPr>
          <w:sz w:val="21"/>
        </w:rPr>
        <w:t>X</w:t>
      </w:r>
      <w:r>
        <w:rPr>
          <w:spacing w:val="-8"/>
          <w:sz w:val="21"/>
        </w:rPr>
        <w:t> 射线诊断卫生防护标准的规定设计</w:t>
      </w:r>
      <w:r>
        <w:rPr>
          <w:spacing w:val="-3"/>
          <w:sz w:val="21"/>
        </w:rPr>
        <w:t>。</w:t>
      </w:r>
      <w:r>
        <w:rPr>
          <w:sz w:val="21"/>
        </w:rPr>
        <w:t> </w:t>
      </w:r>
    </w:p>
    <w:p>
      <w:pPr>
        <w:pStyle w:val="ListParagraph"/>
        <w:numPr>
          <w:ilvl w:val="1"/>
          <w:numId w:val="810"/>
        </w:numPr>
        <w:tabs>
          <w:tab w:pos="1264" w:val="left" w:leader="none"/>
        </w:tabs>
        <w:spacing w:line="240" w:lineRule="auto" w:before="0" w:after="0"/>
        <w:ind w:left="1263" w:right="0" w:hanging="424"/>
        <w:jc w:val="left"/>
        <w:rPr>
          <w:sz w:val="21"/>
        </w:rPr>
      </w:pPr>
      <w:r>
        <w:rPr>
          <w:spacing w:val="-3"/>
          <w:sz w:val="21"/>
        </w:rPr>
        <w:t>检验科用房</w:t>
      </w:r>
      <w:r>
        <w:rPr>
          <w:sz w:val="21"/>
        </w:rPr>
        <w:t> </w:t>
      </w:r>
    </w:p>
    <w:p>
      <w:pPr>
        <w:pStyle w:val="BodyText"/>
        <w:spacing w:before="12"/>
        <w:rPr>
          <w:sz w:val="17"/>
        </w:rPr>
      </w:pPr>
    </w:p>
    <w:p>
      <w:pPr>
        <w:pStyle w:val="ListParagraph"/>
        <w:numPr>
          <w:ilvl w:val="2"/>
          <w:numId w:val="810"/>
        </w:numPr>
        <w:tabs>
          <w:tab w:pos="1478" w:val="left" w:leader="none"/>
        </w:tabs>
        <w:spacing w:line="446" w:lineRule="auto" w:before="0" w:after="0"/>
        <w:ind w:left="838" w:right="4650" w:firstLine="2"/>
        <w:jc w:val="left"/>
        <w:rPr>
          <w:b/>
          <w:sz w:val="21"/>
        </w:rPr>
      </w:pPr>
      <w:r>
        <w:rPr>
          <w:spacing w:val="-2"/>
          <w:sz w:val="21"/>
        </w:rPr>
        <w:t>检验科用房位置及平面布置应符号下列要求： 应</w:t>
      </w:r>
      <w:r>
        <w:rPr>
          <w:spacing w:val="-3"/>
          <w:sz w:val="21"/>
        </w:rPr>
        <w:t>自成一区，微生物学检验应与其他检验分区布置；  微生物学检验室应设于检验科的尽端。</w:t>
      </w:r>
      <w:r>
        <w:rPr>
          <w:b/>
          <w:w w:val="99"/>
          <w:sz w:val="21"/>
        </w:rPr>
        <w:t> </w:t>
      </w:r>
    </w:p>
    <w:p>
      <w:pPr>
        <w:pStyle w:val="ListParagraph"/>
        <w:numPr>
          <w:ilvl w:val="2"/>
          <w:numId w:val="810"/>
        </w:numPr>
        <w:tabs>
          <w:tab w:pos="1478" w:val="left" w:leader="none"/>
        </w:tabs>
        <w:spacing w:line="268" w:lineRule="exact" w:before="0" w:after="0"/>
        <w:ind w:left="1477" w:right="0" w:hanging="638"/>
        <w:jc w:val="left"/>
        <w:rPr>
          <w:sz w:val="21"/>
        </w:rPr>
      </w:pPr>
      <w:r>
        <w:rPr>
          <w:spacing w:val="-3"/>
          <w:sz w:val="21"/>
        </w:rPr>
        <w:t>用房设置应符合下列要求：</w:t>
      </w:r>
      <w:r>
        <w:rPr>
          <w:sz w:val="21"/>
        </w:rPr>
        <w:t> </w:t>
      </w:r>
    </w:p>
    <w:p>
      <w:pPr>
        <w:pStyle w:val="BodyText"/>
        <w:rPr>
          <w:sz w:val="18"/>
        </w:rPr>
      </w:pPr>
    </w:p>
    <w:p>
      <w:pPr>
        <w:pStyle w:val="BodyText"/>
        <w:spacing w:line="446" w:lineRule="auto"/>
        <w:ind w:left="418" w:right="1609" w:firstLine="419"/>
      </w:pPr>
      <w:r>
        <w:rPr/>
        <w:t>应设临床检验、生化检验、微生物检验、血液实验、细胞检查、血清免疫、洗涤、试剂和材料库等用房； </w:t>
      </w:r>
    </w:p>
    <w:p>
      <w:pPr>
        <w:pStyle w:val="BodyText"/>
        <w:ind w:left="838"/>
      </w:pPr>
      <w:r>
        <w:rPr/>
        <w:t>可设更衣、值班和办公等用房。 </w:t>
      </w:r>
    </w:p>
    <w:p>
      <w:pPr>
        <w:pStyle w:val="BodyText"/>
        <w:spacing w:before="12"/>
        <w:rPr>
          <w:sz w:val="17"/>
        </w:rPr>
      </w:pPr>
    </w:p>
    <w:p>
      <w:pPr>
        <w:pStyle w:val="ListParagraph"/>
        <w:numPr>
          <w:ilvl w:val="2"/>
          <w:numId w:val="810"/>
        </w:numPr>
        <w:tabs>
          <w:tab w:pos="1478" w:val="left" w:leader="none"/>
        </w:tabs>
        <w:spacing w:line="446" w:lineRule="auto" w:before="0" w:after="0"/>
        <w:ind w:left="418" w:right="1604" w:firstLine="422"/>
        <w:jc w:val="left"/>
        <w:rPr>
          <w:sz w:val="21"/>
        </w:rPr>
      </w:pPr>
      <w:r>
        <w:rPr>
          <w:spacing w:val="-3"/>
          <w:sz w:val="21"/>
        </w:rPr>
        <w:t>检验科应设通风柜、仪器室(柜)、试剂室(柜)、防振天平台，并应有贮藏贵重药物和剧毒药品的设施。</w:t>
      </w:r>
      <w:r>
        <w:rPr>
          <w:sz w:val="21"/>
        </w:rPr>
        <w:t> </w:t>
      </w:r>
    </w:p>
    <w:p>
      <w:pPr>
        <w:pStyle w:val="ListParagraph"/>
        <w:numPr>
          <w:ilvl w:val="2"/>
          <w:numId w:val="810"/>
        </w:numPr>
        <w:tabs>
          <w:tab w:pos="1478" w:val="left" w:leader="none"/>
        </w:tabs>
        <w:spacing w:line="240" w:lineRule="auto" w:before="0" w:after="0"/>
        <w:ind w:left="1477" w:right="0" w:hanging="638"/>
        <w:jc w:val="left"/>
        <w:rPr>
          <w:sz w:val="21"/>
        </w:rPr>
      </w:pPr>
      <w:r>
        <w:rPr>
          <w:spacing w:val="-3"/>
          <w:sz w:val="21"/>
        </w:rPr>
        <w:t>细菌检验的接种室与培养室之间应设传递窗。</w:t>
      </w:r>
      <w:r>
        <w:rPr>
          <w:sz w:val="21"/>
        </w:rPr>
        <w:t> </w:t>
      </w:r>
    </w:p>
    <w:p>
      <w:pPr>
        <w:pStyle w:val="BodyText"/>
        <w:rPr>
          <w:sz w:val="18"/>
        </w:rPr>
      </w:pPr>
    </w:p>
    <w:p>
      <w:pPr>
        <w:pStyle w:val="ListParagraph"/>
        <w:numPr>
          <w:ilvl w:val="2"/>
          <w:numId w:val="810"/>
        </w:numPr>
        <w:tabs>
          <w:tab w:pos="1478" w:val="left" w:leader="none"/>
        </w:tabs>
        <w:spacing w:line="446" w:lineRule="auto" w:before="0" w:after="0"/>
        <w:ind w:left="418" w:right="1601" w:firstLine="422"/>
        <w:jc w:val="left"/>
        <w:rPr>
          <w:sz w:val="21"/>
        </w:rPr>
      </w:pPr>
      <w:r>
        <w:rPr>
          <w:spacing w:val="-3"/>
          <w:sz w:val="21"/>
        </w:rPr>
        <w:t>检验科应设洗涤设施，细菌检验应设专用洗涤、消毒设施，每个检验室应装有非手动开关的洗涤池。检验标本应设废弃消毒处理设施。</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10"/>
        </w:numPr>
        <w:tabs>
          <w:tab w:pos="1478" w:val="left" w:leader="none"/>
        </w:tabs>
        <w:spacing w:line="240" w:lineRule="auto" w:before="47" w:after="0"/>
        <w:ind w:left="1477" w:right="0" w:hanging="638"/>
        <w:jc w:val="left"/>
        <w:rPr>
          <w:sz w:val="21"/>
        </w:rPr>
      </w:pPr>
      <w:r>
        <w:rPr>
          <w:spacing w:val="-3"/>
          <w:sz w:val="21"/>
        </w:rPr>
        <w:t>危险化学试剂附近应设有紧急洗眼处和淋浴。</w:t>
      </w:r>
      <w:r>
        <w:rPr>
          <w:sz w:val="21"/>
        </w:rPr>
        <w:t> </w:t>
      </w:r>
    </w:p>
    <w:p>
      <w:pPr>
        <w:pStyle w:val="BodyText"/>
        <w:rPr>
          <w:sz w:val="18"/>
        </w:rPr>
      </w:pPr>
    </w:p>
    <w:p>
      <w:pPr>
        <w:pStyle w:val="ListParagraph"/>
        <w:numPr>
          <w:ilvl w:val="2"/>
          <w:numId w:val="810"/>
        </w:numPr>
        <w:tabs>
          <w:tab w:pos="1478" w:val="left" w:leader="none"/>
        </w:tabs>
        <w:spacing w:line="240" w:lineRule="auto" w:before="0" w:after="0"/>
        <w:ind w:left="1477" w:right="0" w:hanging="638"/>
        <w:jc w:val="left"/>
        <w:rPr>
          <w:sz w:val="21"/>
        </w:rPr>
      </w:pPr>
      <w:r>
        <w:rPr>
          <w:spacing w:val="-7"/>
          <w:sz w:val="21"/>
        </w:rPr>
        <w:t>实验室工作台间通道宽度不应小于 </w:t>
      </w:r>
      <w:r>
        <w:rPr>
          <w:sz w:val="21"/>
        </w:rPr>
        <w:t>1.20m。 </w:t>
      </w:r>
    </w:p>
    <w:p>
      <w:pPr>
        <w:pStyle w:val="BodyText"/>
        <w:rPr>
          <w:sz w:val="18"/>
        </w:rPr>
      </w:pPr>
    </w:p>
    <w:p>
      <w:pPr>
        <w:pStyle w:val="ListParagraph"/>
        <w:numPr>
          <w:ilvl w:val="1"/>
          <w:numId w:val="810"/>
        </w:numPr>
        <w:tabs>
          <w:tab w:pos="1264" w:val="left" w:leader="none"/>
        </w:tabs>
        <w:spacing w:line="240" w:lineRule="auto" w:before="0" w:after="0"/>
        <w:ind w:left="1263" w:right="0" w:hanging="424"/>
        <w:jc w:val="left"/>
        <w:rPr>
          <w:b/>
          <w:sz w:val="21"/>
        </w:rPr>
      </w:pPr>
      <w:r>
        <w:rPr>
          <w:spacing w:val="-3"/>
          <w:sz w:val="21"/>
        </w:rPr>
        <w:t>病理科用房</w:t>
      </w:r>
      <w:r>
        <w:rPr>
          <w:b/>
          <w:w w:val="99"/>
          <w:sz w:val="21"/>
        </w:rPr>
        <w:t> </w:t>
      </w:r>
    </w:p>
    <w:p>
      <w:pPr>
        <w:pStyle w:val="BodyText"/>
        <w:spacing w:before="1"/>
        <w:rPr>
          <w:b/>
          <w:sz w:val="18"/>
        </w:rPr>
      </w:pPr>
    </w:p>
    <w:p>
      <w:pPr>
        <w:pStyle w:val="ListParagraph"/>
        <w:numPr>
          <w:ilvl w:val="2"/>
          <w:numId w:val="810"/>
        </w:numPr>
        <w:tabs>
          <w:tab w:pos="1478" w:val="left" w:leader="none"/>
        </w:tabs>
        <w:spacing w:line="240" w:lineRule="auto" w:before="1" w:after="0"/>
        <w:ind w:left="1477" w:right="0" w:hanging="638"/>
        <w:jc w:val="left"/>
        <w:rPr>
          <w:sz w:val="21"/>
        </w:rPr>
      </w:pPr>
      <w:r>
        <w:rPr>
          <w:spacing w:val="-3"/>
          <w:sz w:val="21"/>
        </w:rPr>
        <w:t>病理科用房应自成一区，宜与手术部有便捷联系。</w:t>
      </w:r>
      <w:r>
        <w:rPr>
          <w:sz w:val="21"/>
        </w:rPr>
        <w:t> </w:t>
      </w:r>
    </w:p>
    <w:p>
      <w:pPr>
        <w:pStyle w:val="BodyText"/>
        <w:spacing w:before="12"/>
        <w:rPr>
          <w:sz w:val="17"/>
        </w:rPr>
      </w:pPr>
    </w:p>
    <w:p>
      <w:pPr>
        <w:pStyle w:val="ListParagraph"/>
        <w:numPr>
          <w:ilvl w:val="2"/>
          <w:numId w:val="810"/>
        </w:numPr>
        <w:tabs>
          <w:tab w:pos="1478" w:val="left" w:leader="none"/>
        </w:tabs>
        <w:spacing w:line="446" w:lineRule="auto" w:before="0" w:after="0"/>
        <w:ind w:left="418" w:right="1601" w:firstLine="422"/>
        <w:jc w:val="left"/>
        <w:rPr>
          <w:sz w:val="21"/>
        </w:rPr>
      </w:pPr>
      <w:r>
        <w:rPr>
          <w:spacing w:val="-3"/>
          <w:sz w:val="21"/>
        </w:rPr>
        <w:t>病理解剖室宜和太平间合建，与停尸房宜有内门相通，并应设工作人员更衣及淋浴设施。</w:t>
      </w:r>
      <w:r>
        <w:rPr>
          <w:sz w:val="21"/>
        </w:rPr>
        <w:t> </w:t>
      </w:r>
    </w:p>
    <w:p>
      <w:pPr>
        <w:pStyle w:val="ListParagraph"/>
        <w:numPr>
          <w:ilvl w:val="2"/>
          <w:numId w:val="810"/>
        </w:numPr>
        <w:tabs>
          <w:tab w:pos="1478" w:val="left" w:leader="none"/>
        </w:tabs>
        <w:spacing w:line="240" w:lineRule="auto" w:before="0" w:after="0"/>
        <w:ind w:left="1477" w:right="0" w:hanging="638"/>
        <w:jc w:val="left"/>
        <w:rPr>
          <w:sz w:val="21"/>
        </w:rPr>
      </w:pPr>
      <w:r>
        <w:rPr>
          <w:spacing w:val="-3"/>
          <w:sz w:val="21"/>
        </w:rPr>
        <w:t>用房设置应符合下列要求：</w:t>
      </w:r>
      <w:r>
        <w:rPr>
          <w:sz w:val="21"/>
        </w:rPr>
        <w:t> </w:t>
      </w:r>
    </w:p>
    <w:p>
      <w:pPr>
        <w:pStyle w:val="BodyText"/>
        <w:rPr>
          <w:sz w:val="18"/>
        </w:rPr>
      </w:pPr>
    </w:p>
    <w:p>
      <w:pPr>
        <w:pStyle w:val="BodyText"/>
        <w:spacing w:line="446" w:lineRule="auto"/>
        <w:ind w:left="418" w:right="1611" w:firstLine="419"/>
      </w:pPr>
      <w:r>
        <w:rPr/>
        <w:t>应设置取材、标本处理(脱水、染色、蜡包埋、切片)、制片、镜检、洗涤消毒和卫生通过等用房； </w:t>
      </w:r>
    </w:p>
    <w:p>
      <w:pPr>
        <w:pStyle w:val="BodyText"/>
        <w:spacing w:line="446" w:lineRule="auto"/>
        <w:ind w:left="840" w:right="6757" w:hanging="3"/>
      </w:pPr>
      <w:r>
        <w:rPr/>
        <w:t>可设置病理解剖和标本库用房。</w:t>
      </w:r>
      <w:r>
        <w:rPr>
          <w:b/>
        </w:rPr>
        <w:t>5.15 </w:t>
      </w:r>
      <w:r>
        <w:rPr/>
        <w:t>功能检查科用房 </w:t>
      </w:r>
    </w:p>
    <w:p>
      <w:pPr>
        <w:pStyle w:val="ListParagraph"/>
        <w:numPr>
          <w:ilvl w:val="2"/>
          <w:numId w:val="813"/>
        </w:numPr>
        <w:tabs>
          <w:tab w:pos="1478" w:val="left" w:leader="none"/>
        </w:tabs>
        <w:spacing w:line="267" w:lineRule="exact" w:before="0" w:after="0"/>
        <w:ind w:left="1477" w:right="0" w:hanging="638"/>
        <w:jc w:val="left"/>
        <w:rPr>
          <w:sz w:val="21"/>
        </w:rPr>
      </w:pPr>
      <w:r>
        <w:rPr>
          <w:spacing w:val="-3"/>
          <w:sz w:val="21"/>
        </w:rPr>
        <w:t>超声、电生理、肺功能检查室宜各成一区，与门诊部、住院部应有便捷联系。 </w:t>
      </w:r>
    </w:p>
    <w:p>
      <w:pPr>
        <w:pStyle w:val="BodyText"/>
        <w:spacing w:before="2"/>
        <w:rPr>
          <w:sz w:val="18"/>
        </w:rPr>
      </w:pPr>
    </w:p>
    <w:p>
      <w:pPr>
        <w:pStyle w:val="ListParagraph"/>
        <w:numPr>
          <w:ilvl w:val="2"/>
          <w:numId w:val="813"/>
        </w:numPr>
        <w:tabs>
          <w:tab w:pos="1478" w:val="left" w:leader="none"/>
        </w:tabs>
        <w:spacing w:line="446" w:lineRule="auto" w:before="0" w:after="0"/>
        <w:ind w:left="418" w:right="1918" w:firstLine="422"/>
        <w:jc w:val="left"/>
        <w:rPr>
          <w:sz w:val="21"/>
        </w:rPr>
      </w:pPr>
      <w:r>
        <w:rPr>
          <w:spacing w:val="-3"/>
          <w:sz w:val="21"/>
        </w:rPr>
        <w:t>功能检查科应设检查室(肺功能、脑电图、肌电图、脑血流图、心电图、超声等)、处置、医生办公、治疗、患者、医护人员更衣和卫生间等用房。</w:t>
      </w:r>
      <w:r>
        <w:rPr>
          <w:sz w:val="21"/>
        </w:rPr>
        <w:t> </w:t>
      </w:r>
    </w:p>
    <w:p>
      <w:pPr>
        <w:pStyle w:val="ListParagraph"/>
        <w:numPr>
          <w:ilvl w:val="2"/>
          <w:numId w:val="813"/>
        </w:numPr>
        <w:tabs>
          <w:tab w:pos="1478" w:val="left" w:leader="none"/>
        </w:tabs>
        <w:spacing w:line="267" w:lineRule="exact" w:before="0" w:after="0"/>
        <w:ind w:left="1477" w:right="0" w:hanging="638"/>
        <w:jc w:val="left"/>
        <w:rPr>
          <w:sz w:val="21"/>
        </w:rPr>
      </w:pPr>
      <w:r>
        <w:rPr>
          <w:spacing w:val="-7"/>
          <w:sz w:val="21"/>
        </w:rPr>
        <w:t>检查床之间的净距不应小于 </w:t>
      </w:r>
      <w:r>
        <w:rPr>
          <w:sz w:val="21"/>
        </w:rPr>
        <w:t>1.50m</w:t>
      </w:r>
      <w:r>
        <w:rPr>
          <w:spacing w:val="-3"/>
          <w:sz w:val="21"/>
        </w:rPr>
        <w:t>，宜有隔断设施。</w:t>
      </w:r>
      <w:r>
        <w:rPr>
          <w:sz w:val="21"/>
        </w:rPr>
        <w:t> </w:t>
      </w:r>
    </w:p>
    <w:p>
      <w:pPr>
        <w:pStyle w:val="BodyText"/>
        <w:spacing w:before="1"/>
        <w:rPr>
          <w:sz w:val="18"/>
        </w:rPr>
      </w:pPr>
    </w:p>
    <w:p>
      <w:pPr>
        <w:pStyle w:val="ListParagraph"/>
        <w:numPr>
          <w:ilvl w:val="2"/>
          <w:numId w:val="813"/>
        </w:numPr>
        <w:tabs>
          <w:tab w:pos="1478" w:val="left" w:leader="none"/>
        </w:tabs>
        <w:spacing w:line="240" w:lineRule="auto" w:before="1" w:after="0"/>
        <w:ind w:left="1477" w:right="0" w:hanging="638"/>
        <w:jc w:val="left"/>
        <w:rPr>
          <w:sz w:val="21"/>
        </w:rPr>
      </w:pPr>
      <w:r>
        <w:rPr>
          <w:spacing w:val="-3"/>
          <w:sz w:val="21"/>
        </w:rPr>
        <w:t>心脏运动负荷检查室应设氧气终端。</w:t>
      </w:r>
      <w:r>
        <w:rPr>
          <w:sz w:val="21"/>
        </w:rPr>
        <w:t> </w:t>
      </w:r>
    </w:p>
    <w:p>
      <w:pPr>
        <w:pStyle w:val="BodyText"/>
        <w:spacing w:before="12"/>
        <w:rPr>
          <w:sz w:val="17"/>
        </w:rPr>
      </w:pPr>
    </w:p>
    <w:p>
      <w:pPr>
        <w:pStyle w:val="ListParagraph"/>
        <w:numPr>
          <w:ilvl w:val="1"/>
          <w:numId w:val="814"/>
        </w:numPr>
        <w:tabs>
          <w:tab w:pos="1266" w:val="left" w:leader="none"/>
        </w:tabs>
        <w:spacing w:line="240" w:lineRule="auto" w:before="0" w:after="0"/>
        <w:ind w:left="1265" w:right="0" w:hanging="426"/>
        <w:jc w:val="left"/>
        <w:rPr>
          <w:sz w:val="21"/>
        </w:rPr>
      </w:pPr>
      <w:r>
        <w:rPr>
          <w:spacing w:val="-3"/>
          <w:sz w:val="21"/>
        </w:rPr>
        <w:t>内窥镜科用房</w:t>
      </w:r>
      <w:r>
        <w:rPr>
          <w:sz w:val="21"/>
        </w:rPr>
        <w:t> </w:t>
      </w:r>
    </w:p>
    <w:p>
      <w:pPr>
        <w:pStyle w:val="BodyText"/>
        <w:spacing w:before="12"/>
        <w:rPr>
          <w:sz w:val="17"/>
        </w:rPr>
      </w:pPr>
    </w:p>
    <w:p>
      <w:pPr>
        <w:pStyle w:val="ListParagraph"/>
        <w:numPr>
          <w:ilvl w:val="2"/>
          <w:numId w:val="814"/>
        </w:numPr>
        <w:tabs>
          <w:tab w:pos="1478" w:val="left" w:leader="none"/>
        </w:tabs>
        <w:spacing w:line="446" w:lineRule="auto" w:before="0" w:after="0"/>
        <w:ind w:left="838" w:right="4439" w:firstLine="2"/>
        <w:jc w:val="left"/>
        <w:rPr>
          <w:b/>
          <w:sz w:val="21"/>
        </w:rPr>
      </w:pPr>
      <w:r>
        <w:rPr>
          <w:spacing w:val="-2"/>
          <w:sz w:val="21"/>
        </w:rPr>
        <w:t>内窥镜科用房位置与平面布置应符合下列要求： 应</w:t>
      </w:r>
      <w:r>
        <w:rPr>
          <w:spacing w:val="-3"/>
          <w:sz w:val="21"/>
        </w:rPr>
        <w:t>自成一区，与门诊部有便捷联系；</w:t>
      </w:r>
      <w:r>
        <w:rPr>
          <w:b/>
          <w:w w:val="99"/>
          <w:sz w:val="21"/>
        </w:rPr>
        <w:t> </w:t>
      </w:r>
    </w:p>
    <w:p>
      <w:pPr>
        <w:pStyle w:val="BodyText"/>
        <w:spacing w:line="446" w:lineRule="auto" w:before="1"/>
        <w:ind w:left="840" w:right="4446" w:hanging="3"/>
      </w:pPr>
      <w:r>
        <w:rPr/>
        <w:t>各检查室宜分别设置。上、下消化道检查室应分开设置。</w:t>
      </w:r>
      <w:r>
        <w:rPr>
          <w:b/>
        </w:rPr>
        <w:t>5.16.2 </w:t>
      </w:r>
      <w:r>
        <w:rPr/>
        <w:t>用房设置应符合下列要求： </w:t>
      </w:r>
    </w:p>
    <w:p>
      <w:pPr>
        <w:pStyle w:val="BodyText"/>
        <w:spacing w:line="446" w:lineRule="auto"/>
        <w:ind w:left="418" w:right="1817" w:firstLine="419"/>
        <w:jc w:val="both"/>
      </w:pPr>
      <w:r>
        <w:rPr/>
        <w:t>应设内窥镜(上消化道内窥镜、下消化道内窥镜、支气管镜、胆道镜等)检查、准备、处置、等候、休息、卫生间、患者和医护人员更衣等用房。下消化道检查应设置卫生间、灌肠室。可设观察室。 </w:t>
      </w:r>
    </w:p>
    <w:p>
      <w:pPr>
        <w:pStyle w:val="ListParagraph"/>
        <w:numPr>
          <w:ilvl w:val="2"/>
          <w:numId w:val="815"/>
        </w:numPr>
        <w:tabs>
          <w:tab w:pos="1478" w:val="left" w:leader="none"/>
        </w:tabs>
        <w:spacing w:line="268" w:lineRule="exact" w:before="0" w:after="0"/>
        <w:ind w:left="1477" w:right="0" w:hanging="638"/>
        <w:jc w:val="both"/>
        <w:rPr>
          <w:sz w:val="21"/>
        </w:rPr>
      </w:pPr>
      <w:r>
        <w:rPr>
          <w:spacing w:val="-3"/>
          <w:sz w:val="21"/>
        </w:rPr>
        <w:t>检查室应设置固定于墙上的观片灯，宜配置医疗气体系统终端。</w:t>
      </w:r>
      <w:r>
        <w:rPr>
          <w:sz w:val="21"/>
        </w:rPr>
        <w:t> </w:t>
      </w:r>
    </w:p>
    <w:p>
      <w:pPr>
        <w:pStyle w:val="BodyText"/>
        <w:spacing w:before="12"/>
        <w:rPr>
          <w:sz w:val="17"/>
        </w:rPr>
      </w:pPr>
    </w:p>
    <w:p>
      <w:pPr>
        <w:pStyle w:val="ListParagraph"/>
        <w:numPr>
          <w:ilvl w:val="2"/>
          <w:numId w:val="815"/>
        </w:numPr>
        <w:tabs>
          <w:tab w:pos="1478" w:val="left" w:leader="none"/>
        </w:tabs>
        <w:spacing w:line="240" w:lineRule="auto" w:before="0" w:after="0"/>
        <w:ind w:left="1477" w:right="0" w:hanging="638"/>
        <w:jc w:val="left"/>
        <w:rPr>
          <w:sz w:val="21"/>
        </w:rPr>
      </w:pPr>
      <w:r>
        <w:rPr>
          <w:spacing w:val="-3"/>
          <w:sz w:val="21"/>
        </w:rPr>
        <w:t>内窥镜科区域内应设置内镜洗涤消毒设施，且上、下消化道镜应分别设置。 </w:t>
      </w:r>
    </w:p>
    <w:p>
      <w:pPr>
        <w:pStyle w:val="BodyText"/>
        <w:rPr>
          <w:sz w:val="18"/>
        </w:rPr>
      </w:pPr>
    </w:p>
    <w:p>
      <w:pPr>
        <w:pStyle w:val="ListParagraph"/>
        <w:numPr>
          <w:ilvl w:val="1"/>
          <w:numId w:val="814"/>
        </w:numPr>
        <w:tabs>
          <w:tab w:pos="1264" w:val="left" w:leader="none"/>
        </w:tabs>
        <w:spacing w:line="240" w:lineRule="auto" w:before="0" w:after="0"/>
        <w:ind w:left="1263" w:right="0" w:hanging="424"/>
        <w:jc w:val="left"/>
        <w:rPr>
          <w:b/>
          <w:sz w:val="21"/>
        </w:rPr>
      </w:pPr>
      <w:r>
        <w:rPr>
          <w:spacing w:val="-3"/>
          <w:sz w:val="21"/>
        </w:rPr>
        <w:t>理疗科用房</w:t>
      </w:r>
      <w:r>
        <w:rPr>
          <w:b/>
          <w:w w:val="99"/>
          <w:sz w:val="21"/>
        </w:rPr>
        <w:t> </w:t>
      </w:r>
    </w:p>
    <w:p>
      <w:pPr>
        <w:pStyle w:val="BodyText"/>
        <w:spacing w:before="2"/>
        <w:rPr>
          <w:b/>
          <w:sz w:val="18"/>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理疗科可设在门诊部或住院部，应自成一区。 </w:t>
      </w:r>
      <w:r>
        <w:rPr>
          <w:spacing w:val="-2"/>
          <w:sz w:val="21"/>
        </w:rPr>
        <w:t> </w:t>
      </w:r>
      <w:r>
        <w:rPr>
          <w:w w:val="100"/>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14"/>
        </w:numPr>
        <w:tabs>
          <w:tab w:pos="1478" w:val="left" w:leader="none"/>
        </w:tabs>
        <w:spacing w:line="240" w:lineRule="auto" w:before="47" w:after="0"/>
        <w:ind w:left="1477" w:right="0" w:hanging="638"/>
        <w:jc w:val="left"/>
        <w:rPr>
          <w:sz w:val="21"/>
        </w:rPr>
      </w:pPr>
      <w:r>
        <w:rPr>
          <w:spacing w:val="-3"/>
          <w:sz w:val="21"/>
        </w:rPr>
        <w:t>理疗科设计应符合现行行业标准《疗养院建筑设计规范》</w:t>
      </w:r>
      <w:r>
        <w:rPr>
          <w:sz w:val="21"/>
        </w:rPr>
        <w:t>JGJ</w:t>
      </w:r>
      <w:r>
        <w:rPr>
          <w:spacing w:val="-1"/>
          <w:sz w:val="21"/>
        </w:rPr>
        <w:t> </w:t>
      </w:r>
      <w:r>
        <w:rPr>
          <w:sz w:val="21"/>
        </w:rPr>
        <w:t>40</w:t>
      </w:r>
      <w:r>
        <w:rPr>
          <w:spacing w:val="-10"/>
          <w:sz w:val="21"/>
        </w:rPr>
        <w:t> 的有关规定。</w:t>
      </w:r>
      <w:r>
        <w:rPr>
          <w:sz w:val="21"/>
        </w:rPr>
        <w:t> </w:t>
      </w:r>
    </w:p>
    <w:p>
      <w:pPr>
        <w:pStyle w:val="BodyText"/>
        <w:rPr>
          <w:sz w:val="18"/>
        </w:rPr>
      </w:pPr>
    </w:p>
    <w:p>
      <w:pPr>
        <w:pStyle w:val="ListParagraph"/>
        <w:numPr>
          <w:ilvl w:val="1"/>
          <w:numId w:val="814"/>
        </w:numPr>
        <w:tabs>
          <w:tab w:pos="1264" w:val="left" w:leader="none"/>
        </w:tabs>
        <w:spacing w:line="240" w:lineRule="auto" w:before="0" w:after="0"/>
        <w:ind w:left="1263" w:right="0" w:hanging="424"/>
        <w:jc w:val="left"/>
        <w:rPr>
          <w:b/>
          <w:sz w:val="21"/>
        </w:rPr>
      </w:pPr>
      <w:r>
        <w:rPr>
          <w:spacing w:val="-3"/>
          <w:sz w:val="21"/>
        </w:rPr>
        <w:t>输血科(血库)用房</w:t>
      </w:r>
      <w:r>
        <w:rPr>
          <w:b/>
          <w:w w:val="99"/>
          <w:sz w:val="21"/>
        </w:rPr>
        <w:t> </w:t>
      </w:r>
    </w:p>
    <w:p>
      <w:pPr>
        <w:pStyle w:val="BodyText"/>
        <w:rPr>
          <w:b/>
          <w:sz w:val="18"/>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输血科(血库)用房位置与平面布置应符合下列要求：</w:t>
      </w:r>
      <w:r>
        <w:rPr>
          <w:sz w:val="21"/>
        </w:rPr>
        <w:t>  </w:t>
      </w:r>
      <w:r>
        <w:rPr>
          <w:spacing w:val="-2"/>
          <w:sz w:val="21"/>
        </w:rPr>
        <w:t> </w:t>
      </w:r>
      <w:r>
        <w:rPr>
          <w:w w:val="100"/>
          <w:sz w:val="21"/>
        </w:rPr>
        <w:t> </w:t>
      </w:r>
    </w:p>
    <w:p>
      <w:pPr>
        <w:pStyle w:val="BodyText"/>
        <w:spacing w:before="1"/>
        <w:rPr>
          <w:sz w:val="18"/>
        </w:rPr>
      </w:pPr>
    </w:p>
    <w:p>
      <w:pPr>
        <w:pStyle w:val="BodyText"/>
        <w:spacing w:before="1"/>
        <w:ind w:left="838"/>
        <w:rPr>
          <w:b/>
        </w:rPr>
      </w:pPr>
      <w:r>
        <w:rPr/>
        <w:t>宜自成一区，并宜邻近手术部；  </w:t>
      </w:r>
      <w:r>
        <w:rPr>
          <w:b/>
          <w:w w:val="99"/>
        </w:rPr>
        <w:t> </w:t>
      </w:r>
    </w:p>
    <w:p>
      <w:pPr>
        <w:pStyle w:val="BodyText"/>
        <w:spacing w:before="12"/>
        <w:rPr>
          <w:b/>
          <w:sz w:val="17"/>
        </w:rPr>
      </w:pPr>
    </w:p>
    <w:p>
      <w:pPr>
        <w:pStyle w:val="BodyText"/>
        <w:ind w:left="838"/>
        <w:rPr>
          <w:b/>
        </w:rPr>
      </w:pPr>
      <w:r>
        <w:rPr/>
        <w:t>贮血与配血室应分别设置。  </w:t>
      </w:r>
      <w:r>
        <w:rPr>
          <w:b/>
          <w:w w:val="99"/>
        </w:rPr>
        <w:t> </w:t>
      </w:r>
    </w:p>
    <w:p>
      <w:pPr>
        <w:pStyle w:val="BodyText"/>
        <w:spacing w:before="12"/>
        <w:rPr>
          <w:b/>
          <w:sz w:val="17"/>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输血科应设置配血、贮血、发血、清洗、消毒、更衣、卫生间等用房。 </w:t>
      </w:r>
    </w:p>
    <w:p>
      <w:pPr>
        <w:pStyle w:val="BodyText"/>
        <w:spacing w:before="2"/>
        <w:rPr>
          <w:sz w:val="18"/>
        </w:rPr>
      </w:pPr>
    </w:p>
    <w:p>
      <w:pPr>
        <w:pStyle w:val="ListParagraph"/>
        <w:numPr>
          <w:ilvl w:val="1"/>
          <w:numId w:val="814"/>
        </w:numPr>
        <w:tabs>
          <w:tab w:pos="1264" w:val="left" w:leader="none"/>
        </w:tabs>
        <w:spacing w:line="240" w:lineRule="auto" w:before="0" w:after="0"/>
        <w:ind w:left="1263" w:right="0" w:hanging="424"/>
        <w:jc w:val="left"/>
        <w:rPr>
          <w:sz w:val="21"/>
        </w:rPr>
      </w:pPr>
      <w:r>
        <w:rPr>
          <w:spacing w:val="-3"/>
          <w:sz w:val="21"/>
        </w:rPr>
        <w:t>药剂科用房</w:t>
      </w:r>
      <w:r>
        <w:rPr>
          <w:sz w:val="21"/>
        </w:rPr>
        <w:t> </w:t>
      </w:r>
    </w:p>
    <w:p>
      <w:pPr>
        <w:pStyle w:val="BodyText"/>
        <w:rPr>
          <w:sz w:val="18"/>
        </w:rPr>
      </w:pPr>
    </w:p>
    <w:p>
      <w:pPr>
        <w:pStyle w:val="ListParagraph"/>
        <w:numPr>
          <w:ilvl w:val="2"/>
          <w:numId w:val="814"/>
        </w:numPr>
        <w:tabs>
          <w:tab w:pos="1478" w:val="left" w:leader="none"/>
        </w:tabs>
        <w:spacing w:line="446" w:lineRule="auto" w:before="0" w:after="0"/>
        <w:ind w:left="838" w:right="4650" w:firstLine="2"/>
        <w:jc w:val="left"/>
        <w:rPr>
          <w:b/>
          <w:sz w:val="21"/>
        </w:rPr>
      </w:pPr>
      <w:r>
        <w:rPr>
          <w:spacing w:val="-2"/>
          <w:sz w:val="21"/>
        </w:rPr>
        <w:t>药剂科用房位置与平面布置应符合下列要求： 门</w:t>
      </w:r>
      <w:r>
        <w:rPr>
          <w:spacing w:val="-3"/>
          <w:sz w:val="21"/>
        </w:rPr>
        <w:t>诊、急诊药房与住院部药房应分别设置；</w:t>
      </w:r>
      <w:r>
        <w:rPr>
          <w:b/>
          <w:w w:val="99"/>
          <w:sz w:val="21"/>
        </w:rPr>
        <w:t> </w:t>
      </w:r>
    </w:p>
    <w:p>
      <w:pPr>
        <w:pStyle w:val="BodyText"/>
        <w:spacing w:line="446" w:lineRule="auto"/>
        <w:ind w:left="838" w:right="5917"/>
        <w:rPr>
          <w:b/>
        </w:rPr>
      </w:pPr>
      <w:r>
        <w:rPr>
          <w:spacing w:val="-3"/>
        </w:rPr>
        <w:t>药库和中药煎药处均应单独设置房间；  门诊、急诊药房宜分别设中、西药房；  儿科和各传染病科门诊宜设单独发药处。</w:t>
      </w:r>
      <w:r>
        <w:rPr>
          <w:b/>
        </w:rPr>
        <w:t>5.19.2</w:t>
      </w:r>
      <w:r>
        <w:rPr>
          <w:b/>
          <w:spacing w:val="3"/>
        </w:rPr>
        <w:t> </w:t>
      </w:r>
      <w:r>
        <w:rPr>
          <w:spacing w:val="-3"/>
        </w:rPr>
        <w:t>用房设置应符合下列要求：</w:t>
      </w:r>
      <w:r>
        <w:rPr>
          <w:b/>
          <w:w w:val="99"/>
        </w:rPr>
        <w:t> </w:t>
      </w:r>
    </w:p>
    <w:p>
      <w:pPr>
        <w:pStyle w:val="BodyText"/>
        <w:spacing w:line="446" w:lineRule="auto"/>
        <w:ind w:left="838" w:right="4026"/>
        <w:jc w:val="both"/>
        <w:rPr>
          <w:b/>
        </w:rPr>
      </w:pPr>
      <w:r>
        <w:rPr/>
        <w:t>门诊药房应设发药、调剂、药库、办公、值班和更衣等用房； 住院药房应设摆药、药库、发药、办公、值班和更衣等用房； 中药房应设置中成药库、中草药库和煎药室；</w:t>
      </w:r>
      <w:r>
        <w:rPr>
          <w:b/>
          <w:w w:val="99"/>
        </w:rPr>
        <w:t> </w:t>
      </w:r>
    </w:p>
    <w:p>
      <w:pPr>
        <w:pStyle w:val="BodyText"/>
        <w:spacing w:line="446" w:lineRule="auto"/>
        <w:ind w:left="840" w:right="5288" w:hanging="3"/>
        <w:jc w:val="both"/>
      </w:pPr>
      <w:r>
        <w:rPr/>
        <w:t>可设一级药品库、办公、值班和卫生间等用房。</w:t>
      </w:r>
      <w:r>
        <w:rPr>
          <w:b/>
        </w:rPr>
        <w:t>5.19.3 </w:t>
      </w:r>
      <w:r>
        <w:rPr/>
        <w:t>发药窗口的中距不应小于 1.20m。 </w:t>
      </w:r>
    </w:p>
    <w:p>
      <w:pPr>
        <w:pStyle w:val="BodyText"/>
        <w:spacing w:line="446" w:lineRule="auto"/>
        <w:ind w:left="418" w:right="1601" w:firstLine="422"/>
      </w:pPr>
      <w:r>
        <w:rPr>
          <w:b/>
        </w:rPr>
        <w:t>5.19.4 </w:t>
      </w:r>
      <w:r>
        <w:rPr/>
        <w:t>贵重药、剧毒药、麻醉药、限量药的库房，以及易燃、易爆药物的贮藏处，应有安全设施。 </w:t>
      </w:r>
    </w:p>
    <w:p>
      <w:pPr>
        <w:pStyle w:val="ListParagraph"/>
        <w:numPr>
          <w:ilvl w:val="1"/>
          <w:numId w:val="814"/>
        </w:numPr>
        <w:tabs>
          <w:tab w:pos="1264" w:val="left" w:leader="none"/>
        </w:tabs>
        <w:spacing w:line="267" w:lineRule="exact" w:before="0" w:after="0"/>
        <w:ind w:left="1263" w:right="0" w:hanging="424"/>
        <w:jc w:val="left"/>
        <w:rPr>
          <w:sz w:val="21"/>
        </w:rPr>
      </w:pPr>
      <w:r>
        <w:rPr>
          <w:spacing w:val="-3"/>
          <w:sz w:val="21"/>
        </w:rPr>
        <w:t>中心(消毒)供应室用房 </w:t>
      </w:r>
    </w:p>
    <w:p>
      <w:pPr>
        <w:pStyle w:val="BodyText"/>
        <w:spacing w:before="11"/>
        <w:rPr>
          <w:sz w:val="17"/>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中心(消毒)供应室位置与平面布置应符合下列要求：</w:t>
      </w:r>
      <w:r>
        <w:rPr>
          <w:sz w:val="21"/>
        </w:rPr>
        <w:t> </w:t>
      </w:r>
      <w:r>
        <w:rPr>
          <w:spacing w:val="-2"/>
          <w:sz w:val="21"/>
        </w:rPr>
        <w:t> </w:t>
      </w:r>
      <w:r>
        <w:rPr>
          <w:w w:val="100"/>
          <w:sz w:val="21"/>
        </w:rPr>
        <w:t> </w:t>
      </w:r>
    </w:p>
    <w:p>
      <w:pPr>
        <w:pStyle w:val="BodyText"/>
        <w:rPr>
          <w:sz w:val="18"/>
        </w:rPr>
      </w:pPr>
    </w:p>
    <w:p>
      <w:pPr>
        <w:pStyle w:val="BodyText"/>
        <w:ind w:left="838"/>
      </w:pPr>
      <w:r>
        <w:rPr/>
        <w:t>应自成一区，宜与手术部、重症监护和介入治疗等功能用房区域有便捷联系；  </w:t>
      </w:r>
      <w:r>
        <w:rPr>
          <w:w w:val="100"/>
        </w:rPr>
        <w:t> </w:t>
      </w:r>
    </w:p>
    <w:p>
      <w:pPr>
        <w:pStyle w:val="BodyText"/>
        <w:spacing w:before="12"/>
        <w:rPr>
          <w:sz w:val="17"/>
        </w:rPr>
      </w:pPr>
    </w:p>
    <w:p>
      <w:pPr>
        <w:pStyle w:val="BodyText"/>
        <w:spacing w:line="446" w:lineRule="auto"/>
        <w:ind w:left="418" w:right="1609" w:firstLine="419"/>
      </w:pPr>
      <w:r>
        <w:rPr/>
        <w:t>应按照污染区、清洁区、无菌区三区布置，并应按单向流程布置，工作人员辅助用房应自成一区；  </w:t>
      </w:r>
      <w:r>
        <w:rPr>
          <w:w w:val="100"/>
        </w:rPr>
        <w:t> </w:t>
      </w:r>
    </w:p>
    <w:p>
      <w:pPr>
        <w:pStyle w:val="BodyText"/>
        <w:spacing w:line="446" w:lineRule="auto"/>
        <w:ind w:left="840" w:right="4657" w:hanging="3"/>
      </w:pPr>
      <w:r>
        <w:rPr/>
        <w:t>进入污染区、清洁区和无菌区的人员均应卫生通过。</w:t>
      </w:r>
      <w:r>
        <w:rPr>
          <w:b/>
        </w:rPr>
        <w:t>5.20.2 </w:t>
      </w:r>
      <w:r>
        <w:rPr/>
        <w:t>用房设置应符合下列要求：  </w:t>
      </w:r>
      <w:r>
        <w:rPr>
          <w:w w:val="100"/>
        </w:rPr>
        <w:t> </w:t>
      </w:r>
    </w:p>
    <w:p>
      <w:pPr>
        <w:pStyle w:val="BodyText"/>
        <w:ind w:left="838"/>
      </w:pPr>
      <w:r>
        <w:rPr/>
        <w:t>污染区应设收件、分类、清洗、消毒和推车清洗中心(消毒)用房；  </w:t>
      </w:r>
      <w:r>
        <w:rPr>
          <w:w w:val="100"/>
        </w:rPr>
        <w:t> </w:t>
      </w:r>
    </w:p>
    <w:p>
      <w:pPr>
        <w:spacing w:after="0"/>
        <w:sectPr>
          <w:pgSz w:w="11910" w:h="16850"/>
          <w:pgMar w:header="0" w:footer="1239" w:top="1220" w:bottom="1420" w:left="1260" w:right="0"/>
        </w:sectPr>
      </w:pPr>
    </w:p>
    <w:p>
      <w:pPr>
        <w:pStyle w:val="BodyText"/>
        <w:spacing w:line="446" w:lineRule="auto" w:before="47"/>
        <w:ind w:left="418" w:right="1609" w:firstLine="419"/>
      </w:pPr>
      <w:r>
        <w:rPr/>
        <w:t>清洁区应设敷料制备、器械制备、灭菌、质检、一次性用品库、卫生材料库和器械库等用房；  </w:t>
      </w:r>
      <w:r>
        <w:rPr>
          <w:w w:val="100"/>
        </w:rPr>
        <w:t> </w:t>
      </w:r>
    </w:p>
    <w:p>
      <w:pPr>
        <w:pStyle w:val="BodyText"/>
        <w:spacing w:line="267" w:lineRule="exact"/>
        <w:ind w:left="838"/>
      </w:pPr>
      <w:r>
        <w:rPr/>
        <w:t>无菌区应设无菌物品储存用房；  </w:t>
      </w:r>
      <w:r>
        <w:rPr>
          <w:w w:val="100"/>
        </w:rPr>
        <w:t> </w:t>
      </w:r>
    </w:p>
    <w:p>
      <w:pPr>
        <w:pStyle w:val="BodyText"/>
        <w:spacing w:before="2"/>
        <w:rPr>
          <w:sz w:val="18"/>
        </w:rPr>
      </w:pPr>
    </w:p>
    <w:p>
      <w:pPr>
        <w:pStyle w:val="BodyText"/>
        <w:ind w:left="629"/>
      </w:pPr>
      <w:r>
        <w:rPr>
          <w:w w:val="100"/>
        </w:rPr>
        <w:t>  </w:t>
      </w:r>
      <w:r>
        <w:rPr/>
        <w:t>应设办公、值班、更衣和浴室、卫生间等用房。 </w:t>
      </w:r>
    </w:p>
    <w:p>
      <w:pPr>
        <w:pStyle w:val="BodyText"/>
        <w:rPr>
          <w:sz w:val="18"/>
        </w:rPr>
      </w:pPr>
    </w:p>
    <w:p>
      <w:pPr>
        <w:pStyle w:val="BodyText"/>
        <w:ind w:left="840"/>
      </w:pPr>
      <w:r>
        <w:rPr>
          <w:b/>
        </w:rPr>
        <w:t>5.20.3 </w:t>
      </w:r>
      <w:r>
        <w:rPr/>
        <w:t>中心(消毒)供应室应满足清洗、消毒、灭菌、设备安装、室内环境要求。 </w:t>
      </w:r>
    </w:p>
    <w:p>
      <w:pPr>
        <w:pStyle w:val="BodyText"/>
        <w:spacing w:before="12"/>
        <w:rPr>
          <w:sz w:val="17"/>
        </w:rPr>
      </w:pPr>
    </w:p>
    <w:p>
      <w:pPr>
        <w:pStyle w:val="ListParagraph"/>
        <w:numPr>
          <w:ilvl w:val="1"/>
          <w:numId w:val="814"/>
        </w:numPr>
        <w:tabs>
          <w:tab w:pos="1266" w:val="left" w:leader="none"/>
        </w:tabs>
        <w:spacing w:line="240" w:lineRule="auto" w:before="0" w:after="0"/>
        <w:ind w:left="1265" w:right="0" w:hanging="426"/>
        <w:jc w:val="left"/>
        <w:rPr>
          <w:sz w:val="21"/>
        </w:rPr>
      </w:pPr>
      <w:r>
        <w:rPr>
          <w:spacing w:val="-3"/>
          <w:sz w:val="21"/>
        </w:rPr>
        <w:t>营养厨房</w:t>
      </w:r>
      <w:r>
        <w:rPr>
          <w:sz w:val="21"/>
        </w:rPr>
        <w:t> </w:t>
      </w:r>
    </w:p>
    <w:p>
      <w:pPr>
        <w:pStyle w:val="BodyText"/>
        <w:spacing w:before="2"/>
        <w:rPr>
          <w:sz w:val="18"/>
        </w:rPr>
      </w:pPr>
    </w:p>
    <w:p>
      <w:pPr>
        <w:pStyle w:val="ListParagraph"/>
        <w:numPr>
          <w:ilvl w:val="2"/>
          <w:numId w:val="814"/>
        </w:numPr>
        <w:tabs>
          <w:tab w:pos="1478" w:val="left" w:leader="none"/>
        </w:tabs>
        <w:spacing w:line="446" w:lineRule="auto" w:before="0" w:after="0"/>
        <w:ind w:left="838" w:right="4657" w:firstLine="2"/>
        <w:jc w:val="left"/>
        <w:rPr>
          <w:b/>
          <w:sz w:val="21"/>
        </w:rPr>
      </w:pPr>
      <w:r>
        <w:rPr>
          <w:spacing w:val="-3"/>
          <w:sz w:val="21"/>
        </w:rPr>
        <w:t>营养厨房位置与平面布置应符合下列要求：  应自成一区，宜邻近病房，并与之有便捷联系通道；  配</w:t>
      </w:r>
      <w:r>
        <w:rPr>
          <w:spacing w:val="-2"/>
          <w:sz w:val="21"/>
        </w:rPr>
        <w:t>餐室和餐车停放室(处)应有冲洗和消毒餐车的设施； 应</w:t>
      </w:r>
      <w:r>
        <w:rPr>
          <w:spacing w:val="-3"/>
          <w:sz w:val="21"/>
        </w:rPr>
        <w:t>避免营养厨房的蒸汽、噪声和气味对病区的窜扰；  平面布置应遵守食品加工流程。</w:t>
      </w:r>
      <w:r>
        <w:rPr>
          <w:b/>
          <w:w w:val="99"/>
          <w:sz w:val="21"/>
        </w:rPr>
        <w:t> </w:t>
      </w:r>
    </w:p>
    <w:p>
      <w:pPr>
        <w:pStyle w:val="ListParagraph"/>
        <w:numPr>
          <w:ilvl w:val="2"/>
          <w:numId w:val="814"/>
        </w:numPr>
        <w:tabs>
          <w:tab w:pos="1478" w:val="left" w:leader="none"/>
        </w:tabs>
        <w:spacing w:line="446" w:lineRule="auto" w:before="0" w:after="0"/>
        <w:ind w:left="418" w:right="1810" w:firstLine="422"/>
        <w:jc w:val="left"/>
        <w:rPr>
          <w:sz w:val="21"/>
        </w:rPr>
      </w:pPr>
      <w:r>
        <w:rPr>
          <w:spacing w:val="-3"/>
          <w:sz w:val="21"/>
        </w:rPr>
        <w:t>营养厨房应设置主食制作、副食制作、主食蒸煮、副食洗切、冷荤熟食、回民灶、库房、配餐、餐车存放、办公和更衣等用房。</w:t>
      </w:r>
      <w:r>
        <w:rPr>
          <w:sz w:val="21"/>
        </w:rPr>
        <w:t> </w:t>
      </w:r>
    </w:p>
    <w:p>
      <w:pPr>
        <w:pStyle w:val="ListParagraph"/>
        <w:numPr>
          <w:ilvl w:val="1"/>
          <w:numId w:val="814"/>
        </w:numPr>
        <w:tabs>
          <w:tab w:pos="1264" w:val="left" w:leader="none"/>
        </w:tabs>
        <w:spacing w:line="240" w:lineRule="auto" w:before="0" w:after="0"/>
        <w:ind w:left="1263" w:right="0" w:hanging="424"/>
        <w:jc w:val="left"/>
        <w:rPr>
          <w:sz w:val="21"/>
        </w:rPr>
      </w:pPr>
      <w:r>
        <w:rPr>
          <w:spacing w:val="-3"/>
          <w:sz w:val="21"/>
        </w:rPr>
        <w:t>洗衣房</w:t>
      </w:r>
      <w:r>
        <w:rPr>
          <w:sz w:val="21"/>
        </w:rPr>
        <w:t> </w:t>
      </w:r>
    </w:p>
    <w:p>
      <w:pPr>
        <w:pStyle w:val="BodyText"/>
        <w:spacing w:before="9"/>
        <w:rPr>
          <w:sz w:val="17"/>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洗衣房位置与平面布置应符合下列要求：</w:t>
      </w:r>
      <w:r>
        <w:rPr>
          <w:sz w:val="21"/>
        </w:rPr>
        <w:t>  </w:t>
      </w:r>
      <w:r>
        <w:rPr>
          <w:w w:val="100"/>
          <w:sz w:val="21"/>
        </w:rPr>
        <w:t> </w:t>
      </w:r>
    </w:p>
    <w:p>
      <w:pPr>
        <w:pStyle w:val="BodyText"/>
        <w:spacing w:before="2"/>
        <w:rPr>
          <w:sz w:val="18"/>
        </w:rPr>
      </w:pPr>
    </w:p>
    <w:p>
      <w:pPr>
        <w:pStyle w:val="BodyText"/>
        <w:ind w:left="838"/>
        <w:rPr>
          <w:b/>
        </w:rPr>
      </w:pPr>
      <w:r>
        <w:rPr/>
        <w:t>应自成一区，并应按工艺流程进行平面布置；  </w:t>
      </w:r>
      <w:r>
        <w:rPr>
          <w:b/>
          <w:w w:val="99"/>
        </w:rPr>
        <w:t> </w:t>
      </w:r>
    </w:p>
    <w:p>
      <w:pPr>
        <w:pStyle w:val="BodyText"/>
        <w:rPr>
          <w:b/>
          <w:sz w:val="18"/>
        </w:rPr>
      </w:pPr>
    </w:p>
    <w:p>
      <w:pPr>
        <w:pStyle w:val="BodyText"/>
        <w:ind w:left="838"/>
        <w:rPr>
          <w:b/>
        </w:rPr>
      </w:pPr>
      <w:r>
        <w:rPr>
          <w:spacing w:val="-3"/>
        </w:rPr>
        <w:t>污衣入口和洁衣出口处应分别设置；</w:t>
      </w:r>
      <w:r>
        <w:rPr/>
        <w:t> </w:t>
      </w:r>
      <w:r>
        <w:rPr>
          <w:spacing w:val="-2"/>
        </w:rPr>
        <w:t> </w:t>
      </w:r>
      <w:r>
        <w:rPr>
          <w:b/>
          <w:w w:val="99"/>
        </w:rPr>
        <w:t> </w:t>
      </w:r>
    </w:p>
    <w:p>
      <w:pPr>
        <w:pStyle w:val="BodyText"/>
        <w:spacing w:before="12"/>
        <w:rPr>
          <w:b/>
          <w:sz w:val="17"/>
        </w:rPr>
      </w:pPr>
    </w:p>
    <w:p>
      <w:pPr>
        <w:pStyle w:val="BodyText"/>
        <w:ind w:left="838"/>
        <w:rPr>
          <w:b/>
        </w:rPr>
      </w:pPr>
      <w:r>
        <w:rPr>
          <w:spacing w:val="-3"/>
        </w:rPr>
        <w:t>宜单独设置更衣间、浴室和卫生间；</w:t>
      </w:r>
      <w:r>
        <w:rPr/>
        <w:t> </w:t>
      </w:r>
      <w:r>
        <w:rPr>
          <w:spacing w:val="-2"/>
        </w:rPr>
        <w:t> </w:t>
      </w:r>
      <w:r>
        <w:rPr>
          <w:b/>
          <w:w w:val="99"/>
        </w:rPr>
        <w:t> </w:t>
      </w:r>
    </w:p>
    <w:p>
      <w:pPr>
        <w:pStyle w:val="BodyText"/>
        <w:spacing w:before="2"/>
        <w:rPr>
          <w:b/>
          <w:sz w:val="18"/>
        </w:rPr>
      </w:pPr>
    </w:p>
    <w:p>
      <w:pPr>
        <w:pStyle w:val="BodyText"/>
        <w:ind w:left="838"/>
        <w:rPr>
          <w:b/>
        </w:rPr>
      </w:pPr>
      <w:r>
        <w:rPr/>
        <w:t>设置在病房楼底层或地下层的洗衣房应避免噪声对病区的干扰；  </w:t>
      </w:r>
      <w:r>
        <w:rPr>
          <w:b/>
          <w:w w:val="99"/>
        </w:rPr>
        <w:t> </w:t>
      </w:r>
    </w:p>
    <w:p>
      <w:pPr>
        <w:pStyle w:val="BodyText"/>
        <w:rPr>
          <w:b/>
          <w:sz w:val="18"/>
        </w:rPr>
      </w:pPr>
    </w:p>
    <w:p>
      <w:pPr>
        <w:pStyle w:val="BodyText"/>
        <w:ind w:left="838"/>
        <w:rPr>
          <w:b/>
        </w:rPr>
      </w:pPr>
      <w:r>
        <w:rPr/>
        <w:t>工作人员与患者的洗涤物应分别处理；  </w:t>
      </w:r>
      <w:r>
        <w:rPr>
          <w:b/>
          <w:w w:val="99"/>
        </w:rPr>
        <w:t> </w:t>
      </w:r>
    </w:p>
    <w:p>
      <w:pPr>
        <w:pStyle w:val="BodyText"/>
        <w:spacing w:before="12"/>
        <w:rPr>
          <w:b/>
          <w:sz w:val="17"/>
        </w:rPr>
      </w:pPr>
    </w:p>
    <w:p>
      <w:pPr>
        <w:pStyle w:val="BodyText"/>
        <w:ind w:left="838"/>
        <w:rPr>
          <w:b/>
        </w:rPr>
      </w:pPr>
      <w:r>
        <w:rPr/>
        <w:t>当洗衣利用社会化服务时，应设收集、分拣、储存、发放处。  </w:t>
      </w:r>
      <w:r>
        <w:rPr>
          <w:b/>
          <w:w w:val="99"/>
        </w:rPr>
        <w:t> </w:t>
      </w:r>
    </w:p>
    <w:p>
      <w:pPr>
        <w:pStyle w:val="BodyText"/>
        <w:spacing w:before="2"/>
        <w:rPr>
          <w:b/>
          <w:sz w:val="18"/>
        </w:rPr>
      </w:pPr>
    </w:p>
    <w:p>
      <w:pPr>
        <w:pStyle w:val="ListParagraph"/>
        <w:numPr>
          <w:ilvl w:val="2"/>
          <w:numId w:val="814"/>
        </w:numPr>
        <w:tabs>
          <w:tab w:pos="1478" w:val="left" w:leader="none"/>
        </w:tabs>
        <w:spacing w:line="446" w:lineRule="auto" w:before="0" w:after="0"/>
        <w:ind w:left="418" w:right="1601" w:firstLine="422"/>
        <w:jc w:val="left"/>
        <w:rPr>
          <w:sz w:val="21"/>
        </w:rPr>
      </w:pPr>
      <w:r>
        <w:rPr>
          <w:spacing w:val="-3"/>
          <w:sz w:val="21"/>
        </w:rPr>
        <w:t>洗衣房应设置收件、分类、浸泡消毒、洗衣、烘干、烫平、缝纫、贮存、分发和更衣等用房。</w:t>
      </w:r>
      <w:r>
        <w:rPr>
          <w:sz w:val="21"/>
        </w:rPr>
        <w:t> </w:t>
      </w:r>
    </w:p>
    <w:p>
      <w:pPr>
        <w:pStyle w:val="ListParagraph"/>
        <w:numPr>
          <w:ilvl w:val="1"/>
          <w:numId w:val="814"/>
        </w:numPr>
        <w:tabs>
          <w:tab w:pos="1264" w:val="left" w:leader="none"/>
        </w:tabs>
        <w:spacing w:line="267" w:lineRule="exact" w:before="0" w:after="0"/>
        <w:ind w:left="1263" w:right="0" w:hanging="424"/>
        <w:jc w:val="left"/>
        <w:rPr>
          <w:b/>
          <w:sz w:val="21"/>
        </w:rPr>
      </w:pPr>
      <w:r>
        <w:rPr>
          <w:spacing w:val="-3"/>
          <w:sz w:val="21"/>
        </w:rPr>
        <w:t>太平间</w:t>
      </w:r>
      <w:r>
        <w:rPr>
          <w:b/>
          <w:w w:val="99"/>
          <w:sz w:val="21"/>
        </w:rPr>
        <w:t> </w:t>
      </w:r>
    </w:p>
    <w:p>
      <w:pPr>
        <w:pStyle w:val="BodyText"/>
        <w:spacing w:before="2"/>
        <w:rPr>
          <w:b/>
          <w:sz w:val="18"/>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太平间位置与平面布置应符合下列要求：</w:t>
      </w:r>
      <w:r>
        <w:rPr>
          <w:sz w:val="21"/>
        </w:rPr>
        <w:t>  </w:t>
      </w:r>
      <w:r>
        <w:rPr>
          <w:w w:val="100"/>
          <w:sz w:val="21"/>
        </w:rPr>
        <w:t> </w:t>
      </w:r>
    </w:p>
    <w:p>
      <w:pPr>
        <w:pStyle w:val="BodyText"/>
        <w:rPr>
          <w:sz w:val="18"/>
        </w:rPr>
      </w:pPr>
    </w:p>
    <w:p>
      <w:pPr>
        <w:pStyle w:val="BodyText"/>
        <w:ind w:left="838"/>
        <w:rPr>
          <w:b/>
        </w:rPr>
      </w:pPr>
      <w:r>
        <w:rPr/>
        <w:t>宜独立建造或设置在住院用房的地下层；  </w:t>
      </w:r>
      <w:r>
        <w:rPr>
          <w:b/>
          <w:w w:val="99"/>
        </w:rPr>
        <w:t> </w:t>
      </w:r>
    </w:p>
    <w:p>
      <w:pPr>
        <w:pStyle w:val="BodyText"/>
        <w:spacing w:before="12"/>
        <w:rPr>
          <w:b/>
          <w:sz w:val="17"/>
        </w:rPr>
      </w:pPr>
    </w:p>
    <w:p>
      <w:pPr>
        <w:pStyle w:val="BodyText"/>
        <w:ind w:left="838"/>
        <w:rPr>
          <w:b/>
        </w:rPr>
      </w:pPr>
      <w:r>
        <w:rPr/>
        <w:t>解剖室应有门通向停尸间；  </w:t>
      </w:r>
      <w:r>
        <w:rPr>
          <w:b/>
          <w:w w:val="99"/>
        </w:rPr>
        <w:t> </w:t>
      </w:r>
    </w:p>
    <w:p>
      <w:pPr>
        <w:pStyle w:val="BodyText"/>
        <w:spacing w:before="2"/>
        <w:rPr>
          <w:b/>
          <w:sz w:val="18"/>
        </w:rPr>
      </w:pPr>
    </w:p>
    <w:p>
      <w:pPr>
        <w:pStyle w:val="BodyText"/>
        <w:ind w:left="838"/>
        <w:rPr>
          <w:b/>
        </w:rPr>
      </w:pPr>
      <w:r>
        <w:rPr/>
        <w:t>尸体柜容量宜按不低于总病床数 1％～2％计算。  </w:t>
      </w:r>
      <w:r>
        <w:rPr>
          <w:b/>
          <w:w w:val="99"/>
        </w:rPr>
        <w:t> </w:t>
      </w:r>
    </w:p>
    <w:p>
      <w:pPr>
        <w:spacing w:after="0"/>
        <w:sectPr>
          <w:pgSz w:w="11910" w:h="16850"/>
          <w:pgMar w:header="0" w:footer="1239" w:top="1220" w:bottom="1420" w:left="1260" w:right="0"/>
        </w:sectPr>
      </w:pPr>
    </w:p>
    <w:p>
      <w:pPr>
        <w:pStyle w:val="ListParagraph"/>
        <w:numPr>
          <w:ilvl w:val="2"/>
          <w:numId w:val="814"/>
        </w:numPr>
        <w:tabs>
          <w:tab w:pos="1478" w:val="left" w:leader="none"/>
        </w:tabs>
        <w:spacing w:line="446" w:lineRule="auto" w:before="47" w:after="0"/>
        <w:ind w:left="418" w:right="1601" w:firstLine="422"/>
        <w:jc w:val="both"/>
        <w:rPr>
          <w:sz w:val="21"/>
        </w:rPr>
      </w:pPr>
      <w:r>
        <w:rPr>
          <w:spacing w:val="-3"/>
          <w:sz w:val="21"/>
        </w:rPr>
        <w:t>太平间应设置停尸、告别、解剖、标本、值班、更衣、卫生间、器械、洗涤和消毒等用房。</w:t>
      </w:r>
      <w:r>
        <w:rPr>
          <w:sz w:val="21"/>
        </w:rPr>
        <w:t> </w:t>
      </w:r>
      <w:r>
        <w:rPr>
          <w:spacing w:val="-2"/>
          <w:sz w:val="21"/>
        </w:rPr>
        <w:t> </w:t>
      </w:r>
      <w:r>
        <w:rPr>
          <w:w w:val="100"/>
          <w:sz w:val="21"/>
        </w:rPr>
        <w:t> </w:t>
      </w:r>
    </w:p>
    <w:p>
      <w:pPr>
        <w:pStyle w:val="ListParagraph"/>
        <w:numPr>
          <w:ilvl w:val="2"/>
          <w:numId w:val="814"/>
        </w:numPr>
        <w:tabs>
          <w:tab w:pos="1478" w:val="left" w:leader="none"/>
        </w:tabs>
        <w:spacing w:line="267" w:lineRule="exact" w:before="0" w:after="0"/>
        <w:ind w:left="1477" w:right="0" w:hanging="638"/>
        <w:jc w:val="left"/>
        <w:rPr>
          <w:sz w:val="21"/>
        </w:rPr>
      </w:pPr>
      <w:r>
        <w:rPr>
          <w:spacing w:val="-4"/>
          <w:sz w:val="21"/>
        </w:rPr>
        <w:t>存尸应有冷藏设施，最高一层存尸抽屉的下沿高度不宜大于 </w:t>
      </w:r>
      <w:r>
        <w:rPr>
          <w:sz w:val="21"/>
        </w:rPr>
        <w:t>1.30m。 </w:t>
      </w:r>
      <w:r>
        <w:rPr>
          <w:spacing w:val="-2"/>
          <w:sz w:val="21"/>
        </w:rPr>
        <w:t> </w:t>
      </w:r>
      <w:r>
        <w:rPr>
          <w:w w:val="100"/>
          <w:sz w:val="21"/>
        </w:rPr>
        <w:t> </w:t>
      </w:r>
    </w:p>
    <w:p>
      <w:pPr>
        <w:pStyle w:val="BodyText"/>
        <w:spacing w:before="2"/>
        <w:rPr>
          <w:sz w:val="18"/>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太平间设置应避免气味对所在建筑的影响。 </w:t>
      </w:r>
    </w:p>
    <w:p>
      <w:pPr>
        <w:pStyle w:val="BodyText"/>
        <w:rPr>
          <w:sz w:val="18"/>
        </w:rPr>
      </w:pPr>
    </w:p>
    <w:p>
      <w:pPr>
        <w:pStyle w:val="ListParagraph"/>
        <w:numPr>
          <w:ilvl w:val="1"/>
          <w:numId w:val="814"/>
        </w:numPr>
        <w:tabs>
          <w:tab w:pos="1264" w:val="left" w:leader="none"/>
        </w:tabs>
        <w:spacing w:line="240" w:lineRule="auto" w:before="0" w:after="0"/>
        <w:ind w:left="1263" w:right="0" w:hanging="424"/>
        <w:jc w:val="left"/>
        <w:rPr>
          <w:sz w:val="21"/>
        </w:rPr>
      </w:pPr>
      <w:r>
        <w:rPr>
          <w:spacing w:val="-3"/>
          <w:sz w:val="21"/>
        </w:rPr>
        <w:t>防火与疏散</w:t>
      </w:r>
      <w:r>
        <w:rPr>
          <w:sz w:val="21"/>
        </w:rPr>
        <w:t> </w:t>
      </w:r>
    </w:p>
    <w:p>
      <w:pPr>
        <w:pStyle w:val="BodyText"/>
        <w:spacing w:before="12"/>
        <w:rPr>
          <w:sz w:val="17"/>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医院建筑耐火等级不应低于二级。 </w:t>
      </w:r>
      <w:r>
        <w:rPr>
          <w:spacing w:val="-2"/>
          <w:sz w:val="21"/>
        </w:rPr>
        <w:t> </w:t>
      </w:r>
      <w:r>
        <w:rPr>
          <w:w w:val="100"/>
          <w:sz w:val="21"/>
        </w:rPr>
        <w:t> </w:t>
      </w:r>
    </w:p>
    <w:p>
      <w:pPr>
        <w:pStyle w:val="BodyText"/>
        <w:spacing w:before="2"/>
        <w:rPr>
          <w:sz w:val="18"/>
        </w:rPr>
      </w:pP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防火分区应符合下列要求：</w:t>
      </w:r>
      <w:r>
        <w:rPr>
          <w:sz w:val="21"/>
        </w:rPr>
        <w:t> </w:t>
      </w:r>
      <w:r>
        <w:rPr>
          <w:spacing w:val="-2"/>
          <w:sz w:val="21"/>
        </w:rPr>
        <w:t> </w:t>
      </w:r>
      <w:r>
        <w:rPr>
          <w:w w:val="100"/>
          <w:sz w:val="21"/>
        </w:rPr>
        <w:t> </w:t>
      </w:r>
    </w:p>
    <w:p>
      <w:pPr>
        <w:pStyle w:val="BodyText"/>
        <w:rPr>
          <w:sz w:val="18"/>
        </w:rPr>
      </w:pPr>
    </w:p>
    <w:p>
      <w:pPr>
        <w:pStyle w:val="BodyText"/>
        <w:ind w:left="838"/>
        <w:jc w:val="both"/>
      </w:pPr>
      <w:r>
        <w:rPr/>
        <w:t>医院建筑的防火分区应结合建筑布局和功能分区划分。  </w:t>
      </w:r>
      <w:r>
        <w:rPr>
          <w:w w:val="100"/>
        </w:rPr>
        <w:t> </w:t>
      </w:r>
    </w:p>
    <w:p>
      <w:pPr>
        <w:pStyle w:val="BodyText"/>
        <w:spacing w:before="12"/>
        <w:rPr>
          <w:sz w:val="17"/>
        </w:rPr>
      </w:pPr>
    </w:p>
    <w:p>
      <w:pPr>
        <w:pStyle w:val="BodyText"/>
        <w:spacing w:line="446" w:lineRule="auto"/>
        <w:ind w:left="418" w:right="1609" w:firstLine="419"/>
        <w:jc w:val="both"/>
      </w:pPr>
      <w:r>
        <w:rPr>
          <w:spacing w:val="-3"/>
        </w:rPr>
        <w:t>防火分区的面积除应按建筑物的耐火等级和建筑高度确定外，病房部分每层防火分区内， </w:t>
      </w:r>
      <w:r>
        <w:rPr>
          <w:spacing w:val="-5"/>
        </w:rPr>
        <w:t>尚应根据面积大小和疏散路线进行再分隔。同层有 </w:t>
      </w:r>
      <w:r>
        <w:rPr/>
        <w:t>2</w:t>
      </w:r>
      <w:r>
        <w:rPr>
          <w:spacing w:val="-22"/>
        </w:rPr>
        <w:t> 个及 </w:t>
      </w:r>
      <w:r>
        <w:rPr/>
        <w:t>2</w:t>
      </w:r>
      <w:r>
        <w:rPr>
          <w:spacing w:val="-8"/>
        </w:rPr>
        <w:t> 个以上护理单元时，通向公共走道</w:t>
      </w:r>
      <w:r>
        <w:rPr>
          <w:spacing w:val="-5"/>
        </w:rPr>
        <w:t>的单元入口处应设乙级防火门。</w:t>
      </w:r>
      <w:r>
        <w:rPr/>
        <w:t> </w:t>
      </w:r>
      <w:r>
        <w:rPr>
          <w:spacing w:val="-2"/>
        </w:rPr>
        <w:t> </w:t>
      </w:r>
      <w:r>
        <w:rPr>
          <w:w w:val="100"/>
        </w:rPr>
        <w:t> </w:t>
      </w:r>
    </w:p>
    <w:p>
      <w:pPr>
        <w:pStyle w:val="BodyText"/>
        <w:spacing w:line="439" w:lineRule="auto"/>
        <w:ind w:left="418" w:right="1505" w:firstLine="419"/>
        <w:jc w:val="both"/>
      </w:pPr>
      <w:r>
        <w:rPr>
          <w:w w:val="100"/>
        </w:rPr>
        <w:t> </w:t>
      </w:r>
      <w:r>
        <w:rPr/>
        <w:t>高层建筑内的门诊大厅，设有火灾自动报警系统和自动灭火系统并采用不燃或难燃材料装修时，地上部分防火分区的允许最大建筑面积应为 4000m</w:t>
      </w:r>
      <w:r>
        <w:rPr>
          <w:position w:val="11"/>
          <w:sz w:val="11"/>
        </w:rPr>
        <w:t>2</w:t>
      </w:r>
      <w:r>
        <w:rPr/>
        <w:t>。  </w:t>
      </w:r>
      <w:r>
        <w:rPr>
          <w:w w:val="100"/>
        </w:rPr>
        <w:t> </w:t>
      </w:r>
    </w:p>
    <w:p>
      <w:pPr>
        <w:pStyle w:val="BodyText"/>
        <w:spacing w:line="446" w:lineRule="auto" w:before="5"/>
        <w:ind w:left="418" w:right="1609" w:firstLine="419"/>
        <w:jc w:val="both"/>
      </w:pPr>
      <w:r>
        <w:rPr/>
        <w:t>医院建筑内的手术部，当设有火灾自动报警系统，并采用不燃烧或难燃烧材料装修时，地上部分防火分区的允许最大建筑面积应为 4000 ㎡。  </w:t>
      </w:r>
      <w:r>
        <w:rPr>
          <w:w w:val="100"/>
        </w:rPr>
        <w:t> </w:t>
      </w:r>
    </w:p>
    <w:p>
      <w:pPr>
        <w:pStyle w:val="BodyText"/>
        <w:ind w:left="838"/>
      </w:pPr>
      <w:r>
        <w:rPr/>
        <w:t>防火分区内的病房、产房、手术部、精密贵重医疗设备用房等，均应采用耐火极限不低于</w:t>
      </w:r>
    </w:p>
    <w:p>
      <w:pPr>
        <w:pStyle w:val="BodyText"/>
        <w:rPr>
          <w:sz w:val="18"/>
        </w:rPr>
      </w:pPr>
    </w:p>
    <w:p>
      <w:pPr>
        <w:pStyle w:val="BodyText"/>
        <w:ind w:left="418"/>
      </w:pPr>
      <w:r>
        <w:rPr/>
        <w:t>2.00h 的不燃烧体与其他部分隔开。 </w:t>
      </w:r>
    </w:p>
    <w:p>
      <w:pPr>
        <w:pStyle w:val="BodyText"/>
        <w:spacing w:before="12"/>
        <w:rPr>
          <w:sz w:val="17"/>
        </w:rPr>
      </w:pPr>
    </w:p>
    <w:p>
      <w:pPr>
        <w:pStyle w:val="ListParagraph"/>
        <w:numPr>
          <w:ilvl w:val="2"/>
          <w:numId w:val="814"/>
        </w:numPr>
        <w:tabs>
          <w:tab w:pos="1478" w:val="left" w:leader="none"/>
        </w:tabs>
        <w:spacing w:line="240" w:lineRule="auto" w:before="0" w:after="0"/>
        <w:ind w:left="1477" w:right="0" w:hanging="638"/>
        <w:jc w:val="both"/>
        <w:rPr>
          <w:sz w:val="21"/>
        </w:rPr>
      </w:pPr>
      <w:r>
        <w:rPr>
          <w:spacing w:val="-3"/>
          <w:sz w:val="21"/>
        </w:rPr>
        <w:t>安全出口应符合下列要求：</w:t>
      </w:r>
      <w:r>
        <w:rPr>
          <w:sz w:val="21"/>
        </w:rPr>
        <w:t> </w:t>
      </w:r>
      <w:r>
        <w:rPr>
          <w:spacing w:val="-2"/>
          <w:sz w:val="21"/>
        </w:rPr>
        <w:t> </w:t>
      </w:r>
      <w:r>
        <w:rPr>
          <w:w w:val="100"/>
          <w:sz w:val="21"/>
        </w:rPr>
        <w:t> </w:t>
      </w:r>
    </w:p>
    <w:p>
      <w:pPr>
        <w:pStyle w:val="BodyText"/>
        <w:spacing w:before="2"/>
        <w:rPr>
          <w:sz w:val="18"/>
        </w:rPr>
      </w:pPr>
    </w:p>
    <w:p>
      <w:pPr>
        <w:pStyle w:val="BodyText"/>
        <w:ind w:left="838"/>
      </w:pPr>
      <w:r>
        <w:rPr/>
        <w:t>每个护理单元应有 2 个不同方向的安全出口；  </w:t>
      </w:r>
      <w:r>
        <w:rPr>
          <w:w w:val="100"/>
        </w:rPr>
        <w:t> </w:t>
      </w:r>
    </w:p>
    <w:p>
      <w:pPr>
        <w:pStyle w:val="BodyText"/>
        <w:rPr>
          <w:sz w:val="18"/>
        </w:rPr>
      </w:pPr>
    </w:p>
    <w:p>
      <w:pPr>
        <w:pStyle w:val="BodyText"/>
        <w:spacing w:line="446" w:lineRule="auto"/>
        <w:ind w:left="418" w:right="1609" w:firstLine="419"/>
      </w:pPr>
      <w:r>
        <w:rPr>
          <w:spacing w:val="-3"/>
        </w:rPr>
        <w:t>尽端式护理单元，或自成一区的治疗用房，其最远一个房间门至外部安全出口的距离和房</w:t>
      </w:r>
      <w:r>
        <w:rPr>
          <w:spacing w:val="-5"/>
        </w:rPr>
        <w:t>间内最远一点到房门的距离，均未超过建筑设计防火规范规定时，可设 </w:t>
      </w:r>
      <w:r>
        <w:rPr/>
        <w:t>1</w:t>
      </w:r>
      <w:r>
        <w:rPr>
          <w:spacing w:val="-9"/>
        </w:rPr>
        <w:t> 个安全出口。 </w:t>
      </w:r>
      <w:r>
        <w:rPr>
          <w:spacing w:val="-2"/>
        </w:rPr>
        <w:t> </w:t>
      </w:r>
      <w:r>
        <w:rPr>
          <w:w w:val="100"/>
        </w:rPr>
        <w:t> </w:t>
      </w:r>
    </w:p>
    <w:p>
      <w:pPr>
        <w:pStyle w:val="ListParagraph"/>
        <w:numPr>
          <w:ilvl w:val="2"/>
          <w:numId w:val="814"/>
        </w:numPr>
        <w:tabs>
          <w:tab w:pos="1478" w:val="left" w:leader="none"/>
        </w:tabs>
        <w:spacing w:line="240" w:lineRule="auto" w:before="0" w:after="0"/>
        <w:ind w:left="1477" w:right="0" w:hanging="638"/>
        <w:jc w:val="left"/>
        <w:rPr>
          <w:sz w:val="21"/>
        </w:rPr>
      </w:pPr>
      <w:r>
        <w:rPr>
          <w:spacing w:val="-3"/>
          <w:sz w:val="21"/>
        </w:rPr>
        <w:t>医疗用房应设疏散指示标识，疏散走道及楼梯间均应设应急照明。  </w:t>
      </w:r>
      <w:r>
        <w:rPr>
          <w:spacing w:val="-3"/>
          <w:w w:val="100"/>
          <w:sz w:val="21"/>
        </w:rPr>
        <w:t> </w:t>
      </w:r>
    </w:p>
    <w:p>
      <w:pPr>
        <w:pStyle w:val="BodyText"/>
        <w:spacing w:before="12"/>
        <w:rPr>
          <w:sz w:val="17"/>
        </w:rPr>
      </w:pPr>
    </w:p>
    <w:p>
      <w:pPr>
        <w:pStyle w:val="ListParagraph"/>
        <w:numPr>
          <w:ilvl w:val="2"/>
          <w:numId w:val="814"/>
        </w:numPr>
        <w:tabs>
          <w:tab w:pos="1478" w:val="left" w:leader="none"/>
        </w:tabs>
        <w:spacing w:line="240" w:lineRule="auto" w:before="0" w:after="0"/>
        <w:ind w:left="1477" w:right="0" w:hanging="638"/>
        <w:jc w:val="both"/>
        <w:rPr>
          <w:sz w:val="21"/>
        </w:rPr>
      </w:pPr>
      <w:r>
        <w:rPr>
          <w:spacing w:val="-3"/>
          <w:sz w:val="21"/>
        </w:rPr>
        <w:t>中心供氧用房应远离热源、火源和易燃易爆源。</w:t>
      </w:r>
      <w:r>
        <w:rPr>
          <w:sz w:val="21"/>
        </w:rPr>
        <w:t> </w:t>
      </w:r>
    </w:p>
    <w:p>
      <w:pPr>
        <w:pStyle w:val="BodyText"/>
        <w:rPr>
          <w:sz w:val="20"/>
        </w:rPr>
      </w:pPr>
    </w:p>
    <w:p>
      <w:pPr>
        <w:pStyle w:val="BodyText"/>
        <w:spacing w:before="8"/>
        <w:rPr>
          <w:sz w:val="29"/>
        </w:rPr>
      </w:pPr>
    </w:p>
    <w:p>
      <w:pPr>
        <w:pStyle w:val="Heading4"/>
        <w:spacing w:before="66"/>
      </w:pPr>
      <w:r>
        <w:rPr/>
        <w:t>6 给水排水、消防和污水处理</w:t>
      </w:r>
      <w:r>
        <w:rPr>
          <w:w w:val="99"/>
        </w:rPr>
        <w:t> </w:t>
      </w:r>
    </w:p>
    <w:p>
      <w:pPr>
        <w:pStyle w:val="BodyText"/>
        <w:spacing w:before="4"/>
        <w:rPr>
          <w:b/>
          <w:sz w:val="17"/>
        </w:rPr>
      </w:pPr>
    </w:p>
    <w:p>
      <w:pPr>
        <w:pStyle w:val="ListParagraph"/>
        <w:numPr>
          <w:ilvl w:val="1"/>
          <w:numId w:val="816"/>
        </w:numPr>
        <w:tabs>
          <w:tab w:pos="1160" w:val="left" w:leader="none"/>
        </w:tabs>
        <w:spacing w:line="240" w:lineRule="auto" w:before="1" w:after="0"/>
        <w:ind w:left="1159" w:right="0" w:hanging="320"/>
        <w:jc w:val="left"/>
        <w:rPr>
          <w:sz w:val="21"/>
        </w:rPr>
      </w:pPr>
      <w:r>
        <w:rPr>
          <w:spacing w:val="-3"/>
          <w:sz w:val="21"/>
        </w:rPr>
        <w:t>一般规定</w:t>
      </w:r>
      <w:r>
        <w:rPr>
          <w:sz w:val="21"/>
        </w:rPr>
        <w:t> </w:t>
      </w:r>
    </w:p>
    <w:p>
      <w:pPr>
        <w:pStyle w:val="BodyText"/>
        <w:spacing w:before="12"/>
        <w:rPr>
          <w:sz w:val="17"/>
        </w:rPr>
      </w:pPr>
    </w:p>
    <w:p>
      <w:pPr>
        <w:pStyle w:val="ListParagraph"/>
        <w:numPr>
          <w:ilvl w:val="2"/>
          <w:numId w:val="816"/>
        </w:numPr>
        <w:tabs>
          <w:tab w:pos="1371" w:val="left" w:leader="none"/>
        </w:tabs>
        <w:spacing w:line="446" w:lineRule="auto" w:before="0" w:after="0"/>
        <w:ind w:left="418" w:right="1498" w:firstLine="422"/>
        <w:jc w:val="left"/>
        <w:rPr>
          <w:sz w:val="21"/>
        </w:rPr>
      </w:pPr>
      <w:r>
        <w:rPr>
          <w:spacing w:val="-3"/>
          <w:sz w:val="21"/>
        </w:rPr>
        <w:t>医院新建、扩建和改建时，应对院区范围内的给水、排水、消防和污水处理工程进行统一规划设计。</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16"/>
        </w:numPr>
        <w:tabs>
          <w:tab w:pos="1370" w:val="left" w:leader="none"/>
        </w:tabs>
        <w:spacing w:line="446" w:lineRule="auto" w:before="47" w:after="0"/>
        <w:ind w:left="418" w:right="1498" w:firstLine="422"/>
        <w:jc w:val="left"/>
        <w:rPr>
          <w:sz w:val="21"/>
        </w:rPr>
      </w:pPr>
      <w:r>
        <w:rPr>
          <w:spacing w:val="-3"/>
          <w:sz w:val="21"/>
        </w:rPr>
        <w:t>给水、排水管道不应从洁净室、强电和弱电机房，以及重要医疗设备用房的室内架空通过，必须通过时应采取防漏措施。</w:t>
      </w:r>
      <w:r>
        <w:rPr>
          <w:sz w:val="21"/>
        </w:rPr>
        <w:t> </w:t>
      </w:r>
    </w:p>
    <w:p>
      <w:pPr>
        <w:pStyle w:val="ListParagraph"/>
        <w:numPr>
          <w:ilvl w:val="1"/>
          <w:numId w:val="816"/>
        </w:numPr>
        <w:tabs>
          <w:tab w:pos="1160" w:val="left" w:leader="none"/>
        </w:tabs>
        <w:spacing w:line="267" w:lineRule="exact" w:before="0" w:after="0"/>
        <w:ind w:left="1159" w:right="0" w:hanging="320"/>
        <w:jc w:val="left"/>
        <w:rPr>
          <w:b/>
          <w:sz w:val="21"/>
        </w:rPr>
      </w:pPr>
      <w:r>
        <w:rPr>
          <w:spacing w:val="-3"/>
          <w:sz w:val="21"/>
        </w:rPr>
        <w:t>给水</w:t>
      </w:r>
      <w:r>
        <w:rPr>
          <w:b/>
          <w:w w:val="99"/>
          <w:sz w:val="21"/>
        </w:rPr>
        <w:t> </w:t>
      </w:r>
    </w:p>
    <w:p>
      <w:pPr>
        <w:pStyle w:val="BodyText"/>
        <w:spacing w:before="2"/>
        <w:rPr>
          <w:b/>
          <w:sz w:val="18"/>
        </w:rPr>
      </w:pPr>
    </w:p>
    <w:p>
      <w:pPr>
        <w:pStyle w:val="ListParagraph"/>
        <w:numPr>
          <w:ilvl w:val="2"/>
          <w:numId w:val="816"/>
        </w:numPr>
        <w:tabs>
          <w:tab w:pos="1371" w:val="left" w:leader="none"/>
        </w:tabs>
        <w:spacing w:line="446" w:lineRule="auto" w:before="0" w:after="0"/>
        <w:ind w:left="418" w:right="1553" w:firstLine="422"/>
        <w:jc w:val="left"/>
        <w:rPr>
          <w:sz w:val="21"/>
        </w:rPr>
      </w:pPr>
      <w:r>
        <w:rPr>
          <w:spacing w:val="-3"/>
          <w:sz w:val="21"/>
        </w:rPr>
        <w:t>医院生活给水水质，应符合现行国家标准《生活饮用水卫生标准》</w:t>
      </w:r>
      <w:r>
        <w:rPr>
          <w:sz w:val="21"/>
        </w:rPr>
        <w:t>GB</w:t>
      </w:r>
      <w:r>
        <w:rPr>
          <w:spacing w:val="22"/>
          <w:sz w:val="21"/>
        </w:rPr>
        <w:t> </w:t>
      </w:r>
      <w:r>
        <w:rPr>
          <w:sz w:val="21"/>
        </w:rPr>
        <w:t>5749</w:t>
      </w:r>
      <w:r>
        <w:rPr>
          <w:spacing w:val="-10"/>
          <w:sz w:val="21"/>
        </w:rPr>
        <w:t> 的有关规</w:t>
      </w:r>
      <w:r>
        <w:rPr>
          <w:spacing w:val="-7"/>
          <w:sz w:val="21"/>
        </w:rPr>
        <w:t>定。</w:t>
      </w:r>
      <w:r>
        <w:rPr>
          <w:sz w:val="21"/>
        </w:rPr>
        <w:t> </w:t>
      </w:r>
    </w:p>
    <w:p>
      <w:pPr>
        <w:pStyle w:val="ListParagraph"/>
        <w:numPr>
          <w:ilvl w:val="2"/>
          <w:numId w:val="816"/>
        </w:numPr>
        <w:tabs>
          <w:tab w:pos="1370" w:val="left" w:leader="none"/>
        </w:tabs>
        <w:spacing w:line="267" w:lineRule="exact" w:before="0" w:after="0"/>
        <w:ind w:left="1369" w:right="0" w:hanging="530"/>
        <w:jc w:val="left"/>
        <w:rPr>
          <w:sz w:val="21"/>
        </w:rPr>
      </w:pPr>
      <w:r>
        <w:rPr>
          <w:spacing w:val="-7"/>
          <w:sz w:val="21"/>
        </w:rPr>
        <w:t>医院生活用水量定额宜符合表 </w:t>
      </w:r>
      <w:r>
        <w:rPr>
          <w:sz w:val="21"/>
        </w:rPr>
        <w:t>6.2.2</w:t>
      </w:r>
      <w:r>
        <w:rPr>
          <w:spacing w:val="-12"/>
          <w:sz w:val="21"/>
        </w:rPr>
        <w:t> 的规定。 </w:t>
      </w:r>
    </w:p>
    <w:p>
      <w:pPr>
        <w:pStyle w:val="BodyText"/>
        <w:spacing w:before="2"/>
        <w:rPr>
          <w:sz w:val="18"/>
        </w:rPr>
      </w:pPr>
    </w:p>
    <w:p>
      <w:pPr>
        <w:pStyle w:val="Heading6"/>
        <w:ind w:left="3308"/>
      </w:pPr>
      <w:r>
        <w:rPr/>
        <w:t>表 6.2.2 医院生活用水量定额</w:t>
      </w:r>
      <w:r>
        <w:rPr>
          <w:w w:val="99"/>
        </w:rPr>
        <w:t> </w:t>
      </w:r>
    </w:p>
    <w:p>
      <w:pPr>
        <w:pStyle w:val="BodyText"/>
        <w:spacing w:before="1"/>
        <w:rPr>
          <w:b/>
          <w:sz w:val="25"/>
        </w:rPr>
      </w:pPr>
      <w:r>
        <w:rPr/>
        <w:drawing>
          <wp:anchor distT="0" distB="0" distL="0" distR="0" allowOverlap="1" layoutInCell="1" locked="0" behindDoc="0" simplePos="0" relativeHeight="269">
            <wp:simplePos x="0" y="0"/>
            <wp:positionH relativeFrom="page">
              <wp:posOffset>1294130</wp:posOffset>
            </wp:positionH>
            <wp:positionV relativeFrom="paragraph">
              <wp:posOffset>228957</wp:posOffset>
            </wp:positionV>
            <wp:extent cx="5174238" cy="3124200"/>
            <wp:effectExtent l="0" t="0" r="0" b="0"/>
            <wp:wrapTopAndBottom/>
            <wp:docPr id="637" name="image367.jpeg"/>
            <wp:cNvGraphicFramePr>
              <a:graphicFrameLocks noChangeAspect="1"/>
            </wp:cNvGraphicFramePr>
            <a:graphic>
              <a:graphicData uri="http://schemas.openxmlformats.org/drawingml/2006/picture">
                <pic:pic>
                  <pic:nvPicPr>
                    <pic:cNvPr id="638" name="image367.jpeg"/>
                    <pic:cNvPicPr/>
                  </pic:nvPicPr>
                  <pic:blipFill>
                    <a:blip r:embed="rId446" cstate="print"/>
                    <a:stretch>
                      <a:fillRect/>
                    </a:stretch>
                  </pic:blipFill>
                  <pic:spPr>
                    <a:xfrm>
                      <a:off x="0" y="0"/>
                      <a:ext cx="5174238" cy="3124200"/>
                    </a:xfrm>
                    <a:prstGeom prst="rect">
                      <a:avLst/>
                    </a:prstGeom>
                  </pic:spPr>
                </pic:pic>
              </a:graphicData>
            </a:graphic>
          </wp:anchor>
        </w:drawing>
      </w:r>
    </w:p>
    <w:p>
      <w:pPr>
        <w:pStyle w:val="BodyText"/>
        <w:rPr>
          <w:b/>
          <w:sz w:val="20"/>
        </w:rPr>
      </w:pPr>
    </w:p>
    <w:p>
      <w:pPr>
        <w:pStyle w:val="BodyText"/>
        <w:rPr>
          <w:b/>
          <w:sz w:val="20"/>
        </w:rPr>
      </w:pPr>
    </w:p>
    <w:p>
      <w:pPr>
        <w:pStyle w:val="BodyText"/>
        <w:spacing w:before="2"/>
        <w:rPr>
          <w:b/>
          <w:sz w:val="14"/>
        </w:rPr>
      </w:pPr>
    </w:p>
    <w:p>
      <w:pPr>
        <w:pStyle w:val="BodyText"/>
        <w:spacing w:line="446" w:lineRule="auto"/>
        <w:ind w:left="838" w:right="3186"/>
        <w:rPr>
          <w:b/>
        </w:rPr>
      </w:pPr>
      <w:r>
        <w:rPr/>
        <w:t>注：1.医务人员的用水量包括手术室、中心供应等医院常规医疗用水； 2.道路和绿化用水应根据当地气候条件确定。</w:t>
      </w:r>
      <w:r>
        <w:rPr>
          <w:b/>
          <w:w w:val="99"/>
        </w:rPr>
        <w:t> </w:t>
      </w:r>
    </w:p>
    <w:p>
      <w:pPr>
        <w:pStyle w:val="ListParagraph"/>
        <w:numPr>
          <w:ilvl w:val="2"/>
          <w:numId w:val="816"/>
        </w:numPr>
        <w:tabs>
          <w:tab w:pos="1370" w:val="left" w:leader="none"/>
        </w:tabs>
        <w:spacing w:line="267" w:lineRule="exact" w:before="0" w:after="0"/>
        <w:ind w:left="1369" w:right="0" w:hanging="530"/>
        <w:jc w:val="left"/>
        <w:rPr>
          <w:sz w:val="21"/>
        </w:rPr>
      </w:pPr>
      <w:r>
        <w:rPr>
          <w:spacing w:val="-3"/>
          <w:sz w:val="21"/>
        </w:rPr>
        <w:t>锅炉用水和冷冻机冷却循环水系统的补充水等应根据工艺确定。</w:t>
      </w:r>
      <w:r>
        <w:rPr>
          <w:sz w:val="21"/>
        </w:rPr>
        <w:t> </w:t>
      </w:r>
    </w:p>
    <w:p>
      <w:pPr>
        <w:pStyle w:val="BodyText"/>
        <w:spacing w:before="2"/>
        <w:rPr>
          <w:sz w:val="18"/>
        </w:rPr>
      </w:pPr>
    </w:p>
    <w:p>
      <w:pPr>
        <w:pStyle w:val="ListParagraph"/>
        <w:numPr>
          <w:ilvl w:val="2"/>
          <w:numId w:val="816"/>
        </w:numPr>
        <w:tabs>
          <w:tab w:pos="1370" w:val="left" w:leader="none"/>
        </w:tabs>
        <w:spacing w:line="240" w:lineRule="auto" w:before="0" w:after="0"/>
        <w:ind w:left="1369" w:right="0" w:hanging="530"/>
        <w:jc w:val="left"/>
        <w:rPr>
          <w:sz w:val="21"/>
        </w:rPr>
      </w:pPr>
      <w:r>
        <w:rPr>
          <w:spacing w:val="-3"/>
          <w:sz w:val="21"/>
        </w:rPr>
        <w:t>烧伤病房、中心(消毒)供应室等场所的供水，应根据医院工艺要求设置供水点。</w:t>
      </w:r>
      <w:r>
        <w:rPr>
          <w:sz w:val="21"/>
        </w:rPr>
        <w:t> </w:t>
      </w:r>
    </w:p>
    <w:p>
      <w:pPr>
        <w:pStyle w:val="BodyText"/>
        <w:spacing w:before="12"/>
        <w:rPr>
          <w:sz w:val="17"/>
        </w:rPr>
      </w:pPr>
    </w:p>
    <w:p>
      <w:pPr>
        <w:pStyle w:val="ListParagraph"/>
        <w:numPr>
          <w:ilvl w:val="2"/>
          <w:numId w:val="816"/>
        </w:numPr>
        <w:tabs>
          <w:tab w:pos="1370" w:val="left" w:leader="none"/>
        </w:tabs>
        <w:spacing w:line="446" w:lineRule="auto" w:before="0" w:after="0"/>
        <w:ind w:left="838" w:right="2444" w:firstLine="2"/>
        <w:jc w:val="left"/>
        <w:rPr>
          <w:b/>
          <w:sz w:val="21"/>
        </w:rPr>
      </w:pPr>
      <w:r>
        <w:rPr>
          <w:spacing w:val="-2"/>
          <w:sz w:val="21"/>
        </w:rPr>
        <w:t>下列场所的用水点应采用非手动开关，并应采取防止污水外溅的措施： 公</w:t>
      </w:r>
      <w:r>
        <w:rPr>
          <w:spacing w:val="-3"/>
          <w:sz w:val="21"/>
        </w:rPr>
        <w:t>共卫生间的洗手盆、小便斗、大便器；</w:t>
      </w:r>
      <w:r>
        <w:rPr>
          <w:b/>
          <w:w w:val="99"/>
          <w:sz w:val="21"/>
        </w:rPr>
        <w:t> </w:t>
      </w:r>
    </w:p>
    <w:p>
      <w:pPr>
        <w:pStyle w:val="BodyText"/>
        <w:spacing w:line="446" w:lineRule="auto"/>
        <w:ind w:left="838" w:right="3397"/>
        <w:rPr>
          <w:b/>
        </w:rPr>
      </w:pPr>
      <w:r>
        <w:rPr>
          <w:spacing w:val="-3"/>
        </w:rPr>
        <w:t>护士站、治疗室、中心(消毒)供应室、监护病房等房间的洗手盆：  产房、手术刷手池、无菌室、血液病房和烧伤病房等房间的洗手盆； 诊室、检验科等房间的洗手盆；</w:t>
      </w:r>
      <w:r>
        <w:rPr>
          <w:b/>
          <w:w w:val="99"/>
        </w:rPr>
        <w:t> </w:t>
      </w:r>
    </w:p>
    <w:p>
      <w:pPr>
        <w:pStyle w:val="BodyText"/>
        <w:spacing w:line="268" w:lineRule="exact"/>
        <w:ind w:left="838"/>
        <w:rPr>
          <w:b/>
        </w:rPr>
      </w:pPr>
      <w:r>
        <w:rPr/>
        <w:t>有无菌要求或防止院内感染场所的卫生器具。</w:t>
      </w:r>
      <w:r>
        <w:rPr>
          <w:b/>
          <w:w w:val="99"/>
        </w:rPr>
        <w:t> </w:t>
      </w:r>
    </w:p>
    <w:p>
      <w:pPr>
        <w:spacing w:after="0" w:line="268" w:lineRule="exact"/>
        <w:sectPr>
          <w:pgSz w:w="11910" w:h="16850"/>
          <w:pgMar w:header="0" w:footer="1239" w:top="1220" w:bottom="1420" w:left="1260" w:right="0"/>
        </w:sectPr>
      </w:pPr>
    </w:p>
    <w:p>
      <w:pPr>
        <w:pStyle w:val="ListParagraph"/>
        <w:numPr>
          <w:ilvl w:val="2"/>
          <w:numId w:val="816"/>
        </w:numPr>
        <w:tabs>
          <w:tab w:pos="1371" w:val="left" w:leader="none"/>
        </w:tabs>
        <w:spacing w:line="240" w:lineRule="auto" w:before="47" w:after="0"/>
        <w:ind w:left="1370" w:right="0" w:hanging="531"/>
        <w:jc w:val="left"/>
        <w:rPr>
          <w:sz w:val="21"/>
        </w:rPr>
      </w:pPr>
      <w:r>
        <w:rPr>
          <w:spacing w:val="-3"/>
          <w:sz w:val="21"/>
        </w:rPr>
        <w:t>采用非手动开关的用水点应符合下列要求：</w:t>
      </w:r>
      <w:r>
        <w:rPr>
          <w:sz w:val="21"/>
        </w:rPr>
        <w:t> </w:t>
      </w:r>
    </w:p>
    <w:p>
      <w:pPr>
        <w:pStyle w:val="BodyText"/>
        <w:rPr>
          <w:sz w:val="18"/>
        </w:rPr>
      </w:pPr>
    </w:p>
    <w:p>
      <w:pPr>
        <w:pStyle w:val="BodyText"/>
        <w:spacing w:line="446" w:lineRule="auto"/>
        <w:ind w:left="418" w:right="1609" w:firstLine="419"/>
      </w:pPr>
      <w:r>
        <w:rPr>
          <w:spacing w:val="-3"/>
        </w:rPr>
        <w:t>公共卫生间的洗手盆宜采用感应自动水龙头，小便斗宜采用自动冲洗阀，蹲式大便器宜采用脚踏式自闭冲洗阀或感应冲洗阀。</w:t>
      </w:r>
      <w:r>
        <w:rPr/>
        <w:t> </w:t>
      </w:r>
    </w:p>
    <w:p>
      <w:pPr>
        <w:pStyle w:val="BodyText"/>
        <w:spacing w:line="446" w:lineRule="auto"/>
        <w:ind w:left="418" w:right="1609" w:firstLine="419"/>
      </w:pPr>
      <w:r>
        <w:rPr>
          <w:spacing w:val="-3"/>
        </w:rPr>
        <w:t>护士站、治疗室、洁净室和消毒供应中心、监护病房和烧伤病房等房间的洗手盆，应采用感应自动、膝动或肘动开关水龙头。</w:t>
      </w:r>
      <w:r>
        <w:rPr/>
        <w:t> </w:t>
      </w:r>
    </w:p>
    <w:p>
      <w:pPr>
        <w:pStyle w:val="BodyText"/>
        <w:spacing w:line="446" w:lineRule="auto"/>
        <w:ind w:left="418" w:right="1609" w:firstLine="419"/>
      </w:pPr>
      <w:r>
        <w:rPr>
          <w:spacing w:val="-3"/>
        </w:rPr>
        <w:t>产房、手术刷手池、洁净无菌室、血液病房和烧伤病房等房间的洗手盆，应采用感应自动水龙头。</w:t>
      </w:r>
      <w:r>
        <w:rPr/>
        <w:t> </w:t>
      </w:r>
    </w:p>
    <w:p>
      <w:pPr>
        <w:pStyle w:val="BodyText"/>
        <w:spacing w:line="446" w:lineRule="auto"/>
        <w:ind w:left="418" w:right="1609" w:firstLine="419"/>
      </w:pPr>
      <w:r>
        <w:rPr>
          <w:spacing w:val="-5"/>
        </w:rPr>
        <w:t>有无菌要求或防止院内感染场所的卫生器具，应按本条第 </w:t>
      </w:r>
      <w:r>
        <w:rPr/>
        <w:t>1</w:t>
      </w:r>
      <w:r>
        <w:rPr>
          <w:spacing w:val="-23"/>
        </w:rPr>
        <w:t> 款</w:t>
      </w:r>
      <w:r>
        <w:rPr>
          <w:spacing w:val="-3"/>
        </w:rPr>
        <w:t>～</w:t>
      </w:r>
      <w:r>
        <w:rPr>
          <w:spacing w:val="-22"/>
        </w:rPr>
        <w:t>第 </w:t>
      </w:r>
      <w:r>
        <w:rPr/>
        <w:t>3</w:t>
      </w:r>
      <w:r>
        <w:rPr>
          <w:spacing w:val="-8"/>
        </w:rPr>
        <w:t> 款要求选择水龙头或</w:t>
      </w:r>
      <w:r>
        <w:rPr>
          <w:spacing w:val="-6"/>
        </w:rPr>
        <w:t>冲洗阀。</w:t>
      </w:r>
      <w:r>
        <w:rPr/>
        <w:t> </w:t>
      </w:r>
    </w:p>
    <w:p>
      <w:pPr>
        <w:pStyle w:val="ListParagraph"/>
        <w:numPr>
          <w:ilvl w:val="1"/>
          <w:numId w:val="816"/>
        </w:numPr>
        <w:tabs>
          <w:tab w:pos="1159" w:val="left" w:leader="none"/>
        </w:tabs>
        <w:spacing w:line="240" w:lineRule="auto" w:before="0" w:after="0"/>
        <w:ind w:left="1158" w:right="0" w:hanging="319"/>
        <w:jc w:val="left"/>
        <w:rPr>
          <w:sz w:val="21"/>
        </w:rPr>
      </w:pPr>
      <w:r>
        <w:rPr>
          <w:spacing w:val="-3"/>
          <w:sz w:val="21"/>
        </w:rPr>
        <w:t>排水</w:t>
      </w:r>
      <w:r>
        <w:rPr>
          <w:sz w:val="21"/>
        </w:rPr>
        <w:t> </w:t>
      </w:r>
    </w:p>
    <w:p>
      <w:pPr>
        <w:pStyle w:val="BodyText"/>
        <w:spacing w:before="10"/>
        <w:rPr>
          <w:sz w:val="17"/>
        </w:rPr>
      </w:pPr>
    </w:p>
    <w:p>
      <w:pPr>
        <w:pStyle w:val="ListParagraph"/>
        <w:numPr>
          <w:ilvl w:val="2"/>
          <w:numId w:val="816"/>
        </w:numPr>
        <w:tabs>
          <w:tab w:pos="1370" w:val="left" w:leader="none"/>
        </w:tabs>
        <w:spacing w:line="446" w:lineRule="auto" w:before="0" w:after="0"/>
        <w:ind w:left="418" w:right="1498" w:firstLine="422"/>
        <w:jc w:val="left"/>
        <w:rPr>
          <w:sz w:val="21"/>
        </w:rPr>
      </w:pPr>
      <w:r>
        <w:rPr>
          <w:spacing w:val="-3"/>
          <w:sz w:val="21"/>
        </w:rPr>
        <w:t>医院的宿舍区生活污水应直接排入城市污水排水管道，院区内的普通生活污废水有条件时，可直接排入城市污水排水管道。</w:t>
      </w:r>
      <w:r>
        <w:rPr>
          <w:sz w:val="21"/>
        </w:rPr>
        <w:t> </w:t>
      </w:r>
      <w:r>
        <w:rPr>
          <w:spacing w:val="-2"/>
          <w:sz w:val="21"/>
        </w:rPr>
        <w:t> </w:t>
      </w:r>
      <w:r>
        <w:rPr>
          <w:w w:val="100"/>
          <w:sz w:val="21"/>
        </w:rPr>
        <w:t> </w:t>
      </w:r>
    </w:p>
    <w:p>
      <w:pPr>
        <w:pStyle w:val="ListParagraph"/>
        <w:numPr>
          <w:ilvl w:val="2"/>
          <w:numId w:val="816"/>
        </w:numPr>
        <w:tabs>
          <w:tab w:pos="1371" w:val="left" w:leader="none"/>
        </w:tabs>
        <w:spacing w:line="240" w:lineRule="auto" w:before="0" w:after="0"/>
        <w:ind w:left="1370" w:right="0" w:hanging="531"/>
        <w:jc w:val="left"/>
        <w:rPr>
          <w:sz w:val="21"/>
        </w:rPr>
      </w:pPr>
      <w:r>
        <w:rPr>
          <w:spacing w:val="-3"/>
          <w:sz w:val="21"/>
        </w:rPr>
        <w:t>下列场所应采用独立的排水系统或间接排放，并应符合下列要求： </w:t>
      </w:r>
      <w:r>
        <w:rPr>
          <w:spacing w:val="-2"/>
          <w:sz w:val="21"/>
        </w:rPr>
        <w:t> </w:t>
      </w:r>
      <w:r>
        <w:rPr>
          <w:w w:val="100"/>
          <w:sz w:val="21"/>
        </w:rPr>
        <w:t> </w:t>
      </w:r>
    </w:p>
    <w:p>
      <w:pPr>
        <w:pStyle w:val="BodyText"/>
        <w:rPr>
          <w:sz w:val="18"/>
        </w:rPr>
      </w:pPr>
    </w:p>
    <w:p>
      <w:pPr>
        <w:pStyle w:val="BodyText"/>
        <w:ind w:left="838"/>
      </w:pPr>
      <w:r>
        <w:rPr/>
        <w:t>传染病门急诊和病房的污水应单独收集处理；  </w:t>
      </w:r>
      <w:r>
        <w:rPr>
          <w:w w:val="100"/>
        </w:rPr>
        <w:t> </w:t>
      </w:r>
    </w:p>
    <w:p>
      <w:pPr>
        <w:pStyle w:val="BodyText"/>
        <w:spacing w:before="12"/>
        <w:rPr>
          <w:sz w:val="17"/>
        </w:rPr>
      </w:pPr>
    </w:p>
    <w:p>
      <w:pPr>
        <w:pStyle w:val="BodyText"/>
        <w:ind w:left="838"/>
      </w:pPr>
      <w:r>
        <w:rPr/>
        <w:t>放射性废水应单独收集处理；  </w:t>
      </w:r>
      <w:r>
        <w:rPr>
          <w:w w:val="100"/>
        </w:rPr>
        <w:t> </w:t>
      </w:r>
    </w:p>
    <w:p>
      <w:pPr>
        <w:pStyle w:val="BodyText"/>
        <w:spacing w:before="2"/>
        <w:rPr>
          <w:sz w:val="18"/>
        </w:rPr>
      </w:pPr>
    </w:p>
    <w:p>
      <w:pPr>
        <w:pStyle w:val="BodyText"/>
        <w:ind w:left="838"/>
      </w:pPr>
      <w:r>
        <w:rPr/>
        <w:t>牙科废水宜单独收集处理；  </w:t>
      </w:r>
      <w:r>
        <w:rPr>
          <w:w w:val="100"/>
        </w:rPr>
        <w:t> </w:t>
      </w:r>
    </w:p>
    <w:p>
      <w:pPr>
        <w:pStyle w:val="BodyText"/>
        <w:rPr>
          <w:sz w:val="18"/>
        </w:rPr>
      </w:pPr>
    </w:p>
    <w:p>
      <w:pPr>
        <w:pStyle w:val="BodyText"/>
        <w:ind w:left="838"/>
      </w:pPr>
      <w:r>
        <w:rPr/>
        <w:t>锅炉排污水、中心(消毒)供应室的消毒凝结水等，应单独收集并设置降温池或降温井；  </w:t>
      </w:r>
      <w:r>
        <w:rPr>
          <w:w w:val="100"/>
        </w:rPr>
        <w:t> </w:t>
      </w:r>
    </w:p>
    <w:p>
      <w:pPr>
        <w:pStyle w:val="BodyText"/>
        <w:spacing w:before="12"/>
        <w:rPr>
          <w:sz w:val="17"/>
        </w:rPr>
      </w:pPr>
    </w:p>
    <w:p>
      <w:pPr>
        <w:pStyle w:val="BodyText"/>
        <w:spacing w:line="446" w:lineRule="auto"/>
        <w:ind w:left="418" w:right="1609" w:firstLine="419"/>
      </w:pPr>
      <w:r>
        <w:rPr/>
        <w:t>分析化验采用的有腐蚀性的化学试剂宜单独收集，并应综合处理后再排入院区污水管道或回收利用；  </w:t>
      </w:r>
      <w:r>
        <w:rPr>
          <w:w w:val="100"/>
        </w:rPr>
        <w:t> </w:t>
      </w:r>
    </w:p>
    <w:p>
      <w:pPr>
        <w:pStyle w:val="BodyText"/>
        <w:spacing w:before="1"/>
        <w:ind w:left="838"/>
      </w:pPr>
      <w:r>
        <w:rPr/>
        <w:t>其他医疗设备或设施的排水管道应采用间接排水；  </w:t>
      </w:r>
      <w:r>
        <w:rPr>
          <w:w w:val="100"/>
        </w:rPr>
        <w:t> </w:t>
      </w:r>
    </w:p>
    <w:p>
      <w:pPr>
        <w:pStyle w:val="BodyText"/>
        <w:spacing w:before="12"/>
        <w:rPr>
          <w:sz w:val="17"/>
        </w:rPr>
      </w:pPr>
    </w:p>
    <w:p>
      <w:pPr>
        <w:pStyle w:val="BodyText"/>
        <w:spacing w:line="446" w:lineRule="auto"/>
        <w:ind w:left="840" w:right="2134" w:hanging="3"/>
      </w:pPr>
      <w:r>
        <w:rPr>
          <w:spacing w:val="-3"/>
        </w:rPr>
        <w:t>太平间和解剖室应在室内采用独立的排水系统，且主通气管应伸到屋顶无不良处。</w:t>
      </w:r>
      <w:r>
        <w:rPr>
          <w:b/>
          <w:spacing w:val="-3"/>
        </w:rPr>
        <w:t>6.3.3</w:t>
      </w:r>
      <w:r>
        <w:rPr>
          <w:b/>
          <w:spacing w:val="103"/>
        </w:rPr>
        <w:t> </w:t>
      </w:r>
      <w:r>
        <w:rPr>
          <w:spacing w:val="-3"/>
        </w:rPr>
        <w:t>室内卫生间排水系统宜符合下列要求： </w:t>
      </w:r>
      <w:r>
        <w:rPr>
          <w:spacing w:val="-2"/>
        </w:rPr>
        <w:t> </w:t>
      </w:r>
      <w:r>
        <w:rPr>
          <w:w w:val="100"/>
        </w:rPr>
        <w:t> </w:t>
      </w:r>
    </w:p>
    <w:p>
      <w:pPr>
        <w:pStyle w:val="BodyText"/>
        <w:spacing w:line="446" w:lineRule="auto"/>
        <w:ind w:left="418" w:right="1507" w:firstLine="419"/>
      </w:pPr>
      <w:r>
        <w:rPr>
          <w:spacing w:val="-8"/>
        </w:rPr>
        <w:t>当建筑高度超过 </w:t>
      </w:r>
      <w:r>
        <w:rPr/>
        <w:t>2</w:t>
      </w:r>
      <w:r>
        <w:rPr>
          <w:spacing w:val="-11"/>
        </w:rPr>
        <w:t> 层且为暗卫生间或建筑高度超过 </w:t>
      </w:r>
      <w:r>
        <w:rPr/>
        <w:t>10</w:t>
      </w:r>
      <w:r>
        <w:rPr>
          <w:spacing w:val="-8"/>
        </w:rPr>
        <w:t> 层时，卫生间的排水系统可采用专用</w:t>
      </w:r>
      <w:r>
        <w:rPr>
          <w:spacing w:val="-5"/>
        </w:rPr>
        <w:t>通气立管系统；</w:t>
      </w:r>
      <w:r>
        <w:rPr/>
        <w:t> </w:t>
      </w:r>
      <w:r>
        <w:rPr>
          <w:spacing w:val="-2"/>
        </w:rPr>
        <w:t> </w:t>
      </w:r>
      <w:r>
        <w:rPr>
          <w:w w:val="100"/>
        </w:rPr>
        <w:t> </w:t>
      </w:r>
    </w:p>
    <w:p>
      <w:pPr>
        <w:pStyle w:val="BodyText"/>
        <w:ind w:left="838"/>
      </w:pPr>
      <w:r>
        <w:rPr/>
        <w:t>公共卫生间排水横管超过 10.00m 或大便器超过 3 个时，宜采用环行通气管；  </w:t>
      </w:r>
      <w:r>
        <w:rPr>
          <w:w w:val="100"/>
        </w:rPr>
        <w:t> </w:t>
      </w:r>
    </w:p>
    <w:p>
      <w:pPr>
        <w:pStyle w:val="BodyText"/>
        <w:spacing w:before="12"/>
        <w:rPr>
          <w:sz w:val="17"/>
        </w:rPr>
      </w:pPr>
    </w:p>
    <w:p>
      <w:pPr>
        <w:pStyle w:val="BodyText"/>
        <w:ind w:left="838"/>
      </w:pPr>
      <w:r>
        <w:rPr/>
        <w:t>卫生间器具排水支管长度不宜超过 1.50m；  </w:t>
      </w:r>
      <w:r>
        <w:rPr>
          <w:w w:val="100"/>
        </w:rPr>
        <w:t> </w:t>
      </w:r>
    </w:p>
    <w:p>
      <w:pPr>
        <w:pStyle w:val="BodyText"/>
        <w:rPr>
          <w:sz w:val="18"/>
        </w:rPr>
      </w:pPr>
    </w:p>
    <w:p>
      <w:pPr>
        <w:pStyle w:val="BodyText"/>
        <w:ind w:left="838"/>
      </w:pPr>
      <w:r>
        <w:rPr/>
        <w:t>浴缸宜采取防虹吸措施。 </w:t>
      </w:r>
    </w:p>
    <w:p>
      <w:pPr>
        <w:spacing w:after="0"/>
        <w:sectPr>
          <w:pgSz w:w="11910" w:h="16850"/>
          <w:pgMar w:header="0" w:footer="1239" w:top="1220" w:bottom="1420" w:left="1260" w:right="0"/>
        </w:sectPr>
      </w:pPr>
    </w:p>
    <w:p>
      <w:pPr>
        <w:pStyle w:val="ListParagraph"/>
        <w:numPr>
          <w:ilvl w:val="2"/>
          <w:numId w:val="817"/>
        </w:numPr>
        <w:tabs>
          <w:tab w:pos="1370" w:val="left" w:leader="none"/>
        </w:tabs>
        <w:spacing w:line="446" w:lineRule="auto" w:before="47" w:after="0"/>
        <w:ind w:left="418" w:right="1498" w:firstLine="422"/>
        <w:jc w:val="left"/>
        <w:rPr>
          <w:sz w:val="21"/>
        </w:rPr>
      </w:pPr>
      <w:r>
        <w:rPr>
          <w:spacing w:val="-3"/>
          <w:sz w:val="21"/>
        </w:rPr>
        <w:t>中心(消毒)供应室、中药加工室、口腔科等场所的排水管道的管径，应大于计算管径1～2</w:t>
      </w:r>
      <w:r>
        <w:rPr>
          <w:spacing w:val="-15"/>
          <w:sz w:val="21"/>
        </w:rPr>
        <w:t> 级，且不得小于 </w:t>
      </w:r>
      <w:r>
        <w:rPr>
          <w:sz w:val="21"/>
        </w:rPr>
        <w:t>100.00mm</w:t>
      </w:r>
      <w:r>
        <w:rPr>
          <w:spacing w:val="-8"/>
          <w:sz w:val="21"/>
        </w:rPr>
        <w:t>，支管管径不得小于 </w:t>
      </w:r>
      <w:r>
        <w:rPr>
          <w:sz w:val="21"/>
        </w:rPr>
        <w:t>75.00mm。 </w:t>
      </w:r>
      <w:r>
        <w:rPr>
          <w:spacing w:val="-2"/>
          <w:sz w:val="21"/>
        </w:rPr>
        <w:t> </w:t>
      </w:r>
      <w:r>
        <w:rPr>
          <w:w w:val="100"/>
          <w:sz w:val="21"/>
        </w:rPr>
        <w:t> </w:t>
      </w:r>
    </w:p>
    <w:p>
      <w:pPr>
        <w:pStyle w:val="ListParagraph"/>
        <w:numPr>
          <w:ilvl w:val="2"/>
          <w:numId w:val="817"/>
        </w:numPr>
        <w:tabs>
          <w:tab w:pos="1371" w:val="left" w:leader="none"/>
        </w:tabs>
        <w:spacing w:line="446" w:lineRule="auto" w:before="0" w:after="0"/>
        <w:ind w:left="418" w:right="1498" w:firstLine="422"/>
        <w:jc w:val="left"/>
        <w:rPr>
          <w:sz w:val="21"/>
        </w:rPr>
      </w:pPr>
      <w:r>
        <w:rPr>
          <w:spacing w:val="-3"/>
          <w:sz w:val="21"/>
        </w:rPr>
        <w:t>排放含有放射性污水的管道应采用机制含铅的铸铁管道，水平横管应敷设在垫层内或</w:t>
      </w:r>
      <w:r>
        <w:rPr>
          <w:spacing w:val="-6"/>
          <w:sz w:val="21"/>
        </w:rPr>
        <w:t>专用防辐射吊顶内，立管应安装在壁厚不小于 </w:t>
      </w:r>
      <w:r>
        <w:rPr>
          <w:sz w:val="21"/>
        </w:rPr>
        <w:t>150.00mm</w:t>
      </w:r>
      <w:r>
        <w:rPr>
          <w:spacing w:val="-9"/>
          <w:sz w:val="21"/>
        </w:rPr>
        <w:t> 的混凝土管道井内。 </w:t>
      </w:r>
    </w:p>
    <w:p>
      <w:pPr>
        <w:pStyle w:val="ListParagraph"/>
        <w:numPr>
          <w:ilvl w:val="2"/>
          <w:numId w:val="817"/>
        </w:numPr>
        <w:tabs>
          <w:tab w:pos="1370" w:val="left" w:leader="none"/>
        </w:tabs>
        <w:spacing w:line="240" w:lineRule="auto" w:before="0" w:after="0"/>
        <w:ind w:left="1369" w:right="0" w:hanging="530"/>
        <w:jc w:val="left"/>
        <w:rPr>
          <w:sz w:val="21"/>
        </w:rPr>
      </w:pPr>
      <w:r>
        <w:rPr>
          <w:spacing w:val="-7"/>
          <w:sz w:val="21"/>
        </w:rPr>
        <w:t>存水弯的水封高度不得小于 </w:t>
      </w:r>
      <w:r>
        <w:rPr>
          <w:sz w:val="21"/>
        </w:rPr>
        <w:t>50.00mm</w:t>
      </w:r>
      <w:r>
        <w:rPr>
          <w:spacing w:val="-10"/>
          <w:sz w:val="21"/>
        </w:rPr>
        <w:t>，且不得大于 </w:t>
      </w:r>
      <w:r>
        <w:rPr>
          <w:sz w:val="21"/>
        </w:rPr>
        <w:t>100.00mm</w:t>
      </w:r>
      <w:r>
        <w:rPr>
          <w:spacing w:val="-3"/>
          <w:sz w:val="21"/>
        </w:rPr>
        <w:t>。</w:t>
      </w:r>
      <w:r>
        <w:rPr>
          <w:sz w:val="21"/>
        </w:rPr>
        <w:t> </w:t>
      </w:r>
    </w:p>
    <w:p>
      <w:pPr>
        <w:pStyle w:val="BodyText"/>
        <w:spacing w:before="10"/>
        <w:rPr>
          <w:sz w:val="17"/>
        </w:rPr>
      </w:pPr>
    </w:p>
    <w:p>
      <w:pPr>
        <w:pStyle w:val="ListParagraph"/>
        <w:numPr>
          <w:ilvl w:val="2"/>
          <w:numId w:val="817"/>
        </w:numPr>
        <w:tabs>
          <w:tab w:pos="1371" w:val="left" w:leader="none"/>
        </w:tabs>
        <w:spacing w:line="240" w:lineRule="auto" w:before="0" w:after="0"/>
        <w:ind w:left="1370" w:right="0" w:hanging="531"/>
        <w:jc w:val="left"/>
        <w:rPr>
          <w:sz w:val="21"/>
        </w:rPr>
      </w:pPr>
      <w:r>
        <w:rPr>
          <w:spacing w:val="-3"/>
          <w:sz w:val="21"/>
        </w:rPr>
        <w:t>医院地面排水地漏的设置，应符合下列要求： </w:t>
      </w:r>
      <w:r>
        <w:rPr>
          <w:spacing w:val="-2"/>
          <w:sz w:val="21"/>
        </w:rPr>
        <w:t> </w:t>
      </w:r>
      <w:r>
        <w:rPr>
          <w:w w:val="100"/>
          <w:sz w:val="21"/>
        </w:rPr>
        <w:t> </w:t>
      </w:r>
    </w:p>
    <w:p>
      <w:pPr>
        <w:pStyle w:val="BodyText"/>
        <w:spacing w:before="2"/>
        <w:rPr>
          <w:sz w:val="18"/>
        </w:rPr>
      </w:pPr>
    </w:p>
    <w:p>
      <w:pPr>
        <w:pStyle w:val="BodyText"/>
        <w:ind w:left="838"/>
      </w:pPr>
      <w:r>
        <w:rPr/>
        <w:t>浴室和空调机房等经常有水流的房间应设置地漏；  </w:t>
      </w:r>
      <w:r>
        <w:rPr>
          <w:w w:val="100"/>
        </w:rPr>
        <w:t> </w:t>
      </w:r>
    </w:p>
    <w:p>
      <w:pPr>
        <w:pStyle w:val="BodyText"/>
        <w:rPr>
          <w:sz w:val="18"/>
        </w:rPr>
      </w:pPr>
    </w:p>
    <w:p>
      <w:pPr>
        <w:pStyle w:val="BodyText"/>
        <w:ind w:left="838"/>
      </w:pPr>
      <w:r>
        <w:rPr/>
        <w:t>卫生间有可能形成水流的房间宜设置地漏；  </w:t>
      </w:r>
      <w:r>
        <w:rPr>
          <w:w w:val="100"/>
        </w:rPr>
        <w:t> </w:t>
      </w:r>
    </w:p>
    <w:p>
      <w:pPr>
        <w:pStyle w:val="BodyText"/>
        <w:rPr>
          <w:sz w:val="18"/>
        </w:rPr>
      </w:pPr>
    </w:p>
    <w:p>
      <w:pPr>
        <w:pStyle w:val="BodyText"/>
        <w:spacing w:line="446" w:lineRule="auto"/>
        <w:ind w:left="418" w:right="1609" w:firstLine="419"/>
      </w:pPr>
      <w:r>
        <w:rPr/>
        <w:t>对于空调机房等季节性地面排水，以及需要排放冲洗地面、冲洗废水的医疗用房等，应采用可开启式密封地漏；  </w:t>
      </w:r>
      <w:r>
        <w:rPr>
          <w:w w:val="100"/>
        </w:rPr>
        <w:t> </w:t>
      </w:r>
    </w:p>
    <w:p>
      <w:pPr>
        <w:pStyle w:val="BodyText"/>
        <w:spacing w:line="446" w:lineRule="auto"/>
        <w:ind w:left="418" w:right="1609" w:firstLine="419"/>
      </w:pPr>
      <w:r>
        <w:rPr/>
        <w:t>地漏应采用带过滤网的无水封直通型地漏加存水弯，地漏的通水能力应满足地面排水的要求；  </w:t>
      </w:r>
      <w:r>
        <w:rPr>
          <w:w w:val="100"/>
        </w:rPr>
        <w:t> </w:t>
      </w:r>
    </w:p>
    <w:p>
      <w:pPr>
        <w:pStyle w:val="BodyText"/>
        <w:spacing w:line="446" w:lineRule="auto"/>
        <w:ind w:left="840" w:right="4026" w:hanging="3"/>
        <w:rPr>
          <w:b/>
        </w:rPr>
      </w:pPr>
      <w:r>
        <w:rPr/>
        <w:t>地漏附近有洗手盆时，宜采用洗手盆的排水给地漏水封补水。</w:t>
      </w:r>
      <w:r>
        <w:rPr>
          <w:b/>
        </w:rPr>
        <w:t>6.4 </w:t>
      </w:r>
      <w:r>
        <w:rPr/>
        <w:t>热水</w:t>
      </w:r>
      <w:r>
        <w:rPr>
          <w:b/>
          <w:w w:val="99"/>
        </w:rPr>
        <w:t> </w:t>
      </w:r>
    </w:p>
    <w:p>
      <w:pPr>
        <w:pStyle w:val="ListParagraph"/>
        <w:numPr>
          <w:ilvl w:val="2"/>
          <w:numId w:val="818"/>
        </w:numPr>
        <w:tabs>
          <w:tab w:pos="1371" w:val="left" w:leader="none"/>
        </w:tabs>
        <w:spacing w:line="267" w:lineRule="exact" w:before="0" w:after="0"/>
        <w:ind w:left="1370" w:right="0" w:hanging="531"/>
        <w:jc w:val="left"/>
        <w:rPr>
          <w:sz w:val="21"/>
        </w:rPr>
      </w:pPr>
      <w:r>
        <w:rPr>
          <w:spacing w:val="-3"/>
          <w:sz w:val="21"/>
        </w:rPr>
        <w:t>医院生活热水用水量定额及其计算温度，应符合下列要求：</w:t>
      </w:r>
      <w:r>
        <w:rPr>
          <w:sz w:val="21"/>
        </w:rPr>
        <w:t> </w:t>
      </w:r>
    </w:p>
    <w:p>
      <w:pPr>
        <w:pStyle w:val="BodyText"/>
        <w:spacing w:before="1"/>
        <w:rPr>
          <w:sz w:val="18"/>
        </w:rPr>
      </w:pPr>
    </w:p>
    <w:p>
      <w:pPr>
        <w:pStyle w:val="BodyText"/>
        <w:spacing w:line="446" w:lineRule="auto" w:before="1"/>
        <w:ind w:left="838" w:right="2554"/>
      </w:pPr>
      <w:r>
        <w:rPr>
          <w:spacing w:val="-6"/>
        </w:rPr>
        <w:t>医院生活热水用水量定额宜符合表 </w:t>
      </w:r>
      <w:r>
        <w:rPr/>
        <w:t>6.4.1</w:t>
      </w:r>
      <w:r>
        <w:rPr>
          <w:spacing w:val="-8"/>
        </w:rPr>
        <w:t> 的规定，医疗用水应根据工艺确定； </w:t>
      </w:r>
      <w:r>
        <w:rPr>
          <w:spacing w:val="-7"/>
        </w:rPr>
        <w:t>医疗用热水温度应根据工艺确定，其他用途的热水水温宜按 </w:t>
      </w:r>
      <w:r>
        <w:rPr/>
        <w:t>60</w:t>
      </w:r>
      <w:r>
        <w:rPr>
          <w:spacing w:val="-2"/>
        </w:rPr>
        <w:t>℃设计。</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5"/>
        </w:rPr>
      </w:pPr>
    </w:p>
    <w:p>
      <w:pPr>
        <w:pStyle w:val="BodyText"/>
        <w:spacing w:before="72"/>
        <w:ind w:left="838"/>
      </w:pPr>
      <w:r>
        <w:rPr>
          <w:w w:val="100"/>
        </w:rPr>
        <w:t> </w:t>
      </w:r>
    </w:p>
    <w:p>
      <w:pPr>
        <w:spacing w:after="0"/>
        <w:sectPr>
          <w:footerReference w:type="default" r:id="rId447"/>
          <w:pgSz w:w="11910" w:h="16850"/>
          <w:pgMar w:footer="1239" w:header="0" w:top="1220" w:bottom="1420" w:left="1260" w:right="0"/>
          <w:pgNumType w:start="1460"/>
        </w:sectPr>
      </w:pPr>
    </w:p>
    <w:p>
      <w:pPr>
        <w:pStyle w:val="Heading6"/>
        <w:spacing w:before="47"/>
        <w:ind w:left="2729"/>
      </w:pPr>
      <w:r>
        <w:rPr/>
        <w:t>表 6.4.1 医院生活热水(60℃)用水量定额</w:t>
      </w:r>
      <w:r>
        <w:rPr>
          <w:w w:val="99"/>
        </w:rPr>
        <w:t> </w:t>
      </w:r>
    </w:p>
    <w:p>
      <w:pPr>
        <w:pStyle w:val="BodyText"/>
        <w:rPr>
          <w:b/>
          <w:sz w:val="20"/>
        </w:rPr>
      </w:pPr>
    </w:p>
    <w:p>
      <w:pPr>
        <w:pStyle w:val="BodyText"/>
        <w:spacing w:before="3"/>
        <w:rPr>
          <w:b/>
          <w:sz w:val="15"/>
        </w:rPr>
      </w:pPr>
      <w:r>
        <w:rPr/>
        <w:drawing>
          <wp:anchor distT="0" distB="0" distL="0" distR="0" allowOverlap="1" layoutInCell="1" locked="0" behindDoc="0" simplePos="0" relativeHeight="270">
            <wp:simplePos x="0" y="0"/>
            <wp:positionH relativeFrom="page">
              <wp:posOffset>1217930</wp:posOffset>
            </wp:positionH>
            <wp:positionV relativeFrom="paragraph">
              <wp:posOffset>149153</wp:posOffset>
            </wp:positionV>
            <wp:extent cx="4605999" cy="3133725"/>
            <wp:effectExtent l="0" t="0" r="0" b="0"/>
            <wp:wrapTopAndBottom/>
            <wp:docPr id="639" name="image368.jpeg"/>
            <wp:cNvGraphicFramePr>
              <a:graphicFrameLocks noChangeAspect="1"/>
            </wp:cNvGraphicFramePr>
            <a:graphic>
              <a:graphicData uri="http://schemas.openxmlformats.org/drawingml/2006/picture">
                <pic:pic>
                  <pic:nvPicPr>
                    <pic:cNvPr id="640" name="image368.jpeg"/>
                    <pic:cNvPicPr/>
                  </pic:nvPicPr>
                  <pic:blipFill>
                    <a:blip r:embed="rId448" cstate="print"/>
                    <a:stretch>
                      <a:fillRect/>
                    </a:stretch>
                  </pic:blipFill>
                  <pic:spPr>
                    <a:xfrm>
                      <a:off x="0" y="0"/>
                      <a:ext cx="4605999" cy="3133725"/>
                    </a:xfrm>
                    <a:prstGeom prst="rect">
                      <a:avLst/>
                    </a:prstGeom>
                  </pic:spPr>
                </pic:pic>
              </a:graphicData>
            </a:graphic>
          </wp:anchor>
        </w:drawing>
      </w:r>
    </w:p>
    <w:p>
      <w:pPr>
        <w:pStyle w:val="BodyText"/>
        <w:spacing w:before="2"/>
        <w:rPr>
          <w:b/>
          <w:sz w:val="16"/>
        </w:rPr>
      </w:pPr>
    </w:p>
    <w:p>
      <w:pPr>
        <w:pStyle w:val="ListParagraph"/>
        <w:numPr>
          <w:ilvl w:val="2"/>
          <w:numId w:val="818"/>
        </w:numPr>
        <w:tabs>
          <w:tab w:pos="1370" w:val="left" w:leader="none"/>
        </w:tabs>
        <w:spacing w:line="446" w:lineRule="auto" w:before="1" w:after="0"/>
        <w:ind w:left="418" w:right="1498" w:firstLine="422"/>
        <w:jc w:val="left"/>
        <w:rPr>
          <w:sz w:val="21"/>
        </w:rPr>
      </w:pPr>
      <w:r>
        <w:rPr>
          <w:spacing w:val="-3"/>
          <w:sz w:val="21"/>
        </w:rPr>
        <w:t>医院生活热水系统的能源，宜采用废热和太阳能等。当采用太阳能或热泵时，宜采用可自动控制的其他辅助能源。</w:t>
      </w:r>
      <w:r>
        <w:rPr>
          <w:sz w:val="21"/>
        </w:rPr>
        <w:t> </w:t>
      </w:r>
    </w:p>
    <w:p>
      <w:pPr>
        <w:pStyle w:val="ListParagraph"/>
        <w:numPr>
          <w:ilvl w:val="2"/>
          <w:numId w:val="818"/>
        </w:numPr>
        <w:tabs>
          <w:tab w:pos="1371" w:val="left" w:leader="none"/>
        </w:tabs>
        <w:spacing w:line="446" w:lineRule="auto" w:before="0" w:after="0"/>
        <w:ind w:left="418" w:right="1498" w:firstLine="422"/>
        <w:jc w:val="left"/>
        <w:rPr>
          <w:sz w:val="21"/>
        </w:rPr>
      </w:pPr>
      <w:r>
        <w:rPr>
          <w:spacing w:val="-3"/>
          <w:sz w:val="21"/>
        </w:rPr>
        <w:t>热水系统的水加热器宜采用无死水区且效率高的弹性管束、浮动盘管容积或半容积式水加热器。</w:t>
      </w:r>
      <w:r>
        <w:rPr>
          <w:sz w:val="21"/>
        </w:rPr>
        <w:t> </w:t>
      </w:r>
    </w:p>
    <w:p>
      <w:pPr>
        <w:pStyle w:val="ListParagraph"/>
        <w:numPr>
          <w:ilvl w:val="2"/>
          <w:numId w:val="818"/>
        </w:numPr>
        <w:tabs>
          <w:tab w:pos="1370" w:val="left" w:leader="none"/>
        </w:tabs>
        <w:spacing w:line="267" w:lineRule="exact" w:before="0" w:after="0"/>
        <w:ind w:left="1369" w:right="0" w:hanging="530"/>
        <w:jc w:val="left"/>
        <w:rPr>
          <w:sz w:val="21"/>
        </w:rPr>
      </w:pPr>
      <w:r>
        <w:rPr>
          <w:spacing w:val="-6"/>
          <w:sz w:val="21"/>
        </w:rPr>
        <w:t>医院热水系统的热水制备设备不应少于 </w:t>
      </w:r>
      <w:r>
        <w:rPr>
          <w:sz w:val="21"/>
        </w:rPr>
        <w:t>2</w:t>
      </w:r>
      <w:r>
        <w:rPr>
          <w:spacing w:val="-9"/>
          <w:sz w:val="21"/>
        </w:rPr>
        <w:t> 台，当一台检修时，其余设备应能供应</w:t>
      </w:r>
    </w:p>
    <w:p>
      <w:pPr>
        <w:pStyle w:val="BodyText"/>
        <w:spacing w:before="2"/>
        <w:rPr>
          <w:sz w:val="18"/>
        </w:rPr>
      </w:pPr>
    </w:p>
    <w:p>
      <w:pPr>
        <w:pStyle w:val="BodyText"/>
        <w:ind w:left="418"/>
      </w:pPr>
      <w:r>
        <w:rPr/>
        <w:t>60％以上的设计用水量。 </w:t>
      </w:r>
    </w:p>
    <w:p>
      <w:pPr>
        <w:pStyle w:val="BodyText"/>
        <w:spacing w:before="12"/>
        <w:rPr>
          <w:sz w:val="17"/>
        </w:rPr>
      </w:pPr>
    </w:p>
    <w:p>
      <w:pPr>
        <w:pStyle w:val="ListParagraph"/>
        <w:numPr>
          <w:ilvl w:val="2"/>
          <w:numId w:val="818"/>
        </w:numPr>
        <w:tabs>
          <w:tab w:pos="1371" w:val="left" w:leader="none"/>
        </w:tabs>
        <w:spacing w:line="240" w:lineRule="auto" w:before="0" w:after="0"/>
        <w:ind w:left="1370" w:right="0" w:hanging="531"/>
        <w:jc w:val="left"/>
        <w:rPr>
          <w:sz w:val="21"/>
        </w:rPr>
      </w:pPr>
      <w:r>
        <w:rPr>
          <w:spacing w:val="-6"/>
          <w:sz w:val="21"/>
        </w:rPr>
        <w:t>生活热水系统的水加热器出水温度不应低于 </w:t>
      </w:r>
      <w:r>
        <w:rPr>
          <w:sz w:val="21"/>
        </w:rPr>
        <w:t>60℃</w:t>
      </w:r>
      <w:r>
        <w:rPr>
          <w:spacing w:val="-7"/>
          <w:sz w:val="21"/>
        </w:rPr>
        <w:t>，系统回水温度不应低于 </w:t>
      </w:r>
      <w:r>
        <w:rPr>
          <w:sz w:val="21"/>
        </w:rPr>
        <w:t>50</w:t>
      </w:r>
      <w:r>
        <w:rPr>
          <w:spacing w:val="-2"/>
          <w:sz w:val="21"/>
        </w:rPr>
        <w:t>℃。</w:t>
      </w:r>
      <w:r>
        <w:rPr>
          <w:sz w:val="21"/>
        </w:rPr>
        <w:t> </w:t>
      </w:r>
    </w:p>
    <w:p>
      <w:pPr>
        <w:pStyle w:val="BodyText"/>
        <w:rPr>
          <w:sz w:val="18"/>
        </w:rPr>
      </w:pPr>
    </w:p>
    <w:p>
      <w:pPr>
        <w:pStyle w:val="ListParagraph"/>
        <w:numPr>
          <w:ilvl w:val="2"/>
          <w:numId w:val="818"/>
        </w:numPr>
        <w:tabs>
          <w:tab w:pos="1371" w:val="left" w:leader="none"/>
        </w:tabs>
        <w:spacing w:line="240" w:lineRule="auto" w:before="0" w:after="0"/>
        <w:ind w:left="1370" w:right="0" w:hanging="531"/>
        <w:jc w:val="left"/>
        <w:rPr>
          <w:sz w:val="21"/>
        </w:rPr>
      </w:pPr>
      <w:r>
        <w:rPr>
          <w:spacing w:val="-7"/>
          <w:sz w:val="21"/>
        </w:rPr>
        <w:t>当冷、热水供水压力差超过 </w:t>
      </w:r>
      <w:r>
        <w:rPr>
          <w:sz w:val="21"/>
        </w:rPr>
        <w:t>0.02MPa</w:t>
      </w:r>
      <w:r>
        <w:rPr>
          <w:spacing w:val="-8"/>
          <w:sz w:val="21"/>
        </w:rPr>
        <w:t> 时，宜设置平衡阀。</w:t>
      </w:r>
      <w:r>
        <w:rPr>
          <w:sz w:val="21"/>
        </w:rPr>
        <w:t> </w:t>
      </w:r>
    </w:p>
    <w:p>
      <w:pPr>
        <w:pStyle w:val="BodyText"/>
        <w:spacing w:before="2"/>
        <w:rPr>
          <w:sz w:val="18"/>
        </w:rPr>
      </w:pPr>
    </w:p>
    <w:p>
      <w:pPr>
        <w:pStyle w:val="ListParagraph"/>
        <w:numPr>
          <w:ilvl w:val="2"/>
          <w:numId w:val="818"/>
        </w:numPr>
        <w:tabs>
          <w:tab w:pos="1370" w:val="left" w:leader="none"/>
        </w:tabs>
        <w:spacing w:line="446" w:lineRule="auto" w:before="0" w:after="0"/>
        <w:ind w:left="418" w:right="1498" w:firstLine="422"/>
        <w:jc w:val="left"/>
        <w:rPr>
          <w:sz w:val="21"/>
        </w:rPr>
      </w:pPr>
      <w:r>
        <w:rPr>
          <w:spacing w:val="-3"/>
          <w:sz w:val="21"/>
        </w:rPr>
        <w:t>当淋浴或浴缸用水点采用冷、热混合水温控装置时，使用水点出水温度在任何时间均</w:t>
      </w:r>
      <w:r>
        <w:rPr>
          <w:spacing w:val="-13"/>
          <w:sz w:val="21"/>
        </w:rPr>
        <w:t>不应大于 </w:t>
      </w:r>
      <w:r>
        <w:rPr>
          <w:sz w:val="21"/>
        </w:rPr>
        <w:t>49</w:t>
      </w:r>
      <w:r>
        <w:rPr>
          <w:spacing w:val="-2"/>
          <w:sz w:val="21"/>
        </w:rPr>
        <w:t>℃。</w:t>
      </w:r>
      <w:r>
        <w:rPr>
          <w:sz w:val="21"/>
        </w:rPr>
        <w:t> </w:t>
      </w:r>
    </w:p>
    <w:p>
      <w:pPr>
        <w:pStyle w:val="ListParagraph"/>
        <w:numPr>
          <w:ilvl w:val="2"/>
          <w:numId w:val="818"/>
        </w:numPr>
        <w:tabs>
          <w:tab w:pos="1370" w:val="left" w:leader="none"/>
        </w:tabs>
        <w:spacing w:line="267" w:lineRule="exact" w:before="0" w:after="0"/>
        <w:ind w:left="1369" w:right="0" w:hanging="530"/>
        <w:jc w:val="left"/>
        <w:rPr>
          <w:sz w:val="21"/>
        </w:rPr>
      </w:pPr>
      <w:r>
        <w:rPr>
          <w:spacing w:val="-6"/>
          <w:sz w:val="21"/>
        </w:rPr>
        <w:t>热水系统任何用水点在打开用水开关后宜在 </w:t>
      </w:r>
      <w:r>
        <w:rPr>
          <w:sz w:val="21"/>
        </w:rPr>
        <w:t>5～10s</w:t>
      </w:r>
      <w:r>
        <w:rPr>
          <w:spacing w:val="-11"/>
          <w:sz w:val="21"/>
        </w:rPr>
        <w:t> 内出热水。</w:t>
      </w:r>
      <w:r>
        <w:rPr>
          <w:sz w:val="21"/>
        </w:rPr>
        <w:t> </w:t>
      </w:r>
    </w:p>
    <w:p>
      <w:pPr>
        <w:pStyle w:val="BodyText"/>
        <w:spacing w:before="2"/>
        <w:rPr>
          <w:sz w:val="18"/>
        </w:rPr>
      </w:pPr>
    </w:p>
    <w:p>
      <w:pPr>
        <w:pStyle w:val="ListParagraph"/>
        <w:numPr>
          <w:ilvl w:val="2"/>
          <w:numId w:val="818"/>
        </w:numPr>
        <w:tabs>
          <w:tab w:pos="1370" w:val="left" w:leader="none"/>
        </w:tabs>
        <w:spacing w:line="240" w:lineRule="auto" w:before="0" w:after="0"/>
        <w:ind w:left="1369" w:right="0" w:hanging="530"/>
        <w:jc w:val="left"/>
        <w:rPr>
          <w:sz w:val="21"/>
        </w:rPr>
      </w:pPr>
      <w:r>
        <w:rPr>
          <w:spacing w:val="-3"/>
          <w:sz w:val="21"/>
        </w:rPr>
        <w:t>手术部集中刷手池的水龙头应采用恒温供水，且末端温度可调节，供水温度宜为</w:t>
      </w:r>
    </w:p>
    <w:p>
      <w:pPr>
        <w:pStyle w:val="BodyText"/>
        <w:spacing w:before="12"/>
        <w:rPr>
          <w:sz w:val="17"/>
        </w:rPr>
      </w:pPr>
    </w:p>
    <w:p>
      <w:pPr>
        <w:pStyle w:val="BodyText"/>
        <w:ind w:left="418"/>
      </w:pPr>
      <w:r>
        <w:rPr/>
        <w:t>30～35℃。 </w:t>
      </w:r>
    </w:p>
    <w:p>
      <w:pPr>
        <w:pStyle w:val="BodyText"/>
        <w:rPr>
          <w:sz w:val="18"/>
        </w:rPr>
      </w:pPr>
    </w:p>
    <w:p>
      <w:pPr>
        <w:pStyle w:val="ListParagraph"/>
        <w:numPr>
          <w:ilvl w:val="2"/>
          <w:numId w:val="818"/>
        </w:numPr>
        <w:tabs>
          <w:tab w:pos="1478" w:val="left" w:leader="none"/>
        </w:tabs>
        <w:spacing w:line="240" w:lineRule="auto" w:before="0" w:after="0"/>
        <w:ind w:left="1477" w:right="0" w:hanging="638"/>
        <w:jc w:val="left"/>
        <w:rPr>
          <w:sz w:val="21"/>
        </w:rPr>
      </w:pPr>
      <w:r>
        <w:rPr>
          <w:spacing w:val="-5"/>
          <w:sz w:val="21"/>
        </w:rPr>
        <w:t>洗婴池的供水应防止烫伤或冻伤且为恒温，末端温度可调节，供水温度宜为 </w:t>
      </w:r>
      <w:r>
        <w:rPr>
          <w:sz w:val="21"/>
        </w:rPr>
        <w:t>35～</w:t>
      </w:r>
    </w:p>
    <w:p>
      <w:pPr>
        <w:pStyle w:val="BodyText"/>
        <w:spacing w:before="2"/>
        <w:rPr>
          <w:sz w:val="18"/>
        </w:rPr>
      </w:pPr>
    </w:p>
    <w:p>
      <w:pPr>
        <w:pStyle w:val="BodyText"/>
        <w:ind w:left="418"/>
      </w:pPr>
      <w:r>
        <w:rPr/>
        <w:t>40℃。 </w:t>
      </w:r>
    </w:p>
    <w:p>
      <w:pPr>
        <w:pStyle w:val="BodyText"/>
        <w:spacing w:before="12"/>
        <w:rPr>
          <w:sz w:val="17"/>
        </w:rPr>
      </w:pPr>
    </w:p>
    <w:p>
      <w:pPr>
        <w:pStyle w:val="ListParagraph"/>
        <w:numPr>
          <w:ilvl w:val="1"/>
          <w:numId w:val="819"/>
        </w:numPr>
        <w:tabs>
          <w:tab w:pos="1160" w:val="left" w:leader="none"/>
        </w:tabs>
        <w:spacing w:line="240" w:lineRule="auto" w:before="0" w:after="0"/>
        <w:ind w:left="1159" w:right="0" w:hanging="320"/>
        <w:jc w:val="left"/>
        <w:rPr>
          <w:b/>
          <w:sz w:val="21"/>
        </w:rPr>
      </w:pPr>
      <w:r>
        <w:rPr>
          <w:spacing w:val="-3"/>
          <w:sz w:val="21"/>
        </w:rPr>
        <w:t>饮用水</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19"/>
        </w:numPr>
        <w:tabs>
          <w:tab w:pos="1371" w:val="left" w:leader="none"/>
        </w:tabs>
        <w:spacing w:line="240" w:lineRule="auto" w:before="47" w:after="0"/>
        <w:ind w:left="1370" w:right="0" w:hanging="531"/>
        <w:jc w:val="left"/>
        <w:rPr>
          <w:sz w:val="21"/>
        </w:rPr>
      </w:pPr>
      <w:r>
        <w:rPr>
          <w:spacing w:val="-3"/>
          <w:sz w:val="21"/>
        </w:rPr>
        <w:t>饮用水可采用下列方式供应：</w:t>
      </w:r>
      <w:r>
        <w:rPr>
          <w:sz w:val="21"/>
        </w:rPr>
        <w:t> </w:t>
      </w:r>
    </w:p>
    <w:p>
      <w:pPr>
        <w:pStyle w:val="BodyText"/>
        <w:rPr>
          <w:sz w:val="18"/>
        </w:rPr>
      </w:pPr>
    </w:p>
    <w:p>
      <w:pPr>
        <w:pStyle w:val="BodyText"/>
        <w:ind w:left="838"/>
      </w:pPr>
      <w:r>
        <w:rPr/>
        <w:t>当采用管道直饮水系统时，供水点宜根据需要分散设置。 </w:t>
      </w:r>
    </w:p>
    <w:p>
      <w:pPr>
        <w:pStyle w:val="BodyText"/>
        <w:rPr>
          <w:sz w:val="18"/>
        </w:rPr>
      </w:pPr>
    </w:p>
    <w:p>
      <w:pPr>
        <w:pStyle w:val="BodyText"/>
        <w:spacing w:line="446" w:lineRule="auto"/>
        <w:ind w:left="838" w:right="2134"/>
      </w:pPr>
      <w:r>
        <w:rPr>
          <w:spacing w:val="-3"/>
        </w:rPr>
        <w:t>当采用蒸气间接加热时，蒸气开水炉宜集中设置。饮用水供应至护理单元和科室。当采用电开水器时，可在楼层或护理单元、科室设置电开水器。</w:t>
      </w:r>
      <w:r>
        <w:rPr/>
        <w:t> </w:t>
      </w:r>
    </w:p>
    <w:p>
      <w:pPr>
        <w:pStyle w:val="BodyText"/>
        <w:ind w:left="838"/>
      </w:pPr>
      <w:r>
        <w:rPr/>
        <w:t>当采用桶装水饮水机时，供水点宜根据需要分散设置。 </w:t>
      </w:r>
    </w:p>
    <w:p>
      <w:pPr>
        <w:pStyle w:val="BodyText"/>
        <w:spacing w:before="12"/>
        <w:rPr>
          <w:sz w:val="17"/>
        </w:rPr>
      </w:pPr>
    </w:p>
    <w:p>
      <w:pPr>
        <w:pStyle w:val="ListParagraph"/>
        <w:numPr>
          <w:ilvl w:val="2"/>
          <w:numId w:val="819"/>
        </w:numPr>
        <w:tabs>
          <w:tab w:pos="1371" w:val="left" w:leader="none"/>
        </w:tabs>
        <w:spacing w:line="240" w:lineRule="auto" w:before="0" w:after="0"/>
        <w:ind w:left="1370" w:right="0" w:hanging="531"/>
        <w:jc w:val="left"/>
        <w:rPr>
          <w:sz w:val="21"/>
        </w:rPr>
      </w:pPr>
      <w:r>
        <w:rPr>
          <w:spacing w:val="-3"/>
          <w:sz w:val="21"/>
        </w:rPr>
        <w:t>当采用蒸气开水炉和电开水器时，自来水进开水器前应设置过滤器和止回阀。 </w:t>
      </w:r>
    </w:p>
    <w:p>
      <w:pPr>
        <w:pStyle w:val="BodyText"/>
        <w:spacing w:before="2"/>
        <w:rPr>
          <w:sz w:val="18"/>
        </w:rPr>
      </w:pPr>
    </w:p>
    <w:p>
      <w:pPr>
        <w:pStyle w:val="ListParagraph"/>
        <w:numPr>
          <w:ilvl w:val="2"/>
          <w:numId w:val="819"/>
        </w:numPr>
        <w:tabs>
          <w:tab w:pos="1371" w:val="left" w:leader="none"/>
        </w:tabs>
        <w:spacing w:line="240" w:lineRule="auto" w:before="0" w:after="0"/>
        <w:ind w:left="1370" w:right="0" w:hanging="531"/>
        <w:jc w:val="left"/>
        <w:rPr>
          <w:sz w:val="21"/>
        </w:rPr>
      </w:pPr>
      <w:r>
        <w:rPr>
          <w:spacing w:val="-3"/>
          <w:sz w:val="21"/>
        </w:rPr>
        <w:t>当采用管道直饮水系统时，应符合下列要求： </w:t>
      </w:r>
    </w:p>
    <w:p>
      <w:pPr>
        <w:pStyle w:val="BodyText"/>
        <w:rPr>
          <w:sz w:val="18"/>
        </w:rPr>
      </w:pPr>
    </w:p>
    <w:p>
      <w:pPr>
        <w:pStyle w:val="BodyText"/>
        <w:spacing w:line="446" w:lineRule="auto"/>
        <w:ind w:left="418" w:right="1391" w:firstLine="419"/>
      </w:pPr>
      <w:r>
        <w:rPr/>
        <w:t>管道直饮水的水源应符合国家现行标准《生活饮用水卫生标准》GB 5749 和《饮用净水水质标准》CJ 94 等要求。 </w:t>
      </w:r>
    </w:p>
    <w:p>
      <w:pPr>
        <w:pStyle w:val="BodyText"/>
        <w:ind w:left="838"/>
      </w:pPr>
      <w:r>
        <w:rPr/>
        <w:t>管道直饮水水处理宜符合工艺流程要求(图 6.5.3)，最后一级膜过滤应采用孔径为 0.20～</w:t>
      </w:r>
    </w:p>
    <w:p>
      <w:pPr>
        <w:pStyle w:val="BodyText"/>
        <w:spacing w:before="5"/>
        <w:rPr>
          <w:sz w:val="12"/>
        </w:rPr>
      </w:pPr>
      <w:r>
        <w:rPr/>
        <w:drawing>
          <wp:anchor distT="0" distB="0" distL="0" distR="0" allowOverlap="1" layoutInCell="1" locked="0" behindDoc="0" simplePos="0" relativeHeight="271">
            <wp:simplePos x="0" y="0"/>
            <wp:positionH relativeFrom="page">
              <wp:posOffset>1637029</wp:posOffset>
            </wp:positionH>
            <wp:positionV relativeFrom="paragraph">
              <wp:posOffset>126166</wp:posOffset>
            </wp:positionV>
            <wp:extent cx="4800599" cy="971550"/>
            <wp:effectExtent l="0" t="0" r="0" b="0"/>
            <wp:wrapTopAndBottom/>
            <wp:docPr id="641" name="image369.jpeg"/>
            <wp:cNvGraphicFramePr>
              <a:graphicFrameLocks noChangeAspect="1"/>
            </wp:cNvGraphicFramePr>
            <a:graphic>
              <a:graphicData uri="http://schemas.openxmlformats.org/drawingml/2006/picture">
                <pic:pic>
                  <pic:nvPicPr>
                    <pic:cNvPr id="642" name="image369.jpeg"/>
                    <pic:cNvPicPr/>
                  </pic:nvPicPr>
                  <pic:blipFill>
                    <a:blip r:embed="rId449" cstate="print"/>
                    <a:stretch>
                      <a:fillRect/>
                    </a:stretch>
                  </pic:blipFill>
                  <pic:spPr>
                    <a:xfrm>
                      <a:off x="0" y="0"/>
                      <a:ext cx="4800599" cy="971550"/>
                    </a:xfrm>
                    <a:prstGeom prst="rect">
                      <a:avLst/>
                    </a:prstGeom>
                  </pic:spPr>
                </pic:pic>
              </a:graphicData>
            </a:graphic>
          </wp:anchor>
        </w:drawing>
      </w:r>
    </w:p>
    <w:p>
      <w:pPr>
        <w:pStyle w:val="BodyText"/>
        <w:spacing w:before="162"/>
        <w:ind w:left="418"/>
      </w:pPr>
      <w:r>
        <w:rPr/>
        <w:t>0.45μm 的膜。 </w:t>
      </w:r>
    </w:p>
    <w:p>
      <w:pPr>
        <w:pStyle w:val="BodyText"/>
        <w:spacing w:before="2"/>
        <w:rPr>
          <w:sz w:val="18"/>
        </w:rPr>
      </w:pPr>
    </w:p>
    <w:p>
      <w:pPr>
        <w:pStyle w:val="Heading6"/>
        <w:ind w:left="2993"/>
        <w:rPr>
          <w:b w:val="0"/>
        </w:rPr>
      </w:pPr>
      <w:r>
        <w:rPr/>
        <w:t>图 6.5.3 管道直饮水水处理工艺流程</w:t>
      </w:r>
      <w:r>
        <w:rPr>
          <w:b w:val="0"/>
          <w:w w:val="100"/>
        </w:rPr>
        <w:t> </w:t>
      </w:r>
    </w:p>
    <w:p>
      <w:pPr>
        <w:pStyle w:val="BodyText"/>
        <w:rPr>
          <w:sz w:val="18"/>
        </w:rPr>
      </w:pPr>
    </w:p>
    <w:p>
      <w:pPr>
        <w:pStyle w:val="BodyText"/>
        <w:spacing w:line="446" w:lineRule="auto"/>
        <w:ind w:left="418" w:right="1498" w:firstLine="419"/>
      </w:pPr>
      <w:r>
        <w:rPr/>
        <w:t>管道直饮水的宜采用循环供水系统，回水管流速宜为 1.00m／s～1.50m／s，回水经膜滤和消毒后再用。管网末端盲管的最大长度不宜超过 0.50m。 </w:t>
      </w:r>
    </w:p>
    <w:p>
      <w:pPr>
        <w:pStyle w:val="BodyText"/>
        <w:ind w:left="838"/>
      </w:pPr>
      <w:r>
        <w:rPr/>
        <w:t>管道直饮水蓄水箱的有效容积不宜小于最大日用水量的 1.2 倍。 </w:t>
      </w:r>
    </w:p>
    <w:p>
      <w:pPr>
        <w:pStyle w:val="BodyText"/>
        <w:spacing w:before="12"/>
        <w:rPr>
          <w:sz w:val="17"/>
        </w:rPr>
      </w:pPr>
    </w:p>
    <w:p>
      <w:pPr>
        <w:pStyle w:val="BodyText"/>
        <w:ind w:left="838"/>
      </w:pPr>
      <w:r>
        <w:rPr/>
        <w:t>应设水质分析室，直饮水水质分析每班不应少于 2 次。 </w:t>
      </w:r>
    </w:p>
    <w:p>
      <w:pPr>
        <w:pStyle w:val="BodyText"/>
        <w:rPr>
          <w:sz w:val="18"/>
        </w:rPr>
      </w:pPr>
    </w:p>
    <w:p>
      <w:pPr>
        <w:pStyle w:val="ListParagraph"/>
        <w:numPr>
          <w:ilvl w:val="2"/>
          <w:numId w:val="819"/>
        </w:numPr>
        <w:tabs>
          <w:tab w:pos="1370" w:val="left" w:leader="none"/>
        </w:tabs>
        <w:spacing w:line="446" w:lineRule="auto" w:before="0" w:after="0"/>
        <w:ind w:left="418" w:right="1498" w:firstLine="422"/>
        <w:jc w:val="left"/>
        <w:rPr>
          <w:sz w:val="21"/>
        </w:rPr>
      </w:pPr>
      <w:r>
        <w:rPr>
          <w:spacing w:val="-3"/>
          <w:sz w:val="21"/>
        </w:rPr>
        <w:t>饮用水设备和龙头应设置在卫生条件良好、通风的房间或场所，不应设置在公共卫生间内。</w:t>
      </w:r>
      <w:r>
        <w:rPr>
          <w:sz w:val="21"/>
        </w:rPr>
        <w:t> </w:t>
      </w:r>
    </w:p>
    <w:p>
      <w:pPr>
        <w:pStyle w:val="ListParagraph"/>
        <w:numPr>
          <w:ilvl w:val="1"/>
          <w:numId w:val="820"/>
        </w:numPr>
        <w:tabs>
          <w:tab w:pos="1159" w:val="left" w:leader="none"/>
        </w:tabs>
        <w:spacing w:line="240" w:lineRule="auto" w:before="0" w:after="0"/>
        <w:ind w:left="1158" w:right="0" w:hanging="319"/>
        <w:jc w:val="left"/>
        <w:rPr>
          <w:sz w:val="21"/>
        </w:rPr>
      </w:pPr>
      <w:r>
        <w:rPr>
          <w:spacing w:val="-3"/>
          <w:sz w:val="21"/>
        </w:rPr>
        <w:t>制剂和医疗用水 </w:t>
      </w:r>
    </w:p>
    <w:p>
      <w:pPr>
        <w:pStyle w:val="BodyText"/>
        <w:spacing w:before="12"/>
        <w:rPr>
          <w:sz w:val="17"/>
        </w:rPr>
      </w:pPr>
    </w:p>
    <w:p>
      <w:pPr>
        <w:pStyle w:val="ListParagraph"/>
        <w:numPr>
          <w:ilvl w:val="2"/>
          <w:numId w:val="820"/>
        </w:numPr>
        <w:tabs>
          <w:tab w:pos="1371" w:val="left" w:leader="none"/>
        </w:tabs>
        <w:spacing w:line="240" w:lineRule="auto" w:before="0" w:after="0"/>
        <w:ind w:left="1370" w:right="0" w:hanging="531"/>
        <w:jc w:val="left"/>
        <w:rPr>
          <w:sz w:val="21"/>
        </w:rPr>
      </w:pPr>
      <w:r>
        <w:rPr>
          <w:spacing w:val="-3"/>
          <w:sz w:val="21"/>
        </w:rPr>
        <w:t>制剂和医疗用水水质应符合医疗工艺的要求。 </w:t>
      </w:r>
    </w:p>
    <w:p>
      <w:pPr>
        <w:pStyle w:val="BodyText"/>
        <w:spacing w:before="2"/>
        <w:rPr>
          <w:sz w:val="18"/>
        </w:rPr>
      </w:pPr>
    </w:p>
    <w:p>
      <w:pPr>
        <w:pStyle w:val="ListParagraph"/>
        <w:numPr>
          <w:ilvl w:val="2"/>
          <w:numId w:val="820"/>
        </w:numPr>
        <w:tabs>
          <w:tab w:pos="1371" w:val="left" w:leader="none"/>
        </w:tabs>
        <w:spacing w:line="240" w:lineRule="auto" w:before="0" w:after="0"/>
        <w:ind w:left="1370" w:right="0" w:hanging="531"/>
        <w:jc w:val="left"/>
        <w:rPr>
          <w:sz w:val="21"/>
        </w:rPr>
      </w:pPr>
      <w:r>
        <w:rPr>
          <w:spacing w:val="-3"/>
          <w:sz w:val="21"/>
        </w:rPr>
        <w:t>制剂和医疗用水的制备装置应设置在卫生、通风条件良好的房间或场所。 </w:t>
      </w:r>
    </w:p>
    <w:p>
      <w:pPr>
        <w:pStyle w:val="BodyText"/>
        <w:spacing w:before="12"/>
        <w:rPr>
          <w:sz w:val="17"/>
        </w:rPr>
      </w:pPr>
    </w:p>
    <w:p>
      <w:pPr>
        <w:spacing w:before="1"/>
        <w:ind w:left="418" w:right="0" w:firstLine="0"/>
        <w:jc w:val="left"/>
        <w:rPr>
          <w:b/>
          <w:sz w:val="21"/>
        </w:rPr>
      </w:pPr>
      <w:r>
        <w:rPr>
          <w:w w:val="100"/>
          <w:sz w:val="21"/>
        </w:rPr>
        <w:t> </w:t>
      </w:r>
      <w:r>
        <w:rPr>
          <w:sz w:val="21"/>
        </w:rPr>
        <w:t> </w:t>
      </w:r>
      <w:r>
        <w:rPr>
          <w:b/>
          <w:sz w:val="21"/>
        </w:rPr>
        <w:t>6.7 </w:t>
      </w:r>
      <w:r>
        <w:rPr>
          <w:sz w:val="21"/>
        </w:rPr>
        <w:t>消防</w:t>
      </w:r>
      <w:r>
        <w:rPr>
          <w:b/>
          <w:w w:val="99"/>
          <w:sz w:val="21"/>
        </w:rPr>
        <w:t> </w:t>
      </w:r>
    </w:p>
    <w:p>
      <w:pPr>
        <w:pStyle w:val="BodyText"/>
        <w:spacing w:before="12"/>
        <w:rPr>
          <w:b/>
          <w:sz w:val="17"/>
        </w:rPr>
      </w:pPr>
    </w:p>
    <w:p>
      <w:pPr>
        <w:pStyle w:val="ListParagraph"/>
        <w:numPr>
          <w:ilvl w:val="2"/>
          <w:numId w:val="821"/>
        </w:numPr>
        <w:tabs>
          <w:tab w:pos="1371" w:val="left" w:leader="none"/>
        </w:tabs>
        <w:spacing w:line="240" w:lineRule="auto" w:before="0" w:after="0"/>
        <w:ind w:left="1370" w:right="0" w:hanging="531"/>
        <w:jc w:val="left"/>
        <w:rPr>
          <w:sz w:val="21"/>
        </w:rPr>
      </w:pPr>
      <w:r>
        <w:rPr>
          <w:spacing w:val="-3"/>
          <w:sz w:val="21"/>
        </w:rPr>
        <w:t>室内消火栓的布置应符合下列要求：</w:t>
      </w:r>
      <w:r>
        <w:rPr>
          <w:sz w:val="21"/>
        </w:rPr>
        <w:t> </w:t>
      </w:r>
    </w:p>
    <w:p>
      <w:pPr>
        <w:pStyle w:val="BodyText"/>
        <w:spacing w:before="2"/>
        <w:rPr>
          <w:sz w:val="18"/>
        </w:rPr>
      </w:pPr>
    </w:p>
    <w:p>
      <w:pPr>
        <w:pStyle w:val="BodyText"/>
        <w:ind w:left="838"/>
      </w:pPr>
      <w:r>
        <w:rPr/>
        <w:t>消火栓的布置应保证 2 股水柱同时到达任何位置，消火栓宜布置在楼梯口附近。 </w:t>
      </w:r>
    </w:p>
    <w:p>
      <w:pPr>
        <w:spacing w:after="0"/>
        <w:sectPr>
          <w:pgSz w:w="11910" w:h="16850"/>
          <w:pgMar w:header="0" w:footer="1239" w:top="1220" w:bottom="1420" w:left="1260" w:right="0"/>
        </w:sectPr>
      </w:pPr>
    </w:p>
    <w:p>
      <w:pPr>
        <w:pStyle w:val="BodyText"/>
        <w:spacing w:line="446" w:lineRule="auto" w:before="47"/>
        <w:ind w:left="418" w:right="1609" w:firstLine="419"/>
      </w:pPr>
      <w:r>
        <w:rPr/>
        <w:t>手术部的消火栓宜设置在清洁区域的楼梯口附近或走廊。必须设置在洁净区域时，应满足洁净区域的卫生要求。 </w:t>
      </w:r>
    </w:p>
    <w:p>
      <w:pPr>
        <w:pStyle w:val="BodyText"/>
        <w:spacing w:line="267" w:lineRule="exact"/>
        <w:ind w:left="838"/>
      </w:pPr>
      <w:r>
        <w:rPr/>
        <w:t>护士站宜设置消防软管卷盘。 </w:t>
      </w:r>
    </w:p>
    <w:p>
      <w:pPr>
        <w:pStyle w:val="BodyText"/>
        <w:spacing w:before="2"/>
        <w:rPr>
          <w:sz w:val="18"/>
        </w:rPr>
      </w:pPr>
    </w:p>
    <w:p>
      <w:pPr>
        <w:pStyle w:val="ListParagraph"/>
        <w:numPr>
          <w:ilvl w:val="2"/>
          <w:numId w:val="821"/>
        </w:numPr>
        <w:tabs>
          <w:tab w:pos="1371" w:val="left" w:leader="none"/>
        </w:tabs>
        <w:spacing w:line="240" w:lineRule="auto" w:before="0" w:after="0"/>
        <w:ind w:left="1370" w:right="0" w:hanging="531"/>
        <w:jc w:val="left"/>
        <w:rPr>
          <w:sz w:val="21"/>
        </w:rPr>
      </w:pPr>
      <w:r>
        <w:rPr>
          <w:spacing w:val="-3"/>
          <w:sz w:val="21"/>
        </w:rPr>
        <w:t>设置自动喷水灭火系统，应符合下列要求；</w:t>
      </w:r>
      <w:r>
        <w:rPr>
          <w:sz w:val="21"/>
        </w:rPr>
        <w:t> </w:t>
      </w:r>
    </w:p>
    <w:p>
      <w:pPr>
        <w:pStyle w:val="BodyText"/>
        <w:rPr>
          <w:sz w:val="18"/>
        </w:rPr>
      </w:pPr>
    </w:p>
    <w:p>
      <w:pPr>
        <w:pStyle w:val="BodyText"/>
        <w:spacing w:line="446" w:lineRule="auto"/>
        <w:ind w:left="418" w:right="1609" w:firstLine="419"/>
      </w:pPr>
      <w:r>
        <w:rPr/>
        <w:t>建筑物内除与水发生剧烈反应或不宜用水扑救的场所外，均应根据其发生火灾所造成的危险程度，及其扑救难度等实际情况设置洒水喷头； </w:t>
      </w:r>
    </w:p>
    <w:p>
      <w:pPr>
        <w:pStyle w:val="BodyText"/>
        <w:ind w:left="838"/>
      </w:pPr>
      <w:r>
        <w:rPr/>
        <w:t>病房应采用快速反应喷头； </w:t>
      </w:r>
    </w:p>
    <w:p>
      <w:pPr>
        <w:pStyle w:val="BodyText"/>
        <w:rPr>
          <w:sz w:val="18"/>
        </w:rPr>
      </w:pPr>
    </w:p>
    <w:p>
      <w:pPr>
        <w:pStyle w:val="BodyText"/>
        <w:ind w:left="838"/>
      </w:pPr>
      <w:r>
        <w:rPr/>
        <w:t>手术部洁净和清洁走廊宜采用隐蔽型喷头。 </w:t>
      </w:r>
    </w:p>
    <w:p>
      <w:pPr>
        <w:pStyle w:val="BodyText"/>
        <w:spacing w:before="12"/>
        <w:rPr>
          <w:sz w:val="17"/>
        </w:rPr>
      </w:pPr>
    </w:p>
    <w:p>
      <w:pPr>
        <w:pStyle w:val="ListParagraph"/>
        <w:numPr>
          <w:ilvl w:val="2"/>
          <w:numId w:val="821"/>
        </w:numPr>
        <w:tabs>
          <w:tab w:pos="1370" w:val="left" w:leader="none"/>
        </w:tabs>
        <w:spacing w:line="240" w:lineRule="auto" w:before="0" w:after="0"/>
        <w:ind w:left="1369" w:right="0" w:hanging="530"/>
        <w:jc w:val="left"/>
        <w:rPr>
          <w:sz w:val="21"/>
        </w:rPr>
      </w:pPr>
      <w:r>
        <w:rPr>
          <w:spacing w:val="-3"/>
          <w:sz w:val="21"/>
        </w:rPr>
        <w:t>医院的贵重设备用房、病案室和信息中心(网络)机房，应设置气体灭火装置。</w:t>
      </w:r>
      <w:r>
        <w:rPr>
          <w:sz w:val="21"/>
        </w:rPr>
        <w:t> </w:t>
      </w:r>
    </w:p>
    <w:p>
      <w:pPr>
        <w:pStyle w:val="BodyText"/>
        <w:spacing w:before="2"/>
        <w:rPr>
          <w:sz w:val="18"/>
        </w:rPr>
      </w:pPr>
    </w:p>
    <w:p>
      <w:pPr>
        <w:pStyle w:val="ListParagraph"/>
        <w:numPr>
          <w:ilvl w:val="2"/>
          <w:numId w:val="821"/>
        </w:numPr>
        <w:tabs>
          <w:tab w:pos="1370" w:val="left" w:leader="none"/>
        </w:tabs>
        <w:spacing w:line="240" w:lineRule="auto" w:before="0" w:after="0"/>
        <w:ind w:left="1369" w:right="0" w:hanging="530"/>
        <w:jc w:val="left"/>
        <w:rPr>
          <w:sz w:val="21"/>
        </w:rPr>
      </w:pPr>
      <w:r>
        <w:rPr>
          <w:spacing w:val="-3"/>
          <w:sz w:val="21"/>
        </w:rPr>
        <w:t>血液病房、手术室和有创检查的设备机房，不应设置自动灭火系统。 </w:t>
      </w:r>
    </w:p>
    <w:p>
      <w:pPr>
        <w:pStyle w:val="BodyText"/>
        <w:spacing w:before="12"/>
        <w:rPr>
          <w:sz w:val="17"/>
        </w:rPr>
      </w:pPr>
    </w:p>
    <w:p>
      <w:pPr>
        <w:pStyle w:val="ListParagraph"/>
        <w:numPr>
          <w:ilvl w:val="1"/>
          <w:numId w:val="822"/>
        </w:numPr>
        <w:tabs>
          <w:tab w:pos="1159" w:val="left" w:leader="none"/>
        </w:tabs>
        <w:spacing w:line="240" w:lineRule="auto" w:before="0" w:after="0"/>
        <w:ind w:left="1158" w:right="0" w:hanging="319"/>
        <w:jc w:val="left"/>
        <w:rPr>
          <w:b/>
          <w:sz w:val="21"/>
        </w:rPr>
      </w:pPr>
      <w:r>
        <w:rPr>
          <w:spacing w:val="-3"/>
          <w:sz w:val="21"/>
        </w:rPr>
        <w:t>污水处理</w:t>
      </w:r>
      <w:r>
        <w:rPr>
          <w:b/>
          <w:w w:val="99"/>
          <w:sz w:val="21"/>
        </w:rPr>
        <w:t> </w:t>
      </w:r>
    </w:p>
    <w:p>
      <w:pPr>
        <w:pStyle w:val="BodyText"/>
        <w:rPr>
          <w:b/>
          <w:sz w:val="18"/>
        </w:rPr>
      </w:pPr>
    </w:p>
    <w:p>
      <w:pPr>
        <w:pStyle w:val="ListParagraph"/>
        <w:numPr>
          <w:ilvl w:val="2"/>
          <w:numId w:val="822"/>
        </w:numPr>
        <w:tabs>
          <w:tab w:pos="1371" w:val="left" w:leader="none"/>
        </w:tabs>
        <w:spacing w:line="446" w:lineRule="auto" w:before="0" w:after="0"/>
        <w:ind w:left="418" w:right="1447" w:firstLine="422"/>
        <w:jc w:val="left"/>
        <w:rPr>
          <w:sz w:val="21"/>
        </w:rPr>
      </w:pPr>
      <w:r>
        <w:rPr>
          <w:spacing w:val="-3"/>
          <w:sz w:val="21"/>
        </w:rPr>
        <w:t>医疗污水排放应符合现行国家标准《医疗机构水污染物排放标准》</w:t>
      </w:r>
      <w:r>
        <w:rPr>
          <w:sz w:val="21"/>
        </w:rPr>
        <w:t>GB</w:t>
      </w:r>
      <w:r>
        <w:rPr>
          <w:spacing w:val="22"/>
          <w:sz w:val="21"/>
        </w:rPr>
        <w:t> </w:t>
      </w:r>
      <w:r>
        <w:rPr>
          <w:sz w:val="21"/>
        </w:rPr>
        <w:t>18466</w:t>
      </w:r>
      <w:r>
        <w:rPr>
          <w:spacing w:val="-10"/>
          <w:sz w:val="21"/>
        </w:rPr>
        <w:t> 的有关规</w:t>
      </w:r>
      <w:r>
        <w:rPr>
          <w:spacing w:val="-4"/>
          <w:sz w:val="21"/>
        </w:rPr>
        <w:t>定，并应符合下列要求： </w:t>
      </w:r>
      <w:r>
        <w:rPr>
          <w:spacing w:val="-2"/>
          <w:sz w:val="21"/>
        </w:rPr>
        <w:t> </w:t>
      </w:r>
      <w:r>
        <w:rPr>
          <w:w w:val="100"/>
          <w:sz w:val="21"/>
        </w:rPr>
        <w:t> </w:t>
      </w:r>
    </w:p>
    <w:p>
      <w:pPr>
        <w:pStyle w:val="BodyText"/>
        <w:ind w:left="838"/>
        <w:rPr>
          <w:b/>
        </w:rPr>
      </w:pPr>
      <w:r>
        <w:rPr/>
        <w:t>当医疗污水排入有城市污水处理厂的城市排水管道时，应采用消毒处理工艺；  </w:t>
      </w:r>
      <w:r>
        <w:rPr>
          <w:b/>
          <w:w w:val="99"/>
        </w:rPr>
        <w:t> </w:t>
      </w:r>
    </w:p>
    <w:p>
      <w:pPr>
        <w:pStyle w:val="BodyText"/>
        <w:spacing w:before="12"/>
        <w:rPr>
          <w:b/>
          <w:sz w:val="17"/>
        </w:rPr>
      </w:pPr>
    </w:p>
    <w:p>
      <w:pPr>
        <w:pStyle w:val="BodyText"/>
        <w:ind w:left="838"/>
        <w:rPr>
          <w:b/>
        </w:rPr>
      </w:pPr>
      <w:r>
        <w:rPr/>
        <w:t>当医疗污水直接或间接排入自然水体时，应采用二级生化污水处理工艺；  </w:t>
      </w:r>
      <w:r>
        <w:rPr>
          <w:b/>
          <w:w w:val="99"/>
        </w:rPr>
        <w:t> </w:t>
      </w:r>
    </w:p>
    <w:p>
      <w:pPr>
        <w:pStyle w:val="BodyText"/>
        <w:spacing w:before="2"/>
        <w:rPr>
          <w:b/>
          <w:sz w:val="18"/>
        </w:rPr>
      </w:pPr>
    </w:p>
    <w:p>
      <w:pPr>
        <w:pStyle w:val="BodyText"/>
        <w:ind w:left="838"/>
        <w:rPr>
          <w:b/>
        </w:rPr>
      </w:pPr>
      <w:r>
        <w:rPr/>
        <w:t>医疗污水不得作为中水水源。  </w:t>
      </w:r>
      <w:r>
        <w:rPr>
          <w:b/>
          <w:w w:val="99"/>
        </w:rPr>
        <w:t> </w:t>
      </w:r>
    </w:p>
    <w:p>
      <w:pPr>
        <w:pStyle w:val="BodyText"/>
        <w:rPr>
          <w:b/>
          <w:sz w:val="18"/>
        </w:rPr>
      </w:pPr>
    </w:p>
    <w:p>
      <w:pPr>
        <w:pStyle w:val="ListParagraph"/>
        <w:numPr>
          <w:ilvl w:val="2"/>
          <w:numId w:val="822"/>
        </w:numPr>
        <w:tabs>
          <w:tab w:pos="1370" w:val="left" w:leader="none"/>
        </w:tabs>
        <w:spacing w:line="240" w:lineRule="auto" w:before="0" w:after="0"/>
        <w:ind w:left="1369" w:right="0" w:hanging="530"/>
        <w:jc w:val="left"/>
        <w:rPr>
          <w:sz w:val="21"/>
        </w:rPr>
      </w:pPr>
      <w:r>
        <w:rPr>
          <w:spacing w:val="-3"/>
          <w:sz w:val="21"/>
        </w:rPr>
        <w:t>放射性污水的排放，应符合现行国家标准《电离辐射防护与辐射源安全基本标准》</w:t>
      </w:r>
    </w:p>
    <w:p>
      <w:pPr>
        <w:pStyle w:val="BodyText"/>
        <w:spacing w:before="12"/>
        <w:rPr>
          <w:sz w:val="17"/>
        </w:rPr>
      </w:pPr>
    </w:p>
    <w:p>
      <w:pPr>
        <w:spacing w:line="446" w:lineRule="auto" w:before="0"/>
        <w:ind w:left="840" w:right="7967" w:hanging="423"/>
        <w:jc w:val="left"/>
        <w:rPr>
          <w:b/>
          <w:sz w:val="21"/>
        </w:rPr>
      </w:pPr>
      <w:r>
        <w:rPr>
          <w:sz w:val="21"/>
        </w:rPr>
        <w:t>GB 18871 的有关规定。</w:t>
      </w:r>
      <w:r>
        <w:rPr>
          <w:b/>
          <w:sz w:val="21"/>
        </w:rPr>
        <w:t>6.9 </w:t>
      </w:r>
      <w:r>
        <w:rPr>
          <w:sz w:val="21"/>
        </w:rPr>
        <w:t>管材</w:t>
      </w:r>
      <w:r>
        <w:rPr>
          <w:b/>
          <w:w w:val="99"/>
          <w:sz w:val="21"/>
        </w:rPr>
        <w:t> </w:t>
      </w:r>
    </w:p>
    <w:p>
      <w:pPr>
        <w:pStyle w:val="ListParagraph"/>
        <w:numPr>
          <w:ilvl w:val="2"/>
          <w:numId w:val="823"/>
        </w:numPr>
        <w:tabs>
          <w:tab w:pos="1370" w:val="left" w:leader="none"/>
        </w:tabs>
        <w:spacing w:line="446" w:lineRule="auto" w:before="1" w:after="0"/>
        <w:ind w:left="418" w:right="1707" w:firstLine="422"/>
        <w:jc w:val="left"/>
        <w:rPr>
          <w:sz w:val="21"/>
        </w:rPr>
      </w:pPr>
      <w:r>
        <w:rPr>
          <w:spacing w:val="-3"/>
          <w:sz w:val="21"/>
        </w:rPr>
        <w:t>给水和热水系统的管材应根据需要确定，可选用符合国家现行有关标准的不锈钢管、塑料管、塑料与金属复合管和热镀锌钢管等。</w:t>
      </w:r>
      <w:r>
        <w:rPr>
          <w:sz w:val="21"/>
        </w:rPr>
        <w:t> </w:t>
      </w:r>
    </w:p>
    <w:p>
      <w:pPr>
        <w:pStyle w:val="ListParagraph"/>
        <w:numPr>
          <w:ilvl w:val="2"/>
          <w:numId w:val="823"/>
        </w:numPr>
        <w:tabs>
          <w:tab w:pos="1371" w:val="left" w:leader="none"/>
        </w:tabs>
        <w:spacing w:line="446" w:lineRule="auto" w:before="0" w:after="0"/>
        <w:ind w:left="418" w:right="1498" w:firstLine="422"/>
        <w:jc w:val="left"/>
        <w:rPr>
          <w:sz w:val="21"/>
        </w:rPr>
      </w:pPr>
      <w:r>
        <w:rPr>
          <w:spacing w:val="-3"/>
          <w:sz w:val="21"/>
        </w:rPr>
        <w:t>排水系统的管材可选用机制排水铸铁管或塑料管。雨水排水管道应根据建筑高度确定其排水压力，并应选择合适的承压管道。</w:t>
      </w:r>
      <w:r>
        <w:rPr>
          <w:sz w:val="21"/>
        </w:rPr>
        <w:t> </w:t>
      </w:r>
    </w:p>
    <w:p>
      <w:pPr>
        <w:pStyle w:val="ListParagraph"/>
        <w:numPr>
          <w:ilvl w:val="2"/>
          <w:numId w:val="823"/>
        </w:numPr>
        <w:tabs>
          <w:tab w:pos="1371" w:val="left" w:leader="none"/>
        </w:tabs>
        <w:spacing w:line="267" w:lineRule="exact" w:before="0" w:after="0"/>
        <w:ind w:left="1370" w:right="0" w:hanging="531"/>
        <w:jc w:val="left"/>
        <w:rPr>
          <w:sz w:val="21"/>
        </w:rPr>
      </w:pPr>
      <w:r>
        <w:rPr>
          <w:spacing w:val="-3"/>
          <w:sz w:val="21"/>
        </w:rPr>
        <w:t>直饮水系统管材宜采用不锈钢管。</w:t>
      </w:r>
      <w:r>
        <w:rPr>
          <w:sz w:val="21"/>
        </w:rPr>
        <w:t> </w:t>
      </w:r>
    </w:p>
    <w:p>
      <w:pPr>
        <w:pStyle w:val="BodyText"/>
        <w:spacing w:before="1"/>
        <w:rPr>
          <w:sz w:val="18"/>
        </w:rPr>
      </w:pPr>
    </w:p>
    <w:p>
      <w:pPr>
        <w:pStyle w:val="ListParagraph"/>
        <w:numPr>
          <w:ilvl w:val="2"/>
          <w:numId w:val="823"/>
        </w:numPr>
        <w:tabs>
          <w:tab w:pos="1371" w:val="left" w:leader="none"/>
        </w:tabs>
        <w:spacing w:line="240" w:lineRule="auto" w:before="0" w:after="0"/>
        <w:ind w:left="1370" w:right="0" w:hanging="531"/>
        <w:jc w:val="left"/>
        <w:rPr>
          <w:sz w:val="21"/>
        </w:rPr>
      </w:pPr>
      <w:r>
        <w:rPr>
          <w:spacing w:val="-3"/>
          <w:sz w:val="21"/>
        </w:rPr>
        <w:t>在有磁屏蔽的场所应采用紫铜管、塑料管等非磁性管材。</w:t>
      </w:r>
      <w:r>
        <w:rPr>
          <w:sz w:val="21"/>
        </w:rPr>
        <w:t> </w:t>
      </w:r>
    </w:p>
    <w:p>
      <w:pPr>
        <w:pStyle w:val="BodyText"/>
        <w:spacing w:before="9"/>
        <w:rPr>
          <w:sz w:val="15"/>
        </w:rPr>
      </w:pPr>
    </w:p>
    <w:p>
      <w:pPr>
        <w:pStyle w:val="Heading4"/>
      </w:pPr>
      <w:r>
        <w:rPr/>
        <w:t>7 采暖、通风及空调系统</w:t>
      </w:r>
      <w:r>
        <w:rPr>
          <w:w w:val="99"/>
        </w:rPr>
        <w:t> </w:t>
      </w:r>
    </w:p>
    <w:p>
      <w:pPr>
        <w:pStyle w:val="BodyText"/>
        <w:spacing w:before="3"/>
        <w:rPr>
          <w:b/>
          <w:sz w:val="17"/>
        </w:rPr>
      </w:pPr>
    </w:p>
    <w:p>
      <w:pPr>
        <w:pStyle w:val="ListParagraph"/>
        <w:numPr>
          <w:ilvl w:val="1"/>
          <w:numId w:val="824"/>
        </w:numPr>
        <w:tabs>
          <w:tab w:pos="1159" w:val="left" w:leader="none"/>
        </w:tabs>
        <w:spacing w:line="240" w:lineRule="auto" w:before="1" w:after="0"/>
        <w:ind w:left="1158" w:right="0" w:hanging="319"/>
        <w:jc w:val="left"/>
        <w:rPr>
          <w:b/>
          <w:sz w:val="21"/>
        </w:rPr>
      </w:pPr>
      <w:r>
        <w:rPr>
          <w:spacing w:val="-3"/>
          <w:sz w:val="21"/>
        </w:rPr>
        <w:t>一般规定</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24"/>
        </w:numPr>
        <w:tabs>
          <w:tab w:pos="1370" w:val="left" w:leader="none"/>
        </w:tabs>
        <w:spacing w:line="446" w:lineRule="auto" w:before="47" w:after="0"/>
        <w:ind w:left="418" w:right="1498" w:firstLine="422"/>
        <w:jc w:val="left"/>
        <w:rPr>
          <w:sz w:val="21"/>
        </w:rPr>
      </w:pPr>
      <w:r>
        <w:rPr>
          <w:spacing w:val="-3"/>
          <w:sz w:val="21"/>
        </w:rPr>
        <w:t>医院应根据其所在地区的气候条件、医院性质，以及部门、科室的功能要求，确定在全院或局部实施采暖与通风、普通空调或净化空调。</w:t>
      </w:r>
      <w:r>
        <w:rPr>
          <w:sz w:val="21"/>
        </w:rPr>
        <w:t> </w:t>
      </w:r>
    </w:p>
    <w:p>
      <w:pPr>
        <w:pStyle w:val="ListParagraph"/>
        <w:numPr>
          <w:ilvl w:val="2"/>
          <w:numId w:val="824"/>
        </w:numPr>
        <w:tabs>
          <w:tab w:pos="1370" w:val="left" w:leader="none"/>
        </w:tabs>
        <w:spacing w:line="446" w:lineRule="auto" w:before="0" w:after="0"/>
        <w:ind w:left="418" w:right="1445" w:firstLine="422"/>
        <w:jc w:val="left"/>
        <w:rPr>
          <w:sz w:val="21"/>
        </w:rPr>
      </w:pPr>
      <w:r>
        <w:rPr>
          <w:spacing w:val="-4"/>
          <w:sz w:val="21"/>
        </w:rPr>
        <w:t>采用散热器采暖时，应以热水为介质，不应采用蒸气。供水温度不应大于 </w:t>
      </w:r>
      <w:r>
        <w:rPr>
          <w:sz w:val="21"/>
        </w:rPr>
        <w:t>85℃。散热</w:t>
      </w:r>
      <w:r>
        <w:rPr>
          <w:spacing w:val="-3"/>
          <w:sz w:val="21"/>
        </w:rPr>
        <w:t>器应便于清洗消毒。</w:t>
      </w:r>
      <w:r>
        <w:rPr>
          <w:sz w:val="21"/>
        </w:rPr>
        <w:t> </w:t>
      </w:r>
    </w:p>
    <w:p>
      <w:pPr>
        <w:pStyle w:val="ListParagraph"/>
        <w:numPr>
          <w:ilvl w:val="2"/>
          <w:numId w:val="824"/>
        </w:numPr>
        <w:tabs>
          <w:tab w:pos="1370" w:val="left" w:leader="none"/>
        </w:tabs>
        <w:spacing w:line="446" w:lineRule="auto" w:before="0" w:after="0"/>
        <w:ind w:left="418" w:right="1707" w:firstLine="422"/>
        <w:jc w:val="left"/>
        <w:rPr>
          <w:sz w:val="21"/>
        </w:rPr>
      </w:pPr>
      <w:r>
        <w:rPr>
          <w:spacing w:val="-8"/>
          <w:sz w:val="21"/>
        </w:rPr>
        <w:t>符合本规范表 </w:t>
      </w:r>
      <w:r>
        <w:rPr>
          <w:sz w:val="21"/>
        </w:rPr>
        <w:t>7.2.2</w:t>
      </w:r>
      <w:r>
        <w:rPr>
          <w:spacing w:val="-8"/>
          <w:sz w:val="21"/>
        </w:rPr>
        <w:t> 规定的Ⅲ级、Ⅳ级洁净用房，应采用板式或光管式散热器采暖</w:t>
      </w:r>
      <w:r>
        <w:rPr>
          <w:spacing w:val="-4"/>
          <w:sz w:val="21"/>
        </w:rPr>
        <w:t>，且应采取防护、防尘措施。</w:t>
      </w:r>
      <w:r>
        <w:rPr>
          <w:sz w:val="21"/>
        </w:rPr>
        <w:t> </w:t>
      </w:r>
    </w:p>
    <w:p>
      <w:pPr>
        <w:pStyle w:val="ListParagraph"/>
        <w:numPr>
          <w:ilvl w:val="2"/>
          <w:numId w:val="824"/>
        </w:numPr>
        <w:tabs>
          <w:tab w:pos="1370" w:val="left" w:leader="none"/>
        </w:tabs>
        <w:spacing w:line="240" w:lineRule="auto" w:before="0" w:after="0"/>
        <w:ind w:left="1369" w:right="0" w:hanging="530"/>
        <w:jc w:val="left"/>
        <w:rPr>
          <w:sz w:val="21"/>
        </w:rPr>
      </w:pPr>
      <w:r>
        <w:rPr>
          <w:spacing w:val="-8"/>
          <w:sz w:val="21"/>
        </w:rPr>
        <w:t>室内采暖计算温度可按表 </w:t>
      </w:r>
      <w:r>
        <w:rPr>
          <w:sz w:val="21"/>
        </w:rPr>
        <w:t>7.1.4</w:t>
      </w:r>
      <w:r>
        <w:rPr>
          <w:spacing w:val="-10"/>
          <w:sz w:val="21"/>
        </w:rPr>
        <w:t> 的规定选取。 </w:t>
      </w:r>
    </w:p>
    <w:p>
      <w:pPr>
        <w:pStyle w:val="BodyText"/>
        <w:spacing w:before="11"/>
        <w:rPr>
          <w:sz w:val="17"/>
        </w:rPr>
      </w:pPr>
    </w:p>
    <w:p>
      <w:pPr>
        <w:pStyle w:val="Heading6"/>
        <w:ind w:left="3413"/>
      </w:pPr>
      <w:r>
        <w:rPr/>
        <w:t>表 7.1.4 室内采暖计算温度</w:t>
      </w:r>
      <w:r>
        <w:rPr>
          <w:w w:val="99"/>
        </w:rPr>
        <w:t> </w:t>
      </w:r>
    </w:p>
    <w:p>
      <w:pPr>
        <w:pStyle w:val="BodyText"/>
        <w:spacing w:before="7"/>
        <w:rPr>
          <w:b/>
          <w:sz w:val="10"/>
        </w:rPr>
      </w:pPr>
      <w:r>
        <w:rPr/>
        <w:drawing>
          <wp:anchor distT="0" distB="0" distL="0" distR="0" allowOverlap="1" layoutInCell="1" locked="0" behindDoc="0" simplePos="0" relativeHeight="272">
            <wp:simplePos x="0" y="0"/>
            <wp:positionH relativeFrom="page">
              <wp:posOffset>1522730</wp:posOffset>
            </wp:positionH>
            <wp:positionV relativeFrom="paragraph">
              <wp:posOffset>110823</wp:posOffset>
            </wp:positionV>
            <wp:extent cx="4400549" cy="1809750"/>
            <wp:effectExtent l="0" t="0" r="0" b="0"/>
            <wp:wrapTopAndBottom/>
            <wp:docPr id="643" name="image370.jpeg"/>
            <wp:cNvGraphicFramePr>
              <a:graphicFrameLocks noChangeAspect="1"/>
            </wp:cNvGraphicFramePr>
            <a:graphic>
              <a:graphicData uri="http://schemas.openxmlformats.org/drawingml/2006/picture">
                <pic:pic>
                  <pic:nvPicPr>
                    <pic:cNvPr id="644" name="image370.jpeg"/>
                    <pic:cNvPicPr/>
                  </pic:nvPicPr>
                  <pic:blipFill>
                    <a:blip r:embed="rId450" cstate="print"/>
                    <a:stretch>
                      <a:fillRect/>
                    </a:stretch>
                  </pic:blipFill>
                  <pic:spPr>
                    <a:xfrm>
                      <a:off x="0" y="0"/>
                      <a:ext cx="4400549" cy="1809750"/>
                    </a:xfrm>
                    <a:prstGeom prst="rect">
                      <a:avLst/>
                    </a:prstGeom>
                  </pic:spPr>
                </pic:pic>
              </a:graphicData>
            </a:graphic>
          </wp:anchor>
        </w:drawing>
      </w:r>
    </w:p>
    <w:p>
      <w:pPr>
        <w:pStyle w:val="ListParagraph"/>
        <w:numPr>
          <w:ilvl w:val="2"/>
          <w:numId w:val="824"/>
        </w:numPr>
        <w:tabs>
          <w:tab w:pos="1371" w:val="left" w:leader="none"/>
        </w:tabs>
        <w:spacing w:line="446" w:lineRule="auto" w:before="162" w:after="0"/>
        <w:ind w:left="418" w:right="1498" w:firstLine="422"/>
        <w:jc w:val="left"/>
        <w:rPr>
          <w:sz w:val="21"/>
        </w:rPr>
      </w:pPr>
      <w:r>
        <w:rPr>
          <w:spacing w:val="-3"/>
          <w:sz w:val="21"/>
        </w:rPr>
        <w:t>当采用自然通风时，中庭内不宜有遮挡物，当有遮挡物时宜辅之以机械排风。气候条件适合地区，可利用穿堂风，应保持清洁区域位于通风的上风侧。</w:t>
      </w:r>
      <w:r>
        <w:rPr>
          <w:sz w:val="21"/>
        </w:rPr>
        <w:t> </w:t>
      </w:r>
    </w:p>
    <w:p>
      <w:pPr>
        <w:pStyle w:val="ListParagraph"/>
        <w:numPr>
          <w:ilvl w:val="2"/>
          <w:numId w:val="824"/>
        </w:numPr>
        <w:tabs>
          <w:tab w:pos="1371" w:val="left" w:leader="none"/>
        </w:tabs>
        <w:spacing w:line="240" w:lineRule="auto" w:before="0" w:after="0"/>
        <w:ind w:left="1370" w:right="0" w:hanging="531"/>
        <w:jc w:val="left"/>
        <w:rPr>
          <w:sz w:val="21"/>
        </w:rPr>
      </w:pPr>
      <w:r>
        <w:rPr>
          <w:spacing w:val="-3"/>
          <w:sz w:val="21"/>
        </w:rPr>
        <w:t>凡产生气味、水气和潮湿作业的用房，应设机械排风。</w:t>
      </w:r>
      <w:r>
        <w:rPr>
          <w:sz w:val="21"/>
        </w:rPr>
        <w:t> </w:t>
      </w:r>
    </w:p>
    <w:p>
      <w:pPr>
        <w:pStyle w:val="BodyText"/>
        <w:rPr>
          <w:sz w:val="18"/>
        </w:rPr>
      </w:pPr>
    </w:p>
    <w:p>
      <w:pPr>
        <w:pStyle w:val="ListParagraph"/>
        <w:numPr>
          <w:ilvl w:val="2"/>
          <w:numId w:val="824"/>
        </w:numPr>
        <w:tabs>
          <w:tab w:pos="1370" w:val="left" w:leader="none"/>
        </w:tabs>
        <w:spacing w:line="240" w:lineRule="auto" w:before="0" w:after="0"/>
        <w:ind w:left="1369" w:right="0" w:hanging="530"/>
        <w:jc w:val="left"/>
        <w:rPr>
          <w:sz w:val="21"/>
        </w:rPr>
      </w:pPr>
      <w:r>
        <w:rPr>
          <w:spacing w:val="-3"/>
          <w:sz w:val="21"/>
        </w:rPr>
        <w:t>空调系统应符合下列要求：</w:t>
      </w:r>
      <w:r>
        <w:rPr>
          <w:sz w:val="21"/>
        </w:rPr>
        <w:t> </w:t>
      </w:r>
    </w:p>
    <w:p>
      <w:pPr>
        <w:pStyle w:val="BodyText"/>
        <w:spacing w:before="2"/>
        <w:rPr>
          <w:sz w:val="18"/>
        </w:rPr>
      </w:pPr>
    </w:p>
    <w:p>
      <w:pPr>
        <w:pStyle w:val="BodyText"/>
        <w:spacing w:line="446" w:lineRule="auto"/>
        <w:ind w:left="838" w:right="1714"/>
        <w:rPr>
          <w:b/>
        </w:rPr>
      </w:pPr>
      <w:r>
        <w:rPr>
          <w:spacing w:val="-3"/>
        </w:rPr>
        <w:t>应根据室内空调设计参数、医疗设备、卫生学、使用时间、空调负荷等要求合理分区； 各功能区域宜独立，宜单独成系统；</w:t>
      </w:r>
      <w:r>
        <w:rPr>
          <w:b/>
          <w:w w:val="99"/>
        </w:rPr>
        <w:t> </w:t>
      </w:r>
    </w:p>
    <w:p>
      <w:pPr>
        <w:pStyle w:val="BodyText"/>
        <w:spacing w:line="446" w:lineRule="auto"/>
        <w:ind w:left="838" w:right="4026"/>
        <w:rPr>
          <w:b/>
        </w:rPr>
      </w:pPr>
      <w:r>
        <w:rPr>
          <w:spacing w:val="-3"/>
        </w:rPr>
        <w:t>各空调分区应能互相封闭，并应避免空气途径的医院感染；  有洁净度要求的房间和严重污染的房间，应单独成一个系统。</w:t>
      </w:r>
      <w:r>
        <w:rPr>
          <w:b/>
          <w:w w:val="99"/>
        </w:rPr>
        <w:t> </w:t>
      </w:r>
    </w:p>
    <w:p>
      <w:pPr>
        <w:pStyle w:val="ListParagraph"/>
        <w:numPr>
          <w:ilvl w:val="2"/>
          <w:numId w:val="824"/>
        </w:numPr>
        <w:tabs>
          <w:tab w:pos="1371" w:val="left" w:leader="none"/>
        </w:tabs>
        <w:spacing w:line="446" w:lineRule="auto" w:before="0" w:after="0"/>
        <w:ind w:left="418" w:right="1498" w:firstLine="422"/>
        <w:jc w:val="left"/>
        <w:rPr>
          <w:sz w:val="21"/>
        </w:rPr>
      </w:pPr>
      <w:r>
        <w:rPr>
          <w:spacing w:val="-3"/>
          <w:sz w:val="21"/>
        </w:rPr>
        <w:t>无特殊要求时不应在空调机组内安装臭氧等消毒装置。不得使用淋水式空气处理装置。</w:t>
      </w:r>
      <w:r>
        <w:rPr>
          <w:sz w:val="21"/>
        </w:rPr>
        <w:t> </w:t>
      </w:r>
    </w:p>
    <w:p>
      <w:pPr>
        <w:pStyle w:val="ListParagraph"/>
        <w:numPr>
          <w:ilvl w:val="2"/>
          <w:numId w:val="824"/>
        </w:numPr>
        <w:tabs>
          <w:tab w:pos="1370" w:val="left" w:leader="none"/>
        </w:tabs>
        <w:spacing w:line="240" w:lineRule="auto" w:before="0" w:after="0"/>
        <w:ind w:left="1369" w:right="0" w:hanging="530"/>
        <w:jc w:val="left"/>
        <w:rPr>
          <w:sz w:val="21"/>
        </w:rPr>
      </w:pPr>
      <w:r>
        <w:rPr>
          <w:spacing w:val="-3"/>
          <w:sz w:val="21"/>
        </w:rPr>
        <w:t>空调机组宜设置在便于日常检修及更换的机房或设备夹层内。</w:t>
      </w:r>
      <w:r>
        <w:rPr>
          <w:sz w:val="21"/>
        </w:rPr>
        <w:t> </w:t>
      </w:r>
    </w:p>
    <w:p>
      <w:pPr>
        <w:pStyle w:val="BodyText"/>
        <w:spacing w:before="10"/>
        <w:rPr>
          <w:sz w:val="17"/>
        </w:rPr>
      </w:pPr>
    </w:p>
    <w:p>
      <w:pPr>
        <w:pStyle w:val="ListParagraph"/>
        <w:numPr>
          <w:ilvl w:val="2"/>
          <w:numId w:val="824"/>
        </w:numPr>
        <w:tabs>
          <w:tab w:pos="1478" w:val="left" w:leader="none"/>
        </w:tabs>
        <w:spacing w:line="240" w:lineRule="auto" w:before="0" w:after="0"/>
        <w:ind w:left="1477" w:right="0" w:hanging="638"/>
        <w:jc w:val="left"/>
        <w:rPr>
          <w:sz w:val="21"/>
        </w:rPr>
      </w:pPr>
      <w:r>
        <w:rPr>
          <w:spacing w:val="-6"/>
          <w:sz w:val="21"/>
        </w:rPr>
        <w:t>采用集中空调系统医疗用房的送风量不宜低于 </w:t>
      </w:r>
      <w:r>
        <w:rPr>
          <w:sz w:val="21"/>
        </w:rPr>
        <w:t>6</w:t>
      </w:r>
      <w:r>
        <w:rPr>
          <w:spacing w:val="-19"/>
          <w:sz w:val="21"/>
        </w:rPr>
        <w:t> 次 </w:t>
      </w:r>
      <w:r>
        <w:rPr>
          <w:sz w:val="21"/>
        </w:rPr>
        <w:t>／h</w:t>
      </w:r>
      <w:r>
        <w:rPr>
          <w:spacing w:val="-3"/>
          <w:sz w:val="21"/>
        </w:rPr>
        <w:t>。</w:t>
      </w:r>
      <w:r>
        <w:rPr>
          <w:sz w:val="21"/>
        </w:rPr>
        <w:t> </w:t>
      </w:r>
    </w:p>
    <w:p>
      <w:pPr>
        <w:pStyle w:val="BodyText"/>
        <w:rPr>
          <w:sz w:val="18"/>
        </w:rPr>
      </w:pPr>
    </w:p>
    <w:p>
      <w:pPr>
        <w:pStyle w:val="ListParagraph"/>
        <w:numPr>
          <w:ilvl w:val="2"/>
          <w:numId w:val="824"/>
        </w:numPr>
        <w:tabs>
          <w:tab w:pos="1478" w:val="left" w:leader="none"/>
        </w:tabs>
        <w:spacing w:line="446" w:lineRule="auto" w:before="0" w:after="0"/>
        <w:ind w:left="418" w:right="1551" w:firstLine="422"/>
        <w:jc w:val="left"/>
        <w:rPr>
          <w:sz w:val="21"/>
        </w:rPr>
      </w:pPr>
      <w:r>
        <w:rPr>
          <w:spacing w:val="-4"/>
          <w:sz w:val="21"/>
        </w:rPr>
        <w:t>集中空调系统和风机盘管机组的回风口必须设初阻力小于 </w:t>
      </w:r>
      <w:r>
        <w:rPr>
          <w:sz w:val="21"/>
        </w:rPr>
        <w:t>50Pa</w:t>
      </w:r>
      <w:r>
        <w:rPr>
          <w:spacing w:val="-3"/>
          <w:sz w:val="21"/>
        </w:rPr>
        <w:t>、微生物一次通过率</w:t>
      </w:r>
      <w:r>
        <w:rPr>
          <w:spacing w:val="-15"/>
          <w:sz w:val="21"/>
        </w:rPr>
        <w:t>不大于 </w:t>
      </w:r>
      <w:r>
        <w:rPr>
          <w:sz w:val="21"/>
        </w:rPr>
        <w:t>10</w:t>
      </w:r>
      <w:r>
        <w:rPr>
          <w:spacing w:val="-7"/>
          <w:sz w:val="21"/>
        </w:rPr>
        <w:t>％和颗粒物一次计重通过率不大于 </w:t>
      </w:r>
      <w:r>
        <w:rPr>
          <w:sz w:val="21"/>
        </w:rPr>
        <w:t>5</w:t>
      </w:r>
      <w:r>
        <w:rPr>
          <w:spacing w:val="-3"/>
          <w:sz w:val="21"/>
        </w:rPr>
        <w:t>％的过滤设备。</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24"/>
        </w:numPr>
        <w:tabs>
          <w:tab w:pos="1478" w:val="left" w:leader="none"/>
        </w:tabs>
        <w:spacing w:line="240" w:lineRule="auto" w:before="47" w:after="0"/>
        <w:ind w:left="1477" w:right="0" w:hanging="638"/>
        <w:jc w:val="left"/>
        <w:rPr>
          <w:sz w:val="21"/>
        </w:rPr>
      </w:pPr>
      <w:r>
        <w:rPr>
          <w:spacing w:val="-8"/>
          <w:sz w:val="21"/>
        </w:rPr>
        <w:t>当室外可吸入颗粒物 </w:t>
      </w:r>
      <w:r>
        <w:rPr>
          <w:sz w:val="21"/>
        </w:rPr>
        <w:t>PM10</w:t>
      </w:r>
      <w:r>
        <w:rPr>
          <w:spacing w:val="-9"/>
          <w:sz w:val="21"/>
        </w:rPr>
        <w:t> 的年均值未超过现行国家标准《环境空气质量标准》</w:t>
      </w:r>
      <w:r>
        <w:rPr>
          <w:sz w:val="21"/>
        </w:rPr>
        <w:t>GB </w:t>
      </w:r>
    </w:p>
    <w:p>
      <w:pPr>
        <w:pStyle w:val="BodyText"/>
        <w:rPr>
          <w:sz w:val="18"/>
        </w:rPr>
      </w:pPr>
    </w:p>
    <w:p>
      <w:pPr>
        <w:pStyle w:val="BodyText"/>
        <w:ind w:left="418"/>
      </w:pPr>
      <w:r>
        <w:rPr/>
        <w:t>3095 中二类区适用的二级浓度限值时，新风采集口应至少设置粗效和中效两级过滤器，当室外</w:t>
      </w:r>
    </w:p>
    <w:p>
      <w:pPr>
        <w:pStyle w:val="BodyText"/>
        <w:rPr>
          <w:sz w:val="18"/>
        </w:rPr>
      </w:pPr>
    </w:p>
    <w:p>
      <w:pPr>
        <w:pStyle w:val="BodyText"/>
        <w:ind w:left="418"/>
      </w:pPr>
      <w:r>
        <w:rPr/>
        <w:t>PM10 超过年平均二级浓度限值时，应再增加一道高中效过滤器。 </w:t>
      </w:r>
    </w:p>
    <w:p>
      <w:pPr>
        <w:pStyle w:val="BodyText"/>
        <w:spacing w:before="1"/>
        <w:rPr>
          <w:sz w:val="18"/>
        </w:rPr>
      </w:pPr>
    </w:p>
    <w:p>
      <w:pPr>
        <w:pStyle w:val="ListParagraph"/>
        <w:numPr>
          <w:ilvl w:val="2"/>
          <w:numId w:val="824"/>
        </w:numPr>
        <w:tabs>
          <w:tab w:pos="1478" w:val="left" w:leader="none"/>
        </w:tabs>
        <w:spacing w:line="240" w:lineRule="auto" w:before="1" w:after="0"/>
        <w:ind w:left="1477" w:right="0" w:hanging="638"/>
        <w:jc w:val="left"/>
        <w:rPr>
          <w:sz w:val="21"/>
        </w:rPr>
      </w:pPr>
      <w:r>
        <w:rPr>
          <w:spacing w:val="-6"/>
          <w:sz w:val="21"/>
        </w:rPr>
        <w:t>医疗用房的集中空调系统的新风量每人不应低于 </w:t>
      </w:r>
      <w:r>
        <w:rPr>
          <w:sz w:val="21"/>
        </w:rPr>
        <w:t>40m³／h</w:t>
      </w:r>
      <w:r>
        <w:rPr>
          <w:spacing w:val="-8"/>
          <w:sz w:val="21"/>
        </w:rPr>
        <w:t>，或新风量不应小于 </w:t>
      </w:r>
      <w:r>
        <w:rPr>
          <w:sz w:val="21"/>
        </w:rPr>
        <w:t>2</w:t>
      </w:r>
      <w:r>
        <w:rPr>
          <w:spacing w:val="-26"/>
          <w:sz w:val="21"/>
        </w:rPr>
        <w:t> 次</w:t>
      </w:r>
    </w:p>
    <w:p>
      <w:pPr>
        <w:pStyle w:val="BodyText"/>
        <w:spacing w:before="12"/>
        <w:rPr>
          <w:sz w:val="17"/>
        </w:rPr>
      </w:pPr>
    </w:p>
    <w:p>
      <w:pPr>
        <w:pStyle w:val="BodyText"/>
        <w:ind w:left="418"/>
      </w:pPr>
      <w:r>
        <w:rPr/>
        <w:t>／h。对人员多的场所，经过经济和技术比较，宜变新风量运行。 </w:t>
      </w:r>
    </w:p>
    <w:p>
      <w:pPr>
        <w:pStyle w:val="BodyText"/>
        <w:spacing w:before="12"/>
        <w:rPr>
          <w:sz w:val="17"/>
        </w:rPr>
      </w:pPr>
    </w:p>
    <w:p>
      <w:pPr>
        <w:pStyle w:val="ListParagraph"/>
        <w:numPr>
          <w:ilvl w:val="2"/>
          <w:numId w:val="824"/>
        </w:numPr>
        <w:tabs>
          <w:tab w:pos="1478" w:val="left" w:leader="none"/>
        </w:tabs>
        <w:spacing w:line="446" w:lineRule="auto" w:before="0" w:after="0"/>
        <w:ind w:left="418" w:right="1810" w:firstLine="422"/>
        <w:jc w:val="left"/>
        <w:rPr>
          <w:sz w:val="21"/>
        </w:rPr>
      </w:pPr>
      <w:r>
        <w:rPr>
          <w:spacing w:val="-3"/>
          <w:sz w:val="21"/>
        </w:rPr>
        <w:t>核医学检查室、放射治疗室、病理取材室、检验科、传染病病房等含有害微生物、有害气溶胶等污染物质场所的排风，应处理达标后排放。</w:t>
      </w:r>
      <w:r>
        <w:rPr>
          <w:sz w:val="21"/>
        </w:rPr>
        <w:t> </w:t>
      </w:r>
    </w:p>
    <w:p>
      <w:pPr>
        <w:pStyle w:val="ListParagraph"/>
        <w:numPr>
          <w:ilvl w:val="2"/>
          <w:numId w:val="824"/>
        </w:numPr>
        <w:tabs>
          <w:tab w:pos="1478" w:val="left" w:leader="none"/>
        </w:tabs>
        <w:spacing w:line="240" w:lineRule="auto" w:before="1" w:after="0"/>
        <w:ind w:left="1477" w:right="0" w:hanging="638"/>
        <w:jc w:val="left"/>
        <w:rPr>
          <w:sz w:val="21"/>
        </w:rPr>
      </w:pPr>
      <w:r>
        <w:rPr>
          <w:spacing w:val="-3"/>
          <w:sz w:val="21"/>
        </w:rPr>
        <w:t>没有特殊要求的排风机应设在排风管路末端，使整个管路为负压。 </w:t>
      </w:r>
    </w:p>
    <w:p>
      <w:pPr>
        <w:pStyle w:val="BodyText"/>
        <w:spacing w:before="12"/>
        <w:rPr>
          <w:sz w:val="17"/>
        </w:rPr>
      </w:pPr>
    </w:p>
    <w:p>
      <w:pPr>
        <w:pStyle w:val="ListParagraph"/>
        <w:numPr>
          <w:ilvl w:val="2"/>
          <w:numId w:val="824"/>
        </w:numPr>
        <w:tabs>
          <w:tab w:pos="1478" w:val="left" w:leader="none"/>
        </w:tabs>
        <w:spacing w:line="446" w:lineRule="auto" w:before="0" w:after="0"/>
        <w:ind w:left="418" w:right="1601" w:firstLine="422"/>
        <w:jc w:val="left"/>
        <w:rPr>
          <w:sz w:val="21"/>
        </w:rPr>
      </w:pPr>
      <w:r>
        <w:rPr>
          <w:spacing w:val="-3"/>
          <w:sz w:val="21"/>
        </w:rPr>
        <w:t>医院暖通空调设计(包括冷热源)应在保障诊疗与感染控制的前提下，按现行国家标准《公共建筑节能设计标准》</w:t>
      </w:r>
      <w:r>
        <w:rPr>
          <w:sz w:val="21"/>
        </w:rPr>
        <w:t>GB</w:t>
      </w:r>
      <w:r>
        <w:rPr>
          <w:spacing w:val="1"/>
          <w:sz w:val="21"/>
        </w:rPr>
        <w:t> </w:t>
      </w:r>
      <w:r>
        <w:rPr>
          <w:sz w:val="21"/>
        </w:rPr>
        <w:t>50189</w:t>
      </w:r>
      <w:r>
        <w:rPr>
          <w:spacing w:val="-10"/>
          <w:sz w:val="21"/>
        </w:rPr>
        <w:t> 的有关规定执行。</w:t>
      </w:r>
      <w:r>
        <w:rPr>
          <w:sz w:val="21"/>
        </w:rPr>
        <w:t> </w:t>
      </w:r>
    </w:p>
    <w:p>
      <w:pPr>
        <w:pStyle w:val="ListParagraph"/>
        <w:numPr>
          <w:ilvl w:val="1"/>
          <w:numId w:val="824"/>
        </w:numPr>
        <w:tabs>
          <w:tab w:pos="1159" w:val="left" w:leader="none"/>
        </w:tabs>
        <w:spacing w:line="240" w:lineRule="auto" w:before="0" w:after="0"/>
        <w:ind w:left="1158" w:right="0" w:hanging="319"/>
        <w:jc w:val="left"/>
        <w:rPr>
          <w:b/>
          <w:sz w:val="21"/>
        </w:rPr>
      </w:pPr>
      <w:r>
        <w:rPr>
          <w:spacing w:val="-3"/>
          <w:sz w:val="21"/>
        </w:rPr>
        <w:t>洁净用房的通用要求</w:t>
      </w:r>
      <w:r>
        <w:rPr>
          <w:b/>
          <w:w w:val="99"/>
          <w:sz w:val="21"/>
        </w:rPr>
        <w:t> </w:t>
      </w:r>
    </w:p>
    <w:p>
      <w:pPr>
        <w:pStyle w:val="BodyText"/>
        <w:spacing w:before="12"/>
        <w:rPr>
          <w:b/>
          <w:sz w:val="17"/>
        </w:rPr>
      </w:pPr>
    </w:p>
    <w:p>
      <w:pPr>
        <w:pStyle w:val="ListParagraph"/>
        <w:numPr>
          <w:ilvl w:val="2"/>
          <w:numId w:val="824"/>
        </w:numPr>
        <w:tabs>
          <w:tab w:pos="1371" w:val="left" w:leader="none"/>
        </w:tabs>
        <w:spacing w:line="240" w:lineRule="auto" w:before="0" w:after="0"/>
        <w:ind w:left="1370" w:right="0" w:hanging="531"/>
        <w:jc w:val="left"/>
        <w:rPr>
          <w:sz w:val="21"/>
        </w:rPr>
      </w:pPr>
      <w:r>
        <w:rPr>
          <w:spacing w:val="-3"/>
          <w:sz w:val="21"/>
        </w:rPr>
        <w:t>应根据需要和可能选用洁净用房。</w:t>
      </w:r>
      <w:r>
        <w:rPr>
          <w:sz w:val="21"/>
        </w:rPr>
        <w:t> </w:t>
      </w:r>
    </w:p>
    <w:p>
      <w:pPr>
        <w:pStyle w:val="BodyText"/>
        <w:spacing w:before="2"/>
        <w:rPr>
          <w:sz w:val="18"/>
        </w:rPr>
      </w:pPr>
    </w:p>
    <w:p>
      <w:pPr>
        <w:pStyle w:val="ListParagraph"/>
        <w:numPr>
          <w:ilvl w:val="2"/>
          <w:numId w:val="824"/>
        </w:numPr>
        <w:tabs>
          <w:tab w:pos="1371" w:val="left" w:leader="none"/>
        </w:tabs>
        <w:spacing w:line="446" w:lineRule="auto" w:before="0" w:after="0"/>
        <w:ind w:left="418" w:right="1402" w:firstLine="422"/>
        <w:jc w:val="left"/>
        <w:rPr>
          <w:sz w:val="21"/>
        </w:rPr>
      </w:pPr>
      <w:r>
        <w:rPr>
          <w:spacing w:val="-3"/>
          <w:sz w:val="21"/>
        </w:rPr>
        <w:t>洁净用房(不含洁净手术室)在空态或静态条件下，细菌浓度(沉降菌法浓度或浮游 菌</w:t>
      </w:r>
      <w:r>
        <w:rPr>
          <w:spacing w:val="-7"/>
          <w:sz w:val="21"/>
        </w:rPr>
        <w:t>法浓度)和空气含尘浓度应按表 </w:t>
      </w:r>
      <w:r>
        <w:rPr>
          <w:sz w:val="21"/>
        </w:rPr>
        <w:t>7.2.2</w:t>
      </w:r>
      <w:r>
        <w:rPr>
          <w:spacing w:val="-12"/>
          <w:sz w:val="21"/>
        </w:rPr>
        <w:t> 分级。换气次数不应超过表 </w:t>
      </w:r>
      <w:r>
        <w:rPr>
          <w:sz w:val="21"/>
        </w:rPr>
        <w:t>7.2.2</w:t>
      </w:r>
      <w:r>
        <w:rPr>
          <w:spacing w:val="-16"/>
          <w:sz w:val="21"/>
        </w:rPr>
        <w:t> 规定上限的 </w:t>
      </w:r>
      <w:r>
        <w:rPr>
          <w:sz w:val="21"/>
        </w:rPr>
        <w:t>1.2</w:t>
      </w:r>
      <w:r>
        <w:rPr>
          <w:spacing w:val="-19"/>
          <w:sz w:val="21"/>
        </w:rPr>
        <w:t> 倍。</w:t>
      </w:r>
      <w:r>
        <w:rPr>
          <w:sz w:val="21"/>
        </w:rPr>
        <w:t> </w:t>
      </w:r>
    </w:p>
    <w:p>
      <w:pPr>
        <w:pStyle w:val="Heading6"/>
        <w:spacing w:line="267" w:lineRule="exact"/>
        <w:ind w:left="2677"/>
      </w:pPr>
      <w:r>
        <w:rPr/>
        <w:t>表 7.2.2 洁净用房的分级标准(空态或静态) </w:t>
      </w:r>
    </w:p>
    <w:p>
      <w:pPr>
        <w:pStyle w:val="BodyText"/>
        <w:spacing w:before="4"/>
        <w:rPr>
          <w:b/>
          <w:sz w:val="13"/>
        </w:rPr>
      </w:pPr>
      <w:r>
        <w:rPr/>
        <w:drawing>
          <wp:anchor distT="0" distB="0" distL="0" distR="0" allowOverlap="1" layoutInCell="1" locked="0" behindDoc="0" simplePos="0" relativeHeight="273">
            <wp:simplePos x="0" y="0"/>
            <wp:positionH relativeFrom="page">
              <wp:posOffset>1301114</wp:posOffset>
            </wp:positionH>
            <wp:positionV relativeFrom="paragraph">
              <wp:posOffset>133516</wp:posOffset>
            </wp:positionV>
            <wp:extent cx="5048059" cy="4130230"/>
            <wp:effectExtent l="0" t="0" r="0" b="0"/>
            <wp:wrapTopAndBottom/>
            <wp:docPr id="645" name="image371.jpeg"/>
            <wp:cNvGraphicFramePr>
              <a:graphicFrameLocks noChangeAspect="1"/>
            </wp:cNvGraphicFramePr>
            <a:graphic>
              <a:graphicData uri="http://schemas.openxmlformats.org/drawingml/2006/picture">
                <pic:pic>
                  <pic:nvPicPr>
                    <pic:cNvPr id="646" name="image371.jpeg"/>
                    <pic:cNvPicPr/>
                  </pic:nvPicPr>
                  <pic:blipFill>
                    <a:blip r:embed="rId451" cstate="print"/>
                    <a:stretch>
                      <a:fillRect/>
                    </a:stretch>
                  </pic:blipFill>
                  <pic:spPr>
                    <a:xfrm>
                      <a:off x="0" y="0"/>
                      <a:ext cx="5048059" cy="4130230"/>
                    </a:xfrm>
                    <a:prstGeom prst="rect">
                      <a:avLst/>
                    </a:prstGeom>
                  </pic:spPr>
                </pic:pic>
              </a:graphicData>
            </a:graphic>
          </wp:anchor>
        </w:drawing>
      </w:r>
    </w:p>
    <w:p>
      <w:pPr>
        <w:spacing w:after="0"/>
        <w:rPr>
          <w:sz w:val="13"/>
        </w:rPr>
        <w:sectPr>
          <w:pgSz w:w="11910" w:h="16850"/>
          <w:pgMar w:header="0" w:footer="1239" w:top="1220" w:bottom="1420" w:left="1260" w:right="0"/>
        </w:sectPr>
      </w:pPr>
    </w:p>
    <w:p>
      <w:pPr>
        <w:pStyle w:val="BodyText"/>
        <w:spacing w:before="47"/>
        <w:ind w:left="838"/>
      </w:pPr>
      <w:r>
        <w:rPr/>
        <w:t>注：局部集中送风时的标准。若全室为单向流时，局部标准应为全室标准。 </w:t>
      </w:r>
    </w:p>
    <w:p>
      <w:pPr>
        <w:pStyle w:val="BodyText"/>
        <w:rPr>
          <w:sz w:val="18"/>
        </w:rPr>
      </w:pPr>
    </w:p>
    <w:p>
      <w:pPr>
        <w:pStyle w:val="ListParagraph"/>
        <w:numPr>
          <w:ilvl w:val="2"/>
          <w:numId w:val="824"/>
        </w:numPr>
        <w:tabs>
          <w:tab w:pos="1371" w:val="left" w:leader="none"/>
        </w:tabs>
        <w:spacing w:line="446" w:lineRule="auto" w:before="0" w:after="0"/>
        <w:ind w:left="418" w:right="1498" w:firstLine="422"/>
        <w:jc w:val="left"/>
        <w:rPr>
          <w:sz w:val="21"/>
        </w:rPr>
      </w:pPr>
      <w:r>
        <w:rPr>
          <w:spacing w:val="-3"/>
          <w:sz w:val="21"/>
        </w:rPr>
        <w:t>Ⅰ级洁净用房的送风末端应设高效过滤器，Ⅱ级洁净用房送风末端可设高效或亚高效过滤器，Ⅲ级洁净用房的送风末端可设亚高效过滤器，Ⅳ级洁净用房的送风末端可设高中效过滤器。</w:t>
      </w:r>
      <w:r>
        <w:rPr>
          <w:sz w:val="21"/>
        </w:rPr>
        <w:t> </w:t>
      </w:r>
    </w:p>
    <w:p>
      <w:pPr>
        <w:pStyle w:val="ListParagraph"/>
        <w:numPr>
          <w:ilvl w:val="2"/>
          <w:numId w:val="824"/>
        </w:numPr>
        <w:tabs>
          <w:tab w:pos="1370" w:val="left" w:leader="none"/>
        </w:tabs>
        <w:spacing w:line="268" w:lineRule="exact" w:before="0" w:after="0"/>
        <w:ind w:left="1369" w:right="0" w:hanging="530"/>
        <w:jc w:val="left"/>
        <w:rPr>
          <w:sz w:val="21"/>
        </w:rPr>
      </w:pPr>
      <w:r>
        <w:rPr>
          <w:spacing w:val="-3"/>
          <w:sz w:val="21"/>
        </w:rPr>
        <w:t>洁净用房应采用阻隔式空气净化装置作为房间的送风末端。</w:t>
      </w:r>
      <w:r>
        <w:rPr>
          <w:sz w:val="21"/>
        </w:rPr>
        <w:t> </w:t>
      </w:r>
    </w:p>
    <w:p>
      <w:pPr>
        <w:pStyle w:val="BodyText"/>
        <w:rPr>
          <w:sz w:val="18"/>
        </w:rPr>
      </w:pPr>
    </w:p>
    <w:p>
      <w:pPr>
        <w:pStyle w:val="ListParagraph"/>
        <w:numPr>
          <w:ilvl w:val="2"/>
          <w:numId w:val="824"/>
        </w:numPr>
        <w:tabs>
          <w:tab w:pos="1370" w:val="left" w:leader="none"/>
        </w:tabs>
        <w:spacing w:line="446" w:lineRule="auto" w:before="0" w:after="0"/>
        <w:ind w:left="418" w:right="1498" w:firstLine="422"/>
        <w:jc w:val="left"/>
        <w:rPr>
          <w:sz w:val="21"/>
        </w:rPr>
      </w:pPr>
      <w:r>
        <w:rPr>
          <w:spacing w:val="-3"/>
          <w:sz w:val="21"/>
        </w:rPr>
        <w:t>洁净用房内不应采用普通的风机盘管机组或空调器。Ⅲ级、Ⅳ级洁净用房内采用带亚高效或高中效过滤器的净化风机盘管机组或立柜式净化空调器时，新风可集中供给或设立独立的新风机组。</w:t>
      </w:r>
      <w:r>
        <w:rPr>
          <w:sz w:val="21"/>
        </w:rPr>
        <w:t> </w:t>
      </w:r>
    </w:p>
    <w:p>
      <w:pPr>
        <w:pStyle w:val="ListParagraph"/>
        <w:numPr>
          <w:ilvl w:val="2"/>
          <w:numId w:val="824"/>
        </w:numPr>
        <w:tabs>
          <w:tab w:pos="1370" w:val="left" w:leader="none"/>
        </w:tabs>
        <w:spacing w:line="268" w:lineRule="exact" w:before="0" w:after="0"/>
        <w:ind w:left="1369" w:right="0" w:hanging="530"/>
        <w:jc w:val="left"/>
        <w:rPr>
          <w:sz w:val="21"/>
        </w:rPr>
      </w:pPr>
      <w:r>
        <w:rPr>
          <w:spacing w:val="-3"/>
          <w:sz w:val="21"/>
        </w:rPr>
        <w:t>洁净用房室内(不含走廊)不宜采用上送上回气流组织。</w:t>
      </w:r>
      <w:r>
        <w:rPr>
          <w:sz w:val="21"/>
        </w:rPr>
        <w:t> </w:t>
      </w:r>
    </w:p>
    <w:p>
      <w:pPr>
        <w:pStyle w:val="BodyText"/>
        <w:spacing w:before="1"/>
        <w:rPr>
          <w:sz w:val="18"/>
        </w:rPr>
      </w:pPr>
    </w:p>
    <w:p>
      <w:pPr>
        <w:pStyle w:val="ListParagraph"/>
        <w:numPr>
          <w:ilvl w:val="2"/>
          <w:numId w:val="824"/>
        </w:numPr>
        <w:tabs>
          <w:tab w:pos="1370" w:val="left" w:leader="none"/>
        </w:tabs>
        <w:spacing w:line="240" w:lineRule="auto" w:before="1" w:after="0"/>
        <w:ind w:left="1369" w:right="0" w:hanging="530"/>
        <w:jc w:val="left"/>
        <w:rPr>
          <w:sz w:val="21"/>
        </w:rPr>
      </w:pPr>
      <w:r>
        <w:rPr>
          <w:spacing w:val="-3"/>
          <w:sz w:val="21"/>
        </w:rPr>
        <w:t>洁净用房的患者通道上不应设置空气吹淋室。 </w:t>
      </w:r>
    </w:p>
    <w:p>
      <w:pPr>
        <w:pStyle w:val="BodyText"/>
        <w:spacing w:before="12"/>
        <w:rPr>
          <w:sz w:val="17"/>
        </w:rPr>
      </w:pPr>
    </w:p>
    <w:p>
      <w:pPr>
        <w:pStyle w:val="ListParagraph"/>
        <w:numPr>
          <w:ilvl w:val="2"/>
          <w:numId w:val="824"/>
        </w:numPr>
        <w:tabs>
          <w:tab w:pos="1370" w:val="left" w:leader="none"/>
        </w:tabs>
        <w:spacing w:line="446" w:lineRule="auto" w:before="0" w:after="0"/>
        <w:ind w:left="418" w:right="1498" w:firstLine="422"/>
        <w:jc w:val="left"/>
        <w:rPr>
          <w:sz w:val="21"/>
        </w:rPr>
      </w:pPr>
      <w:r>
        <w:rPr>
          <w:spacing w:val="-5"/>
          <w:sz w:val="21"/>
        </w:rPr>
        <w:t>净化空调系统应在新风口、回风口和空调机组正压出风面、送风口 </w:t>
      </w:r>
      <w:r>
        <w:rPr>
          <w:sz w:val="21"/>
        </w:rPr>
        <w:t>3</w:t>
      </w:r>
      <w:r>
        <w:rPr>
          <w:spacing w:val="-7"/>
          <w:sz w:val="21"/>
        </w:rPr>
        <w:t> 处设置空气过滤</w:t>
      </w:r>
      <w:r>
        <w:rPr>
          <w:spacing w:val="-5"/>
          <w:sz w:val="21"/>
        </w:rPr>
        <w:t>器。</w:t>
      </w:r>
      <w:r>
        <w:rPr>
          <w:sz w:val="21"/>
        </w:rPr>
        <w:t> </w:t>
      </w:r>
    </w:p>
    <w:p>
      <w:pPr>
        <w:pStyle w:val="ListParagraph"/>
        <w:numPr>
          <w:ilvl w:val="1"/>
          <w:numId w:val="824"/>
        </w:numPr>
        <w:tabs>
          <w:tab w:pos="1160" w:val="left" w:leader="none"/>
        </w:tabs>
        <w:spacing w:line="240" w:lineRule="auto" w:before="0" w:after="0"/>
        <w:ind w:left="1159" w:right="0" w:hanging="320"/>
        <w:jc w:val="left"/>
        <w:rPr>
          <w:b/>
          <w:sz w:val="21"/>
        </w:rPr>
      </w:pPr>
      <w:r>
        <w:rPr>
          <w:spacing w:val="-3"/>
          <w:sz w:val="21"/>
        </w:rPr>
        <w:t>门诊部</w:t>
      </w:r>
      <w:r>
        <w:rPr>
          <w:b/>
          <w:w w:val="99"/>
          <w:sz w:val="21"/>
        </w:rPr>
        <w:t> </w:t>
      </w:r>
    </w:p>
    <w:p>
      <w:pPr>
        <w:pStyle w:val="BodyText"/>
        <w:rPr>
          <w:b/>
          <w:sz w:val="18"/>
        </w:rPr>
      </w:pPr>
    </w:p>
    <w:p>
      <w:pPr>
        <w:pStyle w:val="ListParagraph"/>
        <w:numPr>
          <w:ilvl w:val="2"/>
          <w:numId w:val="824"/>
        </w:numPr>
        <w:tabs>
          <w:tab w:pos="1371" w:val="left" w:leader="none"/>
        </w:tabs>
        <w:spacing w:line="446" w:lineRule="auto" w:before="0" w:after="0"/>
        <w:ind w:left="418" w:right="1498" w:firstLine="422"/>
        <w:jc w:val="left"/>
        <w:rPr>
          <w:sz w:val="21"/>
        </w:rPr>
      </w:pPr>
      <w:r>
        <w:rPr>
          <w:spacing w:val="-3"/>
          <w:sz w:val="21"/>
        </w:rPr>
        <w:t>门诊部应采用自然通风。当采用采暖系统时，候诊区、办公室等的冬季采暖设计温度</w:t>
      </w:r>
      <w:r>
        <w:rPr>
          <w:spacing w:val="-13"/>
          <w:sz w:val="21"/>
        </w:rPr>
        <w:t>不应低于 </w:t>
      </w:r>
      <w:r>
        <w:rPr>
          <w:sz w:val="21"/>
        </w:rPr>
        <w:t>18</w:t>
      </w:r>
      <w:r>
        <w:rPr>
          <w:spacing w:val="-6"/>
          <w:sz w:val="21"/>
        </w:rPr>
        <w:t>℃。当采用空调系统时，夏季空调设计温度不宜高于 </w:t>
      </w:r>
      <w:r>
        <w:rPr>
          <w:sz w:val="21"/>
        </w:rPr>
        <w:t>26</w:t>
      </w:r>
      <w:r>
        <w:rPr>
          <w:spacing w:val="-2"/>
          <w:sz w:val="21"/>
        </w:rPr>
        <w:t>℃。</w:t>
      </w:r>
      <w:r>
        <w:rPr>
          <w:sz w:val="21"/>
        </w:rPr>
        <w:t> </w:t>
      </w:r>
    </w:p>
    <w:p>
      <w:pPr>
        <w:pStyle w:val="ListParagraph"/>
        <w:numPr>
          <w:ilvl w:val="2"/>
          <w:numId w:val="824"/>
        </w:numPr>
        <w:tabs>
          <w:tab w:pos="1371" w:val="left" w:leader="none"/>
        </w:tabs>
        <w:spacing w:line="446" w:lineRule="auto" w:before="0" w:after="0"/>
        <w:ind w:left="418" w:right="1498" w:firstLine="422"/>
        <w:jc w:val="left"/>
        <w:rPr>
          <w:sz w:val="21"/>
        </w:rPr>
      </w:pPr>
      <w:r>
        <w:rPr>
          <w:spacing w:val="-3"/>
          <w:sz w:val="21"/>
        </w:rPr>
        <w:t>当医院的门厅采用空调时应减少室外空气流入，并应维持室内定向的空气流动和热环境。中庭式的门厅，宜采用分层空调，冬季可设置其他补充采暖装置。</w:t>
      </w:r>
      <w:r>
        <w:rPr>
          <w:sz w:val="21"/>
        </w:rPr>
        <w:t> </w:t>
      </w:r>
    </w:p>
    <w:p>
      <w:pPr>
        <w:pStyle w:val="ListParagraph"/>
        <w:numPr>
          <w:ilvl w:val="2"/>
          <w:numId w:val="824"/>
        </w:numPr>
        <w:tabs>
          <w:tab w:pos="1371" w:val="left" w:leader="none"/>
        </w:tabs>
        <w:spacing w:line="446" w:lineRule="auto" w:before="0" w:after="0"/>
        <w:ind w:left="418" w:right="1498" w:firstLine="422"/>
        <w:jc w:val="left"/>
        <w:rPr>
          <w:sz w:val="21"/>
        </w:rPr>
      </w:pPr>
      <w:r>
        <w:rPr>
          <w:spacing w:val="-3"/>
          <w:sz w:val="21"/>
        </w:rPr>
        <w:t>候诊区的空调系统，应结合平面布局使空气从清洁区流向非清洁区。其中，小儿科候诊室和诊室对其他区域应为正压。隔离诊室及其候诊前室应采用单独的空调系统，其回风应有中效(含)以上的过滤器。当与其他诊室为同一空调系统时，应单独设回(排)风，并应维持室内负压。</w:t>
      </w:r>
      <w:r>
        <w:rPr>
          <w:sz w:val="21"/>
        </w:rPr>
        <w:t> </w:t>
      </w:r>
    </w:p>
    <w:p>
      <w:pPr>
        <w:pStyle w:val="ListParagraph"/>
        <w:numPr>
          <w:ilvl w:val="2"/>
          <w:numId w:val="824"/>
        </w:numPr>
        <w:tabs>
          <w:tab w:pos="1370" w:val="left" w:leader="none"/>
        </w:tabs>
        <w:spacing w:line="240" w:lineRule="auto" w:before="0" w:after="0"/>
        <w:ind w:left="1369" w:right="0" w:hanging="530"/>
        <w:jc w:val="left"/>
        <w:rPr>
          <w:sz w:val="21"/>
        </w:rPr>
      </w:pPr>
      <w:r>
        <w:rPr>
          <w:spacing w:val="-3"/>
          <w:sz w:val="21"/>
        </w:rPr>
        <w:t>化验室、处置室、换药室等污染较严重的场所，应设局部排风。</w:t>
      </w:r>
      <w:r>
        <w:rPr>
          <w:sz w:val="21"/>
        </w:rPr>
        <w:t> </w:t>
      </w:r>
    </w:p>
    <w:p>
      <w:pPr>
        <w:pStyle w:val="BodyText"/>
        <w:spacing w:before="10"/>
        <w:rPr>
          <w:sz w:val="17"/>
        </w:rPr>
      </w:pPr>
    </w:p>
    <w:p>
      <w:pPr>
        <w:pStyle w:val="ListParagraph"/>
        <w:numPr>
          <w:ilvl w:val="2"/>
          <w:numId w:val="824"/>
        </w:numPr>
        <w:tabs>
          <w:tab w:pos="1371" w:val="left" w:leader="none"/>
        </w:tabs>
        <w:spacing w:line="240" w:lineRule="auto" w:before="0" w:after="0"/>
        <w:ind w:left="1370" w:right="0" w:hanging="531"/>
        <w:jc w:val="left"/>
        <w:rPr>
          <w:sz w:val="21"/>
        </w:rPr>
      </w:pPr>
      <w:r>
        <w:rPr>
          <w:spacing w:val="-7"/>
          <w:sz w:val="21"/>
        </w:rPr>
        <w:t>诊室的空调温度宜高于候诊区 </w:t>
      </w:r>
      <w:r>
        <w:rPr>
          <w:sz w:val="21"/>
        </w:rPr>
        <w:t>1～2℃。 </w:t>
      </w:r>
    </w:p>
    <w:p>
      <w:pPr>
        <w:pStyle w:val="BodyText"/>
        <w:spacing w:before="12"/>
        <w:rPr>
          <w:sz w:val="17"/>
        </w:rPr>
      </w:pPr>
    </w:p>
    <w:p>
      <w:pPr>
        <w:pStyle w:val="ListParagraph"/>
        <w:numPr>
          <w:ilvl w:val="1"/>
          <w:numId w:val="824"/>
        </w:numPr>
        <w:tabs>
          <w:tab w:pos="1160" w:val="left" w:leader="none"/>
        </w:tabs>
        <w:spacing w:line="240" w:lineRule="auto" w:before="0" w:after="0"/>
        <w:ind w:left="1159" w:right="0" w:hanging="320"/>
        <w:jc w:val="left"/>
        <w:rPr>
          <w:b/>
          <w:sz w:val="21"/>
        </w:rPr>
      </w:pPr>
      <w:r>
        <w:rPr>
          <w:spacing w:val="-3"/>
          <w:sz w:val="21"/>
        </w:rPr>
        <w:t>急诊部</w:t>
      </w:r>
      <w:r>
        <w:rPr>
          <w:b/>
          <w:w w:val="99"/>
          <w:sz w:val="21"/>
        </w:rPr>
        <w:t> </w:t>
      </w:r>
    </w:p>
    <w:p>
      <w:pPr>
        <w:pStyle w:val="BodyText"/>
        <w:spacing w:before="2"/>
        <w:rPr>
          <w:b/>
          <w:sz w:val="18"/>
        </w:rPr>
      </w:pPr>
    </w:p>
    <w:p>
      <w:pPr>
        <w:pStyle w:val="ListParagraph"/>
        <w:numPr>
          <w:ilvl w:val="2"/>
          <w:numId w:val="824"/>
        </w:numPr>
        <w:tabs>
          <w:tab w:pos="1371" w:val="left" w:leader="none"/>
        </w:tabs>
        <w:spacing w:line="446" w:lineRule="auto" w:before="0" w:after="0"/>
        <w:ind w:left="418" w:right="1498" w:firstLine="422"/>
        <w:jc w:val="left"/>
        <w:rPr>
          <w:sz w:val="21"/>
        </w:rPr>
      </w:pPr>
      <w:r>
        <w:rPr>
          <w:spacing w:val="-5"/>
          <w:sz w:val="21"/>
        </w:rPr>
        <w:t>急诊部当采用空调系统时、应采用独立系统，可 </w:t>
      </w:r>
      <w:r>
        <w:rPr>
          <w:sz w:val="21"/>
        </w:rPr>
        <w:t>24h</w:t>
      </w:r>
      <w:r>
        <w:rPr>
          <w:spacing w:val="-7"/>
          <w:sz w:val="21"/>
        </w:rPr>
        <w:t> 连续运行，冬季采暖设计温度不</w:t>
      </w:r>
      <w:r>
        <w:rPr>
          <w:spacing w:val="-17"/>
          <w:sz w:val="21"/>
        </w:rPr>
        <w:t>应低于 </w:t>
      </w:r>
      <w:r>
        <w:rPr>
          <w:sz w:val="21"/>
        </w:rPr>
        <w:t>18</w:t>
      </w:r>
      <w:r>
        <w:rPr>
          <w:spacing w:val="-7"/>
          <w:sz w:val="21"/>
        </w:rPr>
        <w:t>℃，夏季空调温度不宜高于 </w:t>
      </w:r>
      <w:r>
        <w:rPr>
          <w:sz w:val="21"/>
        </w:rPr>
        <w:t>26℃。 </w:t>
      </w:r>
      <w:r>
        <w:rPr>
          <w:spacing w:val="-2"/>
          <w:sz w:val="21"/>
        </w:rPr>
        <w:t> </w:t>
      </w:r>
      <w:r>
        <w:rPr>
          <w:w w:val="100"/>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24"/>
        </w:numPr>
        <w:tabs>
          <w:tab w:pos="1371" w:val="left" w:leader="none"/>
        </w:tabs>
        <w:spacing w:line="446" w:lineRule="auto" w:before="47" w:after="0"/>
        <w:ind w:left="418" w:right="1498" w:firstLine="422"/>
        <w:jc w:val="left"/>
        <w:rPr>
          <w:sz w:val="21"/>
        </w:rPr>
      </w:pPr>
      <w:r>
        <w:rPr>
          <w:spacing w:val="-3"/>
          <w:sz w:val="21"/>
        </w:rPr>
        <w:t>急诊隔离区的空调系统宜独立设置，其回风应有中效(含)以上的过滤器，并应有排风系统。当与其他诊室为同一空调系统时，应单独排用，不应系统回风，与相邻并相通的区域应</w:t>
      </w:r>
      <w:r>
        <w:rPr>
          <w:spacing w:val="-12"/>
          <w:sz w:val="21"/>
        </w:rPr>
        <w:t>保持不小于 </w:t>
      </w:r>
      <w:r>
        <w:rPr>
          <w:sz w:val="21"/>
        </w:rPr>
        <w:t>5Pa</w:t>
      </w:r>
      <w:r>
        <w:rPr>
          <w:spacing w:val="-12"/>
          <w:sz w:val="21"/>
        </w:rPr>
        <w:t> 的负压。 </w:t>
      </w:r>
    </w:p>
    <w:p>
      <w:pPr>
        <w:pStyle w:val="ListParagraph"/>
        <w:numPr>
          <w:ilvl w:val="1"/>
          <w:numId w:val="824"/>
        </w:numPr>
        <w:tabs>
          <w:tab w:pos="1159" w:val="left" w:leader="none"/>
        </w:tabs>
        <w:spacing w:line="268" w:lineRule="exact" w:before="0" w:after="0"/>
        <w:ind w:left="1158" w:right="0" w:hanging="319"/>
        <w:jc w:val="left"/>
        <w:rPr>
          <w:b/>
          <w:sz w:val="21"/>
        </w:rPr>
      </w:pPr>
      <w:r>
        <w:rPr>
          <w:spacing w:val="-3"/>
          <w:sz w:val="21"/>
        </w:rPr>
        <w:t>住院部</w:t>
      </w:r>
      <w:r>
        <w:rPr>
          <w:b/>
          <w:w w:val="99"/>
          <w:sz w:val="21"/>
        </w:rPr>
        <w:t> </w:t>
      </w:r>
    </w:p>
    <w:p>
      <w:pPr>
        <w:pStyle w:val="BodyText"/>
        <w:rPr>
          <w:b/>
          <w:sz w:val="18"/>
        </w:rPr>
      </w:pPr>
    </w:p>
    <w:p>
      <w:pPr>
        <w:pStyle w:val="ListParagraph"/>
        <w:numPr>
          <w:ilvl w:val="2"/>
          <w:numId w:val="824"/>
        </w:numPr>
        <w:tabs>
          <w:tab w:pos="1371" w:val="left" w:leader="none"/>
        </w:tabs>
        <w:spacing w:line="240" w:lineRule="auto" w:before="0" w:after="0"/>
        <w:ind w:left="1370" w:right="0" w:hanging="531"/>
        <w:jc w:val="left"/>
        <w:rPr>
          <w:b/>
          <w:sz w:val="21"/>
        </w:rPr>
      </w:pPr>
      <w:r>
        <w:rPr>
          <w:spacing w:val="-3"/>
          <w:sz w:val="21"/>
        </w:rPr>
        <w:t>普通病区应符合下列要求：</w:t>
      </w:r>
      <w:r>
        <w:rPr>
          <w:b/>
          <w:w w:val="99"/>
          <w:sz w:val="21"/>
        </w:rPr>
        <w:t> </w:t>
      </w:r>
    </w:p>
    <w:p>
      <w:pPr>
        <w:pStyle w:val="BodyText"/>
        <w:spacing w:before="12"/>
        <w:rPr>
          <w:b/>
          <w:sz w:val="17"/>
        </w:rPr>
      </w:pPr>
    </w:p>
    <w:p>
      <w:pPr>
        <w:pStyle w:val="BodyText"/>
        <w:ind w:left="838"/>
      </w:pPr>
      <w:r>
        <w:rPr/>
        <w:t>普通病区的病房应能开窗(有纱窗)通风。 </w:t>
      </w:r>
    </w:p>
    <w:p>
      <w:pPr>
        <w:pStyle w:val="BodyText"/>
        <w:spacing w:before="2"/>
        <w:rPr>
          <w:sz w:val="18"/>
        </w:rPr>
      </w:pPr>
    </w:p>
    <w:p>
      <w:pPr>
        <w:pStyle w:val="BodyText"/>
        <w:spacing w:line="446" w:lineRule="auto"/>
        <w:ind w:left="418" w:right="1717" w:firstLine="419"/>
      </w:pPr>
      <w:r>
        <w:rPr>
          <w:spacing w:val="-6"/>
        </w:rPr>
        <w:t>设置普通空调时，冬季温度宜在 </w:t>
      </w:r>
      <w:r>
        <w:rPr/>
        <w:t>20</w:t>
      </w:r>
      <w:r>
        <w:rPr>
          <w:spacing w:val="-6"/>
        </w:rPr>
        <w:t>℃以上，夏季温度不宜高于 </w:t>
      </w:r>
      <w:r>
        <w:rPr/>
        <w:t>27</w:t>
      </w:r>
      <w:r>
        <w:rPr>
          <w:spacing w:val="-3"/>
        </w:rPr>
        <w:t>℃；应有新风供应和排风，系统规模不宜过大。</w:t>
      </w:r>
      <w:r>
        <w:rPr/>
        <w:t> </w:t>
      </w:r>
    </w:p>
    <w:p>
      <w:pPr>
        <w:pStyle w:val="BodyText"/>
        <w:spacing w:line="446" w:lineRule="auto"/>
        <w:ind w:left="418" w:right="1609" w:firstLine="419"/>
      </w:pPr>
      <w:r>
        <w:rPr/>
        <w:t>病区的换药室、处置室、配餐室、污物室、污洗室、公用卫生间等，应设排风，排风口的布置不应使局部空气滞留。排风换气次数宜为 10～15 次／h。 </w:t>
      </w:r>
    </w:p>
    <w:p>
      <w:pPr>
        <w:pStyle w:val="ListParagraph"/>
        <w:numPr>
          <w:ilvl w:val="2"/>
          <w:numId w:val="824"/>
        </w:numPr>
        <w:tabs>
          <w:tab w:pos="1371" w:val="left" w:leader="none"/>
        </w:tabs>
        <w:spacing w:line="240" w:lineRule="auto" w:before="0" w:after="0"/>
        <w:ind w:left="1370" w:right="0" w:hanging="531"/>
        <w:jc w:val="left"/>
        <w:rPr>
          <w:b/>
          <w:sz w:val="21"/>
        </w:rPr>
      </w:pPr>
      <w:r>
        <w:rPr>
          <w:spacing w:val="-3"/>
          <w:sz w:val="21"/>
        </w:rPr>
        <w:t>产科应符合下列要求：</w:t>
      </w:r>
      <w:r>
        <w:rPr>
          <w:b/>
          <w:w w:val="99"/>
          <w:sz w:val="21"/>
        </w:rPr>
        <w:t> </w:t>
      </w:r>
    </w:p>
    <w:p>
      <w:pPr>
        <w:pStyle w:val="BodyText"/>
        <w:spacing w:before="10"/>
        <w:rPr>
          <w:b/>
          <w:sz w:val="17"/>
        </w:rPr>
      </w:pPr>
    </w:p>
    <w:p>
      <w:pPr>
        <w:pStyle w:val="BodyText"/>
        <w:spacing w:line="446" w:lineRule="auto"/>
        <w:ind w:left="838" w:right="2134"/>
      </w:pPr>
      <w:r>
        <w:rPr>
          <w:spacing w:val="-5"/>
        </w:rPr>
        <w:t>分娩室及准备室、淋浴室、恢复室等相关房间设空调系统时，应能 </w:t>
      </w:r>
      <w:r>
        <w:rPr/>
        <w:t>24h</w:t>
      </w:r>
      <w:r>
        <w:rPr>
          <w:spacing w:val="-10"/>
        </w:rPr>
        <w:t> 连续运行； </w:t>
      </w:r>
      <w:r>
        <w:rPr>
          <w:spacing w:val="-5"/>
        </w:rPr>
        <w:t>分娩室宜采用新风空调系统；</w:t>
      </w:r>
      <w:r>
        <w:rPr/>
        <w:t> </w:t>
      </w:r>
    </w:p>
    <w:p>
      <w:pPr>
        <w:pStyle w:val="BodyText"/>
        <w:spacing w:line="446" w:lineRule="auto" w:before="1"/>
        <w:ind w:left="418" w:right="1498" w:firstLine="419"/>
      </w:pPr>
      <w:r>
        <w:rPr/>
        <w:t>新生儿室室内温度全年宜保持 22～26℃，早产儿室、新生儿重症监护(NICU)和免疫缺陷新生儿室，室内温度全年宜保持 24～26℃，噪声不宜大于 45dB(A)； </w:t>
      </w:r>
    </w:p>
    <w:p>
      <w:pPr>
        <w:pStyle w:val="BodyText"/>
        <w:spacing w:line="446" w:lineRule="auto"/>
        <w:ind w:left="840" w:right="2765" w:hanging="3"/>
        <w:rPr>
          <w:b/>
        </w:rPr>
      </w:pPr>
      <w:r>
        <w:rPr/>
        <w:t>早产儿室和新生儿重症监护(NICU)、免疫缺陷新生儿室宜为Ⅲ级洁净用房。</w:t>
      </w:r>
      <w:r>
        <w:rPr>
          <w:b/>
        </w:rPr>
        <w:t>7.5.3 </w:t>
      </w:r>
      <w:r>
        <w:rPr/>
        <w:t>监护病房应符合下列要求：</w:t>
      </w:r>
      <w:r>
        <w:rPr>
          <w:b/>
          <w:w w:val="99"/>
        </w:rPr>
        <w:t> </w:t>
      </w:r>
    </w:p>
    <w:p>
      <w:pPr>
        <w:pStyle w:val="BodyText"/>
        <w:spacing w:line="267" w:lineRule="exact"/>
        <w:ind w:left="838"/>
      </w:pPr>
      <w:r>
        <w:rPr/>
        <w:t>温度在冬季不宜低于 24℃，夏季不宜高于 27℃。 </w:t>
      </w:r>
    </w:p>
    <w:p>
      <w:pPr>
        <w:pStyle w:val="BodyText"/>
        <w:spacing w:before="1"/>
        <w:rPr>
          <w:sz w:val="18"/>
        </w:rPr>
      </w:pPr>
    </w:p>
    <w:p>
      <w:pPr>
        <w:pStyle w:val="BodyText"/>
        <w:spacing w:line="446" w:lineRule="auto"/>
        <w:ind w:left="418" w:right="1611" w:firstLine="419"/>
        <w:jc w:val="both"/>
      </w:pPr>
      <w:r>
        <w:rPr>
          <w:spacing w:val="-5"/>
        </w:rPr>
        <w:t>采用普通空调系统时，宜采用连续运行，并应符合本规范第 </w:t>
      </w:r>
      <w:r>
        <w:rPr/>
        <w:t>7.1.10</w:t>
      </w:r>
      <w:r>
        <w:rPr>
          <w:spacing w:val="-19"/>
        </w:rPr>
        <w:t> 条和第 </w:t>
      </w:r>
      <w:r>
        <w:rPr/>
        <w:t>7.1.11</w:t>
      </w:r>
      <w:r>
        <w:rPr>
          <w:spacing w:val="-13"/>
        </w:rPr>
        <w:t> 条的规</w:t>
      </w:r>
      <w:r>
        <w:rPr>
          <w:spacing w:val="-10"/>
        </w:rPr>
        <w:t>定，相对湿度宜为 </w:t>
      </w:r>
      <w:r>
        <w:rPr/>
        <w:t>40％～65％</w:t>
      </w:r>
      <w:r>
        <w:rPr>
          <w:spacing w:val="-8"/>
        </w:rPr>
        <w:t>。噪声不应大于 </w:t>
      </w:r>
      <w:r>
        <w:rPr/>
        <w:t>45dB(A)</w:t>
      </w:r>
      <w:r>
        <w:rPr>
          <w:spacing w:val="-3"/>
        </w:rPr>
        <w:t>，宜采用上送下回的气流组织，送风气流不宜直接吹向头部。每张病床均不应处于其他病床的下风侧。排风(或回风)口应设在床头附近。</w:t>
      </w:r>
      <w:r>
        <w:rPr/>
        <w:t> </w:t>
      </w:r>
    </w:p>
    <w:p>
      <w:pPr>
        <w:pStyle w:val="BodyText"/>
        <w:spacing w:line="446" w:lineRule="auto"/>
        <w:ind w:left="418" w:right="1609" w:firstLine="419"/>
        <w:jc w:val="both"/>
      </w:pPr>
      <w:r>
        <w:rPr/>
        <w:t>采用洁净用房的宜用Ⅳ级标准设计，宜设置独立的净化空调系统，病房对走廊或走廊对外界宜维持不小于 5Pa 的正压。 </w:t>
      </w:r>
    </w:p>
    <w:p>
      <w:pPr>
        <w:pStyle w:val="ListParagraph"/>
        <w:numPr>
          <w:ilvl w:val="2"/>
          <w:numId w:val="825"/>
        </w:numPr>
        <w:tabs>
          <w:tab w:pos="1370" w:val="left" w:leader="none"/>
        </w:tabs>
        <w:spacing w:line="240" w:lineRule="auto" w:before="0" w:after="0"/>
        <w:ind w:left="1369" w:right="0" w:hanging="530"/>
        <w:jc w:val="left"/>
        <w:rPr>
          <w:b/>
          <w:sz w:val="21"/>
        </w:rPr>
      </w:pPr>
      <w:r>
        <w:rPr>
          <w:spacing w:val="-3"/>
          <w:sz w:val="21"/>
        </w:rPr>
        <w:t>血液病房应符合下列要求：</w:t>
      </w:r>
      <w:r>
        <w:rPr>
          <w:b/>
          <w:w w:val="99"/>
          <w:sz w:val="21"/>
        </w:rPr>
        <w:t> </w:t>
      </w:r>
    </w:p>
    <w:p>
      <w:pPr>
        <w:pStyle w:val="BodyText"/>
        <w:spacing w:before="11"/>
        <w:rPr>
          <w:b/>
          <w:sz w:val="17"/>
        </w:rPr>
      </w:pPr>
    </w:p>
    <w:p>
      <w:pPr>
        <w:pStyle w:val="BodyText"/>
        <w:spacing w:line="446" w:lineRule="auto"/>
        <w:ind w:left="418" w:right="1609" w:firstLine="419"/>
      </w:pPr>
      <w:r>
        <w:rPr/>
        <w:t>治疗期血液病房应选用Ⅰ级洁净用房，恢复期血液病房宜选用不低于Ⅱ级洁净用房。应采用上送下回的气流组织方式。Ⅰ级病房应在包括病床在内的患者活动区域上方设置垂直单向</w:t>
      </w:r>
    </w:p>
    <w:p>
      <w:pPr>
        <w:spacing w:after="0" w:line="446" w:lineRule="auto"/>
        <w:sectPr>
          <w:pgSz w:w="11910" w:h="16850"/>
          <w:pgMar w:header="0" w:footer="1239" w:top="1220" w:bottom="1420" w:left="1260" w:right="0"/>
        </w:sectPr>
      </w:pPr>
    </w:p>
    <w:p>
      <w:pPr>
        <w:pStyle w:val="BodyText"/>
        <w:spacing w:line="446" w:lineRule="auto" w:before="57"/>
        <w:ind w:left="418" w:right="1442"/>
      </w:pPr>
      <w:r>
        <w:rPr/>
        <w:t>流，其送风口面积不应小于 6m</w:t>
      </w:r>
      <w:r>
        <w:rPr>
          <w:position w:val="11"/>
          <w:sz w:val="11"/>
        </w:rPr>
        <w:t>2</w:t>
      </w:r>
      <w:r>
        <w:rPr/>
        <w:t>，并应采用两侧下回风的气流组织。如采用水平单向流，患者活动区应布置在气流上游，床头应在送风侧。 </w:t>
      </w:r>
    </w:p>
    <w:p>
      <w:pPr>
        <w:pStyle w:val="BodyText"/>
        <w:spacing w:line="267" w:lineRule="exact"/>
        <w:ind w:left="838"/>
      </w:pPr>
      <w:r>
        <w:rPr/>
        <w:t>各病房的净化空调系统应采用独立的双风机并联，互为备用，24h 运行。 </w:t>
      </w:r>
    </w:p>
    <w:p>
      <w:pPr>
        <w:pStyle w:val="BodyText"/>
        <w:spacing w:before="2"/>
        <w:rPr>
          <w:sz w:val="18"/>
        </w:rPr>
      </w:pPr>
    </w:p>
    <w:p>
      <w:pPr>
        <w:pStyle w:val="BodyText"/>
        <w:spacing w:line="446" w:lineRule="auto"/>
        <w:ind w:left="418" w:right="1457" w:firstLine="419"/>
      </w:pPr>
      <w:r>
        <w:rPr>
          <w:spacing w:val="-3"/>
        </w:rPr>
        <w:t>送风应采用调速装置，应至少设两档风速。患者活动或进行治疗时，工作区截面风速不应 </w:t>
      </w:r>
      <w:r>
        <w:rPr>
          <w:spacing w:val="-18"/>
        </w:rPr>
        <w:t>低于 </w:t>
      </w:r>
      <w:r>
        <w:rPr/>
        <w:t>0.20m／s</w:t>
      </w:r>
      <w:r>
        <w:rPr>
          <w:spacing w:val="-7"/>
        </w:rPr>
        <w:t>，患者休息时不应低于 </w:t>
      </w:r>
      <w:r>
        <w:rPr/>
        <w:t>0.12m／s</w:t>
      </w:r>
      <w:r>
        <w:rPr>
          <w:spacing w:val="-7"/>
        </w:rPr>
        <w:t>。室内温度冬季不宜低于 </w:t>
      </w:r>
      <w:r>
        <w:rPr/>
        <w:t>22℃</w:t>
      </w:r>
      <w:r>
        <w:rPr>
          <w:spacing w:val="-3"/>
        </w:rPr>
        <w:t>，相对湿度不宜低</w:t>
      </w:r>
      <w:r>
        <w:rPr>
          <w:spacing w:val="-28"/>
        </w:rPr>
        <w:t>于 </w:t>
      </w:r>
      <w:r>
        <w:rPr/>
        <w:t>45</w:t>
      </w:r>
      <w:r>
        <w:rPr>
          <w:spacing w:val="-9"/>
        </w:rPr>
        <w:t>％。夏季不宜高于 </w:t>
      </w:r>
      <w:r>
        <w:rPr/>
        <w:t>27</w:t>
      </w:r>
      <w:r>
        <w:rPr>
          <w:spacing w:val="-8"/>
        </w:rPr>
        <w:t>℃，相对湿度不宜高于 </w:t>
      </w:r>
      <w:r>
        <w:rPr/>
        <w:t>60</w:t>
      </w:r>
      <w:r>
        <w:rPr>
          <w:spacing w:val="-10"/>
        </w:rPr>
        <w:t>％。噪声应小于 </w:t>
      </w:r>
      <w:r>
        <w:rPr/>
        <w:t>45dB(A)。 </w:t>
      </w:r>
    </w:p>
    <w:p>
      <w:pPr>
        <w:pStyle w:val="BodyText"/>
        <w:spacing w:line="268" w:lineRule="exact"/>
        <w:ind w:left="838"/>
      </w:pPr>
      <w:r>
        <w:rPr/>
        <w:t>与相邻并相通房间应保持 5Pa 的正压。 </w:t>
      </w:r>
    </w:p>
    <w:p>
      <w:pPr>
        <w:pStyle w:val="BodyText"/>
        <w:rPr>
          <w:sz w:val="18"/>
        </w:rPr>
      </w:pPr>
    </w:p>
    <w:p>
      <w:pPr>
        <w:pStyle w:val="ListParagraph"/>
        <w:numPr>
          <w:ilvl w:val="2"/>
          <w:numId w:val="825"/>
        </w:numPr>
        <w:tabs>
          <w:tab w:pos="1371" w:val="left" w:leader="none"/>
        </w:tabs>
        <w:spacing w:line="446" w:lineRule="auto" w:before="0" w:after="0"/>
        <w:ind w:left="838" w:right="1604" w:firstLine="2"/>
        <w:jc w:val="left"/>
        <w:rPr>
          <w:sz w:val="21"/>
        </w:rPr>
      </w:pPr>
      <w:r>
        <w:rPr>
          <w:spacing w:val="-2"/>
          <w:sz w:val="21"/>
        </w:rPr>
        <w:t>烧伤病房应根据需要，确定是否选用洁净用房。采用洁净用房应符合下列要求： 重</w:t>
      </w:r>
      <w:r>
        <w:rPr>
          <w:spacing w:val="-3"/>
          <w:sz w:val="21"/>
        </w:rPr>
        <w:t>度(含)以上烧伤患者的病房应采用在病床上方集中布置送风风口，送风面积应为病床外</w:t>
      </w:r>
    </w:p>
    <w:p>
      <w:pPr>
        <w:pStyle w:val="BodyText"/>
        <w:spacing w:line="446" w:lineRule="auto"/>
        <w:ind w:left="418" w:right="1506"/>
      </w:pPr>
      <w:r>
        <w:rPr>
          <w:spacing w:val="-7"/>
        </w:rPr>
        <w:t>的四条周边各延 </w:t>
      </w:r>
      <w:r>
        <w:rPr/>
        <w:t>30cm</w:t>
      </w:r>
      <w:r>
        <w:rPr>
          <w:spacing w:val="-7"/>
        </w:rPr>
        <w:t> 或以上，并应按Ⅲ级洁净用房换气次数计算，有特殊需要时可按Ⅱ级洁净</w:t>
      </w:r>
      <w:r>
        <w:rPr>
          <w:spacing w:val="-5"/>
        </w:rPr>
        <w:t>用房换气次数计算。其辅助用房和重度以下烧伤患者的病房可分散设置送风口，宜按Ⅳ级洁净</w:t>
      </w:r>
      <w:r>
        <w:rPr>
          <w:spacing w:val="-4"/>
        </w:rPr>
        <w:t>用房换气次数计算。</w:t>
      </w:r>
      <w:r>
        <w:rPr/>
        <w:t> </w:t>
      </w:r>
    </w:p>
    <w:p>
      <w:pPr>
        <w:pStyle w:val="BodyText"/>
        <w:spacing w:line="446" w:lineRule="auto"/>
        <w:ind w:left="418" w:right="1611" w:firstLine="419"/>
      </w:pPr>
      <w:r>
        <w:rPr>
          <w:spacing w:val="-5"/>
        </w:rPr>
        <w:t>各病房净化空调系统应设置备用送风机，并应确保 </w:t>
      </w:r>
      <w:r>
        <w:rPr/>
        <w:t>24h</w:t>
      </w:r>
      <w:r>
        <w:rPr>
          <w:spacing w:val="-7"/>
        </w:rPr>
        <w:t> 不间断运行。应能根据治疗过程要</w:t>
      </w:r>
      <w:r>
        <w:rPr>
          <w:spacing w:val="-5"/>
        </w:rPr>
        <w:t>求调节温度、湿度。</w:t>
      </w:r>
      <w:r>
        <w:rPr/>
        <w:t> </w:t>
      </w:r>
    </w:p>
    <w:p>
      <w:pPr>
        <w:pStyle w:val="BodyText"/>
        <w:spacing w:line="446" w:lineRule="auto"/>
        <w:ind w:left="418" w:right="1508" w:firstLine="419"/>
      </w:pPr>
      <w:r>
        <w:rPr>
          <w:spacing w:val="-3"/>
        </w:rPr>
        <w:t>对于多床一室的Ⅳ级烧伤病房，每张病床均不应处于其他病床的下风侧。温度全年宜为24～26</w:t>
      </w:r>
      <w:r>
        <w:rPr>
          <w:spacing w:val="-6"/>
        </w:rPr>
        <w:t>℃，相对温度冬季不宜低于 </w:t>
      </w:r>
      <w:r>
        <w:rPr/>
        <w:t>40</w:t>
      </w:r>
      <w:r>
        <w:rPr>
          <w:spacing w:val="-8"/>
        </w:rPr>
        <w:t>％，夏季不宜高于 </w:t>
      </w:r>
      <w:r>
        <w:rPr/>
        <w:t>60</w:t>
      </w:r>
      <w:r>
        <w:rPr>
          <w:spacing w:val="-3"/>
        </w:rPr>
        <w:t>％。室内温湿度可按治疗进程要求进行调节。</w:t>
      </w:r>
      <w:r>
        <w:rPr/>
        <w:t> </w:t>
      </w:r>
    </w:p>
    <w:p>
      <w:pPr>
        <w:pStyle w:val="BodyText"/>
        <w:spacing w:line="446" w:lineRule="auto"/>
        <w:ind w:left="418" w:right="1818" w:firstLine="419"/>
      </w:pPr>
      <w:r>
        <w:rPr/>
        <w:t>重度(含)以上烧伤患者的病房宜设独立空调系统，室内温湿度可按治疗进程要求进行调节。温度最高可调至 32℃，湿度最高可调至 90％。 </w:t>
      </w:r>
    </w:p>
    <w:p>
      <w:pPr>
        <w:pStyle w:val="BodyText"/>
        <w:ind w:left="838"/>
      </w:pPr>
      <w:r>
        <w:rPr/>
        <w:t>与相邻并相通房间应保持 5Pa 的正压。 </w:t>
      </w:r>
    </w:p>
    <w:p>
      <w:pPr>
        <w:pStyle w:val="BodyText"/>
        <w:spacing w:before="8"/>
        <w:rPr>
          <w:sz w:val="17"/>
        </w:rPr>
      </w:pPr>
    </w:p>
    <w:p>
      <w:pPr>
        <w:pStyle w:val="BodyText"/>
        <w:spacing w:line="446" w:lineRule="auto"/>
        <w:ind w:left="838" w:right="2134"/>
      </w:pPr>
      <w:r>
        <w:rPr>
          <w:spacing w:val="-3"/>
        </w:rPr>
        <w:t>病区内的浴室、卫生间应设置排风装置，同时应设置与排风机相连锁的密闭风阀。</w:t>
      </w:r>
      <w:r>
        <w:rPr>
          <w:spacing w:val="-9"/>
        </w:rPr>
        <w:t>病房噪声不应大于 </w:t>
      </w:r>
      <w:r>
        <w:rPr/>
        <w:t>45dB(A</w:t>
      </w:r>
      <w:r>
        <w:rPr>
          <w:spacing w:val="-2"/>
        </w:rPr>
        <w:t>)。</w:t>
      </w:r>
      <w:r>
        <w:rPr/>
        <w:t> </w:t>
      </w:r>
    </w:p>
    <w:p>
      <w:pPr>
        <w:pStyle w:val="ListParagraph"/>
        <w:numPr>
          <w:ilvl w:val="2"/>
          <w:numId w:val="825"/>
        </w:numPr>
        <w:tabs>
          <w:tab w:pos="1370" w:val="left" w:leader="none"/>
        </w:tabs>
        <w:spacing w:line="446" w:lineRule="auto" w:before="0" w:after="0"/>
        <w:ind w:left="838" w:right="5807" w:firstLine="2"/>
        <w:jc w:val="left"/>
        <w:rPr>
          <w:sz w:val="21"/>
        </w:rPr>
      </w:pPr>
      <w:r>
        <w:rPr>
          <w:spacing w:val="-2"/>
          <w:sz w:val="21"/>
        </w:rPr>
        <w:t>过敏性哮喘病室应符合下列要求： 可</w:t>
      </w:r>
      <w:r>
        <w:rPr>
          <w:spacing w:val="-3"/>
          <w:sz w:val="21"/>
        </w:rPr>
        <w:t>采用洁净用房；</w:t>
      </w:r>
      <w:r>
        <w:rPr>
          <w:sz w:val="21"/>
        </w:rPr>
        <w:t> </w:t>
      </w:r>
    </w:p>
    <w:p>
      <w:pPr>
        <w:pStyle w:val="BodyText"/>
        <w:spacing w:line="446" w:lineRule="auto"/>
        <w:ind w:left="418" w:right="1923" w:firstLine="419"/>
      </w:pPr>
      <w:r>
        <w:rPr>
          <w:spacing w:val="-8"/>
        </w:rPr>
        <w:t>噪声不应大于 </w:t>
      </w:r>
      <w:r>
        <w:rPr/>
        <w:t>45dB(A)</w:t>
      </w:r>
      <w:r>
        <w:rPr>
          <w:spacing w:val="-6"/>
        </w:rPr>
        <w:t>。温湿度应相对稳定，全年温度宜为 </w:t>
      </w:r>
      <w:r>
        <w:rPr/>
        <w:t>25℃±1</w:t>
      </w:r>
      <w:r>
        <w:rPr>
          <w:spacing w:val="-2"/>
        </w:rPr>
        <w:t>℃，相对湿度宜为50％</w:t>
      </w:r>
      <w:r>
        <w:rPr>
          <w:spacing w:val="-7"/>
        </w:rPr>
        <w:t>。与相邻并相通房间应保持 </w:t>
      </w:r>
      <w:r>
        <w:rPr/>
        <w:t>5Pa</w:t>
      </w:r>
      <w:r>
        <w:rPr>
          <w:spacing w:val="-13"/>
        </w:rPr>
        <w:t> 的正压。</w:t>
      </w:r>
      <w:r>
        <w:rPr/>
        <w:t> </w:t>
      </w:r>
    </w:p>
    <w:p>
      <w:pPr>
        <w:pStyle w:val="ListParagraph"/>
        <w:numPr>
          <w:ilvl w:val="2"/>
          <w:numId w:val="825"/>
        </w:numPr>
        <w:tabs>
          <w:tab w:pos="1370" w:val="left" w:leader="none"/>
        </w:tabs>
        <w:spacing w:line="267" w:lineRule="exact" w:before="0" w:after="0"/>
        <w:ind w:left="1369" w:right="0" w:hanging="530"/>
        <w:jc w:val="left"/>
        <w:rPr>
          <w:b/>
          <w:sz w:val="21"/>
        </w:rPr>
      </w:pPr>
      <w:r>
        <w:rPr>
          <w:spacing w:val="-3"/>
          <w:sz w:val="21"/>
        </w:rPr>
        <w:t>解剖室、标本制作室、太平间应符合下列要求：</w:t>
      </w:r>
      <w:r>
        <w:rPr>
          <w:b/>
          <w:w w:val="99"/>
          <w:sz w:val="21"/>
        </w:rPr>
        <w:t> </w:t>
      </w:r>
    </w:p>
    <w:p>
      <w:pPr>
        <w:spacing w:after="0" w:line="267" w:lineRule="exact"/>
        <w:jc w:val="left"/>
        <w:rPr>
          <w:sz w:val="21"/>
        </w:rPr>
        <w:sectPr>
          <w:pgSz w:w="11910" w:h="16850"/>
          <w:pgMar w:header="0" w:footer="1239" w:top="1200" w:bottom="1420" w:left="1260" w:right="0"/>
        </w:sectPr>
      </w:pPr>
    </w:p>
    <w:p>
      <w:pPr>
        <w:pStyle w:val="BodyText"/>
        <w:spacing w:line="446" w:lineRule="auto" w:before="47"/>
        <w:ind w:left="418" w:right="1609" w:firstLine="419"/>
      </w:pPr>
      <w:r>
        <w:rPr/>
        <w:t>非传染病尸体解剖室、标本制作室应进行充分的通风换气，应采用专用解剖台或在室内均匀布置下排风口，排风应直接排到室外； </w:t>
      </w:r>
    </w:p>
    <w:p>
      <w:pPr>
        <w:pStyle w:val="BodyText"/>
        <w:spacing w:line="267" w:lineRule="exact"/>
        <w:ind w:left="838"/>
      </w:pPr>
      <w:r>
        <w:rPr/>
        <w:t>解剖室的空调应采用全新风独立系统，可配合采用专用排风解剖台； </w:t>
      </w:r>
    </w:p>
    <w:p>
      <w:pPr>
        <w:pStyle w:val="BodyText"/>
        <w:spacing w:before="2"/>
        <w:rPr>
          <w:sz w:val="18"/>
        </w:rPr>
      </w:pPr>
    </w:p>
    <w:p>
      <w:pPr>
        <w:pStyle w:val="BodyText"/>
        <w:spacing w:line="446" w:lineRule="auto"/>
        <w:ind w:left="838" w:right="2345"/>
      </w:pPr>
      <w:r>
        <w:rPr>
          <w:spacing w:val="-3"/>
        </w:rPr>
        <w:t>当标本制作室和保管室为同一空调系统时，应能根据各室的温度条件独立控制； 太平间应有足够的通风。设机械排风时应维持负压。 </w:t>
      </w:r>
    </w:p>
    <w:p>
      <w:pPr>
        <w:pStyle w:val="ListParagraph"/>
        <w:numPr>
          <w:ilvl w:val="2"/>
          <w:numId w:val="825"/>
        </w:numPr>
        <w:tabs>
          <w:tab w:pos="1371" w:val="left" w:leader="none"/>
        </w:tabs>
        <w:spacing w:line="267" w:lineRule="exact" w:before="0" w:after="0"/>
        <w:ind w:left="1370" w:right="0" w:hanging="531"/>
        <w:jc w:val="left"/>
        <w:rPr>
          <w:b/>
          <w:sz w:val="21"/>
        </w:rPr>
      </w:pPr>
      <w:r>
        <w:rPr>
          <w:spacing w:val="-3"/>
          <w:sz w:val="21"/>
        </w:rPr>
        <w:t>负压隔离病房应符合下列要求：</w:t>
      </w:r>
      <w:r>
        <w:rPr>
          <w:b/>
          <w:w w:val="99"/>
          <w:sz w:val="21"/>
        </w:rPr>
        <w:t> </w:t>
      </w:r>
    </w:p>
    <w:p>
      <w:pPr>
        <w:pStyle w:val="BodyText"/>
        <w:spacing w:before="2"/>
        <w:rPr>
          <w:b/>
          <w:sz w:val="18"/>
        </w:rPr>
      </w:pPr>
    </w:p>
    <w:p>
      <w:pPr>
        <w:pStyle w:val="BodyText"/>
        <w:spacing w:line="446" w:lineRule="auto"/>
        <w:ind w:left="418" w:right="1608" w:firstLine="419"/>
      </w:pPr>
      <w:r>
        <w:rPr>
          <w:spacing w:val="-6"/>
        </w:rPr>
        <w:t>应采用自循环空调系统，换气次数 </w:t>
      </w:r>
      <w:r>
        <w:rPr/>
        <w:t>10～12</w:t>
      </w:r>
      <w:r>
        <w:rPr>
          <w:spacing w:val="-21"/>
        </w:rPr>
        <w:t> 次</w:t>
      </w:r>
      <w:r>
        <w:rPr/>
        <w:t>／h</w:t>
      </w:r>
      <w:r>
        <w:rPr>
          <w:spacing w:val="-3"/>
        </w:rPr>
        <w:t>，新风可集中供给。空气传染的特殊呼吸道患者的病房应采用全新风系统。</w:t>
      </w:r>
      <w:r>
        <w:rPr/>
        <w:t> </w:t>
      </w:r>
    </w:p>
    <w:p>
      <w:pPr>
        <w:pStyle w:val="BodyText"/>
        <w:spacing w:line="446" w:lineRule="auto"/>
        <w:ind w:left="838" w:right="1925"/>
      </w:pPr>
      <w:r>
        <w:rPr>
          <w:spacing w:val="-3"/>
        </w:rPr>
        <w:t>送风的末级过滤器宜用高中效过滤器，回(排)风口应设无泄漏的负压高效排风装置。宜在床尾或床侧及床尾各设一送风口，回风口宜设在床头侧下方。</w:t>
      </w:r>
      <w:r>
        <w:rPr/>
        <w:t> </w:t>
      </w:r>
    </w:p>
    <w:p>
      <w:pPr>
        <w:pStyle w:val="BodyText"/>
        <w:spacing w:line="446" w:lineRule="auto"/>
        <w:ind w:left="418" w:right="1609" w:firstLine="419"/>
      </w:pPr>
      <w:r>
        <w:rPr/>
        <w:t>病房入口应设缓冲室，病区走廊入口宜设缓冲室，卫生间内应设无泄漏的负压高效排风装置。 </w:t>
      </w:r>
    </w:p>
    <w:p>
      <w:pPr>
        <w:pStyle w:val="BodyText"/>
        <w:spacing w:line="446" w:lineRule="auto"/>
        <w:ind w:left="840" w:right="2134" w:hanging="3"/>
        <w:rPr>
          <w:b/>
        </w:rPr>
      </w:pPr>
      <w:r>
        <w:rPr/>
        <w:t>病房对缓冲间、缓冲间对走廊应保持 5Pa 负压差，病房内应向卫生间保持定向流。</w:t>
      </w:r>
      <w:r>
        <w:rPr>
          <w:b/>
        </w:rPr>
        <w:t>7.6 </w:t>
      </w:r>
      <w:r>
        <w:rPr/>
        <w:t>手术部</w:t>
      </w:r>
      <w:r>
        <w:rPr>
          <w:b/>
          <w:w w:val="99"/>
        </w:rPr>
        <w:t> </w:t>
      </w:r>
    </w:p>
    <w:p>
      <w:pPr>
        <w:pStyle w:val="ListParagraph"/>
        <w:numPr>
          <w:ilvl w:val="2"/>
          <w:numId w:val="826"/>
        </w:numPr>
        <w:tabs>
          <w:tab w:pos="1370" w:val="left" w:leader="none"/>
        </w:tabs>
        <w:spacing w:line="446" w:lineRule="auto" w:before="0" w:after="0"/>
        <w:ind w:left="418" w:right="1498" w:firstLine="422"/>
        <w:jc w:val="left"/>
        <w:rPr>
          <w:sz w:val="21"/>
        </w:rPr>
      </w:pPr>
      <w:r>
        <w:rPr>
          <w:spacing w:val="-3"/>
          <w:sz w:val="21"/>
        </w:rPr>
        <w:t>洁净手术部设计，应符合现行国家标准《医院洁净手术部建筑技术规范》</w:t>
      </w:r>
      <w:r>
        <w:rPr>
          <w:sz w:val="21"/>
        </w:rPr>
        <w:t>GB</w:t>
      </w:r>
      <w:r>
        <w:rPr>
          <w:spacing w:val="32"/>
          <w:sz w:val="21"/>
        </w:rPr>
        <w:t> </w:t>
      </w:r>
      <w:r>
        <w:rPr>
          <w:sz w:val="21"/>
        </w:rPr>
        <w:t>50333的</w:t>
      </w:r>
      <w:r>
        <w:rPr>
          <w:spacing w:val="-3"/>
          <w:sz w:val="21"/>
        </w:rPr>
        <w:t>有关规定。</w:t>
      </w:r>
      <w:r>
        <w:rPr>
          <w:sz w:val="21"/>
        </w:rPr>
        <w:t> </w:t>
      </w:r>
    </w:p>
    <w:p>
      <w:pPr>
        <w:pStyle w:val="ListParagraph"/>
        <w:numPr>
          <w:ilvl w:val="2"/>
          <w:numId w:val="826"/>
        </w:numPr>
        <w:tabs>
          <w:tab w:pos="1371" w:val="left" w:leader="none"/>
        </w:tabs>
        <w:spacing w:line="446" w:lineRule="auto" w:before="0" w:after="0"/>
        <w:ind w:left="418" w:right="1508" w:firstLine="422"/>
        <w:jc w:val="left"/>
        <w:rPr>
          <w:sz w:val="21"/>
        </w:rPr>
      </w:pPr>
      <w:r>
        <w:rPr>
          <w:spacing w:val="-6"/>
          <w:sz w:val="21"/>
        </w:rPr>
        <w:t>一般手术室室内温度冬季不宜低于 </w:t>
      </w:r>
      <w:r>
        <w:rPr>
          <w:sz w:val="21"/>
        </w:rPr>
        <w:t>20</w:t>
      </w:r>
      <w:r>
        <w:rPr>
          <w:spacing w:val="-8"/>
          <w:sz w:val="21"/>
        </w:rPr>
        <w:t>℃，夏季不宜高于 </w:t>
      </w:r>
      <w:r>
        <w:rPr>
          <w:sz w:val="21"/>
        </w:rPr>
        <w:t>26</w:t>
      </w:r>
      <w:r>
        <w:rPr>
          <w:spacing w:val="-3"/>
          <w:sz w:val="21"/>
        </w:rPr>
        <w:t>℃；室内相对湿度冬季不</w:t>
      </w:r>
      <w:r>
        <w:rPr>
          <w:spacing w:val="-11"/>
          <w:sz w:val="21"/>
        </w:rPr>
        <w:t>宜低于 </w:t>
      </w:r>
      <w:r>
        <w:rPr>
          <w:sz w:val="21"/>
        </w:rPr>
        <w:t>30</w:t>
      </w:r>
      <w:r>
        <w:rPr>
          <w:spacing w:val="-7"/>
          <w:sz w:val="21"/>
        </w:rPr>
        <w:t>％，夏季不宜高于 </w:t>
      </w:r>
      <w:r>
        <w:rPr>
          <w:sz w:val="21"/>
        </w:rPr>
        <w:t>65</w:t>
      </w:r>
      <w:r>
        <w:rPr>
          <w:spacing w:val="-3"/>
          <w:sz w:val="21"/>
        </w:rPr>
        <w:t>％；应采用末端过滤器效率不低于高中效过滤器的空调系统或全</w:t>
      </w:r>
      <w:r>
        <w:rPr>
          <w:spacing w:val="-5"/>
          <w:sz w:val="21"/>
        </w:rPr>
        <w:t>新风通风系统。室内应保持正压，换气次数不得低于 </w:t>
      </w:r>
      <w:r>
        <w:rPr>
          <w:sz w:val="21"/>
        </w:rPr>
        <w:t>6</w:t>
      </w:r>
      <w:r>
        <w:rPr>
          <w:spacing w:val="-18"/>
          <w:sz w:val="21"/>
        </w:rPr>
        <w:t> 次／</w:t>
      </w:r>
      <w:r>
        <w:rPr>
          <w:sz w:val="21"/>
        </w:rPr>
        <w:t>h</w:t>
      </w:r>
      <w:r>
        <w:rPr>
          <w:spacing w:val="-9"/>
          <w:sz w:val="21"/>
        </w:rPr>
        <w:t>。噪声不应大于 </w:t>
      </w:r>
      <w:r>
        <w:rPr>
          <w:sz w:val="21"/>
        </w:rPr>
        <w:t>50dB(A</w:t>
      </w:r>
      <w:r>
        <w:rPr>
          <w:spacing w:val="-2"/>
          <w:sz w:val="21"/>
        </w:rPr>
        <w:t>)。</w:t>
      </w:r>
      <w:r>
        <w:rPr>
          <w:sz w:val="21"/>
        </w:rPr>
        <w:t> </w:t>
      </w:r>
    </w:p>
    <w:p>
      <w:pPr>
        <w:pStyle w:val="ListParagraph"/>
        <w:numPr>
          <w:ilvl w:val="1"/>
          <w:numId w:val="827"/>
        </w:numPr>
        <w:tabs>
          <w:tab w:pos="1159" w:val="left" w:leader="none"/>
        </w:tabs>
        <w:spacing w:line="268" w:lineRule="exact" w:before="0" w:after="0"/>
        <w:ind w:left="1158" w:right="0" w:hanging="319"/>
        <w:jc w:val="left"/>
        <w:rPr>
          <w:b/>
          <w:sz w:val="21"/>
        </w:rPr>
      </w:pPr>
      <w:r>
        <w:rPr>
          <w:spacing w:val="-3"/>
          <w:sz w:val="21"/>
        </w:rPr>
        <w:t>医技科室</w:t>
      </w:r>
      <w:r>
        <w:rPr>
          <w:b/>
          <w:w w:val="99"/>
          <w:sz w:val="21"/>
        </w:rPr>
        <w:t> </w:t>
      </w:r>
    </w:p>
    <w:p>
      <w:pPr>
        <w:pStyle w:val="BodyText"/>
        <w:spacing w:before="8"/>
        <w:rPr>
          <w:b/>
          <w:sz w:val="17"/>
        </w:rPr>
      </w:pPr>
    </w:p>
    <w:p>
      <w:pPr>
        <w:pStyle w:val="ListParagraph"/>
        <w:numPr>
          <w:ilvl w:val="2"/>
          <w:numId w:val="827"/>
        </w:numPr>
        <w:tabs>
          <w:tab w:pos="1371" w:val="left" w:leader="none"/>
        </w:tabs>
        <w:spacing w:line="446" w:lineRule="auto" w:before="0" w:after="0"/>
        <w:ind w:left="838" w:right="4967" w:firstLine="2"/>
        <w:jc w:val="left"/>
        <w:rPr>
          <w:sz w:val="21"/>
        </w:rPr>
      </w:pPr>
      <w:r>
        <w:rPr>
          <w:spacing w:val="-2"/>
          <w:sz w:val="21"/>
        </w:rPr>
        <w:t>检验科、病理科、实验室应符合下列要求： 应</w:t>
      </w:r>
      <w:r>
        <w:rPr>
          <w:spacing w:val="-3"/>
          <w:sz w:val="21"/>
        </w:rPr>
        <w:t>有单独排风系统；</w:t>
      </w:r>
      <w:r>
        <w:rPr>
          <w:sz w:val="21"/>
        </w:rPr>
        <w:t> </w:t>
      </w:r>
    </w:p>
    <w:p>
      <w:pPr>
        <w:pStyle w:val="BodyText"/>
        <w:spacing w:line="446" w:lineRule="auto"/>
        <w:ind w:left="418" w:right="1508" w:firstLine="419"/>
      </w:pPr>
      <w:r>
        <w:rPr>
          <w:spacing w:val="-5"/>
        </w:rPr>
        <w:t>采用普通空调时，室内温度冬季不宜低于 </w:t>
      </w:r>
      <w:r>
        <w:rPr/>
        <w:t>22</w:t>
      </w:r>
      <w:r>
        <w:rPr>
          <w:spacing w:val="-7"/>
        </w:rPr>
        <w:t>℃，夏季不宜高于 </w:t>
      </w:r>
      <w:r>
        <w:rPr/>
        <w:t>26</w:t>
      </w:r>
      <w:r>
        <w:rPr>
          <w:spacing w:val="-3"/>
        </w:rPr>
        <w:t>℃；室内相对湿度冬季不</w:t>
      </w:r>
      <w:r>
        <w:rPr>
          <w:spacing w:val="-15"/>
        </w:rPr>
        <w:t>宜低于 </w:t>
      </w:r>
      <w:r>
        <w:rPr/>
        <w:t>30</w:t>
      </w:r>
      <w:r>
        <w:rPr>
          <w:spacing w:val="-9"/>
        </w:rPr>
        <w:t>％，夏季不宜高于 </w:t>
      </w:r>
      <w:r>
        <w:rPr/>
        <w:t>65</w:t>
      </w:r>
      <w:r>
        <w:rPr>
          <w:spacing w:val="-2"/>
        </w:rPr>
        <w:t>％。</w:t>
      </w:r>
      <w:r>
        <w:rPr/>
        <w:t> </w:t>
      </w:r>
    </w:p>
    <w:p>
      <w:pPr>
        <w:pStyle w:val="ListParagraph"/>
        <w:numPr>
          <w:ilvl w:val="2"/>
          <w:numId w:val="827"/>
        </w:numPr>
        <w:tabs>
          <w:tab w:pos="1370" w:val="left" w:leader="none"/>
        </w:tabs>
        <w:spacing w:line="446" w:lineRule="auto" w:before="0" w:after="0"/>
        <w:ind w:left="418" w:right="1450" w:firstLine="422"/>
        <w:jc w:val="left"/>
        <w:rPr>
          <w:sz w:val="21"/>
        </w:rPr>
      </w:pPr>
      <w:r>
        <w:rPr>
          <w:spacing w:val="-3"/>
          <w:sz w:val="21"/>
        </w:rPr>
        <w:t>生殖学中心的体外受精实验室，应按Ⅰ级洁净用房设计，并应采用局部集中送风或洁净工作台。取卵室应按Ⅱ级洁净用房设计，并应采用局部集中送风或洁净工作台。体外受精实 </w:t>
      </w:r>
      <w:r>
        <w:rPr>
          <w:spacing w:val="-5"/>
          <w:sz w:val="21"/>
        </w:rPr>
        <w:t>验室和取卵室的噪声均不应大于 </w:t>
      </w:r>
      <w:r>
        <w:rPr>
          <w:sz w:val="21"/>
        </w:rPr>
        <w:t>45dB(A</w:t>
      </w:r>
      <w:r>
        <w:rPr>
          <w:spacing w:val="-3"/>
          <w:sz w:val="21"/>
        </w:rPr>
        <w:t>)。冷冻室、工作室、洁净走廊等其他洁净辅助用房可按Ⅳ级洁净用房设计，并应采用局部集中送风。</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27"/>
        </w:numPr>
        <w:tabs>
          <w:tab w:pos="1370" w:val="left" w:leader="none"/>
        </w:tabs>
        <w:spacing w:line="240" w:lineRule="auto" w:before="47" w:after="0"/>
        <w:ind w:left="1369" w:right="0" w:hanging="530"/>
        <w:jc w:val="left"/>
        <w:rPr>
          <w:sz w:val="21"/>
        </w:rPr>
      </w:pPr>
      <w:r>
        <w:rPr>
          <w:spacing w:val="-3"/>
          <w:sz w:val="21"/>
        </w:rPr>
        <w:t>电生理、超声、纤维内窥镜等科室，宜设置独立的普通空调系统。 </w:t>
      </w:r>
    </w:p>
    <w:p>
      <w:pPr>
        <w:pStyle w:val="BodyText"/>
        <w:rPr>
          <w:sz w:val="18"/>
        </w:rPr>
      </w:pPr>
    </w:p>
    <w:p>
      <w:pPr>
        <w:pStyle w:val="ListParagraph"/>
        <w:numPr>
          <w:ilvl w:val="2"/>
          <w:numId w:val="827"/>
        </w:numPr>
        <w:tabs>
          <w:tab w:pos="1370" w:val="left" w:leader="none"/>
        </w:tabs>
        <w:spacing w:line="240" w:lineRule="auto" w:before="0" w:after="0"/>
        <w:ind w:left="1369" w:right="0" w:hanging="530"/>
        <w:jc w:val="left"/>
        <w:rPr>
          <w:sz w:val="21"/>
        </w:rPr>
      </w:pPr>
      <w:r>
        <w:rPr>
          <w:spacing w:val="-3"/>
          <w:sz w:val="21"/>
        </w:rPr>
        <w:t>听力检查室宜设置集中式空调系统，应采取消声减振措施，且噪声不应大于</w:t>
      </w:r>
    </w:p>
    <w:p>
      <w:pPr>
        <w:pStyle w:val="BodyText"/>
        <w:rPr>
          <w:sz w:val="18"/>
        </w:rPr>
      </w:pPr>
    </w:p>
    <w:p>
      <w:pPr>
        <w:pStyle w:val="BodyText"/>
        <w:ind w:left="418"/>
      </w:pPr>
      <w:r>
        <w:rPr/>
        <w:t>30dB(A)。无声要求高的检测，可采取暂时停止空调、隔断气流等措施。 </w:t>
      </w:r>
    </w:p>
    <w:p>
      <w:pPr>
        <w:pStyle w:val="BodyText"/>
        <w:spacing w:before="1"/>
        <w:rPr>
          <w:sz w:val="18"/>
        </w:rPr>
      </w:pPr>
    </w:p>
    <w:p>
      <w:pPr>
        <w:pStyle w:val="ListParagraph"/>
        <w:numPr>
          <w:ilvl w:val="2"/>
          <w:numId w:val="827"/>
        </w:numPr>
        <w:tabs>
          <w:tab w:pos="1370" w:val="left" w:leader="none"/>
        </w:tabs>
        <w:spacing w:line="446" w:lineRule="auto" w:before="1" w:after="0"/>
        <w:ind w:left="418" w:right="1498" w:firstLine="422"/>
        <w:jc w:val="left"/>
        <w:rPr>
          <w:sz w:val="21"/>
        </w:rPr>
      </w:pPr>
      <w:r>
        <w:rPr>
          <w:spacing w:val="-3"/>
          <w:sz w:val="21"/>
        </w:rPr>
        <w:t>心血管造影室的操作区宜为Ⅲ级，洁净走廊应低于操作区一级，与相邻并相通房间应</w:t>
      </w:r>
      <w:r>
        <w:rPr>
          <w:spacing w:val="-19"/>
          <w:sz w:val="21"/>
        </w:rPr>
        <w:t>保持 </w:t>
      </w:r>
      <w:r>
        <w:rPr>
          <w:sz w:val="21"/>
        </w:rPr>
        <w:t>5Pa</w:t>
      </w:r>
      <w:r>
        <w:rPr>
          <w:spacing w:val="-8"/>
          <w:sz w:val="21"/>
        </w:rPr>
        <w:t> 的正压。辅助用房应采用普通空调。</w:t>
      </w:r>
      <w:r>
        <w:rPr>
          <w:sz w:val="21"/>
        </w:rPr>
        <w:t> </w:t>
      </w:r>
    </w:p>
    <w:p>
      <w:pPr>
        <w:pStyle w:val="ListParagraph"/>
        <w:numPr>
          <w:ilvl w:val="2"/>
          <w:numId w:val="827"/>
        </w:numPr>
        <w:tabs>
          <w:tab w:pos="1370" w:val="left" w:leader="none"/>
        </w:tabs>
        <w:spacing w:line="446" w:lineRule="auto" w:before="0" w:after="0"/>
        <w:ind w:left="838" w:right="2024" w:firstLine="2"/>
        <w:jc w:val="left"/>
        <w:rPr>
          <w:sz w:val="21"/>
        </w:rPr>
      </w:pPr>
      <w:r>
        <w:rPr>
          <w:spacing w:val="-2"/>
          <w:sz w:val="21"/>
        </w:rPr>
        <w:t>放射科的检查室、控制室和机械间的空调系统和排风系统应符合下列要求： 应</w:t>
      </w:r>
      <w:r>
        <w:rPr>
          <w:spacing w:val="-3"/>
          <w:sz w:val="21"/>
        </w:rPr>
        <w:t>根据设备需要选择空调系统。</w:t>
      </w:r>
      <w:r>
        <w:rPr>
          <w:sz w:val="21"/>
        </w:rPr>
        <w:t> </w:t>
      </w:r>
    </w:p>
    <w:p>
      <w:pPr>
        <w:pStyle w:val="BodyText"/>
        <w:spacing w:line="446" w:lineRule="auto"/>
        <w:ind w:left="418" w:right="1817" w:firstLine="419"/>
      </w:pPr>
      <w:r>
        <w:rPr/>
        <w:t>采用半集中式空调系统时，不应在机器上方设置任何风机盘管机组等末端装置及其凝水管。 </w:t>
      </w:r>
    </w:p>
    <w:p>
      <w:pPr>
        <w:pStyle w:val="BodyText"/>
        <w:spacing w:line="446" w:lineRule="auto"/>
        <w:ind w:left="418" w:right="1609" w:firstLine="419"/>
      </w:pPr>
      <w:r>
        <w:rPr/>
        <w:t>放射科的检查室、控制室和暗室应设排风系统，自动洗片机排风应采用防腐蚀的风管。排风管上应设止回阀。 </w:t>
      </w:r>
    </w:p>
    <w:p>
      <w:pPr>
        <w:pStyle w:val="BodyText"/>
        <w:spacing w:line="267" w:lineRule="exact"/>
        <w:ind w:left="838"/>
      </w:pPr>
      <w:r>
        <w:rPr/>
        <w:t>在有射线屏蔽的房间，对于穿墙后的风管和配管，应采取不小于墙壁铅当量的屏蔽措施。 </w:t>
      </w:r>
    </w:p>
    <w:p>
      <w:pPr>
        <w:pStyle w:val="BodyText"/>
        <w:rPr>
          <w:sz w:val="20"/>
        </w:rPr>
      </w:pPr>
    </w:p>
    <w:p>
      <w:pPr>
        <w:pStyle w:val="BodyText"/>
        <w:rPr>
          <w:sz w:val="20"/>
        </w:rPr>
      </w:pPr>
    </w:p>
    <w:p>
      <w:pPr>
        <w:pStyle w:val="BodyText"/>
        <w:spacing w:before="12"/>
        <w:rPr>
          <w:sz w:val="16"/>
        </w:rPr>
      </w:pPr>
    </w:p>
    <w:p>
      <w:pPr>
        <w:pStyle w:val="ListParagraph"/>
        <w:numPr>
          <w:ilvl w:val="2"/>
          <w:numId w:val="827"/>
        </w:numPr>
        <w:tabs>
          <w:tab w:pos="1370" w:val="left" w:leader="none"/>
        </w:tabs>
        <w:spacing w:line="446" w:lineRule="auto" w:before="0" w:after="0"/>
        <w:ind w:left="418" w:right="1550" w:firstLine="422"/>
        <w:jc w:val="both"/>
        <w:rPr>
          <w:sz w:val="21"/>
        </w:rPr>
      </w:pPr>
      <w:r>
        <w:rPr>
          <w:spacing w:val="-4"/>
          <w:sz w:val="21"/>
        </w:rPr>
        <w:t>磁共振室宜采用独立的恒温恒湿空调系统，室内温度应为 </w:t>
      </w:r>
      <w:r>
        <w:rPr>
          <w:sz w:val="21"/>
        </w:rPr>
        <w:t>22℃±2</w:t>
      </w:r>
      <w:r>
        <w:rPr>
          <w:spacing w:val="-2"/>
          <w:sz w:val="21"/>
        </w:rPr>
        <w:t>℃，相对湿度应为60％±10</w:t>
      </w:r>
      <w:r>
        <w:rPr>
          <w:spacing w:val="-3"/>
          <w:sz w:val="21"/>
        </w:rPr>
        <w:t>％。扫描间内应采用非磁性、屏蔽电磁波的风口，任何磁性管线不应穿越。磁共振机的液氦冷却系统应设置单独的排气系统，并应直接连接到磁共振机的室外排风管。管道应采用</w:t>
      </w:r>
      <w:r>
        <w:rPr>
          <w:spacing w:val="-7"/>
          <w:sz w:val="21"/>
        </w:rPr>
        <w:t>非磁性材料，管径不应小于 </w:t>
      </w:r>
      <w:r>
        <w:rPr>
          <w:sz w:val="21"/>
        </w:rPr>
        <w:t>250mm。 </w:t>
      </w:r>
      <w:r>
        <w:rPr>
          <w:spacing w:val="-2"/>
          <w:sz w:val="21"/>
        </w:rPr>
        <w:t> </w:t>
      </w:r>
      <w:r>
        <w:rPr>
          <w:w w:val="100"/>
          <w:sz w:val="21"/>
        </w:rPr>
        <w:t> </w:t>
      </w:r>
    </w:p>
    <w:p>
      <w:pPr>
        <w:pStyle w:val="ListParagraph"/>
        <w:numPr>
          <w:ilvl w:val="2"/>
          <w:numId w:val="827"/>
        </w:numPr>
        <w:tabs>
          <w:tab w:pos="1371" w:val="left" w:leader="none"/>
        </w:tabs>
        <w:spacing w:line="266" w:lineRule="exact" w:before="0" w:after="0"/>
        <w:ind w:left="1370" w:right="0" w:hanging="531"/>
        <w:jc w:val="both"/>
        <w:rPr>
          <w:sz w:val="21"/>
        </w:rPr>
      </w:pPr>
      <w:r>
        <w:rPr>
          <w:spacing w:val="-3"/>
          <w:sz w:val="21"/>
        </w:rPr>
        <w:t>核医学科所有核辐射风险的用房宜采用独立的恒温恒湿空调系统。扫描间温度应为</w:t>
      </w:r>
    </w:p>
    <w:p>
      <w:pPr>
        <w:pStyle w:val="BodyText"/>
        <w:spacing w:before="2"/>
        <w:rPr>
          <w:sz w:val="18"/>
        </w:rPr>
      </w:pPr>
    </w:p>
    <w:p>
      <w:pPr>
        <w:pStyle w:val="BodyText"/>
        <w:spacing w:line="446" w:lineRule="auto"/>
        <w:ind w:left="418" w:right="1452"/>
      </w:pPr>
      <w:r>
        <w:rPr/>
        <w:t>22℃±2</w:t>
      </w:r>
      <w:r>
        <w:rPr>
          <w:spacing w:val="-13"/>
        </w:rPr>
        <w:t>℃，且 </w:t>
      </w:r>
      <w:r>
        <w:rPr/>
        <w:t>1h</w:t>
      </w:r>
      <w:r>
        <w:rPr>
          <w:spacing w:val="-12"/>
        </w:rPr>
        <w:t> 内的温度变化不宜大于 </w:t>
      </w:r>
      <w:r>
        <w:rPr/>
        <w:t>3</w:t>
      </w:r>
      <w:r>
        <w:rPr>
          <w:spacing w:val="-7"/>
        </w:rPr>
        <w:t>℃。扫描间相对湿度应为 </w:t>
      </w:r>
      <w:r>
        <w:rPr/>
        <w:t>60％±10％</w:t>
      </w:r>
      <w:r>
        <w:rPr>
          <w:spacing w:val="-3"/>
        </w:rPr>
        <w:t>。其他房间可采用普通空调，但排风应按国家现行标准《临床核医学卫生防护标准》</w:t>
      </w:r>
      <w:r>
        <w:rPr/>
        <w:t>GBZ 120</w:t>
      </w:r>
      <w:r>
        <w:rPr>
          <w:spacing w:val="-7"/>
        </w:rPr>
        <w:t> 和《医用放射性</w:t>
      </w:r>
      <w:r>
        <w:rPr>
          <w:spacing w:val="-5"/>
        </w:rPr>
        <w:t>废弃物管理卫生防护标准》</w:t>
      </w:r>
      <w:r>
        <w:rPr/>
        <w:t>GBZ 133</w:t>
      </w:r>
      <w:r>
        <w:rPr>
          <w:spacing w:val="-10"/>
        </w:rPr>
        <w:t> 的规定处理。</w:t>
      </w:r>
      <w:r>
        <w:rPr/>
        <w:t> </w:t>
      </w:r>
    </w:p>
    <w:p>
      <w:pPr>
        <w:pStyle w:val="ListParagraph"/>
        <w:numPr>
          <w:ilvl w:val="2"/>
          <w:numId w:val="827"/>
        </w:numPr>
        <w:tabs>
          <w:tab w:pos="1371" w:val="left" w:leader="none"/>
        </w:tabs>
        <w:spacing w:line="446" w:lineRule="auto" w:before="0" w:after="0"/>
        <w:ind w:left="418" w:right="1498" w:firstLine="422"/>
        <w:jc w:val="left"/>
        <w:rPr>
          <w:sz w:val="21"/>
        </w:rPr>
      </w:pPr>
      <w:r>
        <w:rPr>
          <w:spacing w:val="-3"/>
          <w:sz w:val="21"/>
        </w:rPr>
        <w:t>放射性同位素治疗用房的空调系统，应根据放射性同位素种类与使用条件确定，宜采用全新风空调方式。放射性同位素管理区域内，相对于管理区域外应保持负压，排气风管宜采用氯乙烯衬里风管，并应在排风系统中设置气密性阀门；应在净化处理装置的排气侧设置风机，并应保持排风管内负压，排风机应后于空调系统关闭。当贮藏室、废物保管室贮藏放射性同</w:t>
      </w:r>
      <w:r>
        <w:rPr>
          <w:spacing w:val="-12"/>
          <w:sz w:val="21"/>
        </w:rPr>
        <w:t>位素时，应 </w:t>
      </w:r>
      <w:r>
        <w:rPr>
          <w:sz w:val="21"/>
        </w:rPr>
        <w:t>24h</w:t>
      </w:r>
      <w:r>
        <w:rPr>
          <w:spacing w:val="-12"/>
          <w:sz w:val="21"/>
        </w:rPr>
        <w:t> 排换气。 </w:t>
      </w:r>
    </w:p>
    <w:p>
      <w:pPr>
        <w:pStyle w:val="ListParagraph"/>
        <w:numPr>
          <w:ilvl w:val="1"/>
          <w:numId w:val="827"/>
        </w:numPr>
        <w:tabs>
          <w:tab w:pos="1159" w:val="left" w:leader="none"/>
        </w:tabs>
        <w:spacing w:line="266" w:lineRule="exact" w:before="0" w:after="0"/>
        <w:ind w:left="1158" w:right="0" w:hanging="319"/>
        <w:jc w:val="left"/>
        <w:rPr>
          <w:b/>
          <w:sz w:val="21"/>
        </w:rPr>
      </w:pPr>
      <w:r>
        <w:rPr>
          <w:spacing w:val="-3"/>
          <w:sz w:val="21"/>
        </w:rPr>
        <w:t>中心(消毒)供应室</w:t>
      </w:r>
      <w:r>
        <w:rPr>
          <w:b/>
          <w:spacing w:val="-3"/>
          <w:w w:val="99"/>
          <w:sz w:val="21"/>
        </w:rPr>
        <w:t> </w:t>
      </w:r>
    </w:p>
    <w:p>
      <w:pPr>
        <w:pStyle w:val="BodyText"/>
        <w:spacing w:before="1"/>
        <w:rPr>
          <w:b/>
          <w:sz w:val="18"/>
        </w:rPr>
      </w:pPr>
    </w:p>
    <w:p>
      <w:pPr>
        <w:pStyle w:val="ListParagraph"/>
        <w:numPr>
          <w:ilvl w:val="2"/>
          <w:numId w:val="827"/>
        </w:numPr>
        <w:tabs>
          <w:tab w:pos="1371" w:val="left" w:leader="none"/>
        </w:tabs>
        <w:spacing w:line="240" w:lineRule="auto" w:before="0" w:after="0"/>
        <w:ind w:left="1370" w:right="0" w:hanging="531"/>
        <w:jc w:val="left"/>
        <w:rPr>
          <w:sz w:val="21"/>
        </w:rPr>
      </w:pPr>
      <w:r>
        <w:rPr>
          <w:spacing w:val="-3"/>
          <w:sz w:val="21"/>
        </w:rPr>
        <w:t>中心(消毒)供应室应保持有序压差梯度和定向气流。定向气流应经灭菌区流向去污</w:t>
      </w:r>
    </w:p>
    <w:p>
      <w:pPr>
        <w:spacing w:after="0" w:line="240" w:lineRule="auto"/>
        <w:jc w:val="left"/>
        <w:rPr>
          <w:sz w:val="21"/>
        </w:rPr>
        <w:sectPr>
          <w:footerReference w:type="default" r:id="rId452"/>
          <w:pgSz w:w="11910" w:h="16850"/>
          <w:pgMar w:footer="1239" w:header="0" w:top="1220" w:bottom="1420" w:left="1260" w:right="0"/>
          <w:pgNumType w:start="1470"/>
        </w:sectPr>
      </w:pPr>
    </w:p>
    <w:p>
      <w:pPr>
        <w:pStyle w:val="BodyText"/>
        <w:spacing w:line="446" w:lineRule="auto" w:before="47"/>
        <w:ind w:left="418" w:right="1609"/>
        <w:jc w:val="both"/>
      </w:pPr>
      <w:r>
        <w:rPr>
          <w:spacing w:val="-5"/>
        </w:rPr>
        <w:t>区。无菌存放区对相邻并相通房间不应低于 </w:t>
      </w:r>
      <w:r>
        <w:rPr/>
        <w:t>5Pa</w:t>
      </w:r>
      <w:r>
        <w:rPr>
          <w:spacing w:val="-7"/>
        </w:rPr>
        <w:t> 的正压，去污区对相邻并相通房间和室外均应</w:t>
      </w:r>
      <w:r>
        <w:rPr>
          <w:spacing w:val="-13"/>
        </w:rPr>
        <w:t>维持不低于 </w:t>
      </w:r>
      <w:r>
        <w:rPr/>
        <w:t>5Pa</w:t>
      </w:r>
      <w:r>
        <w:rPr>
          <w:spacing w:val="-12"/>
        </w:rPr>
        <w:t> 的负压。 </w:t>
      </w:r>
    </w:p>
    <w:p>
      <w:pPr>
        <w:pStyle w:val="ListParagraph"/>
        <w:numPr>
          <w:ilvl w:val="2"/>
          <w:numId w:val="827"/>
        </w:numPr>
        <w:tabs>
          <w:tab w:pos="1370" w:val="left" w:leader="none"/>
        </w:tabs>
        <w:spacing w:line="446" w:lineRule="auto" w:before="0" w:after="0"/>
        <w:ind w:left="418" w:right="1498" w:firstLine="422"/>
        <w:jc w:val="both"/>
        <w:rPr>
          <w:sz w:val="21"/>
        </w:rPr>
      </w:pPr>
      <w:r>
        <w:rPr>
          <w:spacing w:val="-3"/>
          <w:sz w:val="21"/>
        </w:rPr>
        <w:t>无菌存放区宜按不低于Ⅳ级洁净用房设计，并应采用独立的净化空调系统。高压灭菌</w:t>
      </w:r>
      <w:r>
        <w:rPr>
          <w:spacing w:val="-5"/>
          <w:sz w:val="21"/>
        </w:rPr>
        <w:t>器应设置局部通风，低温灭菌室应有独立排风系统，温度冬季不宜低于 </w:t>
      </w:r>
      <w:r>
        <w:rPr>
          <w:sz w:val="21"/>
        </w:rPr>
        <w:t>18</w:t>
      </w:r>
      <w:r>
        <w:rPr>
          <w:spacing w:val="-3"/>
          <w:sz w:val="21"/>
        </w:rPr>
        <w:t>℃，夏季不宜高于24℃</w:t>
      </w:r>
      <w:r>
        <w:rPr>
          <w:spacing w:val="-7"/>
          <w:sz w:val="21"/>
        </w:rPr>
        <w:t>；室内相对湿度冬季不宜低于 </w:t>
      </w:r>
      <w:r>
        <w:rPr>
          <w:sz w:val="21"/>
        </w:rPr>
        <w:t>30</w:t>
      </w:r>
      <w:r>
        <w:rPr>
          <w:spacing w:val="-9"/>
          <w:sz w:val="21"/>
        </w:rPr>
        <w:t>％，夏季不宜高于 </w:t>
      </w:r>
      <w:r>
        <w:rPr>
          <w:sz w:val="21"/>
        </w:rPr>
        <w:t>60</w:t>
      </w:r>
      <w:r>
        <w:rPr>
          <w:spacing w:val="-2"/>
          <w:sz w:val="21"/>
        </w:rPr>
        <w:t>％。</w:t>
      </w:r>
      <w:r>
        <w:rPr>
          <w:sz w:val="21"/>
        </w:rPr>
        <w:t> </w:t>
      </w:r>
    </w:p>
    <w:p>
      <w:pPr>
        <w:pStyle w:val="ListParagraph"/>
        <w:numPr>
          <w:ilvl w:val="2"/>
          <w:numId w:val="827"/>
        </w:numPr>
        <w:tabs>
          <w:tab w:pos="1371" w:val="left" w:leader="none"/>
        </w:tabs>
        <w:spacing w:line="446" w:lineRule="auto" w:before="0" w:after="0"/>
        <w:ind w:left="418" w:right="1498" w:firstLine="422"/>
        <w:jc w:val="both"/>
        <w:rPr>
          <w:b/>
          <w:sz w:val="21"/>
        </w:rPr>
      </w:pPr>
      <w:r>
        <w:rPr>
          <w:spacing w:val="-3"/>
          <w:sz w:val="21"/>
        </w:rPr>
        <w:t>去污区应设置独立局部排风，总排风量不应低于负压所要求的差值风量。去污区内的回风口应设置不低于中效的空气过滤器。</w:t>
      </w:r>
      <w:r>
        <w:rPr>
          <w:b/>
          <w:w w:val="99"/>
          <w:sz w:val="21"/>
        </w:rPr>
        <w:t> </w:t>
      </w:r>
    </w:p>
    <w:p>
      <w:pPr>
        <w:pStyle w:val="ListParagraph"/>
        <w:numPr>
          <w:ilvl w:val="2"/>
          <w:numId w:val="827"/>
        </w:numPr>
        <w:tabs>
          <w:tab w:pos="1371" w:val="left" w:leader="none"/>
        </w:tabs>
        <w:spacing w:line="240" w:lineRule="auto" w:before="0" w:after="0"/>
        <w:ind w:left="1370" w:right="0" w:hanging="531"/>
        <w:jc w:val="both"/>
        <w:rPr>
          <w:sz w:val="21"/>
        </w:rPr>
      </w:pPr>
      <w:r>
        <w:rPr>
          <w:spacing w:val="-6"/>
          <w:sz w:val="21"/>
        </w:rPr>
        <w:t>采用普通空调的区域冬季温度不宜低于 </w:t>
      </w:r>
      <w:r>
        <w:rPr>
          <w:sz w:val="21"/>
        </w:rPr>
        <w:t>18</w:t>
      </w:r>
      <w:r>
        <w:rPr>
          <w:spacing w:val="-8"/>
          <w:sz w:val="21"/>
        </w:rPr>
        <w:t>℃，夏季温度不宜高于 </w:t>
      </w:r>
      <w:r>
        <w:rPr>
          <w:sz w:val="21"/>
        </w:rPr>
        <w:t>26℃。 </w:t>
      </w:r>
    </w:p>
    <w:p>
      <w:pPr>
        <w:pStyle w:val="BodyText"/>
        <w:spacing w:before="5"/>
        <w:rPr>
          <w:sz w:val="15"/>
        </w:rPr>
      </w:pPr>
    </w:p>
    <w:p>
      <w:pPr>
        <w:pStyle w:val="Heading4"/>
      </w:pPr>
      <w:r>
        <w:rPr/>
        <w:t>8 电气</w:t>
      </w:r>
      <w:r>
        <w:rPr>
          <w:w w:val="99"/>
        </w:rPr>
        <w:t> </w:t>
      </w:r>
    </w:p>
    <w:p>
      <w:pPr>
        <w:pStyle w:val="BodyText"/>
        <w:spacing w:before="6"/>
        <w:rPr>
          <w:b/>
          <w:sz w:val="17"/>
        </w:rPr>
      </w:pPr>
    </w:p>
    <w:p>
      <w:pPr>
        <w:pStyle w:val="ListParagraph"/>
        <w:numPr>
          <w:ilvl w:val="1"/>
          <w:numId w:val="828"/>
        </w:numPr>
        <w:tabs>
          <w:tab w:pos="1159" w:val="left" w:leader="none"/>
        </w:tabs>
        <w:spacing w:line="240" w:lineRule="auto" w:before="1"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828"/>
        </w:numPr>
        <w:tabs>
          <w:tab w:pos="1371" w:val="left" w:leader="none"/>
        </w:tabs>
        <w:spacing w:line="240" w:lineRule="auto" w:before="0" w:after="0"/>
        <w:ind w:left="1370" w:right="0" w:hanging="531"/>
        <w:jc w:val="left"/>
        <w:rPr>
          <w:sz w:val="21"/>
        </w:rPr>
      </w:pPr>
      <w:r>
        <w:rPr>
          <w:spacing w:val="-3"/>
          <w:sz w:val="21"/>
        </w:rPr>
        <w:t>医院的医疗场所应根据电气安全防护的要求分类，并应符合下列要求： </w:t>
      </w:r>
      <w:r>
        <w:rPr>
          <w:spacing w:val="-2"/>
          <w:sz w:val="21"/>
        </w:rPr>
        <w:t> </w:t>
      </w:r>
      <w:r>
        <w:rPr>
          <w:w w:val="100"/>
          <w:sz w:val="21"/>
        </w:rPr>
        <w:t> </w:t>
      </w:r>
    </w:p>
    <w:p>
      <w:pPr>
        <w:pStyle w:val="BodyText"/>
        <w:spacing w:before="12"/>
        <w:rPr>
          <w:sz w:val="17"/>
        </w:rPr>
      </w:pPr>
    </w:p>
    <w:p>
      <w:pPr>
        <w:pStyle w:val="BodyText"/>
        <w:ind w:left="838"/>
      </w:pPr>
      <w:r>
        <w:rPr/>
        <w:t>不使用医疗电气设备接触部件的医疗场所应为 0 类场所；  </w:t>
      </w:r>
      <w:r>
        <w:rPr>
          <w:w w:val="100"/>
        </w:rPr>
        <w:t> </w:t>
      </w:r>
    </w:p>
    <w:p>
      <w:pPr>
        <w:pStyle w:val="BodyText"/>
        <w:spacing w:before="2"/>
        <w:rPr>
          <w:sz w:val="18"/>
        </w:rPr>
      </w:pPr>
    </w:p>
    <w:p>
      <w:pPr>
        <w:pStyle w:val="BodyText"/>
        <w:spacing w:line="446" w:lineRule="auto"/>
        <w:ind w:left="418" w:right="1611" w:firstLine="419"/>
      </w:pPr>
      <w:r>
        <w:rPr>
          <w:spacing w:val="-5"/>
        </w:rPr>
        <w:t>医疗电气设备接触部件需要与患者体表、体内(除 </w:t>
      </w:r>
      <w:r>
        <w:rPr/>
        <w:t>2</w:t>
      </w:r>
      <w:r>
        <w:rPr>
          <w:spacing w:val="-7"/>
        </w:rPr>
        <w:t> 类医疗场所所述部位以外)接触的医疗</w:t>
      </w:r>
      <w:r>
        <w:rPr>
          <w:spacing w:val="-13"/>
        </w:rPr>
        <w:t>场所，应为 </w:t>
      </w:r>
      <w:r>
        <w:rPr/>
        <w:t>1</w:t>
      </w:r>
      <w:r>
        <w:rPr>
          <w:spacing w:val="-12"/>
        </w:rPr>
        <w:t> 类场所； </w:t>
      </w:r>
      <w:r>
        <w:rPr>
          <w:spacing w:val="-2"/>
        </w:rPr>
        <w:t> </w:t>
      </w:r>
      <w:r>
        <w:rPr>
          <w:w w:val="100"/>
        </w:rPr>
        <w:t> </w:t>
      </w:r>
    </w:p>
    <w:p>
      <w:pPr>
        <w:pStyle w:val="BodyText"/>
        <w:spacing w:line="446" w:lineRule="auto"/>
        <w:ind w:left="418" w:right="1611" w:firstLine="419"/>
      </w:pPr>
      <w:r>
        <w:rPr/>
        <w:t>医疗电气设备接触部件需要与患者体内(指心脏或接近心脏部位)接触以及电源中断危及患者生命的医疗场所，应为 2 类场所。 </w:t>
      </w:r>
    </w:p>
    <w:p>
      <w:pPr>
        <w:pStyle w:val="ListParagraph"/>
        <w:numPr>
          <w:ilvl w:val="2"/>
          <w:numId w:val="828"/>
        </w:numPr>
        <w:tabs>
          <w:tab w:pos="1370" w:val="left" w:leader="none"/>
        </w:tabs>
        <w:spacing w:line="240" w:lineRule="auto" w:before="0" w:after="0"/>
        <w:ind w:left="1369" w:right="0" w:hanging="530"/>
        <w:jc w:val="left"/>
        <w:rPr>
          <w:sz w:val="21"/>
        </w:rPr>
      </w:pPr>
      <w:r>
        <w:rPr>
          <w:spacing w:val="-6"/>
          <w:sz w:val="21"/>
        </w:rPr>
        <w:t>医疗场所分类及自动恢复供电时间宜符合表 </w:t>
      </w:r>
      <w:r>
        <w:rPr>
          <w:sz w:val="21"/>
        </w:rPr>
        <w:t>8.1.2</w:t>
      </w:r>
      <w:r>
        <w:rPr>
          <w:spacing w:val="-16"/>
          <w:sz w:val="21"/>
        </w:rPr>
        <w:t> 规定。</w:t>
      </w:r>
      <w:r>
        <w:rPr>
          <w:sz w:val="21"/>
        </w:rPr>
        <w:t> </w:t>
      </w:r>
    </w:p>
    <w:p>
      <w:pPr>
        <w:spacing w:after="0" w:line="240" w:lineRule="auto"/>
        <w:jc w:val="left"/>
        <w:rPr>
          <w:sz w:val="21"/>
        </w:rPr>
        <w:sectPr>
          <w:pgSz w:w="11910" w:h="16850"/>
          <w:pgMar w:header="0" w:footer="1239" w:top="1220" w:bottom="1420" w:left="1260" w:right="0"/>
        </w:sectPr>
      </w:pPr>
    </w:p>
    <w:p>
      <w:pPr>
        <w:pStyle w:val="Heading6"/>
        <w:spacing w:before="47"/>
        <w:ind w:left="1939"/>
      </w:pPr>
      <w:r>
        <w:rPr/>
        <w:t>表 8.1.2 医疗场所及设施的类别划分及要求恢复供电的时间</w:t>
      </w:r>
      <w:r>
        <w:rPr>
          <w:w w:val="99"/>
        </w:rPr>
        <w:t> </w:t>
      </w:r>
    </w:p>
    <w:p>
      <w:pPr>
        <w:pStyle w:val="BodyText"/>
        <w:spacing w:before="5"/>
        <w:rPr>
          <w:b/>
          <w:sz w:val="11"/>
        </w:rPr>
      </w:pPr>
      <w:r>
        <w:rPr/>
        <w:drawing>
          <wp:anchor distT="0" distB="0" distL="0" distR="0" allowOverlap="1" layoutInCell="1" locked="0" behindDoc="0" simplePos="0" relativeHeight="274">
            <wp:simplePos x="0" y="0"/>
            <wp:positionH relativeFrom="page">
              <wp:posOffset>1065530</wp:posOffset>
            </wp:positionH>
            <wp:positionV relativeFrom="paragraph">
              <wp:posOffset>117562</wp:posOffset>
            </wp:positionV>
            <wp:extent cx="4969167" cy="7629525"/>
            <wp:effectExtent l="0" t="0" r="0" b="0"/>
            <wp:wrapTopAndBottom/>
            <wp:docPr id="647" name="image372.png"/>
            <wp:cNvGraphicFramePr>
              <a:graphicFrameLocks noChangeAspect="1"/>
            </wp:cNvGraphicFramePr>
            <a:graphic>
              <a:graphicData uri="http://schemas.openxmlformats.org/drawingml/2006/picture">
                <pic:pic>
                  <pic:nvPicPr>
                    <pic:cNvPr id="648" name="image372.png"/>
                    <pic:cNvPicPr/>
                  </pic:nvPicPr>
                  <pic:blipFill>
                    <a:blip r:embed="rId453" cstate="print"/>
                    <a:stretch>
                      <a:fillRect/>
                    </a:stretch>
                  </pic:blipFill>
                  <pic:spPr>
                    <a:xfrm>
                      <a:off x="0" y="0"/>
                      <a:ext cx="4969167" cy="7629525"/>
                    </a:xfrm>
                    <a:prstGeom prst="rect">
                      <a:avLst/>
                    </a:prstGeom>
                  </pic:spPr>
                </pic:pic>
              </a:graphicData>
            </a:graphic>
          </wp:anchor>
        </w:drawing>
      </w:r>
    </w:p>
    <w:p>
      <w:pPr>
        <w:spacing w:after="0"/>
        <w:rPr>
          <w:sz w:val="11"/>
        </w:rPr>
        <w:sectPr>
          <w:pgSz w:w="11910" w:h="16850"/>
          <w:pgMar w:header="0" w:footer="1239" w:top="1220" w:bottom="1420" w:left="1260" w:right="0"/>
        </w:sectPr>
      </w:pPr>
    </w:p>
    <w:p>
      <w:pPr>
        <w:pStyle w:val="BodyText"/>
        <w:rPr>
          <w:b/>
          <w:sz w:val="20"/>
        </w:rPr>
      </w:pPr>
      <w:r>
        <w:rPr/>
        <w:pict>
          <v:group style="position:absolute;margin-left:82.463997pt;margin-top:62.099979pt;width:442.4pt;height:719.85pt;mso-position-horizontal-relative:page;mso-position-vertical-relative:page;z-index:-287399936" coordorigin="1649,1242" coordsize="8848,14397">
            <v:rect style="position:absolute;left:1649;top:15139;width:8848;height:500" filled="true" fillcolor="#ffffff" stroked="false">
              <v:fill type="solid"/>
            </v:rect>
            <v:shape style="position:absolute;left:2152;top:6226;width:8154;height:8910" type="#_x0000_t75" stroked="false">
              <v:imagedata r:id="rId455" o:title=""/>
            </v:shape>
            <v:shape style="position:absolute;left:2187;top:1242;width:8118;height:4984" type="#_x0000_t75" stroked="false">
              <v:imagedata r:id="rId456" o:title=""/>
            </v:shape>
            <w10:wrap type="none"/>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4"/>
        </w:rPr>
      </w:pPr>
    </w:p>
    <w:p>
      <w:pPr>
        <w:spacing w:before="72"/>
        <w:ind w:left="418" w:right="0" w:firstLine="0"/>
        <w:jc w:val="left"/>
        <w:rPr>
          <w:b/>
          <w:sz w:val="21"/>
        </w:rPr>
      </w:pPr>
      <w:r>
        <w:rPr/>
        <w:pict>
          <v:shape style="position:absolute;margin-left:294.170013pt;margin-top:7.169474pt;width:19pt;height:9.4pt;mso-position-horizontal-relative:page;mso-position-vertical-relative:paragraph;z-index:-287400960" type="#_x0000_t202" filled="false" stroked="false">
            <v:textbox inset="0,0,0,0">
              <w:txbxContent>
                <w:p>
                  <w:pPr>
                    <w:spacing w:line="188" w:lineRule="exact" w:before="0"/>
                    <w:ind w:left="0" w:right="0" w:firstLine="0"/>
                    <w:jc w:val="left"/>
                    <w:rPr>
                      <w:rFonts w:ascii="等线"/>
                      <w:sz w:val="18"/>
                    </w:rPr>
                  </w:pPr>
                  <w:r>
                    <w:rPr>
                      <w:rFonts w:ascii="等线"/>
                      <w:sz w:val="18"/>
                    </w:rPr>
                    <w:t>1473</w:t>
                  </w:r>
                </w:p>
              </w:txbxContent>
            </v:textbox>
            <w10:wrap type="none"/>
          </v:shape>
        </w:pict>
      </w:r>
      <w:r>
        <w:rPr>
          <w:b/>
          <w:w w:val="99"/>
          <w:sz w:val="21"/>
        </w:rPr>
        <w:t> </w:t>
      </w:r>
    </w:p>
    <w:p>
      <w:pPr>
        <w:spacing w:after="0"/>
        <w:jc w:val="left"/>
        <w:rPr>
          <w:sz w:val="21"/>
        </w:rPr>
        <w:sectPr>
          <w:footerReference w:type="default" r:id="rId454"/>
          <w:pgSz w:w="11910" w:h="16850"/>
          <w:pgMar w:footer="0" w:header="0" w:top="1240" w:bottom="280" w:left="1260" w:right="0"/>
        </w:sectPr>
      </w:pPr>
    </w:p>
    <w:p>
      <w:pPr>
        <w:pStyle w:val="BodyText"/>
        <w:spacing w:line="446" w:lineRule="auto" w:before="47"/>
        <w:ind w:left="840" w:right="1551" w:firstLine="216"/>
      </w:pPr>
      <w:r>
        <w:rPr/>
        <w:t>注：a</w:t>
      </w:r>
      <w:r>
        <w:rPr>
          <w:spacing w:val="-9"/>
        </w:rPr>
        <w:t> 为照明及生命支持电气设备；</w:t>
      </w:r>
      <w:r>
        <w:rPr/>
        <w:t>b</w:t>
      </w:r>
      <w:r>
        <w:rPr>
          <w:spacing w:val="-8"/>
        </w:rPr>
        <w:t> 为不作为手术室；</w:t>
      </w:r>
      <w:r>
        <w:rPr/>
        <w:t>c</w:t>
      </w:r>
      <w:r>
        <w:rPr>
          <w:spacing w:val="-18"/>
        </w:rPr>
        <w:t> 为需持续 </w:t>
      </w:r>
      <w:r>
        <w:rPr/>
        <w:t>3～24h</w:t>
      </w:r>
      <w:r>
        <w:rPr>
          <w:spacing w:val="-11"/>
        </w:rPr>
        <w:t> 提供电力。</w:t>
      </w:r>
      <w:r>
        <w:rPr>
          <w:b/>
        </w:rPr>
        <w:t>8.1.3</w:t>
      </w:r>
      <w:r>
        <w:rPr>
          <w:b/>
          <w:spacing w:val="103"/>
        </w:rPr>
        <w:t> </w:t>
      </w:r>
      <w:r>
        <w:rPr>
          <w:spacing w:val="-8"/>
        </w:rPr>
        <w:t>医疗用房内严禁采用 </w:t>
      </w:r>
      <w:r>
        <w:rPr/>
        <w:t>TN-C</w:t>
      </w:r>
      <w:r>
        <w:rPr>
          <w:spacing w:val="-11"/>
        </w:rPr>
        <w:t> 接地系统。</w:t>
      </w:r>
      <w:r>
        <w:rPr/>
        <w:t> </w:t>
      </w:r>
    </w:p>
    <w:p>
      <w:pPr>
        <w:pStyle w:val="ListParagraph"/>
        <w:numPr>
          <w:ilvl w:val="1"/>
          <w:numId w:val="828"/>
        </w:numPr>
        <w:tabs>
          <w:tab w:pos="1159" w:val="left" w:leader="none"/>
        </w:tabs>
        <w:spacing w:line="267" w:lineRule="exact" w:before="0" w:after="0"/>
        <w:ind w:left="1158" w:right="0" w:hanging="319"/>
        <w:jc w:val="left"/>
        <w:rPr>
          <w:b/>
          <w:sz w:val="21"/>
        </w:rPr>
      </w:pPr>
      <w:r>
        <w:rPr>
          <w:spacing w:val="-3"/>
          <w:sz w:val="21"/>
        </w:rPr>
        <w:t>电源</w:t>
      </w:r>
      <w:r>
        <w:rPr>
          <w:b/>
          <w:w w:val="99"/>
          <w:sz w:val="21"/>
        </w:rPr>
        <w:t> </w:t>
      </w:r>
    </w:p>
    <w:p>
      <w:pPr>
        <w:pStyle w:val="BodyText"/>
        <w:spacing w:before="2"/>
        <w:rPr>
          <w:b/>
          <w:sz w:val="18"/>
        </w:rPr>
      </w:pPr>
    </w:p>
    <w:p>
      <w:pPr>
        <w:pStyle w:val="ListParagraph"/>
        <w:numPr>
          <w:ilvl w:val="2"/>
          <w:numId w:val="828"/>
        </w:numPr>
        <w:tabs>
          <w:tab w:pos="1371" w:val="left" w:leader="none"/>
        </w:tabs>
        <w:spacing w:line="240" w:lineRule="auto" w:before="0" w:after="0"/>
        <w:ind w:left="1370" w:right="0" w:hanging="531"/>
        <w:jc w:val="left"/>
        <w:rPr>
          <w:sz w:val="21"/>
        </w:rPr>
      </w:pPr>
      <w:r>
        <w:rPr>
          <w:spacing w:val="-3"/>
          <w:sz w:val="21"/>
        </w:rPr>
        <w:t>医疗场所供配电系统应根据医疗场所分类及自动恢复供电时间的要求进行设计。 </w:t>
      </w:r>
    </w:p>
    <w:p>
      <w:pPr>
        <w:pStyle w:val="BodyText"/>
        <w:rPr>
          <w:sz w:val="18"/>
        </w:rPr>
      </w:pPr>
    </w:p>
    <w:p>
      <w:pPr>
        <w:pStyle w:val="ListParagraph"/>
        <w:numPr>
          <w:ilvl w:val="2"/>
          <w:numId w:val="828"/>
        </w:numPr>
        <w:tabs>
          <w:tab w:pos="1370" w:val="left" w:leader="none"/>
        </w:tabs>
        <w:spacing w:line="240" w:lineRule="auto" w:before="0" w:after="0"/>
        <w:ind w:left="1369" w:right="0" w:hanging="530"/>
        <w:jc w:val="left"/>
        <w:rPr>
          <w:sz w:val="21"/>
        </w:rPr>
      </w:pPr>
      <w:r>
        <w:rPr>
          <w:spacing w:val="-3"/>
          <w:sz w:val="21"/>
        </w:rPr>
        <w:t>医疗场所配电系统的设计，应便于电源从主电网自动切换到安全电源系统。 </w:t>
      </w:r>
    </w:p>
    <w:p>
      <w:pPr>
        <w:pStyle w:val="BodyText"/>
        <w:spacing w:before="12"/>
        <w:rPr>
          <w:sz w:val="17"/>
        </w:rPr>
      </w:pPr>
    </w:p>
    <w:p>
      <w:pPr>
        <w:pStyle w:val="ListParagraph"/>
        <w:numPr>
          <w:ilvl w:val="2"/>
          <w:numId w:val="828"/>
        </w:numPr>
        <w:tabs>
          <w:tab w:pos="1370" w:val="left" w:leader="none"/>
        </w:tabs>
        <w:spacing w:line="240" w:lineRule="auto" w:before="0" w:after="0"/>
        <w:ind w:left="1369" w:right="0" w:hanging="530"/>
        <w:jc w:val="left"/>
        <w:rPr>
          <w:sz w:val="21"/>
        </w:rPr>
      </w:pPr>
      <w:r>
        <w:rPr>
          <w:spacing w:val="-3"/>
          <w:sz w:val="21"/>
        </w:rPr>
        <w:t>当医疗设备需要采用净化电源时，宜按科室集中设置。</w:t>
      </w:r>
      <w:r>
        <w:rPr>
          <w:sz w:val="21"/>
        </w:rPr>
        <w:t> </w:t>
      </w:r>
    </w:p>
    <w:p>
      <w:pPr>
        <w:pStyle w:val="BodyText"/>
        <w:spacing w:before="2"/>
        <w:rPr>
          <w:sz w:val="18"/>
        </w:rPr>
      </w:pPr>
    </w:p>
    <w:p>
      <w:pPr>
        <w:pStyle w:val="ListParagraph"/>
        <w:numPr>
          <w:ilvl w:val="2"/>
          <w:numId w:val="828"/>
        </w:numPr>
        <w:tabs>
          <w:tab w:pos="1371" w:val="left" w:leader="none"/>
        </w:tabs>
        <w:spacing w:line="240" w:lineRule="auto" w:before="0" w:after="0"/>
        <w:ind w:left="1370" w:right="0" w:hanging="531"/>
        <w:jc w:val="left"/>
        <w:rPr>
          <w:sz w:val="21"/>
        </w:rPr>
      </w:pPr>
      <w:r>
        <w:rPr>
          <w:spacing w:val="-3"/>
          <w:sz w:val="21"/>
        </w:rPr>
        <w:t>放射科大型医疗设备的电源，应由变电所单独供电。</w:t>
      </w:r>
      <w:r>
        <w:rPr>
          <w:sz w:val="21"/>
        </w:rPr>
        <w:t> </w:t>
      </w:r>
    </w:p>
    <w:p>
      <w:pPr>
        <w:pStyle w:val="BodyText"/>
        <w:rPr>
          <w:sz w:val="18"/>
        </w:rPr>
      </w:pPr>
    </w:p>
    <w:p>
      <w:pPr>
        <w:pStyle w:val="ListParagraph"/>
        <w:numPr>
          <w:ilvl w:val="2"/>
          <w:numId w:val="828"/>
        </w:numPr>
        <w:tabs>
          <w:tab w:pos="1371" w:val="left" w:leader="none"/>
        </w:tabs>
        <w:spacing w:line="446" w:lineRule="auto" w:before="0" w:after="0"/>
        <w:ind w:left="418" w:right="1498" w:firstLine="422"/>
        <w:jc w:val="left"/>
        <w:rPr>
          <w:sz w:val="21"/>
        </w:rPr>
      </w:pPr>
      <w:r>
        <w:rPr>
          <w:spacing w:val="-3"/>
          <w:sz w:val="21"/>
        </w:rPr>
        <w:t>放射科、核医学科、功能检查科、检验科等部门的医疗设备电源，应分别设置切断电源的隔离电器。</w:t>
      </w:r>
      <w:r>
        <w:rPr>
          <w:sz w:val="21"/>
        </w:rPr>
        <w:t> </w:t>
      </w:r>
    </w:p>
    <w:p>
      <w:pPr>
        <w:pStyle w:val="ListParagraph"/>
        <w:numPr>
          <w:ilvl w:val="2"/>
          <w:numId w:val="828"/>
        </w:numPr>
        <w:tabs>
          <w:tab w:pos="1371" w:val="left" w:leader="none"/>
        </w:tabs>
        <w:spacing w:line="240" w:lineRule="auto" w:before="0" w:after="0"/>
        <w:ind w:left="1370" w:right="0" w:hanging="531"/>
        <w:jc w:val="left"/>
        <w:rPr>
          <w:sz w:val="21"/>
        </w:rPr>
      </w:pPr>
      <w:r>
        <w:rPr>
          <w:spacing w:val="-3"/>
          <w:sz w:val="21"/>
        </w:rPr>
        <w:t>大型医疗设备的电源系统，应满足设备对电源压降的要求。</w:t>
      </w:r>
      <w:r>
        <w:rPr>
          <w:sz w:val="21"/>
        </w:rPr>
        <w:t> </w:t>
      </w:r>
    </w:p>
    <w:p>
      <w:pPr>
        <w:pStyle w:val="BodyText"/>
        <w:spacing w:before="12"/>
        <w:rPr>
          <w:sz w:val="17"/>
        </w:rPr>
      </w:pPr>
    </w:p>
    <w:p>
      <w:pPr>
        <w:pStyle w:val="ListParagraph"/>
        <w:numPr>
          <w:ilvl w:val="1"/>
          <w:numId w:val="828"/>
        </w:numPr>
        <w:tabs>
          <w:tab w:pos="1159" w:val="left" w:leader="none"/>
        </w:tabs>
        <w:spacing w:line="240" w:lineRule="auto" w:before="0" w:after="0"/>
        <w:ind w:left="1158" w:right="0" w:hanging="319"/>
        <w:jc w:val="left"/>
        <w:rPr>
          <w:b/>
          <w:sz w:val="21"/>
        </w:rPr>
      </w:pPr>
      <w:r>
        <w:rPr>
          <w:spacing w:val="-3"/>
          <w:sz w:val="21"/>
        </w:rPr>
        <w:t>安全保护</w:t>
      </w:r>
      <w:r>
        <w:rPr>
          <w:b/>
          <w:w w:val="99"/>
          <w:sz w:val="21"/>
        </w:rPr>
        <w:t> </w:t>
      </w:r>
    </w:p>
    <w:p>
      <w:pPr>
        <w:pStyle w:val="BodyText"/>
        <w:rPr>
          <w:b/>
          <w:sz w:val="18"/>
        </w:rPr>
      </w:pPr>
    </w:p>
    <w:p>
      <w:pPr>
        <w:pStyle w:val="ListParagraph"/>
        <w:numPr>
          <w:ilvl w:val="2"/>
          <w:numId w:val="828"/>
        </w:numPr>
        <w:tabs>
          <w:tab w:pos="1371" w:val="left" w:leader="none"/>
        </w:tabs>
        <w:spacing w:line="446" w:lineRule="auto" w:before="0" w:after="0"/>
        <w:ind w:left="418" w:right="1553" w:firstLine="422"/>
        <w:jc w:val="left"/>
        <w:rPr>
          <w:sz w:val="21"/>
        </w:rPr>
      </w:pPr>
      <w:r>
        <w:rPr>
          <w:sz w:val="21"/>
        </w:rPr>
        <w:t>1</w:t>
      </w:r>
      <w:r>
        <w:rPr>
          <w:spacing w:val="-24"/>
          <w:sz w:val="21"/>
        </w:rPr>
        <w:t> 类和 </w:t>
      </w:r>
      <w:r>
        <w:rPr>
          <w:sz w:val="21"/>
        </w:rPr>
        <w:t>2</w:t>
      </w:r>
      <w:r>
        <w:rPr>
          <w:spacing w:val="-8"/>
          <w:sz w:val="21"/>
        </w:rPr>
        <w:t> 类医疗场所使用隔离特低电压设备(</w:t>
      </w:r>
      <w:r>
        <w:rPr>
          <w:sz w:val="21"/>
        </w:rPr>
        <w:t>SELV</w:t>
      </w:r>
      <w:r>
        <w:rPr>
          <w:spacing w:val="-3"/>
          <w:sz w:val="21"/>
        </w:rPr>
        <w:t>)和保护特低电压设备</w:t>
      </w:r>
      <w:r>
        <w:rPr>
          <w:sz w:val="21"/>
        </w:rPr>
        <w:t>(PELV)时，设</w:t>
      </w:r>
      <w:r>
        <w:rPr>
          <w:spacing w:val="-7"/>
          <w:sz w:val="21"/>
        </w:rPr>
        <w:t>备额定电压不应超过交流方均根值 </w:t>
      </w:r>
      <w:r>
        <w:rPr>
          <w:sz w:val="21"/>
        </w:rPr>
        <w:t>25V</w:t>
      </w:r>
      <w:r>
        <w:rPr>
          <w:spacing w:val="-16"/>
          <w:sz w:val="21"/>
        </w:rPr>
        <w:t> 或无纹波直流 </w:t>
      </w:r>
      <w:r>
        <w:rPr>
          <w:sz w:val="21"/>
        </w:rPr>
        <w:t>60V</w:t>
      </w:r>
      <w:r>
        <w:rPr>
          <w:spacing w:val="-3"/>
          <w:sz w:val="21"/>
        </w:rPr>
        <w:t>，并应采取绝缘保护。</w:t>
      </w:r>
      <w:r>
        <w:rPr>
          <w:sz w:val="21"/>
        </w:rPr>
        <w:t> </w:t>
      </w:r>
    </w:p>
    <w:p>
      <w:pPr>
        <w:pStyle w:val="ListParagraph"/>
        <w:numPr>
          <w:ilvl w:val="2"/>
          <w:numId w:val="828"/>
        </w:numPr>
        <w:tabs>
          <w:tab w:pos="1370" w:val="left" w:leader="none"/>
        </w:tabs>
        <w:spacing w:line="446" w:lineRule="auto" w:before="0" w:after="0"/>
        <w:ind w:left="838" w:right="2074" w:firstLine="2"/>
        <w:jc w:val="left"/>
        <w:rPr>
          <w:sz w:val="21"/>
        </w:rPr>
      </w:pPr>
      <w:r>
        <w:rPr>
          <w:sz w:val="21"/>
        </w:rPr>
        <w:t>1</w:t>
      </w:r>
      <w:r>
        <w:rPr>
          <w:spacing w:val="-27"/>
          <w:sz w:val="21"/>
        </w:rPr>
        <w:t> 类和 </w:t>
      </w:r>
      <w:r>
        <w:rPr>
          <w:sz w:val="21"/>
        </w:rPr>
        <w:t>2</w:t>
      </w:r>
      <w:r>
        <w:rPr>
          <w:spacing w:val="-7"/>
          <w:sz w:val="21"/>
        </w:rPr>
        <w:t> 类医疗场所应设防止间接触电的断电保护，并应符合下列要求： </w:t>
      </w:r>
      <w:r>
        <w:rPr>
          <w:sz w:val="21"/>
        </w:rPr>
        <w:t>IT 、TN、TT</w:t>
      </w:r>
      <w:r>
        <w:rPr>
          <w:spacing w:val="-12"/>
          <w:sz w:val="21"/>
        </w:rPr>
        <w:t> 系统，接触电压不应超过 </w:t>
      </w:r>
      <w:r>
        <w:rPr>
          <w:sz w:val="21"/>
        </w:rPr>
        <w:t>25V。 </w:t>
      </w:r>
      <w:r>
        <w:rPr>
          <w:spacing w:val="-2"/>
          <w:sz w:val="21"/>
        </w:rPr>
        <w:t> </w:t>
      </w:r>
      <w:r>
        <w:rPr>
          <w:w w:val="100"/>
          <w:sz w:val="21"/>
        </w:rPr>
        <w:t> </w:t>
      </w:r>
    </w:p>
    <w:p>
      <w:pPr>
        <w:pStyle w:val="BodyText"/>
        <w:spacing w:line="446" w:lineRule="auto"/>
        <w:ind w:left="838" w:right="4239"/>
      </w:pPr>
      <w:r>
        <w:rPr/>
        <w:t>TN</w:t>
      </w:r>
      <w:r>
        <w:rPr>
          <w:spacing w:val="-10"/>
        </w:rPr>
        <w:t> 系统最大分断时间 </w:t>
      </w:r>
      <w:r>
        <w:rPr/>
        <w:t>230V</w:t>
      </w:r>
      <w:r>
        <w:rPr>
          <w:spacing w:val="-17"/>
        </w:rPr>
        <w:t> 应为 </w:t>
      </w:r>
      <w:r>
        <w:rPr/>
        <w:t>0.2s，400V</w:t>
      </w:r>
      <w:r>
        <w:rPr>
          <w:spacing w:val="-17"/>
        </w:rPr>
        <w:t> 应为 </w:t>
      </w:r>
      <w:r>
        <w:rPr/>
        <w:t>0.05s</w:t>
      </w:r>
      <w:r>
        <w:rPr>
          <w:spacing w:val="-3"/>
        </w:rPr>
        <w:t>。</w:t>
      </w:r>
      <w:r>
        <w:rPr/>
        <w:t>IT</w:t>
      </w:r>
      <w:r>
        <w:rPr>
          <w:spacing w:val="-11"/>
        </w:rPr>
        <w:t> 系统中性点不配出，最大分断时间 </w:t>
      </w:r>
      <w:r>
        <w:rPr/>
        <w:t>230V</w:t>
      </w:r>
      <w:r>
        <w:rPr>
          <w:spacing w:val="-23"/>
        </w:rPr>
        <w:t> 应为 </w:t>
      </w:r>
      <w:r>
        <w:rPr/>
        <w:t>0.2s</w:t>
      </w:r>
      <w:r>
        <w:rPr>
          <w:spacing w:val="-3"/>
        </w:rPr>
        <w:t>。</w:t>
      </w:r>
      <w:r>
        <w:rPr>
          <w:b/>
        </w:rPr>
        <w:t>8.3.3</w:t>
      </w:r>
      <w:r>
        <w:rPr>
          <w:b/>
          <w:spacing w:val="105"/>
        </w:rPr>
        <w:t> </w:t>
      </w:r>
      <w:r>
        <w:rPr>
          <w:spacing w:val="-15"/>
        </w:rPr>
        <w:t>当采用 </w:t>
      </w:r>
      <w:r>
        <w:rPr/>
        <w:t>TN</w:t>
      </w:r>
      <w:r>
        <w:rPr>
          <w:spacing w:val="-8"/>
        </w:rPr>
        <w:t> 系统时，应符合下列要求：</w:t>
      </w:r>
      <w:r>
        <w:rPr/>
        <w:t> </w:t>
      </w:r>
      <w:r>
        <w:rPr>
          <w:spacing w:val="-2"/>
        </w:rPr>
        <w:t> </w:t>
      </w:r>
      <w:r>
        <w:rPr>
          <w:w w:val="100"/>
        </w:rPr>
        <w:t> </w:t>
      </w:r>
    </w:p>
    <w:p>
      <w:pPr>
        <w:pStyle w:val="BodyText"/>
        <w:spacing w:line="446" w:lineRule="auto"/>
        <w:ind w:left="418" w:right="1503" w:firstLine="419"/>
      </w:pPr>
      <w:r>
        <w:rPr>
          <w:spacing w:val="-24"/>
        </w:rPr>
        <w:t>在 </w:t>
      </w:r>
      <w:r>
        <w:rPr/>
        <w:t>1</w:t>
      </w:r>
      <w:r>
        <w:rPr>
          <w:spacing w:val="-12"/>
        </w:rPr>
        <w:t> 类医疗场所中额定电流不大于 </w:t>
      </w:r>
      <w:r>
        <w:rPr/>
        <w:t>32A</w:t>
      </w:r>
      <w:r>
        <w:rPr>
          <w:spacing w:val="-11"/>
        </w:rPr>
        <w:t> 的终端回路，应采用最大剩余动作电流为 </w:t>
      </w:r>
      <w:r>
        <w:rPr/>
        <w:t>30mA</w:t>
      </w:r>
      <w:r>
        <w:rPr>
          <w:spacing w:val="-17"/>
        </w:rPr>
        <w:t> 的剩</w:t>
      </w:r>
      <w:r>
        <w:rPr>
          <w:spacing w:val="-7"/>
        </w:rPr>
        <w:t>余电流动作保护器。</w:t>
      </w:r>
      <w:r>
        <w:rPr/>
        <w:t> </w:t>
      </w:r>
      <w:r>
        <w:rPr>
          <w:spacing w:val="-2"/>
        </w:rPr>
        <w:t> </w:t>
      </w:r>
      <w:r>
        <w:rPr>
          <w:w w:val="100"/>
        </w:rPr>
        <w:t> </w:t>
      </w:r>
    </w:p>
    <w:p>
      <w:pPr>
        <w:pStyle w:val="BodyText"/>
        <w:spacing w:line="446" w:lineRule="auto"/>
        <w:ind w:left="838" w:right="2451"/>
      </w:pPr>
      <w:r>
        <w:rPr>
          <w:spacing w:val="-7"/>
        </w:rPr>
        <w:t>在 </w:t>
      </w:r>
      <w:r>
        <w:rPr/>
        <w:t>2</w:t>
      </w:r>
      <w:r>
        <w:rPr>
          <w:spacing w:val="-6"/>
        </w:rPr>
        <w:t> 类医疗场所的下列回路应设置额定剩余电流不超过 </w:t>
      </w:r>
      <w:r>
        <w:rPr/>
        <w:t>30mA</w:t>
      </w:r>
      <w:r>
        <w:rPr>
          <w:spacing w:val="-5"/>
        </w:rPr>
        <w:t> 的漏电保护器； </w:t>
      </w:r>
      <w:r>
        <w:rPr/>
        <w:t>1)</w:t>
      </w:r>
      <w:r>
        <w:rPr>
          <w:spacing w:val="-3"/>
        </w:rPr>
        <w:t>手术台驱动机构供电回路； </w:t>
      </w:r>
      <w:r>
        <w:rPr>
          <w:spacing w:val="-2"/>
        </w:rPr>
        <w:t> </w:t>
      </w:r>
      <w:r>
        <w:rPr>
          <w:w w:val="100"/>
        </w:rPr>
        <w:t> </w:t>
      </w:r>
    </w:p>
    <w:p>
      <w:pPr>
        <w:pStyle w:val="ListParagraph"/>
        <w:numPr>
          <w:ilvl w:val="0"/>
          <w:numId w:val="829"/>
        </w:numPr>
        <w:tabs>
          <w:tab w:pos="1051" w:val="left" w:leader="none"/>
        </w:tabs>
        <w:spacing w:line="240" w:lineRule="auto" w:before="0" w:after="0"/>
        <w:ind w:left="1050" w:right="0" w:hanging="213"/>
        <w:jc w:val="left"/>
        <w:rPr>
          <w:sz w:val="21"/>
        </w:rPr>
      </w:pPr>
      <w:r>
        <w:rPr>
          <w:spacing w:val="-15"/>
          <w:sz w:val="21"/>
        </w:rPr>
        <w:t>移动式 </w:t>
      </w:r>
      <w:r>
        <w:rPr>
          <w:sz w:val="21"/>
        </w:rPr>
        <w:t>X</w:t>
      </w:r>
      <w:r>
        <w:rPr>
          <w:spacing w:val="-9"/>
          <w:sz w:val="21"/>
        </w:rPr>
        <w:t> 射线装置回路； </w:t>
      </w:r>
      <w:r>
        <w:rPr>
          <w:spacing w:val="-2"/>
          <w:sz w:val="21"/>
        </w:rPr>
        <w:t> </w:t>
      </w:r>
      <w:r>
        <w:rPr>
          <w:w w:val="100"/>
          <w:sz w:val="21"/>
        </w:rPr>
        <w:t> </w:t>
      </w:r>
    </w:p>
    <w:p>
      <w:pPr>
        <w:pStyle w:val="BodyText"/>
        <w:spacing w:before="9"/>
        <w:rPr>
          <w:sz w:val="17"/>
        </w:rPr>
      </w:pPr>
    </w:p>
    <w:p>
      <w:pPr>
        <w:pStyle w:val="ListParagraph"/>
        <w:numPr>
          <w:ilvl w:val="0"/>
          <w:numId w:val="829"/>
        </w:numPr>
        <w:tabs>
          <w:tab w:pos="1051" w:val="left" w:leader="none"/>
        </w:tabs>
        <w:spacing w:line="240" w:lineRule="auto" w:before="0" w:after="0"/>
        <w:ind w:left="1050" w:right="0" w:hanging="213"/>
        <w:jc w:val="left"/>
        <w:rPr>
          <w:sz w:val="21"/>
        </w:rPr>
      </w:pPr>
      <w:r>
        <w:rPr>
          <w:spacing w:val="-11"/>
          <w:sz w:val="21"/>
        </w:rPr>
        <w:t>额定容量超过 </w:t>
      </w:r>
      <w:r>
        <w:rPr>
          <w:sz w:val="21"/>
        </w:rPr>
        <w:t>5kV·A</w:t>
      </w:r>
      <w:r>
        <w:rPr>
          <w:spacing w:val="-9"/>
          <w:sz w:val="21"/>
        </w:rPr>
        <w:t> 的大型设备的回路； </w:t>
      </w:r>
      <w:r>
        <w:rPr>
          <w:spacing w:val="-2"/>
          <w:sz w:val="21"/>
        </w:rPr>
        <w:t> </w:t>
      </w:r>
      <w:r>
        <w:rPr>
          <w:w w:val="100"/>
          <w:sz w:val="21"/>
        </w:rPr>
        <w:t> </w:t>
      </w:r>
    </w:p>
    <w:p>
      <w:pPr>
        <w:pStyle w:val="BodyText"/>
        <w:spacing w:before="2"/>
        <w:rPr>
          <w:sz w:val="18"/>
        </w:rPr>
      </w:pPr>
    </w:p>
    <w:p>
      <w:pPr>
        <w:pStyle w:val="ListParagraph"/>
        <w:numPr>
          <w:ilvl w:val="0"/>
          <w:numId w:val="829"/>
        </w:numPr>
        <w:tabs>
          <w:tab w:pos="1051" w:val="left" w:leader="none"/>
        </w:tabs>
        <w:spacing w:line="240" w:lineRule="auto" w:before="0" w:after="0"/>
        <w:ind w:left="1050" w:right="0" w:hanging="213"/>
        <w:jc w:val="left"/>
        <w:rPr>
          <w:sz w:val="21"/>
        </w:rPr>
      </w:pPr>
      <w:r>
        <w:rPr>
          <w:spacing w:val="-3"/>
          <w:sz w:val="21"/>
        </w:rPr>
        <w:t>非生命支持系统的电气设备回路。</w:t>
      </w:r>
      <w:r>
        <w:rPr>
          <w:sz w:val="21"/>
        </w:rPr>
        <w:t> </w:t>
      </w:r>
    </w:p>
    <w:p>
      <w:pPr>
        <w:pStyle w:val="BodyText"/>
        <w:rPr>
          <w:sz w:val="18"/>
        </w:rPr>
      </w:pPr>
    </w:p>
    <w:p>
      <w:pPr>
        <w:pStyle w:val="ListParagraph"/>
        <w:numPr>
          <w:ilvl w:val="2"/>
          <w:numId w:val="830"/>
        </w:numPr>
        <w:tabs>
          <w:tab w:pos="1371" w:val="left" w:leader="none"/>
        </w:tabs>
        <w:spacing w:line="446" w:lineRule="auto" w:before="0" w:after="0"/>
        <w:ind w:left="418" w:right="1603" w:firstLine="422"/>
        <w:jc w:val="left"/>
        <w:rPr>
          <w:sz w:val="21"/>
        </w:rPr>
      </w:pPr>
      <w:r>
        <w:rPr>
          <w:spacing w:val="-13"/>
          <w:sz w:val="21"/>
        </w:rPr>
        <w:t>当采用 </w:t>
      </w:r>
      <w:r>
        <w:rPr>
          <w:sz w:val="21"/>
        </w:rPr>
        <w:t>TT</w:t>
      </w:r>
      <w:r>
        <w:rPr>
          <w:spacing w:val="-11"/>
          <w:sz w:val="21"/>
        </w:rPr>
        <w:t> 系统时，应按本规范第 </w:t>
      </w:r>
      <w:r>
        <w:rPr>
          <w:sz w:val="21"/>
        </w:rPr>
        <w:t>8.3.3</w:t>
      </w:r>
      <w:r>
        <w:rPr>
          <w:spacing w:val="-8"/>
          <w:sz w:val="21"/>
        </w:rPr>
        <w:t> 条的规定执行，且所有配电回路均应设置剩</w:t>
      </w:r>
      <w:r>
        <w:rPr>
          <w:spacing w:val="-4"/>
          <w:sz w:val="21"/>
        </w:rPr>
        <w:t>余电流动作保护器。 </w:t>
      </w:r>
      <w:r>
        <w:rPr>
          <w:spacing w:val="-2"/>
          <w:sz w:val="21"/>
        </w:rPr>
        <w:t> </w:t>
      </w:r>
      <w:r>
        <w:rPr>
          <w:w w:val="100"/>
          <w:sz w:val="21"/>
        </w:rPr>
        <w:t> </w:t>
      </w:r>
    </w:p>
    <w:p>
      <w:pPr>
        <w:pStyle w:val="BodyText"/>
        <w:ind w:left="838"/>
      </w:pPr>
      <w:r>
        <w:rPr>
          <w:w w:val="100"/>
        </w:rPr>
        <w:t> </w:t>
      </w:r>
    </w:p>
    <w:p>
      <w:pPr>
        <w:spacing w:after="0"/>
        <w:sectPr>
          <w:footerReference w:type="default" r:id="rId457"/>
          <w:pgSz w:w="11910" w:h="16850"/>
          <w:pgMar w:footer="1239" w:header="0" w:top="1220" w:bottom="1420" w:left="1260" w:right="0"/>
          <w:pgNumType w:start="1474"/>
        </w:sectPr>
      </w:pPr>
    </w:p>
    <w:p>
      <w:pPr>
        <w:pStyle w:val="ListParagraph"/>
        <w:numPr>
          <w:ilvl w:val="2"/>
          <w:numId w:val="830"/>
        </w:numPr>
        <w:tabs>
          <w:tab w:pos="1370" w:val="left" w:leader="none"/>
        </w:tabs>
        <w:spacing w:line="446" w:lineRule="auto" w:before="167" w:after="0"/>
        <w:ind w:left="418" w:right="1498" w:firstLine="422"/>
        <w:jc w:val="both"/>
        <w:rPr>
          <w:sz w:val="21"/>
        </w:rPr>
      </w:pPr>
      <w:r>
        <w:rPr>
          <w:spacing w:val="-11"/>
          <w:sz w:val="21"/>
        </w:rPr>
        <w:t>除本规范第 </w:t>
      </w:r>
      <w:r>
        <w:rPr>
          <w:sz w:val="21"/>
        </w:rPr>
        <w:t>8.3.3</w:t>
      </w:r>
      <w:r>
        <w:rPr>
          <w:spacing w:val="-25"/>
          <w:sz w:val="21"/>
        </w:rPr>
        <w:t> 条第 </w:t>
      </w:r>
      <w:r>
        <w:rPr>
          <w:sz w:val="21"/>
        </w:rPr>
        <w:t>2</w:t>
      </w:r>
      <w:r>
        <w:rPr>
          <w:spacing w:val="-11"/>
          <w:sz w:val="21"/>
        </w:rPr>
        <w:t> 款所列的电气回路外，在 </w:t>
      </w:r>
      <w:r>
        <w:rPr>
          <w:sz w:val="21"/>
        </w:rPr>
        <w:t>2</w:t>
      </w:r>
      <w:r>
        <w:rPr>
          <w:spacing w:val="-9"/>
          <w:sz w:val="21"/>
        </w:rPr>
        <w:t> 类医疗场所中维持患者生命、外</w:t>
      </w:r>
      <w:r>
        <w:rPr>
          <w:spacing w:val="-5"/>
          <w:sz w:val="21"/>
        </w:rPr>
        <w:t>科手术和其他位于“患者区域”范围内的电气装置和供电的回路，均应采用医用 </w:t>
      </w:r>
      <w:r>
        <w:rPr>
          <w:sz w:val="21"/>
        </w:rPr>
        <w:t>IT</w:t>
      </w:r>
      <w:r>
        <w:rPr>
          <w:spacing w:val="-7"/>
          <w:sz w:val="21"/>
        </w:rPr>
        <w:t> 系统。当采</w:t>
      </w:r>
      <w:r>
        <w:rPr>
          <w:spacing w:val="-17"/>
          <w:sz w:val="21"/>
        </w:rPr>
        <w:t>用医用 </w:t>
      </w:r>
      <w:r>
        <w:rPr>
          <w:sz w:val="21"/>
        </w:rPr>
        <w:t>IT</w:t>
      </w:r>
      <w:r>
        <w:rPr>
          <w:spacing w:val="-8"/>
          <w:sz w:val="21"/>
        </w:rPr>
        <w:t> 系统时，应符合下列要求： </w:t>
      </w:r>
      <w:r>
        <w:rPr>
          <w:spacing w:val="-2"/>
          <w:sz w:val="21"/>
        </w:rPr>
        <w:t> </w:t>
      </w:r>
      <w:r>
        <w:rPr>
          <w:w w:val="100"/>
          <w:sz w:val="21"/>
        </w:rPr>
        <w:t> </w:t>
      </w:r>
    </w:p>
    <w:p>
      <w:pPr>
        <w:pStyle w:val="BodyText"/>
        <w:spacing w:line="268" w:lineRule="exact"/>
        <w:ind w:left="838"/>
        <w:jc w:val="both"/>
      </w:pPr>
      <w:r>
        <w:rPr/>
        <w:t>多个功能相同的毗邻房间，应至少安装 1 个独立的医用 IT 系统。  </w:t>
      </w:r>
      <w:r>
        <w:rPr>
          <w:w w:val="100"/>
        </w:rPr>
        <w:t> </w:t>
      </w:r>
    </w:p>
    <w:p>
      <w:pPr>
        <w:pStyle w:val="BodyText"/>
        <w:spacing w:before="12"/>
        <w:rPr>
          <w:sz w:val="17"/>
        </w:rPr>
      </w:pPr>
    </w:p>
    <w:p>
      <w:pPr>
        <w:pStyle w:val="BodyText"/>
        <w:spacing w:line="446" w:lineRule="auto"/>
        <w:ind w:left="838" w:right="4343"/>
        <w:jc w:val="both"/>
        <w:rPr>
          <w:b/>
        </w:rPr>
      </w:pPr>
      <w:r>
        <w:rPr>
          <w:spacing w:val="6"/>
        </w:rPr>
        <w:t>医用 </w:t>
      </w:r>
      <w:r>
        <w:rPr/>
        <w:t>IT</w:t>
      </w:r>
      <w:r>
        <w:rPr>
          <w:spacing w:val="-3"/>
        </w:rPr>
        <w:t> 系统必须配置绝缘监视器，并应符合下列要求： 1)</w:t>
      </w:r>
      <w:r>
        <w:rPr>
          <w:spacing w:val="-8"/>
        </w:rPr>
        <w:t>交流内阻应大于或等于 </w:t>
      </w:r>
      <w:r>
        <w:rPr/>
        <w:t>100kΩ； </w:t>
      </w:r>
      <w:r>
        <w:rPr>
          <w:spacing w:val="-2"/>
        </w:rPr>
        <w:t> </w:t>
      </w:r>
      <w:r>
        <w:rPr>
          <w:b/>
          <w:w w:val="99"/>
        </w:rPr>
        <w:t> </w:t>
      </w:r>
    </w:p>
    <w:p>
      <w:pPr>
        <w:pStyle w:val="ListParagraph"/>
        <w:numPr>
          <w:ilvl w:val="0"/>
          <w:numId w:val="831"/>
        </w:numPr>
        <w:tabs>
          <w:tab w:pos="1051" w:val="left" w:leader="none"/>
        </w:tabs>
        <w:spacing w:line="240" w:lineRule="auto" w:before="1" w:after="0"/>
        <w:ind w:left="1050" w:right="0" w:hanging="213"/>
        <w:jc w:val="both"/>
        <w:rPr>
          <w:b/>
          <w:sz w:val="21"/>
        </w:rPr>
      </w:pPr>
      <w:r>
        <w:rPr>
          <w:spacing w:val="-8"/>
          <w:sz w:val="21"/>
        </w:rPr>
        <w:t>测试电压不应大于直流 </w:t>
      </w:r>
      <w:r>
        <w:rPr>
          <w:sz w:val="21"/>
        </w:rPr>
        <w:t>25V； </w:t>
      </w:r>
      <w:r>
        <w:rPr>
          <w:spacing w:val="-2"/>
          <w:sz w:val="21"/>
        </w:rPr>
        <w:t> </w:t>
      </w:r>
      <w:r>
        <w:rPr>
          <w:b/>
          <w:w w:val="99"/>
          <w:sz w:val="21"/>
        </w:rPr>
        <w:t> </w:t>
      </w:r>
    </w:p>
    <w:p>
      <w:pPr>
        <w:pStyle w:val="BodyText"/>
        <w:spacing w:before="12"/>
        <w:rPr>
          <w:b/>
          <w:sz w:val="17"/>
        </w:rPr>
      </w:pPr>
    </w:p>
    <w:p>
      <w:pPr>
        <w:pStyle w:val="ListParagraph"/>
        <w:numPr>
          <w:ilvl w:val="0"/>
          <w:numId w:val="831"/>
        </w:numPr>
        <w:tabs>
          <w:tab w:pos="1051" w:val="left" w:leader="none"/>
        </w:tabs>
        <w:spacing w:line="240" w:lineRule="auto" w:before="0" w:after="0"/>
        <w:ind w:left="1050" w:right="0" w:hanging="213"/>
        <w:jc w:val="both"/>
        <w:rPr>
          <w:b/>
          <w:sz w:val="21"/>
        </w:rPr>
      </w:pPr>
      <w:r>
        <w:rPr>
          <w:spacing w:val="-6"/>
          <w:sz w:val="21"/>
        </w:rPr>
        <w:t>在任何故障条件下，测试电流峰值不应大于 </w:t>
      </w:r>
      <w:r>
        <w:rPr>
          <w:sz w:val="21"/>
        </w:rPr>
        <w:t>1mA； </w:t>
      </w:r>
      <w:r>
        <w:rPr>
          <w:spacing w:val="-2"/>
          <w:sz w:val="21"/>
        </w:rPr>
        <w:t> </w:t>
      </w:r>
      <w:r>
        <w:rPr>
          <w:b/>
          <w:w w:val="99"/>
          <w:sz w:val="21"/>
        </w:rPr>
        <w:t> </w:t>
      </w:r>
    </w:p>
    <w:p>
      <w:pPr>
        <w:pStyle w:val="BodyText"/>
        <w:spacing w:before="2"/>
        <w:rPr>
          <w:b/>
          <w:sz w:val="18"/>
        </w:rPr>
      </w:pPr>
    </w:p>
    <w:p>
      <w:pPr>
        <w:pStyle w:val="ListParagraph"/>
        <w:numPr>
          <w:ilvl w:val="0"/>
          <w:numId w:val="831"/>
        </w:numPr>
        <w:tabs>
          <w:tab w:pos="1051" w:val="left" w:leader="none"/>
        </w:tabs>
        <w:spacing w:line="240" w:lineRule="auto" w:before="0" w:after="0"/>
        <w:ind w:left="1050" w:right="0" w:hanging="213"/>
        <w:jc w:val="left"/>
        <w:rPr>
          <w:b/>
          <w:sz w:val="21"/>
        </w:rPr>
      </w:pPr>
      <w:r>
        <w:rPr>
          <w:spacing w:val="-11"/>
          <w:sz w:val="21"/>
        </w:rPr>
        <w:t>当电阻减少到 </w:t>
      </w:r>
      <w:r>
        <w:rPr>
          <w:sz w:val="21"/>
        </w:rPr>
        <w:t>50kΩ</w:t>
      </w:r>
      <w:r>
        <w:rPr>
          <w:spacing w:val="-3"/>
          <w:sz w:val="21"/>
        </w:rPr>
        <w:t>时应发出信号，并备有试验设施。</w:t>
      </w:r>
      <w:r>
        <w:rPr>
          <w:sz w:val="21"/>
        </w:rPr>
        <w:t> </w:t>
      </w:r>
      <w:r>
        <w:rPr>
          <w:spacing w:val="-2"/>
          <w:sz w:val="21"/>
        </w:rPr>
        <w:t> </w:t>
      </w:r>
      <w:r>
        <w:rPr>
          <w:b/>
          <w:w w:val="99"/>
          <w:sz w:val="21"/>
        </w:rPr>
        <w:t> </w:t>
      </w:r>
    </w:p>
    <w:p>
      <w:pPr>
        <w:pStyle w:val="BodyText"/>
        <w:spacing w:before="12"/>
        <w:rPr>
          <w:b/>
          <w:sz w:val="17"/>
        </w:rPr>
      </w:pPr>
    </w:p>
    <w:p>
      <w:pPr>
        <w:pStyle w:val="BodyText"/>
        <w:spacing w:line="446" w:lineRule="auto"/>
        <w:ind w:left="418" w:right="1506" w:firstLine="419"/>
      </w:pPr>
      <w:r>
        <w:rPr>
          <w:spacing w:val="-8"/>
        </w:rPr>
        <w:t>每一个医用 </w:t>
      </w:r>
      <w:r>
        <w:rPr/>
        <w:t>IT</w:t>
      </w:r>
      <w:r>
        <w:rPr>
          <w:spacing w:val="-7"/>
        </w:rPr>
        <w:t> 系统，应设置显示工作状态的信号灯和声光警报装置。声光警报装置应安装</w:t>
      </w:r>
      <w:r>
        <w:rPr>
          <w:spacing w:val="-5"/>
        </w:rPr>
        <w:t>在便于永久性监视的场所。 </w:t>
      </w:r>
      <w:r>
        <w:rPr>
          <w:spacing w:val="-2"/>
        </w:rPr>
        <w:t> </w:t>
      </w:r>
      <w:r>
        <w:rPr>
          <w:w w:val="100"/>
        </w:rPr>
        <w:t> </w:t>
      </w:r>
    </w:p>
    <w:p>
      <w:pPr>
        <w:pStyle w:val="BodyText"/>
        <w:ind w:left="838"/>
      </w:pPr>
      <w:r>
        <w:rPr/>
        <w:t>隔离变压器应设置过负荷和高温的监控。 </w:t>
      </w:r>
    </w:p>
    <w:p>
      <w:pPr>
        <w:pStyle w:val="BodyText"/>
        <w:rPr>
          <w:sz w:val="18"/>
        </w:rPr>
      </w:pPr>
    </w:p>
    <w:p>
      <w:pPr>
        <w:pStyle w:val="ListParagraph"/>
        <w:numPr>
          <w:ilvl w:val="2"/>
          <w:numId w:val="830"/>
        </w:numPr>
        <w:tabs>
          <w:tab w:pos="1370" w:val="left" w:leader="none"/>
        </w:tabs>
        <w:spacing w:line="446" w:lineRule="auto" w:before="0" w:after="0"/>
        <w:ind w:left="418" w:right="1548" w:firstLine="422"/>
        <w:jc w:val="both"/>
        <w:rPr>
          <w:sz w:val="21"/>
        </w:rPr>
      </w:pPr>
      <w:r>
        <w:rPr>
          <w:spacing w:val="-22"/>
          <w:sz w:val="21"/>
        </w:rPr>
        <w:t>在 </w:t>
      </w:r>
      <w:r>
        <w:rPr>
          <w:sz w:val="21"/>
        </w:rPr>
        <w:t>1</w:t>
      </w:r>
      <w:r>
        <w:rPr>
          <w:spacing w:val="-15"/>
          <w:sz w:val="21"/>
        </w:rPr>
        <w:t> 类、</w:t>
      </w:r>
      <w:r>
        <w:rPr>
          <w:sz w:val="21"/>
        </w:rPr>
        <w:t>2</w:t>
      </w:r>
      <w:r>
        <w:rPr>
          <w:spacing w:val="-8"/>
          <w:sz w:val="21"/>
        </w:rPr>
        <w:t> 类医疗场所的“患者区域”内应设置辅助医用等电位联结母排，并应通过</w:t>
      </w:r>
      <w:r>
        <w:rPr>
          <w:spacing w:val="-4"/>
          <w:sz w:val="21"/>
        </w:rPr>
        <w:t>等电位连线将保护导体、外部可导电部分、抗电磁干扰屏蔽物、导电地板网络、隔离变压器的</w:t>
      </w:r>
      <w:r>
        <w:rPr>
          <w:spacing w:val="-3"/>
          <w:sz w:val="21"/>
        </w:rPr>
        <w:t>金属屏蔽层与等电位母排联结。</w:t>
      </w:r>
      <w:r>
        <w:rPr>
          <w:sz w:val="21"/>
        </w:rPr>
        <w:t> </w:t>
      </w:r>
    </w:p>
    <w:p>
      <w:pPr>
        <w:pStyle w:val="ListParagraph"/>
        <w:numPr>
          <w:ilvl w:val="2"/>
          <w:numId w:val="830"/>
        </w:numPr>
        <w:tabs>
          <w:tab w:pos="1371" w:val="left" w:leader="none"/>
        </w:tabs>
        <w:spacing w:line="446" w:lineRule="auto" w:before="0" w:after="0"/>
        <w:ind w:left="418" w:right="1498" w:firstLine="422"/>
        <w:jc w:val="both"/>
        <w:rPr>
          <w:sz w:val="21"/>
        </w:rPr>
      </w:pPr>
      <w:r>
        <w:rPr>
          <w:spacing w:val="-18"/>
          <w:sz w:val="21"/>
        </w:rPr>
        <w:t>在 </w:t>
      </w:r>
      <w:r>
        <w:rPr>
          <w:sz w:val="21"/>
        </w:rPr>
        <w:t>2</w:t>
      </w:r>
      <w:r>
        <w:rPr>
          <w:spacing w:val="-7"/>
          <w:sz w:val="21"/>
        </w:rPr>
        <w:t> 类医疗场所内，电源插座的保护导体端子、固定设备的保护导体端子或任何外界</w:t>
      </w:r>
      <w:r>
        <w:rPr>
          <w:spacing w:val="-6"/>
          <w:sz w:val="21"/>
        </w:rPr>
        <w:t>可导电部分与等电位联结母排之间导体的电阻(包括接头部分的电阻)，不应超过 </w:t>
      </w:r>
      <w:r>
        <w:rPr>
          <w:sz w:val="21"/>
        </w:rPr>
        <w:t>0.2Ω</w:t>
      </w:r>
      <w:r>
        <w:rPr>
          <w:spacing w:val="-3"/>
          <w:sz w:val="21"/>
        </w:rPr>
        <w:t>。</w:t>
      </w:r>
      <w:r>
        <w:rPr>
          <w:sz w:val="21"/>
        </w:rPr>
        <w:t> </w:t>
      </w:r>
    </w:p>
    <w:p>
      <w:pPr>
        <w:pStyle w:val="ListParagraph"/>
        <w:numPr>
          <w:ilvl w:val="2"/>
          <w:numId w:val="830"/>
        </w:numPr>
        <w:tabs>
          <w:tab w:pos="1370" w:val="left" w:leader="none"/>
        </w:tabs>
        <w:spacing w:line="240" w:lineRule="auto" w:before="0" w:after="0"/>
        <w:ind w:left="1369" w:right="0" w:hanging="530"/>
        <w:jc w:val="both"/>
        <w:rPr>
          <w:sz w:val="21"/>
        </w:rPr>
      </w:pPr>
      <w:r>
        <w:rPr>
          <w:spacing w:val="-3"/>
          <w:sz w:val="21"/>
        </w:rPr>
        <w:t>辅助医用等电位母排应安装在使用场所内，并应靠近配电箱或在配电箱中。 </w:t>
      </w:r>
    </w:p>
    <w:p>
      <w:pPr>
        <w:pStyle w:val="BodyText"/>
        <w:spacing w:before="11"/>
        <w:rPr>
          <w:sz w:val="17"/>
        </w:rPr>
      </w:pPr>
    </w:p>
    <w:p>
      <w:pPr>
        <w:pStyle w:val="ListParagraph"/>
        <w:numPr>
          <w:ilvl w:val="1"/>
          <w:numId w:val="828"/>
        </w:numPr>
        <w:tabs>
          <w:tab w:pos="1160" w:val="left" w:leader="none"/>
        </w:tabs>
        <w:spacing w:line="240" w:lineRule="auto" w:before="1" w:after="0"/>
        <w:ind w:left="1159" w:right="0" w:hanging="320"/>
        <w:jc w:val="left"/>
        <w:rPr>
          <w:b/>
          <w:sz w:val="21"/>
        </w:rPr>
      </w:pPr>
      <w:r>
        <w:rPr>
          <w:spacing w:val="-3"/>
          <w:sz w:val="21"/>
        </w:rPr>
        <w:t>电气设备的选择与安装</w:t>
      </w:r>
      <w:r>
        <w:rPr>
          <w:b/>
          <w:spacing w:val="-3"/>
          <w:w w:val="99"/>
          <w:sz w:val="21"/>
        </w:rPr>
        <w:t> </w:t>
      </w:r>
    </w:p>
    <w:p>
      <w:pPr>
        <w:pStyle w:val="BodyText"/>
        <w:spacing w:before="12"/>
        <w:rPr>
          <w:b/>
          <w:sz w:val="17"/>
        </w:rPr>
      </w:pPr>
    </w:p>
    <w:p>
      <w:pPr>
        <w:pStyle w:val="ListParagraph"/>
        <w:numPr>
          <w:ilvl w:val="2"/>
          <w:numId w:val="828"/>
        </w:numPr>
        <w:tabs>
          <w:tab w:pos="1370" w:val="left" w:leader="none"/>
        </w:tabs>
        <w:spacing w:line="240" w:lineRule="auto" w:before="0" w:after="0"/>
        <w:ind w:left="1369" w:right="0" w:hanging="530"/>
        <w:jc w:val="both"/>
        <w:rPr>
          <w:sz w:val="21"/>
        </w:rPr>
      </w:pPr>
      <w:r>
        <w:rPr>
          <w:spacing w:val="-19"/>
          <w:sz w:val="21"/>
        </w:rPr>
        <w:t>医用 </w:t>
      </w:r>
      <w:r>
        <w:rPr>
          <w:sz w:val="21"/>
        </w:rPr>
        <w:t>IT</w:t>
      </w:r>
      <w:r>
        <w:rPr>
          <w:spacing w:val="-9"/>
          <w:sz w:val="21"/>
        </w:rPr>
        <w:t> 系统隔离变压器，应符合下列要求： </w:t>
      </w:r>
      <w:r>
        <w:rPr>
          <w:spacing w:val="-2"/>
          <w:sz w:val="21"/>
        </w:rPr>
        <w:t> </w:t>
      </w:r>
      <w:r>
        <w:rPr>
          <w:w w:val="100"/>
          <w:sz w:val="21"/>
        </w:rPr>
        <w:t> </w:t>
      </w:r>
    </w:p>
    <w:p>
      <w:pPr>
        <w:pStyle w:val="BodyText"/>
        <w:spacing w:before="2"/>
        <w:rPr>
          <w:sz w:val="18"/>
        </w:rPr>
      </w:pPr>
    </w:p>
    <w:p>
      <w:pPr>
        <w:pStyle w:val="BodyText"/>
        <w:ind w:left="838"/>
        <w:jc w:val="both"/>
      </w:pPr>
      <w:r>
        <w:rPr/>
        <w:t>医用 IT 系统宜采用单相变压器，其额定容量不应低于 0.5kVA，且不宜超过 8kVA；  </w:t>
      </w:r>
      <w:r>
        <w:rPr>
          <w:w w:val="100"/>
        </w:rPr>
        <w:t> </w:t>
      </w:r>
    </w:p>
    <w:p>
      <w:pPr>
        <w:pStyle w:val="BodyText"/>
        <w:spacing w:before="12"/>
        <w:rPr>
          <w:sz w:val="17"/>
        </w:rPr>
      </w:pPr>
    </w:p>
    <w:p>
      <w:pPr>
        <w:pStyle w:val="BodyText"/>
        <w:ind w:left="838"/>
        <w:jc w:val="both"/>
      </w:pPr>
      <w:r>
        <w:rPr/>
        <w:t>隔离变压器应靠近使用场所，并应采取防护措施；  </w:t>
      </w:r>
      <w:r>
        <w:rPr>
          <w:w w:val="100"/>
        </w:rPr>
        <w:t> </w:t>
      </w:r>
    </w:p>
    <w:p>
      <w:pPr>
        <w:pStyle w:val="BodyText"/>
        <w:spacing w:before="12"/>
        <w:rPr>
          <w:sz w:val="17"/>
        </w:rPr>
      </w:pPr>
    </w:p>
    <w:p>
      <w:pPr>
        <w:pStyle w:val="BodyText"/>
        <w:ind w:left="838"/>
        <w:jc w:val="both"/>
      </w:pPr>
      <w:r>
        <w:rPr/>
        <w:t>隔离变压器二次侧的额定电压不应超过 250V；  </w:t>
      </w:r>
      <w:r>
        <w:rPr>
          <w:w w:val="100"/>
        </w:rPr>
        <w:t> </w:t>
      </w:r>
    </w:p>
    <w:p>
      <w:pPr>
        <w:pStyle w:val="BodyText"/>
        <w:spacing w:before="2"/>
        <w:rPr>
          <w:sz w:val="18"/>
        </w:rPr>
      </w:pPr>
    </w:p>
    <w:p>
      <w:pPr>
        <w:pStyle w:val="BodyText"/>
        <w:ind w:left="838"/>
      </w:pPr>
      <w:r>
        <w:rPr/>
        <w:t>当隔离变压器处于额定电压和额定频率下空载运行时，流向外壳或大地的漏电流不应超过</w:t>
      </w:r>
    </w:p>
    <w:p>
      <w:pPr>
        <w:pStyle w:val="BodyText"/>
        <w:rPr>
          <w:sz w:val="18"/>
        </w:rPr>
      </w:pPr>
    </w:p>
    <w:p>
      <w:pPr>
        <w:pStyle w:val="BodyText"/>
        <w:ind w:left="418"/>
      </w:pPr>
      <w:r>
        <w:rPr/>
        <w:t>0.5mA。 </w:t>
      </w:r>
    </w:p>
    <w:p>
      <w:pPr>
        <w:pStyle w:val="BodyText"/>
        <w:rPr>
          <w:sz w:val="18"/>
        </w:rPr>
      </w:pPr>
    </w:p>
    <w:p>
      <w:pPr>
        <w:pStyle w:val="ListParagraph"/>
        <w:numPr>
          <w:ilvl w:val="2"/>
          <w:numId w:val="828"/>
        </w:numPr>
        <w:tabs>
          <w:tab w:pos="1370" w:val="left" w:leader="none"/>
        </w:tabs>
        <w:spacing w:line="446" w:lineRule="auto" w:before="0" w:after="0"/>
        <w:ind w:left="418" w:right="1548" w:firstLine="422"/>
        <w:jc w:val="left"/>
        <w:rPr>
          <w:sz w:val="21"/>
        </w:rPr>
      </w:pPr>
      <w:r>
        <w:rPr>
          <w:sz w:val="21"/>
        </w:rPr>
        <w:t>1</w:t>
      </w:r>
      <w:r>
        <w:rPr>
          <w:spacing w:val="-25"/>
          <w:sz w:val="21"/>
        </w:rPr>
        <w:t> 类和 </w:t>
      </w:r>
      <w:r>
        <w:rPr>
          <w:sz w:val="21"/>
        </w:rPr>
        <w:t>2</w:t>
      </w:r>
      <w:r>
        <w:rPr>
          <w:spacing w:val="-10"/>
          <w:sz w:val="21"/>
        </w:rPr>
        <w:t> 类医疗场所，应根据可能产生的故障电流特性选择 </w:t>
      </w:r>
      <w:r>
        <w:rPr>
          <w:sz w:val="21"/>
        </w:rPr>
        <w:t>A</w:t>
      </w:r>
      <w:r>
        <w:rPr>
          <w:spacing w:val="-25"/>
          <w:sz w:val="21"/>
        </w:rPr>
        <w:t> 型或 </w:t>
      </w:r>
      <w:r>
        <w:rPr>
          <w:sz w:val="21"/>
        </w:rPr>
        <w:t>B</w:t>
      </w:r>
      <w:r>
        <w:rPr>
          <w:spacing w:val="-9"/>
          <w:sz w:val="21"/>
        </w:rPr>
        <w:t> 型剩余电流保护</w:t>
      </w:r>
      <w:r>
        <w:rPr>
          <w:spacing w:val="-6"/>
          <w:sz w:val="21"/>
        </w:rPr>
        <w:t>器。</w:t>
      </w:r>
      <w:r>
        <w:rPr>
          <w:sz w:val="21"/>
        </w:rPr>
        <w:t> </w:t>
      </w:r>
      <w:r>
        <w:rPr>
          <w:spacing w:val="-2"/>
          <w:sz w:val="21"/>
        </w:rPr>
        <w:t> </w:t>
      </w:r>
      <w:r>
        <w:rPr>
          <w:w w:val="100"/>
          <w:sz w:val="21"/>
        </w:rPr>
        <w:t> </w:t>
      </w:r>
    </w:p>
    <w:p>
      <w:pPr>
        <w:spacing w:after="0" w:line="446" w:lineRule="auto"/>
        <w:jc w:val="left"/>
        <w:rPr>
          <w:sz w:val="21"/>
        </w:rPr>
        <w:sectPr>
          <w:pgSz w:w="11910" w:h="16850"/>
          <w:pgMar w:header="0" w:footer="1239" w:top="1600" w:bottom="1420" w:left="1260" w:right="0"/>
        </w:sectPr>
      </w:pPr>
    </w:p>
    <w:p>
      <w:pPr>
        <w:pStyle w:val="ListParagraph"/>
        <w:numPr>
          <w:ilvl w:val="2"/>
          <w:numId w:val="828"/>
        </w:numPr>
        <w:tabs>
          <w:tab w:pos="1370" w:val="left" w:leader="none"/>
        </w:tabs>
        <w:spacing w:line="446" w:lineRule="auto" w:before="47" w:after="0"/>
        <w:ind w:left="418" w:right="1445" w:firstLine="422"/>
        <w:jc w:val="left"/>
        <w:rPr>
          <w:sz w:val="21"/>
        </w:rPr>
      </w:pPr>
      <w:r>
        <w:rPr>
          <w:sz w:val="21"/>
        </w:rPr>
        <w:t>2</w:t>
      </w:r>
      <w:r>
        <w:rPr>
          <w:spacing w:val="-10"/>
          <w:sz w:val="21"/>
        </w:rPr>
        <w:t> 类医疗场所每个终端回路，均应设置短路与过负荷保护，但在医用 </w:t>
      </w:r>
      <w:r>
        <w:rPr>
          <w:sz w:val="21"/>
        </w:rPr>
        <w:t>IT</w:t>
      </w:r>
      <w:r>
        <w:rPr>
          <w:spacing w:val="-8"/>
          <w:sz w:val="21"/>
        </w:rPr>
        <w:t> 系统变压器的</w:t>
      </w:r>
      <w:r>
        <w:rPr>
          <w:spacing w:val="-4"/>
          <w:sz w:val="21"/>
        </w:rPr>
        <w:t>一次侧与二次侧不应设置过负荷保护。</w:t>
      </w:r>
      <w:r>
        <w:rPr>
          <w:sz w:val="21"/>
        </w:rPr>
        <w:t> </w:t>
      </w:r>
    </w:p>
    <w:p>
      <w:pPr>
        <w:pStyle w:val="ListParagraph"/>
        <w:numPr>
          <w:ilvl w:val="2"/>
          <w:numId w:val="828"/>
        </w:numPr>
        <w:tabs>
          <w:tab w:pos="1371" w:val="left" w:leader="none"/>
        </w:tabs>
        <w:spacing w:line="267" w:lineRule="exact" w:before="0" w:after="0"/>
        <w:ind w:left="1370" w:right="0" w:hanging="531"/>
        <w:jc w:val="left"/>
        <w:rPr>
          <w:sz w:val="21"/>
        </w:rPr>
      </w:pPr>
      <w:r>
        <w:rPr>
          <w:sz w:val="21"/>
        </w:rPr>
        <w:t>2</w:t>
      </w:r>
      <w:r>
        <w:rPr>
          <w:spacing w:val="-13"/>
          <w:sz w:val="21"/>
        </w:rPr>
        <w:t> 类医疗场所内，医用 </w:t>
      </w:r>
      <w:r>
        <w:rPr>
          <w:sz w:val="21"/>
        </w:rPr>
        <w:t>IT</w:t>
      </w:r>
      <w:r>
        <w:rPr>
          <w:spacing w:val="-9"/>
          <w:sz w:val="21"/>
        </w:rPr>
        <w:t> 系统二次侧各终端回路应设置双级保护装置，应配置至少</w:t>
      </w:r>
    </w:p>
    <w:p>
      <w:pPr>
        <w:pStyle w:val="BodyText"/>
        <w:spacing w:before="2"/>
        <w:rPr>
          <w:sz w:val="18"/>
        </w:rPr>
      </w:pPr>
    </w:p>
    <w:p>
      <w:pPr>
        <w:pStyle w:val="BodyText"/>
        <w:spacing w:line="446" w:lineRule="auto"/>
        <w:ind w:left="418" w:right="1450"/>
      </w:pPr>
      <w:r>
        <w:rPr/>
        <w:t>2</w:t>
      </w:r>
      <w:r>
        <w:rPr>
          <w:spacing w:val="-5"/>
        </w:rPr>
        <w:t> 个独立回路供电的多个插座。每组插座回路，应独立设置短路保护，有条件时可独立设置过负</w:t>
      </w:r>
      <w:r>
        <w:rPr>
          <w:spacing w:val="-11"/>
        </w:rPr>
        <w:t>荷报警。医用 </w:t>
      </w:r>
      <w:r>
        <w:rPr/>
        <w:t>IT</w:t>
      </w:r>
      <w:r>
        <w:rPr>
          <w:spacing w:val="-9"/>
        </w:rPr>
        <w:t> 系统插座应有固定、明显的标志。 </w:t>
      </w:r>
    </w:p>
    <w:p>
      <w:pPr>
        <w:pStyle w:val="ListParagraph"/>
        <w:numPr>
          <w:ilvl w:val="2"/>
          <w:numId w:val="828"/>
        </w:numPr>
        <w:tabs>
          <w:tab w:pos="1370" w:val="left" w:leader="none"/>
        </w:tabs>
        <w:spacing w:line="267" w:lineRule="exact" w:before="0" w:after="0"/>
        <w:ind w:left="1369" w:right="0" w:hanging="530"/>
        <w:jc w:val="left"/>
        <w:rPr>
          <w:sz w:val="21"/>
        </w:rPr>
      </w:pPr>
      <w:r>
        <w:rPr>
          <w:sz w:val="21"/>
        </w:rPr>
        <w:t>1</w:t>
      </w:r>
      <w:r>
        <w:rPr>
          <w:spacing w:val="-28"/>
          <w:sz w:val="21"/>
        </w:rPr>
        <w:t> 类和 </w:t>
      </w:r>
      <w:r>
        <w:rPr>
          <w:sz w:val="21"/>
        </w:rPr>
        <w:t>2</w:t>
      </w:r>
      <w:r>
        <w:rPr>
          <w:spacing w:val="-13"/>
          <w:sz w:val="21"/>
        </w:rPr>
        <w:t> 类医疗场所内，宜提供 </w:t>
      </w:r>
      <w:r>
        <w:rPr>
          <w:sz w:val="21"/>
        </w:rPr>
        <w:t>2</w:t>
      </w:r>
      <w:r>
        <w:rPr>
          <w:spacing w:val="-9"/>
          <w:sz w:val="21"/>
        </w:rPr>
        <w:t> 个不同电源的照明回路。</w:t>
      </w:r>
      <w:r>
        <w:rPr>
          <w:sz w:val="21"/>
        </w:rPr>
        <w:t> </w:t>
      </w:r>
      <w:r>
        <w:rPr>
          <w:spacing w:val="-2"/>
          <w:sz w:val="21"/>
        </w:rPr>
        <w:t> </w:t>
      </w:r>
      <w:r>
        <w:rPr>
          <w:w w:val="100"/>
          <w:sz w:val="21"/>
        </w:rPr>
        <w:t> </w:t>
      </w:r>
    </w:p>
    <w:p>
      <w:pPr>
        <w:pStyle w:val="BodyText"/>
        <w:spacing w:before="2"/>
        <w:rPr>
          <w:sz w:val="18"/>
        </w:rPr>
      </w:pPr>
    </w:p>
    <w:p>
      <w:pPr>
        <w:pStyle w:val="ListParagraph"/>
        <w:numPr>
          <w:ilvl w:val="2"/>
          <w:numId w:val="828"/>
        </w:numPr>
        <w:tabs>
          <w:tab w:pos="1370" w:val="left" w:leader="none"/>
        </w:tabs>
        <w:spacing w:line="240" w:lineRule="auto" w:before="0" w:after="0"/>
        <w:ind w:left="1369" w:right="0" w:hanging="530"/>
        <w:jc w:val="left"/>
        <w:rPr>
          <w:sz w:val="21"/>
        </w:rPr>
      </w:pPr>
      <w:r>
        <w:rPr>
          <w:spacing w:val="-6"/>
          <w:sz w:val="21"/>
        </w:rPr>
        <w:t>电气装置与医疗气体释放口的安装距离不得少于 </w:t>
      </w:r>
      <w:r>
        <w:rPr>
          <w:sz w:val="21"/>
        </w:rPr>
        <w:t>0.20m。 </w:t>
      </w:r>
      <w:r>
        <w:rPr>
          <w:spacing w:val="-2"/>
          <w:sz w:val="21"/>
        </w:rPr>
        <w:t> </w:t>
      </w:r>
      <w:r>
        <w:rPr>
          <w:w w:val="100"/>
          <w:sz w:val="21"/>
        </w:rPr>
        <w:t> </w:t>
      </w:r>
    </w:p>
    <w:p>
      <w:pPr>
        <w:pStyle w:val="BodyText"/>
        <w:rPr>
          <w:sz w:val="18"/>
        </w:rPr>
      </w:pPr>
    </w:p>
    <w:p>
      <w:pPr>
        <w:pStyle w:val="ListParagraph"/>
        <w:numPr>
          <w:ilvl w:val="2"/>
          <w:numId w:val="828"/>
        </w:numPr>
        <w:tabs>
          <w:tab w:pos="1371" w:val="left" w:leader="none"/>
        </w:tabs>
        <w:spacing w:line="240" w:lineRule="auto" w:before="0" w:after="0"/>
        <w:ind w:left="1370" w:right="0" w:hanging="531"/>
        <w:jc w:val="left"/>
        <w:rPr>
          <w:sz w:val="21"/>
        </w:rPr>
      </w:pPr>
      <w:r>
        <w:rPr>
          <w:spacing w:val="-3"/>
          <w:sz w:val="21"/>
        </w:rPr>
        <w:t>医院消防设计应符合下列要求： </w:t>
      </w:r>
      <w:r>
        <w:rPr>
          <w:spacing w:val="-2"/>
          <w:sz w:val="21"/>
        </w:rPr>
        <w:t> </w:t>
      </w:r>
      <w:r>
        <w:rPr>
          <w:w w:val="100"/>
          <w:sz w:val="21"/>
        </w:rPr>
        <w:t> </w:t>
      </w:r>
    </w:p>
    <w:p>
      <w:pPr>
        <w:pStyle w:val="BodyText"/>
        <w:rPr>
          <w:sz w:val="18"/>
        </w:rPr>
      </w:pPr>
    </w:p>
    <w:p>
      <w:pPr>
        <w:pStyle w:val="BodyText"/>
        <w:ind w:left="838"/>
      </w:pPr>
      <w:r>
        <w:rPr/>
        <w:t>应急系统的电源、控制缆线宜采用无卤低烟阻燃型或矿物绝缘型；  </w:t>
      </w:r>
      <w:r>
        <w:rPr>
          <w:w w:val="100"/>
        </w:rPr>
        <w:t> </w:t>
      </w:r>
    </w:p>
    <w:p>
      <w:pPr>
        <w:pStyle w:val="BodyText"/>
        <w:spacing w:before="1"/>
        <w:rPr>
          <w:sz w:val="18"/>
        </w:rPr>
      </w:pPr>
    </w:p>
    <w:p>
      <w:pPr>
        <w:pStyle w:val="BodyText"/>
        <w:spacing w:line="446" w:lineRule="auto" w:before="1"/>
        <w:ind w:left="840" w:right="6757" w:hanging="3"/>
        <w:rPr>
          <w:b/>
        </w:rPr>
      </w:pPr>
      <w:r>
        <w:rPr/>
        <w:t>防火漏电保护应采用信号报警。</w:t>
      </w:r>
      <w:r>
        <w:rPr>
          <w:b/>
        </w:rPr>
        <w:t>8.5 </w:t>
      </w:r>
      <w:r>
        <w:rPr/>
        <w:t>安全电源系统</w:t>
      </w:r>
      <w:r>
        <w:rPr>
          <w:b/>
          <w:w w:val="99"/>
        </w:rPr>
        <w:t> </w:t>
      </w:r>
    </w:p>
    <w:p>
      <w:pPr>
        <w:pStyle w:val="ListParagraph"/>
        <w:numPr>
          <w:ilvl w:val="2"/>
          <w:numId w:val="832"/>
        </w:numPr>
        <w:tabs>
          <w:tab w:pos="1371" w:val="left" w:leader="none"/>
        </w:tabs>
        <w:spacing w:line="267" w:lineRule="exact" w:before="0" w:after="0"/>
        <w:ind w:left="1370" w:right="0" w:hanging="531"/>
        <w:jc w:val="left"/>
        <w:rPr>
          <w:sz w:val="21"/>
        </w:rPr>
      </w:pPr>
      <w:r>
        <w:rPr>
          <w:sz w:val="21"/>
        </w:rPr>
        <w:t>1</w:t>
      </w:r>
      <w:r>
        <w:rPr>
          <w:spacing w:val="-28"/>
          <w:sz w:val="21"/>
        </w:rPr>
        <w:t> 类和 </w:t>
      </w:r>
      <w:r>
        <w:rPr>
          <w:sz w:val="21"/>
        </w:rPr>
        <w:t>2</w:t>
      </w:r>
      <w:r>
        <w:rPr>
          <w:spacing w:val="-11"/>
          <w:sz w:val="21"/>
        </w:rPr>
        <w:t> 类医疗场所内，任一导体上的电压下降值高于标准电压 </w:t>
      </w:r>
      <w:r>
        <w:rPr>
          <w:sz w:val="21"/>
        </w:rPr>
        <w:t>10</w:t>
      </w:r>
      <w:r>
        <w:rPr>
          <w:spacing w:val="-2"/>
          <w:sz w:val="21"/>
        </w:rPr>
        <w:t>％时，安全电源</w:t>
      </w:r>
    </w:p>
    <w:p>
      <w:pPr>
        <w:pStyle w:val="BodyText"/>
        <w:spacing w:before="1"/>
        <w:rPr>
          <w:sz w:val="18"/>
        </w:rPr>
      </w:pPr>
    </w:p>
    <w:p>
      <w:pPr>
        <w:pStyle w:val="BodyText"/>
        <w:spacing w:before="1"/>
        <w:ind w:left="418"/>
      </w:pPr>
      <w:r>
        <w:rPr/>
        <w:t>应自动启动。安全电源的分类应符合表 8.5.1 的规定。 </w:t>
      </w:r>
    </w:p>
    <w:p>
      <w:pPr>
        <w:pStyle w:val="BodyText"/>
        <w:spacing w:before="12"/>
        <w:rPr>
          <w:sz w:val="17"/>
        </w:rPr>
      </w:pPr>
    </w:p>
    <w:p>
      <w:pPr>
        <w:pStyle w:val="Heading6"/>
        <w:ind w:left="3519"/>
      </w:pPr>
      <w:r>
        <w:rPr/>
        <w:drawing>
          <wp:anchor distT="0" distB="0" distL="0" distR="0" allowOverlap="1" layoutInCell="1" locked="0" behindDoc="0" simplePos="0" relativeHeight="277">
            <wp:simplePos x="0" y="0"/>
            <wp:positionH relativeFrom="page">
              <wp:posOffset>1144905</wp:posOffset>
            </wp:positionH>
            <wp:positionV relativeFrom="paragraph">
              <wp:posOffset>253364</wp:posOffset>
            </wp:positionV>
            <wp:extent cx="5251947" cy="1619250"/>
            <wp:effectExtent l="0" t="0" r="0" b="0"/>
            <wp:wrapTopAndBottom/>
            <wp:docPr id="649" name="image375.jpeg"/>
            <wp:cNvGraphicFramePr>
              <a:graphicFrameLocks noChangeAspect="1"/>
            </wp:cNvGraphicFramePr>
            <a:graphic>
              <a:graphicData uri="http://schemas.openxmlformats.org/drawingml/2006/picture">
                <pic:pic>
                  <pic:nvPicPr>
                    <pic:cNvPr id="650" name="image375.jpeg"/>
                    <pic:cNvPicPr/>
                  </pic:nvPicPr>
                  <pic:blipFill>
                    <a:blip r:embed="rId458" cstate="print"/>
                    <a:stretch>
                      <a:fillRect/>
                    </a:stretch>
                  </pic:blipFill>
                  <pic:spPr>
                    <a:xfrm>
                      <a:off x="0" y="0"/>
                      <a:ext cx="5251947" cy="1619250"/>
                    </a:xfrm>
                    <a:prstGeom prst="rect">
                      <a:avLst/>
                    </a:prstGeom>
                  </pic:spPr>
                </pic:pic>
              </a:graphicData>
            </a:graphic>
          </wp:anchor>
        </w:drawing>
      </w:r>
      <w:r>
        <w:rPr/>
        <w:t>表 8.5.1 安全电源的分类</w:t>
      </w:r>
      <w:r>
        <w:rPr>
          <w:w w:val="99"/>
        </w:rPr>
        <w:t> </w:t>
      </w:r>
    </w:p>
    <w:p>
      <w:pPr>
        <w:pStyle w:val="BodyText"/>
        <w:rPr>
          <w:b/>
          <w:sz w:val="20"/>
        </w:rPr>
      </w:pPr>
    </w:p>
    <w:p>
      <w:pPr>
        <w:pStyle w:val="BodyText"/>
        <w:rPr>
          <w:b/>
          <w:sz w:val="20"/>
        </w:rPr>
      </w:pPr>
    </w:p>
    <w:p>
      <w:pPr>
        <w:pStyle w:val="BodyText"/>
        <w:spacing w:before="2"/>
        <w:rPr>
          <w:b/>
          <w:sz w:val="14"/>
        </w:rPr>
      </w:pPr>
    </w:p>
    <w:p>
      <w:pPr>
        <w:pStyle w:val="ListParagraph"/>
        <w:numPr>
          <w:ilvl w:val="2"/>
          <w:numId w:val="832"/>
        </w:numPr>
        <w:tabs>
          <w:tab w:pos="1371" w:val="left" w:leader="none"/>
        </w:tabs>
        <w:spacing w:line="446" w:lineRule="auto" w:before="0" w:after="0"/>
        <w:ind w:left="418" w:right="1498" w:firstLine="422"/>
        <w:jc w:val="left"/>
        <w:rPr>
          <w:sz w:val="21"/>
        </w:rPr>
      </w:pPr>
      <w:r>
        <w:rPr>
          <w:spacing w:val="-3"/>
          <w:sz w:val="21"/>
        </w:rPr>
        <w:t>当主电源故障时，下列场所应由安全电源提供最低照度的照明用电。安全照明系统切</w:t>
      </w:r>
      <w:r>
        <w:rPr>
          <w:spacing w:val="-10"/>
          <w:sz w:val="21"/>
        </w:rPr>
        <w:t>换时间不应超过 </w:t>
      </w:r>
      <w:r>
        <w:rPr>
          <w:sz w:val="21"/>
        </w:rPr>
        <w:t>15s：  </w:t>
      </w:r>
      <w:r>
        <w:rPr>
          <w:w w:val="100"/>
          <w:sz w:val="21"/>
        </w:rPr>
        <w:t> </w:t>
      </w:r>
    </w:p>
    <w:p>
      <w:pPr>
        <w:pStyle w:val="BodyText"/>
        <w:spacing w:line="267" w:lineRule="exact"/>
        <w:ind w:left="838"/>
        <w:rPr>
          <w:b/>
        </w:rPr>
      </w:pPr>
      <w:r>
        <w:rPr/>
        <w:t>疏散通道以及出口指示照明；  </w:t>
      </w:r>
      <w:r>
        <w:rPr>
          <w:b/>
          <w:w w:val="99"/>
        </w:rPr>
        <w:t> </w:t>
      </w:r>
    </w:p>
    <w:p>
      <w:pPr>
        <w:pStyle w:val="BodyText"/>
        <w:spacing w:before="2"/>
        <w:rPr>
          <w:b/>
          <w:sz w:val="18"/>
        </w:rPr>
      </w:pPr>
    </w:p>
    <w:p>
      <w:pPr>
        <w:pStyle w:val="BodyText"/>
        <w:ind w:left="838"/>
        <w:rPr>
          <w:b/>
        </w:rPr>
      </w:pPr>
      <w:r>
        <w:rPr/>
        <w:t>安全电源和正常电源的配电装置及其控制装置所在场所；  </w:t>
      </w:r>
      <w:r>
        <w:rPr>
          <w:b/>
          <w:w w:val="99"/>
        </w:rPr>
        <w:t> </w:t>
      </w:r>
    </w:p>
    <w:p>
      <w:pPr>
        <w:pStyle w:val="BodyText"/>
        <w:rPr>
          <w:b/>
          <w:sz w:val="18"/>
        </w:rPr>
      </w:pPr>
    </w:p>
    <w:p>
      <w:pPr>
        <w:pStyle w:val="BodyText"/>
        <w:ind w:left="838"/>
        <w:rPr>
          <w:b/>
        </w:rPr>
      </w:pPr>
      <w:r>
        <w:rPr/>
        <w:t>拟装重要医疗设备的房间，每个房间应至少有 1 个由安全电源供电的灯具；  </w:t>
      </w:r>
      <w:r>
        <w:rPr>
          <w:b/>
          <w:w w:val="99"/>
        </w:rPr>
        <w:t> </w:t>
      </w:r>
    </w:p>
    <w:p>
      <w:pPr>
        <w:pStyle w:val="BodyText"/>
        <w:rPr>
          <w:b/>
          <w:sz w:val="18"/>
        </w:rPr>
      </w:pPr>
    </w:p>
    <w:p>
      <w:pPr>
        <w:pStyle w:val="BodyText"/>
        <w:ind w:left="838"/>
        <w:rPr>
          <w:b/>
        </w:rPr>
      </w:pPr>
      <w:r>
        <w:rPr/>
        <w:t>在 1 类医疗场所，每个房间宜有 1 个由安全电源供电的灯具；  </w:t>
      </w:r>
      <w:r>
        <w:rPr>
          <w:b/>
          <w:w w:val="99"/>
        </w:rPr>
        <w:t> </w:t>
      </w:r>
    </w:p>
    <w:p>
      <w:pPr>
        <w:pStyle w:val="BodyText"/>
        <w:spacing w:before="1"/>
        <w:rPr>
          <w:b/>
          <w:sz w:val="18"/>
        </w:rPr>
      </w:pPr>
    </w:p>
    <w:p>
      <w:pPr>
        <w:pStyle w:val="BodyText"/>
        <w:spacing w:line="446" w:lineRule="auto" w:before="1"/>
        <w:ind w:left="840" w:right="4965" w:hanging="3"/>
      </w:pPr>
      <w:r>
        <w:rPr/>
        <w:t>在 2 类医疗场所，电源应至少能提供 50％的照度。</w:t>
      </w:r>
      <w:r>
        <w:rPr>
          <w:b/>
        </w:rPr>
        <w:t>8.6 </w:t>
      </w:r>
      <w:r>
        <w:rPr/>
        <w:t>照明设计 </w:t>
      </w:r>
    </w:p>
    <w:p>
      <w:pPr>
        <w:spacing w:after="0" w:line="446" w:lineRule="auto"/>
        <w:sectPr>
          <w:pgSz w:w="11910" w:h="16850"/>
          <w:pgMar w:header="0" w:footer="1239" w:top="1220" w:bottom="1420" w:left="1260" w:right="0"/>
        </w:sectPr>
      </w:pPr>
    </w:p>
    <w:p>
      <w:pPr>
        <w:pStyle w:val="ListParagraph"/>
        <w:numPr>
          <w:ilvl w:val="2"/>
          <w:numId w:val="833"/>
        </w:numPr>
        <w:tabs>
          <w:tab w:pos="1370" w:val="left" w:leader="none"/>
        </w:tabs>
        <w:spacing w:line="446" w:lineRule="auto" w:before="47" w:after="0"/>
        <w:ind w:left="418" w:right="1448" w:firstLine="422"/>
        <w:jc w:val="left"/>
        <w:rPr>
          <w:sz w:val="21"/>
        </w:rPr>
      </w:pPr>
      <w:r>
        <w:rPr>
          <w:spacing w:val="-3"/>
          <w:sz w:val="21"/>
        </w:rPr>
        <w:t>照明设计应符合现行国家标准《建筑照明设计标准》</w:t>
      </w:r>
      <w:r>
        <w:rPr>
          <w:sz w:val="21"/>
        </w:rPr>
        <w:t>GB</w:t>
      </w:r>
      <w:r>
        <w:rPr>
          <w:spacing w:val="23"/>
          <w:sz w:val="21"/>
        </w:rPr>
        <w:t> </w:t>
      </w:r>
      <w:r>
        <w:rPr>
          <w:sz w:val="21"/>
        </w:rPr>
        <w:t>50034</w:t>
      </w:r>
      <w:r>
        <w:rPr>
          <w:spacing w:val="-8"/>
          <w:sz w:val="21"/>
        </w:rPr>
        <w:t> 的有关规定，且应满足</w:t>
      </w:r>
      <w:r>
        <w:rPr>
          <w:spacing w:val="-4"/>
          <w:sz w:val="21"/>
        </w:rPr>
        <w:t>绿色照明要求。</w:t>
      </w:r>
      <w:r>
        <w:rPr>
          <w:sz w:val="21"/>
        </w:rPr>
        <w:t> </w:t>
      </w:r>
    </w:p>
    <w:p>
      <w:pPr>
        <w:pStyle w:val="ListParagraph"/>
        <w:numPr>
          <w:ilvl w:val="2"/>
          <w:numId w:val="833"/>
        </w:numPr>
        <w:tabs>
          <w:tab w:pos="1370" w:val="left" w:leader="none"/>
        </w:tabs>
        <w:spacing w:line="446" w:lineRule="auto" w:before="0" w:after="0"/>
        <w:ind w:left="418" w:right="1448" w:firstLine="422"/>
        <w:jc w:val="left"/>
        <w:rPr>
          <w:sz w:val="21"/>
        </w:rPr>
      </w:pPr>
      <w:r>
        <w:rPr>
          <w:spacing w:val="-4"/>
          <w:sz w:val="21"/>
        </w:rPr>
        <w:t>医疗用房应采用高显色照明光源，显色指数应大于或等于 </w:t>
      </w:r>
      <w:r>
        <w:rPr>
          <w:sz w:val="21"/>
        </w:rPr>
        <w:t>80</w:t>
      </w:r>
      <w:r>
        <w:rPr>
          <w:spacing w:val="-3"/>
          <w:sz w:val="21"/>
        </w:rPr>
        <w:t>，宜采用带电子镇流器的三基色荧光灯。</w:t>
      </w:r>
      <w:r>
        <w:rPr>
          <w:sz w:val="21"/>
        </w:rPr>
        <w:t> </w:t>
      </w:r>
    </w:p>
    <w:p>
      <w:pPr>
        <w:pStyle w:val="ListParagraph"/>
        <w:numPr>
          <w:ilvl w:val="2"/>
          <w:numId w:val="833"/>
        </w:numPr>
        <w:tabs>
          <w:tab w:pos="1370" w:val="left" w:leader="none"/>
        </w:tabs>
        <w:spacing w:line="240" w:lineRule="auto" w:before="0" w:after="0"/>
        <w:ind w:left="1369" w:right="0" w:hanging="530"/>
        <w:jc w:val="left"/>
        <w:rPr>
          <w:sz w:val="21"/>
        </w:rPr>
      </w:pPr>
      <w:r>
        <w:rPr>
          <w:spacing w:val="-3"/>
          <w:sz w:val="21"/>
        </w:rPr>
        <w:t>照明系统采用荧光灯时应对系统的谐波进行校验。</w:t>
      </w:r>
      <w:r>
        <w:rPr>
          <w:sz w:val="21"/>
        </w:rPr>
        <w:t> </w:t>
      </w:r>
    </w:p>
    <w:p>
      <w:pPr>
        <w:pStyle w:val="BodyText"/>
        <w:spacing w:before="10"/>
        <w:rPr>
          <w:sz w:val="17"/>
        </w:rPr>
      </w:pPr>
    </w:p>
    <w:p>
      <w:pPr>
        <w:pStyle w:val="ListParagraph"/>
        <w:numPr>
          <w:ilvl w:val="2"/>
          <w:numId w:val="833"/>
        </w:numPr>
        <w:tabs>
          <w:tab w:pos="1371" w:val="left" w:leader="none"/>
        </w:tabs>
        <w:spacing w:line="446" w:lineRule="auto" w:before="0" w:after="0"/>
        <w:ind w:left="418" w:right="1498" w:firstLine="422"/>
        <w:jc w:val="left"/>
        <w:rPr>
          <w:sz w:val="21"/>
        </w:rPr>
      </w:pPr>
      <w:r>
        <w:rPr>
          <w:spacing w:val="-3"/>
          <w:sz w:val="21"/>
        </w:rPr>
        <w:t>病房照明宜采用间接型灯具或反射式照明。床头宜设置局部照明，宜一床一灯，并宜床头控制。</w:t>
      </w:r>
      <w:r>
        <w:rPr>
          <w:sz w:val="21"/>
        </w:rPr>
        <w:t> </w:t>
      </w:r>
    </w:p>
    <w:p>
      <w:pPr>
        <w:pStyle w:val="ListParagraph"/>
        <w:numPr>
          <w:ilvl w:val="2"/>
          <w:numId w:val="833"/>
        </w:numPr>
        <w:tabs>
          <w:tab w:pos="1371" w:val="left" w:leader="none"/>
        </w:tabs>
        <w:spacing w:line="446" w:lineRule="auto" w:before="1" w:after="0"/>
        <w:ind w:left="418" w:right="1498" w:firstLine="422"/>
        <w:jc w:val="left"/>
        <w:rPr>
          <w:sz w:val="21"/>
        </w:rPr>
      </w:pPr>
      <w:r>
        <w:rPr>
          <w:spacing w:val="-3"/>
          <w:sz w:val="21"/>
        </w:rPr>
        <w:t>护理单元走道、诊室、治疗、观察、病房等处灯具，应避免对卧床患者产生眩光，宜采用漫反射灯具。</w:t>
      </w:r>
      <w:r>
        <w:rPr>
          <w:sz w:val="21"/>
        </w:rPr>
        <w:t> </w:t>
      </w:r>
    </w:p>
    <w:p>
      <w:pPr>
        <w:pStyle w:val="ListParagraph"/>
        <w:numPr>
          <w:ilvl w:val="2"/>
          <w:numId w:val="833"/>
        </w:numPr>
        <w:tabs>
          <w:tab w:pos="1370" w:val="left" w:leader="none"/>
        </w:tabs>
        <w:spacing w:line="446" w:lineRule="auto" w:before="0" w:after="0"/>
        <w:ind w:left="418" w:right="1550" w:firstLine="422"/>
        <w:jc w:val="left"/>
        <w:rPr>
          <w:sz w:val="21"/>
        </w:rPr>
      </w:pPr>
      <w:r>
        <w:rPr>
          <w:spacing w:val="-4"/>
          <w:sz w:val="21"/>
        </w:rPr>
        <w:t>护理单元走道和病房应设夜间照明，床头部位照度不应大于 </w:t>
      </w:r>
      <w:r>
        <w:rPr>
          <w:sz w:val="21"/>
        </w:rPr>
        <w:t>0.1lx</w:t>
      </w:r>
      <w:r>
        <w:rPr>
          <w:spacing w:val="-2"/>
          <w:sz w:val="21"/>
        </w:rPr>
        <w:t>，儿科病房不应大</w:t>
      </w:r>
      <w:r>
        <w:rPr>
          <w:spacing w:val="-28"/>
          <w:sz w:val="21"/>
        </w:rPr>
        <w:t>于 </w:t>
      </w:r>
      <w:r>
        <w:rPr>
          <w:sz w:val="21"/>
        </w:rPr>
        <w:t>1lx</w:t>
      </w:r>
      <w:r>
        <w:rPr>
          <w:spacing w:val="-3"/>
          <w:sz w:val="21"/>
        </w:rPr>
        <w:t>。</w:t>
      </w:r>
      <w:r>
        <w:rPr>
          <w:sz w:val="21"/>
        </w:rPr>
        <w:t> </w:t>
      </w:r>
    </w:p>
    <w:p>
      <w:pPr>
        <w:pStyle w:val="ListParagraph"/>
        <w:numPr>
          <w:ilvl w:val="2"/>
          <w:numId w:val="833"/>
        </w:numPr>
        <w:tabs>
          <w:tab w:pos="1370" w:val="left" w:leader="none"/>
        </w:tabs>
        <w:spacing w:line="446" w:lineRule="auto" w:before="0" w:after="0"/>
        <w:ind w:left="418" w:right="1549" w:firstLine="422"/>
        <w:jc w:val="left"/>
        <w:rPr>
          <w:sz w:val="21"/>
        </w:rPr>
      </w:pPr>
      <w:r>
        <w:rPr>
          <w:sz w:val="21"/>
        </w:rPr>
        <w:t>X</w:t>
      </w:r>
      <w:r>
        <w:rPr>
          <w:spacing w:val="-6"/>
          <w:sz w:val="21"/>
        </w:rPr>
        <w:t> 线诊断室、加速器治疗室、核医学扫描室、</w:t>
      </w:r>
      <w:r>
        <w:rPr>
          <w:sz w:val="21"/>
        </w:rPr>
        <w:t>γ</w:t>
      </w:r>
      <w:r>
        <w:rPr>
          <w:spacing w:val="-3"/>
          <w:sz w:val="21"/>
        </w:rPr>
        <w:t>照相机室和手术室等用房，应设防止误入的红色信号灯，红色信号灯电源应与机组连通。</w:t>
      </w:r>
      <w:r>
        <w:rPr>
          <w:sz w:val="21"/>
        </w:rPr>
        <w:t> </w:t>
      </w:r>
    </w:p>
    <w:p>
      <w:pPr>
        <w:pStyle w:val="ListParagraph"/>
        <w:numPr>
          <w:ilvl w:val="1"/>
          <w:numId w:val="834"/>
        </w:numPr>
        <w:tabs>
          <w:tab w:pos="1159" w:val="left" w:leader="none"/>
        </w:tabs>
        <w:spacing w:line="240" w:lineRule="auto" w:before="0" w:after="0"/>
        <w:ind w:left="1158" w:right="0" w:hanging="319"/>
        <w:jc w:val="left"/>
        <w:rPr>
          <w:b/>
          <w:sz w:val="21"/>
        </w:rPr>
      </w:pPr>
      <w:r>
        <w:rPr>
          <w:spacing w:val="-3"/>
          <w:sz w:val="21"/>
        </w:rPr>
        <w:t>防雷、接地与电磁兼容</w:t>
      </w:r>
      <w:r>
        <w:rPr>
          <w:b/>
          <w:spacing w:val="-3"/>
          <w:w w:val="99"/>
          <w:sz w:val="21"/>
        </w:rPr>
        <w:t> </w:t>
      </w:r>
    </w:p>
    <w:p>
      <w:pPr>
        <w:pStyle w:val="BodyText"/>
        <w:spacing w:before="10"/>
        <w:rPr>
          <w:b/>
          <w:sz w:val="17"/>
        </w:rPr>
      </w:pPr>
    </w:p>
    <w:p>
      <w:pPr>
        <w:pStyle w:val="ListParagraph"/>
        <w:numPr>
          <w:ilvl w:val="2"/>
          <w:numId w:val="834"/>
        </w:numPr>
        <w:tabs>
          <w:tab w:pos="1370" w:val="left" w:leader="none"/>
        </w:tabs>
        <w:spacing w:line="446" w:lineRule="auto" w:before="0" w:after="0"/>
        <w:ind w:left="418" w:right="1447" w:firstLine="422"/>
        <w:jc w:val="left"/>
        <w:rPr>
          <w:sz w:val="21"/>
        </w:rPr>
      </w:pPr>
      <w:r>
        <w:rPr>
          <w:spacing w:val="-3"/>
          <w:sz w:val="21"/>
        </w:rPr>
        <w:t>医疗建筑防雷设计应符合现行国家标准《建筑物防雷设计规范》</w:t>
      </w:r>
      <w:r>
        <w:rPr>
          <w:sz w:val="21"/>
        </w:rPr>
        <w:t>GB</w:t>
      </w:r>
      <w:r>
        <w:rPr>
          <w:spacing w:val="22"/>
          <w:sz w:val="21"/>
        </w:rPr>
        <w:t> </w:t>
      </w:r>
      <w:r>
        <w:rPr>
          <w:sz w:val="21"/>
        </w:rPr>
        <w:t>50057</w:t>
      </w:r>
      <w:r>
        <w:rPr>
          <w:spacing w:val="-9"/>
          <w:sz w:val="21"/>
        </w:rPr>
        <w:t> 的有关规定</w:t>
      </w:r>
      <w:r>
        <w:rPr>
          <w:spacing w:val="-3"/>
          <w:sz w:val="21"/>
        </w:rPr>
        <w:t>。</w:t>
      </w:r>
      <w:r>
        <w:rPr>
          <w:sz w:val="21"/>
        </w:rPr>
        <w:t> </w:t>
      </w:r>
    </w:p>
    <w:p>
      <w:pPr>
        <w:pStyle w:val="ListParagraph"/>
        <w:numPr>
          <w:ilvl w:val="2"/>
          <w:numId w:val="834"/>
        </w:numPr>
        <w:tabs>
          <w:tab w:pos="1370" w:val="left" w:leader="none"/>
        </w:tabs>
        <w:spacing w:line="240" w:lineRule="auto" w:before="0" w:after="0"/>
        <w:ind w:left="1369" w:right="0" w:hanging="530"/>
        <w:jc w:val="left"/>
        <w:rPr>
          <w:sz w:val="21"/>
        </w:rPr>
      </w:pPr>
      <w:r>
        <w:rPr>
          <w:spacing w:val="-3"/>
          <w:sz w:val="21"/>
        </w:rPr>
        <w:t>医疗建筑应采用防雷接地及电力系统共用接地系统。</w:t>
      </w:r>
      <w:r>
        <w:rPr>
          <w:sz w:val="21"/>
        </w:rPr>
        <w:t> </w:t>
      </w:r>
    </w:p>
    <w:p>
      <w:pPr>
        <w:pStyle w:val="BodyText"/>
        <w:spacing w:before="12"/>
        <w:rPr>
          <w:sz w:val="17"/>
        </w:rPr>
      </w:pPr>
    </w:p>
    <w:p>
      <w:pPr>
        <w:pStyle w:val="ListParagraph"/>
        <w:numPr>
          <w:ilvl w:val="2"/>
          <w:numId w:val="834"/>
        </w:numPr>
        <w:tabs>
          <w:tab w:pos="1371" w:val="left" w:leader="none"/>
        </w:tabs>
        <w:spacing w:line="446" w:lineRule="auto" w:before="0" w:after="0"/>
        <w:ind w:left="418" w:right="1604" w:firstLine="422"/>
        <w:jc w:val="left"/>
        <w:rPr>
          <w:sz w:val="21"/>
        </w:rPr>
      </w:pPr>
      <w:r>
        <w:rPr>
          <w:spacing w:val="-3"/>
          <w:sz w:val="21"/>
        </w:rPr>
        <w:t>医疗建筑电气设备应满足相关的电磁兼容(</w:t>
      </w:r>
      <w:r>
        <w:rPr>
          <w:sz w:val="21"/>
        </w:rPr>
        <w:t>EMC</w:t>
      </w:r>
      <w:r>
        <w:rPr>
          <w:spacing w:val="-3"/>
          <w:sz w:val="21"/>
        </w:rPr>
        <w:t>)要求，并应符合国家现行有关电磁兼容标准的规定。</w:t>
      </w:r>
      <w:r>
        <w:rPr>
          <w:sz w:val="21"/>
        </w:rPr>
        <w:t> </w:t>
      </w:r>
    </w:p>
    <w:p>
      <w:pPr>
        <w:pStyle w:val="Heading4"/>
        <w:spacing w:line="278" w:lineRule="exact"/>
      </w:pPr>
      <w:r>
        <w:rPr/>
        <w:t>9 智能化系统</w:t>
      </w:r>
      <w:r>
        <w:rPr>
          <w:w w:val="99"/>
        </w:rPr>
        <w:t> </w:t>
      </w:r>
    </w:p>
    <w:p>
      <w:pPr>
        <w:pStyle w:val="BodyText"/>
        <w:spacing w:before="4"/>
        <w:rPr>
          <w:b/>
          <w:sz w:val="17"/>
        </w:rPr>
      </w:pPr>
    </w:p>
    <w:p>
      <w:pPr>
        <w:pStyle w:val="ListParagraph"/>
        <w:numPr>
          <w:ilvl w:val="1"/>
          <w:numId w:val="835"/>
        </w:numPr>
        <w:tabs>
          <w:tab w:pos="1160" w:val="left" w:leader="none"/>
        </w:tabs>
        <w:spacing w:line="240" w:lineRule="auto" w:before="0" w:after="0"/>
        <w:ind w:left="1159" w:right="0" w:hanging="320"/>
        <w:jc w:val="left"/>
        <w:rPr>
          <w:b/>
          <w:sz w:val="21"/>
        </w:rPr>
      </w:pPr>
      <w:r>
        <w:rPr>
          <w:spacing w:val="-3"/>
          <w:sz w:val="21"/>
        </w:rPr>
        <w:t>一般规定</w:t>
      </w:r>
      <w:r>
        <w:rPr>
          <w:b/>
          <w:w w:val="99"/>
          <w:sz w:val="21"/>
        </w:rPr>
        <w:t> </w:t>
      </w:r>
    </w:p>
    <w:p>
      <w:pPr>
        <w:pStyle w:val="BodyText"/>
        <w:spacing w:before="2"/>
        <w:rPr>
          <w:b/>
          <w:sz w:val="18"/>
        </w:rPr>
      </w:pPr>
    </w:p>
    <w:p>
      <w:pPr>
        <w:pStyle w:val="ListParagraph"/>
        <w:numPr>
          <w:ilvl w:val="2"/>
          <w:numId w:val="835"/>
        </w:numPr>
        <w:tabs>
          <w:tab w:pos="1370" w:val="left" w:leader="none"/>
        </w:tabs>
        <w:spacing w:line="240" w:lineRule="auto" w:before="0" w:after="0"/>
        <w:ind w:left="1369" w:right="0" w:hanging="530"/>
        <w:jc w:val="left"/>
        <w:rPr>
          <w:sz w:val="21"/>
        </w:rPr>
      </w:pPr>
      <w:r>
        <w:rPr>
          <w:spacing w:val="-3"/>
          <w:sz w:val="21"/>
        </w:rPr>
        <w:t>医院应根据需求进行智能化系统总体架构设计，并应满足医院总体规划要求。</w:t>
      </w:r>
      <w:r>
        <w:rPr>
          <w:sz w:val="21"/>
        </w:rPr>
        <w:t> </w:t>
      </w:r>
    </w:p>
    <w:p>
      <w:pPr>
        <w:pStyle w:val="BodyText"/>
        <w:spacing w:before="12"/>
        <w:rPr>
          <w:sz w:val="17"/>
        </w:rPr>
      </w:pPr>
    </w:p>
    <w:p>
      <w:pPr>
        <w:pStyle w:val="ListParagraph"/>
        <w:numPr>
          <w:ilvl w:val="2"/>
          <w:numId w:val="835"/>
        </w:numPr>
        <w:tabs>
          <w:tab w:pos="1371" w:val="left" w:leader="none"/>
        </w:tabs>
        <w:spacing w:line="446" w:lineRule="auto" w:before="0" w:after="0"/>
        <w:ind w:left="418" w:right="1498" w:firstLine="422"/>
        <w:jc w:val="left"/>
        <w:rPr>
          <w:sz w:val="21"/>
        </w:rPr>
      </w:pPr>
      <w:r>
        <w:rPr>
          <w:spacing w:val="-3"/>
          <w:sz w:val="21"/>
        </w:rPr>
        <w:t>智能化系统的子系统设置应满足医院应用水平及管理模式要求，并应具备可持续发展的条件。</w:t>
      </w:r>
      <w:r>
        <w:rPr>
          <w:sz w:val="21"/>
        </w:rPr>
        <w:t> </w:t>
      </w:r>
    </w:p>
    <w:p>
      <w:pPr>
        <w:pStyle w:val="ListParagraph"/>
        <w:numPr>
          <w:ilvl w:val="2"/>
          <w:numId w:val="835"/>
        </w:numPr>
        <w:tabs>
          <w:tab w:pos="1370" w:val="left" w:leader="none"/>
        </w:tabs>
        <w:spacing w:line="446" w:lineRule="auto" w:before="0" w:after="0"/>
        <w:ind w:left="418" w:right="1498" w:firstLine="422"/>
        <w:jc w:val="left"/>
        <w:rPr>
          <w:sz w:val="21"/>
        </w:rPr>
      </w:pPr>
      <w:r>
        <w:rPr>
          <w:spacing w:val="-3"/>
          <w:sz w:val="21"/>
        </w:rPr>
        <w:t>智能化系统的设计除应符合本规范的规定外，还应符合现行国家标准《智能建筑设计</w:t>
      </w:r>
      <w:r>
        <w:rPr>
          <w:spacing w:val="-2"/>
          <w:sz w:val="21"/>
        </w:rPr>
        <w:t>标准》</w:t>
      </w:r>
      <w:r>
        <w:rPr>
          <w:sz w:val="21"/>
        </w:rPr>
        <w:t>GB／T</w:t>
      </w:r>
      <w:r>
        <w:rPr>
          <w:spacing w:val="-3"/>
          <w:sz w:val="21"/>
        </w:rPr>
        <w:t> </w:t>
      </w:r>
      <w:r>
        <w:rPr>
          <w:sz w:val="21"/>
        </w:rPr>
        <w:t>50314</w:t>
      </w:r>
      <w:r>
        <w:rPr>
          <w:spacing w:val="-10"/>
          <w:sz w:val="21"/>
        </w:rPr>
        <w:t> 等的有关规定。</w:t>
      </w:r>
      <w:r>
        <w:rPr>
          <w:sz w:val="21"/>
        </w:rPr>
        <w:t> </w:t>
      </w:r>
    </w:p>
    <w:p>
      <w:pPr>
        <w:pStyle w:val="ListParagraph"/>
        <w:numPr>
          <w:ilvl w:val="1"/>
          <w:numId w:val="835"/>
        </w:numPr>
        <w:tabs>
          <w:tab w:pos="1160" w:val="left" w:leader="none"/>
        </w:tabs>
        <w:spacing w:line="267" w:lineRule="exact" w:before="0" w:after="0"/>
        <w:ind w:left="1159" w:right="0" w:hanging="320"/>
        <w:jc w:val="left"/>
        <w:rPr>
          <w:b/>
          <w:sz w:val="21"/>
        </w:rPr>
      </w:pPr>
      <w:r>
        <w:rPr>
          <w:spacing w:val="-3"/>
          <w:sz w:val="21"/>
        </w:rPr>
        <w:t>信息设施系统</w:t>
      </w:r>
      <w:r>
        <w:rPr>
          <w:b/>
          <w:w w:val="99"/>
          <w:sz w:val="21"/>
        </w:rPr>
        <w:t> </w:t>
      </w:r>
    </w:p>
    <w:p>
      <w:pPr>
        <w:pStyle w:val="BodyText"/>
        <w:spacing w:before="2"/>
        <w:rPr>
          <w:b/>
          <w:sz w:val="18"/>
        </w:rPr>
      </w:pPr>
    </w:p>
    <w:p>
      <w:pPr>
        <w:pStyle w:val="ListParagraph"/>
        <w:numPr>
          <w:ilvl w:val="2"/>
          <w:numId w:val="835"/>
        </w:numPr>
        <w:tabs>
          <w:tab w:pos="1370" w:val="left" w:leader="none"/>
        </w:tabs>
        <w:spacing w:line="240" w:lineRule="auto" w:before="0" w:after="0"/>
        <w:ind w:left="1369" w:right="0" w:hanging="530"/>
        <w:jc w:val="left"/>
        <w:rPr>
          <w:sz w:val="21"/>
        </w:rPr>
      </w:pPr>
      <w:r>
        <w:rPr>
          <w:spacing w:val="-3"/>
          <w:sz w:val="21"/>
        </w:rPr>
        <w:t>通信接入系统宜在医院内集中设置。</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35"/>
        </w:numPr>
        <w:tabs>
          <w:tab w:pos="1370" w:val="left" w:leader="none"/>
        </w:tabs>
        <w:spacing w:line="446" w:lineRule="auto" w:before="47" w:after="0"/>
        <w:ind w:left="418" w:right="1498" w:firstLine="422"/>
        <w:jc w:val="left"/>
        <w:rPr>
          <w:sz w:val="21"/>
        </w:rPr>
      </w:pPr>
      <w:r>
        <w:rPr>
          <w:spacing w:val="-3"/>
          <w:sz w:val="21"/>
        </w:rPr>
        <w:t>当采用独立的综合业务数字程控用户交换机系统时，中继线数量应根据实际话务量的1／10</w:t>
      </w:r>
      <w:r>
        <w:rPr>
          <w:spacing w:val="-9"/>
          <w:sz w:val="21"/>
        </w:rPr>
        <w:t> 确定，并应预留裕量。</w:t>
      </w:r>
      <w:r>
        <w:rPr>
          <w:sz w:val="21"/>
        </w:rPr>
        <w:t> </w:t>
      </w:r>
    </w:p>
    <w:p>
      <w:pPr>
        <w:pStyle w:val="ListParagraph"/>
        <w:numPr>
          <w:ilvl w:val="2"/>
          <w:numId w:val="835"/>
        </w:numPr>
        <w:tabs>
          <w:tab w:pos="1370" w:val="left" w:leader="none"/>
        </w:tabs>
        <w:spacing w:line="267" w:lineRule="exact" w:before="0" w:after="0"/>
        <w:ind w:left="1369" w:right="0" w:hanging="530"/>
        <w:jc w:val="left"/>
        <w:rPr>
          <w:sz w:val="21"/>
        </w:rPr>
      </w:pPr>
      <w:r>
        <w:rPr>
          <w:spacing w:val="-3"/>
          <w:sz w:val="21"/>
        </w:rPr>
        <w:t>信息网络系统设置应符合下列要求： </w:t>
      </w:r>
      <w:r>
        <w:rPr>
          <w:spacing w:val="-2"/>
          <w:sz w:val="21"/>
        </w:rPr>
        <w:t> </w:t>
      </w:r>
      <w:r>
        <w:rPr>
          <w:w w:val="100"/>
          <w:sz w:val="21"/>
        </w:rPr>
        <w:t> </w:t>
      </w:r>
    </w:p>
    <w:p>
      <w:pPr>
        <w:pStyle w:val="BodyText"/>
        <w:spacing w:before="2"/>
        <w:rPr>
          <w:sz w:val="18"/>
        </w:rPr>
      </w:pPr>
    </w:p>
    <w:p>
      <w:pPr>
        <w:pStyle w:val="BodyText"/>
        <w:spacing w:line="446" w:lineRule="auto"/>
        <w:ind w:left="418" w:right="1609" w:firstLine="419"/>
      </w:pPr>
      <w:r>
        <w:rPr/>
        <w:t>应根据信息重要级别及安全程度，分别设置供医院内部使用的专用网和公用信息传输的互联网。  </w:t>
      </w:r>
      <w:r>
        <w:rPr>
          <w:w w:val="100"/>
        </w:rPr>
        <w:t> </w:t>
      </w:r>
    </w:p>
    <w:p>
      <w:pPr>
        <w:pStyle w:val="BodyText"/>
        <w:spacing w:line="267" w:lineRule="exact"/>
        <w:ind w:left="838"/>
      </w:pPr>
      <w:r>
        <w:rPr/>
        <w:t>应采用以太网交换技术和相应的网络结构。  </w:t>
      </w:r>
      <w:r>
        <w:rPr>
          <w:w w:val="100"/>
        </w:rPr>
        <w:t> </w:t>
      </w:r>
    </w:p>
    <w:p>
      <w:pPr>
        <w:pStyle w:val="BodyText"/>
        <w:spacing w:before="2"/>
        <w:rPr>
          <w:sz w:val="18"/>
        </w:rPr>
      </w:pPr>
    </w:p>
    <w:p>
      <w:pPr>
        <w:pStyle w:val="BodyText"/>
        <w:ind w:left="838"/>
      </w:pPr>
      <w:r>
        <w:rPr/>
        <w:t>应配置核心交换机和接入交换机。可根据信息点分布和规模，增设汇聚层交换机。  </w:t>
      </w:r>
      <w:r>
        <w:rPr>
          <w:w w:val="100"/>
        </w:rPr>
        <w:t> </w:t>
      </w:r>
    </w:p>
    <w:p>
      <w:pPr>
        <w:pStyle w:val="BodyText"/>
        <w:rPr>
          <w:sz w:val="18"/>
        </w:rPr>
      </w:pPr>
    </w:p>
    <w:p>
      <w:pPr>
        <w:pStyle w:val="BodyText"/>
        <w:ind w:left="838"/>
      </w:pPr>
      <w:r>
        <w:rPr/>
        <w:t>医院内部使用的专用网宜采用网络的冗余配置。 </w:t>
      </w:r>
    </w:p>
    <w:p>
      <w:pPr>
        <w:pStyle w:val="BodyText"/>
        <w:rPr>
          <w:sz w:val="18"/>
        </w:rPr>
      </w:pPr>
    </w:p>
    <w:p>
      <w:pPr>
        <w:pStyle w:val="ListParagraph"/>
        <w:numPr>
          <w:ilvl w:val="2"/>
          <w:numId w:val="835"/>
        </w:numPr>
        <w:tabs>
          <w:tab w:pos="1371" w:val="left" w:leader="none"/>
        </w:tabs>
        <w:spacing w:line="446" w:lineRule="auto" w:before="0" w:after="0"/>
        <w:ind w:left="418" w:right="1445" w:firstLine="422"/>
        <w:jc w:val="left"/>
        <w:rPr>
          <w:sz w:val="21"/>
        </w:rPr>
      </w:pPr>
      <w:r>
        <w:rPr>
          <w:spacing w:val="-3"/>
          <w:sz w:val="21"/>
        </w:rPr>
        <w:t>综合布线系统设计应符合现行国家标准《综合布线系统工程设计规范》</w:t>
      </w:r>
      <w:r>
        <w:rPr>
          <w:sz w:val="21"/>
        </w:rPr>
        <w:t>GB</w:t>
      </w:r>
      <w:r>
        <w:rPr>
          <w:spacing w:val="23"/>
          <w:sz w:val="21"/>
        </w:rPr>
        <w:t> </w:t>
      </w:r>
      <w:r>
        <w:rPr>
          <w:sz w:val="21"/>
        </w:rPr>
        <w:t>50311</w:t>
      </w:r>
      <w:r>
        <w:rPr>
          <w:spacing w:val="-14"/>
          <w:sz w:val="21"/>
        </w:rPr>
        <w:t> 的有</w:t>
      </w:r>
      <w:r>
        <w:rPr>
          <w:spacing w:val="-5"/>
          <w:sz w:val="21"/>
        </w:rPr>
        <w:t>关规定。信息点布置宜根据医院实际需求确定。信息插座的安装标高应满足功能使用要求。</w:t>
      </w:r>
      <w:r>
        <w:rPr>
          <w:sz w:val="21"/>
        </w:rPr>
        <w:t> </w:t>
      </w:r>
    </w:p>
    <w:p>
      <w:pPr>
        <w:pStyle w:val="ListParagraph"/>
        <w:numPr>
          <w:ilvl w:val="2"/>
          <w:numId w:val="835"/>
        </w:numPr>
        <w:tabs>
          <w:tab w:pos="1371" w:val="left" w:leader="none"/>
        </w:tabs>
        <w:spacing w:line="240" w:lineRule="auto" w:before="0" w:after="0"/>
        <w:ind w:left="1370" w:right="0" w:hanging="531"/>
        <w:jc w:val="left"/>
        <w:rPr>
          <w:sz w:val="21"/>
        </w:rPr>
      </w:pPr>
      <w:r>
        <w:rPr>
          <w:spacing w:val="-3"/>
          <w:sz w:val="21"/>
        </w:rPr>
        <w:t>当设置室内移动通信覆盖系统时，应预留路由及设备安装空间。</w:t>
      </w:r>
      <w:r>
        <w:rPr>
          <w:sz w:val="21"/>
        </w:rPr>
        <w:t> </w:t>
      </w:r>
    </w:p>
    <w:p>
      <w:pPr>
        <w:pStyle w:val="BodyText"/>
        <w:spacing w:before="12"/>
        <w:rPr>
          <w:sz w:val="17"/>
        </w:rPr>
      </w:pPr>
    </w:p>
    <w:p>
      <w:pPr>
        <w:pStyle w:val="ListParagraph"/>
        <w:numPr>
          <w:ilvl w:val="2"/>
          <w:numId w:val="835"/>
        </w:numPr>
        <w:tabs>
          <w:tab w:pos="1371" w:val="left" w:leader="none"/>
        </w:tabs>
        <w:spacing w:line="240" w:lineRule="auto" w:before="0" w:after="0"/>
        <w:ind w:left="1370" w:right="0" w:hanging="531"/>
        <w:jc w:val="left"/>
        <w:rPr>
          <w:sz w:val="21"/>
        </w:rPr>
      </w:pPr>
      <w:r>
        <w:rPr>
          <w:spacing w:val="-3"/>
          <w:sz w:val="21"/>
        </w:rPr>
        <w:t>当设置卫星通信系统时，应满足语音、数据、图像和多媒体等信息通信要求。 </w:t>
      </w:r>
    </w:p>
    <w:p>
      <w:pPr>
        <w:pStyle w:val="BodyText"/>
        <w:spacing w:before="2"/>
        <w:rPr>
          <w:sz w:val="18"/>
        </w:rPr>
      </w:pPr>
    </w:p>
    <w:p>
      <w:pPr>
        <w:pStyle w:val="ListParagraph"/>
        <w:numPr>
          <w:ilvl w:val="2"/>
          <w:numId w:val="835"/>
        </w:numPr>
        <w:tabs>
          <w:tab w:pos="1371" w:val="left" w:leader="none"/>
        </w:tabs>
        <w:spacing w:line="240" w:lineRule="auto" w:before="0" w:after="0"/>
        <w:ind w:left="1370" w:right="0" w:hanging="531"/>
        <w:jc w:val="left"/>
        <w:rPr>
          <w:sz w:val="21"/>
        </w:rPr>
      </w:pPr>
      <w:r>
        <w:rPr>
          <w:spacing w:val="-3"/>
          <w:sz w:val="21"/>
        </w:rPr>
        <w:t>当设置有线电视系统时，应符合下列要求：</w:t>
      </w:r>
      <w:r>
        <w:rPr>
          <w:sz w:val="21"/>
        </w:rPr>
        <w:t>  </w:t>
      </w:r>
      <w:r>
        <w:rPr>
          <w:w w:val="100"/>
          <w:sz w:val="21"/>
        </w:rPr>
        <w:t> </w:t>
      </w:r>
    </w:p>
    <w:p>
      <w:pPr>
        <w:pStyle w:val="BodyText"/>
        <w:rPr>
          <w:sz w:val="18"/>
        </w:rPr>
      </w:pPr>
    </w:p>
    <w:p>
      <w:pPr>
        <w:pStyle w:val="BodyText"/>
        <w:spacing w:line="446" w:lineRule="auto"/>
        <w:ind w:left="418" w:right="1817" w:firstLine="419"/>
      </w:pPr>
      <w:r>
        <w:rPr/>
        <w:t>有线电视插座宜设置在大堂、收费和挂号窗、候诊室、休息室、咖啡厅、输液室、会议室、示教室、医疗康复中心、病房等安装电视机屏幕的附近；  </w:t>
      </w:r>
      <w:r>
        <w:rPr>
          <w:w w:val="100"/>
        </w:rPr>
        <w:t> </w:t>
      </w:r>
    </w:p>
    <w:p>
      <w:pPr>
        <w:pStyle w:val="BodyText"/>
        <w:spacing w:line="446" w:lineRule="auto"/>
        <w:ind w:left="418" w:right="1609" w:firstLine="419"/>
      </w:pPr>
      <w:r>
        <w:rPr/>
        <w:t>当多人间病房采用电视伴音系统时，宜在每个患者床前设置带有音量可调节的耳机收听插孔。 </w:t>
      </w:r>
    </w:p>
    <w:p>
      <w:pPr>
        <w:pStyle w:val="ListParagraph"/>
        <w:numPr>
          <w:ilvl w:val="2"/>
          <w:numId w:val="835"/>
        </w:numPr>
        <w:tabs>
          <w:tab w:pos="1370" w:val="left" w:leader="none"/>
        </w:tabs>
        <w:spacing w:line="446" w:lineRule="auto" w:before="0" w:after="0"/>
        <w:ind w:left="418" w:right="1498" w:firstLine="422"/>
        <w:jc w:val="left"/>
        <w:rPr>
          <w:sz w:val="21"/>
        </w:rPr>
      </w:pPr>
      <w:r>
        <w:rPr>
          <w:spacing w:val="-3"/>
          <w:sz w:val="21"/>
        </w:rPr>
        <w:t>医院应设置紧急广播系统。当设置公共广播系统时，宜与紧急广播系统共用一套线路及末端设备(扬声器)，末端设备宜设在公共场所，并宜在门诊、医技的候诊厅服务台以及病房护士站安装音量调节装置。当消防报警时应自动切至紧急广播。</w:t>
      </w:r>
      <w:r>
        <w:rPr>
          <w:sz w:val="21"/>
        </w:rPr>
        <w:t> </w:t>
      </w:r>
    </w:p>
    <w:p>
      <w:pPr>
        <w:pStyle w:val="ListParagraph"/>
        <w:numPr>
          <w:ilvl w:val="2"/>
          <w:numId w:val="835"/>
        </w:numPr>
        <w:tabs>
          <w:tab w:pos="1370" w:val="left" w:leader="none"/>
        </w:tabs>
        <w:spacing w:line="446" w:lineRule="auto" w:before="0" w:after="0"/>
        <w:ind w:left="418" w:right="1498" w:firstLine="422"/>
        <w:jc w:val="left"/>
        <w:rPr>
          <w:sz w:val="21"/>
        </w:rPr>
      </w:pPr>
      <w:r>
        <w:rPr>
          <w:spacing w:val="-3"/>
          <w:sz w:val="21"/>
        </w:rPr>
        <w:t>当设置信息引导及发布系统时，宜在公共场所设置触摸屏信息查询终端及大型彩色显示屏。</w:t>
      </w:r>
      <w:r>
        <w:rPr>
          <w:sz w:val="21"/>
        </w:rPr>
        <w:t> </w:t>
      </w:r>
    </w:p>
    <w:p>
      <w:pPr>
        <w:pStyle w:val="ListParagraph"/>
        <w:numPr>
          <w:ilvl w:val="2"/>
          <w:numId w:val="835"/>
        </w:numPr>
        <w:tabs>
          <w:tab w:pos="1478" w:val="left" w:leader="none"/>
        </w:tabs>
        <w:spacing w:line="446" w:lineRule="auto" w:before="0" w:after="0"/>
        <w:ind w:left="418" w:right="1601" w:firstLine="422"/>
        <w:jc w:val="left"/>
        <w:rPr>
          <w:sz w:val="21"/>
        </w:rPr>
      </w:pPr>
      <w:r>
        <w:rPr>
          <w:spacing w:val="-3"/>
          <w:sz w:val="21"/>
        </w:rPr>
        <w:t>当医院设置时钟系统时，子钟宜设置在病房护理单元、分诊、医技各检查科室的护士站、手术室、医生诊室及办公室等处。</w:t>
      </w:r>
      <w:r>
        <w:rPr>
          <w:sz w:val="21"/>
        </w:rPr>
        <w:t> </w:t>
      </w:r>
    </w:p>
    <w:p>
      <w:pPr>
        <w:pStyle w:val="ListParagraph"/>
        <w:numPr>
          <w:ilvl w:val="1"/>
          <w:numId w:val="835"/>
        </w:numPr>
        <w:tabs>
          <w:tab w:pos="1159" w:val="left" w:leader="none"/>
        </w:tabs>
        <w:spacing w:line="240" w:lineRule="auto" w:before="0" w:after="0"/>
        <w:ind w:left="1158" w:right="0" w:hanging="319"/>
        <w:jc w:val="left"/>
        <w:rPr>
          <w:b/>
          <w:sz w:val="21"/>
        </w:rPr>
      </w:pPr>
      <w:r>
        <w:rPr>
          <w:spacing w:val="-3"/>
          <w:sz w:val="21"/>
        </w:rPr>
        <w:t>信息化应用系统</w:t>
      </w:r>
      <w:r>
        <w:rPr>
          <w:b/>
          <w:w w:val="99"/>
          <w:sz w:val="21"/>
        </w:rPr>
        <w:t> </w:t>
      </w:r>
    </w:p>
    <w:p>
      <w:pPr>
        <w:pStyle w:val="BodyText"/>
        <w:spacing w:before="9"/>
        <w:rPr>
          <w:b/>
          <w:sz w:val="17"/>
        </w:rPr>
      </w:pPr>
    </w:p>
    <w:p>
      <w:pPr>
        <w:pStyle w:val="ListParagraph"/>
        <w:numPr>
          <w:ilvl w:val="2"/>
          <w:numId w:val="835"/>
        </w:numPr>
        <w:tabs>
          <w:tab w:pos="1371" w:val="left" w:leader="none"/>
        </w:tabs>
        <w:spacing w:line="240" w:lineRule="auto" w:before="0" w:after="0"/>
        <w:ind w:left="1370" w:right="0" w:hanging="531"/>
        <w:jc w:val="left"/>
        <w:rPr>
          <w:sz w:val="21"/>
        </w:rPr>
      </w:pPr>
      <w:r>
        <w:rPr>
          <w:spacing w:val="-3"/>
          <w:sz w:val="21"/>
        </w:rPr>
        <w:t>医院信息系统宜由管理信息系统、临床信息系统和信息支持与维护系统组成。 </w:t>
      </w:r>
    </w:p>
    <w:p>
      <w:pPr>
        <w:pStyle w:val="BodyText"/>
        <w:spacing w:before="12"/>
        <w:rPr>
          <w:sz w:val="17"/>
        </w:rPr>
      </w:pPr>
    </w:p>
    <w:p>
      <w:pPr>
        <w:pStyle w:val="ListParagraph"/>
        <w:numPr>
          <w:ilvl w:val="2"/>
          <w:numId w:val="835"/>
        </w:numPr>
        <w:tabs>
          <w:tab w:pos="1371" w:val="left" w:leader="none"/>
        </w:tabs>
        <w:spacing w:line="446" w:lineRule="auto" w:before="0" w:after="0"/>
        <w:ind w:left="838" w:right="4657" w:firstLine="2"/>
        <w:jc w:val="left"/>
        <w:rPr>
          <w:b/>
          <w:sz w:val="21"/>
        </w:rPr>
      </w:pPr>
      <w:r>
        <w:rPr>
          <w:spacing w:val="-2"/>
          <w:sz w:val="21"/>
        </w:rPr>
        <w:t>当设置排队叫号系统时，应符合下列要求：   宜</w:t>
      </w:r>
      <w:r>
        <w:rPr>
          <w:spacing w:val="-3"/>
          <w:sz w:val="21"/>
        </w:rPr>
        <w:t>采用网络型架构，系统软件与医院信息化系统连接；</w:t>
      </w:r>
      <w:r>
        <w:rPr>
          <w:b/>
          <w:w w:val="99"/>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838" w:right="3817"/>
        <w:rPr>
          <w:b/>
        </w:rPr>
      </w:pPr>
      <w:r>
        <w:rPr/>
        <w:t>在挂号窗口和分诊排队护士站应设置屏幕显示和语音提示装置； 可根据具体情况在诊室设置虚拟或物理呼叫器。</w:t>
      </w:r>
      <w:r>
        <w:rPr>
          <w:b/>
          <w:w w:val="99"/>
        </w:rPr>
        <w:t> </w:t>
      </w:r>
    </w:p>
    <w:p>
      <w:pPr>
        <w:pStyle w:val="ListParagraph"/>
        <w:numPr>
          <w:ilvl w:val="2"/>
          <w:numId w:val="835"/>
        </w:numPr>
        <w:tabs>
          <w:tab w:pos="1371" w:val="left" w:leader="none"/>
        </w:tabs>
        <w:spacing w:line="267" w:lineRule="exact" w:before="0" w:after="0"/>
        <w:ind w:left="1370" w:right="0" w:hanging="531"/>
        <w:jc w:val="left"/>
        <w:rPr>
          <w:b/>
          <w:sz w:val="21"/>
        </w:rPr>
      </w:pPr>
      <w:r>
        <w:rPr>
          <w:spacing w:val="-3"/>
          <w:sz w:val="21"/>
        </w:rPr>
        <w:t>监护病房宜设置探视系统，并应符合下列要求：</w:t>
      </w:r>
      <w:r>
        <w:rPr>
          <w:b/>
          <w:w w:val="99"/>
          <w:sz w:val="21"/>
        </w:rPr>
        <w:t> </w:t>
      </w:r>
    </w:p>
    <w:p>
      <w:pPr>
        <w:pStyle w:val="BodyText"/>
        <w:spacing w:before="2"/>
        <w:rPr>
          <w:b/>
          <w:sz w:val="18"/>
        </w:rPr>
      </w:pPr>
    </w:p>
    <w:p>
      <w:pPr>
        <w:pStyle w:val="BodyText"/>
        <w:spacing w:line="446" w:lineRule="auto"/>
        <w:ind w:left="838" w:right="3186"/>
      </w:pPr>
      <w:r>
        <w:rPr>
          <w:spacing w:val="-3"/>
        </w:rPr>
        <w:t>宜设置语音与视频信号的双向传输，其操作控制系统应设在护士站内； 患者终端宜使用简单、易于操作。探视终端宜具备相对的私密性。 </w:t>
      </w:r>
      <w:r>
        <w:rPr>
          <w:b/>
        </w:rPr>
        <w:t>9.3.4</w:t>
      </w:r>
      <w:r>
        <w:rPr>
          <w:b/>
          <w:spacing w:val="5"/>
        </w:rPr>
        <w:t> </w:t>
      </w:r>
      <w:r>
        <w:rPr>
          <w:spacing w:val="-3"/>
        </w:rPr>
        <w:t>当设置手术室视频示教系统时，应符合下列要求：</w:t>
      </w:r>
      <w:r>
        <w:rPr/>
        <w:t> </w:t>
      </w:r>
    </w:p>
    <w:p>
      <w:pPr>
        <w:pStyle w:val="BodyText"/>
        <w:spacing w:line="268" w:lineRule="exact"/>
        <w:ind w:left="838"/>
      </w:pPr>
      <w:r>
        <w:rPr/>
        <w:t>视频信号应单向上传，语音信号应双向传输。 </w:t>
      </w:r>
    </w:p>
    <w:p>
      <w:pPr>
        <w:pStyle w:val="BodyText"/>
        <w:rPr>
          <w:sz w:val="18"/>
        </w:rPr>
      </w:pPr>
    </w:p>
    <w:p>
      <w:pPr>
        <w:pStyle w:val="BodyText"/>
        <w:spacing w:line="446" w:lineRule="auto"/>
        <w:ind w:left="418" w:right="1611" w:firstLine="419"/>
      </w:pPr>
      <w:r>
        <w:rPr/>
        <w:t>视频应采集全景和局部(无影灯摄像机)的图像信号，并应设备用插座，可在吊塔上设置用于转播的高清摄像机。示教室应设置显示屏。 </w:t>
      </w:r>
    </w:p>
    <w:p>
      <w:pPr>
        <w:pStyle w:val="BodyText"/>
        <w:spacing w:line="446" w:lineRule="auto"/>
        <w:ind w:left="838" w:right="4026"/>
      </w:pPr>
      <w:r>
        <w:rPr/>
        <w:t>控制间应对所有示教手术室的图像与音频信号进行切换管理。视频示教系统不应接入有线电视系统。 </w:t>
      </w:r>
    </w:p>
    <w:p>
      <w:pPr>
        <w:pStyle w:val="ListParagraph"/>
        <w:numPr>
          <w:ilvl w:val="2"/>
          <w:numId w:val="836"/>
        </w:numPr>
        <w:tabs>
          <w:tab w:pos="1370" w:val="left" w:leader="none"/>
        </w:tabs>
        <w:spacing w:line="267" w:lineRule="exact" w:before="0" w:after="0"/>
        <w:ind w:left="1369" w:right="0" w:hanging="530"/>
        <w:jc w:val="left"/>
        <w:rPr>
          <w:sz w:val="21"/>
        </w:rPr>
      </w:pPr>
      <w:r>
        <w:rPr>
          <w:spacing w:val="-3"/>
          <w:sz w:val="21"/>
        </w:rPr>
        <w:t>当设置手术室监控管理系统时，应符合下列要求：</w:t>
      </w:r>
      <w:r>
        <w:rPr>
          <w:sz w:val="21"/>
        </w:rPr>
        <w:t> </w:t>
      </w:r>
    </w:p>
    <w:p>
      <w:pPr>
        <w:pStyle w:val="BodyText"/>
        <w:spacing w:before="2"/>
        <w:rPr>
          <w:sz w:val="18"/>
        </w:rPr>
      </w:pPr>
    </w:p>
    <w:p>
      <w:pPr>
        <w:pStyle w:val="BodyText"/>
        <w:spacing w:line="446" w:lineRule="auto"/>
        <w:ind w:left="838" w:right="3186"/>
      </w:pPr>
      <w:r>
        <w:rPr>
          <w:spacing w:val="-3"/>
        </w:rPr>
        <w:t>应采用计算机网络技术集中监控与管理手术室运行状态、环境变化等； 操作终端宜采用触摸屏方式。</w:t>
      </w:r>
      <w:r>
        <w:rPr/>
        <w:t> </w:t>
      </w:r>
    </w:p>
    <w:p>
      <w:pPr>
        <w:pStyle w:val="ListParagraph"/>
        <w:numPr>
          <w:ilvl w:val="2"/>
          <w:numId w:val="836"/>
        </w:numPr>
        <w:tabs>
          <w:tab w:pos="1371" w:val="left" w:leader="none"/>
        </w:tabs>
        <w:spacing w:line="446" w:lineRule="auto" w:before="0" w:after="0"/>
        <w:ind w:left="838" w:right="4127" w:firstLine="2"/>
        <w:jc w:val="left"/>
        <w:rPr>
          <w:b/>
          <w:sz w:val="21"/>
        </w:rPr>
      </w:pPr>
      <w:r>
        <w:rPr>
          <w:spacing w:val="-2"/>
          <w:sz w:val="21"/>
        </w:rPr>
        <w:t>护理单元宜设置医护对讲系统，并应符合下列要求： 病</w:t>
      </w:r>
      <w:r>
        <w:rPr>
          <w:spacing w:val="-3"/>
          <w:sz w:val="21"/>
        </w:rPr>
        <w:t>床前、卫生间应设置患者呼叫终端；</w:t>
      </w:r>
      <w:r>
        <w:rPr>
          <w:b/>
          <w:w w:val="99"/>
          <w:sz w:val="21"/>
        </w:rPr>
        <w:t> </w:t>
      </w:r>
    </w:p>
    <w:p>
      <w:pPr>
        <w:pStyle w:val="BodyText"/>
        <w:ind w:left="838"/>
        <w:rPr>
          <w:b/>
        </w:rPr>
      </w:pPr>
      <w:r>
        <w:rPr/>
        <w:t>护士站应设置对讲总机；</w:t>
      </w:r>
      <w:r>
        <w:rPr>
          <w:b/>
          <w:w w:val="99"/>
        </w:rPr>
        <w:t> </w:t>
      </w:r>
    </w:p>
    <w:p>
      <w:pPr>
        <w:pStyle w:val="BodyText"/>
        <w:spacing w:before="10"/>
        <w:rPr>
          <w:b/>
          <w:sz w:val="17"/>
        </w:rPr>
      </w:pPr>
    </w:p>
    <w:p>
      <w:pPr>
        <w:pStyle w:val="BodyText"/>
        <w:spacing w:line="446" w:lineRule="auto"/>
        <w:ind w:left="838" w:right="6549"/>
        <w:rPr>
          <w:b/>
        </w:rPr>
      </w:pPr>
      <w:r>
        <w:rPr/>
        <w:t>走廊应设置呼叫显示灯或显示屏； 可设置无线呼叫终端。</w:t>
      </w:r>
      <w:r>
        <w:rPr>
          <w:b/>
          <w:w w:val="99"/>
        </w:rPr>
        <w:t> </w:t>
      </w:r>
    </w:p>
    <w:p>
      <w:pPr>
        <w:pStyle w:val="ListParagraph"/>
        <w:numPr>
          <w:ilvl w:val="2"/>
          <w:numId w:val="836"/>
        </w:numPr>
        <w:tabs>
          <w:tab w:pos="1370" w:val="left" w:leader="none"/>
        </w:tabs>
        <w:spacing w:line="446" w:lineRule="auto" w:before="1" w:after="0"/>
        <w:ind w:left="418" w:right="1498" w:firstLine="422"/>
        <w:jc w:val="left"/>
        <w:rPr>
          <w:sz w:val="21"/>
        </w:rPr>
      </w:pPr>
      <w:r>
        <w:rPr>
          <w:spacing w:val="-3"/>
          <w:sz w:val="21"/>
        </w:rPr>
        <w:t>当设置智能卡系统时，应分别满足患者挂号、取药、付费和医务人员身份识别、考勤、门禁、停车、消费等要求。</w:t>
      </w:r>
      <w:r>
        <w:rPr>
          <w:sz w:val="21"/>
        </w:rPr>
        <w:t> </w:t>
      </w:r>
    </w:p>
    <w:p>
      <w:pPr>
        <w:pStyle w:val="ListParagraph"/>
        <w:numPr>
          <w:ilvl w:val="1"/>
          <w:numId w:val="835"/>
        </w:numPr>
        <w:tabs>
          <w:tab w:pos="1160" w:val="left" w:leader="none"/>
        </w:tabs>
        <w:spacing w:line="240" w:lineRule="auto" w:before="0" w:after="0"/>
        <w:ind w:left="1159" w:right="0" w:hanging="320"/>
        <w:jc w:val="left"/>
        <w:rPr>
          <w:b/>
          <w:sz w:val="21"/>
        </w:rPr>
      </w:pPr>
      <w:r>
        <w:rPr>
          <w:spacing w:val="-3"/>
          <w:sz w:val="21"/>
        </w:rPr>
        <w:t>公共安全系统</w:t>
      </w:r>
      <w:r>
        <w:rPr>
          <w:b/>
          <w:w w:val="99"/>
          <w:sz w:val="21"/>
        </w:rPr>
        <w:t> </w:t>
      </w:r>
    </w:p>
    <w:p>
      <w:pPr>
        <w:pStyle w:val="BodyText"/>
        <w:spacing w:before="12"/>
        <w:rPr>
          <w:b/>
          <w:sz w:val="17"/>
        </w:rPr>
      </w:pPr>
    </w:p>
    <w:p>
      <w:pPr>
        <w:pStyle w:val="ListParagraph"/>
        <w:numPr>
          <w:ilvl w:val="2"/>
          <w:numId w:val="835"/>
        </w:numPr>
        <w:tabs>
          <w:tab w:pos="1371" w:val="left" w:leader="none"/>
        </w:tabs>
        <w:spacing w:line="446" w:lineRule="auto" w:before="0" w:after="0"/>
        <w:ind w:left="418" w:right="1707" w:firstLine="422"/>
        <w:jc w:val="left"/>
        <w:rPr>
          <w:sz w:val="21"/>
        </w:rPr>
      </w:pPr>
      <w:r>
        <w:rPr>
          <w:spacing w:val="-3"/>
          <w:sz w:val="21"/>
        </w:rPr>
        <w:t>公共安全系统应设置火灾自动报警及消防联动控制系统，火灾自动报警系统的设计，应符合现行国家标准《火灾自动报警系统设计规范》</w:t>
      </w:r>
      <w:r>
        <w:rPr>
          <w:sz w:val="21"/>
        </w:rPr>
        <w:t>GB</w:t>
      </w:r>
      <w:r>
        <w:rPr>
          <w:spacing w:val="3"/>
          <w:sz w:val="21"/>
        </w:rPr>
        <w:t> </w:t>
      </w:r>
      <w:r>
        <w:rPr>
          <w:sz w:val="21"/>
        </w:rPr>
        <w:t>50116</w:t>
      </w:r>
      <w:r>
        <w:rPr>
          <w:spacing w:val="-10"/>
          <w:sz w:val="21"/>
        </w:rPr>
        <w:t> 的有关规定。</w:t>
      </w:r>
      <w:r>
        <w:rPr>
          <w:sz w:val="21"/>
        </w:rPr>
        <w:t> </w:t>
      </w:r>
    </w:p>
    <w:p>
      <w:pPr>
        <w:pStyle w:val="ListParagraph"/>
        <w:numPr>
          <w:ilvl w:val="2"/>
          <w:numId w:val="835"/>
        </w:numPr>
        <w:tabs>
          <w:tab w:pos="1371" w:val="left" w:leader="none"/>
        </w:tabs>
        <w:spacing w:line="446" w:lineRule="auto" w:before="0" w:after="0"/>
        <w:ind w:left="418" w:right="1498" w:firstLine="422"/>
        <w:jc w:val="left"/>
        <w:rPr>
          <w:sz w:val="21"/>
        </w:rPr>
      </w:pPr>
      <w:r>
        <w:rPr>
          <w:spacing w:val="-3"/>
          <w:sz w:val="21"/>
        </w:rPr>
        <w:t>当设置建筑设备监控系统时，应按集中管理分散控制的原则，采用计算机网络控制装置对医院的机电设备(消防设备除外)进行监视、控制和管理。</w:t>
      </w:r>
      <w:r>
        <w:rPr>
          <w:sz w:val="21"/>
        </w:rPr>
        <w:t> </w:t>
      </w:r>
    </w:p>
    <w:p>
      <w:pPr>
        <w:pStyle w:val="ListParagraph"/>
        <w:numPr>
          <w:ilvl w:val="2"/>
          <w:numId w:val="835"/>
        </w:numPr>
        <w:tabs>
          <w:tab w:pos="1371" w:val="left" w:leader="none"/>
        </w:tabs>
        <w:spacing w:line="267" w:lineRule="exact" w:before="0" w:after="0"/>
        <w:ind w:left="1370" w:right="0" w:hanging="531"/>
        <w:jc w:val="left"/>
        <w:rPr>
          <w:sz w:val="21"/>
        </w:rPr>
      </w:pPr>
      <w:r>
        <w:rPr>
          <w:spacing w:val="-3"/>
          <w:sz w:val="21"/>
        </w:rPr>
        <w:t>公共安全系统应设置安全技术防范系统，并应符合下列要求：</w:t>
      </w:r>
      <w:r>
        <w:rPr>
          <w:sz w:val="21"/>
        </w:rPr>
        <w:t>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608" w:firstLine="419"/>
        <w:jc w:val="both"/>
      </w:pPr>
      <w:r>
        <w:rPr/>
        <w:t>当设置视频监控系统时，可在医院首层的各对外出入口、收费及挂号处、财务及出院结算处、贵重药品库、电梯轿厢、各楼层的电梯厅及人员活动较多的场所设置摄像机。图像的存储和查询应采用数字硬盘装置。 </w:t>
      </w:r>
    </w:p>
    <w:p>
      <w:pPr>
        <w:pStyle w:val="BodyText"/>
        <w:spacing w:line="446" w:lineRule="auto"/>
        <w:ind w:left="418" w:right="1609" w:firstLine="419"/>
      </w:pPr>
      <w:r>
        <w:rPr/>
        <w:t>当设置入侵报警系统时，应在贵重药品库、收费终端等重要场所设置手动报警按钮或其他防侵入探测装置，并应与视频监视摄像机联动。 </w:t>
      </w:r>
    </w:p>
    <w:p>
      <w:pPr>
        <w:pStyle w:val="BodyText"/>
        <w:rPr>
          <w:sz w:val="20"/>
        </w:rPr>
      </w:pPr>
    </w:p>
    <w:p>
      <w:pPr>
        <w:pStyle w:val="BodyText"/>
        <w:spacing w:before="11"/>
        <w:rPr>
          <w:sz w:val="18"/>
        </w:rPr>
      </w:pPr>
    </w:p>
    <w:p>
      <w:pPr>
        <w:pStyle w:val="BodyText"/>
        <w:spacing w:line="446" w:lineRule="auto" w:before="1"/>
        <w:ind w:left="418" w:right="1608" w:firstLine="419"/>
        <w:jc w:val="both"/>
      </w:pPr>
      <w:r>
        <w:rPr/>
        <w:t>当设置出入口管理系统时，可在信息中心、贵重药品库等重要场所，以及手术部、病房护理单元的主要出入口设置门禁控制装置。对于有医患分流要求的通道门应设置门禁控制装置。当火灾报警时应通过消防系统联动控制相应区域的出入门处于开启状态。 </w:t>
      </w:r>
    </w:p>
    <w:p>
      <w:pPr>
        <w:pStyle w:val="BodyText"/>
        <w:spacing w:line="446" w:lineRule="auto"/>
        <w:ind w:left="418" w:right="1608" w:firstLine="419"/>
        <w:jc w:val="both"/>
      </w:pPr>
      <w:r>
        <w:rPr/>
        <w:t>当设置电子巡查管理系统时，宜采用离线式巡查系统。当医院设置的门禁系统控制装置可覆盖大部分巡查点时，宜通过门禁系统进行巡查管理。巡查点宜设置在首层主要出入口、各层电梯厅、贵重药品库房、信息中心等重要场所。 </w:t>
      </w:r>
    </w:p>
    <w:p>
      <w:pPr>
        <w:pStyle w:val="ListParagraph"/>
        <w:numPr>
          <w:ilvl w:val="1"/>
          <w:numId w:val="835"/>
        </w:numPr>
        <w:tabs>
          <w:tab w:pos="1159" w:val="left" w:leader="none"/>
        </w:tabs>
        <w:spacing w:line="268" w:lineRule="exact" w:before="0" w:after="0"/>
        <w:ind w:left="1158" w:right="0" w:hanging="319"/>
        <w:jc w:val="left"/>
        <w:rPr>
          <w:sz w:val="21"/>
        </w:rPr>
      </w:pPr>
      <w:r>
        <w:rPr>
          <w:spacing w:val="-3"/>
          <w:sz w:val="21"/>
        </w:rPr>
        <w:t>智能化集成系统</w:t>
      </w:r>
      <w:r>
        <w:rPr>
          <w:sz w:val="21"/>
        </w:rPr>
        <w:t> </w:t>
      </w:r>
    </w:p>
    <w:p>
      <w:pPr>
        <w:pStyle w:val="BodyText"/>
        <w:spacing w:before="11"/>
        <w:rPr>
          <w:sz w:val="17"/>
        </w:rPr>
      </w:pPr>
    </w:p>
    <w:p>
      <w:pPr>
        <w:pStyle w:val="ListParagraph"/>
        <w:numPr>
          <w:ilvl w:val="2"/>
          <w:numId w:val="835"/>
        </w:numPr>
        <w:tabs>
          <w:tab w:pos="1370" w:val="left" w:leader="none"/>
        </w:tabs>
        <w:spacing w:line="446" w:lineRule="auto" w:before="1" w:after="0"/>
        <w:ind w:left="418" w:right="1498" w:firstLine="422"/>
        <w:jc w:val="left"/>
        <w:rPr>
          <w:sz w:val="21"/>
        </w:rPr>
      </w:pPr>
      <w:r>
        <w:rPr>
          <w:spacing w:val="-3"/>
          <w:sz w:val="21"/>
        </w:rPr>
        <w:t>当设置智能化集成系统时，宜与信息系统共享信息。当不设置智能化集成系统时，宜采用建筑设备管理系统对建筑设备监控系统和公共安全系统进行集成，并宜预留与信息系统的接口。</w:t>
      </w:r>
      <w:r>
        <w:rPr>
          <w:sz w:val="21"/>
        </w:rPr>
        <w:t> </w:t>
      </w:r>
    </w:p>
    <w:p>
      <w:pPr>
        <w:pStyle w:val="ListParagraph"/>
        <w:numPr>
          <w:ilvl w:val="2"/>
          <w:numId w:val="835"/>
        </w:numPr>
        <w:tabs>
          <w:tab w:pos="1371" w:val="left" w:leader="none"/>
        </w:tabs>
        <w:spacing w:line="446" w:lineRule="auto" w:before="0" w:after="0"/>
        <w:ind w:left="418" w:right="1498" w:firstLine="422"/>
        <w:jc w:val="left"/>
        <w:rPr>
          <w:sz w:val="21"/>
        </w:rPr>
      </w:pPr>
      <w:r>
        <w:rPr>
          <w:spacing w:val="-3"/>
          <w:sz w:val="21"/>
        </w:rPr>
        <w:t>集成系统的硬件及软件应采用开放的体系结构，满足实用、安全可靠、易扩展、易维护的要求。</w:t>
      </w:r>
      <w:r>
        <w:rPr>
          <w:sz w:val="21"/>
        </w:rPr>
        <w:t> </w:t>
      </w:r>
    </w:p>
    <w:p>
      <w:pPr>
        <w:pStyle w:val="ListParagraph"/>
        <w:numPr>
          <w:ilvl w:val="1"/>
          <w:numId w:val="835"/>
        </w:numPr>
        <w:tabs>
          <w:tab w:pos="1159" w:val="left" w:leader="none"/>
        </w:tabs>
        <w:spacing w:line="240" w:lineRule="auto" w:before="0" w:after="0"/>
        <w:ind w:left="1158" w:right="0" w:hanging="319"/>
        <w:jc w:val="left"/>
        <w:rPr>
          <w:sz w:val="21"/>
        </w:rPr>
      </w:pPr>
      <w:r>
        <w:rPr>
          <w:spacing w:val="-3"/>
          <w:sz w:val="21"/>
        </w:rPr>
        <w:t>机房工程</w:t>
      </w:r>
      <w:r>
        <w:rPr>
          <w:sz w:val="21"/>
        </w:rPr>
        <w:t> </w:t>
      </w:r>
    </w:p>
    <w:p>
      <w:pPr>
        <w:pStyle w:val="BodyText"/>
        <w:spacing w:before="11"/>
        <w:rPr>
          <w:sz w:val="17"/>
        </w:rPr>
      </w:pPr>
    </w:p>
    <w:p>
      <w:pPr>
        <w:pStyle w:val="ListParagraph"/>
        <w:numPr>
          <w:ilvl w:val="2"/>
          <w:numId w:val="835"/>
        </w:numPr>
        <w:tabs>
          <w:tab w:pos="1370" w:val="left" w:leader="none"/>
        </w:tabs>
        <w:spacing w:line="240" w:lineRule="auto" w:before="0" w:after="0"/>
        <w:ind w:left="1369" w:right="0" w:hanging="530"/>
        <w:jc w:val="left"/>
        <w:rPr>
          <w:sz w:val="21"/>
        </w:rPr>
      </w:pPr>
      <w:r>
        <w:rPr>
          <w:spacing w:val="-3"/>
          <w:sz w:val="21"/>
        </w:rPr>
        <w:t>机房应根据医院的管理模式设置。</w:t>
      </w:r>
      <w:r>
        <w:rPr>
          <w:sz w:val="21"/>
        </w:rPr>
        <w:t> </w:t>
      </w:r>
    </w:p>
    <w:p>
      <w:pPr>
        <w:pStyle w:val="BodyText"/>
        <w:spacing w:before="12"/>
        <w:rPr>
          <w:sz w:val="17"/>
        </w:rPr>
      </w:pPr>
    </w:p>
    <w:p>
      <w:pPr>
        <w:pStyle w:val="ListParagraph"/>
        <w:numPr>
          <w:ilvl w:val="2"/>
          <w:numId w:val="835"/>
        </w:numPr>
        <w:tabs>
          <w:tab w:pos="1370" w:val="left" w:leader="none"/>
        </w:tabs>
        <w:spacing w:line="446" w:lineRule="auto" w:before="0" w:after="0"/>
        <w:ind w:left="418" w:right="1498" w:firstLine="422"/>
        <w:jc w:val="left"/>
        <w:rPr>
          <w:sz w:val="21"/>
        </w:rPr>
      </w:pPr>
      <w:r>
        <w:rPr>
          <w:spacing w:val="-3"/>
          <w:sz w:val="21"/>
        </w:rPr>
        <w:t>机房工程宜包括配电照明系统、应急电源系统、气体灭火系统、防雷接地系统、机房监控系统、机房空调和防静电地板等。</w:t>
      </w:r>
      <w:r>
        <w:rPr>
          <w:sz w:val="21"/>
        </w:rPr>
        <w:t> </w:t>
      </w:r>
    </w:p>
    <w:p>
      <w:pPr>
        <w:pStyle w:val="ListParagraph"/>
        <w:numPr>
          <w:ilvl w:val="2"/>
          <w:numId w:val="835"/>
        </w:numPr>
        <w:tabs>
          <w:tab w:pos="1370" w:val="left" w:leader="none"/>
        </w:tabs>
        <w:spacing w:line="446" w:lineRule="auto" w:before="0" w:after="0"/>
        <w:ind w:left="418" w:right="1498" w:firstLine="422"/>
        <w:jc w:val="left"/>
        <w:rPr>
          <w:sz w:val="21"/>
        </w:rPr>
      </w:pPr>
      <w:r>
        <w:rPr>
          <w:spacing w:val="-3"/>
          <w:sz w:val="21"/>
        </w:rPr>
        <w:t>弱电间应确保配线架(柜)前后可维护，侧面应留有通道。环境应满足温湿度及通风要求，并应设置可靠电源及安全接地系统。</w:t>
      </w:r>
      <w:r>
        <w:rPr>
          <w:sz w:val="21"/>
        </w:rPr>
        <w:t> </w:t>
      </w:r>
    </w:p>
    <w:p>
      <w:pPr>
        <w:pStyle w:val="Heading4"/>
        <w:spacing w:line="277" w:lineRule="exact"/>
      </w:pPr>
      <w:r>
        <w:rPr/>
        <w:t>10 医用气体系统</w:t>
      </w:r>
      <w:r>
        <w:rPr>
          <w:w w:val="99"/>
        </w:rPr>
        <w:t> </w:t>
      </w:r>
    </w:p>
    <w:p>
      <w:pPr>
        <w:pStyle w:val="BodyText"/>
        <w:spacing w:before="4"/>
        <w:rPr>
          <w:b/>
          <w:sz w:val="17"/>
        </w:rPr>
      </w:pPr>
    </w:p>
    <w:p>
      <w:pPr>
        <w:pStyle w:val="ListParagraph"/>
        <w:numPr>
          <w:ilvl w:val="1"/>
          <w:numId w:val="837"/>
        </w:numPr>
        <w:tabs>
          <w:tab w:pos="1264" w:val="left" w:leader="none"/>
        </w:tabs>
        <w:spacing w:line="240" w:lineRule="auto" w:before="0" w:after="0"/>
        <w:ind w:left="1263" w:right="0" w:hanging="424"/>
        <w:jc w:val="left"/>
        <w:rPr>
          <w:b/>
          <w:sz w:val="21"/>
        </w:rPr>
      </w:pPr>
      <w:r>
        <w:rPr>
          <w:spacing w:val="-3"/>
          <w:sz w:val="21"/>
        </w:rPr>
        <w:t>一般规定</w:t>
      </w:r>
      <w:r>
        <w:rPr>
          <w:b/>
          <w:w w:val="99"/>
          <w:sz w:val="21"/>
        </w:rPr>
        <w:t> </w:t>
      </w:r>
    </w:p>
    <w:p>
      <w:pPr>
        <w:pStyle w:val="BodyText"/>
        <w:rPr>
          <w:b/>
          <w:sz w:val="18"/>
        </w:rPr>
      </w:pPr>
    </w:p>
    <w:p>
      <w:pPr>
        <w:pStyle w:val="ListParagraph"/>
        <w:numPr>
          <w:ilvl w:val="2"/>
          <w:numId w:val="837"/>
        </w:numPr>
        <w:tabs>
          <w:tab w:pos="1478" w:val="left" w:leader="none"/>
        </w:tabs>
        <w:spacing w:line="240" w:lineRule="auto" w:before="0" w:after="0"/>
        <w:ind w:left="1477" w:right="0" w:hanging="638"/>
        <w:jc w:val="left"/>
        <w:rPr>
          <w:b/>
          <w:sz w:val="21"/>
        </w:rPr>
      </w:pPr>
      <w:r>
        <w:rPr>
          <w:spacing w:val="-3"/>
          <w:sz w:val="21"/>
        </w:rPr>
        <w:t>医用气体系统应根据医疗需求设置。</w:t>
      </w:r>
      <w:r>
        <w:rPr>
          <w:sz w:val="21"/>
        </w:rPr>
        <w:t> </w:t>
      </w:r>
      <w:r>
        <w:rPr>
          <w:spacing w:val="-2"/>
          <w:sz w:val="21"/>
        </w:rPr>
        <w:t> </w:t>
      </w:r>
      <w:r>
        <w:rPr>
          <w:b/>
          <w:w w:val="99"/>
          <w:sz w:val="21"/>
        </w:rPr>
        <w:t> </w:t>
      </w:r>
    </w:p>
    <w:p>
      <w:pPr>
        <w:pStyle w:val="BodyText"/>
        <w:spacing w:before="2"/>
        <w:rPr>
          <w:b/>
          <w:sz w:val="18"/>
        </w:rPr>
      </w:pPr>
    </w:p>
    <w:p>
      <w:pPr>
        <w:pStyle w:val="ListParagraph"/>
        <w:numPr>
          <w:ilvl w:val="2"/>
          <w:numId w:val="837"/>
        </w:numPr>
        <w:tabs>
          <w:tab w:pos="1478" w:val="left" w:leader="none"/>
        </w:tabs>
        <w:spacing w:line="240" w:lineRule="auto" w:before="0" w:after="0"/>
        <w:ind w:left="1477" w:right="0" w:hanging="638"/>
        <w:jc w:val="left"/>
        <w:rPr>
          <w:b/>
          <w:sz w:val="21"/>
        </w:rPr>
      </w:pPr>
      <w:r>
        <w:rPr>
          <w:spacing w:val="-3"/>
          <w:sz w:val="21"/>
        </w:rPr>
        <w:t>气源站应根据医院总体规划确定。医用气体管道布置应合理。</w:t>
      </w:r>
      <w:r>
        <w:rPr>
          <w:sz w:val="21"/>
        </w:rPr>
        <w:t> </w:t>
      </w:r>
      <w:r>
        <w:rPr>
          <w:spacing w:val="-2"/>
          <w:sz w:val="21"/>
        </w:rPr>
        <w:t> </w:t>
      </w:r>
      <w:r>
        <w:rPr>
          <w:b/>
          <w:w w:val="99"/>
          <w:sz w:val="21"/>
        </w:rPr>
        <w:t> </w:t>
      </w:r>
    </w:p>
    <w:p>
      <w:pPr>
        <w:spacing w:after="0" w:line="240" w:lineRule="auto"/>
        <w:jc w:val="left"/>
        <w:rPr>
          <w:sz w:val="21"/>
        </w:rPr>
        <w:sectPr>
          <w:footerReference w:type="default" r:id="rId459"/>
          <w:pgSz w:w="11910" w:h="16850"/>
          <w:pgMar w:footer="1239" w:header="0" w:top="1220" w:bottom="1420" w:left="1260" w:right="0"/>
          <w:pgNumType w:start="1480"/>
        </w:sectPr>
      </w:pPr>
    </w:p>
    <w:p>
      <w:pPr>
        <w:pStyle w:val="ListParagraph"/>
        <w:numPr>
          <w:ilvl w:val="2"/>
          <w:numId w:val="837"/>
        </w:numPr>
        <w:tabs>
          <w:tab w:pos="1478" w:val="left" w:leader="none"/>
        </w:tabs>
        <w:spacing w:line="240" w:lineRule="auto" w:before="47" w:after="0"/>
        <w:ind w:left="1477" w:right="0" w:hanging="638"/>
        <w:jc w:val="left"/>
        <w:rPr>
          <w:b/>
          <w:sz w:val="21"/>
        </w:rPr>
      </w:pPr>
      <w:r>
        <w:rPr>
          <w:spacing w:val="-3"/>
          <w:sz w:val="21"/>
        </w:rPr>
        <w:t>医用废气的排放不应对医院及周边环境产生影响。</w:t>
      </w:r>
      <w:r>
        <w:rPr>
          <w:b/>
          <w:w w:val="99"/>
          <w:sz w:val="21"/>
        </w:rPr>
        <w:t> </w:t>
      </w:r>
    </w:p>
    <w:p>
      <w:pPr>
        <w:pStyle w:val="BodyText"/>
        <w:rPr>
          <w:b/>
          <w:sz w:val="18"/>
        </w:rPr>
      </w:pPr>
    </w:p>
    <w:p>
      <w:pPr>
        <w:pStyle w:val="ListParagraph"/>
        <w:numPr>
          <w:ilvl w:val="1"/>
          <w:numId w:val="837"/>
        </w:numPr>
        <w:tabs>
          <w:tab w:pos="1264" w:val="left" w:leader="none"/>
        </w:tabs>
        <w:spacing w:line="240" w:lineRule="auto" w:before="0" w:after="0"/>
        <w:ind w:left="1263" w:right="0" w:hanging="424"/>
        <w:jc w:val="left"/>
        <w:rPr>
          <w:b/>
          <w:sz w:val="21"/>
        </w:rPr>
      </w:pPr>
      <w:r>
        <w:rPr>
          <w:spacing w:val="-3"/>
          <w:sz w:val="21"/>
        </w:rPr>
        <w:t>气源设备</w:t>
      </w:r>
      <w:r>
        <w:rPr>
          <w:b/>
          <w:w w:val="99"/>
          <w:sz w:val="21"/>
        </w:rPr>
        <w:t> </w:t>
      </w:r>
    </w:p>
    <w:p>
      <w:pPr>
        <w:pStyle w:val="BodyText"/>
        <w:rPr>
          <w:b/>
          <w:sz w:val="18"/>
        </w:rPr>
      </w:pPr>
    </w:p>
    <w:p>
      <w:pPr>
        <w:pStyle w:val="ListParagraph"/>
        <w:numPr>
          <w:ilvl w:val="2"/>
          <w:numId w:val="837"/>
        </w:numPr>
        <w:tabs>
          <w:tab w:pos="1478" w:val="left" w:leader="none"/>
        </w:tabs>
        <w:spacing w:line="446" w:lineRule="auto" w:before="0" w:after="0"/>
        <w:ind w:left="418" w:right="1496" w:firstLine="422"/>
        <w:jc w:val="left"/>
        <w:rPr>
          <w:sz w:val="21"/>
        </w:rPr>
      </w:pPr>
      <w:r>
        <w:rPr>
          <w:spacing w:val="-4"/>
          <w:sz w:val="21"/>
        </w:rPr>
        <w:t>高压气瓶以及液态储罐供应的医用气体，应按日用量计算，并应贮备不少于 </w:t>
      </w:r>
      <w:r>
        <w:rPr>
          <w:sz w:val="21"/>
        </w:rPr>
        <w:t>3d</w:t>
      </w:r>
      <w:r>
        <w:rPr>
          <w:spacing w:val="-12"/>
          <w:sz w:val="21"/>
        </w:rPr>
        <w:t> 的备</w:t>
      </w:r>
      <w:r>
        <w:rPr>
          <w:spacing w:val="-5"/>
          <w:sz w:val="21"/>
        </w:rPr>
        <w:t>用气量。采用制气机组供气时，应设置备用机组，采用分子筛制氧机组时，还应设高压氧气汇</w:t>
      </w:r>
      <w:r>
        <w:rPr>
          <w:spacing w:val="-3"/>
          <w:sz w:val="21"/>
        </w:rPr>
        <w:t>流排。当最大机组发生故障时，其他机组的供气能力应能满足系统设计最大负荷。 </w:t>
      </w:r>
      <w:r>
        <w:rPr>
          <w:spacing w:val="-2"/>
          <w:sz w:val="21"/>
        </w:rPr>
        <w:t> </w:t>
      </w:r>
      <w:r>
        <w:rPr>
          <w:w w:val="100"/>
          <w:sz w:val="21"/>
        </w:rPr>
        <w:t> </w:t>
      </w:r>
    </w:p>
    <w:p>
      <w:pPr>
        <w:pStyle w:val="ListParagraph"/>
        <w:numPr>
          <w:ilvl w:val="2"/>
          <w:numId w:val="837"/>
        </w:numPr>
        <w:tabs>
          <w:tab w:pos="1478" w:val="left" w:leader="none"/>
        </w:tabs>
        <w:spacing w:line="446" w:lineRule="auto" w:before="0" w:after="0"/>
        <w:ind w:left="418" w:right="1601" w:firstLine="422"/>
        <w:jc w:val="left"/>
        <w:rPr>
          <w:sz w:val="21"/>
        </w:rPr>
      </w:pPr>
      <w:r>
        <w:rPr>
          <w:spacing w:val="-3"/>
          <w:sz w:val="21"/>
        </w:rPr>
        <w:t>医院应设置氧气和负压吸引系统，可根据需要设置压缩空气、氧化亚氮、氮气、二氧化碳、氩气，以及麻醉废气排放等系统。气源应满足终端处气体参数要求。</w:t>
      </w:r>
      <w:r>
        <w:rPr>
          <w:sz w:val="21"/>
        </w:rPr>
        <w:t> </w:t>
      </w:r>
    </w:p>
    <w:p>
      <w:pPr>
        <w:pStyle w:val="ListParagraph"/>
        <w:numPr>
          <w:ilvl w:val="2"/>
          <w:numId w:val="837"/>
        </w:numPr>
        <w:tabs>
          <w:tab w:pos="1478" w:val="left" w:leader="none"/>
        </w:tabs>
        <w:spacing w:line="240" w:lineRule="auto" w:before="0" w:after="0"/>
        <w:ind w:left="1477" w:right="0" w:hanging="638"/>
        <w:jc w:val="left"/>
        <w:rPr>
          <w:sz w:val="21"/>
        </w:rPr>
      </w:pPr>
      <w:r>
        <w:rPr>
          <w:spacing w:val="-3"/>
          <w:sz w:val="21"/>
        </w:rPr>
        <w:t>手术部专用气体供气站应设在离手术部较近的非洁净区。</w:t>
      </w:r>
      <w:r>
        <w:rPr>
          <w:sz w:val="21"/>
        </w:rPr>
        <w:t> </w:t>
      </w:r>
      <w:r>
        <w:rPr>
          <w:spacing w:val="-2"/>
          <w:sz w:val="21"/>
        </w:rPr>
        <w:t> </w:t>
      </w:r>
      <w:r>
        <w:rPr>
          <w:w w:val="100"/>
          <w:sz w:val="21"/>
        </w:rPr>
        <w:t> </w:t>
      </w:r>
    </w:p>
    <w:p>
      <w:pPr>
        <w:pStyle w:val="BodyText"/>
        <w:spacing w:before="11"/>
        <w:rPr>
          <w:sz w:val="17"/>
        </w:rPr>
      </w:pPr>
    </w:p>
    <w:p>
      <w:pPr>
        <w:pStyle w:val="ListParagraph"/>
        <w:numPr>
          <w:ilvl w:val="2"/>
          <w:numId w:val="837"/>
        </w:numPr>
        <w:tabs>
          <w:tab w:pos="1478" w:val="left" w:leader="none"/>
        </w:tabs>
        <w:spacing w:line="240" w:lineRule="auto" w:before="0" w:after="0"/>
        <w:ind w:left="1477" w:right="0" w:hanging="638"/>
        <w:jc w:val="left"/>
        <w:rPr>
          <w:sz w:val="21"/>
        </w:rPr>
      </w:pPr>
      <w:r>
        <w:rPr>
          <w:spacing w:val="-3"/>
          <w:sz w:val="21"/>
        </w:rPr>
        <w:t>手术部、监护病房、急救、抢救室供氧管道应单独从氧气站接出。</w:t>
      </w:r>
      <w:r>
        <w:rPr>
          <w:sz w:val="21"/>
        </w:rPr>
        <w:t>  </w:t>
      </w:r>
      <w:r>
        <w:rPr>
          <w:w w:val="100"/>
          <w:sz w:val="21"/>
        </w:rPr>
        <w:t> </w:t>
      </w:r>
    </w:p>
    <w:p>
      <w:pPr>
        <w:pStyle w:val="BodyText"/>
        <w:spacing w:before="2"/>
        <w:rPr>
          <w:sz w:val="18"/>
        </w:rPr>
      </w:pPr>
    </w:p>
    <w:p>
      <w:pPr>
        <w:pStyle w:val="ListParagraph"/>
        <w:numPr>
          <w:ilvl w:val="2"/>
          <w:numId w:val="837"/>
        </w:numPr>
        <w:tabs>
          <w:tab w:pos="1478" w:val="left" w:leader="none"/>
        </w:tabs>
        <w:spacing w:line="240" w:lineRule="auto" w:before="0" w:after="0"/>
        <w:ind w:left="1477" w:right="0" w:hanging="638"/>
        <w:jc w:val="left"/>
        <w:rPr>
          <w:sz w:val="21"/>
        </w:rPr>
      </w:pPr>
      <w:r>
        <w:rPr>
          <w:spacing w:val="-3"/>
          <w:sz w:val="21"/>
        </w:rPr>
        <w:t>供气站应设供气异常报警装置。备用机组应设置自动投入使用装置。 </w:t>
      </w:r>
      <w:r>
        <w:rPr>
          <w:spacing w:val="-2"/>
          <w:sz w:val="21"/>
        </w:rPr>
        <w:t> </w:t>
      </w:r>
      <w:r>
        <w:rPr>
          <w:w w:val="100"/>
          <w:sz w:val="21"/>
        </w:rPr>
        <w:t> </w:t>
      </w:r>
    </w:p>
    <w:p>
      <w:pPr>
        <w:pStyle w:val="BodyText"/>
        <w:spacing w:before="12"/>
        <w:rPr>
          <w:sz w:val="17"/>
        </w:rPr>
      </w:pPr>
    </w:p>
    <w:p>
      <w:pPr>
        <w:pStyle w:val="ListParagraph"/>
        <w:numPr>
          <w:ilvl w:val="2"/>
          <w:numId w:val="837"/>
        </w:numPr>
        <w:tabs>
          <w:tab w:pos="1478" w:val="left" w:leader="none"/>
        </w:tabs>
        <w:spacing w:line="240" w:lineRule="auto" w:before="0" w:after="0"/>
        <w:ind w:left="1477" w:right="0" w:hanging="638"/>
        <w:jc w:val="left"/>
        <w:rPr>
          <w:sz w:val="21"/>
        </w:rPr>
      </w:pPr>
      <w:r>
        <w:rPr>
          <w:spacing w:val="-3"/>
          <w:sz w:val="21"/>
        </w:rPr>
        <w:t>医院宜采用无油空气压缩机，压缩空气应设过滤除菌设备。</w:t>
      </w:r>
      <w:r>
        <w:rPr>
          <w:sz w:val="21"/>
        </w:rPr>
        <w:t> </w:t>
      </w:r>
    </w:p>
    <w:p>
      <w:pPr>
        <w:pStyle w:val="BodyText"/>
        <w:rPr>
          <w:sz w:val="18"/>
        </w:rPr>
      </w:pPr>
    </w:p>
    <w:p>
      <w:pPr>
        <w:pStyle w:val="ListParagraph"/>
        <w:numPr>
          <w:ilvl w:val="2"/>
          <w:numId w:val="837"/>
        </w:numPr>
        <w:tabs>
          <w:tab w:pos="1478" w:val="left" w:leader="none"/>
        </w:tabs>
        <w:spacing w:line="240" w:lineRule="auto" w:before="0" w:after="0"/>
        <w:ind w:left="1477" w:right="0" w:hanging="638"/>
        <w:jc w:val="left"/>
        <w:rPr>
          <w:sz w:val="21"/>
        </w:rPr>
      </w:pPr>
      <w:r>
        <w:rPr>
          <w:spacing w:val="-3"/>
          <w:sz w:val="21"/>
        </w:rPr>
        <w:t>医用气体气源应设超压排放安全阀，气体应排至室外安全地点。</w:t>
      </w:r>
      <w:r>
        <w:rPr>
          <w:sz w:val="21"/>
        </w:rPr>
        <w:t> </w:t>
      </w:r>
    </w:p>
    <w:p>
      <w:pPr>
        <w:pStyle w:val="BodyText"/>
        <w:spacing w:before="2"/>
        <w:rPr>
          <w:sz w:val="18"/>
        </w:rPr>
      </w:pPr>
    </w:p>
    <w:p>
      <w:pPr>
        <w:pStyle w:val="ListParagraph"/>
        <w:numPr>
          <w:ilvl w:val="2"/>
          <w:numId w:val="837"/>
        </w:numPr>
        <w:tabs>
          <w:tab w:pos="1478" w:val="left" w:leader="none"/>
        </w:tabs>
        <w:spacing w:line="446" w:lineRule="auto" w:before="0" w:after="0"/>
        <w:ind w:left="838" w:right="4439" w:firstLine="2"/>
        <w:jc w:val="left"/>
        <w:rPr>
          <w:sz w:val="21"/>
        </w:rPr>
      </w:pPr>
      <w:r>
        <w:rPr>
          <w:spacing w:val="-2"/>
          <w:sz w:val="21"/>
        </w:rPr>
        <w:t>设置分子筛制氧机组制氧站，应符合下列要求： 制</w:t>
      </w:r>
      <w:r>
        <w:rPr>
          <w:spacing w:val="-3"/>
          <w:sz w:val="21"/>
        </w:rPr>
        <w:t>氧站宜独立设置或设置在建筑物屋顶；</w:t>
      </w:r>
      <w:r>
        <w:rPr>
          <w:sz w:val="21"/>
        </w:rPr>
        <w:t> </w:t>
      </w:r>
    </w:p>
    <w:p>
      <w:pPr>
        <w:pStyle w:val="BodyText"/>
        <w:spacing w:line="446" w:lineRule="auto"/>
        <w:ind w:left="418" w:right="1498" w:firstLine="419"/>
      </w:pPr>
      <w:r>
        <w:rPr/>
        <w:t>氧气汇流排间与机器间的隔墙耐火极限不应低于 1.5h，氧气汇流排间与机器间之间的联络门应采用甲级防火门； </w:t>
      </w:r>
    </w:p>
    <w:p>
      <w:pPr>
        <w:pStyle w:val="BodyText"/>
        <w:spacing w:line="446" w:lineRule="auto"/>
        <w:ind w:left="418" w:right="1498" w:firstLine="419"/>
      </w:pPr>
      <w:r>
        <w:rPr/>
        <w:t>氧气储罐与机器间的隔墙耐火极限不应低于 1.5h，氧气储罐与机器间之间的联络门应采用甲级防火门。  </w:t>
      </w:r>
      <w:r>
        <w:rPr>
          <w:w w:val="100"/>
        </w:rPr>
        <w:t> </w:t>
      </w:r>
    </w:p>
    <w:p>
      <w:pPr>
        <w:pStyle w:val="ListParagraph"/>
        <w:numPr>
          <w:ilvl w:val="2"/>
          <w:numId w:val="837"/>
        </w:numPr>
        <w:tabs>
          <w:tab w:pos="1478" w:val="left" w:leader="none"/>
        </w:tabs>
        <w:spacing w:line="446" w:lineRule="auto" w:before="0" w:after="0"/>
        <w:ind w:left="418" w:right="1498" w:firstLine="422"/>
        <w:jc w:val="left"/>
        <w:rPr>
          <w:sz w:val="21"/>
        </w:rPr>
      </w:pPr>
      <w:r>
        <w:rPr>
          <w:spacing w:val="-6"/>
          <w:sz w:val="21"/>
        </w:rPr>
        <w:t>采用液氧供氧方式时，大于 </w:t>
      </w:r>
      <w:r>
        <w:rPr>
          <w:sz w:val="21"/>
        </w:rPr>
        <w:t>500L</w:t>
      </w:r>
      <w:r>
        <w:rPr>
          <w:spacing w:val="-8"/>
          <w:sz w:val="21"/>
        </w:rPr>
        <w:t> 的液氧罐应放在室外。室外液氧罐与办公室、病房</w:t>
      </w:r>
      <w:r>
        <w:rPr>
          <w:spacing w:val="-7"/>
          <w:sz w:val="21"/>
        </w:rPr>
        <w:t>、公共场所及繁华道路的距离应大于 </w:t>
      </w:r>
      <w:r>
        <w:rPr>
          <w:sz w:val="21"/>
        </w:rPr>
        <w:t>7.50m。 </w:t>
      </w:r>
      <w:r>
        <w:rPr>
          <w:spacing w:val="-2"/>
          <w:sz w:val="21"/>
        </w:rPr>
        <w:t> </w:t>
      </w:r>
      <w:r>
        <w:rPr>
          <w:w w:val="100"/>
          <w:sz w:val="21"/>
        </w:rPr>
        <w:t> </w:t>
      </w:r>
    </w:p>
    <w:p>
      <w:pPr>
        <w:pStyle w:val="ListParagraph"/>
        <w:numPr>
          <w:ilvl w:val="2"/>
          <w:numId w:val="837"/>
        </w:numPr>
        <w:tabs>
          <w:tab w:pos="1583" w:val="left" w:leader="none"/>
        </w:tabs>
        <w:spacing w:line="267" w:lineRule="exact" w:before="0" w:after="0"/>
        <w:ind w:left="1582" w:right="0" w:hanging="743"/>
        <w:jc w:val="left"/>
        <w:rPr>
          <w:sz w:val="21"/>
        </w:rPr>
      </w:pPr>
      <w:r>
        <w:rPr>
          <w:spacing w:val="-3"/>
          <w:sz w:val="21"/>
        </w:rPr>
        <w:t>负压吸引机房应单独设置，其排放气体应经过处理后排入大气。 </w:t>
      </w:r>
      <w:r>
        <w:rPr>
          <w:spacing w:val="-2"/>
          <w:sz w:val="21"/>
        </w:rPr>
        <w:t> </w:t>
      </w:r>
      <w:r>
        <w:rPr>
          <w:w w:val="100"/>
          <w:sz w:val="21"/>
        </w:rPr>
        <w:t> </w:t>
      </w:r>
    </w:p>
    <w:p>
      <w:pPr>
        <w:pStyle w:val="BodyText"/>
        <w:spacing w:before="12"/>
        <w:rPr>
          <w:sz w:val="17"/>
        </w:rPr>
      </w:pPr>
    </w:p>
    <w:p>
      <w:pPr>
        <w:pStyle w:val="ListParagraph"/>
        <w:numPr>
          <w:ilvl w:val="1"/>
          <w:numId w:val="837"/>
        </w:numPr>
        <w:tabs>
          <w:tab w:pos="1264" w:val="left" w:leader="none"/>
        </w:tabs>
        <w:spacing w:line="240" w:lineRule="auto" w:before="0" w:after="0"/>
        <w:ind w:left="1263" w:right="0" w:hanging="424"/>
        <w:jc w:val="left"/>
        <w:rPr>
          <w:b/>
          <w:sz w:val="21"/>
        </w:rPr>
      </w:pPr>
      <w:r>
        <w:rPr>
          <w:spacing w:val="-3"/>
          <w:sz w:val="21"/>
        </w:rPr>
        <w:t>气体配管</w:t>
      </w:r>
      <w:r>
        <w:rPr>
          <w:b/>
          <w:w w:val="99"/>
          <w:sz w:val="21"/>
        </w:rPr>
        <w:t> </w:t>
      </w:r>
    </w:p>
    <w:p>
      <w:pPr>
        <w:pStyle w:val="BodyText"/>
        <w:rPr>
          <w:b/>
          <w:sz w:val="18"/>
        </w:rPr>
      </w:pPr>
    </w:p>
    <w:p>
      <w:pPr>
        <w:pStyle w:val="ListParagraph"/>
        <w:numPr>
          <w:ilvl w:val="2"/>
          <w:numId w:val="837"/>
        </w:numPr>
        <w:tabs>
          <w:tab w:pos="1478" w:val="left" w:leader="none"/>
        </w:tabs>
        <w:spacing w:line="446" w:lineRule="auto" w:before="0" w:after="0"/>
        <w:ind w:left="418" w:right="1601" w:firstLine="422"/>
        <w:jc w:val="left"/>
        <w:rPr>
          <w:sz w:val="21"/>
        </w:rPr>
      </w:pPr>
      <w:r>
        <w:rPr>
          <w:spacing w:val="-3"/>
          <w:sz w:val="21"/>
        </w:rPr>
        <w:t>医用气体管道应选用紫铜管或不锈钢管，负压吸引和手术室废气排放输送管可采用镀锌钢管。管道、阀门和仪表附件安装前应进行脱脂处理。</w:t>
      </w:r>
      <w:r>
        <w:rPr>
          <w:sz w:val="21"/>
        </w:rPr>
        <w:t> </w:t>
      </w:r>
    </w:p>
    <w:p>
      <w:pPr>
        <w:pStyle w:val="ListParagraph"/>
        <w:numPr>
          <w:ilvl w:val="2"/>
          <w:numId w:val="837"/>
        </w:numPr>
        <w:tabs>
          <w:tab w:pos="1478" w:val="left" w:leader="none"/>
        </w:tabs>
        <w:spacing w:line="446" w:lineRule="auto" w:before="0" w:after="0"/>
        <w:ind w:left="418" w:right="1601" w:firstLine="422"/>
        <w:jc w:val="left"/>
        <w:rPr>
          <w:sz w:val="21"/>
        </w:rPr>
      </w:pPr>
      <w:r>
        <w:rPr>
          <w:spacing w:val="-3"/>
          <w:sz w:val="21"/>
        </w:rPr>
        <w:t>供氧管道不应与电缆、腐蚀性气体和可燃气体管道敷设在同一管道井或地沟内。敷设有供氧管道的管道井，宜有良好通风。</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37"/>
        </w:numPr>
        <w:tabs>
          <w:tab w:pos="1478" w:val="left" w:leader="none"/>
        </w:tabs>
        <w:spacing w:line="446" w:lineRule="auto" w:before="47" w:after="0"/>
        <w:ind w:left="418" w:right="1608" w:firstLine="422"/>
        <w:jc w:val="left"/>
        <w:rPr>
          <w:sz w:val="21"/>
        </w:rPr>
      </w:pPr>
      <w:r>
        <w:rPr>
          <w:spacing w:val="-3"/>
          <w:sz w:val="21"/>
        </w:rPr>
        <w:t>氧气管道架空时，可与各种气体、液体(包括燃气、燃油)管道共架敷设。共架 时，氧气管道宜布置在其他管道外侧，并宜布置在燃油管道上面。供应洁净手术部的医用气体管道应单独设支吊架。</w:t>
      </w:r>
      <w:r>
        <w:rPr>
          <w:sz w:val="21"/>
        </w:rPr>
        <w:t> </w:t>
      </w:r>
    </w:p>
    <w:p>
      <w:pPr>
        <w:pStyle w:val="ListParagraph"/>
        <w:numPr>
          <w:ilvl w:val="2"/>
          <w:numId w:val="837"/>
        </w:numPr>
        <w:tabs>
          <w:tab w:pos="1478" w:val="left" w:leader="none"/>
        </w:tabs>
        <w:spacing w:line="268" w:lineRule="exact" w:before="0" w:after="0"/>
        <w:ind w:left="1477" w:right="0" w:hanging="638"/>
        <w:jc w:val="left"/>
        <w:rPr>
          <w:sz w:val="21"/>
        </w:rPr>
      </w:pPr>
      <w:r>
        <w:rPr>
          <w:spacing w:val="-3"/>
          <w:sz w:val="21"/>
        </w:rPr>
        <w:t>除氧气管道专用的导电线外，其他导电线不应与氧气管道敷设在同一支架上。 </w:t>
      </w:r>
    </w:p>
    <w:p>
      <w:pPr>
        <w:pStyle w:val="BodyText"/>
        <w:rPr>
          <w:sz w:val="18"/>
        </w:rPr>
      </w:pPr>
    </w:p>
    <w:p>
      <w:pPr>
        <w:pStyle w:val="ListParagraph"/>
        <w:numPr>
          <w:ilvl w:val="2"/>
          <w:numId w:val="837"/>
        </w:numPr>
        <w:tabs>
          <w:tab w:pos="1478" w:val="left" w:leader="none"/>
        </w:tabs>
        <w:spacing w:line="446" w:lineRule="auto" w:before="0" w:after="0"/>
        <w:ind w:left="418" w:right="1500" w:firstLine="422"/>
        <w:jc w:val="left"/>
        <w:rPr>
          <w:sz w:val="21"/>
        </w:rPr>
      </w:pPr>
      <w:r>
        <w:rPr>
          <w:spacing w:val="-5"/>
          <w:sz w:val="21"/>
        </w:rPr>
        <w:t>氧气管与其他管线之间距离应符合表 </w:t>
      </w:r>
      <w:r>
        <w:rPr>
          <w:sz w:val="21"/>
        </w:rPr>
        <w:t>10.3.5</w:t>
      </w:r>
      <w:r>
        <w:rPr>
          <w:spacing w:val="-8"/>
          <w:sz w:val="21"/>
        </w:rPr>
        <w:t> 的规定，当间距无法满足时，应采取安</w:t>
      </w:r>
      <w:r>
        <w:rPr>
          <w:spacing w:val="-4"/>
          <w:sz w:val="21"/>
        </w:rPr>
        <w:t>全可靠的技术措施。</w:t>
      </w:r>
      <w:r>
        <w:rPr>
          <w:sz w:val="21"/>
        </w:rPr>
        <w:t> </w:t>
      </w:r>
    </w:p>
    <w:p>
      <w:pPr>
        <w:pStyle w:val="Heading6"/>
        <w:ind w:left="2941"/>
      </w:pPr>
      <w:r>
        <w:rPr/>
        <w:t>表 10.3.5 氧气管与其他管线之间距离</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28"/>
        </w:rPr>
      </w:pPr>
      <w:r>
        <w:rPr/>
        <w:drawing>
          <wp:anchor distT="0" distB="0" distL="0" distR="0" allowOverlap="1" layoutInCell="1" locked="0" behindDoc="0" simplePos="0" relativeHeight="278">
            <wp:simplePos x="0" y="0"/>
            <wp:positionH relativeFrom="page">
              <wp:posOffset>1303655</wp:posOffset>
            </wp:positionH>
            <wp:positionV relativeFrom="paragraph">
              <wp:posOffset>254563</wp:posOffset>
            </wp:positionV>
            <wp:extent cx="4600680" cy="1871376"/>
            <wp:effectExtent l="0" t="0" r="0" b="0"/>
            <wp:wrapTopAndBottom/>
            <wp:docPr id="651" name="image376.jpeg"/>
            <wp:cNvGraphicFramePr>
              <a:graphicFrameLocks noChangeAspect="1"/>
            </wp:cNvGraphicFramePr>
            <a:graphic>
              <a:graphicData uri="http://schemas.openxmlformats.org/drawingml/2006/picture">
                <pic:pic>
                  <pic:nvPicPr>
                    <pic:cNvPr id="652" name="image376.jpeg"/>
                    <pic:cNvPicPr/>
                  </pic:nvPicPr>
                  <pic:blipFill>
                    <a:blip r:embed="rId460" cstate="print"/>
                    <a:stretch>
                      <a:fillRect/>
                    </a:stretch>
                  </pic:blipFill>
                  <pic:spPr>
                    <a:xfrm>
                      <a:off x="0" y="0"/>
                      <a:ext cx="4600680" cy="1871376"/>
                    </a:xfrm>
                    <a:prstGeom prst="rect">
                      <a:avLst/>
                    </a:prstGeom>
                  </pic:spPr>
                </pic:pic>
              </a:graphicData>
            </a:graphic>
          </wp:anchor>
        </w:drawing>
      </w:r>
    </w:p>
    <w:p>
      <w:pPr>
        <w:pStyle w:val="BodyText"/>
        <w:rPr>
          <w:b/>
          <w:sz w:val="20"/>
        </w:rPr>
      </w:pPr>
    </w:p>
    <w:p>
      <w:pPr>
        <w:pStyle w:val="BodyText"/>
        <w:spacing w:before="8"/>
        <w:rPr>
          <w:b/>
          <w:sz w:val="25"/>
        </w:rPr>
      </w:pPr>
    </w:p>
    <w:p>
      <w:pPr>
        <w:pStyle w:val="ListParagraph"/>
        <w:numPr>
          <w:ilvl w:val="2"/>
          <w:numId w:val="837"/>
        </w:numPr>
        <w:tabs>
          <w:tab w:pos="1478" w:val="left" w:leader="none"/>
        </w:tabs>
        <w:spacing w:line="240" w:lineRule="auto" w:before="71" w:after="0"/>
        <w:ind w:left="1477" w:right="0" w:hanging="638"/>
        <w:jc w:val="both"/>
        <w:rPr>
          <w:sz w:val="21"/>
        </w:rPr>
      </w:pPr>
      <w:r>
        <w:rPr>
          <w:spacing w:val="-3"/>
          <w:sz w:val="21"/>
        </w:rPr>
        <w:t>病区及洁净手术部内的氧气干管上，应设置手动紧急切断气源的装置。 </w:t>
      </w:r>
    </w:p>
    <w:p>
      <w:pPr>
        <w:pStyle w:val="BodyText"/>
        <w:rPr>
          <w:sz w:val="18"/>
        </w:rPr>
      </w:pPr>
    </w:p>
    <w:p>
      <w:pPr>
        <w:pStyle w:val="ListParagraph"/>
        <w:numPr>
          <w:ilvl w:val="2"/>
          <w:numId w:val="837"/>
        </w:numPr>
        <w:tabs>
          <w:tab w:pos="1478" w:val="left" w:leader="none"/>
        </w:tabs>
        <w:spacing w:line="446" w:lineRule="auto" w:before="0" w:after="0"/>
        <w:ind w:left="418" w:right="1601" w:firstLine="422"/>
        <w:jc w:val="both"/>
        <w:rPr>
          <w:sz w:val="21"/>
        </w:rPr>
      </w:pPr>
      <w:r>
        <w:rPr>
          <w:spacing w:val="-3"/>
          <w:sz w:val="21"/>
        </w:rPr>
        <w:t>穿过墙壁、楼板的氧气管道应敷设在套管内，并应用石棉或其他不燃材料将套管间隙填实。氧气管道不宜穿过不使用氧气的房间，必须通过时，在房间内的管道上不应有法兰或螺纹连接接口。</w:t>
      </w:r>
      <w:r>
        <w:rPr>
          <w:sz w:val="21"/>
        </w:rPr>
        <w:t> </w:t>
      </w:r>
    </w:p>
    <w:p>
      <w:pPr>
        <w:pStyle w:val="ListParagraph"/>
        <w:numPr>
          <w:ilvl w:val="2"/>
          <w:numId w:val="837"/>
        </w:numPr>
        <w:tabs>
          <w:tab w:pos="1478" w:val="left" w:leader="none"/>
        </w:tabs>
        <w:spacing w:line="268" w:lineRule="exact" w:before="0" w:after="0"/>
        <w:ind w:left="1477" w:right="0" w:hanging="638"/>
        <w:jc w:val="both"/>
        <w:rPr>
          <w:sz w:val="21"/>
        </w:rPr>
      </w:pPr>
      <w:r>
        <w:rPr>
          <w:spacing w:val="-3"/>
          <w:sz w:val="21"/>
        </w:rPr>
        <w:t>医用气体管道应做导静电接地装置。</w:t>
      </w:r>
      <w:r>
        <w:rPr>
          <w:sz w:val="21"/>
        </w:rPr>
        <w:t> </w:t>
      </w:r>
    </w:p>
    <w:p>
      <w:pPr>
        <w:pStyle w:val="BodyText"/>
        <w:spacing w:before="2"/>
        <w:rPr>
          <w:sz w:val="18"/>
        </w:rPr>
      </w:pPr>
    </w:p>
    <w:p>
      <w:pPr>
        <w:pStyle w:val="ListParagraph"/>
        <w:numPr>
          <w:ilvl w:val="2"/>
          <w:numId w:val="837"/>
        </w:numPr>
        <w:tabs>
          <w:tab w:pos="1478" w:val="left" w:leader="none"/>
        </w:tabs>
        <w:spacing w:line="240" w:lineRule="auto" w:before="0" w:after="0"/>
        <w:ind w:left="1477" w:right="0" w:hanging="638"/>
        <w:jc w:val="both"/>
        <w:rPr>
          <w:sz w:val="21"/>
        </w:rPr>
      </w:pPr>
      <w:r>
        <w:rPr>
          <w:spacing w:val="-3"/>
          <w:sz w:val="21"/>
        </w:rPr>
        <w:t>医用气体管道与支吊架接触处，应做防静电腐蚀绝缘处理。</w:t>
      </w:r>
      <w:r>
        <w:rPr>
          <w:sz w:val="21"/>
        </w:rPr>
        <w:t> </w:t>
      </w:r>
    </w:p>
    <w:p>
      <w:pPr>
        <w:pStyle w:val="BodyText"/>
        <w:spacing w:before="12"/>
        <w:rPr>
          <w:sz w:val="17"/>
        </w:rPr>
      </w:pPr>
    </w:p>
    <w:p>
      <w:pPr>
        <w:pStyle w:val="ListParagraph"/>
        <w:numPr>
          <w:ilvl w:val="2"/>
          <w:numId w:val="837"/>
        </w:numPr>
        <w:tabs>
          <w:tab w:pos="1583" w:val="left" w:leader="none"/>
        </w:tabs>
        <w:spacing w:line="240" w:lineRule="auto" w:before="0" w:after="0"/>
        <w:ind w:left="1582" w:right="0" w:hanging="743"/>
        <w:jc w:val="both"/>
        <w:rPr>
          <w:sz w:val="21"/>
        </w:rPr>
      </w:pPr>
      <w:r>
        <w:rPr>
          <w:spacing w:val="-3"/>
          <w:sz w:val="21"/>
        </w:rPr>
        <w:t>含湿医用气体管道，应采取防冻措施。</w:t>
      </w:r>
      <w:r>
        <w:rPr>
          <w:sz w:val="21"/>
        </w:rPr>
        <w:t> </w:t>
      </w:r>
    </w:p>
    <w:p>
      <w:pPr>
        <w:pStyle w:val="BodyText"/>
        <w:spacing w:before="12"/>
        <w:rPr>
          <w:sz w:val="17"/>
        </w:rPr>
      </w:pPr>
    </w:p>
    <w:p>
      <w:pPr>
        <w:pStyle w:val="ListParagraph"/>
        <w:numPr>
          <w:ilvl w:val="2"/>
          <w:numId w:val="837"/>
        </w:numPr>
        <w:tabs>
          <w:tab w:pos="1583" w:val="left" w:leader="none"/>
        </w:tabs>
        <w:spacing w:line="240" w:lineRule="auto" w:before="0" w:after="0"/>
        <w:ind w:left="1582" w:right="0" w:hanging="743"/>
        <w:jc w:val="both"/>
        <w:rPr>
          <w:sz w:val="21"/>
        </w:rPr>
      </w:pPr>
      <w:r>
        <w:rPr>
          <w:spacing w:val="-6"/>
          <w:sz w:val="21"/>
        </w:rPr>
        <w:t>医用真空管道，应坡向总管和缓冲罐，坡度不应小于 </w:t>
      </w:r>
      <w:r>
        <w:rPr>
          <w:sz w:val="21"/>
        </w:rPr>
        <w:t>2</w:t>
      </w:r>
      <w:r>
        <w:rPr>
          <w:spacing w:val="-2"/>
          <w:sz w:val="21"/>
        </w:rPr>
        <w:t>‰。</w:t>
      </w:r>
      <w:r>
        <w:rPr>
          <w:sz w:val="21"/>
        </w:rPr>
        <w:t> </w:t>
      </w:r>
    </w:p>
    <w:p>
      <w:pPr>
        <w:pStyle w:val="BodyText"/>
        <w:spacing w:before="2"/>
        <w:rPr>
          <w:sz w:val="18"/>
        </w:rPr>
      </w:pPr>
    </w:p>
    <w:p>
      <w:pPr>
        <w:pStyle w:val="ListParagraph"/>
        <w:numPr>
          <w:ilvl w:val="1"/>
          <w:numId w:val="837"/>
        </w:numPr>
        <w:tabs>
          <w:tab w:pos="1264" w:val="left" w:leader="none"/>
        </w:tabs>
        <w:spacing w:line="240" w:lineRule="auto" w:before="1" w:after="0"/>
        <w:ind w:left="1263" w:right="0" w:hanging="424"/>
        <w:jc w:val="left"/>
        <w:rPr>
          <w:sz w:val="21"/>
        </w:rPr>
      </w:pPr>
      <w:r>
        <w:rPr>
          <w:spacing w:val="-3"/>
          <w:sz w:val="21"/>
        </w:rPr>
        <w:t>医用气体终端</w:t>
      </w:r>
      <w:r>
        <w:rPr>
          <w:sz w:val="21"/>
        </w:rPr>
        <w:t> </w:t>
      </w:r>
    </w:p>
    <w:p>
      <w:pPr>
        <w:pStyle w:val="BodyText"/>
        <w:spacing w:before="12"/>
        <w:rPr>
          <w:sz w:val="17"/>
        </w:rPr>
      </w:pPr>
    </w:p>
    <w:p>
      <w:pPr>
        <w:pStyle w:val="ListParagraph"/>
        <w:numPr>
          <w:ilvl w:val="2"/>
          <w:numId w:val="837"/>
        </w:numPr>
        <w:tabs>
          <w:tab w:pos="1478" w:val="left" w:leader="none"/>
        </w:tabs>
        <w:spacing w:line="240" w:lineRule="auto" w:before="0" w:after="0"/>
        <w:ind w:left="1477" w:right="0" w:hanging="638"/>
        <w:jc w:val="left"/>
        <w:rPr>
          <w:b/>
          <w:sz w:val="21"/>
        </w:rPr>
      </w:pPr>
      <w:r>
        <w:rPr>
          <w:spacing w:val="-3"/>
          <w:sz w:val="21"/>
        </w:rPr>
        <w:t>医用气体管终端应安全可靠，终端内部应清洁且密封良好。</w:t>
      </w:r>
      <w:r>
        <w:rPr>
          <w:b/>
          <w:w w:val="99"/>
          <w:sz w:val="21"/>
        </w:rPr>
        <w:t> </w:t>
      </w:r>
    </w:p>
    <w:p>
      <w:pPr>
        <w:pStyle w:val="BodyText"/>
        <w:spacing w:before="12"/>
        <w:rPr>
          <w:b/>
          <w:sz w:val="17"/>
        </w:rPr>
      </w:pPr>
    </w:p>
    <w:p>
      <w:pPr>
        <w:pStyle w:val="ListParagraph"/>
        <w:numPr>
          <w:ilvl w:val="2"/>
          <w:numId w:val="837"/>
        </w:numPr>
        <w:tabs>
          <w:tab w:pos="1478" w:val="left" w:leader="none"/>
        </w:tabs>
        <w:spacing w:line="240" w:lineRule="auto" w:before="0" w:after="0"/>
        <w:ind w:left="1477" w:right="0" w:hanging="638"/>
        <w:jc w:val="left"/>
        <w:rPr>
          <w:b/>
          <w:sz w:val="21"/>
        </w:rPr>
      </w:pPr>
      <w:r>
        <w:rPr>
          <w:spacing w:val="-7"/>
          <w:sz w:val="21"/>
        </w:rPr>
        <w:t>医用气体的终端压力应符合表 </w:t>
      </w:r>
      <w:r>
        <w:rPr>
          <w:sz w:val="21"/>
        </w:rPr>
        <w:t>10.4.2</w:t>
      </w:r>
      <w:r>
        <w:rPr>
          <w:spacing w:val="-13"/>
          <w:sz w:val="21"/>
        </w:rPr>
        <w:t> 的规定。</w:t>
      </w:r>
      <w:r>
        <w:rPr>
          <w:b/>
          <w:w w:val="99"/>
          <w:sz w:val="21"/>
        </w:rPr>
        <w:t> </w:t>
      </w:r>
    </w:p>
    <w:p>
      <w:pPr>
        <w:spacing w:after="0" w:line="240" w:lineRule="auto"/>
        <w:jc w:val="left"/>
        <w:rPr>
          <w:sz w:val="21"/>
        </w:rPr>
        <w:sectPr>
          <w:pgSz w:w="11910" w:h="16850"/>
          <w:pgMar w:header="0" w:footer="1239" w:top="1220" w:bottom="1420" w:left="1260" w:right="0"/>
        </w:sectPr>
      </w:pPr>
    </w:p>
    <w:p>
      <w:pPr>
        <w:pStyle w:val="Heading6"/>
        <w:spacing w:before="47"/>
        <w:ind w:right="912"/>
        <w:jc w:val="center"/>
      </w:pPr>
      <w:r>
        <w:rPr/>
        <w:t>表 10.4.2  医用气体的终端压力</w:t>
      </w:r>
      <w:r>
        <w:rPr>
          <w:w w:val="99"/>
        </w:rPr>
        <w:t> </w:t>
      </w:r>
    </w:p>
    <w:p>
      <w:pPr>
        <w:pStyle w:val="BodyText"/>
        <w:rPr>
          <w:b/>
          <w:sz w:val="23"/>
        </w:rPr>
      </w:pPr>
      <w:r>
        <w:rPr/>
        <w:drawing>
          <wp:anchor distT="0" distB="0" distL="0" distR="0" allowOverlap="1" layoutInCell="1" locked="0" behindDoc="0" simplePos="0" relativeHeight="279">
            <wp:simplePos x="0" y="0"/>
            <wp:positionH relativeFrom="page">
              <wp:posOffset>1314450</wp:posOffset>
            </wp:positionH>
            <wp:positionV relativeFrom="paragraph">
              <wp:posOffset>212177</wp:posOffset>
            </wp:positionV>
            <wp:extent cx="4639714" cy="1628775"/>
            <wp:effectExtent l="0" t="0" r="0" b="0"/>
            <wp:wrapTopAndBottom/>
            <wp:docPr id="653" name="image377.jpeg"/>
            <wp:cNvGraphicFramePr>
              <a:graphicFrameLocks noChangeAspect="1"/>
            </wp:cNvGraphicFramePr>
            <a:graphic>
              <a:graphicData uri="http://schemas.openxmlformats.org/drawingml/2006/picture">
                <pic:pic>
                  <pic:nvPicPr>
                    <pic:cNvPr id="654" name="image377.jpeg"/>
                    <pic:cNvPicPr/>
                  </pic:nvPicPr>
                  <pic:blipFill>
                    <a:blip r:embed="rId461" cstate="print"/>
                    <a:stretch>
                      <a:fillRect/>
                    </a:stretch>
                  </pic:blipFill>
                  <pic:spPr>
                    <a:xfrm>
                      <a:off x="0" y="0"/>
                      <a:ext cx="4639714" cy="1628775"/>
                    </a:xfrm>
                    <a:prstGeom prst="rect">
                      <a:avLst/>
                    </a:prstGeom>
                  </pic:spPr>
                </pic:pic>
              </a:graphicData>
            </a:graphic>
          </wp:anchor>
        </w:drawing>
      </w:r>
    </w:p>
    <w:p>
      <w:pPr>
        <w:spacing w:before="149"/>
        <w:ind w:left="418" w:right="0" w:firstLine="0"/>
        <w:jc w:val="left"/>
        <w:rPr>
          <w:b/>
          <w:sz w:val="24"/>
        </w:rPr>
      </w:pPr>
      <w:r>
        <w:rPr>
          <w:b/>
          <w:sz w:val="24"/>
        </w:rPr>
        <w:t>11 蒸气系统</w:t>
      </w:r>
      <w:r>
        <w:rPr>
          <w:b/>
          <w:w w:val="99"/>
          <w:sz w:val="24"/>
        </w:rPr>
        <w:t> </w:t>
      </w:r>
    </w:p>
    <w:p>
      <w:pPr>
        <w:pStyle w:val="BodyText"/>
        <w:spacing w:before="3"/>
        <w:rPr>
          <w:b/>
          <w:sz w:val="17"/>
        </w:rPr>
      </w:pPr>
    </w:p>
    <w:p>
      <w:pPr>
        <w:pStyle w:val="ListParagraph"/>
        <w:numPr>
          <w:ilvl w:val="1"/>
          <w:numId w:val="838"/>
        </w:numPr>
        <w:tabs>
          <w:tab w:pos="842" w:val="left" w:leader="none"/>
        </w:tabs>
        <w:spacing w:line="446" w:lineRule="auto" w:before="0" w:after="0"/>
        <w:ind w:left="418" w:right="1316" w:firstLine="0"/>
        <w:jc w:val="left"/>
        <w:rPr>
          <w:b/>
          <w:sz w:val="24"/>
        </w:rPr>
      </w:pPr>
      <w:r>
        <w:rPr>
          <w:spacing w:val="-5"/>
          <w:sz w:val="21"/>
        </w:rPr>
        <w:t>医院宜设置蒸气系统。蒸气可用于消毒供应、食品加工、配餐、洗衣、生活热水换热、污洗 </w:t>
      </w:r>
      <w:r>
        <w:rPr>
          <w:spacing w:val="-19"/>
          <w:sz w:val="21"/>
        </w:rPr>
        <w:t>、空气加湿等。当消毒供应、空气加湿采用蒸气时，应在使用点前的管道上设置过滤除污装置。</w:t>
      </w:r>
      <w:r>
        <w:rPr>
          <w:b/>
          <w:w w:val="99"/>
          <w:sz w:val="24"/>
        </w:rPr>
        <w:t> </w:t>
      </w:r>
    </w:p>
    <w:p>
      <w:pPr>
        <w:pStyle w:val="ListParagraph"/>
        <w:numPr>
          <w:ilvl w:val="1"/>
          <w:numId w:val="838"/>
        </w:numPr>
        <w:tabs>
          <w:tab w:pos="1264" w:val="left" w:leader="none"/>
        </w:tabs>
        <w:spacing w:line="446" w:lineRule="auto" w:before="0" w:after="0"/>
        <w:ind w:left="418" w:right="1505" w:firstLine="422"/>
        <w:jc w:val="left"/>
        <w:rPr>
          <w:sz w:val="21"/>
        </w:rPr>
      </w:pPr>
      <w:r>
        <w:rPr>
          <w:spacing w:val="-6"/>
          <w:sz w:val="21"/>
        </w:rPr>
        <w:t>中心(消毒)供应室消耗蒸气的量宜按 </w:t>
      </w:r>
      <w:r>
        <w:rPr>
          <w:sz w:val="21"/>
        </w:rPr>
        <w:t>2kg／h·床～2.5kg／h·</w:t>
      </w:r>
      <w:r>
        <w:rPr>
          <w:spacing w:val="-3"/>
          <w:sz w:val="21"/>
        </w:rPr>
        <w:t>床计算，其他的蒸气用量应根据具体情况确定。中心(消毒)供应室蒸气凝结水宜集中回收处理后，排至城市污水。</w:t>
      </w:r>
      <w:r>
        <w:rPr>
          <w:sz w:val="21"/>
        </w:rPr>
        <w:t> </w:t>
      </w:r>
    </w:p>
    <w:p>
      <w:pPr>
        <w:pStyle w:val="ListParagraph"/>
        <w:numPr>
          <w:ilvl w:val="1"/>
          <w:numId w:val="838"/>
        </w:numPr>
        <w:tabs>
          <w:tab w:pos="1264" w:val="left" w:leader="none"/>
        </w:tabs>
        <w:spacing w:line="267" w:lineRule="exact" w:before="0" w:after="0"/>
        <w:ind w:left="1263" w:right="0" w:hanging="424"/>
        <w:jc w:val="left"/>
        <w:rPr>
          <w:b/>
          <w:sz w:val="21"/>
        </w:rPr>
      </w:pPr>
      <w:r>
        <w:rPr>
          <w:spacing w:val="-8"/>
          <w:sz w:val="21"/>
        </w:rPr>
        <w:t>蒸气供应压力应符合表 </w:t>
      </w:r>
      <w:r>
        <w:rPr>
          <w:sz w:val="21"/>
        </w:rPr>
        <w:t>11.0.3</w:t>
      </w:r>
      <w:r>
        <w:rPr>
          <w:spacing w:val="-13"/>
          <w:sz w:val="21"/>
        </w:rPr>
        <w:t> 的规定。</w:t>
      </w:r>
      <w:r>
        <w:rPr>
          <w:b/>
          <w:w w:val="99"/>
          <w:sz w:val="21"/>
        </w:rPr>
        <w:t> </w:t>
      </w:r>
    </w:p>
    <w:p>
      <w:pPr>
        <w:pStyle w:val="BodyText"/>
        <w:spacing w:before="2"/>
        <w:rPr>
          <w:b/>
          <w:sz w:val="18"/>
        </w:rPr>
      </w:pPr>
    </w:p>
    <w:p>
      <w:pPr>
        <w:pStyle w:val="Heading6"/>
        <w:spacing w:before="1"/>
        <w:ind w:right="914"/>
        <w:jc w:val="center"/>
      </w:pPr>
      <w:r>
        <w:rPr/>
        <w:drawing>
          <wp:anchor distT="0" distB="0" distL="0" distR="0" allowOverlap="1" layoutInCell="1" locked="0" behindDoc="0" simplePos="0" relativeHeight="280">
            <wp:simplePos x="0" y="0"/>
            <wp:positionH relativeFrom="page">
              <wp:posOffset>1484630</wp:posOffset>
            </wp:positionH>
            <wp:positionV relativeFrom="paragraph">
              <wp:posOffset>250062</wp:posOffset>
            </wp:positionV>
            <wp:extent cx="4633306" cy="1019175"/>
            <wp:effectExtent l="0" t="0" r="0" b="0"/>
            <wp:wrapTopAndBottom/>
            <wp:docPr id="655" name="image378.jpeg"/>
            <wp:cNvGraphicFramePr>
              <a:graphicFrameLocks noChangeAspect="1"/>
            </wp:cNvGraphicFramePr>
            <a:graphic>
              <a:graphicData uri="http://schemas.openxmlformats.org/drawingml/2006/picture">
                <pic:pic>
                  <pic:nvPicPr>
                    <pic:cNvPr id="656" name="image378.jpeg"/>
                    <pic:cNvPicPr/>
                  </pic:nvPicPr>
                  <pic:blipFill>
                    <a:blip r:embed="rId462" cstate="print"/>
                    <a:stretch>
                      <a:fillRect/>
                    </a:stretch>
                  </pic:blipFill>
                  <pic:spPr>
                    <a:xfrm>
                      <a:off x="0" y="0"/>
                      <a:ext cx="4633306" cy="1019175"/>
                    </a:xfrm>
                    <a:prstGeom prst="rect">
                      <a:avLst/>
                    </a:prstGeom>
                  </pic:spPr>
                </pic:pic>
              </a:graphicData>
            </a:graphic>
          </wp:anchor>
        </w:drawing>
      </w:r>
      <w:r>
        <w:rPr/>
        <w:t>表 11.0.3  蒸气供应压力</w:t>
      </w:r>
      <w:r>
        <w:rPr>
          <w:w w:val="99"/>
        </w:rPr>
        <w:t> </w:t>
      </w:r>
    </w:p>
    <w:p>
      <w:pPr>
        <w:pStyle w:val="ListParagraph"/>
        <w:numPr>
          <w:ilvl w:val="1"/>
          <w:numId w:val="838"/>
        </w:numPr>
        <w:tabs>
          <w:tab w:pos="1264" w:val="left" w:leader="none"/>
        </w:tabs>
        <w:spacing w:line="446" w:lineRule="auto" w:before="179" w:after="0"/>
        <w:ind w:left="418" w:right="1505" w:firstLine="422"/>
        <w:jc w:val="left"/>
        <w:rPr>
          <w:sz w:val="21"/>
        </w:rPr>
      </w:pPr>
      <w:r>
        <w:rPr>
          <w:spacing w:val="-3"/>
          <w:sz w:val="21"/>
        </w:rPr>
        <w:t>蒸气、蒸气凝结水管道及设备应采取保温措施。有关设备、管道和附件的保温计  算、材料选择及结构要求，可按现行国家标准《设备及管道绝热技术通则》</w:t>
      </w:r>
      <w:r>
        <w:rPr>
          <w:sz w:val="21"/>
        </w:rPr>
        <w:t>GB／T</w:t>
      </w:r>
      <w:r>
        <w:rPr>
          <w:spacing w:val="18"/>
          <w:sz w:val="21"/>
        </w:rPr>
        <w:t> </w:t>
      </w:r>
      <w:r>
        <w:rPr>
          <w:sz w:val="21"/>
        </w:rPr>
        <w:t>4272</w:t>
      </w:r>
      <w:r>
        <w:rPr>
          <w:spacing w:val="-2"/>
          <w:sz w:val="21"/>
        </w:rPr>
        <w:t>、《设备</w:t>
      </w:r>
      <w:r>
        <w:rPr>
          <w:spacing w:val="-3"/>
          <w:sz w:val="21"/>
        </w:rPr>
        <w:t>及管道绝热设计导则》</w:t>
      </w:r>
      <w:r>
        <w:rPr>
          <w:sz w:val="21"/>
        </w:rPr>
        <w:t>GB／T</w:t>
      </w:r>
      <w:r>
        <w:rPr>
          <w:spacing w:val="11"/>
          <w:sz w:val="21"/>
        </w:rPr>
        <w:t> </w:t>
      </w:r>
      <w:r>
        <w:rPr>
          <w:sz w:val="21"/>
        </w:rPr>
        <w:t>8175</w:t>
      </w:r>
      <w:r>
        <w:rPr>
          <w:spacing w:val="-8"/>
          <w:sz w:val="21"/>
        </w:rPr>
        <w:t> 和《工业设备及管道绝热工程设计规范》</w:t>
      </w:r>
      <w:r>
        <w:rPr>
          <w:sz w:val="21"/>
        </w:rPr>
        <w:t>GB</w:t>
      </w:r>
      <w:r>
        <w:rPr>
          <w:spacing w:val="12"/>
          <w:sz w:val="21"/>
        </w:rPr>
        <w:t> </w:t>
      </w:r>
      <w:r>
        <w:rPr>
          <w:sz w:val="21"/>
        </w:rPr>
        <w:t>50264</w:t>
      </w:r>
      <w:r>
        <w:rPr>
          <w:spacing w:val="-12"/>
          <w:sz w:val="21"/>
        </w:rPr>
        <w:t> 的有关规</w:t>
      </w:r>
      <w:r>
        <w:rPr>
          <w:spacing w:val="-6"/>
          <w:sz w:val="21"/>
        </w:rPr>
        <w:t>定设计。</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8"/>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306"/>
        <w:ind w:right="798"/>
        <w:rPr>
          <w:sz w:val="44"/>
        </w:rPr>
      </w:pPr>
      <w:bookmarkStart w:name="_bookmark30" w:id="31"/>
      <w:bookmarkEnd w:id="31"/>
      <w:r>
        <w:rPr>
          <w:b w:val="0"/>
        </w:rPr>
      </w:r>
      <w:hyperlink r:id="rId463">
        <w:r>
          <w:rPr/>
          <w:t>防火卷帘、防火门、防火窗施工及验收规范</w:t>
        </w:r>
      </w:hyperlink>
      <w:r>
        <w:rPr>
          <w:w w:val="99"/>
          <w:sz w:val="44"/>
        </w:rPr>
        <w:t> </w:t>
      </w:r>
    </w:p>
    <w:p>
      <w:pPr>
        <w:pStyle w:val="BodyText"/>
        <w:rPr>
          <w:b/>
          <w:sz w:val="20"/>
        </w:rPr>
      </w:pPr>
    </w:p>
    <w:p>
      <w:pPr>
        <w:pStyle w:val="BodyText"/>
        <w:spacing w:before="4"/>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839"/>
        </w:numPr>
        <w:tabs>
          <w:tab w:pos="1160" w:val="left" w:leader="none"/>
        </w:tabs>
        <w:spacing w:line="446" w:lineRule="auto" w:before="0" w:after="0"/>
        <w:ind w:left="418" w:right="1577" w:firstLine="422"/>
        <w:jc w:val="left"/>
        <w:rPr>
          <w:sz w:val="21"/>
        </w:rPr>
      </w:pPr>
      <w:r>
        <w:rPr>
          <w:spacing w:val="-8"/>
          <w:sz w:val="21"/>
        </w:rPr>
        <w:t>为保证防火卷帘、防火门、防火窗工程的施工质量和使用功能，减少火灾危害，保护人</w:t>
      </w:r>
      <w:r>
        <w:rPr>
          <w:spacing w:val="-7"/>
          <w:sz w:val="21"/>
        </w:rPr>
        <w:t>身和财产安全，制定本规范。</w:t>
      </w:r>
      <w:r>
        <w:rPr>
          <w:sz w:val="21"/>
        </w:rPr>
        <w:t> </w:t>
      </w:r>
    </w:p>
    <w:p>
      <w:pPr>
        <w:pStyle w:val="ListParagraph"/>
        <w:numPr>
          <w:ilvl w:val="1"/>
          <w:numId w:val="839"/>
        </w:numPr>
        <w:tabs>
          <w:tab w:pos="1159" w:val="left" w:leader="none"/>
        </w:tabs>
        <w:spacing w:line="240" w:lineRule="auto" w:before="17" w:after="0"/>
        <w:ind w:left="1158" w:right="0" w:hanging="319"/>
        <w:jc w:val="left"/>
        <w:rPr>
          <w:sz w:val="21"/>
        </w:rPr>
      </w:pPr>
      <w:r>
        <w:rPr>
          <w:spacing w:val="-8"/>
          <w:sz w:val="21"/>
        </w:rPr>
        <w:t>本规范适用于新建、扩建、改建工程中设置的防火卷帘、防火门、防火窗的施工、验</w:t>
      </w:r>
      <w:r>
        <w:rPr>
          <w:sz w:val="21"/>
        </w:rPr>
        <w:t> </w:t>
      </w:r>
    </w:p>
    <w:p>
      <w:pPr>
        <w:pStyle w:val="BodyText"/>
        <w:spacing w:before="2"/>
        <w:rPr>
          <w:sz w:val="18"/>
        </w:rPr>
      </w:pPr>
    </w:p>
    <w:p>
      <w:pPr>
        <w:pStyle w:val="BodyText"/>
        <w:tabs>
          <w:tab w:pos="2220" w:val="left" w:leader="none"/>
        </w:tabs>
        <w:ind w:left="418"/>
      </w:pPr>
      <w:r>
        <w:rPr/>
        <w:t>收</w:t>
      </w:r>
      <w:r>
        <w:rPr>
          <w:spacing w:val="-3"/>
        </w:rPr>
        <w:t>及</w:t>
      </w:r>
      <w:r>
        <w:rPr>
          <w:spacing w:val="-5"/>
        </w:rPr>
        <w:t>维</w:t>
      </w:r>
      <w:r>
        <w:rPr>
          <w:spacing w:val="-3"/>
        </w:rPr>
        <w:t>护</w:t>
      </w:r>
      <w:r>
        <w:rPr>
          <w:spacing w:val="-8"/>
        </w:rPr>
        <w:t>管</w:t>
      </w:r>
      <w:r>
        <w:rPr/>
        <w:t>理</w:t>
      </w:r>
      <w:r>
        <w:rPr>
          <w:spacing w:val="-3"/>
        </w:rPr>
        <w:t>。</w:t>
      </w:r>
      <w:r>
        <w:rPr/>
        <w:t> </w:t>
        <w:tab/>
      </w:r>
      <w:hyperlink r:id="rId464">
        <w:r>
          <w:rPr>
            <w:color w:val="DDD9C3"/>
            <w:spacing w:val="-8"/>
            <w:w w:val="100"/>
            <w:u w:val="single" w:color="DDD9C3"/>
          </w:rPr>
          <w:t> </w:t>
        </w:r>
      </w:hyperlink>
      <w:r>
        <w:rPr>
          <w:w w:val="100"/>
        </w:rPr>
        <w:t> </w:t>
      </w:r>
    </w:p>
    <w:p>
      <w:pPr>
        <w:pStyle w:val="BodyText"/>
        <w:spacing w:before="11"/>
        <w:rPr>
          <w:sz w:val="13"/>
        </w:rPr>
      </w:pPr>
    </w:p>
    <w:p>
      <w:pPr>
        <w:pStyle w:val="ListParagraph"/>
        <w:numPr>
          <w:ilvl w:val="1"/>
          <w:numId w:val="839"/>
        </w:numPr>
        <w:tabs>
          <w:tab w:pos="1159" w:val="left" w:leader="none"/>
        </w:tabs>
        <w:spacing w:line="446" w:lineRule="auto" w:before="72" w:after="0"/>
        <w:ind w:left="418" w:right="1575" w:firstLine="422"/>
        <w:jc w:val="left"/>
        <w:rPr>
          <w:sz w:val="21"/>
        </w:rPr>
      </w:pPr>
      <w:r>
        <w:rPr>
          <w:spacing w:val="-8"/>
          <w:sz w:val="21"/>
        </w:rPr>
        <w:t>防火卷帘、防火门、防火窗的施工及验收中采用的工程技术文件、承包合同文件等文件中对施工及验收的要求，不应低于本规范的规定。 </w:t>
      </w:r>
    </w:p>
    <w:p>
      <w:pPr>
        <w:pStyle w:val="ListParagraph"/>
        <w:numPr>
          <w:ilvl w:val="1"/>
          <w:numId w:val="839"/>
        </w:numPr>
        <w:tabs>
          <w:tab w:pos="1159" w:val="left" w:leader="none"/>
        </w:tabs>
        <w:spacing w:line="240" w:lineRule="auto" w:before="24" w:after="0"/>
        <w:ind w:left="1158" w:right="0" w:hanging="319"/>
        <w:jc w:val="left"/>
        <w:rPr>
          <w:sz w:val="21"/>
        </w:rPr>
      </w:pPr>
      <w:r>
        <w:rPr>
          <w:spacing w:val="-8"/>
          <w:sz w:val="21"/>
        </w:rPr>
        <w:t>防火卷帘、防火门、防火窗工程的施工、验收及维护管理，除应符合木规范外，尚应</w:t>
      </w:r>
      <w:r>
        <w:rPr>
          <w:sz w:val="21"/>
        </w:rPr>
        <w:t> </w:t>
      </w:r>
    </w:p>
    <w:p>
      <w:pPr>
        <w:pStyle w:val="BodyText"/>
        <w:spacing w:before="2"/>
        <w:rPr>
          <w:sz w:val="18"/>
        </w:rPr>
      </w:pPr>
    </w:p>
    <w:p>
      <w:pPr>
        <w:pStyle w:val="BodyText"/>
        <w:ind w:left="418"/>
      </w:pPr>
      <w:r>
        <w:rPr/>
        <w:t>符合国家现行有关标准的规定。 </w:t>
      </w:r>
    </w:p>
    <w:p>
      <w:pPr>
        <w:pStyle w:val="BodyText"/>
        <w:spacing w:before="8"/>
        <w:rPr>
          <w:sz w:val="15"/>
        </w:rPr>
      </w:pPr>
    </w:p>
    <w:p>
      <w:pPr>
        <w:pStyle w:val="Heading4"/>
      </w:pPr>
      <w:r>
        <w:rPr/>
        <w:t>2 术语</w:t>
      </w:r>
      <w:r>
        <w:rPr>
          <w:w w:val="99"/>
        </w:rPr>
        <w:t> </w:t>
      </w:r>
    </w:p>
    <w:p>
      <w:pPr>
        <w:pStyle w:val="BodyText"/>
        <w:spacing w:before="4"/>
        <w:rPr>
          <w:b/>
          <w:sz w:val="17"/>
        </w:rPr>
      </w:pPr>
    </w:p>
    <w:p>
      <w:pPr>
        <w:pStyle w:val="BodyText"/>
        <w:ind w:left="838"/>
      </w:pPr>
      <w:r>
        <w:rPr/>
        <w:t>防火卷帘 fire resistant shutter </w:t>
      </w:r>
    </w:p>
    <w:p>
      <w:pPr>
        <w:pStyle w:val="BodyText"/>
        <w:spacing w:before="1"/>
        <w:rPr>
          <w:sz w:val="19"/>
        </w:rPr>
      </w:pPr>
    </w:p>
    <w:p>
      <w:pPr>
        <w:pStyle w:val="BodyText"/>
        <w:spacing w:line="472" w:lineRule="auto"/>
        <w:ind w:left="838" w:right="3493" w:hanging="12"/>
      </w:pPr>
      <w:r>
        <w:rPr>
          <w:spacing w:val="-8"/>
        </w:rPr>
        <w:t>在一定时间内，连同框架能满足耐火完整性、隔热性等要求的卷帘。</w:t>
      </w:r>
      <w:r>
        <w:rPr>
          <w:spacing w:val="-5"/>
        </w:rPr>
        <w:t>钢质防火卷帘 </w:t>
      </w:r>
      <w:r>
        <w:rPr/>
        <w:t>steel </w:t>
      </w:r>
      <w:r>
        <w:rPr>
          <w:spacing w:val="-3"/>
        </w:rPr>
        <w:t>fire</w:t>
      </w:r>
      <w:r>
        <w:rPr/>
        <w:t> resistant shutter </w:t>
      </w:r>
    </w:p>
    <w:p>
      <w:pPr>
        <w:pStyle w:val="BodyText"/>
        <w:spacing w:line="251" w:lineRule="exact"/>
        <w:ind w:left="826"/>
      </w:pPr>
      <w:r>
        <w:rPr/>
        <w:t>用钢质材料做帘板、导轨、座板、门帽、箱体等，并配以卷门机和控制箱的防火卷帘。 </w:t>
      </w:r>
    </w:p>
    <w:p>
      <w:pPr>
        <w:pStyle w:val="BodyText"/>
        <w:spacing w:before="7"/>
        <w:rPr>
          <w:sz w:val="20"/>
        </w:rPr>
      </w:pPr>
    </w:p>
    <w:p>
      <w:pPr>
        <w:pStyle w:val="BodyText"/>
        <w:spacing w:before="1"/>
        <w:ind w:left="838"/>
      </w:pPr>
      <w:r>
        <w:rPr/>
        <w:t>无机纤维复合防火卷帘 mineral fiber composites fire resistant shutter </w:t>
      </w:r>
    </w:p>
    <w:p>
      <w:pPr>
        <w:spacing w:after="0"/>
        <w:sectPr>
          <w:pgSz w:w="11910" w:h="16850"/>
          <w:pgMar w:header="0" w:footer="1239" w:top="1600" w:bottom="1420" w:left="1260" w:right="0"/>
        </w:sectPr>
      </w:pPr>
    </w:p>
    <w:p>
      <w:pPr>
        <w:pStyle w:val="BodyText"/>
        <w:spacing w:line="448" w:lineRule="auto" w:before="45"/>
        <w:ind w:left="418" w:right="1510" w:firstLine="407"/>
      </w:pPr>
      <w:r>
        <w:rPr>
          <w:spacing w:val="-7"/>
        </w:rPr>
        <w:t>用无机纤维材料做帘</w:t>
      </w:r>
      <w:r>
        <w:rPr>
          <w:spacing w:val="-130"/>
        </w:rPr>
        <w:t>面</w:t>
      </w:r>
      <w:r>
        <w:rPr>
          <w:spacing w:val="-3"/>
        </w:rPr>
        <w:t>（</w:t>
      </w:r>
      <w:r>
        <w:rPr>
          <w:spacing w:val="-8"/>
        </w:rPr>
        <w:t>内配不锈钢丝或不锈钢丝绳</w:t>
      </w:r>
      <w:r>
        <w:rPr>
          <w:spacing w:val="-170"/>
        </w:rPr>
        <w:t>）</w:t>
      </w:r>
      <w:r>
        <w:rPr>
          <w:spacing w:val="-28"/>
        </w:rPr>
        <w:t>，用钢质材料做夹板、导轨、座板、 门楣、</w:t>
      </w:r>
      <w:r>
        <w:rPr>
          <w:spacing w:val="-9"/>
        </w:rPr>
        <w:t>箱体等，并配以卷门机和控制箱的防火卷帘。</w:t>
      </w:r>
      <w:r>
        <w:rPr/>
        <w:t> </w:t>
      </w:r>
    </w:p>
    <w:p>
      <w:pPr>
        <w:pStyle w:val="BodyText"/>
        <w:spacing w:before="4"/>
        <w:ind w:left="838"/>
      </w:pPr>
      <w:r>
        <w:rPr/>
        <w:t>防火门 fire resistant doorset </w:t>
      </w:r>
    </w:p>
    <w:p>
      <w:pPr>
        <w:pStyle w:val="BodyText"/>
        <w:spacing w:before="4"/>
        <w:rPr>
          <w:sz w:val="19"/>
        </w:rPr>
      </w:pPr>
    </w:p>
    <w:p>
      <w:pPr>
        <w:pStyle w:val="BodyText"/>
        <w:spacing w:line="470" w:lineRule="auto"/>
        <w:ind w:left="838" w:right="3704" w:hanging="12"/>
      </w:pPr>
      <w:r>
        <w:rPr>
          <w:spacing w:val="-8"/>
        </w:rPr>
        <w:t>在一定时间内，连同框架能满足耐火完整性、隔热性等要求的门。</w:t>
      </w:r>
      <w:r>
        <w:rPr>
          <w:spacing w:val="-3"/>
        </w:rPr>
        <w:t>防火窗 </w:t>
      </w:r>
      <w:r>
        <w:rPr/>
        <w:t>fire resistant window </w:t>
      </w:r>
    </w:p>
    <w:p>
      <w:pPr>
        <w:pStyle w:val="BodyText"/>
        <w:spacing w:line="472" w:lineRule="auto"/>
        <w:ind w:left="838" w:right="3704" w:hanging="12"/>
      </w:pPr>
      <w:r>
        <w:rPr>
          <w:spacing w:val="-8"/>
        </w:rPr>
        <w:t>在一定时间内，连同框架能满足耐火完整性、隔热性等要求的窗。</w:t>
      </w:r>
      <w:r>
        <w:rPr>
          <w:spacing w:val="-5"/>
        </w:rPr>
        <w:t>固定式防火窗 </w:t>
      </w:r>
      <w:r>
        <w:rPr/>
        <w:t>fixed</w:t>
      </w:r>
      <w:r>
        <w:rPr>
          <w:spacing w:val="-3"/>
        </w:rPr>
        <w:t> style </w:t>
      </w:r>
      <w:r>
        <w:rPr/>
        <w:t>fire window </w:t>
      </w:r>
    </w:p>
    <w:p>
      <w:pPr>
        <w:pStyle w:val="BodyText"/>
        <w:spacing w:line="254" w:lineRule="exact"/>
        <w:ind w:left="826"/>
      </w:pPr>
      <w:r>
        <w:rPr/>
        <w:t>无可开启窗扇的防火窗。 </w:t>
      </w:r>
    </w:p>
    <w:p>
      <w:pPr>
        <w:pStyle w:val="BodyText"/>
        <w:spacing w:before="7"/>
        <w:rPr>
          <w:sz w:val="19"/>
        </w:rPr>
      </w:pPr>
    </w:p>
    <w:p>
      <w:pPr>
        <w:pStyle w:val="BodyText"/>
        <w:spacing w:line="465" w:lineRule="auto"/>
        <w:ind w:left="826" w:right="4736" w:firstLine="12"/>
      </w:pPr>
      <w:r>
        <w:rPr>
          <w:spacing w:val="2"/>
        </w:rPr>
        <w:t>活动式防火窗 </w:t>
      </w:r>
      <w:r>
        <w:rPr>
          <w:spacing w:val="-3"/>
        </w:rPr>
        <w:t>automatic</w:t>
      </w:r>
      <w:r>
        <w:rPr>
          <w:spacing w:val="47"/>
        </w:rPr>
        <w:t> </w:t>
      </w:r>
      <w:r>
        <w:rPr/>
        <w:t>controlled</w:t>
      </w:r>
      <w:r>
        <w:rPr>
          <w:spacing w:val="49"/>
        </w:rPr>
        <w:t> </w:t>
      </w:r>
      <w:r>
        <w:rPr/>
        <w:t>fire</w:t>
      </w:r>
      <w:r>
        <w:rPr>
          <w:spacing w:val="50"/>
        </w:rPr>
        <w:t> </w:t>
      </w:r>
      <w:r>
        <w:rPr/>
        <w:t>window </w:t>
      </w:r>
      <w:r>
        <w:rPr>
          <w:spacing w:val="-8"/>
        </w:rPr>
        <w:t>有可开启窗扇，且装配有窗扇启闭控制装置的防火窗。</w:t>
      </w:r>
      <w:r>
        <w:rPr>
          <w:spacing w:val="-5"/>
        </w:rPr>
        <w:t>温控释放装置 </w:t>
      </w:r>
      <w:r>
        <w:rPr>
          <w:spacing w:val="-3"/>
        </w:rPr>
        <w:t>thermal</w:t>
      </w:r>
      <w:r>
        <w:rPr>
          <w:spacing w:val="1"/>
        </w:rPr>
        <w:t> </w:t>
      </w:r>
      <w:r>
        <w:rPr/>
        <w:t>release</w:t>
      </w:r>
      <w:r>
        <w:rPr>
          <w:spacing w:val="1"/>
        </w:rPr>
        <w:t> </w:t>
      </w:r>
      <w:r>
        <w:rPr/>
        <w:t>device </w:t>
      </w:r>
    </w:p>
    <w:p>
      <w:pPr>
        <w:pStyle w:val="BodyText"/>
        <w:spacing w:line="246" w:lineRule="exact"/>
        <w:ind w:left="838"/>
      </w:pPr>
      <w:r>
        <w:rPr/>
        <w:t>利用动作温度为 73℃±0.5℃的感温元件控制防火卷帘或防火窗依靠自重下降或关闭的 </w:t>
      </w:r>
    </w:p>
    <w:p>
      <w:pPr>
        <w:pStyle w:val="BodyText"/>
        <w:spacing w:before="2"/>
        <w:rPr>
          <w:sz w:val="18"/>
        </w:rPr>
      </w:pPr>
    </w:p>
    <w:p>
      <w:pPr>
        <w:pStyle w:val="BodyText"/>
        <w:ind w:left="418"/>
      </w:pPr>
      <w:r>
        <w:rPr/>
        <w:t>装置。 </w:t>
      </w:r>
    </w:p>
    <w:p>
      <w:pPr>
        <w:pStyle w:val="BodyText"/>
        <w:spacing w:before="8"/>
        <w:rPr>
          <w:sz w:val="15"/>
        </w:rPr>
      </w:pPr>
    </w:p>
    <w:p>
      <w:pPr>
        <w:pStyle w:val="Heading4"/>
      </w:pPr>
      <w:r>
        <w:rPr/>
        <w:t>3 基本规定</w:t>
      </w:r>
      <w:r>
        <w:rPr>
          <w:w w:val="99"/>
        </w:rPr>
        <w:t> </w:t>
      </w:r>
    </w:p>
    <w:p>
      <w:pPr>
        <w:pStyle w:val="BodyText"/>
        <w:spacing w:before="4"/>
        <w:rPr>
          <w:b/>
          <w:sz w:val="17"/>
        </w:rPr>
      </w:pPr>
    </w:p>
    <w:p>
      <w:pPr>
        <w:pStyle w:val="ListParagraph"/>
        <w:numPr>
          <w:ilvl w:val="1"/>
          <w:numId w:val="840"/>
        </w:numPr>
        <w:tabs>
          <w:tab w:pos="1159" w:val="left" w:leader="none"/>
        </w:tabs>
        <w:spacing w:line="240" w:lineRule="auto" w:before="0" w:after="0"/>
        <w:ind w:left="1158" w:right="0" w:hanging="319"/>
        <w:jc w:val="left"/>
        <w:rPr>
          <w:sz w:val="21"/>
        </w:rPr>
      </w:pPr>
      <w:r>
        <w:rPr>
          <w:spacing w:val="-8"/>
          <w:sz w:val="21"/>
        </w:rPr>
        <w:t>施工现场管理应具有相应的施工技术标准、工艺规程及实施方案、质量管理体系、施</w:t>
      </w:r>
      <w:r>
        <w:rPr>
          <w:sz w:val="21"/>
        </w:rPr>
        <w:t> </w:t>
      </w:r>
    </w:p>
    <w:p>
      <w:pPr>
        <w:pStyle w:val="BodyText"/>
        <w:spacing w:before="2"/>
        <w:rPr>
          <w:sz w:val="18"/>
        </w:rPr>
      </w:pPr>
    </w:p>
    <w:p>
      <w:pPr>
        <w:pStyle w:val="BodyText"/>
        <w:ind w:left="418"/>
      </w:pPr>
      <w:r>
        <w:rPr/>
        <w:t>工质量控制及检查制度。施工现场质量管理应按本规范附录A 的要求进行检查并记录。 </w:t>
      </w:r>
      <w:hyperlink r:id="rId465">
        <w:r>
          <w:rPr>
            <w:color w:val="DDD9C3"/>
            <w:u w:val="single" w:color="DDD9C3"/>
          </w:rPr>
          <w:t> </w:t>
        </w:r>
      </w:hyperlink>
      <w:r>
        <w:rPr/>
        <w:t> </w:t>
      </w:r>
    </w:p>
    <w:p>
      <w:pPr>
        <w:pStyle w:val="BodyText"/>
        <w:spacing w:before="9"/>
        <w:rPr>
          <w:sz w:val="13"/>
        </w:rPr>
      </w:pPr>
    </w:p>
    <w:p>
      <w:pPr>
        <w:pStyle w:val="ListParagraph"/>
        <w:numPr>
          <w:ilvl w:val="1"/>
          <w:numId w:val="840"/>
        </w:numPr>
        <w:tabs>
          <w:tab w:pos="1160" w:val="left" w:leader="none"/>
        </w:tabs>
        <w:spacing w:line="460" w:lineRule="auto" w:before="72" w:after="0"/>
        <w:ind w:left="838" w:right="3990" w:firstLine="2"/>
        <w:jc w:val="left"/>
        <w:rPr>
          <w:sz w:val="21"/>
        </w:rPr>
      </w:pPr>
      <w:r>
        <w:rPr>
          <w:spacing w:val="-7"/>
          <w:sz w:val="21"/>
        </w:rPr>
        <w:t>防火卷帘、防火门、防火窗施工前应具备下列技术资料： 经</w:t>
      </w:r>
      <w:r>
        <w:rPr>
          <w:spacing w:val="-8"/>
          <w:sz w:val="21"/>
        </w:rPr>
        <w:t>批准的施工图、设计说明书、设计变更通知单等设计文件。</w:t>
      </w:r>
      <w:r>
        <w:rPr>
          <w:sz w:val="21"/>
        </w:rPr>
        <w:t> </w:t>
      </w:r>
    </w:p>
    <w:p>
      <w:pPr>
        <w:pStyle w:val="BodyText"/>
        <w:tabs>
          <w:tab w:pos="3951" w:val="left" w:leader="none"/>
        </w:tabs>
        <w:spacing w:line="448" w:lineRule="auto"/>
        <w:ind w:left="838" w:right="3272"/>
      </w:pPr>
      <w:r>
        <w:rPr/>
        <w:t>主</w:t>
      </w:r>
      <w:r>
        <w:rPr>
          <w:spacing w:val="-8"/>
        </w:rPr>
        <w:t>、</w:t>
      </w:r>
      <w:r>
        <w:rPr>
          <w:spacing w:val="-3"/>
        </w:rPr>
        <w:t>配</w:t>
      </w:r>
      <w:r>
        <w:rPr>
          <w:spacing w:val="-5"/>
        </w:rPr>
        <w:t>件</w:t>
      </w:r>
      <w:r>
        <w:rPr>
          <w:spacing w:val="-3"/>
        </w:rPr>
        <w:t>的</w:t>
      </w:r>
      <w:r>
        <w:rPr>
          <w:spacing w:val="-8"/>
        </w:rPr>
        <w:t>产</w:t>
      </w:r>
      <w:r>
        <w:rPr>
          <w:spacing w:val="-3"/>
        </w:rPr>
        <w:t>品</w:t>
      </w:r>
      <w:r>
        <w:rPr>
          <w:spacing w:val="-8"/>
        </w:rPr>
        <w:t>出</w:t>
      </w:r>
      <w:r>
        <w:rPr>
          <w:spacing w:val="-5"/>
        </w:rPr>
        <w:t>厂</w:t>
      </w:r>
      <w:r>
        <w:rPr>
          <w:spacing w:val="-3"/>
        </w:rPr>
        <w:t>合格</w:t>
      </w:r>
      <w:r>
        <w:rPr>
          <w:spacing w:val="-5"/>
        </w:rPr>
        <w:t>证</w:t>
      </w:r>
      <w:r>
        <w:rPr>
          <w:spacing w:val="-3"/>
        </w:rPr>
        <w:t>和</w:t>
      </w:r>
      <w:r>
        <w:rPr>
          <w:spacing w:val="-8"/>
        </w:rPr>
        <w:t>符</w:t>
      </w:r>
      <w:r>
        <w:rPr>
          <w:spacing w:val="-3"/>
        </w:rPr>
        <w:t>合</w:t>
      </w:r>
      <w:r>
        <w:rPr>
          <w:spacing w:val="-5"/>
        </w:rPr>
        <w:t>市</w:t>
      </w:r>
      <w:r>
        <w:rPr>
          <w:spacing w:val="-3"/>
        </w:rPr>
        <w:t>场</w:t>
      </w:r>
      <w:r>
        <w:rPr>
          <w:spacing w:val="-8"/>
        </w:rPr>
        <w:t>准</w:t>
      </w:r>
      <w:r>
        <w:rPr>
          <w:spacing w:val="-3"/>
        </w:rPr>
        <w:t>入</w:t>
      </w:r>
      <w:r>
        <w:rPr>
          <w:spacing w:val="-5"/>
        </w:rPr>
        <w:t>制</w:t>
      </w:r>
      <w:r>
        <w:rPr>
          <w:spacing w:val="-3"/>
        </w:rPr>
        <w:t>度</w:t>
      </w:r>
      <w:r>
        <w:rPr/>
        <w:t>规</w:t>
      </w:r>
      <w:r>
        <w:rPr>
          <w:spacing w:val="-5"/>
        </w:rPr>
        <w:t>定</w:t>
      </w:r>
      <w:r>
        <w:rPr>
          <w:spacing w:val="-3"/>
        </w:rPr>
        <w:t>的</w:t>
      </w:r>
      <w:r>
        <w:rPr>
          <w:spacing w:val="-8"/>
        </w:rPr>
        <w:t>有</w:t>
      </w:r>
      <w:r>
        <w:rPr>
          <w:spacing w:val="-3"/>
        </w:rPr>
        <w:t>效</w:t>
      </w:r>
      <w:r>
        <w:rPr>
          <w:spacing w:val="-5"/>
        </w:rPr>
        <w:t>证</w:t>
      </w:r>
      <w:r>
        <w:rPr>
          <w:spacing w:val="-3"/>
        </w:rPr>
        <w:t>明</w:t>
      </w:r>
      <w:r>
        <w:rPr>
          <w:spacing w:val="-8"/>
        </w:rPr>
        <w:t>文</w:t>
      </w:r>
      <w:r>
        <w:rPr/>
        <w:t>件</w:t>
      </w:r>
      <w:r>
        <w:rPr>
          <w:spacing w:val="-3"/>
        </w:rPr>
        <w:t>。</w:t>
      </w:r>
      <w:r>
        <w:rPr/>
        <w:t>主</w:t>
      </w:r>
      <w:r>
        <w:rPr>
          <w:spacing w:val="-8"/>
        </w:rPr>
        <w:t>、</w:t>
      </w:r>
      <w:r>
        <w:rPr>
          <w:spacing w:val="-3"/>
        </w:rPr>
        <w:t>配</w:t>
      </w:r>
      <w:r>
        <w:rPr>
          <w:spacing w:val="-5"/>
        </w:rPr>
        <w:t>件</w:t>
      </w:r>
      <w:r>
        <w:rPr>
          <w:spacing w:val="-3"/>
        </w:rPr>
        <w:t>使</w:t>
      </w:r>
      <w:r>
        <w:rPr>
          <w:spacing w:val="-8"/>
        </w:rPr>
        <w:t>用</w:t>
      </w:r>
      <w:r>
        <w:rPr>
          <w:spacing w:val="-3"/>
        </w:rPr>
        <w:t>、</w:t>
      </w:r>
      <w:r>
        <w:rPr>
          <w:spacing w:val="-8"/>
        </w:rPr>
        <w:t>维</w:t>
      </w:r>
      <w:r>
        <w:rPr>
          <w:spacing w:val="-5"/>
        </w:rPr>
        <w:t>护</w:t>
      </w:r>
      <w:r>
        <w:rPr>
          <w:spacing w:val="-3"/>
        </w:rPr>
        <w:t>说明</w:t>
      </w:r>
      <w:r>
        <w:rPr>
          <w:spacing w:val="-5"/>
        </w:rPr>
        <w:t>书</w:t>
      </w:r>
      <w:r>
        <w:rPr>
          <w:spacing w:val="-3"/>
        </w:rPr>
        <w:t>。</w:t>
      </w:r>
      <w:r>
        <w:rPr/>
        <w:t> </w:t>
        <w:tab/>
      </w:r>
      <w:r>
        <w:rPr>
          <w:w w:val="100"/>
        </w:rPr>
        <w:t> </w:t>
      </w:r>
    </w:p>
    <w:p>
      <w:pPr>
        <w:pStyle w:val="ListParagraph"/>
        <w:numPr>
          <w:ilvl w:val="1"/>
          <w:numId w:val="840"/>
        </w:numPr>
        <w:tabs>
          <w:tab w:pos="1159" w:val="left" w:leader="none"/>
        </w:tabs>
        <w:spacing w:line="267" w:lineRule="exact" w:before="0" w:after="0"/>
        <w:ind w:left="1158" w:right="0" w:hanging="319"/>
        <w:jc w:val="left"/>
        <w:rPr>
          <w:sz w:val="21"/>
        </w:rPr>
      </w:pPr>
      <w:r>
        <w:rPr>
          <w:spacing w:val="-8"/>
          <w:sz w:val="21"/>
        </w:rPr>
        <w:t>防火卷帘、防火门、防火窗施工应具备下列条件：</w:t>
      </w:r>
      <w:r>
        <w:rPr>
          <w:sz w:val="21"/>
        </w:rPr>
        <w:t> </w:t>
      </w:r>
    </w:p>
    <w:p>
      <w:pPr>
        <w:pStyle w:val="BodyText"/>
        <w:spacing w:before="8"/>
        <w:rPr>
          <w:sz w:val="17"/>
        </w:rPr>
      </w:pPr>
    </w:p>
    <w:p>
      <w:pPr>
        <w:pStyle w:val="BodyText"/>
        <w:ind w:left="838"/>
        <w:rPr>
          <w:b/>
        </w:rPr>
      </w:pPr>
      <w:r>
        <w:rPr/>
        <w:t>现场施工条件满足连续作业的要求。</w:t>
      </w:r>
      <w:r>
        <w:rPr>
          <w:b/>
          <w:w w:val="99"/>
        </w:rPr>
        <w:t> </w:t>
      </w:r>
    </w:p>
    <w:p>
      <w:pPr>
        <w:pStyle w:val="BodyText"/>
        <w:spacing w:before="2"/>
        <w:rPr>
          <w:b/>
          <w:sz w:val="18"/>
        </w:rPr>
      </w:pPr>
    </w:p>
    <w:p>
      <w:pPr>
        <w:pStyle w:val="BodyText"/>
        <w:spacing w:line="446" w:lineRule="auto"/>
        <w:ind w:left="838" w:right="4928"/>
        <w:jc w:val="both"/>
      </w:pPr>
      <w:r>
        <w:rPr>
          <w:spacing w:val="-8"/>
        </w:rPr>
        <w:t>主、配件齐全，其品种、规格、型号符合设计要求。施工所需的预埋件和孔洞等基建条件符合设计要求。</w:t>
      </w:r>
      <w:r>
        <w:rPr>
          <w:spacing w:val="-5"/>
        </w:rPr>
        <w:t>施工现场相关条件与设计相符。</w:t>
      </w:r>
      <w:r>
        <w:rPr/>
        <w:t> </w:t>
      </w:r>
    </w:p>
    <w:p>
      <w:pPr>
        <w:pStyle w:val="BodyText"/>
        <w:spacing w:line="268" w:lineRule="exact"/>
        <w:ind w:left="838"/>
        <w:jc w:val="both"/>
      </w:pPr>
      <w:r>
        <w:rPr>
          <w:spacing w:val="-3"/>
        </w:rPr>
        <w:t>设计单位向施工单位技术交底。</w:t>
      </w:r>
      <w:r>
        <w:rPr/>
        <w:t>   </w:t>
      </w:r>
      <w:r>
        <w:rPr>
          <w:spacing w:val="-3"/>
        </w:rPr>
        <w:t> </w:t>
      </w:r>
      <w:r>
        <w:rPr>
          <w:w w:val="100"/>
        </w:rPr>
        <w:t> </w:t>
      </w:r>
    </w:p>
    <w:p>
      <w:pPr>
        <w:pStyle w:val="BodyText"/>
        <w:spacing w:before="12"/>
        <w:rPr>
          <w:sz w:val="17"/>
        </w:rPr>
      </w:pPr>
    </w:p>
    <w:p>
      <w:pPr>
        <w:pStyle w:val="ListParagraph"/>
        <w:numPr>
          <w:ilvl w:val="1"/>
          <w:numId w:val="840"/>
        </w:numPr>
        <w:tabs>
          <w:tab w:pos="1159" w:val="left" w:leader="none"/>
        </w:tabs>
        <w:spacing w:line="240" w:lineRule="auto" w:before="0" w:after="0"/>
        <w:ind w:left="1158" w:right="0" w:hanging="319"/>
        <w:jc w:val="left"/>
        <w:rPr>
          <w:sz w:val="21"/>
        </w:rPr>
      </w:pPr>
      <w:r>
        <w:rPr>
          <w:spacing w:val="-8"/>
          <w:sz w:val="21"/>
        </w:rPr>
        <w:t>防火卷帘、防火门、防火窗的分部工程、子分部工程、分项工程的划分，可按本规范</w:t>
      </w:r>
      <w:r>
        <w:rPr>
          <w:sz w:val="21"/>
        </w:rPr>
        <w:t> </w:t>
      </w:r>
    </w:p>
    <w:p>
      <w:pPr>
        <w:pStyle w:val="BodyText"/>
        <w:rPr>
          <w:sz w:val="18"/>
        </w:rPr>
      </w:pPr>
    </w:p>
    <w:p>
      <w:pPr>
        <w:pStyle w:val="BodyText"/>
        <w:tabs>
          <w:tab w:pos="2045" w:val="left" w:leader="none"/>
        </w:tabs>
        <w:ind w:left="418"/>
      </w:pPr>
      <w:r>
        <w:rPr/>
        <w:t>附</w:t>
      </w:r>
      <w:r>
        <w:rPr>
          <w:spacing w:val="-3"/>
        </w:rPr>
        <w:t>录</w:t>
      </w:r>
      <w:r>
        <w:rPr/>
        <w:t>B</w:t>
      </w:r>
      <w:r>
        <w:rPr>
          <w:spacing w:val="7"/>
        </w:rPr>
        <w:t> </w:t>
      </w:r>
      <w:r>
        <w:rPr>
          <w:spacing w:val="-5"/>
        </w:rPr>
        <w:t>执</w:t>
      </w:r>
      <w:r>
        <w:rPr>
          <w:spacing w:val="-3"/>
        </w:rPr>
        <w:t>行。</w:t>
      </w:r>
      <w:r>
        <w:rPr/>
        <w:t> </w:t>
        <w:tab/>
      </w:r>
      <w:r>
        <w:rPr>
          <w:w w:val="100"/>
        </w:rPr>
        <w:t> </w:t>
      </w:r>
    </w:p>
    <w:p>
      <w:pPr>
        <w:spacing w:after="0"/>
        <w:sectPr>
          <w:pgSz w:w="11910" w:h="16850"/>
          <w:pgMar w:header="0" w:footer="1239" w:top="1220" w:bottom="1420" w:left="1260" w:right="0"/>
        </w:sectPr>
      </w:pPr>
    </w:p>
    <w:p>
      <w:pPr>
        <w:pStyle w:val="ListParagraph"/>
        <w:numPr>
          <w:ilvl w:val="1"/>
          <w:numId w:val="840"/>
        </w:numPr>
        <w:tabs>
          <w:tab w:pos="1159" w:val="left" w:leader="none"/>
        </w:tabs>
        <w:spacing w:line="240" w:lineRule="auto" w:before="47" w:after="0"/>
        <w:ind w:left="1158" w:right="0" w:hanging="319"/>
        <w:jc w:val="left"/>
        <w:rPr>
          <w:sz w:val="21"/>
        </w:rPr>
      </w:pPr>
      <w:r>
        <w:rPr>
          <w:spacing w:val="-8"/>
          <w:sz w:val="21"/>
        </w:rPr>
        <w:t>防火卷帘、防火门、防火窗施工过程质量控制及验收，应符合本规范第</w:t>
      </w:r>
      <w:r>
        <w:rPr>
          <w:sz w:val="21"/>
        </w:rPr>
        <w:t>4</w:t>
      </w:r>
      <w:r>
        <w:rPr>
          <w:spacing w:val="1"/>
          <w:sz w:val="21"/>
        </w:rPr>
        <w:t> 章</w:t>
      </w:r>
      <w:r>
        <w:rPr>
          <w:spacing w:val="-8"/>
          <w:sz w:val="21"/>
        </w:rPr>
        <w:t>～</w:t>
      </w:r>
      <w:r>
        <w:rPr>
          <w:spacing w:val="-50"/>
          <w:sz w:val="21"/>
        </w:rPr>
        <w:t>第 </w:t>
      </w:r>
      <w:r>
        <w:rPr>
          <w:sz w:val="21"/>
        </w:rPr>
        <w:t>7</w:t>
      </w:r>
      <w:r>
        <w:rPr>
          <w:spacing w:val="2"/>
          <w:sz w:val="21"/>
        </w:rPr>
        <w:t> 章 </w:t>
      </w:r>
    </w:p>
    <w:p>
      <w:pPr>
        <w:pStyle w:val="BodyText"/>
        <w:rPr>
          <w:sz w:val="18"/>
        </w:rPr>
      </w:pPr>
    </w:p>
    <w:p>
      <w:pPr>
        <w:pStyle w:val="BodyText"/>
        <w:tabs>
          <w:tab w:pos="1589" w:val="left" w:leader="none"/>
        </w:tabs>
        <w:ind w:left="418"/>
      </w:pPr>
      <w:r>
        <w:rPr/>
        <w:t>的</w:t>
      </w:r>
      <w:r>
        <w:rPr>
          <w:spacing w:val="-3"/>
        </w:rPr>
        <w:t>规</w:t>
      </w:r>
      <w:r>
        <w:rPr>
          <w:spacing w:val="-5"/>
        </w:rPr>
        <w:t>定</w:t>
      </w:r>
      <w:r>
        <w:rPr>
          <w:spacing w:val="-3"/>
        </w:rPr>
        <w:t>。</w:t>
      </w:r>
      <w:r>
        <w:rPr/>
        <w:t> </w:t>
        <w:tab/>
      </w:r>
      <w:r>
        <w:rPr>
          <w:w w:val="100"/>
        </w:rPr>
        <w:t> </w:t>
      </w:r>
    </w:p>
    <w:p>
      <w:pPr>
        <w:pStyle w:val="BodyText"/>
        <w:spacing w:before="4"/>
        <w:rPr>
          <w:sz w:val="19"/>
        </w:rPr>
      </w:pPr>
    </w:p>
    <w:p>
      <w:pPr>
        <w:pStyle w:val="ListParagraph"/>
        <w:numPr>
          <w:ilvl w:val="1"/>
          <w:numId w:val="840"/>
        </w:numPr>
        <w:tabs>
          <w:tab w:pos="1160" w:val="left" w:leader="none"/>
        </w:tabs>
        <w:spacing w:line="448" w:lineRule="auto" w:before="0" w:after="0"/>
        <w:ind w:left="838" w:right="5651" w:firstLine="2"/>
        <w:jc w:val="left"/>
        <w:rPr>
          <w:b/>
          <w:sz w:val="21"/>
        </w:rPr>
      </w:pPr>
      <w:r>
        <w:rPr>
          <w:spacing w:val="-7"/>
          <w:sz w:val="21"/>
        </w:rPr>
        <w:t>检查、验收合格判定应符合下列规定： 施</w:t>
      </w:r>
      <w:r>
        <w:rPr>
          <w:spacing w:val="-8"/>
          <w:sz w:val="21"/>
        </w:rPr>
        <w:t>工现场质量管理检查结果应全部合格。</w:t>
      </w:r>
      <w:r>
        <w:rPr>
          <w:b/>
          <w:w w:val="99"/>
          <w:sz w:val="21"/>
        </w:rPr>
        <w:t> </w:t>
      </w:r>
    </w:p>
    <w:p>
      <w:pPr>
        <w:pStyle w:val="BodyText"/>
        <w:spacing w:line="266" w:lineRule="exact"/>
        <w:ind w:left="838"/>
        <w:rPr>
          <w:b/>
        </w:rPr>
      </w:pPr>
      <w:r>
        <w:rPr>
          <w:spacing w:val="-7"/>
        </w:rPr>
        <w:t>资料核查结果应全部合格。</w:t>
      </w:r>
      <w:r>
        <w:rPr>
          <w:b/>
          <w:spacing w:val="-7"/>
          <w:w w:val="99"/>
        </w:rPr>
        <w:t> </w:t>
      </w:r>
    </w:p>
    <w:p>
      <w:pPr>
        <w:pStyle w:val="BodyText"/>
        <w:spacing w:before="12"/>
        <w:rPr>
          <w:b/>
          <w:sz w:val="17"/>
        </w:rPr>
      </w:pPr>
    </w:p>
    <w:p>
      <w:pPr>
        <w:pStyle w:val="BodyText"/>
        <w:spacing w:line="446" w:lineRule="auto"/>
        <w:ind w:left="838" w:right="6796"/>
        <w:rPr>
          <w:b/>
        </w:rPr>
      </w:pPr>
      <w:r>
        <w:rPr>
          <w:spacing w:val="-7"/>
        </w:rPr>
        <w:t>施工过程检查结果应全部合格。工程验收结果应全部合格。</w:t>
      </w:r>
      <w:r>
        <w:rPr>
          <w:b/>
          <w:spacing w:val="-7"/>
          <w:w w:val="99"/>
        </w:rPr>
        <w:t> </w:t>
      </w:r>
    </w:p>
    <w:p>
      <w:pPr>
        <w:pStyle w:val="BodyText"/>
        <w:spacing w:before="1"/>
        <w:ind w:left="838"/>
        <w:rPr>
          <w:b/>
        </w:rPr>
      </w:pPr>
      <w:r>
        <w:rPr/>
        <w:t>工程验收记录应齐全。</w:t>
      </w:r>
      <w:r>
        <w:rPr>
          <w:b/>
          <w:w w:val="99"/>
        </w:rPr>
        <w:t> </w:t>
      </w:r>
    </w:p>
    <w:p>
      <w:pPr>
        <w:pStyle w:val="BodyText"/>
        <w:spacing w:before="12"/>
        <w:rPr>
          <w:b/>
          <w:sz w:val="17"/>
        </w:rPr>
      </w:pPr>
    </w:p>
    <w:p>
      <w:pPr>
        <w:pStyle w:val="BodyText"/>
        <w:ind w:left="838"/>
        <w:rPr>
          <w:b/>
        </w:rPr>
      </w:pPr>
      <w:r>
        <w:rPr/>
        <w:t>相关文件、记录、资料清单等应齐全。</w:t>
      </w:r>
      <w:r>
        <w:rPr>
          <w:b/>
          <w:w w:val="99"/>
        </w:rPr>
        <w:t> </w:t>
      </w:r>
      <w:r>
        <w:rPr>
          <w:b/>
        </w:rPr>
        <w:t> </w:t>
      </w:r>
      <w:hyperlink r:id="rId466">
        <w:r>
          <w:rPr>
            <w:b/>
            <w:w w:val="99"/>
          </w:rPr>
          <w:t> </w:t>
        </w:r>
      </w:hyperlink>
      <w:r>
        <w:rPr>
          <w:b/>
          <w:w w:val="99"/>
        </w:rPr>
        <w:t> </w:t>
      </w:r>
    </w:p>
    <w:p>
      <w:pPr>
        <w:pStyle w:val="BodyText"/>
        <w:spacing w:before="2"/>
        <w:rPr>
          <w:b/>
          <w:sz w:val="18"/>
        </w:rPr>
      </w:pPr>
    </w:p>
    <w:p>
      <w:pPr>
        <w:pStyle w:val="ListParagraph"/>
        <w:numPr>
          <w:ilvl w:val="1"/>
          <w:numId w:val="840"/>
        </w:numPr>
        <w:tabs>
          <w:tab w:pos="1159" w:val="left" w:leader="none"/>
        </w:tabs>
        <w:spacing w:line="240" w:lineRule="auto" w:before="0" w:after="0"/>
        <w:ind w:left="1158" w:right="0" w:hanging="319"/>
        <w:jc w:val="left"/>
        <w:rPr>
          <w:sz w:val="21"/>
        </w:rPr>
      </w:pPr>
      <w:r>
        <w:rPr>
          <w:spacing w:val="-8"/>
          <w:sz w:val="21"/>
        </w:rPr>
        <w:t>系统竣工后，必须进行工程验收，验收不合格不得投入使用。</w:t>
      </w:r>
      <w:r>
        <w:rPr>
          <w:sz w:val="21"/>
        </w:rPr>
        <w:t> </w:t>
      </w:r>
      <w:r>
        <w:rPr>
          <w:spacing w:val="-17"/>
          <w:sz w:val="21"/>
        </w:rPr>
        <w:t> </w:t>
      </w:r>
      <w:r>
        <w:rPr>
          <w:w w:val="100"/>
          <w:sz w:val="21"/>
        </w:rPr>
        <w:t> </w:t>
      </w:r>
    </w:p>
    <w:p>
      <w:pPr>
        <w:pStyle w:val="BodyText"/>
        <w:spacing w:before="8"/>
        <w:rPr>
          <w:sz w:val="15"/>
        </w:rPr>
      </w:pPr>
    </w:p>
    <w:p>
      <w:pPr>
        <w:pStyle w:val="Heading4"/>
      </w:pPr>
      <w:r>
        <w:rPr/>
        <w:t>4 进场检验</w:t>
      </w:r>
      <w:r>
        <w:rPr>
          <w:w w:val="99"/>
        </w:rPr>
        <w:t> </w:t>
      </w:r>
    </w:p>
    <w:p>
      <w:pPr>
        <w:pStyle w:val="BodyText"/>
        <w:spacing w:before="3"/>
        <w:rPr>
          <w:b/>
          <w:sz w:val="17"/>
        </w:rPr>
      </w:pPr>
    </w:p>
    <w:p>
      <w:pPr>
        <w:pStyle w:val="ListParagraph"/>
        <w:numPr>
          <w:ilvl w:val="1"/>
          <w:numId w:val="841"/>
        </w:numPr>
        <w:tabs>
          <w:tab w:pos="1159" w:val="left" w:leader="none"/>
        </w:tabs>
        <w:spacing w:line="240" w:lineRule="auto" w:before="1" w:after="0"/>
        <w:ind w:left="1158" w:right="0" w:hanging="319"/>
        <w:jc w:val="left"/>
        <w:rPr>
          <w:b/>
          <w:sz w:val="21"/>
        </w:rPr>
      </w:pPr>
      <w:r>
        <w:rPr>
          <w:spacing w:val="-3"/>
          <w:sz w:val="21"/>
        </w:rPr>
        <w:t>一般规定</w:t>
      </w:r>
      <w:r>
        <w:rPr>
          <w:b/>
          <w:w w:val="99"/>
          <w:sz w:val="21"/>
        </w:rPr>
        <w:t> </w:t>
      </w:r>
    </w:p>
    <w:p>
      <w:pPr>
        <w:pStyle w:val="BodyText"/>
        <w:spacing w:before="1"/>
        <w:rPr>
          <w:b/>
          <w:sz w:val="18"/>
        </w:rPr>
      </w:pPr>
    </w:p>
    <w:p>
      <w:pPr>
        <w:pStyle w:val="ListParagraph"/>
        <w:numPr>
          <w:ilvl w:val="2"/>
          <w:numId w:val="841"/>
        </w:numPr>
        <w:tabs>
          <w:tab w:pos="1370" w:val="left" w:leader="none"/>
        </w:tabs>
        <w:spacing w:line="446" w:lineRule="auto" w:before="1" w:after="0"/>
        <w:ind w:left="418" w:right="1539" w:firstLine="422"/>
        <w:jc w:val="both"/>
        <w:rPr>
          <w:sz w:val="21"/>
        </w:rPr>
      </w:pPr>
      <w:r>
        <w:rPr>
          <w:spacing w:val="-17"/>
          <w:sz w:val="21"/>
        </w:rPr>
        <w:t>防火卷帘，防火门，防火窗主、配件进场应进行检验。检验应由施工单位负责，并 应</w:t>
      </w:r>
      <w:r>
        <w:rPr>
          <w:spacing w:val="-16"/>
          <w:sz w:val="21"/>
        </w:rPr>
        <w:t>由监理单位监督。需要抽样复验时，应由监理工程师抽样，并应送市场准入制度规定的法 定检验</w:t>
      </w:r>
      <w:r>
        <w:rPr>
          <w:spacing w:val="-8"/>
          <w:sz w:val="21"/>
        </w:rPr>
        <w:t>机构进行复验检验，不合格者不应安装。</w:t>
      </w:r>
      <w:r>
        <w:rPr>
          <w:sz w:val="21"/>
        </w:rPr>
        <w:t>         </w:t>
      </w:r>
      <w:r>
        <w:rPr>
          <w:spacing w:val="-47"/>
          <w:sz w:val="21"/>
        </w:rPr>
        <w:t> </w:t>
      </w:r>
      <w:r>
        <w:rPr>
          <w:w w:val="100"/>
          <w:sz w:val="21"/>
        </w:rPr>
        <w:t> </w:t>
      </w:r>
    </w:p>
    <w:p>
      <w:pPr>
        <w:pStyle w:val="ListParagraph"/>
        <w:numPr>
          <w:ilvl w:val="2"/>
          <w:numId w:val="841"/>
        </w:numPr>
        <w:tabs>
          <w:tab w:pos="1371" w:val="left" w:leader="none"/>
        </w:tabs>
        <w:spacing w:line="446" w:lineRule="auto" w:before="6" w:after="0"/>
        <w:ind w:left="418" w:right="1548" w:firstLine="422"/>
        <w:jc w:val="both"/>
        <w:rPr>
          <w:sz w:val="21"/>
        </w:rPr>
      </w:pPr>
      <w:r>
        <w:rPr>
          <w:spacing w:val="-17"/>
          <w:sz w:val="21"/>
        </w:rPr>
        <w:t>防火卷帘，防火门，防火窗主、配件的进场检验，应按本规范附录 </w:t>
      </w:r>
      <w:r>
        <w:rPr>
          <w:sz w:val="21"/>
        </w:rPr>
        <w:t>C</w:t>
      </w:r>
      <w:r>
        <w:rPr>
          <w:spacing w:val="-8"/>
          <w:sz w:val="21"/>
        </w:rPr>
        <w:t> 表 </w:t>
      </w:r>
      <w:r>
        <w:rPr>
          <w:sz w:val="21"/>
        </w:rPr>
        <w:t>C.0.1-1</w:t>
      </w:r>
      <w:r>
        <w:rPr>
          <w:spacing w:val="16"/>
          <w:sz w:val="21"/>
        </w:rPr>
        <w:t> 填写</w:t>
      </w:r>
      <w:r>
        <w:rPr>
          <w:spacing w:val="-8"/>
          <w:sz w:val="21"/>
        </w:rPr>
        <w:t>检查记录。检查合格后，应经监理工程师签证再进行安装。</w:t>
      </w:r>
      <w:r>
        <w:rPr>
          <w:sz w:val="21"/>
        </w:rPr>
        <w:t> </w:t>
      </w:r>
    </w:p>
    <w:p>
      <w:pPr>
        <w:pStyle w:val="ListParagraph"/>
        <w:numPr>
          <w:ilvl w:val="1"/>
          <w:numId w:val="841"/>
        </w:numPr>
        <w:tabs>
          <w:tab w:pos="1159" w:val="left" w:leader="none"/>
        </w:tabs>
        <w:spacing w:line="240" w:lineRule="auto" w:before="2" w:after="0"/>
        <w:ind w:left="1158" w:right="0" w:hanging="319"/>
        <w:jc w:val="left"/>
        <w:rPr>
          <w:b/>
          <w:sz w:val="21"/>
        </w:rPr>
      </w:pPr>
      <w:r>
        <w:rPr>
          <w:spacing w:val="-3"/>
          <w:sz w:val="21"/>
        </w:rPr>
        <w:t>防火卷帘检验</w:t>
      </w:r>
      <w:r>
        <w:rPr>
          <w:b/>
          <w:w w:val="99"/>
          <w:sz w:val="21"/>
        </w:rPr>
        <w:t> </w:t>
      </w:r>
    </w:p>
    <w:p>
      <w:pPr>
        <w:pStyle w:val="BodyText"/>
        <w:spacing w:before="12"/>
        <w:rPr>
          <w:b/>
          <w:sz w:val="17"/>
        </w:rPr>
      </w:pPr>
    </w:p>
    <w:p>
      <w:pPr>
        <w:pStyle w:val="ListParagraph"/>
        <w:numPr>
          <w:ilvl w:val="2"/>
          <w:numId w:val="841"/>
        </w:numPr>
        <w:tabs>
          <w:tab w:pos="1370" w:val="left" w:leader="none"/>
        </w:tabs>
        <w:spacing w:line="446" w:lineRule="auto" w:before="0" w:after="0"/>
        <w:ind w:left="418" w:right="1445" w:firstLine="422"/>
        <w:jc w:val="left"/>
        <w:rPr>
          <w:sz w:val="21"/>
        </w:rPr>
      </w:pPr>
      <w:r>
        <w:rPr>
          <w:spacing w:val="-5"/>
          <w:sz w:val="21"/>
        </w:rPr>
        <w:t>防火卷帘及与其配套的感烟和感温火灾探测器等应具有出厂合格证和符合市场准入  </w:t>
      </w:r>
      <w:r>
        <w:rPr>
          <w:spacing w:val="-8"/>
          <w:sz w:val="21"/>
        </w:rPr>
        <w:t>制度规定的有效证明文件，其型号、规格及耐火性能等应符合设计要求。</w:t>
      </w:r>
      <w:r>
        <w:rPr>
          <w:sz w:val="21"/>
        </w:rPr>
        <w:t> </w:t>
      </w:r>
    </w:p>
    <w:p>
      <w:pPr>
        <w:pStyle w:val="BodyText"/>
        <w:spacing w:line="446" w:lineRule="auto" w:before="6"/>
        <w:ind w:left="418" w:right="1738" w:firstLine="407"/>
      </w:pPr>
      <w:r>
        <w:rPr/>
        <w:t>检查数量：全数检查。 检查方法：核查产品的名称、型号、规格及耐火性能等是否与符合市场准入制度规定的有效证明文件和设计要求相符。 </w:t>
      </w:r>
    </w:p>
    <w:p>
      <w:pPr>
        <w:pStyle w:val="ListParagraph"/>
        <w:numPr>
          <w:ilvl w:val="2"/>
          <w:numId w:val="841"/>
        </w:numPr>
        <w:tabs>
          <w:tab w:pos="1370" w:val="left" w:leader="none"/>
        </w:tabs>
        <w:spacing w:line="446" w:lineRule="auto" w:before="26" w:after="0"/>
        <w:ind w:left="418" w:right="1443" w:firstLine="422"/>
        <w:jc w:val="left"/>
        <w:rPr>
          <w:sz w:val="21"/>
        </w:rPr>
      </w:pPr>
      <w:r>
        <w:rPr>
          <w:spacing w:val="-12"/>
          <w:sz w:val="21"/>
        </w:rPr>
        <w:t>每樘防火卷帘及配套的卷门机、控制器、手动按钮盒、温控释放装置，均应在其明显 </w:t>
      </w:r>
      <w:r>
        <w:rPr>
          <w:spacing w:val="-23"/>
          <w:sz w:val="21"/>
        </w:rPr>
        <w:t>部位设置永久性标牌，并应标明产品名称、型号、规格、耐火性能及商标、生产单位</w:t>
      </w:r>
      <w:r>
        <w:rPr>
          <w:spacing w:val="-3"/>
          <w:sz w:val="21"/>
        </w:rPr>
        <w:t>（</w:t>
      </w:r>
      <w:r>
        <w:rPr>
          <w:spacing w:val="3"/>
          <w:sz w:val="21"/>
        </w:rPr>
        <w:t>制造 商</w:t>
      </w:r>
      <w:r>
        <w:rPr>
          <w:spacing w:val="-29"/>
          <w:sz w:val="21"/>
        </w:rPr>
        <w:t>）</w:t>
      </w:r>
      <w:r>
        <w:rPr>
          <w:sz w:val="21"/>
        </w:rPr>
        <w:t>名</w:t>
      </w:r>
      <w:r>
        <w:rPr>
          <w:spacing w:val="-8"/>
          <w:sz w:val="21"/>
        </w:rPr>
        <w:t>称、厂址、出厂日期、产品编号或生产批号、执行标准等。</w:t>
      </w:r>
      <w:r>
        <w:rPr>
          <w:sz w:val="21"/>
        </w:rPr>
        <w:t> </w:t>
      </w:r>
    </w:p>
    <w:p>
      <w:pPr>
        <w:pStyle w:val="BodyText"/>
        <w:spacing w:line="446" w:lineRule="auto" w:before="11"/>
        <w:ind w:left="826" w:right="7427"/>
      </w:pPr>
      <w:r>
        <w:rPr>
          <w:spacing w:val="-7"/>
        </w:rPr>
        <w:t>检查数量：全数检查。  检查方法：直观检查。</w:t>
      </w:r>
      <w:r>
        <w:rPr/>
        <w:t> </w:t>
      </w:r>
      <w:r>
        <w:rPr>
          <w:spacing w:val="3"/>
        </w:rPr>
        <w:t> </w:t>
      </w:r>
      <w:r>
        <w:rPr>
          <w:w w:val="100"/>
        </w:rPr>
        <w:t> </w:t>
      </w:r>
    </w:p>
    <w:p>
      <w:pPr>
        <w:pStyle w:val="ListParagraph"/>
        <w:numPr>
          <w:ilvl w:val="2"/>
          <w:numId w:val="841"/>
        </w:numPr>
        <w:tabs>
          <w:tab w:pos="1371" w:val="left" w:leader="none"/>
        </w:tabs>
        <w:spacing w:line="240" w:lineRule="auto" w:before="31" w:after="0"/>
        <w:ind w:left="1370" w:right="0" w:hanging="531"/>
        <w:jc w:val="left"/>
        <w:rPr>
          <w:sz w:val="21"/>
        </w:rPr>
      </w:pPr>
      <w:r>
        <w:rPr>
          <w:spacing w:val="-8"/>
          <w:sz w:val="21"/>
        </w:rPr>
        <w:t>防火卷帘的钢质帘面及卷门机、控制器等金属零部件的表面不应有裂纹、压坑及明</w:t>
      </w:r>
    </w:p>
    <w:p>
      <w:pPr>
        <w:spacing w:after="0" w:line="240" w:lineRule="auto"/>
        <w:jc w:val="left"/>
        <w:rPr>
          <w:sz w:val="21"/>
        </w:rPr>
        <w:sectPr>
          <w:pgSz w:w="11910" w:h="16850"/>
          <w:pgMar w:header="0" w:footer="1239" w:top="1220" w:bottom="1420" w:left="1260" w:right="0"/>
        </w:sectPr>
      </w:pPr>
    </w:p>
    <w:p>
      <w:pPr>
        <w:pStyle w:val="BodyText"/>
        <w:spacing w:line="465" w:lineRule="auto" w:before="47"/>
        <w:ind w:left="418" w:right="7105"/>
        <w:jc w:val="center"/>
      </w:pPr>
      <w:r>
        <w:rPr/>
        <w:t>显 的凹凸、锤痕、毛刺等缺陷。检查数量：全数检查。 </w:t>
      </w:r>
    </w:p>
    <w:p>
      <w:pPr>
        <w:pStyle w:val="BodyText"/>
        <w:spacing w:before="1"/>
        <w:ind w:right="6601"/>
        <w:jc w:val="center"/>
      </w:pPr>
      <w:r>
        <w:rPr/>
        <w:t>检查方法：直观检查。  </w:t>
      </w:r>
      <w:r>
        <w:rPr>
          <w:w w:val="100"/>
        </w:rPr>
        <w:t> </w:t>
      </w:r>
    </w:p>
    <w:p>
      <w:pPr>
        <w:pStyle w:val="BodyText"/>
        <w:spacing w:before="6"/>
        <w:rPr>
          <w:sz w:val="18"/>
        </w:rPr>
      </w:pPr>
    </w:p>
    <w:p>
      <w:pPr>
        <w:pStyle w:val="ListParagraph"/>
        <w:numPr>
          <w:ilvl w:val="2"/>
          <w:numId w:val="841"/>
        </w:numPr>
        <w:tabs>
          <w:tab w:pos="1371" w:val="left" w:leader="none"/>
        </w:tabs>
        <w:spacing w:line="446" w:lineRule="auto" w:before="0" w:after="0"/>
        <w:ind w:left="418" w:right="1575" w:firstLine="422"/>
        <w:jc w:val="left"/>
        <w:rPr>
          <w:sz w:val="21"/>
        </w:rPr>
      </w:pPr>
      <w:r>
        <w:rPr>
          <w:spacing w:val="-8"/>
          <w:sz w:val="21"/>
        </w:rPr>
        <w:t>防火卷帘无机纤维复合帘面，不应有撕裂、缺角、挖补、倾斜、跳线、断线、经纬纱</w:t>
      </w:r>
      <w:r>
        <w:rPr>
          <w:spacing w:val="-6"/>
          <w:sz w:val="21"/>
        </w:rPr>
        <w:t>密度明显不匀及色差等缺陷。</w:t>
      </w:r>
      <w:r>
        <w:rPr>
          <w:sz w:val="21"/>
        </w:rPr>
        <w:t> </w:t>
      </w:r>
    </w:p>
    <w:p>
      <w:pPr>
        <w:pStyle w:val="BodyText"/>
        <w:spacing w:line="456" w:lineRule="auto" w:before="22"/>
        <w:ind w:left="826" w:right="7537"/>
      </w:pPr>
      <w:r>
        <w:rPr>
          <w:spacing w:val="-7"/>
        </w:rPr>
        <w:t>检查数量：全数检查。 检查方法：直观检查。</w:t>
      </w:r>
      <w:r>
        <w:rPr>
          <w:b/>
        </w:rPr>
        <w:t>4.3</w:t>
      </w:r>
      <w:r>
        <w:rPr>
          <w:b/>
          <w:spacing w:val="2"/>
        </w:rPr>
        <w:t> </w:t>
      </w:r>
      <w:r>
        <w:rPr>
          <w:spacing w:val="-3"/>
        </w:rPr>
        <w:t>防火门检验</w:t>
      </w:r>
      <w:r>
        <w:rPr/>
        <w:t> </w:t>
      </w:r>
    </w:p>
    <w:p>
      <w:pPr>
        <w:pStyle w:val="ListParagraph"/>
        <w:numPr>
          <w:ilvl w:val="2"/>
          <w:numId w:val="842"/>
        </w:numPr>
        <w:tabs>
          <w:tab w:pos="1370" w:val="left" w:leader="none"/>
        </w:tabs>
        <w:spacing w:line="258" w:lineRule="exact" w:before="0" w:after="0"/>
        <w:ind w:left="1369" w:right="0" w:hanging="530"/>
        <w:jc w:val="left"/>
        <w:rPr>
          <w:sz w:val="21"/>
        </w:rPr>
      </w:pPr>
      <w:r>
        <w:rPr>
          <w:spacing w:val="-8"/>
          <w:sz w:val="21"/>
        </w:rPr>
        <w:t>防火门应具有出厂合格证和符合市场准入制度规定的有效证明文件，其型号、规格</w:t>
      </w:r>
      <w:r>
        <w:rPr>
          <w:sz w:val="21"/>
        </w:rPr>
        <w:t> </w:t>
      </w:r>
    </w:p>
    <w:p>
      <w:pPr>
        <w:pStyle w:val="BodyText"/>
        <w:spacing w:before="12"/>
        <w:rPr>
          <w:sz w:val="17"/>
        </w:rPr>
      </w:pPr>
    </w:p>
    <w:p>
      <w:pPr>
        <w:pStyle w:val="BodyText"/>
        <w:spacing w:line="451" w:lineRule="auto"/>
        <w:ind w:left="826" w:right="7420" w:hanging="408"/>
      </w:pPr>
      <w:r>
        <w:rPr/>
        <w:t>及耐火性能应符合设计要求。检查数量：全数检查。 </w:t>
      </w:r>
    </w:p>
    <w:p>
      <w:pPr>
        <w:pStyle w:val="BodyText"/>
        <w:spacing w:line="446" w:lineRule="auto" w:before="1"/>
        <w:ind w:left="418" w:right="1476" w:firstLine="419"/>
      </w:pPr>
      <w:r>
        <w:rPr>
          <w:w w:val="100"/>
        </w:rPr>
        <w:t> </w:t>
      </w:r>
      <w:r>
        <w:rPr/>
        <w:t>检查方法：核查产品名称、型号、规格及耐火性能是否与符合市场准入制度规定的有效证明文件和设计要求相符。  </w:t>
      </w:r>
      <w:r>
        <w:rPr>
          <w:w w:val="100"/>
        </w:rPr>
        <w:t> </w:t>
      </w:r>
    </w:p>
    <w:p>
      <w:pPr>
        <w:pStyle w:val="ListParagraph"/>
        <w:numPr>
          <w:ilvl w:val="2"/>
          <w:numId w:val="842"/>
        </w:numPr>
        <w:tabs>
          <w:tab w:pos="1370" w:val="left" w:leader="none"/>
        </w:tabs>
        <w:spacing w:line="446" w:lineRule="auto" w:before="29" w:after="0"/>
        <w:ind w:left="418" w:right="1496" w:firstLine="422"/>
        <w:jc w:val="left"/>
        <w:rPr>
          <w:sz w:val="21"/>
        </w:rPr>
      </w:pPr>
      <w:r>
        <w:rPr>
          <w:spacing w:val="-8"/>
          <w:sz w:val="21"/>
        </w:rPr>
        <w:t>每樘防火门均应在其明显部位设置永久性标牌，并应标明产品名称、型号、规格、耐</w:t>
      </w:r>
      <w:r>
        <w:rPr>
          <w:spacing w:val="-6"/>
          <w:sz w:val="21"/>
        </w:rPr>
        <w:t>火性能及商标、生产单位</w:t>
      </w:r>
      <w:r>
        <w:rPr>
          <w:spacing w:val="-3"/>
          <w:sz w:val="21"/>
        </w:rPr>
        <w:t>（</w:t>
      </w:r>
      <w:r>
        <w:rPr>
          <w:spacing w:val="-4"/>
          <w:sz w:val="21"/>
        </w:rPr>
        <w:t>制造商</w:t>
      </w:r>
      <w:r>
        <w:rPr>
          <w:spacing w:val="-8"/>
          <w:sz w:val="21"/>
        </w:rPr>
        <w:t>）</w:t>
      </w:r>
      <w:r>
        <w:rPr>
          <w:spacing w:val="-7"/>
          <w:sz w:val="21"/>
        </w:rPr>
        <w:t>名称和厂址、出厂日期及产品生产批号、执行标准等。</w:t>
      </w:r>
      <w:r>
        <w:rPr>
          <w:sz w:val="21"/>
        </w:rPr>
        <w:t> </w:t>
      </w:r>
    </w:p>
    <w:p>
      <w:pPr>
        <w:pStyle w:val="BodyText"/>
        <w:spacing w:before="20"/>
        <w:ind w:left="826"/>
      </w:pPr>
      <w:r>
        <w:rPr>
          <w:spacing w:val="-7"/>
        </w:rPr>
        <w:t>检查数量：全数检查。</w:t>
      </w:r>
      <w:r>
        <w:rPr/>
        <w:t> </w:t>
      </w:r>
    </w:p>
    <w:p>
      <w:pPr>
        <w:pStyle w:val="BodyText"/>
        <w:spacing w:before="8"/>
        <w:rPr>
          <w:sz w:val="19"/>
        </w:rPr>
      </w:pPr>
    </w:p>
    <w:p>
      <w:pPr>
        <w:pStyle w:val="BodyText"/>
        <w:ind w:left="418"/>
      </w:pPr>
      <w:r>
        <w:rPr>
          <w:w w:val="100"/>
        </w:rPr>
        <w:t>   </w:t>
      </w:r>
      <w:r>
        <w:rPr>
          <w:spacing w:val="-3"/>
          <w:w w:val="100"/>
        </w:rPr>
        <w:t> </w:t>
      </w:r>
      <w:r>
        <w:rPr>
          <w:spacing w:val="-7"/>
        </w:rPr>
        <w:t>检查方法：直观检查。 </w:t>
      </w:r>
      <w:r>
        <w:rPr>
          <w:spacing w:val="-9"/>
        </w:rPr>
        <w:t> </w:t>
      </w:r>
      <w:r>
        <w:rPr>
          <w:w w:val="100"/>
        </w:rPr>
        <w:t> </w:t>
      </w:r>
    </w:p>
    <w:p>
      <w:pPr>
        <w:pStyle w:val="BodyText"/>
        <w:spacing w:before="11"/>
        <w:rPr>
          <w:sz w:val="18"/>
        </w:rPr>
      </w:pPr>
    </w:p>
    <w:p>
      <w:pPr>
        <w:pStyle w:val="ListParagraph"/>
        <w:numPr>
          <w:ilvl w:val="2"/>
          <w:numId w:val="842"/>
        </w:numPr>
        <w:tabs>
          <w:tab w:pos="1370" w:val="left" w:leader="none"/>
        </w:tabs>
        <w:spacing w:line="240" w:lineRule="auto" w:before="0" w:after="0"/>
        <w:ind w:left="1369" w:right="0" w:hanging="530"/>
        <w:jc w:val="left"/>
        <w:rPr>
          <w:sz w:val="21"/>
        </w:rPr>
      </w:pPr>
      <w:r>
        <w:rPr>
          <w:spacing w:val="-8"/>
          <w:sz w:val="21"/>
        </w:rPr>
        <w:t>防火门的门框、门扇及各配件表面应平整、光洁，并应无明显凹痕或机械损伤。</w:t>
      </w:r>
      <w:r>
        <w:rPr>
          <w:sz w:val="21"/>
        </w:rPr>
        <w:t>   </w:t>
      </w:r>
    </w:p>
    <w:p>
      <w:pPr>
        <w:pStyle w:val="BodyText"/>
        <w:spacing w:before="2"/>
        <w:rPr>
          <w:sz w:val="18"/>
        </w:rPr>
      </w:pPr>
    </w:p>
    <w:p>
      <w:pPr>
        <w:pStyle w:val="BodyText"/>
        <w:spacing w:line="448" w:lineRule="auto"/>
        <w:ind w:left="840" w:right="5977" w:hanging="423"/>
      </w:pPr>
      <w:r>
        <w:rPr/>
        <w:t>检查数量：全数检查。检查方法：直观检查。</w:t>
      </w:r>
      <w:r>
        <w:rPr>
          <w:b/>
        </w:rPr>
        <w:t>4.4 </w:t>
      </w:r>
      <w:r>
        <w:rPr/>
        <w:t>防火窗检验 </w:t>
      </w:r>
    </w:p>
    <w:p>
      <w:pPr>
        <w:pStyle w:val="ListParagraph"/>
        <w:numPr>
          <w:ilvl w:val="2"/>
          <w:numId w:val="843"/>
        </w:numPr>
        <w:tabs>
          <w:tab w:pos="1370" w:val="left" w:leader="none"/>
        </w:tabs>
        <w:spacing w:line="264" w:lineRule="exact" w:before="0" w:after="0"/>
        <w:ind w:left="1369" w:right="0" w:hanging="530"/>
        <w:jc w:val="left"/>
        <w:rPr>
          <w:sz w:val="21"/>
        </w:rPr>
      </w:pPr>
      <w:r>
        <w:rPr>
          <w:spacing w:val="-8"/>
          <w:sz w:val="21"/>
        </w:rPr>
        <w:t>防火窗应具有出厂合格证和符合市场准入制度规定的有效证明文件，其型号、规格</w:t>
      </w:r>
      <w:r>
        <w:rPr>
          <w:sz w:val="21"/>
        </w:rPr>
        <w:t> </w:t>
      </w:r>
    </w:p>
    <w:p>
      <w:pPr>
        <w:pStyle w:val="BodyText"/>
        <w:rPr>
          <w:sz w:val="18"/>
        </w:rPr>
      </w:pPr>
    </w:p>
    <w:p>
      <w:pPr>
        <w:pStyle w:val="BodyText"/>
        <w:ind w:left="418"/>
      </w:pPr>
      <w:r>
        <w:rPr/>
        <w:t>及耐火性能应符合设计要求。 </w:t>
      </w:r>
    </w:p>
    <w:p>
      <w:pPr>
        <w:pStyle w:val="BodyText"/>
        <w:spacing w:before="2"/>
        <w:rPr>
          <w:sz w:val="18"/>
        </w:rPr>
      </w:pPr>
    </w:p>
    <w:p>
      <w:pPr>
        <w:pStyle w:val="BodyText"/>
        <w:spacing w:line="446" w:lineRule="auto"/>
        <w:ind w:left="418" w:right="1522" w:firstLine="407"/>
      </w:pPr>
      <w:r>
        <w:rPr/>
        <w:t>检查数量：全数检查。 检查方法：核查产品名称、型号、规格及耐火性能是否与符合市场准入制度规定的有效证明文件和设计要求相符。 </w:t>
      </w:r>
    </w:p>
    <w:p>
      <w:pPr>
        <w:pStyle w:val="ListParagraph"/>
        <w:numPr>
          <w:ilvl w:val="2"/>
          <w:numId w:val="843"/>
        </w:numPr>
        <w:tabs>
          <w:tab w:pos="1370" w:val="left" w:leader="none"/>
        </w:tabs>
        <w:spacing w:line="448" w:lineRule="auto" w:before="24" w:after="0"/>
        <w:ind w:left="418" w:right="1575" w:firstLine="422"/>
        <w:jc w:val="left"/>
        <w:rPr>
          <w:sz w:val="21"/>
        </w:rPr>
      </w:pPr>
      <w:r>
        <w:rPr>
          <w:spacing w:val="-8"/>
          <w:sz w:val="21"/>
        </w:rPr>
        <w:t>每樘防火窗均应在其明显部位设置永久性标牌，并应标明产品名称、型号、规格、生</w:t>
      </w:r>
      <w:r>
        <w:rPr>
          <w:spacing w:val="-4"/>
          <w:sz w:val="21"/>
        </w:rPr>
        <w:t>产单位</w:t>
      </w:r>
      <w:r>
        <w:rPr>
          <w:spacing w:val="-3"/>
          <w:sz w:val="21"/>
        </w:rPr>
        <w:t>（</w:t>
      </w:r>
      <w:r>
        <w:rPr>
          <w:spacing w:val="-6"/>
          <w:sz w:val="21"/>
        </w:rPr>
        <w:t>制造商</w:t>
      </w:r>
      <w:r>
        <w:rPr>
          <w:spacing w:val="-3"/>
          <w:sz w:val="21"/>
        </w:rPr>
        <w:t>）</w:t>
      </w:r>
      <w:r>
        <w:rPr>
          <w:spacing w:val="-8"/>
          <w:sz w:val="21"/>
        </w:rPr>
        <w:t>名称和地址、产品生产日期或生产编号、出厂日期、执行标准等。</w:t>
      </w:r>
      <w:r>
        <w:rPr>
          <w:sz w:val="21"/>
        </w:rPr>
        <w:t> </w:t>
      </w:r>
    </w:p>
    <w:p>
      <w:pPr>
        <w:pStyle w:val="BodyText"/>
        <w:spacing w:line="266" w:lineRule="exact"/>
        <w:ind w:left="826"/>
      </w:pPr>
      <w:r>
        <w:rPr/>
        <w:t>检查数量：全数检查。 检查方法：直观检查。 </w:t>
      </w:r>
    </w:p>
    <w:p>
      <w:pPr>
        <w:pStyle w:val="BodyText"/>
        <w:spacing w:before="9"/>
        <w:rPr>
          <w:sz w:val="18"/>
        </w:rPr>
      </w:pPr>
    </w:p>
    <w:p>
      <w:pPr>
        <w:pStyle w:val="ListParagraph"/>
        <w:numPr>
          <w:ilvl w:val="2"/>
          <w:numId w:val="843"/>
        </w:numPr>
        <w:tabs>
          <w:tab w:pos="1370" w:val="left" w:leader="none"/>
        </w:tabs>
        <w:spacing w:line="240" w:lineRule="auto" w:before="0" w:after="0"/>
        <w:ind w:left="1369" w:right="0" w:hanging="530"/>
        <w:jc w:val="left"/>
        <w:rPr>
          <w:sz w:val="21"/>
        </w:rPr>
      </w:pPr>
      <w:r>
        <w:rPr>
          <w:spacing w:val="-8"/>
          <w:sz w:val="21"/>
        </w:rPr>
        <w:t>防火窗表面应平整、光洁，并应无明显凹痕或机械损伤。</w:t>
      </w:r>
      <w:r>
        <w:rPr>
          <w:spacing w:val="-3"/>
          <w:sz w:val="21"/>
        </w:rPr>
        <w:t> </w:t>
      </w:r>
      <w:r>
        <w:rPr>
          <w:sz w:val="21"/>
        </w:rPr>
        <w:t> </w:t>
      </w:r>
    </w:p>
    <w:p>
      <w:pPr>
        <w:spacing w:after="0" w:line="240" w:lineRule="auto"/>
        <w:jc w:val="left"/>
        <w:rPr>
          <w:sz w:val="21"/>
        </w:rPr>
        <w:sectPr>
          <w:pgSz w:w="11910" w:h="16850"/>
          <w:pgMar w:header="0" w:footer="1239" w:top="1220" w:bottom="1420" w:left="1260" w:right="0"/>
        </w:sectPr>
      </w:pPr>
    </w:p>
    <w:p>
      <w:pPr>
        <w:pStyle w:val="BodyText"/>
        <w:spacing w:line="463" w:lineRule="auto" w:before="45"/>
        <w:ind w:left="826" w:right="7641"/>
      </w:pPr>
      <w:r>
        <w:rPr/>
        <w:t>检查数量：全数检查。检查方法：直观检查。 </w:t>
      </w:r>
    </w:p>
    <w:p>
      <w:pPr>
        <w:pStyle w:val="Heading4"/>
        <w:spacing w:line="259" w:lineRule="exact"/>
      </w:pPr>
      <w:r>
        <w:rPr/>
        <w:t>5 安装</w:t>
      </w:r>
      <w:r>
        <w:rPr>
          <w:w w:val="99"/>
        </w:rPr>
        <w:t> </w:t>
      </w:r>
    </w:p>
    <w:p>
      <w:pPr>
        <w:pStyle w:val="BodyText"/>
        <w:spacing w:before="6"/>
        <w:rPr>
          <w:b/>
          <w:sz w:val="17"/>
        </w:rPr>
      </w:pPr>
    </w:p>
    <w:p>
      <w:pPr>
        <w:pStyle w:val="ListParagraph"/>
        <w:numPr>
          <w:ilvl w:val="1"/>
          <w:numId w:val="844"/>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844"/>
        </w:numPr>
        <w:tabs>
          <w:tab w:pos="1371" w:val="left" w:leader="none"/>
        </w:tabs>
        <w:spacing w:line="446" w:lineRule="auto" w:before="1" w:after="0"/>
        <w:ind w:left="418" w:right="1644" w:firstLine="422"/>
        <w:jc w:val="left"/>
        <w:rPr>
          <w:sz w:val="21"/>
        </w:rPr>
      </w:pPr>
      <w:r>
        <w:rPr>
          <w:spacing w:val="-8"/>
          <w:sz w:val="21"/>
        </w:rPr>
        <w:t>防火卷帘、防火门、防火窗的安装，应符合施工图、设计说明书及设计变更通知单</w:t>
      </w:r>
      <w:r>
        <w:rPr>
          <w:spacing w:val="-7"/>
          <w:sz w:val="21"/>
        </w:rPr>
        <w:t>等 技术文件的要求。</w:t>
      </w:r>
      <w:r>
        <w:rPr>
          <w:sz w:val="21"/>
        </w:rPr>
        <w:t> </w:t>
      </w:r>
    </w:p>
    <w:p>
      <w:pPr>
        <w:pStyle w:val="ListParagraph"/>
        <w:numPr>
          <w:ilvl w:val="2"/>
          <w:numId w:val="844"/>
        </w:numPr>
        <w:tabs>
          <w:tab w:pos="1371" w:val="left" w:leader="none"/>
          <w:tab w:pos="2429" w:val="left" w:leader="none"/>
        </w:tabs>
        <w:spacing w:line="446" w:lineRule="auto" w:before="0" w:after="0"/>
        <w:ind w:left="418" w:right="1544" w:firstLine="422"/>
        <w:jc w:val="left"/>
        <w:rPr>
          <w:sz w:val="21"/>
        </w:rPr>
      </w:pPr>
      <w:r>
        <w:rPr>
          <w:spacing w:val="-3"/>
          <w:sz w:val="21"/>
        </w:rPr>
        <w:t>防</w:t>
      </w:r>
      <w:r>
        <w:rPr>
          <w:spacing w:val="-8"/>
          <w:sz w:val="21"/>
        </w:rPr>
        <w:t>火</w:t>
      </w:r>
      <w:r>
        <w:rPr>
          <w:sz w:val="21"/>
        </w:rPr>
        <w:t>卷</w:t>
      </w:r>
      <w:r>
        <w:rPr>
          <w:spacing w:val="-3"/>
          <w:sz w:val="21"/>
        </w:rPr>
        <w:t>帘</w:t>
      </w:r>
      <w:r>
        <w:rPr>
          <w:spacing w:val="-7"/>
          <w:sz w:val="21"/>
        </w:rPr>
        <w:t>、</w:t>
      </w:r>
      <w:r>
        <w:rPr>
          <w:spacing w:val="-3"/>
          <w:sz w:val="21"/>
        </w:rPr>
        <w:t>防</w:t>
      </w:r>
      <w:r>
        <w:rPr>
          <w:spacing w:val="-8"/>
          <w:sz w:val="21"/>
        </w:rPr>
        <w:t>火门</w:t>
      </w:r>
      <w:r>
        <w:rPr>
          <w:sz w:val="21"/>
        </w:rPr>
        <w:t>、防</w:t>
      </w:r>
      <w:r>
        <w:rPr>
          <w:spacing w:val="-3"/>
          <w:sz w:val="21"/>
        </w:rPr>
        <w:t>火</w:t>
      </w:r>
      <w:r>
        <w:rPr>
          <w:spacing w:val="-8"/>
          <w:sz w:val="21"/>
        </w:rPr>
        <w:t>窗</w:t>
      </w:r>
      <w:r>
        <w:rPr>
          <w:spacing w:val="-3"/>
          <w:sz w:val="21"/>
        </w:rPr>
        <w:t>的</w:t>
      </w:r>
      <w:r>
        <w:rPr>
          <w:spacing w:val="-5"/>
          <w:sz w:val="21"/>
        </w:rPr>
        <w:t>安</w:t>
      </w:r>
      <w:r>
        <w:rPr>
          <w:spacing w:val="-3"/>
          <w:sz w:val="21"/>
        </w:rPr>
        <w:t>装过</w:t>
      </w:r>
      <w:r>
        <w:rPr>
          <w:spacing w:val="-5"/>
          <w:sz w:val="21"/>
        </w:rPr>
        <w:t>程</w:t>
      </w:r>
      <w:r>
        <w:rPr>
          <w:sz w:val="21"/>
        </w:rPr>
        <w:t>应</w:t>
      </w:r>
      <w:r>
        <w:rPr>
          <w:spacing w:val="-8"/>
          <w:sz w:val="21"/>
        </w:rPr>
        <w:t>进</w:t>
      </w:r>
      <w:r>
        <w:rPr>
          <w:sz w:val="21"/>
        </w:rPr>
        <w:t>行质</w:t>
      </w:r>
      <w:r>
        <w:rPr>
          <w:spacing w:val="-3"/>
          <w:sz w:val="21"/>
        </w:rPr>
        <w:t>量</w:t>
      </w:r>
      <w:r>
        <w:rPr>
          <w:spacing w:val="-8"/>
          <w:sz w:val="21"/>
        </w:rPr>
        <w:t>控</w:t>
      </w:r>
      <w:r>
        <w:rPr>
          <w:spacing w:val="-3"/>
          <w:sz w:val="21"/>
        </w:rPr>
        <w:t>制</w:t>
      </w:r>
      <w:r>
        <w:rPr>
          <w:spacing w:val="-5"/>
          <w:sz w:val="21"/>
        </w:rPr>
        <w:t>。</w:t>
      </w:r>
      <w:r>
        <w:rPr>
          <w:spacing w:val="-3"/>
          <w:sz w:val="21"/>
        </w:rPr>
        <w:t>每道</w:t>
      </w:r>
      <w:r>
        <w:rPr>
          <w:spacing w:val="-5"/>
          <w:sz w:val="21"/>
        </w:rPr>
        <w:t>工</w:t>
      </w:r>
      <w:r>
        <w:rPr>
          <w:spacing w:val="-3"/>
          <w:sz w:val="21"/>
        </w:rPr>
        <w:t>序</w:t>
      </w:r>
      <w:r>
        <w:rPr>
          <w:spacing w:val="-7"/>
          <w:sz w:val="21"/>
        </w:rPr>
        <w:t>结</w:t>
      </w:r>
      <w:r>
        <w:rPr>
          <w:sz w:val="21"/>
        </w:rPr>
        <w:t>束后</w:t>
      </w:r>
      <w:r>
        <w:rPr>
          <w:spacing w:val="-3"/>
          <w:sz w:val="21"/>
        </w:rPr>
        <w:t>应</w:t>
      </w:r>
      <w:r>
        <w:rPr>
          <w:spacing w:val="-8"/>
          <w:sz w:val="21"/>
        </w:rPr>
        <w:t>进</w:t>
      </w:r>
      <w:r>
        <w:rPr>
          <w:spacing w:val="-3"/>
          <w:sz w:val="21"/>
        </w:rPr>
        <w:t>行</w:t>
      </w:r>
      <w:r>
        <w:rPr>
          <w:spacing w:val="-5"/>
          <w:sz w:val="21"/>
        </w:rPr>
        <w:t>质  </w:t>
      </w:r>
      <w:r>
        <w:rPr>
          <w:sz w:val="21"/>
        </w:rPr>
        <w:t>量</w:t>
      </w:r>
      <w:r>
        <w:rPr>
          <w:spacing w:val="-3"/>
          <w:sz w:val="21"/>
        </w:rPr>
        <w:t>检</w:t>
      </w:r>
      <w:r>
        <w:rPr>
          <w:spacing w:val="-8"/>
          <w:sz w:val="21"/>
        </w:rPr>
        <w:t>查</w:t>
      </w:r>
      <w:r>
        <w:rPr>
          <w:spacing w:val="-87"/>
          <w:sz w:val="21"/>
        </w:rPr>
        <w:t>，</w:t>
      </w:r>
      <w:r>
        <w:rPr>
          <w:spacing w:val="-3"/>
          <w:sz w:val="21"/>
        </w:rPr>
        <w:t>检</w:t>
      </w:r>
      <w:r>
        <w:rPr>
          <w:spacing w:val="-5"/>
          <w:sz w:val="21"/>
        </w:rPr>
        <w:t>查</w:t>
      </w:r>
      <w:r>
        <w:rPr>
          <w:spacing w:val="-3"/>
          <w:sz w:val="21"/>
        </w:rPr>
        <w:t>应由</w:t>
      </w:r>
      <w:r>
        <w:rPr>
          <w:spacing w:val="-5"/>
          <w:sz w:val="21"/>
        </w:rPr>
        <w:t>施</w:t>
      </w:r>
      <w:r>
        <w:rPr>
          <w:spacing w:val="-3"/>
          <w:sz w:val="21"/>
        </w:rPr>
        <w:t>工</w:t>
      </w:r>
      <w:r>
        <w:rPr>
          <w:spacing w:val="-7"/>
          <w:sz w:val="21"/>
        </w:rPr>
        <w:t>单</w:t>
      </w:r>
      <w:r>
        <w:rPr>
          <w:spacing w:val="-3"/>
          <w:sz w:val="21"/>
        </w:rPr>
        <w:t>位</w:t>
      </w:r>
      <w:r>
        <w:rPr>
          <w:sz w:val="21"/>
        </w:rPr>
        <w:t>负</w:t>
      </w:r>
      <w:r>
        <w:rPr>
          <w:spacing w:val="-8"/>
          <w:sz w:val="21"/>
        </w:rPr>
        <w:t>责</w:t>
      </w:r>
      <w:r>
        <w:rPr>
          <w:spacing w:val="-87"/>
          <w:sz w:val="21"/>
        </w:rPr>
        <w:t>，</w:t>
      </w:r>
      <w:r>
        <w:rPr>
          <w:spacing w:val="-3"/>
          <w:sz w:val="21"/>
        </w:rPr>
        <w:t>并</w:t>
      </w:r>
      <w:r>
        <w:rPr>
          <w:spacing w:val="-8"/>
          <w:sz w:val="21"/>
        </w:rPr>
        <w:t>应</w:t>
      </w:r>
      <w:r>
        <w:rPr>
          <w:sz w:val="21"/>
        </w:rPr>
        <w:t>由</w:t>
      </w:r>
      <w:r>
        <w:rPr>
          <w:spacing w:val="-3"/>
          <w:sz w:val="21"/>
        </w:rPr>
        <w:t>监</w:t>
      </w:r>
      <w:r>
        <w:rPr>
          <w:spacing w:val="-8"/>
          <w:sz w:val="21"/>
        </w:rPr>
        <w:t>理</w:t>
      </w:r>
      <w:r>
        <w:rPr>
          <w:spacing w:val="-3"/>
          <w:sz w:val="21"/>
        </w:rPr>
        <w:t>单</w:t>
      </w:r>
      <w:r>
        <w:rPr>
          <w:spacing w:val="-5"/>
          <w:sz w:val="21"/>
        </w:rPr>
        <w:t>位</w:t>
      </w:r>
      <w:r>
        <w:rPr>
          <w:spacing w:val="-3"/>
          <w:sz w:val="21"/>
        </w:rPr>
        <w:t>监</w:t>
      </w:r>
      <w:r>
        <w:rPr>
          <w:spacing w:val="-7"/>
          <w:sz w:val="21"/>
        </w:rPr>
        <w:t>督</w:t>
      </w:r>
      <w:r>
        <w:rPr>
          <w:spacing w:val="-84"/>
          <w:sz w:val="21"/>
        </w:rPr>
        <w:t>。</w:t>
      </w:r>
      <w:r>
        <w:rPr>
          <w:spacing w:val="-5"/>
          <w:sz w:val="21"/>
        </w:rPr>
        <w:t>隐</w:t>
      </w:r>
      <w:r>
        <w:rPr>
          <w:spacing w:val="-3"/>
          <w:sz w:val="21"/>
        </w:rPr>
        <w:t>蔽</w:t>
      </w:r>
      <w:r>
        <w:rPr>
          <w:spacing w:val="-8"/>
          <w:sz w:val="21"/>
        </w:rPr>
        <w:t>工</w:t>
      </w:r>
      <w:r>
        <w:rPr>
          <w:sz w:val="21"/>
        </w:rPr>
        <w:t>程</w:t>
      </w:r>
      <w:r>
        <w:rPr>
          <w:spacing w:val="-3"/>
          <w:sz w:val="21"/>
        </w:rPr>
        <w:t>在</w:t>
      </w:r>
      <w:r>
        <w:rPr>
          <w:spacing w:val="-8"/>
          <w:sz w:val="21"/>
        </w:rPr>
        <w:t>隐</w:t>
      </w:r>
      <w:r>
        <w:rPr>
          <w:spacing w:val="-3"/>
          <w:sz w:val="21"/>
        </w:rPr>
        <w:t>蔽</w:t>
      </w:r>
      <w:r>
        <w:rPr>
          <w:spacing w:val="-5"/>
          <w:sz w:val="21"/>
        </w:rPr>
        <w:t>前</w:t>
      </w:r>
      <w:r>
        <w:rPr>
          <w:spacing w:val="-3"/>
          <w:sz w:val="21"/>
        </w:rPr>
        <w:t>应由</w:t>
      </w:r>
      <w:r>
        <w:rPr>
          <w:spacing w:val="-7"/>
          <w:sz w:val="21"/>
        </w:rPr>
        <w:t>施</w:t>
      </w:r>
      <w:r>
        <w:rPr>
          <w:sz w:val="21"/>
        </w:rPr>
        <w:t>工</w:t>
      </w:r>
      <w:r>
        <w:rPr>
          <w:spacing w:val="-8"/>
          <w:sz w:val="21"/>
        </w:rPr>
        <w:t>单位</w:t>
      </w:r>
      <w:r>
        <w:rPr>
          <w:sz w:val="21"/>
        </w:rPr>
        <w:t>通</w:t>
      </w:r>
      <w:r>
        <w:rPr>
          <w:spacing w:val="20"/>
          <w:sz w:val="21"/>
        </w:rPr>
        <w:t> </w:t>
      </w:r>
      <w:r>
        <w:rPr>
          <w:sz w:val="21"/>
        </w:rPr>
        <w:t>知有</w:t>
      </w:r>
      <w:r>
        <w:rPr>
          <w:spacing w:val="-5"/>
          <w:sz w:val="21"/>
        </w:rPr>
        <w:t>关</w:t>
      </w:r>
      <w:r>
        <w:rPr>
          <w:spacing w:val="-3"/>
          <w:sz w:val="21"/>
        </w:rPr>
        <w:t>单</w:t>
      </w:r>
      <w:r>
        <w:rPr>
          <w:spacing w:val="-8"/>
          <w:sz w:val="21"/>
        </w:rPr>
        <w:t>位</w:t>
      </w:r>
      <w:r>
        <w:rPr>
          <w:spacing w:val="-3"/>
          <w:sz w:val="21"/>
        </w:rPr>
        <w:t>进</w:t>
      </w:r>
      <w:r>
        <w:rPr>
          <w:spacing w:val="-5"/>
          <w:sz w:val="21"/>
        </w:rPr>
        <w:t>行</w:t>
      </w:r>
      <w:r>
        <w:rPr>
          <w:spacing w:val="-3"/>
          <w:sz w:val="21"/>
        </w:rPr>
        <w:t>验</w:t>
      </w:r>
      <w:r>
        <w:rPr>
          <w:spacing w:val="-8"/>
          <w:sz w:val="21"/>
        </w:rPr>
        <w:t>收</w:t>
      </w:r>
      <w:r>
        <w:rPr>
          <w:spacing w:val="-3"/>
          <w:sz w:val="21"/>
        </w:rPr>
        <w:t>。</w:t>
      </w:r>
      <w:r>
        <w:rPr>
          <w:sz w:val="21"/>
        </w:rPr>
        <w:t> </w:t>
        <w:tab/>
      </w:r>
      <w:r>
        <w:rPr>
          <w:w w:val="100"/>
          <w:sz w:val="21"/>
        </w:rPr>
        <w:t> </w:t>
      </w:r>
    </w:p>
    <w:p>
      <w:pPr>
        <w:pStyle w:val="ListParagraph"/>
        <w:numPr>
          <w:ilvl w:val="2"/>
          <w:numId w:val="844"/>
        </w:numPr>
        <w:tabs>
          <w:tab w:pos="1371" w:val="left" w:leader="none"/>
        </w:tabs>
        <w:spacing w:line="446" w:lineRule="auto" w:before="0" w:after="0"/>
        <w:ind w:left="418" w:right="1642" w:firstLine="422"/>
        <w:jc w:val="both"/>
        <w:rPr>
          <w:sz w:val="21"/>
        </w:rPr>
      </w:pPr>
      <w:r>
        <w:rPr>
          <w:spacing w:val="-10"/>
          <w:sz w:val="21"/>
        </w:rPr>
        <w:t>防火卷帘、防火门、防火窗安装过程的检查，应按本规范附录 </w:t>
      </w:r>
      <w:r>
        <w:rPr>
          <w:spacing w:val="-3"/>
          <w:sz w:val="21"/>
        </w:rPr>
        <w:t>C</w:t>
      </w:r>
      <w:r>
        <w:rPr>
          <w:spacing w:val="-6"/>
          <w:sz w:val="21"/>
        </w:rPr>
        <w:t> 表 </w:t>
      </w:r>
      <w:r>
        <w:rPr>
          <w:spacing w:val="-3"/>
          <w:sz w:val="21"/>
        </w:rPr>
        <w:t>C.0.1-2</w:t>
      </w:r>
      <w:r>
        <w:rPr>
          <w:spacing w:val="11"/>
          <w:sz w:val="21"/>
        </w:rPr>
        <w:t> 填写安</w:t>
      </w:r>
      <w:r>
        <w:rPr>
          <w:spacing w:val="-14"/>
          <w:sz w:val="21"/>
        </w:rPr>
        <w:t>装 过程检查记录，按表 </w:t>
      </w:r>
      <w:r>
        <w:rPr>
          <w:sz w:val="21"/>
        </w:rPr>
        <w:t>C.0.1-3</w:t>
      </w:r>
      <w:r>
        <w:rPr>
          <w:spacing w:val="-9"/>
          <w:sz w:val="21"/>
        </w:rPr>
        <w:t> 填写隐蔽工程验收记录。检查合格后，应经监理工程师签证后</w:t>
      </w:r>
      <w:r>
        <w:rPr>
          <w:spacing w:val="-5"/>
          <w:sz w:val="21"/>
        </w:rPr>
        <w:t>再进行调试。</w:t>
      </w:r>
      <w:r>
        <w:rPr>
          <w:sz w:val="21"/>
        </w:rPr>
        <w:t> </w:t>
      </w:r>
    </w:p>
    <w:p>
      <w:pPr>
        <w:pStyle w:val="ListParagraph"/>
        <w:numPr>
          <w:ilvl w:val="1"/>
          <w:numId w:val="844"/>
        </w:numPr>
        <w:tabs>
          <w:tab w:pos="1159" w:val="left" w:leader="none"/>
        </w:tabs>
        <w:spacing w:line="268" w:lineRule="exact" w:before="0" w:after="0"/>
        <w:ind w:left="1158" w:right="0" w:hanging="319"/>
        <w:jc w:val="left"/>
        <w:rPr>
          <w:b/>
          <w:sz w:val="21"/>
        </w:rPr>
      </w:pPr>
      <w:r>
        <w:rPr>
          <w:spacing w:val="-3"/>
          <w:sz w:val="21"/>
        </w:rPr>
        <w:t>防火卷帘安装</w:t>
      </w:r>
      <w:r>
        <w:rPr>
          <w:b/>
          <w:w w:val="99"/>
          <w:sz w:val="21"/>
        </w:rPr>
        <w:t> </w:t>
      </w:r>
    </w:p>
    <w:p>
      <w:pPr>
        <w:pStyle w:val="BodyText"/>
        <w:spacing w:before="11"/>
        <w:rPr>
          <w:b/>
          <w:sz w:val="17"/>
        </w:rPr>
      </w:pPr>
    </w:p>
    <w:p>
      <w:pPr>
        <w:pStyle w:val="ListParagraph"/>
        <w:numPr>
          <w:ilvl w:val="2"/>
          <w:numId w:val="844"/>
        </w:numPr>
        <w:tabs>
          <w:tab w:pos="1371" w:val="left" w:leader="none"/>
        </w:tabs>
        <w:spacing w:line="240" w:lineRule="auto" w:before="0" w:after="0"/>
        <w:ind w:left="1370" w:right="0" w:hanging="531"/>
        <w:jc w:val="left"/>
        <w:rPr>
          <w:sz w:val="21"/>
        </w:rPr>
      </w:pPr>
      <w:r>
        <w:rPr>
          <w:spacing w:val="-5"/>
          <w:sz w:val="21"/>
        </w:rPr>
        <w:t>防火卷帘帘板</w:t>
      </w:r>
      <w:r>
        <w:rPr>
          <w:spacing w:val="-3"/>
          <w:sz w:val="21"/>
        </w:rPr>
        <w:t>（</w:t>
      </w:r>
      <w:r>
        <w:rPr>
          <w:spacing w:val="-8"/>
          <w:sz w:val="21"/>
        </w:rPr>
        <w:t>面</w:t>
      </w:r>
      <w:r>
        <w:rPr>
          <w:spacing w:val="-5"/>
          <w:sz w:val="21"/>
        </w:rPr>
        <w:t>）</w:t>
      </w:r>
      <w:r>
        <w:rPr>
          <w:spacing w:val="-6"/>
          <w:sz w:val="21"/>
        </w:rPr>
        <w:t>安装应符合下列规定：</w:t>
      </w:r>
      <w:r>
        <w:rPr>
          <w:sz w:val="21"/>
        </w:rPr>
        <w:t> </w:t>
      </w:r>
    </w:p>
    <w:p>
      <w:pPr>
        <w:pStyle w:val="BodyText"/>
        <w:spacing w:before="1"/>
        <w:rPr>
          <w:sz w:val="19"/>
        </w:rPr>
      </w:pPr>
    </w:p>
    <w:p>
      <w:pPr>
        <w:pStyle w:val="BodyText"/>
        <w:spacing w:line="460" w:lineRule="auto"/>
        <w:ind w:left="826" w:right="3788" w:firstLine="12"/>
      </w:pPr>
      <w:r>
        <w:rPr>
          <w:spacing w:val="-8"/>
        </w:rPr>
        <w:t>钢质防火卷帘相邻帘板串接后应转动灵活，摆动</w:t>
      </w:r>
      <w:r>
        <w:rPr/>
        <w:t>90</w:t>
      </w:r>
      <w:r>
        <w:rPr>
          <w:spacing w:val="-5"/>
        </w:rPr>
        <w:t>°不应脱落。 </w:t>
      </w:r>
      <w:r>
        <w:rPr>
          <w:spacing w:val="-7"/>
        </w:rPr>
        <w:t>检查数量：全数检查。</w:t>
      </w:r>
      <w:r>
        <w:rPr/>
        <w:t> </w:t>
      </w:r>
    </w:p>
    <w:p>
      <w:pPr>
        <w:pStyle w:val="BodyText"/>
        <w:spacing w:before="2"/>
        <w:ind w:left="826"/>
      </w:pPr>
      <w:r>
        <w:rPr/>
        <w:t>检查方法：直观检查；直角尺测量。 </w:t>
      </w:r>
    </w:p>
    <w:p>
      <w:pPr>
        <w:pStyle w:val="BodyText"/>
        <w:spacing w:before="5"/>
        <w:rPr>
          <w:sz w:val="20"/>
        </w:rPr>
      </w:pPr>
    </w:p>
    <w:p>
      <w:pPr>
        <w:pStyle w:val="BodyText"/>
        <w:spacing w:line="472" w:lineRule="auto"/>
        <w:ind w:left="826" w:right="4100" w:firstLine="12"/>
      </w:pPr>
      <w:r>
        <w:rPr>
          <w:spacing w:val="-8"/>
        </w:rPr>
        <w:t>钢质防火卷帘的帘板装配完毕后应平直，不应有孔洞或缝隙。</w:t>
      </w:r>
      <w:r>
        <w:rPr>
          <w:spacing w:val="-7"/>
        </w:rPr>
        <w:t>检查数量：全数检查。</w:t>
      </w:r>
      <w:r>
        <w:rPr/>
        <w:t> </w:t>
      </w:r>
    </w:p>
    <w:p>
      <w:pPr>
        <w:pStyle w:val="BodyText"/>
        <w:spacing w:line="258" w:lineRule="exact"/>
        <w:ind w:left="826"/>
      </w:pPr>
      <w:r>
        <w:rPr>
          <w:spacing w:val="-7"/>
        </w:rPr>
        <w:t>检查方法：直观检查。</w:t>
      </w:r>
      <w:r>
        <w:rPr/>
        <w:t> </w:t>
      </w:r>
    </w:p>
    <w:p>
      <w:pPr>
        <w:pStyle w:val="BodyText"/>
        <w:spacing w:before="7"/>
        <w:rPr>
          <w:sz w:val="20"/>
        </w:rPr>
      </w:pPr>
    </w:p>
    <w:p>
      <w:pPr>
        <w:pStyle w:val="BodyText"/>
        <w:spacing w:line="446" w:lineRule="auto"/>
        <w:ind w:left="418" w:right="1467" w:firstLine="427"/>
      </w:pPr>
      <w:r>
        <w:rPr/>
        <w:t>钢质防火卷帘帘板两端挡板或防窜机构应装配牢固，卷帘运行时，相邻帘板窜动量不 应大于2mm。 </w:t>
      </w:r>
    </w:p>
    <w:p>
      <w:pPr>
        <w:pStyle w:val="BodyText"/>
        <w:ind w:left="826"/>
      </w:pPr>
      <w:r>
        <w:rPr/>
        <w:t>检查数量：全数检查。  </w:t>
      </w:r>
    </w:p>
    <w:p>
      <w:pPr>
        <w:pStyle w:val="BodyText"/>
        <w:spacing w:before="2"/>
        <w:rPr>
          <w:sz w:val="18"/>
        </w:rPr>
      </w:pPr>
    </w:p>
    <w:p>
      <w:pPr>
        <w:pStyle w:val="BodyText"/>
        <w:ind w:left="826"/>
      </w:pPr>
      <w:r>
        <w:rPr/>
        <w:t>检查方法：直观检查；直尺或钢卷尺测量。 </w:t>
      </w:r>
    </w:p>
    <w:p>
      <w:pPr>
        <w:pStyle w:val="BodyText"/>
        <w:spacing w:before="11"/>
        <w:rPr>
          <w:sz w:val="18"/>
        </w:rPr>
      </w:pPr>
    </w:p>
    <w:p>
      <w:pPr>
        <w:pStyle w:val="BodyText"/>
        <w:spacing w:line="453" w:lineRule="auto" w:before="1"/>
        <w:ind w:left="826" w:right="5348" w:firstLine="12"/>
      </w:pPr>
      <w:r>
        <w:rPr>
          <w:spacing w:val="-8"/>
        </w:rPr>
        <w:t>无机纤维复合防火卷帘帘面两端应安装防风钩。</w:t>
      </w:r>
      <w:r>
        <w:rPr>
          <w:spacing w:val="-7"/>
        </w:rPr>
        <w:t>检查数量：全数检查。</w:t>
      </w:r>
      <w:r>
        <w:rPr/>
        <w:t> </w:t>
      </w:r>
    </w:p>
    <w:p>
      <w:pPr>
        <w:pStyle w:val="BodyText"/>
        <w:spacing w:before="15"/>
        <w:ind w:left="826"/>
      </w:pPr>
      <w:r>
        <w:rPr>
          <w:spacing w:val="-7"/>
        </w:rPr>
        <w:t>检查方法：直观检查。</w:t>
      </w:r>
      <w:r>
        <w:rPr/>
        <w:t> </w:t>
      </w:r>
    </w:p>
    <w:p>
      <w:pPr>
        <w:pStyle w:val="BodyText"/>
        <w:spacing w:before="5"/>
        <w:rPr>
          <w:sz w:val="20"/>
        </w:rPr>
      </w:pPr>
    </w:p>
    <w:p>
      <w:pPr>
        <w:pStyle w:val="BodyText"/>
        <w:ind w:left="838"/>
      </w:pPr>
      <w:r>
        <w:rPr/>
        <w:t>无机纤维复合防火卷帘帘面应通过固定件与卷轴相连。 </w:t>
      </w:r>
    </w:p>
    <w:p>
      <w:pPr>
        <w:spacing w:after="0"/>
        <w:sectPr>
          <w:pgSz w:w="11910" w:h="16850"/>
          <w:pgMar w:header="0" w:footer="1239" w:top="1220" w:bottom="1420" w:left="1260" w:right="0"/>
        </w:sectPr>
      </w:pPr>
    </w:p>
    <w:p>
      <w:pPr>
        <w:pStyle w:val="BodyText"/>
        <w:spacing w:before="45"/>
        <w:ind w:left="826"/>
      </w:pPr>
      <w:r>
        <w:rPr/>
        <w:t>检查数量：全数检查。 </w:t>
      </w:r>
    </w:p>
    <w:p>
      <w:pPr>
        <w:pStyle w:val="BodyText"/>
        <w:spacing w:before="11"/>
        <w:rPr>
          <w:sz w:val="19"/>
        </w:rPr>
      </w:pPr>
    </w:p>
    <w:p>
      <w:pPr>
        <w:pStyle w:val="BodyText"/>
        <w:tabs>
          <w:tab w:pos="3219" w:val="left" w:leader="none"/>
        </w:tabs>
        <w:ind w:left="826"/>
      </w:pPr>
      <w:r>
        <w:rPr>
          <w:spacing w:val="-5"/>
        </w:rPr>
        <w:t>检</w:t>
      </w:r>
      <w:r>
        <w:rPr>
          <w:spacing w:val="-3"/>
        </w:rPr>
        <w:t>查</w:t>
      </w:r>
      <w:r>
        <w:rPr>
          <w:spacing w:val="-8"/>
        </w:rPr>
        <w:t>方</w:t>
      </w:r>
      <w:r>
        <w:rPr>
          <w:spacing w:val="-3"/>
        </w:rPr>
        <w:t>法</w:t>
      </w:r>
      <w:r>
        <w:rPr>
          <w:spacing w:val="-5"/>
        </w:rPr>
        <w:t>：</w:t>
      </w:r>
      <w:r>
        <w:rPr>
          <w:spacing w:val="-3"/>
        </w:rPr>
        <w:t>直</w:t>
      </w:r>
      <w:r>
        <w:rPr>
          <w:spacing w:val="-8"/>
        </w:rPr>
        <w:t>观</w:t>
      </w:r>
      <w:r>
        <w:rPr>
          <w:spacing w:val="-3"/>
        </w:rPr>
        <w:t>检</w:t>
      </w:r>
      <w:r>
        <w:rPr>
          <w:spacing w:val="-5"/>
        </w:rPr>
        <w:t>查</w:t>
      </w:r>
      <w:r>
        <w:rPr>
          <w:spacing w:val="-3"/>
        </w:rPr>
        <w:t>。</w:t>
      </w:r>
      <w:r>
        <w:rPr/>
        <w:t> </w:t>
        <w:tab/>
      </w:r>
      <w:hyperlink r:id="rId467">
        <w:r>
          <w:rPr>
            <w:color w:val="DDD9C3"/>
            <w:spacing w:val="-8"/>
            <w:w w:val="100"/>
            <w:u w:val="single" w:color="DDD9C3"/>
          </w:rPr>
          <w:t> </w:t>
        </w:r>
      </w:hyperlink>
      <w:r>
        <w:rPr>
          <w:w w:val="100"/>
        </w:rPr>
        <w:t> </w:t>
      </w:r>
    </w:p>
    <w:p>
      <w:pPr>
        <w:pStyle w:val="BodyText"/>
        <w:spacing w:before="10"/>
        <w:rPr>
          <w:sz w:val="14"/>
        </w:rPr>
      </w:pPr>
    </w:p>
    <w:p>
      <w:pPr>
        <w:pStyle w:val="ListParagraph"/>
        <w:numPr>
          <w:ilvl w:val="2"/>
          <w:numId w:val="844"/>
        </w:numPr>
        <w:tabs>
          <w:tab w:pos="1370" w:val="left" w:leader="none"/>
        </w:tabs>
        <w:spacing w:line="240" w:lineRule="auto" w:before="72" w:after="0"/>
        <w:ind w:left="1369" w:right="0" w:hanging="530"/>
        <w:jc w:val="left"/>
        <w:rPr>
          <w:sz w:val="21"/>
        </w:rPr>
      </w:pPr>
      <w:r>
        <w:rPr>
          <w:spacing w:val="-7"/>
          <w:sz w:val="21"/>
        </w:rPr>
        <w:t>导轨安装应符合下列规定：</w:t>
      </w:r>
      <w:r>
        <w:rPr>
          <w:sz w:val="21"/>
        </w:rPr>
        <w:t> </w:t>
      </w:r>
    </w:p>
    <w:p>
      <w:pPr>
        <w:pStyle w:val="BodyText"/>
        <w:spacing w:before="11"/>
        <w:rPr>
          <w:sz w:val="18"/>
        </w:rPr>
      </w:pPr>
    </w:p>
    <w:p>
      <w:pPr>
        <w:pStyle w:val="BodyText"/>
        <w:spacing w:line="448" w:lineRule="auto"/>
        <w:ind w:left="418" w:right="1587" w:firstLine="419"/>
      </w:pPr>
      <w:r>
        <w:rPr>
          <w:spacing w:val="-12"/>
        </w:rPr>
        <w:t>防火卷帘帘板或帘面嵌入导轨的深度应符合表 </w:t>
      </w:r>
      <w:r>
        <w:rPr/>
        <w:t>5.2.2</w:t>
      </w:r>
      <w:r>
        <w:rPr>
          <w:spacing w:val="-9"/>
        </w:rPr>
        <w:t> 的规定。导轨间距大于表 </w:t>
      </w:r>
      <w:r>
        <w:rPr/>
        <w:t>5.2.2</w:t>
      </w:r>
      <w:r>
        <w:rPr>
          <w:spacing w:val="11"/>
        </w:rPr>
        <w:t> 的规</w:t>
      </w:r>
      <w:r>
        <w:rPr>
          <w:spacing w:val="-3"/>
        </w:rPr>
        <w:t>定时，导轨间距每增加</w:t>
      </w:r>
      <w:r>
        <w:rPr/>
        <w:t>1000mm</w:t>
      </w:r>
      <w:r>
        <w:rPr>
          <w:spacing w:val="-10"/>
        </w:rPr>
        <w:t>，每端嵌入深度应增加 </w:t>
      </w:r>
      <w:r>
        <w:rPr/>
        <w:t>10mm</w:t>
      </w:r>
      <w:r>
        <w:rPr>
          <w:spacing w:val="-3"/>
        </w:rPr>
        <w:t>，且卷帘安装后不应变形。</w:t>
      </w:r>
      <w:r>
        <w:rPr/>
        <w:t> </w:t>
      </w:r>
    </w:p>
    <w:p>
      <w:pPr>
        <w:pStyle w:val="BodyText"/>
        <w:spacing w:line="268" w:lineRule="exact"/>
        <w:ind w:left="826"/>
      </w:pPr>
      <w:r>
        <w:rPr/>
        <w:t>检查数量：全数检查。 </w:t>
      </w:r>
    </w:p>
    <w:p>
      <w:pPr>
        <w:pStyle w:val="BodyText"/>
        <w:spacing w:before="3"/>
        <w:rPr>
          <w:sz w:val="20"/>
        </w:rPr>
      </w:pPr>
    </w:p>
    <w:p>
      <w:pPr>
        <w:pStyle w:val="BodyText"/>
        <w:ind w:left="826"/>
      </w:pPr>
      <w:r>
        <w:rPr/>
        <w:t>检查方法：直观检查；直尺测量，测量点为每根导轨距其底部200mm 处，取最小值。 </w:t>
      </w:r>
    </w:p>
    <w:p>
      <w:pPr>
        <w:pStyle w:val="BodyText"/>
        <w:spacing w:before="2"/>
        <w:rPr>
          <w:sz w:val="18"/>
        </w:rPr>
      </w:pPr>
    </w:p>
    <w:p>
      <w:pPr>
        <w:pStyle w:val="Heading6"/>
        <w:tabs>
          <w:tab w:pos="4299" w:val="left" w:leader="none"/>
        </w:tabs>
        <w:spacing w:before="1"/>
        <w:ind w:left="3250"/>
      </w:pPr>
      <w:r>
        <w:rPr/>
        <w:t>表</w:t>
      </w:r>
      <w:r>
        <w:rPr>
          <w:spacing w:val="-106"/>
        </w:rPr>
        <w:t>5</w:t>
      </w:r>
      <w:r>
        <w:rPr>
          <w:spacing w:val="-2"/>
        </w:rPr>
        <w:t> </w:t>
      </w:r>
      <w:r>
        <w:rPr/>
        <w:t>.2.2</w:t>
        <w:tab/>
        <w:t>帘</w:t>
      </w:r>
      <w:r>
        <w:rPr>
          <w:spacing w:val="-8"/>
        </w:rPr>
        <w:t>板</w:t>
      </w:r>
      <w:r>
        <w:rPr/>
        <w:t>或</w:t>
      </w:r>
      <w:r>
        <w:rPr>
          <w:spacing w:val="-5"/>
        </w:rPr>
        <w:t>帘</w:t>
      </w:r>
      <w:r>
        <w:rPr>
          <w:spacing w:val="-3"/>
        </w:rPr>
        <w:t>面</w:t>
      </w:r>
      <w:r>
        <w:rPr>
          <w:spacing w:val="-8"/>
        </w:rPr>
        <w:t>嵌</w:t>
      </w:r>
      <w:r>
        <w:rPr/>
        <w:t>入导</w:t>
      </w:r>
      <w:r>
        <w:rPr>
          <w:spacing w:val="-5"/>
        </w:rPr>
        <w:t>轨</w:t>
      </w:r>
      <w:r>
        <w:rPr>
          <w:spacing w:val="-3"/>
        </w:rPr>
        <w:t>的</w:t>
      </w:r>
      <w:r>
        <w:rPr>
          <w:spacing w:val="-5"/>
        </w:rPr>
        <w:t>深</w:t>
      </w:r>
      <w:r>
        <w:rPr>
          <w:spacing w:val="-3"/>
        </w:rPr>
        <w:t>度</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3"/>
        </w:rPr>
      </w:pPr>
      <w:r>
        <w:rPr/>
        <w:drawing>
          <wp:anchor distT="0" distB="0" distL="0" distR="0" allowOverlap="1" layoutInCell="1" locked="0" behindDoc="0" simplePos="0" relativeHeight="281">
            <wp:simplePos x="0" y="0"/>
            <wp:positionH relativeFrom="page">
              <wp:posOffset>1587500</wp:posOffset>
            </wp:positionH>
            <wp:positionV relativeFrom="paragraph">
              <wp:posOffset>213146</wp:posOffset>
            </wp:positionV>
            <wp:extent cx="4268013" cy="1174432"/>
            <wp:effectExtent l="0" t="0" r="0" b="0"/>
            <wp:wrapTopAndBottom/>
            <wp:docPr id="657" name="image379.jpeg"/>
            <wp:cNvGraphicFramePr>
              <a:graphicFrameLocks noChangeAspect="1"/>
            </wp:cNvGraphicFramePr>
            <a:graphic>
              <a:graphicData uri="http://schemas.openxmlformats.org/drawingml/2006/picture">
                <pic:pic>
                  <pic:nvPicPr>
                    <pic:cNvPr id="658" name="image379.jpeg"/>
                    <pic:cNvPicPr/>
                  </pic:nvPicPr>
                  <pic:blipFill>
                    <a:blip r:embed="rId468" cstate="print"/>
                    <a:stretch>
                      <a:fillRect/>
                    </a:stretch>
                  </pic:blipFill>
                  <pic:spPr>
                    <a:xfrm>
                      <a:off x="0" y="0"/>
                      <a:ext cx="4268013" cy="1174432"/>
                    </a:xfrm>
                    <a:prstGeom prst="rect">
                      <a:avLst/>
                    </a:prstGeom>
                  </pic:spPr>
                </pic:pic>
              </a:graphicData>
            </a:graphic>
          </wp:anchor>
        </w:drawing>
      </w:r>
    </w:p>
    <w:p>
      <w:pPr>
        <w:pStyle w:val="BodyText"/>
        <w:rPr>
          <w:b/>
          <w:sz w:val="20"/>
        </w:rPr>
      </w:pPr>
    </w:p>
    <w:p>
      <w:pPr>
        <w:pStyle w:val="BodyText"/>
        <w:spacing w:before="2"/>
        <w:rPr>
          <w:b/>
          <w:sz w:val="27"/>
        </w:rPr>
      </w:pPr>
    </w:p>
    <w:p>
      <w:pPr>
        <w:pStyle w:val="BodyText"/>
        <w:spacing w:line="446" w:lineRule="auto" w:before="71"/>
        <w:ind w:left="826" w:right="4825" w:firstLine="12"/>
      </w:pPr>
      <w:r>
        <w:rPr>
          <w:spacing w:val="-8"/>
        </w:rPr>
        <w:t>导轨顶部应成圆弧形，其长度应保证卷帘正常运行。 </w:t>
      </w:r>
      <w:r>
        <w:rPr>
          <w:spacing w:val="-7"/>
        </w:rPr>
        <w:t>检查数量：全数检查。</w:t>
      </w:r>
      <w:r>
        <w:rPr/>
        <w:t> </w:t>
      </w:r>
    </w:p>
    <w:p>
      <w:pPr>
        <w:pStyle w:val="BodyText"/>
        <w:spacing w:before="17"/>
        <w:ind w:left="826"/>
      </w:pPr>
      <w:r>
        <w:rPr>
          <w:spacing w:val="-7"/>
        </w:rPr>
        <w:t>检查方法：直观检查。</w:t>
      </w:r>
      <w:r>
        <w:rPr/>
        <w:t> </w:t>
      </w:r>
    </w:p>
    <w:p>
      <w:pPr>
        <w:pStyle w:val="BodyText"/>
        <w:spacing w:before="6"/>
        <w:rPr>
          <w:sz w:val="20"/>
        </w:rPr>
      </w:pPr>
    </w:p>
    <w:p>
      <w:pPr>
        <w:pStyle w:val="BodyText"/>
        <w:spacing w:line="446" w:lineRule="auto"/>
        <w:ind w:left="418" w:right="1784" w:firstLine="427"/>
      </w:pPr>
      <w:r>
        <w:rPr/>
        <w:t>导轨的滑动面应光滑、平直。帘片或帘面、滚轮在导轨内运行时应平稳、顺畅，不应有碰撞和冲击现象。 </w:t>
      </w:r>
    </w:p>
    <w:p>
      <w:pPr>
        <w:pStyle w:val="BodyText"/>
        <w:spacing w:before="16"/>
        <w:ind w:left="826"/>
      </w:pPr>
      <w:r>
        <w:rPr/>
        <w:t>检查数量：全数检查。  </w:t>
      </w:r>
    </w:p>
    <w:p>
      <w:pPr>
        <w:pStyle w:val="BodyText"/>
        <w:spacing w:before="12"/>
        <w:rPr>
          <w:sz w:val="18"/>
        </w:rPr>
      </w:pPr>
    </w:p>
    <w:p>
      <w:pPr>
        <w:pStyle w:val="BodyText"/>
        <w:ind w:left="838"/>
      </w:pPr>
      <w:r>
        <w:rPr/>
        <w:t>检查方法：直观检查；手动试验。 </w:t>
      </w:r>
    </w:p>
    <w:p>
      <w:pPr>
        <w:pStyle w:val="BodyText"/>
        <w:spacing w:before="11"/>
        <w:rPr>
          <w:sz w:val="18"/>
        </w:rPr>
      </w:pPr>
    </w:p>
    <w:p>
      <w:pPr>
        <w:pStyle w:val="BodyText"/>
        <w:spacing w:line="446" w:lineRule="auto"/>
        <w:ind w:left="418" w:right="1469" w:firstLine="427"/>
      </w:pPr>
      <w:r>
        <w:rPr/>
        <w:t>单帘面卷帘的两根导轨应互相平行，双帘面卷帘不同帘面的导轨也应互相平行，其平 行度误差均不应大于5mm。 </w:t>
      </w:r>
    </w:p>
    <w:p>
      <w:pPr>
        <w:pStyle w:val="BodyText"/>
        <w:spacing w:before="6"/>
        <w:ind w:left="826"/>
      </w:pPr>
      <w:r>
        <w:rPr/>
        <w:t>检查数量：全数检查。 </w:t>
      </w:r>
    </w:p>
    <w:p>
      <w:pPr>
        <w:pStyle w:val="BodyText"/>
        <w:spacing w:before="4"/>
        <w:rPr>
          <w:sz w:val="20"/>
        </w:rPr>
      </w:pPr>
    </w:p>
    <w:p>
      <w:pPr>
        <w:pStyle w:val="BodyText"/>
        <w:spacing w:line="446" w:lineRule="auto" w:before="1"/>
        <w:ind w:left="418" w:right="1839" w:firstLine="407"/>
      </w:pPr>
      <w:r>
        <w:rPr>
          <w:spacing w:val="-9"/>
        </w:rPr>
        <w:t>检查方法：直观检查；钢卷尺测量，测量点为距导轨顶部</w:t>
      </w:r>
      <w:r>
        <w:rPr>
          <w:spacing w:val="-106"/>
        </w:rPr>
        <w:t>2</w:t>
      </w:r>
      <w:r>
        <w:rPr>
          <w:spacing w:val="5"/>
        </w:rPr>
        <w:t> </w:t>
      </w:r>
      <w:r>
        <w:rPr/>
        <w:t>00mm</w:t>
      </w:r>
      <w:r>
        <w:rPr>
          <w:spacing w:val="-5"/>
        </w:rPr>
        <w:t> 处、导轨长度的</w:t>
      </w:r>
      <w:r>
        <w:rPr/>
        <w:t>1/2</w:t>
      </w:r>
      <w:r>
        <w:rPr>
          <w:spacing w:val="2"/>
        </w:rPr>
        <w:t> 处</w:t>
      </w:r>
      <w:r>
        <w:rPr>
          <w:spacing w:val="-4"/>
        </w:rPr>
        <w:t>及距导轨底部</w:t>
      </w:r>
      <w:r>
        <w:rPr>
          <w:spacing w:val="-3"/>
        </w:rPr>
        <w:t>200mm</w:t>
      </w:r>
      <w:r>
        <w:rPr>
          <w:spacing w:val="-4"/>
        </w:rPr>
        <w:t> 处</w:t>
      </w:r>
      <w:r>
        <w:rPr/>
        <w:t>3</w:t>
      </w:r>
      <w:r>
        <w:rPr>
          <w:spacing w:val="-7"/>
        </w:rPr>
        <w:t> 点，取最大值和最小值之差。 </w:t>
      </w:r>
    </w:p>
    <w:p>
      <w:pPr>
        <w:spacing w:after="0" w:line="446" w:lineRule="auto"/>
        <w:sectPr>
          <w:pgSz w:w="11910" w:h="16850"/>
          <w:pgMar w:header="0" w:footer="1239" w:top="1220" w:bottom="1420" w:left="1260" w:right="0"/>
        </w:sectPr>
      </w:pPr>
    </w:p>
    <w:p>
      <w:pPr>
        <w:pStyle w:val="BodyText"/>
        <w:spacing w:line="448" w:lineRule="auto" w:before="45"/>
        <w:ind w:left="418" w:right="1719" w:firstLine="419"/>
      </w:pPr>
      <w:r>
        <w:rPr>
          <w:spacing w:val="-12"/>
          <w:w w:val="100"/>
        </w:rPr>
        <w:t>卷帘的导轨安装后相对于基础面的垂直度误差不应大于 </w:t>
      </w:r>
      <w:r>
        <w:rPr>
          <w:w w:val="100"/>
        </w:rPr>
        <w:t>1</w:t>
      </w:r>
      <w:r>
        <w:rPr>
          <w:spacing w:val="-5"/>
          <w:w w:val="100"/>
        </w:rPr>
        <w:t>.</w:t>
      </w:r>
      <w:r>
        <w:rPr>
          <w:w w:val="100"/>
        </w:rPr>
        <w:t>5</w:t>
      </w:r>
      <w:r>
        <w:rPr>
          <w:spacing w:val="-5"/>
          <w:w w:val="100"/>
        </w:rPr>
        <w:t>m</w:t>
      </w:r>
      <w:r>
        <w:rPr>
          <w:spacing w:val="-3"/>
          <w:w w:val="100"/>
        </w:rPr>
        <w:t>m</w:t>
      </w:r>
      <w:r>
        <w:rPr>
          <w:w w:val="100"/>
        </w:rPr>
        <w:t>/</w:t>
      </w:r>
      <w:r>
        <w:rPr>
          <w:spacing w:val="-8"/>
          <w:w w:val="100"/>
        </w:rPr>
        <w:t>m</w:t>
      </w:r>
      <w:r>
        <w:rPr>
          <w:spacing w:val="-212"/>
          <w:w w:val="100"/>
        </w:rPr>
        <w:t>，</w:t>
      </w:r>
      <w:r>
        <w:rPr>
          <w:spacing w:val="-19"/>
          <w:w w:val="100"/>
        </w:rPr>
        <w:t>全长不应大于 </w:t>
      </w:r>
      <w:r>
        <w:rPr>
          <w:w w:val="100"/>
        </w:rPr>
        <w:t>20</w:t>
      </w:r>
      <w:r>
        <w:rPr>
          <w:spacing w:val="-5"/>
          <w:w w:val="100"/>
        </w:rPr>
        <w:t>mm</w:t>
      </w:r>
      <w:r>
        <w:rPr>
          <w:spacing w:val="-3"/>
          <w:w w:val="100"/>
        </w:rPr>
        <w:t>。 检查</w:t>
      </w:r>
      <w:r>
        <w:rPr>
          <w:spacing w:val="-7"/>
        </w:rPr>
        <w:t>数量：全数检查。</w:t>
      </w:r>
      <w:r>
        <w:rPr/>
        <w:t> </w:t>
      </w:r>
    </w:p>
    <w:p>
      <w:pPr>
        <w:pStyle w:val="BodyText"/>
        <w:spacing w:before="12"/>
        <w:ind w:left="826"/>
      </w:pPr>
      <w:r>
        <w:rPr/>
        <w:t>检查方法：直观检查；采用吊线方法，用直尺或钢卷尺测量。 </w:t>
      </w:r>
    </w:p>
    <w:p>
      <w:pPr>
        <w:pStyle w:val="BodyText"/>
        <w:spacing w:before="7"/>
        <w:rPr>
          <w:sz w:val="20"/>
        </w:rPr>
      </w:pPr>
    </w:p>
    <w:p>
      <w:pPr>
        <w:pStyle w:val="BodyText"/>
        <w:spacing w:line="446" w:lineRule="auto"/>
        <w:ind w:left="418" w:right="1712" w:firstLine="419"/>
      </w:pPr>
      <w:r>
        <w:rPr>
          <w:spacing w:val="-8"/>
        </w:rPr>
        <w:t>卷帘的防烟装置与帘面应均匀紧密贴合，其贴合面长度不应小于导轨长度的</w:t>
      </w:r>
      <w:r>
        <w:rPr/>
        <w:t>80%</w:t>
      </w:r>
      <w:r>
        <w:rPr>
          <w:spacing w:val="2"/>
        </w:rPr>
        <w:t>。 检查数</w:t>
      </w:r>
      <w:r>
        <w:rPr>
          <w:spacing w:val="-6"/>
        </w:rPr>
        <w:t>量：全数检查。</w:t>
      </w:r>
      <w:r>
        <w:rPr/>
        <w:t> </w:t>
      </w:r>
    </w:p>
    <w:p>
      <w:pPr>
        <w:pStyle w:val="BodyText"/>
        <w:spacing w:line="448" w:lineRule="auto" w:before="17"/>
        <w:ind w:left="418" w:right="1810" w:firstLine="407"/>
      </w:pPr>
      <w:r>
        <w:rPr>
          <w:spacing w:val="-8"/>
        </w:rPr>
        <w:t>检查方法：直观检查；塞尺测量，防火卷帘关闭后用</w:t>
      </w:r>
      <w:r>
        <w:rPr>
          <w:spacing w:val="-3"/>
        </w:rPr>
        <w:t>0.1mm</w:t>
      </w:r>
      <w:r>
        <w:rPr>
          <w:spacing w:val="-5"/>
        </w:rPr>
        <w:t> 的塞尺测量帘板或帘面表面</w:t>
      </w:r>
      <w:r>
        <w:rPr>
          <w:spacing w:val="-8"/>
        </w:rPr>
        <w:t>与防烟装置之间的缝隙，塞尺不能穿透防烟装置时，表明帘板或帘面与防烟装置紧密贴合。</w:t>
      </w:r>
      <w:r>
        <w:rPr/>
        <w:t> </w:t>
      </w:r>
    </w:p>
    <w:p>
      <w:pPr>
        <w:pStyle w:val="BodyText"/>
        <w:spacing w:line="446" w:lineRule="auto" w:before="16"/>
        <w:ind w:left="418" w:right="1469" w:firstLine="427"/>
      </w:pPr>
      <w:r>
        <w:rPr/>
        <w:t>防火卷帘的导轨应安装在建筑结构上，并应采用预埋螺栓、焊接或膨胀螺栓连接。导 轨安装应牢固，固定点间距应为600mm～1000mm。 </w:t>
      </w:r>
    </w:p>
    <w:p>
      <w:pPr>
        <w:pStyle w:val="BodyText"/>
        <w:tabs>
          <w:tab w:pos="6262" w:val="left" w:leader="none"/>
        </w:tabs>
        <w:spacing w:line="446" w:lineRule="auto" w:before="5"/>
        <w:ind w:left="418" w:right="3500" w:firstLine="407"/>
      </w:pPr>
      <w:r>
        <w:rPr>
          <w:spacing w:val="-5"/>
        </w:rPr>
        <w:t>检</w:t>
      </w:r>
      <w:r>
        <w:rPr>
          <w:spacing w:val="-3"/>
        </w:rPr>
        <w:t>查</w:t>
      </w:r>
      <w:r>
        <w:rPr>
          <w:spacing w:val="-8"/>
        </w:rPr>
        <w:t>数</w:t>
      </w:r>
      <w:r>
        <w:rPr>
          <w:spacing w:val="-3"/>
        </w:rPr>
        <w:t>量</w:t>
      </w:r>
      <w:r>
        <w:rPr>
          <w:spacing w:val="-5"/>
        </w:rPr>
        <w:t>：</w:t>
      </w:r>
      <w:r>
        <w:rPr>
          <w:spacing w:val="-3"/>
        </w:rPr>
        <w:t>全</w:t>
      </w:r>
      <w:r>
        <w:rPr>
          <w:spacing w:val="-8"/>
        </w:rPr>
        <w:t>数</w:t>
      </w:r>
      <w:r>
        <w:rPr>
          <w:spacing w:val="-3"/>
        </w:rPr>
        <w:t>检</w:t>
      </w:r>
      <w:r>
        <w:rPr>
          <w:spacing w:val="-5"/>
        </w:rPr>
        <w:t>查</w:t>
      </w:r>
      <w:r>
        <w:rPr>
          <w:spacing w:val="-3"/>
        </w:rPr>
        <w:t>。</w:t>
      </w:r>
      <w:r>
        <w:rPr>
          <w:spacing w:val="25"/>
        </w:rPr>
        <w:t> </w:t>
      </w:r>
      <w:r>
        <w:rPr>
          <w:spacing w:val="-8"/>
        </w:rPr>
        <w:t>检</w:t>
      </w:r>
      <w:r>
        <w:rPr/>
        <w:t>查</w:t>
      </w:r>
      <w:r>
        <w:rPr>
          <w:spacing w:val="-8"/>
        </w:rPr>
        <w:t>方</w:t>
      </w:r>
      <w:r>
        <w:rPr>
          <w:spacing w:val="-3"/>
        </w:rPr>
        <w:t>法</w:t>
      </w:r>
      <w:r>
        <w:rPr>
          <w:spacing w:val="-5"/>
        </w:rPr>
        <w:t>：</w:t>
      </w:r>
      <w:r>
        <w:rPr>
          <w:spacing w:val="-3"/>
        </w:rPr>
        <w:t>直</w:t>
      </w:r>
      <w:r>
        <w:rPr>
          <w:spacing w:val="-8"/>
        </w:rPr>
        <w:t>观</w:t>
      </w:r>
      <w:r>
        <w:rPr>
          <w:spacing w:val="-3"/>
        </w:rPr>
        <w:t>检</w:t>
      </w:r>
      <w:r>
        <w:rPr>
          <w:spacing w:val="-8"/>
        </w:rPr>
        <w:t>查</w:t>
      </w:r>
      <w:r>
        <w:rPr>
          <w:spacing w:val="-5"/>
        </w:rPr>
        <w:t>；</w:t>
      </w:r>
      <w:r>
        <w:rPr>
          <w:spacing w:val="-3"/>
        </w:rPr>
        <w:t>对</w:t>
      </w:r>
      <w:r>
        <w:rPr/>
        <w:t>照</w:t>
      </w:r>
      <w:r>
        <w:rPr>
          <w:spacing w:val="-5"/>
        </w:rPr>
        <w:t>设</w:t>
      </w:r>
      <w:r>
        <w:rPr>
          <w:spacing w:val="-3"/>
        </w:rPr>
        <w:t>计</w:t>
      </w:r>
      <w:r>
        <w:rPr>
          <w:spacing w:val="-8"/>
        </w:rPr>
        <w:t>图</w:t>
      </w:r>
      <w:r>
        <w:rPr>
          <w:spacing w:val="-3"/>
        </w:rPr>
        <w:t>纸</w:t>
      </w:r>
      <w:r>
        <w:rPr>
          <w:spacing w:val="-5"/>
        </w:rPr>
        <w:t>检</w:t>
      </w:r>
      <w:r>
        <w:rPr>
          <w:spacing w:val="-3"/>
        </w:rPr>
        <w:t>查</w:t>
      </w:r>
      <w:r>
        <w:rPr>
          <w:spacing w:val="-8"/>
        </w:rPr>
        <w:t>；</w:t>
      </w:r>
      <w:r>
        <w:rPr/>
        <w:t>钢</w:t>
      </w:r>
      <w:r>
        <w:rPr>
          <w:spacing w:val="-5"/>
        </w:rPr>
        <w:t>卷</w:t>
      </w:r>
      <w:r>
        <w:rPr>
          <w:spacing w:val="-3"/>
        </w:rPr>
        <w:t>尺测</w:t>
      </w:r>
      <w:r>
        <w:rPr>
          <w:spacing w:val="-5"/>
        </w:rPr>
        <w:t>量</w:t>
      </w:r>
      <w:r>
        <w:rPr>
          <w:spacing w:val="-3"/>
        </w:rPr>
        <w:t>。</w:t>
      </w:r>
      <w:r>
        <w:rPr/>
        <w:t> </w:t>
        <w:tab/>
      </w:r>
      <w:r>
        <w:rPr>
          <w:w w:val="100"/>
        </w:rPr>
        <w:t> </w:t>
      </w:r>
    </w:p>
    <w:p>
      <w:pPr>
        <w:pStyle w:val="ListParagraph"/>
        <w:numPr>
          <w:ilvl w:val="2"/>
          <w:numId w:val="844"/>
        </w:numPr>
        <w:tabs>
          <w:tab w:pos="1371" w:val="left" w:leader="none"/>
        </w:tabs>
        <w:spacing w:line="240" w:lineRule="auto" w:before="5" w:after="0"/>
        <w:ind w:left="1370" w:right="0" w:hanging="531"/>
        <w:jc w:val="left"/>
        <w:rPr>
          <w:sz w:val="21"/>
        </w:rPr>
      </w:pPr>
      <w:r>
        <w:rPr>
          <w:spacing w:val="-6"/>
          <w:sz w:val="21"/>
        </w:rPr>
        <w:t>座板安装应符合下列规定：</w:t>
      </w:r>
      <w:r>
        <w:rPr>
          <w:sz w:val="21"/>
        </w:rPr>
        <w:t> </w:t>
      </w:r>
    </w:p>
    <w:p>
      <w:pPr>
        <w:pStyle w:val="BodyText"/>
        <w:spacing w:before="3"/>
        <w:rPr>
          <w:sz w:val="19"/>
        </w:rPr>
      </w:pPr>
    </w:p>
    <w:p>
      <w:pPr>
        <w:pStyle w:val="BodyText"/>
        <w:spacing w:line="460" w:lineRule="auto"/>
        <w:ind w:left="826" w:right="3068" w:firstLine="12"/>
      </w:pPr>
      <w:r>
        <w:rPr>
          <w:spacing w:val="-8"/>
        </w:rPr>
        <w:t>座板与地面应平行，接触应均匀。座板与帘板或帘面之间的连接应牢固。</w:t>
      </w:r>
      <w:r>
        <w:rPr>
          <w:spacing w:val="-7"/>
        </w:rPr>
        <w:t>检查数量：全数检查。</w:t>
      </w:r>
      <w:r>
        <w:rPr/>
        <w:t> </w:t>
      </w:r>
    </w:p>
    <w:p>
      <w:pPr>
        <w:pStyle w:val="BodyText"/>
        <w:spacing w:before="2"/>
        <w:ind w:left="826"/>
      </w:pPr>
      <w:r>
        <w:rPr>
          <w:spacing w:val="-7"/>
        </w:rPr>
        <w:t>检查方法：直观检查。</w:t>
      </w:r>
      <w:r>
        <w:rPr/>
        <w:t> </w:t>
      </w:r>
    </w:p>
    <w:p>
      <w:pPr>
        <w:pStyle w:val="BodyText"/>
        <w:spacing w:before="5"/>
        <w:rPr>
          <w:sz w:val="20"/>
        </w:rPr>
      </w:pPr>
    </w:p>
    <w:p>
      <w:pPr>
        <w:pStyle w:val="BodyText"/>
        <w:spacing w:line="472" w:lineRule="auto"/>
        <w:ind w:left="826" w:right="2444" w:firstLine="12"/>
      </w:pPr>
      <w:r>
        <w:rPr>
          <w:spacing w:val="-8"/>
        </w:rPr>
        <w:t>无机复合防火卷帘的座板应保证帘面下降顺畅，并应保证帘面具有适当悬垂度。</w:t>
      </w:r>
      <w:r>
        <w:rPr>
          <w:spacing w:val="-7"/>
        </w:rPr>
        <w:t>检查数量：全数检查。</w:t>
      </w:r>
      <w:r>
        <w:rPr/>
        <w:t> </w:t>
      </w:r>
    </w:p>
    <w:p>
      <w:pPr>
        <w:pStyle w:val="BodyText"/>
        <w:spacing w:line="260" w:lineRule="exact"/>
        <w:ind w:left="826"/>
      </w:pPr>
      <w:r>
        <w:rPr>
          <w:spacing w:val="-7"/>
        </w:rPr>
        <w:t>检查方法：直观检查。</w:t>
      </w:r>
      <w:r>
        <w:rPr>
          <w:spacing w:val="12"/>
        </w:rPr>
        <w:t> </w:t>
      </w:r>
      <w:r>
        <w:rPr/>
        <w:t> </w:t>
      </w:r>
    </w:p>
    <w:p>
      <w:pPr>
        <w:pStyle w:val="BodyText"/>
        <w:spacing w:before="5"/>
        <w:rPr>
          <w:sz w:val="20"/>
        </w:rPr>
      </w:pPr>
    </w:p>
    <w:p>
      <w:pPr>
        <w:pStyle w:val="ListParagraph"/>
        <w:numPr>
          <w:ilvl w:val="2"/>
          <w:numId w:val="844"/>
        </w:numPr>
        <w:tabs>
          <w:tab w:pos="1371" w:val="left" w:leader="none"/>
        </w:tabs>
        <w:spacing w:line="240" w:lineRule="auto" w:before="0" w:after="0"/>
        <w:ind w:left="1370" w:right="0" w:hanging="531"/>
        <w:jc w:val="left"/>
        <w:rPr>
          <w:sz w:val="21"/>
        </w:rPr>
      </w:pPr>
      <w:r>
        <w:rPr>
          <w:spacing w:val="-6"/>
          <w:sz w:val="21"/>
        </w:rPr>
        <w:t>门楣安装应符合下列规定：</w:t>
      </w:r>
      <w:r>
        <w:rPr>
          <w:sz w:val="21"/>
        </w:rPr>
        <w:t> </w:t>
      </w:r>
    </w:p>
    <w:p>
      <w:pPr>
        <w:pStyle w:val="BodyText"/>
        <w:spacing w:before="4"/>
        <w:rPr>
          <w:sz w:val="19"/>
        </w:rPr>
      </w:pPr>
    </w:p>
    <w:p>
      <w:pPr>
        <w:pStyle w:val="BodyText"/>
        <w:ind w:left="838"/>
      </w:pPr>
      <w:r>
        <w:rPr/>
        <w:t>门楣安装应牢固，固定点间距应为 600mm～1000mm。 </w:t>
      </w:r>
    </w:p>
    <w:p>
      <w:pPr>
        <w:pStyle w:val="BodyText"/>
        <w:spacing w:before="4"/>
        <w:rPr>
          <w:sz w:val="19"/>
        </w:rPr>
      </w:pPr>
    </w:p>
    <w:p>
      <w:pPr>
        <w:pStyle w:val="BodyText"/>
        <w:spacing w:line="460" w:lineRule="auto"/>
        <w:ind w:left="845" w:right="1500" w:hanging="8"/>
      </w:pPr>
      <w:r>
        <w:rPr/>
        <w:t>检查数量：全数检查。 检查方法：直观检查；对照设计、施工文件检查；钢卷尺测量。门楣内的防烟装置与卷帘帘板或帘面表面应均匀紧密贴合，其贴合面长度不应小于门楣长</w:t>
      </w:r>
    </w:p>
    <w:p>
      <w:pPr>
        <w:pStyle w:val="BodyText"/>
        <w:spacing w:line="253" w:lineRule="exact"/>
        <w:ind w:left="418"/>
      </w:pPr>
      <w:r>
        <w:rPr/>
        <w:t>度的80%，非贴合部位的缝隙不应大于2mm。 检查数量：全数检查。 </w:t>
      </w:r>
    </w:p>
    <w:p>
      <w:pPr>
        <w:pStyle w:val="BodyText"/>
        <w:spacing w:before="3"/>
        <w:rPr>
          <w:sz w:val="19"/>
        </w:rPr>
      </w:pPr>
    </w:p>
    <w:p>
      <w:pPr>
        <w:pStyle w:val="BodyText"/>
        <w:spacing w:line="446" w:lineRule="auto"/>
        <w:ind w:left="418" w:right="1587" w:firstLine="407"/>
        <w:jc w:val="both"/>
      </w:pPr>
      <w:r>
        <w:rPr>
          <w:spacing w:val="-8"/>
        </w:rPr>
        <w:t>检查方法：直观检查；塞尺测量，防火卷帘关闭后用</w:t>
      </w:r>
      <w:r>
        <w:rPr>
          <w:spacing w:val="-3"/>
        </w:rPr>
        <w:t>0.1mm</w:t>
      </w:r>
      <w:r>
        <w:rPr>
          <w:spacing w:val="-4"/>
        </w:rPr>
        <w:t> 的塞尺测量帘板或帘面表面 与</w:t>
      </w:r>
      <w:r>
        <w:rPr>
          <w:spacing w:val="-7"/>
        </w:rPr>
        <w:t>防烟装置之间的缝隙，塞尺不能穿透防烟装置时，表明帘板或帘面与防烟装置紧密贴合， 非贴合部分采用</w:t>
      </w:r>
      <w:r>
        <w:rPr/>
        <w:t>2.0mm</w:t>
      </w:r>
      <w:r>
        <w:rPr>
          <w:spacing w:val="-4"/>
        </w:rPr>
        <w:t> 的塞尺测量。</w:t>
      </w:r>
      <w:r>
        <w:rPr/>
        <w:t>      </w:t>
      </w:r>
      <w:r>
        <w:rPr>
          <w:spacing w:val="6"/>
        </w:rPr>
        <w:t> </w:t>
      </w:r>
      <w:r>
        <w:rPr>
          <w:w w:val="100"/>
        </w:rPr>
        <w:t> </w:t>
      </w:r>
    </w:p>
    <w:p>
      <w:pPr>
        <w:pStyle w:val="ListParagraph"/>
        <w:numPr>
          <w:ilvl w:val="2"/>
          <w:numId w:val="844"/>
        </w:numPr>
        <w:tabs>
          <w:tab w:pos="1370" w:val="left" w:leader="none"/>
        </w:tabs>
        <w:spacing w:line="240" w:lineRule="auto" w:before="2" w:after="0"/>
        <w:ind w:left="1369" w:right="0" w:hanging="530"/>
        <w:jc w:val="left"/>
        <w:rPr>
          <w:sz w:val="21"/>
        </w:rPr>
      </w:pPr>
      <w:r>
        <w:rPr>
          <w:spacing w:val="-7"/>
          <w:sz w:val="21"/>
        </w:rPr>
        <w:t>传动装置安装应符合下列规定：</w:t>
      </w:r>
      <w:r>
        <w:rPr>
          <w:sz w:val="21"/>
        </w:rPr>
        <w:t> </w:t>
      </w:r>
    </w:p>
    <w:p>
      <w:pPr>
        <w:spacing w:after="0" w:line="240" w:lineRule="auto"/>
        <w:jc w:val="left"/>
        <w:rPr>
          <w:sz w:val="21"/>
        </w:rPr>
        <w:sectPr>
          <w:footerReference w:type="default" r:id="rId469"/>
          <w:pgSz w:w="11910" w:h="16850"/>
          <w:pgMar w:footer="1239" w:header="0" w:top="1220" w:bottom="1420" w:left="1260" w:right="0"/>
          <w:pgNumType w:start="1490"/>
        </w:sectPr>
      </w:pPr>
    </w:p>
    <w:p>
      <w:pPr>
        <w:pStyle w:val="BodyText"/>
        <w:spacing w:line="463" w:lineRule="auto" w:before="45"/>
        <w:ind w:left="826" w:right="2472"/>
      </w:pPr>
      <w:r>
        <w:rPr>
          <w:spacing w:val="-8"/>
        </w:rPr>
        <w:t>卷轴与支架板应牢固地安装在混凝土结构或预埋钢件上。 检查数量：全数检查。</w:t>
      </w:r>
      <w:r>
        <w:rPr>
          <w:spacing w:val="-7"/>
        </w:rPr>
        <w:t>检查方法：直观检查。</w:t>
      </w:r>
      <w:r>
        <w:rPr/>
        <w:t> </w:t>
      </w:r>
    </w:p>
    <w:p>
      <w:pPr>
        <w:pStyle w:val="BodyText"/>
        <w:spacing w:line="465" w:lineRule="auto"/>
        <w:ind w:left="826" w:right="5235"/>
      </w:pPr>
      <w:r>
        <w:rPr>
          <w:spacing w:val="-6"/>
        </w:rPr>
        <w:t>卷轴在正常使用时的挠度应小于卷轴的  </w:t>
      </w:r>
      <w:r>
        <w:rPr>
          <w:spacing w:val="-5"/>
        </w:rPr>
        <w:t>1/400</w:t>
      </w:r>
      <w:r>
        <w:rPr>
          <w:spacing w:val="-8"/>
        </w:rPr>
        <w:t>。检</w:t>
      </w:r>
      <w:r>
        <w:rPr>
          <w:spacing w:val="-7"/>
        </w:rPr>
        <w:t>查数量：同一工程同类卷轴抽查 </w:t>
      </w:r>
      <w:r>
        <w:rPr>
          <w:spacing w:val="-5"/>
        </w:rPr>
        <w:t>1</w:t>
      </w:r>
      <w:r>
        <w:rPr/>
        <w:t> 件</w:t>
      </w:r>
      <w:r>
        <w:rPr>
          <w:spacing w:val="-5"/>
        </w:rPr>
        <w:t>～2 件。 检</w:t>
      </w:r>
      <w:r>
        <w:rPr>
          <w:spacing w:val="-7"/>
        </w:rPr>
        <w:t>查方法：直观检查；用试块、挠度计检查。 </w:t>
      </w:r>
      <w:r>
        <w:rPr>
          <w:b/>
        </w:rPr>
        <w:t>5.2.6</w:t>
      </w:r>
      <w:r>
        <w:rPr>
          <w:b/>
          <w:spacing w:val="2"/>
        </w:rPr>
        <w:t> </w:t>
      </w:r>
      <w:r>
        <w:rPr>
          <w:spacing w:val="-7"/>
        </w:rPr>
        <w:t>卷门机安装应符合下列规定：</w:t>
      </w:r>
      <w:r>
        <w:rPr/>
        <w:t> </w:t>
      </w:r>
    </w:p>
    <w:p>
      <w:pPr>
        <w:pStyle w:val="BodyText"/>
        <w:spacing w:line="245" w:lineRule="exact"/>
        <w:ind w:left="838"/>
      </w:pPr>
      <w:r>
        <w:rPr/>
        <w:t>卷门机应按产品说明书要求安装，且应牢固可靠。 </w:t>
      </w:r>
    </w:p>
    <w:p>
      <w:pPr>
        <w:pStyle w:val="BodyText"/>
        <w:spacing w:before="3"/>
        <w:rPr>
          <w:sz w:val="18"/>
        </w:rPr>
      </w:pPr>
    </w:p>
    <w:p>
      <w:pPr>
        <w:pStyle w:val="BodyText"/>
        <w:ind w:left="838"/>
      </w:pPr>
      <w:r>
        <w:rPr/>
        <w:t>检查数量：全数检查。  </w:t>
      </w:r>
    </w:p>
    <w:p>
      <w:pPr>
        <w:pStyle w:val="BodyText"/>
        <w:spacing w:before="2"/>
        <w:rPr>
          <w:sz w:val="18"/>
        </w:rPr>
      </w:pPr>
    </w:p>
    <w:p>
      <w:pPr>
        <w:pStyle w:val="BodyText"/>
        <w:ind w:left="838"/>
      </w:pPr>
      <w:r>
        <w:rPr/>
        <w:t>检查方法：直观检查；对照产品说明书检查。 </w:t>
      </w:r>
    </w:p>
    <w:p>
      <w:pPr>
        <w:pStyle w:val="BodyText"/>
        <w:spacing w:before="4"/>
        <w:rPr>
          <w:sz w:val="18"/>
        </w:rPr>
      </w:pPr>
    </w:p>
    <w:p>
      <w:pPr>
        <w:pStyle w:val="BodyText"/>
        <w:spacing w:line="446" w:lineRule="auto" w:before="1"/>
        <w:ind w:left="418" w:right="1503" w:firstLine="419"/>
      </w:pPr>
      <w:r>
        <w:rPr/>
        <w:t>卷门机应设有手动拉链和手动速放装置，其安装位置应便于操作，并应有明显标志。 手动拉链和手动速放装置不应加锁，且应采用不燃或难燃材料制作。 </w:t>
      </w:r>
    </w:p>
    <w:p>
      <w:pPr>
        <w:pStyle w:val="BodyText"/>
        <w:tabs>
          <w:tab w:pos="3358" w:val="left" w:leader="none"/>
        </w:tabs>
        <w:spacing w:line="446" w:lineRule="auto" w:before="2"/>
        <w:ind w:left="838" w:right="7180"/>
      </w:pPr>
      <w:r>
        <w:rPr/>
        <w:t>检查</w:t>
      </w:r>
      <w:r>
        <w:rPr>
          <w:spacing w:val="-3"/>
        </w:rPr>
        <w:t>数</w:t>
      </w:r>
      <w:r>
        <w:rPr/>
        <w:t>量</w:t>
      </w:r>
      <w:r>
        <w:rPr>
          <w:spacing w:val="-3"/>
        </w:rPr>
        <w:t>：</w:t>
      </w:r>
      <w:r>
        <w:rPr/>
        <w:t>全</w:t>
      </w:r>
      <w:r>
        <w:rPr>
          <w:spacing w:val="-3"/>
        </w:rPr>
        <w:t>数</w:t>
      </w:r>
      <w:r>
        <w:rPr/>
        <w:t>检</w:t>
      </w:r>
      <w:r>
        <w:rPr>
          <w:spacing w:val="-3"/>
        </w:rPr>
        <w:t>查</w:t>
      </w:r>
      <w:r>
        <w:rPr/>
        <w:t>。    检查</w:t>
      </w:r>
      <w:r>
        <w:rPr>
          <w:spacing w:val="-3"/>
        </w:rPr>
        <w:t>方</w:t>
      </w:r>
      <w:r>
        <w:rPr/>
        <w:t>法</w:t>
      </w:r>
      <w:r>
        <w:rPr>
          <w:spacing w:val="-3"/>
        </w:rPr>
        <w:t>：</w:t>
      </w:r>
      <w:r>
        <w:rPr/>
        <w:t>直</w:t>
      </w:r>
      <w:r>
        <w:rPr>
          <w:spacing w:val="-3"/>
        </w:rPr>
        <w:t>观</w:t>
      </w:r>
      <w:r>
        <w:rPr/>
        <w:t>检</w:t>
      </w:r>
      <w:r>
        <w:rPr>
          <w:spacing w:val="-3"/>
        </w:rPr>
        <w:t>查。</w:t>
      </w:r>
      <w:r>
        <w:rPr/>
        <w:t> </w:t>
        <w:tab/>
      </w:r>
      <w:r>
        <w:rPr>
          <w:w w:val="100"/>
        </w:rPr>
        <w:t> </w:t>
      </w:r>
    </w:p>
    <w:p>
      <w:pPr>
        <w:pStyle w:val="ListParagraph"/>
        <w:numPr>
          <w:ilvl w:val="2"/>
          <w:numId w:val="845"/>
        </w:numPr>
        <w:tabs>
          <w:tab w:pos="1370" w:val="left" w:leader="none"/>
        </w:tabs>
        <w:spacing w:line="240" w:lineRule="auto" w:before="5" w:after="0"/>
        <w:ind w:left="1369" w:right="0" w:hanging="530"/>
        <w:jc w:val="left"/>
        <w:rPr>
          <w:sz w:val="21"/>
        </w:rPr>
      </w:pPr>
      <w:r>
        <w:rPr>
          <w:spacing w:val="-3"/>
          <w:sz w:val="21"/>
        </w:rPr>
        <w:t>防护罩</w:t>
      </w:r>
      <w:r>
        <w:rPr>
          <w:sz w:val="21"/>
        </w:rPr>
        <w:t>（</w:t>
      </w:r>
      <w:r>
        <w:rPr>
          <w:spacing w:val="-2"/>
          <w:sz w:val="21"/>
        </w:rPr>
        <w:t>箱体</w:t>
      </w:r>
      <w:r>
        <w:rPr>
          <w:spacing w:val="-3"/>
          <w:sz w:val="21"/>
        </w:rPr>
        <w:t>）安装应符合下列规定：</w:t>
      </w:r>
      <w:r>
        <w:rPr>
          <w:sz w:val="21"/>
        </w:rPr>
        <w:t> </w:t>
      </w:r>
    </w:p>
    <w:p>
      <w:pPr>
        <w:pStyle w:val="BodyText"/>
        <w:spacing w:before="4"/>
        <w:rPr>
          <w:sz w:val="18"/>
        </w:rPr>
      </w:pPr>
    </w:p>
    <w:p>
      <w:pPr>
        <w:pStyle w:val="BodyText"/>
        <w:spacing w:line="446" w:lineRule="auto"/>
        <w:ind w:left="418" w:right="1503" w:firstLine="419"/>
      </w:pPr>
      <w:r>
        <w:rPr/>
        <w:t>防护罩尺寸的大小应与防火卷帘洞口宽度和卷帘卷起后的尺寸相适应，并应保证卷帘 卷满后与防护罩仍保持一定的距离，不应相互碰撞。 </w:t>
      </w:r>
    </w:p>
    <w:p>
      <w:pPr>
        <w:pStyle w:val="BodyText"/>
        <w:spacing w:line="448" w:lineRule="auto"/>
        <w:ind w:left="838" w:right="7494"/>
      </w:pPr>
      <w:r>
        <w:rPr>
          <w:spacing w:val="-3"/>
        </w:rPr>
        <w:t>检查数量：全数检查。 检查方法：直观检查。</w:t>
      </w:r>
      <w:r>
        <w:rPr/>
        <w:t> </w:t>
      </w:r>
    </w:p>
    <w:p>
      <w:pPr>
        <w:pStyle w:val="BodyText"/>
        <w:spacing w:line="448" w:lineRule="auto" w:before="2"/>
        <w:ind w:left="838" w:right="1611"/>
      </w:pPr>
      <w:r>
        <w:rPr/>
        <w:t>防护罩靠近卷门机处，应留有检修口。 检查数量：全数检查。 检查方法：直观检查。防护罩的耐火性能应与防火卷帘相同。 检查数量：全数检查。 检查方法：直观检查；查</w:t>
      </w:r>
    </w:p>
    <w:p>
      <w:pPr>
        <w:pStyle w:val="BodyText"/>
        <w:spacing w:line="267" w:lineRule="exact"/>
        <w:ind w:left="418"/>
      </w:pPr>
      <w:r>
        <w:rPr/>
        <w:t>看防护罩的检查报告。 </w:t>
      </w:r>
    </w:p>
    <w:p>
      <w:pPr>
        <w:pStyle w:val="BodyText"/>
        <w:spacing w:before="2"/>
        <w:rPr>
          <w:sz w:val="18"/>
        </w:rPr>
      </w:pPr>
    </w:p>
    <w:p>
      <w:pPr>
        <w:pStyle w:val="ListParagraph"/>
        <w:numPr>
          <w:ilvl w:val="2"/>
          <w:numId w:val="845"/>
        </w:numPr>
        <w:tabs>
          <w:tab w:pos="1371" w:val="left" w:leader="none"/>
        </w:tabs>
        <w:spacing w:line="240" w:lineRule="auto" w:before="0" w:after="0"/>
        <w:ind w:left="1370" w:right="0" w:hanging="531"/>
        <w:jc w:val="left"/>
        <w:rPr>
          <w:sz w:val="21"/>
        </w:rPr>
      </w:pPr>
      <w:r>
        <w:rPr>
          <w:spacing w:val="-3"/>
          <w:sz w:val="21"/>
        </w:rPr>
        <w:t>温控释放装置的安装位置应符合设计和产品说明书的要求。 </w:t>
      </w:r>
      <w:r>
        <w:rPr>
          <w:sz w:val="21"/>
        </w:rPr>
        <w:t> </w:t>
      </w:r>
    </w:p>
    <w:p>
      <w:pPr>
        <w:pStyle w:val="BodyText"/>
        <w:spacing w:before="4"/>
        <w:rPr>
          <w:sz w:val="18"/>
        </w:rPr>
      </w:pPr>
    </w:p>
    <w:p>
      <w:pPr>
        <w:pStyle w:val="BodyText"/>
        <w:ind w:left="838"/>
      </w:pPr>
      <w:r>
        <w:rPr/>
        <w:t>检查数量：全数检查。  </w:t>
      </w:r>
    </w:p>
    <w:p>
      <w:pPr>
        <w:pStyle w:val="BodyText"/>
        <w:spacing w:before="2"/>
        <w:rPr>
          <w:sz w:val="18"/>
        </w:rPr>
      </w:pPr>
    </w:p>
    <w:p>
      <w:pPr>
        <w:pStyle w:val="BodyText"/>
        <w:ind w:left="838"/>
      </w:pPr>
      <w:r>
        <w:rPr/>
        <w:t>检查方法：直观检查；对照设计图纸和产品说明书检查。  </w:t>
      </w:r>
      <w:r>
        <w:rPr>
          <w:w w:val="100"/>
        </w:rPr>
        <w:t> </w:t>
      </w:r>
    </w:p>
    <w:p>
      <w:pPr>
        <w:pStyle w:val="BodyText"/>
        <w:spacing w:before="4"/>
        <w:rPr>
          <w:sz w:val="18"/>
        </w:rPr>
      </w:pPr>
    </w:p>
    <w:p>
      <w:pPr>
        <w:pStyle w:val="ListParagraph"/>
        <w:numPr>
          <w:ilvl w:val="2"/>
          <w:numId w:val="845"/>
        </w:numPr>
        <w:tabs>
          <w:tab w:pos="1370" w:val="left" w:leader="none"/>
        </w:tabs>
        <w:spacing w:line="448" w:lineRule="auto" w:before="0" w:after="0"/>
        <w:ind w:left="418" w:right="1479" w:firstLine="422"/>
        <w:jc w:val="left"/>
        <w:rPr>
          <w:sz w:val="21"/>
        </w:rPr>
      </w:pPr>
      <w:r>
        <w:rPr>
          <w:spacing w:val="-26"/>
          <w:sz w:val="21"/>
        </w:rPr>
        <w:t>防火卷帘、防护罩等与楼板、梁和墙、柱之间的空隙，应采用防火封堵材料等封堵， 封堵部位的耐火极限不应低于防火卷帘的耐火极限。</w:t>
      </w:r>
      <w:r>
        <w:rPr>
          <w:sz w:val="21"/>
        </w:rPr>
        <w:t> </w:t>
      </w:r>
    </w:p>
    <w:p>
      <w:pPr>
        <w:pStyle w:val="BodyText"/>
        <w:spacing w:line="266" w:lineRule="exact"/>
        <w:ind w:left="826"/>
      </w:pPr>
      <w:r>
        <w:rPr/>
        <w:t>检查数量：全数检查。  </w:t>
      </w:r>
    </w:p>
    <w:p>
      <w:pPr>
        <w:pStyle w:val="BodyText"/>
        <w:spacing w:before="2"/>
        <w:rPr>
          <w:sz w:val="18"/>
        </w:rPr>
      </w:pPr>
    </w:p>
    <w:p>
      <w:pPr>
        <w:pStyle w:val="BodyText"/>
        <w:ind w:left="826"/>
      </w:pPr>
      <w:r>
        <w:rPr/>
        <w:t>检查方法：直观检查；查看封堵材料的检查报告。  </w:t>
      </w:r>
      <w:r>
        <w:rPr>
          <w:w w:val="100"/>
        </w:rPr>
        <w:t> </w:t>
      </w:r>
    </w:p>
    <w:p>
      <w:pPr>
        <w:spacing w:after="0"/>
        <w:sectPr>
          <w:pgSz w:w="11910" w:h="16850"/>
          <w:pgMar w:header="0" w:footer="1239" w:top="1220" w:bottom="1420" w:left="1260" w:right="0"/>
        </w:sectPr>
      </w:pPr>
    </w:p>
    <w:p>
      <w:pPr>
        <w:pStyle w:val="ListParagraph"/>
        <w:numPr>
          <w:ilvl w:val="2"/>
          <w:numId w:val="845"/>
        </w:numPr>
        <w:tabs>
          <w:tab w:pos="1478" w:val="left" w:leader="none"/>
        </w:tabs>
        <w:spacing w:line="240" w:lineRule="auto" w:before="45" w:after="0"/>
        <w:ind w:left="1477" w:right="0" w:hanging="638"/>
        <w:jc w:val="left"/>
        <w:rPr>
          <w:sz w:val="21"/>
        </w:rPr>
      </w:pPr>
      <w:r>
        <w:rPr>
          <w:spacing w:val="-7"/>
          <w:sz w:val="21"/>
        </w:rPr>
        <w:t>防火卷帘控制器安装应符合下列规定： </w:t>
      </w:r>
    </w:p>
    <w:p>
      <w:pPr>
        <w:pStyle w:val="BodyText"/>
        <w:spacing w:before="4"/>
        <w:rPr>
          <w:sz w:val="18"/>
        </w:rPr>
      </w:pPr>
    </w:p>
    <w:p>
      <w:pPr>
        <w:pStyle w:val="BodyText"/>
        <w:spacing w:line="446" w:lineRule="auto" w:before="1"/>
        <w:ind w:left="418" w:right="1558" w:firstLine="407"/>
      </w:pPr>
      <w:r>
        <w:rPr>
          <w:spacing w:val="-8"/>
        </w:rPr>
        <w:t>防火卷帘的控制器和手动按钮盒应分别安装在防火卷帘内外两侧的墙壁上，当卷帘一 侧为无人场所时，可安装在一侧墙壁上，且应符合设计要求。控制器和手动按钮盒应安装在</w:t>
      </w:r>
      <w:r>
        <w:rPr/>
        <w:t> </w:t>
      </w:r>
    </w:p>
    <w:p>
      <w:pPr>
        <w:pStyle w:val="BodyText"/>
        <w:spacing w:line="446" w:lineRule="auto" w:before="2"/>
        <w:ind w:left="826" w:right="4717"/>
      </w:pPr>
      <w:r>
        <w:rPr>
          <w:spacing w:val="-8"/>
        </w:rPr>
        <w:t>便于识别的位置，且应标出上升、下降、停止等功能。 检查数量：全数检查。</w:t>
      </w:r>
      <w:r>
        <w:rPr/>
        <w:t> </w:t>
      </w:r>
    </w:p>
    <w:p>
      <w:pPr>
        <w:pStyle w:val="BodyText"/>
        <w:spacing w:before="5"/>
        <w:ind w:left="826"/>
      </w:pPr>
      <w:r>
        <w:rPr>
          <w:spacing w:val="-8"/>
        </w:rPr>
        <w:t>检查方法：直观检查。</w:t>
      </w:r>
      <w:r>
        <w:rPr/>
        <w:t> </w:t>
      </w:r>
    </w:p>
    <w:p>
      <w:pPr>
        <w:pStyle w:val="BodyText"/>
        <w:spacing w:before="1"/>
        <w:rPr>
          <w:sz w:val="18"/>
        </w:rPr>
      </w:pPr>
    </w:p>
    <w:p>
      <w:pPr>
        <w:pStyle w:val="BodyText"/>
        <w:spacing w:line="451" w:lineRule="auto" w:before="1"/>
        <w:ind w:left="826" w:right="1863"/>
      </w:pPr>
      <w:r>
        <w:rPr>
          <w:spacing w:val="-6"/>
        </w:rPr>
        <w:t>防火卷帘控制器及手动按钮盒的安装应牢固可靠，其底边距地面高度宜为 </w:t>
      </w:r>
      <w:r>
        <w:rPr>
          <w:spacing w:val="-5"/>
        </w:rPr>
        <w:t>1.3～1.5m</w:t>
      </w:r>
      <w:r>
        <w:rPr>
          <w:spacing w:val="-8"/>
        </w:rPr>
        <w:t>。检查数量：全数检查。</w:t>
      </w:r>
      <w:r>
        <w:rPr/>
        <w:t> </w:t>
      </w:r>
    </w:p>
    <w:p>
      <w:pPr>
        <w:pStyle w:val="BodyText"/>
        <w:spacing w:line="264" w:lineRule="exact"/>
        <w:ind w:left="826"/>
      </w:pPr>
      <w:r>
        <w:rPr/>
        <w:t>检查方法：直观检查；尺量检查。 </w:t>
      </w:r>
    </w:p>
    <w:p>
      <w:pPr>
        <w:pStyle w:val="BodyText"/>
        <w:spacing w:before="4"/>
        <w:rPr>
          <w:sz w:val="18"/>
        </w:rPr>
      </w:pPr>
    </w:p>
    <w:p>
      <w:pPr>
        <w:pStyle w:val="BodyText"/>
        <w:spacing w:line="446" w:lineRule="auto"/>
        <w:ind w:left="418" w:right="1558" w:firstLine="407"/>
      </w:pPr>
      <w:r>
        <w:rPr>
          <w:spacing w:val="-8"/>
        </w:rPr>
        <w:t>防火卷帘控制器的金属件应有接地点，且接地点应有明显的接地标志，连接地线的螺 钉不应作其他紧固用。</w:t>
      </w:r>
      <w:r>
        <w:rPr/>
        <w:t> </w:t>
      </w:r>
    </w:p>
    <w:p>
      <w:pPr>
        <w:pStyle w:val="BodyText"/>
        <w:spacing w:line="448" w:lineRule="auto" w:before="2"/>
        <w:ind w:left="826" w:right="7600"/>
      </w:pPr>
      <w:r>
        <w:rPr>
          <w:spacing w:val="-8"/>
        </w:rPr>
        <w:t>检查数量：全数检查。 检查方法：直观检查。</w:t>
      </w:r>
      <w:r>
        <w:rPr>
          <w:spacing w:val="-34"/>
        </w:rPr>
        <w:t> </w:t>
      </w:r>
      <w:r>
        <w:rPr/>
        <w:t> </w:t>
      </w:r>
    </w:p>
    <w:p>
      <w:pPr>
        <w:pStyle w:val="ListParagraph"/>
        <w:numPr>
          <w:ilvl w:val="2"/>
          <w:numId w:val="845"/>
        </w:numPr>
        <w:tabs>
          <w:tab w:pos="1470" w:val="left" w:leader="none"/>
        </w:tabs>
        <w:spacing w:line="446" w:lineRule="auto" w:before="0" w:after="0"/>
        <w:ind w:left="418" w:right="1388" w:firstLine="422"/>
        <w:jc w:val="left"/>
        <w:rPr>
          <w:sz w:val="21"/>
        </w:rPr>
      </w:pPr>
      <w:r>
        <w:rPr>
          <w:spacing w:val="-8"/>
          <w:sz w:val="21"/>
        </w:rPr>
        <w:t>与火灾自动报警系统联动的防火卷帘</w:t>
      </w:r>
      <w:r>
        <w:rPr>
          <w:spacing w:val="-16"/>
          <w:sz w:val="21"/>
        </w:rPr>
        <w:t>，其火灾探测器和手动按钮盒的安装应符合下列 规定：</w:t>
      </w:r>
      <w:r>
        <w:rPr>
          <w:sz w:val="21"/>
        </w:rPr>
        <w:t> </w:t>
      </w:r>
    </w:p>
    <w:p>
      <w:pPr>
        <w:pStyle w:val="BodyText"/>
        <w:spacing w:line="446" w:lineRule="auto" w:before="2"/>
        <w:ind w:left="418" w:right="1558" w:firstLine="407"/>
      </w:pPr>
      <w:r>
        <w:rPr>
          <w:spacing w:val="-8"/>
        </w:rPr>
        <w:t>防火卷帘两侧均应安装火灾探测器组和手动按钮盒。当防火卷帘一侧为无人场所时， 防火卷帘有人侧应安装火灾探测器组和手动按钮盒。</w:t>
      </w:r>
      <w:r>
        <w:rPr/>
        <w:t> </w:t>
      </w:r>
    </w:p>
    <w:p>
      <w:pPr>
        <w:pStyle w:val="BodyText"/>
        <w:spacing w:line="448" w:lineRule="auto" w:before="2"/>
        <w:ind w:left="826" w:right="7573"/>
      </w:pPr>
      <w:r>
        <w:rPr>
          <w:spacing w:val="-8"/>
        </w:rPr>
        <w:t>检查数量：全数检查。 检查方法：直观检查。</w:t>
      </w:r>
      <w:r>
        <w:rPr/>
        <w:t> </w:t>
      </w:r>
    </w:p>
    <w:p>
      <w:pPr>
        <w:pStyle w:val="BodyText"/>
        <w:spacing w:line="446" w:lineRule="auto"/>
        <w:ind w:left="418" w:right="1430" w:firstLine="407"/>
      </w:pPr>
      <w:r>
        <w:rPr>
          <w:spacing w:val="-8"/>
        </w:rPr>
        <w:t>用于联动防火卷帘的火灾探测器的类型、数量及其间距应符合现行国家标准《火灾自动报警系统设计规范》</w:t>
      </w:r>
      <w:r>
        <w:rPr>
          <w:spacing w:val="-4"/>
        </w:rPr>
        <w:t>GB </w:t>
      </w:r>
      <w:r>
        <w:rPr>
          <w:spacing w:val="-5"/>
        </w:rPr>
        <w:t>50116</w:t>
      </w:r>
      <w:r>
        <w:rPr>
          <w:spacing w:val="-8"/>
        </w:rPr>
        <w:t> 的有关规定。 </w:t>
      </w:r>
      <w:r>
        <w:rPr/>
        <w:t> </w:t>
      </w:r>
    </w:p>
    <w:p>
      <w:pPr>
        <w:pStyle w:val="BodyText"/>
        <w:spacing w:before="3"/>
        <w:ind w:left="826"/>
      </w:pPr>
      <w:r>
        <w:rPr/>
        <w:t>检查数量：全数检查。  </w:t>
      </w:r>
    </w:p>
    <w:p>
      <w:pPr>
        <w:pStyle w:val="BodyText"/>
        <w:spacing w:before="4"/>
        <w:rPr>
          <w:sz w:val="18"/>
        </w:rPr>
      </w:pPr>
    </w:p>
    <w:p>
      <w:pPr>
        <w:pStyle w:val="BodyText"/>
        <w:ind w:left="826"/>
      </w:pPr>
      <w:r>
        <w:rPr/>
        <w:t>检查方法：检查设计、施工文件；尺量检查。  </w:t>
      </w:r>
      <w:hyperlink r:id="rId470">
        <w:r>
          <w:rPr>
            <w:color w:val="DDD9C3"/>
            <w:w w:val="100"/>
            <w:u w:val="single" w:color="DDD9C3"/>
          </w:rPr>
          <w:t> </w:t>
        </w:r>
      </w:hyperlink>
      <w:r>
        <w:rPr>
          <w:w w:val="100"/>
        </w:rPr>
        <w:t> </w:t>
      </w:r>
    </w:p>
    <w:p>
      <w:pPr>
        <w:pStyle w:val="BodyText"/>
        <w:spacing w:before="4"/>
        <w:rPr>
          <w:sz w:val="13"/>
        </w:rPr>
      </w:pPr>
    </w:p>
    <w:p>
      <w:pPr>
        <w:pStyle w:val="ListParagraph"/>
        <w:numPr>
          <w:ilvl w:val="2"/>
          <w:numId w:val="845"/>
        </w:numPr>
        <w:tabs>
          <w:tab w:pos="1478" w:val="left" w:leader="none"/>
        </w:tabs>
        <w:spacing w:line="240" w:lineRule="auto" w:before="71" w:after="0"/>
        <w:ind w:left="1477" w:right="0" w:hanging="638"/>
        <w:jc w:val="left"/>
        <w:rPr>
          <w:sz w:val="21"/>
        </w:rPr>
      </w:pPr>
      <w:r>
        <w:rPr>
          <w:spacing w:val="-16"/>
          <w:sz w:val="21"/>
        </w:rPr>
        <w:t>用于保护防火卷帘的自动喷水灭火系统的管道、喷头、报警阀等组件的安装，应符合</w:t>
      </w:r>
      <w:r>
        <w:rPr>
          <w:sz w:val="21"/>
        </w:rPr>
        <w:t> </w:t>
      </w:r>
    </w:p>
    <w:p>
      <w:pPr>
        <w:pStyle w:val="BodyText"/>
        <w:spacing w:before="4"/>
        <w:rPr>
          <w:sz w:val="19"/>
        </w:rPr>
      </w:pPr>
    </w:p>
    <w:p>
      <w:pPr>
        <w:pStyle w:val="BodyText"/>
        <w:spacing w:line="460" w:lineRule="auto"/>
        <w:ind w:left="826" w:right="2562" w:firstLine="12"/>
      </w:pPr>
      <w:r>
        <w:rPr/>
        <w:t>现行国家标准《自动喷水灭火系统施工及验收规范》GB 50261 的有关规定。检查数量：全数检查。 </w:t>
      </w:r>
    </w:p>
    <w:p>
      <w:pPr>
        <w:pStyle w:val="BodyText"/>
        <w:spacing w:before="2"/>
        <w:ind w:left="826"/>
      </w:pPr>
      <w:r>
        <w:rPr/>
        <w:t>检查方法：对照设计、施工图纸检查；尺量检查。  </w:t>
      </w:r>
      <w:r>
        <w:rPr>
          <w:w w:val="100"/>
        </w:rPr>
        <w:t> </w:t>
      </w:r>
    </w:p>
    <w:p>
      <w:pPr>
        <w:pStyle w:val="BodyText"/>
        <w:spacing w:before="4"/>
        <w:rPr>
          <w:sz w:val="20"/>
        </w:rPr>
      </w:pPr>
    </w:p>
    <w:p>
      <w:pPr>
        <w:pStyle w:val="ListParagraph"/>
        <w:numPr>
          <w:ilvl w:val="2"/>
          <w:numId w:val="845"/>
        </w:numPr>
        <w:tabs>
          <w:tab w:pos="1478" w:val="left" w:leader="none"/>
        </w:tabs>
        <w:spacing w:line="240" w:lineRule="auto" w:before="1" w:after="0"/>
        <w:ind w:left="1477" w:right="0" w:hanging="638"/>
        <w:jc w:val="left"/>
        <w:rPr>
          <w:sz w:val="21"/>
        </w:rPr>
      </w:pPr>
      <w:r>
        <w:rPr>
          <w:spacing w:val="-17"/>
          <w:sz w:val="21"/>
        </w:rPr>
        <w:t>防火卷帘电气线路的敷设安装，除应符合设计要求外，尚应符合现行国家标准《建筑</w:t>
      </w:r>
    </w:p>
    <w:p>
      <w:pPr>
        <w:spacing w:after="0" w:line="240" w:lineRule="auto"/>
        <w:jc w:val="left"/>
        <w:rPr>
          <w:sz w:val="21"/>
        </w:rPr>
        <w:sectPr>
          <w:pgSz w:w="11910" w:h="16850"/>
          <w:pgMar w:header="0" w:footer="1239" w:top="1220" w:bottom="1420" w:left="1260" w:right="0"/>
        </w:sectPr>
      </w:pPr>
    </w:p>
    <w:p>
      <w:pPr>
        <w:pStyle w:val="BodyText"/>
        <w:spacing w:line="470" w:lineRule="auto" w:before="47"/>
        <w:ind w:left="826" w:right="6322" w:hanging="408"/>
      </w:pPr>
      <w:r>
        <w:rPr/>
        <w:t>设计防火规范》GB 50016 的有关规定。检查数量：全数检查。  </w:t>
      </w:r>
    </w:p>
    <w:p>
      <w:pPr>
        <w:pStyle w:val="BodyText"/>
        <w:spacing w:line="448" w:lineRule="auto" w:before="4"/>
        <w:ind w:left="840" w:right="5773" w:hanging="15"/>
        <w:rPr>
          <w:b/>
        </w:rPr>
      </w:pPr>
      <w:r>
        <w:rPr/>
        <w:t>检查方法：对照有关设计、施工文件检查。</w:t>
      </w:r>
      <w:r>
        <w:rPr>
          <w:b/>
        </w:rPr>
        <w:t>5.3 </w:t>
      </w:r>
      <w:r>
        <w:rPr/>
        <w:t>防火门安装</w:t>
      </w:r>
      <w:r>
        <w:rPr>
          <w:b/>
          <w:w w:val="99"/>
        </w:rPr>
        <w:t> </w:t>
      </w:r>
    </w:p>
    <w:p>
      <w:pPr>
        <w:pStyle w:val="ListParagraph"/>
        <w:numPr>
          <w:ilvl w:val="2"/>
          <w:numId w:val="846"/>
        </w:numPr>
        <w:tabs>
          <w:tab w:pos="1371" w:val="left" w:leader="none"/>
        </w:tabs>
        <w:spacing w:line="446" w:lineRule="auto" w:before="0" w:after="0"/>
        <w:ind w:left="418" w:right="1810" w:firstLine="422"/>
        <w:jc w:val="left"/>
        <w:rPr>
          <w:sz w:val="21"/>
        </w:rPr>
      </w:pPr>
      <w:r>
        <w:rPr>
          <w:spacing w:val="-8"/>
          <w:sz w:val="21"/>
        </w:rPr>
        <w:t>除特殊情况外，防火门应向疏散方向开启，防火门在关闭后应从任何一侧手动开启</w:t>
      </w:r>
      <w:r>
        <w:rPr>
          <w:spacing w:val="-3"/>
          <w:sz w:val="21"/>
        </w:rPr>
        <w:t>。 </w:t>
      </w:r>
      <w:r>
        <w:rPr>
          <w:sz w:val="21"/>
        </w:rPr>
        <w:t> </w:t>
      </w:r>
    </w:p>
    <w:p>
      <w:pPr>
        <w:pStyle w:val="BodyText"/>
        <w:spacing w:line="472" w:lineRule="auto"/>
        <w:ind w:left="826" w:right="7427"/>
      </w:pPr>
      <w:r>
        <w:rPr>
          <w:spacing w:val="-7"/>
        </w:rPr>
        <w:t>检查数量：全数检查。  检查方法：直观检查。</w:t>
      </w:r>
      <w:r>
        <w:rPr/>
        <w:t> </w:t>
      </w:r>
      <w:r>
        <w:rPr>
          <w:spacing w:val="3"/>
        </w:rPr>
        <w:t> </w:t>
      </w:r>
      <w:r>
        <w:rPr>
          <w:w w:val="100"/>
        </w:rPr>
        <w:t> </w:t>
      </w:r>
    </w:p>
    <w:p>
      <w:pPr>
        <w:pStyle w:val="ListParagraph"/>
        <w:numPr>
          <w:ilvl w:val="2"/>
          <w:numId w:val="846"/>
        </w:numPr>
        <w:tabs>
          <w:tab w:pos="1370" w:val="left" w:leader="none"/>
        </w:tabs>
        <w:spacing w:line="242" w:lineRule="exact" w:before="0" w:after="0"/>
        <w:ind w:left="1369" w:right="0" w:hanging="530"/>
        <w:jc w:val="left"/>
        <w:rPr>
          <w:sz w:val="21"/>
        </w:rPr>
      </w:pPr>
      <w:r>
        <w:rPr>
          <w:spacing w:val="-8"/>
          <w:sz w:val="21"/>
        </w:rPr>
        <w:t>常闭防火门应安装闭门器等，双扇和多扇防火门应安装顺序器。 </w:t>
      </w:r>
      <w:r>
        <w:rPr>
          <w:sz w:val="21"/>
        </w:rPr>
        <w:t> </w:t>
      </w:r>
    </w:p>
    <w:p>
      <w:pPr>
        <w:pStyle w:val="BodyText"/>
        <w:spacing w:before="9"/>
        <w:rPr>
          <w:sz w:val="17"/>
        </w:rPr>
      </w:pPr>
    </w:p>
    <w:p>
      <w:pPr>
        <w:pStyle w:val="BodyText"/>
        <w:spacing w:line="446" w:lineRule="auto"/>
        <w:ind w:left="826" w:right="7600"/>
      </w:pPr>
      <w:r>
        <w:rPr>
          <w:spacing w:val="-8"/>
        </w:rPr>
        <w:t>检查数量：全数检查。 检查方法：直观检查。</w:t>
      </w:r>
      <w:r>
        <w:rPr>
          <w:spacing w:val="-34"/>
        </w:rPr>
        <w:t> </w:t>
      </w:r>
      <w:r>
        <w:rPr/>
        <w:t> </w:t>
      </w:r>
    </w:p>
    <w:p>
      <w:pPr>
        <w:pStyle w:val="ListParagraph"/>
        <w:numPr>
          <w:ilvl w:val="2"/>
          <w:numId w:val="846"/>
        </w:numPr>
        <w:tabs>
          <w:tab w:pos="1370" w:val="left" w:leader="none"/>
        </w:tabs>
        <w:spacing w:line="446" w:lineRule="auto" w:before="63" w:after="0"/>
        <w:ind w:left="418" w:right="1601" w:firstLine="422"/>
        <w:jc w:val="left"/>
        <w:rPr>
          <w:sz w:val="21"/>
        </w:rPr>
      </w:pPr>
      <w:r>
        <w:rPr>
          <w:spacing w:val="-8"/>
          <w:sz w:val="21"/>
        </w:rPr>
        <w:t>常开防火门，应安装火灾时能自动关闭门扇的控制、信号反馈装置和现场手动控制装</w:t>
      </w:r>
      <w:r>
        <w:rPr>
          <w:spacing w:val="-6"/>
          <w:sz w:val="21"/>
        </w:rPr>
        <w:t>置，且应符合产品说明书要求。</w:t>
      </w:r>
      <w:r>
        <w:rPr>
          <w:sz w:val="21"/>
        </w:rPr>
        <w:t> </w:t>
      </w:r>
    </w:p>
    <w:p>
      <w:pPr>
        <w:pStyle w:val="BodyText"/>
        <w:spacing w:line="446" w:lineRule="auto" w:before="34"/>
        <w:ind w:left="826" w:right="7523"/>
      </w:pPr>
      <w:r>
        <w:rPr>
          <w:spacing w:val="-7"/>
        </w:rPr>
        <w:t>检查数量：全数检查。 检查方法：直观检查。</w:t>
      </w:r>
      <w:r>
        <w:rPr>
          <w:spacing w:val="12"/>
        </w:rPr>
        <w:t> </w:t>
      </w:r>
      <w:r>
        <w:rPr/>
        <w:t> </w:t>
      </w:r>
    </w:p>
    <w:p>
      <w:pPr>
        <w:pStyle w:val="ListParagraph"/>
        <w:numPr>
          <w:ilvl w:val="2"/>
          <w:numId w:val="846"/>
        </w:numPr>
        <w:tabs>
          <w:tab w:pos="1370" w:val="left" w:leader="none"/>
        </w:tabs>
        <w:spacing w:line="446" w:lineRule="auto" w:before="64" w:after="0"/>
        <w:ind w:left="418" w:right="4191" w:firstLine="422"/>
        <w:jc w:val="left"/>
        <w:rPr>
          <w:sz w:val="21"/>
        </w:rPr>
      </w:pPr>
      <w:r>
        <w:rPr>
          <w:spacing w:val="-8"/>
          <w:sz w:val="21"/>
        </w:rPr>
        <w:t>防火门电动控制装置的安装应符合设计和产品说明书要</w:t>
      </w:r>
      <w:r>
        <w:rPr>
          <w:spacing w:val="-4"/>
          <w:sz w:val="21"/>
        </w:rPr>
        <w:t>求。 </w:t>
      </w:r>
      <w:r>
        <w:rPr>
          <w:sz w:val="21"/>
        </w:rPr>
        <w:t> </w:t>
      </w:r>
    </w:p>
    <w:p>
      <w:pPr>
        <w:pStyle w:val="BodyText"/>
        <w:spacing w:before="63"/>
        <w:ind w:left="826"/>
      </w:pPr>
      <w:r>
        <w:rPr/>
        <w:t>检查数量：全数检查。 </w:t>
      </w:r>
    </w:p>
    <w:p>
      <w:pPr>
        <w:pStyle w:val="BodyText"/>
        <w:rPr>
          <w:sz w:val="23"/>
        </w:rPr>
      </w:pPr>
    </w:p>
    <w:p>
      <w:pPr>
        <w:pStyle w:val="BodyText"/>
        <w:spacing w:line="468" w:lineRule="auto"/>
        <w:ind w:left="840" w:right="4091" w:hanging="15"/>
      </w:pPr>
      <w:r>
        <w:rPr>
          <w:spacing w:val="-8"/>
        </w:rPr>
        <w:t>检查方法：直观检查；按设计图纸、施工文件检查。     </w:t>
      </w:r>
      <w:r>
        <w:rPr>
          <w:b/>
          <w:spacing w:val="-8"/>
        </w:rPr>
        <w:t>5.3.5</w:t>
      </w:r>
      <w:r>
        <w:rPr>
          <w:b/>
          <w:spacing w:val="15"/>
        </w:rPr>
        <w:t> </w:t>
      </w:r>
      <w:r>
        <w:rPr>
          <w:spacing w:val="-8"/>
        </w:rPr>
        <w:t>防火插销应安装在双扇门或多扇门相对固定一侧的门扇</w:t>
      </w:r>
    </w:p>
    <w:p>
      <w:pPr>
        <w:pStyle w:val="BodyText"/>
        <w:spacing w:line="247" w:lineRule="exact"/>
        <w:ind w:left="418"/>
      </w:pPr>
      <w:r>
        <w:rPr/>
        <w:t>上。  </w:t>
      </w:r>
    </w:p>
    <w:p>
      <w:pPr>
        <w:pStyle w:val="BodyText"/>
        <w:spacing w:before="11"/>
        <w:rPr>
          <w:sz w:val="19"/>
        </w:rPr>
      </w:pPr>
    </w:p>
    <w:p>
      <w:pPr>
        <w:pStyle w:val="BodyText"/>
        <w:ind w:left="826"/>
      </w:pPr>
      <w:r>
        <w:rPr/>
        <w:t>检查数量：全数检查。 </w:t>
      </w:r>
    </w:p>
    <w:p>
      <w:pPr>
        <w:pStyle w:val="BodyText"/>
        <w:spacing w:before="12"/>
        <w:rPr>
          <w:sz w:val="20"/>
        </w:rPr>
      </w:pPr>
    </w:p>
    <w:p>
      <w:pPr>
        <w:pStyle w:val="BodyText"/>
        <w:ind w:left="826"/>
      </w:pPr>
      <w:r>
        <w:rPr/>
        <w:t>检查方法：直观检查；查看设计图纸。  </w:t>
      </w:r>
      <w:r>
        <w:rPr>
          <w:w w:val="100"/>
        </w:rPr>
        <w:t> </w:t>
      </w:r>
    </w:p>
    <w:p>
      <w:pPr>
        <w:pStyle w:val="BodyText"/>
        <w:spacing w:before="1"/>
        <w:rPr>
          <w:sz w:val="23"/>
        </w:rPr>
      </w:pPr>
    </w:p>
    <w:p>
      <w:pPr>
        <w:pStyle w:val="ListParagraph"/>
        <w:numPr>
          <w:ilvl w:val="2"/>
          <w:numId w:val="847"/>
        </w:numPr>
        <w:tabs>
          <w:tab w:pos="1370" w:val="left" w:leader="none"/>
        </w:tabs>
        <w:spacing w:line="240" w:lineRule="auto" w:before="0" w:after="0"/>
        <w:ind w:left="1369" w:right="0" w:hanging="530"/>
        <w:jc w:val="left"/>
        <w:rPr>
          <w:sz w:val="21"/>
        </w:rPr>
      </w:pPr>
      <w:r>
        <w:rPr>
          <w:spacing w:val="-8"/>
          <w:sz w:val="21"/>
        </w:rPr>
        <w:t>防火门门框与门扇、门扇与门扇的缝隙处嵌装的防火密封件应牢固、完好。</w:t>
      </w:r>
      <w:r>
        <w:rPr>
          <w:spacing w:val="-3"/>
          <w:sz w:val="21"/>
        </w:rPr>
        <w:t> </w:t>
      </w:r>
      <w:r>
        <w:rPr>
          <w:sz w:val="21"/>
        </w:rPr>
        <w:t> </w:t>
      </w:r>
    </w:p>
    <w:p>
      <w:pPr>
        <w:pStyle w:val="BodyText"/>
        <w:rPr>
          <w:sz w:val="23"/>
        </w:rPr>
      </w:pPr>
    </w:p>
    <w:p>
      <w:pPr>
        <w:pStyle w:val="BodyText"/>
        <w:spacing w:line="446" w:lineRule="auto"/>
        <w:ind w:left="826" w:right="7641"/>
      </w:pPr>
      <w:r>
        <w:rPr/>
        <w:t>检查数量：全数检查。检查方法：直观检查。 </w:t>
      </w:r>
    </w:p>
    <w:p>
      <w:pPr>
        <w:pStyle w:val="ListParagraph"/>
        <w:numPr>
          <w:ilvl w:val="2"/>
          <w:numId w:val="847"/>
        </w:numPr>
        <w:tabs>
          <w:tab w:pos="1371" w:val="left" w:leader="none"/>
        </w:tabs>
        <w:spacing w:line="240" w:lineRule="auto" w:before="0" w:after="0"/>
        <w:ind w:left="1370" w:right="0" w:hanging="531"/>
        <w:jc w:val="left"/>
        <w:rPr>
          <w:sz w:val="21"/>
        </w:rPr>
      </w:pPr>
      <w:r>
        <w:rPr>
          <w:spacing w:val="-8"/>
          <w:sz w:val="21"/>
        </w:rPr>
        <w:t>设置在变形缝附近的防火门，应安装在楼层数较多的一侧，且门扇开启后不应跨越</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变 形缝。 </w:t>
      </w:r>
    </w:p>
    <w:p>
      <w:pPr>
        <w:pStyle w:val="BodyText"/>
        <w:spacing w:before="2"/>
        <w:rPr>
          <w:sz w:val="18"/>
        </w:rPr>
      </w:pPr>
    </w:p>
    <w:p>
      <w:pPr>
        <w:pStyle w:val="BodyText"/>
        <w:spacing w:line="446" w:lineRule="auto" w:before="1"/>
        <w:ind w:left="826" w:right="7573"/>
      </w:pPr>
      <w:r>
        <w:rPr>
          <w:spacing w:val="-8"/>
        </w:rPr>
        <w:t>检查数量：全数检查。 检查方法：直观检查。</w:t>
      </w:r>
      <w:r>
        <w:rPr>
          <w:spacing w:val="-34"/>
        </w:rPr>
        <w:t> </w:t>
      </w:r>
      <w:r>
        <w:rPr/>
        <w:t> </w:t>
      </w:r>
    </w:p>
    <w:p>
      <w:pPr>
        <w:pStyle w:val="ListParagraph"/>
        <w:numPr>
          <w:ilvl w:val="2"/>
          <w:numId w:val="847"/>
        </w:numPr>
        <w:tabs>
          <w:tab w:pos="1371" w:val="left" w:leader="none"/>
        </w:tabs>
        <w:spacing w:line="446" w:lineRule="auto" w:before="23" w:after="0"/>
        <w:ind w:left="418" w:right="1793" w:firstLine="422"/>
        <w:jc w:val="left"/>
        <w:rPr>
          <w:sz w:val="21"/>
        </w:rPr>
      </w:pPr>
      <w:r>
        <w:rPr>
          <w:spacing w:val="-8"/>
          <w:sz w:val="21"/>
        </w:rPr>
        <w:t>钢质防火门门框内应充填水泥砂浆</w:t>
      </w:r>
      <w:r>
        <w:rPr>
          <w:spacing w:val="-20"/>
          <w:sz w:val="21"/>
        </w:rPr>
        <w:t>。门框与墙体应用预埋钢件或膨胀螺栓等连接牢固</w:t>
      </w:r>
      <w:r>
        <w:rPr>
          <w:spacing w:val="-6"/>
          <w:sz w:val="21"/>
        </w:rPr>
        <w:t>， 其固定点间距不宜大于</w:t>
      </w:r>
      <w:r>
        <w:rPr>
          <w:spacing w:val="-4"/>
          <w:sz w:val="21"/>
        </w:rPr>
        <w:t>600mm</w:t>
      </w:r>
      <w:r>
        <w:rPr>
          <w:spacing w:val="-3"/>
          <w:sz w:val="21"/>
        </w:rPr>
        <w:t>。</w:t>
      </w:r>
      <w:r>
        <w:rPr>
          <w:sz w:val="21"/>
        </w:rPr>
        <w:t> </w:t>
      </w:r>
    </w:p>
    <w:p>
      <w:pPr>
        <w:pStyle w:val="BodyText"/>
        <w:spacing w:before="12"/>
        <w:ind w:left="826"/>
      </w:pPr>
      <w:r>
        <w:rPr>
          <w:spacing w:val="-7"/>
        </w:rPr>
        <w:t>检查数量：全数检查。 </w:t>
      </w:r>
      <w:r>
        <w:rPr/>
        <w:t> </w:t>
      </w:r>
    </w:p>
    <w:p>
      <w:pPr>
        <w:pStyle w:val="BodyText"/>
        <w:spacing w:before="4"/>
        <w:rPr>
          <w:sz w:val="19"/>
        </w:rPr>
      </w:pPr>
    </w:p>
    <w:p>
      <w:pPr>
        <w:pStyle w:val="BodyText"/>
        <w:spacing w:line="468" w:lineRule="auto"/>
        <w:ind w:left="826" w:right="4712"/>
        <w:jc w:val="both"/>
      </w:pPr>
      <w:r>
        <w:rPr>
          <w:spacing w:val="-8"/>
        </w:rPr>
        <w:t>检查方法：对照设计图纸、施工文件检查；尺量检查。</w:t>
      </w:r>
      <w:r>
        <w:rPr>
          <w:b/>
        </w:rPr>
        <w:t>5.3.9</w:t>
      </w:r>
      <w:r>
        <w:rPr>
          <w:b/>
          <w:spacing w:val="24"/>
        </w:rPr>
        <w:t>  </w:t>
      </w:r>
      <w:r>
        <w:rPr>
          <w:spacing w:val="-7"/>
        </w:rPr>
        <w:t>防火门门扇与门框的搭接尺寸不应小于</w:t>
      </w:r>
      <w:r>
        <w:rPr>
          <w:spacing w:val="-3"/>
        </w:rPr>
        <w:t>12mm。检</w:t>
      </w:r>
      <w:r>
        <w:rPr>
          <w:spacing w:val="-6"/>
        </w:rPr>
        <w:t>查数量：全数检查。</w:t>
      </w:r>
      <w:r>
        <w:rPr/>
        <w:t> </w:t>
      </w:r>
    </w:p>
    <w:p>
      <w:pPr>
        <w:pStyle w:val="BodyText"/>
        <w:spacing w:line="446" w:lineRule="auto" w:before="6"/>
        <w:ind w:left="418" w:right="1637" w:firstLine="407"/>
      </w:pPr>
      <w:r>
        <w:rPr>
          <w:spacing w:val="-7"/>
        </w:rPr>
        <w:t>检查方法：使门扇处于关闭状态，用工具在门扇与门框相交的左边、右边和上边的中部 画</w:t>
      </w:r>
      <w:r>
        <w:rPr>
          <w:spacing w:val="-8"/>
        </w:rPr>
        <w:t>线作出标记，用钢板尺测量。 </w:t>
      </w:r>
    </w:p>
    <w:p>
      <w:pPr>
        <w:pStyle w:val="ListParagraph"/>
        <w:numPr>
          <w:ilvl w:val="2"/>
          <w:numId w:val="848"/>
        </w:numPr>
        <w:tabs>
          <w:tab w:pos="1478" w:val="left" w:leader="none"/>
        </w:tabs>
        <w:spacing w:line="240" w:lineRule="auto" w:before="21" w:after="0"/>
        <w:ind w:left="1477" w:right="0" w:hanging="638"/>
        <w:jc w:val="left"/>
        <w:rPr>
          <w:sz w:val="21"/>
        </w:rPr>
      </w:pPr>
      <w:r>
        <w:rPr>
          <w:spacing w:val="-7"/>
          <w:sz w:val="21"/>
        </w:rPr>
        <w:t>防火门门扇与门框的配合活动间隙应符合下列规定：</w:t>
      </w:r>
      <w:r>
        <w:rPr>
          <w:sz w:val="21"/>
        </w:rPr>
        <w:t> </w:t>
      </w:r>
    </w:p>
    <w:p>
      <w:pPr>
        <w:pStyle w:val="BodyText"/>
        <w:spacing w:before="11"/>
      </w:pPr>
    </w:p>
    <w:p>
      <w:pPr>
        <w:pStyle w:val="BodyText"/>
        <w:spacing w:line="489" w:lineRule="auto" w:before="1"/>
        <w:ind w:left="838" w:right="2859"/>
      </w:pPr>
      <w:r>
        <w:rPr>
          <w:spacing w:val="-8"/>
        </w:rPr>
        <w:t>门扇与门框有合页一侧的配合活动间隙不应大于设计图纸规定的尺寸公差。门扇与门框有锁一侧的配合活动间隙不应大于设计图纸规定的尺寸公差。  门扇与上框的配合活动间隙不应大于</w:t>
      </w:r>
      <w:r>
        <w:rPr>
          <w:spacing w:val="-4"/>
        </w:rPr>
        <w:t>3mm</w:t>
      </w:r>
      <w:r>
        <w:rPr>
          <w:spacing w:val="-3"/>
        </w:rPr>
        <w:t>。</w:t>
      </w:r>
      <w:r>
        <w:rPr/>
        <w:t> </w:t>
      </w:r>
    </w:p>
    <w:p>
      <w:pPr>
        <w:pStyle w:val="BodyText"/>
        <w:spacing w:line="489" w:lineRule="auto" w:before="2"/>
        <w:ind w:left="838" w:right="5661"/>
      </w:pPr>
      <w:r>
        <w:rPr>
          <w:spacing w:val="-8"/>
        </w:rPr>
        <w:t>双扇、多扇门的门扇之间缝隙不应大于</w:t>
      </w:r>
      <w:r>
        <w:rPr>
          <w:spacing w:val="-4"/>
        </w:rPr>
        <w:t>3mm</w:t>
      </w:r>
      <w:r>
        <w:rPr>
          <w:spacing w:val="-3"/>
        </w:rPr>
        <w:t>。</w:t>
      </w:r>
      <w:r>
        <w:rPr>
          <w:spacing w:val="-8"/>
        </w:rPr>
        <w:t>门扇与下框或地面的活动间隙不应大于</w:t>
      </w:r>
      <w:r>
        <w:rPr>
          <w:spacing w:val="-4"/>
        </w:rPr>
        <w:t>9mm</w:t>
      </w:r>
      <w:r>
        <w:rPr>
          <w:spacing w:val="-3"/>
        </w:rPr>
        <w:t>。</w:t>
      </w:r>
      <w:r>
        <w:rPr/>
        <w:t> </w:t>
      </w:r>
    </w:p>
    <w:p>
      <w:pPr>
        <w:pStyle w:val="BodyText"/>
        <w:spacing w:line="448" w:lineRule="auto"/>
        <w:ind w:left="418" w:right="1608" w:firstLine="419"/>
      </w:pPr>
      <w:r>
        <w:rPr>
          <w:spacing w:val="-7"/>
        </w:rPr>
        <w:t>门扇与门框贴合面间隙、门扇与门框有合页一侧、有锁一侧及上框的贴合面间隙，均 不应</w:t>
      </w:r>
      <w:r>
        <w:rPr>
          <w:spacing w:val="-4"/>
        </w:rPr>
        <w:t>大于3mm</w:t>
      </w:r>
      <w:r>
        <w:rPr>
          <w:spacing w:val="-3"/>
        </w:rPr>
        <w:t>。</w:t>
      </w:r>
      <w:r>
        <w:rPr/>
        <w:t> </w:t>
      </w:r>
    </w:p>
    <w:p>
      <w:pPr>
        <w:pStyle w:val="BodyText"/>
        <w:spacing w:before="11"/>
        <w:ind w:left="826"/>
      </w:pPr>
      <w:r>
        <w:rPr/>
        <w:t>检查数量：全数检查。  </w:t>
      </w:r>
    </w:p>
    <w:p>
      <w:pPr>
        <w:pStyle w:val="BodyText"/>
        <w:spacing w:before="3"/>
        <w:rPr>
          <w:sz w:val="19"/>
        </w:rPr>
      </w:pPr>
    </w:p>
    <w:p>
      <w:pPr>
        <w:pStyle w:val="BodyText"/>
        <w:spacing w:before="1"/>
        <w:ind w:left="826"/>
      </w:pPr>
      <w:r>
        <w:rPr/>
        <w:t>检查方法：使门扇处于关闭状态，用塞尺测量其活动间隙。  </w:t>
      </w:r>
      <w:r>
        <w:rPr>
          <w:w w:val="100"/>
        </w:rPr>
        <w:t> </w:t>
      </w:r>
    </w:p>
    <w:p>
      <w:pPr>
        <w:pStyle w:val="BodyText"/>
        <w:spacing w:before="8"/>
        <w:rPr>
          <w:sz w:val="19"/>
        </w:rPr>
      </w:pPr>
    </w:p>
    <w:p>
      <w:pPr>
        <w:pStyle w:val="ListParagraph"/>
        <w:numPr>
          <w:ilvl w:val="2"/>
          <w:numId w:val="848"/>
        </w:numPr>
        <w:tabs>
          <w:tab w:pos="1470" w:val="left" w:leader="none"/>
        </w:tabs>
        <w:spacing w:line="446" w:lineRule="auto" w:before="0" w:after="0"/>
        <w:ind w:left="418" w:right="1695" w:firstLine="422"/>
        <w:jc w:val="left"/>
        <w:rPr>
          <w:sz w:val="21"/>
        </w:rPr>
      </w:pPr>
      <w:r>
        <w:rPr>
          <w:spacing w:val="-8"/>
          <w:sz w:val="21"/>
        </w:rPr>
        <w:t>防火门安装完成后，其门扇应启闭灵活，并应无反弹、翘角、卡阻和关闭不严现象</w:t>
      </w:r>
      <w:r>
        <w:rPr>
          <w:spacing w:val="-3"/>
          <w:sz w:val="21"/>
        </w:rPr>
        <w:t>。 </w:t>
      </w:r>
      <w:r>
        <w:rPr>
          <w:sz w:val="21"/>
        </w:rPr>
        <w:t> </w:t>
      </w:r>
    </w:p>
    <w:p>
      <w:pPr>
        <w:pStyle w:val="BodyText"/>
        <w:spacing w:before="19"/>
        <w:ind w:left="826"/>
      </w:pPr>
      <w:r>
        <w:rPr/>
        <w:t>检查数量：全数检查。 </w:t>
      </w:r>
    </w:p>
    <w:p>
      <w:pPr>
        <w:pStyle w:val="BodyText"/>
        <w:spacing w:before="10"/>
        <w:rPr>
          <w:sz w:val="20"/>
        </w:rPr>
      </w:pPr>
    </w:p>
    <w:p>
      <w:pPr>
        <w:pStyle w:val="BodyText"/>
        <w:ind w:left="826"/>
      </w:pPr>
      <w:r>
        <w:rPr/>
        <w:t>检查方法：直观检查；手动试验。 </w:t>
      </w:r>
    </w:p>
    <w:p>
      <w:pPr>
        <w:pStyle w:val="BodyText"/>
        <w:rPr>
          <w:sz w:val="23"/>
        </w:rPr>
      </w:pPr>
    </w:p>
    <w:p>
      <w:pPr>
        <w:pStyle w:val="ListParagraph"/>
        <w:numPr>
          <w:ilvl w:val="2"/>
          <w:numId w:val="848"/>
        </w:numPr>
        <w:tabs>
          <w:tab w:pos="1478" w:val="left" w:leader="none"/>
        </w:tabs>
        <w:spacing w:line="448" w:lineRule="auto" w:before="1" w:after="0"/>
        <w:ind w:left="826" w:right="4187" w:firstLine="14"/>
        <w:jc w:val="left"/>
        <w:rPr>
          <w:sz w:val="21"/>
        </w:rPr>
      </w:pPr>
      <w:r>
        <w:rPr>
          <w:spacing w:val="-7"/>
          <w:sz w:val="21"/>
        </w:rPr>
        <w:t>除特殊情况外，防火门门扇的开启力不应大于</w:t>
      </w:r>
      <w:r>
        <w:rPr>
          <w:sz w:val="21"/>
        </w:rPr>
        <w:t>80N</w:t>
      </w:r>
      <w:r>
        <w:rPr>
          <w:spacing w:val="2"/>
          <w:sz w:val="21"/>
        </w:rPr>
        <w:t>。 检</w:t>
      </w:r>
      <w:r>
        <w:rPr>
          <w:spacing w:val="1"/>
          <w:sz w:val="21"/>
        </w:rPr>
        <w:t>查数量：全数检查。</w:t>
      </w:r>
      <w:r>
        <w:rPr>
          <w:sz w:val="21"/>
        </w:rPr>
        <w:t> </w:t>
      </w:r>
    </w:p>
    <w:p>
      <w:pPr>
        <w:spacing w:after="0" w:line="448" w:lineRule="auto"/>
        <w:jc w:val="left"/>
        <w:rPr>
          <w:sz w:val="21"/>
        </w:rPr>
        <w:sectPr>
          <w:pgSz w:w="11910" w:h="16850"/>
          <w:pgMar w:header="0" w:footer="1239" w:top="1220" w:bottom="1420" w:left="1260" w:right="0"/>
        </w:sectPr>
      </w:pPr>
    </w:p>
    <w:p>
      <w:pPr>
        <w:pStyle w:val="BodyText"/>
        <w:spacing w:line="448" w:lineRule="auto" w:before="45"/>
        <w:ind w:left="840" w:right="7264" w:hanging="15"/>
      </w:pPr>
      <w:r>
        <w:rPr/>
        <w:t>检查方法：用测力计测试。</w:t>
      </w:r>
      <w:r>
        <w:rPr>
          <w:b/>
        </w:rPr>
        <w:t>5.4 </w:t>
      </w:r>
      <w:r>
        <w:rPr/>
        <w:t>防火窗安装 </w:t>
      </w:r>
    </w:p>
    <w:p>
      <w:pPr>
        <w:pStyle w:val="ListParagraph"/>
        <w:numPr>
          <w:ilvl w:val="2"/>
          <w:numId w:val="849"/>
        </w:numPr>
        <w:tabs>
          <w:tab w:pos="1371" w:val="left" w:leader="none"/>
        </w:tabs>
        <w:spacing w:line="446" w:lineRule="auto" w:before="0" w:after="0"/>
        <w:ind w:left="826" w:right="2228" w:firstLine="14"/>
        <w:jc w:val="left"/>
        <w:rPr>
          <w:sz w:val="21"/>
        </w:rPr>
      </w:pPr>
      <w:r>
        <w:rPr>
          <w:spacing w:val="-7"/>
          <w:sz w:val="21"/>
        </w:rPr>
        <w:t>有密封要求的防火窗，其窗框密封槽内镶嵌的防火密封件应牢固、完好。 检</w:t>
      </w:r>
      <w:r>
        <w:rPr>
          <w:spacing w:val="-6"/>
          <w:sz w:val="21"/>
        </w:rPr>
        <w:t>查数量：全数检查。</w:t>
      </w:r>
      <w:r>
        <w:rPr>
          <w:sz w:val="21"/>
        </w:rPr>
        <w:t> </w:t>
      </w:r>
    </w:p>
    <w:p>
      <w:pPr>
        <w:pStyle w:val="BodyText"/>
        <w:ind w:left="826"/>
      </w:pPr>
      <w:r>
        <w:rPr/>
        <w:t>检查方法：直观检查。  </w:t>
      </w:r>
      <w:r>
        <w:rPr>
          <w:w w:val="100"/>
        </w:rPr>
        <w:t> </w:t>
      </w:r>
    </w:p>
    <w:p>
      <w:pPr>
        <w:pStyle w:val="BodyText"/>
        <w:rPr>
          <w:sz w:val="20"/>
        </w:rPr>
      </w:pPr>
    </w:p>
    <w:p>
      <w:pPr>
        <w:pStyle w:val="ListParagraph"/>
        <w:numPr>
          <w:ilvl w:val="2"/>
          <w:numId w:val="849"/>
        </w:numPr>
        <w:tabs>
          <w:tab w:pos="1370" w:val="left" w:leader="none"/>
        </w:tabs>
        <w:spacing w:line="240" w:lineRule="auto" w:before="0" w:after="0"/>
        <w:ind w:left="1369" w:right="0" w:hanging="530"/>
        <w:jc w:val="left"/>
        <w:rPr>
          <w:sz w:val="21"/>
        </w:rPr>
      </w:pPr>
      <w:r>
        <w:rPr>
          <w:spacing w:val="-8"/>
          <w:sz w:val="21"/>
        </w:rPr>
        <w:t>钢质防火窗窗框内应充填水泥砂浆</w:t>
      </w:r>
      <w:r>
        <w:rPr>
          <w:spacing w:val="-20"/>
          <w:sz w:val="21"/>
        </w:rPr>
        <w:t>。窗框与墙体应用预埋钢件或膨胀螺栓等连接牢固， </w:t>
      </w:r>
    </w:p>
    <w:p>
      <w:pPr>
        <w:pStyle w:val="BodyText"/>
        <w:spacing w:before="4"/>
        <w:rPr>
          <w:sz w:val="18"/>
        </w:rPr>
      </w:pPr>
    </w:p>
    <w:p>
      <w:pPr>
        <w:pStyle w:val="BodyText"/>
        <w:spacing w:line="446" w:lineRule="auto"/>
        <w:ind w:left="826" w:right="7319" w:hanging="408"/>
      </w:pPr>
      <w:r>
        <w:rPr>
          <w:spacing w:val="-6"/>
        </w:rPr>
        <w:t>其固定点间距不宜大于</w:t>
      </w:r>
      <w:r>
        <w:rPr>
          <w:spacing w:val="-106"/>
        </w:rPr>
        <w:t>6</w:t>
      </w:r>
      <w:r>
        <w:rPr>
          <w:spacing w:val="6"/>
        </w:rPr>
        <w:t> </w:t>
      </w:r>
      <w:r>
        <w:rPr>
          <w:spacing w:val="-4"/>
        </w:rPr>
        <w:t>00mm</w:t>
      </w:r>
      <w:r>
        <w:rPr/>
        <w:t>。</w:t>
      </w:r>
      <w:r>
        <w:rPr>
          <w:spacing w:val="-7"/>
        </w:rPr>
        <w:t>检查数量：全数检查。</w:t>
      </w:r>
      <w:r>
        <w:rPr/>
        <w:t> </w:t>
      </w:r>
    </w:p>
    <w:p>
      <w:pPr>
        <w:pStyle w:val="BodyText"/>
        <w:spacing w:before="1"/>
        <w:ind w:left="826"/>
      </w:pPr>
      <w:r>
        <w:rPr/>
        <w:t>检查方法：对照设计图纸、施工文件检查；尺量检查。 </w:t>
      </w:r>
    </w:p>
    <w:p>
      <w:pPr>
        <w:pStyle w:val="BodyText"/>
        <w:spacing w:before="7"/>
        <w:rPr>
          <w:sz w:val="20"/>
        </w:rPr>
      </w:pPr>
    </w:p>
    <w:p>
      <w:pPr>
        <w:pStyle w:val="ListParagraph"/>
        <w:numPr>
          <w:ilvl w:val="2"/>
          <w:numId w:val="849"/>
        </w:numPr>
        <w:tabs>
          <w:tab w:pos="1371" w:val="left" w:leader="none"/>
        </w:tabs>
        <w:spacing w:line="446" w:lineRule="auto" w:before="0" w:after="0"/>
        <w:ind w:left="418" w:right="1793" w:firstLine="422"/>
        <w:jc w:val="left"/>
        <w:rPr>
          <w:sz w:val="21"/>
        </w:rPr>
      </w:pPr>
      <w:r>
        <w:rPr>
          <w:spacing w:val="-8"/>
          <w:sz w:val="21"/>
        </w:rPr>
        <w:t>活动式防火窗窗扇启闭控制装置的安装应符合设计和产品说明书要求</w:t>
      </w:r>
      <w:r>
        <w:rPr>
          <w:spacing w:val="-31"/>
          <w:sz w:val="21"/>
        </w:rPr>
        <w:t>，并应位置明显</w:t>
      </w:r>
      <w:r>
        <w:rPr>
          <w:spacing w:val="-4"/>
          <w:sz w:val="21"/>
        </w:rPr>
        <w:t>， 便于操作。</w:t>
      </w:r>
      <w:r>
        <w:rPr>
          <w:sz w:val="21"/>
        </w:rPr>
        <w:t> </w:t>
      </w:r>
    </w:p>
    <w:p>
      <w:pPr>
        <w:pStyle w:val="BodyText"/>
        <w:spacing w:before="26"/>
        <w:ind w:left="826"/>
      </w:pPr>
      <w:r>
        <w:rPr/>
        <w:t>检查数量：全数检查。 </w:t>
      </w:r>
    </w:p>
    <w:p>
      <w:pPr>
        <w:pStyle w:val="BodyText"/>
        <w:spacing w:before="3"/>
        <w:rPr>
          <w:sz w:val="20"/>
        </w:rPr>
      </w:pPr>
    </w:p>
    <w:p>
      <w:pPr>
        <w:pStyle w:val="BodyText"/>
        <w:tabs>
          <w:tab w:pos="4198" w:val="left" w:leader="none"/>
        </w:tabs>
        <w:ind w:left="826"/>
      </w:pPr>
      <w:r>
        <w:rPr>
          <w:spacing w:val="-8"/>
        </w:rPr>
        <w:t>检查方法：直观检查；手动试验</w:t>
      </w:r>
      <w:r>
        <w:rPr>
          <w:spacing w:val="-7"/>
        </w:rPr>
        <w:t>。</w:t>
      </w:r>
      <w:r>
        <w:rPr/>
        <w:t> </w:t>
        <w:tab/>
      </w:r>
      <w:r>
        <w:rPr>
          <w:w w:val="100"/>
        </w:rPr>
        <w:t> </w:t>
      </w:r>
    </w:p>
    <w:p>
      <w:pPr>
        <w:pStyle w:val="BodyText"/>
        <w:spacing w:before="2"/>
        <w:rPr>
          <w:sz w:val="18"/>
        </w:rPr>
      </w:pPr>
    </w:p>
    <w:p>
      <w:pPr>
        <w:pStyle w:val="ListParagraph"/>
        <w:numPr>
          <w:ilvl w:val="2"/>
          <w:numId w:val="849"/>
        </w:numPr>
        <w:tabs>
          <w:tab w:pos="1371" w:val="left" w:leader="none"/>
        </w:tabs>
        <w:spacing w:line="446" w:lineRule="auto" w:before="0" w:after="0"/>
        <w:ind w:left="418" w:right="1601" w:firstLine="422"/>
        <w:jc w:val="left"/>
        <w:rPr>
          <w:sz w:val="21"/>
        </w:rPr>
      </w:pPr>
      <w:r>
        <w:rPr>
          <w:spacing w:val="-8"/>
          <w:sz w:val="21"/>
        </w:rPr>
        <w:t>活动式防火窗应装配火灾时能控制窗扇自动关闭的温控释放装置。温控释放装置的安</w:t>
      </w:r>
      <w:r>
        <w:rPr>
          <w:spacing w:val="-6"/>
          <w:sz w:val="21"/>
        </w:rPr>
        <w:t>装应符合设计和产品说明书要求。</w:t>
      </w:r>
      <w:r>
        <w:rPr>
          <w:sz w:val="21"/>
        </w:rPr>
        <w:t> </w:t>
      </w:r>
    </w:p>
    <w:p>
      <w:pPr>
        <w:pStyle w:val="BodyText"/>
        <w:ind w:left="826"/>
      </w:pPr>
      <w:r>
        <w:rPr/>
        <w:t>检查数量：全数检查。  </w:t>
      </w:r>
    </w:p>
    <w:p>
      <w:pPr>
        <w:pStyle w:val="BodyText"/>
        <w:rPr>
          <w:sz w:val="18"/>
        </w:rPr>
      </w:pPr>
    </w:p>
    <w:p>
      <w:pPr>
        <w:pStyle w:val="BodyText"/>
        <w:ind w:left="826"/>
      </w:pPr>
      <w:r>
        <w:rPr/>
        <w:t>检查方法：直观检查；按设计图纸、施工文件检查。 </w:t>
      </w:r>
    </w:p>
    <w:p>
      <w:pPr>
        <w:pStyle w:val="BodyText"/>
        <w:spacing w:before="8"/>
        <w:rPr>
          <w:sz w:val="15"/>
        </w:rPr>
      </w:pPr>
    </w:p>
    <w:p>
      <w:pPr>
        <w:pStyle w:val="Heading4"/>
      </w:pPr>
      <w:r>
        <w:rPr/>
        <w:t>6 功能调试</w:t>
      </w:r>
      <w:r>
        <w:rPr>
          <w:w w:val="99"/>
        </w:rPr>
        <w:t> </w:t>
      </w:r>
    </w:p>
    <w:p>
      <w:pPr>
        <w:pStyle w:val="BodyText"/>
        <w:spacing w:before="6"/>
        <w:rPr>
          <w:b/>
          <w:sz w:val="17"/>
        </w:rPr>
      </w:pPr>
    </w:p>
    <w:p>
      <w:pPr>
        <w:pStyle w:val="ListParagraph"/>
        <w:numPr>
          <w:ilvl w:val="1"/>
          <w:numId w:val="850"/>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rPr>
          <w:b/>
          <w:sz w:val="18"/>
        </w:rPr>
      </w:pPr>
    </w:p>
    <w:p>
      <w:pPr>
        <w:pStyle w:val="ListParagraph"/>
        <w:numPr>
          <w:ilvl w:val="2"/>
          <w:numId w:val="850"/>
        </w:numPr>
        <w:tabs>
          <w:tab w:pos="1371" w:val="left" w:leader="none"/>
          <w:tab w:pos="3058" w:val="left" w:leader="none"/>
        </w:tabs>
        <w:spacing w:line="446" w:lineRule="auto" w:before="0" w:after="0"/>
        <w:ind w:left="418" w:right="1544" w:firstLine="422"/>
        <w:jc w:val="left"/>
        <w:rPr>
          <w:sz w:val="21"/>
        </w:rPr>
      </w:pPr>
      <w:r>
        <w:rPr>
          <w:spacing w:val="-3"/>
          <w:sz w:val="21"/>
        </w:rPr>
        <w:t>防</w:t>
      </w:r>
      <w:r>
        <w:rPr>
          <w:spacing w:val="-5"/>
          <w:sz w:val="21"/>
        </w:rPr>
        <w:t>火</w:t>
      </w:r>
      <w:r>
        <w:rPr>
          <w:spacing w:val="-3"/>
          <w:sz w:val="21"/>
        </w:rPr>
        <w:t>卷</w:t>
      </w:r>
      <w:r>
        <w:rPr>
          <w:spacing w:val="-8"/>
          <w:sz w:val="21"/>
        </w:rPr>
        <w:t>帘</w:t>
      </w:r>
      <w:r>
        <w:rPr>
          <w:spacing w:val="-87"/>
          <w:sz w:val="21"/>
        </w:rPr>
        <w:t>、</w:t>
      </w:r>
      <w:r>
        <w:rPr>
          <w:spacing w:val="-5"/>
          <w:sz w:val="21"/>
        </w:rPr>
        <w:t>防</w:t>
      </w:r>
      <w:r>
        <w:rPr>
          <w:spacing w:val="-3"/>
          <w:sz w:val="21"/>
        </w:rPr>
        <w:t>火</w:t>
      </w:r>
      <w:r>
        <w:rPr>
          <w:spacing w:val="-8"/>
          <w:sz w:val="21"/>
        </w:rPr>
        <w:t>门</w:t>
      </w:r>
      <w:r>
        <w:rPr>
          <w:spacing w:val="-89"/>
          <w:sz w:val="21"/>
        </w:rPr>
        <w:t>、</w:t>
      </w:r>
      <w:r>
        <w:rPr>
          <w:sz w:val="21"/>
        </w:rPr>
        <w:t>防</w:t>
      </w:r>
      <w:r>
        <w:rPr>
          <w:spacing w:val="-3"/>
          <w:sz w:val="21"/>
        </w:rPr>
        <w:t>火</w:t>
      </w:r>
      <w:r>
        <w:rPr>
          <w:spacing w:val="-5"/>
          <w:sz w:val="21"/>
        </w:rPr>
        <w:t>窗</w:t>
      </w:r>
      <w:r>
        <w:rPr>
          <w:spacing w:val="-3"/>
          <w:sz w:val="21"/>
        </w:rPr>
        <w:t>安</w:t>
      </w:r>
      <w:r>
        <w:rPr>
          <w:spacing w:val="-8"/>
          <w:sz w:val="21"/>
        </w:rPr>
        <w:t>装</w:t>
      </w:r>
      <w:r>
        <w:rPr>
          <w:spacing w:val="-3"/>
          <w:sz w:val="21"/>
        </w:rPr>
        <w:t>完</w:t>
      </w:r>
      <w:r>
        <w:rPr>
          <w:spacing w:val="-5"/>
          <w:sz w:val="21"/>
        </w:rPr>
        <w:t>毕</w:t>
      </w:r>
      <w:r>
        <w:rPr>
          <w:spacing w:val="-3"/>
          <w:sz w:val="21"/>
        </w:rPr>
        <w:t>后</w:t>
      </w:r>
      <w:r>
        <w:rPr>
          <w:spacing w:val="-7"/>
          <w:sz w:val="21"/>
        </w:rPr>
        <w:t>应</w:t>
      </w:r>
      <w:r>
        <w:rPr>
          <w:spacing w:val="-3"/>
          <w:sz w:val="21"/>
        </w:rPr>
        <w:t>进</w:t>
      </w:r>
      <w:r>
        <w:rPr>
          <w:spacing w:val="-8"/>
          <w:sz w:val="21"/>
        </w:rPr>
        <w:t>行</w:t>
      </w:r>
      <w:r>
        <w:rPr>
          <w:sz w:val="21"/>
        </w:rPr>
        <w:t>功</w:t>
      </w:r>
      <w:r>
        <w:rPr>
          <w:spacing w:val="-3"/>
          <w:sz w:val="21"/>
        </w:rPr>
        <w:t>能</w:t>
      </w:r>
      <w:r>
        <w:rPr>
          <w:spacing w:val="-5"/>
          <w:sz w:val="21"/>
        </w:rPr>
        <w:t>调</w:t>
      </w:r>
      <w:r>
        <w:rPr>
          <w:spacing w:val="-3"/>
          <w:sz w:val="21"/>
        </w:rPr>
        <w:t>试</w:t>
      </w:r>
      <w:r>
        <w:rPr>
          <w:spacing w:val="-89"/>
          <w:sz w:val="21"/>
        </w:rPr>
        <w:t>，</w:t>
      </w:r>
      <w:r>
        <w:rPr>
          <w:spacing w:val="-3"/>
          <w:sz w:val="21"/>
        </w:rPr>
        <w:t>当</w:t>
      </w:r>
      <w:r>
        <w:rPr>
          <w:spacing w:val="-8"/>
          <w:sz w:val="21"/>
        </w:rPr>
        <w:t>有</w:t>
      </w:r>
      <w:r>
        <w:rPr>
          <w:spacing w:val="-3"/>
          <w:sz w:val="21"/>
        </w:rPr>
        <w:t>火</w:t>
      </w:r>
      <w:r>
        <w:rPr>
          <w:spacing w:val="-5"/>
          <w:sz w:val="21"/>
        </w:rPr>
        <w:t>灾</w:t>
      </w:r>
      <w:r>
        <w:rPr>
          <w:spacing w:val="-3"/>
          <w:sz w:val="21"/>
        </w:rPr>
        <w:t>自</w:t>
      </w:r>
      <w:r>
        <w:rPr>
          <w:spacing w:val="-7"/>
          <w:sz w:val="21"/>
        </w:rPr>
        <w:t>动</w:t>
      </w:r>
      <w:r>
        <w:rPr>
          <w:spacing w:val="-3"/>
          <w:sz w:val="21"/>
        </w:rPr>
        <w:t>报</w:t>
      </w:r>
      <w:r>
        <w:rPr>
          <w:sz w:val="21"/>
        </w:rPr>
        <w:t>警</w:t>
      </w:r>
      <w:r>
        <w:rPr>
          <w:spacing w:val="-8"/>
          <w:sz w:val="21"/>
        </w:rPr>
        <w:t>系</w:t>
      </w:r>
      <w:r>
        <w:rPr>
          <w:spacing w:val="-3"/>
          <w:sz w:val="21"/>
        </w:rPr>
        <w:t>统</w:t>
      </w:r>
      <w:r>
        <w:rPr>
          <w:spacing w:val="-5"/>
          <w:sz w:val="21"/>
        </w:rPr>
        <w:t>时，</w:t>
      </w:r>
      <w:r>
        <w:rPr>
          <w:spacing w:val="39"/>
          <w:sz w:val="21"/>
        </w:rPr>
        <w:t> </w:t>
      </w:r>
      <w:r>
        <w:rPr>
          <w:sz w:val="21"/>
        </w:rPr>
        <w:t>功能</w:t>
      </w:r>
      <w:r>
        <w:rPr>
          <w:spacing w:val="-5"/>
          <w:sz w:val="21"/>
        </w:rPr>
        <w:t>调</w:t>
      </w:r>
      <w:r>
        <w:rPr>
          <w:sz w:val="21"/>
        </w:rPr>
        <w:t>试</w:t>
      </w:r>
      <w:r>
        <w:rPr>
          <w:spacing w:val="-5"/>
          <w:sz w:val="21"/>
        </w:rPr>
        <w:t>应</w:t>
      </w:r>
      <w:r>
        <w:rPr>
          <w:sz w:val="21"/>
        </w:rPr>
        <w:t>在</w:t>
      </w:r>
      <w:r>
        <w:rPr>
          <w:spacing w:val="-5"/>
          <w:sz w:val="21"/>
        </w:rPr>
        <w:t>有</w:t>
      </w:r>
      <w:r>
        <w:rPr>
          <w:spacing w:val="-3"/>
          <w:sz w:val="21"/>
        </w:rPr>
        <w:t>关</w:t>
      </w:r>
      <w:r>
        <w:rPr>
          <w:spacing w:val="-5"/>
          <w:sz w:val="21"/>
        </w:rPr>
        <w:t>火</w:t>
      </w:r>
      <w:r>
        <w:rPr>
          <w:sz w:val="21"/>
        </w:rPr>
        <w:t>灾</w:t>
      </w:r>
      <w:r>
        <w:rPr>
          <w:spacing w:val="-7"/>
          <w:sz w:val="21"/>
        </w:rPr>
        <w:t>自</w:t>
      </w:r>
      <w:r>
        <w:rPr>
          <w:sz w:val="21"/>
        </w:rPr>
        <w:t>动报</w:t>
      </w:r>
      <w:r>
        <w:rPr>
          <w:spacing w:val="-5"/>
          <w:sz w:val="21"/>
        </w:rPr>
        <w:t>警</w:t>
      </w:r>
      <w:r>
        <w:rPr>
          <w:sz w:val="21"/>
        </w:rPr>
        <w:t>系</w:t>
      </w:r>
      <w:r>
        <w:rPr>
          <w:spacing w:val="-5"/>
          <w:sz w:val="21"/>
        </w:rPr>
        <w:t>统</w:t>
      </w:r>
      <w:r>
        <w:rPr>
          <w:sz w:val="21"/>
        </w:rPr>
        <w:t>及</w:t>
      </w:r>
      <w:r>
        <w:rPr>
          <w:spacing w:val="-5"/>
          <w:sz w:val="21"/>
        </w:rPr>
        <w:t>联</w:t>
      </w:r>
      <w:r>
        <w:rPr>
          <w:spacing w:val="-3"/>
          <w:sz w:val="21"/>
        </w:rPr>
        <w:t>动</w:t>
      </w:r>
      <w:r>
        <w:rPr>
          <w:spacing w:val="-5"/>
          <w:sz w:val="21"/>
        </w:rPr>
        <w:t>控</w:t>
      </w:r>
      <w:r>
        <w:rPr>
          <w:sz w:val="21"/>
        </w:rPr>
        <w:t>制</w:t>
      </w:r>
      <w:r>
        <w:rPr>
          <w:spacing w:val="-8"/>
          <w:sz w:val="21"/>
        </w:rPr>
        <w:t>设</w:t>
      </w:r>
      <w:r>
        <w:rPr>
          <w:sz w:val="21"/>
        </w:rPr>
        <w:t>备调</w:t>
      </w:r>
      <w:r>
        <w:rPr>
          <w:spacing w:val="-5"/>
          <w:sz w:val="21"/>
        </w:rPr>
        <w:t>试</w:t>
      </w:r>
      <w:r>
        <w:rPr>
          <w:sz w:val="21"/>
        </w:rPr>
        <w:t>合</w:t>
      </w:r>
      <w:r>
        <w:rPr>
          <w:spacing w:val="-5"/>
          <w:sz w:val="21"/>
        </w:rPr>
        <w:t>格</w:t>
      </w:r>
      <w:r>
        <w:rPr>
          <w:sz w:val="21"/>
        </w:rPr>
        <w:t>后</w:t>
      </w:r>
      <w:r>
        <w:rPr>
          <w:spacing w:val="-8"/>
          <w:sz w:val="21"/>
        </w:rPr>
        <w:t>进</w:t>
      </w:r>
      <w:r>
        <w:rPr>
          <w:spacing w:val="-5"/>
          <w:sz w:val="21"/>
        </w:rPr>
        <w:t>行</w:t>
      </w:r>
      <w:r>
        <w:rPr>
          <w:spacing w:val="-190"/>
          <w:sz w:val="21"/>
        </w:rPr>
        <w:t>。</w:t>
      </w:r>
      <w:r>
        <w:rPr>
          <w:spacing w:val="-5"/>
          <w:sz w:val="21"/>
        </w:rPr>
        <w:t>功</w:t>
      </w:r>
      <w:r>
        <w:rPr>
          <w:sz w:val="21"/>
        </w:rPr>
        <w:t>能</w:t>
      </w:r>
      <w:r>
        <w:rPr>
          <w:spacing w:val="-8"/>
          <w:sz w:val="21"/>
        </w:rPr>
        <w:t>调</w:t>
      </w:r>
      <w:r>
        <w:rPr>
          <w:sz w:val="21"/>
        </w:rPr>
        <w:t>试应</w:t>
      </w:r>
      <w:r>
        <w:rPr>
          <w:spacing w:val="-5"/>
          <w:sz w:val="21"/>
        </w:rPr>
        <w:t>由</w:t>
      </w:r>
      <w:r>
        <w:rPr>
          <w:sz w:val="21"/>
        </w:rPr>
        <w:t>施</w:t>
      </w:r>
      <w:r>
        <w:rPr>
          <w:spacing w:val="-5"/>
          <w:sz w:val="21"/>
        </w:rPr>
        <w:t>工</w:t>
      </w:r>
      <w:r>
        <w:rPr>
          <w:sz w:val="21"/>
        </w:rPr>
        <w:t>单位负</w:t>
      </w:r>
      <w:r>
        <w:rPr>
          <w:spacing w:val="-5"/>
          <w:sz w:val="21"/>
        </w:rPr>
        <w:t>责</w:t>
      </w:r>
      <w:r>
        <w:rPr>
          <w:spacing w:val="-3"/>
          <w:sz w:val="21"/>
        </w:rPr>
        <w:t>，</w:t>
      </w:r>
      <w:r>
        <w:rPr>
          <w:spacing w:val="-8"/>
          <w:sz w:val="21"/>
        </w:rPr>
        <w:t>监</w:t>
      </w:r>
      <w:r>
        <w:rPr>
          <w:spacing w:val="-3"/>
          <w:sz w:val="21"/>
        </w:rPr>
        <w:t>理</w:t>
      </w:r>
      <w:r>
        <w:rPr>
          <w:spacing w:val="-5"/>
          <w:sz w:val="21"/>
        </w:rPr>
        <w:t>单</w:t>
      </w:r>
      <w:r>
        <w:rPr>
          <w:spacing w:val="-3"/>
          <w:sz w:val="21"/>
        </w:rPr>
        <w:t>位</w:t>
      </w:r>
      <w:r>
        <w:rPr>
          <w:spacing w:val="-8"/>
          <w:sz w:val="21"/>
        </w:rPr>
        <w:t>监</w:t>
      </w:r>
      <w:r>
        <w:rPr>
          <w:sz w:val="21"/>
        </w:rPr>
        <w:t>督</w:t>
      </w:r>
      <w:r>
        <w:rPr>
          <w:spacing w:val="-3"/>
          <w:sz w:val="21"/>
        </w:rPr>
        <w:t>。</w:t>
      </w:r>
      <w:r>
        <w:rPr>
          <w:sz w:val="21"/>
        </w:rPr>
        <w:t> </w:t>
        <w:tab/>
      </w:r>
      <w:hyperlink r:id="rId471">
        <w:r>
          <w:rPr>
            <w:color w:val="DDD9C3"/>
            <w:w w:val="100"/>
            <w:sz w:val="21"/>
            <w:u w:val="single" w:color="DDD9C3"/>
          </w:rPr>
          <w:t> </w:t>
        </w:r>
      </w:hyperlink>
      <w:r>
        <w:rPr>
          <w:w w:val="100"/>
          <w:sz w:val="21"/>
        </w:rPr>
        <w:t> </w:t>
      </w:r>
    </w:p>
    <w:p>
      <w:pPr>
        <w:pStyle w:val="ListParagraph"/>
        <w:numPr>
          <w:ilvl w:val="2"/>
          <w:numId w:val="850"/>
        </w:numPr>
        <w:tabs>
          <w:tab w:pos="1371" w:val="left" w:leader="none"/>
        </w:tabs>
        <w:spacing w:line="268" w:lineRule="exact" w:before="0" w:after="0"/>
        <w:ind w:left="1370" w:right="0" w:hanging="531"/>
        <w:jc w:val="left"/>
        <w:rPr>
          <w:sz w:val="21"/>
        </w:rPr>
      </w:pPr>
      <w:r>
        <w:rPr>
          <w:spacing w:val="-23"/>
          <w:sz w:val="21"/>
        </w:rPr>
        <w:t>防火卷帘、防火门、防火窗的功能调试应符合下列规定：</w:t>
      </w:r>
      <w:r>
        <w:rPr>
          <w:sz w:val="21"/>
        </w:rPr>
        <w:t> </w:t>
      </w:r>
    </w:p>
    <w:p>
      <w:pPr>
        <w:pStyle w:val="BodyText"/>
        <w:rPr>
          <w:sz w:val="20"/>
        </w:rPr>
      </w:pPr>
    </w:p>
    <w:p>
      <w:pPr>
        <w:pStyle w:val="BodyText"/>
        <w:spacing w:line="446" w:lineRule="auto"/>
        <w:ind w:left="418" w:right="1659" w:firstLine="407"/>
      </w:pPr>
      <w:r>
        <w:rPr>
          <w:spacing w:val="-7"/>
        </w:rPr>
        <w:t>调试前应具有本规范第 </w:t>
      </w:r>
      <w:r>
        <w:rPr>
          <w:spacing w:val="-5"/>
        </w:rPr>
        <w:t>3.0.2</w:t>
      </w:r>
      <w:r>
        <w:rPr>
          <w:spacing w:val="-8"/>
        </w:rPr>
        <w:t> 条规定的技术资料和施工过程检查记录及调试必需的其他 资料。</w:t>
      </w:r>
      <w:r>
        <w:rPr/>
        <w:t> </w:t>
      </w:r>
    </w:p>
    <w:p>
      <w:pPr>
        <w:pStyle w:val="BodyText"/>
        <w:tabs>
          <w:tab w:pos="5842" w:val="left" w:leader="none"/>
        </w:tabs>
        <w:spacing w:line="446" w:lineRule="auto" w:before="29"/>
        <w:ind w:left="838" w:right="1656" w:hanging="12"/>
      </w:pPr>
      <w:r>
        <w:rPr>
          <w:spacing w:val="-8"/>
        </w:rPr>
        <w:t>调试前应根据本规范规定的调试内容和调试方法，制订调试方案，并应经监理单位</w:t>
      </w:r>
      <w:r>
        <w:rPr>
          <w:spacing w:val="-6"/>
        </w:rPr>
        <w:t>批</w:t>
      </w:r>
      <w:r>
        <w:rPr>
          <w:spacing w:val="11"/>
        </w:rPr>
        <w:t> </w:t>
      </w:r>
      <w:r>
        <w:rPr>
          <w:spacing w:val="-8"/>
        </w:rPr>
        <w:t>准。</w:t>
      </w:r>
      <w:r>
        <w:rPr>
          <w:spacing w:val="-1"/>
        </w:rPr>
        <w:t>调</w:t>
      </w:r>
      <w:r>
        <w:rPr>
          <w:spacing w:val="-8"/>
        </w:rPr>
        <w:t>试</w:t>
      </w:r>
      <w:r>
        <w:rPr>
          <w:spacing w:val="-3"/>
        </w:rPr>
        <w:t>人</w:t>
      </w:r>
      <w:r>
        <w:rPr>
          <w:spacing w:val="-5"/>
        </w:rPr>
        <w:t>员</w:t>
      </w:r>
      <w:r>
        <w:rPr>
          <w:spacing w:val="-3"/>
        </w:rPr>
        <w:t>应</w:t>
      </w:r>
      <w:r>
        <w:rPr>
          <w:spacing w:val="-8"/>
        </w:rPr>
        <w:t>根</w:t>
      </w:r>
      <w:r>
        <w:rPr>
          <w:spacing w:val="-3"/>
        </w:rPr>
        <w:t>据</w:t>
      </w:r>
      <w:r>
        <w:rPr>
          <w:spacing w:val="-8"/>
        </w:rPr>
        <w:t>批</w:t>
      </w:r>
      <w:r>
        <w:rPr>
          <w:spacing w:val="-5"/>
        </w:rPr>
        <w:t>准</w:t>
      </w:r>
      <w:r>
        <w:rPr>
          <w:spacing w:val="-3"/>
        </w:rPr>
        <w:t>的调</w:t>
      </w:r>
      <w:r>
        <w:rPr>
          <w:spacing w:val="-5"/>
        </w:rPr>
        <w:t>试</w:t>
      </w:r>
      <w:r>
        <w:rPr>
          <w:spacing w:val="-3"/>
        </w:rPr>
        <w:t>方</w:t>
      </w:r>
      <w:r>
        <w:rPr>
          <w:spacing w:val="-8"/>
        </w:rPr>
        <w:t>案</w:t>
      </w:r>
      <w:r>
        <w:rPr>
          <w:spacing w:val="-3"/>
        </w:rPr>
        <w:t>按</w:t>
      </w:r>
      <w:r>
        <w:rPr>
          <w:spacing w:val="-5"/>
        </w:rPr>
        <w:t>程</w:t>
      </w:r>
      <w:r>
        <w:rPr>
          <w:spacing w:val="-3"/>
        </w:rPr>
        <w:t>序</w:t>
      </w:r>
      <w:r>
        <w:rPr>
          <w:spacing w:val="-8"/>
        </w:rPr>
        <w:t>进</w:t>
      </w:r>
      <w:r>
        <w:rPr>
          <w:spacing w:val="-3"/>
        </w:rPr>
        <w:t>行</w:t>
      </w:r>
      <w:r>
        <w:rPr>
          <w:spacing w:val="-5"/>
        </w:rPr>
        <w:t>调</w:t>
      </w:r>
      <w:r>
        <w:rPr>
          <w:spacing w:val="-3"/>
        </w:rPr>
        <w:t>试</w:t>
      </w:r>
      <w:r>
        <w:rPr>
          <w:spacing w:val="-1"/>
        </w:rPr>
        <w:t>。</w:t>
      </w:r>
      <w:r>
        <w:rPr/>
        <w:t> </w:t>
        <w:tab/>
      </w:r>
      <w:r>
        <w:rPr>
          <w:w w:val="100"/>
        </w:rPr>
        <w:t> </w:t>
      </w:r>
    </w:p>
    <w:p>
      <w:pPr>
        <w:pStyle w:val="ListParagraph"/>
        <w:numPr>
          <w:ilvl w:val="2"/>
          <w:numId w:val="850"/>
        </w:numPr>
        <w:tabs>
          <w:tab w:pos="1370" w:val="left" w:leader="none"/>
        </w:tabs>
        <w:spacing w:line="240" w:lineRule="auto" w:before="14" w:after="0"/>
        <w:ind w:left="1369" w:right="0" w:hanging="530"/>
        <w:jc w:val="left"/>
        <w:rPr>
          <w:sz w:val="21"/>
        </w:rPr>
      </w:pPr>
      <w:r>
        <w:rPr>
          <w:spacing w:val="-8"/>
          <w:sz w:val="21"/>
        </w:rPr>
        <w:t>防火卷帘、防火门、防火窗的功能调试应按本规范附录</w:t>
      </w:r>
      <w:r>
        <w:rPr>
          <w:sz w:val="21"/>
        </w:rPr>
        <w:t>C</w:t>
      </w:r>
      <w:r>
        <w:rPr>
          <w:spacing w:val="-1"/>
          <w:sz w:val="21"/>
        </w:rPr>
        <w:t> 表</w:t>
      </w:r>
      <w:r>
        <w:rPr>
          <w:sz w:val="21"/>
        </w:rPr>
        <w:t>C.0.1-4</w:t>
      </w:r>
      <w:r>
        <w:rPr>
          <w:spacing w:val="-3"/>
          <w:sz w:val="21"/>
        </w:rPr>
        <w:t> 填写调试过</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840" w:right="4239" w:hanging="423"/>
        <w:rPr>
          <w:b/>
        </w:rPr>
      </w:pPr>
      <w:r>
        <w:rPr>
          <w:spacing w:val="-8"/>
        </w:rPr>
        <w:t>程检 查记录。施工单位应在调试合格后向建设单位申请验收。</w:t>
      </w:r>
      <w:r>
        <w:rPr>
          <w:b/>
        </w:rPr>
        <w:t>6.2</w:t>
      </w:r>
      <w:r>
        <w:rPr>
          <w:b/>
          <w:spacing w:val="1"/>
        </w:rPr>
        <w:t> </w:t>
      </w:r>
      <w:r>
        <w:rPr>
          <w:spacing w:val="-3"/>
        </w:rPr>
        <w:t>防火卷帘调试</w:t>
      </w:r>
      <w:r>
        <w:rPr>
          <w:b/>
          <w:w w:val="99"/>
        </w:rPr>
        <w:t> </w:t>
      </w:r>
    </w:p>
    <w:p>
      <w:pPr>
        <w:pStyle w:val="BodyText"/>
        <w:spacing w:line="446" w:lineRule="auto"/>
        <w:ind w:left="418" w:right="1601" w:firstLine="422"/>
      </w:pPr>
      <w:r>
        <w:rPr>
          <w:b/>
        </w:rPr>
        <w:t>6.2.1 </w:t>
      </w:r>
      <w:r>
        <w:rPr>
          <w:spacing w:val="-8"/>
        </w:rPr>
        <w:t>防火卷帘控制器应进行通电功能、备用电源、火灾报警功能、故障报警功能、自动控 制功能、手动控制功能和自重下降功能调试，并应符合下列要求：</w:t>
      </w:r>
      <w:r>
        <w:rPr/>
        <w:t> </w:t>
      </w:r>
    </w:p>
    <w:p>
      <w:pPr>
        <w:pStyle w:val="BodyText"/>
        <w:spacing w:before="24"/>
        <w:ind w:left="826"/>
      </w:pPr>
      <w:r>
        <w:rPr/>
        <w:t>通电功能调试时，应将防火卷帘控制器分别与消防控制室的火灾报警控制器或消防联 </w:t>
      </w:r>
    </w:p>
    <w:p>
      <w:pPr>
        <w:pStyle w:val="BodyText"/>
        <w:spacing w:before="3"/>
        <w:rPr>
          <w:sz w:val="20"/>
        </w:rPr>
      </w:pPr>
    </w:p>
    <w:p>
      <w:pPr>
        <w:pStyle w:val="BodyText"/>
        <w:spacing w:line="446" w:lineRule="auto"/>
        <w:ind w:left="418" w:right="1658" w:firstLine="407"/>
      </w:pPr>
      <w:r>
        <w:rPr>
          <w:spacing w:val="-8"/>
        </w:rPr>
        <w:t>动控制设备、相关的火灾探测器、卷门机等连接并通电，防火卷帘控制器应处于正常工作状态。</w:t>
      </w:r>
      <w:r>
        <w:rPr/>
        <w:t> </w:t>
      </w:r>
    </w:p>
    <w:p>
      <w:pPr>
        <w:pStyle w:val="BodyText"/>
        <w:spacing w:line="470" w:lineRule="auto" w:before="27"/>
        <w:ind w:left="826" w:right="7573"/>
      </w:pPr>
      <w:r>
        <w:rPr>
          <w:spacing w:val="-8"/>
        </w:rPr>
        <w:t>检查数量：全数检查。 检查方法：直观检查。</w:t>
      </w:r>
      <w:r>
        <w:rPr/>
        <w:t> </w:t>
      </w:r>
    </w:p>
    <w:p>
      <w:pPr>
        <w:pStyle w:val="BodyText"/>
        <w:spacing w:line="446" w:lineRule="auto"/>
        <w:ind w:left="418" w:right="1496" w:firstLine="419"/>
        <w:jc w:val="both"/>
      </w:pPr>
      <w:r>
        <w:rPr>
          <w:spacing w:val="-20"/>
        </w:rPr>
        <w:t>备用电源调试时，设有备用电源的防火卷帘，其控制器应有主、备电源转换功能。主、 备电、</w:t>
      </w:r>
      <w:r>
        <w:rPr>
          <w:spacing w:val="-17"/>
        </w:rPr>
        <w:t>踞的工作状态应有指示，主、备电源的转换不应使防火卷帘控制器发生误动作。备用 电源的电池</w:t>
      </w:r>
      <w:r>
        <w:rPr>
          <w:spacing w:val="-9"/>
        </w:rPr>
        <w:t>容量应保证防火卷帘控制器在备用电源供电条件下能正常可靠工作 </w:t>
      </w:r>
      <w:r>
        <w:rPr>
          <w:spacing w:val="-3"/>
        </w:rPr>
        <w:t>1h，并应提 供控制器控制卷</w:t>
      </w:r>
      <w:r>
        <w:rPr>
          <w:spacing w:val="-8"/>
        </w:rPr>
        <w:t>门机速放控制装置完成卷帘自重垂降，控制卷帘降至下限位所需的电源。</w:t>
      </w:r>
      <w:r>
        <w:rPr/>
        <w:t> </w:t>
      </w:r>
    </w:p>
    <w:p>
      <w:pPr>
        <w:pStyle w:val="BodyText"/>
        <w:spacing w:before="21"/>
        <w:ind w:left="826"/>
      </w:pPr>
      <w:r>
        <w:rPr/>
        <w:t>检查数量：全数检查。  </w:t>
      </w:r>
    </w:p>
    <w:p>
      <w:pPr>
        <w:pStyle w:val="BodyText"/>
        <w:spacing w:before="2"/>
        <w:rPr>
          <w:sz w:val="20"/>
        </w:rPr>
      </w:pPr>
    </w:p>
    <w:p>
      <w:pPr>
        <w:pStyle w:val="BodyText"/>
        <w:spacing w:line="446" w:lineRule="auto"/>
        <w:ind w:left="418" w:right="1519" w:firstLine="407"/>
      </w:pPr>
      <w:r>
        <w:rPr>
          <w:spacing w:val="-8"/>
        </w:rPr>
        <w:t>检查方法：切断防火卷帘控制器的主电源，观察电源工作指示灯变化情况和防火卷帘是否发生误动作。再切断卷门机主电源，使用备用电源供电，使防火卷帘控制器工作</w:t>
      </w:r>
      <w:r>
        <w:rPr/>
        <w:t>1h</w:t>
      </w:r>
      <w:r>
        <w:rPr>
          <w:spacing w:val="-1"/>
        </w:rPr>
        <w:t>，用 备用电源</w:t>
      </w:r>
      <w:r>
        <w:rPr>
          <w:spacing w:val="-8"/>
        </w:rPr>
        <w:t>启动速放控制装置，观察防火卷帘动作、运行情况。 </w:t>
      </w:r>
    </w:p>
    <w:p>
      <w:pPr>
        <w:pStyle w:val="BodyText"/>
        <w:spacing w:line="446" w:lineRule="auto" w:before="33"/>
        <w:ind w:left="418" w:right="1611" w:firstLine="419"/>
      </w:pPr>
      <w:r>
        <w:rPr>
          <w:spacing w:val="-7"/>
        </w:rPr>
        <w:t>火灾报警功能调试时，防火卷帘控制器应直接或间接地接收来自火灾探测器组发出的 火灾</w:t>
      </w:r>
      <w:r>
        <w:rPr>
          <w:spacing w:val="-8"/>
        </w:rPr>
        <w:t>报警信号，并应发出声、光报警信号。</w:t>
      </w:r>
      <w:r>
        <w:rPr/>
        <w:t> </w:t>
      </w:r>
    </w:p>
    <w:p>
      <w:pPr>
        <w:pStyle w:val="BodyText"/>
        <w:spacing w:before="34"/>
        <w:ind w:left="826"/>
      </w:pPr>
      <w:r>
        <w:rPr/>
        <w:t>检查数量：全数检查。  </w:t>
      </w:r>
    </w:p>
    <w:p>
      <w:pPr>
        <w:pStyle w:val="BodyText"/>
        <w:spacing w:before="8"/>
        <w:rPr>
          <w:sz w:val="19"/>
        </w:rPr>
      </w:pPr>
    </w:p>
    <w:p>
      <w:pPr>
        <w:pStyle w:val="BodyText"/>
        <w:spacing w:line="465" w:lineRule="auto"/>
        <w:ind w:left="838" w:right="1609" w:hanging="12"/>
      </w:pPr>
      <w:r>
        <w:rPr>
          <w:spacing w:val="-22"/>
        </w:rPr>
        <w:t>检查方法：使火灾探测器组发出火灾报警信号，观察防火卷帘控制器的声、光报警情况。   </w:t>
      </w:r>
      <w:r>
        <w:rPr>
          <w:spacing w:val="-8"/>
        </w:rPr>
        <w:t>故障报警功能调试时，防火卷帘控制器的电源缺相或相序有误，以及防火卷帘控制器与火</w:t>
      </w:r>
    </w:p>
    <w:p>
      <w:pPr>
        <w:pStyle w:val="BodyText"/>
        <w:spacing w:line="248" w:lineRule="exact"/>
        <w:ind w:left="418"/>
      </w:pPr>
      <w:r>
        <w:rPr/>
        <w:t>灾探测器之间的连接线断线或发生故障，防火卷帘控制器均应发出故障报警信号。 检查数量：</w:t>
      </w:r>
    </w:p>
    <w:p>
      <w:pPr>
        <w:pStyle w:val="BodyText"/>
        <w:spacing w:before="12"/>
        <w:rPr>
          <w:sz w:val="17"/>
        </w:rPr>
      </w:pPr>
    </w:p>
    <w:p>
      <w:pPr>
        <w:pStyle w:val="BodyText"/>
        <w:spacing w:line="446" w:lineRule="auto"/>
        <w:ind w:left="418" w:right="1505"/>
      </w:pPr>
      <w:r>
        <w:rPr>
          <w:spacing w:val="-3"/>
        </w:rPr>
        <w:t>全数检查。 检查方法：任意断开电源一相或对调电源的任意两相，手动操作防火卷帘控制器按</w:t>
      </w:r>
      <w:r>
        <w:rPr>
          <w:spacing w:val="-8"/>
        </w:rPr>
        <w:t>钮，观察防火卷帘动作情况及防火卷帘控制器报警情况</w:t>
      </w:r>
      <w:r>
        <w:rPr>
          <w:spacing w:val="-20"/>
        </w:rPr>
        <w:t>。断开火灾探测器与防火卷帘控制器的连 </w:t>
      </w:r>
      <w:r>
        <w:rPr>
          <w:spacing w:val="-8"/>
        </w:rPr>
        <w:t>接线，观察防火卷帘控制器报警情况。</w:t>
      </w:r>
      <w:r>
        <w:rPr/>
        <w:t> </w:t>
      </w:r>
    </w:p>
    <w:p>
      <w:pPr>
        <w:pStyle w:val="BodyText"/>
        <w:spacing w:before="21"/>
        <w:ind w:left="838"/>
      </w:pPr>
      <w:r>
        <w:rPr/>
        <w:t>自动控制功能调试时，当防火卷帘控制器接收到火灾报警信号后，应输出控制防火卷 帘完</w:t>
      </w:r>
    </w:p>
    <w:p>
      <w:pPr>
        <w:spacing w:after="0"/>
        <w:sectPr>
          <w:pgSz w:w="11910" w:h="16850"/>
          <w:pgMar w:header="0" w:footer="1239" w:top="1220" w:bottom="1420" w:left="1260" w:right="0"/>
        </w:sectPr>
      </w:pPr>
    </w:p>
    <w:p>
      <w:pPr>
        <w:pStyle w:val="BodyText"/>
        <w:spacing w:before="47"/>
        <w:ind w:left="418"/>
      </w:pPr>
      <w:r>
        <w:rPr/>
        <w:t>成相应动作的信号，并应符合下列要求： </w:t>
      </w:r>
    </w:p>
    <w:p>
      <w:pPr>
        <w:pStyle w:val="BodyText"/>
        <w:spacing w:before="6"/>
        <w:rPr>
          <w:sz w:val="20"/>
        </w:rPr>
      </w:pPr>
    </w:p>
    <w:p>
      <w:pPr>
        <w:pStyle w:val="ListParagraph"/>
        <w:numPr>
          <w:ilvl w:val="0"/>
          <w:numId w:val="851"/>
        </w:numPr>
        <w:tabs>
          <w:tab w:pos="1156" w:val="left" w:leader="none"/>
        </w:tabs>
        <w:spacing w:line="240" w:lineRule="auto" w:before="0" w:after="0"/>
        <w:ind w:left="1155" w:right="0" w:hanging="318"/>
        <w:jc w:val="left"/>
        <w:rPr>
          <w:sz w:val="21"/>
        </w:rPr>
      </w:pPr>
      <w:r>
        <w:rPr>
          <w:spacing w:val="-8"/>
          <w:sz w:val="21"/>
        </w:rPr>
        <w:t>控制分隔防火分区的防火卷帘由上限位自动关闭至全闭。</w:t>
      </w:r>
      <w:r>
        <w:rPr>
          <w:sz w:val="21"/>
        </w:rPr>
        <w:t> </w:t>
      </w:r>
    </w:p>
    <w:p>
      <w:pPr>
        <w:pStyle w:val="BodyText"/>
        <w:spacing w:before="11"/>
      </w:pPr>
    </w:p>
    <w:p>
      <w:pPr>
        <w:pStyle w:val="ListParagraph"/>
        <w:numPr>
          <w:ilvl w:val="0"/>
          <w:numId w:val="851"/>
        </w:numPr>
        <w:tabs>
          <w:tab w:pos="1156" w:val="left" w:leader="none"/>
        </w:tabs>
        <w:spacing w:line="240" w:lineRule="auto" w:before="0" w:after="0"/>
        <w:ind w:left="1155" w:right="0" w:hanging="318"/>
        <w:jc w:val="left"/>
        <w:rPr>
          <w:sz w:val="21"/>
        </w:rPr>
      </w:pPr>
      <w:r>
        <w:rPr>
          <w:spacing w:val="-8"/>
          <w:sz w:val="21"/>
        </w:rPr>
        <w:t>防火卷帘控制器接到感烟火灾探测器的报警信号后，控制防火卷帘自动关闭至中位</w:t>
      </w:r>
    </w:p>
    <w:p>
      <w:pPr>
        <w:pStyle w:val="BodyText"/>
        <w:spacing w:before="2"/>
        <w:rPr>
          <w:sz w:val="18"/>
        </w:rPr>
      </w:pPr>
    </w:p>
    <w:p>
      <w:pPr>
        <w:pStyle w:val="BodyText"/>
        <w:spacing w:line="487" w:lineRule="auto"/>
        <w:ind w:left="838" w:right="3378" w:hanging="420"/>
      </w:pPr>
      <w:r>
        <w:rPr/>
        <w:t>（1.8m）</w:t>
      </w:r>
      <w:r>
        <w:rPr>
          <w:spacing w:val="-8"/>
        </w:rPr>
        <w:t>处停止，接到感温火灾探测器的报警信号后，继续关闭至全闭。</w:t>
      </w:r>
      <w:r>
        <w:rPr>
          <w:spacing w:val="-4"/>
        </w:rPr>
        <w:t>3）</w:t>
      </w:r>
      <w:r>
        <w:rPr>
          <w:spacing w:val="-8"/>
        </w:rPr>
        <w:t>防火卷帘半降、全降的动作状态信号应反馈到消防控制室。 </w:t>
      </w:r>
      <w:r>
        <w:rPr/>
        <w:t> </w:t>
      </w:r>
    </w:p>
    <w:p>
      <w:pPr>
        <w:pStyle w:val="BodyText"/>
        <w:spacing w:before="5"/>
        <w:ind w:left="826"/>
      </w:pPr>
      <w:r>
        <w:rPr/>
        <w:t>检查数量：全数检查。 </w:t>
      </w:r>
    </w:p>
    <w:p>
      <w:pPr>
        <w:pStyle w:val="BodyText"/>
        <w:spacing w:before="7"/>
        <w:rPr>
          <w:sz w:val="20"/>
        </w:rPr>
      </w:pPr>
    </w:p>
    <w:p>
      <w:pPr>
        <w:pStyle w:val="BodyText"/>
        <w:spacing w:line="446" w:lineRule="auto" w:before="1"/>
        <w:ind w:left="418" w:right="1611" w:firstLine="407"/>
      </w:pPr>
      <w:r>
        <w:rPr>
          <w:spacing w:val="-7"/>
        </w:rPr>
        <w:t>检查方法：分别使火灾探测器组发出半降、全降信号，观察防火卷帘控制器声、光报警 和</w:t>
      </w:r>
      <w:r>
        <w:rPr>
          <w:spacing w:val="-8"/>
        </w:rPr>
        <w:t>防火卷帘动作、运行情况以及消防控制室防火卷帘动作状态信号显示情况。</w:t>
      </w:r>
      <w:r>
        <w:rPr/>
        <w:t> </w:t>
      </w:r>
    </w:p>
    <w:p>
      <w:pPr>
        <w:pStyle w:val="BodyText"/>
        <w:spacing w:line="446" w:lineRule="auto" w:before="16"/>
        <w:ind w:left="418" w:right="1613" w:firstLine="419"/>
      </w:pPr>
      <w:r>
        <w:rPr>
          <w:spacing w:val="-7"/>
        </w:rPr>
        <w:t>手动控制功能调试时，手动操作防火卷帘控制器上的按钮和手动按钮盒上的按钮，可 控制防火卷帘的上升、下降、停止。</w:t>
      </w:r>
      <w:r>
        <w:rPr/>
        <w:t> </w:t>
      </w:r>
    </w:p>
    <w:p>
      <w:pPr>
        <w:pStyle w:val="BodyText"/>
        <w:spacing w:line="475" w:lineRule="auto" w:before="34"/>
        <w:ind w:left="826" w:right="7573"/>
      </w:pPr>
      <w:r>
        <w:rPr>
          <w:spacing w:val="-8"/>
        </w:rPr>
        <w:t>检查数量：全数检查。 检查方法：手动试验。</w:t>
      </w:r>
      <w:r>
        <w:rPr/>
        <w:t> </w:t>
      </w:r>
    </w:p>
    <w:p>
      <w:pPr>
        <w:pStyle w:val="BodyText"/>
        <w:spacing w:line="446" w:lineRule="auto"/>
        <w:ind w:left="418" w:right="1558" w:firstLine="407"/>
      </w:pPr>
      <w:r>
        <w:rPr>
          <w:spacing w:val="-8"/>
        </w:rPr>
        <w:t>自重下降功能调试时，应将卷门机电源设置于故障状态，防火卷帘应在防火卷帘控制 器的控制下，依靠自重下降至全闭。</w:t>
      </w:r>
      <w:r>
        <w:rPr/>
        <w:t> </w:t>
      </w:r>
    </w:p>
    <w:p>
      <w:pPr>
        <w:pStyle w:val="BodyText"/>
        <w:spacing w:before="31"/>
        <w:ind w:left="826"/>
      </w:pPr>
      <w:r>
        <w:rPr/>
        <w:t>检查数量：全数检查。  </w:t>
      </w:r>
    </w:p>
    <w:p>
      <w:pPr>
        <w:pStyle w:val="BodyText"/>
        <w:spacing w:before="8"/>
        <w:rPr>
          <w:sz w:val="20"/>
        </w:rPr>
      </w:pPr>
    </w:p>
    <w:p>
      <w:pPr>
        <w:pStyle w:val="BodyText"/>
        <w:spacing w:line="446" w:lineRule="auto"/>
        <w:ind w:left="418" w:right="1862" w:firstLine="407"/>
      </w:pPr>
      <w:r>
        <w:rPr>
          <w:spacing w:val="-8"/>
        </w:rPr>
        <w:t>检查方法：切断卷门机电源，按下防火卷帘控制器下降按钮，观察防火卷帘动作、运行情况。</w:t>
      </w:r>
      <w:r>
        <w:rPr/>
        <w:t> </w:t>
      </w:r>
    </w:p>
    <w:p>
      <w:pPr>
        <w:spacing w:before="33"/>
        <w:ind w:left="826" w:right="0" w:firstLine="0"/>
        <w:jc w:val="left"/>
        <w:rPr>
          <w:sz w:val="21"/>
        </w:rPr>
      </w:pPr>
      <w:r>
        <w:rPr>
          <w:spacing w:val="-94"/>
          <w:w w:val="100"/>
          <w:sz w:val="21"/>
        </w:rPr>
        <w:t> </w:t>
      </w:r>
      <w:r>
        <w:rPr>
          <w:b/>
          <w:sz w:val="21"/>
        </w:rPr>
        <w:t>6.2.2</w:t>
      </w:r>
      <w:r>
        <w:rPr>
          <w:b/>
          <w:spacing w:val="98"/>
          <w:sz w:val="21"/>
        </w:rPr>
        <w:t> </w:t>
      </w:r>
      <w:r>
        <w:rPr>
          <w:spacing w:val="-8"/>
          <w:sz w:val="21"/>
        </w:rPr>
        <w:t>防火卷帘用卷门机的调试应符合下列规定：</w:t>
      </w:r>
      <w:r>
        <w:rPr>
          <w:sz w:val="21"/>
        </w:rPr>
        <w:t> </w:t>
      </w:r>
    </w:p>
    <w:p>
      <w:pPr>
        <w:pStyle w:val="BodyText"/>
        <w:spacing w:before="12"/>
      </w:pPr>
    </w:p>
    <w:p>
      <w:pPr>
        <w:pStyle w:val="BodyText"/>
        <w:spacing w:line="446" w:lineRule="auto"/>
        <w:ind w:left="418" w:right="1608" w:firstLine="419"/>
      </w:pPr>
      <w:r>
        <w:rPr>
          <w:spacing w:val="-7"/>
        </w:rPr>
        <w:t>卷门机手动操作装置</w:t>
      </w:r>
      <w:r>
        <w:rPr>
          <w:spacing w:val="-3"/>
        </w:rPr>
        <w:t>（</w:t>
      </w:r>
      <w:r>
        <w:rPr>
          <w:spacing w:val="-5"/>
        </w:rPr>
        <w:t>手动拉链</w:t>
      </w:r>
      <w:r>
        <w:rPr>
          <w:spacing w:val="-3"/>
        </w:rPr>
        <w:t>）</w:t>
      </w:r>
      <w:r>
        <w:rPr>
          <w:spacing w:val="-7"/>
        </w:rPr>
        <w:t>应灵活、可靠，安装位置应便于操作。使用手动操 作装</w:t>
      </w:r>
      <w:r>
        <w:rPr>
          <w:spacing w:val="-5"/>
        </w:rPr>
        <w:t>置</w:t>
      </w:r>
      <w:r>
        <w:rPr>
          <w:spacing w:val="-3"/>
        </w:rPr>
        <w:t>（</w:t>
      </w:r>
      <w:r>
        <w:rPr>
          <w:spacing w:val="-6"/>
        </w:rPr>
        <w:t>手动拉链</w:t>
      </w:r>
      <w:r>
        <w:rPr>
          <w:spacing w:val="-8"/>
        </w:rPr>
        <w:t>）操作防火卷帘启、闭运行时，不应出现滑行撞击现象。</w:t>
      </w:r>
      <w:r>
        <w:rPr/>
        <w:t> </w:t>
      </w:r>
    </w:p>
    <w:p>
      <w:pPr>
        <w:pStyle w:val="BodyText"/>
        <w:spacing w:before="34"/>
        <w:ind w:left="826"/>
      </w:pPr>
      <w:r>
        <w:rPr/>
        <w:t>检查数量：全数检查。  </w:t>
      </w:r>
    </w:p>
    <w:p>
      <w:pPr>
        <w:pStyle w:val="BodyText"/>
        <w:spacing w:before="10"/>
        <w:rPr>
          <w:sz w:val="20"/>
        </w:rPr>
      </w:pPr>
    </w:p>
    <w:p>
      <w:pPr>
        <w:pStyle w:val="BodyText"/>
        <w:ind w:left="826"/>
      </w:pPr>
      <w:r>
        <w:rPr/>
        <w:t>检查方法：直观检查，拉动手动拉链，观察防火卷帘动作、运行情况。 </w:t>
      </w:r>
    </w:p>
    <w:p>
      <w:pPr>
        <w:pStyle w:val="BodyText"/>
        <w:spacing w:before="8"/>
        <w:rPr>
          <w:sz w:val="19"/>
        </w:rPr>
      </w:pPr>
    </w:p>
    <w:p>
      <w:pPr>
        <w:pStyle w:val="BodyText"/>
        <w:spacing w:line="446" w:lineRule="auto"/>
        <w:ind w:left="418" w:right="1608" w:firstLine="419"/>
      </w:pPr>
      <w:r>
        <w:rPr>
          <w:spacing w:val="-8"/>
        </w:rPr>
        <w:t>卷门机应具有电动启闭和依靠防火卷帘自重恒速下降</w:t>
      </w:r>
      <w:r>
        <w:rPr>
          <w:spacing w:val="-3"/>
        </w:rPr>
        <w:t>（</w:t>
      </w:r>
      <w:r>
        <w:rPr>
          <w:spacing w:val="-6"/>
        </w:rPr>
        <w:t>手动速放</w:t>
      </w:r>
      <w:r>
        <w:rPr>
          <w:spacing w:val="-8"/>
        </w:rPr>
        <w:t>）</w:t>
      </w:r>
      <w:r>
        <w:rPr>
          <w:spacing w:val="-1"/>
        </w:rPr>
        <w:t>的功能。启动防火 卷帘</w:t>
      </w:r>
      <w:r>
        <w:rPr>
          <w:spacing w:val="-6"/>
        </w:rPr>
        <w:t>自重下降</w:t>
      </w:r>
      <w:r>
        <w:rPr>
          <w:spacing w:val="-5"/>
        </w:rPr>
        <w:t>（手动速放</w:t>
      </w:r>
      <w:r>
        <w:rPr>
          <w:spacing w:val="-3"/>
        </w:rPr>
        <w:t>）</w:t>
      </w:r>
      <w:r>
        <w:rPr>
          <w:spacing w:val="-5"/>
        </w:rPr>
        <w:t>的臂力不应大于</w:t>
      </w:r>
      <w:r>
        <w:rPr>
          <w:spacing w:val="-3"/>
        </w:rPr>
        <w:t>70N。</w:t>
      </w:r>
      <w:r>
        <w:rPr/>
        <w:t> </w:t>
      </w:r>
    </w:p>
    <w:p>
      <w:pPr>
        <w:pStyle w:val="BodyText"/>
        <w:spacing w:before="32"/>
        <w:ind w:left="826"/>
      </w:pPr>
      <w:r>
        <w:rPr/>
        <w:t>检查数量：全数检查。  </w:t>
      </w:r>
    </w:p>
    <w:p>
      <w:pPr>
        <w:pStyle w:val="BodyText"/>
        <w:spacing w:before="7"/>
        <w:rPr>
          <w:sz w:val="20"/>
        </w:rPr>
      </w:pPr>
    </w:p>
    <w:p>
      <w:pPr>
        <w:pStyle w:val="BodyText"/>
        <w:spacing w:line="446" w:lineRule="auto"/>
        <w:ind w:left="418" w:right="1658" w:firstLine="407"/>
      </w:pPr>
      <w:r>
        <w:rPr>
          <w:spacing w:val="-8"/>
        </w:rPr>
        <w:t>检查方法：手动试验，拉动手动速放装置，观察防火卷帘动作情况，用弹簧测力计或砝码测量其启动下降臂力。</w:t>
      </w:r>
      <w:r>
        <w:rPr/>
        <w:t> </w:t>
      </w:r>
    </w:p>
    <w:p>
      <w:pPr>
        <w:spacing w:after="0" w:line="446" w:lineRule="auto"/>
        <w:sectPr>
          <w:pgSz w:w="11910" w:h="16850"/>
          <w:pgMar w:header="0" w:footer="1239" w:top="1220" w:bottom="1420" w:left="1260" w:right="0"/>
        </w:sectPr>
      </w:pPr>
    </w:p>
    <w:p>
      <w:pPr>
        <w:pStyle w:val="BodyText"/>
        <w:spacing w:line="448" w:lineRule="auto" w:before="45"/>
        <w:ind w:left="418" w:right="1608" w:firstLine="419"/>
      </w:pPr>
      <w:r>
        <w:rPr>
          <w:spacing w:val="-7"/>
        </w:rPr>
        <w:t>卷门机应设有自动限位装置，当防火卷帘启、闭至上、下限位时，应自动停止，其重 复定位误差应小</w:t>
      </w:r>
      <w:r>
        <w:rPr/>
        <w:t>20mm</w:t>
      </w:r>
      <w:r>
        <w:rPr>
          <w:spacing w:val="-3"/>
        </w:rPr>
        <w:t>。</w:t>
      </w:r>
      <w:r>
        <w:rPr/>
        <w:t> </w:t>
      </w:r>
    </w:p>
    <w:p>
      <w:pPr>
        <w:pStyle w:val="BodyText"/>
        <w:spacing w:before="4"/>
        <w:ind w:left="826"/>
      </w:pPr>
      <w:r>
        <w:rPr/>
        <w:t>检查数量：全数检查。  </w:t>
      </w:r>
    </w:p>
    <w:p>
      <w:pPr>
        <w:pStyle w:val="BodyText"/>
        <w:spacing w:before="1"/>
        <w:rPr>
          <w:sz w:val="19"/>
        </w:rPr>
      </w:pPr>
    </w:p>
    <w:p>
      <w:pPr>
        <w:pStyle w:val="BodyText"/>
        <w:spacing w:line="465" w:lineRule="auto" w:before="1"/>
        <w:ind w:left="840" w:right="2040" w:hanging="15"/>
      </w:pPr>
      <w:r>
        <w:rPr>
          <w:spacing w:val="-8"/>
        </w:rPr>
        <w:t>检查方法：启动卷门机，运行一定时间后，关闭卷门机，用直尺测量重复定位误差。</w:t>
      </w:r>
      <w:r>
        <w:rPr>
          <w:b/>
        </w:rPr>
        <w:t>6.2.3</w:t>
      </w:r>
      <w:r>
        <w:rPr>
          <w:b/>
          <w:spacing w:val="98"/>
        </w:rPr>
        <w:t> </w:t>
      </w:r>
      <w:r>
        <w:rPr>
          <w:spacing w:val="-8"/>
        </w:rPr>
        <w:t>防火卷帘运行功能的调试应符合下列规定：</w:t>
      </w:r>
      <w:r>
        <w:rPr/>
        <w:t> </w:t>
      </w:r>
    </w:p>
    <w:p>
      <w:pPr>
        <w:pStyle w:val="BodyText"/>
        <w:spacing w:line="446" w:lineRule="auto" w:before="28"/>
        <w:ind w:left="418" w:right="1608" w:firstLine="419"/>
      </w:pPr>
      <w:r>
        <w:rPr>
          <w:spacing w:val="-7"/>
        </w:rPr>
        <w:t>防火卷帘装配完成后，帘面在导轨内运行应平稳，不应有脱轨和明显的倾斜现象。双 帘面</w:t>
      </w:r>
      <w:r>
        <w:rPr>
          <w:spacing w:val="-8"/>
        </w:rPr>
        <w:t>卷帘的两个帘面应同时升降，两个帘面之间的高度差不应大于</w:t>
      </w:r>
      <w:r>
        <w:rPr>
          <w:spacing w:val="-3"/>
        </w:rPr>
        <w:t>50mm。</w:t>
      </w:r>
      <w:r>
        <w:rPr/>
        <w:t> </w:t>
      </w:r>
    </w:p>
    <w:p>
      <w:pPr>
        <w:pStyle w:val="BodyText"/>
        <w:spacing w:before="13"/>
        <w:ind w:left="826"/>
      </w:pPr>
      <w:r>
        <w:rPr/>
        <w:t>检查数量：全数检查。 </w:t>
      </w:r>
    </w:p>
    <w:p>
      <w:pPr>
        <w:pStyle w:val="BodyText"/>
        <w:spacing w:before="1"/>
        <w:rPr>
          <w:sz w:val="19"/>
        </w:rPr>
      </w:pPr>
    </w:p>
    <w:p>
      <w:pPr>
        <w:pStyle w:val="BodyText"/>
        <w:spacing w:line="465" w:lineRule="auto"/>
        <w:ind w:left="838" w:right="2744" w:hanging="12"/>
      </w:pPr>
      <w:r>
        <w:rPr>
          <w:spacing w:val="-8"/>
        </w:rPr>
        <w:t>检查方法：手动检查；用钢卷尺测量双帘面卷帘的两个帘面之间的高度差。 防火卷帘电动启、闭的运行速度应为</w:t>
      </w:r>
      <w:r>
        <w:rPr/>
        <w:t>2～7.5m/min，</w:t>
      </w:r>
      <w:r>
        <w:rPr>
          <w:spacing w:val="-6"/>
        </w:rPr>
        <w:t>其自重下降速度不应大于 </w:t>
      </w:r>
    </w:p>
    <w:p>
      <w:pPr>
        <w:pStyle w:val="BodyText"/>
        <w:spacing w:line="250" w:lineRule="exact"/>
        <w:ind w:left="418"/>
      </w:pPr>
      <w:r>
        <w:rPr/>
        <w:t>9.5m/min。 </w:t>
      </w:r>
    </w:p>
    <w:p>
      <w:pPr>
        <w:pStyle w:val="BodyText"/>
        <w:spacing w:before="5"/>
        <w:rPr>
          <w:sz w:val="20"/>
        </w:rPr>
      </w:pPr>
    </w:p>
    <w:p>
      <w:pPr>
        <w:pStyle w:val="BodyText"/>
        <w:ind w:left="826"/>
      </w:pPr>
      <w:r>
        <w:rPr/>
        <w:t>检查数量：全数检查。  </w:t>
      </w:r>
    </w:p>
    <w:p>
      <w:pPr>
        <w:pStyle w:val="BodyText"/>
        <w:spacing w:before="7"/>
        <w:rPr>
          <w:sz w:val="20"/>
        </w:rPr>
      </w:pPr>
    </w:p>
    <w:p>
      <w:pPr>
        <w:pStyle w:val="BodyText"/>
        <w:spacing w:before="1"/>
        <w:ind w:left="826"/>
      </w:pPr>
      <w:r>
        <w:rPr/>
        <w:t>检查方法：用秒表、钢卷尺测量。 </w:t>
      </w:r>
    </w:p>
    <w:p>
      <w:pPr>
        <w:pStyle w:val="BodyText"/>
        <w:spacing w:before="7"/>
        <w:rPr>
          <w:sz w:val="20"/>
        </w:rPr>
      </w:pPr>
    </w:p>
    <w:p>
      <w:pPr>
        <w:pStyle w:val="BodyText"/>
        <w:ind w:left="826"/>
      </w:pPr>
      <w:r>
        <w:rPr/>
        <w:t>防火卷帘启、闭运行的平均噪声不应大于 85dB。 检查数量：全数检查。 </w:t>
      </w:r>
    </w:p>
    <w:p>
      <w:pPr>
        <w:pStyle w:val="BodyText"/>
        <w:spacing w:before="8"/>
        <w:rPr>
          <w:sz w:val="20"/>
        </w:rPr>
      </w:pPr>
    </w:p>
    <w:p>
      <w:pPr>
        <w:pStyle w:val="BodyText"/>
        <w:spacing w:line="446" w:lineRule="auto"/>
        <w:ind w:left="418" w:right="1618" w:firstLine="407"/>
      </w:pPr>
      <w:r>
        <w:rPr>
          <w:spacing w:val="-11"/>
        </w:rPr>
        <w:t>检查方法：在防火卷帘运行中，用声级计在距卷帘表面的垂直距离</w:t>
      </w:r>
      <w:r>
        <w:rPr>
          <w:spacing w:val="-3"/>
        </w:rPr>
        <w:t>1m</w:t>
      </w:r>
      <w:r>
        <w:rPr>
          <w:spacing w:val="-7"/>
        </w:rPr>
        <w:t>、距地面的垂直距 离</w:t>
      </w:r>
      <w:r>
        <w:rPr/>
        <w:t>1.5m</w:t>
      </w:r>
      <w:r>
        <w:rPr>
          <w:spacing w:val="-8"/>
        </w:rPr>
        <w:t> 处，水平测量三次，取其平均值。</w:t>
      </w:r>
      <w:r>
        <w:rPr/>
        <w:t> </w:t>
      </w:r>
    </w:p>
    <w:p>
      <w:pPr>
        <w:pStyle w:val="BodyText"/>
        <w:spacing w:line="446" w:lineRule="auto" w:before="14"/>
        <w:ind w:left="418" w:right="1616" w:firstLine="419"/>
      </w:pPr>
      <w:r>
        <w:rPr>
          <w:spacing w:val="-8"/>
        </w:rPr>
        <w:t>安装在防火卷帘上的温控释放装置动作后，防火卷帘应自动下降至全闭。 检查数量：同一工程同类温控释放装置抽检</w:t>
      </w:r>
      <w:r>
        <w:rPr/>
        <w:t>1～2</w:t>
      </w:r>
      <w:r>
        <w:rPr>
          <w:spacing w:val="-8"/>
        </w:rPr>
        <w:t> 个。 检查方法：防火卷帘安装并调试完毕后，切断电源，加热温控释放装置，使其感温元件动作</w:t>
      </w:r>
      <w:r>
        <w:rPr>
          <w:spacing w:val="-25"/>
        </w:rPr>
        <w:t>，观察防火卷帘动作情况。试验前，应准备备用的温控释放装</w:t>
      </w:r>
      <w:r>
        <w:rPr>
          <w:spacing w:val="-28"/>
        </w:rPr>
        <w:t>置，试验后，应重新安装。 </w:t>
      </w:r>
    </w:p>
    <w:p>
      <w:pPr>
        <w:pStyle w:val="ListParagraph"/>
        <w:numPr>
          <w:ilvl w:val="1"/>
          <w:numId w:val="852"/>
        </w:numPr>
        <w:tabs>
          <w:tab w:pos="1159" w:val="left" w:leader="none"/>
        </w:tabs>
        <w:spacing w:line="240" w:lineRule="auto" w:before="1" w:after="0"/>
        <w:ind w:left="1158" w:right="0" w:hanging="319"/>
        <w:jc w:val="left"/>
        <w:rPr>
          <w:b/>
          <w:sz w:val="21"/>
        </w:rPr>
      </w:pPr>
      <w:r>
        <w:rPr>
          <w:spacing w:val="-3"/>
          <w:sz w:val="21"/>
        </w:rPr>
        <w:t>防火门调试</w:t>
      </w:r>
      <w:r>
        <w:rPr>
          <w:b/>
          <w:w w:val="99"/>
          <w:sz w:val="21"/>
        </w:rPr>
        <w:t> </w:t>
      </w:r>
    </w:p>
    <w:p>
      <w:pPr>
        <w:pStyle w:val="BodyText"/>
        <w:spacing w:before="1"/>
        <w:rPr>
          <w:b/>
          <w:sz w:val="18"/>
        </w:rPr>
      </w:pPr>
    </w:p>
    <w:p>
      <w:pPr>
        <w:pStyle w:val="ListParagraph"/>
        <w:numPr>
          <w:ilvl w:val="2"/>
          <w:numId w:val="852"/>
        </w:numPr>
        <w:tabs>
          <w:tab w:pos="1370" w:val="left" w:leader="none"/>
        </w:tabs>
        <w:spacing w:line="446" w:lineRule="auto" w:before="0" w:after="0"/>
        <w:ind w:left="418" w:right="1911" w:firstLine="422"/>
        <w:jc w:val="left"/>
        <w:rPr>
          <w:sz w:val="21"/>
        </w:rPr>
      </w:pPr>
      <w:r>
        <w:rPr>
          <w:spacing w:val="-8"/>
          <w:sz w:val="21"/>
        </w:rPr>
        <w:t>常闭防火门，从门的任意一侧手动开启，应自动关闭。当装有信号反馈装置时， 开、 关状态信号应反馈到消防控制室。</w:t>
      </w:r>
      <w:r>
        <w:rPr>
          <w:sz w:val="21"/>
        </w:rPr>
        <w:t> </w:t>
      </w:r>
    </w:p>
    <w:p>
      <w:pPr>
        <w:pStyle w:val="BodyText"/>
        <w:spacing w:line="477" w:lineRule="auto" w:before="32"/>
        <w:ind w:left="826" w:right="7641"/>
      </w:pPr>
      <w:r>
        <w:rPr/>
        <w:t>检查数量：全数检查。检查方法：手动试验。 </w:t>
      </w:r>
    </w:p>
    <w:p>
      <w:pPr>
        <w:pStyle w:val="ListParagraph"/>
        <w:numPr>
          <w:ilvl w:val="2"/>
          <w:numId w:val="852"/>
        </w:numPr>
        <w:tabs>
          <w:tab w:pos="1371" w:val="left" w:leader="none"/>
        </w:tabs>
        <w:spacing w:line="255" w:lineRule="exact" w:before="0" w:after="0"/>
        <w:ind w:left="1370" w:right="0" w:hanging="531"/>
        <w:jc w:val="left"/>
        <w:rPr>
          <w:sz w:val="21"/>
        </w:rPr>
      </w:pPr>
      <w:r>
        <w:rPr>
          <w:spacing w:val="-8"/>
          <w:sz w:val="21"/>
        </w:rPr>
        <w:t>常开防火门，其任意一侧的火灾探测器报警后，应自动关闭，并应将关闭信号反馈</w:t>
      </w:r>
    </w:p>
    <w:p>
      <w:pPr>
        <w:pStyle w:val="BodyText"/>
        <w:spacing w:before="1"/>
        <w:rPr>
          <w:sz w:val="18"/>
        </w:rPr>
      </w:pPr>
    </w:p>
    <w:p>
      <w:pPr>
        <w:pStyle w:val="BodyText"/>
        <w:ind w:left="418"/>
      </w:pPr>
      <w:r>
        <w:rPr/>
        <w:t>至 消防控制室。 </w:t>
      </w:r>
    </w:p>
    <w:p>
      <w:pPr>
        <w:spacing w:after="0"/>
        <w:sectPr>
          <w:pgSz w:w="11910" w:h="16850"/>
          <w:pgMar w:header="0" w:footer="1239" w:top="1220" w:bottom="1420" w:left="1260" w:right="0"/>
        </w:sectPr>
      </w:pPr>
    </w:p>
    <w:p>
      <w:pPr>
        <w:pStyle w:val="BodyText"/>
        <w:spacing w:before="45"/>
        <w:ind w:left="826"/>
      </w:pPr>
      <w:r>
        <w:rPr/>
        <w:t>检查数量：全数检查。  </w:t>
      </w:r>
    </w:p>
    <w:p>
      <w:pPr>
        <w:pStyle w:val="BodyText"/>
        <w:spacing w:before="10"/>
        <w:rPr>
          <w:sz w:val="20"/>
        </w:rPr>
      </w:pPr>
    </w:p>
    <w:p>
      <w:pPr>
        <w:pStyle w:val="BodyText"/>
        <w:spacing w:line="465" w:lineRule="auto"/>
        <w:ind w:left="838" w:right="1836" w:hanging="12"/>
      </w:pPr>
      <w:r>
        <w:rPr>
          <w:spacing w:val="-8"/>
        </w:rPr>
        <w:t>检查方法：用专用测试工具，使常开防火门一侧的火灾探测器发出模拟火灾报警信号， 观察防火门动作情况及消防控制室信号显示情况。</w:t>
      </w:r>
      <w:r>
        <w:rPr>
          <w:spacing w:val="-55"/>
        </w:rPr>
        <w:t> </w:t>
      </w:r>
      <w:hyperlink r:id="rId472">
        <w:r>
          <w:rPr>
            <w:emboss/>
            <w:color w:val="DDD9C3"/>
            <w:w w:val="100"/>
            <w:u w:val="single" w:color="DDD9C3"/>
          </w:rPr>
          <w:t> </w:t>
        </w:r>
      </w:hyperlink>
      <w:r>
        <w:rPr>
          <w:shadow w:val="0"/>
          <w:w w:val="100"/>
        </w:rPr>
        <w:t> </w:t>
      </w:r>
    </w:p>
    <w:p>
      <w:pPr>
        <w:pStyle w:val="ListParagraph"/>
        <w:numPr>
          <w:ilvl w:val="2"/>
          <w:numId w:val="852"/>
        </w:numPr>
        <w:tabs>
          <w:tab w:pos="1371" w:val="left" w:leader="none"/>
        </w:tabs>
        <w:spacing w:line="446" w:lineRule="auto" w:before="41" w:after="0"/>
        <w:ind w:left="418" w:right="1601" w:firstLine="422"/>
        <w:jc w:val="left"/>
        <w:rPr>
          <w:sz w:val="21"/>
        </w:rPr>
      </w:pPr>
      <w:r>
        <w:rPr>
          <w:spacing w:val="-8"/>
          <w:sz w:val="21"/>
        </w:rPr>
        <w:t>常开防火门，接到消防控制室手动发出的关闭指令后，应自动关闭，并应将关闭信号</w:t>
      </w:r>
      <w:r>
        <w:rPr>
          <w:spacing w:val="-5"/>
          <w:sz w:val="21"/>
        </w:rPr>
        <w:t>反馈至消防控制室。 </w:t>
      </w:r>
    </w:p>
    <w:p>
      <w:pPr>
        <w:pStyle w:val="BodyText"/>
        <w:spacing w:before="29"/>
        <w:ind w:left="826"/>
      </w:pPr>
      <w:r>
        <w:rPr/>
        <w:t>检查数量：全数检查。  </w:t>
      </w:r>
    </w:p>
    <w:p>
      <w:pPr>
        <w:pStyle w:val="BodyText"/>
        <w:spacing w:before="3"/>
        <w:rPr>
          <w:sz w:val="23"/>
        </w:rPr>
      </w:pPr>
    </w:p>
    <w:p>
      <w:pPr>
        <w:pStyle w:val="BodyText"/>
        <w:tabs>
          <w:tab w:pos="1677" w:val="left" w:leader="none"/>
        </w:tabs>
        <w:spacing w:line="446" w:lineRule="auto"/>
        <w:ind w:left="418" w:right="1609" w:firstLine="419"/>
      </w:pPr>
      <w:r>
        <w:rPr/>
        <w:t>检查</w:t>
      </w:r>
      <w:r>
        <w:rPr>
          <w:spacing w:val="-3"/>
        </w:rPr>
        <w:t>方</w:t>
      </w:r>
      <w:r>
        <w:rPr/>
        <w:t>法</w:t>
      </w:r>
      <w:r>
        <w:rPr>
          <w:spacing w:val="-3"/>
        </w:rPr>
        <w:t>：</w:t>
      </w:r>
      <w:r>
        <w:rPr/>
        <w:t>在</w:t>
      </w:r>
      <w:r>
        <w:rPr>
          <w:spacing w:val="-3"/>
        </w:rPr>
        <w:t>消</w:t>
      </w:r>
      <w:r>
        <w:rPr/>
        <w:t>防</w:t>
      </w:r>
      <w:r>
        <w:rPr>
          <w:spacing w:val="-3"/>
        </w:rPr>
        <w:t>控</w:t>
      </w:r>
      <w:r>
        <w:rPr/>
        <w:t>制</w:t>
      </w:r>
      <w:r>
        <w:rPr>
          <w:spacing w:val="-3"/>
        </w:rPr>
        <w:t>室</w:t>
      </w:r>
      <w:r>
        <w:rPr/>
        <w:t>启动</w:t>
      </w:r>
      <w:r>
        <w:rPr>
          <w:spacing w:val="-3"/>
        </w:rPr>
        <w:t>防</w:t>
      </w:r>
      <w:r>
        <w:rPr/>
        <w:t>火</w:t>
      </w:r>
      <w:r>
        <w:rPr>
          <w:spacing w:val="-3"/>
        </w:rPr>
        <w:t>门</w:t>
      </w:r>
      <w:r>
        <w:rPr/>
        <w:t>关</w:t>
      </w:r>
      <w:r>
        <w:rPr>
          <w:spacing w:val="-3"/>
        </w:rPr>
        <w:t>闭</w:t>
      </w:r>
      <w:r>
        <w:rPr/>
        <w:t>功</w:t>
      </w:r>
      <w:r>
        <w:rPr>
          <w:spacing w:val="-3"/>
        </w:rPr>
        <w:t>能</w:t>
      </w:r>
      <w:r>
        <w:rPr/>
        <w:t>，</w:t>
      </w:r>
      <w:r>
        <w:rPr>
          <w:spacing w:val="-3"/>
        </w:rPr>
        <w:t>观</w:t>
      </w:r>
      <w:r>
        <w:rPr/>
        <w:t>察防</w:t>
      </w:r>
      <w:r>
        <w:rPr>
          <w:spacing w:val="-3"/>
        </w:rPr>
        <w:t>火</w:t>
      </w:r>
      <w:r>
        <w:rPr/>
        <w:t>门</w:t>
      </w:r>
      <w:r>
        <w:rPr>
          <w:spacing w:val="-3"/>
        </w:rPr>
        <w:t>动</w:t>
      </w:r>
      <w:r>
        <w:rPr/>
        <w:t>作</w:t>
      </w:r>
      <w:r>
        <w:rPr>
          <w:spacing w:val="-3"/>
        </w:rPr>
        <w:t>情</w:t>
      </w:r>
      <w:r>
        <w:rPr/>
        <w:t>况</w:t>
      </w:r>
      <w:r>
        <w:rPr>
          <w:spacing w:val="-3"/>
        </w:rPr>
        <w:t>及</w:t>
      </w:r>
      <w:r>
        <w:rPr/>
        <w:t>消</w:t>
      </w:r>
      <w:r>
        <w:rPr>
          <w:spacing w:val="-3"/>
        </w:rPr>
        <w:t>防</w:t>
      </w:r>
      <w:r>
        <w:rPr/>
        <w:t>控制</w:t>
      </w:r>
      <w:r>
        <w:rPr>
          <w:spacing w:val="-3"/>
        </w:rPr>
        <w:t>室</w:t>
      </w:r>
      <w:r>
        <w:rPr/>
        <w:t>信</w:t>
      </w:r>
      <w:r>
        <w:rPr>
          <w:spacing w:val="-3"/>
        </w:rPr>
        <w:t>号</w:t>
      </w:r>
      <w:r>
        <w:rPr/>
        <w:t>显示情</w:t>
      </w:r>
      <w:r>
        <w:rPr>
          <w:spacing w:val="-3"/>
        </w:rPr>
        <w:t>况。</w:t>
      </w:r>
      <w:r>
        <w:rPr/>
        <w:t> </w:t>
        <w:tab/>
      </w:r>
      <w:r>
        <w:rPr>
          <w:w w:val="100"/>
        </w:rPr>
        <w:t> </w:t>
      </w:r>
    </w:p>
    <w:p>
      <w:pPr>
        <w:pStyle w:val="ListParagraph"/>
        <w:numPr>
          <w:ilvl w:val="2"/>
          <w:numId w:val="852"/>
        </w:numPr>
        <w:tabs>
          <w:tab w:pos="1371" w:val="left" w:leader="none"/>
        </w:tabs>
        <w:spacing w:line="446" w:lineRule="auto" w:before="65" w:after="0"/>
        <w:ind w:left="418" w:right="1601" w:firstLine="422"/>
        <w:jc w:val="left"/>
        <w:rPr>
          <w:sz w:val="21"/>
        </w:rPr>
      </w:pPr>
      <w:r>
        <w:rPr>
          <w:spacing w:val="-8"/>
          <w:sz w:val="21"/>
        </w:rPr>
        <w:t>常开防火门，接到现场手动发出的关闭指令后，应自动关闭，并应将关闭信号反馈至</w:t>
      </w:r>
      <w:r>
        <w:rPr>
          <w:spacing w:val="-5"/>
          <w:sz w:val="21"/>
        </w:rPr>
        <w:t>消防控制室。</w:t>
      </w:r>
      <w:r>
        <w:rPr>
          <w:sz w:val="21"/>
        </w:rPr>
        <w:t> </w:t>
      </w:r>
    </w:p>
    <w:p>
      <w:pPr>
        <w:pStyle w:val="BodyText"/>
        <w:spacing w:line="446" w:lineRule="auto" w:before="64"/>
        <w:ind w:left="418" w:right="1505" w:firstLine="419"/>
      </w:pPr>
      <w:r>
        <w:rPr/>
        <w:t>检查数量：全数检查。 检查方法：现场手动启动防火门关闭装置，观察防火门动作情况及消防控制室信号显示情况。 </w:t>
      </w:r>
    </w:p>
    <w:p>
      <w:pPr>
        <w:pStyle w:val="ListParagraph"/>
        <w:numPr>
          <w:ilvl w:val="1"/>
          <w:numId w:val="852"/>
        </w:numPr>
        <w:tabs>
          <w:tab w:pos="1160" w:val="left" w:leader="none"/>
        </w:tabs>
        <w:spacing w:line="240" w:lineRule="auto" w:before="1" w:after="0"/>
        <w:ind w:left="1159" w:right="0" w:hanging="320"/>
        <w:jc w:val="left"/>
        <w:rPr>
          <w:sz w:val="21"/>
        </w:rPr>
      </w:pPr>
      <w:r>
        <w:rPr>
          <w:spacing w:val="-3"/>
          <w:sz w:val="21"/>
        </w:rPr>
        <w:t>防火窗调试</w:t>
      </w:r>
      <w:r>
        <w:rPr>
          <w:sz w:val="21"/>
        </w:rPr>
        <w:t> </w:t>
      </w:r>
    </w:p>
    <w:p>
      <w:pPr>
        <w:pStyle w:val="BodyText"/>
        <w:spacing w:before="12"/>
        <w:rPr>
          <w:sz w:val="17"/>
        </w:rPr>
      </w:pPr>
    </w:p>
    <w:p>
      <w:pPr>
        <w:pStyle w:val="ListParagraph"/>
        <w:numPr>
          <w:ilvl w:val="2"/>
          <w:numId w:val="852"/>
        </w:numPr>
        <w:tabs>
          <w:tab w:pos="1370" w:val="left" w:leader="none"/>
        </w:tabs>
        <w:spacing w:line="446" w:lineRule="auto" w:before="0" w:after="0"/>
        <w:ind w:left="418" w:right="1601" w:firstLine="422"/>
        <w:jc w:val="left"/>
        <w:rPr>
          <w:sz w:val="21"/>
        </w:rPr>
      </w:pPr>
      <w:r>
        <w:rPr>
          <w:spacing w:val="-8"/>
          <w:sz w:val="21"/>
        </w:rPr>
        <w:t>活动式防火窗，现场手动启动防火窗窗扇启闭控制装置时，活动窗扇应灵活开启，并</w:t>
      </w:r>
      <w:r>
        <w:rPr>
          <w:spacing w:val="-7"/>
          <w:sz w:val="21"/>
        </w:rPr>
        <w:t>应完全关闭，同时应无启闭卡阻现象。</w:t>
      </w:r>
      <w:r>
        <w:rPr>
          <w:sz w:val="21"/>
        </w:rPr>
        <w:t> </w:t>
      </w:r>
    </w:p>
    <w:p>
      <w:pPr>
        <w:pStyle w:val="BodyText"/>
        <w:spacing w:line="446" w:lineRule="auto"/>
        <w:ind w:left="826" w:right="7641"/>
      </w:pPr>
      <w:r>
        <w:rPr/>
        <w:t>检查数量：全数检查。检查方法：手动试验。 </w:t>
      </w:r>
    </w:p>
    <w:p>
      <w:pPr>
        <w:pStyle w:val="ListParagraph"/>
        <w:numPr>
          <w:ilvl w:val="2"/>
          <w:numId w:val="852"/>
        </w:numPr>
        <w:tabs>
          <w:tab w:pos="1371" w:val="left" w:leader="none"/>
        </w:tabs>
        <w:spacing w:line="446" w:lineRule="auto" w:before="0" w:after="0"/>
        <w:ind w:left="418" w:right="1601" w:firstLine="422"/>
        <w:jc w:val="left"/>
        <w:rPr>
          <w:sz w:val="21"/>
        </w:rPr>
      </w:pPr>
      <w:r>
        <w:rPr>
          <w:spacing w:val="-8"/>
          <w:sz w:val="21"/>
        </w:rPr>
        <w:t>活动式防火窗，其任意一侧的火灾探测器报警后，应自动关闭，并应将关闭信号反馈</w:t>
      </w:r>
      <w:r>
        <w:rPr>
          <w:spacing w:val="-5"/>
          <w:sz w:val="21"/>
        </w:rPr>
        <w:t>至消防控制室。</w:t>
      </w:r>
      <w:r>
        <w:rPr>
          <w:sz w:val="21"/>
        </w:rPr>
        <w:t> </w:t>
      </w:r>
    </w:p>
    <w:p>
      <w:pPr>
        <w:pStyle w:val="BodyText"/>
        <w:spacing w:line="267" w:lineRule="exact"/>
        <w:ind w:left="826"/>
      </w:pPr>
      <w:r>
        <w:rPr/>
        <w:t>检查数量：全数检查。 </w:t>
      </w:r>
    </w:p>
    <w:p>
      <w:pPr>
        <w:pStyle w:val="BodyText"/>
        <w:spacing w:before="1"/>
        <w:rPr>
          <w:sz w:val="18"/>
        </w:rPr>
      </w:pPr>
    </w:p>
    <w:p>
      <w:pPr>
        <w:pStyle w:val="BodyText"/>
        <w:tabs>
          <w:tab w:pos="5792" w:val="left" w:leader="none"/>
        </w:tabs>
        <w:spacing w:line="446" w:lineRule="auto" w:before="1"/>
        <w:ind w:left="418" w:right="1836" w:firstLine="407"/>
      </w:pPr>
      <w:r>
        <w:rPr>
          <w:spacing w:val="-5"/>
        </w:rPr>
        <w:t>检</w:t>
      </w:r>
      <w:r>
        <w:rPr>
          <w:spacing w:val="-3"/>
        </w:rPr>
        <w:t>查</w:t>
      </w:r>
      <w:r>
        <w:rPr>
          <w:spacing w:val="-8"/>
        </w:rPr>
        <w:t>方</w:t>
      </w:r>
      <w:r>
        <w:rPr>
          <w:spacing w:val="-3"/>
        </w:rPr>
        <w:t>法</w:t>
      </w:r>
      <w:r>
        <w:rPr>
          <w:spacing w:val="-5"/>
        </w:rPr>
        <w:t>：</w:t>
      </w:r>
      <w:r>
        <w:rPr>
          <w:spacing w:val="-3"/>
        </w:rPr>
        <w:t>用</w:t>
      </w:r>
      <w:r>
        <w:rPr>
          <w:spacing w:val="-8"/>
        </w:rPr>
        <w:t>专</w:t>
      </w:r>
      <w:r>
        <w:rPr>
          <w:spacing w:val="-3"/>
        </w:rPr>
        <w:t>用</w:t>
      </w:r>
      <w:r>
        <w:rPr>
          <w:spacing w:val="-8"/>
        </w:rPr>
        <w:t>测</w:t>
      </w:r>
      <w:r>
        <w:rPr>
          <w:spacing w:val="-5"/>
        </w:rPr>
        <w:t>试</w:t>
      </w:r>
      <w:r>
        <w:rPr>
          <w:spacing w:val="-3"/>
        </w:rPr>
        <w:t>工</w:t>
      </w:r>
      <w:r>
        <w:rPr/>
        <w:t>具</w:t>
      </w:r>
      <w:r>
        <w:rPr>
          <w:spacing w:val="-8"/>
        </w:rPr>
        <w:t>，</w:t>
      </w:r>
      <w:r>
        <w:rPr>
          <w:spacing w:val="-3"/>
        </w:rPr>
        <w:t>使</w:t>
      </w:r>
      <w:r>
        <w:rPr>
          <w:spacing w:val="-5"/>
        </w:rPr>
        <w:t>活</w:t>
      </w:r>
      <w:r>
        <w:rPr>
          <w:spacing w:val="-3"/>
        </w:rPr>
        <w:t>动</w:t>
      </w:r>
      <w:r>
        <w:rPr>
          <w:spacing w:val="-8"/>
        </w:rPr>
        <w:t>式</w:t>
      </w:r>
      <w:r>
        <w:rPr>
          <w:spacing w:val="-3"/>
        </w:rPr>
        <w:t>防</w:t>
      </w:r>
      <w:r>
        <w:rPr>
          <w:spacing w:val="-5"/>
        </w:rPr>
        <w:t>火</w:t>
      </w:r>
      <w:r>
        <w:rPr>
          <w:spacing w:val="-3"/>
        </w:rPr>
        <w:t>窗</w:t>
      </w:r>
      <w:r>
        <w:rPr>
          <w:spacing w:val="-7"/>
        </w:rPr>
        <w:t>任</w:t>
      </w:r>
      <w:r>
        <w:rPr>
          <w:spacing w:val="-3"/>
        </w:rPr>
        <w:t>一</w:t>
      </w:r>
      <w:r>
        <w:rPr/>
        <w:t>侧</w:t>
      </w:r>
      <w:r>
        <w:rPr>
          <w:spacing w:val="-8"/>
        </w:rPr>
        <w:t>的</w:t>
      </w:r>
      <w:r>
        <w:rPr>
          <w:spacing w:val="-3"/>
        </w:rPr>
        <w:t>火</w:t>
      </w:r>
      <w:r>
        <w:rPr>
          <w:spacing w:val="-5"/>
        </w:rPr>
        <w:t>灾</w:t>
      </w:r>
      <w:r>
        <w:rPr>
          <w:spacing w:val="-3"/>
        </w:rPr>
        <w:t>探</w:t>
      </w:r>
      <w:r>
        <w:rPr>
          <w:spacing w:val="-8"/>
        </w:rPr>
        <w:t>测</w:t>
      </w:r>
      <w:r>
        <w:rPr>
          <w:spacing w:val="-3"/>
        </w:rPr>
        <w:t>器</w:t>
      </w:r>
      <w:r>
        <w:rPr>
          <w:spacing w:val="-5"/>
        </w:rPr>
        <w:t>发</w:t>
      </w:r>
      <w:r>
        <w:rPr>
          <w:spacing w:val="-3"/>
        </w:rPr>
        <w:t>出</w:t>
      </w:r>
      <w:r>
        <w:rPr>
          <w:spacing w:val="-8"/>
        </w:rPr>
        <w:t>模</w:t>
      </w:r>
      <w:r>
        <w:rPr>
          <w:spacing w:val="-3"/>
        </w:rPr>
        <w:t>拟</w:t>
      </w:r>
      <w:r>
        <w:rPr/>
        <w:t>火</w:t>
      </w:r>
      <w:r>
        <w:rPr>
          <w:spacing w:val="-8"/>
        </w:rPr>
        <w:t>灾</w:t>
      </w:r>
      <w:r>
        <w:rPr>
          <w:spacing w:val="-3"/>
        </w:rPr>
        <w:t>报</w:t>
      </w:r>
      <w:r>
        <w:rPr>
          <w:spacing w:val="-5"/>
        </w:rPr>
        <w:t>警</w:t>
      </w:r>
      <w:r>
        <w:rPr>
          <w:spacing w:val="-3"/>
        </w:rPr>
        <w:t>信</w:t>
      </w:r>
      <w:r>
        <w:rPr>
          <w:spacing w:val="-1"/>
        </w:rPr>
        <w:t>号</w:t>
      </w:r>
      <w:r>
        <w:rPr>
          <w:spacing w:val="-3"/>
        </w:rPr>
        <w:t>，</w:t>
      </w:r>
      <w:r>
        <w:rPr>
          <w:spacing w:val="-5"/>
        </w:rPr>
        <w:t>观</w:t>
      </w:r>
      <w:r>
        <w:rPr>
          <w:spacing w:val="-3"/>
        </w:rPr>
        <w:t>察</w:t>
      </w:r>
      <w:r>
        <w:rPr>
          <w:spacing w:val="-8"/>
        </w:rPr>
        <w:t>防</w:t>
      </w:r>
      <w:r>
        <w:rPr>
          <w:spacing w:val="-3"/>
        </w:rPr>
        <w:t>火</w:t>
      </w:r>
      <w:r>
        <w:rPr>
          <w:spacing w:val="-5"/>
        </w:rPr>
        <w:t>窗</w:t>
      </w:r>
      <w:r>
        <w:rPr>
          <w:spacing w:val="-3"/>
        </w:rPr>
        <w:t>动</w:t>
      </w:r>
      <w:r>
        <w:rPr>
          <w:spacing w:val="-8"/>
        </w:rPr>
        <w:t>作</w:t>
      </w:r>
      <w:r>
        <w:rPr>
          <w:spacing w:val="-3"/>
        </w:rPr>
        <w:t>情</w:t>
      </w:r>
      <w:r>
        <w:rPr>
          <w:spacing w:val="-7"/>
        </w:rPr>
        <w:t>况</w:t>
      </w:r>
      <w:r>
        <w:rPr>
          <w:spacing w:val="-1"/>
        </w:rPr>
        <w:t>及</w:t>
      </w:r>
      <w:r>
        <w:rPr>
          <w:spacing w:val="-3"/>
        </w:rPr>
        <w:t>消</w:t>
      </w:r>
      <w:r>
        <w:rPr>
          <w:spacing w:val="-5"/>
        </w:rPr>
        <w:t>防</w:t>
      </w:r>
      <w:r>
        <w:rPr>
          <w:spacing w:val="-3"/>
        </w:rPr>
        <w:t>控</w:t>
      </w:r>
      <w:r>
        <w:rPr>
          <w:spacing w:val="-8"/>
        </w:rPr>
        <w:t>制</w:t>
      </w:r>
      <w:r>
        <w:rPr>
          <w:spacing w:val="-3"/>
        </w:rPr>
        <w:t>室</w:t>
      </w:r>
      <w:r>
        <w:rPr>
          <w:spacing w:val="-5"/>
        </w:rPr>
        <w:t>信</w:t>
      </w:r>
      <w:r>
        <w:rPr>
          <w:spacing w:val="-3"/>
        </w:rPr>
        <w:t>号</w:t>
      </w:r>
      <w:r>
        <w:rPr>
          <w:spacing w:val="-8"/>
        </w:rPr>
        <w:t>显</w:t>
      </w:r>
      <w:r>
        <w:rPr>
          <w:spacing w:val="-3"/>
        </w:rPr>
        <w:t>示</w:t>
      </w:r>
      <w:r>
        <w:rPr>
          <w:spacing w:val="-8"/>
        </w:rPr>
        <w:t>情</w:t>
      </w:r>
      <w:r>
        <w:rPr/>
        <w:t>况。 </w:t>
        <w:tab/>
      </w:r>
      <w:hyperlink r:id="rId473">
        <w:r>
          <w:rPr>
            <w:color w:val="DDD9C3"/>
            <w:w w:val="100"/>
            <w:u w:val="single" w:color="DDD9C3"/>
          </w:rPr>
          <w:t> </w:t>
        </w:r>
      </w:hyperlink>
      <w:r>
        <w:rPr>
          <w:w w:val="100"/>
        </w:rPr>
        <w:t> </w:t>
      </w:r>
    </w:p>
    <w:p>
      <w:pPr>
        <w:pStyle w:val="ListParagraph"/>
        <w:numPr>
          <w:ilvl w:val="2"/>
          <w:numId w:val="852"/>
        </w:numPr>
        <w:tabs>
          <w:tab w:pos="1370" w:val="left" w:leader="none"/>
        </w:tabs>
        <w:spacing w:line="446" w:lineRule="auto" w:before="31" w:after="0"/>
        <w:ind w:left="418" w:right="1702" w:firstLine="422"/>
        <w:jc w:val="left"/>
        <w:rPr>
          <w:sz w:val="21"/>
        </w:rPr>
      </w:pPr>
      <w:r>
        <w:rPr>
          <w:spacing w:val="-8"/>
          <w:sz w:val="21"/>
        </w:rPr>
        <w:t>活动式防火窗，接到消防控制室发出的关闭指令后，应自动关闭，并应将关闭信号</w:t>
      </w:r>
      <w:r>
        <w:rPr>
          <w:spacing w:val="-7"/>
          <w:sz w:val="21"/>
        </w:rPr>
        <w:t>反 馈至消防控制室。</w:t>
      </w:r>
      <w:r>
        <w:rPr>
          <w:sz w:val="21"/>
        </w:rPr>
        <w:t> </w:t>
      </w:r>
    </w:p>
    <w:p>
      <w:pPr>
        <w:pStyle w:val="BodyText"/>
        <w:spacing w:line="446" w:lineRule="auto"/>
        <w:ind w:left="418" w:right="1632" w:firstLine="407"/>
        <w:rPr>
          <w:b/>
        </w:rPr>
      </w:pPr>
      <w:r>
        <w:rPr>
          <w:spacing w:val="-8"/>
        </w:rPr>
        <w:t>检查数量：全数检查。 检查方法：在消防控制室启动防火窗关闭功能，观察防火窗动作情</w:t>
      </w:r>
      <w:r>
        <w:rPr>
          <w:spacing w:val="-4"/>
        </w:rPr>
        <w:t>况及消防控制室信号显示情况。</w:t>
      </w:r>
      <w:r>
        <w:rPr>
          <w:b/>
          <w:w w:val="99"/>
        </w:rPr>
        <w:t> </w:t>
      </w:r>
    </w:p>
    <w:p>
      <w:pPr>
        <w:pStyle w:val="ListParagraph"/>
        <w:numPr>
          <w:ilvl w:val="2"/>
          <w:numId w:val="852"/>
        </w:numPr>
        <w:tabs>
          <w:tab w:pos="1371" w:val="left" w:leader="none"/>
        </w:tabs>
        <w:spacing w:line="240" w:lineRule="auto" w:before="31" w:after="0"/>
        <w:ind w:left="1370" w:right="0" w:hanging="531"/>
        <w:jc w:val="left"/>
        <w:rPr>
          <w:sz w:val="21"/>
        </w:rPr>
      </w:pPr>
      <w:r>
        <w:rPr>
          <w:spacing w:val="-8"/>
          <w:sz w:val="21"/>
        </w:rPr>
        <w:t>安装在活动式防火窗上的温控释放装置动作后，活动式防火窗应在</w:t>
      </w:r>
      <w:r>
        <w:rPr>
          <w:sz w:val="21"/>
        </w:rPr>
        <w:t>60s</w:t>
      </w:r>
      <w:r>
        <w:rPr>
          <w:spacing w:val="-4"/>
          <w:sz w:val="21"/>
        </w:rPr>
        <w:t> 内自动关</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闭。 检查数量：同一工程同类温控释放装置抽检1 ～2 个。 </w:t>
      </w:r>
    </w:p>
    <w:p>
      <w:pPr>
        <w:pStyle w:val="BodyText"/>
        <w:rPr>
          <w:sz w:val="18"/>
        </w:rPr>
      </w:pPr>
    </w:p>
    <w:p>
      <w:pPr>
        <w:pStyle w:val="BodyText"/>
        <w:tabs>
          <w:tab w:pos="3480" w:val="left" w:leader="none"/>
        </w:tabs>
        <w:spacing w:line="446" w:lineRule="auto"/>
        <w:ind w:left="418" w:right="1539" w:firstLine="407"/>
        <w:jc w:val="both"/>
      </w:pPr>
      <w:r>
        <w:rPr>
          <w:spacing w:val="-5"/>
        </w:rPr>
        <w:t>检</w:t>
      </w:r>
      <w:r>
        <w:rPr>
          <w:spacing w:val="-3"/>
        </w:rPr>
        <w:t>查</w:t>
      </w:r>
      <w:r>
        <w:rPr>
          <w:spacing w:val="-8"/>
        </w:rPr>
        <w:t>方</w:t>
      </w:r>
      <w:r>
        <w:rPr>
          <w:spacing w:val="-3"/>
        </w:rPr>
        <w:t>法</w:t>
      </w:r>
      <w:r>
        <w:rPr>
          <w:spacing w:val="-39"/>
        </w:rPr>
        <w:t>：</w:t>
      </w:r>
      <w:r>
        <w:rPr>
          <w:spacing w:val="-3"/>
        </w:rPr>
        <w:t>活</w:t>
      </w:r>
      <w:r>
        <w:rPr>
          <w:spacing w:val="-5"/>
        </w:rPr>
        <w:t>动</w:t>
      </w:r>
      <w:r>
        <w:rPr>
          <w:spacing w:val="-3"/>
        </w:rPr>
        <w:t>式</w:t>
      </w:r>
      <w:r>
        <w:rPr>
          <w:spacing w:val="-8"/>
        </w:rPr>
        <w:t>防</w:t>
      </w:r>
      <w:r>
        <w:rPr>
          <w:spacing w:val="-7"/>
        </w:rPr>
        <w:t>火</w:t>
      </w:r>
      <w:r>
        <w:rPr/>
        <w:t>窗</w:t>
      </w:r>
      <w:r>
        <w:rPr>
          <w:spacing w:val="-3"/>
        </w:rPr>
        <w:t>安</w:t>
      </w:r>
      <w:r>
        <w:rPr>
          <w:spacing w:val="-5"/>
        </w:rPr>
        <w:t>装</w:t>
      </w:r>
      <w:r>
        <w:rPr>
          <w:spacing w:val="-3"/>
        </w:rPr>
        <w:t>并</w:t>
      </w:r>
      <w:r>
        <w:rPr>
          <w:spacing w:val="-8"/>
        </w:rPr>
        <w:t>调</w:t>
      </w:r>
      <w:r>
        <w:rPr>
          <w:spacing w:val="-3"/>
        </w:rPr>
        <w:t>试</w:t>
      </w:r>
      <w:r>
        <w:rPr>
          <w:spacing w:val="-5"/>
        </w:rPr>
        <w:t>完</w:t>
      </w:r>
      <w:r>
        <w:rPr>
          <w:spacing w:val="-3"/>
        </w:rPr>
        <w:t>毕</w:t>
      </w:r>
      <w:r>
        <w:rPr>
          <w:spacing w:val="-5"/>
        </w:rPr>
        <w:t>后</w:t>
      </w:r>
      <w:r>
        <w:rPr>
          <w:spacing w:val="-36"/>
        </w:rPr>
        <w:t>，</w:t>
      </w:r>
      <w:r>
        <w:rPr>
          <w:spacing w:val="-7"/>
        </w:rPr>
        <w:t>切</w:t>
      </w:r>
      <w:r>
        <w:rPr/>
        <w:t>断</w:t>
      </w:r>
      <w:r>
        <w:rPr>
          <w:spacing w:val="-3"/>
        </w:rPr>
        <w:t>电</w:t>
      </w:r>
      <w:r>
        <w:rPr>
          <w:spacing w:val="-8"/>
        </w:rPr>
        <w:t>源</w:t>
      </w:r>
      <w:r>
        <w:rPr>
          <w:spacing w:val="-34"/>
        </w:rPr>
        <w:t>，</w:t>
      </w:r>
      <w:r>
        <w:rPr>
          <w:spacing w:val="-8"/>
        </w:rPr>
        <w:t>加</w:t>
      </w:r>
      <w:r>
        <w:rPr>
          <w:spacing w:val="-3"/>
        </w:rPr>
        <w:t>热</w:t>
      </w:r>
      <w:r>
        <w:rPr>
          <w:spacing w:val="-5"/>
        </w:rPr>
        <w:t>温</w:t>
      </w:r>
      <w:r>
        <w:rPr>
          <w:spacing w:val="-3"/>
        </w:rPr>
        <w:t>控</w:t>
      </w:r>
      <w:r>
        <w:rPr>
          <w:spacing w:val="-5"/>
        </w:rPr>
        <w:t>释</w:t>
      </w:r>
      <w:r>
        <w:rPr>
          <w:spacing w:val="-3"/>
        </w:rPr>
        <w:t>放</w:t>
      </w:r>
      <w:r>
        <w:rPr>
          <w:spacing w:val="-8"/>
        </w:rPr>
        <w:t>装</w:t>
      </w:r>
      <w:r>
        <w:rPr/>
        <w:t>置</w:t>
      </w:r>
      <w:r>
        <w:rPr>
          <w:spacing w:val="-36"/>
        </w:rPr>
        <w:t>，</w:t>
      </w:r>
      <w:r>
        <w:rPr>
          <w:spacing w:val="-5"/>
        </w:rPr>
        <w:t>使</w:t>
      </w:r>
      <w:r>
        <w:rPr>
          <w:spacing w:val="-3"/>
        </w:rPr>
        <w:t>其</w:t>
      </w:r>
      <w:r>
        <w:rPr>
          <w:spacing w:val="-5"/>
        </w:rPr>
        <w:t>热</w:t>
      </w:r>
      <w:r>
        <w:rPr>
          <w:spacing w:val="-3"/>
        </w:rPr>
        <w:t>敏</w:t>
      </w:r>
      <w:r>
        <w:rPr>
          <w:spacing w:val="37"/>
        </w:rPr>
        <w:t> </w:t>
      </w:r>
      <w:r>
        <w:rPr>
          <w:spacing w:val="-3"/>
        </w:rPr>
        <w:t>感元</w:t>
      </w:r>
      <w:r>
        <w:rPr>
          <w:spacing w:val="-5"/>
        </w:rPr>
        <w:t>件</w:t>
      </w:r>
      <w:r>
        <w:rPr>
          <w:spacing w:val="-3"/>
        </w:rPr>
        <w:t>动</w:t>
      </w:r>
      <w:r>
        <w:rPr>
          <w:spacing w:val="-8"/>
        </w:rPr>
        <w:t>作</w:t>
      </w:r>
      <w:r>
        <w:rPr>
          <w:spacing w:val="-80"/>
        </w:rPr>
        <w:t>，</w:t>
      </w:r>
      <w:r>
        <w:rPr>
          <w:spacing w:val="-8"/>
        </w:rPr>
        <w:t>观</w:t>
      </w:r>
      <w:r>
        <w:rPr>
          <w:spacing w:val="-3"/>
        </w:rPr>
        <w:t>察</w:t>
      </w:r>
      <w:r>
        <w:rPr>
          <w:spacing w:val="-5"/>
        </w:rPr>
        <w:t>防</w:t>
      </w:r>
      <w:r>
        <w:rPr>
          <w:spacing w:val="-3"/>
        </w:rPr>
        <w:t>火</w:t>
      </w:r>
      <w:r>
        <w:rPr>
          <w:spacing w:val="-8"/>
        </w:rPr>
        <w:t>窗</w:t>
      </w:r>
      <w:r>
        <w:rPr/>
        <w:t>动作</w:t>
      </w:r>
      <w:r>
        <w:rPr>
          <w:spacing w:val="-8"/>
        </w:rPr>
        <w:t>情</w:t>
      </w:r>
      <w:r>
        <w:rPr>
          <w:spacing w:val="-3"/>
        </w:rPr>
        <w:t>况</w:t>
      </w:r>
      <w:r>
        <w:rPr>
          <w:spacing w:val="-80"/>
        </w:rPr>
        <w:t>，</w:t>
      </w:r>
      <w:r>
        <w:rPr>
          <w:spacing w:val="-3"/>
        </w:rPr>
        <w:t>用</w:t>
      </w:r>
      <w:r>
        <w:rPr>
          <w:spacing w:val="-8"/>
        </w:rPr>
        <w:t>秒</w:t>
      </w:r>
      <w:r>
        <w:rPr>
          <w:spacing w:val="-3"/>
        </w:rPr>
        <w:t>表</w:t>
      </w:r>
      <w:r>
        <w:rPr>
          <w:spacing w:val="-5"/>
        </w:rPr>
        <w:t>测</w:t>
      </w:r>
      <w:r>
        <w:rPr>
          <w:spacing w:val="-3"/>
        </w:rPr>
        <w:t>试</w:t>
      </w:r>
      <w:r>
        <w:rPr>
          <w:spacing w:val="-8"/>
        </w:rPr>
        <w:t>关</w:t>
      </w:r>
      <w:r>
        <w:rPr/>
        <w:t>闭</w:t>
      </w:r>
      <w:r>
        <w:rPr>
          <w:spacing w:val="-3"/>
        </w:rPr>
        <w:t>时</w:t>
      </w:r>
      <w:r>
        <w:rPr>
          <w:spacing w:val="-8"/>
        </w:rPr>
        <w:t>间</w:t>
      </w:r>
      <w:r>
        <w:rPr>
          <w:spacing w:val="-79"/>
        </w:rPr>
        <w:t>。</w:t>
      </w:r>
      <w:r>
        <w:rPr>
          <w:spacing w:val="-5"/>
        </w:rPr>
        <w:t>试</w:t>
      </w:r>
      <w:r>
        <w:rPr>
          <w:spacing w:val="-3"/>
        </w:rPr>
        <w:t>验</w:t>
      </w:r>
      <w:r>
        <w:rPr>
          <w:spacing w:val="-8"/>
        </w:rPr>
        <w:t>前</w:t>
      </w:r>
      <w:r>
        <w:rPr>
          <w:spacing w:val="-80"/>
        </w:rPr>
        <w:t>，</w:t>
      </w:r>
      <w:r>
        <w:rPr>
          <w:spacing w:val="-8"/>
        </w:rPr>
        <w:t>应</w:t>
      </w:r>
      <w:r>
        <w:rPr>
          <w:spacing w:val="-3"/>
        </w:rPr>
        <w:t>准</w:t>
      </w:r>
      <w:r>
        <w:rPr>
          <w:spacing w:val="-5"/>
        </w:rPr>
        <w:t>备</w:t>
      </w:r>
      <w:r>
        <w:rPr>
          <w:spacing w:val="-3"/>
        </w:rPr>
        <w:t>备用</w:t>
      </w:r>
      <w:r>
        <w:rPr>
          <w:spacing w:val="-5"/>
        </w:rPr>
        <w:t>的</w:t>
      </w:r>
      <w:r>
        <w:rPr>
          <w:spacing w:val="-3"/>
        </w:rPr>
        <w:t>温</w:t>
      </w:r>
      <w:r>
        <w:rPr>
          <w:spacing w:val="-8"/>
        </w:rPr>
        <w:t>控</w:t>
      </w:r>
      <w:r>
        <w:rPr/>
        <w:t>释放</w:t>
      </w:r>
      <w:r>
        <w:rPr>
          <w:spacing w:val="36"/>
        </w:rPr>
        <w:t> </w:t>
      </w:r>
      <w:r>
        <w:rPr/>
        <w:t>装</w:t>
      </w:r>
      <w:r>
        <w:rPr>
          <w:spacing w:val="-3"/>
        </w:rPr>
        <w:t>置</w:t>
      </w:r>
      <w:r>
        <w:rPr>
          <w:spacing w:val="-44"/>
        </w:rPr>
        <w:t>，</w:t>
      </w:r>
      <w:r>
        <w:rPr>
          <w:spacing w:val="-3"/>
        </w:rPr>
        <w:t>试</w:t>
      </w:r>
      <w:r>
        <w:rPr/>
        <w:t>验后</w:t>
      </w:r>
      <w:r>
        <w:rPr>
          <w:spacing w:val="-8"/>
        </w:rPr>
        <w:t>，</w:t>
      </w:r>
      <w:r>
        <w:rPr>
          <w:spacing w:val="-3"/>
        </w:rPr>
        <w:t>应</w:t>
      </w:r>
      <w:r>
        <w:rPr>
          <w:spacing w:val="-5"/>
        </w:rPr>
        <w:t>重</w:t>
      </w:r>
      <w:r>
        <w:rPr>
          <w:spacing w:val="-3"/>
        </w:rPr>
        <w:t>新</w:t>
      </w:r>
      <w:r>
        <w:rPr>
          <w:spacing w:val="-8"/>
        </w:rPr>
        <w:t>安</w:t>
      </w:r>
      <w:r>
        <w:rPr/>
        <w:t>装</w:t>
      </w:r>
      <w:r>
        <w:rPr>
          <w:spacing w:val="-3"/>
        </w:rPr>
        <w:t>。</w:t>
      </w:r>
      <w:r>
        <w:rPr/>
        <w:t> </w:t>
        <w:tab/>
      </w:r>
      <w:r>
        <w:rPr>
          <w:w w:val="100"/>
        </w:rPr>
        <w:t> </w:t>
      </w:r>
    </w:p>
    <w:p>
      <w:pPr>
        <w:pStyle w:val="Heading4"/>
        <w:spacing w:line="276" w:lineRule="exact"/>
      </w:pPr>
      <w:r>
        <w:rPr/>
        <w:t>7 验收</w:t>
      </w:r>
      <w:r>
        <w:rPr>
          <w:w w:val="99"/>
        </w:rPr>
        <w:t> </w:t>
      </w:r>
    </w:p>
    <w:p>
      <w:pPr>
        <w:pStyle w:val="BodyText"/>
        <w:spacing w:before="4"/>
        <w:rPr>
          <w:b/>
          <w:sz w:val="17"/>
        </w:rPr>
      </w:pPr>
    </w:p>
    <w:p>
      <w:pPr>
        <w:pStyle w:val="ListParagraph"/>
        <w:numPr>
          <w:ilvl w:val="1"/>
          <w:numId w:val="853"/>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2"/>
        <w:rPr>
          <w:sz w:val="18"/>
        </w:rPr>
      </w:pPr>
    </w:p>
    <w:p>
      <w:pPr>
        <w:pStyle w:val="ListParagraph"/>
        <w:numPr>
          <w:ilvl w:val="2"/>
          <w:numId w:val="853"/>
        </w:numPr>
        <w:tabs>
          <w:tab w:pos="1370" w:val="left" w:leader="none"/>
        </w:tabs>
        <w:spacing w:line="446" w:lineRule="auto" w:before="0" w:after="0"/>
        <w:ind w:left="418" w:right="1541" w:firstLine="422"/>
        <w:jc w:val="both"/>
        <w:rPr>
          <w:sz w:val="21"/>
        </w:rPr>
      </w:pPr>
      <w:r>
        <w:rPr>
          <w:spacing w:val="-19"/>
          <w:sz w:val="21"/>
        </w:rPr>
        <w:t>防火卷帘、防火门、防火窗调试完毕后，应在施工单位自行检查评定合格的基础上 进</w:t>
      </w:r>
      <w:r>
        <w:rPr>
          <w:spacing w:val="-16"/>
          <w:sz w:val="21"/>
        </w:rPr>
        <w:t>行工程质量验收。验收应由施工单位提出申请，并应由建设单位组织监理、设计、施工等 单位共</w:t>
      </w:r>
      <w:r>
        <w:rPr>
          <w:spacing w:val="-8"/>
          <w:sz w:val="21"/>
        </w:rPr>
        <w:t>同实施。</w:t>
      </w:r>
      <w:r>
        <w:rPr>
          <w:sz w:val="21"/>
        </w:rPr>
        <w:t>        </w:t>
      </w:r>
      <w:r>
        <w:rPr>
          <w:spacing w:val="21"/>
          <w:sz w:val="21"/>
        </w:rPr>
        <w:t> </w:t>
      </w:r>
      <w:r>
        <w:rPr>
          <w:w w:val="100"/>
          <w:sz w:val="21"/>
        </w:rPr>
        <w:t> </w:t>
      </w:r>
    </w:p>
    <w:p>
      <w:pPr>
        <w:pStyle w:val="ListParagraph"/>
        <w:numPr>
          <w:ilvl w:val="2"/>
          <w:numId w:val="853"/>
        </w:numPr>
        <w:tabs>
          <w:tab w:pos="1371" w:val="left" w:leader="none"/>
        </w:tabs>
        <w:spacing w:line="446" w:lineRule="auto" w:before="0" w:after="0"/>
        <w:ind w:left="418" w:right="1551" w:firstLine="422"/>
        <w:jc w:val="both"/>
        <w:rPr>
          <w:sz w:val="21"/>
        </w:rPr>
      </w:pPr>
      <w:r>
        <w:rPr>
          <w:spacing w:val="-6"/>
          <w:sz w:val="21"/>
        </w:rPr>
        <w:t>防火卷帘、防火门、防火窗工程质量验收前，施工单位应提供下列文件资料，并应按</w:t>
      </w:r>
      <w:r>
        <w:rPr>
          <w:spacing w:val="-7"/>
          <w:sz w:val="21"/>
        </w:rPr>
        <w:t>本规范附录</w:t>
      </w:r>
      <w:r>
        <w:rPr>
          <w:sz w:val="21"/>
        </w:rPr>
        <w:t>D 表D.0.1-1</w:t>
      </w:r>
      <w:r>
        <w:rPr>
          <w:spacing w:val="-5"/>
          <w:sz w:val="21"/>
        </w:rPr>
        <w:t> 填写资料核查记录：</w:t>
      </w:r>
      <w:r>
        <w:rPr>
          <w:sz w:val="21"/>
        </w:rPr>
        <w:t> </w:t>
      </w:r>
    </w:p>
    <w:p>
      <w:pPr>
        <w:pStyle w:val="BodyText"/>
        <w:spacing w:line="267" w:lineRule="exact"/>
        <w:ind w:left="838"/>
      </w:pPr>
      <w:r>
        <w:rPr>
          <w:spacing w:val="-7"/>
        </w:rPr>
        <w:t>工程质量验收申请报告。</w:t>
      </w:r>
      <w:r>
        <w:rPr/>
        <w:t> </w:t>
      </w:r>
    </w:p>
    <w:p>
      <w:pPr>
        <w:pStyle w:val="BodyText"/>
        <w:spacing w:before="1"/>
        <w:rPr>
          <w:sz w:val="18"/>
        </w:rPr>
      </w:pPr>
    </w:p>
    <w:p>
      <w:pPr>
        <w:pStyle w:val="BodyText"/>
        <w:spacing w:line="446" w:lineRule="auto"/>
        <w:ind w:left="838" w:right="4715"/>
      </w:pPr>
      <w:r>
        <w:rPr/>
        <w:t>本规范第3.0.1 条规定的施工现场质量管理检查记录。本规范第3.0.2 条规定的技术资料。 </w:t>
      </w:r>
    </w:p>
    <w:p>
      <w:pPr>
        <w:pStyle w:val="BodyText"/>
        <w:spacing w:line="267" w:lineRule="exact"/>
        <w:ind w:left="838"/>
      </w:pPr>
      <w:r>
        <w:rPr>
          <w:spacing w:val="-7"/>
        </w:rPr>
        <w:t>竣工图及相关文件资料。</w:t>
      </w:r>
      <w:r>
        <w:rPr/>
        <w:t> </w:t>
      </w:r>
    </w:p>
    <w:p>
      <w:pPr>
        <w:pStyle w:val="BodyText"/>
        <w:spacing w:before="2"/>
        <w:rPr>
          <w:sz w:val="18"/>
        </w:rPr>
      </w:pPr>
    </w:p>
    <w:p>
      <w:pPr>
        <w:pStyle w:val="BodyText"/>
        <w:tabs>
          <w:tab w:pos="3111" w:val="left" w:leader="none"/>
        </w:tabs>
        <w:spacing w:line="446" w:lineRule="auto"/>
        <w:ind w:left="838" w:right="4724"/>
      </w:pPr>
      <w:r>
        <w:rPr/>
        <w:t>施</w:t>
      </w:r>
      <w:r>
        <w:rPr>
          <w:spacing w:val="-8"/>
        </w:rPr>
        <w:t>工</w:t>
      </w:r>
      <w:r>
        <w:rPr>
          <w:spacing w:val="-3"/>
        </w:rPr>
        <w:t>过</w:t>
      </w:r>
      <w:r>
        <w:rPr>
          <w:spacing w:val="-5"/>
        </w:rPr>
        <w:t>程</w:t>
      </w:r>
      <w:r>
        <w:rPr>
          <w:spacing w:val="-3"/>
        </w:rPr>
        <w:t>（</w:t>
      </w:r>
      <w:r>
        <w:rPr>
          <w:spacing w:val="-8"/>
        </w:rPr>
        <w:t>含</w:t>
      </w:r>
      <w:r>
        <w:rPr>
          <w:spacing w:val="-3"/>
        </w:rPr>
        <w:t>进</w:t>
      </w:r>
      <w:r>
        <w:rPr>
          <w:spacing w:val="-8"/>
        </w:rPr>
        <w:t>场</w:t>
      </w:r>
      <w:r>
        <w:rPr>
          <w:spacing w:val="-5"/>
        </w:rPr>
        <w:t>检</w:t>
      </w:r>
      <w:r>
        <w:rPr>
          <w:spacing w:val="-3"/>
        </w:rPr>
        <w:t>验、</w:t>
      </w:r>
      <w:r>
        <w:rPr>
          <w:spacing w:val="-5"/>
        </w:rPr>
        <w:t>安</w:t>
      </w:r>
      <w:r>
        <w:rPr>
          <w:spacing w:val="-3"/>
        </w:rPr>
        <w:t>装</w:t>
      </w:r>
      <w:r>
        <w:rPr>
          <w:spacing w:val="-8"/>
        </w:rPr>
        <w:t>及</w:t>
      </w:r>
      <w:r>
        <w:rPr>
          <w:spacing w:val="-3"/>
        </w:rPr>
        <w:t>调</w:t>
      </w:r>
      <w:r>
        <w:rPr>
          <w:spacing w:val="-5"/>
        </w:rPr>
        <w:t>试</w:t>
      </w:r>
      <w:r>
        <w:rPr>
          <w:spacing w:val="-3"/>
        </w:rPr>
        <w:t>过</w:t>
      </w:r>
      <w:r>
        <w:rPr>
          <w:spacing w:val="-8"/>
        </w:rPr>
        <w:t>程</w:t>
      </w:r>
      <w:r>
        <w:rPr>
          <w:spacing w:val="-3"/>
        </w:rPr>
        <w:t>）</w:t>
      </w:r>
      <w:r>
        <w:rPr>
          <w:spacing w:val="-5"/>
        </w:rPr>
        <w:t>检</w:t>
      </w:r>
      <w:r>
        <w:rPr>
          <w:spacing w:val="-3"/>
        </w:rPr>
        <w:t>查</w:t>
      </w:r>
      <w:r>
        <w:rPr/>
        <w:t>记</w:t>
      </w:r>
      <w:r>
        <w:rPr>
          <w:spacing w:val="-5"/>
        </w:rPr>
        <w:t>录</w:t>
      </w:r>
      <w:r>
        <w:rPr>
          <w:spacing w:val="-3"/>
        </w:rPr>
        <w:t>。</w:t>
      </w:r>
      <w:r>
        <w:rPr>
          <w:spacing w:val="-1"/>
        </w:rPr>
        <w:t>隐</w:t>
      </w:r>
      <w:r>
        <w:rPr>
          <w:spacing w:val="-8"/>
        </w:rPr>
        <w:t>蔽</w:t>
      </w:r>
      <w:r>
        <w:rPr>
          <w:spacing w:val="-3"/>
        </w:rPr>
        <w:t>工</w:t>
      </w:r>
      <w:r>
        <w:rPr>
          <w:spacing w:val="-5"/>
        </w:rPr>
        <w:t>程</w:t>
      </w:r>
      <w:r>
        <w:rPr>
          <w:spacing w:val="-3"/>
        </w:rPr>
        <w:t>验</w:t>
      </w:r>
      <w:r>
        <w:rPr>
          <w:spacing w:val="-8"/>
        </w:rPr>
        <w:t>收</w:t>
      </w:r>
      <w:r>
        <w:rPr>
          <w:spacing w:val="-3"/>
        </w:rPr>
        <w:t>记</w:t>
      </w:r>
      <w:r>
        <w:rPr>
          <w:spacing w:val="-5"/>
        </w:rPr>
        <w:t>录</w:t>
      </w:r>
      <w:r>
        <w:rPr>
          <w:spacing w:val="-1"/>
        </w:rPr>
        <w:t>。</w:t>
      </w:r>
      <w:r>
        <w:rPr/>
        <w:t> </w:t>
        <w:tab/>
      </w:r>
      <w:r>
        <w:rPr>
          <w:w w:val="100"/>
        </w:rPr>
        <w:t> </w:t>
      </w:r>
    </w:p>
    <w:p>
      <w:pPr>
        <w:pStyle w:val="ListParagraph"/>
        <w:numPr>
          <w:ilvl w:val="2"/>
          <w:numId w:val="853"/>
        </w:numPr>
        <w:tabs>
          <w:tab w:pos="1371" w:val="left" w:leader="none"/>
        </w:tabs>
        <w:spacing w:line="448" w:lineRule="auto" w:before="12" w:after="0"/>
        <w:ind w:left="418" w:right="1546" w:firstLine="422"/>
        <w:jc w:val="both"/>
        <w:rPr>
          <w:sz w:val="21"/>
        </w:rPr>
      </w:pPr>
      <w:r>
        <w:rPr>
          <w:spacing w:val="-8"/>
          <w:sz w:val="21"/>
        </w:rPr>
        <w:t>防火卷帘、防火门、防火窗工程质量验收前，应根据本规范规定的验收内容和验收方法，制订验收方案，验收人员应根据验收方案按程序进行，并应按本规范附录</w:t>
      </w:r>
      <w:r>
        <w:rPr>
          <w:sz w:val="21"/>
        </w:rPr>
        <w:t>D</w:t>
      </w:r>
      <w:r>
        <w:rPr>
          <w:spacing w:val="-25"/>
          <w:sz w:val="21"/>
        </w:rPr>
        <w:t> 表</w:t>
      </w:r>
      <w:r>
        <w:rPr>
          <w:spacing w:val="-106"/>
          <w:sz w:val="21"/>
        </w:rPr>
        <w:t>D</w:t>
      </w:r>
      <w:r>
        <w:rPr>
          <w:spacing w:val="6"/>
          <w:sz w:val="21"/>
        </w:rPr>
        <w:t> .</w:t>
      </w:r>
      <w:r>
        <w:rPr>
          <w:sz w:val="21"/>
        </w:rPr>
        <w:t>0.1-2</w:t>
      </w:r>
      <w:r>
        <w:rPr>
          <w:spacing w:val="2"/>
          <w:sz w:val="21"/>
        </w:rPr>
        <w:t> 填写</w:t>
      </w:r>
      <w:r>
        <w:rPr>
          <w:spacing w:val="-7"/>
          <w:sz w:val="21"/>
        </w:rPr>
        <w:t>工程质量验收记录。</w:t>
      </w:r>
      <w:r>
        <w:rPr>
          <w:sz w:val="21"/>
        </w:rPr>
        <w:t>   </w:t>
      </w:r>
      <w:r>
        <w:rPr>
          <w:spacing w:val="38"/>
          <w:sz w:val="21"/>
        </w:rPr>
        <w:t> </w:t>
      </w:r>
      <w:r>
        <w:rPr>
          <w:w w:val="100"/>
          <w:sz w:val="21"/>
        </w:rPr>
        <w:t> </w:t>
      </w:r>
    </w:p>
    <w:p>
      <w:pPr>
        <w:pStyle w:val="ListParagraph"/>
        <w:numPr>
          <w:ilvl w:val="1"/>
          <w:numId w:val="853"/>
        </w:numPr>
        <w:tabs>
          <w:tab w:pos="1159" w:val="left" w:leader="none"/>
        </w:tabs>
        <w:spacing w:line="265" w:lineRule="exact" w:before="0" w:after="0"/>
        <w:ind w:left="1158" w:right="0" w:hanging="319"/>
        <w:jc w:val="left"/>
        <w:rPr>
          <w:sz w:val="21"/>
        </w:rPr>
      </w:pPr>
      <w:r>
        <w:rPr>
          <w:spacing w:val="-3"/>
          <w:sz w:val="21"/>
        </w:rPr>
        <w:t>防火卷帘验收</w:t>
      </w:r>
      <w:r>
        <w:rPr>
          <w:sz w:val="21"/>
        </w:rPr>
        <w:t> </w:t>
      </w:r>
    </w:p>
    <w:p>
      <w:pPr>
        <w:pStyle w:val="BodyText"/>
        <w:spacing w:before="12"/>
        <w:rPr>
          <w:sz w:val="17"/>
        </w:rPr>
      </w:pPr>
    </w:p>
    <w:p>
      <w:pPr>
        <w:pStyle w:val="ListParagraph"/>
        <w:numPr>
          <w:ilvl w:val="2"/>
          <w:numId w:val="853"/>
        </w:numPr>
        <w:tabs>
          <w:tab w:pos="1370" w:val="left" w:leader="none"/>
        </w:tabs>
        <w:spacing w:line="446" w:lineRule="auto" w:before="0" w:after="0"/>
        <w:ind w:left="826" w:right="3260" w:firstLine="14"/>
        <w:jc w:val="left"/>
        <w:rPr>
          <w:sz w:val="21"/>
        </w:rPr>
      </w:pPr>
      <w:r>
        <w:rPr>
          <w:spacing w:val="-7"/>
          <w:sz w:val="21"/>
        </w:rPr>
        <w:t>防火卷帘的型号、规格、数量、安装位置等应符合设计要求。 检</w:t>
      </w:r>
      <w:r>
        <w:rPr>
          <w:spacing w:val="-6"/>
          <w:sz w:val="21"/>
        </w:rPr>
        <w:t>查数量：全数检查。</w:t>
      </w:r>
      <w:r>
        <w:rPr>
          <w:sz w:val="21"/>
        </w:rPr>
        <w:t> </w:t>
      </w:r>
    </w:p>
    <w:p>
      <w:pPr>
        <w:pStyle w:val="BodyText"/>
        <w:spacing w:before="29"/>
        <w:ind w:left="826"/>
      </w:pPr>
      <w:r>
        <w:rPr/>
        <w:t>检查方法：直观检查。  </w:t>
      </w:r>
      <w:r>
        <w:rPr>
          <w:w w:val="100"/>
        </w:rPr>
        <w:t> </w:t>
      </w:r>
    </w:p>
    <w:p>
      <w:pPr>
        <w:pStyle w:val="BodyText"/>
        <w:rPr>
          <w:sz w:val="23"/>
        </w:rPr>
      </w:pPr>
    </w:p>
    <w:p>
      <w:pPr>
        <w:pStyle w:val="ListParagraph"/>
        <w:numPr>
          <w:ilvl w:val="2"/>
          <w:numId w:val="853"/>
        </w:numPr>
        <w:tabs>
          <w:tab w:pos="1371" w:val="left" w:leader="none"/>
          <w:tab w:pos="7558" w:val="left" w:leader="none"/>
        </w:tabs>
        <w:spacing w:line="240" w:lineRule="auto" w:before="0" w:after="0"/>
        <w:ind w:left="1370" w:right="0" w:hanging="531"/>
        <w:jc w:val="left"/>
        <w:rPr>
          <w:sz w:val="21"/>
        </w:rPr>
      </w:pPr>
      <w:r>
        <w:rPr>
          <w:spacing w:val="-3"/>
          <w:sz w:val="21"/>
        </w:rPr>
        <w:t>防</w:t>
      </w:r>
      <w:r>
        <w:rPr>
          <w:spacing w:val="-5"/>
          <w:sz w:val="21"/>
        </w:rPr>
        <w:t>火</w:t>
      </w:r>
      <w:r>
        <w:rPr>
          <w:spacing w:val="-3"/>
          <w:sz w:val="21"/>
        </w:rPr>
        <w:t>卷</w:t>
      </w:r>
      <w:r>
        <w:rPr>
          <w:spacing w:val="-8"/>
          <w:sz w:val="21"/>
        </w:rPr>
        <w:t>帘</w:t>
      </w:r>
      <w:r>
        <w:rPr>
          <w:sz w:val="21"/>
        </w:rPr>
        <w:t>施</w:t>
      </w:r>
      <w:r>
        <w:rPr>
          <w:spacing w:val="-5"/>
          <w:sz w:val="21"/>
        </w:rPr>
        <w:t>工</w:t>
      </w:r>
      <w:r>
        <w:rPr>
          <w:spacing w:val="-3"/>
          <w:sz w:val="21"/>
        </w:rPr>
        <w:t>安</w:t>
      </w:r>
      <w:r>
        <w:rPr>
          <w:spacing w:val="-8"/>
          <w:sz w:val="21"/>
        </w:rPr>
        <w:t>装</w:t>
      </w:r>
      <w:r>
        <w:rPr>
          <w:spacing w:val="-5"/>
          <w:sz w:val="21"/>
        </w:rPr>
        <w:t>质</w:t>
      </w:r>
      <w:r>
        <w:rPr>
          <w:spacing w:val="-3"/>
          <w:sz w:val="21"/>
        </w:rPr>
        <w:t>量的</w:t>
      </w:r>
      <w:r>
        <w:rPr>
          <w:spacing w:val="-5"/>
          <w:sz w:val="21"/>
        </w:rPr>
        <w:t>验</w:t>
      </w:r>
      <w:r>
        <w:rPr>
          <w:spacing w:val="-3"/>
          <w:sz w:val="21"/>
        </w:rPr>
        <w:t>收</w:t>
      </w:r>
      <w:r>
        <w:rPr>
          <w:spacing w:val="-8"/>
          <w:sz w:val="21"/>
        </w:rPr>
        <w:t>应</w:t>
      </w:r>
      <w:r>
        <w:rPr>
          <w:spacing w:val="-3"/>
          <w:sz w:val="21"/>
        </w:rPr>
        <w:t>符</w:t>
      </w:r>
      <w:r>
        <w:rPr>
          <w:spacing w:val="-5"/>
          <w:sz w:val="21"/>
        </w:rPr>
        <w:t>合</w:t>
      </w:r>
      <w:r>
        <w:rPr>
          <w:sz w:val="21"/>
        </w:rPr>
        <w:t>本</w:t>
      </w:r>
      <w:r>
        <w:rPr>
          <w:spacing w:val="-8"/>
          <w:sz w:val="21"/>
        </w:rPr>
        <w:t>规范</w:t>
      </w:r>
      <w:r>
        <w:rPr>
          <w:sz w:val="21"/>
        </w:rPr>
        <w:t>第5.2</w:t>
      </w:r>
      <w:r>
        <w:rPr>
          <w:spacing w:val="25"/>
          <w:sz w:val="21"/>
        </w:rPr>
        <w:t> </w:t>
      </w:r>
      <w:r>
        <w:rPr>
          <w:spacing w:val="-8"/>
          <w:sz w:val="21"/>
        </w:rPr>
        <w:t>节</w:t>
      </w:r>
      <w:r>
        <w:rPr>
          <w:spacing w:val="-3"/>
          <w:sz w:val="21"/>
        </w:rPr>
        <w:t>的</w:t>
      </w:r>
      <w:r>
        <w:rPr>
          <w:spacing w:val="-5"/>
          <w:sz w:val="21"/>
        </w:rPr>
        <w:t>规</w:t>
      </w:r>
      <w:r>
        <w:rPr>
          <w:spacing w:val="-3"/>
          <w:sz w:val="21"/>
        </w:rPr>
        <w:t>定。</w:t>
      </w:r>
      <w:r>
        <w:rPr>
          <w:sz w:val="21"/>
        </w:rPr>
        <w:t> </w:t>
        <w:tab/>
      </w:r>
      <w:r>
        <w:rPr>
          <w:w w:val="100"/>
          <w:sz w:val="21"/>
        </w:rPr>
        <w:t> </w:t>
      </w:r>
    </w:p>
    <w:p>
      <w:pPr>
        <w:pStyle w:val="BodyText"/>
        <w:spacing w:before="12"/>
      </w:pPr>
    </w:p>
    <w:p>
      <w:pPr>
        <w:pStyle w:val="ListParagraph"/>
        <w:numPr>
          <w:ilvl w:val="2"/>
          <w:numId w:val="853"/>
        </w:numPr>
        <w:tabs>
          <w:tab w:pos="1371" w:val="left" w:leader="none"/>
          <w:tab w:pos="7244" w:val="left" w:leader="none"/>
        </w:tabs>
        <w:spacing w:line="240" w:lineRule="auto" w:before="0" w:after="0"/>
        <w:ind w:left="1370" w:right="0" w:hanging="531"/>
        <w:jc w:val="left"/>
        <w:rPr>
          <w:sz w:val="21"/>
        </w:rPr>
      </w:pPr>
      <w:r>
        <w:rPr>
          <w:spacing w:val="-3"/>
          <w:sz w:val="21"/>
        </w:rPr>
        <w:t>防</w:t>
      </w:r>
      <w:r>
        <w:rPr>
          <w:spacing w:val="-5"/>
          <w:sz w:val="21"/>
        </w:rPr>
        <w:t>火</w:t>
      </w:r>
      <w:r>
        <w:rPr>
          <w:spacing w:val="-3"/>
          <w:sz w:val="21"/>
        </w:rPr>
        <w:t>卷</w:t>
      </w:r>
      <w:r>
        <w:rPr>
          <w:spacing w:val="-8"/>
          <w:sz w:val="21"/>
        </w:rPr>
        <w:t>帘</w:t>
      </w:r>
      <w:r>
        <w:rPr>
          <w:sz w:val="21"/>
        </w:rPr>
        <w:t>系</w:t>
      </w:r>
      <w:r>
        <w:rPr>
          <w:spacing w:val="-5"/>
          <w:sz w:val="21"/>
        </w:rPr>
        <w:t>统</w:t>
      </w:r>
      <w:r>
        <w:rPr>
          <w:spacing w:val="-3"/>
          <w:sz w:val="21"/>
        </w:rPr>
        <w:t>功</w:t>
      </w:r>
      <w:r>
        <w:rPr>
          <w:spacing w:val="-8"/>
          <w:sz w:val="21"/>
        </w:rPr>
        <w:t>能</w:t>
      </w:r>
      <w:r>
        <w:rPr>
          <w:spacing w:val="-5"/>
          <w:sz w:val="21"/>
        </w:rPr>
        <w:t>验</w:t>
      </w:r>
      <w:r>
        <w:rPr>
          <w:spacing w:val="-3"/>
          <w:sz w:val="21"/>
        </w:rPr>
        <w:t>收应</w:t>
      </w:r>
      <w:r>
        <w:rPr>
          <w:spacing w:val="-5"/>
          <w:sz w:val="21"/>
        </w:rPr>
        <w:t>符</w:t>
      </w:r>
      <w:r>
        <w:rPr>
          <w:spacing w:val="-3"/>
          <w:sz w:val="21"/>
        </w:rPr>
        <w:t>合</w:t>
      </w:r>
      <w:r>
        <w:rPr>
          <w:spacing w:val="-8"/>
          <w:sz w:val="21"/>
        </w:rPr>
        <w:t>本</w:t>
      </w:r>
      <w:r>
        <w:rPr>
          <w:spacing w:val="-3"/>
          <w:sz w:val="21"/>
        </w:rPr>
        <w:t>规</w:t>
      </w:r>
      <w:r>
        <w:rPr>
          <w:spacing w:val="-5"/>
          <w:sz w:val="21"/>
        </w:rPr>
        <w:t>范</w:t>
      </w:r>
      <w:r>
        <w:rPr>
          <w:sz w:val="21"/>
        </w:rPr>
        <w:t>第6.2</w:t>
      </w:r>
      <w:r>
        <w:rPr>
          <w:spacing w:val="15"/>
          <w:sz w:val="21"/>
        </w:rPr>
        <w:t> </w:t>
      </w:r>
      <w:r>
        <w:rPr>
          <w:spacing w:val="-5"/>
          <w:sz w:val="21"/>
        </w:rPr>
        <w:t>节</w:t>
      </w:r>
      <w:r>
        <w:rPr>
          <w:spacing w:val="-3"/>
          <w:sz w:val="21"/>
        </w:rPr>
        <w:t>的规</w:t>
      </w:r>
      <w:r>
        <w:rPr>
          <w:spacing w:val="-5"/>
          <w:sz w:val="21"/>
        </w:rPr>
        <w:t>定</w:t>
      </w:r>
      <w:r>
        <w:rPr>
          <w:spacing w:val="-3"/>
          <w:sz w:val="21"/>
        </w:rPr>
        <w:t>。</w:t>
      </w:r>
      <w:r>
        <w:rPr>
          <w:sz w:val="21"/>
        </w:rPr>
        <w:t> </w:t>
        <w:tab/>
      </w:r>
      <w:r>
        <w:rPr>
          <w:w w:val="100"/>
          <w:sz w:val="21"/>
        </w:rPr>
        <w:t> </w:t>
      </w:r>
    </w:p>
    <w:p>
      <w:pPr>
        <w:pStyle w:val="BodyText"/>
        <w:spacing w:before="2"/>
        <w:rPr>
          <w:sz w:val="18"/>
        </w:rPr>
      </w:pPr>
    </w:p>
    <w:p>
      <w:pPr>
        <w:pStyle w:val="ListParagraph"/>
        <w:numPr>
          <w:ilvl w:val="1"/>
          <w:numId w:val="853"/>
        </w:numPr>
        <w:tabs>
          <w:tab w:pos="1159" w:val="left" w:leader="none"/>
        </w:tabs>
        <w:spacing w:line="240" w:lineRule="auto" w:before="0" w:after="0"/>
        <w:ind w:left="1158" w:right="0" w:hanging="319"/>
        <w:jc w:val="left"/>
        <w:rPr>
          <w:sz w:val="21"/>
        </w:rPr>
      </w:pPr>
      <w:r>
        <w:rPr>
          <w:spacing w:val="-3"/>
          <w:sz w:val="21"/>
        </w:rPr>
        <w:t>防火门验收</w:t>
      </w:r>
      <w:r>
        <w:rPr>
          <w:sz w:val="21"/>
        </w:rPr>
        <w:t> </w:t>
      </w:r>
    </w:p>
    <w:p>
      <w:pPr>
        <w:pStyle w:val="BodyText"/>
        <w:spacing w:before="1"/>
        <w:rPr>
          <w:sz w:val="19"/>
        </w:rPr>
      </w:pPr>
    </w:p>
    <w:p>
      <w:pPr>
        <w:pStyle w:val="ListParagraph"/>
        <w:numPr>
          <w:ilvl w:val="2"/>
          <w:numId w:val="853"/>
        </w:numPr>
        <w:tabs>
          <w:tab w:pos="1371" w:val="left" w:leader="none"/>
        </w:tabs>
        <w:spacing w:line="240" w:lineRule="auto" w:before="0" w:after="0"/>
        <w:ind w:left="1370" w:right="0" w:hanging="531"/>
        <w:jc w:val="left"/>
        <w:rPr>
          <w:sz w:val="21"/>
        </w:rPr>
      </w:pPr>
      <w:r>
        <w:rPr>
          <w:spacing w:val="-3"/>
          <w:sz w:val="21"/>
        </w:rPr>
        <w:t>防火门的型号、规格、数量、安装位置等应符合设计要求。 </w:t>
      </w:r>
      <w:r>
        <w:rPr>
          <w:sz w:val="21"/>
        </w:rPr>
        <w:t> </w:t>
      </w:r>
    </w:p>
    <w:p>
      <w:pPr>
        <w:spacing w:after="0" w:line="240" w:lineRule="auto"/>
        <w:jc w:val="left"/>
        <w:rPr>
          <w:sz w:val="21"/>
        </w:rPr>
        <w:sectPr>
          <w:footerReference w:type="default" r:id="rId474"/>
          <w:pgSz w:w="11910" w:h="16850"/>
          <w:pgMar w:footer="1239" w:header="0" w:top="1220" w:bottom="1420" w:left="1260" w:right="0"/>
          <w:pgNumType w:start="1500"/>
        </w:sectPr>
      </w:pPr>
    </w:p>
    <w:p>
      <w:pPr>
        <w:pStyle w:val="BodyText"/>
        <w:spacing w:before="45"/>
        <w:ind w:left="838"/>
      </w:pPr>
      <w:r>
        <w:rPr/>
        <w:t>检查数量：全数检查。  </w:t>
      </w:r>
    </w:p>
    <w:p>
      <w:pPr>
        <w:pStyle w:val="BodyText"/>
        <w:spacing w:before="4"/>
        <w:rPr>
          <w:sz w:val="19"/>
        </w:rPr>
      </w:pPr>
    </w:p>
    <w:p>
      <w:pPr>
        <w:pStyle w:val="BodyText"/>
        <w:ind w:left="838"/>
      </w:pPr>
      <w:r>
        <w:rPr/>
        <w:t>检查方法：直观检查；对照设计文件查看。  </w:t>
      </w:r>
      <w:hyperlink r:id="rId475">
        <w:r>
          <w:rPr>
            <w:w w:val="100"/>
          </w:rPr>
          <w:t> </w:t>
        </w:r>
      </w:hyperlink>
      <w:r>
        <w:rPr>
          <w:w w:val="100"/>
        </w:rPr>
        <w:t> </w:t>
      </w:r>
    </w:p>
    <w:p>
      <w:pPr>
        <w:pStyle w:val="BodyText"/>
        <w:spacing w:before="6"/>
        <w:rPr>
          <w:sz w:val="19"/>
        </w:rPr>
      </w:pPr>
    </w:p>
    <w:p>
      <w:pPr>
        <w:pStyle w:val="ListParagraph"/>
        <w:numPr>
          <w:ilvl w:val="2"/>
          <w:numId w:val="853"/>
        </w:numPr>
        <w:tabs>
          <w:tab w:pos="1371" w:val="left" w:leader="none"/>
        </w:tabs>
        <w:spacing w:line="240" w:lineRule="auto" w:before="0" w:after="0"/>
        <w:ind w:left="1370" w:right="0" w:hanging="531"/>
        <w:jc w:val="left"/>
        <w:rPr>
          <w:sz w:val="21"/>
        </w:rPr>
      </w:pPr>
      <w:r>
        <w:rPr>
          <w:spacing w:val="-3"/>
          <w:sz w:val="21"/>
        </w:rPr>
        <w:t>防火门安装质量的验收应符合本规范第 </w:t>
      </w:r>
      <w:r>
        <w:rPr>
          <w:sz w:val="21"/>
        </w:rPr>
        <w:t>5.3</w:t>
      </w:r>
      <w:r>
        <w:rPr>
          <w:spacing w:val="-3"/>
          <w:sz w:val="21"/>
        </w:rPr>
        <w:t> 节的规定。</w:t>
      </w:r>
      <w:r>
        <w:rPr>
          <w:spacing w:val="-8"/>
          <w:sz w:val="21"/>
        </w:rPr>
        <w:t> </w:t>
      </w:r>
      <w:hyperlink r:id="rId476">
        <w:r>
          <w:rPr>
            <w:sz w:val="21"/>
          </w:rPr>
          <w:t> </w:t>
        </w:r>
      </w:hyperlink>
      <w:r>
        <w:rPr>
          <w:sz w:val="21"/>
        </w:rPr>
        <w:t> </w:t>
      </w:r>
    </w:p>
    <w:p>
      <w:pPr>
        <w:pStyle w:val="BodyText"/>
        <w:spacing w:before="3"/>
        <w:rPr>
          <w:sz w:val="19"/>
        </w:rPr>
      </w:pPr>
    </w:p>
    <w:p>
      <w:pPr>
        <w:pStyle w:val="ListParagraph"/>
        <w:numPr>
          <w:ilvl w:val="2"/>
          <w:numId w:val="853"/>
        </w:numPr>
        <w:tabs>
          <w:tab w:pos="1370" w:val="left" w:leader="none"/>
          <w:tab w:pos="6718" w:val="left" w:leader="none"/>
        </w:tabs>
        <w:spacing w:line="240" w:lineRule="auto" w:before="0" w:after="0"/>
        <w:ind w:left="1369" w:right="0" w:hanging="530"/>
        <w:jc w:val="left"/>
        <w:rPr>
          <w:b/>
          <w:sz w:val="21"/>
        </w:rPr>
      </w:pPr>
      <w:r>
        <w:rPr>
          <w:spacing w:val="-3"/>
          <w:sz w:val="21"/>
        </w:rPr>
        <w:t>防</w:t>
      </w:r>
      <w:r>
        <w:rPr>
          <w:sz w:val="21"/>
        </w:rPr>
        <w:t>火</w:t>
      </w:r>
      <w:r>
        <w:rPr>
          <w:spacing w:val="-3"/>
          <w:sz w:val="21"/>
        </w:rPr>
        <w:t>门</w:t>
      </w:r>
      <w:r>
        <w:rPr>
          <w:sz w:val="21"/>
        </w:rPr>
        <w:t>控</w:t>
      </w:r>
      <w:r>
        <w:rPr>
          <w:spacing w:val="-3"/>
          <w:sz w:val="21"/>
        </w:rPr>
        <w:t>制</w:t>
      </w:r>
      <w:r>
        <w:rPr>
          <w:sz w:val="21"/>
        </w:rPr>
        <w:t>功</w:t>
      </w:r>
      <w:r>
        <w:rPr>
          <w:spacing w:val="-3"/>
          <w:sz w:val="21"/>
        </w:rPr>
        <w:t>能验</w:t>
      </w:r>
      <w:r>
        <w:rPr>
          <w:sz w:val="21"/>
        </w:rPr>
        <w:t>收应</w:t>
      </w:r>
      <w:r>
        <w:rPr>
          <w:spacing w:val="-3"/>
          <w:sz w:val="21"/>
        </w:rPr>
        <w:t>符</w:t>
      </w:r>
      <w:r>
        <w:rPr>
          <w:sz w:val="21"/>
        </w:rPr>
        <w:t>合</w:t>
      </w:r>
      <w:r>
        <w:rPr>
          <w:spacing w:val="-3"/>
          <w:sz w:val="21"/>
        </w:rPr>
        <w:t>本</w:t>
      </w:r>
      <w:r>
        <w:rPr>
          <w:sz w:val="21"/>
        </w:rPr>
        <w:t>规</w:t>
      </w:r>
      <w:r>
        <w:rPr>
          <w:spacing w:val="-3"/>
          <w:sz w:val="21"/>
        </w:rPr>
        <w:t>范</w:t>
      </w:r>
      <w:r>
        <w:rPr>
          <w:sz w:val="21"/>
        </w:rPr>
        <w:t>第</w:t>
      </w:r>
      <w:r>
        <w:rPr>
          <w:spacing w:val="12"/>
          <w:sz w:val="21"/>
        </w:rPr>
        <w:t> </w:t>
      </w:r>
      <w:r>
        <w:rPr>
          <w:sz w:val="21"/>
        </w:rPr>
        <w:t>6.3</w:t>
      </w:r>
      <w:r>
        <w:rPr>
          <w:spacing w:val="9"/>
          <w:sz w:val="21"/>
        </w:rPr>
        <w:t> </w:t>
      </w:r>
      <w:r>
        <w:rPr>
          <w:spacing w:val="-3"/>
          <w:sz w:val="21"/>
        </w:rPr>
        <w:t>节</w:t>
      </w:r>
      <w:r>
        <w:rPr>
          <w:sz w:val="21"/>
        </w:rPr>
        <w:t>的规</w:t>
      </w:r>
      <w:r>
        <w:rPr>
          <w:spacing w:val="-3"/>
          <w:sz w:val="21"/>
        </w:rPr>
        <w:t>定。</w:t>
      </w:r>
      <w:r>
        <w:rPr>
          <w:sz w:val="21"/>
        </w:rPr>
        <w:t> </w:t>
        <w:tab/>
      </w:r>
      <w:hyperlink r:id="rId477">
        <w:r>
          <w:rPr>
            <w:b/>
            <w:w w:val="99"/>
            <w:sz w:val="21"/>
          </w:rPr>
          <w:t> </w:t>
        </w:r>
      </w:hyperlink>
      <w:r>
        <w:rPr>
          <w:b/>
          <w:w w:val="99"/>
          <w:sz w:val="21"/>
        </w:rPr>
        <w:t> </w:t>
      </w:r>
    </w:p>
    <w:p>
      <w:pPr>
        <w:pStyle w:val="BodyText"/>
        <w:spacing w:before="2"/>
        <w:rPr>
          <w:b/>
          <w:sz w:val="18"/>
        </w:rPr>
      </w:pPr>
    </w:p>
    <w:p>
      <w:pPr>
        <w:pStyle w:val="ListParagraph"/>
        <w:numPr>
          <w:ilvl w:val="1"/>
          <w:numId w:val="853"/>
        </w:numPr>
        <w:tabs>
          <w:tab w:pos="1159" w:val="left" w:leader="none"/>
        </w:tabs>
        <w:spacing w:line="240" w:lineRule="auto" w:before="0" w:after="0"/>
        <w:ind w:left="1158" w:right="0" w:hanging="319"/>
        <w:jc w:val="left"/>
        <w:rPr>
          <w:b/>
          <w:sz w:val="21"/>
        </w:rPr>
      </w:pPr>
      <w:r>
        <w:rPr>
          <w:spacing w:val="-3"/>
          <w:sz w:val="21"/>
        </w:rPr>
        <w:t>防火窗验收</w:t>
      </w:r>
      <w:r>
        <w:rPr>
          <w:b/>
          <w:w w:val="99"/>
          <w:sz w:val="21"/>
        </w:rPr>
        <w:t> </w:t>
      </w:r>
    </w:p>
    <w:p>
      <w:pPr>
        <w:pStyle w:val="BodyText"/>
        <w:spacing w:before="2"/>
        <w:rPr>
          <w:b/>
          <w:sz w:val="18"/>
        </w:rPr>
      </w:pPr>
    </w:p>
    <w:p>
      <w:pPr>
        <w:spacing w:line="446" w:lineRule="auto" w:before="0"/>
        <w:ind w:left="418" w:right="3908" w:firstLine="422"/>
        <w:jc w:val="left"/>
        <w:rPr>
          <w:sz w:val="21"/>
        </w:rPr>
      </w:pPr>
      <w:r>
        <w:rPr>
          <w:b/>
          <w:sz w:val="21"/>
        </w:rPr>
        <w:t>7. 4. 1 </w:t>
      </w:r>
      <w:r>
        <w:rPr>
          <w:sz w:val="21"/>
        </w:rPr>
        <w:t>防火窗的型号、规格、数量、安装位置等应符合设计要求。  </w:t>
      </w:r>
    </w:p>
    <w:p>
      <w:pPr>
        <w:pStyle w:val="BodyText"/>
        <w:spacing w:line="267" w:lineRule="exact"/>
        <w:ind w:left="826"/>
      </w:pPr>
      <w:r>
        <w:rPr/>
        <w:t>检查数量：全数检查。  </w:t>
      </w:r>
    </w:p>
    <w:p>
      <w:pPr>
        <w:pStyle w:val="BodyText"/>
        <w:spacing w:before="2"/>
        <w:rPr>
          <w:sz w:val="18"/>
        </w:rPr>
      </w:pPr>
    </w:p>
    <w:p>
      <w:pPr>
        <w:pStyle w:val="BodyText"/>
        <w:ind w:left="826"/>
      </w:pPr>
      <w:r>
        <w:rPr/>
        <w:t>检查方法：直观检查；对照设计文件查看。  </w:t>
      </w:r>
      <w:hyperlink r:id="rId478">
        <w:r>
          <w:rPr>
            <w:color w:val="DDD9C3"/>
            <w:w w:val="100"/>
            <w:u w:val="single" w:color="DDD9C3"/>
          </w:rPr>
          <w:t> </w:t>
        </w:r>
      </w:hyperlink>
      <w:r>
        <w:rPr>
          <w:w w:val="100"/>
        </w:rPr>
        <w:t> </w:t>
      </w:r>
    </w:p>
    <w:p>
      <w:pPr>
        <w:pStyle w:val="BodyText"/>
        <w:spacing w:before="3"/>
        <w:rPr>
          <w:sz w:val="14"/>
        </w:rPr>
      </w:pPr>
    </w:p>
    <w:p>
      <w:pPr>
        <w:pStyle w:val="ListParagraph"/>
        <w:numPr>
          <w:ilvl w:val="2"/>
          <w:numId w:val="854"/>
        </w:numPr>
        <w:tabs>
          <w:tab w:pos="1370" w:val="left" w:leader="none"/>
        </w:tabs>
        <w:spacing w:line="240" w:lineRule="auto" w:before="72" w:after="0"/>
        <w:ind w:left="1369" w:right="0" w:hanging="530"/>
        <w:jc w:val="left"/>
        <w:rPr>
          <w:sz w:val="21"/>
        </w:rPr>
      </w:pPr>
      <w:r>
        <w:rPr>
          <w:spacing w:val="-8"/>
          <w:sz w:val="21"/>
        </w:rPr>
        <w:t>防火窗安装质量的验收应符合本规范第</w:t>
      </w:r>
      <w:r>
        <w:rPr>
          <w:sz w:val="21"/>
        </w:rPr>
        <w:t>5.4</w:t>
      </w:r>
      <w:r>
        <w:rPr>
          <w:spacing w:val="-5"/>
          <w:sz w:val="21"/>
        </w:rPr>
        <w:t> 节的规定。</w:t>
      </w:r>
      <w:r>
        <w:rPr>
          <w:sz w:val="21"/>
        </w:rPr>
        <w:t>  </w:t>
      </w:r>
      <w:r>
        <w:rPr>
          <w:spacing w:val="-50"/>
          <w:sz w:val="21"/>
        </w:rPr>
        <w:t> </w:t>
      </w:r>
      <w:hyperlink r:id="rId479">
        <w:r>
          <w:rPr>
            <w:color w:val="DDD9C3"/>
            <w:w w:val="100"/>
            <w:sz w:val="21"/>
            <w:u w:val="single" w:color="DDD9C3"/>
          </w:rPr>
          <w:t> </w:t>
        </w:r>
      </w:hyperlink>
      <w:r>
        <w:rPr>
          <w:w w:val="100"/>
          <w:sz w:val="21"/>
        </w:rPr>
        <w:t> </w:t>
      </w:r>
    </w:p>
    <w:p>
      <w:pPr>
        <w:pStyle w:val="BodyText"/>
        <w:spacing w:before="7"/>
        <w:rPr>
          <w:sz w:val="12"/>
        </w:rPr>
      </w:pPr>
    </w:p>
    <w:p>
      <w:pPr>
        <w:pStyle w:val="ListParagraph"/>
        <w:numPr>
          <w:ilvl w:val="2"/>
          <w:numId w:val="854"/>
        </w:numPr>
        <w:tabs>
          <w:tab w:pos="1370" w:val="left" w:leader="none"/>
        </w:tabs>
        <w:spacing w:line="240" w:lineRule="auto" w:before="71" w:after="0"/>
        <w:ind w:left="1369" w:right="0" w:hanging="530"/>
        <w:jc w:val="left"/>
        <w:rPr>
          <w:sz w:val="21"/>
        </w:rPr>
      </w:pPr>
      <w:r>
        <w:rPr>
          <w:spacing w:val="-8"/>
          <w:sz w:val="21"/>
        </w:rPr>
        <w:t>活动式防火窗控制功能的验收应符合本规范第</w:t>
      </w:r>
      <w:r>
        <w:rPr>
          <w:spacing w:val="-106"/>
          <w:sz w:val="21"/>
        </w:rPr>
        <w:t>6</w:t>
      </w:r>
      <w:r>
        <w:rPr>
          <w:spacing w:val="1"/>
          <w:sz w:val="21"/>
        </w:rPr>
        <w:t> </w:t>
      </w:r>
      <w:r>
        <w:rPr>
          <w:sz w:val="21"/>
        </w:rPr>
        <w:t>.4</w:t>
      </w:r>
      <w:r>
        <w:rPr>
          <w:spacing w:val="-5"/>
          <w:sz w:val="21"/>
        </w:rPr>
        <w:t> 节的规定。</w:t>
      </w:r>
      <w:r>
        <w:rPr>
          <w:spacing w:val="-43"/>
          <w:sz w:val="21"/>
        </w:rPr>
        <w:t> </w:t>
      </w:r>
      <w:hyperlink r:id="rId480">
        <w:r>
          <w:rPr>
            <w:emboss/>
            <w:color w:val="DDD9C3"/>
            <w:spacing w:val="-8"/>
            <w:w w:val="100"/>
            <w:sz w:val="21"/>
            <w:u w:val="single" w:color="DDD9C3"/>
          </w:rPr>
          <w:t> </w:t>
        </w:r>
      </w:hyperlink>
      <w:r>
        <w:rPr>
          <w:shadow w:val="0"/>
          <w:w w:val="100"/>
          <w:sz w:val="21"/>
        </w:rPr>
        <w:t> </w:t>
      </w:r>
    </w:p>
    <w:p>
      <w:pPr>
        <w:pStyle w:val="BodyText"/>
        <w:spacing w:before="8"/>
        <w:rPr>
          <w:sz w:val="10"/>
        </w:rPr>
      </w:pPr>
    </w:p>
    <w:p>
      <w:pPr>
        <w:pStyle w:val="Heading4"/>
        <w:spacing w:before="67"/>
      </w:pPr>
      <w:r>
        <w:rPr/>
        <w:t>8 使用与维护</w:t>
      </w:r>
      <w:r>
        <w:rPr>
          <w:w w:val="99"/>
        </w:rPr>
        <w:t> </w:t>
      </w:r>
    </w:p>
    <w:p>
      <w:pPr>
        <w:pStyle w:val="BodyText"/>
        <w:spacing w:before="4"/>
        <w:rPr>
          <w:b/>
          <w:sz w:val="17"/>
        </w:rPr>
      </w:pPr>
    </w:p>
    <w:p>
      <w:pPr>
        <w:pStyle w:val="ListParagraph"/>
        <w:numPr>
          <w:ilvl w:val="2"/>
          <w:numId w:val="855"/>
        </w:numPr>
        <w:tabs>
          <w:tab w:pos="1371" w:val="left" w:leader="none"/>
        </w:tabs>
        <w:spacing w:line="446" w:lineRule="auto" w:before="0" w:after="0"/>
        <w:ind w:left="838" w:right="3159" w:firstLine="2"/>
        <w:jc w:val="left"/>
        <w:rPr>
          <w:sz w:val="21"/>
        </w:rPr>
      </w:pPr>
      <w:r>
        <w:rPr>
          <w:spacing w:val="-7"/>
          <w:sz w:val="21"/>
        </w:rPr>
        <w:t>防火卷帘、防火门、防火窗投入使用时，应具备下列文件资料： 工</w:t>
      </w:r>
      <w:r>
        <w:rPr>
          <w:spacing w:val="-8"/>
          <w:sz w:val="21"/>
        </w:rPr>
        <w:t>程竣工图及主要设备、零配件的产品说明书。 </w:t>
      </w:r>
    </w:p>
    <w:p>
      <w:pPr>
        <w:pStyle w:val="BodyText"/>
        <w:spacing w:line="487" w:lineRule="auto"/>
        <w:ind w:left="838" w:right="7005"/>
      </w:pPr>
      <w:r>
        <w:rPr>
          <w:spacing w:val="-7"/>
        </w:rPr>
        <w:t>设备工作流程图及操作规程。设备检查、维护管理制度。  </w:t>
      </w:r>
      <w:r>
        <w:rPr>
          <w:spacing w:val="-8"/>
        </w:rPr>
        <w:t>设备检查、维护管理记录。 </w:t>
      </w:r>
    </w:p>
    <w:p>
      <w:pPr>
        <w:pStyle w:val="BodyText"/>
        <w:tabs>
          <w:tab w:pos="4162" w:val="left" w:leader="none"/>
        </w:tabs>
        <w:spacing w:before="8"/>
        <w:ind w:left="838"/>
      </w:pPr>
      <w:r>
        <w:rPr/>
        <w:t>操</w:t>
      </w:r>
      <w:r>
        <w:rPr>
          <w:spacing w:val="-8"/>
        </w:rPr>
        <w:t>作</w:t>
      </w:r>
      <w:r>
        <w:rPr>
          <w:spacing w:val="-3"/>
        </w:rPr>
        <w:t>员</w:t>
      </w:r>
      <w:r>
        <w:rPr>
          <w:spacing w:val="-5"/>
        </w:rPr>
        <w:t>名</w:t>
      </w:r>
      <w:r>
        <w:rPr>
          <w:spacing w:val="-3"/>
        </w:rPr>
        <w:t>册</w:t>
      </w:r>
      <w:r>
        <w:rPr>
          <w:spacing w:val="-8"/>
        </w:rPr>
        <w:t>及</w:t>
      </w:r>
      <w:r>
        <w:rPr>
          <w:spacing w:val="-3"/>
        </w:rPr>
        <w:t>相</w:t>
      </w:r>
      <w:r>
        <w:rPr>
          <w:spacing w:val="-8"/>
        </w:rPr>
        <w:t>应</w:t>
      </w:r>
      <w:r>
        <w:rPr>
          <w:spacing w:val="-5"/>
        </w:rPr>
        <w:t>的</w:t>
      </w:r>
      <w:r>
        <w:rPr>
          <w:spacing w:val="-3"/>
        </w:rPr>
        <w:t>工作</w:t>
      </w:r>
      <w:r>
        <w:rPr>
          <w:spacing w:val="-5"/>
        </w:rPr>
        <w:t>职</w:t>
      </w:r>
      <w:r>
        <w:rPr>
          <w:spacing w:val="-3"/>
        </w:rPr>
        <w:t>责。</w:t>
      </w:r>
      <w:r>
        <w:rPr/>
        <w:t> </w:t>
        <w:tab/>
      </w:r>
      <w:hyperlink r:id="rId481">
        <w:r>
          <w:rPr>
            <w:color w:val="DDD9C3"/>
            <w:spacing w:val="-8"/>
            <w:w w:val="100"/>
            <w:u w:val="single" w:color="DDD9C3"/>
          </w:rPr>
          <w:t> </w:t>
        </w:r>
      </w:hyperlink>
      <w:r>
        <w:rPr>
          <w:w w:val="100"/>
        </w:rPr>
        <w:t> </w:t>
      </w:r>
    </w:p>
    <w:p>
      <w:pPr>
        <w:pStyle w:val="BodyText"/>
        <w:spacing w:before="1"/>
        <w:rPr>
          <w:sz w:val="16"/>
        </w:rPr>
      </w:pPr>
    </w:p>
    <w:p>
      <w:pPr>
        <w:pStyle w:val="ListParagraph"/>
        <w:numPr>
          <w:ilvl w:val="2"/>
          <w:numId w:val="855"/>
        </w:numPr>
        <w:tabs>
          <w:tab w:pos="1370" w:val="left" w:leader="none"/>
        </w:tabs>
        <w:spacing w:line="448" w:lineRule="auto" w:before="72" w:after="0"/>
        <w:ind w:left="418" w:right="1702" w:firstLine="422"/>
        <w:jc w:val="left"/>
        <w:rPr>
          <w:sz w:val="21"/>
        </w:rPr>
      </w:pPr>
      <w:r>
        <w:rPr>
          <w:spacing w:val="-8"/>
          <w:sz w:val="21"/>
        </w:rPr>
        <w:t>使用单位应配备经过消防专业培训并考试合格的专门人员负责防火卷帘、防火门、</w:t>
      </w:r>
      <w:r>
        <w:rPr>
          <w:spacing w:val="-7"/>
          <w:sz w:val="21"/>
        </w:rPr>
        <w:t>防 火窗的定期检查和维护管理工作。</w:t>
      </w:r>
      <w:r>
        <w:rPr>
          <w:spacing w:val="-55"/>
          <w:sz w:val="21"/>
        </w:rPr>
        <w:t> </w:t>
      </w:r>
      <w:hyperlink r:id="rId482">
        <w:r>
          <w:rPr>
            <w:emboss/>
            <w:color w:val="DDD9C3"/>
            <w:w w:val="100"/>
            <w:sz w:val="21"/>
            <w:u w:val="single" w:color="DDD9C3"/>
          </w:rPr>
          <w:t> </w:t>
        </w:r>
      </w:hyperlink>
      <w:r>
        <w:rPr>
          <w:shadow w:val="0"/>
          <w:w w:val="100"/>
          <w:sz w:val="21"/>
        </w:rPr>
        <w:t> </w:t>
      </w:r>
    </w:p>
    <w:p>
      <w:pPr>
        <w:pStyle w:val="ListParagraph"/>
        <w:numPr>
          <w:ilvl w:val="2"/>
          <w:numId w:val="855"/>
        </w:numPr>
        <w:tabs>
          <w:tab w:pos="1371" w:val="left" w:leader="none"/>
        </w:tabs>
        <w:spacing w:line="240" w:lineRule="auto" w:before="29" w:after="0"/>
        <w:ind w:left="1370" w:right="0" w:hanging="531"/>
        <w:jc w:val="left"/>
        <w:rPr>
          <w:sz w:val="21"/>
        </w:rPr>
      </w:pPr>
      <w:r>
        <w:rPr>
          <w:spacing w:val="-24"/>
          <w:sz w:val="21"/>
        </w:rPr>
        <w:t>使用单位应建立防火卷帘、防火门、防火窗的维护管理档案，其中应包括本规范第</w:t>
      </w:r>
      <w:r>
        <w:rPr>
          <w:sz w:val="21"/>
        </w:rPr>
        <w:t> </w:t>
      </w:r>
    </w:p>
    <w:p>
      <w:pPr>
        <w:pStyle w:val="BodyText"/>
        <w:spacing w:before="1"/>
        <w:rPr>
          <w:sz w:val="18"/>
        </w:rPr>
      </w:pPr>
    </w:p>
    <w:p>
      <w:pPr>
        <w:pStyle w:val="BodyText"/>
        <w:spacing w:before="1"/>
        <w:ind w:left="418"/>
      </w:pPr>
      <w:r>
        <w:rPr/>
        <w:t>8.0.1 条规定的文件资料，并应有电子备份档案。 </w:t>
      </w:r>
      <w:hyperlink r:id="rId483">
        <w:r>
          <w:rPr>
            <w:emboss/>
            <w:color w:val="DDD9C3"/>
            <w:w w:val="100"/>
            <w:u w:val="single" w:color="DDD9C3"/>
          </w:rPr>
          <w:t> </w:t>
        </w:r>
      </w:hyperlink>
      <w:r>
        <w:rPr>
          <w:shadow w:val="0"/>
          <w:w w:val="100"/>
        </w:rPr>
        <w:t> </w:t>
      </w:r>
    </w:p>
    <w:p>
      <w:pPr>
        <w:pStyle w:val="BodyText"/>
        <w:spacing w:before="1"/>
        <w:rPr>
          <w:sz w:val="16"/>
        </w:rPr>
      </w:pPr>
    </w:p>
    <w:p>
      <w:pPr>
        <w:pStyle w:val="ListParagraph"/>
        <w:numPr>
          <w:ilvl w:val="2"/>
          <w:numId w:val="856"/>
        </w:numPr>
        <w:tabs>
          <w:tab w:pos="1371" w:val="left" w:leader="none"/>
        </w:tabs>
        <w:spacing w:line="446" w:lineRule="auto" w:before="72" w:after="0"/>
        <w:ind w:left="418" w:right="1628" w:firstLine="422"/>
        <w:jc w:val="left"/>
        <w:rPr>
          <w:sz w:val="21"/>
        </w:rPr>
      </w:pPr>
      <w:r>
        <w:rPr>
          <w:spacing w:val="-10"/>
          <w:sz w:val="21"/>
        </w:rPr>
        <w:t>防火卷帘、防火门、防火窗及其控制设备应定期检查、维护，并应按本规范附录</w:t>
      </w:r>
      <w:r>
        <w:rPr>
          <w:sz w:val="21"/>
        </w:rPr>
        <w:t>E</w:t>
      </w:r>
      <w:r>
        <w:rPr>
          <w:spacing w:val="18"/>
          <w:sz w:val="21"/>
        </w:rPr>
        <w:t> 表E</w:t>
      </w:r>
      <w:r>
        <w:rPr>
          <w:spacing w:val="-7"/>
          <w:sz w:val="21"/>
        </w:rPr>
        <w:t> 填写设备检查、使用和管理记录。</w:t>
      </w:r>
      <w:r>
        <w:rPr>
          <w:sz w:val="21"/>
        </w:rPr>
        <w:t> </w:t>
      </w:r>
      <w:r>
        <w:rPr>
          <w:spacing w:val="-12"/>
          <w:sz w:val="21"/>
        </w:rPr>
        <w:t> </w:t>
      </w:r>
      <w:hyperlink r:id="rId484">
        <w:r>
          <w:rPr>
            <w:color w:val="DDD9C3"/>
            <w:spacing w:val="-8"/>
            <w:w w:val="100"/>
            <w:sz w:val="21"/>
            <w:u w:val="single" w:color="DDD9C3"/>
          </w:rPr>
          <w:t> </w:t>
        </w:r>
      </w:hyperlink>
      <w:r>
        <w:rPr>
          <w:w w:val="100"/>
          <w:sz w:val="21"/>
        </w:rPr>
        <w:t> </w:t>
      </w:r>
    </w:p>
    <w:p>
      <w:pPr>
        <w:pStyle w:val="ListParagraph"/>
        <w:numPr>
          <w:ilvl w:val="2"/>
          <w:numId w:val="856"/>
        </w:numPr>
        <w:tabs>
          <w:tab w:pos="1371" w:val="left" w:leader="none"/>
        </w:tabs>
        <w:spacing w:line="448" w:lineRule="auto" w:before="48" w:after="0"/>
        <w:ind w:left="418" w:right="1810" w:firstLine="422"/>
        <w:jc w:val="left"/>
        <w:rPr>
          <w:sz w:val="21"/>
        </w:rPr>
      </w:pPr>
      <w:r>
        <w:rPr>
          <w:spacing w:val="-8"/>
          <w:sz w:val="21"/>
        </w:rPr>
        <w:t>每日应对防火卷帘下部、常开式防火门门口处、活动式防火窗窗口处进行一次检查</w:t>
      </w:r>
      <w:r>
        <w:rPr>
          <w:spacing w:val="-7"/>
          <w:sz w:val="21"/>
        </w:rPr>
        <w:t>， 并应清除妨碍设备启闭的物品。</w:t>
      </w:r>
      <w:r>
        <w:rPr>
          <w:sz w:val="21"/>
        </w:rPr>
        <w:t> </w:t>
      </w:r>
    </w:p>
    <w:p>
      <w:pPr>
        <w:pStyle w:val="ListParagraph"/>
        <w:numPr>
          <w:ilvl w:val="2"/>
          <w:numId w:val="856"/>
        </w:numPr>
        <w:tabs>
          <w:tab w:pos="1371" w:val="left" w:leader="none"/>
        </w:tabs>
        <w:spacing w:line="240" w:lineRule="auto" w:before="23" w:after="0"/>
        <w:ind w:left="1370" w:right="0" w:hanging="531"/>
        <w:jc w:val="left"/>
        <w:rPr>
          <w:sz w:val="21"/>
        </w:rPr>
      </w:pPr>
      <w:r>
        <w:rPr>
          <w:spacing w:val="-8"/>
          <w:sz w:val="21"/>
        </w:rPr>
        <w:t>每季度应对防火卷帘、防火门和活动式防火窗的下列功能进行一次检查：</w:t>
      </w:r>
      <w:r>
        <w:rPr>
          <w:sz w:val="21"/>
        </w:rPr>
        <w:t> </w:t>
      </w:r>
    </w:p>
    <w:p>
      <w:pPr>
        <w:spacing w:after="0" w:line="240" w:lineRule="auto"/>
        <w:jc w:val="left"/>
        <w:rPr>
          <w:sz w:val="21"/>
        </w:rPr>
        <w:sectPr>
          <w:pgSz w:w="11910" w:h="16850"/>
          <w:pgMar w:header="0" w:footer="1239" w:top="1220" w:bottom="1420" w:left="1260" w:right="0"/>
        </w:sectPr>
      </w:pPr>
    </w:p>
    <w:p>
      <w:pPr>
        <w:pStyle w:val="BodyText"/>
        <w:spacing w:line="448" w:lineRule="auto" w:before="45"/>
        <w:ind w:left="418" w:right="1690" w:firstLine="419"/>
      </w:pPr>
      <w:r>
        <w:rPr>
          <w:spacing w:val="-8"/>
        </w:rPr>
        <w:t>手动启动防火卷帘内外两侧控制器或按钮盒上的控制按钮</w:t>
      </w:r>
      <w:r>
        <w:rPr>
          <w:spacing w:val="-23"/>
        </w:rPr>
        <w:t>，检查防火卷帘上升</w:t>
      </w:r>
      <w:r>
        <w:rPr>
          <w:spacing w:val="-20"/>
        </w:rPr>
        <w:t>、下降、 停止</w:t>
      </w:r>
      <w:r>
        <w:rPr>
          <w:spacing w:val="-4"/>
        </w:rPr>
        <w:t>功能。</w:t>
      </w:r>
      <w:r>
        <w:rPr/>
        <w:t> </w:t>
      </w:r>
    </w:p>
    <w:p>
      <w:pPr>
        <w:pStyle w:val="BodyText"/>
        <w:spacing w:before="28"/>
        <w:ind w:left="838"/>
      </w:pPr>
      <w:r>
        <w:rPr/>
        <w:t>手动操作防火卷帘手动速放装置，检查防火卷帘依靠自重恒速下降功能。 </w:t>
      </w:r>
    </w:p>
    <w:p>
      <w:pPr>
        <w:pStyle w:val="BodyText"/>
        <w:spacing w:before="12"/>
      </w:pPr>
    </w:p>
    <w:p>
      <w:pPr>
        <w:pStyle w:val="BodyText"/>
        <w:ind w:left="838"/>
      </w:pPr>
      <w:r>
        <w:rPr/>
        <w:t>手动操作防火卷帘的手动拉链，检查防火卷帘升、降功能，且无滑行撞击现象。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pPr>
    </w:p>
    <w:p>
      <w:pPr>
        <w:pStyle w:val="BodyText"/>
        <w:spacing w:before="71"/>
        <w:ind w:left="3298"/>
      </w:pPr>
      <w:r>
        <w:rPr>
          <w:w w:val="100"/>
        </w:rPr>
        <w:t> </w:t>
      </w:r>
    </w:p>
    <w:p>
      <w:pPr>
        <w:spacing w:after="0"/>
        <w:sectPr>
          <w:pgSz w:w="11910" w:h="16850"/>
          <w:pgMar w:header="0" w:footer="1239" w:top="1220" w:bottom="1420" w:left="1260" w:right="0"/>
        </w:sectPr>
      </w:pPr>
    </w:p>
    <w:p>
      <w:pPr>
        <w:pStyle w:val="Heading4"/>
        <w:spacing w:before="55"/>
        <w:ind w:left="2974"/>
      </w:pPr>
      <w:r>
        <w:rPr/>
        <w:t>附录 A 施工现场质量管理检查记录</w:t>
      </w:r>
      <w:r>
        <w:rPr>
          <w:w w:val="99"/>
        </w:rPr>
        <w:t> </w:t>
      </w:r>
    </w:p>
    <w:p>
      <w:pPr>
        <w:pStyle w:val="BodyText"/>
        <w:rPr>
          <w:b/>
          <w:sz w:val="24"/>
        </w:rPr>
      </w:pPr>
    </w:p>
    <w:p>
      <w:pPr>
        <w:pStyle w:val="BodyText"/>
        <w:spacing w:before="176"/>
        <w:ind w:left="838"/>
      </w:pPr>
      <w:r>
        <w:rPr/>
        <w:t>A.0.1 施工现场质量管理检查记录应由施工单位质量检查员接 </w:t>
      </w:r>
    </w:p>
    <w:p>
      <w:pPr>
        <w:pStyle w:val="BodyText"/>
        <w:spacing w:before="5"/>
        <w:rPr>
          <w:sz w:val="20"/>
        </w:rPr>
      </w:pPr>
    </w:p>
    <w:p>
      <w:pPr>
        <w:pStyle w:val="BodyText"/>
        <w:ind w:left="838"/>
      </w:pPr>
      <w:r>
        <w:rPr/>
        <w:t>表 A.0.1 填写，应由监理工程师进行检查，并应作出检查结论。 </w:t>
      </w:r>
    </w:p>
    <w:p>
      <w:pPr>
        <w:pStyle w:val="BodyText"/>
        <w:spacing w:before="2"/>
        <w:rPr>
          <w:sz w:val="18"/>
        </w:rPr>
      </w:pPr>
    </w:p>
    <w:p>
      <w:pPr>
        <w:pStyle w:val="Heading6"/>
        <w:ind w:right="490"/>
        <w:jc w:val="center"/>
        <w:rPr>
          <w:b w:val="0"/>
        </w:rPr>
      </w:pPr>
      <w:r>
        <w:rPr/>
        <w:drawing>
          <wp:anchor distT="0" distB="0" distL="0" distR="0" allowOverlap="1" layoutInCell="1" locked="0" behindDoc="0" simplePos="0" relativeHeight="282">
            <wp:simplePos x="0" y="0"/>
            <wp:positionH relativeFrom="page">
              <wp:posOffset>1684273</wp:posOffset>
            </wp:positionH>
            <wp:positionV relativeFrom="paragraph">
              <wp:posOffset>196088</wp:posOffset>
            </wp:positionV>
            <wp:extent cx="4498588" cy="5774150"/>
            <wp:effectExtent l="0" t="0" r="0" b="0"/>
            <wp:wrapTopAndBottom/>
            <wp:docPr id="659" name="image380.jpeg"/>
            <wp:cNvGraphicFramePr>
              <a:graphicFrameLocks noChangeAspect="1"/>
            </wp:cNvGraphicFramePr>
            <a:graphic>
              <a:graphicData uri="http://schemas.openxmlformats.org/drawingml/2006/picture">
                <pic:pic>
                  <pic:nvPicPr>
                    <pic:cNvPr id="660" name="image380.jpeg"/>
                    <pic:cNvPicPr/>
                  </pic:nvPicPr>
                  <pic:blipFill>
                    <a:blip r:embed="rId485" cstate="print"/>
                    <a:stretch>
                      <a:fillRect/>
                    </a:stretch>
                  </pic:blipFill>
                  <pic:spPr>
                    <a:xfrm>
                      <a:off x="0" y="0"/>
                      <a:ext cx="4498588" cy="5774150"/>
                    </a:xfrm>
                    <a:prstGeom prst="rect">
                      <a:avLst/>
                    </a:prstGeom>
                  </pic:spPr>
                </pic:pic>
              </a:graphicData>
            </a:graphic>
          </wp:anchor>
        </w:drawing>
      </w:r>
      <w:r>
        <w:rPr/>
        <w:t>表 A.0.1 施工现场质量管理检查记录</w:t>
      </w:r>
      <w:r>
        <w:rPr>
          <w:b w:val="0"/>
          <w:w w:val="100"/>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38"/>
        <w:ind w:left="0" w:right="418" w:firstLine="0"/>
        <w:jc w:val="center"/>
        <w:rPr>
          <w:b/>
          <w:sz w:val="24"/>
        </w:rPr>
      </w:pPr>
      <w:r>
        <w:rPr>
          <w:b/>
          <w:w w:val="99"/>
          <w:sz w:val="24"/>
        </w:rPr>
        <w:t> </w:t>
      </w:r>
    </w:p>
    <w:p>
      <w:pPr>
        <w:spacing w:after="0"/>
        <w:jc w:val="center"/>
        <w:rPr>
          <w:sz w:val="24"/>
        </w:rPr>
        <w:sectPr>
          <w:pgSz w:w="11910" w:h="16850"/>
          <w:pgMar w:header="0" w:footer="1239" w:top="1180" w:bottom="1420" w:left="1260" w:right="0"/>
        </w:sectPr>
      </w:pPr>
    </w:p>
    <w:p>
      <w:pPr>
        <w:spacing w:before="55"/>
        <w:ind w:left="2491" w:right="0" w:firstLine="0"/>
        <w:jc w:val="left"/>
        <w:rPr>
          <w:b/>
          <w:sz w:val="24"/>
        </w:rPr>
      </w:pPr>
      <w:r>
        <w:rPr>
          <w:b/>
          <w:sz w:val="24"/>
        </w:rPr>
        <w:t>附录 B 防火卷帘、防火门、防火窗工程划分</w:t>
      </w:r>
      <w:r>
        <w:rPr>
          <w:b/>
          <w:w w:val="99"/>
          <w:sz w:val="24"/>
        </w:rPr>
        <w:t> </w:t>
      </w:r>
    </w:p>
    <w:p>
      <w:pPr>
        <w:pStyle w:val="BodyText"/>
        <w:rPr>
          <w:b/>
          <w:sz w:val="24"/>
        </w:rPr>
      </w:pPr>
    </w:p>
    <w:p>
      <w:pPr>
        <w:spacing w:before="176"/>
        <w:ind w:left="0" w:right="492" w:firstLine="0"/>
        <w:jc w:val="center"/>
        <w:rPr>
          <w:b/>
          <w:sz w:val="21"/>
        </w:rPr>
      </w:pPr>
      <w:r>
        <w:rPr/>
        <w:drawing>
          <wp:anchor distT="0" distB="0" distL="0" distR="0" allowOverlap="1" layoutInCell="1" locked="0" behindDoc="0" simplePos="0" relativeHeight="283">
            <wp:simplePos x="0" y="0"/>
            <wp:positionH relativeFrom="page">
              <wp:posOffset>1674748</wp:posOffset>
            </wp:positionH>
            <wp:positionV relativeFrom="paragraph">
              <wp:posOffset>308863</wp:posOffset>
            </wp:positionV>
            <wp:extent cx="4639119" cy="5688711"/>
            <wp:effectExtent l="0" t="0" r="0" b="0"/>
            <wp:wrapTopAndBottom/>
            <wp:docPr id="661" name="image381.jpeg"/>
            <wp:cNvGraphicFramePr>
              <a:graphicFrameLocks noChangeAspect="1"/>
            </wp:cNvGraphicFramePr>
            <a:graphic>
              <a:graphicData uri="http://schemas.openxmlformats.org/drawingml/2006/picture">
                <pic:pic>
                  <pic:nvPicPr>
                    <pic:cNvPr id="662" name="image381.jpeg"/>
                    <pic:cNvPicPr/>
                  </pic:nvPicPr>
                  <pic:blipFill>
                    <a:blip r:embed="rId486" cstate="print"/>
                    <a:stretch>
                      <a:fillRect/>
                    </a:stretch>
                  </pic:blipFill>
                  <pic:spPr>
                    <a:xfrm>
                      <a:off x="0" y="0"/>
                      <a:ext cx="4639119" cy="5688711"/>
                    </a:xfrm>
                    <a:prstGeom prst="rect">
                      <a:avLst/>
                    </a:prstGeom>
                  </pic:spPr>
                </pic:pic>
              </a:graphicData>
            </a:graphic>
          </wp:anchor>
        </w:drawing>
      </w:r>
      <w:r>
        <w:rPr>
          <w:b/>
          <w:sz w:val="21"/>
        </w:rPr>
        <w:t>表 B 防火卷帘、防火门、防火窗分部工程、子分部工程、分项工程划分</w:t>
      </w:r>
      <w:r>
        <w:rPr>
          <w:b/>
          <w:w w:val="99"/>
          <w:sz w:val="21"/>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2"/>
        <w:rPr>
          <w:b/>
          <w:sz w:val="24"/>
        </w:rPr>
      </w:pPr>
    </w:p>
    <w:p>
      <w:pPr>
        <w:spacing w:before="0"/>
        <w:ind w:left="0" w:right="418" w:firstLine="0"/>
        <w:jc w:val="center"/>
        <w:rPr>
          <w:b/>
          <w:sz w:val="24"/>
        </w:rPr>
      </w:pPr>
      <w:r>
        <w:rPr>
          <w:b/>
          <w:w w:val="99"/>
          <w:sz w:val="24"/>
        </w:rPr>
        <w:t> </w:t>
      </w:r>
    </w:p>
    <w:p>
      <w:pPr>
        <w:spacing w:after="0"/>
        <w:jc w:val="center"/>
        <w:rPr>
          <w:sz w:val="24"/>
        </w:rPr>
        <w:sectPr>
          <w:pgSz w:w="11910" w:h="16850"/>
          <w:pgMar w:header="0" w:footer="1239" w:top="1180" w:bottom="1420" w:left="1260" w:right="0"/>
        </w:sectPr>
      </w:pPr>
    </w:p>
    <w:p>
      <w:pPr>
        <w:spacing w:before="55"/>
        <w:ind w:left="2009" w:right="0" w:firstLine="0"/>
        <w:jc w:val="left"/>
        <w:rPr>
          <w:b/>
          <w:sz w:val="24"/>
        </w:rPr>
      </w:pPr>
      <w:r>
        <w:rPr>
          <w:b/>
          <w:sz w:val="24"/>
        </w:rPr>
        <w:t>附录 C 防火卷帘、防火门、防火窗施工过程检查记录</w:t>
      </w:r>
      <w:r>
        <w:rPr>
          <w:b/>
          <w:w w:val="99"/>
          <w:sz w:val="24"/>
        </w:rPr>
        <w:t> </w:t>
      </w:r>
    </w:p>
    <w:p>
      <w:pPr>
        <w:pStyle w:val="BodyText"/>
        <w:rPr>
          <w:b/>
          <w:sz w:val="24"/>
        </w:rPr>
      </w:pPr>
    </w:p>
    <w:p>
      <w:pPr>
        <w:pStyle w:val="BodyText"/>
        <w:spacing w:line="446" w:lineRule="auto" w:before="176"/>
        <w:ind w:left="418" w:right="1450" w:firstLine="419"/>
      </w:pPr>
      <w:r>
        <w:rPr/>
        <w:t>C.0.1</w:t>
      </w:r>
      <w:r>
        <w:rPr>
          <w:spacing w:val="-5"/>
        </w:rPr>
        <w:t> 施工过程检查记录应由施工单位质量检查员按表 </w:t>
      </w:r>
      <w:r>
        <w:rPr/>
        <w:t>C.0.1-1～</w:t>
      </w:r>
      <w:r>
        <w:rPr>
          <w:spacing w:val="-24"/>
        </w:rPr>
        <w:t>表 </w:t>
      </w:r>
      <w:r>
        <w:rPr/>
        <w:t>C.0.1-4</w:t>
      </w:r>
      <w:r>
        <w:rPr>
          <w:spacing w:val="-9"/>
        </w:rPr>
        <w:t> 填写，应由监</w:t>
      </w:r>
      <w:r>
        <w:rPr>
          <w:spacing w:val="-5"/>
        </w:rPr>
        <w:t>理工程师进行检查，并应作出检查结论。</w:t>
      </w:r>
      <w:r>
        <w:rPr/>
        <w:t> </w:t>
      </w:r>
    </w:p>
    <w:p>
      <w:pPr>
        <w:pStyle w:val="Heading6"/>
        <w:ind w:left="2201"/>
      </w:pPr>
      <w:r>
        <w:rPr/>
        <w:t>表 C.0.1-1 防火卷帘、防火门、防火窗主配件进场检验记录</w:t>
      </w:r>
      <w:r>
        <w:rPr>
          <w:w w:val="99"/>
        </w:rPr>
        <w:t> </w:t>
      </w:r>
    </w:p>
    <w:p>
      <w:pPr>
        <w:pStyle w:val="BodyText"/>
        <w:rPr>
          <w:b/>
          <w:sz w:val="20"/>
        </w:rPr>
      </w:pPr>
    </w:p>
    <w:p>
      <w:pPr>
        <w:pStyle w:val="BodyText"/>
        <w:spacing w:before="2"/>
        <w:rPr>
          <w:b/>
          <w:sz w:val="19"/>
        </w:rPr>
      </w:pPr>
      <w:r>
        <w:rPr/>
        <w:pict>
          <v:group style="position:absolute;margin-left:140.11795pt;margin-top:14.22875pt;width:340.55pt;height:416.85pt;mso-position-horizontal-relative:page;mso-position-vertical-relative:paragraph;z-index:-251366400;mso-wrap-distance-left:0;mso-wrap-distance-right:0" coordorigin="2802,285" coordsize="6811,8337">
            <v:shape style="position:absolute;left:2937;top:284;width:6675;height:6688" type="#_x0000_t75" stroked="false">
              <v:imagedata r:id="rId487" o:title=""/>
            </v:shape>
            <v:shape style="position:absolute;left:2802;top:7003;width:6538;height:1575" type="#_x0000_t75" stroked="false">
              <v:imagedata r:id="rId488" o:title=""/>
            </v:shape>
            <v:shape style="position:absolute;left:9357;top:8440;width:110;height:180" type="#_x0000_t202" filled="false" stroked="false">
              <v:textbox inset="0,0,0,0">
                <w:txbxContent>
                  <w:p>
                    <w:pPr>
                      <w:spacing w:line="180" w:lineRule="exact" w:before="0"/>
                      <w:ind w:left="0" w:right="0" w:firstLine="0"/>
                      <w:jc w:val="left"/>
                      <w:rPr>
                        <w:sz w:val="18"/>
                      </w:rPr>
                    </w:pPr>
                    <w:r>
                      <w:rPr>
                        <w:sz w:val="18"/>
                      </w:rPr>
                      <w:t> </w:t>
                    </w:r>
                  </w:p>
                </w:txbxContent>
              </v:textbox>
              <w10:wrap type="none"/>
            </v:shape>
            <w10:wrap type="topAndBottom"/>
          </v:group>
        </w:pict>
      </w:r>
    </w:p>
    <w:p>
      <w:pPr>
        <w:pStyle w:val="BodyText"/>
        <w:spacing w:before="4"/>
        <w:rPr>
          <w:b/>
          <w:sz w:val="7"/>
        </w:rPr>
      </w:pPr>
    </w:p>
    <w:p>
      <w:pPr>
        <w:pStyle w:val="BodyText"/>
        <w:spacing w:before="71"/>
        <w:ind w:left="838"/>
      </w:pPr>
      <w:r>
        <w:rPr>
          <w:w w:val="100"/>
        </w:rPr>
        <w:t> </w:t>
      </w:r>
      <w:r>
        <w:rPr/>
        <w:t> </w:t>
      </w:r>
      <w:r>
        <w:rPr>
          <w:w w:val="100"/>
        </w:rPr>
        <w:t> </w:t>
      </w:r>
      <w:r>
        <w:rPr/>
        <w:t> </w:t>
      </w:r>
      <w:r>
        <w:rPr>
          <w:w w:val="100"/>
        </w:rPr>
        <w:t> </w:t>
      </w:r>
      <w:r>
        <w:rPr/>
        <w:t> </w:t>
      </w:r>
      <w:r>
        <w:rPr>
          <w:w w:val="100"/>
        </w:rPr>
        <w:t> </w:t>
      </w:r>
      <w:r>
        <w:rPr/>
        <w:t>注：施工过程用到其他表格时，应作为附件一并归档。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pStyle w:val="BodyText"/>
        <w:spacing w:before="72"/>
        <w:ind w:left="838"/>
      </w:pPr>
      <w:r>
        <w:rPr>
          <w:w w:val="100"/>
        </w:rPr>
        <w:t> </w:t>
      </w:r>
    </w:p>
    <w:p>
      <w:pPr>
        <w:spacing w:after="0"/>
        <w:sectPr>
          <w:pgSz w:w="11910" w:h="16850"/>
          <w:pgMar w:header="0" w:footer="1239" w:top="1180" w:bottom="1420" w:left="1260" w:right="0"/>
        </w:sectPr>
      </w:pPr>
    </w:p>
    <w:p>
      <w:pPr>
        <w:pStyle w:val="Heading6"/>
        <w:spacing w:before="47"/>
        <w:ind w:right="492"/>
        <w:jc w:val="center"/>
      </w:pPr>
      <w:r>
        <w:rPr/>
        <w:t>表 C.0.1-2 防火卷帘、防火门、防火窗安装过程检查记录</w:t>
      </w:r>
      <w:r>
        <w:rPr>
          <w:w w:val="99"/>
        </w:rPr>
        <w:t> </w:t>
      </w:r>
    </w:p>
    <w:p>
      <w:pPr>
        <w:pStyle w:val="BodyText"/>
        <w:spacing w:before="40"/>
        <w:ind w:right="492"/>
        <w:jc w:val="center"/>
      </w:pPr>
      <w:r>
        <w:rPr>
          <w:w w:val="100"/>
        </w:rPr>
        <w:t> </w:t>
      </w:r>
      <w:r>
        <w:rPr>
          <w:spacing w:val="-1"/>
        </w:rPr>
        <w:t> </w:t>
      </w:r>
      <w:r>
        <w:rPr>
          <w:spacing w:val="-1"/>
        </w:rPr>
        <w:drawing>
          <wp:inline distT="0" distB="0" distL="0" distR="0">
            <wp:extent cx="4238625" cy="4914900"/>
            <wp:effectExtent l="0" t="0" r="0" b="0"/>
            <wp:docPr id="663" name="image384.jpeg"/>
            <wp:cNvGraphicFramePr>
              <a:graphicFrameLocks noChangeAspect="1"/>
            </wp:cNvGraphicFramePr>
            <a:graphic>
              <a:graphicData uri="http://schemas.openxmlformats.org/drawingml/2006/picture">
                <pic:pic>
                  <pic:nvPicPr>
                    <pic:cNvPr id="664" name="image384.jpeg"/>
                    <pic:cNvPicPr/>
                  </pic:nvPicPr>
                  <pic:blipFill>
                    <a:blip r:embed="rId489" cstate="print"/>
                    <a:stretch>
                      <a:fillRect/>
                    </a:stretch>
                  </pic:blipFill>
                  <pic:spPr>
                    <a:xfrm>
                      <a:off x="0" y="0"/>
                      <a:ext cx="4238625" cy="4914900"/>
                    </a:xfrm>
                    <a:prstGeom prst="rect">
                      <a:avLst/>
                    </a:prstGeom>
                  </pic:spPr>
                </pic:pic>
              </a:graphicData>
            </a:graphic>
          </wp:inline>
        </w:drawing>
      </w:r>
      <w:r>
        <w:rPr>
          <w:spacing w:val="-1"/>
        </w:rPr>
      </w:r>
      <w:r>
        <w:rPr>
          <w:w w:val="100"/>
        </w:rPr>
        <w:t> </w:t>
      </w:r>
    </w:p>
    <w:p>
      <w:pPr>
        <w:pStyle w:val="BodyText"/>
        <w:spacing w:before="105"/>
        <w:ind w:right="495"/>
        <w:jc w:val="center"/>
      </w:pPr>
      <w:r>
        <w:rPr>
          <w:w w:val="100"/>
        </w:rPr>
        <w:t> </w:t>
      </w:r>
    </w:p>
    <w:p>
      <w:pPr>
        <w:pStyle w:val="BodyText"/>
        <w:spacing w:before="108"/>
        <w:ind w:right="495"/>
        <w:jc w:val="center"/>
      </w:pPr>
      <w:r>
        <w:rPr>
          <w:w w:val="100"/>
        </w:rPr>
        <w:t> </w:t>
      </w:r>
    </w:p>
    <w:p>
      <w:pPr>
        <w:pStyle w:val="BodyText"/>
        <w:spacing w:before="105"/>
        <w:ind w:right="495"/>
        <w:jc w:val="center"/>
      </w:pPr>
      <w:r>
        <w:rPr>
          <w:w w:val="100"/>
        </w:rPr>
        <w:t> </w:t>
      </w:r>
    </w:p>
    <w:p>
      <w:pPr>
        <w:pStyle w:val="BodyText"/>
        <w:spacing w:before="106"/>
        <w:ind w:right="495"/>
        <w:jc w:val="center"/>
      </w:pPr>
      <w:r>
        <w:rPr>
          <w:w w:val="100"/>
        </w:rPr>
        <w:t> </w:t>
      </w:r>
    </w:p>
    <w:p>
      <w:pPr>
        <w:pStyle w:val="BodyText"/>
        <w:spacing w:before="106"/>
        <w:ind w:right="495"/>
        <w:jc w:val="center"/>
      </w:pPr>
      <w:r>
        <w:rPr>
          <w:w w:val="100"/>
        </w:rPr>
        <w:t> </w:t>
      </w:r>
    </w:p>
    <w:p>
      <w:pPr>
        <w:pStyle w:val="BodyText"/>
        <w:spacing w:before="107"/>
        <w:ind w:right="495"/>
        <w:jc w:val="center"/>
      </w:pPr>
      <w:r>
        <w:rPr>
          <w:w w:val="100"/>
        </w:rPr>
        <w:t> </w:t>
      </w:r>
    </w:p>
    <w:p>
      <w:pPr>
        <w:pStyle w:val="BodyText"/>
        <w:spacing w:before="106"/>
        <w:ind w:right="495"/>
        <w:jc w:val="center"/>
      </w:pPr>
      <w:r>
        <w:rPr>
          <w:w w:val="100"/>
        </w:rPr>
        <w:t> </w:t>
      </w:r>
    </w:p>
    <w:p>
      <w:pPr>
        <w:pStyle w:val="BodyText"/>
        <w:spacing w:before="105"/>
        <w:ind w:right="495"/>
        <w:jc w:val="center"/>
      </w:pPr>
      <w:r>
        <w:rPr>
          <w:w w:val="100"/>
        </w:rPr>
        <w:t> </w:t>
      </w:r>
    </w:p>
    <w:p>
      <w:pPr>
        <w:pStyle w:val="BodyText"/>
        <w:spacing w:before="105"/>
        <w:ind w:right="495"/>
        <w:jc w:val="center"/>
      </w:pPr>
      <w:r>
        <w:rPr>
          <w:w w:val="100"/>
        </w:rPr>
        <w:t> </w:t>
      </w:r>
    </w:p>
    <w:p>
      <w:pPr>
        <w:pStyle w:val="BodyText"/>
        <w:spacing w:before="108"/>
        <w:ind w:right="495"/>
        <w:jc w:val="center"/>
      </w:pPr>
      <w:r>
        <w:rPr>
          <w:w w:val="100"/>
        </w:rPr>
        <w:t> </w:t>
      </w:r>
    </w:p>
    <w:p>
      <w:pPr>
        <w:pStyle w:val="BodyText"/>
        <w:spacing w:before="105"/>
        <w:ind w:right="495"/>
        <w:jc w:val="center"/>
      </w:pPr>
      <w:r>
        <w:rPr>
          <w:w w:val="100"/>
        </w:rPr>
        <w:t> </w:t>
      </w:r>
    </w:p>
    <w:p>
      <w:pPr>
        <w:pStyle w:val="BodyText"/>
        <w:spacing w:before="106"/>
        <w:ind w:right="495"/>
        <w:jc w:val="center"/>
      </w:pPr>
      <w:r>
        <w:rPr>
          <w:w w:val="100"/>
        </w:rPr>
        <w:t> </w:t>
      </w:r>
    </w:p>
    <w:p>
      <w:pPr>
        <w:pStyle w:val="BodyText"/>
        <w:spacing w:before="105"/>
        <w:ind w:right="495"/>
        <w:jc w:val="center"/>
      </w:pPr>
      <w:r>
        <w:rPr>
          <w:w w:val="100"/>
        </w:rPr>
        <w:t> </w:t>
      </w:r>
    </w:p>
    <w:p>
      <w:pPr>
        <w:pStyle w:val="BodyText"/>
        <w:spacing w:before="108"/>
        <w:ind w:right="495"/>
        <w:jc w:val="center"/>
      </w:pPr>
      <w:r>
        <w:rPr>
          <w:w w:val="100"/>
        </w:rPr>
        <w:t> </w:t>
      </w:r>
    </w:p>
    <w:p>
      <w:pPr>
        <w:pStyle w:val="BodyText"/>
        <w:spacing w:before="106"/>
        <w:ind w:right="495"/>
        <w:jc w:val="center"/>
      </w:pPr>
      <w:r>
        <w:rPr>
          <w:w w:val="100"/>
        </w:rPr>
        <w:t> </w:t>
      </w:r>
    </w:p>
    <w:p>
      <w:pPr>
        <w:spacing w:after="0"/>
        <w:jc w:val="center"/>
        <w:sectPr>
          <w:pgSz w:w="11910" w:h="16850"/>
          <w:pgMar w:header="0" w:footer="1239" w:top="1220" w:bottom="1420" w:left="1260" w:right="0"/>
        </w:sectPr>
      </w:pPr>
    </w:p>
    <w:p>
      <w:pPr>
        <w:pStyle w:val="BodyText"/>
        <w:rPr>
          <w:sz w:val="20"/>
        </w:rPr>
      </w:pPr>
      <w:r>
        <w:rPr/>
        <w:pict>
          <v:group style="position:absolute;margin-left:82.463997pt;margin-top:72.599976pt;width:442.4pt;height:618.85pt;mso-position-horizontal-relative:page;mso-position-vertical-relative:page;z-index:-287389696" coordorigin="1649,1452" coordsize="8848,12377">
            <v:shape style="position:absolute;left:1649;top:11445;width:8848;height:2384" coordorigin="1649,11445" coordsize="8848,2384" path="m10497,11445l1649,11445,1649,13454,1649,13828,10497,13828,10497,13454,10497,11445e" filled="true" fillcolor="#ffffff" stroked="false">
              <v:path arrowok="t"/>
              <v:fill type="solid"/>
            </v:shape>
            <v:shape style="position:absolute;left:2937;top:1452;width:6690;height:11985" type="#_x0000_t75" stroked="false">
              <v:imagedata r:id="rId491"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8"/>
        </w:rPr>
      </w:pPr>
    </w:p>
    <w:p>
      <w:pPr>
        <w:pStyle w:val="BodyText"/>
        <w:spacing w:before="72"/>
        <w:ind w:left="838"/>
      </w:pPr>
      <w:r>
        <w:rPr>
          <w:w w:val="100"/>
        </w:rPr>
        <w:t> </w:t>
      </w:r>
      <w:r>
        <w:rPr/>
        <w:t> </w:t>
      </w:r>
      <w:r>
        <w:rPr>
          <w:w w:val="100"/>
        </w:rPr>
        <w:t> </w:t>
      </w:r>
      <w:r>
        <w:rPr/>
        <w:t> </w:t>
      </w:r>
      <w:r>
        <w:rPr>
          <w:w w:val="100"/>
        </w:rPr>
        <w:t> </w:t>
      </w:r>
      <w:r>
        <w:rPr/>
        <w:t> </w:t>
      </w:r>
      <w:r>
        <w:rPr>
          <w:w w:val="100"/>
        </w:rPr>
        <w:t> </w:t>
      </w:r>
      <w:r>
        <w:rPr/>
        <w:t>注：施工过程用到其他表格时，应作为附件一并归档。 </w:t>
      </w:r>
    </w:p>
    <w:p>
      <w:pPr>
        <w:spacing w:before="143"/>
        <w:ind w:left="778" w:right="0" w:firstLine="0"/>
        <w:jc w:val="left"/>
        <w:rPr>
          <w:sz w:val="18"/>
        </w:rPr>
      </w:pPr>
      <w:r>
        <w:rPr>
          <w:sz w:val="18"/>
        </w:rPr>
        <w:t> </w:t>
      </w:r>
    </w:p>
    <w:p>
      <w:pPr>
        <w:spacing w:after="0"/>
        <w:jc w:val="left"/>
        <w:rPr>
          <w:sz w:val="18"/>
        </w:rPr>
        <w:sectPr>
          <w:footerReference w:type="default" r:id="rId490"/>
          <w:pgSz w:w="11910" w:h="16850"/>
          <w:pgMar w:footer="2302" w:header="0" w:top="1460" w:bottom="2500" w:left="1260" w:right="0"/>
          <w:pgNumType w:start="1507"/>
        </w:sectPr>
      </w:pPr>
    </w:p>
    <w:p>
      <w:pPr>
        <w:pStyle w:val="Heading6"/>
        <w:spacing w:before="42"/>
        <w:ind w:right="492"/>
        <w:jc w:val="center"/>
      </w:pPr>
      <w:r>
        <w:rPr/>
        <w:t>表 C.0.1-3 防火卷帘、防火门、防火窗隐蔽工程质量验收记录</w:t>
      </w:r>
      <w:r>
        <w:rPr>
          <w:w w:val="99"/>
        </w:rPr>
        <w:t> </w:t>
      </w:r>
    </w:p>
    <w:p>
      <w:pPr>
        <w:spacing w:before="144" w:after="3"/>
        <w:ind w:left="0" w:right="490" w:firstLine="0"/>
        <w:jc w:val="center"/>
        <w:rPr>
          <w:b/>
          <w:sz w:val="21"/>
        </w:rPr>
      </w:pPr>
      <w:r>
        <w:rPr>
          <w:b/>
          <w:w w:val="99"/>
          <w:sz w:val="21"/>
        </w:rPr>
        <w:t> </w:t>
      </w:r>
    </w:p>
    <w:p>
      <w:pPr>
        <w:pStyle w:val="BodyText"/>
        <w:ind w:left="1572"/>
        <w:rPr>
          <w:sz w:val="20"/>
        </w:rPr>
      </w:pPr>
      <w:r>
        <w:rPr>
          <w:sz w:val="20"/>
        </w:rPr>
        <w:drawing>
          <wp:inline distT="0" distB="0" distL="0" distR="0">
            <wp:extent cx="4196815" cy="4573428"/>
            <wp:effectExtent l="0" t="0" r="0" b="0"/>
            <wp:docPr id="665" name="image386.jpeg"/>
            <wp:cNvGraphicFramePr>
              <a:graphicFrameLocks noChangeAspect="1"/>
            </wp:cNvGraphicFramePr>
            <a:graphic>
              <a:graphicData uri="http://schemas.openxmlformats.org/drawingml/2006/picture">
                <pic:pic>
                  <pic:nvPicPr>
                    <pic:cNvPr id="666" name="image386.jpeg"/>
                    <pic:cNvPicPr/>
                  </pic:nvPicPr>
                  <pic:blipFill>
                    <a:blip r:embed="rId492" cstate="print"/>
                    <a:stretch>
                      <a:fillRect/>
                    </a:stretch>
                  </pic:blipFill>
                  <pic:spPr>
                    <a:xfrm>
                      <a:off x="0" y="0"/>
                      <a:ext cx="4196815" cy="4573428"/>
                    </a:xfrm>
                    <a:prstGeom prst="rect">
                      <a:avLst/>
                    </a:prstGeom>
                  </pic:spPr>
                </pic:pic>
              </a:graphicData>
            </a:graphic>
          </wp:inline>
        </w:drawing>
      </w:r>
      <w:r>
        <w:rPr>
          <w:sz w:val="20"/>
        </w:rPr>
      </w:r>
    </w:p>
    <w:p>
      <w:pPr>
        <w:spacing w:after="0"/>
        <w:rPr>
          <w:sz w:val="20"/>
        </w:rPr>
        <w:sectPr>
          <w:pgSz w:w="11910" w:h="16850"/>
          <w:pgMar w:header="0" w:footer="2302" w:top="1600" w:bottom="2520" w:left="1260" w:right="0"/>
        </w:sectPr>
      </w:pPr>
    </w:p>
    <w:p>
      <w:pPr>
        <w:spacing w:before="42"/>
        <w:ind w:left="2306" w:right="0" w:firstLine="0"/>
        <w:jc w:val="left"/>
        <w:rPr>
          <w:b/>
          <w:sz w:val="21"/>
        </w:rPr>
      </w:pPr>
      <w:r>
        <w:rPr>
          <w:b/>
          <w:sz w:val="21"/>
        </w:rPr>
        <w:t>表 C.0.1-4 防火卷帘、防火门、防火窗调试过程检查记录</w:t>
      </w:r>
      <w:r>
        <w:rPr>
          <w:b/>
          <w:w w:val="99"/>
          <w:sz w:val="21"/>
        </w:rPr>
        <w:t> </w:t>
      </w:r>
    </w:p>
    <w:p>
      <w:pPr>
        <w:pStyle w:val="BodyText"/>
        <w:spacing w:before="5"/>
        <w:rPr>
          <w:b/>
          <w:sz w:val="29"/>
        </w:rPr>
      </w:pPr>
      <w:r>
        <w:rPr/>
        <w:pict>
          <v:group style="position:absolute;margin-left:82.463997pt;margin-top:20.806875pt;width:442.4pt;height:527.65pt;mso-position-horizontal-relative:page;mso-position-vertical-relative:paragraph;z-index:-251362304;mso-wrap-distance-left:0;mso-wrap-distance-right:0" coordorigin="1649,416" coordsize="8848,10553">
            <v:rect style="position:absolute;left:1649;top:10166;width:8848;height:802" filled="true" fillcolor="#ffffff" stroked="false">
              <v:fill type="solid"/>
            </v:rect>
            <v:shape style="position:absolute;left:2922;top:416;width:6720;height:9734" type="#_x0000_t75" stroked="false">
              <v:imagedata r:id="rId494" o:title=""/>
            </v:shape>
            <v:shape style="position:absolute;left:9642;top:10012;width:110;height:180" type="#_x0000_t202" filled="false" stroked="false">
              <v:textbox inset="0,0,0,0">
                <w:txbxContent>
                  <w:p>
                    <w:pPr>
                      <w:spacing w:line="180" w:lineRule="exact" w:before="0"/>
                      <w:ind w:left="0" w:right="0" w:firstLine="0"/>
                      <w:jc w:val="left"/>
                      <w:rPr>
                        <w:sz w:val="18"/>
                      </w:rPr>
                    </w:pPr>
                    <w:r>
                      <w:rPr>
                        <w:sz w:val="18"/>
                      </w:rPr>
                      <w:t> </w:t>
                    </w:r>
                  </w:p>
                </w:txbxContent>
              </v:textbox>
              <w10:wrap type="none"/>
            </v:shape>
            <v:shape style="position:absolute;left:6373;top:10661;width:140;height:240" type="#_x0000_t202" filled="false" stroked="false">
              <v:textbox inset="0,0,0,0">
                <w:txbxContent>
                  <w:p>
                    <w:pPr>
                      <w:spacing w:line="240" w:lineRule="exact" w:before="0"/>
                      <w:ind w:left="0" w:right="0" w:firstLine="0"/>
                      <w:jc w:val="left"/>
                      <w:rPr>
                        <w:b/>
                        <w:sz w:val="24"/>
                      </w:rPr>
                    </w:pPr>
                    <w:r>
                      <w:rPr>
                        <w:b/>
                        <w:w w:val="99"/>
                        <w:sz w:val="24"/>
                      </w:rPr>
                      <w:t> </w:t>
                    </w:r>
                  </w:p>
                </w:txbxContent>
              </v:textbox>
              <w10:wrap type="none"/>
            </v:shape>
            <w10:wrap type="topAndBottom"/>
          </v:group>
        </w:pict>
      </w:r>
    </w:p>
    <w:p>
      <w:pPr>
        <w:pStyle w:val="BodyText"/>
        <w:spacing w:before="9"/>
        <w:rPr>
          <w:b/>
          <w:sz w:val="16"/>
        </w:rPr>
      </w:pPr>
    </w:p>
    <w:p>
      <w:pPr>
        <w:spacing w:before="66"/>
        <w:ind w:left="0" w:right="2830" w:firstLine="0"/>
        <w:jc w:val="right"/>
        <w:rPr>
          <w:b/>
          <w:sz w:val="24"/>
        </w:rPr>
      </w:pPr>
      <w:r>
        <w:rPr>
          <w:b/>
          <w:w w:val="99"/>
          <w:sz w:val="24"/>
        </w:rPr>
        <w:t> </w:t>
      </w:r>
    </w:p>
    <w:p>
      <w:pPr>
        <w:spacing w:after="0"/>
        <w:jc w:val="right"/>
        <w:rPr>
          <w:sz w:val="24"/>
        </w:rPr>
        <w:sectPr>
          <w:footerReference w:type="default" r:id="rId493"/>
          <w:pgSz w:w="11910" w:h="16850"/>
          <w:pgMar w:footer="1239" w:header="0" w:top="1600" w:bottom="1420" w:left="1260" w:right="0"/>
        </w:sectPr>
      </w:pPr>
    </w:p>
    <w:p>
      <w:pPr>
        <w:spacing w:before="37"/>
        <w:ind w:left="2251" w:right="0" w:firstLine="0"/>
        <w:jc w:val="left"/>
        <w:rPr>
          <w:b/>
          <w:sz w:val="24"/>
        </w:rPr>
      </w:pPr>
      <w:r>
        <w:rPr>
          <w:b/>
          <w:sz w:val="24"/>
        </w:rPr>
        <w:t>附录 D 防火卷帘、防火门、防火窗工程验收记录</w:t>
      </w:r>
      <w:r>
        <w:rPr>
          <w:b/>
          <w:w w:val="99"/>
          <w:sz w:val="24"/>
        </w:rPr>
        <w:t> </w:t>
      </w:r>
    </w:p>
    <w:p>
      <w:pPr>
        <w:pStyle w:val="BodyText"/>
        <w:rPr>
          <w:b/>
          <w:sz w:val="24"/>
        </w:rPr>
      </w:pPr>
    </w:p>
    <w:p>
      <w:pPr>
        <w:pStyle w:val="BodyText"/>
        <w:spacing w:line="446" w:lineRule="auto" w:before="174"/>
        <w:ind w:left="418" w:right="1769" w:firstLine="419"/>
      </w:pPr>
      <w:r>
        <w:rPr/>
        <w:t>D.0.1</w:t>
      </w:r>
      <w:r>
        <w:rPr>
          <w:spacing w:val="-3"/>
        </w:rPr>
        <w:t> 防火卷帘、防火门、防火窗工程质量验收应由建设单位项目负责人组织监理工程</w:t>
      </w:r>
      <w:r>
        <w:rPr>
          <w:spacing w:val="-5"/>
        </w:rPr>
        <w:t>师、施工单位项目负责人和设计单位负责人等进行，并应按表 </w:t>
      </w:r>
      <w:r>
        <w:rPr/>
        <w:t>D.0.1-1</w:t>
      </w:r>
      <w:r>
        <w:rPr>
          <w:spacing w:val="-17"/>
        </w:rPr>
        <w:t>、表 </w:t>
      </w:r>
      <w:r>
        <w:rPr/>
        <w:t>D.0.1-2</w:t>
      </w:r>
      <w:r>
        <w:rPr>
          <w:spacing w:val="-14"/>
        </w:rPr>
        <w:t> 记录。</w:t>
      </w:r>
      <w:r>
        <w:rPr/>
        <w:t> </w:t>
      </w:r>
    </w:p>
    <w:p>
      <w:pPr>
        <w:pStyle w:val="Heading6"/>
        <w:ind w:left="1884"/>
      </w:pPr>
      <w:r>
        <w:rPr/>
        <w:pict>
          <v:group style="position:absolute;margin-left:82.463997pt;margin-top:15.450015pt;width:442.4pt;height:452.35pt;mso-position-horizontal-relative:page;mso-position-vertical-relative:paragraph;z-index:-251357184;mso-wrap-distance-left:0;mso-wrap-distance-right:0" coordorigin="1649,309" coordsize="8848,9047">
            <v:rect style="position:absolute;left:1649;top:8981;width:8848;height:375" filled="true" fillcolor="#ffffff" stroked="false">
              <v:fill type="solid"/>
            </v:rect>
            <v:shape style="position:absolute;left:3027;top:309;width:6705;height:7080" type="#_x0000_t75" stroked="false">
              <v:imagedata r:id="rId496" o:title=""/>
            </v:shape>
            <v:shape style="position:absolute;left:2937;top:7450;width:6690;height:1515" type="#_x0000_t75" stroked="false">
              <v:imagedata r:id="rId497" o:title=""/>
            </v:shape>
            <v:shape style="position:absolute;left:2815;top:7207;width:126;height:212" type="#_x0000_t202" filled="false" stroked="false">
              <v:textbox inset="0,0,0,0">
                <w:txbxContent>
                  <w:p>
                    <w:pPr>
                      <w:spacing w:line="211" w:lineRule="exact" w:before="0"/>
                      <w:ind w:left="0" w:right="0" w:firstLine="0"/>
                      <w:jc w:val="left"/>
                      <w:rPr>
                        <w:sz w:val="21"/>
                      </w:rPr>
                    </w:pPr>
                    <w:r>
                      <w:rPr>
                        <w:w w:val="100"/>
                        <w:sz w:val="21"/>
                      </w:rPr>
                      <w:t> </w:t>
                    </w:r>
                  </w:p>
                </w:txbxContent>
              </v:textbox>
              <w10:wrap type="none"/>
            </v:shape>
            <v:shape style="position:absolute;left:9748;top:7207;width:126;height:212" type="#_x0000_t202" filled="false" stroked="false">
              <v:textbox inset="0,0,0,0">
                <w:txbxContent>
                  <w:p>
                    <w:pPr>
                      <w:spacing w:line="211" w:lineRule="exact" w:before="0"/>
                      <w:ind w:left="0" w:right="0" w:firstLine="0"/>
                      <w:jc w:val="left"/>
                      <w:rPr>
                        <w:sz w:val="21"/>
                      </w:rPr>
                    </w:pPr>
                    <w:r>
                      <w:rPr>
                        <w:w w:val="100"/>
                        <w:sz w:val="21"/>
                      </w:rPr>
                      <w:t> </w:t>
                    </w:r>
                  </w:p>
                </w:txbxContent>
              </v:textbox>
              <w10:wrap type="none"/>
            </v:shape>
            <v:shape style="position:absolute;left:9628;top:8799;width:126;height:212" type="#_x0000_t202" filled="false" stroked="false">
              <v:textbox inset="0,0,0,0">
                <w:txbxContent>
                  <w:p>
                    <w:pPr>
                      <w:spacing w:line="211" w:lineRule="exact" w:before="0"/>
                      <w:ind w:left="0" w:right="0" w:firstLine="0"/>
                      <w:jc w:val="left"/>
                      <w:rPr>
                        <w:sz w:val="21"/>
                      </w:rPr>
                    </w:pPr>
                    <w:r>
                      <w:rPr>
                        <w:w w:val="100"/>
                        <w:sz w:val="21"/>
                      </w:rPr>
                      <w:t> </w:t>
                    </w:r>
                  </w:p>
                </w:txbxContent>
              </v:textbox>
              <w10:wrap type="none"/>
            </v:shape>
            <v:shape style="position:absolute;left:6281;top:9114;width:126;height:212" type="#_x0000_t202" filled="false" stroked="false">
              <v:textbox inset="0,0,0,0">
                <w:txbxContent>
                  <w:p>
                    <w:pPr>
                      <w:spacing w:line="211" w:lineRule="exact" w:before="0"/>
                      <w:ind w:left="0" w:right="0" w:firstLine="0"/>
                      <w:jc w:val="left"/>
                      <w:rPr>
                        <w:sz w:val="21"/>
                      </w:rPr>
                    </w:pPr>
                    <w:r>
                      <w:rPr>
                        <w:w w:val="100"/>
                        <w:sz w:val="21"/>
                      </w:rPr>
                      <w:t> </w:t>
                    </w:r>
                  </w:p>
                </w:txbxContent>
              </v:textbox>
              <w10:wrap type="none"/>
            </v:shape>
            <w10:wrap type="topAndBottom"/>
          </v:group>
        </w:pict>
      </w:r>
      <w:r>
        <w:rPr/>
        <w:t>表 D.0.1-1 防火卷帘、防火门、防火窗工程质量控制资料核查记录</w:t>
      </w:r>
      <w:r>
        <w:rPr>
          <w:w w:val="99"/>
        </w:rPr>
        <w:t> </w:t>
      </w:r>
    </w:p>
    <w:p>
      <w:pPr>
        <w:pStyle w:val="BodyText"/>
        <w:spacing w:before="75"/>
        <w:ind w:right="495"/>
        <w:jc w:val="center"/>
      </w:pPr>
      <w:r>
        <w:rPr>
          <w:w w:val="100"/>
        </w:rPr>
        <w:t> </w:t>
      </w:r>
    </w:p>
    <w:p>
      <w:pPr>
        <w:pStyle w:val="BodyText"/>
        <w:spacing w:before="108"/>
        <w:ind w:right="495"/>
        <w:jc w:val="center"/>
      </w:pPr>
      <w:r>
        <w:rPr>
          <w:w w:val="100"/>
        </w:rPr>
        <w:t> </w:t>
      </w:r>
    </w:p>
    <w:p>
      <w:pPr>
        <w:pStyle w:val="BodyText"/>
        <w:spacing w:before="105"/>
        <w:ind w:right="495"/>
        <w:jc w:val="center"/>
      </w:pPr>
      <w:r>
        <w:rPr>
          <w:w w:val="100"/>
        </w:rPr>
        <w:t> </w:t>
      </w:r>
    </w:p>
    <w:p>
      <w:pPr>
        <w:pStyle w:val="BodyText"/>
        <w:spacing w:before="106"/>
        <w:ind w:right="495"/>
        <w:jc w:val="center"/>
      </w:pPr>
      <w:r>
        <w:rPr>
          <w:w w:val="100"/>
        </w:rPr>
        <w:t> </w:t>
      </w:r>
    </w:p>
    <w:p>
      <w:pPr>
        <w:pStyle w:val="BodyText"/>
        <w:spacing w:before="105"/>
        <w:ind w:right="495"/>
        <w:jc w:val="center"/>
      </w:pPr>
      <w:r>
        <w:rPr>
          <w:w w:val="100"/>
        </w:rPr>
        <w:t> </w:t>
      </w:r>
    </w:p>
    <w:p>
      <w:pPr>
        <w:pStyle w:val="BodyText"/>
        <w:spacing w:before="108"/>
        <w:ind w:right="495"/>
        <w:jc w:val="center"/>
      </w:pPr>
      <w:r>
        <w:rPr>
          <w:w w:val="100"/>
        </w:rPr>
        <w:t> </w:t>
      </w:r>
    </w:p>
    <w:p>
      <w:pPr>
        <w:pStyle w:val="BodyText"/>
        <w:spacing w:before="105"/>
        <w:ind w:right="495"/>
        <w:jc w:val="center"/>
      </w:pPr>
      <w:r>
        <w:rPr>
          <w:w w:val="100"/>
        </w:rPr>
        <w:t> </w:t>
      </w:r>
    </w:p>
    <w:p>
      <w:pPr>
        <w:spacing w:after="0"/>
        <w:jc w:val="center"/>
        <w:sectPr>
          <w:footerReference w:type="default" r:id="rId495"/>
          <w:pgSz w:w="11910" w:h="16850"/>
          <w:pgMar w:footer="1239" w:header="0" w:top="1200" w:bottom="1420" w:left="1260" w:right="0"/>
        </w:sectPr>
      </w:pPr>
    </w:p>
    <w:p>
      <w:pPr>
        <w:pStyle w:val="Heading6"/>
        <w:spacing w:before="42"/>
        <w:ind w:left="2306"/>
      </w:pPr>
      <w:r>
        <w:rPr/>
        <w:pict>
          <v:group style="position:absolute;margin-left:82.463997pt;margin-top:17.540005pt;width:442.4pt;height:444.7pt;mso-position-horizontal-relative:page;mso-position-vertical-relative:paragraph;z-index:-251354112;mso-wrap-distance-left:0;mso-wrap-distance-right:0" coordorigin="1649,351" coordsize="8848,8894">
            <v:rect style="position:absolute;left:1649;top:8482;width:8848;height:762" filled="true" fillcolor="#ffffff" stroked="false">
              <v:fill type="solid"/>
            </v:rect>
            <v:shape style="position:absolute;left:2938;top:350;width:6690;height:8130" type="#_x0000_t75" stroked="false">
              <v:imagedata r:id="rId499" o:title=""/>
            </v:shape>
            <v:shape style="position:absolute;left:9628;top:8327;width:110;height:180" type="#_x0000_t202" filled="false" stroked="false">
              <v:textbox inset="0,0,0,0">
                <w:txbxContent>
                  <w:p>
                    <w:pPr>
                      <w:spacing w:line="180" w:lineRule="exact" w:before="0"/>
                      <w:ind w:left="0" w:right="0" w:firstLine="0"/>
                      <w:jc w:val="left"/>
                      <w:rPr>
                        <w:sz w:val="18"/>
                      </w:rPr>
                    </w:pPr>
                    <w:r>
                      <w:rPr>
                        <w:sz w:val="18"/>
                      </w:rPr>
                      <w:t> </w:t>
                    </w:r>
                  </w:p>
                </w:txbxContent>
              </v:textbox>
              <w10:wrap type="none"/>
            </v:shape>
            <v:shape style="position:absolute;left:6373;top:8818;width:140;height:240" type="#_x0000_t202" filled="false" stroked="false">
              <v:textbox inset="0,0,0,0">
                <w:txbxContent>
                  <w:p>
                    <w:pPr>
                      <w:spacing w:line="240" w:lineRule="exact" w:before="0"/>
                      <w:ind w:left="0" w:right="0" w:firstLine="0"/>
                      <w:jc w:val="left"/>
                      <w:rPr>
                        <w:sz w:val="24"/>
                      </w:rPr>
                    </w:pPr>
                    <w:r>
                      <w:rPr>
                        <w:sz w:val="24"/>
                      </w:rPr>
                      <w:t> </w:t>
                    </w:r>
                  </w:p>
                </w:txbxContent>
              </v:textbox>
              <w10:wrap type="none"/>
            </v:shape>
            <w10:wrap type="topAndBottom"/>
          </v:group>
        </w:pict>
      </w:r>
      <w:r>
        <w:rPr/>
        <w:t>表 D.0.1-2 防火卷帘、防火门、防火窗工程质量验收记录</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204"/>
        <w:ind w:left="0" w:right="297" w:firstLine="0"/>
        <w:jc w:val="center"/>
        <w:rPr>
          <w:sz w:val="24"/>
        </w:rPr>
      </w:pPr>
      <w:r>
        <w:rPr>
          <w:sz w:val="24"/>
        </w:rPr>
        <w:t> </w:t>
      </w:r>
    </w:p>
    <w:p>
      <w:pPr>
        <w:spacing w:after="0"/>
        <w:jc w:val="center"/>
        <w:rPr>
          <w:sz w:val="24"/>
        </w:rPr>
        <w:sectPr>
          <w:footerReference w:type="default" r:id="rId498"/>
          <w:pgSz w:w="11910" w:h="16850"/>
          <w:pgMar w:footer="1239" w:header="0" w:top="1600" w:bottom="1420" w:left="1260" w:right="0"/>
          <w:pgNumType w:start="1511"/>
        </w:sectPr>
      </w:pPr>
    </w:p>
    <w:p>
      <w:pPr>
        <w:pStyle w:val="BodyText"/>
        <w:spacing w:before="2"/>
        <w:rPr>
          <w:sz w:val="11"/>
        </w:rPr>
      </w:pPr>
    </w:p>
    <w:p>
      <w:pPr>
        <w:spacing w:before="66"/>
        <w:ind w:left="2009" w:right="0" w:firstLine="0"/>
        <w:jc w:val="left"/>
        <w:rPr>
          <w:b/>
          <w:sz w:val="24"/>
        </w:rPr>
      </w:pPr>
      <w:r>
        <w:rPr>
          <w:b/>
          <w:sz w:val="24"/>
        </w:rPr>
        <w:t>附录 E 防火卷帘、防火门、防火窗检查、使用和管理</w:t>
      </w:r>
      <w:r>
        <w:rPr>
          <w:b/>
          <w:w w:val="99"/>
          <w:sz w:val="24"/>
        </w:rPr>
        <w:t> </w:t>
      </w:r>
    </w:p>
    <w:p>
      <w:pPr>
        <w:pStyle w:val="BodyText"/>
        <w:rPr>
          <w:b/>
          <w:sz w:val="24"/>
        </w:rPr>
      </w:pPr>
    </w:p>
    <w:p>
      <w:pPr>
        <w:spacing w:before="173"/>
        <w:ind w:left="1570" w:right="0" w:firstLine="0"/>
        <w:jc w:val="left"/>
        <w:rPr>
          <w:sz w:val="21"/>
        </w:rPr>
      </w:pPr>
      <w:r>
        <w:rPr>
          <w:b/>
          <w:sz w:val="21"/>
        </w:rPr>
        <w:t>表 E  防火卷帘、防火门、防火窗每日（季、年）检查、使用和管理记录</w:t>
      </w:r>
      <w:r>
        <w:rPr>
          <w:sz w:val="21"/>
        </w:rPr>
        <w:t>。 </w:t>
      </w:r>
    </w:p>
    <w:p>
      <w:pPr>
        <w:pStyle w:val="BodyText"/>
        <w:spacing w:before="5"/>
        <w:rPr>
          <w:sz w:val="26"/>
        </w:rPr>
      </w:pPr>
      <w:r>
        <w:rPr/>
        <w:drawing>
          <wp:anchor distT="0" distB="0" distL="0" distR="0" allowOverlap="1" layoutInCell="1" locked="0" behindDoc="0" simplePos="0" relativeHeight="298">
            <wp:simplePos x="0" y="0"/>
            <wp:positionH relativeFrom="page">
              <wp:posOffset>1519555</wp:posOffset>
            </wp:positionH>
            <wp:positionV relativeFrom="paragraph">
              <wp:posOffset>239649</wp:posOffset>
            </wp:positionV>
            <wp:extent cx="4240960" cy="5150643"/>
            <wp:effectExtent l="0" t="0" r="0" b="0"/>
            <wp:wrapTopAndBottom/>
            <wp:docPr id="667" name="image391.jpeg"/>
            <wp:cNvGraphicFramePr>
              <a:graphicFrameLocks noChangeAspect="1"/>
            </wp:cNvGraphicFramePr>
            <a:graphic>
              <a:graphicData uri="http://schemas.openxmlformats.org/drawingml/2006/picture">
                <pic:pic>
                  <pic:nvPicPr>
                    <pic:cNvPr id="668" name="image391.jpeg"/>
                    <pic:cNvPicPr/>
                  </pic:nvPicPr>
                  <pic:blipFill>
                    <a:blip r:embed="rId500" cstate="print"/>
                    <a:stretch>
                      <a:fillRect/>
                    </a:stretch>
                  </pic:blipFill>
                  <pic:spPr>
                    <a:xfrm>
                      <a:off x="0" y="0"/>
                      <a:ext cx="4240960" cy="5150643"/>
                    </a:xfrm>
                    <a:prstGeom prst="rect">
                      <a:avLst/>
                    </a:prstGeom>
                  </pic:spPr>
                </pic:pic>
              </a:graphicData>
            </a:graphic>
          </wp:anchor>
        </w:drawing>
      </w:r>
    </w:p>
    <w:p>
      <w:pPr>
        <w:spacing w:after="0"/>
        <w:rPr>
          <w:sz w:val="26"/>
        </w:rPr>
        <w:sectPr>
          <w:pgSz w:w="11910" w:h="16850"/>
          <w:pgMar w:header="0" w:footer="1239" w:top="1600" w:bottom="1420" w:left="1260" w:right="0"/>
        </w:sectPr>
      </w:pPr>
    </w:p>
    <w:p>
      <w:pPr>
        <w:spacing w:before="37"/>
        <w:ind w:left="0" w:right="868" w:firstLine="0"/>
        <w:jc w:val="center"/>
        <w:rPr>
          <w:b/>
          <w:sz w:val="30"/>
        </w:rPr>
      </w:pPr>
      <w:bookmarkStart w:name="_bookmark31" w:id="32"/>
      <w:bookmarkEnd w:id="32"/>
      <w:r>
        <w:rPr/>
      </w:r>
      <w:r>
        <w:rPr>
          <w:b/>
          <w:sz w:val="30"/>
        </w:rPr>
        <w:t>城市消防规划规范</w:t>
      </w:r>
      <w:r>
        <w:rPr>
          <w:b/>
          <w:w w:val="99"/>
          <w:sz w:val="30"/>
        </w:rPr>
        <w:t> </w:t>
      </w:r>
    </w:p>
    <w:p>
      <w:pPr>
        <w:pStyle w:val="BodyText"/>
        <w:rPr>
          <w:b/>
          <w:sz w:val="20"/>
        </w:rPr>
      </w:pPr>
    </w:p>
    <w:p>
      <w:pPr>
        <w:pStyle w:val="BodyText"/>
        <w:spacing w:before="5"/>
        <w:rPr>
          <w:b/>
          <w:sz w:val="14"/>
        </w:rPr>
      </w:pPr>
    </w:p>
    <w:p>
      <w:pPr>
        <w:spacing w:before="66"/>
        <w:ind w:left="418" w:right="0" w:firstLine="0"/>
        <w:jc w:val="left"/>
        <w:rPr>
          <w:b/>
          <w:sz w:val="24"/>
        </w:rPr>
      </w:pPr>
      <w:r>
        <w:rPr>
          <w:b/>
          <w:sz w:val="24"/>
        </w:rPr>
        <w:t>1 总则</w:t>
      </w:r>
      <w:r>
        <w:rPr>
          <w:b/>
          <w:w w:val="99"/>
          <w:sz w:val="24"/>
        </w:rPr>
        <w:t> </w:t>
      </w:r>
    </w:p>
    <w:p>
      <w:pPr>
        <w:pStyle w:val="BodyText"/>
        <w:spacing w:before="4"/>
        <w:rPr>
          <w:b/>
          <w:sz w:val="17"/>
        </w:rPr>
      </w:pPr>
    </w:p>
    <w:p>
      <w:pPr>
        <w:pStyle w:val="ListParagraph"/>
        <w:numPr>
          <w:ilvl w:val="2"/>
          <w:numId w:val="857"/>
        </w:numPr>
        <w:tabs>
          <w:tab w:pos="1370" w:val="left" w:leader="none"/>
        </w:tabs>
        <w:spacing w:line="446" w:lineRule="auto" w:before="0" w:after="0"/>
        <w:ind w:left="418" w:right="1604" w:firstLine="422"/>
        <w:jc w:val="left"/>
        <w:rPr>
          <w:sz w:val="21"/>
        </w:rPr>
      </w:pPr>
      <w:r>
        <w:rPr>
          <w:spacing w:val="-3"/>
          <w:sz w:val="21"/>
        </w:rPr>
        <w:t>为规范城市消防规划，增强城市抗御火灾和应急救援能力，预防火灾和减少火灾危害，制定本规范。</w:t>
      </w:r>
      <w:r>
        <w:rPr>
          <w:sz w:val="21"/>
        </w:rPr>
        <w:t> </w:t>
      </w:r>
    </w:p>
    <w:p>
      <w:pPr>
        <w:pStyle w:val="ListParagraph"/>
        <w:numPr>
          <w:ilvl w:val="2"/>
          <w:numId w:val="857"/>
        </w:numPr>
        <w:tabs>
          <w:tab w:pos="1371" w:val="left" w:leader="none"/>
        </w:tabs>
        <w:spacing w:line="240" w:lineRule="auto" w:before="0" w:after="0"/>
        <w:ind w:left="1370" w:right="0" w:hanging="531"/>
        <w:jc w:val="left"/>
        <w:rPr>
          <w:sz w:val="21"/>
        </w:rPr>
      </w:pPr>
      <w:r>
        <w:rPr>
          <w:spacing w:val="-3"/>
          <w:sz w:val="21"/>
        </w:rPr>
        <w:t>本规范适用于城市总体规划中的消防规划和城市消防专项规划。</w:t>
      </w:r>
      <w:r>
        <w:rPr>
          <w:sz w:val="21"/>
        </w:rPr>
        <w:t> </w:t>
      </w:r>
    </w:p>
    <w:p>
      <w:pPr>
        <w:pStyle w:val="BodyText"/>
        <w:spacing w:before="12"/>
        <w:rPr>
          <w:sz w:val="17"/>
        </w:rPr>
      </w:pPr>
    </w:p>
    <w:p>
      <w:pPr>
        <w:pStyle w:val="ListParagraph"/>
        <w:numPr>
          <w:ilvl w:val="2"/>
          <w:numId w:val="857"/>
        </w:numPr>
        <w:tabs>
          <w:tab w:pos="1370" w:val="left" w:leader="none"/>
        </w:tabs>
        <w:spacing w:line="240" w:lineRule="auto" w:before="0" w:after="0"/>
        <w:ind w:left="1369" w:right="0" w:hanging="530"/>
        <w:jc w:val="left"/>
        <w:rPr>
          <w:sz w:val="21"/>
        </w:rPr>
      </w:pPr>
      <w:r>
        <w:rPr>
          <w:spacing w:val="-3"/>
          <w:sz w:val="21"/>
        </w:rPr>
        <w:t>城市消防规划期限与城市总体规划相一致。</w:t>
      </w:r>
      <w:r>
        <w:rPr>
          <w:sz w:val="21"/>
        </w:rPr>
        <w:t> </w:t>
      </w:r>
    </w:p>
    <w:p>
      <w:pPr>
        <w:pStyle w:val="BodyText"/>
        <w:rPr>
          <w:sz w:val="18"/>
        </w:rPr>
      </w:pPr>
    </w:p>
    <w:p>
      <w:pPr>
        <w:pStyle w:val="ListParagraph"/>
        <w:numPr>
          <w:ilvl w:val="2"/>
          <w:numId w:val="857"/>
        </w:numPr>
        <w:tabs>
          <w:tab w:pos="1371" w:val="left" w:leader="none"/>
        </w:tabs>
        <w:spacing w:line="446" w:lineRule="auto" w:before="0" w:after="0"/>
        <w:ind w:left="418" w:right="1604" w:firstLine="422"/>
        <w:jc w:val="left"/>
        <w:rPr>
          <w:sz w:val="21"/>
        </w:rPr>
      </w:pPr>
      <w:r>
        <w:rPr>
          <w:spacing w:val="-3"/>
          <w:sz w:val="21"/>
        </w:rPr>
        <w:t>城市消防规划应执行预防为主、防消结合的消防工作方针，遵循科学合理、经济适用适度超前的规划原则。</w:t>
      </w:r>
      <w:r>
        <w:rPr>
          <w:sz w:val="21"/>
        </w:rPr>
        <w:t> </w:t>
      </w:r>
    </w:p>
    <w:p>
      <w:pPr>
        <w:pStyle w:val="ListParagraph"/>
        <w:numPr>
          <w:ilvl w:val="2"/>
          <w:numId w:val="857"/>
        </w:numPr>
        <w:tabs>
          <w:tab w:pos="1370" w:val="left" w:leader="none"/>
        </w:tabs>
        <w:spacing w:line="446" w:lineRule="auto" w:before="0" w:after="0"/>
        <w:ind w:left="418" w:right="1608" w:firstLine="422"/>
        <w:jc w:val="left"/>
        <w:rPr>
          <w:sz w:val="21"/>
        </w:rPr>
      </w:pPr>
      <w:r>
        <w:rPr>
          <w:spacing w:val="-2"/>
          <w:sz w:val="21"/>
        </w:rPr>
        <w:t>编制城市消防规划，应结合当地实际对城市火灾风险、消防安全状况进行分析评 估</w:t>
      </w:r>
      <w:r>
        <w:rPr>
          <w:spacing w:val="-3"/>
          <w:sz w:val="21"/>
        </w:rPr>
        <w:t>。应按适应城市经济社会发展、满足火灾防控和灭火应急救援的实际需要，合理确定城市消防安全布局，优化配置公共消防设施和消防装备，并应制定管制和实施措施。 </w:t>
      </w:r>
    </w:p>
    <w:p>
      <w:pPr>
        <w:pStyle w:val="ListParagraph"/>
        <w:numPr>
          <w:ilvl w:val="2"/>
          <w:numId w:val="857"/>
        </w:numPr>
        <w:tabs>
          <w:tab w:pos="1370" w:val="left" w:leader="none"/>
        </w:tabs>
        <w:spacing w:line="446" w:lineRule="auto" w:before="0" w:after="0"/>
        <w:ind w:left="418" w:right="1604" w:firstLine="422"/>
        <w:jc w:val="both"/>
        <w:rPr>
          <w:sz w:val="21"/>
        </w:rPr>
      </w:pPr>
      <w:r>
        <w:rPr>
          <w:spacing w:val="-3"/>
          <w:sz w:val="21"/>
        </w:rPr>
        <w:t>城市消防规划应与相关规划协调。公共消防设施应实现资源共享，可充分利用城市基础设施、综合防灾设施，并应符合消防安全要求。市政消火栓、消防车通道等公共消防设施应与城市供水、道路等基础设施同步规划、同步建设。 </w:t>
      </w:r>
    </w:p>
    <w:p>
      <w:pPr>
        <w:pStyle w:val="ListParagraph"/>
        <w:numPr>
          <w:ilvl w:val="2"/>
          <w:numId w:val="857"/>
        </w:numPr>
        <w:tabs>
          <w:tab w:pos="1370" w:val="left" w:leader="none"/>
        </w:tabs>
        <w:spacing w:line="268" w:lineRule="exact" w:before="0" w:after="0"/>
        <w:ind w:left="1369" w:right="0" w:hanging="530"/>
        <w:jc w:val="left"/>
        <w:rPr>
          <w:sz w:val="21"/>
        </w:rPr>
      </w:pPr>
      <w:r>
        <w:rPr>
          <w:spacing w:val="-3"/>
          <w:sz w:val="21"/>
        </w:rPr>
        <w:t>城市消防规划除应执行本规范外,尚应符合国家现行的有关标准规范的规定。</w:t>
      </w:r>
      <w:r>
        <w:rPr>
          <w:sz w:val="21"/>
        </w:rPr>
        <w:t> </w:t>
      </w:r>
    </w:p>
    <w:p>
      <w:pPr>
        <w:pStyle w:val="BodyText"/>
        <w:spacing w:before="7"/>
        <w:rPr>
          <w:sz w:val="15"/>
        </w:rPr>
      </w:pPr>
    </w:p>
    <w:p>
      <w:pPr>
        <w:pStyle w:val="Heading4"/>
      </w:pPr>
      <w:r>
        <w:rPr/>
        <w:t>2 术语</w:t>
      </w:r>
      <w:r>
        <w:rPr>
          <w:w w:val="99"/>
        </w:rPr>
        <w:t> </w:t>
      </w:r>
    </w:p>
    <w:p>
      <w:pPr>
        <w:pStyle w:val="BodyText"/>
        <w:spacing w:before="6"/>
        <w:rPr>
          <w:b/>
          <w:sz w:val="17"/>
        </w:rPr>
      </w:pPr>
    </w:p>
    <w:p>
      <w:pPr>
        <w:pStyle w:val="ListParagraph"/>
        <w:numPr>
          <w:ilvl w:val="2"/>
          <w:numId w:val="858"/>
        </w:numPr>
        <w:tabs>
          <w:tab w:pos="1370" w:val="left" w:leader="none"/>
        </w:tabs>
        <w:spacing w:line="240" w:lineRule="auto" w:before="0" w:after="0"/>
        <w:ind w:left="1369" w:right="0" w:hanging="530"/>
        <w:jc w:val="left"/>
        <w:rPr>
          <w:sz w:val="21"/>
        </w:rPr>
      </w:pPr>
      <w:r>
        <w:rPr>
          <w:spacing w:val="-3"/>
          <w:sz w:val="21"/>
        </w:rPr>
        <w:t>城市消防规划 </w:t>
      </w:r>
      <w:r>
        <w:rPr>
          <w:sz w:val="21"/>
        </w:rPr>
        <w:t>planning</w:t>
      </w:r>
      <w:r>
        <w:rPr>
          <w:spacing w:val="1"/>
          <w:sz w:val="21"/>
        </w:rPr>
        <w:t> </w:t>
      </w:r>
      <w:r>
        <w:rPr>
          <w:sz w:val="21"/>
        </w:rPr>
        <w:t>of urban</w:t>
      </w:r>
      <w:r>
        <w:rPr>
          <w:spacing w:val="-2"/>
          <w:sz w:val="21"/>
        </w:rPr>
        <w:t> </w:t>
      </w:r>
      <w:r>
        <w:rPr>
          <w:sz w:val="21"/>
        </w:rPr>
        <w:t>fire control </w:t>
      </w:r>
    </w:p>
    <w:p>
      <w:pPr>
        <w:pStyle w:val="BodyText"/>
        <w:spacing w:before="12"/>
        <w:rPr>
          <w:sz w:val="17"/>
        </w:rPr>
      </w:pPr>
    </w:p>
    <w:p>
      <w:pPr>
        <w:pStyle w:val="BodyText"/>
        <w:spacing w:line="446" w:lineRule="auto"/>
        <w:ind w:left="418" w:right="1609" w:firstLine="419"/>
      </w:pPr>
      <w:r>
        <w:rPr/>
        <w:t>对一定时期内城市消防发展目标、城市消防安全布局、公共消防设施和消防装备的的综合部署、具体安排和实施措施。 </w:t>
      </w:r>
    </w:p>
    <w:p>
      <w:pPr>
        <w:pStyle w:val="ListParagraph"/>
        <w:numPr>
          <w:ilvl w:val="2"/>
          <w:numId w:val="858"/>
        </w:numPr>
        <w:tabs>
          <w:tab w:pos="1370" w:val="left" w:leader="none"/>
        </w:tabs>
        <w:spacing w:line="240" w:lineRule="auto" w:before="1" w:after="0"/>
        <w:ind w:left="1369" w:right="0" w:hanging="530"/>
        <w:jc w:val="left"/>
        <w:rPr>
          <w:sz w:val="21"/>
        </w:rPr>
      </w:pPr>
      <w:r>
        <w:rPr>
          <w:spacing w:val="-3"/>
          <w:sz w:val="21"/>
        </w:rPr>
        <w:t>城市火灾风险评估 </w:t>
      </w:r>
      <w:r>
        <w:rPr>
          <w:sz w:val="21"/>
        </w:rPr>
        <w:t>urban</w:t>
      </w:r>
      <w:r>
        <w:rPr>
          <w:spacing w:val="-2"/>
          <w:sz w:val="21"/>
        </w:rPr>
        <w:t> </w:t>
      </w:r>
      <w:r>
        <w:rPr>
          <w:sz w:val="21"/>
        </w:rPr>
        <w:t>fire</w:t>
      </w:r>
      <w:r>
        <w:rPr>
          <w:spacing w:val="1"/>
          <w:sz w:val="21"/>
        </w:rPr>
        <w:t> </w:t>
      </w:r>
      <w:r>
        <w:rPr>
          <w:sz w:val="21"/>
        </w:rPr>
        <w:t>risk evaluation </w:t>
      </w:r>
    </w:p>
    <w:p>
      <w:pPr>
        <w:pStyle w:val="BodyText"/>
        <w:spacing w:before="12"/>
        <w:rPr>
          <w:sz w:val="17"/>
        </w:rPr>
      </w:pPr>
    </w:p>
    <w:p>
      <w:pPr>
        <w:pStyle w:val="BodyText"/>
        <w:spacing w:line="446" w:lineRule="auto"/>
        <w:ind w:left="840" w:right="1714" w:hanging="3"/>
      </w:pPr>
      <w:r>
        <w:rPr/>
        <w:t>对城市用地范围内的建筑、场所、设施等发生火灾的危险性和危害性进行的综合评价。</w:t>
      </w:r>
      <w:r>
        <w:rPr>
          <w:b/>
        </w:rPr>
        <w:t>2.0.3 </w:t>
      </w:r>
      <w:r>
        <w:rPr/>
        <w:t>城市消防安全布局 urban fire safety layout </w:t>
      </w:r>
    </w:p>
    <w:p>
      <w:pPr>
        <w:pStyle w:val="BodyText"/>
        <w:spacing w:line="446" w:lineRule="auto"/>
        <w:ind w:left="838" w:right="1609"/>
      </w:pPr>
      <w:r>
        <w:rPr>
          <w:spacing w:val="-3"/>
        </w:rPr>
        <w:t>符合城市消防安全要求的城市建设用地布局和采用的安全措施。布局是指符合城市公共 本规范特指对易燃易爆危险品场所或设施、火灾危险性和危害性较大的其他场所或设施用</w:t>
      </w:r>
    </w:p>
    <w:p>
      <w:pPr>
        <w:pStyle w:val="BodyText"/>
        <w:spacing w:line="448" w:lineRule="auto"/>
        <w:ind w:left="840" w:right="2554" w:hanging="423"/>
      </w:pPr>
      <w:r>
        <w:rPr/>
        <w:t>地、防火隔离带、防火避难场地等进行的综合部署、具体安排和采取的安全措施。</w:t>
      </w:r>
      <w:r>
        <w:rPr>
          <w:b/>
        </w:rPr>
        <w:t>2.0.4 </w:t>
      </w:r>
      <w:r>
        <w:rPr/>
        <w:t>公共消防设施 public fire control facilities </w:t>
      </w:r>
    </w:p>
    <w:p>
      <w:pPr>
        <w:pStyle w:val="BodyText"/>
        <w:spacing w:line="264" w:lineRule="exact"/>
        <w:ind w:left="838"/>
      </w:pPr>
      <w:r>
        <w:rPr/>
        <w:t>灭火和应急救援所需的消防站、消防通信设施、消防供水设施、消防车通道等的统称。 </w:t>
      </w:r>
    </w:p>
    <w:p>
      <w:pPr>
        <w:spacing w:after="0" w:line="264" w:lineRule="exact"/>
        <w:sectPr>
          <w:pgSz w:w="11910" w:h="16850"/>
          <w:pgMar w:header="0" w:footer="1239" w:top="1140" w:bottom="1420" w:left="1260" w:right="0"/>
        </w:sectPr>
      </w:pPr>
    </w:p>
    <w:p>
      <w:pPr>
        <w:spacing w:before="47"/>
        <w:ind w:left="840" w:right="0" w:firstLine="0"/>
        <w:jc w:val="left"/>
        <w:rPr>
          <w:sz w:val="21"/>
        </w:rPr>
      </w:pPr>
      <w:r>
        <w:rPr>
          <w:b/>
          <w:sz w:val="21"/>
        </w:rPr>
        <w:t>2.0.5 </w:t>
      </w:r>
      <w:r>
        <w:rPr>
          <w:sz w:val="21"/>
        </w:rPr>
        <w:t>防火隔离带 fire break </w:t>
      </w:r>
    </w:p>
    <w:p>
      <w:pPr>
        <w:pStyle w:val="BodyText"/>
        <w:rPr>
          <w:sz w:val="18"/>
        </w:rPr>
      </w:pPr>
    </w:p>
    <w:p>
      <w:pPr>
        <w:pStyle w:val="BodyText"/>
        <w:ind w:left="838"/>
      </w:pPr>
      <w:r>
        <w:rPr/>
        <w:t>组织火灾大面积延烧的隔离空间。 </w:t>
      </w:r>
    </w:p>
    <w:p>
      <w:pPr>
        <w:pStyle w:val="BodyText"/>
        <w:spacing w:before="8"/>
        <w:rPr>
          <w:sz w:val="15"/>
        </w:rPr>
      </w:pPr>
    </w:p>
    <w:p>
      <w:pPr>
        <w:pStyle w:val="Heading4"/>
      </w:pPr>
      <w:r>
        <w:rPr/>
        <w:t>3 城市消防安全布局</w:t>
      </w:r>
      <w:r>
        <w:rPr>
          <w:w w:val="99"/>
        </w:rPr>
        <w:t> </w:t>
      </w:r>
    </w:p>
    <w:p>
      <w:pPr>
        <w:pStyle w:val="BodyText"/>
        <w:spacing w:before="6"/>
        <w:rPr>
          <w:b/>
          <w:sz w:val="17"/>
        </w:rPr>
      </w:pPr>
    </w:p>
    <w:p>
      <w:pPr>
        <w:pStyle w:val="ListParagraph"/>
        <w:numPr>
          <w:ilvl w:val="1"/>
          <w:numId w:val="859"/>
        </w:numPr>
        <w:tabs>
          <w:tab w:pos="1160" w:val="left" w:leader="none"/>
        </w:tabs>
        <w:spacing w:line="446" w:lineRule="auto" w:before="0" w:after="0"/>
        <w:ind w:left="418" w:right="1604" w:firstLine="422"/>
        <w:jc w:val="both"/>
        <w:rPr>
          <w:sz w:val="21"/>
        </w:rPr>
      </w:pPr>
      <w:r>
        <w:rPr>
          <w:spacing w:val="-3"/>
          <w:sz w:val="21"/>
        </w:rPr>
        <w:t>城市消防安全布局应按城市消防安全和综合防灾的要求，对易燃易爆危险品场所或设施及影响范围、建筑耐火等级低或灭火救援条件差的建筑密集区、理事城区、历史文化街区、城市地下空间、防火隔离带、防灾避免场地等进行综合部署和具体安排，制定消防安全措施和规划管制措施。</w:t>
      </w:r>
      <w:r>
        <w:rPr>
          <w:sz w:val="21"/>
        </w:rPr>
        <w:t> </w:t>
      </w:r>
    </w:p>
    <w:p>
      <w:pPr>
        <w:pStyle w:val="ListParagraph"/>
        <w:numPr>
          <w:ilvl w:val="1"/>
          <w:numId w:val="859"/>
        </w:numPr>
        <w:tabs>
          <w:tab w:pos="1213" w:val="left" w:leader="none"/>
        </w:tabs>
        <w:spacing w:line="267" w:lineRule="exact" w:before="0" w:after="0"/>
        <w:ind w:left="1212" w:right="0" w:hanging="373"/>
        <w:jc w:val="both"/>
        <w:rPr>
          <w:sz w:val="21"/>
        </w:rPr>
      </w:pPr>
      <w:r>
        <w:rPr>
          <w:spacing w:val="-3"/>
          <w:sz w:val="21"/>
        </w:rPr>
        <w:t>易燃易爆危险品场所或设施的消防安全应符合下列规定：</w:t>
      </w:r>
      <w:r>
        <w:rPr>
          <w:sz w:val="21"/>
        </w:rPr>
        <w:t> </w:t>
      </w:r>
    </w:p>
    <w:p>
      <w:pPr>
        <w:pStyle w:val="BodyText"/>
        <w:rPr>
          <w:sz w:val="18"/>
        </w:rPr>
      </w:pPr>
    </w:p>
    <w:p>
      <w:pPr>
        <w:pStyle w:val="BodyText"/>
        <w:spacing w:line="446" w:lineRule="auto"/>
        <w:ind w:left="418" w:right="1609" w:firstLine="419"/>
      </w:pPr>
      <w:r>
        <w:rPr/>
        <w:t>易燃易爆危险品场所或设施应按现行相关标准的规定控制规模，并应根据消防安全的要求合理布局。 </w:t>
      </w:r>
    </w:p>
    <w:p>
      <w:pPr>
        <w:pStyle w:val="BodyText"/>
        <w:spacing w:line="446" w:lineRule="auto"/>
        <w:ind w:left="418" w:right="1608" w:firstLine="419"/>
        <w:jc w:val="both"/>
      </w:pPr>
      <w:r>
        <w:rPr/>
        <w:t>易燃易爆危险品场所或设施应设置在城市的边缘或相对独立的安全地带；大、中型易燃易爆危险品场所或设施应设置在城市建设用地边缘的独立安全地区，不得设置在城市常年主导风向的上风向、主要水源的上游或其他危及公共安全的地区。对周边地区有重大安全影响的易燃易爆危险品场所或设施，应设置防灾缓冲地带和可靠的安全设施。 </w:t>
      </w:r>
    </w:p>
    <w:p>
      <w:pPr>
        <w:pStyle w:val="BodyText"/>
        <w:spacing w:line="446" w:lineRule="auto"/>
        <w:ind w:left="418" w:right="1608" w:firstLine="419"/>
        <w:jc w:val="both"/>
      </w:pPr>
      <w:r>
        <w:rPr/>
        <w:t>易燃易爆危险品场所或设施与相邻建筑、设施、交通线等的安全距离应符合国家现行相关标准的规定。城市建设用地范围内新建易燃易爆危险品生产、储存、装卸、经营场所或设施的安全距离，应控制其总用地范围内。 </w:t>
      </w:r>
    </w:p>
    <w:p>
      <w:pPr>
        <w:pStyle w:val="BodyText"/>
        <w:spacing w:line="446" w:lineRule="auto"/>
        <w:ind w:left="418" w:right="1450" w:firstLine="419"/>
      </w:pPr>
      <w:r>
        <w:rPr>
          <w:spacing w:val="-3"/>
        </w:rPr>
        <w:t>城市建设用地范围内应控制汽车加油站、加气站和加油加气合建站的规模和布局，并应符 合现行国家标准《汽车加油加气站设计与施工规范》</w:t>
      </w:r>
      <w:r>
        <w:rPr/>
        <w:t>GB</w:t>
      </w:r>
      <w:r>
        <w:rPr>
          <w:spacing w:val="15"/>
        </w:rPr>
        <w:t> </w:t>
      </w:r>
      <w:r>
        <w:rPr/>
        <w:t>50156</w:t>
      </w:r>
      <w:r>
        <w:rPr>
          <w:spacing w:val="-3"/>
        </w:rPr>
        <w:t>、《建筑设计规范》</w:t>
      </w:r>
      <w:r>
        <w:rPr/>
        <w:t>GB</w:t>
      </w:r>
      <w:r>
        <w:rPr>
          <w:spacing w:val="16"/>
        </w:rPr>
        <w:t> </w:t>
      </w:r>
      <w:r>
        <w:rPr/>
        <w:t>5016</w:t>
      </w:r>
      <w:r>
        <w:rPr>
          <w:spacing w:val="-16"/>
        </w:rPr>
        <w:t> 的有</w:t>
      </w:r>
      <w:r>
        <w:rPr>
          <w:spacing w:val="-10"/>
        </w:rPr>
        <w:t>关规定。</w:t>
      </w:r>
      <w:r>
        <w:rPr/>
        <w:t> </w:t>
      </w:r>
    </w:p>
    <w:p>
      <w:pPr>
        <w:pStyle w:val="BodyText"/>
        <w:spacing w:line="446" w:lineRule="auto"/>
        <w:ind w:left="418" w:right="1505" w:firstLine="419"/>
      </w:pPr>
      <w:r>
        <w:rPr>
          <w:spacing w:val="-5"/>
        </w:rPr>
        <w:t>城市燃气系统应统筹规划，区域性输油管道和压力大于 </w:t>
      </w:r>
      <w:r>
        <w:rPr/>
        <w:t>1.6MPa</w:t>
      </w:r>
      <w:r>
        <w:rPr>
          <w:spacing w:val="-8"/>
        </w:rPr>
        <w:t> 的高压燃气管道不得穿越军</w:t>
      </w:r>
      <w:r>
        <w:rPr>
          <w:spacing w:val="-5"/>
        </w:rPr>
        <w:t>事设施、国家重点文物保护单位、其他易燃易爆危险品场所或设施用地、机场</w:t>
      </w:r>
      <w:r>
        <w:rPr/>
        <w:t>（</w:t>
      </w:r>
      <w:r>
        <w:rPr>
          <w:spacing w:val="-3"/>
        </w:rPr>
        <w:t>机场专用输油管除外</w:t>
      </w:r>
      <w:r>
        <w:rPr/>
        <w:t>）</w:t>
      </w:r>
      <w:r>
        <w:rPr>
          <w:spacing w:val="-3"/>
        </w:rPr>
        <w:t>、非危险品车站和港口码头；城市输油、输气管与周围建筑和设施之间的安全距离应符合国家现行有关技术标准的规定。</w:t>
      </w:r>
      <w:r>
        <w:rPr/>
        <w:t> </w:t>
      </w:r>
    </w:p>
    <w:p>
      <w:pPr>
        <w:pStyle w:val="BodyText"/>
        <w:spacing w:line="269" w:lineRule="exact"/>
        <w:ind w:left="838"/>
      </w:pPr>
      <w:r>
        <w:rPr/>
        <w:t>合理安排易燃易爆危险品运输线路及通行时段。 </w:t>
      </w:r>
    </w:p>
    <w:p>
      <w:pPr>
        <w:pStyle w:val="BodyText"/>
        <w:spacing w:before="8"/>
        <w:rPr>
          <w:sz w:val="17"/>
        </w:rPr>
      </w:pPr>
    </w:p>
    <w:p>
      <w:pPr>
        <w:pStyle w:val="BodyText"/>
        <w:spacing w:line="446" w:lineRule="auto"/>
        <w:ind w:left="418" w:right="1608" w:firstLine="419"/>
        <w:jc w:val="both"/>
      </w:pPr>
      <w:r>
        <w:rPr/>
        <w:t>现有影响城市消防安全的易燃易爆危险品场所或设施，应结合城市更新改造，进行调整规模、技术改造、搬迁或拆除等。构成重大隐患的，应采取停用、搬迁或拆除等措施，并应纳入近期建设规划。 </w:t>
      </w:r>
    </w:p>
    <w:p>
      <w:pPr>
        <w:spacing w:after="0" w:line="446" w:lineRule="auto"/>
        <w:jc w:val="both"/>
        <w:sectPr>
          <w:pgSz w:w="11910" w:h="16850"/>
          <w:pgMar w:header="0" w:footer="1239" w:top="1220" w:bottom="1420" w:left="1260" w:right="0"/>
        </w:sectPr>
      </w:pPr>
    </w:p>
    <w:p>
      <w:pPr>
        <w:pStyle w:val="ListParagraph"/>
        <w:numPr>
          <w:ilvl w:val="1"/>
          <w:numId w:val="859"/>
        </w:numPr>
        <w:tabs>
          <w:tab w:pos="1160" w:val="left" w:leader="none"/>
        </w:tabs>
        <w:spacing w:line="446" w:lineRule="auto" w:before="47" w:after="0"/>
        <w:ind w:left="418" w:right="1604" w:firstLine="422"/>
        <w:jc w:val="left"/>
        <w:rPr>
          <w:sz w:val="21"/>
        </w:rPr>
      </w:pPr>
      <w:r>
        <w:rPr>
          <w:spacing w:val="-3"/>
          <w:sz w:val="21"/>
        </w:rPr>
        <w:t>城市建设用地内，应建造一、二级耐火等级的建筑，控制三级耐火等级的建筑，严格限制四级耐火等级的建筑。 </w:t>
      </w:r>
    </w:p>
    <w:p>
      <w:pPr>
        <w:pStyle w:val="ListParagraph"/>
        <w:numPr>
          <w:ilvl w:val="1"/>
          <w:numId w:val="859"/>
        </w:numPr>
        <w:tabs>
          <w:tab w:pos="1159" w:val="left" w:leader="none"/>
        </w:tabs>
        <w:spacing w:line="267" w:lineRule="exact" w:before="0" w:after="0"/>
        <w:ind w:left="1158" w:right="0" w:hanging="319"/>
        <w:jc w:val="left"/>
        <w:rPr>
          <w:sz w:val="21"/>
        </w:rPr>
      </w:pPr>
      <w:r>
        <w:rPr>
          <w:spacing w:val="-3"/>
          <w:sz w:val="21"/>
        </w:rPr>
        <w:t>历史城区及历史文化街区的消防安全应符合下列规定：</w:t>
      </w:r>
      <w:r>
        <w:rPr>
          <w:sz w:val="21"/>
        </w:rPr>
        <w:t> </w:t>
      </w:r>
    </w:p>
    <w:p>
      <w:pPr>
        <w:pStyle w:val="BodyText"/>
        <w:spacing w:before="2"/>
        <w:rPr>
          <w:sz w:val="18"/>
        </w:rPr>
      </w:pPr>
    </w:p>
    <w:p>
      <w:pPr>
        <w:pStyle w:val="BodyText"/>
        <w:ind w:left="838"/>
      </w:pPr>
      <w:r>
        <w:rPr/>
        <w:t>历史城区应建立消防安全体系，因地制宜地配置消防设施、装备和器材； </w:t>
      </w:r>
    </w:p>
    <w:p>
      <w:pPr>
        <w:pStyle w:val="BodyText"/>
        <w:rPr>
          <w:sz w:val="18"/>
        </w:rPr>
      </w:pPr>
    </w:p>
    <w:p>
      <w:pPr>
        <w:pStyle w:val="BodyText"/>
        <w:spacing w:line="446" w:lineRule="auto"/>
        <w:ind w:left="418" w:right="1609" w:firstLine="419"/>
      </w:pPr>
      <w:r>
        <w:rPr/>
        <w:t>历史城区不得设置生产、储存易燃易爆危险品的工厂和仓库，不得保留或新建输气、输油管线和储气、储油设施，不宜设置配气站，低压燃气调压设施宜采用小型调压装置； </w:t>
      </w:r>
    </w:p>
    <w:p>
      <w:pPr>
        <w:pStyle w:val="BodyText"/>
        <w:spacing w:line="446" w:lineRule="auto"/>
        <w:ind w:left="418" w:right="1609" w:firstLine="419"/>
      </w:pPr>
      <w:r>
        <w:rPr/>
        <w:t>历史城区的道路系统在保持或延续原有道路格局和原有空间尺度的同时，应充分考虑必要的消防通道； </w:t>
      </w:r>
    </w:p>
    <w:p>
      <w:pPr>
        <w:pStyle w:val="BodyText"/>
        <w:spacing w:line="446" w:lineRule="auto"/>
        <w:ind w:left="418" w:right="1609" w:firstLine="419"/>
      </w:pPr>
      <w:r>
        <w:rPr/>
        <w:t>历史文化街区应配置小型，适用的消防设施、装备和器材；不符合消防车通道和消防给水要求的街巷，应设置水池、水缸、沙池、灭火器等消防设施和器材； </w:t>
      </w:r>
    </w:p>
    <w:p>
      <w:pPr>
        <w:pStyle w:val="BodyText"/>
        <w:spacing w:line="446" w:lineRule="auto"/>
        <w:ind w:left="838" w:right="5497"/>
      </w:pPr>
      <w:r>
        <w:rPr>
          <w:spacing w:val="-3"/>
        </w:rPr>
        <w:t>历史文化街区外围宜设置环形消防车通道；  历史文化街区不得设置汽车加油站、加气站。</w:t>
      </w:r>
      <w:r>
        <w:rPr/>
        <w:t> </w:t>
      </w:r>
    </w:p>
    <w:p>
      <w:pPr>
        <w:pStyle w:val="ListParagraph"/>
        <w:numPr>
          <w:ilvl w:val="1"/>
          <w:numId w:val="859"/>
        </w:numPr>
        <w:tabs>
          <w:tab w:pos="1213" w:val="left" w:leader="none"/>
        </w:tabs>
        <w:spacing w:line="446" w:lineRule="auto" w:before="0" w:after="0"/>
        <w:ind w:left="418" w:right="1445" w:firstLine="422"/>
        <w:jc w:val="left"/>
        <w:rPr>
          <w:sz w:val="21"/>
        </w:rPr>
      </w:pPr>
      <w:r>
        <w:rPr>
          <w:spacing w:val="-3"/>
          <w:sz w:val="21"/>
        </w:rPr>
        <w:t>城市地下空间应严格控制规模，避免大面积相互贯通连接，并应配置相应的消防和应急救援设施。</w:t>
      </w:r>
      <w:r>
        <w:rPr>
          <w:sz w:val="21"/>
        </w:rPr>
        <w:t> </w:t>
      </w:r>
    </w:p>
    <w:p>
      <w:pPr>
        <w:pStyle w:val="ListParagraph"/>
        <w:numPr>
          <w:ilvl w:val="1"/>
          <w:numId w:val="859"/>
        </w:numPr>
        <w:tabs>
          <w:tab w:pos="1159" w:val="left" w:leader="none"/>
        </w:tabs>
        <w:spacing w:line="267" w:lineRule="exact" w:before="0" w:after="0"/>
        <w:ind w:left="1158" w:right="0" w:hanging="319"/>
        <w:jc w:val="left"/>
        <w:rPr>
          <w:sz w:val="21"/>
        </w:rPr>
      </w:pPr>
      <w:r>
        <w:rPr>
          <w:spacing w:val="-3"/>
          <w:sz w:val="21"/>
        </w:rPr>
        <w:t>防火隔离带可利用道路、广场、水域等进行设置。</w:t>
      </w:r>
      <w:r>
        <w:rPr>
          <w:sz w:val="21"/>
        </w:rPr>
        <w:t> </w:t>
      </w:r>
    </w:p>
    <w:p>
      <w:pPr>
        <w:pStyle w:val="BodyText"/>
        <w:spacing w:before="12"/>
        <w:rPr>
          <w:sz w:val="17"/>
        </w:rPr>
      </w:pPr>
    </w:p>
    <w:p>
      <w:pPr>
        <w:pStyle w:val="ListParagraph"/>
        <w:numPr>
          <w:ilvl w:val="1"/>
          <w:numId w:val="859"/>
        </w:numPr>
        <w:tabs>
          <w:tab w:pos="1159" w:val="left" w:leader="none"/>
        </w:tabs>
        <w:spacing w:line="446" w:lineRule="auto" w:before="0" w:after="0"/>
        <w:ind w:left="418" w:right="1604" w:firstLine="422"/>
        <w:jc w:val="left"/>
        <w:rPr>
          <w:sz w:val="21"/>
        </w:rPr>
      </w:pPr>
      <w:r>
        <w:rPr>
          <w:spacing w:val="-3"/>
          <w:sz w:val="21"/>
        </w:rPr>
        <w:t>城市防灾避难场地可结合道路、广场、运动场、绿地、公园、居住区公共场地等开敞空间进行设置。</w:t>
      </w:r>
      <w:r>
        <w:rPr>
          <w:sz w:val="21"/>
        </w:rPr>
        <w:t> </w:t>
      </w:r>
    </w:p>
    <w:p>
      <w:pPr>
        <w:pStyle w:val="ListParagraph"/>
        <w:numPr>
          <w:ilvl w:val="1"/>
          <w:numId w:val="859"/>
        </w:numPr>
        <w:tabs>
          <w:tab w:pos="1160" w:val="left" w:leader="none"/>
        </w:tabs>
        <w:spacing w:line="446" w:lineRule="auto" w:before="0" w:after="0"/>
        <w:ind w:left="418" w:right="1604" w:firstLine="422"/>
        <w:jc w:val="left"/>
        <w:rPr>
          <w:sz w:val="21"/>
        </w:rPr>
      </w:pPr>
      <w:r>
        <w:rPr>
          <w:spacing w:val="-3"/>
          <w:sz w:val="21"/>
        </w:rPr>
        <w:t>城市与森林、草原相邻的区域，应根据火灾风险和消防安全要求，规定并控制城市建设用地边缘与森林、草原边缘的安全距离。</w:t>
      </w:r>
      <w:r>
        <w:rPr>
          <w:sz w:val="21"/>
        </w:rPr>
        <w:t> </w:t>
      </w:r>
    </w:p>
    <w:p>
      <w:pPr>
        <w:pStyle w:val="Heading4"/>
        <w:spacing w:line="278" w:lineRule="exact"/>
      </w:pPr>
      <w:r>
        <w:rPr/>
        <w:t>4 公共消防设施</w:t>
      </w:r>
      <w:r>
        <w:rPr>
          <w:w w:val="99"/>
        </w:rPr>
        <w:t> </w:t>
      </w:r>
    </w:p>
    <w:p>
      <w:pPr>
        <w:pStyle w:val="BodyText"/>
        <w:spacing w:before="1"/>
        <w:rPr>
          <w:b/>
          <w:sz w:val="17"/>
        </w:rPr>
      </w:pPr>
    </w:p>
    <w:p>
      <w:pPr>
        <w:pStyle w:val="ListParagraph"/>
        <w:numPr>
          <w:ilvl w:val="1"/>
          <w:numId w:val="860"/>
        </w:numPr>
        <w:tabs>
          <w:tab w:pos="1159" w:val="left" w:leader="none"/>
        </w:tabs>
        <w:spacing w:line="240" w:lineRule="auto" w:before="1" w:after="0"/>
        <w:ind w:left="1158" w:right="0" w:hanging="319"/>
        <w:jc w:val="left"/>
        <w:rPr>
          <w:b/>
          <w:sz w:val="21"/>
        </w:rPr>
      </w:pPr>
      <w:r>
        <w:rPr>
          <w:spacing w:val="-3"/>
          <w:sz w:val="21"/>
        </w:rPr>
        <w:t>消防站</w:t>
      </w:r>
      <w:r>
        <w:rPr>
          <w:b/>
          <w:w w:val="99"/>
          <w:sz w:val="21"/>
        </w:rPr>
        <w:t> </w:t>
      </w:r>
    </w:p>
    <w:p>
      <w:pPr>
        <w:pStyle w:val="BodyText"/>
        <w:spacing w:before="1"/>
        <w:rPr>
          <w:b/>
          <w:sz w:val="18"/>
        </w:rPr>
      </w:pPr>
    </w:p>
    <w:p>
      <w:pPr>
        <w:pStyle w:val="ListParagraph"/>
        <w:numPr>
          <w:ilvl w:val="2"/>
          <w:numId w:val="860"/>
        </w:numPr>
        <w:tabs>
          <w:tab w:pos="1424" w:val="left" w:leader="none"/>
        </w:tabs>
        <w:spacing w:line="446" w:lineRule="auto" w:before="0" w:after="0"/>
        <w:ind w:left="418" w:right="1657" w:firstLine="422"/>
        <w:jc w:val="left"/>
        <w:rPr>
          <w:sz w:val="21"/>
        </w:rPr>
      </w:pPr>
      <w:r>
        <w:rPr>
          <w:spacing w:val="-3"/>
          <w:sz w:val="21"/>
        </w:rPr>
        <w:t>城市消防站分为陆上消防站、水上消防站和航空消防站；陆上消防站分为普通消防站、特勤消防站和战勤保障消防站。普通消防站分为一级普通消防站和二级普通消防站。</w:t>
      </w:r>
      <w:r>
        <w:rPr>
          <w:sz w:val="21"/>
        </w:rPr>
        <w:t> </w:t>
      </w:r>
    </w:p>
    <w:p>
      <w:pPr>
        <w:pStyle w:val="ListParagraph"/>
        <w:numPr>
          <w:ilvl w:val="2"/>
          <w:numId w:val="860"/>
        </w:numPr>
        <w:tabs>
          <w:tab w:pos="1371" w:val="left" w:leader="none"/>
        </w:tabs>
        <w:spacing w:line="267" w:lineRule="exact" w:before="0" w:after="0"/>
        <w:ind w:left="1370" w:right="0" w:hanging="531"/>
        <w:jc w:val="left"/>
        <w:rPr>
          <w:sz w:val="21"/>
        </w:rPr>
      </w:pPr>
      <w:r>
        <w:rPr>
          <w:spacing w:val="-3"/>
          <w:sz w:val="21"/>
        </w:rPr>
        <w:t>陆上消防站设置应符合下列规定：</w:t>
      </w:r>
      <w:r>
        <w:rPr>
          <w:sz w:val="21"/>
        </w:rPr>
        <w:t> </w:t>
      </w:r>
    </w:p>
    <w:p>
      <w:pPr>
        <w:pStyle w:val="BodyText"/>
        <w:spacing w:before="2"/>
        <w:rPr>
          <w:sz w:val="18"/>
        </w:rPr>
      </w:pPr>
    </w:p>
    <w:p>
      <w:pPr>
        <w:pStyle w:val="BodyText"/>
        <w:ind w:left="838"/>
      </w:pPr>
      <w:r>
        <w:rPr/>
        <w:t>城市建设用地范围内应设置一级普通消防站； </w:t>
      </w:r>
    </w:p>
    <w:p>
      <w:pPr>
        <w:pStyle w:val="BodyText"/>
        <w:rPr>
          <w:sz w:val="18"/>
        </w:rPr>
      </w:pPr>
    </w:p>
    <w:p>
      <w:pPr>
        <w:pStyle w:val="BodyText"/>
        <w:ind w:left="838"/>
      </w:pPr>
      <w:r>
        <w:rPr/>
        <w:t>城市建成区内设置一级普通消防站确有困难的区域，经论证可设二级普通消防站。 </w:t>
      </w:r>
    </w:p>
    <w:p>
      <w:pPr>
        <w:pStyle w:val="BodyText"/>
        <w:rPr>
          <w:sz w:val="18"/>
        </w:rPr>
      </w:pPr>
    </w:p>
    <w:p>
      <w:pPr>
        <w:pStyle w:val="BodyText"/>
        <w:spacing w:line="446" w:lineRule="auto"/>
        <w:ind w:left="418" w:right="1609" w:firstLine="419"/>
      </w:pPr>
      <w:r>
        <w:rPr/>
        <w:t>地级及以上城市、经济较发达的县级城市应设置特勤消防站和战勤保障消防站，经济发达且有特勤任务需要的城镇可设置特勤消防站。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pPr>
      <w:r>
        <w:rPr/>
        <w:t>消防站应独立设置。特殊情况下，设在综合性建筑物中的消防站应有独立的功能分区，并应有与其他使用功能完全隔离，其交通组织应便于消防车应急出入。 </w:t>
      </w:r>
    </w:p>
    <w:p>
      <w:pPr>
        <w:pStyle w:val="ListParagraph"/>
        <w:numPr>
          <w:ilvl w:val="2"/>
          <w:numId w:val="860"/>
        </w:numPr>
        <w:tabs>
          <w:tab w:pos="1371" w:val="left" w:leader="none"/>
        </w:tabs>
        <w:spacing w:line="267" w:lineRule="exact" w:before="0" w:after="0"/>
        <w:ind w:left="1370" w:right="0" w:hanging="531"/>
        <w:jc w:val="left"/>
        <w:rPr>
          <w:sz w:val="21"/>
        </w:rPr>
      </w:pPr>
      <w:r>
        <w:rPr>
          <w:spacing w:val="-3"/>
          <w:sz w:val="21"/>
        </w:rPr>
        <w:t>陆上消防站布局应符合下列规定：</w:t>
      </w:r>
      <w:r>
        <w:rPr>
          <w:sz w:val="21"/>
        </w:rPr>
        <w:t> </w:t>
      </w:r>
    </w:p>
    <w:p>
      <w:pPr>
        <w:pStyle w:val="BodyText"/>
        <w:spacing w:before="2"/>
        <w:rPr>
          <w:sz w:val="18"/>
        </w:rPr>
      </w:pPr>
    </w:p>
    <w:p>
      <w:pPr>
        <w:pStyle w:val="BodyText"/>
        <w:spacing w:line="446" w:lineRule="auto"/>
        <w:ind w:left="418" w:right="1505" w:firstLine="419"/>
      </w:pPr>
      <w:r>
        <w:rPr>
          <w:spacing w:val="-5"/>
        </w:rPr>
        <w:t>城市建设用地范围内普通消防站布局，应以消防队接到出动指令后 </w:t>
      </w:r>
      <w:r>
        <w:rPr/>
        <w:t>5min</w:t>
      </w:r>
      <w:r>
        <w:rPr>
          <w:spacing w:val="-7"/>
        </w:rPr>
        <w:t> 内可以到达其辖区</w:t>
      </w:r>
      <w:r>
        <w:rPr>
          <w:spacing w:val="-5"/>
        </w:rPr>
        <w:t>边缘为原则确定。</w:t>
      </w:r>
      <w:r>
        <w:rPr/>
        <w:t> </w:t>
      </w:r>
    </w:p>
    <w:p>
      <w:pPr>
        <w:pStyle w:val="BodyText"/>
        <w:spacing w:line="441" w:lineRule="auto"/>
        <w:ind w:left="418" w:right="1606" w:firstLine="419"/>
      </w:pPr>
      <w:r>
        <w:rPr>
          <w:spacing w:val="-5"/>
        </w:rPr>
        <w:t>普通消防站辖区面积不宜大于 </w:t>
      </w:r>
      <w:r>
        <w:rPr/>
        <w:t>7km</w:t>
      </w:r>
      <w:r>
        <w:rPr>
          <w:position w:val="11"/>
          <w:sz w:val="11"/>
        </w:rPr>
        <w:t>2</w:t>
      </w:r>
      <w:r>
        <w:rPr>
          <w:spacing w:val="-3"/>
        </w:rPr>
        <w:t>；设在城市建设用地边缘地区、新区且道路系统较为畅</w:t>
      </w:r>
      <w:r>
        <w:rPr>
          <w:spacing w:val="-5"/>
        </w:rPr>
        <w:t>通的普通消防站，应以消防队接到出动指令后 </w:t>
      </w:r>
      <w:r>
        <w:rPr/>
        <w:t>5min</w:t>
      </w:r>
      <w:r>
        <w:rPr>
          <w:spacing w:val="-8"/>
        </w:rPr>
        <w:t> 内可以到达其辖区边缘为原则确定辖区面</w:t>
      </w:r>
      <w:r>
        <w:rPr>
          <w:spacing w:val="-9"/>
        </w:rPr>
        <w:t>积，其辖区面积不应大于 </w:t>
      </w:r>
      <w:r>
        <w:rPr/>
        <w:t>15km</w:t>
      </w:r>
      <w:r>
        <w:rPr>
          <w:position w:val="11"/>
          <w:sz w:val="11"/>
        </w:rPr>
        <w:t>2</w:t>
      </w:r>
      <w:r>
        <w:rPr>
          <w:spacing w:val="-3"/>
        </w:rPr>
        <w:t>；也可通过城市或区域火灾风险评估确定消防站辖区面积。</w:t>
      </w:r>
      <w:r>
        <w:rPr/>
        <w:t> </w:t>
      </w:r>
    </w:p>
    <w:p>
      <w:pPr>
        <w:pStyle w:val="BodyText"/>
        <w:spacing w:line="446" w:lineRule="auto"/>
        <w:ind w:left="418" w:right="1609" w:firstLine="419"/>
      </w:pPr>
      <w:r>
        <w:rPr/>
        <w:t>特勤消防站应根据其特勤任务服务的主要对象，设在靠近其辖区中心且交通便捷的位置。特勤消防站同时兼有其辖区灭火救援任务的，其辖区面积宜与普通消防站辖区面积相同。 </w:t>
      </w:r>
    </w:p>
    <w:p>
      <w:pPr>
        <w:pStyle w:val="BodyText"/>
        <w:spacing w:line="446" w:lineRule="auto"/>
        <w:ind w:left="418" w:right="1450" w:firstLine="419"/>
      </w:pPr>
      <w:r>
        <w:rPr>
          <w:spacing w:val="-3"/>
        </w:rPr>
        <w:t>消防站辖区划定应结合地域特点、地形条件和火灾风险等，并应现状兼顾消防站辖区，不 宜跨越高速公路、城市快速路、铁路干线和较大的河流。当受地形条件限制，被高速公路、城 </w:t>
      </w:r>
      <w:r>
        <w:rPr>
          <w:spacing w:val="-5"/>
        </w:rPr>
        <w:t>市快速路、铁路干线和较大的河流分隔，年平均风力在 </w:t>
      </w:r>
      <w:r>
        <w:rPr/>
        <w:t>3</w:t>
      </w:r>
      <w:r>
        <w:rPr>
          <w:spacing w:val="-11"/>
        </w:rPr>
        <w:t> 级以上或相对湿度在 </w:t>
      </w:r>
      <w:r>
        <w:rPr/>
        <w:t>50</w:t>
      </w:r>
      <w:r>
        <w:rPr>
          <w:spacing w:val="-2"/>
        </w:rPr>
        <w:t>%以下的地区， </w:t>
      </w:r>
      <w:r>
        <w:rPr>
          <w:spacing w:val="-3"/>
        </w:rPr>
        <w:t>应适当缩小消防站辖区面积。</w:t>
      </w:r>
      <w:r>
        <w:rPr/>
        <w:t> </w:t>
      </w:r>
    </w:p>
    <w:p>
      <w:pPr>
        <w:pStyle w:val="ListParagraph"/>
        <w:numPr>
          <w:ilvl w:val="2"/>
          <w:numId w:val="860"/>
        </w:numPr>
        <w:tabs>
          <w:tab w:pos="1371" w:val="left" w:leader="none"/>
        </w:tabs>
        <w:spacing w:line="267" w:lineRule="exact" w:before="0" w:after="0"/>
        <w:ind w:left="1370" w:right="0" w:hanging="531"/>
        <w:jc w:val="left"/>
        <w:rPr>
          <w:sz w:val="21"/>
        </w:rPr>
      </w:pPr>
      <w:r>
        <w:rPr>
          <w:spacing w:val="-3"/>
          <w:sz w:val="21"/>
        </w:rPr>
        <w:t>陆上消防站建设用地面积应符合下列规定：</w:t>
      </w:r>
      <w:r>
        <w:rPr>
          <w:sz w:val="21"/>
        </w:rPr>
        <w:t> </w:t>
      </w:r>
    </w:p>
    <w:p>
      <w:pPr>
        <w:pStyle w:val="BodyText"/>
        <w:spacing w:before="7"/>
        <w:rPr>
          <w:sz w:val="17"/>
        </w:rPr>
      </w:pPr>
    </w:p>
    <w:p>
      <w:pPr>
        <w:pStyle w:val="BodyText"/>
        <w:spacing w:line="446" w:lineRule="auto" w:before="1"/>
        <w:ind w:left="838" w:right="6549"/>
        <w:jc w:val="both"/>
      </w:pPr>
      <w:r>
        <w:rPr/>
        <w:t>一级普通消防站 3900 ㎡～5600 ㎡二级普通消防站 2300 ㎡～3800 ㎡特勤消防站 5600 ㎡～7200 ㎡ </w:t>
      </w:r>
    </w:p>
    <w:p>
      <w:pPr>
        <w:pStyle w:val="BodyText"/>
        <w:spacing w:line="268" w:lineRule="exact"/>
        <w:ind w:left="838"/>
        <w:jc w:val="both"/>
      </w:pPr>
      <w:r>
        <w:rPr/>
        <w:t>战勤保障消防站 6200 ㎡～7900 ㎡ </w:t>
      </w:r>
    </w:p>
    <w:p>
      <w:pPr>
        <w:pStyle w:val="BodyText"/>
        <w:rPr>
          <w:sz w:val="18"/>
        </w:rPr>
      </w:pPr>
    </w:p>
    <w:p>
      <w:pPr>
        <w:pStyle w:val="BodyText"/>
        <w:spacing w:line="446" w:lineRule="auto"/>
        <w:ind w:left="418" w:right="1609" w:firstLine="419"/>
        <w:jc w:val="both"/>
      </w:pPr>
      <w:r>
        <w:rPr/>
        <w:t>注：上述指标未包含站内消防车道、绿化用地面积，在确定消防站建设用地总面积时，可按 0.5～0.6 的容积率进行测算； </w:t>
      </w:r>
    </w:p>
    <w:p>
      <w:pPr>
        <w:pStyle w:val="ListParagraph"/>
        <w:numPr>
          <w:ilvl w:val="2"/>
          <w:numId w:val="860"/>
        </w:numPr>
        <w:tabs>
          <w:tab w:pos="1371" w:val="left" w:leader="none"/>
        </w:tabs>
        <w:spacing w:line="240" w:lineRule="auto" w:before="0" w:after="0"/>
        <w:ind w:left="1370" w:right="0" w:hanging="531"/>
        <w:jc w:val="both"/>
        <w:rPr>
          <w:sz w:val="21"/>
        </w:rPr>
      </w:pPr>
      <w:r>
        <w:rPr>
          <w:spacing w:val="-3"/>
          <w:sz w:val="21"/>
        </w:rPr>
        <w:t>陆上消防站的选址应符合下列规定：</w:t>
      </w:r>
      <w:r>
        <w:rPr>
          <w:sz w:val="21"/>
        </w:rPr>
        <w:t> </w:t>
      </w:r>
    </w:p>
    <w:p>
      <w:pPr>
        <w:pStyle w:val="BodyText"/>
        <w:spacing w:before="12"/>
        <w:rPr>
          <w:sz w:val="17"/>
        </w:rPr>
      </w:pPr>
    </w:p>
    <w:p>
      <w:pPr>
        <w:pStyle w:val="BodyText"/>
        <w:ind w:left="838"/>
      </w:pPr>
      <w:r>
        <w:rPr/>
        <w:t>消防站应设置在便于消防车辆迅速出动的主、次干道的临街地段； </w:t>
      </w:r>
    </w:p>
    <w:p>
      <w:pPr>
        <w:pStyle w:val="BodyText"/>
        <w:spacing w:before="12"/>
        <w:rPr>
          <w:sz w:val="17"/>
        </w:rPr>
      </w:pPr>
    </w:p>
    <w:p>
      <w:pPr>
        <w:pStyle w:val="BodyText"/>
        <w:spacing w:line="446" w:lineRule="auto"/>
        <w:ind w:left="418" w:right="1609" w:firstLine="419"/>
      </w:pPr>
      <w:r>
        <w:rPr/>
        <w:t>消防站执勤车辆的主出入口与医院、学校、幼儿园、托儿所、影剧院、商场、体育场馆、展览馆等人员密集场所的主要疏散出口的距离不应小于 50m； </w:t>
      </w:r>
    </w:p>
    <w:p>
      <w:pPr>
        <w:pStyle w:val="BodyText"/>
        <w:spacing w:line="446" w:lineRule="auto" w:before="1"/>
        <w:ind w:left="418" w:right="1609" w:firstLine="419"/>
      </w:pPr>
      <w:r>
        <w:rPr/>
        <w:t>消防站辖区内有易燃易爆危险品场所或设施的，消防站应设置在危险品场所或设施的常年主导风向的上风或侧风处，其用地边界距危险品部位不应小于 200m。 </w:t>
      </w:r>
    </w:p>
    <w:p>
      <w:pPr>
        <w:spacing w:after="0" w:line="446" w:lineRule="auto"/>
        <w:sectPr>
          <w:pgSz w:w="11910" w:h="16850"/>
          <w:pgMar w:header="0" w:footer="1239" w:top="1220" w:bottom="1420" w:left="1260" w:right="0"/>
        </w:sectPr>
      </w:pPr>
    </w:p>
    <w:p>
      <w:pPr>
        <w:pStyle w:val="ListParagraph"/>
        <w:numPr>
          <w:ilvl w:val="2"/>
          <w:numId w:val="860"/>
        </w:numPr>
        <w:tabs>
          <w:tab w:pos="1371" w:val="left" w:leader="none"/>
        </w:tabs>
        <w:spacing w:line="446" w:lineRule="auto" w:before="47" w:after="0"/>
        <w:ind w:left="418" w:right="1604" w:firstLine="422"/>
        <w:jc w:val="left"/>
        <w:rPr>
          <w:sz w:val="21"/>
        </w:rPr>
      </w:pPr>
      <w:r>
        <w:rPr>
          <w:spacing w:val="-3"/>
          <w:sz w:val="21"/>
        </w:rPr>
        <w:t>有水上消防任务的水域应设置水上消防站。水上消防站的设置和布局应符合下列规定：</w:t>
      </w:r>
      <w:r>
        <w:rPr>
          <w:sz w:val="21"/>
        </w:rPr>
        <w:t> </w:t>
      </w:r>
    </w:p>
    <w:p>
      <w:pPr>
        <w:pStyle w:val="BodyText"/>
        <w:spacing w:line="446" w:lineRule="auto"/>
        <w:ind w:left="418" w:right="1609" w:firstLine="419"/>
      </w:pPr>
      <w:r>
        <w:rPr/>
        <w:t>水上消防站应设置供消防艇靠泊的岸线，岸线长度不应小于消防艇靠泊所需长度，河流、湖泊的岸线消防艇靠泊长度不应小于 100m； </w:t>
      </w:r>
    </w:p>
    <w:p>
      <w:pPr>
        <w:pStyle w:val="BodyText"/>
        <w:spacing w:line="446" w:lineRule="auto"/>
        <w:ind w:left="418" w:right="1817" w:firstLine="419"/>
      </w:pPr>
      <w:r>
        <w:rPr/>
        <w:t>水上消防站应设置陆上基地，路上基地用地面积应与陆上二级普通消防站的用地面积相同；。 </w:t>
      </w:r>
    </w:p>
    <w:p>
      <w:pPr>
        <w:pStyle w:val="BodyText"/>
        <w:spacing w:line="446" w:lineRule="auto"/>
        <w:ind w:left="418" w:right="1611" w:firstLine="419"/>
      </w:pPr>
      <w:r>
        <w:rPr>
          <w:spacing w:val="-5"/>
        </w:rPr>
        <w:t>水上消防站布局，应以消防队接到出动指令后 </w:t>
      </w:r>
      <w:r>
        <w:rPr/>
        <w:t>30min</w:t>
      </w:r>
      <w:r>
        <w:rPr>
          <w:spacing w:val="-8"/>
        </w:rPr>
        <w:t> 内可到达其辖区边缘为原则确定；消防队至其辖区边缘的距离不应大于 </w:t>
      </w:r>
      <w:r>
        <w:rPr/>
        <w:t>30km； </w:t>
      </w:r>
    </w:p>
    <w:p>
      <w:pPr>
        <w:pStyle w:val="ListParagraph"/>
        <w:numPr>
          <w:ilvl w:val="2"/>
          <w:numId w:val="860"/>
        </w:numPr>
        <w:tabs>
          <w:tab w:pos="1371" w:val="left" w:leader="none"/>
        </w:tabs>
        <w:spacing w:line="267" w:lineRule="exact" w:before="0" w:after="0"/>
        <w:ind w:left="1370" w:right="0" w:hanging="531"/>
        <w:jc w:val="left"/>
        <w:rPr>
          <w:sz w:val="21"/>
        </w:rPr>
      </w:pPr>
      <w:r>
        <w:rPr>
          <w:spacing w:val="-3"/>
          <w:sz w:val="21"/>
        </w:rPr>
        <w:t>水上消防站的选址应符合下列规定：</w:t>
      </w:r>
      <w:r>
        <w:rPr>
          <w:sz w:val="21"/>
        </w:rPr>
        <w:t> </w:t>
      </w:r>
    </w:p>
    <w:p>
      <w:pPr>
        <w:pStyle w:val="BodyText"/>
        <w:rPr>
          <w:sz w:val="18"/>
        </w:rPr>
      </w:pPr>
    </w:p>
    <w:p>
      <w:pPr>
        <w:pStyle w:val="BodyText"/>
        <w:spacing w:line="446" w:lineRule="auto"/>
        <w:ind w:left="418" w:right="1609" w:firstLine="419"/>
      </w:pPr>
      <w:r>
        <w:rPr/>
        <w:t>水上消防站应靠近港区、码头，避开港区、码头的作业区，避开水电站、大坝和水流不稳定水域。内河水上消防站宜设置在主要港区、码头的上游位置。 </w:t>
      </w:r>
    </w:p>
    <w:p>
      <w:pPr>
        <w:pStyle w:val="BodyText"/>
        <w:spacing w:line="446" w:lineRule="auto"/>
        <w:ind w:left="418" w:right="1609" w:firstLine="419"/>
      </w:pPr>
      <w:r>
        <w:rPr/>
        <w:t>当水上消防站辖区内有危险品码头沿岸有危险品场所或设施时，水上消防站及其陆上基地边界距危险品部位不应小于 200m。 </w:t>
      </w:r>
    </w:p>
    <w:p>
      <w:pPr>
        <w:pStyle w:val="BodyText"/>
        <w:spacing w:line="446" w:lineRule="auto"/>
        <w:ind w:left="418" w:right="1707" w:firstLine="419"/>
      </w:pPr>
      <w:r>
        <w:rPr/>
        <w:t>水上消防站趸船和陆上基地之间的距离不应大于 500m，且不应跨越高速公路、城市快速路、铁路干线。 </w:t>
      </w:r>
    </w:p>
    <w:p>
      <w:pPr>
        <w:pStyle w:val="ListParagraph"/>
        <w:numPr>
          <w:ilvl w:val="2"/>
          <w:numId w:val="860"/>
        </w:numPr>
        <w:tabs>
          <w:tab w:pos="1371" w:val="left" w:leader="none"/>
        </w:tabs>
        <w:spacing w:line="240" w:lineRule="auto" w:before="0" w:after="0"/>
        <w:ind w:left="1370" w:right="0" w:hanging="531"/>
        <w:jc w:val="left"/>
        <w:rPr>
          <w:sz w:val="21"/>
        </w:rPr>
      </w:pPr>
      <w:r>
        <w:rPr>
          <w:spacing w:val="-3"/>
          <w:sz w:val="21"/>
        </w:rPr>
        <w:t>航空消防站设置应符合下列规定：</w:t>
      </w:r>
      <w:r>
        <w:rPr>
          <w:sz w:val="21"/>
        </w:rPr>
        <w:t> </w:t>
      </w:r>
    </w:p>
    <w:p>
      <w:pPr>
        <w:pStyle w:val="BodyText"/>
        <w:spacing w:before="10"/>
        <w:rPr>
          <w:sz w:val="17"/>
        </w:rPr>
      </w:pPr>
    </w:p>
    <w:p>
      <w:pPr>
        <w:pStyle w:val="BodyText"/>
        <w:spacing w:line="446" w:lineRule="auto"/>
        <w:ind w:left="418" w:right="1609" w:firstLine="419"/>
      </w:pPr>
      <w:r>
        <w:rPr>
          <w:spacing w:val="-8"/>
        </w:rPr>
        <w:t>人口规模 </w:t>
      </w:r>
      <w:r>
        <w:rPr/>
        <w:t>100</w:t>
      </w:r>
      <w:r>
        <w:rPr>
          <w:spacing w:val="-7"/>
        </w:rPr>
        <w:t> 万人以上的城市和确有航空消防任务的城市，宜独立设置航空消防站，并应</w:t>
      </w:r>
      <w:r>
        <w:rPr>
          <w:spacing w:val="-5"/>
        </w:rPr>
        <w:t>符合当地空管部门的要求； </w:t>
      </w:r>
    </w:p>
    <w:p>
      <w:pPr>
        <w:pStyle w:val="BodyText"/>
        <w:spacing w:line="446" w:lineRule="auto"/>
        <w:ind w:left="418" w:right="1609" w:firstLine="419"/>
      </w:pPr>
      <w:r>
        <w:rPr>
          <w:spacing w:val="-3"/>
        </w:rPr>
        <w:t>结合其他机场设置消防直升机战场的航空消防站，其陆上基地建筑应独立设置；当独立设置确有困难时，消防用房可与机场建筑合建，但应有独立的功能分区；</w:t>
      </w:r>
      <w:r>
        <w:rPr/>
        <w:t> </w:t>
      </w:r>
    </w:p>
    <w:p>
      <w:pPr>
        <w:pStyle w:val="BodyText"/>
        <w:spacing w:line="446" w:lineRule="auto"/>
        <w:ind w:left="418" w:right="1609" w:firstLine="419"/>
      </w:pPr>
      <w:r>
        <w:rPr>
          <w:spacing w:val="-3"/>
        </w:rPr>
        <w:t>结合其他机场设置消防直升机战场的航空消防站，其陆上基地建筑应独立设置；当独立设置确有困难时，消防用房可与机场建筑合建，但应有独立的功能分区；</w:t>
      </w:r>
      <w:r>
        <w:rPr/>
        <w:t> </w:t>
      </w:r>
    </w:p>
    <w:p>
      <w:pPr>
        <w:pStyle w:val="BodyText"/>
        <w:spacing w:line="446" w:lineRule="auto"/>
        <w:ind w:left="840" w:right="2554" w:hanging="3"/>
      </w:pPr>
      <w:r>
        <w:rPr/>
        <w:t>设有航空消防站的城市宜结合城市资源设置飞行员、消防空勤人员训练基地。</w:t>
      </w:r>
      <w:r>
        <w:rPr>
          <w:b/>
        </w:rPr>
        <w:t>4.1.9 </w:t>
      </w:r>
      <w:r>
        <w:rPr/>
        <w:t>消防直升机起降点设置应符合下列规定： </w:t>
      </w:r>
    </w:p>
    <w:p>
      <w:pPr>
        <w:pStyle w:val="BodyText"/>
        <w:spacing w:line="446" w:lineRule="auto"/>
        <w:ind w:left="418" w:right="1817" w:firstLine="419"/>
      </w:pPr>
      <w:r>
        <w:rPr/>
        <w:t>结合城市综合防灾体系、避难场地规划，在高层建筑密集区、城市和广场、运动场、公园、绿地等处设置消防直升机的固定或临时的地面起降点； </w:t>
      </w:r>
    </w:p>
    <w:p>
      <w:pPr>
        <w:pStyle w:val="BodyText"/>
        <w:spacing w:line="267" w:lineRule="exact"/>
        <w:ind w:left="838"/>
      </w:pPr>
      <w:r>
        <w:rPr/>
        <w:t>消防直升机地面起降点场地应开阔、平整，场地的短边长度不应小于 22m；场地的周边 20m</w:t>
      </w:r>
    </w:p>
    <w:p>
      <w:pPr>
        <w:pStyle w:val="BodyText"/>
        <w:spacing w:before="12"/>
        <w:rPr>
          <w:sz w:val="17"/>
        </w:rPr>
      </w:pPr>
    </w:p>
    <w:p>
      <w:pPr>
        <w:pStyle w:val="BodyText"/>
        <w:ind w:left="418"/>
      </w:pPr>
      <w:r>
        <w:rPr/>
        <w:t>范围内不得栽种高大树木，不得设置架空线路。 </w:t>
      </w:r>
    </w:p>
    <w:p>
      <w:pPr>
        <w:spacing w:after="0"/>
        <w:sectPr>
          <w:pgSz w:w="11910" w:h="16850"/>
          <w:pgMar w:header="0" w:footer="1239" w:top="1220" w:bottom="1420" w:left="1260" w:right="0"/>
        </w:sectPr>
      </w:pPr>
    </w:p>
    <w:p>
      <w:pPr>
        <w:pStyle w:val="ListParagraph"/>
        <w:numPr>
          <w:ilvl w:val="2"/>
          <w:numId w:val="861"/>
        </w:numPr>
        <w:tabs>
          <w:tab w:pos="1478" w:val="left" w:leader="none"/>
        </w:tabs>
        <w:spacing w:line="240" w:lineRule="auto" w:before="47" w:after="0"/>
        <w:ind w:left="1477" w:right="0" w:hanging="638"/>
        <w:jc w:val="left"/>
        <w:rPr>
          <w:sz w:val="21"/>
        </w:rPr>
      </w:pPr>
      <w:r>
        <w:rPr>
          <w:spacing w:val="-3"/>
          <w:sz w:val="21"/>
        </w:rPr>
        <w:t>地级及以上城市宜设置消防训练培训基地和后勤保障基地。</w:t>
      </w:r>
      <w:r>
        <w:rPr>
          <w:sz w:val="21"/>
        </w:rPr>
        <w:t> </w:t>
      </w:r>
    </w:p>
    <w:p>
      <w:pPr>
        <w:pStyle w:val="BodyText"/>
        <w:rPr>
          <w:sz w:val="18"/>
        </w:rPr>
      </w:pPr>
    </w:p>
    <w:p>
      <w:pPr>
        <w:pStyle w:val="ListParagraph"/>
        <w:numPr>
          <w:ilvl w:val="2"/>
          <w:numId w:val="861"/>
        </w:numPr>
        <w:tabs>
          <w:tab w:pos="1478" w:val="left" w:leader="none"/>
        </w:tabs>
        <w:spacing w:line="240" w:lineRule="auto" w:before="0" w:after="0"/>
        <w:ind w:left="1477" w:right="0" w:hanging="638"/>
        <w:jc w:val="left"/>
        <w:rPr>
          <w:sz w:val="21"/>
        </w:rPr>
      </w:pPr>
      <w:r>
        <w:rPr>
          <w:spacing w:val="-3"/>
          <w:sz w:val="21"/>
        </w:rPr>
        <w:t>消防装备配置应符合下列规定：</w:t>
      </w:r>
      <w:r>
        <w:rPr>
          <w:sz w:val="21"/>
        </w:rPr>
        <w:t> </w:t>
      </w:r>
    </w:p>
    <w:p>
      <w:pPr>
        <w:pStyle w:val="BodyText"/>
        <w:rPr>
          <w:sz w:val="18"/>
        </w:rPr>
      </w:pPr>
    </w:p>
    <w:p>
      <w:pPr>
        <w:pStyle w:val="BodyText"/>
        <w:spacing w:line="446" w:lineRule="auto"/>
        <w:ind w:left="418" w:right="1609" w:firstLine="419"/>
      </w:pPr>
      <w:r>
        <w:rPr/>
        <w:t>陆上消防站应根据其辖区内的火灾风险和灭火、应急救援的要求，按《城市消防站建设标准》(建标 152-2011)的规定，合理配置消防装备和器材； </w:t>
      </w:r>
    </w:p>
    <w:p>
      <w:pPr>
        <w:pStyle w:val="BodyText"/>
        <w:spacing w:line="446" w:lineRule="auto"/>
        <w:ind w:left="840" w:right="4134" w:hanging="3"/>
      </w:pPr>
      <w:r>
        <w:rPr>
          <w:spacing w:val="-8"/>
        </w:rPr>
        <w:t>水上消防站应配置趸船 </w:t>
      </w:r>
      <w:r>
        <w:rPr/>
        <w:t>1</w:t>
      </w:r>
      <w:r>
        <w:rPr>
          <w:spacing w:val="-17"/>
        </w:rPr>
        <w:t> 艘，消防艇 </w:t>
      </w:r>
      <w:r>
        <w:rPr/>
        <w:t>1～2</w:t>
      </w:r>
      <w:r>
        <w:rPr>
          <w:spacing w:val="-17"/>
        </w:rPr>
        <w:t> 艘、指挥艇 </w:t>
      </w:r>
      <w:r>
        <w:rPr/>
        <w:t>1</w:t>
      </w:r>
      <w:r>
        <w:rPr>
          <w:spacing w:val="-19"/>
        </w:rPr>
        <w:t> 艘。</w:t>
      </w:r>
      <w:r>
        <w:rPr>
          <w:b/>
        </w:rPr>
        <w:t>4.2 </w:t>
      </w:r>
      <w:r>
        <w:rPr>
          <w:spacing w:val="-3"/>
        </w:rPr>
        <w:t>消防通信</w:t>
      </w:r>
      <w:r>
        <w:rPr/>
        <w:t> </w:t>
      </w:r>
    </w:p>
    <w:p>
      <w:pPr>
        <w:pStyle w:val="ListParagraph"/>
        <w:numPr>
          <w:ilvl w:val="2"/>
          <w:numId w:val="862"/>
        </w:numPr>
        <w:tabs>
          <w:tab w:pos="1371" w:val="left" w:leader="none"/>
        </w:tabs>
        <w:spacing w:line="240" w:lineRule="auto" w:before="0" w:after="0"/>
        <w:ind w:left="1370" w:right="0" w:hanging="531"/>
        <w:jc w:val="left"/>
        <w:rPr>
          <w:sz w:val="21"/>
        </w:rPr>
      </w:pPr>
      <w:r>
        <w:rPr>
          <w:spacing w:val="-3"/>
          <w:sz w:val="21"/>
        </w:rPr>
        <w:t>城市应设置消防通信指挥中心。</w:t>
      </w:r>
      <w:r>
        <w:rPr>
          <w:sz w:val="21"/>
        </w:rPr>
        <w:t> </w:t>
      </w:r>
    </w:p>
    <w:p>
      <w:pPr>
        <w:pStyle w:val="BodyText"/>
        <w:spacing w:before="12"/>
        <w:rPr>
          <w:sz w:val="17"/>
        </w:rPr>
      </w:pPr>
    </w:p>
    <w:p>
      <w:pPr>
        <w:pStyle w:val="ListParagraph"/>
        <w:numPr>
          <w:ilvl w:val="2"/>
          <w:numId w:val="862"/>
        </w:numPr>
        <w:tabs>
          <w:tab w:pos="1371" w:val="left" w:leader="none"/>
        </w:tabs>
        <w:spacing w:line="446" w:lineRule="auto" w:before="0" w:after="0"/>
        <w:ind w:left="418" w:right="1604" w:firstLine="422"/>
        <w:jc w:val="left"/>
        <w:rPr>
          <w:sz w:val="21"/>
        </w:rPr>
      </w:pPr>
      <w:r>
        <w:rPr>
          <w:spacing w:val="-3"/>
          <w:sz w:val="21"/>
        </w:rPr>
        <w:t>城市消防通信指挥系统应覆盖全市，联通城市消防通信指挥中心和各消防站，并应具有受理火灾及其他灾害事故报警、灭火救援指挥调度、情报信息支持等主要功能。</w:t>
      </w:r>
      <w:r>
        <w:rPr>
          <w:sz w:val="21"/>
        </w:rPr>
        <w:t> </w:t>
      </w:r>
    </w:p>
    <w:p>
      <w:pPr>
        <w:pStyle w:val="ListParagraph"/>
        <w:numPr>
          <w:ilvl w:val="2"/>
          <w:numId w:val="862"/>
        </w:numPr>
        <w:tabs>
          <w:tab w:pos="1371" w:val="left" w:leader="none"/>
        </w:tabs>
        <w:spacing w:line="446" w:lineRule="auto" w:before="0" w:after="0"/>
        <w:ind w:left="418" w:right="1551" w:firstLine="422"/>
        <w:jc w:val="left"/>
        <w:rPr>
          <w:sz w:val="21"/>
        </w:rPr>
      </w:pPr>
      <w:r>
        <w:rPr>
          <w:spacing w:val="-3"/>
          <w:sz w:val="21"/>
        </w:rPr>
        <w:t>消防通信指挥系统应符合现行国家标准《消防通信指挥系统设计规范》</w:t>
      </w:r>
      <w:r>
        <w:rPr>
          <w:sz w:val="21"/>
        </w:rPr>
        <w:t>GB</w:t>
      </w:r>
      <w:r>
        <w:rPr>
          <w:spacing w:val="14"/>
          <w:sz w:val="21"/>
        </w:rPr>
        <w:t> </w:t>
      </w:r>
      <w:r>
        <w:rPr>
          <w:sz w:val="21"/>
        </w:rPr>
        <w:t>50313</w:t>
      </w:r>
      <w:r>
        <w:rPr>
          <w:spacing w:val="-23"/>
          <w:sz w:val="21"/>
        </w:rPr>
        <w:t> 的</w:t>
      </w:r>
      <w:r>
        <w:rPr>
          <w:spacing w:val="-11"/>
          <w:sz w:val="21"/>
        </w:rPr>
        <w:t>有关规定。</w:t>
      </w:r>
      <w:r>
        <w:rPr>
          <w:sz w:val="21"/>
        </w:rPr>
        <w:t> </w:t>
      </w:r>
    </w:p>
    <w:p>
      <w:pPr>
        <w:pStyle w:val="ListParagraph"/>
        <w:numPr>
          <w:ilvl w:val="1"/>
          <w:numId w:val="863"/>
        </w:numPr>
        <w:tabs>
          <w:tab w:pos="1159" w:val="left" w:leader="none"/>
        </w:tabs>
        <w:spacing w:line="267" w:lineRule="exact" w:before="0" w:after="0"/>
        <w:ind w:left="1158" w:right="0" w:hanging="319"/>
        <w:jc w:val="left"/>
        <w:rPr>
          <w:b/>
          <w:sz w:val="21"/>
        </w:rPr>
      </w:pPr>
      <w:r>
        <w:rPr>
          <w:spacing w:val="-3"/>
          <w:sz w:val="21"/>
        </w:rPr>
        <w:t>消防供水</w:t>
      </w:r>
      <w:r>
        <w:rPr>
          <w:b/>
          <w:w w:val="99"/>
          <w:sz w:val="21"/>
        </w:rPr>
        <w:t> </w:t>
      </w:r>
    </w:p>
    <w:p>
      <w:pPr>
        <w:pStyle w:val="BodyText"/>
        <w:spacing w:before="2"/>
        <w:rPr>
          <w:b/>
          <w:sz w:val="18"/>
        </w:rPr>
      </w:pPr>
    </w:p>
    <w:p>
      <w:pPr>
        <w:pStyle w:val="ListParagraph"/>
        <w:numPr>
          <w:ilvl w:val="2"/>
          <w:numId w:val="863"/>
        </w:numPr>
        <w:tabs>
          <w:tab w:pos="1370" w:val="left" w:leader="none"/>
        </w:tabs>
        <w:spacing w:line="446" w:lineRule="auto" w:before="0" w:after="0"/>
        <w:ind w:left="418" w:right="1608" w:firstLine="422"/>
        <w:jc w:val="left"/>
        <w:rPr>
          <w:sz w:val="21"/>
        </w:rPr>
      </w:pPr>
      <w:r>
        <w:rPr>
          <w:spacing w:val="-2"/>
          <w:sz w:val="21"/>
        </w:rPr>
        <w:t>城市消防用水可有城市给水系统、消防水池及符合要求的其他人工水体、天然水 体</w:t>
      </w:r>
      <w:r>
        <w:rPr>
          <w:spacing w:val="-3"/>
          <w:sz w:val="21"/>
        </w:rPr>
        <w:t>、再生水等供给。当使用再生水作为消防用水时，水质应满足现行国家标准《污水再生利用工程设计规范》</w:t>
      </w:r>
      <w:r>
        <w:rPr>
          <w:sz w:val="21"/>
        </w:rPr>
        <w:t>GB 50335</w:t>
      </w:r>
      <w:r>
        <w:rPr>
          <w:spacing w:val="-10"/>
          <w:sz w:val="21"/>
        </w:rPr>
        <w:t> 的有关规定。</w:t>
      </w:r>
      <w:r>
        <w:rPr>
          <w:sz w:val="21"/>
        </w:rPr>
        <w:t> </w:t>
      </w:r>
    </w:p>
    <w:p>
      <w:pPr>
        <w:pStyle w:val="ListParagraph"/>
        <w:numPr>
          <w:ilvl w:val="2"/>
          <w:numId w:val="863"/>
        </w:numPr>
        <w:tabs>
          <w:tab w:pos="1371" w:val="left" w:leader="none"/>
        </w:tabs>
        <w:spacing w:line="446" w:lineRule="auto" w:before="0" w:after="0"/>
        <w:ind w:left="418" w:right="1558" w:firstLine="422"/>
        <w:jc w:val="both"/>
        <w:rPr>
          <w:sz w:val="21"/>
        </w:rPr>
      </w:pPr>
      <w:r>
        <w:rPr>
          <w:spacing w:val="-3"/>
          <w:sz w:val="21"/>
        </w:rPr>
        <w:t>城市消防用水量应按同一时间内的火灾起数和一次灭火用水量确定，应符合现行国 家标准《建筑设计防火规范》</w:t>
      </w:r>
      <w:r>
        <w:rPr>
          <w:sz w:val="21"/>
        </w:rPr>
        <w:t>GB</w:t>
      </w:r>
      <w:r>
        <w:rPr>
          <w:spacing w:val="26"/>
          <w:sz w:val="21"/>
        </w:rPr>
        <w:t> </w:t>
      </w:r>
      <w:r>
        <w:rPr>
          <w:sz w:val="21"/>
        </w:rPr>
        <w:t>50016</w:t>
      </w:r>
      <w:r>
        <w:rPr>
          <w:spacing w:val="-8"/>
          <w:sz w:val="21"/>
        </w:rPr>
        <w:t> 的有关规定；城市给水系统为分片区供水且管网系统未</w:t>
      </w:r>
      <w:r>
        <w:rPr>
          <w:spacing w:val="-5"/>
          <w:sz w:val="21"/>
        </w:rPr>
        <w:t>可靠联网时，城市消防给水量应分片区核定。</w:t>
      </w:r>
      <w:r>
        <w:rPr>
          <w:sz w:val="21"/>
        </w:rPr>
        <w:t> </w:t>
      </w:r>
    </w:p>
    <w:p>
      <w:pPr>
        <w:pStyle w:val="ListParagraph"/>
        <w:numPr>
          <w:ilvl w:val="2"/>
          <w:numId w:val="863"/>
        </w:numPr>
        <w:tabs>
          <w:tab w:pos="1370" w:val="left" w:leader="none"/>
        </w:tabs>
        <w:spacing w:line="446" w:lineRule="auto" w:before="0" w:after="0"/>
        <w:ind w:left="418" w:right="1604" w:firstLine="422"/>
        <w:jc w:val="both"/>
        <w:rPr>
          <w:sz w:val="21"/>
        </w:rPr>
      </w:pPr>
      <w:r>
        <w:rPr>
          <w:spacing w:val="-3"/>
          <w:sz w:val="21"/>
        </w:rPr>
        <w:t>利用城市给水系统作为消防水源，必须保障城市供水高峰时段消防用水的水量和水压要求。接有市政消火栓或消防水鹤的消防给水管道，其布置、管网管径和供水压力应符合现行国家标准《消防给水及消火栓系统技术规范》</w:t>
      </w:r>
      <w:r>
        <w:rPr>
          <w:sz w:val="21"/>
        </w:rPr>
        <w:t>GB</w:t>
      </w:r>
      <w:r>
        <w:rPr>
          <w:spacing w:val="-1"/>
          <w:sz w:val="21"/>
        </w:rPr>
        <w:t> </w:t>
      </w:r>
      <w:r>
        <w:rPr>
          <w:sz w:val="21"/>
        </w:rPr>
        <w:t>50974</w:t>
      </w:r>
      <w:r>
        <w:rPr>
          <w:spacing w:val="-10"/>
          <w:sz w:val="21"/>
        </w:rPr>
        <w:t> 的有关规定。</w:t>
      </w:r>
      <w:r>
        <w:rPr>
          <w:sz w:val="21"/>
        </w:rPr>
        <w:t> </w:t>
      </w:r>
    </w:p>
    <w:p>
      <w:pPr>
        <w:pStyle w:val="ListParagraph"/>
        <w:numPr>
          <w:ilvl w:val="2"/>
          <w:numId w:val="863"/>
        </w:numPr>
        <w:tabs>
          <w:tab w:pos="1371" w:val="left" w:leader="none"/>
        </w:tabs>
        <w:spacing w:line="268" w:lineRule="exact" w:before="0" w:after="0"/>
        <w:ind w:left="1370" w:right="0" w:hanging="531"/>
        <w:jc w:val="left"/>
        <w:rPr>
          <w:sz w:val="21"/>
        </w:rPr>
      </w:pPr>
      <w:r>
        <w:rPr>
          <w:spacing w:val="-3"/>
          <w:sz w:val="21"/>
        </w:rPr>
        <w:t>市政消火栓、消防水鹤设置应符合下列规定： </w:t>
      </w:r>
    </w:p>
    <w:p>
      <w:pPr>
        <w:pStyle w:val="BodyText"/>
        <w:spacing w:before="10"/>
        <w:rPr>
          <w:sz w:val="17"/>
        </w:rPr>
      </w:pPr>
    </w:p>
    <w:p>
      <w:pPr>
        <w:pStyle w:val="BodyText"/>
        <w:spacing w:line="446" w:lineRule="auto"/>
        <w:ind w:left="418" w:right="1498" w:firstLine="419"/>
      </w:pPr>
      <w:r>
        <w:rPr/>
        <w:t>市政消火栓设置应符合现行国家标准《消防给水及消火栓系统技术规范》GB 50974 的有关规定。 </w:t>
      </w:r>
    </w:p>
    <w:p>
      <w:pPr>
        <w:pStyle w:val="BodyText"/>
        <w:spacing w:line="446" w:lineRule="auto"/>
        <w:ind w:left="418" w:right="1817" w:firstLine="419"/>
      </w:pPr>
      <w:r>
        <w:rPr/>
        <w:t>市政消火栓应统一型号规格。市政消火栓宜采用地上式；采用地下式消火栓应有明显标志。寒冷地区设置的市政消火栓应采取防冻措施。 </w:t>
      </w:r>
    </w:p>
    <w:p>
      <w:pPr>
        <w:pStyle w:val="BodyText"/>
        <w:spacing w:line="267" w:lineRule="exact"/>
        <w:ind w:left="838"/>
      </w:pPr>
      <w:r>
        <w:rPr/>
        <w:t>寒冷地区可设置消防水鹤，其服务半径不宜大于 1000m。 </w:t>
      </w:r>
    </w:p>
    <w:p>
      <w:pPr>
        <w:pStyle w:val="BodyText"/>
        <w:spacing w:before="2"/>
        <w:rPr>
          <w:sz w:val="18"/>
        </w:rPr>
      </w:pPr>
    </w:p>
    <w:p>
      <w:pPr>
        <w:pStyle w:val="BodyText"/>
        <w:ind w:left="838"/>
      </w:pPr>
      <w:r>
        <w:rPr/>
        <w:t>火灾风险较高的区域可适当增加市政消火栓或消防水鹤的设置密度，加大供水量和水压。 </w:t>
      </w:r>
    </w:p>
    <w:p>
      <w:pPr>
        <w:spacing w:after="0"/>
        <w:sectPr>
          <w:pgSz w:w="11910" w:h="16850"/>
          <w:pgMar w:header="0" w:footer="1239" w:top="1220" w:bottom="1420" w:left="1260" w:right="0"/>
        </w:sectPr>
      </w:pPr>
    </w:p>
    <w:p>
      <w:pPr>
        <w:pStyle w:val="ListParagraph"/>
        <w:numPr>
          <w:ilvl w:val="2"/>
          <w:numId w:val="863"/>
        </w:numPr>
        <w:tabs>
          <w:tab w:pos="1370" w:val="left" w:leader="none"/>
        </w:tabs>
        <w:spacing w:line="240" w:lineRule="auto" w:before="47" w:after="0"/>
        <w:ind w:left="1369" w:right="0" w:hanging="530"/>
        <w:jc w:val="left"/>
        <w:rPr>
          <w:sz w:val="21"/>
        </w:rPr>
      </w:pPr>
      <w:r>
        <w:rPr>
          <w:spacing w:val="-3"/>
          <w:sz w:val="21"/>
        </w:rPr>
        <w:t>当有下列情况之一时，应设置城市消防水池： </w:t>
      </w:r>
    </w:p>
    <w:p>
      <w:pPr>
        <w:pStyle w:val="BodyText"/>
        <w:rPr>
          <w:sz w:val="18"/>
        </w:rPr>
      </w:pPr>
    </w:p>
    <w:p>
      <w:pPr>
        <w:pStyle w:val="BodyText"/>
        <w:spacing w:line="446" w:lineRule="auto"/>
        <w:ind w:left="838" w:right="6129"/>
        <w:rPr>
          <w:b/>
        </w:rPr>
      </w:pPr>
      <w:r>
        <w:rPr/>
        <w:t>无市政消火栓或消防水鹤的城市区域； 无消防车道的城市区域；</w:t>
      </w:r>
      <w:r>
        <w:rPr>
          <w:b/>
          <w:w w:val="99"/>
        </w:rPr>
        <w:t> </w:t>
      </w:r>
    </w:p>
    <w:p>
      <w:pPr>
        <w:pStyle w:val="BodyText"/>
        <w:ind w:left="838"/>
        <w:rPr>
          <w:b/>
        </w:rPr>
      </w:pPr>
      <w:r>
        <w:rPr/>
        <w:t>消防供水不足的城市区域或建筑群；</w:t>
      </w:r>
      <w:r>
        <w:rPr>
          <w:b/>
          <w:w w:val="99"/>
        </w:rPr>
        <w:t> </w:t>
      </w:r>
    </w:p>
    <w:p>
      <w:pPr>
        <w:pStyle w:val="BodyText"/>
        <w:spacing w:before="12"/>
        <w:rPr>
          <w:b/>
          <w:sz w:val="17"/>
        </w:rPr>
      </w:pPr>
    </w:p>
    <w:p>
      <w:pPr>
        <w:pStyle w:val="ListParagraph"/>
        <w:numPr>
          <w:ilvl w:val="2"/>
          <w:numId w:val="863"/>
        </w:numPr>
        <w:tabs>
          <w:tab w:pos="1371" w:val="left" w:leader="none"/>
        </w:tabs>
        <w:spacing w:line="446" w:lineRule="auto" w:before="0" w:after="0"/>
        <w:ind w:left="418" w:right="1813" w:firstLine="422"/>
        <w:jc w:val="left"/>
        <w:rPr>
          <w:sz w:val="21"/>
        </w:rPr>
      </w:pPr>
      <w:r>
        <w:rPr>
          <w:spacing w:val="-3"/>
          <w:sz w:val="21"/>
        </w:rPr>
        <w:t>消防水池有效容量应根据保护对象计算确定。寒冷地区的消防水池应采取防冻措施。</w:t>
      </w:r>
      <w:r>
        <w:rPr>
          <w:sz w:val="21"/>
        </w:rPr>
        <w:t> </w:t>
      </w:r>
    </w:p>
    <w:p>
      <w:pPr>
        <w:pStyle w:val="ListParagraph"/>
        <w:numPr>
          <w:ilvl w:val="2"/>
          <w:numId w:val="863"/>
        </w:numPr>
        <w:tabs>
          <w:tab w:pos="1371" w:val="left" w:leader="none"/>
        </w:tabs>
        <w:spacing w:line="446" w:lineRule="auto" w:before="0" w:after="0"/>
        <w:ind w:left="418" w:right="1604" w:firstLine="422"/>
        <w:jc w:val="left"/>
        <w:rPr>
          <w:sz w:val="21"/>
        </w:rPr>
      </w:pPr>
      <w:r>
        <w:rPr>
          <w:spacing w:val="-3"/>
          <w:sz w:val="21"/>
        </w:rPr>
        <w:t>每个消防站辖区内至少应设置一个为消防车提供应急水源的消防水池，或设置一处天然水源或人工水体的取水点，并应设置消防车取水通道等设施。</w:t>
      </w:r>
      <w:r>
        <w:rPr>
          <w:sz w:val="21"/>
        </w:rPr>
        <w:t> </w:t>
      </w:r>
    </w:p>
    <w:p>
      <w:pPr>
        <w:pStyle w:val="ListParagraph"/>
        <w:numPr>
          <w:ilvl w:val="1"/>
          <w:numId w:val="863"/>
        </w:numPr>
        <w:tabs>
          <w:tab w:pos="1159" w:val="left" w:leader="none"/>
        </w:tabs>
        <w:spacing w:line="267" w:lineRule="exact" w:before="0" w:after="0"/>
        <w:ind w:left="1158" w:right="0" w:hanging="319"/>
        <w:jc w:val="left"/>
        <w:rPr>
          <w:b/>
          <w:sz w:val="21"/>
        </w:rPr>
      </w:pPr>
      <w:r>
        <w:rPr>
          <w:spacing w:val="-3"/>
          <w:sz w:val="21"/>
        </w:rPr>
        <w:t>消防车通道</w:t>
      </w:r>
      <w:r>
        <w:rPr>
          <w:b/>
          <w:w w:val="99"/>
          <w:sz w:val="21"/>
        </w:rPr>
        <w:t> </w:t>
      </w:r>
    </w:p>
    <w:p>
      <w:pPr>
        <w:pStyle w:val="BodyText"/>
        <w:spacing w:before="2"/>
        <w:rPr>
          <w:b/>
          <w:sz w:val="18"/>
        </w:rPr>
      </w:pPr>
    </w:p>
    <w:p>
      <w:pPr>
        <w:pStyle w:val="ListParagraph"/>
        <w:numPr>
          <w:ilvl w:val="2"/>
          <w:numId w:val="863"/>
        </w:numPr>
        <w:tabs>
          <w:tab w:pos="1371" w:val="left" w:leader="none"/>
        </w:tabs>
        <w:spacing w:line="446" w:lineRule="auto" w:before="0" w:after="0"/>
        <w:ind w:left="418" w:right="1604" w:firstLine="422"/>
        <w:jc w:val="both"/>
        <w:rPr>
          <w:sz w:val="21"/>
        </w:rPr>
      </w:pPr>
      <w:r>
        <w:rPr>
          <w:spacing w:val="-3"/>
          <w:sz w:val="21"/>
        </w:rPr>
        <w:t>消防车通道包括城市各级道路、居住区和企事业单位内部道路、消防车取水通道、建筑物消防车通道等，应符合消防车辆安全、快捷通行的。城市各级道路、居住区和企事业单位内部道路宜设置成环状，减少尽端路。</w:t>
      </w:r>
      <w:r>
        <w:rPr>
          <w:sz w:val="21"/>
        </w:rPr>
        <w:t> </w:t>
      </w:r>
    </w:p>
    <w:p>
      <w:pPr>
        <w:pStyle w:val="ListParagraph"/>
        <w:numPr>
          <w:ilvl w:val="2"/>
          <w:numId w:val="863"/>
        </w:numPr>
        <w:tabs>
          <w:tab w:pos="1370" w:val="left" w:leader="none"/>
        </w:tabs>
        <w:spacing w:line="268" w:lineRule="exact" w:before="0" w:after="0"/>
        <w:ind w:left="1369" w:right="0" w:hanging="530"/>
        <w:jc w:val="left"/>
        <w:rPr>
          <w:sz w:val="21"/>
        </w:rPr>
      </w:pPr>
      <w:r>
        <w:rPr>
          <w:spacing w:val="-3"/>
          <w:sz w:val="21"/>
        </w:rPr>
        <w:t>消防车通道的设置应符合下列规定：</w:t>
      </w:r>
      <w:r>
        <w:rPr>
          <w:sz w:val="21"/>
        </w:rPr>
        <w:t> </w:t>
      </w:r>
    </w:p>
    <w:p>
      <w:pPr>
        <w:pStyle w:val="BodyText"/>
        <w:rPr>
          <w:sz w:val="18"/>
        </w:rPr>
      </w:pPr>
    </w:p>
    <w:p>
      <w:pPr>
        <w:pStyle w:val="BodyText"/>
        <w:ind w:left="838"/>
      </w:pPr>
      <w:r>
        <w:rPr/>
        <w:t>消防车通道之间的中心线间距不宜大于 160m； </w:t>
      </w:r>
    </w:p>
    <w:p>
      <w:pPr>
        <w:pStyle w:val="BodyText"/>
        <w:spacing w:before="12"/>
        <w:rPr>
          <w:sz w:val="17"/>
        </w:rPr>
      </w:pPr>
    </w:p>
    <w:p>
      <w:pPr>
        <w:pStyle w:val="BodyText"/>
        <w:spacing w:line="446" w:lineRule="auto"/>
        <w:ind w:left="418" w:right="1609" w:firstLine="419"/>
      </w:pPr>
      <w:r>
        <w:rPr/>
        <w:t>环形消防车通道至少应有两处与其他车道连通，尽端式消防车通道应设置回车道或回车场地； </w:t>
      </w:r>
    </w:p>
    <w:p>
      <w:pPr>
        <w:pStyle w:val="BodyText"/>
        <w:ind w:left="838"/>
      </w:pPr>
      <w:r>
        <w:rPr/>
        <w:t>消防车通道的净宽度和净空高度均不应小于 4m，与建筑外墙的距离宜大于 5m； </w:t>
      </w:r>
    </w:p>
    <w:p>
      <w:pPr>
        <w:pStyle w:val="BodyText"/>
        <w:rPr>
          <w:sz w:val="18"/>
        </w:rPr>
      </w:pPr>
    </w:p>
    <w:p>
      <w:pPr>
        <w:pStyle w:val="BodyText"/>
        <w:spacing w:line="446" w:lineRule="auto"/>
        <w:ind w:left="418" w:right="1498" w:firstLine="419"/>
      </w:pPr>
      <w:r>
        <w:rPr/>
        <w:t>消防车通道的坡度不宜大于 8%，转弯半径应符合消防车的通行要求。举高消防车停靠和作业场地坡度不宜大于 3%。 </w:t>
      </w:r>
    </w:p>
    <w:p>
      <w:pPr>
        <w:pStyle w:val="ListParagraph"/>
        <w:numPr>
          <w:ilvl w:val="2"/>
          <w:numId w:val="863"/>
        </w:numPr>
        <w:tabs>
          <w:tab w:pos="1371" w:val="left" w:leader="none"/>
        </w:tabs>
        <w:spacing w:line="446" w:lineRule="auto" w:before="0" w:after="0"/>
        <w:ind w:left="418" w:right="1604" w:firstLine="422"/>
        <w:jc w:val="left"/>
        <w:rPr>
          <w:sz w:val="21"/>
        </w:rPr>
      </w:pPr>
      <w:r>
        <w:rPr>
          <w:spacing w:val="-3"/>
          <w:sz w:val="21"/>
        </w:rPr>
        <w:t>供消防车取水的天然水源、消防水池及其他人工水体应设置消防车通道，消防车通</w:t>
      </w:r>
      <w:r>
        <w:rPr>
          <w:spacing w:val="-7"/>
          <w:sz w:val="21"/>
        </w:rPr>
        <w:t>道边缘距离取水点不宜大于 </w:t>
      </w:r>
      <w:r>
        <w:rPr>
          <w:sz w:val="21"/>
        </w:rPr>
        <w:t>2m</w:t>
      </w:r>
      <w:r>
        <w:rPr>
          <w:spacing w:val="-7"/>
          <w:sz w:val="21"/>
        </w:rPr>
        <w:t>，消防车距吸水水面高度不应超过 </w:t>
      </w:r>
      <w:r>
        <w:rPr>
          <w:sz w:val="21"/>
        </w:rPr>
        <w:t>6m</w:t>
      </w:r>
      <w:r>
        <w:rPr>
          <w:spacing w:val="-3"/>
          <w:sz w:val="21"/>
        </w:rPr>
        <w:t>。</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BodyText"/>
        <w:spacing w:before="71"/>
        <w:ind w:left="838"/>
      </w:pPr>
      <w:r>
        <w:rPr>
          <w:w w:val="100"/>
        </w:rPr>
        <w:t> </w:t>
      </w:r>
    </w:p>
    <w:p>
      <w:pPr>
        <w:spacing w:after="0"/>
        <w:sectPr>
          <w:pgSz w:w="11910" w:h="16850"/>
          <w:pgMar w:header="0" w:footer="1239" w:top="1220" w:bottom="1420" w:left="1260" w:right="0"/>
        </w:sectPr>
      </w:pPr>
    </w:p>
    <w:p>
      <w:pPr>
        <w:pStyle w:val="BodyText"/>
        <w:spacing w:before="4"/>
        <w:rPr>
          <w:rFonts w:ascii="Times New Roman"/>
          <w:sz w:val="17"/>
        </w:rPr>
      </w:pPr>
    </w:p>
    <w:p>
      <w:pPr>
        <w:spacing w:after="0"/>
        <w:rPr>
          <w:rFonts w:ascii="Times New Roman"/>
          <w:sz w:val="17"/>
        </w:rPr>
        <w:sectPr>
          <w:footerReference w:type="default" r:id="rId501"/>
          <w:pgSz w:w="11910" w:h="16850"/>
          <w:pgMar w:footer="1239" w:header="0" w:top="1600" w:bottom="1420" w:left="1260" w:right="0"/>
          <w:pgNumType w:start="1520"/>
        </w:sectPr>
      </w:pPr>
    </w:p>
    <w:p>
      <w:pPr>
        <w:pStyle w:val="Heading2"/>
        <w:ind w:left="3005"/>
        <w:jc w:val="left"/>
      </w:pPr>
      <w:bookmarkStart w:name="_bookmark32" w:id="33"/>
      <w:bookmarkEnd w:id="33"/>
      <w:r>
        <w:rPr>
          <w:b w:val="0"/>
        </w:rPr>
      </w:r>
      <w:r>
        <w:rPr/>
        <w:t>建筑防烟排烟系统技术标准</w:t>
      </w:r>
      <w:r>
        <w:rPr>
          <w:w w:val="99"/>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ListParagraph"/>
        <w:numPr>
          <w:ilvl w:val="2"/>
          <w:numId w:val="864"/>
        </w:numPr>
        <w:tabs>
          <w:tab w:pos="1424" w:val="left" w:leader="none"/>
        </w:tabs>
        <w:spacing w:line="446" w:lineRule="auto" w:before="0" w:after="0"/>
        <w:ind w:left="418" w:right="1551" w:firstLine="422"/>
        <w:jc w:val="both"/>
        <w:rPr>
          <w:color w:val="333333"/>
          <w:sz w:val="21"/>
        </w:rPr>
      </w:pPr>
      <w:r>
        <w:rPr>
          <w:color w:val="333333"/>
          <w:spacing w:val="-3"/>
          <w:sz w:val="21"/>
        </w:rPr>
        <w:t>为了合理设计建筑防烟、排烟系统，保证施工质量，规范验收和维护管理，减少火灾危害，保护人身和财产安全，制定本标准。</w:t>
      </w:r>
      <w:r>
        <w:rPr>
          <w:color w:val="333333"/>
          <w:sz w:val="21"/>
        </w:rPr>
        <w:t> </w:t>
      </w:r>
    </w:p>
    <w:p>
      <w:pPr>
        <w:pStyle w:val="ListParagraph"/>
        <w:numPr>
          <w:ilvl w:val="2"/>
          <w:numId w:val="864"/>
        </w:numPr>
        <w:tabs>
          <w:tab w:pos="1424" w:val="left" w:leader="none"/>
        </w:tabs>
        <w:spacing w:line="446" w:lineRule="auto" w:before="0" w:after="0"/>
        <w:ind w:left="418" w:right="1583" w:firstLine="422"/>
        <w:jc w:val="both"/>
        <w:rPr>
          <w:sz w:val="21"/>
        </w:rPr>
      </w:pPr>
      <w:r>
        <w:rPr>
          <w:color w:val="333333"/>
          <w:spacing w:val="-16"/>
          <w:sz w:val="21"/>
        </w:rPr>
        <w:t>本标准适用于新建、扩建和改建的工业与民用建筑的防烟、排烟系统的设计、施工、</w:t>
      </w:r>
      <w:r>
        <w:rPr>
          <w:color w:val="333333"/>
          <w:spacing w:val="-4"/>
          <w:sz w:val="21"/>
        </w:rPr>
        <w:t>验收及维护管理。对于有特殊用途或特殊要求的工业与民用建筑，当专业标准有特别规定的， </w:t>
      </w:r>
      <w:r>
        <w:rPr>
          <w:color w:val="333333"/>
          <w:spacing w:val="-3"/>
          <w:sz w:val="21"/>
        </w:rPr>
        <w:t>可从其规定。</w:t>
      </w:r>
      <w:r>
        <w:rPr>
          <w:color w:val="333333"/>
          <w:sz w:val="21"/>
        </w:rPr>
        <w:t> </w:t>
      </w:r>
    </w:p>
    <w:p>
      <w:pPr>
        <w:pStyle w:val="ListParagraph"/>
        <w:numPr>
          <w:ilvl w:val="2"/>
          <w:numId w:val="864"/>
        </w:numPr>
        <w:tabs>
          <w:tab w:pos="1371" w:val="left" w:leader="none"/>
        </w:tabs>
        <w:spacing w:line="268" w:lineRule="exact" w:before="0" w:after="0"/>
        <w:ind w:left="1370" w:right="0" w:hanging="531"/>
        <w:jc w:val="left"/>
        <w:rPr>
          <w:sz w:val="19"/>
        </w:rPr>
      </w:pPr>
      <w:r>
        <w:rPr>
          <w:color w:val="333333"/>
          <w:spacing w:val="-3"/>
          <w:sz w:val="21"/>
        </w:rPr>
        <w:t>建筑防烟、排烟系统的设计，应结合建筑的特性和火灾烟气的发展规律等因素，采 </w:t>
      </w:r>
    </w:p>
    <w:p>
      <w:pPr>
        <w:pStyle w:val="BodyText"/>
        <w:spacing w:before="12"/>
        <w:rPr>
          <w:sz w:val="17"/>
        </w:rPr>
      </w:pPr>
    </w:p>
    <w:p>
      <w:pPr>
        <w:pStyle w:val="BodyText"/>
        <w:ind w:left="418"/>
      </w:pPr>
      <w:r>
        <w:rPr>
          <w:color w:val="333333"/>
        </w:rPr>
        <w:t>取有效的技术措施，做到安全可靠、技术先进、经济合理。 </w:t>
      </w:r>
    </w:p>
    <w:p>
      <w:pPr>
        <w:pStyle w:val="BodyText"/>
        <w:rPr>
          <w:sz w:val="18"/>
        </w:rPr>
      </w:pPr>
    </w:p>
    <w:p>
      <w:pPr>
        <w:pStyle w:val="ListParagraph"/>
        <w:numPr>
          <w:ilvl w:val="2"/>
          <w:numId w:val="864"/>
        </w:numPr>
        <w:tabs>
          <w:tab w:pos="1371" w:val="left" w:leader="none"/>
        </w:tabs>
        <w:spacing w:line="446" w:lineRule="auto" w:before="0" w:after="0"/>
        <w:ind w:left="418" w:right="1813" w:firstLine="422"/>
        <w:jc w:val="left"/>
        <w:rPr>
          <w:sz w:val="19"/>
        </w:rPr>
      </w:pPr>
      <w:r>
        <w:rPr>
          <w:color w:val="333333"/>
          <w:spacing w:val="-3"/>
          <w:sz w:val="21"/>
        </w:rPr>
        <w:t>建筑防烟、排烟系统的设备，应选用符合国家现行有关标准和有关准入制度的产品。</w:t>
      </w:r>
      <w:r>
        <w:rPr>
          <w:color w:val="333333"/>
          <w:sz w:val="21"/>
        </w:rPr>
        <w:t> </w:t>
      </w:r>
    </w:p>
    <w:p>
      <w:pPr>
        <w:pStyle w:val="ListParagraph"/>
        <w:numPr>
          <w:ilvl w:val="2"/>
          <w:numId w:val="864"/>
        </w:numPr>
        <w:tabs>
          <w:tab w:pos="1371" w:val="left" w:leader="none"/>
        </w:tabs>
        <w:spacing w:line="240" w:lineRule="auto" w:before="0" w:after="0"/>
        <w:ind w:left="1370" w:right="0" w:hanging="531"/>
        <w:jc w:val="left"/>
        <w:rPr>
          <w:sz w:val="19"/>
        </w:rPr>
      </w:pPr>
      <w:r>
        <w:rPr>
          <w:color w:val="333333"/>
          <w:spacing w:val="-3"/>
          <w:sz w:val="21"/>
        </w:rPr>
        <w:t>建筑防烟、排烟系统的设计、施工、验收及维护管理除执行本标准外，尚应符合国 </w:t>
      </w:r>
    </w:p>
    <w:p>
      <w:pPr>
        <w:pStyle w:val="BodyText"/>
        <w:spacing w:before="12"/>
        <w:rPr>
          <w:sz w:val="17"/>
        </w:rPr>
      </w:pPr>
    </w:p>
    <w:p>
      <w:pPr>
        <w:pStyle w:val="BodyText"/>
        <w:ind w:left="418"/>
      </w:pPr>
      <w:r>
        <w:rPr>
          <w:color w:val="333333"/>
        </w:rPr>
        <w:t>家现行有关标准的要求。 </w:t>
      </w:r>
    </w:p>
    <w:p>
      <w:pPr>
        <w:pStyle w:val="BodyText"/>
        <w:spacing w:before="10"/>
        <w:rPr>
          <w:sz w:val="15"/>
        </w:rPr>
      </w:pPr>
    </w:p>
    <w:p>
      <w:pPr>
        <w:pStyle w:val="Heading4"/>
        <w:spacing w:before="1"/>
      </w:pPr>
      <w:r>
        <w:rPr/>
        <w:t>2 术语和符号</w:t>
      </w:r>
      <w:r>
        <w:rPr>
          <w:w w:val="99"/>
        </w:rPr>
        <w:t> </w:t>
      </w:r>
    </w:p>
    <w:p>
      <w:pPr>
        <w:pStyle w:val="BodyText"/>
        <w:spacing w:before="3"/>
        <w:rPr>
          <w:b/>
          <w:sz w:val="17"/>
        </w:rPr>
      </w:pPr>
    </w:p>
    <w:p>
      <w:pPr>
        <w:pStyle w:val="ListParagraph"/>
        <w:numPr>
          <w:ilvl w:val="1"/>
          <w:numId w:val="865"/>
        </w:numPr>
        <w:tabs>
          <w:tab w:pos="1160" w:val="left" w:leader="none"/>
        </w:tabs>
        <w:spacing w:line="240" w:lineRule="auto" w:before="1" w:after="0"/>
        <w:ind w:left="1159" w:right="0" w:hanging="320"/>
        <w:jc w:val="left"/>
        <w:rPr>
          <w:sz w:val="21"/>
        </w:rPr>
      </w:pPr>
      <w:r>
        <w:rPr>
          <w:spacing w:val="-3"/>
          <w:sz w:val="21"/>
        </w:rPr>
        <w:t>术语</w:t>
      </w:r>
      <w:r>
        <w:rPr>
          <w:sz w:val="21"/>
        </w:rPr>
        <w:t> </w:t>
      </w:r>
    </w:p>
    <w:p>
      <w:pPr>
        <w:pStyle w:val="BodyText"/>
        <w:spacing w:before="12"/>
        <w:rPr>
          <w:sz w:val="17"/>
        </w:rPr>
      </w:pPr>
    </w:p>
    <w:p>
      <w:pPr>
        <w:pStyle w:val="ListParagraph"/>
        <w:numPr>
          <w:ilvl w:val="2"/>
          <w:numId w:val="865"/>
        </w:numPr>
        <w:tabs>
          <w:tab w:pos="1424" w:val="left" w:leader="none"/>
        </w:tabs>
        <w:spacing w:line="240" w:lineRule="auto" w:before="0" w:after="0"/>
        <w:ind w:left="1423" w:right="0" w:hanging="584"/>
        <w:jc w:val="both"/>
        <w:rPr>
          <w:sz w:val="21"/>
        </w:rPr>
      </w:pPr>
      <w:r>
        <w:rPr>
          <w:color w:val="333333"/>
          <w:spacing w:val="-14"/>
          <w:sz w:val="21"/>
        </w:rPr>
        <w:t>防烟系统 </w:t>
      </w:r>
      <w:r>
        <w:rPr>
          <w:color w:val="333333"/>
          <w:sz w:val="21"/>
        </w:rPr>
        <w:t>smoke</w:t>
      </w:r>
      <w:r>
        <w:rPr>
          <w:color w:val="333333"/>
          <w:spacing w:val="1"/>
          <w:sz w:val="21"/>
        </w:rPr>
        <w:t> </w:t>
      </w:r>
      <w:r>
        <w:rPr>
          <w:color w:val="333333"/>
          <w:sz w:val="21"/>
        </w:rPr>
        <w:t>protection system </w:t>
      </w:r>
    </w:p>
    <w:p>
      <w:pPr>
        <w:pStyle w:val="BodyText"/>
        <w:spacing w:before="2"/>
        <w:rPr>
          <w:sz w:val="18"/>
        </w:rPr>
      </w:pPr>
    </w:p>
    <w:p>
      <w:pPr>
        <w:pStyle w:val="BodyText"/>
        <w:spacing w:line="446" w:lineRule="auto"/>
        <w:ind w:left="418" w:right="1608" w:firstLine="419"/>
        <w:jc w:val="both"/>
      </w:pPr>
      <w:r>
        <w:rPr>
          <w:color w:val="333333"/>
        </w:rPr>
        <w:t>通过采用自然通风方式，防止火灾烟气在楼梯间、前室、避难层（间）等空间内积聚，或通过采用机械加压送风方式阻止火灾烟气侵入楼梯间、前室、避难层（间）等空间的系统，防烟系统分为自然通风系统和机械加压送风系统。 </w:t>
      </w:r>
    </w:p>
    <w:p>
      <w:pPr>
        <w:pStyle w:val="ListParagraph"/>
        <w:numPr>
          <w:ilvl w:val="2"/>
          <w:numId w:val="865"/>
        </w:numPr>
        <w:tabs>
          <w:tab w:pos="1370" w:val="left" w:leader="none"/>
        </w:tabs>
        <w:spacing w:line="268" w:lineRule="exact" w:before="0" w:after="0"/>
        <w:ind w:left="1369" w:right="0" w:hanging="530"/>
        <w:jc w:val="both"/>
        <w:rPr>
          <w:sz w:val="21"/>
        </w:rPr>
      </w:pPr>
      <w:r>
        <w:rPr>
          <w:color w:val="333333"/>
          <w:spacing w:val="-13"/>
          <w:sz w:val="21"/>
        </w:rPr>
        <w:t>排烟系统 </w:t>
      </w:r>
      <w:r>
        <w:rPr>
          <w:color w:val="333333"/>
          <w:sz w:val="21"/>
        </w:rPr>
        <w:t>smoke</w:t>
      </w:r>
      <w:r>
        <w:rPr>
          <w:color w:val="333333"/>
          <w:spacing w:val="103"/>
          <w:sz w:val="21"/>
        </w:rPr>
        <w:t> </w:t>
      </w:r>
      <w:r>
        <w:rPr>
          <w:color w:val="333333"/>
          <w:sz w:val="21"/>
        </w:rPr>
        <w:t>exhaust</w:t>
      </w:r>
      <w:r>
        <w:rPr>
          <w:color w:val="333333"/>
          <w:spacing w:val="1"/>
          <w:sz w:val="21"/>
        </w:rPr>
        <w:t> </w:t>
      </w:r>
      <w:r>
        <w:rPr>
          <w:color w:val="333333"/>
          <w:sz w:val="21"/>
        </w:rPr>
        <w:t>system </w:t>
      </w:r>
    </w:p>
    <w:p>
      <w:pPr>
        <w:pStyle w:val="BodyText"/>
        <w:spacing w:before="12"/>
        <w:rPr>
          <w:sz w:val="17"/>
        </w:rPr>
      </w:pPr>
    </w:p>
    <w:p>
      <w:pPr>
        <w:pStyle w:val="BodyText"/>
        <w:spacing w:line="446" w:lineRule="auto"/>
        <w:ind w:left="418" w:right="1609" w:firstLine="419"/>
      </w:pPr>
      <w:r>
        <w:rPr>
          <w:color w:val="333333"/>
        </w:rPr>
        <w:t>采用自然排烟或机械排烟的方式，将房间、走道等空间的火灾烟气排至建筑物外的系统， 分为自然排烟系统和机械排烟系统。 </w:t>
      </w:r>
    </w:p>
    <w:p>
      <w:pPr>
        <w:pStyle w:val="ListParagraph"/>
        <w:numPr>
          <w:ilvl w:val="2"/>
          <w:numId w:val="865"/>
        </w:numPr>
        <w:tabs>
          <w:tab w:pos="1370" w:val="left" w:leader="none"/>
        </w:tabs>
        <w:spacing w:line="240" w:lineRule="auto" w:before="0" w:after="0"/>
        <w:ind w:left="1369" w:right="0" w:hanging="530"/>
        <w:jc w:val="left"/>
        <w:rPr>
          <w:sz w:val="21"/>
        </w:rPr>
      </w:pPr>
      <w:r>
        <w:rPr>
          <w:color w:val="333333"/>
          <w:spacing w:val="-3"/>
          <w:sz w:val="21"/>
        </w:rPr>
        <w:t>直灌式机械加压送风 </w:t>
      </w:r>
      <w:r>
        <w:rPr>
          <w:color w:val="333333"/>
          <w:sz w:val="21"/>
        </w:rPr>
        <w:t>mechanical pressurization</w:t>
      </w:r>
      <w:r>
        <w:rPr>
          <w:color w:val="333333"/>
          <w:spacing w:val="1"/>
          <w:sz w:val="21"/>
        </w:rPr>
        <w:t> </w:t>
      </w:r>
      <w:r>
        <w:rPr>
          <w:color w:val="333333"/>
          <w:sz w:val="21"/>
        </w:rPr>
        <w:t>without air</w:t>
      </w:r>
      <w:r>
        <w:rPr>
          <w:color w:val="333333"/>
          <w:spacing w:val="104"/>
          <w:sz w:val="21"/>
        </w:rPr>
        <w:t> </w:t>
      </w:r>
      <w:r>
        <w:rPr>
          <w:color w:val="333333"/>
          <w:sz w:val="21"/>
        </w:rPr>
        <w:t>shaft </w:t>
      </w:r>
    </w:p>
    <w:p>
      <w:pPr>
        <w:pStyle w:val="BodyText"/>
        <w:spacing w:before="12"/>
        <w:rPr>
          <w:sz w:val="17"/>
        </w:rPr>
      </w:pPr>
    </w:p>
    <w:p>
      <w:pPr>
        <w:pStyle w:val="BodyText"/>
        <w:ind w:left="838"/>
      </w:pPr>
      <w:r>
        <w:rPr>
          <w:color w:val="333333"/>
        </w:rPr>
        <w:t>无送风井道，采用风机直接对楼梯间进行机械加压的送风方式。 </w:t>
      </w:r>
    </w:p>
    <w:p>
      <w:pPr>
        <w:pStyle w:val="BodyText"/>
        <w:rPr>
          <w:sz w:val="18"/>
        </w:rPr>
      </w:pPr>
    </w:p>
    <w:p>
      <w:pPr>
        <w:pStyle w:val="ListParagraph"/>
        <w:numPr>
          <w:ilvl w:val="2"/>
          <w:numId w:val="865"/>
        </w:numPr>
        <w:tabs>
          <w:tab w:pos="1424" w:val="left" w:leader="none"/>
        </w:tabs>
        <w:spacing w:line="240" w:lineRule="auto" w:before="0" w:after="0"/>
        <w:ind w:left="1423" w:right="0" w:hanging="584"/>
        <w:jc w:val="left"/>
        <w:rPr>
          <w:sz w:val="21"/>
        </w:rPr>
      </w:pPr>
      <w:r>
        <w:rPr>
          <w:color w:val="333333"/>
          <w:spacing w:val="-13"/>
          <w:sz w:val="21"/>
        </w:rPr>
        <w:t>自然排烟 </w:t>
      </w:r>
      <w:r>
        <w:rPr>
          <w:color w:val="333333"/>
          <w:sz w:val="21"/>
        </w:rPr>
        <w:t>natural</w:t>
      </w:r>
      <w:r>
        <w:rPr>
          <w:color w:val="333333"/>
          <w:spacing w:val="103"/>
          <w:sz w:val="21"/>
        </w:rPr>
        <w:t> </w:t>
      </w:r>
      <w:r>
        <w:rPr>
          <w:color w:val="333333"/>
          <w:sz w:val="21"/>
        </w:rPr>
        <w:t>smoke</w:t>
      </w:r>
      <w:r>
        <w:rPr>
          <w:color w:val="333333"/>
          <w:spacing w:val="1"/>
          <w:sz w:val="21"/>
        </w:rPr>
        <w:t> </w:t>
      </w:r>
      <w:r>
        <w:rPr>
          <w:color w:val="333333"/>
          <w:sz w:val="21"/>
        </w:rPr>
        <w:t>exhaust </w:t>
      </w:r>
    </w:p>
    <w:p>
      <w:pPr>
        <w:pStyle w:val="BodyText"/>
        <w:spacing w:before="2"/>
        <w:rPr>
          <w:sz w:val="18"/>
        </w:rPr>
      </w:pPr>
    </w:p>
    <w:p>
      <w:pPr>
        <w:pStyle w:val="BodyText"/>
        <w:spacing w:line="446" w:lineRule="auto"/>
        <w:ind w:left="418" w:right="1609" w:firstLine="419"/>
      </w:pPr>
      <w:r>
        <w:rPr>
          <w:color w:val="333333"/>
        </w:rPr>
        <w:t>利用火灾热烟气流的浮力和外部风压作用，通过建筑开口将建筑内的烟气直接排至室外的排烟方式。 </w:t>
      </w:r>
    </w:p>
    <w:p>
      <w:pPr>
        <w:spacing w:after="0" w:line="446" w:lineRule="auto"/>
        <w:sectPr>
          <w:pgSz w:w="11910" w:h="16850"/>
          <w:pgMar w:header="0" w:footer="1239" w:top="1140" w:bottom="1420" w:left="1260" w:right="0"/>
        </w:sectPr>
      </w:pPr>
    </w:p>
    <w:p>
      <w:pPr>
        <w:pStyle w:val="ListParagraph"/>
        <w:numPr>
          <w:ilvl w:val="2"/>
          <w:numId w:val="865"/>
        </w:numPr>
        <w:tabs>
          <w:tab w:pos="1370" w:val="left" w:leader="none"/>
        </w:tabs>
        <w:spacing w:line="240" w:lineRule="auto" w:before="47" w:after="0"/>
        <w:ind w:left="1369" w:right="0" w:hanging="530"/>
        <w:jc w:val="left"/>
        <w:rPr>
          <w:sz w:val="21"/>
        </w:rPr>
      </w:pPr>
      <w:r>
        <w:rPr>
          <w:color w:val="333333"/>
          <w:spacing w:val="-3"/>
          <w:sz w:val="21"/>
        </w:rPr>
        <w:t>自然排烟窗</w:t>
      </w:r>
      <w:r>
        <w:rPr>
          <w:color w:val="333333"/>
          <w:sz w:val="21"/>
        </w:rPr>
        <w:t>（</w:t>
      </w:r>
      <w:r>
        <w:rPr>
          <w:color w:val="333333"/>
          <w:spacing w:val="-3"/>
          <w:sz w:val="21"/>
        </w:rPr>
        <w:t>口</w:t>
      </w:r>
      <w:r>
        <w:rPr>
          <w:color w:val="333333"/>
          <w:sz w:val="21"/>
        </w:rPr>
        <w:t>）natural smoke</w:t>
      </w:r>
      <w:r>
        <w:rPr>
          <w:color w:val="333333"/>
          <w:spacing w:val="1"/>
          <w:sz w:val="21"/>
        </w:rPr>
        <w:t> </w:t>
      </w:r>
      <w:r>
        <w:rPr>
          <w:color w:val="333333"/>
          <w:sz w:val="21"/>
        </w:rPr>
        <w:t>vent </w:t>
      </w:r>
    </w:p>
    <w:p>
      <w:pPr>
        <w:pStyle w:val="BodyText"/>
        <w:rPr>
          <w:sz w:val="18"/>
        </w:rPr>
      </w:pPr>
    </w:p>
    <w:p>
      <w:pPr>
        <w:pStyle w:val="BodyText"/>
        <w:spacing w:line="446" w:lineRule="auto"/>
        <w:ind w:left="840" w:right="2345" w:hanging="3"/>
      </w:pPr>
      <w:r>
        <w:rPr>
          <w:color w:val="333333"/>
        </w:rPr>
        <w:t>具有排烟作用的可开启外窗或开口，可通过自动、手动、温控释放等方式开启。</w:t>
      </w:r>
      <w:r>
        <w:rPr>
          <w:b/>
        </w:rPr>
        <w:t>2.1.6 </w:t>
      </w:r>
      <w:r>
        <w:rPr>
          <w:color w:val="333333"/>
        </w:rPr>
        <w:t>烟羽流 smoke plume </w:t>
      </w:r>
    </w:p>
    <w:p>
      <w:pPr>
        <w:pStyle w:val="BodyText"/>
        <w:spacing w:line="446" w:lineRule="auto"/>
        <w:ind w:left="418" w:right="1609" w:firstLine="419"/>
      </w:pPr>
      <w:r>
        <w:rPr>
          <w:color w:val="333333"/>
        </w:rPr>
        <w:t>火灾时烟气卷吸周围空气所形成的混合烟气流。烟羽流按火焰及烟的流动情形，可分为轴对称型烟羽流、阳台溢出型烟羽流、窗口型烟羽流等。 </w:t>
      </w:r>
    </w:p>
    <w:p>
      <w:pPr>
        <w:pStyle w:val="BodyText"/>
        <w:spacing w:line="267" w:lineRule="exact"/>
        <w:ind w:left="840"/>
      </w:pPr>
      <w:r>
        <w:rPr>
          <w:b/>
        </w:rPr>
        <w:t>2.1.7</w:t>
      </w:r>
      <w:r>
        <w:rPr>
          <w:b/>
          <w:color w:val="333333"/>
        </w:rPr>
        <w:t> </w:t>
      </w:r>
      <w:r>
        <w:rPr>
          <w:color w:val="333333"/>
        </w:rPr>
        <w:t>轴对称型烟羽流 axisymmetric plume </w:t>
      </w:r>
    </w:p>
    <w:p>
      <w:pPr>
        <w:pStyle w:val="BodyText"/>
        <w:spacing w:before="2"/>
        <w:rPr>
          <w:sz w:val="18"/>
        </w:rPr>
      </w:pPr>
    </w:p>
    <w:p>
      <w:pPr>
        <w:pStyle w:val="BodyText"/>
        <w:spacing w:line="446" w:lineRule="auto"/>
        <w:ind w:left="840" w:right="3397" w:hanging="3"/>
      </w:pPr>
      <w:r>
        <w:rPr>
          <w:color w:val="333333"/>
        </w:rPr>
        <w:t>上升过程不与四周墙壁或障碍物接触，并且不受气流干扰的烟羽流。</w:t>
      </w:r>
      <w:r>
        <w:rPr>
          <w:b/>
        </w:rPr>
        <w:t>2.1.8 </w:t>
      </w:r>
      <w:r>
        <w:rPr>
          <w:color w:val="333333"/>
        </w:rPr>
        <w:t>阳台溢出型烟羽流 balcony spill plume </w:t>
      </w:r>
    </w:p>
    <w:p>
      <w:pPr>
        <w:pStyle w:val="BodyText"/>
        <w:spacing w:line="446" w:lineRule="auto"/>
        <w:ind w:left="418" w:right="1609" w:firstLine="419"/>
      </w:pPr>
      <w:r>
        <w:rPr>
          <w:color w:val="333333"/>
        </w:rPr>
        <w:t>从着火房间的门（窗）梁处溢出，并沿着火房间外的阳台或水平突出物流动，至阳台或水平突出物的边缘向上溢出至相邻高大空间的烟羽流。 </w:t>
      </w:r>
    </w:p>
    <w:p>
      <w:pPr>
        <w:spacing w:before="0"/>
        <w:ind w:left="840" w:right="0" w:firstLine="0"/>
        <w:jc w:val="left"/>
        <w:rPr>
          <w:sz w:val="21"/>
        </w:rPr>
      </w:pPr>
      <w:r>
        <w:rPr>
          <w:b/>
          <w:sz w:val="21"/>
        </w:rPr>
        <w:t>2.1.9 </w:t>
      </w:r>
      <w:r>
        <w:rPr>
          <w:color w:val="333333"/>
          <w:sz w:val="21"/>
        </w:rPr>
        <w:t>窗口型烟羽流 window plume </w:t>
      </w:r>
    </w:p>
    <w:p>
      <w:pPr>
        <w:pStyle w:val="BodyText"/>
        <w:spacing w:before="10"/>
        <w:rPr>
          <w:sz w:val="17"/>
        </w:rPr>
      </w:pPr>
    </w:p>
    <w:p>
      <w:pPr>
        <w:pStyle w:val="BodyText"/>
        <w:spacing w:line="446" w:lineRule="auto"/>
        <w:ind w:left="840" w:right="1925" w:hanging="3"/>
      </w:pPr>
      <w:r>
        <w:rPr>
          <w:color w:val="333333"/>
          <w:spacing w:val="-3"/>
        </w:rPr>
        <w:t>从发生通风受限火灾的房间或隔间的门、窗等开口处溢出至相邻高大空间的烟羽流。</w:t>
      </w:r>
      <w:r>
        <w:rPr>
          <w:b/>
          <w:color w:val="333333"/>
        </w:rPr>
        <w:t>2.1.10 </w:t>
      </w:r>
      <w:r>
        <w:rPr>
          <w:color w:val="333333"/>
          <w:spacing w:val="-13"/>
        </w:rPr>
        <w:t>挡烟垂壁 </w:t>
      </w:r>
      <w:r>
        <w:rPr>
          <w:color w:val="333333"/>
        </w:rPr>
        <w:t>draft</w:t>
      </w:r>
      <w:r>
        <w:rPr>
          <w:color w:val="333333"/>
          <w:spacing w:val="104"/>
        </w:rPr>
        <w:t> </w:t>
      </w:r>
      <w:r>
        <w:rPr>
          <w:color w:val="333333"/>
        </w:rPr>
        <w:t>curtain </w:t>
      </w:r>
    </w:p>
    <w:p>
      <w:pPr>
        <w:pStyle w:val="BodyText"/>
        <w:spacing w:line="446" w:lineRule="auto" w:before="1"/>
        <w:ind w:left="418" w:right="1609" w:firstLine="419"/>
      </w:pPr>
      <w:r>
        <w:rPr>
          <w:color w:val="333333"/>
        </w:rPr>
        <w:t>用不燃材料制成，垂直安装在建筑顶棚、梁或吊顶下，能在火灾时形成一定的蓄烟空间的挡烟分隔设施。 </w:t>
      </w: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15"/>
          <w:sz w:val="21"/>
        </w:rPr>
        <w:t>储烟仓 </w:t>
      </w:r>
      <w:r>
        <w:rPr>
          <w:color w:val="333333"/>
          <w:sz w:val="21"/>
        </w:rPr>
        <w:t>smoke</w:t>
      </w:r>
      <w:r>
        <w:rPr>
          <w:color w:val="333333"/>
          <w:spacing w:val="1"/>
          <w:sz w:val="21"/>
        </w:rPr>
        <w:t> </w:t>
      </w:r>
      <w:r>
        <w:rPr>
          <w:color w:val="333333"/>
          <w:sz w:val="21"/>
        </w:rPr>
        <w:t>reservoir </w:t>
      </w:r>
    </w:p>
    <w:p>
      <w:pPr>
        <w:pStyle w:val="BodyText"/>
        <w:spacing w:before="12"/>
        <w:rPr>
          <w:sz w:val="17"/>
        </w:rPr>
      </w:pPr>
    </w:p>
    <w:p>
      <w:pPr>
        <w:pStyle w:val="BodyText"/>
        <w:spacing w:line="446" w:lineRule="auto"/>
        <w:ind w:left="418" w:right="1609" w:firstLine="419"/>
      </w:pPr>
      <w:r>
        <w:rPr>
          <w:color w:val="333333"/>
        </w:rPr>
        <w:t>位于建筑空间顶部，由挡烟垂壁、梁或隔墙等形成的用于蓄积火灾烟气的空间。储烟仓高度即设计烟层厚度。 </w:t>
      </w: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13"/>
          <w:sz w:val="21"/>
        </w:rPr>
        <w:t>清晰高度 </w:t>
      </w:r>
      <w:r>
        <w:rPr>
          <w:color w:val="333333"/>
          <w:sz w:val="21"/>
        </w:rPr>
        <w:t>clear</w:t>
      </w:r>
      <w:r>
        <w:rPr>
          <w:color w:val="333333"/>
          <w:spacing w:val="103"/>
          <w:sz w:val="21"/>
        </w:rPr>
        <w:t> </w:t>
      </w:r>
      <w:r>
        <w:rPr>
          <w:color w:val="333333"/>
          <w:sz w:val="21"/>
        </w:rPr>
        <w:t>height </w:t>
      </w:r>
    </w:p>
    <w:p>
      <w:pPr>
        <w:pStyle w:val="BodyText"/>
        <w:rPr>
          <w:sz w:val="18"/>
        </w:rPr>
      </w:pPr>
    </w:p>
    <w:p>
      <w:pPr>
        <w:pStyle w:val="BodyText"/>
        <w:ind w:left="838"/>
      </w:pPr>
      <w:r>
        <w:rPr>
          <w:color w:val="333333"/>
        </w:rPr>
        <w:t>烟层下缘至室内地面的高度。 </w:t>
      </w:r>
    </w:p>
    <w:p>
      <w:pPr>
        <w:pStyle w:val="BodyText"/>
        <w:spacing w:before="12"/>
        <w:rPr>
          <w:sz w:val="17"/>
        </w:rPr>
      </w:pP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10"/>
          <w:sz w:val="21"/>
        </w:rPr>
        <w:t>烟羽流质量流量 </w:t>
      </w:r>
      <w:r>
        <w:rPr>
          <w:color w:val="333333"/>
          <w:sz w:val="21"/>
        </w:rPr>
        <w:t>mass</w:t>
      </w:r>
      <w:r>
        <w:rPr>
          <w:color w:val="333333"/>
          <w:spacing w:val="1"/>
          <w:sz w:val="21"/>
        </w:rPr>
        <w:t> </w:t>
      </w:r>
      <w:r>
        <w:rPr>
          <w:color w:val="333333"/>
          <w:sz w:val="21"/>
        </w:rPr>
        <w:t>flow</w:t>
      </w:r>
      <w:r>
        <w:rPr>
          <w:color w:val="333333"/>
          <w:spacing w:val="103"/>
          <w:sz w:val="21"/>
        </w:rPr>
        <w:t> </w:t>
      </w:r>
      <w:r>
        <w:rPr>
          <w:color w:val="333333"/>
          <w:sz w:val="21"/>
        </w:rPr>
        <w:t>rate</w:t>
      </w:r>
      <w:r>
        <w:rPr>
          <w:color w:val="333333"/>
          <w:spacing w:val="1"/>
          <w:sz w:val="21"/>
        </w:rPr>
        <w:t> </w:t>
      </w:r>
      <w:r>
        <w:rPr>
          <w:color w:val="333333"/>
          <w:sz w:val="21"/>
        </w:rPr>
        <w:t>of</w:t>
      </w:r>
      <w:r>
        <w:rPr>
          <w:color w:val="333333"/>
          <w:spacing w:val="1"/>
          <w:sz w:val="21"/>
        </w:rPr>
        <w:t> </w:t>
      </w:r>
      <w:r>
        <w:rPr>
          <w:color w:val="333333"/>
          <w:sz w:val="21"/>
        </w:rPr>
        <w:t>plume </w:t>
      </w:r>
    </w:p>
    <w:p>
      <w:pPr>
        <w:pStyle w:val="BodyText"/>
        <w:spacing w:before="2"/>
        <w:rPr>
          <w:sz w:val="18"/>
        </w:rPr>
      </w:pPr>
    </w:p>
    <w:p>
      <w:pPr>
        <w:pStyle w:val="BodyText"/>
        <w:ind w:left="838"/>
      </w:pPr>
      <w:r>
        <w:rPr>
          <w:color w:val="333333"/>
        </w:rPr>
        <w:t>单位时间内烟羽流通过某一高度的水平断面的质量，单位为 kg/s。 </w:t>
      </w:r>
    </w:p>
    <w:p>
      <w:pPr>
        <w:pStyle w:val="BodyText"/>
        <w:spacing w:before="12"/>
        <w:rPr>
          <w:sz w:val="17"/>
        </w:rPr>
      </w:pP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12"/>
          <w:sz w:val="21"/>
        </w:rPr>
        <w:t>排烟防火阀 </w:t>
      </w:r>
      <w:r>
        <w:rPr>
          <w:color w:val="333333"/>
          <w:sz w:val="21"/>
        </w:rPr>
        <w:t>combination</w:t>
      </w:r>
      <w:r>
        <w:rPr>
          <w:color w:val="333333"/>
          <w:spacing w:val="1"/>
          <w:sz w:val="21"/>
        </w:rPr>
        <w:t> </w:t>
      </w:r>
      <w:r>
        <w:rPr>
          <w:color w:val="333333"/>
          <w:sz w:val="21"/>
        </w:rPr>
        <w:t>fire and</w:t>
      </w:r>
      <w:r>
        <w:rPr>
          <w:color w:val="333333"/>
          <w:spacing w:val="103"/>
          <w:sz w:val="21"/>
        </w:rPr>
        <w:t> </w:t>
      </w:r>
      <w:r>
        <w:rPr>
          <w:color w:val="333333"/>
          <w:sz w:val="21"/>
        </w:rPr>
        <w:t>smoke damper </w:t>
      </w:r>
    </w:p>
    <w:p>
      <w:pPr>
        <w:pStyle w:val="BodyText"/>
        <w:rPr>
          <w:sz w:val="18"/>
        </w:rPr>
      </w:pPr>
    </w:p>
    <w:p>
      <w:pPr>
        <w:pStyle w:val="BodyText"/>
        <w:spacing w:line="446" w:lineRule="auto"/>
        <w:ind w:left="418" w:right="1450" w:firstLine="419"/>
      </w:pPr>
      <w:r>
        <w:rPr>
          <w:color w:val="333333"/>
          <w:spacing w:val="-4"/>
        </w:rPr>
        <w:t>安装在机械排烟系统的管道上，平时呈开启状态，火灾时当排烟管道内烟气温度达到 </w:t>
      </w:r>
      <w:r>
        <w:rPr>
          <w:color w:val="333333"/>
        </w:rPr>
        <w:t>280℃ </w:t>
      </w:r>
      <w:r>
        <w:rPr>
          <w:color w:val="333333"/>
          <w:spacing w:val="-3"/>
        </w:rPr>
        <w:t>时关闭，并在一定时间内能满足漏烟量和耐火完整性要求，起隔烟阻火作用的阀门。一般由阀 体、叶片、执行机构和温感器等部件组成。</w:t>
      </w:r>
      <w:r>
        <w:rPr>
          <w:color w:val="333333"/>
        </w:rPr>
        <w:t> </w:t>
      </w:r>
    </w:p>
    <w:p>
      <w:pPr>
        <w:pStyle w:val="ListParagraph"/>
        <w:numPr>
          <w:ilvl w:val="2"/>
          <w:numId w:val="866"/>
        </w:numPr>
        <w:tabs>
          <w:tab w:pos="1530" w:val="left" w:leader="none"/>
        </w:tabs>
        <w:spacing w:line="268" w:lineRule="exact" w:before="0" w:after="0"/>
        <w:ind w:left="1529" w:right="0" w:hanging="690"/>
        <w:jc w:val="left"/>
        <w:rPr>
          <w:sz w:val="21"/>
        </w:rPr>
      </w:pPr>
      <w:r>
        <w:rPr>
          <w:color w:val="333333"/>
          <w:spacing w:val="-15"/>
          <w:sz w:val="21"/>
        </w:rPr>
        <w:t>排烟阀 </w:t>
      </w:r>
      <w:r>
        <w:rPr>
          <w:color w:val="333333"/>
          <w:sz w:val="21"/>
        </w:rPr>
        <w:t>smoke</w:t>
      </w:r>
      <w:r>
        <w:rPr>
          <w:color w:val="333333"/>
          <w:spacing w:val="1"/>
          <w:sz w:val="21"/>
        </w:rPr>
        <w:t> </w:t>
      </w:r>
      <w:r>
        <w:rPr>
          <w:color w:val="333333"/>
          <w:sz w:val="21"/>
        </w:rPr>
        <w:t>damper </w:t>
      </w:r>
    </w:p>
    <w:p>
      <w:pPr>
        <w:pStyle w:val="BodyText"/>
        <w:spacing w:before="2"/>
        <w:rPr>
          <w:sz w:val="18"/>
        </w:rPr>
      </w:pPr>
    </w:p>
    <w:p>
      <w:pPr>
        <w:pStyle w:val="BodyText"/>
        <w:ind w:left="838"/>
      </w:pPr>
      <w:r>
        <w:rPr>
          <w:color w:val="333333"/>
        </w:rPr>
        <w:t>安装在机械排烟系统各支管端部（烟气吸入口）处，平时呈关闭状态并满足漏风量要求，</w:t>
      </w:r>
    </w:p>
    <w:p>
      <w:pPr>
        <w:spacing w:after="0"/>
        <w:sectPr>
          <w:pgSz w:w="11910" w:h="16850"/>
          <w:pgMar w:header="0" w:footer="1239" w:top="1220" w:bottom="1420" w:left="1260" w:right="0"/>
        </w:sectPr>
      </w:pPr>
    </w:p>
    <w:p>
      <w:pPr>
        <w:pStyle w:val="BodyText"/>
        <w:spacing w:before="47"/>
        <w:ind w:left="418"/>
      </w:pPr>
      <w:r>
        <w:rPr>
          <w:color w:val="333333"/>
        </w:rPr>
        <w:t>火灾时可手动和电动启闭，起排烟作用的阀门。一般由阀体、叶片、执行机构等部件组成。 </w:t>
      </w:r>
    </w:p>
    <w:p>
      <w:pPr>
        <w:pStyle w:val="BodyText"/>
        <w:rPr>
          <w:sz w:val="18"/>
        </w:rPr>
      </w:pP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15"/>
          <w:sz w:val="21"/>
        </w:rPr>
        <w:t>排烟口 </w:t>
      </w:r>
      <w:r>
        <w:rPr>
          <w:color w:val="333333"/>
          <w:sz w:val="21"/>
        </w:rPr>
        <w:t>smoke</w:t>
      </w:r>
      <w:r>
        <w:rPr>
          <w:color w:val="333333"/>
          <w:spacing w:val="1"/>
          <w:sz w:val="21"/>
        </w:rPr>
        <w:t> </w:t>
      </w:r>
      <w:r>
        <w:rPr>
          <w:color w:val="333333"/>
          <w:sz w:val="21"/>
        </w:rPr>
        <w:t>exhaust</w:t>
      </w:r>
      <w:r>
        <w:rPr>
          <w:color w:val="333333"/>
          <w:spacing w:val="104"/>
          <w:sz w:val="21"/>
        </w:rPr>
        <w:t> </w:t>
      </w:r>
      <w:r>
        <w:rPr>
          <w:color w:val="333333"/>
          <w:sz w:val="21"/>
        </w:rPr>
        <w:t>inlet </w:t>
      </w:r>
    </w:p>
    <w:p>
      <w:pPr>
        <w:pStyle w:val="BodyText"/>
        <w:rPr>
          <w:sz w:val="18"/>
        </w:rPr>
      </w:pPr>
    </w:p>
    <w:p>
      <w:pPr>
        <w:pStyle w:val="BodyText"/>
        <w:ind w:left="838"/>
      </w:pPr>
      <w:r>
        <w:rPr>
          <w:color w:val="333333"/>
        </w:rPr>
        <w:t>机械排烟系统中烟气的入口。 </w:t>
      </w:r>
    </w:p>
    <w:p>
      <w:pPr>
        <w:pStyle w:val="BodyText"/>
        <w:spacing w:before="1"/>
        <w:rPr>
          <w:sz w:val="18"/>
        </w:rPr>
      </w:pPr>
    </w:p>
    <w:p>
      <w:pPr>
        <w:pStyle w:val="ListParagraph"/>
        <w:numPr>
          <w:ilvl w:val="2"/>
          <w:numId w:val="866"/>
        </w:numPr>
        <w:tabs>
          <w:tab w:pos="1530" w:val="left" w:leader="none"/>
        </w:tabs>
        <w:spacing w:line="240" w:lineRule="auto" w:before="1" w:after="0"/>
        <w:ind w:left="1529" w:right="0" w:hanging="690"/>
        <w:jc w:val="left"/>
        <w:rPr>
          <w:sz w:val="21"/>
        </w:rPr>
      </w:pPr>
      <w:r>
        <w:rPr>
          <w:color w:val="333333"/>
          <w:spacing w:val="-15"/>
          <w:sz w:val="21"/>
        </w:rPr>
        <w:t>固定窗 </w:t>
      </w:r>
      <w:r>
        <w:rPr>
          <w:color w:val="333333"/>
          <w:sz w:val="21"/>
        </w:rPr>
        <w:t>fixed</w:t>
      </w:r>
      <w:r>
        <w:rPr>
          <w:color w:val="333333"/>
          <w:spacing w:val="1"/>
          <w:sz w:val="21"/>
        </w:rPr>
        <w:t> </w:t>
      </w:r>
      <w:r>
        <w:rPr>
          <w:color w:val="333333"/>
          <w:sz w:val="21"/>
        </w:rPr>
        <w:t>window for fire forcible entry </w:t>
      </w:r>
    </w:p>
    <w:p>
      <w:pPr>
        <w:pStyle w:val="BodyText"/>
        <w:spacing w:before="12"/>
        <w:rPr>
          <w:sz w:val="17"/>
        </w:rPr>
      </w:pPr>
    </w:p>
    <w:p>
      <w:pPr>
        <w:pStyle w:val="BodyText"/>
        <w:spacing w:line="446" w:lineRule="auto"/>
        <w:ind w:left="418" w:right="1609" w:firstLine="419"/>
      </w:pPr>
      <w:r>
        <w:rPr>
          <w:color w:val="333333"/>
        </w:rPr>
        <w:t>设置在设有机械防烟排烟系统的场所中，窗扇固定、平时不可开启，仅在火灾时便于人工破拆以排出火场中的烟和热的外窗。 </w:t>
      </w: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3"/>
          <w:sz w:val="21"/>
        </w:rPr>
        <w:t>可熔性采光带</w:t>
      </w:r>
      <w:r>
        <w:rPr>
          <w:color w:val="333333"/>
          <w:sz w:val="21"/>
        </w:rPr>
        <w:t>（</w:t>
      </w:r>
      <w:r>
        <w:rPr>
          <w:color w:val="333333"/>
          <w:spacing w:val="-3"/>
          <w:sz w:val="21"/>
        </w:rPr>
        <w:t>窗</w:t>
      </w:r>
      <w:r>
        <w:rPr>
          <w:color w:val="333333"/>
          <w:sz w:val="21"/>
        </w:rPr>
        <w:t>）fusible daylighting</w:t>
      </w:r>
      <w:r>
        <w:rPr>
          <w:color w:val="333333"/>
          <w:spacing w:val="1"/>
          <w:sz w:val="21"/>
        </w:rPr>
        <w:t> </w:t>
      </w:r>
      <w:r>
        <w:rPr>
          <w:color w:val="333333"/>
          <w:sz w:val="21"/>
        </w:rPr>
        <w:t>band </w:t>
      </w:r>
    </w:p>
    <w:p>
      <w:pPr>
        <w:pStyle w:val="BodyText"/>
        <w:spacing w:line="350" w:lineRule="auto" w:before="163"/>
        <w:ind w:left="418" w:right="1498" w:firstLine="419"/>
      </w:pPr>
      <w:r>
        <w:rPr>
          <w:color w:val="333333"/>
        </w:rPr>
        <w:t>采用在 120</w:t>
      </w:r>
      <w:r>
        <w:rPr>
          <w:rFonts w:ascii="微软雅黑" w:hAnsi="微软雅黑" w:eastAsia="微软雅黑" w:hint="eastAsia"/>
          <w:color w:val="333333"/>
        </w:rPr>
        <w:t>〜</w:t>
      </w:r>
      <w:r>
        <w:rPr>
          <w:color w:val="333333"/>
        </w:rPr>
        <w:t>150℃能自行熔化且不产生熔滴的材料制作，设置在建筑空间上部，用于排出火场中的烟和热的设施。 </w:t>
      </w:r>
    </w:p>
    <w:p>
      <w:pPr>
        <w:pStyle w:val="ListParagraph"/>
        <w:numPr>
          <w:ilvl w:val="2"/>
          <w:numId w:val="866"/>
        </w:numPr>
        <w:tabs>
          <w:tab w:pos="1530" w:val="left" w:leader="none"/>
        </w:tabs>
        <w:spacing w:line="240" w:lineRule="auto" w:before="110" w:after="0"/>
        <w:ind w:left="1529" w:right="0" w:hanging="690"/>
        <w:jc w:val="left"/>
        <w:rPr>
          <w:sz w:val="21"/>
        </w:rPr>
      </w:pPr>
      <w:r>
        <w:rPr>
          <w:color w:val="333333"/>
          <w:spacing w:val="-14"/>
          <w:sz w:val="21"/>
        </w:rPr>
        <w:t>独立前室 </w:t>
      </w:r>
      <w:r>
        <w:rPr>
          <w:color w:val="333333"/>
          <w:sz w:val="21"/>
        </w:rPr>
        <w:t>independent</w:t>
      </w:r>
      <w:r>
        <w:rPr>
          <w:color w:val="333333"/>
          <w:spacing w:val="1"/>
          <w:sz w:val="21"/>
        </w:rPr>
        <w:t> </w:t>
      </w:r>
      <w:r>
        <w:rPr>
          <w:color w:val="333333"/>
          <w:sz w:val="21"/>
        </w:rPr>
        <w:t>anteroom </w:t>
      </w:r>
    </w:p>
    <w:p>
      <w:pPr>
        <w:pStyle w:val="BodyText"/>
        <w:rPr>
          <w:sz w:val="18"/>
        </w:rPr>
      </w:pPr>
    </w:p>
    <w:p>
      <w:pPr>
        <w:pStyle w:val="BodyText"/>
        <w:ind w:left="838"/>
      </w:pPr>
      <w:r>
        <w:rPr>
          <w:color w:val="333333"/>
        </w:rPr>
        <w:t>只与一部疏散楼梯相连的前室。 </w:t>
      </w:r>
    </w:p>
    <w:p>
      <w:pPr>
        <w:pStyle w:val="BodyText"/>
        <w:spacing w:before="12"/>
        <w:rPr>
          <w:sz w:val="17"/>
        </w:rPr>
      </w:pP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13"/>
          <w:sz w:val="21"/>
        </w:rPr>
        <w:t>共用前室 </w:t>
      </w:r>
      <w:r>
        <w:rPr>
          <w:color w:val="333333"/>
          <w:sz w:val="21"/>
        </w:rPr>
        <w:t>shared</w:t>
      </w:r>
      <w:r>
        <w:rPr>
          <w:color w:val="333333"/>
          <w:spacing w:val="103"/>
          <w:sz w:val="21"/>
        </w:rPr>
        <w:t> </w:t>
      </w:r>
      <w:r>
        <w:rPr>
          <w:color w:val="333333"/>
          <w:sz w:val="21"/>
        </w:rPr>
        <w:t>anteroom </w:t>
      </w:r>
    </w:p>
    <w:p>
      <w:pPr>
        <w:pStyle w:val="BodyText"/>
        <w:spacing w:before="2"/>
        <w:rPr>
          <w:sz w:val="18"/>
        </w:rPr>
      </w:pPr>
    </w:p>
    <w:p>
      <w:pPr>
        <w:pStyle w:val="BodyText"/>
        <w:ind w:left="838"/>
      </w:pPr>
      <w:r>
        <w:rPr>
          <w:color w:val="333333"/>
        </w:rPr>
        <w:t>居住建筑）剪刀楼梯间的两个楼梯间共用同一前室时的前室。 </w:t>
      </w:r>
    </w:p>
    <w:p>
      <w:pPr>
        <w:pStyle w:val="BodyText"/>
        <w:rPr>
          <w:sz w:val="18"/>
        </w:rPr>
      </w:pPr>
    </w:p>
    <w:p>
      <w:pPr>
        <w:pStyle w:val="ListParagraph"/>
        <w:numPr>
          <w:ilvl w:val="2"/>
          <w:numId w:val="866"/>
        </w:numPr>
        <w:tabs>
          <w:tab w:pos="1530" w:val="left" w:leader="none"/>
        </w:tabs>
        <w:spacing w:line="240" w:lineRule="auto" w:before="0" w:after="0"/>
        <w:ind w:left="1529" w:right="0" w:hanging="690"/>
        <w:jc w:val="left"/>
        <w:rPr>
          <w:sz w:val="21"/>
        </w:rPr>
      </w:pPr>
      <w:r>
        <w:rPr>
          <w:color w:val="333333"/>
          <w:spacing w:val="-13"/>
          <w:sz w:val="21"/>
        </w:rPr>
        <w:t>合用前室 </w:t>
      </w:r>
      <w:r>
        <w:rPr>
          <w:color w:val="333333"/>
          <w:sz w:val="21"/>
        </w:rPr>
        <w:t>combined anteroom </w:t>
      </w:r>
    </w:p>
    <w:p>
      <w:pPr>
        <w:pStyle w:val="BodyText"/>
        <w:spacing w:before="12"/>
        <w:rPr>
          <w:sz w:val="17"/>
        </w:rPr>
      </w:pPr>
    </w:p>
    <w:p>
      <w:pPr>
        <w:spacing w:line="446" w:lineRule="auto" w:before="0"/>
        <w:ind w:left="840" w:right="5288" w:hanging="3"/>
        <w:jc w:val="left"/>
        <w:rPr>
          <w:b/>
          <w:sz w:val="21"/>
        </w:rPr>
      </w:pPr>
      <w:r>
        <w:rPr>
          <w:color w:val="333333"/>
          <w:sz w:val="21"/>
        </w:rPr>
        <w:t>防烟楼梯间前室与消防电梯前室合用时的前室。</w:t>
      </w:r>
      <w:r>
        <w:rPr>
          <w:b/>
          <w:sz w:val="21"/>
        </w:rPr>
        <w:t>2.2 符号</w:t>
      </w:r>
      <w:r>
        <w:rPr>
          <w:b/>
          <w:w w:val="99"/>
          <w:sz w:val="21"/>
        </w:rPr>
        <w:t> </w:t>
      </w:r>
    </w:p>
    <w:p>
      <w:pPr>
        <w:spacing w:before="0"/>
        <w:ind w:left="840" w:right="0" w:firstLine="0"/>
        <w:jc w:val="left"/>
        <w:rPr>
          <w:b/>
          <w:sz w:val="21"/>
        </w:rPr>
      </w:pPr>
      <w:r>
        <w:rPr>
          <w:b/>
          <w:color w:val="333333"/>
          <w:sz w:val="21"/>
        </w:rPr>
        <w:t>2.2.1 </w:t>
      </w:r>
      <w:r>
        <w:rPr>
          <w:color w:val="333333"/>
          <w:sz w:val="21"/>
        </w:rPr>
        <w:t>计算几何参数</w:t>
      </w:r>
      <w:r>
        <w:rPr>
          <w:b/>
          <w:w w:val="99"/>
          <w:sz w:val="21"/>
        </w:rPr>
        <w:t> </w:t>
      </w:r>
    </w:p>
    <w:p>
      <w:pPr>
        <w:pStyle w:val="BodyText"/>
        <w:rPr>
          <w:b/>
          <w:sz w:val="18"/>
        </w:rPr>
      </w:pPr>
    </w:p>
    <w:p>
      <w:pPr>
        <w:pStyle w:val="BodyText"/>
        <w:spacing w:line="446" w:lineRule="auto"/>
        <w:ind w:left="838" w:right="6579"/>
      </w:pPr>
      <w:r>
        <w:rPr>
          <w:color w:val="333333"/>
        </w:rPr>
        <w:t>A—</w:t>
      </w:r>
      <w:r>
        <w:rPr>
          <w:color w:val="333333"/>
          <w:spacing w:val="-3"/>
        </w:rPr>
        <w:t>—每个疏散门的有效漏风面积； </w:t>
      </w:r>
      <w:r>
        <w:rPr>
          <w:color w:val="333333"/>
        </w:rPr>
        <w:t>Ak—</w:t>
      </w:r>
      <w:r>
        <w:rPr>
          <w:color w:val="333333"/>
          <w:spacing w:val="-3"/>
        </w:rPr>
        <w:t>—开启门的截面面积；   A0——所有进气口总面积；   Am——门的面积；</w:t>
      </w:r>
      <w:r>
        <w:rPr>
          <w:color w:val="333333"/>
        </w:rPr>
        <w:t> </w:t>
      </w:r>
    </w:p>
    <w:p>
      <w:pPr>
        <w:pStyle w:val="BodyText"/>
        <w:spacing w:line="446" w:lineRule="auto"/>
        <w:ind w:left="838" w:right="6549"/>
      </w:pPr>
      <w:r>
        <w:rPr>
          <w:color w:val="333333"/>
        </w:rPr>
        <w:t>Af——单个送风阀门的面积； Ag——前室疏散门的总面积； Al——楼梯间疏散门的总面积； AV——自然排烟窗（口）截面积； AW——窗口开口面积； </w:t>
      </w:r>
    </w:p>
    <w:p>
      <w:pPr>
        <w:pStyle w:val="BodyText"/>
        <w:spacing w:line="266" w:lineRule="exact"/>
        <w:ind w:left="838"/>
      </w:pPr>
      <w:r>
        <w:rPr>
          <w:color w:val="333333"/>
        </w:rPr>
        <w:t>B——风管长边尺寸； </w:t>
      </w:r>
    </w:p>
    <w:p>
      <w:pPr>
        <w:pStyle w:val="BodyText"/>
        <w:spacing w:before="2"/>
        <w:rPr>
          <w:sz w:val="18"/>
        </w:rPr>
      </w:pPr>
    </w:p>
    <w:p>
      <w:pPr>
        <w:pStyle w:val="BodyText"/>
        <w:ind w:left="838"/>
      </w:pPr>
      <w:r>
        <w:rPr>
          <w:color w:val="333333"/>
        </w:rPr>
        <w:t>b 一一从开口至阳台边沿的距离； </w:t>
      </w:r>
    </w:p>
    <w:p>
      <w:pPr>
        <w:spacing w:after="0"/>
        <w:sectPr>
          <w:pgSz w:w="11910" w:h="16850"/>
          <w:pgMar w:header="0" w:footer="1239" w:top="1220" w:bottom="1420" w:left="1260" w:right="0"/>
        </w:sectPr>
      </w:pPr>
    </w:p>
    <w:p>
      <w:pPr>
        <w:pStyle w:val="BodyText"/>
        <w:spacing w:before="47"/>
        <w:ind w:left="838"/>
      </w:pPr>
      <w:r>
        <w:rPr>
          <w:color w:val="333333"/>
        </w:rPr>
        <w:t>dm——门的把手到门闩的距离； </w:t>
      </w:r>
    </w:p>
    <w:p>
      <w:pPr>
        <w:pStyle w:val="BodyText"/>
        <w:rPr>
          <w:sz w:val="18"/>
        </w:rPr>
      </w:pPr>
    </w:p>
    <w:p>
      <w:pPr>
        <w:pStyle w:val="BodyText"/>
        <w:spacing w:line="446" w:lineRule="auto"/>
        <w:ind w:left="838" w:right="5077"/>
      </w:pPr>
      <w:r>
        <w:rPr>
          <w:color w:val="333333"/>
        </w:rPr>
        <w:t>db 一一排烟系统吸入口最低点之下烟气层厚度； D——风管直径； </w:t>
      </w:r>
    </w:p>
    <w:p>
      <w:pPr>
        <w:pStyle w:val="BodyText"/>
        <w:ind w:left="838"/>
      </w:pPr>
      <w:r>
        <w:rPr>
          <w:color w:val="333333"/>
        </w:rPr>
        <w:t>H 一一空间净高； </w:t>
      </w:r>
    </w:p>
    <w:p>
      <w:pPr>
        <w:pStyle w:val="BodyText"/>
        <w:spacing w:before="12"/>
        <w:rPr>
          <w:sz w:val="17"/>
        </w:rPr>
      </w:pPr>
    </w:p>
    <w:p>
      <w:pPr>
        <w:pStyle w:val="BodyText"/>
        <w:spacing w:line="446" w:lineRule="auto"/>
        <w:ind w:left="418" w:right="1714" w:firstLine="419"/>
      </w:pPr>
      <w:r>
        <w:rPr>
          <w:color w:val="333333"/>
        </w:rPr>
        <w:t>H′——对于单层空间，取排烟空间的建筑净高度；对于多层空间，取最高疏散楼层的层高； </w:t>
      </w:r>
    </w:p>
    <w:p>
      <w:pPr>
        <w:pStyle w:val="BodyText"/>
        <w:spacing w:line="446" w:lineRule="auto"/>
        <w:ind w:left="838" w:right="6654"/>
        <w:rPr>
          <w:b/>
        </w:rPr>
      </w:pPr>
      <w:r>
        <w:rPr>
          <w:color w:val="333333"/>
        </w:rPr>
        <w:t>H1——燃料面至阳台的高度；</w:t>
      </w:r>
      <w:r>
        <w:rPr/>
        <w:t> </w:t>
      </w:r>
      <w:r>
        <w:rPr>
          <w:color w:val="333333"/>
        </w:rPr>
        <w:t>HW——窗口开口的高度；</w:t>
      </w:r>
      <w:r>
        <w:rPr>
          <w:b/>
          <w:w w:val="99"/>
        </w:rPr>
        <w:t> </w:t>
      </w:r>
    </w:p>
    <w:p>
      <w:pPr>
        <w:pStyle w:val="BodyText"/>
        <w:spacing w:line="446" w:lineRule="auto"/>
        <w:ind w:left="838" w:right="7127"/>
      </w:pPr>
      <w:r>
        <w:rPr>
          <w:color w:val="333333"/>
        </w:rPr>
        <w:t>Hq-</w:t>
      </w:r>
      <w:r>
        <w:rPr>
          <w:color w:val="333333"/>
          <w:spacing w:val="-3"/>
        </w:rPr>
        <w:t>——最小清晰高度；</w:t>
      </w:r>
      <w:r>
        <w:rPr>
          <w:spacing w:val="-3"/>
        </w:rPr>
        <w:t> </w:t>
      </w:r>
      <w:r>
        <w:rPr>
          <w:color w:val="333333"/>
        </w:rPr>
        <w:t>w—</w:t>
      </w:r>
      <w:r>
        <w:rPr>
          <w:color w:val="333333"/>
          <w:spacing w:val="-3"/>
        </w:rPr>
        <w:t>—火源区域的开口宽度； W——烟羽流扩散宽度； </w:t>
      </w:r>
      <w:r>
        <w:rPr>
          <w:color w:val="333333"/>
        </w:rPr>
        <w:t>Wm—</w:t>
      </w:r>
      <w:r>
        <w:rPr>
          <w:color w:val="333333"/>
          <w:spacing w:val="-3"/>
        </w:rPr>
        <w:t>—单扇门的宽度；</w:t>
      </w:r>
      <w:r>
        <w:rPr>
          <w:color w:val="333333"/>
        </w:rPr>
        <w:t> </w:t>
      </w:r>
    </w:p>
    <w:p>
      <w:pPr>
        <w:pStyle w:val="BodyText"/>
        <w:spacing w:line="446" w:lineRule="auto"/>
        <w:ind w:left="838" w:right="6549"/>
        <w:rPr>
          <w:b/>
        </w:rPr>
      </w:pPr>
      <w:r>
        <w:rPr>
          <w:color w:val="333333"/>
        </w:rPr>
        <w:t>Z 一一燃料面到烟层底部的高度； Z1 一一火焰极限高度；</w:t>
      </w:r>
      <w:r>
        <w:rPr>
          <w:b/>
          <w:w w:val="99"/>
        </w:rPr>
        <w:t> </w:t>
      </w:r>
    </w:p>
    <w:p>
      <w:pPr>
        <w:pStyle w:val="BodyText"/>
        <w:spacing w:line="446" w:lineRule="auto"/>
        <w:ind w:left="838" w:right="5709"/>
        <w:rPr>
          <w:b/>
        </w:rPr>
      </w:pPr>
      <w:r>
        <w:rPr>
          <w:color w:val="333333"/>
        </w:rPr>
        <w:t>Zb——从阳台下缘至烟层底部的高度； Zw——窗口开口的上缘到烟层底部的高度。</w:t>
      </w:r>
      <w:r>
        <w:rPr>
          <w:b/>
          <w:color w:val="333333"/>
        </w:rPr>
        <w:t>2.2.2 </w:t>
      </w:r>
      <w:r>
        <w:rPr>
          <w:color w:val="333333"/>
        </w:rPr>
        <w:t>计算风量、风速</w:t>
      </w:r>
      <w:r>
        <w:rPr>
          <w:b/>
          <w:w w:val="99"/>
        </w:rPr>
        <w:t> </w:t>
      </w:r>
    </w:p>
    <w:p>
      <w:pPr>
        <w:pStyle w:val="BodyText"/>
        <w:spacing w:line="268" w:lineRule="exact"/>
        <w:ind w:left="838"/>
      </w:pPr>
      <w:r>
        <w:rPr>
          <w:color w:val="333333"/>
        </w:rPr>
        <w:t>g——重力加速度； </w:t>
      </w:r>
    </w:p>
    <w:p>
      <w:pPr>
        <w:pStyle w:val="BodyText"/>
        <w:spacing w:before="11"/>
        <w:rPr>
          <w:sz w:val="17"/>
        </w:rPr>
      </w:pPr>
    </w:p>
    <w:p>
      <w:pPr>
        <w:pStyle w:val="BodyText"/>
        <w:spacing w:line="446" w:lineRule="auto"/>
        <w:ind w:left="838" w:right="3819"/>
        <w:rPr>
          <w:b/>
        </w:rPr>
      </w:pPr>
      <w:r>
        <w:rPr>
          <w:color w:val="333333"/>
        </w:rPr>
        <w:t>Lhigh——高压系统单位面积风管单位时间内的允许漏风量； Lj——楼梯间的机械加压送风量；</w:t>
      </w:r>
      <w:r>
        <w:rPr>
          <w:b/>
          <w:w w:val="99"/>
        </w:rPr>
        <w:t> </w:t>
      </w:r>
    </w:p>
    <w:p>
      <w:pPr>
        <w:pStyle w:val="BodyText"/>
        <w:spacing w:line="446" w:lineRule="auto"/>
        <w:ind w:left="838" w:right="4237"/>
      </w:pPr>
      <w:r>
        <w:rPr>
          <w:color w:val="333333"/>
        </w:rPr>
        <w:t>Llow——低压系统单位面积风管单位时间内的允许漏风量；</w:t>
      </w:r>
      <w:r>
        <w:rPr/>
        <w:t> </w:t>
      </w:r>
      <w:r>
        <w:rPr>
          <w:color w:val="333333"/>
        </w:rPr>
        <w:t>Lmid——中压系统单位面积风管单位时间内的允许漏风量Ls——前室的机械加压送风量； </w:t>
      </w:r>
    </w:p>
    <w:p>
      <w:pPr>
        <w:pStyle w:val="BodyText"/>
        <w:spacing w:line="446" w:lineRule="auto"/>
        <w:ind w:left="838" w:right="4760"/>
        <w:rPr>
          <w:b/>
        </w:rPr>
      </w:pPr>
      <w:r>
        <w:rPr>
          <w:color w:val="333333"/>
        </w:rPr>
        <w:t>L1—</w:t>
      </w:r>
      <w:r>
        <w:rPr>
          <w:color w:val="333333"/>
          <w:spacing w:val="-3"/>
        </w:rPr>
        <w:t>—门开启时，达到规定风速值所需的送风量;</w:t>
      </w:r>
      <w:r>
        <w:rPr>
          <w:spacing w:val="-3"/>
        </w:rPr>
        <w:t> </w:t>
      </w:r>
      <w:r>
        <w:rPr>
          <w:color w:val="333333"/>
        </w:rPr>
        <w:t>L2—</w:t>
      </w:r>
      <w:r>
        <w:rPr>
          <w:color w:val="333333"/>
          <w:spacing w:val="-3"/>
        </w:rPr>
        <w:t>—门开启时，规定风速值下的其他门缝漏风总量；</w:t>
      </w:r>
      <w:r>
        <w:rPr>
          <w:spacing w:val="-3"/>
        </w:rPr>
        <w:t> </w:t>
      </w:r>
      <w:r>
        <w:rPr>
          <w:color w:val="333333"/>
        </w:rPr>
        <w:t>L3—</w:t>
      </w:r>
      <w:r>
        <w:rPr>
          <w:color w:val="333333"/>
          <w:spacing w:val="-3"/>
        </w:rPr>
        <w:t>—未开启的常闭送风阀的漏风总量；</w:t>
      </w:r>
      <w:r>
        <w:rPr>
          <w:b/>
          <w:w w:val="99"/>
        </w:rPr>
        <w:t> </w:t>
      </w:r>
    </w:p>
    <w:p>
      <w:pPr>
        <w:pStyle w:val="BodyText"/>
        <w:spacing w:line="446" w:lineRule="auto"/>
        <w:ind w:left="838" w:right="7127"/>
      </w:pPr>
      <w:r>
        <w:rPr>
          <w:color w:val="333333"/>
        </w:rPr>
        <w:t>Mρ——烟羽流质量流量；</w:t>
      </w:r>
      <w:r>
        <w:rPr/>
        <w:t> </w:t>
      </w:r>
      <w:r>
        <w:rPr>
          <w:color w:val="333333"/>
        </w:rPr>
        <w:t>v——门洞断面风速； </w:t>
      </w:r>
    </w:p>
    <w:p>
      <w:pPr>
        <w:spacing w:after="0" w:line="446" w:lineRule="auto"/>
        <w:sectPr>
          <w:pgSz w:w="11910" w:h="16850"/>
          <w:pgMar w:header="0" w:footer="1239" w:top="1220" w:bottom="1420" w:left="1260" w:right="0"/>
        </w:sectPr>
      </w:pPr>
    </w:p>
    <w:p>
      <w:pPr>
        <w:pStyle w:val="BodyText"/>
        <w:spacing w:before="47"/>
        <w:ind w:left="838"/>
      </w:pPr>
      <w:r>
        <w:rPr>
          <w:color w:val="333333"/>
        </w:rPr>
        <w:t>V——排烟量； </w:t>
      </w:r>
    </w:p>
    <w:p>
      <w:pPr>
        <w:pStyle w:val="BodyText"/>
        <w:rPr>
          <w:sz w:val="18"/>
        </w:rPr>
      </w:pPr>
    </w:p>
    <w:p>
      <w:pPr>
        <w:pStyle w:val="BodyText"/>
        <w:spacing w:line="446" w:lineRule="auto"/>
        <w:ind w:left="838" w:right="6549"/>
      </w:pPr>
      <w:r>
        <w:rPr>
          <w:color w:val="333333"/>
        </w:rPr>
        <w:t>Vmax——排烟口最大允许排烟量。</w:t>
      </w:r>
      <w:r>
        <w:rPr>
          <w:b/>
        </w:rPr>
        <w:t>2.2.3 </w:t>
      </w:r>
      <w:r>
        <w:rPr>
          <w:color w:val="333333"/>
        </w:rPr>
        <w:t>计算压力、热量、时间Cp——空气的定压比热； </w:t>
      </w:r>
    </w:p>
    <w:p>
      <w:pPr>
        <w:pStyle w:val="BodyText"/>
        <w:spacing w:line="268" w:lineRule="exact"/>
        <w:ind w:left="838"/>
      </w:pPr>
      <w:r>
        <w:rPr>
          <w:color w:val="333333"/>
        </w:rPr>
        <w:t>F′——门的总推力； </w:t>
      </w:r>
    </w:p>
    <w:p>
      <w:pPr>
        <w:pStyle w:val="BodyText"/>
        <w:rPr>
          <w:sz w:val="18"/>
        </w:rPr>
      </w:pPr>
    </w:p>
    <w:p>
      <w:pPr>
        <w:pStyle w:val="BodyText"/>
        <w:spacing w:line="446" w:lineRule="auto"/>
        <w:ind w:left="838" w:right="5709"/>
      </w:pPr>
      <w:r>
        <w:rPr>
          <w:color w:val="333333"/>
        </w:rPr>
        <w:t>Fdc——门把手处克服闭门器所需的力； M——闭门器的开启力矩； </w:t>
      </w:r>
    </w:p>
    <w:p>
      <w:pPr>
        <w:pStyle w:val="BodyText"/>
        <w:spacing w:line="446" w:lineRule="auto"/>
        <w:ind w:left="838" w:right="6445"/>
      </w:pPr>
      <w:r>
        <w:rPr>
          <w:color w:val="333333"/>
        </w:rPr>
        <w:t>ρ0</w:t>
      </w:r>
      <w:r>
        <w:rPr>
          <w:color w:val="333333"/>
          <w:spacing w:val="-3"/>
        </w:rPr>
        <w:t>——环境温度下的气体密度； </w:t>
      </w:r>
      <w:r>
        <w:rPr>
          <w:color w:val="333333"/>
        </w:rPr>
        <w:t>P—</w:t>
      </w:r>
      <w:r>
        <w:rPr>
          <w:color w:val="333333"/>
          <w:spacing w:val="-3"/>
        </w:rPr>
        <w:t>—疏散门的最大允许压力差；   </w:t>
      </w:r>
      <w:r>
        <w:rPr>
          <w:color w:val="333333"/>
        </w:rPr>
        <w:t>P</w:t>
      </w:r>
      <w:r>
        <w:rPr>
          <w:color w:val="333333"/>
          <w:spacing w:val="-8"/>
        </w:rPr>
        <w:t> 风管——风管系统工作压力； </w:t>
      </w:r>
      <w:r>
        <w:rPr>
          <w:color w:val="333333"/>
        </w:rPr>
        <w:t>ΔP</w:t>
      </w:r>
      <w:r>
        <w:rPr>
          <w:color w:val="333333"/>
          <w:spacing w:val="-3"/>
        </w:rPr>
        <w:t>——计算漏风量的平均压力差； </w:t>
      </w:r>
      <w:r>
        <w:rPr>
          <w:color w:val="333333"/>
        </w:rPr>
        <w:t>Q—</w:t>
      </w:r>
      <w:r>
        <w:rPr>
          <w:color w:val="333333"/>
          <w:spacing w:val="-2"/>
        </w:rPr>
        <w:t>—热释放速率； </w:t>
      </w:r>
    </w:p>
    <w:p>
      <w:pPr>
        <w:pStyle w:val="BodyText"/>
        <w:spacing w:line="446" w:lineRule="auto"/>
        <w:ind w:left="838" w:right="6287"/>
      </w:pPr>
      <w:r>
        <w:rPr>
          <w:color w:val="333333"/>
        </w:rPr>
        <w:t>Qc——热释放速率中的对流部分； t——火灾增长时间； </w:t>
      </w:r>
    </w:p>
    <w:p>
      <w:pPr>
        <w:pStyle w:val="BodyText"/>
        <w:spacing w:line="446" w:lineRule="auto"/>
        <w:ind w:left="838" w:right="7127"/>
      </w:pPr>
      <w:r>
        <w:rPr>
          <w:color w:val="333333"/>
        </w:rPr>
        <w:t>T——烟层的平均绝对温度； T0——环境的绝对温度； </w:t>
      </w:r>
    </w:p>
    <w:p>
      <w:pPr>
        <w:pStyle w:val="BodyText"/>
        <w:ind w:left="838"/>
      </w:pPr>
      <w:r>
        <w:rPr>
          <w:color w:val="333333"/>
        </w:rPr>
        <w:t>ΔT——烟层平均温度与环境温度之差。 </w:t>
      </w:r>
    </w:p>
    <w:p>
      <w:pPr>
        <w:pStyle w:val="BodyText"/>
        <w:spacing w:before="9"/>
        <w:rPr>
          <w:sz w:val="17"/>
        </w:rPr>
      </w:pPr>
    </w:p>
    <w:p>
      <w:pPr>
        <w:pStyle w:val="ListParagraph"/>
        <w:numPr>
          <w:ilvl w:val="2"/>
          <w:numId w:val="867"/>
        </w:numPr>
        <w:tabs>
          <w:tab w:pos="1424" w:val="left" w:leader="none"/>
        </w:tabs>
        <w:spacing w:line="446" w:lineRule="auto" w:before="0" w:after="0"/>
        <w:ind w:left="838" w:right="7600" w:firstLine="2"/>
        <w:jc w:val="left"/>
        <w:rPr>
          <w:sz w:val="21"/>
        </w:rPr>
      </w:pPr>
      <w:r>
        <w:rPr>
          <w:color w:val="333333"/>
          <w:spacing w:val="-3"/>
          <w:sz w:val="21"/>
        </w:rPr>
        <w:t>计 算 系 数 </w:t>
      </w:r>
      <w:r>
        <w:rPr>
          <w:color w:val="333333"/>
          <w:sz w:val="21"/>
        </w:rPr>
        <w:t>α—</w:t>
      </w:r>
      <w:r>
        <w:rPr>
          <w:color w:val="333333"/>
          <w:spacing w:val="-3"/>
          <w:sz w:val="21"/>
        </w:rPr>
        <w:t>—火灾增长系数；</w:t>
      </w:r>
      <w:r>
        <w:rPr>
          <w:color w:val="333333"/>
          <w:sz w:val="21"/>
        </w:rPr>
        <w:t> </w:t>
      </w:r>
    </w:p>
    <w:p>
      <w:pPr>
        <w:pStyle w:val="BodyText"/>
        <w:spacing w:line="446" w:lineRule="auto"/>
        <w:ind w:left="838" w:right="6287"/>
      </w:pPr>
      <w:r>
        <w:rPr>
          <w:color w:val="333333"/>
        </w:rPr>
        <w:t>αw——窗口型烟羽流的修正系数； γ——排烟位置系数； </w:t>
      </w:r>
    </w:p>
    <w:p>
      <w:pPr>
        <w:pStyle w:val="BodyText"/>
        <w:ind w:left="838"/>
      </w:pPr>
      <w:r>
        <w:rPr>
          <w:color w:val="333333"/>
        </w:rPr>
        <w:t>C0——进气口流量系数； </w:t>
      </w:r>
    </w:p>
    <w:p>
      <w:pPr>
        <w:pStyle w:val="BodyText"/>
        <w:rPr>
          <w:sz w:val="18"/>
        </w:rPr>
      </w:pPr>
    </w:p>
    <w:p>
      <w:pPr>
        <w:pStyle w:val="BodyText"/>
        <w:spacing w:line="446" w:lineRule="auto"/>
        <w:ind w:left="838" w:right="6337"/>
      </w:pPr>
      <w:r>
        <w:rPr>
          <w:color w:val="333333"/>
        </w:rPr>
        <w:t>CV—</w:t>
      </w:r>
      <w:r>
        <w:rPr>
          <w:color w:val="333333"/>
          <w:spacing w:val="-2"/>
        </w:rPr>
        <w:t>—自然排烟窗</w:t>
      </w:r>
      <w:r>
        <w:rPr>
          <w:color w:val="333333"/>
          <w:spacing w:val="-3"/>
        </w:rPr>
        <w:t>（</w:t>
      </w:r>
      <w:r>
        <w:rPr>
          <w:color w:val="333333"/>
        </w:rPr>
        <w:t>口</w:t>
      </w:r>
      <w:r>
        <w:rPr>
          <w:color w:val="333333"/>
          <w:spacing w:val="-3"/>
        </w:rPr>
        <w:t>）</w:t>
      </w:r>
      <w:r>
        <w:rPr>
          <w:color w:val="333333"/>
          <w:spacing w:val="-2"/>
        </w:rPr>
        <w:t>流量系数； </w:t>
      </w:r>
      <w:r>
        <w:rPr>
          <w:color w:val="333333"/>
        </w:rPr>
        <w:t>K—</w:t>
      </w:r>
      <w:r>
        <w:rPr>
          <w:color w:val="333333"/>
          <w:spacing w:val="-3"/>
        </w:rPr>
        <w:t>—烟气中对流放热量因子；  </w:t>
      </w:r>
      <w:r>
        <w:rPr>
          <w:color w:val="333333"/>
        </w:rPr>
        <w:t>n—</w:t>
      </w:r>
      <w:r>
        <w:rPr>
          <w:color w:val="333333"/>
          <w:spacing w:val="-2"/>
        </w:rPr>
        <w:t>—指数。</w:t>
      </w:r>
      <w:r>
        <w:rPr>
          <w:color w:val="333333"/>
        </w:rPr>
        <w:t> </w:t>
      </w:r>
    </w:p>
    <w:p>
      <w:pPr>
        <w:pStyle w:val="ListParagraph"/>
        <w:numPr>
          <w:ilvl w:val="2"/>
          <w:numId w:val="867"/>
        </w:numPr>
        <w:tabs>
          <w:tab w:pos="1424" w:val="left" w:leader="none"/>
        </w:tabs>
        <w:spacing w:line="268" w:lineRule="exact" w:before="0" w:after="0"/>
        <w:ind w:left="1423" w:right="0" w:hanging="584"/>
        <w:jc w:val="left"/>
        <w:rPr>
          <w:b/>
          <w:color w:val="333333"/>
          <w:sz w:val="21"/>
        </w:rPr>
      </w:pPr>
      <w:r>
        <w:rPr>
          <w:color w:val="333333"/>
          <w:spacing w:val="-3"/>
          <w:sz w:val="21"/>
        </w:rPr>
        <w:t>计算其他符号</w:t>
      </w:r>
      <w:r>
        <w:rPr>
          <w:b/>
          <w:w w:val="99"/>
          <w:sz w:val="21"/>
        </w:rPr>
        <w:t> </w:t>
      </w:r>
    </w:p>
    <w:p>
      <w:pPr>
        <w:pStyle w:val="BodyText"/>
        <w:spacing w:before="12"/>
        <w:rPr>
          <w:b/>
          <w:sz w:val="17"/>
        </w:rPr>
      </w:pPr>
    </w:p>
    <w:p>
      <w:pPr>
        <w:pStyle w:val="BodyText"/>
        <w:spacing w:line="446" w:lineRule="auto"/>
        <w:ind w:left="838" w:right="6287"/>
        <w:rPr>
          <w:b/>
        </w:rPr>
      </w:pPr>
      <w:r>
        <w:rPr>
          <w:color w:val="333333"/>
        </w:rPr>
        <w:t>N1——设计疏散门开启的楼层数量；</w:t>
      </w:r>
      <w:r>
        <w:rPr/>
        <w:t> </w:t>
      </w:r>
      <w:r>
        <w:rPr>
          <w:color w:val="333333"/>
        </w:rPr>
        <w:t>N2——漏风疏散门的数量；</w:t>
      </w:r>
      <w:r>
        <w:rPr>
          <w:b/>
          <w:w w:val="99"/>
        </w:rPr>
        <w:t> </w:t>
      </w:r>
    </w:p>
    <w:p>
      <w:pPr>
        <w:spacing w:after="0" w:line="446" w:lineRule="auto"/>
        <w:sectPr>
          <w:pgSz w:w="11910" w:h="16850"/>
          <w:pgMar w:header="0" w:footer="1239" w:top="1220" w:bottom="1420" w:left="1260" w:right="0"/>
        </w:sectPr>
      </w:pPr>
    </w:p>
    <w:p>
      <w:pPr>
        <w:pStyle w:val="BodyText"/>
        <w:spacing w:before="47"/>
        <w:ind w:left="838"/>
        <w:rPr>
          <w:b/>
        </w:rPr>
      </w:pPr>
      <w:r>
        <w:rPr>
          <w:color w:val="333333"/>
        </w:rPr>
        <w:t>N3——漏风阀门的数量。</w:t>
      </w:r>
      <w:r>
        <w:rPr>
          <w:b/>
          <w:w w:val="99"/>
        </w:rPr>
        <w:t> </w:t>
      </w:r>
    </w:p>
    <w:p>
      <w:pPr>
        <w:pStyle w:val="BodyText"/>
        <w:spacing w:before="8"/>
        <w:rPr>
          <w:b/>
          <w:sz w:val="15"/>
        </w:rPr>
      </w:pPr>
    </w:p>
    <w:p>
      <w:pPr>
        <w:pStyle w:val="Heading4"/>
        <w:spacing w:before="1"/>
      </w:pPr>
      <w:r>
        <w:rPr/>
        <w:t>3 防烟系统设计</w:t>
      </w:r>
      <w:r>
        <w:rPr>
          <w:w w:val="99"/>
        </w:rPr>
        <w:t> </w:t>
      </w:r>
    </w:p>
    <w:p>
      <w:pPr>
        <w:pStyle w:val="BodyText"/>
        <w:spacing w:before="3"/>
        <w:rPr>
          <w:b/>
          <w:sz w:val="17"/>
        </w:rPr>
      </w:pPr>
    </w:p>
    <w:p>
      <w:pPr>
        <w:pStyle w:val="ListParagraph"/>
        <w:numPr>
          <w:ilvl w:val="1"/>
          <w:numId w:val="868"/>
        </w:numPr>
        <w:tabs>
          <w:tab w:pos="1160" w:val="left" w:leader="none"/>
        </w:tabs>
        <w:spacing w:line="240" w:lineRule="auto" w:before="1" w:after="0"/>
        <w:ind w:left="1159" w:right="0" w:hanging="320"/>
        <w:jc w:val="left"/>
        <w:rPr>
          <w:b/>
          <w:sz w:val="21"/>
        </w:rPr>
      </w:pPr>
      <w:r>
        <w:rPr>
          <w:spacing w:val="-3"/>
          <w:sz w:val="21"/>
        </w:rPr>
        <w:t>一般规定</w:t>
      </w:r>
      <w:r>
        <w:rPr>
          <w:b/>
          <w:w w:val="99"/>
          <w:sz w:val="21"/>
        </w:rPr>
        <w:t> </w:t>
      </w:r>
    </w:p>
    <w:p>
      <w:pPr>
        <w:pStyle w:val="BodyText"/>
        <w:spacing w:before="1"/>
        <w:rPr>
          <w:b/>
          <w:sz w:val="18"/>
        </w:rPr>
      </w:pPr>
    </w:p>
    <w:p>
      <w:pPr>
        <w:pStyle w:val="ListParagraph"/>
        <w:numPr>
          <w:ilvl w:val="2"/>
          <w:numId w:val="868"/>
        </w:numPr>
        <w:tabs>
          <w:tab w:pos="1424" w:val="left" w:leader="none"/>
        </w:tabs>
        <w:spacing w:line="446" w:lineRule="auto" w:before="0" w:after="0"/>
        <w:ind w:left="418" w:right="1445" w:firstLine="422"/>
        <w:jc w:val="left"/>
        <w:rPr>
          <w:sz w:val="21"/>
        </w:rPr>
      </w:pPr>
      <w:r>
        <w:rPr>
          <w:spacing w:val="-3"/>
          <w:sz w:val="21"/>
        </w:rPr>
        <w:t>建筑防烟系统的设计应根据建筑高度、使用性质等因素，采用自然通风系统或机械加压送风系统。</w:t>
      </w:r>
      <w:r>
        <w:rPr>
          <w:sz w:val="21"/>
        </w:rPr>
        <w:t> </w:t>
      </w:r>
    </w:p>
    <w:p>
      <w:pPr>
        <w:pStyle w:val="ListParagraph"/>
        <w:numPr>
          <w:ilvl w:val="2"/>
          <w:numId w:val="868"/>
        </w:numPr>
        <w:tabs>
          <w:tab w:pos="1424" w:val="left" w:leader="none"/>
        </w:tabs>
        <w:spacing w:line="446" w:lineRule="auto" w:before="0" w:after="0"/>
        <w:ind w:left="418" w:right="1553" w:firstLine="422"/>
        <w:jc w:val="left"/>
        <w:rPr>
          <w:sz w:val="21"/>
        </w:rPr>
      </w:pPr>
      <w:r>
        <w:rPr>
          <w:spacing w:val="-9"/>
          <w:sz w:val="21"/>
        </w:rPr>
        <w:t>建筑高度大于 </w:t>
      </w:r>
      <w:r>
        <w:rPr>
          <w:sz w:val="21"/>
        </w:rPr>
        <w:t>50m</w:t>
      </w:r>
      <w:r>
        <w:rPr>
          <w:spacing w:val="-10"/>
          <w:sz w:val="21"/>
        </w:rPr>
        <w:t> 的公共建筑、工业建筑和建筑高度大于 </w:t>
      </w:r>
      <w:r>
        <w:rPr>
          <w:sz w:val="21"/>
        </w:rPr>
        <w:t>100m</w:t>
      </w:r>
      <w:r>
        <w:rPr>
          <w:spacing w:val="-8"/>
          <w:sz w:val="21"/>
        </w:rPr>
        <w:t> 的住宅建筑，其防烟</w:t>
      </w:r>
      <w:r>
        <w:rPr>
          <w:spacing w:val="-5"/>
          <w:sz w:val="21"/>
        </w:rPr>
        <w:t>楼梯间、独立前室、共用前室、合用前室及消防电梯前室应采用机械加压送风系统。</w:t>
      </w:r>
      <w:r>
        <w:rPr>
          <w:sz w:val="21"/>
        </w:rPr>
        <w:t> </w:t>
      </w:r>
    </w:p>
    <w:p>
      <w:pPr>
        <w:pStyle w:val="ListParagraph"/>
        <w:numPr>
          <w:ilvl w:val="2"/>
          <w:numId w:val="868"/>
        </w:numPr>
        <w:tabs>
          <w:tab w:pos="1424" w:val="left" w:leader="none"/>
        </w:tabs>
        <w:spacing w:line="446" w:lineRule="auto" w:before="0" w:after="0"/>
        <w:ind w:left="418" w:right="1551" w:firstLine="422"/>
        <w:jc w:val="left"/>
        <w:rPr>
          <w:sz w:val="21"/>
        </w:rPr>
      </w:pPr>
      <w:r>
        <w:rPr>
          <w:spacing w:val="-7"/>
          <w:sz w:val="21"/>
        </w:rPr>
        <w:t>建筑高度小于或等于 </w:t>
      </w:r>
      <w:r>
        <w:rPr>
          <w:sz w:val="21"/>
        </w:rPr>
        <w:t>50m</w:t>
      </w:r>
      <w:r>
        <w:rPr>
          <w:spacing w:val="-10"/>
          <w:sz w:val="21"/>
        </w:rPr>
        <w:t> 的公共建筑、工业建筑和建筑高度小于或等于 </w:t>
      </w:r>
      <w:r>
        <w:rPr>
          <w:sz w:val="21"/>
        </w:rPr>
        <w:t>100m</w:t>
      </w:r>
      <w:r>
        <w:rPr>
          <w:spacing w:val="-12"/>
          <w:sz w:val="21"/>
        </w:rPr>
        <w:t> 的住宅</w:t>
      </w:r>
      <w:r>
        <w:rPr>
          <w:spacing w:val="-6"/>
          <w:sz w:val="21"/>
        </w:rPr>
        <w:t>建筑，其防烟楼梯间、独立前室、共用前室、合用前室</w:t>
      </w:r>
      <w:r>
        <w:rPr>
          <w:spacing w:val="-3"/>
          <w:sz w:val="21"/>
        </w:rPr>
        <w:t>（除共用前室与消防电梯前室合用外</w:t>
      </w:r>
      <w:r>
        <w:rPr>
          <w:sz w:val="21"/>
        </w:rPr>
        <w:t>） </w:t>
      </w:r>
      <w:r>
        <w:rPr>
          <w:spacing w:val="-3"/>
          <w:sz w:val="21"/>
        </w:rPr>
        <w:t>及消防电梯前室应采用自然通风系统；当不能设置自然通风系统时，应采用机械加压送风系  统。防烟系统的选择，尚应符合下列规定：</w:t>
      </w:r>
      <w:r>
        <w:rPr>
          <w:sz w:val="21"/>
        </w:rPr>
        <w:t> </w:t>
      </w:r>
    </w:p>
    <w:p>
      <w:pPr>
        <w:pStyle w:val="BodyText"/>
        <w:spacing w:line="446" w:lineRule="auto"/>
        <w:ind w:left="838" w:right="2977"/>
      </w:pPr>
      <w:r>
        <w:rPr/>
        <w:t>当独立前室或合用前室满足下列条件之一时，楼梯间可不设置防烟系统： 1）采用全敞开的阳台或凹廊； </w:t>
      </w:r>
    </w:p>
    <w:p>
      <w:pPr>
        <w:pStyle w:val="BodyText"/>
        <w:ind w:left="838"/>
      </w:pPr>
      <w:r>
        <w:rPr/>
        <w:t>2）设有两个及以上不同朝向的可开启外窗，且独立前室两个外窗面积分别不小于</w:t>
      </w:r>
    </w:p>
    <w:p>
      <w:pPr>
        <w:pStyle w:val="BodyText"/>
        <w:spacing w:before="11"/>
        <w:rPr>
          <w:sz w:val="16"/>
        </w:rPr>
      </w:pPr>
    </w:p>
    <w:p>
      <w:pPr>
        <w:pStyle w:val="BodyText"/>
        <w:ind w:left="418"/>
        <w:jc w:val="both"/>
      </w:pPr>
      <w:r>
        <w:rPr/>
        <w:t>2.0m</w:t>
      </w:r>
      <w:r>
        <w:rPr>
          <w:position w:val="11"/>
          <w:sz w:val="11"/>
        </w:rPr>
        <w:t>2</w:t>
      </w:r>
      <w:r>
        <w:rPr>
          <w:sz w:val="11"/>
        </w:rPr>
        <w:t> </w:t>
      </w:r>
      <w:r>
        <w:rPr>
          <w:spacing w:val="-6"/>
        </w:rPr>
        <w:t>，合用前室两个外窗面积分别不小于 </w:t>
      </w:r>
      <w:r>
        <w:rPr/>
        <w:t>3.0m</w:t>
      </w:r>
      <w:r>
        <w:rPr>
          <w:position w:val="11"/>
          <w:sz w:val="11"/>
        </w:rPr>
        <w:t>2</w:t>
      </w:r>
      <w:r>
        <w:rPr/>
        <w:t>。 </w:t>
      </w:r>
    </w:p>
    <w:p>
      <w:pPr>
        <w:pStyle w:val="BodyText"/>
        <w:spacing w:before="2"/>
        <w:rPr>
          <w:sz w:val="18"/>
        </w:rPr>
      </w:pPr>
    </w:p>
    <w:p>
      <w:pPr>
        <w:pStyle w:val="BodyText"/>
        <w:spacing w:line="446" w:lineRule="auto"/>
        <w:ind w:left="418" w:right="1608" w:firstLine="419"/>
        <w:jc w:val="both"/>
      </w:pPr>
      <w:r>
        <w:rPr/>
        <w:t>当独立前室、共用前室及合用前室的机械加压送风口设置在前室的顶部或正对前室入口的墙面时，楼梯间可采用自然通风系统；当机械加压送风口未设置在前室的顶部或正对前室入口的墙面时，楼梯间应采用机械加压送风系统。 </w:t>
      </w:r>
    </w:p>
    <w:p>
      <w:pPr>
        <w:pStyle w:val="BodyText"/>
        <w:spacing w:line="446" w:lineRule="auto"/>
        <w:ind w:left="418" w:right="1608" w:firstLine="419"/>
        <w:jc w:val="both"/>
      </w:pPr>
      <w:r>
        <w:rPr/>
        <w:t>当防烟楼梯间在裙房高度以上部分采用自然通风时，不具备自然通风条件的裙房的独立前室、共用前室及合用前室应采用机械加压送风系统，且独立前室、共用前室及合用前室送风口的设置方式应符合本条第 2 款的规定。 </w:t>
      </w:r>
    </w:p>
    <w:p>
      <w:pPr>
        <w:pStyle w:val="ListParagraph"/>
        <w:numPr>
          <w:ilvl w:val="2"/>
          <w:numId w:val="868"/>
        </w:numPr>
        <w:tabs>
          <w:tab w:pos="1424" w:val="left" w:leader="none"/>
        </w:tabs>
        <w:spacing w:line="446" w:lineRule="auto" w:before="0" w:after="0"/>
        <w:ind w:left="418" w:right="1445" w:firstLine="422"/>
        <w:jc w:val="left"/>
        <w:rPr>
          <w:sz w:val="21"/>
        </w:rPr>
      </w:pPr>
      <w:r>
        <w:rPr>
          <w:spacing w:val="-3"/>
          <w:sz w:val="21"/>
        </w:rPr>
        <w:t>建筑地下部分的防烟楼梯间前室及消防电梯前室，当无自然通风条件或自然通风不符合要求时，应采用机械加压送风系统。</w:t>
      </w:r>
      <w:r>
        <w:rPr>
          <w:sz w:val="21"/>
        </w:rPr>
        <w:t> </w:t>
      </w:r>
    </w:p>
    <w:p>
      <w:pPr>
        <w:pStyle w:val="ListParagraph"/>
        <w:numPr>
          <w:ilvl w:val="2"/>
          <w:numId w:val="868"/>
        </w:numPr>
        <w:tabs>
          <w:tab w:pos="1424" w:val="left" w:leader="none"/>
        </w:tabs>
        <w:spacing w:line="267" w:lineRule="exact" w:before="0" w:after="0"/>
        <w:ind w:left="1423" w:right="0" w:hanging="584"/>
        <w:jc w:val="left"/>
        <w:rPr>
          <w:sz w:val="21"/>
        </w:rPr>
      </w:pPr>
      <w:r>
        <w:rPr>
          <w:spacing w:val="-3"/>
          <w:sz w:val="21"/>
        </w:rPr>
        <w:t>防烟楼梯间及其前室的机械加压送风系统的设置应符合下列规定：</w:t>
      </w:r>
      <w:r>
        <w:rPr>
          <w:sz w:val="21"/>
        </w:rPr>
        <w:t> </w:t>
      </w:r>
    </w:p>
    <w:p>
      <w:pPr>
        <w:pStyle w:val="BodyText"/>
        <w:rPr>
          <w:sz w:val="18"/>
        </w:rPr>
      </w:pPr>
    </w:p>
    <w:p>
      <w:pPr>
        <w:pStyle w:val="BodyText"/>
        <w:spacing w:line="446" w:lineRule="auto"/>
        <w:ind w:left="418" w:right="1505" w:firstLine="419"/>
      </w:pPr>
      <w:r>
        <w:rPr>
          <w:spacing w:val="-7"/>
        </w:rPr>
        <w:t>建筑高度小于或等于 </w:t>
      </w:r>
      <w:r>
        <w:rPr/>
        <w:t>50m</w:t>
      </w:r>
      <w:r>
        <w:rPr>
          <w:spacing w:val="-10"/>
        </w:rPr>
        <w:t> 的公共建筑、工业建筑和建筑高度小于或等于 </w:t>
      </w:r>
      <w:r>
        <w:rPr/>
        <w:t>100m</w:t>
      </w:r>
      <w:r>
        <w:rPr>
          <w:spacing w:val="-9"/>
        </w:rPr>
        <w:t> 的住宅建筑， </w:t>
      </w:r>
      <w:r>
        <w:rPr>
          <w:spacing w:val="-5"/>
        </w:rPr>
        <w:t>当采用独立前室且其仅有一个门与走道或房间相通时，可仅在楼梯间设置机械加压送风系统； </w:t>
      </w:r>
      <w:r>
        <w:rPr>
          <w:spacing w:val="-4"/>
        </w:rPr>
        <w:t>当独立前室有多个门时，楼梯间、独立前室应分别独立设置机械加压送风系统。</w:t>
      </w:r>
      <w:r>
        <w:rPr/>
        <w:t> </w:t>
      </w:r>
    </w:p>
    <w:p>
      <w:pPr>
        <w:pStyle w:val="BodyText"/>
        <w:spacing w:line="268" w:lineRule="exact"/>
        <w:ind w:left="838"/>
      </w:pPr>
      <w:r>
        <w:rPr>
          <w:spacing w:val="-3"/>
        </w:rPr>
        <w:t>当采用合用前室时，楼梯间、合用前室应分别独立设置机械加压送风系统。 </w:t>
      </w:r>
    </w:p>
    <w:p>
      <w:pPr>
        <w:spacing w:after="0" w:line="268" w:lineRule="exact"/>
        <w:sectPr>
          <w:pgSz w:w="11910" w:h="16850"/>
          <w:pgMar w:header="0" w:footer="1239" w:top="1220" w:bottom="1420" w:left="1260" w:right="0"/>
        </w:sectPr>
      </w:pPr>
    </w:p>
    <w:p>
      <w:pPr>
        <w:pStyle w:val="BodyText"/>
        <w:spacing w:line="446" w:lineRule="auto" w:before="47"/>
        <w:ind w:left="840" w:right="1604" w:hanging="3"/>
      </w:pPr>
      <w:r>
        <w:rPr>
          <w:spacing w:val="-3"/>
        </w:rPr>
        <w:t>当采用剪刀楼梯时，其两个楼梯间及其前室的机械加压送风系统应分别独立设置。  </w:t>
      </w:r>
      <w:r>
        <w:rPr>
          <w:b/>
          <w:spacing w:val="-3"/>
        </w:rPr>
        <w:t>3.1.6</w:t>
      </w:r>
      <w:r>
        <w:rPr>
          <w:b/>
          <w:spacing w:val="37"/>
        </w:rPr>
        <w:t> </w:t>
      </w:r>
      <w:r>
        <w:rPr>
          <w:spacing w:val="-3"/>
        </w:rPr>
        <w:t>封闭楼梯间应采用自然通风系统，不能满足自然通风条件的封闭楼梯间，应设置机</w:t>
      </w:r>
    </w:p>
    <w:p>
      <w:pPr>
        <w:pStyle w:val="BodyText"/>
        <w:spacing w:line="441" w:lineRule="auto"/>
        <w:ind w:left="418" w:right="1400"/>
      </w:pPr>
      <w:r>
        <w:rPr/>
        <w:t>械加压送风系统。当地下、半地下建筑（室）的封闭楼梯间不与地上楼梯间共用且地下仅为一层时，可不设置机械加压送风系统，但首层应设置有效面积不小于 1.2m</w:t>
      </w:r>
      <w:r>
        <w:rPr>
          <w:position w:val="11"/>
          <w:sz w:val="11"/>
        </w:rPr>
        <w:t>2 </w:t>
      </w:r>
      <w:r>
        <w:rPr/>
        <w:t>的可开启外窗或直通室外的疏散门。 </w:t>
      </w:r>
    </w:p>
    <w:p>
      <w:pPr>
        <w:pStyle w:val="ListParagraph"/>
        <w:numPr>
          <w:ilvl w:val="2"/>
          <w:numId w:val="869"/>
        </w:numPr>
        <w:tabs>
          <w:tab w:pos="1424" w:val="left" w:leader="none"/>
        </w:tabs>
        <w:spacing w:line="446" w:lineRule="auto" w:before="3" w:after="0"/>
        <w:ind w:left="418" w:right="1445" w:firstLine="422"/>
        <w:jc w:val="left"/>
        <w:rPr>
          <w:sz w:val="21"/>
        </w:rPr>
      </w:pPr>
      <w:r>
        <w:rPr>
          <w:spacing w:val="-3"/>
          <w:sz w:val="21"/>
        </w:rPr>
        <w:t>设置机械加压送风系统的场所，楼梯间应设置常开风口，前室应设置常闭风口；火灾</w:t>
      </w:r>
      <w:r>
        <w:rPr>
          <w:spacing w:val="-7"/>
          <w:sz w:val="21"/>
        </w:rPr>
        <w:t>时其联动开启方式应符合本标准第 </w:t>
      </w:r>
      <w:r>
        <w:rPr>
          <w:sz w:val="21"/>
        </w:rPr>
        <w:t>5.1.3</w:t>
      </w:r>
      <w:r>
        <w:rPr>
          <w:spacing w:val="-11"/>
          <w:sz w:val="21"/>
        </w:rPr>
        <w:t> 条的规定。 </w:t>
      </w:r>
    </w:p>
    <w:p>
      <w:pPr>
        <w:pStyle w:val="ListParagraph"/>
        <w:numPr>
          <w:ilvl w:val="2"/>
          <w:numId w:val="869"/>
        </w:numPr>
        <w:tabs>
          <w:tab w:pos="1424" w:val="left" w:leader="none"/>
        </w:tabs>
        <w:spacing w:line="446" w:lineRule="auto" w:before="0" w:after="0"/>
        <w:ind w:left="418" w:right="1445" w:firstLine="422"/>
        <w:jc w:val="left"/>
        <w:rPr>
          <w:sz w:val="21"/>
        </w:rPr>
      </w:pPr>
      <w:r>
        <w:rPr>
          <w:spacing w:val="-3"/>
          <w:sz w:val="21"/>
        </w:rPr>
        <w:t>避难层的防烟系统可根据建筑构造、设备布置等因素选择自然通风系统或机械加压送风系统。</w:t>
      </w:r>
      <w:r>
        <w:rPr>
          <w:sz w:val="21"/>
        </w:rPr>
        <w:t> </w:t>
      </w:r>
    </w:p>
    <w:p>
      <w:pPr>
        <w:pStyle w:val="ListParagraph"/>
        <w:numPr>
          <w:ilvl w:val="2"/>
          <w:numId w:val="869"/>
        </w:numPr>
        <w:tabs>
          <w:tab w:pos="1424" w:val="left" w:leader="none"/>
        </w:tabs>
        <w:spacing w:line="446" w:lineRule="auto" w:before="0" w:after="0"/>
        <w:ind w:left="418" w:right="1445" w:firstLine="422"/>
        <w:jc w:val="left"/>
        <w:rPr>
          <w:sz w:val="21"/>
        </w:rPr>
      </w:pPr>
      <w:r>
        <w:rPr>
          <w:spacing w:val="-3"/>
          <w:sz w:val="21"/>
        </w:rPr>
        <w:t>避难走道应在其前室及避难走道分别设置机械加压送风系统，但下列情况可仅在前室设置机械加压送风系统：</w:t>
      </w:r>
      <w:r>
        <w:rPr>
          <w:sz w:val="21"/>
        </w:rPr>
        <w:t> </w:t>
      </w:r>
    </w:p>
    <w:p>
      <w:pPr>
        <w:pStyle w:val="BodyText"/>
        <w:spacing w:line="446" w:lineRule="auto"/>
        <w:ind w:left="838" w:right="5130"/>
        <w:jc w:val="both"/>
        <w:rPr>
          <w:b/>
        </w:rPr>
      </w:pPr>
      <w:r>
        <w:rPr/>
        <w:t>避难走道一端设置安全出口，且总长度小于 30m； 避难走道两端设置安全出口，且总长度小于 60m。</w:t>
      </w:r>
      <w:r>
        <w:rPr>
          <w:b/>
        </w:rPr>
        <w:t>3.2 </w:t>
      </w:r>
      <w:r>
        <w:rPr/>
        <w:t>自然通风设施</w:t>
      </w:r>
      <w:r>
        <w:rPr>
          <w:b/>
          <w:w w:val="99"/>
        </w:rPr>
        <w:t> </w:t>
      </w:r>
    </w:p>
    <w:p>
      <w:pPr>
        <w:pStyle w:val="ListParagraph"/>
        <w:numPr>
          <w:ilvl w:val="2"/>
          <w:numId w:val="870"/>
        </w:numPr>
        <w:tabs>
          <w:tab w:pos="1424" w:val="left" w:leader="none"/>
        </w:tabs>
        <w:spacing w:line="441" w:lineRule="auto" w:before="0" w:after="0"/>
        <w:ind w:left="418" w:right="1548" w:firstLine="422"/>
        <w:jc w:val="both"/>
        <w:rPr>
          <w:sz w:val="21"/>
        </w:rPr>
      </w:pPr>
      <w:r>
        <w:rPr>
          <w:spacing w:val="-4"/>
          <w:sz w:val="21"/>
        </w:rPr>
        <w:t>采用自然通风方式的封闭楼梯间、防烟楼梯间，应在最高部位设置面积不小于 </w:t>
      </w:r>
      <w:r>
        <w:rPr>
          <w:sz w:val="21"/>
        </w:rPr>
        <w:t>1.0m</w:t>
      </w:r>
      <w:r>
        <w:rPr>
          <w:position w:val="11"/>
          <w:sz w:val="11"/>
        </w:rPr>
        <w:t>2 </w:t>
      </w:r>
      <w:r>
        <w:rPr>
          <w:spacing w:val="-6"/>
          <w:sz w:val="21"/>
        </w:rPr>
        <w:t>的可开启外窗或开口；当建筑高度大于 </w:t>
      </w:r>
      <w:r>
        <w:rPr>
          <w:sz w:val="21"/>
        </w:rPr>
        <w:t>10m</w:t>
      </w:r>
      <w:r>
        <w:rPr>
          <w:spacing w:val="-7"/>
          <w:sz w:val="21"/>
        </w:rPr>
        <w:t> 时，尚应在楼梯间的外墙上每 </w:t>
      </w:r>
      <w:r>
        <w:rPr>
          <w:sz w:val="21"/>
        </w:rPr>
        <w:t>5</w:t>
      </w:r>
      <w:r>
        <w:rPr>
          <w:spacing w:val="-8"/>
          <w:sz w:val="21"/>
        </w:rPr>
        <w:t> 层内设置总面积不</w:t>
      </w:r>
      <w:r>
        <w:rPr>
          <w:spacing w:val="-24"/>
          <w:sz w:val="21"/>
        </w:rPr>
        <w:t>小于 </w:t>
      </w:r>
      <w:r>
        <w:rPr>
          <w:sz w:val="21"/>
        </w:rPr>
        <w:t>2.0</w:t>
      </w:r>
      <w:r>
        <w:rPr>
          <w:spacing w:val="1"/>
          <w:sz w:val="21"/>
        </w:rPr>
        <w:t> </w:t>
      </w:r>
      <w:r>
        <w:rPr>
          <w:sz w:val="21"/>
        </w:rPr>
        <w:t>m</w:t>
      </w:r>
      <w:r>
        <w:rPr>
          <w:position w:val="11"/>
          <w:sz w:val="11"/>
        </w:rPr>
        <w:t>2</w:t>
      </w:r>
      <w:r>
        <w:rPr>
          <w:spacing w:val="47"/>
          <w:sz w:val="11"/>
        </w:rPr>
        <w:t> </w:t>
      </w:r>
      <w:r>
        <w:rPr>
          <w:spacing w:val="-3"/>
          <w:sz w:val="21"/>
        </w:rPr>
        <w:t>的可开启外窗或开口，且布置间隔不大于 </w:t>
      </w:r>
      <w:r>
        <w:rPr>
          <w:sz w:val="21"/>
        </w:rPr>
        <w:t>3</w:t>
      </w:r>
      <w:r>
        <w:rPr>
          <w:spacing w:val="-20"/>
          <w:sz w:val="21"/>
        </w:rPr>
        <w:t> 层。</w:t>
      </w:r>
      <w:r>
        <w:rPr>
          <w:sz w:val="21"/>
        </w:rPr>
        <w:t> </w:t>
      </w:r>
    </w:p>
    <w:p>
      <w:pPr>
        <w:pStyle w:val="ListParagraph"/>
        <w:numPr>
          <w:ilvl w:val="2"/>
          <w:numId w:val="870"/>
        </w:numPr>
        <w:tabs>
          <w:tab w:pos="1424" w:val="left" w:leader="none"/>
        </w:tabs>
        <w:spacing w:line="439" w:lineRule="auto" w:before="0" w:after="0"/>
        <w:ind w:left="418" w:right="1445" w:firstLine="422"/>
        <w:jc w:val="both"/>
        <w:rPr>
          <w:sz w:val="21"/>
        </w:rPr>
      </w:pPr>
      <w:r>
        <w:rPr>
          <w:spacing w:val="-3"/>
          <w:sz w:val="21"/>
        </w:rPr>
        <w:t>前室采用自然通风方式时，独立前室、消防电梯前室可开启外窗或开口的面积不应小</w:t>
      </w:r>
      <w:r>
        <w:rPr>
          <w:spacing w:val="-28"/>
          <w:sz w:val="21"/>
        </w:rPr>
        <w:t>于 </w:t>
      </w:r>
      <w:r>
        <w:rPr>
          <w:sz w:val="21"/>
        </w:rPr>
        <w:t>2.0</w:t>
      </w:r>
      <w:r>
        <w:rPr>
          <w:spacing w:val="1"/>
          <w:sz w:val="21"/>
        </w:rPr>
        <w:t> </w:t>
      </w:r>
      <w:r>
        <w:rPr>
          <w:sz w:val="21"/>
        </w:rPr>
        <w:t>m2</w:t>
      </w:r>
      <w:r>
        <w:rPr>
          <w:spacing w:val="-7"/>
          <w:sz w:val="21"/>
        </w:rPr>
        <w:t>，共用前室、合用前室不应小于 </w:t>
      </w:r>
      <w:r>
        <w:rPr>
          <w:sz w:val="21"/>
        </w:rPr>
        <w:t>3.0</w:t>
      </w:r>
      <w:r>
        <w:rPr>
          <w:spacing w:val="1"/>
          <w:sz w:val="21"/>
        </w:rPr>
        <w:t> </w:t>
      </w:r>
      <w:r>
        <w:rPr>
          <w:sz w:val="21"/>
        </w:rPr>
        <w:t>m</w:t>
      </w:r>
      <w:r>
        <w:rPr>
          <w:position w:val="11"/>
          <w:sz w:val="11"/>
        </w:rPr>
        <w:t>2</w:t>
      </w:r>
      <w:r>
        <w:rPr>
          <w:sz w:val="21"/>
        </w:rPr>
        <w:t>。 </w:t>
      </w:r>
    </w:p>
    <w:p>
      <w:pPr>
        <w:pStyle w:val="ListParagraph"/>
        <w:numPr>
          <w:ilvl w:val="2"/>
          <w:numId w:val="870"/>
        </w:numPr>
        <w:tabs>
          <w:tab w:pos="1424" w:val="left" w:leader="none"/>
        </w:tabs>
        <w:spacing w:line="446" w:lineRule="auto" w:before="0" w:after="0"/>
        <w:ind w:left="418" w:right="1445" w:firstLine="422"/>
        <w:jc w:val="both"/>
        <w:rPr>
          <w:sz w:val="21"/>
        </w:rPr>
      </w:pPr>
      <w:r>
        <w:rPr>
          <w:spacing w:val="-3"/>
          <w:sz w:val="21"/>
        </w:rPr>
        <w:t>采用自然通风方式的避难层（</w:t>
      </w:r>
      <w:r>
        <w:rPr>
          <w:sz w:val="21"/>
        </w:rPr>
        <w:t>间</w:t>
      </w:r>
      <w:r>
        <w:rPr>
          <w:spacing w:val="-3"/>
          <w:sz w:val="21"/>
        </w:rPr>
        <w:t>）应设有不同朝向的可开启外窗，其有效面积不应小于该避难层</w:t>
      </w:r>
      <w:r>
        <w:rPr>
          <w:sz w:val="21"/>
        </w:rPr>
        <w:t>（</w:t>
      </w:r>
      <w:r>
        <w:rPr>
          <w:spacing w:val="-3"/>
          <w:sz w:val="21"/>
        </w:rPr>
        <w:t>间</w:t>
      </w:r>
      <w:r>
        <w:rPr>
          <w:sz w:val="21"/>
        </w:rPr>
        <w:t>）</w:t>
      </w:r>
      <w:r>
        <w:rPr>
          <w:spacing w:val="-3"/>
          <w:sz w:val="21"/>
        </w:rPr>
        <w:t>地面面积的 </w:t>
      </w:r>
      <w:r>
        <w:rPr>
          <w:sz w:val="21"/>
        </w:rPr>
        <w:t>2</w:t>
      </w:r>
      <w:r>
        <w:rPr>
          <w:spacing w:val="-7"/>
          <w:sz w:val="21"/>
        </w:rPr>
        <w:t>%，且每个朝向的面积不应小于 </w:t>
      </w:r>
      <w:r>
        <w:rPr>
          <w:sz w:val="21"/>
        </w:rPr>
        <w:t>2.0</w:t>
      </w:r>
      <w:r>
        <w:rPr>
          <w:spacing w:val="-19"/>
          <w:sz w:val="21"/>
        </w:rPr>
        <w:t> ㎡。</w:t>
      </w:r>
      <w:r>
        <w:rPr>
          <w:sz w:val="21"/>
        </w:rPr>
        <w:t> </w:t>
      </w:r>
    </w:p>
    <w:p>
      <w:pPr>
        <w:pStyle w:val="ListParagraph"/>
        <w:numPr>
          <w:ilvl w:val="2"/>
          <w:numId w:val="870"/>
        </w:numPr>
        <w:tabs>
          <w:tab w:pos="1370" w:val="left" w:leader="none"/>
        </w:tabs>
        <w:spacing w:line="386" w:lineRule="auto" w:before="0" w:after="0"/>
        <w:ind w:left="418" w:right="1604" w:firstLine="422"/>
        <w:jc w:val="both"/>
        <w:rPr>
          <w:sz w:val="21"/>
        </w:rPr>
      </w:pPr>
      <w:r>
        <w:rPr>
          <w:spacing w:val="-3"/>
          <w:sz w:val="21"/>
        </w:rPr>
        <w:t>可开启外窗应方便直接开启，设置在高处不便于直接开启的可开启外窗应在距地面</w:t>
      </w:r>
      <w:r>
        <w:rPr>
          <w:spacing w:val="-15"/>
          <w:sz w:val="21"/>
        </w:rPr>
        <w:t>高度为 </w:t>
      </w:r>
      <w:r>
        <w:rPr>
          <w:sz w:val="21"/>
        </w:rPr>
        <w:t>1.3</w:t>
      </w:r>
      <w:r>
        <w:rPr>
          <w:rFonts w:ascii="微软雅黑" w:eastAsia="微软雅黑" w:hint="eastAsia"/>
          <w:sz w:val="21"/>
        </w:rPr>
        <w:t>〜</w:t>
      </w:r>
      <w:r>
        <w:rPr>
          <w:sz w:val="21"/>
        </w:rPr>
        <w:t>1.5m</w:t>
      </w:r>
      <w:r>
        <w:rPr>
          <w:spacing w:val="-8"/>
          <w:sz w:val="21"/>
        </w:rPr>
        <w:t> 的位置设置手动开启装置。</w:t>
      </w:r>
      <w:r>
        <w:rPr>
          <w:sz w:val="21"/>
        </w:rPr>
        <w:t> </w:t>
      </w:r>
    </w:p>
    <w:p>
      <w:pPr>
        <w:pStyle w:val="ListParagraph"/>
        <w:numPr>
          <w:ilvl w:val="1"/>
          <w:numId w:val="871"/>
        </w:numPr>
        <w:tabs>
          <w:tab w:pos="1159" w:val="left" w:leader="none"/>
        </w:tabs>
        <w:spacing w:line="211" w:lineRule="exact" w:before="0" w:after="0"/>
        <w:ind w:left="1158" w:right="0" w:hanging="319"/>
        <w:jc w:val="left"/>
        <w:rPr>
          <w:sz w:val="21"/>
        </w:rPr>
      </w:pPr>
      <w:r>
        <w:rPr>
          <w:spacing w:val="-3"/>
          <w:sz w:val="21"/>
        </w:rPr>
        <w:t>机械加压送风设施</w:t>
      </w:r>
      <w:r>
        <w:rPr>
          <w:sz w:val="21"/>
        </w:rPr>
        <w:t> </w:t>
      </w:r>
    </w:p>
    <w:p>
      <w:pPr>
        <w:pStyle w:val="BodyText"/>
        <w:rPr>
          <w:sz w:val="18"/>
        </w:rPr>
      </w:pPr>
    </w:p>
    <w:p>
      <w:pPr>
        <w:pStyle w:val="ListParagraph"/>
        <w:numPr>
          <w:ilvl w:val="2"/>
          <w:numId w:val="871"/>
        </w:numPr>
        <w:tabs>
          <w:tab w:pos="1370" w:val="left" w:leader="none"/>
        </w:tabs>
        <w:spacing w:line="446" w:lineRule="auto" w:before="0" w:after="0"/>
        <w:ind w:left="418" w:right="1498" w:firstLine="422"/>
        <w:jc w:val="left"/>
        <w:rPr>
          <w:sz w:val="21"/>
        </w:rPr>
      </w:pPr>
      <w:r>
        <w:rPr>
          <w:spacing w:val="-9"/>
          <w:sz w:val="21"/>
        </w:rPr>
        <w:t>建筑高度大于 </w:t>
      </w:r>
      <w:r>
        <w:rPr>
          <w:sz w:val="21"/>
        </w:rPr>
        <w:t>100m</w:t>
      </w:r>
      <w:r>
        <w:rPr>
          <w:spacing w:val="-8"/>
          <w:sz w:val="21"/>
        </w:rPr>
        <w:t> 的建筑，其机械加压送风系统应竖向分段独立设置，且每段高度</w:t>
      </w:r>
      <w:r>
        <w:rPr>
          <w:spacing w:val="-5"/>
          <w:sz w:val="21"/>
        </w:rPr>
        <w:t>不应超过 </w:t>
      </w:r>
      <w:r>
        <w:rPr>
          <w:sz w:val="21"/>
        </w:rPr>
        <w:t>100m</w:t>
      </w:r>
      <w:r>
        <w:rPr>
          <w:spacing w:val="-3"/>
          <w:sz w:val="21"/>
        </w:rPr>
        <w:t>。</w:t>
      </w:r>
      <w:r>
        <w:rPr>
          <w:sz w:val="21"/>
        </w:rPr>
        <w:t> </w:t>
      </w:r>
    </w:p>
    <w:p>
      <w:pPr>
        <w:pStyle w:val="ListParagraph"/>
        <w:numPr>
          <w:ilvl w:val="2"/>
          <w:numId w:val="871"/>
        </w:numPr>
        <w:tabs>
          <w:tab w:pos="1371" w:val="left" w:leader="none"/>
        </w:tabs>
        <w:spacing w:line="446" w:lineRule="auto" w:before="0" w:after="0"/>
        <w:ind w:left="418" w:right="1604" w:firstLine="422"/>
        <w:jc w:val="left"/>
        <w:rPr>
          <w:sz w:val="21"/>
        </w:rPr>
      </w:pPr>
      <w:r>
        <w:rPr>
          <w:spacing w:val="-3"/>
          <w:sz w:val="21"/>
        </w:rPr>
        <w:t>除本标准另有规定外，采用机械加压送风系统的防烟楼梯间及其前室应分别设置送风井（</w:t>
      </w:r>
      <w:r>
        <w:rPr>
          <w:sz w:val="21"/>
        </w:rPr>
        <w:t>管</w:t>
      </w:r>
      <w:r>
        <w:rPr>
          <w:spacing w:val="-3"/>
          <w:sz w:val="21"/>
        </w:rPr>
        <w:t>）道，送风口（</w:t>
      </w:r>
      <w:r>
        <w:rPr>
          <w:sz w:val="21"/>
        </w:rPr>
        <w:t>阀）</w:t>
      </w:r>
      <w:r>
        <w:rPr>
          <w:spacing w:val="-3"/>
          <w:sz w:val="21"/>
        </w:rPr>
        <w:t>和送风机。</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71"/>
        </w:numPr>
        <w:tabs>
          <w:tab w:pos="1370" w:val="left" w:leader="none"/>
        </w:tabs>
        <w:spacing w:line="446" w:lineRule="auto" w:before="47" w:after="0"/>
        <w:ind w:left="418" w:right="1604" w:firstLine="422"/>
        <w:jc w:val="left"/>
        <w:rPr>
          <w:sz w:val="21"/>
        </w:rPr>
      </w:pPr>
      <w:r>
        <w:rPr>
          <w:spacing w:val="-7"/>
          <w:sz w:val="21"/>
        </w:rPr>
        <w:t>建筑高度小于或等于 </w:t>
      </w:r>
      <w:r>
        <w:rPr>
          <w:sz w:val="21"/>
        </w:rPr>
        <w:t>50m</w:t>
      </w:r>
      <w:r>
        <w:rPr>
          <w:spacing w:val="-8"/>
          <w:sz w:val="21"/>
        </w:rPr>
        <w:t> 的建筑，当楼梯间设置加压送风井</w:t>
      </w:r>
      <w:r>
        <w:rPr>
          <w:sz w:val="21"/>
        </w:rPr>
        <w:t>（</w:t>
      </w:r>
      <w:r>
        <w:rPr>
          <w:spacing w:val="-3"/>
          <w:sz w:val="21"/>
        </w:rPr>
        <w:t>管</w:t>
      </w:r>
      <w:r>
        <w:rPr>
          <w:sz w:val="21"/>
        </w:rPr>
        <w:t>）</w:t>
      </w:r>
      <w:r>
        <w:rPr>
          <w:spacing w:val="-3"/>
          <w:sz w:val="21"/>
        </w:rPr>
        <w:t>道确有困难时， 楼梯间可采用直灌式加压送风系统，并应符合下列规定：</w:t>
      </w:r>
      <w:r>
        <w:rPr>
          <w:sz w:val="21"/>
        </w:rPr>
        <w:t> </w:t>
      </w:r>
    </w:p>
    <w:p>
      <w:pPr>
        <w:pStyle w:val="BodyText"/>
        <w:spacing w:line="446" w:lineRule="auto"/>
        <w:ind w:left="418" w:right="1608" w:firstLine="419"/>
      </w:pPr>
      <w:r>
        <w:rPr>
          <w:spacing w:val="-7"/>
        </w:rPr>
        <w:t>建筑高度大于 </w:t>
      </w:r>
      <w:r>
        <w:rPr/>
        <w:t>32m</w:t>
      </w:r>
      <w:r>
        <w:rPr>
          <w:spacing w:val="-7"/>
        </w:rPr>
        <w:t> 的高层建筑，应采用楼梯间两点部位送风的方式，送风口之间距离不宜</w:t>
      </w:r>
      <w:r>
        <w:rPr>
          <w:spacing w:val="-11"/>
        </w:rPr>
        <w:t>小于建筑高度的 </w:t>
      </w:r>
      <w:r>
        <w:rPr/>
        <w:t>1/2</w:t>
      </w:r>
      <w:r>
        <w:rPr>
          <w:spacing w:val="-1"/>
        </w:rPr>
        <w:t> ； </w:t>
      </w:r>
    </w:p>
    <w:p>
      <w:pPr>
        <w:pStyle w:val="BodyText"/>
        <w:ind w:left="838"/>
      </w:pPr>
      <w:r>
        <w:rPr/>
        <w:t>送风量应按计算值或本标准第 3.4.2 条规定的送风量增加 20%； </w:t>
      </w:r>
    </w:p>
    <w:p>
      <w:pPr>
        <w:pStyle w:val="BodyText"/>
        <w:spacing w:before="10"/>
        <w:rPr>
          <w:sz w:val="17"/>
        </w:rPr>
      </w:pPr>
    </w:p>
    <w:p>
      <w:pPr>
        <w:pStyle w:val="BodyText"/>
        <w:ind w:left="838"/>
      </w:pPr>
      <w:r>
        <w:rPr/>
        <w:t>加压送风口不宜设在影响人员疏散的部位。 </w:t>
      </w:r>
    </w:p>
    <w:p>
      <w:pPr>
        <w:pStyle w:val="BodyText"/>
        <w:spacing w:before="2"/>
        <w:rPr>
          <w:sz w:val="18"/>
        </w:rPr>
      </w:pPr>
    </w:p>
    <w:p>
      <w:pPr>
        <w:pStyle w:val="ListParagraph"/>
        <w:numPr>
          <w:ilvl w:val="2"/>
          <w:numId w:val="871"/>
        </w:numPr>
        <w:tabs>
          <w:tab w:pos="1370" w:val="left" w:leader="none"/>
        </w:tabs>
        <w:spacing w:line="446" w:lineRule="auto" w:before="0" w:after="0"/>
        <w:ind w:left="418" w:right="1604" w:firstLine="422"/>
        <w:jc w:val="both"/>
        <w:rPr>
          <w:sz w:val="21"/>
        </w:rPr>
      </w:pPr>
      <w:r>
        <w:rPr>
          <w:spacing w:val="-3"/>
          <w:sz w:val="21"/>
        </w:rPr>
        <w:t>设置机械加压送风系统的楼梯间的地上部分与地下部分，其机械加压送风系统应分别独立设置。当受建筑条件限制，且地下部分为汽车库或设备用房时，可共用机械加压送风系统，并应符合下列规定：</w:t>
      </w:r>
      <w:r>
        <w:rPr>
          <w:sz w:val="21"/>
        </w:rPr>
        <w:t> </w:t>
      </w:r>
    </w:p>
    <w:p>
      <w:pPr>
        <w:pStyle w:val="BodyText"/>
        <w:spacing w:line="446" w:lineRule="auto"/>
        <w:ind w:left="418" w:right="1608" w:firstLine="419"/>
        <w:jc w:val="both"/>
      </w:pPr>
      <w:r>
        <w:rPr>
          <w:spacing w:val="-7"/>
        </w:rPr>
        <w:t>应按本标准第 </w:t>
      </w:r>
      <w:r>
        <w:rPr/>
        <w:t>3.4.5</w:t>
      </w:r>
      <w:r>
        <w:rPr>
          <w:spacing w:val="-7"/>
        </w:rPr>
        <w:t> 条的规定分别计算地上、地下部分的加压送风量，相加后作为共用加</w:t>
      </w:r>
      <w:r>
        <w:rPr>
          <w:spacing w:val="-5"/>
        </w:rPr>
        <w:t>压送风系统风量；</w:t>
      </w:r>
      <w:r>
        <w:rPr/>
        <w:t> </w:t>
      </w:r>
    </w:p>
    <w:p>
      <w:pPr>
        <w:pStyle w:val="BodyText"/>
        <w:spacing w:line="267" w:lineRule="exact"/>
        <w:ind w:left="838"/>
      </w:pPr>
      <w:r>
        <w:rPr/>
        <w:t>应采取有效措施分别满足地上、地下部分的送风量的要求。 </w:t>
      </w:r>
    </w:p>
    <w:p>
      <w:pPr>
        <w:pStyle w:val="BodyText"/>
        <w:spacing w:before="1"/>
        <w:rPr>
          <w:sz w:val="18"/>
        </w:rPr>
      </w:pPr>
    </w:p>
    <w:p>
      <w:pPr>
        <w:pStyle w:val="ListParagraph"/>
        <w:numPr>
          <w:ilvl w:val="2"/>
          <w:numId w:val="871"/>
        </w:numPr>
        <w:tabs>
          <w:tab w:pos="1370" w:val="left" w:leader="none"/>
        </w:tabs>
        <w:spacing w:line="240" w:lineRule="auto" w:before="0" w:after="0"/>
        <w:ind w:left="1369" w:right="0" w:hanging="530"/>
        <w:jc w:val="left"/>
        <w:rPr>
          <w:sz w:val="21"/>
        </w:rPr>
      </w:pPr>
      <w:r>
        <w:rPr>
          <w:spacing w:val="-3"/>
          <w:sz w:val="21"/>
        </w:rPr>
        <w:t>机械加压送风风机宜采用轴流风机或中、低压离心风机，其设置应符合下列规定：</w:t>
      </w:r>
      <w:r>
        <w:rPr>
          <w:sz w:val="21"/>
        </w:rPr>
        <w:t> </w:t>
      </w:r>
    </w:p>
    <w:p>
      <w:pPr>
        <w:pStyle w:val="BodyText"/>
        <w:rPr>
          <w:sz w:val="18"/>
        </w:rPr>
      </w:pPr>
    </w:p>
    <w:p>
      <w:pPr>
        <w:pStyle w:val="BodyText"/>
        <w:spacing w:line="446" w:lineRule="auto"/>
        <w:ind w:left="838" w:right="3817"/>
      </w:pPr>
      <w:r>
        <w:rPr/>
        <w:t>送风机的进风口应直通室外，且应采取防止烟气被吸入的措施。送风机的进风口宜设在机械加压送风系统的下部。 </w:t>
      </w:r>
    </w:p>
    <w:p>
      <w:pPr>
        <w:pStyle w:val="BodyText"/>
        <w:spacing w:line="446" w:lineRule="auto"/>
        <w:ind w:left="418" w:right="1608" w:firstLine="419"/>
      </w:pPr>
      <w:r>
        <w:rPr/>
        <w:t>送风机的进风口不应与排烟风机的出风口设在同一面上。当确有困难时，送风机的进风口与排烟风机的出风口应分开布置，且竖向布置时，送风机的进风口应设置在排烟出口的下方， 其两者边缘最小垂直距离不应小于 6.0m；水平布置时，两者边缘最小水平距离不应小于20.0m。 </w:t>
      </w:r>
    </w:p>
    <w:p>
      <w:pPr>
        <w:pStyle w:val="BodyText"/>
        <w:spacing w:line="267" w:lineRule="exact"/>
        <w:ind w:left="838"/>
      </w:pPr>
      <w:r>
        <w:rPr/>
        <w:t>送风机宜设置在系统的下部，且应采取保证各层送风量均匀性的措施。 </w:t>
      </w:r>
    </w:p>
    <w:p>
      <w:pPr>
        <w:pStyle w:val="BodyText"/>
        <w:rPr>
          <w:sz w:val="18"/>
        </w:rPr>
      </w:pPr>
    </w:p>
    <w:p>
      <w:pPr>
        <w:pStyle w:val="BodyText"/>
        <w:spacing w:line="446" w:lineRule="auto"/>
        <w:ind w:left="418" w:right="1714" w:firstLine="419"/>
      </w:pPr>
      <w:r>
        <w:rPr/>
        <w:t>送风机应设置在专用机房内，送风机房并应符合现行国家标准《建筑设计防火规范》GB 50016 的规定。 </w:t>
      </w:r>
    </w:p>
    <w:p>
      <w:pPr>
        <w:pStyle w:val="BodyText"/>
        <w:spacing w:line="446" w:lineRule="auto"/>
        <w:ind w:left="418" w:right="1609" w:firstLine="419"/>
      </w:pPr>
      <w:r>
        <w:rPr/>
        <w:t>当送风机出风管或进风管上安装单向风阀或电动风阀时，应采取火灾时自动开启阀门的措施。 </w:t>
      </w:r>
    </w:p>
    <w:p>
      <w:pPr>
        <w:pStyle w:val="ListParagraph"/>
        <w:numPr>
          <w:ilvl w:val="2"/>
          <w:numId w:val="871"/>
        </w:numPr>
        <w:tabs>
          <w:tab w:pos="1424" w:val="left" w:leader="none"/>
        </w:tabs>
        <w:spacing w:line="240" w:lineRule="auto" w:before="0" w:after="0"/>
        <w:ind w:left="1423" w:right="0" w:hanging="584"/>
        <w:jc w:val="left"/>
        <w:rPr>
          <w:sz w:val="21"/>
        </w:rPr>
      </w:pPr>
      <w:r>
        <w:rPr>
          <w:spacing w:val="-3"/>
          <w:sz w:val="21"/>
        </w:rPr>
        <w:t>加压送风口的设置应符合下列规定：</w:t>
      </w:r>
      <w:r>
        <w:rPr>
          <w:sz w:val="21"/>
        </w:rPr>
        <w:t> </w:t>
      </w:r>
    </w:p>
    <w:p>
      <w:pPr>
        <w:pStyle w:val="BodyText"/>
        <w:spacing w:line="350" w:lineRule="auto" w:before="163"/>
        <w:ind w:left="838" w:right="2662"/>
        <w:rPr>
          <w:b/>
        </w:rPr>
      </w:pPr>
      <w:r>
        <w:rPr>
          <w:spacing w:val="-6"/>
        </w:rPr>
        <w:t>除直灌式加压送风方式外，楼梯间宜每隔 </w:t>
      </w:r>
      <w:r>
        <w:rPr/>
        <w:t>2</w:t>
      </w:r>
      <w:r>
        <w:rPr>
          <w:rFonts w:ascii="微软雅黑" w:eastAsia="微软雅黑" w:hint="eastAsia"/>
          <w:spacing w:val="-3"/>
        </w:rPr>
        <w:t>〜</w:t>
      </w:r>
      <w:r>
        <w:rPr/>
        <w:t>3</w:t>
      </w:r>
      <w:r>
        <w:rPr>
          <w:spacing w:val="-8"/>
        </w:rPr>
        <w:t> 层设一个常开式百叶送风口； </w:t>
      </w:r>
      <w:r>
        <w:rPr>
          <w:spacing w:val="-3"/>
        </w:rPr>
        <w:t>前室应每层设一个常闭式加压送风口，并应设手动开启装置；</w:t>
      </w:r>
      <w:r>
        <w:rPr>
          <w:b/>
          <w:w w:val="99"/>
        </w:rPr>
        <w:t> </w:t>
      </w:r>
    </w:p>
    <w:p>
      <w:pPr>
        <w:pStyle w:val="BodyText"/>
        <w:spacing w:before="110"/>
        <w:ind w:left="838"/>
        <w:rPr>
          <w:b/>
        </w:rPr>
      </w:pPr>
      <w:r>
        <w:rPr/>
        <w:t>送风口的风速不宜大于 7m/s；</w:t>
      </w:r>
      <w:r>
        <w:rPr>
          <w:b/>
          <w:w w:val="99"/>
        </w:rPr>
        <w:t> </w:t>
      </w:r>
    </w:p>
    <w:p>
      <w:pPr>
        <w:spacing w:after="0"/>
        <w:sectPr>
          <w:pgSz w:w="11910" w:h="16850"/>
          <w:pgMar w:header="0" w:footer="1239" w:top="1220" w:bottom="1420" w:left="1260" w:right="0"/>
        </w:sectPr>
      </w:pPr>
    </w:p>
    <w:p>
      <w:pPr>
        <w:pStyle w:val="BodyText"/>
        <w:spacing w:before="47"/>
        <w:ind w:left="838"/>
        <w:rPr>
          <w:b/>
        </w:rPr>
      </w:pPr>
      <w:r>
        <w:rPr/>
        <w:t>送风口不宜设置在被门挡住的部位。</w:t>
      </w:r>
      <w:r>
        <w:rPr>
          <w:b/>
          <w:w w:val="99"/>
        </w:rPr>
        <w:t> </w:t>
      </w:r>
    </w:p>
    <w:p>
      <w:pPr>
        <w:pStyle w:val="BodyText"/>
        <w:rPr>
          <w:b/>
          <w:sz w:val="18"/>
        </w:rPr>
      </w:pPr>
    </w:p>
    <w:p>
      <w:pPr>
        <w:pStyle w:val="ListParagraph"/>
        <w:numPr>
          <w:ilvl w:val="2"/>
          <w:numId w:val="871"/>
        </w:numPr>
        <w:tabs>
          <w:tab w:pos="1370" w:val="left" w:leader="none"/>
        </w:tabs>
        <w:spacing w:line="446" w:lineRule="auto" w:before="0" w:after="0"/>
        <w:ind w:left="418" w:right="1450" w:firstLine="422"/>
        <w:jc w:val="left"/>
        <w:rPr>
          <w:sz w:val="21"/>
        </w:rPr>
      </w:pPr>
      <w:r>
        <w:rPr>
          <w:spacing w:val="-3"/>
          <w:sz w:val="21"/>
        </w:rPr>
        <w:t>机械加压送风系统应采用管道送风，且不应采用土建风道。送风管道应采用不燃材料</w:t>
      </w:r>
      <w:r>
        <w:rPr>
          <w:spacing w:val="-4"/>
          <w:sz w:val="21"/>
        </w:rPr>
        <w:t>制作且内壁应光滑。当送风管道内壁为金属时，设计风速不应大于 </w:t>
      </w:r>
      <w:r>
        <w:rPr>
          <w:sz w:val="21"/>
        </w:rPr>
        <w:t>20m/s</w:t>
      </w:r>
      <w:r>
        <w:rPr>
          <w:spacing w:val="-3"/>
          <w:sz w:val="21"/>
        </w:rPr>
        <w:t>；当送风管道内壁为非</w:t>
      </w:r>
      <w:r>
        <w:rPr>
          <w:spacing w:val="-5"/>
          <w:sz w:val="21"/>
        </w:rPr>
        <w:t>金属时，设计风速不应大于 </w:t>
      </w:r>
      <w:r>
        <w:rPr>
          <w:sz w:val="21"/>
        </w:rPr>
        <w:t>15m/s</w:t>
      </w:r>
      <w:r>
        <w:rPr>
          <w:spacing w:val="-3"/>
          <w:sz w:val="21"/>
        </w:rPr>
        <w:t>；送风管道的厚度应符合现行国家标准《通风与空调工程施工质量验收规范》</w:t>
      </w:r>
      <w:r>
        <w:rPr>
          <w:sz w:val="21"/>
        </w:rPr>
        <w:t>GB 50243</w:t>
      </w:r>
      <w:r>
        <w:rPr>
          <w:spacing w:val="-13"/>
          <w:sz w:val="21"/>
        </w:rPr>
        <w:t> 的规定。</w:t>
      </w:r>
      <w:r>
        <w:rPr>
          <w:sz w:val="21"/>
        </w:rPr>
        <w:t> </w:t>
      </w:r>
    </w:p>
    <w:p>
      <w:pPr>
        <w:pStyle w:val="ListParagraph"/>
        <w:numPr>
          <w:ilvl w:val="2"/>
          <w:numId w:val="871"/>
        </w:numPr>
        <w:tabs>
          <w:tab w:pos="1370" w:val="left" w:leader="none"/>
        </w:tabs>
        <w:spacing w:line="266" w:lineRule="exact" w:before="0" w:after="0"/>
        <w:ind w:left="1369" w:right="0" w:hanging="530"/>
        <w:jc w:val="left"/>
        <w:rPr>
          <w:sz w:val="21"/>
        </w:rPr>
      </w:pPr>
      <w:r>
        <w:rPr>
          <w:spacing w:val="-3"/>
          <w:sz w:val="21"/>
        </w:rPr>
        <w:t>机械加压送风管道的设置和耐火极限应符合下列规定：</w:t>
      </w:r>
      <w:r>
        <w:rPr>
          <w:sz w:val="21"/>
        </w:rPr>
        <w:t> </w:t>
      </w:r>
    </w:p>
    <w:p>
      <w:pPr>
        <w:pStyle w:val="BodyText"/>
        <w:spacing w:before="2"/>
        <w:rPr>
          <w:sz w:val="18"/>
        </w:rPr>
      </w:pPr>
    </w:p>
    <w:p>
      <w:pPr>
        <w:pStyle w:val="BodyText"/>
        <w:spacing w:line="446" w:lineRule="auto"/>
        <w:ind w:left="418" w:right="1609" w:firstLine="419"/>
      </w:pPr>
      <w:r>
        <w:rPr/>
        <w:t>竖向设置的送风管道应独立设置在管道井内，当确有困难时，未设置在管道井内或与其他管道合用管道井的送风管道，其耐火极限不应低于 1.00h ； </w:t>
      </w:r>
    </w:p>
    <w:p>
      <w:pPr>
        <w:pStyle w:val="BodyText"/>
        <w:spacing w:line="446" w:lineRule="auto"/>
        <w:ind w:left="418" w:right="1391" w:firstLine="419"/>
      </w:pPr>
      <w:r>
        <w:rPr/>
        <w:t>水平设置的送风管道，当设置在吊顶内时，其耐火极限不应低于 0.50h；当未设置在吊顶内时，其耐火极限不应低于 1.00h。 </w:t>
      </w:r>
    </w:p>
    <w:p>
      <w:pPr>
        <w:pStyle w:val="ListParagraph"/>
        <w:numPr>
          <w:ilvl w:val="2"/>
          <w:numId w:val="871"/>
        </w:numPr>
        <w:tabs>
          <w:tab w:pos="1370" w:val="left" w:leader="none"/>
        </w:tabs>
        <w:spacing w:line="446" w:lineRule="auto" w:before="0" w:after="0"/>
        <w:ind w:left="418" w:right="1604" w:firstLine="422"/>
        <w:jc w:val="left"/>
        <w:rPr>
          <w:sz w:val="21"/>
        </w:rPr>
      </w:pPr>
      <w:r>
        <w:rPr>
          <w:spacing w:val="-5"/>
          <w:sz w:val="21"/>
        </w:rPr>
        <w:t>机械加压送风系统的管道井应采用耐火极限不低于 </w:t>
      </w:r>
      <w:r>
        <w:rPr>
          <w:sz w:val="21"/>
        </w:rPr>
        <w:t>1.00h</w:t>
      </w:r>
      <w:r>
        <w:rPr>
          <w:spacing w:val="-8"/>
          <w:sz w:val="21"/>
        </w:rPr>
        <w:t> 的隔墙与相邻部位分隔， </w:t>
      </w:r>
      <w:r>
        <w:rPr>
          <w:spacing w:val="-5"/>
          <w:sz w:val="21"/>
        </w:rPr>
        <w:t>当墙上必须设置检修门时应采用乙级防火门。</w:t>
      </w:r>
      <w:r>
        <w:rPr>
          <w:sz w:val="21"/>
        </w:rPr>
        <w:t> </w:t>
      </w:r>
    </w:p>
    <w:p>
      <w:pPr>
        <w:pStyle w:val="ListParagraph"/>
        <w:numPr>
          <w:ilvl w:val="2"/>
          <w:numId w:val="871"/>
        </w:numPr>
        <w:tabs>
          <w:tab w:pos="1478" w:val="left" w:leader="none"/>
        </w:tabs>
        <w:spacing w:line="240" w:lineRule="auto" w:before="0" w:after="0"/>
        <w:ind w:left="1477" w:right="0" w:hanging="638"/>
        <w:jc w:val="left"/>
        <w:rPr>
          <w:sz w:val="21"/>
        </w:rPr>
      </w:pPr>
      <w:r>
        <w:rPr>
          <w:spacing w:val="-3"/>
          <w:sz w:val="21"/>
        </w:rPr>
        <w:t>采用机械加压送风的场所不应设置百叶窗，且不宜设置可开启外窗。 </w:t>
      </w:r>
    </w:p>
    <w:p>
      <w:pPr>
        <w:pStyle w:val="BodyText"/>
        <w:spacing w:before="1"/>
        <w:rPr>
          <w:sz w:val="17"/>
        </w:rPr>
      </w:pPr>
    </w:p>
    <w:p>
      <w:pPr>
        <w:pStyle w:val="ListParagraph"/>
        <w:numPr>
          <w:ilvl w:val="2"/>
          <w:numId w:val="871"/>
        </w:numPr>
        <w:tabs>
          <w:tab w:pos="1478" w:val="left" w:leader="none"/>
        </w:tabs>
        <w:spacing w:line="240" w:lineRule="auto" w:before="0" w:after="0"/>
        <w:ind w:left="1477" w:right="0" w:hanging="638"/>
        <w:jc w:val="left"/>
        <w:rPr>
          <w:sz w:val="11"/>
        </w:rPr>
      </w:pPr>
      <w:r>
        <w:rPr>
          <w:spacing w:val="-5"/>
          <w:sz w:val="21"/>
        </w:rPr>
        <w:t>设置机械加压送风系统的封闭楼梯间、防烟楼梯间，尚应在其顶部设置不小于 </w:t>
      </w:r>
      <w:r>
        <w:rPr>
          <w:sz w:val="21"/>
        </w:rPr>
        <w:t>1m</w:t>
      </w:r>
      <w:r>
        <w:rPr>
          <w:position w:val="11"/>
          <w:sz w:val="11"/>
        </w:rPr>
        <w:t>2</w:t>
      </w:r>
    </w:p>
    <w:p>
      <w:pPr>
        <w:pStyle w:val="BodyText"/>
        <w:spacing w:before="2"/>
        <w:rPr>
          <w:sz w:val="17"/>
        </w:rPr>
      </w:pPr>
    </w:p>
    <w:p>
      <w:pPr>
        <w:pStyle w:val="BodyText"/>
        <w:ind w:left="418"/>
      </w:pPr>
      <w:r>
        <w:rPr/>
        <w:t>的固定窗。靠外墙的防烟楼梯间，尚应在其外墙上每 5 层内设置总面积不小于 2 m</w:t>
      </w:r>
      <w:r>
        <w:rPr>
          <w:position w:val="11"/>
          <w:sz w:val="11"/>
        </w:rPr>
        <w:t>2 </w:t>
      </w:r>
      <w:r>
        <w:rPr/>
        <w:t>的固定窗。 </w:t>
      </w:r>
    </w:p>
    <w:p>
      <w:pPr>
        <w:pStyle w:val="BodyText"/>
        <w:spacing w:before="2"/>
        <w:rPr>
          <w:sz w:val="18"/>
        </w:rPr>
      </w:pPr>
    </w:p>
    <w:p>
      <w:pPr>
        <w:pStyle w:val="ListParagraph"/>
        <w:numPr>
          <w:ilvl w:val="2"/>
          <w:numId w:val="871"/>
        </w:numPr>
        <w:tabs>
          <w:tab w:pos="1530" w:val="left" w:leader="none"/>
        </w:tabs>
        <w:spacing w:line="446" w:lineRule="auto" w:before="0" w:after="0"/>
        <w:ind w:left="418" w:right="1549" w:firstLine="422"/>
        <w:jc w:val="left"/>
        <w:rPr>
          <w:sz w:val="21"/>
        </w:rPr>
      </w:pPr>
      <w:r>
        <w:rPr>
          <w:spacing w:val="-3"/>
          <w:sz w:val="21"/>
        </w:rPr>
        <w:t>设置机械加压送风系统的避难层（</w:t>
      </w:r>
      <w:r>
        <w:rPr>
          <w:sz w:val="21"/>
        </w:rPr>
        <w:t>间）</w:t>
      </w:r>
      <w:r>
        <w:rPr>
          <w:spacing w:val="-3"/>
          <w:sz w:val="21"/>
        </w:rPr>
        <w:t>，尚应在外墙设置可开启外窗，其有效面积不应小于该避难层（</w:t>
      </w:r>
      <w:r>
        <w:rPr>
          <w:sz w:val="21"/>
        </w:rPr>
        <w:t>间</w:t>
      </w:r>
      <w:r>
        <w:rPr>
          <w:spacing w:val="-3"/>
          <w:sz w:val="21"/>
        </w:rPr>
        <w:t>）</w:t>
      </w:r>
      <w:r>
        <w:rPr>
          <w:spacing w:val="-10"/>
          <w:sz w:val="21"/>
        </w:rPr>
        <w:t>地面面积的 </w:t>
      </w:r>
      <w:r>
        <w:rPr>
          <w:sz w:val="21"/>
        </w:rPr>
        <w:t>1</w:t>
      </w:r>
      <w:r>
        <w:rPr>
          <w:spacing w:val="-6"/>
          <w:sz w:val="21"/>
        </w:rPr>
        <w:t>%。有效面积的计算应符合本标准第 </w:t>
      </w:r>
      <w:r>
        <w:rPr>
          <w:sz w:val="21"/>
        </w:rPr>
        <w:t>4.3.5</w:t>
      </w:r>
      <w:r>
        <w:rPr>
          <w:spacing w:val="-11"/>
          <w:sz w:val="21"/>
        </w:rPr>
        <w:t> 条的规定。</w:t>
      </w:r>
      <w:r>
        <w:rPr>
          <w:sz w:val="21"/>
        </w:rPr>
        <w:t> </w:t>
      </w:r>
    </w:p>
    <w:p>
      <w:pPr>
        <w:pStyle w:val="ListParagraph"/>
        <w:numPr>
          <w:ilvl w:val="1"/>
          <w:numId w:val="871"/>
        </w:numPr>
        <w:tabs>
          <w:tab w:pos="1160" w:val="left" w:leader="none"/>
        </w:tabs>
        <w:spacing w:line="267" w:lineRule="exact" w:before="0" w:after="0"/>
        <w:ind w:left="1159" w:right="0" w:hanging="320"/>
        <w:jc w:val="left"/>
        <w:rPr>
          <w:sz w:val="21"/>
        </w:rPr>
      </w:pPr>
      <w:r>
        <w:rPr>
          <w:spacing w:val="-3"/>
          <w:sz w:val="21"/>
        </w:rPr>
        <w:t>机械加压送风系统风量计算</w:t>
      </w:r>
      <w:r>
        <w:rPr>
          <w:sz w:val="21"/>
        </w:rPr>
        <w:t> </w:t>
      </w:r>
    </w:p>
    <w:p>
      <w:pPr>
        <w:pStyle w:val="BodyText"/>
        <w:spacing w:before="2"/>
        <w:rPr>
          <w:sz w:val="18"/>
        </w:rPr>
      </w:pPr>
    </w:p>
    <w:p>
      <w:pPr>
        <w:pStyle w:val="ListParagraph"/>
        <w:numPr>
          <w:ilvl w:val="2"/>
          <w:numId w:val="871"/>
        </w:numPr>
        <w:tabs>
          <w:tab w:pos="1370" w:val="left" w:leader="none"/>
        </w:tabs>
        <w:spacing w:line="240" w:lineRule="auto" w:before="0" w:after="0"/>
        <w:ind w:left="1369" w:right="0" w:hanging="530"/>
        <w:jc w:val="left"/>
        <w:rPr>
          <w:sz w:val="21"/>
        </w:rPr>
      </w:pPr>
      <w:r>
        <w:rPr>
          <w:spacing w:val="-6"/>
          <w:sz w:val="21"/>
        </w:rPr>
        <w:t>机械加压送风系统的设计风量不应小于计算风量的 </w:t>
      </w:r>
      <w:r>
        <w:rPr>
          <w:sz w:val="21"/>
        </w:rPr>
        <w:t>1.2</w:t>
      </w:r>
      <w:r>
        <w:rPr>
          <w:spacing w:val="-20"/>
          <w:sz w:val="21"/>
        </w:rPr>
        <w:t> 倍。</w:t>
      </w:r>
      <w:r>
        <w:rPr>
          <w:sz w:val="21"/>
        </w:rPr>
        <w:t> </w:t>
      </w:r>
    </w:p>
    <w:p>
      <w:pPr>
        <w:pStyle w:val="ListParagraph"/>
        <w:numPr>
          <w:ilvl w:val="2"/>
          <w:numId w:val="871"/>
        </w:numPr>
        <w:tabs>
          <w:tab w:pos="1370" w:val="left" w:leader="none"/>
        </w:tabs>
        <w:spacing w:line="500" w:lineRule="exact" w:before="41" w:after="0"/>
        <w:ind w:left="418" w:right="1604" w:firstLine="422"/>
        <w:jc w:val="left"/>
        <w:rPr>
          <w:sz w:val="21"/>
        </w:rPr>
      </w:pPr>
      <w:r>
        <w:rPr>
          <w:spacing w:val="-3"/>
          <w:sz w:val="21"/>
        </w:rPr>
        <w:t>防烟楼梯间、独立前室、共用前室、合用前室和消防电梯前室的机械加压送风的计</w:t>
      </w:r>
      <w:r>
        <w:rPr>
          <w:spacing w:val="-8"/>
          <w:sz w:val="21"/>
        </w:rPr>
        <w:t>算风量应由本标准第 </w:t>
      </w:r>
      <w:r>
        <w:rPr>
          <w:sz w:val="21"/>
        </w:rPr>
        <w:t>3.4.5</w:t>
      </w:r>
      <w:r>
        <w:rPr>
          <w:spacing w:val="-24"/>
          <w:sz w:val="21"/>
        </w:rPr>
        <w:t> 条</w:t>
      </w:r>
      <w:r>
        <w:rPr>
          <w:rFonts w:ascii="微软雅黑" w:eastAsia="微软雅黑" w:hint="eastAsia"/>
          <w:spacing w:val="-3"/>
          <w:sz w:val="21"/>
        </w:rPr>
        <w:t>〜</w:t>
      </w:r>
      <w:r>
        <w:rPr>
          <w:spacing w:val="-25"/>
          <w:sz w:val="21"/>
        </w:rPr>
        <w:t>第 </w:t>
      </w:r>
      <w:r>
        <w:rPr>
          <w:sz w:val="21"/>
        </w:rPr>
        <w:t>3.4.8</w:t>
      </w:r>
      <w:r>
        <w:rPr>
          <w:spacing w:val="-11"/>
          <w:sz w:val="21"/>
        </w:rPr>
        <w:t> 条的规定计算确定。当系统负担建筑高度大于 </w:t>
      </w:r>
      <w:r>
        <w:rPr>
          <w:sz w:val="21"/>
        </w:rPr>
        <w:t>24m</w:t>
      </w:r>
    </w:p>
    <w:p>
      <w:pPr>
        <w:pStyle w:val="BodyText"/>
        <w:spacing w:line="350" w:lineRule="auto" w:before="123"/>
        <w:ind w:left="418" w:right="1452"/>
      </w:pPr>
      <w:r>
        <w:rPr/>
        <w:pict>
          <v:group style="position:absolute;margin-left:102.400002pt;margin-top:51.788158pt;width:414.55pt;height:137.8pt;mso-position-horizontal-relative:page;mso-position-vertical-relative:paragraph;z-index:-287376384" coordorigin="2048,1036" coordsize="8291,2756">
            <v:shape style="position:absolute;left:2048;top:1035;width:8287;height:2115" type="#_x0000_t75" stroked="false">
              <v:imagedata r:id="rId502" o:title=""/>
            </v:shape>
            <v:shape style="position:absolute;left:2101;top:1293;width:8238;height:2498" type="#_x0000_t75" stroked="false">
              <v:imagedata r:id="rId503" o:title=""/>
            </v:shape>
            <v:shape style="position:absolute;left:2100;top:1841;width:8146;height:1941" type="#_x0000_t75" stroked="false">
              <v:imagedata r:id="rId504" o:title=""/>
            </v:shape>
            <w10:wrap type="none"/>
          </v:group>
        </w:pict>
      </w:r>
      <w:r>
        <w:rPr>
          <w:spacing w:val="-5"/>
        </w:rPr>
        <w:t>时，防烟楼梯间、独立前室、合用前室和消防电梯前室应按计算值与表 </w:t>
      </w:r>
      <w:r>
        <w:rPr/>
        <w:t>3.4.2-1</w:t>
      </w:r>
      <w:r>
        <w:rPr>
          <w:rFonts w:ascii="微软雅黑" w:eastAsia="微软雅黑" w:hint="eastAsia"/>
          <w:spacing w:val="-3"/>
        </w:rPr>
        <w:t>〜</w:t>
      </w:r>
      <w:r>
        <w:rPr>
          <w:spacing w:val="-22"/>
        </w:rPr>
        <w:t>表 </w:t>
      </w:r>
      <w:r>
        <w:rPr/>
        <w:t>3.4.2-4</w:t>
      </w:r>
      <w:r>
        <w:rPr>
          <w:spacing w:val="-22"/>
        </w:rPr>
        <w:t> 的</w:t>
      </w:r>
      <w:r>
        <w:rPr>
          <w:spacing w:val="-8"/>
        </w:rPr>
        <w:t>值中的较大值确定。</w:t>
      </w:r>
      <w:r>
        <w:rPr/>
        <w:t> </w:t>
      </w:r>
    </w:p>
    <w:p>
      <w:pPr>
        <w:spacing w:after="0" w:line="350" w:lineRule="auto"/>
        <w:sectPr>
          <w:pgSz w:w="11910" w:h="16850"/>
          <w:pgMar w:header="0" w:footer="1239" w:top="1220" w:bottom="1420" w:left="1260" w:right="0"/>
        </w:sectPr>
      </w:pPr>
    </w:p>
    <w:p>
      <w:pPr>
        <w:pStyle w:val="BodyText"/>
        <w:ind w:left="853"/>
        <w:rPr>
          <w:sz w:val="20"/>
        </w:rPr>
      </w:pPr>
      <w:r>
        <w:rPr>
          <w:sz w:val="20"/>
        </w:rPr>
        <w:drawing>
          <wp:inline distT="0" distB="0" distL="0" distR="0">
            <wp:extent cx="5170170" cy="1619250"/>
            <wp:effectExtent l="0" t="0" r="0" b="0"/>
            <wp:docPr id="669" name="image395.jpeg"/>
            <wp:cNvGraphicFramePr>
              <a:graphicFrameLocks noChangeAspect="1"/>
            </wp:cNvGraphicFramePr>
            <a:graphic>
              <a:graphicData uri="http://schemas.openxmlformats.org/drawingml/2006/picture">
                <pic:pic>
                  <pic:nvPicPr>
                    <pic:cNvPr id="670" name="image395.jpeg"/>
                    <pic:cNvPicPr/>
                  </pic:nvPicPr>
                  <pic:blipFill>
                    <a:blip r:embed="rId506" cstate="print"/>
                    <a:stretch>
                      <a:fillRect/>
                    </a:stretch>
                  </pic:blipFill>
                  <pic:spPr>
                    <a:xfrm>
                      <a:off x="0" y="0"/>
                      <a:ext cx="5170170" cy="1619250"/>
                    </a:xfrm>
                    <a:prstGeom prst="rect">
                      <a:avLst/>
                    </a:prstGeom>
                  </pic:spPr>
                </pic:pic>
              </a:graphicData>
            </a:graphic>
          </wp:inline>
        </w:drawing>
      </w:r>
      <w:r>
        <w:rPr>
          <w:sz w:val="20"/>
        </w:rPr>
      </w:r>
    </w:p>
    <w:p>
      <w:pPr>
        <w:pStyle w:val="BodyText"/>
        <w:spacing w:before="1"/>
        <w:rPr>
          <w:sz w:val="6"/>
        </w:rPr>
      </w:pPr>
    </w:p>
    <w:p>
      <w:pPr>
        <w:pStyle w:val="BodyText"/>
        <w:spacing w:line="350" w:lineRule="auto" w:before="46"/>
        <w:ind w:left="418" w:right="1453" w:firstLine="422"/>
      </w:pPr>
      <w:r>
        <w:rPr/>
        <w:t>注：1</w:t>
      </w:r>
      <w:r>
        <w:rPr>
          <w:spacing w:val="-13"/>
        </w:rPr>
        <w:t>. 表 </w:t>
      </w:r>
      <w:r>
        <w:rPr/>
        <w:t>3.4.2-1</w:t>
      </w:r>
      <w:r>
        <w:rPr>
          <w:rFonts w:ascii="微软雅黑" w:hAnsi="微软雅黑" w:eastAsia="微软雅黑" w:hint="eastAsia"/>
        </w:rPr>
        <w:t>〜</w:t>
      </w:r>
      <w:r>
        <w:rPr>
          <w:spacing w:val="-25"/>
        </w:rPr>
        <w:t>表 </w:t>
      </w:r>
      <w:r>
        <w:rPr/>
        <w:t>3.4.2-4</w:t>
      </w:r>
      <w:r>
        <w:rPr>
          <w:spacing w:val="-16"/>
        </w:rPr>
        <w:t> 的风量按开启 </w:t>
      </w:r>
      <w:r>
        <w:rPr/>
        <w:t>1</w:t>
      </w:r>
      <w:r>
        <w:rPr>
          <w:spacing w:val="-35"/>
        </w:rPr>
        <w:t> 个 </w:t>
      </w:r>
      <w:r>
        <w:rPr/>
        <w:t>2.0m×1.6m</w:t>
      </w:r>
      <w:r>
        <w:rPr>
          <w:spacing w:val="-8"/>
        </w:rPr>
        <w:t> 的双扇门确定。当采用单扇</w:t>
      </w:r>
      <w:r>
        <w:rPr>
          <w:spacing w:val="-10"/>
        </w:rPr>
        <w:t>门时，其风量可乘以系数 </w:t>
      </w:r>
      <w:r>
        <w:rPr/>
        <w:t>0.75</w:t>
      </w:r>
      <w:r>
        <w:rPr>
          <w:spacing w:val="-16"/>
        </w:rPr>
        <w:t> 计算。</w:t>
      </w:r>
      <w:r>
        <w:rPr/>
        <w:t> </w:t>
      </w:r>
    </w:p>
    <w:p>
      <w:pPr>
        <w:pStyle w:val="ListParagraph"/>
        <w:numPr>
          <w:ilvl w:val="0"/>
          <w:numId w:val="872"/>
        </w:numPr>
        <w:tabs>
          <w:tab w:pos="1051" w:val="left" w:leader="none"/>
        </w:tabs>
        <w:spacing w:line="240" w:lineRule="auto" w:before="111" w:after="0"/>
        <w:ind w:left="1050" w:right="0" w:hanging="213"/>
        <w:jc w:val="left"/>
        <w:rPr>
          <w:sz w:val="21"/>
        </w:rPr>
      </w:pPr>
      <w:r>
        <w:rPr>
          <w:spacing w:val="-3"/>
          <w:sz w:val="21"/>
        </w:rPr>
        <w:t>表中风量按开启着火层及其上下层，共开启三层的风量计算。</w:t>
      </w:r>
      <w:r>
        <w:rPr>
          <w:sz w:val="21"/>
        </w:rPr>
        <w:t> </w:t>
      </w:r>
    </w:p>
    <w:p>
      <w:pPr>
        <w:pStyle w:val="BodyText"/>
        <w:spacing w:before="12"/>
        <w:rPr>
          <w:sz w:val="17"/>
        </w:rPr>
      </w:pPr>
    </w:p>
    <w:p>
      <w:pPr>
        <w:pStyle w:val="ListParagraph"/>
        <w:numPr>
          <w:ilvl w:val="0"/>
          <w:numId w:val="872"/>
        </w:numPr>
        <w:tabs>
          <w:tab w:pos="1051" w:val="left" w:leader="none"/>
        </w:tabs>
        <w:spacing w:line="240" w:lineRule="auto" w:before="0" w:after="0"/>
        <w:ind w:left="1050" w:right="0" w:hanging="213"/>
        <w:jc w:val="left"/>
        <w:rPr>
          <w:sz w:val="21"/>
        </w:rPr>
      </w:pPr>
      <w:r>
        <w:rPr>
          <w:spacing w:val="-3"/>
          <w:sz w:val="21"/>
        </w:rPr>
        <w:t>表中风量的选取应按建筑高度或层数、风道材料、防火门漏风量等因素综合确定。 </w:t>
      </w:r>
    </w:p>
    <w:p>
      <w:pPr>
        <w:pStyle w:val="BodyText"/>
        <w:spacing w:before="12"/>
        <w:rPr>
          <w:sz w:val="17"/>
        </w:rPr>
      </w:pPr>
    </w:p>
    <w:p>
      <w:pPr>
        <w:pStyle w:val="ListParagraph"/>
        <w:numPr>
          <w:ilvl w:val="2"/>
          <w:numId w:val="871"/>
        </w:numPr>
        <w:tabs>
          <w:tab w:pos="1424" w:val="left" w:leader="none"/>
        </w:tabs>
        <w:spacing w:line="441" w:lineRule="auto" w:before="0" w:after="0"/>
        <w:ind w:left="418" w:right="1445" w:firstLine="422"/>
        <w:jc w:val="left"/>
        <w:rPr>
          <w:sz w:val="21"/>
        </w:rPr>
      </w:pPr>
      <w:r>
        <w:rPr>
          <w:spacing w:val="-3"/>
          <w:sz w:val="21"/>
        </w:rPr>
        <w:t>封闭避难层</w:t>
      </w:r>
      <w:r>
        <w:rPr>
          <w:sz w:val="21"/>
        </w:rPr>
        <w:t>（</w:t>
      </w:r>
      <w:r>
        <w:rPr>
          <w:spacing w:val="-3"/>
          <w:sz w:val="21"/>
        </w:rPr>
        <w:t>间）、避难走道的机械加压送风量应按避难层</w:t>
      </w:r>
      <w:r>
        <w:rPr>
          <w:sz w:val="21"/>
        </w:rPr>
        <w:t>（</w:t>
      </w:r>
      <w:r>
        <w:rPr>
          <w:spacing w:val="-3"/>
          <w:sz w:val="21"/>
        </w:rPr>
        <w:t>间</w:t>
      </w:r>
      <w:r>
        <w:rPr>
          <w:sz w:val="21"/>
        </w:rPr>
        <w:t>）</w:t>
      </w:r>
      <w:r>
        <w:rPr>
          <w:spacing w:val="-3"/>
          <w:sz w:val="21"/>
        </w:rPr>
        <w:t>、避难走道的净面</w:t>
      </w:r>
      <w:r>
        <w:rPr>
          <w:spacing w:val="-8"/>
          <w:sz w:val="21"/>
        </w:rPr>
        <w:t>积每平方米不少于 </w:t>
      </w:r>
      <w:r>
        <w:rPr>
          <w:sz w:val="21"/>
        </w:rPr>
        <w:t>30m</w:t>
      </w:r>
      <w:r>
        <w:rPr>
          <w:position w:val="11"/>
          <w:sz w:val="11"/>
        </w:rPr>
        <w:t>3</w:t>
      </w:r>
      <w:r>
        <w:rPr>
          <w:sz w:val="21"/>
        </w:rPr>
        <w:t>/h</w:t>
      </w:r>
      <w:r>
        <w:rPr>
          <w:spacing w:val="-8"/>
          <w:sz w:val="21"/>
        </w:rPr>
        <w:t> 计算。避难走道前室的送风量应按直接开向前室的疏散门的总断面积</w:t>
      </w:r>
      <w:r>
        <w:rPr>
          <w:spacing w:val="-24"/>
          <w:sz w:val="21"/>
        </w:rPr>
        <w:t>乘以 </w:t>
      </w:r>
      <w:r>
        <w:rPr>
          <w:sz w:val="21"/>
        </w:rPr>
        <w:t>1.0m/s</w:t>
      </w:r>
      <w:r>
        <w:rPr>
          <w:spacing w:val="-8"/>
          <w:sz w:val="21"/>
        </w:rPr>
        <w:t> 门洞断面风速计算。</w:t>
      </w:r>
      <w:r>
        <w:rPr>
          <w:sz w:val="21"/>
        </w:rPr>
        <w:t> </w:t>
      </w:r>
    </w:p>
    <w:p>
      <w:pPr>
        <w:pStyle w:val="ListParagraph"/>
        <w:numPr>
          <w:ilvl w:val="2"/>
          <w:numId w:val="871"/>
        </w:numPr>
        <w:tabs>
          <w:tab w:pos="1424" w:val="left" w:leader="none"/>
        </w:tabs>
        <w:spacing w:line="448" w:lineRule="auto" w:before="5" w:after="0"/>
        <w:ind w:left="418" w:right="1445" w:firstLine="422"/>
        <w:jc w:val="left"/>
        <w:rPr>
          <w:sz w:val="21"/>
        </w:rPr>
      </w:pPr>
      <w:r>
        <w:rPr>
          <w:spacing w:val="-3"/>
          <w:sz w:val="21"/>
        </w:rPr>
        <w:t>机械加压送风量应满足走廊至前室至楼梯间的压力呈递增分布，余压值应符合下列规定：</w:t>
      </w:r>
      <w:r>
        <w:rPr>
          <w:sz w:val="21"/>
        </w:rPr>
        <w:t> </w:t>
      </w:r>
    </w:p>
    <w:p>
      <w:pPr>
        <w:pStyle w:val="BodyText"/>
        <w:spacing w:line="315" w:lineRule="exact"/>
        <w:ind w:left="838"/>
      </w:pPr>
      <w:r>
        <w:rPr/>
        <w:t>前室、封闭避难层（间）与走道之间的压差应为 25</w:t>
      </w:r>
      <w:r>
        <w:rPr>
          <w:rFonts w:ascii="微软雅黑" w:eastAsia="微软雅黑" w:hint="eastAsia"/>
        </w:rPr>
        <w:t>〜</w:t>
      </w:r>
      <w:r>
        <w:rPr/>
        <w:t>30Pa； </w:t>
      </w:r>
    </w:p>
    <w:p>
      <w:pPr>
        <w:pStyle w:val="BodyText"/>
        <w:spacing w:before="112"/>
        <w:ind w:left="838"/>
      </w:pPr>
      <w:r>
        <w:rPr/>
        <w:t>楼梯间与走道之间的压差应为 40</w:t>
      </w:r>
      <w:r>
        <w:rPr>
          <w:rFonts w:ascii="微软雅黑" w:eastAsia="微软雅黑" w:hint="eastAsia"/>
        </w:rPr>
        <w:t>〜</w:t>
      </w:r>
      <w:r>
        <w:rPr/>
        <w:t>50Pa； </w:t>
      </w:r>
    </w:p>
    <w:p>
      <w:pPr>
        <w:pStyle w:val="BodyText"/>
        <w:spacing w:before="182"/>
        <w:ind w:left="838"/>
      </w:pPr>
      <w:r>
        <w:rPr/>
        <w:t>当系统余压值超过最大允许压力差时应采取泄压措施。最大允许压力差应由本标准第 3.4.9</w:t>
      </w:r>
    </w:p>
    <w:p>
      <w:pPr>
        <w:pStyle w:val="BodyText"/>
        <w:spacing w:before="12"/>
        <w:rPr>
          <w:sz w:val="17"/>
        </w:rPr>
      </w:pPr>
    </w:p>
    <w:p>
      <w:pPr>
        <w:pStyle w:val="BodyText"/>
        <w:ind w:left="418"/>
      </w:pPr>
      <w:r>
        <w:rPr/>
        <w:t>条计算确定。 </w:t>
      </w:r>
    </w:p>
    <w:p>
      <w:pPr>
        <w:pStyle w:val="BodyText"/>
        <w:rPr>
          <w:sz w:val="18"/>
        </w:rPr>
      </w:pPr>
    </w:p>
    <w:p>
      <w:pPr>
        <w:pStyle w:val="ListParagraph"/>
        <w:numPr>
          <w:ilvl w:val="2"/>
          <w:numId w:val="871"/>
        </w:numPr>
        <w:tabs>
          <w:tab w:pos="1424" w:val="left" w:leader="none"/>
        </w:tabs>
        <w:spacing w:line="240" w:lineRule="auto" w:before="0" w:after="0"/>
        <w:ind w:left="1423" w:right="0" w:hanging="584"/>
        <w:jc w:val="left"/>
        <w:rPr>
          <w:sz w:val="21"/>
        </w:rPr>
      </w:pPr>
      <w:r>
        <w:rPr>
          <w:spacing w:val="-3"/>
          <w:sz w:val="21"/>
        </w:rPr>
        <w:t>楼梯间或前室的机械加压送风量应按下列公式计算：</w:t>
      </w:r>
      <w:r>
        <w:rPr>
          <w:sz w:val="21"/>
        </w:rPr>
        <w:t> </w:t>
      </w:r>
    </w:p>
    <w:p>
      <w:pPr>
        <w:pStyle w:val="BodyText"/>
        <w:spacing w:before="2"/>
        <w:rPr>
          <w:sz w:val="18"/>
        </w:rPr>
      </w:pPr>
    </w:p>
    <w:p>
      <w:pPr>
        <w:pStyle w:val="BodyText"/>
        <w:spacing w:line="446" w:lineRule="auto"/>
        <w:ind w:left="2816" w:right="3294" w:hanging="106"/>
      </w:pPr>
      <w:r>
        <w:rPr/>
        <w:t>Lj  = L1  + L2                  （3.4.5-1） Ls = L1 + L3</w:t>
      </w:r>
      <w:r>
        <w:rPr>
          <w:spacing w:val="96"/>
        </w:rPr>
        <w:t> </w:t>
      </w:r>
      <w:r>
        <w:rPr/>
        <w:t>（3.4.5-2） </w:t>
      </w:r>
    </w:p>
    <w:p>
      <w:pPr>
        <w:pStyle w:val="BodyText"/>
        <w:spacing w:line="446" w:lineRule="auto"/>
        <w:ind w:left="838" w:right="5709"/>
      </w:pPr>
      <w:r>
        <w:rPr/>
        <w:t>式中：Lj——楼梯间的机械加压送风量； Ls——前室的机械加压送风量； </w:t>
      </w:r>
    </w:p>
    <w:p>
      <w:pPr>
        <w:pStyle w:val="BodyText"/>
        <w:spacing w:line="436" w:lineRule="auto"/>
        <w:ind w:left="838" w:right="3867"/>
      </w:pPr>
      <w:r>
        <w:rPr/>
        <w:t>L1——门开启时，达到规定风速值所需的送风量 （m</w:t>
      </w:r>
      <w:r>
        <w:rPr>
          <w:position w:val="11"/>
          <w:sz w:val="11"/>
        </w:rPr>
        <w:t>3</w:t>
      </w:r>
      <w:r>
        <w:rPr/>
        <w:t>/s）； L2——门开启时，规定风速值下，其他门缝漏风总量（m</w:t>
      </w:r>
      <w:r>
        <w:rPr>
          <w:position w:val="11"/>
          <w:sz w:val="11"/>
        </w:rPr>
        <w:t>3</w:t>
      </w:r>
      <w:r>
        <w:rPr/>
        <w:t>/s）； L3——未开启的常闭送风阀的漏风总量（m</w:t>
      </w:r>
      <w:r>
        <w:rPr>
          <w:position w:val="11"/>
          <w:sz w:val="11"/>
        </w:rPr>
        <w:t>3</w:t>
      </w:r>
      <w:r>
        <w:rPr/>
        <w:t>/s）。 </w:t>
      </w:r>
    </w:p>
    <w:p>
      <w:pPr>
        <w:pStyle w:val="ListParagraph"/>
        <w:numPr>
          <w:ilvl w:val="2"/>
          <w:numId w:val="871"/>
        </w:numPr>
        <w:tabs>
          <w:tab w:pos="1424" w:val="left" w:leader="none"/>
        </w:tabs>
        <w:spacing w:line="240" w:lineRule="auto" w:before="0" w:after="0"/>
        <w:ind w:left="1423" w:right="0" w:hanging="584"/>
        <w:jc w:val="left"/>
        <w:rPr>
          <w:sz w:val="21"/>
        </w:rPr>
      </w:pPr>
      <w:r>
        <w:rPr>
          <w:spacing w:val="-3"/>
          <w:sz w:val="21"/>
        </w:rPr>
        <w:t>门开启时，达到规定风速值所需的送风量应按下式计算：</w:t>
      </w:r>
      <w:r>
        <w:rPr>
          <w:sz w:val="21"/>
        </w:rPr>
        <w:t> </w:t>
      </w:r>
    </w:p>
    <w:p>
      <w:pPr>
        <w:pStyle w:val="BodyText"/>
        <w:spacing w:before="11"/>
        <w:rPr>
          <w:sz w:val="17"/>
        </w:rPr>
      </w:pPr>
    </w:p>
    <w:p>
      <w:pPr>
        <w:pStyle w:val="BodyText"/>
        <w:ind w:left="2765"/>
        <w:rPr>
          <w:b/>
        </w:rPr>
      </w:pPr>
      <w:r>
        <w:rPr/>
        <w:t>L1= AkvN1</w:t>
      </w:r>
      <w:r>
        <w:rPr>
          <w:spacing w:val="99"/>
        </w:rPr>
        <w:t> </w:t>
      </w:r>
      <w:r>
        <w:rPr/>
        <w:t>（3.4.6）</w:t>
      </w:r>
      <w:r>
        <w:rPr>
          <w:b/>
          <w:w w:val="99"/>
        </w:rPr>
        <w:t> </w:t>
      </w:r>
    </w:p>
    <w:p>
      <w:pPr>
        <w:spacing w:after="0"/>
        <w:sectPr>
          <w:footerReference w:type="default" r:id="rId505"/>
          <w:pgSz w:w="11910" w:h="16850"/>
          <w:pgMar w:footer="1239" w:header="0" w:top="1080" w:bottom="1420" w:left="1260" w:right="0"/>
          <w:pgNumType w:start="1530"/>
        </w:sectPr>
      </w:pPr>
    </w:p>
    <w:p>
      <w:pPr>
        <w:pStyle w:val="BodyText"/>
        <w:spacing w:line="446" w:lineRule="auto" w:before="57"/>
        <w:ind w:left="418" w:right="1659" w:firstLine="419"/>
      </w:pPr>
      <w:r>
        <w:rPr/>
        <w:t>式中：Ak——一层内开启门的截面面积（m</w:t>
      </w:r>
      <w:r>
        <w:rPr>
          <w:position w:val="11"/>
          <w:sz w:val="11"/>
        </w:rPr>
        <w:t>2</w:t>
      </w:r>
      <w:r>
        <w:rPr/>
        <w:t>），对于住宅楼梯前室，可按一个门的面积取值； </w:t>
      </w:r>
    </w:p>
    <w:p>
      <w:pPr>
        <w:pStyle w:val="BodyText"/>
        <w:spacing w:line="446" w:lineRule="auto"/>
        <w:ind w:left="418" w:right="1452" w:firstLine="419"/>
      </w:pPr>
      <w:r>
        <w:rPr/>
        <w:t>v—</w:t>
      </w:r>
      <w:r>
        <w:rPr>
          <w:spacing w:val="-3"/>
        </w:rPr>
        <w:t>—门洞断面风速</w:t>
      </w:r>
      <w:r>
        <w:rPr/>
        <w:t>（m/s）；</w:t>
      </w:r>
      <w:r>
        <w:rPr>
          <w:spacing w:val="-3"/>
        </w:rPr>
        <w:t>当楼梯间和独立前室、共用前室、合用前室均机械加压送风 </w:t>
      </w:r>
      <w:r>
        <w:rPr>
          <w:spacing w:val="-4"/>
        </w:rPr>
        <w:t>时，通向楼梯间和独立前室、共用前室、合用前室疏散门的门洞断面风速均不应小于 </w:t>
      </w:r>
      <w:r>
        <w:rPr/>
        <w:t>0.7m/s； </w:t>
      </w:r>
    </w:p>
    <w:p>
      <w:pPr>
        <w:pStyle w:val="BodyText"/>
        <w:spacing w:line="446" w:lineRule="auto"/>
        <w:ind w:left="418" w:right="1450" w:firstLine="419"/>
      </w:pPr>
      <w:r>
        <w:rPr>
          <w:spacing w:val="-3"/>
        </w:rPr>
        <w:t>当楼梯间机械加压送风、只有一个开启门的独立前室不送风时，通向楼梯间疏散门的门洞 </w:t>
      </w:r>
      <w:r>
        <w:rPr>
          <w:spacing w:val="-8"/>
        </w:rPr>
        <w:t>断面风速不应小于 </w:t>
      </w:r>
      <w:r>
        <w:rPr/>
        <w:t>1.0m/s</w:t>
      </w:r>
      <w:r>
        <w:rPr>
          <w:spacing w:val="-3"/>
        </w:rPr>
        <w:t>；当消防电梯前室机械加压送风时，通向消防电梯前室门的门洞断面</w:t>
      </w:r>
      <w:r>
        <w:rPr>
          <w:spacing w:val="-9"/>
        </w:rPr>
        <w:t>风速不应小于 </w:t>
      </w:r>
      <w:r>
        <w:rPr/>
        <w:t>1.0m/s</w:t>
      </w:r>
      <w:r>
        <w:rPr>
          <w:spacing w:val="-3"/>
        </w:rPr>
        <w:t> ；当独立前室、共用前室或合用前室机械加压送风而楼梯间采用可开启外</w:t>
      </w:r>
      <w:r>
        <w:rPr>
          <w:spacing w:val="-5"/>
        </w:rPr>
        <w:t>窗的自然通风系统时，通向独立前室、共用前室或合用前室疏散门的门洞风速不应小于 </w:t>
      </w:r>
      <w:r>
        <w:rPr/>
        <w:t>0.6 </w:t>
      </w:r>
    </w:p>
    <w:p>
      <w:pPr>
        <w:pStyle w:val="BodyText"/>
        <w:spacing w:line="267" w:lineRule="exact"/>
        <w:ind w:left="418"/>
      </w:pPr>
      <w:r>
        <w:rPr/>
        <w:t>（ Al/ Ag+1）（m/s）；Al 为楼梯间疏散门的总面积（m</w:t>
      </w:r>
      <w:r>
        <w:rPr>
          <w:position w:val="11"/>
          <w:sz w:val="11"/>
        </w:rPr>
        <w:t>2</w:t>
      </w:r>
      <w:r>
        <w:rPr/>
        <w:t>）；Ag 为前室疏散门的总面积</w:t>
      </w:r>
    </w:p>
    <w:p>
      <w:pPr>
        <w:pStyle w:val="BodyText"/>
        <w:spacing w:before="3"/>
        <w:rPr>
          <w:sz w:val="17"/>
        </w:rPr>
      </w:pPr>
    </w:p>
    <w:p>
      <w:pPr>
        <w:pStyle w:val="BodyText"/>
        <w:ind w:left="418"/>
      </w:pPr>
      <w:r>
        <w:rPr/>
        <w:t>（m</w:t>
      </w:r>
      <w:r>
        <w:rPr>
          <w:position w:val="11"/>
          <w:sz w:val="11"/>
        </w:rPr>
        <w:t>2</w:t>
      </w:r>
      <w:r>
        <w:rPr/>
        <w:t>）。 </w:t>
      </w:r>
    </w:p>
    <w:p>
      <w:pPr>
        <w:pStyle w:val="BodyText"/>
        <w:spacing w:before="12"/>
        <w:rPr>
          <w:sz w:val="17"/>
        </w:rPr>
      </w:pPr>
    </w:p>
    <w:p>
      <w:pPr>
        <w:pStyle w:val="BodyText"/>
        <w:spacing w:line="446" w:lineRule="auto"/>
        <w:ind w:left="418" w:right="1508" w:firstLine="419"/>
      </w:pPr>
      <w:r>
        <w:rPr/>
        <w:t>N1—</w:t>
      </w:r>
      <w:r>
        <w:rPr>
          <w:spacing w:val="-3"/>
        </w:rPr>
        <w:t>—设计疏散门开启的楼层数量；楼梯间：采用常开风口，当地上楼梯间为 </w:t>
      </w:r>
      <w:r>
        <w:rPr/>
        <w:t>24m</w:t>
      </w:r>
      <w:r>
        <w:rPr>
          <w:spacing w:val="8"/>
        </w:rPr>
        <w:t> 以下</w:t>
      </w:r>
      <w:r>
        <w:rPr>
          <w:spacing w:val="-8"/>
        </w:rPr>
        <w:t>时，设计 </w:t>
      </w:r>
      <w:r>
        <w:rPr/>
        <w:t>2</w:t>
      </w:r>
      <w:r>
        <w:rPr>
          <w:spacing w:val="-12"/>
        </w:rPr>
        <w:t> 层内的疏散门开启，取 </w:t>
      </w:r>
      <w:r>
        <w:rPr/>
        <w:t>N1=2</w:t>
      </w:r>
      <w:r>
        <w:rPr>
          <w:spacing w:val="-8"/>
        </w:rPr>
        <w:t>；当地上楼梯间为 </w:t>
      </w:r>
      <w:r>
        <w:rPr/>
        <w:t>24m</w:t>
      </w:r>
      <w:r>
        <w:rPr>
          <w:spacing w:val="-13"/>
        </w:rPr>
        <w:t> 及以上时，设计 </w:t>
      </w:r>
      <w:r>
        <w:rPr/>
        <w:t>3</w:t>
      </w:r>
      <w:r>
        <w:rPr>
          <w:spacing w:val="-10"/>
        </w:rPr>
        <w:t> 层内的疏散门</w:t>
      </w:r>
      <w:r>
        <w:rPr>
          <w:spacing w:val="-15"/>
        </w:rPr>
        <w:t>开启，取 </w:t>
      </w:r>
      <w:r>
        <w:rPr/>
        <w:t>N1</w:t>
      </w:r>
      <w:r>
        <w:rPr>
          <w:spacing w:val="8"/>
        </w:rPr>
        <w:t> =</w:t>
      </w:r>
      <w:r>
        <w:rPr/>
        <w:t>3</w:t>
      </w:r>
      <w:r>
        <w:rPr>
          <w:spacing w:val="-7"/>
        </w:rPr>
        <w:t>；当为地下楼梯间时，设计 </w:t>
      </w:r>
      <w:r>
        <w:rPr/>
        <w:t>1</w:t>
      </w:r>
      <w:r>
        <w:rPr>
          <w:spacing w:val="-13"/>
        </w:rPr>
        <w:t> 层内的疏散门开启，取 </w:t>
      </w:r>
      <w:r>
        <w:rPr/>
        <w:t>N1=1</w:t>
      </w:r>
      <w:r>
        <w:rPr>
          <w:spacing w:val="-3"/>
        </w:rPr>
        <w:t>。前室：采用常闭风</w:t>
      </w:r>
      <w:r>
        <w:rPr>
          <w:spacing w:val="3"/>
        </w:rPr>
        <w:t>口，计算风量时取</w:t>
      </w:r>
      <w:r>
        <w:rPr/>
        <w:t>N1=3</w:t>
      </w:r>
      <w:r>
        <w:rPr>
          <w:spacing w:val="-3"/>
        </w:rPr>
        <w:t>。</w:t>
      </w:r>
      <w:r>
        <w:rPr/>
        <w:t> </w:t>
      </w:r>
    </w:p>
    <w:p>
      <w:pPr>
        <w:pStyle w:val="ListParagraph"/>
        <w:numPr>
          <w:ilvl w:val="2"/>
          <w:numId w:val="871"/>
        </w:numPr>
        <w:tabs>
          <w:tab w:pos="1371" w:val="left" w:leader="none"/>
        </w:tabs>
        <w:spacing w:line="267" w:lineRule="exact" w:before="0" w:after="0"/>
        <w:ind w:left="1370" w:right="0" w:hanging="531"/>
        <w:jc w:val="left"/>
        <w:rPr>
          <w:sz w:val="21"/>
        </w:rPr>
      </w:pPr>
      <w:r>
        <w:rPr>
          <w:spacing w:val="-3"/>
          <w:sz w:val="21"/>
        </w:rPr>
        <w:t>门开启时，规定风速值下的其他门漏风总量应按下式计算：</w:t>
      </w:r>
      <w:r>
        <w:rPr>
          <w:sz w:val="21"/>
        </w:rPr>
        <w:t> </w:t>
      </w:r>
    </w:p>
    <w:p>
      <w:pPr>
        <w:pStyle w:val="BodyText"/>
        <w:spacing w:before="2"/>
        <w:rPr>
          <w:sz w:val="27"/>
        </w:rPr>
      </w:pPr>
      <w:r>
        <w:rPr/>
        <w:drawing>
          <wp:anchor distT="0" distB="0" distL="0" distR="0" allowOverlap="1" layoutInCell="1" locked="0" behindDoc="0" simplePos="0" relativeHeight="300">
            <wp:simplePos x="0" y="0"/>
            <wp:positionH relativeFrom="page">
              <wp:posOffset>1325244</wp:posOffset>
            </wp:positionH>
            <wp:positionV relativeFrom="paragraph">
              <wp:posOffset>245848</wp:posOffset>
            </wp:positionV>
            <wp:extent cx="4397529" cy="452627"/>
            <wp:effectExtent l="0" t="0" r="0" b="0"/>
            <wp:wrapTopAndBottom/>
            <wp:docPr id="671" name="image396.jpeg"/>
            <wp:cNvGraphicFramePr>
              <a:graphicFrameLocks noChangeAspect="1"/>
            </wp:cNvGraphicFramePr>
            <a:graphic>
              <a:graphicData uri="http://schemas.openxmlformats.org/drawingml/2006/picture">
                <pic:pic>
                  <pic:nvPicPr>
                    <pic:cNvPr id="672" name="image396.jpeg"/>
                    <pic:cNvPicPr/>
                  </pic:nvPicPr>
                  <pic:blipFill>
                    <a:blip r:embed="rId507" cstate="print"/>
                    <a:stretch>
                      <a:fillRect/>
                    </a:stretch>
                  </pic:blipFill>
                  <pic:spPr>
                    <a:xfrm>
                      <a:off x="0" y="0"/>
                      <a:ext cx="4397529" cy="452627"/>
                    </a:xfrm>
                    <a:prstGeom prst="rect">
                      <a:avLst/>
                    </a:prstGeom>
                  </pic:spPr>
                </pic:pic>
              </a:graphicData>
            </a:graphic>
          </wp:anchor>
        </w:drawing>
      </w:r>
    </w:p>
    <w:p>
      <w:pPr>
        <w:pStyle w:val="BodyText"/>
        <w:rPr>
          <w:sz w:val="20"/>
        </w:rPr>
      </w:pPr>
    </w:p>
    <w:p>
      <w:pPr>
        <w:pStyle w:val="BodyText"/>
        <w:rPr>
          <w:sz w:val="20"/>
        </w:rPr>
      </w:pPr>
    </w:p>
    <w:p>
      <w:pPr>
        <w:pStyle w:val="BodyText"/>
        <w:spacing w:before="180"/>
        <w:ind w:left="838"/>
      </w:pPr>
      <w:r>
        <w:rPr/>
        <w:t>式中：</w:t>
      </w:r>
      <w:r>
        <w:rPr>
          <w:i/>
          <w:sz w:val="22"/>
        </w:rPr>
        <w:t>A</w:t>
      </w:r>
      <w:r>
        <w:rPr/>
        <w:t>——每个疏散门的有效漏风面积（m</w:t>
      </w:r>
      <w:r>
        <w:rPr>
          <w:position w:val="11"/>
          <w:sz w:val="11"/>
        </w:rPr>
        <w:t>2</w:t>
      </w:r>
      <w:r>
        <w:rPr/>
        <w:t>）；疏散门的门缝宽度取 0.002</w:t>
      </w:r>
      <w:r>
        <w:rPr>
          <w:rFonts w:ascii="微软雅黑" w:hAnsi="微软雅黑" w:eastAsia="微软雅黑" w:hint="eastAsia"/>
        </w:rPr>
        <w:t>〜</w:t>
      </w:r>
      <w:r>
        <w:rPr/>
        <w:t>0.004m。 </w:t>
      </w:r>
    </w:p>
    <w:p>
      <w:pPr>
        <w:pStyle w:val="BodyText"/>
        <w:spacing w:before="172"/>
        <w:ind w:left="838"/>
      </w:pPr>
      <w:r>
        <w:rPr/>
        <w:t>Δ</w:t>
      </w:r>
      <w:r>
        <w:rPr>
          <w:i/>
          <w:sz w:val="22"/>
        </w:rPr>
        <w:t>P</w:t>
      </w:r>
      <w:r>
        <w:rPr/>
        <w:t>——计算漏风量的平均压力差（Pa）；当开启门洞处风速为 0.7m/s 时，取△P </w:t>
      </w:r>
    </w:p>
    <w:p>
      <w:pPr>
        <w:pStyle w:val="BodyText"/>
        <w:spacing w:before="10"/>
        <w:rPr>
          <w:sz w:val="17"/>
        </w:rPr>
      </w:pPr>
    </w:p>
    <w:p>
      <w:pPr>
        <w:pStyle w:val="BodyText"/>
        <w:ind w:left="418"/>
      </w:pPr>
      <w:r>
        <w:rPr/>
        <w:t>=6.0Pa； </w:t>
      </w:r>
    </w:p>
    <w:p>
      <w:pPr>
        <w:pStyle w:val="BodyText"/>
        <w:spacing w:before="12"/>
        <w:rPr>
          <w:sz w:val="17"/>
        </w:rPr>
      </w:pPr>
    </w:p>
    <w:p>
      <w:pPr>
        <w:pStyle w:val="BodyText"/>
        <w:ind w:left="838"/>
      </w:pPr>
      <w:r>
        <w:rPr/>
        <w:t>当开启门洞处风速为 1.0m/s 时，取△P =12.0Pa；当开启门洞处风速为 1.2m/s 时，取Δ</w:t>
      </w:r>
    </w:p>
    <w:p>
      <w:pPr>
        <w:pStyle w:val="BodyText"/>
        <w:spacing w:before="5"/>
        <w:rPr>
          <w:sz w:val="17"/>
        </w:rPr>
      </w:pPr>
    </w:p>
    <w:p>
      <w:pPr>
        <w:pStyle w:val="BodyText"/>
        <w:ind w:left="418"/>
      </w:pPr>
      <w:r>
        <w:rPr>
          <w:i/>
          <w:sz w:val="22"/>
        </w:rPr>
        <w:t>P</w:t>
      </w:r>
      <w:r>
        <w:rPr/>
        <w:t>=17.0Pa。 </w:t>
      </w:r>
    </w:p>
    <w:p>
      <w:pPr>
        <w:pStyle w:val="BodyText"/>
        <w:spacing w:before="12"/>
        <w:rPr>
          <w:sz w:val="16"/>
        </w:rPr>
      </w:pPr>
    </w:p>
    <w:p>
      <w:pPr>
        <w:pStyle w:val="BodyText"/>
        <w:spacing w:line="434" w:lineRule="auto"/>
        <w:ind w:left="838" w:right="6654"/>
        <w:rPr>
          <w:b/>
        </w:rPr>
      </w:pPr>
      <w:r>
        <w:rPr>
          <w:i/>
          <w:sz w:val="22"/>
        </w:rPr>
        <w:t>n—</w:t>
      </w:r>
      <w:r>
        <w:rPr/>
        <w:t>—指数（一般取 </w:t>
      </w:r>
      <w:r>
        <w:rPr>
          <w:i/>
          <w:sz w:val="22"/>
        </w:rPr>
        <w:t>n </w:t>
      </w:r>
      <w:r>
        <w:rPr/>
        <w:t>=2）； 1.25——不严密处附加系数；</w:t>
      </w:r>
      <w:r>
        <w:rPr>
          <w:b/>
          <w:w w:val="99"/>
        </w:rPr>
        <w:t> </w:t>
      </w:r>
    </w:p>
    <w:p>
      <w:pPr>
        <w:pStyle w:val="BodyText"/>
        <w:spacing w:line="434" w:lineRule="auto" w:before="4"/>
        <w:ind w:left="418" w:right="1450" w:firstLine="419"/>
      </w:pPr>
      <w:r>
        <w:rPr>
          <w:i/>
          <w:position w:val="1"/>
          <w:sz w:val="22"/>
        </w:rPr>
        <w:t>N</w:t>
      </w:r>
      <w:r>
        <w:rPr>
          <w:sz w:val="11"/>
        </w:rPr>
        <w:t>2</w:t>
      </w:r>
      <w:r>
        <w:rPr>
          <w:spacing w:val="-5"/>
          <w:position w:val="1"/>
        </w:rPr>
        <w:t>——漏风疏散门的数量，楼梯间采用常开风口，取 </w:t>
      </w:r>
      <w:r>
        <w:rPr>
          <w:position w:val="1"/>
        </w:rPr>
        <w:t>N2</w:t>
      </w:r>
      <w:r>
        <w:rPr>
          <w:spacing w:val="-2"/>
          <w:position w:val="1"/>
        </w:rPr>
        <w:t>=加压楼梯间的总门数- </w:t>
      </w:r>
      <w:r>
        <w:rPr>
          <w:position w:val="1"/>
        </w:rPr>
        <w:t>N1</w:t>
      </w:r>
      <w:r>
        <w:rPr>
          <w:spacing w:val="-11"/>
          <w:position w:val="1"/>
        </w:rPr>
        <w:t> 楼层数上</w:t>
      </w:r>
      <w:r>
        <w:rPr>
          <w:spacing w:val="-7"/>
        </w:rPr>
        <w:t>的总门数。</w:t>
      </w:r>
      <w:r>
        <w:rPr/>
        <w:t> </w:t>
      </w:r>
    </w:p>
    <w:p>
      <w:pPr>
        <w:pStyle w:val="ListParagraph"/>
        <w:numPr>
          <w:ilvl w:val="2"/>
          <w:numId w:val="871"/>
        </w:numPr>
        <w:tabs>
          <w:tab w:pos="1424" w:val="left" w:leader="none"/>
        </w:tabs>
        <w:spacing w:line="240" w:lineRule="auto" w:before="11" w:after="0"/>
        <w:ind w:left="1423" w:right="0" w:hanging="584"/>
        <w:jc w:val="left"/>
        <w:rPr>
          <w:sz w:val="21"/>
        </w:rPr>
      </w:pPr>
      <w:r>
        <w:rPr>
          <w:spacing w:val="-3"/>
          <w:sz w:val="21"/>
        </w:rPr>
        <w:t>未开启的常闭送风阀的漏风总量应按下式计算：</w:t>
      </w:r>
      <w:r>
        <w:rPr>
          <w:sz w:val="21"/>
        </w:rPr>
        <w:t> </w:t>
      </w:r>
    </w:p>
    <w:p>
      <w:pPr>
        <w:spacing w:after="0" w:line="240" w:lineRule="auto"/>
        <w:jc w:val="left"/>
        <w:rPr>
          <w:sz w:val="21"/>
        </w:rPr>
        <w:sectPr>
          <w:pgSz w:w="11910" w:h="16850"/>
          <w:pgMar w:header="0" w:footer="1239" w:top="1200" w:bottom="1420" w:left="1260" w:right="0"/>
        </w:sectPr>
      </w:pPr>
    </w:p>
    <w:p>
      <w:pPr>
        <w:pStyle w:val="BodyText"/>
        <w:spacing w:before="47"/>
        <w:ind w:left="2186"/>
      </w:pPr>
      <w:r>
        <w:rPr/>
        <w:t>L3 =0.083×Af N3</w:t>
      </w:r>
      <w:r>
        <w:rPr>
          <w:spacing w:val="98"/>
        </w:rPr>
        <w:t> </w:t>
      </w:r>
      <w:r>
        <w:rPr/>
        <w:t>（3.4.8） </w:t>
      </w:r>
    </w:p>
    <w:p>
      <w:pPr>
        <w:pStyle w:val="BodyText"/>
        <w:spacing w:before="3"/>
        <w:rPr>
          <w:sz w:val="17"/>
        </w:rPr>
      </w:pPr>
    </w:p>
    <w:p>
      <w:pPr>
        <w:pStyle w:val="BodyText"/>
        <w:spacing w:line="436" w:lineRule="auto"/>
        <w:ind w:left="838" w:right="4237"/>
      </w:pPr>
      <w:r>
        <w:rPr/>
        <w:t>式中：0.083——阀门单位面积的漏风量 [m</w:t>
      </w:r>
      <w:r>
        <w:rPr>
          <w:position w:val="11"/>
          <w:sz w:val="11"/>
        </w:rPr>
        <w:t>3</w:t>
      </w:r>
      <w:r>
        <w:rPr/>
        <w:t>/(s·m</w:t>
      </w:r>
      <w:r>
        <w:rPr>
          <w:position w:val="11"/>
          <w:sz w:val="11"/>
        </w:rPr>
        <w:t>2</w:t>
      </w:r>
      <w:r>
        <w:rPr/>
        <w:t>）]； Af——单个送风阀门的面积（m</w:t>
      </w:r>
      <w:r>
        <w:rPr>
          <w:position w:val="11"/>
          <w:sz w:val="11"/>
        </w:rPr>
        <w:t>2</w:t>
      </w:r>
      <w:r>
        <w:rPr/>
        <w:t>）； </w:t>
      </w:r>
    </w:p>
    <w:p>
      <w:pPr>
        <w:pStyle w:val="BodyText"/>
        <w:spacing w:line="446" w:lineRule="auto" w:before="11"/>
        <w:ind w:left="840" w:right="3975" w:hanging="3"/>
      </w:pPr>
      <w:r>
        <w:rPr/>
        <w:t>N3——漏风阀门的数量：前室采用常闭风口取 N3=楼层数—3。</w:t>
      </w:r>
      <w:r>
        <w:rPr>
          <w:b/>
        </w:rPr>
        <w:t>3.4.9 </w:t>
      </w:r>
      <w:r>
        <w:rPr/>
        <w:t>疏散门的最大允许压力差应按下列公式计算： </w:t>
      </w:r>
    </w:p>
    <w:p>
      <w:pPr>
        <w:pStyle w:val="BodyText"/>
        <w:spacing w:line="446" w:lineRule="auto"/>
        <w:ind w:left="838" w:right="1368" w:firstLine="36"/>
      </w:pPr>
      <w:r>
        <w:rPr/>
        <w:t>P =2（F′-Fdc）（Wm－ dm）/（ Wm×Am）                            （3.4.9-1） Fdc</w:t>
      </w:r>
      <w:r>
        <w:rPr>
          <w:spacing w:val="-2"/>
        </w:rPr>
        <w:t>  = </w:t>
      </w:r>
      <w:r>
        <w:rPr/>
        <w:t>M /（Wm－dm）                                               （3.4.9-2） 式中：P</w:t>
      </w:r>
      <w:r>
        <w:rPr>
          <w:spacing w:val="-3"/>
        </w:rPr>
        <w:t>——疏散门的最大允许压力差</w:t>
      </w:r>
      <w:r>
        <w:rPr/>
        <w:t>（Pa）； </w:t>
      </w:r>
    </w:p>
    <w:p>
      <w:pPr>
        <w:pStyle w:val="BodyText"/>
        <w:spacing w:line="446" w:lineRule="auto"/>
        <w:ind w:left="838" w:right="5394"/>
      </w:pPr>
      <w:r>
        <w:rPr/>
        <w:t>F′——门的总推力（N），一般取 110N； Fdc——门把手处克服闭门器所需的力 （N）； Wm——单扇门的宽度（m）； </w:t>
      </w:r>
    </w:p>
    <w:p>
      <w:pPr>
        <w:pStyle w:val="BodyText"/>
        <w:spacing w:line="268" w:lineRule="exact"/>
        <w:ind w:left="838"/>
      </w:pPr>
      <w:r>
        <w:rPr/>
        <w:t>Am——门的面积（m2）； </w:t>
      </w:r>
    </w:p>
    <w:p>
      <w:pPr>
        <w:pStyle w:val="BodyText"/>
        <w:spacing w:before="12"/>
        <w:rPr>
          <w:sz w:val="17"/>
        </w:rPr>
      </w:pPr>
    </w:p>
    <w:p>
      <w:pPr>
        <w:pStyle w:val="BodyText"/>
        <w:spacing w:line="446" w:lineRule="auto"/>
        <w:ind w:left="838" w:right="6234"/>
      </w:pPr>
      <w:r>
        <w:rPr/>
        <w:t>dm——门的把手到门闩的距离（m）； M——闭门器的开启力矩（N•m）。 </w:t>
      </w:r>
    </w:p>
    <w:p>
      <w:pPr>
        <w:pStyle w:val="Heading4"/>
        <w:spacing w:line="275" w:lineRule="exact"/>
      </w:pPr>
      <w:r>
        <w:rPr/>
        <w:t>4 排烟系统设计</w:t>
      </w:r>
      <w:r>
        <w:rPr>
          <w:w w:val="99"/>
        </w:rPr>
        <w:t> </w:t>
      </w:r>
    </w:p>
    <w:p>
      <w:pPr>
        <w:pStyle w:val="BodyText"/>
        <w:spacing w:before="6"/>
        <w:rPr>
          <w:b/>
          <w:sz w:val="17"/>
        </w:rPr>
      </w:pPr>
    </w:p>
    <w:p>
      <w:pPr>
        <w:pStyle w:val="ListParagraph"/>
        <w:numPr>
          <w:ilvl w:val="1"/>
          <w:numId w:val="873"/>
        </w:numPr>
        <w:tabs>
          <w:tab w:pos="1160" w:val="left" w:leader="none"/>
        </w:tabs>
        <w:spacing w:line="240" w:lineRule="auto" w:before="0" w:after="0"/>
        <w:ind w:left="1159" w:right="0" w:hanging="320"/>
        <w:jc w:val="left"/>
        <w:rPr>
          <w:sz w:val="21"/>
        </w:rPr>
      </w:pPr>
      <w:r>
        <w:rPr>
          <w:spacing w:val="-3"/>
          <w:sz w:val="21"/>
        </w:rPr>
        <w:t>一般规定</w:t>
      </w:r>
      <w:r>
        <w:rPr>
          <w:sz w:val="21"/>
        </w:rPr>
        <w:t> </w:t>
      </w:r>
    </w:p>
    <w:p>
      <w:pPr>
        <w:pStyle w:val="BodyText"/>
        <w:spacing w:before="12"/>
        <w:rPr>
          <w:sz w:val="17"/>
        </w:rPr>
      </w:pPr>
    </w:p>
    <w:p>
      <w:pPr>
        <w:pStyle w:val="ListParagraph"/>
        <w:numPr>
          <w:ilvl w:val="2"/>
          <w:numId w:val="873"/>
        </w:numPr>
        <w:tabs>
          <w:tab w:pos="1424" w:val="left" w:leader="none"/>
        </w:tabs>
        <w:spacing w:line="446" w:lineRule="auto" w:before="0" w:after="0"/>
        <w:ind w:left="418" w:right="1445" w:firstLine="422"/>
        <w:jc w:val="left"/>
        <w:rPr>
          <w:sz w:val="21"/>
        </w:rPr>
      </w:pPr>
      <w:r>
        <w:rPr>
          <w:spacing w:val="-3"/>
          <w:sz w:val="21"/>
        </w:rPr>
        <w:t>建筑排烟系统的设计应根据建筑的使用性质、平面布局等因素，优先采用自然排烟系统。</w:t>
      </w:r>
      <w:r>
        <w:rPr>
          <w:sz w:val="21"/>
        </w:rPr>
        <w:t> </w:t>
      </w:r>
    </w:p>
    <w:p>
      <w:pPr>
        <w:pStyle w:val="ListParagraph"/>
        <w:numPr>
          <w:ilvl w:val="2"/>
          <w:numId w:val="873"/>
        </w:numPr>
        <w:tabs>
          <w:tab w:pos="1424" w:val="left" w:leader="none"/>
        </w:tabs>
        <w:spacing w:line="240" w:lineRule="auto" w:before="0" w:after="0"/>
        <w:ind w:left="1423" w:right="0" w:hanging="584"/>
        <w:jc w:val="left"/>
        <w:rPr>
          <w:sz w:val="21"/>
        </w:rPr>
      </w:pPr>
      <w:r>
        <w:rPr>
          <w:spacing w:val="-3"/>
          <w:sz w:val="21"/>
        </w:rPr>
        <w:t>同一个防烟分区应采用同一种排烟方式。</w:t>
      </w:r>
      <w:r>
        <w:rPr>
          <w:sz w:val="21"/>
        </w:rPr>
        <w:t> </w:t>
      </w:r>
    </w:p>
    <w:p>
      <w:pPr>
        <w:pStyle w:val="BodyText"/>
        <w:rPr>
          <w:sz w:val="18"/>
        </w:rPr>
      </w:pPr>
    </w:p>
    <w:p>
      <w:pPr>
        <w:pStyle w:val="ListParagraph"/>
        <w:numPr>
          <w:ilvl w:val="2"/>
          <w:numId w:val="873"/>
        </w:numPr>
        <w:tabs>
          <w:tab w:pos="1424" w:val="left" w:leader="none"/>
        </w:tabs>
        <w:spacing w:line="446" w:lineRule="auto" w:before="0" w:after="0"/>
        <w:ind w:left="838" w:right="1553" w:firstLine="2"/>
        <w:jc w:val="left"/>
        <w:rPr>
          <w:sz w:val="21"/>
        </w:rPr>
      </w:pPr>
      <w:r>
        <w:rPr>
          <w:spacing w:val="-3"/>
          <w:sz w:val="21"/>
        </w:rPr>
        <w:t>建筑的中庭、与中庭相连通的回廊及周围场所的排烟系统的设计应符合下列规定： 中庭应设置排烟设施。</w:t>
      </w:r>
      <w:r>
        <w:rPr>
          <w:sz w:val="21"/>
        </w:rPr>
        <w:t> </w:t>
      </w:r>
    </w:p>
    <w:p>
      <w:pPr>
        <w:pStyle w:val="BodyText"/>
        <w:spacing w:line="446" w:lineRule="auto"/>
        <w:ind w:left="838" w:right="1875"/>
      </w:pPr>
      <w:r>
        <w:rPr>
          <w:spacing w:val="-3"/>
        </w:rPr>
        <w:t>周围场所应按现行国家标准《建筑设计防火规范》</w:t>
      </w:r>
      <w:r>
        <w:rPr/>
        <w:t>GB 50016</w:t>
      </w:r>
      <w:r>
        <w:rPr>
          <w:spacing w:val="-9"/>
        </w:rPr>
        <w:t> 中的规定设置排烟设施。</w:t>
      </w:r>
      <w:r>
        <w:rPr>
          <w:spacing w:val="-3"/>
        </w:rPr>
        <w:t>回廊排烟设施的设置应符合下列规定：</w:t>
      </w:r>
      <w:r>
        <w:rPr/>
        <w:t> </w:t>
      </w:r>
    </w:p>
    <w:p>
      <w:pPr>
        <w:pStyle w:val="ListParagraph"/>
        <w:numPr>
          <w:ilvl w:val="0"/>
          <w:numId w:val="874"/>
        </w:numPr>
        <w:tabs>
          <w:tab w:pos="1156" w:val="left" w:leader="none"/>
        </w:tabs>
        <w:spacing w:line="446" w:lineRule="auto" w:before="0" w:after="0"/>
        <w:ind w:left="418" w:right="1714" w:firstLine="419"/>
        <w:jc w:val="left"/>
        <w:rPr>
          <w:sz w:val="21"/>
        </w:rPr>
      </w:pPr>
      <w:r>
        <w:rPr>
          <w:spacing w:val="-3"/>
          <w:sz w:val="21"/>
        </w:rPr>
        <w:t>当周围场所各房间均设置排烟设施时，回廊可不设，但商店建筑的回廊应设置排烟设施；</w:t>
      </w:r>
      <w:r>
        <w:rPr>
          <w:sz w:val="21"/>
        </w:rPr>
        <w:t> </w:t>
      </w:r>
    </w:p>
    <w:p>
      <w:pPr>
        <w:pStyle w:val="ListParagraph"/>
        <w:numPr>
          <w:ilvl w:val="0"/>
          <w:numId w:val="874"/>
        </w:numPr>
        <w:tabs>
          <w:tab w:pos="1156" w:val="left" w:leader="none"/>
        </w:tabs>
        <w:spacing w:line="240" w:lineRule="auto" w:before="0" w:after="0"/>
        <w:ind w:left="1155" w:right="0" w:hanging="318"/>
        <w:jc w:val="left"/>
        <w:rPr>
          <w:sz w:val="21"/>
        </w:rPr>
      </w:pPr>
      <w:r>
        <w:rPr>
          <w:spacing w:val="-3"/>
          <w:sz w:val="21"/>
        </w:rPr>
        <w:t>当周围场所任一房间未设置排烟设施时，回廊应设置排烟设施。</w:t>
      </w:r>
      <w:r>
        <w:rPr>
          <w:sz w:val="21"/>
        </w:rPr>
        <w:t> </w:t>
      </w:r>
    </w:p>
    <w:p>
      <w:pPr>
        <w:pStyle w:val="BodyText"/>
        <w:spacing w:before="10"/>
        <w:rPr>
          <w:sz w:val="17"/>
        </w:rPr>
      </w:pPr>
    </w:p>
    <w:p>
      <w:pPr>
        <w:pStyle w:val="BodyText"/>
        <w:spacing w:line="446" w:lineRule="auto"/>
        <w:ind w:left="418" w:right="1608"/>
      </w:pPr>
      <w:r>
        <w:rPr/>
        <w:t>当中庭与周围场所未采用防火隔墙、防火玻璃隔墙、防火卷帘时，中庭与周围场所之间应设置挡烟垂壁。 </w:t>
      </w:r>
    </w:p>
    <w:p>
      <w:pPr>
        <w:spacing w:after="0" w:line="446" w:lineRule="auto"/>
        <w:sectPr>
          <w:pgSz w:w="11910" w:h="16850"/>
          <w:pgMar w:header="0" w:footer="1239" w:top="1220" w:bottom="1420" w:left="1260" w:right="0"/>
        </w:sectPr>
      </w:pPr>
    </w:p>
    <w:p>
      <w:pPr>
        <w:pStyle w:val="BodyText"/>
        <w:spacing w:before="47"/>
        <w:ind w:left="838"/>
      </w:pPr>
      <w:r>
        <w:rPr/>
        <w:t>中庭及其周围场所和回廊的排烟设计计算应符合本标准第 4.6.5 条的规定。 </w:t>
      </w:r>
    </w:p>
    <w:p>
      <w:pPr>
        <w:pStyle w:val="BodyText"/>
        <w:rPr>
          <w:sz w:val="18"/>
        </w:rPr>
      </w:pPr>
    </w:p>
    <w:p>
      <w:pPr>
        <w:pStyle w:val="BodyText"/>
        <w:spacing w:line="446" w:lineRule="auto"/>
        <w:ind w:left="418" w:right="1608" w:firstLine="419"/>
      </w:pPr>
      <w:r>
        <w:rPr>
          <w:spacing w:val="-5"/>
        </w:rPr>
        <w:t>中庭及其周围场所和回廊应根据建筑构造及本标准第 </w:t>
      </w:r>
      <w:r>
        <w:rPr/>
        <w:t>4.6</w:t>
      </w:r>
      <w:r>
        <w:rPr>
          <w:spacing w:val="-7"/>
        </w:rPr>
        <w:t> 节规定，选择设置自然排烟系统</w:t>
      </w:r>
      <w:r>
        <w:rPr>
          <w:spacing w:val="-5"/>
        </w:rPr>
        <w:t>或机械排烟系统。</w:t>
      </w:r>
      <w:r>
        <w:rPr/>
        <w:t> </w:t>
      </w:r>
    </w:p>
    <w:p>
      <w:pPr>
        <w:pStyle w:val="ListParagraph"/>
        <w:numPr>
          <w:ilvl w:val="2"/>
          <w:numId w:val="873"/>
        </w:numPr>
        <w:tabs>
          <w:tab w:pos="1424" w:val="left" w:leader="none"/>
        </w:tabs>
        <w:spacing w:line="320" w:lineRule="exact" w:before="0" w:after="0"/>
        <w:ind w:left="1423" w:right="0" w:hanging="584"/>
        <w:jc w:val="left"/>
        <w:rPr>
          <w:sz w:val="21"/>
        </w:rPr>
      </w:pPr>
      <w:r>
        <w:rPr>
          <w:spacing w:val="-5"/>
          <w:sz w:val="21"/>
        </w:rPr>
        <w:t>下列地上建筑或部位，当设置机械排烟系统时，尚应按本标准第 </w:t>
      </w:r>
      <w:r>
        <w:rPr>
          <w:sz w:val="21"/>
        </w:rPr>
        <w:t>4.4.14</w:t>
      </w:r>
      <w:r>
        <w:rPr>
          <w:spacing w:val="-27"/>
          <w:sz w:val="21"/>
        </w:rPr>
        <w:t> 条</w:t>
      </w:r>
      <w:r>
        <w:rPr>
          <w:rFonts w:ascii="微软雅黑" w:eastAsia="微软雅黑" w:hint="eastAsia"/>
          <w:sz w:val="21"/>
        </w:rPr>
        <w:t>〜</w:t>
      </w:r>
      <w:r>
        <w:rPr>
          <w:sz w:val="21"/>
        </w:rPr>
        <w:t>第</w:t>
      </w:r>
    </w:p>
    <w:p>
      <w:pPr>
        <w:pStyle w:val="BodyText"/>
        <w:spacing w:before="179"/>
        <w:ind w:left="418"/>
      </w:pPr>
      <w:r>
        <w:rPr/>
        <w:t>4.4.16 条的要求在外墙或屋顶设置固定窗： </w:t>
      </w:r>
    </w:p>
    <w:p>
      <w:pPr>
        <w:pStyle w:val="BodyText"/>
        <w:spacing w:before="3"/>
        <w:rPr>
          <w:sz w:val="17"/>
        </w:rPr>
      </w:pPr>
    </w:p>
    <w:p>
      <w:pPr>
        <w:pStyle w:val="BodyText"/>
        <w:ind w:left="838"/>
      </w:pPr>
      <w:r>
        <w:rPr/>
        <w:t>任一层建筑面积大于 2500m</w:t>
      </w:r>
      <w:r>
        <w:rPr>
          <w:position w:val="11"/>
          <w:sz w:val="11"/>
        </w:rPr>
        <w:t>2 </w:t>
      </w:r>
      <w:r>
        <w:rPr/>
        <w:t>的丙类厂房（仓库）； </w:t>
      </w:r>
    </w:p>
    <w:p>
      <w:pPr>
        <w:pStyle w:val="BodyText"/>
        <w:spacing w:before="4"/>
        <w:rPr>
          <w:sz w:val="17"/>
        </w:rPr>
      </w:pPr>
    </w:p>
    <w:p>
      <w:pPr>
        <w:pStyle w:val="BodyText"/>
        <w:spacing w:line="436" w:lineRule="auto" w:before="1"/>
        <w:ind w:left="838" w:right="2580"/>
      </w:pPr>
      <w:r>
        <w:rPr/>
        <w:t>任一层建筑面积大于 3000 m</w:t>
      </w:r>
      <w:r>
        <w:rPr>
          <w:position w:val="11"/>
          <w:sz w:val="11"/>
        </w:rPr>
        <w:t>2 </w:t>
      </w:r>
      <w:r>
        <w:rPr/>
        <w:t>的商店建筑、展览建筑及类似功能的公共建筑； 总建筑面积大于 1000 m</w:t>
      </w:r>
      <w:r>
        <w:rPr>
          <w:position w:val="11"/>
          <w:sz w:val="11"/>
        </w:rPr>
        <w:t>2 </w:t>
      </w:r>
      <w:r>
        <w:rPr/>
        <w:t>的歌舞、娱乐、放映、游艺场所； </w:t>
      </w:r>
    </w:p>
    <w:p>
      <w:pPr>
        <w:pStyle w:val="BodyText"/>
        <w:spacing w:line="446" w:lineRule="auto" w:before="9"/>
        <w:ind w:left="838" w:right="3397"/>
      </w:pPr>
      <w:r>
        <w:rPr/>
        <w:t>商店建筑、展览建筑及类似功能的公共建筑中长度大于 60m 的走道； 靠外墙或贯通至建筑屋顶的中庭。 </w:t>
      </w:r>
    </w:p>
    <w:p>
      <w:pPr>
        <w:pStyle w:val="BodyText"/>
        <w:spacing w:line="446" w:lineRule="auto"/>
        <w:ind w:left="418" w:right="1404" w:firstLine="419"/>
        <w:jc w:val="both"/>
      </w:pPr>
      <w:r>
        <w:rPr/>
        <w:t>注：当符合本标准第 4.4.17 条规定的场所时，可采用可熔性采光带（窗）替代作固定窗。</w:t>
      </w:r>
      <w:r>
        <w:rPr>
          <w:b/>
          <w:color w:val="333333"/>
        </w:rPr>
        <w:t>4.2 </w:t>
      </w:r>
      <w:r>
        <w:rPr>
          <w:color w:val="333333"/>
        </w:rPr>
        <w:t>防烟分区 </w:t>
      </w:r>
    </w:p>
    <w:p>
      <w:pPr>
        <w:pStyle w:val="ListParagraph"/>
        <w:numPr>
          <w:ilvl w:val="2"/>
          <w:numId w:val="875"/>
        </w:numPr>
        <w:tabs>
          <w:tab w:pos="1424" w:val="left" w:leader="none"/>
        </w:tabs>
        <w:spacing w:line="446" w:lineRule="auto" w:before="0" w:after="0"/>
        <w:ind w:left="418" w:right="1445" w:firstLine="422"/>
        <w:jc w:val="both"/>
        <w:rPr>
          <w:sz w:val="21"/>
        </w:rPr>
      </w:pPr>
      <w:r>
        <w:rPr>
          <w:spacing w:val="-3"/>
          <w:sz w:val="21"/>
        </w:rPr>
        <w:t>设置排烟系统的场所或部位应采用挡烟垂壁、结构梁及隔墙等划分防烟分区。防烟分区不应跨越防火分区。</w:t>
      </w:r>
      <w:r>
        <w:rPr>
          <w:sz w:val="21"/>
        </w:rPr>
        <w:t> </w:t>
      </w:r>
    </w:p>
    <w:p>
      <w:pPr>
        <w:pStyle w:val="ListParagraph"/>
        <w:numPr>
          <w:ilvl w:val="2"/>
          <w:numId w:val="875"/>
        </w:numPr>
        <w:tabs>
          <w:tab w:pos="1424" w:val="left" w:leader="none"/>
        </w:tabs>
        <w:spacing w:line="446" w:lineRule="auto" w:before="0" w:after="0"/>
        <w:ind w:left="418" w:right="1445" w:firstLine="422"/>
        <w:jc w:val="both"/>
        <w:rPr>
          <w:sz w:val="21"/>
        </w:rPr>
      </w:pPr>
      <w:r>
        <w:rPr>
          <w:spacing w:val="-5"/>
          <w:sz w:val="21"/>
        </w:rPr>
        <w:t>挡烟垂壁等挡烟分隔设施的深度不应小于本标准第 </w:t>
      </w:r>
      <w:r>
        <w:rPr>
          <w:sz w:val="21"/>
        </w:rPr>
        <w:t>4.6.2</w:t>
      </w:r>
      <w:r>
        <w:rPr>
          <w:spacing w:val="-7"/>
          <w:sz w:val="21"/>
        </w:rPr>
        <w:t> 条规定的储烟仓厚度。对于</w:t>
      </w:r>
      <w:r>
        <w:rPr>
          <w:spacing w:val="-6"/>
          <w:sz w:val="21"/>
        </w:rPr>
        <w:t>有吊顶的空间，当吊顶开孔不均匀或开孔率小于或等于 </w:t>
      </w:r>
      <w:r>
        <w:rPr>
          <w:sz w:val="21"/>
        </w:rPr>
        <w:t>25</w:t>
      </w:r>
      <w:r>
        <w:rPr>
          <w:spacing w:val="-3"/>
          <w:sz w:val="21"/>
        </w:rPr>
        <w:t>%时，吊顶内空间高度不得计入储烟仓厚度。</w:t>
      </w:r>
      <w:r>
        <w:rPr>
          <w:sz w:val="21"/>
        </w:rPr>
        <w:t> </w:t>
      </w:r>
    </w:p>
    <w:p>
      <w:pPr>
        <w:pStyle w:val="ListParagraph"/>
        <w:numPr>
          <w:ilvl w:val="2"/>
          <w:numId w:val="875"/>
        </w:numPr>
        <w:tabs>
          <w:tab w:pos="1371" w:val="left" w:leader="none"/>
        </w:tabs>
        <w:spacing w:line="446" w:lineRule="auto" w:before="0" w:after="0"/>
        <w:ind w:left="418" w:right="1604" w:firstLine="422"/>
        <w:jc w:val="left"/>
        <w:rPr>
          <w:sz w:val="21"/>
        </w:rPr>
      </w:pPr>
      <w:r>
        <w:rPr>
          <w:spacing w:val="-3"/>
          <w:sz w:val="21"/>
        </w:rPr>
        <w:t>设置排烟设施的建筑内，敞开楼梯和自动扶梯穿越楼板的开口部应设置挡烟垂壁等设施。</w:t>
      </w:r>
      <w:r>
        <w:rPr>
          <w:sz w:val="21"/>
        </w:rPr>
        <w:t> </w:t>
      </w:r>
    </w:p>
    <w:p>
      <w:pPr>
        <w:pStyle w:val="ListParagraph"/>
        <w:numPr>
          <w:ilvl w:val="2"/>
          <w:numId w:val="875"/>
        </w:numPr>
        <w:tabs>
          <w:tab w:pos="1422" w:val="left" w:leader="none"/>
        </w:tabs>
        <w:spacing w:line="446" w:lineRule="auto" w:before="0" w:after="0"/>
        <w:ind w:left="418" w:right="1500" w:firstLine="419"/>
        <w:jc w:val="left"/>
        <w:rPr>
          <w:sz w:val="21"/>
        </w:rPr>
      </w:pPr>
      <w:r>
        <w:rPr/>
        <w:drawing>
          <wp:anchor distT="0" distB="0" distL="0" distR="0" allowOverlap="1" layoutInCell="1" locked="0" behindDoc="1" simplePos="0" relativeHeight="215942144">
            <wp:simplePos x="0" y="0"/>
            <wp:positionH relativeFrom="page">
              <wp:posOffset>1170305</wp:posOffset>
            </wp:positionH>
            <wp:positionV relativeFrom="paragraph">
              <wp:posOffset>915923</wp:posOffset>
            </wp:positionV>
            <wp:extent cx="5276850" cy="1838325"/>
            <wp:effectExtent l="0" t="0" r="0" b="0"/>
            <wp:wrapNone/>
            <wp:docPr id="673" name="image397.jpeg"/>
            <wp:cNvGraphicFramePr>
              <a:graphicFrameLocks noChangeAspect="1"/>
            </wp:cNvGraphicFramePr>
            <a:graphic>
              <a:graphicData uri="http://schemas.openxmlformats.org/drawingml/2006/picture">
                <pic:pic>
                  <pic:nvPicPr>
                    <pic:cNvPr id="674" name="image397.jpeg"/>
                    <pic:cNvPicPr/>
                  </pic:nvPicPr>
                  <pic:blipFill>
                    <a:blip r:embed="rId508" cstate="print"/>
                    <a:stretch>
                      <a:fillRect/>
                    </a:stretch>
                  </pic:blipFill>
                  <pic:spPr>
                    <a:xfrm>
                      <a:off x="0" y="0"/>
                      <a:ext cx="5276850" cy="1838325"/>
                    </a:xfrm>
                    <a:prstGeom prst="rect">
                      <a:avLst/>
                    </a:prstGeom>
                  </pic:spPr>
                </pic:pic>
              </a:graphicData>
            </a:graphic>
          </wp:anchor>
        </w:drawing>
      </w:r>
      <w:r>
        <w:rPr>
          <w:spacing w:val="-4"/>
          <w:sz w:val="21"/>
        </w:rPr>
        <w:t>公共建筑、工业建筑防烟分区的最大允许面积及其长边最大允许长度应符合表 </w:t>
      </w:r>
      <w:r>
        <w:rPr>
          <w:sz w:val="21"/>
        </w:rPr>
        <w:t>4.2.4 </w:t>
      </w:r>
      <w:r>
        <w:rPr>
          <w:spacing w:val="-3"/>
          <w:sz w:val="21"/>
        </w:rPr>
        <w:t>的规定，当工业建筑采用自然排烟系统时，其防烟分区的长边长度尚不应大于建筑内空间净高</w:t>
      </w:r>
      <w:r>
        <w:rPr>
          <w:spacing w:val="-28"/>
          <w:sz w:val="21"/>
        </w:rPr>
        <w:t>的 </w:t>
      </w:r>
      <w:r>
        <w:rPr>
          <w:sz w:val="21"/>
        </w:rPr>
        <w:t>8</w:t>
      </w:r>
      <w:r>
        <w:rPr>
          <w:spacing w:val="-20"/>
          <w:sz w:val="21"/>
        </w:rPr>
        <w:t> 倍。</w:t>
      </w:r>
      <w:r>
        <w:rPr>
          <w:sz w:val="21"/>
        </w:rPr>
        <w:t> </w:t>
      </w:r>
    </w:p>
    <w:p>
      <w:pPr>
        <w:spacing w:after="0" w:line="446" w:lineRule="auto"/>
        <w:jc w:val="left"/>
        <w:rPr>
          <w:sz w:val="21"/>
        </w:rPr>
        <w:sectPr>
          <w:pgSz w:w="11910" w:h="16850"/>
          <w:pgMar w:header="0" w:footer="1239" w:top="1220" w:bottom="1420" w:left="1260" w:right="0"/>
        </w:sectPr>
      </w:pPr>
    </w:p>
    <w:p>
      <w:pPr>
        <w:pStyle w:val="BodyText"/>
        <w:spacing w:before="47"/>
        <w:ind w:left="838"/>
      </w:pPr>
      <w:r>
        <w:rPr/>
        <w:t>注：1.公共建筑、工业建筑中的走道宽度不大于 2.5m 时，其防烟分区的长边长度不应大于</w:t>
      </w:r>
    </w:p>
    <w:p>
      <w:pPr>
        <w:pStyle w:val="BodyText"/>
        <w:rPr>
          <w:sz w:val="18"/>
        </w:rPr>
      </w:pPr>
    </w:p>
    <w:p>
      <w:pPr>
        <w:pStyle w:val="BodyText"/>
        <w:ind w:left="418"/>
      </w:pPr>
      <w:r>
        <w:rPr/>
        <w:t>60m。 </w:t>
      </w:r>
    </w:p>
    <w:p>
      <w:pPr>
        <w:pStyle w:val="BodyText"/>
        <w:rPr>
          <w:sz w:val="18"/>
        </w:rPr>
      </w:pPr>
    </w:p>
    <w:p>
      <w:pPr>
        <w:pStyle w:val="ListParagraph"/>
        <w:numPr>
          <w:ilvl w:val="0"/>
          <w:numId w:val="876"/>
        </w:numPr>
        <w:tabs>
          <w:tab w:pos="1051" w:val="left" w:leader="none"/>
        </w:tabs>
        <w:spacing w:line="240" w:lineRule="auto" w:before="0" w:after="0"/>
        <w:ind w:left="1050" w:right="0" w:hanging="213"/>
        <w:jc w:val="left"/>
        <w:rPr>
          <w:sz w:val="21"/>
        </w:rPr>
      </w:pPr>
      <w:r>
        <w:rPr>
          <w:spacing w:val="-10"/>
          <w:sz w:val="21"/>
        </w:rPr>
        <w:t>当空间净高大于 </w:t>
      </w:r>
      <w:r>
        <w:rPr>
          <w:sz w:val="21"/>
        </w:rPr>
        <w:t>9m</w:t>
      </w:r>
      <w:r>
        <w:rPr>
          <w:spacing w:val="-9"/>
          <w:sz w:val="21"/>
        </w:rPr>
        <w:t> 时，防烟分区之间可不设置挡烟设施。</w:t>
      </w:r>
      <w:r>
        <w:rPr>
          <w:sz w:val="21"/>
        </w:rPr>
        <w:t> </w:t>
      </w:r>
    </w:p>
    <w:p>
      <w:pPr>
        <w:pStyle w:val="BodyText"/>
        <w:spacing w:before="1"/>
        <w:rPr>
          <w:sz w:val="18"/>
        </w:rPr>
      </w:pPr>
    </w:p>
    <w:p>
      <w:pPr>
        <w:pStyle w:val="ListParagraph"/>
        <w:numPr>
          <w:ilvl w:val="0"/>
          <w:numId w:val="876"/>
        </w:numPr>
        <w:tabs>
          <w:tab w:pos="1051" w:val="left" w:leader="none"/>
        </w:tabs>
        <w:spacing w:line="446" w:lineRule="auto" w:before="1" w:after="0"/>
        <w:ind w:left="418" w:right="1609" w:firstLine="419"/>
        <w:jc w:val="left"/>
        <w:rPr>
          <w:sz w:val="21"/>
        </w:rPr>
      </w:pPr>
      <w:r>
        <w:rPr>
          <w:spacing w:val="-3"/>
          <w:sz w:val="21"/>
        </w:rPr>
        <w:t>汽车库防烟分区的划分及其排烟量应符合现行国家规范《汽车库、修车库、停车场设计防火规范》</w:t>
      </w:r>
      <w:r>
        <w:rPr>
          <w:sz w:val="21"/>
        </w:rPr>
        <w:t>GB 50067</w:t>
      </w:r>
      <w:r>
        <w:rPr>
          <w:spacing w:val="-10"/>
          <w:sz w:val="21"/>
        </w:rPr>
        <w:t> 的相关规定。</w:t>
      </w:r>
      <w:r>
        <w:rPr>
          <w:sz w:val="21"/>
        </w:rPr>
        <w:t> </w:t>
      </w:r>
    </w:p>
    <w:p>
      <w:pPr>
        <w:pStyle w:val="ListParagraph"/>
        <w:numPr>
          <w:ilvl w:val="1"/>
          <w:numId w:val="877"/>
        </w:numPr>
        <w:tabs>
          <w:tab w:pos="1159" w:val="left" w:leader="none"/>
        </w:tabs>
        <w:spacing w:line="267" w:lineRule="exact" w:before="0" w:after="0"/>
        <w:ind w:left="1158" w:right="0" w:hanging="319"/>
        <w:jc w:val="left"/>
        <w:rPr>
          <w:sz w:val="21"/>
        </w:rPr>
      </w:pPr>
      <w:r>
        <w:rPr>
          <w:spacing w:val="-3"/>
          <w:sz w:val="21"/>
        </w:rPr>
        <w:t>自然排烟设施</w:t>
      </w:r>
      <w:r>
        <w:rPr>
          <w:sz w:val="21"/>
        </w:rPr>
        <w:t> </w:t>
      </w:r>
    </w:p>
    <w:p>
      <w:pPr>
        <w:pStyle w:val="BodyText"/>
        <w:spacing w:before="1"/>
        <w:rPr>
          <w:sz w:val="18"/>
        </w:rPr>
      </w:pPr>
    </w:p>
    <w:p>
      <w:pPr>
        <w:pStyle w:val="ListParagraph"/>
        <w:numPr>
          <w:ilvl w:val="2"/>
          <w:numId w:val="877"/>
        </w:numPr>
        <w:tabs>
          <w:tab w:pos="1424" w:val="left" w:leader="none"/>
        </w:tabs>
        <w:spacing w:line="240" w:lineRule="auto" w:before="1" w:after="0"/>
        <w:ind w:left="1423" w:right="0" w:hanging="584"/>
        <w:jc w:val="left"/>
        <w:rPr>
          <w:sz w:val="21"/>
        </w:rPr>
      </w:pPr>
      <w:r>
        <w:rPr>
          <w:spacing w:val="-3"/>
          <w:sz w:val="21"/>
        </w:rPr>
        <w:t>采用自然排烟系统的场所应设置自然排烟窗</w:t>
      </w:r>
      <w:r>
        <w:rPr>
          <w:sz w:val="21"/>
        </w:rPr>
        <w:t>（口</w:t>
      </w:r>
      <w:r>
        <w:rPr>
          <w:spacing w:val="-3"/>
          <w:sz w:val="21"/>
        </w:rPr>
        <w:t>）。</w:t>
      </w:r>
      <w:r>
        <w:rPr>
          <w:sz w:val="21"/>
        </w:rPr>
        <w:t> </w:t>
      </w:r>
    </w:p>
    <w:p>
      <w:pPr>
        <w:pStyle w:val="BodyText"/>
        <w:spacing w:before="12"/>
        <w:rPr>
          <w:sz w:val="17"/>
        </w:rPr>
      </w:pPr>
    </w:p>
    <w:p>
      <w:pPr>
        <w:pStyle w:val="ListParagraph"/>
        <w:numPr>
          <w:ilvl w:val="2"/>
          <w:numId w:val="877"/>
        </w:numPr>
        <w:tabs>
          <w:tab w:pos="1424" w:val="left" w:leader="none"/>
        </w:tabs>
        <w:spacing w:line="446" w:lineRule="auto" w:before="0" w:after="0"/>
        <w:ind w:left="418" w:right="1447" w:firstLine="422"/>
        <w:jc w:val="left"/>
        <w:rPr>
          <w:b/>
          <w:sz w:val="21"/>
        </w:rPr>
      </w:pPr>
      <w:r>
        <w:rPr>
          <w:spacing w:val="-3"/>
          <w:sz w:val="21"/>
        </w:rPr>
        <w:t>防烟分区内自然排烟窗（</w:t>
      </w:r>
      <w:r>
        <w:rPr>
          <w:sz w:val="21"/>
        </w:rPr>
        <w:t>口</w:t>
      </w:r>
      <w:r>
        <w:rPr>
          <w:spacing w:val="-3"/>
          <w:sz w:val="21"/>
        </w:rPr>
        <w:t>）</w:t>
      </w:r>
      <w:r>
        <w:rPr>
          <w:spacing w:val="-6"/>
          <w:sz w:val="21"/>
        </w:rPr>
        <w:t>的面积、数量、位置应按本标准第 </w:t>
      </w:r>
      <w:r>
        <w:rPr>
          <w:sz w:val="21"/>
        </w:rPr>
        <w:t>4.6.3</w:t>
      </w:r>
      <w:r>
        <w:rPr>
          <w:spacing w:val="-7"/>
          <w:sz w:val="21"/>
        </w:rPr>
        <w:t> 条规定经计算</w:t>
      </w:r>
      <w:r>
        <w:rPr>
          <w:spacing w:val="-5"/>
          <w:sz w:val="21"/>
        </w:rPr>
        <w:t>确定，且防烟分区内任一点与最近的自然排烟窗</w:t>
      </w:r>
      <w:r>
        <w:rPr>
          <w:spacing w:val="-3"/>
          <w:sz w:val="21"/>
        </w:rPr>
        <w:t>（</w:t>
      </w:r>
      <w:r>
        <w:rPr>
          <w:sz w:val="21"/>
        </w:rPr>
        <w:t>口）</w:t>
      </w:r>
      <w:r>
        <w:rPr>
          <w:spacing w:val="-5"/>
          <w:sz w:val="21"/>
        </w:rPr>
        <w:t>之间的水平距离不应大于 </w:t>
      </w:r>
      <w:r>
        <w:rPr>
          <w:sz w:val="21"/>
        </w:rPr>
        <w:t>30m</w:t>
      </w:r>
      <w:r>
        <w:rPr>
          <w:spacing w:val="-3"/>
          <w:sz w:val="21"/>
        </w:rPr>
        <w:t>。当工业建</w:t>
      </w:r>
      <w:r>
        <w:rPr>
          <w:spacing w:val="-5"/>
          <w:sz w:val="21"/>
        </w:rPr>
        <w:t>筑采用自然排烟方式时，其水平距离尚不应大于建筑内空间净高的 </w:t>
      </w:r>
      <w:r>
        <w:rPr>
          <w:sz w:val="21"/>
        </w:rPr>
        <w:t>2.8</w:t>
      </w:r>
      <w:r>
        <w:rPr>
          <w:spacing w:val="-8"/>
          <w:sz w:val="21"/>
        </w:rPr>
        <w:t> 倍；当公共建筑空间净</w:t>
      </w:r>
      <w:r>
        <w:rPr>
          <w:spacing w:val="-12"/>
          <w:sz w:val="21"/>
        </w:rPr>
        <w:t>高大于或等于 </w:t>
      </w:r>
      <w:r>
        <w:rPr>
          <w:sz w:val="21"/>
        </w:rPr>
        <w:t>6m</w:t>
      </w:r>
      <w:r>
        <w:rPr>
          <w:spacing w:val="-6"/>
          <w:sz w:val="21"/>
        </w:rPr>
        <w:t>，且具有自然对流条件时，其水平距离不应大于 </w:t>
      </w:r>
      <w:r>
        <w:rPr>
          <w:sz w:val="21"/>
        </w:rPr>
        <w:t>37.5m</w:t>
      </w:r>
      <w:r>
        <w:rPr>
          <w:spacing w:val="-3"/>
          <w:sz w:val="21"/>
        </w:rPr>
        <w:t>。</w:t>
      </w:r>
      <w:r>
        <w:rPr>
          <w:b/>
          <w:w w:val="99"/>
          <w:sz w:val="21"/>
        </w:rPr>
        <w:t> </w:t>
      </w:r>
    </w:p>
    <w:p>
      <w:pPr>
        <w:pStyle w:val="ListParagraph"/>
        <w:numPr>
          <w:ilvl w:val="2"/>
          <w:numId w:val="877"/>
        </w:numPr>
        <w:tabs>
          <w:tab w:pos="1424" w:val="left" w:leader="none"/>
        </w:tabs>
        <w:spacing w:line="266" w:lineRule="exact" w:before="0" w:after="0"/>
        <w:ind w:left="1423" w:right="0" w:hanging="584"/>
        <w:jc w:val="left"/>
        <w:rPr>
          <w:sz w:val="21"/>
        </w:rPr>
      </w:pPr>
      <w:r>
        <w:rPr>
          <w:spacing w:val="-3"/>
          <w:sz w:val="21"/>
        </w:rPr>
        <w:t>自然排烟窗</w:t>
      </w:r>
      <w:r>
        <w:rPr>
          <w:sz w:val="21"/>
        </w:rPr>
        <w:t>（</w:t>
      </w:r>
      <w:r>
        <w:rPr>
          <w:spacing w:val="-3"/>
          <w:sz w:val="21"/>
        </w:rPr>
        <w:t>口）应设置在排烟区域的顶部或外墙，并应符合下列规定： </w:t>
      </w:r>
    </w:p>
    <w:p>
      <w:pPr>
        <w:pStyle w:val="BodyText"/>
        <w:spacing w:before="2"/>
        <w:rPr>
          <w:sz w:val="18"/>
        </w:rPr>
      </w:pPr>
    </w:p>
    <w:p>
      <w:pPr>
        <w:pStyle w:val="BodyText"/>
        <w:ind w:left="838"/>
      </w:pPr>
      <w:r>
        <w:rPr/>
        <w:t>当设置在外墙上时，自然排烟窗（口）应在储烟仓以内，但走道、室内空间净高不大于 3m</w:t>
      </w:r>
    </w:p>
    <w:p>
      <w:pPr>
        <w:pStyle w:val="BodyText"/>
        <w:rPr>
          <w:sz w:val="18"/>
        </w:rPr>
      </w:pPr>
    </w:p>
    <w:p>
      <w:pPr>
        <w:pStyle w:val="BodyText"/>
        <w:spacing w:line="446" w:lineRule="auto"/>
        <w:ind w:left="838" w:right="4446" w:hanging="420"/>
      </w:pPr>
      <w:r>
        <w:rPr/>
        <w:t>的区域的自然排烟窗（口）可设置在室内净高度的 1/2 以上； 自然排烟窗（口）的开启形式应有利于火灾烟气的排出； </w:t>
      </w:r>
    </w:p>
    <w:p>
      <w:pPr>
        <w:pStyle w:val="BodyText"/>
        <w:spacing w:line="446" w:lineRule="auto"/>
        <w:ind w:left="838" w:right="3471"/>
      </w:pPr>
      <w:r>
        <w:rPr/>
        <w:t>当房间面积不大于 200m</w:t>
      </w:r>
      <w:r>
        <w:rPr>
          <w:position w:val="11"/>
          <w:sz w:val="11"/>
        </w:rPr>
        <w:t>2 </w:t>
      </w:r>
      <w:r>
        <w:rPr/>
        <w:t>时，自然排烟窗（口）的开启方向可不限； 自然排烟窗（口）宜分散均匀布置，且每组的长度不宜大于 3.0m； </w:t>
      </w:r>
    </w:p>
    <w:p>
      <w:pPr>
        <w:pStyle w:val="BodyText"/>
        <w:spacing w:line="267" w:lineRule="exact"/>
        <w:ind w:left="838"/>
      </w:pPr>
      <w:r>
        <w:rPr/>
        <w:t>设置在防火墙两侧的自然排烟窗（口）之间最近边缘的水平距离不应小于 2.0m。 </w:t>
      </w:r>
    </w:p>
    <w:p>
      <w:pPr>
        <w:pStyle w:val="BodyText"/>
        <w:spacing w:before="5"/>
        <w:rPr>
          <w:sz w:val="17"/>
        </w:rPr>
      </w:pPr>
    </w:p>
    <w:p>
      <w:pPr>
        <w:pStyle w:val="ListParagraph"/>
        <w:numPr>
          <w:ilvl w:val="2"/>
          <w:numId w:val="877"/>
        </w:numPr>
        <w:tabs>
          <w:tab w:pos="1424" w:val="left" w:leader="none"/>
        </w:tabs>
        <w:spacing w:line="240" w:lineRule="auto" w:before="0" w:after="0"/>
        <w:ind w:left="1423" w:right="0" w:hanging="584"/>
        <w:jc w:val="left"/>
        <w:rPr>
          <w:sz w:val="21"/>
        </w:rPr>
      </w:pPr>
      <w:r>
        <w:rPr>
          <w:spacing w:val="-3"/>
          <w:sz w:val="21"/>
        </w:rPr>
        <w:t>厂房、仓库的自然排烟窗</w:t>
      </w:r>
      <w:r>
        <w:rPr>
          <w:sz w:val="21"/>
        </w:rPr>
        <w:t>（</w:t>
      </w:r>
      <w:r>
        <w:rPr>
          <w:spacing w:val="-3"/>
          <w:sz w:val="21"/>
        </w:rPr>
        <w:t>口</w:t>
      </w:r>
      <w:r>
        <w:rPr>
          <w:sz w:val="21"/>
        </w:rPr>
        <w:t>）</w:t>
      </w:r>
      <w:r>
        <w:rPr>
          <w:spacing w:val="-3"/>
          <w:sz w:val="21"/>
        </w:rPr>
        <w:t>设置尚应符合下列规定：</w:t>
      </w:r>
      <w:r>
        <w:rPr>
          <w:sz w:val="21"/>
        </w:rPr>
        <w:t> </w:t>
      </w:r>
    </w:p>
    <w:p>
      <w:pPr>
        <w:pStyle w:val="BodyText"/>
        <w:rPr>
          <w:sz w:val="18"/>
        </w:rPr>
      </w:pPr>
    </w:p>
    <w:p>
      <w:pPr>
        <w:pStyle w:val="BodyText"/>
        <w:ind w:left="838"/>
      </w:pPr>
      <w:r>
        <w:rPr/>
        <w:t>当设置在外墙时，自然排烟窗（口）应沿建筑物的两条对边均匀设置； </w:t>
      </w:r>
    </w:p>
    <w:p>
      <w:pPr>
        <w:pStyle w:val="BodyText"/>
        <w:spacing w:before="12"/>
        <w:rPr>
          <w:sz w:val="17"/>
        </w:rPr>
      </w:pPr>
    </w:p>
    <w:p>
      <w:pPr>
        <w:pStyle w:val="BodyText"/>
        <w:spacing w:line="436" w:lineRule="auto"/>
        <w:ind w:left="418" w:right="1608" w:firstLine="419"/>
        <w:jc w:val="both"/>
      </w:pPr>
      <w:r>
        <w:rPr>
          <w:spacing w:val="-3"/>
        </w:rPr>
        <w:t>当设置在屋顶时，自然排烟窗（</w:t>
      </w:r>
      <w:r>
        <w:rPr/>
        <w:t>口</w:t>
      </w:r>
      <w:r>
        <w:rPr>
          <w:spacing w:val="-3"/>
        </w:rPr>
        <w:t>）应在屋面均匀设置且宜采用自动控制方式开启；当屋</w:t>
      </w:r>
      <w:r>
        <w:rPr>
          <w:spacing w:val="-8"/>
        </w:rPr>
        <w:t>面斜度小于或等于 </w:t>
      </w:r>
      <w:r>
        <w:rPr/>
        <w:t>12</w:t>
      </w:r>
      <w:r>
        <w:rPr>
          <w:spacing w:val="-10"/>
        </w:rPr>
        <w:t>°时，每 </w:t>
      </w:r>
      <w:r>
        <w:rPr/>
        <w:t>200m</w:t>
      </w:r>
      <w:r>
        <w:rPr>
          <w:position w:val="11"/>
          <w:sz w:val="11"/>
        </w:rPr>
        <w:t>2 </w:t>
      </w:r>
      <w:r>
        <w:rPr>
          <w:spacing w:val="-3"/>
        </w:rPr>
        <w:t>的建筑面积应设置相应的自然排烟窗</w:t>
      </w:r>
      <w:r>
        <w:rPr/>
        <w:t>（</w:t>
      </w:r>
      <w:r>
        <w:rPr>
          <w:spacing w:val="-3"/>
        </w:rPr>
        <w:t>口</w:t>
      </w:r>
      <w:r>
        <w:rPr/>
        <w:t>）；</w:t>
      </w:r>
      <w:r>
        <w:rPr>
          <w:spacing w:val="-3"/>
        </w:rPr>
        <w:t>当屋面斜度</w:t>
      </w:r>
      <w:r>
        <w:rPr>
          <w:spacing w:val="-20"/>
        </w:rPr>
        <w:t>大于 </w:t>
      </w:r>
      <w:r>
        <w:rPr/>
        <w:t>12</w:t>
      </w:r>
      <w:r>
        <w:rPr>
          <w:spacing w:val="-12"/>
        </w:rPr>
        <w:t>°时，每 </w:t>
      </w:r>
      <w:r>
        <w:rPr/>
        <w:t>400m</w:t>
      </w:r>
      <w:r>
        <w:rPr>
          <w:position w:val="11"/>
          <w:sz w:val="11"/>
        </w:rPr>
        <w:t>2 </w:t>
      </w:r>
      <w:r>
        <w:rPr>
          <w:spacing w:val="-3"/>
        </w:rPr>
        <w:t>的建筑面积应设置相应的自然排烟窗（</w:t>
      </w:r>
      <w:r>
        <w:rPr/>
        <w:t>口</w:t>
      </w:r>
      <w:r>
        <w:rPr>
          <w:spacing w:val="-3"/>
        </w:rPr>
        <w:t>）。</w:t>
      </w:r>
      <w:r>
        <w:rPr/>
        <w:t> </w:t>
      </w:r>
    </w:p>
    <w:p>
      <w:pPr>
        <w:pStyle w:val="ListParagraph"/>
        <w:numPr>
          <w:ilvl w:val="2"/>
          <w:numId w:val="877"/>
        </w:numPr>
        <w:tabs>
          <w:tab w:pos="1424" w:val="left" w:leader="none"/>
        </w:tabs>
        <w:spacing w:line="446" w:lineRule="auto" w:before="11" w:after="0"/>
        <w:ind w:left="838" w:right="1716" w:firstLine="2"/>
        <w:jc w:val="both"/>
        <w:rPr>
          <w:sz w:val="21"/>
        </w:rPr>
      </w:pPr>
      <w:r>
        <w:rPr>
          <w:spacing w:val="-3"/>
          <w:sz w:val="21"/>
        </w:rPr>
        <w:t>除本标准另有规定外，自然排烟窗</w:t>
      </w:r>
      <w:r>
        <w:rPr>
          <w:sz w:val="21"/>
        </w:rPr>
        <w:t>（</w:t>
      </w:r>
      <w:r>
        <w:rPr>
          <w:spacing w:val="-3"/>
          <w:sz w:val="21"/>
        </w:rPr>
        <w:t>口</w:t>
      </w:r>
      <w:r>
        <w:rPr>
          <w:sz w:val="21"/>
        </w:rPr>
        <w:t>）</w:t>
      </w:r>
      <w:r>
        <w:rPr>
          <w:spacing w:val="-3"/>
          <w:sz w:val="21"/>
        </w:rPr>
        <w:t>开启的有效面积尚应符合下列规定：   </w:t>
      </w:r>
      <w:r>
        <w:rPr>
          <w:spacing w:val="-7"/>
          <w:sz w:val="21"/>
        </w:rPr>
        <w:t>当采用开窗角大于 </w:t>
      </w:r>
      <w:r>
        <w:rPr>
          <w:sz w:val="21"/>
        </w:rPr>
        <w:t>70</w:t>
      </w:r>
      <w:r>
        <w:rPr>
          <w:spacing w:val="-5"/>
          <w:sz w:val="21"/>
        </w:rPr>
        <w:t>°的悬窗时，其面积应按窗的面积计算；当开窗角小于或等于 </w:t>
      </w:r>
      <w:r>
        <w:rPr>
          <w:sz w:val="21"/>
        </w:rPr>
        <w:t>70°</w:t>
      </w:r>
    </w:p>
    <w:p>
      <w:pPr>
        <w:pStyle w:val="BodyText"/>
        <w:spacing w:before="1"/>
        <w:ind w:left="418"/>
      </w:pPr>
      <w:r>
        <w:rPr>
          <w:spacing w:val="-3"/>
        </w:rPr>
        <w:t>时，其面积应按窗最大开启时的水平投影面积计算。 </w:t>
      </w:r>
    </w:p>
    <w:p>
      <w:pPr>
        <w:pStyle w:val="BodyText"/>
        <w:spacing w:before="12"/>
        <w:rPr>
          <w:sz w:val="17"/>
        </w:rPr>
      </w:pPr>
    </w:p>
    <w:p>
      <w:pPr>
        <w:pStyle w:val="BodyText"/>
        <w:spacing w:line="446" w:lineRule="auto"/>
        <w:ind w:left="418" w:right="1505" w:firstLine="419"/>
      </w:pPr>
      <w:r>
        <w:rPr>
          <w:spacing w:val="-7"/>
        </w:rPr>
        <w:t>当采用开窗角大于 </w:t>
      </w:r>
      <w:r>
        <w:rPr/>
        <w:t>70</w:t>
      </w:r>
      <w:r>
        <w:rPr>
          <w:spacing w:val="-5"/>
        </w:rPr>
        <w:t>°的平开窗时，其面积应按窗的面积计算；当开窗角小于或等于 </w:t>
      </w:r>
      <w:r>
        <w:rPr/>
        <w:t>70° </w:t>
      </w:r>
      <w:r>
        <w:rPr>
          <w:spacing w:val="-3"/>
        </w:rPr>
        <w:t>时，其面积应按窗最大开启时的竖向投影面积计算。 </w:t>
      </w:r>
    </w:p>
    <w:p>
      <w:pPr>
        <w:spacing w:after="0" w:line="446" w:lineRule="auto"/>
        <w:sectPr>
          <w:pgSz w:w="11910" w:h="16850"/>
          <w:pgMar w:header="0" w:footer="1239" w:top="1220" w:bottom="1420" w:left="1260" w:right="0"/>
        </w:sectPr>
      </w:pPr>
    </w:p>
    <w:p>
      <w:pPr>
        <w:pStyle w:val="BodyText"/>
        <w:spacing w:line="446" w:lineRule="auto" w:before="47"/>
        <w:ind w:left="838" w:right="4446"/>
      </w:pPr>
      <w:r>
        <w:rPr/>
        <w:t>当采用推拉窗时，其面积应按开启的最大窗口面积计算。当采用百叶窗时，其面积应按窗的有效开口面积计算。 </w:t>
      </w:r>
    </w:p>
    <w:p>
      <w:pPr>
        <w:pStyle w:val="BodyText"/>
        <w:spacing w:line="446" w:lineRule="auto"/>
        <w:ind w:left="418" w:right="1609" w:firstLine="419"/>
      </w:pPr>
      <w:r>
        <w:rPr>
          <w:spacing w:val="-5"/>
        </w:rPr>
        <w:t>当平推窗设置在顶部时，其面积可按窗的 </w:t>
      </w:r>
      <w:r>
        <w:rPr/>
        <w:t>1/2</w:t>
      </w:r>
      <w:r>
        <w:rPr>
          <w:spacing w:val="-7"/>
        </w:rPr>
        <w:t> 周长与平推距离乘积计算，且不应大于窗面</w:t>
      </w:r>
      <w:r>
        <w:rPr>
          <w:spacing w:val="-5"/>
        </w:rPr>
        <w:t>积。</w:t>
      </w:r>
      <w:r>
        <w:rPr/>
        <w:t> </w:t>
      </w:r>
    </w:p>
    <w:p>
      <w:pPr>
        <w:pStyle w:val="BodyText"/>
        <w:spacing w:line="446" w:lineRule="auto"/>
        <w:ind w:left="418" w:right="1609" w:firstLine="419"/>
      </w:pPr>
      <w:r>
        <w:rPr>
          <w:spacing w:val="-5"/>
        </w:rPr>
        <w:t>当平推窗设置在外墙时，其面积可按窗的 </w:t>
      </w:r>
      <w:r>
        <w:rPr/>
        <w:t>1/4</w:t>
      </w:r>
      <w:r>
        <w:rPr>
          <w:spacing w:val="-7"/>
        </w:rPr>
        <w:t> 周长与平推距离乘积计算，且不应大于窗面</w:t>
      </w:r>
      <w:r>
        <w:rPr>
          <w:spacing w:val="-5"/>
        </w:rPr>
        <w:t>积。</w:t>
      </w:r>
      <w:r>
        <w:rPr/>
        <w:t> </w:t>
      </w:r>
    </w:p>
    <w:p>
      <w:pPr>
        <w:pStyle w:val="ListParagraph"/>
        <w:numPr>
          <w:ilvl w:val="2"/>
          <w:numId w:val="877"/>
        </w:numPr>
        <w:tabs>
          <w:tab w:pos="1424" w:val="left" w:leader="none"/>
        </w:tabs>
        <w:spacing w:line="240" w:lineRule="auto" w:before="0" w:after="0"/>
        <w:ind w:left="1423" w:right="0" w:hanging="584"/>
        <w:jc w:val="left"/>
        <w:rPr>
          <w:sz w:val="21"/>
        </w:rPr>
      </w:pPr>
      <w:r>
        <w:rPr>
          <w:spacing w:val="-3"/>
          <w:sz w:val="21"/>
        </w:rPr>
        <w:t>自然排烟窗</w:t>
      </w:r>
      <w:r>
        <w:rPr>
          <w:sz w:val="21"/>
        </w:rPr>
        <w:t>（</w:t>
      </w:r>
      <w:r>
        <w:rPr>
          <w:spacing w:val="-3"/>
          <w:sz w:val="21"/>
        </w:rPr>
        <w:t>口）应设置手动开启装置，设置在高位不便于直接开启的自然排烟窗</w:t>
      </w:r>
    </w:p>
    <w:p>
      <w:pPr>
        <w:pStyle w:val="BodyText"/>
        <w:spacing w:line="345" w:lineRule="auto" w:before="162"/>
        <w:ind w:left="418" w:right="1611"/>
      </w:pPr>
      <w:r>
        <w:rPr/>
        <w:t>（口）</w:t>
      </w:r>
      <w:r>
        <w:rPr>
          <w:spacing w:val="-8"/>
        </w:rPr>
        <w:t>，应设置距地面高度 </w:t>
      </w:r>
      <w:r>
        <w:rPr/>
        <w:t>1.3</w:t>
      </w:r>
      <w:r>
        <w:rPr>
          <w:rFonts w:ascii="微软雅黑" w:eastAsia="微软雅黑" w:hint="eastAsia"/>
        </w:rPr>
        <w:t>〜</w:t>
      </w:r>
      <w:r>
        <w:rPr/>
        <w:t>1.5 m</w:t>
      </w:r>
      <w:r>
        <w:rPr>
          <w:spacing w:val="-12"/>
        </w:rPr>
        <w:t> 的手动开启装置。净空高度大于 </w:t>
      </w:r>
      <w:r>
        <w:rPr/>
        <w:t>9m</w:t>
      </w:r>
      <w:r>
        <w:rPr>
          <w:spacing w:val="-8"/>
        </w:rPr>
        <w:t> 的中庭、建筑面积</w:t>
      </w:r>
      <w:r>
        <w:rPr>
          <w:spacing w:val="-21"/>
        </w:rPr>
        <w:t>大于 </w:t>
      </w:r>
      <w:r>
        <w:rPr/>
        <w:t>2000m</w:t>
      </w:r>
      <w:r>
        <w:rPr>
          <w:position w:val="11"/>
          <w:sz w:val="11"/>
        </w:rPr>
        <w:t>2 </w:t>
      </w:r>
      <w:r>
        <w:rPr>
          <w:spacing w:val="-3"/>
        </w:rPr>
        <w:t>的营业厅、展览厅、多功能厅等场所，尚应设置集中手动开启装置和自动开启设</w:t>
      </w:r>
    </w:p>
    <w:p>
      <w:pPr>
        <w:pStyle w:val="BodyText"/>
        <w:spacing w:before="113"/>
        <w:ind w:left="418"/>
      </w:pPr>
      <w:r>
        <w:rPr/>
        <w:t>施。 </w:t>
      </w:r>
    </w:p>
    <w:p>
      <w:pPr>
        <w:pStyle w:val="BodyText"/>
        <w:spacing w:before="2"/>
        <w:rPr>
          <w:sz w:val="17"/>
        </w:rPr>
      </w:pPr>
    </w:p>
    <w:p>
      <w:pPr>
        <w:pStyle w:val="ListParagraph"/>
        <w:numPr>
          <w:ilvl w:val="2"/>
          <w:numId w:val="877"/>
        </w:numPr>
        <w:tabs>
          <w:tab w:pos="1424" w:val="left" w:leader="none"/>
        </w:tabs>
        <w:spacing w:line="446" w:lineRule="auto" w:before="0" w:after="0"/>
        <w:ind w:left="418" w:right="1608" w:firstLine="422"/>
        <w:jc w:val="both"/>
        <w:rPr>
          <w:sz w:val="21"/>
        </w:rPr>
      </w:pPr>
      <w:r>
        <w:rPr>
          <w:spacing w:val="-5"/>
          <w:sz w:val="21"/>
        </w:rPr>
        <w:t>除洁净厂房外，设置自然排烟系统的任一层建筑面积大于 </w:t>
      </w:r>
      <w:r>
        <w:rPr>
          <w:sz w:val="21"/>
        </w:rPr>
        <w:t>2500m</w:t>
      </w:r>
      <w:r>
        <w:rPr>
          <w:position w:val="11"/>
          <w:sz w:val="11"/>
        </w:rPr>
        <w:t>2</w:t>
      </w:r>
      <w:r>
        <w:rPr>
          <w:spacing w:val="-21"/>
          <w:position w:val="11"/>
          <w:sz w:val="11"/>
        </w:rPr>
        <w:t> </w:t>
      </w:r>
      <w:r>
        <w:rPr>
          <w:spacing w:val="-3"/>
          <w:sz w:val="21"/>
        </w:rPr>
        <w:t>的制鞋、制衣、玩具、塑料、木器加工储存等丙类工业建筑，除自然排烟所需排烟窗</w:t>
      </w:r>
      <w:r>
        <w:rPr>
          <w:sz w:val="21"/>
        </w:rPr>
        <w:t>（</w:t>
      </w:r>
      <w:r>
        <w:rPr>
          <w:spacing w:val="-3"/>
          <w:sz w:val="21"/>
        </w:rPr>
        <w:t>口</w:t>
      </w:r>
      <w:r>
        <w:rPr>
          <w:sz w:val="21"/>
        </w:rPr>
        <w:t>）</w:t>
      </w:r>
      <w:r>
        <w:rPr>
          <w:spacing w:val="-3"/>
          <w:sz w:val="21"/>
        </w:rPr>
        <w:t>外，尚宜在屋面上增设可熔性采光带</w:t>
      </w:r>
      <w:r>
        <w:rPr>
          <w:sz w:val="21"/>
        </w:rPr>
        <w:t>（</w:t>
      </w:r>
      <w:r>
        <w:rPr>
          <w:spacing w:val="-3"/>
          <w:sz w:val="21"/>
        </w:rPr>
        <w:t>窗</w:t>
      </w:r>
      <w:r>
        <w:rPr>
          <w:sz w:val="21"/>
        </w:rPr>
        <w:t>）</w:t>
      </w:r>
      <w:r>
        <w:rPr>
          <w:spacing w:val="-3"/>
          <w:sz w:val="21"/>
        </w:rPr>
        <w:t>，其面积应符合下列规定：</w:t>
      </w:r>
      <w:r>
        <w:rPr>
          <w:sz w:val="21"/>
        </w:rPr>
        <w:t> </w:t>
      </w:r>
    </w:p>
    <w:p>
      <w:pPr>
        <w:pStyle w:val="BodyText"/>
        <w:spacing w:line="446" w:lineRule="auto"/>
        <w:ind w:left="418" w:right="1817" w:firstLine="419"/>
        <w:jc w:val="both"/>
      </w:pPr>
      <w:r>
        <w:rPr/>
        <w:t>未设置自动喷水灭火系统的，或采用钢结构屋顶，或采用预应力钢筋混凝土屋面板的建筑，不应小于楼地面面积的 10%； </w:t>
      </w:r>
    </w:p>
    <w:p>
      <w:pPr>
        <w:pStyle w:val="BodyText"/>
        <w:ind w:left="838"/>
        <w:jc w:val="both"/>
      </w:pPr>
      <w:r>
        <w:rPr/>
        <w:t>其他建筑不应小于楼地面面积的 5%。 </w:t>
      </w:r>
    </w:p>
    <w:p>
      <w:pPr>
        <w:pStyle w:val="BodyText"/>
        <w:spacing w:before="11"/>
        <w:rPr>
          <w:sz w:val="17"/>
        </w:rPr>
      </w:pPr>
    </w:p>
    <w:p>
      <w:pPr>
        <w:pStyle w:val="BodyText"/>
        <w:spacing w:line="446" w:lineRule="auto"/>
        <w:ind w:left="840" w:right="4237" w:hanging="3"/>
      </w:pPr>
      <w:r>
        <w:rPr/>
        <w:t>注：可熔性采光带（窗）的有效面积应按其实际面积计算。</w:t>
      </w:r>
      <w:r>
        <w:rPr>
          <w:b/>
        </w:rPr>
        <w:t>4.4 </w:t>
      </w:r>
      <w:r>
        <w:rPr/>
        <w:t>机械排烟设施 </w:t>
      </w:r>
    </w:p>
    <w:p>
      <w:pPr>
        <w:pStyle w:val="ListParagraph"/>
        <w:numPr>
          <w:ilvl w:val="2"/>
          <w:numId w:val="878"/>
        </w:numPr>
        <w:tabs>
          <w:tab w:pos="1424" w:val="left" w:leader="none"/>
        </w:tabs>
        <w:spacing w:line="446" w:lineRule="auto" w:before="0" w:after="0"/>
        <w:ind w:left="418" w:right="1657" w:firstLine="422"/>
        <w:jc w:val="left"/>
        <w:rPr>
          <w:sz w:val="21"/>
        </w:rPr>
      </w:pPr>
      <w:r>
        <w:rPr>
          <w:spacing w:val="-3"/>
          <w:sz w:val="21"/>
        </w:rPr>
        <w:t>当建筑的机械排烟系统沿水平方向布置时，每个防火分区的机械排烟系统应独立设置。</w:t>
      </w:r>
      <w:r>
        <w:rPr>
          <w:sz w:val="21"/>
        </w:rPr>
        <w:t> </w:t>
      </w:r>
    </w:p>
    <w:p>
      <w:pPr>
        <w:pStyle w:val="ListParagraph"/>
        <w:numPr>
          <w:ilvl w:val="2"/>
          <w:numId w:val="878"/>
        </w:numPr>
        <w:tabs>
          <w:tab w:pos="1424" w:val="left" w:leader="none"/>
        </w:tabs>
        <w:spacing w:line="446" w:lineRule="auto" w:before="0" w:after="0"/>
        <w:ind w:left="418" w:right="1553" w:firstLine="422"/>
        <w:jc w:val="left"/>
        <w:rPr>
          <w:sz w:val="21"/>
        </w:rPr>
      </w:pPr>
      <w:r>
        <w:rPr>
          <w:spacing w:val="-9"/>
          <w:sz w:val="21"/>
        </w:rPr>
        <w:t>建筑高度超过 </w:t>
      </w:r>
      <w:r>
        <w:rPr>
          <w:sz w:val="21"/>
        </w:rPr>
        <w:t>50m</w:t>
      </w:r>
      <w:r>
        <w:rPr>
          <w:spacing w:val="-11"/>
          <w:sz w:val="21"/>
        </w:rPr>
        <w:t> 的公共建筑和建筑高度超过 </w:t>
      </w:r>
      <w:r>
        <w:rPr>
          <w:sz w:val="21"/>
        </w:rPr>
        <w:t>100m</w:t>
      </w:r>
      <w:r>
        <w:rPr>
          <w:spacing w:val="-9"/>
          <w:sz w:val="21"/>
        </w:rPr>
        <w:t> 的住宅，其排烟系统应竖向分段</w:t>
      </w:r>
      <w:r>
        <w:rPr>
          <w:spacing w:val="-8"/>
          <w:sz w:val="21"/>
        </w:rPr>
        <w:t>独立设置，且公共建筑每段高度不应超过 </w:t>
      </w:r>
      <w:r>
        <w:rPr>
          <w:sz w:val="21"/>
        </w:rPr>
        <w:t>50m</w:t>
      </w:r>
      <w:r>
        <w:rPr>
          <w:spacing w:val="-7"/>
          <w:sz w:val="21"/>
        </w:rPr>
        <w:t>，住宅建筑每段高度不应超过 </w:t>
      </w:r>
      <w:r>
        <w:rPr>
          <w:sz w:val="21"/>
        </w:rPr>
        <w:t>100m</w:t>
      </w:r>
      <w:r>
        <w:rPr>
          <w:spacing w:val="-3"/>
          <w:sz w:val="21"/>
        </w:rPr>
        <w:t>。</w:t>
      </w:r>
      <w:r>
        <w:rPr>
          <w:sz w:val="21"/>
        </w:rPr>
        <w:t> </w:t>
      </w:r>
    </w:p>
    <w:p>
      <w:pPr>
        <w:pStyle w:val="ListParagraph"/>
        <w:numPr>
          <w:ilvl w:val="2"/>
          <w:numId w:val="878"/>
        </w:numPr>
        <w:tabs>
          <w:tab w:pos="1424" w:val="left" w:leader="none"/>
        </w:tabs>
        <w:spacing w:line="446" w:lineRule="auto" w:before="0" w:after="0"/>
        <w:ind w:left="418" w:right="1445" w:firstLine="422"/>
        <w:jc w:val="left"/>
        <w:rPr>
          <w:sz w:val="21"/>
        </w:rPr>
      </w:pPr>
      <w:r>
        <w:rPr>
          <w:spacing w:val="-3"/>
          <w:sz w:val="21"/>
        </w:rPr>
        <w:t>排烟系统与通风、空气调节系统应分开设置；当确有困难时可以合用，但应符合排烟系统的要求，且当排烟口打开时，每个排烟合用系统的管道上需联动关闭的通风和空气调节系 </w:t>
      </w:r>
      <w:r>
        <w:rPr>
          <w:spacing w:val="-8"/>
          <w:sz w:val="21"/>
        </w:rPr>
        <w:t>统的控制阀门不应超过 </w:t>
      </w:r>
      <w:r>
        <w:rPr>
          <w:sz w:val="21"/>
        </w:rPr>
        <w:t>10</w:t>
      </w:r>
      <w:r>
        <w:rPr>
          <w:spacing w:val="-20"/>
          <w:sz w:val="21"/>
        </w:rPr>
        <w:t> 个。</w:t>
      </w:r>
      <w:r>
        <w:rPr>
          <w:sz w:val="21"/>
        </w:rPr>
        <w:t> </w:t>
      </w:r>
    </w:p>
    <w:p>
      <w:pPr>
        <w:pStyle w:val="ListParagraph"/>
        <w:numPr>
          <w:ilvl w:val="2"/>
          <w:numId w:val="878"/>
        </w:numPr>
        <w:tabs>
          <w:tab w:pos="1424" w:val="left" w:leader="none"/>
        </w:tabs>
        <w:spacing w:line="446" w:lineRule="auto" w:before="0" w:after="0"/>
        <w:ind w:left="418" w:right="1445" w:firstLine="422"/>
        <w:jc w:val="left"/>
        <w:rPr>
          <w:sz w:val="21"/>
        </w:rPr>
      </w:pPr>
      <w:r>
        <w:rPr>
          <w:spacing w:val="-3"/>
          <w:sz w:val="21"/>
        </w:rPr>
        <w:t>排烟风机宜设置在排烟系统的最高处，烟气出口宜朝上，并应高于加压送风机和补风</w:t>
      </w:r>
      <w:r>
        <w:rPr>
          <w:spacing w:val="-5"/>
          <w:sz w:val="21"/>
        </w:rPr>
        <w:t>机的进风口，两者垂直距离或水平距离应符合本标准第 </w:t>
      </w:r>
      <w:r>
        <w:rPr>
          <w:sz w:val="21"/>
        </w:rPr>
        <w:t>3.3.5</w:t>
      </w:r>
      <w:r>
        <w:rPr>
          <w:spacing w:val="-28"/>
          <w:sz w:val="21"/>
        </w:rPr>
        <w:t> 条第 </w:t>
      </w:r>
      <w:r>
        <w:rPr>
          <w:sz w:val="21"/>
        </w:rPr>
        <w:t>3</w:t>
      </w:r>
      <w:r>
        <w:rPr>
          <w:spacing w:val="-10"/>
          <w:sz w:val="21"/>
        </w:rPr>
        <w:t> 款的规定。 </w:t>
      </w:r>
    </w:p>
    <w:p>
      <w:pPr>
        <w:spacing w:after="0" w:line="446" w:lineRule="auto"/>
        <w:jc w:val="left"/>
        <w:rPr>
          <w:sz w:val="21"/>
        </w:rPr>
        <w:sectPr>
          <w:pgSz w:w="11910" w:h="16850"/>
          <w:pgMar w:header="0" w:footer="1239" w:top="1220" w:bottom="1420" w:left="1260" w:right="0"/>
        </w:sectPr>
      </w:pPr>
    </w:p>
    <w:p>
      <w:pPr>
        <w:pStyle w:val="ListParagraph"/>
        <w:numPr>
          <w:ilvl w:val="2"/>
          <w:numId w:val="878"/>
        </w:numPr>
        <w:tabs>
          <w:tab w:pos="1371" w:val="left" w:leader="none"/>
        </w:tabs>
        <w:spacing w:line="446" w:lineRule="auto" w:before="47" w:after="0"/>
        <w:ind w:left="418" w:right="1604" w:firstLine="422"/>
        <w:jc w:val="both"/>
        <w:rPr>
          <w:sz w:val="21"/>
        </w:rPr>
      </w:pPr>
      <w:r>
        <w:rPr>
          <w:spacing w:val="-5"/>
          <w:sz w:val="21"/>
        </w:rPr>
        <w:t>排烟风机应设置在专用机房内，并应符合本标准第 </w:t>
      </w:r>
      <w:r>
        <w:rPr>
          <w:sz w:val="21"/>
        </w:rPr>
        <w:t>3.3.5</w:t>
      </w:r>
      <w:r>
        <w:rPr>
          <w:spacing w:val="-25"/>
          <w:sz w:val="21"/>
        </w:rPr>
        <w:t> 条第 </w:t>
      </w:r>
      <w:r>
        <w:rPr>
          <w:sz w:val="21"/>
        </w:rPr>
        <w:t>5</w:t>
      </w:r>
      <w:r>
        <w:rPr>
          <w:spacing w:val="-9"/>
          <w:sz w:val="21"/>
        </w:rPr>
        <w:t> 款的规定，且风机</w:t>
      </w:r>
      <w:r>
        <w:rPr>
          <w:spacing w:val="-12"/>
          <w:sz w:val="21"/>
        </w:rPr>
        <w:t>两侧应有 </w:t>
      </w:r>
      <w:r>
        <w:rPr>
          <w:sz w:val="21"/>
        </w:rPr>
        <w:t>600mm</w:t>
      </w:r>
      <w:r>
        <w:rPr>
          <w:spacing w:val="-7"/>
          <w:sz w:val="21"/>
        </w:rPr>
        <w:t> 以上的空间。对于排烟系统与通风空气调节系统共用的系统，其排烟风机与排</w:t>
      </w:r>
      <w:r>
        <w:rPr>
          <w:spacing w:val="-5"/>
          <w:sz w:val="21"/>
        </w:rPr>
        <w:t>风风机的合用机房应符合下列规定：</w:t>
      </w:r>
      <w:r>
        <w:rPr>
          <w:sz w:val="21"/>
        </w:rPr>
        <w:t> </w:t>
      </w:r>
    </w:p>
    <w:p>
      <w:pPr>
        <w:pStyle w:val="BodyText"/>
        <w:spacing w:line="268" w:lineRule="exact"/>
        <w:ind w:left="838"/>
      </w:pPr>
      <w:r>
        <w:rPr/>
        <w:t>机房内应设置自动喷水灭火系统； </w:t>
      </w:r>
    </w:p>
    <w:p>
      <w:pPr>
        <w:pStyle w:val="BodyText"/>
        <w:rPr>
          <w:sz w:val="18"/>
        </w:rPr>
      </w:pPr>
    </w:p>
    <w:p>
      <w:pPr>
        <w:pStyle w:val="BodyText"/>
        <w:ind w:left="838"/>
      </w:pPr>
      <w:r>
        <w:rPr/>
        <w:t>机房内不得设置用于机械加压送风的风机与管道； </w:t>
      </w:r>
    </w:p>
    <w:p>
      <w:pPr>
        <w:pStyle w:val="BodyText"/>
        <w:spacing w:before="12"/>
        <w:rPr>
          <w:sz w:val="17"/>
        </w:rPr>
      </w:pPr>
    </w:p>
    <w:p>
      <w:pPr>
        <w:pStyle w:val="BodyText"/>
        <w:ind w:left="838"/>
        <w:jc w:val="both"/>
      </w:pPr>
      <w:r>
        <w:rPr/>
        <w:t>排烟风机与排烟管道的连接部件应能在 280℃时连续 30min 保证其结构完整性。 </w:t>
      </w:r>
    </w:p>
    <w:p>
      <w:pPr>
        <w:pStyle w:val="BodyText"/>
        <w:spacing w:before="2"/>
        <w:rPr>
          <w:sz w:val="18"/>
        </w:rPr>
      </w:pPr>
    </w:p>
    <w:p>
      <w:pPr>
        <w:pStyle w:val="ListParagraph"/>
        <w:numPr>
          <w:ilvl w:val="2"/>
          <w:numId w:val="878"/>
        </w:numPr>
        <w:tabs>
          <w:tab w:pos="1424" w:val="left" w:leader="none"/>
        </w:tabs>
        <w:spacing w:line="446" w:lineRule="auto" w:before="0" w:after="0"/>
        <w:ind w:left="418" w:right="1498" w:firstLine="422"/>
        <w:jc w:val="both"/>
        <w:rPr>
          <w:sz w:val="21"/>
        </w:rPr>
      </w:pPr>
      <w:r>
        <w:rPr>
          <w:spacing w:val="-8"/>
          <w:sz w:val="21"/>
        </w:rPr>
        <w:t>排烟风机应满足 </w:t>
      </w:r>
      <w:r>
        <w:rPr>
          <w:sz w:val="21"/>
        </w:rPr>
        <w:t>280</w:t>
      </w:r>
      <w:r>
        <w:rPr>
          <w:spacing w:val="-8"/>
          <w:sz w:val="21"/>
        </w:rPr>
        <w:t>℃时连续工作 </w:t>
      </w:r>
      <w:r>
        <w:rPr>
          <w:sz w:val="21"/>
        </w:rPr>
        <w:t>30min</w:t>
      </w:r>
      <w:r>
        <w:rPr>
          <w:spacing w:val="-8"/>
          <w:sz w:val="21"/>
        </w:rPr>
        <w:t> 的要求，排烟风机应与风机入口处的排烟防</w:t>
      </w:r>
      <w:r>
        <w:rPr>
          <w:spacing w:val="-5"/>
          <w:sz w:val="21"/>
        </w:rPr>
        <w:t>火阀连锁，当该阀关闭时，排烟风机应能停止运转。 </w:t>
      </w:r>
    </w:p>
    <w:p>
      <w:pPr>
        <w:pStyle w:val="ListParagraph"/>
        <w:numPr>
          <w:ilvl w:val="2"/>
          <w:numId w:val="878"/>
        </w:numPr>
        <w:tabs>
          <w:tab w:pos="1424" w:val="left" w:leader="none"/>
        </w:tabs>
        <w:spacing w:line="446" w:lineRule="auto" w:before="0" w:after="0"/>
        <w:ind w:left="418" w:right="1445" w:firstLine="422"/>
        <w:jc w:val="both"/>
        <w:rPr>
          <w:sz w:val="21"/>
        </w:rPr>
      </w:pPr>
      <w:r>
        <w:rPr>
          <w:spacing w:val="-3"/>
          <w:sz w:val="21"/>
        </w:rPr>
        <w:t>机械排烟系统应采用管道排烟，且不应采用土建风道。排烟管道应采用不燃材料制作</w:t>
      </w:r>
      <w:r>
        <w:rPr>
          <w:spacing w:val="-4"/>
          <w:sz w:val="21"/>
        </w:rPr>
        <w:t>且内壁应光滑。当排烟管道内壁为金属时，管道设计风速不应大于 </w:t>
      </w:r>
      <w:r>
        <w:rPr>
          <w:sz w:val="21"/>
        </w:rPr>
        <w:t>20m/s</w:t>
      </w:r>
      <w:r>
        <w:rPr>
          <w:spacing w:val="-3"/>
          <w:sz w:val="21"/>
        </w:rPr>
        <w:t>；当排烟管道内壁为非</w:t>
      </w:r>
      <w:r>
        <w:rPr>
          <w:spacing w:val="-5"/>
          <w:sz w:val="21"/>
        </w:rPr>
        <w:t>金属时，管道设计风速不应大于 </w:t>
      </w:r>
      <w:r>
        <w:rPr>
          <w:sz w:val="21"/>
        </w:rPr>
        <w:t>15m/s</w:t>
      </w:r>
      <w:r>
        <w:rPr>
          <w:spacing w:val="-3"/>
          <w:sz w:val="21"/>
        </w:rPr>
        <w:t>；排烟管道的厚度应按现行国家标准《通风与空调工程施工质量验收规范》</w:t>
      </w:r>
      <w:r>
        <w:rPr>
          <w:sz w:val="21"/>
        </w:rPr>
        <w:t>GB 50243</w:t>
      </w:r>
      <w:r>
        <w:rPr>
          <w:spacing w:val="-9"/>
          <w:sz w:val="21"/>
        </w:rPr>
        <w:t> 的有关规定执行。</w:t>
      </w:r>
      <w:r>
        <w:rPr>
          <w:sz w:val="21"/>
        </w:rPr>
        <w:t> </w:t>
      </w:r>
    </w:p>
    <w:p>
      <w:pPr>
        <w:pStyle w:val="ListParagraph"/>
        <w:numPr>
          <w:ilvl w:val="2"/>
          <w:numId w:val="878"/>
        </w:numPr>
        <w:tabs>
          <w:tab w:pos="1424" w:val="left" w:leader="none"/>
        </w:tabs>
        <w:spacing w:line="269" w:lineRule="exact" w:before="0" w:after="0"/>
        <w:ind w:left="1423" w:right="0" w:hanging="584"/>
        <w:jc w:val="both"/>
        <w:rPr>
          <w:sz w:val="21"/>
        </w:rPr>
      </w:pPr>
      <w:r>
        <w:rPr>
          <w:spacing w:val="-3"/>
          <w:sz w:val="21"/>
        </w:rPr>
        <w:t>排烟管道的设置和耐火极限应符合下列规定： </w:t>
      </w:r>
    </w:p>
    <w:p>
      <w:pPr>
        <w:pStyle w:val="BodyText"/>
        <w:spacing w:before="11"/>
        <w:rPr>
          <w:sz w:val="17"/>
        </w:rPr>
      </w:pPr>
    </w:p>
    <w:p>
      <w:pPr>
        <w:pStyle w:val="BodyText"/>
        <w:ind w:left="838"/>
        <w:jc w:val="both"/>
      </w:pPr>
      <w:r>
        <w:rPr/>
        <w:t>排烟管道及其连接部件应能在 280℃时连续 30min 保证其结构完整性。 </w:t>
      </w:r>
    </w:p>
    <w:p>
      <w:pPr>
        <w:pStyle w:val="BodyText"/>
        <w:spacing w:before="12"/>
        <w:rPr>
          <w:sz w:val="17"/>
        </w:rPr>
      </w:pPr>
    </w:p>
    <w:p>
      <w:pPr>
        <w:pStyle w:val="BodyText"/>
        <w:ind w:left="838"/>
      </w:pPr>
      <w:r>
        <w:rPr/>
        <w:t>竖向设置的排烟管道应设置在独立的管道井内，排烟管道的耐火极限不应低于 0.50h。 </w:t>
      </w:r>
    </w:p>
    <w:p>
      <w:pPr>
        <w:pStyle w:val="BodyText"/>
        <w:spacing w:before="2"/>
        <w:rPr>
          <w:sz w:val="18"/>
        </w:rPr>
      </w:pPr>
    </w:p>
    <w:p>
      <w:pPr>
        <w:pStyle w:val="BodyText"/>
        <w:spacing w:line="446" w:lineRule="auto"/>
        <w:ind w:left="418" w:right="1391" w:firstLine="419"/>
      </w:pPr>
      <w:r>
        <w:rPr/>
        <w:t>水平设置的排烟管道应设置在吊顶内，其耐火极限不应低于 0.50h；当确有困难时，可直接设置在室内，但管道的耐火极限不应小于 1.00h。 </w:t>
      </w:r>
    </w:p>
    <w:p>
      <w:pPr>
        <w:pStyle w:val="BodyText"/>
        <w:spacing w:line="446" w:lineRule="auto"/>
        <w:ind w:left="418" w:right="1609" w:firstLine="419"/>
      </w:pPr>
      <w:r>
        <w:rPr/>
        <w:t>设置在走道部位吊顶内的排烟管道，以及穿越防火分区的排烟管道，其管道的耐火极限不应小于 1.00h，但设备用房和汽车库的排烟管道耐火极限可不低于 0.50h。 </w:t>
      </w:r>
    </w:p>
    <w:p>
      <w:pPr>
        <w:pStyle w:val="ListParagraph"/>
        <w:numPr>
          <w:ilvl w:val="2"/>
          <w:numId w:val="878"/>
        </w:numPr>
        <w:tabs>
          <w:tab w:pos="1424" w:val="left" w:leader="none"/>
        </w:tabs>
        <w:spacing w:line="446" w:lineRule="auto" w:before="0" w:after="0"/>
        <w:ind w:left="418" w:right="1445" w:firstLine="422"/>
        <w:jc w:val="left"/>
        <w:rPr>
          <w:sz w:val="21"/>
        </w:rPr>
      </w:pPr>
      <w:r>
        <w:rPr>
          <w:spacing w:val="-3"/>
          <w:sz w:val="21"/>
        </w:rPr>
        <w:t>当吊顶内有可燃物时，吊顶内的排烟管道应采用不燃材料进行隔热，并应与可燃物保</w:t>
      </w:r>
      <w:r>
        <w:rPr>
          <w:spacing w:val="-13"/>
          <w:sz w:val="21"/>
        </w:rPr>
        <w:t>持不小于 </w:t>
      </w:r>
      <w:r>
        <w:rPr>
          <w:sz w:val="21"/>
        </w:rPr>
        <w:t>150mm</w:t>
      </w:r>
      <w:r>
        <w:rPr>
          <w:spacing w:val="-12"/>
          <w:sz w:val="21"/>
        </w:rPr>
        <w:t> 的距离。 </w:t>
      </w:r>
    </w:p>
    <w:p>
      <w:pPr>
        <w:pStyle w:val="ListParagraph"/>
        <w:numPr>
          <w:ilvl w:val="2"/>
          <w:numId w:val="878"/>
        </w:numPr>
        <w:tabs>
          <w:tab w:pos="1478" w:val="left" w:leader="none"/>
        </w:tabs>
        <w:spacing w:line="446" w:lineRule="auto" w:before="0" w:after="0"/>
        <w:ind w:left="838" w:right="5288" w:firstLine="2"/>
        <w:jc w:val="left"/>
        <w:rPr>
          <w:sz w:val="21"/>
        </w:rPr>
      </w:pPr>
      <w:r>
        <w:rPr>
          <w:spacing w:val="-2"/>
          <w:sz w:val="21"/>
        </w:rPr>
        <w:t>排烟管道下列部位应设置排烟防火阀： 垂直风管与每层水平风管交接处的水平管段上； 一个排烟系统负担多个防烟分区的排烟支管上； 排</w:t>
      </w:r>
      <w:r>
        <w:rPr>
          <w:spacing w:val="-3"/>
          <w:sz w:val="21"/>
        </w:rPr>
        <w:t>烟风机入口处；</w:t>
      </w:r>
      <w:r>
        <w:rPr>
          <w:sz w:val="21"/>
        </w:rPr>
        <w:t> </w:t>
      </w:r>
    </w:p>
    <w:p>
      <w:pPr>
        <w:pStyle w:val="BodyText"/>
        <w:spacing w:line="267" w:lineRule="exact"/>
        <w:ind w:left="838"/>
      </w:pPr>
      <w:r>
        <w:rPr/>
        <w:t>穿越防火分区处。 </w:t>
      </w:r>
    </w:p>
    <w:p>
      <w:pPr>
        <w:pStyle w:val="BodyText"/>
        <w:spacing w:before="10"/>
        <w:rPr>
          <w:sz w:val="17"/>
        </w:rPr>
      </w:pPr>
    </w:p>
    <w:p>
      <w:pPr>
        <w:pStyle w:val="ListParagraph"/>
        <w:numPr>
          <w:ilvl w:val="2"/>
          <w:numId w:val="878"/>
        </w:numPr>
        <w:tabs>
          <w:tab w:pos="1478" w:val="left" w:leader="none"/>
        </w:tabs>
        <w:spacing w:line="446" w:lineRule="auto" w:before="0" w:after="0"/>
        <w:ind w:left="418" w:right="1496" w:firstLine="422"/>
        <w:jc w:val="left"/>
        <w:rPr>
          <w:sz w:val="21"/>
        </w:rPr>
      </w:pPr>
      <w:r>
        <w:rPr>
          <w:spacing w:val="-5"/>
          <w:sz w:val="21"/>
        </w:rPr>
        <w:t>设置排烟管道的管道井应采用耐火极限不小于 </w:t>
      </w:r>
      <w:r>
        <w:rPr>
          <w:sz w:val="21"/>
        </w:rPr>
        <w:t>1.00h</w:t>
      </w:r>
      <w:r>
        <w:rPr>
          <w:spacing w:val="-8"/>
          <w:sz w:val="21"/>
        </w:rPr>
        <w:t> 的隔墙与相邻区域分隔；当墙</w:t>
      </w:r>
      <w:r>
        <w:rPr>
          <w:spacing w:val="-5"/>
          <w:sz w:val="21"/>
        </w:rPr>
        <w:t>上必须设置检修门时，应采用乙级防火门。</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78"/>
        </w:numPr>
        <w:tabs>
          <w:tab w:pos="1478" w:val="left" w:leader="none"/>
        </w:tabs>
        <w:spacing w:line="446" w:lineRule="auto" w:before="47" w:after="0"/>
        <w:ind w:left="418" w:right="1445" w:firstLine="422"/>
        <w:jc w:val="left"/>
        <w:rPr>
          <w:sz w:val="21"/>
        </w:rPr>
      </w:pPr>
      <w:r>
        <w:rPr>
          <w:spacing w:val="-2"/>
          <w:sz w:val="21"/>
        </w:rPr>
        <w:t>排烟口的设置应按本标准第 </w:t>
      </w:r>
      <w:r>
        <w:rPr>
          <w:sz w:val="21"/>
        </w:rPr>
        <w:t>4.6.3</w:t>
      </w:r>
      <w:r>
        <w:rPr>
          <w:spacing w:val="-8"/>
          <w:sz w:val="21"/>
        </w:rPr>
        <w:t> 条经计算确定，且防烟分区内任一点与最近的排烟口之间的水平距离不应大于 </w:t>
      </w:r>
      <w:r>
        <w:rPr>
          <w:sz w:val="21"/>
        </w:rPr>
        <w:t>30m</w:t>
      </w:r>
      <w:r>
        <w:rPr>
          <w:spacing w:val="-10"/>
          <w:sz w:val="21"/>
        </w:rPr>
        <w:t>。除本标准第 </w:t>
      </w:r>
      <w:r>
        <w:rPr>
          <w:sz w:val="21"/>
        </w:rPr>
        <w:t>4.4.13</w:t>
      </w:r>
      <w:r>
        <w:rPr>
          <w:spacing w:val="-8"/>
          <w:sz w:val="21"/>
        </w:rPr>
        <w:t> 条规定的情况以外，排烟口的设置尚应</w:t>
      </w:r>
      <w:r>
        <w:rPr>
          <w:spacing w:val="-5"/>
          <w:sz w:val="21"/>
        </w:rPr>
        <w:t>符合下列规定：</w:t>
      </w:r>
      <w:r>
        <w:rPr>
          <w:sz w:val="21"/>
        </w:rPr>
        <w:t> </w:t>
      </w:r>
    </w:p>
    <w:p>
      <w:pPr>
        <w:pStyle w:val="BodyText"/>
        <w:spacing w:line="268" w:lineRule="exact"/>
        <w:ind w:left="838"/>
      </w:pPr>
      <w:r>
        <w:rPr/>
        <w:t>排烟口宜设置在顶棚或靠近顶棚的墙面上。 </w:t>
      </w:r>
    </w:p>
    <w:p>
      <w:pPr>
        <w:pStyle w:val="BodyText"/>
        <w:rPr>
          <w:sz w:val="18"/>
        </w:rPr>
      </w:pPr>
    </w:p>
    <w:p>
      <w:pPr>
        <w:pStyle w:val="BodyText"/>
        <w:spacing w:line="446" w:lineRule="auto"/>
        <w:ind w:left="418" w:right="1505" w:firstLine="419"/>
      </w:pPr>
      <w:r>
        <w:rPr>
          <w:spacing w:val="-5"/>
        </w:rPr>
        <w:t>排烟口应设在储烟仓内，但走道、室内空间净高不大于 </w:t>
      </w:r>
      <w:r>
        <w:rPr/>
        <w:t>3m</w:t>
      </w:r>
      <w:r>
        <w:rPr>
          <w:spacing w:val="-7"/>
        </w:rPr>
        <w:t> 的区域，其排烟口可设置在其净</w:t>
      </w:r>
      <w:r>
        <w:rPr>
          <w:spacing w:val="-15"/>
        </w:rPr>
        <w:t>空高度的 </w:t>
      </w:r>
      <w:r>
        <w:rPr/>
        <w:t>1/2</w:t>
      </w:r>
      <w:r>
        <w:rPr>
          <w:spacing w:val="-11"/>
        </w:rPr>
        <w:t> 以上；当设置在侧墙时，吊顶与其最近边缘的距离不应大于 </w:t>
      </w:r>
      <w:r>
        <w:rPr/>
        <w:t>0.5m。 </w:t>
      </w:r>
    </w:p>
    <w:p>
      <w:pPr>
        <w:pStyle w:val="BodyText"/>
        <w:ind w:left="838"/>
      </w:pPr>
      <w:r>
        <w:rPr/>
        <w:t>对于需要设置机械排烟系统的房间，当其建筑面积小于 50 ㎡时，可通过走道排烟，排烟口</w:t>
      </w:r>
    </w:p>
    <w:p>
      <w:pPr>
        <w:pStyle w:val="BodyText"/>
        <w:rPr>
          <w:sz w:val="18"/>
        </w:rPr>
      </w:pPr>
    </w:p>
    <w:p>
      <w:pPr>
        <w:pStyle w:val="BodyText"/>
        <w:ind w:left="418"/>
      </w:pPr>
      <w:r>
        <w:rPr/>
        <w:t>可设置在疏散走道；排烟量应按本标准第 4.6.3 条第 3 款计算。 </w:t>
      </w:r>
    </w:p>
    <w:p>
      <w:pPr>
        <w:pStyle w:val="BodyText"/>
        <w:spacing w:before="12"/>
        <w:rPr>
          <w:sz w:val="17"/>
        </w:rPr>
      </w:pPr>
    </w:p>
    <w:p>
      <w:pPr>
        <w:pStyle w:val="BodyText"/>
        <w:spacing w:line="446" w:lineRule="auto"/>
        <w:ind w:left="418" w:right="1609" w:firstLine="419"/>
      </w:pPr>
      <w:r>
        <w:rPr/>
        <w:t>火灾时由火灾自动报警系统联动开启排烟区域的排烟阀或排烟口，应在现场设置手动开启装置。 </w:t>
      </w:r>
    </w:p>
    <w:p>
      <w:pPr>
        <w:pStyle w:val="BodyText"/>
        <w:spacing w:line="446" w:lineRule="auto"/>
        <w:ind w:left="418" w:right="1609" w:firstLine="419"/>
      </w:pPr>
      <w:r>
        <w:rPr/>
        <w:t>排烟口的设置宜使烟流方向与人员疏散方向相反，排烟口与附近安全出口相邻边缘之间的水平距离不应小于 1.5m。 </w:t>
      </w:r>
    </w:p>
    <w:p>
      <w:pPr>
        <w:pStyle w:val="BodyText"/>
        <w:spacing w:line="446" w:lineRule="auto"/>
        <w:ind w:left="418" w:right="1503" w:firstLine="419"/>
      </w:pPr>
      <w:r>
        <w:rPr>
          <w:spacing w:val="-4"/>
        </w:rPr>
        <w:t>每个排烟口的排烟量不应大于最大允许排烟量，最大允许排烟量应按本标准第 </w:t>
      </w:r>
      <w:r>
        <w:rPr/>
        <w:t>4.6.14</w:t>
      </w:r>
      <w:r>
        <w:rPr>
          <w:spacing w:val="-13"/>
        </w:rPr>
        <w:t> 条的</w:t>
      </w:r>
      <w:r>
        <w:rPr>
          <w:spacing w:val="-6"/>
        </w:rPr>
        <w:t>规定计算确定。</w:t>
      </w:r>
      <w:r>
        <w:rPr/>
        <w:t> </w:t>
      </w:r>
    </w:p>
    <w:p>
      <w:pPr>
        <w:pStyle w:val="BodyText"/>
        <w:spacing w:line="267" w:lineRule="exact"/>
        <w:ind w:left="838"/>
      </w:pPr>
      <w:r>
        <w:rPr/>
        <w:t>排烟口的风速不宜大于 10m/s。 </w:t>
      </w:r>
    </w:p>
    <w:p>
      <w:pPr>
        <w:pStyle w:val="BodyText"/>
        <w:spacing w:before="2"/>
        <w:rPr>
          <w:sz w:val="18"/>
        </w:rPr>
      </w:pPr>
    </w:p>
    <w:p>
      <w:pPr>
        <w:pStyle w:val="ListParagraph"/>
        <w:numPr>
          <w:ilvl w:val="2"/>
          <w:numId w:val="878"/>
        </w:numPr>
        <w:tabs>
          <w:tab w:pos="1478" w:val="left" w:leader="none"/>
        </w:tabs>
        <w:spacing w:line="240" w:lineRule="auto" w:before="0" w:after="0"/>
        <w:ind w:left="1477" w:right="0" w:hanging="638"/>
        <w:jc w:val="left"/>
        <w:rPr>
          <w:sz w:val="21"/>
        </w:rPr>
      </w:pPr>
      <w:r>
        <w:rPr>
          <w:spacing w:val="-3"/>
          <w:sz w:val="21"/>
        </w:rPr>
        <w:t>当排烟口设在吊顶内且通过吊顶上部空间进行排烟时，应符合下列规定： </w:t>
      </w:r>
    </w:p>
    <w:p>
      <w:pPr>
        <w:pStyle w:val="BodyText"/>
        <w:spacing w:before="12"/>
        <w:rPr>
          <w:sz w:val="17"/>
        </w:rPr>
      </w:pPr>
    </w:p>
    <w:p>
      <w:pPr>
        <w:pStyle w:val="BodyText"/>
        <w:ind w:left="838"/>
      </w:pPr>
      <w:r>
        <w:rPr/>
        <w:t>吊顶应采用不燃材料，且吊顶内不应有可燃物； </w:t>
      </w:r>
    </w:p>
    <w:p>
      <w:pPr>
        <w:pStyle w:val="BodyText"/>
        <w:spacing w:before="12"/>
        <w:rPr>
          <w:sz w:val="17"/>
        </w:rPr>
      </w:pPr>
    </w:p>
    <w:p>
      <w:pPr>
        <w:pStyle w:val="BodyText"/>
        <w:ind w:left="838"/>
      </w:pPr>
      <w:r>
        <w:rPr/>
        <w:t>封闭式吊顶上设置的烟气流入口的颈部烟气速度不宜大于 1.5m/s ； </w:t>
      </w:r>
    </w:p>
    <w:p>
      <w:pPr>
        <w:pStyle w:val="BodyText"/>
        <w:spacing w:before="2"/>
        <w:rPr>
          <w:sz w:val="18"/>
        </w:rPr>
      </w:pPr>
    </w:p>
    <w:p>
      <w:pPr>
        <w:pStyle w:val="BodyText"/>
        <w:ind w:left="838"/>
      </w:pPr>
      <w:r>
        <w:rPr/>
        <w:t>非封闭式吊顶的开孔率不应小于吊顶净面积的 25%，且孔洞应均匀布置。 </w:t>
      </w:r>
    </w:p>
    <w:p>
      <w:pPr>
        <w:pStyle w:val="BodyText"/>
        <w:rPr>
          <w:sz w:val="18"/>
        </w:rPr>
      </w:pPr>
    </w:p>
    <w:p>
      <w:pPr>
        <w:pStyle w:val="ListParagraph"/>
        <w:numPr>
          <w:ilvl w:val="2"/>
          <w:numId w:val="878"/>
        </w:numPr>
        <w:tabs>
          <w:tab w:pos="1478" w:val="left" w:leader="none"/>
        </w:tabs>
        <w:spacing w:line="446" w:lineRule="auto" w:before="0" w:after="0"/>
        <w:ind w:left="838" w:right="1812" w:firstLine="2"/>
        <w:jc w:val="left"/>
        <w:rPr>
          <w:sz w:val="21"/>
        </w:rPr>
      </w:pPr>
      <w:r>
        <w:rPr>
          <w:spacing w:val="-7"/>
          <w:sz w:val="21"/>
        </w:rPr>
        <w:t>按本标准第 </w:t>
      </w:r>
      <w:r>
        <w:rPr>
          <w:sz w:val="21"/>
        </w:rPr>
        <w:t>4.1.4</w:t>
      </w:r>
      <w:r>
        <w:rPr>
          <w:spacing w:val="-7"/>
          <w:sz w:val="21"/>
        </w:rPr>
        <w:t> 条规定需要设置固定窗时，固定窗的布置应符合下列规定： </w:t>
      </w:r>
      <w:r>
        <w:rPr>
          <w:spacing w:val="-3"/>
          <w:sz w:val="21"/>
        </w:rPr>
        <w:t>非顶层区域的固定窗应布置在每层的外墙上；</w:t>
      </w:r>
      <w:r>
        <w:rPr>
          <w:sz w:val="21"/>
        </w:rPr>
        <w:t> </w:t>
      </w:r>
    </w:p>
    <w:p>
      <w:pPr>
        <w:pStyle w:val="BodyText"/>
        <w:spacing w:line="446" w:lineRule="auto"/>
        <w:ind w:left="418" w:right="1609" w:firstLine="419"/>
      </w:pPr>
      <w:r>
        <w:rPr/>
        <w:t>顶层区域的固定窗应布置在屋顶或顶层的外墙上，但未设置自动喷水灭火系统的以及采用钢结构屋顶或预应力钢筋混凝土屋面板的建筑应布置在屋顶。 </w:t>
      </w:r>
    </w:p>
    <w:p>
      <w:pPr>
        <w:pStyle w:val="ListParagraph"/>
        <w:numPr>
          <w:ilvl w:val="2"/>
          <w:numId w:val="878"/>
        </w:numPr>
        <w:tabs>
          <w:tab w:pos="1530" w:val="left" w:leader="none"/>
        </w:tabs>
        <w:spacing w:line="267" w:lineRule="exact" w:before="0" w:after="0"/>
        <w:ind w:left="1529" w:right="0" w:hanging="690"/>
        <w:jc w:val="left"/>
        <w:rPr>
          <w:sz w:val="21"/>
        </w:rPr>
      </w:pPr>
      <w:r>
        <w:rPr>
          <w:spacing w:val="-3"/>
          <w:sz w:val="21"/>
        </w:rPr>
        <w:t>固定窗的设置和有效面积应符合下列规定：</w:t>
      </w:r>
      <w:r>
        <w:rPr>
          <w:sz w:val="21"/>
        </w:rPr>
        <w:t> </w:t>
      </w:r>
    </w:p>
    <w:p>
      <w:pPr>
        <w:pStyle w:val="BodyText"/>
        <w:spacing w:before="2"/>
        <w:rPr>
          <w:sz w:val="18"/>
        </w:rPr>
      </w:pPr>
    </w:p>
    <w:p>
      <w:pPr>
        <w:pStyle w:val="BodyText"/>
        <w:ind w:left="838"/>
      </w:pPr>
      <w:r>
        <w:rPr/>
        <w:t>设置在顶层区域的固定窗，其总面积不应小于楼地面面积的 2%。 </w:t>
      </w:r>
    </w:p>
    <w:p>
      <w:pPr>
        <w:pStyle w:val="BodyText"/>
        <w:rPr>
          <w:sz w:val="18"/>
        </w:rPr>
      </w:pPr>
    </w:p>
    <w:p>
      <w:pPr>
        <w:pStyle w:val="BodyText"/>
        <w:spacing w:line="446" w:lineRule="auto"/>
        <w:ind w:left="418" w:right="1503" w:firstLine="419"/>
      </w:pPr>
      <w:r>
        <w:rPr>
          <w:spacing w:val="-5"/>
        </w:rPr>
        <w:t>设置在靠外墙且不位于顶层区域的固定窗，单个固定窗的面积不应小于 </w:t>
      </w:r>
      <w:r>
        <w:rPr/>
        <w:t>1</w:t>
      </w:r>
      <w:r>
        <w:rPr>
          <w:spacing w:val="-8"/>
        </w:rPr>
        <w:t> ㎡，且间距不宜</w:t>
      </w:r>
      <w:r>
        <w:rPr>
          <w:spacing w:val="-18"/>
        </w:rPr>
        <w:t>大于 </w:t>
      </w:r>
      <w:r>
        <w:rPr/>
        <w:t>20m</w:t>
      </w:r>
      <w:r>
        <w:rPr>
          <w:spacing w:val="-5"/>
        </w:rPr>
        <w:t>，其下沿距室内地面的高度不宜小于层高的 </w:t>
      </w:r>
      <w:r>
        <w:rPr/>
        <w:t>1/2</w:t>
      </w:r>
      <w:r>
        <w:rPr>
          <w:spacing w:val="-3"/>
        </w:rPr>
        <w:t>。供消防救援人员进入的窗口面积不计入固定窗面积，但可组合布置。</w:t>
      </w:r>
      <w:r>
        <w:rPr/>
        <w:t> </w:t>
      </w:r>
    </w:p>
    <w:p>
      <w:pPr>
        <w:spacing w:after="0" w:line="446" w:lineRule="auto"/>
        <w:sectPr>
          <w:pgSz w:w="11910" w:h="16850"/>
          <w:pgMar w:header="0" w:footer="1239" w:top="1220" w:bottom="1420" w:left="1260" w:right="0"/>
        </w:sectPr>
      </w:pPr>
    </w:p>
    <w:p>
      <w:pPr>
        <w:pStyle w:val="BodyText"/>
        <w:spacing w:before="47"/>
        <w:ind w:left="838"/>
      </w:pPr>
      <w:r>
        <w:rPr/>
        <w:t>设置在中庭区域的固定窗，其总面积不应小于中庭楼地面面积的 5%。 </w:t>
      </w:r>
    </w:p>
    <w:p>
      <w:pPr>
        <w:pStyle w:val="BodyText"/>
        <w:rPr>
          <w:sz w:val="18"/>
        </w:rPr>
      </w:pPr>
    </w:p>
    <w:p>
      <w:pPr>
        <w:pStyle w:val="BodyText"/>
        <w:spacing w:line="446" w:lineRule="auto"/>
        <w:ind w:left="418" w:right="1609" w:firstLine="419"/>
      </w:pPr>
      <w:r>
        <w:rPr/>
        <w:t>固定玻璃窗应按可破拆的玻璃面积计算，带有温控功能的可开启设施应按开启时的水平投影面积计算。 </w:t>
      </w:r>
    </w:p>
    <w:p>
      <w:pPr>
        <w:pStyle w:val="ListParagraph"/>
        <w:numPr>
          <w:ilvl w:val="2"/>
          <w:numId w:val="878"/>
        </w:numPr>
        <w:tabs>
          <w:tab w:pos="1530" w:val="left" w:leader="none"/>
        </w:tabs>
        <w:spacing w:line="240" w:lineRule="auto" w:before="0" w:after="0"/>
        <w:ind w:left="1529" w:right="0" w:hanging="690"/>
        <w:jc w:val="left"/>
        <w:rPr>
          <w:sz w:val="21"/>
        </w:rPr>
      </w:pPr>
      <w:r>
        <w:rPr>
          <w:spacing w:val="-3"/>
          <w:sz w:val="21"/>
        </w:rPr>
        <w:t>固定窗宜按每个防烟分区在屋顶或建筑外墙上均匀布置且不应跨越防火分区。 </w:t>
      </w:r>
    </w:p>
    <w:p>
      <w:pPr>
        <w:pStyle w:val="BodyText"/>
        <w:spacing w:before="2"/>
        <w:rPr>
          <w:sz w:val="17"/>
        </w:rPr>
      </w:pPr>
    </w:p>
    <w:p>
      <w:pPr>
        <w:pStyle w:val="ListParagraph"/>
        <w:numPr>
          <w:ilvl w:val="2"/>
          <w:numId w:val="878"/>
        </w:numPr>
        <w:tabs>
          <w:tab w:pos="1530" w:val="left" w:leader="none"/>
        </w:tabs>
        <w:spacing w:line="446" w:lineRule="auto" w:before="0" w:after="0"/>
        <w:ind w:left="418" w:right="1466" w:firstLine="422"/>
        <w:jc w:val="left"/>
        <w:rPr>
          <w:sz w:val="21"/>
        </w:rPr>
      </w:pPr>
      <w:r>
        <w:rPr>
          <w:spacing w:val="-2"/>
          <w:sz w:val="21"/>
        </w:rPr>
        <w:t>除洁净厂房外，设置机械排烟系统的任一层建筑面积大于 </w:t>
      </w:r>
      <w:r>
        <w:rPr>
          <w:sz w:val="21"/>
        </w:rPr>
        <w:t>2000m</w:t>
      </w:r>
      <w:r>
        <w:rPr>
          <w:position w:val="11"/>
          <w:sz w:val="11"/>
        </w:rPr>
        <w:t>2</w:t>
      </w:r>
      <w:r>
        <w:rPr>
          <w:spacing w:val="-25"/>
          <w:position w:val="11"/>
          <w:sz w:val="11"/>
        </w:rPr>
        <w:t> </w:t>
      </w:r>
      <w:r>
        <w:rPr>
          <w:spacing w:val="-3"/>
          <w:sz w:val="21"/>
        </w:rPr>
        <w:t>的制鞋、制衣、玩具、塑料、木器加工储存等丙类工业建筑，可采用可熔性采光带（</w:t>
      </w:r>
      <w:r>
        <w:rPr>
          <w:sz w:val="21"/>
        </w:rPr>
        <w:t>窗</w:t>
      </w:r>
      <w:r>
        <w:rPr>
          <w:spacing w:val="-3"/>
          <w:sz w:val="21"/>
        </w:rPr>
        <w:t>）替代固定窗，其面积应符合下列规定：</w:t>
      </w:r>
      <w:r>
        <w:rPr>
          <w:sz w:val="21"/>
        </w:rPr>
        <w:t> </w:t>
      </w:r>
    </w:p>
    <w:p>
      <w:pPr>
        <w:pStyle w:val="BodyText"/>
        <w:spacing w:line="446" w:lineRule="auto"/>
        <w:ind w:left="418" w:right="1609" w:firstLine="419"/>
      </w:pPr>
      <w:r>
        <w:rPr/>
        <w:t>未设置自动喷水灭火系统的或采用钢结构屋顶或预应力钢筋混凝土屋面板的建筑，不应小于楼地面面积的 10%； </w:t>
      </w:r>
    </w:p>
    <w:p>
      <w:pPr>
        <w:pStyle w:val="BodyText"/>
        <w:ind w:left="838"/>
      </w:pPr>
      <w:r>
        <w:rPr/>
        <w:t>其他建筑不应小于楼地面面积的 5%； </w:t>
      </w:r>
    </w:p>
    <w:p>
      <w:pPr>
        <w:pStyle w:val="BodyText"/>
        <w:spacing w:before="12"/>
        <w:rPr>
          <w:sz w:val="17"/>
        </w:rPr>
      </w:pPr>
    </w:p>
    <w:p>
      <w:pPr>
        <w:pStyle w:val="BodyText"/>
        <w:spacing w:line="446" w:lineRule="auto"/>
        <w:ind w:left="840" w:right="4237" w:hanging="3"/>
        <w:rPr>
          <w:b/>
        </w:rPr>
      </w:pPr>
      <w:r>
        <w:rPr/>
        <w:t>注：可熔性采光带（窗）的有效面积应按其实际面积计算。</w:t>
      </w:r>
      <w:r>
        <w:rPr>
          <w:b/>
          <w:color w:val="333333"/>
        </w:rPr>
        <w:t>4.5 </w:t>
      </w:r>
      <w:r>
        <w:rPr>
          <w:color w:val="333333"/>
        </w:rPr>
        <w:t>补风系统</w:t>
      </w:r>
      <w:r>
        <w:rPr>
          <w:b/>
          <w:color w:val="333333"/>
          <w:w w:val="99"/>
        </w:rPr>
        <w:t> </w:t>
      </w:r>
    </w:p>
    <w:p>
      <w:pPr>
        <w:pStyle w:val="ListParagraph"/>
        <w:numPr>
          <w:ilvl w:val="2"/>
          <w:numId w:val="879"/>
        </w:numPr>
        <w:tabs>
          <w:tab w:pos="1371" w:val="left" w:leader="none"/>
        </w:tabs>
        <w:spacing w:line="446" w:lineRule="auto" w:before="0" w:after="0"/>
        <w:ind w:left="418" w:right="1603" w:firstLine="422"/>
        <w:jc w:val="left"/>
        <w:rPr>
          <w:sz w:val="21"/>
        </w:rPr>
      </w:pPr>
      <w:r>
        <w:rPr>
          <w:spacing w:val="-6"/>
          <w:sz w:val="21"/>
        </w:rPr>
        <w:t>除地上建筑的走道或建筑面积小于 </w:t>
      </w:r>
      <w:r>
        <w:rPr>
          <w:sz w:val="21"/>
        </w:rPr>
        <w:t>500m2</w:t>
      </w:r>
      <w:r>
        <w:rPr>
          <w:spacing w:val="-8"/>
          <w:sz w:val="21"/>
        </w:rPr>
        <w:t> 的房间外，设置排烟系统的场所应设置补</w:t>
      </w:r>
      <w:r>
        <w:rPr>
          <w:spacing w:val="-6"/>
          <w:sz w:val="21"/>
        </w:rPr>
        <w:t>风系统。</w:t>
      </w:r>
      <w:r>
        <w:rPr>
          <w:sz w:val="21"/>
        </w:rPr>
        <w:t> </w:t>
      </w:r>
    </w:p>
    <w:p>
      <w:pPr>
        <w:pStyle w:val="ListParagraph"/>
        <w:numPr>
          <w:ilvl w:val="2"/>
          <w:numId w:val="879"/>
        </w:numPr>
        <w:tabs>
          <w:tab w:pos="1370" w:val="left" w:leader="none"/>
        </w:tabs>
        <w:spacing w:line="267" w:lineRule="exact" w:before="0" w:after="0"/>
        <w:ind w:left="1369" w:right="0" w:hanging="530"/>
        <w:jc w:val="left"/>
        <w:rPr>
          <w:sz w:val="21"/>
        </w:rPr>
      </w:pPr>
      <w:r>
        <w:rPr>
          <w:spacing w:val="-5"/>
          <w:sz w:val="21"/>
        </w:rPr>
        <w:t>补风系统应直接从室外引入空气，且补风量不应小于排烟量的 </w:t>
      </w:r>
      <w:r>
        <w:rPr>
          <w:sz w:val="21"/>
        </w:rPr>
        <w:t>50%。 </w:t>
      </w:r>
    </w:p>
    <w:p>
      <w:pPr>
        <w:pStyle w:val="BodyText"/>
        <w:spacing w:before="1"/>
        <w:rPr>
          <w:sz w:val="18"/>
        </w:rPr>
      </w:pPr>
    </w:p>
    <w:p>
      <w:pPr>
        <w:pStyle w:val="ListParagraph"/>
        <w:numPr>
          <w:ilvl w:val="2"/>
          <w:numId w:val="879"/>
        </w:numPr>
        <w:tabs>
          <w:tab w:pos="1370" w:val="left" w:leader="none"/>
        </w:tabs>
        <w:spacing w:line="446" w:lineRule="auto" w:before="1" w:after="0"/>
        <w:ind w:left="418" w:right="1604" w:firstLine="422"/>
        <w:jc w:val="left"/>
        <w:rPr>
          <w:sz w:val="21"/>
        </w:rPr>
      </w:pPr>
      <w:r>
        <w:rPr>
          <w:spacing w:val="-3"/>
          <w:sz w:val="21"/>
        </w:rPr>
        <w:t>补风系统可采用疏散外门、手动或自动可开启外窗等自然进风方式以及机械送风方式。防火门、窗不得用作补风设施。风机应设置在专用机房内。</w:t>
      </w:r>
      <w:r>
        <w:rPr>
          <w:sz w:val="21"/>
        </w:rPr>
        <w:t> </w:t>
      </w:r>
    </w:p>
    <w:p>
      <w:pPr>
        <w:pStyle w:val="ListParagraph"/>
        <w:numPr>
          <w:ilvl w:val="2"/>
          <w:numId w:val="879"/>
        </w:numPr>
        <w:tabs>
          <w:tab w:pos="1370" w:val="left" w:leader="none"/>
        </w:tabs>
        <w:spacing w:line="446" w:lineRule="auto" w:before="0" w:after="0"/>
        <w:ind w:left="418" w:right="1604" w:firstLine="422"/>
        <w:jc w:val="both"/>
        <w:rPr>
          <w:sz w:val="21"/>
        </w:rPr>
      </w:pPr>
      <w:r>
        <w:rPr>
          <w:spacing w:val="-3"/>
          <w:sz w:val="21"/>
        </w:rPr>
        <w:t>补风口与排烟口设置在同一空间内相邻的防烟分区时，补风口位置不限；当补风口与排烟口设置在同一防烟分区时，补风口应设在储烟仓下沿以下；补风口与排烟口水平距离不</w:t>
      </w:r>
      <w:r>
        <w:rPr>
          <w:spacing w:val="-15"/>
          <w:sz w:val="21"/>
        </w:rPr>
        <w:t>应少于 </w:t>
      </w:r>
      <w:r>
        <w:rPr>
          <w:sz w:val="21"/>
        </w:rPr>
        <w:t>5m</w:t>
      </w:r>
      <w:r>
        <w:rPr>
          <w:spacing w:val="-3"/>
          <w:sz w:val="21"/>
        </w:rPr>
        <w:t>。</w:t>
      </w:r>
      <w:r>
        <w:rPr>
          <w:sz w:val="21"/>
        </w:rPr>
        <w:t> </w:t>
      </w:r>
    </w:p>
    <w:p>
      <w:pPr>
        <w:pStyle w:val="ListParagraph"/>
        <w:numPr>
          <w:ilvl w:val="2"/>
          <w:numId w:val="879"/>
        </w:numPr>
        <w:tabs>
          <w:tab w:pos="1370" w:val="left" w:leader="none"/>
        </w:tabs>
        <w:spacing w:line="268" w:lineRule="exact" w:before="0" w:after="0"/>
        <w:ind w:left="1369" w:right="0" w:hanging="530"/>
        <w:jc w:val="left"/>
        <w:rPr>
          <w:sz w:val="21"/>
        </w:rPr>
      </w:pPr>
      <w:r>
        <w:rPr>
          <w:spacing w:val="-3"/>
          <w:sz w:val="21"/>
        </w:rPr>
        <w:t>补风系统应与排烟系统联动开启或关闭。</w:t>
      </w:r>
      <w:r>
        <w:rPr>
          <w:sz w:val="21"/>
        </w:rPr>
        <w:t> </w:t>
      </w:r>
    </w:p>
    <w:p>
      <w:pPr>
        <w:pStyle w:val="BodyText"/>
        <w:spacing w:before="12"/>
        <w:rPr>
          <w:sz w:val="17"/>
        </w:rPr>
      </w:pPr>
    </w:p>
    <w:p>
      <w:pPr>
        <w:pStyle w:val="ListParagraph"/>
        <w:numPr>
          <w:ilvl w:val="2"/>
          <w:numId w:val="879"/>
        </w:numPr>
        <w:tabs>
          <w:tab w:pos="1370" w:val="left" w:leader="none"/>
        </w:tabs>
        <w:spacing w:line="446" w:lineRule="auto" w:before="0" w:after="0"/>
        <w:ind w:left="418" w:right="1604" w:firstLine="422"/>
        <w:jc w:val="left"/>
        <w:rPr>
          <w:sz w:val="21"/>
        </w:rPr>
      </w:pPr>
      <w:r>
        <w:rPr>
          <w:spacing w:val="-7"/>
          <w:sz w:val="21"/>
        </w:rPr>
        <w:t>机械补风口的风速不宜大于 </w:t>
      </w:r>
      <w:r>
        <w:rPr>
          <w:sz w:val="21"/>
        </w:rPr>
        <w:t>10m/s</w:t>
      </w:r>
      <w:r>
        <w:rPr>
          <w:spacing w:val="-6"/>
          <w:sz w:val="21"/>
        </w:rPr>
        <w:t>，人员密集场所补风口的风速不宜大于 </w:t>
      </w:r>
      <w:r>
        <w:rPr>
          <w:sz w:val="21"/>
        </w:rPr>
        <w:t>5m/s；自</w:t>
      </w:r>
      <w:r>
        <w:rPr>
          <w:spacing w:val="-8"/>
          <w:sz w:val="21"/>
        </w:rPr>
        <w:t>然补风口的风速不宜大于 </w:t>
      </w:r>
      <w:r>
        <w:rPr>
          <w:sz w:val="21"/>
        </w:rPr>
        <w:t>3m/s</w:t>
      </w:r>
      <w:r>
        <w:rPr>
          <w:spacing w:val="-3"/>
          <w:sz w:val="21"/>
        </w:rPr>
        <w:t>。</w:t>
      </w:r>
      <w:r>
        <w:rPr>
          <w:sz w:val="21"/>
        </w:rPr>
        <w:t> </w:t>
      </w:r>
    </w:p>
    <w:p>
      <w:pPr>
        <w:pStyle w:val="ListParagraph"/>
        <w:numPr>
          <w:ilvl w:val="2"/>
          <w:numId w:val="879"/>
        </w:numPr>
        <w:tabs>
          <w:tab w:pos="1370" w:val="left" w:leader="none"/>
        </w:tabs>
        <w:spacing w:line="446" w:lineRule="auto" w:before="0" w:after="0"/>
        <w:ind w:left="418" w:right="1445" w:firstLine="422"/>
        <w:jc w:val="left"/>
        <w:rPr>
          <w:sz w:val="21"/>
        </w:rPr>
      </w:pPr>
      <w:r>
        <w:rPr>
          <w:spacing w:val="-6"/>
          <w:sz w:val="21"/>
        </w:rPr>
        <w:t>补风管道耐火极限不应低于 </w:t>
      </w:r>
      <w:r>
        <w:rPr>
          <w:sz w:val="21"/>
        </w:rPr>
        <w:t>0.50h</w:t>
      </w:r>
      <w:r>
        <w:rPr>
          <w:spacing w:val="-3"/>
          <w:sz w:val="21"/>
        </w:rPr>
        <w:t>，当补风管道跨越防火分区时，管道的耐火极限不</w:t>
      </w:r>
      <w:r>
        <w:rPr>
          <w:spacing w:val="-15"/>
          <w:sz w:val="21"/>
        </w:rPr>
        <w:t>应小于 </w:t>
      </w:r>
      <w:r>
        <w:rPr>
          <w:sz w:val="21"/>
        </w:rPr>
        <w:t>1.50h</w:t>
      </w:r>
      <w:r>
        <w:rPr>
          <w:spacing w:val="-3"/>
          <w:sz w:val="21"/>
        </w:rPr>
        <w:t>。</w:t>
      </w:r>
      <w:r>
        <w:rPr>
          <w:sz w:val="21"/>
        </w:rPr>
        <w:t> </w:t>
      </w:r>
    </w:p>
    <w:p>
      <w:pPr>
        <w:pStyle w:val="ListParagraph"/>
        <w:numPr>
          <w:ilvl w:val="1"/>
          <w:numId w:val="880"/>
        </w:numPr>
        <w:tabs>
          <w:tab w:pos="1159" w:val="left" w:leader="none"/>
        </w:tabs>
        <w:spacing w:line="240" w:lineRule="auto" w:before="0" w:after="0"/>
        <w:ind w:left="1158" w:right="0" w:hanging="319"/>
        <w:jc w:val="left"/>
        <w:rPr>
          <w:b/>
          <w:sz w:val="21"/>
        </w:rPr>
      </w:pPr>
      <w:r>
        <w:rPr>
          <w:color w:val="333333"/>
          <w:spacing w:val="-3"/>
          <w:sz w:val="21"/>
        </w:rPr>
        <w:t>排烟系统设计计算</w:t>
      </w:r>
      <w:r>
        <w:rPr>
          <w:b/>
          <w:w w:val="99"/>
          <w:sz w:val="21"/>
        </w:rPr>
        <w:t> </w:t>
      </w:r>
    </w:p>
    <w:p>
      <w:pPr>
        <w:pStyle w:val="BodyText"/>
        <w:spacing w:before="10"/>
        <w:rPr>
          <w:b/>
          <w:sz w:val="17"/>
        </w:rPr>
      </w:pPr>
    </w:p>
    <w:p>
      <w:pPr>
        <w:pStyle w:val="ListParagraph"/>
        <w:numPr>
          <w:ilvl w:val="2"/>
          <w:numId w:val="880"/>
        </w:numPr>
        <w:tabs>
          <w:tab w:pos="1424" w:val="left" w:leader="none"/>
        </w:tabs>
        <w:spacing w:line="240" w:lineRule="auto" w:before="0" w:after="0"/>
        <w:ind w:left="1423" w:right="0" w:hanging="584"/>
        <w:jc w:val="left"/>
        <w:rPr>
          <w:sz w:val="21"/>
        </w:rPr>
      </w:pPr>
      <w:r>
        <w:rPr>
          <w:spacing w:val="-6"/>
          <w:sz w:val="21"/>
        </w:rPr>
        <w:t>排烟系统的设计风量不应小于该系统计算风量的 </w:t>
      </w:r>
      <w:r>
        <w:rPr>
          <w:sz w:val="21"/>
        </w:rPr>
        <w:t>1.2</w:t>
      </w:r>
      <w:r>
        <w:rPr>
          <w:spacing w:val="-20"/>
          <w:sz w:val="21"/>
        </w:rPr>
        <w:t> 倍。</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880"/>
        </w:numPr>
        <w:tabs>
          <w:tab w:pos="1424" w:val="left" w:leader="none"/>
        </w:tabs>
        <w:spacing w:line="446" w:lineRule="auto" w:before="47" w:after="0"/>
        <w:ind w:left="418" w:right="1611" w:firstLine="422"/>
        <w:jc w:val="left"/>
        <w:rPr>
          <w:sz w:val="21"/>
        </w:rPr>
      </w:pPr>
      <w:r>
        <w:rPr>
          <w:spacing w:val="-5"/>
          <w:sz w:val="21"/>
        </w:rPr>
        <w:t>当采用自然排烟方式时，储烟仓的厚度不应小于空间净高的 </w:t>
      </w:r>
      <w:r>
        <w:rPr>
          <w:sz w:val="21"/>
        </w:rPr>
        <w:t>20</w:t>
      </w:r>
      <w:r>
        <w:rPr>
          <w:spacing w:val="-2"/>
          <w:sz w:val="21"/>
        </w:rPr>
        <w:t>%，且不应小于500mm</w:t>
      </w:r>
      <w:r>
        <w:rPr>
          <w:spacing w:val="-5"/>
          <w:sz w:val="21"/>
        </w:rPr>
        <w:t>；当采用机械排烟方式时，不应小于空间净高的 </w:t>
      </w:r>
      <w:r>
        <w:rPr>
          <w:sz w:val="21"/>
        </w:rPr>
        <w:t>10</w:t>
      </w:r>
      <w:r>
        <w:rPr>
          <w:spacing w:val="-7"/>
          <w:sz w:val="21"/>
        </w:rPr>
        <w:t>%，且不应小于 </w:t>
      </w:r>
      <w:r>
        <w:rPr>
          <w:sz w:val="21"/>
        </w:rPr>
        <w:t>500mm</w:t>
      </w:r>
      <w:r>
        <w:rPr>
          <w:spacing w:val="-2"/>
          <w:sz w:val="21"/>
        </w:rPr>
        <w:t>。同时储烟仓底</w:t>
      </w:r>
      <w:r>
        <w:rPr>
          <w:spacing w:val="-4"/>
          <w:sz w:val="21"/>
        </w:rPr>
        <w:t>部距地面的高度应大于安全疏散所需的最小清晰高度，最小清晰高度应按本标准第 </w:t>
      </w:r>
      <w:r>
        <w:rPr>
          <w:sz w:val="21"/>
        </w:rPr>
        <w:t>4.6.9</w:t>
      </w:r>
      <w:r>
        <w:rPr>
          <w:spacing w:val="-14"/>
          <w:sz w:val="21"/>
        </w:rPr>
        <w:t> 条的</w:t>
      </w:r>
      <w:r>
        <w:rPr>
          <w:spacing w:val="-3"/>
          <w:sz w:val="21"/>
        </w:rPr>
        <w:t>规定计算确定。</w:t>
      </w:r>
      <w:r>
        <w:rPr>
          <w:sz w:val="21"/>
        </w:rPr>
        <w:t> </w:t>
      </w:r>
    </w:p>
    <w:p>
      <w:pPr>
        <w:pStyle w:val="ListParagraph"/>
        <w:numPr>
          <w:ilvl w:val="2"/>
          <w:numId w:val="880"/>
        </w:numPr>
        <w:tabs>
          <w:tab w:pos="1424" w:val="left" w:leader="none"/>
        </w:tabs>
        <w:spacing w:line="267" w:lineRule="exact" w:before="0" w:after="0"/>
        <w:ind w:left="1423" w:right="0" w:hanging="584"/>
        <w:jc w:val="left"/>
        <w:rPr>
          <w:sz w:val="21"/>
        </w:rPr>
      </w:pPr>
      <w:r>
        <w:rPr>
          <w:spacing w:val="-3"/>
          <w:sz w:val="21"/>
        </w:rPr>
        <w:t>除中庭外下列场所一个防烟分区的排烟量计算应符合下列规定：</w:t>
      </w:r>
      <w:r>
        <w:rPr>
          <w:sz w:val="21"/>
        </w:rPr>
        <w:t> </w:t>
      </w:r>
    </w:p>
    <w:p>
      <w:pPr>
        <w:pStyle w:val="BodyText"/>
        <w:spacing w:before="2"/>
        <w:rPr>
          <w:sz w:val="17"/>
        </w:rPr>
      </w:pPr>
    </w:p>
    <w:p>
      <w:pPr>
        <w:pStyle w:val="BodyText"/>
        <w:spacing w:line="439" w:lineRule="auto" w:before="1"/>
        <w:ind w:left="418" w:right="1555" w:firstLine="419"/>
      </w:pPr>
      <w:r>
        <w:rPr>
          <w:spacing w:val="-7"/>
        </w:rPr>
        <w:t>建筑空间净高小于或等于 </w:t>
      </w:r>
      <w:r>
        <w:rPr/>
        <w:t>6m</w:t>
      </w:r>
      <w:r>
        <w:rPr>
          <w:spacing w:val="-12"/>
        </w:rPr>
        <w:t> 的场所，其排烟量应按不小于 </w:t>
      </w:r>
      <w:r>
        <w:rPr/>
        <w:t>60 m</w:t>
      </w:r>
      <w:r>
        <w:rPr>
          <w:position w:val="11"/>
          <w:sz w:val="11"/>
        </w:rPr>
        <w:t>3</w:t>
      </w:r>
      <w:r>
        <w:rPr/>
        <w:t>/ （h·m</w:t>
      </w:r>
      <w:r>
        <w:rPr>
          <w:position w:val="11"/>
          <w:sz w:val="11"/>
        </w:rPr>
        <w:t>2</w:t>
      </w:r>
      <w:r>
        <w:rPr/>
        <w:t>）</w:t>
      </w:r>
      <w:r>
        <w:rPr>
          <w:spacing w:val="-2"/>
        </w:rPr>
        <w:t>计算，且取值</w:t>
      </w:r>
      <w:r>
        <w:rPr>
          <w:spacing w:val="-15"/>
        </w:rPr>
        <w:t>不小于 </w:t>
      </w:r>
      <w:r>
        <w:rPr/>
        <w:t>15000m</w:t>
      </w:r>
      <w:r>
        <w:rPr>
          <w:position w:val="11"/>
          <w:sz w:val="11"/>
        </w:rPr>
        <w:t>3 </w:t>
      </w:r>
      <w:r>
        <w:rPr/>
        <w:t>/h</w:t>
      </w:r>
      <w:r>
        <w:rPr>
          <w:spacing w:val="-6"/>
        </w:rPr>
        <w:t>，或设置有效面积不小于该房间建筑面积 </w:t>
      </w:r>
      <w:r>
        <w:rPr/>
        <w:t>2</w:t>
      </w:r>
      <w:r>
        <w:rPr>
          <w:spacing w:val="-3"/>
        </w:rPr>
        <w:t>%的自然排烟窗</w:t>
      </w:r>
      <w:r>
        <w:rPr/>
        <w:t>（口</w:t>
      </w:r>
      <w:r>
        <w:rPr>
          <w:spacing w:val="-3"/>
        </w:rPr>
        <w:t>）。</w:t>
      </w:r>
      <w:r>
        <w:rPr/>
        <w:t> </w:t>
      </w:r>
    </w:p>
    <w:p>
      <w:pPr>
        <w:pStyle w:val="BodyText"/>
        <w:spacing w:line="446" w:lineRule="auto" w:before="6"/>
        <w:ind w:left="418" w:right="1505" w:firstLine="419"/>
      </w:pPr>
      <w:r>
        <w:rPr>
          <w:spacing w:val="-5"/>
        </w:rPr>
        <w:t>公共建筑、工业建筑中空间净高大于 </w:t>
      </w:r>
      <w:r>
        <w:rPr/>
        <w:t>6m</w:t>
      </w:r>
      <w:r>
        <w:rPr>
          <w:spacing w:val="-7"/>
        </w:rPr>
        <w:t> 的场所，其每个防烟分区排烟量应根据场所内的热</w:t>
      </w:r>
      <w:r>
        <w:rPr>
          <w:spacing w:val="-9"/>
        </w:rPr>
        <w:t>释放速率以及本标准第 </w:t>
      </w:r>
      <w:r>
        <w:rPr/>
        <w:t>4.6.6</w:t>
      </w:r>
      <w:r>
        <w:rPr>
          <w:spacing w:val="-27"/>
        </w:rPr>
        <w:t> 条</w:t>
      </w:r>
      <w:r>
        <w:rPr/>
        <w:t>～</w:t>
      </w:r>
      <w:r>
        <w:rPr>
          <w:spacing w:val="-26"/>
        </w:rPr>
        <w:t>第 </w:t>
      </w:r>
      <w:r>
        <w:rPr/>
        <w:t>4.6.13</w:t>
      </w:r>
      <w:r>
        <w:rPr>
          <w:spacing w:val="-11"/>
        </w:rPr>
        <w:t> 条的规定计算确定，且不应小于表 </w:t>
      </w:r>
      <w:r>
        <w:rPr/>
        <w:t>4.6.3</w:t>
      </w:r>
      <w:r>
        <w:rPr>
          <w:spacing w:val="-15"/>
        </w:rPr>
        <w:t> 中的数</w:t>
      </w:r>
      <w:r>
        <w:rPr/>
        <w:t> </w:t>
      </w:r>
    </w:p>
    <w:p>
      <w:pPr>
        <w:pStyle w:val="BodyText"/>
        <w:spacing w:line="446" w:lineRule="auto"/>
        <w:ind w:left="418" w:right="1609"/>
      </w:pPr>
      <w:r>
        <w:rPr/>
        <w:drawing>
          <wp:anchor distT="0" distB="0" distL="0" distR="0" allowOverlap="1" layoutInCell="1" locked="0" behindDoc="1" simplePos="0" relativeHeight="215943168">
            <wp:simplePos x="0" y="0"/>
            <wp:positionH relativeFrom="page">
              <wp:posOffset>1408430</wp:posOffset>
            </wp:positionH>
            <wp:positionV relativeFrom="paragraph">
              <wp:posOffset>592201</wp:posOffset>
            </wp:positionV>
            <wp:extent cx="4911090" cy="2714625"/>
            <wp:effectExtent l="0" t="0" r="0" b="0"/>
            <wp:wrapNone/>
            <wp:docPr id="675" name="image398.jpeg"/>
            <wp:cNvGraphicFramePr>
              <a:graphicFrameLocks noChangeAspect="1"/>
            </wp:cNvGraphicFramePr>
            <a:graphic>
              <a:graphicData uri="http://schemas.openxmlformats.org/drawingml/2006/picture">
                <pic:pic>
                  <pic:nvPicPr>
                    <pic:cNvPr id="676" name="image398.jpeg"/>
                    <pic:cNvPicPr/>
                  </pic:nvPicPr>
                  <pic:blipFill>
                    <a:blip r:embed="rId509" cstate="print"/>
                    <a:stretch>
                      <a:fillRect/>
                    </a:stretch>
                  </pic:blipFill>
                  <pic:spPr>
                    <a:xfrm>
                      <a:off x="0" y="0"/>
                      <a:ext cx="4911090" cy="2714625"/>
                    </a:xfrm>
                    <a:prstGeom prst="rect">
                      <a:avLst/>
                    </a:prstGeom>
                  </pic:spPr>
                </pic:pic>
              </a:graphicData>
            </a:graphic>
          </wp:anchor>
        </w:drawing>
      </w:r>
      <w:r>
        <w:rPr>
          <w:spacing w:val="-3"/>
        </w:rPr>
        <w:t>值，或设置自然排烟窗（</w:t>
      </w:r>
      <w:r>
        <w:rPr/>
        <w:t>口）</w:t>
      </w:r>
      <w:r>
        <w:rPr>
          <w:spacing w:val="-6"/>
        </w:rPr>
        <w:t>，其所需有效排烟面积应根据表 </w:t>
      </w:r>
      <w:r>
        <w:rPr/>
        <w:t>4.6.3</w:t>
      </w:r>
      <w:r>
        <w:rPr>
          <w:spacing w:val="-8"/>
        </w:rPr>
        <w:t> 及自然排烟窗</w:t>
      </w:r>
      <w:r>
        <w:rPr/>
        <w:t>（</w:t>
      </w:r>
      <w:r>
        <w:rPr>
          <w:spacing w:val="-3"/>
        </w:rPr>
        <w:t>口</w:t>
      </w:r>
      <w:r>
        <w:rPr/>
        <w:t>）</w:t>
      </w:r>
      <w:r>
        <w:rPr>
          <w:spacing w:val="-2"/>
        </w:rPr>
        <w:t>处风</w:t>
      </w:r>
      <w:r>
        <w:rPr>
          <w:spacing w:val="-3"/>
        </w:rPr>
        <w:t>速计算。</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3"/>
        </w:rPr>
      </w:pPr>
    </w:p>
    <w:p>
      <w:pPr>
        <w:pStyle w:val="BodyText"/>
        <w:spacing w:line="446" w:lineRule="auto" w:before="1"/>
        <w:ind w:left="418" w:right="1325" w:firstLine="419"/>
        <w:jc w:val="both"/>
      </w:pPr>
      <w:r>
        <w:rPr/>
        <w:t>注：1</w:t>
      </w:r>
      <w:r>
        <w:rPr>
          <w:spacing w:val="-6"/>
        </w:rPr>
        <w:t>.建筑空间净高大于 </w:t>
      </w:r>
      <w:r>
        <w:rPr/>
        <w:t>9.0m</w:t>
      </w:r>
      <w:r>
        <w:rPr>
          <w:spacing w:val="-13"/>
        </w:rPr>
        <w:t> 的，按 </w:t>
      </w:r>
      <w:r>
        <w:rPr/>
        <w:t>9.0m</w:t>
      </w:r>
      <w:r>
        <w:rPr>
          <w:spacing w:val="-7"/>
        </w:rPr>
        <w:t> 取值；建筑空间净高位于表中两个高度之间的， </w:t>
      </w:r>
      <w:r>
        <w:rPr>
          <w:spacing w:val="-8"/>
        </w:rPr>
        <w:t>按线性插值法取值；表中建筑空间净高为 </w:t>
      </w:r>
      <w:r>
        <w:rPr/>
        <w:t>6m</w:t>
      </w:r>
      <w:r>
        <w:rPr>
          <w:spacing w:val="-8"/>
        </w:rPr>
        <w:t> 处的各排烟量值为线性插值法的计算基准值。</w:t>
      </w:r>
      <w:r>
        <w:rPr/>
        <w:t> </w:t>
      </w:r>
    </w:p>
    <w:p>
      <w:pPr>
        <w:pStyle w:val="ListParagraph"/>
        <w:numPr>
          <w:ilvl w:val="0"/>
          <w:numId w:val="881"/>
        </w:numPr>
        <w:tabs>
          <w:tab w:pos="1051" w:val="left" w:leader="none"/>
        </w:tabs>
        <w:spacing w:line="446" w:lineRule="auto" w:before="0" w:after="0"/>
        <w:ind w:left="418" w:right="1505" w:firstLine="419"/>
        <w:jc w:val="both"/>
        <w:rPr>
          <w:sz w:val="21"/>
        </w:rPr>
      </w:pPr>
      <w:r>
        <w:rPr>
          <w:spacing w:val="-5"/>
          <w:sz w:val="21"/>
        </w:rPr>
        <w:t>当采用自然排烟方式时，储烟仓厚度应大于房间净高的 </w:t>
      </w:r>
      <w:r>
        <w:rPr>
          <w:sz w:val="21"/>
        </w:rPr>
        <w:t>20</w:t>
      </w:r>
      <w:r>
        <w:rPr>
          <w:spacing w:val="-3"/>
          <w:sz w:val="21"/>
        </w:rPr>
        <w:t>%；自然排烟窗</w:t>
      </w:r>
      <w:r>
        <w:rPr>
          <w:sz w:val="21"/>
        </w:rPr>
        <w:t>（口</w:t>
      </w:r>
      <w:r>
        <w:rPr>
          <w:spacing w:val="-3"/>
          <w:sz w:val="21"/>
        </w:rPr>
        <w:t>）</w:t>
      </w:r>
      <w:r>
        <w:rPr>
          <w:spacing w:val="-2"/>
          <w:sz w:val="21"/>
        </w:rPr>
        <w:t>面积=计</w:t>
      </w:r>
      <w:r>
        <w:rPr>
          <w:spacing w:val="-3"/>
          <w:sz w:val="21"/>
        </w:rPr>
        <w:t>算排烟量/自然排烟窗（口</w:t>
      </w:r>
      <w:r>
        <w:rPr>
          <w:sz w:val="21"/>
        </w:rPr>
        <w:t>）</w:t>
      </w:r>
      <w:r>
        <w:rPr>
          <w:spacing w:val="-3"/>
          <w:sz w:val="21"/>
        </w:rPr>
        <w:t>处风速；当采用顶开窗排烟时，其自然排烟窗（</w:t>
      </w:r>
      <w:r>
        <w:rPr>
          <w:sz w:val="21"/>
        </w:rPr>
        <w:t>口）</w:t>
      </w:r>
      <w:r>
        <w:rPr>
          <w:spacing w:val="-3"/>
          <w:sz w:val="21"/>
        </w:rPr>
        <w:t>的风速可按侧</w:t>
      </w:r>
      <w:r>
        <w:rPr>
          <w:spacing w:val="-11"/>
          <w:sz w:val="21"/>
        </w:rPr>
        <w:t>窗口部风速的 </w:t>
      </w:r>
      <w:r>
        <w:rPr>
          <w:sz w:val="21"/>
        </w:rPr>
        <w:t>1.4</w:t>
      </w:r>
      <w:r>
        <w:rPr>
          <w:spacing w:val="-15"/>
          <w:sz w:val="21"/>
        </w:rPr>
        <w:t> 倍计。 </w:t>
      </w:r>
    </w:p>
    <w:p>
      <w:pPr>
        <w:pStyle w:val="ListParagraph"/>
        <w:numPr>
          <w:ilvl w:val="0"/>
          <w:numId w:val="881"/>
        </w:numPr>
        <w:tabs>
          <w:tab w:pos="1051" w:val="left" w:leader="none"/>
        </w:tabs>
        <w:spacing w:line="441" w:lineRule="auto" w:before="0" w:after="0"/>
        <w:ind w:left="418" w:right="1474" w:firstLine="419"/>
        <w:jc w:val="both"/>
        <w:rPr>
          <w:sz w:val="21"/>
        </w:rPr>
      </w:pPr>
      <w:r>
        <w:rPr>
          <w:spacing w:val="-5"/>
          <w:sz w:val="21"/>
        </w:rPr>
        <w:t>当公共建筑仅需在走道或回廊设置排烟时，其机械排烟量不应小于 </w:t>
      </w:r>
      <w:r>
        <w:rPr>
          <w:sz w:val="21"/>
        </w:rPr>
        <w:t>13000m</w:t>
      </w:r>
      <w:r>
        <w:rPr>
          <w:position w:val="11"/>
          <w:sz w:val="11"/>
        </w:rPr>
        <w:t>3</w:t>
      </w:r>
      <w:r>
        <w:rPr>
          <w:sz w:val="21"/>
        </w:rPr>
        <w:t>/h，</w:t>
      </w:r>
      <w:r>
        <w:rPr>
          <w:spacing w:val="-3"/>
          <w:sz w:val="21"/>
        </w:rPr>
        <w:t>或在走道两端（</w:t>
      </w:r>
      <w:r>
        <w:rPr>
          <w:sz w:val="21"/>
        </w:rPr>
        <w:t>侧</w:t>
      </w:r>
      <w:r>
        <w:rPr>
          <w:spacing w:val="-3"/>
          <w:sz w:val="21"/>
        </w:rPr>
        <w:t>）</w:t>
      </w:r>
      <w:r>
        <w:rPr>
          <w:spacing w:val="-6"/>
          <w:sz w:val="21"/>
        </w:rPr>
        <w:t>均设置面积不小于 </w:t>
      </w:r>
      <w:r>
        <w:rPr>
          <w:sz w:val="21"/>
        </w:rPr>
        <w:t>2m</w:t>
      </w:r>
      <w:r>
        <w:rPr>
          <w:position w:val="11"/>
          <w:sz w:val="11"/>
        </w:rPr>
        <w:t>2</w:t>
      </w:r>
      <w:r>
        <w:rPr>
          <w:spacing w:val="-16"/>
          <w:position w:val="11"/>
          <w:sz w:val="11"/>
        </w:rPr>
        <w:t> </w:t>
      </w:r>
      <w:r>
        <w:rPr>
          <w:spacing w:val="-3"/>
          <w:sz w:val="21"/>
        </w:rPr>
        <w:t>的自然排烟窗</w:t>
      </w:r>
      <w:r>
        <w:rPr>
          <w:sz w:val="21"/>
        </w:rPr>
        <w:t>（</w:t>
      </w:r>
      <w:r>
        <w:rPr>
          <w:spacing w:val="-3"/>
          <w:sz w:val="21"/>
        </w:rPr>
        <w:t>口</w:t>
      </w:r>
      <w:r>
        <w:rPr>
          <w:sz w:val="21"/>
        </w:rPr>
        <w:t>）</w:t>
      </w:r>
      <w:r>
        <w:rPr>
          <w:spacing w:val="-3"/>
          <w:sz w:val="21"/>
        </w:rPr>
        <w:t>且两侧自然排烟窗</w:t>
      </w:r>
      <w:r>
        <w:rPr>
          <w:sz w:val="21"/>
        </w:rPr>
        <w:t>（</w:t>
      </w:r>
      <w:r>
        <w:rPr>
          <w:spacing w:val="-3"/>
          <w:sz w:val="21"/>
        </w:rPr>
        <w:t>口</w:t>
      </w:r>
      <w:r>
        <w:rPr>
          <w:sz w:val="21"/>
        </w:rPr>
        <w:t>）</w:t>
      </w:r>
      <w:r>
        <w:rPr>
          <w:spacing w:val="-3"/>
          <w:sz w:val="21"/>
        </w:rPr>
        <w:t>的距离不应小于</w:t>
      </w:r>
      <w:r>
        <w:rPr>
          <w:spacing w:val="-12"/>
          <w:sz w:val="21"/>
        </w:rPr>
        <w:t>走道长度的 </w:t>
      </w:r>
      <w:r>
        <w:rPr>
          <w:sz w:val="21"/>
        </w:rPr>
        <w:t>2/3</w:t>
      </w:r>
      <w:r>
        <w:rPr>
          <w:spacing w:val="-3"/>
          <w:sz w:val="21"/>
        </w:rPr>
        <w:t>。</w:t>
      </w:r>
      <w:r>
        <w:rPr>
          <w:sz w:val="21"/>
        </w:rPr>
        <w:t> </w:t>
      </w:r>
    </w:p>
    <w:p>
      <w:pPr>
        <w:spacing w:after="0" w:line="441" w:lineRule="auto"/>
        <w:jc w:val="both"/>
        <w:rPr>
          <w:sz w:val="21"/>
        </w:rPr>
        <w:sectPr>
          <w:pgSz w:w="11910" w:h="16850"/>
          <w:pgMar w:header="0" w:footer="1239" w:top="1220" w:bottom="1420" w:left="1260" w:right="0"/>
        </w:sectPr>
      </w:pPr>
    </w:p>
    <w:p>
      <w:pPr>
        <w:pStyle w:val="ListParagraph"/>
        <w:numPr>
          <w:ilvl w:val="0"/>
          <w:numId w:val="881"/>
        </w:numPr>
        <w:tabs>
          <w:tab w:pos="1051" w:val="left" w:leader="none"/>
        </w:tabs>
        <w:spacing w:line="441" w:lineRule="auto" w:before="47" w:after="0"/>
        <w:ind w:left="418" w:right="1445" w:firstLine="419"/>
        <w:jc w:val="left"/>
        <w:rPr>
          <w:sz w:val="21"/>
        </w:rPr>
      </w:pPr>
      <w:r>
        <w:rPr>
          <w:spacing w:val="-2"/>
          <w:sz w:val="21"/>
        </w:rPr>
        <w:t>当公共建筑房间内与走道或回廊均需设置排烟时，其走道或回廊的机械排烟量可按 </w:t>
      </w:r>
      <w:r>
        <w:rPr>
          <w:sz w:val="21"/>
        </w:rPr>
        <w:t>60 m</w:t>
      </w:r>
      <w:r>
        <w:rPr>
          <w:position w:val="11"/>
          <w:sz w:val="11"/>
        </w:rPr>
        <w:t>3</w:t>
      </w:r>
      <w:r>
        <w:rPr>
          <w:sz w:val="21"/>
        </w:rPr>
        <w:t>/</w:t>
      </w:r>
      <w:r>
        <w:rPr>
          <w:spacing w:val="12"/>
          <w:sz w:val="21"/>
        </w:rPr>
        <w:t> </w:t>
      </w:r>
      <w:r>
        <w:rPr>
          <w:sz w:val="21"/>
        </w:rPr>
        <w:t>（h·m</w:t>
      </w:r>
      <w:r>
        <w:rPr>
          <w:position w:val="11"/>
          <w:sz w:val="11"/>
        </w:rPr>
        <w:t>2</w:t>
      </w:r>
      <w:r>
        <w:rPr>
          <w:sz w:val="21"/>
        </w:rPr>
        <w:t>）</w:t>
      </w:r>
      <w:r>
        <w:rPr>
          <w:spacing w:val="-9"/>
          <w:sz w:val="21"/>
        </w:rPr>
        <w:t>计算且不小于 </w:t>
      </w:r>
      <w:r>
        <w:rPr>
          <w:sz w:val="21"/>
        </w:rPr>
        <w:t>13000m</w:t>
      </w:r>
      <w:r>
        <w:rPr>
          <w:position w:val="11"/>
          <w:sz w:val="11"/>
        </w:rPr>
        <w:t>3</w:t>
      </w:r>
      <w:r>
        <w:rPr>
          <w:sz w:val="21"/>
        </w:rPr>
        <w:t>/h</w:t>
      </w:r>
      <w:r>
        <w:rPr>
          <w:spacing w:val="-5"/>
          <w:sz w:val="21"/>
        </w:rPr>
        <w:t>，或设置有效面积不小于走道、回廊建筑面积 </w:t>
      </w:r>
      <w:r>
        <w:rPr>
          <w:sz w:val="21"/>
        </w:rPr>
        <w:t>2</w:t>
      </w:r>
      <w:r>
        <w:rPr>
          <w:spacing w:val="-1"/>
          <w:sz w:val="21"/>
        </w:rPr>
        <w:t>%的自然排烟窗</w:t>
      </w:r>
      <w:r>
        <w:rPr>
          <w:spacing w:val="-3"/>
          <w:sz w:val="21"/>
        </w:rPr>
        <w:t>（</w:t>
      </w:r>
      <w:r>
        <w:rPr>
          <w:sz w:val="21"/>
        </w:rPr>
        <w:t>口</w:t>
      </w:r>
      <w:r>
        <w:rPr>
          <w:spacing w:val="-3"/>
          <w:sz w:val="21"/>
        </w:rPr>
        <w:t>）。</w:t>
      </w:r>
      <w:r>
        <w:rPr>
          <w:sz w:val="21"/>
        </w:rPr>
        <w:t> </w:t>
      </w:r>
    </w:p>
    <w:p>
      <w:pPr>
        <w:pStyle w:val="ListParagraph"/>
        <w:numPr>
          <w:ilvl w:val="2"/>
          <w:numId w:val="880"/>
        </w:numPr>
        <w:tabs>
          <w:tab w:pos="1424" w:val="left" w:leader="none"/>
        </w:tabs>
        <w:spacing w:line="446" w:lineRule="auto" w:before="5" w:after="0"/>
        <w:ind w:left="838" w:right="1505" w:firstLine="2"/>
        <w:jc w:val="left"/>
        <w:rPr>
          <w:sz w:val="21"/>
        </w:rPr>
      </w:pPr>
      <w:r>
        <w:rPr>
          <w:spacing w:val="-3"/>
          <w:sz w:val="21"/>
        </w:rPr>
        <w:t>当一个排烟系统担负多个防烟分区排烟时，其系统排烟量的计算应符合下列规定： </w:t>
      </w:r>
      <w:r>
        <w:rPr>
          <w:spacing w:val="-5"/>
          <w:sz w:val="21"/>
        </w:rPr>
        <w:t>当系统负担具有相同净高场所时，对于建筑空间净高大于 </w:t>
      </w:r>
      <w:r>
        <w:rPr>
          <w:sz w:val="21"/>
        </w:rPr>
        <w:t>6m</w:t>
      </w:r>
      <w:r>
        <w:rPr>
          <w:spacing w:val="-8"/>
          <w:sz w:val="21"/>
        </w:rPr>
        <w:t> 的场所，应按排烟量最大的一</w:t>
      </w:r>
    </w:p>
    <w:p>
      <w:pPr>
        <w:pStyle w:val="BodyText"/>
        <w:spacing w:line="446" w:lineRule="auto"/>
        <w:ind w:left="418" w:right="1505"/>
      </w:pPr>
      <w:r>
        <w:rPr>
          <w:spacing w:val="-5"/>
        </w:rPr>
        <w:t>个防烟分区的排烟量计算；对于建筑空间净高为 </w:t>
      </w:r>
      <w:r>
        <w:rPr/>
        <w:t>6m</w:t>
      </w:r>
      <w:r>
        <w:rPr>
          <w:spacing w:val="-7"/>
        </w:rPr>
        <w:t> 及以下的场所，应按同一防火分区中任意两</w:t>
      </w:r>
      <w:r>
        <w:rPr>
          <w:spacing w:val="-5"/>
        </w:rPr>
        <w:t>个相邻防烟分区的排烟量之和的最大值计算。</w:t>
      </w:r>
      <w:r>
        <w:rPr/>
        <w:t> </w:t>
      </w:r>
    </w:p>
    <w:p>
      <w:pPr>
        <w:pStyle w:val="BodyText"/>
        <w:spacing w:line="446" w:lineRule="auto"/>
        <w:ind w:left="418" w:right="1609" w:firstLine="419"/>
      </w:pPr>
      <w:r>
        <w:rPr/>
        <w:t>当系统负担具有不同净高场所时，应采用上述方法对系统中每个场所所需的排烟量进行计算，并取其中的最大值作为系统排烟量。 </w:t>
      </w:r>
    </w:p>
    <w:p>
      <w:pPr>
        <w:pStyle w:val="ListParagraph"/>
        <w:numPr>
          <w:ilvl w:val="2"/>
          <w:numId w:val="880"/>
        </w:numPr>
        <w:tabs>
          <w:tab w:pos="1424" w:val="left" w:leader="none"/>
        </w:tabs>
        <w:spacing w:line="240" w:lineRule="auto" w:before="0" w:after="0"/>
        <w:ind w:left="1423" w:right="0" w:hanging="584"/>
        <w:jc w:val="left"/>
        <w:rPr>
          <w:sz w:val="21"/>
        </w:rPr>
      </w:pPr>
      <w:r>
        <w:rPr>
          <w:spacing w:val="-3"/>
          <w:sz w:val="21"/>
        </w:rPr>
        <w:t>中庭排烟量的设计计算应符合下列规定：</w:t>
      </w:r>
      <w:r>
        <w:rPr>
          <w:sz w:val="21"/>
        </w:rPr>
        <w:t> </w:t>
      </w:r>
    </w:p>
    <w:p>
      <w:pPr>
        <w:pStyle w:val="BodyText"/>
        <w:spacing w:before="10"/>
        <w:rPr>
          <w:sz w:val="17"/>
        </w:rPr>
      </w:pPr>
    </w:p>
    <w:p>
      <w:pPr>
        <w:pStyle w:val="BodyText"/>
        <w:spacing w:line="446" w:lineRule="auto" w:before="1"/>
        <w:ind w:left="418" w:right="1558" w:firstLine="419"/>
        <w:jc w:val="both"/>
      </w:pPr>
      <w:r>
        <w:rPr>
          <w:spacing w:val="-3"/>
        </w:rPr>
        <w:t>中庭周围场所设有排烟系统时，中庭采用机械排烟系统的，中庭排烟量应按周围场所防烟</w:t>
      </w:r>
      <w:r>
        <w:rPr>
          <w:spacing w:val="-7"/>
        </w:rPr>
        <w:t>分区中最大排烟量的 </w:t>
      </w:r>
      <w:r>
        <w:rPr/>
        <w:t>2</w:t>
      </w:r>
      <w:r>
        <w:rPr>
          <w:spacing w:val="-11"/>
        </w:rPr>
        <w:t> 倍数值计算，且不应小于 </w:t>
      </w:r>
      <w:r>
        <w:rPr/>
        <w:t>107000m3/h</w:t>
      </w:r>
      <w:r>
        <w:rPr>
          <w:spacing w:val="-3"/>
        </w:rPr>
        <w:t>；中庭采用自然排烟系统时，应按上述排烟量和自然排烟窗</w:t>
      </w:r>
      <w:r>
        <w:rPr/>
        <w:t>（口</w:t>
      </w:r>
      <w:r>
        <w:rPr>
          <w:spacing w:val="-3"/>
        </w:rPr>
        <w:t>）</w:t>
      </w:r>
      <w:r>
        <w:rPr>
          <w:spacing w:val="-11"/>
        </w:rPr>
        <w:t>的风速不大于 </w:t>
      </w:r>
      <w:r>
        <w:rPr/>
        <w:t>0.5m/s</w:t>
      </w:r>
      <w:r>
        <w:rPr>
          <w:spacing w:val="-9"/>
        </w:rPr>
        <w:t> 计算有效开窗面积。</w:t>
      </w:r>
      <w:r>
        <w:rPr/>
        <w:t> </w:t>
      </w:r>
    </w:p>
    <w:p>
      <w:pPr>
        <w:pStyle w:val="BodyText"/>
        <w:spacing w:line="446" w:lineRule="auto"/>
        <w:ind w:left="418" w:right="1450" w:firstLine="419"/>
      </w:pPr>
      <w:r>
        <w:rPr>
          <w:spacing w:val="-3"/>
        </w:rPr>
        <w:t>当中庭周围场所不需设置排烟系统，仅在回廊设置排烟系统时，回廊的排烟量不应小于本 </w:t>
      </w:r>
      <w:r>
        <w:rPr>
          <w:spacing w:val="-14"/>
        </w:rPr>
        <w:t>标准第 </w:t>
      </w:r>
      <w:r>
        <w:rPr/>
        <w:t>4.6.3</w:t>
      </w:r>
      <w:r>
        <w:rPr>
          <w:spacing w:val="-25"/>
        </w:rPr>
        <w:t> 条第 </w:t>
      </w:r>
      <w:r>
        <w:rPr/>
        <w:t>3</w:t>
      </w:r>
      <w:r>
        <w:rPr>
          <w:spacing w:val="-12"/>
        </w:rPr>
        <w:t> 款的规定，中庭的排烟量不应小于 </w:t>
      </w:r>
      <w:r>
        <w:rPr/>
        <w:t>40000m3/h</w:t>
      </w:r>
      <w:r>
        <w:rPr>
          <w:spacing w:val="-3"/>
        </w:rPr>
        <w:t>；中庭采用自然排烟系统时， 应按上述排烟量和自然排烟窗（</w:t>
      </w:r>
      <w:r>
        <w:rPr/>
        <w:t>口</w:t>
      </w:r>
      <w:r>
        <w:rPr>
          <w:spacing w:val="-3"/>
        </w:rPr>
        <w:t>）</w:t>
      </w:r>
      <w:r>
        <w:rPr>
          <w:spacing w:val="-11"/>
        </w:rPr>
        <w:t>的风速不大于 </w:t>
      </w:r>
      <w:r>
        <w:rPr/>
        <w:t>0.4m/s</w:t>
      </w:r>
      <w:r>
        <w:rPr>
          <w:spacing w:val="-9"/>
        </w:rPr>
        <w:t> 计算有效开窗面积。 </w:t>
      </w:r>
    </w:p>
    <w:p>
      <w:pPr>
        <w:pStyle w:val="ListParagraph"/>
        <w:numPr>
          <w:ilvl w:val="2"/>
          <w:numId w:val="880"/>
        </w:numPr>
        <w:tabs>
          <w:tab w:pos="1424" w:val="left" w:leader="none"/>
        </w:tabs>
        <w:spacing w:line="268" w:lineRule="exact" w:before="0" w:after="0"/>
        <w:ind w:left="1423" w:right="0" w:hanging="584"/>
        <w:jc w:val="left"/>
        <w:rPr>
          <w:sz w:val="21"/>
        </w:rPr>
      </w:pPr>
      <w:r>
        <w:rPr>
          <w:spacing w:val="-12"/>
          <w:sz w:val="21"/>
        </w:rPr>
        <w:t>除本标准第 </w:t>
      </w:r>
      <w:r>
        <w:rPr>
          <w:sz w:val="21"/>
        </w:rPr>
        <w:t>4.6.3</w:t>
      </w:r>
      <w:r>
        <w:rPr>
          <w:spacing w:val="-23"/>
          <w:sz w:val="21"/>
        </w:rPr>
        <w:t> 条、第 </w:t>
      </w:r>
      <w:r>
        <w:rPr>
          <w:sz w:val="21"/>
        </w:rPr>
        <w:t>4.6.5</w:t>
      </w:r>
      <w:r>
        <w:rPr>
          <w:spacing w:val="-9"/>
          <w:sz w:val="21"/>
        </w:rPr>
        <w:t> 条规定的场所外，其他场所的排烟量或自然排烟窗</w:t>
      </w:r>
    </w:p>
    <w:p>
      <w:pPr>
        <w:pStyle w:val="BodyText"/>
        <w:spacing w:before="11"/>
        <w:rPr>
          <w:sz w:val="17"/>
        </w:rPr>
      </w:pPr>
    </w:p>
    <w:p>
      <w:pPr>
        <w:pStyle w:val="BodyText"/>
        <w:spacing w:line="446" w:lineRule="auto"/>
        <w:ind w:left="418" w:right="1608"/>
      </w:pPr>
      <w:r>
        <w:rPr/>
        <w:t>（口）面积应按照烟羽流类型，根据火灾热释放速率、清晰高度、烟羽流质量流量及烟羽流温度等参数计算确定。 </w:t>
      </w:r>
    </w:p>
    <w:p>
      <w:pPr>
        <w:spacing w:after="0" w:line="446" w:lineRule="auto"/>
        <w:sectPr>
          <w:footerReference w:type="default" r:id="rId510"/>
          <w:pgSz w:w="11910" w:h="16850"/>
          <w:pgMar w:footer="1239" w:header="0" w:top="1220" w:bottom="1420" w:left="1260" w:right="0"/>
          <w:pgNumType w:start="1540"/>
        </w:sectPr>
      </w:pPr>
    </w:p>
    <w:p>
      <w:pPr>
        <w:pStyle w:val="ListParagraph"/>
        <w:numPr>
          <w:ilvl w:val="2"/>
          <w:numId w:val="880"/>
        </w:numPr>
        <w:tabs>
          <w:tab w:pos="1424" w:val="left" w:leader="none"/>
        </w:tabs>
        <w:spacing w:line="446" w:lineRule="auto" w:before="47" w:after="0"/>
        <w:ind w:left="418" w:right="1505" w:firstLine="422"/>
        <w:jc w:val="left"/>
        <w:rPr>
          <w:sz w:val="21"/>
        </w:rPr>
      </w:pPr>
      <w:r>
        <w:rPr/>
        <w:drawing>
          <wp:anchor distT="0" distB="0" distL="0" distR="0" allowOverlap="1" layoutInCell="1" locked="0" behindDoc="0" simplePos="0" relativeHeight="303">
            <wp:simplePos x="0" y="0"/>
            <wp:positionH relativeFrom="page">
              <wp:posOffset>1284605</wp:posOffset>
            </wp:positionH>
            <wp:positionV relativeFrom="paragraph">
              <wp:posOffset>1013205</wp:posOffset>
            </wp:positionV>
            <wp:extent cx="4958427" cy="3467100"/>
            <wp:effectExtent l="0" t="0" r="0" b="0"/>
            <wp:wrapTopAndBottom/>
            <wp:docPr id="677" name="image399.jpeg"/>
            <wp:cNvGraphicFramePr>
              <a:graphicFrameLocks noChangeAspect="1"/>
            </wp:cNvGraphicFramePr>
            <a:graphic>
              <a:graphicData uri="http://schemas.openxmlformats.org/drawingml/2006/picture">
                <pic:pic>
                  <pic:nvPicPr>
                    <pic:cNvPr id="678" name="image399.jpeg"/>
                    <pic:cNvPicPr/>
                  </pic:nvPicPr>
                  <pic:blipFill>
                    <a:blip r:embed="rId511" cstate="print"/>
                    <a:stretch>
                      <a:fillRect/>
                    </a:stretch>
                  </pic:blipFill>
                  <pic:spPr>
                    <a:xfrm>
                      <a:off x="0" y="0"/>
                      <a:ext cx="4958427" cy="3467100"/>
                    </a:xfrm>
                    <a:prstGeom prst="rect">
                      <a:avLst/>
                    </a:prstGeom>
                  </pic:spPr>
                </pic:pic>
              </a:graphicData>
            </a:graphic>
          </wp:anchor>
        </w:drawing>
      </w:r>
      <w:r>
        <w:rPr>
          <w:spacing w:val="-6"/>
          <w:sz w:val="21"/>
        </w:rPr>
        <w:t>各类场所的火灾热释放速率可按本标准第 </w:t>
      </w:r>
      <w:r>
        <w:rPr>
          <w:sz w:val="21"/>
        </w:rPr>
        <w:t>4.6.10</w:t>
      </w:r>
      <w:r>
        <w:rPr>
          <w:spacing w:val="-11"/>
          <w:sz w:val="21"/>
        </w:rPr>
        <w:t> 条的规定计算且不应小于表 </w:t>
      </w:r>
      <w:r>
        <w:rPr>
          <w:sz w:val="21"/>
        </w:rPr>
        <w:t>4.6.7 </w:t>
      </w:r>
      <w:r>
        <w:rPr>
          <w:spacing w:val="-3"/>
          <w:sz w:val="21"/>
        </w:rPr>
        <w:t>规定的值。设置自动喷水灭火系统（简称喷淋</w:t>
      </w:r>
      <w:r>
        <w:rPr>
          <w:sz w:val="21"/>
        </w:rPr>
        <w:t>）</w:t>
      </w:r>
      <w:r>
        <w:rPr>
          <w:spacing w:val="-6"/>
          <w:sz w:val="21"/>
        </w:rPr>
        <w:t>的场所，其室内净高大于 </w:t>
      </w:r>
      <w:r>
        <w:rPr>
          <w:sz w:val="21"/>
        </w:rPr>
        <w:t>8m</w:t>
      </w:r>
      <w:r>
        <w:rPr>
          <w:spacing w:val="-7"/>
          <w:sz w:val="21"/>
        </w:rPr>
        <w:t> 时，应按无喷淋场</w:t>
      </w:r>
      <w:r>
        <w:rPr>
          <w:spacing w:val="-6"/>
          <w:sz w:val="21"/>
        </w:rPr>
        <w:t>所对待。</w:t>
      </w:r>
      <w:r>
        <w:rPr>
          <w:sz w:val="21"/>
        </w:rPr>
        <w:t> </w:t>
      </w:r>
    </w:p>
    <w:p>
      <w:pPr>
        <w:pStyle w:val="ListParagraph"/>
        <w:numPr>
          <w:ilvl w:val="2"/>
          <w:numId w:val="880"/>
        </w:numPr>
        <w:tabs>
          <w:tab w:pos="1424" w:val="left" w:leader="none"/>
        </w:tabs>
        <w:spacing w:line="446" w:lineRule="auto" w:before="178" w:after="0"/>
        <w:ind w:left="418" w:right="1606" w:firstLine="422"/>
        <w:jc w:val="left"/>
        <w:rPr>
          <w:sz w:val="21"/>
        </w:rPr>
      </w:pPr>
      <w:r>
        <w:rPr>
          <w:spacing w:val="-5"/>
          <w:sz w:val="21"/>
        </w:rPr>
        <w:t>当储烟仓的烟层与周围空气温差小于 </w:t>
      </w:r>
      <w:r>
        <w:rPr>
          <w:sz w:val="21"/>
        </w:rPr>
        <w:t>15</w:t>
      </w:r>
      <w:r>
        <w:rPr>
          <w:spacing w:val="-3"/>
          <w:sz w:val="21"/>
        </w:rPr>
        <w:t>℃时，应通过降低排烟口的位置等措施重新调整排烟设计。</w:t>
      </w:r>
      <w:r>
        <w:rPr>
          <w:sz w:val="21"/>
        </w:rPr>
        <w:t> </w:t>
      </w:r>
    </w:p>
    <w:p>
      <w:pPr>
        <w:pStyle w:val="ListParagraph"/>
        <w:numPr>
          <w:ilvl w:val="2"/>
          <w:numId w:val="880"/>
        </w:numPr>
        <w:tabs>
          <w:tab w:pos="1424" w:val="left" w:leader="none"/>
        </w:tabs>
        <w:spacing w:line="446" w:lineRule="auto" w:before="0" w:after="0"/>
        <w:ind w:left="418" w:right="1608" w:firstLine="422"/>
        <w:jc w:val="left"/>
        <w:rPr>
          <w:sz w:val="21"/>
        </w:rPr>
      </w:pPr>
      <w:r>
        <w:rPr>
          <w:spacing w:val="-7"/>
          <w:sz w:val="21"/>
        </w:rPr>
        <w:t>走道、室内空间净高不大于 </w:t>
      </w:r>
      <w:r>
        <w:rPr>
          <w:sz w:val="21"/>
        </w:rPr>
        <w:t>3m</w:t>
      </w:r>
      <w:r>
        <w:rPr>
          <w:spacing w:val="-10"/>
          <w:sz w:val="21"/>
        </w:rPr>
        <w:t> 的区域，其最小清晰高度不宜小于其净高的 </w:t>
      </w:r>
      <w:r>
        <w:rPr>
          <w:sz w:val="21"/>
        </w:rPr>
        <w:t>1/2</w:t>
      </w:r>
      <w:r>
        <w:rPr>
          <w:spacing w:val="-2"/>
          <w:sz w:val="21"/>
        </w:rPr>
        <w:t>，其</w:t>
      </w:r>
      <w:r>
        <w:rPr>
          <w:spacing w:val="-3"/>
          <w:sz w:val="21"/>
        </w:rPr>
        <w:t>他区域的最小清晰高度应按下式计算：</w:t>
      </w:r>
      <w:r>
        <w:rPr>
          <w:sz w:val="21"/>
        </w:rPr>
        <w:t> </w:t>
      </w:r>
    </w:p>
    <w:p>
      <w:pPr>
        <w:pStyle w:val="BodyText"/>
        <w:spacing w:line="448" w:lineRule="auto"/>
        <w:ind w:left="838" w:right="2912" w:firstLine="1581"/>
      </w:pPr>
      <w:r>
        <w:rPr>
          <w:position w:val="1"/>
        </w:rPr>
        <w:t>H</w:t>
      </w:r>
      <w:r>
        <w:rPr>
          <w:sz w:val="11"/>
        </w:rPr>
        <w:t>q  </w:t>
      </w:r>
      <w:r>
        <w:rPr>
          <w:position w:val="1"/>
        </w:rPr>
        <w:t>=1.6 +0.1</w:t>
      </w:r>
      <w:r>
        <w:rPr>
          <w:b/>
          <w:position w:val="1"/>
        </w:rPr>
        <w:t>·</w:t>
      </w:r>
      <w:r>
        <w:rPr>
          <w:position w:val="1"/>
        </w:rPr>
        <w:t>H′                       （4.6.9） 式中：H</w:t>
      </w:r>
      <w:r>
        <w:rPr>
          <w:sz w:val="11"/>
        </w:rPr>
        <w:t>q</w:t>
      </w:r>
      <w:r>
        <w:rPr>
          <w:spacing w:val="-3"/>
          <w:position w:val="1"/>
        </w:rPr>
        <w:t>——最小清晰高度</w:t>
      </w:r>
      <w:r>
        <w:rPr>
          <w:position w:val="1"/>
        </w:rPr>
        <w:t>（m）； </w:t>
      </w:r>
    </w:p>
    <w:p>
      <w:pPr>
        <w:pStyle w:val="BodyText"/>
        <w:spacing w:line="446" w:lineRule="auto"/>
        <w:ind w:left="418" w:right="1611" w:firstLine="419"/>
      </w:pPr>
      <w:r>
        <w:rPr/>
        <w:t>H′——对于单层空间，取排烟空间的建筑净高度（m）；对于多层空间，取最高疏散楼层的层高（m）。 </w:t>
      </w:r>
    </w:p>
    <w:p>
      <w:pPr>
        <w:pStyle w:val="ListParagraph"/>
        <w:numPr>
          <w:ilvl w:val="2"/>
          <w:numId w:val="880"/>
        </w:numPr>
        <w:tabs>
          <w:tab w:pos="1530" w:val="left" w:leader="none"/>
        </w:tabs>
        <w:spacing w:line="240" w:lineRule="auto" w:before="0" w:after="0"/>
        <w:ind w:left="1529" w:right="0" w:hanging="690"/>
        <w:jc w:val="left"/>
        <w:rPr>
          <w:sz w:val="21"/>
        </w:rPr>
      </w:pPr>
      <w:r>
        <w:rPr>
          <w:spacing w:val="-3"/>
          <w:sz w:val="21"/>
        </w:rPr>
        <w:t>火灾热释放速率应按下式计算：</w:t>
      </w:r>
      <w:r>
        <w:rPr>
          <w:sz w:val="21"/>
        </w:rPr>
        <w:t> </w:t>
      </w:r>
    </w:p>
    <w:p>
      <w:pPr>
        <w:pStyle w:val="BodyText"/>
        <w:spacing w:before="7"/>
        <w:rPr>
          <w:sz w:val="16"/>
        </w:rPr>
      </w:pPr>
    </w:p>
    <w:p>
      <w:pPr>
        <w:pStyle w:val="BodyText"/>
        <w:ind w:left="1949"/>
        <w:rPr>
          <w:b/>
        </w:rPr>
      </w:pPr>
      <w:r>
        <w:rPr/>
        <w:t>Q =α·t</w:t>
      </w:r>
      <w:r>
        <w:rPr>
          <w:position w:val="11"/>
          <w:sz w:val="11"/>
        </w:rPr>
        <w:t>2</w:t>
      </w:r>
      <w:r>
        <w:rPr>
          <w:sz w:val="11"/>
        </w:rPr>
        <w:t> </w:t>
      </w:r>
      <w:r>
        <w:rPr/>
        <w:t>（4.6.10）</w:t>
      </w:r>
      <w:r>
        <w:rPr>
          <w:b/>
          <w:w w:val="99"/>
        </w:rPr>
        <w:t> </w:t>
      </w:r>
    </w:p>
    <w:p>
      <w:pPr>
        <w:pStyle w:val="BodyText"/>
        <w:rPr>
          <w:b/>
          <w:sz w:val="18"/>
        </w:rPr>
      </w:pPr>
    </w:p>
    <w:p>
      <w:pPr>
        <w:pStyle w:val="BodyText"/>
        <w:spacing w:line="448" w:lineRule="auto"/>
        <w:ind w:left="838" w:right="6654"/>
      </w:pPr>
      <w:r>
        <w:rPr/>
        <w:t>式中：Q——热释放速率（kW）； t——火灾增长时间（s）； </w:t>
      </w:r>
    </w:p>
    <w:p>
      <w:pPr>
        <w:spacing w:after="0" w:line="448" w:lineRule="auto"/>
        <w:sectPr>
          <w:pgSz w:w="11910" w:h="16850"/>
          <w:pgMar w:header="0" w:footer="1239" w:top="1220" w:bottom="1420" w:left="1260" w:right="0"/>
        </w:sectPr>
      </w:pPr>
    </w:p>
    <w:p>
      <w:pPr>
        <w:pStyle w:val="BodyText"/>
        <w:spacing w:before="57"/>
        <w:ind w:left="838"/>
      </w:pPr>
      <w:r>
        <w:rPr/>
        <w:t>α——火灾增长系数（按表 4.6.10 取值）（kW/s</w:t>
      </w:r>
      <w:r>
        <w:rPr>
          <w:position w:val="11"/>
          <w:sz w:val="11"/>
        </w:rPr>
        <w:t>2</w:t>
      </w:r>
      <w:r>
        <w:rPr/>
        <w:t>）。 </w:t>
      </w:r>
    </w:p>
    <w:p>
      <w:pPr>
        <w:pStyle w:val="BodyText"/>
        <w:spacing w:before="8"/>
        <w:rPr>
          <w:sz w:val="12"/>
        </w:rPr>
      </w:pPr>
      <w:r>
        <w:rPr/>
        <w:drawing>
          <wp:anchor distT="0" distB="0" distL="0" distR="0" allowOverlap="1" layoutInCell="1" locked="0" behindDoc="0" simplePos="0" relativeHeight="304">
            <wp:simplePos x="0" y="0"/>
            <wp:positionH relativeFrom="page">
              <wp:posOffset>1531619</wp:posOffset>
            </wp:positionH>
            <wp:positionV relativeFrom="paragraph">
              <wp:posOffset>127722</wp:posOffset>
            </wp:positionV>
            <wp:extent cx="4762517" cy="1762125"/>
            <wp:effectExtent l="0" t="0" r="0" b="0"/>
            <wp:wrapTopAndBottom/>
            <wp:docPr id="679" name="image400.jpeg"/>
            <wp:cNvGraphicFramePr>
              <a:graphicFrameLocks noChangeAspect="1"/>
            </wp:cNvGraphicFramePr>
            <a:graphic>
              <a:graphicData uri="http://schemas.openxmlformats.org/drawingml/2006/picture">
                <pic:pic>
                  <pic:nvPicPr>
                    <pic:cNvPr id="680" name="image400.jpeg"/>
                    <pic:cNvPicPr/>
                  </pic:nvPicPr>
                  <pic:blipFill>
                    <a:blip r:embed="rId512" cstate="print"/>
                    <a:stretch>
                      <a:fillRect/>
                    </a:stretch>
                  </pic:blipFill>
                  <pic:spPr>
                    <a:xfrm>
                      <a:off x="0" y="0"/>
                      <a:ext cx="4762517" cy="1762125"/>
                    </a:xfrm>
                    <a:prstGeom prst="rect">
                      <a:avLst/>
                    </a:prstGeom>
                  </pic:spPr>
                </pic:pic>
              </a:graphicData>
            </a:graphic>
          </wp:anchor>
        </w:drawing>
      </w:r>
    </w:p>
    <w:p>
      <w:pPr>
        <w:pStyle w:val="ListParagraph"/>
        <w:numPr>
          <w:ilvl w:val="2"/>
          <w:numId w:val="880"/>
        </w:numPr>
        <w:tabs>
          <w:tab w:pos="1530" w:val="left" w:leader="none"/>
        </w:tabs>
        <w:spacing w:line="240" w:lineRule="auto" w:before="178" w:after="0"/>
        <w:ind w:left="1529" w:right="0" w:hanging="690"/>
        <w:jc w:val="left"/>
        <w:rPr>
          <w:sz w:val="21"/>
        </w:rPr>
      </w:pPr>
      <w:r>
        <w:rPr>
          <w:spacing w:val="-3"/>
          <w:sz w:val="21"/>
        </w:rPr>
        <w:t>烟羽流质量流量计算宜符合下列规定： </w:t>
      </w:r>
    </w:p>
    <w:p>
      <w:pPr>
        <w:pStyle w:val="BodyText"/>
        <w:rPr>
          <w:sz w:val="18"/>
        </w:rPr>
      </w:pPr>
    </w:p>
    <w:p>
      <w:pPr>
        <w:pStyle w:val="ListParagraph"/>
        <w:numPr>
          <w:ilvl w:val="0"/>
          <w:numId w:val="882"/>
        </w:numPr>
        <w:tabs>
          <w:tab w:pos="948" w:val="left" w:leader="none"/>
        </w:tabs>
        <w:spacing w:line="240" w:lineRule="auto" w:before="0" w:after="0"/>
        <w:ind w:left="947" w:right="0" w:hanging="530"/>
        <w:jc w:val="left"/>
        <w:rPr>
          <w:sz w:val="21"/>
        </w:rPr>
      </w:pPr>
      <w:r>
        <w:rPr>
          <w:spacing w:val="-3"/>
          <w:sz w:val="21"/>
        </w:rPr>
        <w:t>轴对称型烟羽流：</w:t>
      </w:r>
      <w:r>
        <w:rPr>
          <w:sz w:val="21"/>
        </w:rPr>
        <w:t> </w:t>
      </w:r>
    </w:p>
    <w:p>
      <w:pPr>
        <w:pStyle w:val="BodyText"/>
        <w:spacing w:before="11"/>
        <w:rPr>
          <w:sz w:val="26"/>
        </w:rPr>
      </w:pPr>
      <w:r>
        <w:rPr/>
        <w:drawing>
          <wp:anchor distT="0" distB="0" distL="0" distR="0" allowOverlap="1" layoutInCell="1" locked="0" behindDoc="0" simplePos="0" relativeHeight="305">
            <wp:simplePos x="0" y="0"/>
            <wp:positionH relativeFrom="page">
              <wp:posOffset>1267774</wp:posOffset>
            </wp:positionH>
            <wp:positionV relativeFrom="paragraph">
              <wp:posOffset>243363</wp:posOffset>
            </wp:positionV>
            <wp:extent cx="4380568" cy="1447800"/>
            <wp:effectExtent l="0" t="0" r="0" b="0"/>
            <wp:wrapTopAndBottom/>
            <wp:docPr id="681" name="image401.jpeg"/>
            <wp:cNvGraphicFramePr>
              <a:graphicFrameLocks noChangeAspect="1"/>
            </wp:cNvGraphicFramePr>
            <a:graphic>
              <a:graphicData uri="http://schemas.openxmlformats.org/drawingml/2006/picture">
                <pic:pic>
                  <pic:nvPicPr>
                    <pic:cNvPr id="682" name="image401.jpeg"/>
                    <pic:cNvPicPr/>
                  </pic:nvPicPr>
                  <pic:blipFill>
                    <a:blip r:embed="rId513" cstate="print"/>
                    <a:stretch>
                      <a:fillRect/>
                    </a:stretch>
                  </pic:blipFill>
                  <pic:spPr>
                    <a:xfrm>
                      <a:off x="0" y="0"/>
                      <a:ext cx="4380568" cy="1447800"/>
                    </a:xfrm>
                    <a:prstGeom prst="rect">
                      <a:avLst/>
                    </a:prstGeom>
                  </pic:spPr>
                </pic:pic>
              </a:graphicData>
            </a:graphic>
          </wp:anchor>
        </w:drawing>
      </w:r>
    </w:p>
    <w:p>
      <w:pPr>
        <w:pStyle w:val="BodyText"/>
        <w:rPr>
          <w:sz w:val="20"/>
        </w:rPr>
      </w:pPr>
    </w:p>
    <w:p>
      <w:pPr>
        <w:pStyle w:val="BodyText"/>
        <w:rPr>
          <w:sz w:val="20"/>
        </w:rPr>
      </w:pPr>
    </w:p>
    <w:p>
      <w:pPr>
        <w:pStyle w:val="BodyText"/>
        <w:spacing w:before="10"/>
        <w:rPr>
          <w:sz w:val="18"/>
        </w:rPr>
      </w:pPr>
    </w:p>
    <w:p>
      <w:pPr>
        <w:pStyle w:val="BodyText"/>
        <w:spacing w:before="1"/>
        <w:ind w:left="418"/>
      </w:pPr>
      <w:r>
        <w:rPr>
          <w:position w:val="1"/>
        </w:rPr>
        <w:t>式中：Q</w:t>
      </w:r>
      <w:r>
        <w:rPr>
          <w:sz w:val="11"/>
        </w:rPr>
        <w:t>c</w:t>
      </w:r>
      <w:r>
        <w:rPr>
          <w:position w:val="1"/>
        </w:rPr>
        <w:t>——热释放速率的对流部分，一般取值为 Q</w:t>
      </w:r>
      <w:r>
        <w:rPr>
          <w:sz w:val="11"/>
        </w:rPr>
        <w:t>c</w:t>
      </w:r>
      <w:r>
        <w:rPr>
          <w:position w:val="1"/>
          <w:sz w:val="11"/>
        </w:rPr>
        <w:t> </w:t>
      </w:r>
      <w:r>
        <w:rPr>
          <w:position w:val="1"/>
        </w:rPr>
        <w:t>=0.7 Q（kW）；  </w:t>
      </w:r>
      <w:r>
        <w:rPr>
          <w:w w:val="100"/>
          <w:position w:val="1"/>
        </w:rPr>
        <w:t> </w:t>
      </w:r>
      <w:r>
        <w:rPr>
          <w:position w:val="1"/>
        </w:rPr>
        <w:t> </w:t>
      </w:r>
      <w:r>
        <w:rPr>
          <w:w w:val="100"/>
          <w:position w:val="1"/>
        </w:rPr>
        <w:t> </w:t>
      </w:r>
      <w:r>
        <w:rPr>
          <w:position w:val="1"/>
        </w:rPr>
        <w:t> </w:t>
      </w:r>
      <w:r>
        <w:rPr>
          <w:w w:val="100"/>
          <w:position w:val="1"/>
        </w:rPr>
        <w:t> </w:t>
      </w:r>
      <w:r>
        <w:rPr>
          <w:position w:val="1"/>
        </w:rPr>
        <w:t> </w:t>
      </w:r>
      <w:r>
        <w:rPr>
          <w:w w:val="100"/>
          <w:position w:val="1"/>
        </w:rPr>
        <w:t> </w:t>
      </w:r>
    </w:p>
    <w:p>
      <w:pPr>
        <w:pStyle w:val="BodyText"/>
        <w:spacing w:before="12"/>
        <w:rPr>
          <w:sz w:val="17"/>
        </w:rPr>
      </w:pPr>
    </w:p>
    <w:p>
      <w:pPr>
        <w:pStyle w:val="BodyText"/>
        <w:spacing w:line="446" w:lineRule="auto"/>
        <w:ind w:left="418" w:right="1822" w:firstLine="419"/>
      </w:pPr>
      <w:r>
        <w:rPr/>
        <w:t>Z——燃料面到烟层底部的高度（m）（取值应大于或等于最小清晰高度与燃料面高度之差）； </w:t>
      </w:r>
    </w:p>
    <w:p>
      <w:pPr>
        <w:pStyle w:val="BodyText"/>
        <w:spacing w:line="446" w:lineRule="auto"/>
        <w:ind w:left="838" w:right="6546"/>
      </w:pPr>
      <w:r>
        <w:rPr>
          <w:position w:val="1"/>
        </w:rPr>
        <w:t>Z</w:t>
      </w:r>
      <w:r>
        <w:rPr>
          <w:sz w:val="11"/>
        </w:rPr>
        <w:t>1</w:t>
      </w:r>
      <w:r>
        <w:rPr>
          <w:spacing w:val="-3"/>
          <w:position w:val="1"/>
        </w:rPr>
        <w:t>——火焰极限高度</w:t>
      </w:r>
      <w:r>
        <w:rPr>
          <w:position w:val="1"/>
        </w:rPr>
        <w:t>（m）； M</w:t>
      </w:r>
      <w:r>
        <w:rPr>
          <w:sz w:val="11"/>
        </w:rPr>
        <w:t>ρ</w:t>
      </w:r>
      <w:r>
        <w:rPr>
          <w:spacing w:val="-3"/>
          <w:position w:val="1"/>
        </w:rPr>
        <w:t>——烟羽流质量流量</w:t>
      </w:r>
      <w:r>
        <w:rPr>
          <w:position w:val="1"/>
        </w:rPr>
        <w:t>（kg/s）</w:t>
      </w:r>
      <w:r>
        <w:rPr>
          <w:spacing w:val="-3"/>
          <w:position w:val="1"/>
        </w:rPr>
        <w:t>。</w:t>
      </w:r>
      <w:r>
        <w:rPr>
          <w:position w:val="1"/>
        </w:rPr>
        <w:t> </w:t>
      </w:r>
    </w:p>
    <w:p>
      <w:pPr>
        <w:pStyle w:val="BodyText"/>
        <w:rPr>
          <w:sz w:val="20"/>
        </w:rPr>
      </w:pPr>
    </w:p>
    <w:p>
      <w:pPr>
        <w:pStyle w:val="BodyText"/>
        <w:rPr>
          <w:sz w:val="19"/>
        </w:rPr>
      </w:pPr>
    </w:p>
    <w:p>
      <w:pPr>
        <w:pStyle w:val="ListParagraph"/>
        <w:numPr>
          <w:ilvl w:val="1"/>
          <w:numId w:val="882"/>
        </w:numPr>
        <w:tabs>
          <w:tab w:pos="1367" w:val="left" w:leader="none"/>
        </w:tabs>
        <w:spacing w:line="240" w:lineRule="auto" w:before="0" w:after="0"/>
        <w:ind w:left="1367" w:right="0" w:hanging="529"/>
        <w:jc w:val="left"/>
        <w:rPr>
          <w:sz w:val="21"/>
        </w:rPr>
      </w:pPr>
      <w:r>
        <w:rPr>
          <w:spacing w:val="-3"/>
          <w:sz w:val="21"/>
        </w:rPr>
        <w:t>阳台溢出型烟羽流：</w:t>
      </w:r>
      <w:r>
        <w:rPr>
          <w:sz w:val="21"/>
        </w:rPr>
        <w:t> </w:t>
      </w:r>
    </w:p>
    <w:p>
      <w:pPr>
        <w:pStyle w:val="BodyText"/>
        <w:spacing w:before="11"/>
        <w:rPr>
          <w:sz w:val="23"/>
        </w:rPr>
      </w:pPr>
      <w:r>
        <w:rPr/>
        <w:drawing>
          <wp:anchor distT="0" distB="0" distL="0" distR="0" allowOverlap="1" layoutInCell="1" locked="0" behindDoc="0" simplePos="0" relativeHeight="306">
            <wp:simplePos x="0" y="0"/>
            <wp:positionH relativeFrom="page">
              <wp:posOffset>1430029</wp:posOffset>
            </wp:positionH>
            <wp:positionV relativeFrom="paragraph">
              <wp:posOffset>219234</wp:posOffset>
            </wp:positionV>
            <wp:extent cx="4968014" cy="342900"/>
            <wp:effectExtent l="0" t="0" r="0" b="0"/>
            <wp:wrapTopAndBottom/>
            <wp:docPr id="683" name="image402.jpeg"/>
            <wp:cNvGraphicFramePr>
              <a:graphicFrameLocks noChangeAspect="1"/>
            </wp:cNvGraphicFramePr>
            <a:graphic>
              <a:graphicData uri="http://schemas.openxmlformats.org/drawingml/2006/picture">
                <pic:pic>
                  <pic:nvPicPr>
                    <pic:cNvPr id="684" name="image402.jpeg"/>
                    <pic:cNvPicPr/>
                  </pic:nvPicPr>
                  <pic:blipFill>
                    <a:blip r:embed="rId514" cstate="print"/>
                    <a:stretch>
                      <a:fillRect/>
                    </a:stretch>
                  </pic:blipFill>
                  <pic:spPr>
                    <a:xfrm>
                      <a:off x="0" y="0"/>
                      <a:ext cx="4968014" cy="342900"/>
                    </a:xfrm>
                    <a:prstGeom prst="rect">
                      <a:avLst/>
                    </a:prstGeom>
                  </pic:spPr>
                </pic:pic>
              </a:graphicData>
            </a:graphic>
          </wp:anchor>
        </w:drawing>
      </w:r>
    </w:p>
    <w:p>
      <w:pPr>
        <w:pStyle w:val="BodyText"/>
        <w:spacing w:before="1"/>
        <w:rPr>
          <w:sz w:val="19"/>
        </w:rPr>
      </w:pPr>
    </w:p>
    <w:p>
      <w:pPr>
        <w:spacing w:before="0"/>
        <w:ind w:left="1188" w:right="0" w:firstLine="0"/>
        <w:jc w:val="left"/>
        <w:rPr>
          <w:sz w:val="21"/>
        </w:rPr>
      </w:pPr>
      <w:r>
        <w:rPr>
          <w:i/>
          <w:sz w:val="22"/>
        </w:rPr>
        <w:t>W </w:t>
      </w:r>
      <w:r>
        <w:rPr>
          <w:sz w:val="21"/>
        </w:rPr>
        <w:t>= </w:t>
      </w:r>
      <w:r>
        <w:rPr>
          <w:i/>
          <w:sz w:val="22"/>
        </w:rPr>
        <w:t>w </w:t>
      </w:r>
      <w:r>
        <w:rPr>
          <w:sz w:val="21"/>
        </w:rPr>
        <w:t>+ </w:t>
      </w:r>
      <w:r>
        <w:rPr>
          <w:i/>
          <w:spacing w:val="-3"/>
          <w:sz w:val="22"/>
        </w:rPr>
        <w:t>b</w:t>
      </w:r>
      <w:r>
        <w:rPr>
          <w:i/>
          <w:spacing w:val="76"/>
          <w:sz w:val="22"/>
        </w:rPr>
        <w:t> </w:t>
      </w:r>
      <w:r>
        <w:rPr>
          <w:sz w:val="21"/>
        </w:rPr>
        <w:t>（4.6.11-5） </w:t>
      </w:r>
    </w:p>
    <w:p>
      <w:pPr>
        <w:pStyle w:val="BodyText"/>
        <w:spacing w:before="12"/>
        <w:rPr>
          <w:sz w:val="16"/>
        </w:rPr>
      </w:pPr>
    </w:p>
    <w:p>
      <w:pPr>
        <w:pStyle w:val="BodyText"/>
        <w:spacing w:line="427" w:lineRule="auto"/>
        <w:ind w:left="838" w:right="5709"/>
      </w:pPr>
      <w:r>
        <w:rPr>
          <w:position w:val="1"/>
        </w:rPr>
        <w:t>式中：</w:t>
      </w:r>
      <w:r>
        <w:rPr>
          <w:i/>
          <w:position w:val="1"/>
          <w:sz w:val="22"/>
        </w:rPr>
        <w:t>H</w:t>
      </w:r>
      <w:r>
        <w:rPr>
          <w:sz w:val="11"/>
        </w:rPr>
        <w:t>1</w:t>
      </w:r>
      <w:r>
        <w:rPr>
          <w:position w:val="1"/>
        </w:rPr>
        <w:t>——燃料面至阳台的高度（m）； </w:t>
      </w:r>
      <w:r>
        <w:rPr>
          <w:i/>
          <w:position w:val="1"/>
          <w:sz w:val="22"/>
        </w:rPr>
        <w:t>Z</w:t>
      </w:r>
      <w:r>
        <w:rPr>
          <w:sz w:val="11"/>
        </w:rPr>
        <w:t>b</w:t>
      </w:r>
      <w:r>
        <w:rPr>
          <w:position w:val="1"/>
        </w:rPr>
        <w:t>——从阳台下缘至烟层底部的高度（m）； </w:t>
      </w:r>
      <w:r>
        <w:rPr>
          <w:i/>
          <w:sz w:val="22"/>
        </w:rPr>
        <w:t>W</w:t>
      </w:r>
      <w:r>
        <w:rPr/>
        <w:t>——烟羽流扩散宽度（m）； </w:t>
      </w:r>
    </w:p>
    <w:p>
      <w:pPr>
        <w:spacing w:after="0" w:line="427" w:lineRule="auto"/>
        <w:sectPr>
          <w:pgSz w:w="11910" w:h="16850"/>
          <w:pgMar w:header="0" w:footer="1239" w:top="1200" w:bottom="1420" w:left="1260" w:right="0"/>
        </w:sectPr>
      </w:pPr>
    </w:p>
    <w:p>
      <w:pPr>
        <w:pStyle w:val="BodyText"/>
        <w:spacing w:before="57"/>
        <w:ind w:left="838"/>
      </w:pPr>
      <w:r>
        <w:rPr>
          <w:i/>
          <w:sz w:val="22"/>
        </w:rPr>
        <w:t>w</w:t>
      </w:r>
      <w:r>
        <w:rPr/>
        <w:t>——火源区域的开口宽度（m）； </w:t>
      </w:r>
    </w:p>
    <w:p>
      <w:pPr>
        <w:pStyle w:val="BodyText"/>
        <w:rPr>
          <w:sz w:val="17"/>
        </w:rPr>
      </w:pPr>
    </w:p>
    <w:p>
      <w:pPr>
        <w:pStyle w:val="BodyText"/>
        <w:ind w:left="838"/>
      </w:pPr>
      <w:r>
        <w:rPr>
          <w:i/>
          <w:sz w:val="22"/>
        </w:rPr>
        <w:t>b</w:t>
      </w:r>
      <w:r>
        <w:rPr/>
        <w:t>——从开口至阳台边沿的距离（m），b≠0； </w:t>
      </w:r>
    </w:p>
    <w:p>
      <w:pPr>
        <w:pStyle w:val="BodyText"/>
        <w:spacing w:before="10"/>
        <w:rPr>
          <w:sz w:val="17"/>
        </w:rPr>
      </w:pPr>
    </w:p>
    <w:p>
      <w:pPr>
        <w:pStyle w:val="ListParagraph"/>
        <w:numPr>
          <w:ilvl w:val="1"/>
          <w:numId w:val="882"/>
        </w:numPr>
        <w:tabs>
          <w:tab w:pos="1367" w:val="left" w:leader="none"/>
        </w:tabs>
        <w:spacing w:line="240" w:lineRule="auto" w:before="0" w:after="0"/>
        <w:ind w:left="1367" w:right="0" w:hanging="529"/>
        <w:jc w:val="left"/>
        <w:rPr>
          <w:sz w:val="21"/>
        </w:rPr>
      </w:pPr>
      <w:r>
        <w:rPr>
          <w:spacing w:val="-3"/>
          <w:sz w:val="21"/>
        </w:rPr>
        <w:t>窗口型烟羽流：</w:t>
      </w:r>
      <w:r>
        <w:rPr>
          <w:sz w:val="21"/>
        </w:rPr>
        <w:t> </w:t>
      </w:r>
    </w:p>
    <w:p>
      <w:pPr>
        <w:pStyle w:val="BodyText"/>
        <w:spacing w:before="3"/>
        <w:rPr>
          <w:sz w:val="10"/>
        </w:rPr>
      </w:pPr>
      <w:r>
        <w:rPr/>
        <w:drawing>
          <wp:anchor distT="0" distB="0" distL="0" distR="0" allowOverlap="1" layoutInCell="1" locked="0" behindDoc="0" simplePos="0" relativeHeight="307">
            <wp:simplePos x="0" y="0"/>
            <wp:positionH relativeFrom="page">
              <wp:posOffset>1225499</wp:posOffset>
            </wp:positionH>
            <wp:positionV relativeFrom="paragraph">
              <wp:posOffset>108434</wp:posOffset>
            </wp:positionV>
            <wp:extent cx="5467220" cy="838200"/>
            <wp:effectExtent l="0" t="0" r="0" b="0"/>
            <wp:wrapTopAndBottom/>
            <wp:docPr id="685" name="image403.jpeg"/>
            <wp:cNvGraphicFramePr>
              <a:graphicFrameLocks noChangeAspect="1"/>
            </wp:cNvGraphicFramePr>
            <a:graphic>
              <a:graphicData uri="http://schemas.openxmlformats.org/drawingml/2006/picture">
                <pic:pic>
                  <pic:nvPicPr>
                    <pic:cNvPr id="686" name="image403.jpeg"/>
                    <pic:cNvPicPr/>
                  </pic:nvPicPr>
                  <pic:blipFill>
                    <a:blip r:embed="rId515" cstate="print"/>
                    <a:stretch>
                      <a:fillRect/>
                    </a:stretch>
                  </pic:blipFill>
                  <pic:spPr>
                    <a:xfrm>
                      <a:off x="0" y="0"/>
                      <a:ext cx="5467220" cy="838200"/>
                    </a:xfrm>
                    <a:prstGeom prst="rect">
                      <a:avLst/>
                    </a:prstGeom>
                  </pic:spPr>
                </pic:pic>
              </a:graphicData>
            </a:graphic>
          </wp:anchor>
        </w:drawing>
      </w:r>
      <w:r>
        <w:rPr/>
        <w:drawing>
          <wp:anchor distT="0" distB="0" distL="0" distR="0" allowOverlap="1" layoutInCell="1" locked="0" behindDoc="0" simplePos="0" relativeHeight="308">
            <wp:simplePos x="0" y="0"/>
            <wp:positionH relativeFrom="page">
              <wp:posOffset>1271261</wp:posOffset>
            </wp:positionH>
            <wp:positionV relativeFrom="paragraph">
              <wp:posOffset>1177139</wp:posOffset>
            </wp:positionV>
            <wp:extent cx="5568384" cy="495300"/>
            <wp:effectExtent l="0" t="0" r="0" b="0"/>
            <wp:wrapTopAndBottom/>
            <wp:docPr id="687" name="image404.jpeg"/>
            <wp:cNvGraphicFramePr>
              <a:graphicFrameLocks noChangeAspect="1"/>
            </wp:cNvGraphicFramePr>
            <a:graphic>
              <a:graphicData uri="http://schemas.openxmlformats.org/drawingml/2006/picture">
                <pic:pic>
                  <pic:nvPicPr>
                    <pic:cNvPr id="688" name="image404.jpeg"/>
                    <pic:cNvPicPr/>
                  </pic:nvPicPr>
                  <pic:blipFill>
                    <a:blip r:embed="rId516" cstate="print"/>
                    <a:stretch>
                      <a:fillRect/>
                    </a:stretch>
                  </pic:blipFill>
                  <pic:spPr>
                    <a:xfrm>
                      <a:off x="0" y="0"/>
                      <a:ext cx="5568384" cy="495300"/>
                    </a:xfrm>
                    <a:prstGeom prst="rect">
                      <a:avLst/>
                    </a:prstGeom>
                  </pic:spPr>
                </pic:pic>
              </a:graphicData>
            </a:graphic>
          </wp:anchor>
        </w:drawing>
      </w:r>
    </w:p>
    <w:p>
      <w:pPr>
        <w:pStyle w:val="BodyText"/>
        <w:rPr>
          <w:sz w:val="23"/>
        </w:rPr>
      </w:pPr>
    </w:p>
    <w:p>
      <w:pPr>
        <w:pStyle w:val="BodyText"/>
        <w:rPr>
          <w:sz w:val="20"/>
        </w:rPr>
      </w:pPr>
    </w:p>
    <w:p>
      <w:pPr>
        <w:pStyle w:val="BodyText"/>
        <w:rPr>
          <w:sz w:val="20"/>
        </w:rPr>
      </w:pPr>
    </w:p>
    <w:p>
      <w:pPr>
        <w:pStyle w:val="BodyText"/>
        <w:spacing w:before="12"/>
        <w:rPr>
          <w:sz w:val="17"/>
        </w:rPr>
      </w:pPr>
    </w:p>
    <w:p>
      <w:pPr>
        <w:pStyle w:val="BodyText"/>
        <w:ind w:left="838"/>
      </w:pPr>
      <w:r>
        <w:rPr/>
        <w:pict>
          <v:shape style="position:absolute;margin-left:141.740005pt;margin-top:6.736262pt;width:2.8pt;height:5.55pt;mso-position-horizontal-relative:page;mso-position-vertical-relative:paragraph;z-index:-287366144" type="#_x0000_t202" filled="false" stroked="false">
            <v:textbox inset="0,0,0,0">
              <w:txbxContent>
                <w:p>
                  <w:pPr>
                    <w:spacing w:line="110" w:lineRule="exact" w:before="0"/>
                    <w:ind w:left="0" w:right="0" w:firstLine="0"/>
                    <w:jc w:val="left"/>
                    <w:rPr>
                      <w:sz w:val="11"/>
                    </w:rPr>
                  </w:pPr>
                  <w:r>
                    <w:rPr>
                      <w:w w:val="100"/>
                      <w:sz w:val="11"/>
                    </w:rPr>
                    <w:t>w</w:t>
                  </w:r>
                </w:p>
              </w:txbxContent>
            </v:textbox>
            <w10:wrap type="none"/>
          </v:shape>
        </w:pict>
      </w:r>
      <w:r>
        <w:rPr/>
        <w:t>式中：</w:t>
      </w:r>
      <w:r>
        <w:rPr>
          <w:i/>
          <w:sz w:val="22"/>
        </w:rPr>
        <w:t>A</w:t>
      </w:r>
      <w:r>
        <w:rPr>
          <w:i/>
          <w:spacing w:val="-55"/>
          <w:sz w:val="22"/>
        </w:rPr>
        <w:t> </w:t>
      </w:r>
      <w:r>
        <w:rPr>
          <w:spacing w:val="-3"/>
        </w:rPr>
        <w:t>——窗口开口的面积</w:t>
      </w:r>
      <w:r>
        <w:rPr/>
        <w:t>（m</w:t>
      </w:r>
      <w:r>
        <w:rPr>
          <w:position w:val="11"/>
          <w:sz w:val="11"/>
        </w:rPr>
        <w:t>2</w:t>
      </w:r>
      <w:r>
        <w:rPr/>
        <w:t>）； </w:t>
      </w:r>
    </w:p>
    <w:p>
      <w:pPr>
        <w:pStyle w:val="BodyText"/>
        <w:spacing w:before="12"/>
        <w:rPr>
          <w:sz w:val="16"/>
        </w:rPr>
      </w:pPr>
    </w:p>
    <w:p>
      <w:pPr>
        <w:pStyle w:val="BodyText"/>
        <w:ind w:left="838"/>
      </w:pPr>
      <w:r>
        <w:rPr>
          <w:i/>
          <w:position w:val="1"/>
          <w:sz w:val="22"/>
        </w:rPr>
        <w:t>H</w:t>
      </w:r>
      <w:r>
        <w:rPr>
          <w:sz w:val="11"/>
        </w:rPr>
        <w:t>w</w:t>
      </w:r>
      <w:r>
        <w:rPr>
          <w:position w:val="1"/>
        </w:rPr>
        <w:t>——窗口开口的高度（m）； </w:t>
      </w:r>
    </w:p>
    <w:p>
      <w:pPr>
        <w:pStyle w:val="BodyText"/>
        <w:spacing w:before="2"/>
        <w:rPr>
          <w:sz w:val="17"/>
        </w:rPr>
      </w:pPr>
    </w:p>
    <w:p>
      <w:pPr>
        <w:pStyle w:val="BodyText"/>
        <w:ind w:left="838"/>
      </w:pPr>
      <w:r>
        <w:rPr>
          <w:i/>
          <w:position w:val="1"/>
          <w:sz w:val="22"/>
        </w:rPr>
        <w:t>Z</w:t>
      </w:r>
      <w:r>
        <w:rPr>
          <w:sz w:val="11"/>
        </w:rPr>
        <w:t>w</w:t>
      </w:r>
      <w:r>
        <w:rPr>
          <w:position w:val="1"/>
        </w:rPr>
        <w:t>——窗口开口的顶部到烟层底部的高度（m）； </w:t>
      </w:r>
    </w:p>
    <w:p>
      <w:pPr>
        <w:pStyle w:val="BodyText"/>
        <w:spacing w:before="12"/>
        <w:rPr>
          <w:sz w:val="16"/>
        </w:rPr>
      </w:pPr>
    </w:p>
    <w:p>
      <w:pPr>
        <w:pStyle w:val="BodyText"/>
        <w:ind w:left="838"/>
      </w:pPr>
      <w:r>
        <w:rPr>
          <w:i/>
          <w:position w:val="1"/>
          <w:sz w:val="22"/>
        </w:rPr>
        <w:t>α</w:t>
      </w:r>
      <w:r>
        <w:rPr>
          <w:sz w:val="11"/>
        </w:rPr>
        <w:t>w</w:t>
      </w:r>
      <w:r>
        <w:rPr>
          <w:position w:val="1"/>
        </w:rPr>
        <w:t>——窗口型烟羽流的修正系数（m）。 </w:t>
      </w:r>
    </w:p>
    <w:p>
      <w:pPr>
        <w:pStyle w:val="BodyText"/>
        <w:spacing w:before="10"/>
        <w:rPr>
          <w:sz w:val="17"/>
        </w:rPr>
      </w:pPr>
    </w:p>
    <w:p>
      <w:pPr>
        <w:pStyle w:val="ListParagraph"/>
        <w:numPr>
          <w:ilvl w:val="2"/>
          <w:numId w:val="880"/>
        </w:numPr>
        <w:tabs>
          <w:tab w:pos="1478" w:val="left" w:leader="none"/>
        </w:tabs>
        <w:spacing w:line="446" w:lineRule="auto" w:before="1" w:after="0"/>
        <w:ind w:left="2626" w:right="2021" w:hanging="1787"/>
        <w:jc w:val="left"/>
        <w:rPr>
          <w:sz w:val="21"/>
        </w:rPr>
      </w:pPr>
      <w:r>
        <w:rPr>
          <w:spacing w:val="-5"/>
          <w:sz w:val="21"/>
        </w:rPr>
        <w:t>烟层平均温度与环境温度的差应按下式计算或按本标准附录 </w:t>
      </w:r>
      <w:r>
        <w:rPr>
          <w:sz w:val="21"/>
        </w:rPr>
        <w:t>A</w:t>
      </w:r>
      <w:r>
        <w:rPr>
          <w:spacing w:val="-26"/>
          <w:sz w:val="21"/>
        </w:rPr>
        <w:t> 中表 </w:t>
      </w:r>
      <w:r>
        <w:rPr>
          <w:sz w:val="21"/>
        </w:rPr>
        <w:t>A</w:t>
      </w:r>
      <w:r>
        <w:rPr>
          <w:spacing w:val="-14"/>
          <w:sz w:val="21"/>
        </w:rPr>
        <w:t> 选取：</w:t>
      </w:r>
      <w:r>
        <w:rPr>
          <w:spacing w:val="-14"/>
          <w:position w:val="1"/>
          <w:sz w:val="21"/>
        </w:rPr>
        <w:t> </w:t>
      </w:r>
      <w:r>
        <w:rPr>
          <w:position w:val="1"/>
          <w:sz w:val="21"/>
        </w:rPr>
        <w:t>ΔT = KQ</w:t>
      </w:r>
      <w:r>
        <w:rPr>
          <w:sz w:val="11"/>
        </w:rPr>
        <w:t>c</w:t>
      </w:r>
      <w:r>
        <w:rPr>
          <w:position w:val="1"/>
          <w:sz w:val="21"/>
        </w:rPr>
        <w:t>/M</w:t>
      </w:r>
      <w:r>
        <w:rPr>
          <w:sz w:val="11"/>
        </w:rPr>
        <w:t>ρ</w:t>
      </w:r>
      <w:r>
        <w:rPr>
          <w:position w:val="1"/>
          <w:sz w:val="21"/>
        </w:rPr>
        <w:t>C</w:t>
      </w:r>
      <w:r>
        <w:rPr>
          <w:sz w:val="11"/>
        </w:rPr>
        <w:t>ρ</w:t>
      </w:r>
      <w:r>
        <w:rPr>
          <w:spacing w:val="46"/>
          <w:position w:val="1"/>
          <w:sz w:val="11"/>
        </w:rPr>
        <w:t> </w:t>
      </w:r>
      <w:r>
        <w:rPr>
          <w:position w:val="1"/>
          <w:sz w:val="21"/>
        </w:rPr>
        <w:t>（4.6.12） </w:t>
      </w:r>
    </w:p>
    <w:p>
      <w:pPr>
        <w:pStyle w:val="BodyText"/>
        <w:spacing w:line="272" w:lineRule="exact"/>
        <w:ind w:left="838"/>
      </w:pPr>
      <w:r>
        <w:rPr/>
        <w:t>式中：Δ</w:t>
      </w:r>
      <w:r>
        <w:rPr>
          <w:i/>
          <w:sz w:val="22"/>
        </w:rPr>
        <w:t>T</w:t>
      </w:r>
      <w:r>
        <w:rPr/>
        <w:t>——烟层平均温度与环境温度的差（K）； </w:t>
      </w:r>
    </w:p>
    <w:p>
      <w:pPr>
        <w:pStyle w:val="BodyText"/>
        <w:spacing w:before="11"/>
        <w:rPr>
          <w:sz w:val="16"/>
        </w:rPr>
      </w:pPr>
    </w:p>
    <w:p>
      <w:pPr>
        <w:pStyle w:val="BodyText"/>
        <w:spacing w:before="1"/>
        <w:ind w:left="838"/>
      </w:pPr>
      <w:r>
        <w:rPr>
          <w:i/>
          <w:position w:val="1"/>
          <w:sz w:val="22"/>
        </w:rPr>
        <w:t>C</w:t>
      </w:r>
      <w:r>
        <w:rPr>
          <w:sz w:val="11"/>
        </w:rPr>
        <w:t>ρ</w:t>
      </w:r>
      <w:r>
        <w:rPr>
          <w:position w:val="1"/>
        </w:rPr>
        <w:t>——空气的定压比热，一般取 </w:t>
      </w:r>
      <w:r>
        <w:rPr>
          <w:i/>
          <w:position w:val="1"/>
          <w:sz w:val="22"/>
        </w:rPr>
        <w:t>C</w:t>
      </w:r>
      <w:r>
        <w:rPr>
          <w:sz w:val="11"/>
        </w:rPr>
        <w:t>ρ</w:t>
      </w:r>
      <w:r>
        <w:rPr>
          <w:position w:val="1"/>
        </w:rPr>
        <w:t>=1.01 [kJ/ (kg•K ) ]； </w:t>
      </w:r>
    </w:p>
    <w:p>
      <w:pPr>
        <w:pStyle w:val="BodyText"/>
        <w:spacing w:before="2"/>
        <w:rPr>
          <w:sz w:val="17"/>
        </w:rPr>
      </w:pPr>
    </w:p>
    <w:p>
      <w:pPr>
        <w:pStyle w:val="BodyText"/>
        <w:ind w:left="838"/>
      </w:pPr>
      <w:r>
        <w:rPr>
          <w:i/>
          <w:sz w:val="22"/>
        </w:rPr>
        <w:t>K</w:t>
      </w:r>
      <w:r>
        <w:rPr/>
        <w:t>——烟气中对流放热量因子。当采用机械排烟时，取 </w:t>
      </w:r>
      <w:r>
        <w:rPr>
          <w:i/>
          <w:sz w:val="22"/>
        </w:rPr>
        <w:t>K </w:t>
      </w:r>
      <w:r>
        <w:rPr/>
        <w:t>=1.0；当采用自然排烟时，取 </w:t>
      </w:r>
      <w:r>
        <w:rPr>
          <w:i/>
          <w:sz w:val="22"/>
        </w:rPr>
        <w:t>K</w:t>
      </w:r>
      <w:r>
        <w:rPr>
          <w:w w:val="100"/>
        </w:rPr>
        <w:t> </w:t>
      </w:r>
    </w:p>
    <w:p>
      <w:pPr>
        <w:pStyle w:val="BodyText"/>
        <w:spacing w:before="9"/>
        <w:rPr>
          <w:sz w:val="17"/>
        </w:rPr>
      </w:pPr>
    </w:p>
    <w:p>
      <w:pPr>
        <w:pStyle w:val="BodyText"/>
        <w:ind w:left="418"/>
      </w:pPr>
      <w:r>
        <w:rPr/>
        <w:t>=0.5。 </w:t>
      </w:r>
    </w:p>
    <w:p>
      <w:pPr>
        <w:pStyle w:val="BodyText"/>
        <w:rPr>
          <w:sz w:val="18"/>
        </w:rPr>
      </w:pPr>
    </w:p>
    <w:p>
      <w:pPr>
        <w:pStyle w:val="ListParagraph"/>
        <w:numPr>
          <w:ilvl w:val="2"/>
          <w:numId w:val="880"/>
        </w:numPr>
        <w:tabs>
          <w:tab w:pos="1478" w:val="left" w:leader="none"/>
        </w:tabs>
        <w:spacing w:line="446" w:lineRule="auto" w:before="1" w:after="0"/>
        <w:ind w:left="2549" w:right="2655" w:hanging="1710"/>
        <w:jc w:val="left"/>
        <w:rPr>
          <w:b/>
          <w:sz w:val="21"/>
        </w:rPr>
      </w:pPr>
      <w:r>
        <w:rPr>
          <w:spacing w:val="-5"/>
          <w:sz w:val="21"/>
        </w:rPr>
        <w:t>每个防烟分区排烟量应按下列公式计算或按本标准附录 </w:t>
      </w:r>
      <w:r>
        <w:rPr>
          <w:sz w:val="21"/>
        </w:rPr>
        <w:t>A</w:t>
      </w:r>
      <w:r>
        <w:rPr>
          <w:spacing w:val="-10"/>
          <w:sz w:val="21"/>
        </w:rPr>
        <w:t> 查表选取：</w:t>
      </w:r>
      <w:r>
        <w:rPr>
          <w:spacing w:val="17"/>
          <w:position w:val="1"/>
          <w:sz w:val="21"/>
        </w:rPr>
        <w:t> </w:t>
      </w:r>
      <w:r>
        <w:rPr>
          <w:position w:val="1"/>
          <w:sz w:val="21"/>
        </w:rPr>
        <w:t>V = M</w:t>
      </w:r>
      <w:r>
        <w:rPr>
          <w:sz w:val="11"/>
        </w:rPr>
        <w:t>ρ</w:t>
      </w:r>
      <w:r>
        <w:rPr>
          <w:position w:val="1"/>
          <w:sz w:val="21"/>
        </w:rPr>
        <w:t>T /ρ</w:t>
      </w:r>
      <w:r>
        <w:rPr>
          <w:sz w:val="11"/>
        </w:rPr>
        <w:t>0</w:t>
      </w:r>
      <w:r>
        <w:rPr>
          <w:position w:val="1"/>
          <w:sz w:val="21"/>
        </w:rPr>
        <w:t>T</w:t>
      </w:r>
      <w:r>
        <w:rPr>
          <w:sz w:val="11"/>
        </w:rPr>
        <w:t>0</w:t>
      </w:r>
      <w:r>
        <w:rPr>
          <w:spacing w:val="49"/>
          <w:position w:val="1"/>
          <w:sz w:val="11"/>
        </w:rPr>
        <w:t> </w:t>
      </w:r>
      <w:r>
        <w:rPr>
          <w:position w:val="1"/>
          <w:sz w:val="21"/>
        </w:rPr>
        <w:t>（4.6.13-1）</w:t>
      </w:r>
      <w:r>
        <w:rPr>
          <w:b/>
          <w:w w:val="99"/>
          <w:position w:val="1"/>
          <w:sz w:val="21"/>
        </w:rPr>
        <w:t> </w:t>
      </w:r>
    </w:p>
    <w:p>
      <w:pPr>
        <w:pStyle w:val="BodyText"/>
        <w:spacing w:line="436" w:lineRule="auto"/>
        <w:ind w:left="838" w:right="3284" w:firstLine="1951"/>
      </w:pPr>
      <w:r>
        <w:rPr>
          <w:position w:val="1"/>
        </w:rPr>
        <w:t>T =T</w:t>
      </w:r>
      <w:r>
        <w:rPr>
          <w:sz w:val="11"/>
        </w:rPr>
        <w:t>0</w:t>
      </w:r>
      <w:r>
        <w:rPr>
          <w:position w:val="1"/>
          <w:sz w:val="11"/>
        </w:rPr>
        <w:t>    </w:t>
      </w:r>
      <w:r>
        <w:rPr>
          <w:position w:val="1"/>
        </w:rPr>
        <w:t>+ ΔT                 （4.6.13-2） </w:t>
      </w:r>
      <w:r>
        <w:rPr/>
        <w:t>式中：V</w:t>
      </w:r>
      <w:r>
        <w:rPr>
          <w:spacing w:val="-2"/>
        </w:rPr>
        <w:t>——排烟量</w:t>
      </w:r>
      <w:r>
        <w:rPr/>
        <w:t>（m</w:t>
      </w:r>
      <w:r>
        <w:rPr>
          <w:position w:val="11"/>
          <w:sz w:val="11"/>
        </w:rPr>
        <w:t>3</w:t>
      </w:r>
      <w:r>
        <w:rPr/>
        <w:t>/s）； </w:t>
      </w:r>
    </w:p>
    <w:p>
      <w:pPr>
        <w:pStyle w:val="BodyText"/>
        <w:spacing w:line="444" w:lineRule="auto" w:before="1"/>
        <w:ind w:left="838" w:right="2350"/>
      </w:pPr>
      <w:r>
        <w:rPr/>
        <w:pict>
          <v:shape style="position:absolute;margin-left:115.459999pt;margin-top:6.786251pt;width:281.45pt;height:5.55pt;mso-position-horizontal-relative:page;mso-position-vertical-relative:paragraph;z-index:-287365120" type="#_x0000_t202" filled="false" stroked="false">
            <v:textbox inset="0,0,0,0">
              <w:txbxContent>
                <w:p>
                  <w:pPr>
                    <w:tabs>
                      <w:tab w:pos="4258" w:val="left" w:leader="none"/>
                      <w:tab w:pos="5573" w:val="left" w:leader="none"/>
                    </w:tabs>
                    <w:spacing w:line="110" w:lineRule="exact" w:before="0"/>
                    <w:ind w:left="0" w:right="0" w:firstLine="0"/>
                    <w:jc w:val="left"/>
                    <w:rPr>
                      <w:sz w:val="11"/>
                    </w:rPr>
                  </w:pPr>
                  <w:r>
                    <w:rPr>
                      <w:sz w:val="11"/>
                    </w:rPr>
                    <w:t>0</w:t>
                    <w:tab/>
                    <w:t>0</w:t>
                    <w:tab/>
                  </w:r>
                  <w:r>
                    <w:rPr>
                      <w:spacing w:val="-20"/>
                      <w:sz w:val="11"/>
                    </w:rPr>
                    <w:t>0</w:t>
                  </w:r>
                </w:p>
              </w:txbxContent>
            </v:textbox>
            <w10:wrap type="none"/>
          </v:shape>
        </w:pict>
      </w:r>
      <w:r>
        <w:rPr/>
        <w:t>ρ</w:t>
      </w:r>
      <w:r>
        <w:rPr>
          <w:spacing w:val="-9"/>
        </w:rPr>
        <w:t> ——环境温度下的气体密度</w:t>
      </w:r>
      <w:r>
        <w:rPr/>
        <w:t>（kg/m</w:t>
      </w:r>
      <w:r>
        <w:rPr>
          <w:position w:val="11"/>
          <w:sz w:val="11"/>
        </w:rPr>
        <w:t>3</w:t>
      </w:r>
      <w:r>
        <w:rPr/>
        <w:t>）</w:t>
      </w:r>
      <w:r>
        <w:rPr>
          <w:spacing w:val="-15"/>
        </w:rPr>
        <w:t>，通常 </w:t>
      </w:r>
      <w:r>
        <w:rPr/>
        <w:t>T</w:t>
      </w:r>
      <w:r>
        <w:rPr>
          <w:spacing w:val="-25"/>
        </w:rPr>
        <w:t> =</w:t>
      </w:r>
      <w:r>
        <w:rPr/>
        <w:t>293.15K，ρ</w:t>
      </w:r>
      <w:r>
        <w:rPr>
          <w:spacing w:val="-52"/>
        </w:rPr>
        <w:t> </w:t>
      </w:r>
      <w:r>
        <w:rPr/>
        <w:t>=1.2（kg/</w:t>
      </w:r>
      <w:r>
        <w:rPr>
          <w:spacing w:val="3"/>
        </w:rPr>
        <w:t> </w:t>
      </w:r>
      <w:r>
        <w:rPr/>
        <w:t>m</w:t>
      </w:r>
      <w:r>
        <w:rPr>
          <w:position w:val="11"/>
          <w:sz w:val="11"/>
        </w:rPr>
        <w:t>3</w:t>
      </w:r>
      <w:r>
        <w:rPr/>
        <w:t>）； </w:t>
      </w:r>
      <w:r>
        <w:rPr>
          <w:position w:val="1"/>
        </w:rPr>
        <w:t>T</w:t>
      </w:r>
      <w:r>
        <w:rPr>
          <w:sz w:val="11"/>
        </w:rPr>
        <w:t>0</w:t>
      </w:r>
      <w:r>
        <w:rPr>
          <w:spacing w:val="-3"/>
          <w:position w:val="1"/>
        </w:rPr>
        <w:t>——环境的绝对温度（K）；</w:t>
      </w:r>
      <w:r>
        <w:rPr>
          <w:position w:val="1"/>
        </w:rPr>
        <w:t> </w:t>
      </w:r>
    </w:p>
    <w:p>
      <w:pPr>
        <w:pStyle w:val="BodyText"/>
        <w:spacing w:before="3"/>
        <w:ind w:left="838"/>
      </w:pPr>
      <w:r>
        <w:rPr/>
        <w:t>T——烟层的平均绝对温度（K）。 </w:t>
      </w:r>
    </w:p>
    <w:p>
      <w:pPr>
        <w:pStyle w:val="BodyText"/>
        <w:spacing w:before="1"/>
        <w:rPr>
          <w:sz w:val="18"/>
        </w:rPr>
      </w:pPr>
    </w:p>
    <w:p>
      <w:pPr>
        <w:pStyle w:val="ListParagraph"/>
        <w:numPr>
          <w:ilvl w:val="2"/>
          <w:numId w:val="880"/>
        </w:numPr>
        <w:tabs>
          <w:tab w:pos="1478" w:val="left" w:leader="none"/>
        </w:tabs>
        <w:spacing w:line="446" w:lineRule="auto" w:before="1" w:after="0"/>
        <w:ind w:left="418" w:right="1568" w:firstLine="422"/>
        <w:jc w:val="left"/>
        <w:rPr>
          <w:sz w:val="21"/>
        </w:rPr>
      </w:pPr>
      <w:r>
        <w:rPr>
          <w:spacing w:val="-5"/>
          <w:position w:val="1"/>
          <w:sz w:val="21"/>
        </w:rPr>
        <w:t>机械排烟系统中，单个排烟口的最大允许排烟量 </w:t>
      </w:r>
      <w:r>
        <w:rPr>
          <w:position w:val="1"/>
          <w:sz w:val="21"/>
        </w:rPr>
        <w:t>V</w:t>
      </w:r>
      <w:r>
        <w:rPr>
          <w:sz w:val="11"/>
        </w:rPr>
        <w:t>max</w:t>
      </w:r>
      <w:r>
        <w:rPr>
          <w:spacing w:val="-24"/>
          <w:sz w:val="11"/>
        </w:rPr>
        <w:t> </w:t>
      </w:r>
      <w:r>
        <w:rPr>
          <w:spacing w:val="-3"/>
          <w:position w:val="1"/>
          <w:sz w:val="21"/>
        </w:rPr>
        <w:t>宜按下式计算，或按本标准附</w:t>
      </w:r>
      <w:r>
        <w:rPr>
          <w:spacing w:val="-28"/>
          <w:sz w:val="21"/>
        </w:rPr>
        <w:t>录 </w:t>
      </w:r>
      <w:r>
        <w:rPr>
          <w:sz w:val="21"/>
        </w:rPr>
        <w:t>B</w:t>
      </w:r>
      <w:r>
        <w:rPr>
          <w:spacing w:val="-15"/>
          <w:sz w:val="21"/>
        </w:rPr>
        <w:t> 选取。</w:t>
      </w:r>
      <w:r>
        <w:rPr>
          <w:sz w:val="21"/>
        </w:rPr>
        <w:t> </w:t>
      </w:r>
    </w:p>
    <w:p>
      <w:pPr>
        <w:spacing w:after="0" w:line="446" w:lineRule="auto"/>
        <w:jc w:val="left"/>
        <w:rPr>
          <w:sz w:val="21"/>
        </w:rPr>
        <w:sectPr>
          <w:pgSz w:w="11910" w:h="16850"/>
          <w:pgMar w:header="0" w:footer="1239" w:top="1200" w:bottom="1420" w:left="1260" w:right="0"/>
        </w:sectPr>
      </w:pPr>
    </w:p>
    <w:p>
      <w:pPr>
        <w:pStyle w:val="BodyText"/>
        <w:ind w:left="857"/>
        <w:rPr>
          <w:sz w:val="20"/>
        </w:rPr>
      </w:pPr>
      <w:r>
        <w:rPr>
          <w:sz w:val="20"/>
        </w:rPr>
        <w:drawing>
          <wp:inline distT="0" distB="0" distL="0" distR="0">
            <wp:extent cx="5047323" cy="657225"/>
            <wp:effectExtent l="0" t="0" r="0" b="0"/>
            <wp:docPr id="689" name="image405.jpeg"/>
            <wp:cNvGraphicFramePr>
              <a:graphicFrameLocks noChangeAspect="1"/>
            </wp:cNvGraphicFramePr>
            <a:graphic>
              <a:graphicData uri="http://schemas.openxmlformats.org/drawingml/2006/picture">
                <pic:pic>
                  <pic:nvPicPr>
                    <pic:cNvPr id="690" name="image405.jpeg"/>
                    <pic:cNvPicPr/>
                  </pic:nvPicPr>
                  <pic:blipFill>
                    <a:blip r:embed="rId517" cstate="print"/>
                    <a:stretch>
                      <a:fillRect/>
                    </a:stretch>
                  </pic:blipFill>
                  <pic:spPr>
                    <a:xfrm>
                      <a:off x="0" y="0"/>
                      <a:ext cx="5047323" cy="657225"/>
                    </a:xfrm>
                    <a:prstGeom prst="rect">
                      <a:avLst/>
                    </a:prstGeom>
                  </pic:spPr>
                </pic:pic>
              </a:graphicData>
            </a:graphic>
          </wp:inline>
        </w:drawing>
      </w:r>
      <w:r>
        <w:rPr>
          <w:sz w:val="20"/>
        </w:rPr>
      </w:r>
    </w:p>
    <w:p>
      <w:pPr>
        <w:pStyle w:val="BodyText"/>
        <w:spacing w:before="5"/>
        <w:rPr>
          <w:sz w:val="10"/>
        </w:rPr>
      </w:pPr>
    </w:p>
    <w:p>
      <w:pPr>
        <w:pStyle w:val="BodyText"/>
        <w:spacing w:before="86"/>
        <w:ind w:left="840"/>
        <w:jc w:val="both"/>
      </w:pPr>
      <w:r>
        <w:rPr/>
        <w:pict>
          <v:shape style="position:absolute;margin-left:141.860001pt;margin-top:11.036238pt;width:8.3pt;height:5.55pt;mso-position-horizontal-relative:page;mso-position-vertical-relative:paragraph;z-index:-287358976" type="#_x0000_t202" filled="false" stroked="false">
            <v:textbox inset="0,0,0,0">
              <w:txbxContent>
                <w:p>
                  <w:pPr>
                    <w:spacing w:line="110" w:lineRule="exact" w:before="0"/>
                    <w:ind w:left="0" w:right="0" w:firstLine="0"/>
                    <w:jc w:val="left"/>
                    <w:rPr>
                      <w:sz w:val="11"/>
                    </w:rPr>
                  </w:pPr>
                  <w:r>
                    <w:rPr>
                      <w:sz w:val="11"/>
                    </w:rPr>
                    <w:t>max</w:t>
                  </w:r>
                </w:p>
              </w:txbxContent>
            </v:textbox>
            <w10:wrap type="none"/>
          </v:shape>
        </w:pict>
      </w:r>
      <w:r>
        <w:rPr/>
        <w:t>式中：</w:t>
      </w:r>
      <w:r>
        <w:rPr>
          <w:i/>
          <w:sz w:val="22"/>
        </w:rPr>
        <w:t>V</w:t>
      </w:r>
      <w:r>
        <w:rPr>
          <w:i/>
          <w:spacing w:val="55"/>
          <w:sz w:val="22"/>
        </w:rPr>
        <w:t> </w:t>
      </w:r>
      <w:r>
        <w:rPr>
          <w:spacing w:val="-3"/>
        </w:rPr>
        <w:t>——排烟口最大允许排烟量 </w:t>
      </w:r>
      <w:r>
        <w:rPr/>
        <w:t>（m</w:t>
      </w:r>
      <w:r>
        <w:rPr>
          <w:position w:val="11"/>
          <w:sz w:val="11"/>
        </w:rPr>
        <w:t>3</w:t>
      </w:r>
      <w:r>
        <w:rPr/>
        <w:t>/s）； </w:t>
      </w:r>
    </w:p>
    <w:p>
      <w:pPr>
        <w:pStyle w:val="BodyText"/>
        <w:spacing w:before="1"/>
        <w:rPr>
          <w:sz w:val="17"/>
        </w:rPr>
      </w:pPr>
    </w:p>
    <w:p>
      <w:pPr>
        <w:pStyle w:val="BodyText"/>
        <w:spacing w:line="424" w:lineRule="auto"/>
        <w:ind w:left="418" w:right="1611" w:firstLine="419"/>
        <w:jc w:val="both"/>
      </w:pPr>
      <w:r>
        <w:rPr>
          <w:i/>
          <w:sz w:val="22"/>
        </w:rPr>
        <w:t>γ</w:t>
      </w:r>
      <w:r>
        <w:rPr>
          <w:spacing w:val="-3"/>
        </w:rPr>
        <w:t>——排烟位置系数；当风口中心点到最近墙体的距离≥</w:t>
      </w:r>
      <w:r>
        <w:rPr/>
        <w:t>2</w:t>
      </w:r>
      <w:r>
        <w:rPr>
          <w:spacing w:val="-8"/>
        </w:rPr>
        <w:t> 倍的排烟口当量直径时：</w:t>
      </w:r>
      <w:r>
        <w:rPr/>
        <w:t>γ取1.0</w:t>
      </w:r>
      <w:r>
        <w:rPr>
          <w:spacing w:val="-2"/>
        </w:rPr>
        <w:t>；当风口中心点到最近墙体的距离&lt; </w:t>
      </w:r>
      <w:r>
        <w:rPr/>
        <w:t>2</w:t>
      </w:r>
      <w:r>
        <w:rPr>
          <w:spacing w:val="-8"/>
        </w:rPr>
        <w:t> 倍的排烟口当量直径时：</w:t>
      </w:r>
      <w:r>
        <w:rPr>
          <w:i/>
          <w:spacing w:val="-3"/>
          <w:sz w:val="22"/>
        </w:rPr>
        <w:t>γ</w:t>
      </w:r>
      <w:r>
        <w:rPr>
          <w:spacing w:val="-23"/>
        </w:rPr>
        <w:t>取 </w:t>
      </w:r>
      <w:r>
        <w:rPr/>
        <w:t>0.5</w:t>
      </w:r>
      <w:r>
        <w:rPr>
          <w:spacing w:val="-3"/>
        </w:rPr>
        <w:t>；当吸入口位于墙体上时，</w:t>
      </w:r>
      <w:r>
        <w:rPr>
          <w:i/>
          <w:sz w:val="22"/>
        </w:rPr>
        <w:t>γ</w:t>
      </w:r>
      <w:r>
        <w:rPr>
          <w:spacing w:val="-27"/>
        </w:rPr>
        <w:t>取 </w:t>
      </w:r>
      <w:r>
        <w:rPr/>
        <w:t>0.5</w:t>
      </w:r>
      <w:r>
        <w:rPr>
          <w:spacing w:val="-3"/>
        </w:rPr>
        <w:t>。</w:t>
      </w:r>
      <w:r>
        <w:rPr/>
        <w:t> </w:t>
      </w:r>
    </w:p>
    <w:p>
      <w:pPr>
        <w:pStyle w:val="BodyText"/>
        <w:spacing w:before="4"/>
        <w:ind w:left="838"/>
      </w:pPr>
      <w:r>
        <w:rPr>
          <w:i/>
          <w:position w:val="1"/>
          <w:sz w:val="22"/>
        </w:rPr>
        <w:t>d</w:t>
      </w:r>
      <w:r>
        <w:rPr>
          <w:sz w:val="11"/>
        </w:rPr>
        <w:t>b</w:t>
      </w:r>
      <w:r>
        <w:rPr>
          <w:position w:val="1"/>
        </w:rPr>
        <w:t>——排烟系统吸入口最低点之下烟气层厚度（m）； </w:t>
      </w:r>
    </w:p>
    <w:p>
      <w:pPr>
        <w:pStyle w:val="BodyText"/>
        <w:rPr>
          <w:sz w:val="17"/>
        </w:rPr>
      </w:pPr>
    </w:p>
    <w:p>
      <w:pPr>
        <w:pStyle w:val="BodyText"/>
        <w:spacing w:line="424" w:lineRule="auto"/>
        <w:ind w:left="838" w:right="6443"/>
      </w:pPr>
      <w:r>
        <w:rPr>
          <w:i/>
          <w:w w:val="96"/>
          <w:sz w:val="22"/>
        </w:rPr>
        <w:t> </w:t>
      </w:r>
      <w:r>
        <w:rPr>
          <w:i/>
          <w:sz w:val="22"/>
        </w:rPr>
        <w:t>T</w:t>
      </w:r>
      <w:r>
        <w:rPr/>
        <w:t>——烟层的平均绝对温度（K）； </w:t>
      </w:r>
      <w:r>
        <w:rPr>
          <w:i/>
          <w:position w:val="1"/>
          <w:sz w:val="22"/>
        </w:rPr>
        <w:t>T</w:t>
      </w:r>
      <w:r>
        <w:rPr>
          <w:sz w:val="11"/>
        </w:rPr>
        <w:t>0</w:t>
      </w:r>
      <w:r>
        <w:rPr>
          <w:position w:val="1"/>
        </w:rPr>
        <w:t>——环境的绝对温度（K）。 </w:t>
      </w:r>
    </w:p>
    <w:p>
      <w:pPr>
        <w:pStyle w:val="ListParagraph"/>
        <w:numPr>
          <w:ilvl w:val="2"/>
          <w:numId w:val="880"/>
        </w:numPr>
        <w:tabs>
          <w:tab w:pos="1478" w:val="left" w:leader="none"/>
        </w:tabs>
        <w:spacing w:line="240" w:lineRule="auto" w:before="13" w:after="0"/>
        <w:ind w:left="1477" w:right="0" w:hanging="638"/>
        <w:jc w:val="left"/>
        <w:rPr>
          <w:sz w:val="21"/>
        </w:rPr>
      </w:pPr>
      <w:r>
        <w:rPr>
          <w:spacing w:val="-3"/>
          <w:sz w:val="21"/>
        </w:rPr>
        <w:t>采用自然排烟方式所需自然排烟窗</w:t>
      </w:r>
      <w:r>
        <w:rPr>
          <w:sz w:val="21"/>
        </w:rPr>
        <w:t>（</w:t>
      </w:r>
      <w:r>
        <w:rPr>
          <w:spacing w:val="-3"/>
          <w:sz w:val="21"/>
        </w:rPr>
        <w:t>口</w:t>
      </w:r>
      <w:r>
        <w:rPr>
          <w:sz w:val="21"/>
        </w:rPr>
        <w:t>）</w:t>
      </w:r>
      <w:r>
        <w:rPr>
          <w:spacing w:val="-3"/>
          <w:sz w:val="21"/>
        </w:rPr>
        <w:t>截面积宜按下式计算：</w:t>
      </w:r>
      <w:r>
        <w:rPr>
          <w:sz w:val="21"/>
        </w:rPr>
        <w:t> </w:t>
      </w:r>
    </w:p>
    <w:p>
      <w:pPr>
        <w:pStyle w:val="BodyText"/>
        <w:spacing w:before="5"/>
        <w:rPr>
          <w:sz w:val="10"/>
        </w:rPr>
      </w:pPr>
      <w:r>
        <w:rPr/>
        <w:drawing>
          <wp:anchor distT="0" distB="0" distL="0" distR="0" allowOverlap="1" layoutInCell="1" locked="0" behindDoc="0" simplePos="0" relativeHeight="311">
            <wp:simplePos x="0" y="0"/>
            <wp:positionH relativeFrom="page">
              <wp:posOffset>1456157</wp:posOffset>
            </wp:positionH>
            <wp:positionV relativeFrom="paragraph">
              <wp:posOffset>109867</wp:posOffset>
            </wp:positionV>
            <wp:extent cx="4269904" cy="1024127"/>
            <wp:effectExtent l="0" t="0" r="0" b="0"/>
            <wp:wrapTopAndBottom/>
            <wp:docPr id="691" name="image406.jpeg"/>
            <wp:cNvGraphicFramePr>
              <a:graphicFrameLocks noChangeAspect="1"/>
            </wp:cNvGraphicFramePr>
            <a:graphic>
              <a:graphicData uri="http://schemas.openxmlformats.org/drawingml/2006/picture">
                <pic:pic>
                  <pic:nvPicPr>
                    <pic:cNvPr id="692" name="image406.jpeg"/>
                    <pic:cNvPicPr/>
                  </pic:nvPicPr>
                  <pic:blipFill>
                    <a:blip r:embed="rId518" cstate="print"/>
                    <a:stretch>
                      <a:fillRect/>
                    </a:stretch>
                  </pic:blipFill>
                  <pic:spPr>
                    <a:xfrm>
                      <a:off x="0" y="0"/>
                      <a:ext cx="4269904" cy="1024127"/>
                    </a:xfrm>
                    <a:prstGeom prst="rect">
                      <a:avLst/>
                    </a:prstGeom>
                  </pic:spPr>
                </pic:pic>
              </a:graphicData>
            </a:graphic>
          </wp:anchor>
        </w:drawing>
      </w:r>
    </w:p>
    <w:p>
      <w:pPr>
        <w:pStyle w:val="BodyText"/>
        <w:spacing w:before="8"/>
        <w:rPr>
          <w:sz w:val="6"/>
        </w:rPr>
      </w:pPr>
    </w:p>
    <w:p>
      <w:pPr>
        <w:pStyle w:val="BodyText"/>
        <w:ind w:left="389"/>
        <w:rPr>
          <w:sz w:val="20"/>
        </w:rPr>
      </w:pPr>
      <w:r>
        <w:rPr>
          <w:sz w:val="20"/>
        </w:rPr>
        <w:pict>
          <v:group style="width:442.4pt;height:25pt;mso-position-horizontal-relative:char;mso-position-vertical-relative:line" coordorigin="0,0" coordsize="8848,500">
            <v:rect style="position:absolute;left:0;top:0;width:8848;height:500" filled="true" fillcolor="#ffffff" stroked="false">
              <v:fill type="solid"/>
            </v:rect>
            <v:shape style="position:absolute;left:448;top:209;width:757;height:223" type="#_x0000_t202" filled="false" stroked="false">
              <v:textbox inset="0,0,0,0">
                <w:txbxContent>
                  <w:p>
                    <w:pPr>
                      <w:spacing w:line="223" w:lineRule="exact" w:before="0"/>
                      <w:ind w:left="0" w:right="0" w:firstLine="0"/>
                      <w:jc w:val="left"/>
                      <w:rPr>
                        <w:i/>
                        <w:sz w:val="22"/>
                      </w:rPr>
                    </w:pPr>
                    <w:r>
                      <w:rPr>
                        <w:sz w:val="21"/>
                      </w:rPr>
                      <w:t>式中：</w:t>
                    </w:r>
                    <w:r>
                      <w:rPr>
                        <w:i/>
                        <w:sz w:val="22"/>
                      </w:rPr>
                      <w:t>A</w:t>
                    </w:r>
                  </w:p>
                </w:txbxContent>
              </v:textbox>
              <w10:wrap type="none"/>
            </v:shape>
            <v:shape style="position:absolute;left:4286;top:195;width:76;height:111" type="#_x0000_t202" filled="false" stroked="false">
              <v:textbox inset="0,0,0,0">
                <w:txbxContent>
                  <w:p>
                    <w:pPr>
                      <w:spacing w:line="110" w:lineRule="exact" w:before="0"/>
                      <w:ind w:left="0" w:right="0" w:firstLine="0"/>
                      <w:jc w:val="left"/>
                      <w:rPr>
                        <w:sz w:val="11"/>
                      </w:rPr>
                    </w:pPr>
                    <w:r>
                      <w:rPr>
                        <w:w w:val="100"/>
                        <w:sz w:val="11"/>
                      </w:rPr>
                      <w:t>2</w:t>
                    </w:r>
                  </w:p>
                </w:txbxContent>
              </v:textbox>
              <w10:wrap type="none"/>
            </v:shape>
            <v:shape style="position:absolute;left:1185;top:219;width:3701;height:212" type="#_x0000_t202" filled="false" stroked="false">
              <v:textbox inset="0,0,0,0">
                <w:txbxContent>
                  <w:p>
                    <w:pPr>
                      <w:spacing w:line="211" w:lineRule="exact" w:before="0"/>
                      <w:ind w:left="0" w:right="0" w:firstLine="0"/>
                      <w:jc w:val="left"/>
                      <w:rPr>
                        <w:sz w:val="21"/>
                      </w:rPr>
                    </w:pPr>
                    <w:r>
                      <w:rPr>
                        <w:sz w:val="11"/>
                      </w:rPr>
                      <w:t>v</w:t>
                    </w:r>
                    <w:r>
                      <w:rPr>
                        <w:position w:val="1"/>
                        <w:sz w:val="21"/>
                      </w:rPr>
                      <w:t>——自然排烟窗（口）截面积（m ）； </w:t>
                    </w:r>
                  </w:p>
                </w:txbxContent>
              </v:textbox>
              <w10:wrap type="none"/>
            </v:shape>
          </v:group>
        </w:pict>
      </w:r>
      <w:r>
        <w:rPr>
          <w:sz w:val="20"/>
        </w:rPr>
      </w:r>
    </w:p>
    <w:p>
      <w:pPr>
        <w:pStyle w:val="BodyText"/>
        <w:spacing w:before="145"/>
        <w:ind w:left="838"/>
      </w:pPr>
      <w:r>
        <w:rPr/>
        <w:pict>
          <v:shape style="position:absolute;margin-left:110.18pt;margin-top:13.98625pt;width:2.8pt;height:5.55pt;mso-position-horizontal-relative:page;mso-position-vertical-relative:paragraph;z-index:-287357952" type="#_x0000_t202" filled="false" stroked="false">
            <v:textbox inset="0,0,0,0">
              <w:txbxContent>
                <w:p>
                  <w:pPr>
                    <w:spacing w:line="110" w:lineRule="exact" w:before="0"/>
                    <w:ind w:left="0" w:right="0" w:firstLine="0"/>
                    <w:jc w:val="left"/>
                    <w:rPr>
                      <w:sz w:val="11"/>
                    </w:rPr>
                  </w:pPr>
                  <w:r>
                    <w:rPr>
                      <w:w w:val="100"/>
                      <w:sz w:val="11"/>
                    </w:rPr>
                    <w:t>0</w:t>
                  </w:r>
                </w:p>
              </w:txbxContent>
            </v:textbox>
            <w10:wrap type="none"/>
          </v:shape>
        </w:pict>
      </w:r>
      <w:r>
        <w:rPr>
          <w:i/>
          <w:sz w:val="22"/>
        </w:rPr>
        <w:t>A</w:t>
      </w:r>
      <w:r>
        <w:rPr>
          <w:i/>
          <w:spacing w:val="-55"/>
          <w:sz w:val="22"/>
        </w:rPr>
        <w:t> </w:t>
      </w:r>
      <w:r>
        <w:rPr>
          <w:spacing w:val="-3"/>
        </w:rPr>
        <w:t>——所有进气口总面积</w:t>
      </w:r>
      <w:r>
        <w:rPr/>
        <w:t>（m</w:t>
      </w:r>
      <w:r>
        <w:rPr>
          <w:position w:val="11"/>
          <w:sz w:val="11"/>
        </w:rPr>
        <w:t>2</w:t>
      </w:r>
      <w:r>
        <w:rPr/>
        <w:t>）； </w:t>
      </w:r>
    </w:p>
    <w:p>
      <w:pPr>
        <w:pStyle w:val="BodyText"/>
        <w:spacing w:before="162"/>
        <w:ind w:left="838"/>
      </w:pPr>
      <w:r>
        <w:rPr>
          <w:i/>
          <w:position w:val="1"/>
          <w:sz w:val="22"/>
        </w:rPr>
        <w:t>C</w:t>
      </w:r>
      <w:r>
        <w:rPr>
          <w:sz w:val="11"/>
        </w:rPr>
        <w:t>v</w:t>
      </w:r>
      <w:r>
        <w:rPr>
          <w:position w:val="1"/>
        </w:rPr>
        <w:t>——自然排烟窗（口）流量系数（通常选定在 0.5</w:t>
      </w:r>
      <w:r>
        <w:rPr>
          <w:rFonts w:ascii="微软雅黑" w:hAnsi="微软雅黑" w:eastAsia="微软雅黑" w:hint="eastAsia"/>
          <w:position w:val="1"/>
        </w:rPr>
        <w:t>〜</w:t>
      </w:r>
      <w:r>
        <w:rPr>
          <w:position w:val="1"/>
        </w:rPr>
        <w:t>0.7 之间）； </w:t>
      </w:r>
    </w:p>
    <w:p>
      <w:pPr>
        <w:pStyle w:val="BodyText"/>
        <w:spacing w:before="169"/>
        <w:ind w:left="838"/>
        <w:jc w:val="both"/>
      </w:pPr>
      <w:r>
        <w:rPr>
          <w:i/>
          <w:position w:val="1"/>
          <w:sz w:val="22"/>
        </w:rPr>
        <w:t>C</w:t>
      </w:r>
      <w:r>
        <w:rPr>
          <w:sz w:val="11"/>
        </w:rPr>
        <w:t>0</w:t>
      </w:r>
      <w:r>
        <w:rPr>
          <w:position w:val="1"/>
        </w:rPr>
        <w:t>——进气口流量系数（通常约为 0.6）； </w:t>
      </w:r>
    </w:p>
    <w:p>
      <w:pPr>
        <w:pStyle w:val="BodyText"/>
        <w:rPr>
          <w:sz w:val="17"/>
        </w:rPr>
      </w:pPr>
    </w:p>
    <w:p>
      <w:pPr>
        <w:pStyle w:val="BodyText"/>
        <w:ind w:left="838"/>
      </w:pPr>
      <w:r>
        <w:rPr>
          <w:i/>
          <w:sz w:val="22"/>
        </w:rPr>
        <w:t>g</w:t>
      </w:r>
      <w:r>
        <w:rPr/>
        <w:t>——重力加速度（m/s</w:t>
      </w:r>
      <w:r>
        <w:rPr>
          <w:position w:val="11"/>
          <w:sz w:val="11"/>
        </w:rPr>
        <w:t>2</w:t>
      </w:r>
      <w:r>
        <w:rPr/>
        <w:t>）。 </w:t>
      </w:r>
    </w:p>
    <w:p>
      <w:pPr>
        <w:pStyle w:val="BodyText"/>
        <w:spacing w:before="2"/>
        <w:rPr>
          <w:sz w:val="17"/>
        </w:rPr>
      </w:pPr>
    </w:p>
    <w:p>
      <w:pPr>
        <w:spacing w:before="0"/>
        <w:ind w:left="838" w:right="0" w:firstLine="0"/>
        <w:jc w:val="left"/>
        <w:rPr>
          <w:sz w:val="21"/>
        </w:rPr>
      </w:pPr>
      <w:r>
        <w:rPr>
          <w:position w:val="1"/>
          <w:sz w:val="21"/>
        </w:rPr>
        <w:t>注：公式中 </w:t>
      </w:r>
      <w:r>
        <w:rPr>
          <w:i/>
          <w:position w:val="1"/>
          <w:sz w:val="22"/>
        </w:rPr>
        <w:t>A</w:t>
      </w:r>
      <w:r>
        <w:rPr>
          <w:i/>
          <w:sz w:val="11"/>
        </w:rPr>
        <w:t>v</w:t>
      </w:r>
      <w:r>
        <w:rPr>
          <w:i/>
          <w:position w:val="1"/>
          <w:sz w:val="22"/>
        </w:rPr>
        <w:t>C</w:t>
      </w:r>
      <w:r>
        <w:rPr>
          <w:sz w:val="11"/>
        </w:rPr>
        <w:t>v </w:t>
      </w:r>
      <w:r>
        <w:rPr>
          <w:position w:val="1"/>
          <w:sz w:val="21"/>
        </w:rPr>
        <w:t>在计算时应采用试算法。 </w:t>
      </w:r>
    </w:p>
    <w:p>
      <w:pPr>
        <w:pStyle w:val="BodyText"/>
        <w:spacing w:before="6"/>
        <w:rPr>
          <w:sz w:val="15"/>
        </w:rPr>
      </w:pPr>
    </w:p>
    <w:p>
      <w:pPr>
        <w:pStyle w:val="Heading4"/>
      </w:pPr>
      <w:r>
        <w:rPr/>
        <w:t>5 系统控制</w:t>
      </w:r>
      <w:r>
        <w:rPr>
          <w:w w:val="99"/>
        </w:rPr>
        <w:t> </w:t>
      </w:r>
    </w:p>
    <w:p>
      <w:pPr>
        <w:pStyle w:val="BodyText"/>
        <w:spacing w:before="4"/>
        <w:rPr>
          <w:b/>
          <w:sz w:val="17"/>
        </w:rPr>
      </w:pPr>
    </w:p>
    <w:p>
      <w:pPr>
        <w:pStyle w:val="ListParagraph"/>
        <w:numPr>
          <w:ilvl w:val="1"/>
          <w:numId w:val="883"/>
        </w:numPr>
        <w:tabs>
          <w:tab w:pos="1160" w:val="left" w:leader="none"/>
        </w:tabs>
        <w:spacing w:line="240" w:lineRule="auto" w:before="0" w:after="0"/>
        <w:ind w:left="1159" w:right="0" w:hanging="320"/>
        <w:jc w:val="left"/>
        <w:rPr>
          <w:b/>
          <w:sz w:val="21"/>
        </w:rPr>
      </w:pPr>
      <w:r>
        <w:rPr>
          <w:spacing w:val="-3"/>
          <w:sz w:val="21"/>
        </w:rPr>
        <w:t>防烟系统</w:t>
      </w:r>
      <w:r>
        <w:rPr>
          <w:b/>
          <w:w w:val="99"/>
          <w:sz w:val="21"/>
        </w:rPr>
        <w:t> </w:t>
      </w:r>
    </w:p>
    <w:p>
      <w:pPr>
        <w:pStyle w:val="BodyText"/>
        <w:spacing w:before="1"/>
        <w:rPr>
          <w:b/>
          <w:sz w:val="18"/>
        </w:rPr>
      </w:pPr>
    </w:p>
    <w:p>
      <w:pPr>
        <w:pStyle w:val="ListParagraph"/>
        <w:numPr>
          <w:ilvl w:val="2"/>
          <w:numId w:val="883"/>
        </w:numPr>
        <w:tabs>
          <w:tab w:pos="1371" w:val="left" w:leader="none"/>
        </w:tabs>
        <w:spacing w:line="240" w:lineRule="auto" w:before="1" w:after="0"/>
        <w:ind w:left="1370" w:right="0" w:hanging="531"/>
        <w:jc w:val="left"/>
        <w:rPr>
          <w:sz w:val="21"/>
        </w:rPr>
      </w:pPr>
      <w:r>
        <w:rPr>
          <w:spacing w:val="-3"/>
          <w:sz w:val="21"/>
        </w:rPr>
        <w:t>机械加压送风系统应与火灾自动报警系统联动，其联动控制应符合现行国家标准</w:t>
      </w:r>
    </w:p>
    <w:p>
      <w:pPr>
        <w:pStyle w:val="BodyText"/>
        <w:spacing w:before="12"/>
        <w:rPr>
          <w:sz w:val="17"/>
        </w:rPr>
      </w:pPr>
    </w:p>
    <w:p>
      <w:pPr>
        <w:pStyle w:val="BodyText"/>
        <w:spacing w:line="446" w:lineRule="auto"/>
        <w:ind w:left="840" w:right="5027" w:hanging="423"/>
      </w:pPr>
      <w:r>
        <w:rPr/>
        <w:t>《火灾自动报警系统设计规范》GB 50116 的有关规定。</w:t>
      </w:r>
      <w:r>
        <w:rPr>
          <w:b/>
        </w:rPr>
        <w:t>5.1.2 </w:t>
      </w:r>
      <w:r>
        <w:rPr/>
        <w:t>加压送风机的启动应符合下列规定： </w:t>
      </w:r>
    </w:p>
    <w:p>
      <w:pPr>
        <w:pStyle w:val="BodyText"/>
        <w:ind w:left="838"/>
        <w:rPr>
          <w:b/>
        </w:rPr>
      </w:pPr>
      <w:r>
        <w:rPr/>
        <w:t>现场手动启动；</w:t>
      </w:r>
      <w:r>
        <w:rPr>
          <w:b/>
          <w:w w:val="99"/>
        </w:rPr>
        <w:t> </w:t>
      </w:r>
    </w:p>
    <w:p>
      <w:pPr>
        <w:pStyle w:val="BodyText"/>
        <w:rPr>
          <w:b/>
          <w:sz w:val="18"/>
        </w:rPr>
      </w:pPr>
    </w:p>
    <w:p>
      <w:pPr>
        <w:pStyle w:val="BodyText"/>
        <w:ind w:left="838"/>
        <w:rPr>
          <w:b/>
        </w:rPr>
      </w:pPr>
      <w:r>
        <w:rPr/>
        <w:t>通过火灾自动报警系统自动启动；</w:t>
      </w:r>
      <w:r>
        <w:rPr>
          <w:b/>
          <w:w w:val="99"/>
        </w:rPr>
        <w:t> </w:t>
      </w:r>
    </w:p>
    <w:p>
      <w:pPr>
        <w:spacing w:after="0"/>
        <w:sectPr>
          <w:pgSz w:w="11910" w:h="16850"/>
          <w:pgMar w:header="0" w:footer="1239" w:top="1420" w:bottom="1420" w:left="1260" w:right="0"/>
        </w:sectPr>
      </w:pPr>
    </w:p>
    <w:p>
      <w:pPr>
        <w:pStyle w:val="BodyText"/>
        <w:spacing w:before="47"/>
        <w:ind w:left="838"/>
      </w:pPr>
      <w:r>
        <w:rPr/>
        <w:t>消防控制室手动启动； </w:t>
      </w:r>
    </w:p>
    <w:p>
      <w:pPr>
        <w:pStyle w:val="BodyText"/>
        <w:rPr>
          <w:sz w:val="20"/>
        </w:rPr>
      </w:pPr>
    </w:p>
    <w:p>
      <w:pPr>
        <w:pStyle w:val="BodyText"/>
        <w:spacing w:before="3"/>
        <w:rPr>
          <w:sz w:val="14"/>
        </w:rPr>
      </w:pPr>
      <w:r>
        <w:rPr/>
        <w:drawing>
          <wp:anchor distT="0" distB="0" distL="0" distR="0" allowOverlap="1" layoutInCell="1" locked="0" behindDoc="0" simplePos="0" relativeHeight="318">
            <wp:simplePos x="0" y="0"/>
            <wp:positionH relativeFrom="page">
              <wp:posOffset>1529097</wp:posOffset>
            </wp:positionH>
            <wp:positionV relativeFrom="paragraph">
              <wp:posOffset>140898</wp:posOffset>
            </wp:positionV>
            <wp:extent cx="5258402" cy="914400"/>
            <wp:effectExtent l="0" t="0" r="0" b="0"/>
            <wp:wrapTopAndBottom/>
            <wp:docPr id="693" name="image406.jpeg"/>
            <wp:cNvGraphicFramePr>
              <a:graphicFrameLocks noChangeAspect="1"/>
            </wp:cNvGraphicFramePr>
            <a:graphic>
              <a:graphicData uri="http://schemas.openxmlformats.org/drawingml/2006/picture">
                <pic:pic>
                  <pic:nvPicPr>
                    <pic:cNvPr id="694" name="image406.jpeg"/>
                    <pic:cNvPicPr/>
                  </pic:nvPicPr>
                  <pic:blipFill>
                    <a:blip r:embed="rId518" cstate="print"/>
                    <a:stretch>
                      <a:fillRect/>
                    </a:stretch>
                  </pic:blipFill>
                  <pic:spPr>
                    <a:xfrm>
                      <a:off x="0" y="0"/>
                      <a:ext cx="5258402" cy="914400"/>
                    </a:xfrm>
                    <a:prstGeom prst="rect">
                      <a:avLst/>
                    </a:prstGeom>
                  </pic:spPr>
                </pic:pic>
              </a:graphicData>
            </a:graphic>
          </wp:anchor>
        </w:drawing>
      </w:r>
    </w:p>
    <w:p>
      <w:pPr>
        <w:pStyle w:val="BodyText"/>
        <w:spacing w:before="8"/>
        <w:rPr>
          <w:sz w:val="19"/>
        </w:rPr>
      </w:pPr>
    </w:p>
    <w:p>
      <w:pPr>
        <w:pStyle w:val="BodyText"/>
        <w:ind w:left="838"/>
      </w:pPr>
      <w:r>
        <w:rPr/>
        <w:t>系统中任一常闭加压送风口开启时，加压风机应能自动启动。 </w:t>
      </w:r>
    </w:p>
    <w:p>
      <w:pPr>
        <w:pStyle w:val="BodyText"/>
        <w:rPr>
          <w:sz w:val="18"/>
        </w:rPr>
      </w:pPr>
    </w:p>
    <w:p>
      <w:pPr>
        <w:pStyle w:val="ListParagraph"/>
        <w:numPr>
          <w:ilvl w:val="2"/>
          <w:numId w:val="884"/>
        </w:numPr>
        <w:tabs>
          <w:tab w:pos="1370" w:val="left" w:leader="none"/>
        </w:tabs>
        <w:spacing w:line="448" w:lineRule="auto" w:before="0" w:after="0"/>
        <w:ind w:left="418" w:right="1604" w:firstLine="422"/>
        <w:jc w:val="left"/>
        <w:rPr>
          <w:sz w:val="21"/>
        </w:rPr>
      </w:pPr>
      <w:r>
        <w:rPr>
          <w:spacing w:val="-6"/>
          <w:sz w:val="21"/>
        </w:rPr>
        <w:t>当防火分区内火灾确认后，应能在 </w:t>
      </w:r>
      <w:r>
        <w:rPr>
          <w:sz w:val="21"/>
        </w:rPr>
        <w:t>15s</w:t>
      </w:r>
      <w:r>
        <w:rPr>
          <w:spacing w:val="-8"/>
          <w:sz w:val="21"/>
        </w:rPr>
        <w:t> 内联动开启常闭加压送风口和加压送风机。</w:t>
      </w:r>
      <w:r>
        <w:rPr>
          <w:spacing w:val="-5"/>
          <w:sz w:val="21"/>
        </w:rPr>
        <w:t>并应符合下列规定：</w:t>
      </w:r>
      <w:r>
        <w:rPr>
          <w:sz w:val="21"/>
        </w:rPr>
        <w:t> </w:t>
      </w:r>
    </w:p>
    <w:p>
      <w:pPr>
        <w:pStyle w:val="BodyText"/>
        <w:spacing w:line="264" w:lineRule="exact"/>
        <w:ind w:left="838"/>
      </w:pPr>
      <w:r>
        <w:rPr/>
        <w:t>应开启该防火分区楼梯间的全部加压送风机； </w:t>
      </w:r>
    </w:p>
    <w:p>
      <w:pPr>
        <w:pStyle w:val="BodyText"/>
        <w:spacing w:before="12"/>
        <w:rPr>
          <w:sz w:val="17"/>
        </w:rPr>
      </w:pPr>
    </w:p>
    <w:p>
      <w:pPr>
        <w:pStyle w:val="BodyText"/>
        <w:spacing w:line="446" w:lineRule="auto"/>
        <w:ind w:left="418" w:right="1609" w:firstLine="419"/>
      </w:pPr>
      <w:r>
        <w:rPr/>
        <w:t>应开启该防火分区内着火层及其相邻上下层前室及合用前室的常闭送风口，同时开启加压送风机。 </w:t>
      </w:r>
    </w:p>
    <w:p>
      <w:pPr>
        <w:pStyle w:val="ListParagraph"/>
        <w:numPr>
          <w:ilvl w:val="2"/>
          <w:numId w:val="884"/>
        </w:numPr>
        <w:tabs>
          <w:tab w:pos="1371" w:val="left" w:leader="none"/>
        </w:tabs>
        <w:spacing w:line="240" w:lineRule="auto" w:before="0" w:after="0"/>
        <w:ind w:left="1370" w:right="0" w:hanging="531"/>
        <w:jc w:val="left"/>
        <w:rPr>
          <w:sz w:val="21"/>
        </w:rPr>
      </w:pPr>
      <w:r>
        <w:rPr>
          <w:spacing w:val="-3"/>
          <w:sz w:val="21"/>
        </w:rPr>
        <w:t>机械加压送风系统宜设有测压装置及风压调节措施。</w:t>
      </w:r>
      <w:r>
        <w:rPr>
          <w:sz w:val="21"/>
        </w:rPr>
        <w:t> </w:t>
      </w:r>
    </w:p>
    <w:p>
      <w:pPr>
        <w:pStyle w:val="BodyText"/>
        <w:spacing w:before="12"/>
        <w:rPr>
          <w:sz w:val="17"/>
        </w:rPr>
      </w:pPr>
    </w:p>
    <w:p>
      <w:pPr>
        <w:pStyle w:val="ListParagraph"/>
        <w:numPr>
          <w:ilvl w:val="2"/>
          <w:numId w:val="884"/>
        </w:numPr>
        <w:tabs>
          <w:tab w:pos="1371" w:val="left" w:leader="none"/>
        </w:tabs>
        <w:spacing w:line="240" w:lineRule="auto" w:before="0" w:after="0"/>
        <w:ind w:left="1370" w:right="0" w:hanging="531"/>
        <w:jc w:val="left"/>
        <w:rPr>
          <w:sz w:val="21"/>
        </w:rPr>
      </w:pPr>
      <w:r>
        <w:rPr>
          <w:spacing w:val="-3"/>
          <w:sz w:val="21"/>
        </w:rPr>
        <w:t>消防控制设备应显示防烟系统的送风机、阀门等设施启闭状态。</w:t>
      </w:r>
      <w:r>
        <w:rPr>
          <w:sz w:val="21"/>
        </w:rPr>
        <w:t> </w:t>
      </w:r>
    </w:p>
    <w:p>
      <w:pPr>
        <w:pStyle w:val="BodyText"/>
        <w:spacing w:before="2"/>
        <w:rPr>
          <w:sz w:val="18"/>
        </w:rPr>
      </w:pPr>
    </w:p>
    <w:p>
      <w:pPr>
        <w:pStyle w:val="ListParagraph"/>
        <w:numPr>
          <w:ilvl w:val="1"/>
          <w:numId w:val="883"/>
        </w:numPr>
        <w:tabs>
          <w:tab w:pos="1160" w:val="left" w:leader="none"/>
        </w:tabs>
        <w:spacing w:line="240" w:lineRule="auto" w:before="1" w:after="0"/>
        <w:ind w:left="1159" w:right="0" w:hanging="320"/>
        <w:jc w:val="left"/>
        <w:rPr>
          <w:sz w:val="21"/>
        </w:rPr>
      </w:pPr>
      <w:r>
        <w:rPr>
          <w:spacing w:val="-3"/>
          <w:sz w:val="21"/>
        </w:rPr>
        <w:t>排烟系统</w:t>
      </w:r>
      <w:r>
        <w:rPr>
          <w:sz w:val="21"/>
        </w:rPr>
        <w:t> </w:t>
      </w:r>
    </w:p>
    <w:p>
      <w:pPr>
        <w:pStyle w:val="BodyText"/>
        <w:spacing w:before="12"/>
        <w:rPr>
          <w:sz w:val="17"/>
        </w:rPr>
      </w:pPr>
    </w:p>
    <w:p>
      <w:pPr>
        <w:pStyle w:val="ListParagraph"/>
        <w:numPr>
          <w:ilvl w:val="2"/>
          <w:numId w:val="883"/>
        </w:numPr>
        <w:tabs>
          <w:tab w:pos="1371" w:val="left" w:leader="none"/>
        </w:tabs>
        <w:spacing w:line="446" w:lineRule="auto" w:before="0" w:after="0"/>
        <w:ind w:left="418" w:right="1604" w:firstLine="422"/>
        <w:jc w:val="left"/>
        <w:rPr>
          <w:sz w:val="21"/>
        </w:rPr>
      </w:pPr>
      <w:r>
        <w:rPr>
          <w:spacing w:val="-3"/>
          <w:sz w:val="21"/>
        </w:rPr>
        <w:t>机械排烟系统应与火灾自动报警系统联动，其联动控制应符合现行国家标准《火灾自动报警系统设计规范》</w:t>
      </w:r>
      <w:r>
        <w:rPr>
          <w:sz w:val="21"/>
        </w:rPr>
        <w:t>GB</w:t>
      </w:r>
      <w:r>
        <w:rPr>
          <w:spacing w:val="1"/>
          <w:sz w:val="21"/>
        </w:rPr>
        <w:t> </w:t>
      </w:r>
      <w:r>
        <w:rPr>
          <w:sz w:val="21"/>
        </w:rPr>
        <w:t>50116</w:t>
      </w:r>
      <w:r>
        <w:rPr>
          <w:spacing w:val="-10"/>
          <w:sz w:val="21"/>
        </w:rPr>
        <w:t> 的有关规定。</w:t>
      </w:r>
      <w:r>
        <w:rPr>
          <w:sz w:val="21"/>
        </w:rPr>
        <w:t> </w:t>
      </w:r>
    </w:p>
    <w:p>
      <w:pPr>
        <w:pStyle w:val="ListParagraph"/>
        <w:numPr>
          <w:ilvl w:val="2"/>
          <w:numId w:val="883"/>
        </w:numPr>
        <w:tabs>
          <w:tab w:pos="1370" w:val="left" w:leader="none"/>
        </w:tabs>
        <w:spacing w:line="240" w:lineRule="auto" w:before="0" w:after="0"/>
        <w:ind w:left="1369" w:right="0" w:hanging="530"/>
        <w:jc w:val="left"/>
        <w:rPr>
          <w:sz w:val="21"/>
        </w:rPr>
      </w:pPr>
      <w:r>
        <w:rPr>
          <w:spacing w:val="-3"/>
          <w:sz w:val="21"/>
        </w:rPr>
        <w:t>排烟风机、补风机的控制方式应符合下列规定：</w:t>
      </w:r>
      <w:r>
        <w:rPr>
          <w:sz w:val="21"/>
        </w:rPr>
        <w:t> </w:t>
      </w:r>
    </w:p>
    <w:p>
      <w:pPr>
        <w:pStyle w:val="BodyText"/>
        <w:spacing w:before="12"/>
        <w:rPr>
          <w:sz w:val="17"/>
        </w:rPr>
      </w:pPr>
    </w:p>
    <w:p>
      <w:pPr>
        <w:pStyle w:val="BodyText"/>
        <w:ind w:left="838"/>
      </w:pPr>
      <w:r>
        <w:rPr/>
        <w:t>现场手动启动； </w:t>
      </w:r>
    </w:p>
    <w:p>
      <w:pPr>
        <w:pStyle w:val="BodyText"/>
        <w:spacing w:before="12"/>
        <w:rPr>
          <w:sz w:val="17"/>
        </w:rPr>
      </w:pPr>
    </w:p>
    <w:p>
      <w:pPr>
        <w:pStyle w:val="BodyText"/>
        <w:spacing w:line="448" w:lineRule="auto"/>
        <w:ind w:left="838" w:right="6969"/>
      </w:pPr>
      <w:r>
        <w:rPr/>
        <w:t>火灾自动报警系统自动启动； 消防控制室手动启动； </w:t>
      </w:r>
    </w:p>
    <w:p>
      <w:pPr>
        <w:pStyle w:val="BodyText"/>
        <w:spacing w:line="264" w:lineRule="exact"/>
        <w:ind w:left="838"/>
      </w:pPr>
      <w:r>
        <w:rPr/>
        <w:t>系统中任一排烟阀或排烟口开启时，排烟风机、补风机自动启动； </w:t>
      </w:r>
    </w:p>
    <w:p>
      <w:pPr>
        <w:pStyle w:val="BodyText"/>
        <w:rPr>
          <w:sz w:val="18"/>
        </w:rPr>
      </w:pPr>
    </w:p>
    <w:p>
      <w:pPr>
        <w:pStyle w:val="BodyText"/>
        <w:ind w:left="838"/>
        <w:jc w:val="both"/>
      </w:pPr>
      <w:r>
        <w:rPr/>
        <w:t>排烟防火阀在 280℃时应自行关闭，并应连锁关闭排烟风机和补风机。 </w:t>
      </w:r>
    </w:p>
    <w:p>
      <w:pPr>
        <w:pStyle w:val="BodyText"/>
        <w:spacing w:before="2"/>
        <w:rPr>
          <w:sz w:val="18"/>
        </w:rPr>
      </w:pPr>
    </w:p>
    <w:p>
      <w:pPr>
        <w:pStyle w:val="ListParagraph"/>
        <w:numPr>
          <w:ilvl w:val="2"/>
          <w:numId w:val="883"/>
        </w:numPr>
        <w:tabs>
          <w:tab w:pos="1371" w:val="left" w:leader="none"/>
        </w:tabs>
        <w:spacing w:line="446" w:lineRule="auto" w:before="0" w:after="0"/>
        <w:ind w:left="418" w:right="1604" w:firstLine="422"/>
        <w:jc w:val="both"/>
        <w:rPr>
          <w:sz w:val="21"/>
        </w:rPr>
      </w:pPr>
      <w:r>
        <w:rPr>
          <w:spacing w:val="-3"/>
          <w:sz w:val="21"/>
        </w:rPr>
        <w:t>机械排烟系统中的常闭排烟阀或排烟口应具有火灾自动报警系统自动开启、消防控制室手动开启和现场手动开启功能，其开启信号应与排烟风机联动。当火灾确认后，火灾自动</w:t>
      </w:r>
      <w:r>
        <w:rPr>
          <w:spacing w:val="-8"/>
          <w:sz w:val="21"/>
        </w:rPr>
        <w:t>报警系统应在 </w:t>
      </w:r>
      <w:r>
        <w:rPr>
          <w:sz w:val="21"/>
        </w:rPr>
        <w:t>15s</w:t>
      </w:r>
      <w:r>
        <w:rPr>
          <w:spacing w:val="-7"/>
          <w:sz w:val="21"/>
        </w:rPr>
        <w:t> 内联动开启相应防烟分区的全部排烟阀、排烟口、排烟风机和补风设施，并</w:t>
      </w:r>
      <w:r>
        <w:rPr>
          <w:spacing w:val="-23"/>
          <w:sz w:val="21"/>
        </w:rPr>
        <w:t>应在 </w:t>
      </w:r>
      <w:r>
        <w:rPr>
          <w:sz w:val="21"/>
        </w:rPr>
        <w:t>30s</w:t>
      </w:r>
      <w:r>
        <w:rPr>
          <w:spacing w:val="-9"/>
          <w:sz w:val="21"/>
        </w:rPr>
        <w:t> 内自动关闭与排烟无关的通风、空调系统。 </w:t>
      </w:r>
    </w:p>
    <w:p>
      <w:pPr>
        <w:pStyle w:val="ListParagraph"/>
        <w:numPr>
          <w:ilvl w:val="2"/>
          <w:numId w:val="883"/>
        </w:numPr>
        <w:tabs>
          <w:tab w:pos="1370" w:val="left" w:leader="none"/>
        </w:tabs>
        <w:spacing w:line="446" w:lineRule="auto" w:before="0" w:after="0"/>
        <w:ind w:left="418" w:right="1604" w:firstLine="422"/>
        <w:jc w:val="left"/>
        <w:rPr>
          <w:sz w:val="21"/>
        </w:rPr>
      </w:pPr>
      <w:r>
        <w:rPr>
          <w:spacing w:val="-3"/>
          <w:sz w:val="21"/>
        </w:rPr>
        <w:t>当火灾确认后，担负两个及以上防烟分区的排烟系统，应仅打开着火防烟分区的排烟阀或排烟口，其他防烟分区的排烟阀或排烟口应呈关闭状态。</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83"/>
        </w:numPr>
        <w:tabs>
          <w:tab w:pos="1371" w:val="left" w:leader="none"/>
        </w:tabs>
        <w:spacing w:line="446" w:lineRule="auto" w:before="47" w:after="0"/>
        <w:ind w:left="418" w:right="1558" w:firstLine="422"/>
        <w:jc w:val="both"/>
        <w:rPr>
          <w:sz w:val="21"/>
        </w:rPr>
      </w:pPr>
      <w:r>
        <w:rPr>
          <w:spacing w:val="-3"/>
          <w:sz w:val="21"/>
        </w:rPr>
        <w:t>活动挡烟垂壁应具有火灾自动报警系统自动启动和现场手动启动功能，当火灾确认 </w:t>
      </w:r>
      <w:r>
        <w:rPr>
          <w:spacing w:val="-7"/>
          <w:sz w:val="21"/>
        </w:rPr>
        <w:t>后，火灾自动报警系统应在 </w:t>
      </w:r>
      <w:r>
        <w:rPr>
          <w:sz w:val="21"/>
        </w:rPr>
        <w:t>15s</w:t>
      </w:r>
      <w:r>
        <w:rPr>
          <w:spacing w:val="-7"/>
          <w:sz w:val="21"/>
        </w:rPr>
        <w:t> 内联动相应防烟分区的全部活动挡烟垂壁， </w:t>
      </w:r>
      <w:r>
        <w:rPr>
          <w:sz w:val="21"/>
        </w:rPr>
        <w:t>60s</w:t>
      </w:r>
      <w:r>
        <w:rPr>
          <w:spacing w:val="-9"/>
          <w:sz w:val="21"/>
        </w:rPr>
        <w:t> 以内挡烟垂壁</w:t>
      </w:r>
      <w:r>
        <w:rPr>
          <w:spacing w:val="-6"/>
          <w:sz w:val="21"/>
        </w:rPr>
        <w:t>应开启到位。</w:t>
      </w:r>
      <w:r>
        <w:rPr>
          <w:sz w:val="21"/>
        </w:rPr>
        <w:t> </w:t>
      </w:r>
    </w:p>
    <w:p>
      <w:pPr>
        <w:pStyle w:val="ListParagraph"/>
        <w:numPr>
          <w:ilvl w:val="2"/>
          <w:numId w:val="883"/>
        </w:numPr>
        <w:tabs>
          <w:tab w:pos="1370" w:val="left" w:leader="none"/>
        </w:tabs>
        <w:spacing w:line="446" w:lineRule="auto" w:before="0" w:after="0"/>
        <w:ind w:left="418" w:right="1604" w:firstLine="422"/>
        <w:jc w:val="both"/>
        <w:rPr>
          <w:sz w:val="21"/>
        </w:rPr>
      </w:pPr>
      <w:r>
        <w:rPr>
          <w:spacing w:val="-3"/>
          <w:sz w:val="21"/>
        </w:rPr>
        <w:t>自动排烟窗可采用与火灾自动报警系统联动和温度释放装置联动的控制方式。当采</w:t>
      </w:r>
      <w:r>
        <w:rPr>
          <w:spacing w:val="-5"/>
          <w:sz w:val="21"/>
        </w:rPr>
        <w:t>用与火灾自动报警系统自动启动时，自动排烟窗应在 </w:t>
      </w:r>
      <w:r>
        <w:rPr>
          <w:sz w:val="21"/>
        </w:rPr>
        <w:t>60s</w:t>
      </w:r>
      <w:r>
        <w:rPr>
          <w:spacing w:val="-7"/>
          <w:sz w:val="21"/>
        </w:rPr>
        <w:t> 内或小于烟气充满储烟仓时间内开启完毕。带有温控功能自动排烟窗，其温控释放温度应大于环境温度 </w:t>
      </w:r>
      <w:r>
        <w:rPr>
          <w:sz w:val="21"/>
        </w:rPr>
        <w:t>30</w:t>
      </w:r>
      <w:r>
        <w:rPr>
          <w:spacing w:val="-13"/>
          <w:sz w:val="21"/>
        </w:rPr>
        <w:t>℃且小于 </w:t>
      </w:r>
      <w:r>
        <w:rPr>
          <w:sz w:val="21"/>
        </w:rPr>
        <w:t>100</w:t>
      </w:r>
      <w:r>
        <w:rPr>
          <w:spacing w:val="-2"/>
          <w:sz w:val="21"/>
        </w:rPr>
        <w:t>℃。</w:t>
      </w:r>
      <w:r>
        <w:rPr>
          <w:sz w:val="21"/>
        </w:rPr>
        <w:t> </w:t>
      </w:r>
    </w:p>
    <w:p>
      <w:pPr>
        <w:pStyle w:val="ListParagraph"/>
        <w:numPr>
          <w:ilvl w:val="2"/>
          <w:numId w:val="883"/>
        </w:numPr>
        <w:tabs>
          <w:tab w:pos="1371" w:val="left" w:leader="none"/>
        </w:tabs>
        <w:spacing w:line="268" w:lineRule="exact" w:before="0" w:after="0"/>
        <w:ind w:left="1370" w:right="0" w:hanging="531"/>
        <w:jc w:val="left"/>
        <w:rPr>
          <w:sz w:val="21"/>
        </w:rPr>
      </w:pPr>
      <w:r>
        <w:rPr>
          <w:spacing w:val="-3"/>
          <w:sz w:val="21"/>
        </w:rPr>
        <w:t>消防控制设备应显示排烟系统的排烟风机、补风机、阀门等设施启闭状态。 </w:t>
      </w:r>
    </w:p>
    <w:p>
      <w:pPr>
        <w:pStyle w:val="BodyText"/>
        <w:spacing w:before="8"/>
        <w:rPr>
          <w:sz w:val="15"/>
        </w:rPr>
      </w:pPr>
    </w:p>
    <w:p>
      <w:pPr>
        <w:pStyle w:val="Heading4"/>
      </w:pPr>
      <w:r>
        <w:rPr/>
        <w:t>6 系统施工</w:t>
      </w:r>
      <w:r>
        <w:rPr>
          <w:w w:val="99"/>
        </w:rPr>
        <w:t> </w:t>
      </w:r>
    </w:p>
    <w:p>
      <w:pPr>
        <w:pStyle w:val="BodyText"/>
        <w:spacing w:before="4"/>
        <w:rPr>
          <w:b/>
          <w:sz w:val="17"/>
        </w:rPr>
      </w:pPr>
    </w:p>
    <w:p>
      <w:pPr>
        <w:pStyle w:val="ListParagraph"/>
        <w:numPr>
          <w:ilvl w:val="1"/>
          <w:numId w:val="885"/>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
        <w:rPr>
          <w:b/>
          <w:sz w:val="18"/>
        </w:rPr>
      </w:pPr>
    </w:p>
    <w:p>
      <w:pPr>
        <w:pStyle w:val="ListParagraph"/>
        <w:numPr>
          <w:ilvl w:val="2"/>
          <w:numId w:val="885"/>
        </w:numPr>
        <w:tabs>
          <w:tab w:pos="1370" w:val="left" w:leader="none"/>
        </w:tabs>
        <w:spacing w:line="240" w:lineRule="auto" w:before="1" w:after="0"/>
        <w:ind w:left="1369" w:right="0" w:hanging="530"/>
        <w:jc w:val="left"/>
        <w:rPr>
          <w:sz w:val="21"/>
        </w:rPr>
      </w:pPr>
      <w:r>
        <w:rPr>
          <w:spacing w:val="-5"/>
          <w:sz w:val="21"/>
        </w:rPr>
        <w:t>防烟、排烟系统的分部、分项工程划分可按本标准附录 </w:t>
      </w:r>
      <w:r>
        <w:rPr>
          <w:sz w:val="21"/>
        </w:rPr>
        <w:t>C</w:t>
      </w:r>
      <w:r>
        <w:rPr>
          <w:spacing w:val="-36"/>
          <w:sz w:val="21"/>
        </w:rPr>
        <w:t> 表 </w:t>
      </w:r>
      <w:r>
        <w:rPr>
          <w:sz w:val="21"/>
        </w:rPr>
        <w:t>C</w:t>
      </w:r>
      <w:r>
        <w:rPr>
          <w:spacing w:val="-15"/>
          <w:sz w:val="21"/>
        </w:rPr>
        <w:t> 执行。 </w:t>
      </w:r>
    </w:p>
    <w:p>
      <w:pPr>
        <w:pStyle w:val="BodyText"/>
        <w:spacing w:before="12"/>
        <w:rPr>
          <w:sz w:val="17"/>
        </w:rPr>
      </w:pPr>
    </w:p>
    <w:p>
      <w:pPr>
        <w:pStyle w:val="ListParagraph"/>
        <w:numPr>
          <w:ilvl w:val="2"/>
          <w:numId w:val="885"/>
        </w:numPr>
        <w:tabs>
          <w:tab w:pos="1370" w:val="left" w:leader="none"/>
        </w:tabs>
        <w:spacing w:line="240" w:lineRule="auto" w:before="0" w:after="0"/>
        <w:ind w:left="1369" w:right="0" w:hanging="530"/>
        <w:jc w:val="left"/>
        <w:rPr>
          <w:sz w:val="21"/>
        </w:rPr>
      </w:pPr>
      <w:r>
        <w:rPr>
          <w:spacing w:val="-3"/>
          <w:sz w:val="21"/>
        </w:rPr>
        <w:t>防烟、排烟系统施工前应具备下列条件：</w:t>
      </w:r>
      <w:r>
        <w:rPr>
          <w:sz w:val="21"/>
        </w:rPr>
        <w:t> </w:t>
      </w:r>
    </w:p>
    <w:p>
      <w:pPr>
        <w:pStyle w:val="BodyText"/>
        <w:spacing w:before="12"/>
        <w:rPr>
          <w:sz w:val="17"/>
        </w:rPr>
      </w:pPr>
    </w:p>
    <w:p>
      <w:pPr>
        <w:pStyle w:val="BodyText"/>
        <w:spacing w:line="446" w:lineRule="auto"/>
        <w:ind w:left="838" w:right="4866"/>
      </w:pPr>
      <w:r>
        <w:rPr>
          <w:spacing w:val="-3"/>
        </w:rPr>
        <w:t>经批准的施工图、设计说明书等设计文件应齐全；  设计单位应向施工、建设、监理单位进行技术交底； </w:t>
      </w:r>
    </w:p>
    <w:p>
      <w:pPr>
        <w:pStyle w:val="BodyText"/>
        <w:spacing w:line="446" w:lineRule="auto" w:before="1"/>
        <w:ind w:left="838" w:right="2134"/>
      </w:pPr>
      <w:r>
        <w:rPr>
          <w:spacing w:val="-3"/>
        </w:rPr>
        <w:t>系统主要材料、部件、设备的品种、型号规格符合设计要求，并能保证正常施工； 施工现场及施工中的给水、供电、供气等条件满足连续施工作业要求；</w:t>
      </w:r>
      <w:r>
        <w:rPr/>
        <w:t> </w:t>
      </w:r>
    </w:p>
    <w:p>
      <w:pPr>
        <w:pStyle w:val="BodyText"/>
        <w:ind w:left="838"/>
      </w:pPr>
      <w:r>
        <w:rPr/>
        <w:t>系统所需的预埋件、预留孔洞等施工前期条件符合设计要求。 </w:t>
      </w:r>
    </w:p>
    <w:p>
      <w:pPr>
        <w:pStyle w:val="BodyText"/>
        <w:spacing w:before="12"/>
        <w:rPr>
          <w:sz w:val="17"/>
        </w:rPr>
      </w:pPr>
    </w:p>
    <w:p>
      <w:pPr>
        <w:pStyle w:val="ListParagraph"/>
        <w:numPr>
          <w:ilvl w:val="2"/>
          <w:numId w:val="885"/>
        </w:numPr>
        <w:tabs>
          <w:tab w:pos="1370" w:val="left" w:leader="none"/>
        </w:tabs>
        <w:spacing w:line="446" w:lineRule="auto" w:before="0" w:after="0"/>
        <w:ind w:left="418" w:right="1606" w:firstLine="422"/>
        <w:jc w:val="left"/>
        <w:rPr>
          <w:sz w:val="21"/>
        </w:rPr>
      </w:pPr>
      <w:r>
        <w:rPr>
          <w:spacing w:val="-5"/>
          <w:sz w:val="21"/>
        </w:rPr>
        <w:t>防烟、排烟系统的施工现场应进行质量管理，并应按本标准附录 </w:t>
      </w:r>
      <w:r>
        <w:rPr>
          <w:sz w:val="21"/>
        </w:rPr>
        <w:t>D</w:t>
      </w:r>
      <w:r>
        <w:rPr>
          <w:spacing w:val="2"/>
          <w:sz w:val="21"/>
        </w:rPr>
        <w:t> 表</w:t>
      </w:r>
      <w:r>
        <w:rPr>
          <w:sz w:val="21"/>
        </w:rPr>
        <w:t>D-1</w:t>
      </w:r>
      <w:r>
        <w:rPr>
          <w:spacing w:val="-11"/>
          <w:sz w:val="21"/>
        </w:rPr>
        <w:t> 的要求进</w:t>
      </w:r>
      <w:r>
        <w:rPr>
          <w:spacing w:val="-7"/>
          <w:sz w:val="21"/>
        </w:rPr>
        <w:t>行检查记录。</w:t>
      </w:r>
      <w:r>
        <w:rPr>
          <w:sz w:val="21"/>
        </w:rPr>
        <w:t> </w:t>
      </w:r>
    </w:p>
    <w:p>
      <w:pPr>
        <w:pStyle w:val="ListParagraph"/>
        <w:numPr>
          <w:ilvl w:val="2"/>
          <w:numId w:val="885"/>
        </w:numPr>
        <w:tabs>
          <w:tab w:pos="1371" w:val="left" w:leader="none"/>
        </w:tabs>
        <w:spacing w:line="240" w:lineRule="auto" w:before="0" w:after="0"/>
        <w:ind w:left="1370" w:right="0" w:hanging="531"/>
        <w:jc w:val="left"/>
        <w:rPr>
          <w:sz w:val="21"/>
        </w:rPr>
      </w:pPr>
      <w:r>
        <w:rPr>
          <w:spacing w:val="-3"/>
          <w:sz w:val="21"/>
        </w:rPr>
        <w:t>防烟、排烟系统应按下列规定进行施工过程质量控制：</w:t>
      </w:r>
      <w:r>
        <w:rPr>
          <w:sz w:val="21"/>
        </w:rPr>
        <w:t> </w:t>
      </w:r>
    </w:p>
    <w:p>
      <w:pPr>
        <w:pStyle w:val="BodyText"/>
        <w:rPr>
          <w:sz w:val="18"/>
        </w:rPr>
      </w:pPr>
    </w:p>
    <w:p>
      <w:pPr>
        <w:pStyle w:val="BodyText"/>
        <w:spacing w:line="446" w:lineRule="auto"/>
        <w:ind w:left="418" w:right="1609" w:firstLine="419"/>
      </w:pPr>
      <w:r>
        <w:rPr/>
        <w:t>施工前，应对设备、材料及配件进行现场检查，检验合格后经监理工程师签证方可安装使用； </w:t>
      </w:r>
    </w:p>
    <w:p>
      <w:pPr>
        <w:pStyle w:val="BodyText"/>
        <w:ind w:left="838"/>
      </w:pPr>
      <w:r>
        <w:rPr/>
        <w:t>施工应按批准的施工图、设计说明书及其设计变更通知单等文件的要求进行； </w:t>
      </w:r>
    </w:p>
    <w:p>
      <w:pPr>
        <w:pStyle w:val="BodyText"/>
        <w:spacing w:before="12"/>
        <w:rPr>
          <w:sz w:val="17"/>
        </w:rPr>
      </w:pPr>
    </w:p>
    <w:p>
      <w:pPr>
        <w:pStyle w:val="BodyText"/>
        <w:spacing w:line="446" w:lineRule="auto"/>
        <w:ind w:left="418" w:right="1609" w:firstLine="419"/>
      </w:pPr>
      <w:r>
        <w:rPr/>
        <w:t>各工序应按施工技术标准进行质量控制，每道工序完成后，应进行检查，检查合格后方可进入下道工序； </w:t>
      </w:r>
    </w:p>
    <w:p>
      <w:pPr>
        <w:pStyle w:val="BodyText"/>
        <w:spacing w:line="446" w:lineRule="auto"/>
        <w:ind w:left="838" w:right="1714"/>
      </w:pPr>
      <w:r>
        <w:rPr>
          <w:spacing w:val="-3"/>
        </w:rPr>
        <w:t>相关各专业工种之间交接时，应进行检验，并经监理工程师签证后方可进入下道工序； 施工过程质量检查内容、数量、方法应符合本标准相关规定；</w:t>
      </w:r>
      <w:r>
        <w:rPr/>
        <w:t> </w:t>
      </w:r>
    </w:p>
    <w:p>
      <w:pPr>
        <w:pStyle w:val="BodyText"/>
        <w:spacing w:line="446" w:lineRule="auto"/>
        <w:ind w:left="838" w:right="4026"/>
      </w:pPr>
      <w:r>
        <w:rPr>
          <w:spacing w:val="-3"/>
        </w:rPr>
        <w:t>施工过程质量检查应由监理工程师组织施工单位人员完成；  系统安装完成后，施工单位应按相关专业调试规定进行调试；</w:t>
      </w:r>
      <w:r>
        <w:rPr/>
        <w:t> </w:t>
      </w:r>
    </w:p>
    <w:p>
      <w:pPr>
        <w:spacing w:after="0" w:line="446" w:lineRule="auto"/>
        <w:sectPr>
          <w:pgSz w:w="11910" w:h="16850"/>
          <w:pgMar w:header="0" w:footer="1239" w:top="1220" w:bottom="1420" w:left="1260" w:right="0"/>
        </w:sectPr>
      </w:pPr>
    </w:p>
    <w:p>
      <w:pPr>
        <w:pStyle w:val="BodyText"/>
        <w:spacing w:line="446" w:lineRule="auto" w:before="47"/>
        <w:ind w:left="418" w:right="1817" w:firstLine="419"/>
      </w:pPr>
      <w:r>
        <w:rPr/>
        <w:t>系统调试完成后，施工单位应向建设单位提交质量控制资料和各类施工过程质量检查记录。 </w:t>
      </w:r>
    </w:p>
    <w:p>
      <w:pPr>
        <w:pStyle w:val="ListParagraph"/>
        <w:numPr>
          <w:ilvl w:val="2"/>
          <w:numId w:val="885"/>
        </w:numPr>
        <w:tabs>
          <w:tab w:pos="1370" w:val="left" w:leader="none"/>
        </w:tabs>
        <w:spacing w:line="446" w:lineRule="auto" w:before="0" w:after="0"/>
        <w:ind w:left="418" w:right="1498" w:firstLine="422"/>
        <w:jc w:val="left"/>
        <w:rPr>
          <w:sz w:val="21"/>
        </w:rPr>
      </w:pPr>
      <w:r>
        <w:rPr>
          <w:spacing w:val="-3"/>
          <w:sz w:val="21"/>
        </w:rPr>
        <w:t>防烟、排烟系统中的送风口、排风口、排烟防火阀、送风风机、排烟风机、固定窗等应设置明显永久标识。</w:t>
      </w:r>
      <w:r>
        <w:rPr>
          <w:sz w:val="21"/>
        </w:rPr>
        <w:t> </w:t>
      </w:r>
    </w:p>
    <w:p>
      <w:pPr>
        <w:pStyle w:val="ListParagraph"/>
        <w:numPr>
          <w:ilvl w:val="2"/>
          <w:numId w:val="885"/>
        </w:numPr>
        <w:tabs>
          <w:tab w:pos="1371" w:val="left" w:leader="none"/>
        </w:tabs>
        <w:spacing w:line="446" w:lineRule="auto" w:before="0" w:after="0"/>
        <w:ind w:left="418" w:right="1604" w:firstLine="422"/>
        <w:jc w:val="left"/>
        <w:rPr>
          <w:sz w:val="21"/>
        </w:rPr>
      </w:pPr>
      <w:r>
        <w:rPr>
          <w:spacing w:val="-5"/>
          <w:sz w:val="21"/>
        </w:rPr>
        <w:t>防烟、排烟系统施工过程质量检查记录应由施工单位质量检查员按本标准附录 </w:t>
      </w:r>
      <w:r>
        <w:rPr>
          <w:sz w:val="21"/>
        </w:rPr>
        <w:t>D</w:t>
      </w:r>
      <w:r>
        <w:rPr>
          <w:spacing w:val="-23"/>
          <w:sz w:val="21"/>
        </w:rPr>
        <w:t> 填</w:t>
      </w:r>
      <w:r>
        <w:rPr>
          <w:spacing w:val="-8"/>
          <w:sz w:val="21"/>
        </w:rPr>
        <w:t>写，监理工程师进行检查，并做出检查结论。</w:t>
      </w:r>
      <w:r>
        <w:rPr>
          <w:sz w:val="21"/>
        </w:rPr>
        <w:t> </w:t>
      </w:r>
    </w:p>
    <w:p>
      <w:pPr>
        <w:pStyle w:val="ListParagraph"/>
        <w:numPr>
          <w:ilvl w:val="2"/>
          <w:numId w:val="885"/>
        </w:numPr>
        <w:tabs>
          <w:tab w:pos="1371" w:val="left" w:leader="none"/>
        </w:tabs>
        <w:spacing w:line="240" w:lineRule="auto" w:before="0" w:after="0"/>
        <w:ind w:left="1370" w:right="0" w:hanging="531"/>
        <w:jc w:val="left"/>
        <w:rPr>
          <w:sz w:val="21"/>
        </w:rPr>
      </w:pPr>
      <w:r>
        <w:rPr>
          <w:spacing w:val="-6"/>
          <w:sz w:val="21"/>
        </w:rPr>
        <w:t>防烟、排烟系统工程质量控制资料应按本标准附录 </w:t>
      </w:r>
      <w:r>
        <w:rPr>
          <w:sz w:val="21"/>
        </w:rPr>
        <w:t>E</w:t>
      </w:r>
      <w:r>
        <w:rPr>
          <w:spacing w:val="-10"/>
          <w:sz w:val="21"/>
        </w:rPr>
        <w:t> 的要求填写。</w:t>
      </w:r>
      <w:r>
        <w:rPr>
          <w:sz w:val="21"/>
        </w:rPr>
        <w:t> </w:t>
      </w:r>
    </w:p>
    <w:p>
      <w:pPr>
        <w:pStyle w:val="BodyText"/>
        <w:spacing w:before="11"/>
        <w:rPr>
          <w:sz w:val="17"/>
        </w:rPr>
      </w:pPr>
    </w:p>
    <w:p>
      <w:pPr>
        <w:pStyle w:val="ListParagraph"/>
        <w:numPr>
          <w:ilvl w:val="1"/>
          <w:numId w:val="885"/>
        </w:numPr>
        <w:tabs>
          <w:tab w:pos="1159" w:val="left" w:leader="none"/>
        </w:tabs>
        <w:spacing w:line="240" w:lineRule="auto" w:before="0" w:after="0"/>
        <w:ind w:left="1158" w:right="0" w:hanging="319"/>
        <w:jc w:val="left"/>
        <w:rPr>
          <w:b/>
          <w:sz w:val="21"/>
        </w:rPr>
      </w:pPr>
      <w:r>
        <w:rPr>
          <w:spacing w:val="-3"/>
          <w:sz w:val="21"/>
        </w:rPr>
        <w:t>进场检验</w:t>
      </w:r>
      <w:r>
        <w:rPr>
          <w:b/>
          <w:w w:val="99"/>
          <w:sz w:val="21"/>
        </w:rPr>
        <w:t> </w:t>
      </w:r>
    </w:p>
    <w:p>
      <w:pPr>
        <w:pStyle w:val="BodyText"/>
        <w:spacing w:before="12"/>
        <w:rPr>
          <w:b/>
          <w:sz w:val="17"/>
        </w:rPr>
      </w:pPr>
    </w:p>
    <w:p>
      <w:pPr>
        <w:pStyle w:val="ListParagraph"/>
        <w:numPr>
          <w:ilvl w:val="2"/>
          <w:numId w:val="885"/>
        </w:numPr>
        <w:tabs>
          <w:tab w:pos="1370" w:val="left" w:leader="none"/>
        </w:tabs>
        <w:spacing w:line="240" w:lineRule="auto" w:before="0" w:after="0"/>
        <w:ind w:left="1369" w:right="0" w:hanging="530"/>
        <w:jc w:val="left"/>
        <w:rPr>
          <w:sz w:val="21"/>
        </w:rPr>
      </w:pPr>
      <w:r>
        <w:rPr>
          <w:spacing w:val="-3"/>
          <w:sz w:val="21"/>
        </w:rPr>
        <w:t>风管应符合下列规定：</w:t>
      </w:r>
      <w:r>
        <w:rPr>
          <w:sz w:val="21"/>
        </w:rPr>
        <w:t> </w:t>
      </w:r>
    </w:p>
    <w:p>
      <w:pPr>
        <w:pStyle w:val="BodyText"/>
        <w:spacing w:before="2"/>
        <w:rPr>
          <w:sz w:val="18"/>
        </w:rPr>
      </w:pPr>
    </w:p>
    <w:p>
      <w:pPr>
        <w:pStyle w:val="BodyText"/>
        <w:spacing w:line="446" w:lineRule="auto"/>
        <w:ind w:left="418" w:right="1609" w:firstLine="419"/>
      </w:pPr>
      <w:r>
        <w:rPr/>
        <w:drawing>
          <wp:anchor distT="0" distB="0" distL="0" distR="0" allowOverlap="1" layoutInCell="1" locked="0" behindDoc="1" simplePos="0" relativeHeight="215960576">
            <wp:simplePos x="0" y="0"/>
            <wp:positionH relativeFrom="page">
              <wp:posOffset>1065530</wp:posOffset>
            </wp:positionH>
            <wp:positionV relativeFrom="paragraph">
              <wp:posOffset>538226</wp:posOffset>
            </wp:positionV>
            <wp:extent cx="5429250" cy="2133600"/>
            <wp:effectExtent l="0" t="0" r="0" b="0"/>
            <wp:wrapNone/>
            <wp:docPr id="695" name="image407.jpeg"/>
            <wp:cNvGraphicFramePr>
              <a:graphicFrameLocks noChangeAspect="1"/>
            </wp:cNvGraphicFramePr>
            <a:graphic>
              <a:graphicData uri="http://schemas.openxmlformats.org/drawingml/2006/picture">
                <pic:pic>
                  <pic:nvPicPr>
                    <pic:cNvPr id="696" name="image407.jpeg"/>
                    <pic:cNvPicPr/>
                  </pic:nvPicPr>
                  <pic:blipFill>
                    <a:blip r:embed="rId519" cstate="print"/>
                    <a:stretch>
                      <a:fillRect/>
                    </a:stretch>
                  </pic:blipFill>
                  <pic:spPr>
                    <a:xfrm>
                      <a:off x="0" y="0"/>
                      <a:ext cx="5429250" cy="2133600"/>
                    </a:xfrm>
                    <a:prstGeom prst="rect">
                      <a:avLst/>
                    </a:prstGeom>
                  </pic:spPr>
                </pic:pic>
              </a:graphicData>
            </a:graphic>
          </wp:anchor>
        </w:drawing>
      </w:r>
      <w:r>
        <w:rPr/>
        <w:t>风管的材料品种、规格、厚度等应符合设计要求和现行国家标准的规定。当采用金属风管且设计无要求时，钢板或镀锌钢板的厚度应符合本标准表 6.2.1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line="350" w:lineRule="auto"/>
        <w:ind w:left="838" w:right="5447" w:hanging="420"/>
      </w:pPr>
      <w:r>
        <w:rPr/>
        <w:t>注：1.螺旋风管的钢板厚度可适当减小 10%</w:t>
      </w:r>
      <w:r>
        <w:rPr>
          <w:rFonts w:ascii="微软雅黑" w:eastAsia="微软雅黑" w:hint="eastAsia"/>
        </w:rPr>
        <w:t>〜</w:t>
      </w:r>
      <w:r>
        <w:rPr/>
        <w:t>15%。2.不适用于防火隔墙的预埋管。 </w:t>
      </w:r>
    </w:p>
    <w:p>
      <w:pPr>
        <w:pStyle w:val="BodyText"/>
        <w:spacing w:before="111"/>
        <w:ind w:left="838"/>
      </w:pPr>
      <w:r>
        <w:rPr/>
        <w:t>检查数量：按风管、材料加工批的数量抽查 10%，且不得少于 5 件。 </w:t>
      </w:r>
    </w:p>
    <w:p>
      <w:pPr>
        <w:pStyle w:val="BodyText"/>
        <w:spacing w:before="12"/>
        <w:rPr>
          <w:sz w:val="17"/>
        </w:rPr>
      </w:pPr>
    </w:p>
    <w:p>
      <w:pPr>
        <w:pStyle w:val="BodyText"/>
        <w:ind w:left="838"/>
      </w:pPr>
      <w:r>
        <w:rPr/>
        <w:t>检查方法：尺量检查、直观检查，查验风管、材料质量合格证明文件、性能检验报吿。 </w:t>
      </w:r>
    </w:p>
    <w:p>
      <w:pPr>
        <w:pStyle w:val="BodyText"/>
        <w:rPr>
          <w:sz w:val="18"/>
        </w:rPr>
      </w:pPr>
    </w:p>
    <w:p>
      <w:pPr>
        <w:pStyle w:val="BodyText"/>
        <w:spacing w:line="446" w:lineRule="auto"/>
        <w:ind w:left="418" w:right="1714" w:firstLine="419"/>
      </w:pPr>
      <w:r>
        <w:rPr>
          <w:w w:val="100"/>
        </w:rPr>
        <w:t> </w:t>
      </w:r>
      <w:r>
        <w:rPr/>
        <w:t>有耐火极限要求的风管的本体、框架与固定材料、密封垫料等必须为不燃材料，材料品种、规格、厚度及耐火极限等应符合设计要求和国家现行标准的规定。 </w:t>
      </w:r>
    </w:p>
    <w:p>
      <w:pPr>
        <w:pStyle w:val="BodyText"/>
        <w:ind w:left="838"/>
      </w:pPr>
      <w:r>
        <w:rPr/>
        <w:t>检查数量：按风管、材料加工批的数量抽查 10%，且不应少于 5 件。 </w:t>
      </w:r>
    </w:p>
    <w:p>
      <w:pPr>
        <w:pStyle w:val="BodyText"/>
        <w:spacing w:before="12"/>
        <w:rPr>
          <w:sz w:val="17"/>
        </w:rPr>
      </w:pPr>
    </w:p>
    <w:p>
      <w:pPr>
        <w:pStyle w:val="BodyText"/>
        <w:spacing w:line="448" w:lineRule="auto"/>
        <w:ind w:left="840" w:right="2765" w:hanging="3"/>
      </w:pPr>
      <w:r>
        <w:rPr/>
        <w:t>检查方法：尺量检查、直观检查与点燃试验，查验材料质量合格证明文件。</w:t>
      </w:r>
      <w:r>
        <w:rPr>
          <w:b/>
        </w:rPr>
        <w:t>6.2.2 </w:t>
      </w:r>
      <w:r>
        <w:rPr/>
        <w:t>防烟、排烟系统中各类阀（口）应符合下列规定： </w:t>
      </w:r>
    </w:p>
    <w:p>
      <w:pPr>
        <w:spacing w:after="0" w:line="448" w:lineRule="auto"/>
        <w:sectPr>
          <w:pgSz w:w="11910" w:h="16850"/>
          <w:pgMar w:header="0" w:footer="1239" w:top="1220" w:bottom="1420" w:left="1260" w:right="0"/>
        </w:sectPr>
      </w:pPr>
    </w:p>
    <w:p>
      <w:pPr>
        <w:pStyle w:val="BodyText"/>
        <w:spacing w:line="446" w:lineRule="auto" w:before="47"/>
        <w:ind w:left="418" w:right="1609" w:firstLine="419"/>
      </w:pPr>
      <w:r>
        <w:rPr/>
        <w:t>排烟防火阀、送风口、排烟阀或排烟口等必须符合有关消防产品标准的规定，其型号、规格、数量应符合设计要求，手动开启灵活、关闭可靠严密。 </w:t>
      </w:r>
    </w:p>
    <w:p>
      <w:pPr>
        <w:pStyle w:val="BodyText"/>
        <w:spacing w:line="267" w:lineRule="exact"/>
        <w:ind w:left="838"/>
      </w:pPr>
      <w:r>
        <w:rPr/>
        <w:t>检查数量：按种类、批抽查 10%，且不得少于 2 个。 </w:t>
      </w:r>
    </w:p>
    <w:p>
      <w:pPr>
        <w:pStyle w:val="BodyText"/>
        <w:spacing w:before="2"/>
        <w:rPr>
          <w:sz w:val="18"/>
        </w:rPr>
      </w:pPr>
    </w:p>
    <w:p>
      <w:pPr>
        <w:pStyle w:val="BodyText"/>
        <w:spacing w:line="446" w:lineRule="auto"/>
        <w:ind w:left="418" w:right="1609" w:firstLine="419"/>
      </w:pPr>
      <w:r>
        <w:rPr>
          <w:spacing w:val="-3"/>
        </w:rPr>
        <w:t>检查方法：测试、直观检查，查验产品的质量合格证明文件、符合国家市场准入要求的文件。</w:t>
      </w:r>
      <w:r>
        <w:rPr/>
        <w:t> </w:t>
      </w:r>
    </w:p>
    <w:p>
      <w:pPr>
        <w:pStyle w:val="BodyText"/>
        <w:spacing w:line="446" w:lineRule="auto"/>
        <w:ind w:left="418" w:right="1608" w:firstLine="419"/>
      </w:pPr>
      <w:r>
        <w:rPr>
          <w:spacing w:val="-3"/>
        </w:rPr>
        <w:t>防火阀、送风口和排烟阀或排烟口等的驱动装置，动作应可靠，在最大工作压力下工作正常。</w:t>
      </w:r>
      <w:r>
        <w:rPr/>
        <w:t> </w:t>
      </w:r>
    </w:p>
    <w:p>
      <w:pPr>
        <w:pStyle w:val="BodyText"/>
        <w:ind w:left="838"/>
      </w:pPr>
      <w:r>
        <w:rPr/>
        <w:t>检查数量：按批抽查 10%，且不得少于 1 件。 </w:t>
      </w:r>
    </w:p>
    <w:p>
      <w:pPr>
        <w:pStyle w:val="BodyText"/>
        <w:spacing w:before="10"/>
        <w:rPr>
          <w:sz w:val="17"/>
        </w:rPr>
      </w:pPr>
    </w:p>
    <w:p>
      <w:pPr>
        <w:pStyle w:val="BodyText"/>
        <w:spacing w:line="446" w:lineRule="auto" w:before="1"/>
        <w:ind w:left="418" w:right="1609" w:firstLine="419"/>
      </w:pPr>
      <w:r>
        <w:rPr/>
        <w:t>检查方法：测试、直观检查，查验产品的质量合格证明文件、符合国家市场准入要求的文件。 </w:t>
      </w:r>
    </w:p>
    <w:p>
      <w:pPr>
        <w:pStyle w:val="BodyText"/>
        <w:spacing w:line="446" w:lineRule="auto"/>
        <w:ind w:left="838" w:right="4657"/>
      </w:pPr>
      <w:r>
        <w:rPr/>
        <w:t>防烟、排烟系统柔性短管的制作材料必须为不燃材料。检查数量：全数检查。 </w:t>
      </w:r>
    </w:p>
    <w:p>
      <w:pPr>
        <w:pStyle w:val="BodyText"/>
        <w:spacing w:line="446" w:lineRule="auto"/>
        <w:ind w:left="418" w:right="1609" w:firstLine="419"/>
      </w:pPr>
      <w:r>
        <w:rPr>
          <w:spacing w:val="-3"/>
        </w:rPr>
        <w:t>检查方法：直观检查与点燃试验，查验产品的质量合格证明文件、符合国家市场准入要求的文件。</w:t>
      </w:r>
      <w:r>
        <w:rPr/>
        <w:t> </w:t>
      </w:r>
    </w:p>
    <w:p>
      <w:pPr>
        <w:pStyle w:val="ListParagraph"/>
        <w:numPr>
          <w:ilvl w:val="2"/>
          <w:numId w:val="886"/>
        </w:numPr>
        <w:tabs>
          <w:tab w:pos="1370" w:val="left" w:leader="none"/>
        </w:tabs>
        <w:spacing w:line="446" w:lineRule="auto" w:before="0" w:after="0"/>
        <w:ind w:left="418" w:right="1604" w:firstLine="422"/>
        <w:jc w:val="left"/>
        <w:rPr>
          <w:sz w:val="21"/>
        </w:rPr>
      </w:pPr>
      <w:r>
        <w:rPr>
          <w:spacing w:val="-3"/>
          <w:sz w:val="21"/>
        </w:rPr>
        <w:t>风机应符合产品标准和有关消防产品标准的规定，其型号、规格、数量应符合设计要求，出口方向应正确。</w:t>
      </w:r>
      <w:r>
        <w:rPr>
          <w:sz w:val="21"/>
        </w:rPr>
        <w:t> </w:t>
      </w:r>
    </w:p>
    <w:p>
      <w:pPr>
        <w:pStyle w:val="BodyText"/>
        <w:ind w:left="838"/>
      </w:pPr>
      <w:r>
        <w:rPr/>
        <w:t>检查数量：全数检查。 </w:t>
      </w:r>
    </w:p>
    <w:p>
      <w:pPr>
        <w:pStyle w:val="BodyText"/>
        <w:spacing w:before="9"/>
        <w:rPr>
          <w:sz w:val="17"/>
        </w:rPr>
      </w:pPr>
    </w:p>
    <w:p>
      <w:pPr>
        <w:pStyle w:val="BodyText"/>
        <w:spacing w:line="446" w:lineRule="auto"/>
        <w:ind w:left="418" w:right="1609" w:firstLine="419"/>
      </w:pPr>
      <w:r>
        <w:rPr/>
        <w:t>检查方法：核对、直观检查，查验产品的质量合格证明文件、符合国家市场准入要求的文件。 </w:t>
      </w:r>
    </w:p>
    <w:p>
      <w:pPr>
        <w:pStyle w:val="ListParagraph"/>
        <w:numPr>
          <w:ilvl w:val="2"/>
          <w:numId w:val="886"/>
        </w:numPr>
        <w:tabs>
          <w:tab w:pos="1371" w:val="left" w:leader="none"/>
        </w:tabs>
        <w:spacing w:line="446" w:lineRule="auto" w:before="1" w:after="0"/>
        <w:ind w:left="418" w:right="1604" w:firstLine="422"/>
        <w:jc w:val="left"/>
        <w:rPr>
          <w:sz w:val="21"/>
        </w:rPr>
      </w:pPr>
      <w:r>
        <w:rPr>
          <w:spacing w:val="-3"/>
          <w:sz w:val="21"/>
        </w:rPr>
        <w:t>活动挡烟垂壁及其电动驱动装置和控制装置应符合有关消防产品标准的规定，其型号、规格、数量应符合设计要求，动作可靠。</w:t>
      </w:r>
      <w:r>
        <w:rPr>
          <w:sz w:val="21"/>
        </w:rPr>
        <w:t> </w:t>
      </w:r>
    </w:p>
    <w:p>
      <w:pPr>
        <w:pStyle w:val="BodyText"/>
        <w:ind w:left="838"/>
      </w:pPr>
      <w:r>
        <w:rPr/>
        <w:t>检查数量：按批抽查 10%，且不得少于 1 件。 </w:t>
      </w:r>
    </w:p>
    <w:p>
      <w:pPr>
        <w:pStyle w:val="BodyText"/>
        <w:spacing w:before="12"/>
        <w:rPr>
          <w:sz w:val="17"/>
        </w:rPr>
      </w:pPr>
    </w:p>
    <w:p>
      <w:pPr>
        <w:pStyle w:val="BodyText"/>
        <w:spacing w:line="446" w:lineRule="auto"/>
        <w:ind w:left="418" w:right="1609" w:firstLine="419"/>
      </w:pPr>
      <w:r>
        <w:rPr/>
        <w:t>检查方法：测试，直观检查，查验产品的质量合格证明文件、符合国家市场准入要求的文件。 </w:t>
      </w:r>
    </w:p>
    <w:p>
      <w:pPr>
        <w:pStyle w:val="ListParagraph"/>
        <w:numPr>
          <w:ilvl w:val="2"/>
          <w:numId w:val="886"/>
        </w:numPr>
        <w:tabs>
          <w:tab w:pos="1371" w:val="left" w:leader="none"/>
        </w:tabs>
        <w:spacing w:line="240" w:lineRule="auto" w:before="0" w:after="0"/>
        <w:ind w:left="1370" w:right="0" w:hanging="531"/>
        <w:jc w:val="left"/>
        <w:rPr>
          <w:sz w:val="21"/>
        </w:rPr>
      </w:pPr>
      <w:r>
        <w:rPr>
          <w:spacing w:val="-3"/>
          <w:sz w:val="21"/>
        </w:rPr>
        <w:t>自动排烟窗的驱动装置和控制装置应符合设计要求，动作可靠。</w:t>
      </w:r>
      <w:r>
        <w:rPr>
          <w:sz w:val="21"/>
        </w:rPr>
        <w:t> </w:t>
      </w:r>
    </w:p>
    <w:p>
      <w:pPr>
        <w:pStyle w:val="BodyText"/>
        <w:rPr>
          <w:sz w:val="18"/>
        </w:rPr>
      </w:pPr>
    </w:p>
    <w:p>
      <w:pPr>
        <w:pStyle w:val="BodyText"/>
        <w:ind w:left="838"/>
      </w:pPr>
      <w:r>
        <w:rPr/>
        <w:t>检查数量：抽查 10%，且不得少于 1 件。 </w:t>
      </w:r>
    </w:p>
    <w:p>
      <w:pPr>
        <w:pStyle w:val="BodyText"/>
        <w:spacing w:before="12"/>
        <w:rPr>
          <w:sz w:val="17"/>
        </w:rPr>
      </w:pPr>
    </w:p>
    <w:p>
      <w:pPr>
        <w:pStyle w:val="BodyText"/>
        <w:spacing w:line="446" w:lineRule="auto"/>
        <w:ind w:left="418" w:right="1609" w:firstLine="419"/>
      </w:pPr>
      <w:r>
        <w:rPr/>
        <w:t>检查方法：测试，直观检查，查验产品的质量合格证明文件、符合国家市场准入要求的文件。 </w:t>
      </w:r>
    </w:p>
    <w:p>
      <w:pPr>
        <w:spacing w:after="0" w:line="446" w:lineRule="auto"/>
        <w:sectPr>
          <w:pgSz w:w="11910" w:h="16850"/>
          <w:pgMar w:header="0" w:footer="1239" w:top="1220" w:bottom="1420" w:left="1260" w:right="0"/>
        </w:sectPr>
      </w:pPr>
    </w:p>
    <w:p>
      <w:pPr>
        <w:pStyle w:val="ListParagraph"/>
        <w:numPr>
          <w:ilvl w:val="2"/>
          <w:numId w:val="886"/>
        </w:numPr>
        <w:tabs>
          <w:tab w:pos="1371" w:val="left" w:leader="none"/>
        </w:tabs>
        <w:spacing w:line="240" w:lineRule="auto" w:before="47" w:after="0"/>
        <w:ind w:left="1370" w:right="0" w:hanging="531"/>
        <w:jc w:val="left"/>
        <w:rPr>
          <w:sz w:val="21"/>
        </w:rPr>
      </w:pPr>
      <w:r>
        <w:rPr>
          <w:spacing w:val="-6"/>
          <w:sz w:val="21"/>
        </w:rPr>
        <w:t>防烟、排烟系统工程进场检验记录应按本标准附录 </w:t>
      </w:r>
      <w:r>
        <w:rPr>
          <w:sz w:val="21"/>
        </w:rPr>
        <w:t>D</w:t>
      </w:r>
      <w:r>
        <w:rPr>
          <w:spacing w:val="-36"/>
          <w:sz w:val="21"/>
        </w:rPr>
        <w:t> 表 </w:t>
      </w:r>
      <w:r>
        <w:rPr>
          <w:sz w:val="21"/>
        </w:rPr>
        <w:t>D-2</w:t>
      </w:r>
      <w:r>
        <w:rPr>
          <w:spacing w:val="-15"/>
          <w:sz w:val="21"/>
        </w:rPr>
        <w:t> 填写。</w:t>
      </w:r>
      <w:r>
        <w:rPr>
          <w:sz w:val="21"/>
        </w:rPr>
        <w:t> </w:t>
      </w:r>
    </w:p>
    <w:p>
      <w:pPr>
        <w:pStyle w:val="BodyText"/>
        <w:rPr>
          <w:sz w:val="18"/>
        </w:rPr>
      </w:pPr>
    </w:p>
    <w:p>
      <w:pPr>
        <w:pStyle w:val="ListParagraph"/>
        <w:numPr>
          <w:ilvl w:val="1"/>
          <w:numId w:val="885"/>
        </w:numPr>
        <w:tabs>
          <w:tab w:pos="1159" w:val="left" w:leader="none"/>
        </w:tabs>
        <w:spacing w:line="240" w:lineRule="auto" w:before="0" w:after="0"/>
        <w:ind w:left="1158" w:right="0" w:hanging="319"/>
        <w:jc w:val="left"/>
        <w:rPr>
          <w:b/>
          <w:sz w:val="21"/>
        </w:rPr>
      </w:pPr>
      <w:r>
        <w:rPr>
          <w:spacing w:val="-3"/>
          <w:sz w:val="21"/>
        </w:rPr>
        <w:t>风管安装</w:t>
      </w:r>
      <w:r>
        <w:rPr>
          <w:b/>
          <w:w w:val="99"/>
          <w:sz w:val="21"/>
        </w:rPr>
        <w:t> </w:t>
      </w:r>
    </w:p>
    <w:p>
      <w:pPr>
        <w:pStyle w:val="BodyText"/>
        <w:rPr>
          <w:b/>
          <w:sz w:val="18"/>
        </w:rPr>
      </w:pPr>
    </w:p>
    <w:p>
      <w:pPr>
        <w:pStyle w:val="ListParagraph"/>
        <w:numPr>
          <w:ilvl w:val="2"/>
          <w:numId w:val="885"/>
        </w:numPr>
        <w:tabs>
          <w:tab w:pos="1371" w:val="left" w:leader="none"/>
        </w:tabs>
        <w:spacing w:line="240" w:lineRule="auto" w:before="0" w:after="0"/>
        <w:ind w:left="1370" w:right="0" w:hanging="531"/>
        <w:jc w:val="left"/>
        <w:rPr>
          <w:sz w:val="21"/>
        </w:rPr>
      </w:pPr>
      <w:r>
        <w:rPr>
          <w:spacing w:val="-3"/>
          <w:sz w:val="21"/>
        </w:rPr>
        <w:t>金属风管的制作和连接应符合下列规定：</w:t>
      </w:r>
      <w:r>
        <w:rPr>
          <w:sz w:val="21"/>
        </w:rPr>
        <w:t> </w:t>
      </w:r>
    </w:p>
    <w:p>
      <w:pPr>
        <w:pStyle w:val="BodyText"/>
        <w:spacing w:before="10"/>
        <w:rPr>
          <w:sz w:val="13"/>
        </w:rPr>
      </w:pPr>
      <w:r>
        <w:rPr/>
        <w:drawing>
          <wp:anchor distT="0" distB="0" distL="0" distR="0" allowOverlap="1" layoutInCell="1" locked="0" behindDoc="0" simplePos="0" relativeHeight="320">
            <wp:simplePos x="0" y="0"/>
            <wp:positionH relativeFrom="page">
              <wp:posOffset>1122680</wp:posOffset>
            </wp:positionH>
            <wp:positionV relativeFrom="paragraph">
              <wp:posOffset>137009</wp:posOffset>
            </wp:positionV>
            <wp:extent cx="4947285" cy="1600200"/>
            <wp:effectExtent l="0" t="0" r="0" b="0"/>
            <wp:wrapTopAndBottom/>
            <wp:docPr id="697" name="image408.jpeg"/>
            <wp:cNvGraphicFramePr>
              <a:graphicFrameLocks noChangeAspect="1"/>
            </wp:cNvGraphicFramePr>
            <a:graphic>
              <a:graphicData uri="http://schemas.openxmlformats.org/drawingml/2006/picture">
                <pic:pic>
                  <pic:nvPicPr>
                    <pic:cNvPr id="698" name="image408.jpeg"/>
                    <pic:cNvPicPr/>
                  </pic:nvPicPr>
                  <pic:blipFill>
                    <a:blip r:embed="rId520" cstate="print"/>
                    <a:stretch>
                      <a:fillRect/>
                    </a:stretch>
                  </pic:blipFill>
                  <pic:spPr>
                    <a:xfrm>
                      <a:off x="0" y="0"/>
                      <a:ext cx="4947285" cy="1600200"/>
                    </a:xfrm>
                    <a:prstGeom prst="rect">
                      <a:avLst/>
                    </a:prstGeom>
                  </pic:spPr>
                </pic:pic>
              </a:graphicData>
            </a:graphic>
          </wp:anchor>
        </w:drawing>
      </w:r>
    </w:p>
    <w:p>
      <w:pPr>
        <w:pStyle w:val="BodyText"/>
        <w:spacing w:line="446" w:lineRule="auto" w:before="163"/>
        <w:ind w:left="418" w:right="1609" w:firstLine="419"/>
      </w:pPr>
      <w:r>
        <w:rPr>
          <w:spacing w:val="-5"/>
        </w:rPr>
        <w:t>风管采用法兰连接时，风管法兰材料规格应按本标准表 </w:t>
      </w:r>
      <w:r>
        <w:rPr/>
        <w:t>6.3.1</w:t>
      </w:r>
      <w:r>
        <w:rPr>
          <w:spacing w:val="-8"/>
        </w:rPr>
        <w:t> 选用，其螺栓孔的间距不得</w:t>
      </w:r>
      <w:r>
        <w:rPr>
          <w:spacing w:val="-24"/>
        </w:rPr>
        <w:t>大于 </w:t>
      </w:r>
      <w:r>
        <w:rPr/>
        <w:t>150mm</w:t>
      </w:r>
      <w:r>
        <w:rPr>
          <w:spacing w:val="-3"/>
        </w:rPr>
        <w:t>，矩形风管法兰四角处应设有螺孔；</w:t>
      </w:r>
      <w:r>
        <w:rPr/>
        <w:t> </w:t>
      </w:r>
    </w:p>
    <w:p>
      <w:pPr>
        <w:pStyle w:val="BodyText"/>
        <w:spacing w:line="446" w:lineRule="auto"/>
        <w:ind w:left="418" w:right="1608" w:firstLine="419"/>
      </w:pPr>
      <w:r>
        <w:rPr>
          <w:spacing w:val="-4"/>
        </w:rPr>
        <w:t>板材应采用咬口连接或铆接，除镀锌钢板及含有复合保护层的钢板外，板厚大于 </w:t>
      </w:r>
      <w:r>
        <w:rPr/>
        <w:t>1.5mm</w:t>
      </w:r>
      <w:r>
        <w:rPr>
          <w:spacing w:val="-19"/>
        </w:rPr>
        <w:t> 的</w:t>
      </w:r>
      <w:r>
        <w:rPr>
          <w:spacing w:val="-9"/>
        </w:rPr>
        <w:t>可采用焊接；</w:t>
      </w:r>
      <w:r>
        <w:rPr/>
        <w:t> </w:t>
      </w:r>
    </w:p>
    <w:p>
      <w:pPr>
        <w:pStyle w:val="BodyText"/>
        <w:spacing w:line="446" w:lineRule="auto"/>
        <w:ind w:left="418" w:right="1609" w:firstLine="419"/>
      </w:pPr>
      <w:r>
        <w:rPr/>
        <w:t>风管应以板材连接的密封为主，可辅以密封胶嵌缝或其他方法密封，密封面宜设在风管的正压侧；  </w:t>
      </w:r>
      <w:r>
        <w:rPr>
          <w:w w:val="100"/>
        </w:rPr>
        <w:t>  </w:t>
      </w:r>
      <w:r>
        <w:rPr/>
        <w:t> </w:t>
      </w:r>
      <w:r>
        <w:rPr>
          <w:w w:val="100"/>
        </w:rPr>
        <w:t> </w:t>
      </w:r>
    </w:p>
    <w:p>
      <w:pPr>
        <w:pStyle w:val="BodyText"/>
        <w:ind w:left="838"/>
      </w:pPr>
      <w:r>
        <w:rPr/>
        <w:t>无法兰连接风管的薄钢板法兰高度及连接应按本标准表 6.3.1 的规定执行； </w:t>
      </w:r>
    </w:p>
    <w:p>
      <w:pPr>
        <w:pStyle w:val="BodyText"/>
        <w:spacing w:before="10"/>
        <w:rPr>
          <w:sz w:val="17"/>
        </w:rPr>
      </w:pPr>
    </w:p>
    <w:p>
      <w:pPr>
        <w:pStyle w:val="BodyText"/>
        <w:spacing w:line="446" w:lineRule="auto"/>
        <w:ind w:left="418" w:right="1505" w:firstLine="419"/>
        <w:jc w:val="both"/>
      </w:pPr>
      <w:r>
        <w:rPr>
          <w:spacing w:val="-5"/>
        </w:rPr>
        <w:t>排烟风管的隔热层应采用厚度不小于 </w:t>
      </w:r>
      <w:r>
        <w:rPr/>
        <w:t>40mm</w:t>
      </w:r>
      <w:r>
        <w:rPr>
          <w:spacing w:val="-8"/>
        </w:rPr>
        <w:t> 的不燃绝热材料，绝热材料的施工及风管加固、</w:t>
      </w:r>
      <w:r>
        <w:rPr>
          <w:spacing w:val="-5"/>
        </w:rPr>
        <w:t>导流片的设置应按现行国家标准《通风与空调工程施工质量验收规范》</w:t>
      </w:r>
      <w:r>
        <w:rPr/>
        <w:t>GB 50243</w:t>
      </w:r>
      <w:r>
        <w:rPr>
          <w:spacing w:val="-9"/>
        </w:rPr>
        <w:t> 的有关规定执</w:t>
      </w:r>
      <w:r>
        <w:rPr>
          <w:spacing w:val="-6"/>
        </w:rPr>
        <w:t>行。</w:t>
      </w:r>
      <w:r>
        <w:rPr/>
        <w:t> </w:t>
      </w:r>
    </w:p>
    <w:p>
      <w:pPr>
        <w:pStyle w:val="BodyText"/>
        <w:spacing w:line="268" w:lineRule="exact"/>
        <w:ind w:left="838"/>
        <w:jc w:val="both"/>
      </w:pPr>
      <w:r>
        <w:rPr/>
        <w:t>检查数量：各系统按不小于 30%检查。 </w:t>
      </w:r>
    </w:p>
    <w:p>
      <w:pPr>
        <w:pStyle w:val="BodyText"/>
        <w:rPr>
          <w:sz w:val="18"/>
        </w:rPr>
      </w:pPr>
    </w:p>
    <w:p>
      <w:pPr>
        <w:pStyle w:val="BodyText"/>
        <w:ind w:left="838"/>
      </w:pPr>
      <w:r>
        <w:rPr/>
        <w:t>检查方法：尺量检查、直观检查。 </w:t>
      </w:r>
    </w:p>
    <w:p>
      <w:pPr>
        <w:pStyle w:val="BodyText"/>
        <w:spacing w:before="2"/>
        <w:rPr>
          <w:sz w:val="18"/>
        </w:rPr>
      </w:pPr>
    </w:p>
    <w:p>
      <w:pPr>
        <w:pStyle w:val="ListParagraph"/>
        <w:numPr>
          <w:ilvl w:val="2"/>
          <w:numId w:val="885"/>
        </w:numPr>
        <w:tabs>
          <w:tab w:pos="1370" w:val="left" w:leader="none"/>
        </w:tabs>
        <w:spacing w:line="240" w:lineRule="auto" w:before="0" w:after="0"/>
        <w:ind w:left="1369" w:right="0" w:hanging="530"/>
        <w:jc w:val="left"/>
        <w:rPr>
          <w:sz w:val="21"/>
        </w:rPr>
      </w:pPr>
      <w:r>
        <w:rPr>
          <w:spacing w:val="-3"/>
          <w:sz w:val="21"/>
        </w:rPr>
        <w:t>非金属风管的制作和连接应符合下列规定：</w:t>
      </w:r>
      <w:r>
        <w:rPr>
          <w:sz w:val="21"/>
        </w:rPr>
        <w:t> </w:t>
      </w:r>
    </w:p>
    <w:p>
      <w:pPr>
        <w:pStyle w:val="BodyText"/>
        <w:rPr>
          <w:sz w:val="18"/>
        </w:rPr>
      </w:pPr>
    </w:p>
    <w:p>
      <w:pPr>
        <w:pStyle w:val="BodyText"/>
        <w:spacing w:line="446" w:lineRule="auto"/>
        <w:ind w:left="838" w:right="1452"/>
      </w:pPr>
      <w:r>
        <w:rPr>
          <w:spacing w:val="-3"/>
        </w:rPr>
        <w:t>非金属风管的材料品种、规格、性能与厚度等应符合设计和现行国家产品标准的规定；   </w:t>
      </w:r>
      <w:r>
        <w:rPr>
          <w:spacing w:val="-6"/>
        </w:rPr>
        <w:t>法兰的规格应分别符合本标准表 </w:t>
      </w:r>
      <w:r>
        <w:rPr/>
        <w:t>6.3.2</w:t>
      </w:r>
      <w:r>
        <w:rPr>
          <w:spacing w:val="-10"/>
        </w:rPr>
        <w:t> 的规定，其螺栓孔的间距不得大于 </w:t>
      </w:r>
      <w:r>
        <w:rPr/>
        <w:t>120mm</w:t>
      </w:r>
      <w:r>
        <w:rPr>
          <w:spacing w:val="-1"/>
        </w:rPr>
        <w:t>；矩形风管</w:t>
      </w:r>
    </w:p>
    <w:p>
      <w:pPr>
        <w:pStyle w:val="BodyText"/>
        <w:ind w:left="418"/>
      </w:pPr>
      <w:r>
        <w:rPr/>
        <w:t>法兰的四角处应设有螺孔； </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pStyle w:val="BodyText"/>
        <w:ind w:left="838"/>
      </w:pPr>
      <w:r>
        <w:rPr>
          <w:w w:val="100"/>
        </w:rPr>
        <w:t> </w:t>
      </w:r>
    </w:p>
    <w:p>
      <w:pPr>
        <w:spacing w:after="0"/>
        <w:sectPr>
          <w:pgSz w:w="11910" w:h="16850"/>
          <w:pgMar w:header="0" w:footer="1239" w:top="1220" w:bottom="1420" w:left="1260" w:right="0"/>
        </w:sectPr>
      </w:pPr>
    </w:p>
    <w:p>
      <w:pPr>
        <w:pStyle w:val="BodyText"/>
        <w:spacing w:before="47"/>
        <w:ind w:left="838"/>
      </w:pPr>
      <w:r>
        <w:rPr/>
        <w:t>采用套管连接时，套管厚度不得小于风管板材的厚度； </w:t>
      </w:r>
    </w:p>
    <w:p>
      <w:pPr>
        <w:pStyle w:val="BodyText"/>
        <w:spacing w:before="12"/>
        <w:rPr>
          <w:sz w:val="10"/>
        </w:rPr>
      </w:pPr>
      <w:r>
        <w:rPr/>
        <w:drawing>
          <wp:anchor distT="0" distB="0" distL="0" distR="0" allowOverlap="1" layoutInCell="1" locked="0" behindDoc="0" simplePos="0" relativeHeight="321">
            <wp:simplePos x="0" y="0"/>
            <wp:positionH relativeFrom="page">
              <wp:posOffset>1065530</wp:posOffset>
            </wp:positionH>
            <wp:positionV relativeFrom="paragraph">
              <wp:posOffset>113752</wp:posOffset>
            </wp:positionV>
            <wp:extent cx="5377877" cy="1562100"/>
            <wp:effectExtent l="0" t="0" r="0" b="0"/>
            <wp:wrapTopAndBottom/>
            <wp:docPr id="699" name="image409.jpeg"/>
            <wp:cNvGraphicFramePr>
              <a:graphicFrameLocks noChangeAspect="1"/>
            </wp:cNvGraphicFramePr>
            <a:graphic>
              <a:graphicData uri="http://schemas.openxmlformats.org/drawingml/2006/picture">
                <pic:pic>
                  <pic:nvPicPr>
                    <pic:cNvPr id="700" name="image409.jpeg"/>
                    <pic:cNvPicPr/>
                  </pic:nvPicPr>
                  <pic:blipFill>
                    <a:blip r:embed="rId522" cstate="print"/>
                    <a:stretch>
                      <a:fillRect/>
                    </a:stretch>
                  </pic:blipFill>
                  <pic:spPr>
                    <a:xfrm>
                      <a:off x="0" y="0"/>
                      <a:ext cx="5377877" cy="1562100"/>
                    </a:xfrm>
                    <a:prstGeom prst="rect">
                      <a:avLst/>
                    </a:prstGeom>
                  </pic:spPr>
                </pic:pic>
              </a:graphicData>
            </a:graphic>
          </wp:anchor>
        </w:drawing>
      </w:r>
    </w:p>
    <w:p>
      <w:pPr>
        <w:pStyle w:val="BodyText"/>
        <w:spacing w:line="448" w:lineRule="auto" w:before="169"/>
        <w:ind w:left="418" w:right="1609" w:firstLine="419"/>
      </w:pPr>
      <w:r>
        <w:rPr/>
        <w:t>无机玻璃钢风管的玻璃布必须无碱或中碱，层数应符合现行国家标准《通风与空调工程施工质量验收规范》GB 50243 的规定，风管的表面不得出现泛卤或严重泛霜。 </w:t>
      </w:r>
    </w:p>
    <w:p>
      <w:pPr>
        <w:pStyle w:val="BodyText"/>
        <w:spacing w:line="264" w:lineRule="exact"/>
        <w:ind w:left="838"/>
      </w:pPr>
      <w:r>
        <w:rPr/>
        <w:t>检查数量：各系统按不小于 30%检查。 </w:t>
      </w:r>
    </w:p>
    <w:p>
      <w:pPr>
        <w:pStyle w:val="BodyText"/>
        <w:spacing w:before="12"/>
        <w:rPr>
          <w:sz w:val="17"/>
        </w:rPr>
      </w:pPr>
    </w:p>
    <w:p>
      <w:pPr>
        <w:pStyle w:val="BodyText"/>
        <w:ind w:left="838"/>
      </w:pPr>
      <w:r>
        <w:rPr/>
        <w:t>检查方法：尺量检查、直观检查。 </w:t>
      </w:r>
    </w:p>
    <w:p>
      <w:pPr>
        <w:pStyle w:val="BodyText"/>
        <w:spacing w:before="2"/>
        <w:rPr>
          <w:sz w:val="18"/>
        </w:rPr>
      </w:pPr>
    </w:p>
    <w:p>
      <w:pPr>
        <w:pStyle w:val="ListParagraph"/>
        <w:numPr>
          <w:ilvl w:val="2"/>
          <w:numId w:val="885"/>
        </w:numPr>
        <w:tabs>
          <w:tab w:pos="1371" w:val="left" w:leader="none"/>
        </w:tabs>
        <w:spacing w:line="446" w:lineRule="auto" w:before="0" w:after="0"/>
        <w:ind w:left="418" w:right="1604" w:firstLine="422"/>
        <w:jc w:val="left"/>
        <w:rPr>
          <w:sz w:val="21"/>
        </w:rPr>
      </w:pPr>
      <w:r>
        <w:rPr>
          <w:spacing w:val="-3"/>
          <w:sz w:val="21"/>
        </w:rPr>
        <w:t>风管应按系统类别进行强度和严密性检验，其强度和严密性应符合设计要求或下列规定：</w:t>
      </w:r>
      <w:r>
        <w:rPr>
          <w:sz w:val="21"/>
        </w:rPr>
        <w:t> </w:t>
      </w:r>
    </w:p>
    <w:p>
      <w:pPr>
        <w:pStyle w:val="BodyText"/>
        <w:spacing w:line="448" w:lineRule="auto"/>
        <w:ind w:left="838" w:right="3030"/>
      </w:pPr>
      <w:r>
        <w:rPr/>
        <w:t>风管强度应符合现行行业标准《通风管道技术规程》JGJ/T 141 的规定。金属矩形风管的允许漏风量应符合下列规定： </w:t>
      </w:r>
    </w:p>
    <w:p>
      <w:pPr>
        <w:pStyle w:val="BodyText"/>
        <w:ind w:left="748"/>
        <w:rPr>
          <w:sz w:val="20"/>
        </w:rPr>
      </w:pPr>
      <w:r>
        <w:rPr>
          <w:sz w:val="20"/>
        </w:rPr>
        <w:drawing>
          <wp:inline distT="0" distB="0" distL="0" distR="0">
            <wp:extent cx="4931992" cy="1066800"/>
            <wp:effectExtent l="0" t="0" r="0" b="0"/>
            <wp:docPr id="701" name="image410.jpeg"/>
            <wp:cNvGraphicFramePr>
              <a:graphicFrameLocks noChangeAspect="1"/>
            </wp:cNvGraphicFramePr>
            <a:graphic>
              <a:graphicData uri="http://schemas.openxmlformats.org/drawingml/2006/picture">
                <pic:pic>
                  <pic:nvPicPr>
                    <pic:cNvPr id="702" name="image410.jpeg"/>
                    <pic:cNvPicPr/>
                  </pic:nvPicPr>
                  <pic:blipFill>
                    <a:blip r:embed="rId523" cstate="print"/>
                    <a:stretch>
                      <a:fillRect/>
                    </a:stretch>
                  </pic:blipFill>
                  <pic:spPr>
                    <a:xfrm>
                      <a:off x="0" y="0"/>
                      <a:ext cx="4931992" cy="106680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3"/>
        <w:rPr>
          <w:sz w:val="18"/>
        </w:rPr>
      </w:pPr>
    </w:p>
    <w:p>
      <w:pPr>
        <w:pStyle w:val="BodyText"/>
        <w:spacing w:line="436" w:lineRule="auto"/>
        <w:ind w:left="418" w:right="1479" w:firstLine="419"/>
      </w:pPr>
      <w:r>
        <w:rPr>
          <w:position w:val="1"/>
        </w:rPr>
        <w:t>式中：L</w:t>
      </w:r>
      <w:r>
        <w:rPr>
          <w:sz w:val="11"/>
        </w:rPr>
        <w:t>low</w:t>
      </w:r>
      <w:r>
        <w:rPr>
          <w:position w:val="1"/>
        </w:rPr>
        <w:t>， L</w:t>
      </w:r>
      <w:r>
        <w:rPr>
          <w:sz w:val="11"/>
        </w:rPr>
        <w:t>mid</w:t>
      </w:r>
      <w:r>
        <w:rPr>
          <w:position w:val="1"/>
        </w:rPr>
        <w:t>，L</w:t>
      </w:r>
      <w:r>
        <w:rPr>
          <w:sz w:val="11"/>
        </w:rPr>
        <w:t>high</w:t>
      </w:r>
      <w:r>
        <w:rPr>
          <w:position w:val="1"/>
        </w:rPr>
        <w:t>—系统风管在相应工作压力下，单位面积风管单位时间内的允许漏风</w:t>
      </w:r>
      <w:r>
        <w:rPr/>
        <w:t>量[m</w:t>
      </w:r>
      <w:r>
        <w:rPr>
          <w:position w:val="11"/>
          <w:sz w:val="11"/>
        </w:rPr>
        <w:t>3</w:t>
      </w:r>
      <w:r>
        <w:rPr/>
        <w:t>/（h·m</w:t>
      </w:r>
      <w:r>
        <w:rPr>
          <w:position w:val="11"/>
          <w:sz w:val="11"/>
        </w:rPr>
        <w:t>2</w:t>
      </w:r>
      <w:r>
        <w:rPr/>
        <w:t>）]； </w:t>
      </w:r>
    </w:p>
    <w:p>
      <w:pPr>
        <w:pStyle w:val="BodyText"/>
        <w:spacing w:before="9"/>
        <w:ind w:left="838"/>
      </w:pPr>
      <w:r>
        <w:rPr>
          <w:w w:val="100"/>
          <w:position w:val="1"/>
        </w:rPr>
        <w:t> </w:t>
      </w:r>
      <w:r>
        <w:rPr>
          <w:position w:val="1"/>
        </w:rPr>
        <w:t> </w:t>
      </w:r>
      <w:r>
        <w:rPr>
          <w:w w:val="100"/>
          <w:position w:val="1"/>
        </w:rPr>
        <w:t>  </w:t>
      </w:r>
      <w:r>
        <w:rPr>
          <w:position w:val="1"/>
        </w:rPr>
        <w:t> </w:t>
      </w:r>
      <w:r>
        <w:rPr>
          <w:w w:val="100"/>
          <w:position w:val="1"/>
        </w:rPr>
        <w:t> </w:t>
      </w:r>
      <w:r>
        <w:rPr>
          <w:spacing w:val="-3"/>
          <w:w w:val="100"/>
          <w:position w:val="1"/>
        </w:rPr>
        <w:t> </w:t>
      </w:r>
      <w:r>
        <w:rPr>
          <w:position w:val="1"/>
        </w:rPr>
        <w:t> </w:t>
      </w:r>
      <w:r>
        <w:rPr>
          <w:w w:val="100"/>
          <w:position w:val="1"/>
        </w:rPr>
        <w:t> </w:t>
      </w:r>
      <w:r>
        <w:rPr>
          <w:spacing w:val="-3"/>
          <w:w w:val="100"/>
          <w:position w:val="1"/>
        </w:rPr>
        <w:t> </w:t>
      </w:r>
      <w:r>
        <w:rPr>
          <w:position w:val="1"/>
        </w:rPr>
        <w:t> </w:t>
      </w:r>
      <w:r>
        <w:rPr>
          <w:w w:val="100"/>
          <w:position w:val="1"/>
        </w:rPr>
        <w:t>  </w:t>
      </w:r>
      <w:r>
        <w:rPr>
          <w:position w:val="1"/>
        </w:rPr>
        <w:t> </w:t>
      </w:r>
      <w:r>
        <w:rPr>
          <w:spacing w:val="-2"/>
          <w:w w:val="100"/>
          <w:position w:val="1"/>
        </w:rPr>
        <w:t> </w:t>
      </w:r>
      <w:r>
        <w:rPr>
          <w:position w:val="1"/>
        </w:rPr>
        <w:t> P</w:t>
      </w:r>
      <w:r>
        <w:rPr>
          <w:spacing w:val="-52"/>
          <w:position w:val="1"/>
        </w:rPr>
        <w:t> </w:t>
      </w:r>
      <w:r>
        <w:rPr>
          <w:spacing w:val="-2"/>
          <w:sz w:val="11"/>
        </w:rPr>
        <w:t>风管</w:t>
      </w:r>
      <w:r>
        <w:rPr>
          <w:spacing w:val="-3"/>
          <w:position w:val="1"/>
        </w:rPr>
        <w:t>—指风管系统的工作压力</w:t>
      </w:r>
      <w:r>
        <w:rPr>
          <w:position w:val="1"/>
        </w:rPr>
        <w:t>（Pa）</w:t>
      </w:r>
      <w:r>
        <w:rPr>
          <w:spacing w:val="-3"/>
          <w:position w:val="1"/>
        </w:rPr>
        <w:t>。</w:t>
      </w:r>
      <w:r>
        <w:rPr>
          <w:position w:val="1"/>
        </w:rPr>
        <w:t> </w:t>
      </w:r>
    </w:p>
    <w:p>
      <w:pPr>
        <w:pStyle w:val="BodyText"/>
        <w:spacing w:before="3"/>
        <w:rPr>
          <w:sz w:val="18"/>
        </w:rPr>
      </w:pPr>
    </w:p>
    <w:p>
      <w:pPr>
        <w:pStyle w:val="BodyText"/>
        <w:ind w:left="838"/>
      </w:pPr>
      <w:r>
        <w:rPr/>
        <w:t>风管系统类别应按本标准表 6.3.3 划分。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8"/>
        </w:rPr>
      </w:pPr>
    </w:p>
    <w:p>
      <w:pPr>
        <w:pStyle w:val="BodyText"/>
        <w:spacing w:before="72"/>
        <w:ind w:left="838"/>
      </w:pPr>
      <w:r>
        <w:rPr>
          <w:w w:val="100"/>
        </w:rPr>
        <w:t> </w:t>
      </w:r>
    </w:p>
    <w:p>
      <w:pPr>
        <w:spacing w:after="0"/>
        <w:sectPr>
          <w:footerReference w:type="default" r:id="rId521"/>
          <w:pgSz w:w="11910" w:h="16850"/>
          <w:pgMar w:footer="1239" w:header="0" w:top="1220" w:bottom="1420" w:left="1260" w:right="0"/>
          <w:pgNumType w:start="1550"/>
        </w:sectPr>
      </w:pPr>
    </w:p>
    <w:p>
      <w:pPr>
        <w:pStyle w:val="BodyText"/>
        <w:ind w:left="292"/>
        <w:rPr>
          <w:sz w:val="20"/>
        </w:rPr>
      </w:pPr>
      <w:r>
        <w:rPr>
          <w:sz w:val="20"/>
        </w:rPr>
        <w:drawing>
          <wp:inline distT="0" distB="0" distL="0" distR="0">
            <wp:extent cx="5665988" cy="1905000"/>
            <wp:effectExtent l="0" t="0" r="0" b="0"/>
            <wp:docPr id="703" name="image411.jpeg"/>
            <wp:cNvGraphicFramePr>
              <a:graphicFrameLocks noChangeAspect="1"/>
            </wp:cNvGraphicFramePr>
            <a:graphic>
              <a:graphicData uri="http://schemas.openxmlformats.org/drawingml/2006/picture">
                <pic:pic>
                  <pic:nvPicPr>
                    <pic:cNvPr id="704" name="image411.jpeg"/>
                    <pic:cNvPicPr/>
                  </pic:nvPicPr>
                  <pic:blipFill>
                    <a:blip r:embed="rId524" cstate="print"/>
                    <a:stretch>
                      <a:fillRect/>
                    </a:stretch>
                  </pic:blipFill>
                  <pic:spPr>
                    <a:xfrm>
                      <a:off x="0" y="0"/>
                      <a:ext cx="5665988" cy="1905000"/>
                    </a:xfrm>
                    <a:prstGeom prst="rect">
                      <a:avLst/>
                    </a:prstGeom>
                  </pic:spPr>
                </pic:pic>
              </a:graphicData>
            </a:graphic>
          </wp:inline>
        </w:drawing>
      </w:r>
      <w:r>
        <w:rPr>
          <w:sz w:val="20"/>
        </w:rPr>
      </w:r>
    </w:p>
    <w:p>
      <w:pPr>
        <w:pStyle w:val="BodyText"/>
        <w:spacing w:before="2"/>
        <w:rPr>
          <w:sz w:val="8"/>
        </w:rPr>
      </w:pPr>
    </w:p>
    <w:p>
      <w:pPr>
        <w:pStyle w:val="BodyText"/>
        <w:spacing w:before="72"/>
        <w:ind w:left="1373"/>
      </w:pPr>
      <w:r>
        <w:rPr/>
        <w:t>金属圆形风管、非金属风管允许的气体漏风量应为金属矩形风管规定值的 50%； </w:t>
      </w:r>
    </w:p>
    <w:p>
      <w:pPr>
        <w:pStyle w:val="BodyText"/>
        <w:rPr>
          <w:sz w:val="18"/>
        </w:rPr>
      </w:pPr>
    </w:p>
    <w:p>
      <w:pPr>
        <w:pStyle w:val="BodyText"/>
        <w:ind w:left="838"/>
      </w:pPr>
      <w:r>
        <w:rPr/>
        <w:t>排烟风管应按中压系统风管的规定。 </w:t>
      </w:r>
    </w:p>
    <w:p>
      <w:pPr>
        <w:pStyle w:val="BodyText"/>
        <w:spacing w:before="5"/>
        <w:rPr>
          <w:sz w:val="17"/>
        </w:rPr>
      </w:pPr>
    </w:p>
    <w:p>
      <w:pPr>
        <w:pStyle w:val="BodyText"/>
        <w:ind w:left="838"/>
      </w:pPr>
      <w:r>
        <w:rPr/>
        <w:t>检查数量：按风管系统类别和材质分别抽查，不应少于 3 件及 15 m</w:t>
      </w:r>
      <w:r>
        <w:rPr>
          <w:position w:val="11"/>
          <w:sz w:val="11"/>
        </w:rPr>
        <w:t>2</w:t>
      </w:r>
      <w:r>
        <w:rPr/>
        <w:t>。 </w:t>
      </w:r>
    </w:p>
    <w:p>
      <w:pPr>
        <w:pStyle w:val="BodyText"/>
        <w:spacing w:before="12"/>
        <w:rPr>
          <w:sz w:val="17"/>
        </w:rPr>
      </w:pPr>
    </w:p>
    <w:p>
      <w:pPr>
        <w:pStyle w:val="BodyText"/>
        <w:spacing w:line="446" w:lineRule="auto"/>
        <w:ind w:left="418" w:right="1609" w:firstLine="419"/>
      </w:pPr>
      <w:r>
        <w:rPr/>
        <w:t>检查方法：检查产品合格证明文件和测试报告或进行测试。系统的强度和漏风量测试方法按现行行业标准《通风管道技术规程》JGJ/T 141 的有关规定执行。 </w:t>
      </w:r>
    </w:p>
    <w:p>
      <w:pPr>
        <w:pStyle w:val="ListParagraph"/>
        <w:numPr>
          <w:ilvl w:val="2"/>
          <w:numId w:val="885"/>
        </w:numPr>
        <w:tabs>
          <w:tab w:pos="1370" w:val="left" w:leader="none"/>
        </w:tabs>
        <w:spacing w:line="240" w:lineRule="auto" w:before="0" w:after="0"/>
        <w:ind w:left="1369" w:right="0" w:hanging="530"/>
        <w:jc w:val="left"/>
        <w:rPr>
          <w:sz w:val="21"/>
        </w:rPr>
      </w:pPr>
      <w:r>
        <w:rPr>
          <w:spacing w:val="-3"/>
          <w:sz w:val="21"/>
        </w:rPr>
        <w:t>风管的安装应符合下列规定：</w:t>
      </w:r>
      <w:r>
        <w:rPr>
          <w:sz w:val="21"/>
        </w:rPr>
        <w:t> </w:t>
      </w:r>
    </w:p>
    <w:p>
      <w:pPr>
        <w:pStyle w:val="BodyText"/>
        <w:spacing w:before="12"/>
        <w:rPr>
          <w:sz w:val="17"/>
        </w:rPr>
      </w:pPr>
    </w:p>
    <w:p>
      <w:pPr>
        <w:pStyle w:val="BodyText"/>
        <w:spacing w:line="446" w:lineRule="auto"/>
        <w:ind w:left="418" w:right="1609" w:firstLine="419"/>
      </w:pPr>
      <w:r>
        <w:rPr/>
        <w:t>风管的规格、安装位置、标高、走向应符合设计要求，且现场风管的安装不得缩小接口的有效截面。 </w:t>
      </w:r>
    </w:p>
    <w:p>
      <w:pPr>
        <w:pStyle w:val="BodyText"/>
        <w:spacing w:line="446" w:lineRule="auto" w:before="1"/>
        <w:ind w:left="418" w:right="1498" w:firstLine="419"/>
      </w:pPr>
      <w:r>
        <w:rPr/>
        <w:t>风管接口的连接应严密、牢固，垫片厚度不应小于 3 mm，不应凸入管内和法兰外；排烟风管法兰垫片应为不燃材料，薄钢板法兰风管应采用螺栓连接。 </w:t>
      </w:r>
    </w:p>
    <w:p>
      <w:pPr>
        <w:pStyle w:val="BodyText"/>
        <w:spacing w:line="446" w:lineRule="auto"/>
        <w:ind w:left="418" w:right="1497" w:firstLine="419"/>
      </w:pPr>
      <w:r>
        <w:rPr/>
        <w:t>风管吊、支架的安装应按现行国家标准《通风与空调工程施工质量验收规范》GB 50243 的有关规定执行。 </w:t>
      </w:r>
      <w:r>
        <w:rPr>
          <w:w w:val="100"/>
        </w:rPr>
        <w:t> </w:t>
      </w:r>
    </w:p>
    <w:p>
      <w:pPr>
        <w:pStyle w:val="BodyText"/>
        <w:spacing w:line="446" w:lineRule="auto"/>
        <w:ind w:left="418" w:right="1817" w:firstLine="419"/>
      </w:pPr>
      <w:r>
        <w:rPr/>
        <w:t>风管与风机的连接宜采用法兰连接，或采用不燃材料的柔性短管连接。当风机仅用于防烟、排烟时，不宜采用柔性连接。 </w:t>
      </w:r>
    </w:p>
    <w:p>
      <w:pPr>
        <w:pStyle w:val="BodyText"/>
        <w:ind w:left="838"/>
      </w:pPr>
      <w:r>
        <w:rPr/>
        <w:t>风管与风机连接若有转弯处宜加装导流叶片，保证气流顺畅。 </w:t>
      </w:r>
    </w:p>
    <w:p>
      <w:pPr>
        <w:pStyle w:val="BodyText"/>
        <w:spacing w:before="10"/>
        <w:rPr>
          <w:sz w:val="17"/>
        </w:rPr>
      </w:pPr>
    </w:p>
    <w:p>
      <w:pPr>
        <w:pStyle w:val="BodyText"/>
        <w:spacing w:line="446" w:lineRule="auto"/>
        <w:ind w:left="838" w:right="1505"/>
      </w:pPr>
      <w:r>
        <w:rPr>
          <w:spacing w:val="-3"/>
        </w:rPr>
        <w:t>当风管穿越隔墙或楼板时，风管与隔墙之间的空隙应采用水泥砂浆等不燃材料严密填塞。</w:t>
      </w:r>
      <w:r>
        <w:rPr>
          <w:spacing w:val="-5"/>
        </w:rPr>
        <w:t>吊顶内的排烟管道应采用不燃材料隔热，并应与可燃物保持不小于 </w:t>
      </w:r>
      <w:r>
        <w:rPr/>
        <w:t>150mm</w:t>
      </w:r>
      <w:r>
        <w:rPr>
          <w:spacing w:val="-12"/>
        </w:rPr>
        <w:t> 的距离。 </w:t>
      </w:r>
    </w:p>
    <w:p>
      <w:pPr>
        <w:pStyle w:val="BodyText"/>
        <w:ind w:left="838"/>
      </w:pPr>
      <w:r>
        <w:rPr/>
        <w:t>检查数量：各系统按不小于 30%检查。 </w:t>
      </w:r>
    </w:p>
    <w:p>
      <w:pPr>
        <w:pStyle w:val="BodyText"/>
        <w:spacing w:before="12"/>
        <w:rPr>
          <w:sz w:val="17"/>
        </w:rPr>
      </w:pPr>
    </w:p>
    <w:p>
      <w:pPr>
        <w:pStyle w:val="BodyText"/>
        <w:ind w:left="838"/>
      </w:pPr>
      <w:r>
        <w:rPr/>
        <w:t>检查方法：核对材料，尺量检查、直观检查。 </w:t>
      </w:r>
    </w:p>
    <w:p>
      <w:pPr>
        <w:pStyle w:val="BodyText"/>
        <w:rPr>
          <w:sz w:val="18"/>
        </w:rPr>
      </w:pPr>
    </w:p>
    <w:p>
      <w:pPr>
        <w:pStyle w:val="ListParagraph"/>
        <w:numPr>
          <w:ilvl w:val="2"/>
          <w:numId w:val="885"/>
        </w:numPr>
        <w:tabs>
          <w:tab w:pos="1370" w:val="left" w:leader="none"/>
        </w:tabs>
        <w:spacing w:line="446" w:lineRule="auto" w:before="0" w:after="0"/>
        <w:ind w:left="418" w:right="1604" w:firstLine="422"/>
        <w:jc w:val="left"/>
        <w:rPr>
          <w:sz w:val="21"/>
        </w:rPr>
      </w:pPr>
      <w:r>
        <w:rPr>
          <w:spacing w:val="-2"/>
          <w:sz w:val="21"/>
        </w:rPr>
        <w:t>风管</w:t>
      </w:r>
      <w:r>
        <w:rPr>
          <w:spacing w:val="-3"/>
          <w:sz w:val="21"/>
        </w:rPr>
        <w:t>（</w:t>
      </w:r>
      <w:r>
        <w:rPr>
          <w:sz w:val="21"/>
        </w:rPr>
        <w:t>道</w:t>
      </w:r>
      <w:r>
        <w:rPr>
          <w:spacing w:val="-3"/>
          <w:sz w:val="21"/>
        </w:rPr>
        <w:t>）系统安装完毕后，应按系统类别进行严密性检验，检验应以主、干管道</w:t>
      </w:r>
      <w:r>
        <w:rPr>
          <w:spacing w:val="-6"/>
          <w:sz w:val="21"/>
        </w:rPr>
        <w:t>为主，漏风量应符合设计与本标准第 </w:t>
      </w:r>
      <w:r>
        <w:rPr>
          <w:sz w:val="21"/>
        </w:rPr>
        <w:t>6.3.3</w:t>
      </w:r>
      <w:r>
        <w:rPr>
          <w:spacing w:val="-11"/>
          <w:sz w:val="21"/>
        </w:rPr>
        <w:t> 条的规定。</w:t>
      </w:r>
      <w:r>
        <w:rPr>
          <w:sz w:val="21"/>
        </w:rPr>
        <w:t> </w:t>
      </w:r>
    </w:p>
    <w:p>
      <w:pPr>
        <w:pStyle w:val="BodyText"/>
        <w:ind w:left="838"/>
      </w:pPr>
      <w:r>
        <w:rPr/>
        <w:t>检查数量：按系统不小于 30%检查，且不应少于 1 个系统。 </w:t>
      </w:r>
    </w:p>
    <w:p>
      <w:pPr>
        <w:spacing w:after="0"/>
        <w:sectPr>
          <w:pgSz w:w="11910" w:h="16850"/>
          <w:pgMar w:header="0" w:footer="1239" w:top="1120" w:bottom="1420" w:left="1260" w:right="0"/>
        </w:sectPr>
      </w:pPr>
    </w:p>
    <w:p>
      <w:pPr>
        <w:pStyle w:val="BodyText"/>
        <w:spacing w:before="47"/>
        <w:ind w:left="838"/>
      </w:pPr>
      <w:r>
        <w:rPr/>
        <w:t>检查方法：系统的严密性检验测试按现行国家标准《通风与空调工程施工质量验收规范》</w:t>
      </w:r>
    </w:p>
    <w:p>
      <w:pPr>
        <w:pStyle w:val="BodyText"/>
        <w:rPr>
          <w:sz w:val="18"/>
        </w:rPr>
      </w:pPr>
    </w:p>
    <w:p>
      <w:pPr>
        <w:pStyle w:val="BodyText"/>
        <w:spacing w:line="446" w:lineRule="auto"/>
        <w:ind w:left="840" w:right="7547" w:hanging="423"/>
      </w:pPr>
      <w:r>
        <w:rPr/>
        <w:t>GB 50243 的有关规定执行。</w:t>
      </w:r>
      <w:r>
        <w:rPr>
          <w:b/>
        </w:rPr>
        <w:t>6.4 </w:t>
      </w:r>
      <w:r>
        <w:rPr/>
        <w:t>部件安装 </w:t>
      </w:r>
    </w:p>
    <w:p>
      <w:pPr>
        <w:pStyle w:val="ListParagraph"/>
        <w:numPr>
          <w:ilvl w:val="2"/>
          <w:numId w:val="887"/>
        </w:numPr>
        <w:tabs>
          <w:tab w:pos="1370" w:val="left" w:leader="none"/>
        </w:tabs>
        <w:spacing w:line="240" w:lineRule="auto" w:before="0" w:after="0"/>
        <w:ind w:left="1369" w:right="0" w:hanging="530"/>
        <w:jc w:val="left"/>
        <w:rPr>
          <w:sz w:val="21"/>
        </w:rPr>
      </w:pPr>
      <w:r>
        <w:rPr>
          <w:spacing w:val="-3"/>
          <w:sz w:val="21"/>
        </w:rPr>
        <w:t>排烟防火阀的安装应符合下列规定：</w:t>
      </w:r>
      <w:r>
        <w:rPr>
          <w:sz w:val="21"/>
        </w:rPr>
        <w:t> </w:t>
      </w:r>
    </w:p>
    <w:p>
      <w:pPr>
        <w:pStyle w:val="BodyText"/>
        <w:spacing w:before="12"/>
        <w:rPr>
          <w:sz w:val="17"/>
        </w:rPr>
      </w:pPr>
    </w:p>
    <w:p>
      <w:pPr>
        <w:pStyle w:val="BodyText"/>
        <w:ind w:left="838"/>
      </w:pPr>
      <w:r>
        <w:rPr/>
        <w:t>型号、规格及安装的方向、位置应符合设计要求； </w:t>
      </w:r>
    </w:p>
    <w:p>
      <w:pPr>
        <w:pStyle w:val="BodyText"/>
        <w:rPr>
          <w:sz w:val="18"/>
        </w:rPr>
      </w:pPr>
    </w:p>
    <w:p>
      <w:pPr>
        <w:pStyle w:val="BodyText"/>
        <w:ind w:left="838"/>
      </w:pPr>
      <w:r>
        <w:rPr/>
        <w:t>阀门应顺气流方向关闭，防火分区隔墙两侧的排烟防火阀距墙端面不应大于 200mm； </w:t>
      </w:r>
    </w:p>
    <w:p>
      <w:pPr>
        <w:pStyle w:val="BodyText"/>
        <w:spacing w:before="2"/>
        <w:rPr>
          <w:sz w:val="18"/>
        </w:rPr>
      </w:pPr>
    </w:p>
    <w:p>
      <w:pPr>
        <w:pStyle w:val="BodyText"/>
        <w:ind w:left="838"/>
      </w:pPr>
      <w:r>
        <w:rPr/>
        <w:t>手动和电动装置应灵活、可靠，阀门关闭严密； </w:t>
      </w:r>
    </w:p>
    <w:p>
      <w:pPr>
        <w:pStyle w:val="BodyText"/>
        <w:rPr>
          <w:sz w:val="18"/>
        </w:rPr>
      </w:pPr>
    </w:p>
    <w:p>
      <w:pPr>
        <w:pStyle w:val="BodyText"/>
        <w:spacing w:line="446" w:lineRule="auto"/>
        <w:ind w:left="838" w:right="1925"/>
      </w:pPr>
      <w:r>
        <w:rPr>
          <w:spacing w:val="-3"/>
        </w:rPr>
        <w:t>应设独立的支、吊架，当风管采用不燃材料防火隔热时，阀门安装处应有明显标识。</w:t>
      </w:r>
      <w:r>
        <w:rPr>
          <w:spacing w:val="-7"/>
        </w:rPr>
        <w:t>检查数量：各系统按不小于 </w:t>
      </w:r>
      <w:r>
        <w:rPr/>
        <w:t>30</w:t>
      </w:r>
      <w:r>
        <w:rPr>
          <w:spacing w:val="-2"/>
        </w:rPr>
        <w:t>%检查。</w:t>
      </w:r>
      <w:r>
        <w:rPr/>
        <w:t> </w:t>
      </w:r>
    </w:p>
    <w:p>
      <w:pPr>
        <w:pStyle w:val="BodyText"/>
        <w:ind w:left="838"/>
      </w:pPr>
      <w:r>
        <w:rPr/>
        <w:t>检查方法：尺量检查、直观检查及动作检查。 </w:t>
      </w:r>
    </w:p>
    <w:p>
      <w:pPr>
        <w:pStyle w:val="BodyText"/>
        <w:spacing w:before="12"/>
        <w:rPr>
          <w:sz w:val="17"/>
        </w:rPr>
      </w:pPr>
    </w:p>
    <w:p>
      <w:pPr>
        <w:pStyle w:val="ListParagraph"/>
        <w:numPr>
          <w:ilvl w:val="2"/>
          <w:numId w:val="887"/>
        </w:numPr>
        <w:tabs>
          <w:tab w:pos="1371" w:val="left" w:leader="none"/>
        </w:tabs>
        <w:spacing w:line="446" w:lineRule="auto" w:before="0" w:after="0"/>
        <w:ind w:left="418" w:right="1604" w:firstLine="422"/>
        <w:jc w:val="left"/>
        <w:rPr>
          <w:sz w:val="21"/>
        </w:rPr>
      </w:pPr>
      <w:r>
        <w:rPr>
          <w:spacing w:val="-3"/>
          <w:sz w:val="21"/>
        </w:rPr>
        <w:t>送风口、排烟阀或排烟口的安装位置应符合标准和设计要求，并应固定牢靠，表面</w:t>
      </w:r>
      <w:r>
        <w:rPr>
          <w:spacing w:val="-5"/>
          <w:sz w:val="21"/>
        </w:rPr>
        <w:t>平整、不变形，调节灵活；排烟口距可燃物或可燃构件的距离不应小于 </w:t>
      </w:r>
      <w:r>
        <w:rPr>
          <w:sz w:val="21"/>
        </w:rPr>
        <w:t>1.5m。 </w:t>
      </w:r>
    </w:p>
    <w:p>
      <w:pPr>
        <w:pStyle w:val="BodyText"/>
        <w:ind w:left="838"/>
      </w:pPr>
      <w:r>
        <w:rPr/>
        <w:t>检查数量：各系统按不小于 30%检查。 </w:t>
      </w:r>
    </w:p>
    <w:p>
      <w:pPr>
        <w:pStyle w:val="BodyText"/>
        <w:rPr>
          <w:sz w:val="18"/>
        </w:rPr>
      </w:pPr>
    </w:p>
    <w:p>
      <w:pPr>
        <w:pStyle w:val="BodyText"/>
        <w:ind w:left="838"/>
      </w:pPr>
      <w:r>
        <w:rPr/>
        <w:t>检查方法：尺量检查、直观检查。 </w:t>
      </w:r>
    </w:p>
    <w:p>
      <w:pPr>
        <w:pStyle w:val="BodyText"/>
        <w:spacing w:before="12"/>
        <w:rPr>
          <w:sz w:val="17"/>
        </w:rPr>
      </w:pPr>
    </w:p>
    <w:p>
      <w:pPr>
        <w:pStyle w:val="ListParagraph"/>
        <w:numPr>
          <w:ilvl w:val="2"/>
          <w:numId w:val="887"/>
        </w:numPr>
        <w:tabs>
          <w:tab w:pos="1370" w:val="left" w:leader="none"/>
        </w:tabs>
        <w:spacing w:line="240" w:lineRule="auto" w:before="0" w:after="0"/>
        <w:ind w:left="1369" w:right="0" w:hanging="530"/>
        <w:jc w:val="left"/>
        <w:rPr>
          <w:sz w:val="21"/>
        </w:rPr>
      </w:pPr>
      <w:r>
        <w:rPr>
          <w:spacing w:val="-3"/>
          <w:sz w:val="21"/>
        </w:rPr>
        <w:t>常闭送风口、排烟阀或排烟口的手动驱动装置应固定安装在明显可见、距楼地面</w:t>
      </w:r>
    </w:p>
    <w:p>
      <w:pPr>
        <w:pStyle w:val="BodyText"/>
        <w:spacing w:before="2"/>
        <w:rPr>
          <w:sz w:val="18"/>
        </w:rPr>
      </w:pPr>
    </w:p>
    <w:p>
      <w:pPr>
        <w:pStyle w:val="BodyText"/>
        <w:spacing w:line="446" w:lineRule="auto"/>
        <w:ind w:left="838" w:right="1767" w:hanging="420"/>
      </w:pPr>
      <w:r>
        <w:rPr/>
        <w:t>1.3～1.5m</w:t>
      </w:r>
      <w:r>
        <w:rPr>
          <w:spacing w:val="-8"/>
        </w:rPr>
        <w:t> 之间便于操作的位置，预埋套管不得有死弯及瘪陷，手动驱动装置操作应灵活。</w:t>
      </w:r>
      <w:r>
        <w:rPr>
          <w:spacing w:val="-9"/>
        </w:rPr>
        <w:t>检查数量：各系统按不小于 </w:t>
      </w:r>
      <w:r>
        <w:rPr/>
        <w:t>30</w:t>
      </w:r>
      <w:r>
        <w:rPr>
          <w:spacing w:val="-2"/>
        </w:rPr>
        <w:t>%检查。</w:t>
      </w:r>
      <w:r>
        <w:rPr/>
        <w:t> </w:t>
      </w:r>
    </w:p>
    <w:p>
      <w:pPr>
        <w:pStyle w:val="BodyText"/>
        <w:spacing w:line="446" w:lineRule="auto"/>
        <w:ind w:left="840" w:right="5497" w:hanging="3"/>
      </w:pPr>
      <w:r>
        <w:rPr/>
        <w:t>检查方法：尺量检查、直观检查及操作检查。</w:t>
      </w:r>
      <w:r>
        <w:rPr>
          <w:b/>
        </w:rPr>
        <w:t>6.4.4 </w:t>
      </w:r>
      <w:r>
        <w:rPr/>
        <w:t>挡烟垂壁的安装应符合下列规定： </w:t>
      </w:r>
    </w:p>
    <w:p>
      <w:pPr>
        <w:pStyle w:val="BodyText"/>
        <w:ind w:left="838"/>
      </w:pPr>
      <w:r>
        <w:rPr/>
        <w:t>型号、规格、下垂的长度和安装位置应符合设计要求； </w:t>
      </w:r>
    </w:p>
    <w:p>
      <w:pPr>
        <w:pStyle w:val="BodyText"/>
        <w:spacing w:before="10"/>
        <w:rPr>
          <w:sz w:val="17"/>
        </w:rPr>
      </w:pPr>
    </w:p>
    <w:p>
      <w:pPr>
        <w:pStyle w:val="BodyText"/>
        <w:spacing w:line="446" w:lineRule="auto" w:before="1"/>
        <w:ind w:left="418" w:right="1498" w:firstLine="419"/>
      </w:pPr>
      <w:r>
        <w:rPr/>
        <w:t>活动挡烟垂壁与建筑结构（柱或墙）面的缝隙不应大于 60mm，由两块或两块以上的挡烟垂帘组成的连续性挡烟垂壁，各块之间不应有缝隙，搭接宽度不应小于 100mm； </w:t>
      </w:r>
    </w:p>
    <w:p>
      <w:pPr>
        <w:pStyle w:val="BodyText"/>
        <w:spacing w:line="446" w:lineRule="auto"/>
        <w:ind w:left="418" w:right="1609" w:firstLine="419"/>
      </w:pPr>
      <w:r>
        <w:rPr>
          <w:spacing w:val="-5"/>
        </w:rPr>
        <w:t>活动挡烟垂壁的手动操作按钮应固定安装在距楼地面 </w:t>
      </w:r>
      <w:r>
        <w:rPr/>
        <w:t>1.3m~1.5m</w:t>
      </w:r>
      <w:r>
        <w:rPr>
          <w:spacing w:val="-7"/>
        </w:rPr>
        <w:t> 之间便于操作、明显可见</w:t>
      </w:r>
      <w:r>
        <w:rPr>
          <w:spacing w:val="-5"/>
        </w:rPr>
        <w:t>处。</w:t>
      </w:r>
      <w:r>
        <w:rPr/>
        <w:t> </w:t>
      </w:r>
    </w:p>
    <w:p>
      <w:pPr>
        <w:pStyle w:val="BodyText"/>
        <w:ind w:left="838"/>
      </w:pPr>
      <w:r>
        <w:rPr/>
        <w:t>检查数量：全数检查。 </w:t>
      </w:r>
    </w:p>
    <w:p>
      <w:pPr>
        <w:pStyle w:val="BodyText"/>
        <w:spacing w:before="12"/>
        <w:rPr>
          <w:sz w:val="17"/>
        </w:rPr>
      </w:pPr>
    </w:p>
    <w:p>
      <w:pPr>
        <w:pStyle w:val="BodyText"/>
        <w:spacing w:line="446" w:lineRule="auto"/>
        <w:ind w:left="840" w:right="4866" w:hanging="3"/>
      </w:pPr>
      <w:r>
        <w:rPr/>
        <w:t>检查方法：依据设计图核对，尺量检查、动作检查。</w:t>
      </w:r>
      <w:r>
        <w:rPr>
          <w:b/>
        </w:rPr>
        <w:t>6.4.5 </w:t>
      </w:r>
      <w:r>
        <w:rPr/>
        <w:t>排烟窗的安装应符合下列规定： </w:t>
      </w:r>
    </w:p>
    <w:p>
      <w:pPr>
        <w:pStyle w:val="BodyText"/>
        <w:ind w:left="838"/>
      </w:pPr>
      <w:r>
        <w:rPr/>
        <w:t>型号、规格和安装位置应符合设计要求； </w:t>
      </w:r>
    </w:p>
    <w:p>
      <w:pPr>
        <w:spacing w:after="0"/>
        <w:sectPr>
          <w:pgSz w:w="11910" w:h="16850"/>
          <w:pgMar w:header="0" w:footer="1239" w:top="1220" w:bottom="1420" w:left="1260" w:right="0"/>
        </w:sectPr>
      </w:pPr>
    </w:p>
    <w:p>
      <w:pPr>
        <w:pStyle w:val="BodyText"/>
        <w:spacing w:before="47"/>
        <w:ind w:left="838"/>
      </w:pPr>
      <w:r>
        <w:rPr/>
        <w:t>安装应牢固、可靠，符合有关门窗施工验收规范要求，并应开启、关闭灵活； </w:t>
      </w:r>
    </w:p>
    <w:p>
      <w:pPr>
        <w:pStyle w:val="BodyText"/>
        <w:rPr>
          <w:sz w:val="18"/>
        </w:rPr>
      </w:pPr>
    </w:p>
    <w:p>
      <w:pPr>
        <w:pStyle w:val="BodyText"/>
        <w:spacing w:line="446" w:lineRule="auto"/>
        <w:ind w:left="838" w:right="1508"/>
      </w:pPr>
      <w:r>
        <w:rPr>
          <w:spacing w:val="-6"/>
        </w:rPr>
        <w:t>手动开启机构或按钮应固定安装在距楼地面 </w:t>
      </w:r>
      <w:r>
        <w:rPr/>
        <w:t>1.3～1.5m</w:t>
      </w:r>
      <w:r>
        <w:rPr>
          <w:spacing w:val="-8"/>
        </w:rPr>
        <w:t> 之间，并应便于操作、明显可见； </w:t>
      </w:r>
      <w:r>
        <w:rPr>
          <w:spacing w:val="-3"/>
        </w:rPr>
        <w:t>自动排烟窗驱动装置的安装应符合设计和产品技术文件要求，并应灵活、可靠。 </w:t>
      </w:r>
    </w:p>
    <w:p>
      <w:pPr>
        <w:pStyle w:val="BodyText"/>
        <w:ind w:left="838"/>
      </w:pPr>
      <w:r>
        <w:rPr/>
        <w:t>检查数量：全数检查。 </w:t>
      </w:r>
    </w:p>
    <w:p>
      <w:pPr>
        <w:pStyle w:val="BodyText"/>
        <w:spacing w:before="12"/>
        <w:rPr>
          <w:sz w:val="17"/>
        </w:rPr>
      </w:pPr>
    </w:p>
    <w:p>
      <w:pPr>
        <w:pStyle w:val="BodyText"/>
        <w:ind w:left="838"/>
      </w:pPr>
      <w:r>
        <w:rPr/>
        <w:t>检查方法：依据设计图核对，操作检查、动作检查。6.5 风机安装 </w:t>
      </w:r>
    </w:p>
    <w:p>
      <w:pPr>
        <w:pStyle w:val="BodyText"/>
        <w:rPr>
          <w:sz w:val="18"/>
        </w:rPr>
      </w:pPr>
    </w:p>
    <w:p>
      <w:pPr>
        <w:pStyle w:val="ListParagraph"/>
        <w:numPr>
          <w:ilvl w:val="2"/>
          <w:numId w:val="888"/>
        </w:numPr>
        <w:tabs>
          <w:tab w:pos="1371" w:val="left" w:leader="none"/>
        </w:tabs>
        <w:spacing w:line="446" w:lineRule="auto" w:before="0" w:after="0"/>
        <w:ind w:left="418" w:right="1604" w:firstLine="422"/>
        <w:jc w:val="left"/>
        <w:rPr>
          <w:sz w:val="21"/>
        </w:rPr>
      </w:pPr>
      <w:r>
        <w:rPr>
          <w:spacing w:val="-3"/>
          <w:sz w:val="21"/>
        </w:rPr>
        <w:t>风机的型号、规格应符合设计规定，其出口方向应正确，排烟风机的出口与加压送</w:t>
      </w:r>
      <w:r>
        <w:rPr>
          <w:spacing w:val="-6"/>
          <w:sz w:val="21"/>
        </w:rPr>
        <w:t>风机的进口之间的距离应符合本标准第 </w:t>
      </w:r>
      <w:r>
        <w:rPr>
          <w:sz w:val="21"/>
        </w:rPr>
        <w:t>3.3.5</w:t>
      </w:r>
      <w:r>
        <w:rPr>
          <w:spacing w:val="-11"/>
          <w:sz w:val="21"/>
        </w:rPr>
        <w:t> 条的规定。</w:t>
      </w:r>
      <w:r>
        <w:rPr>
          <w:sz w:val="21"/>
        </w:rPr>
        <w:t> </w:t>
      </w:r>
    </w:p>
    <w:p>
      <w:pPr>
        <w:pStyle w:val="BodyText"/>
        <w:ind w:left="838"/>
      </w:pPr>
      <w:r>
        <w:rPr/>
        <w:t>检查数量：全数检查。 </w:t>
      </w:r>
    </w:p>
    <w:p>
      <w:pPr>
        <w:pStyle w:val="BodyText"/>
        <w:rPr>
          <w:sz w:val="18"/>
        </w:rPr>
      </w:pPr>
    </w:p>
    <w:p>
      <w:pPr>
        <w:pStyle w:val="BodyText"/>
        <w:ind w:left="838"/>
      </w:pPr>
      <w:r>
        <w:rPr/>
        <w:t>检查方法：依据设计图核对、直观检查。 </w:t>
      </w:r>
    </w:p>
    <w:p>
      <w:pPr>
        <w:pStyle w:val="BodyText"/>
        <w:spacing w:before="2"/>
        <w:rPr>
          <w:sz w:val="18"/>
        </w:rPr>
      </w:pPr>
    </w:p>
    <w:p>
      <w:pPr>
        <w:pStyle w:val="ListParagraph"/>
        <w:numPr>
          <w:ilvl w:val="2"/>
          <w:numId w:val="888"/>
        </w:numPr>
        <w:tabs>
          <w:tab w:pos="1370" w:val="left" w:leader="none"/>
        </w:tabs>
        <w:spacing w:line="240" w:lineRule="auto" w:before="0" w:after="0"/>
        <w:ind w:left="1369" w:right="0" w:hanging="530"/>
        <w:jc w:val="left"/>
        <w:rPr>
          <w:sz w:val="21"/>
        </w:rPr>
      </w:pPr>
      <w:r>
        <w:rPr>
          <w:spacing w:val="-6"/>
          <w:sz w:val="21"/>
        </w:rPr>
        <w:t>风机外壳至墙壁或其他设备的距离不应小于 </w:t>
      </w:r>
      <w:r>
        <w:rPr>
          <w:sz w:val="21"/>
        </w:rPr>
        <w:t>600mm</w:t>
      </w:r>
      <w:r>
        <w:rPr>
          <w:spacing w:val="-3"/>
          <w:sz w:val="21"/>
        </w:rPr>
        <w:t>。</w:t>
      </w:r>
      <w:r>
        <w:rPr>
          <w:sz w:val="21"/>
        </w:rPr>
        <w:t> </w:t>
      </w:r>
    </w:p>
    <w:p>
      <w:pPr>
        <w:pStyle w:val="BodyText"/>
        <w:spacing w:before="12"/>
        <w:rPr>
          <w:sz w:val="17"/>
        </w:rPr>
      </w:pPr>
    </w:p>
    <w:p>
      <w:pPr>
        <w:pStyle w:val="BodyText"/>
        <w:ind w:left="838"/>
      </w:pPr>
      <w:r>
        <w:rPr/>
        <w:t>检查数量：全数检查。 </w:t>
      </w:r>
    </w:p>
    <w:p>
      <w:pPr>
        <w:pStyle w:val="BodyText"/>
        <w:spacing w:before="12"/>
        <w:rPr>
          <w:sz w:val="17"/>
        </w:rPr>
      </w:pPr>
    </w:p>
    <w:p>
      <w:pPr>
        <w:pStyle w:val="BodyText"/>
        <w:spacing w:before="1"/>
        <w:ind w:left="838"/>
      </w:pPr>
      <w:r>
        <w:rPr/>
        <w:t>检查方法：依据设计图核对、直观检查。 </w:t>
      </w:r>
    </w:p>
    <w:p>
      <w:pPr>
        <w:pStyle w:val="BodyText"/>
        <w:spacing w:before="1"/>
        <w:rPr>
          <w:sz w:val="18"/>
        </w:rPr>
      </w:pPr>
    </w:p>
    <w:p>
      <w:pPr>
        <w:pStyle w:val="ListParagraph"/>
        <w:numPr>
          <w:ilvl w:val="2"/>
          <w:numId w:val="888"/>
        </w:numPr>
        <w:tabs>
          <w:tab w:pos="1371" w:val="left" w:leader="none"/>
        </w:tabs>
        <w:spacing w:line="446" w:lineRule="auto" w:before="0" w:after="0"/>
        <w:ind w:left="418" w:right="1604" w:firstLine="422"/>
        <w:jc w:val="left"/>
        <w:rPr>
          <w:sz w:val="21"/>
        </w:rPr>
      </w:pPr>
      <w:r>
        <w:rPr>
          <w:spacing w:val="-3"/>
          <w:sz w:val="21"/>
        </w:rPr>
        <w:t>风机应设在混凝土或钢架基础上，且不应设置减振装置；若排烟系统与通风空调系统共用且需要设置减振装置时，不应使用橡胶减振装置。</w:t>
      </w:r>
      <w:r>
        <w:rPr>
          <w:sz w:val="21"/>
        </w:rPr>
        <w:t> </w:t>
      </w:r>
    </w:p>
    <w:p>
      <w:pPr>
        <w:pStyle w:val="BodyText"/>
        <w:spacing w:line="267" w:lineRule="exact"/>
        <w:ind w:left="838"/>
      </w:pPr>
      <w:r>
        <w:rPr/>
        <w:t>检查数量：全数检查。 </w:t>
      </w:r>
    </w:p>
    <w:p>
      <w:pPr>
        <w:pStyle w:val="BodyText"/>
        <w:spacing w:before="2"/>
        <w:rPr>
          <w:sz w:val="18"/>
        </w:rPr>
      </w:pPr>
    </w:p>
    <w:p>
      <w:pPr>
        <w:pStyle w:val="BodyText"/>
        <w:ind w:left="838"/>
      </w:pPr>
      <w:r>
        <w:rPr/>
        <w:t>检查方法：依据设计图核对、直观检查。 </w:t>
      </w:r>
    </w:p>
    <w:p>
      <w:pPr>
        <w:pStyle w:val="BodyText"/>
        <w:rPr>
          <w:sz w:val="18"/>
        </w:rPr>
      </w:pPr>
    </w:p>
    <w:p>
      <w:pPr>
        <w:pStyle w:val="ListParagraph"/>
        <w:numPr>
          <w:ilvl w:val="2"/>
          <w:numId w:val="888"/>
        </w:numPr>
        <w:tabs>
          <w:tab w:pos="1370" w:val="left" w:leader="none"/>
        </w:tabs>
        <w:spacing w:line="446" w:lineRule="auto" w:before="0" w:after="0"/>
        <w:ind w:left="418" w:right="1604" w:firstLine="422"/>
        <w:jc w:val="left"/>
        <w:rPr>
          <w:sz w:val="21"/>
        </w:rPr>
      </w:pPr>
      <w:r>
        <w:rPr>
          <w:spacing w:val="-3"/>
          <w:sz w:val="21"/>
        </w:rPr>
        <w:t>吊装风机的支、吊架应焊接牢固、安装可靠，其结构形式和外形尺寸应符合设计或设备技术文件要求。</w:t>
      </w:r>
      <w:r>
        <w:rPr>
          <w:sz w:val="21"/>
        </w:rPr>
        <w:t> </w:t>
      </w:r>
    </w:p>
    <w:p>
      <w:pPr>
        <w:pStyle w:val="BodyText"/>
        <w:ind w:left="838"/>
      </w:pPr>
      <w:r>
        <w:rPr/>
        <w:t>检查数量：全数检查。 </w:t>
      </w:r>
      <w:r>
        <w:rPr>
          <w:w w:val="100"/>
        </w:rPr>
        <w:t> </w:t>
      </w:r>
    </w:p>
    <w:p>
      <w:pPr>
        <w:pStyle w:val="BodyText"/>
        <w:rPr>
          <w:sz w:val="18"/>
        </w:rPr>
      </w:pPr>
    </w:p>
    <w:p>
      <w:pPr>
        <w:pStyle w:val="BodyText"/>
        <w:ind w:left="838"/>
      </w:pPr>
      <w:r>
        <w:rPr/>
        <w:t>检查方法：依据设计图核对、直观检查。 </w:t>
      </w:r>
    </w:p>
    <w:p>
      <w:pPr>
        <w:pStyle w:val="BodyText"/>
        <w:spacing w:before="12"/>
        <w:rPr>
          <w:sz w:val="17"/>
        </w:rPr>
      </w:pPr>
    </w:p>
    <w:p>
      <w:pPr>
        <w:pStyle w:val="ListParagraph"/>
        <w:numPr>
          <w:ilvl w:val="2"/>
          <w:numId w:val="888"/>
        </w:numPr>
        <w:tabs>
          <w:tab w:pos="1370" w:val="left" w:leader="none"/>
        </w:tabs>
        <w:spacing w:line="446" w:lineRule="auto" w:before="0" w:after="0"/>
        <w:ind w:left="418" w:right="1604" w:firstLine="422"/>
        <w:jc w:val="left"/>
        <w:rPr>
          <w:sz w:val="21"/>
        </w:rPr>
      </w:pPr>
      <w:r>
        <w:rPr>
          <w:spacing w:val="-3"/>
          <w:sz w:val="21"/>
        </w:rPr>
        <w:t>风机驱动装置的外露部位应装设防护罩；直通大气的进、出风口应装设防护网或采取其他安全设施，并应设防雨措施。</w:t>
      </w:r>
      <w:r>
        <w:rPr>
          <w:sz w:val="21"/>
        </w:rPr>
        <w:t> </w:t>
      </w:r>
    </w:p>
    <w:p>
      <w:pPr>
        <w:pStyle w:val="BodyText"/>
        <w:ind w:left="838"/>
      </w:pPr>
      <w:r>
        <w:rPr/>
        <w:t>检查数量：全数检查。 </w:t>
      </w:r>
    </w:p>
    <w:p>
      <w:pPr>
        <w:pStyle w:val="BodyText"/>
        <w:spacing w:before="12"/>
        <w:rPr>
          <w:sz w:val="17"/>
        </w:rPr>
      </w:pPr>
    </w:p>
    <w:p>
      <w:pPr>
        <w:pStyle w:val="BodyText"/>
        <w:ind w:left="838"/>
      </w:pPr>
      <w:r>
        <w:rPr/>
        <w:t>检查方法：依据设计图核对、直观检查。 </w:t>
      </w:r>
    </w:p>
    <w:p>
      <w:pPr>
        <w:pStyle w:val="BodyText"/>
        <w:spacing w:before="11"/>
        <w:rPr>
          <w:sz w:val="15"/>
        </w:rPr>
      </w:pPr>
    </w:p>
    <w:p>
      <w:pPr>
        <w:pStyle w:val="Heading4"/>
      </w:pPr>
      <w:r>
        <w:rPr/>
        <w:t>7 系统调试</w:t>
      </w:r>
      <w:r>
        <w:rPr>
          <w:w w:val="99"/>
        </w:rPr>
        <w:t> </w:t>
      </w:r>
    </w:p>
    <w:p>
      <w:pPr>
        <w:pStyle w:val="BodyText"/>
        <w:spacing w:before="4"/>
        <w:rPr>
          <w:b/>
          <w:sz w:val="17"/>
        </w:rPr>
      </w:pPr>
    </w:p>
    <w:p>
      <w:pPr>
        <w:pStyle w:val="ListParagraph"/>
        <w:numPr>
          <w:ilvl w:val="1"/>
          <w:numId w:val="889"/>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spacing w:before="12"/>
        <w:rPr>
          <w:sz w:val="17"/>
        </w:rPr>
      </w:pPr>
    </w:p>
    <w:p>
      <w:pPr>
        <w:pStyle w:val="ListParagraph"/>
        <w:numPr>
          <w:ilvl w:val="2"/>
          <w:numId w:val="889"/>
        </w:numPr>
        <w:tabs>
          <w:tab w:pos="1371" w:val="left" w:leader="none"/>
        </w:tabs>
        <w:spacing w:line="446" w:lineRule="auto" w:before="0" w:after="0"/>
        <w:ind w:left="418" w:right="1604" w:firstLine="422"/>
        <w:jc w:val="left"/>
        <w:rPr>
          <w:sz w:val="21"/>
        </w:rPr>
      </w:pPr>
      <w:r>
        <w:rPr>
          <w:spacing w:val="-3"/>
          <w:sz w:val="21"/>
        </w:rPr>
        <w:t>系统调试应在系统施工完成及与工程有关的火灾自动报警系统及联动控制设备调试合格后进行。</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889"/>
        </w:numPr>
        <w:tabs>
          <w:tab w:pos="1370" w:val="left" w:leader="none"/>
        </w:tabs>
        <w:spacing w:line="446" w:lineRule="auto" w:before="47" w:after="0"/>
        <w:ind w:left="418" w:right="1604" w:firstLine="422"/>
        <w:jc w:val="left"/>
        <w:rPr>
          <w:sz w:val="21"/>
        </w:rPr>
      </w:pPr>
      <w:r>
        <w:rPr>
          <w:spacing w:val="-3"/>
          <w:sz w:val="21"/>
        </w:rPr>
        <w:t>系统调试所使用的测试仪器和仪表，性能应稳定可靠，其精度等级及最小分度值应能满足测定的要求，并应符合国家有关计量法规及检定规程的规定。</w:t>
      </w:r>
      <w:r>
        <w:rPr>
          <w:sz w:val="21"/>
        </w:rPr>
        <w:t> </w:t>
      </w:r>
    </w:p>
    <w:p>
      <w:pPr>
        <w:pStyle w:val="ListParagraph"/>
        <w:numPr>
          <w:ilvl w:val="2"/>
          <w:numId w:val="889"/>
        </w:numPr>
        <w:tabs>
          <w:tab w:pos="1370" w:val="left" w:leader="none"/>
        </w:tabs>
        <w:spacing w:line="267" w:lineRule="exact" w:before="0" w:after="0"/>
        <w:ind w:left="1369" w:right="0" w:hanging="530"/>
        <w:jc w:val="left"/>
        <w:rPr>
          <w:sz w:val="21"/>
        </w:rPr>
      </w:pPr>
      <w:r>
        <w:rPr>
          <w:spacing w:val="-3"/>
          <w:sz w:val="21"/>
        </w:rPr>
        <w:t>系统调试应由施工单位负责、监理单位监督，设计单位与建设单位参与和配合。</w:t>
      </w:r>
      <w:r>
        <w:rPr>
          <w:sz w:val="21"/>
        </w:rPr>
        <w:t> </w:t>
      </w:r>
    </w:p>
    <w:p>
      <w:pPr>
        <w:pStyle w:val="BodyText"/>
        <w:spacing w:before="2"/>
        <w:rPr>
          <w:sz w:val="18"/>
        </w:rPr>
      </w:pPr>
    </w:p>
    <w:p>
      <w:pPr>
        <w:pStyle w:val="ListParagraph"/>
        <w:numPr>
          <w:ilvl w:val="2"/>
          <w:numId w:val="889"/>
        </w:numPr>
        <w:tabs>
          <w:tab w:pos="1371" w:val="left" w:leader="none"/>
        </w:tabs>
        <w:spacing w:line="446" w:lineRule="auto" w:before="0" w:after="0"/>
        <w:ind w:left="418" w:right="1604" w:firstLine="422"/>
        <w:jc w:val="left"/>
        <w:rPr>
          <w:sz w:val="21"/>
        </w:rPr>
      </w:pPr>
      <w:r>
        <w:rPr>
          <w:spacing w:val="-3"/>
          <w:sz w:val="21"/>
        </w:rPr>
        <w:t>系统调试前，施工单位应编制调试方案，报送专业监理工程师审核批准；调试结束后，必须提供完整的调试资料和报告。</w:t>
      </w:r>
      <w:r>
        <w:rPr>
          <w:sz w:val="21"/>
        </w:rPr>
        <w:t> </w:t>
      </w:r>
    </w:p>
    <w:p>
      <w:pPr>
        <w:pStyle w:val="ListParagraph"/>
        <w:numPr>
          <w:ilvl w:val="2"/>
          <w:numId w:val="889"/>
        </w:numPr>
        <w:tabs>
          <w:tab w:pos="1370" w:val="left" w:leader="none"/>
        </w:tabs>
        <w:spacing w:line="446" w:lineRule="auto" w:before="0" w:after="0"/>
        <w:ind w:left="418" w:right="1606" w:firstLine="422"/>
        <w:jc w:val="left"/>
        <w:rPr>
          <w:sz w:val="21"/>
        </w:rPr>
      </w:pPr>
      <w:r>
        <w:rPr>
          <w:spacing w:val="-5"/>
          <w:sz w:val="21"/>
        </w:rPr>
        <w:t>系统调试应包括设备单机调试和系统联动调试，并按本标准附录 </w:t>
      </w:r>
      <w:r>
        <w:rPr>
          <w:sz w:val="21"/>
        </w:rPr>
        <w:t>D</w:t>
      </w:r>
      <w:r>
        <w:rPr>
          <w:spacing w:val="2"/>
          <w:sz w:val="21"/>
        </w:rPr>
        <w:t> 表</w:t>
      </w:r>
      <w:r>
        <w:rPr>
          <w:sz w:val="21"/>
        </w:rPr>
        <w:t>D-4</w:t>
      </w:r>
      <w:r>
        <w:rPr>
          <w:spacing w:val="-11"/>
          <w:sz w:val="21"/>
        </w:rPr>
        <w:t> 填写调试</w:t>
      </w:r>
      <w:r>
        <w:rPr>
          <w:spacing w:val="-9"/>
          <w:sz w:val="21"/>
        </w:rPr>
        <w:t>记录。</w:t>
      </w:r>
      <w:r>
        <w:rPr>
          <w:sz w:val="21"/>
        </w:rPr>
        <w:t> </w:t>
      </w:r>
    </w:p>
    <w:p>
      <w:pPr>
        <w:pStyle w:val="ListParagraph"/>
        <w:numPr>
          <w:ilvl w:val="1"/>
          <w:numId w:val="889"/>
        </w:numPr>
        <w:tabs>
          <w:tab w:pos="1159" w:val="left" w:leader="none"/>
        </w:tabs>
        <w:spacing w:line="240" w:lineRule="auto" w:before="0" w:after="0"/>
        <w:ind w:left="1158" w:right="0" w:hanging="319"/>
        <w:jc w:val="left"/>
        <w:rPr>
          <w:b/>
          <w:sz w:val="21"/>
        </w:rPr>
      </w:pPr>
      <w:r>
        <w:rPr>
          <w:spacing w:val="-3"/>
          <w:sz w:val="21"/>
        </w:rPr>
        <w:t>单机调试</w:t>
      </w:r>
      <w:r>
        <w:rPr>
          <w:b/>
          <w:w w:val="99"/>
          <w:sz w:val="21"/>
        </w:rPr>
        <w:t> </w:t>
      </w:r>
    </w:p>
    <w:p>
      <w:pPr>
        <w:pStyle w:val="BodyText"/>
        <w:spacing w:before="10"/>
        <w:rPr>
          <w:b/>
          <w:sz w:val="17"/>
        </w:rPr>
      </w:pPr>
    </w:p>
    <w:p>
      <w:pPr>
        <w:pStyle w:val="ListParagraph"/>
        <w:numPr>
          <w:ilvl w:val="2"/>
          <w:numId w:val="889"/>
        </w:numPr>
        <w:tabs>
          <w:tab w:pos="1371" w:val="left" w:leader="none"/>
        </w:tabs>
        <w:spacing w:line="446" w:lineRule="auto" w:before="1" w:after="0"/>
        <w:ind w:left="838" w:right="1503" w:firstLine="2"/>
        <w:jc w:val="left"/>
        <w:rPr>
          <w:b/>
          <w:sz w:val="21"/>
        </w:rPr>
      </w:pPr>
      <w:r>
        <w:rPr>
          <w:spacing w:val="-5"/>
          <w:sz w:val="21"/>
        </w:rPr>
        <w:t>排烟防火阀的调试方法及要求应符合下列规定，并应按附录 </w:t>
      </w:r>
      <w:r>
        <w:rPr>
          <w:sz w:val="21"/>
        </w:rPr>
        <w:t>D</w:t>
      </w:r>
      <w:r>
        <w:rPr>
          <w:spacing w:val="-20"/>
          <w:sz w:val="21"/>
        </w:rPr>
        <w:t> 中表 </w:t>
      </w:r>
      <w:r>
        <w:rPr>
          <w:sz w:val="21"/>
        </w:rPr>
        <w:t>D-4</w:t>
      </w:r>
      <w:r>
        <w:rPr>
          <w:spacing w:val="-9"/>
          <w:sz w:val="21"/>
        </w:rPr>
        <w:t> 填写记录： </w:t>
      </w:r>
      <w:r>
        <w:rPr>
          <w:spacing w:val="-3"/>
          <w:sz w:val="21"/>
        </w:rPr>
        <w:t>进行手动关闭、复位试验，阀门动作应灵敏、可靠，关闭应严密；</w:t>
      </w:r>
      <w:r>
        <w:rPr>
          <w:b/>
          <w:w w:val="99"/>
          <w:sz w:val="21"/>
        </w:rPr>
        <w:t> </w:t>
      </w:r>
    </w:p>
    <w:p>
      <w:pPr>
        <w:pStyle w:val="BodyText"/>
        <w:spacing w:line="446" w:lineRule="auto"/>
        <w:ind w:left="838" w:right="1714"/>
        <w:rPr>
          <w:b/>
        </w:rPr>
      </w:pPr>
      <w:r>
        <w:rPr>
          <w:spacing w:val="-3"/>
        </w:rPr>
        <w:t>模拟火灾，相应区域火灾报警后，同一防火分区内排烟管道上的其他阀门应联动关闭； 阀门关闭后的状态信号应能反馈到消防控制室；</w:t>
      </w:r>
      <w:r>
        <w:rPr>
          <w:b/>
          <w:w w:val="99"/>
        </w:rPr>
        <w:t> </w:t>
      </w:r>
    </w:p>
    <w:p>
      <w:pPr>
        <w:pStyle w:val="BodyText"/>
        <w:spacing w:line="446" w:lineRule="auto"/>
        <w:ind w:left="838" w:right="6129"/>
      </w:pPr>
      <w:r>
        <w:rPr/>
        <w:t>阀门关闭后应能联动相应的风机停止。调试数量：全数调试。 </w:t>
      </w:r>
    </w:p>
    <w:p>
      <w:pPr>
        <w:pStyle w:val="ListParagraph"/>
        <w:numPr>
          <w:ilvl w:val="2"/>
          <w:numId w:val="889"/>
        </w:numPr>
        <w:tabs>
          <w:tab w:pos="1370" w:val="left" w:leader="none"/>
        </w:tabs>
        <w:spacing w:line="267" w:lineRule="exact" w:before="0" w:after="0"/>
        <w:ind w:left="1369" w:right="0" w:hanging="530"/>
        <w:jc w:val="left"/>
        <w:rPr>
          <w:b/>
          <w:sz w:val="21"/>
        </w:rPr>
      </w:pPr>
      <w:r>
        <w:rPr>
          <w:spacing w:val="-3"/>
          <w:sz w:val="21"/>
        </w:rPr>
        <w:t>常闭送风口、排烟阀或排烟口的调试方法及要求应符合下列规定：</w:t>
      </w:r>
      <w:r>
        <w:rPr>
          <w:b/>
          <w:w w:val="99"/>
          <w:sz w:val="21"/>
        </w:rPr>
        <w:t> </w:t>
      </w:r>
    </w:p>
    <w:p>
      <w:pPr>
        <w:pStyle w:val="BodyText"/>
        <w:spacing w:before="1"/>
        <w:rPr>
          <w:b/>
          <w:sz w:val="18"/>
        </w:rPr>
      </w:pPr>
    </w:p>
    <w:p>
      <w:pPr>
        <w:pStyle w:val="BodyText"/>
        <w:spacing w:line="446" w:lineRule="auto"/>
        <w:ind w:left="418" w:right="1609" w:firstLine="419"/>
        <w:rPr>
          <w:b/>
        </w:rPr>
      </w:pPr>
      <w:r>
        <w:rPr/>
        <w:t>进行手动开启、复位试验，阀门动作应灵敏、可靠，远距离控制机构的脱扣钢丝连接不应松弛、脱落；</w:t>
      </w:r>
      <w:r>
        <w:rPr>
          <w:b/>
          <w:w w:val="99"/>
        </w:rPr>
        <w:t> </w:t>
      </w:r>
    </w:p>
    <w:p>
      <w:pPr>
        <w:pStyle w:val="BodyText"/>
        <w:spacing w:line="446" w:lineRule="auto"/>
        <w:ind w:left="418" w:right="1609" w:firstLine="419"/>
      </w:pPr>
      <w:r>
        <w:rPr/>
        <w:t>模拟火灾，相应区域火灾报警后，同一防火分区的常闭送风口和同一防烟分区内的排烟阀或排烟口应联动开启； </w:t>
      </w:r>
    </w:p>
    <w:p>
      <w:pPr>
        <w:pStyle w:val="BodyText"/>
        <w:spacing w:line="446" w:lineRule="auto"/>
        <w:ind w:left="838" w:right="5288"/>
      </w:pPr>
      <w:r>
        <w:rPr/>
        <w:t>阀门开启后的状态信号应能反馈到消防控制室； 阀门开启后应能联动相应的风机启动。 </w:t>
      </w:r>
    </w:p>
    <w:p>
      <w:pPr>
        <w:pStyle w:val="BodyText"/>
        <w:ind w:left="838"/>
      </w:pPr>
      <w:r>
        <w:rPr/>
        <w:t>调试数量：全数调试。 </w:t>
      </w:r>
    </w:p>
    <w:p>
      <w:pPr>
        <w:pStyle w:val="BodyText"/>
        <w:spacing w:before="10"/>
        <w:rPr>
          <w:sz w:val="17"/>
        </w:rPr>
      </w:pPr>
    </w:p>
    <w:p>
      <w:pPr>
        <w:pStyle w:val="ListParagraph"/>
        <w:numPr>
          <w:ilvl w:val="2"/>
          <w:numId w:val="889"/>
        </w:numPr>
        <w:tabs>
          <w:tab w:pos="1371" w:val="left" w:leader="none"/>
        </w:tabs>
        <w:spacing w:line="240" w:lineRule="auto" w:before="0" w:after="0"/>
        <w:ind w:left="1370" w:right="0" w:hanging="531"/>
        <w:jc w:val="left"/>
        <w:rPr>
          <w:b/>
          <w:sz w:val="21"/>
        </w:rPr>
      </w:pPr>
      <w:r>
        <w:rPr>
          <w:spacing w:val="-3"/>
          <w:sz w:val="21"/>
        </w:rPr>
        <w:t>活动挡烟垂壁的调试方法及要求应符合下列规定：</w:t>
      </w:r>
      <w:r>
        <w:rPr>
          <w:b/>
          <w:w w:val="99"/>
          <w:sz w:val="21"/>
        </w:rPr>
        <w:t> </w:t>
      </w:r>
    </w:p>
    <w:p>
      <w:pPr>
        <w:pStyle w:val="BodyText"/>
        <w:rPr>
          <w:b/>
          <w:sz w:val="18"/>
        </w:rPr>
      </w:pPr>
    </w:p>
    <w:p>
      <w:pPr>
        <w:pStyle w:val="BodyText"/>
        <w:spacing w:line="446" w:lineRule="auto"/>
        <w:ind w:left="418" w:right="1817" w:firstLine="419"/>
      </w:pPr>
      <w:r>
        <w:rPr/>
        <w:t>手动操作挡烟垂壁按钮进行开启、复位试验，挡烟垂壁应灵敏、可靠地启动与到位后停止，下降高度应符合设计要求； </w:t>
      </w:r>
      <w:r>
        <w:rPr>
          <w:w w:val="100"/>
        </w:rPr>
        <w:t> </w:t>
      </w:r>
    </w:p>
    <w:p>
      <w:pPr>
        <w:pStyle w:val="BodyText"/>
        <w:spacing w:line="446" w:lineRule="auto"/>
        <w:ind w:left="418" w:right="1609" w:firstLine="419"/>
      </w:pPr>
      <w:r>
        <w:rPr>
          <w:spacing w:val="-5"/>
        </w:rPr>
        <w:t>模拟火灾，相应区域火灾报警后，同一防烟分区内挡烟垂壁应在 </w:t>
      </w:r>
      <w:r>
        <w:rPr/>
        <w:t>60s</w:t>
      </w:r>
      <w:r>
        <w:rPr>
          <w:spacing w:val="-7"/>
        </w:rPr>
        <w:t> 以内联动下降到设计</w:t>
      </w:r>
      <w:r>
        <w:rPr>
          <w:spacing w:val="-6"/>
        </w:rPr>
        <w:t>高度；</w:t>
      </w:r>
      <w:r>
        <w:rPr/>
        <w:t> </w:t>
      </w:r>
    </w:p>
    <w:p>
      <w:pPr>
        <w:pStyle w:val="BodyText"/>
        <w:ind w:left="838"/>
      </w:pPr>
      <w:r>
        <w:rPr/>
        <w:t>挡烟垂壁下降到设计高度后应能将状态信号反馈到消防控制室。 </w:t>
      </w:r>
    </w:p>
    <w:p>
      <w:pPr>
        <w:spacing w:after="0"/>
        <w:sectPr>
          <w:pgSz w:w="11910" w:h="16850"/>
          <w:pgMar w:header="0" w:footer="1239" w:top="1220" w:bottom="1420" w:left="1260" w:right="0"/>
        </w:sectPr>
      </w:pPr>
    </w:p>
    <w:p>
      <w:pPr>
        <w:pStyle w:val="BodyText"/>
        <w:spacing w:before="47"/>
        <w:ind w:left="838"/>
      </w:pPr>
      <w:r>
        <w:rPr/>
        <w:t>调试数量：全数调试。 </w:t>
      </w:r>
    </w:p>
    <w:p>
      <w:pPr>
        <w:pStyle w:val="BodyText"/>
        <w:rPr>
          <w:sz w:val="18"/>
        </w:rPr>
      </w:pPr>
    </w:p>
    <w:p>
      <w:pPr>
        <w:pStyle w:val="ListParagraph"/>
        <w:numPr>
          <w:ilvl w:val="2"/>
          <w:numId w:val="889"/>
        </w:numPr>
        <w:tabs>
          <w:tab w:pos="1370" w:val="left" w:leader="none"/>
        </w:tabs>
        <w:spacing w:line="240" w:lineRule="auto" w:before="0" w:after="0"/>
        <w:ind w:left="1369" w:right="0" w:hanging="530"/>
        <w:jc w:val="left"/>
        <w:rPr>
          <w:b/>
          <w:sz w:val="21"/>
        </w:rPr>
      </w:pPr>
      <w:r>
        <w:rPr>
          <w:spacing w:val="-3"/>
          <w:sz w:val="21"/>
        </w:rPr>
        <w:t>自动排烟窗的调试方法及要求应符合下列规定：</w:t>
      </w:r>
      <w:r>
        <w:rPr>
          <w:b/>
          <w:w w:val="99"/>
          <w:sz w:val="21"/>
        </w:rPr>
        <w:t> </w:t>
      </w:r>
    </w:p>
    <w:p>
      <w:pPr>
        <w:pStyle w:val="BodyText"/>
        <w:rPr>
          <w:b/>
          <w:sz w:val="18"/>
        </w:rPr>
      </w:pPr>
    </w:p>
    <w:p>
      <w:pPr>
        <w:pStyle w:val="BodyText"/>
        <w:ind w:left="838"/>
      </w:pPr>
      <w:r>
        <w:rPr/>
        <w:t>手动操作排烟窗开关进行开启、关闭试验，排烟窗动作应灵敏、可靠； </w:t>
      </w:r>
    </w:p>
    <w:p>
      <w:pPr>
        <w:pStyle w:val="BodyText"/>
        <w:spacing w:before="1"/>
        <w:rPr>
          <w:sz w:val="18"/>
        </w:rPr>
      </w:pPr>
    </w:p>
    <w:p>
      <w:pPr>
        <w:pStyle w:val="BodyText"/>
        <w:spacing w:line="446" w:lineRule="auto" w:before="1"/>
        <w:ind w:left="418" w:right="1609" w:firstLine="419"/>
      </w:pPr>
      <w:r>
        <w:rPr/>
        <w:t>模拟火灾，相应区域火灾报警后，同一防烟分区内排烟窗应能联动开启；完全开启时间应符合本标准第 5.2.6 条的规定； </w:t>
      </w:r>
    </w:p>
    <w:p>
      <w:pPr>
        <w:pStyle w:val="BodyText"/>
        <w:spacing w:line="446" w:lineRule="auto"/>
        <w:ind w:left="838" w:right="2977"/>
      </w:pPr>
      <w:r>
        <w:rPr>
          <w:spacing w:val="-3"/>
        </w:rPr>
        <w:t>与消防控制室联动的排烟窗完全开启后，状态信号应反馈到消防控制室。调试数量：全数调试。</w:t>
      </w:r>
      <w:r>
        <w:rPr/>
        <w:t> </w:t>
      </w:r>
    </w:p>
    <w:p>
      <w:pPr>
        <w:pStyle w:val="ListParagraph"/>
        <w:numPr>
          <w:ilvl w:val="2"/>
          <w:numId w:val="889"/>
        </w:numPr>
        <w:tabs>
          <w:tab w:pos="1370" w:val="left" w:leader="none"/>
        </w:tabs>
        <w:spacing w:line="240" w:lineRule="auto" w:before="0" w:after="0"/>
        <w:ind w:left="1369" w:right="0" w:hanging="530"/>
        <w:jc w:val="left"/>
        <w:rPr>
          <w:b/>
          <w:sz w:val="21"/>
        </w:rPr>
      </w:pPr>
      <w:r>
        <w:rPr>
          <w:spacing w:val="-3"/>
          <w:sz w:val="21"/>
        </w:rPr>
        <w:t>送风机、排烟风机调试方法及要求应符合下列规定：</w:t>
      </w:r>
      <w:r>
        <w:rPr>
          <w:b/>
          <w:w w:val="99"/>
          <w:sz w:val="21"/>
        </w:rPr>
        <w:t> </w:t>
      </w:r>
    </w:p>
    <w:p>
      <w:pPr>
        <w:pStyle w:val="BodyText"/>
        <w:spacing w:before="10"/>
        <w:rPr>
          <w:b/>
          <w:sz w:val="17"/>
        </w:rPr>
      </w:pPr>
    </w:p>
    <w:p>
      <w:pPr>
        <w:pStyle w:val="BodyText"/>
        <w:spacing w:line="446" w:lineRule="auto"/>
        <w:ind w:left="418" w:right="1498" w:firstLine="419"/>
      </w:pPr>
      <w:r>
        <w:rPr/>
        <w:t>手动开启风机，风机应正常运转 2.0h，叶轮旋转方向应正确、运转平稳、无异常振动与声响； </w:t>
      </w:r>
    </w:p>
    <w:p>
      <w:pPr>
        <w:pStyle w:val="BodyText"/>
        <w:spacing w:line="446" w:lineRule="auto"/>
        <w:ind w:left="838" w:right="1505"/>
      </w:pPr>
      <w:r>
        <w:rPr>
          <w:spacing w:val="-3"/>
        </w:rPr>
        <w:t>应核对风机的铭牌值，并应测定风机的风量、风压、电流和电压，其结果应与设计相符； 应能在消防控制室手动控制风机的启动、停止，风机的启动、停止状态信号应能反馈到消</w:t>
      </w:r>
    </w:p>
    <w:p>
      <w:pPr>
        <w:pStyle w:val="BodyText"/>
        <w:ind w:left="418"/>
      </w:pPr>
      <w:r>
        <w:rPr/>
        <w:t>防控制室； </w:t>
      </w:r>
    </w:p>
    <w:p>
      <w:pPr>
        <w:pStyle w:val="BodyText"/>
        <w:spacing w:before="12"/>
        <w:rPr>
          <w:sz w:val="17"/>
        </w:rPr>
      </w:pPr>
    </w:p>
    <w:p>
      <w:pPr>
        <w:pStyle w:val="BodyText"/>
        <w:spacing w:line="446" w:lineRule="auto"/>
        <w:ind w:left="418" w:right="1609" w:firstLine="419"/>
      </w:pPr>
      <w:r>
        <w:rPr/>
        <w:t>当风机进、出风管上安装单向风阀或电动风阀时，风阀的开启与关闭应与风机的启动、停止同步。 </w:t>
      </w:r>
    </w:p>
    <w:p>
      <w:pPr>
        <w:pStyle w:val="BodyText"/>
        <w:ind w:left="838"/>
      </w:pPr>
      <w:r>
        <w:rPr/>
        <w:t>调试数量：全数调试。 </w:t>
      </w:r>
    </w:p>
    <w:p>
      <w:pPr>
        <w:pStyle w:val="BodyText"/>
        <w:rPr>
          <w:sz w:val="18"/>
        </w:rPr>
      </w:pPr>
    </w:p>
    <w:p>
      <w:pPr>
        <w:pStyle w:val="ListParagraph"/>
        <w:numPr>
          <w:ilvl w:val="2"/>
          <w:numId w:val="889"/>
        </w:numPr>
        <w:tabs>
          <w:tab w:pos="1370" w:val="left" w:leader="none"/>
        </w:tabs>
        <w:spacing w:line="240" w:lineRule="auto" w:before="0" w:after="0"/>
        <w:ind w:left="1369" w:right="0" w:hanging="530"/>
        <w:jc w:val="left"/>
        <w:rPr>
          <w:b/>
          <w:sz w:val="21"/>
        </w:rPr>
      </w:pPr>
      <w:r>
        <w:rPr>
          <w:spacing w:val="-3"/>
          <w:sz w:val="21"/>
        </w:rPr>
        <w:t>机械加压送风系统风速及余压的调试方法及要求应符合下列规定：</w:t>
      </w:r>
      <w:r>
        <w:rPr>
          <w:b/>
          <w:w w:val="99"/>
          <w:sz w:val="21"/>
        </w:rPr>
        <w:t> </w:t>
      </w:r>
    </w:p>
    <w:p>
      <w:pPr>
        <w:pStyle w:val="BodyText"/>
        <w:spacing w:before="12"/>
        <w:rPr>
          <w:b/>
          <w:sz w:val="17"/>
        </w:rPr>
      </w:pPr>
    </w:p>
    <w:p>
      <w:pPr>
        <w:pStyle w:val="BodyText"/>
        <w:spacing w:line="446" w:lineRule="auto"/>
        <w:ind w:left="418" w:right="1608" w:firstLine="419"/>
        <w:jc w:val="both"/>
      </w:pPr>
      <w:r>
        <w:rPr/>
        <w:t>应选取送风系统末端所对应的送风最不利的三个连续楼层模拟起火层及其上下层，封闭避难层（间）仅需选取本层，调试送风系统使上述楼层的楼梯间、前室及封闭避难层（间）的风压值及疏散门的门洞断面风速值与设计值的偏差不大于 10%； </w:t>
      </w:r>
    </w:p>
    <w:p>
      <w:pPr>
        <w:pStyle w:val="BodyText"/>
        <w:spacing w:line="268" w:lineRule="exact"/>
        <w:ind w:left="838"/>
      </w:pPr>
      <w:r>
        <w:rPr/>
        <w:t>对楼梯间和前室的调试应单独分别进行，且互不影响； </w:t>
      </w:r>
    </w:p>
    <w:p>
      <w:pPr>
        <w:pStyle w:val="BodyText"/>
        <w:spacing w:before="2"/>
        <w:rPr>
          <w:sz w:val="18"/>
        </w:rPr>
      </w:pPr>
    </w:p>
    <w:p>
      <w:pPr>
        <w:pStyle w:val="BodyText"/>
        <w:ind w:left="838"/>
      </w:pPr>
      <w:r>
        <w:rPr/>
        <w:t>调试楼梯间和前室疏散门的门洞断面风速时，设计疏散门开启的楼层数量应符合本标准第</w:t>
      </w:r>
    </w:p>
    <w:p>
      <w:pPr>
        <w:pStyle w:val="BodyText"/>
        <w:spacing w:before="12"/>
        <w:rPr>
          <w:sz w:val="17"/>
        </w:rPr>
      </w:pPr>
    </w:p>
    <w:p>
      <w:pPr>
        <w:pStyle w:val="BodyText"/>
        <w:ind w:left="418"/>
      </w:pPr>
      <w:r>
        <w:rPr/>
        <w:t>3.4.6 条的规定。 </w:t>
      </w:r>
    </w:p>
    <w:p>
      <w:pPr>
        <w:pStyle w:val="BodyText"/>
        <w:rPr>
          <w:sz w:val="18"/>
        </w:rPr>
      </w:pPr>
    </w:p>
    <w:p>
      <w:pPr>
        <w:pStyle w:val="BodyText"/>
        <w:ind w:left="838"/>
      </w:pPr>
      <w:r>
        <w:rPr/>
        <w:t>调试数量：全数调试。 </w:t>
      </w:r>
    </w:p>
    <w:p>
      <w:pPr>
        <w:pStyle w:val="BodyText"/>
        <w:spacing w:before="2"/>
        <w:rPr>
          <w:sz w:val="18"/>
        </w:rPr>
      </w:pPr>
    </w:p>
    <w:p>
      <w:pPr>
        <w:spacing w:before="0"/>
        <w:ind w:left="840" w:right="0" w:firstLine="0"/>
        <w:jc w:val="left"/>
        <w:rPr>
          <w:b/>
          <w:sz w:val="21"/>
        </w:rPr>
      </w:pPr>
      <w:r>
        <w:rPr>
          <w:b/>
          <w:sz w:val="21"/>
        </w:rPr>
        <w:t>7.2.7 </w:t>
      </w:r>
      <w:r>
        <w:rPr>
          <w:sz w:val="21"/>
        </w:rPr>
        <w:t>机械排烟系统风速和风量的调试方法及要求应符合下列规定：</w:t>
      </w:r>
      <w:r>
        <w:rPr>
          <w:b/>
          <w:w w:val="99"/>
          <w:sz w:val="21"/>
        </w:rPr>
        <w:t> </w:t>
      </w:r>
    </w:p>
    <w:p>
      <w:pPr>
        <w:pStyle w:val="BodyText"/>
        <w:rPr>
          <w:b/>
          <w:sz w:val="18"/>
        </w:rPr>
      </w:pPr>
    </w:p>
    <w:p>
      <w:pPr>
        <w:pStyle w:val="BodyText"/>
        <w:spacing w:line="446" w:lineRule="auto"/>
        <w:ind w:left="418" w:right="1609" w:firstLine="419"/>
      </w:pPr>
      <w:r>
        <w:rPr/>
        <w:t>应根据设计模式，开启排烟风机和相应的排烟阀或排烟口，调试排烟系统使排烟阀或排烟口处的风速值及排烟量值达到设计要求；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pPr>
      <w:r>
        <w:rPr/>
        <w:t>开启排烟系统的同时，还应开启补风机和相应的补风口，调试补风系统使补风口处的风速值及补风量值达到设计要求； </w:t>
      </w:r>
    </w:p>
    <w:p>
      <w:pPr>
        <w:pStyle w:val="BodyText"/>
        <w:spacing w:line="446" w:lineRule="auto"/>
        <w:ind w:left="838" w:right="3606"/>
      </w:pPr>
      <w:r>
        <w:rPr/>
        <w:t>应测试每个风口风速，核算每个风口的风量及其防烟分区总风量。调试数量：全数调试。 </w:t>
      </w:r>
    </w:p>
    <w:p>
      <w:pPr>
        <w:pStyle w:val="ListParagraph"/>
        <w:numPr>
          <w:ilvl w:val="1"/>
          <w:numId w:val="889"/>
        </w:numPr>
        <w:tabs>
          <w:tab w:pos="1159" w:val="left" w:leader="none"/>
        </w:tabs>
        <w:spacing w:line="240" w:lineRule="auto" w:before="0" w:after="0"/>
        <w:ind w:left="1158" w:right="0" w:hanging="319"/>
        <w:jc w:val="left"/>
        <w:rPr>
          <w:b/>
          <w:sz w:val="21"/>
        </w:rPr>
      </w:pPr>
      <w:r>
        <w:rPr>
          <w:spacing w:val="-3"/>
          <w:sz w:val="21"/>
        </w:rPr>
        <w:t>联动调试</w:t>
      </w:r>
      <w:r>
        <w:rPr>
          <w:b/>
          <w:w w:val="99"/>
          <w:sz w:val="21"/>
        </w:rPr>
        <w:t> </w:t>
      </w:r>
    </w:p>
    <w:p>
      <w:pPr>
        <w:pStyle w:val="BodyText"/>
        <w:spacing w:before="10"/>
        <w:rPr>
          <w:b/>
          <w:sz w:val="17"/>
        </w:rPr>
      </w:pPr>
    </w:p>
    <w:p>
      <w:pPr>
        <w:pStyle w:val="ListParagraph"/>
        <w:numPr>
          <w:ilvl w:val="2"/>
          <w:numId w:val="889"/>
        </w:numPr>
        <w:tabs>
          <w:tab w:pos="1370" w:val="left" w:leader="none"/>
        </w:tabs>
        <w:spacing w:line="240" w:lineRule="auto" w:before="0" w:after="0"/>
        <w:ind w:left="1369" w:right="0" w:hanging="530"/>
        <w:jc w:val="left"/>
        <w:rPr>
          <w:b/>
          <w:sz w:val="21"/>
        </w:rPr>
      </w:pPr>
      <w:r>
        <w:rPr>
          <w:spacing w:val="-3"/>
          <w:sz w:val="21"/>
        </w:rPr>
        <w:t>机械加压送风系统的联动调试方法及要求应符合下列规定：</w:t>
      </w:r>
      <w:r>
        <w:rPr>
          <w:b/>
          <w:w w:val="99"/>
          <w:sz w:val="21"/>
        </w:rPr>
        <w:t> </w:t>
      </w:r>
    </w:p>
    <w:p>
      <w:pPr>
        <w:pStyle w:val="BodyText"/>
        <w:spacing w:before="2"/>
        <w:rPr>
          <w:b/>
          <w:sz w:val="18"/>
        </w:rPr>
      </w:pPr>
    </w:p>
    <w:p>
      <w:pPr>
        <w:pStyle w:val="BodyText"/>
        <w:ind w:left="838"/>
        <w:rPr>
          <w:b/>
        </w:rPr>
      </w:pPr>
      <w:r>
        <w:rPr/>
        <w:t>当任何一个常闭送风口开启时，相应的送风机均应能联动启动；</w:t>
      </w:r>
      <w:r>
        <w:rPr>
          <w:b/>
          <w:w w:val="99"/>
        </w:rPr>
        <w:t> </w:t>
      </w:r>
    </w:p>
    <w:p>
      <w:pPr>
        <w:pStyle w:val="BodyText"/>
        <w:rPr>
          <w:b/>
          <w:sz w:val="18"/>
        </w:rPr>
      </w:pPr>
    </w:p>
    <w:p>
      <w:pPr>
        <w:pStyle w:val="BodyText"/>
        <w:spacing w:line="446" w:lineRule="auto"/>
        <w:ind w:left="418" w:right="1431" w:firstLine="419"/>
        <w:jc w:val="both"/>
      </w:pPr>
      <w:r>
        <w:rPr>
          <w:spacing w:val="-6"/>
        </w:rPr>
        <w:t>与火灾自动报警系统联动调试时，当火灾自动报警探测器发出火警信号后，应在 </w:t>
      </w:r>
      <w:r>
        <w:rPr/>
        <w:t>15s</w:t>
      </w:r>
      <w:r>
        <w:rPr>
          <w:spacing w:val="-10"/>
        </w:rPr>
        <w:t> 内启动</w:t>
      </w:r>
      <w:r>
        <w:rPr>
          <w:spacing w:val="-8"/>
        </w:rPr>
        <w:t>与设计要求一致的送风口、送风机，且其联动启动方式应符合现行国家标准《火灾自动报警系统</w:t>
      </w:r>
      <w:r>
        <w:rPr>
          <w:spacing w:val="-6"/>
        </w:rPr>
        <w:t>设计规范》</w:t>
      </w:r>
      <w:r>
        <w:rPr/>
        <w:t>GB 50116</w:t>
      </w:r>
      <w:r>
        <w:rPr>
          <w:spacing w:val="-9"/>
        </w:rPr>
        <w:t> 的规定，其状态信号应反馈到消防控制室。</w:t>
      </w:r>
      <w:r>
        <w:rPr/>
        <w:t> </w:t>
      </w:r>
    </w:p>
    <w:p>
      <w:pPr>
        <w:pStyle w:val="BodyText"/>
        <w:spacing w:line="268" w:lineRule="exact"/>
        <w:ind w:left="838"/>
      </w:pPr>
      <w:r>
        <w:rPr/>
        <w:t>调试数量：全数调试。 </w:t>
      </w:r>
    </w:p>
    <w:p>
      <w:pPr>
        <w:pStyle w:val="BodyText"/>
        <w:rPr>
          <w:sz w:val="18"/>
        </w:rPr>
      </w:pPr>
    </w:p>
    <w:p>
      <w:pPr>
        <w:pStyle w:val="ListParagraph"/>
        <w:numPr>
          <w:ilvl w:val="2"/>
          <w:numId w:val="889"/>
        </w:numPr>
        <w:tabs>
          <w:tab w:pos="1370" w:val="left" w:leader="none"/>
        </w:tabs>
        <w:spacing w:line="240" w:lineRule="auto" w:before="0" w:after="0"/>
        <w:ind w:left="1369" w:right="0" w:hanging="530"/>
        <w:jc w:val="left"/>
        <w:rPr>
          <w:b/>
          <w:sz w:val="21"/>
        </w:rPr>
      </w:pPr>
      <w:r>
        <w:rPr>
          <w:spacing w:val="-3"/>
          <w:sz w:val="21"/>
        </w:rPr>
        <w:t>机械排烟系统的联动调试方法及要求应符合下列规定：</w:t>
      </w:r>
      <w:r>
        <w:rPr>
          <w:b/>
          <w:w w:val="99"/>
          <w:sz w:val="21"/>
        </w:rPr>
        <w:t> </w:t>
      </w:r>
    </w:p>
    <w:p>
      <w:pPr>
        <w:pStyle w:val="BodyText"/>
        <w:spacing w:before="2"/>
        <w:rPr>
          <w:b/>
          <w:sz w:val="18"/>
        </w:rPr>
      </w:pPr>
    </w:p>
    <w:p>
      <w:pPr>
        <w:pStyle w:val="BodyText"/>
        <w:ind w:left="838"/>
      </w:pPr>
      <w:r>
        <w:rPr/>
        <w:t>当任何一个常闭排烟阀或排烟口开启时，排烟风机均应能联动启动。 </w:t>
      </w:r>
    </w:p>
    <w:p>
      <w:pPr>
        <w:pStyle w:val="BodyText"/>
        <w:rPr>
          <w:sz w:val="18"/>
        </w:rPr>
      </w:pPr>
    </w:p>
    <w:p>
      <w:pPr>
        <w:pStyle w:val="BodyText"/>
        <w:spacing w:line="446" w:lineRule="auto"/>
        <w:ind w:left="418" w:right="1431" w:firstLine="419"/>
        <w:jc w:val="both"/>
      </w:pPr>
      <w:r>
        <w:rPr>
          <w:spacing w:val="-5"/>
        </w:rPr>
        <w:t>应与火灾自动报警系统联动调试。当火灾自动报警系统发出火警信号后，机械排烟系统应启</w:t>
      </w:r>
      <w:r>
        <w:rPr>
          <w:spacing w:val="-7"/>
        </w:rPr>
        <w:t>动有关部位的排烟阀或排烟口、排烟风机；启动的排烟阀或排烟口、排烟风机应与设计和标准要</w:t>
      </w:r>
      <w:r>
        <w:rPr>
          <w:spacing w:val="-5"/>
        </w:rPr>
        <w:t>求一致，其状态信号应反馈到消防控制室。</w:t>
      </w:r>
      <w:r>
        <w:rPr/>
        <w:t> </w:t>
      </w:r>
    </w:p>
    <w:p>
      <w:pPr>
        <w:pStyle w:val="BodyText"/>
        <w:spacing w:line="268" w:lineRule="exact"/>
        <w:ind w:left="838"/>
      </w:pPr>
      <w:r>
        <w:rPr/>
        <w:t>有补风要求的机械排烟场所，当火灾确认后，补风系统应启动。 </w:t>
      </w:r>
    </w:p>
    <w:p>
      <w:pPr>
        <w:pStyle w:val="BodyText"/>
        <w:spacing w:before="12"/>
        <w:rPr>
          <w:sz w:val="17"/>
        </w:rPr>
      </w:pPr>
    </w:p>
    <w:p>
      <w:pPr>
        <w:pStyle w:val="BodyText"/>
        <w:spacing w:line="446" w:lineRule="auto"/>
        <w:ind w:left="418" w:right="1435" w:firstLine="419"/>
      </w:pPr>
      <w:r>
        <w:rPr>
          <w:spacing w:val="-7"/>
        </w:rPr>
        <w:t>排烟系统与通风、空调系统合用，当火灾自动报警系统发出火警信号后，由通风、空调系统</w:t>
      </w:r>
      <w:r>
        <w:rPr>
          <w:spacing w:val="-8"/>
        </w:rPr>
        <w:t>转换为排烟系统的时间应符合本标准第 </w:t>
      </w:r>
      <w:r>
        <w:rPr/>
        <w:t>5.2.3</w:t>
      </w:r>
      <w:r>
        <w:rPr>
          <w:spacing w:val="-11"/>
        </w:rPr>
        <w:t> 条的规定。</w:t>
      </w:r>
      <w:r>
        <w:rPr/>
        <w:t> </w:t>
      </w:r>
    </w:p>
    <w:p>
      <w:pPr>
        <w:pStyle w:val="BodyText"/>
        <w:spacing w:before="1"/>
        <w:ind w:left="838"/>
      </w:pPr>
      <w:r>
        <w:rPr/>
        <w:t>调试数量：全数调试。 </w:t>
      </w:r>
    </w:p>
    <w:p>
      <w:pPr>
        <w:pStyle w:val="BodyText"/>
        <w:spacing w:before="12"/>
        <w:rPr>
          <w:sz w:val="17"/>
        </w:rPr>
      </w:pPr>
    </w:p>
    <w:p>
      <w:pPr>
        <w:pStyle w:val="ListParagraph"/>
        <w:numPr>
          <w:ilvl w:val="2"/>
          <w:numId w:val="889"/>
        </w:numPr>
        <w:tabs>
          <w:tab w:pos="1370" w:val="left" w:leader="none"/>
        </w:tabs>
        <w:spacing w:line="240" w:lineRule="auto" w:before="0" w:after="0"/>
        <w:ind w:left="1369" w:right="0" w:hanging="530"/>
        <w:jc w:val="left"/>
        <w:rPr>
          <w:b/>
          <w:sz w:val="21"/>
        </w:rPr>
      </w:pPr>
      <w:r>
        <w:rPr>
          <w:spacing w:val="-3"/>
          <w:sz w:val="21"/>
        </w:rPr>
        <w:t>自动排烟窗的联动调试方法及要求应符合下列规定：</w:t>
      </w:r>
      <w:r>
        <w:rPr>
          <w:b/>
          <w:w w:val="99"/>
          <w:sz w:val="21"/>
        </w:rPr>
        <w:t> </w:t>
      </w:r>
    </w:p>
    <w:p>
      <w:pPr>
        <w:pStyle w:val="BodyText"/>
        <w:spacing w:before="2"/>
        <w:rPr>
          <w:b/>
          <w:sz w:val="18"/>
        </w:rPr>
      </w:pPr>
    </w:p>
    <w:p>
      <w:pPr>
        <w:pStyle w:val="BodyText"/>
        <w:spacing w:line="446" w:lineRule="auto"/>
        <w:ind w:left="838" w:right="2345"/>
      </w:pPr>
      <w:r>
        <w:rPr>
          <w:spacing w:val="-3"/>
        </w:rPr>
        <w:t>自动排烟窗应在火灾自动报警系统发出火警信号后联动开启到符合要求的位置； 动作状态信号应反馈到消防控制室。</w:t>
      </w:r>
      <w:r>
        <w:rPr/>
        <w:t> </w:t>
      </w:r>
    </w:p>
    <w:p>
      <w:pPr>
        <w:pStyle w:val="BodyText"/>
        <w:spacing w:line="267" w:lineRule="exact"/>
        <w:ind w:left="838"/>
      </w:pPr>
      <w:r>
        <w:rPr/>
        <w:t>调试数量：全数调试。 </w:t>
      </w:r>
    </w:p>
    <w:p>
      <w:pPr>
        <w:pStyle w:val="BodyText"/>
        <w:spacing w:before="2"/>
        <w:rPr>
          <w:sz w:val="18"/>
        </w:rPr>
      </w:pPr>
    </w:p>
    <w:p>
      <w:pPr>
        <w:pStyle w:val="ListParagraph"/>
        <w:numPr>
          <w:ilvl w:val="2"/>
          <w:numId w:val="889"/>
        </w:numPr>
        <w:tabs>
          <w:tab w:pos="1371" w:val="left" w:leader="none"/>
        </w:tabs>
        <w:spacing w:line="240" w:lineRule="auto" w:before="0" w:after="0"/>
        <w:ind w:left="1370" w:right="0" w:hanging="531"/>
        <w:jc w:val="left"/>
        <w:rPr>
          <w:b/>
          <w:sz w:val="21"/>
        </w:rPr>
      </w:pPr>
      <w:r>
        <w:rPr>
          <w:spacing w:val="-3"/>
          <w:sz w:val="21"/>
        </w:rPr>
        <w:t>活动挡烟垂壁的联动调试方法及要求应符合下列规定：</w:t>
      </w:r>
      <w:r>
        <w:rPr>
          <w:b/>
          <w:w w:val="99"/>
          <w:sz w:val="21"/>
        </w:rPr>
        <w:t> </w:t>
      </w:r>
    </w:p>
    <w:p>
      <w:pPr>
        <w:pStyle w:val="BodyText"/>
        <w:spacing w:before="12"/>
        <w:rPr>
          <w:b/>
          <w:sz w:val="17"/>
        </w:rPr>
      </w:pPr>
    </w:p>
    <w:p>
      <w:pPr>
        <w:pStyle w:val="BodyText"/>
        <w:spacing w:line="446" w:lineRule="auto"/>
        <w:ind w:left="838" w:right="4866"/>
      </w:pPr>
      <w:r>
        <w:rPr/>
        <w:t>活动挡烟垂壁应在火灾报警后联动下降到设计高度； 动作状态信号应反馈到消防控制室。 </w:t>
      </w:r>
    </w:p>
    <w:p>
      <w:pPr>
        <w:pStyle w:val="BodyText"/>
        <w:ind w:left="838"/>
      </w:pPr>
      <w:r>
        <w:rPr/>
        <w:t>调试数量：全数调试。 </w:t>
      </w:r>
    </w:p>
    <w:p>
      <w:pPr>
        <w:spacing w:after="0"/>
        <w:sectPr>
          <w:pgSz w:w="11910" w:h="16850"/>
          <w:pgMar w:header="0" w:footer="1239" w:top="1220" w:bottom="1420" w:left="1260" w:right="0"/>
        </w:sectPr>
      </w:pPr>
    </w:p>
    <w:p>
      <w:pPr>
        <w:pStyle w:val="Heading4"/>
        <w:spacing w:before="37"/>
      </w:pPr>
      <w:r>
        <w:rPr/>
        <w:t>8 系统验收</w:t>
      </w:r>
      <w:r>
        <w:rPr>
          <w:w w:val="99"/>
        </w:rPr>
        <w:t> </w:t>
      </w:r>
    </w:p>
    <w:p>
      <w:pPr>
        <w:pStyle w:val="BodyText"/>
        <w:spacing w:before="4"/>
        <w:rPr>
          <w:b/>
          <w:sz w:val="17"/>
        </w:rPr>
      </w:pPr>
    </w:p>
    <w:p>
      <w:pPr>
        <w:pStyle w:val="ListParagraph"/>
        <w:numPr>
          <w:ilvl w:val="1"/>
          <w:numId w:val="890"/>
        </w:numPr>
        <w:tabs>
          <w:tab w:pos="1160" w:val="left" w:leader="none"/>
        </w:tabs>
        <w:spacing w:line="240" w:lineRule="auto" w:before="1" w:after="0"/>
        <w:ind w:left="1159" w:right="0" w:hanging="320"/>
        <w:jc w:val="left"/>
        <w:rPr>
          <w:b/>
          <w:sz w:val="21"/>
        </w:rPr>
      </w:pPr>
      <w:r>
        <w:rPr>
          <w:spacing w:val="-3"/>
          <w:sz w:val="21"/>
        </w:rPr>
        <w:t>—般规定</w:t>
      </w:r>
      <w:r>
        <w:rPr>
          <w:b/>
          <w:w w:val="99"/>
          <w:sz w:val="21"/>
        </w:rPr>
        <w:t> </w:t>
      </w:r>
    </w:p>
    <w:p>
      <w:pPr>
        <w:pStyle w:val="BodyText"/>
        <w:spacing w:before="12"/>
        <w:rPr>
          <w:b/>
          <w:sz w:val="17"/>
        </w:rPr>
      </w:pPr>
    </w:p>
    <w:p>
      <w:pPr>
        <w:pStyle w:val="ListParagraph"/>
        <w:numPr>
          <w:ilvl w:val="2"/>
          <w:numId w:val="890"/>
        </w:numPr>
        <w:tabs>
          <w:tab w:pos="1370" w:val="left" w:leader="none"/>
        </w:tabs>
        <w:spacing w:line="240" w:lineRule="auto" w:before="0" w:after="0"/>
        <w:ind w:left="1369" w:right="0" w:hanging="530"/>
        <w:jc w:val="left"/>
        <w:rPr>
          <w:sz w:val="21"/>
        </w:rPr>
      </w:pPr>
      <w:r>
        <w:rPr>
          <w:spacing w:val="-3"/>
          <w:sz w:val="21"/>
        </w:rPr>
        <w:t>系统竣工后，应进行工程验收，验收不合格不得投入使用。</w:t>
      </w:r>
      <w:r>
        <w:rPr>
          <w:sz w:val="21"/>
        </w:rPr>
        <w:t> </w:t>
      </w:r>
    </w:p>
    <w:p>
      <w:pPr>
        <w:pStyle w:val="BodyText"/>
        <w:spacing w:before="2"/>
        <w:rPr>
          <w:sz w:val="18"/>
        </w:rPr>
      </w:pPr>
    </w:p>
    <w:p>
      <w:pPr>
        <w:pStyle w:val="ListParagraph"/>
        <w:numPr>
          <w:ilvl w:val="2"/>
          <w:numId w:val="890"/>
        </w:numPr>
        <w:tabs>
          <w:tab w:pos="1371" w:val="left" w:leader="none"/>
        </w:tabs>
        <w:spacing w:line="240" w:lineRule="auto" w:before="0" w:after="0"/>
        <w:ind w:left="1370" w:right="0" w:hanging="531"/>
        <w:jc w:val="left"/>
        <w:rPr>
          <w:sz w:val="21"/>
        </w:rPr>
      </w:pPr>
      <w:r>
        <w:rPr>
          <w:spacing w:val="-3"/>
          <w:sz w:val="21"/>
        </w:rPr>
        <w:t>工程验收工作应由建设单位负责，并应组织设计、施工、监理等单位共同进行。</w:t>
      </w:r>
      <w:r>
        <w:rPr>
          <w:sz w:val="21"/>
        </w:rPr>
        <w:t> </w:t>
      </w:r>
    </w:p>
    <w:p>
      <w:pPr>
        <w:pStyle w:val="BodyText"/>
        <w:spacing w:before="12"/>
        <w:rPr>
          <w:sz w:val="17"/>
        </w:rPr>
      </w:pPr>
    </w:p>
    <w:p>
      <w:pPr>
        <w:pStyle w:val="ListParagraph"/>
        <w:numPr>
          <w:ilvl w:val="2"/>
          <w:numId w:val="890"/>
        </w:numPr>
        <w:tabs>
          <w:tab w:pos="1371" w:val="left" w:leader="none"/>
        </w:tabs>
        <w:spacing w:line="240" w:lineRule="auto" w:before="0" w:after="0"/>
        <w:ind w:left="1370" w:right="0" w:hanging="531"/>
        <w:jc w:val="left"/>
        <w:rPr>
          <w:sz w:val="21"/>
        </w:rPr>
      </w:pPr>
      <w:r>
        <w:rPr>
          <w:spacing w:val="-7"/>
          <w:sz w:val="21"/>
        </w:rPr>
        <w:t>系统验收时应按本标准附录 </w:t>
      </w:r>
      <w:r>
        <w:rPr>
          <w:sz w:val="21"/>
        </w:rPr>
        <w:t>F</w:t>
      </w:r>
      <w:r>
        <w:rPr>
          <w:spacing w:val="-8"/>
          <w:sz w:val="21"/>
        </w:rPr>
        <w:t> 填写防烟、排烟系统及隐蔽工程验收记录表。</w:t>
      </w:r>
      <w:r>
        <w:rPr>
          <w:sz w:val="21"/>
        </w:rPr>
        <w:t> </w:t>
      </w:r>
    </w:p>
    <w:p>
      <w:pPr>
        <w:pStyle w:val="BodyText"/>
        <w:spacing w:before="12"/>
        <w:rPr>
          <w:sz w:val="17"/>
        </w:rPr>
      </w:pPr>
    </w:p>
    <w:p>
      <w:pPr>
        <w:pStyle w:val="ListParagraph"/>
        <w:numPr>
          <w:ilvl w:val="2"/>
          <w:numId w:val="890"/>
        </w:numPr>
        <w:tabs>
          <w:tab w:pos="1371" w:val="left" w:leader="none"/>
        </w:tabs>
        <w:spacing w:line="240" w:lineRule="auto" w:before="0" w:after="0"/>
        <w:ind w:left="1370" w:right="0" w:hanging="531"/>
        <w:jc w:val="left"/>
        <w:rPr>
          <w:sz w:val="21"/>
        </w:rPr>
      </w:pPr>
      <w:r>
        <w:rPr>
          <w:spacing w:val="-3"/>
          <w:sz w:val="21"/>
        </w:rPr>
        <w:t>工程竣工验收时，施工单位应提供下列资料： </w:t>
      </w:r>
    </w:p>
    <w:p>
      <w:pPr>
        <w:pStyle w:val="BodyText"/>
        <w:spacing w:before="2"/>
        <w:rPr>
          <w:sz w:val="18"/>
        </w:rPr>
      </w:pPr>
    </w:p>
    <w:p>
      <w:pPr>
        <w:pStyle w:val="BodyText"/>
        <w:ind w:left="838"/>
      </w:pPr>
      <w:r>
        <w:rPr/>
        <w:t>竣工验收申请报告； </w:t>
      </w:r>
    </w:p>
    <w:p>
      <w:pPr>
        <w:pStyle w:val="BodyText"/>
        <w:rPr>
          <w:sz w:val="18"/>
        </w:rPr>
      </w:pPr>
    </w:p>
    <w:p>
      <w:pPr>
        <w:pStyle w:val="BodyText"/>
        <w:spacing w:line="446" w:lineRule="auto" w:before="1"/>
        <w:ind w:left="838" w:right="3397"/>
      </w:pPr>
      <w:r>
        <w:rPr/>
        <w:t>施工图、设计说明书、设计变更通知书和设计审核意见书、竣工图； 工程质量事故处理报告； </w:t>
      </w:r>
    </w:p>
    <w:p>
      <w:pPr>
        <w:pStyle w:val="BodyText"/>
        <w:ind w:left="838"/>
      </w:pPr>
      <w:r>
        <w:rPr/>
        <w:t>防烟、排烟系统施工过程质量检查记录； </w:t>
      </w:r>
    </w:p>
    <w:p>
      <w:pPr>
        <w:pStyle w:val="BodyText"/>
        <w:spacing w:before="12"/>
        <w:rPr>
          <w:sz w:val="17"/>
        </w:rPr>
      </w:pPr>
    </w:p>
    <w:p>
      <w:pPr>
        <w:pStyle w:val="BodyText"/>
        <w:spacing w:line="446" w:lineRule="auto"/>
        <w:ind w:left="840" w:right="5497" w:hanging="3"/>
      </w:pPr>
      <w:r>
        <w:rPr/>
        <w:t>防烟、排烟系统工程质量控制资料检查记录。</w:t>
      </w:r>
      <w:r>
        <w:rPr>
          <w:b/>
        </w:rPr>
        <w:t>8.2 </w:t>
      </w:r>
      <w:r>
        <w:rPr/>
        <w:t>工程验收 </w:t>
      </w:r>
    </w:p>
    <w:p>
      <w:pPr>
        <w:pStyle w:val="ListParagraph"/>
        <w:numPr>
          <w:ilvl w:val="2"/>
          <w:numId w:val="891"/>
        </w:numPr>
        <w:tabs>
          <w:tab w:pos="1371" w:val="left" w:leader="none"/>
        </w:tabs>
        <w:spacing w:line="240" w:lineRule="auto" w:before="0" w:after="0"/>
        <w:ind w:left="1370" w:right="0" w:hanging="531"/>
        <w:jc w:val="left"/>
        <w:rPr>
          <w:b/>
          <w:sz w:val="21"/>
        </w:rPr>
      </w:pPr>
      <w:r>
        <w:rPr>
          <w:spacing w:val="-3"/>
          <w:sz w:val="21"/>
        </w:rPr>
        <w:t>防烟、排烟系统观感质量的综合验收方法及要求应符合下列规定：</w:t>
      </w:r>
      <w:r>
        <w:rPr>
          <w:b/>
          <w:w w:val="99"/>
          <w:sz w:val="21"/>
        </w:rPr>
        <w:t> </w:t>
      </w:r>
    </w:p>
    <w:p>
      <w:pPr>
        <w:pStyle w:val="BodyText"/>
        <w:spacing w:before="12"/>
        <w:rPr>
          <w:b/>
          <w:sz w:val="17"/>
        </w:rPr>
      </w:pPr>
    </w:p>
    <w:p>
      <w:pPr>
        <w:pStyle w:val="BodyText"/>
        <w:spacing w:line="446" w:lineRule="auto"/>
        <w:ind w:left="838" w:right="1505"/>
      </w:pPr>
      <w:r>
        <w:rPr>
          <w:spacing w:val="-3"/>
        </w:rPr>
        <w:t>风管表面应平整、无损坏；接管合理，风管的连接以及风管与风机的连接应无明显缺陷。风口表面应平整，颜色一致，安装位置正确，风口可调节部件应能正常动作。 </w:t>
      </w:r>
    </w:p>
    <w:p>
      <w:pPr>
        <w:pStyle w:val="BodyText"/>
        <w:ind w:left="838"/>
      </w:pPr>
      <w:r>
        <w:rPr/>
        <w:t>各类调节装置安装应正确牢固、调节灵活，操作方便。 </w:t>
      </w:r>
    </w:p>
    <w:p>
      <w:pPr>
        <w:pStyle w:val="BodyText"/>
        <w:rPr>
          <w:sz w:val="18"/>
        </w:rPr>
      </w:pPr>
    </w:p>
    <w:p>
      <w:pPr>
        <w:pStyle w:val="BodyText"/>
        <w:spacing w:line="446" w:lineRule="auto"/>
        <w:ind w:left="838" w:right="4026"/>
      </w:pPr>
      <w:r>
        <w:rPr/>
        <w:t>风管、部件及管道的支、吊架形式、位置及间距应符合要求。风机的安装应正确牢固。 </w:t>
      </w:r>
    </w:p>
    <w:p>
      <w:pPr>
        <w:pStyle w:val="BodyText"/>
        <w:ind w:left="838"/>
      </w:pPr>
      <w:r>
        <w:rPr/>
        <w:t>检查数量：各系统按 30%抽查。 </w:t>
      </w:r>
    </w:p>
    <w:p>
      <w:pPr>
        <w:pStyle w:val="BodyText"/>
        <w:rPr>
          <w:sz w:val="18"/>
        </w:rPr>
      </w:pPr>
    </w:p>
    <w:p>
      <w:pPr>
        <w:pStyle w:val="ListParagraph"/>
        <w:numPr>
          <w:ilvl w:val="2"/>
          <w:numId w:val="891"/>
        </w:numPr>
        <w:tabs>
          <w:tab w:pos="1370" w:val="left" w:leader="none"/>
        </w:tabs>
        <w:spacing w:line="240" w:lineRule="auto" w:before="0" w:after="0"/>
        <w:ind w:left="1369" w:right="0" w:hanging="530"/>
        <w:jc w:val="left"/>
        <w:rPr>
          <w:b/>
          <w:sz w:val="21"/>
        </w:rPr>
      </w:pPr>
      <w:r>
        <w:rPr>
          <w:spacing w:val="-3"/>
          <w:sz w:val="21"/>
        </w:rPr>
        <w:t>防烟、排烟系统设备手动功能的验收方法及要求应符合下列规定：</w:t>
      </w:r>
      <w:r>
        <w:rPr>
          <w:b/>
          <w:w w:val="99"/>
          <w:sz w:val="21"/>
        </w:rPr>
        <w:t> </w:t>
      </w:r>
    </w:p>
    <w:p>
      <w:pPr>
        <w:pStyle w:val="BodyText"/>
        <w:spacing w:before="12"/>
        <w:rPr>
          <w:b/>
          <w:sz w:val="17"/>
        </w:rPr>
      </w:pPr>
    </w:p>
    <w:p>
      <w:pPr>
        <w:pStyle w:val="BodyText"/>
        <w:ind w:left="838"/>
      </w:pPr>
      <w:r>
        <w:rPr/>
        <w:t>送风机、排烟风机应能正常手动启动和停止，状态信号应在消防控制室显示； </w:t>
      </w:r>
    </w:p>
    <w:p>
      <w:pPr>
        <w:pStyle w:val="BodyText"/>
        <w:spacing w:before="2"/>
        <w:rPr>
          <w:sz w:val="18"/>
        </w:rPr>
      </w:pPr>
    </w:p>
    <w:p>
      <w:pPr>
        <w:pStyle w:val="BodyText"/>
        <w:spacing w:line="446" w:lineRule="auto"/>
        <w:ind w:left="418" w:right="1609" w:firstLine="419"/>
      </w:pPr>
      <w:r>
        <w:rPr/>
        <w:t>送风口、排烟阀或排烟口应能正常手动开启和复位，阀门关闭严密，动作信号应在消防控制室显示； </w:t>
      </w:r>
    </w:p>
    <w:p>
      <w:pPr>
        <w:pStyle w:val="BodyText"/>
        <w:spacing w:line="446" w:lineRule="auto"/>
        <w:ind w:left="838" w:right="1714"/>
      </w:pPr>
      <w:r>
        <w:rPr>
          <w:spacing w:val="-3"/>
        </w:rPr>
        <w:t>活动挡烟垂壁、自动排烟窗应能正常手动开启和复位，动作信号应在消防控制室显示。</w:t>
      </w:r>
      <w:r>
        <w:rPr>
          <w:spacing w:val="-8"/>
        </w:rPr>
        <w:t>检查数量：各系统按 </w:t>
      </w:r>
      <w:r>
        <w:rPr/>
        <w:t>30</w:t>
      </w:r>
      <w:r>
        <w:rPr>
          <w:spacing w:val="-1"/>
        </w:rPr>
        <w:t>%抽查。</w:t>
      </w:r>
      <w:r>
        <w:rPr/>
        <w:t> </w:t>
      </w:r>
    </w:p>
    <w:p>
      <w:pPr>
        <w:pStyle w:val="ListParagraph"/>
        <w:numPr>
          <w:ilvl w:val="2"/>
          <w:numId w:val="891"/>
        </w:numPr>
        <w:tabs>
          <w:tab w:pos="1371" w:val="left" w:leader="none"/>
        </w:tabs>
        <w:spacing w:line="240" w:lineRule="auto" w:before="0" w:after="0"/>
        <w:ind w:left="1370" w:right="0" w:hanging="531"/>
        <w:jc w:val="left"/>
        <w:rPr>
          <w:b/>
          <w:sz w:val="21"/>
        </w:rPr>
      </w:pPr>
      <w:r>
        <w:rPr>
          <w:spacing w:val="-3"/>
          <w:sz w:val="21"/>
        </w:rPr>
        <w:t>防烟、排烟系统设备应按设计联动启动，其功能验收方法及要求应符合下列规定：</w:t>
      </w:r>
      <w:r>
        <w:rPr>
          <w:b/>
          <w:w w:val="99"/>
          <w:sz w:val="21"/>
        </w:rPr>
        <w:t> </w:t>
      </w:r>
    </w:p>
    <w:p>
      <w:pPr>
        <w:pStyle w:val="BodyText"/>
        <w:spacing w:before="10"/>
        <w:rPr>
          <w:b/>
          <w:sz w:val="17"/>
        </w:rPr>
      </w:pPr>
    </w:p>
    <w:p>
      <w:pPr>
        <w:pStyle w:val="BodyText"/>
        <w:ind w:left="838"/>
      </w:pPr>
      <w:r>
        <w:rPr/>
        <w:t>送风口的开启和送风机的启动应符合本标准第 5.1.2 条、第 5.1.3 条的规定； </w:t>
      </w:r>
    </w:p>
    <w:p>
      <w:pPr>
        <w:pStyle w:val="BodyText"/>
        <w:spacing w:before="2"/>
        <w:rPr>
          <w:sz w:val="18"/>
        </w:rPr>
      </w:pPr>
    </w:p>
    <w:p>
      <w:pPr>
        <w:pStyle w:val="BodyText"/>
        <w:ind w:left="838"/>
      </w:pPr>
      <w:r>
        <w:rPr/>
        <w:t>排烟阀或排烟口的开启和排烟风机的启动应符合本标准第 5.2.2 条、第 5.2.3 条和第 5.2.4</w:t>
      </w:r>
    </w:p>
    <w:p>
      <w:pPr>
        <w:spacing w:after="0"/>
        <w:sectPr>
          <w:pgSz w:w="11910" w:h="16850"/>
          <w:pgMar w:header="0" w:footer="1239" w:top="1200" w:bottom="1420" w:left="1260" w:right="0"/>
        </w:sectPr>
      </w:pPr>
    </w:p>
    <w:p>
      <w:pPr>
        <w:pStyle w:val="BodyText"/>
        <w:spacing w:before="47"/>
        <w:ind w:left="418"/>
      </w:pPr>
      <w:r>
        <w:rPr/>
        <w:t>条的规定； </w:t>
      </w:r>
    </w:p>
    <w:p>
      <w:pPr>
        <w:pStyle w:val="BodyText"/>
        <w:rPr>
          <w:sz w:val="18"/>
        </w:rPr>
      </w:pPr>
    </w:p>
    <w:p>
      <w:pPr>
        <w:pStyle w:val="BodyText"/>
        <w:ind w:left="838"/>
      </w:pPr>
      <w:r>
        <w:rPr/>
        <w:t>活动挡烟垂壁开启到位的时间应符合本标准第 5.2.5 条的规定； </w:t>
      </w:r>
    </w:p>
    <w:p>
      <w:pPr>
        <w:pStyle w:val="BodyText"/>
        <w:rPr>
          <w:sz w:val="18"/>
        </w:rPr>
      </w:pPr>
    </w:p>
    <w:p>
      <w:pPr>
        <w:pStyle w:val="BodyText"/>
        <w:ind w:left="838"/>
      </w:pPr>
      <w:r>
        <w:rPr/>
        <w:t>自动排烟窗开启完毕的时间应符合本标准第 5.2.6 条的规定； </w:t>
      </w:r>
    </w:p>
    <w:p>
      <w:pPr>
        <w:pStyle w:val="BodyText"/>
        <w:spacing w:before="1"/>
        <w:rPr>
          <w:sz w:val="18"/>
        </w:rPr>
      </w:pPr>
    </w:p>
    <w:p>
      <w:pPr>
        <w:pStyle w:val="BodyText"/>
        <w:spacing w:line="446" w:lineRule="auto" w:before="1"/>
        <w:ind w:left="838" w:right="5077"/>
      </w:pPr>
      <w:r>
        <w:rPr>
          <w:spacing w:val="-2"/>
        </w:rPr>
        <w:t>补风机的启动应符合本标准第 </w:t>
      </w:r>
      <w:r>
        <w:rPr/>
        <w:t>5.2.2 条的规定； </w:t>
      </w:r>
      <w:r>
        <w:rPr>
          <w:spacing w:val="-3"/>
        </w:rPr>
        <w:t>各部件、设备动作状态信号应在消防控制室显示。检查数量：全数检查。</w:t>
      </w:r>
      <w:r>
        <w:rPr/>
        <w:t> </w:t>
      </w:r>
    </w:p>
    <w:p>
      <w:pPr>
        <w:pStyle w:val="ListParagraph"/>
        <w:numPr>
          <w:ilvl w:val="2"/>
          <w:numId w:val="891"/>
        </w:numPr>
        <w:tabs>
          <w:tab w:pos="1370" w:val="left" w:leader="none"/>
        </w:tabs>
        <w:spacing w:line="268" w:lineRule="exact" w:before="0" w:after="0"/>
        <w:ind w:left="1369" w:right="0" w:hanging="530"/>
        <w:jc w:val="left"/>
        <w:rPr>
          <w:b/>
          <w:sz w:val="21"/>
        </w:rPr>
      </w:pPr>
      <w:r>
        <w:rPr>
          <w:spacing w:val="-3"/>
          <w:sz w:val="21"/>
        </w:rPr>
        <w:t>自然通风及自然排烟设施验收，下列项目应达到设计和标准要求：</w:t>
      </w:r>
      <w:r>
        <w:rPr>
          <w:b/>
          <w:w w:val="99"/>
          <w:sz w:val="21"/>
        </w:rPr>
        <w:t> </w:t>
      </w:r>
    </w:p>
    <w:p>
      <w:pPr>
        <w:pStyle w:val="BodyText"/>
        <w:rPr>
          <w:b/>
          <w:sz w:val="18"/>
        </w:rPr>
      </w:pPr>
    </w:p>
    <w:p>
      <w:pPr>
        <w:pStyle w:val="BodyText"/>
        <w:spacing w:line="446" w:lineRule="auto"/>
        <w:ind w:left="838" w:right="2345"/>
      </w:pPr>
      <w:r>
        <w:rPr>
          <w:spacing w:val="-3"/>
        </w:rPr>
        <w:t>封闭楼梯间、防烟楼梯间、前室及消防电梯前室可开启外窗的布置方式和面积； 避难层</w:t>
      </w:r>
      <w:r>
        <w:rPr/>
        <w:t>（</w:t>
      </w:r>
      <w:r>
        <w:rPr>
          <w:spacing w:val="-3"/>
        </w:rPr>
        <w:t>间</w:t>
      </w:r>
      <w:r>
        <w:rPr/>
        <w:t>）</w:t>
      </w:r>
      <w:r>
        <w:rPr>
          <w:spacing w:val="-3"/>
        </w:rPr>
        <w:t>可开启外窗或百叶窗的布置方式和面积；</w:t>
      </w:r>
      <w:r>
        <w:rPr/>
        <w:t> </w:t>
      </w:r>
    </w:p>
    <w:p>
      <w:pPr>
        <w:pStyle w:val="BodyText"/>
        <w:spacing w:line="446" w:lineRule="auto"/>
        <w:ind w:left="838" w:right="1925"/>
      </w:pPr>
      <w:r>
        <w:rPr>
          <w:spacing w:val="-3"/>
        </w:rPr>
        <w:t>设置自然排烟场所的可开启外窗、排烟窗、可熔性采光带</w:t>
      </w:r>
      <w:r>
        <w:rPr/>
        <w:t>（</w:t>
      </w:r>
      <w:r>
        <w:rPr>
          <w:spacing w:val="-3"/>
        </w:rPr>
        <w:t>窗</w:t>
      </w:r>
      <w:r>
        <w:rPr/>
        <w:t>）</w:t>
      </w:r>
      <w:r>
        <w:rPr>
          <w:spacing w:val="-3"/>
        </w:rPr>
        <w:t>的布置方式和面积。</w:t>
      </w:r>
      <w:r>
        <w:rPr>
          <w:spacing w:val="-8"/>
        </w:rPr>
        <w:t>检查数量：各系统按 </w:t>
      </w:r>
      <w:r>
        <w:rPr/>
        <w:t>30</w:t>
      </w:r>
      <w:r>
        <w:rPr>
          <w:spacing w:val="-1"/>
        </w:rPr>
        <w:t>%检查。</w:t>
      </w:r>
      <w:r>
        <w:rPr/>
        <w:t> </w:t>
      </w:r>
    </w:p>
    <w:p>
      <w:pPr>
        <w:pStyle w:val="ListParagraph"/>
        <w:numPr>
          <w:ilvl w:val="2"/>
          <w:numId w:val="891"/>
        </w:numPr>
        <w:tabs>
          <w:tab w:pos="1371" w:val="left" w:leader="none"/>
        </w:tabs>
        <w:spacing w:line="267" w:lineRule="exact" w:before="0" w:after="0"/>
        <w:ind w:left="1370" w:right="0" w:hanging="531"/>
        <w:jc w:val="left"/>
        <w:rPr>
          <w:b/>
          <w:sz w:val="21"/>
        </w:rPr>
      </w:pPr>
      <w:r>
        <w:rPr>
          <w:spacing w:val="-3"/>
          <w:sz w:val="21"/>
        </w:rPr>
        <w:t>机械防烟系统的验收方法及要求应符合下列规定：</w:t>
      </w:r>
      <w:r>
        <w:rPr>
          <w:b/>
          <w:w w:val="99"/>
          <w:sz w:val="21"/>
        </w:rPr>
        <w:t> </w:t>
      </w:r>
    </w:p>
    <w:p>
      <w:pPr>
        <w:pStyle w:val="BodyText"/>
        <w:spacing w:before="1"/>
        <w:rPr>
          <w:b/>
          <w:sz w:val="18"/>
        </w:rPr>
      </w:pPr>
    </w:p>
    <w:p>
      <w:pPr>
        <w:pStyle w:val="BodyText"/>
        <w:spacing w:line="446" w:lineRule="auto" w:before="1"/>
        <w:ind w:left="418" w:right="1608" w:firstLine="419"/>
        <w:jc w:val="both"/>
      </w:pPr>
      <w:r>
        <w:rPr/>
        <w:t>选取送风系统末端所对应的送风最不利的三个连续楼层模拟起火层及其上下层，封闭避难层（间）仅需选取本层，测试前室及封闭避难层（间）的风压值及疏散门的门洞断面风速值， 应分别符合本标准第 3.4.4 条和第 3.4.6 条的规定，且偏差不大于设计值的 10%； </w:t>
      </w:r>
    </w:p>
    <w:p>
      <w:pPr>
        <w:pStyle w:val="BodyText"/>
        <w:spacing w:line="268" w:lineRule="exact"/>
        <w:ind w:left="838"/>
      </w:pPr>
      <w:r>
        <w:rPr/>
        <w:t>对楼梯间和前室的测试应单独分别进行，且互不影响； </w:t>
      </w:r>
    </w:p>
    <w:p>
      <w:pPr>
        <w:pStyle w:val="BodyText"/>
        <w:spacing w:before="12"/>
        <w:rPr>
          <w:sz w:val="17"/>
        </w:rPr>
      </w:pPr>
    </w:p>
    <w:p>
      <w:pPr>
        <w:pStyle w:val="BodyText"/>
        <w:spacing w:line="446" w:lineRule="auto"/>
        <w:ind w:left="838" w:right="2554"/>
      </w:pPr>
      <w:r>
        <w:rPr>
          <w:spacing w:val="-3"/>
        </w:rPr>
        <w:t>测试楼梯间和前室疏散门的门洞断面风速时，应同时开启三个楼层的疏散门。检查数量：全数检查。</w:t>
      </w:r>
      <w:r>
        <w:rPr/>
        <w:t> </w:t>
      </w:r>
    </w:p>
    <w:p>
      <w:pPr>
        <w:pStyle w:val="ListParagraph"/>
        <w:numPr>
          <w:ilvl w:val="2"/>
          <w:numId w:val="891"/>
        </w:numPr>
        <w:tabs>
          <w:tab w:pos="1370" w:val="left" w:leader="none"/>
        </w:tabs>
        <w:spacing w:line="240" w:lineRule="auto" w:before="0" w:after="0"/>
        <w:ind w:left="1369" w:right="0" w:hanging="530"/>
        <w:jc w:val="left"/>
        <w:rPr>
          <w:b/>
          <w:sz w:val="21"/>
        </w:rPr>
      </w:pPr>
      <w:r>
        <w:rPr>
          <w:spacing w:val="-3"/>
          <w:sz w:val="21"/>
        </w:rPr>
        <w:t>机械排烟系统的性能验收方法及要求应符合下列规定：</w:t>
      </w:r>
      <w:r>
        <w:rPr>
          <w:b/>
          <w:w w:val="99"/>
          <w:sz w:val="21"/>
        </w:rPr>
        <w:t> </w:t>
      </w:r>
    </w:p>
    <w:p>
      <w:pPr>
        <w:pStyle w:val="BodyText"/>
        <w:rPr>
          <w:b/>
          <w:sz w:val="18"/>
        </w:rPr>
      </w:pPr>
    </w:p>
    <w:p>
      <w:pPr>
        <w:pStyle w:val="BodyText"/>
        <w:spacing w:line="446" w:lineRule="auto"/>
        <w:ind w:left="418" w:right="1609" w:firstLine="419"/>
      </w:pPr>
      <w:r>
        <w:rPr/>
        <w:t>开启任一防烟分区的全部排烟口，风机启动后测试排烟口处的风速，风速、风量应符合设计要求且偏差不大于设计值的 10%； </w:t>
      </w:r>
    </w:p>
    <w:p>
      <w:pPr>
        <w:pStyle w:val="BodyText"/>
        <w:spacing w:line="446" w:lineRule="auto"/>
        <w:ind w:left="418" w:right="1609" w:firstLine="419"/>
      </w:pPr>
      <w:r>
        <w:rPr/>
        <w:t>设有补风系统的场所，应测试补风口风速，风速、风量应符合设计要求且偏差不大于设计值的 10%。 </w:t>
      </w:r>
    </w:p>
    <w:p>
      <w:pPr>
        <w:pStyle w:val="BodyText"/>
        <w:spacing w:line="267" w:lineRule="exact"/>
        <w:ind w:left="838"/>
      </w:pPr>
      <w:r>
        <w:rPr/>
        <w:t>检查数量：各系统全数检查。 </w:t>
      </w:r>
    </w:p>
    <w:p>
      <w:pPr>
        <w:pStyle w:val="BodyText"/>
        <w:spacing w:before="1"/>
        <w:rPr>
          <w:sz w:val="18"/>
        </w:rPr>
      </w:pPr>
    </w:p>
    <w:p>
      <w:pPr>
        <w:pStyle w:val="ListParagraph"/>
        <w:numPr>
          <w:ilvl w:val="2"/>
          <w:numId w:val="891"/>
        </w:numPr>
        <w:tabs>
          <w:tab w:pos="1371" w:val="left" w:leader="none"/>
        </w:tabs>
        <w:spacing w:line="240" w:lineRule="auto" w:before="1" w:after="0"/>
        <w:ind w:left="1370" w:right="0" w:hanging="531"/>
        <w:jc w:val="left"/>
        <w:rPr>
          <w:b/>
          <w:sz w:val="21"/>
        </w:rPr>
      </w:pPr>
      <w:r>
        <w:rPr>
          <w:spacing w:val="-3"/>
          <w:sz w:val="21"/>
        </w:rPr>
        <w:t>系统工程质量验收判定条件应符合下列规定：</w:t>
      </w:r>
      <w:r>
        <w:rPr>
          <w:b/>
          <w:spacing w:val="-3"/>
          <w:w w:val="99"/>
          <w:sz w:val="21"/>
        </w:rPr>
        <w:t> </w:t>
      </w:r>
    </w:p>
    <w:p>
      <w:pPr>
        <w:pStyle w:val="BodyText"/>
        <w:spacing w:before="12"/>
        <w:rPr>
          <w:b/>
          <w:sz w:val="17"/>
        </w:rPr>
      </w:pPr>
    </w:p>
    <w:p>
      <w:pPr>
        <w:pStyle w:val="BodyText"/>
        <w:spacing w:line="369" w:lineRule="auto"/>
        <w:ind w:left="418" w:right="1608" w:firstLine="419"/>
        <w:jc w:val="both"/>
      </w:pPr>
      <w:r>
        <w:rPr>
          <w:spacing w:val="-3"/>
        </w:rPr>
        <w:t>系统的设备、部件型号规格与设计不符，无出厂质量合格证明文件及符合国家市场准入制</w:t>
      </w:r>
      <w:r>
        <w:rPr>
          <w:spacing w:val="-6"/>
        </w:rPr>
        <w:t>度规定的文件，系统验收不符合本标准第 </w:t>
      </w:r>
      <w:r>
        <w:rPr/>
        <w:t>8.2.2</w:t>
      </w:r>
      <w:r>
        <w:rPr>
          <w:spacing w:val="-23"/>
        </w:rPr>
        <w:t> 条</w:t>
      </w:r>
      <w:r>
        <w:rPr>
          <w:rFonts w:ascii="微软雅黑" w:eastAsia="微软雅黑" w:hint="eastAsia"/>
        </w:rPr>
        <w:t>〜</w:t>
      </w:r>
      <w:r>
        <w:rPr>
          <w:spacing w:val="-22"/>
        </w:rPr>
        <w:t>第 </w:t>
      </w:r>
      <w:r>
        <w:rPr/>
        <w:t>8.2.6</w:t>
      </w:r>
      <w:r>
        <w:rPr>
          <w:spacing w:val="-8"/>
        </w:rPr>
        <w:t> 条任一款功能及主要性能参数要</w:t>
      </w:r>
      <w:r>
        <w:rPr>
          <w:spacing w:val="5"/>
        </w:rPr>
        <w:t>求的，定为</w:t>
      </w:r>
      <w:r>
        <w:rPr/>
        <w:t>A</w:t>
      </w:r>
      <w:r>
        <w:rPr>
          <w:spacing w:val="-10"/>
        </w:rPr>
        <w:t> 类不合格； </w:t>
      </w:r>
    </w:p>
    <w:p>
      <w:pPr>
        <w:spacing w:after="0" w:line="369" w:lineRule="auto"/>
        <w:jc w:val="both"/>
        <w:sectPr>
          <w:pgSz w:w="11910" w:h="16850"/>
          <w:pgMar w:header="0" w:footer="1239" w:top="1220" w:bottom="1420" w:left="1260" w:right="0"/>
        </w:sectPr>
      </w:pPr>
    </w:p>
    <w:p>
      <w:pPr>
        <w:pStyle w:val="BodyText"/>
        <w:spacing w:line="446" w:lineRule="auto" w:before="47"/>
        <w:ind w:left="838" w:right="4395"/>
      </w:pPr>
      <w:r>
        <w:rPr>
          <w:spacing w:val="-9"/>
        </w:rPr>
        <w:t>不符合本标准第 </w:t>
      </w:r>
      <w:r>
        <w:rPr/>
        <w:t>8.1.4</w:t>
      </w:r>
      <w:r>
        <w:rPr>
          <w:spacing w:val="-7"/>
        </w:rPr>
        <w:t> 条任一款要求的定为 </w:t>
      </w:r>
      <w:r>
        <w:rPr/>
        <w:t>B</w:t>
      </w:r>
      <w:r>
        <w:rPr>
          <w:spacing w:val="-11"/>
        </w:rPr>
        <w:t> 类不合格； </w:t>
      </w:r>
      <w:r>
        <w:rPr>
          <w:spacing w:val="-9"/>
        </w:rPr>
        <w:t>不符合本标准第 </w:t>
      </w:r>
      <w:r>
        <w:rPr/>
        <w:t>8.2.1</w:t>
      </w:r>
      <w:r>
        <w:rPr>
          <w:spacing w:val="-7"/>
        </w:rPr>
        <w:t> 条任一款要求的定为 </w:t>
      </w:r>
      <w:r>
        <w:rPr/>
        <w:t>C</w:t>
      </w:r>
      <w:r>
        <w:rPr>
          <w:spacing w:val="-11"/>
        </w:rPr>
        <w:t> 类不合格；</w:t>
      </w:r>
      <w:r>
        <w:rPr/>
        <w:t> </w:t>
      </w:r>
    </w:p>
    <w:p>
      <w:pPr>
        <w:pStyle w:val="BodyText"/>
        <w:spacing w:line="267" w:lineRule="exact"/>
        <w:ind w:left="838"/>
      </w:pPr>
      <w:r>
        <w:rPr/>
        <w:t>系统验收合格判定应为：A=0 且 B≤2，B+C≤6 为合格，否则为不合格。 </w:t>
      </w:r>
    </w:p>
    <w:p>
      <w:pPr>
        <w:pStyle w:val="BodyText"/>
        <w:spacing w:before="10"/>
        <w:rPr>
          <w:sz w:val="15"/>
        </w:rPr>
      </w:pPr>
    </w:p>
    <w:p>
      <w:pPr>
        <w:pStyle w:val="Heading4"/>
        <w:spacing w:before="1"/>
      </w:pPr>
      <w:r>
        <w:rPr/>
        <w:t>9 维护管理</w:t>
      </w:r>
      <w:r>
        <w:rPr>
          <w:w w:val="99"/>
        </w:rPr>
        <w:t> </w:t>
      </w:r>
    </w:p>
    <w:p>
      <w:pPr>
        <w:pStyle w:val="BodyText"/>
        <w:spacing w:before="3"/>
        <w:rPr>
          <w:b/>
          <w:sz w:val="17"/>
        </w:rPr>
      </w:pPr>
    </w:p>
    <w:p>
      <w:pPr>
        <w:pStyle w:val="ListParagraph"/>
        <w:numPr>
          <w:ilvl w:val="2"/>
          <w:numId w:val="892"/>
        </w:numPr>
        <w:tabs>
          <w:tab w:pos="1370" w:val="left" w:leader="none"/>
        </w:tabs>
        <w:spacing w:line="446" w:lineRule="auto" w:before="1" w:after="0"/>
        <w:ind w:left="418" w:right="1604" w:firstLine="422"/>
        <w:jc w:val="left"/>
        <w:rPr>
          <w:sz w:val="21"/>
        </w:rPr>
      </w:pPr>
      <w:r>
        <w:rPr>
          <w:spacing w:val="-3"/>
          <w:sz w:val="21"/>
        </w:rPr>
        <w:t>建筑防烟、排烟系统应制定维护保养管理制度及操作规程，并应保证系统处于准工</w:t>
      </w:r>
      <w:r>
        <w:rPr>
          <w:spacing w:val="-6"/>
          <w:sz w:val="21"/>
        </w:rPr>
        <w:t>作状态。维护管理记录应按本标准附录 </w:t>
      </w:r>
      <w:r>
        <w:rPr>
          <w:sz w:val="21"/>
        </w:rPr>
        <w:t>G</w:t>
      </w:r>
      <w:r>
        <w:rPr>
          <w:spacing w:val="-16"/>
          <w:sz w:val="21"/>
        </w:rPr>
        <w:t> 填写。</w:t>
      </w:r>
      <w:r>
        <w:rPr>
          <w:sz w:val="21"/>
        </w:rPr>
        <w:t> </w:t>
      </w:r>
    </w:p>
    <w:p>
      <w:pPr>
        <w:pStyle w:val="ListParagraph"/>
        <w:numPr>
          <w:ilvl w:val="2"/>
          <w:numId w:val="892"/>
        </w:numPr>
        <w:tabs>
          <w:tab w:pos="1371" w:val="left" w:leader="none"/>
        </w:tabs>
        <w:spacing w:line="240" w:lineRule="auto" w:before="0" w:after="0"/>
        <w:ind w:left="1370" w:right="0" w:hanging="531"/>
        <w:jc w:val="left"/>
        <w:rPr>
          <w:sz w:val="21"/>
        </w:rPr>
      </w:pPr>
      <w:r>
        <w:rPr>
          <w:spacing w:val="-3"/>
          <w:sz w:val="21"/>
        </w:rPr>
        <w:t>维护、管理人员应熟悉防烟、排烟系统的原理、性能和操作维护规程。 </w:t>
      </w:r>
    </w:p>
    <w:p>
      <w:pPr>
        <w:pStyle w:val="BodyText"/>
        <w:spacing w:before="12"/>
        <w:rPr>
          <w:sz w:val="17"/>
        </w:rPr>
      </w:pPr>
    </w:p>
    <w:p>
      <w:pPr>
        <w:pStyle w:val="ListParagraph"/>
        <w:numPr>
          <w:ilvl w:val="2"/>
          <w:numId w:val="892"/>
        </w:numPr>
        <w:tabs>
          <w:tab w:pos="1370" w:val="left" w:leader="none"/>
        </w:tabs>
        <w:spacing w:line="386" w:lineRule="auto" w:before="0" w:after="0"/>
        <w:ind w:left="418" w:right="1604" w:firstLine="422"/>
        <w:jc w:val="left"/>
        <w:rPr>
          <w:sz w:val="21"/>
        </w:rPr>
      </w:pPr>
      <w:r>
        <w:rPr>
          <w:spacing w:val="-3"/>
          <w:sz w:val="21"/>
        </w:rPr>
        <w:t>每季度应对防烟、排烟风机、活动挡烟垂壁、自动排烟窗进行一次功能检测启动试</w:t>
      </w:r>
      <w:r>
        <w:rPr>
          <w:spacing w:val="-6"/>
          <w:sz w:val="21"/>
        </w:rPr>
        <w:t>验及供电线路检查，检查方法应符合本标准第 </w:t>
      </w:r>
      <w:r>
        <w:rPr>
          <w:sz w:val="21"/>
        </w:rPr>
        <w:t>7.2.3</w:t>
      </w:r>
      <w:r>
        <w:rPr>
          <w:spacing w:val="-26"/>
          <w:sz w:val="21"/>
        </w:rPr>
        <w:t> 条</w:t>
      </w:r>
      <w:r>
        <w:rPr>
          <w:rFonts w:ascii="微软雅黑" w:eastAsia="微软雅黑" w:hint="eastAsia"/>
          <w:spacing w:val="-3"/>
          <w:sz w:val="21"/>
        </w:rPr>
        <w:t>〜</w:t>
      </w:r>
      <w:r>
        <w:rPr>
          <w:spacing w:val="-26"/>
          <w:sz w:val="21"/>
        </w:rPr>
        <w:t>第 </w:t>
      </w:r>
      <w:r>
        <w:rPr>
          <w:sz w:val="21"/>
        </w:rPr>
        <w:t>7.2.5</w:t>
      </w:r>
      <w:r>
        <w:rPr>
          <w:spacing w:val="-11"/>
          <w:sz w:val="21"/>
        </w:rPr>
        <w:t> 条的规定。 </w:t>
      </w:r>
    </w:p>
    <w:p>
      <w:pPr>
        <w:pStyle w:val="ListParagraph"/>
        <w:numPr>
          <w:ilvl w:val="2"/>
          <w:numId w:val="892"/>
        </w:numPr>
        <w:tabs>
          <w:tab w:pos="1370" w:val="left" w:leader="none"/>
        </w:tabs>
        <w:spacing w:line="213" w:lineRule="exact" w:before="0" w:after="0"/>
        <w:ind w:left="1369" w:right="0" w:hanging="530"/>
        <w:jc w:val="left"/>
        <w:rPr>
          <w:sz w:val="21"/>
        </w:rPr>
      </w:pPr>
      <w:r>
        <w:rPr>
          <w:spacing w:val="-3"/>
          <w:sz w:val="21"/>
        </w:rPr>
        <w:t>每半年应对全部排烟防火阀、送风阀或送风口、排烟阀或排烟口进行自动和手动启</w:t>
      </w:r>
    </w:p>
    <w:p>
      <w:pPr>
        <w:pStyle w:val="BodyText"/>
        <w:rPr>
          <w:sz w:val="18"/>
        </w:rPr>
      </w:pPr>
    </w:p>
    <w:p>
      <w:pPr>
        <w:pStyle w:val="BodyText"/>
        <w:ind w:left="418"/>
      </w:pPr>
      <w:r>
        <w:rPr/>
        <w:t>动试验一次，检查方法应符合本标准第 7.2.1 条、第 7.2.2 条的规定。 </w:t>
      </w:r>
    </w:p>
    <w:p>
      <w:pPr>
        <w:pStyle w:val="BodyText"/>
        <w:spacing w:before="12"/>
        <w:rPr>
          <w:sz w:val="17"/>
        </w:rPr>
      </w:pPr>
    </w:p>
    <w:p>
      <w:pPr>
        <w:pStyle w:val="ListParagraph"/>
        <w:numPr>
          <w:ilvl w:val="2"/>
          <w:numId w:val="892"/>
        </w:numPr>
        <w:tabs>
          <w:tab w:pos="1371" w:val="left" w:leader="none"/>
        </w:tabs>
        <w:spacing w:line="386" w:lineRule="auto" w:before="0" w:after="0"/>
        <w:ind w:left="418" w:right="1604" w:firstLine="422"/>
        <w:jc w:val="left"/>
        <w:rPr>
          <w:sz w:val="21"/>
        </w:rPr>
      </w:pPr>
      <w:r>
        <w:rPr>
          <w:spacing w:val="-3"/>
          <w:sz w:val="21"/>
        </w:rPr>
        <w:t>每年应对全部防烟、排烟系统进行一次联动试验和性能检测，其联动功能和性能参</w:t>
      </w:r>
      <w:r>
        <w:rPr>
          <w:spacing w:val="-6"/>
          <w:sz w:val="21"/>
        </w:rPr>
        <w:t>数应符合原设计要求，检查方法应符合本标准第 </w:t>
      </w:r>
      <w:r>
        <w:rPr>
          <w:sz w:val="21"/>
        </w:rPr>
        <w:t>7.3</w:t>
      </w:r>
      <w:r>
        <w:rPr>
          <w:spacing w:val="-22"/>
          <w:sz w:val="21"/>
        </w:rPr>
        <w:t> 节和第 </w:t>
      </w:r>
      <w:r>
        <w:rPr>
          <w:sz w:val="21"/>
        </w:rPr>
        <w:t>8.2.5</w:t>
      </w:r>
      <w:r>
        <w:rPr>
          <w:spacing w:val="-26"/>
          <w:sz w:val="21"/>
        </w:rPr>
        <w:t> 条</w:t>
      </w:r>
      <w:r>
        <w:rPr>
          <w:rFonts w:ascii="微软雅黑" w:eastAsia="微软雅黑" w:hint="eastAsia"/>
          <w:spacing w:val="-3"/>
          <w:sz w:val="21"/>
        </w:rPr>
        <w:t>〜</w:t>
      </w:r>
      <w:r>
        <w:rPr>
          <w:spacing w:val="-25"/>
          <w:sz w:val="21"/>
        </w:rPr>
        <w:t>第 </w:t>
      </w:r>
      <w:r>
        <w:rPr>
          <w:sz w:val="21"/>
        </w:rPr>
        <w:t>8.2.7</w:t>
      </w:r>
      <w:r>
        <w:rPr>
          <w:spacing w:val="-11"/>
          <w:sz w:val="21"/>
        </w:rPr>
        <w:t> 条的规定。</w:t>
      </w:r>
      <w:r>
        <w:rPr>
          <w:sz w:val="21"/>
        </w:rPr>
        <w:t> </w:t>
      </w:r>
    </w:p>
    <w:p>
      <w:pPr>
        <w:pStyle w:val="ListParagraph"/>
        <w:numPr>
          <w:ilvl w:val="2"/>
          <w:numId w:val="892"/>
        </w:numPr>
        <w:tabs>
          <w:tab w:pos="1371" w:val="left" w:leader="none"/>
        </w:tabs>
        <w:spacing w:line="214" w:lineRule="exact" w:before="0" w:after="0"/>
        <w:ind w:left="1370" w:right="0" w:hanging="531"/>
        <w:jc w:val="left"/>
        <w:rPr>
          <w:sz w:val="21"/>
        </w:rPr>
      </w:pPr>
      <w:r>
        <w:rPr>
          <w:spacing w:val="-6"/>
          <w:sz w:val="21"/>
        </w:rPr>
        <w:t>排烟窗的温控释放装置、排烟防火阀的易熔片应有 </w:t>
      </w:r>
      <w:r>
        <w:rPr>
          <w:sz w:val="21"/>
        </w:rPr>
        <w:t>10</w:t>
      </w:r>
      <w:r>
        <w:rPr>
          <w:spacing w:val="-3"/>
          <w:sz w:val="21"/>
        </w:rPr>
        <w:t>%的备用件，且不少于 </w:t>
      </w:r>
      <w:r>
        <w:rPr>
          <w:sz w:val="21"/>
        </w:rPr>
        <w:t>10</w:t>
      </w:r>
      <w:r>
        <w:rPr>
          <w:spacing w:val="-19"/>
          <w:sz w:val="21"/>
        </w:rPr>
        <w:t> 只。</w:t>
      </w:r>
      <w:r>
        <w:rPr>
          <w:sz w:val="21"/>
        </w:rPr>
        <w:t> </w:t>
      </w:r>
    </w:p>
    <w:p>
      <w:pPr>
        <w:pStyle w:val="BodyText"/>
        <w:rPr>
          <w:sz w:val="18"/>
        </w:rPr>
      </w:pPr>
    </w:p>
    <w:p>
      <w:pPr>
        <w:pStyle w:val="ListParagraph"/>
        <w:numPr>
          <w:ilvl w:val="2"/>
          <w:numId w:val="892"/>
        </w:numPr>
        <w:tabs>
          <w:tab w:pos="1371" w:val="left" w:leader="none"/>
        </w:tabs>
        <w:spacing w:line="446" w:lineRule="auto" w:before="0" w:after="0"/>
        <w:ind w:left="418" w:right="1604" w:firstLine="422"/>
        <w:jc w:val="left"/>
        <w:rPr>
          <w:sz w:val="21"/>
        </w:rPr>
      </w:pPr>
      <w:r>
        <w:rPr>
          <w:spacing w:val="-3"/>
          <w:sz w:val="21"/>
        </w:rPr>
        <w:t>当防烟排烟系统采用无机玻璃钢风管时，应每年对该风管质量检查，检查面积应不</w:t>
      </w:r>
      <w:r>
        <w:rPr>
          <w:spacing w:val="-10"/>
          <w:sz w:val="21"/>
        </w:rPr>
        <w:t>少于风管面积的 </w:t>
      </w:r>
      <w:r>
        <w:rPr>
          <w:sz w:val="21"/>
        </w:rPr>
        <w:t>30</w:t>
      </w:r>
      <w:r>
        <w:rPr>
          <w:spacing w:val="-3"/>
          <w:sz w:val="21"/>
        </w:rPr>
        <w:t>%；风管表面应光洁、无明显泛霜、结露和分层现象。</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3"/>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spacing w:before="4"/>
        <w:rPr>
          <w:rFonts w:ascii="Times New Roman"/>
          <w:sz w:val="17"/>
        </w:rPr>
      </w:pPr>
    </w:p>
    <w:p>
      <w:pPr>
        <w:spacing w:after="0"/>
        <w:rPr>
          <w:rFonts w:ascii="Times New Roman"/>
          <w:sz w:val="17"/>
        </w:rPr>
        <w:sectPr>
          <w:footerReference w:type="default" r:id="rId525"/>
          <w:pgSz w:w="11910" w:h="16850"/>
          <w:pgMar w:footer="1239" w:header="0" w:top="1600" w:bottom="1420" w:left="1260" w:right="0"/>
          <w:pgNumType w:start="1560"/>
        </w:sectPr>
      </w:pPr>
    </w:p>
    <w:p>
      <w:pPr>
        <w:pStyle w:val="Heading2"/>
        <w:spacing w:before="157"/>
        <w:ind w:right="798"/>
        <w:rPr>
          <w:sz w:val="44"/>
        </w:rPr>
      </w:pPr>
      <w:bookmarkStart w:name="_bookmark33" w:id="34"/>
      <w:bookmarkEnd w:id="34"/>
      <w:r>
        <w:rPr>
          <w:b w:val="0"/>
        </w:rPr>
      </w:r>
      <w:r>
        <w:rPr/>
        <w:t>建筑内部装修设计防火规范</w:t>
      </w:r>
      <w:r>
        <w:rPr>
          <w:w w:val="99"/>
          <w:sz w:val="44"/>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BodyText"/>
        <w:spacing w:line="446" w:lineRule="auto"/>
        <w:ind w:left="840" w:right="1604"/>
      </w:pPr>
      <w:r>
        <w:rPr>
          <w:b/>
          <w:color w:val="333333"/>
        </w:rPr>
        <w:t>1.1  </w:t>
      </w:r>
      <w:r>
        <w:rPr/>
        <w:t>为规范建筑内部装修设计，减少火灾危害，保护人身和财产安全，制定本规范。</w:t>
      </w:r>
      <w:r>
        <w:rPr>
          <w:b/>
          <w:color w:val="333333"/>
        </w:rPr>
        <w:t>1.2 </w:t>
      </w:r>
      <w:r>
        <w:rPr/>
        <w:t>本规范适用于工业和民用建筑的内部装修防火设计，不适用于古建筑和木结构建筑的</w:t>
      </w:r>
    </w:p>
    <w:p>
      <w:pPr>
        <w:pStyle w:val="BodyText"/>
        <w:ind w:left="418"/>
      </w:pPr>
      <w:r>
        <w:rPr/>
        <w:t>内部装修防火设计。 </w:t>
      </w:r>
    </w:p>
    <w:p>
      <w:pPr>
        <w:pStyle w:val="BodyText"/>
        <w:spacing w:before="12"/>
        <w:rPr>
          <w:sz w:val="17"/>
        </w:rPr>
      </w:pPr>
    </w:p>
    <w:p>
      <w:pPr>
        <w:pStyle w:val="ListParagraph"/>
        <w:numPr>
          <w:ilvl w:val="1"/>
          <w:numId w:val="893"/>
        </w:numPr>
        <w:tabs>
          <w:tab w:pos="1159" w:val="left" w:leader="none"/>
        </w:tabs>
        <w:spacing w:line="446" w:lineRule="auto" w:before="0" w:after="0"/>
        <w:ind w:left="418" w:right="1604" w:firstLine="422"/>
        <w:jc w:val="left"/>
        <w:rPr>
          <w:sz w:val="21"/>
        </w:rPr>
      </w:pPr>
      <w:r>
        <w:rPr>
          <w:spacing w:val="-3"/>
          <w:sz w:val="21"/>
        </w:rPr>
        <w:t>建筑内部装修设计应积极采用不燃性材料和难燃性材料，避免采用燃烧时产生大量浓烟或有毒气体的材料，做到安全适用，技术先进，经济合理。</w:t>
      </w:r>
      <w:r>
        <w:rPr>
          <w:sz w:val="21"/>
        </w:rPr>
        <w:t> </w:t>
      </w:r>
    </w:p>
    <w:p>
      <w:pPr>
        <w:pStyle w:val="ListParagraph"/>
        <w:numPr>
          <w:ilvl w:val="1"/>
          <w:numId w:val="893"/>
        </w:numPr>
        <w:tabs>
          <w:tab w:pos="1159" w:val="left" w:leader="none"/>
        </w:tabs>
        <w:spacing w:line="240" w:lineRule="auto" w:before="1" w:after="0"/>
        <w:ind w:left="1158" w:right="0" w:hanging="319"/>
        <w:jc w:val="left"/>
        <w:rPr>
          <w:sz w:val="21"/>
        </w:rPr>
      </w:pPr>
      <w:r>
        <w:rPr>
          <w:spacing w:val="-3"/>
          <w:sz w:val="21"/>
        </w:rPr>
        <w:t>建筑内部装修防火设计除执行本规范的规定外，尚应符合国家现行有关标准的规定。</w:t>
      </w:r>
      <w:r>
        <w:rPr>
          <w:sz w:val="21"/>
        </w:rPr>
        <w:t> </w:t>
      </w:r>
    </w:p>
    <w:p>
      <w:pPr>
        <w:pStyle w:val="BodyText"/>
        <w:spacing w:before="7"/>
        <w:rPr>
          <w:sz w:val="15"/>
        </w:rPr>
      </w:pPr>
    </w:p>
    <w:p>
      <w:pPr>
        <w:pStyle w:val="Heading4"/>
        <w:spacing w:before="1"/>
      </w:pPr>
      <w:r>
        <w:rPr/>
        <w:t>2 术语</w:t>
      </w:r>
      <w:r>
        <w:rPr>
          <w:w w:val="99"/>
        </w:rPr>
        <w:t> </w:t>
      </w:r>
    </w:p>
    <w:p>
      <w:pPr>
        <w:pStyle w:val="BodyText"/>
        <w:spacing w:before="3"/>
        <w:rPr>
          <w:b/>
          <w:sz w:val="17"/>
        </w:rPr>
      </w:pPr>
    </w:p>
    <w:p>
      <w:pPr>
        <w:pStyle w:val="BodyText"/>
        <w:spacing w:before="1"/>
        <w:ind w:left="840"/>
      </w:pPr>
      <w:r>
        <w:rPr>
          <w:b/>
          <w:color w:val="333333"/>
        </w:rPr>
        <w:t>2.1 </w:t>
      </w:r>
      <w:r>
        <w:rPr/>
        <w:t>建筑内部装修 interior decoration of buildings </w:t>
      </w:r>
    </w:p>
    <w:p>
      <w:pPr>
        <w:pStyle w:val="BodyText"/>
        <w:spacing w:before="1"/>
        <w:rPr>
          <w:sz w:val="18"/>
        </w:rPr>
      </w:pPr>
    </w:p>
    <w:p>
      <w:pPr>
        <w:pStyle w:val="BodyText"/>
        <w:spacing w:line="446" w:lineRule="auto"/>
        <w:ind w:left="840" w:right="2345" w:hanging="3"/>
      </w:pPr>
      <w:r>
        <w:rPr/>
        <w:t>为满足功能需求，对建筑内部空间所进行的修饰、保护及固定设施安装等活动。</w:t>
      </w:r>
      <w:r>
        <w:rPr>
          <w:b/>
          <w:color w:val="333333"/>
        </w:rPr>
        <w:t>2.2 </w:t>
      </w:r>
      <w:r>
        <w:rPr/>
        <w:t>装饰织物 decorative fabric </w:t>
      </w:r>
    </w:p>
    <w:p>
      <w:pPr>
        <w:pStyle w:val="BodyText"/>
        <w:spacing w:line="446" w:lineRule="auto"/>
        <w:ind w:left="418" w:right="1611" w:firstLine="419"/>
      </w:pPr>
      <w:r>
        <w:rPr/>
        <w:t>满足建筑内部功能需求，由棉、麻、丝、毛等天然纤维及其他合成纤维制作的纺织品，如窗帘、帷幕等。 </w:t>
      </w:r>
    </w:p>
    <w:p>
      <w:pPr>
        <w:spacing w:before="0"/>
        <w:ind w:left="840" w:right="0" w:firstLine="0"/>
        <w:jc w:val="left"/>
        <w:rPr>
          <w:sz w:val="21"/>
        </w:rPr>
      </w:pPr>
      <w:r>
        <w:rPr>
          <w:b/>
          <w:color w:val="333333"/>
          <w:sz w:val="21"/>
        </w:rPr>
        <w:t>2.3</w:t>
      </w:r>
      <w:r>
        <w:rPr>
          <w:b/>
          <w:sz w:val="21"/>
        </w:rPr>
        <w:t> </w:t>
      </w:r>
      <w:r>
        <w:rPr>
          <w:sz w:val="21"/>
        </w:rPr>
        <w:t>隔断 partition </w:t>
      </w:r>
    </w:p>
    <w:p>
      <w:pPr>
        <w:pStyle w:val="BodyText"/>
        <w:spacing w:before="10"/>
        <w:rPr>
          <w:sz w:val="17"/>
        </w:rPr>
      </w:pPr>
    </w:p>
    <w:p>
      <w:pPr>
        <w:pStyle w:val="BodyText"/>
        <w:spacing w:line="446" w:lineRule="auto" w:before="1"/>
        <w:ind w:left="840" w:right="5917" w:hanging="3"/>
      </w:pPr>
      <w:r>
        <w:rPr/>
        <w:t>建筑内部固定的、不到顶的垂直分隔物。</w:t>
      </w:r>
      <w:r>
        <w:rPr>
          <w:b/>
        </w:rPr>
        <w:t>2.4 </w:t>
      </w:r>
      <w:r>
        <w:rPr/>
        <w:t>固定家具 fixed furniture </w:t>
      </w:r>
    </w:p>
    <w:p>
      <w:pPr>
        <w:pStyle w:val="BodyText"/>
        <w:spacing w:line="446" w:lineRule="auto"/>
        <w:ind w:left="418" w:right="1609" w:firstLine="419"/>
      </w:pPr>
      <w:r>
        <w:rPr/>
        <w:t>与建筑结构固定在一起或不易改变位置的家具。如建筑内部的壁橱、壁柜、陈列台、大型货架等。 </w:t>
      </w:r>
    </w:p>
    <w:p>
      <w:pPr>
        <w:pStyle w:val="Heading4"/>
        <w:spacing w:line="278" w:lineRule="exact"/>
      </w:pPr>
      <w:r>
        <w:rPr/>
        <w:t>3 装修材料的分类和分级</w:t>
      </w:r>
      <w:r>
        <w:rPr>
          <w:w w:val="99"/>
        </w:rPr>
        <w:t> </w:t>
      </w:r>
    </w:p>
    <w:p>
      <w:pPr>
        <w:pStyle w:val="BodyText"/>
        <w:spacing w:before="3"/>
        <w:rPr>
          <w:b/>
          <w:sz w:val="17"/>
        </w:rPr>
      </w:pPr>
    </w:p>
    <w:p>
      <w:pPr>
        <w:pStyle w:val="BodyText"/>
        <w:spacing w:line="446" w:lineRule="auto"/>
        <w:ind w:left="418" w:right="1604" w:firstLine="422"/>
      </w:pPr>
      <w:r>
        <w:rPr>
          <w:b/>
        </w:rPr>
        <w:t>3.1 </w:t>
      </w:r>
      <w:r>
        <w:rPr/>
        <w:t>装修材料按其使用部位和功能，可划分为顶棚装修材料、墙面装修材料、地面装修材料、隔断装修材料、固定家具、装饰织物、其他装修装饰材料七类。 </w:t>
      </w:r>
    </w:p>
    <w:p>
      <w:pPr>
        <w:pStyle w:val="BodyText"/>
        <w:spacing w:line="446" w:lineRule="auto"/>
        <w:ind w:left="840" w:right="2451" w:hanging="3"/>
      </w:pPr>
      <w:r>
        <w:rPr/>
        <w:drawing>
          <wp:anchor distT="0" distB="0" distL="0" distR="0" allowOverlap="1" layoutInCell="1" locked="0" behindDoc="1" simplePos="0" relativeHeight="215963648">
            <wp:simplePos x="0" y="0"/>
            <wp:positionH relativeFrom="page">
              <wp:posOffset>1419225</wp:posOffset>
            </wp:positionH>
            <wp:positionV relativeFrom="paragraph">
              <wp:posOffset>529081</wp:posOffset>
            </wp:positionV>
            <wp:extent cx="4263432" cy="1173480"/>
            <wp:effectExtent l="0" t="0" r="0" b="0"/>
            <wp:wrapNone/>
            <wp:docPr id="705" name="image412.jpeg"/>
            <wp:cNvGraphicFramePr>
              <a:graphicFrameLocks noChangeAspect="1"/>
            </wp:cNvGraphicFramePr>
            <a:graphic>
              <a:graphicData uri="http://schemas.openxmlformats.org/drawingml/2006/picture">
                <pic:pic>
                  <pic:nvPicPr>
                    <pic:cNvPr id="706" name="image412.jpeg"/>
                    <pic:cNvPicPr/>
                  </pic:nvPicPr>
                  <pic:blipFill>
                    <a:blip r:embed="rId526" cstate="print"/>
                    <a:stretch>
                      <a:fillRect/>
                    </a:stretch>
                  </pic:blipFill>
                  <pic:spPr>
                    <a:xfrm>
                      <a:off x="0" y="0"/>
                      <a:ext cx="4263432" cy="1173480"/>
                    </a:xfrm>
                    <a:prstGeom prst="rect">
                      <a:avLst/>
                    </a:prstGeom>
                  </pic:spPr>
                </pic:pic>
              </a:graphicData>
            </a:graphic>
          </wp:anchor>
        </w:drawing>
      </w:r>
      <w:r>
        <w:rPr>
          <w:w w:val="100"/>
        </w:rPr>
        <w:t> </w:t>
      </w:r>
      <w:r>
        <w:rPr/>
        <w:t>注：其他装修装饰材料系指楼梯扶手、挂镜线、踢脚板、窗帘盒、暖气罩等。</w:t>
      </w:r>
      <w:r>
        <w:rPr>
          <w:b/>
        </w:rPr>
        <w:t>3.2 </w:t>
      </w:r>
      <w:r>
        <w:rPr/>
        <w:t>装修材料按其燃烧性能应划分为四级，并应符合本规范表 3.0.2 的规定。 </w:t>
      </w:r>
    </w:p>
    <w:p>
      <w:pPr>
        <w:spacing w:after="0" w:line="446" w:lineRule="auto"/>
        <w:sectPr>
          <w:pgSz w:w="11910" w:h="16850"/>
          <w:pgMar w:header="0" w:footer="1239" w:top="1020" w:bottom="1420" w:left="1260" w:right="0"/>
        </w:sectPr>
      </w:pPr>
    </w:p>
    <w:p>
      <w:pPr>
        <w:pStyle w:val="ListParagraph"/>
        <w:numPr>
          <w:ilvl w:val="1"/>
          <w:numId w:val="894"/>
        </w:numPr>
        <w:tabs>
          <w:tab w:pos="1159" w:val="left" w:leader="none"/>
        </w:tabs>
        <w:spacing w:line="240" w:lineRule="auto" w:before="47" w:after="0"/>
        <w:ind w:left="1158" w:right="0" w:hanging="319"/>
        <w:jc w:val="left"/>
        <w:rPr>
          <w:sz w:val="21"/>
        </w:rPr>
      </w:pPr>
      <w:r>
        <w:rPr>
          <w:spacing w:val="-3"/>
          <w:sz w:val="21"/>
        </w:rPr>
        <w:t>装修材料的燃烧性能等级应按现行国家标准《建筑材料及制品燃烧性能分级》</w:t>
      </w:r>
      <w:r>
        <w:rPr>
          <w:sz w:val="21"/>
        </w:rPr>
        <w:t>GB</w:t>
      </w:r>
      <w:r>
        <w:rPr>
          <w:spacing w:val="3"/>
          <w:sz w:val="21"/>
        </w:rPr>
        <w:t> </w:t>
      </w:r>
      <w:r>
        <w:rPr>
          <w:sz w:val="21"/>
        </w:rPr>
        <w:t>8624</w:t>
      </w:r>
    </w:p>
    <w:p>
      <w:pPr>
        <w:pStyle w:val="BodyText"/>
        <w:rPr>
          <w:sz w:val="18"/>
        </w:rPr>
      </w:pPr>
    </w:p>
    <w:p>
      <w:pPr>
        <w:pStyle w:val="BodyText"/>
        <w:ind w:left="418"/>
      </w:pPr>
      <w:r>
        <w:rPr/>
        <w:t>的有关规定，经检测确定。 </w:t>
      </w:r>
    </w:p>
    <w:p>
      <w:pPr>
        <w:pStyle w:val="BodyText"/>
        <w:spacing w:before="12"/>
        <w:rPr>
          <w:sz w:val="17"/>
        </w:rPr>
      </w:pPr>
    </w:p>
    <w:p>
      <w:pPr>
        <w:pStyle w:val="ListParagraph"/>
        <w:numPr>
          <w:ilvl w:val="1"/>
          <w:numId w:val="894"/>
        </w:numPr>
        <w:tabs>
          <w:tab w:pos="1159" w:val="left" w:leader="none"/>
        </w:tabs>
        <w:spacing w:line="448" w:lineRule="auto" w:before="0" w:after="0"/>
        <w:ind w:left="418" w:right="1575" w:firstLine="422"/>
        <w:jc w:val="left"/>
        <w:rPr>
          <w:sz w:val="21"/>
        </w:rPr>
      </w:pPr>
      <w:r>
        <w:rPr>
          <w:spacing w:val="-6"/>
          <w:position w:val="1"/>
          <w:sz w:val="21"/>
        </w:rPr>
        <w:t>安装在金属龙骨上燃烧性能达到 </w:t>
      </w:r>
      <w:r>
        <w:rPr>
          <w:position w:val="1"/>
          <w:sz w:val="21"/>
        </w:rPr>
        <w:t>B</w:t>
      </w:r>
      <w:r>
        <w:rPr>
          <w:sz w:val="11"/>
        </w:rPr>
        <w:t>1</w:t>
      </w:r>
      <w:r>
        <w:rPr>
          <w:spacing w:val="-26"/>
          <w:sz w:val="11"/>
        </w:rPr>
        <w:t> </w:t>
      </w:r>
      <w:r>
        <w:rPr>
          <w:spacing w:val="-6"/>
          <w:position w:val="1"/>
          <w:sz w:val="21"/>
        </w:rPr>
        <w:t>级的纸面石膏板、矿棉吸声板，可作为 </w:t>
      </w:r>
      <w:r>
        <w:rPr>
          <w:position w:val="1"/>
          <w:sz w:val="21"/>
        </w:rPr>
        <w:t>A</w:t>
      </w:r>
      <w:r>
        <w:rPr>
          <w:spacing w:val="-12"/>
          <w:position w:val="1"/>
          <w:sz w:val="21"/>
        </w:rPr>
        <w:t> 级装修材</w:t>
      </w:r>
      <w:r>
        <w:rPr>
          <w:spacing w:val="-8"/>
          <w:sz w:val="21"/>
        </w:rPr>
        <w:t>料使用。</w:t>
      </w:r>
      <w:r>
        <w:rPr>
          <w:sz w:val="21"/>
        </w:rPr>
        <w:t> </w:t>
      </w:r>
    </w:p>
    <w:p>
      <w:pPr>
        <w:pStyle w:val="ListParagraph"/>
        <w:numPr>
          <w:ilvl w:val="1"/>
          <w:numId w:val="894"/>
        </w:numPr>
        <w:tabs>
          <w:tab w:pos="1160" w:val="left" w:leader="none"/>
        </w:tabs>
        <w:spacing w:line="264" w:lineRule="exact" w:before="0" w:after="0"/>
        <w:ind w:left="1159" w:right="0" w:hanging="320"/>
        <w:jc w:val="left"/>
        <w:rPr>
          <w:sz w:val="11"/>
        </w:rPr>
      </w:pPr>
      <w:r>
        <w:rPr>
          <w:spacing w:val="-9"/>
          <w:position w:val="1"/>
          <w:sz w:val="21"/>
        </w:rPr>
        <w:t>单位面积质量小于 </w:t>
      </w:r>
      <w:r>
        <w:rPr>
          <w:position w:val="1"/>
          <w:sz w:val="21"/>
        </w:rPr>
        <w:t>300g/</w:t>
      </w:r>
      <w:r>
        <w:rPr>
          <w:spacing w:val="-6"/>
          <w:position w:val="1"/>
          <w:sz w:val="21"/>
        </w:rPr>
        <w:t>㎡的纸质、布质壁纸，当直接粘贴在 </w:t>
      </w:r>
      <w:r>
        <w:rPr>
          <w:position w:val="1"/>
          <w:sz w:val="21"/>
        </w:rPr>
        <w:t>A</w:t>
      </w:r>
      <w:r>
        <w:rPr>
          <w:spacing w:val="-13"/>
          <w:position w:val="1"/>
          <w:sz w:val="21"/>
        </w:rPr>
        <w:t> 级基材上时，可作为 </w:t>
      </w:r>
      <w:r>
        <w:rPr>
          <w:position w:val="1"/>
          <w:sz w:val="21"/>
        </w:rPr>
        <w:t>B</w:t>
      </w:r>
      <w:r>
        <w:rPr>
          <w:sz w:val="11"/>
        </w:rPr>
        <w:t>1</w:t>
      </w:r>
    </w:p>
    <w:p>
      <w:pPr>
        <w:pStyle w:val="BodyText"/>
        <w:rPr>
          <w:sz w:val="18"/>
        </w:rPr>
      </w:pPr>
    </w:p>
    <w:p>
      <w:pPr>
        <w:pStyle w:val="BodyText"/>
        <w:ind w:left="418"/>
      </w:pPr>
      <w:r>
        <w:rPr/>
        <w:t>级装修材料使用。 </w:t>
      </w:r>
    </w:p>
    <w:p>
      <w:pPr>
        <w:pStyle w:val="BodyText"/>
        <w:spacing w:before="2"/>
        <w:rPr>
          <w:sz w:val="18"/>
        </w:rPr>
      </w:pPr>
    </w:p>
    <w:p>
      <w:pPr>
        <w:pStyle w:val="ListParagraph"/>
        <w:numPr>
          <w:ilvl w:val="1"/>
          <w:numId w:val="894"/>
        </w:numPr>
        <w:tabs>
          <w:tab w:pos="1159" w:val="left" w:leader="none"/>
        </w:tabs>
        <w:spacing w:line="446" w:lineRule="auto" w:before="0" w:after="0"/>
        <w:ind w:left="418" w:right="1529" w:firstLine="422"/>
        <w:jc w:val="left"/>
        <w:rPr>
          <w:sz w:val="21"/>
        </w:rPr>
      </w:pPr>
      <w:r>
        <w:rPr>
          <w:spacing w:val="15"/>
          <w:sz w:val="21"/>
        </w:rPr>
        <w:t>施涂于</w:t>
      </w:r>
      <w:r>
        <w:rPr>
          <w:sz w:val="21"/>
        </w:rPr>
        <w:t>A</w:t>
      </w:r>
      <w:r>
        <w:rPr>
          <w:spacing w:val="-11"/>
          <w:sz w:val="21"/>
        </w:rPr>
        <w:t> 级基材上的无机装修涂料，可作为 </w:t>
      </w:r>
      <w:r>
        <w:rPr>
          <w:sz w:val="21"/>
        </w:rPr>
        <w:t>A</w:t>
      </w:r>
      <w:r>
        <w:rPr>
          <w:spacing w:val="-4"/>
          <w:sz w:val="21"/>
        </w:rPr>
        <w:t> 级装修材料使用；施涂于</w:t>
      </w:r>
      <w:r>
        <w:rPr>
          <w:sz w:val="21"/>
        </w:rPr>
        <w:t>A</w:t>
      </w:r>
      <w:r>
        <w:rPr>
          <w:spacing w:val="-10"/>
          <w:sz w:val="21"/>
        </w:rPr>
        <w:t> 级基材上， </w:t>
      </w:r>
      <w:r>
        <w:rPr>
          <w:spacing w:val="-11"/>
          <w:position w:val="1"/>
          <w:sz w:val="21"/>
        </w:rPr>
        <w:t>湿涂覆比小于 </w:t>
      </w:r>
      <w:r>
        <w:rPr>
          <w:position w:val="1"/>
          <w:sz w:val="21"/>
        </w:rPr>
        <w:t>1.5kg/</w:t>
      </w:r>
      <w:r>
        <w:rPr>
          <w:spacing w:val="-7"/>
          <w:position w:val="1"/>
          <w:sz w:val="21"/>
        </w:rPr>
        <w:t>㎡，且涂层干膜厚度不大于 </w:t>
      </w:r>
      <w:r>
        <w:rPr>
          <w:position w:val="1"/>
          <w:sz w:val="21"/>
        </w:rPr>
        <w:t>1.0mm</w:t>
      </w:r>
      <w:r>
        <w:rPr>
          <w:spacing w:val="-11"/>
          <w:position w:val="1"/>
          <w:sz w:val="21"/>
        </w:rPr>
        <w:t> 的有机装修涂料，可作为 </w:t>
      </w:r>
      <w:r>
        <w:rPr>
          <w:position w:val="1"/>
          <w:sz w:val="21"/>
        </w:rPr>
        <w:t>B</w:t>
      </w:r>
      <w:r>
        <w:rPr>
          <w:sz w:val="11"/>
        </w:rPr>
        <w:t>1</w:t>
      </w:r>
      <w:r>
        <w:rPr>
          <w:spacing w:val="-25"/>
          <w:sz w:val="11"/>
        </w:rPr>
        <w:t> </w:t>
      </w:r>
      <w:r>
        <w:rPr>
          <w:spacing w:val="-3"/>
          <w:position w:val="1"/>
          <w:sz w:val="21"/>
        </w:rPr>
        <w:t>级装修材料</w:t>
      </w:r>
      <w:r>
        <w:rPr>
          <w:spacing w:val="-3"/>
          <w:sz w:val="21"/>
        </w:rPr>
        <w:t>使用。</w:t>
      </w:r>
      <w:r>
        <w:rPr>
          <w:sz w:val="21"/>
        </w:rPr>
        <w:t> </w:t>
      </w:r>
    </w:p>
    <w:p>
      <w:pPr>
        <w:pStyle w:val="ListParagraph"/>
        <w:numPr>
          <w:ilvl w:val="1"/>
          <w:numId w:val="894"/>
        </w:numPr>
        <w:tabs>
          <w:tab w:pos="1159" w:val="left" w:leader="none"/>
        </w:tabs>
        <w:spacing w:line="446" w:lineRule="auto" w:before="0" w:after="0"/>
        <w:ind w:left="418" w:right="1604" w:firstLine="422"/>
        <w:jc w:val="left"/>
        <w:rPr>
          <w:sz w:val="21"/>
        </w:rPr>
      </w:pPr>
      <w:r>
        <w:rPr>
          <w:spacing w:val="-3"/>
          <w:sz w:val="21"/>
        </w:rPr>
        <w:t>当使用多层装修材料时，各层装修材料的燃烧性能等级均应符合本规范的规定。复合型装修材料的燃烧性能等级应进行整体检测确定。</w:t>
      </w:r>
      <w:r>
        <w:rPr>
          <w:sz w:val="21"/>
        </w:rPr>
        <w:t> </w:t>
      </w:r>
    </w:p>
    <w:p>
      <w:pPr>
        <w:pStyle w:val="Heading4"/>
        <w:spacing w:line="275" w:lineRule="exact"/>
      </w:pPr>
      <w:r>
        <w:rPr/>
        <w:t>4 特别场所</w:t>
      </w:r>
      <w:r>
        <w:rPr>
          <w:w w:val="99"/>
        </w:rPr>
        <w:t> </w:t>
      </w:r>
    </w:p>
    <w:p>
      <w:pPr>
        <w:pStyle w:val="BodyText"/>
        <w:spacing w:before="5"/>
        <w:rPr>
          <w:b/>
          <w:sz w:val="17"/>
        </w:rPr>
      </w:pPr>
    </w:p>
    <w:p>
      <w:pPr>
        <w:pStyle w:val="ListParagraph"/>
        <w:numPr>
          <w:ilvl w:val="1"/>
          <w:numId w:val="895"/>
        </w:numPr>
        <w:tabs>
          <w:tab w:pos="1159" w:val="left" w:leader="none"/>
        </w:tabs>
        <w:spacing w:line="446" w:lineRule="auto" w:before="0" w:after="0"/>
        <w:ind w:left="418" w:right="1813" w:firstLine="422"/>
        <w:jc w:val="left"/>
        <w:rPr>
          <w:sz w:val="21"/>
        </w:rPr>
      </w:pPr>
      <w:r>
        <w:rPr>
          <w:spacing w:val="-3"/>
          <w:sz w:val="21"/>
        </w:rPr>
        <w:t>建筑内部装修不应擅自减少、改动、拆除、遮挡消防设施、疏散指示标志、安全出口、疏散出口、疏散走道和防火分区、防烟分区等。 </w:t>
      </w:r>
    </w:p>
    <w:p>
      <w:pPr>
        <w:pStyle w:val="ListParagraph"/>
        <w:numPr>
          <w:ilvl w:val="1"/>
          <w:numId w:val="895"/>
        </w:numPr>
        <w:tabs>
          <w:tab w:pos="1159" w:val="left" w:leader="none"/>
        </w:tabs>
        <w:spacing w:line="446" w:lineRule="auto" w:before="0" w:after="0"/>
        <w:ind w:left="418" w:right="1604" w:firstLine="422"/>
        <w:jc w:val="left"/>
        <w:rPr>
          <w:sz w:val="21"/>
        </w:rPr>
      </w:pPr>
      <w:r>
        <w:rPr>
          <w:spacing w:val="-3"/>
          <w:sz w:val="21"/>
        </w:rPr>
        <w:t>建筑内部消火栓箱门不应被装饰物遮掩，消火栓箱门四周的装修材料颜色应与消火栓箱门的颜色有明显区别或在消火栓箱门表面设置发光标志。</w:t>
      </w:r>
      <w:r>
        <w:rPr>
          <w:sz w:val="21"/>
        </w:rPr>
        <w:t> </w:t>
      </w:r>
    </w:p>
    <w:p>
      <w:pPr>
        <w:pStyle w:val="ListParagraph"/>
        <w:numPr>
          <w:ilvl w:val="1"/>
          <w:numId w:val="895"/>
        </w:numPr>
        <w:tabs>
          <w:tab w:pos="1159" w:val="left" w:leader="none"/>
        </w:tabs>
        <w:spacing w:line="240" w:lineRule="auto" w:before="0" w:after="0"/>
        <w:ind w:left="1158" w:right="0" w:hanging="319"/>
        <w:jc w:val="left"/>
        <w:rPr>
          <w:sz w:val="21"/>
        </w:rPr>
      </w:pPr>
      <w:r>
        <w:rPr>
          <w:spacing w:val="-3"/>
          <w:sz w:val="21"/>
        </w:rPr>
        <w:t>疏散走道和安全出口的顶棚、墙面不应采用影响人员安全疏散的镜面反光材料。</w:t>
      </w:r>
      <w:r>
        <w:rPr>
          <w:sz w:val="21"/>
        </w:rPr>
        <w:t> </w:t>
      </w:r>
    </w:p>
    <w:p>
      <w:pPr>
        <w:pStyle w:val="BodyText"/>
        <w:spacing w:before="10"/>
        <w:rPr>
          <w:sz w:val="17"/>
        </w:rPr>
      </w:pPr>
    </w:p>
    <w:p>
      <w:pPr>
        <w:pStyle w:val="ListParagraph"/>
        <w:numPr>
          <w:ilvl w:val="1"/>
          <w:numId w:val="895"/>
        </w:numPr>
        <w:tabs>
          <w:tab w:pos="1159" w:val="left" w:leader="none"/>
        </w:tabs>
        <w:spacing w:line="446" w:lineRule="auto" w:before="1" w:after="0"/>
        <w:ind w:left="418" w:right="1505" w:firstLine="422"/>
        <w:jc w:val="left"/>
        <w:rPr>
          <w:sz w:val="21"/>
        </w:rPr>
      </w:pPr>
      <w:r>
        <w:rPr>
          <w:spacing w:val="-5"/>
          <w:sz w:val="21"/>
        </w:rPr>
        <w:t>地上建筑的水平疏散走道和安全出口的门厅，其顶棚应采用 </w:t>
      </w:r>
      <w:r>
        <w:rPr>
          <w:sz w:val="21"/>
        </w:rPr>
        <w:t>A</w:t>
      </w:r>
      <w:r>
        <w:rPr>
          <w:spacing w:val="-7"/>
          <w:sz w:val="21"/>
        </w:rPr>
        <w:t> 级装修材料，其他部位应</w:t>
      </w:r>
      <w:r>
        <w:rPr>
          <w:spacing w:val="-9"/>
          <w:sz w:val="21"/>
        </w:rPr>
        <w:t>采用不低于 </w:t>
      </w:r>
      <w:r>
        <w:rPr>
          <w:sz w:val="21"/>
        </w:rPr>
        <w:t>B1</w:t>
      </w:r>
      <w:r>
        <w:rPr>
          <w:spacing w:val="-8"/>
          <w:sz w:val="21"/>
        </w:rPr>
        <w:t> 级的装修材料；地下民用建筑的疏散走道和安全出口的门厅，其顶棚、墙面和地</w:t>
      </w:r>
      <w:r>
        <w:rPr>
          <w:spacing w:val="7"/>
          <w:sz w:val="21"/>
        </w:rPr>
        <w:t>面均应采用</w:t>
      </w:r>
      <w:r>
        <w:rPr>
          <w:sz w:val="21"/>
        </w:rPr>
        <w:t>A</w:t>
      </w:r>
      <w:r>
        <w:rPr>
          <w:spacing w:val="-10"/>
          <w:sz w:val="21"/>
        </w:rPr>
        <w:t> 级装修材料。 </w:t>
      </w:r>
    </w:p>
    <w:p>
      <w:pPr>
        <w:pStyle w:val="ListParagraph"/>
        <w:numPr>
          <w:ilvl w:val="1"/>
          <w:numId w:val="895"/>
        </w:numPr>
        <w:tabs>
          <w:tab w:pos="1159" w:val="left" w:leader="none"/>
        </w:tabs>
        <w:spacing w:line="268" w:lineRule="exact" w:before="0" w:after="0"/>
        <w:ind w:left="1158" w:right="0" w:hanging="319"/>
        <w:jc w:val="left"/>
        <w:rPr>
          <w:sz w:val="21"/>
        </w:rPr>
      </w:pPr>
      <w:r>
        <w:rPr>
          <w:spacing w:val="-6"/>
          <w:sz w:val="21"/>
        </w:rPr>
        <w:t>疏散楼梯间和前室的顶棚、墙面和地面均应采用 </w:t>
      </w:r>
      <w:r>
        <w:rPr>
          <w:sz w:val="21"/>
        </w:rPr>
        <w:t>A</w:t>
      </w:r>
      <w:r>
        <w:rPr>
          <w:spacing w:val="-10"/>
          <w:sz w:val="21"/>
        </w:rPr>
        <w:t> 级装修材料。</w:t>
      </w:r>
      <w:r>
        <w:rPr>
          <w:sz w:val="21"/>
        </w:rPr>
        <w:t> </w:t>
      </w:r>
    </w:p>
    <w:p>
      <w:pPr>
        <w:pStyle w:val="BodyText"/>
        <w:spacing w:before="1"/>
        <w:rPr>
          <w:sz w:val="18"/>
        </w:rPr>
      </w:pPr>
    </w:p>
    <w:p>
      <w:pPr>
        <w:pStyle w:val="ListParagraph"/>
        <w:numPr>
          <w:ilvl w:val="1"/>
          <w:numId w:val="895"/>
        </w:numPr>
        <w:tabs>
          <w:tab w:pos="1159" w:val="left" w:leader="none"/>
        </w:tabs>
        <w:spacing w:line="446" w:lineRule="auto" w:before="0" w:after="0"/>
        <w:ind w:left="418" w:right="1604" w:firstLine="422"/>
        <w:jc w:val="left"/>
        <w:rPr>
          <w:sz w:val="21"/>
        </w:rPr>
      </w:pPr>
      <w:r>
        <w:rPr>
          <w:spacing w:val="-3"/>
          <w:sz w:val="21"/>
        </w:rPr>
        <w:t>建筑物内设有上下层相连通的中庭、走马廊、开敞楼梯、自动扶梯时，其连通部位的</w:t>
      </w:r>
      <w:r>
        <w:rPr>
          <w:spacing w:val="3"/>
          <w:sz w:val="21"/>
        </w:rPr>
        <w:t>顶棚、墙面应采用</w:t>
      </w:r>
      <w:r>
        <w:rPr>
          <w:sz w:val="21"/>
        </w:rPr>
        <w:t>A</w:t>
      </w:r>
      <w:r>
        <w:rPr>
          <w:spacing w:val="-12"/>
          <w:sz w:val="21"/>
        </w:rPr>
        <w:t> 级装修材料，其他部位应采用不低于 </w:t>
      </w:r>
      <w:r>
        <w:rPr>
          <w:sz w:val="21"/>
        </w:rPr>
        <w:t>B1</w:t>
      </w:r>
      <w:r>
        <w:rPr>
          <w:spacing w:val="-10"/>
          <w:sz w:val="21"/>
        </w:rPr>
        <w:t> 级的装修材料。</w:t>
      </w:r>
      <w:r>
        <w:rPr>
          <w:sz w:val="21"/>
        </w:rPr>
        <w:t> </w:t>
      </w:r>
    </w:p>
    <w:p>
      <w:pPr>
        <w:pStyle w:val="ListParagraph"/>
        <w:numPr>
          <w:ilvl w:val="1"/>
          <w:numId w:val="895"/>
        </w:numPr>
        <w:tabs>
          <w:tab w:pos="1159" w:val="left" w:leader="none"/>
        </w:tabs>
        <w:spacing w:line="446" w:lineRule="auto" w:before="0" w:after="0"/>
        <w:ind w:left="418" w:right="1604" w:firstLine="422"/>
        <w:jc w:val="left"/>
        <w:rPr>
          <w:sz w:val="21"/>
        </w:rPr>
      </w:pPr>
      <w:r>
        <w:rPr>
          <w:spacing w:val="-3"/>
          <w:sz w:val="21"/>
        </w:rPr>
        <w:t>建筑内部变形缝(包括沉降缝、伸缩缝、抗震缝等)两侧基层的表面装修应采用不低于B1</w:t>
      </w:r>
      <w:r>
        <w:rPr>
          <w:spacing w:val="-10"/>
          <w:sz w:val="21"/>
        </w:rPr>
        <w:t> 级的装修材料。</w:t>
      </w:r>
      <w:r>
        <w:rPr>
          <w:sz w:val="21"/>
        </w:rPr>
        <w:t> </w:t>
      </w:r>
    </w:p>
    <w:p>
      <w:pPr>
        <w:pStyle w:val="ListParagraph"/>
        <w:numPr>
          <w:ilvl w:val="1"/>
          <w:numId w:val="895"/>
        </w:numPr>
        <w:tabs>
          <w:tab w:pos="1159" w:val="left" w:leader="none"/>
        </w:tabs>
        <w:spacing w:line="240" w:lineRule="auto" w:before="0" w:after="0"/>
        <w:ind w:left="1158" w:right="0" w:hanging="319"/>
        <w:jc w:val="left"/>
        <w:rPr>
          <w:sz w:val="21"/>
        </w:rPr>
      </w:pPr>
      <w:r>
        <w:rPr>
          <w:spacing w:val="-6"/>
          <w:sz w:val="21"/>
        </w:rPr>
        <w:t>无窗房间内部装修材料的燃烧性能等级除 </w:t>
      </w:r>
      <w:r>
        <w:rPr>
          <w:sz w:val="21"/>
        </w:rPr>
        <w:t>A</w:t>
      </w:r>
      <w:r>
        <w:rPr>
          <w:spacing w:val="-17"/>
          <w:sz w:val="21"/>
        </w:rPr>
        <w:t> 级外，应在表 </w:t>
      </w:r>
      <w:r>
        <w:rPr>
          <w:sz w:val="21"/>
        </w:rPr>
        <w:t>5.1.1</w:t>
      </w:r>
      <w:r>
        <w:rPr>
          <w:spacing w:val="-19"/>
          <w:sz w:val="21"/>
        </w:rPr>
        <w:t>、表 </w:t>
      </w:r>
      <w:r>
        <w:rPr>
          <w:sz w:val="21"/>
        </w:rPr>
        <w:t>5.2.1、表</w:t>
      </w:r>
    </w:p>
    <w:p>
      <w:pPr>
        <w:pStyle w:val="BodyText"/>
        <w:spacing w:before="10"/>
        <w:rPr>
          <w:sz w:val="17"/>
        </w:rPr>
      </w:pPr>
    </w:p>
    <w:p>
      <w:pPr>
        <w:pStyle w:val="BodyText"/>
        <w:spacing w:before="1"/>
        <w:ind w:left="418"/>
      </w:pPr>
      <w:r>
        <w:rPr/>
        <w:t>5.3.1、表 6.0.1、表 6.0.5 规定的基础上提高一级。 </w:t>
      </w:r>
    </w:p>
    <w:p>
      <w:pPr>
        <w:spacing w:after="0"/>
        <w:sectPr>
          <w:pgSz w:w="11910" w:h="16850"/>
          <w:pgMar w:header="0" w:footer="1239" w:top="1220" w:bottom="1420" w:left="1260" w:right="0"/>
        </w:sectPr>
      </w:pPr>
    </w:p>
    <w:p>
      <w:pPr>
        <w:pStyle w:val="ListParagraph"/>
        <w:numPr>
          <w:ilvl w:val="1"/>
          <w:numId w:val="895"/>
        </w:numPr>
        <w:tabs>
          <w:tab w:pos="1159" w:val="left" w:leader="none"/>
        </w:tabs>
        <w:spacing w:line="446" w:lineRule="auto" w:before="47" w:after="0"/>
        <w:ind w:left="418" w:right="1604" w:firstLine="422"/>
        <w:jc w:val="left"/>
        <w:rPr>
          <w:sz w:val="21"/>
        </w:rPr>
      </w:pPr>
      <w:r>
        <w:rPr>
          <w:spacing w:val="-3"/>
          <w:sz w:val="21"/>
        </w:rPr>
        <w:t>消防水泵房、机械加压送风排烟机房、固定灭火系统钢瓶间、配电室、变压器室、发</w:t>
      </w:r>
      <w:r>
        <w:rPr>
          <w:spacing w:val="-5"/>
          <w:sz w:val="21"/>
        </w:rPr>
        <w:t>电机房、储油间、通风和空调机房等，其内部所有装修均应采用 </w:t>
      </w:r>
      <w:r>
        <w:rPr>
          <w:sz w:val="21"/>
        </w:rPr>
        <w:t>A</w:t>
      </w:r>
      <w:r>
        <w:rPr>
          <w:spacing w:val="-10"/>
          <w:sz w:val="21"/>
        </w:rPr>
        <w:t> 级装修材料。 </w:t>
      </w:r>
    </w:p>
    <w:p>
      <w:pPr>
        <w:pStyle w:val="ListParagraph"/>
        <w:numPr>
          <w:ilvl w:val="1"/>
          <w:numId w:val="895"/>
        </w:numPr>
        <w:tabs>
          <w:tab w:pos="1264" w:val="left" w:leader="none"/>
        </w:tabs>
        <w:spacing w:line="446" w:lineRule="auto" w:before="0" w:after="0"/>
        <w:ind w:left="418" w:right="1500" w:firstLine="422"/>
        <w:jc w:val="left"/>
        <w:rPr>
          <w:sz w:val="21"/>
        </w:rPr>
      </w:pPr>
      <w:r>
        <w:rPr>
          <w:spacing w:val="-1"/>
          <w:sz w:val="21"/>
        </w:rPr>
        <w:t>消防控制室等重要房间，其顶棚和墙面应采用</w:t>
      </w:r>
      <w:r>
        <w:rPr>
          <w:sz w:val="21"/>
        </w:rPr>
        <w:t>A</w:t>
      </w:r>
      <w:r>
        <w:rPr>
          <w:spacing w:val="-8"/>
          <w:sz w:val="21"/>
        </w:rPr>
        <w:t> 级装修材料，地面及其他装修应采用</w:t>
      </w:r>
      <w:r>
        <w:rPr>
          <w:spacing w:val="-17"/>
          <w:sz w:val="21"/>
        </w:rPr>
        <w:t>不低于 </w:t>
      </w:r>
      <w:r>
        <w:rPr>
          <w:sz w:val="21"/>
        </w:rPr>
        <w:t>B1</w:t>
      </w:r>
      <w:r>
        <w:rPr>
          <w:spacing w:val="-10"/>
          <w:sz w:val="21"/>
        </w:rPr>
        <w:t> 级的装修材料。</w:t>
      </w:r>
      <w:r>
        <w:rPr>
          <w:sz w:val="21"/>
        </w:rPr>
        <w:t> </w:t>
      </w:r>
    </w:p>
    <w:p>
      <w:pPr>
        <w:pStyle w:val="ListParagraph"/>
        <w:numPr>
          <w:ilvl w:val="1"/>
          <w:numId w:val="895"/>
        </w:numPr>
        <w:tabs>
          <w:tab w:pos="1266" w:val="left" w:leader="none"/>
        </w:tabs>
        <w:spacing w:line="240" w:lineRule="auto" w:before="0" w:after="0"/>
        <w:ind w:left="1265" w:right="0" w:hanging="426"/>
        <w:jc w:val="left"/>
        <w:rPr>
          <w:sz w:val="21"/>
        </w:rPr>
      </w:pPr>
      <w:r>
        <w:rPr>
          <w:spacing w:val="-6"/>
          <w:sz w:val="21"/>
        </w:rPr>
        <w:t>建筑物内的厨房，其顶棚、墙面、地面均应采用 </w:t>
      </w:r>
      <w:r>
        <w:rPr>
          <w:sz w:val="21"/>
        </w:rPr>
        <w:t>A</w:t>
      </w:r>
      <w:r>
        <w:rPr>
          <w:spacing w:val="-10"/>
          <w:sz w:val="21"/>
        </w:rPr>
        <w:t> 级装修材料。</w:t>
      </w:r>
      <w:r>
        <w:rPr>
          <w:sz w:val="21"/>
        </w:rPr>
        <w:t> </w:t>
      </w:r>
    </w:p>
    <w:p>
      <w:pPr>
        <w:pStyle w:val="BodyText"/>
        <w:spacing w:before="10"/>
        <w:rPr>
          <w:sz w:val="17"/>
        </w:rPr>
      </w:pPr>
    </w:p>
    <w:p>
      <w:pPr>
        <w:pStyle w:val="ListParagraph"/>
        <w:numPr>
          <w:ilvl w:val="1"/>
          <w:numId w:val="895"/>
        </w:numPr>
        <w:tabs>
          <w:tab w:pos="1264" w:val="left" w:leader="none"/>
        </w:tabs>
        <w:spacing w:line="446" w:lineRule="auto" w:before="0" w:after="0"/>
        <w:ind w:left="418" w:right="1500" w:firstLine="422"/>
        <w:jc w:val="left"/>
        <w:rPr>
          <w:sz w:val="21"/>
        </w:rPr>
      </w:pPr>
      <w:r>
        <w:rPr>
          <w:spacing w:val="-2"/>
          <w:sz w:val="21"/>
        </w:rPr>
        <w:t>经常使用明火器具的餐厅、科研试验室，其装修材料的燃烧性能等级除</w:t>
      </w:r>
      <w:r>
        <w:rPr>
          <w:sz w:val="21"/>
        </w:rPr>
        <w:t>A</w:t>
      </w:r>
      <w:r>
        <w:rPr>
          <w:spacing w:val="-10"/>
          <w:sz w:val="21"/>
        </w:rPr>
        <w:t> 级外，应在</w:t>
      </w:r>
      <w:r>
        <w:rPr>
          <w:spacing w:val="-32"/>
          <w:sz w:val="21"/>
        </w:rPr>
        <w:t>表 </w:t>
      </w:r>
      <w:r>
        <w:rPr>
          <w:sz w:val="21"/>
        </w:rPr>
        <w:t>5.1.1</w:t>
      </w:r>
      <w:r>
        <w:rPr>
          <w:spacing w:val="-19"/>
          <w:sz w:val="21"/>
        </w:rPr>
        <w:t>、表 </w:t>
      </w:r>
      <w:r>
        <w:rPr>
          <w:sz w:val="21"/>
        </w:rPr>
        <w:t>5.2.1</w:t>
      </w:r>
      <w:r>
        <w:rPr>
          <w:spacing w:val="-18"/>
          <w:sz w:val="21"/>
        </w:rPr>
        <w:t>、表 </w:t>
      </w:r>
      <w:r>
        <w:rPr>
          <w:sz w:val="21"/>
        </w:rPr>
        <w:t>5.3.1</w:t>
      </w:r>
      <w:r>
        <w:rPr>
          <w:spacing w:val="-19"/>
          <w:sz w:val="21"/>
        </w:rPr>
        <w:t>、表 </w:t>
      </w:r>
      <w:r>
        <w:rPr>
          <w:sz w:val="21"/>
        </w:rPr>
        <w:t>6.0.1</w:t>
      </w:r>
      <w:r>
        <w:rPr>
          <w:spacing w:val="-18"/>
          <w:sz w:val="21"/>
        </w:rPr>
        <w:t>、表 </w:t>
      </w:r>
      <w:r>
        <w:rPr>
          <w:sz w:val="21"/>
        </w:rPr>
        <w:t>6.0.5</w:t>
      </w:r>
      <w:r>
        <w:rPr>
          <w:spacing w:val="-9"/>
          <w:sz w:val="21"/>
        </w:rPr>
        <w:t> 规定的基础上提高一级。 </w:t>
      </w:r>
    </w:p>
    <w:p>
      <w:pPr>
        <w:pStyle w:val="ListParagraph"/>
        <w:numPr>
          <w:ilvl w:val="1"/>
          <w:numId w:val="895"/>
        </w:numPr>
        <w:tabs>
          <w:tab w:pos="1264" w:val="left" w:leader="none"/>
        </w:tabs>
        <w:spacing w:line="446" w:lineRule="auto" w:before="1" w:after="0"/>
        <w:ind w:left="418" w:right="1498" w:firstLine="422"/>
        <w:jc w:val="left"/>
        <w:rPr>
          <w:sz w:val="21"/>
        </w:rPr>
      </w:pPr>
      <w:r>
        <w:rPr>
          <w:spacing w:val="-3"/>
          <w:sz w:val="21"/>
        </w:rPr>
        <w:t>民用建筑内的库房或贮藏间，其内部所有装修除应符合相应场所规定外，且应采用不</w:t>
      </w:r>
      <w:r>
        <w:rPr>
          <w:spacing w:val="-20"/>
          <w:sz w:val="21"/>
        </w:rPr>
        <w:t>低于 </w:t>
      </w:r>
      <w:r>
        <w:rPr>
          <w:sz w:val="21"/>
        </w:rPr>
        <w:t>B1</w:t>
      </w:r>
      <w:r>
        <w:rPr>
          <w:spacing w:val="-10"/>
          <w:sz w:val="21"/>
        </w:rPr>
        <w:t> 级的装修材料。</w:t>
      </w:r>
      <w:r>
        <w:rPr>
          <w:sz w:val="21"/>
        </w:rPr>
        <w:t> </w:t>
      </w:r>
    </w:p>
    <w:p>
      <w:pPr>
        <w:pStyle w:val="ListParagraph"/>
        <w:numPr>
          <w:ilvl w:val="1"/>
          <w:numId w:val="895"/>
        </w:numPr>
        <w:tabs>
          <w:tab w:pos="1264" w:val="left" w:leader="none"/>
        </w:tabs>
        <w:spacing w:line="240" w:lineRule="auto" w:before="0" w:after="0"/>
        <w:ind w:left="1263" w:right="0" w:hanging="424"/>
        <w:jc w:val="left"/>
        <w:rPr>
          <w:sz w:val="21"/>
        </w:rPr>
      </w:pPr>
      <w:r>
        <w:rPr>
          <w:spacing w:val="-3"/>
          <w:sz w:val="21"/>
        </w:rPr>
        <w:t>展览性场所装修设计应符合下列规定:</w:t>
      </w:r>
      <w:r>
        <w:rPr>
          <w:sz w:val="21"/>
        </w:rPr>
        <w:t> </w:t>
      </w:r>
    </w:p>
    <w:p>
      <w:pPr>
        <w:pStyle w:val="BodyText"/>
        <w:spacing w:before="12"/>
        <w:rPr>
          <w:sz w:val="17"/>
        </w:rPr>
      </w:pPr>
    </w:p>
    <w:p>
      <w:pPr>
        <w:pStyle w:val="BodyText"/>
        <w:ind w:left="838"/>
      </w:pPr>
      <w:r>
        <w:rPr/>
        <w:t>展台材料应采用不低于 B1 级的装修材料。 </w:t>
      </w:r>
    </w:p>
    <w:p>
      <w:pPr>
        <w:pStyle w:val="BodyText"/>
        <w:spacing w:before="12"/>
        <w:rPr>
          <w:sz w:val="17"/>
        </w:rPr>
      </w:pPr>
    </w:p>
    <w:p>
      <w:pPr>
        <w:pStyle w:val="BodyText"/>
        <w:spacing w:line="446" w:lineRule="auto"/>
        <w:ind w:left="418" w:right="1608" w:firstLine="419"/>
      </w:pPr>
      <w:r>
        <w:rPr>
          <w:spacing w:val="-4"/>
        </w:rPr>
        <w:t>在展厅设置电加热设备的餐饮操作区内，与电加热设备贴邻的墙面、操作台均应采用 </w:t>
      </w:r>
      <w:r>
        <w:rPr/>
        <w:t>A</w:t>
      </w:r>
      <w:r>
        <w:rPr>
          <w:spacing w:val="-18"/>
        </w:rPr>
        <w:t> 级</w:t>
      </w:r>
      <w:r>
        <w:rPr>
          <w:spacing w:val="-9"/>
        </w:rPr>
        <w:t>装修材料。</w:t>
      </w:r>
      <w:r>
        <w:rPr/>
        <w:t> </w:t>
      </w:r>
    </w:p>
    <w:p>
      <w:pPr>
        <w:pStyle w:val="BodyText"/>
        <w:spacing w:line="446" w:lineRule="auto" w:before="1"/>
        <w:ind w:left="840" w:right="3397" w:hanging="3"/>
      </w:pPr>
      <w:r>
        <w:rPr/>
        <w:t>展台与卤钨灯等高温照明灯具贴邻部位的材料应采用 A 级装修材料。</w:t>
      </w:r>
      <w:r>
        <w:rPr>
          <w:b/>
        </w:rPr>
        <w:t>4.15 </w:t>
      </w:r>
      <w:r>
        <w:rPr/>
        <w:t>住宅建筑装修设计尚应符合下列规定: </w:t>
      </w:r>
    </w:p>
    <w:p>
      <w:pPr>
        <w:pStyle w:val="BodyText"/>
        <w:ind w:left="838"/>
        <w:rPr>
          <w:b/>
        </w:rPr>
      </w:pPr>
      <w:r>
        <w:rPr/>
        <w:t>不应改动住宅内部烟道、风道。</w:t>
      </w:r>
      <w:r>
        <w:rPr>
          <w:b/>
          <w:w w:val="99"/>
        </w:rPr>
        <w:t> </w:t>
      </w:r>
    </w:p>
    <w:p>
      <w:pPr>
        <w:pStyle w:val="BodyText"/>
        <w:spacing w:before="12"/>
        <w:rPr>
          <w:b/>
          <w:sz w:val="17"/>
        </w:rPr>
      </w:pPr>
    </w:p>
    <w:p>
      <w:pPr>
        <w:pStyle w:val="BodyText"/>
        <w:spacing w:line="446" w:lineRule="auto"/>
        <w:ind w:left="838" w:right="4974"/>
        <w:rPr>
          <w:b/>
        </w:rPr>
      </w:pPr>
      <w:r>
        <w:rPr/>
        <w:t>厨房内的固定橱柜宜采用不低于 B1 级的装修材料。卫生间顶棚宜采用 A 级装修材料。</w:t>
      </w:r>
      <w:r>
        <w:rPr>
          <w:b/>
          <w:w w:val="99"/>
        </w:rPr>
        <w:t> </w:t>
      </w:r>
    </w:p>
    <w:p>
      <w:pPr>
        <w:pStyle w:val="BodyText"/>
        <w:ind w:left="838"/>
        <w:rPr>
          <w:b/>
        </w:rPr>
      </w:pPr>
      <w:r>
        <w:rPr/>
        <w:t>阳台装修宜采用不低于 B1 级的装修材料。</w:t>
      </w:r>
      <w:r>
        <w:rPr>
          <w:b/>
          <w:w w:val="99"/>
        </w:rPr>
        <w:t> </w:t>
      </w:r>
    </w:p>
    <w:p>
      <w:pPr>
        <w:pStyle w:val="BodyText"/>
        <w:rPr>
          <w:b/>
          <w:sz w:val="18"/>
        </w:rPr>
      </w:pPr>
    </w:p>
    <w:p>
      <w:pPr>
        <w:pStyle w:val="ListParagraph"/>
        <w:numPr>
          <w:ilvl w:val="1"/>
          <w:numId w:val="896"/>
        </w:numPr>
        <w:tabs>
          <w:tab w:pos="1264" w:val="left" w:leader="none"/>
        </w:tabs>
        <w:spacing w:line="446" w:lineRule="auto" w:before="0" w:after="0"/>
        <w:ind w:left="418" w:right="1450" w:firstLine="422"/>
        <w:jc w:val="both"/>
        <w:rPr>
          <w:sz w:val="21"/>
        </w:rPr>
      </w:pPr>
      <w:r>
        <w:rPr>
          <w:spacing w:val="-5"/>
          <w:sz w:val="21"/>
        </w:rPr>
        <w:t>照明灯具及电气设备、线路的高温部位，当靠近非 </w:t>
      </w:r>
      <w:r>
        <w:rPr>
          <w:sz w:val="21"/>
        </w:rPr>
        <w:t>A</w:t>
      </w:r>
      <w:r>
        <w:rPr>
          <w:spacing w:val="-8"/>
          <w:sz w:val="21"/>
        </w:rPr>
        <w:t> 级装修材料或构件时，应采取隔</w:t>
      </w:r>
      <w:r>
        <w:rPr>
          <w:spacing w:val="-6"/>
          <w:sz w:val="21"/>
        </w:rPr>
        <w:t>热、散热等防火保护措施，与窗帘、帷幕、幕布、软包等装修材料的距离不应小于 </w:t>
      </w:r>
      <w:r>
        <w:rPr>
          <w:sz w:val="21"/>
        </w:rPr>
        <w:t>500mm；灯饰</w:t>
      </w:r>
      <w:r>
        <w:rPr>
          <w:spacing w:val="-10"/>
          <w:sz w:val="21"/>
        </w:rPr>
        <w:t>应采用不低于 </w:t>
      </w:r>
      <w:r>
        <w:rPr>
          <w:sz w:val="21"/>
        </w:rPr>
        <w:t>B1</w:t>
      </w:r>
      <w:r>
        <w:rPr>
          <w:spacing w:val="-11"/>
          <w:sz w:val="21"/>
        </w:rPr>
        <w:t> 级的材料。 </w:t>
      </w:r>
    </w:p>
    <w:p>
      <w:pPr>
        <w:pStyle w:val="ListParagraph"/>
        <w:numPr>
          <w:ilvl w:val="1"/>
          <w:numId w:val="896"/>
        </w:numPr>
        <w:tabs>
          <w:tab w:pos="1264" w:val="left" w:leader="none"/>
        </w:tabs>
        <w:spacing w:line="446" w:lineRule="auto" w:before="0" w:after="0"/>
        <w:ind w:left="418" w:right="1606" w:firstLine="422"/>
        <w:jc w:val="both"/>
        <w:rPr>
          <w:b/>
          <w:sz w:val="21"/>
        </w:rPr>
      </w:pPr>
      <w:r>
        <w:rPr>
          <w:spacing w:val="-5"/>
          <w:sz w:val="21"/>
        </w:rPr>
        <w:t>建筑内部的配电箱、控制面板、接线盒、开关、插座等不应直接安装在低于 </w:t>
      </w:r>
      <w:r>
        <w:rPr>
          <w:sz w:val="21"/>
        </w:rPr>
        <w:t>B1</w:t>
      </w:r>
      <w:r>
        <w:rPr>
          <w:spacing w:val="-17"/>
          <w:sz w:val="21"/>
        </w:rPr>
        <w:t> 级的</w:t>
      </w:r>
      <w:r>
        <w:rPr>
          <w:spacing w:val="-3"/>
          <w:sz w:val="21"/>
        </w:rPr>
        <w:t>装修材料上；用于顶棚和墙面装修的木质类板材，当内部含有电器、电线等物体时，应采用不</w:t>
      </w:r>
      <w:r>
        <w:rPr>
          <w:spacing w:val="-20"/>
          <w:sz w:val="21"/>
        </w:rPr>
        <w:t>低于 </w:t>
      </w:r>
      <w:r>
        <w:rPr>
          <w:sz w:val="21"/>
        </w:rPr>
        <w:t>B1</w:t>
      </w:r>
      <w:r>
        <w:rPr>
          <w:spacing w:val="-11"/>
          <w:sz w:val="21"/>
        </w:rPr>
        <w:t> 级的材料。</w:t>
      </w:r>
      <w:r>
        <w:rPr>
          <w:b/>
          <w:w w:val="99"/>
          <w:sz w:val="21"/>
        </w:rPr>
        <w:t> </w:t>
      </w:r>
    </w:p>
    <w:p>
      <w:pPr>
        <w:pStyle w:val="ListParagraph"/>
        <w:numPr>
          <w:ilvl w:val="1"/>
          <w:numId w:val="896"/>
        </w:numPr>
        <w:tabs>
          <w:tab w:pos="1264" w:val="left" w:leader="none"/>
        </w:tabs>
        <w:spacing w:line="446" w:lineRule="auto" w:before="0" w:after="0"/>
        <w:ind w:left="418" w:right="1498" w:firstLine="422"/>
        <w:jc w:val="both"/>
        <w:rPr>
          <w:sz w:val="21"/>
        </w:rPr>
      </w:pPr>
      <w:r>
        <w:rPr>
          <w:spacing w:val="-3"/>
          <w:sz w:val="21"/>
        </w:rPr>
        <w:t>当室内顶棚、墙面、地面和隔断装修材料内部安装电加热供暖系统时，室内采用的装</w:t>
      </w:r>
      <w:r>
        <w:rPr>
          <w:spacing w:val="-6"/>
          <w:sz w:val="21"/>
        </w:rPr>
        <w:t>修材料和绝热材料的燃烧性能等级应为 </w:t>
      </w:r>
      <w:r>
        <w:rPr>
          <w:sz w:val="21"/>
        </w:rPr>
        <w:t>A</w:t>
      </w:r>
      <w:r>
        <w:rPr>
          <w:spacing w:val="-8"/>
          <w:sz w:val="21"/>
        </w:rPr>
        <w:t> 级。当室内顶棚、墙面、地面和隔断装修材料内部安</w:t>
      </w:r>
    </w:p>
    <w:p>
      <w:pPr>
        <w:spacing w:after="0" w:line="446" w:lineRule="auto"/>
        <w:jc w:val="both"/>
        <w:rPr>
          <w:sz w:val="21"/>
        </w:rPr>
        <w:sectPr>
          <w:pgSz w:w="11910" w:h="16850"/>
          <w:pgMar w:header="0" w:footer="1239" w:top="1220" w:bottom="1420" w:left="1260" w:right="0"/>
        </w:sectPr>
      </w:pPr>
    </w:p>
    <w:p>
      <w:pPr>
        <w:pStyle w:val="BodyText"/>
        <w:spacing w:line="446" w:lineRule="auto" w:before="47"/>
        <w:ind w:left="418" w:right="1402"/>
      </w:pPr>
      <w:r>
        <w:rPr>
          <w:spacing w:val="-4"/>
        </w:rPr>
        <w:t>装水暖(或蒸汽)供暖系统时，其顶棚采用的装修材料和绝热材料的燃烧性能应为 </w:t>
      </w:r>
      <w:r>
        <w:rPr/>
        <w:t>A</w:t>
      </w:r>
      <w:r>
        <w:rPr>
          <w:spacing w:val="-6"/>
        </w:rPr>
        <w:t> 级，其他部位的装修材料和绝热材料的燃烧性能不应低于 </w:t>
      </w:r>
      <w:r>
        <w:rPr/>
        <w:t>B1</w:t>
      </w:r>
      <w:r>
        <w:rPr>
          <w:spacing w:val="-8"/>
        </w:rPr>
        <w:t> 级，且尚应符合本规范有关公共场所的规定。</w:t>
      </w:r>
      <w:r>
        <w:rPr/>
        <w:t> </w:t>
      </w:r>
    </w:p>
    <w:p>
      <w:pPr>
        <w:pStyle w:val="ListParagraph"/>
        <w:numPr>
          <w:ilvl w:val="1"/>
          <w:numId w:val="896"/>
        </w:numPr>
        <w:tabs>
          <w:tab w:pos="1264" w:val="left" w:leader="none"/>
        </w:tabs>
        <w:spacing w:line="446" w:lineRule="auto" w:before="0" w:after="0"/>
        <w:ind w:left="418" w:right="1604" w:firstLine="422"/>
        <w:jc w:val="left"/>
        <w:rPr>
          <w:sz w:val="21"/>
        </w:rPr>
      </w:pPr>
      <w:r>
        <w:rPr>
          <w:spacing w:val="-7"/>
          <w:sz w:val="21"/>
        </w:rPr>
        <w:t>建筑内部不宜设置采用 </w:t>
      </w:r>
      <w:r>
        <w:rPr>
          <w:sz w:val="21"/>
        </w:rPr>
        <w:t>B3</w:t>
      </w:r>
      <w:r>
        <w:rPr>
          <w:spacing w:val="-8"/>
          <w:sz w:val="21"/>
        </w:rPr>
        <w:t> 级装饰材料制成的壁挂、布艺等，当需要设置时，不应靠</w:t>
      </w:r>
      <w:r>
        <w:rPr>
          <w:spacing w:val="-5"/>
          <w:sz w:val="21"/>
        </w:rPr>
        <w:t>近电气线路、火源或热源，或采取隔离措施。</w:t>
      </w:r>
      <w:r>
        <w:rPr>
          <w:sz w:val="21"/>
        </w:rPr>
        <w:t> </w:t>
      </w:r>
    </w:p>
    <w:p>
      <w:pPr>
        <w:pStyle w:val="ListParagraph"/>
        <w:numPr>
          <w:ilvl w:val="1"/>
          <w:numId w:val="896"/>
        </w:numPr>
        <w:tabs>
          <w:tab w:pos="1264" w:val="left" w:leader="none"/>
        </w:tabs>
        <w:spacing w:line="240" w:lineRule="auto" w:before="0" w:after="0"/>
        <w:ind w:left="1263" w:right="0" w:hanging="424"/>
        <w:jc w:val="left"/>
        <w:rPr>
          <w:sz w:val="21"/>
        </w:rPr>
      </w:pPr>
      <w:r>
        <w:rPr>
          <w:spacing w:val="-3"/>
          <w:sz w:val="21"/>
        </w:rPr>
        <w:t>本规范未明确规定的场所，其内部装修应按本规范有关规定类比执行。 </w:t>
      </w:r>
    </w:p>
    <w:p>
      <w:pPr>
        <w:pStyle w:val="BodyText"/>
        <w:spacing w:before="6"/>
        <w:rPr>
          <w:sz w:val="15"/>
        </w:rPr>
      </w:pPr>
    </w:p>
    <w:p>
      <w:pPr>
        <w:pStyle w:val="Heading4"/>
      </w:pPr>
      <w:r>
        <w:rPr/>
        <w:t>5 民用建筑</w:t>
      </w:r>
      <w:r>
        <w:rPr>
          <w:w w:val="99"/>
        </w:rPr>
        <w:t> </w:t>
      </w:r>
    </w:p>
    <w:p>
      <w:pPr>
        <w:pStyle w:val="BodyText"/>
        <w:spacing w:before="6"/>
        <w:rPr>
          <w:b/>
          <w:sz w:val="17"/>
        </w:rPr>
      </w:pPr>
    </w:p>
    <w:p>
      <w:pPr>
        <w:pStyle w:val="ListParagraph"/>
        <w:numPr>
          <w:ilvl w:val="1"/>
          <w:numId w:val="897"/>
        </w:numPr>
        <w:tabs>
          <w:tab w:pos="1159" w:val="left" w:leader="none"/>
        </w:tabs>
        <w:spacing w:line="240" w:lineRule="auto" w:before="0" w:after="0"/>
        <w:ind w:left="1158" w:right="0" w:hanging="319"/>
        <w:jc w:val="left"/>
        <w:rPr>
          <w:b/>
          <w:sz w:val="21"/>
        </w:rPr>
      </w:pPr>
      <w:r>
        <w:rPr>
          <w:spacing w:val="-3"/>
          <w:sz w:val="21"/>
        </w:rPr>
        <w:t>单层、多层民用建筑</w:t>
      </w:r>
      <w:r>
        <w:rPr>
          <w:b/>
          <w:w w:val="99"/>
          <w:sz w:val="21"/>
        </w:rPr>
        <w:t> </w:t>
      </w:r>
    </w:p>
    <w:p>
      <w:pPr>
        <w:pStyle w:val="BodyText"/>
        <w:rPr>
          <w:b/>
          <w:sz w:val="18"/>
        </w:rPr>
      </w:pPr>
    </w:p>
    <w:p>
      <w:pPr>
        <w:pStyle w:val="ListParagraph"/>
        <w:numPr>
          <w:ilvl w:val="2"/>
          <w:numId w:val="897"/>
        </w:numPr>
        <w:tabs>
          <w:tab w:pos="1367" w:val="left" w:leader="none"/>
        </w:tabs>
        <w:spacing w:line="240" w:lineRule="auto" w:before="0" w:after="0"/>
        <w:ind w:left="1367" w:right="0" w:hanging="529"/>
        <w:jc w:val="left"/>
        <w:rPr>
          <w:sz w:val="21"/>
        </w:rPr>
      </w:pPr>
      <w:r>
        <w:rPr>
          <w:spacing w:val="-5"/>
          <w:sz w:val="21"/>
        </w:rPr>
        <w:t>单层、多层民用建筑内部各部位装修材料的燃烧性能等级，不应低于本规范表 </w:t>
      </w:r>
      <w:r>
        <w:rPr>
          <w:sz w:val="21"/>
        </w:rPr>
        <w:t>5.1.1</w:t>
      </w:r>
    </w:p>
    <w:p>
      <w:pPr>
        <w:pStyle w:val="BodyText"/>
        <w:rPr>
          <w:sz w:val="18"/>
        </w:rPr>
      </w:pPr>
    </w:p>
    <w:p>
      <w:pPr>
        <w:pStyle w:val="BodyText"/>
        <w:ind w:left="418"/>
      </w:pPr>
      <w:r>
        <w:rPr/>
        <w:drawing>
          <wp:anchor distT="0" distB="0" distL="0" distR="0" allowOverlap="1" layoutInCell="1" locked="0" behindDoc="0" simplePos="0" relativeHeight="323">
            <wp:simplePos x="0" y="0"/>
            <wp:positionH relativeFrom="page">
              <wp:posOffset>1639570</wp:posOffset>
            </wp:positionH>
            <wp:positionV relativeFrom="paragraph">
              <wp:posOffset>248412</wp:posOffset>
            </wp:positionV>
            <wp:extent cx="4355546" cy="5257800"/>
            <wp:effectExtent l="0" t="0" r="0" b="0"/>
            <wp:wrapTopAndBottom/>
            <wp:docPr id="707" name="image413.png"/>
            <wp:cNvGraphicFramePr>
              <a:graphicFrameLocks noChangeAspect="1"/>
            </wp:cNvGraphicFramePr>
            <a:graphic>
              <a:graphicData uri="http://schemas.openxmlformats.org/drawingml/2006/picture">
                <pic:pic>
                  <pic:nvPicPr>
                    <pic:cNvPr id="708" name="image413.png"/>
                    <pic:cNvPicPr/>
                  </pic:nvPicPr>
                  <pic:blipFill>
                    <a:blip r:embed="rId527" cstate="print"/>
                    <a:stretch>
                      <a:fillRect/>
                    </a:stretch>
                  </pic:blipFill>
                  <pic:spPr>
                    <a:xfrm>
                      <a:off x="0" y="0"/>
                      <a:ext cx="4355546" cy="5257800"/>
                    </a:xfrm>
                    <a:prstGeom prst="rect">
                      <a:avLst/>
                    </a:prstGeom>
                  </pic:spPr>
                </pic:pic>
              </a:graphicData>
            </a:graphic>
          </wp:anchor>
        </w:drawing>
      </w:r>
      <w:r>
        <w:rPr/>
        <w:t>的规定。 </w:t>
      </w:r>
    </w:p>
    <w:p>
      <w:pPr>
        <w:pStyle w:val="BodyText"/>
        <w:rPr>
          <w:sz w:val="20"/>
        </w:rPr>
      </w:pPr>
    </w:p>
    <w:p>
      <w:pPr>
        <w:pStyle w:val="BodyText"/>
        <w:rPr>
          <w:sz w:val="20"/>
        </w:rPr>
      </w:pPr>
    </w:p>
    <w:p>
      <w:pPr>
        <w:pStyle w:val="BodyText"/>
        <w:spacing w:before="2"/>
        <w:rPr>
          <w:sz w:val="14"/>
        </w:rPr>
      </w:pPr>
    </w:p>
    <w:p>
      <w:pPr>
        <w:pStyle w:val="BodyText"/>
        <w:spacing w:before="1"/>
        <w:ind w:right="912"/>
        <w:jc w:val="center"/>
      </w:pPr>
      <w:r>
        <w:rPr>
          <w:w w:val="100"/>
        </w:rPr>
        <w:t> </w:t>
      </w:r>
    </w:p>
    <w:p>
      <w:pPr>
        <w:spacing w:after="0"/>
        <w:jc w:val="center"/>
        <w:sectPr>
          <w:pgSz w:w="11910" w:h="16850"/>
          <w:pgMar w:header="0" w:footer="1239" w:top="1220" w:bottom="1420" w:left="1260" w:right="0"/>
        </w:sectPr>
      </w:pPr>
    </w:p>
    <w:p>
      <w:pPr>
        <w:pStyle w:val="BodyText"/>
        <w:ind w:left="778"/>
        <w:rPr>
          <w:sz w:val="20"/>
        </w:rPr>
      </w:pPr>
      <w:r>
        <w:rPr>
          <w:sz w:val="20"/>
        </w:rPr>
        <w:drawing>
          <wp:inline distT="0" distB="0" distL="0" distR="0">
            <wp:extent cx="4652162" cy="7820025"/>
            <wp:effectExtent l="0" t="0" r="0" b="0"/>
            <wp:docPr id="709" name="image414.png"/>
            <wp:cNvGraphicFramePr>
              <a:graphicFrameLocks noChangeAspect="1"/>
            </wp:cNvGraphicFramePr>
            <a:graphic>
              <a:graphicData uri="http://schemas.openxmlformats.org/drawingml/2006/picture">
                <pic:pic>
                  <pic:nvPicPr>
                    <pic:cNvPr id="710" name="image414.png"/>
                    <pic:cNvPicPr/>
                  </pic:nvPicPr>
                  <pic:blipFill>
                    <a:blip r:embed="rId528" cstate="print"/>
                    <a:stretch>
                      <a:fillRect/>
                    </a:stretch>
                  </pic:blipFill>
                  <pic:spPr>
                    <a:xfrm>
                      <a:off x="0" y="0"/>
                      <a:ext cx="4652162" cy="7820025"/>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spacing w:before="5"/>
        <w:rPr>
          <w:sz w:val="28"/>
        </w:rPr>
      </w:pPr>
    </w:p>
    <w:p>
      <w:pPr>
        <w:pStyle w:val="BodyText"/>
        <w:spacing w:before="72"/>
        <w:ind w:right="912"/>
        <w:jc w:val="center"/>
      </w:pPr>
      <w:r>
        <w:rPr>
          <w:w w:val="100"/>
        </w:rPr>
        <w:t> </w:t>
      </w:r>
    </w:p>
    <w:p>
      <w:pPr>
        <w:spacing w:after="0"/>
        <w:jc w:val="center"/>
        <w:sectPr>
          <w:pgSz w:w="11910" w:h="16850"/>
          <w:pgMar w:header="0" w:footer="1239" w:top="1080" w:bottom="1420" w:left="1260" w:right="0"/>
        </w:sectPr>
      </w:pPr>
    </w:p>
    <w:p>
      <w:pPr>
        <w:pStyle w:val="ListParagraph"/>
        <w:numPr>
          <w:ilvl w:val="2"/>
          <w:numId w:val="897"/>
        </w:numPr>
        <w:tabs>
          <w:tab w:pos="1633" w:val="left" w:leader="none"/>
        </w:tabs>
        <w:spacing w:line="446" w:lineRule="auto" w:before="47" w:after="0"/>
        <w:ind w:left="418" w:right="1609" w:firstLine="631"/>
        <w:jc w:val="both"/>
        <w:rPr>
          <w:sz w:val="21"/>
        </w:rPr>
      </w:pPr>
      <w:r>
        <w:rPr>
          <w:spacing w:val="-11"/>
          <w:sz w:val="21"/>
        </w:rPr>
        <w:t>除本规范第 </w:t>
      </w:r>
      <w:r>
        <w:rPr>
          <w:sz w:val="21"/>
        </w:rPr>
        <w:t>4</w:t>
      </w:r>
      <w:r>
        <w:rPr>
          <w:spacing w:val="-13"/>
          <w:sz w:val="21"/>
        </w:rPr>
        <w:t> 章规定的场所和本规范表 </w:t>
      </w:r>
      <w:r>
        <w:rPr>
          <w:sz w:val="21"/>
        </w:rPr>
        <w:t>5.1.1</w:t>
      </w:r>
      <w:r>
        <w:rPr>
          <w:spacing w:val="-19"/>
          <w:sz w:val="21"/>
        </w:rPr>
        <w:t> 中序号为 </w:t>
      </w:r>
      <w:r>
        <w:rPr>
          <w:sz w:val="21"/>
        </w:rPr>
        <w:t>11~13</w:t>
      </w:r>
      <w:r>
        <w:rPr>
          <w:spacing w:val="-8"/>
          <w:sz w:val="21"/>
        </w:rPr>
        <w:t> 规定的部位外，单层、多层民用建筑内面积小于 </w:t>
      </w:r>
      <w:r>
        <w:rPr>
          <w:sz w:val="21"/>
        </w:rPr>
        <w:t>100</w:t>
      </w:r>
      <w:r>
        <w:rPr>
          <w:spacing w:val="-11"/>
          <w:sz w:val="21"/>
        </w:rPr>
        <w:t> ㎡的房间，当采用耐火极限不低于 </w:t>
      </w:r>
      <w:r>
        <w:rPr>
          <w:sz w:val="21"/>
        </w:rPr>
        <w:t>2.00h</w:t>
      </w:r>
      <w:r>
        <w:rPr>
          <w:spacing w:val="-8"/>
          <w:sz w:val="21"/>
        </w:rPr>
        <w:t> 的防火隔墙和甲级</w:t>
      </w:r>
      <w:r>
        <w:rPr>
          <w:spacing w:val="-6"/>
          <w:sz w:val="21"/>
        </w:rPr>
        <w:t>防火门、窗与其他部位分隔时，其装修材料的燃烧性能等级可在本规范表 </w:t>
      </w:r>
      <w:r>
        <w:rPr>
          <w:sz w:val="21"/>
        </w:rPr>
        <w:t>5.1.1</w:t>
      </w:r>
      <w:r>
        <w:rPr>
          <w:spacing w:val="-7"/>
          <w:sz w:val="21"/>
        </w:rPr>
        <w:t> 的基础上降低</w:t>
      </w:r>
      <w:r>
        <w:rPr>
          <w:spacing w:val="-6"/>
          <w:sz w:val="21"/>
        </w:rPr>
        <w:t>一级。</w:t>
      </w:r>
      <w:r>
        <w:rPr>
          <w:sz w:val="21"/>
        </w:rPr>
        <w:t> </w:t>
      </w:r>
    </w:p>
    <w:p>
      <w:pPr>
        <w:pStyle w:val="ListParagraph"/>
        <w:numPr>
          <w:ilvl w:val="2"/>
          <w:numId w:val="897"/>
        </w:numPr>
        <w:tabs>
          <w:tab w:pos="1370" w:val="left" w:leader="none"/>
        </w:tabs>
        <w:spacing w:line="446" w:lineRule="auto" w:before="0" w:after="0"/>
        <w:ind w:left="418" w:right="1606" w:firstLine="422"/>
        <w:jc w:val="both"/>
        <w:rPr>
          <w:sz w:val="21"/>
        </w:rPr>
      </w:pPr>
      <w:r>
        <w:rPr>
          <w:spacing w:val="-12"/>
          <w:sz w:val="21"/>
        </w:rPr>
        <w:t>除本规范第 </w:t>
      </w:r>
      <w:r>
        <w:rPr>
          <w:sz w:val="21"/>
        </w:rPr>
        <w:t>4</w:t>
      </w:r>
      <w:r>
        <w:rPr>
          <w:spacing w:val="-13"/>
          <w:sz w:val="21"/>
        </w:rPr>
        <w:t> 章规定的场所和本规范表 </w:t>
      </w:r>
      <w:r>
        <w:rPr>
          <w:sz w:val="21"/>
        </w:rPr>
        <w:t>5.1.1</w:t>
      </w:r>
      <w:r>
        <w:rPr>
          <w:spacing w:val="-19"/>
          <w:sz w:val="21"/>
        </w:rPr>
        <w:t> 中序号为 </w:t>
      </w:r>
      <w:r>
        <w:rPr>
          <w:sz w:val="21"/>
        </w:rPr>
        <w:t>11~13</w:t>
      </w:r>
      <w:r>
        <w:rPr>
          <w:spacing w:val="-8"/>
          <w:sz w:val="21"/>
        </w:rPr>
        <w:t> 规定的部位外，当单</w:t>
      </w:r>
      <w:r>
        <w:rPr>
          <w:spacing w:val="-5"/>
          <w:sz w:val="21"/>
        </w:rPr>
        <w:t>层、多层民用建筑需做内部装修的空间内装有自动灭火系统时，除顶棚外，其内部装修材料的</w:t>
      </w:r>
      <w:r>
        <w:rPr>
          <w:spacing w:val="-7"/>
          <w:sz w:val="21"/>
        </w:rPr>
        <w:t>燃烧性能等级可在本规范表 </w:t>
      </w:r>
      <w:r>
        <w:rPr>
          <w:sz w:val="21"/>
        </w:rPr>
        <w:t>5.1.1</w:t>
      </w:r>
      <w:r>
        <w:rPr>
          <w:spacing w:val="-7"/>
          <w:sz w:val="21"/>
        </w:rPr>
        <w:t> 规定的基础上降低一级；当同时装有火灾自动报警装置和自</w:t>
      </w:r>
    </w:p>
    <w:p>
      <w:pPr>
        <w:pStyle w:val="BodyText"/>
        <w:spacing w:line="446" w:lineRule="auto"/>
        <w:ind w:left="840" w:right="1925" w:hanging="423"/>
        <w:jc w:val="both"/>
        <w:rPr>
          <w:b/>
        </w:rPr>
      </w:pPr>
      <w:r>
        <w:rPr/>
        <w:t>动灭火系统时，其装修材料的燃烧性能等级可在本规范表 5.1.1 规定的基础上降低一级。</w:t>
      </w:r>
      <w:r>
        <w:rPr>
          <w:b/>
        </w:rPr>
        <w:t>5.2 </w:t>
      </w:r>
      <w:r>
        <w:rPr/>
        <w:t>高层民用建筑</w:t>
      </w:r>
      <w:r>
        <w:rPr>
          <w:b/>
          <w:w w:val="99"/>
        </w:rPr>
        <w:t> </w:t>
      </w:r>
    </w:p>
    <w:p>
      <w:pPr>
        <w:pStyle w:val="ListParagraph"/>
        <w:numPr>
          <w:ilvl w:val="2"/>
          <w:numId w:val="898"/>
        </w:numPr>
        <w:tabs>
          <w:tab w:pos="1367" w:val="left" w:leader="none"/>
        </w:tabs>
        <w:spacing w:line="446" w:lineRule="auto" w:before="0" w:after="0"/>
        <w:ind w:left="418" w:right="1608" w:firstLine="419"/>
        <w:jc w:val="both"/>
        <w:rPr>
          <w:sz w:val="21"/>
        </w:rPr>
      </w:pPr>
      <w:r>
        <w:rPr>
          <w:spacing w:val="-5"/>
          <w:sz w:val="21"/>
        </w:rPr>
        <w:t>高层民用建筑內部各部位装修材料的燃烧性能等级，不应低于本规范表 </w:t>
      </w:r>
      <w:r>
        <w:rPr>
          <w:sz w:val="21"/>
        </w:rPr>
        <w:t>5.2.1</w:t>
      </w:r>
      <w:r>
        <w:rPr>
          <w:spacing w:val="-17"/>
          <w:sz w:val="21"/>
        </w:rPr>
        <w:t> 的规</w:t>
      </w:r>
      <w:r>
        <w:rPr>
          <w:spacing w:val="-2"/>
          <w:sz w:val="21"/>
        </w:rPr>
        <w:t>定。</w:t>
      </w:r>
      <w:r>
        <w:rPr>
          <w:sz w:val="21"/>
        </w:rPr>
        <w:t> </w:t>
      </w:r>
    </w:p>
    <w:p>
      <w:pPr>
        <w:pStyle w:val="BodyText"/>
        <w:ind w:left="793"/>
        <w:rPr>
          <w:sz w:val="20"/>
        </w:rPr>
      </w:pPr>
      <w:r>
        <w:rPr>
          <w:sz w:val="20"/>
        </w:rPr>
        <w:drawing>
          <wp:inline distT="0" distB="0" distL="0" distR="0">
            <wp:extent cx="4661270" cy="4000500"/>
            <wp:effectExtent l="0" t="0" r="0" b="0"/>
            <wp:docPr id="711" name="image415.png"/>
            <wp:cNvGraphicFramePr>
              <a:graphicFrameLocks noChangeAspect="1"/>
            </wp:cNvGraphicFramePr>
            <a:graphic>
              <a:graphicData uri="http://schemas.openxmlformats.org/drawingml/2006/picture">
                <pic:pic>
                  <pic:nvPicPr>
                    <pic:cNvPr id="712" name="image415.png"/>
                    <pic:cNvPicPr/>
                  </pic:nvPicPr>
                  <pic:blipFill>
                    <a:blip r:embed="rId529" cstate="print"/>
                    <a:stretch>
                      <a:fillRect/>
                    </a:stretch>
                  </pic:blipFill>
                  <pic:spPr>
                    <a:xfrm>
                      <a:off x="0" y="0"/>
                      <a:ext cx="4661270" cy="400050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5"/>
        <w:ind w:right="912"/>
        <w:jc w:val="center"/>
      </w:pPr>
      <w:r>
        <w:rPr>
          <w:w w:val="100"/>
        </w:rPr>
        <w:t> </w:t>
      </w:r>
    </w:p>
    <w:p>
      <w:pPr>
        <w:spacing w:after="0"/>
        <w:jc w:val="center"/>
        <w:sectPr>
          <w:pgSz w:w="11910" w:h="16850"/>
          <w:pgMar w:header="0" w:footer="1239" w:top="1220" w:bottom="1420" w:left="1260" w:right="0"/>
        </w:sectPr>
      </w:pPr>
    </w:p>
    <w:p>
      <w:pPr>
        <w:pStyle w:val="BodyText"/>
        <w:spacing w:before="167"/>
        <w:ind w:right="912"/>
        <w:jc w:val="center"/>
      </w:pPr>
      <w:r>
        <w:rPr>
          <w:w w:val="100"/>
        </w:rPr>
        <w:t> </w:t>
      </w:r>
    </w:p>
    <w:p>
      <w:pPr>
        <w:spacing w:after="0"/>
        <w:jc w:val="center"/>
        <w:sectPr>
          <w:pgSz w:w="11910" w:h="16850"/>
          <w:pgMar w:header="0" w:footer="1239" w:top="1600" w:bottom="1420" w:left="1260" w:right="0"/>
        </w:sectPr>
      </w:pPr>
    </w:p>
    <w:p>
      <w:pPr>
        <w:pStyle w:val="BodyText"/>
        <w:ind w:left="772"/>
        <w:rPr>
          <w:sz w:val="20"/>
        </w:rPr>
      </w:pPr>
      <w:r>
        <w:rPr>
          <w:sz w:val="20"/>
        </w:rPr>
        <w:pict>
          <v:group style="width:369.25pt;height:659.75pt;mso-position-horizontal-relative:char;mso-position-vertical-relative:line" coordorigin="0,0" coordsize="7385,13195">
            <v:shape style="position:absolute;left:696;top:0;width:6237;height:8597" type="#_x0000_t75" stroked="false">
              <v:imagedata r:id="rId530" o:title=""/>
            </v:shape>
            <v:shape style="position:absolute;left:0;top:8303;width:7385;height:4891" type="#_x0000_t75" stroked="false">
              <v:imagedata r:id="rId531" o:title=""/>
            </v:shape>
          </v:group>
        </w:pict>
      </w:r>
      <w:r>
        <w:rPr>
          <w:sz w:val="20"/>
        </w:rPr>
      </w:r>
    </w:p>
    <w:p>
      <w:pPr>
        <w:pStyle w:val="BodyText"/>
        <w:spacing w:before="9"/>
        <w:rPr>
          <w:sz w:val="10"/>
        </w:rPr>
      </w:pPr>
    </w:p>
    <w:p>
      <w:pPr>
        <w:pStyle w:val="BodyText"/>
        <w:spacing w:before="72"/>
        <w:ind w:right="912"/>
        <w:jc w:val="center"/>
      </w:pPr>
      <w:r>
        <w:rPr>
          <w:w w:val="100"/>
        </w:rPr>
        <w:t> </w:t>
      </w:r>
    </w:p>
    <w:p>
      <w:pPr>
        <w:spacing w:after="0"/>
        <w:jc w:val="center"/>
        <w:sectPr>
          <w:pgSz w:w="11910" w:h="16850"/>
          <w:pgMar w:header="0" w:footer="1239" w:top="1200" w:bottom="1420" w:left="1260" w:right="0"/>
        </w:sectPr>
      </w:pPr>
    </w:p>
    <w:p>
      <w:pPr>
        <w:pStyle w:val="ListParagraph"/>
        <w:numPr>
          <w:ilvl w:val="2"/>
          <w:numId w:val="898"/>
        </w:numPr>
        <w:tabs>
          <w:tab w:pos="1370" w:val="left" w:leader="none"/>
        </w:tabs>
        <w:spacing w:line="446" w:lineRule="auto" w:before="47" w:after="0"/>
        <w:ind w:left="418" w:right="1450" w:firstLine="422"/>
        <w:jc w:val="left"/>
        <w:rPr>
          <w:sz w:val="21"/>
        </w:rPr>
      </w:pPr>
      <w:r>
        <w:rPr>
          <w:spacing w:val="-11"/>
          <w:sz w:val="21"/>
        </w:rPr>
        <w:t>除本规范第 </w:t>
      </w:r>
      <w:r>
        <w:rPr>
          <w:sz w:val="21"/>
        </w:rPr>
        <w:t>4</w:t>
      </w:r>
      <w:r>
        <w:rPr>
          <w:spacing w:val="-12"/>
          <w:sz w:val="21"/>
        </w:rPr>
        <w:t> 章规定的场所和本规范表 </w:t>
      </w:r>
      <w:r>
        <w:rPr>
          <w:sz w:val="21"/>
        </w:rPr>
        <w:t>5.2.1</w:t>
      </w:r>
      <w:r>
        <w:rPr>
          <w:spacing w:val="-18"/>
          <w:sz w:val="21"/>
        </w:rPr>
        <w:t> 中序号为 </w:t>
      </w:r>
      <w:r>
        <w:rPr>
          <w:sz w:val="21"/>
        </w:rPr>
        <w:t>10~12</w:t>
      </w:r>
      <w:r>
        <w:rPr>
          <w:spacing w:val="-8"/>
          <w:sz w:val="21"/>
        </w:rPr>
        <w:t> 规定的部位外，高层民</w:t>
      </w:r>
      <w:r>
        <w:rPr>
          <w:spacing w:val="-7"/>
          <w:sz w:val="21"/>
        </w:rPr>
        <w:t>用建筑的裙房内面积小于 </w:t>
      </w:r>
      <w:r>
        <w:rPr>
          <w:sz w:val="21"/>
        </w:rPr>
        <w:t>500m²</w:t>
      </w:r>
      <w:r>
        <w:rPr>
          <w:spacing w:val="-2"/>
          <w:sz w:val="21"/>
        </w:rPr>
        <w:t>的房间，当设有自动灭火系统，并且采用耐火极限不低于 </w:t>
      </w:r>
      <w:r>
        <w:rPr>
          <w:sz w:val="21"/>
        </w:rPr>
        <w:t>2.00h </w:t>
      </w:r>
      <w:r>
        <w:rPr>
          <w:spacing w:val="-3"/>
          <w:sz w:val="21"/>
        </w:rPr>
        <w:t>的防火隔墙和甲级防火门、窗与其他部位分隔时，顶棚、墙面、地面装修材料的燃烧性能等级 </w:t>
      </w:r>
      <w:r>
        <w:rPr>
          <w:spacing w:val="-11"/>
          <w:sz w:val="21"/>
        </w:rPr>
        <w:t>可在本规范表 </w:t>
      </w:r>
      <w:r>
        <w:rPr>
          <w:sz w:val="21"/>
        </w:rPr>
        <w:t>5.2.1</w:t>
      </w:r>
      <w:r>
        <w:rPr>
          <w:spacing w:val="-9"/>
          <w:sz w:val="21"/>
        </w:rPr>
        <w:t> 规定的基础上降低一级。</w:t>
      </w:r>
      <w:r>
        <w:rPr>
          <w:sz w:val="21"/>
        </w:rPr>
        <w:t> </w:t>
      </w:r>
    </w:p>
    <w:p>
      <w:pPr>
        <w:pStyle w:val="ListParagraph"/>
        <w:numPr>
          <w:ilvl w:val="2"/>
          <w:numId w:val="898"/>
        </w:numPr>
        <w:tabs>
          <w:tab w:pos="1370" w:val="left" w:leader="none"/>
        </w:tabs>
        <w:spacing w:line="446" w:lineRule="auto" w:before="0" w:after="0"/>
        <w:ind w:left="418" w:right="1505" w:firstLine="422"/>
        <w:jc w:val="left"/>
        <w:rPr>
          <w:sz w:val="21"/>
        </w:rPr>
      </w:pPr>
      <w:r>
        <w:rPr>
          <w:spacing w:val="-11"/>
          <w:sz w:val="21"/>
        </w:rPr>
        <w:t>除本规范第 </w:t>
      </w:r>
      <w:r>
        <w:rPr>
          <w:sz w:val="21"/>
        </w:rPr>
        <w:t>4</w:t>
      </w:r>
      <w:r>
        <w:rPr>
          <w:spacing w:val="-12"/>
          <w:sz w:val="21"/>
        </w:rPr>
        <w:t> 章规定的场所和本规范表 </w:t>
      </w:r>
      <w:r>
        <w:rPr>
          <w:sz w:val="21"/>
        </w:rPr>
        <w:t>5.2.1</w:t>
      </w:r>
      <w:r>
        <w:rPr>
          <w:spacing w:val="-18"/>
          <w:sz w:val="21"/>
        </w:rPr>
        <w:t> 中序号为 </w:t>
      </w:r>
      <w:r>
        <w:rPr>
          <w:sz w:val="21"/>
        </w:rPr>
        <w:t>10~12</w:t>
      </w:r>
      <w:r>
        <w:rPr>
          <w:spacing w:val="-8"/>
          <w:sz w:val="21"/>
        </w:rPr>
        <w:t> 规定的部位外，以及大</w:t>
      </w:r>
      <w:r>
        <w:rPr>
          <w:spacing w:val="-26"/>
          <w:sz w:val="21"/>
        </w:rPr>
        <w:t>于 </w:t>
      </w:r>
      <w:r>
        <w:rPr>
          <w:sz w:val="21"/>
        </w:rPr>
        <w:t>400</w:t>
      </w:r>
      <w:r>
        <w:rPr>
          <w:spacing w:val="-11"/>
          <w:sz w:val="21"/>
        </w:rPr>
        <w:t> ㎡的观众厅、会议厅和 </w:t>
      </w:r>
      <w:r>
        <w:rPr>
          <w:sz w:val="21"/>
        </w:rPr>
        <w:t>100m</w:t>
      </w:r>
      <w:r>
        <w:rPr>
          <w:spacing w:val="-8"/>
          <w:sz w:val="21"/>
        </w:rPr>
        <w:t> 以上的高层民用建筑外，当设有火灾自动报警装置和自动灭</w:t>
      </w:r>
      <w:r>
        <w:rPr>
          <w:spacing w:val="-6"/>
          <w:sz w:val="21"/>
        </w:rPr>
        <w:t>火系统时，除顶棚外，其内部装修材料的燃烧性能等级可在本规范表 </w:t>
      </w:r>
      <w:r>
        <w:rPr>
          <w:sz w:val="21"/>
        </w:rPr>
        <w:t>5.2.1</w:t>
      </w:r>
      <w:r>
        <w:rPr>
          <w:spacing w:val="-8"/>
          <w:sz w:val="21"/>
        </w:rPr>
        <w:t> 规定的基础上降低</w:t>
      </w:r>
      <w:r>
        <w:rPr>
          <w:spacing w:val="-5"/>
          <w:sz w:val="21"/>
        </w:rPr>
        <w:t>一级。</w:t>
      </w:r>
      <w:r>
        <w:rPr>
          <w:sz w:val="21"/>
        </w:rPr>
        <w:t> </w:t>
      </w:r>
    </w:p>
    <w:p>
      <w:pPr>
        <w:pStyle w:val="ListParagraph"/>
        <w:numPr>
          <w:ilvl w:val="2"/>
          <w:numId w:val="898"/>
        </w:numPr>
        <w:tabs>
          <w:tab w:pos="1370" w:val="left" w:leader="none"/>
        </w:tabs>
        <w:spacing w:line="448" w:lineRule="auto" w:before="0" w:after="0"/>
        <w:ind w:left="418" w:right="1575" w:firstLine="422"/>
        <w:jc w:val="left"/>
        <w:rPr>
          <w:sz w:val="21"/>
        </w:rPr>
      </w:pPr>
      <w:r>
        <w:rPr>
          <w:spacing w:val="-5"/>
          <w:position w:val="1"/>
          <w:sz w:val="21"/>
        </w:rPr>
        <w:t>电视塔等特殊高层建筑的内部装修，装饰织物应采用不低于 </w:t>
      </w:r>
      <w:r>
        <w:rPr>
          <w:position w:val="1"/>
          <w:sz w:val="21"/>
        </w:rPr>
        <w:t>B</w:t>
      </w:r>
      <w:r>
        <w:rPr>
          <w:sz w:val="11"/>
        </w:rPr>
        <w:t>1</w:t>
      </w:r>
      <w:r>
        <w:rPr>
          <w:spacing w:val="-23"/>
          <w:sz w:val="11"/>
        </w:rPr>
        <w:t> </w:t>
      </w:r>
      <w:r>
        <w:rPr>
          <w:spacing w:val="-3"/>
          <w:position w:val="1"/>
          <w:sz w:val="21"/>
        </w:rPr>
        <w:t>级的材料，其他均应</w:t>
      </w:r>
      <w:r>
        <w:rPr>
          <w:spacing w:val="-20"/>
          <w:sz w:val="21"/>
        </w:rPr>
        <w:t>采用 </w:t>
      </w:r>
      <w:r>
        <w:rPr>
          <w:sz w:val="21"/>
        </w:rPr>
        <w:t>A</w:t>
      </w:r>
      <w:r>
        <w:rPr>
          <w:spacing w:val="-10"/>
          <w:sz w:val="21"/>
        </w:rPr>
        <w:t> 级装修材料。</w:t>
      </w:r>
      <w:r>
        <w:rPr>
          <w:sz w:val="21"/>
        </w:rPr>
        <w:t> </w:t>
      </w:r>
    </w:p>
    <w:p>
      <w:pPr>
        <w:pStyle w:val="ListParagraph"/>
        <w:numPr>
          <w:ilvl w:val="1"/>
          <w:numId w:val="899"/>
        </w:numPr>
        <w:tabs>
          <w:tab w:pos="1159" w:val="left" w:leader="none"/>
        </w:tabs>
        <w:spacing w:line="264" w:lineRule="exact" w:before="0" w:after="0"/>
        <w:ind w:left="1158" w:right="0" w:hanging="319"/>
        <w:jc w:val="left"/>
        <w:rPr>
          <w:b/>
          <w:sz w:val="21"/>
        </w:rPr>
      </w:pPr>
      <w:r>
        <w:rPr>
          <w:spacing w:val="-3"/>
          <w:sz w:val="21"/>
        </w:rPr>
        <w:t>地下民用建筑</w:t>
      </w:r>
      <w:r>
        <w:rPr>
          <w:b/>
          <w:w w:val="99"/>
          <w:sz w:val="21"/>
        </w:rPr>
        <w:t> </w:t>
      </w:r>
    </w:p>
    <w:p>
      <w:pPr>
        <w:pStyle w:val="BodyText"/>
        <w:spacing w:before="8"/>
        <w:rPr>
          <w:b/>
          <w:sz w:val="17"/>
        </w:rPr>
      </w:pPr>
    </w:p>
    <w:p>
      <w:pPr>
        <w:pStyle w:val="ListParagraph"/>
        <w:numPr>
          <w:ilvl w:val="2"/>
          <w:numId w:val="899"/>
        </w:numPr>
        <w:tabs>
          <w:tab w:pos="1371" w:val="left" w:leader="none"/>
        </w:tabs>
        <w:spacing w:line="446" w:lineRule="auto" w:before="0" w:after="0"/>
        <w:ind w:left="418" w:right="1606" w:firstLine="422"/>
        <w:jc w:val="left"/>
        <w:rPr>
          <w:sz w:val="21"/>
        </w:rPr>
      </w:pPr>
      <w:r>
        <w:rPr/>
        <w:drawing>
          <wp:anchor distT="0" distB="0" distL="0" distR="0" allowOverlap="1" layoutInCell="1" locked="0" behindDoc="0" simplePos="0" relativeHeight="325">
            <wp:simplePos x="0" y="0"/>
            <wp:positionH relativeFrom="page">
              <wp:posOffset>1637029</wp:posOffset>
            </wp:positionH>
            <wp:positionV relativeFrom="paragraph">
              <wp:posOffset>671321</wp:posOffset>
            </wp:positionV>
            <wp:extent cx="4012924" cy="3505200"/>
            <wp:effectExtent l="0" t="0" r="0" b="0"/>
            <wp:wrapTopAndBottom/>
            <wp:docPr id="713" name="image418.jpeg"/>
            <wp:cNvGraphicFramePr>
              <a:graphicFrameLocks noChangeAspect="1"/>
            </wp:cNvGraphicFramePr>
            <a:graphic>
              <a:graphicData uri="http://schemas.openxmlformats.org/drawingml/2006/picture">
                <pic:pic>
                  <pic:nvPicPr>
                    <pic:cNvPr id="714" name="image418.jpeg"/>
                    <pic:cNvPicPr/>
                  </pic:nvPicPr>
                  <pic:blipFill>
                    <a:blip r:embed="rId532" cstate="print"/>
                    <a:stretch>
                      <a:fillRect/>
                    </a:stretch>
                  </pic:blipFill>
                  <pic:spPr>
                    <a:xfrm>
                      <a:off x="0" y="0"/>
                      <a:ext cx="4012924" cy="3505200"/>
                    </a:xfrm>
                    <a:prstGeom prst="rect">
                      <a:avLst/>
                    </a:prstGeom>
                  </pic:spPr>
                </pic:pic>
              </a:graphicData>
            </a:graphic>
          </wp:anchor>
        </w:drawing>
      </w:r>
      <w:r>
        <w:rPr>
          <w:spacing w:val="-5"/>
          <w:sz w:val="21"/>
        </w:rPr>
        <w:t>地下民用建筑内部各部位装修材料的燃烧性能等級，不应低于本规范表 </w:t>
      </w:r>
      <w:r>
        <w:rPr>
          <w:sz w:val="21"/>
        </w:rPr>
        <w:t>5.3.1</w:t>
      </w:r>
      <w:r>
        <w:rPr>
          <w:spacing w:val="-17"/>
          <w:sz w:val="21"/>
        </w:rPr>
        <w:t> 的规</w:t>
      </w:r>
      <w:r>
        <w:rPr>
          <w:spacing w:val="-2"/>
          <w:sz w:val="21"/>
        </w:rPr>
        <w:t>定。</w:t>
      </w:r>
      <w:r>
        <w:rPr>
          <w:sz w:val="21"/>
        </w:rPr>
        <w:t> </w:t>
      </w:r>
    </w:p>
    <w:p>
      <w:pPr>
        <w:pStyle w:val="BodyText"/>
        <w:rPr>
          <w:sz w:val="20"/>
        </w:rPr>
      </w:pPr>
    </w:p>
    <w:p>
      <w:pPr>
        <w:pStyle w:val="BodyText"/>
        <w:rPr>
          <w:sz w:val="20"/>
        </w:rPr>
      </w:pPr>
    </w:p>
    <w:p>
      <w:pPr>
        <w:pStyle w:val="BodyText"/>
        <w:spacing w:before="1"/>
        <w:rPr>
          <w:sz w:val="14"/>
        </w:rPr>
      </w:pPr>
    </w:p>
    <w:p>
      <w:pPr>
        <w:pStyle w:val="BodyText"/>
        <w:spacing w:line="446" w:lineRule="auto"/>
        <w:ind w:left="418" w:right="1609" w:firstLine="419"/>
      </w:pPr>
      <w:r>
        <w:rPr/>
        <w:t>注：地下民用建筑系指单层、多层、高层民用建筑的地下部分，单独建造在地下的民用建筑以及平战结合的地下人防工程。 </w:t>
      </w:r>
    </w:p>
    <w:p>
      <w:pPr>
        <w:spacing w:after="0" w:line="446" w:lineRule="auto"/>
        <w:sectPr>
          <w:pgSz w:w="11910" w:h="16850"/>
          <w:pgMar w:header="0" w:footer="1239" w:top="1220" w:bottom="1420" w:left="1260" w:right="0"/>
        </w:sectPr>
      </w:pPr>
    </w:p>
    <w:p>
      <w:pPr>
        <w:pStyle w:val="ListParagraph"/>
        <w:numPr>
          <w:ilvl w:val="2"/>
          <w:numId w:val="899"/>
        </w:numPr>
        <w:tabs>
          <w:tab w:pos="1371" w:val="left" w:leader="none"/>
        </w:tabs>
        <w:spacing w:line="446" w:lineRule="auto" w:before="47" w:after="0"/>
        <w:ind w:left="418" w:right="1606" w:firstLine="422"/>
        <w:jc w:val="both"/>
        <w:rPr>
          <w:sz w:val="21"/>
        </w:rPr>
      </w:pPr>
      <w:r>
        <w:rPr>
          <w:spacing w:val="-11"/>
          <w:sz w:val="21"/>
        </w:rPr>
        <w:t>除本规范第 </w:t>
      </w:r>
      <w:r>
        <w:rPr>
          <w:sz w:val="21"/>
        </w:rPr>
        <w:t>4</w:t>
      </w:r>
      <w:r>
        <w:rPr>
          <w:spacing w:val="-13"/>
          <w:sz w:val="21"/>
        </w:rPr>
        <w:t> 章规定的场所和本规范表 </w:t>
      </w:r>
      <w:r>
        <w:rPr>
          <w:sz w:val="21"/>
        </w:rPr>
        <w:t>5.3.1</w:t>
      </w:r>
      <w:r>
        <w:rPr>
          <w:spacing w:val="-19"/>
          <w:sz w:val="21"/>
        </w:rPr>
        <w:t> 中序号为 </w:t>
      </w:r>
      <w:r>
        <w:rPr>
          <w:sz w:val="21"/>
        </w:rPr>
        <w:t>6~8</w:t>
      </w:r>
      <w:r>
        <w:rPr>
          <w:spacing w:val="-8"/>
          <w:sz w:val="21"/>
        </w:rPr>
        <w:t> 规定的部位外，单独建</w:t>
      </w:r>
      <w:r>
        <w:rPr>
          <w:spacing w:val="-5"/>
          <w:sz w:val="21"/>
        </w:rPr>
        <w:t>造的地下民用建筑的地上部分，其门厅、休息室、办公室等内部装修材料的燃烧性能等级可在</w:t>
      </w:r>
      <w:r>
        <w:rPr>
          <w:spacing w:val="-14"/>
          <w:sz w:val="21"/>
        </w:rPr>
        <w:t>本规范表 </w:t>
      </w:r>
      <w:r>
        <w:rPr>
          <w:sz w:val="21"/>
        </w:rPr>
        <w:t>5.3.1</w:t>
      </w:r>
      <w:r>
        <w:rPr>
          <w:spacing w:val="-9"/>
          <w:sz w:val="21"/>
        </w:rPr>
        <w:t> 的基础上降低一级。</w:t>
      </w:r>
      <w:r>
        <w:rPr>
          <w:sz w:val="21"/>
        </w:rPr>
        <w:t> </w:t>
      </w:r>
    </w:p>
    <w:p>
      <w:pPr>
        <w:pStyle w:val="Heading4"/>
        <w:spacing w:line="277" w:lineRule="exact"/>
      </w:pPr>
      <w:r>
        <w:rPr/>
        <w:t>6 厂房仓库</w:t>
      </w:r>
      <w:r>
        <w:rPr>
          <w:w w:val="99"/>
        </w:rPr>
        <w:t> </w:t>
      </w:r>
    </w:p>
    <w:p>
      <w:pPr>
        <w:pStyle w:val="BodyText"/>
        <w:spacing w:before="4"/>
        <w:rPr>
          <w:b/>
          <w:sz w:val="17"/>
        </w:rPr>
      </w:pPr>
    </w:p>
    <w:p>
      <w:pPr>
        <w:pStyle w:val="ListParagraph"/>
        <w:numPr>
          <w:ilvl w:val="1"/>
          <w:numId w:val="900"/>
        </w:numPr>
        <w:tabs>
          <w:tab w:pos="1159" w:val="left" w:leader="none"/>
        </w:tabs>
        <w:spacing w:line="240" w:lineRule="auto" w:before="0" w:after="0"/>
        <w:ind w:left="1158" w:right="0" w:hanging="319"/>
        <w:jc w:val="left"/>
        <w:rPr>
          <w:sz w:val="21"/>
        </w:rPr>
      </w:pPr>
      <w:r>
        <w:rPr>
          <w:spacing w:val="-5"/>
          <w:sz w:val="21"/>
        </w:rPr>
        <w:t>厂房内部各部位装修材料的燃烧性能等级，不应低于本规范表 </w:t>
      </w:r>
      <w:r>
        <w:rPr>
          <w:sz w:val="21"/>
        </w:rPr>
        <w:t>6.0.1</w:t>
      </w:r>
      <w:r>
        <w:rPr>
          <w:spacing w:val="-12"/>
          <w:sz w:val="21"/>
        </w:rPr>
        <w:t> 的规定。 </w:t>
      </w:r>
    </w:p>
    <w:p>
      <w:pPr>
        <w:pStyle w:val="BodyText"/>
        <w:rPr>
          <w:sz w:val="20"/>
        </w:rPr>
      </w:pPr>
    </w:p>
    <w:p>
      <w:pPr>
        <w:pStyle w:val="BodyText"/>
        <w:spacing w:before="12"/>
        <w:rPr>
          <w:sz w:val="17"/>
        </w:rPr>
      </w:pPr>
      <w:r>
        <w:rPr/>
        <w:drawing>
          <wp:anchor distT="0" distB="0" distL="0" distR="0" allowOverlap="1" layoutInCell="1" locked="0" behindDoc="0" simplePos="0" relativeHeight="326">
            <wp:simplePos x="0" y="0"/>
            <wp:positionH relativeFrom="page">
              <wp:posOffset>1161414</wp:posOffset>
            </wp:positionH>
            <wp:positionV relativeFrom="paragraph">
              <wp:posOffset>170925</wp:posOffset>
            </wp:positionV>
            <wp:extent cx="4806010" cy="5153025"/>
            <wp:effectExtent l="0" t="0" r="0" b="0"/>
            <wp:wrapTopAndBottom/>
            <wp:docPr id="715" name="image419.png"/>
            <wp:cNvGraphicFramePr>
              <a:graphicFrameLocks noChangeAspect="1"/>
            </wp:cNvGraphicFramePr>
            <a:graphic>
              <a:graphicData uri="http://schemas.openxmlformats.org/drawingml/2006/picture">
                <pic:pic>
                  <pic:nvPicPr>
                    <pic:cNvPr id="716" name="image419.png"/>
                    <pic:cNvPicPr/>
                  </pic:nvPicPr>
                  <pic:blipFill>
                    <a:blip r:embed="rId534" cstate="print"/>
                    <a:stretch>
                      <a:fillRect/>
                    </a:stretch>
                  </pic:blipFill>
                  <pic:spPr>
                    <a:xfrm>
                      <a:off x="0" y="0"/>
                      <a:ext cx="4806010" cy="5153025"/>
                    </a:xfrm>
                    <a:prstGeom prst="rect">
                      <a:avLst/>
                    </a:prstGeom>
                  </pic:spPr>
                </pic:pic>
              </a:graphicData>
            </a:graphic>
          </wp:anchor>
        </w:drawing>
      </w:r>
    </w:p>
    <w:p>
      <w:pPr>
        <w:pStyle w:val="BodyText"/>
        <w:rPr>
          <w:sz w:val="20"/>
        </w:rPr>
      </w:pPr>
    </w:p>
    <w:p>
      <w:pPr>
        <w:pStyle w:val="BodyText"/>
        <w:spacing w:before="4"/>
        <w:rPr>
          <w:sz w:val="27"/>
        </w:rPr>
      </w:pPr>
    </w:p>
    <w:p>
      <w:pPr>
        <w:pStyle w:val="ListParagraph"/>
        <w:numPr>
          <w:ilvl w:val="1"/>
          <w:numId w:val="900"/>
        </w:numPr>
        <w:tabs>
          <w:tab w:pos="1159" w:val="left" w:leader="none"/>
        </w:tabs>
        <w:spacing w:line="240" w:lineRule="auto" w:before="72" w:after="0"/>
        <w:ind w:left="1158" w:right="0" w:hanging="319"/>
        <w:jc w:val="left"/>
        <w:rPr>
          <w:sz w:val="21"/>
        </w:rPr>
      </w:pPr>
      <w:r>
        <w:rPr>
          <w:spacing w:val="-12"/>
          <w:sz w:val="21"/>
        </w:rPr>
        <w:t>除本规范第 </w:t>
      </w:r>
      <w:r>
        <w:rPr>
          <w:sz w:val="21"/>
        </w:rPr>
        <w:t>4</w:t>
      </w:r>
      <w:r>
        <w:rPr>
          <w:spacing w:val="-8"/>
          <w:sz w:val="21"/>
        </w:rPr>
        <w:t> 章规定的场所和部位外，当单层、多层丙、丁、戊类厂房内同时设有火</w:t>
      </w:r>
    </w:p>
    <w:p>
      <w:pPr>
        <w:pStyle w:val="BodyText"/>
        <w:spacing w:before="1"/>
        <w:rPr>
          <w:sz w:val="18"/>
        </w:rPr>
      </w:pPr>
    </w:p>
    <w:p>
      <w:pPr>
        <w:pStyle w:val="BodyText"/>
        <w:spacing w:line="446" w:lineRule="auto"/>
        <w:ind w:left="418" w:right="1608"/>
      </w:pPr>
      <w:r>
        <w:rPr>
          <w:spacing w:val="-4"/>
        </w:rPr>
        <w:t>灾自动报警和自动灭火系统时，除顶棚外，其装修材料的燃烧性能等级可在本规范表 </w:t>
      </w:r>
      <w:r>
        <w:rPr/>
        <w:t>6.0.1</w:t>
      </w:r>
      <w:r>
        <w:rPr>
          <w:spacing w:val="-18"/>
        </w:rPr>
        <w:t> 规</w:t>
      </w:r>
      <w:r>
        <w:rPr>
          <w:spacing w:val="-7"/>
        </w:rPr>
        <w:t>定的基础上降低一级。</w:t>
      </w:r>
      <w:r>
        <w:rPr/>
        <w:t> </w:t>
      </w:r>
    </w:p>
    <w:p>
      <w:pPr>
        <w:pStyle w:val="ListParagraph"/>
        <w:numPr>
          <w:ilvl w:val="1"/>
          <w:numId w:val="900"/>
        </w:numPr>
        <w:tabs>
          <w:tab w:pos="1159" w:val="left" w:leader="none"/>
        </w:tabs>
        <w:spacing w:line="267" w:lineRule="exact" w:before="0" w:after="0"/>
        <w:ind w:left="1158" w:right="0" w:hanging="319"/>
        <w:jc w:val="left"/>
        <w:rPr>
          <w:sz w:val="21"/>
        </w:rPr>
      </w:pPr>
      <w:r>
        <w:rPr>
          <w:spacing w:val="-6"/>
          <w:position w:val="1"/>
          <w:sz w:val="21"/>
        </w:rPr>
        <w:t>当厂房的地面为架空地板时，其地面应采用不低于 </w:t>
      </w:r>
      <w:r>
        <w:rPr>
          <w:position w:val="1"/>
          <w:sz w:val="21"/>
        </w:rPr>
        <w:t>B</w:t>
      </w:r>
      <w:r>
        <w:rPr>
          <w:sz w:val="11"/>
        </w:rPr>
        <w:t>1</w:t>
      </w:r>
      <w:r>
        <w:rPr>
          <w:spacing w:val="-29"/>
          <w:sz w:val="11"/>
        </w:rPr>
        <w:t> </w:t>
      </w:r>
      <w:r>
        <w:rPr>
          <w:spacing w:val="-3"/>
          <w:position w:val="1"/>
          <w:sz w:val="21"/>
        </w:rPr>
        <w:t>级的装修材料。</w:t>
      </w:r>
      <w:r>
        <w:rPr>
          <w:position w:val="1"/>
          <w:sz w:val="21"/>
        </w:rPr>
        <w:t> </w:t>
      </w:r>
    </w:p>
    <w:p>
      <w:pPr>
        <w:pStyle w:val="BodyText"/>
        <w:spacing w:before="3"/>
        <w:rPr>
          <w:sz w:val="18"/>
        </w:rPr>
      </w:pPr>
    </w:p>
    <w:p>
      <w:pPr>
        <w:pStyle w:val="ListParagraph"/>
        <w:numPr>
          <w:ilvl w:val="1"/>
          <w:numId w:val="900"/>
        </w:numPr>
        <w:tabs>
          <w:tab w:pos="1159" w:val="left" w:leader="none"/>
        </w:tabs>
        <w:spacing w:line="240" w:lineRule="auto" w:before="0" w:after="0"/>
        <w:ind w:left="1158" w:right="0" w:hanging="319"/>
        <w:jc w:val="left"/>
        <w:rPr>
          <w:sz w:val="21"/>
        </w:rPr>
      </w:pPr>
      <w:r>
        <w:rPr>
          <w:spacing w:val="-3"/>
          <w:sz w:val="21"/>
        </w:rPr>
        <w:t>附设在工业建筑内的办公、研发、餐厅等辅助用房，当采用现行国家标准《建筑设计</w:t>
      </w:r>
    </w:p>
    <w:p>
      <w:pPr>
        <w:spacing w:after="0" w:line="240" w:lineRule="auto"/>
        <w:jc w:val="left"/>
        <w:rPr>
          <w:sz w:val="21"/>
        </w:rPr>
        <w:sectPr>
          <w:footerReference w:type="default" r:id="rId533"/>
          <w:pgSz w:w="11910" w:h="16850"/>
          <w:pgMar w:footer="1239" w:header="0" w:top="1220" w:bottom="1420" w:left="1260" w:right="0"/>
          <w:pgNumType w:start="1570"/>
        </w:sectPr>
      </w:pPr>
    </w:p>
    <w:p>
      <w:pPr>
        <w:pStyle w:val="BodyText"/>
        <w:spacing w:line="446" w:lineRule="auto" w:before="47"/>
        <w:ind w:left="418" w:right="1558"/>
      </w:pPr>
      <w:r>
        <w:rPr>
          <w:spacing w:val="-2"/>
        </w:rPr>
        <w:t>防火规范》</w:t>
      </w:r>
      <w:r>
        <w:rPr/>
        <w:t>GB 50016</w:t>
      </w:r>
      <w:r>
        <w:rPr>
          <w:spacing w:val="-8"/>
        </w:rPr>
        <w:t> 规定的防火分隔和疏散设施时，其内部装修材料的燃烧性能等级可按民用</w:t>
      </w:r>
      <w:r>
        <w:rPr>
          <w:spacing w:val="-5"/>
        </w:rPr>
        <w:t>建筑的规定执行。</w:t>
      </w:r>
      <w:r>
        <w:rPr/>
        <w:t> </w:t>
      </w:r>
    </w:p>
    <w:p>
      <w:pPr>
        <w:pStyle w:val="ListParagraph"/>
        <w:numPr>
          <w:ilvl w:val="1"/>
          <w:numId w:val="900"/>
        </w:numPr>
        <w:tabs>
          <w:tab w:pos="1159" w:val="left" w:leader="none"/>
        </w:tabs>
        <w:spacing w:line="267" w:lineRule="exact" w:before="0" w:after="0"/>
        <w:ind w:left="1158" w:right="0" w:hanging="319"/>
        <w:jc w:val="left"/>
        <w:rPr>
          <w:sz w:val="21"/>
        </w:rPr>
      </w:pPr>
      <w:r>
        <w:rPr>
          <w:spacing w:val="-5"/>
          <w:sz w:val="21"/>
        </w:rPr>
        <w:t>仓库内部各部位装修材料的燃烧性能等级，不应低于本规范表 </w:t>
      </w:r>
      <w:r>
        <w:rPr>
          <w:sz w:val="21"/>
        </w:rPr>
        <w:t>6.0.5</w:t>
      </w:r>
      <w:r>
        <w:rPr>
          <w:spacing w:val="-12"/>
          <w:sz w:val="21"/>
        </w:rPr>
        <w:t> 的规定。 </w:t>
      </w:r>
    </w:p>
    <w:p>
      <w:pPr>
        <w:pStyle w:val="Heading2"/>
        <w:spacing w:before="143"/>
        <w:ind w:right="868"/>
      </w:pPr>
      <w:r>
        <w:rPr/>
        <w:drawing>
          <wp:anchor distT="0" distB="0" distL="0" distR="0" allowOverlap="1" layoutInCell="1" locked="0" behindDoc="0" simplePos="0" relativeHeight="327">
            <wp:simplePos x="0" y="0"/>
            <wp:positionH relativeFrom="page">
              <wp:posOffset>1170305</wp:posOffset>
            </wp:positionH>
            <wp:positionV relativeFrom="paragraph">
              <wp:posOffset>410336</wp:posOffset>
            </wp:positionV>
            <wp:extent cx="4735714" cy="4658296"/>
            <wp:effectExtent l="0" t="0" r="0" b="0"/>
            <wp:wrapTopAndBottom/>
            <wp:docPr id="717" name="image420.png"/>
            <wp:cNvGraphicFramePr>
              <a:graphicFrameLocks noChangeAspect="1"/>
            </wp:cNvGraphicFramePr>
            <a:graphic>
              <a:graphicData uri="http://schemas.openxmlformats.org/drawingml/2006/picture">
                <pic:pic>
                  <pic:nvPicPr>
                    <pic:cNvPr id="718" name="image420.png"/>
                    <pic:cNvPicPr/>
                  </pic:nvPicPr>
                  <pic:blipFill>
                    <a:blip r:embed="rId535" cstate="print"/>
                    <a:stretch>
                      <a:fillRect/>
                    </a:stretch>
                  </pic:blipFill>
                  <pic:spPr>
                    <a:xfrm>
                      <a:off x="0" y="0"/>
                      <a:ext cx="4735714" cy="4658296"/>
                    </a:xfrm>
                    <a:prstGeom prst="rect">
                      <a:avLst/>
                    </a:prstGeom>
                  </pic:spPr>
                </pic:pic>
              </a:graphicData>
            </a:graphic>
          </wp:anchor>
        </w:drawing>
      </w:r>
      <w:r>
        <w:rPr>
          <w:w w:val="99"/>
        </w:rPr>
        <w:t> </w:t>
      </w:r>
    </w:p>
    <w:p>
      <w:pPr>
        <w:spacing w:after="0"/>
        <w:sectPr>
          <w:pgSz w:w="11910" w:h="16850"/>
          <w:pgMar w:header="0" w:footer="1239" w:top="1220" w:bottom="1420" w:left="1260" w:right="0"/>
        </w:sectPr>
      </w:pPr>
    </w:p>
    <w:p>
      <w:pPr>
        <w:spacing w:before="37"/>
        <w:ind w:left="3005" w:right="0" w:firstLine="0"/>
        <w:jc w:val="left"/>
        <w:rPr>
          <w:b/>
          <w:sz w:val="30"/>
        </w:rPr>
      </w:pPr>
      <w:bookmarkStart w:name="_bookmark34" w:id="35"/>
      <w:bookmarkEnd w:id="35"/>
      <w:r>
        <w:rPr/>
      </w:r>
      <w:r>
        <w:rPr>
          <w:b/>
          <w:sz w:val="30"/>
        </w:rPr>
        <w:t>自动喷水灭火系统设计规范</w:t>
      </w:r>
      <w:r>
        <w:rPr>
          <w:b/>
          <w:w w:val="99"/>
          <w:sz w:val="30"/>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901"/>
        </w:numPr>
        <w:tabs>
          <w:tab w:pos="1213" w:val="left" w:leader="none"/>
        </w:tabs>
        <w:spacing w:line="240" w:lineRule="auto" w:before="0" w:after="0"/>
        <w:ind w:left="1212" w:right="0" w:hanging="373"/>
        <w:jc w:val="left"/>
        <w:rPr>
          <w:sz w:val="21"/>
        </w:rPr>
      </w:pPr>
      <w:r>
        <w:rPr>
          <w:color w:val="333333"/>
          <w:spacing w:val="-3"/>
          <w:sz w:val="21"/>
        </w:rPr>
        <w:t>为了正确、合理地设计自动喷水灭火系统，保护人身和财产安全，制定本规范。</w:t>
      </w:r>
      <w:r>
        <w:rPr>
          <w:color w:val="333333"/>
          <w:sz w:val="21"/>
        </w:rPr>
        <w:t> </w:t>
      </w:r>
    </w:p>
    <w:p>
      <w:pPr>
        <w:pStyle w:val="BodyText"/>
        <w:spacing w:before="12"/>
        <w:rPr>
          <w:sz w:val="17"/>
        </w:rPr>
      </w:pPr>
    </w:p>
    <w:p>
      <w:pPr>
        <w:pStyle w:val="ListParagraph"/>
        <w:numPr>
          <w:ilvl w:val="1"/>
          <w:numId w:val="901"/>
        </w:numPr>
        <w:tabs>
          <w:tab w:pos="1213" w:val="left" w:leader="none"/>
        </w:tabs>
        <w:spacing w:line="240" w:lineRule="auto" w:before="0" w:after="0"/>
        <w:ind w:left="1212" w:right="0" w:hanging="373"/>
        <w:jc w:val="left"/>
        <w:rPr>
          <w:sz w:val="21"/>
        </w:rPr>
      </w:pPr>
      <w:r>
        <w:rPr>
          <w:color w:val="333333"/>
          <w:spacing w:val="-3"/>
          <w:sz w:val="21"/>
        </w:rPr>
        <w:t>本规范适用于新建、扩建、改建的民用与工业建筑中自动喷水灭火系统的设计。</w:t>
      </w:r>
      <w:r>
        <w:rPr>
          <w:color w:val="333333"/>
          <w:sz w:val="21"/>
        </w:rPr>
        <w:t> </w:t>
      </w:r>
    </w:p>
    <w:p>
      <w:pPr>
        <w:pStyle w:val="BodyText"/>
        <w:spacing w:before="2"/>
        <w:rPr>
          <w:sz w:val="18"/>
        </w:rPr>
      </w:pPr>
    </w:p>
    <w:p>
      <w:pPr>
        <w:pStyle w:val="BodyText"/>
        <w:spacing w:line="446" w:lineRule="auto"/>
        <w:ind w:left="418" w:right="1609" w:firstLine="419"/>
      </w:pPr>
      <w:r>
        <w:rPr>
          <w:color w:val="333333"/>
        </w:rPr>
        <w:t>本规范不适用于火药、炸药、弹药、火工品工厂、核电站及飞机库等特殊功能建筑中自动喷水灭火系统的设计。 </w:t>
      </w:r>
    </w:p>
    <w:p>
      <w:pPr>
        <w:pStyle w:val="ListParagraph"/>
        <w:numPr>
          <w:ilvl w:val="1"/>
          <w:numId w:val="901"/>
        </w:numPr>
        <w:tabs>
          <w:tab w:pos="1213" w:val="left" w:leader="none"/>
        </w:tabs>
        <w:spacing w:line="446" w:lineRule="auto" w:before="0" w:after="0"/>
        <w:ind w:left="418" w:right="1445" w:firstLine="422"/>
        <w:jc w:val="left"/>
        <w:rPr>
          <w:sz w:val="21"/>
        </w:rPr>
      </w:pPr>
      <w:r>
        <w:rPr>
          <w:color w:val="333333"/>
          <w:spacing w:val="-3"/>
          <w:sz w:val="21"/>
        </w:rPr>
        <w:t>自动喷水灭火系统的设计，应密切结合保护对象的功能和火灾特点，积极采用新技术、新设备、新材料，做到安全可靠、技术先进、经济合理。</w:t>
      </w:r>
      <w:r>
        <w:rPr>
          <w:color w:val="333333"/>
          <w:sz w:val="21"/>
        </w:rPr>
        <w:t> </w:t>
      </w:r>
    </w:p>
    <w:p>
      <w:pPr>
        <w:pStyle w:val="ListParagraph"/>
        <w:numPr>
          <w:ilvl w:val="1"/>
          <w:numId w:val="901"/>
        </w:numPr>
        <w:tabs>
          <w:tab w:pos="1213" w:val="left" w:leader="none"/>
        </w:tabs>
        <w:spacing w:line="446" w:lineRule="auto" w:before="0" w:after="0"/>
        <w:ind w:left="418" w:right="1445" w:firstLine="422"/>
        <w:jc w:val="left"/>
        <w:rPr>
          <w:sz w:val="21"/>
        </w:rPr>
      </w:pPr>
      <w:r>
        <w:rPr>
          <w:color w:val="333333"/>
          <w:spacing w:val="-3"/>
          <w:sz w:val="21"/>
        </w:rPr>
        <w:t>设计采用的系统组件，必须符合国家现行的相关标准，并应符合消防产品市场准入制度的要求。</w:t>
      </w:r>
      <w:r>
        <w:rPr>
          <w:color w:val="333333"/>
          <w:sz w:val="21"/>
        </w:rPr>
        <w:t> </w:t>
      </w:r>
    </w:p>
    <w:p>
      <w:pPr>
        <w:pStyle w:val="ListParagraph"/>
        <w:numPr>
          <w:ilvl w:val="1"/>
          <w:numId w:val="901"/>
        </w:numPr>
        <w:tabs>
          <w:tab w:pos="1213" w:val="left" w:leader="none"/>
        </w:tabs>
        <w:spacing w:line="446" w:lineRule="auto" w:before="0" w:after="0"/>
        <w:ind w:left="418" w:right="1445" w:firstLine="422"/>
        <w:jc w:val="left"/>
        <w:rPr>
          <w:sz w:val="21"/>
        </w:rPr>
      </w:pPr>
      <w:r>
        <w:rPr>
          <w:color w:val="333333"/>
          <w:spacing w:val="-3"/>
          <w:sz w:val="21"/>
        </w:rPr>
        <w:t>当设置自动喷水灭火系统的建筑或建筑内场所变更用途时，应校核原有系统的适用性。当不适用时，应按本规范重新设计。</w:t>
      </w:r>
      <w:r>
        <w:rPr>
          <w:color w:val="333333"/>
          <w:sz w:val="21"/>
        </w:rPr>
        <w:t> </w:t>
      </w:r>
    </w:p>
    <w:p>
      <w:pPr>
        <w:pStyle w:val="ListParagraph"/>
        <w:numPr>
          <w:ilvl w:val="1"/>
          <w:numId w:val="901"/>
        </w:numPr>
        <w:tabs>
          <w:tab w:pos="1213" w:val="left" w:leader="none"/>
        </w:tabs>
        <w:spacing w:line="446" w:lineRule="auto" w:before="0" w:after="0"/>
        <w:ind w:left="418" w:right="1445" w:firstLine="422"/>
        <w:jc w:val="left"/>
        <w:rPr>
          <w:sz w:val="21"/>
        </w:rPr>
      </w:pPr>
      <w:r>
        <w:rPr>
          <w:color w:val="333333"/>
          <w:spacing w:val="-3"/>
          <w:sz w:val="21"/>
        </w:rPr>
        <w:t>自动喷水灭火系统的设计，除应符合本规范的规定外，尚应符合国家现行有关标准的规定。</w:t>
      </w:r>
      <w:r>
        <w:rPr>
          <w:color w:val="333333"/>
          <w:sz w:val="21"/>
        </w:rPr>
        <w:t> </w:t>
      </w:r>
    </w:p>
    <w:p>
      <w:pPr>
        <w:pStyle w:val="Heading4"/>
        <w:spacing w:line="277" w:lineRule="exact"/>
      </w:pPr>
      <w:r>
        <w:rPr/>
        <w:t>2 术语和符号</w:t>
      </w:r>
      <w:r>
        <w:rPr>
          <w:w w:val="99"/>
        </w:rPr>
        <w:t> </w:t>
      </w:r>
    </w:p>
    <w:p>
      <w:pPr>
        <w:pStyle w:val="BodyText"/>
        <w:rPr>
          <w:b/>
          <w:sz w:val="17"/>
        </w:rPr>
      </w:pPr>
    </w:p>
    <w:p>
      <w:pPr>
        <w:pStyle w:val="ListParagraph"/>
        <w:numPr>
          <w:ilvl w:val="1"/>
          <w:numId w:val="902"/>
        </w:numPr>
        <w:tabs>
          <w:tab w:pos="1159" w:val="left" w:leader="none"/>
        </w:tabs>
        <w:spacing w:line="240" w:lineRule="auto" w:before="0" w:after="0"/>
        <w:ind w:left="1158" w:right="0" w:hanging="319"/>
        <w:jc w:val="left"/>
        <w:rPr>
          <w:sz w:val="21"/>
        </w:rPr>
      </w:pPr>
      <w:r>
        <w:rPr>
          <w:spacing w:val="-3"/>
          <w:sz w:val="21"/>
        </w:rPr>
        <w:t>术语</w:t>
      </w:r>
      <w:r>
        <w:rPr>
          <w:sz w:val="21"/>
        </w:rPr>
        <w:t> </w:t>
      </w:r>
    </w:p>
    <w:p>
      <w:pPr>
        <w:pStyle w:val="BodyText"/>
        <w:spacing w:before="2"/>
        <w:rPr>
          <w:sz w:val="18"/>
        </w:rPr>
      </w:pPr>
    </w:p>
    <w:p>
      <w:pPr>
        <w:pStyle w:val="ListParagraph"/>
        <w:numPr>
          <w:ilvl w:val="2"/>
          <w:numId w:val="902"/>
        </w:numPr>
        <w:tabs>
          <w:tab w:pos="1371" w:val="left" w:leader="none"/>
        </w:tabs>
        <w:spacing w:line="240" w:lineRule="auto" w:before="0" w:after="0"/>
        <w:ind w:left="1370" w:right="0" w:hanging="531"/>
        <w:jc w:val="left"/>
        <w:rPr>
          <w:sz w:val="21"/>
        </w:rPr>
      </w:pPr>
      <w:r>
        <w:rPr>
          <w:spacing w:val="8"/>
          <w:sz w:val="21"/>
        </w:rPr>
        <w:t>自动喷水灭火系统 </w:t>
      </w:r>
      <w:r>
        <w:rPr>
          <w:sz w:val="21"/>
        </w:rPr>
        <w:t>sprinkler</w:t>
      </w:r>
      <w:r>
        <w:rPr>
          <w:spacing w:val="1"/>
          <w:sz w:val="21"/>
        </w:rPr>
        <w:t> </w:t>
      </w:r>
      <w:r>
        <w:rPr>
          <w:sz w:val="21"/>
        </w:rPr>
        <w:t>systems </w:t>
      </w:r>
    </w:p>
    <w:p>
      <w:pPr>
        <w:pStyle w:val="BodyText"/>
        <w:spacing w:before="12"/>
        <w:rPr>
          <w:sz w:val="17"/>
        </w:rPr>
      </w:pPr>
    </w:p>
    <w:p>
      <w:pPr>
        <w:pStyle w:val="BodyText"/>
        <w:spacing w:line="446" w:lineRule="auto"/>
        <w:ind w:left="418" w:right="1609" w:firstLine="419"/>
      </w:pPr>
      <w:r>
        <w:rPr/>
        <w:t>由洒水喷头、报警阀组、水流报警装置（水流指示器或压力开关）等组件，以及管道、供水设施等组成，能在发生火灾时喷水的自动灭火系统。 </w:t>
      </w:r>
    </w:p>
    <w:p>
      <w:pPr>
        <w:pStyle w:val="ListParagraph"/>
        <w:numPr>
          <w:ilvl w:val="2"/>
          <w:numId w:val="902"/>
        </w:numPr>
        <w:tabs>
          <w:tab w:pos="1370" w:val="left" w:leader="none"/>
        </w:tabs>
        <w:spacing w:line="240" w:lineRule="auto" w:before="1" w:after="0"/>
        <w:ind w:left="1369" w:right="0" w:hanging="530"/>
        <w:jc w:val="left"/>
        <w:rPr>
          <w:sz w:val="21"/>
        </w:rPr>
      </w:pPr>
      <w:r>
        <w:rPr>
          <w:spacing w:val="18"/>
          <w:sz w:val="21"/>
        </w:rPr>
        <w:t>闭式系统 </w:t>
      </w:r>
      <w:r>
        <w:rPr>
          <w:sz w:val="21"/>
        </w:rPr>
        <w:t>close-type sprinkler</w:t>
      </w:r>
      <w:r>
        <w:rPr>
          <w:spacing w:val="1"/>
          <w:sz w:val="21"/>
        </w:rPr>
        <w:t> </w:t>
      </w:r>
      <w:r>
        <w:rPr>
          <w:sz w:val="21"/>
        </w:rPr>
        <w:t>system </w:t>
      </w:r>
    </w:p>
    <w:p>
      <w:pPr>
        <w:pStyle w:val="BodyText"/>
        <w:spacing w:before="12"/>
        <w:rPr>
          <w:sz w:val="17"/>
        </w:rPr>
      </w:pPr>
    </w:p>
    <w:p>
      <w:pPr>
        <w:pStyle w:val="BodyText"/>
        <w:ind w:left="838"/>
      </w:pPr>
      <w:r>
        <w:rPr/>
        <w:t>采用闭式洒水喷头的自动喷水灭火系统。 </w:t>
      </w:r>
    </w:p>
    <w:p>
      <w:pPr>
        <w:pStyle w:val="BodyText"/>
        <w:spacing w:before="12"/>
        <w:rPr>
          <w:sz w:val="17"/>
        </w:rPr>
      </w:pPr>
    </w:p>
    <w:p>
      <w:pPr>
        <w:pStyle w:val="ListParagraph"/>
        <w:numPr>
          <w:ilvl w:val="2"/>
          <w:numId w:val="902"/>
        </w:numPr>
        <w:tabs>
          <w:tab w:pos="1370" w:val="left" w:leader="none"/>
        </w:tabs>
        <w:spacing w:line="240" w:lineRule="auto" w:before="0" w:after="0"/>
        <w:ind w:left="1369" w:right="0" w:hanging="530"/>
        <w:jc w:val="left"/>
        <w:rPr>
          <w:sz w:val="21"/>
        </w:rPr>
      </w:pPr>
      <w:r>
        <w:rPr>
          <w:spacing w:val="18"/>
          <w:sz w:val="21"/>
        </w:rPr>
        <w:t>开式系统 </w:t>
      </w:r>
      <w:r>
        <w:rPr>
          <w:sz w:val="21"/>
        </w:rPr>
        <w:t>open-type sprinkler</w:t>
      </w:r>
      <w:r>
        <w:rPr>
          <w:spacing w:val="-2"/>
          <w:sz w:val="21"/>
        </w:rPr>
        <w:t> </w:t>
      </w:r>
      <w:r>
        <w:rPr>
          <w:sz w:val="21"/>
        </w:rPr>
        <w:t>system </w:t>
      </w:r>
    </w:p>
    <w:p>
      <w:pPr>
        <w:pStyle w:val="BodyText"/>
        <w:spacing w:before="2"/>
        <w:rPr>
          <w:sz w:val="18"/>
        </w:rPr>
      </w:pPr>
    </w:p>
    <w:p>
      <w:pPr>
        <w:pStyle w:val="BodyText"/>
        <w:spacing w:line="446" w:lineRule="auto"/>
        <w:ind w:left="840" w:right="5283" w:hanging="3"/>
      </w:pPr>
      <w:r>
        <w:rPr>
          <w:spacing w:val="-3"/>
        </w:rPr>
        <w:t>采用开式洒水喷头的自动喷水灭火系统。   </w:t>
      </w:r>
      <w:r>
        <w:rPr>
          <w:b/>
        </w:rPr>
        <w:t>2.1.4</w:t>
      </w:r>
      <w:r>
        <w:rPr>
          <w:b/>
          <w:spacing w:val="-1"/>
        </w:rPr>
        <w:t> </w:t>
      </w:r>
      <w:r>
        <w:rPr>
          <w:spacing w:val="14"/>
        </w:rPr>
        <w:t>湿式系统  </w:t>
      </w:r>
      <w:r>
        <w:rPr/>
        <w:t>wet</w:t>
      </w:r>
      <w:r>
        <w:rPr>
          <w:spacing w:val="-2"/>
        </w:rPr>
        <w:t> </w:t>
      </w:r>
      <w:r>
        <w:rPr/>
        <w:t>pipe</w:t>
      </w:r>
      <w:r>
        <w:rPr>
          <w:spacing w:val="1"/>
        </w:rPr>
        <w:t> </w:t>
      </w:r>
      <w:r>
        <w:rPr/>
        <w:t>sprinkler system </w:t>
      </w:r>
    </w:p>
    <w:p>
      <w:pPr>
        <w:pStyle w:val="BodyText"/>
        <w:spacing w:line="448" w:lineRule="auto"/>
        <w:ind w:left="840" w:right="3606" w:hanging="3"/>
      </w:pPr>
      <w:r>
        <w:rPr>
          <w:spacing w:val="-3"/>
        </w:rPr>
        <w:t>准工作状态时配水管道内充满用于启动系统的有压水的闭式系统。</w:t>
      </w:r>
      <w:r>
        <w:rPr>
          <w:b/>
        </w:rPr>
        <w:t>2.1.5</w:t>
      </w:r>
      <w:r>
        <w:rPr>
          <w:b/>
          <w:spacing w:val="1"/>
        </w:rPr>
        <w:t> </w:t>
      </w:r>
      <w:r>
        <w:rPr>
          <w:spacing w:val="18"/>
        </w:rPr>
        <w:t>干式系统 </w:t>
      </w:r>
      <w:r>
        <w:rPr/>
        <w:t>dry</w:t>
      </w:r>
      <w:r>
        <w:rPr>
          <w:spacing w:val="-2"/>
        </w:rPr>
        <w:t> </w:t>
      </w:r>
      <w:r>
        <w:rPr/>
        <w:t>pipe sprinkler</w:t>
      </w:r>
      <w:r>
        <w:rPr>
          <w:spacing w:val="1"/>
        </w:rPr>
        <w:t> </w:t>
      </w:r>
      <w:r>
        <w:rPr/>
        <w:t>system </w:t>
      </w:r>
    </w:p>
    <w:p>
      <w:pPr>
        <w:pStyle w:val="BodyText"/>
        <w:spacing w:line="264" w:lineRule="exact"/>
        <w:ind w:left="838"/>
      </w:pPr>
      <w:r>
        <w:rPr/>
        <w:t>准工作状态时配水管道内充满用于启动系统的有压气体的闭式系统。 </w:t>
      </w:r>
    </w:p>
    <w:p>
      <w:pPr>
        <w:spacing w:after="0" w:line="264" w:lineRule="exact"/>
        <w:sectPr>
          <w:pgSz w:w="11910" w:h="16850"/>
          <w:pgMar w:header="0" w:footer="1239" w:top="1140" w:bottom="1420" w:left="1260" w:right="0"/>
        </w:sectPr>
      </w:pPr>
    </w:p>
    <w:p>
      <w:pPr>
        <w:pStyle w:val="ListParagraph"/>
        <w:numPr>
          <w:ilvl w:val="2"/>
          <w:numId w:val="903"/>
        </w:numPr>
        <w:tabs>
          <w:tab w:pos="1371" w:val="left" w:leader="none"/>
        </w:tabs>
        <w:spacing w:line="240" w:lineRule="auto" w:before="47" w:after="0"/>
        <w:ind w:left="1370" w:right="0" w:hanging="531"/>
        <w:jc w:val="left"/>
        <w:rPr>
          <w:sz w:val="21"/>
        </w:rPr>
      </w:pPr>
      <w:r>
        <w:rPr>
          <w:spacing w:val="14"/>
          <w:sz w:val="21"/>
        </w:rPr>
        <w:t>预作用系统 </w:t>
      </w:r>
      <w:r>
        <w:rPr>
          <w:sz w:val="21"/>
        </w:rPr>
        <w:t>preaction</w:t>
      </w:r>
      <w:r>
        <w:rPr>
          <w:spacing w:val="-3"/>
          <w:sz w:val="21"/>
        </w:rPr>
        <w:t> </w:t>
      </w:r>
      <w:r>
        <w:rPr>
          <w:sz w:val="21"/>
        </w:rPr>
        <w:t>sprinkler</w:t>
      </w:r>
      <w:r>
        <w:rPr>
          <w:spacing w:val="1"/>
          <w:sz w:val="21"/>
        </w:rPr>
        <w:t> </w:t>
      </w:r>
      <w:r>
        <w:rPr>
          <w:sz w:val="21"/>
        </w:rPr>
        <w:t>system </w:t>
      </w:r>
    </w:p>
    <w:p>
      <w:pPr>
        <w:pStyle w:val="BodyText"/>
        <w:rPr>
          <w:sz w:val="18"/>
        </w:rPr>
      </w:pPr>
    </w:p>
    <w:p>
      <w:pPr>
        <w:pStyle w:val="BodyText"/>
        <w:spacing w:line="446" w:lineRule="auto"/>
        <w:ind w:left="418" w:right="1609" w:firstLine="419"/>
      </w:pPr>
      <w:r>
        <w:rPr/>
        <w:t>准工作状态时配水管道内不充水，发生火灾时由火灾自动报警系统、充气管道上的压力开关联锁控制预作用装置和启动消防水泵，向配水管道供水的闭式系统。 </w:t>
      </w:r>
    </w:p>
    <w:p>
      <w:pPr>
        <w:pStyle w:val="ListParagraph"/>
        <w:numPr>
          <w:ilvl w:val="2"/>
          <w:numId w:val="903"/>
        </w:numPr>
        <w:tabs>
          <w:tab w:pos="1424" w:val="left" w:leader="none"/>
        </w:tabs>
        <w:spacing w:line="240" w:lineRule="auto" w:before="0" w:after="0"/>
        <w:ind w:left="1423" w:right="0" w:hanging="584"/>
        <w:jc w:val="left"/>
        <w:rPr>
          <w:sz w:val="21"/>
        </w:rPr>
      </w:pPr>
      <w:r>
        <w:rPr>
          <w:spacing w:val="-3"/>
          <w:sz w:val="21"/>
        </w:rPr>
        <w:t>重复启闭预作用系统 </w:t>
      </w:r>
      <w:r>
        <w:rPr>
          <w:sz w:val="21"/>
        </w:rPr>
        <w:t>recycling preaction</w:t>
      </w:r>
      <w:r>
        <w:rPr>
          <w:spacing w:val="1"/>
          <w:sz w:val="21"/>
        </w:rPr>
        <w:t> </w:t>
      </w:r>
      <w:r>
        <w:rPr>
          <w:sz w:val="21"/>
        </w:rPr>
        <w:t>sprinkler</w:t>
      </w:r>
      <w:r>
        <w:rPr>
          <w:spacing w:val="1"/>
          <w:sz w:val="21"/>
        </w:rPr>
        <w:t> </w:t>
      </w:r>
      <w:r>
        <w:rPr>
          <w:sz w:val="21"/>
        </w:rPr>
        <w:t>system </w:t>
      </w:r>
    </w:p>
    <w:p>
      <w:pPr>
        <w:pStyle w:val="BodyText"/>
        <w:spacing w:before="12"/>
        <w:rPr>
          <w:sz w:val="17"/>
        </w:rPr>
      </w:pPr>
    </w:p>
    <w:p>
      <w:pPr>
        <w:pStyle w:val="BodyText"/>
        <w:spacing w:line="446" w:lineRule="auto"/>
        <w:ind w:left="840" w:right="3817" w:hanging="3"/>
      </w:pPr>
      <w:r>
        <w:rPr/>
        <w:t>能在扑灭火灾后自动关阀、复燃时再次开阀喷水的预作用系统。</w:t>
      </w:r>
      <w:r>
        <w:rPr>
          <w:b/>
        </w:rPr>
        <w:t>2.1.8 </w:t>
      </w:r>
      <w:r>
        <w:rPr/>
        <w:t>雨淋系统 deluge sprinkler system </w:t>
      </w:r>
    </w:p>
    <w:p>
      <w:pPr>
        <w:pStyle w:val="BodyText"/>
        <w:spacing w:line="446" w:lineRule="auto"/>
        <w:ind w:left="418" w:right="1609" w:firstLine="419"/>
      </w:pPr>
      <w:r>
        <w:rPr/>
        <w:t>由开式洒水喷头、雨淋报警阀组等组成，发生火灾时由火灾自动报警系统或传动管控制， 自动开启雨淋报警阀组和启动消防水泵，用于灭火的开式系统。 </w:t>
      </w:r>
    </w:p>
    <w:p>
      <w:pPr>
        <w:pStyle w:val="ListParagraph"/>
        <w:numPr>
          <w:ilvl w:val="2"/>
          <w:numId w:val="904"/>
        </w:numPr>
        <w:tabs>
          <w:tab w:pos="1371" w:val="left" w:leader="none"/>
        </w:tabs>
        <w:spacing w:line="267" w:lineRule="exact" w:before="0" w:after="0"/>
        <w:ind w:left="1370" w:right="0" w:hanging="531"/>
        <w:jc w:val="left"/>
        <w:rPr>
          <w:sz w:val="21"/>
        </w:rPr>
      </w:pPr>
      <w:r>
        <w:rPr>
          <w:spacing w:val="18"/>
          <w:sz w:val="21"/>
        </w:rPr>
        <w:t>水幕系统 </w:t>
      </w:r>
      <w:r>
        <w:rPr>
          <w:sz w:val="21"/>
        </w:rPr>
        <w:t>drencher sprinkler</w:t>
      </w:r>
      <w:r>
        <w:rPr>
          <w:spacing w:val="1"/>
          <w:sz w:val="21"/>
        </w:rPr>
        <w:t> </w:t>
      </w:r>
      <w:r>
        <w:rPr>
          <w:sz w:val="21"/>
        </w:rPr>
        <w:t>system </w:t>
      </w:r>
    </w:p>
    <w:p>
      <w:pPr>
        <w:pStyle w:val="BodyText"/>
        <w:spacing w:before="2"/>
        <w:rPr>
          <w:sz w:val="18"/>
        </w:rPr>
      </w:pPr>
    </w:p>
    <w:p>
      <w:pPr>
        <w:pStyle w:val="BodyText"/>
        <w:spacing w:line="446" w:lineRule="auto"/>
        <w:ind w:left="418" w:right="1609" w:firstLine="419"/>
      </w:pPr>
      <w:r>
        <w:rPr/>
        <w:t>由开式洒水喷头或水幕喷头、雨淋报警阀组或感温雨淋报警阀等组成，用于防火分隔或防护冷却的开式系统。 </w:t>
      </w:r>
    </w:p>
    <w:p>
      <w:pPr>
        <w:pStyle w:val="ListParagraph"/>
        <w:numPr>
          <w:ilvl w:val="2"/>
          <w:numId w:val="904"/>
        </w:numPr>
        <w:tabs>
          <w:tab w:pos="1478" w:val="left" w:leader="none"/>
        </w:tabs>
        <w:spacing w:line="267" w:lineRule="exact" w:before="0" w:after="0"/>
        <w:ind w:left="1477" w:right="0" w:hanging="638"/>
        <w:jc w:val="left"/>
        <w:rPr>
          <w:sz w:val="21"/>
        </w:rPr>
      </w:pPr>
      <w:r>
        <w:rPr>
          <w:spacing w:val="-3"/>
          <w:sz w:val="21"/>
        </w:rPr>
        <w:t>防火分隔水幕 </w:t>
      </w:r>
      <w:r>
        <w:rPr>
          <w:sz w:val="21"/>
        </w:rPr>
        <w:t>fire</w:t>
      </w:r>
      <w:r>
        <w:rPr>
          <w:spacing w:val="1"/>
          <w:sz w:val="21"/>
        </w:rPr>
        <w:t> </w:t>
      </w:r>
      <w:r>
        <w:rPr>
          <w:sz w:val="21"/>
        </w:rPr>
        <w:t>compartment drencher</w:t>
      </w:r>
      <w:r>
        <w:rPr>
          <w:spacing w:val="1"/>
          <w:sz w:val="21"/>
        </w:rPr>
        <w:t> </w:t>
      </w:r>
      <w:r>
        <w:rPr>
          <w:sz w:val="21"/>
        </w:rPr>
        <w:t>sprinkler system </w:t>
      </w:r>
    </w:p>
    <w:p>
      <w:pPr>
        <w:pStyle w:val="BodyText"/>
        <w:spacing w:before="2"/>
        <w:rPr>
          <w:sz w:val="18"/>
        </w:rPr>
      </w:pPr>
    </w:p>
    <w:p>
      <w:pPr>
        <w:pStyle w:val="BodyText"/>
        <w:spacing w:line="446" w:lineRule="auto"/>
        <w:ind w:left="418" w:right="1609" w:firstLine="419"/>
      </w:pPr>
      <w:r>
        <w:rPr/>
        <w:t>由开式洒水喷头或水幕喷头、雨淋报警阀组或感温雨淋报警阀等组成，发生火灾时密集喷洒形成水墙或水帘的水幕系统。 </w:t>
      </w:r>
    </w:p>
    <w:p>
      <w:pPr>
        <w:pStyle w:val="ListParagraph"/>
        <w:numPr>
          <w:ilvl w:val="2"/>
          <w:numId w:val="904"/>
        </w:numPr>
        <w:tabs>
          <w:tab w:pos="1478" w:val="left" w:leader="none"/>
        </w:tabs>
        <w:spacing w:line="267" w:lineRule="exact" w:before="0" w:after="0"/>
        <w:ind w:left="1477" w:right="0" w:hanging="638"/>
        <w:jc w:val="left"/>
        <w:rPr>
          <w:sz w:val="21"/>
        </w:rPr>
      </w:pPr>
      <w:r>
        <w:rPr>
          <w:spacing w:val="12"/>
          <w:sz w:val="21"/>
        </w:rPr>
        <w:t>防护冷却水幕 </w:t>
      </w:r>
      <w:r>
        <w:rPr>
          <w:sz w:val="21"/>
        </w:rPr>
        <w:t>cooling protection</w:t>
      </w:r>
      <w:r>
        <w:rPr>
          <w:spacing w:val="-2"/>
          <w:sz w:val="21"/>
        </w:rPr>
        <w:t> </w:t>
      </w:r>
      <w:r>
        <w:rPr>
          <w:sz w:val="21"/>
        </w:rPr>
        <w:t>drencher</w:t>
      </w:r>
      <w:r>
        <w:rPr>
          <w:spacing w:val="1"/>
          <w:sz w:val="21"/>
        </w:rPr>
        <w:t> </w:t>
      </w:r>
      <w:r>
        <w:rPr>
          <w:sz w:val="21"/>
        </w:rPr>
        <w:t>sprinkler</w:t>
      </w:r>
      <w:r>
        <w:rPr>
          <w:spacing w:val="-3"/>
          <w:sz w:val="21"/>
        </w:rPr>
        <w:t> </w:t>
      </w:r>
      <w:r>
        <w:rPr>
          <w:sz w:val="21"/>
        </w:rPr>
        <w:t>system </w:t>
      </w:r>
    </w:p>
    <w:p>
      <w:pPr>
        <w:pStyle w:val="BodyText"/>
        <w:spacing w:before="2"/>
        <w:rPr>
          <w:sz w:val="18"/>
        </w:rPr>
      </w:pPr>
    </w:p>
    <w:p>
      <w:pPr>
        <w:pStyle w:val="BodyText"/>
        <w:spacing w:line="446" w:lineRule="auto"/>
        <w:ind w:left="418" w:right="1609" w:firstLine="419"/>
      </w:pPr>
      <w:r>
        <w:rPr/>
        <w:t>由水幕喷头、雨淋报警阀组或感温雨淋报警阀等组成，发生火灾时用于冷却防火卷帘、防火玻璃墙等防火分隔设施的水幕系统。 </w:t>
      </w:r>
    </w:p>
    <w:p>
      <w:pPr>
        <w:pStyle w:val="ListParagraph"/>
        <w:numPr>
          <w:ilvl w:val="2"/>
          <w:numId w:val="904"/>
        </w:numPr>
        <w:tabs>
          <w:tab w:pos="1478" w:val="left" w:leader="none"/>
        </w:tabs>
        <w:spacing w:line="267" w:lineRule="exact" w:before="0" w:after="0"/>
        <w:ind w:left="1477" w:right="0" w:hanging="638"/>
        <w:jc w:val="left"/>
        <w:rPr>
          <w:sz w:val="21"/>
        </w:rPr>
      </w:pPr>
      <w:r>
        <w:rPr>
          <w:spacing w:val="-3"/>
          <w:sz w:val="21"/>
        </w:rPr>
        <w:t>防护冷却系统 </w:t>
      </w:r>
      <w:r>
        <w:rPr>
          <w:sz w:val="21"/>
        </w:rPr>
        <w:t>cooling protection</w:t>
      </w:r>
      <w:r>
        <w:rPr>
          <w:spacing w:val="-2"/>
          <w:sz w:val="21"/>
        </w:rPr>
        <w:t> </w:t>
      </w:r>
      <w:r>
        <w:rPr>
          <w:sz w:val="21"/>
        </w:rPr>
        <w:t>sprinkler system </w:t>
      </w:r>
    </w:p>
    <w:p>
      <w:pPr>
        <w:pStyle w:val="BodyText"/>
        <w:spacing w:before="2"/>
        <w:rPr>
          <w:sz w:val="18"/>
        </w:rPr>
      </w:pPr>
    </w:p>
    <w:p>
      <w:pPr>
        <w:pStyle w:val="BodyText"/>
        <w:spacing w:line="446" w:lineRule="auto"/>
        <w:ind w:left="418" w:right="1609" w:firstLine="419"/>
      </w:pPr>
      <w:r>
        <w:rPr/>
        <w:t>由闭式洒水喷头、湿式报警阀组等组成，发生火灾时用于冷却防火卷帘、防火玻璃墙等防火分隔设施的闭式系统。 </w:t>
      </w:r>
    </w:p>
    <w:p>
      <w:pPr>
        <w:pStyle w:val="ListParagraph"/>
        <w:numPr>
          <w:ilvl w:val="2"/>
          <w:numId w:val="904"/>
        </w:numPr>
        <w:tabs>
          <w:tab w:pos="1478" w:val="left" w:leader="none"/>
        </w:tabs>
        <w:spacing w:line="267" w:lineRule="exact" w:before="0" w:after="0"/>
        <w:ind w:left="1477" w:right="0" w:hanging="638"/>
        <w:jc w:val="left"/>
        <w:rPr>
          <w:sz w:val="21"/>
        </w:rPr>
      </w:pPr>
      <w:r>
        <w:rPr>
          <w:spacing w:val="-1"/>
          <w:sz w:val="21"/>
        </w:rPr>
        <w:t>作用面积 </w:t>
      </w:r>
      <w:r>
        <w:rPr>
          <w:sz w:val="21"/>
        </w:rPr>
        <w:t>operation area</w:t>
      </w:r>
      <w:r>
        <w:rPr>
          <w:spacing w:val="-2"/>
          <w:sz w:val="21"/>
        </w:rPr>
        <w:t> </w:t>
      </w:r>
      <w:r>
        <w:rPr>
          <w:sz w:val="21"/>
        </w:rPr>
        <w:t>of</w:t>
      </w:r>
      <w:r>
        <w:rPr>
          <w:spacing w:val="1"/>
          <w:sz w:val="21"/>
        </w:rPr>
        <w:t> </w:t>
      </w:r>
      <w:r>
        <w:rPr>
          <w:sz w:val="21"/>
        </w:rPr>
        <w:t>sprinkler</w:t>
      </w:r>
      <w:r>
        <w:rPr>
          <w:spacing w:val="-3"/>
          <w:sz w:val="21"/>
        </w:rPr>
        <w:t> </w:t>
      </w:r>
      <w:r>
        <w:rPr>
          <w:sz w:val="21"/>
        </w:rPr>
        <w:t>system </w:t>
      </w:r>
    </w:p>
    <w:p>
      <w:pPr>
        <w:pStyle w:val="BodyText"/>
        <w:spacing w:before="2"/>
        <w:rPr>
          <w:sz w:val="18"/>
        </w:rPr>
      </w:pPr>
    </w:p>
    <w:p>
      <w:pPr>
        <w:pStyle w:val="BodyText"/>
        <w:ind w:left="838"/>
      </w:pPr>
      <w:r>
        <w:rPr>
          <w:w w:val="100"/>
        </w:rPr>
        <w:t> </w:t>
      </w:r>
      <w:r>
        <w:rPr/>
        <w:t>一次火灾中系统按喷水强度保护的最大面积。 </w:t>
      </w:r>
    </w:p>
    <w:p>
      <w:pPr>
        <w:pStyle w:val="BodyText"/>
        <w:spacing w:before="12"/>
        <w:rPr>
          <w:sz w:val="17"/>
        </w:rPr>
      </w:pPr>
    </w:p>
    <w:p>
      <w:pPr>
        <w:pStyle w:val="ListParagraph"/>
        <w:numPr>
          <w:ilvl w:val="2"/>
          <w:numId w:val="904"/>
        </w:numPr>
        <w:tabs>
          <w:tab w:pos="1478" w:val="left" w:leader="none"/>
        </w:tabs>
        <w:spacing w:line="240" w:lineRule="auto" w:before="0" w:after="0"/>
        <w:ind w:left="1477" w:right="0" w:hanging="638"/>
        <w:jc w:val="left"/>
        <w:rPr>
          <w:sz w:val="21"/>
        </w:rPr>
      </w:pPr>
      <w:r>
        <w:rPr>
          <w:spacing w:val="12"/>
          <w:sz w:val="21"/>
        </w:rPr>
        <w:t>响应时间指数 </w:t>
      </w:r>
      <w:r>
        <w:rPr>
          <w:sz w:val="21"/>
        </w:rPr>
        <w:t>response time</w:t>
      </w:r>
      <w:r>
        <w:rPr>
          <w:spacing w:val="1"/>
          <w:sz w:val="21"/>
        </w:rPr>
        <w:t> </w:t>
      </w:r>
      <w:r>
        <w:rPr>
          <w:sz w:val="21"/>
        </w:rPr>
        <w:t>index（RTI） </w:t>
      </w:r>
    </w:p>
    <w:p>
      <w:pPr>
        <w:pStyle w:val="BodyText"/>
        <w:rPr>
          <w:sz w:val="18"/>
        </w:rPr>
      </w:pPr>
    </w:p>
    <w:p>
      <w:pPr>
        <w:pStyle w:val="BodyText"/>
        <w:ind w:left="838"/>
      </w:pPr>
      <w:r>
        <w:rPr/>
        <w:t>闭式洒水喷头的热敏性能指标。 </w:t>
      </w:r>
    </w:p>
    <w:p>
      <w:pPr>
        <w:pStyle w:val="BodyText"/>
        <w:spacing w:before="1"/>
        <w:rPr>
          <w:sz w:val="18"/>
        </w:rPr>
      </w:pPr>
    </w:p>
    <w:p>
      <w:pPr>
        <w:pStyle w:val="ListParagraph"/>
        <w:numPr>
          <w:ilvl w:val="2"/>
          <w:numId w:val="904"/>
        </w:numPr>
        <w:tabs>
          <w:tab w:pos="1478" w:val="left" w:leader="none"/>
        </w:tabs>
        <w:spacing w:line="240" w:lineRule="auto" w:before="1" w:after="0"/>
        <w:ind w:left="1477" w:right="0" w:hanging="638"/>
        <w:jc w:val="left"/>
        <w:rPr>
          <w:sz w:val="21"/>
        </w:rPr>
      </w:pPr>
      <w:r>
        <w:rPr>
          <w:spacing w:val="-2"/>
          <w:sz w:val="21"/>
        </w:rPr>
        <w:t>快速响应洒水喷头 </w:t>
      </w:r>
      <w:r>
        <w:rPr>
          <w:sz w:val="21"/>
        </w:rPr>
        <w:t>fast response</w:t>
      </w:r>
      <w:r>
        <w:rPr>
          <w:spacing w:val="1"/>
          <w:sz w:val="21"/>
        </w:rPr>
        <w:t> </w:t>
      </w:r>
      <w:r>
        <w:rPr>
          <w:sz w:val="21"/>
        </w:rPr>
        <w:t>sprinkler </w:t>
      </w:r>
    </w:p>
    <w:p>
      <w:pPr>
        <w:pStyle w:val="BodyText"/>
        <w:spacing w:before="2"/>
        <w:rPr>
          <w:sz w:val="17"/>
        </w:rPr>
      </w:pPr>
    </w:p>
    <w:p>
      <w:pPr>
        <w:pStyle w:val="BodyText"/>
        <w:ind w:left="838"/>
      </w:pPr>
      <w:r>
        <w:rPr/>
        <w:t>响应时间指数 RTI≤50(m·s)</w:t>
      </w:r>
      <w:r>
        <w:rPr>
          <w:position w:val="11"/>
          <w:sz w:val="11"/>
        </w:rPr>
        <w:t>0.5 </w:t>
      </w:r>
      <w:r>
        <w:rPr/>
        <w:t>的闭式洒水喷头。 </w:t>
      </w:r>
    </w:p>
    <w:p>
      <w:pPr>
        <w:pStyle w:val="BodyText"/>
        <w:rPr>
          <w:sz w:val="18"/>
        </w:rPr>
      </w:pPr>
    </w:p>
    <w:p>
      <w:pPr>
        <w:pStyle w:val="ListParagraph"/>
        <w:numPr>
          <w:ilvl w:val="2"/>
          <w:numId w:val="904"/>
        </w:numPr>
        <w:tabs>
          <w:tab w:pos="1478" w:val="left" w:leader="none"/>
        </w:tabs>
        <w:spacing w:line="240" w:lineRule="auto" w:before="0" w:after="0"/>
        <w:ind w:left="1477" w:right="0" w:hanging="638"/>
        <w:jc w:val="left"/>
        <w:rPr>
          <w:sz w:val="21"/>
        </w:rPr>
      </w:pPr>
      <w:r>
        <w:rPr>
          <w:spacing w:val="-2"/>
          <w:sz w:val="21"/>
        </w:rPr>
        <w:t>特殊响应洒水喷头 </w:t>
      </w:r>
      <w:r>
        <w:rPr>
          <w:sz w:val="21"/>
        </w:rPr>
        <w:t>special</w:t>
      </w:r>
      <w:r>
        <w:rPr>
          <w:spacing w:val="1"/>
          <w:sz w:val="21"/>
        </w:rPr>
        <w:t> </w:t>
      </w:r>
      <w:r>
        <w:rPr>
          <w:sz w:val="21"/>
        </w:rPr>
        <w:t>response sprinkler </w:t>
      </w:r>
    </w:p>
    <w:p>
      <w:pPr>
        <w:pStyle w:val="BodyText"/>
        <w:spacing w:before="4"/>
        <w:rPr>
          <w:sz w:val="17"/>
        </w:rPr>
      </w:pPr>
    </w:p>
    <w:p>
      <w:pPr>
        <w:pStyle w:val="BodyText"/>
        <w:spacing w:before="1"/>
        <w:ind w:left="838"/>
      </w:pPr>
      <w:r>
        <w:rPr/>
        <w:t>响应时间指数 50&lt;RTI≤80(m·s)</w:t>
      </w:r>
      <w:r>
        <w:rPr>
          <w:position w:val="11"/>
          <w:sz w:val="11"/>
        </w:rPr>
        <w:t>0.5 </w:t>
      </w:r>
      <w:r>
        <w:rPr/>
        <w:t>的闭式洒水喷头。 </w:t>
      </w:r>
    </w:p>
    <w:p>
      <w:pPr>
        <w:spacing w:after="0"/>
        <w:sectPr>
          <w:pgSz w:w="11910" w:h="16850"/>
          <w:pgMar w:header="0" w:footer="1239" w:top="1220" w:bottom="1420" w:left="1260" w:right="0"/>
        </w:sectPr>
      </w:pPr>
    </w:p>
    <w:p>
      <w:pPr>
        <w:pStyle w:val="ListParagraph"/>
        <w:numPr>
          <w:ilvl w:val="2"/>
          <w:numId w:val="904"/>
        </w:numPr>
        <w:tabs>
          <w:tab w:pos="1530" w:val="left" w:leader="none"/>
        </w:tabs>
        <w:spacing w:line="240" w:lineRule="auto" w:before="47" w:after="0"/>
        <w:ind w:left="1529" w:right="0" w:hanging="690"/>
        <w:jc w:val="left"/>
        <w:rPr>
          <w:sz w:val="21"/>
        </w:rPr>
      </w:pPr>
      <w:r>
        <w:rPr>
          <w:spacing w:val="-2"/>
          <w:sz w:val="21"/>
        </w:rPr>
        <w:t>标准响应洒水喷头 </w:t>
      </w:r>
      <w:r>
        <w:rPr>
          <w:sz w:val="21"/>
        </w:rPr>
        <w:t>standard response</w:t>
      </w:r>
      <w:r>
        <w:rPr>
          <w:spacing w:val="1"/>
          <w:sz w:val="21"/>
        </w:rPr>
        <w:t> </w:t>
      </w:r>
      <w:r>
        <w:rPr>
          <w:sz w:val="21"/>
        </w:rPr>
        <w:t>sprinkler </w:t>
      </w:r>
    </w:p>
    <w:p>
      <w:pPr>
        <w:pStyle w:val="BodyText"/>
        <w:spacing w:before="3"/>
        <w:rPr>
          <w:sz w:val="17"/>
        </w:rPr>
      </w:pPr>
    </w:p>
    <w:p>
      <w:pPr>
        <w:pStyle w:val="BodyText"/>
        <w:ind w:left="838"/>
      </w:pPr>
      <w:r>
        <w:rPr/>
        <w:t>响应时间指数 80&lt;RTI≤350(m·s)</w:t>
      </w:r>
      <w:r>
        <w:rPr>
          <w:position w:val="11"/>
          <w:sz w:val="11"/>
        </w:rPr>
        <w:t>0.5 </w:t>
      </w:r>
      <w:r>
        <w:rPr/>
        <w:t>的闭式洒水喷头。 </w:t>
      </w:r>
    </w:p>
    <w:p>
      <w:pPr>
        <w:pStyle w:val="BodyText"/>
        <w:spacing w:before="12"/>
        <w:rPr>
          <w:sz w:val="17"/>
        </w:rPr>
      </w:pPr>
    </w:p>
    <w:p>
      <w:pPr>
        <w:pStyle w:val="ListParagraph"/>
        <w:numPr>
          <w:ilvl w:val="2"/>
          <w:numId w:val="904"/>
        </w:numPr>
        <w:tabs>
          <w:tab w:pos="1530" w:val="left" w:leader="none"/>
        </w:tabs>
        <w:spacing w:line="240" w:lineRule="auto" w:before="0" w:after="0"/>
        <w:ind w:left="1529" w:right="0" w:hanging="690"/>
        <w:jc w:val="left"/>
        <w:rPr>
          <w:sz w:val="21"/>
        </w:rPr>
      </w:pPr>
      <w:r>
        <w:rPr>
          <w:spacing w:val="-3"/>
          <w:sz w:val="21"/>
        </w:rPr>
        <w:t>一只喷头的保护面积 </w:t>
      </w:r>
      <w:r>
        <w:rPr>
          <w:sz w:val="21"/>
        </w:rPr>
        <w:t>protection</w:t>
      </w:r>
      <w:r>
        <w:rPr>
          <w:spacing w:val="1"/>
          <w:sz w:val="21"/>
        </w:rPr>
        <w:t> </w:t>
      </w:r>
      <w:r>
        <w:rPr>
          <w:sz w:val="21"/>
        </w:rPr>
        <w:t>area </w:t>
      </w:r>
      <w:r>
        <w:rPr>
          <w:spacing w:val="-3"/>
          <w:sz w:val="21"/>
        </w:rPr>
        <w:t>of</w:t>
      </w:r>
      <w:r>
        <w:rPr>
          <w:spacing w:val="7"/>
          <w:sz w:val="21"/>
        </w:rPr>
        <w:t> </w:t>
      </w:r>
      <w:r>
        <w:rPr>
          <w:sz w:val="21"/>
        </w:rPr>
        <w:t>the sprinkler </w:t>
      </w:r>
    </w:p>
    <w:p>
      <w:pPr>
        <w:pStyle w:val="BodyText"/>
        <w:spacing w:before="2"/>
        <w:rPr>
          <w:sz w:val="18"/>
        </w:rPr>
      </w:pPr>
    </w:p>
    <w:p>
      <w:pPr>
        <w:pStyle w:val="BodyText"/>
        <w:ind w:left="838"/>
      </w:pPr>
      <w:r>
        <w:rPr/>
        <w:t>同一根配水支管上相邻洒水喷头的距离与相邻配水支管之间距离的乘积。 </w:t>
      </w:r>
    </w:p>
    <w:p>
      <w:pPr>
        <w:pStyle w:val="BodyText"/>
        <w:rPr>
          <w:sz w:val="18"/>
        </w:rPr>
      </w:pPr>
    </w:p>
    <w:p>
      <w:pPr>
        <w:pStyle w:val="ListParagraph"/>
        <w:numPr>
          <w:ilvl w:val="2"/>
          <w:numId w:val="904"/>
        </w:numPr>
        <w:tabs>
          <w:tab w:pos="1530" w:val="left" w:leader="none"/>
        </w:tabs>
        <w:spacing w:line="240" w:lineRule="auto" w:before="0" w:after="0"/>
        <w:ind w:left="1529" w:right="0" w:hanging="690"/>
        <w:jc w:val="left"/>
        <w:rPr>
          <w:sz w:val="21"/>
        </w:rPr>
      </w:pPr>
      <w:r>
        <w:rPr>
          <w:spacing w:val="6"/>
          <w:sz w:val="21"/>
        </w:rPr>
        <w:t>标准覆盖面积洒水喷头 </w:t>
      </w:r>
      <w:r>
        <w:rPr>
          <w:sz w:val="21"/>
        </w:rPr>
        <w:t>standard</w:t>
      </w:r>
      <w:r>
        <w:rPr>
          <w:spacing w:val="1"/>
          <w:sz w:val="21"/>
        </w:rPr>
        <w:t> </w:t>
      </w:r>
      <w:r>
        <w:rPr>
          <w:sz w:val="21"/>
        </w:rPr>
        <w:t>coverage sprinkler </w:t>
      </w:r>
    </w:p>
    <w:p>
      <w:pPr>
        <w:pStyle w:val="BodyText"/>
        <w:spacing w:before="2"/>
        <w:rPr>
          <w:sz w:val="17"/>
        </w:rPr>
      </w:pPr>
    </w:p>
    <w:p>
      <w:pPr>
        <w:pStyle w:val="BodyText"/>
        <w:spacing w:line="439" w:lineRule="auto"/>
        <w:ind w:left="418" w:right="1635" w:firstLine="419"/>
      </w:pPr>
      <w:r>
        <w:rPr>
          <w:spacing w:val="-9"/>
        </w:rPr>
        <w:t>流量系数 </w:t>
      </w:r>
      <w:r>
        <w:rPr/>
        <w:t>K≥80</w:t>
      </w:r>
      <w:r>
        <w:rPr>
          <w:spacing w:val="-6"/>
        </w:rPr>
        <w:t>，一只喷头的最大保护面积不超过 </w:t>
      </w:r>
      <w:r>
        <w:rPr/>
        <w:t>20m</w:t>
      </w:r>
      <w:r>
        <w:rPr>
          <w:position w:val="11"/>
          <w:sz w:val="11"/>
        </w:rPr>
        <w:t>2 </w:t>
      </w:r>
      <w:r>
        <w:rPr>
          <w:spacing w:val="-3"/>
        </w:rPr>
        <w:t>的直立型、下垂型洒水喷头及一只</w:t>
      </w:r>
      <w:r>
        <w:rPr>
          <w:spacing w:val="-7"/>
        </w:rPr>
        <w:t>喷头的最大保护面积不超过 </w:t>
      </w:r>
      <w:r>
        <w:rPr/>
        <w:t>18m</w:t>
      </w:r>
      <w:r>
        <w:rPr>
          <w:position w:val="11"/>
          <w:sz w:val="11"/>
        </w:rPr>
        <w:t>2 </w:t>
      </w:r>
      <w:r>
        <w:rPr>
          <w:spacing w:val="-3"/>
        </w:rPr>
        <w:t>的边墙型洒水喷头。 </w:t>
      </w:r>
    </w:p>
    <w:p>
      <w:pPr>
        <w:pStyle w:val="ListParagraph"/>
        <w:numPr>
          <w:ilvl w:val="2"/>
          <w:numId w:val="904"/>
        </w:numPr>
        <w:tabs>
          <w:tab w:pos="1478" w:val="left" w:leader="none"/>
        </w:tabs>
        <w:spacing w:line="240" w:lineRule="auto" w:before="7" w:after="0"/>
        <w:ind w:left="1477" w:right="0" w:hanging="638"/>
        <w:jc w:val="left"/>
        <w:rPr>
          <w:sz w:val="21"/>
        </w:rPr>
      </w:pPr>
      <w:r>
        <w:rPr>
          <w:spacing w:val="6"/>
          <w:sz w:val="21"/>
        </w:rPr>
        <w:t>扩大覆盖面积洒水喷头 </w:t>
      </w:r>
      <w:r>
        <w:rPr>
          <w:sz w:val="21"/>
        </w:rPr>
        <w:t>extended</w:t>
      </w:r>
      <w:r>
        <w:rPr>
          <w:spacing w:val="1"/>
          <w:sz w:val="21"/>
        </w:rPr>
        <w:t> </w:t>
      </w:r>
      <w:r>
        <w:rPr>
          <w:sz w:val="21"/>
        </w:rPr>
        <w:t>coverage（EC） sprinkler </w:t>
      </w:r>
    </w:p>
    <w:p>
      <w:pPr>
        <w:pStyle w:val="BodyText"/>
        <w:spacing w:before="12"/>
        <w:rPr>
          <w:sz w:val="17"/>
        </w:rPr>
      </w:pPr>
    </w:p>
    <w:p>
      <w:pPr>
        <w:pStyle w:val="BodyText"/>
        <w:spacing w:line="439" w:lineRule="auto"/>
        <w:ind w:left="418" w:right="1498" w:firstLine="419"/>
      </w:pPr>
      <w:r>
        <w:rPr/>
        <w:t>流量系数 K≥80 ，一只喷头的最大保护面积大于标准覆盖面积洒水喷头的保护面积，且不超过 36m</w:t>
      </w:r>
      <w:r>
        <w:rPr>
          <w:position w:val="11"/>
          <w:sz w:val="11"/>
        </w:rPr>
        <w:t>2 </w:t>
      </w:r>
      <w:r>
        <w:rPr/>
        <w:t>的洒水喷头，包括直立型、下垂型和边墙型扩大覆盖面积洒水喷头。 </w:t>
      </w:r>
    </w:p>
    <w:p>
      <w:pPr>
        <w:pStyle w:val="ListParagraph"/>
        <w:numPr>
          <w:ilvl w:val="2"/>
          <w:numId w:val="904"/>
        </w:numPr>
        <w:tabs>
          <w:tab w:pos="1478" w:val="left" w:leader="none"/>
        </w:tabs>
        <w:spacing w:line="240" w:lineRule="auto" w:before="6" w:after="0"/>
        <w:ind w:left="1477" w:right="0" w:hanging="638"/>
        <w:jc w:val="left"/>
        <w:rPr>
          <w:sz w:val="21"/>
        </w:rPr>
      </w:pPr>
      <w:r>
        <w:rPr>
          <w:spacing w:val="-2"/>
          <w:sz w:val="21"/>
        </w:rPr>
        <w:t>标准流量洒水喷头 </w:t>
      </w:r>
      <w:r>
        <w:rPr>
          <w:sz w:val="21"/>
        </w:rPr>
        <w:t>standard</w:t>
      </w:r>
      <w:r>
        <w:rPr>
          <w:spacing w:val="1"/>
          <w:sz w:val="21"/>
        </w:rPr>
        <w:t> </w:t>
      </w:r>
      <w:r>
        <w:rPr>
          <w:sz w:val="21"/>
        </w:rPr>
        <w:t>orifice sprinkler </w:t>
      </w:r>
    </w:p>
    <w:p>
      <w:pPr>
        <w:pStyle w:val="BodyText"/>
        <w:spacing w:before="12"/>
        <w:rPr>
          <w:sz w:val="17"/>
        </w:rPr>
      </w:pPr>
    </w:p>
    <w:p>
      <w:pPr>
        <w:pStyle w:val="BodyText"/>
        <w:ind w:left="838"/>
      </w:pPr>
      <w:r>
        <w:rPr/>
        <w:t>流量系数 K=80 的标准覆盖面积洒水喷头。 </w:t>
      </w:r>
    </w:p>
    <w:p>
      <w:pPr>
        <w:pStyle w:val="BodyText"/>
        <w:spacing w:before="2"/>
        <w:rPr>
          <w:sz w:val="18"/>
        </w:rPr>
      </w:pPr>
    </w:p>
    <w:p>
      <w:pPr>
        <w:pStyle w:val="ListParagraph"/>
        <w:numPr>
          <w:ilvl w:val="2"/>
          <w:numId w:val="904"/>
        </w:numPr>
        <w:tabs>
          <w:tab w:pos="1478" w:val="left" w:leader="none"/>
        </w:tabs>
        <w:spacing w:line="240" w:lineRule="auto" w:before="0" w:after="0"/>
        <w:ind w:left="1477" w:right="0" w:hanging="638"/>
        <w:jc w:val="both"/>
        <w:rPr>
          <w:sz w:val="21"/>
        </w:rPr>
      </w:pPr>
      <w:r>
        <w:rPr>
          <w:spacing w:val="6"/>
          <w:sz w:val="21"/>
        </w:rPr>
        <w:t>早期抑制快速响应喷头 </w:t>
      </w:r>
      <w:r>
        <w:rPr>
          <w:sz w:val="21"/>
        </w:rPr>
        <w:t>early suppression</w:t>
      </w:r>
      <w:r>
        <w:rPr>
          <w:spacing w:val="1"/>
          <w:sz w:val="21"/>
        </w:rPr>
        <w:t> </w:t>
      </w:r>
      <w:r>
        <w:rPr>
          <w:sz w:val="21"/>
        </w:rPr>
        <w:t>fast response（ESFR）sprinkler </w:t>
      </w:r>
    </w:p>
    <w:p>
      <w:pPr>
        <w:pStyle w:val="BodyText"/>
        <w:spacing w:before="3"/>
        <w:rPr>
          <w:sz w:val="17"/>
        </w:rPr>
      </w:pPr>
    </w:p>
    <w:p>
      <w:pPr>
        <w:pStyle w:val="BodyText"/>
        <w:spacing w:line="446" w:lineRule="auto"/>
        <w:ind w:left="418" w:right="1553" w:firstLine="419"/>
        <w:jc w:val="both"/>
      </w:pPr>
      <w:r>
        <w:rPr>
          <w:spacing w:val="-10"/>
        </w:rPr>
        <w:t>流量系数 </w:t>
      </w:r>
      <w:r>
        <w:rPr/>
        <w:t>K≥161</w:t>
      </w:r>
      <w:r>
        <w:rPr>
          <w:spacing w:val="-8"/>
        </w:rPr>
        <w:t>，响应时间指数 </w:t>
      </w:r>
      <w:r>
        <w:rPr/>
        <w:t>RTI≤28±8(m·s)</w:t>
      </w:r>
      <w:r>
        <w:rPr>
          <w:position w:val="11"/>
          <w:sz w:val="11"/>
        </w:rPr>
        <w:t>0.5</w:t>
      </w:r>
      <w:r>
        <w:rPr>
          <w:spacing w:val="-3"/>
        </w:rPr>
        <w:t>，用于保护堆垛与高架仓库的标准覆盖面积洒水喷头。</w:t>
      </w:r>
      <w:r>
        <w:rPr/>
        <w:t> </w:t>
      </w:r>
    </w:p>
    <w:p>
      <w:pPr>
        <w:pStyle w:val="ListParagraph"/>
        <w:numPr>
          <w:ilvl w:val="2"/>
          <w:numId w:val="904"/>
        </w:numPr>
        <w:tabs>
          <w:tab w:pos="1478" w:val="left" w:leader="none"/>
        </w:tabs>
        <w:spacing w:line="240" w:lineRule="auto" w:before="0" w:after="0"/>
        <w:ind w:left="1477" w:right="0" w:hanging="638"/>
        <w:jc w:val="both"/>
        <w:rPr>
          <w:sz w:val="21"/>
        </w:rPr>
      </w:pPr>
      <w:r>
        <w:rPr>
          <w:spacing w:val="-3"/>
          <w:sz w:val="21"/>
        </w:rPr>
        <w:t>特殊应用喷头 </w:t>
      </w:r>
      <w:r>
        <w:rPr>
          <w:sz w:val="21"/>
        </w:rPr>
        <w:t>specific application</w:t>
      </w:r>
      <w:r>
        <w:rPr>
          <w:spacing w:val="1"/>
          <w:sz w:val="21"/>
        </w:rPr>
        <w:t> </w:t>
      </w:r>
      <w:r>
        <w:rPr>
          <w:sz w:val="21"/>
        </w:rPr>
        <w:t>sprinkler </w:t>
      </w:r>
    </w:p>
    <w:p>
      <w:pPr>
        <w:pStyle w:val="BodyText"/>
        <w:spacing w:before="12"/>
        <w:rPr>
          <w:sz w:val="17"/>
        </w:rPr>
      </w:pPr>
    </w:p>
    <w:p>
      <w:pPr>
        <w:pStyle w:val="BodyText"/>
        <w:spacing w:line="446" w:lineRule="auto"/>
        <w:ind w:left="418" w:right="1450" w:firstLine="419"/>
        <w:jc w:val="both"/>
      </w:pPr>
      <w:r>
        <w:rPr>
          <w:spacing w:val="-10"/>
        </w:rPr>
        <w:t>流量系数 </w:t>
      </w:r>
      <w:r>
        <w:rPr/>
        <w:t>K≥161</w:t>
      </w:r>
      <w:r>
        <w:rPr>
          <w:spacing w:val="-3"/>
        </w:rPr>
        <w:t> ，具有较大水滴粒径，在通过标准试验验证后，可用于民用建筑和厂房高大空间场所以及仓库的标准覆盖面积洒水喷头 ，包括非仓库型特殊应用喷头和仓库型特殊应用喷头。</w:t>
      </w:r>
      <w:r>
        <w:rPr/>
        <w:t> </w:t>
      </w:r>
    </w:p>
    <w:p>
      <w:pPr>
        <w:pStyle w:val="ListParagraph"/>
        <w:numPr>
          <w:ilvl w:val="2"/>
          <w:numId w:val="904"/>
        </w:numPr>
        <w:tabs>
          <w:tab w:pos="1478" w:val="left" w:leader="none"/>
        </w:tabs>
        <w:spacing w:line="268" w:lineRule="exact" w:before="0" w:after="0"/>
        <w:ind w:left="1477" w:right="0" w:hanging="638"/>
        <w:jc w:val="both"/>
        <w:rPr>
          <w:sz w:val="21"/>
        </w:rPr>
      </w:pPr>
      <w:r>
        <w:rPr>
          <w:spacing w:val="18"/>
          <w:sz w:val="21"/>
        </w:rPr>
        <w:t>家用喷头 </w:t>
      </w:r>
      <w:r>
        <w:rPr>
          <w:sz w:val="21"/>
        </w:rPr>
        <w:t>residential sprinkler </w:t>
      </w:r>
    </w:p>
    <w:p>
      <w:pPr>
        <w:pStyle w:val="BodyText"/>
        <w:rPr>
          <w:sz w:val="18"/>
        </w:rPr>
      </w:pPr>
    </w:p>
    <w:p>
      <w:pPr>
        <w:pStyle w:val="BodyText"/>
        <w:spacing w:line="446" w:lineRule="auto"/>
        <w:ind w:left="840" w:right="3817" w:hanging="3"/>
      </w:pPr>
      <w:r>
        <w:rPr/>
        <w:t>适用于住宅建筑和非住宅类居住建筑的一种快速响应洒水喷头。</w:t>
      </w:r>
      <w:r>
        <w:rPr>
          <w:b/>
        </w:rPr>
        <w:t>2.1.25 </w:t>
      </w:r>
      <w:r>
        <w:rPr/>
        <w:t>配水干管 feed mains </w:t>
      </w:r>
    </w:p>
    <w:p>
      <w:pPr>
        <w:pStyle w:val="BodyText"/>
        <w:spacing w:line="446" w:lineRule="auto"/>
        <w:ind w:left="838" w:right="6757"/>
      </w:pPr>
      <w:r>
        <w:rPr>
          <w:spacing w:val="-3"/>
        </w:rPr>
        <w:t>报警阀后向配水管供水的管道。</w:t>
      </w:r>
      <w:r>
        <w:rPr>
          <w:b/>
        </w:rPr>
        <w:t>2.1.26 </w:t>
      </w:r>
      <w:r>
        <w:rPr>
          <w:spacing w:val="-2"/>
        </w:rPr>
        <w:t>配 水 管 </w:t>
      </w:r>
      <w:r>
        <w:rPr/>
        <w:t>cross mains </w:t>
      </w:r>
      <w:r>
        <w:rPr>
          <w:spacing w:val="-3"/>
        </w:rPr>
        <w:t>向配水支管供水的管道。</w:t>
      </w:r>
      <w:r>
        <w:rPr/>
        <w:t> </w:t>
      </w:r>
    </w:p>
    <w:p>
      <w:pPr>
        <w:spacing w:line="268" w:lineRule="exact" w:before="0"/>
        <w:ind w:left="840" w:right="0" w:firstLine="0"/>
        <w:jc w:val="left"/>
        <w:rPr>
          <w:sz w:val="21"/>
        </w:rPr>
      </w:pPr>
      <w:r>
        <w:rPr>
          <w:b/>
          <w:sz w:val="21"/>
        </w:rPr>
        <w:t>2.1.27</w:t>
      </w:r>
      <w:r>
        <w:rPr>
          <w:b/>
          <w:spacing w:val="-1"/>
          <w:sz w:val="21"/>
        </w:rPr>
        <w:t> </w:t>
      </w:r>
      <w:r>
        <w:rPr>
          <w:spacing w:val="14"/>
          <w:sz w:val="21"/>
        </w:rPr>
        <w:t>配水支管  </w:t>
      </w:r>
      <w:r>
        <w:rPr>
          <w:sz w:val="21"/>
        </w:rPr>
        <w:t>branch lines </w:t>
      </w:r>
    </w:p>
    <w:p>
      <w:pPr>
        <w:pStyle w:val="BodyText"/>
        <w:spacing w:before="12"/>
        <w:rPr>
          <w:sz w:val="17"/>
        </w:rPr>
      </w:pPr>
    </w:p>
    <w:p>
      <w:pPr>
        <w:pStyle w:val="BodyText"/>
        <w:spacing w:line="446" w:lineRule="auto"/>
        <w:ind w:left="840" w:right="5709" w:hanging="3"/>
      </w:pPr>
      <w:r>
        <w:rPr>
          <w:spacing w:val="-3"/>
        </w:rPr>
        <w:t>直接或通过短立管向洒水喷头供水的管道。</w:t>
      </w:r>
      <w:r>
        <w:rPr>
          <w:b/>
        </w:rPr>
        <w:t>2.1.28</w:t>
      </w:r>
      <w:r>
        <w:rPr>
          <w:b/>
          <w:spacing w:val="-1"/>
        </w:rPr>
        <w:t> </w:t>
      </w:r>
      <w:r>
        <w:rPr>
          <w:spacing w:val="18"/>
        </w:rPr>
        <w:t>配水管道 </w:t>
      </w:r>
      <w:r>
        <w:rPr/>
        <w:t>system</w:t>
      </w:r>
      <w:r>
        <w:rPr>
          <w:spacing w:val="1"/>
        </w:rPr>
        <w:t> </w:t>
      </w:r>
      <w:r>
        <w:rPr/>
        <w:t>pipes </w:t>
      </w:r>
    </w:p>
    <w:p>
      <w:pPr>
        <w:spacing w:after="0" w:line="446" w:lineRule="auto"/>
        <w:sectPr>
          <w:pgSz w:w="11910" w:h="16850"/>
          <w:pgMar w:header="0" w:footer="1239" w:top="1220" w:bottom="1420" w:left="1260" w:right="0"/>
        </w:sectPr>
      </w:pPr>
    </w:p>
    <w:p>
      <w:pPr>
        <w:pStyle w:val="BodyText"/>
        <w:spacing w:line="446" w:lineRule="auto" w:before="47"/>
        <w:ind w:left="840" w:right="6129" w:hanging="3"/>
      </w:pPr>
      <w:r>
        <w:rPr/>
        <w:t>配水干管、配水管及配水支管的总称。</w:t>
      </w:r>
      <w:r>
        <w:rPr>
          <w:b/>
        </w:rPr>
        <w:t>2.1.29 </w:t>
      </w:r>
      <w:r>
        <w:rPr/>
        <w:t>短 立 管 sprig </w:t>
      </w:r>
    </w:p>
    <w:p>
      <w:pPr>
        <w:pStyle w:val="BodyText"/>
        <w:spacing w:line="267" w:lineRule="exact"/>
        <w:ind w:left="838"/>
      </w:pPr>
      <w:r>
        <w:rPr/>
        <w:t>连接洒水喷头与配水支管的立管。 </w:t>
      </w:r>
    </w:p>
    <w:p>
      <w:pPr>
        <w:pStyle w:val="BodyText"/>
        <w:spacing w:before="2"/>
        <w:rPr>
          <w:sz w:val="18"/>
        </w:rPr>
      </w:pPr>
    </w:p>
    <w:p>
      <w:pPr>
        <w:pStyle w:val="BodyText"/>
        <w:ind w:left="840"/>
      </w:pPr>
      <w:r>
        <w:rPr>
          <w:b/>
        </w:rPr>
        <w:t>2.1.30 </w:t>
      </w:r>
      <w:r>
        <w:rPr/>
        <w:t>消防洒水软管  flexible sprinkler hose fittings </w:t>
      </w:r>
    </w:p>
    <w:p>
      <w:pPr>
        <w:pStyle w:val="BodyText"/>
        <w:rPr>
          <w:sz w:val="18"/>
        </w:rPr>
      </w:pPr>
    </w:p>
    <w:p>
      <w:pPr>
        <w:pStyle w:val="BodyText"/>
        <w:spacing w:line="446" w:lineRule="auto"/>
        <w:ind w:left="840" w:right="3397" w:hanging="3"/>
      </w:pPr>
      <w:r>
        <w:rPr/>
        <w:t>连接洒水喷头与配水管道的挠性金属软管及洒水喷头调整固定装置。</w:t>
      </w:r>
      <w:r>
        <w:rPr>
          <w:b/>
        </w:rPr>
        <w:t>2.1.31 </w:t>
      </w:r>
      <w:r>
        <w:rPr/>
        <w:t>信 号 阀 signal valve </w:t>
      </w:r>
    </w:p>
    <w:p>
      <w:pPr>
        <w:pStyle w:val="BodyText"/>
        <w:spacing w:line="446" w:lineRule="auto"/>
        <w:ind w:left="840" w:right="6337" w:hanging="3"/>
      </w:pPr>
      <w:r>
        <w:rPr/>
        <w:t>具有输出启闭状态信号功能的阀门。</w:t>
      </w:r>
      <w:r>
        <w:rPr>
          <w:b/>
        </w:rPr>
        <w:t>2.2 </w:t>
      </w:r>
      <w:r>
        <w:rPr/>
        <w:t>符号 </w:t>
      </w:r>
    </w:p>
    <w:p>
      <w:pPr>
        <w:pStyle w:val="BodyText"/>
        <w:spacing w:line="267" w:lineRule="exact"/>
        <w:ind w:left="838"/>
      </w:pPr>
      <w:r>
        <w:rPr>
          <w:spacing w:val="-1"/>
        </w:rPr>
        <w:t>a—</w:t>
      </w:r>
      <w:r>
        <w:rPr>
          <w:spacing w:val="-3"/>
        </w:rPr>
        <w:t>—喷头与障碍物的水平距离；</w:t>
      </w:r>
      <w:r>
        <w:rPr/>
        <w:t> </w:t>
      </w:r>
    </w:p>
    <w:p>
      <w:pPr>
        <w:pStyle w:val="BodyText"/>
        <w:spacing w:before="1"/>
        <w:rPr>
          <w:sz w:val="18"/>
        </w:rPr>
      </w:pPr>
    </w:p>
    <w:p>
      <w:pPr>
        <w:pStyle w:val="BodyText"/>
        <w:spacing w:line="446" w:lineRule="auto" w:before="1"/>
        <w:ind w:left="838" w:right="5394"/>
      </w:pPr>
      <w:r>
        <w:rPr/>
        <w:t>b—</w:t>
      </w:r>
      <w:r>
        <w:rPr>
          <w:spacing w:val="-3"/>
        </w:rPr>
        <w:t>—喷头溅水盘与障碍物底面的垂直距离； </w:t>
      </w:r>
      <w:r>
        <w:rPr/>
        <w:t>c—</w:t>
      </w:r>
      <w:r>
        <w:rPr>
          <w:spacing w:val="-3"/>
        </w:rPr>
        <w:t>—障碍物横截面的一个边长；</w:t>
      </w:r>
      <w:r>
        <w:rPr/>
        <w:t> </w:t>
      </w:r>
    </w:p>
    <w:p>
      <w:pPr>
        <w:pStyle w:val="BodyText"/>
        <w:spacing w:line="448" w:lineRule="auto"/>
        <w:ind w:left="838" w:right="7127"/>
      </w:pPr>
      <w:r>
        <w:rPr>
          <w:position w:val="1"/>
        </w:rPr>
        <w:t>C</w:t>
      </w:r>
      <w:r>
        <w:rPr>
          <w:sz w:val="11"/>
        </w:rPr>
        <w:t>h</w:t>
      </w:r>
      <w:r>
        <w:rPr>
          <w:position w:val="1"/>
        </w:rPr>
        <w:t>——海澄—威廉系数； </w:t>
      </w:r>
      <w:r>
        <w:rPr/>
        <w:t>d——管道外径； </w:t>
      </w:r>
    </w:p>
    <w:p>
      <w:pPr>
        <w:pStyle w:val="BodyText"/>
        <w:spacing w:line="446" w:lineRule="auto"/>
        <w:ind w:left="838" w:right="7074"/>
      </w:pPr>
      <w:r>
        <w:rPr>
          <w:position w:val="1"/>
        </w:rPr>
        <w:t>d</w:t>
      </w:r>
      <w:r>
        <w:rPr>
          <w:sz w:val="11"/>
        </w:rPr>
        <w:t>g</w:t>
      </w:r>
      <w:r>
        <w:rPr>
          <w:position w:val="1"/>
        </w:rPr>
        <w:t>——节流管的计算内径； d</w:t>
      </w:r>
      <w:r>
        <w:rPr>
          <w:sz w:val="11"/>
        </w:rPr>
        <w:t>j</w:t>
      </w:r>
      <w:r>
        <w:rPr>
          <w:position w:val="1"/>
        </w:rPr>
        <w:t>——管道的计算内径； d</w:t>
      </w:r>
      <w:r>
        <w:rPr>
          <w:sz w:val="11"/>
        </w:rPr>
        <w:t>k</w:t>
      </w:r>
      <w:r>
        <w:rPr>
          <w:position w:val="1"/>
        </w:rPr>
        <w:t>——减压孔板的孔口直径； </w:t>
      </w:r>
    </w:p>
    <w:p>
      <w:pPr>
        <w:pStyle w:val="BodyText"/>
        <w:spacing w:line="268" w:lineRule="exact"/>
        <w:ind w:left="838"/>
      </w:pPr>
      <w:r>
        <w:rPr/>
        <w:t>e——障碍物横截面的另一个边长； </w:t>
      </w:r>
    </w:p>
    <w:p>
      <w:pPr>
        <w:pStyle w:val="BodyText"/>
        <w:spacing w:before="4"/>
        <w:rPr>
          <w:sz w:val="17"/>
        </w:rPr>
      </w:pPr>
    </w:p>
    <w:p>
      <w:pPr>
        <w:pStyle w:val="BodyText"/>
        <w:spacing w:line="446" w:lineRule="auto"/>
        <w:ind w:left="838" w:right="5077"/>
      </w:pPr>
      <w:r>
        <w:rPr/>
        <w:t>f——喷头溅水盘与不到顶隔墙顶面的垂直间距； g——重力加速度； </w:t>
      </w:r>
    </w:p>
    <w:p>
      <w:pPr>
        <w:pStyle w:val="BodyText"/>
        <w:ind w:left="838"/>
      </w:pPr>
      <w:r>
        <w:rPr/>
        <w:t>H——水泵扬程或系统入口的供水压力； </w:t>
      </w:r>
    </w:p>
    <w:p>
      <w:pPr>
        <w:pStyle w:val="BodyText"/>
        <w:spacing w:before="12"/>
        <w:rPr>
          <w:sz w:val="17"/>
        </w:rPr>
      </w:pPr>
    </w:p>
    <w:p>
      <w:pPr>
        <w:pStyle w:val="BodyText"/>
        <w:spacing w:line="446" w:lineRule="auto"/>
        <w:ind w:left="838" w:right="4237"/>
      </w:pPr>
      <w:r>
        <w:rPr>
          <w:position w:val="1"/>
        </w:rPr>
        <w:t>H</w:t>
      </w:r>
      <w:r>
        <w:rPr>
          <w:sz w:val="11"/>
        </w:rPr>
        <w:t>c</w:t>
      </w:r>
      <w:r>
        <w:rPr>
          <w:position w:val="1"/>
        </w:rPr>
        <w:t>——从城市市政管网直接抽水时城市管网的最低水压； H</w:t>
      </w:r>
      <w:r>
        <w:rPr>
          <w:sz w:val="11"/>
        </w:rPr>
        <w:t>g</w:t>
      </w:r>
      <w:r>
        <w:rPr>
          <w:position w:val="1"/>
        </w:rPr>
        <w:t>——节流管的水头损失； </w:t>
      </w:r>
    </w:p>
    <w:p>
      <w:pPr>
        <w:pStyle w:val="BodyText"/>
        <w:spacing w:line="446" w:lineRule="auto"/>
        <w:ind w:left="838" w:right="7148"/>
      </w:pPr>
      <w:r>
        <w:rPr>
          <w:position w:val="1"/>
        </w:rPr>
        <w:t>H</w:t>
      </w:r>
      <w:r>
        <w:rPr>
          <w:sz w:val="11"/>
        </w:rPr>
        <w:t>k</w:t>
      </w:r>
      <w:r>
        <w:rPr>
          <w:spacing w:val="-3"/>
          <w:position w:val="1"/>
        </w:rPr>
        <w:t>——减压孔板的水头损失； </w:t>
      </w:r>
      <w:r>
        <w:rPr/>
        <w:t>h—</w:t>
      </w:r>
      <w:r>
        <w:rPr>
          <w:spacing w:val="-3"/>
        </w:rPr>
        <w:t>—最大净空高度； </w:t>
      </w:r>
      <w:r>
        <w:rPr>
          <w:spacing w:val="-3"/>
          <w:position w:val="1"/>
        </w:rPr>
        <w:t>  </w:t>
      </w:r>
      <w:r>
        <w:rPr>
          <w:position w:val="1"/>
        </w:rPr>
        <w:t>h</w:t>
      </w:r>
      <w:r>
        <w:rPr>
          <w:sz w:val="11"/>
        </w:rPr>
        <w:t>s</w:t>
      </w:r>
      <w:r>
        <w:rPr>
          <w:spacing w:val="-3"/>
          <w:position w:val="1"/>
        </w:rPr>
        <w:t>——最大储物高度；</w:t>
      </w:r>
      <w:r>
        <w:rPr>
          <w:position w:val="1"/>
        </w:rPr>
        <w:t> </w:t>
      </w:r>
    </w:p>
    <w:p>
      <w:pPr>
        <w:pStyle w:val="BodyText"/>
        <w:spacing w:line="446" w:lineRule="auto"/>
        <w:ind w:left="838" w:right="6654"/>
      </w:pPr>
      <w:r>
        <w:rPr/>
        <w:t>i—</w:t>
      </w:r>
      <w:r>
        <w:rPr>
          <w:spacing w:val="-3"/>
        </w:rPr>
        <w:t>—管道单位长度的水头损失； </w:t>
      </w:r>
      <w:r>
        <w:rPr/>
        <w:t>K—</w:t>
      </w:r>
      <w:r>
        <w:rPr>
          <w:spacing w:val="-3"/>
        </w:rPr>
        <w:t>—喷头流量系数；</w:t>
      </w:r>
      <w:r>
        <w:rPr/>
        <w:t> </w:t>
      </w:r>
    </w:p>
    <w:p>
      <w:pPr>
        <w:pStyle w:val="BodyText"/>
        <w:ind w:left="838"/>
      </w:pPr>
      <w:r>
        <w:rPr>
          <w:spacing w:val="-1"/>
        </w:rPr>
        <w:t>L—</w:t>
      </w:r>
      <w:r>
        <w:rPr>
          <w:spacing w:val="-3"/>
        </w:rPr>
        <w:t>—节流管的长度；</w:t>
      </w:r>
      <w:r>
        <w:rPr/>
        <w:t> </w:t>
      </w:r>
    </w:p>
    <w:p>
      <w:pPr>
        <w:spacing w:after="0"/>
        <w:sectPr>
          <w:pgSz w:w="11910" w:h="16850"/>
          <w:pgMar w:header="0" w:footer="1239" w:top="1220" w:bottom="1420" w:left="1260" w:right="0"/>
        </w:sectPr>
      </w:pPr>
    </w:p>
    <w:p>
      <w:pPr>
        <w:pStyle w:val="BodyText"/>
        <w:spacing w:line="446" w:lineRule="auto" w:before="47"/>
        <w:ind w:left="838" w:right="5394"/>
      </w:pPr>
      <w:r>
        <w:rPr/>
        <w:t>n—</w:t>
      </w:r>
      <w:r>
        <w:rPr>
          <w:spacing w:val="-3"/>
        </w:rPr>
        <w:t>—最不利点处作用面积内的洒水喷头数； </w:t>
      </w:r>
      <w:r>
        <w:rPr/>
        <w:t>P—</w:t>
      </w:r>
      <w:r>
        <w:rPr>
          <w:spacing w:val="-3"/>
        </w:rPr>
        <w:t>—喷头工作压力；</w:t>
      </w:r>
      <w:r>
        <w:rPr/>
        <w:t> </w:t>
      </w:r>
    </w:p>
    <w:p>
      <w:pPr>
        <w:pStyle w:val="BodyText"/>
        <w:spacing w:line="446" w:lineRule="auto"/>
        <w:ind w:left="838" w:right="6076"/>
      </w:pPr>
      <w:r>
        <w:rPr>
          <w:position w:val="1"/>
        </w:rPr>
        <w:t>P</w:t>
      </w:r>
      <w:r>
        <w:rPr>
          <w:sz w:val="11"/>
        </w:rPr>
        <w:t>0</w:t>
      </w:r>
      <w:r>
        <w:rPr>
          <w:spacing w:val="-3"/>
          <w:position w:val="1"/>
        </w:rPr>
        <w:t>——最不利点处喷头的工作压力； </w:t>
      </w:r>
      <w:r>
        <w:rPr>
          <w:position w:val="1"/>
        </w:rPr>
        <w:t>P</w:t>
      </w:r>
      <w:r>
        <w:rPr>
          <w:sz w:val="11"/>
        </w:rPr>
        <w:t>p</w:t>
      </w:r>
      <w:r>
        <w:rPr>
          <w:spacing w:val="-3"/>
          <w:position w:val="1"/>
        </w:rPr>
        <w:t>——系统管道沿程和局部的水头损失； </w:t>
      </w:r>
      <w:r>
        <w:rPr/>
        <w:t>Q—</w:t>
      </w:r>
      <w:r>
        <w:rPr>
          <w:spacing w:val="-3"/>
        </w:rPr>
        <w:t>—系统设计流量；</w:t>
      </w:r>
      <w:r>
        <w:rPr/>
        <w:t> </w:t>
      </w:r>
    </w:p>
    <w:p>
      <w:pPr>
        <w:pStyle w:val="BodyText"/>
        <w:spacing w:line="268" w:lineRule="exact"/>
        <w:ind w:left="838"/>
      </w:pPr>
      <w:r>
        <w:rPr/>
        <w:t>q——喷头流量； </w:t>
      </w:r>
    </w:p>
    <w:p>
      <w:pPr>
        <w:pStyle w:val="BodyText"/>
        <w:spacing w:before="12"/>
        <w:rPr>
          <w:sz w:val="17"/>
        </w:rPr>
      </w:pPr>
    </w:p>
    <w:p>
      <w:pPr>
        <w:pStyle w:val="BodyText"/>
        <w:spacing w:line="446" w:lineRule="auto"/>
        <w:ind w:left="838" w:right="5077"/>
      </w:pPr>
      <w:r>
        <w:rPr>
          <w:position w:val="1"/>
        </w:rPr>
        <w:t>q</w:t>
      </w:r>
      <w:r>
        <w:rPr>
          <w:sz w:val="11"/>
        </w:rPr>
        <w:t>i</w:t>
      </w:r>
      <w:r>
        <w:rPr>
          <w:position w:val="1"/>
        </w:rPr>
        <w:t>——最不利点处作用面积内各喷头节点的流量； q</w:t>
      </w:r>
      <w:r>
        <w:rPr>
          <w:sz w:val="11"/>
        </w:rPr>
        <w:t>g</w:t>
      </w:r>
      <w:r>
        <w:rPr>
          <w:position w:val="1"/>
        </w:rPr>
        <w:t>——管道设计流量； </w:t>
      </w:r>
    </w:p>
    <w:p>
      <w:pPr>
        <w:pStyle w:val="BodyText"/>
        <w:spacing w:line="268" w:lineRule="exact"/>
        <w:ind w:left="838"/>
      </w:pPr>
      <w:r>
        <w:rPr/>
        <w:t>S——喷头间距； </w:t>
      </w:r>
    </w:p>
    <w:p>
      <w:pPr>
        <w:pStyle w:val="BodyText"/>
        <w:spacing w:before="1"/>
        <w:rPr>
          <w:sz w:val="18"/>
        </w:rPr>
      </w:pPr>
    </w:p>
    <w:p>
      <w:pPr>
        <w:pStyle w:val="BodyText"/>
        <w:spacing w:line="446" w:lineRule="auto" w:before="1"/>
        <w:ind w:left="838" w:right="6654"/>
      </w:pPr>
      <w:r>
        <w:rPr>
          <w:position w:val="1"/>
        </w:rPr>
        <w:t>S</w:t>
      </w:r>
      <w:r>
        <w:rPr>
          <w:sz w:val="11"/>
        </w:rPr>
        <w:t>L</w:t>
      </w:r>
      <w:r>
        <w:rPr>
          <w:spacing w:val="-3"/>
          <w:position w:val="1"/>
        </w:rPr>
        <w:t>——喷头溅水盘与顶板的距离； </w:t>
      </w:r>
      <w:r>
        <w:rPr>
          <w:position w:val="1"/>
        </w:rPr>
        <w:t>S</w:t>
      </w:r>
      <w:r>
        <w:rPr>
          <w:sz w:val="11"/>
        </w:rPr>
        <w:t>W</w:t>
      </w:r>
      <w:r>
        <w:rPr>
          <w:spacing w:val="-3"/>
          <w:position w:val="1"/>
        </w:rPr>
        <w:t>——喷头溅水盘与背墙的距离； </w:t>
      </w:r>
      <w:r>
        <w:rPr/>
        <w:t>V—</w:t>
      </w:r>
      <w:r>
        <w:rPr>
          <w:spacing w:val="-3"/>
        </w:rPr>
        <w:t>—管道内水的平均流速； </w:t>
      </w:r>
      <w:r>
        <w:rPr>
          <w:spacing w:val="-3"/>
          <w:position w:val="1"/>
        </w:rPr>
        <w:t>V</w:t>
      </w:r>
      <w:r>
        <w:rPr>
          <w:spacing w:val="-3"/>
          <w:sz w:val="11"/>
        </w:rPr>
        <w:t>g</w:t>
      </w:r>
      <w:r>
        <w:rPr>
          <w:spacing w:val="-3"/>
          <w:position w:val="1"/>
        </w:rPr>
        <w:t>——节流管内水的平均流速；</w:t>
      </w:r>
      <w:r>
        <w:rPr>
          <w:position w:val="1"/>
        </w:rPr>
        <w:t> </w:t>
      </w:r>
    </w:p>
    <w:p>
      <w:pPr>
        <w:pStyle w:val="BodyText"/>
        <w:spacing w:line="267" w:lineRule="exact"/>
        <w:ind w:left="838"/>
      </w:pPr>
      <w:r>
        <w:rPr>
          <w:position w:val="1"/>
        </w:rPr>
        <w:t>V</w:t>
      </w:r>
      <w:r>
        <w:rPr>
          <w:sz w:val="11"/>
        </w:rPr>
        <w:t>k</w:t>
      </w:r>
      <w:r>
        <w:rPr>
          <w:position w:val="1"/>
        </w:rPr>
        <w:t>——减压孔板后管道内水的平均流速； </w:t>
      </w:r>
    </w:p>
    <w:p>
      <w:pPr>
        <w:pStyle w:val="BodyText"/>
        <w:spacing w:before="12"/>
        <w:rPr>
          <w:sz w:val="17"/>
        </w:rPr>
      </w:pPr>
    </w:p>
    <w:p>
      <w:pPr>
        <w:pStyle w:val="BodyText"/>
        <w:ind w:left="838"/>
      </w:pPr>
      <w:r>
        <w:rPr/>
        <w:t>Z——最不利点处喷头与消防水池最低水位或系统入口管水平中心线之间的高程差； </w:t>
      </w:r>
    </w:p>
    <w:p>
      <w:pPr>
        <w:pStyle w:val="BodyText"/>
        <w:spacing w:before="2"/>
        <w:rPr>
          <w:sz w:val="18"/>
        </w:rPr>
      </w:pPr>
    </w:p>
    <w:p>
      <w:pPr>
        <w:pStyle w:val="BodyText"/>
        <w:spacing w:line="446" w:lineRule="auto"/>
        <w:ind w:left="838" w:right="4657"/>
      </w:pPr>
      <w:r>
        <w:rPr/>
        <w:t>ζ——节流管中渐缩管与渐扩管的局部阻力系数之和； ξ——减压孔板的局部阻力系数。 </w:t>
      </w:r>
    </w:p>
    <w:p>
      <w:pPr>
        <w:pStyle w:val="Heading4"/>
        <w:spacing w:line="275" w:lineRule="exact"/>
      </w:pPr>
      <w:r>
        <w:rPr/>
        <w:t>3 设置场所火灾危险等级</w:t>
      </w:r>
      <w:r>
        <w:rPr>
          <w:w w:val="99"/>
        </w:rPr>
        <w:t> </w:t>
      </w:r>
    </w:p>
    <w:p>
      <w:pPr>
        <w:pStyle w:val="BodyText"/>
        <w:spacing w:before="6"/>
        <w:rPr>
          <w:b/>
          <w:sz w:val="17"/>
        </w:rPr>
      </w:pPr>
    </w:p>
    <w:p>
      <w:pPr>
        <w:pStyle w:val="ListParagraph"/>
        <w:numPr>
          <w:ilvl w:val="1"/>
          <w:numId w:val="905"/>
        </w:numPr>
        <w:tabs>
          <w:tab w:pos="1160" w:val="left" w:leader="none"/>
        </w:tabs>
        <w:spacing w:line="240" w:lineRule="auto" w:before="1" w:after="0"/>
        <w:ind w:left="1159" w:right="0" w:hanging="320"/>
        <w:jc w:val="left"/>
        <w:rPr>
          <w:sz w:val="21"/>
        </w:rPr>
      </w:pPr>
      <w:r>
        <w:rPr>
          <w:spacing w:val="-3"/>
          <w:sz w:val="21"/>
        </w:rPr>
        <w:t>设置场所的火灾危险等级应划分为轻危险级、中危险级</w:t>
      </w:r>
      <w:r>
        <w:rPr>
          <w:sz w:val="21"/>
        </w:rPr>
        <w:t>（</w:t>
      </w:r>
      <w:r>
        <w:rPr>
          <w:spacing w:val="-3"/>
          <w:sz w:val="21"/>
        </w:rPr>
        <w:t>Ⅰ级、 Ⅱ级）</w:t>
      </w:r>
      <w:r>
        <w:rPr>
          <w:spacing w:val="-2"/>
          <w:sz w:val="21"/>
        </w:rPr>
        <w:t>、严重危险级</w:t>
      </w:r>
    </w:p>
    <w:p>
      <w:pPr>
        <w:pStyle w:val="BodyText"/>
        <w:spacing w:before="12"/>
        <w:rPr>
          <w:sz w:val="17"/>
        </w:rPr>
      </w:pPr>
    </w:p>
    <w:p>
      <w:pPr>
        <w:pStyle w:val="BodyText"/>
        <w:ind w:left="418"/>
      </w:pPr>
      <w:r>
        <w:rPr/>
        <w:t>（Ⅰ级、 Ⅱ级）和仓库危险级（ Ⅰ级、 Ⅱ级、 Ⅲ级）。 </w:t>
      </w:r>
    </w:p>
    <w:p>
      <w:pPr>
        <w:pStyle w:val="BodyText"/>
        <w:rPr>
          <w:sz w:val="18"/>
        </w:rPr>
      </w:pPr>
    </w:p>
    <w:p>
      <w:pPr>
        <w:pStyle w:val="ListParagraph"/>
        <w:numPr>
          <w:ilvl w:val="1"/>
          <w:numId w:val="905"/>
        </w:numPr>
        <w:tabs>
          <w:tab w:pos="1159" w:val="left" w:leader="none"/>
        </w:tabs>
        <w:spacing w:line="446" w:lineRule="auto" w:before="0" w:after="0"/>
        <w:ind w:left="418" w:right="1502" w:firstLine="422"/>
        <w:jc w:val="left"/>
        <w:rPr>
          <w:sz w:val="21"/>
        </w:rPr>
      </w:pPr>
      <w:r>
        <w:rPr>
          <w:spacing w:val="-3"/>
          <w:sz w:val="21"/>
        </w:rPr>
        <w:t>设置场所的火灾危险等级，应根据其用途、容纳物品的火灾荷载及室内空间条件等因素，在分析火灾特点和热气流驱动洒水喷头开放及喷水到位的难易程度后确定 ，设置场所应按本</w:t>
      </w:r>
      <w:r>
        <w:rPr>
          <w:spacing w:val="10"/>
          <w:sz w:val="21"/>
        </w:rPr>
        <w:t>规范附录</w:t>
      </w:r>
      <w:r>
        <w:rPr>
          <w:sz w:val="21"/>
        </w:rPr>
        <w:t>A</w:t>
      </w:r>
      <w:r>
        <w:rPr>
          <w:spacing w:val="-10"/>
          <w:sz w:val="21"/>
        </w:rPr>
        <w:t> 进行分类 。</w:t>
      </w:r>
      <w:r>
        <w:rPr>
          <w:sz w:val="21"/>
        </w:rPr>
        <w:t> </w:t>
      </w:r>
    </w:p>
    <w:p>
      <w:pPr>
        <w:pStyle w:val="ListParagraph"/>
        <w:numPr>
          <w:ilvl w:val="1"/>
          <w:numId w:val="905"/>
        </w:numPr>
        <w:tabs>
          <w:tab w:pos="1159" w:val="left" w:leader="none"/>
        </w:tabs>
        <w:spacing w:line="446" w:lineRule="auto" w:before="0" w:after="0"/>
        <w:ind w:left="418" w:right="1604" w:firstLine="422"/>
        <w:jc w:val="left"/>
        <w:rPr>
          <w:sz w:val="21"/>
        </w:rPr>
      </w:pPr>
      <w:r>
        <w:rPr>
          <w:spacing w:val="-3"/>
          <w:sz w:val="21"/>
        </w:rPr>
        <w:t>当建筑物内各场所的火灾危险性及灭火难度存在较大差异时，宜按各场所的实际情况确定系统选型与火灾危险等级。</w:t>
      </w:r>
      <w:r>
        <w:rPr>
          <w:sz w:val="21"/>
        </w:rPr>
        <w:t> </w:t>
      </w:r>
    </w:p>
    <w:p>
      <w:pPr>
        <w:pStyle w:val="Heading4"/>
        <w:spacing w:line="278" w:lineRule="exact"/>
      </w:pPr>
      <w:r>
        <w:rPr/>
        <w:t>4 系统基本要求</w:t>
      </w:r>
      <w:r>
        <w:rPr>
          <w:w w:val="99"/>
        </w:rPr>
        <w:t> </w:t>
      </w:r>
    </w:p>
    <w:p>
      <w:pPr>
        <w:pStyle w:val="BodyText"/>
        <w:spacing w:before="2"/>
        <w:rPr>
          <w:b/>
          <w:sz w:val="17"/>
        </w:rPr>
      </w:pPr>
    </w:p>
    <w:p>
      <w:pPr>
        <w:pStyle w:val="ListParagraph"/>
        <w:numPr>
          <w:ilvl w:val="1"/>
          <w:numId w:val="906"/>
        </w:numPr>
        <w:tabs>
          <w:tab w:pos="1159" w:val="left" w:leader="none"/>
        </w:tabs>
        <w:spacing w:line="240" w:lineRule="auto" w:before="1" w:after="0"/>
        <w:ind w:left="1158" w:right="0" w:hanging="319"/>
        <w:jc w:val="left"/>
        <w:rPr>
          <w:sz w:val="21"/>
        </w:rPr>
      </w:pPr>
      <w:r>
        <w:rPr>
          <w:spacing w:val="-3"/>
          <w:sz w:val="21"/>
        </w:rPr>
        <w:t>一般规定</w:t>
      </w:r>
      <w:r>
        <w:rPr>
          <w:sz w:val="21"/>
        </w:rPr>
        <w:t> </w:t>
      </w:r>
    </w:p>
    <w:p>
      <w:pPr>
        <w:pStyle w:val="BodyText"/>
        <w:spacing w:before="1"/>
        <w:rPr>
          <w:sz w:val="18"/>
        </w:rPr>
      </w:pPr>
    </w:p>
    <w:p>
      <w:pPr>
        <w:pStyle w:val="ListParagraph"/>
        <w:numPr>
          <w:ilvl w:val="2"/>
          <w:numId w:val="906"/>
        </w:numPr>
        <w:tabs>
          <w:tab w:pos="1424" w:val="left" w:leader="none"/>
        </w:tabs>
        <w:spacing w:line="240" w:lineRule="auto" w:before="0" w:after="0"/>
        <w:ind w:left="1423" w:right="0" w:hanging="584"/>
        <w:jc w:val="left"/>
        <w:rPr>
          <w:sz w:val="21"/>
        </w:rPr>
      </w:pPr>
      <w:r>
        <w:rPr>
          <w:spacing w:val="-3"/>
          <w:sz w:val="21"/>
        </w:rPr>
        <w:t>自动喷水灭火系统的设置场所应符合国家现行相关标准的规定。</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906"/>
        </w:numPr>
        <w:tabs>
          <w:tab w:pos="1424" w:val="left" w:leader="none"/>
        </w:tabs>
        <w:spacing w:line="446" w:lineRule="auto" w:before="47" w:after="0"/>
        <w:ind w:left="838" w:right="4074" w:firstLine="2"/>
        <w:jc w:val="left"/>
        <w:rPr>
          <w:b/>
          <w:sz w:val="21"/>
        </w:rPr>
      </w:pPr>
      <w:r>
        <w:rPr>
          <w:spacing w:val="-3"/>
          <w:sz w:val="21"/>
        </w:rPr>
        <w:t>自动喷水灭火系统不适用于存在较多下列物品的场所： 遇水发生爆炸或加速燃烧的物品；</w:t>
      </w:r>
      <w:r>
        <w:rPr>
          <w:b/>
          <w:w w:val="99"/>
          <w:sz w:val="21"/>
        </w:rPr>
        <w:t> </w:t>
      </w:r>
    </w:p>
    <w:p>
      <w:pPr>
        <w:pStyle w:val="BodyText"/>
        <w:spacing w:line="446" w:lineRule="auto"/>
        <w:ind w:left="838" w:right="4866"/>
        <w:rPr>
          <w:b/>
        </w:rPr>
      </w:pPr>
      <w:r>
        <w:rPr/>
        <w:t>遇水发生剧烈化学反应或产生有毒有害物质的物品； 洒水将导致喷溅或沸溢的液体。</w:t>
      </w:r>
      <w:r>
        <w:rPr>
          <w:b/>
          <w:w w:val="99"/>
        </w:rPr>
        <w:t> </w:t>
      </w:r>
    </w:p>
    <w:p>
      <w:pPr>
        <w:pStyle w:val="ListParagraph"/>
        <w:numPr>
          <w:ilvl w:val="2"/>
          <w:numId w:val="906"/>
        </w:numPr>
        <w:tabs>
          <w:tab w:pos="1424" w:val="left" w:leader="none"/>
        </w:tabs>
        <w:spacing w:line="240" w:lineRule="auto" w:before="0" w:after="0"/>
        <w:ind w:left="1423" w:right="0" w:hanging="584"/>
        <w:jc w:val="left"/>
        <w:rPr>
          <w:sz w:val="21"/>
        </w:rPr>
      </w:pPr>
      <w:r>
        <w:rPr>
          <w:spacing w:val="-3"/>
          <w:sz w:val="21"/>
        </w:rPr>
        <w:t>自动喷水灭火系统的设计原则应符合下列规定：</w:t>
      </w:r>
      <w:r>
        <w:rPr>
          <w:sz w:val="21"/>
        </w:rPr>
        <w:t> </w:t>
      </w:r>
    </w:p>
    <w:p>
      <w:pPr>
        <w:pStyle w:val="BodyText"/>
        <w:spacing w:before="10"/>
        <w:rPr>
          <w:sz w:val="17"/>
        </w:rPr>
      </w:pPr>
    </w:p>
    <w:p>
      <w:pPr>
        <w:pStyle w:val="BodyText"/>
        <w:ind w:left="838"/>
      </w:pPr>
      <w:r>
        <w:rPr/>
        <w:t>闭式洒水喷头或启动系统的火灾探测器，应能有效探测初期火灾； </w:t>
      </w:r>
    </w:p>
    <w:p>
      <w:pPr>
        <w:pStyle w:val="BodyText"/>
        <w:spacing w:before="2"/>
        <w:rPr>
          <w:sz w:val="18"/>
        </w:rPr>
      </w:pPr>
    </w:p>
    <w:p>
      <w:pPr>
        <w:pStyle w:val="BodyText"/>
        <w:spacing w:line="446" w:lineRule="auto"/>
        <w:ind w:left="418" w:right="1609" w:firstLine="419"/>
      </w:pPr>
      <w:r>
        <w:rPr/>
        <w:t>湿式系统、干式系统应在开放一只洒水喷头后自动启动，预作用系统、雨淋系统和水幕系统应根据其类型由火灾探测器、闭式洒水喷头作为探测元件，报警后自动启动； </w:t>
      </w:r>
    </w:p>
    <w:p>
      <w:pPr>
        <w:pStyle w:val="BodyText"/>
        <w:spacing w:line="446" w:lineRule="auto"/>
        <w:ind w:left="838" w:right="2345"/>
      </w:pPr>
      <w:r>
        <w:rPr>
          <w:spacing w:val="-3"/>
        </w:rPr>
        <w:t>作用面积内开放的洒水喷头，应在规定时间内按设计选定的喷水强度持续喷水； 喷头洒水时，应均匀分布，且不应受阻挡。</w:t>
      </w:r>
      <w:r>
        <w:rPr/>
        <w:t> </w:t>
      </w:r>
    </w:p>
    <w:p>
      <w:pPr>
        <w:pStyle w:val="ListParagraph"/>
        <w:numPr>
          <w:ilvl w:val="1"/>
          <w:numId w:val="906"/>
        </w:numPr>
        <w:tabs>
          <w:tab w:pos="1160" w:val="left" w:leader="none"/>
        </w:tabs>
        <w:spacing w:line="240" w:lineRule="auto" w:before="0" w:after="0"/>
        <w:ind w:left="1159" w:right="0" w:hanging="320"/>
        <w:jc w:val="left"/>
        <w:rPr>
          <w:sz w:val="21"/>
        </w:rPr>
      </w:pPr>
      <w:r>
        <w:rPr>
          <w:spacing w:val="-3"/>
          <w:sz w:val="21"/>
        </w:rPr>
        <w:t>系统选型</w:t>
      </w:r>
      <w:r>
        <w:rPr>
          <w:sz w:val="21"/>
        </w:rPr>
        <w:t> </w:t>
      </w:r>
    </w:p>
    <w:p>
      <w:pPr>
        <w:pStyle w:val="BodyText"/>
        <w:spacing w:before="10"/>
        <w:rPr>
          <w:sz w:val="17"/>
        </w:rPr>
      </w:pPr>
    </w:p>
    <w:p>
      <w:pPr>
        <w:pStyle w:val="ListParagraph"/>
        <w:numPr>
          <w:ilvl w:val="2"/>
          <w:numId w:val="906"/>
        </w:numPr>
        <w:tabs>
          <w:tab w:pos="1370" w:val="left" w:leader="none"/>
        </w:tabs>
        <w:spacing w:line="446" w:lineRule="auto" w:before="1" w:after="0"/>
        <w:ind w:left="418" w:right="1604" w:firstLine="422"/>
        <w:jc w:val="left"/>
        <w:rPr>
          <w:sz w:val="21"/>
        </w:rPr>
      </w:pPr>
      <w:r>
        <w:rPr>
          <w:spacing w:val="-3"/>
          <w:sz w:val="21"/>
        </w:rPr>
        <w:t>自动喷水灭火系统选型应根据设置场所的建筑特征、环境条件和火灾特点等选择相应的开式或闭式系统。露天场所不宜采用闭式系统。 </w:t>
      </w:r>
    </w:p>
    <w:p>
      <w:pPr>
        <w:pStyle w:val="ListParagraph"/>
        <w:numPr>
          <w:ilvl w:val="2"/>
          <w:numId w:val="906"/>
        </w:numPr>
        <w:tabs>
          <w:tab w:pos="1370" w:val="left" w:leader="none"/>
        </w:tabs>
        <w:spacing w:line="240" w:lineRule="auto" w:before="0" w:after="0"/>
        <w:ind w:left="1369" w:right="0" w:hanging="530"/>
        <w:jc w:val="left"/>
        <w:rPr>
          <w:sz w:val="21"/>
        </w:rPr>
      </w:pPr>
      <w:r>
        <w:rPr>
          <w:spacing w:val="-10"/>
          <w:sz w:val="21"/>
        </w:rPr>
        <w:t>环境温度不低于 </w:t>
      </w:r>
      <w:r>
        <w:rPr>
          <w:sz w:val="21"/>
        </w:rPr>
        <w:t>4</w:t>
      </w:r>
      <w:r>
        <w:rPr>
          <w:spacing w:val="-11"/>
          <w:sz w:val="21"/>
        </w:rPr>
        <w:t>℃且不高于 </w:t>
      </w:r>
      <w:r>
        <w:rPr>
          <w:sz w:val="21"/>
        </w:rPr>
        <w:t>70</w:t>
      </w:r>
      <w:r>
        <w:rPr>
          <w:spacing w:val="-3"/>
          <w:sz w:val="21"/>
        </w:rPr>
        <w:t>℃的场所，应采用湿式系统。</w:t>
      </w:r>
      <w:r>
        <w:rPr>
          <w:sz w:val="21"/>
        </w:rPr>
        <w:t> </w:t>
      </w:r>
    </w:p>
    <w:p>
      <w:pPr>
        <w:pStyle w:val="BodyText"/>
        <w:spacing w:before="12"/>
        <w:rPr>
          <w:sz w:val="17"/>
        </w:rPr>
      </w:pPr>
    </w:p>
    <w:p>
      <w:pPr>
        <w:pStyle w:val="ListParagraph"/>
        <w:numPr>
          <w:ilvl w:val="2"/>
          <w:numId w:val="906"/>
        </w:numPr>
        <w:tabs>
          <w:tab w:pos="1424" w:val="left" w:leader="none"/>
        </w:tabs>
        <w:spacing w:line="446" w:lineRule="auto" w:before="0" w:after="0"/>
        <w:ind w:left="840" w:right="3865" w:firstLine="0"/>
        <w:jc w:val="left"/>
        <w:rPr>
          <w:sz w:val="21"/>
        </w:rPr>
      </w:pPr>
      <w:r>
        <w:rPr>
          <w:spacing w:val="-10"/>
          <w:sz w:val="21"/>
        </w:rPr>
        <w:t>环境温度低于 </w:t>
      </w:r>
      <w:r>
        <w:rPr>
          <w:sz w:val="21"/>
        </w:rPr>
        <w:t>4</w:t>
      </w:r>
      <w:r>
        <w:rPr>
          <w:spacing w:val="-12"/>
          <w:sz w:val="21"/>
        </w:rPr>
        <w:t>℃或高于 </w:t>
      </w:r>
      <w:r>
        <w:rPr>
          <w:sz w:val="21"/>
        </w:rPr>
        <w:t>70</w:t>
      </w:r>
      <w:r>
        <w:rPr>
          <w:spacing w:val="-3"/>
          <w:sz w:val="21"/>
        </w:rPr>
        <w:t>℃的场所，应采用干式系统。</w:t>
      </w:r>
      <w:r>
        <w:rPr>
          <w:b/>
          <w:sz w:val="21"/>
        </w:rPr>
        <w:t>4.2.4</w:t>
      </w:r>
      <w:r>
        <w:rPr>
          <w:b/>
          <w:spacing w:val="4"/>
          <w:sz w:val="21"/>
        </w:rPr>
        <w:t> </w:t>
      </w:r>
      <w:r>
        <w:rPr>
          <w:spacing w:val="-3"/>
          <w:sz w:val="21"/>
        </w:rPr>
        <w:t>具有下列要求之一的场所，应采用预作用系统：</w:t>
      </w:r>
      <w:r>
        <w:rPr>
          <w:sz w:val="21"/>
        </w:rPr>
        <w:t> </w:t>
      </w:r>
    </w:p>
    <w:p>
      <w:pPr>
        <w:pStyle w:val="BodyText"/>
        <w:ind w:left="838"/>
        <w:rPr>
          <w:b/>
        </w:rPr>
      </w:pPr>
      <w:r>
        <w:rPr/>
        <w:t>系统处于准工作状态时严禁误喷的场所；</w:t>
      </w:r>
      <w:r>
        <w:rPr>
          <w:b/>
          <w:w w:val="99"/>
        </w:rPr>
        <w:t> </w:t>
      </w:r>
    </w:p>
    <w:p>
      <w:pPr>
        <w:pStyle w:val="BodyText"/>
        <w:spacing w:before="12"/>
        <w:rPr>
          <w:b/>
          <w:sz w:val="17"/>
        </w:rPr>
      </w:pPr>
    </w:p>
    <w:p>
      <w:pPr>
        <w:pStyle w:val="BodyText"/>
        <w:spacing w:line="446" w:lineRule="auto"/>
        <w:ind w:left="838" w:right="5497"/>
        <w:rPr>
          <w:b/>
        </w:rPr>
      </w:pPr>
      <w:r>
        <w:rPr/>
        <w:t>系统处于准工作状态时严禁管道充水的场所； 用于替代干式系统的场所。</w:t>
      </w:r>
      <w:r>
        <w:rPr>
          <w:b/>
          <w:w w:val="99"/>
        </w:rPr>
        <w:t> </w:t>
      </w:r>
    </w:p>
    <w:p>
      <w:pPr>
        <w:pStyle w:val="ListParagraph"/>
        <w:numPr>
          <w:ilvl w:val="2"/>
          <w:numId w:val="907"/>
        </w:numPr>
        <w:tabs>
          <w:tab w:pos="1371" w:val="left" w:leader="none"/>
        </w:tabs>
        <w:spacing w:line="240" w:lineRule="auto" w:before="1" w:after="0"/>
        <w:ind w:left="1370" w:right="0" w:hanging="531"/>
        <w:jc w:val="left"/>
        <w:rPr>
          <w:sz w:val="21"/>
        </w:rPr>
      </w:pPr>
      <w:r>
        <w:rPr>
          <w:spacing w:val="-3"/>
          <w:sz w:val="21"/>
        </w:rPr>
        <w:t>灭火后必须及时停止喷水的场所，应采用重复启闭预作用系统。</w:t>
      </w:r>
      <w:r>
        <w:rPr>
          <w:sz w:val="21"/>
        </w:rPr>
        <w:t> </w:t>
      </w:r>
    </w:p>
    <w:p>
      <w:pPr>
        <w:pStyle w:val="BodyText"/>
        <w:spacing w:before="12"/>
        <w:rPr>
          <w:sz w:val="17"/>
        </w:rPr>
      </w:pPr>
    </w:p>
    <w:p>
      <w:pPr>
        <w:pStyle w:val="ListParagraph"/>
        <w:numPr>
          <w:ilvl w:val="2"/>
          <w:numId w:val="907"/>
        </w:numPr>
        <w:tabs>
          <w:tab w:pos="1370" w:val="left" w:leader="none"/>
        </w:tabs>
        <w:spacing w:line="240" w:lineRule="auto" w:before="0" w:after="0"/>
        <w:ind w:left="1369" w:right="0" w:hanging="530"/>
        <w:jc w:val="left"/>
        <w:rPr>
          <w:sz w:val="21"/>
        </w:rPr>
      </w:pPr>
      <w:r>
        <w:rPr>
          <w:spacing w:val="-3"/>
          <w:sz w:val="21"/>
        </w:rPr>
        <w:t>具有下列条件之一的场所，应采用雨淋系统： </w:t>
      </w:r>
    </w:p>
    <w:p>
      <w:pPr>
        <w:pStyle w:val="BodyText"/>
        <w:spacing w:before="2"/>
        <w:rPr>
          <w:sz w:val="18"/>
        </w:rPr>
      </w:pPr>
    </w:p>
    <w:p>
      <w:pPr>
        <w:pStyle w:val="BodyText"/>
        <w:spacing w:line="446" w:lineRule="auto"/>
        <w:ind w:left="838" w:right="1505"/>
      </w:pPr>
      <w:r>
        <w:rPr>
          <w:spacing w:val="-3"/>
        </w:rPr>
        <w:t>火灾的水平蔓延速度快、闭式洒水喷头的开放不能及时使喷水有效覆盖着火区域的场所； </w:t>
      </w:r>
      <w:r>
        <w:rPr>
          <w:spacing w:val="-1"/>
        </w:rPr>
        <w:t>设置场所的净空高度超过本规范第 </w:t>
      </w:r>
      <w:r>
        <w:rPr/>
        <w:t>6.1.1</w:t>
      </w:r>
      <w:r>
        <w:rPr>
          <w:spacing w:val="-3"/>
        </w:rPr>
        <w:t> 条的规定，且必须迅速扑救初期火灾的场所； 火灾危险等级为严重危险级Ⅱ级的场所。</w:t>
      </w:r>
      <w:r>
        <w:rPr/>
        <w:t> </w:t>
      </w:r>
    </w:p>
    <w:p>
      <w:pPr>
        <w:pStyle w:val="ListParagraph"/>
        <w:numPr>
          <w:ilvl w:val="2"/>
          <w:numId w:val="907"/>
        </w:numPr>
        <w:tabs>
          <w:tab w:pos="1370" w:val="left" w:leader="none"/>
        </w:tabs>
        <w:spacing w:line="446" w:lineRule="auto" w:before="0" w:after="0"/>
        <w:ind w:left="418" w:right="1608" w:firstLine="422"/>
        <w:jc w:val="left"/>
        <w:rPr>
          <w:sz w:val="21"/>
        </w:rPr>
      </w:pPr>
      <w:r>
        <w:rPr>
          <w:spacing w:val="-2"/>
          <w:sz w:val="21"/>
        </w:rPr>
        <w:t>符合下列条件之一的场所，宜采用设置早期抑制快速响应喷头的自动喷水灭火系 统</w:t>
      </w:r>
      <w:r>
        <w:rPr>
          <w:spacing w:val="-3"/>
          <w:sz w:val="21"/>
        </w:rPr>
        <w:t>。当采用早期抑制快速响应喷头时，系统应为湿式系统，且系统设计基本参数应符合本规范第5.0.5</w:t>
      </w:r>
      <w:r>
        <w:rPr>
          <w:spacing w:val="-11"/>
          <w:sz w:val="21"/>
        </w:rPr>
        <w:t> 条的规定。</w:t>
      </w:r>
      <w:r>
        <w:rPr>
          <w:sz w:val="21"/>
        </w:rPr>
        <w:t> </w:t>
      </w:r>
    </w:p>
    <w:p>
      <w:pPr>
        <w:spacing w:after="0" w:line="446" w:lineRule="auto"/>
        <w:jc w:val="left"/>
        <w:rPr>
          <w:sz w:val="21"/>
        </w:rPr>
        <w:sectPr>
          <w:pgSz w:w="11910" w:h="16850"/>
          <w:pgMar w:header="0" w:footer="1239" w:top="1220" w:bottom="1420" w:left="1260" w:right="0"/>
        </w:sectPr>
      </w:pPr>
    </w:p>
    <w:p>
      <w:pPr>
        <w:pStyle w:val="BodyText"/>
        <w:spacing w:line="446" w:lineRule="auto" w:before="47"/>
        <w:ind w:left="418" w:right="1455" w:firstLine="419"/>
      </w:pPr>
      <w:r>
        <w:rPr>
          <w:spacing w:val="-7"/>
        </w:rPr>
        <w:t>最大净空高度不超过 </w:t>
      </w:r>
      <w:r>
        <w:rPr/>
        <w:t>13.5m</w:t>
      </w:r>
      <w:r>
        <w:rPr>
          <w:spacing w:val="-12"/>
        </w:rPr>
        <w:t> 且最大储物高度不超过 </w:t>
      </w:r>
      <w:r>
        <w:rPr/>
        <w:t>12.0m</w:t>
      </w:r>
      <w:r>
        <w:rPr>
          <w:spacing w:val="-3"/>
        </w:rPr>
        <w:t>，储物类别为仓库危险级Ⅰ、Ⅱ级或沥青制品、箱装不发泡塑料的仓库及类似场所；</w:t>
      </w:r>
      <w:r>
        <w:rPr/>
        <w:t> </w:t>
      </w:r>
    </w:p>
    <w:p>
      <w:pPr>
        <w:pStyle w:val="BodyText"/>
        <w:spacing w:line="446" w:lineRule="auto"/>
        <w:ind w:left="418" w:right="1455" w:firstLine="419"/>
      </w:pPr>
      <w:r>
        <w:rPr>
          <w:spacing w:val="-7"/>
        </w:rPr>
        <w:t>最大净空高度不超过 </w:t>
      </w:r>
      <w:r>
        <w:rPr/>
        <w:t>12.0m</w:t>
      </w:r>
      <w:r>
        <w:rPr>
          <w:spacing w:val="-12"/>
        </w:rPr>
        <w:t> 且最大储物高度不超过 </w:t>
      </w:r>
      <w:r>
        <w:rPr/>
        <w:t>10.5m</w:t>
      </w:r>
      <w:r>
        <w:rPr>
          <w:spacing w:val="-3"/>
        </w:rPr>
        <w:t>，储物类别为袋装不发泡塑料、箱装发泡塑料和袋装发泡塑料的仓库及类似场所。</w:t>
      </w:r>
      <w:r>
        <w:rPr/>
        <w:t> </w:t>
      </w:r>
    </w:p>
    <w:p>
      <w:pPr>
        <w:pStyle w:val="ListParagraph"/>
        <w:numPr>
          <w:ilvl w:val="2"/>
          <w:numId w:val="907"/>
        </w:numPr>
        <w:tabs>
          <w:tab w:pos="1370" w:val="left" w:leader="none"/>
        </w:tabs>
        <w:spacing w:line="446" w:lineRule="auto" w:before="0" w:after="0"/>
        <w:ind w:left="418" w:right="1604" w:firstLine="422"/>
        <w:jc w:val="left"/>
        <w:rPr>
          <w:sz w:val="21"/>
        </w:rPr>
      </w:pPr>
      <w:r>
        <w:rPr>
          <w:spacing w:val="-3"/>
          <w:sz w:val="21"/>
        </w:rPr>
        <w:t>符合下列条件之一的场所，宜采用设置仓库型特殊应用喷头的自动喷水灭火系统， </w:t>
      </w:r>
      <w:r>
        <w:rPr>
          <w:spacing w:val="-7"/>
          <w:sz w:val="21"/>
        </w:rPr>
        <w:t>系统设计基本参数应符合本规范第 </w:t>
      </w:r>
      <w:r>
        <w:rPr>
          <w:sz w:val="21"/>
        </w:rPr>
        <w:t>5.0.6</w:t>
      </w:r>
      <w:r>
        <w:rPr>
          <w:spacing w:val="-11"/>
          <w:sz w:val="21"/>
        </w:rPr>
        <w:t> 条的规定。 </w:t>
      </w:r>
    </w:p>
    <w:p>
      <w:pPr>
        <w:pStyle w:val="BodyText"/>
        <w:spacing w:line="446" w:lineRule="auto"/>
        <w:ind w:left="418" w:right="1455" w:firstLine="419"/>
      </w:pPr>
      <w:r>
        <w:rPr>
          <w:spacing w:val="-7"/>
        </w:rPr>
        <w:t>最大净空高度不超过 </w:t>
      </w:r>
      <w:r>
        <w:rPr/>
        <w:t>12.0m</w:t>
      </w:r>
      <w:r>
        <w:rPr>
          <w:spacing w:val="-12"/>
        </w:rPr>
        <w:t> 且最大储物高度不超过 </w:t>
      </w:r>
      <w:r>
        <w:rPr/>
        <w:t>10.5m</w:t>
      </w:r>
      <w:r>
        <w:rPr>
          <w:spacing w:val="-3"/>
        </w:rPr>
        <w:t>，储物类别为仓库危险级Ⅰ、Ⅱ级或箱装不发泡塑料的仓库及类似场所；</w:t>
      </w:r>
      <w:r>
        <w:rPr/>
        <w:t> </w:t>
      </w:r>
    </w:p>
    <w:p>
      <w:pPr>
        <w:pStyle w:val="BodyText"/>
        <w:spacing w:line="446" w:lineRule="auto"/>
        <w:ind w:left="418" w:right="1455" w:firstLine="419"/>
      </w:pPr>
      <w:r>
        <w:rPr>
          <w:spacing w:val="-7"/>
        </w:rPr>
        <w:t>最大净空高度不超过 </w:t>
      </w:r>
      <w:r>
        <w:rPr/>
        <w:t>7.5m</w:t>
      </w:r>
      <w:r>
        <w:rPr>
          <w:spacing w:val="-11"/>
        </w:rPr>
        <w:t> 且最大储物高度不超过 </w:t>
      </w:r>
      <w:r>
        <w:rPr/>
        <w:t>6.0m</w:t>
      </w:r>
      <w:r>
        <w:rPr>
          <w:spacing w:val="-3"/>
        </w:rPr>
        <w:t>，储物类别为袋装不发泡塑料和箱装发泡塑料的仓库及类似场所。</w:t>
      </w:r>
      <w:r>
        <w:rPr/>
        <w:t> </w:t>
      </w:r>
    </w:p>
    <w:p>
      <w:pPr>
        <w:pStyle w:val="ListParagraph"/>
        <w:numPr>
          <w:ilvl w:val="1"/>
          <w:numId w:val="906"/>
        </w:numPr>
        <w:tabs>
          <w:tab w:pos="1160" w:val="left" w:leader="none"/>
        </w:tabs>
        <w:spacing w:line="240" w:lineRule="auto" w:before="0" w:after="0"/>
        <w:ind w:left="1159" w:right="0" w:hanging="320"/>
        <w:jc w:val="left"/>
        <w:rPr>
          <w:sz w:val="21"/>
        </w:rPr>
      </w:pPr>
      <w:r>
        <w:rPr>
          <w:spacing w:val="-3"/>
          <w:sz w:val="21"/>
        </w:rPr>
        <w:t>其他</w:t>
      </w:r>
      <w:r>
        <w:rPr>
          <w:sz w:val="21"/>
        </w:rPr>
        <w:t> </w:t>
      </w:r>
    </w:p>
    <w:p>
      <w:pPr>
        <w:pStyle w:val="BodyText"/>
        <w:spacing w:before="8"/>
        <w:rPr>
          <w:sz w:val="17"/>
        </w:rPr>
      </w:pPr>
    </w:p>
    <w:p>
      <w:pPr>
        <w:pStyle w:val="ListParagraph"/>
        <w:numPr>
          <w:ilvl w:val="2"/>
          <w:numId w:val="906"/>
        </w:numPr>
        <w:tabs>
          <w:tab w:pos="1371" w:val="left" w:leader="none"/>
        </w:tabs>
        <w:spacing w:line="446" w:lineRule="auto" w:before="0" w:after="0"/>
        <w:ind w:left="418" w:right="1603" w:firstLine="422"/>
        <w:jc w:val="left"/>
        <w:rPr>
          <w:sz w:val="21"/>
        </w:rPr>
      </w:pPr>
      <w:r>
        <w:rPr>
          <w:spacing w:val="-3"/>
          <w:sz w:val="21"/>
        </w:rPr>
        <w:t>建筑物中保护局部场所的干式系统、预作用系统、雨淋系统、自动喷水—泡沫联用系统，可串联接入同一建筑物内的湿式系统，并应与其配水干管连接。</w:t>
      </w:r>
      <w:r>
        <w:rPr>
          <w:sz w:val="21"/>
        </w:rPr>
        <w:t> </w:t>
      </w:r>
    </w:p>
    <w:p>
      <w:pPr>
        <w:pStyle w:val="ListParagraph"/>
        <w:numPr>
          <w:ilvl w:val="2"/>
          <w:numId w:val="906"/>
        </w:numPr>
        <w:tabs>
          <w:tab w:pos="1371" w:val="left" w:leader="none"/>
        </w:tabs>
        <w:spacing w:line="240" w:lineRule="auto" w:before="1" w:after="0"/>
        <w:ind w:left="1370" w:right="0" w:hanging="531"/>
        <w:jc w:val="left"/>
        <w:rPr>
          <w:sz w:val="21"/>
        </w:rPr>
      </w:pPr>
      <w:r>
        <w:rPr>
          <w:spacing w:val="-3"/>
          <w:sz w:val="21"/>
        </w:rPr>
        <w:t>自动喷水灭火系统应有下列组件、配件和设施：</w:t>
      </w:r>
      <w:r>
        <w:rPr>
          <w:sz w:val="21"/>
        </w:rPr>
        <w:t> </w:t>
      </w:r>
    </w:p>
    <w:p>
      <w:pPr>
        <w:pStyle w:val="BodyText"/>
        <w:spacing w:before="12"/>
        <w:rPr>
          <w:sz w:val="17"/>
        </w:rPr>
      </w:pPr>
    </w:p>
    <w:p>
      <w:pPr>
        <w:pStyle w:val="BodyText"/>
        <w:spacing w:line="446" w:lineRule="auto"/>
        <w:ind w:left="418" w:right="1609" w:firstLine="419"/>
      </w:pPr>
      <w:r>
        <w:rPr>
          <w:spacing w:val="-3"/>
        </w:rPr>
        <w:t>应设有洒水喷头、报警阀组、水流报警装置等组件和末端试水装置，以及管道、供水设施等；</w:t>
      </w:r>
      <w:r>
        <w:rPr/>
        <w:t> </w:t>
      </w:r>
    </w:p>
    <w:p>
      <w:pPr>
        <w:pStyle w:val="BodyText"/>
        <w:spacing w:line="446" w:lineRule="auto"/>
        <w:ind w:left="418" w:right="1817" w:firstLine="419"/>
      </w:pPr>
      <w:r>
        <w:rPr>
          <w:spacing w:val="-3"/>
        </w:rPr>
        <w:t>控制管道静压的区段宜分区供水或设减压阀，控制管道动压的区段宜设减压孔板或节流管；</w:t>
      </w:r>
      <w:r>
        <w:rPr/>
        <w:t> </w:t>
      </w:r>
    </w:p>
    <w:p>
      <w:pPr>
        <w:pStyle w:val="BodyText"/>
        <w:ind w:left="838"/>
      </w:pPr>
      <w:r>
        <w:rPr/>
        <w:t>应设有泄水阀（或泄水口） 、排气阀（或排气口）和排污口； </w:t>
      </w:r>
    </w:p>
    <w:p>
      <w:pPr>
        <w:pStyle w:val="BodyText"/>
        <w:rPr>
          <w:sz w:val="18"/>
        </w:rPr>
      </w:pPr>
    </w:p>
    <w:p>
      <w:pPr>
        <w:pStyle w:val="BodyText"/>
        <w:spacing w:line="446" w:lineRule="auto"/>
        <w:ind w:left="418" w:right="1609" w:firstLine="419"/>
      </w:pPr>
      <w:r>
        <w:rPr/>
        <w:t>干式系统和预作用系统的配水管道应设快速排气阀。有压充气管道的快速排气阀入口前应设电动阀。 </w:t>
      </w:r>
    </w:p>
    <w:p>
      <w:pPr>
        <w:pStyle w:val="ListParagraph"/>
        <w:numPr>
          <w:ilvl w:val="2"/>
          <w:numId w:val="906"/>
        </w:numPr>
        <w:tabs>
          <w:tab w:pos="1371" w:val="left" w:leader="none"/>
        </w:tabs>
        <w:spacing w:line="240" w:lineRule="auto" w:before="0" w:after="0"/>
        <w:ind w:left="1370" w:right="0" w:hanging="531"/>
        <w:jc w:val="left"/>
        <w:rPr>
          <w:sz w:val="21"/>
        </w:rPr>
      </w:pPr>
      <w:r>
        <w:rPr>
          <w:spacing w:val="-5"/>
          <w:sz w:val="21"/>
        </w:rPr>
        <w:t>防护冷却水幕应直接将水喷向被保护对象；防火分隔水幕不宜用于尺寸超过 </w:t>
      </w:r>
      <w:r>
        <w:rPr>
          <w:sz w:val="21"/>
        </w:rPr>
        <w:t>15m</w:t>
      </w:r>
    </w:p>
    <w:p>
      <w:pPr>
        <w:pStyle w:val="BodyText"/>
        <w:spacing w:before="12"/>
        <w:rPr>
          <w:sz w:val="17"/>
        </w:rPr>
      </w:pPr>
    </w:p>
    <w:p>
      <w:pPr>
        <w:pStyle w:val="BodyText"/>
        <w:ind w:left="418"/>
      </w:pPr>
      <w:r>
        <w:rPr/>
        <w:t>（宽）×8m（高）的开口（舞台口除外）。 </w:t>
      </w:r>
    </w:p>
    <w:p>
      <w:pPr>
        <w:spacing w:after="0"/>
        <w:sectPr>
          <w:pgSz w:w="11910" w:h="16850"/>
          <w:pgMar w:header="0" w:footer="1239" w:top="1220" w:bottom="1420" w:left="1260" w:right="0"/>
        </w:sectPr>
      </w:pPr>
    </w:p>
    <w:p>
      <w:pPr>
        <w:pStyle w:val="Heading4"/>
        <w:spacing w:before="37"/>
      </w:pPr>
      <w:r>
        <w:rPr/>
        <w:t>5 设计基本参数</w:t>
      </w:r>
      <w:r>
        <w:rPr>
          <w:w w:val="99"/>
        </w:rPr>
        <w:t> </w:t>
      </w:r>
    </w:p>
    <w:p>
      <w:pPr>
        <w:pStyle w:val="BodyText"/>
        <w:spacing w:before="4"/>
        <w:rPr>
          <w:b/>
          <w:sz w:val="17"/>
        </w:rPr>
      </w:pPr>
    </w:p>
    <w:p>
      <w:pPr>
        <w:pStyle w:val="ListParagraph"/>
        <w:numPr>
          <w:ilvl w:val="1"/>
          <w:numId w:val="908"/>
        </w:numPr>
        <w:tabs>
          <w:tab w:pos="1159" w:val="left" w:leader="none"/>
        </w:tabs>
        <w:spacing w:line="240" w:lineRule="auto" w:before="1" w:after="0"/>
        <w:ind w:left="1158" w:right="0" w:hanging="319"/>
        <w:jc w:val="left"/>
        <w:rPr>
          <w:sz w:val="21"/>
        </w:rPr>
      </w:pPr>
      <w:r>
        <w:rPr/>
        <w:drawing>
          <wp:anchor distT="0" distB="0" distL="0" distR="0" allowOverlap="1" layoutInCell="1" locked="0" behindDoc="0" simplePos="0" relativeHeight="328">
            <wp:simplePos x="0" y="0"/>
            <wp:positionH relativeFrom="page">
              <wp:posOffset>1310005</wp:posOffset>
            </wp:positionH>
            <wp:positionV relativeFrom="paragraph">
              <wp:posOffset>255905</wp:posOffset>
            </wp:positionV>
            <wp:extent cx="4972806" cy="1724025"/>
            <wp:effectExtent l="0" t="0" r="0" b="0"/>
            <wp:wrapTopAndBottom/>
            <wp:docPr id="719" name="image421.jpeg"/>
            <wp:cNvGraphicFramePr>
              <a:graphicFrameLocks noChangeAspect="1"/>
            </wp:cNvGraphicFramePr>
            <a:graphic>
              <a:graphicData uri="http://schemas.openxmlformats.org/drawingml/2006/picture">
                <pic:pic>
                  <pic:nvPicPr>
                    <pic:cNvPr id="720" name="image421.jpeg"/>
                    <pic:cNvPicPr/>
                  </pic:nvPicPr>
                  <pic:blipFill>
                    <a:blip r:embed="rId536" cstate="print"/>
                    <a:stretch>
                      <a:fillRect/>
                    </a:stretch>
                  </pic:blipFill>
                  <pic:spPr>
                    <a:xfrm>
                      <a:off x="0" y="0"/>
                      <a:ext cx="4972806" cy="1724025"/>
                    </a:xfrm>
                    <a:prstGeom prst="rect">
                      <a:avLst/>
                    </a:prstGeom>
                  </pic:spPr>
                </pic:pic>
              </a:graphicData>
            </a:graphic>
          </wp:anchor>
        </w:drawing>
      </w:r>
      <w:r>
        <w:rPr>
          <w:spacing w:val="-5"/>
          <w:sz w:val="21"/>
        </w:rPr>
        <w:t>民用建筑和厂房采用湿式系统时的设计基本参数不应低于表 </w:t>
      </w:r>
      <w:r>
        <w:rPr>
          <w:sz w:val="21"/>
        </w:rPr>
        <w:t>5.0.1</w:t>
      </w:r>
      <w:r>
        <w:rPr>
          <w:spacing w:val="-12"/>
          <w:sz w:val="21"/>
        </w:rPr>
        <w:t> 的规定。 </w:t>
      </w:r>
    </w:p>
    <w:p>
      <w:pPr>
        <w:pStyle w:val="ListParagraph"/>
        <w:numPr>
          <w:ilvl w:val="1"/>
          <w:numId w:val="908"/>
        </w:numPr>
        <w:tabs>
          <w:tab w:pos="1159" w:val="left" w:leader="none"/>
        </w:tabs>
        <w:spacing w:line="446" w:lineRule="auto" w:before="154" w:after="0"/>
        <w:ind w:left="418" w:right="1815" w:firstLine="422"/>
        <w:jc w:val="left"/>
        <w:rPr>
          <w:sz w:val="21"/>
        </w:rPr>
      </w:pPr>
      <w:r>
        <w:rPr>
          <w:spacing w:val="-5"/>
          <w:sz w:val="21"/>
        </w:rPr>
        <w:t>民用建筑和厂房高大空间场所采用湿式系统的设计基本参数不应低于表 </w:t>
      </w:r>
      <w:r>
        <w:rPr>
          <w:sz w:val="21"/>
        </w:rPr>
        <w:t>5.0.2</w:t>
      </w:r>
      <w:r>
        <w:rPr>
          <w:spacing w:val="-16"/>
          <w:sz w:val="21"/>
        </w:rPr>
        <w:t> 的规</w:t>
      </w:r>
      <w:r>
        <w:rPr>
          <w:spacing w:val="-10"/>
          <w:sz w:val="21"/>
        </w:rPr>
        <w:t>定。</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5"/>
        </w:rPr>
      </w:pPr>
      <w:r>
        <w:rPr/>
        <w:drawing>
          <wp:anchor distT="0" distB="0" distL="0" distR="0" allowOverlap="1" layoutInCell="1" locked="0" behindDoc="0" simplePos="0" relativeHeight="329">
            <wp:simplePos x="0" y="0"/>
            <wp:positionH relativeFrom="page">
              <wp:posOffset>1417955</wp:posOffset>
            </wp:positionH>
            <wp:positionV relativeFrom="paragraph">
              <wp:posOffset>231513</wp:posOffset>
            </wp:positionV>
            <wp:extent cx="5029200" cy="1609725"/>
            <wp:effectExtent l="0" t="0" r="0" b="0"/>
            <wp:wrapTopAndBottom/>
            <wp:docPr id="721" name="image422.jpeg"/>
            <wp:cNvGraphicFramePr>
              <a:graphicFrameLocks noChangeAspect="1"/>
            </wp:cNvGraphicFramePr>
            <a:graphic>
              <a:graphicData uri="http://schemas.openxmlformats.org/drawingml/2006/picture">
                <pic:pic>
                  <pic:nvPicPr>
                    <pic:cNvPr id="722" name="image422.jpeg"/>
                    <pic:cNvPicPr/>
                  </pic:nvPicPr>
                  <pic:blipFill>
                    <a:blip r:embed="rId537" cstate="print"/>
                    <a:stretch>
                      <a:fillRect/>
                    </a:stretch>
                  </pic:blipFill>
                  <pic:spPr>
                    <a:xfrm>
                      <a:off x="0" y="0"/>
                      <a:ext cx="5029200" cy="1609725"/>
                    </a:xfrm>
                    <a:prstGeom prst="rect">
                      <a:avLst/>
                    </a:prstGeom>
                  </pic:spPr>
                </pic:pic>
              </a:graphicData>
            </a:graphic>
          </wp:anchor>
        </w:drawing>
      </w:r>
    </w:p>
    <w:p>
      <w:pPr>
        <w:pStyle w:val="BodyText"/>
        <w:spacing w:before="5"/>
        <w:rPr>
          <w:sz w:val="8"/>
        </w:rPr>
      </w:pPr>
    </w:p>
    <w:p>
      <w:pPr>
        <w:pStyle w:val="ListParagraph"/>
        <w:numPr>
          <w:ilvl w:val="1"/>
          <w:numId w:val="908"/>
        </w:numPr>
        <w:tabs>
          <w:tab w:pos="1159" w:val="left" w:leader="none"/>
        </w:tabs>
        <w:spacing w:line="446" w:lineRule="auto" w:before="72" w:after="0"/>
        <w:ind w:left="418" w:right="1498" w:firstLine="422"/>
        <w:jc w:val="left"/>
        <w:rPr>
          <w:sz w:val="21"/>
        </w:rPr>
      </w:pPr>
      <w:r>
        <w:rPr>
          <w:spacing w:val="-8"/>
          <w:sz w:val="21"/>
        </w:rPr>
        <w:t>最大净空高度超过 </w:t>
      </w:r>
      <w:r>
        <w:rPr>
          <w:sz w:val="21"/>
        </w:rPr>
        <w:t>8m</w:t>
      </w:r>
      <w:r>
        <w:rPr>
          <w:spacing w:val="-11"/>
          <w:sz w:val="21"/>
        </w:rPr>
        <w:t> 的超级市场采用湿式系统的设计基本参数应按本规范第 </w:t>
      </w:r>
      <w:r>
        <w:rPr>
          <w:sz w:val="21"/>
        </w:rPr>
        <w:t>5.0.4</w:t>
      </w:r>
      <w:r>
        <w:rPr>
          <w:spacing w:val="-25"/>
          <w:sz w:val="21"/>
        </w:rPr>
        <w:t> 条</w:t>
      </w:r>
      <w:r>
        <w:rPr>
          <w:spacing w:val="-35"/>
          <w:sz w:val="21"/>
        </w:rPr>
        <w:t>和第 </w:t>
      </w:r>
      <w:r>
        <w:rPr>
          <w:sz w:val="21"/>
        </w:rPr>
        <w:t>5.0.5</w:t>
      </w:r>
      <w:r>
        <w:rPr>
          <w:spacing w:val="-9"/>
          <w:sz w:val="21"/>
        </w:rPr>
        <w:t> 条的规定执行。 </w:t>
      </w:r>
    </w:p>
    <w:p>
      <w:pPr>
        <w:pStyle w:val="ListParagraph"/>
        <w:numPr>
          <w:ilvl w:val="1"/>
          <w:numId w:val="908"/>
        </w:numPr>
        <w:tabs>
          <w:tab w:pos="1159" w:val="left" w:leader="none"/>
        </w:tabs>
        <w:spacing w:line="267" w:lineRule="exact" w:before="0" w:after="0"/>
        <w:ind w:left="1158" w:right="0" w:hanging="319"/>
        <w:jc w:val="left"/>
        <w:rPr>
          <w:sz w:val="21"/>
        </w:rPr>
      </w:pPr>
      <w:r>
        <w:rPr>
          <w:spacing w:val="-3"/>
          <w:sz w:val="21"/>
        </w:rPr>
        <w:t>仓库及类似场所采用湿式系统的设计基本参数应符合下列要求：</w:t>
      </w:r>
      <w:r>
        <w:rPr>
          <w:sz w:val="21"/>
        </w:rPr>
        <w:t> </w:t>
      </w:r>
    </w:p>
    <w:p>
      <w:pPr>
        <w:spacing w:after="0" w:line="267" w:lineRule="exact"/>
        <w:jc w:val="left"/>
        <w:rPr>
          <w:sz w:val="21"/>
        </w:rPr>
        <w:sectPr>
          <w:pgSz w:w="11910" w:h="16850"/>
          <w:pgMar w:header="0" w:footer="1239" w:top="1200" w:bottom="1420" w:left="1260" w:right="0"/>
        </w:sectPr>
      </w:pPr>
    </w:p>
    <w:p>
      <w:pPr>
        <w:pStyle w:val="ListParagraph"/>
        <w:numPr>
          <w:ilvl w:val="0"/>
          <w:numId w:val="909"/>
        </w:numPr>
        <w:tabs>
          <w:tab w:pos="997" w:val="left" w:leader="none"/>
        </w:tabs>
        <w:spacing w:line="240" w:lineRule="auto" w:before="47" w:after="0"/>
        <w:ind w:left="996" w:right="0" w:hanging="159"/>
        <w:jc w:val="left"/>
        <w:rPr>
          <w:sz w:val="21"/>
        </w:rPr>
      </w:pPr>
      <w:r>
        <w:rPr>
          <w:spacing w:val="-3"/>
          <w:sz w:val="21"/>
        </w:rPr>
        <w:t>当设置场所的火灾危险等级为仓库危险级Ⅰ级～ Ⅲ级时， 系统设计基本参数不应低于表</w:t>
      </w:r>
    </w:p>
    <w:p>
      <w:pPr>
        <w:pStyle w:val="BodyText"/>
        <w:rPr>
          <w:sz w:val="18"/>
        </w:rPr>
      </w:pPr>
    </w:p>
    <w:p>
      <w:pPr>
        <w:pStyle w:val="BodyText"/>
        <w:ind w:left="418"/>
      </w:pPr>
      <w:r>
        <w:rPr/>
        <w:t>5.0.4-1～表 5.0.4-4 的规定； </w:t>
      </w:r>
    </w:p>
    <w:p>
      <w:pPr>
        <w:pStyle w:val="BodyText"/>
        <w:spacing w:before="7"/>
        <w:rPr>
          <w:sz w:val="11"/>
        </w:rPr>
      </w:pPr>
      <w:r>
        <w:rPr/>
        <w:pict>
          <v:group style="position:absolute;margin-left:95.950089pt;margin-top:9.3725pt;width:401.25pt;height:421.5pt;mso-position-horizontal-relative:page;mso-position-vertical-relative:paragraph;z-index:-251320320;mso-wrap-distance-left:0;mso-wrap-distance-right:0" coordorigin="1919,187" coordsize="8025,8430">
            <v:shape style="position:absolute;left:1919;top:187;width:7943;height:4530" type="#_x0000_t75" stroked="false">
              <v:imagedata r:id="rId539" o:title=""/>
            </v:shape>
            <v:shape style="position:absolute;left:2037;top:4717;width:7907;height:3900" type="#_x0000_t75" stroked="false">
              <v:imagedata r:id="rId540" o:title=""/>
            </v:shape>
            <w10:wrap type="topAndBottom"/>
          </v:group>
        </w:pict>
      </w:r>
    </w:p>
    <w:p>
      <w:pPr>
        <w:spacing w:after="0"/>
        <w:rPr>
          <w:sz w:val="11"/>
        </w:rPr>
        <w:sectPr>
          <w:footerReference w:type="default" r:id="rId538"/>
          <w:pgSz w:w="11910" w:h="16850"/>
          <w:pgMar w:footer="1239" w:header="0" w:top="1220" w:bottom="1420" w:left="1260" w:right="0"/>
          <w:pgNumType w:start="1580"/>
        </w:sectPr>
      </w:pPr>
    </w:p>
    <w:p>
      <w:pPr>
        <w:pStyle w:val="BodyText"/>
        <w:ind w:left="1060"/>
        <w:rPr>
          <w:sz w:val="20"/>
        </w:rPr>
      </w:pPr>
      <w:r>
        <w:rPr/>
        <w:pict>
          <v:group style="position:absolute;margin-left:82.463997pt;margin-top:300.25pt;width:443.95pt;height:412.1pt;mso-position-horizontal-relative:page;mso-position-vertical-relative:paragraph;z-index:-251318272;mso-wrap-distance-left:0;mso-wrap-distance-right:0" coordorigin="1649,6005" coordsize="8879,8242">
            <v:rect style="position:absolute;left:1649;top:13747;width:8848;height:500" filled="true" fillcolor="#ffffff" stroked="false">
              <v:fill type="solid"/>
            </v:rect>
            <v:shape style="position:absolute;left:2098;top:6005;width:8430;height:7740" type="#_x0000_t75" stroked="false">
              <v:imagedata r:id="rId542" o:title=""/>
            </v:shape>
            <v:shape style="position:absolute;left:1678;top:13966;width:126;height:212" type="#_x0000_t202" filled="false" stroked="false">
              <v:textbox inset="0,0,0,0">
                <w:txbxContent>
                  <w:p>
                    <w:pPr>
                      <w:spacing w:line="211" w:lineRule="exact" w:before="0"/>
                      <w:ind w:left="0" w:right="0" w:firstLine="0"/>
                      <w:jc w:val="left"/>
                      <w:rPr>
                        <w:sz w:val="21"/>
                      </w:rPr>
                    </w:pPr>
                    <w:r>
                      <w:rPr>
                        <w:w w:val="100"/>
                        <w:sz w:val="21"/>
                      </w:rPr>
                      <w:t> </w:t>
                    </w:r>
                  </w:p>
                </w:txbxContent>
              </v:textbox>
              <w10:wrap type="none"/>
            </v:shape>
            <w10:wrap type="topAndBottom"/>
          </v:group>
        </w:pict>
      </w:r>
      <w:r>
        <w:rPr/>
        <w:pict>
          <v:shape style="position:absolute;margin-left:294.170013pt;margin-top:770.069458pt;width:19pt;height:9.4pt;mso-position-horizontal-relative:page;mso-position-vertical-relative:page;z-index:-287341568" type="#_x0000_t202" filled="false" stroked="false">
            <v:textbox inset="0,0,0,0">
              <w:txbxContent>
                <w:p>
                  <w:pPr>
                    <w:spacing w:line="188" w:lineRule="exact" w:before="0"/>
                    <w:ind w:left="0" w:right="0" w:firstLine="0"/>
                    <w:jc w:val="left"/>
                    <w:rPr>
                      <w:rFonts w:ascii="等线"/>
                      <w:sz w:val="18"/>
                    </w:rPr>
                  </w:pPr>
                  <w:r>
                    <w:rPr>
                      <w:rFonts w:ascii="等线"/>
                      <w:sz w:val="18"/>
                    </w:rPr>
                    <w:t>1581</w:t>
                  </w:r>
                </w:p>
              </w:txbxContent>
            </v:textbox>
            <w10:wrap type="none"/>
          </v:shape>
        </w:pict>
      </w:r>
      <w:r>
        <w:rPr>
          <w:sz w:val="20"/>
        </w:rPr>
        <w:drawing>
          <wp:inline distT="0" distB="0" distL="0" distR="0">
            <wp:extent cx="4707536" cy="3743325"/>
            <wp:effectExtent l="0" t="0" r="0" b="0"/>
            <wp:docPr id="723" name="image426.jpeg"/>
            <wp:cNvGraphicFramePr>
              <a:graphicFrameLocks noChangeAspect="1"/>
            </wp:cNvGraphicFramePr>
            <a:graphic>
              <a:graphicData uri="http://schemas.openxmlformats.org/drawingml/2006/picture">
                <pic:pic>
                  <pic:nvPicPr>
                    <pic:cNvPr id="724" name="image426.jpeg"/>
                    <pic:cNvPicPr/>
                  </pic:nvPicPr>
                  <pic:blipFill>
                    <a:blip r:embed="rId543" cstate="print"/>
                    <a:stretch>
                      <a:fillRect/>
                    </a:stretch>
                  </pic:blipFill>
                  <pic:spPr>
                    <a:xfrm>
                      <a:off x="0" y="0"/>
                      <a:ext cx="4707536" cy="3743325"/>
                    </a:xfrm>
                    <a:prstGeom prst="rect">
                      <a:avLst/>
                    </a:prstGeom>
                  </pic:spPr>
                </pic:pic>
              </a:graphicData>
            </a:graphic>
          </wp:inline>
        </w:drawing>
      </w:r>
      <w:r>
        <w:rPr>
          <w:sz w:val="20"/>
        </w:rPr>
      </w:r>
    </w:p>
    <w:p>
      <w:pPr>
        <w:spacing w:after="0"/>
        <w:rPr>
          <w:sz w:val="20"/>
        </w:rPr>
        <w:sectPr>
          <w:footerReference w:type="default" r:id="rId541"/>
          <w:pgSz w:w="11910" w:h="16850"/>
          <w:pgMar w:footer="0" w:header="0" w:top="1380" w:bottom="280" w:left="1260" w:right="0"/>
        </w:sectPr>
      </w:pPr>
    </w:p>
    <w:p>
      <w:pPr>
        <w:pStyle w:val="ListParagraph"/>
        <w:numPr>
          <w:ilvl w:val="0"/>
          <w:numId w:val="909"/>
        </w:numPr>
        <w:tabs>
          <w:tab w:pos="999" w:val="left" w:leader="none"/>
        </w:tabs>
        <w:spacing w:line="240" w:lineRule="auto" w:before="47" w:after="0"/>
        <w:ind w:left="998" w:right="0" w:hanging="159"/>
        <w:jc w:val="left"/>
        <w:rPr>
          <w:sz w:val="21"/>
        </w:rPr>
      </w:pPr>
      <w:r>
        <w:rPr>
          <w:spacing w:val="-3"/>
          <w:sz w:val="21"/>
        </w:rPr>
        <w:t>当仓库危险级Ⅰ级 、仓库危险级Ⅱ级场所中混杂储存仓库危险级Ⅲ级物品时，系统设计</w:t>
      </w:r>
    </w:p>
    <w:p>
      <w:pPr>
        <w:pStyle w:val="BodyText"/>
        <w:rPr>
          <w:sz w:val="18"/>
        </w:rPr>
      </w:pPr>
    </w:p>
    <w:p>
      <w:pPr>
        <w:pStyle w:val="BodyText"/>
        <w:ind w:left="418"/>
      </w:pPr>
      <w:r>
        <w:rPr/>
        <w:t>基本参数不应低于表 5.0.4-5 的规定。 </w:t>
      </w:r>
    </w:p>
    <w:p>
      <w:pPr>
        <w:pStyle w:val="BodyText"/>
        <w:spacing w:before="12"/>
        <w:rPr>
          <w:sz w:val="8"/>
        </w:rPr>
      </w:pPr>
      <w:r>
        <w:rPr/>
        <w:drawing>
          <wp:anchor distT="0" distB="0" distL="0" distR="0" allowOverlap="1" layoutInCell="1" locked="0" behindDoc="0" simplePos="0" relativeHeight="334">
            <wp:simplePos x="0" y="0"/>
            <wp:positionH relativeFrom="page">
              <wp:posOffset>1608982</wp:posOffset>
            </wp:positionH>
            <wp:positionV relativeFrom="paragraph">
              <wp:posOffset>97612</wp:posOffset>
            </wp:positionV>
            <wp:extent cx="4224065" cy="5523452"/>
            <wp:effectExtent l="0" t="0" r="0" b="0"/>
            <wp:wrapTopAndBottom/>
            <wp:docPr id="725" name="image427.png"/>
            <wp:cNvGraphicFramePr>
              <a:graphicFrameLocks noChangeAspect="1"/>
            </wp:cNvGraphicFramePr>
            <a:graphic>
              <a:graphicData uri="http://schemas.openxmlformats.org/drawingml/2006/picture">
                <pic:pic>
                  <pic:nvPicPr>
                    <pic:cNvPr id="726" name="image427.png"/>
                    <pic:cNvPicPr/>
                  </pic:nvPicPr>
                  <pic:blipFill>
                    <a:blip r:embed="rId545" cstate="print"/>
                    <a:stretch>
                      <a:fillRect/>
                    </a:stretch>
                  </pic:blipFill>
                  <pic:spPr>
                    <a:xfrm>
                      <a:off x="0" y="0"/>
                      <a:ext cx="4224065" cy="5523452"/>
                    </a:xfrm>
                    <a:prstGeom prst="rect">
                      <a:avLst/>
                    </a:prstGeom>
                  </pic:spPr>
                </pic:pic>
              </a:graphicData>
            </a:graphic>
          </wp:anchor>
        </w:drawing>
      </w:r>
    </w:p>
    <w:p>
      <w:pPr>
        <w:pStyle w:val="ListParagraph"/>
        <w:numPr>
          <w:ilvl w:val="1"/>
          <w:numId w:val="908"/>
        </w:numPr>
        <w:tabs>
          <w:tab w:pos="738" w:val="left" w:leader="none"/>
        </w:tabs>
        <w:spacing w:line="242" w:lineRule="auto" w:before="108" w:after="0"/>
        <w:ind w:left="418" w:right="1606" w:firstLine="0"/>
        <w:jc w:val="left"/>
        <w:rPr>
          <w:sz w:val="21"/>
        </w:rPr>
      </w:pPr>
      <w:r>
        <w:rPr>
          <w:spacing w:val="-5"/>
          <w:sz w:val="21"/>
        </w:rPr>
        <w:t>仓库及类似场所采用早期抑制快速响应喷头时，系统的设计基本参数不应低于表 </w:t>
      </w:r>
      <w:r>
        <w:rPr>
          <w:sz w:val="21"/>
        </w:rPr>
        <w:t>5.0.5</w:t>
      </w:r>
      <w:r>
        <w:rPr>
          <w:spacing w:val="-23"/>
          <w:sz w:val="21"/>
        </w:rPr>
        <w:t> 的</w:t>
      </w:r>
      <w:r>
        <w:rPr>
          <w:spacing w:val="-17"/>
          <w:sz w:val="21"/>
        </w:rPr>
        <w:t>规定。</w:t>
      </w:r>
      <w:r>
        <w:rPr>
          <w:sz w:val="21"/>
        </w:rPr>
        <w:t> </w:t>
      </w:r>
    </w:p>
    <w:p>
      <w:pPr>
        <w:pStyle w:val="BodyText"/>
        <w:spacing w:line="268" w:lineRule="exact"/>
        <w:ind w:left="418"/>
      </w:pPr>
      <w:r>
        <w:rPr>
          <w:w w:val="100"/>
        </w:rPr>
        <w:t> </w:t>
      </w:r>
    </w:p>
    <w:p>
      <w:pPr>
        <w:pStyle w:val="BodyText"/>
        <w:spacing w:before="5"/>
        <w:ind w:left="418"/>
      </w:pPr>
      <w:r>
        <w:rPr>
          <w:w w:val="100"/>
        </w:rPr>
        <w:t> </w:t>
      </w:r>
    </w:p>
    <w:p>
      <w:pPr>
        <w:pStyle w:val="BodyText"/>
        <w:spacing w:before="2"/>
        <w:ind w:left="418"/>
      </w:pPr>
      <w:r>
        <w:rPr>
          <w:w w:val="100"/>
        </w:rPr>
        <w:t> </w:t>
      </w:r>
    </w:p>
    <w:p>
      <w:pPr>
        <w:pStyle w:val="BodyText"/>
        <w:spacing w:before="5"/>
        <w:ind w:left="418"/>
      </w:pPr>
      <w:r>
        <w:rPr>
          <w:w w:val="100"/>
        </w:rPr>
        <w:t> </w:t>
      </w:r>
    </w:p>
    <w:p>
      <w:pPr>
        <w:pStyle w:val="BodyText"/>
        <w:spacing w:before="2"/>
        <w:ind w:left="418"/>
      </w:pPr>
      <w:r>
        <w:rPr>
          <w:w w:val="100"/>
        </w:rPr>
        <w:t> </w:t>
      </w:r>
    </w:p>
    <w:p>
      <w:pPr>
        <w:pStyle w:val="BodyText"/>
        <w:spacing w:before="4"/>
        <w:ind w:left="418"/>
      </w:pPr>
      <w:r>
        <w:rPr>
          <w:w w:val="100"/>
        </w:rPr>
        <w:t> </w:t>
      </w:r>
    </w:p>
    <w:p>
      <w:pPr>
        <w:pStyle w:val="BodyText"/>
        <w:spacing w:before="3"/>
        <w:ind w:left="418"/>
      </w:pPr>
      <w:r>
        <w:rPr>
          <w:w w:val="100"/>
        </w:rPr>
        <w:t> </w:t>
      </w:r>
    </w:p>
    <w:p>
      <w:pPr>
        <w:pStyle w:val="BodyText"/>
        <w:spacing w:before="4"/>
        <w:ind w:left="418"/>
      </w:pPr>
      <w:r>
        <w:rPr>
          <w:w w:val="100"/>
        </w:rPr>
        <w:t> </w:t>
      </w:r>
    </w:p>
    <w:p>
      <w:pPr>
        <w:pStyle w:val="BodyText"/>
        <w:spacing w:before="3"/>
        <w:ind w:left="418"/>
      </w:pPr>
      <w:r>
        <w:rPr>
          <w:w w:val="100"/>
        </w:rPr>
        <w:t> </w:t>
      </w:r>
    </w:p>
    <w:p>
      <w:pPr>
        <w:pStyle w:val="BodyText"/>
        <w:spacing w:before="4"/>
        <w:ind w:left="418"/>
      </w:pPr>
      <w:r>
        <w:rPr>
          <w:w w:val="100"/>
        </w:rPr>
        <w:t> </w:t>
      </w:r>
    </w:p>
    <w:p>
      <w:pPr>
        <w:pStyle w:val="BodyText"/>
        <w:spacing w:before="2"/>
        <w:ind w:left="418"/>
      </w:pPr>
      <w:r>
        <w:rPr>
          <w:w w:val="100"/>
        </w:rPr>
        <w:t> </w:t>
      </w:r>
    </w:p>
    <w:p>
      <w:pPr>
        <w:pStyle w:val="BodyText"/>
        <w:spacing w:before="5"/>
        <w:ind w:left="418"/>
      </w:pPr>
      <w:r>
        <w:rPr>
          <w:w w:val="100"/>
        </w:rPr>
        <w:t> </w:t>
      </w:r>
    </w:p>
    <w:p>
      <w:pPr>
        <w:pStyle w:val="BodyText"/>
        <w:spacing w:before="2"/>
        <w:ind w:left="418"/>
      </w:pPr>
      <w:r>
        <w:rPr>
          <w:w w:val="100"/>
        </w:rPr>
        <w:t> </w:t>
      </w:r>
    </w:p>
    <w:p>
      <w:pPr>
        <w:spacing w:after="0"/>
        <w:sectPr>
          <w:footerReference w:type="default" r:id="rId544"/>
          <w:pgSz w:w="11910" w:h="16850"/>
          <w:pgMar w:footer="1239" w:header="0" w:top="1220" w:bottom="1420" w:left="1260" w:right="0"/>
          <w:pgNumType w:start="1582"/>
        </w:sectPr>
      </w:pPr>
    </w:p>
    <w:p>
      <w:pPr>
        <w:pStyle w:val="BodyText"/>
        <w:rPr>
          <w:sz w:val="20"/>
        </w:rPr>
      </w:pPr>
    </w:p>
    <w:p>
      <w:pPr>
        <w:pStyle w:val="BodyText"/>
        <w:rPr>
          <w:sz w:val="20"/>
        </w:rPr>
      </w:pPr>
    </w:p>
    <w:p>
      <w:pPr>
        <w:pStyle w:val="BodyText"/>
        <w:spacing w:before="4"/>
        <w:rPr>
          <w:sz w:val="24"/>
        </w:rPr>
      </w:pPr>
    </w:p>
    <w:p>
      <w:pPr>
        <w:pStyle w:val="BodyText"/>
        <w:ind w:left="1497"/>
        <w:rPr>
          <w:sz w:val="20"/>
        </w:rPr>
      </w:pPr>
      <w:r>
        <w:rPr>
          <w:sz w:val="20"/>
        </w:rPr>
        <w:drawing>
          <wp:inline distT="0" distB="0" distL="0" distR="0">
            <wp:extent cx="4332452" cy="6191250"/>
            <wp:effectExtent l="0" t="0" r="0" b="0"/>
            <wp:docPr id="727" name="image428.png"/>
            <wp:cNvGraphicFramePr>
              <a:graphicFrameLocks noChangeAspect="1"/>
            </wp:cNvGraphicFramePr>
            <a:graphic>
              <a:graphicData uri="http://schemas.openxmlformats.org/drawingml/2006/picture">
                <pic:pic>
                  <pic:nvPicPr>
                    <pic:cNvPr id="728" name="image428.png"/>
                    <pic:cNvPicPr/>
                  </pic:nvPicPr>
                  <pic:blipFill>
                    <a:blip r:embed="rId546" cstate="print"/>
                    <a:stretch>
                      <a:fillRect/>
                    </a:stretch>
                  </pic:blipFill>
                  <pic:spPr>
                    <a:xfrm>
                      <a:off x="0" y="0"/>
                      <a:ext cx="4332452" cy="6191250"/>
                    </a:xfrm>
                    <a:prstGeom prst="rect">
                      <a:avLst/>
                    </a:prstGeom>
                  </pic:spPr>
                </pic:pic>
              </a:graphicData>
            </a:graphic>
          </wp:inline>
        </w:drawing>
      </w:r>
      <w:r>
        <w:rPr>
          <w:sz w:val="20"/>
        </w:rPr>
      </w:r>
    </w:p>
    <w:p>
      <w:pPr>
        <w:pStyle w:val="BodyText"/>
        <w:spacing w:before="4"/>
        <w:rPr>
          <w:sz w:val="22"/>
        </w:rPr>
      </w:pPr>
    </w:p>
    <w:p>
      <w:pPr>
        <w:pStyle w:val="ListParagraph"/>
        <w:numPr>
          <w:ilvl w:val="1"/>
          <w:numId w:val="908"/>
        </w:numPr>
        <w:tabs>
          <w:tab w:pos="1159" w:val="left" w:leader="none"/>
        </w:tabs>
        <w:spacing w:line="240" w:lineRule="auto" w:before="72" w:after="0"/>
        <w:ind w:left="1158" w:right="0" w:hanging="319"/>
        <w:jc w:val="left"/>
        <w:rPr>
          <w:sz w:val="21"/>
        </w:rPr>
      </w:pPr>
      <w:r>
        <w:rPr>
          <w:spacing w:val="-3"/>
          <w:sz w:val="21"/>
        </w:rPr>
        <w:t>仓库及类似场所采用仓库型特殊应用喷头时，湿式系统的设计基本参数不应低于表</w:t>
      </w:r>
    </w:p>
    <w:p>
      <w:pPr>
        <w:pStyle w:val="BodyText"/>
        <w:spacing w:before="12"/>
        <w:rPr>
          <w:sz w:val="17"/>
        </w:rPr>
      </w:pPr>
    </w:p>
    <w:p>
      <w:pPr>
        <w:pStyle w:val="BodyText"/>
        <w:ind w:left="418"/>
        <w:rPr>
          <w:b/>
        </w:rPr>
      </w:pPr>
      <w:r>
        <w:rPr/>
        <w:t>5.0.6 的规定。</w:t>
      </w:r>
      <w:r>
        <w:rPr>
          <w:b/>
          <w:w w:val="99"/>
        </w:rPr>
        <w:t> </w:t>
      </w:r>
    </w:p>
    <w:p>
      <w:pPr>
        <w:spacing w:after="0"/>
        <w:sectPr>
          <w:pgSz w:w="11910" w:h="16850"/>
          <w:pgMar w:header="0" w:footer="1239" w:top="1600" w:bottom="1420" w:left="1260" w:right="0"/>
        </w:sectPr>
      </w:pPr>
    </w:p>
    <w:p>
      <w:pPr>
        <w:pStyle w:val="BodyText"/>
        <w:ind w:left="1240"/>
        <w:rPr>
          <w:sz w:val="20"/>
        </w:rPr>
      </w:pPr>
      <w:r>
        <w:rPr>
          <w:sz w:val="20"/>
        </w:rPr>
        <w:drawing>
          <wp:inline distT="0" distB="0" distL="0" distR="0">
            <wp:extent cx="4489305" cy="6248400"/>
            <wp:effectExtent l="0" t="0" r="0" b="0"/>
            <wp:docPr id="729" name="image429.jpeg"/>
            <wp:cNvGraphicFramePr>
              <a:graphicFrameLocks noChangeAspect="1"/>
            </wp:cNvGraphicFramePr>
            <a:graphic>
              <a:graphicData uri="http://schemas.openxmlformats.org/drawingml/2006/picture">
                <pic:pic>
                  <pic:nvPicPr>
                    <pic:cNvPr id="730" name="image429.jpeg"/>
                    <pic:cNvPicPr/>
                  </pic:nvPicPr>
                  <pic:blipFill>
                    <a:blip r:embed="rId547" cstate="print"/>
                    <a:stretch>
                      <a:fillRect/>
                    </a:stretch>
                  </pic:blipFill>
                  <pic:spPr>
                    <a:xfrm>
                      <a:off x="0" y="0"/>
                      <a:ext cx="4489305" cy="6248400"/>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spacing w:before="7"/>
        <w:rPr>
          <w:b/>
          <w:sz w:val="20"/>
        </w:rPr>
      </w:pPr>
    </w:p>
    <w:p>
      <w:pPr>
        <w:pStyle w:val="ListParagraph"/>
        <w:numPr>
          <w:ilvl w:val="1"/>
          <w:numId w:val="908"/>
        </w:numPr>
        <w:tabs>
          <w:tab w:pos="1213" w:val="left" w:leader="none"/>
        </w:tabs>
        <w:spacing w:line="446" w:lineRule="auto" w:before="72" w:after="0"/>
        <w:ind w:left="418" w:right="1445" w:firstLine="422"/>
        <w:jc w:val="left"/>
        <w:rPr>
          <w:sz w:val="21"/>
        </w:rPr>
      </w:pPr>
      <w:r>
        <w:rPr>
          <w:spacing w:val="-3"/>
          <w:sz w:val="21"/>
        </w:rPr>
        <w:t>设置自动喷水灭火系统的仓库及类似场所，当采用货架储存时应采用钢制货架，并应采</w:t>
      </w:r>
      <w:r>
        <w:rPr>
          <w:spacing w:val="-5"/>
          <w:sz w:val="21"/>
        </w:rPr>
        <w:t>用通透层板，且层板中通透部分的面积不应小于层板总面积的 </w:t>
      </w:r>
      <w:r>
        <w:rPr>
          <w:sz w:val="21"/>
        </w:rPr>
        <w:t>50</w:t>
      </w:r>
      <w:r>
        <w:rPr>
          <w:spacing w:val="-3"/>
          <w:sz w:val="21"/>
        </w:rPr>
        <w:t>％。当采用木制货架或采用封闭层板货架时，其系统设置应按堆垛储物仓库确定。 </w:t>
      </w:r>
    </w:p>
    <w:p>
      <w:pPr>
        <w:pStyle w:val="ListParagraph"/>
        <w:numPr>
          <w:ilvl w:val="1"/>
          <w:numId w:val="908"/>
        </w:numPr>
        <w:tabs>
          <w:tab w:pos="1159" w:val="left" w:leader="none"/>
        </w:tabs>
        <w:spacing w:line="446" w:lineRule="auto" w:before="0" w:after="0"/>
        <w:ind w:left="418" w:right="1604" w:firstLine="422"/>
        <w:jc w:val="both"/>
        <w:rPr>
          <w:sz w:val="21"/>
        </w:rPr>
      </w:pPr>
      <w:r>
        <w:rPr>
          <w:spacing w:val="-5"/>
          <w:sz w:val="21"/>
        </w:rPr>
        <w:t>货架仓库的最大净空高度或最大储物高度超过本规范第 </w:t>
      </w:r>
      <w:r>
        <w:rPr>
          <w:sz w:val="21"/>
        </w:rPr>
        <w:t>5.0.5</w:t>
      </w:r>
      <w:r>
        <w:rPr>
          <w:spacing w:val="-8"/>
          <w:sz w:val="21"/>
        </w:rPr>
        <w:t> 条的规定时，应设货架</w:t>
      </w:r>
      <w:r>
        <w:rPr>
          <w:spacing w:val="-5"/>
          <w:sz w:val="21"/>
        </w:rPr>
        <w:t>内置洒水喷头，且货架内置洒水喷头上方的层间隔板应为实层板。货架内置洒水喷头的设置应</w:t>
      </w:r>
      <w:r>
        <w:rPr>
          <w:spacing w:val="-4"/>
          <w:sz w:val="21"/>
        </w:rPr>
        <w:t>符合下列规定：</w:t>
      </w:r>
      <w:r>
        <w:rPr>
          <w:sz w:val="21"/>
        </w:rPr>
        <w:t> </w:t>
      </w:r>
    </w:p>
    <w:p>
      <w:pPr>
        <w:pStyle w:val="BodyText"/>
        <w:spacing w:line="268" w:lineRule="exact"/>
        <w:ind w:left="838"/>
        <w:jc w:val="both"/>
      </w:pPr>
      <w:r>
        <w:rPr/>
        <w:t>仓库危险级Ⅰ级、Ⅱ级场所应在自地面起每 3.0m 设置一层货架内置洒水喷头，仓库危险级</w:t>
      </w:r>
    </w:p>
    <w:p>
      <w:pPr>
        <w:spacing w:after="0" w:line="268" w:lineRule="exact"/>
        <w:jc w:val="both"/>
        <w:sectPr>
          <w:pgSz w:w="11910" w:h="16850"/>
          <w:pgMar w:header="0" w:footer="1239" w:top="1120" w:bottom="1420" w:left="1260" w:right="0"/>
        </w:sectPr>
      </w:pPr>
    </w:p>
    <w:p>
      <w:pPr>
        <w:pStyle w:val="BodyText"/>
        <w:spacing w:line="446" w:lineRule="auto" w:before="47"/>
        <w:ind w:left="418" w:right="1611"/>
      </w:pPr>
      <w:r>
        <w:rPr>
          <w:spacing w:val="-6"/>
        </w:rPr>
        <w:t>Ⅲ级场所应在自地面起每 </w:t>
      </w:r>
      <w:r>
        <w:rPr/>
        <w:t>1.5m~3.0m</w:t>
      </w:r>
      <w:r>
        <w:rPr>
          <w:spacing w:val="-7"/>
        </w:rPr>
        <w:t> 设置一层货架内置洒水喷头，且最高层货架内置洒水喷头</w:t>
      </w:r>
      <w:r>
        <w:rPr>
          <w:spacing w:val="-9"/>
        </w:rPr>
        <w:t>与储物顶部的距离不应超过 </w:t>
      </w:r>
      <w:r>
        <w:rPr/>
        <w:t>3.0m； </w:t>
      </w:r>
    </w:p>
    <w:p>
      <w:pPr>
        <w:pStyle w:val="BodyText"/>
        <w:spacing w:line="446" w:lineRule="auto"/>
        <w:ind w:left="418" w:right="1560" w:firstLine="419"/>
      </w:pPr>
      <w:r>
        <w:rPr>
          <w:spacing w:val="-7"/>
        </w:rPr>
        <w:t>当采用流量系数等于 </w:t>
      </w:r>
      <w:r>
        <w:rPr/>
        <w:t>80</w:t>
      </w:r>
      <w:r>
        <w:rPr>
          <w:spacing w:val="-10"/>
        </w:rPr>
        <w:t> 的标准覆盖面积洒水喷头时，工作压力不应小于 </w:t>
      </w:r>
      <w:r>
        <w:rPr/>
        <w:t>0.20MPa</w:t>
      </w:r>
      <w:r>
        <w:rPr>
          <w:spacing w:val="-1"/>
        </w:rPr>
        <w:t>；当采用</w:t>
      </w:r>
      <w:r>
        <w:rPr>
          <w:spacing w:val="-11"/>
        </w:rPr>
        <w:t>流量系数等于 </w:t>
      </w:r>
      <w:r>
        <w:rPr/>
        <w:t>115</w:t>
      </w:r>
      <w:r>
        <w:rPr>
          <w:spacing w:val="-10"/>
        </w:rPr>
        <w:t> 的标准覆盖面积洒水喷头时，工作压力不应小于 </w:t>
      </w:r>
      <w:r>
        <w:rPr/>
        <w:t>0.10MPa； </w:t>
      </w:r>
    </w:p>
    <w:p>
      <w:pPr>
        <w:pStyle w:val="BodyText"/>
        <w:spacing w:line="446" w:lineRule="auto"/>
        <w:ind w:left="418" w:right="1928" w:firstLine="419"/>
      </w:pPr>
      <w:r>
        <w:rPr/>
        <w:drawing>
          <wp:anchor distT="0" distB="0" distL="0" distR="0" allowOverlap="1" layoutInCell="1" locked="0" behindDoc="0" simplePos="0" relativeHeight="335">
            <wp:simplePos x="0" y="0"/>
            <wp:positionH relativeFrom="page">
              <wp:posOffset>1837054</wp:posOffset>
            </wp:positionH>
            <wp:positionV relativeFrom="paragraph">
              <wp:posOffset>722630</wp:posOffset>
            </wp:positionV>
            <wp:extent cx="4423996" cy="1438275"/>
            <wp:effectExtent l="0" t="0" r="0" b="0"/>
            <wp:wrapTopAndBottom/>
            <wp:docPr id="731" name="image430.jpeg"/>
            <wp:cNvGraphicFramePr>
              <a:graphicFrameLocks noChangeAspect="1"/>
            </wp:cNvGraphicFramePr>
            <a:graphic>
              <a:graphicData uri="http://schemas.openxmlformats.org/drawingml/2006/picture">
                <pic:pic>
                  <pic:nvPicPr>
                    <pic:cNvPr id="732" name="image430.jpeg"/>
                    <pic:cNvPicPr/>
                  </pic:nvPicPr>
                  <pic:blipFill>
                    <a:blip r:embed="rId548" cstate="print"/>
                    <a:stretch>
                      <a:fillRect/>
                    </a:stretch>
                  </pic:blipFill>
                  <pic:spPr>
                    <a:xfrm>
                      <a:off x="0" y="0"/>
                      <a:ext cx="4423996" cy="1438275"/>
                    </a:xfrm>
                    <a:prstGeom prst="rect">
                      <a:avLst/>
                    </a:prstGeom>
                  </pic:spPr>
                </pic:pic>
              </a:graphicData>
            </a:graphic>
          </wp:anchor>
        </w:drawing>
      </w:r>
      <w:r>
        <w:rPr>
          <w:spacing w:val="-7"/>
        </w:rPr>
        <w:t>洒水喷头间距不应大于 </w:t>
      </w:r>
      <w:r>
        <w:rPr/>
        <w:t>3m</w:t>
      </w:r>
      <w:r>
        <w:rPr>
          <w:spacing w:val="-8"/>
        </w:rPr>
        <w:t>，且不应小于 </w:t>
      </w:r>
      <w:r>
        <w:rPr/>
        <w:t>2m</w:t>
      </w:r>
      <w:r>
        <w:rPr>
          <w:spacing w:val="-3"/>
        </w:rPr>
        <w:t>。计算货架内开放洒水喷头数量不应小于表5.0.8 的规定；</w:t>
      </w:r>
      <w:r>
        <w:rPr/>
        <w:t> </w:t>
      </w:r>
    </w:p>
    <w:p>
      <w:pPr>
        <w:pStyle w:val="BodyText"/>
        <w:rPr>
          <w:sz w:val="20"/>
        </w:rPr>
      </w:pPr>
    </w:p>
    <w:p>
      <w:pPr>
        <w:pStyle w:val="BodyText"/>
        <w:rPr>
          <w:sz w:val="20"/>
        </w:rPr>
      </w:pPr>
    </w:p>
    <w:p>
      <w:pPr>
        <w:pStyle w:val="BodyText"/>
        <w:spacing w:line="448" w:lineRule="auto" w:before="150"/>
        <w:ind w:left="840" w:right="4026" w:hanging="3"/>
      </w:pPr>
      <w:r>
        <w:rPr/>
        <w:t>设置 2 层及以上货架内置洒水喷头时，洒水喷头应交错布置。</w:t>
      </w:r>
      <w:r>
        <w:rPr>
          <w:b/>
        </w:rPr>
        <w:t>5.9 </w:t>
      </w:r>
      <w:r>
        <w:rPr/>
        <w:t>仓库内设置自动喷水灭火系统时，宜设消防排水设施。 </w:t>
      </w:r>
    </w:p>
    <w:p>
      <w:pPr>
        <w:spacing w:line="264" w:lineRule="exact" w:before="0"/>
        <w:ind w:left="840" w:right="0" w:firstLine="0"/>
        <w:jc w:val="left"/>
        <w:rPr>
          <w:b/>
          <w:sz w:val="21"/>
        </w:rPr>
      </w:pPr>
      <w:r>
        <w:rPr>
          <w:b/>
          <w:sz w:val="21"/>
        </w:rPr>
        <w:t>5.10 </w:t>
      </w:r>
      <w:r>
        <w:rPr>
          <w:sz w:val="21"/>
        </w:rPr>
        <w:t>干式系统和雨淋系统的设计要求应符合下列规定：</w:t>
      </w:r>
      <w:r>
        <w:rPr>
          <w:b/>
          <w:w w:val="99"/>
          <w:sz w:val="21"/>
        </w:rPr>
        <w:t> </w:t>
      </w:r>
    </w:p>
    <w:p>
      <w:pPr>
        <w:pStyle w:val="BodyText"/>
        <w:rPr>
          <w:b/>
          <w:sz w:val="18"/>
        </w:rPr>
      </w:pPr>
    </w:p>
    <w:p>
      <w:pPr>
        <w:pStyle w:val="BodyText"/>
        <w:spacing w:line="446" w:lineRule="auto"/>
        <w:ind w:left="418" w:right="1505" w:firstLine="419"/>
      </w:pPr>
      <w:r>
        <w:rPr>
          <w:spacing w:val="-6"/>
        </w:rPr>
        <w:t>干式系统的喷水强度应按本规范表 </w:t>
      </w:r>
      <w:r>
        <w:rPr/>
        <w:t>5.0.1</w:t>
      </w:r>
      <w:r>
        <w:rPr>
          <w:spacing w:val="-17"/>
        </w:rPr>
        <w:t>、表 </w:t>
      </w:r>
      <w:r>
        <w:rPr/>
        <w:t>5.0.4-1～</w:t>
      </w:r>
      <w:r>
        <w:rPr>
          <w:spacing w:val="-24"/>
        </w:rPr>
        <w:t>表 </w:t>
      </w:r>
      <w:r>
        <w:rPr/>
        <w:t>5.0.4-5</w:t>
      </w:r>
      <w:r>
        <w:rPr>
          <w:spacing w:val="-8"/>
        </w:rPr>
        <w:t> 的规定值确定，系统作</w:t>
      </w:r>
      <w:r>
        <w:rPr>
          <w:spacing w:val="-10"/>
        </w:rPr>
        <w:t>用面积应按对应值的 </w:t>
      </w:r>
      <w:r>
        <w:rPr/>
        <w:t>1.3</w:t>
      </w:r>
      <w:r>
        <w:rPr>
          <w:spacing w:val="-13"/>
        </w:rPr>
        <w:t> 倍确定；</w:t>
      </w:r>
      <w:r>
        <w:rPr/>
        <w:t> </w:t>
      </w:r>
    </w:p>
    <w:p>
      <w:pPr>
        <w:pStyle w:val="BodyText"/>
        <w:ind w:left="838"/>
      </w:pPr>
      <w:r>
        <w:rPr/>
        <w:t>雨淋系统的喷水强度和作用面积应按本规范表 5.0.1 的规定值确定，且每个雨淋报警阀控</w:t>
      </w:r>
    </w:p>
    <w:p>
      <w:pPr>
        <w:pStyle w:val="BodyText"/>
        <w:spacing w:before="12"/>
        <w:rPr>
          <w:sz w:val="17"/>
        </w:rPr>
      </w:pPr>
    </w:p>
    <w:p>
      <w:pPr>
        <w:pStyle w:val="BodyText"/>
        <w:spacing w:line="448" w:lineRule="auto"/>
        <w:ind w:left="840" w:right="5387" w:hanging="423"/>
      </w:pPr>
      <w:r>
        <w:rPr>
          <w:spacing w:val="-6"/>
        </w:rPr>
        <w:t>制的喷水面积不宜大于表 </w:t>
      </w:r>
      <w:r>
        <w:rPr/>
        <w:t>5.0.1</w:t>
      </w:r>
      <w:r>
        <w:rPr>
          <w:spacing w:val="-7"/>
        </w:rPr>
        <w:t> 中的作用面积。</w:t>
      </w:r>
      <w:r>
        <w:rPr>
          <w:b/>
        </w:rPr>
        <w:t>5.11</w:t>
      </w:r>
      <w:r>
        <w:rPr>
          <w:b/>
          <w:spacing w:val="10"/>
        </w:rPr>
        <w:t> </w:t>
      </w:r>
      <w:r>
        <w:rPr>
          <w:spacing w:val="-3"/>
        </w:rPr>
        <w:t>预作用系统的设计要求应符合下列规定：</w:t>
      </w:r>
      <w:r>
        <w:rPr/>
        <w:t> </w:t>
      </w:r>
    </w:p>
    <w:p>
      <w:pPr>
        <w:pStyle w:val="BodyText"/>
        <w:spacing w:line="264" w:lineRule="exact"/>
        <w:ind w:left="838"/>
      </w:pPr>
      <w:r>
        <w:rPr/>
        <w:t>系统的喷水强度应按本规范表 5.0.1、表 5.0.4-1～表 5.0.4-5 的规定值确定； </w:t>
      </w:r>
    </w:p>
    <w:p>
      <w:pPr>
        <w:pStyle w:val="BodyText"/>
        <w:spacing w:before="12"/>
        <w:rPr>
          <w:sz w:val="17"/>
        </w:rPr>
      </w:pPr>
    </w:p>
    <w:p>
      <w:pPr>
        <w:pStyle w:val="BodyText"/>
        <w:ind w:left="838"/>
      </w:pPr>
      <w:r>
        <w:rPr/>
        <w:t>当系统采用仅由火灾自动报警系统直接控制预作用装置时，系统的作用面积应按本规范表</w:t>
      </w:r>
    </w:p>
    <w:p>
      <w:pPr>
        <w:pStyle w:val="BodyText"/>
        <w:spacing w:before="2"/>
        <w:rPr>
          <w:sz w:val="18"/>
        </w:rPr>
      </w:pPr>
    </w:p>
    <w:p>
      <w:pPr>
        <w:pStyle w:val="BodyText"/>
        <w:ind w:left="418"/>
      </w:pPr>
      <w:r>
        <w:rPr/>
        <w:t>5.0.1、表 5.0.4-1～表 5.0.4-5 的规定值确定； </w:t>
      </w:r>
    </w:p>
    <w:p>
      <w:pPr>
        <w:pStyle w:val="BodyText"/>
        <w:spacing w:before="12"/>
        <w:rPr>
          <w:sz w:val="17"/>
        </w:rPr>
      </w:pPr>
    </w:p>
    <w:p>
      <w:pPr>
        <w:pStyle w:val="BodyText"/>
        <w:spacing w:line="446" w:lineRule="auto"/>
        <w:ind w:left="418" w:right="1609" w:firstLine="419"/>
      </w:pPr>
      <w:r>
        <w:rPr/>
        <w:t>当系统采用由火灾自动报警系统和充气管道上设置的压力开关控制预作用装置时，系统的作用面积应按本规范表 5.0.1、表 5.0.4-1～表 5.0.4-5 规定值的 1.3 倍确定。 </w:t>
      </w:r>
    </w:p>
    <w:p>
      <w:pPr>
        <w:pStyle w:val="ListParagraph"/>
        <w:numPr>
          <w:ilvl w:val="1"/>
          <w:numId w:val="910"/>
        </w:numPr>
        <w:tabs>
          <w:tab w:pos="1264" w:val="left" w:leader="none"/>
        </w:tabs>
        <w:spacing w:line="446" w:lineRule="auto" w:before="1" w:after="0"/>
        <w:ind w:left="418" w:right="1498" w:firstLine="422"/>
        <w:jc w:val="left"/>
        <w:rPr>
          <w:sz w:val="21"/>
        </w:rPr>
      </w:pPr>
      <w:r>
        <w:rPr>
          <w:spacing w:val="-3"/>
          <w:sz w:val="21"/>
        </w:rPr>
        <w:t>仅在走道设置洒水喷头的闭式系统，其作用面积应按最大疏散距离所对应的走道面积确定。</w:t>
      </w:r>
      <w:r>
        <w:rPr>
          <w:sz w:val="21"/>
        </w:rPr>
        <w:t> </w:t>
      </w:r>
    </w:p>
    <w:p>
      <w:pPr>
        <w:pStyle w:val="ListParagraph"/>
        <w:numPr>
          <w:ilvl w:val="1"/>
          <w:numId w:val="910"/>
        </w:numPr>
        <w:tabs>
          <w:tab w:pos="1266" w:val="left" w:leader="none"/>
        </w:tabs>
        <w:spacing w:line="267" w:lineRule="exact" w:before="0" w:after="0"/>
        <w:ind w:left="1265" w:right="0" w:hanging="426"/>
        <w:jc w:val="left"/>
        <w:rPr>
          <w:sz w:val="21"/>
        </w:rPr>
      </w:pPr>
      <w:r>
        <w:rPr>
          <w:spacing w:val="-5"/>
          <w:sz w:val="21"/>
        </w:rPr>
        <w:t>装设网格、栅板类通透性吊顶的场所，系统的喷水强度应按本规范表 </w:t>
      </w:r>
      <w:r>
        <w:rPr>
          <w:sz w:val="21"/>
        </w:rPr>
        <w:t>5.0.1</w:t>
      </w:r>
      <w:r>
        <w:rPr>
          <w:spacing w:val="-3"/>
          <w:sz w:val="21"/>
        </w:rPr>
        <w:t>、表</w:t>
      </w:r>
    </w:p>
    <w:p>
      <w:pPr>
        <w:spacing w:after="0" w:line="267" w:lineRule="exact"/>
        <w:jc w:val="left"/>
        <w:rPr>
          <w:sz w:val="21"/>
        </w:rPr>
        <w:sectPr>
          <w:pgSz w:w="11910" w:h="16850"/>
          <w:pgMar w:header="0" w:footer="1239" w:top="1220" w:bottom="1420" w:left="1260" w:right="0"/>
        </w:sectPr>
      </w:pPr>
    </w:p>
    <w:p>
      <w:pPr>
        <w:pStyle w:val="BodyText"/>
        <w:spacing w:before="47"/>
        <w:ind w:left="418"/>
      </w:pPr>
      <w:r>
        <w:rPr/>
        <w:t>5.0.4-1～表 5.0.4-5 规定值的 1.3 倍确定，且喷头布置应按本规范第 7.1.13 条的规定执行。 </w:t>
      </w:r>
    </w:p>
    <w:p>
      <w:pPr>
        <w:pStyle w:val="BodyText"/>
        <w:rPr>
          <w:sz w:val="18"/>
        </w:rPr>
      </w:pPr>
    </w:p>
    <w:p>
      <w:pPr>
        <w:pStyle w:val="ListParagraph"/>
        <w:numPr>
          <w:ilvl w:val="1"/>
          <w:numId w:val="910"/>
        </w:numPr>
        <w:tabs>
          <w:tab w:pos="1264" w:val="left" w:leader="none"/>
        </w:tabs>
        <w:spacing w:line="240" w:lineRule="auto" w:before="0" w:after="0"/>
        <w:ind w:left="1263" w:right="0" w:hanging="424"/>
        <w:jc w:val="left"/>
        <w:rPr>
          <w:sz w:val="21"/>
        </w:rPr>
      </w:pPr>
      <w:r>
        <w:rPr>
          <w:spacing w:val="-3"/>
          <w:sz w:val="21"/>
        </w:rPr>
        <w:t>水幕系统的设计基本参数应符合表 </w:t>
      </w:r>
      <w:r>
        <w:rPr>
          <w:sz w:val="21"/>
        </w:rPr>
        <w:t>5.0.14</w:t>
      </w:r>
      <w:r>
        <w:rPr>
          <w:spacing w:val="-13"/>
          <w:sz w:val="21"/>
        </w:rPr>
        <w:t> 的规定：</w:t>
      </w:r>
      <w:r>
        <w:rPr>
          <w:sz w:val="21"/>
        </w:rPr>
        <w:t> </w:t>
      </w:r>
    </w:p>
    <w:p>
      <w:pPr>
        <w:pStyle w:val="BodyText"/>
        <w:spacing w:before="3"/>
        <w:rPr>
          <w:sz w:val="9"/>
        </w:rPr>
      </w:pPr>
      <w:r>
        <w:rPr/>
        <w:drawing>
          <wp:anchor distT="0" distB="0" distL="0" distR="0" allowOverlap="1" layoutInCell="1" locked="0" behindDoc="0" simplePos="0" relativeHeight="336">
            <wp:simplePos x="0" y="0"/>
            <wp:positionH relativeFrom="page">
              <wp:posOffset>1936114</wp:posOffset>
            </wp:positionH>
            <wp:positionV relativeFrom="paragraph">
              <wp:posOffset>99980</wp:posOffset>
            </wp:positionV>
            <wp:extent cx="4500049" cy="1352550"/>
            <wp:effectExtent l="0" t="0" r="0" b="0"/>
            <wp:wrapTopAndBottom/>
            <wp:docPr id="733" name="image431.jpeg"/>
            <wp:cNvGraphicFramePr>
              <a:graphicFrameLocks noChangeAspect="1"/>
            </wp:cNvGraphicFramePr>
            <a:graphic>
              <a:graphicData uri="http://schemas.openxmlformats.org/drawingml/2006/picture">
                <pic:pic>
                  <pic:nvPicPr>
                    <pic:cNvPr id="734" name="image431.jpeg"/>
                    <pic:cNvPicPr/>
                  </pic:nvPicPr>
                  <pic:blipFill>
                    <a:blip r:embed="rId549" cstate="print"/>
                    <a:stretch>
                      <a:fillRect/>
                    </a:stretch>
                  </pic:blipFill>
                  <pic:spPr>
                    <a:xfrm>
                      <a:off x="0" y="0"/>
                      <a:ext cx="4500049" cy="1352550"/>
                    </a:xfrm>
                    <a:prstGeom prst="rect">
                      <a:avLst/>
                    </a:prstGeom>
                  </pic:spPr>
                </pic:pic>
              </a:graphicData>
            </a:graphic>
          </wp:anchor>
        </w:drawing>
      </w:r>
    </w:p>
    <w:p>
      <w:pPr>
        <w:pStyle w:val="ListParagraph"/>
        <w:numPr>
          <w:ilvl w:val="1"/>
          <w:numId w:val="910"/>
        </w:numPr>
        <w:tabs>
          <w:tab w:pos="1266" w:val="left" w:leader="none"/>
        </w:tabs>
        <w:spacing w:line="446" w:lineRule="auto" w:before="166" w:after="0"/>
        <w:ind w:left="418" w:right="1707" w:firstLine="422"/>
        <w:jc w:val="left"/>
        <w:rPr>
          <w:sz w:val="21"/>
        </w:rPr>
      </w:pPr>
      <w:r>
        <w:rPr>
          <w:spacing w:val="-3"/>
          <w:sz w:val="21"/>
        </w:rPr>
        <w:t>当采用防护冷却系统保护防火卷帘、防火玻璃墙等防火分隔设施时，系统应独立设置，且应符合下列要求：</w:t>
      </w:r>
      <w:r>
        <w:rPr>
          <w:sz w:val="21"/>
        </w:rPr>
        <w:t> </w:t>
      </w:r>
    </w:p>
    <w:p>
      <w:pPr>
        <w:pStyle w:val="BodyText"/>
        <w:ind w:left="838"/>
      </w:pPr>
      <w:r>
        <w:rPr/>
        <w:t>1 喷头设置高度不应超过 8m；当设置高度为 4m~8m 时，应采用快速响应洒水喷头； </w:t>
      </w:r>
    </w:p>
    <w:p>
      <w:pPr>
        <w:pStyle w:val="BodyText"/>
        <w:spacing w:before="12"/>
        <w:rPr>
          <w:sz w:val="17"/>
        </w:rPr>
      </w:pPr>
    </w:p>
    <w:p>
      <w:pPr>
        <w:pStyle w:val="BodyText"/>
        <w:ind w:left="838"/>
      </w:pPr>
      <w:r>
        <w:rPr/>
        <w:t>2 喷头设置高度不超过 4m 时，喷水强度不应小于 0.5L/（s·m）；当超过 4m 时，每增加</w:t>
      </w:r>
    </w:p>
    <w:p>
      <w:pPr>
        <w:pStyle w:val="BodyText"/>
        <w:spacing w:before="2"/>
        <w:rPr>
          <w:sz w:val="18"/>
        </w:rPr>
      </w:pPr>
    </w:p>
    <w:p>
      <w:pPr>
        <w:pStyle w:val="BodyText"/>
        <w:ind w:left="418"/>
      </w:pPr>
      <w:r>
        <w:rPr/>
        <w:t>1m，喷水强度应增加 0.1L/（s·m）； </w:t>
      </w:r>
    </w:p>
    <w:p>
      <w:pPr>
        <w:pStyle w:val="BodyText"/>
        <w:spacing w:before="12"/>
        <w:rPr>
          <w:sz w:val="17"/>
        </w:rPr>
      </w:pPr>
    </w:p>
    <w:p>
      <w:pPr>
        <w:pStyle w:val="BodyText"/>
        <w:spacing w:line="446" w:lineRule="auto"/>
        <w:ind w:left="418" w:right="1393" w:firstLine="419"/>
      </w:pPr>
      <w:r>
        <w:rPr/>
        <w:t>3 喷头的设置应确保喷洒到被保护对象后布水均匀，喷头间距应为 1.8m~2.4m；喷头溅水盘与防火分隔设施的水平距离不应大于 0.3m，与顶板的距离应符合本规范第 7.1.15 条的规定； </w:t>
      </w:r>
    </w:p>
    <w:p>
      <w:pPr>
        <w:pStyle w:val="BodyText"/>
        <w:ind w:left="838"/>
      </w:pPr>
      <w:r>
        <w:rPr/>
        <w:t>4 持续喷水时间不应小于系统设置部位的耐火极限要求。 </w:t>
      </w:r>
    </w:p>
    <w:p>
      <w:pPr>
        <w:pStyle w:val="BodyText"/>
        <w:rPr>
          <w:sz w:val="18"/>
        </w:rPr>
      </w:pPr>
    </w:p>
    <w:p>
      <w:pPr>
        <w:pStyle w:val="ListParagraph"/>
        <w:numPr>
          <w:ilvl w:val="1"/>
          <w:numId w:val="910"/>
        </w:numPr>
        <w:tabs>
          <w:tab w:pos="1266" w:val="left" w:leader="none"/>
        </w:tabs>
        <w:spacing w:line="240" w:lineRule="auto" w:before="0" w:after="0"/>
        <w:ind w:left="1265" w:right="0" w:hanging="426"/>
        <w:jc w:val="left"/>
        <w:rPr>
          <w:sz w:val="21"/>
        </w:rPr>
      </w:pPr>
      <w:r>
        <w:rPr>
          <w:spacing w:val="-5"/>
          <w:sz w:val="21"/>
        </w:rPr>
        <w:t>除本规范另有规定外，自动喷水灭火系统的持续喷水时间应按火灾延续时间不小于 </w:t>
      </w:r>
      <w:r>
        <w:rPr>
          <w:sz w:val="21"/>
        </w:rPr>
        <w:t>1h</w:t>
      </w:r>
    </w:p>
    <w:p>
      <w:pPr>
        <w:pStyle w:val="BodyText"/>
        <w:spacing w:before="12"/>
        <w:rPr>
          <w:sz w:val="17"/>
        </w:rPr>
      </w:pPr>
    </w:p>
    <w:p>
      <w:pPr>
        <w:pStyle w:val="BodyText"/>
        <w:ind w:left="418"/>
      </w:pPr>
      <w:r>
        <w:rPr/>
        <w:t>确定。 </w:t>
      </w:r>
    </w:p>
    <w:p>
      <w:pPr>
        <w:pStyle w:val="BodyText"/>
        <w:spacing w:before="2"/>
        <w:rPr>
          <w:sz w:val="18"/>
        </w:rPr>
      </w:pPr>
    </w:p>
    <w:p>
      <w:pPr>
        <w:pStyle w:val="ListParagraph"/>
        <w:numPr>
          <w:ilvl w:val="1"/>
          <w:numId w:val="910"/>
        </w:numPr>
        <w:tabs>
          <w:tab w:pos="1266" w:val="left" w:leader="none"/>
        </w:tabs>
        <w:spacing w:line="446" w:lineRule="auto" w:before="0" w:after="0"/>
        <w:ind w:left="418" w:right="1498" w:firstLine="422"/>
        <w:jc w:val="left"/>
        <w:rPr>
          <w:sz w:val="21"/>
        </w:rPr>
      </w:pPr>
      <w:r>
        <w:rPr>
          <w:spacing w:val="-3"/>
          <w:sz w:val="21"/>
        </w:rPr>
        <w:t>利用有压气体作为系统启动介质的干式系统和预作用系统，其配水管道内的气压值应根据报警阀的技术性能确定；利用有压气体检测管道是否严密的预作用系统，配水管道内的气</w:t>
      </w:r>
      <w:r>
        <w:rPr>
          <w:spacing w:val="-11"/>
          <w:sz w:val="21"/>
        </w:rPr>
        <w:t>压值不宜小于 </w:t>
      </w:r>
      <w:r>
        <w:rPr>
          <w:sz w:val="21"/>
        </w:rPr>
        <w:t>0.03MPa</w:t>
      </w:r>
      <w:r>
        <w:rPr>
          <w:spacing w:val="-10"/>
          <w:sz w:val="21"/>
        </w:rPr>
        <w:t>，且不宜大于 </w:t>
      </w:r>
      <w:r>
        <w:rPr>
          <w:sz w:val="21"/>
        </w:rPr>
        <w:t>0.05MPa</w:t>
      </w:r>
      <w:r>
        <w:rPr>
          <w:spacing w:val="-3"/>
          <w:sz w:val="21"/>
        </w:rPr>
        <w:t>。</w:t>
      </w:r>
      <w:r>
        <w:rPr>
          <w:sz w:val="21"/>
        </w:rPr>
        <w:t> </w:t>
      </w:r>
    </w:p>
    <w:p>
      <w:pPr>
        <w:pStyle w:val="Heading4"/>
        <w:spacing w:line="277" w:lineRule="exact"/>
      </w:pPr>
      <w:r>
        <w:rPr/>
        <w:t>6 系统组件</w:t>
      </w:r>
      <w:r>
        <w:rPr>
          <w:w w:val="99"/>
        </w:rPr>
        <w:t> </w:t>
      </w:r>
    </w:p>
    <w:p>
      <w:pPr>
        <w:pStyle w:val="BodyText"/>
        <w:spacing w:before="4"/>
        <w:rPr>
          <w:b/>
          <w:sz w:val="17"/>
        </w:rPr>
      </w:pPr>
    </w:p>
    <w:p>
      <w:pPr>
        <w:pStyle w:val="ListParagraph"/>
        <w:numPr>
          <w:ilvl w:val="1"/>
          <w:numId w:val="911"/>
        </w:numPr>
        <w:tabs>
          <w:tab w:pos="1159" w:val="left" w:leader="none"/>
        </w:tabs>
        <w:spacing w:line="240" w:lineRule="auto" w:before="0" w:after="0"/>
        <w:ind w:left="1158" w:right="0" w:hanging="319"/>
        <w:jc w:val="left"/>
        <w:rPr>
          <w:sz w:val="21"/>
        </w:rPr>
      </w:pPr>
      <w:r>
        <w:rPr>
          <w:spacing w:val="-3"/>
          <w:sz w:val="21"/>
        </w:rPr>
        <w:t>喷头</w:t>
      </w:r>
      <w:r>
        <w:rPr>
          <w:sz w:val="21"/>
        </w:rPr>
        <w:t> </w:t>
      </w:r>
    </w:p>
    <w:p>
      <w:pPr>
        <w:pStyle w:val="BodyText"/>
        <w:spacing w:before="12"/>
        <w:rPr>
          <w:sz w:val="17"/>
        </w:rPr>
      </w:pPr>
    </w:p>
    <w:p>
      <w:pPr>
        <w:pStyle w:val="ListParagraph"/>
        <w:numPr>
          <w:ilvl w:val="2"/>
          <w:numId w:val="911"/>
        </w:numPr>
        <w:tabs>
          <w:tab w:pos="1370" w:val="left" w:leader="none"/>
        </w:tabs>
        <w:spacing w:line="446" w:lineRule="auto" w:before="0" w:after="0"/>
        <w:ind w:left="418" w:right="1608" w:firstLine="422"/>
        <w:jc w:val="left"/>
        <w:rPr>
          <w:sz w:val="21"/>
        </w:rPr>
      </w:pPr>
      <w:r>
        <w:rPr>
          <w:spacing w:val="-5"/>
          <w:sz w:val="21"/>
        </w:rPr>
        <w:t>设置闭式系统的场所，洒水喷头类型和场所的最大净空高度应符合表 </w:t>
      </w:r>
      <w:r>
        <w:rPr>
          <w:sz w:val="21"/>
        </w:rPr>
        <w:t>6.1.1</w:t>
      </w:r>
      <w:r>
        <w:rPr>
          <w:spacing w:val="-6"/>
          <w:sz w:val="21"/>
        </w:rPr>
        <w:t> 的规 定</w:t>
      </w:r>
      <w:r>
        <w:rPr>
          <w:spacing w:val="-4"/>
          <w:sz w:val="21"/>
        </w:rPr>
        <w:t>；仅用于保护室内钢屋架等建筑构件的洒水喷头和设置货架内置洒水喷头的场所，可不受此表</w:t>
      </w:r>
      <w:r>
        <w:rPr>
          <w:spacing w:val="-3"/>
          <w:sz w:val="21"/>
        </w:rPr>
        <w:t>规定的限制。</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7"/>
        </w:rPr>
      </w:pPr>
    </w:p>
    <w:p>
      <w:pPr>
        <w:pStyle w:val="BodyText"/>
        <w:ind w:left="838"/>
      </w:pPr>
      <w:r>
        <w:rPr>
          <w:w w:val="100"/>
        </w:rPr>
        <w:t> </w:t>
      </w:r>
    </w:p>
    <w:p>
      <w:pPr>
        <w:spacing w:after="0"/>
        <w:sectPr>
          <w:pgSz w:w="11910" w:h="16850"/>
          <w:pgMar w:header="0" w:footer="1239" w:top="1220" w:bottom="1420" w:left="1260" w:right="0"/>
        </w:sectPr>
      </w:pPr>
    </w:p>
    <w:p>
      <w:pPr>
        <w:pStyle w:val="BodyText"/>
        <w:spacing w:before="6" w:after="1"/>
        <w:rPr>
          <w:sz w:val="14"/>
        </w:rPr>
      </w:pPr>
    </w:p>
    <w:p>
      <w:pPr>
        <w:pStyle w:val="BodyText"/>
        <w:ind w:left="538"/>
        <w:rPr>
          <w:sz w:val="20"/>
        </w:rPr>
      </w:pPr>
      <w:r>
        <w:rPr>
          <w:sz w:val="20"/>
        </w:rPr>
        <w:drawing>
          <wp:inline distT="0" distB="0" distL="0" distR="0">
            <wp:extent cx="4876800" cy="2562225"/>
            <wp:effectExtent l="0" t="0" r="0" b="0"/>
            <wp:docPr id="735" name="image432.jpeg"/>
            <wp:cNvGraphicFramePr>
              <a:graphicFrameLocks noChangeAspect="1"/>
            </wp:cNvGraphicFramePr>
            <a:graphic>
              <a:graphicData uri="http://schemas.openxmlformats.org/drawingml/2006/picture">
                <pic:pic>
                  <pic:nvPicPr>
                    <pic:cNvPr id="736" name="image432.jpeg"/>
                    <pic:cNvPicPr/>
                  </pic:nvPicPr>
                  <pic:blipFill>
                    <a:blip r:embed="rId550" cstate="print"/>
                    <a:stretch>
                      <a:fillRect/>
                    </a:stretch>
                  </pic:blipFill>
                  <pic:spPr>
                    <a:xfrm>
                      <a:off x="0" y="0"/>
                      <a:ext cx="4876800" cy="2562225"/>
                    </a:xfrm>
                    <a:prstGeom prst="rect">
                      <a:avLst/>
                    </a:prstGeom>
                  </pic:spPr>
                </pic:pic>
              </a:graphicData>
            </a:graphic>
          </wp:inline>
        </w:drawing>
      </w:r>
      <w:r>
        <w:rPr>
          <w:sz w:val="20"/>
        </w:rPr>
      </w:r>
    </w:p>
    <w:p>
      <w:pPr>
        <w:pStyle w:val="BodyText"/>
        <w:spacing w:before="6"/>
        <w:rPr>
          <w:sz w:val="10"/>
        </w:rPr>
      </w:pPr>
    </w:p>
    <w:p>
      <w:pPr>
        <w:pStyle w:val="ListParagraph"/>
        <w:numPr>
          <w:ilvl w:val="2"/>
          <w:numId w:val="911"/>
        </w:numPr>
        <w:tabs>
          <w:tab w:pos="1370" w:val="left" w:leader="none"/>
        </w:tabs>
        <w:spacing w:line="240" w:lineRule="auto" w:before="72" w:after="0"/>
        <w:ind w:left="1369" w:right="0" w:hanging="530"/>
        <w:jc w:val="left"/>
        <w:rPr>
          <w:sz w:val="21"/>
        </w:rPr>
      </w:pPr>
      <w:r>
        <w:rPr>
          <w:spacing w:val="-5"/>
          <w:sz w:val="21"/>
        </w:rPr>
        <w:t>闭式系统的洒水喷头，其公称动作温度宜高于环境最高温度 </w:t>
      </w:r>
      <w:r>
        <w:rPr>
          <w:sz w:val="21"/>
        </w:rPr>
        <w:t>30℃。 </w:t>
      </w:r>
    </w:p>
    <w:p>
      <w:pPr>
        <w:pStyle w:val="BodyText"/>
        <w:spacing w:before="12"/>
        <w:rPr>
          <w:sz w:val="17"/>
        </w:rPr>
      </w:pPr>
    </w:p>
    <w:p>
      <w:pPr>
        <w:pStyle w:val="ListParagraph"/>
        <w:numPr>
          <w:ilvl w:val="2"/>
          <w:numId w:val="911"/>
        </w:numPr>
        <w:tabs>
          <w:tab w:pos="1370" w:val="left" w:leader="none"/>
        </w:tabs>
        <w:spacing w:line="240" w:lineRule="auto" w:before="1" w:after="0"/>
        <w:ind w:left="1369" w:right="0" w:hanging="530"/>
        <w:jc w:val="left"/>
        <w:rPr>
          <w:sz w:val="21"/>
        </w:rPr>
      </w:pPr>
      <w:r>
        <w:rPr>
          <w:spacing w:val="-3"/>
          <w:sz w:val="21"/>
        </w:rPr>
        <w:t>湿式系统的洒水喷头选型应符合下列规定：</w:t>
      </w:r>
      <w:r>
        <w:rPr>
          <w:sz w:val="21"/>
        </w:rPr>
        <w:t> </w:t>
      </w:r>
    </w:p>
    <w:p>
      <w:pPr>
        <w:pStyle w:val="BodyText"/>
        <w:spacing w:before="1"/>
        <w:rPr>
          <w:sz w:val="18"/>
        </w:rPr>
      </w:pPr>
    </w:p>
    <w:p>
      <w:pPr>
        <w:pStyle w:val="BodyText"/>
        <w:spacing w:line="446" w:lineRule="auto"/>
        <w:ind w:left="838" w:right="3186"/>
      </w:pPr>
      <w:r>
        <w:rPr>
          <w:spacing w:val="-3"/>
        </w:rPr>
        <w:t>不做吊顶的场所，当配水支管布置在梁下时，应采用直立型洒水喷头； 吊顶下布置的洒水喷头，应采用下垂型洒水喷头或吊顶型洒水喷头；</w:t>
      </w:r>
      <w:r>
        <w:rPr/>
        <w:t> </w:t>
      </w:r>
    </w:p>
    <w:p>
      <w:pPr>
        <w:pStyle w:val="BodyText"/>
        <w:spacing w:line="446" w:lineRule="auto"/>
        <w:ind w:left="418" w:right="1609" w:firstLine="419"/>
      </w:pPr>
      <w:r>
        <w:rPr/>
        <w:t>顶板为水平面的轻危险级、中危险级Ⅰ级住宅建筑、宿舍、旅馆建筑客房、医疗建筑病房和办公室，可采用边墙型洒水喷头； </w:t>
      </w:r>
    </w:p>
    <w:p>
      <w:pPr>
        <w:pStyle w:val="BodyText"/>
        <w:ind w:left="838"/>
      </w:pPr>
      <w:r>
        <w:rPr/>
        <w:t>易受碰撞的部位，应采用带保护罩的洒水喷头或吊顶型洒水喷头； </w:t>
      </w:r>
    </w:p>
    <w:p>
      <w:pPr>
        <w:pStyle w:val="BodyText"/>
        <w:spacing w:before="10"/>
        <w:rPr>
          <w:sz w:val="17"/>
        </w:rPr>
      </w:pPr>
    </w:p>
    <w:p>
      <w:pPr>
        <w:pStyle w:val="BodyText"/>
        <w:spacing w:line="446" w:lineRule="auto" w:before="1"/>
        <w:ind w:left="418" w:right="1609" w:firstLine="419"/>
      </w:pPr>
      <w:r>
        <w:rPr/>
        <w:t>顶板为水平面，且无梁、通风管道等障碍物影响喷头洒水的场所，可采用扩大覆盖面积洒水喷头； </w:t>
      </w:r>
    </w:p>
    <w:p>
      <w:pPr>
        <w:pStyle w:val="BodyText"/>
        <w:ind w:left="838"/>
      </w:pPr>
      <w:r>
        <w:rPr/>
        <w:t>住宅建筑和宿舍、公寓等非住宅类居住建筑宜采用家用喷头； </w:t>
      </w:r>
    </w:p>
    <w:p>
      <w:pPr>
        <w:pStyle w:val="BodyText"/>
        <w:spacing w:before="12"/>
        <w:rPr>
          <w:sz w:val="17"/>
        </w:rPr>
      </w:pPr>
    </w:p>
    <w:p>
      <w:pPr>
        <w:pStyle w:val="BodyText"/>
        <w:spacing w:line="446" w:lineRule="auto"/>
        <w:ind w:left="840" w:right="1925" w:hanging="3"/>
      </w:pPr>
      <w:r>
        <w:rPr/>
        <w:t>不宜选用隐蔽式洒水喷头；确需采用时，应仅适用于轻危险级和中危险级Ⅰ级场所。</w:t>
      </w:r>
      <w:r>
        <w:rPr>
          <w:b/>
        </w:rPr>
        <w:t>6.1.4 </w:t>
      </w:r>
      <w:r>
        <w:rPr/>
        <w:t>干式系统、预作用系统应采用直立型洒水喷头或干式下垂型洒水喷头。 </w:t>
      </w:r>
    </w:p>
    <w:p>
      <w:pPr>
        <w:pStyle w:val="ListParagraph"/>
        <w:numPr>
          <w:ilvl w:val="2"/>
          <w:numId w:val="912"/>
        </w:numPr>
        <w:tabs>
          <w:tab w:pos="1370" w:val="left" w:leader="none"/>
        </w:tabs>
        <w:spacing w:line="446" w:lineRule="auto" w:before="0" w:after="0"/>
        <w:ind w:left="838" w:right="5288" w:firstLine="2"/>
        <w:jc w:val="left"/>
        <w:rPr>
          <w:sz w:val="21"/>
        </w:rPr>
      </w:pPr>
      <w:r>
        <w:rPr>
          <w:spacing w:val="-2"/>
          <w:sz w:val="21"/>
        </w:rPr>
        <w:t>水幕系统的喷头选型应符合下列规定： 防火分隔水幕应采用开式洒水喷头或水幕喷头； 防</w:t>
      </w:r>
      <w:r>
        <w:rPr>
          <w:spacing w:val="-3"/>
          <w:sz w:val="21"/>
        </w:rPr>
        <w:t>护冷却水幕应采用水幕喷头。</w:t>
      </w:r>
      <w:r>
        <w:rPr>
          <w:sz w:val="21"/>
        </w:rPr>
        <w:t> </w:t>
      </w:r>
    </w:p>
    <w:p>
      <w:pPr>
        <w:pStyle w:val="ListParagraph"/>
        <w:numPr>
          <w:ilvl w:val="2"/>
          <w:numId w:val="912"/>
        </w:numPr>
        <w:tabs>
          <w:tab w:pos="1424" w:val="left" w:leader="none"/>
        </w:tabs>
        <w:spacing w:line="268" w:lineRule="exact" w:before="0" w:after="0"/>
        <w:ind w:left="1423" w:right="0" w:hanging="584"/>
        <w:jc w:val="left"/>
        <w:rPr>
          <w:sz w:val="21"/>
        </w:rPr>
      </w:pPr>
      <w:r>
        <w:rPr>
          <w:spacing w:val="-3"/>
          <w:sz w:val="21"/>
        </w:rPr>
        <w:t>自动喷水防护冷却系统可采用边墙型洒水洒头。</w:t>
      </w:r>
      <w:r>
        <w:rPr>
          <w:sz w:val="21"/>
        </w:rPr>
        <w:t> </w:t>
      </w:r>
    </w:p>
    <w:p>
      <w:pPr>
        <w:pStyle w:val="BodyText"/>
        <w:rPr>
          <w:sz w:val="18"/>
        </w:rPr>
      </w:pPr>
    </w:p>
    <w:p>
      <w:pPr>
        <w:pStyle w:val="ListParagraph"/>
        <w:numPr>
          <w:ilvl w:val="2"/>
          <w:numId w:val="912"/>
        </w:numPr>
        <w:tabs>
          <w:tab w:pos="1424" w:val="left" w:leader="none"/>
        </w:tabs>
        <w:spacing w:line="446" w:lineRule="auto" w:before="0" w:after="0"/>
        <w:ind w:left="418" w:right="1657" w:firstLine="422"/>
        <w:jc w:val="left"/>
        <w:rPr>
          <w:sz w:val="21"/>
        </w:rPr>
      </w:pPr>
      <w:r>
        <w:rPr>
          <w:spacing w:val="-3"/>
          <w:sz w:val="21"/>
        </w:rPr>
        <w:t>下列场所宜采用快速响应洒水喷头。当采用快速响应洒水喷头时，系统应为湿式系统。</w:t>
      </w:r>
      <w:r>
        <w:rPr>
          <w:sz w:val="21"/>
        </w:rPr>
        <w:t> </w:t>
      </w:r>
    </w:p>
    <w:p>
      <w:pPr>
        <w:pStyle w:val="BodyText"/>
        <w:ind w:left="838"/>
      </w:pPr>
      <w:r>
        <w:rPr/>
        <w:t>公共娱乐场所、中庭环廊； </w:t>
      </w:r>
    </w:p>
    <w:p>
      <w:pPr>
        <w:spacing w:after="0"/>
        <w:sectPr>
          <w:pgSz w:w="11910" w:h="16850"/>
          <w:pgMar w:header="0" w:footer="1239" w:top="1600" w:bottom="1420" w:left="1260" w:right="0"/>
        </w:sectPr>
      </w:pPr>
    </w:p>
    <w:p>
      <w:pPr>
        <w:pStyle w:val="BodyText"/>
        <w:spacing w:line="446" w:lineRule="auto" w:before="47"/>
        <w:ind w:left="838" w:right="2977"/>
      </w:pPr>
      <w:r>
        <w:rPr>
          <w:spacing w:val="-3"/>
        </w:rPr>
        <w:t>医院、疗养院的病房及治疗区域，老年、少儿、残疾人的集体活动场所； 超出消防水泵接合器供水高度的楼层；</w:t>
      </w:r>
      <w:r>
        <w:rPr/>
        <w:t> </w:t>
      </w:r>
    </w:p>
    <w:p>
      <w:pPr>
        <w:pStyle w:val="BodyText"/>
        <w:spacing w:line="267" w:lineRule="exact"/>
        <w:ind w:left="838"/>
      </w:pPr>
      <w:r>
        <w:rPr/>
        <w:t>地下商业场所。 </w:t>
      </w:r>
    </w:p>
    <w:p>
      <w:pPr>
        <w:pStyle w:val="BodyText"/>
        <w:spacing w:before="2"/>
        <w:rPr>
          <w:sz w:val="18"/>
        </w:rPr>
      </w:pPr>
    </w:p>
    <w:p>
      <w:pPr>
        <w:pStyle w:val="ListParagraph"/>
        <w:numPr>
          <w:ilvl w:val="2"/>
          <w:numId w:val="912"/>
        </w:numPr>
        <w:tabs>
          <w:tab w:pos="1424" w:val="left" w:leader="none"/>
        </w:tabs>
        <w:spacing w:line="240" w:lineRule="auto" w:before="0" w:after="0"/>
        <w:ind w:left="1423" w:right="0" w:hanging="584"/>
        <w:jc w:val="left"/>
        <w:rPr>
          <w:sz w:val="21"/>
        </w:rPr>
      </w:pPr>
      <w:r>
        <w:rPr>
          <w:spacing w:val="-3"/>
          <w:sz w:val="21"/>
        </w:rPr>
        <w:t>同一隔间内应采用相同热敏性能的洒水喷头。 </w:t>
      </w:r>
    </w:p>
    <w:p>
      <w:pPr>
        <w:pStyle w:val="BodyText"/>
        <w:rPr>
          <w:sz w:val="18"/>
        </w:rPr>
      </w:pPr>
    </w:p>
    <w:p>
      <w:pPr>
        <w:pStyle w:val="ListParagraph"/>
        <w:numPr>
          <w:ilvl w:val="2"/>
          <w:numId w:val="912"/>
        </w:numPr>
        <w:tabs>
          <w:tab w:pos="1424" w:val="left" w:leader="none"/>
        </w:tabs>
        <w:spacing w:line="240" w:lineRule="auto" w:before="0" w:after="0"/>
        <w:ind w:left="1423" w:right="0" w:hanging="584"/>
        <w:jc w:val="left"/>
        <w:rPr>
          <w:sz w:val="21"/>
        </w:rPr>
      </w:pPr>
      <w:r>
        <w:rPr>
          <w:spacing w:val="-3"/>
          <w:sz w:val="21"/>
        </w:rPr>
        <w:t>雨淋系统的防护区内应采用相同的洒水喷头。 </w:t>
      </w:r>
    </w:p>
    <w:p>
      <w:pPr>
        <w:pStyle w:val="BodyText"/>
        <w:spacing w:before="12"/>
        <w:rPr>
          <w:sz w:val="17"/>
        </w:rPr>
      </w:pPr>
    </w:p>
    <w:p>
      <w:pPr>
        <w:pStyle w:val="ListParagraph"/>
        <w:numPr>
          <w:ilvl w:val="2"/>
          <w:numId w:val="912"/>
        </w:numPr>
        <w:tabs>
          <w:tab w:pos="1530" w:val="left" w:leader="none"/>
        </w:tabs>
        <w:spacing w:line="446" w:lineRule="auto" w:before="0" w:after="0"/>
        <w:ind w:left="418" w:right="1601" w:firstLine="422"/>
        <w:jc w:val="left"/>
        <w:rPr>
          <w:sz w:val="21"/>
        </w:rPr>
      </w:pPr>
      <w:r>
        <w:rPr>
          <w:spacing w:val="-4"/>
          <w:sz w:val="21"/>
        </w:rPr>
        <w:t>自动喷水灭火系统应有备用洒水洒头，其数量不应少于总数的 </w:t>
      </w:r>
      <w:r>
        <w:rPr>
          <w:sz w:val="21"/>
        </w:rPr>
        <w:t>1</w:t>
      </w:r>
      <w:r>
        <w:rPr>
          <w:spacing w:val="-2"/>
          <w:sz w:val="21"/>
        </w:rPr>
        <w:t>％，且每种型号均</w:t>
      </w:r>
      <w:r>
        <w:rPr>
          <w:spacing w:val="-3"/>
          <w:sz w:val="21"/>
        </w:rPr>
        <w:t>不得少于 </w:t>
      </w:r>
      <w:r>
        <w:rPr>
          <w:sz w:val="21"/>
        </w:rPr>
        <w:t>10</w:t>
      </w:r>
      <w:r>
        <w:rPr>
          <w:spacing w:val="-20"/>
          <w:sz w:val="21"/>
        </w:rPr>
        <w:t> 只。</w:t>
      </w:r>
      <w:r>
        <w:rPr>
          <w:sz w:val="21"/>
        </w:rPr>
        <w:t> </w:t>
      </w:r>
    </w:p>
    <w:p>
      <w:pPr>
        <w:pStyle w:val="ListParagraph"/>
        <w:numPr>
          <w:ilvl w:val="1"/>
          <w:numId w:val="911"/>
        </w:numPr>
        <w:tabs>
          <w:tab w:pos="1159" w:val="left" w:leader="none"/>
        </w:tabs>
        <w:spacing w:line="240" w:lineRule="auto" w:before="1" w:after="0"/>
        <w:ind w:left="1158" w:right="0" w:hanging="319"/>
        <w:jc w:val="left"/>
        <w:rPr>
          <w:b/>
          <w:sz w:val="21"/>
        </w:rPr>
      </w:pPr>
      <w:r>
        <w:rPr>
          <w:spacing w:val="-3"/>
          <w:sz w:val="21"/>
        </w:rPr>
        <w:t>报警阀组</w:t>
      </w:r>
      <w:r>
        <w:rPr>
          <w:b/>
          <w:w w:val="99"/>
          <w:sz w:val="21"/>
        </w:rPr>
        <w:t> </w:t>
      </w:r>
    </w:p>
    <w:p>
      <w:pPr>
        <w:pStyle w:val="BodyText"/>
        <w:spacing w:before="12"/>
        <w:rPr>
          <w:b/>
          <w:sz w:val="17"/>
        </w:rPr>
      </w:pPr>
    </w:p>
    <w:p>
      <w:pPr>
        <w:pStyle w:val="ListParagraph"/>
        <w:numPr>
          <w:ilvl w:val="2"/>
          <w:numId w:val="911"/>
        </w:numPr>
        <w:tabs>
          <w:tab w:pos="1424" w:val="left" w:leader="none"/>
        </w:tabs>
        <w:spacing w:line="446" w:lineRule="auto" w:before="0" w:after="0"/>
        <w:ind w:left="418" w:right="1551" w:firstLine="422"/>
        <w:jc w:val="left"/>
        <w:rPr>
          <w:sz w:val="21"/>
        </w:rPr>
      </w:pPr>
      <w:r>
        <w:rPr>
          <w:spacing w:val="-3"/>
          <w:sz w:val="21"/>
        </w:rPr>
        <w:t>自动喷水灭火系统应设报警阀组。保护室内钢屋架等建筑构件的闭式系统， 应设独立的报警阀组。水幕系统应设独立的报警阀组或感温雨淋报警阀。</w:t>
      </w:r>
      <w:r>
        <w:rPr>
          <w:sz w:val="21"/>
        </w:rPr>
        <w:t> </w:t>
      </w:r>
    </w:p>
    <w:p>
      <w:pPr>
        <w:pStyle w:val="ListParagraph"/>
        <w:numPr>
          <w:ilvl w:val="2"/>
          <w:numId w:val="911"/>
        </w:numPr>
        <w:tabs>
          <w:tab w:pos="1370" w:val="left" w:leader="none"/>
        </w:tabs>
        <w:spacing w:line="446" w:lineRule="auto" w:before="0" w:after="0"/>
        <w:ind w:left="418" w:right="1813" w:firstLine="422"/>
        <w:jc w:val="left"/>
        <w:rPr>
          <w:sz w:val="21"/>
        </w:rPr>
      </w:pPr>
      <w:r>
        <w:rPr>
          <w:spacing w:val="-3"/>
          <w:sz w:val="21"/>
        </w:rPr>
        <w:t>串联接入湿式系统配水干管的其他自动喷水灭火系统，应分别设置独立的报警阀组，其控制的洒水喷头数计入湿式报警阀组控制的洒水喷头总数。</w:t>
      </w:r>
      <w:r>
        <w:rPr>
          <w:sz w:val="21"/>
        </w:rPr>
        <w:t> </w:t>
      </w:r>
    </w:p>
    <w:p>
      <w:pPr>
        <w:pStyle w:val="ListParagraph"/>
        <w:numPr>
          <w:ilvl w:val="2"/>
          <w:numId w:val="911"/>
        </w:numPr>
        <w:tabs>
          <w:tab w:pos="1371" w:val="left" w:leader="none"/>
        </w:tabs>
        <w:spacing w:line="240" w:lineRule="auto" w:before="0" w:after="0"/>
        <w:ind w:left="1370" w:right="0" w:hanging="531"/>
        <w:jc w:val="left"/>
        <w:rPr>
          <w:sz w:val="21"/>
        </w:rPr>
      </w:pPr>
      <w:r>
        <w:rPr>
          <w:spacing w:val="-3"/>
          <w:sz w:val="21"/>
        </w:rPr>
        <w:t>一个报警阀组控制的洒水喷头数应符合下列规定：</w:t>
      </w:r>
      <w:r>
        <w:rPr>
          <w:sz w:val="21"/>
        </w:rPr>
        <w:t> </w:t>
      </w:r>
    </w:p>
    <w:p>
      <w:pPr>
        <w:pStyle w:val="BodyText"/>
        <w:spacing w:before="12"/>
        <w:rPr>
          <w:sz w:val="17"/>
        </w:rPr>
      </w:pPr>
    </w:p>
    <w:p>
      <w:pPr>
        <w:pStyle w:val="BodyText"/>
        <w:ind w:left="838"/>
      </w:pPr>
      <w:r>
        <w:rPr/>
        <w:t>湿式系统、预作用系统不宜超过 800 只；干式系统不宜超过 500 只； </w:t>
      </w:r>
    </w:p>
    <w:p>
      <w:pPr>
        <w:pStyle w:val="BodyText"/>
        <w:rPr>
          <w:sz w:val="18"/>
        </w:rPr>
      </w:pPr>
    </w:p>
    <w:p>
      <w:pPr>
        <w:pStyle w:val="BodyText"/>
        <w:spacing w:line="446" w:lineRule="auto"/>
        <w:ind w:left="418" w:right="1609" w:firstLine="419"/>
      </w:pPr>
      <w:r>
        <w:rPr/>
        <w:t>当配水支管同时设置保护吊顶下方和上方空间的洒水喷头时，应只将数量较多一侧的洒水喷头计入报警阀组控制的洒水喷头总数。 </w:t>
      </w:r>
    </w:p>
    <w:p>
      <w:pPr>
        <w:pStyle w:val="ListParagraph"/>
        <w:numPr>
          <w:ilvl w:val="2"/>
          <w:numId w:val="911"/>
        </w:numPr>
        <w:tabs>
          <w:tab w:pos="1370" w:val="left" w:leader="none"/>
        </w:tabs>
        <w:spacing w:line="240" w:lineRule="auto" w:before="0" w:after="0"/>
        <w:ind w:left="1369" w:right="0" w:hanging="530"/>
        <w:jc w:val="left"/>
        <w:rPr>
          <w:sz w:val="21"/>
        </w:rPr>
      </w:pPr>
      <w:r>
        <w:rPr>
          <w:spacing w:val="-5"/>
          <w:sz w:val="21"/>
        </w:rPr>
        <w:t>每个报警阀组供水的最高与最低位置洒水喷头，其高程差不宜大于 </w:t>
      </w:r>
      <w:r>
        <w:rPr>
          <w:sz w:val="21"/>
        </w:rPr>
        <w:t>50m</w:t>
      </w:r>
      <w:r>
        <w:rPr>
          <w:spacing w:val="-3"/>
          <w:sz w:val="21"/>
        </w:rPr>
        <w:t>。</w:t>
      </w:r>
      <w:r>
        <w:rPr>
          <w:sz w:val="21"/>
        </w:rPr>
        <w:t> </w:t>
      </w:r>
    </w:p>
    <w:p>
      <w:pPr>
        <w:pStyle w:val="BodyText"/>
        <w:spacing w:before="12"/>
        <w:rPr>
          <w:sz w:val="17"/>
        </w:rPr>
      </w:pPr>
    </w:p>
    <w:p>
      <w:pPr>
        <w:pStyle w:val="ListParagraph"/>
        <w:numPr>
          <w:ilvl w:val="2"/>
          <w:numId w:val="911"/>
        </w:numPr>
        <w:tabs>
          <w:tab w:pos="1370" w:val="left" w:leader="none"/>
        </w:tabs>
        <w:spacing w:line="446" w:lineRule="auto" w:before="0" w:after="0"/>
        <w:ind w:left="418" w:right="1604" w:firstLine="422"/>
        <w:jc w:val="left"/>
        <w:rPr>
          <w:sz w:val="21"/>
        </w:rPr>
      </w:pPr>
      <w:r>
        <w:rPr>
          <w:spacing w:val="-3"/>
          <w:sz w:val="21"/>
        </w:rPr>
        <w:t>雨淋报警阀组的电磁阀，其入口应设过滤器。并联设置雨淋报警阀组的雨淋系统， 其雨淋报警阀控制腔的入口应设止回阀。</w:t>
      </w:r>
      <w:r>
        <w:rPr>
          <w:sz w:val="21"/>
        </w:rPr>
        <w:t> </w:t>
      </w:r>
    </w:p>
    <w:p>
      <w:pPr>
        <w:pStyle w:val="ListParagraph"/>
        <w:numPr>
          <w:ilvl w:val="2"/>
          <w:numId w:val="911"/>
        </w:numPr>
        <w:tabs>
          <w:tab w:pos="1370" w:val="left" w:leader="none"/>
        </w:tabs>
        <w:spacing w:line="446" w:lineRule="auto" w:before="1" w:after="0"/>
        <w:ind w:left="418" w:right="1553" w:firstLine="422"/>
        <w:jc w:val="left"/>
        <w:rPr>
          <w:sz w:val="21"/>
        </w:rPr>
      </w:pPr>
      <w:r>
        <w:rPr>
          <w:spacing w:val="-5"/>
          <w:sz w:val="21"/>
        </w:rPr>
        <w:t>报警阀组宜设在安全及易于操作的地点，报警阀距地面的高度宜为 </w:t>
      </w:r>
      <w:r>
        <w:rPr>
          <w:sz w:val="21"/>
        </w:rPr>
        <w:t>1.2m</w:t>
      </w:r>
      <w:r>
        <w:rPr>
          <w:spacing w:val="-3"/>
          <w:sz w:val="21"/>
        </w:rPr>
        <w:t>。设置报警阀组的部位应设有排水设施。</w:t>
      </w:r>
      <w:r>
        <w:rPr>
          <w:sz w:val="21"/>
        </w:rPr>
        <w:t> </w:t>
      </w:r>
    </w:p>
    <w:p>
      <w:pPr>
        <w:pStyle w:val="ListParagraph"/>
        <w:numPr>
          <w:ilvl w:val="2"/>
          <w:numId w:val="911"/>
        </w:numPr>
        <w:tabs>
          <w:tab w:pos="1371" w:val="left" w:leader="none"/>
        </w:tabs>
        <w:spacing w:line="446" w:lineRule="auto" w:before="0" w:after="0"/>
        <w:ind w:left="418" w:right="1603" w:firstLine="422"/>
        <w:jc w:val="left"/>
        <w:rPr>
          <w:sz w:val="21"/>
        </w:rPr>
      </w:pPr>
      <w:r>
        <w:rPr>
          <w:spacing w:val="-3"/>
          <w:sz w:val="21"/>
        </w:rPr>
        <w:t>连接报警阀进出口的控制阀应采用信号阀。当不采用信号阀时，控制阀应设锁定阀位的锁具。</w:t>
      </w:r>
      <w:r>
        <w:rPr>
          <w:sz w:val="21"/>
        </w:rPr>
        <w:t> </w:t>
      </w:r>
    </w:p>
    <w:p>
      <w:pPr>
        <w:pStyle w:val="ListParagraph"/>
        <w:numPr>
          <w:ilvl w:val="2"/>
          <w:numId w:val="911"/>
        </w:numPr>
        <w:tabs>
          <w:tab w:pos="1370" w:val="left" w:leader="none"/>
        </w:tabs>
        <w:spacing w:line="267" w:lineRule="exact" w:before="0" w:after="0"/>
        <w:ind w:left="1369" w:right="0" w:hanging="530"/>
        <w:jc w:val="left"/>
        <w:rPr>
          <w:sz w:val="21"/>
        </w:rPr>
      </w:pPr>
      <w:r>
        <w:rPr>
          <w:spacing w:val="-7"/>
          <w:sz w:val="21"/>
        </w:rPr>
        <w:t>水力警铃的工作压力不应小于 </w:t>
      </w:r>
      <w:r>
        <w:rPr>
          <w:sz w:val="21"/>
        </w:rPr>
        <w:t>0.05MPa</w:t>
      </w:r>
      <w:r>
        <w:rPr>
          <w:spacing w:val="-3"/>
          <w:sz w:val="21"/>
        </w:rPr>
        <w:t>，并应符合下列规定：</w:t>
      </w:r>
      <w:r>
        <w:rPr>
          <w:sz w:val="21"/>
        </w:rPr>
        <w:t> </w:t>
      </w:r>
    </w:p>
    <w:p>
      <w:pPr>
        <w:pStyle w:val="BodyText"/>
        <w:spacing w:before="1"/>
        <w:rPr>
          <w:sz w:val="18"/>
        </w:rPr>
      </w:pPr>
    </w:p>
    <w:p>
      <w:pPr>
        <w:pStyle w:val="BodyText"/>
        <w:ind w:left="838"/>
      </w:pPr>
      <w:r>
        <w:rPr/>
        <w:t>应设在有人值班的地点附近或公共通道的外墙上； </w:t>
      </w:r>
    </w:p>
    <w:p>
      <w:pPr>
        <w:pStyle w:val="BodyText"/>
        <w:rPr>
          <w:sz w:val="18"/>
        </w:rPr>
      </w:pPr>
    </w:p>
    <w:p>
      <w:pPr>
        <w:pStyle w:val="BodyText"/>
        <w:spacing w:line="446" w:lineRule="auto"/>
        <w:ind w:left="840" w:right="4028" w:hanging="3"/>
        <w:rPr>
          <w:b/>
        </w:rPr>
      </w:pPr>
      <w:r>
        <w:rPr/>
        <w:t>与报警阀连接的管道，其管径应为 20mm，总长不宜大于 20m。</w:t>
      </w:r>
      <w:r>
        <w:rPr>
          <w:b/>
        </w:rPr>
        <w:t>6.3 </w:t>
      </w:r>
      <w:r>
        <w:rPr/>
        <w:t>水流指示器</w:t>
      </w:r>
      <w:r>
        <w:rPr>
          <w:b/>
          <w:w w:val="99"/>
        </w:rPr>
        <w:t> </w:t>
      </w:r>
    </w:p>
    <w:p>
      <w:pPr>
        <w:pStyle w:val="ListParagraph"/>
        <w:numPr>
          <w:ilvl w:val="2"/>
          <w:numId w:val="913"/>
        </w:numPr>
        <w:tabs>
          <w:tab w:pos="1371" w:val="left" w:leader="none"/>
        </w:tabs>
        <w:spacing w:line="240" w:lineRule="auto" w:before="0" w:after="0"/>
        <w:ind w:left="1370" w:right="0" w:hanging="531"/>
        <w:jc w:val="left"/>
        <w:rPr>
          <w:sz w:val="21"/>
        </w:rPr>
      </w:pPr>
      <w:r>
        <w:rPr>
          <w:spacing w:val="-3"/>
          <w:sz w:val="21"/>
        </w:rPr>
        <w:t>除报警阀组控制的洒水喷头只保护不超过防火分区面积的同层场所外，每个防火分</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区、每个楼层均应设水流指示器。 </w:t>
      </w:r>
    </w:p>
    <w:p>
      <w:pPr>
        <w:pStyle w:val="BodyText"/>
        <w:rPr>
          <w:sz w:val="18"/>
        </w:rPr>
      </w:pPr>
    </w:p>
    <w:p>
      <w:pPr>
        <w:pStyle w:val="ListParagraph"/>
        <w:numPr>
          <w:ilvl w:val="2"/>
          <w:numId w:val="913"/>
        </w:numPr>
        <w:tabs>
          <w:tab w:pos="1370" w:val="left" w:leader="none"/>
        </w:tabs>
        <w:spacing w:line="240" w:lineRule="auto" w:before="0" w:after="0"/>
        <w:ind w:left="1369" w:right="0" w:hanging="530"/>
        <w:jc w:val="left"/>
        <w:rPr>
          <w:sz w:val="21"/>
        </w:rPr>
      </w:pPr>
      <w:r>
        <w:rPr>
          <w:spacing w:val="-3"/>
          <w:sz w:val="21"/>
        </w:rPr>
        <w:t>仓库内顶板下洒水喷头与货架内置洒水喷头应分别设置水流指示器。 </w:t>
      </w:r>
    </w:p>
    <w:p>
      <w:pPr>
        <w:pStyle w:val="BodyText"/>
        <w:rPr>
          <w:sz w:val="18"/>
        </w:rPr>
      </w:pPr>
    </w:p>
    <w:p>
      <w:pPr>
        <w:pStyle w:val="ListParagraph"/>
        <w:numPr>
          <w:ilvl w:val="2"/>
          <w:numId w:val="913"/>
        </w:numPr>
        <w:tabs>
          <w:tab w:pos="1370" w:val="left" w:leader="none"/>
        </w:tabs>
        <w:spacing w:line="240" w:lineRule="auto" w:before="0" w:after="0"/>
        <w:ind w:left="1369" w:right="0" w:hanging="530"/>
        <w:jc w:val="left"/>
        <w:rPr>
          <w:sz w:val="21"/>
        </w:rPr>
      </w:pPr>
      <w:r>
        <w:rPr>
          <w:spacing w:val="-3"/>
          <w:sz w:val="21"/>
        </w:rPr>
        <w:t>当水流指示器入口前设置控制阀时，应采用信号阀。</w:t>
      </w:r>
      <w:r>
        <w:rPr>
          <w:sz w:val="21"/>
        </w:rPr>
        <w:t> </w:t>
      </w:r>
    </w:p>
    <w:p>
      <w:pPr>
        <w:pStyle w:val="BodyText"/>
        <w:spacing w:before="1"/>
        <w:rPr>
          <w:sz w:val="18"/>
        </w:rPr>
      </w:pPr>
    </w:p>
    <w:p>
      <w:pPr>
        <w:pStyle w:val="ListParagraph"/>
        <w:numPr>
          <w:ilvl w:val="1"/>
          <w:numId w:val="914"/>
        </w:numPr>
        <w:tabs>
          <w:tab w:pos="1159" w:val="left" w:leader="none"/>
        </w:tabs>
        <w:spacing w:line="240" w:lineRule="auto" w:before="1" w:after="0"/>
        <w:ind w:left="1158" w:right="0" w:hanging="319"/>
        <w:jc w:val="left"/>
        <w:rPr>
          <w:b/>
          <w:sz w:val="21"/>
        </w:rPr>
      </w:pPr>
      <w:r>
        <w:rPr>
          <w:spacing w:val="-3"/>
          <w:sz w:val="21"/>
        </w:rPr>
        <w:t>压力开关</w:t>
      </w:r>
      <w:r>
        <w:rPr>
          <w:b/>
          <w:w w:val="99"/>
          <w:sz w:val="21"/>
        </w:rPr>
        <w:t> </w:t>
      </w:r>
    </w:p>
    <w:p>
      <w:pPr>
        <w:pStyle w:val="BodyText"/>
        <w:spacing w:before="12"/>
        <w:rPr>
          <w:b/>
          <w:sz w:val="17"/>
        </w:rPr>
      </w:pPr>
    </w:p>
    <w:p>
      <w:pPr>
        <w:pStyle w:val="ListParagraph"/>
        <w:numPr>
          <w:ilvl w:val="2"/>
          <w:numId w:val="914"/>
        </w:numPr>
        <w:tabs>
          <w:tab w:pos="1371" w:val="left" w:leader="none"/>
        </w:tabs>
        <w:spacing w:line="240" w:lineRule="auto" w:before="0" w:after="0"/>
        <w:ind w:left="1370" w:right="0" w:hanging="531"/>
        <w:jc w:val="left"/>
        <w:rPr>
          <w:sz w:val="21"/>
        </w:rPr>
      </w:pPr>
      <w:r>
        <w:rPr>
          <w:spacing w:val="-3"/>
          <w:sz w:val="21"/>
        </w:rPr>
        <w:t>雨淋系统和防火分隔水幕，其水流报警装置应采用压力开关。</w:t>
      </w:r>
      <w:r>
        <w:rPr>
          <w:sz w:val="21"/>
        </w:rPr>
        <w:t> </w:t>
      </w:r>
    </w:p>
    <w:p>
      <w:pPr>
        <w:pStyle w:val="BodyText"/>
        <w:spacing w:before="12"/>
        <w:rPr>
          <w:sz w:val="17"/>
        </w:rPr>
      </w:pPr>
    </w:p>
    <w:p>
      <w:pPr>
        <w:pStyle w:val="ListParagraph"/>
        <w:numPr>
          <w:ilvl w:val="2"/>
          <w:numId w:val="914"/>
        </w:numPr>
        <w:tabs>
          <w:tab w:pos="1370" w:val="left" w:leader="none"/>
        </w:tabs>
        <w:spacing w:line="240" w:lineRule="auto" w:before="0" w:after="0"/>
        <w:ind w:left="1369" w:right="0" w:hanging="530"/>
        <w:jc w:val="left"/>
        <w:rPr>
          <w:sz w:val="21"/>
        </w:rPr>
      </w:pPr>
      <w:r>
        <w:rPr>
          <w:spacing w:val="-3"/>
          <w:sz w:val="21"/>
        </w:rPr>
        <w:t>自动喷水灭火系统应采用压力开关控制稳压泵，并应能调节启停压力。 </w:t>
      </w:r>
    </w:p>
    <w:p>
      <w:pPr>
        <w:pStyle w:val="BodyText"/>
        <w:spacing w:before="2"/>
        <w:rPr>
          <w:sz w:val="18"/>
        </w:rPr>
      </w:pPr>
    </w:p>
    <w:p>
      <w:pPr>
        <w:pStyle w:val="ListParagraph"/>
        <w:numPr>
          <w:ilvl w:val="1"/>
          <w:numId w:val="914"/>
        </w:numPr>
        <w:tabs>
          <w:tab w:pos="1159" w:val="left" w:leader="none"/>
        </w:tabs>
        <w:spacing w:line="240" w:lineRule="auto" w:before="0" w:after="0"/>
        <w:ind w:left="1158" w:right="0" w:hanging="319"/>
        <w:jc w:val="left"/>
        <w:rPr>
          <w:b/>
          <w:sz w:val="21"/>
        </w:rPr>
      </w:pPr>
      <w:r>
        <w:rPr>
          <w:spacing w:val="-3"/>
          <w:sz w:val="21"/>
        </w:rPr>
        <w:t>末端试水装置</w:t>
      </w:r>
      <w:r>
        <w:rPr>
          <w:b/>
          <w:w w:val="99"/>
          <w:sz w:val="21"/>
        </w:rPr>
        <w:t> </w:t>
      </w:r>
    </w:p>
    <w:p>
      <w:pPr>
        <w:pStyle w:val="BodyText"/>
        <w:rPr>
          <w:b/>
          <w:sz w:val="18"/>
        </w:rPr>
      </w:pPr>
    </w:p>
    <w:p>
      <w:pPr>
        <w:pStyle w:val="ListParagraph"/>
        <w:numPr>
          <w:ilvl w:val="2"/>
          <w:numId w:val="914"/>
        </w:numPr>
        <w:tabs>
          <w:tab w:pos="1424" w:val="left" w:leader="none"/>
        </w:tabs>
        <w:spacing w:line="446" w:lineRule="auto" w:before="0" w:after="0"/>
        <w:ind w:left="418" w:right="1445" w:firstLine="422"/>
        <w:jc w:val="left"/>
        <w:rPr>
          <w:sz w:val="21"/>
        </w:rPr>
      </w:pPr>
      <w:r>
        <w:rPr>
          <w:spacing w:val="-3"/>
          <w:sz w:val="21"/>
        </w:rPr>
        <w:t>每个报警阀组控制的最不利点洒水喷头处应设末端试水装置，其他防火分区、楼层均</w:t>
      </w:r>
      <w:r>
        <w:rPr>
          <w:spacing w:val="-12"/>
          <w:sz w:val="21"/>
        </w:rPr>
        <w:t>应设直径为 </w:t>
      </w:r>
      <w:r>
        <w:rPr>
          <w:sz w:val="21"/>
        </w:rPr>
        <w:t>25mm</w:t>
      </w:r>
      <w:r>
        <w:rPr>
          <w:spacing w:val="-11"/>
          <w:sz w:val="21"/>
        </w:rPr>
        <w:t> 的试水阀。 </w:t>
      </w:r>
    </w:p>
    <w:p>
      <w:pPr>
        <w:pStyle w:val="ListParagraph"/>
        <w:numPr>
          <w:ilvl w:val="2"/>
          <w:numId w:val="914"/>
        </w:numPr>
        <w:tabs>
          <w:tab w:pos="1370" w:val="left" w:leader="none"/>
        </w:tabs>
        <w:spacing w:line="446" w:lineRule="auto" w:before="0" w:after="0"/>
        <w:ind w:left="418" w:right="1505" w:firstLine="422"/>
        <w:jc w:val="left"/>
        <w:rPr>
          <w:sz w:val="21"/>
        </w:rPr>
      </w:pPr>
      <w:r>
        <w:rPr>
          <w:spacing w:val="-2"/>
          <w:sz w:val="21"/>
        </w:rPr>
        <w:t>末端试水装置应由试水阀、压力表以及试水接头组成。试水接头出水口的流量系 数</w:t>
      </w:r>
      <w:r>
        <w:rPr>
          <w:spacing w:val="-3"/>
          <w:sz w:val="21"/>
        </w:rPr>
        <w:t>，应等同于同楼层或防火分区内的最小流量系数洒水喷头。末端试水装置的出水，应采取孔口</w:t>
      </w:r>
      <w:r>
        <w:rPr>
          <w:spacing w:val="-5"/>
          <w:sz w:val="21"/>
        </w:rPr>
        <w:t>出流的方式排入排水管道 ，排水立管宜设伸顶通气管，且管径不应小于 </w:t>
      </w:r>
      <w:r>
        <w:rPr>
          <w:sz w:val="21"/>
        </w:rPr>
        <w:t>75mm</w:t>
      </w:r>
      <w:r>
        <w:rPr>
          <w:spacing w:val="-3"/>
          <w:sz w:val="21"/>
        </w:rPr>
        <w:t>。</w:t>
      </w:r>
      <w:r>
        <w:rPr>
          <w:sz w:val="21"/>
        </w:rPr>
        <w:t> </w:t>
      </w:r>
    </w:p>
    <w:p>
      <w:pPr>
        <w:pStyle w:val="ListParagraph"/>
        <w:numPr>
          <w:ilvl w:val="2"/>
          <w:numId w:val="914"/>
        </w:numPr>
        <w:tabs>
          <w:tab w:pos="1371" w:val="left" w:leader="none"/>
        </w:tabs>
        <w:spacing w:line="446" w:lineRule="auto" w:before="0" w:after="0"/>
        <w:ind w:left="418" w:right="1553" w:firstLine="422"/>
        <w:jc w:val="left"/>
        <w:rPr>
          <w:sz w:val="21"/>
        </w:rPr>
      </w:pPr>
      <w:r>
        <w:rPr>
          <w:spacing w:val="-5"/>
          <w:sz w:val="21"/>
        </w:rPr>
        <w:t>末端试水装置和试水阀应有标识，距地面的高度宜为 </w:t>
      </w:r>
      <w:r>
        <w:rPr>
          <w:sz w:val="21"/>
        </w:rPr>
        <w:t>1.5m</w:t>
      </w:r>
      <w:r>
        <w:rPr>
          <w:spacing w:val="-3"/>
          <w:sz w:val="21"/>
        </w:rPr>
        <w:t>，并应采取不被他用的措施。</w:t>
      </w:r>
      <w:r>
        <w:rPr>
          <w:sz w:val="21"/>
        </w:rPr>
        <w:t> </w:t>
      </w:r>
    </w:p>
    <w:p>
      <w:pPr>
        <w:pStyle w:val="Heading4"/>
        <w:spacing w:line="275" w:lineRule="exact"/>
      </w:pPr>
      <w:r>
        <w:rPr/>
        <w:t>7 喷头布置</w:t>
      </w:r>
      <w:r>
        <w:rPr>
          <w:w w:val="99"/>
        </w:rPr>
        <w:t> </w:t>
      </w:r>
    </w:p>
    <w:p>
      <w:pPr>
        <w:pStyle w:val="BodyText"/>
        <w:spacing w:before="5"/>
        <w:rPr>
          <w:b/>
          <w:sz w:val="17"/>
        </w:rPr>
      </w:pPr>
    </w:p>
    <w:p>
      <w:pPr>
        <w:pStyle w:val="ListParagraph"/>
        <w:numPr>
          <w:ilvl w:val="1"/>
          <w:numId w:val="915"/>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12"/>
        <w:rPr>
          <w:b/>
          <w:sz w:val="17"/>
        </w:rPr>
      </w:pPr>
    </w:p>
    <w:p>
      <w:pPr>
        <w:pStyle w:val="ListParagraph"/>
        <w:numPr>
          <w:ilvl w:val="2"/>
          <w:numId w:val="915"/>
        </w:numPr>
        <w:tabs>
          <w:tab w:pos="1424" w:val="left" w:leader="none"/>
        </w:tabs>
        <w:spacing w:line="446" w:lineRule="auto" w:before="0" w:after="0"/>
        <w:ind w:left="418" w:right="1445" w:firstLine="422"/>
        <w:jc w:val="left"/>
        <w:rPr>
          <w:sz w:val="21"/>
        </w:rPr>
      </w:pPr>
      <w:r>
        <w:rPr>
          <w:spacing w:val="-3"/>
          <w:sz w:val="21"/>
        </w:rPr>
        <w:t>喷头应布置在顶板或吊顶下易于接触到火灾热气流并有利于均匀布水的位置。当喷头</w:t>
      </w:r>
      <w:r>
        <w:rPr>
          <w:spacing w:val="-7"/>
          <w:sz w:val="21"/>
        </w:rPr>
        <w:t>附近有障碍物时，应符合本规范第 </w:t>
      </w:r>
      <w:r>
        <w:rPr>
          <w:sz w:val="21"/>
        </w:rPr>
        <w:t>7.2</w:t>
      </w:r>
      <w:r>
        <w:rPr>
          <w:spacing w:val="-9"/>
          <w:sz w:val="21"/>
        </w:rPr>
        <w:t> 节的规定或增设补偿喷水强度的喷头。 </w:t>
      </w:r>
    </w:p>
    <w:p>
      <w:pPr>
        <w:pStyle w:val="ListParagraph"/>
        <w:numPr>
          <w:ilvl w:val="2"/>
          <w:numId w:val="915"/>
        </w:numPr>
        <w:tabs>
          <w:tab w:pos="1424" w:val="left" w:leader="none"/>
        </w:tabs>
        <w:spacing w:line="446" w:lineRule="auto" w:before="0" w:after="0"/>
        <w:ind w:left="418" w:right="1445" w:firstLine="422"/>
        <w:jc w:val="left"/>
        <w:rPr>
          <w:sz w:val="21"/>
        </w:rPr>
      </w:pPr>
      <w:r>
        <w:rPr>
          <w:spacing w:val="-3"/>
          <w:sz w:val="21"/>
        </w:rPr>
        <w:t>直立型、下垂型标准覆盖面积洒水喷头的布置，包括同一根配水支管上喷头的间距及相邻配水支管的间距，应根据设置场所的火灾危险等级、洒水喷头类型和工作压力确定，并不 </w:t>
      </w:r>
      <w:r>
        <w:rPr>
          <w:spacing w:val="-13"/>
          <w:sz w:val="21"/>
        </w:rPr>
        <w:t>应大于表 </w:t>
      </w:r>
      <w:r>
        <w:rPr>
          <w:sz w:val="21"/>
        </w:rPr>
        <w:t>7.1.2</w:t>
      </w:r>
      <w:r>
        <w:rPr>
          <w:spacing w:val="-13"/>
          <w:sz w:val="21"/>
        </w:rPr>
        <w:t> 的规定，且不应小于 </w:t>
      </w:r>
      <w:r>
        <w:rPr>
          <w:sz w:val="21"/>
        </w:rPr>
        <w:t>1.8m</w:t>
      </w:r>
      <w:r>
        <w:rPr>
          <w:spacing w:val="-3"/>
          <w:sz w:val="21"/>
        </w:rPr>
        <w:t>。</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spacing w:before="6"/>
        <w:rPr>
          <w:sz w:val="27"/>
        </w:rPr>
      </w:pPr>
    </w:p>
    <w:p>
      <w:pPr>
        <w:pStyle w:val="BodyText"/>
        <w:ind w:left="992"/>
        <w:rPr>
          <w:sz w:val="20"/>
        </w:rPr>
      </w:pPr>
      <w:r>
        <w:rPr>
          <w:sz w:val="20"/>
        </w:rPr>
        <w:drawing>
          <wp:inline distT="0" distB="0" distL="0" distR="0">
            <wp:extent cx="5081803" cy="2971800"/>
            <wp:effectExtent l="0" t="0" r="0" b="0"/>
            <wp:docPr id="737" name="image433.jpeg"/>
            <wp:cNvGraphicFramePr>
              <a:graphicFrameLocks noChangeAspect="1"/>
            </wp:cNvGraphicFramePr>
            <a:graphic>
              <a:graphicData uri="http://schemas.openxmlformats.org/drawingml/2006/picture">
                <pic:pic>
                  <pic:nvPicPr>
                    <pic:cNvPr id="738" name="image433.jpeg"/>
                    <pic:cNvPicPr/>
                  </pic:nvPicPr>
                  <pic:blipFill>
                    <a:blip r:embed="rId552" cstate="print"/>
                    <a:stretch>
                      <a:fillRect/>
                    </a:stretch>
                  </pic:blipFill>
                  <pic:spPr>
                    <a:xfrm>
                      <a:off x="0" y="0"/>
                      <a:ext cx="5081803" cy="2971800"/>
                    </a:xfrm>
                    <a:prstGeom prst="rect">
                      <a:avLst/>
                    </a:prstGeom>
                  </pic:spPr>
                </pic:pic>
              </a:graphicData>
            </a:graphic>
          </wp:inline>
        </w:drawing>
      </w:r>
      <w:r>
        <w:rPr>
          <w:sz w:val="20"/>
        </w:rPr>
      </w:r>
    </w:p>
    <w:p>
      <w:pPr>
        <w:pStyle w:val="BodyText"/>
        <w:spacing w:before="2"/>
        <w:rPr>
          <w:sz w:val="9"/>
        </w:rPr>
      </w:pPr>
    </w:p>
    <w:p>
      <w:pPr>
        <w:pStyle w:val="ListParagraph"/>
        <w:numPr>
          <w:ilvl w:val="2"/>
          <w:numId w:val="915"/>
        </w:numPr>
        <w:tabs>
          <w:tab w:pos="1424" w:val="left" w:leader="none"/>
        </w:tabs>
        <w:spacing w:line="240" w:lineRule="auto" w:before="72" w:after="0"/>
        <w:ind w:left="1423" w:right="0" w:hanging="584"/>
        <w:jc w:val="left"/>
        <w:rPr>
          <w:sz w:val="21"/>
        </w:rPr>
      </w:pPr>
      <w:r>
        <w:rPr/>
        <w:drawing>
          <wp:anchor distT="0" distB="0" distL="0" distR="0" allowOverlap="1" layoutInCell="1" locked="0" behindDoc="0" simplePos="0" relativeHeight="337">
            <wp:simplePos x="0" y="0"/>
            <wp:positionH relativeFrom="page">
              <wp:posOffset>1484630</wp:posOffset>
            </wp:positionH>
            <wp:positionV relativeFrom="paragraph">
              <wp:posOffset>259461</wp:posOffset>
            </wp:positionV>
            <wp:extent cx="4514850" cy="1314450"/>
            <wp:effectExtent l="0" t="0" r="0" b="0"/>
            <wp:wrapTopAndBottom/>
            <wp:docPr id="739" name="image434.jpeg"/>
            <wp:cNvGraphicFramePr>
              <a:graphicFrameLocks noChangeAspect="1"/>
            </wp:cNvGraphicFramePr>
            <a:graphic>
              <a:graphicData uri="http://schemas.openxmlformats.org/drawingml/2006/picture">
                <pic:pic>
                  <pic:nvPicPr>
                    <pic:cNvPr id="740" name="image434.jpeg"/>
                    <pic:cNvPicPr/>
                  </pic:nvPicPr>
                  <pic:blipFill>
                    <a:blip r:embed="rId553" cstate="print"/>
                    <a:stretch>
                      <a:fillRect/>
                    </a:stretch>
                  </pic:blipFill>
                  <pic:spPr>
                    <a:xfrm>
                      <a:off x="0" y="0"/>
                      <a:ext cx="4514850" cy="1314450"/>
                    </a:xfrm>
                    <a:prstGeom prst="rect">
                      <a:avLst/>
                    </a:prstGeom>
                  </pic:spPr>
                </pic:pic>
              </a:graphicData>
            </a:graphic>
          </wp:anchor>
        </w:drawing>
      </w:r>
      <w:r>
        <w:rPr>
          <w:spacing w:val="-5"/>
          <w:sz w:val="21"/>
        </w:rPr>
        <w:t>边墙型标准覆盖面积洒水喷头的最大保护跨度与间距，应符合表 </w:t>
      </w:r>
      <w:r>
        <w:rPr>
          <w:sz w:val="21"/>
        </w:rPr>
        <w:t>7.1.3</w:t>
      </w:r>
      <w:r>
        <w:rPr>
          <w:spacing w:val="-13"/>
          <w:sz w:val="21"/>
        </w:rPr>
        <w:t> 的规定：</w:t>
      </w:r>
      <w:r>
        <w:rPr>
          <w:sz w:val="21"/>
        </w:rPr>
        <w:t> </w:t>
      </w:r>
    </w:p>
    <w:p>
      <w:pPr>
        <w:pStyle w:val="ListParagraph"/>
        <w:numPr>
          <w:ilvl w:val="2"/>
          <w:numId w:val="915"/>
        </w:numPr>
        <w:tabs>
          <w:tab w:pos="1422" w:val="left" w:leader="none"/>
        </w:tabs>
        <w:spacing w:line="240" w:lineRule="auto" w:before="163" w:after="0"/>
        <w:ind w:left="1421" w:right="0" w:hanging="584"/>
        <w:jc w:val="left"/>
        <w:rPr>
          <w:sz w:val="21"/>
        </w:rPr>
      </w:pPr>
      <w:r>
        <w:rPr>
          <w:spacing w:val="-3"/>
          <w:sz w:val="21"/>
        </w:rPr>
        <w:t>直立型、下垂型扩大覆盖面积洒水喷头应采用正方形布置，其布置间距不应大于表</w:t>
      </w:r>
    </w:p>
    <w:p>
      <w:pPr>
        <w:pStyle w:val="BodyText"/>
        <w:rPr>
          <w:sz w:val="18"/>
        </w:rPr>
      </w:pPr>
    </w:p>
    <w:p>
      <w:pPr>
        <w:pStyle w:val="ListParagraph"/>
        <w:numPr>
          <w:ilvl w:val="2"/>
          <w:numId w:val="916"/>
        </w:numPr>
        <w:tabs>
          <w:tab w:pos="997" w:val="left" w:leader="none"/>
        </w:tabs>
        <w:spacing w:line="240" w:lineRule="auto" w:before="0" w:after="0"/>
        <w:ind w:left="996" w:right="0" w:hanging="579"/>
        <w:jc w:val="left"/>
        <w:rPr>
          <w:sz w:val="21"/>
        </w:rPr>
      </w:pPr>
      <w:r>
        <w:rPr>
          <w:spacing w:val="-8"/>
          <w:sz w:val="21"/>
        </w:rPr>
        <w:t>的规定，且不应小于 </w:t>
      </w:r>
      <w:r>
        <w:rPr>
          <w:sz w:val="21"/>
        </w:rPr>
        <w:t>2.4m</w:t>
      </w:r>
      <w:r>
        <w:rPr>
          <w:spacing w:val="-3"/>
          <w:sz w:val="21"/>
        </w:rPr>
        <w:t>。</w:t>
      </w:r>
      <w:r>
        <w:rPr>
          <w:sz w:val="21"/>
        </w:rPr>
        <w:t> </w:t>
      </w:r>
    </w:p>
    <w:p>
      <w:pPr>
        <w:pStyle w:val="BodyText"/>
        <w:spacing w:before="8"/>
        <w:rPr>
          <w:sz w:val="29"/>
        </w:rPr>
      </w:pPr>
      <w:r>
        <w:rPr/>
        <w:drawing>
          <wp:anchor distT="0" distB="0" distL="0" distR="0" allowOverlap="1" layoutInCell="1" locked="0" behindDoc="0" simplePos="0" relativeHeight="338">
            <wp:simplePos x="0" y="0"/>
            <wp:positionH relativeFrom="page">
              <wp:posOffset>1598930</wp:posOffset>
            </wp:positionH>
            <wp:positionV relativeFrom="paragraph">
              <wp:posOffset>266223</wp:posOffset>
            </wp:positionV>
            <wp:extent cx="4800600" cy="1152525"/>
            <wp:effectExtent l="0" t="0" r="0" b="0"/>
            <wp:wrapTopAndBottom/>
            <wp:docPr id="741" name="image435.jpeg"/>
            <wp:cNvGraphicFramePr>
              <a:graphicFrameLocks noChangeAspect="1"/>
            </wp:cNvGraphicFramePr>
            <a:graphic>
              <a:graphicData uri="http://schemas.openxmlformats.org/drawingml/2006/picture">
                <pic:pic>
                  <pic:nvPicPr>
                    <pic:cNvPr id="742" name="image435.jpeg"/>
                    <pic:cNvPicPr/>
                  </pic:nvPicPr>
                  <pic:blipFill>
                    <a:blip r:embed="rId554" cstate="print"/>
                    <a:stretch>
                      <a:fillRect/>
                    </a:stretch>
                  </pic:blipFill>
                  <pic:spPr>
                    <a:xfrm>
                      <a:off x="0" y="0"/>
                      <a:ext cx="4800600" cy="1152525"/>
                    </a:xfrm>
                    <a:prstGeom prst="rect">
                      <a:avLst/>
                    </a:prstGeom>
                  </pic:spPr>
                </pic:pic>
              </a:graphicData>
            </a:graphic>
          </wp:anchor>
        </w:drawing>
      </w:r>
    </w:p>
    <w:p>
      <w:pPr>
        <w:pStyle w:val="ListParagraph"/>
        <w:numPr>
          <w:ilvl w:val="2"/>
          <w:numId w:val="916"/>
        </w:numPr>
        <w:tabs>
          <w:tab w:pos="1424" w:val="left" w:leader="none"/>
        </w:tabs>
        <w:spacing w:line="446" w:lineRule="auto" w:before="178" w:after="0"/>
        <w:ind w:left="418" w:right="1445" w:firstLine="422"/>
        <w:jc w:val="both"/>
        <w:rPr>
          <w:sz w:val="21"/>
        </w:rPr>
      </w:pPr>
      <w:r>
        <w:rPr>
          <w:spacing w:val="-3"/>
          <w:sz w:val="21"/>
        </w:rPr>
        <w:t>边墙型扩大覆盖面积洒水喷头的最大保护跨度和配水支管上的洒水喷头间距，应按洒</w:t>
      </w:r>
      <w:r>
        <w:rPr>
          <w:spacing w:val="-5"/>
          <w:sz w:val="21"/>
        </w:rPr>
        <w:t>水喷头工作压力下能够喷湿对面墙和邻近端墙距溅水盘 </w:t>
      </w:r>
      <w:r>
        <w:rPr>
          <w:sz w:val="21"/>
        </w:rPr>
        <w:t>1.2m</w:t>
      </w:r>
      <w:r>
        <w:rPr>
          <w:spacing w:val="-8"/>
          <w:sz w:val="21"/>
        </w:rPr>
        <w:t> 高度以下的墙面确定，且保护面积</w:t>
      </w:r>
      <w:r>
        <w:rPr>
          <w:spacing w:val="-9"/>
          <w:sz w:val="21"/>
        </w:rPr>
        <w:t>内的喷水强度应符合本规范表 </w:t>
      </w:r>
      <w:r>
        <w:rPr>
          <w:sz w:val="21"/>
        </w:rPr>
        <w:t>5.0.1</w:t>
      </w:r>
      <w:r>
        <w:rPr>
          <w:spacing w:val="-13"/>
          <w:sz w:val="21"/>
        </w:rPr>
        <w:t> 的规定。</w:t>
      </w:r>
      <w:r>
        <w:rPr>
          <w:sz w:val="21"/>
        </w:rPr>
        <w:t> </w:t>
      </w:r>
    </w:p>
    <w:p>
      <w:pPr>
        <w:pStyle w:val="ListParagraph"/>
        <w:numPr>
          <w:ilvl w:val="2"/>
          <w:numId w:val="916"/>
        </w:numPr>
        <w:tabs>
          <w:tab w:pos="1371" w:val="left" w:leader="none"/>
        </w:tabs>
        <w:spacing w:line="268" w:lineRule="exact" w:before="0" w:after="0"/>
        <w:ind w:left="1370" w:right="0" w:hanging="531"/>
        <w:jc w:val="left"/>
        <w:rPr>
          <w:sz w:val="19"/>
        </w:rPr>
      </w:pPr>
      <w:r>
        <w:rPr>
          <w:spacing w:val="-3"/>
          <w:sz w:val="21"/>
        </w:rPr>
        <w:t>除吊顶型洒水喷头及吊顶下设置的洒水喷头外，直立型、下垂型标准覆盖面积洒水</w:t>
      </w:r>
    </w:p>
    <w:p>
      <w:pPr>
        <w:spacing w:after="0" w:line="268" w:lineRule="exact"/>
        <w:jc w:val="left"/>
        <w:rPr>
          <w:sz w:val="19"/>
        </w:rPr>
        <w:sectPr>
          <w:footerReference w:type="default" r:id="rId551"/>
          <w:pgSz w:w="11910" w:h="16850"/>
          <w:pgMar w:footer="1239" w:header="0" w:top="1600" w:bottom="1420" w:left="1260" w:right="0"/>
          <w:pgNumType w:start="1590"/>
        </w:sectPr>
      </w:pPr>
    </w:p>
    <w:p>
      <w:pPr>
        <w:pStyle w:val="BodyText"/>
        <w:spacing w:before="47"/>
        <w:ind w:left="418"/>
      </w:pPr>
      <w:r>
        <w:rPr/>
        <w:t>喷头和扩大覆盖面积洒水喷头溅水盘与顶板的距离应为 75～150mm，并应符合下列规定： </w:t>
      </w:r>
    </w:p>
    <w:p>
      <w:pPr>
        <w:pStyle w:val="BodyText"/>
        <w:rPr>
          <w:sz w:val="18"/>
        </w:rPr>
      </w:pPr>
    </w:p>
    <w:p>
      <w:pPr>
        <w:pStyle w:val="BodyText"/>
        <w:ind w:left="838"/>
      </w:pPr>
      <w:r>
        <w:rPr/>
        <w:t>当在梁或其他障碍物底面下方的平面上布置洒水喷头时，溅水盘与顶板的距离不应大于</w:t>
      </w:r>
    </w:p>
    <w:p>
      <w:pPr>
        <w:pStyle w:val="BodyText"/>
        <w:rPr>
          <w:sz w:val="18"/>
        </w:rPr>
      </w:pPr>
    </w:p>
    <w:p>
      <w:pPr>
        <w:pStyle w:val="BodyText"/>
        <w:ind w:left="418"/>
      </w:pPr>
      <w:r>
        <w:rPr/>
        <w:t>300mm，同时溅水盘与梁等障碍物底面的垂直距离应为 25～100mm。 </w:t>
      </w:r>
    </w:p>
    <w:p>
      <w:pPr>
        <w:pStyle w:val="BodyText"/>
        <w:spacing w:before="1"/>
        <w:rPr>
          <w:sz w:val="18"/>
        </w:rPr>
      </w:pPr>
    </w:p>
    <w:p>
      <w:pPr>
        <w:pStyle w:val="BodyText"/>
        <w:spacing w:line="446" w:lineRule="auto" w:before="1"/>
        <w:ind w:left="418" w:right="1609" w:firstLine="419"/>
      </w:pPr>
      <w:r>
        <w:rPr>
          <w:spacing w:val="-5"/>
        </w:rPr>
        <w:t>当在梁间布置洒水喷头时，洒水喷头与梁的距离应符合本规范第 </w:t>
      </w:r>
      <w:r>
        <w:rPr/>
        <w:t>7.2.1</w:t>
      </w:r>
      <w:r>
        <w:rPr>
          <w:spacing w:val="-7"/>
        </w:rPr>
        <w:t> 条的规定。确有困</w:t>
      </w:r>
      <w:r>
        <w:rPr>
          <w:spacing w:val="-8"/>
        </w:rPr>
        <w:t>难时，溅水盘与顶板的距离不应大于 </w:t>
      </w:r>
      <w:r>
        <w:rPr/>
        <w:t>550mm</w:t>
      </w:r>
      <w:r>
        <w:rPr>
          <w:spacing w:val="-3"/>
        </w:rPr>
        <w:t>。梁间布置的洒水喷头，溅水盘与顶板距离达到550mm</w:t>
      </w:r>
      <w:r>
        <w:rPr>
          <w:spacing w:val="-13"/>
        </w:rPr>
        <w:t> 仍不能符合本规范第 </w:t>
      </w:r>
      <w:r>
        <w:rPr/>
        <w:t>7.2.1</w:t>
      </w:r>
      <w:r>
        <w:rPr>
          <w:spacing w:val="-9"/>
        </w:rPr>
        <w:t> 条的规定时，应在梁底面的下方增设洒水喷头。</w:t>
      </w:r>
      <w:r>
        <w:rPr/>
        <w:t> </w:t>
      </w:r>
    </w:p>
    <w:p>
      <w:pPr>
        <w:pStyle w:val="BodyText"/>
        <w:spacing w:line="268" w:lineRule="exact"/>
        <w:ind w:left="838"/>
      </w:pPr>
      <w:r>
        <w:rPr/>
        <w:t>密肋梁板下方的洒水喷头，溅水盘与密肋梁板底面的垂直距离应为 25～100mm。 </w:t>
      </w:r>
    </w:p>
    <w:p>
      <w:pPr>
        <w:pStyle w:val="BodyText"/>
        <w:rPr>
          <w:sz w:val="18"/>
        </w:rPr>
      </w:pPr>
    </w:p>
    <w:p>
      <w:pPr>
        <w:pStyle w:val="BodyText"/>
        <w:spacing w:line="446" w:lineRule="auto"/>
        <w:ind w:left="418" w:right="1603" w:firstLine="419"/>
      </w:pPr>
      <w:r>
        <w:rPr/>
        <w:t>无吊顶的梁间洒水喷头布置可采用不等距方式，但喷水强度仍应符合本规范表 5.0.1、表5.0.2 和表 5.0.4-1～表 5.0.4-5 的要求。 </w:t>
      </w:r>
    </w:p>
    <w:p>
      <w:pPr>
        <w:pStyle w:val="ListParagraph"/>
        <w:numPr>
          <w:ilvl w:val="2"/>
          <w:numId w:val="916"/>
        </w:numPr>
        <w:tabs>
          <w:tab w:pos="1369" w:val="left" w:leader="none"/>
        </w:tabs>
        <w:spacing w:line="446" w:lineRule="auto" w:before="0" w:after="0"/>
        <w:ind w:left="418" w:right="1606" w:firstLine="419"/>
        <w:jc w:val="left"/>
        <w:rPr>
          <w:sz w:val="19"/>
        </w:rPr>
      </w:pPr>
      <w:r>
        <w:rPr/>
        <w:drawing>
          <wp:anchor distT="0" distB="0" distL="0" distR="0" allowOverlap="1" layoutInCell="1" locked="0" behindDoc="1" simplePos="0" relativeHeight="215981056">
            <wp:simplePos x="0" y="0"/>
            <wp:positionH relativeFrom="page">
              <wp:posOffset>1598930</wp:posOffset>
            </wp:positionH>
            <wp:positionV relativeFrom="paragraph">
              <wp:posOffset>522351</wp:posOffset>
            </wp:positionV>
            <wp:extent cx="4857750" cy="1000125"/>
            <wp:effectExtent l="0" t="0" r="0" b="0"/>
            <wp:wrapNone/>
            <wp:docPr id="743" name="image436.jpeg"/>
            <wp:cNvGraphicFramePr>
              <a:graphicFrameLocks noChangeAspect="1"/>
            </wp:cNvGraphicFramePr>
            <a:graphic>
              <a:graphicData uri="http://schemas.openxmlformats.org/drawingml/2006/picture">
                <pic:pic>
                  <pic:nvPicPr>
                    <pic:cNvPr id="744" name="image436.jpeg"/>
                    <pic:cNvPicPr/>
                  </pic:nvPicPr>
                  <pic:blipFill>
                    <a:blip r:embed="rId555" cstate="print"/>
                    <a:stretch>
                      <a:fillRect/>
                    </a:stretch>
                  </pic:blipFill>
                  <pic:spPr>
                    <a:xfrm>
                      <a:off x="0" y="0"/>
                      <a:ext cx="4857750" cy="1000125"/>
                    </a:xfrm>
                    <a:prstGeom prst="rect">
                      <a:avLst/>
                    </a:prstGeom>
                  </pic:spPr>
                </pic:pic>
              </a:graphicData>
            </a:graphic>
          </wp:anchor>
        </w:drawing>
      </w:r>
      <w:r>
        <w:rPr>
          <w:spacing w:val="-3"/>
          <w:sz w:val="21"/>
        </w:rPr>
        <w:t>除吊顶型洒水喷头及吊顶下设置的洒水喷头外，直立型、下垂型早期抑制快速响应</w:t>
      </w:r>
      <w:r>
        <w:rPr>
          <w:spacing w:val="-5"/>
          <w:sz w:val="21"/>
        </w:rPr>
        <w:t>喷头、特殊应用喷头和家用喷头溅水盘与顶板的距离应符合表 </w:t>
      </w:r>
      <w:r>
        <w:rPr>
          <w:sz w:val="21"/>
        </w:rPr>
        <w:t>7.1.7</w:t>
      </w:r>
      <w:r>
        <w:rPr>
          <w:spacing w:val="-12"/>
          <w:sz w:val="21"/>
        </w:rPr>
        <w:t>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5"/>
        </w:rPr>
      </w:pPr>
    </w:p>
    <w:p>
      <w:pPr>
        <w:pStyle w:val="ListParagraph"/>
        <w:numPr>
          <w:ilvl w:val="2"/>
          <w:numId w:val="916"/>
        </w:numPr>
        <w:tabs>
          <w:tab w:pos="1370" w:val="left" w:leader="none"/>
        </w:tabs>
        <w:spacing w:line="446" w:lineRule="auto" w:before="1" w:after="0"/>
        <w:ind w:left="418" w:right="1431" w:firstLine="422"/>
        <w:jc w:val="left"/>
        <w:rPr>
          <w:sz w:val="19"/>
        </w:rPr>
      </w:pPr>
      <w:r>
        <w:rPr>
          <w:spacing w:val="-8"/>
          <w:sz w:val="21"/>
        </w:rPr>
        <w:t>图书馆、档案馆、商场、仓库中的通道上方宜设有喷头。喷头与被保护对象的水平距</w:t>
      </w:r>
      <w:r>
        <w:rPr>
          <w:spacing w:val="-13"/>
          <w:sz w:val="21"/>
        </w:rPr>
        <w:t>离不应小于 </w:t>
      </w:r>
      <w:r>
        <w:rPr>
          <w:sz w:val="21"/>
        </w:rPr>
        <w:t>0.30m</w:t>
      </w:r>
      <w:r>
        <w:rPr>
          <w:spacing w:val="-6"/>
          <w:sz w:val="21"/>
        </w:rPr>
        <w:t>，喷头溅水盘与保护对象的最小垂直距离不应小于表 </w:t>
      </w:r>
      <w:r>
        <w:rPr>
          <w:sz w:val="21"/>
        </w:rPr>
        <w:t>7.1</w:t>
      </w:r>
      <w:r>
        <w:rPr>
          <w:spacing w:val="2"/>
          <w:sz w:val="21"/>
        </w:rPr>
        <w:t>. </w:t>
      </w:r>
      <w:r>
        <w:rPr>
          <w:sz w:val="21"/>
        </w:rPr>
        <w:t>8</w:t>
      </w:r>
      <w:r>
        <w:rPr>
          <w:spacing w:val="-12"/>
          <w:sz w:val="21"/>
        </w:rPr>
        <w:t> 的规定。 </w:t>
      </w:r>
    </w:p>
    <w:p>
      <w:pPr>
        <w:pStyle w:val="ListParagraph"/>
        <w:numPr>
          <w:ilvl w:val="2"/>
          <w:numId w:val="916"/>
        </w:numPr>
        <w:tabs>
          <w:tab w:pos="1370" w:val="left" w:leader="none"/>
        </w:tabs>
        <w:spacing w:line="446" w:lineRule="auto" w:before="0" w:after="0"/>
        <w:ind w:left="418" w:right="1604" w:firstLine="422"/>
        <w:jc w:val="left"/>
        <w:rPr>
          <w:sz w:val="19"/>
        </w:rPr>
      </w:pPr>
      <w:r>
        <w:rPr>
          <w:spacing w:val="-3"/>
          <w:sz w:val="21"/>
        </w:rPr>
        <w:t>货架内置洒水喷头宜与顶板下洒水喷头交错布置，其溅水盘与上方层板的距离应符</w:t>
      </w:r>
      <w:r>
        <w:rPr>
          <w:spacing w:val="-12"/>
          <w:sz w:val="21"/>
        </w:rPr>
        <w:t>合本规范第 </w:t>
      </w:r>
      <w:r>
        <w:rPr>
          <w:sz w:val="21"/>
        </w:rPr>
        <w:t>7.1.6</w:t>
      </w:r>
      <w:r>
        <w:rPr>
          <w:spacing w:val="-10"/>
          <w:sz w:val="21"/>
        </w:rPr>
        <w:t> 条的规定，与其下部储物顶面的垂直距离不应小于 </w:t>
      </w:r>
      <w:r>
        <w:rPr>
          <w:sz w:val="21"/>
        </w:rPr>
        <w:t>150mm。 </w:t>
      </w:r>
    </w:p>
    <w:p>
      <w:pPr>
        <w:pStyle w:val="ListParagraph"/>
        <w:numPr>
          <w:ilvl w:val="2"/>
          <w:numId w:val="916"/>
        </w:numPr>
        <w:tabs>
          <w:tab w:pos="1478" w:val="left" w:leader="none"/>
        </w:tabs>
        <w:spacing w:line="446" w:lineRule="auto" w:before="0" w:after="0"/>
        <w:ind w:left="418" w:right="1496" w:firstLine="422"/>
        <w:jc w:val="left"/>
        <w:rPr>
          <w:sz w:val="19"/>
        </w:rPr>
      </w:pPr>
      <w:r>
        <w:rPr>
          <w:spacing w:val="-5"/>
          <w:sz w:val="21"/>
        </w:rPr>
        <w:t>挡水板应为正方形或圆形金属板，其平面面积不宜小于 </w:t>
      </w:r>
      <w:r>
        <w:rPr>
          <w:sz w:val="21"/>
        </w:rPr>
        <w:t>0.12m</w:t>
      </w:r>
      <w:r>
        <w:rPr>
          <w:position w:val="11"/>
          <w:sz w:val="11"/>
        </w:rPr>
        <w:t>2</w:t>
      </w:r>
      <w:r>
        <w:rPr>
          <w:spacing w:val="-3"/>
          <w:sz w:val="21"/>
        </w:rPr>
        <w:t>，周围弯边的下沿宜与洒水喷头的溅水盘平齐。除下列情况和相关规范另有规定外，其他场所或部位不应采用挡水板：</w:t>
      </w:r>
      <w:r>
        <w:rPr>
          <w:sz w:val="21"/>
        </w:rPr>
        <w:t> </w:t>
      </w:r>
    </w:p>
    <w:p>
      <w:pPr>
        <w:pStyle w:val="BodyText"/>
        <w:spacing w:line="446" w:lineRule="auto"/>
        <w:ind w:left="418" w:right="1609" w:firstLine="419"/>
      </w:pPr>
      <w:r>
        <w:rPr/>
        <w:t>设置货架内置洒水喷头的仓库，当货架内置洒水喷头上方有孔洞、缝隙时，可在洒水喷头的上方设置挡水板； </w:t>
      </w:r>
    </w:p>
    <w:p>
      <w:pPr>
        <w:pStyle w:val="BodyText"/>
        <w:spacing w:line="446" w:lineRule="auto"/>
        <w:ind w:left="418" w:right="1505" w:firstLine="419"/>
      </w:pPr>
      <w:r>
        <w:rPr>
          <w:spacing w:val="-8"/>
        </w:rPr>
        <w:t>宽度大于本规范第 </w:t>
      </w:r>
      <w:r>
        <w:rPr/>
        <w:t>7.2.3</w:t>
      </w:r>
      <w:r>
        <w:rPr>
          <w:spacing w:val="-7"/>
        </w:rPr>
        <w:t> 条规定的障碍物，增设的洒水喷头上方有孔洞、 缝隙时，可在洒</w:t>
      </w:r>
      <w:r>
        <w:rPr>
          <w:spacing w:val="-5"/>
        </w:rPr>
        <w:t>水喷头的上方设置挡水板。 </w:t>
      </w:r>
    </w:p>
    <w:p>
      <w:pPr>
        <w:pStyle w:val="ListParagraph"/>
        <w:numPr>
          <w:ilvl w:val="2"/>
          <w:numId w:val="916"/>
        </w:numPr>
        <w:tabs>
          <w:tab w:pos="1530" w:val="left" w:leader="none"/>
        </w:tabs>
        <w:spacing w:line="446" w:lineRule="auto" w:before="0" w:after="0"/>
        <w:ind w:left="418" w:right="1760" w:firstLine="422"/>
        <w:jc w:val="left"/>
        <w:rPr>
          <w:sz w:val="21"/>
        </w:rPr>
      </w:pPr>
      <w:r>
        <w:rPr>
          <w:spacing w:val="-8"/>
          <w:sz w:val="21"/>
        </w:rPr>
        <w:t>净空高度大于 </w:t>
      </w:r>
      <w:r>
        <w:rPr>
          <w:sz w:val="21"/>
        </w:rPr>
        <w:t>800mm</w:t>
      </w:r>
      <w:r>
        <w:rPr>
          <w:spacing w:val="-8"/>
          <w:sz w:val="21"/>
        </w:rPr>
        <w:t> 的闷顶和技术夹层内应设置洒水喷头，当同时满足下列情况</w:t>
      </w:r>
      <w:r>
        <w:rPr>
          <w:spacing w:val="-5"/>
          <w:sz w:val="21"/>
        </w:rPr>
        <w:t>时，可不设置洒水喷头：</w:t>
      </w:r>
      <w:r>
        <w:rPr>
          <w:sz w:val="21"/>
        </w:rPr>
        <w:t> </w:t>
      </w:r>
    </w:p>
    <w:p>
      <w:pPr>
        <w:pStyle w:val="BodyText"/>
        <w:ind w:left="838"/>
      </w:pPr>
      <w:r>
        <w:rPr/>
        <w:t>闷顶内敷设的配电线路采用不燃材料套管或封闭式金属线槽保护； </w:t>
      </w:r>
    </w:p>
    <w:p>
      <w:pPr>
        <w:spacing w:after="0"/>
        <w:sectPr>
          <w:pgSz w:w="11910" w:h="16850"/>
          <w:pgMar w:header="0" w:footer="1239" w:top="1220" w:bottom="1420" w:left="1260" w:right="0"/>
        </w:sectPr>
      </w:pPr>
    </w:p>
    <w:p>
      <w:pPr>
        <w:pStyle w:val="BodyText"/>
        <w:spacing w:line="446" w:lineRule="auto" w:before="47"/>
        <w:ind w:left="838" w:right="5709"/>
      </w:pPr>
      <w:r>
        <w:rPr/>
        <w:t>风管保温材料等采用不燃、难燃材料制作； 无其他可燃物。 </w:t>
      </w:r>
    </w:p>
    <w:p>
      <w:pPr>
        <w:pStyle w:val="ListParagraph"/>
        <w:numPr>
          <w:ilvl w:val="2"/>
          <w:numId w:val="916"/>
        </w:numPr>
        <w:tabs>
          <w:tab w:pos="1478" w:val="left" w:leader="none"/>
        </w:tabs>
        <w:spacing w:line="446" w:lineRule="auto" w:before="0" w:after="0"/>
        <w:ind w:left="418" w:right="1498" w:firstLine="422"/>
        <w:jc w:val="left"/>
        <w:rPr>
          <w:sz w:val="19"/>
        </w:rPr>
      </w:pPr>
      <w:r>
        <w:rPr>
          <w:spacing w:val="-3"/>
          <w:sz w:val="21"/>
        </w:rPr>
        <w:t>当局部场所设置自动喷水灭火系统时，局部场所与相邻不设自动喷水灭火系统场所连通的走道和连通门窗的外侧，应设洒水喷头。</w:t>
      </w:r>
      <w:r>
        <w:rPr>
          <w:sz w:val="21"/>
        </w:rPr>
        <w:t> </w:t>
      </w:r>
    </w:p>
    <w:p>
      <w:pPr>
        <w:pStyle w:val="ListParagraph"/>
        <w:numPr>
          <w:ilvl w:val="2"/>
          <w:numId w:val="916"/>
        </w:numPr>
        <w:tabs>
          <w:tab w:pos="1478" w:val="left" w:leader="none"/>
        </w:tabs>
        <w:spacing w:line="446" w:lineRule="auto" w:before="0" w:after="0"/>
        <w:ind w:left="418" w:right="1654" w:firstLine="422"/>
        <w:jc w:val="left"/>
        <w:rPr>
          <w:sz w:val="19"/>
        </w:rPr>
      </w:pPr>
      <w:r>
        <w:rPr>
          <w:spacing w:val="-5"/>
          <w:sz w:val="21"/>
        </w:rPr>
        <w:t>装设网格、栅板类通透性吊顶的场所，当通透面积占吊顶总面积的比例大于 </w:t>
      </w:r>
      <w:r>
        <w:rPr>
          <w:sz w:val="21"/>
        </w:rPr>
        <w:t>70％ </w:t>
      </w:r>
      <w:r>
        <w:rPr>
          <w:spacing w:val="-3"/>
          <w:sz w:val="21"/>
        </w:rPr>
        <w:t>时，喷头应设置在吊顶上方，并符合下列规定：</w:t>
      </w:r>
      <w:r>
        <w:rPr>
          <w:sz w:val="21"/>
        </w:rPr>
        <w:t> </w:t>
      </w:r>
    </w:p>
    <w:p>
      <w:pPr>
        <w:pStyle w:val="BodyText"/>
        <w:spacing w:line="446" w:lineRule="auto"/>
        <w:ind w:left="418" w:right="1603" w:firstLine="419"/>
      </w:pPr>
      <w:r>
        <w:rPr/>
        <w:t>通透性吊顶开口部位的净宽度不应小于 10mm ，且开口部位的厚度不应大于开口的最小宽度； </w:t>
      </w:r>
    </w:p>
    <w:p>
      <w:pPr>
        <w:pStyle w:val="BodyText"/>
        <w:spacing w:line="267" w:lineRule="exact"/>
        <w:ind w:left="838"/>
      </w:pPr>
      <w:r>
        <w:rPr/>
        <w:t>喷头间距及溅水盘与吊顶上表面的距离应符合 7.1.13 的规定。 </w:t>
      </w:r>
    </w:p>
    <w:p>
      <w:pPr>
        <w:pStyle w:val="BodyText"/>
        <w:spacing w:before="7"/>
      </w:pPr>
      <w:r>
        <w:rPr/>
        <w:drawing>
          <wp:anchor distT="0" distB="0" distL="0" distR="0" allowOverlap="1" layoutInCell="1" locked="0" behindDoc="0" simplePos="0" relativeHeight="340">
            <wp:simplePos x="0" y="0"/>
            <wp:positionH relativeFrom="page">
              <wp:posOffset>1384935</wp:posOffset>
            </wp:positionH>
            <wp:positionV relativeFrom="paragraph">
              <wp:posOffset>200279</wp:posOffset>
            </wp:positionV>
            <wp:extent cx="5000279" cy="1552575"/>
            <wp:effectExtent l="0" t="0" r="0" b="0"/>
            <wp:wrapTopAndBottom/>
            <wp:docPr id="745" name="image437.jpeg"/>
            <wp:cNvGraphicFramePr>
              <a:graphicFrameLocks noChangeAspect="1"/>
            </wp:cNvGraphicFramePr>
            <a:graphic>
              <a:graphicData uri="http://schemas.openxmlformats.org/drawingml/2006/picture">
                <pic:pic>
                  <pic:nvPicPr>
                    <pic:cNvPr id="746" name="image437.jpeg"/>
                    <pic:cNvPicPr/>
                  </pic:nvPicPr>
                  <pic:blipFill>
                    <a:blip r:embed="rId556" cstate="print"/>
                    <a:stretch>
                      <a:fillRect/>
                    </a:stretch>
                  </pic:blipFill>
                  <pic:spPr>
                    <a:xfrm>
                      <a:off x="0" y="0"/>
                      <a:ext cx="5000279" cy="1552575"/>
                    </a:xfrm>
                    <a:prstGeom prst="rect">
                      <a:avLst/>
                    </a:prstGeom>
                  </pic:spPr>
                </pic:pic>
              </a:graphicData>
            </a:graphic>
          </wp:anchor>
        </w:drawing>
      </w:r>
    </w:p>
    <w:p>
      <w:pPr>
        <w:pStyle w:val="ListParagraph"/>
        <w:numPr>
          <w:ilvl w:val="2"/>
          <w:numId w:val="916"/>
        </w:numPr>
        <w:tabs>
          <w:tab w:pos="1478" w:val="left" w:leader="none"/>
        </w:tabs>
        <w:spacing w:line="240" w:lineRule="auto" w:before="170" w:after="0"/>
        <w:ind w:left="1477" w:right="0" w:hanging="638"/>
        <w:jc w:val="left"/>
        <w:rPr>
          <w:sz w:val="19"/>
        </w:rPr>
      </w:pPr>
      <w:r>
        <w:rPr>
          <w:spacing w:val="-3"/>
          <w:sz w:val="21"/>
        </w:rPr>
        <w:t>顶板或吊顶为斜面时，喷头的布置应符合下列要求：</w:t>
      </w:r>
      <w:r>
        <w:rPr>
          <w:sz w:val="21"/>
        </w:rPr>
        <w:t> </w:t>
      </w:r>
    </w:p>
    <w:p>
      <w:pPr>
        <w:pStyle w:val="BodyText"/>
        <w:rPr>
          <w:sz w:val="18"/>
        </w:rPr>
      </w:pPr>
    </w:p>
    <w:p>
      <w:pPr>
        <w:pStyle w:val="BodyText"/>
        <w:ind w:left="838"/>
      </w:pPr>
      <w:r>
        <w:rPr/>
        <w:t>1 喷头应垂直于斜面，并应按斜面距离确定喷头间距； </w:t>
      </w:r>
    </w:p>
    <w:p>
      <w:pPr>
        <w:pStyle w:val="BodyText"/>
        <w:spacing w:before="2"/>
        <w:rPr>
          <w:sz w:val="18"/>
        </w:rPr>
      </w:pPr>
    </w:p>
    <w:p>
      <w:pPr>
        <w:pStyle w:val="BodyText"/>
        <w:spacing w:line="446" w:lineRule="auto"/>
        <w:ind w:left="418" w:right="1608" w:firstLine="419"/>
      </w:pPr>
      <w:r>
        <w:rPr/>
        <w:t>2</w:t>
      </w:r>
      <w:r>
        <w:rPr>
          <w:spacing w:val="-5"/>
        </w:rPr>
        <w:t> 坡屋顶的屋脊处应设一排喷头，当屋顶坡度不小于 </w:t>
      </w:r>
      <w:r>
        <w:rPr/>
        <w:t>1/3</w:t>
      </w:r>
      <w:r>
        <w:rPr>
          <w:spacing w:val="-8"/>
        </w:rPr>
        <w:t> 时，喷头溅水盘至屋脊的垂直距</w:t>
      </w:r>
      <w:r>
        <w:rPr>
          <w:spacing w:val="-13"/>
        </w:rPr>
        <w:t>离不应大于 </w:t>
      </w:r>
      <w:r>
        <w:rPr/>
        <w:t>800mm</w:t>
      </w:r>
      <w:r>
        <w:rPr>
          <w:spacing w:val="-8"/>
        </w:rPr>
        <w:t>；当屋顶坡度小于 </w:t>
      </w:r>
      <w:r>
        <w:rPr/>
        <w:t>1/3</w:t>
      </w:r>
      <w:r>
        <w:rPr>
          <w:spacing w:val="-10"/>
        </w:rPr>
        <w:t> 时，喷头溅水盘至屋脊的垂直距离不应大于 </w:t>
      </w:r>
      <w:r>
        <w:rPr/>
        <w:t>600mm</w:t>
      </w:r>
      <w:r>
        <w:rPr>
          <w:spacing w:val="-3"/>
        </w:rPr>
        <w:t>。</w:t>
      </w:r>
      <w:r>
        <w:rPr/>
        <w:t> </w:t>
      </w:r>
    </w:p>
    <w:p>
      <w:pPr>
        <w:pStyle w:val="ListParagraph"/>
        <w:numPr>
          <w:ilvl w:val="2"/>
          <w:numId w:val="916"/>
        </w:numPr>
        <w:tabs>
          <w:tab w:pos="1530" w:val="left" w:leader="none"/>
        </w:tabs>
        <w:spacing w:line="267" w:lineRule="exact" w:before="0" w:after="0"/>
        <w:ind w:left="1529" w:right="0" w:hanging="690"/>
        <w:jc w:val="left"/>
        <w:rPr>
          <w:sz w:val="21"/>
        </w:rPr>
      </w:pPr>
      <w:r>
        <w:rPr>
          <w:spacing w:val="-3"/>
          <w:sz w:val="21"/>
        </w:rPr>
        <w:t>边墙型洒水喷头溅水盘与顶板和背墙的距离应符合表 </w:t>
      </w:r>
      <w:r>
        <w:rPr>
          <w:sz w:val="21"/>
        </w:rPr>
        <w:t>7.1.15</w:t>
      </w:r>
      <w:r>
        <w:rPr>
          <w:spacing w:val="-12"/>
          <w:sz w:val="21"/>
        </w:rPr>
        <w:t> 的规定。 </w:t>
      </w:r>
    </w:p>
    <w:p>
      <w:pPr>
        <w:pStyle w:val="BodyText"/>
        <w:spacing w:before="4"/>
        <w:rPr>
          <w:sz w:val="28"/>
        </w:rPr>
      </w:pPr>
      <w:r>
        <w:rPr/>
        <w:drawing>
          <wp:anchor distT="0" distB="0" distL="0" distR="0" allowOverlap="1" layoutInCell="1" locked="0" behindDoc="0" simplePos="0" relativeHeight="341">
            <wp:simplePos x="0" y="0"/>
            <wp:positionH relativeFrom="page">
              <wp:posOffset>1113155</wp:posOffset>
            </wp:positionH>
            <wp:positionV relativeFrom="paragraph">
              <wp:posOffset>255373</wp:posOffset>
            </wp:positionV>
            <wp:extent cx="5278714" cy="1895475"/>
            <wp:effectExtent l="0" t="0" r="0" b="0"/>
            <wp:wrapTopAndBottom/>
            <wp:docPr id="747" name="image438.jpeg"/>
            <wp:cNvGraphicFramePr>
              <a:graphicFrameLocks noChangeAspect="1"/>
            </wp:cNvGraphicFramePr>
            <a:graphic>
              <a:graphicData uri="http://schemas.openxmlformats.org/drawingml/2006/picture">
                <pic:pic>
                  <pic:nvPicPr>
                    <pic:cNvPr id="748" name="image438.jpeg"/>
                    <pic:cNvPicPr/>
                  </pic:nvPicPr>
                  <pic:blipFill>
                    <a:blip r:embed="rId557" cstate="print"/>
                    <a:stretch>
                      <a:fillRect/>
                    </a:stretch>
                  </pic:blipFill>
                  <pic:spPr>
                    <a:xfrm>
                      <a:off x="0" y="0"/>
                      <a:ext cx="5278714" cy="1895475"/>
                    </a:xfrm>
                    <a:prstGeom prst="rect">
                      <a:avLst/>
                    </a:prstGeom>
                  </pic:spPr>
                </pic:pic>
              </a:graphicData>
            </a:graphic>
          </wp:anchor>
        </w:drawing>
      </w:r>
    </w:p>
    <w:p>
      <w:pPr>
        <w:pStyle w:val="ListParagraph"/>
        <w:numPr>
          <w:ilvl w:val="2"/>
          <w:numId w:val="916"/>
        </w:numPr>
        <w:tabs>
          <w:tab w:pos="1530" w:val="left" w:leader="none"/>
        </w:tabs>
        <w:spacing w:line="446" w:lineRule="auto" w:before="172" w:after="0"/>
        <w:ind w:left="418" w:right="1498" w:firstLine="422"/>
        <w:jc w:val="left"/>
        <w:rPr>
          <w:sz w:val="21"/>
        </w:rPr>
      </w:pPr>
      <w:r>
        <w:rPr>
          <w:spacing w:val="-4"/>
          <w:sz w:val="21"/>
        </w:rPr>
        <w:t>防火分隔水幕的喷头布置，应保证水幕的宽度不小于 </w:t>
      </w:r>
      <w:r>
        <w:rPr>
          <w:sz w:val="21"/>
        </w:rPr>
        <w:t>6m</w:t>
      </w:r>
      <w:r>
        <w:rPr>
          <w:spacing w:val="-3"/>
          <w:sz w:val="21"/>
        </w:rPr>
        <w:t>。采用水幕喷头时，喷头不</w:t>
      </w:r>
      <w:r>
        <w:rPr>
          <w:spacing w:val="-13"/>
          <w:sz w:val="21"/>
        </w:rPr>
        <w:t>应少于 </w:t>
      </w:r>
      <w:r>
        <w:rPr>
          <w:sz w:val="21"/>
        </w:rPr>
        <w:t>3</w:t>
      </w:r>
      <w:r>
        <w:rPr>
          <w:spacing w:val="-11"/>
          <w:sz w:val="21"/>
        </w:rPr>
        <w:t> 排；采用开式洒水喷头时，喷头不应少于 </w:t>
      </w:r>
      <w:r>
        <w:rPr>
          <w:sz w:val="21"/>
        </w:rPr>
        <w:t>2</w:t>
      </w:r>
      <w:r>
        <w:rPr>
          <w:spacing w:val="-8"/>
          <w:sz w:val="21"/>
        </w:rPr>
        <w:t> 排。防护冷却水幕的喷头宜布置成单排。</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916"/>
        </w:numPr>
        <w:tabs>
          <w:tab w:pos="1530" w:val="left" w:leader="none"/>
        </w:tabs>
        <w:spacing w:line="446" w:lineRule="auto" w:before="47" w:after="0"/>
        <w:ind w:left="418" w:right="1548" w:firstLine="422"/>
        <w:jc w:val="left"/>
        <w:rPr>
          <w:sz w:val="21"/>
        </w:rPr>
      </w:pPr>
      <w:r>
        <w:rPr>
          <w:spacing w:val="-3"/>
          <w:sz w:val="21"/>
        </w:rPr>
        <w:t>当防火卷帘、防火玻璃墙等防火分隔设施需采用防护冷却系统保护时，喷头应根据可燃物的情况一侧或两侧布置；外墙可只在需要保护的一侧布置。</w:t>
      </w:r>
      <w:r>
        <w:rPr>
          <w:sz w:val="21"/>
        </w:rPr>
        <w:t> </w:t>
      </w:r>
    </w:p>
    <w:p>
      <w:pPr>
        <w:pStyle w:val="ListParagraph"/>
        <w:numPr>
          <w:ilvl w:val="1"/>
          <w:numId w:val="915"/>
        </w:numPr>
        <w:tabs>
          <w:tab w:pos="1159" w:val="left" w:leader="none"/>
        </w:tabs>
        <w:spacing w:line="267" w:lineRule="exact" w:before="0" w:after="0"/>
        <w:ind w:left="1158" w:right="0" w:hanging="319"/>
        <w:jc w:val="left"/>
        <w:rPr>
          <w:b/>
          <w:sz w:val="21"/>
        </w:rPr>
      </w:pPr>
      <w:r>
        <w:rPr>
          <w:spacing w:val="-3"/>
          <w:sz w:val="21"/>
        </w:rPr>
        <w:t>喷头与障碍物的距离</w:t>
      </w:r>
      <w:r>
        <w:rPr>
          <w:b/>
          <w:w w:val="99"/>
          <w:sz w:val="21"/>
        </w:rPr>
        <w:t> </w:t>
      </w:r>
    </w:p>
    <w:p>
      <w:pPr>
        <w:pStyle w:val="BodyText"/>
        <w:spacing w:before="2"/>
        <w:rPr>
          <w:b/>
          <w:sz w:val="18"/>
        </w:rPr>
      </w:pPr>
    </w:p>
    <w:p>
      <w:pPr>
        <w:pStyle w:val="ListParagraph"/>
        <w:numPr>
          <w:ilvl w:val="2"/>
          <w:numId w:val="915"/>
        </w:numPr>
        <w:tabs>
          <w:tab w:pos="1371" w:val="left" w:leader="none"/>
        </w:tabs>
        <w:spacing w:line="446" w:lineRule="auto" w:before="0" w:after="0"/>
        <w:ind w:left="418" w:right="1445" w:firstLine="422"/>
        <w:jc w:val="left"/>
        <w:rPr>
          <w:sz w:val="21"/>
        </w:rPr>
      </w:pPr>
      <w:r>
        <w:rPr/>
        <w:drawing>
          <wp:anchor distT="0" distB="0" distL="0" distR="0" allowOverlap="1" layoutInCell="1" locked="0" behindDoc="1" simplePos="0" relativeHeight="215986176">
            <wp:simplePos x="0" y="0"/>
            <wp:positionH relativeFrom="page">
              <wp:posOffset>1701800</wp:posOffset>
            </wp:positionH>
            <wp:positionV relativeFrom="paragraph">
              <wp:posOffset>559561</wp:posOffset>
            </wp:positionV>
            <wp:extent cx="4706620" cy="1810384"/>
            <wp:effectExtent l="0" t="0" r="0" b="0"/>
            <wp:wrapNone/>
            <wp:docPr id="749" name="image439.jpeg"/>
            <wp:cNvGraphicFramePr>
              <a:graphicFrameLocks noChangeAspect="1"/>
            </wp:cNvGraphicFramePr>
            <a:graphic>
              <a:graphicData uri="http://schemas.openxmlformats.org/drawingml/2006/picture">
                <pic:pic>
                  <pic:nvPicPr>
                    <pic:cNvPr id="750" name="image439.jpeg"/>
                    <pic:cNvPicPr/>
                  </pic:nvPicPr>
                  <pic:blipFill>
                    <a:blip r:embed="rId558" cstate="print"/>
                    <a:stretch>
                      <a:fillRect/>
                    </a:stretch>
                  </pic:blipFill>
                  <pic:spPr>
                    <a:xfrm>
                      <a:off x="0" y="0"/>
                      <a:ext cx="4706620" cy="1810384"/>
                    </a:xfrm>
                    <a:prstGeom prst="rect">
                      <a:avLst/>
                    </a:prstGeom>
                  </pic:spPr>
                </pic:pic>
              </a:graphicData>
            </a:graphic>
          </wp:anchor>
        </w:drawing>
      </w:r>
      <w:r>
        <w:rPr>
          <w:spacing w:val="-3"/>
          <w:sz w:val="21"/>
        </w:rPr>
        <w:t>直立型、下垂型喷头与梁、通风管道等障碍物的距离（</w:t>
      </w:r>
      <w:r>
        <w:rPr>
          <w:spacing w:val="-24"/>
          <w:sz w:val="21"/>
        </w:rPr>
        <w:t>图 </w:t>
      </w:r>
      <w:r>
        <w:rPr>
          <w:sz w:val="21"/>
        </w:rPr>
        <w:t>7.2.1）</w:t>
      </w:r>
      <w:r>
        <w:rPr>
          <w:spacing w:val="-12"/>
          <w:sz w:val="21"/>
        </w:rPr>
        <w:t>宜符合表 </w:t>
      </w:r>
      <w:r>
        <w:rPr>
          <w:sz w:val="21"/>
        </w:rPr>
        <w:t>7.2.1</w:t>
      </w:r>
      <w:r>
        <w:rPr>
          <w:spacing w:val="-24"/>
          <w:sz w:val="21"/>
        </w:rPr>
        <w:t> 的</w:t>
      </w:r>
      <w:r>
        <w:rPr>
          <w:spacing w:val="-17"/>
          <w:sz w:val="21"/>
        </w:rPr>
        <w:t>规定。</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r>
        <w:rPr/>
        <w:pict>
          <v:group style="position:absolute;margin-left:104.900002pt;margin-top:19.014997pt;width:383.25pt;height:154.5pt;mso-position-horizontal-relative:page;mso-position-vertical-relative:paragraph;z-index:-251308032;mso-wrap-distance-left:0;mso-wrap-distance-right:0" coordorigin="2098,380" coordsize="7665,3090">
            <v:shape style="position:absolute;left:2443;top:497;width:7320;height:2895" type="#_x0000_t75" stroked="false">
              <v:imagedata r:id="rId559" o:title=""/>
            </v:shape>
            <v:shape style="position:absolute;left:2098;top:380;width:7115;height:3090" type="#_x0000_t75" stroked="false">
              <v:imagedata r:id="rId560" o:title=""/>
            </v:shape>
            <w10:wrap type="topAndBottom"/>
          </v:group>
        </w:pict>
      </w:r>
    </w:p>
    <w:p>
      <w:pPr>
        <w:pStyle w:val="ListParagraph"/>
        <w:numPr>
          <w:ilvl w:val="2"/>
          <w:numId w:val="915"/>
        </w:numPr>
        <w:tabs>
          <w:tab w:pos="1369" w:val="left" w:leader="none"/>
        </w:tabs>
        <w:spacing w:line="446" w:lineRule="auto" w:before="162" w:after="0"/>
        <w:ind w:left="418" w:right="1608" w:firstLine="419"/>
        <w:jc w:val="left"/>
        <w:rPr>
          <w:sz w:val="21"/>
        </w:rPr>
      </w:pPr>
      <w:r>
        <w:rPr>
          <w:spacing w:val="-7"/>
          <w:sz w:val="21"/>
        </w:rPr>
        <w:t>特殊应用喷头溅水盘以下 </w:t>
      </w:r>
      <w:r>
        <w:rPr>
          <w:sz w:val="21"/>
        </w:rPr>
        <w:t>900mm</w:t>
      </w:r>
      <w:r>
        <w:rPr>
          <w:spacing w:val="-12"/>
          <w:sz w:val="21"/>
        </w:rPr>
        <w:t> 范围内，其他类型喷头溅水盘以下 </w:t>
      </w:r>
      <w:r>
        <w:rPr>
          <w:sz w:val="21"/>
        </w:rPr>
        <w:t>450mm</w:t>
      </w:r>
      <w:r>
        <w:rPr>
          <w:spacing w:val="-12"/>
          <w:sz w:val="21"/>
        </w:rPr>
        <w:t> 范围内， </w:t>
      </w:r>
      <w:r>
        <w:rPr>
          <w:spacing w:val="-6"/>
          <w:sz w:val="21"/>
        </w:rPr>
        <w:t>当有屋架等间断障碍物或管道时，喷头与邻近障碍物的最小水平距离</w:t>
      </w:r>
      <w:r>
        <w:rPr>
          <w:spacing w:val="-3"/>
          <w:sz w:val="21"/>
        </w:rPr>
        <w:t>（</w:t>
      </w:r>
      <w:r>
        <w:rPr>
          <w:spacing w:val="-24"/>
          <w:sz w:val="21"/>
        </w:rPr>
        <w:t>图 </w:t>
      </w:r>
      <w:r>
        <w:rPr>
          <w:sz w:val="21"/>
        </w:rPr>
        <w:t>7.2.2）</w:t>
      </w:r>
      <w:r>
        <w:rPr>
          <w:spacing w:val="-2"/>
          <w:sz w:val="21"/>
        </w:rPr>
        <w:t>应符合表</w:t>
      </w:r>
    </w:p>
    <w:p>
      <w:pPr>
        <w:pStyle w:val="ListParagraph"/>
        <w:numPr>
          <w:ilvl w:val="2"/>
          <w:numId w:val="917"/>
        </w:numPr>
        <w:tabs>
          <w:tab w:pos="997" w:val="left" w:leader="none"/>
        </w:tabs>
        <w:spacing w:line="240" w:lineRule="auto" w:before="1" w:after="0"/>
        <w:ind w:left="996" w:right="0" w:hanging="579"/>
        <w:jc w:val="left"/>
        <w:rPr>
          <w:sz w:val="21"/>
        </w:rPr>
      </w:pPr>
      <w:r>
        <w:rPr>
          <w:spacing w:val="-3"/>
          <w:sz w:val="21"/>
        </w:rPr>
        <w:t>的规定。</w:t>
      </w:r>
      <w:r>
        <w:rPr>
          <w:sz w:val="21"/>
        </w:rPr>
        <w:t> </w:t>
      </w:r>
    </w:p>
    <w:p>
      <w:pPr>
        <w:pStyle w:val="BodyText"/>
        <w:spacing w:before="8"/>
        <w:rPr>
          <w:sz w:val="11"/>
        </w:rPr>
      </w:pPr>
      <w:r>
        <w:rPr/>
        <w:drawing>
          <wp:anchor distT="0" distB="0" distL="0" distR="0" allowOverlap="1" layoutInCell="1" locked="0" behindDoc="0" simplePos="0" relativeHeight="343">
            <wp:simplePos x="0" y="0"/>
            <wp:positionH relativeFrom="page">
              <wp:posOffset>1503680</wp:posOffset>
            </wp:positionH>
            <wp:positionV relativeFrom="paragraph">
              <wp:posOffset>119395</wp:posOffset>
            </wp:positionV>
            <wp:extent cx="4578327" cy="962025"/>
            <wp:effectExtent l="0" t="0" r="0" b="0"/>
            <wp:wrapTopAndBottom/>
            <wp:docPr id="751" name="image442.jpeg"/>
            <wp:cNvGraphicFramePr>
              <a:graphicFrameLocks noChangeAspect="1"/>
            </wp:cNvGraphicFramePr>
            <a:graphic>
              <a:graphicData uri="http://schemas.openxmlformats.org/drawingml/2006/picture">
                <pic:pic>
                  <pic:nvPicPr>
                    <pic:cNvPr id="752" name="image442.jpeg"/>
                    <pic:cNvPicPr/>
                  </pic:nvPicPr>
                  <pic:blipFill>
                    <a:blip r:embed="rId561" cstate="print"/>
                    <a:stretch>
                      <a:fillRect/>
                    </a:stretch>
                  </pic:blipFill>
                  <pic:spPr>
                    <a:xfrm>
                      <a:off x="0" y="0"/>
                      <a:ext cx="4578327" cy="962025"/>
                    </a:xfrm>
                    <a:prstGeom prst="rect">
                      <a:avLst/>
                    </a:prstGeom>
                  </pic:spPr>
                </pic:pic>
              </a:graphicData>
            </a:graphic>
          </wp:anchor>
        </w:drawing>
      </w:r>
    </w:p>
    <w:p>
      <w:pPr>
        <w:pStyle w:val="ListParagraph"/>
        <w:numPr>
          <w:ilvl w:val="2"/>
          <w:numId w:val="917"/>
        </w:numPr>
        <w:tabs>
          <w:tab w:pos="1370" w:val="left" w:leader="none"/>
        </w:tabs>
        <w:spacing w:line="446" w:lineRule="auto" w:before="178" w:after="0"/>
        <w:ind w:left="418" w:right="1500" w:firstLine="422"/>
        <w:jc w:val="left"/>
        <w:rPr>
          <w:sz w:val="19"/>
        </w:rPr>
      </w:pPr>
      <w:r>
        <w:rPr>
          <w:spacing w:val="-5"/>
          <w:sz w:val="21"/>
        </w:rPr>
        <w:t>当梁、通风管道、成排布置的管道、桥架等障碍物的宽度大于 </w:t>
      </w:r>
      <w:r>
        <w:rPr>
          <w:sz w:val="21"/>
        </w:rPr>
        <w:t>1.2m</w:t>
      </w:r>
      <w:r>
        <w:rPr>
          <w:spacing w:val="-8"/>
          <w:sz w:val="21"/>
        </w:rPr>
        <w:t> 时，其下方应增</w:t>
      </w:r>
      <w:r>
        <w:rPr>
          <w:spacing w:val="-7"/>
          <w:sz w:val="21"/>
        </w:rPr>
        <w:t>设喷头</w:t>
      </w:r>
      <w:r>
        <w:rPr>
          <w:spacing w:val="-3"/>
          <w:sz w:val="21"/>
        </w:rPr>
        <w:t>（</w:t>
      </w:r>
      <w:r>
        <w:rPr>
          <w:spacing w:val="-22"/>
          <w:sz w:val="21"/>
        </w:rPr>
        <w:t>图 </w:t>
      </w:r>
      <w:r>
        <w:rPr>
          <w:sz w:val="21"/>
        </w:rPr>
        <w:t>7.2.3）</w:t>
      </w:r>
      <w:r>
        <w:rPr>
          <w:spacing w:val="-3"/>
          <w:sz w:val="21"/>
        </w:rPr>
        <w:t>；采用早期抑制快速响应喷头和特殊应用喷头的场所，当障碍物宽度大于0.6m</w:t>
      </w:r>
      <w:r>
        <w:rPr>
          <w:spacing w:val="-9"/>
          <w:sz w:val="21"/>
        </w:rPr>
        <w:t> 时，其下方应增设喷头。</w:t>
      </w:r>
      <w:r>
        <w:rPr>
          <w:sz w:val="21"/>
        </w:rPr>
        <w:t> </w:t>
      </w:r>
    </w:p>
    <w:p>
      <w:pPr>
        <w:pStyle w:val="BodyText"/>
        <w:spacing w:line="268" w:lineRule="exact"/>
        <w:ind w:left="838"/>
      </w:pPr>
      <w:r>
        <w:rPr>
          <w:w w:val="100"/>
        </w:rPr>
        <w:t> </w:t>
      </w:r>
    </w:p>
    <w:p>
      <w:pPr>
        <w:spacing w:after="0" w:line="268" w:lineRule="exact"/>
        <w:sectPr>
          <w:pgSz w:w="11910" w:h="16850"/>
          <w:pgMar w:header="0" w:footer="1239" w:top="1220" w:bottom="1420" w:left="1260" w:right="0"/>
        </w:sectPr>
      </w:pPr>
    </w:p>
    <w:p>
      <w:pPr>
        <w:pStyle w:val="BodyText"/>
        <w:rPr>
          <w:sz w:val="20"/>
        </w:rPr>
      </w:pPr>
    </w:p>
    <w:p>
      <w:pPr>
        <w:pStyle w:val="BodyText"/>
        <w:rPr>
          <w:sz w:val="20"/>
        </w:rPr>
      </w:pPr>
    </w:p>
    <w:p>
      <w:pPr>
        <w:pStyle w:val="BodyText"/>
        <w:rPr>
          <w:sz w:val="20"/>
        </w:rPr>
      </w:pPr>
    </w:p>
    <w:p>
      <w:pPr>
        <w:pStyle w:val="BodyText"/>
        <w:spacing w:before="2"/>
        <w:rPr>
          <w:sz w:val="16"/>
        </w:rPr>
      </w:pPr>
    </w:p>
    <w:p>
      <w:pPr>
        <w:pStyle w:val="BodyText"/>
        <w:ind w:left="883"/>
        <w:rPr>
          <w:sz w:val="20"/>
        </w:rPr>
      </w:pPr>
      <w:r>
        <w:rPr>
          <w:sz w:val="20"/>
        </w:rPr>
        <w:drawing>
          <wp:inline distT="0" distB="0" distL="0" distR="0">
            <wp:extent cx="4876800" cy="1714500"/>
            <wp:effectExtent l="0" t="0" r="0" b="0"/>
            <wp:docPr id="753" name="image443.jpeg"/>
            <wp:cNvGraphicFramePr>
              <a:graphicFrameLocks noChangeAspect="1"/>
            </wp:cNvGraphicFramePr>
            <a:graphic>
              <a:graphicData uri="http://schemas.openxmlformats.org/drawingml/2006/picture">
                <pic:pic>
                  <pic:nvPicPr>
                    <pic:cNvPr id="754" name="image443.jpeg"/>
                    <pic:cNvPicPr/>
                  </pic:nvPicPr>
                  <pic:blipFill>
                    <a:blip r:embed="rId563" cstate="print"/>
                    <a:stretch>
                      <a:fillRect/>
                    </a:stretch>
                  </pic:blipFill>
                  <pic:spPr>
                    <a:xfrm>
                      <a:off x="0" y="0"/>
                      <a:ext cx="4876800" cy="1714500"/>
                    </a:xfrm>
                    <a:prstGeom prst="rect">
                      <a:avLst/>
                    </a:prstGeom>
                  </pic:spPr>
                </pic:pic>
              </a:graphicData>
            </a:graphic>
          </wp:inline>
        </w:drawing>
      </w:r>
      <w:r>
        <w:rPr>
          <w:sz w:val="20"/>
        </w:rPr>
      </w:r>
    </w:p>
    <w:p>
      <w:pPr>
        <w:pStyle w:val="BodyText"/>
        <w:rPr>
          <w:sz w:val="20"/>
        </w:rPr>
      </w:pPr>
    </w:p>
    <w:p>
      <w:pPr>
        <w:pStyle w:val="BodyText"/>
        <w:spacing w:before="5"/>
        <w:rPr>
          <w:sz w:val="28"/>
        </w:rPr>
      </w:pPr>
    </w:p>
    <w:p>
      <w:pPr>
        <w:pStyle w:val="ListParagraph"/>
        <w:numPr>
          <w:ilvl w:val="2"/>
          <w:numId w:val="917"/>
        </w:numPr>
        <w:tabs>
          <w:tab w:pos="1371" w:val="left" w:leader="none"/>
        </w:tabs>
        <w:spacing w:line="446" w:lineRule="auto" w:before="71" w:after="0"/>
        <w:ind w:left="418" w:right="1604" w:firstLine="422"/>
        <w:jc w:val="left"/>
        <w:rPr>
          <w:sz w:val="19"/>
        </w:rPr>
      </w:pPr>
      <w:r>
        <w:rPr/>
        <w:drawing>
          <wp:anchor distT="0" distB="0" distL="0" distR="0" allowOverlap="1" layoutInCell="1" locked="0" behindDoc="1" simplePos="0" relativeHeight="215988224">
            <wp:simplePos x="0" y="0"/>
            <wp:positionH relativeFrom="page">
              <wp:posOffset>1297939</wp:posOffset>
            </wp:positionH>
            <wp:positionV relativeFrom="paragraph">
              <wp:posOffset>644778</wp:posOffset>
            </wp:positionV>
            <wp:extent cx="4706620" cy="2305685"/>
            <wp:effectExtent l="0" t="0" r="0" b="0"/>
            <wp:wrapNone/>
            <wp:docPr id="755" name="image444.jpeg"/>
            <wp:cNvGraphicFramePr>
              <a:graphicFrameLocks noChangeAspect="1"/>
            </wp:cNvGraphicFramePr>
            <a:graphic>
              <a:graphicData uri="http://schemas.openxmlformats.org/drawingml/2006/picture">
                <pic:pic>
                  <pic:nvPicPr>
                    <pic:cNvPr id="756" name="image444.jpeg"/>
                    <pic:cNvPicPr/>
                  </pic:nvPicPr>
                  <pic:blipFill>
                    <a:blip r:embed="rId564" cstate="print"/>
                    <a:stretch>
                      <a:fillRect/>
                    </a:stretch>
                  </pic:blipFill>
                  <pic:spPr>
                    <a:xfrm>
                      <a:off x="0" y="0"/>
                      <a:ext cx="4706620" cy="2305685"/>
                    </a:xfrm>
                    <a:prstGeom prst="rect">
                      <a:avLst/>
                    </a:prstGeom>
                  </pic:spPr>
                </pic:pic>
              </a:graphicData>
            </a:graphic>
          </wp:anchor>
        </w:drawing>
      </w:r>
      <w:r>
        <w:rPr>
          <w:spacing w:val="-3"/>
          <w:sz w:val="21"/>
        </w:rPr>
        <w:t>标准覆盖面积洒水喷头、扩大覆盖面积洒水喷头和家用喷头与不到顶隔墙的水平距离和垂直距离（</w:t>
      </w:r>
      <w:r>
        <w:rPr>
          <w:spacing w:val="-27"/>
          <w:sz w:val="21"/>
        </w:rPr>
        <w:t>图 </w:t>
      </w:r>
      <w:r>
        <w:rPr>
          <w:sz w:val="21"/>
        </w:rPr>
        <w:t>7.2.4）</w:t>
      </w:r>
      <w:r>
        <w:rPr>
          <w:spacing w:val="-13"/>
          <w:sz w:val="21"/>
        </w:rPr>
        <w:t>应符合表 </w:t>
      </w:r>
      <w:r>
        <w:rPr>
          <w:sz w:val="21"/>
        </w:rPr>
        <w:t>7.2.4</w:t>
      </w:r>
      <w:r>
        <w:rPr>
          <w:spacing w:val="-3"/>
          <w:sz w:val="21"/>
        </w:rPr>
        <w:t> 的规定。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r>
        <w:rPr/>
        <w:drawing>
          <wp:anchor distT="0" distB="0" distL="0" distR="0" allowOverlap="1" layoutInCell="1" locked="0" behindDoc="0" simplePos="0" relativeHeight="345">
            <wp:simplePos x="0" y="0"/>
            <wp:positionH relativeFrom="page">
              <wp:posOffset>1362075</wp:posOffset>
            </wp:positionH>
            <wp:positionV relativeFrom="paragraph">
              <wp:posOffset>122769</wp:posOffset>
            </wp:positionV>
            <wp:extent cx="4638675" cy="1476375"/>
            <wp:effectExtent l="0" t="0" r="0" b="0"/>
            <wp:wrapTopAndBottom/>
            <wp:docPr id="757" name="image445.jpeg"/>
            <wp:cNvGraphicFramePr>
              <a:graphicFrameLocks noChangeAspect="1"/>
            </wp:cNvGraphicFramePr>
            <a:graphic>
              <a:graphicData uri="http://schemas.openxmlformats.org/drawingml/2006/picture">
                <pic:pic>
                  <pic:nvPicPr>
                    <pic:cNvPr id="758" name="image445.jpeg"/>
                    <pic:cNvPicPr/>
                  </pic:nvPicPr>
                  <pic:blipFill>
                    <a:blip r:embed="rId565" cstate="print"/>
                    <a:stretch>
                      <a:fillRect/>
                    </a:stretch>
                  </pic:blipFill>
                  <pic:spPr>
                    <a:xfrm>
                      <a:off x="0" y="0"/>
                      <a:ext cx="4638675" cy="1476375"/>
                    </a:xfrm>
                    <a:prstGeom prst="rect">
                      <a:avLst/>
                    </a:prstGeom>
                  </pic:spPr>
                </pic:pic>
              </a:graphicData>
            </a:graphic>
          </wp:anchor>
        </w:drawing>
      </w:r>
    </w:p>
    <w:p>
      <w:pPr>
        <w:pStyle w:val="ListParagraph"/>
        <w:numPr>
          <w:ilvl w:val="2"/>
          <w:numId w:val="917"/>
        </w:numPr>
        <w:tabs>
          <w:tab w:pos="1633" w:val="left" w:leader="none"/>
        </w:tabs>
        <w:spacing w:line="240" w:lineRule="auto" w:before="179" w:after="0"/>
        <w:ind w:left="1632" w:right="0" w:hanging="584"/>
        <w:jc w:val="left"/>
        <w:rPr>
          <w:sz w:val="21"/>
        </w:rPr>
      </w:pPr>
      <w:r>
        <w:rPr>
          <w:spacing w:val="-3"/>
          <w:sz w:val="21"/>
        </w:rPr>
        <w:t>直立型、下垂型喷头与靠墙障碍物的距离（</w:t>
      </w:r>
      <w:r>
        <w:rPr>
          <w:spacing w:val="-26"/>
          <w:sz w:val="21"/>
        </w:rPr>
        <w:t>图 </w:t>
      </w:r>
      <w:r>
        <w:rPr>
          <w:sz w:val="21"/>
        </w:rPr>
        <w:t>7.2.5）</w:t>
      </w:r>
      <w:r>
        <w:rPr>
          <w:spacing w:val="-3"/>
          <w:sz w:val="21"/>
        </w:rPr>
        <w:t>应符合下列规定：</w:t>
      </w:r>
      <w:r>
        <w:rPr>
          <w:sz w:val="21"/>
        </w:rPr>
        <w:t> </w:t>
      </w:r>
    </w:p>
    <w:p>
      <w:pPr>
        <w:pStyle w:val="BodyText"/>
        <w:rPr>
          <w:sz w:val="20"/>
        </w:rPr>
      </w:pPr>
    </w:p>
    <w:p>
      <w:pPr>
        <w:pStyle w:val="BodyText"/>
        <w:rPr>
          <w:sz w:val="20"/>
        </w:rPr>
      </w:pPr>
    </w:p>
    <w:p>
      <w:pPr>
        <w:pStyle w:val="BodyText"/>
        <w:spacing w:before="2"/>
        <w:rPr>
          <w:sz w:val="17"/>
        </w:rPr>
      </w:pPr>
    </w:p>
    <w:p>
      <w:pPr>
        <w:pStyle w:val="BodyText"/>
        <w:ind w:left="1049"/>
      </w:pPr>
      <w:r>
        <w:rPr>
          <w:w w:val="100"/>
        </w:rPr>
        <w:t> </w:t>
      </w:r>
    </w:p>
    <w:p>
      <w:pPr>
        <w:spacing w:after="0"/>
        <w:sectPr>
          <w:footerReference w:type="default" r:id="rId562"/>
          <w:pgSz w:w="11910" w:h="16850"/>
          <w:pgMar w:footer="1573" w:header="0" w:top="1600" w:bottom="1760" w:left="1260" w:right="0"/>
          <w:pgNumType w:start="1594"/>
        </w:sectPr>
      </w:pPr>
    </w:p>
    <w:p>
      <w:pPr>
        <w:pStyle w:val="BodyText"/>
        <w:rPr>
          <w:sz w:val="20"/>
        </w:rPr>
      </w:pPr>
    </w:p>
    <w:p>
      <w:pPr>
        <w:pStyle w:val="BodyText"/>
        <w:rPr>
          <w:sz w:val="20"/>
        </w:rPr>
      </w:pPr>
    </w:p>
    <w:p>
      <w:pPr>
        <w:pStyle w:val="BodyText"/>
        <w:rPr>
          <w:sz w:val="20"/>
        </w:rPr>
      </w:pPr>
    </w:p>
    <w:p>
      <w:pPr>
        <w:pStyle w:val="BodyText"/>
        <w:spacing w:before="2"/>
        <w:rPr>
          <w:sz w:val="16"/>
        </w:rPr>
      </w:pPr>
    </w:p>
    <w:p>
      <w:pPr>
        <w:pStyle w:val="BodyText"/>
        <w:ind w:left="577"/>
        <w:rPr>
          <w:sz w:val="20"/>
        </w:rPr>
      </w:pPr>
      <w:r>
        <w:rPr>
          <w:sz w:val="20"/>
        </w:rPr>
        <w:drawing>
          <wp:inline distT="0" distB="0" distL="0" distR="0">
            <wp:extent cx="5216011" cy="2343150"/>
            <wp:effectExtent l="0" t="0" r="0" b="0"/>
            <wp:docPr id="759" name="image446.jpeg"/>
            <wp:cNvGraphicFramePr>
              <a:graphicFrameLocks noChangeAspect="1"/>
            </wp:cNvGraphicFramePr>
            <a:graphic>
              <a:graphicData uri="http://schemas.openxmlformats.org/drawingml/2006/picture">
                <pic:pic>
                  <pic:nvPicPr>
                    <pic:cNvPr id="760" name="image446.jpeg"/>
                    <pic:cNvPicPr/>
                  </pic:nvPicPr>
                  <pic:blipFill>
                    <a:blip r:embed="rId566" cstate="print"/>
                    <a:stretch>
                      <a:fillRect/>
                    </a:stretch>
                  </pic:blipFill>
                  <pic:spPr>
                    <a:xfrm>
                      <a:off x="0" y="0"/>
                      <a:ext cx="5216011" cy="2343150"/>
                    </a:xfrm>
                    <a:prstGeom prst="rect">
                      <a:avLst/>
                    </a:prstGeom>
                  </pic:spPr>
                </pic:pic>
              </a:graphicData>
            </a:graphic>
          </wp:inline>
        </w:drawing>
      </w:r>
      <w:r>
        <w:rPr>
          <w:sz w:val="20"/>
        </w:rPr>
      </w:r>
    </w:p>
    <w:p>
      <w:pPr>
        <w:pStyle w:val="BodyText"/>
        <w:spacing w:before="1"/>
        <w:rPr>
          <w:sz w:val="10"/>
        </w:rPr>
      </w:pPr>
    </w:p>
    <w:p>
      <w:pPr>
        <w:pStyle w:val="BodyText"/>
        <w:spacing w:before="71"/>
        <w:ind w:left="838"/>
      </w:pPr>
      <w:r>
        <w:rPr/>
        <w:t>障碍物横截面边长小于 750mm 时，喷头与障碍物的距离应按下式确定： </w:t>
      </w:r>
    </w:p>
    <w:p>
      <w:pPr>
        <w:pStyle w:val="BodyText"/>
        <w:rPr>
          <w:sz w:val="18"/>
        </w:rPr>
      </w:pPr>
    </w:p>
    <w:p>
      <w:pPr>
        <w:pStyle w:val="BodyText"/>
        <w:ind w:left="3185"/>
      </w:pPr>
      <w:r>
        <w:rPr/>
        <w:t>a≥（e－200）＋b</w:t>
      </w:r>
      <w:r>
        <w:rPr>
          <w:spacing w:val="101"/>
        </w:rPr>
        <w:t> </w:t>
      </w:r>
      <w:r>
        <w:rPr/>
        <w:t>（7.2.5） </w:t>
      </w:r>
    </w:p>
    <w:p>
      <w:pPr>
        <w:pStyle w:val="BodyText"/>
        <w:spacing w:before="12"/>
        <w:rPr>
          <w:sz w:val="17"/>
        </w:rPr>
      </w:pPr>
    </w:p>
    <w:p>
      <w:pPr>
        <w:pStyle w:val="BodyText"/>
        <w:ind w:left="838"/>
      </w:pPr>
      <w:r>
        <w:rPr/>
        <w:t>式中：a——喷头与障碍物的水平距离（mm）； </w:t>
      </w:r>
    </w:p>
    <w:p>
      <w:pPr>
        <w:pStyle w:val="BodyText"/>
        <w:spacing w:before="2"/>
        <w:rPr>
          <w:sz w:val="18"/>
        </w:rPr>
      </w:pPr>
    </w:p>
    <w:p>
      <w:pPr>
        <w:pStyle w:val="BodyText"/>
        <w:spacing w:line="446" w:lineRule="auto" w:before="1"/>
        <w:ind w:left="838" w:right="4345"/>
      </w:pPr>
      <w:r>
        <w:rPr>
          <w:w w:val="100"/>
        </w:rPr>
        <w:t> </w:t>
      </w:r>
      <w:r>
        <w:rPr/>
        <w:t> </w:t>
      </w:r>
      <w:r>
        <w:rPr>
          <w:w w:val="100"/>
        </w:rPr>
        <w:t>    </w:t>
      </w:r>
      <w:r>
        <w:rPr/>
        <w:t>b——喷头溅水盘与障碍物底面的垂直距离（mm）； e——障碍物横截面的边长（mm），e＜750。 </w:t>
      </w:r>
    </w:p>
    <w:p>
      <w:pPr>
        <w:pStyle w:val="BodyText"/>
        <w:spacing w:line="446" w:lineRule="auto"/>
        <w:ind w:left="418" w:right="1505" w:firstLine="419"/>
        <w:jc w:val="both"/>
      </w:pPr>
      <w:r>
        <w:rPr>
          <w:w w:val="100"/>
        </w:rPr>
        <w:t> </w:t>
      </w:r>
      <w:r>
        <w:rPr>
          <w:spacing w:val="-7"/>
        </w:rPr>
        <w:t>障碍物横截面边长等于或大于 </w:t>
      </w:r>
      <w:r>
        <w:rPr/>
        <w:t>750mm</w:t>
      </w:r>
      <w:r>
        <w:rPr>
          <w:spacing w:val="-33"/>
        </w:rPr>
        <w:t> 或 </w:t>
      </w:r>
      <w:r>
        <w:rPr/>
        <w:t>a</w:t>
      </w:r>
      <w:r>
        <w:rPr>
          <w:spacing w:val="-12"/>
        </w:rPr>
        <w:t> 的计算值大于本规范表 </w:t>
      </w:r>
      <w:r>
        <w:rPr/>
        <w:t>7.1.2</w:t>
      </w:r>
      <w:r>
        <w:rPr>
          <w:spacing w:val="-9"/>
        </w:rPr>
        <w:t> 中喷头与端墙距离</w:t>
      </w:r>
      <w:r>
        <w:rPr>
          <w:spacing w:val="-5"/>
        </w:rPr>
        <w:t>的规定时，应在靠墙障碍物下增设喷头。</w:t>
      </w:r>
      <w:r>
        <w:rPr/>
        <w:t> </w:t>
      </w:r>
    </w:p>
    <w:p>
      <w:pPr>
        <w:pStyle w:val="ListParagraph"/>
        <w:numPr>
          <w:ilvl w:val="2"/>
          <w:numId w:val="917"/>
        </w:numPr>
        <w:tabs>
          <w:tab w:pos="1422" w:val="left" w:leader="none"/>
        </w:tabs>
        <w:spacing w:line="446" w:lineRule="auto" w:before="0" w:after="0"/>
        <w:ind w:left="418" w:right="1555" w:firstLine="419"/>
        <w:jc w:val="both"/>
        <w:rPr>
          <w:sz w:val="21"/>
        </w:rPr>
      </w:pPr>
      <w:r>
        <w:rPr/>
        <w:drawing>
          <wp:anchor distT="0" distB="0" distL="0" distR="0" allowOverlap="1" layoutInCell="1" locked="0" behindDoc="0" simplePos="0" relativeHeight="347">
            <wp:simplePos x="0" y="0"/>
            <wp:positionH relativeFrom="page">
              <wp:posOffset>1217930</wp:posOffset>
            </wp:positionH>
            <wp:positionV relativeFrom="paragraph">
              <wp:posOffset>999871</wp:posOffset>
            </wp:positionV>
            <wp:extent cx="4886169" cy="1970817"/>
            <wp:effectExtent l="0" t="0" r="0" b="0"/>
            <wp:wrapTopAndBottom/>
            <wp:docPr id="761" name="image447.jpeg"/>
            <wp:cNvGraphicFramePr>
              <a:graphicFrameLocks noChangeAspect="1"/>
            </wp:cNvGraphicFramePr>
            <a:graphic>
              <a:graphicData uri="http://schemas.openxmlformats.org/drawingml/2006/picture">
                <pic:pic>
                  <pic:nvPicPr>
                    <pic:cNvPr id="762" name="image447.jpeg"/>
                    <pic:cNvPicPr/>
                  </pic:nvPicPr>
                  <pic:blipFill>
                    <a:blip r:embed="rId567" cstate="print"/>
                    <a:stretch>
                      <a:fillRect/>
                    </a:stretch>
                  </pic:blipFill>
                  <pic:spPr>
                    <a:xfrm>
                      <a:off x="0" y="0"/>
                      <a:ext cx="4886169" cy="1970817"/>
                    </a:xfrm>
                    <a:prstGeom prst="rect">
                      <a:avLst/>
                    </a:prstGeom>
                  </pic:spPr>
                </pic:pic>
              </a:graphicData>
            </a:graphic>
          </wp:anchor>
        </w:drawing>
      </w:r>
      <w:r>
        <w:rPr>
          <w:spacing w:val="-5"/>
          <w:sz w:val="21"/>
        </w:rPr>
        <w:t>边墙型标准覆盖面积洒水喷头正前方 </w:t>
      </w:r>
      <w:r>
        <w:rPr>
          <w:sz w:val="21"/>
        </w:rPr>
        <w:t>1.2m</w:t>
      </w:r>
      <w:r>
        <w:rPr>
          <w:spacing w:val="-8"/>
          <w:sz w:val="21"/>
        </w:rPr>
        <w:t> 范围内，边墙型扩大覆盖面积洒水喷头和</w:t>
      </w:r>
      <w:r>
        <w:rPr>
          <w:spacing w:val="-9"/>
          <w:sz w:val="21"/>
        </w:rPr>
        <w:t>边墙型家用喷头正前方 </w:t>
      </w:r>
      <w:r>
        <w:rPr>
          <w:sz w:val="21"/>
        </w:rPr>
        <w:t>2.4m</w:t>
      </w:r>
      <w:r>
        <w:rPr>
          <w:spacing w:val="-16"/>
          <w:sz w:val="21"/>
        </w:rPr>
        <w:t> 范围</w:t>
      </w:r>
      <w:r>
        <w:rPr>
          <w:spacing w:val="-3"/>
          <w:sz w:val="21"/>
        </w:rPr>
        <w:t>（</w:t>
      </w:r>
      <w:r>
        <w:rPr>
          <w:spacing w:val="-22"/>
          <w:sz w:val="21"/>
        </w:rPr>
        <w:t>图 </w:t>
      </w:r>
      <w:r>
        <w:rPr>
          <w:sz w:val="21"/>
        </w:rPr>
        <w:t>7.2.6）</w:t>
      </w:r>
      <w:r>
        <w:rPr>
          <w:spacing w:val="-3"/>
          <w:sz w:val="21"/>
        </w:rPr>
        <w:t>内，顶板或吊顶下不应有阻挡喷水的障碍物，其</w:t>
      </w:r>
      <w:r>
        <w:rPr>
          <w:spacing w:val="-9"/>
          <w:sz w:val="21"/>
        </w:rPr>
        <w:t>布置要求应符合表 </w:t>
      </w:r>
      <w:r>
        <w:rPr>
          <w:sz w:val="21"/>
        </w:rPr>
        <w:t>7.2.6-1</w:t>
      </w:r>
      <w:r>
        <w:rPr>
          <w:spacing w:val="-28"/>
          <w:sz w:val="21"/>
        </w:rPr>
        <w:t> 和表 </w:t>
      </w:r>
      <w:r>
        <w:rPr>
          <w:sz w:val="21"/>
        </w:rPr>
        <w:t>7.2.6-2</w:t>
      </w:r>
      <w:r>
        <w:rPr>
          <w:spacing w:val="-13"/>
          <w:sz w:val="21"/>
        </w:rPr>
        <w:t> 的规定。</w:t>
      </w:r>
      <w:r>
        <w:rPr>
          <w:sz w:val="21"/>
        </w:rPr>
        <w:t> </w:t>
      </w:r>
    </w:p>
    <w:p>
      <w:pPr>
        <w:spacing w:after="0" w:line="446" w:lineRule="auto"/>
        <w:jc w:val="both"/>
        <w:rPr>
          <w:sz w:val="21"/>
        </w:rPr>
        <w:sectPr>
          <w:pgSz w:w="11910" w:h="16850"/>
          <w:pgMar w:header="0" w:footer="1573" w:top="1600" w:bottom="1940" w:left="1260" w:right="0"/>
        </w:sectPr>
      </w:pPr>
    </w:p>
    <w:p>
      <w:pPr>
        <w:pStyle w:val="BodyText"/>
        <w:ind w:left="440"/>
        <w:rPr>
          <w:sz w:val="20"/>
        </w:rPr>
      </w:pPr>
      <w:r>
        <w:rPr>
          <w:sz w:val="20"/>
        </w:rPr>
        <w:drawing>
          <wp:inline distT="0" distB="0" distL="0" distR="0">
            <wp:extent cx="4939030" cy="1866900"/>
            <wp:effectExtent l="0" t="0" r="0" b="0"/>
            <wp:docPr id="763" name="image448.jpeg"/>
            <wp:cNvGraphicFramePr>
              <a:graphicFrameLocks noChangeAspect="1"/>
            </wp:cNvGraphicFramePr>
            <a:graphic>
              <a:graphicData uri="http://schemas.openxmlformats.org/drawingml/2006/picture">
                <pic:pic>
                  <pic:nvPicPr>
                    <pic:cNvPr id="764" name="image448.jpeg"/>
                    <pic:cNvPicPr/>
                  </pic:nvPicPr>
                  <pic:blipFill>
                    <a:blip r:embed="rId569" cstate="print"/>
                    <a:stretch>
                      <a:fillRect/>
                    </a:stretch>
                  </pic:blipFill>
                  <pic:spPr>
                    <a:xfrm>
                      <a:off x="0" y="0"/>
                      <a:ext cx="4939030" cy="186690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p>
    <w:p>
      <w:pPr>
        <w:pStyle w:val="ListParagraph"/>
        <w:numPr>
          <w:ilvl w:val="2"/>
          <w:numId w:val="917"/>
        </w:numPr>
        <w:tabs>
          <w:tab w:pos="1369" w:val="left" w:leader="none"/>
        </w:tabs>
        <w:spacing w:line="446" w:lineRule="auto" w:before="71" w:after="0"/>
        <w:ind w:left="418" w:right="1433" w:firstLine="419"/>
        <w:jc w:val="left"/>
        <w:rPr>
          <w:sz w:val="19"/>
        </w:rPr>
      </w:pPr>
      <w:r>
        <w:rPr/>
        <w:pict>
          <v:group style="position:absolute;margin-left:102.650002pt;margin-top:47.369984pt;width:384.75pt;height:283.850pt;mso-position-horizontal-relative:page;mso-position-vertical-relative:paragraph;z-index:-287326208" coordorigin="2053,947" coordsize="7695,5677">
            <v:shape style="position:absolute;left:2053;top:2769;width:7695;height:3855" type="#_x0000_t75" stroked="false">
              <v:imagedata r:id="rId570" o:title=""/>
            </v:shape>
            <v:shape style="position:absolute;left:2289;top:947;width:7326;height:4049" type="#_x0000_t75" stroked="false">
              <v:imagedata r:id="rId571" o:title=""/>
            </v:shape>
            <w10:wrap type="none"/>
          </v:group>
        </w:pict>
      </w:r>
      <w:r>
        <w:rPr>
          <w:spacing w:val="-3"/>
          <w:sz w:val="21"/>
        </w:rPr>
        <w:t>边墙型洒水喷头两侧与顶板或吊顶下梁、通风管道等障碍物的距离（</w:t>
      </w:r>
      <w:r>
        <w:rPr>
          <w:spacing w:val="-22"/>
          <w:sz w:val="21"/>
        </w:rPr>
        <w:t>图 </w:t>
      </w:r>
      <w:r>
        <w:rPr>
          <w:sz w:val="21"/>
        </w:rPr>
        <w:t>7.2.7），</w:t>
      </w:r>
      <w:r>
        <w:rPr>
          <w:spacing w:val="-3"/>
          <w:sz w:val="21"/>
        </w:rPr>
        <w:t>应</w:t>
      </w:r>
      <w:r>
        <w:rPr>
          <w:spacing w:val="-15"/>
          <w:sz w:val="21"/>
        </w:rPr>
        <w:t>符合表 </w:t>
      </w:r>
      <w:r>
        <w:rPr>
          <w:sz w:val="21"/>
        </w:rPr>
        <w:t>7.2.7-1</w:t>
      </w:r>
      <w:r>
        <w:rPr>
          <w:spacing w:val="-29"/>
          <w:sz w:val="21"/>
        </w:rPr>
        <w:t> 和表 </w:t>
      </w:r>
      <w:r>
        <w:rPr>
          <w:sz w:val="21"/>
        </w:rPr>
        <w:t>7.2.7-2</w:t>
      </w:r>
      <w:r>
        <w:rPr>
          <w:spacing w:val="-13"/>
          <w:sz w:val="21"/>
        </w:rPr>
        <w:t> 的规定。</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pStyle w:val="BodyText"/>
        <w:spacing w:before="72"/>
        <w:ind w:left="418"/>
      </w:pPr>
      <w:r>
        <w:rPr>
          <w:w w:val="100"/>
        </w:rPr>
        <w:t> </w:t>
      </w:r>
    </w:p>
    <w:p>
      <w:pPr>
        <w:spacing w:after="0"/>
        <w:sectPr>
          <w:footerReference w:type="default" r:id="rId568"/>
          <w:pgSz w:w="11910" w:h="16850"/>
          <w:pgMar w:footer="1239" w:header="0" w:top="1080" w:bottom="1420" w:left="1260" w:right="0"/>
          <w:pgNumType w:start="1596"/>
        </w:sectPr>
      </w:pPr>
    </w:p>
    <w:p>
      <w:pPr>
        <w:pStyle w:val="BodyText"/>
        <w:ind w:left="285"/>
        <w:rPr>
          <w:sz w:val="20"/>
        </w:rPr>
      </w:pPr>
      <w:r>
        <w:rPr>
          <w:sz w:val="20"/>
        </w:rPr>
        <w:drawing>
          <wp:inline distT="0" distB="0" distL="0" distR="0">
            <wp:extent cx="4957215" cy="2057400"/>
            <wp:effectExtent l="0" t="0" r="0" b="0"/>
            <wp:docPr id="765" name="image451.jpeg"/>
            <wp:cNvGraphicFramePr>
              <a:graphicFrameLocks noChangeAspect="1"/>
            </wp:cNvGraphicFramePr>
            <a:graphic>
              <a:graphicData uri="http://schemas.openxmlformats.org/drawingml/2006/picture">
                <pic:pic>
                  <pic:nvPicPr>
                    <pic:cNvPr id="766" name="image451.jpeg"/>
                    <pic:cNvPicPr/>
                  </pic:nvPicPr>
                  <pic:blipFill>
                    <a:blip r:embed="rId572" cstate="print"/>
                    <a:stretch>
                      <a:fillRect/>
                    </a:stretch>
                  </pic:blipFill>
                  <pic:spPr>
                    <a:xfrm>
                      <a:off x="0" y="0"/>
                      <a:ext cx="4957215" cy="2057400"/>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3"/>
        </w:rPr>
      </w:pPr>
      <w:r>
        <w:rPr/>
        <w:drawing>
          <wp:anchor distT="0" distB="0" distL="0" distR="0" allowOverlap="1" layoutInCell="1" locked="0" behindDoc="0" simplePos="0" relativeHeight="349">
            <wp:simplePos x="0" y="0"/>
            <wp:positionH relativeFrom="page">
              <wp:posOffset>1062989</wp:posOffset>
            </wp:positionH>
            <wp:positionV relativeFrom="paragraph">
              <wp:posOffset>218249</wp:posOffset>
            </wp:positionV>
            <wp:extent cx="4819038" cy="1924050"/>
            <wp:effectExtent l="0" t="0" r="0" b="0"/>
            <wp:wrapTopAndBottom/>
            <wp:docPr id="767" name="image452.jpeg"/>
            <wp:cNvGraphicFramePr>
              <a:graphicFrameLocks noChangeAspect="1"/>
            </wp:cNvGraphicFramePr>
            <a:graphic>
              <a:graphicData uri="http://schemas.openxmlformats.org/drawingml/2006/picture">
                <pic:pic>
                  <pic:nvPicPr>
                    <pic:cNvPr id="768" name="image452.jpeg"/>
                    <pic:cNvPicPr/>
                  </pic:nvPicPr>
                  <pic:blipFill>
                    <a:blip r:embed="rId573" cstate="print"/>
                    <a:stretch>
                      <a:fillRect/>
                    </a:stretch>
                  </pic:blipFill>
                  <pic:spPr>
                    <a:xfrm>
                      <a:off x="0" y="0"/>
                      <a:ext cx="4819038" cy="1924050"/>
                    </a:xfrm>
                    <a:prstGeom prst="rect">
                      <a:avLst/>
                    </a:prstGeom>
                  </pic:spPr>
                </pic:pic>
              </a:graphicData>
            </a:graphic>
          </wp:anchor>
        </w:drawing>
      </w:r>
    </w:p>
    <w:p>
      <w:pPr>
        <w:pStyle w:val="Heading4"/>
        <w:spacing w:before="134"/>
      </w:pPr>
      <w:r>
        <w:rPr/>
        <w:t>8 管道</w:t>
      </w:r>
      <w:r>
        <w:rPr>
          <w:w w:val="99"/>
        </w:rPr>
        <w:t> </w:t>
      </w:r>
    </w:p>
    <w:p>
      <w:pPr>
        <w:pStyle w:val="BodyText"/>
        <w:spacing w:before="3"/>
        <w:rPr>
          <w:b/>
          <w:sz w:val="17"/>
        </w:rPr>
      </w:pPr>
    </w:p>
    <w:p>
      <w:pPr>
        <w:pStyle w:val="ListParagraph"/>
        <w:numPr>
          <w:ilvl w:val="1"/>
          <w:numId w:val="918"/>
        </w:numPr>
        <w:tabs>
          <w:tab w:pos="1160" w:val="left" w:leader="none"/>
        </w:tabs>
        <w:spacing w:line="240" w:lineRule="auto" w:before="1" w:after="0"/>
        <w:ind w:left="1159" w:right="0" w:hanging="320"/>
        <w:jc w:val="left"/>
        <w:rPr>
          <w:sz w:val="21"/>
        </w:rPr>
      </w:pPr>
      <w:r>
        <w:rPr>
          <w:spacing w:val="-7"/>
          <w:sz w:val="21"/>
        </w:rPr>
        <w:t>配水管道的工作压力不应大于 </w:t>
      </w:r>
      <w:r>
        <w:rPr>
          <w:sz w:val="21"/>
        </w:rPr>
        <w:t>1.20MPa</w:t>
      </w:r>
      <w:r>
        <w:rPr>
          <w:spacing w:val="-3"/>
          <w:sz w:val="21"/>
        </w:rPr>
        <w:t>，并不应设置其他用水设施。</w:t>
      </w:r>
      <w:r>
        <w:rPr>
          <w:sz w:val="21"/>
        </w:rPr>
        <w:t> </w:t>
      </w:r>
    </w:p>
    <w:p>
      <w:pPr>
        <w:pStyle w:val="BodyText"/>
        <w:spacing w:before="12"/>
        <w:rPr>
          <w:sz w:val="17"/>
        </w:rPr>
      </w:pPr>
    </w:p>
    <w:p>
      <w:pPr>
        <w:pStyle w:val="ListParagraph"/>
        <w:numPr>
          <w:ilvl w:val="1"/>
          <w:numId w:val="918"/>
        </w:numPr>
        <w:tabs>
          <w:tab w:pos="1160" w:val="left" w:leader="none"/>
        </w:tabs>
        <w:spacing w:line="240" w:lineRule="auto" w:before="0" w:after="0"/>
        <w:ind w:left="1159" w:right="0" w:hanging="320"/>
        <w:jc w:val="left"/>
        <w:rPr>
          <w:sz w:val="21"/>
        </w:rPr>
      </w:pPr>
      <w:r>
        <w:rPr>
          <w:spacing w:val="-3"/>
          <w:sz w:val="21"/>
        </w:rPr>
        <w:t>配水管道可采用内外壁热镀锌钢管、涂覆钢管、铜管、不锈钢管和氯化聚氯乙烯</w:t>
      </w:r>
    </w:p>
    <w:p>
      <w:pPr>
        <w:pStyle w:val="BodyText"/>
        <w:spacing w:before="2"/>
        <w:rPr>
          <w:sz w:val="18"/>
        </w:rPr>
      </w:pPr>
    </w:p>
    <w:p>
      <w:pPr>
        <w:pStyle w:val="BodyText"/>
        <w:ind w:left="418"/>
      </w:pPr>
      <w:r>
        <w:rPr/>
        <w:t>（PVC-C）管。当报警阀入口前管道采用不防腐的钢管时，应在报警阀前设置过滤器。 </w:t>
      </w:r>
    </w:p>
    <w:p>
      <w:pPr>
        <w:pStyle w:val="BodyText"/>
        <w:rPr>
          <w:sz w:val="18"/>
        </w:rPr>
      </w:pPr>
    </w:p>
    <w:p>
      <w:pPr>
        <w:pStyle w:val="ListParagraph"/>
        <w:numPr>
          <w:ilvl w:val="1"/>
          <w:numId w:val="918"/>
        </w:numPr>
        <w:tabs>
          <w:tab w:pos="1213" w:val="left" w:leader="none"/>
        </w:tabs>
        <w:spacing w:line="446" w:lineRule="auto" w:before="0" w:after="0"/>
        <w:ind w:left="418" w:right="1553" w:firstLine="422"/>
        <w:jc w:val="both"/>
        <w:rPr>
          <w:sz w:val="21"/>
        </w:rPr>
      </w:pPr>
      <w:r>
        <w:rPr>
          <w:spacing w:val="-3"/>
          <w:sz w:val="21"/>
        </w:rPr>
        <w:t>自动喷水灭火系统采用氯化聚氯乙烯</w:t>
      </w:r>
      <w:r>
        <w:rPr>
          <w:sz w:val="21"/>
        </w:rPr>
        <w:t>（PVC-C）</w:t>
      </w:r>
      <w:r>
        <w:rPr>
          <w:spacing w:val="-3"/>
          <w:sz w:val="21"/>
        </w:rPr>
        <w:t>管材及管件时，设置场所的火灾危险等级应为轻危险级或中危险级Ⅰ级，系统应为湿式系统，并采用快速响应洒水喷头，且氯化聚氯乙烯（PVC-C）管材及管件应符合下列要求：</w:t>
      </w:r>
      <w:r>
        <w:rPr>
          <w:sz w:val="21"/>
        </w:rPr>
        <w:t> </w:t>
      </w:r>
    </w:p>
    <w:p>
      <w:pPr>
        <w:pStyle w:val="BodyText"/>
        <w:spacing w:line="446" w:lineRule="auto"/>
        <w:ind w:left="418" w:right="1613" w:firstLine="419"/>
        <w:jc w:val="both"/>
      </w:pPr>
      <w:r>
        <w:rPr>
          <w:spacing w:val="-6"/>
        </w:rPr>
        <w:t>应符合现行国家标准《自动喷水灭火系统第 </w:t>
      </w:r>
      <w:r>
        <w:rPr/>
        <w:t>19</w:t>
      </w:r>
      <w:r>
        <w:rPr>
          <w:spacing w:val="-3"/>
        </w:rPr>
        <w:t> 部分塑料管道及管件》</w:t>
      </w:r>
      <w:r>
        <w:rPr/>
        <w:t>GB/T 5135.19</w:t>
      </w:r>
      <w:r>
        <w:rPr>
          <w:spacing w:val="-18"/>
        </w:rPr>
        <w:t> 的规</w:t>
      </w:r>
      <w:r>
        <w:rPr>
          <w:spacing w:val="-2"/>
        </w:rPr>
        <w:t>定；</w:t>
      </w:r>
      <w:r>
        <w:rPr/>
        <w:t> </w:t>
      </w:r>
    </w:p>
    <w:p>
      <w:pPr>
        <w:pStyle w:val="BodyText"/>
        <w:ind w:left="838"/>
        <w:jc w:val="both"/>
      </w:pPr>
      <w:r>
        <w:rPr/>
        <w:t>应用于公称直径不超过 DN80 的配水管及配水支管，且不应穿越防火分区； </w:t>
      </w:r>
    </w:p>
    <w:p>
      <w:pPr>
        <w:pStyle w:val="BodyText"/>
        <w:spacing w:before="11"/>
        <w:rPr>
          <w:sz w:val="17"/>
        </w:rPr>
      </w:pPr>
    </w:p>
    <w:p>
      <w:pPr>
        <w:pStyle w:val="BodyText"/>
        <w:ind w:left="838"/>
      </w:pPr>
      <w:r>
        <w:rPr/>
        <w:t>当设置在有吊顶场所时，吊顶内应无其他可燃物，吊顶材料应为不燃或难燃装修材料； </w:t>
      </w:r>
    </w:p>
    <w:p>
      <w:pPr>
        <w:spacing w:after="0"/>
        <w:sectPr>
          <w:pgSz w:w="11910" w:h="16850"/>
          <w:pgMar w:header="0" w:footer="1239" w:top="1080" w:bottom="1420" w:left="1260" w:right="0"/>
        </w:sectPr>
      </w:pPr>
    </w:p>
    <w:p>
      <w:pPr>
        <w:pStyle w:val="BodyText"/>
        <w:spacing w:line="446" w:lineRule="auto" w:before="47"/>
        <w:ind w:left="418" w:right="1505" w:firstLine="419"/>
      </w:pPr>
      <w:r>
        <w:rPr/>
        <w:t>当设置在无吊顶场所时，该场所应为轻危险级场所， 顶板应为水平、光滑顶板，且喷头溅水盘与顶板的距离不应大于 100mm。 </w:t>
      </w:r>
    </w:p>
    <w:p>
      <w:pPr>
        <w:pStyle w:val="ListParagraph"/>
        <w:numPr>
          <w:ilvl w:val="1"/>
          <w:numId w:val="918"/>
        </w:numPr>
        <w:tabs>
          <w:tab w:pos="1213" w:val="left" w:leader="none"/>
        </w:tabs>
        <w:spacing w:line="267" w:lineRule="exact" w:before="0" w:after="0"/>
        <w:ind w:left="1212" w:right="0" w:hanging="373"/>
        <w:jc w:val="left"/>
        <w:rPr>
          <w:sz w:val="21"/>
        </w:rPr>
      </w:pPr>
      <w:r>
        <w:rPr>
          <w:spacing w:val="-3"/>
          <w:sz w:val="21"/>
        </w:rPr>
        <w:t>洒水喷头与配水管道采用消防洒水软管连接时，应符合下列规定：</w:t>
      </w:r>
      <w:r>
        <w:rPr>
          <w:sz w:val="21"/>
        </w:rPr>
        <w:t> </w:t>
      </w:r>
    </w:p>
    <w:p>
      <w:pPr>
        <w:pStyle w:val="BodyText"/>
        <w:spacing w:before="2"/>
        <w:rPr>
          <w:sz w:val="18"/>
        </w:rPr>
      </w:pPr>
    </w:p>
    <w:p>
      <w:pPr>
        <w:pStyle w:val="BodyText"/>
        <w:spacing w:line="446" w:lineRule="auto"/>
        <w:ind w:left="838" w:right="2554"/>
      </w:pPr>
      <w:r>
        <w:rPr>
          <w:spacing w:val="-3"/>
        </w:rPr>
        <w:t>消防洒水软管仅适用于轻危险级或中危险级Ⅰ级场所，且系统应为湿式系统； 消防洒水软管应设置在吊顶内；</w:t>
      </w:r>
      <w:r>
        <w:rPr/>
        <w:t> </w:t>
      </w:r>
    </w:p>
    <w:p>
      <w:pPr>
        <w:pStyle w:val="BodyText"/>
        <w:spacing w:line="267" w:lineRule="exact"/>
        <w:ind w:left="838"/>
      </w:pPr>
      <w:r>
        <w:rPr/>
        <w:t>消防洒水软管的长度不应超过 1.8m。 </w:t>
      </w:r>
    </w:p>
    <w:p>
      <w:pPr>
        <w:pStyle w:val="BodyText"/>
        <w:spacing w:before="2"/>
        <w:rPr>
          <w:sz w:val="18"/>
        </w:rPr>
      </w:pPr>
    </w:p>
    <w:p>
      <w:pPr>
        <w:pStyle w:val="ListParagraph"/>
        <w:numPr>
          <w:ilvl w:val="1"/>
          <w:numId w:val="918"/>
        </w:numPr>
        <w:tabs>
          <w:tab w:pos="1160" w:val="left" w:leader="none"/>
        </w:tabs>
        <w:spacing w:line="240" w:lineRule="auto" w:before="0" w:after="0"/>
        <w:ind w:left="1159" w:right="0" w:hanging="320"/>
        <w:jc w:val="left"/>
        <w:rPr>
          <w:sz w:val="21"/>
        </w:rPr>
      </w:pPr>
      <w:r>
        <w:rPr>
          <w:spacing w:val="-3"/>
          <w:sz w:val="21"/>
        </w:rPr>
        <w:t>配水管道的连接方式应符合下列要求：</w:t>
      </w:r>
      <w:r>
        <w:rPr>
          <w:sz w:val="21"/>
        </w:rPr>
        <w:t> </w:t>
      </w:r>
    </w:p>
    <w:p>
      <w:pPr>
        <w:pStyle w:val="BodyText"/>
        <w:rPr>
          <w:sz w:val="18"/>
        </w:rPr>
      </w:pPr>
    </w:p>
    <w:p>
      <w:pPr>
        <w:pStyle w:val="BodyText"/>
        <w:spacing w:line="446" w:lineRule="auto"/>
        <w:ind w:left="418" w:right="1609" w:firstLine="419"/>
      </w:pPr>
      <w:r>
        <w:rPr/>
        <w:t>镀锌钢管、涂覆钢管可采用沟槽式连接件（卡箍）、螺纹或法兰连接，当报警阀前采用内壁不防腐钢管时，可焊接连接； </w:t>
      </w:r>
    </w:p>
    <w:p>
      <w:pPr>
        <w:pStyle w:val="BodyText"/>
        <w:ind w:left="838"/>
      </w:pPr>
      <w:r>
        <w:rPr/>
        <w:t>铜管可采用钎焊、 沟槽式连接件（卡箍）、法兰和卡压等连接方式； </w:t>
      </w:r>
    </w:p>
    <w:p>
      <w:pPr>
        <w:pStyle w:val="BodyText"/>
        <w:spacing w:before="12"/>
        <w:rPr>
          <w:sz w:val="17"/>
        </w:rPr>
      </w:pPr>
    </w:p>
    <w:p>
      <w:pPr>
        <w:pStyle w:val="BodyText"/>
        <w:ind w:left="838"/>
      </w:pPr>
      <w:r>
        <w:rPr/>
        <w:t>不锈钢管可采用沟槽式连接件（卡箍）、法兰、卡压等连接方式，不宜采用焊接； </w:t>
      </w:r>
    </w:p>
    <w:p>
      <w:pPr>
        <w:pStyle w:val="BodyText"/>
        <w:rPr>
          <w:sz w:val="18"/>
        </w:rPr>
      </w:pPr>
    </w:p>
    <w:p>
      <w:pPr>
        <w:pStyle w:val="BodyText"/>
        <w:spacing w:line="446" w:lineRule="auto"/>
        <w:ind w:left="418" w:right="1611" w:firstLine="419"/>
      </w:pPr>
      <w:r>
        <w:rPr/>
        <w:t>氯化聚氯乙烯（PVC-C）管材、管件可采用粘接连接，氯化聚氯乙烯（PVC-C）管材、管件与其他材质管材、管件之间可采用螺纹、法兰或沟槽式连接件（卡箍）连接； </w:t>
      </w:r>
    </w:p>
    <w:p>
      <w:pPr>
        <w:pStyle w:val="BodyText"/>
        <w:ind w:left="838"/>
      </w:pPr>
      <w:r>
        <w:rPr/>
        <w:t>铜管、不锈钢管、氯化聚氯乙烯（PVC-C）管应采用配套的支架、吊架。 </w:t>
      </w:r>
    </w:p>
    <w:p>
      <w:pPr>
        <w:pStyle w:val="BodyText"/>
        <w:rPr>
          <w:sz w:val="18"/>
        </w:rPr>
      </w:pPr>
    </w:p>
    <w:p>
      <w:pPr>
        <w:pStyle w:val="ListParagraph"/>
        <w:numPr>
          <w:ilvl w:val="1"/>
          <w:numId w:val="918"/>
        </w:numPr>
        <w:tabs>
          <w:tab w:pos="1159" w:val="left" w:leader="none"/>
        </w:tabs>
        <w:spacing w:line="240" w:lineRule="auto" w:before="0" w:after="0"/>
        <w:ind w:left="1158" w:right="0" w:hanging="319"/>
        <w:jc w:val="left"/>
        <w:rPr>
          <w:sz w:val="21"/>
        </w:rPr>
      </w:pPr>
      <w:r>
        <w:rPr>
          <w:spacing w:val="-8"/>
          <w:sz w:val="21"/>
        </w:rPr>
        <w:t>系统中直径等于或大于 </w:t>
      </w:r>
      <w:r>
        <w:rPr>
          <w:sz w:val="21"/>
        </w:rPr>
        <w:t>100mm</w:t>
      </w:r>
      <w:r>
        <w:rPr>
          <w:spacing w:val="-9"/>
          <w:sz w:val="21"/>
        </w:rPr>
        <w:t> 的管道，应分段采用法兰或沟槽式连接件</w:t>
      </w:r>
      <w:r>
        <w:rPr>
          <w:sz w:val="21"/>
        </w:rPr>
        <w:t>（</w:t>
      </w:r>
      <w:r>
        <w:rPr>
          <w:spacing w:val="-2"/>
          <w:sz w:val="21"/>
        </w:rPr>
        <w:t>卡箍</w:t>
      </w:r>
      <w:r>
        <w:rPr>
          <w:sz w:val="21"/>
        </w:rPr>
        <w:t>）连</w:t>
      </w:r>
    </w:p>
    <w:p>
      <w:pPr>
        <w:pStyle w:val="BodyText"/>
        <w:spacing w:before="1"/>
        <w:rPr>
          <w:sz w:val="18"/>
        </w:rPr>
      </w:pPr>
    </w:p>
    <w:p>
      <w:pPr>
        <w:pStyle w:val="BodyText"/>
        <w:spacing w:line="446" w:lineRule="auto" w:before="1"/>
        <w:ind w:left="418" w:right="1450"/>
      </w:pPr>
      <w:r>
        <w:rPr>
          <w:spacing w:val="-5"/>
        </w:rPr>
        <w:t>接。水平管道上法兰间的管道长度不宜大于 </w:t>
      </w:r>
      <w:r>
        <w:rPr/>
        <w:t>20m</w:t>
      </w:r>
      <w:r>
        <w:rPr>
          <w:spacing w:val="-6"/>
        </w:rPr>
        <w:t>；立管上法兰间的距离，不应跨越 </w:t>
      </w:r>
      <w:r>
        <w:rPr/>
        <w:t>3</w:t>
      </w:r>
      <w:r>
        <w:rPr>
          <w:spacing w:val="-9"/>
        </w:rPr>
        <w:t> 个及以上楼</w:t>
      </w:r>
      <w:r>
        <w:rPr>
          <w:spacing w:val="-11"/>
        </w:rPr>
        <w:t>层。净空高度大于 </w:t>
      </w:r>
      <w:r>
        <w:rPr/>
        <w:t>8m</w:t>
      </w:r>
      <w:r>
        <w:rPr>
          <w:spacing w:val="-9"/>
        </w:rPr>
        <w:t> 的场所内，立管上应有法兰。 </w:t>
      </w:r>
    </w:p>
    <w:p>
      <w:pPr>
        <w:pStyle w:val="ListParagraph"/>
        <w:numPr>
          <w:ilvl w:val="1"/>
          <w:numId w:val="918"/>
        </w:numPr>
        <w:tabs>
          <w:tab w:pos="1159" w:val="left" w:leader="none"/>
        </w:tabs>
        <w:spacing w:line="446" w:lineRule="auto" w:before="0" w:after="0"/>
        <w:ind w:left="418" w:right="1604" w:firstLine="422"/>
        <w:jc w:val="left"/>
        <w:rPr>
          <w:sz w:val="21"/>
        </w:rPr>
      </w:pPr>
      <w:r>
        <w:rPr>
          <w:spacing w:val="-3"/>
          <w:sz w:val="21"/>
        </w:rPr>
        <w:t>管道的直径应经水力计算确定。配水管道的布置，应使配水管入口的压力均衡。轻危</w:t>
      </w:r>
      <w:r>
        <w:rPr>
          <w:spacing w:val="-5"/>
          <w:sz w:val="21"/>
        </w:rPr>
        <w:t>险级、中危险级场所中各配水管入口的压力均不宜大于 </w:t>
      </w:r>
      <w:r>
        <w:rPr>
          <w:sz w:val="21"/>
        </w:rPr>
        <w:t>0.40MPa</w:t>
      </w:r>
      <w:r>
        <w:rPr>
          <w:spacing w:val="-3"/>
          <w:sz w:val="21"/>
        </w:rPr>
        <w:t>。</w:t>
      </w:r>
      <w:r>
        <w:rPr>
          <w:sz w:val="21"/>
        </w:rPr>
        <w:t> </w:t>
      </w:r>
    </w:p>
    <w:p>
      <w:pPr>
        <w:pStyle w:val="ListParagraph"/>
        <w:numPr>
          <w:ilvl w:val="1"/>
          <w:numId w:val="918"/>
        </w:numPr>
        <w:tabs>
          <w:tab w:pos="1160" w:val="left" w:leader="none"/>
        </w:tabs>
        <w:spacing w:line="446" w:lineRule="auto" w:before="0" w:after="0"/>
        <w:ind w:left="418" w:right="1604" w:firstLine="422"/>
        <w:jc w:val="left"/>
        <w:rPr>
          <w:sz w:val="21"/>
        </w:rPr>
      </w:pPr>
      <w:r>
        <w:rPr>
          <w:spacing w:val="-3"/>
          <w:sz w:val="21"/>
        </w:rPr>
        <w:t>配水管两侧每根配水支管控制的标准流量洒水喷头数量，轻危险级、中危险级场所不</w:t>
      </w:r>
      <w:r>
        <w:rPr>
          <w:spacing w:val="-13"/>
          <w:sz w:val="21"/>
        </w:rPr>
        <w:t>应超过 </w:t>
      </w:r>
      <w:r>
        <w:rPr>
          <w:sz w:val="21"/>
        </w:rPr>
        <w:t>8</w:t>
      </w:r>
      <w:r>
        <w:rPr>
          <w:spacing w:val="-10"/>
          <w:sz w:val="21"/>
        </w:rPr>
        <w:t> 只，同时在吊顶上下设置喷头的配水支管，上下侧均不应超过 </w:t>
      </w:r>
      <w:r>
        <w:rPr>
          <w:sz w:val="21"/>
        </w:rPr>
        <w:t>8</w:t>
      </w:r>
      <w:r>
        <w:rPr>
          <w:spacing w:val="-8"/>
          <w:sz w:val="21"/>
        </w:rPr>
        <w:t> 只。严重危险级及仓</w:t>
      </w:r>
    </w:p>
    <w:p>
      <w:pPr>
        <w:pStyle w:val="BodyText"/>
        <w:ind w:left="418"/>
      </w:pPr>
      <w:r>
        <w:rPr/>
        <w:t>库危险级场所均不应超过 6 只。 </w:t>
      </w:r>
    </w:p>
    <w:p>
      <w:pPr>
        <w:spacing w:after="0"/>
        <w:sectPr>
          <w:pgSz w:w="11910" w:h="16850"/>
          <w:pgMar w:header="0" w:footer="1239" w:top="1220" w:bottom="1420" w:left="1260" w:right="0"/>
        </w:sectPr>
      </w:pPr>
    </w:p>
    <w:p>
      <w:pPr>
        <w:pStyle w:val="ListParagraph"/>
        <w:numPr>
          <w:ilvl w:val="1"/>
          <w:numId w:val="918"/>
        </w:numPr>
        <w:tabs>
          <w:tab w:pos="1158" w:val="left" w:leader="none"/>
        </w:tabs>
        <w:spacing w:line="446" w:lineRule="auto" w:before="47" w:after="0"/>
        <w:ind w:left="418" w:right="1606" w:firstLine="419"/>
        <w:jc w:val="left"/>
        <w:rPr>
          <w:sz w:val="21"/>
        </w:rPr>
      </w:pPr>
      <w:r>
        <w:rPr/>
        <w:drawing>
          <wp:anchor distT="0" distB="0" distL="0" distR="0" allowOverlap="1" layoutInCell="1" locked="0" behindDoc="0" simplePos="0" relativeHeight="350">
            <wp:simplePos x="0" y="0"/>
            <wp:positionH relativeFrom="page">
              <wp:posOffset>1430019</wp:posOffset>
            </wp:positionH>
            <wp:positionV relativeFrom="paragraph">
              <wp:posOffset>752855</wp:posOffset>
            </wp:positionV>
            <wp:extent cx="4343594" cy="933450"/>
            <wp:effectExtent l="0" t="0" r="0" b="0"/>
            <wp:wrapTopAndBottom/>
            <wp:docPr id="769" name="image453.jpeg"/>
            <wp:cNvGraphicFramePr>
              <a:graphicFrameLocks noChangeAspect="1"/>
            </wp:cNvGraphicFramePr>
            <a:graphic>
              <a:graphicData uri="http://schemas.openxmlformats.org/drawingml/2006/picture">
                <pic:pic>
                  <pic:nvPicPr>
                    <pic:cNvPr id="770" name="image453.jpeg"/>
                    <pic:cNvPicPr/>
                  </pic:nvPicPr>
                  <pic:blipFill>
                    <a:blip r:embed="rId574" cstate="print"/>
                    <a:stretch>
                      <a:fillRect/>
                    </a:stretch>
                  </pic:blipFill>
                  <pic:spPr>
                    <a:xfrm>
                      <a:off x="0" y="0"/>
                      <a:ext cx="4343594" cy="933450"/>
                    </a:xfrm>
                    <a:prstGeom prst="rect">
                      <a:avLst/>
                    </a:prstGeom>
                  </pic:spPr>
                </pic:pic>
              </a:graphicData>
            </a:graphic>
          </wp:anchor>
        </w:drawing>
      </w:r>
      <w:r>
        <w:rPr/>
        <w:drawing>
          <wp:anchor distT="0" distB="0" distL="0" distR="0" allowOverlap="1" layoutInCell="1" locked="0" behindDoc="0" simplePos="0" relativeHeight="351">
            <wp:simplePos x="0" y="0"/>
            <wp:positionH relativeFrom="page">
              <wp:posOffset>1424939</wp:posOffset>
            </wp:positionH>
            <wp:positionV relativeFrom="paragraph">
              <wp:posOffset>1860295</wp:posOffset>
            </wp:positionV>
            <wp:extent cx="4313900" cy="1581150"/>
            <wp:effectExtent l="0" t="0" r="0" b="0"/>
            <wp:wrapTopAndBottom/>
            <wp:docPr id="771" name="image454.jpeg"/>
            <wp:cNvGraphicFramePr>
              <a:graphicFrameLocks noChangeAspect="1"/>
            </wp:cNvGraphicFramePr>
            <a:graphic>
              <a:graphicData uri="http://schemas.openxmlformats.org/drawingml/2006/picture">
                <pic:pic>
                  <pic:nvPicPr>
                    <pic:cNvPr id="772" name="image454.jpeg"/>
                    <pic:cNvPicPr/>
                  </pic:nvPicPr>
                  <pic:blipFill>
                    <a:blip r:embed="rId575" cstate="print"/>
                    <a:stretch>
                      <a:fillRect/>
                    </a:stretch>
                  </pic:blipFill>
                  <pic:spPr>
                    <a:xfrm>
                      <a:off x="0" y="0"/>
                      <a:ext cx="4313900" cy="1581150"/>
                    </a:xfrm>
                    <a:prstGeom prst="rect">
                      <a:avLst/>
                    </a:prstGeom>
                  </pic:spPr>
                </pic:pic>
              </a:graphicData>
            </a:graphic>
          </wp:anchor>
        </w:drawing>
      </w:r>
      <w:r>
        <w:rPr>
          <w:spacing w:val="-3"/>
          <w:sz w:val="21"/>
        </w:rPr>
        <w:t>轻危险级、中危险级场所中配水支管、配水管控制的标准流量洒水喷头数量，不宜超</w:t>
      </w:r>
      <w:r>
        <w:rPr>
          <w:spacing w:val="-20"/>
          <w:sz w:val="21"/>
        </w:rPr>
        <w:t>过表 </w:t>
      </w:r>
      <w:r>
        <w:rPr>
          <w:sz w:val="21"/>
        </w:rPr>
        <w:t>8.0.9</w:t>
      </w:r>
      <w:r>
        <w:rPr>
          <w:spacing w:val="-13"/>
          <w:sz w:val="21"/>
        </w:rPr>
        <w:t> 的规定。</w:t>
      </w:r>
      <w:r>
        <w:rPr>
          <w:sz w:val="21"/>
        </w:rPr>
        <w:t> </w:t>
      </w:r>
    </w:p>
    <w:p>
      <w:pPr>
        <w:pStyle w:val="BodyText"/>
        <w:spacing w:before="1"/>
        <w:rPr>
          <w:sz w:val="16"/>
        </w:rPr>
      </w:pPr>
    </w:p>
    <w:p>
      <w:pPr>
        <w:pStyle w:val="ListParagraph"/>
        <w:numPr>
          <w:ilvl w:val="1"/>
          <w:numId w:val="918"/>
        </w:numPr>
        <w:tabs>
          <w:tab w:pos="1318" w:val="left" w:leader="none"/>
        </w:tabs>
        <w:spacing w:line="240" w:lineRule="auto" w:before="165" w:after="0"/>
        <w:ind w:left="1318" w:right="0" w:hanging="478"/>
        <w:jc w:val="left"/>
        <w:rPr>
          <w:sz w:val="21"/>
        </w:rPr>
      </w:pPr>
      <w:r>
        <w:rPr>
          <w:spacing w:val="-6"/>
          <w:sz w:val="21"/>
        </w:rPr>
        <w:t>短立管及末端试水装置的连接管，其管径不应小于 </w:t>
      </w:r>
      <w:r>
        <w:rPr>
          <w:sz w:val="21"/>
        </w:rPr>
        <w:t>25mm</w:t>
      </w:r>
      <w:r>
        <w:rPr>
          <w:spacing w:val="-3"/>
          <w:sz w:val="21"/>
        </w:rPr>
        <w:t>。</w:t>
      </w:r>
      <w:r>
        <w:rPr>
          <w:sz w:val="21"/>
        </w:rPr>
        <w:t> </w:t>
      </w:r>
    </w:p>
    <w:p>
      <w:pPr>
        <w:pStyle w:val="BodyText"/>
        <w:spacing w:before="12"/>
        <w:rPr>
          <w:sz w:val="17"/>
        </w:rPr>
      </w:pPr>
    </w:p>
    <w:p>
      <w:pPr>
        <w:pStyle w:val="ListParagraph"/>
        <w:numPr>
          <w:ilvl w:val="1"/>
          <w:numId w:val="918"/>
        </w:numPr>
        <w:tabs>
          <w:tab w:pos="1318" w:val="left" w:leader="none"/>
        </w:tabs>
        <w:spacing w:line="446" w:lineRule="auto" w:before="0" w:after="0"/>
        <w:ind w:left="418" w:right="1455" w:firstLine="422"/>
        <w:jc w:val="left"/>
        <w:rPr>
          <w:sz w:val="21"/>
        </w:rPr>
      </w:pPr>
      <w:r>
        <w:rPr>
          <w:spacing w:val="-3"/>
          <w:sz w:val="21"/>
        </w:rPr>
        <w:t>干式系统、由火灾自动报警系统和充气管道上设置的压力开关开启预作用装置的预作</w:t>
      </w:r>
      <w:r>
        <w:rPr>
          <w:spacing w:val="-5"/>
          <w:sz w:val="21"/>
        </w:rPr>
        <w:t>用系统 ，其配水管道充水时间不宜大于 </w:t>
      </w:r>
      <w:r>
        <w:rPr>
          <w:sz w:val="21"/>
        </w:rPr>
        <w:t>1min</w:t>
      </w:r>
      <w:r>
        <w:rPr>
          <w:spacing w:val="-3"/>
          <w:sz w:val="21"/>
        </w:rPr>
        <w:t>；雨淋系统和仅由火灾自动报警系统联动开启预作</w:t>
      </w:r>
      <w:r>
        <w:rPr>
          <w:spacing w:val="-6"/>
          <w:sz w:val="21"/>
        </w:rPr>
        <w:t>用装置的预作用系统，其配水管道充水时间不宜大于 </w:t>
      </w:r>
      <w:r>
        <w:rPr>
          <w:sz w:val="21"/>
        </w:rPr>
        <w:t>2min</w:t>
      </w:r>
      <w:r>
        <w:rPr>
          <w:spacing w:val="-3"/>
          <w:sz w:val="21"/>
        </w:rPr>
        <w:t>。</w:t>
      </w:r>
      <w:r>
        <w:rPr>
          <w:sz w:val="21"/>
        </w:rPr>
        <w:t> </w:t>
      </w:r>
    </w:p>
    <w:p>
      <w:pPr>
        <w:pStyle w:val="ListParagraph"/>
        <w:numPr>
          <w:ilvl w:val="1"/>
          <w:numId w:val="918"/>
        </w:numPr>
        <w:tabs>
          <w:tab w:pos="1266" w:val="left" w:leader="none"/>
        </w:tabs>
        <w:spacing w:line="446" w:lineRule="auto" w:before="0" w:after="0"/>
        <w:ind w:left="418" w:right="1447" w:firstLine="422"/>
        <w:jc w:val="left"/>
        <w:rPr>
          <w:sz w:val="21"/>
        </w:rPr>
      </w:pPr>
      <w:r>
        <w:rPr>
          <w:spacing w:val="-5"/>
          <w:sz w:val="21"/>
        </w:rPr>
        <w:t>干式系统、预作用系统的供气管道，采用钢管时，管径不宜小于 </w:t>
      </w:r>
      <w:r>
        <w:rPr>
          <w:sz w:val="21"/>
        </w:rPr>
        <w:t>15mm</w:t>
      </w:r>
      <w:r>
        <w:rPr>
          <w:spacing w:val="-2"/>
          <w:sz w:val="21"/>
        </w:rPr>
        <w:t>；采用铜管时， </w:t>
      </w:r>
      <w:r>
        <w:rPr>
          <w:spacing w:val="-11"/>
          <w:sz w:val="21"/>
        </w:rPr>
        <w:t>管径不宜小于 </w:t>
      </w:r>
      <w:r>
        <w:rPr>
          <w:sz w:val="21"/>
        </w:rPr>
        <w:t>10mm</w:t>
      </w:r>
      <w:r>
        <w:rPr>
          <w:spacing w:val="-3"/>
          <w:sz w:val="21"/>
        </w:rPr>
        <w:t>。</w:t>
      </w:r>
      <w:r>
        <w:rPr>
          <w:sz w:val="21"/>
        </w:rPr>
        <w:t> </w:t>
      </w:r>
    </w:p>
    <w:p>
      <w:pPr>
        <w:pStyle w:val="ListParagraph"/>
        <w:numPr>
          <w:ilvl w:val="1"/>
          <w:numId w:val="918"/>
        </w:numPr>
        <w:tabs>
          <w:tab w:pos="1266" w:val="left" w:leader="none"/>
        </w:tabs>
        <w:spacing w:line="446" w:lineRule="auto" w:before="0" w:after="0"/>
        <w:ind w:left="418" w:right="1553" w:firstLine="422"/>
        <w:jc w:val="left"/>
        <w:rPr>
          <w:sz w:val="21"/>
        </w:rPr>
      </w:pPr>
      <w:r>
        <w:rPr>
          <w:spacing w:val="-5"/>
          <w:sz w:val="21"/>
        </w:rPr>
        <w:t>水平设置的管道宜有坡度，并应坡向泄水阀。充水管道的坡度不宜小于 </w:t>
      </w:r>
      <w:r>
        <w:rPr>
          <w:sz w:val="21"/>
        </w:rPr>
        <w:t>2‰</w:t>
      </w:r>
      <w:r>
        <w:rPr>
          <w:spacing w:val="-1"/>
          <w:sz w:val="21"/>
        </w:rPr>
        <w:t>，准工作</w:t>
      </w:r>
      <w:r>
        <w:rPr>
          <w:spacing w:val="-7"/>
          <w:sz w:val="21"/>
        </w:rPr>
        <w:t>状态不充水管道的坡度不宜小于 </w:t>
      </w:r>
      <w:r>
        <w:rPr>
          <w:sz w:val="21"/>
        </w:rPr>
        <w:t>4</w:t>
      </w:r>
      <w:r>
        <w:rPr>
          <w:spacing w:val="-2"/>
          <w:sz w:val="21"/>
        </w:rPr>
        <w:t>‰。</w:t>
      </w:r>
      <w:r>
        <w:rPr>
          <w:sz w:val="21"/>
        </w:rPr>
        <w:t> </w:t>
      </w:r>
    </w:p>
    <w:p>
      <w:pPr>
        <w:pStyle w:val="Heading4"/>
        <w:spacing w:line="278" w:lineRule="exact"/>
      </w:pPr>
      <w:r>
        <w:rPr/>
        <w:t>9 水力计算</w:t>
      </w:r>
      <w:r>
        <w:rPr>
          <w:w w:val="99"/>
        </w:rPr>
        <w:t> </w:t>
      </w:r>
    </w:p>
    <w:p>
      <w:pPr>
        <w:pStyle w:val="BodyText"/>
        <w:spacing w:before="3"/>
        <w:rPr>
          <w:b/>
          <w:sz w:val="17"/>
        </w:rPr>
      </w:pPr>
    </w:p>
    <w:p>
      <w:pPr>
        <w:pStyle w:val="ListParagraph"/>
        <w:numPr>
          <w:ilvl w:val="1"/>
          <w:numId w:val="919"/>
        </w:numPr>
        <w:tabs>
          <w:tab w:pos="736" w:val="left" w:leader="none"/>
        </w:tabs>
        <w:spacing w:line="240" w:lineRule="auto" w:before="0" w:after="0"/>
        <w:ind w:left="735" w:right="0" w:hanging="318"/>
        <w:jc w:val="left"/>
        <w:rPr>
          <w:sz w:val="24"/>
        </w:rPr>
      </w:pPr>
      <w:r>
        <w:rPr>
          <w:spacing w:val="-3"/>
          <w:sz w:val="21"/>
        </w:rPr>
        <w:t>系统的设计流量</w:t>
      </w:r>
      <w:r>
        <w:rPr>
          <w:color w:val="333333"/>
          <w:sz w:val="24"/>
        </w:rPr>
        <w:t> </w:t>
      </w:r>
    </w:p>
    <w:p>
      <w:pPr>
        <w:pStyle w:val="BodyText"/>
        <w:spacing w:before="12"/>
        <w:rPr>
          <w:sz w:val="17"/>
        </w:rPr>
      </w:pPr>
    </w:p>
    <w:p>
      <w:pPr>
        <w:pStyle w:val="ListParagraph"/>
        <w:numPr>
          <w:ilvl w:val="2"/>
          <w:numId w:val="919"/>
        </w:numPr>
        <w:tabs>
          <w:tab w:pos="1422" w:val="left" w:leader="none"/>
        </w:tabs>
        <w:spacing w:line="240" w:lineRule="auto" w:before="0" w:after="0"/>
        <w:ind w:left="1421" w:right="0" w:hanging="584"/>
        <w:jc w:val="left"/>
        <w:rPr>
          <w:sz w:val="21"/>
        </w:rPr>
      </w:pPr>
      <w:r>
        <w:rPr>
          <w:spacing w:val="-3"/>
          <w:sz w:val="21"/>
        </w:rPr>
        <w:t>系统最不利点处喷头的工作压力应计算确定，喷头的流量应按下式计算： </w:t>
      </w:r>
    </w:p>
    <w:p>
      <w:pPr>
        <w:pStyle w:val="BodyText"/>
        <w:rPr>
          <w:sz w:val="20"/>
        </w:rPr>
      </w:pPr>
    </w:p>
    <w:p>
      <w:pPr>
        <w:pStyle w:val="BodyText"/>
        <w:spacing w:before="1"/>
        <w:rPr>
          <w:sz w:val="17"/>
        </w:rPr>
      </w:pPr>
      <w:r>
        <w:rPr/>
        <w:drawing>
          <wp:anchor distT="0" distB="0" distL="0" distR="0" allowOverlap="1" layoutInCell="1" locked="0" behindDoc="0" simplePos="0" relativeHeight="352">
            <wp:simplePos x="0" y="0"/>
            <wp:positionH relativeFrom="page">
              <wp:posOffset>1818004</wp:posOffset>
            </wp:positionH>
            <wp:positionV relativeFrom="paragraph">
              <wp:posOffset>163794</wp:posOffset>
            </wp:positionV>
            <wp:extent cx="3961775" cy="304800"/>
            <wp:effectExtent l="0" t="0" r="0" b="0"/>
            <wp:wrapTopAndBottom/>
            <wp:docPr id="773" name="image455.jpeg"/>
            <wp:cNvGraphicFramePr>
              <a:graphicFrameLocks noChangeAspect="1"/>
            </wp:cNvGraphicFramePr>
            <a:graphic>
              <a:graphicData uri="http://schemas.openxmlformats.org/drawingml/2006/picture">
                <pic:pic>
                  <pic:nvPicPr>
                    <pic:cNvPr id="774" name="image455.jpeg"/>
                    <pic:cNvPicPr/>
                  </pic:nvPicPr>
                  <pic:blipFill>
                    <a:blip r:embed="rId576" cstate="print"/>
                    <a:stretch>
                      <a:fillRect/>
                    </a:stretch>
                  </pic:blipFill>
                  <pic:spPr>
                    <a:xfrm>
                      <a:off x="0" y="0"/>
                      <a:ext cx="3961775" cy="304800"/>
                    </a:xfrm>
                    <a:prstGeom prst="rect">
                      <a:avLst/>
                    </a:prstGeom>
                  </pic:spPr>
                </pic:pic>
              </a:graphicData>
            </a:graphic>
          </wp:anchor>
        </w:drawing>
      </w:r>
    </w:p>
    <w:p>
      <w:pPr>
        <w:pStyle w:val="BodyText"/>
        <w:spacing w:line="424" w:lineRule="auto" w:before="155"/>
        <w:ind w:left="838" w:right="6551"/>
      </w:pPr>
      <w:r>
        <w:rPr/>
        <w:t>式中：</w:t>
      </w:r>
      <w:r>
        <w:rPr>
          <w:i/>
          <w:sz w:val="22"/>
        </w:rPr>
        <w:t>q</w:t>
      </w:r>
      <w:r>
        <w:rPr>
          <w:spacing w:val="-2"/>
        </w:rPr>
        <w:t>——喷头流量</w:t>
      </w:r>
      <w:r>
        <w:rPr/>
        <w:t>（L/min）； </w:t>
      </w:r>
      <w:r>
        <w:rPr>
          <w:i/>
          <w:sz w:val="22"/>
        </w:rPr>
        <w:t>P</w:t>
      </w:r>
      <w:r>
        <w:rPr>
          <w:spacing w:val="-3"/>
        </w:rPr>
        <w:t>——喷头工作压力</w:t>
      </w:r>
      <w:r>
        <w:rPr/>
        <w:t>（MPa）； </w:t>
      </w:r>
      <w:r>
        <w:rPr>
          <w:i/>
          <w:sz w:val="22"/>
        </w:rPr>
        <w:t>K</w:t>
      </w:r>
      <w:r>
        <w:rPr>
          <w:spacing w:val="-3"/>
        </w:rPr>
        <w:t>——喷头流量系数。</w:t>
      </w:r>
      <w:r>
        <w:rPr/>
        <w:t> </w:t>
      </w:r>
    </w:p>
    <w:p>
      <w:pPr>
        <w:spacing w:after="0" w:line="424" w:lineRule="auto"/>
        <w:sectPr>
          <w:pgSz w:w="11910" w:h="16850"/>
          <w:pgMar w:header="0" w:footer="1239" w:top="1220" w:bottom="1420" w:left="1260" w:right="0"/>
        </w:sectPr>
      </w:pPr>
    </w:p>
    <w:p>
      <w:pPr>
        <w:pStyle w:val="ListParagraph"/>
        <w:numPr>
          <w:ilvl w:val="2"/>
          <w:numId w:val="919"/>
        </w:numPr>
        <w:tabs>
          <w:tab w:pos="1424" w:val="left" w:leader="none"/>
        </w:tabs>
        <w:spacing w:line="446" w:lineRule="auto" w:before="47" w:after="0"/>
        <w:ind w:left="418" w:right="1445" w:firstLine="422"/>
        <w:jc w:val="left"/>
        <w:rPr>
          <w:sz w:val="21"/>
        </w:rPr>
      </w:pPr>
      <w:r>
        <w:rPr>
          <w:spacing w:val="-3"/>
          <w:sz w:val="21"/>
        </w:rPr>
        <w:t>水力计算选定的最不利点处作用面积宜为矩形，其长边应平行于配水支管，其长度不</w:t>
      </w:r>
      <w:r>
        <w:rPr>
          <w:spacing w:val="-8"/>
          <w:sz w:val="21"/>
        </w:rPr>
        <w:t>宜小于作用面积平方根的 </w:t>
      </w:r>
      <w:r>
        <w:rPr>
          <w:sz w:val="21"/>
        </w:rPr>
        <w:t>1.2</w:t>
      </w:r>
      <w:r>
        <w:rPr>
          <w:spacing w:val="-2"/>
          <w:sz w:val="21"/>
        </w:rPr>
        <w:t> 倍。</w:t>
      </w:r>
      <w:r>
        <w:rPr>
          <w:sz w:val="21"/>
        </w:rPr>
        <w:t> </w:t>
      </w:r>
    </w:p>
    <w:p>
      <w:pPr>
        <w:pStyle w:val="ListParagraph"/>
        <w:numPr>
          <w:ilvl w:val="2"/>
          <w:numId w:val="919"/>
        </w:numPr>
        <w:tabs>
          <w:tab w:pos="1367" w:val="left" w:leader="none"/>
        </w:tabs>
        <w:spacing w:line="446" w:lineRule="auto" w:before="0" w:after="0"/>
        <w:ind w:left="418" w:right="1606" w:firstLine="419"/>
        <w:jc w:val="left"/>
        <w:rPr>
          <w:sz w:val="21"/>
        </w:rPr>
      </w:pPr>
      <w:r>
        <w:rPr/>
        <w:drawing>
          <wp:anchor distT="0" distB="0" distL="0" distR="0" allowOverlap="1" layoutInCell="1" locked="0" behindDoc="0" simplePos="0" relativeHeight="252019712">
            <wp:simplePos x="0" y="0"/>
            <wp:positionH relativeFrom="page">
              <wp:posOffset>1806575</wp:posOffset>
            </wp:positionH>
            <wp:positionV relativeFrom="paragraph">
              <wp:posOffset>620902</wp:posOffset>
            </wp:positionV>
            <wp:extent cx="4061460" cy="527050"/>
            <wp:effectExtent l="0" t="0" r="0" b="0"/>
            <wp:wrapNone/>
            <wp:docPr id="775" name="image456.jpeg"/>
            <wp:cNvGraphicFramePr>
              <a:graphicFrameLocks noChangeAspect="1"/>
            </wp:cNvGraphicFramePr>
            <a:graphic>
              <a:graphicData uri="http://schemas.openxmlformats.org/drawingml/2006/picture">
                <pic:pic>
                  <pic:nvPicPr>
                    <pic:cNvPr id="776" name="image456.jpeg"/>
                    <pic:cNvPicPr/>
                  </pic:nvPicPr>
                  <pic:blipFill>
                    <a:blip r:embed="rId578" cstate="print"/>
                    <a:stretch>
                      <a:fillRect/>
                    </a:stretch>
                  </pic:blipFill>
                  <pic:spPr>
                    <a:xfrm>
                      <a:off x="0" y="0"/>
                      <a:ext cx="4061460" cy="527050"/>
                    </a:xfrm>
                    <a:prstGeom prst="rect">
                      <a:avLst/>
                    </a:prstGeom>
                  </pic:spPr>
                </pic:pic>
              </a:graphicData>
            </a:graphic>
          </wp:anchor>
        </w:drawing>
      </w:r>
      <w:r>
        <w:rPr>
          <w:spacing w:val="-3"/>
          <w:sz w:val="21"/>
        </w:rPr>
        <w:t>系统的设计流量，应按最不利点处作用面积内喷头同时喷水的总流量确定，且应按下式计算：</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6"/>
        </w:rPr>
      </w:pPr>
    </w:p>
    <w:p>
      <w:pPr>
        <w:pStyle w:val="BodyText"/>
        <w:spacing w:before="1"/>
        <w:ind w:left="838"/>
      </w:pPr>
      <w:r>
        <w:rPr/>
        <w:t>式中：</w:t>
      </w:r>
      <w:r>
        <w:rPr>
          <w:i/>
          <w:sz w:val="22"/>
        </w:rPr>
        <w:t>Q</w:t>
      </w:r>
      <w:r>
        <w:rPr/>
        <w:t>——系统设计流量（L/s）； </w:t>
      </w:r>
    </w:p>
    <w:p>
      <w:pPr>
        <w:pStyle w:val="BodyText"/>
        <w:spacing w:before="1"/>
        <w:rPr>
          <w:sz w:val="17"/>
        </w:rPr>
      </w:pPr>
    </w:p>
    <w:p>
      <w:pPr>
        <w:pStyle w:val="BodyText"/>
        <w:spacing w:line="424" w:lineRule="auto"/>
        <w:ind w:left="838" w:right="4184"/>
      </w:pPr>
      <w:r>
        <w:rPr>
          <w:i/>
          <w:position w:val="1"/>
          <w:sz w:val="22"/>
        </w:rPr>
        <w:t>q</w:t>
      </w:r>
      <w:r>
        <w:rPr>
          <w:sz w:val="11"/>
        </w:rPr>
        <w:t>i</w:t>
      </w:r>
      <w:r>
        <w:rPr>
          <w:position w:val="1"/>
        </w:rPr>
        <w:t>——最不利点处作用面积内各喷头节点的流量（L/min）； </w:t>
      </w:r>
      <w:r>
        <w:rPr>
          <w:i/>
          <w:sz w:val="22"/>
        </w:rPr>
        <w:t>n</w:t>
      </w:r>
      <w:r>
        <w:rPr/>
        <w:t>——最不利点处作用面积内的洒水喷头数。 </w:t>
      </w:r>
    </w:p>
    <w:p>
      <w:pPr>
        <w:pStyle w:val="ListParagraph"/>
        <w:numPr>
          <w:ilvl w:val="2"/>
          <w:numId w:val="919"/>
        </w:numPr>
        <w:tabs>
          <w:tab w:pos="1370" w:val="left" w:leader="none"/>
        </w:tabs>
        <w:spacing w:line="446" w:lineRule="auto" w:before="11" w:after="0"/>
        <w:ind w:left="418" w:right="1604" w:firstLine="422"/>
        <w:jc w:val="left"/>
        <w:rPr>
          <w:sz w:val="21"/>
        </w:rPr>
      </w:pPr>
      <w:r>
        <w:rPr>
          <w:spacing w:val="-3"/>
          <w:sz w:val="21"/>
        </w:rPr>
        <w:t>保护防火卷帘、防火玻璃墙等防火分隔设施的防护冷却系统，系统的设计流量应按计算长度内喷头同时喷水的总流量确定。计算长度应符合下列要求：</w:t>
      </w:r>
      <w:r>
        <w:rPr>
          <w:sz w:val="21"/>
        </w:rPr>
        <w:t> </w:t>
      </w:r>
    </w:p>
    <w:p>
      <w:pPr>
        <w:pStyle w:val="BodyText"/>
        <w:rPr>
          <w:sz w:val="20"/>
        </w:rPr>
      </w:pPr>
    </w:p>
    <w:p>
      <w:pPr>
        <w:pStyle w:val="BodyText"/>
        <w:rPr>
          <w:sz w:val="19"/>
        </w:rPr>
      </w:pPr>
    </w:p>
    <w:p>
      <w:pPr>
        <w:pStyle w:val="BodyText"/>
        <w:spacing w:line="446" w:lineRule="auto"/>
        <w:ind w:left="418" w:right="1609" w:firstLine="419"/>
      </w:pPr>
      <w:r>
        <w:rPr>
          <w:spacing w:val="-5"/>
        </w:rPr>
        <w:t>当设置场所设有自动喷水灭火系统时，计算长度不应小于本规范第 </w:t>
      </w:r>
      <w:r>
        <w:rPr/>
        <w:t>9.1.2</w:t>
      </w:r>
      <w:r>
        <w:rPr>
          <w:spacing w:val="-7"/>
        </w:rPr>
        <w:t> 条确定的长边长</w:t>
      </w:r>
      <w:r>
        <w:rPr>
          <w:spacing w:val="-5"/>
        </w:rPr>
        <w:t>度；</w:t>
      </w:r>
      <w:r>
        <w:rPr/>
        <w:t> </w:t>
      </w:r>
    </w:p>
    <w:p>
      <w:pPr>
        <w:pStyle w:val="BodyText"/>
        <w:spacing w:line="446" w:lineRule="auto"/>
        <w:ind w:left="418" w:right="1609" w:firstLine="419"/>
      </w:pPr>
      <w:r>
        <w:rPr/>
        <w:t>当设置场所未设置自动喷水灭火系统时，计算长度不应小于任意一个防火分区内所有需保护的防火分隔设施总长度之和。 </w:t>
      </w:r>
    </w:p>
    <w:p>
      <w:pPr>
        <w:pStyle w:val="ListParagraph"/>
        <w:numPr>
          <w:ilvl w:val="2"/>
          <w:numId w:val="919"/>
        </w:numPr>
        <w:tabs>
          <w:tab w:pos="1424" w:val="left" w:leader="none"/>
        </w:tabs>
        <w:spacing w:line="446" w:lineRule="auto" w:before="0" w:after="0"/>
        <w:ind w:left="418" w:right="1450" w:firstLine="422"/>
        <w:jc w:val="left"/>
        <w:rPr>
          <w:sz w:val="21"/>
        </w:rPr>
      </w:pPr>
      <w:r>
        <w:rPr>
          <w:spacing w:val="-3"/>
          <w:sz w:val="21"/>
        </w:rPr>
        <w:t>系统设计流量的计算，应保证任意作用面积内的平均喷水强度不低于本规范表  5.0.1</w:t>
      </w:r>
      <w:r>
        <w:rPr>
          <w:spacing w:val="-20"/>
          <w:sz w:val="21"/>
        </w:rPr>
        <w:t>、表 </w:t>
      </w:r>
      <w:r>
        <w:rPr>
          <w:sz w:val="21"/>
        </w:rPr>
        <w:t>5.0.2</w:t>
      </w:r>
      <w:r>
        <w:rPr>
          <w:spacing w:val="-13"/>
          <w:sz w:val="21"/>
        </w:rPr>
        <w:t> 和表 </w:t>
      </w:r>
      <w:r>
        <w:rPr>
          <w:sz w:val="21"/>
        </w:rPr>
        <w:t>5.0.4-1～</w:t>
      </w:r>
      <w:r>
        <w:rPr>
          <w:spacing w:val="-25"/>
          <w:sz w:val="21"/>
        </w:rPr>
        <w:t>表 </w:t>
      </w:r>
      <w:r>
        <w:rPr>
          <w:sz w:val="21"/>
        </w:rPr>
        <w:t>5.0.4-5</w:t>
      </w:r>
      <w:r>
        <w:rPr>
          <w:spacing w:val="-11"/>
          <w:sz w:val="21"/>
        </w:rPr>
        <w:t> 的规定值。最不利点处作用面积内任意 </w:t>
      </w:r>
      <w:r>
        <w:rPr>
          <w:sz w:val="21"/>
        </w:rPr>
        <w:t>4</w:t>
      </w:r>
      <w:r>
        <w:rPr>
          <w:spacing w:val="-12"/>
          <w:sz w:val="21"/>
        </w:rPr>
        <w:t> 只喷头围</w:t>
      </w:r>
      <w:r>
        <w:rPr>
          <w:spacing w:val="-8"/>
          <w:sz w:val="21"/>
        </w:rPr>
        <w:t>合范围内的平均喷水强度，轻危险、中危险级不应低于本规范表 </w:t>
      </w:r>
      <w:r>
        <w:rPr>
          <w:sz w:val="21"/>
        </w:rPr>
        <w:t>5.0.1</w:t>
      </w:r>
      <w:r>
        <w:rPr>
          <w:spacing w:val="-15"/>
          <w:sz w:val="21"/>
        </w:rPr>
        <w:t> 规定值的 </w:t>
      </w:r>
      <w:r>
        <w:rPr>
          <w:sz w:val="21"/>
        </w:rPr>
        <w:t>85</w:t>
      </w:r>
      <w:r>
        <w:rPr>
          <w:spacing w:val="-1"/>
          <w:sz w:val="21"/>
        </w:rPr>
        <w:t>%；严重危险</w:t>
      </w:r>
      <w:r>
        <w:rPr>
          <w:spacing w:val="-7"/>
          <w:sz w:val="21"/>
        </w:rPr>
        <w:t>级和仓库危险级不应低于本规范表 </w:t>
      </w:r>
      <w:r>
        <w:rPr>
          <w:sz w:val="21"/>
        </w:rPr>
        <w:t>5.0.1</w:t>
      </w:r>
      <w:r>
        <w:rPr>
          <w:spacing w:val="-29"/>
          <w:sz w:val="21"/>
        </w:rPr>
        <w:t> 和表 </w:t>
      </w:r>
      <w:r>
        <w:rPr>
          <w:sz w:val="21"/>
        </w:rPr>
        <w:t>5.0.4-1～</w:t>
      </w:r>
      <w:r>
        <w:rPr>
          <w:spacing w:val="-26"/>
          <w:sz w:val="21"/>
        </w:rPr>
        <w:t>表 </w:t>
      </w:r>
      <w:r>
        <w:rPr>
          <w:sz w:val="21"/>
        </w:rPr>
        <w:t>5.0.4-5</w:t>
      </w:r>
      <w:r>
        <w:rPr>
          <w:spacing w:val="-11"/>
          <w:sz w:val="21"/>
        </w:rPr>
        <w:t> 的规定值。 </w:t>
      </w:r>
    </w:p>
    <w:p>
      <w:pPr>
        <w:pStyle w:val="ListParagraph"/>
        <w:numPr>
          <w:ilvl w:val="2"/>
          <w:numId w:val="919"/>
        </w:numPr>
        <w:tabs>
          <w:tab w:pos="1424" w:val="left" w:leader="none"/>
        </w:tabs>
        <w:spacing w:line="446" w:lineRule="auto" w:before="0" w:after="0"/>
        <w:ind w:left="418" w:right="1445" w:firstLine="422"/>
        <w:jc w:val="left"/>
        <w:rPr>
          <w:sz w:val="21"/>
        </w:rPr>
      </w:pPr>
      <w:r>
        <w:rPr>
          <w:spacing w:val="-3"/>
          <w:sz w:val="21"/>
        </w:rPr>
        <w:t>设置货架内置洒水喷头的仓库，顶板下洒水喷头与货架内置洒水喷头应分别计算设计流量，并应按其设计流量之和确定系统的设计流量。 </w:t>
      </w:r>
    </w:p>
    <w:p>
      <w:pPr>
        <w:pStyle w:val="ListParagraph"/>
        <w:numPr>
          <w:ilvl w:val="2"/>
          <w:numId w:val="919"/>
        </w:numPr>
        <w:tabs>
          <w:tab w:pos="1424" w:val="left" w:leader="none"/>
        </w:tabs>
        <w:spacing w:line="446" w:lineRule="auto" w:before="0" w:after="0"/>
        <w:ind w:left="418" w:right="1445" w:firstLine="422"/>
        <w:jc w:val="left"/>
        <w:rPr>
          <w:sz w:val="21"/>
        </w:rPr>
      </w:pPr>
      <w:r>
        <w:rPr>
          <w:spacing w:val="-3"/>
          <w:sz w:val="21"/>
        </w:rPr>
        <w:t>建筑内设有不同类型的系统或有不同危险等级的场所时，系统的设计流量应按其设计流量的最大值确定。</w:t>
      </w:r>
      <w:r>
        <w:rPr>
          <w:sz w:val="21"/>
        </w:rPr>
        <w:t> </w:t>
      </w:r>
    </w:p>
    <w:p>
      <w:pPr>
        <w:pStyle w:val="ListParagraph"/>
        <w:numPr>
          <w:ilvl w:val="2"/>
          <w:numId w:val="919"/>
        </w:numPr>
        <w:tabs>
          <w:tab w:pos="1371" w:val="left" w:leader="none"/>
        </w:tabs>
        <w:spacing w:line="446" w:lineRule="auto" w:before="0" w:after="0"/>
        <w:ind w:left="418" w:right="1604" w:firstLine="422"/>
        <w:jc w:val="left"/>
        <w:rPr>
          <w:sz w:val="21"/>
        </w:rPr>
      </w:pPr>
      <w:r>
        <w:rPr>
          <w:spacing w:val="-3"/>
          <w:sz w:val="21"/>
        </w:rPr>
        <w:t>当建筑物内同时设有自动喷水灭火系统和水幕系统时，系统的设计流量应按同时启用的自动喷水灭火系统和水幕系统的用水量计算，并应按二者之和中的最大值确定。</w:t>
      </w:r>
      <w:r>
        <w:rPr>
          <w:sz w:val="21"/>
        </w:rPr>
        <w:t> </w:t>
      </w:r>
    </w:p>
    <w:p>
      <w:pPr>
        <w:pStyle w:val="ListParagraph"/>
        <w:numPr>
          <w:ilvl w:val="2"/>
          <w:numId w:val="919"/>
        </w:numPr>
        <w:tabs>
          <w:tab w:pos="1371" w:val="left" w:leader="none"/>
        </w:tabs>
        <w:spacing w:line="240" w:lineRule="auto" w:before="0" w:after="0"/>
        <w:ind w:left="1370" w:right="0" w:hanging="531"/>
        <w:jc w:val="left"/>
        <w:rPr>
          <w:sz w:val="21"/>
        </w:rPr>
      </w:pPr>
      <w:r>
        <w:rPr>
          <w:spacing w:val="-3"/>
          <w:sz w:val="21"/>
        </w:rPr>
        <w:t>雨淋系统和水幕系统的设计流量，应按雨淋报警阀控制的洒水喷头的流量之和确</w:t>
      </w:r>
    </w:p>
    <w:p>
      <w:pPr>
        <w:spacing w:after="0" w:line="240" w:lineRule="auto"/>
        <w:jc w:val="left"/>
        <w:rPr>
          <w:sz w:val="21"/>
        </w:rPr>
        <w:sectPr>
          <w:footerReference w:type="default" r:id="rId577"/>
          <w:pgSz w:w="11910" w:h="16850"/>
          <w:pgMar w:footer="1239" w:header="0" w:top="1220" w:bottom="1420" w:left="1260" w:right="0"/>
          <w:pgNumType w:start="1600"/>
        </w:sectPr>
      </w:pPr>
    </w:p>
    <w:p>
      <w:pPr>
        <w:pStyle w:val="BodyText"/>
        <w:spacing w:line="446" w:lineRule="auto" w:before="47"/>
        <w:ind w:left="418" w:right="1608"/>
      </w:pPr>
      <w:r>
        <w:rPr/>
        <w:t>定。多个雨淋报警阀并联的雨淋系统，系统设计流量应按同时启用雨淋报警阀的流量之和的最大值确定。 </w:t>
      </w:r>
    </w:p>
    <w:p>
      <w:pPr>
        <w:pStyle w:val="ListParagraph"/>
        <w:numPr>
          <w:ilvl w:val="2"/>
          <w:numId w:val="919"/>
        </w:numPr>
        <w:tabs>
          <w:tab w:pos="1478" w:val="left" w:leader="none"/>
        </w:tabs>
        <w:spacing w:line="446" w:lineRule="auto" w:before="0" w:after="0"/>
        <w:ind w:left="418" w:right="1498" w:firstLine="422"/>
        <w:jc w:val="left"/>
        <w:rPr>
          <w:sz w:val="21"/>
        </w:rPr>
      </w:pPr>
      <w:r>
        <w:rPr>
          <w:spacing w:val="-3"/>
          <w:sz w:val="21"/>
        </w:rPr>
        <w:t>当原有系统延伸管道、扩展保护范围时，应对增设洒水喷头后的系统重新进行水力计算。</w:t>
      </w:r>
      <w:r>
        <w:rPr>
          <w:sz w:val="21"/>
        </w:rPr>
        <w:t> </w:t>
      </w:r>
    </w:p>
    <w:p>
      <w:pPr>
        <w:pStyle w:val="ListParagraph"/>
        <w:numPr>
          <w:ilvl w:val="1"/>
          <w:numId w:val="919"/>
        </w:numPr>
        <w:tabs>
          <w:tab w:pos="1159" w:val="left" w:leader="none"/>
        </w:tabs>
        <w:spacing w:line="240" w:lineRule="auto" w:before="0" w:after="0"/>
        <w:ind w:left="1158" w:right="0" w:hanging="319"/>
        <w:jc w:val="left"/>
        <w:rPr>
          <w:b/>
          <w:sz w:val="21"/>
        </w:rPr>
      </w:pPr>
      <w:r>
        <w:rPr>
          <w:spacing w:val="-3"/>
          <w:sz w:val="21"/>
        </w:rPr>
        <w:t>管道水力计算</w:t>
      </w:r>
      <w:r>
        <w:rPr>
          <w:b/>
          <w:w w:val="99"/>
          <w:sz w:val="21"/>
        </w:rPr>
        <w:t> </w:t>
      </w:r>
    </w:p>
    <w:p>
      <w:pPr>
        <w:pStyle w:val="BodyText"/>
        <w:spacing w:before="10"/>
        <w:rPr>
          <w:b/>
          <w:sz w:val="17"/>
        </w:rPr>
      </w:pPr>
    </w:p>
    <w:p>
      <w:pPr>
        <w:pStyle w:val="ListParagraph"/>
        <w:numPr>
          <w:ilvl w:val="2"/>
          <w:numId w:val="919"/>
        </w:numPr>
        <w:tabs>
          <w:tab w:pos="1424" w:val="left" w:leader="none"/>
        </w:tabs>
        <w:spacing w:line="240" w:lineRule="auto" w:before="0" w:after="0"/>
        <w:ind w:left="1423" w:right="0" w:hanging="584"/>
        <w:jc w:val="left"/>
        <w:rPr>
          <w:sz w:val="21"/>
        </w:rPr>
      </w:pPr>
      <w:r>
        <w:rPr>
          <w:spacing w:val="-6"/>
          <w:sz w:val="21"/>
        </w:rPr>
        <w:t>管道内的水流速度宜采用经济流速，必要时可超过 </w:t>
      </w:r>
      <w:r>
        <w:rPr>
          <w:sz w:val="21"/>
        </w:rPr>
        <w:t>5m/s</w:t>
      </w:r>
      <w:r>
        <w:rPr>
          <w:spacing w:val="-10"/>
          <w:sz w:val="21"/>
        </w:rPr>
        <w:t>，但不应大于 </w:t>
      </w:r>
      <w:r>
        <w:rPr>
          <w:sz w:val="21"/>
        </w:rPr>
        <w:t>10m/s</w:t>
      </w:r>
      <w:r>
        <w:rPr>
          <w:spacing w:val="-3"/>
          <w:sz w:val="21"/>
        </w:rPr>
        <w:t>。</w:t>
      </w:r>
      <w:r>
        <w:rPr>
          <w:sz w:val="21"/>
        </w:rPr>
        <w:t> </w:t>
      </w:r>
    </w:p>
    <w:p>
      <w:pPr>
        <w:pStyle w:val="BodyText"/>
        <w:spacing w:before="2"/>
        <w:rPr>
          <w:sz w:val="18"/>
        </w:rPr>
      </w:pPr>
    </w:p>
    <w:p>
      <w:pPr>
        <w:pStyle w:val="ListParagraph"/>
        <w:numPr>
          <w:ilvl w:val="2"/>
          <w:numId w:val="919"/>
        </w:numPr>
        <w:tabs>
          <w:tab w:pos="1424" w:val="left" w:leader="none"/>
        </w:tabs>
        <w:spacing w:line="240" w:lineRule="auto" w:before="0" w:after="0"/>
        <w:ind w:left="1423" w:right="0" w:hanging="584"/>
        <w:jc w:val="left"/>
        <w:rPr>
          <w:sz w:val="21"/>
        </w:rPr>
      </w:pPr>
      <w:r>
        <w:rPr>
          <w:spacing w:val="-3"/>
          <w:sz w:val="21"/>
        </w:rPr>
        <w:t>管道单位长度的沿程阻力损失应按下式计算： </w:t>
      </w:r>
    </w:p>
    <w:p>
      <w:pPr>
        <w:pStyle w:val="BodyText"/>
        <w:rPr>
          <w:sz w:val="20"/>
        </w:rPr>
      </w:pPr>
    </w:p>
    <w:p>
      <w:pPr>
        <w:pStyle w:val="BodyText"/>
        <w:spacing w:before="7"/>
        <w:rPr>
          <w:sz w:val="23"/>
        </w:rPr>
      </w:pPr>
      <w:r>
        <w:rPr/>
        <w:drawing>
          <wp:anchor distT="0" distB="0" distL="0" distR="0" allowOverlap="1" layoutInCell="1" locked="0" behindDoc="0" simplePos="0" relativeHeight="354">
            <wp:simplePos x="0" y="0"/>
            <wp:positionH relativeFrom="page">
              <wp:posOffset>1330960</wp:posOffset>
            </wp:positionH>
            <wp:positionV relativeFrom="paragraph">
              <wp:posOffset>216852</wp:posOffset>
            </wp:positionV>
            <wp:extent cx="4319753" cy="533400"/>
            <wp:effectExtent l="0" t="0" r="0" b="0"/>
            <wp:wrapTopAndBottom/>
            <wp:docPr id="777" name="image457.jpeg"/>
            <wp:cNvGraphicFramePr>
              <a:graphicFrameLocks noChangeAspect="1"/>
            </wp:cNvGraphicFramePr>
            <a:graphic>
              <a:graphicData uri="http://schemas.openxmlformats.org/drawingml/2006/picture">
                <pic:pic>
                  <pic:nvPicPr>
                    <pic:cNvPr id="778" name="image457.jpeg"/>
                    <pic:cNvPicPr/>
                  </pic:nvPicPr>
                  <pic:blipFill>
                    <a:blip r:embed="rId579" cstate="print"/>
                    <a:stretch>
                      <a:fillRect/>
                    </a:stretch>
                  </pic:blipFill>
                  <pic:spPr>
                    <a:xfrm>
                      <a:off x="0" y="0"/>
                      <a:ext cx="4319753" cy="533400"/>
                    </a:xfrm>
                    <a:prstGeom prst="rect">
                      <a:avLst/>
                    </a:prstGeom>
                  </pic:spPr>
                </pic:pic>
              </a:graphicData>
            </a:graphic>
          </wp:anchor>
        </w:drawing>
      </w:r>
    </w:p>
    <w:p>
      <w:pPr>
        <w:pStyle w:val="BodyText"/>
        <w:rPr>
          <w:sz w:val="20"/>
        </w:rPr>
      </w:pPr>
    </w:p>
    <w:p>
      <w:pPr>
        <w:pStyle w:val="BodyText"/>
        <w:spacing w:before="8"/>
        <w:rPr>
          <w:sz w:val="27"/>
        </w:rPr>
      </w:pPr>
    </w:p>
    <w:p>
      <w:pPr>
        <w:pStyle w:val="BodyText"/>
        <w:spacing w:before="71"/>
        <w:ind w:left="838"/>
      </w:pPr>
      <w:r>
        <w:rPr/>
        <w:t>式中：</w:t>
      </w:r>
      <w:r>
        <w:rPr>
          <w:i/>
          <w:sz w:val="22"/>
        </w:rPr>
        <w:t>i</w:t>
      </w:r>
      <w:r>
        <w:rPr/>
        <w:t>——管道单位长度的水头损失（kPa/m）； </w:t>
      </w:r>
    </w:p>
    <w:p>
      <w:pPr>
        <w:pStyle w:val="BodyText"/>
        <w:spacing w:before="2"/>
        <w:rPr>
          <w:sz w:val="17"/>
        </w:rPr>
      </w:pPr>
    </w:p>
    <w:p>
      <w:pPr>
        <w:pStyle w:val="BodyText"/>
        <w:ind w:left="838"/>
      </w:pPr>
      <w:r>
        <w:rPr>
          <w:w w:val="100"/>
          <w:position w:val="1"/>
        </w:rPr>
        <w:t> </w:t>
      </w:r>
      <w:r>
        <w:rPr>
          <w:position w:val="1"/>
        </w:rPr>
        <w:t> </w:t>
      </w:r>
      <w:r>
        <w:rPr>
          <w:w w:val="100"/>
          <w:position w:val="1"/>
        </w:rPr>
        <w:t>  </w:t>
      </w:r>
      <w:r>
        <w:rPr>
          <w:position w:val="1"/>
        </w:rPr>
        <w:t> </w:t>
      </w:r>
      <w:r>
        <w:rPr>
          <w:w w:val="100"/>
          <w:position w:val="1"/>
        </w:rPr>
        <w:t> </w:t>
      </w:r>
      <w:r>
        <w:rPr>
          <w:i/>
          <w:position w:val="1"/>
          <w:sz w:val="22"/>
        </w:rPr>
        <w:t>d</w:t>
      </w:r>
      <w:r>
        <w:rPr>
          <w:sz w:val="11"/>
        </w:rPr>
        <w:t>j</w:t>
      </w:r>
      <w:r>
        <w:rPr>
          <w:position w:val="1"/>
        </w:rPr>
        <w:t>——管道计算内径（mm）； </w:t>
      </w:r>
    </w:p>
    <w:p>
      <w:pPr>
        <w:pStyle w:val="BodyText"/>
        <w:rPr>
          <w:sz w:val="17"/>
        </w:rPr>
      </w:pPr>
    </w:p>
    <w:p>
      <w:pPr>
        <w:pStyle w:val="BodyText"/>
        <w:ind w:left="838"/>
      </w:pPr>
      <w:r>
        <w:rPr>
          <w:w w:val="100"/>
          <w:position w:val="1"/>
        </w:rPr>
        <w:t> </w:t>
      </w:r>
      <w:r>
        <w:rPr>
          <w:position w:val="1"/>
        </w:rPr>
        <w:t> </w:t>
      </w:r>
      <w:r>
        <w:rPr>
          <w:w w:val="100"/>
          <w:position w:val="1"/>
        </w:rPr>
        <w:t>  </w:t>
      </w:r>
      <w:r>
        <w:rPr>
          <w:position w:val="1"/>
        </w:rPr>
        <w:t> </w:t>
      </w:r>
      <w:r>
        <w:rPr>
          <w:w w:val="100"/>
          <w:position w:val="1"/>
        </w:rPr>
        <w:t> </w:t>
      </w:r>
      <w:r>
        <w:rPr>
          <w:i/>
          <w:position w:val="1"/>
          <w:sz w:val="22"/>
        </w:rPr>
        <w:t>q</w:t>
      </w:r>
      <w:r>
        <w:rPr>
          <w:sz w:val="11"/>
        </w:rPr>
        <w:t>g</w:t>
      </w:r>
      <w:r>
        <w:rPr>
          <w:position w:val="1"/>
        </w:rPr>
        <w:t>——管道设计流量（L/min）； </w:t>
      </w:r>
    </w:p>
    <w:p>
      <w:pPr>
        <w:pStyle w:val="BodyText"/>
        <w:spacing w:before="12"/>
        <w:rPr>
          <w:sz w:val="16"/>
        </w:rPr>
      </w:pPr>
    </w:p>
    <w:p>
      <w:pPr>
        <w:pStyle w:val="BodyText"/>
        <w:ind w:left="838"/>
      </w:pPr>
      <w:r>
        <w:rPr>
          <w:w w:val="100"/>
          <w:position w:val="1"/>
        </w:rPr>
        <w:t> </w:t>
      </w:r>
      <w:r>
        <w:rPr>
          <w:position w:val="1"/>
        </w:rPr>
        <w:t> </w:t>
      </w:r>
      <w:r>
        <w:rPr>
          <w:w w:val="100"/>
          <w:position w:val="1"/>
        </w:rPr>
        <w:t>  </w:t>
      </w:r>
      <w:r>
        <w:rPr>
          <w:position w:val="1"/>
        </w:rPr>
        <w:t> </w:t>
      </w:r>
      <w:r>
        <w:rPr>
          <w:i/>
          <w:w w:val="96"/>
          <w:position w:val="1"/>
          <w:sz w:val="22"/>
        </w:rPr>
        <w:t> </w:t>
      </w:r>
      <w:r>
        <w:rPr>
          <w:i/>
          <w:position w:val="1"/>
          <w:sz w:val="22"/>
        </w:rPr>
        <w:t>C</w:t>
      </w:r>
      <w:r>
        <w:rPr>
          <w:sz w:val="11"/>
        </w:rPr>
        <w:t>h</w:t>
      </w:r>
      <w:r>
        <w:rPr>
          <w:position w:val="1"/>
        </w:rPr>
        <w:t>——海澄—威廉系数，见表 9.2.2。 </w:t>
      </w:r>
    </w:p>
    <w:p>
      <w:pPr>
        <w:pStyle w:val="BodyText"/>
        <w:spacing w:before="1"/>
        <w:rPr>
          <w:sz w:val="25"/>
        </w:rPr>
      </w:pPr>
      <w:r>
        <w:rPr/>
        <w:drawing>
          <wp:anchor distT="0" distB="0" distL="0" distR="0" allowOverlap="1" layoutInCell="1" locked="0" behindDoc="0" simplePos="0" relativeHeight="355">
            <wp:simplePos x="0" y="0"/>
            <wp:positionH relativeFrom="page">
              <wp:posOffset>1936750</wp:posOffset>
            </wp:positionH>
            <wp:positionV relativeFrom="paragraph">
              <wp:posOffset>229036</wp:posOffset>
            </wp:positionV>
            <wp:extent cx="4100195" cy="914400"/>
            <wp:effectExtent l="0" t="0" r="0" b="0"/>
            <wp:wrapTopAndBottom/>
            <wp:docPr id="779" name="image458.jpeg"/>
            <wp:cNvGraphicFramePr>
              <a:graphicFrameLocks noChangeAspect="1"/>
            </wp:cNvGraphicFramePr>
            <a:graphic>
              <a:graphicData uri="http://schemas.openxmlformats.org/drawingml/2006/picture">
                <pic:pic>
                  <pic:nvPicPr>
                    <pic:cNvPr id="780" name="image458.jpeg"/>
                    <pic:cNvPicPr/>
                  </pic:nvPicPr>
                  <pic:blipFill>
                    <a:blip r:embed="rId580" cstate="print"/>
                    <a:stretch>
                      <a:fillRect/>
                    </a:stretch>
                  </pic:blipFill>
                  <pic:spPr>
                    <a:xfrm>
                      <a:off x="0" y="0"/>
                      <a:ext cx="4100195" cy="914400"/>
                    </a:xfrm>
                    <a:prstGeom prst="rect">
                      <a:avLst/>
                    </a:prstGeom>
                  </pic:spPr>
                </pic:pic>
              </a:graphicData>
            </a:graphic>
          </wp:anchor>
        </w:drawing>
      </w:r>
    </w:p>
    <w:p>
      <w:pPr>
        <w:pStyle w:val="BodyText"/>
        <w:rPr>
          <w:sz w:val="22"/>
        </w:rPr>
      </w:pPr>
    </w:p>
    <w:p>
      <w:pPr>
        <w:pStyle w:val="BodyText"/>
        <w:spacing w:before="11"/>
        <w:rPr>
          <w:sz w:val="29"/>
        </w:rPr>
      </w:pPr>
    </w:p>
    <w:p>
      <w:pPr>
        <w:pStyle w:val="ListParagraph"/>
        <w:numPr>
          <w:ilvl w:val="2"/>
          <w:numId w:val="919"/>
        </w:numPr>
        <w:tabs>
          <w:tab w:pos="1371" w:val="left" w:leader="none"/>
        </w:tabs>
        <w:spacing w:line="240" w:lineRule="auto" w:before="0" w:after="0"/>
        <w:ind w:left="1370" w:right="0" w:hanging="531"/>
        <w:jc w:val="left"/>
        <w:rPr>
          <w:sz w:val="21"/>
        </w:rPr>
      </w:pPr>
      <w:r>
        <w:rPr>
          <w:spacing w:val="-5"/>
          <w:sz w:val="21"/>
        </w:rPr>
        <w:t>管道的局部水头损失宜采用当量长度法计算，且应符合本规范附录 </w:t>
      </w:r>
      <w:r>
        <w:rPr>
          <w:spacing w:val="-3"/>
          <w:sz w:val="21"/>
        </w:rPr>
        <w:t>C</w:t>
      </w:r>
      <w:r>
        <w:rPr>
          <w:spacing w:val="-2"/>
          <w:sz w:val="21"/>
        </w:rPr>
        <w:t> 的规定。</w:t>
      </w:r>
      <w:r>
        <w:rPr>
          <w:sz w:val="21"/>
        </w:rPr>
        <w:t> </w:t>
      </w:r>
    </w:p>
    <w:p>
      <w:pPr>
        <w:pStyle w:val="BodyText"/>
        <w:spacing w:before="12"/>
        <w:rPr>
          <w:sz w:val="17"/>
        </w:rPr>
      </w:pPr>
    </w:p>
    <w:p>
      <w:pPr>
        <w:pStyle w:val="ListParagraph"/>
        <w:numPr>
          <w:ilvl w:val="2"/>
          <w:numId w:val="919"/>
        </w:numPr>
        <w:tabs>
          <w:tab w:pos="1371" w:val="left" w:leader="none"/>
        </w:tabs>
        <w:spacing w:line="240" w:lineRule="auto" w:before="0" w:after="0"/>
        <w:ind w:left="1370" w:right="0" w:hanging="531"/>
        <w:jc w:val="left"/>
        <w:rPr>
          <w:sz w:val="21"/>
        </w:rPr>
      </w:pPr>
      <w:r>
        <w:rPr>
          <w:spacing w:val="-3"/>
          <w:sz w:val="21"/>
        </w:rPr>
        <w:t>水泵扬程或系统入口的供水压力应按下式计算：</w:t>
      </w:r>
      <w:r>
        <w:rPr>
          <w:sz w:val="21"/>
        </w:rPr>
        <w:t> </w:t>
      </w:r>
    </w:p>
    <w:p>
      <w:pPr>
        <w:pStyle w:val="BodyText"/>
        <w:rPr>
          <w:sz w:val="20"/>
        </w:rPr>
      </w:pPr>
    </w:p>
    <w:p>
      <w:pPr>
        <w:pStyle w:val="BodyText"/>
        <w:rPr>
          <w:sz w:val="23"/>
        </w:rPr>
      </w:pPr>
      <w:r>
        <w:rPr/>
        <w:drawing>
          <wp:anchor distT="0" distB="0" distL="0" distR="0" allowOverlap="1" layoutInCell="1" locked="0" behindDoc="0" simplePos="0" relativeHeight="356">
            <wp:simplePos x="0" y="0"/>
            <wp:positionH relativeFrom="page">
              <wp:posOffset>1330960</wp:posOffset>
            </wp:positionH>
            <wp:positionV relativeFrom="paragraph">
              <wp:posOffset>212328</wp:posOffset>
            </wp:positionV>
            <wp:extent cx="4972430" cy="285750"/>
            <wp:effectExtent l="0" t="0" r="0" b="0"/>
            <wp:wrapTopAndBottom/>
            <wp:docPr id="781" name="image459.jpeg"/>
            <wp:cNvGraphicFramePr>
              <a:graphicFrameLocks noChangeAspect="1"/>
            </wp:cNvGraphicFramePr>
            <a:graphic>
              <a:graphicData uri="http://schemas.openxmlformats.org/drawingml/2006/picture">
                <pic:pic>
                  <pic:nvPicPr>
                    <pic:cNvPr id="782" name="image459.jpeg"/>
                    <pic:cNvPicPr/>
                  </pic:nvPicPr>
                  <pic:blipFill>
                    <a:blip r:embed="rId581" cstate="print"/>
                    <a:stretch>
                      <a:fillRect/>
                    </a:stretch>
                  </pic:blipFill>
                  <pic:spPr>
                    <a:xfrm>
                      <a:off x="0" y="0"/>
                      <a:ext cx="4972430" cy="285750"/>
                    </a:xfrm>
                    <a:prstGeom prst="rect">
                      <a:avLst/>
                    </a:prstGeom>
                  </pic:spPr>
                </pic:pic>
              </a:graphicData>
            </a:graphic>
          </wp:anchor>
        </w:drawing>
      </w:r>
    </w:p>
    <w:p>
      <w:pPr>
        <w:pStyle w:val="BodyText"/>
        <w:spacing w:before="9"/>
        <w:rPr>
          <w:sz w:val="8"/>
        </w:rPr>
      </w:pPr>
    </w:p>
    <w:p>
      <w:pPr>
        <w:pStyle w:val="BodyText"/>
        <w:spacing w:before="71"/>
        <w:ind w:left="838"/>
      </w:pPr>
      <w:r>
        <w:rPr/>
        <w:t>式中：</w:t>
      </w:r>
      <w:r>
        <w:rPr>
          <w:i/>
          <w:sz w:val="22"/>
        </w:rPr>
        <w:t>H</w:t>
      </w:r>
      <w:r>
        <w:rPr/>
        <w:t>——水泵扬程或系统入口的供水压力（MPa）； </w:t>
      </w:r>
    </w:p>
    <w:p>
      <w:pPr>
        <w:pStyle w:val="BodyText"/>
        <w:spacing w:before="2"/>
        <w:rPr>
          <w:sz w:val="17"/>
        </w:rPr>
      </w:pPr>
    </w:p>
    <w:p>
      <w:pPr>
        <w:pStyle w:val="BodyText"/>
        <w:spacing w:line="439" w:lineRule="auto"/>
        <w:ind w:left="418" w:right="1503" w:firstLine="419"/>
        <w:jc w:val="both"/>
      </w:pPr>
      <w:r>
        <w:rPr>
          <w:position w:val="1"/>
        </w:rPr>
        <w:t>Σ</w:t>
      </w:r>
      <w:r>
        <w:rPr>
          <w:i/>
          <w:position w:val="1"/>
          <w:sz w:val="22"/>
        </w:rPr>
        <w:t>P</w:t>
      </w:r>
      <w:r>
        <w:rPr>
          <w:sz w:val="11"/>
        </w:rPr>
        <w:t>p</w:t>
      </w:r>
      <w:r>
        <w:rPr>
          <w:spacing w:val="-3"/>
          <w:position w:val="1"/>
        </w:rPr>
        <w:t>——管道沿程和局部水头损失的累计值</w:t>
      </w:r>
      <w:r>
        <w:rPr>
          <w:position w:val="1"/>
        </w:rPr>
        <w:t>（MPa）</w:t>
      </w:r>
      <w:r>
        <w:rPr>
          <w:spacing w:val="-3"/>
          <w:position w:val="1"/>
        </w:rPr>
        <w:t>，报警阀的局部水头损失应按照产品样</w:t>
      </w:r>
      <w:r>
        <w:rPr>
          <w:spacing w:val="-5"/>
        </w:rPr>
        <w:t>本或检测数据确定。当无上述数据时，湿式报警阀取值 </w:t>
      </w:r>
      <w:r>
        <w:rPr/>
        <w:t>0.04MPa</w:t>
      </w:r>
      <w:r>
        <w:rPr>
          <w:spacing w:val="-7"/>
        </w:rPr>
        <w:t>、干式报警阀取值 </w:t>
      </w:r>
      <w:r>
        <w:rPr/>
        <w:t>0.02MPa、预</w:t>
      </w:r>
      <w:r>
        <w:rPr>
          <w:spacing w:val="-10"/>
        </w:rPr>
        <w:t>作用装置取值 </w:t>
      </w:r>
      <w:r>
        <w:rPr/>
        <w:t>0.08MPa</w:t>
      </w:r>
      <w:r>
        <w:rPr>
          <w:spacing w:val="-9"/>
        </w:rPr>
        <w:t>、雨淋报警阀取值 </w:t>
      </w:r>
      <w:r>
        <w:rPr/>
        <w:t>0.07MPa</w:t>
      </w:r>
      <w:r>
        <w:rPr>
          <w:spacing w:val="-9"/>
        </w:rPr>
        <w:t>、水流指示器取值 </w:t>
      </w:r>
      <w:r>
        <w:rPr/>
        <w:t>0.02MPa； </w:t>
      </w:r>
    </w:p>
    <w:p>
      <w:pPr>
        <w:pStyle w:val="BodyText"/>
        <w:ind w:left="838"/>
      </w:pPr>
      <w:r>
        <w:rPr>
          <w:i/>
          <w:position w:val="1"/>
          <w:sz w:val="22"/>
        </w:rPr>
        <w:t>P</w:t>
      </w:r>
      <w:r>
        <w:rPr>
          <w:sz w:val="11"/>
        </w:rPr>
        <w:t>0</w:t>
      </w:r>
      <w:r>
        <w:rPr>
          <w:position w:val="1"/>
        </w:rPr>
        <w:t>——最不利点处喷头的工作压力（MPa）； </w:t>
      </w:r>
    </w:p>
    <w:p>
      <w:pPr>
        <w:spacing w:after="0"/>
        <w:sectPr>
          <w:pgSz w:w="11910" w:h="16850"/>
          <w:pgMar w:header="0" w:footer="1239" w:top="1220" w:bottom="1420" w:left="1260" w:right="0"/>
        </w:sectPr>
      </w:pPr>
    </w:p>
    <w:p>
      <w:pPr>
        <w:pStyle w:val="BodyText"/>
        <w:spacing w:line="434" w:lineRule="auto" w:before="57"/>
        <w:ind w:left="418" w:right="1505" w:firstLine="419"/>
      </w:pPr>
      <w:r>
        <w:rPr>
          <w:i/>
          <w:sz w:val="22"/>
        </w:rPr>
        <w:t>Z</w:t>
      </w:r>
      <w:r>
        <w:rPr/>
        <w:t>——最不利点处喷头与消防水池的最低水位或系统入口管水平中心线之间的高程差，当系统入口管或消防水池最低水位高于最不利点处喷头时，Z 应取负值（MPa）； </w:t>
      </w:r>
    </w:p>
    <w:p>
      <w:pPr>
        <w:pStyle w:val="BodyText"/>
        <w:spacing w:before="2"/>
        <w:ind w:left="838"/>
        <w:rPr>
          <w:sz w:val="11"/>
        </w:rPr>
      </w:pPr>
      <w:r>
        <w:rPr>
          <w:i/>
          <w:position w:val="1"/>
          <w:sz w:val="22"/>
        </w:rPr>
        <w:t>h</w:t>
      </w:r>
      <w:r>
        <w:rPr>
          <w:sz w:val="11"/>
        </w:rPr>
        <w:t>c</w:t>
      </w:r>
      <w:r>
        <w:rPr>
          <w:position w:val="1"/>
        </w:rPr>
        <w:t>——从城市市政管网直接抽水时城市管网的最低水压（MPa）；当从消防水池吸水时，h</w:t>
      </w:r>
      <w:r>
        <w:rPr>
          <w:sz w:val="11"/>
        </w:rPr>
        <w:t>c</w:t>
      </w:r>
    </w:p>
    <w:p>
      <w:pPr>
        <w:pStyle w:val="BodyText"/>
        <w:spacing w:before="12"/>
        <w:rPr>
          <w:sz w:val="17"/>
        </w:rPr>
      </w:pPr>
    </w:p>
    <w:p>
      <w:pPr>
        <w:pStyle w:val="BodyText"/>
        <w:ind w:left="418"/>
      </w:pPr>
      <w:r>
        <w:rPr/>
        <w:t>取 0。 </w:t>
      </w:r>
    </w:p>
    <w:p>
      <w:pPr>
        <w:pStyle w:val="BodyText"/>
        <w:spacing w:before="12"/>
        <w:rPr>
          <w:sz w:val="17"/>
        </w:rPr>
      </w:pPr>
    </w:p>
    <w:p>
      <w:pPr>
        <w:pStyle w:val="ListParagraph"/>
        <w:numPr>
          <w:ilvl w:val="1"/>
          <w:numId w:val="919"/>
        </w:numPr>
        <w:tabs>
          <w:tab w:pos="1160" w:val="left" w:leader="none"/>
        </w:tabs>
        <w:spacing w:line="240" w:lineRule="auto" w:before="0" w:after="0"/>
        <w:ind w:left="1159" w:right="0" w:hanging="320"/>
        <w:jc w:val="left"/>
        <w:rPr>
          <w:b/>
          <w:sz w:val="21"/>
        </w:rPr>
      </w:pPr>
      <w:r>
        <w:rPr>
          <w:spacing w:val="-3"/>
          <w:sz w:val="21"/>
        </w:rPr>
        <w:t>减压设施</w:t>
      </w:r>
      <w:r>
        <w:rPr>
          <w:b/>
          <w:w w:val="99"/>
          <w:sz w:val="21"/>
        </w:rPr>
        <w:t> </w:t>
      </w:r>
    </w:p>
    <w:p>
      <w:pPr>
        <w:pStyle w:val="BodyText"/>
        <w:spacing w:before="12"/>
        <w:rPr>
          <w:b/>
          <w:sz w:val="17"/>
        </w:rPr>
      </w:pPr>
    </w:p>
    <w:p>
      <w:pPr>
        <w:pStyle w:val="ListParagraph"/>
        <w:numPr>
          <w:ilvl w:val="2"/>
          <w:numId w:val="919"/>
        </w:numPr>
        <w:tabs>
          <w:tab w:pos="1424" w:val="left" w:leader="none"/>
        </w:tabs>
        <w:spacing w:line="240" w:lineRule="auto" w:before="0" w:after="0"/>
        <w:ind w:left="1423" w:right="0" w:hanging="584"/>
        <w:jc w:val="left"/>
        <w:rPr>
          <w:sz w:val="21"/>
        </w:rPr>
      </w:pPr>
      <w:r>
        <w:rPr>
          <w:spacing w:val="-3"/>
          <w:sz w:val="21"/>
        </w:rPr>
        <w:t>减压孔板应符合下列规定：</w:t>
      </w:r>
      <w:r>
        <w:rPr>
          <w:sz w:val="21"/>
        </w:rPr>
        <w:t> </w:t>
      </w:r>
    </w:p>
    <w:p>
      <w:pPr>
        <w:pStyle w:val="BodyText"/>
        <w:spacing w:before="2"/>
        <w:rPr>
          <w:sz w:val="18"/>
        </w:rPr>
      </w:pPr>
    </w:p>
    <w:p>
      <w:pPr>
        <w:pStyle w:val="BodyText"/>
        <w:spacing w:line="446" w:lineRule="auto"/>
        <w:ind w:left="838" w:right="1402"/>
      </w:pPr>
      <w:r>
        <w:rPr>
          <w:spacing w:val="-8"/>
        </w:rPr>
        <w:t>应设在直径不小于 </w:t>
      </w:r>
      <w:r>
        <w:rPr/>
        <w:t>50mm</w:t>
      </w:r>
      <w:r>
        <w:rPr>
          <w:spacing w:val="-10"/>
        </w:rPr>
        <w:t> 的水平直管段上，前后管段的长度均不宜小于该管段直径的 </w:t>
      </w:r>
      <w:r>
        <w:rPr/>
        <w:t>5</w:t>
      </w:r>
      <w:r>
        <w:rPr>
          <w:spacing w:val="-18"/>
        </w:rPr>
        <w:t> 倍； </w:t>
      </w:r>
      <w:r>
        <w:rPr>
          <w:spacing w:val="-7"/>
        </w:rPr>
        <w:t>孔口直径不应小于设置管段直径的 </w:t>
      </w:r>
      <w:r>
        <w:rPr/>
        <w:t>30</w:t>
      </w:r>
      <w:r>
        <w:rPr>
          <w:spacing w:val="-10"/>
        </w:rPr>
        <w:t>％，且不应小于 </w:t>
      </w:r>
      <w:r>
        <w:rPr/>
        <w:t>20mm； </w:t>
      </w:r>
    </w:p>
    <w:p>
      <w:pPr>
        <w:pStyle w:val="BodyText"/>
        <w:spacing w:line="267" w:lineRule="exact"/>
        <w:ind w:left="838"/>
      </w:pPr>
      <w:r>
        <w:rPr/>
        <w:t>应采用不锈钢板材制作。 </w:t>
      </w:r>
    </w:p>
    <w:p>
      <w:pPr>
        <w:pStyle w:val="BodyText"/>
        <w:spacing w:before="2"/>
        <w:rPr>
          <w:sz w:val="18"/>
        </w:rPr>
      </w:pPr>
    </w:p>
    <w:p>
      <w:pPr>
        <w:pStyle w:val="ListParagraph"/>
        <w:numPr>
          <w:ilvl w:val="2"/>
          <w:numId w:val="919"/>
        </w:numPr>
        <w:tabs>
          <w:tab w:pos="1371" w:val="left" w:leader="none"/>
        </w:tabs>
        <w:spacing w:line="240" w:lineRule="auto" w:before="0" w:after="0"/>
        <w:ind w:left="1370" w:right="0" w:hanging="531"/>
        <w:jc w:val="left"/>
        <w:rPr>
          <w:sz w:val="21"/>
        </w:rPr>
      </w:pPr>
      <w:r>
        <w:rPr>
          <w:spacing w:val="-3"/>
          <w:sz w:val="21"/>
        </w:rPr>
        <w:t>节流管应符合下列规定：</w:t>
      </w:r>
      <w:r>
        <w:rPr>
          <w:sz w:val="21"/>
        </w:rPr>
        <w:t> </w:t>
      </w:r>
    </w:p>
    <w:p>
      <w:pPr>
        <w:pStyle w:val="BodyText"/>
        <w:rPr>
          <w:sz w:val="18"/>
        </w:rPr>
      </w:pPr>
    </w:p>
    <w:p>
      <w:pPr>
        <w:pStyle w:val="BodyText"/>
        <w:spacing w:line="446" w:lineRule="auto"/>
        <w:ind w:left="838" w:right="6340"/>
      </w:pPr>
      <w:r>
        <w:rPr/>
        <w:t>直径宜按上游管段直径的 1/2 确定； 长度不宜小于 1m； </w:t>
      </w:r>
    </w:p>
    <w:p>
      <w:pPr>
        <w:pStyle w:val="BodyText"/>
        <w:ind w:left="838"/>
      </w:pPr>
      <w:r>
        <w:rPr/>
        <w:t>节流管内水的平均流速不应大于 20m/s。 </w:t>
      </w:r>
    </w:p>
    <w:p>
      <w:pPr>
        <w:pStyle w:val="BodyText"/>
        <w:spacing w:before="12"/>
        <w:rPr>
          <w:sz w:val="17"/>
        </w:rPr>
      </w:pPr>
    </w:p>
    <w:p>
      <w:pPr>
        <w:pStyle w:val="ListParagraph"/>
        <w:numPr>
          <w:ilvl w:val="2"/>
          <w:numId w:val="919"/>
        </w:numPr>
        <w:tabs>
          <w:tab w:pos="1424" w:val="left" w:leader="none"/>
        </w:tabs>
        <w:spacing w:line="240" w:lineRule="auto" w:before="0" w:after="0"/>
        <w:ind w:left="1423" w:right="0" w:hanging="584"/>
        <w:jc w:val="left"/>
        <w:rPr>
          <w:sz w:val="21"/>
        </w:rPr>
      </w:pPr>
      <w:r>
        <w:rPr>
          <w:spacing w:val="-3"/>
          <w:sz w:val="21"/>
        </w:rPr>
        <w:t>减压孔板的水头损失，应按下式计算：</w:t>
      </w:r>
      <w:r>
        <w:rPr>
          <w:sz w:val="21"/>
        </w:rPr>
        <w:t> </w:t>
      </w:r>
    </w:p>
    <w:p>
      <w:pPr>
        <w:pStyle w:val="BodyText"/>
        <w:spacing w:before="12"/>
        <w:rPr>
          <w:sz w:val="27"/>
        </w:rPr>
      </w:pPr>
      <w:r>
        <w:rPr/>
        <w:drawing>
          <wp:anchor distT="0" distB="0" distL="0" distR="0" allowOverlap="1" layoutInCell="1" locked="0" behindDoc="0" simplePos="0" relativeHeight="357">
            <wp:simplePos x="0" y="0"/>
            <wp:positionH relativeFrom="page">
              <wp:posOffset>1530350</wp:posOffset>
            </wp:positionH>
            <wp:positionV relativeFrom="paragraph">
              <wp:posOffset>252510</wp:posOffset>
            </wp:positionV>
            <wp:extent cx="3799457" cy="519493"/>
            <wp:effectExtent l="0" t="0" r="0" b="0"/>
            <wp:wrapTopAndBottom/>
            <wp:docPr id="783" name="image460.jpeg"/>
            <wp:cNvGraphicFramePr>
              <a:graphicFrameLocks noChangeAspect="1"/>
            </wp:cNvGraphicFramePr>
            <a:graphic>
              <a:graphicData uri="http://schemas.openxmlformats.org/drawingml/2006/picture">
                <pic:pic>
                  <pic:nvPicPr>
                    <pic:cNvPr id="784" name="image460.jpeg"/>
                    <pic:cNvPicPr/>
                  </pic:nvPicPr>
                  <pic:blipFill>
                    <a:blip r:embed="rId582" cstate="print"/>
                    <a:stretch>
                      <a:fillRect/>
                    </a:stretch>
                  </pic:blipFill>
                  <pic:spPr>
                    <a:xfrm>
                      <a:off x="0" y="0"/>
                      <a:ext cx="3799457" cy="519493"/>
                    </a:xfrm>
                    <a:prstGeom prst="rect">
                      <a:avLst/>
                    </a:prstGeom>
                  </pic:spPr>
                </pic:pic>
              </a:graphicData>
            </a:graphic>
          </wp:anchor>
        </w:drawing>
      </w:r>
    </w:p>
    <w:p>
      <w:pPr>
        <w:pStyle w:val="BodyText"/>
        <w:rPr>
          <w:sz w:val="20"/>
        </w:rPr>
      </w:pPr>
    </w:p>
    <w:p>
      <w:pPr>
        <w:pStyle w:val="BodyText"/>
        <w:rPr>
          <w:sz w:val="26"/>
        </w:rPr>
      </w:pPr>
    </w:p>
    <w:p>
      <w:pPr>
        <w:pStyle w:val="BodyText"/>
        <w:spacing w:before="86"/>
        <w:ind w:left="838"/>
      </w:pPr>
      <w:r>
        <w:rPr/>
        <w:pict>
          <v:shape style="position:absolute;margin-left:141.740005pt;margin-top:11.036263pt;width:2.8pt;height:5.55pt;mso-position-horizontal-relative:page;mso-position-vertical-relative:paragraph;z-index:-287314944" type="#_x0000_t202" filled="false" stroked="false">
            <v:textbox inset="0,0,0,0">
              <w:txbxContent>
                <w:p>
                  <w:pPr>
                    <w:spacing w:line="110" w:lineRule="exact" w:before="0"/>
                    <w:ind w:left="0" w:right="0" w:firstLine="0"/>
                    <w:jc w:val="left"/>
                    <w:rPr>
                      <w:sz w:val="11"/>
                    </w:rPr>
                  </w:pPr>
                  <w:r>
                    <w:rPr>
                      <w:w w:val="100"/>
                      <w:sz w:val="11"/>
                    </w:rPr>
                    <w:t>k</w:t>
                  </w:r>
                </w:p>
              </w:txbxContent>
            </v:textbox>
            <w10:wrap type="none"/>
          </v:shape>
        </w:pict>
      </w:r>
      <w:r>
        <w:rPr/>
        <w:t>式中：</w:t>
      </w:r>
      <w:r>
        <w:rPr>
          <w:i/>
          <w:sz w:val="22"/>
        </w:rPr>
        <w:t>H</w:t>
      </w:r>
      <w:r>
        <w:rPr>
          <w:i/>
          <w:spacing w:val="-55"/>
          <w:sz w:val="22"/>
        </w:rPr>
        <w:t> </w:t>
      </w:r>
      <w:r>
        <w:rPr>
          <w:spacing w:val="-3"/>
        </w:rPr>
        <w:t>——减压孔板的水头损失</w:t>
      </w:r>
      <w:r>
        <w:rPr/>
        <w:t>（10</w:t>
      </w:r>
      <w:r>
        <w:rPr>
          <w:position w:val="11"/>
          <w:sz w:val="11"/>
        </w:rPr>
        <w:t>-2</w:t>
      </w:r>
      <w:r>
        <w:rPr/>
        <w:t>MPa）； </w:t>
      </w:r>
    </w:p>
    <w:p>
      <w:pPr>
        <w:pStyle w:val="BodyText"/>
        <w:spacing w:before="11"/>
        <w:rPr>
          <w:sz w:val="16"/>
        </w:rPr>
      </w:pPr>
    </w:p>
    <w:p>
      <w:pPr>
        <w:pStyle w:val="BodyText"/>
        <w:spacing w:before="1"/>
        <w:ind w:left="838"/>
      </w:pPr>
      <w:r>
        <w:rPr>
          <w:i/>
          <w:position w:val="1"/>
          <w:sz w:val="22"/>
        </w:rPr>
        <w:t>V</w:t>
      </w:r>
      <w:r>
        <w:rPr>
          <w:sz w:val="11"/>
        </w:rPr>
        <w:t>k</w:t>
      </w:r>
      <w:r>
        <w:rPr>
          <w:position w:val="1"/>
        </w:rPr>
        <w:t>——减压孔板后管道内水的平均流速（m/s）； </w:t>
      </w:r>
    </w:p>
    <w:p>
      <w:pPr>
        <w:pStyle w:val="BodyText"/>
        <w:spacing w:before="2"/>
        <w:rPr>
          <w:sz w:val="17"/>
        </w:rPr>
      </w:pPr>
    </w:p>
    <w:p>
      <w:pPr>
        <w:pStyle w:val="BodyText"/>
        <w:spacing w:line="434" w:lineRule="auto"/>
        <w:ind w:left="838" w:right="3461"/>
      </w:pPr>
      <w:r>
        <w:rPr/>
        <w:drawing>
          <wp:anchor distT="0" distB="0" distL="0" distR="0" allowOverlap="1" layoutInCell="1" locked="0" behindDoc="0" simplePos="0" relativeHeight="358">
            <wp:simplePos x="0" y="0"/>
            <wp:positionH relativeFrom="page">
              <wp:posOffset>1684020</wp:posOffset>
            </wp:positionH>
            <wp:positionV relativeFrom="paragraph">
              <wp:posOffset>710692</wp:posOffset>
            </wp:positionV>
            <wp:extent cx="4434632" cy="533400"/>
            <wp:effectExtent l="0" t="0" r="0" b="0"/>
            <wp:wrapTopAndBottom/>
            <wp:docPr id="785" name="image461.jpeg"/>
            <wp:cNvGraphicFramePr>
              <a:graphicFrameLocks noChangeAspect="1"/>
            </wp:cNvGraphicFramePr>
            <a:graphic>
              <a:graphicData uri="http://schemas.openxmlformats.org/drawingml/2006/picture">
                <pic:pic>
                  <pic:nvPicPr>
                    <pic:cNvPr id="786" name="image461.jpeg"/>
                    <pic:cNvPicPr/>
                  </pic:nvPicPr>
                  <pic:blipFill>
                    <a:blip r:embed="rId583" cstate="print"/>
                    <a:stretch>
                      <a:fillRect/>
                    </a:stretch>
                  </pic:blipFill>
                  <pic:spPr>
                    <a:xfrm>
                      <a:off x="0" y="0"/>
                      <a:ext cx="4434632" cy="533400"/>
                    </a:xfrm>
                    <a:prstGeom prst="rect">
                      <a:avLst/>
                    </a:prstGeom>
                  </pic:spPr>
                </pic:pic>
              </a:graphicData>
            </a:graphic>
          </wp:anchor>
        </w:drawing>
      </w:r>
      <w:r>
        <w:rPr>
          <w:w w:val="100"/>
        </w:rPr>
        <w:t> </w:t>
      </w:r>
      <w:r>
        <w:rPr/>
        <w:t> </w:t>
      </w:r>
      <w:r>
        <w:rPr>
          <w:i/>
          <w:w w:val="96"/>
          <w:sz w:val="22"/>
        </w:rPr>
        <w:t> </w:t>
      </w:r>
      <w:r>
        <w:rPr>
          <w:i/>
          <w:sz w:val="22"/>
        </w:rPr>
        <w:t>ξ</w:t>
      </w:r>
      <w:r>
        <w:rPr/>
        <w:t>——减压孔板的局部阻力系数，取值应按本规范附录 D 确定。</w:t>
      </w:r>
      <w:r>
        <w:rPr>
          <w:b/>
        </w:rPr>
        <w:t>9.3.4 </w:t>
      </w:r>
      <w:r>
        <w:rPr/>
        <w:t>节流管的水头损失，应按下式计算： </w:t>
      </w:r>
    </w:p>
    <w:p>
      <w:pPr>
        <w:pStyle w:val="BodyText"/>
        <w:rPr>
          <w:sz w:val="20"/>
        </w:rPr>
      </w:pPr>
    </w:p>
    <w:p>
      <w:pPr>
        <w:pStyle w:val="BodyText"/>
        <w:rPr>
          <w:sz w:val="20"/>
        </w:rPr>
      </w:pPr>
    </w:p>
    <w:p>
      <w:pPr>
        <w:pStyle w:val="BodyText"/>
        <w:spacing w:before="9"/>
        <w:rPr>
          <w:sz w:val="15"/>
        </w:rPr>
      </w:pPr>
    </w:p>
    <w:p>
      <w:pPr>
        <w:pStyle w:val="BodyText"/>
        <w:ind w:left="838"/>
      </w:pPr>
      <w:r>
        <w:rPr/>
        <w:pict>
          <v:shape style="position:absolute;margin-left:141.740005pt;margin-top:6.736246pt;width:2.8pt;height:5.55pt;mso-position-horizontal-relative:page;mso-position-vertical-relative:paragraph;z-index:-287313920" type="#_x0000_t202" filled="false" stroked="false">
            <v:textbox inset="0,0,0,0">
              <w:txbxContent>
                <w:p>
                  <w:pPr>
                    <w:spacing w:line="110" w:lineRule="exact" w:before="0"/>
                    <w:ind w:left="0" w:right="0" w:firstLine="0"/>
                    <w:jc w:val="left"/>
                    <w:rPr>
                      <w:sz w:val="11"/>
                    </w:rPr>
                  </w:pPr>
                  <w:r>
                    <w:rPr>
                      <w:w w:val="100"/>
                      <w:sz w:val="11"/>
                    </w:rPr>
                    <w:t>g</w:t>
                  </w:r>
                </w:p>
              </w:txbxContent>
            </v:textbox>
            <w10:wrap type="none"/>
          </v:shape>
        </w:pict>
      </w:r>
      <w:r>
        <w:rPr/>
        <w:t>式中：</w:t>
      </w:r>
      <w:r>
        <w:rPr>
          <w:i/>
          <w:sz w:val="22"/>
        </w:rPr>
        <w:t>H</w:t>
      </w:r>
      <w:r>
        <w:rPr>
          <w:i/>
          <w:spacing w:val="-55"/>
          <w:sz w:val="22"/>
        </w:rPr>
        <w:t> </w:t>
      </w:r>
      <w:r>
        <w:rPr>
          <w:spacing w:val="-3"/>
        </w:rPr>
        <w:t>——节流管的水头损失</w:t>
      </w:r>
      <w:r>
        <w:rPr/>
        <w:t>（10</w:t>
      </w:r>
      <w:r>
        <w:rPr>
          <w:position w:val="11"/>
          <w:sz w:val="11"/>
        </w:rPr>
        <w:t>-2</w:t>
      </w:r>
      <w:r>
        <w:rPr/>
        <w:t>MPa）； </w:t>
      </w:r>
    </w:p>
    <w:p>
      <w:pPr>
        <w:pStyle w:val="BodyText"/>
        <w:rPr>
          <w:sz w:val="17"/>
        </w:rPr>
      </w:pPr>
    </w:p>
    <w:p>
      <w:pPr>
        <w:pStyle w:val="BodyText"/>
        <w:ind w:left="838"/>
      </w:pPr>
      <w:r>
        <w:rPr>
          <w:i/>
          <w:sz w:val="22"/>
        </w:rPr>
        <w:t>ζ </w:t>
      </w:r>
      <w:r>
        <w:rPr/>
        <w:t>——节流管中渐缩管与渐扩管的局部阻力系数之和，取值 0.7； </w:t>
      </w:r>
    </w:p>
    <w:p>
      <w:pPr>
        <w:pStyle w:val="BodyText"/>
        <w:spacing w:before="12"/>
        <w:rPr>
          <w:sz w:val="16"/>
        </w:rPr>
      </w:pPr>
    </w:p>
    <w:p>
      <w:pPr>
        <w:pStyle w:val="BodyText"/>
        <w:ind w:left="838"/>
      </w:pPr>
      <w:r>
        <w:rPr>
          <w:i/>
          <w:position w:val="1"/>
          <w:sz w:val="22"/>
        </w:rPr>
        <w:t>V</w:t>
      </w:r>
      <w:r>
        <w:rPr>
          <w:sz w:val="11"/>
        </w:rPr>
        <w:t>g</w:t>
      </w:r>
      <w:r>
        <w:rPr>
          <w:position w:val="1"/>
        </w:rPr>
        <w:t>——节流管内水的平均流速（m/s）； </w:t>
      </w:r>
    </w:p>
    <w:p>
      <w:pPr>
        <w:spacing w:after="0"/>
        <w:sectPr>
          <w:pgSz w:w="11910" w:h="16850"/>
          <w:pgMar w:header="0" w:footer="1239" w:top="1200" w:bottom="1420" w:left="1260" w:right="0"/>
        </w:sectPr>
      </w:pPr>
    </w:p>
    <w:p>
      <w:pPr>
        <w:pStyle w:val="BodyText"/>
        <w:spacing w:before="57"/>
        <w:ind w:left="838"/>
      </w:pPr>
      <w:r>
        <w:rPr>
          <w:i/>
          <w:position w:val="1"/>
          <w:sz w:val="22"/>
        </w:rPr>
        <w:t>d</w:t>
      </w:r>
      <w:r>
        <w:rPr>
          <w:sz w:val="11"/>
        </w:rPr>
        <w:t>g</w:t>
      </w:r>
      <w:r>
        <w:rPr>
          <w:position w:val="1"/>
          <w:sz w:val="11"/>
        </w:rPr>
        <w:t> </w:t>
      </w:r>
      <w:r>
        <w:rPr>
          <w:position w:val="1"/>
        </w:rPr>
        <w:t>——节流管的计算内径（m），取值应按节流管内径减 1mm 确定； </w:t>
      </w:r>
    </w:p>
    <w:p>
      <w:pPr>
        <w:pStyle w:val="BodyText"/>
        <w:rPr>
          <w:sz w:val="17"/>
        </w:rPr>
      </w:pPr>
    </w:p>
    <w:p>
      <w:pPr>
        <w:pStyle w:val="BodyText"/>
        <w:ind w:left="838"/>
        <w:rPr>
          <w:b/>
        </w:rPr>
      </w:pPr>
      <w:r>
        <w:rPr>
          <w:i/>
          <w:sz w:val="22"/>
        </w:rPr>
        <w:t>L </w:t>
      </w:r>
      <w:r>
        <w:rPr/>
        <w:t>——节流管的长度（m）。</w:t>
      </w:r>
      <w:r>
        <w:rPr>
          <w:b/>
          <w:w w:val="99"/>
        </w:rPr>
        <w:t> </w:t>
      </w:r>
    </w:p>
    <w:p>
      <w:pPr>
        <w:pStyle w:val="BodyText"/>
        <w:spacing w:before="10"/>
        <w:rPr>
          <w:b/>
          <w:sz w:val="17"/>
        </w:rPr>
      </w:pPr>
    </w:p>
    <w:p>
      <w:pPr>
        <w:spacing w:line="446" w:lineRule="auto" w:before="0"/>
        <w:ind w:left="838" w:right="6177" w:firstLine="2"/>
        <w:jc w:val="left"/>
        <w:rPr>
          <w:b/>
          <w:sz w:val="21"/>
        </w:rPr>
      </w:pPr>
      <w:r>
        <w:rPr>
          <w:b/>
          <w:sz w:val="21"/>
        </w:rPr>
        <w:t>9.3.5 </w:t>
      </w:r>
      <w:r>
        <w:rPr>
          <w:sz w:val="21"/>
        </w:rPr>
        <w:t>减压阀的设置应符合下列规定： 应设在报警阀组入口前；</w:t>
      </w:r>
      <w:r>
        <w:rPr>
          <w:b/>
          <w:w w:val="99"/>
          <w:sz w:val="21"/>
        </w:rPr>
        <w:t> </w:t>
      </w:r>
    </w:p>
    <w:p>
      <w:pPr>
        <w:pStyle w:val="BodyText"/>
        <w:ind w:left="838"/>
        <w:rPr>
          <w:b/>
        </w:rPr>
      </w:pPr>
      <w:r>
        <w:rPr/>
        <w:t>入口前应设过滤器，且便于排污；</w:t>
      </w:r>
      <w:r>
        <w:rPr>
          <w:b/>
          <w:w w:val="99"/>
        </w:rPr>
        <w:t> </w:t>
      </w:r>
    </w:p>
    <w:p>
      <w:pPr>
        <w:pStyle w:val="BodyText"/>
        <w:spacing w:before="12"/>
        <w:rPr>
          <w:b/>
          <w:sz w:val="17"/>
        </w:rPr>
      </w:pPr>
    </w:p>
    <w:p>
      <w:pPr>
        <w:pStyle w:val="BodyText"/>
        <w:spacing w:line="446" w:lineRule="auto"/>
        <w:ind w:left="838" w:right="4866"/>
        <w:rPr>
          <w:b/>
        </w:rPr>
      </w:pPr>
      <w:r>
        <w:rPr/>
        <w:t>当连接两个及以上报警阀组时，应设置备用减压阀； 垂直设置的减压阀，水流方向宜向下；</w:t>
      </w:r>
      <w:r>
        <w:rPr>
          <w:b/>
          <w:w w:val="99"/>
        </w:rPr>
        <w:t> </w:t>
      </w:r>
    </w:p>
    <w:p>
      <w:pPr>
        <w:pStyle w:val="BodyText"/>
        <w:ind w:left="838"/>
        <w:rPr>
          <w:b/>
        </w:rPr>
      </w:pPr>
      <w:r>
        <w:rPr>
          <w:spacing w:val="-3"/>
        </w:rPr>
        <w:t>比例式减压阀宜垂直设置，可调式减压阀宜水平设置；</w:t>
      </w:r>
      <w:r>
        <w:rPr>
          <w:b/>
          <w:w w:val="99"/>
        </w:rPr>
        <w:t> </w:t>
      </w:r>
    </w:p>
    <w:p>
      <w:pPr>
        <w:pStyle w:val="BodyText"/>
        <w:rPr>
          <w:b/>
          <w:sz w:val="18"/>
        </w:rPr>
      </w:pPr>
    </w:p>
    <w:p>
      <w:pPr>
        <w:pStyle w:val="BodyText"/>
        <w:spacing w:line="446" w:lineRule="auto"/>
        <w:ind w:left="838" w:right="1505"/>
        <w:rPr>
          <w:b/>
        </w:rPr>
      </w:pPr>
      <w:r>
        <w:rPr>
          <w:spacing w:val="-3"/>
        </w:rPr>
        <w:t>减压阀前后应设控制阀和压力表，当减压阀主阀体自身带有压力表时，可不设置压力表； 减压阀和前后的阀门宜有保护或锁定调节配件的装置。</w:t>
      </w:r>
      <w:r>
        <w:rPr>
          <w:b/>
          <w:w w:val="99"/>
        </w:rPr>
        <w:t> </w:t>
      </w:r>
    </w:p>
    <w:p>
      <w:pPr>
        <w:pStyle w:val="Heading4"/>
        <w:spacing w:line="277" w:lineRule="exact"/>
      </w:pPr>
      <w:r>
        <w:rPr/>
        <w:t>10 供水</w:t>
      </w:r>
      <w:r>
        <w:rPr>
          <w:w w:val="99"/>
        </w:rPr>
        <w:t> </w:t>
      </w:r>
    </w:p>
    <w:p>
      <w:pPr>
        <w:pStyle w:val="BodyText"/>
        <w:spacing w:before="4"/>
        <w:rPr>
          <w:b/>
          <w:sz w:val="17"/>
        </w:rPr>
      </w:pPr>
    </w:p>
    <w:p>
      <w:pPr>
        <w:pStyle w:val="ListParagraph"/>
        <w:numPr>
          <w:ilvl w:val="1"/>
          <w:numId w:val="920"/>
        </w:numPr>
        <w:tabs>
          <w:tab w:pos="1264" w:val="left" w:leader="none"/>
        </w:tabs>
        <w:spacing w:line="240" w:lineRule="auto" w:before="0" w:after="0"/>
        <w:ind w:left="1263" w:right="0" w:hanging="424"/>
        <w:jc w:val="left"/>
        <w:rPr>
          <w:b/>
          <w:sz w:val="21"/>
        </w:rPr>
      </w:pPr>
      <w:r>
        <w:rPr>
          <w:spacing w:val="-3"/>
          <w:sz w:val="21"/>
        </w:rPr>
        <w:t>一般规定</w:t>
      </w:r>
      <w:r>
        <w:rPr>
          <w:b/>
          <w:w w:val="99"/>
          <w:sz w:val="21"/>
        </w:rPr>
        <w:t> </w:t>
      </w:r>
    </w:p>
    <w:p>
      <w:pPr>
        <w:pStyle w:val="BodyText"/>
        <w:spacing w:before="2"/>
        <w:rPr>
          <w:b/>
          <w:sz w:val="18"/>
        </w:rPr>
      </w:pPr>
    </w:p>
    <w:p>
      <w:pPr>
        <w:pStyle w:val="ListParagraph"/>
        <w:numPr>
          <w:ilvl w:val="2"/>
          <w:numId w:val="920"/>
        </w:numPr>
        <w:tabs>
          <w:tab w:pos="1530" w:val="left" w:leader="none"/>
        </w:tabs>
        <w:spacing w:line="446" w:lineRule="auto" w:before="0" w:after="0"/>
        <w:ind w:left="418" w:right="1549" w:firstLine="422"/>
        <w:jc w:val="left"/>
        <w:rPr>
          <w:sz w:val="21"/>
        </w:rPr>
      </w:pPr>
      <w:r>
        <w:rPr>
          <w:spacing w:val="-3"/>
          <w:sz w:val="21"/>
        </w:rPr>
        <w:t>系统用水应无污染、无腐蚀、无悬浮物。可由市政或企业的生产、消防给水管道供给，也可由消防水池或天然水源供给，并应确保持续喷水时间内的用水量。</w:t>
      </w:r>
      <w:r>
        <w:rPr>
          <w:sz w:val="21"/>
        </w:rPr>
        <w:t> </w:t>
      </w:r>
    </w:p>
    <w:p>
      <w:pPr>
        <w:pStyle w:val="ListParagraph"/>
        <w:numPr>
          <w:ilvl w:val="2"/>
          <w:numId w:val="920"/>
        </w:numPr>
        <w:tabs>
          <w:tab w:pos="1530" w:val="left" w:leader="none"/>
        </w:tabs>
        <w:spacing w:line="267" w:lineRule="exact" w:before="0" w:after="0"/>
        <w:ind w:left="1529" w:right="0" w:hanging="690"/>
        <w:jc w:val="left"/>
        <w:rPr>
          <w:sz w:val="21"/>
        </w:rPr>
      </w:pPr>
      <w:r>
        <w:rPr>
          <w:spacing w:val="-3"/>
          <w:sz w:val="21"/>
        </w:rPr>
        <w:t>与生活用水合用的消防水箱和消防水池，其储水的水质应符合饮用水标准。 </w:t>
      </w:r>
    </w:p>
    <w:p>
      <w:pPr>
        <w:pStyle w:val="BodyText"/>
        <w:spacing w:before="1"/>
        <w:rPr>
          <w:sz w:val="18"/>
        </w:rPr>
      </w:pPr>
    </w:p>
    <w:p>
      <w:pPr>
        <w:pStyle w:val="ListParagraph"/>
        <w:numPr>
          <w:ilvl w:val="2"/>
          <w:numId w:val="920"/>
        </w:numPr>
        <w:tabs>
          <w:tab w:pos="1530" w:val="left" w:leader="none"/>
        </w:tabs>
        <w:spacing w:line="240" w:lineRule="auto" w:before="1" w:after="0"/>
        <w:ind w:left="1529" w:right="0" w:hanging="690"/>
        <w:jc w:val="left"/>
        <w:rPr>
          <w:sz w:val="21"/>
        </w:rPr>
      </w:pPr>
      <w:r>
        <w:rPr>
          <w:spacing w:val="-3"/>
          <w:sz w:val="21"/>
        </w:rPr>
        <w:t>严寒与寒冷地区，对系统中遭受冰冻影响的部分，应采取防冻措施。 </w:t>
      </w:r>
    </w:p>
    <w:p>
      <w:pPr>
        <w:pStyle w:val="BodyText"/>
        <w:spacing w:before="12"/>
        <w:rPr>
          <w:sz w:val="17"/>
        </w:rPr>
      </w:pPr>
    </w:p>
    <w:p>
      <w:pPr>
        <w:pStyle w:val="ListParagraph"/>
        <w:numPr>
          <w:ilvl w:val="2"/>
          <w:numId w:val="920"/>
        </w:numPr>
        <w:tabs>
          <w:tab w:pos="1530" w:val="left" w:leader="none"/>
        </w:tabs>
        <w:spacing w:line="446" w:lineRule="auto" w:before="0" w:after="0"/>
        <w:ind w:left="418" w:right="1505" w:firstLine="422"/>
        <w:jc w:val="left"/>
        <w:rPr>
          <w:sz w:val="21"/>
        </w:rPr>
      </w:pPr>
      <w:r>
        <w:rPr>
          <w:spacing w:val="-3"/>
          <w:sz w:val="21"/>
        </w:rPr>
        <w:t>当自动喷水灭火系统中设有 </w:t>
      </w:r>
      <w:r>
        <w:rPr>
          <w:sz w:val="21"/>
        </w:rPr>
        <w:t>2</w:t>
      </w:r>
      <w:r>
        <w:rPr>
          <w:spacing w:val="-3"/>
          <w:sz w:val="21"/>
        </w:rPr>
        <w:t> 个及以上报警阀组时，报警阀组前应设环状供水管道。环状供水管道上设置的控制阀应采用信号阀；当不采用信号阀时，应设锁定阀位的锁具。</w:t>
      </w:r>
      <w:r>
        <w:rPr>
          <w:sz w:val="21"/>
        </w:rPr>
        <w:t> </w:t>
      </w:r>
    </w:p>
    <w:p>
      <w:pPr>
        <w:pStyle w:val="ListParagraph"/>
        <w:numPr>
          <w:ilvl w:val="1"/>
          <w:numId w:val="920"/>
        </w:numPr>
        <w:tabs>
          <w:tab w:pos="1266" w:val="left" w:leader="none"/>
        </w:tabs>
        <w:spacing w:line="240" w:lineRule="auto" w:before="0" w:after="0"/>
        <w:ind w:left="1265" w:right="0" w:hanging="426"/>
        <w:jc w:val="left"/>
        <w:rPr>
          <w:sz w:val="21"/>
        </w:rPr>
      </w:pPr>
      <w:r>
        <w:rPr>
          <w:spacing w:val="-3"/>
          <w:sz w:val="21"/>
        </w:rPr>
        <w:t>消防水泵</w:t>
      </w:r>
      <w:r>
        <w:rPr>
          <w:sz w:val="21"/>
        </w:rPr>
        <w:t> </w:t>
      </w:r>
    </w:p>
    <w:p>
      <w:pPr>
        <w:pStyle w:val="BodyText"/>
        <w:rPr>
          <w:sz w:val="18"/>
        </w:rPr>
      </w:pPr>
    </w:p>
    <w:p>
      <w:pPr>
        <w:pStyle w:val="ListParagraph"/>
        <w:numPr>
          <w:ilvl w:val="2"/>
          <w:numId w:val="920"/>
        </w:numPr>
        <w:tabs>
          <w:tab w:pos="1478" w:val="left" w:leader="none"/>
        </w:tabs>
        <w:spacing w:line="446" w:lineRule="auto" w:before="0" w:after="0"/>
        <w:ind w:left="418" w:right="1496" w:firstLine="422"/>
        <w:jc w:val="left"/>
        <w:rPr>
          <w:sz w:val="21"/>
        </w:rPr>
      </w:pPr>
      <w:r>
        <w:rPr>
          <w:spacing w:val="-3"/>
          <w:sz w:val="21"/>
        </w:rPr>
        <w:t>采用临时高压给水系统的自动喷水灭火系统，宜设置独立的消防水泵，并应按一用一备或二用一备，及最大一台消防水泵的工作性能设置备用泵。当与消火栓系统合用消防水泵时，系统管道应在报警阀前分开。</w:t>
      </w:r>
      <w:r>
        <w:rPr>
          <w:sz w:val="21"/>
        </w:rPr>
        <w:t> </w:t>
      </w:r>
    </w:p>
    <w:p>
      <w:pPr>
        <w:pStyle w:val="ListParagraph"/>
        <w:numPr>
          <w:ilvl w:val="2"/>
          <w:numId w:val="920"/>
        </w:numPr>
        <w:tabs>
          <w:tab w:pos="1478" w:val="left" w:leader="none"/>
        </w:tabs>
        <w:spacing w:line="268" w:lineRule="exact" w:before="0" w:after="0"/>
        <w:ind w:left="1477" w:right="0" w:hanging="638"/>
        <w:jc w:val="left"/>
        <w:rPr>
          <w:sz w:val="21"/>
        </w:rPr>
      </w:pPr>
      <w:r>
        <w:rPr>
          <w:spacing w:val="-3"/>
          <w:sz w:val="21"/>
        </w:rPr>
        <w:t>按二级负荷供电的建筑，宜采用柴油机泵作备用泵。</w:t>
      </w:r>
      <w:r>
        <w:rPr>
          <w:sz w:val="21"/>
        </w:rPr>
        <w:t> </w:t>
      </w:r>
    </w:p>
    <w:p>
      <w:pPr>
        <w:pStyle w:val="BodyText"/>
        <w:spacing w:before="12"/>
        <w:rPr>
          <w:sz w:val="17"/>
        </w:rPr>
      </w:pPr>
    </w:p>
    <w:p>
      <w:pPr>
        <w:pStyle w:val="ListParagraph"/>
        <w:numPr>
          <w:ilvl w:val="2"/>
          <w:numId w:val="920"/>
        </w:numPr>
        <w:tabs>
          <w:tab w:pos="1478" w:val="left" w:leader="none"/>
        </w:tabs>
        <w:spacing w:line="446" w:lineRule="auto" w:before="0" w:after="0"/>
        <w:ind w:left="418" w:right="1498" w:firstLine="422"/>
        <w:jc w:val="left"/>
        <w:rPr>
          <w:sz w:val="21"/>
        </w:rPr>
      </w:pPr>
      <w:r>
        <w:rPr>
          <w:spacing w:val="-3"/>
          <w:sz w:val="21"/>
        </w:rPr>
        <w:t>系统的消防水泵、稳压泵，应采用自灌式吸水方式。采用天然水源时，消防水泵的吸水口应采取防止杂物堵塞的措施。</w:t>
      </w:r>
      <w:r>
        <w:rPr>
          <w:sz w:val="21"/>
        </w:rPr>
        <w:t> </w:t>
      </w:r>
    </w:p>
    <w:p>
      <w:pPr>
        <w:pStyle w:val="ListParagraph"/>
        <w:numPr>
          <w:ilvl w:val="2"/>
          <w:numId w:val="920"/>
        </w:numPr>
        <w:tabs>
          <w:tab w:pos="1478" w:val="left" w:leader="none"/>
        </w:tabs>
        <w:spacing w:line="240" w:lineRule="auto" w:before="1" w:after="0"/>
        <w:ind w:left="1477" w:right="0" w:hanging="638"/>
        <w:jc w:val="left"/>
        <w:rPr>
          <w:sz w:val="21"/>
        </w:rPr>
      </w:pPr>
      <w:r>
        <w:rPr>
          <w:spacing w:val="-7"/>
          <w:sz w:val="21"/>
        </w:rPr>
        <w:t>每组消防水泵的吸水管不应少于 </w:t>
      </w:r>
      <w:r>
        <w:rPr>
          <w:sz w:val="21"/>
        </w:rPr>
        <w:t>2</w:t>
      </w:r>
      <w:r>
        <w:rPr>
          <w:spacing w:val="-9"/>
          <w:sz w:val="21"/>
        </w:rPr>
        <w:t> 根。报警阀入口前设置环状管道的系统，每组消</w:t>
      </w:r>
    </w:p>
    <w:p>
      <w:pPr>
        <w:pStyle w:val="BodyText"/>
        <w:spacing w:before="12"/>
        <w:rPr>
          <w:sz w:val="17"/>
        </w:rPr>
      </w:pPr>
    </w:p>
    <w:p>
      <w:pPr>
        <w:pStyle w:val="BodyText"/>
        <w:ind w:left="418"/>
      </w:pPr>
      <w:r>
        <w:rPr/>
        <w:t>防水泵的出水管不应少于 2 根。消防水泵的吸水管应设控制阀和压力表；出水管应设控制阀、</w:t>
      </w:r>
    </w:p>
    <w:p>
      <w:pPr>
        <w:spacing w:after="0"/>
        <w:sectPr>
          <w:pgSz w:w="11910" w:h="16850"/>
          <w:pgMar w:header="0" w:footer="1239" w:top="1200" w:bottom="1420" w:left="1260" w:right="0"/>
        </w:sectPr>
      </w:pPr>
    </w:p>
    <w:p>
      <w:pPr>
        <w:pStyle w:val="BodyText"/>
        <w:spacing w:line="446" w:lineRule="auto" w:before="47"/>
        <w:ind w:left="418" w:right="1608"/>
      </w:pPr>
      <w:r>
        <w:rPr/>
        <w:t>止回阀和压力表，出水管上还应设置流量和压力检测装置或预留可供连接流量和压力检测装置的接口。必要时，应采取控制消防水泵出口压力的措施。 </w:t>
      </w:r>
    </w:p>
    <w:p>
      <w:pPr>
        <w:pStyle w:val="ListParagraph"/>
        <w:numPr>
          <w:ilvl w:val="1"/>
          <w:numId w:val="920"/>
        </w:numPr>
        <w:tabs>
          <w:tab w:pos="1266" w:val="left" w:leader="none"/>
        </w:tabs>
        <w:spacing w:line="267" w:lineRule="exact" w:before="0" w:after="0"/>
        <w:ind w:left="1265" w:right="0" w:hanging="426"/>
        <w:jc w:val="left"/>
        <w:rPr>
          <w:sz w:val="21"/>
        </w:rPr>
      </w:pPr>
      <w:r>
        <w:rPr>
          <w:spacing w:val="-3"/>
          <w:sz w:val="21"/>
        </w:rPr>
        <w:t>高位消防水箱</w:t>
      </w:r>
      <w:r>
        <w:rPr>
          <w:sz w:val="21"/>
        </w:rPr>
        <w:t> </w:t>
      </w:r>
    </w:p>
    <w:p>
      <w:pPr>
        <w:pStyle w:val="BodyText"/>
        <w:spacing w:before="2"/>
        <w:rPr>
          <w:sz w:val="18"/>
        </w:rPr>
      </w:pPr>
    </w:p>
    <w:p>
      <w:pPr>
        <w:pStyle w:val="ListParagraph"/>
        <w:numPr>
          <w:ilvl w:val="2"/>
          <w:numId w:val="920"/>
        </w:numPr>
        <w:tabs>
          <w:tab w:pos="1530" w:val="left" w:leader="none"/>
        </w:tabs>
        <w:spacing w:line="446" w:lineRule="auto" w:before="0" w:after="0"/>
        <w:ind w:left="418" w:right="1549" w:firstLine="422"/>
        <w:jc w:val="both"/>
        <w:rPr>
          <w:sz w:val="21"/>
        </w:rPr>
      </w:pPr>
      <w:r>
        <w:rPr>
          <w:spacing w:val="-3"/>
          <w:sz w:val="21"/>
        </w:rPr>
        <w:t>采用临时高压给水系统的自动喷水灭火系统，应设高位消防水箱。自动喷水灭火系统可与消火栓系统合用高位消防水箱，其设置应符合现行国家标准《消防给水及消火栓系统技术规范》</w:t>
      </w:r>
      <w:r>
        <w:rPr>
          <w:sz w:val="21"/>
        </w:rPr>
        <w:t>GB 50974</w:t>
      </w:r>
      <w:r>
        <w:rPr>
          <w:spacing w:val="-13"/>
          <w:sz w:val="21"/>
        </w:rPr>
        <w:t> 的要求。 </w:t>
      </w:r>
    </w:p>
    <w:p>
      <w:pPr>
        <w:pStyle w:val="ListParagraph"/>
        <w:numPr>
          <w:ilvl w:val="2"/>
          <w:numId w:val="920"/>
        </w:numPr>
        <w:tabs>
          <w:tab w:pos="1478" w:val="left" w:leader="none"/>
        </w:tabs>
        <w:spacing w:line="446" w:lineRule="auto" w:before="0" w:after="0"/>
        <w:ind w:left="418" w:right="1496" w:firstLine="422"/>
        <w:jc w:val="left"/>
        <w:rPr>
          <w:sz w:val="21"/>
        </w:rPr>
      </w:pPr>
      <w:r>
        <w:rPr>
          <w:spacing w:val="-3"/>
          <w:sz w:val="21"/>
        </w:rPr>
        <w:t>高位消防水箱的设置高度不能满足系统最不利点处喷头的工作压力时，系统应设置增压稳压设施，增压稳压设施的设置应符合现行国家标准《消防给水及消火栓系统技术规范》GB 50974</w:t>
      </w:r>
      <w:r>
        <w:rPr>
          <w:spacing w:val="-13"/>
          <w:sz w:val="21"/>
        </w:rPr>
        <w:t> 的规定。</w:t>
      </w:r>
      <w:r>
        <w:rPr>
          <w:sz w:val="21"/>
        </w:rPr>
        <w:t> </w:t>
      </w:r>
    </w:p>
    <w:p>
      <w:pPr>
        <w:pStyle w:val="ListParagraph"/>
        <w:numPr>
          <w:ilvl w:val="2"/>
          <w:numId w:val="920"/>
        </w:numPr>
        <w:tabs>
          <w:tab w:pos="1478" w:val="left" w:leader="none"/>
        </w:tabs>
        <w:spacing w:line="446" w:lineRule="auto" w:before="0" w:after="0"/>
        <w:ind w:left="418" w:right="1496" w:firstLine="422"/>
        <w:jc w:val="both"/>
        <w:rPr>
          <w:sz w:val="21"/>
        </w:rPr>
      </w:pPr>
      <w:r>
        <w:rPr>
          <w:spacing w:val="-3"/>
          <w:sz w:val="21"/>
        </w:rPr>
        <w:t>采用临时高压给水系统的自动喷水灭火系统，当按现行国家标准《消防给水及消火栓系统技术规范》</w:t>
      </w:r>
      <w:r>
        <w:rPr>
          <w:sz w:val="21"/>
        </w:rPr>
        <w:t>GB</w:t>
      </w:r>
      <w:r>
        <w:rPr>
          <w:spacing w:val="17"/>
          <w:sz w:val="21"/>
        </w:rPr>
        <w:t> </w:t>
      </w:r>
      <w:r>
        <w:rPr>
          <w:sz w:val="21"/>
        </w:rPr>
        <w:t>50974</w:t>
      </w:r>
      <w:r>
        <w:rPr>
          <w:spacing w:val="-8"/>
          <w:sz w:val="21"/>
        </w:rPr>
        <w:t> 的规定可不设置高位消防水箱时，系统应设气压供水设备。气压供</w:t>
      </w:r>
      <w:r>
        <w:rPr>
          <w:spacing w:val="-7"/>
          <w:sz w:val="21"/>
        </w:rPr>
        <w:t>水设备的有效水容积，应按系统最不利处 </w:t>
      </w:r>
      <w:r>
        <w:rPr>
          <w:sz w:val="21"/>
        </w:rPr>
        <w:t>4</w:t>
      </w:r>
      <w:r>
        <w:rPr>
          <w:spacing w:val="-11"/>
          <w:sz w:val="21"/>
        </w:rPr>
        <w:t> 只喷头在最低工作压力下的 </w:t>
      </w:r>
      <w:r>
        <w:rPr>
          <w:sz w:val="21"/>
        </w:rPr>
        <w:t>5min</w:t>
      </w:r>
      <w:r>
        <w:rPr>
          <w:spacing w:val="-8"/>
          <w:sz w:val="21"/>
        </w:rPr>
        <w:t> 用水量确定。干式</w:t>
      </w:r>
      <w:r>
        <w:rPr>
          <w:spacing w:val="-5"/>
          <w:sz w:val="21"/>
        </w:rPr>
        <w:t>系统、预作用系统设置的气压供水设备，应同时满足配水管道的充水要求。</w:t>
      </w:r>
      <w:r>
        <w:rPr>
          <w:sz w:val="21"/>
        </w:rPr>
        <w:t> </w:t>
      </w:r>
    </w:p>
    <w:p>
      <w:pPr>
        <w:pStyle w:val="ListParagraph"/>
        <w:numPr>
          <w:ilvl w:val="2"/>
          <w:numId w:val="920"/>
        </w:numPr>
        <w:tabs>
          <w:tab w:pos="1478" w:val="left" w:leader="none"/>
        </w:tabs>
        <w:spacing w:line="267" w:lineRule="exact" w:before="0" w:after="0"/>
        <w:ind w:left="1477" w:right="0" w:hanging="638"/>
        <w:jc w:val="left"/>
        <w:rPr>
          <w:sz w:val="21"/>
        </w:rPr>
      </w:pPr>
      <w:r>
        <w:rPr>
          <w:spacing w:val="-3"/>
          <w:sz w:val="21"/>
        </w:rPr>
        <w:t>高位消防水箱的出水管应符合下列规定：</w:t>
      </w:r>
      <w:r>
        <w:rPr>
          <w:sz w:val="21"/>
        </w:rPr>
        <w:t> </w:t>
      </w:r>
    </w:p>
    <w:p>
      <w:pPr>
        <w:pStyle w:val="BodyText"/>
        <w:spacing w:before="10"/>
        <w:rPr>
          <w:sz w:val="17"/>
        </w:rPr>
      </w:pPr>
    </w:p>
    <w:p>
      <w:pPr>
        <w:pStyle w:val="BodyText"/>
        <w:spacing w:line="446" w:lineRule="auto"/>
        <w:ind w:left="838" w:right="5293"/>
      </w:pPr>
      <w:r>
        <w:rPr/>
        <w:t>应设止回阀，并应与报警阀入口前管道连接； 出水管管径应经计算确定，且不应小于 100mm。</w:t>
      </w:r>
      <w:r>
        <w:rPr>
          <w:b/>
        </w:rPr>
        <w:t>10.4 </w:t>
      </w:r>
      <w:r>
        <w:rPr/>
        <w:t>消防水泵接合器 </w:t>
      </w:r>
    </w:p>
    <w:p>
      <w:pPr>
        <w:pStyle w:val="ListParagraph"/>
        <w:numPr>
          <w:ilvl w:val="2"/>
          <w:numId w:val="921"/>
        </w:numPr>
        <w:tabs>
          <w:tab w:pos="1530" w:val="left" w:leader="none"/>
        </w:tabs>
        <w:spacing w:line="446" w:lineRule="auto" w:before="0" w:after="0"/>
        <w:ind w:left="418" w:right="1549" w:firstLine="422"/>
        <w:jc w:val="left"/>
        <w:rPr>
          <w:sz w:val="21"/>
        </w:rPr>
      </w:pPr>
      <w:r>
        <w:rPr>
          <w:spacing w:val="-3"/>
          <w:sz w:val="21"/>
        </w:rPr>
        <w:t>系统应设消防水泵接合器，其数量应按系统的设计流量确定，每个消防水泵接合器</w:t>
      </w:r>
      <w:r>
        <w:rPr>
          <w:spacing w:val="-12"/>
          <w:sz w:val="21"/>
        </w:rPr>
        <w:t>的流量宜按 </w:t>
      </w:r>
      <w:r>
        <w:rPr>
          <w:sz w:val="21"/>
        </w:rPr>
        <w:t>10～15L/s</w:t>
      </w:r>
      <w:r>
        <w:rPr>
          <w:spacing w:val="-15"/>
          <w:sz w:val="21"/>
        </w:rPr>
        <w:t> 计算。 </w:t>
      </w:r>
    </w:p>
    <w:p>
      <w:pPr>
        <w:pStyle w:val="ListParagraph"/>
        <w:numPr>
          <w:ilvl w:val="2"/>
          <w:numId w:val="921"/>
        </w:numPr>
        <w:tabs>
          <w:tab w:pos="1530" w:val="left" w:leader="none"/>
        </w:tabs>
        <w:spacing w:line="446" w:lineRule="auto" w:before="0" w:after="0"/>
        <w:ind w:left="418" w:right="1549" w:firstLine="422"/>
        <w:jc w:val="left"/>
        <w:rPr>
          <w:sz w:val="21"/>
        </w:rPr>
      </w:pPr>
      <w:r>
        <w:rPr>
          <w:spacing w:val="-3"/>
          <w:sz w:val="21"/>
        </w:rPr>
        <w:t>当消防水泵接合器的供水能力不能满足最不利点处作用面积的流量和压力要求时， 应采取增压措施。</w:t>
      </w:r>
      <w:r>
        <w:rPr>
          <w:sz w:val="21"/>
        </w:rPr>
        <w:t> </w:t>
      </w:r>
    </w:p>
    <w:p>
      <w:pPr>
        <w:pStyle w:val="Heading4"/>
        <w:spacing w:line="277" w:lineRule="exact"/>
      </w:pPr>
      <w:r>
        <w:rPr/>
        <w:t>11 操作与控制</w:t>
      </w:r>
      <w:r>
        <w:rPr>
          <w:w w:val="99"/>
        </w:rPr>
        <w:t> </w:t>
      </w:r>
    </w:p>
    <w:p>
      <w:pPr>
        <w:pStyle w:val="BodyText"/>
        <w:spacing w:before="3"/>
        <w:rPr>
          <w:b/>
          <w:sz w:val="17"/>
        </w:rPr>
      </w:pPr>
    </w:p>
    <w:p>
      <w:pPr>
        <w:pStyle w:val="ListParagraph"/>
        <w:numPr>
          <w:ilvl w:val="1"/>
          <w:numId w:val="922"/>
        </w:numPr>
        <w:tabs>
          <w:tab w:pos="1318" w:val="left" w:leader="none"/>
        </w:tabs>
        <w:spacing w:line="446" w:lineRule="auto" w:before="0" w:after="0"/>
        <w:ind w:left="418" w:right="1551" w:firstLine="422"/>
        <w:jc w:val="left"/>
        <w:rPr>
          <w:sz w:val="21"/>
        </w:rPr>
      </w:pPr>
      <w:r>
        <w:rPr>
          <w:spacing w:val="-3"/>
          <w:sz w:val="21"/>
        </w:rPr>
        <w:t>湿式系统、干式系统应由消防水泵出水干管上设置的压力开关、高位消防水箱出水管上的流量开关和报警阀组压力开关直接自动启动消防水泵。</w:t>
      </w:r>
      <w:r>
        <w:rPr>
          <w:sz w:val="21"/>
        </w:rPr>
        <w:t> </w:t>
      </w:r>
    </w:p>
    <w:p>
      <w:pPr>
        <w:pStyle w:val="ListParagraph"/>
        <w:numPr>
          <w:ilvl w:val="1"/>
          <w:numId w:val="922"/>
        </w:numPr>
        <w:tabs>
          <w:tab w:pos="1266" w:val="left" w:leader="none"/>
        </w:tabs>
        <w:spacing w:line="446" w:lineRule="auto" w:before="0" w:after="0"/>
        <w:ind w:left="418" w:right="1498" w:firstLine="422"/>
        <w:jc w:val="left"/>
        <w:rPr>
          <w:sz w:val="21"/>
        </w:rPr>
      </w:pPr>
      <w:r>
        <w:rPr>
          <w:spacing w:val="-3"/>
          <w:sz w:val="21"/>
        </w:rPr>
        <w:t>预作用系统应由火灾自动报警系统、消防水泵出水干管上设置的压力开关、高位消防水箱出水管上的流量开关和报警阀组压力开关直接自动启动消防水泵。</w:t>
      </w:r>
      <w:r>
        <w:rPr>
          <w:sz w:val="21"/>
        </w:rPr>
        <w:t> </w:t>
      </w:r>
    </w:p>
    <w:p>
      <w:pPr>
        <w:pStyle w:val="ListParagraph"/>
        <w:numPr>
          <w:ilvl w:val="1"/>
          <w:numId w:val="922"/>
        </w:numPr>
        <w:tabs>
          <w:tab w:pos="1266" w:val="left" w:leader="none"/>
        </w:tabs>
        <w:spacing w:line="267" w:lineRule="exact" w:before="0" w:after="0"/>
        <w:ind w:left="1265" w:right="0" w:hanging="426"/>
        <w:jc w:val="left"/>
        <w:rPr>
          <w:sz w:val="21"/>
        </w:rPr>
      </w:pPr>
      <w:r>
        <w:rPr>
          <w:spacing w:val="-3"/>
          <w:sz w:val="21"/>
        </w:rPr>
        <w:t>雨淋系统和自动控制的水幕系统，消防水泵的自动启动方式应符合下列要求： </w:t>
      </w:r>
    </w:p>
    <w:p>
      <w:pPr>
        <w:spacing w:after="0" w:line="267" w:lineRule="exact"/>
        <w:jc w:val="left"/>
        <w:rPr>
          <w:sz w:val="21"/>
        </w:rPr>
        <w:sectPr>
          <w:pgSz w:w="11910" w:h="16850"/>
          <w:pgMar w:header="0" w:footer="1239" w:top="1220" w:bottom="1420" w:left="1260" w:right="0"/>
        </w:sectPr>
      </w:pPr>
    </w:p>
    <w:p>
      <w:pPr>
        <w:pStyle w:val="BodyText"/>
        <w:spacing w:line="446" w:lineRule="auto" w:before="47"/>
        <w:ind w:left="418" w:right="1609" w:firstLine="419"/>
        <w:jc w:val="both"/>
      </w:pPr>
      <w:r>
        <w:rPr/>
        <w:t>当采用火灾自动报警系统控制雨淋报警阀时，消防水泵应由火灾自动报警系统、消防水泵出水干管上设置的压力开关、高位消防水箱出水管上的流量开关和报警阀组压力开关直接自动启动； </w:t>
      </w:r>
    </w:p>
    <w:p>
      <w:pPr>
        <w:pStyle w:val="BodyText"/>
        <w:spacing w:line="446" w:lineRule="auto"/>
        <w:ind w:left="418" w:right="1609" w:firstLine="419"/>
      </w:pPr>
      <w:r>
        <w:rPr/>
        <w:t>当采用充液（水）传动管控制雨淋报警阀时，消防水泵应由消防水泵出水干管上设置的压力开关、高位消防水箱出水管上的流量开关和报警阀组压力开关直接启动。 </w:t>
      </w:r>
    </w:p>
    <w:p>
      <w:pPr>
        <w:pStyle w:val="ListParagraph"/>
        <w:numPr>
          <w:ilvl w:val="1"/>
          <w:numId w:val="922"/>
        </w:numPr>
        <w:tabs>
          <w:tab w:pos="1264" w:val="left" w:leader="none"/>
        </w:tabs>
        <w:spacing w:line="267" w:lineRule="exact" w:before="0" w:after="0"/>
        <w:ind w:left="1263" w:right="0" w:hanging="424"/>
        <w:jc w:val="left"/>
        <w:rPr>
          <w:sz w:val="21"/>
        </w:rPr>
      </w:pPr>
      <w:r>
        <w:rPr>
          <w:spacing w:val="-3"/>
          <w:sz w:val="21"/>
        </w:rPr>
        <w:t>消防水泵除具有自动控制启动方式外，还应具备下列启动方式：</w:t>
      </w:r>
      <w:r>
        <w:rPr>
          <w:sz w:val="21"/>
        </w:rPr>
        <w:t> </w:t>
      </w:r>
    </w:p>
    <w:p>
      <w:pPr>
        <w:pStyle w:val="BodyText"/>
        <w:spacing w:before="1"/>
        <w:rPr>
          <w:sz w:val="18"/>
        </w:rPr>
      </w:pPr>
    </w:p>
    <w:p>
      <w:pPr>
        <w:pStyle w:val="BodyText"/>
        <w:spacing w:line="446" w:lineRule="auto"/>
        <w:ind w:left="838" w:right="6969"/>
      </w:pPr>
      <w:r>
        <w:rPr/>
        <w:t>消防控制室（盘）远程控制； 消防水泵房现场应急操作。 </w:t>
      </w:r>
    </w:p>
    <w:p>
      <w:pPr>
        <w:pStyle w:val="ListParagraph"/>
        <w:numPr>
          <w:ilvl w:val="1"/>
          <w:numId w:val="922"/>
        </w:numPr>
        <w:tabs>
          <w:tab w:pos="1266" w:val="left" w:leader="none"/>
        </w:tabs>
        <w:spacing w:line="446" w:lineRule="auto" w:before="0" w:after="0"/>
        <w:ind w:left="418" w:right="1498" w:firstLine="422"/>
        <w:jc w:val="left"/>
        <w:rPr>
          <w:sz w:val="21"/>
        </w:rPr>
      </w:pPr>
      <w:r>
        <w:rPr>
          <w:spacing w:val="-3"/>
          <w:sz w:val="21"/>
        </w:rPr>
        <w:t>预作用装置的自动控制方式可采用仅有火灾自动报警系统直接控制，或由火灾自动报警系统和充气管道上设置的压力开关控制，并应符合下列要求：</w:t>
      </w:r>
      <w:r>
        <w:rPr>
          <w:sz w:val="21"/>
        </w:rPr>
        <w:t> </w:t>
      </w:r>
    </w:p>
    <w:p>
      <w:pPr>
        <w:pStyle w:val="BodyText"/>
        <w:spacing w:line="446" w:lineRule="auto"/>
        <w:ind w:left="418" w:right="1817" w:firstLine="419"/>
      </w:pPr>
      <w:r>
        <w:rPr/>
        <w:t>处于准工作状态时严禁误喷的场所，宜采用仅有火灾自动报警系统直接控制的预作用系统； </w:t>
      </w:r>
    </w:p>
    <w:p>
      <w:pPr>
        <w:pStyle w:val="BodyText"/>
        <w:spacing w:line="446" w:lineRule="auto"/>
        <w:ind w:left="418" w:right="1505" w:firstLine="419"/>
      </w:pPr>
      <w:r>
        <w:rPr/>
        <w:t>处于准工作状态时严禁管道充水的场所和用于替代干式系统的场所 ，宜由火灾自动报警系统和充气管道上设置的压力开关控制的预作用系统。 </w:t>
      </w:r>
    </w:p>
    <w:p>
      <w:pPr>
        <w:pStyle w:val="ListParagraph"/>
        <w:numPr>
          <w:ilvl w:val="1"/>
          <w:numId w:val="922"/>
        </w:numPr>
        <w:tabs>
          <w:tab w:pos="1264" w:val="left" w:leader="none"/>
        </w:tabs>
        <w:spacing w:line="267" w:lineRule="exact" w:before="0" w:after="0"/>
        <w:ind w:left="1263" w:right="0" w:hanging="424"/>
        <w:jc w:val="left"/>
        <w:rPr>
          <w:sz w:val="21"/>
        </w:rPr>
      </w:pPr>
      <w:r>
        <w:rPr>
          <w:spacing w:val="-3"/>
          <w:sz w:val="21"/>
        </w:rPr>
        <w:t>雨淋报警阀的自动控制方式可采用电动、液（</w:t>
      </w:r>
      <w:r>
        <w:rPr>
          <w:sz w:val="21"/>
        </w:rPr>
        <w:t>水）</w:t>
      </w:r>
      <w:r>
        <w:rPr>
          <w:spacing w:val="-3"/>
          <w:sz w:val="21"/>
        </w:rPr>
        <w:t>动或气动。当雨淋报警阀采用充液</w:t>
      </w:r>
    </w:p>
    <w:p>
      <w:pPr>
        <w:pStyle w:val="BodyText"/>
        <w:rPr>
          <w:sz w:val="18"/>
        </w:rPr>
      </w:pPr>
    </w:p>
    <w:p>
      <w:pPr>
        <w:pStyle w:val="BodyText"/>
        <w:spacing w:line="446" w:lineRule="auto"/>
        <w:ind w:left="418" w:right="1608"/>
      </w:pPr>
      <w:r>
        <w:rPr/>
        <w:t>（水）传动管自动控制时，闭式喷头与雨淋报警阀之间的高程差，应根据雨淋报警阀的性能确定。 </w:t>
      </w:r>
    </w:p>
    <w:p>
      <w:pPr>
        <w:pStyle w:val="ListParagraph"/>
        <w:numPr>
          <w:ilvl w:val="1"/>
          <w:numId w:val="922"/>
        </w:numPr>
        <w:tabs>
          <w:tab w:pos="1266" w:val="left" w:leader="none"/>
        </w:tabs>
        <w:spacing w:line="446" w:lineRule="auto" w:before="0" w:after="0"/>
        <w:ind w:left="418" w:right="1498" w:firstLine="422"/>
        <w:jc w:val="left"/>
        <w:rPr>
          <w:sz w:val="21"/>
        </w:rPr>
      </w:pPr>
      <w:r>
        <w:rPr>
          <w:spacing w:val="-3"/>
          <w:sz w:val="21"/>
        </w:rPr>
        <w:t>预作用系统、雨淋系统和自动控制的水幕系统，应同时具备下列三种开启报警阀组的控制方式：</w:t>
      </w:r>
      <w:r>
        <w:rPr>
          <w:sz w:val="21"/>
        </w:rPr>
        <w:t> </w:t>
      </w:r>
    </w:p>
    <w:p>
      <w:pPr>
        <w:pStyle w:val="BodyText"/>
        <w:ind w:left="838"/>
      </w:pPr>
      <w:r>
        <w:rPr/>
        <w:t>自动控制； </w:t>
      </w:r>
    </w:p>
    <w:p>
      <w:pPr>
        <w:pStyle w:val="BodyText"/>
        <w:spacing w:before="10"/>
        <w:rPr>
          <w:sz w:val="17"/>
        </w:rPr>
      </w:pPr>
    </w:p>
    <w:p>
      <w:pPr>
        <w:pStyle w:val="BodyText"/>
        <w:ind w:left="838"/>
      </w:pPr>
      <w:r>
        <w:rPr/>
        <w:t>消防控制室（盘）远程控制； </w:t>
      </w:r>
    </w:p>
    <w:p>
      <w:pPr>
        <w:pStyle w:val="BodyText"/>
        <w:spacing w:before="2"/>
        <w:rPr>
          <w:sz w:val="18"/>
        </w:rPr>
      </w:pPr>
    </w:p>
    <w:p>
      <w:pPr>
        <w:pStyle w:val="BodyText"/>
        <w:ind w:left="838"/>
      </w:pPr>
      <w:r>
        <w:rPr/>
        <w:t>预作用装置或雨淋报警阀处现场手动应急操作。 </w:t>
      </w:r>
    </w:p>
    <w:p>
      <w:pPr>
        <w:pStyle w:val="BodyText"/>
        <w:rPr>
          <w:sz w:val="18"/>
        </w:rPr>
      </w:pPr>
    </w:p>
    <w:p>
      <w:pPr>
        <w:pStyle w:val="ListParagraph"/>
        <w:numPr>
          <w:ilvl w:val="1"/>
          <w:numId w:val="922"/>
        </w:numPr>
        <w:tabs>
          <w:tab w:pos="1318" w:val="left" w:leader="none"/>
        </w:tabs>
        <w:spacing w:line="446" w:lineRule="auto" w:before="0" w:after="0"/>
        <w:ind w:left="418" w:right="1551" w:firstLine="422"/>
        <w:jc w:val="left"/>
        <w:rPr>
          <w:sz w:val="21"/>
        </w:rPr>
      </w:pPr>
      <w:r>
        <w:rPr>
          <w:spacing w:val="-3"/>
          <w:sz w:val="21"/>
        </w:rPr>
        <w:t>当建筑物整体采用湿式系统，局部场所采用预作用系统保护且预作用系统串联接入湿</w:t>
      </w:r>
      <w:r>
        <w:rPr>
          <w:spacing w:val="-7"/>
          <w:sz w:val="21"/>
        </w:rPr>
        <w:t>式系统时，除应符合本规范第 </w:t>
      </w:r>
      <w:r>
        <w:rPr>
          <w:sz w:val="21"/>
        </w:rPr>
        <w:t>11.0.1</w:t>
      </w:r>
      <w:r>
        <w:rPr>
          <w:spacing w:val="-8"/>
          <w:sz w:val="21"/>
        </w:rPr>
        <w:t> 条的规定外，预作用装置的控制方式还应符合本规范第</w:t>
      </w:r>
    </w:p>
    <w:p>
      <w:pPr>
        <w:pStyle w:val="BodyText"/>
        <w:ind w:left="418"/>
      </w:pPr>
      <w:r>
        <w:rPr/>
        <w:t>11.0.7 条的规定。 </w:t>
      </w:r>
    </w:p>
    <w:p>
      <w:pPr>
        <w:pStyle w:val="BodyText"/>
        <w:spacing w:before="12"/>
        <w:rPr>
          <w:sz w:val="17"/>
        </w:rPr>
      </w:pPr>
    </w:p>
    <w:p>
      <w:pPr>
        <w:pStyle w:val="ListParagraph"/>
        <w:numPr>
          <w:ilvl w:val="1"/>
          <w:numId w:val="922"/>
        </w:numPr>
        <w:tabs>
          <w:tab w:pos="1318" w:val="left" w:leader="none"/>
        </w:tabs>
        <w:spacing w:line="240" w:lineRule="auto" w:before="0" w:after="0"/>
        <w:ind w:left="1318" w:right="0" w:hanging="478"/>
        <w:jc w:val="left"/>
        <w:rPr>
          <w:sz w:val="21"/>
        </w:rPr>
      </w:pPr>
      <w:r>
        <w:rPr>
          <w:spacing w:val="-3"/>
          <w:sz w:val="21"/>
        </w:rPr>
        <w:t>快速排气阀入口前的电动阀应在启动消防水泵的同时开启。</w:t>
      </w:r>
      <w:r>
        <w:rPr>
          <w:sz w:val="21"/>
        </w:rPr>
        <w:t> </w:t>
      </w:r>
    </w:p>
    <w:p>
      <w:pPr>
        <w:spacing w:after="0" w:line="240" w:lineRule="auto"/>
        <w:jc w:val="left"/>
        <w:rPr>
          <w:sz w:val="21"/>
        </w:rPr>
        <w:sectPr>
          <w:pgSz w:w="11910" w:h="16850"/>
          <w:pgMar w:header="0" w:footer="1239" w:top="1220" w:bottom="1420" w:left="1260" w:right="0"/>
        </w:sectPr>
      </w:pPr>
    </w:p>
    <w:p>
      <w:pPr>
        <w:pStyle w:val="ListParagraph"/>
        <w:numPr>
          <w:ilvl w:val="1"/>
          <w:numId w:val="922"/>
        </w:numPr>
        <w:tabs>
          <w:tab w:pos="1424" w:val="left" w:leader="none"/>
        </w:tabs>
        <w:spacing w:line="446" w:lineRule="auto" w:before="47" w:after="0"/>
        <w:ind w:left="418" w:right="1445" w:firstLine="422"/>
        <w:jc w:val="left"/>
        <w:rPr>
          <w:sz w:val="21"/>
        </w:rPr>
      </w:pPr>
      <w:r>
        <w:rPr>
          <w:spacing w:val="-3"/>
          <w:sz w:val="21"/>
        </w:rPr>
        <w:t>消防控制室</w:t>
      </w:r>
      <w:r>
        <w:rPr>
          <w:sz w:val="21"/>
        </w:rPr>
        <w:t>（</w:t>
      </w:r>
      <w:r>
        <w:rPr>
          <w:spacing w:val="-3"/>
          <w:sz w:val="21"/>
        </w:rPr>
        <w:t>盘）应能显示水流指示器、压力开关、信号阀、消防水泵、消防水池及水箱水位、有压气体管道气压，以及电源和备用动力等是否处于正常状态的反馈信号，并应能 控制消防水泵、电磁阀、电动阀等的操作。</w:t>
      </w:r>
      <w:r>
        <w:rPr>
          <w:sz w:val="21"/>
        </w:rPr>
        <w:t> </w:t>
      </w:r>
    </w:p>
    <w:p>
      <w:pPr>
        <w:pStyle w:val="Heading4"/>
        <w:spacing w:line="277" w:lineRule="exact"/>
      </w:pPr>
      <w:r>
        <w:rPr/>
        <w:t>12 局部应用系统</w:t>
      </w:r>
      <w:r>
        <w:rPr>
          <w:w w:val="99"/>
        </w:rPr>
        <w:t> </w:t>
      </w:r>
    </w:p>
    <w:p>
      <w:pPr>
        <w:pStyle w:val="BodyText"/>
        <w:spacing w:before="4"/>
        <w:rPr>
          <w:b/>
          <w:sz w:val="17"/>
        </w:rPr>
      </w:pPr>
    </w:p>
    <w:p>
      <w:pPr>
        <w:pStyle w:val="ListParagraph"/>
        <w:numPr>
          <w:ilvl w:val="1"/>
          <w:numId w:val="923"/>
        </w:numPr>
        <w:tabs>
          <w:tab w:pos="1264" w:val="left" w:leader="none"/>
        </w:tabs>
        <w:spacing w:line="441" w:lineRule="auto" w:before="0" w:after="0"/>
        <w:ind w:left="418" w:right="1582" w:firstLine="422"/>
        <w:jc w:val="both"/>
        <w:rPr>
          <w:sz w:val="21"/>
        </w:rPr>
      </w:pPr>
      <w:r>
        <w:rPr>
          <w:spacing w:val="-6"/>
          <w:sz w:val="21"/>
        </w:rPr>
        <w:t>局部应用系统应用于室内最大净空高度不超过 </w:t>
      </w:r>
      <w:r>
        <w:rPr>
          <w:sz w:val="21"/>
        </w:rPr>
        <w:t>8m</w:t>
      </w:r>
      <w:r>
        <w:rPr>
          <w:spacing w:val="-8"/>
          <w:sz w:val="21"/>
        </w:rPr>
        <w:t> 的民用建筑中，为局部设置且保护区域总建筑面积不超过 </w:t>
      </w:r>
      <w:r>
        <w:rPr>
          <w:sz w:val="21"/>
        </w:rPr>
        <w:t>1000m</w:t>
      </w:r>
      <w:r>
        <w:rPr>
          <w:position w:val="11"/>
          <w:sz w:val="11"/>
        </w:rPr>
        <w:t>2</w:t>
      </w:r>
      <w:r>
        <w:rPr>
          <w:spacing w:val="-18"/>
          <w:position w:val="11"/>
          <w:sz w:val="11"/>
        </w:rPr>
        <w:t> </w:t>
      </w:r>
      <w:r>
        <w:rPr>
          <w:spacing w:val="-3"/>
          <w:sz w:val="21"/>
        </w:rPr>
        <w:t>的湿式系统。设置局部应用系统的场所应为轻危险级或中危险级Ⅰ级场所。</w:t>
      </w:r>
      <w:r>
        <w:rPr>
          <w:sz w:val="21"/>
        </w:rPr>
        <w:t> </w:t>
      </w:r>
    </w:p>
    <w:p>
      <w:pPr>
        <w:pStyle w:val="ListParagraph"/>
        <w:numPr>
          <w:ilvl w:val="1"/>
          <w:numId w:val="923"/>
        </w:numPr>
        <w:tabs>
          <w:tab w:pos="1264" w:val="left" w:leader="none"/>
        </w:tabs>
        <w:spacing w:line="446" w:lineRule="auto" w:before="6" w:after="0"/>
        <w:ind w:left="418" w:right="1500" w:firstLine="422"/>
        <w:jc w:val="both"/>
        <w:rPr>
          <w:sz w:val="21"/>
        </w:rPr>
      </w:pPr>
      <w:r>
        <w:rPr>
          <w:spacing w:val="-5"/>
          <w:sz w:val="21"/>
        </w:rPr>
        <w:t>局部应用系统应采用快速响应洒水喷头，喷水强度应符合本规范第 </w:t>
      </w:r>
      <w:r>
        <w:rPr>
          <w:sz w:val="21"/>
        </w:rPr>
        <w:t>5.0.1</w:t>
      </w:r>
      <w:r>
        <w:rPr>
          <w:spacing w:val="-10"/>
          <w:sz w:val="21"/>
        </w:rPr>
        <w:t> 条的规定， 持续喷水时间不应低于 </w:t>
      </w:r>
      <w:r>
        <w:rPr>
          <w:sz w:val="21"/>
        </w:rPr>
        <w:t>0.5h</w:t>
      </w:r>
      <w:r>
        <w:rPr>
          <w:spacing w:val="-3"/>
          <w:sz w:val="21"/>
        </w:rPr>
        <w:t>。</w:t>
      </w:r>
      <w:r>
        <w:rPr>
          <w:sz w:val="21"/>
        </w:rPr>
        <w:t> </w:t>
      </w:r>
    </w:p>
    <w:p>
      <w:pPr>
        <w:pStyle w:val="ListParagraph"/>
        <w:numPr>
          <w:ilvl w:val="1"/>
          <w:numId w:val="923"/>
        </w:numPr>
        <w:tabs>
          <w:tab w:pos="1264" w:val="left" w:leader="none"/>
        </w:tabs>
        <w:spacing w:line="446" w:lineRule="auto" w:before="0" w:after="0"/>
        <w:ind w:left="418" w:right="1498" w:firstLine="422"/>
        <w:jc w:val="left"/>
        <w:rPr>
          <w:sz w:val="21"/>
        </w:rPr>
      </w:pPr>
      <w:r>
        <w:rPr>
          <w:spacing w:val="-3"/>
          <w:sz w:val="21"/>
        </w:rPr>
        <w:t>局部应用系统保护区域内的房间和走道均应布置喷头。喷头的选型、布置和按开放喷头数确定的作用面积应符合下列规定：</w:t>
      </w:r>
      <w:r>
        <w:rPr>
          <w:sz w:val="21"/>
        </w:rPr>
        <w:t> </w:t>
      </w:r>
    </w:p>
    <w:p>
      <w:pPr>
        <w:pStyle w:val="BodyText"/>
        <w:spacing w:line="446" w:lineRule="auto"/>
        <w:ind w:left="418" w:right="1609" w:firstLine="419"/>
      </w:pPr>
      <w:r>
        <w:rPr/>
        <w:t>采用标准覆盖面积洒水喷头的系统，喷头布置应符合轻危险级或中危险级Ⅰ级场所的有关规定，作用面积内开放的喷头数量应符合表 12.0.3 的规定。 </w:t>
      </w:r>
    </w:p>
    <w:p>
      <w:pPr>
        <w:pStyle w:val="BodyText"/>
        <w:spacing w:before="12"/>
        <w:rPr>
          <w:sz w:val="17"/>
        </w:rPr>
      </w:pPr>
      <w:r>
        <w:rPr/>
        <w:drawing>
          <wp:anchor distT="0" distB="0" distL="0" distR="0" allowOverlap="1" layoutInCell="1" locked="0" behindDoc="0" simplePos="0" relativeHeight="361">
            <wp:simplePos x="0" y="0"/>
            <wp:positionH relativeFrom="page">
              <wp:posOffset>1330325</wp:posOffset>
            </wp:positionH>
            <wp:positionV relativeFrom="paragraph">
              <wp:posOffset>171148</wp:posOffset>
            </wp:positionV>
            <wp:extent cx="4513457" cy="1076325"/>
            <wp:effectExtent l="0" t="0" r="0" b="0"/>
            <wp:wrapTopAndBottom/>
            <wp:docPr id="787" name="image462.jpeg"/>
            <wp:cNvGraphicFramePr>
              <a:graphicFrameLocks noChangeAspect="1"/>
            </wp:cNvGraphicFramePr>
            <a:graphic>
              <a:graphicData uri="http://schemas.openxmlformats.org/drawingml/2006/picture">
                <pic:pic>
                  <pic:nvPicPr>
                    <pic:cNvPr id="788" name="image462.jpeg"/>
                    <pic:cNvPicPr/>
                  </pic:nvPicPr>
                  <pic:blipFill>
                    <a:blip r:embed="rId584" cstate="print"/>
                    <a:stretch>
                      <a:fillRect/>
                    </a:stretch>
                  </pic:blipFill>
                  <pic:spPr>
                    <a:xfrm>
                      <a:off x="0" y="0"/>
                      <a:ext cx="4513457" cy="1076325"/>
                    </a:xfrm>
                    <a:prstGeom prst="rect">
                      <a:avLst/>
                    </a:prstGeom>
                  </pic:spPr>
                </pic:pic>
              </a:graphicData>
            </a:graphic>
          </wp:anchor>
        </w:drawing>
      </w:r>
    </w:p>
    <w:p>
      <w:pPr>
        <w:pStyle w:val="BodyText"/>
        <w:rPr>
          <w:sz w:val="20"/>
        </w:rPr>
      </w:pPr>
    </w:p>
    <w:p>
      <w:pPr>
        <w:pStyle w:val="BodyText"/>
        <w:spacing w:before="2"/>
        <w:rPr>
          <w:sz w:val="26"/>
        </w:rPr>
      </w:pPr>
    </w:p>
    <w:p>
      <w:pPr>
        <w:pStyle w:val="BodyText"/>
        <w:spacing w:before="72"/>
        <w:ind w:left="838"/>
      </w:pPr>
      <w:r>
        <w:rPr/>
        <w:t>采用扩大覆盖面积洒水喷头的系统，喷头布置应符合本规范第 7.1.4 条的规定。作用面积</w:t>
      </w:r>
    </w:p>
    <w:p>
      <w:pPr>
        <w:pStyle w:val="BodyText"/>
        <w:spacing w:before="2"/>
        <w:rPr>
          <w:sz w:val="18"/>
        </w:rPr>
      </w:pPr>
    </w:p>
    <w:p>
      <w:pPr>
        <w:pStyle w:val="BodyText"/>
        <w:ind w:left="418"/>
      </w:pPr>
      <w:r>
        <w:rPr/>
        <w:t>内开放喷头数量应按不少于 6 只确定。 </w:t>
      </w:r>
    </w:p>
    <w:p>
      <w:pPr>
        <w:pStyle w:val="BodyText"/>
        <w:rPr>
          <w:sz w:val="20"/>
        </w:rPr>
      </w:pPr>
    </w:p>
    <w:p>
      <w:pPr>
        <w:pStyle w:val="BodyText"/>
        <w:rPr>
          <w:sz w:val="20"/>
        </w:rPr>
      </w:pPr>
    </w:p>
    <w:p>
      <w:pPr>
        <w:pStyle w:val="BodyText"/>
        <w:spacing w:before="12"/>
        <w:rPr>
          <w:sz w:val="16"/>
        </w:rPr>
      </w:pPr>
    </w:p>
    <w:p>
      <w:pPr>
        <w:pStyle w:val="ListParagraph"/>
        <w:numPr>
          <w:ilvl w:val="1"/>
          <w:numId w:val="923"/>
        </w:numPr>
        <w:tabs>
          <w:tab w:pos="1266" w:val="left" w:leader="none"/>
        </w:tabs>
        <w:spacing w:line="446" w:lineRule="auto" w:before="0" w:after="0"/>
        <w:ind w:left="418" w:right="1498" w:firstLine="422"/>
        <w:jc w:val="left"/>
        <w:rPr>
          <w:sz w:val="21"/>
        </w:rPr>
      </w:pPr>
      <w:r>
        <w:rPr>
          <w:spacing w:val="-3"/>
          <w:sz w:val="21"/>
        </w:rPr>
        <w:t>当室内消火栓系统的设计流量能满足局部应用系统设计流量时，局部应用系统可与室内消火栓合用室内消</w:t>
      </w:r>
      <w:r>
        <w:rPr>
          <w:sz w:val="21"/>
        </w:rPr>
        <w:t> </w:t>
      </w:r>
    </w:p>
    <w:p>
      <w:pPr>
        <w:pStyle w:val="BodyText"/>
        <w:ind w:left="838"/>
      </w:pPr>
      <w:r>
        <w:rPr/>
        <w:t>防用水量、稳压设施、消防水泵及供水管道等。当不满足时应按本规范第 12.0.9 条执行。 </w:t>
      </w:r>
    </w:p>
    <w:p>
      <w:pPr>
        <w:pStyle w:val="BodyText"/>
        <w:spacing w:before="12"/>
        <w:rPr>
          <w:sz w:val="17"/>
        </w:rPr>
      </w:pPr>
    </w:p>
    <w:p>
      <w:pPr>
        <w:pStyle w:val="ListParagraph"/>
        <w:numPr>
          <w:ilvl w:val="1"/>
          <w:numId w:val="923"/>
        </w:numPr>
        <w:tabs>
          <w:tab w:pos="1266" w:val="left" w:leader="none"/>
        </w:tabs>
        <w:spacing w:line="240" w:lineRule="auto" w:before="0" w:after="0"/>
        <w:ind w:left="1265" w:right="0" w:hanging="426"/>
        <w:jc w:val="left"/>
        <w:rPr>
          <w:sz w:val="21"/>
        </w:rPr>
      </w:pPr>
      <w:r>
        <w:rPr>
          <w:spacing w:val="-6"/>
          <w:sz w:val="21"/>
        </w:rPr>
        <w:t>采用标准覆盖面积洒水喷头且喷头总数不超过 </w:t>
      </w:r>
      <w:r>
        <w:rPr>
          <w:sz w:val="21"/>
        </w:rPr>
        <w:t>20</w:t>
      </w:r>
      <w:r>
        <w:rPr>
          <w:spacing w:val="-9"/>
          <w:sz w:val="21"/>
        </w:rPr>
        <w:t> 只，或采用扩大覆盖面积洒水喷头</w:t>
      </w:r>
    </w:p>
    <w:p>
      <w:pPr>
        <w:pStyle w:val="BodyText"/>
        <w:spacing w:before="2"/>
        <w:rPr>
          <w:sz w:val="18"/>
        </w:rPr>
      </w:pPr>
    </w:p>
    <w:p>
      <w:pPr>
        <w:pStyle w:val="BodyText"/>
        <w:ind w:left="418"/>
      </w:pPr>
      <w:r>
        <w:rPr/>
        <w:t>且喷头总数不超过 12 只的局部应用系统，可不设报警阀组。 </w:t>
      </w:r>
    </w:p>
    <w:p>
      <w:pPr>
        <w:pStyle w:val="BodyText"/>
        <w:rPr>
          <w:sz w:val="18"/>
        </w:rPr>
      </w:pPr>
    </w:p>
    <w:p>
      <w:pPr>
        <w:pStyle w:val="ListParagraph"/>
        <w:numPr>
          <w:ilvl w:val="1"/>
          <w:numId w:val="923"/>
        </w:numPr>
        <w:tabs>
          <w:tab w:pos="1266" w:val="left" w:leader="none"/>
        </w:tabs>
        <w:spacing w:line="446" w:lineRule="auto" w:before="0" w:after="0"/>
        <w:ind w:left="418" w:right="1498" w:firstLine="422"/>
        <w:jc w:val="left"/>
        <w:rPr>
          <w:sz w:val="21"/>
        </w:rPr>
      </w:pPr>
      <w:r>
        <w:rPr>
          <w:spacing w:val="-3"/>
          <w:sz w:val="21"/>
        </w:rPr>
        <w:t>不设报警阀组的局部应用系统，配水管可与室内消防竖管连接，其配水管的入口处应设过滤器和带有锁定装置的控制阀。</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1"/>
          <w:numId w:val="923"/>
        </w:numPr>
        <w:tabs>
          <w:tab w:pos="1266" w:val="left" w:leader="none"/>
        </w:tabs>
        <w:spacing w:line="446" w:lineRule="auto" w:before="47" w:after="0"/>
        <w:ind w:left="418" w:right="1498" w:firstLine="422"/>
        <w:jc w:val="left"/>
        <w:rPr>
          <w:sz w:val="21"/>
        </w:rPr>
      </w:pPr>
      <w:r>
        <w:rPr>
          <w:spacing w:val="-3"/>
          <w:sz w:val="21"/>
        </w:rPr>
        <w:t>局部应用系统应设报警控制装置。报警控制装置应具有显示水流指示器、压力开关及消防水泵、信号阀等组件状态和输出启动消防水泵控制信号的功能。</w:t>
      </w:r>
      <w:r>
        <w:rPr>
          <w:sz w:val="21"/>
        </w:rPr>
        <w:t> </w:t>
      </w:r>
    </w:p>
    <w:p>
      <w:pPr>
        <w:pStyle w:val="ListParagraph"/>
        <w:numPr>
          <w:ilvl w:val="1"/>
          <w:numId w:val="923"/>
        </w:numPr>
        <w:tabs>
          <w:tab w:pos="1266" w:val="left" w:leader="none"/>
        </w:tabs>
        <w:spacing w:line="446" w:lineRule="auto" w:before="0" w:after="0"/>
        <w:ind w:left="418" w:right="1498" w:firstLine="422"/>
        <w:jc w:val="left"/>
        <w:rPr>
          <w:sz w:val="21"/>
        </w:rPr>
      </w:pPr>
      <w:r>
        <w:rPr>
          <w:spacing w:val="-3"/>
          <w:sz w:val="21"/>
        </w:rPr>
        <w:t>不设报警阀组或采用消防水泵直接从市政供水管吸水的局部应用系统，应采取压力开关联动消防水泵的控制方式。不设报警阀组的系统可采用电动警铃报警。</w:t>
      </w:r>
      <w:r>
        <w:rPr>
          <w:sz w:val="21"/>
        </w:rPr>
        <w:t> </w:t>
      </w:r>
    </w:p>
    <w:p>
      <w:pPr>
        <w:pStyle w:val="ListParagraph"/>
        <w:numPr>
          <w:ilvl w:val="1"/>
          <w:numId w:val="923"/>
        </w:numPr>
        <w:tabs>
          <w:tab w:pos="1264" w:val="left" w:leader="none"/>
        </w:tabs>
        <w:spacing w:line="446" w:lineRule="auto" w:before="0" w:after="0"/>
        <w:ind w:left="418" w:right="1498" w:firstLine="422"/>
        <w:jc w:val="left"/>
        <w:rPr>
          <w:sz w:val="21"/>
        </w:rPr>
      </w:pPr>
      <w:r>
        <w:rPr>
          <w:spacing w:val="-3"/>
          <w:sz w:val="21"/>
        </w:rPr>
        <w:t>无室内消火栓的建筑或室内消火栓系统的设计流量不能满足局部应用系统要求时，局部应用系统的供水应符合下列规定：</w:t>
      </w:r>
      <w:r>
        <w:rPr>
          <w:sz w:val="21"/>
        </w:rPr>
        <w:t> </w:t>
      </w:r>
    </w:p>
    <w:p>
      <w:pPr>
        <w:pStyle w:val="BodyText"/>
        <w:spacing w:line="446" w:lineRule="auto"/>
        <w:ind w:left="418" w:right="1609" w:firstLine="419"/>
      </w:pPr>
      <w:r>
        <w:rPr/>
        <w:t>市政供水能够同时保证最大生活用水量和系统的流量与压力时，城市供水管可直接向系统供水； </w:t>
      </w:r>
    </w:p>
    <w:p>
      <w:pPr>
        <w:pStyle w:val="BodyText"/>
        <w:spacing w:line="446" w:lineRule="auto"/>
        <w:ind w:left="418" w:right="1609" w:firstLine="419"/>
      </w:pPr>
      <w:r>
        <w:rPr/>
        <w:t>市政供水不能同时保证最大生活用水量和系统的流量与压力，但允许消防水泵从城市供水管直接吸水时，系统可设直接从城市供水管吸水的消防水泵； </w:t>
      </w:r>
    </w:p>
    <w:p>
      <w:pPr>
        <w:pStyle w:val="BodyText"/>
        <w:spacing w:line="446" w:lineRule="auto"/>
        <w:ind w:left="418" w:right="1609" w:firstLine="419"/>
        <w:jc w:val="both"/>
      </w:pPr>
      <w:r>
        <w:rPr/>
        <w:t>市政供水不能同时保证最大生活用水量和系统的流量与压力，也不允许从市政供水管直接吸水时，系统应设储水池（罐）和消防水泵，储水池（罐）的有效容积应按系统用水量确定， 并可扣除系统持续喷水时间内仍能连续补水的补水量； </w:t>
      </w:r>
    </w:p>
    <w:p>
      <w:pPr>
        <w:pStyle w:val="BodyText"/>
        <w:spacing w:line="268" w:lineRule="exact"/>
        <w:ind w:left="838"/>
      </w:pPr>
      <w:r>
        <w:rPr/>
        <w:t>可按三级负荷供电，且可不设备用泵； </w:t>
      </w:r>
    </w:p>
    <w:p>
      <w:pPr>
        <w:pStyle w:val="BodyText"/>
        <w:spacing w:before="8"/>
        <w:rPr>
          <w:sz w:val="17"/>
        </w:rPr>
      </w:pPr>
    </w:p>
    <w:p>
      <w:pPr>
        <w:pStyle w:val="BodyText"/>
        <w:ind w:left="838"/>
      </w:pPr>
      <w:r>
        <w:rPr/>
        <w:t>应设置倒流防止器或采取其他有效防止污染生活用水的措施。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6"/>
        </w:rPr>
      </w:pPr>
    </w:p>
    <w:p>
      <w:pPr>
        <w:pStyle w:val="BodyText"/>
        <w:spacing w:before="72"/>
        <w:ind w:left="3298"/>
      </w:pPr>
      <w:r>
        <w:rPr>
          <w:w w:val="100"/>
        </w:rPr>
        <w:t> </w:t>
      </w:r>
    </w:p>
    <w:p>
      <w:pPr>
        <w:spacing w:after="0"/>
        <w:sectPr>
          <w:pgSz w:w="11910" w:h="16850"/>
          <w:pgMar w:header="0" w:footer="1239" w:top="1220" w:bottom="1420" w:left="1260" w:right="0"/>
        </w:sectPr>
      </w:pPr>
    </w:p>
    <w:p>
      <w:pPr>
        <w:pStyle w:val="Heading2"/>
        <w:ind w:right="868"/>
      </w:pPr>
      <w:bookmarkStart w:name="_bookmark35" w:id="36"/>
      <w:bookmarkEnd w:id="36"/>
      <w:r>
        <w:rPr>
          <w:b w:val="0"/>
        </w:rPr>
      </w:r>
      <w:r>
        <w:rPr/>
        <w:t>地铁设计防火标准</w:t>
      </w:r>
      <w:r>
        <w:rPr>
          <w:w w:val="99"/>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924"/>
        </w:numPr>
        <w:tabs>
          <w:tab w:pos="1159" w:val="left" w:leader="none"/>
        </w:tabs>
        <w:spacing w:line="240" w:lineRule="auto" w:before="0" w:after="0"/>
        <w:ind w:left="1158" w:right="0" w:hanging="319"/>
        <w:jc w:val="left"/>
        <w:rPr>
          <w:sz w:val="21"/>
        </w:rPr>
      </w:pPr>
      <w:r>
        <w:rPr>
          <w:spacing w:val="-3"/>
          <w:sz w:val="21"/>
        </w:rPr>
        <w:t>为预防地铁火灾、减少地铁火灾危害，保护人身和财产的安全，制定本标准。 </w:t>
      </w:r>
    </w:p>
    <w:p>
      <w:pPr>
        <w:pStyle w:val="BodyText"/>
        <w:spacing w:before="12"/>
        <w:rPr>
          <w:sz w:val="17"/>
        </w:rPr>
      </w:pPr>
    </w:p>
    <w:p>
      <w:pPr>
        <w:pStyle w:val="ListParagraph"/>
        <w:numPr>
          <w:ilvl w:val="1"/>
          <w:numId w:val="924"/>
        </w:numPr>
        <w:tabs>
          <w:tab w:pos="1160" w:val="left" w:leader="none"/>
        </w:tabs>
        <w:spacing w:line="240" w:lineRule="auto" w:before="0" w:after="0"/>
        <w:ind w:left="1159" w:right="0" w:hanging="320"/>
        <w:jc w:val="left"/>
        <w:rPr>
          <w:sz w:val="21"/>
        </w:rPr>
      </w:pPr>
      <w:r>
        <w:rPr>
          <w:spacing w:val="-3"/>
          <w:sz w:val="21"/>
        </w:rPr>
        <w:t>本标准适用于新建、扩建地铁和轻轨交通工程的防火设计。</w:t>
      </w:r>
      <w:r>
        <w:rPr>
          <w:sz w:val="21"/>
        </w:rPr>
        <w:t> </w:t>
      </w:r>
    </w:p>
    <w:p>
      <w:pPr>
        <w:pStyle w:val="BodyText"/>
        <w:spacing w:before="2"/>
        <w:rPr>
          <w:sz w:val="18"/>
        </w:rPr>
      </w:pPr>
    </w:p>
    <w:p>
      <w:pPr>
        <w:pStyle w:val="ListParagraph"/>
        <w:numPr>
          <w:ilvl w:val="1"/>
          <w:numId w:val="924"/>
        </w:numPr>
        <w:tabs>
          <w:tab w:pos="1159" w:val="left" w:leader="none"/>
        </w:tabs>
        <w:spacing w:line="240" w:lineRule="auto" w:before="0" w:after="0"/>
        <w:ind w:left="1158" w:right="0" w:hanging="319"/>
        <w:jc w:val="left"/>
        <w:rPr>
          <w:sz w:val="21"/>
        </w:rPr>
      </w:pPr>
      <w:r>
        <w:rPr>
          <w:spacing w:val="-3"/>
          <w:sz w:val="21"/>
        </w:rPr>
        <w:t>一条线路、一座换乘车站及其相邻区间的防火设计可按同一时间发生一处火灾考虑。</w:t>
      </w:r>
      <w:r>
        <w:rPr>
          <w:sz w:val="21"/>
        </w:rPr>
        <w:t> </w:t>
      </w:r>
    </w:p>
    <w:p>
      <w:pPr>
        <w:pStyle w:val="BodyText"/>
        <w:rPr>
          <w:sz w:val="18"/>
        </w:rPr>
      </w:pPr>
    </w:p>
    <w:p>
      <w:pPr>
        <w:pStyle w:val="ListParagraph"/>
        <w:numPr>
          <w:ilvl w:val="1"/>
          <w:numId w:val="924"/>
        </w:numPr>
        <w:tabs>
          <w:tab w:pos="1159" w:val="left" w:leader="none"/>
        </w:tabs>
        <w:spacing w:line="446" w:lineRule="auto" w:before="0" w:after="0"/>
        <w:ind w:left="418" w:right="1604" w:firstLine="422"/>
        <w:jc w:val="left"/>
        <w:rPr>
          <w:sz w:val="21"/>
        </w:rPr>
      </w:pPr>
      <w:r>
        <w:rPr>
          <w:spacing w:val="-3"/>
          <w:sz w:val="21"/>
        </w:rPr>
        <w:t>防火设计应遵循国家有关方针政策，从全局出发，统筹兼顾，做到安全适用、技术先进、经济合理。</w:t>
      </w:r>
      <w:r>
        <w:rPr>
          <w:sz w:val="21"/>
        </w:rPr>
        <w:t> </w:t>
      </w:r>
    </w:p>
    <w:p>
      <w:pPr>
        <w:pStyle w:val="ListParagraph"/>
        <w:numPr>
          <w:ilvl w:val="1"/>
          <w:numId w:val="924"/>
        </w:numPr>
        <w:tabs>
          <w:tab w:pos="1159" w:val="left" w:leader="none"/>
        </w:tabs>
        <w:spacing w:line="446" w:lineRule="auto" w:before="0" w:after="0"/>
        <w:ind w:left="418" w:right="1604" w:firstLine="422"/>
        <w:jc w:val="left"/>
        <w:rPr>
          <w:sz w:val="21"/>
        </w:rPr>
      </w:pPr>
      <w:r>
        <w:rPr>
          <w:spacing w:val="-3"/>
          <w:sz w:val="21"/>
        </w:rPr>
        <w:t>地铁和轻轨交通工程的防火设计除应符合本标准的规定外，尚应符合现行国家有关标准的规定。</w:t>
      </w:r>
      <w:r>
        <w:rPr>
          <w:sz w:val="21"/>
        </w:rPr>
        <w:t> </w:t>
      </w:r>
    </w:p>
    <w:p>
      <w:pPr>
        <w:pStyle w:val="Heading4"/>
        <w:spacing w:line="275" w:lineRule="exact"/>
      </w:pPr>
      <w:r>
        <w:rPr/>
        <w:t>2 术语</w:t>
      </w:r>
      <w:r>
        <w:rPr>
          <w:w w:val="99"/>
        </w:rPr>
        <w:t> </w:t>
      </w:r>
    </w:p>
    <w:p>
      <w:pPr>
        <w:pStyle w:val="BodyText"/>
        <w:spacing w:before="6"/>
        <w:rPr>
          <w:b/>
          <w:sz w:val="17"/>
        </w:rPr>
      </w:pPr>
    </w:p>
    <w:p>
      <w:pPr>
        <w:pStyle w:val="ListParagraph"/>
        <w:numPr>
          <w:ilvl w:val="1"/>
          <w:numId w:val="925"/>
        </w:numPr>
        <w:tabs>
          <w:tab w:pos="1159" w:val="left" w:leader="none"/>
        </w:tabs>
        <w:spacing w:line="240" w:lineRule="auto" w:before="1" w:after="0"/>
        <w:ind w:left="1158" w:right="0" w:hanging="319"/>
        <w:jc w:val="left"/>
        <w:rPr>
          <w:sz w:val="21"/>
        </w:rPr>
      </w:pPr>
      <w:r>
        <w:rPr>
          <w:spacing w:val="-3"/>
          <w:sz w:val="21"/>
        </w:rPr>
        <w:t>安全出口 </w:t>
      </w:r>
      <w:r>
        <w:rPr>
          <w:sz w:val="21"/>
        </w:rPr>
        <w:t>safety</w:t>
      </w:r>
      <w:r>
        <w:rPr>
          <w:spacing w:val="1"/>
          <w:sz w:val="21"/>
        </w:rPr>
        <w:t> </w:t>
      </w:r>
      <w:r>
        <w:rPr>
          <w:sz w:val="21"/>
        </w:rPr>
        <w:t>exit </w:t>
      </w:r>
    </w:p>
    <w:p>
      <w:pPr>
        <w:pStyle w:val="BodyText"/>
        <w:spacing w:before="12"/>
        <w:rPr>
          <w:sz w:val="17"/>
        </w:rPr>
      </w:pPr>
    </w:p>
    <w:p>
      <w:pPr>
        <w:pStyle w:val="BodyText"/>
        <w:spacing w:line="446" w:lineRule="auto"/>
        <w:ind w:left="418" w:right="1609" w:firstLine="419"/>
      </w:pPr>
      <w:r>
        <w:rPr/>
        <w:t>供人员安全疏散，并能直接通向室内外安全区域的车站出口、楼梯或扶梯的出口、联络通道的入口、区间风井内直通地面的楼梯间入口。 </w:t>
      </w:r>
    </w:p>
    <w:p>
      <w:pPr>
        <w:pStyle w:val="ListParagraph"/>
        <w:numPr>
          <w:ilvl w:val="1"/>
          <w:numId w:val="925"/>
        </w:numPr>
        <w:tabs>
          <w:tab w:pos="1160" w:val="left" w:leader="none"/>
        </w:tabs>
        <w:spacing w:line="240" w:lineRule="auto" w:before="0" w:after="0"/>
        <w:ind w:left="1159" w:right="0" w:hanging="320"/>
        <w:jc w:val="left"/>
        <w:rPr>
          <w:sz w:val="21"/>
        </w:rPr>
      </w:pPr>
      <w:r>
        <w:rPr>
          <w:spacing w:val="-3"/>
          <w:sz w:val="21"/>
        </w:rPr>
        <w:t>点式换乘车站 </w:t>
      </w:r>
      <w:r>
        <w:rPr>
          <w:sz w:val="21"/>
        </w:rPr>
        <w:t>transfer</w:t>
      </w:r>
      <w:r>
        <w:rPr>
          <w:spacing w:val="1"/>
          <w:sz w:val="21"/>
        </w:rPr>
        <w:t> </w:t>
      </w:r>
      <w:r>
        <w:rPr>
          <w:sz w:val="21"/>
        </w:rPr>
        <w:t>station by</w:t>
      </w:r>
      <w:r>
        <w:rPr>
          <w:spacing w:val="-2"/>
          <w:sz w:val="21"/>
        </w:rPr>
        <w:t> </w:t>
      </w:r>
      <w:r>
        <w:rPr>
          <w:sz w:val="21"/>
        </w:rPr>
        <w:t>cross-platform </w:t>
      </w:r>
    </w:p>
    <w:p>
      <w:pPr>
        <w:pStyle w:val="BodyText"/>
        <w:spacing w:before="12"/>
        <w:rPr>
          <w:sz w:val="17"/>
        </w:rPr>
      </w:pPr>
    </w:p>
    <w:p>
      <w:pPr>
        <w:pStyle w:val="BodyText"/>
        <w:spacing w:line="446" w:lineRule="auto"/>
        <w:ind w:left="840" w:right="5075" w:hanging="3"/>
      </w:pPr>
      <w:r>
        <w:rPr>
          <w:spacing w:val="-3"/>
        </w:rPr>
        <w:t>站台与站台之间以点式相交形式换乘的车站。   </w:t>
      </w:r>
      <w:r>
        <w:rPr>
          <w:b/>
        </w:rPr>
        <w:t>2.3 </w:t>
      </w:r>
      <w:r>
        <w:rPr>
          <w:spacing w:val="-3"/>
        </w:rPr>
        <w:t>路堑式车站、区间 </w:t>
      </w:r>
      <w:r>
        <w:rPr/>
        <w:t>open</w:t>
      </w:r>
      <w:r>
        <w:rPr>
          <w:spacing w:val="1"/>
        </w:rPr>
        <w:t> </w:t>
      </w:r>
      <w:r>
        <w:rPr/>
        <w:t>cut</w:t>
      </w:r>
      <w:r>
        <w:rPr>
          <w:spacing w:val="1"/>
        </w:rPr>
        <w:t> </w:t>
      </w:r>
      <w:r>
        <w:rPr/>
        <w:t>station，track </w:t>
      </w:r>
    </w:p>
    <w:p>
      <w:pPr>
        <w:pStyle w:val="BodyText"/>
        <w:spacing w:line="446" w:lineRule="auto"/>
        <w:ind w:left="840" w:right="2345" w:hanging="3"/>
      </w:pPr>
      <w:r>
        <w:rPr/>
        <w:t>浅埋地下一层，外墙上方或顶板开窗、具备自然通风和排烟条件的车站、区间。</w:t>
      </w:r>
      <w:r>
        <w:rPr>
          <w:b/>
        </w:rPr>
        <w:t>2.4 </w:t>
      </w:r>
      <w:r>
        <w:rPr/>
        <w:t>联络通道 cross-passageway </w:t>
      </w:r>
    </w:p>
    <w:p>
      <w:pPr>
        <w:pStyle w:val="BodyText"/>
        <w:spacing w:line="448" w:lineRule="auto"/>
        <w:ind w:left="840" w:right="2977" w:hanging="3"/>
        <w:rPr>
          <w:b/>
        </w:rPr>
      </w:pPr>
      <w:r>
        <w:rPr/>
        <w:t>连接相邻两条单洞单线载客运营地下区间、可供人员安全疏散用的通道。</w:t>
      </w:r>
      <w:r>
        <w:rPr>
          <w:b/>
        </w:rPr>
        <w:t>2.5 </w:t>
      </w:r>
      <w:r>
        <w:rPr/>
        <w:t>消防专用通道 fire access</w:t>
      </w:r>
      <w:r>
        <w:rPr>
          <w:b/>
          <w:w w:val="99"/>
        </w:rPr>
        <w:t> </w:t>
      </w:r>
    </w:p>
    <w:p>
      <w:pPr>
        <w:pStyle w:val="BodyText"/>
        <w:spacing w:line="446" w:lineRule="auto"/>
        <w:ind w:left="840" w:right="1925" w:hanging="3"/>
      </w:pPr>
      <w:r>
        <w:rPr/>
        <w:t>供消防人员从地面进入站厅、站台、区间等区域进行灭火救援的专用通道和楼梯间。</w:t>
      </w:r>
      <w:r>
        <w:rPr>
          <w:b/>
        </w:rPr>
        <w:t>2.6 </w:t>
      </w:r>
      <w:r>
        <w:rPr/>
        <w:t>纵向疏散平台 longitudinal evacuation walkway </w:t>
      </w:r>
    </w:p>
    <w:p>
      <w:pPr>
        <w:pStyle w:val="BodyText"/>
        <w:ind w:left="838"/>
      </w:pPr>
      <w:r>
        <w:rPr/>
        <w:t>在区间内平行于线路并靠站台侧设置、供人员疏散用的纵向连续走道。 </w:t>
      </w:r>
    </w:p>
    <w:p>
      <w:pPr>
        <w:pStyle w:val="BodyText"/>
        <w:spacing w:before="1"/>
        <w:rPr>
          <w:sz w:val="15"/>
        </w:rPr>
      </w:pPr>
    </w:p>
    <w:p>
      <w:pPr>
        <w:pStyle w:val="Heading4"/>
      </w:pPr>
      <w:r>
        <w:rPr/>
        <w:t>3 总平面布局</w:t>
      </w:r>
      <w:r>
        <w:rPr>
          <w:w w:val="99"/>
        </w:rPr>
        <w:t> </w:t>
      </w:r>
    </w:p>
    <w:p>
      <w:pPr>
        <w:pStyle w:val="BodyText"/>
        <w:spacing w:before="3"/>
        <w:rPr>
          <w:b/>
          <w:sz w:val="17"/>
        </w:rPr>
      </w:pPr>
    </w:p>
    <w:p>
      <w:pPr>
        <w:pStyle w:val="ListParagraph"/>
        <w:numPr>
          <w:ilvl w:val="1"/>
          <w:numId w:val="926"/>
        </w:numPr>
        <w:tabs>
          <w:tab w:pos="1159" w:val="left" w:leader="none"/>
        </w:tabs>
        <w:spacing w:line="240" w:lineRule="auto" w:before="1" w:after="0"/>
        <w:ind w:left="1158" w:right="0" w:hanging="319"/>
        <w:jc w:val="left"/>
        <w:rPr>
          <w:b/>
          <w:sz w:val="21"/>
        </w:rPr>
      </w:pPr>
      <w:r>
        <w:rPr>
          <w:spacing w:val="-3"/>
          <w:sz w:val="21"/>
        </w:rPr>
        <w:t>车站与区间</w:t>
      </w:r>
      <w:r>
        <w:rPr>
          <w:b/>
          <w:w w:val="99"/>
          <w:sz w:val="21"/>
        </w:rPr>
        <w:t> </w:t>
      </w:r>
    </w:p>
    <w:p>
      <w:pPr>
        <w:pStyle w:val="BodyText"/>
        <w:spacing w:before="2"/>
        <w:rPr>
          <w:b/>
          <w:sz w:val="18"/>
        </w:rPr>
      </w:pPr>
    </w:p>
    <w:p>
      <w:pPr>
        <w:pStyle w:val="ListParagraph"/>
        <w:numPr>
          <w:ilvl w:val="2"/>
          <w:numId w:val="926"/>
        </w:numPr>
        <w:tabs>
          <w:tab w:pos="1370" w:val="left" w:leader="none"/>
        </w:tabs>
        <w:spacing w:line="446" w:lineRule="auto" w:before="0" w:after="0"/>
        <w:ind w:left="418" w:right="1604" w:firstLine="422"/>
        <w:jc w:val="left"/>
        <w:rPr>
          <w:sz w:val="21"/>
        </w:rPr>
      </w:pPr>
      <w:r>
        <w:rPr>
          <w:spacing w:val="-3"/>
          <w:sz w:val="21"/>
        </w:rPr>
        <w:t>地上车站建筑的周围应设置环形消防车道，确有困难时，可沿车站建筑的一个长边设置消防车道。</w:t>
      </w:r>
      <w:r>
        <w:rPr>
          <w:sz w:val="21"/>
        </w:rPr>
        <w:t> </w:t>
      </w:r>
    </w:p>
    <w:p>
      <w:pPr>
        <w:spacing w:after="0" w:line="446" w:lineRule="auto"/>
        <w:jc w:val="left"/>
        <w:rPr>
          <w:sz w:val="21"/>
        </w:rPr>
        <w:sectPr>
          <w:pgSz w:w="11910" w:h="16850"/>
          <w:pgMar w:header="0" w:footer="1239" w:top="1140" w:bottom="1420" w:left="1260" w:right="0"/>
        </w:sectPr>
      </w:pPr>
    </w:p>
    <w:p>
      <w:pPr>
        <w:pStyle w:val="ListParagraph"/>
        <w:numPr>
          <w:ilvl w:val="2"/>
          <w:numId w:val="926"/>
        </w:numPr>
        <w:tabs>
          <w:tab w:pos="1371" w:val="left" w:leader="none"/>
        </w:tabs>
        <w:spacing w:line="446" w:lineRule="auto" w:before="47" w:after="0"/>
        <w:ind w:left="418" w:right="1604" w:firstLine="422"/>
        <w:jc w:val="both"/>
        <w:rPr>
          <w:sz w:val="21"/>
        </w:rPr>
      </w:pPr>
      <w:r>
        <w:rPr>
          <w:spacing w:val="-3"/>
          <w:sz w:val="21"/>
        </w:rPr>
        <w:t>地下车站的出入口、风亭、电梯和消防专用通道的出入口等附属建筑，地上车站、地上区间、地下区间及其敞口段</w:t>
      </w:r>
      <w:r>
        <w:rPr>
          <w:sz w:val="21"/>
        </w:rPr>
        <w:t>（</w:t>
      </w:r>
      <w:r>
        <w:rPr>
          <w:spacing w:val="-3"/>
          <w:sz w:val="21"/>
        </w:rPr>
        <w:t>含车辆基地出入线</w:t>
      </w:r>
      <w:r>
        <w:rPr>
          <w:sz w:val="21"/>
        </w:rPr>
        <w:t>）</w:t>
      </w:r>
      <w:r>
        <w:rPr>
          <w:spacing w:val="-3"/>
          <w:sz w:val="21"/>
        </w:rPr>
        <w:t>、区间风井及风亭等，与周围建筑物、储罐（</w:t>
      </w:r>
      <w:r>
        <w:rPr>
          <w:sz w:val="21"/>
        </w:rPr>
        <w:t>区</w:t>
      </w:r>
      <w:r>
        <w:rPr>
          <w:spacing w:val="-3"/>
          <w:sz w:val="21"/>
        </w:rPr>
        <w:t>）、地下油管等的防火间距应符合现行国家有关标准的规定。</w:t>
      </w:r>
      <w:r>
        <w:rPr>
          <w:sz w:val="21"/>
        </w:rPr>
        <w:t> </w:t>
      </w:r>
    </w:p>
    <w:p>
      <w:pPr>
        <w:pStyle w:val="BodyText"/>
        <w:spacing w:line="446" w:lineRule="auto"/>
        <w:ind w:left="418" w:right="1609" w:firstLine="419"/>
        <w:jc w:val="both"/>
      </w:pPr>
      <w:r>
        <w:rPr>
          <w:spacing w:val="-5"/>
        </w:rPr>
        <w:t>地下车站的采光窗井与相邻地面建筑之间的防火间距应符合表 </w:t>
      </w:r>
      <w:r>
        <w:rPr/>
        <w:t>3.1.2</w:t>
      </w:r>
      <w:r>
        <w:rPr>
          <w:spacing w:val="-7"/>
        </w:rPr>
        <w:t> 的规定，当相邻地面</w:t>
      </w:r>
      <w:r>
        <w:rPr>
          <w:spacing w:val="-5"/>
        </w:rPr>
        <w:t>建筑物的外墙为防火墙或在采光窗井与地面建筑物之间设置防火墙时，防火间距不限。</w:t>
      </w:r>
      <w:r>
        <w:rPr/>
        <w:t> </w:t>
      </w:r>
    </w:p>
    <w:p>
      <w:pPr>
        <w:pStyle w:val="Heading6"/>
        <w:spacing w:line="267" w:lineRule="exact"/>
        <w:ind w:left="1886"/>
        <w:jc w:val="both"/>
      </w:pPr>
      <w:r>
        <w:rPr/>
        <w:t>表 3.1.2 地下车站的采光窗井与相邻地面建筑之间的防火间距（m）</w:t>
      </w:r>
      <w:r>
        <w:rPr>
          <w:w w:val="99"/>
        </w:rPr>
        <w:t> </w:t>
      </w:r>
    </w:p>
    <w:p>
      <w:pPr>
        <w:pStyle w:val="BodyText"/>
        <w:spacing w:before="7"/>
        <w:rPr>
          <w:b/>
          <w:sz w:val="23"/>
        </w:rPr>
      </w:pPr>
      <w:r>
        <w:rPr/>
        <w:drawing>
          <wp:anchor distT="0" distB="0" distL="0" distR="0" allowOverlap="1" layoutInCell="1" locked="0" behindDoc="0" simplePos="0" relativeHeight="362">
            <wp:simplePos x="0" y="0"/>
            <wp:positionH relativeFrom="page">
              <wp:posOffset>1203325</wp:posOffset>
            </wp:positionH>
            <wp:positionV relativeFrom="paragraph">
              <wp:posOffset>216769</wp:posOffset>
            </wp:positionV>
            <wp:extent cx="5168265" cy="2009775"/>
            <wp:effectExtent l="0" t="0" r="0" b="0"/>
            <wp:wrapTopAndBottom/>
            <wp:docPr id="789" name="image463.jpeg"/>
            <wp:cNvGraphicFramePr>
              <a:graphicFrameLocks noChangeAspect="1"/>
            </wp:cNvGraphicFramePr>
            <a:graphic>
              <a:graphicData uri="http://schemas.openxmlformats.org/drawingml/2006/picture">
                <pic:pic>
                  <pic:nvPicPr>
                    <pic:cNvPr id="790" name="image463.jpeg"/>
                    <pic:cNvPicPr/>
                  </pic:nvPicPr>
                  <pic:blipFill>
                    <a:blip r:embed="rId585" cstate="print"/>
                    <a:stretch>
                      <a:fillRect/>
                    </a:stretch>
                  </pic:blipFill>
                  <pic:spPr>
                    <a:xfrm>
                      <a:off x="0" y="0"/>
                      <a:ext cx="5168265" cy="2009775"/>
                    </a:xfrm>
                    <a:prstGeom prst="rect">
                      <a:avLst/>
                    </a:prstGeom>
                  </pic:spPr>
                </pic:pic>
              </a:graphicData>
            </a:graphic>
          </wp:anchor>
        </w:drawing>
      </w:r>
    </w:p>
    <w:p>
      <w:pPr>
        <w:pStyle w:val="ListParagraph"/>
        <w:numPr>
          <w:ilvl w:val="2"/>
          <w:numId w:val="926"/>
        </w:numPr>
        <w:tabs>
          <w:tab w:pos="1370" w:val="left" w:leader="none"/>
        </w:tabs>
        <w:spacing w:line="240" w:lineRule="auto" w:before="163" w:after="0"/>
        <w:ind w:left="1369" w:right="0" w:hanging="530"/>
        <w:jc w:val="left"/>
        <w:rPr>
          <w:sz w:val="21"/>
        </w:rPr>
      </w:pPr>
      <w:r>
        <w:rPr>
          <w:spacing w:val="-3"/>
          <w:sz w:val="21"/>
        </w:rPr>
        <w:t>地下车站的进风、排风和活塞风采用高风亭时，风口的位置应符合下列规定：</w:t>
      </w:r>
      <w:r>
        <w:rPr>
          <w:sz w:val="21"/>
        </w:rPr>
        <w:t> </w:t>
      </w:r>
    </w:p>
    <w:p>
      <w:pPr>
        <w:pStyle w:val="BodyText"/>
        <w:spacing w:before="12"/>
        <w:rPr>
          <w:sz w:val="17"/>
        </w:rPr>
      </w:pPr>
    </w:p>
    <w:p>
      <w:pPr>
        <w:pStyle w:val="BodyText"/>
        <w:ind w:left="838"/>
      </w:pPr>
      <w:r>
        <w:rPr/>
        <w:t>排风口、活塞风口应高于进风口； </w:t>
      </w:r>
    </w:p>
    <w:p>
      <w:pPr>
        <w:pStyle w:val="BodyText"/>
        <w:spacing w:before="2"/>
        <w:rPr>
          <w:sz w:val="18"/>
        </w:rPr>
      </w:pPr>
    </w:p>
    <w:p>
      <w:pPr>
        <w:pStyle w:val="BodyText"/>
        <w:spacing w:line="446" w:lineRule="auto"/>
        <w:ind w:left="840" w:right="1455" w:hanging="3"/>
      </w:pPr>
      <w:r>
        <w:rPr/>
        <w:t>进风口、排风口、活塞风口两两之间的最小水平距离不应小于 5m，且不宜位于同一方向。</w:t>
      </w:r>
      <w:r>
        <w:rPr>
          <w:b/>
        </w:rPr>
        <w:t>3.1.4 </w:t>
      </w:r>
      <w:r>
        <w:rPr/>
        <w:t>采用敞口低风井的进风井、排风井和活塞风井，风井之间、风井与出入口之间的最</w:t>
      </w:r>
    </w:p>
    <w:p>
      <w:pPr>
        <w:pStyle w:val="BodyText"/>
        <w:spacing w:line="267" w:lineRule="exact"/>
        <w:ind w:left="418"/>
      </w:pPr>
      <w:r>
        <w:rPr/>
        <w:t>小水平距离应符合下列规定： </w:t>
      </w:r>
    </w:p>
    <w:p>
      <w:pPr>
        <w:pStyle w:val="BodyText"/>
        <w:spacing w:before="2"/>
        <w:rPr>
          <w:sz w:val="18"/>
        </w:rPr>
      </w:pPr>
    </w:p>
    <w:p>
      <w:pPr>
        <w:pStyle w:val="BodyText"/>
        <w:ind w:left="838"/>
        <w:rPr>
          <w:b/>
        </w:rPr>
      </w:pPr>
      <w:r>
        <w:rPr/>
        <w:t>进风井与排风井、活塞风井之间不应小于 10m；</w:t>
      </w:r>
      <w:r>
        <w:rPr>
          <w:b/>
          <w:w w:val="99"/>
        </w:rPr>
        <w:t> </w:t>
      </w:r>
    </w:p>
    <w:p>
      <w:pPr>
        <w:pStyle w:val="BodyText"/>
        <w:rPr>
          <w:b/>
          <w:sz w:val="18"/>
        </w:rPr>
      </w:pPr>
    </w:p>
    <w:p>
      <w:pPr>
        <w:pStyle w:val="BodyText"/>
        <w:ind w:left="838"/>
        <w:rPr>
          <w:b/>
        </w:rPr>
      </w:pPr>
      <w:r>
        <w:rPr/>
        <w:t>活塞风井之间或活塞风井与排风井之间不应小于 5m；</w:t>
      </w:r>
      <w:r>
        <w:rPr>
          <w:b/>
          <w:w w:val="99"/>
        </w:rPr>
        <w:t> </w:t>
      </w:r>
    </w:p>
    <w:p>
      <w:pPr>
        <w:pStyle w:val="BodyText"/>
        <w:rPr>
          <w:b/>
          <w:sz w:val="18"/>
        </w:rPr>
      </w:pPr>
    </w:p>
    <w:p>
      <w:pPr>
        <w:pStyle w:val="BodyText"/>
        <w:ind w:left="838"/>
        <w:rPr>
          <w:b/>
        </w:rPr>
      </w:pPr>
      <w:r>
        <w:rPr/>
        <w:t>排风井、活塞风井与车站出入口之间不应小于 10m；</w:t>
      </w:r>
      <w:r>
        <w:rPr>
          <w:b/>
          <w:w w:val="99"/>
        </w:rPr>
        <w:t> </w:t>
      </w:r>
    </w:p>
    <w:p>
      <w:pPr>
        <w:pStyle w:val="BodyText"/>
        <w:spacing w:before="2"/>
        <w:rPr>
          <w:b/>
          <w:sz w:val="18"/>
        </w:rPr>
      </w:pPr>
    </w:p>
    <w:p>
      <w:pPr>
        <w:pStyle w:val="BodyText"/>
        <w:ind w:left="838"/>
        <w:rPr>
          <w:b/>
        </w:rPr>
      </w:pPr>
      <w:r>
        <w:rPr/>
        <w:t>排风井、活塞风井与消防专用通道出入口之间不应小于 5m。</w:t>
      </w:r>
      <w:r>
        <w:rPr>
          <w:b/>
          <w:w w:val="99"/>
        </w:rPr>
        <w:t> </w:t>
      </w:r>
    </w:p>
    <w:p>
      <w:pPr>
        <w:pStyle w:val="BodyText"/>
        <w:spacing w:before="12"/>
        <w:rPr>
          <w:b/>
          <w:sz w:val="17"/>
        </w:rPr>
      </w:pPr>
    </w:p>
    <w:p>
      <w:pPr>
        <w:pStyle w:val="ListParagraph"/>
        <w:numPr>
          <w:ilvl w:val="2"/>
          <w:numId w:val="927"/>
        </w:numPr>
        <w:tabs>
          <w:tab w:pos="1371" w:val="left" w:leader="none"/>
        </w:tabs>
        <w:spacing w:line="446" w:lineRule="auto" w:before="0" w:after="0"/>
        <w:ind w:left="418" w:right="1604" w:firstLine="422"/>
        <w:jc w:val="left"/>
        <w:rPr>
          <w:sz w:val="21"/>
        </w:rPr>
      </w:pPr>
      <w:r>
        <w:rPr>
          <w:spacing w:val="-3"/>
          <w:sz w:val="21"/>
        </w:rPr>
        <w:t>采用敞口低风井的排风井、活塞风井宜设置在地下车站出入口、进风井的常年主导风向的下风侧。</w:t>
      </w:r>
      <w:r>
        <w:rPr>
          <w:sz w:val="21"/>
        </w:rPr>
        <w:t> </w:t>
      </w:r>
    </w:p>
    <w:p>
      <w:pPr>
        <w:pStyle w:val="ListParagraph"/>
        <w:numPr>
          <w:ilvl w:val="2"/>
          <w:numId w:val="927"/>
        </w:numPr>
        <w:tabs>
          <w:tab w:pos="1370" w:val="left" w:leader="none"/>
        </w:tabs>
        <w:spacing w:line="446" w:lineRule="auto" w:before="0" w:after="0"/>
        <w:ind w:left="418" w:right="1608" w:firstLine="422"/>
        <w:jc w:val="left"/>
        <w:rPr>
          <w:sz w:val="21"/>
        </w:rPr>
      </w:pPr>
      <w:r>
        <w:rPr>
          <w:spacing w:val="-3"/>
          <w:sz w:val="21"/>
        </w:rPr>
        <w:t>独立建造的消防水泵房应符合现行国家标准《建筑设计防火规范》</w:t>
      </w:r>
      <w:r>
        <w:rPr>
          <w:sz w:val="21"/>
        </w:rPr>
        <w:t>GB</w:t>
      </w:r>
      <w:r>
        <w:rPr>
          <w:spacing w:val="15"/>
          <w:sz w:val="21"/>
        </w:rPr>
        <w:t> </w:t>
      </w:r>
      <w:r>
        <w:rPr>
          <w:sz w:val="21"/>
        </w:rPr>
        <w:t>50016</w:t>
      </w:r>
      <w:r>
        <w:rPr>
          <w:spacing w:val="-12"/>
          <w:sz w:val="21"/>
        </w:rPr>
        <w:t> 的规定</w:t>
      </w:r>
      <w:r>
        <w:rPr>
          <w:spacing w:val="-5"/>
          <w:sz w:val="21"/>
        </w:rPr>
        <w:t>。地上车站的消防水泵房宜布置在首层，当布置在其他楼层时，应靠近安全出口；地下车站的</w:t>
      </w:r>
      <w:r>
        <w:rPr>
          <w:spacing w:val="-3"/>
          <w:sz w:val="21"/>
        </w:rPr>
        <w:t>消防水泵房应布置在站厅层及以上楼层，并宜布置在站厅层设备管理区内的消防专用通道附近。</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1"/>
          <w:numId w:val="926"/>
        </w:numPr>
        <w:tabs>
          <w:tab w:pos="1160" w:val="left" w:leader="none"/>
        </w:tabs>
        <w:spacing w:line="240" w:lineRule="auto" w:before="47" w:after="0"/>
        <w:ind w:left="1159" w:right="0" w:hanging="320"/>
        <w:jc w:val="left"/>
        <w:rPr>
          <w:sz w:val="21"/>
        </w:rPr>
      </w:pPr>
      <w:r>
        <w:rPr>
          <w:spacing w:val="-3"/>
          <w:sz w:val="21"/>
        </w:rPr>
        <w:t>控制中心与主变电所</w:t>
      </w:r>
      <w:r>
        <w:rPr>
          <w:sz w:val="21"/>
        </w:rPr>
        <w:t> </w:t>
      </w:r>
    </w:p>
    <w:p>
      <w:pPr>
        <w:pStyle w:val="BodyText"/>
        <w:rPr>
          <w:sz w:val="18"/>
        </w:rPr>
      </w:pPr>
    </w:p>
    <w:p>
      <w:pPr>
        <w:pStyle w:val="ListParagraph"/>
        <w:numPr>
          <w:ilvl w:val="2"/>
          <w:numId w:val="926"/>
        </w:numPr>
        <w:tabs>
          <w:tab w:pos="1371" w:val="left" w:leader="none"/>
        </w:tabs>
        <w:spacing w:line="446" w:lineRule="auto" w:before="0" w:after="0"/>
        <w:ind w:left="418" w:right="1604" w:firstLine="422"/>
        <w:jc w:val="left"/>
        <w:rPr>
          <w:sz w:val="21"/>
        </w:rPr>
      </w:pPr>
      <w:r>
        <w:rPr>
          <w:spacing w:val="-3"/>
          <w:sz w:val="21"/>
        </w:rPr>
        <w:t>独立建造的控制中心、地上主变电所应设置环形消防车道，确有困难时，可沿建筑的一个长边设置消防车道。 </w:t>
      </w:r>
    </w:p>
    <w:p>
      <w:pPr>
        <w:pStyle w:val="ListParagraph"/>
        <w:numPr>
          <w:ilvl w:val="2"/>
          <w:numId w:val="926"/>
        </w:numPr>
        <w:tabs>
          <w:tab w:pos="1370" w:val="left" w:leader="none"/>
        </w:tabs>
        <w:spacing w:line="446" w:lineRule="auto" w:before="0" w:after="0"/>
        <w:ind w:left="418" w:right="1604" w:firstLine="422"/>
        <w:jc w:val="both"/>
        <w:rPr>
          <w:sz w:val="21"/>
        </w:rPr>
      </w:pPr>
      <w:r>
        <w:rPr>
          <w:spacing w:val="-3"/>
          <w:sz w:val="21"/>
        </w:rPr>
        <w:t>控制中心宜独立建造，不应与商业、娱乐等人员密集的场所合建，并应避开易燃、易爆场所；确需与其他建筑合建时，控制中心应采用无门窗洞口的防火墙与建筑的其他部分分隔。</w:t>
      </w:r>
      <w:r>
        <w:rPr>
          <w:sz w:val="21"/>
        </w:rPr>
        <w:t> </w:t>
      </w:r>
    </w:p>
    <w:p>
      <w:pPr>
        <w:pStyle w:val="ListParagraph"/>
        <w:numPr>
          <w:ilvl w:val="2"/>
          <w:numId w:val="926"/>
        </w:numPr>
        <w:tabs>
          <w:tab w:pos="1370" w:val="left" w:leader="none"/>
        </w:tabs>
        <w:spacing w:line="268" w:lineRule="exact" w:before="0" w:after="0"/>
        <w:ind w:left="1369" w:right="0" w:hanging="530"/>
        <w:jc w:val="left"/>
        <w:rPr>
          <w:sz w:val="21"/>
        </w:rPr>
      </w:pPr>
      <w:r>
        <w:rPr>
          <w:spacing w:val="-3"/>
          <w:sz w:val="21"/>
        </w:rPr>
        <w:t>主变电所应独立建造。</w:t>
      </w:r>
      <w:r>
        <w:rPr>
          <w:sz w:val="21"/>
        </w:rPr>
        <w:t> </w:t>
      </w:r>
    </w:p>
    <w:p>
      <w:pPr>
        <w:pStyle w:val="BodyText"/>
        <w:rPr>
          <w:sz w:val="18"/>
        </w:rPr>
      </w:pPr>
    </w:p>
    <w:p>
      <w:pPr>
        <w:pStyle w:val="ListParagraph"/>
        <w:numPr>
          <w:ilvl w:val="1"/>
          <w:numId w:val="926"/>
        </w:numPr>
        <w:tabs>
          <w:tab w:pos="1160" w:val="left" w:leader="none"/>
        </w:tabs>
        <w:spacing w:line="240" w:lineRule="auto" w:before="0" w:after="0"/>
        <w:ind w:left="1159" w:right="0" w:hanging="320"/>
        <w:jc w:val="left"/>
        <w:rPr>
          <w:b/>
          <w:sz w:val="21"/>
        </w:rPr>
      </w:pPr>
      <w:r>
        <w:rPr>
          <w:spacing w:val="-3"/>
          <w:sz w:val="21"/>
        </w:rPr>
        <w:t>车辆基地</w:t>
      </w:r>
      <w:r>
        <w:rPr>
          <w:b/>
          <w:w w:val="99"/>
          <w:sz w:val="21"/>
        </w:rPr>
        <w:t> </w:t>
      </w:r>
    </w:p>
    <w:p>
      <w:pPr>
        <w:pStyle w:val="BodyText"/>
        <w:rPr>
          <w:b/>
          <w:sz w:val="18"/>
        </w:rPr>
      </w:pPr>
    </w:p>
    <w:p>
      <w:pPr>
        <w:pStyle w:val="ListParagraph"/>
        <w:numPr>
          <w:ilvl w:val="2"/>
          <w:numId w:val="926"/>
        </w:numPr>
        <w:tabs>
          <w:tab w:pos="1370" w:val="left" w:leader="none"/>
        </w:tabs>
        <w:spacing w:line="446" w:lineRule="auto" w:before="0" w:after="0"/>
        <w:ind w:left="418" w:right="1604" w:firstLine="422"/>
        <w:jc w:val="left"/>
        <w:rPr>
          <w:sz w:val="21"/>
        </w:rPr>
      </w:pPr>
      <w:r>
        <w:rPr>
          <w:spacing w:val="-3"/>
          <w:sz w:val="21"/>
        </w:rPr>
        <w:t>车辆基地应避免设置在甲、乙类厂(库)房和甲、乙、丙类液体、可燃气体储罐及可燃材料堆场附近。</w:t>
      </w:r>
      <w:r>
        <w:rPr>
          <w:sz w:val="21"/>
        </w:rPr>
        <w:t> </w:t>
      </w:r>
    </w:p>
    <w:p>
      <w:pPr>
        <w:pStyle w:val="ListParagraph"/>
        <w:numPr>
          <w:ilvl w:val="2"/>
          <w:numId w:val="926"/>
        </w:numPr>
        <w:tabs>
          <w:tab w:pos="1370" w:val="left" w:leader="none"/>
        </w:tabs>
        <w:spacing w:line="446" w:lineRule="auto" w:before="0" w:after="0"/>
        <w:ind w:left="418" w:right="1604" w:firstLine="422"/>
        <w:jc w:val="left"/>
        <w:rPr>
          <w:sz w:val="21"/>
        </w:rPr>
      </w:pPr>
      <w:r>
        <w:rPr>
          <w:spacing w:val="-3"/>
          <w:sz w:val="21"/>
        </w:rPr>
        <w:t>车辆基地的总平面布置应以车辆段(停车场)为主体，根据功能需要及地形条件合理确定基地内各建筑的位置、防火间距、运输道路和消防水源等。</w:t>
      </w:r>
      <w:r>
        <w:rPr>
          <w:sz w:val="21"/>
        </w:rPr>
        <w:t> </w:t>
      </w:r>
    </w:p>
    <w:p>
      <w:pPr>
        <w:pStyle w:val="ListParagraph"/>
        <w:numPr>
          <w:ilvl w:val="2"/>
          <w:numId w:val="926"/>
        </w:numPr>
        <w:tabs>
          <w:tab w:pos="1371" w:val="left" w:leader="none"/>
        </w:tabs>
        <w:spacing w:line="446" w:lineRule="auto" w:before="0" w:after="0"/>
        <w:ind w:left="418" w:right="1556" w:firstLine="422"/>
        <w:jc w:val="left"/>
        <w:rPr>
          <w:sz w:val="21"/>
        </w:rPr>
      </w:pPr>
      <w:r>
        <w:rPr>
          <w:spacing w:val="-3"/>
          <w:sz w:val="21"/>
        </w:rPr>
        <w:t>车辆基地内的消防车道除应符合现行国家标准《建筑设计防火规范》</w:t>
      </w:r>
      <w:r>
        <w:rPr>
          <w:sz w:val="21"/>
        </w:rPr>
        <w:t>GB</w:t>
      </w:r>
      <w:r>
        <w:rPr>
          <w:spacing w:val="13"/>
          <w:sz w:val="21"/>
        </w:rPr>
        <w:t> </w:t>
      </w:r>
      <w:r>
        <w:rPr>
          <w:sz w:val="21"/>
        </w:rPr>
        <w:t>50016</w:t>
      </w:r>
      <w:r>
        <w:rPr>
          <w:spacing w:val="-18"/>
          <w:sz w:val="21"/>
        </w:rPr>
        <w:t> 的规</w:t>
      </w:r>
      <w:r>
        <w:rPr>
          <w:spacing w:val="-3"/>
          <w:sz w:val="21"/>
        </w:rPr>
        <w:t>定外，尚应符合下列规定： </w:t>
      </w:r>
    </w:p>
    <w:p>
      <w:pPr>
        <w:pStyle w:val="BodyText"/>
        <w:spacing w:line="446" w:lineRule="auto"/>
        <w:ind w:left="418" w:right="1611" w:firstLine="419"/>
      </w:pPr>
      <w:r>
        <w:rPr>
          <w:spacing w:val="-6"/>
        </w:rPr>
        <w:t>车辆基地内应设置不少于 </w:t>
      </w:r>
      <w:r>
        <w:rPr/>
        <w:t>2</w:t>
      </w:r>
      <w:r>
        <w:rPr>
          <w:spacing w:val="-7"/>
        </w:rPr>
        <w:t> 条与外界道路相通的消防车道，并应与基地内各建筑的消防车</w:t>
      </w:r>
      <w:r>
        <w:rPr>
          <w:spacing w:val="-5"/>
        </w:rPr>
        <w:t>道连通成环形消防车道。消防车道不宜与列车进入咽喉区前的出入线平交。</w:t>
      </w:r>
      <w:r>
        <w:rPr/>
        <w:t> </w:t>
      </w:r>
    </w:p>
    <w:p>
      <w:pPr>
        <w:pStyle w:val="BodyText"/>
        <w:spacing w:line="446" w:lineRule="auto"/>
        <w:ind w:left="418" w:right="1609" w:firstLine="419"/>
      </w:pPr>
      <w:r>
        <w:rPr/>
        <w:t>停车库、列检库、停车列检库、运用库、联合检修库、物资总库及易燃物品库周围应设置环形消防车道。 </w:t>
      </w:r>
    </w:p>
    <w:p>
      <w:pPr>
        <w:pStyle w:val="BodyText"/>
        <w:spacing w:line="446" w:lineRule="auto"/>
        <w:ind w:left="418" w:right="1505" w:firstLine="419"/>
      </w:pPr>
      <w:r>
        <w:rPr>
          <w:spacing w:val="-3"/>
        </w:rPr>
        <w:t>停车库、列检库、停车列检库、运用库、联合检修库每线列位在两列或两列以上时，宜在</w:t>
      </w:r>
      <w:r>
        <w:rPr>
          <w:spacing w:val="-4"/>
        </w:rPr>
        <w:t>列位之间沿横向设置可供消防车通行的道路；当库房的各自总宽度大于 </w:t>
      </w:r>
      <w:r>
        <w:rPr/>
        <w:t>150m</w:t>
      </w:r>
      <w:r>
        <w:rPr>
          <w:spacing w:val="-7"/>
        </w:rPr>
        <w:t> 时，应在库房的中</w:t>
      </w:r>
      <w:r>
        <w:rPr>
          <w:spacing w:val="-5"/>
        </w:rPr>
        <w:t>间沿纵向设置可供消防车通行的道路。</w:t>
      </w:r>
      <w:r>
        <w:rPr/>
        <w:t> </w:t>
      </w:r>
    </w:p>
    <w:p>
      <w:pPr>
        <w:pStyle w:val="ListParagraph"/>
        <w:numPr>
          <w:ilvl w:val="2"/>
          <w:numId w:val="926"/>
        </w:numPr>
        <w:tabs>
          <w:tab w:pos="1371" w:val="left" w:leader="none"/>
        </w:tabs>
        <w:spacing w:line="446" w:lineRule="auto" w:before="0" w:after="0"/>
        <w:ind w:left="418" w:right="1604" w:firstLine="422"/>
        <w:jc w:val="both"/>
        <w:rPr>
          <w:sz w:val="21"/>
        </w:rPr>
      </w:pPr>
      <w:r>
        <w:rPr>
          <w:spacing w:val="-3"/>
          <w:sz w:val="21"/>
        </w:rPr>
        <w:t>车辆基地不宜设置在地下。当车辆基地的停车库、列检库、停车列检库、运用库、</w:t>
      </w:r>
      <w:r>
        <w:rPr>
          <w:spacing w:val="-4"/>
          <w:sz w:val="21"/>
        </w:rPr>
        <w:t>联合检修库等设置在地下时，应在地下设置环形消防车道；当库房的总宽度不大于 </w:t>
      </w:r>
      <w:r>
        <w:rPr>
          <w:sz w:val="21"/>
        </w:rPr>
        <w:t>75m</w:t>
      </w:r>
      <w:r>
        <w:rPr>
          <w:spacing w:val="-10"/>
          <w:sz w:val="21"/>
        </w:rPr>
        <w:t> 时，可</w:t>
      </w:r>
      <w:r>
        <w:rPr>
          <w:spacing w:val="-5"/>
          <w:sz w:val="21"/>
        </w:rPr>
        <w:t>沿库房的一条长边设置地下消防车道，但尽头式消防车道应设置回车道或回车场，回车场的面</w:t>
      </w:r>
      <w:r>
        <w:rPr>
          <w:spacing w:val="-13"/>
          <w:sz w:val="21"/>
        </w:rPr>
        <w:t>积不应小于 </w:t>
      </w:r>
      <w:r>
        <w:rPr>
          <w:sz w:val="21"/>
        </w:rPr>
        <w:t>15m×15m。 </w:t>
      </w:r>
    </w:p>
    <w:p>
      <w:pPr>
        <w:pStyle w:val="BodyText"/>
        <w:spacing w:line="446" w:lineRule="auto"/>
        <w:ind w:left="418" w:right="1609" w:firstLine="419"/>
        <w:jc w:val="both"/>
      </w:pPr>
      <w:r>
        <w:rPr>
          <w:spacing w:val="-3"/>
        </w:rPr>
        <w:t>地下消防车道与停车库、列检库、停车列检库、运用库、联合检修库之间应采用耐火极限</w:t>
      </w:r>
      <w:r>
        <w:rPr>
          <w:spacing w:val="-10"/>
        </w:rPr>
        <w:t>不低于 </w:t>
      </w:r>
      <w:r>
        <w:rPr/>
        <w:t>3.00h</w:t>
      </w:r>
      <w:r>
        <w:rPr>
          <w:spacing w:val="-7"/>
        </w:rPr>
        <w:t> 的防火墙分隔。防火墙上应设置消防救援入口，入口处应采用乙级防火门等进行</w:t>
      </w:r>
      <w:r>
        <w:rPr>
          <w:spacing w:val="-6"/>
        </w:rPr>
        <w:t>分隔。</w:t>
      </w:r>
      <w:r>
        <w:rPr/>
        <w:t> </w:t>
      </w:r>
    </w:p>
    <w:p>
      <w:pPr>
        <w:spacing w:after="0" w:line="446" w:lineRule="auto"/>
        <w:jc w:val="both"/>
        <w:sectPr>
          <w:footerReference w:type="default" r:id="rId586"/>
          <w:pgSz w:w="11910" w:h="16850"/>
          <w:pgMar w:footer="1239" w:header="0" w:top="1220" w:bottom="1420" w:left="1260" w:right="0"/>
          <w:pgNumType w:start="1610"/>
        </w:sectPr>
      </w:pPr>
    </w:p>
    <w:p>
      <w:pPr>
        <w:pStyle w:val="ListParagraph"/>
        <w:numPr>
          <w:ilvl w:val="2"/>
          <w:numId w:val="926"/>
        </w:numPr>
        <w:tabs>
          <w:tab w:pos="1371" w:val="left" w:leader="none"/>
        </w:tabs>
        <w:spacing w:line="240" w:lineRule="auto" w:before="47" w:after="0"/>
        <w:ind w:left="1370" w:right="0" w:hanging="531"/>
        <w:jc w:val="left"/>
        <w:rPr>
          <w:sz w:val="21"/>
        </w:rPr>
      </w:pPr>
      <w:r>
        <w:rPr>
          <w:spacing w:val="-3"/>
          <w:sz w:val="21"/>
        </w:rPr>
        <w:t>易燃物品库应独立布置，并应按存放物品的不同性质分库设置。</w:t>
      </w:r>
      <w:r>
        <w:rPr>
          <w:sz w:val="21"/>
        </w:rPr>
        <w:t> </w:t>
      </w:r>
    </w:p>
    <w:p>
      <w:pPr>
        <w:pStyle w:val="BodyText"/>
        <w:spacing w:before="8"/>
        <w:rPr>
          <w:sz w:val="15"/>
        </w:rPr>
      </w:pPr>
    </w:p>
    <w:p>
      <w:pPr>
        <w:pStyle w:val="Heading4"/>
        <w:spacing w:before="1"/>
      </w:pPr>
      <w:r>
        <w:rPr/>
        <w:t>4 建筑的耐火等级与防火分隔</w:t>
      </w:r>
      <w:r>
        <w:rPr>
          <w:w w:val="99"/>
        </w:rPr>
        <w:t> </w:t>
      </w:r>
    </w:p>
    <w:p>
      <w:pPr>
        <w:pStyle w:val="BodyText"/>
        <w:spacing w:before="3"/>
        <w:rPr>
          <w:b/>
          <w:sz w:val="17"/>
        </w:rPr>
      </w:pPr>
    </w:p>
    <w:p>
      <w:pPr>
        <w:pStyle w:val="ListParagraph"/>
        <w:numPr>
          <w:ilvl w:val="1"/>
          <w:numId w:val="928"/>
        </w:numPr>
        <w:tabs>
          <w:tab w:pos="1159" w:val="left" w:leader="none"/>
        </w:tabs>
        <w:spacing w:line="240" w:lineRule="auto" w:before="1" w:after="0"/>
        <w:ind w:left="1158" w:right="0" w:hanging="319"/>
        <w:jc w:val="left"/>
        <w:rPr>
          <w:sz w:val="21"/>
        </w:rPr>
      </w:pPr>
      <w:r>
        <w:rPr>
          <w:spacing w:val="-3"/>
          <w:sz w:val="21"/>
        </w:rPr>
        <w:t>一般规定</w:t>
      </w:r>
      <w:r>
        <w:rPr>
          <w:sz w:val="21"/>
        </w:rPr>
        <w:t> </w:t>
      </w:r>
    </w:p>
    <w:p>
      <w:pPr>
        <w:pStyle w:val="BodyText"/>
        <w:spacing w:before="1"/>
        <w:rPr>
          <w:sz w:val="18"/>
        </w:rPr>
      </w:pPr>
    </w:p>
    <w:p>
      <w:pPr>
        <w:pStyle w:val="ListParagraph"/>
        <w:numPr>
          <w:ilvl w:val="2"/>
          <w:numId w:val="928"/>
        </w:numPr>
        <w:tabs>
          <w:tab w:pos="1370" w:val="left" w:leader="none"/>
        </w:tabs>
        <w:spacing w:line="240" w:lineRule="auto" w:before="0" w:after="0"/>
        <w:ind w:left="1369" w:right="0" w:hanging="530"/>
        <w:jc w:val="left"/>
        <w:rPr>
          <w:sz w:val="21"/>
        </w:rPr>
      </w:pPr>
      <w:r>
        <w:rPr>
          <w:spacing w:val="-3"/>
          <w:sz w:val="21"/>
        </w:rPr>
        <w:t>下列建筑的耐火等级应为一级：</w:t>
      </w:r>
      <w:r>
        <w:rPr>
          <w:sz w:val="21"/>
        </w:rPr>
        <w:t> </w:t>
      </w:r>
    </w:p>
    <w:p>
      <w:pPr>
        <w:pStyle w:val="BodyText"/>
        <w:rPr>
          <w:sz w:val="18"/>
        </w:rPr>
      </w:pPr>
    </w:p>
    <w:p>
      <w:pPr>
        <w:pStyle w:val="BodyText"/>
        <w:ind w:left="838"/>
      </w:pPr>
      <w:r>
        <w:rPr/>
        <w:t>地下车站及其出入口通道、风道； </w:t>
      </w:r>
    </w:p>
    <w:p>
      <w:pPr>
        <w:pStyle w:val="BodyText"/>
        <w:spacing w:before="12"/>
        <w:rPr>
          <w:sz w:val="17"/>
        </w:rPr>
      </w:pPr>
    </w:p>
    <w:p>
      <w:pPr>
        <w:pStyle w:val="BodyText"/>
        <w:spacing w:line="446" w:lineRule="auto"/>
        <w:ind w:left="838" w:right="5917"/>
      </w:pPr>
      <w:r>
        <w:rPr>
          <w:spacing w:val="-3"/>
        </w:rPr>
        <w:t>地下区间、联络通道、区间风井及风道； </w:t>
      </w:r>
      <w:r>
        <w:rPr>
          <w:spacing w:val="-2"/>
        </w:rPr>
        <w:t>控制中心；</w:t>
      </w:r>
      <w:r>
        <w:rPr/>
        <w:t> </w:t>
      </w:r>
    </w:p>
    <w:p>
      <w:pPr>
        <w:pStyle w:val="BodyText"/>
        <w:spacing w:before="1"/>
        <w:ind w:left="838"/>
      </w:pPr>
      <w:r>
        <w:rPr>
          <w:spacing w:val="-2"/>
        </w:rPr>
        <w:t>主变电所；</w:t>
      </w:r>
      <w:r>
        <w:rPr/>
        <w:t> </w:t>
      </w:r>
    </w:p>
    <w:p>
      <w:pPr>
        <w:pStyle w:val="BodyText"/>
        <w:spacing w:before="12"/>
        <w:rPr>
          <w:sz w:val="17"/>
        </w:rPr>
      </w:pPr>
    </w:p>
    <w:p>
      <w:pPr>
        <w:pStyle w:val="BodyText"/>
        <w:ind w:left="838"/>
      </w:pPr>
      <w:r>
        <w:rPr/>
        <w:t>易燃物品库、油漆库； </w:t>
      </w:r>
    </w:p>
    <w:p>
      <w:pPr>
        <w:pStyle w:val="BodyText"/>
        <w:spacing w:before="2"/>
        <w:rPr>
          <w:sz w:val="18"/>
        </w:rPr>
      </w:pPr>
    </w:p>
    <w:p>
      <w:pPr>
        <w:pStyle w:val="BodyText"/>
        <w:spacing w:line="446" w:lineRule="auto"/>
        <w:ind w:left="840" w:right="2765" w:hanging="3"/>
      </w:pPr>
      <w:r>
        <w:rPr/>
        <w:t>地下停车库、列检库、停车列检库、运用库、联合检修库及其他检修用房。</w:t>
      </w:r>
      <w:r>
        <w:rPr>
          <w:b/>
        </w:rPr>
        <w:t>4.1.2 </w:t>
      </w:r>
      <w:r>
        <w:rPr/>
        <w:t>下列建筑的耐火等级不应低于二级： </w:t>
      </w:r>
    </w:p>
    <w:p>
      <w:pPr>
        <w:pStyle w:val="BodyText"/>
        <w:spacing w:line="267" w:lineRule="exact"/>
        <w:ind w:left="838"/>
      </w:pPr>
      <w:r>
        <w:rPr/>
        <w:t>地上车站及地上区间； </w:t>
      </w:r>
    </w:p>
    <w:p>
      <w:pPr>
        <w:pStyle w:val="BodyText"/>
        <w:spacing w:before="2"/>
        <w:rPr>
          <w:sz w:val="18"/>
        </w:rPr>
      </w:pPr>
    </w:p>
    <w:p>
      <w:pPr>
        <w:pStyle w:val="BodyText"/>
        <w:ind w:left="838"/>
      </w:pPr>
      <w:r>
        <w:rPr/>
        <w:t>地下车站出入口地面厅、风亭等地面建（构）筑物； </w:t>
      </w:r>
    </w:p>
    <w:p>
      <w:pPr>
        <w:pStyle w:val="BodyText"/>
        <w:rPr>
          <w:sz w:val="18"/>
        </w:rPr>
      </w:pPr>
    </w:p>
    <w:p>
      <w:pPr>
        <w:pStyle w:val="BodyText"/>
        <w:spacing w:line="446" w:lineRule="auto"/>
        <w:ind w:left="418" w:right="1609" w:firstLine="419"/>
      </w:pPr>
      <w:r>
        <w:rPr/>
        <w:t>运用库、检修库、综合维修中心的维修综合楼、物质总库的库房、调机库、牵引降压混合变电所、洗车机库（棚）、不落轮镟库、工程车库和综合办公楼等生活辅助建筑。 </w:t>
      </w:r>
    </w:p>
    <w:p>
      <w:pPr>
        <w:pStyle w:val="ListParagraph"/>
        <w:numPr>
          <w:ilvl w:val="2"/>
          <w:numId w:val="929"/>
        </w:numPr>
        <w:tabs>
          <w:tab w:pos="1371" w:val="left" w:leader="none"/>
        </w:tabs>
        <w:spacing w:line="446" w:lineRule="auto" w:before="0" w:after="0"/>
        <w:ind w:left="418" w:right="1445" w:firstLine="422"/>
        <w:jc w:val="left"/>
        <w:rPr>
          <w:sz w:val="21"/>
        </w:rPr>
      </w:pPr>
      <w:r>
        <w:rPr>
          <w:spacing w:val="-5"/>
          <w:sz w:val="21"/>
        </w:rPr>
        <w:t>地下车站的风道、区间风井及其风道等的围护结构的耐火极限均不应低于 </w:t>
      </w:r>
      <w:r>
        <w:rPr>
          <w:sz w:val="21"/>
        </w:rPr>
        <w:t>3.00h，区</w:t>
      </w:r>
      <w:r>
        <w:rPr>
          <w:spacing w:val="-6"/>
          <w:sz w:val="21"/>
        </w:rPr>
        <w:t>间风井内柱、梁、楼板的耐火极限均不应低于 </w:t>
      </w:r>
      <w:r>
        <w:rPr>
          <w:sz w:val="21"/>
        </w:rPr>
        <w:t>2.00h</w:t>
      </w:r>
      <w:r>
        <w:rPr>
          <w:spacing w:val="-3"/>
          <w:sz w:val="21"/>
        </w:rPr>
        <w:t>。</w:t>
      </w:r>
      <w:r>
        <w:rPr>
          <w:sz w:val="21"/>
        </w:rPr>
        <w:t> </w:t>
      </w:r>
    </w:p>
    <w:p>
      <w:pPr>
        <w:pStyle w:val="ListParagraph"/>
        <w:numPr>
          <w:ilvl w:val="2"/>
          <w:numId w:val="929"/>
        </w:numPr>
        <w:tabs>
          <w:tab w:pos="1371" w:val="left" w:leader="none"/>
        </w:tabs>
        <w:spacing w:line="446" w:lineRule="auto" w:before="0" w:after="0"/>
        <w:ind w:left="418" w:right="1604" w:firstLine="422"/>
        <w:jc w:val="both"/>
        <w:rPr>
          <w:sz w:val="21"/>
        </w:rPr>
      </w:pPr>
      <w:r>
        <w:rPr>
          <w:spacing w:val="-2"/>
          <w:sz w:val="21"/>
        </w:rPr>
        <w:t>车站</w:t>
      </w:r>
      <w:r>
        <w:rPr>
          <w:spacing w:val="-3"/>
          <w:sz w:val="21"/>
        </w:rPr>
        <w:t>（车辆基地）</w:t>
      </w:r>
      <w:r>
        <w:rPr>
          <w:spacing w:val="-1"/>
          <w:sz w:val="21"/>
        </w:rPr>
        <w:t>控制室</w:t>
      </w:r>
      <w:r>
        <w:rPr>
          <w:sz w:val="21"/>
        </w:rPr>
        <w:t>（</w:t>
      </w:r>
      <w:r>
        <w:rPr>
          <w:spacing w:val="-3"/>
          <w:sz w:val="21"/>
        </w:rPr>
        <w:t>含防灾报警设备室</w:t>
      </w:r>
      <w:r>
        <w:rPr>
          <w:sz w:val="21"/>
        </w:rPr>
        <w:t>）</w:t>
      </w:r>
      <w:r>
        <w:rPr>
          <w:spacing w:val="-3"/>
          <w:sz w:val="21"/>
        </w:rPr>
        <w:t>、变电所、配电室、通信及信号机房、固定灭火装置设备室、消防水泵房、废水泵房、通风机房、环控电控室、站台门控制室、</w:t>
      </w:r>
      <w:r>
        <w:rPr>
          <w:spacing w:val="-4"/>
          <w:sz w:val="21"/>
        </w:rPr>
        <w:t>蓄电池室等火灾时需运作的房间，应分别独立设置，并应采用耐火极限不低于 </w:t>
      </w:r>
      <w:r>
        <w:rPr>
          <w:sz w:val="21"/>
        </w:rPr>
        <w:t>2.00h</w:t>
      </w:r>
      <w:r>
        <w:rPr>
          <w:spacing w:val="-9"/>
          <w:sz w:val="21"/>
        </w:rPr>
        <w:t> 的防火隔</w:t>
      </w:r>
      <w:r>
        <w:rPr>
          <w:spacing w:val="-10"/>
          <w:sz w:val="21"/>
        </w:rPr>
        <w:t>墙和耐火极限不低于 </w:t>
      </w:r>
      <w:r>
        <w:rPr>
          <w:sz w:val="21"/>
        </w:rPr>
        <w:t>1.50h</w:t>
      </w:r>
      <w:r>
        <w:rPr>
          <w:spacing w:val="-9"/>
          <w:sz w:val="21"/>
        </w:rPr>
        <w:t> 的楼板与其他部位分隔。 </w:t>
      </w:r>
    </w:p>
    <w:p>
      <w:pPr>
        <w:pStyle w:val="ListParagraph"/>
        <w:numPr>
          <w:ilvl w:val="2"/>
          <w:numId w:val="929"/>
        </w:numPr>
        <w:tabs>
          <w:tab w:pos="1370" w:val="left" w:leader="none"/>
        </w:tabs>
        <w:spacing w:line="446" w:lineRule="auto" w:before="0" w:after="0"/>
        <w:ind w:left="418" w:right="1812" w:firstLine="422"/>
        <w:jc w:val="left"/>
        <w:rPr>
          <w:sz w:val="21"/>
        </w:rPr>
      </w:pPr>
      <w:r>
        <w:rPr>
          <w:spacing w:val="-3"/>
          <w:sz w:val="21"/>
        </w:rPr>
        <w:t>车站内的商铺设置以及与地下商业等非地铁功能的场所相邻的车站应符合下列规定：</w:t>
      </w:r>
      <w:r>
        <w:rPr>
          <w:sz w:val="21"/>
        </w:rPr>
        <w:t> </w:t>
      </w:r>
    </w:p>
    <w:p>
      <w:pPr>
        <w:pStyle w:val="BodyText"/>
        <w:spacing w:line="446" w:lineRule="auto"/>
        <w:ind w:left="418" w:right="1609" w:firstLine="419"/>
      </w:pPr>
      <w:r>
        <w:rPr/>
        <w:t>站台层、站厅付费区、站厅非付费区的乘客疏散区以及用于乘客疏散的通道内，严禁设置商铺和非地铁运营用房。 </w:t>
      </w:r>
    </w:p>
    <w:p>
      <w:pPr>
        <w:pStyle w:val="BodyText"/>
        <w:ind w:left="838"/>
      </w:pPr>
      <w:r>
        <w:rPr/>
        <w:t>在站厅非付费区的乘客疏散区外设置的商铺，不得经营和储存甲、乙类火灾危险性的商</w:t>
      </w:r>
    </w:p>
    <w:p>
      <w:pPr>
        <w:pStyle w:val="BodyText"/>
        <w:spacing w:before="7"/>
        <w:rPr>
          <w:sz w:val="17"/>
        </w:rPr>
      </w:pPr>
    </w:p>
    <w:p>
      <w:pPr>
        <w:pStyle w:val="BodyText"/>
        <w:spacing w:before="1"/>
        <w:ind w:left="418"/>
      </w:pPr>
      <w:r>
        <w:rPr/>
        <w:t>品，不得储存可燃性液体类商品。每个站厅商铺的总建筑面积不应大于 100m²，单处商铺的建筑</w:t>
      </w:r>
    </w:p>
    <w:p>
      <w:pPr>
        <w:spacing w:after="0"/>
        <w:sectPr>
          <w:pgSz w:w="11910" w:h="16850"/>
          <w:pgMar w:header="0" w:footer="1239" w:top="1220" w:bottom="1420" w:left="1260" w:right="0"/>
        </w:sectPr>
      </w:pPr>
    </w:p>
    <w:p>
      <w:pPr>
        <w:pStyle w:val="BodyText"/>
        <w:spacing w:line="446" w:lineRule="auto" w:before="47"/>
        <w:ind w:left="418" w:right="1560"/>
      </w:pPr>
      <w:r>
        <w:rPr>
          <w:spacing w:val="-9"/>
        </w:rPr>
        <w:t>面积不应大于 </w:t>
      </w:r>
      <w:r>
        <w:rPr/>
        <w:t>30m²</w:t>
      </w:r>
      <w:r>
        <w:rPr>
          <w:spacing w:val="-7"/>
        </w:rPr>
        <w:t>。商铺应采用耐火极限不低于 </w:t>
      </w:r>
      <w:r>
        <w:rPr/>
        <w:t>2.00h</w:t>
      </w:r>
      <w:r>
        <w:rPr>
          <w:spacing w:val="-12"/>
        </w:rPr>
        <w:t> 的防火隔墙或耐火极限不低于 </w:t>
      </w:r>
      <w:r>
        <w:rPr/>
        <w:t>3.00h</w:t>
      </w:r>
      <w:r>
        <w:rPr>
          <w:spacing w:val="-25"/>
        </w:rPr>
        <w:t> 的</w:t>
      </w:r>
      <w:r>
        <w:rPr>
          <w:spacing w:val="-8"/>
        </w:rPr>
        <w:t>防火卷帘与其他部位分隔，商铺内应设置火灾自动报警和灭火系统。</w:t>
      </w:r>
      <w:r>
        <w:rPr/>
        <w:t> </w:t>
      </w:r>
    </w:p>
    <w:p>
      <w:pPr>
        <w:pStyle w:val="BodyText"/>
        <w:spacing w:line="446" w:lineRule="auto"/>
        <w:ind w:left="418" w:right="1608" w:firstLine="419"/>
      </w:pPr>
      <w:r>
        <w:rPr>
          <w:spacing w:val="-3"/>
        </w:rPr>
        <w:t>在站厅的上层或下层设置商业等非地铁功能的场所时，站厅严禁采用中庭与商业等非地铁功能的场所连通；在站厅非付费区连通商业等非地铁功能场所的楼梯或扶梯的开口部位应设置</w:t>
      </w:r>
      <w:r>
        <w:rPr>
          <w:spacing w:val="-6"/>
        </w:rPr>
        <w:t>耐火极限不低于 </w:t>
      </w:r>
      <w:r>
        <w:rPr/>
        <w:t>3.00h</w:t>
      </w:r>
      <w:r>
        <w:rPr>
          <w:spacing w:val="-5"/>
        </w:rPr>
        <w:t> 的防火卷帘，防火卷帘应能分别由地铁、商业等非地铁功能的场所控</w:t>
      </w:r>
      <w:r>
        <w:rPr>
          <w:spacing w:val="-4"/>
        </w:rPr>
        <w:t>制，楼梯或扶梯周围的其他临界面应设置防火墙。</w:t>
      </w:r>
      <w:r>
        <w:rPr/>
        <w:t> </w:t>
      </w:r>
    </w:p>
    <w:p>
      <w:pPr>
        <w:pStyle w:val="BodyText"/>
        <w:spacing w:line="446" w:lineRule="auto"/>
        <w:ind w:left="418" w:right="1608" w:firstLine="419"/>
        <w:jc w:val="both"/>
      </w:pPr>
      <w:r>
        <w:rPr/>
        <w:t>在站厅层与站台层之间设置商业等非地铁功能的场所时，站台至站厅的楼梯或扶梯不应与商业等非地铁功能的场所连通，楼梯或扶梯穿越商业等非地铁功能的场所的部位周围应设置无门窗洞口的防火墙。 </w:t>
      </w:r>
    </w:p>
    <w:p>
      <w:pPr>
        <w:pStyle w:val="ListParagraph"/>
        <w:numPr>
          <w:ilvl w:val="2"/>
          <w:numId w:val="929"/>
        </w:numPr>
        <w:tabs>
          <w:tab w:pos="1371" w:val="left" w:leader="none"/>
        </w:tabs>
        <w:spacing w:line="446" w:lineRule="auto" w:before="0" w:after="0"/>
        <w:ind w:left="418" w:right="1452" w:firstLine="422"/>
        <w:jc w:val="left"/>
        <w:rPr>
          <w:sz w:val="21"/>
        </w:rPr>
      </w:pPr>
      <w:r>
        <w:rPr>
          <w:spacing w:val="-3"/>
          <w:sz w:val="21"/>
        </w:rPr>
        <w:t>在站厅公共区同层布置的商业等非地铁功能的场所，应采用防火墙与站厅公共区进行分隔，相互间宜采用下沉广场或连接通道等方式连通，不应直接连通。下沉广场的宽度不应小 </w:t>
      </w:r>
      <w:r>
        <w:rPr>
          <w:spacing w:val="-25"/>
          <w:sz w:val="21"/>
        </w:rPr>
        <w:t>于 </w:t>
      </w:r>
      <w:r>
        <w:rPr>
          <w:sz w:val="21"/>
        </w:rPr>
        <w:t>13m</w:t>
      </w:r>
      <w:r>
        <w:rPr>
          <w:spacing w:val="-7"/>
          <w:sz w:val="21"/>
        </w:rPr>
        <w:t>；连接通道的长度不应小于 </w:t>
      </w:r>
      <w:r>
        <w:rPr>
          <w:sz w:val="21"/>
        </w:rPr>
        <w:t>10m</w:t>
      </w:r>
      <w:r>
        <w:rPr>
          <w:spacing w:val="-9"/>
          <w:sz w:val="21"/>
        </w:rPr>
        <w:t>、宽度不应大于 </w:t>
      </w:r>
      <w:r>
        <w:rPr>
          <w:sz w:val="21"/>
        </w:rPr>
        <w:t>8m</w:t>
      </w:r>
      <w:r>
        <w:rPr>
          <w:spacing w:val="-8"/>
          <w:sz w:val="21"/>
        </w:rPr>
        <w:t>，连接通道内应设置 </w:t>
      </w:r>
      <w:r>
        <w:rPr>
          <w:sz w:val="21"/>
        </w:rPr>
        <w:t>2</w:t>
      </w:r>
      <w:r>
        <w:rPr>
          <w:spacing w:val="-8"/>
          <w:sz w:val="21"/>
        </w:rPr>
        <w:t> 道分别由地铁和</w:t>
      </w:r>
      <w:r>
        <w:rPr>
          <w:spacing w:val="-7"/>
          <w:sz w:val="21"/>
        </w:rPr>
        <w:t>商业等非地铁功能的场所控制且耐火极限均不低于 </w:t>
      </w:r>
      <w:r>
        <w:rPr>
          <w:sz w:val="21"/>
        </w:rPr>
        <w:t>3.00h</w:t>
      </w:r>
      <w:r>
        <w:rPr>
          <w:spacing w:val="-10"/>
          <w:sz w:val="21"/>
        </w:rPr>
        <w:t> 的防火卷帘。</w:t>
      </w:r>
      <w:r>
        <w:rPr>
          <w:sz w:val="21"/>
        </w:rPr>
        <w:t> </w:t>
      </w:r>
    </w:p>
    <w:p>
      <w:pPr>
        <w:pStyle w:val="ListParagraph"/>
        <w:numPr>
          <w:ilvl w:val="2"/>
          <w:numId w:val="929"/>
        </w:numPr>
        <w:tabs>
          <w:tab w:pos="1370" w:val="left" w:leader="none"/>
        </w:tabs>
        <w:spacing w:line="446" w:lineRule="auto" w:before="0" w:after="0"/>
        <w:ind w:left="418" w:right="1604" w:firstLine="422"/>
        <w:jc w:val="left"/>
        <w:rPr>
          <w:sz w:val="21"/>
        </w:rPr>
      </w:pPr>
      <w:r>
        <w:rPr>
          <w:spacing w:val="-3"/>
          <w:sz w:val="21"/>
        </w:rPr>
        <w:t>车辆基地建筑的上部不宜设置其他使用功能的场所或建筑，确需设置时，应符合下列规定：</w:t>
      </w:r>
      <w:r>
        <w:rPr>
          <w:sz w:val="21"/>
        </w:rPr>
        <w:t> </w:t>
      </w:r>
    </w:p>
    <w:p>
      <w:pPr>
        <w:pStyle w:val="BodyText"/>
        <w:ind w:left="838"/>
      </w:pPr>
      <w:r>
        <w:rPr/>
        <w:t>车辆基地与其他功能场所之间应采用耐火极限不低于 3.00h 的楼板分隔； </w:t>
      </w:r>
    </w:p>
    <w:p>
      <w:pPr>
        <w:pStyle w:val="BodyText"/>
        <w:spacing w:before="7"/>
        <w:rPr>
          <w:sz w:val="17"/>
        </w:rPr>
      </w:pPr>
    </w:p>
    <w:p>
      <w:pPr>
        <w:pStyle w:val="BodyText"/>
        <w:spacing w:line="446" w:lineRule="auto"/>
        <w:ind w:left="840" w:right="1613" w:hanging="3"/>
        <w:rPr>
          <w:b/>
        </w:rPr>
      </w:pPr>
      <w:r>
        <w:rPr/>
        <w:t>车辆基地建筑的承重构件的耐火极限不应低于 3.00h，楼板的耐火极限不应低于 2.00h。</w:t>
      </w:r>
      <w:r>
        <w:rPr>
          <w:b/>
        </w:rPr>
        <w:t>4.2 </w:t>
      </w:r>
      <w:r>
        <w:rPr/>
        <w:t>地下车站</w:t>
      </w:r>
      <w:r>
        <w:rPr>
          <w:b/>
          <w:w w:val="99"/>
        </w:rPr>
        <w:t> </w:t>
      </w:r>
    </w:p>
    <w:p>
      <w:pPr>
        <w:pStyle w:val="ListParagraph"/>
        <w:numPr>
          <w:ilvl w:val="2"/>
          <w:numId w:val="930"/>
        </w:numPr>
        <w:tabs>
          <w:tab w:pos="1371" w:val="left" w:leader="none"/>
        </w:tabs>
        <w:spacing w:line="240" w:lineRule="auto" w:before="0" w:after="0"/>
        <w:ind w:left="1370" w:right="0" w:hanging="531"/>
        <w:jc w:val="left"/>
        <w:rPr>
          <w:sz w:val="21"/>
        </w:rPr>
      </w:pPr>
      <w:r>
        <w:rPr>
          <w:spacing w:val="-5"/>
          <w:sz w:val="21"/>
        </w:rPr>
        <w:t>站台和站厅公共区可划分为同一个防火分区，站厅公共区的建筑面积不宜大于 </w:t>
      </w:r>
      <w:r>
        <w:rPr>
          <w:sz w:val="21"/>
        </w:rPr>
        <w:t>5000m</w:t>
      </w:r>
    </w:p>
    <w:p>
      <w:pPr>
        <w:pStyle w:val="BodyText"/>
        <w:rPr>
          <w:sz w:val="18"/>
        </w:rPr>
      </w:pPr>
    </w:p>
    <w:p>
      <w:pPr>
        <w:pStyle w:val="BodyText"/>
        <w:ind w:left="418"/>
      </w:pPr>
      <w:r>
        <w:rPr/>
        <w:t>²。 </w:t>
      </w:r>
    </w:p>
    <w:p>
      <w:pPr>
        <w:pStyle w:val="BodyText"/>
        <w:spacing w:before="12"/>
        <w:rPr>
          <w:sz w:val="17"/>
        </w:rPr>
      </w:pPr>
    </w:p>
    <w:p>
      <w:pPr>
        <w:pStyle w:val="ListParagraph"/>
        <w:numPr>
          <w:ilvl w:val="2"/>
          <w:numId w:val="930"/>
        </w:numPr>
        <w:tabs>
          <w:tab w:pos="1371" w:val="left" w:leader="none"/>
        </w:tabs>
        <w:spacing w:line="446" w:lineRule="auto" w:before="1" w:after="0"/>
        <w:ind w:left="418" w:right="1558" w:firstLine="422"/>
        <w:jc w:val="both"/>
        <w:rPr>
          <w:sz w:val="21"/>
        </w:rPr>
      </w:pPr>
      <w:r>
        <w:rPr>
          <w:spacing w:val="-3"/>
          <w:sz w:val="21"/>
        </w:rPr>
        <w:t>站厅设备管理区应与站厅、站台公共区划分为不同的防火分区，设备管理区每个防 </w:t>
      </w:r>
      <w:r>
        <w:rPr>
          <w:spacing w:val="-5"/>
          <w:sz w:val="21"/>
        </w:rPr>
        <w:t>火分区的最大允许建筑面积不应大于 </w:t>
      </w:r>
      <w:r>
        <w:rPr>
          <w:sz w:val="21"/>
        </w:rPr>
        <w:t>1500m²</w:t>
      </w:r>
      <w:r>
        <w:rPr>
          <w:spacing w:val="-3"/>
          <w:sz w:val="21"/>
        </w:rPr>
        <w:t>。消防水泵房、污水和废水泵房、厕所、盥洗、茶水、清扫等房间的建筑面积可不计入所在防火分区的建筑面积。</w:t>
      </w:r>
      <w:r>
        <w:rPr>
          <w:sz w:val="21"/>
        </w:rPr>
        <w:t> </w:t>
      </w:r>
    </w:p>
    <w:p>
      <w:pPr>
        <w:pStyle w:val="ListParagraph"/>
        <w:numPr>
          <w:ilvl w:val="2"/>
          <w:numId w:val="930"/>
        </w:numPr>
        <w:tabs>
          <w:tab w:pos="1371" w:val="left" w:leader="none"/>
        </w:tabs>
        <w:spacing w:line="446" w:lineRule="auto" w:before="0" w:after="0"/>
        <w:ind w:left="418" w:right="1450" w:firstLine="422"/>
        <w:jc w:val="left"/>
        <w:rPr>
          <w:sz w:val="21"/>
        </w:rPr>
      </w:pPr>
      <w:r>
        <w:rPr>
          <w:spacing w:val="-3"/>
          <w:sz w:val="21"/>
        </w:rPr>
        <w:t>地下一层侧式站台与同层站厅公共区可划为同一个防火分区，但站台上任一点至车站</w:t>
      </w:r>
      <w:r>
        <w:rPr>
          <w:spacing w:val="-5"/>
          <w:sz w:val="21"/>
        </w:rPr>
        <w:t>直通地面的疏散通道口的最大距离不应大于 </w:t>
      </w:r>
      <w:r>
        <w:rPr>
          <w:sz w:val="21"/>
        </w:rPr>
        <w:t>50m</w:t>
      </w:r>
      <w:r>
        <w:rPr>
          <w:spacing w:val="-9"/>
          <w:sz w:val="21"/>
        </w:rPr>
        <w:t>；当大于 </w:t>
      </w:r>
      <w:r>
        <w:rPr>
          <w:sz w:val="21"/>
        </w:rPr>
        <w:t>50m</w:t>
      </w:r>
      <w:r>
        <w:rPr>
          <w:spacing w:val="-7"/>
          <w:sz w:val="21"/>
        </w:rPr>
        <w:t> 时，应在与同层站厅的邻接面处或站厅的适当位置采用耐火极限不低于 </w:t>
      </w:r>
      <w:r>
        <w:rPr>
          <w:sz w:val="21"/>
        </w:rPr>
        <w:t>2.00h</w:t>
      </w:r>
      <w:r>
        <w:rPr>
          <w:spacing w:val="-9"/>
          <w:sz w:val="21"/>
        </w:rPr>
        <w:t> 的防火隔墙等进行分隔。</w:t>
      </w:r>
      <w:r>
        <w:rPr>
          <w:sz w:val="21"/>
        </w:rPr>
        <w:t> </w:t>
      </w:r>
    </w:p>
    <w:p>
      <w:pPr>
        <w:pStyle w:val="ListParagraph"/>
        <w:numPr>
          <w:ilvl w:val="2"/>
          <w:numId w:val="930"/>
        </w:numPr>
        <w:tabs>
          <w:tab w:pos="1370" w:val="left" w:leader="none"/>
        </w:tabs>
        <w:spacing w:line="268" w:lineRule="exact" w:before="0" w:after="0"/>
        <w:ind w:left="1369" w:right="0" w:hanging="530"/>
        <w:jc w:val="left"/>
        <w:rPr>
          <w:sz w:val="21"/>
        </w:rPr>
      </w:pPr>
      <w:r>
        <w:rPr>
          <w:spacing w:val="-3"/>
          <w:sz w:val="21"/>
        </w:rPr>
        <w:t>上、下重叠平行站台的车站应符合下列规定： </w:t>
      </w:r>
    </w:p>
    <w:p>
      <w:pPr>
        <w:spacing w:after="0" w:line="268" w:lineRule="exact"/>
        <w:jc w:val="left"/>
        <w:rPr>
          <w:sz w:val="21"/>
        </w:rPr>
        <w:sectPr>
          <w:pgSz w:w="11910" w:h="16850"/>
          <w:pgMar w:header="0" w:footer="1239" w:top="1220" w:bottom="1420" w:left="1260" w:right="0"/>
        </w:sectPr>
      </w:pPr>
    </w:p>
    <w:p>
      <w:pPr>
        <w:pStyle w:val="BodyText"/>
        <w:spacing w:line="446" w:lineRule="auto" w:before="47"/>
        <w:ind w:left="418" w:right="1609" w:firstLine="419"/>
        <w:jc w:val="both"/>
      </w:pPr>
      <w:r>
        <w:rPr/>
        <w:t>下层站台穿越上层站台至站厅的楼梯或扶梯，应在上层站台的楼梯或扶梯开口部位设置耐火极限不低于 2.00h 的防火隔墙； </w:t>
      </w:r>
    </w:p>
    <w:p>
      <w:pPr>
        <w:pStyle w:val="BodyText"/>
        <w:spacing w:line="446" w:lineRule="auto"/>
        <w:ind w:left="418" w:right="1608" w:firstLine="419"/>
        <w:jc w:val="both"/>
      </w:pPr>
      <w:r>
        <w:rPr>
          <w:spacing w:val="-3"/>
        </w:rPr>
        <w:t>上、下层站台之间的联系楼梯或扶梯，除可在下层站台的楼梯或扶梯开口处人员上下通行</w:t>
      </w:r>
      <w:r>
        <w:rPr>
          <w:spacing w:val="-6"/>
        </w:rPr>
        <w:t>的部位采用耐火极限不低于 </w:t>
      </w:r>
      <w:r>
        <w:rPr/>
        <w:t>3.00h</w:t>
      </w:r>
      <w:r>
        <w:rPr>
          <w:spacing w:val="-7"/>
        </w:rPr>
        <w:t> 的防火卷帘等进行分隔外，其他部位应设置耐火极限不低于2.00h</w:t>
      </w:r>
      <w:r>
        <w:rPr>
          <w:spacing w:val="-10"/>
        </w:rPr>
        <w:t> 的防火隔墙。</w:t>
      </w:r>
      <w:r>
        <w:rPr/>
        <w:t> </w:t>
      </w:r>
    </w:p>
    <w:p>
      <w:pPr>
        <w:pStyle w:val="ListParagraph"/>
        <w:numPr>
          <w:ilvl w:val="2"/>
          <w:numId w:val="930"/>
        </w:numPr>
        <w:tabs>
          <w:tab w:pos="1370" w:val="left" w:leader="none"/>
        </w:tabs>
        <w:spacing w:line="446" w:lineRule="auto" w:before="0" w:after="0"/>
        <w:ind w:left="418" w:right="1606" w:firstLine="422"/>
        <w:jc w:val="both"/>
        <w:rPr>
          <w:sz w:val="21"/>
        </w:rPr>
      </w:pPr>
      <w:r>
        <w:rPr>
          <w:spacing w:val="-5"/>
          <w:sz w:val="21"/>
        </w:rPr>
        <w:t>多线同层站台平行换乘车站的各站台之间应设置耐火极限不低于 </w:t>
      </w:r>
      <w:r>
        <w:rPr>
          <w:sz w:val="21"/>
        </w:rPr>
        <w:t>2.00h</w:t>
      </w:r>
      <w:r>
        <w:rPr>
          <w:spacing w:val="-10"/>
          <w:sz w:val="21"/>
        </w:rPr>
        <w:t> 的纵向防火</w:t>
      </w:r>
      <w:r>
        <w:rPr>
          <w:spacing w:val="-8"/>
          <w:sz w:val="21"/>
        </w:rPr>
        <w:t>隔墙，该防火隔墙应延伸至站台有效长度外不小于 </w:t>
      </w:r>
      <w:r>
        <w:rPr>
          <w:sz w:val="21"/>
        </w:rPr>
        <w:t>10m</w:t>
      </w:r>
      <w:r>
        <w:rPr>
          <w:spacing w:val="-3"/>
          <w:sz w:val="21"/>
        </w:rPr>
        <w:t>。</w:t>
      </w:r>
      <w:r>
        <w:rPr>
          <w:sz w:val="21"/>
        </w:rPr>
        <w:t> </w:t>
      </w:r>
    </w:p>
    <w:p>
      <w:pPr>
        <w:pStyle w:val="ListParagraph"/>
        <w:numPr>
          <w:ilvl w:val="2"/>
          <w:numId w:val="930"/>
        </w:numPr>
        <w:tabs>
          <w:tab w:pos="1370" w:val="left" w:leader="none"/>
        </w:tabs>
        <w:spacing w:line="446" w:lineRule="auto" w:before="0" w:after="0"/>
        <w:ind w:left="418" w:right="1604" w:firstLine="422"/>
        <w:jc w:val="both"/>
        <w:rPr>
          <w:b/>
          <w:sz w:val="21"/>
        </w:rPr>
      </w:pPr>
      <w:r>
        <w:rPr>
          <w:spacing w:val="-3"/>
          <w:sz w:val="21"/>
        </w:rPr>
        <w:t>点式换乘车站站台之间的换乘通道和换乘梯，除可在下层站台的通道或楼梯或扶梯</w:t>
      </w:r>
      <w:r>
        <w:rPr>
          <w:spacing w:val="-5"/>
          <w:sz w:val="21"/>
        </w:rPr>
        <w:t>口处人员上下通行的部位采用耐火极限不低于 </w:t>
      </w:r>
      <w:r>
        <w:rPr>
          <w:sz w:val="21"/>
        </w:rPr>
        <w:t>3.00h</w:t>
      </w:r>
      <w:r>
        <w:rPr>
          <w:spacing w:val="-7"/>
          <w:sz w:val="21"/>
        </w:rPr>
        <w:t> 的防火卷帘等进行分隔外，其他部位应设</w:t>
      </w:r>
      <w:r>
        <w:rPr>
          <w:spacing w:val="-11"/>
          <w:sz w:val="21"/>
        </w:rPr>
        <w:t>置耐火极限不低于 </w:t>
      </w:r>
      <w:r>
        <w:rPr>
          <w:sz w:val="21"/>
        </w:rPr>
        <w:t>2.00h</w:t>
      </w:r>
      <w:r>
        <w:rPr>
          <w:spacing w:val="-10"/>
          <w:sz w:val="21"/>
        </w:rPr>
        <w:t> 的防火隔墙。</w:t>
      </w:r>
      <w:r>
        <w:rPr>
          <w:b/>
          <w:w w:val="99"/>
          <w:sz w:val="21"/>
        </w:rPr>
        <w:t> </w:t>
      </w:r>
    </w:p>
    <w:p>
      <w:pPr>
        <w:pStyle w:val="ListParagraph"/>
        <w:numPr>
          <w:ilvl w:val="2"/>
          <w:numId w:val="930"/>
        </w:numPr>
        <w:tabs>
          <w:tab w:pos="1370" w:val="left" w:leader="none"/>
        </w:tabs>
        <w:spacing w:line="446" w:lineRule="auto" w:before="0" w:after="0"/>
        <w:ind w:left="418" w:right="1508" w:firstLine="422"/>
        <w:jc w:val="both"/>
        <w:rPr>
          <w:sz w:val="21"/>
        </w:rPr>
      </w:pPr>
      <w:r>
        <w:rPr>
          <w:spacing w:val="-3"/>
          <w:sz w:val="21"/>
        </w:rPr>
        <w:t>侧式站台与同层站厅换乘车站，除可在站台连接同层站厅的通道口部位采用耐火极限</w:t>
      </w:r>
      <w:r>
        <w:rPr>
          <w:spacing w:val="-14"/>
          <w:sz w:val="21"/>
        </w:rPr>
        <w:t>不低于 </w:t>
      </w:r>
      <w:r>
        <w:rPr>
          <w:sz w:val="21"/>
        </w:rPr>
        <w:t>3.00h</w:t>
      </w:r>
      <w:r>
        <w:rPr>
          <w:spacing w:val="-11"/>
          <w:sz w:val="21"/>
        </w:rPr>
        <w:t> 的防火卷帘等进行分隔外，其他部位应设置耐火极限不低于 </w:t>
      </w:r>
      <w:r>
        <w:rPr>
          <w:sz w:val="21"/>
        </w:rPr>
        <w:t>3.00h</w:t>
      </w:r>
      <w:r>
        <w:rPr>
          <w:spacing w:val="-11"/>
          <w:sz w:val="21"/>
        </w:rPr>
        <w:t> 的防火墙。</w:t>
      </w:r>
      <w:r>
        <w:rPr>
          <w:sz w:val="21"/>
        </w:rPr>
        <w:t> </w:t>
      </w:r>
    </w:p>
    <w:p>
      <w:pPr>
        <w:pStyle w:val="ListParagraph"/>
        <w:numPr>
          <w:ilvl w:val="2"/>
          <w:numId w:val="930"/>
        </w:numPr>
        <w:tabs>
          <w:tab w:pos="1371" w:val="left" w:leader="none"/>
        </w:tabs>
        <w:spacing w:line="446" w:lineRule="auto" w:before="0" w:after="0"/>
        <w:ind w:left="418" w:right="1604" w:firstLine="422"/>
        <w:jc w:val="both"/>
        <w:rPr>
          <w:sz w:val="21"/>
        </w:rPr>
      </w:pPr>
      <w:r>
        <w:rPr>
          <w:spacing w:val="-5"/>
          <w:sz w:val="21"/>
        </w:rPr>
        <w:t>通道换乘车站的站间换乘通道两侧应设置耐火极限不低于 </w:t>
      </w:r>
      <w:r>
        <w:rPr>
          <w:sz w:val="21"/>
        </w:rPr>
        <w:t>2.00h</w:t>
      </w:r>
      <w:r>
        <w:rPr>
          <w:spacing w:val="-8"/>
          <w:sz w:val="21"/>
        </w:rPr>
        <w:t> 的防火隔墙，通道</w:t>
      </w:r>
      <w:r>
        <w:rPr>
          <w:spacing w:val="-16"/>
          <w:sz w:val="21"/>
        </w:rPr>
        <w:t>内应采用 </w:t>
      </w:r>
      <w:r>
        <w:rPr>
          <w:sz w:val="21"/>
        </w:rPr>
        <w:t>2</w:t>
      </w:r>
      <w:r>
        <w:rPr>
          <w:spacing w:val="-13"/>
          <w:sz w:val="21"/>
        </w:rPr>
        <w:t> 道耐火极限均不低于 </w:t>
      </w:r>
      <w:r>
        <w:rPr>
          <w:sz w:val="21"/>
        </w:rPr>
        <w:t>3.00h</w:t>
      </w:r>
      <w:r>
        <w:rPr>
          <w:spacing w:val="-9"/>
          <w:sz w:val="21"/>
        </w:rPr>
        <w:t> 的防火卷帘等进行分隔。</w:t>
      </w:r>
      <w:r>
        <w:rPr>
          <w:sz w:val="21"/>
        </w:rPr>
        <w:t> </w:t>
      </w:r>
    </w:p>
    <w:p>
      <w:pPr>
        <w:pStyle w:val="ListParagraph"/>
        <w:numPr>
          <w:ilvl w:val="2"/>
          <w:numId w:val="930"/>
        </w:numPr>
        <w:tabs>
          <w:tab w:pos="1371" w:val="left" w:leader="none"/>
        </w:tabs>
        <w:spacing w:line="446" w:lineRule="auto" w:before="0" w:after="0"/>
        <w:ind w:left="418" w:right="1604" w:firstLine="422"/>
        <w:jc w:val="left"/>
        <w:rPr>
          <w:sz w:val="21"/>
        </w:rPr>
      </w:pPr>
      <w:r>
        <w:rPr>
          <w:spacing w:val="-3"/>
          <w:sz w:val="21"/>
        </w:rPr>
        <w:t>站厅层位于站台层下方时，除可在站厅至站台的楼梯或扶梯开口处人员上下通行的</w:t>
      </w:r>
      <w:r>
        <w:rPr>
          <w:spacing w:val="-7"/>
          <w:sz w:val="21"/>
        </w:rPr>
        <w:t>部位采用耐火极限不低于 </w:t>
      </w:r>
      <w:r>
        <w:rPr>
          <w:sz w:val="21"/>
        </w:rPr>
        <w:t>3.00h</w:t>
      </w:r>
      <w:r>
        <w:rPr>
          <w:spacing w:val="-8"/>
          <w:sz w:val="21"/>
        </w:rPr>
        <w:t> 的防火卷帘等进行分隔外，其他部位应设置耐火极限不低于2.00h</w:t>
      </w:r>
      <w:r>
        <w:rPr>
          <w:spacing w:val="-10"/>
          <w:sz w:val="21"/>
        </w:rPr>
        <w:t> 的防火隔墙。</w:t>
      </w:r>
      <w:r>
        <w:rPr>
          <w:sz w:val="21"/>
        </w:rPr>
        <w:t> </w:t>
      </w:r>
    </w:p>
    <w:p>
      <w:pPr>
        <w:pStyle w:val="ListParagraph"/>
        <w:numPr>
          <w:ilvl w:val="2"/>
          <w:numId w:val="930"/>
        </w:numPr>
        <w:tabs>
          <w:tab w:pos="1478" w:val="left" w:leader="none"/>
        </w:tabs>
        <w:spacing w:line="446" w:lineRule="auto" w:before="0" w:after="0"/>
        <w:ind w:left="418" w:right="1498" w:firstLine="422"/>
        <w:jc w:val="left"/>
        <w:rPr>
          <w:sz w:val="21"/>
        </w:rPr>
      </w:pPr>
      <w:r>
        <w:rPr>
          <w:spacing w:val="-3"/>
          <w:sz w:val="21"/>
        </w:rPr>
        <w:t>在站厅层与站台层之间设置地铁设备层时，站台至站厅的楼梯或扶梯穿越设备层的部位周围应设置无门窗洞口的防火墙。</w:t>
      </w:r>
      <w:r>
        <w:rPr>
          <w:sz w:val="21"/>
        </w:rPr>
        <w:t> </w:t>
      </w:r>
    </w:p>
    <w:p>
      <w:pPr>
        <w:pStyle w:val="ListParagraph"/>
        <w:numPr>
          <w:ilvl w:val="2"/>
          <w:numId w:val="930"/>
        </w:numPr>
        <w:tabs>
          <w:tab w:pos="1478" w:val="left" w:leader="none"/>
        </w:tabs>
        <w:spacing w:line="446" w:lineRule="auto" w:before="0" w:after="0"/>
        <w:ind w:left="418" w:right="1705" w:firstLine="422"/>
        <w:jc w:val="left"/>
        <w:rPr>
          <w:b/>
          <w:sz w:val="21"/>
        </w:rPr>
      </w:pPr>
      <w:r>
        <w:rPr>
          <w:spacing w:val="-3"/>
          <w:sz w:val="21"/>
        </w:rPr>
        <w:t>站台与站厅公共区之间除上下楼梯或扶梯的开口外，不应设置其他上下连通的开口。</w:t>
      </w:r>
      <w:r>
        <w:rPr>
          <w:b/>
          <w:w w:val="99"/>
          <w:sz w:val="21"/>
        </w:rPr>
        <w:t> </w:t>
      </w:r>
    </w:p>
    <w:p>
      <w:pPr>
        <w:pStyle w:val="ListParagraph"/>
        <w:numPr>
          <w:ilvl w:val="1"/>
          <w:numId w:val="931"/>
        </w:numPr>
        <w:tabs>
          <w:tab w:pos="1159" w:val="left" w:leader="none"/>
        </w:tabs>
        <w:spacing w:line="240" w:lineRule="auto" w:before="0" w:after="0"/>
        <w:ind w:left="1158" w:right="0" w:hanging="319"/>
        <w:jc w:val="left"/>
        <w:rPr>
          <w:b/>
          <w:sz w:val="21"/>
        </w:rPr>
      </w:pPr>
      <w:r>
        <w:rPr>
          <w:spacing w:val="-3"/>
          <w:sz w:val="21"/>
        </w:rPr>
        <w:t>地上车站</w:t>
      </w:r>
      <w:r>
        <w:rPr>
          <w:b/>
          <w:w w:val="99"/>
          <w:sz w:val="21"/>
        </w:rPr>
        <w:t> </w:t>
      </w:r>
    </w:p>
    <w:p>
      <w:pPr>
        <w:pStyle w:val="BodyText"/>
        <w:spacing w:before="5"/>
        <w:rPr>
          <w:b/>
          <w:sz w:val="17"/>
        </w:rPr>
      </w:pPr>
    </w:p>
    <w:p>
      <w:pPr>
        <w:pStyle w:val="ListParagraph"/>
        <w:numPr>
          <w:ilvl w:val="2"/>
          <w:numId w:val="931"/>
        </w:numPr>
        <w:tabs>
          <w:tab w:pos="1370" w:val="left" w:leader="none"/>
        </w:tabs>
        <w:spacing w:line="240" w:lineRule="auto" w:before="0" w:after="0"/>
        <w:ind w:left="1369" w:right="0" w:hanging="530"/>
        <w:jc w:val="both"/>
        <w:rPr>
          <w:sz w:val="21"/>
        </w:rPr>
      </w:pPr>
      <w:r>
        <w:rPr>
          <w:spacing w:val="-5"/>
          <w:sz w:val="21"/>
        </w:rPr>
        <w:t>站厅公共区每个防火分区的最大允许建筑面积不宜大于 </w:t>
      </w:r>
      <w:r>
        <w:rPr>
          <w:sz w:val="21"/>
        </w:rPr>
        <w:t>5000m²</w:t>
      </w:r>
      <w:r>
        <w:rPr>
          <w:spacing w:val="-3"/>
          <w:sz w:val="21"/>
        </w:rPr>
        <w:t>。</w:t>
      </w:r>
      <w:r>
        <w:rPr>
          <w:sz w:val="21"/>
        </w:rPr>
        <w:t> </w:t>
      </w:r>
    </w:p>
    <w:p>
      <w:pPr>
        <w:pStyle w:val="BodyText"/>
        <w:spacing w:before="12"/>
        <w:rPr>
          <w:sz w:val="17"/>
        </w:rPr>
      </w:pPr>
    </w:p>
    <w:p>
      <w:pPr>
        <w:pStyle w:val="ListParagraph"/>
        <w:numPr>
          <w:ilvl w:val="2"/>
          <w:numId w:val="931"/>
        </w:numPr>
        <w:tabs>
          <w:tab w:pos="1370" w:val="left" w:leader="none"/>
        </w:tabs>
        <w:spacing w:line="446" w:lineRule="auto" w:before="0" w:after="0"/>
        <w:ind w:left="418" w:right="1558" w:firstLine="422"/>
        <w:jc w:val="both"/>
        <w:rPr>
          <w:sz w:val="21"/>
        </w:rPr>
      </w:pPr>
      <w:r>
        <w:rPr>
          <w:spacing w:val="-3"/>
          <w:sz w:val="21"/>
        </w:rPr>
        <w:t>站厅设备管理区应与站台、站厅公共区划分为不同的防火分区，设备管理区每个防 </w:t>
      </w:r>
      <w:r>
        <w:rPr>
          <w:spacing w:val="-6"/>
          <w:sz w:val="21"/>
        </w:rPr>
        <w:t>火分区的最大允许建筑面积不应大于 </w:t>
      </w:r>
      <w:r>
        <w:rPr>
          <w:sz w:val="21"/>
        </w:rPr>
        <w:t>2500m²</w:t>
      </w:r>
      <w:r>
        <w:rPr>
          <w:spacing w:val="-7"/>
          <w:sz w:val="21"/>
        </w:rPr>
        <w:t>；对于建筑高度大于 </w:t>
      </w:r>
      <w:r>
        <w:rPr>
          <w:sz w:val="21"/>
        </w:rPr>
        <w:t>24m</w:t>
      </w:r>
      <w:r>
        <w:rPr>
          <w:spacing w:val="-8"/>
          <w:sz w:val="21"/>
        </w:rPr>
        <w:t> 的高架车站，其设备管理区每个防火分区的最大允许建筑面积不应大于 </w:t>
      </w:r>
      <w:r>
        <w:rPr>
          <w:sz w:val="21"/>
        </w:rPr>
        <w:t>1500m²</w:t>
      </w:r>
      <w:r>
        <w:rPr>
          <w:spacing w:val="-3"/>
          <w:sz w:val="21"/>
        </w:rPr>
        <w:t>。</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931"/>
        </w:numPr>
        <w:tabs>
          <w:tab w:pos="1370" w:val="left" w:leader="none"/>
        </w:tabs>
        <w:spacing w:line="446" w:lineRule="auto" w:before="47" w:after="0"/>
        <w:ind w:left="418" w:right="1604" w:firstLine="422"/>
        <w:jc w:val="both"/>
        <w:rPr>
          <w:sz w:val="21"/>
        </w:rPr>
      </w:pPr>
      <w:r>
        <w:rPr>
          <w:spacing w:val="-3"/>
          <w:sz w:val="21"/>
        </w:rPr>
        <w:t>站厅位于站台上方且站台层不具备自然排烟条件时，除可在站台至站厅的楼梯或扶</w:t>
      </w:r>
      <w:r>
        <w:rPr>
          <w:spacing w:val="-5"/>
          <w:sz w:val="21"/>
        </w:rPr>
        <w:t>梯开口处人员上下通行的部位采用耐火极限不低于 </w:t>
      </w:r>
      <w:r>
        <w:rPr>
          <w:sz w:val="21"/>
        </w:rPr>
        <w:t>3.00h</w:t>
      </w:r>
      <w:r>
        <w:rPr>
          <w:spacing w:val="-7"/>
          <w:sz w:val="21"/>
        </w:rPr>
        <w:t> 的防火卷帘等进行分隔外，其他部位</w:t>
      </w:r>
      <w:r>
        <w:rPr>
          <w:spacing w:val="-10"/>
          <w:sz w:val="21"/>
        </w:rPr>
        <w:t>应设置耐火极限不低于 </w:t>
      </w:r>
      <w:r>
        <w:rPr>
          <w:sz w:val="21"/>
        </w:rPr>
        <w:t>2.00h</w:t>
      </w:r>
      <w:r>
        <w:rPr>
          <w:spacing w:val="-10"/>
          <w:sz w:val="21"/>
        </w:rPr>
        <w:t> 的防火隔墙。</w:t>
      </w:r>
      <w:r>
        <w:rPr>
          <w:sz w:val="21"/>
        </w:rPr>
        <w:t> </w:t>
      </w:r>
    </w:p>
    <w:p>
      <w:pPr>
        <w:pStyle w:val="ListParagraph"/>
        <w:numPr>
          <w:ilvl w:val="1"/>
          <w:numId w:val="931"/>
        </w:numPr>
        <w:tabs>
          <w:tab w:pos="1159" w:val="left" w:leader="none"/>
        </w:tabs>
        <w:spacing w:line="268" w:lineRule="exact" w:before="0" w:after="0"/>
        <w:ind w:left="1158" w:right="0" w:hanging="319"/>
        <w:jc w:val="left"/>
        <w:rPr>
          <w:b/>
          <w:sz w:val="21"/>
        </w:rPr>
      </w:pPr>
      <w:r>
        <w:rPr>
          <w:spacing w:val="-3"/>
          <w:sz w:val="21"/>
        </w:rPr>
        <w:t>控制中心与主变电所</w:t>
      </w:r>
      <w:r>
        <w:rPr>
          <w:b/>
          <w:w w:val="99"/>
          <w:sz w:val="21"/>
        </w:rPr>
        <w:t> </w:t>
      </w:r>
    </w:p>
    <w:p>
      <w:pPr>
        <w:pStyle w:val="BodyText"/>
        <w:rPr>
          <w:b/>
          <w:sz w:val="18"/>
        </w:rPr>
      </w:pPr>
    </w:p>
    <w:p>
      <w:pPr>
        <w:pStyle w:val="ListParagraph"/>
        <w:numPr>
          <w:ilvl w:val="2"/>
          <w:numId w:val="931"/>
        </w:numPr>
        <w:tabs>
          <w:tab w:pos="1371" w:val="left" w:leader="none"/>
        </w:tabs>
        <w:spacing w:line="446" w:lineRule="auto" w:before="0" w:after="0"/>
        <w:ind w:left="418" w:right="1604" w:firstLine="422"/>
        <w:jc w:val="left"/>
        <w:rPr>
          <w:sz w:val="21"/>
        </w:rPr>
      </w:pPr>
      <w:r>
        <w:rPr>
          <w:spacing w:val="-3"/>
          <w:sz w:val="21"/>
        </w:rPr>
        <w:t>中央控制室应远离电源室、隔离变室、高压配电室等火灾危险性大的房间，中央控制室内不得穿越与指挥调度无关的管线。</w:t>
      </w:r>
      <w:r>
        <w:rPr>
          <w:sz w:val="21"/>
        </w:rPr>
        <w:t> </w:t>
      </w:r>
    </w:p>
    <w:p>
      <w:pPr>
        <w:pStyle w:val="ListParagraph"/>
        <w:numPr>
          <w:ilvl w:val="2"/>
          <w:numId w:val="931"/>
        </w:numPr>
        <w:tabs>
          <w:tab w:pos="1371" w:val="left" w:leader="none"/>
        </w:tabs>
        <w:spacing w:line="240" w:lineRule="auto" w:before="0" w:after="0"/>
        <w:ind w:left="1370" w:right="0" w:hanging="531"/>
        <w:jc w:val="left"/>
        <w:rPr>
          <w:sz w:val="21"/>
        </w:rPr>
      </w:pPr>
      <w:r>
        <w:rPr>
          <w:spacing w:val="-3"/>
          <w:sz w:val="21"/>
        </w:rPr>
        <w:t>设置在应急指挥室与中央控制室之间的观察窗，应采用甲级防火玻璃窗。 </w:t>
      </w:r>
    </w:p>
    <w:p>
      <w:pPr>
        <w:pStyle w:val="BodyText"/>
        <w:rPr>
          <w:sz w:val="18"/>
        </w:rPr>
      </w:pPr>
    </w:p>
    <w:p>
      <w:pPr>
        <w:pStyle w:val="ListParagraph"/>
        <w:numPr>
          <w:ilvl w:val="2"/>
          <w:numId w:val="931"/>
        </w:numPr>
        <w:tabs>
          <w:tab w:pos="1371" w:val="left" w:leader="none"/>
        </w:tabs>
        <w:spacing w:line="446" w:lineRule="auto" w:before="0" w:after="0"/>
        <w:ind w:left="418" w:right="1604" w:firstLine="422"/>
        <w:jc w:val="left"/>
        <w:rPr>
          <w:sz w:val="21"/>
        </w:rPr>
      </w:pPr>
      <w:r>
        <w:rPr>
          <w:spacing w:val="-5"/>
          <w:sz w:val="21"/>
        </w:rPr>
        <w:t>控制中心的设备用房宜集中布置，并应采用耐火极限不低于 </w:t>
      </w:r>
      <w:r>
        <w:rPr>
          <w:sz w:val="21"/>
        </w:rPr>
        <w:t>2.00h</w:t>
      </w:r>
      <w:r>
        <w:rPr>
          <w:spacing w:val="-8"/>
          <w:sz w:val="21"/>
        </w:rPr>
        <w:t> 的防火隔墙和耐</w:t>
      </w:r>
      <w:r>
        <w:rPr>
          <w:spacing w:val="-12"/>
          <w:sz w:val="21"/>
        </w:rPr>
        <w:t>火极限不低于 </w:t>
      </w:r>
      <w:r>
        <w:rPr>
          <w:sz w:val="21"/>
        </w:rPr>
        <w:t>1.50h</w:t>
      </w:r>
      <w:r>
        <w:rPr>
          <w:spacing w:val="-9"/>
          <w:sz w:val="21"/>
        </w:rPr>
        <w:t> 的楼板与其他部位进行分隔。</w:t>
      </w:r>
      <w:r>
        <w:rPr>
          <w:sz w:val="21"/>
        </w:rPr>
        <w:t> </w:t>
      </w:r>
    </w:p>
    <w:p>
      <w:pPr>
        <w:pStyle w:val="ListParagraph"/>
        <w:numPr>
          <w:ilvl w:val="2"/>
          <w:numId w:val="931"/>
        </w:numPr>
        <w:tabs>
          <w:tab w:pos="1371" w:val="left" w:leader="none"/>
        </w:tabs>
        <w:spacing w:line="446" w:lineRule="auto" w:before="0" w:after="0"/>
        <w:ind w:left="418" w:right="1604" w:firstLine="422"/>
        <w:jc w:val="left"/>
        <w:rPr>
          <w:sz w:val="21"/>
        </w:rPr>
      </w:pPr>
      <w:r>
        <w:rPr>
          <w:spacing w:val="-3"/>
          <w:sz w:val="21"/>
        </w:rPr>
        <w:t>除直接开向室外的门外，变压器室、补偿装置室、蓄电池室、电缆夹层、配电装置室的门以及配电装置室中间隔墙上的门均应采用甲级防火门。</w:t>
      </w:r>
      <w:r>
        <w:rPr>
          <w:sz w:val="21"/>
        </w:rPr>
        <w:t> </w:t>
      </w:r>
    </w:p>
    <w:p>
      <w:pPr>
        <w:pStyle w:val="ListParagraph"/>
        <w:numPr>
          <w:ilvl w:val="2"/>
          <w:numId w:val="931"/>
        </w:numPr>
        <w:tabs>
          <w:tab w:pos="1371" w:val="left" w:leader="none"/>
        </w:tabs>
        <w:spacing w:line="267" w:lineRule="exact" w:before="0" w:after="0"/>
        <w:ind w:left="1370" w:right="0" w:hanging="531"/>
        <w:jc w:val="left"/>
        <w:rPr>
          <w:sz w:val="21"/>
        </w:rPr>
      </w:pPr>
      <w:r>
        <w:rPr>
          <w:spacing w:val="-3"/>
          <w:sz w:val="21"/>
        </w:rPr>
        <w:t>主变电所的消防控制设备应设置在主变电所有人值守的控制室内。</w:t>
      </w:r>
      <w:r>
        <w:rPr>
          <w:sz w:val="21"/>
        </w:rPr>
        <w:t> </w:t>
      </w:r>
    </w:p>
    <w:p>
      <w:pPr>
        <w:pStyle w:val="BodyText"/>
        <w:spacing w:before="1"/>
        <w:rPr>
          <w:sz w:val="18"/>
        </w:rPr>
      </w:pPr>
    </w:p>
    <w:p>
      <w:pPr>
        <w:pStyle w:val="ListParagraph"/>
        <w:numPr>
          <w:ilvl w:val="1"/>
          <w:numId w:val="931"/>
        </w:numPr>
        <w:tabs>
          <w:tab w:pos="1159" w:val="left" w:leader="none"/>
        </w:tabs>
        <w:spacing w:line="240" w:lineRule="auto" w:before="1" w:after="0"/>
        <w:ind w:left="1158" w:right="0" w:hanging="319"/>
        <w:jc w:val="left"/>
        <w:rPr>
          <w:sz w:val="21"/>
        </w:rPr>
      </w:pPr>
      <w:r>
        <w:rPr>
          <w:spacing w:val="-3"/>
          <w:sz w:val="21"/>
        </w:rPr>
        <w:t>车辆基地</w:t>
      </w:r>
      <w:r>
        <w:rPr>
          <w:sz w:val="21"/>
        </w:rPr>
        <w:t> </w:t>
      </w:r>
    </w:p>
    <w:p>
      <w:pPr>
        <w:pStyle w:val="BodyText"/>
        <w:spacing w:before="12"/>
        <w:rPr>
          <w:sz w:val="17"/>
        </w:rPr>
      </w:pPr>
    </w:p>
    <w:p>
      <w:pPr>
        <w:pStyle w:val="ListParagraph"/>
        <w:numPr>
          <w:ilvl w:val="2"/>
          <w:numId w:val="931"/>
        </w:numPr>
        <w:tabs>
          <w:tab w:pos="1370" w:val="left" w:leader="none"/>
        </w:tabs>
        <w:spacing w:line="240" w:lineRule="auto" w:before="0" w:after="0"/>
        <w:ind w:left="1369" w:right="0" w:hanging="530"/>
        <w:jc w:val="left"/>
        <w:rPr>
          <w:sz w:val="21"/>
        </w:rPr>
      </w:pPr>
      <w:r>
        <w:rPr>
          <w:spacing w:val="-3"/>
          <w:sz w:val="21"/>
        </w:rPr>
        <w:t>油漆库及其预处理库宜独立建造，且应符合下列规定：</w:t>
      </w:r>
      <w:r>
        <w:rPr>
          <w:sz w:val="21"/>
        </w:rPr>
        <w:t> </w:t>
      </w:r>
    </w:p>
    <w:p>
      <w:pPr>
        <w:pStyle w:val="BodyText"/>
        <w:rPr>
          <w:sz w:val="18"/>
        </w:rPr>
      </w:pPr>
    </w:p>
    <w:p>
      <w:pPr>
        <w:pStyle w:val="BodyText"/>
        <w:ind w:left="838"/>
      </w:pPr>
      <w:r>
        <w:rPr/>
        <w:t>油漆存放间、漆工间、干燥间等房间应采用防火墙和甲级防火门与其他部位分隔； </w:t>
      </w:r>
    </w:p>
    <w:p>
      <w:pPr>
        <w:pStyle w:val="BodyText"/>
        <w:spacing w:before="2"/>
        <w:rPr>
          <w:sz w:val="18"/>
        </w:rPr>
      </w:pPr>
    </w:p>
    <w:p>
      <w:pPr>
        <w:pStyle w:val="BodyText"/>
        <w:spacing w:line="446" w:lineRule="auto"/>
        <w:ind w:left="838" w:right="1714"/>
      </w:pPr>
      <w:r>
        <w:rPr>
          <w:spacing w:val="-3"/>
        </w:rPr>
        <w:t>油漆库及其预处理库的屋顶或门、窗的泄压面积应符合要求，应采用不发火花的地面； 油漆库及其预处理库内不应设办公室、休息室或更衣室等用房；</w:t>
      </w:r>
      <w:r>
        <w:rPr/>
        <w:t> </w:t>
      </w:r>
    </w:p>
    <w:p>
      <w:pPr>
        <w:pStyle w:val="BodyText"/>
        <w:spacing w:line="267" w:lineRule="exact"/>
        <w:ind w:left="838"/>
      </w:pPr>
      <w:r>
        <w:rPr>
          <w:spacing w:val="-3"/>
        </w:rPr>
        <w:t>油漆库及其预处理库中的设备坑内应采取降低气雾浓度的措施；</w:t>
      </w:r>
      <w:r>
        <w:rPr/>
        <w:t> </w:t>
      </w:r>
    </w:p>
    <w:p>
      <w:pPr>
        <w:pStyle w:val="BodyText"/>
        <w:spacing w:before="1"/>
        <w:rPr>
          <w:sz w:val="18"/>
        </w:rPr>
      </w:pPr>
    </w:p>
    <w:p>
      <w:pPr>
        <w:pStyle w:val="BodyText"/>
        <w:spacing w:line="446" w:lineRule="auto" w:before="1"/>
        <w:ind w:left="418" w:right="1609" w:firstLine="419"/>
      </w:pPr>
      <w:r>
        <w:rPr/>
        <w:t>当油漆库与联合检修库合建时，应布置在联合检修库外墙一侧，并应采用无门窗洞口的防火墙与联合检修库分隔。 </w:t>
      </w:r>
    </w:p>
    <w:p>
      <w:pPr>
        <w:pStyle w:val="ListParagraph"/>
        <w:numPr>
          <w:ilvl w:val="2"/>
          <w:numId w:val="931"/>
        </w:numPr>
        <w:tabs>
          <w:tab w:pos="1371" w:val="left" w:leader="none"/>
        </w:tabs>
        <w:spacing w:line="446" w:lineRule="auto" w:before="0" w:after="0"/>
        <w:ind w:left="418" w:right="1604" w:firstLine="422"/>
        <w:jc w:val="both"/>
        <w:rPr>
          <w:sz w:val="21"/>
        </w:rPr>
      </w:pPr>
      <w:r>
        <w:rPr>
          <w:spacing w:val="-3"/>
          <w:sz w:val="21"/>
        </w:rPr>
        <w:t>酸性蓄电池充电间宜独立建造，不应与值班室或其他经常有人的场所相邻布置；当与其他建筑合建时，应靠外墙单层设置，并应采用防火墙与其他部位隔开，当防火墙上必须设置门、窗时，应采用甲级防火门、窗。</w:t>
      </w:r>
      <w:r>
        <w:rPr>
          <w:sz w:val="21"/>
        </w:rPr>
        <w:t> </w:t>
      </w:r>
    </w:p>
    <w:p>
      <w:pPr>
        <w:pStyle w:val="ListParagraph"/>
        <w:numPr>
          <w:ilvl w:val="2"/>
          <w:numId w:val="931"/>
        </w:numPr>
        <w:tabs>
          <w:tab w:pos="1370" w:val="left" w:leader="none"/>
        </w:tabs>
        <w:spacing w:line="268" w:lineRule="exact" w:before="0" w:after="0"/>
        <w:ind w:left="1369" w:right="0" w:hanging="530"/>
        <w:jc w:val="left"/>
        <w:rPr>
          <w:sz w:val="21"/>
        </w:rPr>
      </w:pPr>
      <w:r>
        <w:rPr>
          <w:spacing w:val="-3"/>
          <w:sz w:val="21"/>
        </w:rPr>
        <w:t>运用库内的运转办公区宜单独划分防火分区。 </w:t>
      </w:r>
    </w:p>
    <w:p>
      <w:pPr>
        <w:pStyle w:val="BodyText"/>
        <w:spacing w:before="12"/>
        <w:rPr>
          <w:sz w:val="17"/>
        </w:rPr>
      </w:pPr>
    </w:p>
    <w:p>
      <w:pPr>
        <w:pStyle w:val="ListParagraph"/>
        <w:numPr>
          <w:ilvl w:val="2"/>
          <w:numId w:val="931"/>
        </w:numPr>
        <w:tabs>
          <w:tab w:pos="1370" w:val="left" w:leader="none"/>
        </w:tabs>
        <w:spacing w:line="446" w:lineRule="auto" w:before="0" w:after="0"/>
        <w:ind w:left="418" w:right="1558" w:firstLine="422"/>
        <w:jc w:val="both"/>
        <w:rPr>
          <w:sz w:val="21"/>
        </w:rPr>
      </w:pPr>
      <w:r>
        <w:rPr>
          <w:spacing w:val="-3"/>
          <w:sz w:val="21"/>
        </w:rPr>
        <w:t>地下停车库、列检库、停车列检库、运用库和联合检修库等场所应单独划分防火分 </w:t>
      </w:r>
      <w:r>
        <w:rPr>
          <w:spacing w:val="-4"/>
          <w:sz w:val="21"/>
        </w:rPr>
        <w:t>区，每个防火分区的最大允许建筑面积不应大于 </w:t>
      </w:r>
      <w:r>
        <w:rPr>
          <w:sz w:val="21"/>
        </w:rPr>
        <w:t>6000m²</w:t>
      </w:r>
      <w:r>
        <w:rPr>
          <w:spacing w:val="-3"/>
          <w:sz w:val="21"/>
        </w:rPr>
        <w:t>；当设置自动灭火系统时，每个防火分区的最大允许建筑面积不限。</w:t>
      </w:r>
      <w:r>
        <w:rPr>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931"/>
        </w:numPr>
        <w:tabs>
          <w:tab w:pos="1370" w:val="left" w:leader="none"/>
        </w:tabs>
        <w:spacing w:line="446" w:lineRule="auto" w:before="47" w:after="0"/>
        <w:ind w:left="418" w:right="1604" w:firstLine="422"/>
        <w:jc w:val="left"/>
        <w:rPr>
          <w:sz w:val="21"/>
        </w:rPr>
      </w:pPr>
      <w:r>
        <w:rPr>
          <w:spacing w:val="-3"/>
          <w:sz w:val="21"/>
        </w:rPr>
        <w:t>地上停车库、列检库、停车列检库、运用库和联合检修库等场所的防火分区划分应符合现行国家标准《建筑设计防火规范》</w:t>
      </w:r>
      <w:r>
        <w:rPr>
          <w:sz w:val="21"/>
        </w:rPr>
        <w:t>GB</w:t>
      </w:r>
      <w:r>
        <w:rPr>
          <w:spacing w:val="1"/>
          <w:sz w:val="21"/>
        </w:rPr>
        <w:t> </w:t>
      </w:r>
      <w:r>
        <w:rPr>
          <w:sz w:val="21"/>
        </w:rPr>
        <w:t>50016</w:t>
      </w:r>
      <w:r>
        <w:rPr>
          <w:spacing w:val="-13"/>
          <w:sz w:val="21"/>
        </w:rPr>
        <w:t> 的规定。</w:t>
      </w:r>
      <w:r>
        <w:rPr>
          <w:sz w:val="21"/>
        </w:rPr>
        <w:t> </w:t>
      </w:r>
    </w:p>
    <w:p>
      <w:pPr>
        <w:pStyle w:val="Heading4"/>
        <w:spacing w:line="275" w:lineRule="exact"/>
      </w:pPr>
      <w:r>
        <w:rPr/>
        <w:t>5 安全疏散</w:t>
      </w:r>
      <w:r>
        <w:rPr>
          <w:w w:val="99"/>
        </w:rPr>
        <w:t> </w:t>
      </w:r>
    </w:p>
    <w:p>
      <w:pPr>
        <w:pStyle w:val="BodyText"/>
        <w:spacing w:before="6"/>
        <w:rPr>
          <w:b/>
          <w:sz w:val="17"/>
        </w:rPr>
      </w:pPr>
    </w:p>
    <w:p>
      <w:pPr>
        <w:pStyle w:val="ListParagraph"/>
        <w:numPr>
          <w:ilvl w:val="1"/>
          <w:numId w:val="932"/>
        </w:numPr>
        <w:tabs>
          <w:tab w:pos="1159" w:val="left" w:leader="none"/>
        </w:tabs>
        <w:spacing w:line="240" w:lineRule="auto" w:before="1" w:after="0"/>
        <w:ind w:left="1158" w:right="0" w:hanging="319"/>
        <w:jc w:val="left"/>
        <w:rPr>
          <w:sz w:val="21"/>
        </w:rPr>
      </w:pPr>
      <w:r>
        <w:rPr>
          <w:spacing w:val="-3"/>
          <w:sz w:val="21"/>
        </w:rPr>
        <w:t>一般规定</w:t>
      </w:r>
      <w:r>
        <w:rPr>
          <w:sz w:val="21"/>
        </w:rPr>
        <w:t> </w:t>
      </w:r>
    </w:p>
    <w:p>
      <w:pPr>
        <w:pStyle w:val="BodyText"/>
        <w:spacing w:before="12"/>
        <w:rPr>
          <w:sz w:val="17"/>
        </w:rPr>
      </w:pPr>
    </w:p>
    <w:p>
      <w:pPr>
        <w:pStyle w:val="ListParagraph"/>
        <w:numPr>
          <w:ilvl w:val="2"/>
          <w:numId w:val="932"/>
        </w:numPr>
        <w:tabs>
          <w:tab w:pos="1370" w:val="left" w:leader="none"/>
        </w:tabs>
        <w:spacing w:line="446" w:lineRule="auto" w:before="0" w:after="0"/>
        <w:ind w:left="418" w:right="1604" w:firstLine="422"/>
        <w:jc w:val="both"/>
        <w:rPr>
          <w:sz w:val="21"/>
        </w:rPr>
      </w:pPr>
      <w:r>
        <w:rPr>
          <w:spacing w:val="-3"/>
          <w:sz w:val="21"/>
        </w:rPr>
        <w:t>站台至站厅或其他安全区域的疏散楼梯、自动扶梯和疏散通道的通过能力，应保证在远期或客流控制期中超高峰小时最大客流量时，一列进站列车所载乘客及站台上的候车乘客</w:t>
      </w:r>
      <w:r>
        <w:rPr>
          <w:spacing w:val="-19"/>
          <w:sz w:val="21"/>
        </w:rPr>
        <w:t>能在 </w:t>
      </w:r>
      <w:r>
        <w:rPr>
          <w:sz w:val="21"/>
        </w:rPr>
        <w:t>4min</w:t>
      </w:r>
      <w:r>
        <w:rPr>
          <w:spacing w:val="-12"/>
          <w:sz w:val="21"/>
        </w:rPr>
        <w:t> 内全部撤离站台，并应能在 </w:t>
      </w:r>
      <w:r>
        <w:rPr>
          <w:sz w:val="21"/>
        </w:rPr>
        <w:t>6min</w:t>
      </w:r>
      <w:r>
        <w:rPr>
          <w:spacing w:val="-9"/>
          <w:sz w:val="21"/>
        </w:rPr>
        <w:t> 内全部疏散至站厅公共区或其他安全区域。</w:t>
      </w:r>
      <w:r>
        <w:rPr>
          <w:sz w:val="21"/>
        </w:rPr>
        <w:t> </w:t>
      </w:r>
    </w:p>
    <w:p>
      <w:pPr>
        <w:pStyle w:val="ListParagraph"/>
        <w:numPr>
          <w:ilvl w:val="2"/>
          <w:numId w:val="932"/>
        </w:numPr>
        <w:tabs>
          <w:tab w:pos="1371" w:val="left" w:leader="none"/>
        </w:tabs>
        <w:spacing w:line="268" w:lineRule="exact" w:before="0" w:after="0"/>
        <w:ind w:left="1370" w:right="0" w:hanging="531"/>
        <w:jc w:val="left"/>
        <w:rPr>
          <w:sz w:val="21"/>
        </w:rPr>
      </w:pPr>
      <w:r>
        <w:rPr>
          <w:spacing w:val="-3"/>
          <w:sz w:val="21"/>
        </w:rPr>
        <w:t>乘客全部撤离站台的时间应满足下式要求：</w:t>
      </w:r>
      <w:r>
        <w:rPr>
          <w:sz w:val="21"/>
        </w:rPr>
        <w:t> </w:t>
      </w:r>
    </w:p>
    <w:p>
      <w:pPr>
        <w:pStyle w:val="BodyText"/>
        <w:spacing w:before="11"/>
      </w:pPr>
      <w:r>
        <w:rPr/>
        <w:drawing>
          <wp:anchor distT="0" distB="0" distL="0" distR="0" allowOverlap="1" layoutInCell="1" locked="0" behindDoc="0" simplePos="0" relativeHeight="363">
            <wp:simplePos x="0" y="0"/>
            <wp:positionH relativeFrom="page">
              <wp:posOffset>1427413</wp:posOffset>
            </wp:positionH>
            <wp:positionV relativeFrom="paragraph">
              <wp:posOffset>202913</wp:posOffset>
            </wp:positionV>
            <wp:extent cx="4864364" cy="528066"/>
            <wp:effectExtent l="0" t="0" r="0" b="0"/>
            <wp:wrapTopAndBottom/>
            <wp:docPr id="791" name="image464.jpeg"/>
            <wp:cNvGraphicFramePr>
              <a:graphicFrameLocks noChangeAspect="1"/>
            </wp:cNvGraphicFramePr>
            <a:graphic>
              <a:graphicData uri="http://schemas.openxmlformats.org/drawingml/2006/picture">
                <pic:pic>
                  <pic:nvPicPr>
                    <pic:cNvPr id="792" name="image464.jpeg"/>
                    <pic:cNvPicPr/>
                  </pic:nvPicPr>
                  <pic:blipFill>
                    <a:blip r:embed="rId587" cstate="print"/>
                    <a:stretch>
                      <a:fillRect/>
                    </a:stretch>
                  </pic:blipFill>
                  <pic:spPr>
                    <a:xfrm>
                      <a:off x="0" y="0"/>
                      <a:ext cx="4864364" cy="528066"/>
                    </a:xfrm>
                    <a:prstGeom prst="rect">
                      <a:avLst/>
                    </a:prstGeom>
                  </pic:spPr>
                </pic:pic>
              </a:graphicData>
            </a:graphic>
          </wp:anchor>
        </w:drawing>
      </w:r>
    </w:p>
    <w:p>
      <w:pPr>
        <w:pStyle w:val="BodyText"/>
        <w:rPr>
          <w:sz w:val="20"/>
        </w:rPr>
      </w:pPr>
    </w:p>
    <w:p>
      <w:pPr>
        <w:pStyle w:val="BodyText"/>
        <w:rPr>
          <w:sz w:val="20"/>
        </w:rPr>
      </w:pPr>
    </w:p>
    <w:p>
      <w:pPr>
        <w:pStyle w:val="BodyText"/>
        <w:spacing w:before="147"/>
        <w:ind w:left="838"/>
      </w:pPr>
      <w:r>
        <w:rPr>
          <w:position w:val="1"/>
        </w:rPr>
        <w:t>式中：</w:t>
      </w:r>
      <w:r>
        <w:rPr>
          <w:i/>
          <w:position w:val="1"/>
          <w:sz w:val="22"/>
        </w:rPr>
        <w:t>Q</w:t>
      </w:r>
      <w:r>
        <w:rPr>
          <w:sz w:val="11"/>
        </w:rPr>
        <w:t>1</w:t>
      </w:r>
      <w:r>
        <w:rPr>
          <w:position w:val="1"/>
        </w:rPr>
        <w:t>——远期或客流控制期中超高峰小时最大客流量时一列进站列车的载客人数</w:t>
      </w:r>
    </w:p>
    <w:p>
      <w:pPr>
        <w:pStyle w:val="BodyText"/>
        <w:spacing w:before="12"/>
        <w:rPr>
          <w:sz w:val="17"/>
        </w:rPr>
      </w:pPr>
    </w:p>
    <w:p>
      <w:pPr>
        <w:pStyle w:val="BodyText"/>
        <w:ind w:left="418"/>
      </w:pPr>
      <w:r>
        <w:rPr/>
        <w:t>（人）； </w:t>
      </w:r>
    </w:p>
    <w:p>
      <w:pPr>
        <w:pStyle w:val="BodyText"/>
        <w:spacing w:before="2"/>
        <w:rPr>
          <w:sz w:val="17"/>
        </w:rPr>
      </w:pPr>
    </w:p>
    <w:p>
      <w:pPr>
        <w:pStyle w:val="BodyText"/>
        <w:spacing w:line="424" w:lineRule="auto" w:before="1"/>
        <w:ind w:left="838" w:right="2717"/>
        <w:rPr>
          <w:b/>
        </w:rPr>
      </w:pPr>
      <w:r>
        <w:rPr>
          <w:i/>
          <w:position w:val="1"/>
          <w:sz w:val="22"/>
        </w:rPr>
        <w:t>Q</w:t>
      </w:r>
      <w:r>
        <w:rPr>
          <w:sz w:val="11"/>
        </w:rPr>
        <w:t>2</w:t>
      </w:r>
      <w:r>
        <w:rPr>
          <w:position w:val="1"/>
        </w:rPr>
        <w:t>——远期或客流控制期中超高峰小时站台上的最大候车乘客人数（人）； </w:t>
      </w:r>
      <w:r>
        <w:rPr>
          <w:i/>
          <w:position w:val="1"/>
          <w:sz w:val="22"/>
        </w:rPr>
        <w:t>A</w:t>
      </w:r>
      <w:r>
        <w:rPr>
          <w:sz w:val="11"/>
        </w:rPr>
        <w:t>1</w:t>
      </w:r>
      <w:r>
        <w:rPr>
          <w:position w:val="1"/>
        </w:rPr>
        <w:t>——一台自动扶梯的通过能力[人/（min·台）]；</w:t>
      </w:r>
      <w:r>
        <w:rPr>
          <w:b/>
          <w:w w:val="99"/>
          <w:position w:val="1"/>
        </w:rPr>
        <w:t> </w:t>
      </w:r>
    </w:p>
    <w:p>
      <w:pPr>
        <w:pStyle w:val="BodyText"/>
        <w:spacing w:line="424" w:lineRule="auto" w:before="3"/>
        <w:ind w:left="838" w:right="4237"/>
      </w:pPr>
      <w:r>
        <w:rPr>
          <w:i/>
          <w:position w:val="1"/>
          <w:sz w:val="22"/>
        </w:rPr>
        <w:t>A</w:t>
      </w:r>
      <w:r>
        <w:rPr>
          <w:sz w:val="11"/>
        </w:rPr>
        <w:t>2</w:t>
      </w:r>
      <w:r>
        <w:rPr>
          <w:position w:val="1"/>
        </w:rPr>
        <w:t>——单位宽度疏散楼梯的通过能力[人/（min·m）]； </w:t>
      </w:r>
      <w:r>
        <w:rPr>
          <w:i/>
          <w:sz w:val="22"/>
        </w:rPr>
        <w:t>N</w:t>
      </w:r>
      <w:r>
        <w:rPr/>
        <w:t>——用作疏散的自动扶梯的数量（台）； </w:t>
      </w:r>
    </w:p>
    <w:p>
      <w:pPr>
        <w:pStyle w:val="BodyText"/>
        <w:spacing w:before="1"/>
        <w:ind w:left="838"/>
      </w:pPr>
      <w:r>
        <w:rPr>
          <w:i/>
          <w:sz w:val="22"/>
        </w:rPr>
        <w:t>B</w:t>
      </w:r>
      <w:r>
        <w:rPr/>
        <w:t>——疏散楼梯的总宽度（m）（每组楼梯的宽度应按 0.55m 的整倍数计算）。 </w:t>
      </w:r>
    </w:p>
    <w:p>
      <w:pPr>
        <w:pStyle w:val="BodyText"/>
        <w:spacing w:before="11"/>
        <w:rPr>
          <w:sz w:val="17"/>
        </w:rPr>
      </w:pPr>
    </w:p>
    <w:p>
      <w:pPr>
        <w:pStyle w:val="ListParagraph"/>
        <w:numPr>
          <w:ilvl w:val="2"/>
          <w:numId w:val="932"/>
        </w:numPr>
        <w:tabs>
          <w:tab w:pos="1371" w:val="left" w:leader="none"/>
        </w:tabs>
        <w:spacing w:line="446" w:lineRule="auto" w:before="0" w:after="0"/>
        <w:ind w:left="418" w:right="1604" w:firstLine="422"/>
        <w:jc w:val="left"/>
        <w:rPr>
          <w:sz w:val="21"/>
        </w:rPr>
      </w:pPr>
      <w:r>
        <w:rPr>
          <w:spacing w:val="-3"/>
          <w:sz w:val="21"/>
        </w:rPr>
        <w:t>在公共区付费区与非付费区之间的栅栏上应设置平开疏散门。自动检票机和疏散门的通过能力应满足下式要求：</w:t>
      </w:r>
      <w:r>
        <w:rPr>
          <w:sz w:val="21"/>
        </w:rPr>
        <w:t> </w:t>
      </w:r>
    </w:p>
    <w:p>
      <w:pPr>
        <w:pStyle w:val="BodyText"/>
        <w:rPr>
          <w:sz w:val="20"/>
        </w:rPr>
      </w:pPr>
    </w:p>
    <w:p>
      <w:pPr>
        <w:pStyle w:val="BodyText"/>
        <w:spacing w:before="6"/>
        <w:rPr>
          <w:sz w:val="15"/>
        </w:rPr>
      </w:pPr>
      <w:r>
        <w:rPr/>
        <w:drawing>
          <wp:anchor distT="0" distB="0" distL="0" distR="0" allowOverlap="1" layoutInCell="1" locked="0" behindDoc="0" simplePos="0" relativeHeight="364">
            <wp:simplePos x="0" y="0"/>
            <wp:positionH relativeFrom="page">
              <wp:posOffset>1066580</wp:posOffset>
            </wp:positionH>
            <wp:positionV relativeFrom="paragraph">
              <wp:posOffset>151010</wp:posOffset>
            </wp:positionV>
            <wp:extent cx="4637660" cy="339470"/>
            <wp:effectExtent l="0" t="0" r="0" b="0"/>
            <wp:wrapTopAndBottom/>
            <wp:docPr id="793" name="image465.jpeg"/>
            <wp:cNvGraphicFramePr>
              <a:graphicFrameLocks noChangeAspect="1"/>
            </wp:cNvGraphicFramePr>
            <a:graphic>
              <a:graphicData uri="http://schemas.openxmlformats.org/drawingml/2006/picture">
                <pic:pic>
                  <pic:nvPicPr>
                    <pic:cNvPr id="794" name="image465.jpeg"/>
                    <pic:cNvPicPr/>
                  </pic:nvPicPr>
                  <pic:blipFill>
                    <a:blip r:embed="rId588" cstate="print"/>
                    <a:stretch>
                      <a:fillRect/>
                    </a:stretch>
                  </pic:blipFill>
                  <pic:spPr>
                    <a:xfrm>
                      <a:off x="0" y="0"/>
                      <a:ext cx="4637660" cy="339470"/>
                    </a:xfrm>
                    <a:prstGeom prst="rect">
                      <a:avLst/>
                    </a:prstGeom>
                  </pic:spPr>
                </pic:pic>
              </a:graphicData>
            </a:graphic>
          </wp:anchor>
        </w:drawing>
      </w:r>
    </w:p>
    <w:p>
      <w:pPr>
        <w:pStyle w:val="BodyText"/>
        <w:rPr>
          <w:sz w:val="20"/>
        </w:rPr>
      </w:pPr>
    </w:p>
    <w:p>
      <w:pPr>
        <w:pStyle w:val="BodyText"/>
        <w:spacing w:before="11"/>
        <w:rPr>
          <w:sz w:val="25"/>
        </w:rPr>
      </w:pPr>
    </w:p>
    <w:p>
      <w:pPr>
        <w:pStyle w:val="BodyText"/>
        <w:spacing w:line="427" w:lineRule="auto" w:before="71"/>
        <w:ind w:left="838" w:right="4290"/>
      </w:pPr>
      <w:r>
        <w:rPr>
          <w:position w:val="1"/>
        </w:rPr>
        <w:t>式中：</w:t>
      </w:r>
      <w:r>
        <w:rPr>
          <w:i/>
          <w:position w:val="1"/>
          <w:sz w:val="22"/>
        </w:rPr>
        <w:t>A</w:t>
      </w:r>
      <w:r>
        <w:rPr>
          <w:sz w:val="11"/>
        </w:rPr>
        <w:t>3</w:t>
      </w:r>
      <w:r>
        <w:rPr>
          <w:spacing w:val="-3"/>
          <w:position w:val="1"/>
        </w:rPr>
        <w:t>——自动检票机门常开时的通过能力</w:t>
      </w:r>
      <w:r>
        <w:rPr>
          <w:position w:val="1"/>
        </w:rPr>
        <w:t>（人/min）； </w:t>
      </w:r>
      <w:r>
        <w:rPr>
          <w:i/>
          <w:position w:val="1"/>
          <w:sz w:val="22"/>
        </w:rPr>
        <w:t>A</w:t>
      </w:r>
      <w:r>
        <w:rPr>
          <w:sz w:val="11"/>
        </w:rPr>
        <w:t>4</w:t>
      </w:r>
      <w:r>
        <w:rPr>
          <w:spacing w:val="-3"/>
          <w:position w:val="1"/>
        </w:rPr>
        <w:t>——单位宽度疏散门的通过能力[人</w:t>
      </w:r>
      <w:r>
        <w:rPr>
          <w:position w:val="1"/>
        </w:rPr>
        <w:t>/（min·m）]； </w:t>
      </w:r>
      <w:r>
        <w:rPr/>
        <w:t> </w:t>
      </w:r>
      <w:r>
        <w:rPr>
          <w:i/>
          <w:sz w:val="22"/>
        </w:rPr>
        <w:t>L</w:t>
      </w:r>
      <w:r>
        <w:rPr>
          <w:spacing w:val="-3"/>
        </w:rPr>
        <w:t>——疏散门的净宽度</w:t>
      </w:r>
      <w:r>
        <w:rPr/>
        <w:t>（m）（</w:t>
      </w:r>
      <w:r>
        <w:rPr>
          <w:spacing w:val="-26"/>
        </w:rPr>
        <w:t>按 </w:t>
      </w:r>
      <w:r>
        <w:rPr/>
        <w:t>0.55m</w:t>
      </w:r>
      <w:r>
        <w:rPr>
          <w:spacing w:val="-10"/>
        </w:rPr>
        <w:t> 的整倍数计算</w:t>
      </w:r>
      <w:r>
        <w:rPr/>
        <w:t>）</w:t>
      </w:r>
      <w:r>
        <w:rPr>
          <w:spacing w:val="-3"/>
        </w:rPr>
        <w:t>。</w:t>
      </w:r>
      <w:r>
        <w:rPr/>
        <w:t> </w:t>
      </w:r>
    </w:p>
    <w:p>
      <w:pPr>
        <w:spacing w:after="0" w:line="427" w:lineRule="auto"/>
        <w:sectPr>
          <w:pgSz w:w="11910" w:h="16850"/>
          <w:pgMar w:header="0" w:footer="1239" w:top="1220" w:bottom="1420" w:left="1260" w:right="0"/>
        </w:sectPr>
      </w:pPr>
    </w:p>
    <w:p>
      <w:pPr>
        <w:pStyle w:val="ListParagraph"/>
        <w:numPr>
          <w:ilvl w:val="2"/>
          <w:numId w:val="932"/>
        </w:numPr>
        <w:tabs>
          <w:tab w:pos="1371" w:val="left" w:leader="none"/>
        </w:tabs>
        <w:spacing w:line="446" w:lineRule="auto" w:before="47" w:after="0"/>
        <w:ind w:left="418" w:right="1450" w:firstLine="422"/>
        <w:jc w:val="left"/>
        <w:rPr>
          <w:sz w:val="21"/>
        </w:rPr>
      </w:pPr>
      <w:r>
        <w:rPr>
          <w:spacing w:val="-6"/>
          <w:sz w:val="21"/>
        </w:rPr>
        <w:t>每个站厅公共区应至少设置 </w:t>
      </w:r>
      <w:r>
        <w:rPr>
          <w:sz w:val="21"/>
        </w:rPr>
        <w:t>2</w:t>
      </w:r>
      <w:r>
        <w:rPr>
          <w:spacing w:val="-8"/>
          <w:sz w:val="21"/>
        </w:rPr>
        <w:t> 个直通室外的安全出口。安全出口应分散布置，且相邻</w:t>
      </w:r>
      <w:r>
        <w:rPr>
          <w:spacing w:val="-5"/>
          <w:sz w:val="21"/>
        </w:rPr>
        <w:t>两个安全出口之间的最小水平距离不应小于 </w:t>
      </w:r>
      <w:r>
        <w:rPr>
          <w:sz w:val="21"/>
        </w:rPr>
        <w:t>20m</w:t>
      </w:r>
      <w:r>
        <w:rPr>
          <w:spacing w:val="-3"/>
          <w:sz w:val="21"/>
        </w:rPr>
        <w:t>。换乘车站共用一个站厅公共区时，站厅公共区</w:t>
      </w:r>
      <w:r>
        <w:rPr>
          <w:spacing w:val="-7"/>
          <w:sz w:val="21"/>
        </w:rPr>
        <w:t>的安全出口应按每条线不少于 </w:t>
      </w:r>
      <w:r>
        <w:rPr>
          <w:sz w:val="21"/>
        </w:rPr>
        <w:t>2</w:t>
      </w:r>
      <w:r>
        <w:rPr>
          <w:spacing w:val="-13"/>
          <w:sz w:val="21"/>
        </w:rPr>
        <w:t> 个设置。</w:t>
      </w:r>
      <w:r>
        <w:rPr>
          <w:sz w:val="21"/>
        </w:rPr>
        <w:t> </w:t>
      </w:r>
    </w:p>
    <w:p>
      <w:pPr>
        <w:pStyle w:val="ListParagraph"/>
        <w:numPr>
          <w:ilvl w:val="2"/>
          <w:numId w:val="932"/>
        </w:numPr>
        <w:tabs>
          <w:tab w:pos="1371" w:val="left" w:leader="none"/>
        </w:tabs>
        <w:spacing w:line="268" w:lineRule="exact" w:before="0" w:after="0"/>
        <w:ind w:left="1370" w:right="0" w:hanging="531"/>
        <w:jc w:val="left"/>
        <w:rPr>
          <w:sz w:val="21"/>
        </w:rPr>
      </w:pPr>
      <w:r>
        <w:rPr>
          <w:spacing w:val="-5"/>
          <w:sz w:val="21"/>
        </w:rPr>
        <w:t>每个站台至站厅公共区的楼扶梯分组数量不宜少于列车编组数的 </w:t>
      </w:r>
      <w:r>
        <w:rPr>
          <w:sz w:val="21"/>
        </w:rPr>
        <w:t>1/3</w:t>
      </w:r>
      <w:r>
        <w:rPr>
          <w:spacing w:val="-10"/>
          <w:sz w:val="21"/>
        </w:rPr>
        <w:t>，且不得少于 </w:t>
      </w:r>
      <w:r>
        <w:rPr>
          <w:sz w:val="21"/>
        </w:rPr>
        <w:t>2</w:t>
      </w:r>
    </w:p>
    <w:p>
      <w:pPr>
        <w:pStyle w:val="BodyText"/>
        <w:rPr>
          <w:sz w:val="18"/>
        </w:rPr>
      </w:pPr>
    </w:p>
    <w:p>
      <w:pPr>
        <w:pStyle w:val="BodyText"/>
        <w:ind w:left="418"/>
      </w:pPr>
      <w:r>
        <w:rPr/>
        <w:t>个。 </w:t>
      </w:r>
    </w:p>
    <w:p>
      <w:pPr>
        <w:pStyle w:val="BodyText"/>
        <w:spacing w:before="12"/>
        <w:rPr>
          <w:sz w:val="17"/>
        </w:rPr>
      </w:pPr>
    </w:p>
    <w:p>
      <w:pPr>
        <w:pStyle w:val="ListParagraph"/>
        <w:numPr>
          <w:ilvl w:val="2"/>
          <w:numId w:val="932"/>
        </w:numPr>
        <w:tabs>
          <w:tab w:pos="1370" w:val="left" w:leader="none"/>
        </w:tabs>
        <w:spacing w:line="240" w:lineRule="auto" w:before="0" w:after="0"/>
        <w:ind w:left="1369" w:right="0" w:hanging="530"/>
        <w:jc w:val="left"/>
        <w:rPr>
          <w:sz w:val="21"/>
        </w:rPr>
      </w:pPr>
      <w:r>
        <w:rPr>
          <w:spacing w:val="-3"/>
          <w:sz w:val="21"/>
        </w:rPr>
        <w:t>电梯、竖井爬梯、消防专用通道以及管理区的楼梯不得用作乘客的安全疏散设施。</w:t>
      </w:r>
      <w:r>
        <w:rPr>
          <w:sz w:val="21"/>
        </w:rPr>
        <w:t> </w:t>
      </w:r>
    </w:p>
    <w:p>
      <w:pPr>
        <w:pStyle w:val="BodyText"/>
        <w:spacing w:before="2"/>
        <w:rPr>
          <w:sz w:val="18"/>
        </w:rPr>
      </w:pPr>
    </w:p>
    <w:p>
      <w:pPr>
        <w:pStyle w:val="ListParagraph"/>
        <w:numPr>
          <w:ilvl w:val="2"/>
          <w:numId w:val="932"/>
        </w:numPr>
        <w:tabs>
          <w:tab w:pos="1370" w:val="left" w:leader="none"/>
        </w:tabs>
        <w:spacing w:line="446" w:lineRule="auto" w:before="0" w:after="0"/>
        <w:ind w:left="418" w:right="1604" w:firstLine="422"/>
        <w:jc w:val="left"/>
        <w:rPr>
          <w:sz w:val="21"/>
        </w:rPr>
      </w:pPr>
      <w:r>
        <w:rPr>
          <w:spacing w:val="-3"/>
          <w:sz w:val="21"/>
        </w:rPr>
        <w:t>站台设备管理区可利用站台公共区进行疏散，但有人值守的设备管理区应至少设置一个直通室外的安全出口。 </w:t>
      </w:r>
    </w:p>
    <w:p>
      <w:pPr>
        <w:pStyle w:val="ListParagraph"/>
        <w:numPr>
          <w:ilvl w:val="2"/>
          <w:numId w:val="932"/>
        </w:numPr>
        <w:tabs>
          <w:tab w:pos="1370" w:val="left" w:leader="none"/>
        </w:tabs>
        <w:spacing w:line="446" w:lineRule="auto" w:before="0" w:after="0"/>
        <w:ind w:left="418" w:right="1604" w:firstLine="422"/>
        <w:jc w:val="left"/>
        <w:rPr>
          <w:sz w:val="21"/>
        </w:rPr>
      </w:pPr>
      <w:r>
        <w:rPr>
          <w:spacing w:val="-3"/>
          <w:sz w:val="21"/>
        </w:rPr>
        <w:t>站台的两端部均应设置从区间疏散至站台的楼梯。当站台设置站台门时，站台门的端门应向站台公共区方向开启。</w:t>
      </w:r>
      <w:r>
        <w:rPr>
          <w:sz w:val="21"/>
        </w:rPr>
        <w:t> </w:t>
      </w:r>
    </w:p>
    <w:p>
      <w:pPr>
        <w:pStyle w:val="ListParagraph"/>
        <w:numPr>
          <w:ilvl w:val="2"/>
          <w:numId w:val="932"/>
        </w:numPr>
        <w:tabs>
          <w:tab w:pos="1371" w:val="left" w:leader="none"/>
        </w:tabs>
        <w:spacing w:line="446" w:lineRule="auto" w:before="0" w:after="0"/>
        <w:ind w:left="418" w:right="1604" w:firstLine="422"/>
        <w:jc w:val="left"/>
        <w:rPr>
          <w:sz w:val="21"/>
        </w:rPr>
      </w:pPr>
      <w:r>
        <w:rPr>
          <w:spacing w:val="-3"/>
          <w:sz w:val="21"/>
        </w:rPr>
        <w:t>站台每侧站台门上的应急门数量宜按列车编组数确定。当应急门设置在站台计算长度内的设备管理区和楼梯、扶梯段内时，应核算侧站台在应急门开启时的通过能力。</w:t>
      </w:r>
      <w:r>
        <w:rPr>
          <w:sz w:val="21"/>
        </w:rPr>
        <w:t> </w:t>
      </w:r>
    </w:p>
    <w:p>
      <w:pPr>
        <w:pStyle w:val="ListParagraph"/>
        <w:numPr>
          <w:ilvl w:val="2"/>
          <w:numId w:val="932"/>
        </w:numPr>
        <w:tabs>
          <w:tab w:pos="1478" w:val="left" w:leader="none"/>
        </w:tabs>
        <w:spacing w:line="446" w:lineRule="auto" w:before="0" w:after="0"/>
        <w:ind w:left="418" w:right="1496" w:firstLine="422"/>
        <w:jc w:val="left"/>
        <w:rPr>
          <w:sz w:val="21"/>
        </w:rPr>
      </w:pPr>
      <w:r>
        <w:rPr>
          <w:spacing w:val="-3"/>
          <w:sz w:val="21"/>
        </w:rPr>
        <w:t>站厅公共区和站台计算长度内任一点到疏散通道口和疏散楼梯口或用于疏散的自动</w:t>
      </w:r>
      <w:r>
        <w:rPr>
          <w:spacing w:val="-7"/>
          <w:sz w:val="21"/>
        </w:rPr>
        <w:t>扶梯口的最大疏散距离不应大于 </w:t>
      </w:r>
      <w:r>
        <w:rPr>
          <w:sz w:val="21"/>
        </w:rPr>
        <w:t>50m</w:t>
      </w:r>
      <w:r>
        <w:rPr>
          <w:spacing w:val="-3"/>
          <w:sz w:val="21"/>
        </w:rPr>
        <w:t>。</w:t>
      </w:r>
      <w:r>
        <w:rPr>
          <w:sz w:val="21"/>
        </w:rPr>
        <w:t> </w:t>
      </w:r>
    </w:p>
    <w:p>
      <w:pPr>
        <w:pStyle w:val="ListParagraph"/>
        <w:numPr>
          <w:ilvl w:val="2"/>
          <w:numId w:val="932"/>
        </w:numPr>
        <w:tabs>
          <w:tab w:pos="1478" w:val="left" w:leader="none"/>
        </w:tabs>
        <w:spacing w:line="446" w:lineRule="auto" w:before="0" w:after="0"/>
        <w:ind w:left="418" w:right="1496" w:firstLine="422"/>
        <w:jc w:val="left"/>
        <w:rPr>
          <w:sz w:val="21"/>
        </w:rPr>
      </w:pPr>
      <w:r>
        <w:rPr>
          <w:spacing w:val="-3"/>
          <w:sz w:val="21"/>
        </w:rPr>
        <w:t>站厅公共区与商业等非地铁功能的场所的安全出口应各自独立设置。两者的连通口和上、下联系楼梯或扶梯不得作为相互间的安全出口。</w:t>
      </w:r>
      <w:r>
        <w:rPr>
          <w:sz w:val="21"/>
        </w:rPr>
        <w:t> </w:t>
      </w:r>
    </w:p>
    <w:p>
      <w:pPr>
        <w:pStyle w:val="ListParagraph"/>
        <w:numPr>
          <w:ilvl w:val="2"/>
          <w:numId w:val="932"/>
        </w:numPr>
        <w:tabs>
          <w:tab w:pos="1478" w:val="left" w:leader="none"/>
        </w:tabs>
        <w:spacing w:line="240" w:lineRule="auto" w:before="0" w:after="0"/>
        <w:ind w:left="1477" w:right="0" w:hanging="638"/>
        <w:jc w:val="left"/>
        <w:rPr>
          <w:sz w:val="21"/>
        </w:rPr>
      </w:pPr>
      <w:r>
        <w:rPr>
          <w:spacing w:val="-3"/>
          <w:sz w:val="21"/>
        </w:rPr>
        <w:t>当站台至站厅和站厅至地面的上、下行方式采用自动扶梯时，应增设步行楼梯。 </w:t>
      </w:r>
    </w:p>
    <w:p>
      <w:pPr>
        <w:pStyle w:val="BodyText"/>
        <w:spacing w:before="8"/>
        <w:rPr>
          <w:sz w:val="17"/>
        </w:rPr>
      </w:pPr>
    </w:p>
    <w:p>
      <w:pPr>
        <w:pStyle w:val="ListParagraph"/>
        <w:numPr>
          <w:ilvl w:val="2"/>
          <w:numId w:val="932"/>
        </w:numPr>
        <w:tabs>
          <w:tab w:pos="1478" w:val="left" w:leader="none"/>
        </w:tabs>
        <w:spacing w:line="446" w:lineRule="auto" w:before="0" w:after="0"/>
        <w:ind w:left="418" w:right="1496" w:firstLine="422"/>
        <w:jc w:val="left"/>
        <w:rPr>
          <w:sz w:val="21"/>
        </w:rPr>
      </w:pPr>
      <w:r>
        <w:rPr>
          <w:spacing w:val="-3"/>
          <w:sz w:val="21"/>
        </w:rPr>
        <w:t>乘客出入口通道的疏散路线应各自独立，不得重叠或设置门槛、有碍疏散的物体及袋形走道。两个或以上汇入同一条疏散通道的出入口，应视为一个安全出口。 </w:t>
      </w:r>
      <w:r>
        <w:rPr>
          <w:spacing w:val="-2"/>
          <w:sz w:val="21"/>
        </w:rPr>
        <w:t> </w:t>
      </w:r>
      <w:r>
        <w:rPr>
          <w:w w:val="100"/>
          <w:sz w:val="21"/>
        </w:rPr>
        <w:t> </w:t>
      </w:r>
    </w:p>
    <w:p>
      <w:pPr>
        <w:pStyle w:val="ListParagraph"/>
        <w:numPr>
          <w:ilvl w:val="1"/>
          <w:numId w:val="932"/>
        </w:numPr>
        <w:tabs>
          <w:tab w:pos="1159" w:val="left" w:leader="none"/>
        </w:tabs>
        <w:spacing w:line="240" w:lineRule="auto" w:before="0" w:after="0"/>
        <w:ind w:left="1158" w:right="0" w:hanging="319"/>
        <w:jc w:val="left"/>
        <w:rPr>
          <w:sz w:val="21"/>
        </w:rPr>
      </w:pPr>
      <w:r>
        <w:rPr>
          <w:spacing w:val="-3"/>
          <w:sz w:val="21"/>
        </w:rPr>
        <w:t>地下车站</w:t>
      </w:r>
      <w:r>
        <w:rPr>
          <w:sz w:val="21"/>
        </w:rPr>
        <w:t> </w:t>
      </w:r>
    </w:p>
    <w:p>
      <w:pPr>
        <w:pStyle w:val="BodyText"/>
        <w:rPr>
          <w:sz w:val="18"/>
        </w:rPr>
      </w:pPr>
    </w:p>
    <w:p>
      <w:pPr>
        <w:pStyle w:val="ListParagraph"/>
        <w:numPr>
          <w:ilvl w:val="2"/>
          <w:numId w:val="932"/>
        </w:numPr>
        <w:tabs>
          <w:tab w:pos="1371" w:val="left" w:leader="none"/>
        </w:tabs>
        <w:spacing w:line="240" w:lineRule="auto" w:before="0" w:after="0"/>
        <w:ind w:left="1370" w:right="0" w:hanging="531"/>
        <w:jc w:val="left"/>
        <w:rPr>
          <w:sz w:val="21"/>
        </w:rPr>
      </w:pPr>
      <w:r>
        <w:rPr>
          <w:spacing w:val="-5"/>
          <w:sz w:val="21"/>
        </w:rPr>
        <w:t>有人值守的设备管理区内每个防火分区安全出口的数量不应少于 </w:t>
      </w:r>
      <w:r>
        <w:rPr>
          <w:sz w:val="21"/>
        </w:rPr>
        <w:t>2</w:t>
      </w:r>
      <w:r>
        <w:rPr>
          <w:spacing w:val="-14"/>
          <w:sz w:val="21"/>
        </w:rPr>
        <w:t> 个，并应至少有 </w:t>
      </w:r>
      <w:r>
        <w:rPr>
          <w:sz w:val="21"/>
        </w:rPr>
        <w:t>1</w:t>
      </w:r>
    </w:p>
    <w:p>
      <w:pPr>
        <w:pStyle w:val="BodyText"/>
        <w:spacing w:before="2"/>
        <w:rPr>
          <w:sz w:val="18"/>
        </w:rPr>
      </w:pPr>
    </w:p>
    <w:p>
      <w:pPr>
        <w:pStyle w:val="BodyText"/>
        <w:spacing w:line="446" w:lineRule="auto"/>
        <w:ind w:left="418" w:right="1609"/>
      </w:pPr>
      <w:r>
        <w:rPr>
          <w:spacing w:val="-5"/>
        </w:rPr>
        <w:t>个安全出口直通地面。当值守人员小于或等于 </w:t>
      </w:r>
      <w:r>
        <w:rPr/>
        <w:t>3</w:t>
      </w:r>
      <w:r>
        <w:rPr>
          <w:spacing w:val="-7"/>
        </w:rPr>
        <w:t> 人时，设备管理区可利用与相邻防火分区相通</w:t>
      </w:r>
      <w:r>
        <w:rPr>
          <w:spacing w:val="-5"/>
        </w:rPr>
        <w:t>的防火门或能通向站厅公共区的出口作为安全出口。 </w:t>
      </w:r>
    </w:p>
    <w:p>
      <w:pPr>
        <w:pStyle w:val="ListParagraph"/>
        <w:numPr>
          <w:ilvl w:val="2"/>
          <w:numId w:val="932"/>
        </w:numPr>
        <w:tabs>
          <w:tab w:pos="1371" w:val="left" w:leader="none"/>
        </w:tabs>
        <w:spacing w:line="446" w:lineRule="auto" w:before="0" w:after="0"/>
        <w:ind w:left="418" w:right="1604" w:firstLine="422"/>
        <w:jc w:val="left"/>
        <w:rPr>
          <w:sz w:val="21"/>
        </w:rPr>
      </w:pPr>
      <w:r>
        <w:rPr>
          <w:spacing w:val="-5"/>
          <w:sz w:val="21"/>
        </w:rPr>
        <w:t>地下一层侧式站台车站，每侧站台应至少设置 </w:t>
      </w:r>
      <w:r>
        <w:rPr>
          <w:sz w:val="21"/>
        </w:rPr>
        <w:t>2</w:t>
      </w:r>
      <w:r>
        <w:rPr>
          <w:spacing w:val="-8"/>
          <w:sz w:val="21"/>
        </w:rPr>
        <w:t> 个直通地面或其他室外空间的安全</w:t>
      </w:r>
      <w:r>
        <w:rPr>
          <w:spacing w:val="-5"/>
          <w:sz w:val="21"/>
        </w:rPr>
        <w:t>出口。与站厅公共区同层布置的站台应符合下列规定：</w:t>
      </w:r>
      <w:r>
        <w:rPr>
          <w:sz w:val="21"/>
        </w:rPr>
        <w:t> </w:t>
      </w:r>
    </w:p>
    <w:p>
      <w:pPr>
        <w:pStyle w:val="BodyText"/>
        <w:spacing w:line="446" w:lineRule="auto"/>
        <w:ind w:left="418" w:right="1609" w:firstLine="419"/>
      </w:pPr>
      <w:r>
        <w:rPr>
          <w:spacing w:val="-4"/>
        </w:rPr>
        <w:t>当站台与站厅公共区之间设置防火隔墙时，应在该防火隔墙上设置至少 </w:t>
      </w:r>
      <w:r>
        <w:rPr/>
        <w:t>2</w:t>
      </w:r>
      <w:r>
        <w:rPr>
          <w:spacing w:val="-7"/>
        </w:rPr>
        <w:t> 个门洞，相邻两</w:t>
      </w:r>
      <w:r>
        <w:rPr>
          <w:spacing w:val="-8"/>
        </w:rPr>
        <w:t>门洞之间的最小水平距离不应小于 </w:t>
      </w:r>
      <w:r>
        <w:rPr/>
        <w:t>10m； </w:t>
      </w:r>
    </w:p>
    <w:p>
      <w:pPr>
        <w:spacing w:after="0" w:line="446" w:lineRule="auto"/>
        <w:sectPr>
          <w:pgSz w:w="11910" w:h="16850"/>
          <w:pgMar w:header="0" w:footer="1239" w:top="1220" w:bottom="1420" w:left="1260" w:right="0"/>
        </w:sectPr>
      </w:pPr>
    </w:p>
    <w:p>
      <w:pPr>
        <w:pStyle w:val="BodyText"/>
        <w:spacing w:line="446" w:lineRule="auto" w:before="47"/>
        <w:ind w:left="418" w:right="1608" w:firstLine="419"/>
      </w:pPr>
      <w:r>
        <w:rPr/>
        <w:t>当站台与站厅公共区之间未设置防火隔墙时，站台上任一点至地面或其他室外空间的疏散时间不应大于 6min。 </w:t>
      </w:r>
    </w:p>
    <w:p>
      <w:pPr>
        <w:pStyle w:val="ListParagraph"/>
        <w:numPr>
          <w:ilvl w:val="2"/>
          <w:numId w:val="932"/>
        </w:numPr>
        <w:tabs>
          <w:tab w:pos="1370" w:val="left" w:leader="none"/>
        </w:tabs>
        <w:spacing w:line="446" w:lineRule="auto" w:before="0" w:after="0"/>
        <w:ind w:left="418" w:right="1604" w:firstLine="422"/>
        <w:jc w:val="left"/>
        <w:rPr>
          <w:sz w:val="21"/>
        </w:rPr>
      </w:pPr>
      <w:r>
        <w:rPr>
          <w:spacing w:val="-3"/>
          <w:sz w:val="21"/>
        </w:rPr>
        <w:t>侧式站台利用站台之间的过轨地道作为安全疏散通道时，应在上、下行轨道之间设</w:t>
      </w:r>
      <w:r>
        <w:rPr>
          <w:spacing w:val="-9"/>
          <w:sz w:val="21"/>
        </w:rPr>
        <w:t>置耐火极限不低于 </w:t>
      </w:r>
      <w:r>
        <w:rPr>
          <w:sz w:val="21"/>
        </w:rPr>
        <w:t>2.00h</w:t>
      </w:r>
      <w:r>
        <w:rPr>
          <w:spacing w:val="-10"/>
          <w:sz w:val="21"/>
        </w:rPr>
        <w:t> 的防火隔墙。</w:t>
      </w:r>
      <w:r>
        <w:rPr>
          <w:sz w:val="21"/>
        </w:rPr>
        <w:t> </w:t>
      </w:r>
    </w:p>
    <w:p>
      <w:pPr>
        <w:pStyle w:val="ListParagraph"/>
        <w:numPr>
          <w:ilvl w:val="2"/>
          <w:numId w:val="932"/>
        </w:numPr>
        <w:tabs>
          <w:tab w:pos="1370" w:val="left" w:leader="none"/>
        </w:tabs>
        <w:spacing w:line="446" w:lineRule="auto" w:before="0" w:after="0"/>
        <w:ind w:left="418" w:right="1604" w:firstLine="422"/>
        <w:jc w:val="left"/>
        <w:rPr>
          <w:sz w:val="21"/>
        </w:rPr>
      </w:pPr>
      <w:r>
        <w:rPr>
          <w:spacing w:val="-3"/>
          <w:sz w:val="21"/>
        </w:rPr>
        <w:t>站台端部通向区间的楼梯不得用作站台区乘客的安全疏散设施。换乘车站的换乘通道、换乘梯不得用作乘客的安全疏散设施。</w:t>
      </w:r>
      <w:r>
        <w:rPr>
          <w:sz w:val="21"/>
        </w:rPr>
        <w:t> </w:t>
      </w:r>
    </w:p>
    <w:p>
      <w:pPr>
        <w:pStyle w:val="ListParagraph"/>
        <w:numPr>
          <w:ilvl w:val="2"/>
          <w:numId w:val="932"/>
        </w:numPr>
        <w:tabs>
          <w:tab w:pos="1371" w:val="left" w:leader="none"/>
        </w:tabs>
        <w:spacing w:line="446" w:lineRule="auto" w:before="0" w:after="0"/>
        <w:ind w:left="418" w:right="1603" w:firstLine="422"/>
        <w:jc w:val="left"/>
        <w:rPr>
          <w:sz w:val="21"/>
        </w:rPr>
      </w:pPr>
      <w:r>
        <w:rPr>
          <w:spacing w:val="-5"/>
          <w:sz w:val="21"/>
        </w:rPr>
        <w:t>有人值守的设备管理用房的疏散门至最近安全出口的距离，当疏散门位于 </w:t>
      </w:r>
      <w:r>
        <w:rPr>
          <w:sz w:val="21"/>
        </w:rPr>
        <w:t>2</w:t>
      </w:r>
      <w:r>
        <w:rPr>
          <w:spacing w:val="-13"/>
          <w:sz w:val="21"/>
        </w:rPr>
        <w:t> 个安全</w:t>
      </w:r>
      <w:r>
        <w:rPr>
          <w:spacing w:val="-11"/>
          <w:sz w:val="21"/>
        </w:rPr>
        <w:t>出口之间时，不应大于 </w:t>
      </w:r>
      <w:r>
        <w:rPr>
          <w:sz w:val="21"/>
        </w:rPr>
        <w:t>40m；</w:t>
      </w:r>
      <w:r>
        <w:rPr>
          <w:spacing w:val="-6"/>
          <w:sz w:val="21"/>
        </w:rPr>
        <w:t>当疏散门位于袋形走道两侧或尽端时，不应大于 </w:t>
      </w:r>
      <w:r>
        <w:rPr>
          <w:sz w:val="21"/>
        </w:rPr>
        <w:t>22m</w:t>
      </w:r>
      <w:r>
        <w:rPr>
          <w:spacing w:val="-3"/>
          <w:sz w:val="21"/>
        </w:rPr>
        <w:t>。</w:t>
      </w:r>
      <w:r>
        <w:rPr>
          <w:sz w:val="21"/>
        </w:rPr>
        <w:t> </w:t>
      </w:r>
    </w:p>
    <w:p>
      <w:pPr>
        <w:pStyle w:val="ListParagraph"/>
        <w:numPr>
          <w:ilvl w:val="2"/>
          <w:numId w:val="932"/>
        </w:numPr>
        <w:tabs>
          <w:tab w:pos="1370" w:val="left" w:leader="none"/>
        </w:tabs>
        <w:spacing w:line="446" w:lineRule="auto" w:before="0" w:after="0"/>
        <w:ind w:left="418" w:right="1450" w:firstLine="422"/>
        <w:jc w:val="left"/>
        <w:rPr>
          <w:sz w:val="21"/>
        </w:rPr>
      </w:pPr>
      <w:r>
        <w:rPr>
          <w:spacing w:val="-7"/>
          <w:sz w:val="21"/>
        </w:rPr>
        <w:t>出入口通道的长度不宜大于 </w:t>
      </w:r>
      <w:r>
        <w:rPr>
          <w:sz w:val="21"/>
        </w:rPr>
        <w:t>100m</w:t>
      </w:r>
      <w:r>
        <w:rPr>
          <w:spacing w:val="-11"/>
          <w:sz w:val="21"/>
        </w:rPr>
        <w:t>；当大于 </w:t>
      </w:r>
      <w:r>
        <w:rPr>
          <w:sz w:val="21"/>
        </w:rPr>
        <w:t>100m</w:t>
      </w:r>
      <w:r>
        <w:rPr>
          <w:spacing w:val="-9"/>
          <w:sz w:val="21"/>
        </w:rPr>
        <w:t> 时，应增设安全出口，且该通道内任</w:t>
      </w:r>
      <w:r>
        <w:rPr>
          <w:spacing w:val="-8"/>
          <w:sz w:val="21"/>
        </w:rPr>
        <w:t>一点至最近安全出口的疏散距离不应大于 </w:t>
      </w:r>
      <w:r>
        <w:rPr>
          <w:sz w:val="21"/>
        </w:rPr>
        <w:t>50m</w:t>
      </w:r>
      <w:r>
        <w:rPr>
          <w:spacing w:val="-3"/>
          <w:sz w:val="21"/>
        </w:rPr>
        <w:t>。</w:t>
      </w:r>
      <w:r>
        <w:rPr>
          <w:sz w:val="21"/>
        </w:rPr>
        <w:t> </w:t>
      </w:r>
    </w:p>
    <w:p>
      <w:pPr>
        <w:pStyle w:val="ListParagraph"/>
        <w:numPr>
          <w:ilvl w:val="2"/>
          <w:numId w:val="932"/>
        </w:numPr>
        <w:tabs>
          <w:tab w:pos="1371" w:val="left" w:leader="none"/>
        </w:tabs>
        <w:spacing w:line="240" w:lineRule="auto" w:before="0" w:after="0"/>
        <w:ind w:left="1370" w:right="0" w:hanging="531"/>
        <w:jc w:val="left"/>
        <w:rPr>
          <w:sz w:val="21"/>
        </w:rPr>
      </w:pPr>
      <w:r>
        <w:rPr>
          <w:spacing w:val="-3"/>
          <w:sz w:val="21"/>
        </w:rPr>
        <w:t>设备层的安全出口应独立设置。</w:t>
      </w:r>
      <w:r>
        <w:rPr>
          <w:sz w:val="21"/>
        </w:rPr>
        <w:t> </w:t>
      </w:r>
    </w:p>
    <w:p>
      <w:pPr>
        <w:pStyle w:val="BodyText"/>
        <w:spacing w:before="8"/>
        <w:rPr>
          <w:sz w:val="17"/>
        </w:rPr>
      </w:pPr>
    </w:p>
    <w:p>
      <w:pPr>
        <w:pStyle w:val="ListParagraph"/>
        <w:numPr>
          <w:ilvl w:val="2"/>
          <w:numId w:val="932"/>
        </w:numPr>
        <w:tabs>
          <w:tab w:pos="1370" w:val="left" w:leader="none"/>
        </w:tabs>
        <w:spacing w:line="446" w:lineRule="auto" w:before="0" w:after="0"/>
        <w:ind w:left="418" w:right="1604" w:firstLine="422"/>
        <w:jc w:val="left"/>
        <w:rPr>
          <w:sz w:val="21"/>
        </w:rPr>
      </w:pPr>
      <w:r>
        <w:rPr>
          <w:spacing w:val="-5"/>
          <w:sz w:val="21"/>
        </w:rPr>
        <w:t>地下车站应设置消防专用通道。当地下车站超过 </w:t>
      </w:r>
      <w:r>
        <w:rPr>
          <w:sz w:val="21"/>
        </w:rPr>
        <w:t>3</w:t>
      </w:r>
      <w:r>
        <w:rPr>
          <w:spacing w:val="-24"/>
          <w:sz w:val="21"/>
        </w:rPr>
        <w:t> 层</w:t>
      </w:r>
      <w:r>
        <w:rPr>
          <w:spacing w:val="-3"/>
          <w:sz w:val="21"/>
        </w:rPr>
        <w:t>（</w:t>
      </w:r>
      <w:r>
        <w:rPr>
          <w:spacing w:val="-24"/>
          <w:sz w:val="21"/>
        </w:rPr>
        <w:t>含 </w:t>
      </w:r>
      <w:r>
        <w:rPr>
          <w:sz w:val="21"/>
        </w:rPr>
        <w:t>3</w:t>
      </w:r>
      <w:r>
        <w:rPr>
          <w:spacing w:val="-24"/>
          <w:sz w:val="21"/>
        </w:rPr>
        <w:t> 层</w:t>
      </w:r>
      <w:r>
        <w:rPr>
          <w:spacing w:val="-3"/>
          <w:sz w:val="21"/>
        </w:rPr>
        <w:t>）时，消防专用通道应设置为防烟楼梯间。</w:t>
      </w:r>
      <w:r>
        <w:rPr>
          <w:sz w:val="21"/>
        </w:rPr>
        <w:t> </w:t>
      </w:r>
    </w:p>
    <w:p>
      <w:pPr>
        <w:pStyle w:val="ListParagraph"/>
        <w:numPr>
          <w:ilvl w:val="1"/>
          <w:numId w:val="932"/>
        </w:numPr>
        <w:tabs>
          <w:tab w:pos="1159" w:val="left" w:leader="none"/>
        </w:tabs>
        <w:spacing w:line="240" w:lineRule="auto" w:before="1" w:after="0"/>
        <w:ind w:left="1158" w:right="0" w:hanging="319"/>
        <w:jc w:val="left"/>
        <w:rPr>
          <w:b/>
          <w:sz w:val="21"/>
        </w:rPr>
      </w:pPr>
      <w:r>
        <w:rPr>
          <w:spacing w:val="-3"/>
          <w:sz w:val="21"/>
        </w:rPr>
        <w:t>地上车站</w:t>
      </w:r>
      <w:r>
        <w:rPr>
          <w:b/>
          <w:w w:val="99"/>
          <w:sz w:val="21"/>
        </w:rPr>
        <w:t> </w:t>
      </w:r>
    </w:p>
    <w:p>
      <w:pPr>
        <w:pStyle w:val="BodyText"/>
        <w:spacing w:before="12"/>
        <w:rPr>
          <w:b/>
          <w:sz w:val="17"/>
        </w:rPr>
      </w:pPr>
    </w:p>
    <w:p>
      <w:pPr>
        <w:pStyle w:val="ListParagraph"/>
        <w:numPr>
          <w:ilvl w:val="2"/>
          <w:numId w:val="932"/>
        </w:numPr>
        <w:tabs>
          <w:tab w:pos="1371" w:val="left" w:leader="none"/>
        </w:tabs>
        <w:spacing w:line="240" w:lineRule="auto" w:before="0" w:after="0"/>
        <w:ind w:left="1370" w:right="0" w:hanging="531"/>
        <w:jc w:val="left"/>
        <w:rPr>
          <w:sz w:val="21"/>
        </w:rPr>
      </w:pPr>
      <w:r>
        <w:rPr>
          <w:spacing w:val="-3"/>
          <w:sz w:val="21"/>
        </w:rPr>
        <w:t>站厅通向天桥的出口可作为安全出口，且应符合下列规定：</w:t>
      </w:r>
      <w:r>
        <w:rPr>
          <w:sz w:val="21"/>
        </w:rPr>
        <w:t> </w:t>
      </w:r>
    </w:p>
    <w:p>
      <w:pPr>
        <w:pStyle w:val="BodyText"/>
        <w:spacing w:before="2"/>
        <w:rPr>
          <w:sz w:val="18"/>
        </w:rPr>
      </w:pPr>
    </w:p>
    <w:p>
      <w:pPr>
        <w:pStyle w:val="BodyText"/>
        <w:spacing w:line="446" w:lineRule="auto"/>
        <w:ind w:left="838" w:right="4237"/>
        <w:rPr>
          <w:b/>
        </w:rPr>
      </w:pPr>
      <w:r>
        <w:rPr/>
        <w:t>应采用不燃材料制作，内部装修材料的燃烧性能应为 A 级； 应具有良好的自然排烟条件；</w:t>
      </w:r>
      <w:r>
        <w:rPr>
          <w:b/>
          <w:w w:val="99"/>
        </w:rPr>
        <w:t> </w:t>
      </w:r>
    </w:p>
    <w:p>
      <w:pPr>
        <w:pStyle w:val="BodyText"/>
        <w:spacing w:line="446" w:lineRule="auto"/>
        <w:ind w:left="838" w:right="6969"/>
        <w:rPr>
          <w:b/>
        </w:rPr>
      </w:pPr>
      <w:r>
        <w:rPr/>
        <w:t>不得用于人行外的其他用途； 应能直接通至地面。</w:t>
      </w:r>
      <w:r>
        <w:rPr>
          <w:b/>
          <w:w w:val="99"/>
        </w:rPr>
        <w:t> </w:t>
      </w:r>
    </w:p>
    <w:p>
      <w:pPr>
        <w:pStyle w:val="ListParagraph"/>
        <w:numPr>
          <w:ilvl w:val="2"/>
          <w:numId w:val="932"/>
        </w:numPr>
        <w:tabs>
          <w:tab w:pos="1370" w:val="left" w:leader="none"/>
        </w:tabs>
        <w:spacing w:line="446" w:lineRule="auto" w:before="0" w:after="0"/>
        <w:ind w:left="418" w:right="1608" w:firstLine="422"/>
        <w:jc w:val="both"/>
        <w:rPr>
          <w:sz w:val="21"/>
        </w:rPr>
      </w:pPr>
      <w:r>
        <w:rPr>
          <w:spacing w:val="-5"/>
          <w:sz w:val="21"/>
        </w:rPr>
        <w:t>换乘车站的换乘通道和换乘梯应采用不燃材料制作，其装修材料的燃烧性能应为 </w:t>
      </w:r>
      <w:r>
        <w:rPr>
          <w:sz w:val="21"/>
        </w:rPr>
        <w:t>A </w:t>
      </w:r>
      <w:r>
        <w:rPr>
          <w:spacing w:val="-3"/>
          <w:sz w:val="21"/>
        </w:rPr>
        <w:t>级；当换乘通道和换乘梯具有良好的自然排烟条件时，换乘车站通向该换乘通道或换乘梯的出口可作为安全出口。</w:t>
      </w:r>
      <w:r>
        <w:rPr>
          <w:sz w:val="21"/>
        </w:rPr>
        <w:t> </w:t>
      </w:r>
    </w:p>
    <w:p>
      <w:pPr>
        <w:pStyle w:val="ListParagraph"/>
        <w:numPr>
          <w:ilvl w:val="2"/>
          <w:numId w:val="932"/>
        </w:numPr>
        <w:tabs>
          <w:tab w:pos="1370" w:val="left" w:leader="none"/>
        </w:tabs>
        <w:spacing w:line="446" w:lineRule="auto" w:before="0" w:after="0"/>
        <w:ind w:left="418" w:right="1813" w:firstLine="422"/>
        <w:jc w:val="left"/>
        <w:rPr>
          <w:sz w:val="21"/>
        </w:rPr>
      </w:pPr>
      <w:r>
        <w:rPr>
          <w:spacing w:val="-3"/>
          <w:sz w:val="21"/>
        </w:rPr>
        <w:t>地面侧式站台车站的过轨地道可作为疏散通道，上跨轨道的通道不得作为疏散通道。</w:t>
      </w:r>
      <w:r>
        <w:rPr>
          <w:sz w:val="21"/>
        </w:rPr>
        <w:t> </w:t>
      </w:r>
    </w:p>
    <w:p>
      <w:pPr>
        <w:pStyle w:val="ListParagraph"/>
        <w:numPr>
          <w:ilvl w:val="2"/>
          <w:numId w:val="932"/>
        </w:numPr>
        <w:tabs>
          <w:tab w:pos="1370" w:val="left" w:leader="none"/>
        </w:tabs>
        <w:spacing w:line="446" w:lineRule="auto" w:before="0" w:after="0"/>
        <w:ind w:left="418" w:right="1604" w:firstLine="422"/>
        <w:jc w:val="left"/>
        <w:rPr>
          <w:sz w:val="21"/>
        </w:rPr>
      </w:pPr>
      <w:r>
        <w:rPr>
          <w:spacing w:val="-3"/>
          <w:sz w:val="21"/>
        </w:rPr>
        <w:t>设备管理区内房间的疏散门至最近安全出口的疏散距离应符合现行国家标准《建筑设计防火规范》</w:t>
      </w:r>
      <w:r>
        <w:rPr>
          <w:sz w:val="21"/>
        </w:rPr>
        <w:t>GB 50016</w:t>
      </w:r>
      <w:r>
        <w:rPr>
          <w:spacing w:val="-13"/>
          <w:sz w:val="21"/>
        </w:rPr>
        <w:t> 的规定。</w:t>
      </w:r>
      <w:r>
        <w:rPr>
          <w:sz w:val="21"/>
        </w:rPr>
        <w:t> </w:t>
      </w:r>
    </w:p>
    <w:p>
      <w:pPr>
        <w:pStyle w:val="ListParagraph"/>
        <w:numPr>
          <w:ilvl w:val="2"/>
          <w:numId w:val="932"/>
        </w:numPr>
        <w:tabs>
          <w:tab w:pos="1370" w:val="left" w:leader="none"/>
        </w:tabs>
        <w:spacing w:line="446" w:lineRule="auto" w:before="0" w:after="0"/>
        <w:ind w:left="418" w:right="1813" w:firstLine="422"/>
        <w:jc w:val="left"/>
        <w:rPr>
          <w:sz w:val="21"/>
        </w:rPr>
      </w:pPr>
      <w:r>
        <w:rPr>
          <w:spacing w:val="-3"/>
          <w:sz w:val="21"/>
        </w:rPr>
        <w:t>与区间纵向疏散平台相连通的站台的安全出口，可利用站台门上能双向开启的端门。</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932"/>
        </w:numPr>
        <w:tabs>
          <w:tab w:pos="1370" w:val="left" w:leader="none"/>
        </w:tabs>
        <w:spacing w:line="446" w:lineRule="auto" w:before="47" w:after="0"/>
        <w:ind w:left="418" w:right="1604" w:firstLine="422"/>
        <w:jc w:val="left"/>
        <w:rPr>
          <w:sz w:val="21"/>
        </w:rPr>
      </w:pPr>
      <w:r>
        <w:rPr>
          <w:spacing w:val="-9"/>
          <w:sz w:val="21"/>
        </w:rPr>
        <w:t>建筑高度超过 </w:t>
      </w:r>
      <w:r>
        <w:rPr>
          <w:sz w:val="21"/>
        </w:rPr>
        <w:t>24m</w:t>
      </w:r>
      <w:r>
        <w:rPr>
          <w:spacing w:val="-8"/>
          <w:sz w:val="21"/>
        </w:rPr>
        <w:t> 且相连区间未设纵向疏散平台的高架车站，应在站台增设直达地</w:t>
      </w:r>
      <w:r>
        <w:rPr>
          <w:spacing w:val="-5"/>
          <w:sz w:val="21"/>
        </w:rPr>
        <w:t>面的疏散楼梯。</w:t>
      </w:r>
      <w:r>
        <w:rPr>
          <w:sz w:val="21"/>
        </w:rPr>
        <w:t> </w:t>
      </w:r>
    </w:p>
    <w:p>
      <w:pPr>
        <w:pStyle w:val="ListParagraph"/>
        <w:numPr>
          <w:ilvl w:val="1"/>
          <w:numId w:val="932"/>
        </w:numPr>
        <w:tabs>
          <w:tab w:pos="1159" w:val="left" w:leader="none"/>
        </w:tabs>
        <w:spacing w:line="267" w:lineRule="exact" w:before="0" w:after="0"/>
        <w:ind w:left="1158" w:right="0" w:hanging="319"/>
        <w:jc w:val="left"/>
        <w:rPr>
          <w:b/>
          <w:sz w:val="21"/>
        </w:rPr>
      </w:pPr>
      <w:r>
        <w:rPr>
          <w:spacing w:val="-3"/>
          <w:sz w:val="21"/>
        </w:rPr>
        <w:t>区间</w:t>
      </w:r>
      <w:r>
        <w:rPr>
          <w:b/>
          <w:w w:val="99"/>
          <w:sz w:val="21"/>
        </w:rPr>
        <w:t> </w:t>
      </w:r>
    </w:p>
    <w:p>
      <w:pPr>
        <w:pStyle w:val="BodyText"/>
        <w:spacing w:before="2"/>
        <w:rPr>
          <w:b/>
          <w:sz w:val="18"/>
        </w:rPr>
      </w:pPr>
    </w:p>
    <w:p>
      <w:pPr>
        <w:pStyle w:val="ListParagraph"/>
        <w:numPr>
          <w:ilvl w:val="2"/>
          <w:numId w:val="932"/>
        </w:numPr>
        <w:tabs>
          <w:tab w:pos="1371" w:val="left" w:leader="none"/>
        </w:tabs>
        <w:spacing w:line="446" w:lineRule="auto" w:before="0" w:after="0"/>
        <w:ind w:left="418" w:right="1813" w:firstLine="422"/>
        <w:jc w:val="left"/>
        <w:rPr>
          <w:sz w:val="21"/>
        </w:rPr>
      </w:pPr>
      <w:r>
        <w:rPr>
          <w:spacing w:val="-3"/>
          <w:sz w:val="21"/>
        </w:rPr>
        <w:t>载客运营轨道区的道床面应平整、连续、无障碍物，并应满足人员疏散行走的要求。</w:t>
      </w:r>
      <w:r>
        <w:rPr>
          <w:sz w:val="21"/>
        </w:rPr>
        <w:t> </w:t>
      </w:r>
    </w:p>
    <w:p>
      <w:pPr>
        <w:pStyle w:val="ListParagraph"/>
        <w:numPr>
          <w:ilvl w:val="2"/>
          <w:numId w:val="932"/>
        </w:numPr>
        <w:tabs>
          <w:tab w:pos="1371" w:val="left" w:leader="none"/>
        </w:tabs>
        <w:spacing w:line="446" w:lineRule="auto" w:before="0" w:after="0"/>
        <w:ind w:left="418" w:right="1604" w:firstLine="422"/>
        <w:jc w:val="left"/>
        <w:rPr>
          <w:sz w:val="21"/>
        </w:rPr>
      </w:pPr>
      <w:r>
        <w:rPr>
          <w:spacing w:val="-3"/>
          <w:sz w:val="21"/>
        </w:rPr>
        <w:t>两条单线载客运营地下区间之间应设置联络通道，相邻两条联络通道之间的最小水</w:t>
      </w:r>
      <w:r>
        <w:rPr>
          <w:spacing w:val="-10"/>
          <w:sz w:val="21"/>
        </w:rPr>
        <w:t>平距离不应大于 </w:t>
      </w:r>
      <w:r>
        <w:rPr>
          <w:sz w:val="21"/>
        </w:rPr>
        <w:t>600m</w:t>
      </w:r>
      <w:r>
        <w:rPr>
          <w:spacing w:val="-3"/>
          <w:sz w:val="21"/>
        </w:rPr>
        <w:t>，通道内应设置一道并列二樘且反向开启的甲级防火门。 </w:t>
      </w:r>
    </w:p>
    <w:p>
      <w:pPr>
        <w:pStyle w:val="ListParagraph"/>
        <w:numPr>
          <w:ilvl w:val="2"/>
          <w:numId w:val="932"/>
        </w:numPr>
        <w:tabs>
          <w:tab w:pos="1370" w:val="left" w:leader="none"/>
        </w:tabs>
        <w:spacing w:line="240" w:lineRule="auto" w:before="0" w:after="0"/>
        <w:ind w:left="1369" w:right="0" w:hanging="530"/>
        <w:jc w:val="left"/>
        <w:rPr>
          <w:sz w:val="21"/>
        </w:rPr>
      </w:pPr>
      <w:r>
        <w:rPr>
          <w:spacing w:val="-3"/>
          <w:sz w:val="21"/>
        </w:rPr>
        <w:t>载客运营地下区间内应设置纵向疏散平台。</w:t>
      </w:r>
      <w:r>
        <w:rPr>
          <w:sz w:val="21"/>
        </w:rPr>
        <w:t> </w:t>
      </w:r>
    </w:p>
    <w:p>
      <w:pPr>
        <w:pStyle w:val="BodyText"/>
        <w:spacing w:before="10"/>
        <w:rPr>
          <w:sz w:val="17"/>
        </w:rPr>
      </w:pPr>
    </w:p>
    <w:p>
      <w:pPr>
        <w:pStyle w:val="ListParagraph"/>
        <w:numPr>
          <w:ilvl w:val="2"/>
          <w:numId w:val="932"/>
        </w:numPr>
        <w:tabs>
          <w:tab w:pos="1370" w:val="left" w:leader="none"/>
        </w:tabs>
        <w:spacing w:line="446" w:lineRule="auto" w:before="1" w:after="0"/>
        <w:ind w:left="418" w:right="1505" w:firstLine="422"/>
        <w:jc w:val="left"/>
        <w:rPr>
          <w:sz w:val="21"/>
        </w:rPr>
      </w:pPr>
      <w:r>
        <w:rPr>
          <w:spacing w:val="-5"/>
          <w:sz w:val="21"/>
        </w:rPr>
        <w:t>单洞双线载客运营地下区间的线路间宜设置耐火极限不低于 </w:t>
      </w:r>
      <w:r>
        <w:rPr>
          <w:sz w:val="21"/>
        </w:rPr>
        <w:t>3.00h</w:t>
      </w:r>
      <w:r>
        <w:rPr>
          <w:spacing w:val="-7"/>
          <w:sz w:val="21"/>
        </w:rPr>
        <w:t> 的防火墙；不设置</w:t>
      </w:r>
      <w:r>
        <w:rPr>
          <w:spacing w:val="-4"/>
          <w:sz w:val="21"/>
        </w:rPr>
        <w:t>防火墙且不能敷设排烟道</w:t>
      </w:r>
      <w:r>
        <w:rPr>
          <w:sz w:val="21"/>
        </w:rPr>
        <w:t>（</w:t>
      </w:r>
      <w:r>
        <w:rPr>
          <w:spacing w:val="-3"/>
          <w:sz w:val="21"/>
        </w:rPr>
        <w:t>管</w:t>
      </w:r>
      <w:r>
        <w:rPr>
          <w:sz w:val="21"/>
        </w:rPr>
        <w:t>）</w:t>
      </w:r>
      <w:r>
        <w:rPr>
          <w:spacing w:val="-6"/>
          <w:sz w:val="21"/>
        </w:rPr>
        <w:t>时，在地下区间内应每隔 </w:t>
      </w:r>
      <w:r>
        <w:rPr>
          <w:sz w:val="21"/>
        </w:rPr>
        <w:t>800m</w:t>
      </w:r>
      <w:r>
        <w:rPr>
          <w:spacing w:val="-7"/>
          <w:sz w:val="21"/>
        </w:rPr>
        <w:t> 设置一个直通地面的疏散井，井</w:t>
      </w:r>
      <w:r>
        <w:rPr>
          <w:spacing w:val="-4"/>
          <w:sz w:val="21"/>
        </w:rPr>
        <w:t>内的楼梯间应采用防烟楼梯间。</w:t>
      </w:r>
      <w:r>
        <w:rPr>
          <w:sz w:val="21"/>
        </w:rPr>
        <w:t> </w:t>
      </w:r>
    </w:p>
    <w:p>
      <w:pPr>
        <w:pStyle w:val="ListParagraph"/>
        <w:numPr>
          <w:ilvl w:val="2"/>
          <w:numId w:val="932"/>
        </w:numPr>
        <w:tabs>
          <w:tab w:pos="1370" w:val="left" w:leader="none"/>
        </w:tabs>
        <w:spacing w:line="268" w:lineRule="exact" w:before="0" w:after="0"/>
        <w:ind w:left="1369" w:right="0" w:hanging="530"/>
        <w:jc w:val="left"/>
        <w:rPr>
          <w:sz w:val="21"/>
        </w:rPr>
      </w:pPr>
      <w:r>
        <w:rPr>
          <w:spacing w:val="-3"/>
          <w:sz w:val="21"/>
        </w:rPr>
        <w:t>当地下区间利用区间风井进行疏散时，风井内应设置直达地面的防烟楼梯间。</w:t>
      </w:r>
      <w:r>
        <w:rPr>
          <w:sz w:val="21"/>
        </w:rPr>
        <w:t> </w:t>
      </w:r>
    </w:p>
    <w:p>
      <w:pPr>
        <w:pStyle w:val="BodyText"/>
        <w:spacing w:before="1"/>
        <w:rPr>
          <w:sz w:val="18"/>
        </w:rPr>
      </w:pPr>
    </w:p>
    <w:p>
      <w:pPr>
        <w:pStyle w:val="ListParagraph"/>
        <w:numPr>
          <w:ilvl w:val="2"/>
          <w:numId w:val="932"/>
        </w:numPr>
        <w:tabs>
          <w:tab w:pos="1370" w:val="left" w:leader="none"/>
        </w:tabs>
        <w:spacing w:line="446" w:lineRule="auto" w:before="0" w:after="0"/>
        <w:ind w:left="418" w:right="1604" w:firstLine="422"/>
        <w:jc w:val="left"/>
        <w:rPr>
          <w:sz w:val="21"/>
        </w:rPr>
      </w:pPr>
      <w:r>
        <w:rPr>
          <w:spacing w:val="-3"/>
          <w:sz w:val="21"/>
        </w:rPr>
        <w:t>列车客室门应设置手动紧急解锁装置；需行驶于地下区间的列车的车头和车尾节应设置疏散门，各节车厢之间应贯通。</w:t>
      </w:r>
      <w:r>
        <w:rPr>
          <w:sz w:val="21"/>
        </w:rPr>
        <w:t> </w:t>
      </w:r>
    </w:p>
    <w:p>
      <w:pPr>
        <w:pStyle w:val="ListParagraph"/>
        <w:numPr>
          <w:ilvl w:val="2"/>
          <w:numId w:val="932"/>
        </w:numPr>
        <w:tabs>
          <w:tab w:pos="1370" w:val="left" w:leader="none"/>
        </w:tabs>
        <w:spacing w:line="446" w:lineRule="auto" w:before="0" w:after="0"/>
        <w:ind w:left="418" w:right="1604" w:firstLine="422"/>
        <w:jc w:val="both"/>
        <w:rPr>
          <w:sz w:val="21"/>
        </w:rPr>
      </w:pPr>
      <w:r>
        <w:rPr>
          <w:spacing w:val="-3"/>
          <w:sz w:val="21"/>
        </w:rPr>
        <w:t>区间两端采用侧式站台车站的载客运营地上区间，应设置纵向疏散平台；区间两端采用岛式站台车站的地上载客运营区间，应在上、下行线路之间设置纵向疏散平台，并应符合下列规定：</w:t>
      </w:r>
      <w:r>
        <w:rPr>
          <w:sz w:val="21"/>
        </w:rPr>
        <w:t> </w:t>
      </w:r>
    </w:p>
    <w:p>
      <w:pPr>
        <w:pStyle w:val="BodyText"/>
        <w:spacing w:line="446" w:lineRule="auto"/>
        <w:ind w:left="418" w:right="1609" w:firstLine="419"/>
      </w:pPr>
      <w:r>
        <w:rPr/>
        <w:t>对于上、下行线合一的载客运营地上区间，当列车车头、车尾节设置疏散门，且各节车厢相互贯通或车辆侧门设置乘客下到道床面的设施时，可不设置纵向疏散平台。 </w:t>
      </w:r>
    </w:p>
    <w:p>
      <w:pPr>
        <w:pStyle w:val="BodyText"/>
        <w:spacing w:line="446" w:lineRule="auto"/>
        <w:ind w:left="418" w:right="1609" w:firstLine="419"/>
      </w:pPr>
      <w:r>
        <w:rPr/>
        <w:t>对于上、下行线分开的单向载客运营地上区间，当列车车头、车尾节设置疏散门，且各节车厢相互贯通时，可不设置纵向疏散平台。 </w:t>
      </w:r>
    </w:p>
    <w:p>
      <w:pPr>
        <w:pStyle w:val="ListParagraph"/>
        <w:numPr>
          <w:ilvl w:val="1"/>
          <w:numId w:val="932"/>
        </w:numPr>
        <w:tabs>
          <w:tab w:pos="1159" w:val="left" w:leader="none"/>
        </w:tabs>
        <w:spacing w:line="240" w:lineRule="auto" w:before="0" w:after="0"/>
        <w:ind w:left="1158" w:right="0" w:hanging="319"/>
        <w:jc w:val="left"/>
        <w:rPr>
          <w:b/>
          <w:sz w:val="21"/>
        </w:rPr>
      </w:pPr>
      <w:r>
        <w:rPr>
          <w:spacing w:val="-3"/>
          <w:sz w:val="21"/>
        </w:rPr>
        <w:t>控制中心、主变电所与车辆基地</w:t>
      </w:r>
      <w:r>
        <w:rPr>
          <w:b/>
          <w:w w:val="99"/>
          <w:sz w:val="21"/>
        </w:rPr>
        <w:t> </w:t>
      </w:r>
    </w:p>
    <w:p>
      <w:pPr>
        <w:pStyle w:val="BodyText"/>
        <w:spacing w:before="9"/>
        <w:rPr>
          <w:b/>
          <w:sz w:val="17"/>
        </w:rPr>
      </w:pPr>
    </w:p>
    <w:p>
      <w:pPr>
        <w:pStyle w:val="ListParagraph"/>
        <w:numPr>
          <w:ilvl w:val="2"/>
          <w:numId w:val="932"/>
        </w:numPr>
        <w:tabs>
          <w:tab w:pos="1371" w:val="left" w:leader="none"/>
        </w:tabs>
        <w:spacing w:line="240" w:lineRule="auto" w:before="1" w:after="0"/>
        <w:ind w:left="1370" w:right="0" w:hanging="531"/>
        <w:jc w:val="both"/>
        <w:rPr>
          <w:sz w:val="21"/>
        </w:rPr>
      </w:pPr>
      <w:r>
        <w:rPr>
          <w:spacing w:val="-7"/>
          <w:sz w:val="21"/>
        </w:rPr>
        <w:t>中央控制室的安全出口不应少于 </w:t>
      </w:r>
      <w:r>
        <w:rPr>
          <w:sz w:val="21"/>
        </w:rPr>
        <w:t>2</w:t>
      </w:r>
      <w:r>
        <w:rPr>
          <w:spacing w:val="-9"/>
          <w:sz w:val="21"/>
        </w:rPr>
        <w:t> 个，室内的设备布置应方便人员安全疏散。</w:t>
      </w:r>
      <w:r>
        <w:rPr>
          <w:sz w:val="21"/>
        </w:rPr>
        <w:t> </w:t>
      </w:r>
    </w:p>
    <w:p>
      <w:pPr>
        <w:pStyle w:val="BodyText"/>
        <w:spacing w:before="12"/>
        <w:rPr>
          <w:sz w:val="17"/>
        </w:rPr>
      </w:pPr>
    </w:p>
    <w:p>
      <w:pPr>
        <w:pStyle w:val="ListParagraph"/>
        <w:numPr>
          <w:ilvl w:val="2"/>
          <w:numId w:val="932"/>
        </w:numPr>
        <w:tabs>
          <w:tab w:pos="1371" w:val="left" w:leader="none"/>
        </w:tabs>
        <w:spacing w:line="446" w:lineRule="auto" w:before="0" w:after="0"/>
        <w:ind w:left="418" w:right="1608" w:firstLine="422"/>
        <w:jc w:val="both"/>
        <w:rPr>
          <w:sz w:val="21"/>
        </w:rPr>
      </w:pPr>
      <w:r>
        <w:rPr>
          <w:spacing w:val="-10"/>
          <w:sz w:val="21"/>
        </w:rPr>
        <w:t>建筑面积大于 </w:t>
      </w:r>
      <w:r>
        <w:rPr>
          <w:sz w:val="21"/>
        </w:rPr>
        <w:t>250m2</w:t>
      </w:r>
      <w:r>
        <w:rPr>
          <w:spacing w:val="-10"/>
          <w:sz w:val="21"/>
        </w:rPr>
        <w:t> 的控制室和配电装置室、补偿装置室、电缆夹层应至少设置 </w:t>
      </w:r>
      <w:r>
        <w:rPr>
          <w:sz w:val="21"/>
        </w:rPr>
        <w:t>2 </w:t>
      </w:r>
      <w:r>
        <w:rPr>
          <w:spacing w:val="-5"/>
          <w:sz w:val="21"/>
        </w:rPr>
        <w:t>个安全出口，并宜布置在设备室的两端。建筑长度大于 </w:t>
      </w:r>
      <w:r>
        <w:rPr>
          <w:sz w:val="21"/>
        </w:rPr>
        <w:t>60m</w:t>
      </w:r>
      <w:r>
        <w:rPr>
          <w:spacing w:val="-7"/>
          <w:sz w:val="21"/>
        </w:rPr>
        <w:t> 的配电装置室，应在其中间适当部</w:t>
      </w:r>
      <w:r>
        <w:rPr>
          <w:spacing w:val="-17"/>
          <w:sz w:val="21"/>
        </w:rPr>
        <w:t>位增设 </w:t>
      </w:r>
      <w:r>
        <w:rPr>
          <w:sz w:val="21"/>
        </w:rPr>
        <w:t>1</w:t>
      </w:r>
      <w:r>
        <w:rPr>
          <w:spacing w:val="-10"/>
          <w:sz w:val="21"/>
        </w:rPr>
        <w:t> 个安全出口。</w:t>
      </w:r>
      <w:r>
        <w:rPr>
          <w:sz w:val="21"/>
        </w:rPr>
        <w:t> </w:t>
      </w:r>
    </w:p>
    <w:p>
      <w:pPr>
        <w:pStyle w:val="ListParagraph"/>
        <w:numPr>
          <w:ilvl w:val="2"/>
          <w:numId w:val="932"/>
        </w:numPr>
        <w:tabs>
          <w:tab w:pos="1371" w:val="left" w:leader="none"/>
        </w:tabs>
        <w:spacing w:line="446" w:lineRule="auto" w:before="0" w:after="0"/>
        <w:ind w:left="418" w:right="1604" w:firstLine="422"/>
        <w:jc w:val="both"/>
        <w:rPr>
          <w:sz w:val="21"/>
        </w:rPr>
      </w:pPr>
      <w:r>
        <w:rPr>
          <w:spacing w:val="-3"/>
          <w:sz w:val="21"/>
        </w:rPr>
        <w:t>地下停车库、列检库、停车列检库、运用库和联合检修库等场所内每个防火分区的</w:t>
      </w:r>
      <w:r>
        <w:rPr>
          <w:spacing w:val="-9"/>
          <w:sz w:val="21"/>
        </w:rPr>
        <w:t>安全出口不应少于 </w:t>
      </w:r>
      <w:r>
        <w:rPr>
          <w:sz w:val="21"/>
        </w:rPr>
        <w:t>2</w:t>
      </w:r>
      <w:r>
        <w:rPr>
          <w:spacing w:val="-9"/>
          <w:sz w:val="21"/>
        </w:rPr>
        <w:t> 个，并应符合下列规定：</w:t>
      </w:r>
      <w:r>
        <w:rPr>
          <w:sz w:val="21"/>
        </w:rPr>
        <w:t> </w:t>
      </w:r>
    </w:p>
    <w:p>
      <w:pPr>
        <w:spacing w:after="0" w:line="446" w:lineRule="auto"/>
        <w:jc w:val="both"/>
        <w:rPr>
          <w:sz w:val="21"/>
        </w:rPr>
        <w:sectPr>
          <w:pgSz w:w="11910" w:h="16850"/>
          <w:pgMar w:header="0" w:footer="1239" w:top="1220" w:bottom="1420" w:left="1260" w:right="0"/>
        </w:sectPr>
      </w:pPr>
    </w:p>
    <w:p>
      <w:pPr>
        <w:pStyle w:val="BodyText"/>
        <w:spacing w:line="446" w:lineRule="auto" w:before="47"/>
        <w:ind w:left="418" w:right="1450" w:firstLine="419"/>
      </w:pPr>
      <w:r>
        <w:rPr>
          <w:spacing w:val="-8"/>
        </w:rPr>
        <w:t>当室内外高差不大于 </w:t>
      </w:r>
      <w:r>
        <w:rPr/>
        <w:t>10m</w:t>
      </w:r>
      <w:r>
        <w:rPr>
          <w:spacing w:val="-10"/>
        </w:rPr>
        <w:t>，平面上有 </w:t>
      </w:r>
      <w:r>
        <w:rPr/>
        <w:t>2</w:t>
      </w:r>
      <w:r>
        <w:rPr>
          <w:spacing w:val="-24"/>
        </w:rPr>
        <w:t> 个或 </w:t>
      </w:r>
      <w:r>
        <w:rPr/>
        <w:t>2</w:t>
      </w:r>
      <w:r>
        <w:rPr>
          <w:spacing w:val="-8"/>
        </w:rPr>
        <w:t> 个以上的防火分区相邻布置时，每个防火分区</w:t>
      </w:r>
      <w:r>
        <w:rPr>
          <w:spacing w:val="-5"/>
        </w:rPr>
        <w:t>可利用一个设置在防火墙上并通向相邻防火分区的甲级防火门作为第二个安全出口，但必须至 </w:t>
      </w:r>
      <w:r>
        <w:rPr>
          <w:spacing w:val="-16"/>
        </w:rPr>
        <w:t>少设置 </w:t>
      </w:r>
      <w:r>
        <w:rPr/>
        <w:t>1</w:t>
      </w:r>
      <w:r>
        <w:rPr>
          <w:spacing w:val="-9"/>
        </w:rPr>
        <w:t> 个直通室外的安全出口。</w:t>
      </w:r>
      <w:r>
        <w:rPr/>
        <w:t> </w:t>
      </w:r>
    </w:p>
    <w:p>
      <w:pPr>
        <w:pStyle w:val="BodyText"/>
        <w:spacing w:line="446" w:lineRule="auto"/>
        <w:ind w:left="418" w:right="1609" w:firstLine="419"/>
      </w:pPr>
      <w:r>
        <w:rPr/>
        <w:t>采光竖井或进风竖井内设置直通地面的疏散楼梯，且通向竖井处设置常闭甲级防火门的防火分区，可设置另一个通向室外或避难走道的安全出口。 </w:t>
      </w:r>
    </w:p>
    <w:p>
      <w:pPr>
        <w:pStyle w:val="ListParagraph"/>
        <w:numPr>
          <w:ilvl w:val="2"/>
          <w:numId w:val="932"/>
        </w:numPr>
        <w:tabs>
          <w:tab w:pos="1371" w:val="left" w:leader="none"/>
        </w:tabs>
        <w:spacing w:line="446" w:lineRule="auto" w:before="0" w:after="0"/>
        <w:ind w:left="418" w:right="1604" w:firstLine="422"/>
        <w:jc w:val="left"/>
        <w:rPr>
          <w:sz w:val="21"/>
        </w:rPr>
      </w:pPr>
      <w:r>
        <w:rPr>
          <w:spacing w:val="-3"/>
          <w:sz w:val="21"/>
        </w:rPr>
        <w:t>地下停车库、列检库、停车列检库、运用库和联合检修库的室内最远一点至最近安</w:t>
      </w:r>
      <w:r>
        <w:rPr>
          <w:spacing w:val="-7"/>
          <w:sz w:val="21"/>
        </w:rPr>
        <w:t>全出口的疏散距离不应大于 </w:t>
      </w:r>
      <w:r>
        <w:rPr>
          <w:sz w:val="21"/>
        </w:rPr>
        <w:t>45m</w:t>
      </w:r>
      <w:r>
        <w:rPr>
          <w:spacing w:val="-6"/>
          <w:sz w:val="21"/>
        </w:rPr>
        <w:t>；当设置自动灭火系统时，不应大于 </w:t>
      </w:r>
      <w:r>
        <w:rPr>
          <w:sz w:val="21"/>
        </w:rPr>
        <w:t>60m</w:t>
      </w:r>
      <w:r>
        <w:rPr>
          <w:spacing w:val="-3"/>
          <w:sz w:val="21"/>
        </w:rPr>
        <w:t>。</w:t>
      </w:r>
      <w:r>
        <w:rPr>
          <w:sz w:val="21"/>
        </w:rPr>
        <w:t> </w:t>
      </w:r>
    </w:p>
    <w:p>
      <w:pPr>
        <w:pStyle w:val="ListParagraph"/>
        <w:numPr>
          <w:ilvl w:val="2"/>
          <w:numId w:val="932"/>
        </w:numPr>
        <w:tabs>
          <w:tab w:pos="1371" w:val="left" w:leader="none"/>
        </w:tabs>
        <w:spacing w:line="446" w:lineRule="auto" w:before="0" w:after="0"/>
        <w:ind w:left="418" w:right="1604" w:firstLine="422"/>
        <w:jc w:val="left"/>
        <w:rPr>
          <w:sz w:val="21"/>
        </w:rPr>
      </w:pPr>
      <w:r>
        <w:rPr>
          <w:spacing w:val="-3"/>
          <w:sz w:val="21"/>
        </w:rPr>
        <w:t>车辆基地和其建筑上部其他功能场所的人员安全出口应分别独立设置，且不得相互借用。</w:t>
      </w:r>
      <w:r>
        <w:rPr>
          <w:sz w:val="21"/>
        </w:rPr>
        <w:t> </w:t>
      </w:r>
    </w:p>
    <w:p>
      <w:pPr>
        <w:pStyle w:val="ListParagraph"/>
        <w:numPr>
          <w:ilvl w:val="1"/>
          <w:numId w:val="932"/>
        </w:numPr>
        <w:tabs>
          <w:tab w:pos="1159" w:val="left" w:leader="none"/>
        </w:tabs>
        <w:spacing w:line="240" w:lineRule="auto" w:before="0" w:after="0"/>
        <w:ind w:left="1158" w:right="0" w:hanging="319"/>
        <w:jc w:val="left"/>
        <w:rPr>
          <w:sz w:val="21"/>
        </w:rPr>
      </w:pPr>
      <w:r>
        <w:rPr>
          <w:spacing w:val="-3"/>
          <w:sz w:val="21"/>
        </w:rPr>
        <w:t>疏散指示标志</w:t>
      </w:r>
      <w:r>
        <w:rPr>
          <w:sz w:val="21"/>
        </w:rPr>
        <w:t> </w:t>
      </w:r>
    </w:p>
    <w:p>
      <w:pPr>
        <w:pStyle w:val="BodyText"/>
        <w:spacing w:before="9"/>
        <w:rPr>
          <w:sz w:val="17"/>
        </w:rPr>
      </w:pPr>
    </w:p>
    <w:p>
      <w:pPr>
        <w:pStyle w:val="ListParagraph"/>
        <w:numPr>
          <w:ilvl w:val="2"/>
          <w:numId w:val="932"/>
        </w:numPr>
        <w:tabs>
          <w:tab w:pos="1370" w:val="left" w:leader="none"/>
        </w:tabs>
        <w:spacing w:line="446" w:lineRule="auto" w:before="1" w:after="0"/>
        <w:ind w:left="418" w:right="1604" w:firstLine="422"/>
        <w:jc w:val="both"/>
        <w:rPr>
          <w:sz w:val="21"/>
        </w:rPr>
      </w:pPr>
      <w:r>
        <w:rPr>
          <w:spacing w:val="-3"/>
          <w:sz w:val="21"/>
        </w:rPr>
        <w:t>站台和站厅公共区、人行楼梯及其转角处、自动扶梯、疏散通道及其转角处、防烟楼梯间、消防专用通道、安全出口、避难走道、设备管理区内的走道和变电所的疏散通道等， 均应设置电光源型疏散指示标志。</w:t>
      </w:r>
      <w:r>
        <w:rPr>
          <w:sz w:val="21"/>
        </w:rPr>
        <w:t> </w:t>
      </w:r>
    </w:p>
    <w:p>
      <w:pPr>
        <w:pStyle w:val="ListParagraph"/>
        <w:numPr>
          <w:ilvl w:val="2"/>
          <w:numId w:val="932"/>
        </w:numPr>
        <w:tabs>
          <w:tab w:pos="1370" w:val="left" w:leader="none"/>
        </w:tabs>
        <w:spacing w:line="446" w:lineRule="auto" w:before="0" w:after="0"/>
        <w:ind w:left="418" w:right="1558" w:firstLine="422"/>
        <w:jc w:val="both"/>
        <w:rPr>
          <w:sz w:val="21"/>
        </w:rPr>
      </w:pPr>
      <w:r>
        <w:rPr>
          <w:spacing w:val="-3"/>
          <w:sz w:val="21"/>
        </w:rPr>
        <w:t>站台和站厅公共区内的疏散指示标志应设置在柱面或墙面上，标志的上边缘距地面 </w:t>
      </w:r>
      <w:r>
        <w:rPr>
          <w:spacing w:val="-11"/>
          <w:sz w:val="21"/>
        </w:rPr>
        <w:t>不应大于 </w:t>
      </w:r>
      <w:r>
        <w:rPr>
          <w:sz w:val="21"/>
        </w:rPr>
        <w:t>1m</w:t>
      </w:r>
      <w:r>
        <w:rPr>
          <w:spacing w:val="-8"/>
          <w:sz w:val="21"/>
        </w:rPr>
        <w:t>、间距不应大于 </w:t>
      </w:r>
      <w:r>
        <w:rPr>
          <w:sz w:val="21"/>
        </w:rPr>
        <w:t>20m</w:t>
      </w:r>
      <w:r>
        <w:rPr>
          <w:spacing w:val="-8"/>
          <w:sz w:val="21"/>
        </w:rPr>
        <w:t> 且不应大于两跨柱间距；在这些标志相对应位置的吊顶下宜增设疏散指示标志，其下边缘距地面不应小于 </w:t>
      </w:r>
      <w:r>
        <w:rPr>
          <w:sz w:val="21"/>
        </w:rPr>
        <w:t>2.2m</w:t>
      </w:r>
      <w:r>
        <w:rPr>
          <w:spacing w:val="-7"/>
          <w:sz w:val="21"/>
        </w:rPr>
        <w:t>，上边缘距吊顶面不应小于 </w:t>
      </w:r>
      <w:r>
        <w:rPr>
          <w:sz w:val="21"/>
        </w:rPr>
        <w:t>0.5m</w:t>
      </w:r>
      <w:r>
        <w:rPr>
          <w:spacing w:val="-3"/>
          <w:sz w:val="21"/>
        </w:rPr>
        <w:t>。</w:t>
      </w:r>
      <w:r>
        <w:rPr>
          <w:sz w:val="21"/>
        </w:rPr>
        <w:t> </w:t>
      </w:r>
    </w:p>
    <w:p>
      <w:pPr>
        <w:pStyle w:val="ListParagraph"/>
        <w:numPr>
          <w:ilvl w:val="2"/>
          <w:numId w:val="932"/>
        </w:numPr>
        <w:tabs>
          <w:tab w:pos="1371" w:val="left" w:leader="none"/>
        </w:tabs>
        <w:spacing w:line="446" w:lineRule="auto" w:before="0" w:after="0"/>
        <w:ind w:left="418" w:right="1603" w:firstLine="422"/>
        <w:jc w:val="both"/>
        <w:rPr>
          <w:sz w:val="21"/>
        </w:rPr>
      </w:pPr>
      <w:r>
        <w:rPr>
          <w:spacing w:val="-3"/>
          <w:sz w:val="21"/>
        </w:rPr>
        <w:t>安全出口和疏散通道出口处的疏散指示标志应设置在门洞边缘或门洞的上部，标志</w:t>
      </w:r>
      <w:r>
        <w:rPr>
          <w:spacing w:val="-7"/>
          <w:sz w:val="21"/>
        </w:rPr>
        <w:t>的上边缘距吊顶面不应小于 </w:t>
      </w:r>
      <w:r>
        <w:rPr>
          <w:sz w:val="21"/>
        </w:rPr>
        <w:t>0.5m</w:t>
      </w:r>
      <w:r>
        <w:rPr>
          <w:spacing w:val="-8"/>
          <w:sz w:val="21"/>
        </w:rPr>
        <w:t>，下边缘距地面不应小于 </w:t>
      </w:r>
      <w:r>
        <w:rPr>
          <w:sz w:val="21"/>
        </w:rPr>
        <w:t>2m</w:t>
      </w:r>
      <w:r>
        <w:rPr>
          <w:spacing w:val="-3"/>
          <w:sz w:val="21"/>
        </w:rPr>
        <w:t>。</w:t>
      </w:r>
      <w:r>
        <w:rPr>
          <w:sz w:val="21"/>
        </w:rPr>
        <w:t> </w:t>
      </w:r>
    </w:p>
    <w:p>
      <w:pPr>
        <w:pStyle w:val="ListParagraph"/>
        <w:numPr>
          <w:ilvl w:val="2"/>
          <w:numId w:val="932"/>
        </w:numPr>
        <w:tabs>
          <w:tab w:pos="1371" w:val="left" w:leader="none"/>
        </w:tabs>
        <w:spacing w:line="446" w:lineRule="auto" w:before="0" w:after="0"/>
        <w:ind w:left="418" w:right="1558" w:firstLine="422"/>
        <w:jc w:val="both"/>
        <w:rPr>
          <w:sz w:val="21"/>
        </w:rPr>
      </w:pPr>
      <w:r>
        <w:rPr>
          <w:spacing w:val="-3"/>
          <w:sz w:val="21"/>
        </w:rPr>
        <w:t>疏散通道两侧及转角处的疏散指示标志应设置在墙面上，标志的上边缘距地面不应 </w:t>
      </w:r>
      <w:r>
        <w:rPr>
          <w:spacing w:val="-17"/>
          <w:sz w:val="21"/>
        </w:rPr>
        <w:t>大于 </w:t>
      </w:r>
      <w:r>
        <w:rPr>
          <w:sz w:val="21"/>
        </w:rPr>
        <w:t>1m</w:t>
      </w:r>
      <w:r>
        <w:rPr>
          <w:spacing w:val="-8"/>
          <w:sz w:val="21"/>
        </w:rPr>
        <w:t>、间距不应大于 </w:t>
      </w:r>
      <w:r>
        <w:rPr>
          <w:sz w:val="21"/>
        </w:rPr>
        <w:t>10m，</w:t>
      </w:r>
      <w:r>
        <w:rPr>
          <w:spacing w:val="-6"/>
          <w:sz w:val="21"/>
        </w:rPr>
        <w:t>通道转角处的标志间距不应大于 </w:t>
      </w:r>
      <w:r>
        <w:rPr>
          <w:sz w:val="21"/>
        </w:rPr>
        <w:t>1m</w:t>
      </w:r>
      <w:r>
        <w:rPr>
          <w:spacing w:val="-3"/>
          <w:sz w:val="21"/>
        </w:rPr>
        <w:t>；在这些标志相对应位置的吊</w:t>
      </w:r>
      <w:r>
        <w:rPr>
          <w:spacing w:val="-4"/>
          <w:sz w:val="21"/>
        </w:rPr>
        <w:t>顶下宜增设疏散指示标志，其下边缘距地面不应小于 </w:t>
      </w:r>
      <w:r>
        <w:rPr>
          <w:sz w:val="21"/>
        </w:rPr>
        <w:t>2.2m</w:t>
      </w:r>
      <w:r>
        <w:rPr>
          <w:spacing w:val="-3"/>
          <w:sz w:val="21"/>
        </w:rPr>
        <w:t>。设备管理区疏散走道内的疏散指示</w:t>
      </w:r>
      <w:r>
        <w:rPr>
          <w:spacing w:val="-9"/>
          <w:sz w:val="21"/>
        </w:rPr>
        <w:t>标志间距不应大于 </w:t>
      </w:r>
      <w:r>
        <w:rPr>
          <w:sz w:val="21"/>
        </w:rPr>
        <w:t>10m。 </w:t>
      </w:r>
    </w:p>
    <w:p>
      <w:pPr>
        <w:pStyle w:val="ListParagraph"/>
        <w:numPr>
          <w:ilvl w:val="2"/>
          <w:numId w:val="932"/>
        </w:numPr>
        <w:tabs>
          <w:tab w:pos="1370" w:val="left" w:leader="none"/>
        </w:tabs>
        <w:spacing w:line="446" w:lineRule="auto" w:before="0" w:after="0"/>
        <w:ind w:left="418" w:right="1813" w:firstLine="422"/>
        <w:jc w:val="both"/>
        <w:rPr>
          <w:sz w:val="21"/>
        </w:rPr>
      </w:pPr>
      <w:r>
        <w:rPr>
          <w:spacing w:val="-6"/>
          <w:sz w:val="21"/>
        </w:rPr>
        <w:t>自动扶梯起点侧面及人行楼梯起步的 </w:t>
      </w:r>
      <w:r>
        <w:rPr>
          <w:sz w:val="21"/>
        </w:rPr>
        <w:t>3</w:t>
      </w:r>
      <w:r>
        <w:rPr>
          <w:spacing w:val="-8"/>
          <w:sz w:val="21"/>
        </w:rPr>
        <w:t> 阶踏步立面处，宜增设蓄光型疏散指示标</w:t>
      </w:r>
      <w:r>
        <w:rPr>
          <w:spacing w:val="-6"/>
          <w:sz w:val="21"/>
        </w:rPr>
        <w:t>志。</w:t>
      </w:r>
      <w:r>
        <w:rPr>
          <w:sz w:val="21"/>
        </w:rPr>
        <w:t> </w:t>
      </w:r>
    </w:p>
    <w:p>
      <w:pPr>
        <w:pStyle w:val="ListParagraph"/>
        <w:numPr>
          <w:ilvl w:val="2"/>
          <w:numId w:val="932"/>
        </w:numPr>
        <w:tabs>
          <w:tab w:pos="1371" w:val="left" w:leader="none"/>
        </w:tabs>
        <w:spacing w:line="446" w:lineRule="auto" w:before="0" w:after="0"/>
        <w:ind w:left="418" w:right="1604" w:firstLine="422"/>
        <w:jc w:val="both"/>
        <w:rPr>
          <w:sz w:val="21"/>
        </w:rPr>
      </w:pPr>
      <w:r>
        <w:rPr>
          <w:spacing w:val="-3"/>
          <w:sz w:val="21"/>
        </w:rPr>
        <w:t>地下区间纵向疏散平台上应设置疏散指示标志和与疏散出口的距离标识。疏散指示标志和疏散出口的距离标识应设置在疏散平台的侧墙上，不应侵占疏散平台宽度，间距不宜大</w:t>
      </w:r>
      <w:r>
        <w:rPr>
          <w:spacing w:val="-28"/>
          <w:sz w:val="21"/>
        </w:rPr>
        <w:t>于 </w:t>
      </w:r>
      <w:r>
        <w:rPr>
          <w:sz w:val="21"/>
        </w:rPr>
        <w:t>15m</w:t>
      </w:r>
      <w:r>
        <w:rPr>
          <w:spacing w:val="-3"/>
          <w:sz w:val="21"/>
        </w:rPr>
        <w:t>。</w:t>
      </w:r>
      <w:r>
        <w:rPr>
          <w:sz w:val="21"/>
        </w:rPr>
        <w:t> </w:t>
      </w:r>
    </w:p>
    <w:p>
      <w:pPr>
        <w:pStyle w:val="ListParagraph"/>
        <w:numPr>
          <w:ilvl w:val="2"/>
          <w:numId w:val="932"/>
        </w:numPr>
        <w:tabs>
          <w:tab w:pos="1371" w:val="left" w:leader="none"/>
        </w:tabs>
        <w:spacing w:line="268" w:lineRule="exact" w:before="0" w:after="0"/>
        <w:ind w:left="1370" w:right="0" w:hanging="531"/>
        <w:jc w:val="left"/>
        <w:rPr>
          <w:sz w:val="21"/>
        </w:rPr>
      </w:pPr>
      <w:r>
        <w:rPr>
          <w:spacing w:val="-3"/>
          <w:sz w:val="21"/>
        </w:rPr>
        <w:t>地下区间之间的联络通道的洞口上部，应垂直于门洞设置具有双面标识常亮的疏散</w:t>
      </w:r>
    </w:p>
    <w:p>
      <w:pPr>
        <w:spacing w:after="0" w:line="268" w:lineRule="exact"/>
        <w:jc w:val="left"/>
        <w:rPr>
          <w:sz w:val="21"/>
        </w:rPr>
        <w:sectPr>
          <w:pgSz w:w="11910" w:h="16850"/>
          <w:pgMar w:header="0" w:footer="1239" w:top="1220" w:bottom="1420" w:left="1260" w:right="0"/>
        </w:sectPr>
      </w:pPr>
    </w:p>
    <w:p>
      <w:pPr>
        <w:pStyle w:val="BodyText"/>
        <w:spacing w:before="47"/>
        <w:ind w:left="418"/>
      </w:pPr>
      <w:r>
        <w:rPr/>
        <w:t>指示标志。 </w:t>
      </w:r>
    </w:p>
    <w:p>
      <w:pPr>
        <w:pStyle w:val="BodyText"/>
        <w:rPr>
          <w:sz w:val="18"/>
        </w:rPr>
      </w:pPr>
    </w:p>
    <w:p>
      <w:pPr>
        <w:pStyle w:val="ListParagraph"/>
        <w:numPr>
          <w:ilvl w:val="2"/>
          <w:numId w:val="932"/>
        </w:numPr>
        <w:tabs>
          <w:tab w:pos="1371" w:val="left" w:leader="none"/>
        </w:tabs>
        <w:spacing w:line="432" w:lineRule="auto" w:before="0" w:after="0"/>
        <w:ind w:left="418" w:right="1604" w:firstLine="422"/>
        <w:jc w:val="left"/>
        <w:rPr>
          <w:b/>
          <w:sz w:val="24"/>
        </w:rPr>
      </w:pPr>
      <w:r>
        <w:rPr>
          <w:spacing w:val="-3"/>
          <w:sz w:val="21"/>
        </w:rPr>
        <w:t>疏散指示标志应设置在不被遮挡的醒目位置，不应设置在可开启的门、窗和其他可移动的物体上。疏散指示标志的图形及其文字的尺寸应与空间大小及标志的设置间距匹配。  </w:t>
      </w:r>
      <w:r>
        <w:rPr>
          <w:b/>
          <w:sz w:val="24"/>
        </w:rPr>
        <w:t>6</w:t>
      </w:r>
      <w:r>
        <w:rPr>
          <w:b/>
          <w:spacing w:val="-1"/>
          <w:sz w:val="24"/>
        </w:rPr>
        <w:t> 建筑构造</w:t>
      </w:r>
      <w:r>
        <w:rPr>
          <w:b/>
          <w:spacing w:val="-1"/>
          <w:w w:val="99"/>
          <w:sz w:val="24"/>
        </w:rPr>
        <w:t> </w:t>
      </w:r>
    </w:p>
    <w:p>
      <w:pPr>
        <w:pStyle w:val="ListParagraph"/>
        <w:numPr>
          <w:ilvl w:val="1"/>
          <w:numId w:val="933"/>
        </w:numPr>
        <w:tabs>
          <w:tab w:pos="1159" w:val="left" w:leader="none"/>
        </w:tabs>
        <w:spacing w:line="247" w:lineRule="exact" w:before="0" w:after="0"/>
        <w:ind w:left="1158" w:right="0" w:hanging="319"/>
        <w:jc w:val="left"/>
        <w:rPr>
          <w:sz w:val="21"/>
        </w:rPr>
      </w:pPr>
      <w:r>
        <w:rPr>
          <w:spacing w:val="-3"/>
          <w:sz w:val="21"/>
        </w:rPr>
        <w:t>防火分隔设施</w:t>
      </w:r>
      <w:r>
        <w:rPr>
          <w:sz w:val="21"/>
        </w:rPr>
        <w:t> </w:t>
      </w:r>
    </w:p>
    <w:p>
      <w:pPr>
        <w:pStyle w:val="BodyText"/>
        <w:rPr>
          <w:sz w:val="18"/>
        </w:rPr>
      </w:pPr>
    </w:p>
    <w:p>
      <w:pPr>
        <w:pStyle w:val="ListParagraph"/>
        <w:numPr>
          <w:ilvl w:val="2"/>
          <w:numId w:val="933"/>
        </w:numPr>
        <w:tabs>
          <w:tab w:pos="1371" w:val="left" w:leader="none"/>
        </w:tabs>
        <w:spacing w:line="446" w:lineRule="auto" w:before="0" w:after="0"/>
        <w:ind w:left="418" w:right="1604" w:firstLine="422"/>
        <w:jc w:val="both"/>
        <w:rPr>
          <w:sz w:val="21"/>
        </w:rPr>
      </w:pPr>
      <w:r>
        <w:rPr>
          <w:spacing w:val="-3"/>
          <w:sz w:val="21"/>
        </w:rPr>
        <w:t>在所有管线</w:t>
      </w:r>
      <w:r>
        <w:rPr>
          <w:sz w:val="21"/>
        </w:rPr>
        <w:t>（</w:t>
      </w:r>
      <w:r>
        <w:rPr>
          <w:spacing w:val="-3"/>
          <w:sz w:val="21"/>
        </w:rPr>
        <w:t>道）穿越防火墙、防火隔墙、楼板、电缆通道和管沟隔墙处，均应采用防火封堵材料紧密填实。在难燃或可燃材质的管线</w:t>
      </w:r>
      <w:r>
        <w:rPr>
          <w:sz w:val="21"/>
        </w:rPr>
        <w:t>（</w:t>
      </w:r>
      <w:r>
        <w:rPr>
          <w:spacing w:val="-3"/>
          <w:sz w:val="21"/>
        </w:rPr>
        <w:t>道</w:t>
      </w:r>
      <w:r>
        <w:rPr>
          <w:sz w:val="21"/>
        </w:rPr>
        <w:t>）</w:t>
      </w:r>
      <w:r>
        <w:rPr>
          <w:spacing w:val="-3"/>
          <w:sz w:val="21"/>
        </w:rPr>
        <w:t>穿越防火墙、防火隔墙、楼板处， 应在墙体或楼板两侧的管线</w:t>
      </w:r>
      <w:r>
        <w:rPr>
          <w:sz w:val="21"/>
        </w:rPr>
        <w:t>（</w:t>
      </w:r>
      <w:r>
        <w:rPr>
          <w:spacing w:val="-3"/>
          <w:sz w:val="21"/>
        </w:rPr>
        <w:t>道</w:t>
      </w:r>
      <w:r>
        <w:rPr>
          <w:sz w:val="21"/>
        </w:rPr>
        <w:t>）</w:t>
      </w:r>
      <w:r>
        <w:rPr>
          <w:spacing w:val="-3"/>
          <w:sz w:val="21"/>
        </w:rPr>
        <w:t>上采取防火封堵措施。在管道穿越防火墙、防火隔墙、楼板</w:t>
      </w:r>
      <w:r>
        <w:rPr>
          <w:spacing w:val="-13"/>
          <w:sz w:val="21"/>
        </w:rPr>
        <w:t>处两侧各 </w:t>
      </w:r>
      <w:r>
        <w:rPr>
          <w:sz w:val="21"/>
        </w:rPr>
        <w:t>1.0m</w:t>
      </w:r>
      <w:r>
        <w:rPr>
          <w:spacing w:val="-9"/>
          <w:sz w:val="21"/>
        </w:rPr>
        <w:t> 范围内的管道保温材料应采用不燃材料。</w:t>
      </w:r>
      <w:r>
        <w:rPr>
          <w:sz w:val="21"/>
        </w:rPr>
        <w:t> </w:t>
      </w:r>
    </w:p>
    <w:p>
      <w:pPr>
        <w:pStyle w:val="ListParagraph"/>
        <w:numPr>
          <w:ilvl w:val="2"/>
          <w:numId w:val="933"/>
        </w:numPr>
        <w:tabs>
          <w:tab w:pos="1371" w:val="left" w:leader="none"/>
        </w:tabs>
        <w:spacing w:line="446" w:lineRule="auto" w:before="0" w:after="0"/>
        <w:ind w:left="418" w:right="1604" w:firstLine="422"/>
        <w:jc w:val="left"/>
        <w:rPr>
          <w:sz w:val="21"/>
        </w:rPr>
      </w:pPr>
      <w:r>
        <w:rPr>
          <w:spacing w:val="-3"/>
          <w:sz w:val="21"/>
        </w:rPr>
        <w:t>电缆至建筑物的入口或配电间和控制室的沟道入口处、电缆引至电气柜</w:t>
      </w:r>
      <w:r>
        <w:rPr>
          <w:sz w:val="21"/>
        </w:rPr>
        <w:t>（</w:t>
      </w:r>
      <w:r>
        <w:rPr>
          <w:spacing w:val="-3"/>
          <w:sz w:val="21"/>
        </w:rPr>
        <w:t>盘</w:t>
      </w:r>
      <w:r>
        <w:rPr>
          <w:sz w:val="21"/>
        </w:rPr>
        <w:t>）</w:t>
      </w:r>
      <w:r>
        <w:rPr>
          <w:spacing w:val="-2"/>
          <w:sz w:val="21"/>
        </w:rPr>
        <w:t>或控</w:t>
      </w:r>
      <w:r>
        <w:rPr>
          <w:spacing w:val="-3"/>
          <w:sz w:val="21"/>
        </w:rPr>
        <w:t>制屏的开孔部位，应采取防火封堵措施。</w:t>
      </w:r>
      <w:r>
        <w:rPr>
          <w:sz w:val="21"/>
        </w:rPr>
        <w:t> </w:t>
      </w:r>
    </w:p>
    <w:p>
      <w:pPr>
        <w:pStyle w:val="ListParagraph"/>
        <w:numPr>
          <w:ilvl w:val="2"/>
          <w:numId w:val="933"/>
        </w:numPr>
        <w:tabs>
          <w:tab w:pos="1370" w:val="left" w:leader="none"/>
        </w:tabs>
        <w:spacing w:line="446" w:lineRule="auto" w:before="0" w:after="0"/>
        <w:ind w:left="418" w:right="1604" w:firstLine="422"/>
        <w:jc w:val="left"/>
        <w:rPr>
          <w:sz w:val="21"/>
        </w:rPr>
      </w:pPr>
      <w:r>
        <w:rPr>
          <w:spacing w:val="-3"/>
          <w:sz w:val="21"/>
        </w:rPr>
        <w:t>防火墙上、防烟楼梯间和避难走道的前室入口处、联络通道处的门均应采用甲级防火门，防火隔墙上的门、管道井的检查门及其他部位的疏散门均应采用乙级防火门。</w:t>
      </w:r>
      <w:r>
        <w:rPr>
          <w:sz w:val="21"/>
        </w:rPr>
        <w:t> </w:t>
      </w:r>
    </w:p>
    <w:p>
      <w:pPr>
        <w:pStyle w:val="ListParagraph"/>
        <w:numPr>
          <w:ilvl w:val="2"/>
          <w:numId w:val="933"/>
        </w:numPr>
        <w:tabs>
          <w:tab w:pos="1370" w:val="left" w:leader="none"/>
        </w:tabs>
        <w:spacing w:line="446" w:lineRule="auto" w:before="0" w:after="0"/>
        <w:ind w:left="418" w:right="1604" w:firstLine="422"/>
        <w:jc w:val="left"/>
        <w:rPr>
          <w:sz w:val="21"/>
        </w:rPr>
      </w:pPr>
      <w:r>
        <w:rPr>
          <w:spacing w:val="-3"/>
          <w:sz w:val="21"/>
        </w:rPr>
        <w:t>疏散门及消防专用出入口、联络通道和区间风井处的防火门，应保证火灾时不需使用钥匙等工具即能向疏散方向开启，并应在显著位置设置标识和使用提示。</w:t>
      </w:r>
      <w:r>
        <w:rPr>
          <w:sz w:val="21"/>
        </w:rPr>
        <w:t> </w:t>
      </w:r>
    </w:p>
    <w:p>
      <w:pPr>
        <w:pStyle w:val="ListParagraph"/>
        <w:numPr>
          <w:ilvl w:val="2"/>
          <w:numId w:val="933"/>
        </w:numPr>
        <w:tabs>
          <w:tab w:pos="1370" w:val="left" w:leader="none"/>
        </w:tabs>
        <w:spacing w:line="240" w:lineRule="auto" w:before="0" w:after="0"/>
        <w:ind w:left="1369" w:right="0" w:hanging="530"/>
        <w:jc w:val="left"/>
        <w:rPr>
          <w:sz w:val="21"/>
        </w:rPr>
      </w:pPr>
      <w:r>
        <w:rPr>
          <w:spacing w:val="-3"/>
          <w:sz w:val="21"/>
        </w:rPr>
        <w:t>设置在建筑变形缝附近的防火门，门扇启闭时不应骑跨变形缝。</w:t>
      </w:r>
      <w:r>
        <w:rPr>
          <w:sz w:val="21"/>
        </w:rPr>
        <w:t> </w:t>
      </w:r>
    </w:p>
    <w:p>
      <w:pPr>
        <w:pStyle w:val="BodyText"/>
        <w:spacing w:before="10"/>
        <w:rPr>
          <w:sz w:val="17"/>
        </w:rPr>
      </w:pPr>
    </w:p>
    <w:p>
      <w:pPr>
        <w:pStyle w:val="ListParagraph"/>
        <w:numPr>
          <w:ilvl w:val="2"/>
          <w:numId w:val="933"/>
        </w:numPr>
        <w:tabs>
          <w:tab w:pos="1370" w:val="left" w:leader="none"/>
        </w:tabs>
        <w:spacing w:line="446" w:lineRule="auto" w:before="0" w:after="0"/>
        <w:ind w:left="418" w:right="1604" w:firstLine="422"/>
        <w:jc w:val="left"/>
        <w:rPr>
          <w:sz w:val="21"/>
        </w:rPr>
      </w:pPr>
      <w:r>
        <w:rPr>
          <w:spacing w:val="-3"/>
          <w:sz w:val="21"/>
        </w:rPr>
        <w:t>在过往列车及隧道通风的正、负压力作用下，区间风井内防烟楼梯间前室和联络通道处的防火门不应自动开启。</w:t>
      </w:r>
      <w:r>
        <w:rPr>
          <w:sz w:val="21"/>
        </w:rPr>
        <w:t> </w:t>
      </w:r>
    </w:p>
    <w:p>
      <w:pPr>
        <w:pStyle w:val="ListParagraph"/>
        <w:numPr>
          <w:ilvl w:val="2"/>
          <w:numId w:val="933"/>
        </w:numPr>
        <w:tabs>
          <w:tab w:pos="1371" w:val="left" w:leader="none"/>
        </w:tabs>
        <w:spacing w:line="240" w:lineRule="auto" w:before="0" w:after="0"/>
        <w:ind w:left="1370" w:right="0" w:hanging="531"/>
        <w:jc w:val="left"/>
        <w:rPr>
          <w:sz w:val="21"/>
        </w:rPr>
      </w:pPr>
      <w:r>
        <w:rPr>
          <w:spacing w:val="-3"/>
          <w:sz w:val="21"/>
        </w:rPr>
        <w:t>防火墙上的窗口应采用固定式甲级防火窗。</w:t>
      </w:r>
      <w:r>
        <w:rPr>
          <w:sz w:val="21"/>
        </w:rPr>
        <w:t> </w:t>
      </w:r>
    </w:p>
    <w:p>
      <w:pPr>
        <w:pStyle w:val="BodyText"/>
        <w:rPr>
          <w:sz w:val="18"/>
        </w:rPr>
      </w:pPr>
    </w:p>
    <w:p>
      <w:pPr>
        <w:pStyle w:val="ListParagraph"/>
        <w:numPr>
          <w:ilvl w:val="2"/>
          <w:numId w:val="933"/>
        </w:numPr>
        <w:tabs>
          <w:tab w:pos="1370" w:val="left" w:leader="none"/>
        </w:tabs>
        <w:spacing w:line="446" w:lineRule="auto" w:before="0" w:after="0"/>
        <w:ind w:left="418" w:right="1604" w:firstLine="422"/>
        <w:jc w:val="left"/>
        <w:rPr>
          <w:sz w:val="21"/>
        </w:rPr>
      </w:pPr>
      <w:r>
        <w:rPr>
          <w:spacing w:val="-3"/>
          <w:sz w:val="21"/>
        </w:rPr>
        <w:t>防火隔墙上的窗口应采用固定式乙级防火窗，必须设置活动式防火窗时，应具备火灾时能自动关闭的功能。</w:t>
      </w:r>
      <w:r>
        <w:rPr>
          <w:sz w:val="21"/>
        </w:rPr>
        <w:t> </w:t>
      </w:r>
    </w:p>
    <w:p>
      <w:pPr>
        <w:pStyle w:val="ListParagraph"/>
        <w:numPr>
          <w:ilvl w:val="2"/>
          <w:numId w:val="933"/>
        </w:numPr>
        <w:tabs>
          <w:tab w:pos="1371" w:val="left" w:leader="none"/>
        </w:tabs>
        <w:spacing w:line="240" w:lineRule="auto" w:before="0" w:after="0"/>
        <w:ind w:left="1370" w:right="0" w:hanging="531"/>
        <w:jc w:val="left"/>
        <w:rPr>
          <w:sz w:val="21"/>
        </w:rPr>
      </w:pPr>
      <w:r>
        <w:rPr>
          <w:spacing w:val="-3"/>
          <w:sz w:val="21"/>
        </w:rPr>
        <w:t>乘客的疏散通道上不应设置防火卷帘。</w:t>
      </w:r>
      <w:r>
        <w:rPr>
          <w:sz w:val="21"/>
        </w:rPr>
        <w:t> </w:t>
      </w:r>
    </w:p>
    <w:p>
      <w:pPr>
        <w:pStyle w:val="BodyText"/>
        <w:spacing w:before="12"/>
        <w:rPr>
          <w:sz w:val="17"/>
        </w:rPr>
      </w:pPr>
    </w:p>
    <w:p>
      <w:pPr>
        <w:pStyle w:val="ListParagraph"/>
        <w:numPr>
          <w:ilvl w:val="1"/>
          <w:numId w:val="933"/>
        </w:numPr>
        <w:tabs>
          <w:tab w:pos="1159" w:val="left" w:leader="none"/>
        </w:tabs>
        <w:spacing w:line="240" w:lineRule="auto" w:before="0" w:after="0"/>
        <w:ind w:left="1158" w:right="0" w:hanging="319"/>
        <w:jc w:val="left"/>
        <w:rPr>
          <w:b/>
          <w:sz w:val="21"/>
        </w:rPr>
      </w:pPr>
      <w:r>
        <w:rPr>
          <w:spacing w:val="-3"/>
          <w:sz w:val="21"/>
        </w:rPr>
        <w:t>自动扶梯、楼梯间、管道井与纵向疏散平台</w:t>
      </w:r>
      <w:r>
        <w:rPr>
          <w:b/>
          <w:w w:val="99"/>
          <w:sz w:val="21"/>
        </w:rPr>
        <w:t> </w:t>
      </w:r>
    </w:p>
    <w:p>
      <w:pPr>
        <w:pStyle w:val="BodyText"/>
        <w:rPr>
          <w:b/>
          <w:sz w:val="18"/>
        </w:rPr>
      </w:pPr>
    </w:p>
    <w:p>
      <w:pPr>
        <w:pStyle w:val="ListParagraph"/>
        <w:numPr>
          <w:ilvl w:val="2"/>
          <w:numId w:val="933"/>
        </w:numPr>
        <w:tabs>
          <w:tab w:pos="1371" w:val="left" w:leader="none"/>
        </w:tabs>
        <w:spacing w:line="240" w:lineRule="auto" w:before="0" w:after="0"/>
        <w:ind w:left="1370" w:right="0" w:hanging="531"/>
        <w:jc w:val="left"/>
        <w:rPr>
          <w:sz w:val="21"/>
        </w:rPr>
      </w:pPr>
      <w:r>
        <w:rPr>
          <w:spacing w:val="-3"/>
          <w:sz w:val="21"/>
        </w:rPr>
        <w:t>火灾时兼作疏散用的自动扶梯应符合下列规定：</w:t>
      </w:r>
      <w:r>
        <w:rPr>
          <w:sz w:val="21"/>
        </w:rPr>
        <w:t> </w:t>
      </w:r>
    </w:p>
    <w:p>
      <w:pPr>
        <w:pStyle w:val="BodyText"/>
        <w:spacing w:before="2"/>
        <w:rPr>
          <w:sz w:val="18"/>
        </w:rPr>
      </w:pPr>
    </w:p>
    <w:p>
      <w:pPr>
        <w:pStyle w:val="BodyText"/>
        <w:spacing w:line="446" w:lineRule="auto"/>
        <w:ind w:left="838" w:right="7600"/>
      </w:pPr>
      <w:r>
        <w:rPr>
          <w:spacing w:val="-3"/>
        </w:rPr>
        <w:t>应按一级负荷供电；  应采用不燃材料制造；</w:t>
      </w:r>
      <w:r>
        <w:rPr/>
        <w:t> </w:t>
      </w:r>
    </w:p>
    <w:p>
      <w:pPr>
        <w:pStyle w:val="BodyText"/>
        <w:spacing w:line="267" w:lineRule="exact"/>
        <w:ind w:left="838"/>
      </w:pPr>
      <w:r>
        <w:rPr/>
        <w:t>应能在事故时保持运行； </w:t>
      </w:r>
    </w:p>
    <w:p>
      <w:pPr>
        <w:pStyle w:val="BodyText"/>
        <w:spacing w:before="1"/>
        <w:rPr>
          <w:sz w:val="18"/>
        </w:rPr>
      </w:pPr>
    </w:p>
    <w:p>
      <w:pPr>
        <w:pStyle w:val="BodyText"/>
        <w:spacing w:before="1"/>
        <w:ind w:left="838"/>
      </w:pPr>
      <w:r>
        <w:rPr/>
        <w:t>平时运行方向应与人员的疏散方向一致； </w:t>
      </w:r>
    </w:p>
    <w:p>
      <w:pPr>
        <w:spacing w:after="0"/>
        <w:sectPr>
          <w:footerReference w:type="default" r:id="rId589"/>
          <w:pgSz w:w="11910" w:h="16850"/>
          <w:pgMar w:footer="1239" w:header="0" w:top="1220" w:bottom="1420" w:left="1260" w:right="0"/>
          <w:pgNumType w:start="1620"/>
        </w:sectPr>
      </w:pPr>
    </w:p>
    <w:p>
      <w:pPr>
        <w:pStyle w:val="BodyText"/>
        <w:spacing w:before="47"/>
        <w:ind w:left="838"/>
      </w:pPr>
      <w:r>
        <w:rPr/>
        <w:t>自动扶梯的下部空间与其他部位之间应采取防火分隔措施；  </w:t>
      </w:r>
      <w:r>
        <w:rPr>
          <w:w w:val="100"/>
        </w:rPr>
        <w:t> </w:t>
      </w:r>
    </w:p>
    <w:p>
      <w:pPr>
        <w:pStyle w:val="BodyText"/>
        <w:rPr>
          <w:sz w:val="18"/>
        </w:rPr>
      </w:pPr>
    </w:p>
    <w:p>
      <w:pPr>
        <w:pStyle w:val="BodyText"/>
        <w:spacing w:line="446" w:lineRule="auto"/>
        <w:ind w:left="418" w:right="1609" w:firstLine="419"/>
      </w:pPr>
      <w:r>
        <w:rPr/>
        <w:t>暴露在室外环境的自动扶梯应采取防滑措施；位于寒冷或严寒地区时，应采取防冰雪积聚和防冻的措施。 </w:t>
      </w:r>
    </w:p>
    <w:p>
      <w:pPr>
        <w:pStyle w:val="ListParagraph"/>
        <w:numPr>
          <w:ilvl w:val="2"/>
          <w:numId w:val="933"/>
        </w:numPr>
        <w:tabs>
          <w:tab w:pos="1371" w:val="left" w:leader="none"/>
        </w:tabs>
        <w:spacing w:line="446" w:lineRule="auto" w:before="0" w:after="0"/>
        <w:ind w:left="418" w:right="1813" w:firstLine="422"/>
        <w:jc w:val="left"/>
        <w:rPr>
          <w:sz w:val="21"/>
        </w:rPr>
      </w:pPr>
      <w:r>
        <w:rPr>
          <w:spacing w:val="-3"/>
          <w:sz w:val="21"/>
        </w:rPr>
        <w:t>封闭楼梯间和防烟楼梯间的防火构造要求应符合现行国家标准《建筑设计防火规范》GB 50016</w:t>
      </w:r>
      <w:r>
        <w:rPr>
          <w:spacing w:val="-12"/>
          <w:sz w:val="21"/>
        </w:rPr>
        <w:t> 的规定。 </w:t>
      </w:r>
    </w:p>
    <w:p>
      <w:pPr>
        <w:pStyle w:val="ListParagraph"/>
        <w:numPr>
          <w:ilvl w:val="2"/>
          <w:numId w:val="933"/>
        </w:numPr>
        <w:tabs>
          <w:tab w:pos="1371" w:val="left" w:leader="none"/>
        </w:tabs>
        <w:spacing w:line="267" w:lineRule="exact" w:before="0" w:after="0"/>
        <w:ind w:left="1370" w:right="0" w:hanging="531"/>
        <w:jc w:val="left"/>
        <w:rPr>
          <w:sz w:val="21"/>
        </w:rPr>
      </w:pPr>
      <w:r>
        <w:rPr>
          <w:spacing w:val="-3"/>
          <w:sz w:val="21"/>
        </w:rPr>
        <w:t>电缆井、管道井应分别独立设置。电缆井、管道井的井壁均应采用耐火极限不低于</w:t>
      </w:r>
    </w:p>
    <w:p>
      <w:pPr>
        <w:pStyle w:val="BodyText"/>
        <w:spacing w:before="2"/>
        <w:rPr>
          <w:sz w:val="18"/>
        </w:rPr>
      </w:pPr>
    </w:p>
    <w:p>
      <w:pPr>
        <w:pStyle w:val="BodyText"/>
        <w:ind w:left="418"/>
      </w:pPr>
      <w:r>
        <w:rPr/>
        <w:t>1.00h 的不燃性实体墙。 </w:t>
      </w:r>
    </w:p>
    <w:p>
      <w:pPr>
        <w:pStyle w:val="BodyText"/>
        <w:rPr>
          <w:sz w:val="18"/>
        </w:rPr>
      </w:pPr>
    </w:p>
    <w:p>
      <w:pPr>
        <w:pStyle w:val="ListParagraph"/>
        <w:numPr>
          <w:ilvl w:val="2"/>
          <w:numId w:val="933"/>
        </w:numPr>
        <w:tabs>
          <w:tab w:pos="1371" w:val="left" w:leader="none"/>
        </w:tabs>
        <w:spacing w:line="240" w:lineRule="auto" w:before="0" w:after="0"/>
        <w:ind w:left="1370" w:right="0" w:hanging="531"/>
        <w:jc w:val="left"/>
        <w:rPr>
          <w:sz w:val="21"/>
        </w:rPr>
      </w:pPr>
      <w:r>
        <w:rPr>
          <w:spacing w:val="-3"/>
          <w:sz w:val="21"/>
        </w:rPr>
        <w:t>区间纵向疏散平台应符合下列规定：</w:t>
      </w:r>
      <w:r>
        <w:rPr>
          <w:sz w:val="21"/>
        </w:rPr>
        <w:t> </w:t>
      </w:r>
    </w:p>
    <w:p>
      <w:pPr>
        <w:pStyle w:val="BodyText"/>
        <w:spacing w:before="12"/>
        <w:rPr>
          <w:sz w:val="17"/>
        </w:rPr>
      </w:pPr>
    </w:p>
    <w:p>
      <w:pPr>
        <w:pStyle w:val="BodyText"/>
        <w:ind w:left="838"/>
        <w:jc w:val="both"/>
      </w:pPr>
      <w:r>
        <w:rPr/>
        <w:t>单侧临空时，平台的宽度不宜小于 0.6m；双侧临空时，平台的宽度不宜小于 0.9m。 </w:t>
      </w:r>
    </w:p>
    <w:p>
      <w:pPr>
        <w:pStyle w:val="BodyText"/>
        <w:spacing w:before="2"/>
        <w:rPr>
          <w:sz w:val="18"/>
        </w:rPr>
      </w:pPr>
    </w:p>
    <w:p>
      <w:pPr>
        <w:pStyle w:val="BodyText"/>
        <w:spacing w:line="446" w:lineRule="auto"/>
        <w:ind w:left="838" w:right="5027"/>
        <w:jc w:val="both"/>
      </w:pPr>
      <w:r>
        <w:rPr>
          <w:spacing w:val="-6"/>
        </w:rPr>
        <w:t>平台的设置高度宜低于车辆地板面 </w:t>
      </w:r>
      <w:r>
        <w:rPr/>
        <w:t>0.10m～0.15m</w:t>
      </w:r>
      <w:r>
        <w:rPr>
          <w:spacing w:val="-3"/>
        </w:rPr>
        <w:t>。</w:t>
      </w:r>
      <w:r>
        <w:rPr>
          <w:spacing w:val="-6"/>
        </w:rPr>
        <w:t>靠区间壁的墙上应设置靠墙扶手，高度宜为 </w:t>
      </w:r>
      <w:r>
        <w:rPr/>
        <w:t>0.9m</w:t>
      </w:r>
      <w:r>
        <w:rPr>
          <w:spacing w:val="-3"/>
        </w:rPr>
        <w:t>。纵向疏散平台面标高与联络通道地坪标高宜接平。</w:t>
      </w:r>
      <w:r>
        <w:rPr>
          <w:spacing w:val="-7"/>
        </w:rPr>
        <w:t>疏散平台的耐火极限不应低于 </w:t>
      </w:r>
      <w:r>
        <w:rPr/>
        <w:t>1.00h</w:t>
      </w:r>
      <w:r>
        <w:rPr>
          <w:spacing w:val="-3"/>
        </w:rPr>
        <w:t>。</w:t>
      </w:r>
      <w:r>
        <w:rPr/>
        <w:t> </w:t>
      </w:r>
    </w:p>
    <w:p>
      <w:pPr>
        <w:pStyle w:val="ListParagraph"/>
        <w:numPr>
          <w:ilvl w:val="1"/>
          <w:numId w:val="933"/>
        </w:numPr>
        <w:tabs>
          <w:tab w:pos="1159" w:val="left" w:leader="none"/>
        </w:tabs>
        <w:spacing w:line="267" w:lineRule="exact" w:before="0" w:after="0"/>
        <w:ind w:left="1158" w:right="0" w:hanging="319"/>
        <w:jc w:val="left"/>
        <w:rPr>
          <w:sz w:val="21"/>
        </w:rPr>
      </w:pPr>
      <w:r>
        <w:rPr>
          <w:spacing w:val="-3"/>
          <w:sz w:val="21"/>
        </w:rPr>
        <w:t>建筑内部装修</w:t>
      </w:r>
      <w:r>
        <w:rPr>
          <w:sz w:val="21"/>
        </w:rPr>
        <w:t> </w:t>
      </w:r>
    </w:p>
    <w:p>
      <w:pPr>
        <w:pStyle w:val="BodyText"/>
        <w:rPr>
          <w:sz w:val="18"/>
        </w:rPr>
      </w:pPr>
    </w:p>
    <w:p>
      <w:pPr>
        <w:pStyle w:val="ListParagraph"/>
        <w:numPr>
          <w:ilvl w:val="2"/>
          <w:numId w:val="933"/>
        </w:numPr>
        <w:tabs>
          <w:tab w:pos="1371" w:val="left" w:leader="none"/>
        </w:tabs>
        <w:spacing w:line="446" w:lineRule="auto" w:before="0" w:after="0"/>
        <w:ind w:left="418" w:right="1604" w:firstLine="422"/>
        <w:jc w:val="both"/>
        <w:rPr>
          <w:sz w:val="21"/>
        </w:rPr>
      </w:pPr>
      <w:r>
        <w:rPr>
          <w:spacing w:val="-5"/>
          <w:sz w:val="21"/>
        </w:rPr>
        <w:t>地上车站公共区的墙面和顶棚装修材料的燃烧性能均应为 </w:t>
      </w:r>
      <w:r>
        <w:rPr>
          <w:sz w:val="21"/>
        </w:rPr>
        <w:t>A</w:t>
      </w:r>
      <w:r>
        <w:rPr>
          <w:spacing w:val="-8"/>
          <w:sz w:val="21"/>
        </w:rPr>
        <w:t> 级，满足自然排烟条件</w:t>
      </w:r>
      <w:r>
        <w:rPr>
          <w:spacing w:val="-7"/>
          <w:position w:val="1"/>
          <w:sz w:val="21"/>
        </w:rPr>
        <w:t>的车站公共区，其地面装修材料的燃烧性能不应低于 </w:t>
      </w:r>
      <w:r>
        <w:rPr>
          <w:position w:val="1"/>
          <w:sz w:val="21"/>
        </w:rPr>
        <w:t>B</w:t>
      </w:r>
      <w:r>
        <w:rPr>
          <w:sz w:val="11"/>
        </w:rPr>
        <w:t>1</w:t>
      </w:r>
      <w:r>
        <w:rPr>
          <w:spacing w:val="-29"/>
          <w:sz w:val="11"/>
        </w:rPr>
        <w:t> </w:t>
      </w:r>
      <w:r>
        <w:rPr>
          <w:spacing w:val="-2"/>
          <w:position w:val="1"/>
          <w:sz w:val="21"/>
        </w:rPr>
        <w:t>级。</w:t>
      </w:r>
      <w:r>
        <w:rPr>
          <w:position w:val="1"/>
          <w:sz w:val="21"/>
        </w:rPr>
        <w:t> </w:t>
      </w:r>
    </w:p>
    <w:p>
      <w:pPr>
        <w:pStyle w:val="ListParagraph"/>
        <w:numPr>
          <w:ilvl w:val="2"/>
          <w:numId w:val="933"/>
        </w:numPr>
        <w:tabs>
          <w:tab w:pos="1371" w:val="left" w:leader="none"/>
        </w:tabs>
        <w:spacing w:line="446" w:lineRule="auto" w:before="0" w:after="0"/>
        <w:ind w:left="418" w:right="1551" w:firstLine="422"/>
        <w:jc w:val="both"/>
        <w:rPr>
          <w:sz w:val="21"/>
        </w:rPr>
      </w:pPr>
      <w:r>
        <w:rPr>
          <w:spacing w:val="-2"/>
          <w:sz w:val="21"/>
        </w:rPr>
        <w:t>休息室、更衣室、卫生间等场所，其顶棚装修材料的燃烧性能均应为</w:t>
      </w:r>
      <w:r>
        <w:rPr>
          <w:sz w:val="21"/>
        </w:rPr>
        <w:t>A</w:t>
      </w:r>
      <w:r>
        <w:rPr>
          <w:spacing w:val="-10"/>
          <w:sz w:val="21"/>
        </w:rPr>
        <w:t> 级，墙面、</w:t>
      </w:r>
      <w:r>
        <w:rPr>
          <w:spacing w:val="-7"/>
          <w:position w:val="1"/>
          <w:sz w:val="21"/>
        </w:rPr>
        <w:t>地面装修材料的燃烧性能均不应低于 </w:t>
      </w:r>
      <w:r>
        <w:rPr>
          <w:position w:val="1"/>
          <w:sz w:val="21"/>
        </w:rPr>
        <w:t>B</w:t>
      </w:r>
      <w:r>
        <w:rPr>
          <w:sz w:val="11"/>
        </w:rPr>
        <w:t>1</w:t>
      </w:r>
      <w:r>
        <w:rPr>
          <w:spacing w:val="-22"/>
          <w:sz w:val="11"/>
        </w:rPr>
        <w:t> </w:t>
      </w:r>
      <w:r>
        <w:rPr>
          <w:spacing w:val="-6"/>
          <w:position w:val="1"/>
          <w:sz w:val="21"/>
        </w:rPr>
        <w:t>级。除架空地板的燃烧性能可为 </w:t>
      </w:r>
      <w:r>
        <w:rPr>
          <w:position w:val="1"/>
          <w:sz w:val="21"/>
        </w:rPr>
        <w:t>B</w:t>
      </w:r>
      <w:r>
        <w:rPr>
          <w:sz w:val="11"/>
        </w:rPr>
        <w:t>1</w:t>
      </w:r>
      <w:r>
        <w:rPr>
          <w:spacing w:val="-22"/>
          <w:sz w:val="11"/>
        </w:rPr>
        <w:t> </w:t>
      </w:r>
      <w:r>
        <w:rPr>
          <w:spacing w:val="-3"/>
          <w:position w:val="1"/>
          <w:sz w:val="21"/>
        </w:rPr>
        <w:t>级外，设备管理区用</w:t>
      </w:r>
      <w:r>
        <w:rPr>
          <w:spacing w:val="-1"/>
          <w:sz w:val="21"/>
        </w:rPr>
        <w:t>房的顶棚、墙面、地面装修材料的燃烧性能均应为</w:t>
      </w:r>
      <w:r>
        <w:rPr>
          <w:sz w:val="21"/>
        </w:rPr>
        <w:t>A</w:t>
      </w:r>
      <w:r>
        <w:rPr>
          <w:spacing w:val="-19"/>
          <w:sz w:val="21"/>
        </w:rPr>
        <w:t> 级。</w:t>
      </w:r>
      <w:r>
        <w:rPr>
          <w:sz w:val="21"/>
        </w:rPr>
        <w:t> </w:t>
      </w:r>
    </w:p>
    <w:p>
      <w:pPr>
        <w:pStyle w:val="ListParagraph"/>
        <w:numPr>
          <w:ilvl w:val="2"/>
          <w:numId w:val="933"/>
        </w:numPr>
        <w:tabs>
          <w:tab w:pos="1371" w:val="left" w:leader="none"/>
        </w:tabs>
        <w:spacing w:line="268" w:lineRule="exact" w:before="0" w:after="0"/>
        <w:ind w:left="1370" w:right="0" w:hanging="531"/>
        <w:jc w:val="both"/>
        <w:rPr>
          <w:sz w:val="21"/>
        </w:rPr>
      </w:pPr>
      <w:r>
        <w:rPr>
          <w:spacing w:val="-5"/>
          <w:sz w:val="21"/>
        </w:rPr>
        <w:t>中央控制室、应急指挥室、控制中心的顶棚和墙面装修材料的燃烧性能均应为 </w:t>
      </w:r>
      <w:r>
        <w:rPr>
          <w:sz w:val="21"/>
        </w:rPr>
        <w:t>A</w:t>
      </w:r>
    </w:p>
    <w:p>
      <w:pPr>
        <w:pStyle w:val="BodyText"/>
        <w:spacing w:before="11"/>
        <w:rPr>
          <w:sz w:val="17"/>
        </w:rPr>
      </w:pPr>
    </w:p>
    <w:p>
      <w:pPr>
        <w:pStyle w:val="BodyText"/>
        <w:spacing w:line="448" w:lineRule="auto" w:before="1"/>
        <w:ind w:left="840" w:right="2736" w:hanging="423"/>
        <w:jc w:val="both"/>
      </w:pPr>
      <w:r>
        <w:rPr>
          <w:position w:val="1"/>
        </w:rPr>
        <w:t>级，地面、隔断、调度台椅、窗帘及其他装饰材料的燃烧性能均不应低于 B</w:t>
      </w:r>
      <w:r>
        <w:rPr>
          <w:sz w:val="11"/>
        </w:rPr>
        <w:t>1 </w:t>
      </w:r>
      <w:r>
        <w:rPr>
          <w:position w:val="1"/>
        </w:rPr>
        <w:t>级。</w:t>
      </w:r>
      <w:r>
        <w:rPr>
          <w:b/>
        </w:rPr>
        <w:t>6.3.4 </w:t>
      </w:r>
      <w:r>
        <w:rPr/>
        <w:t>除地面绝缘材料外，主变电所室内装修材料的燃烧性能应为 A 级。 </w:t>
      </w:r>
    </w:p>
    <w:p>
      <w:pPr>
        <w:pStyle w:val="ListParagraph"/>
        <w:numPr>
          <w:ilvl w:val="2"/>
          <w:numId w:val="934"/>
        </w:numPr>
        <w:tabs>
          <w:tab w:pos="1371" w:val="left" w:leader="none"/>
        </w:tabs>
        <w:spacing w:line="446" w:lineRule="auto" w:before="0" w:after="0"/>
        <w:ind w:left="418" w:right="1604" w:firstLine="422"/>
        <w:jc w:val="both"/>
        <w:rPr>
          <w:sz w:val="21"/>
        </w:rPr>
      </w:pPr>
      <w:r>
        <w:rPr>
          <w:spacing w:val="-3"/>
          <w:sz w:val="21"/>
        </w:rPr>
        <w:t>除不燃性墙面和地面的饰面涂层外，停车库、列检库、停车列检库、运用库和联合</w:t>
      </w:r>
      <w:r>
        <w:rPr>
          <w:spacing w:val="-5"/>
          <w:sz w:val="21"/>
        </w:rPr>
        <w:t>检修库、物资库等建筑内部装修材料的燃烧性能均应为 </w:t>
      </w:r>
      <w:r>
        <w:rPr>
          <w:sz w:val="21"/>
        </w:rPr>
        <w:t>A</w:t>
      </w:r>
      <w:r>
        <w:rPr>
          <w:spacing w:val="-19"/>
          <w:sz w:val="21"/>
        </w:rPr>
        <w:t> 级。</w:t>
      </w:r>
      <w:r>
        <w:rPr>
          <w:sz w:val="21"/>
        </w:rPr>
        <w:t> </w:t>
      </w:r>
    </w:p>
    <w:p>
      <w:pPr>
        <w:pStyle w:val="ListParagraph"/>
        <w:numPr>
          <w:ilvl w:val="2"/>
          <w:numId w:val="934"/>
        </w:numPr>
        <w:tabs>
          <w:tab w:pos="1370" w:val="left" w:leader="none"/>
        </w:tabs>
        <w:spacing w:line="446" w:lineRule="auto" w:before="0" w:after="0"/>
        <w:ind w:left="418" w:right="1604" w:firstLine="422"/>
        <w:jc w:val="both"/>
        <w:rPr>
          <w:sz w:val="21"/>
        </w:rPr>
      </w:pPr>
      <w:r>
        <w:rPr>
          <w:spacing w:val="-3"/>
          <w:sz w:val="21"/>
        </w:rPr>
        <w:t>站厅、站台、人员出入口、疏散楼梯及楼梯间、疏散通道、避难走道、联络通道等</w:t>
      </w:r>
      <w:r>
        <w:rPr>
          <w:spacing w:val="-4"/>
          <w:sz w:val="21"/>
        </w:rPr>
        <w:t>人员疏散部位和消防专用通道，其墙面、地面、顶棚及隔断装修材料的燃烧性能均应为 </w:t>
      </w:r>
      <w:r>
        <w:rPr>
          <w:sz w:val="21"/>
        </w:rPr>
        <w:t>A</w:t>
      </w:r>
      <w:r>
        <w:rPr>
          <w:spacing w:val="-14"/>
          <w:sz w:val="21"/>
        </w:rPr>
        <w:t> 级， </w:t>
      </w:r>
      <w:r>
        <w:rPr>
          <w:spacing w:val="-5"/>
          <w:position w:val="1"/>
          <w:sz w:val="21"/>
        </w:rPr>
        <w:t>但站台门的绝缘层和地上具有自然排烟条件的房间地面装修材料的燃烧性能可为 </w:t>
      </w:r>
      <w:r>
        <w:rPr>
          <w:position w:val="1"/>
          <w:sz w:val="21"/>
        </w:rPr>
        <w:t>B</w:t>
      </w:r>
      <w:r>
        <w:rPr>
          <w:sz w:val="11"/>
        </w:rPr>
        <w:t>1</w:t>
      </w:r>
      <w:r>
        <w:rPr>
          <w:spacing w:val="-27"/>
          <w:sz w:val="11"/>
        </w:rPr>
        <w:t> </w:t>
      </w:r>
      <w:r>
        <w:rPr>
          <w:spacing w:val="-3"/>
          <w:position w:val="1"/>
          <w:sz w:val="21"/>
        </w:rPr>
        <w:t>级。</w:t>
      </w:r>
      <w:r>
        <w:rPr>
          <w:position w:val="1"/>
          <w:sz w:val="21"/>
        </w:rPr>
        <w:t> </w:t>
      </w:r>
    </w:p>
    <w:p>
      <w:pPr>
        <w:pStyle w:val="ListParagraph"/>
        <w:numPr>
          <w:ilvl w:val="2"/>
          <w:numId w:val="934"/>
        </w:numPr>
        <w:tabs>
          <w:tab w:pos="1371" w:val="left" w:leader="none"/>
        </w:tabs>
        <w:spacing w:line="268" w:lineRule="exact" w:before="0" w:after="0"/>
        <w:ind w:left="1370" w:right="0" w:hanging="531"/>
        <w:jc w:val="left"/>
        <w:rPr>
          <w:sz w:val="21"/>
        </w:rPr>
      </w:pPr>
      <w:r>
        <w:rPr>
          <w:spacing w:val="-3"/>
          <w:sz w:val="21"/>
        </w:rPr>
        <w:t>疏散通道和疏散楼梯的地面材料应具有防滑特性。</w:t>
      </w:r>
      <w:r>
        <w:rPr>
          <w:sz w:val="21"/>
        </w:rPr>
        <w:t> </w:t>
      </w:r>
    </w:p>
    <w:p>
      <w:pPr>
        <w:spacing w:after="0" w:line="268" w:lineRule="exact"/>
        <w:jc w:val="left"/>
        <w:rPr>
          <w:sz w:val="21"/>
        </w:rPr>
        <w:sectPr>
          <w:pgSz w:w="11910" w:h="16850"/>
          <w:pgMar w:header="0" w:footer="1239" w:top="1220" w:bottom="1420" w:left="1260" w:right="0"/>
        </w:sectPr>
      </w:pPr>
    </w:p>
    <w:p>
      <w:pPr>
        <w:pStyle w:val="ListParagraph"/>
        <w:numPr>
          <w:ilvl w:val="2"/>
          <w:numId w:val="934"/>
        </w:numPr>
        <w:tabs>
          <w:tab w:pos="1370" w:val="left" w:leader="none"/>
        </w:tabs>
        <w:spacing w:line="446" w:lineRule="auto" w:before="47" w:after="0"/>
        <w:ind w:left="418" w:right="1604" w:firstLine="422"/>
        <w:jc w:val="left"/>
        <w:rPr>
          <w:sz w:val="21"/>
        </w:rPr>
      </w:pPr>
      <w:r>
        <w:rPr>
          <w:spacing w:val="-3"/>
          <w:sz w:val="21"/>
        </w:rPr>
        <w:t>广告灯箱、导向标志、座椅、电话亭、售检票亭（</w:t>
      </w:r>
      <w:r>
        <w:rPr>
          <w:sz w:val="21"/>
        </w:rPr>
        <w:t>机</w:t>
      </w:r>
      <w:r>
        <w:rPr>
          <w:spacing w:val="-3"/>
          <w:sz w:val="21"/>
        </w:rPr>
        <w:t>）等固定设施的燃烧性能均不</w:t>
      </w:r>
      <w:r>
        <w:rPr>
          <w:spacing w:val="-15"/>
          <w:position w:val="1"/>
          <w:sz w:val="21"/>
        </w:rPr>
        <w:t>应低于 </w:t>
      </w:r>
      <w:r>
        <w:rPr>
          <w:position w:val="1"/>
          <w:sz w:val="21"/>
        </w:rPr>
        <w:t>B</w:t>
      </w:r>
      <w:r>
        <w:rPr>
          <w:sz w:val="11"/>
        </w:rPr>
        <w:t>1</w:t>
      </w:r>
      <w:r>
        <w:rPr>
          <w:spacing w:val="-29"/>
          <w:sz w:val="11"/>
        </w:rPr>
        <w:t> </w:t>
      </w:r>
      <w:r>
        <w:rPr>
          <w:spacing w:val="-7"/>
          <w:position w:val="1"/>
          <w:sz w:val="21"/>
        </w:rPr>
        <w:t>级，垃圾箱的燃烧性能应为 </w:t>
      </w:r>
      <w:r>
        <w:rPr>
          <w:position w:val="1"/>
          <w:sz w:val="21"/>
        </w:rPr>
        <w:t>A</w:t>
      </w:r>
      <w:r>
        <w:rPr>
          <w:spacing w:val="-20"/>
          <w:position w:val="1"/>
          <w:sz w:val="21"/>
        </w:rPr>
        <w:t> 级。</w:t>
      </w:r>
      <w:r>
        <w:rPr>
          <w:position w:val="1"/>
          <w:sz w:val="21"/>
        </w:rPr>
        <w:t> </w:t>
      </w:r>
    </w:p>
    <w:p>
      <w:pPr>
        <w:pStyle w:val="ListParagraph"/>
        <w:numPr>
          <w:ilvl w:val="2"/>
          <w:numId w:val="934"/>
        </w:numPr>
        <w:tabs>
          <w:tab w:pos="1371" w:val="left" w:leader="none"/>
        </w:tabs>
        <w:spacing w:line="446" w:lineRule="auto" w:before="0" w:after="0"/>
        <w:ind w:left="418" w:right="1604" w:firstLine="422"/>
        <w:jc w:val="left"/>
        <w:rPr>
          <w:sz w:val="21"/>
        </w:rPr>
      </w:pPr>
      <w:r>
        <w:rPr>
          <w:spacing w:val="-3"/>
          <w:sz w:val="21"/>
        </w:rPr>
        <w:t>车站内使用的玻璃应采用安全玻璃。在设备管理区设置的玻璃门、窗，其耐火性能不应低于该防火分隔部位的耐火性能要求。</w:t>
      </w:r>
      <w:r>
        <w:rPr>
          <w:sz w:val="21"/>
        </w:rPr>
        <w:t> </w:t>
      </w:r>
    </w:p>
    <w:p>
      <w:pPr>
        <w:pStyle w:val="ListParagraph"/>
        <w:numPr>
          <w:ilvl w:val="2"/>
          <w:numId w:val="934"/>
        </w:numPr>
        <w:tabs>
          <w:tab w:pos="1478" w:val="left" w:leader="none"/>
        </w:tabs>
        <w:spacing w:line="240" w:lineRule="auto" w:before="0" w:after="0"/>
        <w:ind w:left="1477" w:right="0" w:hanging="638"/>
        <w:jc w:val="left"/>
        <w:rPr>
          <w:sz w:val="21"/>
        </w:rPr>
      </w:pPr>
      <w:r>
        <w:rPr>
          <w:spacing w:val="-3"/>
          <w:sz w:val="21"/>
        </w:rPr>
        <w:t>室内装修材料不得采用石棉制品、玻璃纤维和塑料类制品。</w:t>
      </w:r>
      <w:r>
        <w:rPr>
          <w:sz w:val="21"/>
        </w:rPr>
        <w:t> </w:t>
      </w:r>
    </w:p>
    <w:p>
      <w:pPr>
        <w:pStyle w:val="BodyText"/>
        <w:spacing w:before="6"/>
        <w:rPr>
          <w:sz w:val="15"/>
        </w:rPr>
      </w:pPr>
    </w:p>
    <w:p>
      <w:pPr>
        <w:pStyle w:val="Heading4"/>
      </w:pPr>
      <w:r>
        <w:rPr/>
        <w:t>7 消防给水与灭火设施</w:t>
      </w:r>
      <w:r>
        <w:rPr>
          <w:w w:val="99"/>
        </w:rPr>
        <w:t> </w:t>
      </w:r>
    </w:p>
    <w:p>
      <w:pPr>
        <w:pStyle w:val="BodyText"/>
        <w:spacing w:before="6"/>
        <w:rPr>
          <w:b/>
          <w:sz w:val="17"/>
        </w:rPr>
      </w:pPr>
    </w:p>
    <w:p>
      <w:pPr>
        <w:pStyle w:val="ListParagraph"/>
        <w:numPr>
          <w:ilvl w:val="1"/>
          <w:numId w:val="935"/>
        </w:numPr>
        <w:tabs>
          <w:tab w:pos="1160" w:val="left" w:leader="none"/>
        </w:tabs>
        <w:spacing w:line="240" w:lineRule="auto" w:before="0" w:after="0"/>
        <w:ind w:left="1159" w:right="0" w:hanging="320"/>
        <w:jc w:val="left"/>
        <w:rPr>
          <w:b/>
          <w:sz w:val="21"/>
        </w:rPr>
      </w:pPr>
      <w:r>
        <w:rPr>
          <w:spacing w:val="-3"/>
          <w:sz w:val="21"/>
        </w:rPr>
        <w:t>一般规定</w:t>
      </w:r>
      <w:r>
        <w:rPr>
          <w:b/>
          <w:w w:val="99"/>
          <w:sz w:val="21"/>
        </w:rPr>
        <w:t> </w:t>
      </w:r>
    </w:p>
    <w:p>
      <w:pPr>
        <w:pStyle w:val="BodyText"/>
        <w:rPr>
          <w:b/>
          <w:sz w:val="18"/>
        </w:rPr>
      </w:pPr>
    </w:p>
    <w:p>
      <w:pPr>
        <w:pStyle w:val="ListParagraph"/>
        <w:numPr>
          <w:ilvl w:val="2"/>
          <w:numId w:val="935"/>
        </w:numPr>
        <w:tabs>
          <w:tab w:pos="1371" w:val="left" w:leader="none"/>
        </w:tabs>
        <w:spacing w:line="240" w:lineRule="auto" w:before="0" w:after="0"/>
        <w:ind w:left="1370" w:right="0" w:hanging="531"/>
        <w:jc w:val="left"/>
        <w:rPr>
          <w:sz w:val="21"/>
        </w:rPr>
      </w:pPr>
      <w:r>
        <w:rPr>
          <w:spacing w:val="-3"/>
          <w:sz w:val="21"/>
        </w:rPr>
        <w:t>除高架区间外，地铁工程应设置室内外消防给水系统。</w:t>
      </w:r>
      <w:r>
        <w:rPr>
          <w:sz w:val="21"/>
        </w:rPr>
        <w:t> </w:t>
      </w:r>
    </w:p>
    <w:p>
      <w:pPr>
        <w:pStyle w:val="BodyText"/>
        <w:rPr>
          <w:sz w:val="18"/>
        </w:rPr>
      </w:pPr>
    </w:p>
    <w:p>
      <w:pPr>
        <w:pStyle w:val="ListParagraph"/>
        <w:numPr>
          <w:ilvl w:val="2"/>
          <w:numId w:val="935"/>
        </w:numPr>
        <w:tabs>
          <w:tab w:pos="1370" w:val="left" w:leader="none"/>
        </w:tabs>
        <w:spacing w:line="446" w:lineRule="auto" w:before="0" w:after="0"/>
        <w:ind w:left="418" w:right="1604" w:firstLine="422"/>
        <w:jc w:val="left"/>
        <w:rPr>
          <w:sz w:val="21"/>
        </w:rPr>
      </w:pPr>
      <w:r>
        <w:rPr>
          <w:spacing w:val="-3"/>
          <w:sz w:val="21"/>
        </w:rPr>
        <w:t>消防用水宜由市政给水管网供给，也可采用消防水池或天然水源供给。利用天然水源时，应保证枯水期最低水位时的消防用水要求，并应设置可靠的取水设施。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室内消防给水应采用与生产、生活分开的给水系统。消防给水应采用高压或临时高压给水系统。当室内消防用水量达到最大流量时，其水压应满足室内最不利点灭火系统的要 求，消防给水管网应设置防超压设施。</w:t>
      </w:r>
      <w:r>
        <w:rPr>
          <w:sz w:val="21"/>
        </w:rPr>
        <w:t>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消防用水量应按车站或地下区间在同一时间内发生一次火灾时的室内外消防用水量之和计算，并应符合下列规定：</w:t>
      </w:r>
      <w:r>
        <w:rPr>
          <w:sz w:val="21"/>
        </w:rPr>
        <w:t> </w:t>
      </w:r>
    </w:p>
    <w:p>
      <w:pPr>
        <w:pStyle w:val="BodyText"/>
        <w:spacing w:line="446" w:lineRule="auto"/>
        <w:ind w:left="418" w:right="1609" w:firstLine="419"/>
      </w:pPr>
      <w:r>
        <w:rPr/>
        <w:t>地铁建筑内设置消火栓系统、自动喷水灭火系统等灭火设施时，其室内消防用水量应按同时开启的灭火系统用水量之和计算；  </w:t>
      </w:r>
      <w:r>
        <w:rPr>
          <w:w w:val="100"/>
        </w:rPr>
        <w:t> </w:t>
      </w:r>
    </w:p>
    <w:p>
      <w:pPr>
        <w:pStyle w:val="BodyText"/>
        <w:spacing w:line="446" w:lineRule="auto"/>
        <w:ind w:left="418" w:right="1817" w:firstLine="419"/>
      </w:pPr>
      <w:r>
        <w:rPr/>
        <w:t>控制中心和车辆基地的消防用水量应符合现行国家标准《消防给水及消火栓系统技术规范》GB 50974 的规定。 </w:t>
      </w:r>
    </w:p>
    <w:p>
      <w:pPr>
        <w:pStyle w:val="ListParagraph"/>
        <w:numPr>
          <w:ilvl w:val="2"/>
          <w:numId w:val="935"/>
        </w:numPr>
        <w:tabs>
          <w:tab w:pos="1371" w:val="left" w:leader="none"/>
        </w:tabs>
        <w:spacing w:line="240" w:lineRule="auto" w:before="0" w:after="0"/>
        <w:ind w:left="1370" w:right="0" w:hanging="531"/>
        <w:jc w:val="left"/>
        <w:rPr>
          <w:sz w:val="21"/>
        </w:rPr>
      </w:pPr>
      <w:r>
        <w:rPr>
          <w:spacing w:val="-3"/>
          <w:sz w:val="21"/>
        </w:rPr>
        <w:t>自动喷水灭火系统的管网宜与室内消火栓系统的管网分开设置。</w:t>
      </w:r>
      <w:r>
        <w:rPr>
          <w:sz w:val="21"/>
        </w:rPr>
        <w:t> </w:t>
      </w:r>
    </w:p>
    <w:p>
      <w:pPr>
        <w:pStyle w:val="BodyText"/>
        <w:spacing w:before="9"/>
        <w:rPr>
          <w:sz w:val="17"/>
        </w:rPr>
      </w:pPr>
    </w:p>
    <w:p>
      <w:pPr>
        <w:pStyle w:val="ListParagraph"/>
        <w:numPr>
          <w:ilvl w:val="2"/>
          <w:numId w:val="935"/>
        </w:numPr>
        <w:tabs>
          <w:tab w:pos="1371" w:val="left" w:leader="none"/>
        </w:tabs>
        <w:spacing w:line="446" w:lineRule="auto" w:before="0" w:after="0"/>
        <w:ind w:left="418" w:right="1447" w:firstLine="422"/>
        <w:jc w:val="left"/>
        <w:rPr>
          <w:sz w:val="21"/>
        </w:rPr>
      </w:pPr>
      <w:r>
        <w:rPr>
          <w:spacing w:val="-5"/>
          <w:sz w:val="21"/>
        </w:rPr>
        <w:t>地铁工程地下部分室内外消火栓系统的设计火灾延续时间不应小于 </w:t>
      </w:r>
      <w:r>
        <w:rPr>
          <w:sz w:val="21"/>
        </w:rPr>
        <w:t>2.00h</w:t>
      </w:r>
      <w:r>
        <w:rPr>
          <w:spacing w:val="-1"/>
          <w:sz w:val="21"/>
        </w:rPr>
        <w:t>，地上建筑</w:t>
      </w:r>
      <w:r>
        <w:rPr>
          <w:spacing w:val="-3"/>
          <w:sz w:val="21"/>
        </w:rPr>
        <w:t>室内外消火栓系统的设计火灾延续时间应符合现行国家标准《消防给水及消火栓系统技术规</w:t>
      </w:r>
    </w:p>
    <w:p>
      <w:pPr>
        <w:pStyle w:val="BodyText"/>
        <w:spacing w:line="446" w:lineRule="auto"/>
        <w:ind w:left="418" w:right="1558"/>
      </w:pPr>
      <w:r>
        <w:rPr/>
        <w:t>范》GB 50974</w:t>
      </w:r>
      <w:r>
        <w:rPr>
          <w:spacing w:val="-8"/>
        </w:rPr>
        <w:t> 的规定，自动喷水灭火系统的设计火灾延续时间应符合现行国家标准《自动喷水</w:t>
      </w:r>
      <w:r>
        <w:rPr>
          <w:spacing w:val="-5"/>
        </w:rPr>
        <w:t>灭火系统设计规范》</w:t>
      </w:r>
      <w:r>
        <w:rPr/>
        <w:t>GB 50084</w:t>
      </w:r>
      <w:r>
        <w:rPr>
          <w:spacing w:val="-13"/>
        </w:rPr>
        <w:t> 的规定。</w:t>
      </w:r>
      <w:r>
        <w:rPr/>
        <w:t>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地下车站和设置室内消火栓系统的地上建筑应设置消防水泵接合器，并应符合下列规定：</w:t>
      </w:r>
      <w:r>
        <w:rPr>
          <w:sz w:val="21"/>
        </w:rPr>
        <w:t> </w:t>
      </w:r>
    </w:p>
    <w:p>
      <w:pPr>
        <w:pStyle w:val="BodyText"/>
        <w:spacing w:line="267" w:lineRule="exact"/>
        <w:ind w:left="838"/>
      </w:pPr>
      <w:r>
        <w:rPr>
          <w:spacing w:val="-3"/>
        </w:rPr>
        <w:t>消防水泵接合器的数量应按室内消防用水量经计算确定，每个消防水泵接合器的流量应按</w:t>
      </w:r>
    </w:p>
    <w:p>
      <w:pPr>
        <w:pStyle w:val="BodyText"/>
        <w:spacing w:before="2"/>
        <w:rPr>
          <w:sz w:val="18"/>
        </w:rPr>
      </w:pPr>
    </w:p>
    <w:p>
      <w:pPr>
        <w:pStyle w:val="BodyText"/>
        <w:ind w:left="418"/>
      </w:pPr>
      <w:r>
        <w:rPr/>
        <w:t>10～15L/s 计算； </w:t>
      </w:r>
    </w:p>
    <w:p>
      <w:pPr>
        <w:spacing w:after="0"/>
        <w:sectPr>
          <w:pgSz w:w="11910" w:h="16850"/>
          <w:pgMar w:header="0" w:footer="1239" w:top="1220" w:bottom="1420" w:left="1260" w:right="0"/>
        </w:sectPr>
      </w:pPr>
    </w:p>
    <w:p>
      <w:pPr>
        <w:pStyle w:val="BodyText"/>
        <w:spacing w:line="446" w:lineRule="auto" w:before="47"/>
        <w:ind w:left="418" w:right="1609" w:firstLine="419"/>
      </w:pPr>
      <w:r>
        <w:rPr/>
        <w:t>消防水泵接合器应设置在室外便于消防车取用处，地下车站宜设置在出入口或风亭附近的明显位置，距离室外消火栓或消防水池取水口宜为 15～40m； </w:t>
      </w:r>
    </w:p>
    <w:p>
      <w:pPr>
        <w:pStyle w:val="BodyText"/>
        <w:spacing w:line="446" w:lineRule="auto"/>
        <w:ind w:left="418" w:right="1609" w:firstLine="419"/>
      </w:pPr>
      <w:r>
        <w:rPr/>
        <w:t>消防水泵接合器宜采用地上式，并应设置相应的永久性固定标识，位于寒冷和严寒地区应采取防冻措施。 </w:t>
      </w:r>
    </w:p>
    <w:p>
      <w:pPr>
        <w:pStyle w:val="ListParagraph"/>
        <w:numPr>
          <w:ilvl w:val="1"/>
          <w:numId w:val="935"/>
        </w:numPr>
        <w:tabs>
          <w:tab w:pos="1159" w:val="left" w:leader="none"/>
        </w:tabs>
        <w:spacing w:line="240" w:lineRule="auto" w:before="0" w:after="0"/>
        <w:ind w:left="1158" w:right="0" w:hanging="319"/>
        <w:jc w:val="left"/>
        <w:rPr>
          <w:sz w:val="21"/>
        </w:rPr>
      </w:pPr>
      <w:r>
        <w:rPr>
          <w:spacing w:val="-3"/>
          <w:sz w:val="21"/>
        </w:rPr>
        <w:t>室外消火栓系统</w:t>
      </w:r>
      <w:r>
        <w:rPr>
          <w:sz w:val="21"/>
        </w:rPr>
        <w:t> </w:t>
      </w:r>
    </w:p>
    <w:p>
      <w:pPr>
        <w:pStyle w:val="BodyText"/>
        <w:spacing w:before="10"/>
        <w:rPr>
          <w:sz w:val="17"/>
        </w:rPr>
      </w:pPr>
    </w:p>
    <w:p>
      <w:pPr>
        <w:pStyle w:val="ListParagraph"/>
        <w:numPr>
          <w:ilvl w:val="2"/>
          <w:numId w:val="935"/>
        </w:numPr>
        <w:tabs>
          <w:tab w:pos="1371" w:val="left" w:leader="none"/>
        </w:tabs>
        <w:spacing w:line="240" w:lineRule="auto" w:before="0" w:after="0"/>
        <w:ind w:left="1370" w:right="0" w:hanging="531"/>
        <w:jc w:val="left"/>
        <w:rPr>
          <w:sz w:val="21"/>
        </w:rPr>
      </w:pPr>
      <w:r>
        <w:rPr>
          <w:spacing w:val="-3"/>
          <w:sz w:val="21"/>
        </w:rPr>
        <w:t>除地上区间外，地铁车站及其附属建筑、车辆基地应设置室外消火栓系统。 </w:t>
      </w:r>
    </w:p>
    <w:p>
      <w:pPr>
        <w:pStyle w:val="BodyText"/>
        <w:spacing w:before="2"/>
        <w:rPr>
          <w:sz w:val="18"/>
        </w:rPr>
      </w:pPr>
    </w:p>
    <w:p>
      <w:pPr>
        <w:pStyle w:val="ListParagraph"/>
        <w:numPr>
          <w:ilvl w:val="2"/>
          <w:numId w:val="935"/>
        </w:numPr>
        <w:tabs>
          <w:tab w:pos="1370" w:val="left" w:leader="none"/>
        </w:tabs>
        <w:spacing w:line="446" w:lineRule="auto" w:before="0" w:after="0"/>
        <w:ind w:left="418" w:right="1603" w:firstLine="422"/>
        <w:jc w:val="left"/>
        <w:rPr>
          <w:sz w:val="21"/>
        </w:rPr>
      </w:pPr>
      <w:r>
        <w:rPr>
          <w:spacing w:val="-5"/>
          <w:sz w:val="21"/>
        </w:rPr>
        <w:t>地下车站的室外消火栓设置数量应满足灭火救援要求，且不应少于 </w:t>
      </w:r>
      <w:r>
        <w:rPr>
          <w:sz w:val="21"/>
        </w:rPr>
        <w:t>2</w:t>
      </w:r>
      <w:r>
        <w:rPr>
          <w:spacing w:val="-9"/>
          <w:sz w:val="21"/>
        </w:rPr>
        <w:t> 个，其室外消</w:t>
      </w:r>
      <w:r>
        <w:rPr>
          <w:spacing w:val="-10"/>
          <w:sz w:val="21"/>
        </w:rPr>
        <w:t>火栓设计流量不应小于 </w:t>
      </w:r>
      <w:r>
        <w:rPr>
          <w:sz w:val="21"/>
        </w:rPr>
        <w:t>20L/s</w:t>
      </w:r>
      <w:r>
        <w:rPr>
          <w:spacing w:val="-3"/>
          <w:sz w:val="21"/>
        </w:rPr>
        <w:t>。</w:t>
      </w:r>
      <w:r>
        <w:rPr>
          <w:sz w:val="21"/>
        </w:rPr>
        <w:t>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地上车站、控制中心等地上建筑和地上、地下车辆基地的室外消火栓设计流量，应符合现行国家标准《消防给水及消火栓系统技术规范》</w:t>
      </w:r>
      <w:r>
        <w:rPr>
          <w:sz w:val="21"/>
        </w:rPr>
        <w:t>GB</w:t>
      </w:r>
      <w:r>
        <w:rPr>
          <w:spacing w:val="2"/>
          <w:sz w:val="21"/>
        </w:rPr>
        <w:t> </w:t>
      </w:r>
      <w:r>
        <w:rPr>
          <w:sz w:val="21"/>
        </w:rPr>
        <w:t>50974</w:t>
      </w:r>
      <w:r>
        <w:rPr>
          <w:spacing w:val="-13"/>
          <w:sz w:val="21"/>
        </w:rPr>
        <w:t> 的规定。</w:t>
      </w:r>
      <w:r>
        <w:rPr>
          <w:sz w:val="21"/>
        </w:rPr>
        <w:t> </w:t>
      </w:r>
    </w:p>
    <w:p>
      <w:pPr>
        <w:pStyle w:val="ListParagraph"/>
        <w:numPr>
          <w:ilvl w:val="2"/>
          <w:numId w:val="935"/>
        </w:numPr>
        <w:tabs>
          <w:tab w:pos="1371" w:val="left" w:leader="none"/>
        </w:tabs>
        <w:spacing w:line="240" w:lineRule="auto" w:before="0" w:after="0"/>
        <w:ind w:left="1370" w:right="0" w:hanging="531"/>
        <w:jc w:val="left"/>
        <w:rPr>
          <w:sz w:val="21"/>
        </w:rPr>
      </w:pPr>
      <w:r>
        <w:rPr>
          <w:spacing w:val="-6"/>
          <w:sz w:val="21"/>
        </w:rPr>
        <w:t>主变电所的室外消火栓设计流量不应小于表 </w:t>
      </w:r>
      <w:r>
        <w:rPr>
          <w:sz w:val="21"/>
        </w:rPr>
        <w:t>7.2.4</w:t>
      </w:r>
      <w:r>
        <w:rPr>
          <w:spacing w:val="-13"/>
          <w:sz w:val="21"/>
        </w:rPr>
        <w:t> 的规定。</w:t>
      </w:r>
      <w:r>
        <w:rPr>
          <w:sz w:val="21"/>
        </w:rPr>
        <w:t> </w:t>
      </w:r>
    </w:p>
    <w:p>
      <w:pPr>
        <w:pStyle w:val="BodyText"/>
        <w:spacing w:before="10"/>
        <w:rPr>
          <w:sz w:val="17"/>
        </w:rPr>
      </w:pPr>
    </w:p>
    <w:p>
      <w:pPr>
        <w:pStyle w:val="Heading6"/>
        <w:spacing w:before="1"/>
        <w:ind w:left="3099"/>
      </w:pPr>
      <w:r>
        <w:rPr/>
        <w:t>表 7.2.4 主变电所的室外消火栓设计流量</w:t>
      </w:r>
      <w:r>
        <w:rPr>
          <w:w w:val="99"/>
        </w:rPr>
        <w:t> </w:t>
      </w:r>
    </w:p>
    <w:p>
      <w:pPr>
        <w:pStyle w:val="BodyText"/>
        <w:spacing w:before="2"/>
        <w:rPr>
          <w:b/>
          <w:sz w:val="20"/>
        </w:rPr>
      </w:pPr>
      <w:r>
        <w:rPr/>
        <w:drawing>
          <wp:anchor distT="0" distB="0" distL="0" distR="0" allowOverlap="1" layoutInCell="1" locked="0" behindDoc="0" simplePos="0" relativeHeight="365">
            <wp:simplePos x="0" y="0"/>
            <wp:positionH relativeFrom="page">
              <wp:posOffset>1122044</wp:posOffset>
            </wp:positionH>
            <wp:positionV relativeFrom="paragraph">
              <wp:posOffset>189261</wp:posOffset>
            </wp:positionV>
            <wp:extent cx="5135880" cy="723900"/>
            <wp:effectExtent l="0" t="0" r="0" b="0"/>
            <wp:wrapTopAndBottom/>
            <wp:docPr id="795" name="image466.jpeg"/>
            <wp:cNvGraphicFramePr>
              <a:graphicFrameLocks noChangeAspect="1"/>
            </wp:cNvGraphicFramePr>
            <a:graphic>
              <a:graphicData uri="http://schemas.openxmlformats.org/drawingml/2006/picture">
                <pic:pic>
                  <pic:nvPicPr>
                    <pic:cNvPr id="796" name="image466.jpeg"/>
                    <pic:cNvPicPr/>
                  </pic:nvPicPr>
                  <pic:blipFill>
                    <a:blip r:embed="rId590" cstate="print"/>
                    <a:stretch>
                      <a:fillRect/>
                    </a:stretch>
                  </pic:blipFill>
                  <pic:spPr>
                    <a:xfrm>
                      <a:off x="0" y="0"/>
                      <a:ext cx="5135880" cy="723900"/>
                    </a:xfrm>
                    <a:prstGeom prst="rect">
                      <a:avLst/>
                    </a:prstGeom>
                  </pic:spPr>
                </pic:pic>
              </a:graphicData>
            </a:graphic>
          </wp:anchor>
        </w:drawing>
      </w:r>
    </w:p>
    <w:p>
      <w:pPr>
        <w:pStyle w:val="BodyText"/>
        <w:rPr>
          <w:b/>
          <w:sz w:val="20"/>
        </w:rPr>
      </w:pPr>
    </w:p>
    <w:p>
      <w:pPr>
        <w:pStyle w:val="BodyText"/>
        <w:rPr>
          <w:b/>
          <w:sz w:val="20"/>
        </w:rPr>
      </w:pPr>
    </w:p>
    <w:p>
      <w:pPr>
        <w:pStyle w:val="ListParagraph"/>
        <w:numPr>
          <w:ilvl w:val="2"/>
          <w:numId w:val="935"/>
        </w:numPr>
        <w:tabs>
          <w:tab w:pos="1371" w:val="left" w:leader="none"/>
        </w:tabs>
        <w:spacing w:line="446" w:lineRule="auto" w:before="151" w:after="0"/>
        <w:ind w:left="418" w:right="1604" w:firstLine="422"/>
        <w:jc w:val="both"/>
        <w:rPr>
          <w:sz w:val="21"/>
        </w:rPr>
      </w:pPr>
      <w:r>
        <w:rPr>
          <w:spacing w:val="-6"/>
          <w:sz w:val="21"/>
        </w:rPr>
        <w:t>车站消防给水系统的进水管不应少于 </w:t>
      </w:r>
      <w:r>
        <w:rPr>
          <w:sz w:val="21"/>
        </w:rPr>
        <w:t>2</w:t>
      </w:r>
      <w:r>
        <w:rPr>
          <w:spacing w:val="-8"/>
          <w:sz w:val="21"/>
        </w:rPr>
        <w:t> 条，并宜从两条市政给水管道引入，当其中</w:t>
      </w:r>
      <w:r>
        <w:rPr>
          <w:spacing w:val="-5"/>
          <w:sz w:val="21"/>
        </w:rPr>
        <w:t>一条进水管发生故障时，另一条进水管应仍能保证全部消防用水量；当车站周边仅有一条市政</w:t>
      </w:r>
      <w:r>
        <w:rPr>
          <w:spacing w:val="-4"/>
          <w:sz w:val="21"/>
        </w:rPr>
        <w:t>枝状给水管道时，应设置消防水池。</w:t>
      </w:r>
      <w:r>
        <w:rPr>
          <w:sz w:val="21"/>
        </w:rPr>
        <w:t>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车辆基地的室外消防给水系统宜与生产、生活给水管道合并，当生产、生活用水量达到最大小时用水量时，合并的给水管道系统仍应能保证全部消防用水量。</w:t>
      </w:r>
      <w:r>
        <w:rPr>
          <w:sz w:val="21"/>
        </w:rPr>
        <w:t> </w:t>
      </w:r>
    </w:p>
    <w:p>
      <w:pPr>
        <w:pStyle w:val="ListParagraph"/>
        <w:numPr>
          <w:ilvl w:val="2"/>
          <w:numId w:val="935"/>
        </w:numPr>
        <w:tabs>
          <w:tab w:pos="1371" w:val="left" w:leader="none"/>
        </w:tabs>
        <w:spacing w:line="446" w:lineRule="auto" w:before="0" w:after="0"/>
        <w:ind w:left="418" w:right="1500" w:firstLine="422"/>
        <w:jc w:val="both"/>
        <w:rPr>
          <w:sz w:val="21"/>
        </w:rPr>
      </w:pPr>
      <w:r>
        <w:rPr>
          <w:spacing w:val="-6"/>
          <w:sz w:val="21"/>
        </w:rPr>
        <w:t>室外消火栓宜采用地上式。地上式消火栓应有 </w:t>
      </w:r>
      <w:r>
        <w:rPr>
          <w:sz w:val="21"/>
        </w:rPr>
        <w:t>1</w:t>
      </w:r>
      <w:r>
        <w:rPr>
          <w:spacing w:val="-35"/>
          <w:sz w:val="21"/>
        </w:rPr>
        <w:t> 个 </w:t>
      </w:r>
      <w:r>
        <w:rPr>
          <w:sz w:val="21"/>
        </w:rPr>
        <w:t>DN150</w:t>
      </w:r>
      <w:r>
        <w:rPr>
          <w:spacing w:val="-35"/>
          <w:sz w:val="21"/>
        </w:rPr>
        <w:t> 或 </w:t>
      </w:r>
      <w:r>
        <w:rPr>
          <w:sz w:val="21"/>
        </w:rPr>
        <w:t>DN100</w:t>
      </w:r>
      <w:r>
        <w:rPr>
          <w:spacing w:val="-35"/>
          <w:sz w:val="21"/>
        </w:rPr>
        <w:t> 和 </w:t>
      </w:r>
      <w:r>
        <w:rPr>
          <w:sz w:val="21"/>
        </w:rPr>
        <w:t>2</w:t>
      </w:r>
      <w:r>
        <w:rPr>
          <w:spacing w:val="-34"/>
          <w:sz w:val="21"/>
        </w:rPr>
        <w:t> 个 </w:t>
      </w:r>
      <w:r>
        <w:rPr>
          <w:sz w:val="21"/>
        </w:rPr>
        <w:t>DN65</w:t>
      </w:r>
      <w:r>
        <w:rPr>
          <w:spacing w:val="-18"/>
          <w:sz w:val="21"/>
        </w:rPr>
        <w:t> 的栓</w:t>
      </w:r>
      <w:r>
        <w:rPr>
          <w:spacing w:val="-11"/>
          <w:sz w:val="21"/>
        </w:rPr>
        <w:t>口，地下式消火栓应有 </w:t>
      </w:r>
      <w:r>
        <w:rPr>
          <w:sz w:val="21"/>
        </w:rPr>
        <w:t>DN100</w:t>
      </w:r>
      <w:r>
        <w:rPr>
          <w:spacing w:val="-33"/>
          <w:sz w:val="21"/>
        </w:rPr>
        <w:t> 和 </w:t>
      </w:r>
      <w:r>
        <w:rPr>
          <w:sz w:val="21"/>
        </w:rPr>
        <w:t>DN65</w:t>
      </w:r>
      <w:r>
        <w:rPr>
          <w:spacing w:val="-18"/>
          <w:sz w:val="21"/>
        </w:rPr>
        <w:t> 的栓口各 </w:t>
      </w:r>
      <w:r>
        <w:rPr>
          <w:sz w:val="21"/>
        </w:rPr>
        <w:t>1</w:t>
      </w:r>
      <w:r>
        <w:rPr>
          <w:spacing w:val="-8"/>
          <w:sz w:val="21"/>
        </w:rPr>
        <w:t> 个。位于寒冷和严寒地区时，室外消火栓应采</w:t>
      </w:r>
      <w:r>
        <w:rPr>
          <w:spacing w:val="-5"/>
          <w:sz w:val="21"/>
        </w:rPr>
        <w:t>取防冻措施。室外消火栓应设置相应的永久性固定标识。</w:t>
      </w:r>
      <w:r>
        <w:rPr>
          <w:sz w:val="21"/>
        </w:rPr>
        <w:t> </w:t>
      </w:r>
    </w:p>
    <w:p>
      <w:pPr>
        <w:pStyle w:val="ListParagraph"/>
        <w:numPr>
          <w:ilvl w:val="2"/>
          <w:numId w:val="935"/>
        </w:numPr>
        <w:tabs>
          <w:tab w:pos="1371" w:val="left" w:leader="none"/>
        </w:tabs>
        <w:spacing w:line="446" w:lineRule="auto" w:before="0" w:after="0"/>
        <w:ind w:left="418" w:right="1500" w:firstLine="422"/>
        <w:jc w:val="both"/>
        <w:rPr>
          <w:sz w:val="21"/>
        </w:rPr>
      </w:pPr>
      <w:r>
        <w:rPr>
          <w:spacing w:val="-6"/>
          <w:sz w:val="21"/>
        </w:rPr>
        <w:t>室外消火栓的布置间距不应大于 </w:t>
      </w:r>
      <w:r>
        <w:rPr>
          <w:sz w:val="21"/>
        </w:rPr>
        <w:t>120m</w:t>
      </w:r>
      <w:r>
        <w:rPr>
          <w:spacing w:val="-6"/>
          <w:sz w:val="21"/>
        </w:rPr>
        <w:t>，每个消火栓的保护半径不应大于 </w:t>
      </w:r>
      <w:r>
        <w:rPr>
          <w:sz w:val="21"/>
        </w:rPr>
        <w:t>150m</w:t>
      </w:r>
      <w:r>
        <w:rPr>
          <w:spacing w:val="-2"/>
          <w:sz w:val="21"/>
        </w:rPr>
        <w:t>。检修</w:t>
      </w:r>
      <w:r>
        <w:rPr>
          <w:spacing w:val="-7"/>
          <w:sz w:val="21"/>
        </w:rPr>
        <w:t>阀之间的消火栓数量不应大于 </w:t>
      </w:r>
      <w:r>
        <w:rPr>
          <w:sz w:val="21"/>
        </w:rPr>
        <w:t>5</w:t>
      </w:r>
      <w:r>
        <w:rPr>
          <w:spacing w:val="-20"/>
          <w:sz w:val="21"/>
        </w:rPr>
        <w:t> 个。</w:t>
      </w:r>
      <w:r>
        <w:rPr>
          <w:sz w:val="21"/>
        </w:rPr>
        <w:t> </w:t>
      </w:r>
    </w:p>
    <w:p>
      <w:pPr>
        <w:pStyle w:val="ListParagraph"/>
        <w:numPr>
          <w:ilvl w:val="1"/>
          <w:numId w:val="935"/>
        </w:numPr>
        <w:tabs>
          <w:tab w:pos="1159" w:val="left" w:leader="none"/>
        </w:tabs>
        <w:spacing w:line="240" w:lineRule="auto" w:before="0" w:after="0"/>
        <w:ind w:left="1158" w:right="0" w:hanging="319"/>
        <w:jc w:val="left"/>
        <w:rPr>
          <w:b/>
          <w:sz w:val="21"/>
        </w:rPr>
      </w:pPr>
      <w:r>
        <w:rPr>
          <w:spacing w:val="-3"/>
          <w:sz w:val="21"/>
        </w:rPr>
        <w:t>室内消火栓系统</w:t>
      </w:r>
      <w:r>
        <w:rPr>
          <w:b/>
          <w:w w:val="99"/>
          <w:sz w:val="21"/>
        </w:rPr>
        <w:t> </w:t>
      </w:r>
    </w:p>
    <w:p>
      <w:pPr>
        <w:pStyle w:val="BodyText"/>
        <w:spacing w:before="8"/>
        <w:rPr>
          <w:b/>
          <w:sz w:val="17"/>
        </w:rPr>
      </w:pPr>
    </w:p>
    <w:p>
      <w:pPr>
        <w:pStyle w:val="ListParagraph"/>
        <w:numPr>
          <w:ilvl w:val="2"/>
          <w:numId w:val="935"/>
        </w:numPr>
        <w:tabs>
          <w:tab w:pos="1370" w:val="left" w:leader="none"/>
        </w:tabs>
        <w:spacing w:line="240" w:lineRule="auto" w:before="0" w:after="0"/>
        <w:ind w:left="1369" w:right="0" w:hanging="530"/>
        <w:jc w:val="left"/>
        <w:rPr>
          <w:sz w:val="21"/>
        </w:rPr>
      </w:pPr>
      <w:r>
        <w:rPr>
          <w:spacing w:val="-5"/>
          <w:sz w:val="21"/>
        </w:rPr>
        <w:t>车站的站厅层、站台层、设备层、地下区间及长度大于 </w:t>
      </w:r>
      <w:r>
        <w:rPr>
          <w:sz w:val="21"/>
        </w:rPr>
        <w:t>30m</w:t>
      </w:r>
      <w:r>
        <w:rPr>
          <w:spacing w:val="-9"/>
          <w:sz w:val="21"/>
        </w:rPr>
        <w:t> 的人行通道等处均应设</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置室内消火栓。 </w:t>
      </w:r>
    </w:p>
    <w:p>
      <w:pPr>
        <w:pStyle w:val="BodyText"/>
        <w:rPr>
          <w:sz w:val="18"/>
        </w:rPr>
      </w:pPr>
    </w:p>
    <w:p>
      <w:pPr>
        <w:pStyle w:val="ListParagraph"/>
        <w:numPr>
          <w:ilvl w:val="2"/>
          <w:numId w:val="935"/>
        </w:numPr>
        <w:tabs>
          <w:tab w:pos="1371" w:val="left" w:leader="none"/>
        </w:tabs>
        <w:spacing w:line="446" w:lineRule="auto" w:before="0" w:after="0"/>
        <w:ind w:left="418" w:right="1450" w:firstLine="422"/>
        <w:jc w:val="left"/>
        <w:rPr>
          <w:sz w:val="21"/>
        </w:rPr>
      </w:pPr>
      <w:r>
        <w:rPr>
          <w:spacing w:val="-6"/>
          <w:sz w:val="21"/>
        </w:rPr>
        <w:t>地下车站的室内消火栓设计流量不应小于 </w:t>
      </w:r>
      <w:r>
        <w:rPr>
          <w:sz w:val="21"/>
        </w:rPr>
        <w:t>20L/s</w:t>
      </w:r>
      <w:r>
        <w:rPr>
          <w:spacing w:val="-3"/>
          <w:sz w:val="21"/>
        </w:rPr>
        <w:t>。地下车站出入口通道、地下折返线</w:t>
      </w:r>
      <w:r>
        <w:rPr>
          <w:spacing w:val="-6"/>
          <w:sz w:val="21"/>
        </w:rPr>
        <w:t>及地下区间的室内消火栓设计流量不应小于 </w:t>
      </w:r>
      <w:r>
        <w:rPr>
          <w:sz w:val="21"/>
        </w:rPr>
        <w:t>10L/s。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地上车站、控制中心等地上建筑和地上、地下车辆基地的室内消火栓用水量，应符合现行国家标准《消防给水及消火栓系统技术规范》</w:t>
      </w:r>
      <w:r>
        <w:rPr>
          <w:sz w:val="21"/>
        </w:rPr>
        <w:t>GB</w:t>
      </w:r>
      <w:r>
        <w:rPr>
          <w:spacing w:val="2"/>
          <w:sz w:val="21"/>
        </w:rPr>
        <w:t> </w:t>
      </w:r>
      <w:r>
        <w:rPr>
          <w:sz w:val="21"/>
        </w:rPr>
        <w:t>50974</w:t>
      </w:r>
      <w:r>
        <w:rPr>
          <w:spacing w:val="-13"/>
          <w:sz w:val="21"/>
        </w:rPr>
        <w:t> 的规定。</w:t>
      </w:r>
      <w:r>
        <w:rPr>
          <w:sz w:val="21"/>
        </w:rPr>
        <w:t> </w:t>
      </w:r>
    </w:p>
    <w:p>
      <w:pPr>
        <w:pStyle w:val="ListParagraph"/>
        <w:numPr>
          <w:ilvl w:val="2"/>
          <w:numId w:val="935"/>
        </w:numPr>
        <w:tabs>
          <w:tab w:pos="1371" w:val="left" w:leader="none"/>
        </w:tabs>
        <w:spacing w:line="267" w:lineRule="exact" w:before="0" w:after="0"/>
        <w:ind w:left="1370" w:right="0" w:hanging="531"/>
        <w:jc w:val="left"/>
        <w:rPr>
          <w:sz w:val="21"/>
        </w:rPr>
      </w:pPr>
      <w:r>
        <w:rPr>
          <w:spacing w:val="-6"/>
          <w:sz w:val="21"/>
        </w:rPr>
        <w:t>主变电所的室内消火栓设计流量不应小于表 </w:t>
      </w:r>
      <w:r>
        <w:rPr>
          <w:sz w:val="21"/>
        </w:rPr>
        <w:t>7.3.4</w:t>
      </w:r>
      <w:r>
        <w:rPr>
          <w:spacing w:val="-13"/>
          <w:sz w:val="21"/>
        </w:rPr>
        <w:t> 的规定。</w:t>
      </w:r>
      <w:r>
        <w:rPr>
          <w:sz w:val="21"/>
        </w:rPr>
        <w:t> </w:t>
      </w:r>
    </w:p>
    <w:p>
      <w:pPr>
        <w:pStyle w:val="BodyText"/>
        <w:spacing w:before="2"/>
        <w:rPr>
          <w:sz w:val="18"/>
        </w:rPr>
      </w:pPr>
    </w:p>
    <w:p>
      <w:pPr>
        <w:pStyle w:val="Heading6"/>
        <w:ind w:left="3099"/>
      </w:pPr>
      <w:r>
        <w:rPr/>
        <w:t>表 7.3.4 主变电所的室内消火栓设计流量</w:t>
      </w:r>
      <w:r>
        <w:rPr>
          <w:w w:val="99"/>
        </w:rPr>
        <w:t> </w:t>
      </w:r>
    </w:p>
    <w:p>
      <w:pPr>
        <w:pStyle w:val="BodyText"/>
        <w:spacing w:before="9"/>
        <w:rPr>
          <w:b/>
          <w:sz w:val="22"/>
        </w:rPr>
      </w:pPr>
      <w:r>
        <w:rPr/>
        <w:drawing>
          <wp:anchor distT="0" distB="0" distL="0" distR="0" allowOverlap="1" layoutInCell="1" locked="0" behindDoc="0" simplePos="0" relativeHeight="366">
            <wp:simplePos x="0" y="0"/>
            <wp:positionH relativeFrom="page">
              <wp:posOffset>1057910</wp:posOffset>
            </wp:positionH>
            <wp:positionV relativeFrom="paragraph">
              <wp:posOffset>209835</wp:posOffset>
            </wp:positionV>
            <wp:extent cx="5246406" cy="2266950"/>
            <wp:effectExtent l="0" t="0" r="0" b="0"/>
            <wp:wrapTopAndBottom/>
            <wp:docPr id="797" name="image467.jpeg"/>
            <wp:cNvGraphicFramePr>
              <a:graphicFrameLocks noChangeAspect="1"/>
            </wp:cNvGraphicFramePr>
            <a:graphic>
              <a:graphicData uri="http://schemas.openxmlformats.org/drawingml/2006/picture">
                <pic:pic>
                  <pic:nvPicPr>
                    <pic:cNvPr id="798" name="image467.jpeg"/>
                    <pic:cNvPicPr/>
                  </pic:nvPicPr>
                  <pic:blipFill>
                    <a:blip r:embed="rId591" cstate="print"/>
                    <a:stretch>
                      <a:fillRect/>
                    </a:stretch>
                  </pic:blipFill>
                  <pic:spPr>
                    <a:xfrm>
                      <a:off x="0" y="0"/>
                      <a:ext cx="5246406" cy="2266950"/>
                    </a:xfrm>
                    <a:prstGeom prst="rect">
                      <a:avLst/>
                    </a:prstGeom>
                  </pic:spPr>
                </pic:pic>
              </a:graphicData>
            </a:graphic>
          </wp:anchor>
        </w:drawing>
      </w:r>
    </w:p>
    <w:p>
      <w:pPr>
        <w:pStyle w:val="ListParagraph"/>
        <w:numPr>
          <w:ilvl w:val="2"/>
          <w:numId w:val="935"/>
        </w:numPr>
        <w:tabs>
          <w:tab w:pos="1370" w:val="left" w:leader="none"/>
        </w:tabs>
        <w:spacing w:line="240" w:lineRule="auto" w:before="166" w:after="0"/>
        <w:ind w:left="1369" w:right="0" w:hanging="530"/>
        <w:jc w:val="left"/>
        <w:rPr>
          <w:sz w:val="21"/>
        </w:rPr>
      </w:pPr>
      <w:r>
        <w:rPr>
          <w:spacing w:val="-3"/>
          <w:sz w:val="21"/>
        </w:rPr>
        <w:t>室内消火栓的布置应符合下列规定：</w:t>
      </w:r>
      <w:r>
        <w:rPr>
          <w:sz w:val="21"/>
        </w:rPr>
        <w:t> </w:t>
      </w:r>
    </w:p>
    <w:p>
      <w:pPr>
        <w:pStyle w:val="BodyText"/>
        <w:spacing w:before="12"/>
        <w:rPr>
          <w:sz w:val="17"/>
        </w:rPr>
      </w:pPr>
    </w:p>
    <w:p>
      <w:pPr>
        <w:pStyle w:val="BodyText"/>
        <w:spacing w:line="446" w:lineRule="auto"/>
        <w:ind w:left="418" w:right="1609" w:firstLine="419"/>
      </w:pPr>
      <w:r>
        <w:rPr>
          <w:spacing w:val="-3"/>
        </w:rPr>
        <w:t>消火栓的布置应保证每个防火分区同层有两支水枪的充实水柱同时到达任何部位，水枪的</w:t>
      </w:r>
      <w:r>
        <w:rPr>
          <w:spacing w:val="-9"/>
        </w:rPr>
        <w:t>充实水柱不应小于 </w:t>
      </w:r>
      <w:r>
        <w:rPr/>
        <w:t>10m； </w:t>
      </w:r>
    </w:p>
    <w:p>
      <w:pPr>
        <w:pStyle w:val="BodyText"/>
        <w:spacing w:line="446" w:lineRule="auto"/>
        <w:ind w:left="418" w:right="1450" w:firstLine="419"/>
        <w:jc w:val="both"/>
      </w:pPr>
      <w:r>
        <w:rPr>
          <w:spacing w:val="-4"/>
        </w:rPr>
        <w:t>消火栓的间距应经计算确定，且单口单阀消火栓的间距不应大于 </w:t>
      </w:r>
      <w:r>
        <w:rPr/>
        <w:t>30m</w:t>
      </w:r>
      <w:r>
        <w:rPr>
          <w:spacing w:val="-3"/>
        </w:rPr>
        <w:t>，两只单口单阀为一组</w:t>
      </w:r>
      <w:r>
        <w:rPr>
          <w:spacing w:val="-7"/>
        </w:rPr>
        <w:t>的消火栓间距不应大于 </w:t>
      </w:r>
      <w:r>
        <w:rPr/>
        <w:t>50m，</w:t>
      </w:r>
      <w:r>
        <w:rPr>
          <w:spacing w:val="-5"/>
        </w:rPr>
        <w:t>地下区间及配线区内消火栓的间距不应大于 </w:t>
      </w:r>
      <w:r>
        <w:rPr/>
        <w:t>50m</w:t>
      </w:r>
      <w:r>
        <w:rPr>
          <w:spacing w:val="-3"/>
        </w:rPr>
        <w:t>，人行通道内消火</w:t>
      </w:r>
      <w:r>
        <w:rPr>
          <w:spacing w:val="-9"/>
        </w:rPr>
        <w:t>栓的间距不应大于 </w:t>
      </w:r>
      <w:r>
        <w:rPr/>
        <w:t>20m； </w:t>
      </w:r>
    </w:p>
    <w:p>
      <w:pPr>
        <w:pStyle w:val="BodyText"/>
        <w:spacing w:line="446" w:lineRule="auto"/>
        <w:ind w:left="418" w:right="1609" w:firstLine="419"/>
      </w:pPr>
      <w:r>
        <w:rPr/>
        <w:t>站厅层、侧式站台层和车站设备管理区宜设置单口单阀消火栓，岛式站台层宜设置两只单口单阀为一组的消火栓； </w:t>
      </w:r>
    </w:p>
    <w:p>
      <w:pPr>
        <w:pStyle w:val="BodyText"/>
        <w:ind w:left="838"/>
      </w:pPr>
      <w:r>
        <w:rPr/>
        <w:t>除地下区间外，消火栓箱内应配备水带、水枪和消防软管卷盘； </w:t>
      </w:r>
    </w:p>
    <w:p>
      <w:pPr>
        <w:pStyle w:val="BodyText"/>
        <w:spacing w:before="11"/>
        <w:rPr>
          <w:sz w:val="17"/>
        </w:rPr>
      </w:pPr>
    </w:p>
    <w:p>
      <w:pPr>
        <w:pStyle w:val="BodyText"/>
        <w:spacing w:line="446" w:lineRule="auto"/>
        <w:ind w:left="418" w:right="1608" w:firstLine="419"/>
      </w:pPr>
      <w:r>
        <w:rPr/>
        <w:t>地下区间可不设置消火栓箱，但应将水带、水枪等配套消防设施设置在车站站台层端部的专用消防箱内，并应有明显标志； </w:t>
      </w:r>
    </w:p>
    <w:p>
      <w:pPr>
        <w:pStyle w:val="BodyText"/>
        <w:spacing w:before="1"/>
        <w:ind w:left="838"/>
      </w:pPr>
      <w:r>
        <w:rPr/>
        <w:t>消火栓口距离地面或操作基本面宜为 1.1m； </w:t>
      </w:r>
    </w:p>
    <w:p>
      <w:pPr>
        <w:pStyle w:val="BodyText"/>
        <w:spacing w:before="12"/>
        <w:rPr>
          <w:sz w:val="17"/>
        </w:rPr>
      </w:pPr>
    </w:p>
    <w:p>
      <w:pPr>
        <w:pStyle w:val="BodyText"/>
        <w:ind w:left="838"/>
      </w:pPr>
      <w:r>
        <w:rPr/>
        <w:t>消火栓口处的出水动压力大于 0.7MPa 时，应设置减压措施。 </w:t>
      </w:r>
    </w:p>
    <w:p>
      <w:pPr>
        <w:spacing w:after="0"/>
        <w:sectPr>
          <w:pgSz w:w="11910" w:h="16850"/>
          <w:pgMar w:header="0" w:footer="1239" w:top="1220" w:bottom="1420" w:left="1260" w:right="0"/>
        </w:sectPr>
      </w:pPr>
    </w:p>
    <w:p>
      <w:pPr>
        <w:pStyle w:val="ListParagraph"/>
        <w:numPr>
          <w:ilvl w:val="2"/>
          <w:numId w:val="935"/>
        </w:numPr>
        <w:tabs>
          <w:tab w:pos="1371" w:val="left" w:leader="none"/>
        </w:tabs>
        <w:spacing w:line="240" w:lineRule="auto" w:before="47" w:after="0"/>
        <w:ind w:left="1370" w:right="0" w:hanging="531"/>
        <w:jc w:val="left"/>
        <w:rPr>
          <w:sz w:val="21"/>
        </w:rPr>
      </w:pPr>
      <w:r>
        <w:rPr>
          <w:spacing w:val="-3"/>
          <w:sz w:val="21"/>
        </w:rPr>
        <w:t>室内消防给水管道的布置应符合下列规定：</w:t>
      </w:r>
      <w:r>
        <w:rPr>
          <w:sz w:val="21"/>
        </w:rPr>
        <w:t> </w:t>
      </w:r>
    </w:p>
    <w:p>
      <w:pPr>
        <w:pStyle w:val="BodyText"/>
        <w:rPr>
          <w:sz w:val="18"/>
        </w:rPr>
      </w:pPr>
    </w:p>
    <w:p>
      <w:pPr>
        <w:pStyle w:val="BodyText"/>
        <w:ind w:left="838"/>
      </w:pPr>
      <w:r>
        <w:rPr/>
        <w:t>车站和地下区间的消火栓给水管道应连成环状； </w:t>
      </w:r>
    </w:p>
    <w:p>
      <w:pPr>
        <w:pStyle w:val="BodyText"/>
        <w:rPr>
          <w:sz w:val="18"/>
        </w:rPr>
      </w:pPr>
    </w:p>
    <w:p>
      <w:pPr>
        <w:pStyle w:val="BodyText"/>
        <w:spacing w:line="446" w:lineRule="auto"/>
        <w:ind w:left="418" w:right="1609" w:firstLine="419"/>
      </w:pPr>
      <w:r>
        <w:rPr/>
        <w:t>地下区间上、下行线应各从地下车站引入一根消防给水管，并宜在区间中部连通，且在车站端部应与车站环状管网相接； </w:t>
      </w:r>
    </w:p>
    <w:p>
      <w:pPr>
        <w:pStyle w:val="BodyText"/>
        <w:spacing w:line="446" w:lineRule="auto"/>
        <w:ind w:left="418" w:right="1609" w:firstLine="419"/>
      </w:pPr>
      <w:r>
        <w:rPr/>
        <w:t>室内消防给水管道应采用阀门分成若干独立管段，阀门的布置应保证检修管道时关闭停用消火栓的数量不大于 5 个； </w:t>
      </w:r>
    </w:p>
    <w:p>
      <w:pPr>
        <w:pStyle w:val="BodyText"/>
        <w:ind w:left="838"/>
      </w:pPr>
      <w:r>
        <w:rPr/>
        <w:t>消防给水管道上的阀门应保持常开状态，并应有明显的启闭标志； </w:t>
      </w:r>
    </w:p>
    <w:p>
      <w:pPr>
        <w:pStyle w:val="BodyText"/>
        <w:spacing w:before="12"/>
        <w:rPr>
          <w:sz w:val="17"/>
        </w:rPr>
      </w:pPr>
    </w:p>
    <w:p>
      <w:pPr>
        <w:pStyle w:val="BodyText"/>
        <w:spacing w:line="446" w:lineRule="auto"/>
        <w:ind w:left="418" w:right="1609" w:firstLine="419"/>
      </w:pPr>
      <w:r>
        <w:rPr>
          <w:spacing w:val="-3"/>
        </w:rPr>
        <w:t>在寒冷和严寒地区，站厅与室外连通部分的明露消防给水管道应采取防冻措施或采用干式系统；</w:t>
      </w:r>
      <w:r>
        <w:rPr/>
        <w:t> </w:t>
      </w:r>
    </w:p>
    <w:p>
      <w:pPr>
        <w:pStyle w:val="BodyText"/>
        <w:spacing w:line="446" w:lineRule="auto"/>
        <w:ind w:left="418" w:right="1609" w:firstLine="419"/>
      </w:pPr>
      <w:r>
        <w:rPr>
          <w:spacing w:val="-3"/>
        </w:rPr>
        <w:t>当车站、区间采用临时高压给水系统时，车站控制室及消火栓处应设置消火栓的水泵启动按钮。</w:t>
      </w:r>
      <w:r>
        <w:rPr/>
        <w:t> </w:t>
      </w:r>
    </w:p>
    <w:p>
      <w:pPr>
        <w:pStyle w:val="ListParagraph"/>
        <w:numPr>
          <w:ilvl w:val="1"/>
          <w:numId w:val="935"/>
        </w:numPr>
        <w:tabs>
          <w:tab w:pos="1159" w:val="left" w:leader="none"/>
        </w:tabs>
        <w:spacing w:line="267" w:lineRule="exact" w:before="0" w:after="0"/>
        <w:ind w:left="1158" w:right="0" w:hanging="319"/>
        <w:jc w:val="left"/>
        <w:rPr>
          <w:b/>
          <w:sz w:val="21"/>
        </w:rPr>
      </w:pPr>
      <w:r>
        <w:rPr>
          <w:spacing w:val="-3"/>
          <w:sz w:val="21"/>
        </w:rPr>
        <w:t>自动灭火系统与其他灭火设施</w:t>
      </w:r>
      <w:r>
        <w:rPr>
          <w:b/>
          <w:w w:val="99"/>
          <w:sz w:val="21"/>
        </w:rPr>
        <w:t> </w:t>
      </w:r>
    </w:p>
    <w:p>
      <w:pPr>
        <w:pStyle w:val="BodyText"/>
        <w:spacing w:before="2"/>
        <w:rPr>
          <w:b/>
          <w:sz w:val="18"/>
        </w:rPr>
      </w:pPr>
    </w:p>
    <w:p>
      <w:pPr>
        <w:pStyle w:val="ListParagraph"/>
        <w:numPr>
          <w:ilvl w:val="2"/>
          <w:numId w:val="935"/>
        </w:numPr>
        <w:tabs>
          <w:tab w:pos="1371" w:val="left" w:leader="none"/>
        </w:tabs>
        <w:spacing w:line="240" w:lineRule="auto" w:before="0" w:after="0"/>
        <w:ind w:left="1370" w:right="0" w:hanging="531"/>
        <w:jc w:val="left"/>
        <w:rPr>
          <w:sz w:val="21"/>
        </w:rPr>
      </w:pPr>
      <w:r>
        <w:rPr>
          <w:spacing w:val="-3"/>
          <w:sz w:val="21"/>
        </w:rPr>
        <w:t>下列场所应设置自动喷水灭火系统：</w:t>
      </w:r>
      <w:r>
        <w:rPr>
          <w:sz w:val="21"/>
        </w:rPr>
        <w:t> </w:t>
      </w:r>
    </w:p>
    <w:p>
      <w:pPr>
        <w:pStyle w:val="BodyText"/>
        <w:rPr>
          <w:sz w:val="18"/>
        </w:rPr>
      </w:pPr>
    </w:p>
    <w:p>
      <w:pPr>
        <w:pStyle w:val="BodyText"/>
        <w:spacing w:line="446" w:lineRule="auto"/>
        <w:ind w:left="418" w:right="1498" w:firstLine="419"/>
      </w:pPr>
      <w:r>
        <w:rPr/>
        <w:t>建筑面积大于 6000m²的地下、半地下和上盖设置了其他功能建筑的停车库、列检库、停车列检库、运用库、联合检修库； </w:t>
      </w:r>
    </w:p>
    <w:p>
      <w:pPr>
        <w:pStyle w:val="BodyText"/>
        <w:spacing w:line="446" w:lineRule="auto"/>
        <w:ind w:left="840" w:right="4866" w:hanging="3"/>
      </w:pPr>
      <w:r>
        <w:rPr/>
        <w:t>可燃物品的仓库和难燃物品的高架仓库或高层仓库。</w:t>
      </w:r>
      <w:r>
        <w:rPr>
          <w:b/>
        </w:rPr>
        <w:t>7.4.2 </w:t>
      </w:r>
      <w:r>
        <w:rPr/>
        <w:t>下列场所应设置自动灭火系统： </w:t>
      </w:r>
    </w:p>
    <w:p>
      <w:pPr>
        <w:pStyle w:val="BodyText"/>
        <w:spacing w:line="446" w:lineRule="auto"/>
        <w:ind w:left="418" w:right="1817" w:firstLine="419"/>
      </w:pPr>
      <w:r>
        <w:rPr/>
        <w:t>地下车站的环控电控室、通信设备室（含电源室）、信号设备室（含电源室）、公网机房、降压变电所、牵引变电所、站台门控制室、蓄电池室、自动售检票设备室； </w:t>
      </w:r>
    </w:p>
    <w:p>
      <w:pPr>
        <w:pStyle w:val="BodyText"/>
        <w:spacing w:line="446" w:lineRule="auto"/>
        <w:ind w:left="418" w:right="1609" w:firstLine="419"/>
      </w:pPr>
      <w:r>
        <w:rPr/>
        <w:t>地下主变电所的变压器室、控制室、补偿装置室、配电装置室、蓄电池室、接地电阻室、站用变电室等； </w:t>
      </w:r>
    </w:p>
    <w:p>
      <w:pPr>
        <w:pStyle w:val="BodyText"/>
        <w:spacing w:line="446" w:lineRule="auto"/>
        <w:ind w:left="418" w:right="1608" w:firstLine="419"/>
      </w:pPr>
      <w:r>
        <w:rPr/>
        <w:t>控制中心的综合监控设备室、通信机房、信号机房、自动售检票机房、计算机数据中心、电源室等无人值守的重要电气设备用房。 </w:t>
      </w:r>
    </w:p>
    <w:p>
      <w:pPr>
        <w:pStyle w:val="BodyText"/>
        <w:spacing w:line="446" w:lineRule="auto"/>
        <w:ind w:left="418" w:right="1604" w:firstLine="422"/>
        <w:jc w:val="both"/>
      </w:pPr>
      <w:r>
        <w:rPr>
          <w:b/>
        </w:rPr>
        <w:t>7.4.3 </w:t>
      </w:r>
      <w:r>
        <w:rPr/>
        <w:t>除区间外，地铁工程内应配置建筑灭火器。车站内的公共区、设备管理区、主变电所和其他有人值守的设备用房设置的灭火器，应按现行国家标准《建筑灭火器配置设计规范》GB 50140 规定的严重危险级配置。 </w:t>
      </w:r>
    </w:p>
    <w:p>
      <w:pPr>
        <w:pStyle w:val="ListParagraph"/>
        <w:numPr>
          <w:ilvl w:val="1"/>
          <w:numId w:val="935"/>
        </w:numPr>
        <w:tabs>
          <w:tab w:pos="1159" w:val="left" w:leader="none"/>
        </w:tabs>
        <w:spacing w:line="268" w:lineRule="exact" w:before="0" w:after="0"/>
        <w:ind w:left="1158" w:right="0" w:hanging="319"/>
        <w:jc w:val="left"/>
        <w:rPr>
          <w:b/>
          <w:sz w:val="21"/>
        </w:rPr>
      </w:pPr>
      <w:r>
        <w:rPr>
          <w:spacing w:val="-3"/>
          <w:sz w:val="21"/>
        </w:rPr>
        <w:t>消防水泵与消防水池</w:t>
      </w:r>
      <w:r>
        <w:rPr>
          <w:b/>
          <w:w w:val="99"/>
          <w:sz w:val="21"/>
        </w:rPr>
        <w:t> </w:t>
      </w:r>
    </w:p>
    <w:p>
      <w:pPr>
        <w:spacing w:after="0" w:line="268" w:lineRule="exact"/>
        <w:jc w:val="left"/>
        <w:rPr>
          <w:sz w:val="21"/>
        </w:rPr>
        <w:sectPr>
          <w:pgSz w:w="11910" w:h="16850"/>
          <w:pgMar w:header="0" w:footer="1239" w:top="1220" w:bottom="1420" w:left="1260" w:right="0"/>
        </w:sectPr>
      </w:pPr>
    </w:p>
    <w:p>
      <w:pPr>
        <w:pStyle w:val="ListParagraph"/>
        <w:numPr>
          <w:ilvl w:val="2"/>
          <w:numId w:val="935"/>
        </w:numPr>
        <w:tabs>
          <w:tab w:pos="1370" w:val="left" w:leader="none"/>
        </w:tabs>
        <w:spacing w:line="446" w:lineRule="auto" w:before="47" w:after="0"/>
        <w:ind w:left="418" w:right="1604" w:firstLine="422"/>
        <w:jc w:val="both"/>
        <w:rPr>
          <w:sz w:val="21"/>
        </w:rPr>
      </w:pPr>
      <w:r>
        <w:rPr>
          <w:spacing w:val="-3"/>
          <w:sz w:val="21"/>
        </w:rPr>
        <w:t>当市政给水管网能满足消防用水量要求，但供水压力不能满足设计消防供水压力要求时，应设置消防水泵。消防水泵宜从市政给水管网取水加压，并应在消防进水管的起端设置倒流防止器或其他能防止倒流污染的装置。</w:t>
      </w:r>
      <w:r>
        <w:rPr>
          <w:sz w:val="21"/>
        </w:rPr>
        <w:t> </w:t>
      </w:r>
    </w:p>
    <w:p>
      <w:pPr>
        <w:pStyle w:val="ListParagraph"/>
        <w:numPr>
          <w:ilvl w:val="2"/>
          <w:numId w:val="935"/>
        </w:numPr>
        <w:tabs>
          <w:tab w:pos="1370" w:val="left" w:leader="none"/>
        </w:tabs>
        <w:spacing w:line="446" w:lineRule="auto" w:before="0" w:after="0"/>
        <w:ind w:left="418" w:right="1604" w:firstLine="422"/>
        <w:jc w:val="left"/>
        <w:rPr>
          <w:sz w:val="21"/>
        </w:rPr>
      </w:pPr>
      <w:r>
        <w:rPr>
          <w:spacing w:val="-3"/>
          <w:sz w:val="21"/>
        </w:rPr>
        <w:t>当市政给水管网的供水量不能满足设计消防用水量要求时，应设置消防水池、消防水泵及增压装置。</w:t>
      </w:r>
      <w:r>
        <w:rPr>
          <w:sz w:val="21"/>
        </w:rPr>
        <w:t>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地面车站、高架车站采用消防水泵加压供水的消火栓给水系统，应设置稳压装置及气压设备，可不设置高位水箱。</w:t>
      </w:r>
      <w:r>
        <w:rPr>
          <w:sz w:val="21"/>
        </w:rPr>
        <w:t> </w:t>
      </w:r>
    </w:p>
    <w:p>
      <w:pPr>
        <w:pStyle w:val="ListParagraph"/>
        <w:numPr>
          <w:ilvl w:val="2"/>
          <w:numId w:val="935"/>
        </w:numPr>
        <w:tabs>
          <w:tab w:pos="1370" w:val="left" w:leader="none"/>
        </w:tabs>
        <w:spacing w:line="446" w:lineRule="auto" w:before="0" w:after="0"/>
        <w:ind w:left="418" w:right="1604" w:firstLine="422"/>
        <w:jc w:val="left"/>
        <w:rPr>
          <w:sz w:val="21"/>
        </w:rPr>
      </w:pPr>
      <w:r>
        <w:rPr>
          <w:spacing w:val="-3"/>
          <w:sz w:val="21"/>
        </w:rPr>
        <w:t>从给水管网直接吸水的消防水泵，其扬程计算应按市政给水管网的最低水压计，并以室外给水管网的最高水压校核管网压力。</w:t>
      </w:r>
      <w:r>
        <w:rPr>
          <w:sz w:val="21"/>
        </w:rPr>
        <w:t> </w:t>
      </w:r>
    </w:p>
    <w:p>
      <w:pPr>
        <w:pStyle w:val="ListParagraph"/>
        <w:numPr>
          <w:ilvl w:val="2"/>
          <w:numId w:val="935"/>
        </w:numPr>
        <w:tabs>
          <w:tab w:pos="1371" w:val="left" w:leader="none"/>
        </w:tabs>
        <w:spacing w:line="446" w:lineRule="auto" w:before="0" w:after="0"/>
        <w:ind w:left="418" w:right="1604" w:firstLine="422"/>
        <w:jc w:val="both"/>
        <w:rPr>
          <w:sz w:val="21"/>
        </w:rPr>
      </w:pPr>
      <w:r>
        <w:rPr>
          <w:spacing w:val="-3"/>
          <w:sz w:val="21"/>
        </w:rPr>
        <w:t>当市政供水压力不能保证自动喷水灭火系统最不利点的工作压力或不能满足消火栓给水系统最不利点的静水压力时，车站及地铁附属建筑的消防给水系统应设置增压装置。对于无法利用市政给水管网的压力进行稳压的临时高压系统，应设置稳压泵和稳压罐。室内消火栓</w:t>
      </w:r>
      <w:r>
        <w:rPr>
          <w:spacing w:val="-5"/>
          <w:sz w:val="21"/>
        </w:rPr>
        <w:t>给水系统和自动喷水灭火系统的稳压罐的有效容积均不应小于 </w:t>
      </w:r>
      <w:r>
        <w:rPr>
          <w:sz w:val="21"/>
        </w:rPr>
        <w:t>150L</w:t>
      </w:r>
      <w:r>
        <w:rPr>
          <w:spacing w:val="-3"/>
          <w:sz w:val="21"/>
        </w:rPr>
        <w:t>。</w:t>
      </w:r>
      <w:r>
        <w:rPr>
          <w:sz w:val="21"/>
        </w:rPr>
        <w:t> </w:t>
      </w:r>
    </w:p>
    <w:p>
      <w:pPr>
        <w:pStyle w:val="ListParagraph"/>
        <w:numPr>
          <w:ilvl w:val="2"/>
          <w:numId w:val="935"/>
        </w:numPr>
        <w:tabs>
          <w:tab w:pos="1371" w:val="left" w:leader="none"/>
        </w:tabs>
        <w:spacing w:line="446" w:lineRule="auto" w:before="0" w:after="0"/>
        <w:ind w:left="418" w:right="1604" w:firstLine="422"/>
        <w:jc w:val="left"/>
        <w:rPr>
          <w:sz w:val="21"/>
        </w:rPr>
      </w:pPr>
      <w:r>
        <w:rPr>
          <w:spacing w:val="-3"/>
          <w:sz w:val="21"/>
        </w:rPr>
        <w:t>消火栓系统和自动喷水灭火系统的消防水泵均应设置备用泵，其工作能力不应小于其中最大一台消防水泵的要求。</w:t>
      </w:r>
      <w:r>
        <w:rPr>
          <w:sz w:val="21"/>
        </w:rPr>
        <w:t> </w:t>
      </w:r>
    </w:p>
    <w:p>
      <w:pPr>
        <w:pStyle w:val="ListParagraph"/>
        <w:numPr>
          <w:ilvl w:val="2"/>
          <w:numId w:val="935"/>
        </w:numPr>
        <w:tabs>
          <w:tab w:pos="1371" w:val="left" w:leader="none"/>
        </w:tabs>
        <w:spacing w:line="240" w:lineRule="auto" w:before="0" w:after="0"/>
        <w:ind w:left="1370" w:right="0" w:hanging="531"/>
        <w:jc w:val="left"/>
        <w:rPr>
          <w:sz w:val="21"/>
        </w:rPr>
      </w:pPr>
      <w:r>
        <w:rPr>
          <w:spacing w:val="-3"/>
          <w:sz w:val="21"/>
        </w:rPr>
        <w:t>符合下列情况之一时，车辆基地应设置消防水池：</w:t>
      </w:r>
      <w:r>
        <w:rPr>
          <w:sz w:val="21"/>
        </w:rPr>
        <w:t> </w:t>
      </w:r>
    </w:p>
    <w:p>
      <w:pPr>
        <w:pStyle w:val="BodyText"/>
        <w:spacing w:before="7"/>
        <w:rPr>
          <w:sz w:val="17"/>
        </w:rPr>
      </w:pPr>
    </w:p>
    <w:p>
      <w:pPr>
        <w:pStyle w:val="BodyText"/>
        <w:spacing w:line="446" w:lineRule="auto"/>
        <w:ind w:left="418" w:right="1609" w:firstLine="419"/>
      </w:pPr>
      <w:r>
        <w:rPr/>
        <w:t>当生产、生活用水量达到最大时，市政给水管网的进水管或天然水源不能满足室内外消防用水量； </w:t>
      </w:r>
    </w:p>
    <w:p>
      <w:pPr>
        <w:pStyle w:val="BodyText"/>
        <w:spacing w:line="446" w:lineRule="auto"/>
        <w:ind w:left="418" w:right="1611" w:firstLine="419"/>
      </w:pPr>
      <w:r>
        <w:rPr>
          <w:spacing w:val="-7"/>
        </w:rPr>
        <w:t>市政给水管网为枝状或只有 </w:t>
      </w:r>
      <w:r>
        <w:rPr/>
        <w:t>1</w:t>
      </w:r>
      <w:r>
        <w:rPr>
          <w:spacing w:val="-10"/>
        </w:rPr>
        <w:t> 条进水管，且室内外消防用水量之和大于 </w:t>
      </w:r>
      <w:r>
        <w:rPr/>
        <w:t>20L/s</w:t>
      </w:r>
      <w:r>
        <w:rPr>
          <w:spacing w:val="-10"/>
        </w:rPr>
        <w:t> 或建筑高度</w:t>
      </w:r>
      <w:r>
        <w:rPr>
          <w:spacing w:val="-25"/>
        </w:rPr>
        <w:t>大于 </w:t>
      </w:r>
      <w:r>
        <w:rPr/>
        <w:t>50m； </w:t>
      </w:r>
    </w:p>
    <w:p>
      <w:pPr>
        <w:pStyle w:val="BodyText"/>
        <w:spacing w:line="267" w:lineRule="exact"/>
        <w:ind w:left="838"/>
      </w:pPr>
      <w:r>
        <w:rPr/>
        <w:t>市政给水管网的流量小于车辆基地内一次火灾需要的室内外消防给水设计流量。 </w:t>
      </w:r>
    </w:p>
    <w:p>
      <w:pPr>
        <w:pStyle w:val="BodyText"/>
        <w:spacing w:before="10"/>
        <w:rPr>
          <w:sz w:val="15"/>
        </w:rPr>
      </w:pPr>
    </w:p>
    <w:p>
      <w:pPr>
        <w:pStyle w:val="Heading4"/>
      </w:pPr>
      <w:r>
        <w:rPr/>
        <w:t>8 防烟与排烟</w:t>
      </w:r>
      <w:r>
        <w:rPr>
          <w:w w:val="99"/>
        </w:rPr>
        <w:t> </w:t>
      </w:r>
    </w:p>
    <w:p>
      <w:pPr>
        <w:pStyle w:val="BodyText"/>
        <w:spacing w:before="4"/>
        <w:rPr>
          <w:b/>
          <w:sz w:val="17"/>
        </w:rPr>
      </w:pPr>
    </w:p>
    <w:p>
      <w:pPr>
        <w:pStyle w:val="ListParagraph"/>
        <w:numPr>
          <w:ilvl w:val="1"/>
          <w:numId w:val="936"/>
        </w:numPr>
        <w:tabs>
          <w:tab w:pos="1159" w:val="left" w:leader="none"/>
        </w:tabs>
        <w:spacing w:line="240" w:lineRule="auto" w:before="0" w:after="0"/>
        <w:ind w:left="1158" w:right="0" w:hanging="319"/>
        <w:jc w:val="left"/>
        <w:rPr>
          <w:sz w:val="21"/>
        </w:rPr>
      </w:pPr>
      <w:r>
        <w:rPr>
          <w:spacing w:val="-3"/>
          <w:sz w:val="21"/>
        </w:rPr>
        <w:t>一般规定</w:t>
      </w:r>
      <w:r>
        <w:rPr>
          <w:sz w:val="21"/>
        </w:rPr>
        <w:t> </w:t>
      </w:r>
    </w:p>
    <w:p>
      <w:pPr>
        <w:pStyle w:val="BodyText"/>
        <w:rPr>
          <w:sz w:val="18"/>
        </w:rPr>
      </w:pPr>
    </w:p>
    <w:p>
      <w:pPr>
        <w:pStyle w:val="ListParagraph"/>
        <w:numPr>
          <w:ilvl w:val="2"/>
          <w:numId w:val="936"/>
        </w:numPr>
        <w:tabs>
          <w:tab w:pos="1371" w:val="left" w:leader="none"/>
        </w:tabs>
        <w:spacing w:line="240" w:lineRule="auto" w:before="0" w:after="0"/>
        <w:ind w:left="1370" w:right="0" w:hanging="531"/>
        <w:jc w:val="left"/>
        <w:rPr>
          <w:sz w:val="21"/>
        </w:rPr>
      </w:pPr>
      <w:r>
        <w:rPr>
          <w:spacing w:val="-3"/>
          <w:sz w:val="21"/>
        </w:rPr>
        <w:t>下列场所应设置排烟设施：</w:t>
      </w:r>
      <w:r>
        <w:rPr>
          <w:sz w:val="21"/>
        </w:rPr>
        <w:t> </w:t>
      </w:r>
    </w:p>
    <w:p>
      <w:pPr>
        <w:pStyle w:val="BodyText"/>
        <w:spacing w:before="2"/>
        <w:rPr>
          <w:sz w:val="18"/>
        </w:rPr>
      </w:pPr>
    </w:p>
    <w:p>
      <w:pPr>
        <w:pStyle w:val="BodyText"/>
        <w:ind w:left="838"/>
      </w:pPr>
      <w:r>
        <w:rPr>
          <w:spacing w:val="-3"/>
        </w:rPr>
        <w:t>地下或封闭车站的站厅、站台公共区；</w:t>
      </w:r>
      <w:r>
        <w:rPr/>
        <w:t> </w:t>
      </w:r>
    </w:p>
    <w:p>
      <w:pPr>
        <w:pStyle w:val="BodyText"/>
        <w:spacing w:before="12"/>
        <w:rPr>
          <w:sz w:val="17"/>
        </w:rPr>
      </w:pPr>
    </w:p>
    <w:p>
      <w:pPr>
        <w:pStyle w:val="BodyText"/>
        <w:spacing w:line="446" w:lineRule="auto"/>
        <w:ind w:left="418" w:right="1661" w:firstLine="419"/>
      </w:pPr>
      <w:r>
        <w:rPr>
          <w:spacing w:val="-5"/>
        </w:rPr>
        <w:t>同一个防火分区内总建筑面积大于 </w:t>
      </w:r>
      <w:r>
        <w:rPr/>
        <w:t>200m²</w:t>
      </w:r>
      <w:r>
        <w:rPr>
          <w:spacing w:val="-3"/>
        </w:rPr>
        <w:t>的地下车站设备管理区，地下单个建筑面积大于50m²且经常有人停留或可燃物较多的房间；</w:t>
      </w:r>
      <w:r>
        <w:rPr/>
        <w:t> </w:t>
      </w:r>
    </w:p>
    <w:p>
      <w:pPr>
        <w:pStyle w:val="BodyText"/>
        <w:ind w:left="838"/>
      </w:pPr>
      <w:r>
        <w:rPr/>
        <w:t>连续长度大于一列列车长度的地下区间和全封闭车道； </w:t>
      </w:r>
    </w:p>
    <w:p>
      <w:pPr>
        <w:spacing w:after="0"/>
        <w:sectPr>
          <w:pgSz w:w="11910" w:h="16850"/>
          <w:pgMar w:header="0" w:footer="1239" w:top="1220" w:bottom="1420" w:left="1260" w:right="0"/>
        </w:sectPr>
      </w:pPr>
    </w:p>
    <w:p>
      <w:pPr>
        <w:pStyle w:val="BodyText"/>
        <w:spacing w:line="446" w:lineRule="auto" w:before="47"/>
        <w:ind w:left="418" w:right="1608" w:firstLine="419"/>
        <w:jc w:val="both"/>
      </w:pPr>
      <w:r>
        <w:rPr>
          <w:spacing w:val="-6"/>
        </w:rPr>
        <w:t>车站设备管理区内长度大于 </w:t>
      </w:r>
      <w:r>
        <w:rPr/>
        <w:t>20m</w:t>
      </w:r>
      <w:r>
        <w:rPr>
          <w:spacing w:val="-12"/>
        </w:rPr>
        <w:t> 的内走道，长度大于 </w:t>
      </w:r>
      <w:r>
        <w:rPr/>
        <w:t>60m</w:t>
      </w:r>
      <w:r>
        <w:rPr>
          <w:spacing w:val="-8"/>
        </w:rPr>
        <w:t> 的地下换乘通道、连接通道和出</w:t>
      </w:r>
      <w:r>
        <w:rPr>
          <w:spacing w:val="-6"/>
        </w:rPr>
        <w:t>入口通道。</w:t>
      </w:r>
      <w:r>
        <w:rPr/>
        <w:t> </w:t>
      </w:r>
    </w:p>
    <w:p>
      <w:pPr>
        <w:pStyle w:val="ListParagraph"/>
        <w:numPr>
          <w:ilvl w:val="2"/>
          <w:numId w:val="936"/>
        </w:numPr>
        <w:tabs>
          <w:tab w:pos="1370" w:val="left" w:leader="none"/>
        </w:tabs>
        <w:spacing w:line="446" w:lineRule="auto" w:before="0" w:after="0"/>
        <w:ind w:left="418" w:right="1604" w:firstLine="422"/>
        <w:jc w:val="both"/>
        <w:rPr>
          <w:sz w:val="21"/>
        </w:rPr>
      </w:pPr>
      <w:r>
        <w:rPr>
          <w:spacing w:val="-3"/>
          <w:sz w:val="21"/>
        </w:rPr>
        <w:t>防烟楼梯间及其前室、避难走道及其前室应设置防烟设施。地下车站设置机械加压送风系统的封闭楼梯间、防烟楼梯间宜在其顶部设置固定窗，但公共区供乘客疏散、设置机械加压送风系统的封闭楼梯间、防烟楼梯间顶部应设置固定窗。</w:t>
      </w:r>
      <w:r>
        <w:rPr>
          <w:sz w:val="21"/>
        </w:rPr>
        <w:t> </w:t>
      </w:r>
    </w:p>
    <w:p>
      <w:pPr>
        <w:pStyle w:val="ListParagraph"/>
        <w:numPr>
          <w:ilvl w:val="2"/>
          <w:numId w:val="936"/>
        </w:numPr>
        <w:tabs>
          <w:tab w:pos="1371" w:val="left" w:leader="none"/>
        </w:tabs>
        <w:spacing w:line="268" w:lineRule="exact" w:before="0" w:after="0"/>
        <w:ind w:left="1370" w:right="0" w:hanging="531"/>
        <w:jc w:val="left"/>
        <w:rPr>
          <w:sz w:val="21"/>
        </w:rPr>
      </w:pPr>
      <w:r>
        <w:rPr>
          <w:spacing w:val="-3"/>
          <w:sz w:val="21"/>
        </w:rPr>
        <w:t>防烟、排烟系统的设计应符合下列规定： </w:t>
      </w:r>
    </w:p>
    <w:p>
      <w:pPr>
        <w:pStyle w:val="BodyText"/>
        <w:rPr>
          <w:sz w:val="18"/>
        </w:rPr>
      </w:pPr>
    </w:p>
    <w:p>
      <w:pPr>
        <w:pStyle w:val="BodyText"/>
        <w:spacing w:line="446" w:lineRule="auto"/>
        <w:ind w:left="418" w:right="1609" w:firstLine="419"/>
      </w:pPr>
      <w:r>
        <w:rPr/>
        <w:t>当对站厅公共区进行排烟时，应能防止烟气进入出入口通道、换乘通道、站台、连接通道等邻近区域； </w:t>
      </w:r>
    </w:p>
    <w:p>
      <w:pPr>
        <w:pStyle w:val="BodyText"/>
        <w:spacing w:line="446" w:lineRule="auto"/>
        <w:ind w:left="838" w:right="1505"/>
      </w:pPr>
      <w:r>
        <w:rPr>
          <w:spacing w:val="-3"/>
        </w:rPr>
        <w:t>当对站台公共区进行排烟时，应能防止烟气进入站厅、地下区间、换乘通道等邻近区域； 当对地下区间进行纵向控烟时，应能控制烟流方向与乘客疏散方向相反，并应能防止烟气</w:t>
      </w:r>
    </w:p>
    <w:p>
      <w:pPr>
        <w:pStyle w:val="BodyText"/>
        <w:ind w:left="418"/>
      </w:pPr>
      <w:r>
        <w:rPr/>
        <w:t>逆流和进入相邻车站、相邻区间； </w:t>
      </w:r>
    </w:p>
    <w:p>
      <w:pPr>
        <w:pStyle w:val="BodyText"/>
        <w:spacing w:before="10"/>
        <w:rPr>
          <w:sz w:val="17"/>
        </w:rPr>
      </w:pPr>
    </w:p>
    <w:p>
      <w:pPr>
        <w:pStyle w:val="BodyText"/>
        <w:spacing w:line="446" w:lineRule="auto"/>
        <w:ind w:left="418" w:right="1609" w:firstLine="419"/>
      </w:pPr>
      <w:r>
        <w:rPr/>
        <w:t>对于设置自动灭火系统的设备用房，其防烟或排烟系统的控制应能满足自动灭火系统有效灭火的需要。 </w:t>
      </w:r>
    </w:p>
    <w:p>
      <w:pPr>
        <w:pStyle w:val="ListParagraph"/>
        <w:numPr>
          <w:ilvl w:val="2"/>
          <w:numId w:val="936"/>
        </w:numPr>
        <w:tabs>
          <w:tab w:pos="1371" w:val="left" w:leader="none"/>
        </w:tabs>
        <w:spacing w:line="446" w:lineRule="auto" w:before="1" w:after="0"/>
        <w:ind w:left="418" w:right="1813" w:firstLine="422"/>
        <w:jc w:val="left"/>
        <w:rPr>
          <w:sz w:val="21"/>
        </w:rPr>
      </w:pPr>
      <w:r>
        <w:rPr>
          <w:spacing w:val="-3"/>
          <w:sz w:val="21"/>
        </w:rPr>
        <w:t>机械防烟系统和机械排烟系统可与正常通风系统合用，合用的通风系统应符合防烟、排烟系统的要求，且该系统由正常运转模式转为防烟或排烟运转模式的时间不应大于180s。</w:t>
      </w:r>
      <w:r>
        <w:rPr>
          <w:sz w:val="21"/>
        </w:rPr>
        <w:t> </w:t>
      </w:r>
    </w:p>
    <w:p>
      <w:pPr>
        <w:pStyle w:val="ListParagraph"/>
        <w:numPr>
          <w:ilvl w:val="2"/>
          <w:numId w:val="936"/>
        </w:numPr>
        <w:tabs>
          <w:tab w:pos="1371" w:val="left" w:leader="none"/>
        </w:tabs>
        <w:spacing w:line="446" w:lineRule="auto" w:before="0" w:after="0"/>
        <w:ind w:left="418" w:right="1558" w:firstLine="422"/>
        <w:jc w:val="both"/>
        <w:rPr>
          <w:sz w:val="21"/>
        </w:rPr>
      </w:pPr>
      <w:r>
        <w:rPr>
          <w:spacing w:val="-3"/>
          <w:sz w:val="21"/>
        </w:rPr>
        <w:t>站厅公共区和设备管理区应采用挡烟垂壁或建筑结构划分防烟分区，防烟分区不应 </w:t>
      </w:r>
      <w:r>
        <w:rPr>
          <w:spacing w:val="-4"/>
          <w:sz w:val="21"/>
        </w:rPr>
        <w:t>跨越防火分区。站厅公共区内每个防烟分区的最大允许建筑面积不应大于 </w:t>
      </w:r>
      <w:r>
        <w:rPr>
          <w:sz w:val="21"/>
        </w:rPr>
        <w:t>2000m²</w:t>
      </w:r>
      <w:r>
        <w:rPr>
          <w:spacing w:val="-2"/>
          <w:sz w:val="21"/>
        </w:rPr>
        <w:t>，设备管理区</w:t>
      </w:r>
      <w:r>
        <w:rPr>
          <w:spacing w:val="-6"/>
          <w:sz w:val="21"/>
        </w:rPr>
        <w:t>内每个防烟分区的最大允许建筑面积不应大于 </w:t>
      </w:r>
      <w:r>
        <w:rPr>
          <w:sz w:val="21"/>
        </w:rPr>
        <w:t>750m²</w:t>
      </w:r>
      <w:r>
        <w:rPr>
          <w:spacing w:val="-3"/>
          <w:sz w:val="21"/>
        </w:rPr>
        <w:t>。</w:t>
      </w:r>
      <w:r>
        <w:rPr>
          <w:sz w:val="21"/>
        </w:rPr>
        <w:t> </w:t>
      </w:r>
    </w:p>
    <w:p>
      <w:pPr>
        <w:pStyle w:val="ListParagraph"/>
        <w:numPr>
          <w:ilvl w:val="2"/>
          <w:numId w:val="936"/>
        </w:numPr>
        <w:tabs>
          <w:tab w:pos="1370" w:val="left" w:leader="none"/>
        </w:tabs>
        <w:spacing w:line="446" w:lineRule="auto" w:before="0" w:after="0"/>
        <w:ind w:left="418" w:right="1604" w:firstLine="422"/>
        <w:jc w:val="both"/>
        <w:rPr>
          <w:sz w:val="21"/>
        </w:rPr>
      </w:pPr>
      <w:r>
        <w:rPr>
          <w:spacing w:val="-3"/>
          <w:sz w:val="21"/>
        </w:rPr>
        <w:t>公共区楼扶梯穿越楼板的开口部位、公共区吊顶与其他场所连接处的顶棚或吊顶面</w:t>
      </w:r>
      <w:r>
        <w:rPr>
          <w:spacing w:val="-13"/>
          <w:sz w:val="21"/>
        </w:rPr>
        <w:t>高差不足 </w:t>
      </w:r>
      <w:r>
        <w:rPr>
          <w:sz w:val="21"/>
        </w:rPr>
        <w:t>0.5m</w:t>
      </w:r>
      <w:r>
        <w:rPr>
          <w:spacing w:val="-9"/>
          <w:sz w:val="21"/>
        </w:rPr>
        <w:t> 的部位应设置挡烟垂壁。</w:t>
      </w:r>
      <w:r>
        <w:rPr>
          <w:sz w:val="21"/>
        </w:rPr>
        <w:t> </w:t>
      </w:r>
    </w:p>
    <w:p>
      <w:pPr>
        <w:pStyle w:val="ListParagraph"/>
        <w:numPr>
          <w:ilvl w:val="2"/>
          <w:numId w:val="936"/>
        </w:numPr>
        <w:tabs>
          <w:tab w:pos="1371" w:val="left" w:leader="none"/>
        </w:tabs>
        <w:spacing w:line="446" w:lineRule="auto" w:before="0" w:after="0"/>
        <w:ind w:left="418" w:right="1445" w:firstLine="422"/>
        <w:jc w:val="left"/>
        <w:rPr>
          <w:sz w:val="21"/>
        </w:rPr>
      </w:pPr>
      <w:r>
        <w:rPr>
          <w:spacing w:val="-5"/>
          <w:sz w:val="21"/>
        </w:rPr>
        <w:t>挡烟垂壁或划分防烟分区的建筑结构应为不燃材料且耐火极限不应低于 </w:t>
      </w:r>
      <w:r>
        <w:rPr>
          <w:sz w:val="21"/>
        </w:rPr>
        <w:t>0.50h，凸出</w:t>
      </w:r>
      <w:r>
        <w:rPr>
          <w:spacing w:val="-7"/>
          <w:sz w:val="21"/>
        </w:rPr>
        <w:t>顶棚或封闭吊顶不应小于 </w:t>
      </w:r>
      <w:r>
        <w:rPr>
          <w:sz w:val="21"/>
        </w:rPr>
        <w:t>0.5m</w:t>
      </w:r>
      <w:r>
        <w:rPr>
          <w:spacing w:val="-3"/>
          <w:sz w:val="21"/>
        </w:rPr>
        <w:t>。挡烟垂壁的下缘至地面、楼梯或扶梯踏步面的垂直距离不应小</w:t>
      </w:r>
      <w:r>
        <w:rPr>
          <w:spacing w:val="-28"/>
          <w:sz w:val="21"/>
        </w:rPr>
        <w:t>于 </w:t>
      </w:r>
      <w:r>
        <w:rPr>
          <w:sz w:val="21"/>
        </w:rPr>
        <w:t>2.3m</w:t>
      </w:r>
      <w:r>
        <w:rPr>
          <w:spacing w:val="-3"/>
          <w:sz w:val="21"/>
        </w:rPr>
        <w:t>。</w:t>
      </w:r>
      <w:r>
        <w:rPr>
          <w:sz w:val="21"/>
        </w:rPr>
        <w:t> </w:t>
      </w:r>
    </w:p>
    <w:p>
      <w:pPr>
        <w:pStyle w:val="ListParagraph"/>
        <w:numPr>
          <w:ilvl w:val="1"/>
          <w:numId w:val="936"/>
        </w:numPr>
        <w:tabs>
          <w:tab w:pos="1159" w:val="left" w:leader="none"/>
        </w:tabs>
        <w:spacing w:line="268" w:lineRule="exact" w:before="0" w:after="0"/>
        <w:ind w:left="1158" w:right="0" w:hanging="319"/>
        <w:jc w:val="left"/>
        <w:rPr>
          <w:sz w:val="21"/>
        </w:rPr>
      </w:pPr>
      <w:r>
        <w:rPr>
          <w:spacing w:val="-3"/>
          <w:sz w:val="21"/>
        </w:rPr>
        <w:t>车站、控制中心、主变电所与车辆基地</w:t>
      </w:r>
      <w:r>
        <w:rPr>
          <w:sz w:val="21"/>
        </w:rPr>
        <w:t> </w:t>
      </w:r>
    </w:p>
    <w:p>
      <w:pPr>
        <w:pStyle w:val="BodyText"/>
        <w:spacing w:before="10"/>
        <w:rPr>
          <w:sz w:val="17"/>
        </w:rPr>
      </w:pPr>
    </w:p>
    <w:p>
      <w:pPr>
        <w:pStyle w:val="ListParagraph"/>
        <w:numPr>
          <w:ilvl w:val="2"/>
          <w:numId w:val="936"/>
        </w:numPr>
        <w:tabs>
          <w:tab w:pos="1371" w:val="left" w:leader="none"/>
        </w:tabs>
        <w:spacing w:line="446" w:lineRule="auto" w:before="0" w:after="0"/>
        <w:ind w:left="418" w:right="1604" w:firstLine="422"/>
        <w:jc w:val="left"/>
        <w:rPr>
          <w:sz w:val="21"/>
        </w:rPr>
      </w:pPr>
      <w:r>
        <w:rPr>
          <w:spacing w:val="-3"/>
          <w:sz w:val="21"/>
        </w:rPr>
        <w:t>地上车站宜采用自然排烟方式，其中不符合自然排烟要求的场所应设置机械排烟设施。</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936"/>
        </w:numPr>
        <w:tabs>
          <w:tab w:pos="1370" w:val="left" w:leader="none"/>
        </w:tabs>
        <w:spacing w:line="446" w:lineRule="auto" w:before="47" w:after="0"/>
        <w:ind w:left="418" w:right="1503" w:firstLine="422"/>
        <w:jc w:val="left"/>
        <w:rPr>
          <w:sz w:val="21"/>
        </w:rPr>
      </w:pPr>
      <w:r>
        <w:rPr>
          <w:spacing w:val="-3"/>
          <w:sz w:val="21"/>
        </w:rPr>
        <w:t>采用自然排烟的车站或路堑式车站，外墙上方或顶盖上可开启排烟口的有效面积不应</w:t>
      </w:r>
      <w:r>
        <w:rPr>
          <w:spacing w:val="-6"/>
          <w:sz w:val="21"/>
        </w:rPr>
        <w:t>小于所在场所地面面积的 </w:t>
      </w:r>
      <w:r>
        <w:rPr>
          <w:sz w:val="21"/>
        </w:rPr>
        <w:t>2</w:t>
      </w:r>
      <w:r>
        <w:rPr>
          <w:spacing w:val="-5"/>
          <w:sz w:val="21"/>
        </w:rPr>
        <w:t>％，且区域内任一点至最近自然排烟口的水平距离不应大于 </w:t>
      </w:r>
      <w:r>
        <w:rPr>
          <w:sz w:val="21"/>
        </w:rPr>
        <w:t>30m。常</w:t>
      </w:r>
      <w:r>
        <w:rPr>
          <w:spacing w:val="-3"/>
          <w:sz w:val="21"/>
        </w:rPr>
        <w:t>闭的自然排烟口（</w:t>
      </w:r>
      <w:r>
        <w:rPr>
          <w:sz w:val="21"/>
        </w:rPr>
        <w:t>窗</w:t>
      </w:r>
      <w:r>
        <w:rPr>
          <w:spacing w:val="-3"/>
          <w:sz w:val="21"/>
        </w:rPr>
        <w:t>）应设置自动和手动开启的装置。</w:t>
      </w:r>
      <w:r>
        <w:rPr>
          <w:sz w:val="21"/>
        </w:rPr>
        <w:t> </w:t>
      </w:r>
    </w:p>
    <w:p>
      <w:pPr>
        <w:pStyle w:val="ListParagraph"/>
        <w:numPr>
          <w:ilvl w:val="2"/>
          <w:numId w:val="936"/>
        </w:numPr>
        <w:tabs>
          <w:tab w:pos="1371" w:val="left" w:leader="none"/>
        </w:tabs>
        <w:spacing w:line="268" w:lineRule="exact" w:before="0" w:after="0"/>
        <w:ind w:left="1370" w:right="0" w:hanging="531"/>
        <w:jc w:val="left"/>
        <w:rPr>
          <w:sz w:val="21"/>
        </w:rPr>
      </w:pPr>
      <w:r>
        <w:rPr>
          <w:spacing w:val="-3"/>
          <w:sz w:val="21"/>
        </w:rPr>
        <w:t>地下车站公共区的排烟应符合下列规定：</w:t>
      </w:r>
      <w:r>
        <w:rPr>
          <w:sz w:val="21"/>
        </w:rPr>
        <w:t> </w:t>
      </w:r>
    </w:p>
    <w:p>
      <w:pPr>
        <w:pStyle w:val="BodyText"/>
        <w:rPr>
          <w:sz w:val="18"/>
        </w:rPr>
      </w:pPr>
    </w:p>
    <w:p>
      <w:pPr>
        <w:pStyle w:val="BodyText"/>
        <w:spacing w:line="446" w:lineRule="auto"/>
        <w:ind w:left="418" w:right="1608" w:firstLine="419"/>
        <w:jc w:val="both"/>
      </w:pPr>
      <w:r>
        <w:rPr>
          <w:spacing w:val="-3"/>
        </w:rPr>
        <w:t>当站厅发生火灾时，应对着火防烟分区排烟，可由出入口自然补风，补风通路的空气总阻</w:t>
      </w:r>
      <w:r>
        <w:rPr>
          <w:spacing w:val="-8"/>
        </w:rPr>
        <w:t>力应符合本标准第 </w:t>
      </w:r>
      <w:r>
        <w:rPr/>
        <w:t>8.2.6</w:t>
      </w:r>
      <w:r>
        <w:rPr>
          <w:spacing w:val="-11"/>
        </w:rPr>
        <w:t> 条的规定；当不符合本标准第 </w:t>
      </w:r>
      <w:r>
        <w:rPr/>
        <w:t>8.2.6</w:t>
      </w:r>
      <w:r>
        <w:rPr>
          <w:spacing w:val="-8"/>
        </w:rPr>
        <w:t> 条的规定时，应设置机械补风系</w:t>
      </w:r>
      <w:r>
        <w:rPr>
          <w:spacing w:val="-6"/>
        </w:rPr>
        <w:t>统。</w:t>
      </w:r>
      <w:r>
        <w:rPr/>
        <w:t> </w:t>
      </w:r>
    </w:p>
    <w:p>
      <w:pPr>
        <w:pStyle w:val="BodyText"/>
        <w:spacing w:line="268" w:lineRule="exact"/>
        <w:ind w:left="838"/>
      </w:pPr>
      <w:r>
        <w:rPr/>
        <w:t>当站台发生火灾时，应对站台区域排烟，并宜由出入口、站厅补风。 </w:t>
      </w:r>
    </w:p>
    <w:p>
      <w:pPr>
        <w:pStyle w:val="BodyText"/>
        <w:spacing w:before="12"/>
        <w:rPr>
          <w:sz w:val="17"/>
        </w:rPr>
      </w:pPr>
    </w:p>
    <w:p>
      <w:pPr>
        <w:pStyle w:val="BodyText"/>
        <w:spacing w:line="446" w:lineRule="auto"/>
        <w:ind w:left="840" w:right="2345" w:hanging="3"/>
      </w:pPr>
      <w:r>
        <w:rPr/>
        <w:t>车站公共区发生火灾、驶向该站的列车需要越站时，应联动关闭全封闭站台门。</w:t>
      </w:r>
      <w:r>
        <w:rPr>
          <w:b/>
        </w:rPr>
        <w:t>8.2.4 </w:t>
      </w:r>
      <w:r>
        <w:rPr/>
        <w:t>排烟风机及风管的风量应符合下列规定： </w:t>
      </w:r>
    </w:p>
    <w:p>
      <w:pPr>
        <w:pStyle w:val="BodyText"/>
        <w:ind w:left="838"/>
      </w:pPr>
      <w:r>
        <w:rPr/>
        <w:t>排烟量应按各防烟分区的建筑面积不小于 60m³/（m²·h）分别计算； </w:t>
      </w:r>
    </w:p>
    <w:p>
      <w:pPr>
        <w:pStyle w:val="BodyText"/>
        <w:spacing w:before="12"/>
        <w:rPr>
          <w:sz w:val="17"/>
        </w:rPr>
      </w:pPr>
    </w:p>
    <w:p>
      <w:pPr>
        <w:pStyle w:val="BodyText"/>
        <w:ind w:left="838"/>
      </w:pPr>
      <w:r>
        <w:rPr/>
        <w:t>当防烟分区中包含轨道区时，应按列车设计火灾规模计算排烟量； </w:t>
      </w:r>
    </w:p>
    <w:p>
      <w:pPr>
        <w:pStyle w:val="BodyText"/>
        <w:spacing w:before="2"/>
        <w:rPr>
          <w:sz w:val="18"/>
        </w:rPr>
      </w:pPr>
    </w:p>
    <w:p>
      <w:pPr>
        <w:pStyle w:val="BodyText"/>
        <w:spacing w:line="446" w:lineRule="auto"/>
        <w:ind w:left="418" w:right="1609" w:firstLine="419"/>
      </w:pPr>
      <w:r>
        <w:rPr>
          <w:spacing w:val="-6"/>
        </w:rPr>
        <w:t>地下站台的排烟量除应符合本条第 </w:t>
      </w:r>
      <w:r>
        <w:rPr/>
        <w:t>1</w:t>
      </w:r>
      <w:r>
        <w:rPr>
          <w:spacing w:val="-19"/>
        </w:rPr>
        <w:t> 款、第 </w:t>
      </w:r>
      <w:r>
        <w:rPr/>
        <w:t>2</w:t>
      </w:r>
      <w:r>
        <w:rPr>
          <w:spacing w:val="-8"/>
        </w:rPr>
        <w:t> 款的要求外，还应保证站厅到站台的楼梯或</w:t>
      </w:r>
      <w:r>
        <w:rPr>
          <w:spacing w:val="-10"/>
        </w:rPr>
        <w:t>扶梯口处具有不小于 </w:t>
      </w:r>
      <w:r>
        <w:rPr/>
        <w:t>1.5m/s</w:t>
      </w:r>
      <w:r>
        <w:rPr>
          <w:spacing w:val="-10"/>
        </w:rPr>
        <w:t> 的向下气流；</w:t>
      </w:r>
      <w:r>
        <w:rPr/>
        <w:t> </w:t>
      </w:r>
    </w:p>
    <w:p>
      <w:pPr>
        <w:pStyle w:val="BodyText"/>
        <w:spacing w:line="446" w:lineRule="auto"/>
        <w:ind w:left="418" w:right="1608" w:firstLine="419"/>
      </w:pPr>
      <w:r>
        <w:rPr/>
        <w:t>排烟风机的风量应按所负担的防烟分区中最大一个防烟分区的排烟量、风管（道）的漏风量及其他防烟分区的排烟口或排烟阀的漏风量之和计算； </w:t>
      </w:r>
    </w:p>
    <w:p>
      <w:pPr>
        <w:pStyle w:val="BodyText"/>
        <w:ind w:left="838"/>
      </w:pPr>
      <w:r>
        <w:rPr/>
        <w:t>排烟风机的风量不应低于 7200m³/h。 </w:t>
      </w:r>
    </w:p>
    <w:p>
      <w:pPr>
        <w:pStyle w:val="BodyText"/>
        <w:spacing w:before="10"/>
        <w:rPr>
          <w:sz w:val="17"/>
        </w:rPr>
      </w:pPr>
    </w:p>
    <w:p>
      <w:pPr>
        <w:pStyle w:val="BodyText"/>
        <w:ind w:left="840"/>
      </w:pPr>
      <w:r>
        <w:rPr>
          <w:b/>
        </w:rPr>
        <w:t>8.2.5 </w:t>
      </w:r>
      <w:r>
        <w:rPr/>
        <w:t>机械排烟系统中的排烟口和排烟阀的设置应符合下列规定： </w:t>
      </w:r>
    </w:p>
    <w:p>
      <w:pPr>
        <w:pStyle w:val="BodyText"/>
        <w:spacing w:before="2"/>
        <w:rPr>
          <w:sz w:val="18"/>
        </w:rPr>
      </w:pPr>
    </w:p>
    <w:p>
      <w:pPr>
        <w:pStyle w:val="BodyText"/>
        <w:ind w:left="838"/>
      </w:pPr>
      <w:r>
        <w:rPr/>
        <w:t>排烟口和排烟阀应按防烟分区设置； </w:t>
      </w:r>
    </w:p>
    <w:p>
      <w:pPr>
        <w:pStyle w:val="BodyText"/>
        <w:rPr>
          <w:sz w:val="18"/>
        </w:rPr>
      </w:pPr>
    </w:p>
    <w:p>
      <w:pPr>
        <w:pStyle w:val="BodyText"/>
        <w:spacing w:line="446" w:lineRule="auto"/>
        <w:ind w:left="418" w:right="1558" w:firstLine="419"/>
      </w:pPr>
      <w:r>
        <w:rPr>
          <w:spacing w:val="-5"/>
        </w:rPr>
        <w:t>防烟分区内任一点至最近排烟口的水平距离不应大于 </w:t>
      </w:r>
      <w:r>
        <w:rPr/>
        <w:t>30m</w:t>
      </w:r>
      <w:r>
        <w:rPr>
          <w:spacing w:val="-8"/>
        </w:rPr>
        <w:t>，当室内净高大于 </w:t>
      </w:r>
      <w:r>
        <w:rPr/>
        <w:t>6m</w:t>
      </w:r>
      <w:r>
        <w:rPr>
          <w:spacing w:val="-10"/>
        </w:rPr>
        <w:t> 时，该距离</w:t>
      </w:r>
      <w:r>
        <w:rPr>
          <w:spacing w:val="-16"/>
        </w:rPr>
        <w:t>可增加至 </w:t>
      </w:r>
      <w:r>
        <w:rPr/>
        <w:t>37.5m； </w:t>
      </w:r>
    </w:p>
    <w:p>
      <w:pPr>
        <w:pStyle w:val="BodyText"/>
        <w:ind w:left="838"/>
      </w:pPr>
      <w:r>
        <w:rPr/>
        <w:t>排烟口底边距挡烟垂壁下沿的垂直距离不应小于 0.5m，水平距离安全出口不应小于 3.0m； </w:t>
      </w:r>
    </w:p>
    <w:p>
      <w:pPr>
        <w:pStyle w:val="BodyText"/>
        <w:rPr>
          <w:sz w:val="18"/>
        </w:rPr>
      </w:pPr>
    </w:p>
    <w:p>
      <w:pPr>
        <w:pStyle w:val="BodyText"/>
        <w:ind w:left="838"/>
      </w:pPr>
      <w:r>
        <w:rPr/>
        <w:t>排烟口的风速不宜大于 7m/s； </w:t>
      </w:r>
    </w:p>
    <w:p>
      <w:pPr>
        <w:pStyle w:val="BodyText"/>
        <w:spacing w:before="12"/>
        <w:rPr>
          <w:sz w:val="17"/>
        </w:rPr>
      </w:pPr>
    </w:p>
    <w:p>
      <w:pPr>
        <w:pStyle w:val="BodyText"/>
        <w:ind w:left="838"/>
      </w:pPr>
      <w:r>
        <w:rPr/>
        <w:t>正常为关闭状态的排烟口和排烟阀，应能在火灾时联动自动开启； </w:t>
      </w:r>
    </w:p>
    <w:p>
      <w:pPr>
        <w:pStyle w:val="BodyText"/>
        <w:spacing w:before="2"/>
        <w:rPr>
          <w:sz w:val="18"/>
        </w:rPr>
      </w:pPr>
    </w:p>
    <w:p>
      <w:pPr>
        <w:pStyle w:val="BodyText"/>
        <w:spacing w:line="446" w:lineRule="auto"/>
        <w:ind w:left="840" w:right="2084" w:hanging="3"/>
      </w:pPr>
      <w:r>
        <w:rPr/>
        <w:t>建筑面积小于或等于 50m²且需要机械排烟的房间，其排烟口可设置在相邻走道内。</w:t>
      </w:r>
      <w:r>
        <w:rPr>
          <w:b/>
        </w:rPr>
        <w:t>8.2.6 </w:t>
      </w:r>
      <w:r>
        <w:rPr/>
        <w:t>排烟区应采取补风措施，并应符合下列规定： </w:t>
      </w:r>
    </w:p>
    <w:p>
      <w:pPr>
        <w:pStyle w:val="BodyText"/>
        <w:spacing w:line="446" w:lineRule="auto"/>
        <w:ind w:left="418" w:right="1505" w:firstLine="419"/>
      </w:pPr>
      <w:r>
        <w:rPr>
          <w:spacing w:val="-6"/>
        </w:rPr>
        <w:t>当补风通路的空气总阻力不大于 </w:t>
      </w:r>
      <w:r>
        <w:rPr/>
        <w:t>50Pa</w:t>
      </w:r>
      <w:r>
        <w:rPr>
          <w:spacing w:val="-7"/>
        </w:rPr>
        <w:t> 时，可采用自然补风方式，但应保证火灾时补风通道</w:t>
      </w:r>
      <w:r>
        <w:rPr>
          <w:spacing w:val="-6"/>
        </w:rPr>
        <w:t>畅通；</w:t>
      </w:r>
      <w:r>
        <w:rPr/>
        <w:t> </w:t>
      </w:r>
    </w:p>
    <w:p>
      <w:pPr>
        <w:spacing w:after="0" w:line="446" w:lineRule="auto"/>
        <w:sectPr>
          <w:pgSz w:w="11910" w:h="16850"/>
          <w:pgMar w:header="0" w:footer="1239" w:top="1220" w:bottom="1420" w:left="1260" w:right="0"/>
        </w:sectPr>
      </w:pPr>
    </w:p>
    <w:p>
      <w:pPr>
        <w:pStyle w:val="BodyText"/>
        <w:spacing w:line="446" w:lineRule="auto" w:before="47"/>
        <w:ind w:left="418" w:right="1505" w:firstLine="419"/>
      </w:pPr>
      <w:r>
        <w:rPr>
          <w:spacing w:val="-6"/>
        </w:rPr>
        <w:t>当补风通路的空气总阻力大于 </w:t>
      </w:r>
      <w:r>
        <w:rPr/>
        <w:t>50Pa</w:t>
      </w:r>
      <w:r>
        <w:rPr>
          <w:spacing w:val="-8"/>
        </w:rPr>
        <w:t> 时，应采用机械补风方式，且机械补风的风量不应小于</w:t>
      </w:r>
      <w:r>
        <w:rPr>
          <w:spacing w:val="-13"/>
        </w:rPr>
        <w:t>排烟风量的 </w:t>
      </w:r>
      <w:r>
        <w:rPr/>
        <w:t>50</w:t>
      </w:r>
      <w:r>
        <w:rPr>
          <w:spacing w:val="-3"/>
        </w:rPr>
        <w:t>％，不应大于排烟量；</w:t>
      </w:r>
      <w:r>
        <w:rPr/>
        <w:t> </w:t>
      </w:r>
    </w:p>
    <w:p>
      <w:pPr>
        <w:pStyle w:val="BodyText"/>
        <w:spacing w:line="446" w:lineRule="auto"/>
        <w:ind w:left="418" w:right="1609" w:firstLine="419"/>
      </w:pPr>
      <w:r>
        <w:rPr/>
        <w:t>补风口宜设置在与排烟空间相通的相邻防烟分区内；当补风口与排烟口设置在同一防烟分区内时，补风口应设置在室内净高 1/2 以下，水平距离排烟口不应小于 10m。 </w:t>
      </w:r>
    </w:p>
    <w:p>
      <w:pPr>
        <w:pStyle w:val="ListParagraph"/>
        <w:numPr>
          <w:ilvl w:val="2"/>
          <w:numId w:val="937"/>
        </w:numPr>
        <w:tabs>
          <w:tab w:pos="1371" w:val="left" w:leader="none"/>
        </w:tabs>
        <w:spacing w:line="446" w:lineRule="auto" w:before="0" w:after="0"/>
        <w:ind w:left="418" w:right="1604" w:firstLine="422"/>
        <w:jc w:val="left"/>
        <w:rPr>
          <w:sz w:val="21"/>
        </w:rPr>
      </w:pPr>
      <w:r>
        <w:rPr>
          <w:spacing w:val="-3"/>
          <w:sz w:val="21"/>
        </w:rPr>
        <w:t>车辆基地的地下停车库、列检库、停车列检库、运用库、联合检修库、镟轮库、工程车库等场所应设置排烟系统。</w:t>
      </w:r>
      <w:r>
        <w:rPr>
          <w:sz w:val="21"/>
        </w:rPr>
        <w:t> </w:t>
      </w:r>
    </w:p>
    <w:p>
      <w:pPr>
        <w:pStyle w:val="ListParagraph"/>
        <w:numPr>
          <w:ilvl w:val="2"/>
          <w:numId w:val="937"/>
        </w:numPr>
        <w:tabs>
          <w:tab w:pos="1371" w:val="left" w:leader="none"/>
        </w:tabs>
        <w:spacing w:line="240" w:lineRule="auto" w:before="0" w:after="0"/>
        <w:ind w:left="1370" w:right="0" w:hanging="531"/>
        <w:jc w:val="left"/>
        <w:rPr>
          <w:sz w:val="21"/>
        </w:rPr>
      </w:pPr>
      <w:r>
        <w:rPr>
          <w:spacing w:val="-3"/>
          <w:sz w:val="21"/>
        </w:rPr>
        <w:t>设置自动灭火系统的设备房应符合下列规定： </w:t>
      </w:r>
    </w:p>
    <w:p>
      <w:pPr>
        <w:pStyle w:val="BodyText"/>
        <w:spacing w:before="11"/>
        <w:rPr>
          <w:sz w:val="17"/>
        </w:rPr>
      </w:pPr>
    </w:p>
    <w:p>
      <w:pPr>
        <w:pStyle w:val="BodyText"/>
        <w:ind w:left="838"/>
      </w:pPr>
      <w:r>
        <w:rPr/>
        <w:t>在穿越该房间开设风口的通风管上，应设置动作温度为 70℃的防火阀； </w:t>
      </w:r>
    </w:p>
    <w:p>
      <w:pPr>
        <w:pStyle w:val="BodyText"/>
        <w:spacing w:before="12"/>
        <w:rPr>
          <w:sz w:val="17"/>
        </w:rPr>
      </w:pPr>
    </w:p>
    <w:p>
      <w:pPr>
        <w:pStyle w:val="BodyText"/>
        <w:ind w:left="838"/>
      </w:pPr>
      <w:r>
        <w:rPr/>
        <w:t>防火阀应能与自动灭火系统的启动联动关闭； </w:t>
      </w:r>
    </w:p>
    <w:p>
      <w:pPr>
        <w:pStyle w:val="BodyText"/>
        <w:spacing w:before="2"/>
        <w:rPr>
          <w:sz w:val="18"/>
        </w:rPr>
      </w:pPr>
    </w:p>
    <w:p>
      <w:pPr>
        <w:pStyle w:val="BodyText"/>
        <w:ind w:left="838"/>
      </w:pPr>
      <w:r>
        <w:rPr/>
        <w:t>当灭火介质的相对密度大于 1 时，排风口应设置在该房间的下部。 </w:t>
      </w:r>
    </w:p>
    <w:p>
      <w:pPr>
        <w:pStyle w:val="BodyText"/>
        <w:spacing w:before="12"/>
        <w:rPr>
          <w:sz w:val="17"/>
        </w:rPr>
      </w:pPr>
    </w:p>
    <w:p>
      <w:pPr>
        <w:pStyle w:val="ListParagraph"/>
        <w:numPr>
          <w:ilvl w:val="2"/>
          <w:numId w:val="937"/>
        </w:numPr>
        <w:tabs>
          <w:tab w:pos="1371" w:val="left" w:leader="none"/>
        </w:tabs>
        <w:spacing w:line="446" w:lineRule="auto" w:before="0" w:after="0"/>
        <w:ind w:left="418" w:right="1450" w:firstLine="422"/>
        <w:jc w:val="left"/>
        <w:rPr>
          <w:sz w:val="21"/>
        </w:rPr>
      </w:pPr>
      <w:r>
        <w:rPr>
          <w:spacing w:val="-3"/>
          <w:sz w:val="21"/>
        </w:rPr>
        <w:t>排烟风机应与排烟口</w:t>
      </w:r>
      <w:r>
        <w:rPr>
          <w:sz w:val="21"/>
        </w:rPr>
        <w:t>（</w:t>
      </w:r>
      <w:r>
        <w:rPr>
          <w:spacing w:val="-3"/>
          <w:sz w:val="21"/>
        </w:rPr>
        <w:t>阀</w:t>
      </w:r>
      <w:r>
        <w:rPr>
          <w:sz w:val="21"/>
        </w:rPr>
        <w:t>）</w:t>
      </w:r>
      <w:r>
        <w:rPr>
          <w:spacing w:val="-3"/>
          <w:sz w:val="21"/>
        </w:rPr>
        <w:t>联动，当任何一个排烟口（</w:t>
      </w:r>
      <w:r>
        <w:rPr>
          <w:sz w:val="21"/>
        </w:rPr>
        <w:t>阀</w:t>
      </w:r>
      <w:r>
        <w:rPr>
          <w:spacing w:val="-3"/>
          <w:sz w:val="21"/>
        </w:rPr>
        <w:t>）开启或排风口转为排烟口</w:t>
      </w:r>
      <w:r>
        <w:rPr>
          <w:spacing w:val="-4"/>
          <w:sz w:val="21"/>
        </w:rPr>
        <w:t>时，系统应能自动转为排烟状态；当烟气温度大于 </w:t>
      </w:r>
      <w:r>
        <w:rPr>
          <w:sz w:val="21"/>
        </w:rPr>
        <w:t>280</w:t>
      </w:r>
      <w:r>
        <w:rPr>
          <w:spacing w:val="-3"/>
          <w:sz w:val="21"/>
        </w:rPr>
        <w:t>℃时，排烟风机应与风机入口处或干管上的防火阀关闭联动关闭。 </w:t>
      </w:r>
    </w:p>
    <w:p>
      <w:pPr>
        <w:pStyle w:val="ListParagraph"/>
        <w:numPr>
          <w:ilvl w:val="1"/>
          <w:numId w:val="936"/>
        </w:numPr>
        <w:tabs>
          <w:tab w:pos="1159" w:val="left" w:leader="none"/>
        </w:tabs>
        <w:spacing w:line="268" w:lineRule="exact" w:before="0" w:after="0"/>
        <w:ind w:left="1158" w:right="0" w:hanging="319"/>
        <w:jc w:val="left"/>
        <w:rPr>
          <w:b/>
          <w:sz w:val="21"/>
        </w:rPr>
      </w:pPr>
      <w:r>
        <w:rPr>
          <w:spacing w:val="-3"/>
          <w:sz w:val="21"/>
        </w:rPr>
        <w:t>区间</w:t>
      </w:r>
      <w:r>
        <w:rPr>
          <w:b/>
          <w:w w:val="99"/>
          <w:sz w:val="21"/>
        </w:rPr>
        <w:t> </w:t>
      </w:r>
    </w:p>
    <w:p>
      <w:pPr>
        <w:pStyle w:val="BodyText"/>
        <w:rPr>
          <w:b/>
          <w:sz w:val="18"/>
        </w:rPr>
      </w:pPr>
    </w:p>
    <w:p>
      <w:pPr>
        <w:pStyle w:val="ListParagraph"/>
        <w:numPr>
          <w:ilvl w:val="2"/>
          <w:numId w:val="936"/>
        </w:numPr>
        <w:tabs>
          <w:tab w:pos="1370" w:val="left" w:leader="none"/>
        </w:tabs>
        <w:spacing w:line="446" w:lineRule="auto" w:before="0" w:after="0"/>
        <w:ind w:left="418" w:right="1604" w:firstLine="422"/>
        <w:jc w:val="left"/>
        <w:rPr>
          <w:sz w:val="21"/>
        </w:rPr>
      </w:pPr>
      <w:r>
        <w:rPr>
          <w:spacing w:val="-3"/>
          <w:sz w:val="21"/>
        </w:rPr>
        <w:t>地下区间的排烟宜采用纵向通风控制方式，采用纵向通风方式确有困难的区段，可采用排烟道</w:t>
      </w:r>
      <w:r>
        <w:rPr>
          <w:sz w:val="21"/>
        </w:rPr>
        <w:t>（</w:t>
      </w:r>
      <w:r>
        <w:rPr>
          <w:spacing w:val="-3"/>
          <w:sz w:val="21"/>
        </w:rPr>
        <w:t>管</w:t>
      </w:r>
      <w:r>
        <w:rPr>
          <w:sz w:val="21"/>
        </w:rPr>
        <w:t>）</w:t>
      </w:r>
      <w:r>
        <w:rPr>
          <w:spacing w:val="-3"/>
          <w:sz w:val="21"/>
        </w:rPr>
        <w:t>进行排烟。地下区间的排烟尚应符合下列规定：</w:t>
      </w:r>
      <w:r>
        <w:rPr>
          <w:sz w:val="21"/>
        </w:rPr>
        <w:t> </w:t>
      </w:r>
    </w:p>
    <w:p>
      <w:pPr>
        <w:pStyle w:val="BodyText"/>
        <w:ind w:left="838"/>
      </w:pPr>
      <w:r>
        <w:rPr/>
        <w:t>采用纵向通风时，区间断面的排烟风速不应小于 2m/s，不得大于 11m/s； </w:t>
      </w:r>
    </w:p>
    <w:p>
      <w:pPr>
        <w:pStyle w:val="BodyText"/>
        <w:spacing w:before="12"/>
        <w:rPr>
          <w:sz w:val="17"/>
        </w:rPr>
      </w:pPr>
    </w:p>
    <w:p>
      <w:pPr>
        <w:pStyle w:val="BodyText"/>
        <w:spacing w:line="446" w:lineRule="auto"/>
        <w:ind w:left="418" w:right="1609" w:firstLine="419"/>
      </w:pPr>
      <w:r>
        <w:rPr/>
        <w:t>正线区间的通风方向应与乘客疏散方向相反，列车出入线、停车线等无载客轨道区间的通风方向应能使烟气尽快排至室外。 </w:t>
      </w:r>
    </w:p>
    <w:p>
      <w:pPr>
        <w:pStyle w:val="ListParagraph"/>
        <w:numPr>
          <w:ilvl w:val="2"/>
          <w:numId w:val="936"/>
        </w:numPr>
        <w:tabs>
          <w:tab w:pos="1371" w:val="left" w:leader="none"/>
        </w:tabs>
        <w:spacing w:line="446" w:lineRule="auto" w:before="1" w:after="0"/>
        <w:ind w:left="418" w:right="1604" w:firstLine="422"/>
        <w:jc w:val="left"/>
        <w:rPr>
          <w:sz w:val="21"/>
        </w:rPr>
      </w:pPr>
      <w:r>
        <w:rPr>
          <w:spacing w:val="-3"/>
          <w:sz w:val="21"/>
        </w:rPr>
        <w:t>地下区间的排烟应考虑相邻区间及出入线、渡线、联络线等对着火区间气流的不利影响。</w:t>
      </w:r>
      <w:r>
        <w:rPr>
          <w:sz w:val="21"/>
        </w:rPr>
        <w:t> </w:t>
      </w:r>
    </w:p>
    <w:p>
      <w:pPr>
        <w:pStyle w:val="ListParagraph"/>
        <w:numPr>
          <w:ilvl w:val="2"/>
          <w:numId w:val="936"/>
        </w:numPr>
        <w:tabs>
          <w:tab w:pos="1370" w:val="left" w:leader="none"/>
        </w:tabs>
        <w:spacing w:line="240" w:lineRule="auto" w:before="0" w:after="0"/>
        <w:ind w:left="1369" w:right="0" w:hanging="530"/>
        <w:jc w:val="left"/>
        <w:rPr>
          <w:sz w:val="21"/>
        </w:rPr>
      </w:pPr>
      <w:r>
        <w:rPr>
          <w:spacing w:val="-3"/>
          <w:sz w:val="21"/>
        </w:rPr>
        <w:t>地下区间内排烟射流风机宜备用一组，且不宜吊装在隧道上方。</w:t>
      </w:r>
      <w:r>
        <w:rPr>
          <w:sz w:val="21"/>
        </w:rPr>
        <w:t> </w:t>
      </w:r>
    </w:p>
    <w:p>
      <w:pPr>
        <w:pStyle w:val="BodyText"/>
        <w:spacing w:before="12"/>
        <w:rPr>
          <w:sz w:val="17"/>
        </w:rPr>
      </w:pPr>
    </w:p>
    <w:p>
      <w:pPr>
        <w:pStyle w:val="ListParagraph"/>
        <w:numPr>
          <w:ilvl w:val="2"/>
          <w:numId w:val="936"/>
        </w:numPr>
        <w:tabs>
          <w:tab w:pos="1371" w:val="left" w:leader="none"/>
        </w:tabs>
        <w:spacing w:line="446" w:lineRule="auto" w:before="0" w:after="0"/>
        <w:ind w:left="418" w:right="1604" w:firstLine="422"/>
        <w:jc w:val="left"/>
        <w:rPr>
          <w:sz w:val="21"/>
        </w:rPr>
      </w:pPr>
      <w:r>
        <w:rPr>
          <w:spacing w:val="-3"/>
          <w:sz w:val="21"/>
        </w:rPr>
        <w:t>两座车站之间正常同时存在两列或两列以上列车同向运行的地下区间，排烟时应能使非着火列车处于无烟区。 </w:t>
      </w:r>
    </w:p>
    <w:p>
      <w:pPr>
        <w:pStyle w:val="ListParagraph"/>
        <w:numPr>
          <w:ilvl w:val="2"/>
          <w:numId w:val="936"/>
        </w:numPr>
        <w:tabs>
          <w:tab w:pos="1371" w:val="left" w:leader="none"/>
        </w:tabs>
        <w:spacing w:line="446" w:lineRule="auto" w:before="0" w:after="0"/>
        <w:ind w:left="418" w:right="1604" w:firstLine="422"/>
        <w:jc w:val="left"/>
        <w:rPr>
          <w:sz w:val="21"/>
        </w:rPr>
      </w:pPr>
      <w:r>
        <w:rPr>
          <w:spacing w:val="-3"/>
          <w:sz w:val="21"/>
        </w:rPr>
        <w:t>设置隔声罩的地上区间和路堑式地下区间的排烟应采用自然排烟方式。自然排烟口的设置应符合下列规定：</w:t>
      </w:r>
      <w:r>
        <w:rPr>
          <w:sz w:val="21"/>
        </w:rPr>
        <w:t> </w:t>
      </w:r>
    </w:p>
    <w:p>
      <w:pPr>
        <w:pStyle w:val="BodyText"/>
        <w:spacing w:line="267" w:lineRule="exact"/>
        <w:ind w:left="838"/>
      </w:pPr>
      <w:r>
        <w:rPr/>
        <w:t>排烟口应设于区间外墙上方或顶板上，有效面积不应小于该区间水平投影面积的 5％； </w:t>
      </w:r>
    </w:p>
    <w:p>
      <w:pPr>
        <w:pStyle w:val="BodyText"/>
        <w:spacing w:before="1"/>
        <w:rPr>
          <w:sz w:val="18"/>
        </w:rPr>
      </w:pPr>
    </w:p>
    <w:p>
      <w:pPr>
        <w:pStyle w:val="BodyText"/>
        <w:spacing w:before="1"/>
        <w:ind w:left="838"/>
      </w:pPr>
      <w:r>
        <w:rPr/>
        <w:t>常闭的自然排烟口应设置自动和手动开启装置。 </w:t>
      </w:r>
    </w:p>
    <w:p>
      <w:pPr>
        <w:spacing w:after="0"/>
        <w:sectPr>
          <w:pgSz w:w="11910" w:h="16850"/>
          <w:pgMar w:header="0" w:footer="1239" w:top="1220" w:bottom="1420" w:left="1260" w:right="0"/>
        </w:sectPr>
      </w:pPr>
    </w:p>
    <w:p>
      <w:pPr>
        <w:pStyle w:val="ListParagraph"/>
        <w:numPr>
          <w:ilvl w:val="1"/>
          <w:numId w:val="936"/>
        </w:numPr>
        <w:tabs>
          <w:tab w:pos="1159" w:val="left" w:leader="none"/>
        </w:tabs>
        <w:spacing w:line="240" w:lineRule="auto" w:before="47" w:after="0"/>
        <w:ind w:left="1158" w:right="0" w:hanging="319"/>
        <w:jc w:val="left"/>
        <w:rPr>
          <w:sz w:val="21"/>
        </w:rPr>
      </w:pPr>
      <w:r>
        <w:rPr>
          <w:spacing w:val="-3"/>
          <w:sz w:val="21"/>
        </w:rPr>
        <w:t>排烟设备与管道</w:t>
      </w:r>
      <w:r>
        <w:rPr>
          <w:sz w:val="21"/>
        </w:rPr>
        <w:t> </w:t>
      </w:r>
    </w:p>
    <w:p>
      <w:pPr>
        <w:pStyle w:val="BodyText"/>
        <w:rPr>
          <w:sz w:val="18"/>
        </w:rPr>
      </w:pPr>
    </w:p>
    <w:p>
      <w:pPr>
        <w:pStyle w:val="ListParagraph"/>
        <w:numPr>
          <w:ilvl w:val="2"/>
          <w:numId w:val="936"/>
        </w:numPr>
        <w:tabs>
          <w:tab w:pos="1370" w:val="left" w:leader="none"/>
        </w:tabs>
        <w:spacing w:line="446" w:lineRule="auto" w:before="0" w:after="0"/>
        <w:ind w:left="418" w:right="1604" w:firstLine="422"/>
        <w:jc w:val="both"/>
        <w:rPr>
          <w:sz w:val="21"/>
        </w:rPr>
      </w:pPr>
      <w:r>
        <w:rPr>
          <w:spacing w:val="-3"/>
          <w:sz w:val="21"/>
        </w:rPr>
        <w:t>排烟风机宜设置在排烟区的同层或上层，并宜与补风机、加压送风机分别设置在不同的机房内，排烟管道宜顺气流方向向上坡或水平敷设。地下车站的排烟风机确需与补风机、</w:t>
      </w:r>
      <w:r>
        <w:rPr>
          <w:spacing w:val="-5"/>
          <w:sz w:val="21"/>
        </w:rPr>
        <w:t>加压送风机共用机房时，设置在机房内的排烟管道及其连接件的耐火极限不应低于 </w:t>
      </w:r>
      <w:r>
        <w:rPr>
          <w:sz w:val="21"/>
        </w:rPr>
        <w:t>1.50h</w:t>
      </w:r>
      <w:r>
        <w:rPr>
          <w:spacing w:val="-3"/>
          <w:sz w:val="21"/>
        </w:rPr>
        <w:t>。</w:t>
      </w:r>
      <w:r>
        <w:rPr>
          <w:sz w:val="21"/>
        </w:rPr>
        <w:t> </w:t>
      </w:r>
    </w:p>
    <w:p>
      <w:pPr>
        <w:pStyle w:val="ListParagraph"/>
        <w:numPr>
          <w:ilvl w:val="2"/>
          <w:numId w:val="936"/>
        </w:numPr>
        <w:tabs>
          <w:tab w:pos="1370" w:val="left" w:leader="none"/>
        </w:tabs>
        <w:spacing w:line="446" w:lineRule="auto" w:before="0" w:after="0"/>
        <w:ind w:left="418" w:right="1606" w:firstLine="422"/>
        <w:jc w:val="both"/>
        <w:rPr>
          <w:sz w:val="21"/>
        </w:rPr>
      </w:pPr>
      <w:r>
        <w:rPr>
          <w:spacing w:val="-7"/>
          <w:sz w:val="21"/>
        </w:rPr>
        <w:t>地下车站的排烟风机在 </w:t>
      </w:r>
      <w:r>
        <w:rPr>
          <w:sz w:val="21"/>
        </w:rPr>
        <w:t>280</w:t>
      </w:r>
      <w:r>
        <w:rPr>
          <w:spacing w:val="-7"/>
          <w:sz w:val="21"/>
        </w:rPr>
        <w:t>℃时应能连续工作不小于 </w:t>
      </w:r>
      <w:r>
        <w:rPr>
          <w:sz w:val="21"/>
        </w:rPr>
        <w:t>1.0h</w:t>
      </w:r>
      <w:r>
        <w:rPr>
          <w:spacing w:val="-3"/>
          <w:sz w:val="21"/>
        </w:rPr>
        <w:t>，地上车站和控制中心及</w:t>
      </w:r>
      <w:r>
        <w:rPr>
          <w:spacing w:val="-7"/>
          <w:sz w:val="21"/>
        </w:rPr>
        <w:t>其他附属建筑的排烟风机在 </w:t>
      </w:r>
      <w:r>
        <w:rPr>
          <w:sz w:val="21"/>
        </w:rPr>
        <w:t>280</w:t>
      </w:r>
      <w:r>
        <w:rPr>
          <w:spacing w:val="-8"/>
          <w:sz w:val="21"/>
        </w:rPr>
        <w:t>℃时应能连续工作不小于 </w:t>
      </w:r>
      <w:r>
        <w:rPr>
          <w:sz w:val="21"/>
        </w:rPr>
        <w:t>0.5h</w:t>
      </w:r>
      <w:r>
        <w:rPr>
          <w:spacing w:val="-3"/>
          <w:sz w:val="21"/>
        </w:rPr>
        <w:t>。</w:t>
      </w:r>
      <w:r>
        <w:rPr>
          <w:sz w:val="21"/>
        </w:rPr>
        <w:t> </w:t>
      </w:r>
    </w:p>
    <w:p>
      <w:pPr>
        <w:pStyle w:val="ListParagraph"/>
        <w:numPr>
          <w:ilvl w:val="2"/>
          <w:numId w:val="936"/>
        </w:numPr>
        <w:tabs>
          <w:tab w:pos="1371" w:val="left" w:leader="none"/>
        </w:tabs>
        <w:spacing w:line="446" w:lineRule="auto" w:before="0" w:after="0"/>
        <w:ind w:left="418" w:right="1445" w:firstLine="422"/>
        <w:jc w:val="left"/>
        <w:rPr>
          <w:sz w:val="21"/>
        </w:rPr>
      </w:pPr>
      <w:r>
        <w:rPr>
          <w:spacing w:val="-5"/>
          <w:sz w:val="21"/>
        </w:rPr>
        <w:t>地下区间的排烟风机的运转时间不应小于区间乘客疏散所需的最长时间，且在 </w:t>
      </w:r>
      <w:r>
        <w:rPr>
          <w:sz w:val="21"/>
        </w:rPr>
        <w:t>280℃ </w:t>
      </w:r>
      <w:r>
        <w:rPr>
          <w:spacing w:val="-8"/>
          <w:sz w:val="21"/>
        </w:rPr>
        <w:t>时应能连续工作不小于 </w:t>
      </w:r>
      <w:r>
        <w:rPr>
          <w:spacing w:val="-3"/>
          <w:sz w:val="21"/>
        </w:rPr>
        <w:t>1h</w:t>
      </w:r>
      <w:r>
        <w:rPr>
          <w:sz w:val="21"/>
        </w:rPr>
        <w:t>。 </w:t>
      </w:r>
    </w:p>
    <w:p>
      <w:pPr>
        <w:pStyle w:val="ListParagraph"/>
        <w:numPr>
          <w:ilvl w:val="2"/>
          <w:numId w:val="936"/>
        </w:numPr>
        <w:tabs>
          <w:tab w:pos="1371" w:val="left" w:leader="none"/>
        </w:tabs>
        <w:spacing w:line="446" w:lineRule="auto" w:before="0" w:after="0"/>
        <w:ind w:left="418" w:right="1604" w:firstLine="422"/>
        <w:jc w:val="left"/>
        <w:rPr>
          <w:sz w:val="21"/>
        </w:rPr>
      </w:pPr>
      <w:r>
        <w:rPr>
          <w:spacing w:val="-3"/>
          <w:sz w:val="21"/>
        </w:rPr>
        <w:t>排烟系统中烟气流经的风阀、消声器和软接头等辅助设备，其耐高温性能不应低于风机的耐高温性能。</w:t>
      </w:r>
      <w:r>
        <w:rPr>
          <w:sz w:val="21"/>
        </w:rPr>
        <w:t> </w:t>
      </w:r>
    </w:p>
    <w:p>
      <w:pPr>
        <w:pStyle w:val="ListParagraph"/>
        <w:numPr>
          <w:ilvl w:val="2"/>
          <w:numId w:val="936"/>
        </w:numPr>
        <w:tabs>
          <w:tab w:pos="1371" w:val="left" w:leader="none"/>
        </w:tabs>
        <w:spacing w:line="446" w:lineRule="auto" w:before="0" w:after="0"/>
        <w:ind w:left="418" w:right="1447" w:firstLine="422"/>
        <w:jc w:val="left"/>
        <w:rPr>
          <w:sz w:val="21"/>
        </w:rPr>
      </w:pPr>
      <w:r>
        <w:rPr>
          <w:spacing w:val="-5"/>
          <w:sz w:val="21"/>
        </w:rPr>
        <w:t>火灾时需要运行的风机，从静态转换为事故状态所需时间不应大于 </w:t>
      </w:r>
      <w:r>
        <w:rPr>
          <w:sz w:val="21"/>
        </w:rPr>
        <w:t>30s，</w:t>
      </w:r>
      <w:r>
        <w:rPr>
          <w:spacing w:val="-3"/>
          <w:sz w:val="21"/>
        </w:rPr>
        <w:t>从运转状态</w:t>
      </w:r>
      <w:r>
        <w:rPr>
          <w:spacing w:val="-7"/>
          <w:sz w:val="21"/>
        </w:rPr>
        <w:t>转换为事故状态所需时间不应大于 </w:t>
      </w:r>
      <w:r>
        <w:rPr>
          <w:sz w:val="21"/>
        </w:rPr>
        <w:t>60s</w:t>
      </w:r>
      <w:r>
        <w:rPr>
          <w:spacing w:val="-3"/>
          <w:sz w:val="21"/>
        </w:rPr>
        <w:t>。</w:t>
      </w:r>
      <w:r>
        <w:rPr>
          <w:sz w:val="21"/>
        </w:rPr>
        <w:t> </w:t>
      </w:r>
    </w:p>
    <w:p>
      <w:pPr>
        <w:pStyle w:val="ListParagraph"/>
        <w:numPr>
          <w:ilvl w:val="2"/>
          <w:numId w:val="936"/>
        </w:numPr>
        <w:tabs>
          <w:tab w:pos="1370" w:val="left" w:leader="none"/>
        </w:tabs>
        <w:spacing w:line="240" w:lineRule="auto" w:before="0" w:after="0"/>
        <w:ind w:left="1369" w:right="0" w:hanging="530"/>
        <w:jc w:val="left"/>
        <w:rPr>
          <w:sz w:val="21"/>
        </w:rPr>
      </w:pPr>
      <w:r>
        <w:rPr>
          <w:spacing w:val="-3"/>
          <w:sz w:val="21"/>
        </w:rPr>
        <w:t>火灾时用于风机的保护装置不应影响风机的排烟功能。</w:t>
      </w:r>
      <w:r>
        <w:rPr>
          <w:sz w:val="21"/>
        </w:rPr>
        <w:t> </w:t>
      </w:r>
    </w:p>
    <w:p>
      <w:pPr>
        <w:pStyle w:val="BodyText"/>
        <w:spacing w:before="9"/>
        <w:rPr>
          <w:sz w:val="17"/>
        </w:rPr>
      </w:pPr>
    </w:p>
    <w:p>
      <w:pPr>
        <w:pStyle w:val="ListParagraph"/>
        <w:numPr>
          <w:ilvl w:val="2"/>
          <w:numId w:val="936"/>
        </w:numPr>
        <w:tabs>
          <w:tab w:pos="1370" w:val="left" w:leader="none"/>
        </w:tabs>
        <w:spacing w:line="240" w:lineRule="auto" w:before="0" w:after="0"/>
        <w:ind w:left="1369" w:right="0" w:hanging="530"/>
        <w:jc w:val="left"/>
        <w:rPr>
          <w:sz w:val="21"/>
        </w:rPr>
      </w:pPr>
      <w:r>
        <w:rPr>
          <w:spacing w:val="-3"/>
          <w:sz w:val="21"/>
        </w:rPr>
        <w:t>用于防烟与排烟的管道、风口与阀门应符合下列规定：</w:t>
      </w:r>
      <w:r>
        <w:rPr>
          <w:sz w:val="21"/>
        </w:rPr>
        <w:t> </w:t>
      </w:r>
    </w:p>
    <w:p>
      <w:pPr>
        <w:pStyle w:val="BodyText"/>
        <w:rPr>
          <w:sz w:val="18"/>
        </w:rPr>
      </w:pPr>
    </w:p>
    <w:p>
      <w:pPr>
        <w:pStyle w:val="BodyText"/>
        <w:ind w:left="838"/>
      </w:pPr>
      <w:r>
        <w:rPr/>
        <w:t>管道、风口与阀门应采用不燃材料制作； </w:t>
      </w:r>
    </w:p>
    <w:p>
      <w:pPr>
        <w:pStyle w:val="BodyText"/>
        <w:spacing w:before="2"/>
        <w:rPr>
          <w:sz w:val="18"/>
        </w:rPr>
      </w:pPr>
    </w:p>
    <w:p>
      <w:pPr>
        <w:pStyle w:val="BodyText"/>
        <w:spacing w:line="446" w:lineRule="auto"/>
        <w:ind w:left="840" w:right="1604" w:hanging="3"/>
      </w:pPr>
      <w:r>
        <w:rPr/>
        <w:t>排烟管道不应穿越前室或楼梯间，必须穿越时，管道的耐火极限不应低于  2.00h。</w:t>
      </w:r>
      <w:r>
        <w:rPr>
          <w:b/>
        </w:rPr>
        <w:t>8.4.8 </w:t>
      </w:r>
      <w:r>
        <w:rPr/>
        <w:t>除承担轨行区域的防排烟系统外，其他区域的防排烟系统管道应采用金属或其他非</w:t>
      </w:r>
    </w:p>
    <w:p>
      <w:pPr>
        <w:pStyle w:val="BodyText"/>
        <w:spacing w:line="446" w:lineRule="auto"/>
        <w:ind w:left="418" w:right="1391"/>
      </w:pPr>
      <w:r>
        <w:rPr/>
        <w:t>土建井道。金属防烟或排烟风管道内的风速不应大于 20m/s，非金属防烟或排烟管道内的风速不应大于 15m/s。 </w:t>
      </w:r>
    </w:p>
    <w:p>
      <w:pPr>
        <w:pStyle w:val="BodyText"/>
        <w:spacing w:line="446" w:lineRule="auto"/>
        <w:ind w:left="418" w:right="1604" w:firstLine="422"/>
      </w:pPr>
      <w:r>
        <w:rPr>
          <w:b/>
        </w:rPr>
        <w:t>8.4.9 </w:t>
      </w:r>
      <w:r>
        <w:rPr/>
        <w:t>除隧道通风系统外，下列部位应设置防火阀，防火阀的动作温度应根据风管的用途确定： </w:t>
      </w:r>
    </w:p>
    <w:p>
      <w:pPr>
        <w:pStyle w:val="BodyText"/>
        <w:spacing w:line="446" w:lineRule="auto"/>
        <w:ind w:left="838" w:right="5288"/>
      </w:pPr>
      <w:r>
        <w:rPr/>
        <w:t>垂直风管与每层水平风管相接处的水平管段上； 排烟风机的入口处； </w:t>
      </w:r>
    </w:p>
    <w:p>
      <w:pPr>
        <w:pStyle w:val="BodyText"/>
        <w:spacing w:line="446" w:lineRule="auto"/>
        <w:ind w:left="838" w:right="6129"/>
      </w:pPr>
      <w:r>
        <w:rPr/>
        <w:t>风管穿越防火分区的防火墙和楼板处； 风管穿越有隔墙的变形缝处。 </w:t>
      </w:r>
    </w:p>
    <w:p>
      <w:pPr>
        <w:pStyle w:val="Heading4"/>
        <w:spacing w:line="278" w:lineRule="exact"/>
      </w:pPr>
      <w:r>
        <w:rPr/>
        <w:t>9 火灾自动报警</w:t>
      </w:r>
      <w:r>
        <w:rPr>
          <w:w w:val="99"/>
        </w:rPr>
        <w:t> </w:t>
      </w:r>
    </w:p>
    <w:p>
      <w:pPr>
        <w:pStyle w:val="BodyText"/>
        <w:spacing w:before="12"/>
        <w:rPr>
          <w:b/>
          <w:sz w:val="16"/>
        </w:rPr>
      </w:pPr>
    </w:p>
    <w:p>
      <w:pPr>
        <w:pStyle w:val="ListParagraph"/>
        <w:numPr>
          <w:ilvl w:val="1"/>
          <w:numId w:val="938"/>
        </w:numPr>
        <w:tabs>
          <w:tab w:pos="1159" w:val="left" w:leader="none"/>
        </w:tabs>
        <w:spacing w:line="240" w:lineRule="auto" w:before="0" w:after="0"/>
        <w:ind w:left="1158" w:right="0" w:hanging="319"/>
        <w:jc w:val="left"/>
        <w:rPr>
          <w:b/>
          <w:sz w:val="21"/>
        </w:rPr>
      </w:pPr>
      <w:r>
        <w:rPr>
          <w:spacing w:val="-3"/>
          <w:sz w:val="21"/>
        </w:rPr>
        <w:t>一般规定</w:t>
      </w:r>
      <w:r>
        <w:rPr>
          <w:b/>
          <w:w w:val="99"/>
          <w:sz w:val="21"/>
        </w:rPr>
        <w:t> </w:t>
      </w:r>
    </w:p>
    <w:p>
      <w:pPr>
        <w:pStyle w:val="BodyText"/>
        <w:spacing w:before="2"/>
        <w:rPr>
          <w:b/>
          <w:sz w:val="18"/>
        </w:rPr>
      </w:pPr>
    </w:p>
    <w:p>
      <w:pPr>
        <w:pStyle w:val="ListParagraph"/>
        <w:numPr>
          <w:ilvl w:val="2"/>
          <w:numId w:val="938"/>
        </w:numPr>
        <w:tabs>
          <w:tab w:pos="1370" w:val="left" w:leader="none"/>
        </w:tabs>
        <w:spacing w:line="240" w:lineRule="auto" w:before="0" w:after="0"/>
        <w:ind w:left="1369" w:right="0" w:hanging="530"/>
        <w:jc w:val="left"/>
        <w:rPr>
          <w:sz w:val="21"/>
        </w:rPr>
      </w:pPr>
      <w:r>
        <w:rPr>
          <w:spacing w:val="-3"/>
          <w:sz w:val="21"/>
        </w:rPr>
        <w:t>车站、地下区间、区间变电所及系统设备用房、主变电所、控制中心、车辆基地应</w:t>
      </w:r>
    </w:p>
    <w:p>
      <w:pPr>
        <w:spacing w:after="0" w:line="240" w:lineRule="auto"/>
        <w:jc w:val="left"/>
        <w:rPr>
          <w:sz w:val="21"/>
        </w:rPr>
        <w:sectPr>
          <w:footerReference w:type="default" r:id="rId592"/>
          <w:pgSz w:w="11910" w:h="16850"/>
          <w:pgMar w:footer="1239" w:header="0" w:top="1220" w:bottom="1420" w:left="1260" w:right="0"/>
          <w:pgNumType w:start="1630"/>
        </w:sectPr>
      </w:pPr>
    </w:p>
    <w:p>
      <w:pPr>
        <w:pStyle w:val="BodyText"/>
        <w:spacing w:before="47"/>
        <w:ind w:left="418"/>
      </w:pPr>
      <w:r>
        <w:rPr/>
        <w:t>设置火灾自动报警系统。 </w:t>
      </w:r>
    </w:p>
    <w:p>
      <w:pPr>
        <w:pStyle w:val="BodyText"/>
        <w:rPr>
          <w:sz w:val="18"/>
        </w:rPr>
      </w:pPr>
    </w:p>
    <w:p>
      <w:pPr>
        <w:pStyle w:val="ListParagraph"/>
        <w:numPr>
          <w:ilvl w:val="2"/>
          <w:numId w:val="938"/>
        </w:numPr>
        <w:tabs>
          <w:tab w:pos="1371" w:val="left" w:leader="none"/>
        </w:tabs>
        <w:spacing w:line="446" w:lineRule="auto" w:before="0" w:after="0"/>
        <w:ind w:left="418" w:right="1604" w:firstLine="422"/>
        <w:jc w:val="left"/>
        <w:rPr>
          <w:sz w:val="21"/>
        </w:rPr>
      </w:pPr>
      <w:r>
        <w:rPr>
          <w:spacing w:val="-3"/>
          <w:sz w:val="21"/>
        </w:rPr>
        <w:t>正常运行工况需控制的设备，应由环境与设备监控系统直接监控；火灾工况专用的设备，应由火灾自动报警系统直接监控。</w:t>
      </w:r>
      <w:r>
        <w:rPr>
          <w:sz w:val="21"/>
        </w:rPr>
        <w:t> </w:t>
      </w:r>
    </w:p>
    <w:p>
      <w:pPr>
        <w:pStyle w:val="ListParagraph"/>
        <w:numPr>
          <w:ilvl w:val="2"/>
          <w:numId w:val="938"/>
        </w:numPr>
        <w:tabs>
          <w:tab w:pos="1370" w:val="left" w:leader="none"/>
        </w:tabs>
        <w:spacing w:line="446" w:lineRule="auto" w:before="0" w:after="0"/>
        <w:ind w:left="418" w:right="1604" w:firstLine="422"/>
        <w:jc w:val="left"/>
        <w:rPr>
          <w:sz w:val="21"/>
        </w:rPr>
      </w:pPr>
      <w:r>
        <w:rPr>
          <w:spacing w:val="-3"/>
          <w:sz w:val="21"/>
        </w:rPr>
        <w:t>正常运行与火灾工况均需控制的设备，平时可由环境与设备监控系统直接监控，火灾时应能接收火灾自动报警系统指令，并应优先执行火灾自动报警系统确定的火灾工况。</w:t>
      </w:r>
      <w:r>
        <w:rPr>
          <w:sz w:val="21"/>
        </w:rPr>
        <w:t> </w:t>
      </w:r>
    </w:p>
    <w:p>
      <w:pPr>
        <w:pStyle w:val="ListParagraph"/>
        <w:numPr>
          <w:ilvl w:val="2"/>
          <w:numId w:val="938"/>
        </w:numPr>
        <w:tabs>
          <w:tab w:pos="1371" w:val="left" w:leader="none"/>
        </w:tabs>
        <w:spacing w:line="446" w:lineRule="auto" w:before="0" w:after="0"/>
        <w:ind w:left="418" w:right="1604" w:firstLine="422"/>
        <w:jc w:val="left"/>
        <w:rPr>
          <w:sz w:val="21"/>
        </w:rPr>
      </w:pPr>
      <w:r>
        <w:rPr>
          <w:spacing w:val="-3"/>
          <w:sz w:val="21"/>
        </w:rPr>
        <w:t>换乘车站的火灾自动报警系统宜集中设置，按线路设置的火灾自动报警系统之间应能相互传输并显示状态信息。</w:t>
      </w:r>
      <w:r>
        <w:rPr>
          <w:sz w:val="21"/>
        </w:rPr>
        <w:t> </w:t>
      </w:r>
    </w:p>
    <w:p>
      <w:pPr>
        <w:pStyle w:val="ListParagraph"/>
        <w:numPr>
          <w:ilvl w:val="2"/>
          <w:numId w:val="938"/>
        </w:numPr>
        <w:tabs>
          <w:tab w:pos="1371" w:val="left" w:leader="none"/>
        </w:tabs>
        <w:spacing w:line="240" w:lineRule="auto" w:before="0" w:after="0"/>
        <w:ind w:left="1370" w:right="0" w:hanging="531"/>
        <w:jc w:val="left"/>
        <w:rPr>
          <w:sz w:val="21"/>
        </w:rPr>
      </w:pPr>
      <w:r>
        <w:rPr>
          <w:spacing w:val="-3"/>
          <w:sz w:val="21"/>
        </w:rPr>
        <w:t>车辆基地上部设置其他功能的建筑时，两者的控制中心应能实现信息互通。 </w:t>
      </w:r>
    </w:p>
    <w:p>
      <w:pPr>
        <w:pStyle w:val="BodyText"/>
        <w:spacing w:before="10"/>
        <w:rPr>
          <w:sz w:val="17"/>
        </w:rPr>
      </w:pPr>
    </w:p>
    <w:p>
      <w:pPr>
        <w:pStyle w:val="ListParagraph"/>
        <w:numPr>
          <w:ilvl w:val="2"/>
          <w:numId w:val="938"/>
        </w:numPr>
        <w:tabs>
          <w:tab w:pos="1371" w:val="left" w:leader="none"/>
        </w:tabs>
        <w:spacing w:line="446" w:lineRule="auto" w:before="0" w:after="0"/>
        <w:ind w:left="418" w:right="1604" w:firstLine="422"/>
        <w:jc w:val="left"/>
        <w:rPr>
          <w:sz w:val="21"/>
        </w:rPr>
      </w:pPr>
      <w:r>
        <w:rPr>
          <w:spacing w:val="-3"/>
          <w:sz w:val="21"/>
        </w:rPr>
        <w:t>地铁工程的火灾自动报警系统应由中央级、车站级或车辆基地级、现场级火灾自动报警系统及相关通信网络组成。</w:t>
      </w:r>
      <w:r>
        <w:rPr>
          <w:sz w:val="21"/>
        </w:rPr>
        <w:t> </w:t>
      </w:r>
    </w:p>
    <w:p>
      <w:pPr>
        <w:pStyle w:val="ListParagraph"/>
        <w:numPr>
          <w:ilvl w:val="1"/>
          <w:numId w:val="938"/>
        </w:numPr>
        <w:tabs>
          <w:tab w:pos="1160" w:val="left" w:leader="none"/>
        </w:tabs>
        <w:spacing w:line="240" w:lineRule="auto" w:before="0" w:after="0"/>
        <w:ind w:left="1159" w:right="0" w:hanging="320"/>
        <w:jc w:val="left"/>
        <w:rPr>
          <w:sz w:val="21"/>
        </w:rPr>
      </w:pPr>
      <w:r>
        <w:rPr>
          <w:spacing w:val="-3"/>
          <w:sz w:val="21"/>
        </w:rPr>
        <w:t>监控管理</w:t>
      </w:r>
      <w:r>
        <w:rPr>
          <w:sz w:val="21"/>
        </w:rPr>
        <w:t> </w:t>
      </w:r>
    </w:p>
    <w:p>
      <w:pPr>
        <w:pStyle w:val="BodyText"/>
        <w:rPr>
          <w:sz w:val="18"/>
        </w:rPr>
      </w:pPr>
    </w:p>
    <w:p>
      <w:pPr>
        <w:pStyle w:val="ListParagraph"/>
        <w:numPr>
          <w:ilvl w:val="2"/>
          <w:numId w:val="938"/>
        </w:numPr>
        <w:tabs>
          <w:tab w:pos="1371" w:val="left" w:leader="none"/>
        </w:tabs>
        <w:spacing w:line="446" w:lineRule="auto" w:before="0" w:after="0"/>
        <w:ind w:left="418" w:right="1604" w:firstLine="422"/>
        <w:jc w:val="both"/>
        <w:rPr>
          <w:sz w:val="21"/>
        </w:rPr>
      </w:pPr>
      <w:r>
        <w:rPr>
          <w:spacing w:val="-3"/>
          <w:sz w:val="21"/>
        </w:rPr>
        <w:t>中央级火灾自动报警系统，应具备显示全线火灾报警信息和对全线消防设备实行集中控制、故障报警、信息显示、查询打印等功能，并应靠近行车调度设置在控制中心的中央控制室内。中央控制室内的综合显示屏上应能显示全线的火灾信息。</w:t>
      </w:r>
      <w:r>
        <w:rPr>
          <w:sz w:val="21"/>
        </w:rPr>
        <w:t> </w:t>
      </w:r>
    </w:p>
    <w:p>
      <w:pPr>
        <w:pStyle w:val="ListParagraph"/>
        <w:numPr>
          <w:ilvl w:val="2"/>
          <w:numId w:val="938"/>
        </w:numPr>
        <w:tabs>
          <w:tab w:pos="1370" w:val="left" w:leader="none"/>
        </w:tabs>
        <w:spacing w:line="446" w:lineRule="auto" w:before="0" w:after="0"/>
        <w:ind w:left="418" w:right="1604" w:firstLine="422"/>
        <w:jc w:val="both"/>
        <w:rPr>
          <w:sz w:val="21"/>
        </w:rPr>
      </w:pPr>
      <w:r>
        <w:rPr>
          <w:spacing w:val="-3"/>
          <w:sz w:val="21"/>
        </w:rPr>
        <w:t>车站级火灾自动报警系统，应具备对其所管辖范围内车站和相邻区间的消防设备实行监控管理、故障报警、信息显示、查询打印及信息上传控制中心等功能，并应设置在车站控制室内。主变电所宜设置区域报警控制盘，并应纳入邻近车站统一管理。</w:t>
      </w:r>
      <w:r>
        <w:rPr>
          <w:sz w:val="21"/>
        </w:rPr>
        <w:t> </w:t>
      </w:r>
    </w:p>
    <w:p>
      <w:pPr>
        <w:pStyle w:val="ListParagraph"/>
        <w:numPr>
          <w:ilvl w:val="2"/>
          <w:numId w:val="938"/>
        </w:numPr>
        <w:tabs>
          <w:tab w:pos="1371" w:val="left" w:leader="none"/>
        </w:tabs>
        <w:spacing w:line="446" w:lineRule="auto" w:before="0" w:after="0"/>
        <w:ind w:left="418" w:right="1604" w:firstLine="422"/>
        <w:jc w:val="both"/>
        <w:rPr>
          <w:sz w:val="21"/>
        </w:rPr>
      </w:pPr>
      <w:r>
        <w:rPr>
          <w:spacing w:val="-3"/>
          <w:sz w:val="21"/>
        </w:rPr>
        <w:t>车辆基地级火灾自动报警系统应具备对其所辖范围独立执行消防监控管理，显示整个车辆基地火灾报警信息和对本辖区进行消防控制、故障报警、信息显示、查询打印及信息上传控制中心等功能，并应设置消防控制室。</w:t>
      </w:r>
      <w:r>
        <w:rPr>
          <w:sz w:val="21"/>
        </w:rPr>
        <w:t> </w:t>
      </w:r>
    </w:p>
    <w:p>
      <w:pPr>
        <w:pStyle w:val="ListParagraph"/>
        <w:numPr>
          <w:ilvl w:val="2"/>
          <w:numId w:val="938"/>
        </w:numPr>
        <w:tabs>
          <w:tab w:pos="1370" w:val="left" w:leader="none"/>
        </w:tabs>
        <w:spacing w:line="446" w:lineRule="auto" w:before="0" w:after="0"/>
        <w:ind w:left="418" w:right="1604" w:firstLine="422"/>
        <w:jc w:val="both"/>
        <w:rPr>
          <w:sz w:val="21"/>
        </w:rPr>
      </w:pPr>
      <w:r>
        <w:rPr>
          <w:spacing w:val="-3"/>
          <w:sz w:val="21"/>
        </w:rPr>
        <w:t>车辆基地的消防控制室宜设置在综合楼或停车列检库等的办公区域内。消防控制室内应设置火灾报警控制器、图形显示终端、打印机等设备，在重要库房或办公区域内应设置区域火灾报警控制器，其他建筑的火灾报警设备和消防联动设备均应纳入邻近的区域火灾报警控制器中。</w:t>
      </w:r>
      <w:r>
        <w:rPr>
          <w:sz w:val="21"/>
        </w:rPr>
        <w:t> </w:t>
      </w:r>
    </w:p>
    <w:p>
      <w:pPr>
        <w:pStyle w:val="ListParagraph"/>
        <w:numPr>
          <w:ilvl w:val="2"/>
          <w:numId w:val="938"/>
        </w:numPr>
        <w:tabs>
          <w:tab w:pos="1370" w:val="left" w:leader="none"/>
        </w:tabs>
        <w:spacing w:line="446" w:lineRule="auto" w:before="0" w:after="0"/>
        <w:ind w:left="418" w:right="1604" w:firstLine="422"/>
        <w:jc w:val="left"/>
        <w:rPr>
          <w:sz w:val="21"/>
        </w:rPr>
      </w:pPr>
      <w:r>
        <w:rPr>
          <w:spacing w:val="-3"/>
          <w:sz w:val="21"/>
        </w:rPr>
        <w:t>控制中心建筑内的火灾自动报警系统应设置消防控制室。消防控制室宜与控制中心建筑的监控室合设，但应能对其所辖范围独立执行消防监控管理。</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938"/>
        </w:numPr>
        <w:tabs>
          <w:tab w:pos="1371" w:val="left" w:leader="none"/>
        </w:tabs>
        <w:spacing w:line="446" w:lineRule="auto" w:before="47" w:after="0"/>
        <w:ind w:left="418" w:right="1604" w:firstLine="422"/>
        <w:jc w:val="both"/>
        <w:rPr>
          <w:sz w:val="21"/>
        </w:rPr>
      </w:pPr>
      <w:r>
        <w:rPr>
          <w:spacing w:val="-3"/>
          <w:sz w:val="21"/>
        </w:rPr>
        <w:t>现场级火灾自动报警系统网络应独立设置，并应在总线回路中设置短路隔离器，回路中每只总线短路隔离器隔离的火灾探测器、手动火灾报警按钮和模块等消防设备的总数不宜</w:t>
      </w:r>
      <w:r>
        <w:rPr>
          <w:spacing w:val="-20"/>
          <w:sz w:val="21"/>
        </w:rPr>
        <w:t>大于 </w:t>
      </w:r>
      <w:r>
        <w:rPr>
          <w:sz w:val="21"/>
        </w:rPr>
        <w:t>32</w:t>
      </w:r>
      <w:r>
        <w:rPr>
          <w:spacing w:val="-20"/>
          <w:sz w:val="21"/>
        </w:rPr>
        <w:t> 个。</w:t>
      </w:r>
      <w:r>
        <w:rPr>
          <w:sz w:val="21"/>
        </w:rPr>
        <w:t> </w:t>
      </w:r>
    </w:p>
    <w:p>
      <w:pPr>
        <w:pStyle w:val="ListParagraph"/>
        <w:numPr>
          <w:ilvl w:val="2"/>
          <w:numId w:val="938"/>
        </w:numPr>
        <w:tabs>
          <w:tab w:pos="1371" w:val="left" w:leader="none"/>
        </w:tabs>
        <w:spacing w:line="446" w:lineRule="auto" w:before="0" w:after="0"/>
        <w:ind w:left="418" w:right="1604" w:firstLine="422"/>
        <w:jc w:val="left"/>
        <w:rPr>
          <w:sz w:val="21"/>
        </w:rPr>
      </w:pPr>
      <w:r>
        <w:rPr>
          <w:spacing w:val="-3"/>
          <w:sz w:val="21"/>
        </w:rPr>
        <w:t>设置在控制中心、车站、车辆基地的火灾报警控制器，应通过骨干信息传输网络连通。骨干信息传输网络宜采用独立的光纤网络或公共传输网络专用通道。</w:t>
      </w:r>
      <w:r>
        <w:rPr>
          <w:sz w:val="21"/>
        </w:rPr>
        <w:t> </w:t>
      </w:r>
    </w:p>
    <w:p>
      <w:pPr>
        <w:pStyle w:val="ListParagraph"/>
        <w:numPr>
          <w:ilvl w:val="1"/>
          <w:numId w:val="938"/>
        </w:numPr>
        <w:tabs>
          <w:tab w:pos="1160" w:val="left" w:leader="none"/>
        </w:tabs>
        <w:spacing w:line="267" w:lineRule="exact" w:before="0" w:after="0"/>
        <w:ind w:left="1159" w:right="0" w:hanging="320"/>
        <w:jc w:val="left"/>
        <w:rPr>
          <w:b/>
          <w:sz w:val="21"/>
        </w:rPr>
      </w:pPr>
      <w:r>
        <w:rPr>
          <w:spacing w:val="-3"/>
          <w:sz w:val="21"/>
        </w:rPr>
        <w:t>火灾探测器</w:t>
      </w:r>
      <w:r>
        <w:rPr>
          <w:b/>
          <w:w w:val="99"/>
          <w:sz w:val="21"/>
        </w:rPr>
        <w:t> </w:t>
      </w:r>
    </w:p>
    <w:p>
      <w:pPr>
        <w:pStyle w:val="BodyText"/>
        <w:spacing w:before="1"/>
        <w:rPr>
          <w:b/>
          <w:sz w:val="18"/>
        </w:rPr>
      </w:pPr>
    </w:p>
    <w:p>
      <w:pPr>
        <w:pStyle w:val="ListParagraph"/>
        <w:numPr>
          <w:ilvl w:val="2"/>
          <w:numId w:val="938"/>
        </w:numPr>
        <w:tabs>
          <w:tab w:pos="1370" w:val="left" w:leader="none"/>
        </w:tabs>
        <w:spacing w:line="240" w:lineRule="auto" w:before="0" w:after="0"/>
        <w:ind w:left="1369" w:right="0" w:hanging="530"/>
        <w:jc w:val="left"/>
        <w:rPr>
          <w:sz w:val="21"/>
        </w:rPr>
      </w:pPr>
      <w:r>
        <w:rPr>
          <w:spacing w:val="-3"/>
          <w:sz w:val="21"/>
        </w:rPr>
        <w:t>下列场所应设置火灾探测器，并宜选用感烟火灾探测器：</w:t>
      </w:r>
      <w:r>
        <w:rPr>
          <w:sz w:val="21"/>
        </w:rPr>
        <w:t> </w:t>
      </w:r>
    </w:p>
    <w:p>
      <w:pPr>
        <w:pStyle w:val="BodyText"/>
        <w:rPr>
          <w:sz w:val="18"/>
        </w:rPr>
      </w:pPr>
    </w:p>
    <w:p>
      <w:pPr>
        <w:pStyle w:val="BodyText"/>
        <w:ind w:left="838"/>
      </w:pPr>
      <w:r>
        <w:rPr/>
        <w:t>车站公共区； </w:t>
      </w:r>
    </w:p>
    <w:p>
      <w:pPr>
        <w:pStyle w:val="BodyText"/>
        <w:rPr>
          <w:sz w:val="18"/>
        </w:rPr>
      </w:pPr>
    </w:p>
    <w:p>
      <w:pPr>
        <w:pStyle w:val="BodyText"/>
        <w:ind w:left="838"/>
      </w:pPr>
      <w:r>
        <w:rPr/>
        <w:t>车站的设备管理区内的房间、电梯井道上部； </w:t>
      </w:r>
    </w:p>
    <w:p>
      <w:pPr>
        <w:pStyle w:val="BodyText"/>
        <w:spacing w:before="2"/>
        <w:rPr>
          <w:sz w:val="18"/>
        </w:rPr>
      </w:pPr>
    </w:p>
    <w:p>
      <w:pPr>
        <w:pStyle w:val="BodyText"/>
        <w:spacing w:line="446" w:lineRule="auto"/>
        <w:ind w:left="838" w:right="1505"/>
      </w:pPr>
      <w:r>
        <w:rPr>
          <w:spacing w:val="-6"/>
        </w:rPr>
        <w:t>地下车站设备管理区内长度大于 </w:t>
      </w:r>
      <w:r>
        <w:rPr/>
        <w:t>20m</w:t>
      </w:r>
      <w:r>
        <w:rPr>
          <w:spacing w:val="-12"/>
        </w:rPr>
        <w:t> 的走道、长度大于 </w:t>
      </w:r>
      <w:r>
        <w:rPr/>
        <w:t>60m</w:t>
      </w:r>
      <w:r>
        <w:rPr>
          <w:spacing w:val="-9"/>
        </w:rPr>
        <w:t> 的地下连通道和出入口通道； </w:t>
      </w:r>
      <w:r>
        <w:rPr>
          <w:spacing w:val="-3"/>
        </w:rPr>
        <w:t>主变电所的设备间；</w:t>
      </w:r>
      <w:r>
        <w:rPr/>
        <w:t> </w:t>
      </w:r>
    </w:p>
    <w:p>
      <w:pPr>
        <w:pStyle w:val="BodyText"/>
        <w:spacing w:line="446" w:lineRule="auto"/>
        <w:ind w:left="840" w:right="4026" w:hanging="3"/>
      </w:pPr>
      <w:r>
        <w:rPr/>
        <w:t>车辆基地的综合楼、信号楼、变电所和其他设备间、办公室。</w:t>
      </w:r>
      <w:r>
        <w:rPr>
          <w:b/>
        </w:rPr>
        <w:t>9.3.2 </w:t>
      </w:r>
      <w:r>
        <w:rPr/>
        <w:t>防火卷帘两侧应设置感烟火灾探测器。 </w:t>
      </w:r>
    </w:p>
    <w:p>
      <w:pPr>
        <w:pStyle w:val="ListParagraph"/>
        <w:numPr>
          <w:ilvl w:val="2"/>
          <w:numId w:val="939"/>
        </w:numPr>
        <w:tabs>
          <w:tab w:pos="1371" w:val="left" w:leader="none"/>
        </w:tabs>
        <w:spacing w:line="240" w:lineRule="auto" w:before="0" w:after="0"/>
        <w:ind w:left="1370" w:right="0" w:hanging="531"/>
        <w:jc w:val="left"/>
        <w:rPr>
          <w:sz w:val="21"/>
        </w:rPr>
      </w:pPr>
      <w:r>
        <w:rPr>
          <w:spacing w:val="-3"/>
          <w:sz w:val="21"/>
        </w:rPr>
        <w:t>茶水间应设置火灾探测器，并宜采用感温火灾探测器。</w:t>
      </w:r>
      <w:r>
        <w:rPr>
          <w:sz w:val="21"/>
        </w:rPr>
        <w:t> </w:t>
      </w:r>
    </w:p>
    <w:p>
      <w:pPr>
        <w:pStyle w:val="BodyText"/>
        <w:spacing w:before="10"/>
        <w:rPr>
          <w:sz w:val="17"/>
        </w:rPr>
      </w:pPr>
    </w:p>
    <w:p>
      <w:pPr>
        <w:pStyle w:val="ListParagraph"/>
        <w:numPr>
          <w:ilvl w:val="2"/>
          <w:numId w:val="939"/>
        </w:numPr>
        <w:tabs>
          <w:tab w:pos="1371" w:val="left" w:leader="none"/>
        </w:tabs>
        <w:spacing w:line="446" w:lineRule="auto" w:before="0" w:after="0"/>
        <w:ind w:left="418" w:right="1604" w:firstLine="422"/>
        <w:jc w:val="left"/>
        <w:rPr>
          <w:sz w:val="21"/>
        </w:rPr>
      </w:pPr>
      <w:r>
        <w:rPr>
          <w:spacing w:val="-3"/>
          <w:sz w:val="21"/>
        </w:rPr>
        <w:t>站台下的电缆通道、变电所电缆夹层的电缆桥架上应设置火灾探测器，并宜采用线型感温火灾探测器。</w:t>
      </w:r>
      <w:r>
        <w:rPr>
          <w:sz w:val="21"/>
        </w:rPr>
        <w:t> </w:t>
      </w:r>
    </w:p>
    <w:p>
      <w:pPr>
        <w:pStyle w:val="ListParagraph"/>
        <w:numPr>
          <w:ilvl w:val="2"/>
          <w:numId w:val="939"/>
        </w:numPr>
        <w:tabs>
          <w:tab w:pos="1371" w:val="left" w:leader="none"/>
        </w:tabs>
        <w:spacing w:line="446" w:lineRule="auto" w:before="0" w:after="0"/>
        <w:ind w:left="418" w:right="1604" w:firstLine="422"/>
        <w:jc w:val="both"/>
        <w:rPr>
          <w:sz w:val="21"/>
        </w:rPr>
      </w:pPr>
      <w:r>
        <w:rPr>
          <w:spacing w:val="-3"/>
          <w:sz w:val="21"/>
        </w:rPr>
        <w:t>车辆基地的停车库、列检库、停车列检库、运用库、联合检修库及物资库等库房应设置火灾探测器，其中的大空间场所宜采用吸气式空气采样探测器、红外光束感烟火灾探测器及可视烟雾图像探测器等。 </w:t>
      </w:r>
    </w:p>
    <w:p>
      <w:pPr>
        <w:pStyle w:val="ListParagraph"/>
        <w:numPr>
          <w:ilvl w:val="1"/>
          <w:numId w:val="938"/>
        </w:numPr>
        <w:tabs>
          <w:tab w:pos="1159" w:val="left" w:leader="none"/>
        </w:tabs>
        <w:spacing w:line="268" w:lineRule="exact" w:before="0" w:after="0"/>
        <w:ind w:left="1158" w:right="0" w:hanging="319"/>
        <w:jc w:val="left"/>
        <w:rPr>
          <w:sz w:val="21"/>
        </w:rPr>
      </w:pPr>
      <w:r>
        <w:rPr>
          <w:spacing w:val="-3"/>
          <w:sz w:val="21"/>
        </w:rPr>
        <w:t>报警及警报装置</w:t>
      </w:r>
      <w:r>
        <w:rPr>
          <w:sz w:val="21"/>
        </w:rPr>
        <w:t> </w:t>
      </w:r>
    </w:p>
    <w:p>
      <w:pPr>
        <w:pStyle w:val="BodyText"/>
        <w:spacing w:before="12"/>
        <w:rPr>
          <w:sz w:val="17"/>
        </w:rPr>
      </w:pPr>
    </w:p>
    <w:p>
      <w:pPr>
        <w:pStyle w:val="ListParagraph"/>
        <w:numPr>
          <w:ilvl w:val="2"/>
          <w:numId w:val="938"/>
        </w:numPr>
        <w:tabs>
          <w:tab w:pos="1370" w:val="left" w:leader="none"/>
        </w:tabs>
        <w:spacing w:line="240" w:lineRule="auto" w:before="0" w:after="0"/>
        <w:ind w:left="1369" w:right="0" w:hanging="530"/>
        <w:jc w:val="left"/>
        <w:rPr>
          <w:sz w:val="21"/>
        </w:rPr>
      </w:pPr>
      <w:r>
        <w:rPr>
          <w:spacing w:val="-3"/>
          <w:sz w:val="21"/>
        </w:rPr>
        <w:t>下列部位应设置带地址的手动报警按钮：</w:t>
      </w:r>
      <w:r>
        <w:rPr>
          <w:sz w:val="21"/>
        </w:rPr>
        <w:t> </w:t>
      </w:r>
    </w:p>
    <w:p>
      <w:pPr>
        <w:pStyle w:val="BodyText"/>
        <w:spacing w:before="2"/>
        <w:rPr>
          <w:sz w:val="18"/>
        </w:rPr>
      </w:pPr>
    </w:p>
    <w:p>
      <w:pPr>
        <w:pStyle w:val="BodyText"/>
        <w:spacing w:line="446" w:lineRule="auto"/>
        <w:ind w:left="838" w:right="3186"/>
      </w:pPr>
      <w:r>
        <w:rPr>
          <w:spacing w:val="-3"/>
        </w:rPr>
        <w:t>车站公共区、设备管理区、车辆基地内的设备区和办公区、主变电所； 地下区间纵向疏散平台的侧壁上；</w:t>
      </w:r>
      <w:r>
        <w:rPr/>
        <w:t> </w:t>
      </w:r>
    </w:p>
    <w:p>
      <w:pPr>
        <w:pStyle w:val="BodyText"/>
        <w:spacing w:line="267" w:lineRule="exact"/>
        <w:ind w:left="838"/>
      </w:pPr>
      <w:r>
        <w:rPr/>
        <w:t>其他长度大于 30m 的封闭疏散通道。 </w:t>
      </w:r>
    </w:p>
    <w:p>
      <w:pPr>
        <w:pStyle w:val="BodyText"/>
        <w:spacing w:before="2"/>
        <w:rPr>
          <w:sz w:val="18"/>
        </w:rPr>
      </w:pPr>
    </w:p>
    <w:p>
      <w:pPr>
        <w:pStyle w:val="ListParagraph"/>
        <w:numPr>
          <w:ilvl w:val="2"/>
          <w:numId w:val="938"/>
        </w:numPr>
        <w:tabs>
          <w:tab w:pos="1370" w:val="left" w:leader="none"/>
        </w:tabs>
        <w:spacing w:line="240" w:lineRule="auto" w:before="0" w:after="0"/>
        <w:ind w:left="1369" w:right="0" w:hanging="530"/>
        <w:jc w:val="left"/>
        <w:rPr>
          <w:sz w:val="21"/>
        </w:rPr>
      </w:pPr>
      <w:r>
        <w:rPr>
          <w:spacing w:val="-3"/>
          <w:sz w:val="21"/>
        </w:rPr>
        <w:t>车站内的消火栓箱旁应设置带地址的手动报警按钮。</w:t>
      </w:r>
      <w:r>
        <w:rPr>
          <w:sz w:val="21"/>
        </w:rPr>
        <w:t> </w:t>
      </w:r>
    </w:p>
    <w:p>
      <w:pPr>
        <w:pStyle w:val="BodyText"/>
        <w:rPr>
          <w:sz w:val="18"/>
        </w:rPr>
      </w:pPr>
    </w:p>
    <w:p>
      <w:pPr>
        <w:pStyle w:val="ListParagraph"/>
        <w:numPr>
          <w:ilvl w:val="2"/>
          <w:numId w:val="938"/>
        </w:numPr>
        <w:tabs>
          <w:tab w:pos="1370" w:val="left" w:leader="none"/>
        </w:tabs>
        <w:spacing w:line="240" w:lineRule="auto" w:before="0" w:after="0"/>
        <w:ind w:left="1369" w:right="0" w:hanging="530"/>
        <w:jc w:val="left"/>
        <w:rPr>
          <w:b/>
          <w:sz w:val="21"/>
        </w:rPr>
      </w:pPr>
      <w:r>
        <w:rPr>
          <w:spacing w:val="-3"/>
          <w:sz w:val="21"/>
        </w:rPr>
        <w:t>车站公共区和设备管理区内应设置火灾报警警铃。</w:t>
      </w:r>
      <w:r>
        <w:rPr>
          <w:b/>
          <w:w w:val="99"/>
          <w:sz w:val="21"/>
        </w:rPr>
        <w:t> </w:t>
      </w:r>
    </w:p>
    <w:p>
      <w:pPr>
        <w:pStyle w:val="BodyText"/>
        <w:spacing w:before="12"/>
        <w:rPr>
          <w:b/>
          <w:sz w:val="17"/>
        </w:rPr>
      </w:pPr>
    </w:p>
    <w:p>
      <w:pPr>
        <w:pStyle w:val="ListParagraph"/>
        <w:numPr>
          <w:ilvl w:val="2"/>
          <w:numId w:val="938"/>
        </w:numPr>
        <w:tabs>
          <w:tab w:pos="1370" w:val="left" w:leader="none"/>
        </w:tabs>
        <w:spacing w:line="240" w:lineRule="auto" w:before="0" w:after="0"/>
        <w:ind w:left="1369" w:right="0" w:hanging="530"/>
        <w:jc w:val="left"/>
        <w:rPr>
          <w:sz w:val="21"/>
        </w:rPr>
      </w:pPr>
      <w:r>
        <w:rPr>
          <w:spacing w:val="-3"/>
          <w:sz w:val="21"/>
        </w:rPr>
        <w:t>火灾报警警铃应设置在走道靠近楼梯出口处和经常有人工作的部位。 </w:t>
      </w:r>
    </w:p>
    <w:p>
      <w:pPr>
        <w:pStyle w:val="BodyText"/>
        <w:spacing w:before="2"/>
        <w:rPr>
          <w:sz w:val="18"/>
        </w:rPr>
      </w:pPr>
    </w:p>
    <w:p>
      <w:pPr>
        <w:pStyle w:val="ListParagraph"/>
        <w:numPr>
          <w:ilvl w:val="1"/>
          <w:numId w:val="938"/>
        </w:numPr>
        <w:tabs>
          <w:tab w:pos="1159" w:val="left" w:leader="none"/>
        </w:tabs>
        <w:spacing w:line="240" w:lineRule="auto" w:before="0" w:after="0"/>
        <w:ind w:left="1158" w:right="0" w:hanging="319"/>
        <w:jc w:val="left"/>
        <w:rPr>
          <w:b/>
          <w:sz w:val="21"/>
        </w:rPr>
      </w:pPr>
      <w:r>
        <w:rPr>
          <w:spacing w:val="-3"/>
          <w:sz w:val="21"/>
        </w:rPr>
        <w:t>消防联动控制</w:t>
      </w:r>
      <w:r>
        <w:rPr>
          <w:b/>
          <w:w w:val="99"/>
          <w:sz w:val="21"/>
        </w:rPr>
        <w:t> </w:t>
      </w:r>
    </w:p>
    <w:p>
      <w:pPr>
        <w:spacing w:after="0" w:line="240" w:lineRule="auto"/>
        <w:jc w:val="left"/>
        <w:rPr>
          <w:sz w:val="21"/>
        </w:rPr>
        <w:sectPr>
          <w:pgSz w:w="11910" w:h="16850"/>
          <w:pgMar w:header="0" w:footer="1239" w:top="1220" w:bottom="1420" w:left="1260" w:right="0"/>
        </w:sectPr>
      </w:pPr>
    </w:p>
    <w:p>
      <w:pPr>
        <w:pStyle w:val="ListParagraph"/>
        <w:numPr>
          <w:ilvl w:val="2"/>
          <w:numId w:val="938"/>
        </w:numPr>
        <w:tabs>
          <w:tab w:pos="1370" w:val="left" w:leader="none"/>
        </w:tabs>
        <w:spacing w:line="446" w:lineRule="auto" w:before="47" w:after="0"/>
        <w:ind w:left="418" w:right="1813" w:firstLine="422"/>
        <w:jc w:val="left"/>
        <w:rPr>
          <w:sz w:val="21"/>
        </w:rPr>
      </w:pPr>
      <w:r>
        <w:rPr>
          <w:spacing w:val="-3"/>
          <w:sz w:val="21"/>
        </w:rPr>
        <w:t>消防控制设备宜采用集中控制方式，其动作状态信号应能在消防控制室显示、记录。消防水泵、专用防烟和排烟风机的控制设备应具有自动控制和手动控制方式。</w:t>
      </w:r>
      <w:r>
        <w:rPr>
          <w:sz w:val="21"/>
        </w:rPr>
        <w:t> </w:t>
      </w:r>
    </w:p>
    <w:p>
      <w:pPr>
        <w:pStyle w:val="ListParagraph"/>
        <w:numPr>
          <w:ilvl w:val="2"/>
          <w:numId w:val="938"/>
        </w:numPr>
        <w:tabs>
          <w:tab w:pos="1371" w:val="left" w:leader="none"/>
        </w:tabs>
        <w:spacing w:line="267" w:lineRule="exact" w:before="0" w:after="0"/>
        <w:ind w:left="1370" w:right="0" w:hanging="531"/>
        <w:jc w:val="left"/>
        <w:rPr>
          <w:sz w:val="21"/>
        </w:rPr>
      </w:pPr>
      <w:r>
        <w:rPr>
          <w:spacing w:val="-3"/>
          <w:sz w:val="21"/>
        </w:rPr>
        <w:t>防烟和排烟系统的控制应能在火灾确认后实现下列功能：</w:t>
      </w:r>
      <w:r>
        <w:rPr>
          <w:sz w:val="21"/>
        </w:rPr>
        <w:t> </w:t>
      </w:r>
    </w:p>
    <w:p>
      <w:pPr>
        <w:pStyle w:val="BodyText"/>
        <w:spacing w:before="2"/>
        <w:rPr>
          <w:sz w:val="18"/>
        </w:rPr>
      </w:pPr>
    </w:p>
    <w:p>
      <w:pPr>
        <w:pStyle w:val="BodyText"/>
        <w:ind w:left="838"/>
      </w:pPr>
      <w:r>
        <w:rPr/>
        <w:t>控制防烟和排烟风机、排烟阀、防火阀，并接收其状态反馈信息； </w:t>
      </w:r>
    </w:p>
    <w:p>
      <w:pPr>
        <w:pStyle w:val="BodyText"/>
        <w:rPr>
          <w:sz w:val="18"/>
        </w:rPr>
      </w:pPr>
    </w:p>
    <w:p>
      <w:pPr>
        <w:pStyle w:val="BodyText"/>
        <w:spacing w:line="446" w:lineRule="auto"/>
        <w:ind w:left="418" w:right="1609" w:firstLine="419"/>
      </w:pPr>
      <w:r>
        <w:rPr/>
        <w:t>直接向环境与设备监控系统发出报警信息及模式指令，由环境与设备监控系统自动启动防烟和排烟与正常通风合用的设备转入火灾控制模式，并接收模式控制反馈信息； </w:t>
      </w:r>
    </w:p>
    <w:p>
      <w:pPr>
        <w:pStyle w:val="BodyText"/>
        <w:spacing w:line="446" w:lineRule="auto"/>
        <w:ind w:left="418" w:right="1609" w:firstLine="419"/>
        <w:jc w:val="both"/>
      </w:pPr>
      <w:r>
        <w:rPr/>
        <w:t>根据控制中心确定的地下区间乘客疏散方向，直接向环境与设备监控系统发出报警信息及模式指令，由环境与设备监控系统自动控制区间两端的事故风机及其风阀转入火灾控制模式， 并接收模式控制反馈信息。 </w:t>
      </w:r>
    </w:p>
    <w:p>
      <w:pPr>
        <w:pStyle w:val="ListParagraph"/>
        <w:numPr>
          <w:ilvl w:val="2"/>
          <w:numId w:val="938"/>
        </w:numPr>
        <w:tabs>
          <w:tab w:pos="1371" w:val="left" w:leader="none"/>
        </w:tabs>
        <w:spacing w:line="446" w:lineRule="auto" w:before="0" w:after="0"/>
        <w:ind w:left="418" w:right="1604" w:firstLine="422"/>
        <w:jc w:val="left"/>
        <w:rPr>
          <w:sz w:val="21"/>
        </w:rPr>
      </w:pPr>
      <w:r>
        <w:rPr>
          <w:spacing w:val="-3"/>
          <w:sz w:val="21"/>
        </w:rPr>
        <w:t>站台门的联动开启应由车站控制室值班人员确认后人工控制。自动检票机的联动控制应能联动控制自动检票机的释放，并应能接收自动检票机的状态反馈信息。 </w:t>
      </w:r>
    </w:p>
    <w:p>
      <w:pPr>
        <w:pStyle w:val="ListParagraph"/>
        <w:numPr>
          <w:ilvl w:val="2"/>
          <w:numId w:val="938"/>
        </w:numPr>
        <w:tabs>
          <w:tab w:pos="1370" w:val="left" w:leader="none"/>
        </w:tabs>
        <w:spacing w:line="267" w:lineRule="exact" w:before="0" w:after="0"/>
        <w:ind w:left="1369" w:right="0" w:hanging="530"/>
        <w:jc w:val="left"/>
        <w:rPr>
          <w:sz w:val="21"/>
        </w:rPr>
      </w:pPr>
      <w:r>
        <w:rPr>
          <w:spacing w:val="-3"/>
          <w:sz w:val="21"/>
        </w:rPr>
        <w:t>门禁的联动控制应符合下列规定：</w:t>
      </w:r>
      <w:r>
        <w:rPr>
          <w:sz w:val="21"/>
        </w:rPr>
        <w:t> </w:t>
      </w:r>
    </w:p>
    <w:p>
      <w:pPr>
        <w:pStyle w:val="BodyText"/>
        <w:spacing w:before="1"/>
        <w:rPr>
          <w:sz w:val="18"/>
        </w:rPr>
      </w:pPr>
    </w:p>
    <w:p>
      <w:pPr>
        <w:pStyle w:val="BodyText"/>
        <w:spacing w:line="446" w:lineRule="auto"/>
        <w:ind w:left="838" w:right="2554"/>
      </w:pPr>
      <w:r>
        <w:rPr>
          <w:spacing w:val="-3"/>
        </w:rPr>
        <w:t>火灾自动报警系统应能将火灾信息发送至门禁系统，由门禁系统控制门解禁； 门禁系统应能在车站控制室或消防控制室内手动控制；</w:t>
      </w:r>
      <w:r>
        <w:rPr/>
        <w:t> </w:t>
      </w:r>
    </w:p>
    <w:p>
      <w:pPr>
        <w:pStyle w:val="BodyText"/>
        <w:spacing w:line="267" w:lineRule="exact"/>
        <w:ind w:left="838"/>
      </w:pPr>
      <w:r>
        <w:rPr/>
        <w:t>当供电中断时，门禁系统应能自动解禁。 </w:t>
      </w:r>
    </w:p>
    <w:p>
      <w:pPr>
        <w:pStyle w:val="BodyText"/>
        <w:spacing w:before="1"/>
        <w:rPr>
          <w:sz w:val="18"/>
        </w:rPr>
      </w:pPr>
    </w:p>
    <w:p>
      <w:pPr>
        <w:pStyle w:val="ListParagraph"/>
        <w:numPr>
          <w:ilvl w:val="2"/>
          <w:numId w:val="938"/>
        </w:numPr>
        <w:tabs>
          <w:tab w:pos="1371" w:val="left" w:leader="none"/>
        </w:tabs>
        <w:spacing w:line="446" w:lineRule="auto" w:before="1" w:after="0"/>
        <w:ind w:left="418" w:right="1604" w:firstLine="422"/>
        <w:jc w:val="both"/>
        <w:rPr>
          <w:sz w:val="21"/>
        </w:rPr>
      </w:pPr>
      <w:r>
        <w:rPr>
          <w:spacing w:val="-3"/>
          <w:sz w:val="21"/>
        </w:rPr>
        <w:t>电梯应能在火灾时通过火灾自动报警系统或环境与设备监控系统联动控制返至疏散层，火灾自动报警系统或环境与设备监控系统应能接收电梯的状态反馈信息，不应直接控制站厅内自动扶梯的启停。</w:t>
      </w:r>
      <w:r>
        <w:rPr>
          <w:sz w:val="21"/>
        </w:rPr>
        <w:t> </w:t>
      </w:r>
    </w:p>
    <w:p>
      <w:pPr>
        <w:pStyle w:val="Heading4"/>
        <w:spacing w:line="276" w:lineRule="exact"/>
      </w:pPr>
      <w:r>
        <w:rPr/>
        <w:t>10 消防通信</w:t>
      </w:r>
      <w:r>
        <w:rPr>
          <w:w w:val="99"/>
        </w:rPr>
        <w:t> </w:t>
      </w:r>
    </w:p>
    <w:p>
      <w:pPr>
        <w:pStyle w:val="BodyText"/>
        <w:spacing w:before="4"/>
        <w:rPr>
          <w:b/>
          <w:sz w:val="17"/>
        </w:rPr>
      </w:pPr>
    </w:p>
    <w:p>
      <w:pPr>
        <w:pStyle w:val="ListParagraph"/>
        <w:numPr>
          <w:ilvl w:val="1"/>
          <w:numId w:val="940"/>
        </w:numPr>
        <w:tabs>
          <w:tab w:pos="1264" w:val="left" w:leader="none"/>
        </w:tabs>
        <w:spacing w:line="446" w:lineRule="auto" w:before="0" w:after="0"/>
        <w:ind w:left="418" w:right="1498" w:firstLine="422"/>
        <w:jc w:val="left"/>
        <w:rPr>
          <w:sz w:val="21"/>
        </w:rPr>
      </w:pPr>
      <w:r>
        <w:rPr>
          <w:spacing w:val="-3"/>
          <w:sz w:val="21"/>
        </w:rPr>
        <w:t>消防通信应包括消防专用电话、防灾调度电话、消防无线通信、视频监视及消防应急广播。</w:t>
      </w:r>
      <w:r>
        <w:rPr>
          <w:sz w:val="21"/>
        </w:rPr>
        <w:t> </w:t>
      </w:r>
    </w:p>
    <w:p>
      <w:pPr>
        <w:pStyle w:val="ListParagraph"/>
        <w:numPr>
          <w:ilvl w:val="1"/>
          <w:numId w:val="940"/>
        </w:numPr>
        <w:tabs>
          <w:tab w:pos="1266" w:val="left" w:leader="none"/>
        </w:tabs>
        <w:spacing w:line="240" w:lineRule="auto" w:before="0" w:after="0"/>
        <w:ind w:left="1265" w:right="0" w:hanging="426"/>
        <w:jc w:val="left"/>
        <w:rPr>
          <w:sz w:val="21"/>
        </w:rPr>
      </w:pPr>
      <w:r>
        <w:rPr>
          <w:spacing w:val="-3"/>
          <w:sz w:val="21"/>
        </w:rPr>
        <w:t>控制中心应具有全线消防救援、调度指挥和上一级防灾指挥中心联网的功能。 </w:t>
      </w:r>
    </w:p>
    <w:p>
      <w:pPr>
        <w:pStyle w:val="BodyText"/>
        <w:spacing w:before="12"/>
        <w:rPr>
          <w:sz w:val="17"/>
        </w:rPr>
      </w:pPr>
    </w:p>
    <w:p>
      <w:pPr>
        <w:pStyle w:val="ListParagraph"/>
        <w:numPr>
          <w:ilvl w:val="1"/>
          <w:numId w:val="940"/>
        </w:numPr>
        <w:tabs>
          <w:tab w:pos="1264" w:val="left" w:leader="none"/>
        </w:tabs>
        <w:spacing w:line="446" w:lineRule="auto" w:before="0" w:after="0"/>
        <w:ind w:left="418" w:right="1498" w:firstLine="422"/>
        <w:jc w:val="left"/>
        <w:rPr>
          <w:sz w:val="21"/>
        </w:rPr>
      </w:pPr>
      <w:r>
        <w:rPr>
          <w:spacing w:val="-7"/>
          <w:sz w:val="21"/>
        </w:rPr>
        <w:t>控制中心防灾调度应设置 </w:t>
      </w:r>
      <w:r>
        <w:rPr>
          <w:sz w:val="21"/>
        </w:rPr>
        <w:t>119</w:t>
      </w:r>
      <w:r>
        <w:rPr>
          <w:spacing w:val="-8"/>
          <w:sz w:val="21"/>
        </w:rPr>
        <w:t> 专用直拨电话、广播系统操作终端和视频监视系统独立</w:t>
      </w:r>
      <w:r>
        <w:rPr>
          <w:spacing w:val="-5"/>
          <w:sz w:val="21"/>
        </w:rPr>
        <w:t>的监视器及操作终端，车站和车辆基地的消防控制室或值班室等处应设置可直接报警的直拨电</w:t>
      </w:r>
      <w:r>
        <w:rPr>
          <w:spacing w:val="-4"/>
          <w:sz w:val="21"/>
        </w:rPr>
        <w:t>话。</w:t>
      </w:r>
      <w:r>
        <w:rPr>
          <w:sz w:val="21"/>
        </w:rPr>
        <w:t> </w:t>
      </w:r>
    </w:p>
    <w:p>
      <w:pPr>
        <w:pStyle w:val="ListParagraph"/>
        <w:numPr>
          <w:ilvl w:val="1"/>
          <w:numId w:val="940"/>
        </w:numPr>
        <w:tabs>
          <w:tab w:pos="1266" w:val="left" w:leader="none"/>
        </w:tabs>
        <w:spacing w:line="268" w:lineRule="exact" w:before="0" w:after="0"/>
        <w:ind w:left="1265" w:right="0" w:hanging="426"/>
        <w:jc w:val="left"/>
        <w:rPr>
          <w:sz w:val="21"/>
        </w:rPr>
      </w:pPr>
      <w:r>
        <w:rPr>
          <w:spacing w:val="-3"/>
          <w:sz w:val="21"/>
        </w:rPr>
        <w:t>地铁全线应设置独立的消防专用电话系统，其设置应符合下列规定： </w:t>
      </w:r>
    </w:p>
    <w:p>
      <w:pPr>
        <w:pStyle w:val="BodyText"/>
        <w:rPr>
          <w:sz w:val="18"/>
        </w:rPr>
      </w:pPr>
    </w:p>
    <w:p>
      <w:pPr>
        <w:pStyle w:val="BodyText"/>
        <w:spacing w:line="446" w:lineRule="auto"/>
        <w:ind w:left="418" w:right="1609" w:firstLine="419"/>
      </w:pPr>
      <w:r>
        <w:rPr/>
        <w:t>控制中心的消防值班室、车站控制室、车辆基地的消防控制（值班）室应设置消防专用电话总机； </w:t>
      </w:r>
    </w:p>
    <w:p>
      <w:pPr>
        <w:spacing w:after="0" w:line="446" w:lineRule="auto"/>
        <w:sectPr>
          <w:pgSz w:w="11910" w:h="16850"/>
          <w:pgMar w:header="0" w:footer="1239" w:top="1220" w:bottom="1420" w:left="1260" w:right="0"/>
        </w:sectPr>
      </w:pPr>
    </w:p>
    <w:p>
      <w:pPr>
        <w:pStyle w:val="BodyText"/>
        <w:spacing w:line="446" w:lineRule="auto" w:before="47"/>
        <w:ind w:left="418" w:right="1609" w:firstLine="419"/>
      </w:pPr>
      <w:r>
        <w:rPr/>
        <w:t>消防水泵房、变配电室、通风和排烟机房及其他与消防联动控制有关的机房、自动灭火系统手动操作装置及区域报警控制器或显示器处，应设置消防专用电话分机； </w:t>
      </w:r>
    </w:p>
    <w:p>
      <w:pPr>
        <w:pStyle w:val="BodyText"/>
        <w:spacing w:line="446" w:lineRule="auto"/>
        <w:ind w:left="418" w:right="1609" w:firstLine="419"/>
      </w:pPr>
      <w:r>
        <w:rPr/>
        <w:t>手动火灾报警按钮和消火栓按钮等的设置部位应设置电话插孔，电话插孔应按区域采用共线方式接入消防专用电话总机。 </w:t>
      </w:r>
    </w:p>
    <w:p>
      <w:pPr>
        <w:pStyle w:val="ListParagraph"/>
        <w:numPr>
          <w:ilvl w:val="1"/>
          <w:numId w:val="940"/>
        </w:numPr>
        <w:tabs>
          <w:tab w:pos="1266" w:val="left" w:leader="none"/>
        </w:tabs>
        <w:spacing w:line="240" w:lineRule="auto" w:before="0" w:after="0"/>
        <w:ind w:left="1265" w:right="0" w:hanging="426"/>
        <w:jc w:val="left"/>
        <w:rPr>
          <w:sz w:val="21"/>
        </w:rPr>
      </w:pPr>
      <w:r>
        <w:rPr>
          <w:spacing w:val="-3"/>
          <w:sz w:val="21"/>
        </w:rPr>
        <w:t>地铁全线应设置防灾调度电话系统和防灾无线通信系统，其设置应符合下列规定：</w:t>
      </w:r>
      <w:r>
        <w:rPr>
          <w:sz w:val="21"/>
        </w:rPr>
        <w:t> </w:t>
      </w:r>
    </w:p>
    <w:p>
      <w:pPr>
        <w:pStyle w:val="BodyText"/>
        <w:spacing w:before="10"/>
        <w:rPr>
          <w:sz w:val="17"/>
        </w:rPr>
      </w:pPr>
    </w:p>
    <w:p>
      <w:pPr>
        <w:pStyle w:val="BodyText"/>
        <w:ind w:left="838"/>
      </w:pPr>
      <w:r>
        <w:rPr/>
        <w:t>防灾调度电话、无线通信总机（台）应设置在控制中心防灾调度； </w:t>
      </w:r>
    </w:p>
    <w:p>
      <w:pPr>
        <w:pStyle w:val="BodyText"/>
        <w:spacing w:before="2"/>
        <w:rPr>
          <w:sz w:val="18"/>
        </w:rPr>
      </w:pPr>
    </w:p>
    <w:p>
      <w:pPr>
        <w:pStyle w:val="BodyText"/>
        <w:spacing w:line="446" w:lineRule="auto"/>
        <w:ind w:left="838" w:right="2554"/>
        <w:jc w:val="both"/>
      </w:pPr>
      <w:r>
        <w:rPr>
          <w:spacing w:val="-3"/>
        </w:rPr>
        <w:t>各车站、主变电所、车辆基地防灾值班室应设置防灾调度分机和无线手持台； 防灾无线通信系统应满足消防救援需要，且其无线信号应覆盖地铁全线范围。</w:t>
      </w:r>
      <w:r>
        <w:rPr>
          <w:b/>
          <w:spacing w:val="-3"/>
        </w:rPr>
        <w:t>10.6</w:t>
      </w:r>
      <w:r>
        <w:rPr>
          <w:b/>
          <w:spacing w:val="4"/>
        </w:rPr>
        <w:t> </w:t>
      </w:r>
      <w:r>
        <w:rPr>
          <w:spacing w:val="-3"/>
        </w:rPr>
        <w:t>地下线应设置消防无线引入系统，其设置应符合下列规定：</w:t>
      </w:r>
      <w:r>
        <w:rPr/>
        <w:t> </w:t>
      </w:r>
    </w:p>
    <w:p>
      <w:pPr>
        <w:pStyle w:val="BodyText"/>
        <w:spacing w:line="268" w:lineRule="exact"/>
        <w:ind w:left="838"/>
      </w:pPr>
      <w:r>
        <w:rPr/>
        <w:t>消防无线引入信号应覆盖地铁全线范围； </w:t>
      </w:r>
    </w:p>
    <w:p>
      <w:pPr>
        <w:pStyle w:val="BodyText"/>
        <w:rPr>
          <w:sz w:val="18"/>
        </w:rPr>
      </w:pPr>
    </w:p>
    <w:p>
      <w:pPr>
        <w:pStyle w:val="BodyText"/>
        <w:spacing w:line="446" w:lineRule="auto"/>
        <w:ind w:left="418" w:right="1609" w:firstLine="419"/>
      </w:pPr>
      <w:r>
        <w:rPr/>
        <w:t>消防无线引入系统的制式应与地面消防无线通信系统保持一致，并应符合当地消防部门的要求； </w:t>
      </w:r>
    </w:p>
    <w:p>
      <w:pPr>
        <w:pStyle w:val="BodyText"/>
        <w:ind w:left="838"/>
      </w:pPr>
      <w:r>
        <w:rPr/>
        <w:t>消防无线引入系统应至少提供 3 个信道，并应提供集中网管界面。 </w:t>
      </w:r>
    </w:p>
    <w:p>
      <w:pPr>
        <w:pStyle w:val="BodyText"/>
        <w:spacing w:before="12"/>
        <w:rPr>
          <w:sz w:val="17"/>
        </w:rPr>
      </w:pPr>
    </w:p>
    <w:p>
      <w:pPr>
        <w:pStyle w:val="ListParagraph"/>
        <w:numPr>
          <w:ilvl w:val="1"/>
          <w:numId w:val="941"/>
        </w:numPr>
        <w:tabs>
          <w:tab w:pos="1264" w:val="left" w:leader="none"/>
        </w:tabs>
        <w:spacing w:line="446" w:lineRule="auto" w:before="0" w:after="0"/>
        <w:ind w:left="418" w:right="1498" w:firstLine="422"/>
        <w:jc w:val="left"/>
        <w:rPr>
          <w:sz w:val="21"/>
        </w:rPr>
      </w:pPr>
      <w:r>
        <w:rPr>
          <w:spacing w:val="-3"/>
          <w:sz w:val="21"/>
        </w:rPr>
        <w:t>车站、主变电所、车辆基地应设置消防应急广播系统，并宜与运营广播合用。站厅、站台、通道等公共区和设备管理区用房应设置消防应急广播扬声器。</w:t>
      </w:r>
      <w:r>
        <w:rPr>
          <w:sz w:val="21"/>
        </w:rPr>
        <w:t> </w:t>
      </w:r>
    </w:p>
    <w:p>
      <w:pPr>
        <w:pStyle w:val="ListParagraph"/>
        <w:numPr>
          <w:ilvl w:val="1"/>
          <w:numId w:val="941"/>
        </w:numPr>
        <w:tabs>
          <w:tab w:pos="1266" w:val="left" w:leader="none"/>
        </w:tabs>
        <w:spacing w:line="240" w:lineRule="auto" w:before="0" w:after="0"/>
        <w:ind w:left="1265" w:right="0" w:hanging="426"/>
        <w:jc w:val="left"/>
        <w:rPr>
          <w:sz w:val="21"/>
        </w:rPr>
      </w:pPr>
      <w:r>
        <w:rPr>
          <w:spacing w:val="-3"/>
          <w:sz w:val="21"/>
        </w:rPr>
        <w:t>与运营广播合用的消防应急广播系统应符合下列规定：</w:t>
      </w:r>
      <w:r>
        <w:rPr>
          <w:sz w:val="21"/>
        </w:rPr>
        <w:t> </w:t>
      </w:r>
    </w:p>
    <w:p>
      <w:pPr>
        <w:pStyle w:val="BodyText"/>
        <w:rPr>
          <w:sz w:val="18"/>
        </w:rPr>
      </w:pPr>
    </w:p>
    <w:p>
      <w:pPr>
        <w:pStyle w:val="BodyText"/>
        <w:ind w:left="838"/>
      </w:pPr>
      <w:r>
        <w:rPr/>
        <w:t>广播系统应具有优先级处理，且消防应急广播应具有最高优先级； </w:t>
      </w:r>
    </w:p>
    <w:p>
      <w:pPr>
        <w:pStyle w:val="BodyText"/>
        <w:spacing w:before="12"/>
        <w:rPr>
          <w:sz w:val="17"/>
        </w:rPr>
      </w:pPr>
    </w:p>
    <w:p>
      <w:pPr>
        <w:pStyle w:val="BodyText"/>
        <w:spacing w:line="446" w:lineRule="auto"/>
        <w:ind w:left="418" w:right="1609" w:firstLine="419"/>
      </w:pPr>
      <w:r>
        <w:rPr/>
        <w:t>控制中心防灾调度台可对全线各车站进行遥控开关机、选站、选区广播或全线统一广播， 并应具有接收各车站工作状态的反馈信息和同步录音功能； </w:t>
      </w:r>
    </w:p>
    <w:p>
      <w:pPr>
        <w:pStyle w:val="BodyText"/>
        <w:spacing w:line="446" w:lineRule="auto" w:before="1"/>
        <w:ind w:left="418" w:right="1609" w:firstLine="419"/>
      </w:pPr>
      <w:r>
        <w:rPr/>
        <w:t>车站防灾值班员可同时对本车站或分区、分路进行广播，并应设置自动、手动和紧急三种广播模式； </w:t>
      </w:r>
    </w:p>
    <w:p>
      <w:pPr>
        <w:pStyle w:val="BodyText"/>
        <w:spacing w:line="446" w:lineRule="auto"/>
        <w:ind w:left="418" w:right="1714" w:firstLine="419"/>
      </w:pPr>
      <w:r>
        <w:rPr>
          <w:spacing w:val="-5"/>
        </w:rPr>
        <w:t>广播系统的功率放大器应每台对应一路负载，并应进行 </w:t>
      </w:r>
      <w:r>
        <w:rPr/>
        <w:t>n＋1</w:t>
      </w:r>
      <w:r>
        <w:rPr>
          <w:spacing w:val="-8"/>
        </w:rPr>
        <w:t> 配置，备机可自动或手动切</w:t>
      </w:r>
      <w:r>
        <w:rPr>
          <w:spacing w:val="-6"/>
        </w:rPr>
        <w:t>换。</w:t>
      </w:r>
      <w:r>
        <w:rPr/>
        <w:t> </w:t>
      </w:r>
    </w:p>
    <w:p>
      <w:pPr>
        <w:pStyle w:val="ListParagraph"/>
        <w:numPr>
          <w:ilvl w:val="1"/>
          <w:numId w:val="941"/>
        </w:numPr>
        <w:tabs>
          <w:tab w:pos="1266" w:val="left" w:leader="none"/>
        </w:tabs>
        <w:spacing w:line="267" w:lineRule="exact" w:before="0" w:after="0"/>
        <w:ind w:left="1265" w:right="0" w:hanging="426"/>
        <w:jc w:val="left"/>
        <w:rPr>
          <w:sz w:val="21"/>
        </w:rPr>
      </w:pPr>
      <w:r>
        <w:rPr>
          <w:spacing w:val="-3"/>
          <w:sz w:val="21"/>
        </w:rPr>
        <w:t>车辆客室应设置供乘客与司机或控制中心紧急对讲的装置，并应设置明显的告示牌。</w:t>
      </w:r>
      <w:r>
        <w:rPr>
          <w:sz w:val="21"/>
        </w:rPr>
        <w:t> </w:t>
      </w:r>
    </w:p>
    <w:p>
      <w:pPr>
        <w:pStyle w:val="BodyText"/>
        <w:spacing w:before="10"/>
        <w:rPr>
          <w:sz w:val="15"/>
        </w:rPr>
      </w:pPr>
    </w:p>
    <w:p>
      <w:pPr>
        <w:pStyle w:val="Heading4"/>
      </w:pPr>
      <w:r>
        <w:rPr/>
        <w:t>11 消防配电与应急照明</w:t>
      </w:r>
      <w:r>
        <w:rPr>
          <w:w w:val="99"/>
        </w:rPr>
        <w:t> </w:t>
      </w:r>
    </w:p>
    <w:p>
      <w:pPr>
        <w:pStyle w:val="BodyText"/>
        <w:spacing w:before="4"/>
        <w:rPr>
          <w:b/>
          <w:sz w:val="17"/>
        </w:rPr>
      </w:pPr>
    </w:p>
    <w:p>
      <w:pPr>
        <w:pStyle w:val="ListParagraph"/>
        <w:numPr>
          <w:ilvl w:val="1"/>
          <w:numId w:val="942"/>
        </w:numPr>
        <w:tabs>
          <w:tab w:pos="1264" w:val="left" w:leader="none"/>
        </w:tabs>
        <w:spacing w:line="240" w:lineRule="auto" w:before="0" w:after="0"/>
        <w:ind w:left="1263" w:right="0" w:hanging="424"/>
        <w:jc w:val="left"/>
        <w:rPr>
          <w:sz w:val="21"/>
        </w:rPr>
      </w:pPr>
      <w:r>
        <w:rPr>
          <w:spacing w:val="-3"/>
          <w:sz w:val="21"/>
        </w:rPr>
        <w:t>消防配电</w:t>
      </w:r>
      <w:r>
        <w:rPr>
          <w:sz w:val="21"/>
        </w:rPr>
        <w:t> </w:t>
      </w:r>
    </w:p>
    <w:p>
      <w:pPr>
        <w:pStyle w:val="BodyText"/>
        <w:spacing w:before="12"/>
        <w:rPr>
          <w:sz w:val="17"/>
        </w:rPr>
      </w:pPr>
    </w:p>
    <w:p>
      <w:pPr>
        <w:pStyle w:val="ListParagraph"/>
        <w:numPr>
          <w:ilvl w:val="2"/>
          <w:numId w:val="942"/>
        </w:numPr>
        <w:tabs>
          <w:tab w:pos="1478" w:val="left" w:leader="none"/>
        </w:tabs>
        <w:spacing w:line="446" w:lineRule="auto" w:before="1" w:after="0"/>
        <w:ind w:left="418" w:right="1495" w:firstLine="422"/>
        <w:jc w:val="left"/>
        <w:rPr>
          <w:sz w:val="21"/>
        </w:rPr>
      </w:pPr>
      <w:r>
        <w:rPr>
          <w:spacing w:val="-3"/>
          <w:sz w:val="21"/>
        </w:rPr>
        <w:t>地铁的消防用电负荷应为一级负荷。其中，火灾自动报警系统、环境与设备监控系统、变电所操作电源和地下车站及区间的应急照明用电负荷应为特别重要负荷。</w:t>
      </w:r>
      <w:r>
        <w:rPr>
          <w:sz w:val="21"/>
        </w:rPr>
        <w:t> </w:t>
      </w:r>
    </w:p>
    <w:p>
      <w:pPr>
        <w:spacing w:after="0" w:line="446" w:lineRule="auto"/>
        <w:jc w:val="left"/>
        <w:rPr>
          <w:sz w:val="21"/>
        </w:rPr>
        <w:sectPr>
          <w:pgSz w:w="11910" w:h="16850"/>
          <w:pgMar w:header="0" w:footer="1239" w:top="1220" w:bottom="1420" w:left="1260" w:right="0"/>
        </w:sectPr>
      </w:pPr>
    </w:p>
    <w:p>
      <w:pPr>
        <w:pStyle w:val="ListParagraph"/>
        <w:numPr>
          <w:ilvl w:val="2"/>
          <w:numId w:val="942"/>
        </w:numPr>
        <w:tabs>
          <w:tab w:pos="1478" w:val="left" w:leader="none"/>
        </w:tabs>
        <w:spacing w:line="446" w:lineRule="auto" w:before="47" w:after="0"/>
        <w:ind w:left="418" w:right="1498" w:firstLine="422"/>
        <w:jc w:val="left"/>
        <w:rPr>
          <w:sz w:val="21"/>
        </w:rPr>
      </w:pPr>
      <w:r>
        <w:rPr>
          <w:spacing w:val="-3"/>
          <w:sz w:val="21"/>
        </w:rPr>
        <w:t>火灾自动报警系统、环境与设备监控系统、消房泵及消防水管电保温设备、通信、信号、变电所操作电源、站台门、防火卷帘、活动挡烟垂壁、自动灭火系统、事故疏散兼用的自动扶梯、地下车站及区间的废水泵等应采用双重电源供电，并应在最末一级配电箱处进行自动切换。其中，火灾自动报警系统、环境与设备监控系统、变电所操作电源和地下车站及区间的应急照明电源应增设应急电源。</w:t>
      </w:r>
      <w:r>
        <w:rPr>
          <w:sz w:val="21"/>
        </w:rPr>
        <w:t> </w:t>
      </w:r>
    </w:p>
    <w:p>
      <w:pPr>
        <w:pStyle w:val="ListParagraph"/>
        <w:numPr>
          <w:ilvl w:val="2"/>
          <w:numId w:val="942"/>
        </w:numPr>
        <w:tabs>
          <w:tab w:pos="1478" w:val="left" w:leader="none"/>
        </w:tabs>
        <w:spacing w:line="446" w:lineRule="auto" w:before="0" w:after="0"/>
        <w:ind w:left="418" w:right="1496" w:firstLine="422"/>
        <w:jc w:val="left"/>
        <w:rPr>
          <w:sz w:val="21"/>
        </w:rPr>
      </w:pPr>
      <w:r>
        <w:rPr>
          <w:spacing w:val="-3"/>
          <w:sz w:val="21"/>
        </w:rPr>
        <w:t>车站内设置在同一侧</w:t>
      </w:r>
      <w:r>
        <w:rPr>
          <w:sz w:val="21"/>
        </w:rPr>
        <w:t>（</w:t>
      </w:r>
      <w:r>
        <w:rPr>
          <w:spacing w:val="-3"/>
          <w:sz w:val="21"/>
        </w:rPr>
        <w:t>端</w:t>
      </w:r>
      <w:r>
        <w:rPr>
          <w:sz w:val="21"/>
        </w:rPr>
        <w:t>）</w:t>
      </w:r>
      <w:r>
        <w:rPr>
          <w:spacing w:val="-3"/>
          <w:sz w:val="21"/>
        </w:rPr>
        <w:t>的火灾事故风机、防排烟风机及相关风阀等一级负荷， 其供电电源应由该侧</w:t>
      </w:r>
      <w:r>
        <w:rPr>
          <w:sz w:val="21"/>
        </w:rPr>
        <w:t>（</w:t>
      </w:r>
      <w:r>
        <w:rPr>
          <w:spacing w:val="-3"/>
          <w:sz w:val="21"/>
        </w:rPr>
        <w:t>端</w:t>
      </w:r>
      <w:r>
        <w:rPr>
          <w:sz w:val="21"/>
        </w:rPr>
        <w:t>）</w:t>
      </w:r>
      <w:r>
        <w:rPr>
          <w:spacing w:val="-3"/>
          <w:sz w:val="21"/>
        </w:rPr>
        <w:t>双重电源自切柜单回路放射式供电；当供电距离较长时，宜采用由变电所双重电源直接供电，并应在最末一级配电箱处自动切换。</w:t>
      </w:r>
      <w:r>
        <w:rPr>
          <w:sz w:val="21"/>
        </w:rPr>
        <w:t> </w:t>
      </w:r>
    </w:p>
    <w:p>
      <w:pPr>
        <w:pStyle w:val="ListParagraph"/>
        <w:numPr>
          <w:ilvl w:val="2"/>
          <w:numId w:val="942"/>
        </w:numPr>
        <w:tabs>
          <w:tab w:pos="1478" w:val="left" w:leader="none"/>
        </w:tabs>
        <w:spacing w:line="446" w:lineRule="auto" w:before="0" w:after="0"/>
        <w:ind w:left="418" w:right="1496" w:firstLine="422"/>
        <w:jc w:val="left"/>
        <w:rPr>
          <w:sz w:val="21"/>
        </w:rPr>
      </w:pPr>
      <w:r>
        <w:rPr>
          <w:spacing w:val="-3"/>
          <w:sz w:val="21"/>
        </w:rPr>
        <w:t>防火卷帘、活动挡烟垂壁、自动灭火系统等用电负荷较小的消防用电设备，宜就近共用双电源自切箱采用放射式供电。</w:t>
      </w:r>
      <w:r>
        <w:rPr>
          <w:sz w:val="21"/>
        </w:rPr>
        <w:t> </w:t>
      </w:r>
    </w:p>
    <w:p>
      <w:pPr>
        <w:pStyle w:val="ListParagraph"/>
        <w:numPr>
          <w:ilvl w:val="2"/>
          <w:numId w:val="942"/>
        </w:numPr>
        <w:tabs>
          <w:tab w:pos="1478" w:val="left" w:leader="none"/>
        </w:tabs>
        <w:spacing w:line="446" w:lineRule="auto" w:before="0" w:after="0"/>
        <w:ind w:left="418" w:right="1707" w:firstLine="422"/>
        <w:jc w:val="left"/>
        <w:rPr>
          <w:sz w:val="21"/>
        </w:rPr>
      </w:pPr>
      <w:r>
        <w:rPr>
          <w:spacing w:val="-3"/>
          <w:sz w:val="21"/>
        </w:rPr>
        <w:t>应急照明应由应急电源提供专用回路供电，并应按公共区与设备管理区分回路供电。备用照明和疏散照明不应由同一分支回路供电。 </w:t>
      </w:r>
    </w:p>
    <w:p>
      <w:pPr>
        <w:pStyle w:val="ListParagraph"/>
        <w:numPr>
          <w:ilvl w:val="2"/>
          <w:numId w:val="942"/>
        </w:numPr>
        <w:tabs>
          <w:tab w:pos="1478" w:val="left" w:leader="none"/>
        </w:tabs>
        <w:spacing w:line="446" w:lineRule="auto" w:before="0" w:after="0"/>
        <w:ind w:left="418" w:right="1498" w:firstLine="422"/>
        <w:jc w:val="left"/>
        <w:rPr>
          <w:sz w:val="21"/>
        </w:rPr>
      </w:pPr>
      <w:r>
        <w:rPr>
          <w:spacing w:val="-3"/>
          <w:sz w:val="21"/>
        </w:rPr>
        <w:t>消防用电设备作用于火灾时的控制回路，不得设置作用于跳闸的过载保护或采用变频调速器作为控制装置。</w:t>
      </w:r>
      <w:r>
        <w:rPr>
          <w:sz w:val="21"/>
        </w:rPr>
        <w:t> </w:t>
      </w:r>
    </w:p>
    <w:p>
      <w:pPr>
        <w:pStyle w:val="ListParagraph"/>
        <w:numPr>
          <w:ilvl w:val="1"/>
          <w:numId w:val="942"/>
        </w:numPr>
        <w:tabs>
          <w:tab w:pos="1264" w:val="left" w:leader="none"/>
        </w:tabs>
        <w:spacing w:line="267" w:lineRule="exact" w:before="0" w:after="0"/>
        <w:ind w:left="1263" w:right="0" w:hanging="424"/>
        <w:jc w:val="left"/>
        <w:rPr>
          <w:sz w:val="21"/>
        </w:rPr>
      </w:pPr>
      <w:r>
        <w:rPr>
          <w:spacing w:val="-3"/>
          <w:sz w:val="21"/>
        </w:rPr>
        <w:t>应急照明</w:t>
      </w:r>
      <w:r>
        <w:rPr>
          <w:sz w:val="21"/>
        </w:rPr>
        <w:t> </w:t>
      </w:r>
    </w:p>
    <w:p>
      <w:pPr>
        <w:pStyle w:val="BodyText"/>
        <w:spacing w:before="10"/>
        <w:rPr>
          <w:sz w:val="17"/>
        </w:rPr>
      </w:pPr>
    </w:p>
    <w:p>
      <w:pPr>
        <w:pStyle w:val="ListParagraph"/>
        <w:numPr>
          <w:ilvl w:val="2"/>
          <w:numId w:val="942"/>
        </w:numPr>
        <w:tabs>
          <w:tab w:pos="1478" w:val="left" w:leader="none"/>
        </w:tabs>
        <w:spacing w:line="446" w:lineRule="auto" w:before="1" w:after="0"/>
        <w:ind w:left="418" w:right="1498" w:firstLine="422"/>
        <w:jc w:val="left"/>
        <w:rPr>
          <w:sz w:val="21"/>
        </w:rPr>
      </w:pPr>
      <w:r>
        <w:rPr>
          <w:spacing w:val="-3"/>
          <w:sz w:val="21"/>
        </w:rPr>
        <w:t>变电所、配电室、环控电控室、通信机房、信号机房、消防水泵房、事故风机房、防排烟机房、车站控制室、站长室以及火灾时仍需坚持工作的其他房间，应设置备用照明。</w:t>
      </w:r>
      <w:r>
        <w:rPr>
          <w:sz w:val="21"/>
        </w:rPr>
        <w:t> </w:t>
      </w:r>
    </w:p>
    <w:p>
      <w:pPr>
        <w:pStyle w:val="ListParagraph"/>
        <w:numPr>
          <w:ilvl w:val="2"/>
          <w:numId w:val="942"/>
        </w:numPr>
        <w:tabs>
          <w:tab w:pos="1478" w:val="left" w:leader="none"/>
        </w:tabs>
        <w:spacing w:line="446" w:lineRule="auto" w:before="0" w:after="0"/>
        <w:ind w:left="418" w:right="1498" w:firstLine="422"/>
        <w:jc w:val="left"/>
        <w:rPr>
          <w:sz w:val="21"/>
        </w:rPr>
      </w:pPr>
      <w:r>
        <w:rPr>
          <w:spacing w:val="-3"/>
          <w:sz w:val="21"/>
        </w:rPr>
        <w:t>车站公共区、楼梯或扶梯处、疏散通道、避难走道</w:t>
      </w:r>
      <w:r>
        <w:rPr>
          <w:sz w:val="21"/>
        </w:rPr>
        <w:t>（</w:t>
      </w:r>
      <w:r>
        <w:rPr>
          <w:spacing w:val="-3"/>
          <w:sz w:val="21"/>
        </w:rPr>
        <w:t>含前室</w:t>
      </w:r>
      <w:r>
        <w:rPr>
          <w:sz w:val="21"/>
        </w:rPr>
        <w:t>）</w:t>
      </w:r>
      <w:r>
        <w:rPr>
          <w:spacing w:val="-3"/>
          <w:sz w:val="21"/>
        </w:rPr>
        <w:t>、安全出口、长度大</w:t>
      </w:r>
      <w:r>
        <w:rPr>
          <w:spacing w:val="-26"/>
          <w:sz w:val="21"/>
        </w:rPr>
        <w:t>于 </w:t>
      </w:r>
      <w:r>
        <w:rPr>
          <w:sz w:val="21"/>
        </w:rPr>
        <w:t>20m</w:t>
      </w:r>
      <w:r>
        <w:rPr>
          <w:spacing w:val="-8"/>
          <w:sz w:val="21"/>
        </w:rPr>
        <w:t> 的内走道、消防楼梯间、防烟楼梯间</w:t>
      </w:r>
      <w:r>
        <w:rPr>
          <w:spacing w:val="-3"/>
          <w:sz w:val="21"/>
        </w:rPr>
        <w:t>（</w:t>
      </w:r>
      <w:r>
        <w:rPr>
          <w:spacing w:val="-2"/>
          <w:sz w:val="21"/>
        </w:rPr>
        <w:t>含前室</w:t>
      </w:r>
      <w:r>
        <w:rPr>
          <w:sz w:val="21"/>
        </w:rPr>
        <w:t>）</w:t>
      </w:r>
      <w:r>
        <w:rPr>
          <w:spacing w:val="-3"/>
          <w:sz w:val="21"/>
        </w:rPr>
        <w:t>、地下区间、联络通道应设置疏散照</w:t>
      </w:r>
    </w:p>
    <w:p>
      <w:pPr>
        <w:pStyle w:val="BodyText"/>
        <w:ind w:left="418"/>
      </w:pPr>
      <w:r>
        <w:rPr/>
        <w:t>明。 </w:t>
      </w:r>
    </w:p>
    <w:p>
      <w:pPr>
        <w:pStyle w:val="BodyText"/>
        <w:spacing w:before="10"/>
        <w:rPr>
          <w:sz w:val="17"/>
        </w:rPr>
      </w:pPr>
    </w:p>
    <w:p>
      <w:pPr>
        <w:pStyle w:val="ListParagraph"/>
        <w:numPr>
          <w:ilvl w:val="2"/>
          <w:numId w:val="942"/>
        </w:numPr>
        <w:tabs>
          <w:tab w:pos="1478" w:val="left" w:leader="none"/>
        </w:tabs>
        <w:spacing w:line="240" w:lineRule="auto" w:before="0" w:after="0"/>
        <w:ind w:left="1477" w:right="0" w:hanging="638"/>
        <w:jc w:val="left"/>
        <w:rPr>
          <w:sz w:val="21"/>
        </w:rPr>
      </w:pPr>
      <w:r>
        <w:rPr>
          <w:spacing w:val="-3"/>
          <w:sz w:val="21"/>
        </w:rPr>
        <w:t>应急照明灯具宜设置在墙面或顶棚处。</w:t>
      </w:r>
      <w:r>
        <w:rPr>
          <w:sz w:val="21"/>
        </w:rPr>
        <w:t> </w:t>
      </w:r>
    </w:p>
    <w:p>
      <w:pPr>
        <w:pStyle w:val="BodyText"/>
        <w:spacing w:before="2"/>
        <w:rPr>
          <w:sz w:val="18"/>
        </w:rPr>
      </w:pPr>
    </w:p>
    <w:p>
      <w:pPr>
        <w:pStyle w:val="ListParagraph"/>
        <w:numPr>
          <w:ilvl w:val="2"/>
          <w:numId w:val="942"/>
        </w:numPr>
        <w:tabs>
          <w:tab w:pos="1478" w:val="left" w:leader="none"/>
        </w:tabs>
        <w:spacing w:line="240" w:lineRule="auto" w:before="0" w:after="0"/>
        <w:ind w:left="1477" w:right="0" w:hanging="638"/>
        <w:jc w:val="left"/>
        <w:rPr>
          <w:sz w:val="21"/>
        </w:rPr>
      </w:pPr>
      <w:r>
        <w:rPr>
          <w:spacing w:val="-3"/>
          <w:sz w:val="21"/>
        </w:rPr>
        <w:t>应急照明的照度应符合下列规定：</w:t>
      </w:r>
      <w:r>
        <w:rPr>
          <w:sz w:val="21"/>
        </w:rPr>
        <w:t> </w:t>
      </w:r>
    </w:p>
    <w:p>
      <w:pPr>
        <w:pStyle w:val="BodyText"/>
        <w:spacing w:before="12"/>
        <w:rPr>
          <w:sz w:val="17"/>
        </w:rPr>
      </w:pPr>
    </w:p>
    <w:p>
      <w:pPr>
        <w:pStyle w:val="BodyText"/>
        <w:spacing w:line="446" w:lineRule="auto"/>
        <w:ind w:left="418" w:right="1391" w:firstLine="419"/>
      </w:pPr>
      <w:r>
        <w:rPr/>
        <w:t>车站疏散照明的地面最低水平照度不应小于 3.0lx，楼梯或扶梯、疏散通道转角处的照度不应低于 5.0lx； </w:t>
      </w:r>
    </w:p>
    <w:p>
      <w:pPr>
        <w:pStyle w:val="BodyText"/>
        <w:ind w:left="838"/>
      </w:pPr>
      <w:r>
        <w:rPr/>
        <w:t>地下区间道床面疏散照明的最低水平照度不应小于 3.0lx； </w:t>
      </w:r>
    </w:p>
    <w:p>
      <w:pPr>
        <w:pStyle w:val="BodyText"/>
        <w:rPr>
          <w:sz w:val="18"/>
        </w:rPr>
      </w:pPr>
    </w:p>
    <w:p>
      <w:pPr>
        <w:pStyle w:val="BodyText"/>
        <w:spacing w:line="446" w:lineRule="auto"/>
        <w:ind w:left="418" w:right="1609" w:firstLine="419"/>
      </w:pPr>
      <w:r>
        <w:rPr/>
        <w:t>变电所、配电室、环控电控室、通信机房、信号机房、消防水泵房、车站控制室、站长室等应急指挥和应急设备设置场所的备用照明，其照度不应低于正常照明照度的 50％； </w:t>
      </w:r>
    </w:p>
    <w:p>
      <w:pPr>
        <w:pStyle w:val="BodyText"/>
        <w:ind w:left="838"/>
      </w:pPr>
      <w:r>
        <w:rPr/>
        <w:t>其他场所的备用照明，其照度不应低于正常照明照度的 10％。 </w:t>
      </w:r>
    </w:p>
    <w:p>
      <w:pPr>
        <w:spacing w:after="0"/>
        <w:sectPr>
          <w:pgSz w:w="11910" w:h="16850"/>
          <w:pgMar w:header="0" w:footer="1239" w:top="1220" w:bottom="1420" w:left="1260" w:right="0"/>
        </w:sectPr>
      </w:pPr>
    </w:p>
    <w:p>
      <w:pPr>
        <w:pStyle w:val="ListParagraph"/>
        <w:numPr>
          <w:ilvl w:val="2"/>
          <w:numId w:val="942"/>
        </w:numPr>
        <w:tabs>
          <w:tab w:pos="1478" w:val="left" w:leader="none"/>
        </w:tabs>
        <w:spacing w:line="446" w:lineRule="auto" w:before="47" w:after="0"/>
        <w:ind w:left="418" w:right="1551" w:firstLine="422"/>
        <w:jc w:val="left"/>
        <w:rPr>
          <w:sz w:val="21"/>
        </w:rPr>
      </w:pPr>
      <w:r>
        <w:rPr>
          <w:spacing w:val="-5"/>
          <w:sz w:val="21"/>
        </w:rPr>
        <w:t>地下车站及区间应急照明的持续供电时间不应小于 </w:t>
      </w:r>
      <w:r>
        <w:rPr>
          <w:sz w:val="21"/>
        </w:rPr>
        <w:t>60min</w:t>
      </w:r>
      <w:r>
        <w:rPr>
          <w:spacing w:val="-3"/>
          <w:sz w:val="21"/>
        </w:rPr>
        <w:t>，由正常照明转换为应急</w:t>
      </w:r>
      <w:r>
        <w:rPr>
          <w:spacing w:val="-8"/>
          <w:sz w:val="21"/>
        </w:rPr>
        <w:t>照明的切换时间不应大于 </w:t>
      </w:r>
      <w:r>
        <w:rPr>
          <w:sz w:val="21"/>
        </w:rPr>
        <w:t>5s</w:t>
      </w:r>
      <w:r>
        <w:rPr>
          <w:spacing w:val="-3"/>
          <w:sz w:val="21"/>
        </w:rPr>
        <w:t>。</w:t>
      </w:r>
      <w:r>
        <w:rPr>
          <w:sz w:val="21"/>
        </w:rPr>
        <w:t> </w:t>
      </w:r>
    </w:p>
    <w:p>
      <w:pPr>
        <w:pStyle w:val="ListParagraph"/>
        <w:numPr>
          <w:ilvl w:val="1"/>
          <w:numId w:val="942"/>
        </w:numPr>
        <w:tabs>
          <w:tab w:pos="1264" w:val="left" w:leader="none"/>
        </w:tabs>
        <w:spacing w:line="267" w:lineRule="exact" w:before="0" w:after="0"/>
        <w:ind w:left="1263" w:right="0" w:hanging="424"/>
        <w:jc w:val="left"/>
        <w:rPr>
          <w:b/>
          <w:sz w:val="21"/>
        </w:rPr>
      </w:pPr>
      <w:r>
        <w:rPr>
          <w:spacing w:val="-3"/>
          <w:sz w:val="21"/>
        </w:rPr>
        <w:t>电线电缆的选择、敷设</w:t>
      </w:r>
      <w:r>
        <w:rPr>
          <w:b/>
          <w:spacing w:val="-3"/>
          <w:w w:val="99"/>
          <w:sz w:val="21"/>
        </w:rPr>
        <w:t> </w:t>
      </w:r>
    </w:p>
    <w:p>
      <w:pPr>
        <w:pStyle w:val="BodyText"/>
        <w:spacing w:before="2"/>
        <w:rPr>
          <w:b/>
          <w:sz w:val="18"/>
        </w:rPr>
      </w:pPr>
    </w:p>
    <w:p>
      <w:pPr>
        <w:pStyle w:val="ListParagraph"/>
        <w:numPr>
          <w:ilvl w:val="2"/>
          <w:numId w:val="942"/>
        </w:numPr>
        <w:tabs>
          <w:tab w:pos="1478" w:val="left" w:leader="none"/>
        </w:tabs>
        <w:spacing w:line="446" w:lineRule="auto" w:before="0" w:after="0"/>
        <w:ind w:left="418" w:right="1498" w:firstLine="422"/>
        <w:jc w:val="left"/>
        <w:rPr>
          <w:sz w:val="21"/>
        </w:rPr>
      </w:pPr>
      <w:r>
        <w:rPr>
          <w:spacing w:val="-3"/>
          <w:sz w:val="21"/>
        </w:rPr>
        <w:t>消防用电设备的电线电缆选择和敷设应满足火灾时连续供电的需要，所有电线电缆均应为铜芯。</w:t>
      </w:r>
      <w:r>
        <w:rPr>
          <w:sz w:val="21"/>
        </w:rPr>
        <w:t> </w:t>
      </w:r>
    </w:p>
    <w:p>
      <w:pPr>
        <w:pStyle w:val="ListParagraph"/>
        <w:numPr>
          <w:ilvl w:val="2"/>
          <w:numId w:val="942"/>
        </w:numPr>
        <w:tabs>
          <w:tab w:pos="1478" w:val="left" w:leader="none"/>
        </w:tabs>
        <w:spacing w:line="446" w:lineRule="auto" w:before="0" w:after="0"/>
        <w:ind w:left="418" w:right="1498" w:firstLine="422"/>
        <w:jc w:val="left"/>
        <w:rPr>
          <w:sz w:val="21"/>
        </w:rPr>
      </w:pPr>
      <w:r>
        <w:rPr>
          <w:spacing w:val="-3"/>
          <w:sz w:val="21"/>
        </w:rPr>
        <w:t>地下线路敷设的电线电缆应采用低烟无卤阻燃电线电缆，地上线路敷设的电线电缆宜采用低烟无卤阻燃电线电缆。</w:t>
      </w:r>
      <w:r>
        <w:rPr>
          <w:sz w:val="21"/>
        </w:rPr>
        <w:t> </w:t>
      </w:r>
    </w:p>
    <w:p>
      <w:pPr>
        <w:pStyle w:val="ListParagraph"/>
        <w:numPr>
          <w:ilvl w:val="2"/>
          <w:numId w:val="942"/>
        </w:numPr>
        <w:tabs>
          <w:tab w:pos="1478" w:val="left" w:leader="none"/>
        </w:tabs>
        <w:spacing w:line="240" w:lineRule="auto" w:before="0" w:after="0"/>
        <w:ind w:left="1477" w:right="0" w:hanging="638"/>
        <w:jc w:val="left"/>
        <w:rPr>
          <w:sz w:val="21"/>
        </w:rPr>
      </w:pPr>
      <w:r>
        <w:rPr>
          <w:spacing w:val="-3"/>
          <w:sz w:val="21"/>
        </w:rPr>
        <w:t>中压电缆宜采用耐火电缆。</w:t>
      </w:r>
      <w:r>
        <w:rPr>
          <w:sz w:val="21"/>
        </w:rPr>
        <w:t> </w:t>
      </w:r>
    </w:p>
    <w:p>
      <w:pPr>
        <w:pStyle w:val="BodyText"/>
        <w:spacing w:before="10"/>
        <w:rPr>
          <w:sz w:val="17"/>
        </w:rPr>
      </w:pPr>
    </w:p>
    <w:p>
      <w:pPr>
        <w:pStyle w:val="ListParagraph"/>
        <w:numPr>
          <w:ilvl w:val="2"/>
          <w:numId w:val="942"/>
        </w:numPr>
        <w:tabs>
          <w:tab w:pos="1478" w:val="left" w:leader="none"/>
        </w:tabs>
        <w:spacing w:line="446" w:lineRule="auto" w:before="1" w:after="0"/>
        <w:ind w:left="418" w:right="1496" w:firstLine="422"/>
        <w:jc w:val="left"/>
        <w:rPr>
          <w:sz w:val="21"/>
        </w:rPr>
      </w:pPr>
      <w:r>
        <w:rPr>
          <w:spacing w:val="-3"/>
          <w:sz w:val="21"/>
        </w:rPr>
        <w:t>消防用电设备的配电线路应采用耐火电线电缆，由变电所引至重要消防用电设备的电源主干线及分支干线，宜采用矿物绝缘类不燃性电缆。</w:t>
      </w:r>
      <w:r>
        <w:rPr>
          <w:sz w:val="21"/>
        </w:rPr>
        <w:t> </w:t>
      </w:r>
    </w:p>
    <w:p>
      <w:pPr>
        <w:pStyle w:val="ListParagraph"/>
        <w:numPr>
          <w:ilvl w:val="2"/>
          <w:numId w:val="942"/>
        </w:numPr>
        <w:tabs>
          <w:tab w:pos="1478" w:val="left" w:leader="none"/>
        </w:tabs>
        <w:spacing w:line="446" w:lineRule="auto" w:before="0" w:after="0"/>
        <w:ind w:left="418" w:right="1498" w:firstLine="422"/>
        <w:jc w:val="left"/>
        <w:rPr>
          <w:sz w:val="21"/>
        </w:rPr>
      </w:pPr>
      <w:r>
        <w:rPr>
          <w:spacing w:val="-5"/>
          <w:sz w:val="21"/>
        </w:rPr>
        <w:t>当电缆成束敷设时，应采用阻燃电缆，且电缆的阻燃级别不应低于 </w:t>
      </w:r>
      <w:r>
        <w:rPr>
          <w:sz w:val="21"/>
        </w:rPr>
        <w:t>B</w:t>
      </w:r>
      <w:r>
        <w:rPr>
          <w:spacing w:val="-9"/>
          <w:sz w:val="21"/>
        </w:rPr>
        <w:t> 级，敷设在同</w:t>
      </w:r>
      <w:r>
        <w:rPr>
          <w:spacing w:val="-5"/>
          <w:sz w:val="21"/>
        </w:rPr>
        <w:t>一建筑内的电缆的阻燃级别宜相同。</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pStyle w:val="BodyText"/>
        <w:spacing w:before="71"/>
        <w:ind w:left="3298"/>
      </w:pPr>
      <w:r>
        <w:rPr>
          <w:w w:val="100"/>
        </w:rPr>
        <w:t> </w:t>
      </w:r>
    </w:p>
    <w:p>
      <w:pPr>
        <w:spacing w:after="0"/>
        <w:sectPr>
          <w:pgSz w:w="11910" w:h="16850"/>
          <w:pgMar w:header="0" w:footer="1239" w:top="1220" w:bottom="1420" w:left="1260" w:right="0"/>
        </w:sectPr>
      </w:pPr>
    </w:p>
    <w:p>
      <w:pPr>
        <w:pStyle w:val="Heading2"/>
        <w:spacing w:before="157"/>
        <w:ind w:right="798"/>
        <w:rPr>
          <w:sz w:val="44"/>
        </w:rPr>
      </w:pPr>
      <w:bookmarkStart w:name="_bookmark36" w:id="37"/>
      <w:bookmarkEnd w:id="37"/>
      <w:r>
        <w:rPr>
          <w:b w:val="0"/>
        </w:rPr>
      </w:r>
      <w:r>
        <w:rPr/>
        <w:t>消防通信指挥系统设计规范</w:t>
      </w:r>
      <w:r>
        <w:rPr>
          <w:w w:val="99"/>
          <w:sz w:val="44"/>
        </w:rPr>
        <w:t> </w:t>
      </w:r>
    </w:p>
    <w:p>
      <w:pPr>
        <w:pStyle w:val="BodyText"/>
        <w:rPr>
          <w:b/>
          <w:sz w:val="20"/>
        </w:rPr>
      </w:pPr>
    </w:p>
    <w:p>
      <w:pPr>
        <w:pStyle w:val="BodyText"/>
        <w:spacing w:before="5"/>
        <w:rPr>
          <w:b/>
          <w:sz w:val="14"/>
        </w:rPr>
      </w:pPr>
    </w:p>
    <w:p>
      <w:pPr>
        <w:pStyle w:val="Heading4"/>
        <w:spacing w:before="66"/>
      </w:pPr>
      <w:r>
        <w:rPr/>
        <w:t>1 总则</w:t>
      </w:r>
      <w:r>
        <w:rPr>
          <w:w w:val="99"/>
        </w:rPr>
        <w:t> </w:t>
      </w:r>
    </w:p>
    <w:p>
      <w:pPr>
        <w:pStyle w:val="BodyText"/>
        <w:spacing w:before="4"/>
        <w:rPr>
          <w:b/>
          <w:sz w:val="17"/>
        </w:rPr>
      </w:pPr>
    </w:p>
    <w:p>
      <w:pPr>
        <w:pStyle w:val="ListParagraph"/>
        <w:numPr>
          <w:ilvl w:val="1"/>
          <w:numId w:val="943"/>
        </w:numPr>
        <w:tabs>
          <w:tab w:pos="1160" w:val="left" w:leader="none"/>
        </w:tabs>
        <w:spacing w:line="446" w:lineRule="auto" w:before="0" w:after="0"/>
        <w:ind w:left="418" w:right="1431" w:firstLine="422"/>
        <w:jc w:val="both"/>
        <w:rPr>
          <w:sz w:val="21"/>
        </w:rPr>
      </w:pPr>
      <w:r>
        <w:rPr>
          <w:spacing w:val="-6"/>
          <w:sz w:val="21"/>
        </w:rPr>
        <w:t>为了规范消防通信指挥系统设计，构建完整的消防通信指挥技术支撑体系，提高消防部</w:t>
      </w:r>
      <w:r>
        <w:rPr>
          <w:spacing w:val="-8"/>
          <w:sz w:val="21"/>
        </w:rPr>
        <w:t>队灭火救援能力，满足各级消防责任辖区和跨区域作战指挥通信需要，保护公民生命、财产和社</w:t>
      </w:r>
      <w:r>
        <w:rPr>
          <w:spacing w:val="-5"/>
          <w:sz w:val="21"/>
        </w:rPr>
        <w:t>会公共安全，制定本规范。 </w:t>
      </w:r>
    </w:p>
    <w:p>
      <w:pPr>
        <w:pStyle w:val="ListParagraph"/>
        <w:numPr>
          <w:ilvl w:val="1"/>
          <w:numId w:val="943"/>
        </w:numPr>
        <w:tabs>
          <w:tab w:pos="1159" w:val="left" w:leader="none"/>
        </w:tabs>
        <w:spacing w:line="268" w:lineRule="exact" w:before="0" w:after="0"/>
        <w:ind w:left="1158" w:right="0" w:hanging="319"/>
        <w:jc w:val="left"/>
        <w:rPr>
          <w:sz w:val="21"/>
        </w:rPr>
      </w:pPr>
      <w:r>
        <w:rPr>
          <w:spacing w:val="-3"/>
          <w:sz w:val="21"/>
        </w:rPr>
        <w:t>本规范适用于新建、改建、扩建的消防通信指挥系统设计。</w:t>
      </w:r>
      <w:r>
        <w:rPr>
          <w:sz w:val="21"/>
        </w:rPr>
        <w:t> </w:t>
      </w:r>
    </w:p>
    <w:p>
      <w:pPr>
        <w:pStyle w:val="BodyText"/>
        <w:rPr>
          <w:sz w:val="18"/>
        </w:rPr>
      </w:pPr>
    </w:p>
    <w:p>
      <w:pPr>
        <w:pStyle w:val="ListParagraph"/>
        <w:numPr>
          <w:ilvl w:val="1"/>
          <w:numId w:val="943"/>
        </w:numPr>
        <w:tabs>
          <w:tab w:pos="1159" w:val="left" w:leader="none"/>
        </w:tabs>
        <w:spacing w:line="446" w:lineRule="auto" w:before="0" w:after="0"/>
        <w:ind w:left="418" w:right="1431" w:firstLine="422"/>
        <w:jc w:val="both"/>
        <w:rPr>
          <w:sz w:val="21"/>
        </w:rPr>
      </w:pPr>
      <w:r>
        <w:rPr>
          <w:spacing w:val="-6"/>
          <w:sz w:val="21"/>
        </w:rPr>
        <w:t>消防通信指挥系统的设计应遵循国家有关方针、政策和法律、法规，适应扑救火灾和处</w:t>
      </w:r>
      <w:r>
        <w:rPr>
          <w:spacing w:val="-8"/>
          <w:sz w:val="21"/>
        </w:rPr>
        <w:t>置其他灾害事故的需要，并与通信、网络等公共基础设施建设发展相协调，做到安全实用、技术</w:t>
      </w:r>
      <w:r>
        <w:rPr>
          <w:spacing w:val="-5"/>
          <w:sz w:val="21"/>
        </w:rPr>
        <w:t>先进、经济合理。</w:t>
      </w:r>
      <w:r>
        <w:rPr>
          <w:sz w:val="21"/>
        </w:rPr>
        <w:t> </w:t>
      </w:r>
    </w:p>
    <w:p>
      <w:pPr>
        <w:pStyle w:val="ListParagraph"/>
        <w:numPr>
          <w:ilvl w:val="1"/>
          <w:numId w:val="943"/>
        </w:numPr>
        <w:tabs>
          <w:tab w:pos="1159" w:val="left" w:leader="none"/>
        </w:tabs>
        <w:spacing w:line="268" w:lineRule="exact" w:before="0" w:after="0"/>
        <w:ind w:left="1158" w:right="0" w:hanging="319"/>
        <w:jc w:val="left"/>
        <w:rPr>
          <w:sz w:val="21"/>
        </w:rPr>
      </w:pPr>
      <w:r>
        <w:rPr>
          <w:spacing w:val="-3"/>
          <w:sz w:val="21"/>
        </w:rPr>
        <w:t>消防通信指挥系统的设计除应符合本规范外，尚应符合国家现行有关标准的规定。</w:t>
      </w:r>
      <w:r>
        <w:rPr>
          <w:sz w:val="21"/>
        </w:rPr>
        <w:t> </w:t>
      </w:r>
    </w:p>
    <w:p>
      <w:pPr>
        <w:pStyle w:val="BodyText"/>
        <w:spacing w:before="10"/>
        <w:rPr>
          <w:sz w:val="15"/>
        </w:rPr>
      </w:pPr>
    </w:p>
    <w:p>
      <w:pPr>
        <w:pStyle w:val="Heading4"/>
      </w:pPr>
      <w:r>
        <w:rPr/>
        <w:t>2 术语</w:t>
      </w:r>
      <w:r>
        <w:rPr>
          <w:w w:val="99"/>
        </w:rPr>
        <w:t> </w:t>
      </w:r>
    </w:p>
    <w:p>
      <w:pPr>
        <w:pStyle w:val="BodyText"/>
        <w:spacing w:before="4"/>
        <w:rPr>
          <w:b/>
          <w:sz w:val="17"/>
        </w:rPr>
      </w:pPr>
    </w:p>
    <w:p>
      <w:pPr>
        <w:pStyle w:val="ListParagraph"/>
        <w:numPr>
          <w:ilvl w:val="1"/>
          <w:numId w:val="944"/>
        </w:numPr>
        <w:tabs>
          <w:tab w:pos="1159" w:val="left" w:leader="none"/>
        </w:tabs>
        <w:spacing w:line="240" w:lineRule="auto" w:before="0" w:after="0"/>
        <w:ind w:left="1158" w:right="0" w:hanging="319"/>
        <w:jc w:val="left"/>
        <w:rPr>
          <w:sz w:val="21"/>
        </w:rPr>
      </w:pPr>
      <w:r>
        <w:rPr>
          <w:spacing w:val="-3"/>
          <w:sz w:val="21"/>
        </w:rPr>
        <w:t>消防通信指挥中心 </w:t>
      </w:r>
      <w:r>
        <w:rPr>
          <w:sz w:val="21"/>
        </w:rPr>
        <w:t>fire</w:t>
      </w:r>
      <w:r>
        <w:rPr>
          <w:spacing w:val="1"/>
          <w:sz w:val="21"/>
        </w:rPr>
        <w:t> </w:t>
      </w:r>
      <w:r>
        <w:rPr>
          <w:sz w:val="21"/>
        </w:rPr>
        <w:t>communication and</w:t>
      </w:r>
      <w:r>
        <w:rPr>
          <w:spacing w:val="1"/>
          <w:sz w:val="21"/>
        </w:rPr>
        <w:t> </w:t>
      </w:r>
      <w:r>
        <w:rPr>
          <w:sz w:val="21"/>
        </w:rPr>
        <w:t>command</w:t>
      </w:r>
      <w:r>
        <w:rPr>
          <w:spacing w:val="-2"/>
          <w:sz w:val="21"/>
        </w:rPr>
        <w:t> </w:t>
      </w:r>
      <w:r>
        <w:rPr>
          <w:sz w:val="21"/>
        </w:rPr>
        <w:t>center </w:t>
      </w:r>
    </w:p>
    <w:p>
      <w:pPr>
        <w:pStyle w:val="BodyText"/>
        <w:rPr>
          <w:sz w:val="18"/>
        </w:rPr>
      </w:pPr>
    </w:p>
    <w:p>
      <w:pPr>
        <w:pStyle w:val="BodyText"/>
        <w:spacing w:line="446" w:lineRule="auto"/>
        <w:ind w:left="418" w:right="1433" w:firstLine="419"/>
      </w:pPr>
      <w:r>
        <w:rPr>
          <w:spacing w:val="-6"/>
        </w:rPr>
        <w:t>设在消防指挥机构，能与公安机关指挥中心、政府相关部门互联互通，具有受理火灾及其他</w:t>
      </w:r>
      <w:r>
        <w:rPr>
          <w:spacing w:val="-4"/>
        </w:rPr>
        <w:t>灾害事故报警、灭火救援高度指挥、情报信息支持等功能的部分。</w:t>
      </w:r>
      <w:r>
        <w:rPr/>
        <w:t> </w:t>
      </w:r>
    </w:p>
    <w:p>
      <w:pPr>
        <w:pStyle w:val="ListParagraph"/>
        <w:numPr>
          <w:ilvl w:val="1"/>
          <w:numId w:val="944"/>
        </w:numPr>
        <w:tabs>
          <w:tab w:pos="1160" w:val="left" w:leader="none"/>
        </w:tabs>
        <w:spacing w:line="240" w:lineRule="auto" w:before="0" w:after="0"/>
        <w:ind w:left="1159" w:right="0" w:hanging="320"/>
        <w:jc w:val="left"/>
        <w:rPr>
          <w:sz w:val="21"/>
        </w:rPr>
      </w:pPr>
      <w:r>
        <w:rPr>
          <w:spacing w:val="-3"/>
          <w:sz w:val="21"/>
        </w:rPr>
        <w:t>移动消防指挥中心 </w:t>
      </w:r>
      <w:r>
        <w:rPr>
          <w:sz w:val="21"/>
        </w:rPr>
        <w:t>mobile</w:t>
      </w:r>
      <w:r>
        <w:rPr>
          <w:spacing w:val="1"/>
          <w:sz w:val="21"/>
        </w:rPr>
        <w:t> </w:t>
      </w:r>
      <w:r>
        <w:rPr>
          <w:sz w:val="21"/>
        </w:rPr>
        <w:t>fire</w:t>
      </w:r>
      <w:r>
        <w:rPr>
          <w:spacing w:val="-3"/>
          <w:sz w:val="21"/>
        </w:rPr>
        <w:t> </w:t>
      </w:r>
      <w:r>
        <w:rPr>
          <w:sz w:val="21"/>
        </w:rPr>
        <w:t>communication</w:t>
      </w:r>
      <w:r>
        <w:rPr>
          <w:spacing w:val="1"/>
          <w:sz w:val="21"/>
        </w:rPr>
        <w:t> </w:t>
      </w:r>
      <w:r>
        <w:rPr>
          <w:sz w:val="21"/>
        </w:rPr>
        <w:t>and command</w:t>
      </w:r>
      <w:r>
        <w:rPr>
          <w:spacing w:val="1"/>
          <w:sz w:val="21"/>
        </w:rPr>
        <w:t> </w:t>
      </w:r>
      <w:r>
        <w:rPr>
          <w:sz w:val="21"/>
        </w:rPr>
        <w:t>center </w:t>
      </w:r>
    </w:p>
    <w:p>
      <w:pPr>
        <w:pStyle w:val="BodyText"/>
        <w:spacing w:before="12"/>
        <w:rPr>
          <w:sz w:val="17"/>
        </w:rPr>
      </w:pPr>
    </w:p>
    <w:p>
      <w:pPr>
        <w:pStyle w:val="BodyText"/>
        <w:spacing w:line="446" w:lineRule="auto"/>
        <w:ind w:left="418" w:right="1410" w:firstLine="419"/>
      </w:pPr>
      <w:r>
        <w:rPr/>
        <w:t>设在消防通信指挥车等移动载体上，具有在火场及其他灾害事故现场或消防勤务现场进行通信组网、指挥通信、情报信息支持等功能的部分，是消防通信指挥中心的延伸。 </w:t>
      </w:r>
    </w:p>
    <w:p>
      <w:pPr>
        <w:pStyle w:val="ListParagraph"/>
        <w:numPr>
          <w:ilvl w:val="1"/>
          <w:numId w:val="944"/>
        </w:numPr>
        <w:tabs>
          <w:tab w:pos="1159" w:val="left" w:leader="none"/>
        </w:tabs>
        <w:spacing w:line="240" w:lineRule="auto" w:before="0" w:after="0"/>
        <w:ind w:left="1158" w:right="0" w:hanging="319"/>
        <w:jc w:val="left"/>
        <w:rPr>
          <w:sz w:val="21"/>
        </w:rPr>
      </w:pPr>
      <w:r>
        <w:rPr>
          <w:spacing w:val="-3"/>
          <w:sz w:val="21"/>
        </w:rPr>
        <w:t>火警受理子系统 </w:t>
      </w:r>
      <w:r>
        <w:rPr>
          <w:sz w:val="21"/>
        </w:rPr>
        <w:t>fire</w:t>
      </w:r>
      <w:r>
        <w:rPr>
          <w:spacing w:val="1"/>
          <w:sz w:val="21"/>
        </w:rPr>
        <w:t> </w:t>
      </w:r>
      <w:r>
        <w:rPr>
          <w:sz w:val="21"/>
        </w:rPr>
        <w:t>alarm</w:t>
      </w:r>
      <w:r>
        <w:rPr>
          <w:spacing w:val="1"/>
          <w:sz w:val="21"/>
        </w:rPr>
        <w:t> </w:t>
      </w:r>
      <w:r>
        <w:rPr>
          <w:sz w:val="21"/>
        </w:rPr>
        <w:t>acceptance</w:t>
      </w:r>
      <w:r>
        <w:rPr>
          <w:spacing w:val="-3"/>
          <w:sz w:val="21"/>
        </w:rPr>
        <w:t> </w:t>
      </w:r>
      <w:r>
        <w:rPr>
          <w:sz w:val="21"/>
        </w:rPr>
        <w:t>sub-system </w:t>
      </w:r>
    </w:p>
    <w:p>
      <w:pPr>
        <w:pStyle w:val="BodyText"/>
        <w:rPr>
          <w:sz w:val="18"/>
        </w:rPr>
      </w:pPr>
    </w:p>
    <w:p>
      <w:pPr>
        <w:pStyle w:val="BodyText"/>
        <w:spacing w:line="448" w:lineRule="auto"/>
        <w:ind w:left="418" w:right="1431" w:firstLine="419"/>
      </w:pPr>
      <w:r>
        <w:rPr>
          <w:spacing w:val="-6"/>
        </w:rPr>
        <w:t>消防通信指挥系统中，通过通信网络，接收、处理火灾及其他灾害事故报警和相关信息的部</w:t>
      </w:r>
      <w:r>
        <w:rPr>
          <w:spacing w:val="-4"/>
        </w:rPr>
        <w:t>分。主要设备有火警受理终端、消防站火警终端等。 </w:t>
      </w:r>
    </w:p>
    <w:p>
      <w:pPr>
        <w:pStyle w:val="ListParagraph"/>
        <w:numPr>
          <w:ilvl w:val="1"/>
          <w:numId w:val="944"/>
        </w:numPr>
        <w:tabs>
          <w:tab w:pos="1160" w:val="left" w:leader="none"/>
        </w:tabs>
        <w:spacing w:line="264" w:lineRule="exact" w:before="0" w:after="0"/>
        <w:ind w:left="1159" w:right="0" w:hanging="320"/>
        <w:jc w:val="left"/>
        <w:rPr>
          <w:sz w:val="21"/>
        </w:rPr>
      </w:pPr>
      <w:r>
        <w:rPr>
          <w:spacing w:val="-3"/>
          <w:sz w:val="21"/>
        </w:rPr>
        <w:t>跨区域调度指挥子系统 </w:t>
      </w:r>
      <w:r>
        <w:rPr>
          <w:sz w:val="21"/>
        </w:rPr>
        <w:t>cross-zone</w:t>
      </w:r>
      <w:r>
        <w:rPr>
          <w:spacing w:val="-2"/>
          <w:sz w:val="21"/>
        </w:rPr>
        <w:t> </w:t>
      </w:r>
      <w:r>
        <w:rPr>
          <w:sz w:val="21"/>
        </w:rPr>
        <w:t>command</w:t>
      </w:r>
      <w:r>
        <w:rPr>
          <w:spacing w:val="-2"/>
          <w:sz w:val="21"/>
        </w:rPr>
        <w:t> </w:t>
      </w:r>
      <w:r>
        <w:rPr>
          <w:sz w:val="21"/>
        </w:rPr>
        <w:t>and</w:t>
      </w:r>
      <w:r>
        <w:rPr>
          <w:spacing w:val="1"/>
          <w:sz w:val="21"/>
        </w:rPr>
        <w:t> </w:t>
      </w:r>
      <w:r>
        <w:rPr>
          <w:sz w:val="21"/>
        </w:rPr>
        <w:t>dispatch</w:t>
      </w:r>
      <w:r>
        <w:rPr>
          <w:spacing w:val="1"/>
          <w:sz w:val="21"/>
        </w:rPr>
        <w:t> </w:t>
      </w:r>
      <w:r>
        <w:rPr>
          <w:sz w:val="21"/>
        </w:rPr>
        <w:t>sub-system </w:t>
      </w:r>
    </w:p>
    <w:p>
      <w:pPr>
        <w:pStyle w:val="BodyText"/>
        <w:spacing w:before="12"/>
        <w:rPr>
          <w:sz w:val="17"/>
        </w:rPr>
      </w:pPr>
    </w:p>
    <w:p>
      <w:pPr>
        <w:pStyle w:val="BodyText"/>
        <w:spacing w:line="446" w:lineRule="auto"/>
        <w:ind w:left="418" w:right="1433" w:firstLine="419"/>
      </w:pPr>
      <w:r>
        <w:rPr>
          <w:spacing w:val="-6"/>
        </w:rPr>
        <w:t>消防通信指挥系统中，通过通信网络，进行跨区域灭火救援调度指挥的部分。主要设备有调</w:t>
      </w:r>
      <w:r>
        <w:rPr>
          <w:spacing w:val="-4"/>
        </w:rPr>
        <w:t>度指挥终端等。</w:t>
      </w:r>
      <w:r>
        <w:rPr/>
        <w:t> </w:t>
      </w:r>
    </w:p>
    <w:p>
      <w:pPr>
        <w:pStyle w:val="ListParagraph"/>
        <w:numPr>
          <w:ilvl w:val="1"/>
          <w:numId w:val="944"/>
        </w:numPr>
        <w:tabs>
          <w:tab w:pos="1160" w:val="left" w:leader="none"/>
        </w:tabs>
        <w:spacing w:line="240" w:lineRule="auto" w:before="0" w:after="0"/>
        <w:ind w:left="1159" w:right="0" w:hanging="320"/>
        <w:jc w:val="left"/>
        <w:rPr>
          <w:sz w:val="21"/>
        </w:rPr>
      </w:pPr>
      <w:r>
        <w:rPr>
          <w:spacing w:val="-3"/>
          <w:sz w:val="21"/>
        </w:rPr>
        <w:t>现场指挥子系统 </w:t>
      </w:r>
      <w:r>
        <w:rPr>
          <w:sz w:val="21"/>
        </w:rPr>
        <w:t>fireground</w:t>
      </w:r>
      <w:r>
        <w:rPr>
          <w:spacing w:val="1"/>
          <w:sz w:val="21"/>
        </w:rPr>
        <w:t> </w:t>
      </w:r>
      <w:r>
        <w:rPr>
          <w:sz w:val="21"/>
        </w:rPr>
        <w:t>command sub-system </w:t>
      </w:r>
    </w:p>
    <w:p>
      <w:pPr>
        <w:pStyle w:val="BodyText"/>
        <w:spacing w:before="12"/>
        <w:rPr>
          <w:sz w:val="17"/>
        </w:rPr>
      </w:pPr>
    </w:p>
    <w:p>
      <w:pPr>
        <w:pStyle w:val="BodyText"/>
        <w:spacing w:line="448" w:lineRule="auto"/>
        <w:ind w:left="418" w:right="1433" w:firstLine="419"/>
      </w:pPr>
      <w:r>
        <w:rPr>
          <w:spacing w:val="-6"/>
        </w:rPr>
        <w:t>消防通信指挥系统中，通过通信网络，在火灾及其他灾害事故现场进行灭火救援指挥、情报</w:t>
      </w:r>
      <w:r>
        <w:rPr>
          <w:spacing w:val="-4"/>
        </w:rPr>
        <w:t>信息支持的部分。主要设备有现场指挥终端、便携式消防作战指挥平台等。</w:t>
      </w:r>
      <w:r>
        <w:rPr/>
        <w:t> </w:t>
      </w:r>
    </w:p>
    <w:p>
      <w:pPr>
        <w:pStyle w:val="ListParagraph"/>
        <w:numPr>
          <w:ilvl w:val="1"/>
          <w:numId w:val="944"/>
        </w:numPr>
        <w:tabs>
          <w:tab w:pos="1160" w:val="left" w:leader="none"/>
        </w:tabs>
        <w:spacing w:line="264" w:lineRule="exact" w:before="0" w:after="0"/>
        <w:ind w:left="1159" w:right="0" w:hanging="320"/>
        <w:jc w:val="left"/>
        <w:rPr>
          <w:sz w:val="21"/>
        </w:rPr>
      </w:pPr>
      <w:r>
        <w:rPr>
          <w:spacing w:val="-3"/>
          <w:sz w:val="21"/>
        </w:rPr>
        <w:t>指挥模拟训练子系统 </w:t>
      </w:r>
      <w:r>
        <w:rPr>
          <w:sz w:val="21"/>
        </w:rPr>
        <w:t>command</w:t>
      </w:r>
      <w:r>
        <w:rPr>
          <w:spacing w:val="1"/>
          <w:sz w:val="21"/>
        </w:rPr>
        <w:t> </w:t>
      </w:r>
      <w:r>
        <w:rPr>
          <w:sz w:val="21"/>
        </w:rPr>
        <w:t>simulation drill</w:t>
      </w:r>
      <w:r>
        <w:rPr>
          <w:spacing w:val="1"/>
          <w:sz w:val="21"/>
        </w:rPr>
        <w:t> </w:t>
      </w:r>
      <w:r>
        <w:rPr>
          <w:sz w:val="21"/>
        </w:rPr>
        <w:t>sub-system </w:t>
      </w:r>
    </w:p>
    <w:p>
      <w:pPr>
        <w:spacing w:after="0" w:line="264" w:lineRule="exact"/>
        <w:jc w:val="left"/>
        <w:rPr>
          <w:sz w:val="21"/>
        </w:rPr>
        <w:sectPr>
          <w:pgSz w:w="11910" w:h="16850"/>
          <w:pgMar w:header="0" w:footer="1239" w:top="1020" w:bottom="1420" w:left="1260" w:right="0"/>
        </w:sectPr>
      </w:pPr>
    </w:p>
    <w:p>
      <w:pPr>
        <w:pStyle w:val="BodyText"/>
        <w:spacing w:line="446" w:lineRule="auto" w:before="47"/>
        <w:ind w:left="840" w:right="1505" w:hanging="3"/>
      </w:pPr>
      <w:r>
        <w:rPr/>
        <w:t>消防通信指挥系统中，利用系统资源对消防指挥人员进行灭火救援模拟指挥训练的部分。</w:t>
      </w:r>
      <w:r>
        <w:rPr>
          <w:b/>
        </w:rPr>
        <w:t>2.7 </w:t>
      </w:r>
      <w:r>
        <w:rPr/>
        <w:t>消防图像管理子系统 graphical fire information sub-system </w:t>
      </w:r>
    </w:p>
    <w:p>
      <w:pPr>
        <w:pStyle w:val="BodyText"/>
        <w:spacing w:line="446" w:lineRule="auto"/>
        <w:ind w:left="840" w:right="1505" w:hanging="3"/>
      </w:pPr>
      <w:r>
        <w:rPr/>
        <w:t>消防通信指挥系统中，综合应用与灭火救援有关的图像信息资源，实施可视指挥的部分。</w:t>
      </w:r>
      <w:r>
        <w:rPr>
          <w:b/>
        </w:rPr>
        <w:t>2.8 </w:t>
      </w:r>
      <w:r>
        <w:rPr/>
        <w:t>消防车辆管理子系统 fire vehicle management sub-system </w:t>
      </w:r>
    </w:p>
    <w:p>
      <w:pPr>
        <w:pStyle w:val="BodyText"/>
        <w:spacing w:line="446" w:lineRule="auto"/>
        <w:ind w:left="418" w:right="1433" w:firstLine="419"/>
      </w:pPr>
      <w:r>
        <w:rPr>
          <w:spacing w:val="-7"/>
        </w:rPr>
        <w:t>消防通信指挥系统，对消防车辆的位置、运行及作战状态、上装、车载器材等信息进行动态</w:t>
      </w:r>
      <w:r>
        <w:rPr>
          <w:spacing w:val="-5"/>
        </w:rPr>
        <w:t>管理的部分。主要设备有车载终端等。</w:t>
      </w:r>
      <w:r>
        <w:rPr/>
        <w:t> </w:t>
      </w:r>
    </w:p>
    <w:p>
      <w:pPr>
        <w:pStyle w:val="ListParagraph"/>
        <w:numPr>
          <w:ilvl w:val="1"/>
          <w:numId w:val="945"/>
        </w:numPr>
        <w:tabs>
          <w:tab w:pos="1159" w:val="left" w:leader="none"/>
        </w:tabs>
        <w:spacing w:line="446" w:lineRule="auto" w:before="0" w:after="0"/>
        <w:ind w:left="418" w:right="1433" w:firstLine="422"/>
        <w:jc w:val="left"/>
        <w:rPr>
          <w:sz w:val="21"/>
        </w:rPr>
      </w:pPr>
      <w:r>
        <w:rPr>
          <w:spacing w:val="8"/>
          <w:sz w:val="21"/>
        </w:rPr>
        <w:t>消防指挥决策支持子系统 </w:t>
      </w:r>
      <w:r>
        <w:rPr>
          <w:sz w:val="21"/>
        </w:rPr>
        <w:t>fire</w:t>
      </w:r>
      <w:r>
        <w:rPr>
          <w:spacing w:val="58"/>
          <w:sz w:val="21"/>
        </w:rPr>
        <w:t> </w:t>
      </w:r>
      <w:r>
        <w:rPr>
          <w:sz w:val="21"/>
        </w:rPr>
        <w:t>command</w:t>
      </w:r>
      <w:r>
        <w:rPr>
          <w:spacing w:val="55"/>
          <w:sz w:val="21"/>
        </w:rPr>
        <w:t> </w:t>
      </w:r>
      <w:r>
        <w:rPr>
          <w:sz w:val="21"/>
        </w:rPr>
        <w:t>and</w:t>
      </w:r>
      <w:r>
        <w:rPr>
          <w:spacing w:val="59"/>
          <w:sz w:val="21"/>
        </w:rPr>
        <w:t> </w:t>
      </w:r>
      <w:r>
        <w:rPr>
          <w:sz w:val="21"/>
        </w:rPr>
        <w:t>decision-making</w:t>
      </w:r>
      <w:r>
        <w:rPr>
          <w:spacing w:val="58"/>
          <w:sz w:val="21"/>
        </w:rPr>
        <w:t> </w:t>
      </w:r>
      <w:r>
        <w:rPr>
          <w:sz w:val="21"/>
        </w:rPr>
        <w:t>supporting</w:t>
      </w:r>
      <w:r>
        <w:rPr>
          <w:spacing w:val="58"/>
          <w:sz w:val="21"/>
        </w:rPr>
        <w:t> </w:t>
      </w:r>
      <w:r>
        <w:rPr>
          <w:sz w:val="21"/>
        </w:rPr>
        <w:t>sub- system </w:t>
      </w:r>
    </w:p>
    <w:p>
      <w:pPr>
        <w:pStyle w:val="BodyText"/>
        <w:spacing w:line="446" w:lineRule="auto"/>
        <w:ind w:left="418" w:right="1325" w:firstLine="419"/>
      </w:pPr>
      <w:r>
        <w:rPr/>
        <w:t>消防通信指挥系统中，综合集成数据、模型、知识等信息，通过预案、辅助决策专家系统， 为灭火救援指挥提供决策支持的部分。 </w:t>
      </w:r>
    </w:p>
    <w:p>
      <w:pPr>
        <w:pStyle w:val="ListParagraph"/>
        <w:numPr>
          <w:ilvl w:val="1"/>
          <w:numId w:val="945"/>
        </w:numPr>
        <w:tabs>
          <w:tab w:pos="1266" w:val="left" w:leader="none"/>
        </w:tabs>
        <w:spacing w:line="240" w:lineRule="auto" w:before="0" w:after="0"/>
        <w:ind w:left="1265" w:right="0" w:hanging="426"/>
        <w:jc w:val="left"/>
        <w:rPr>
          <w:sz w:val="21"/>
        </w:rPr>
      </w:pPr>
      <w:r>
        <w:rPr>
          <w:spacing w:val="-3"/>
          <w:sz w:val="21"/>
        </w:rPr>
        <w:t>指挥信息管理子系统 </w:t>
      </w:r>
      <w:r>
        <w:rPr>
          <w:sz w:val="21"/>
        </w:rPr>
        <w:t>command</w:t>
      </w:r>
      <w:r>
        <w:rPr>
          <w:spacing w:val="1"/>
          <w:sz w:val="21"/>
        </w:rPr>
        <w:t> </w:t>
      </w:r>
      <w:r>
        <w:rPr>
          <w:sz w:val="21"/>
        </w:rPr>
        <w:t>information management</w:t>
      </w:r>
      <w:r>
        <w:rPr>
          <w:spacing w:val="1"/>
          <w:sz w:val="21"/>
        </w:rPr>
        <w:t> </w:t>
      </w:r>
      <w:r>
        <w:rPr>
          <w:sz w:val="21"/>
        </w:rPr>
        <w:t>sub-system </w:t>
      </w:r>
    </w:p>
    <w:p>
      <w:pPr>
        <w:pStyle w:val="BodyText"/>
        <w:spacing w:before="8"/>
        <w:rPr>
          <w:sz w:val="17"/>
        </w:rPr>
      </w:pPr>
    </w:p>
    <w:p>
      <w:pPr>
        <w:pStyle w:val="BodyText"/>
        <w:spacing w:line="446" w:lineRule="auto"/>
        <w:ind w:left="418" w:right="1436" w:firstLine="419"/>
      </w:pPr>
      <w:r>
        <w:rPr>
          <w:spacing w:val="-7"/>
        </w:rPr>
        <w:t>消防通信指挥系统中，对灭火救援信息进行采集、存储、处理，提供信息查询、分析、共享</w:t>
      </w:r>
      <w:r>
        <w:rPr>
          <w:spacing w:val="-6"/>
        </w:rPr>
        <w:t>的部分。</w:t>
      </w:r>
      <w:r>
        <w:rPr/>
        <w:t> </w:t>
      </w:r>
    </w:p>
    <w:p>
      <w:pPr>
        <w:pStyle w:val="ListParagraph"/>
        <w:numPr>
          <w:ilvl w:val="1"/>
          <w:numId w:val="945"/>
        </w:numPr>
        <w:tabs>
          <w:tab w:pos="1266" w:val="left" w:leader="none"/>
        </w:tabs>
        <w:spacing w:line="240" w:lineRule="auto" w:before="1" w:after="0"/>
        <w:ind w:left="1265" w:right="0" w:hanging="426"/>
        <w:jc w:val="left"/>
        <w:rPr>
          <w:sz w:val="21"/>
        </w:rPr>
      </w:pPr>
      <w:r>
        <w:rPr>
          <w:spacing w:val="-3"/>
          <w:sz w:val="21"/>
        </w:rPr>
        <w:t>消防地理信息子系统 </w:t>
      </w:r>
      <w:r>
        <w:rPr>
          <w:sz w:val="21"/>
        </w:rPr>
        <w:t>geographical</w:t>
      </w:r>
      <w:r>
        <w:rPr>
          <w:spacing w:val="-2"/>
          <w:sz w:val="21"/>
        </w:rPr>
        <w:t> </w:t>
      </w:r>
      <w:r>
        <w:rPr>
          <w:sz w:val="21"/>
        </w:rPr>
        <w:t>fire</w:t>
      </w:r>
      <w:r>
        <w:rPr>
          <w:spacing w:val="1"/>
          <w:sz w:val="21"/>
        </w:rPr>
        <w:t> </w:t>
      </w:r>
      <w:r>
        <w:rPr>
          <w:sz w:val="21"/>
        </w:rPr>
        <w:t>information sub-system </w:t>
      </w:r>
    </w:p>
    <w:p>
      <w:pPr>
        <w:pStyle w:val="BodyText"/>
        <w:spacing w:before="12"/>
        <w:rPr>
          <w:sz w:val="17"/>
        </w:rPr>
      </w:pPr>
    </w:p>
    <w:p>
      <w:pPr>
        <w:pStyle w:val="BodyText"/>
        <w:spacing w:line="446" w:lineRule="auto"/>
        <w:ind w:left="418" w:right="1431" w:firstLine="419"/>
      </w:pPr>
      <w:r>
        <w:rPr>
          <w:spacing w:val="-6"/>
        </w:rPr>
        <w:t>消防通信指挥系统中，利用地理信息技术的空间分析和可视化平台，将灭火救援指挥数据信</w:t>
      </w:r>
      <w:r>
        <w:rPr>
          <w:spacing w:val="-4"/>
        </w:rPr>
        <w:t>息与空间信息关联，并对地图数据、属性数据等进行统一管理及维护的部分。 </w:t>
      </w:r>
    </w:p>
    <w:p>
      <w:pPr>
        <w:pStyle w:val="ListParagraph"/>
        <w:numPr>
          <w:ilvl w:val="1"/>
          <w:numId w:val="945"/>
        </w:numPr>
        <w:tabs>
          <w:tab w:pos="1264" w:val="left" w:leader="none"/>
        </w:tabs>
        <w:spacing w:line="240" w:lineRule="auto" w:before="0" w:after="0"/>
        <w:ind w:left="1263" w:right="0" w:hanging="424"/>
        <w:jc w:val="left"/>
        <w:rPr>
          <w:sz w:val="21"/>
        </w:rPr>
      </w:pPr>
      <w:r>
        <w:rPr>
          <w:spacing w:val="-3"/>
          <w:sz w:val="21"/>
        </w:rPr>
        <w:t>消防信息显示子系统 </w:t>
      </w:r>
      <w:r>
        <w:rPr>
          <w:sz w:val="21"/>
        </w:rPr>
        <w:t>fire</w:t>
      </w:r>
      <w:r>
        <w:rPr>
          <w:spacing w:val="-2"/>
          <w:sz w:val="21"/>
        </w:rPr>
        <w:t> </w:t>
      </w:r>
      <w:r>
        <w:rPr>
          <w:sz w:val="21"/>
        </w:rPr>
        <w:t>information</w:t>
      </w:r>
      <w:r>
        <w:rPr>
          <w:spacing w:val="-2"/>
          <w:sz w:val="21"/>
        </w:rPr>
        <w:t> </w:t>
      </w:r>
      <w:r>
        <w:rPr>
          <w:sz w:val="21"/>
        </w:rPr>
        <w:t>display</w:t>
      </w:r>
      <w:r>
        <w:rPr>
          <w:spacing w:val="1"/>
          <w:sz w:val="21"/>
        </w:rPr>
        <w:t> </w:t>
      </w:r>
      <w:r>
        <w:rPr>
          <w:sz w:val="21"/>
        </w:rPr>
        <w:t>sub-system </w:t>
      </w:r>
    </w:p>
    <w:p>
      <w:pPr>
        <w:pStyle w:val="BodyText"/>
        <w:spacing w:before="12"/>
        <w:rPr>
          <w:sz w:val="17"/>
        </w:rPr>
      </w:pPr>
    </w:p>
    <w:p>
      <w:pPr>
        <w:pStyle w:val="BodyText"/>
        <w:spacing w:line="446" w:lineRule="auto"/>
        <w:ind w:left="418" w:right="1431" w:firstLine="419"/>
      </w:pPr>
      <w:r>
        <w:rPr>
          <w:spacing w:val="-6"/>
        </w:rPr>
        <w:t>消防通信指挥系统中，对汇集到消防通信指挥中心的图像、数据及文字等进行组合选取和显</w:t>
      </w:r>
      <w:r>
        <w:rPr>
          <w:spacing w:val="-4"/>
        </w:rPr>
        <w:t>示的部分。</w:t>
      </w:r>
      <w:r>
        <w:rPr/>
        <w:t> </w:t>
      </w:r>
    </w:p>
    <w:p>
      <w:pPr>
        <w:pStyle w:val="ListParagraph"/>
        <w:numPr>
          <w:ilvl w:val="1"/>
          <w:numId w:val="945"/>
        </w:numPr>
        <w:tabs>
          <w:tab w:pos="1266" w:val="left" w:leader="none"/>
        </w:tabs>
        <w:spacing w:line="240" w:lineRule="auto" w:before="1" w:after="0"/>
        <w:ind w:left="1265" w:right="0" w:hanging="426"/>
        <w:jc w:val="left"/>
        <w:rPr>
          <w:sz w:val="21"/>
        </w:rPr>
      </w:pPr>
      <w:r>
        <w:rPr>
          <w:spacing w:val="-3"/>
          <w:sz w:val="21"/>
        </w:rPr>
        <w:t>消防有线通信子系统 </w:t>
      </w:r>
      <w:r>
        <w:rPr>
          <w:sz w:val="21"/>
        </w:rPr>
        <w:t>fire</w:t>
      </w:r>
      <w:r>
        <w:rPr>
          <w:spacing w:val="-2"/>
          <w:sz w:val="21"/>
        </w:rPr>
        <w:t> </w:t>
      </w:r>
      <w:r>
        <w:rPr>
          <w:sz w:val="21"/>
        </w:rPr>
        <w:t>wire</w:t>
      </w:r>
      <w:r>
        <w:rPr>
          <w:spacing w:val="1"/>
          <w:sz w:val="21"/>
        </w:rPr>
        <w:t> </w:t>
      </w:r>
      <w:r>
        <w:rPr>
          <w:sz w:val="21"/>
        </w:rPr>
        <w:t>communication sub-system </w:t>
      </w:r>
    </w:p>
    <w:p>
      <w:pPr>
        <w:pStyle w:val="BodyText"/>
        <w:spacing w:before="12"/>
        <w:rPr>
          <w:sz w:val="17"/>
        </w:rPr>
      </w:pPr>
    </w:p>
    <w:p>
      <w:pPr>
        <w:pStyle w:val="BodyText"/>
        <w:spacing w:line="446" w:lineRule="auto"/>
        <w:ind w:left="418" w:right="1431" w:firstLine="419"/>
      </w:pPr>
      <w:r>
        <w:rPr>
          <w:spacing w:val="-17"/>
        </w:rPr>
        <w:t>消防通信指挥系统中，利用有线通信网络和设备，传输消防语音、数据和图像等信息的部分。</w:t>
      </w:r>
      <w:r>
        <w:rPr>
          <w:spacing w:val="-7"/>
        </w:rPr>
        <w:t>主要设备有接警调度程控交换机等。</w:t>
      </w:r>
      <w:r>
        <w:rPr/>
        <w:t> </w:t>
      </w:r>
    </w:p>
    <w:p>
      <w:pPr>
        <w:pStyle w:val="ListParagraph"/>
        <w:numPr>
          <w:ilvl w:val="1"/>
          <w:numId w:val="945"/>
        </w:numPr>
        <w:tabs>
          <w:tab w:pos="1266" w:val="left" w:leader="none"/>
        </w:tabs>
        <w:spacing w:line="240" w:lineRule="auto" w:before="0" w:after="0"/>
        <w:ind w:left="1265" w:right="0" w:hanging="426"/>
        <w:jc w:val="left"/>
        <w:rPr>
          <w:sz w:val="21"/>
        </w:rPr>
      </w:pPr>
      <w:r>
        <w:rPr>
          <w:spacing w:val="-3"/>
          <w:sz w:val="21"/>
        </w:rPr>
        <w:t>消防无线通信子系统 </w:t>
      </w:r>
      <w:r>
        <w:rPr>
          <w:sz w:val="21"/>
        </w:rPr>
        <w:t>fire</w:t>
      </w:r>
      <w:r>
        <w:rPr>
          <w:spacing w:val="-2"/>
          <w:sz w:val="21"/>
        </w:rPr>
        <w:t> </w:t>
      </w:r>
      <w:r>
        <w:rPr>
          <w:sz w:val="21"/>
        </w:rPr>
        <w:t>wireless</w:t>
      </w:r>
      <w:r>
        <w:rPr>
          <w:spacing w:val="1"/>
          <w:sz w:val="21"/>
        </w:rPr>
        <w:t> </w:t>
      </w:r>
      <w:r>
        <w:rPr>
          <w:sz w:val="21"/>
        </w:rPr>
        <w:t>communication</w:t>
      </w:r>
      <w:r>
        <w:rPr>
          <w:spacing w:val="-2"/>
          <w:sz w:val="21"/>
        </w:rPr>
        <w:t> </w:t>
      </w:r>
      <w:r>
        <w:rPr>
          <w:sz w:val="21"/>
        </w:rPr>
        <w:t>sub-system </w:t>
      </w:r>
    </w:p>
    <w:p>
      <w:pPr>
        <w:pStyle w:val="BodyText"/>
        <w:spacing w:before="12"/>
        <w:rPr>
          <w:sz w:val="17"/>
        </w:rPr>
      </w:pPr>
    </w:p>
    <w:p>
      <w:pPr>
        <w:pStyle w:val="BodyText"/>
        <w:spacing w:line="446" w:lineRule="auto"/>
        <w:ind w:left="840" w:right="1330" w:hanging="3"/>
      </w:pPr>
      <w:r>
        <w:rPr>
          <w:spacing w:val="-17"/>
        </w:rPr>
        <w:t>消防通信指挥系统中，利用无线通信网络和设备，传输消防语音、数据和图像等信息的部分。</w:t>
      </w:r>
      <w:r>
        <w:rPr>
          <w:b/>
        </w:rPr>
        <w:t>2.15 </w:t>
      </w:r>
      <w:r>
        <w:rPr>
          <w:spacing w:val="-3"/>
        </w:rPr>
        <w:t>消防卫星通信子系统 </w:t>
      </w:r>
      <w:r>
        <w:rPr/>
        <w:t>fire satellite communication sub-system </w:t>
      </w:r>
    </w:p>
    <w:p>
      <w:pPr>
        <w:pStyle w:val="BodyText"/>
        <w:ind w:left="838"/>
      </w:pPr>
      <w:r>
        <w:rPr/>
        <w:t>消防通信指挥系统中，利用卫星通信网络和设备，传输消防语音、数据和图像等信息的部分。 </w:t>
      </w:r>
    </w:p>
    <w:p>
      <w:pPr>
        <w:pStyle w:val="BodyText"/>
        <w:spacing w:before="8"/>
        <w:rPr>
          <w:sz w:val="15"/>
        </w:rPr>
      </w:pPr>
    </w:p>
    <w:p>
      <w:pPr>
        <w:pStyle w:val="Heading4"/>
      </w:pPr>
      <w:r>
        <w:rPr/>
        <w:t>3 系统技术构成</w:t>
      </w:r>
      <w:r>
        <w:rPr>
          <w:w w:val="99"/>
        </w:rPr>
        <w:t> </w:t>
      </w:r>
    </w:p>
    <w:p>
      <w:pPr>
        <w:pStyle w:val="BodyText"/>
        <w:spacing w:before="6"/>
        <w:rPr>
          <w:b/>
          <w:sz w:val="17"/>
        </w:rPr>
      </w:pPr>
    </w:p>
    <w:p>
      <w:pPr>
        <w:pStyle w:val="ListParagraph"/>
        <w:numPr>
          <w:ilvl w:val="1"/>
          <w:numId w:val="946"/>
        </w:numPr>
        <w:tabs>
          <w:tab w:pos="1160" w:val="left" w:leader="none"/>
        </w:tabs>
        <w:spacing w:line="240" w:lineRule="auto" w:before="1" w:after="0"/>
        <w:ind w:left="1159" w:right="0" w:hanging="320"/>
        <w:jc w:val="left"/>
        <w:rPr>
          <w:sz w:val="21"/>
        </w:rPr>
      </w:pPr>
      <w:r>
        <w:rPr>
          <w:spacing w:val="-7"/>
          <w:sz w:val="21"/>
        </w:rPr>
        <w:t>消防通信指挥系统可分为国家、省</w:t>
      </w:r>
      <w:r>
        <w:rPr>
          <w:sz w:val="21"/>
        </w:rPr>
        <w:t>（</w:t>
      </w:r>
      <w:r>
        <w:rPr>
          <w:spacing w:val="-3"/>
          <w:sz w:val="21"/>
        </w:rPr>
        <w:t>自治区</w:t>
      </w:r>
      <w:r>
        <w:rPr>
          <w:spacing w:val="-106"/>
          <w:sz w:val="21"/>
        </w:rPr>
        <w:t>）</w:t>
      </w:r>
      <w:r>
        <w:rPr>
          <w:spacing w:val="-18"/>
          <w:sz w:val="21"/>
        </w:rPr>
        <w:t>、地区</w:t>
      </w:r>
      <w:r>
        <w:rPr>
          <w:spacing w:val="-3"/>
          <w:sz w:val="21"/>
        </w:rPr>
        <w:t>（</w:t>
      </w:r>
      <w:r>
        <w:rPr>
          <w:spacing w:val="-10"/>
          <w:sz w:val="21"/>
        </w:rPr>
        <w:t>州、盟</w:t>
      </w:r>
      <w:r>
        <w:rPr>
          <w:spacing w:val="-25"/>
          <w:sz w:val="21"/>
        </w:rPr>
        <w:t>）</w:t>
      </w:r>
      <w:r>
        <w:rPr>
          <w:spacing w:val="-3"/>
          <w:sz w:val="21"/>
        </w:rPr>
        <w:t>消防通信指挥系统和城市</w:t>
      </w:r>
    </w:p>
    <w:p>
      <w:pPr>
        <w:spacing w:after="0" w:line="240" w:lineRule="auto"/>
        <w:jc w:val="left"/>
        <w:rPr>
          <w:sz w:val="21"/>
        </w:rPr>
        <w:sectPr>
          <w:pgSz w:w="11910" w:h="16850"/>
          <w:pgMar w:header="0" w:footer="1239" w:top="1220" w:bottom="1420" w:left="1260" w:right="0"/>
        </w:sectPr>
      </w:pPr>
    </w:p>
    <w:p>
      <w:pPr>
        <w:pStyle w:val="BodyText"/>
        <w:spacing w:before="47"/>
        <w:ind w:left="418"/>
      </w:pPr>
      <w:r>
        <w:rPr/>
        <w:t>消防通信指挥系统等类型。 </w:t>
      </w:r>
    </w:p>
    <w:p>
      <w:pPr>
        <w:pStyle w:val="BodyText"/>
        <w:rPr>
          <w:sz w:val="18"/>
        </w:rPr>
      </w:pPr>
    </w:p>
    <w:p>
      <w:pPr>
        <w:pStyle w:val="ListParagraph"/>
        <w:numPr>
          <w:ilvl w:val="1"/>
          <w:numId w:val="946"/>
        </w:numPr>
        <w:tabs>
          <w:tab w:pos="1160" w:val="left" w:leader="none"/>
        </w:tabs>
        <w:spacing w:line="446" w:lineRule="auto" w:before="0" w:after="0"/>
        <w:ind w:left="418" w:right="1431" w:firstLine="422"/>
        <w:jc w:val="both"/>
        <w:rPr>
          <w:sz w:val="21"/>
        </w:rPr>
      </w:pPr>
      <w:r>
        <w:rPr>
          <w:spacing w:val="-5"/>
          <w:sz w:val="21"/>
        </w:rPr>
        <w:t>消防通信指挥系统的技术构成可由通信指挥业务、信息支撑、基础通信网络等三部分组</w:t>
      </w:r>
      <w:r>
        <w:rPr>
          <w:spacing w:val="-5"/>
          <w:w w:val="100"/>
          <w:sz w:val="21"/>
        </w:rPr>
        <w:t>成</w:t>
      </w:r>
      <w:r>
        <w:rPr>
          <w:spacing w:val="-3"/>
          <w:w w:val="100"/>
          <w:sz w:val="21"/>
        </w:rPr>
        <w:t>（</w:t>
      </w:r>
      <w:r>
        <w:rPr>
          <w:w w:val="100"/>
          <w:sz w:val="21"/>
        </w:rPr>
        <w:t>图</w:t>
      </w:r>
      <w:r>
        <w:rPr>
          <w:spacing w:val="-53"/>
          <w:sz w:val="21"/>
        </w:rPr>
        <w:t> </w:t>
      </w:r>
      <w:r>
        <w:rPr>
          <w:w w:val="100"/>
          <w:sz w:val="21"/>
        </w:rPr>
        <w:t>3.</w:t>
      </w:r>
      <w:r>
        <w:rPr>
          <w:spacing w:val="-3"/>
          <w:w w:val="100"/>
          <w:sz w:val="21"/>
        </w:rPr>
        <w:t>0</w:t>
      </w:r>
      <w:r>
        <w:rPr>
          <w:w w:val="100"/>
          <w:sz w:val="21"/>
        </w:rPr>
        <w:t>.</w:t>
      </w:r>
      <w:r>
        <w:rPr>
          <w:spacing w:val="-1"/>
          <w:w w:val="100"/>
          <w:sz w:val="21"/>
        </w:rPr>
        <w:t>2</w:t>
      </w:r>
      <w:r>
        <w:rPr>
          <w:spacing w:val="-108"/>
          <w:w w:val="100"/>
          <w:sz w:val="21"/>
        </w:rPr>
        <w:t>）</w:t>
      </w:r>
      <w:r>
        <w:rPr>
          <w:spacing w:val="-3"/>
          <w:w w:val="100"/>
          <w:sz w:val="21"/>
        </w:rPr>
        <w:t>，应符合下列要求：</w:t>
      </w:r>
      <w:r>
        <w:rPr>
          <w:w w:val="100"/>
          <w:sz w:val="21"/>
        </w:rPr>
        <w:t> </w:t>
      </w:r>
    </w:p>
    <w:p>
      <w:pPr>
        <w:pStyle w:val="BodyText"/>
        <w:spacing w:line="446" w:lineRule="auto"/>
        <w:ind w:left="418" w:right="1433" w:firstLine="419"/>
        <w:jc w:val="both"/>
      </w:pPr>
      <w:r>
        <w:rPr>
          <w:spacing w:val="-6"/>
        </w:rPr>
        <w:t>通信指挥业务部分主要包括火警受理子系统、跨区域调度指挥子系统、现场指挥子系统、指</w:t>
      </w:r>
      <w:r>
        <w:rPr>
          <w:spacing w:val="-7"/>
        </w:rPr>
        <w:t>挥模拟训练子系统等，分别实现接收和处理火灾及其他灾害事故报警、消防力量调度、灭火救援</w:t>
      </w:r>
      <w:r>
        <w:rPr>
          <w:spacing w:val="-5"/>
        </w:rPr>
        <w:t>指挥以及训练培训等通信指挥业务功能；</w:t>
      </w:r>
      <w:r>
        <w:rPr/>
        <w:t> </w:t>
      </w:r>
    </w:p>
    <w:p>
      <w:pPr>
        <w:pStyle w:val="BodyText"/>
        <w:spacing w:line="446" w:lineRule="auto"/>
        <w:ind w:left="418" w:right="1435" w:firstLine="419"/>
      </w:pPr>
      <w:r>
        <w:rPr>
          <w:spacing w:val="-3"/>
        </w:rPr>
        <w:t>信息支撑部分主要包括消防图像管理子系统、消防车辆管理子系统、消防指挥决策支持   </w:t>
      </w:r>
      <w:r>
        <w:rPr>
          <w:spacing w:val="-7"/>
        </w:rPr>
        <w:t>子系统、指挥信息管理子系统、消防地理信息子系统、消防信息显示子系统等，为通信指挥业务</w:t>
      </w:r>
      <w:r>
        <w:rPr>
          <w:spacing w:val="-5"/>
        </w:rPr>
        <w:t>提供信息支持；</w:t>
      </w:r>
      <w:r>
        <w:rPr/>
        <w:t> </w:t>
      </w:r>
    </w:p>
    <w:p>
      <w:pPr>
        <w:pStyle w:val="BodyText"/>
        <w:spacing w:line="446" w:lineRule="auto"/>
        <w:ind w:left="418" w:right="1330" w:firstLine="419"/>
      </w:pPr>
      <w:r>
        <w:rPr>
          <w:spacing w:val="-5"/>
        </w:rPr>
        <w:t>基础通信网络部分主要包括消防有线通信子系统、消防无线通信子系统、消防卫星通信子系</w:t>
      </w:r>
      <w:r>
        <w:rPr>
          <w:spacing w:val="-8"/>
        </w:rPr>
        <w:t>统等，以计算机通信网络为基础，构成集语音、数据和图像等为一体的消防综合信息传输网络。</w:t>
      </w:r>
      <w:r>
        <w:rPr/>
        <w:t> </w:t>
      </w:r>
    </w:p>
    <w:p>
      <w:pPr>
        <w:pStyle w:val="Heading6"/>
        <w:spacing w:line="267" w:lineRule="exact"/>
        <w:ind w:left="3205"/>
      </w:pPr>
      <w:r>
        <w:rPr/>
        <w:t>图 3.0.2 消防通信指挥系统的技术构成</w:t>
      </w:r>
      <w:r>
        <w:rPr>
          <w:w w:val="99"/>
        </w:rPr>
        <w:t> </w:t>
      </w:r>
    </w:p>
    <w:p>
      <w:pPr>
        <w:pStyle w:val="BodyText"/>
        <w:spacing w:before="8"/>
        <w:rPr>
          <w:b/>
          <w:sz w:val="13"/>
        </w:rPr>
      </w:pPr>
      <w:r>
        <w:rPr/>
        <w:drawing>
          <wp:anchor distT="0" distB="0" distL="0" distR="0" allowOverlap="1" layoutInCell="1" locked="0" behindDoc="0" simplePos="0" relativeHeight="367">
            <wp:simplePos x="0" y="0"/>
            <wp:positionH relativeFrom="page">
              <wp:posOffset>2014145</wp:posOffset>
            </wp:positionH>
            <wp:positionV relativeFrom="paragraph">
              <wp:posOffset>136143</wp:posOffset>
            </wp:positionV>
            <wp:extent cx="4015664" cy="1885950"/>
            <wp:effectExtent l="0" t="0" r="0" b="0"/>
            <wp:wrapTopAndBottom/>
            <wp:docPr id="799" name="image468.jpeg"/>
            <wp:cNvGraphicFramePr>
              <a:graphicFrameLocks noChangeAspect="1"/>
            </wp:cNvGraphicFramePr>
            <a:graphic>
              <a:graphicData uri="http://schemas.openxmlformats.org/drawingml/2006/picture">
                <pic:pic>
                  <pic:nvPicPr>
                    <pic:cNvPr id="800" name="image468.jpeg"/>
                    <pic:cNvPicPr/>
                  </pic:nvPicPr>
                  <pic:blipFill>
                    <a:blip r:embed="rId593" cstate="print"/>
                    <a:stretch>
                      <a:fillRect/>
                    </a:stretch>
                  </pic:blipFill>
                  <pic:spPr>
                    <a:xfrm>
                      <a:off x="0" y="0"/>
                      <a:ext cx="4015664" cy="1885950"/>
                    </a:xfrm>
                    <a:prstGeom prst="rect">
                      <a:avLst/>
                    </a:prstGeom>
                  </pic:spPr>
                </pic:pic>
              </a:graphicData>
            </a:graphic>
          </wp:anchor>
        </w:drawing>
      </w:r>
    </w:p>
    <w:p>
      <w:pPr>
        <w:spacing w:before="129"/>
        <w:ind w:left="418" w:right="0" w:firstLine="0"/>
        <w:jc w:val="left"/>
        <w:rPr>
          <w:b/>
          <w:sz w:val="18"/>
        </w:rPr>
      </w:pPr>
      <w:r>
        <w:rPr>
          <w:b/>
          <w:sz w:val="24"/>
        </w:rPr>
        <w:t>4 系统功能与主要性能要求</w:t>
      </w:r>
      <w:r>
        <w:rPr>
          <w:b/>
          <w:w w:val="99"/>
          <w:sz w:val="18"/>
        </w:rPr>
        <w:t> </w:t>
      </w:r>
    </w:p>
    <w:p>
      <w:pPr>
        <w:pStyle w:val="BodyText"/>
        <w:spacing w:before="4"/>
        <w:rPr>
          <w:b/>
          <w:sz w:val="17"/>
        </w:rPr>
      </w:pPr>
    </w:p>
    <w:p>
      <w:pPr>
        <w:pStyle w:val="ListParagraph"/>
        <w:numPr>
          <w:ilvl w:val="1"/>
          <w:numId w:val="947"/>
        </w:numPr>
        <w:tabs>
          <w:tab w:pos="1159" w:val="left" w:leader="none"/>
        </w:tabs>
        <w:spacing w:line="240" w:lineRule="auto" w:before="1" w:after="0"/>
        <w:ind w:left="1158" w:right="0" w:hanging="319"/>
        <w:jc w:val="left"/>
        <w:rPr>
          <w:sz w:val="21"/>
        </w:rPr>
      </w:pPr>
      <w:r>
        <w:rPr>
          <w:spacing w:val="-3"/>
          <w:sz w:val="21"/>
        </w:rPr>
        <w:t>系统功能</w:t>
      </w:r>
      <w:r>
        <w:rPr>
          <w:sz w:val="21"/>
        </w:rPr>
        <w:t> </w:t>
      </w:r>
    </w:p>
    <w:p>
      <w:pPr>
        <w:pStyle w:val="BodyText"/>
        <w:spacing w:before="12"/>
        <w:rPr>
          <w:sz w:val="17"/>
        </w:rPr>
      </w:pPr>
    </w:p>
    <w:p>
      <w:pPr>
        <w:pStyle w:val="ListParagraph"/>
        <w:numPr>
          <w:ilvl w:val="2"/>
          <w:numId w:val="947"/>
        </w:numPr>
        <w:tabs>
          <w:tab w:pos="1370" w:val="left" w:leader="none"/>
        </w:tabs>
        <w:spacing w:line="240" w:lineRule="auto" w:before="0" w:after="0"/>
        <w:ind w:left="1369" w:right="0" w:hanging="530"/>
        <w:jc w:val="left"/>
        <w:rPr>
          <w:sz w:val="21"/>
        </w:rPr>
      </w:pPr>
      <w:r>
        <w:rPr>
          <w:spacing w:val="-3"/>
          <w:sz w:val="21"/>
        </w:rPr>
        <w:t>消防通信指挥系统应具有下列基本功能：</w:t>
      </w:r>
      <w:r>
        <w:rPr>
          <w:sz w:val="21"/>
        </w:rPr>
        <w:t> </w:t>
      </w:r>
    </w:p>
    <w:p>
      <w:pPr>
        <w:pStyle w:val="BodyText"/>
        <w:spacing w:before="2"/>
        <w:rPr>
          <w:sz w:val="18"/>
        </w:rPr>
      </w:pPr>
    </w:p>
    <w:p>
      <w:pPr>
        <w:pStyle w:val="BodyText"/>
        <w:spacing w:line="446" w:lineRule="auto"/>
        <w:ind w:left="838" w:right="6129"/>
      </w:pPr>
      <w:r>
        <w:rPr>
          <w:spacing w:val="-3"/>
        </w:rPr>
        <w:t>责任辖区和跨区域灭火救援调度指挥； 火场及其他灾害事故现场指挥通信；  通信指挥信息管理；</w:t>
      </w:r>
      <w:r>
        <w:rPr/>
        <w:t> </w:t>
      </w:r>
    </w:p>
    <w:p>
      <w:pPr>
        <w:pStyle w:val="BodyText"/>
        <w:spacing w:line="268" w:lineRule="exact"/>
        <w:ind w:left="838"/>
      </w:pPr>
      <w:r>
        <w:rPr/>
        <w:t>通信指挥业务模拟训练； </w:t>
      </w:r>
    </w:p>
    <w:p>
      <w:pPr>
        <w:pStyle w:val="BodyText"/>
        <w:rPr>
          <w:sz w:val="18"/>
        </w:rPr>
      </w:pPr>
    </w:p>
    <w:p>
      <w:pPr>
        <w:pStyle w:val="BodyText"/>
        <w:spacing w:line="446" w:lineRule="auto"/>
        <w:ind w:left="418" w:right="1436" w:firstLine="419"/>
        <w:jc w:val="both"/>
        <w:rPr>
          <w:sz w:val="18"/>
        </w:rPr>
      </w:pPr>
      <w:r>
        <w:rPr/>
        <w:t>城市消防通信指挥系统应能集中接收和处理责任辖区火灾及以抢救人员生命为主的危险化</w:t>
      </w:r>
      <w:r>
        <w:rPr>
          <w:spacing w:val="-7"/>
        </w:rPr>
        <w:t>学品泄漏、道路交通事故、地震及其次生灾害、建筑坍塌、重大安全生产事故、空难、爆炸及恐</w:t>
      </w:r>
      <w:r>
        <w:rPr>
          <w:spacing w:val="-5"/>
        </w:rPr>
        <w:t>怖事件和群众遇险事件等灾害事故报警。</w:t>
      </w:r>
      <w:r>
        <w:rPr>
          <w:sz w:val="18"/>
        </w:rPr>
        <w:t> </w:t>
      </w:r>
    </w:p>
    <w:p>
      <w:pPr>
        <w:spacing w:after="0" w:line="446" w:lineRule="auto"/>
        <w:jc w:val="both"/>
        <w:rPr>
          <w:sz w:val="18"/>
        </w:rPr>
        <w:sectPr>
          <w:pgSz w:w="11910" w:h="16850"/>
          <w:pgMar w:header="0" w:footer="1239" w:top="1220" w:bottom="1420" w:left="1260" w:right="0"/>
        </w:sectPr>
      </w:pPr>
    </w:p>
    <w:p>
      <w:pPr>
        <w:pStyle w:val="ListParagraph"/>
        <w:numPr>
          <w:ilvl w:val="1"/>
          <w:numId w:val="947"/>
        </w:numPr>
        <w:tabs>
          <w:tab w:pos="1159" w:val="left" w:leader="none"/>
        </w:tabs>
        <w:spacing w:line="240" w:lineRule="auto" w:before="47" w:after="0"/>
        <w:ind w:left="1158" w:right="0" w:hanging="319"/>
        <w:jc w:val="left"/>
        <w:rPr>
          <w:b/>
          <w:sz w:val="21"/>
        </w:rPr>
      </w:pPr>
      <w:r>
        <w:rPr>
          <w:spacing w:val="-3"/>
          <w:sz w:val="21"/>
        </w:rPr>
        <w:t>系统接口</w:t>
      </w:r>
      <w:r>
        <w:rPr>
          <w:b/>
          <w:w w:val="99"/>
          <w:sz w:val="21"/>
        </w:rPr>
        <w:t> </w:t>
      </w:r>
    </w:p>
    <w:p>
      <w:pPr>
        <w:pStyle w:val="BodyText"/>
        <w:rPr>
          <w:b/>
          <w:sz w:val="18"/>
        </w:rPr>
      </w:pPr>
    </w:p>
    <w:p>
      <w:pPr>
        <w:pStyle w:val="ListParagraph"/>
        <w:numPr>
          <w:ilvl w:val="2"/>
          <w:numId w:val="947"/>
        </w:numPr>
        <w:tabs>
          <w:tab w:pos="1370" w:val="left" w:leader="none"/>
        </w:tabs>
        <w:spacing w:line="240" w:lineRule="auto" w:before="0" w:after="0"/>
        <w:ind w:left="1369" w:right="0" w:hanging="530"/>
        <w:jc w:val="left"/>
        <w:rPr>
          <w:b/>
          <w:sz w:val="21"/>
        </w:rPr>
      </w:pPr>
      <w:r>
        <w:rPr>
          <w:spacing w:val="-3"/>
          <w:sz w:val="21"/>
        </w:rPr>
        <w:t>消防通信指挥系统应具有下列通信接口：</w:t>
      </w:r>
      <w:r>
        <w:rPr>
          <w:b/>
          <w:w w:val="99"/>
          <w:sz w:val="21"/>
        </w:rPr>
        <w:t> </w:t>
      </w:r>
    </w:p>
    <w:p>
      <w:pPr>
        <w:pStyle w:val="BodyText"/>
        <w:rPr>
          <w:b/>
          <w:sz w:val="18"/>
        </w:rPr>
      </w:pPr>
    </w:p>
    <w:p>
      <w:pPr>
        <w:pStyle w:val="BodyText"/>
        <w:spacing w:line="446" w:lineRule="auto"/>
        <w:ind w:left="838" w:right="6337"/>
      </w:pPr>
      <w:r>
        <w:rPr/>
        <w:t>公安机关指挥中心的系统通信接口； 政府相关部门的系统通信接口； </w:t>
      </w:r>
    </w:p>
    <w:p>
      <w:pPr>
        <w:pStyle w:val="BodyText"/>
        <w:spacing w:line="446" w:lineRule="auto"/>
        <w:ind w:left="838" w:right="6969"/>
      </w:pPr>
      <w:r>
        <w:rPr/>
        <w:t>灭火救援有关单位通信接口； 公网移动无线数据通信接口。 </w:t>
      </w:r>
    </w:p>
    <w:p>
      <w:pPr>
        <w:pStyle w:val="ListParagraph"/>
        <w:numPr>
          <w:ilvl w:val="2"/>
          <w:numId w:val="947"/>
        </w:numPr>
        <w:tabs>
          <w:tab w:pos="1371" w:val="left" w:leader="none"/>
        </w:tabs>
        <w:spacing w:line="240" w:lineRule="auto" w:before="0" w:after="0"/>
        <w:ind w:left="1370" w:right="0" w:hanging="531"/>
        <w:jc w:val="left"/>
        <w:rPr>
          <w:sz w:val="21"/>
        </w:rPr>
      </w:pPr>
      <w:r>
        <w:rPr>
          <w:spacing w:val="-3"/>
          <w:sz w:val="21"/>
        </w:rPr>
        <w:t>城市消防通信指挥系统应具有下列接收报警通信接口：</w:t>
      </w:r>
      <w:r>
        <w:rPr>
          <w:sz w:val="21"/>
        </w:rPr>
        <w:t> </w:t>
      </w:r>
    </w:p>
    <w:p>
      <w:pPr>
        <w:pStyle w:val="BodyText"/>
        <w:spacing w:before="12"/>
        <w:rPr>
          <w:sz w:val="17"/>
        </w:rPr>
      </w:pPr>
    </w:p>
    <w:p>
      <w:pPr>
        <w:pStyle w:val="BodyText"/>
        <w:ind w:left="838"/>
      </w:pPr>
      <w:r>
        <w:rPr/>
        <w:t>公网报警电话通信接口； </w:t>
      </w:r>
    </w:p>
    <w:p>
      <w:pPr>
        <w:pStyle w:val="BodyText"/>
        <w:rPr>
          <w:sz w:val="18"/>
        </w:rPr>
      </w:pPr>
    </w:p>
    <w:p>
      <w:pPr>
        <w:pStyle w:val="BodyText"/>
        <w:ind w:left="838"/>
      </w:pPr>
      <w:r>
        <w:rPr/>
        <w:t>城市消防远程监控系统等专网报警通信接口； </w:t>
      </w:r>
    </w:p>
    <w:p>
      <w:pPr>
        <w:pStyle w:val="BodyText"/>
        <w:spacing w:before="2"/>
        <w:rPr>
          <w:sz w:val="18"/>
        </w:rPr>
      </w:pPr>
    </w:p>
    <w:p>
      <w:pPr>
        <w:pStyle w:val="BodyText"/>
        <w:spacing w:line="446" w:lineRule="auto"/>
        <w:ind w:left="840" w:right="3817" w:hanging="3"/>
      </w:pPr>
      <w:r>
        <w:rPr/>
        <w:t>固定报警电话装机地址和移动报警电话定位地址数据传输接口。</w:t>
      </w:r>
      <w:r>
        <w:rPr>
          <w:b/>
        </w:rPr>
        <w:t>4.3 </w:t>
      </w:r>
      <w:r>
        <w:rPr/>
        <w:t>系统主要性能 </w:t>
      </w:r>
    </w:p>
    <w:p>
      <w:pPr>
        <w:pStyle w:val="BodyText"/>
        <w:spacing w:line="446" w:lineRule="auto"/>
        <w:ind w:left="418" w:right="1431" w:firstLine="422"/>
        <w:jc w:val="both"/>
      </w:pPr>
      <w:r>
        <w:rPr>
          <w:b/>
        </w:rPr>
        <w:t>4.3.1 </w:t>
      </w:r>
      <w:r>
        <w:rPr>
          <w:spacing w:val="-7"/>
        </w:rPr>
        <w:t>消防通信指挥系统的主要性能应符合下列要求：能同时对 </w:t>
      </w:r>
      <w:r>
        <w:rPr/>
        <w:t>2</w:t>
      </w:r>
      <w:r>
        <w:rPr>
          <w:spacing w:val="-8"/>
        </w:rPr>
        <w:t> 起以上火灾及以抢救人员</w:t>
      </w:r>
      <w:r>
        <w:rPr>
          <w:spacing w:val="-17"/>
        </w:rPr>
        <w:t>生命为主的危险化学品泄漏、道路交通事故、地震及其次生灾害、建筑坍塌、重大安全生产事故、</w:t>
      </w:r>
      <w:r>
        <w:rPr>
          <w:spacing w:val="-7"/>
        </w:rPr>
        <w:t>空难、爆炸及恐怖事件和群众遇险事件等灾害事故进行灭火救援调度指挥；</w:t>
      </w:r>
      <w:r>
        <w:rPr/>
        <w:t> </w:t>
      </w:r>
    </w:p>
    <w:p>
      <w:pPr>
        <w:pStyle w:val="BodyText"/>
        <w:spacing w:line="446" w:lineRule="auto"/>
        <w:ind w:left="838" w:right="2345"/>
      </w:pPr>
      <w:r>
        <w:rPr>
          <w:spacing w:val="-3"/>
        </w:rPr>
        <w:t>能实时接收所辖下级消防通信指挥中心或消防站发送的信息，并保持数据同步； 工作界面设计合理，操作简单、方便；</w:t>
      </w:r>
      <w:r>
        <w:rPr/>
        <w:t> </w:t>
      </w:r>
    </w:p>
    <w:p>
      <w:pPr>
        <w:pStyle w:val="BodyText"/>
        <w:ind w:left="838"/>
      </w:pPr>
      <w:r>
        <w:rPr/>
        <w:t>具有良好的共享性和可扩展性； </w:t>
      </w:r>
    </w:p>
    <w:p>
      <w:pPr>
        <w:pStyle w:val="BodyText"/>
        <w:spacing w:before="8"/>
        <w:rPr>
          <w:sz w:val="17"/>
        </w:rPr>
      </w:pPr>
    </w:p>
    <w:p>
      <w:pPr>
        <w:pStyle w:val="BodyText"/>
        <w:spacing w:before="1"/>
        <w:ind w:left="838"/>
      </w:pPr>
      <w:r>
        <w:rPr/>
        <w:t>采用北京时间计时，计时最小量度为秒，系统内保持时钟同步； </w:t>
      </w:r>
    </w:p>
    <w:p>
      <w:pPr>
        <w:pStyle w:val="BodyText"/>
        <w:spacing w:before="1"/>
        <w:rPr>
          <w:sz w:val="18"/>
        </w:rPr>
      </w:pPr>
    </w:p>
    <w:p>
      <w:pPr>
        <w:pStyle w:val="BodyText"/>
        <w:spacing w:line="446" w:lineRule="auto"/>
        <w:ind w:left="418" w:right="1436" w:firstLine="419"/>
        <w:jc w:val="both"/>
      </w:pPr>
      <w:r>
        <w:rPr>
          <w:spacing w:val="1"/>
        </w:rPr>
        <w:t>城市消防通信指挥系统应能同时受理 </w:t>
      </w:r>
      <w:r>
        <w:rPr/>
        <w:t>2</w:t>
      </w:r>
      <w:r>
        <w:rPr>
          <w:spacing w:val="-1"/>
        </w:rPr>
        <w:t> 起以上火灾及以抢救人员生命为主的危险化学品泄</w:t>
      </w:r>
      <w:r>
        <w:rPr>
          <w:spacing w:val="-7"/>
        </w:rPr>
        <w:t>漏、道路交通事故、地震及其次生灾害、建筑坍塌、重大安全生产事故、空难、爆炸及恐怖事件</w:t>
      </w:r>
      <w:r>
        <w:rPr>
          <w:spacing w:val="-5"/>
        </w:rPr>
        <w:t>和群众遇险事件等灾害事故报警；</w:t>
      </w:r>
      <w:r>
        <w:rPr/>
        <w:t> </w:t>
      </w:r>
    </w:p>
    <w:p>
      <w:pPr>
        <w:pStyle w:val="BodyText"/>
        <w:spacing w:line="446" w:lineRule="auto"/>
        <w:ind w:left="840" w:right="2416" w:hanging="3"/>
      </w:pPr>
      <w:r>
        <w:rPr/>
        <w:t>城市消防通信指挥系统从接警到消防站收到第一出动指令的时间不应超过 45s。</w:t>
      </w:r>
      <w:r>
        <w:rPr>
          <w:b/>
        </w:rPr>
        <w:t>4.4 </w:t>
      </w:r>
      <w:r>
        <w:rPr/>
        <w:t>系统安全 </w:t>
      </w:r>
    </w:p>
    <w:p>
      <w:pPr>
        <w:pStyle w:val="ListParagraph"/>
        <w:numPr>
          <w:ilvl w:val="2"/>
          <w:numId w:val="948"/>
        </w:numPr>
        <w:tabs>
          <w:tab w:pos="1370" w:val="left" w:leader="none"/>
        </w:tabs>
        <w:spacing w:line="267" w:lineRule="exact" w:before="0" w:after="0"/>
        <w:ind w:left="1369" w:right="0" w:hanging="530"/>
        <w:jc w:val="left"/>
        <w:rPr>
          <w:sz w:val="21"/>
        </w:rPr>
      </w:pPr>
      <w:r>
        <w:rPr>
          <w:spacing w:val="-3"/>
          <w:sz w:val="21"/>
        </w:rPr>
        <w:t>消防通信指挥系统的物理安全应符合下列要求：</w:t>
      </w:r>
      <w:r>
        <w:rPr>
          <w:sz w:val="21"/>
        </w:rPr>
        <w:t> </w:t>
      </w:r>
    </w:p>
    <w:p>
      <w:pPr>
        <w:pStyle w:val="BodyText"/>
        <w:spacing w:before="1"/>
        <w:rPr>
          <w:sz w:val="18"/>
        </w:rPr>
      </w:pPr>
    </w:p>
    <w:p>
      <w:pPr>
        <w:pStyle w:val="BodyText"/>
        <w:spacing w:line="446" w:lineRule="auto" w:before="1"/>
        <w:ind w:left="838" w:right="3397"/>
      </w:pPr>
      <w:r>
        <w:rPr/>
        <w:t>系统设备运行环境具有防雷、防火、防静电、防尘、防腐蚀等措施； 能提供稳定的供电环境； </w:t>
      </w:r>
    </w:p>
    <w:p>
      <w:pPr>
        <w:pStyle w:val="BodyText"/>
        <w:spacing w:line="267" w:lineRule="exact"/>
        <w:ind w:left="838"/>
        <w:rPr>
          <w:b/>
        </w:rPr>
      </w:pPr>
      <w:r>
        <w:rPr/>
        <w:t>符合国家现行有关电磁兼容技术标准。</w:t>
      </w:r>
      <w:r>
        <w:rPr>
          <w:b/>
          <w:w w:val="99"/>
        </w:rPr>
        <w:t> </w:t>
      </w:r>
    </w:p>
    <w:p>
      <w:pPr>
        <w:pStyle w:val="BodyText"/>
        <w:spacing w:before="1"/>
        <w:rPr>
          <w:b/>
          <w:sz w:val="18"/>
        </w:rPr>
      </w:pPr>
    </w:p>
    <w:p>
      <w:pPr>
        <w:pStyle w:val="ListParagraph"/>
        <w:numPr>
          <w:ilvl w:val="2"/>
          <w:numId w:val="948"/>
        </w:numPr>
        <w:tabs>
          <w:tab w:pos="1370" w:val="left" w:leader="none"/>
        </w:tabs>
        <w:spacing w:line="240" w:lineRule="auto" w:before="1" w:after="0"/>
        <w:ind w:left="1369" w:right="0" w:hanging="530"/>
        <w:jc w:val="left"/>
        <w:rPr>
          <w:sz w:val="21"/>
        </w:rPr>
      </w:pPr>
      <w:r>
        <w:rPr>
          <w:spacing w:val="-3"/>
          <w:sz w:val="21"/>
        </w:rPr>
        <w:t>消防通信指挥系统的信息安全应符合下列要求：</w:t>
      </w:r>
      <w:r>
        <w:rPr>
          <w:sz w:val="21"/>
        </w:rPr>
        <w:t> </w:t>
      </w:r>
    </w:p>
    <w:p>
      <w:pPr>
        <w:spacing w:after="0" w:line="240" w:lineRule="auto"/>
        <w:jc w:val="left"/>
        <w:rPr>
          <w:sz w:val="21"/>
        </w:rPr>
        <w:sectPr>
          <w:footerReference w:type="default" r:id="rId594"/>
          <w:pgSz w:w="11910" w:h="16850"/>
          <w:pgMar w:footer="1239" w:header="0" w:top="1220" w:bottom="1420" w:left="1260" w:right="0"/>
          <w:pgNumType w:start="1640"/>
        </w:sectPr>
      </w:pPr>
    </w:p>
    <w:p>
      <w:pPr>
        <w:pStyle w:val="BodyText"/>
        <w:spacing w:before="47"/>
        <w:ind w:left="838"/>
      </w:pPr>
      <w:r>
        <w:rPr/>
        <w:t>分级设置操作权限； </w:t>
      </w:r>
    </w:p>
    <w:p>
      <w:pPr>
        <w:pStyle w:val="BodyText"/>
        <w:rPr>
          <w:sz w:val="18"/>
        </w:rPr>
      </w:pPr>
    </w:p>
    <w:p>
      <w:pPr>
        <w:pStyle w:val="BodyText"/>
        <w:ind w:left="838"/>
      </w:pPr>
      <w:r>
        <w:rPr/>
        <w:t>设置防火墙等安全隔离系统； </w:t>
      </w:r>
    </w:p>
    <w:p>
      <w:pPr>
        <w:pStyle w:val="BodyText"/>
        <w:rPr>
          <w:sz w:val="18"/>
        </w:rPr>
      </w:pPr>
    </w:p>
    <w:p>
      <w:pPr>
        <w:pStyle w:val="BodyText"/>
        <w:ind w:left="838"/>
      </w:pPr>
      <w:r>
        <w:rPr/>
        <w:t>安装防病毒软件，并能定期升级； </w:t>
      </w:r>
    </w:p>
    <w:p>
      <w:pPr>
        <w:pStyle w:val="BodyText"/>
        <w:spacing w:before="1"/>
        <w:rPr>
          <w:sz w:val="18"/>
        </w:rPr>
      </w:pPr>
    </w:p>
    <w:p>
      <w:pPr>
        <w:pStyle w:val="BodyText"/>
        <w:spacing w:line="446" w:lineRule="auto" w:before="1"/>
        <w:ind w:left="838" w:right="4026"/>
      </w:pPr>
      <w:r>
        <w:rPr/>
        <w:t>具有计算机终端漏洞扫描、修补和系统补丁升级、分发功能； 对信息数据进行备份和恢复。 </w:t>
      </w:r>
    </w:p>
    <w:p>
      <w:pPr>
        <w:pStyle w:val="ListParagraph"/>
        <w:numPr>
          <w:ilvl w:val="2"/>
          <w:numId w:val="948"/>
        </w:numPr>
        <w:tabs>
          <w:tab w:pos="1370" w:val="left" w:leader="none"/>
        </w:tabs>
        <w:spacing w:line="267" w:lineRule="exact" w:before="0" w:after="0"/>
        <w:ind w:left="1369" w:right="0" w:hanging="530"/>
        <w:jc w:val="left"/>
        <w:rPr>
          <w:sz w:val="21"/>
        </w:rPr>
      </w:pPr>
      <w:r>
        <w:rPr>
          <w:spacing w:val="-3"/>
          <w:sz w:val="21"/>
        </w:rPr>
        <w:t>消防通信指挥系统的运行安全应符合下列要求：</w:t>
      </w:r>
      <w:r>
        <w:rPr>
          <w:sz w:val="21"/>
        </w:rPr>
        <w:t> </w:t>
      </w:r>
    </w:p>
    <w:p>
      <w:pPr>
        <w:pStyle w:val="BodyText"/>
        <w:spacing w:before="1"/>
        <w:rPr>
          <w:sz w:val="18"/>
        </w:rPr>
      </w:pPr>
    </w:p>
    <w:p>
      <w:pPr>
        <w:pStyle w:val="BodyText"/>
        <w:spacing w:line="446" w:lineRule="auto" w:before="1"/>
        <w:ind w:left="838" w:right="5709"/>
      </w:pPr>
      <w:r>
        <w:rPr/>
        <w:t>重要设备或重要设备的核心部件应有备份； 指挥通信网络应相对独立、常年畅通； </w:t>
      </w:r>
    </w:p>
    <w:p>
      <w:pPr>
        <w:pStyle w:val="BodyText"/>
        <w:spacing w:line="267" w:lineRule="exact"/>
        <w:ind w:left="838"/>
      </w:pPr>
      <w:r>
        <w:rPr/>
        <w:t>能实时监控系统运行情况，并能故障告警； </w:t>
      </w:r>
    </w:p>
    <w:p>
      <w:pPr>
        <w:pStyle w:val="BodyText"/>
        <w:spacing w:before="1"/>
        <w:rPr>
          <w:sz w:val="18"/>
        </w:rPr>
      </w:pPr>
    </w:p>
    <w:p>
      <w:pPr>
        <w:pStyle w:val="BodyText"/>
        <w:ind w:left="838"/>
      </w:pPr>
      <w:r>
        <w:rPr/>
        <w:t>系统软件不能正常运行时，能保证电话接警和调度指挥畅通； </w:t>
      </w:r>
    </w:p>
    <w:p>
      <w:pPr>
        <w:pStyle w:val="BodyText"/>
        <w:rPr>
          <w:sz w:val="18"/>
        </w:rPr>
      </w:pPr>
    </w:p>
    <w:p>
      <w:pPr>
        <w:pStyle w:val="BodyText"/>
        <w:ind w:left="838"/>
      </w:pPr>
      <w:r>
        <w:rPr/>
        <w:t>火警电话呼入线路或设备出现故障时，能切换到火警应急接警电话线路或设备接警； </w:t>
      </w:r>
    </w:p>
    <w:p>
      <w:pPr>
        <w:pStyle w:val="BodyText"/>
        <w:spacing w:before="12"/>
        <w:rPr>
          <w:sz w:val="17"/>
        </w:rPr>
      </w:pPr>
    </w:p>
    <w:p>
      <w:pPr>
        <w:pStyle w:val="BodyText"/>
        <w:ind w:left="838"/>
        <w:rPr>
          <w:sz w:val="18"/>
        </w:rPr>
      </w:pPr>
      <w:r>
        <w:rPr/>
        <w:t>火警调度电话专用线路或设备出现故障时，能利用其他有线、无线通信方式进行调度指挥。</w:t>
      </w:r>
      <w:r>
        <w:rPr>
          <w:sz w:val="18"/>
        </w:rPr>
        <w:t> </w:t>
      </w:r>
    </w:p>
    <w:p>
      <w:pPr>
        <w:pStyle w:val="BodyText"/>
        <w:spacing w:before="10"/>
        <w:rPr>
          <w:sz w:val="15"/>
        </w:rPr>
      </w:pPr>
    </w:p>
    <w:p>
      <w:pPr>
        <w:pStyle w:val="Heading4"/>
        <w:spacing w:before="1"/>
      </w:pPr>
      <w:r>
        <w:rPr/>
        <w:t>5 子系统功能及其设计要求</w:t>
      </w:r>
      <w:r>
        <w:rPr>
          <w:w w:val="99"/>
        </w:rPr>
        <w:t> </w:t>
      </w:r>
    </w:p>
    <w:p>
      <w:pPr>
        <w:pStyle w:val="BodyText"/>
        <w:spacing w:before="4"/>
        <w:rPr>
          <w:b/>
          <w:sz w:val="17"/>
        </w:rPr>
      </w:pPr>
    </w:p>
    <w:p>
      <w:pPr>
        <w:pStyle w:val="ListParagraph"/>
        <w:numPr>
          <w:ilvl w:val="1"/>
          <w:numId w:val="949"/>
        </w:numPr>
        <w:tabs>
          <w:tab w:pos="1159" w:val="left" w:leader="none"/>
        </w:tabs>
        <w:spacing w:line="240" w:lineRule="auto" w:before="0" w:after="0"/>
        <w:ind w:left="1158" w:right="0" w:hanging="319"/>
        <w:jc w:val="left"/>
        <w:rPr>
          <w:b/>
          <w:sz w:val="21"/>
        </w:rPr>
      </w:pPr>
      <w:r>
        <w:rPr>
          <w:spacing w:val="-3"/>
          <w:sz w:val="21"/>
        </w:rPr>
        <w:t>火警受理子系统</w:t>
      </w:r>
      <w:r>
        <w:rPr>
          <w:b/>
          <w:w w:val="99"/>
          <w:sz w:val="21"/>
        </w:rPr>
        <w:t> </w:t>
      </w:r>
    </w:p>
    <w:p>
      <w:pPr>
        <w:pStyle w:val="BodyText"/>
        <w:spacing w:before="12"/>
        <w:rPr>
          <w:b/>
          <w:sz w:val="17"/>
        </w:rPr>
      </w:pPr>
    </w:p>
    <w:p>
      <w:pPr>
        <w:pStyle w:val="ListParagraph"/>
        <w:numPr>
          <w:ilvl w:val="2"/>
          <w:numId w:val="949"/>
        </w:numPr>
        <w:tabs>
          <w:tab w:pos="1370" w:val="left" w:leader="none"/>
        </w:tabs>
        <w:spacing w:line="240" w:lineRule="auto" w:before="0" w:after="0"/>
        <w:ind w:left="1369" w:right="0" w:hanging="530"/>
        <w:jc w:val="left"/>
        <w:rPr>
          <w:b/>
          <w:sz w:val="21"/>
        </w:rPr>
      </w:pPr>
      <w:r>
        <w:rPr>
          <w:spacing w:val="-3"/>
          <w:sz w:val="21"/>
        </w:rPr>
        <w:t>火警受理子系统的基本工作流程（</w:t>
      </w:r>
      <w:r>
        <w:rPr>
          <w:spacing w:val="-27"/>
          <w:sz w:val="21"/>
        </w:rPr>
        <w:t>图 </w:t>
      </w:r>
      <w:r>
        <w:rPr>
          <w:sz w:val="21"/>
        </w:rPr>
        <w:t>5.1.1）</w:t>
      </w:r>
      <w:r>
        <w:rPr>
          <w:spacing w:val="-3"/>
          <w:sz w:val="21"/>
        </w:rPr>
        <w:t>应符合下列要求：</w:t>
      </w:r>
      <w:r>
        <w:rPr>
          <w:b/>
          <w:w w:val="99"/>
          <w:sz w:val="21"/>
        </w:rPr>
        <w:t> </w:t>
      </w:r>
    </w:p>
    <w:p>
      <w:pPr>
        <w:pStyle w:val="BodyText"/>
        <w:spacing w:before="11"/>
        <w:rPr>
          <w:b/>
          <w:sz w:val="18"/>
        </w:rPr>
      </w:pPr>
      <w:r>
        <w:rPr/>
        <w:drawing>
          <wp:anchor distT="0" distB="0" distL="0" distR="0" allowOverlap="1" layoutInCell="1" locked="0" behindDoc="0" simplePos="0" relativeHeight="368">
            <wp:simplePos x="0" y="0"/>
            <wp:positionH relativeFrom="page">
              <wp:posOffset>2741548</wp:posOffset>
            </wp:positionH>
            <wp:positionV relativeFrom="paragraph">
              <wp:posOffset>178354</wp:posOffset>
            </wp:positionV>
            <wp:extent cx="1676600" cy="3028950"/>
            <wp:effectExtent l="0" t="0" r="0" b="0"/>
            <wp:wrapTopAndBottom/>
            <wp:docPr id="801" name="image469.jpeg"/>
            <wp:cNvGraphicFramePr>
              <a:graphicFrameLocks noChangeAspect="1"/>
            </wp:cNvGraphicFramePr>
            <a:graphic>
              <a:graphicData uri="http://schemas.openxmlformats.org/drawingml/2006/picture">
                <pic:pic>
                  <pic:nvPicPr>
                    <pic:cNvPr id="802" name="image469.jpeg"/>
                    <pic:cNvPicPr/>
                  </pic:nvPicPr>
                  <pic:blipFill>
                    <a:blip r:embed="rId595" cstate="print"/>
                    <a:stretch>
                      <a:fillRect/>
                    </a:stretch>
                  </pic:blipFill>
                  <pic:spPr>
                    <a:xfrm>
                      <a:off x="0" y="0"/>
                      <a:ext cx="1676600" cy="3028950"/>
                    </a:xfrm>
                    <a:prstGeom prst="rect">
                      <a:avLst/>
                    </a:prstGeom>
                  </pic:spPr>
                </pic:pic>
              </a:graphicData>
            </a:graphic>
          </wp:anchor>
        </w:drawing>
      </w:r>
    </w:p>
    <w:p>
      <w:pPr>
        <w:pStyle w:val="BodyText"/>
        <w:spacing w:before="7"/>
        <w:rPr>
          <w:b/>
          <w:sz w:val="17"/>
        </w:rPr>
      </w:pPr>
    </w:p>
    <w:p>
      <w:pPr>
        <w:pStyle w:val="Heading6"/>
        <w:ind w:left="3205"/>
        <w:rPr>
          <w:b w:val="0"/>
        </w:rPr>
      </w:pPr>
      <w:r>
        <w:rPr/>
        <w:t>图 5.1.1 火警受理子系统基本工作流程</w:t>
      </w:r>
      <w:r>
        <w:rPr>
          <w:b w:val="0"/>
          <w:w w:val="100"/>
        </w:rPr>
        <w:t> </w:t>
      </w:r>
    </w:p>
    <w:p>
      <w:pPr>
        <w:pStyle w:val="BodyText"/>
        <w:rPr>
          <w:sz w:val="18"/>
        </w:rPr>
      </w:pPr>
    </w:p>
    <w:p>
      <w:pPr>
        <w:pStyle w:val="BodyText"/>
        <w:ind w:left="838"/>
      </w:pPr>
      <w:r>
        <w:rPr/>
        <w:t>通过公用或专用报警通信网，接收火灾及其他灾害事故报警； </w:t>
      </w:r>
    </w:p>
    <w:p>
      <w:pPr>
        <w:pStyle w:val="BodyText"/>
        <w:spacing w:before="12"/>
        <w:rPr>
          <w:sz w:val="17"/>
        </w:rPr>
      </w:pPr>
    </w:p>
    <w:p>
      <w:pPr>
        <w:pStyle w:val="BodyText"/>
        <w:ind w:left="838"/>
      </w:pPr>
      <w:r>
        <w:rPr/>
        <w:t>辨别火警真伪，定位火灾及其他灾害事故地点，确定火灾及其他灾害事故类型和等级； </w:t>
      </w:r>
    </w:p>
    <w:p>
      <w:pPr>
        <w:spacing w:after="0"/>
        <w:sectPr>
          <w:pgSz w:w="11910" w:h="16850"/>
          <w:pgMar w:header="0" w:footer="1239" w:top="1220" w:bottom="1420" w:left="1260" w:right="0"/>
        </w:sectPr>
      </w:pPr>
    </w:p>
    <w:p>
      <w:pPr>
        <w:pStyle w:val="BodyText"/>
        <w:spacing w:before="47"/>
        <w:ind w:left="838"/>
      </w:pPr>
      <w:r>
        <w:rPr/>
        <w:t>自动或人工编制灭火救援力量出动方案； </w:t>
      </w:r>
    </w:p>
    <w:p>
      <w:pPr>
        <w:pStyle w:val="BodyText"/>
        <w:rPr>
          <w:sz w:val="18"/>
        </w:rPr>
      </w:pPr>
    </w:p>
    <w:p>
      <w:pPr>
        <w:pStyle w:val="BodyText"/>
        <w:spacing w:line="446" w:lineRule="auto"/>
        <w:ind w:left="418" w:right="1410" w:firstLine="419"/>
      </w:pPr>
      <w:r>
        <w:rPr/>
        <w:t>将第一出动力量的出动指令下达到消防站，向灭火救援有关单位发出灾情通报和联合作战要求； </w:t>
      </w:r>
    </w:p>
    <w:p>
      <w:pPr>
        <w:pStyle w:val="BodyText"/>
        <w:ind w:left="838"/>
      </w:pPr>
      <w:r>
        <w:rPr/>
        <w:t>建立火灾及其他灾害事故档案，生成报表。 </w:t>
      </w:r>
    </w:p>
    <w:p>
      <w:pPr>
        <w:pStyle w:val="BodyText"/>
        <w:spacing w:before="12"/>
        <w:rPr>
          <w:sz w:val="17"/>
        </w:rPr>
      </w:pPr>
    </w:p>
    <w:p>
      <w:pPr>
        <w:spacing w:before="0"/>
        <w:ind w:left="840" w:right="0" w:firstLine="0"/>
        <w:jc w:val="left"/>
        <w:rPr>
          <w:sz w:val="21"/>
        </w:rPr>
      </w:pPr>
      <w:r>
        <w:rPr>
          <w:b/>
          <w:w w:val="99"/>
          <w:sz w:val="21"/>
        </w:rPr>
        <w:t> </w:t>
      </w:r>
      <w:r>
        <w:rPr>
          <w:b/>
          <w:sz w:val="21"/>
        </w:rPr>
        <w:t>5.1.2 </w:t>
      </w:r>
      <w:r>
        <w:rPr>
          <w:sz w:val="21"/>
        </w:rPr>
        <w:t>火警受理子系统的接收报警功能应符合下列要求： </w:t>
      </w:r>
    </w:p>
    <w:p>
      <w:pPr>
        <w:pStyle w:val="BodyText"/>
        <w:rPr>
          <w:sz w:val="18"/>
        </w:rPr>
      </w:pPr>
    </w:p>
    <w:p>
      <w:pPr>
        <w:pStyle w:val="BodyText"/>
        <w:ind w:left="838"/>
      </w:pPr>
      <w:r>
        <w:rPr/>
        <w:t>能接收公网固定或移动电话报警； </w:t>
      </w:r>
    </w:p>
    <w:p>
      <w:pPr>
        <w:pStyle w:val="BodyText"/>
        <w:spacing w:before="2"/>
        <w:rPr>
          <w:sz w:val="18"/>
        </w:rPr>
      </w:pPr>
    </w:p>
    <w:p>
      <w:pPr>
        <w:pStyle w:val="BodyText"/>
        <w:spacing w:line="446" w:lineRule="auto"/>
        <w:ind w:left="838" w:right="5497"/>
      </w:pPr>
      <w:r>
        <w:rPr/>
        <w:t>能接收城市消防远程监控系统等设备的报警； 能接收其他专网电话报警； </w:t>
      </w:r>
    </w:p>
    <w:p>
      <w:pPr>
        <w:pStyle w:val="BodyText"/>
        <w:spacing w:line="267" w:lineRule="exact"/>
        <w:ind w:left="838"/>
      </w:pPr>
      <w:r>
        <w:rPr/>
        <w:t>可接收公网发送的短信或彩信报警。 </w:t>
      </w:r>
    </w:p>
    <w:p>
      <w:pPr>
        <w:pStyle w:val="BodyText"/>
        <w:spacing w:before="2"/>
        <w:rPr>
          <w:sz w:val="18"/>
        </w:rPr>
      </w:pPr>
    </w:p>
    <w:p>
      <w:pPr>
        <w:pStyle w:val="ListParagraph"/>
        <w:numPr>
          <w:ilvl w:val="2"/>
          <w:numId w:val="950"/>
        </w:numPr>
        <w:tabs>
          <w:tab w:pos="1370" w:val="left" w:leader="none"/>
        </w:tabs>
        <w:spacing w:line="240" w:lineRule="auto" w:before="0" w:after="0"/>
        <w:ind w:left="1369" w:right="0" w:hanging="530"/>
        <w:jc w:val="left"/>
        <w:rPr>
          <w:sz w:val="21"/>
        </w:rPr>
      </w:pPr>
      <w:r>
        <w:rPr>
          <w:spacing w:val="-3"/>
          <w:sz w:val="21"/>
        </w:rPr>
        <w:t>火警受理子系统的警情辨识功能应符合下列要求：</w:t>
      </w:r>
      <w:r>
        <w:rPr>
          <w:sz w:val="21"/>
        </w:rPr>
        <w:t> </w:t>
      </w:r>
    </w:p>
    <w:p>
      <w:pPr>
        <w:pStyle w:val="BodyText"/>
        <w:spacing w:before="12"/>
        <w:rPr>
          <w:sz w:val="17"/>
        </w:rPr>
      </w:pPr>
    </w:p>
    <w:p>
      <w:pPr>
        <w:pStyle w:val="BodyText"/>
        <w:spacing w:line="446" w:lineRule="auto"/>
        <w:ind w:left="838" w:right="3817"/>
      </w:pPr>
      <w:r>
        <w:rPr/>
        <w:t>能接收并显示固定报警电话的主叫号码、用户名称、装机地址； 能接收并显示移动报警电话的主叫号码、定位地址； </w:t>
      </w:r>
    </w:p>
    <w:p>
      <w:pPr>
        <w:pStyle w:val="BodyText"/>
        <w:ind w:left="838"/>
      </w:pPr>
      <w:r>
        <w:rPr/>
        <w:t>通过报警电话装机地址或定位地址能进行火场及其他灾害事故现场的快速定位； </w:t>
      </w:r>
    </w:p>
    <w:p>
      <w:pPr>
        <w:pStyle w:val="BodyText"/>
        <w:rPr>
          <w:sz w:val="18"/>
        </w:rPr>
      </w:pPr>
    </w:p>
    <w:p>
      <w:pPr>
        <w:pStyle w:val="BodyText"/>
        <w:spacing w:line="446" w:lineRule="auto"/>
        <w:ind w:left="418" w:right="1431" w:firstLine="419"/>
      </w:pPr>
      <w:r>
        <w:rPr>
          <w:spacing w:val="-7"/>
        </w:rPr>
        <w:t>通过输入单位名称、地址、街道、目标物、电话号码等能进行火场及其他灾害事故现场的快</w:t>
      </w:r>
      <w:r>
        <w:rPr>
          <w:spacing w:val="-6"/>
        </w:rPr>
        <w:t>速定位；</w:t>
      </w:r>
      <w:r>
        <w:rPr/>
        <w:t> </w:t>
      </w:r>
    </w:p>
    <w:p>
      <w:pPr>
        <w:pStyle w:val="BodyText"/>
        <w:ind w:left="838"/>
      </w:pPr>
      <w:r>
        <w:rPr/>
        <w:t>能判除误报警或假报警； </w:t>
      </w:r>
    </w:p>
    <w:p>
      <w:pPr>
        <w:pStyle w:val="BodyText"/>
        <w:spacing w:before="12"/>
        <w:rPr>
          <w:sz w:val="17"/>
        </w:rPr>
      </w:pPr>
    </w:p>
    <w:p>
      <w:pPr>
        <w:pStyle w:val="BodyText"/>
        <w:spacing w:line="446" w:lineRule="auto"/>
        <w:ind w:left="838" w:right="4026"/>
      </w:pPr>
      <w:r>
        <w:rPr>
          <w:spacing w:val="-3"/>
        </w:rPr>
        <w:t>重复报警能给出提示信息，确认后可合并到同一个事件处理； 能确定火灾及其他灾害事故类型；</w:t>
      </w:r>
      <w:r>
        <w:rPr/>
        <w:t> </w:t>
      </w:r>
    </w:p>
    <w:p>
      <w:pPr>
        <w:pStyle w:val="BodyText"/>
        <w:ind w:left="838"/>
      </w:pPr>
      <w:r>
        <w:rPr>
          <w:spacing w:val="-3"/>
        </w:rPr>
        <w:t>能确定火灾及其他灾害事故等级。</w:t>
      </w:r>
      <w:r>
        <w:rPr/>
        <w:t> </w:t>
      </w:r>
    </w:p>
    <w:p>
      <w:pPr>
        <w:pStyle w:val="BodyText"/>
        <w:rPr>
          <w:sz w:val="18"/>
        </w:rPr>
      </w:pPr>
    </w:p>
    <w:p>
      <w:pPr>
        <w:pStyle w:val="ListParagraph"/>
        <w:numPr>
          <w:ilvl w:val="2"/>
          <w:numId w:val="950"/>
        </w:numPr>
        <w:tabs>
          <w:tab w:pos="1371" w:val="left" w:leader="none"/>
        </w:tabs>
        <w:spacing w:line="240" w:lineRule="auto" w:before="0" w:after="0"/>
        <w:ind w:left="1370" w:right="0" w:hanging="531"/>
        <w:jc w:val="left"/>
        <w:rPr>
          <w:sz w:val="21"/>
        </w:rPr>
      </w:pPr>
      <w:r>
        <w:rPr>
          <w:spacing w:val="-3"/>
          <w:sz w:val="21"/>
        </w:rPr>
        <w:t>火警受理子系统的编制出动方案功能应符合下列要求：</w:t>
      </w:r>
      <w:r>
        <w:rPr>
          <w:sz w:val="21"/>
        </w:rPr>
        <w:t> </w:t>
      </w:r>
    </w:p>
    <w:p>
      <w:pPr>
        <w:pStyle w:val="BodyText"/>
        <w:spacing w:before="12"/>
        <w:rPr>
          <w:sz w:val="17"/>
        </w:rPr>
      </w:pPr>
    </w:p>
    <w:p>
      <w:pPr>
        <w:pStyle w:val="BodyText"/>
        <w:spacing w:line="446" w:lineRule="auto"/>
        <w:ind w:left="838" w:right="3606"/>
        <w:jc w:val="both"/>
        <w:rPr>
          <w:b/>
        </w:rPr>
      </w:pPr>
      <w:r>
        <w:rPr/>
        <w:t>能检索相应的火灾及其他灾害事故出动方案，并可进行编辑调整； 能根据消防实力及各种加权因素、升级要素等编制等级出动方案； 能人工编制随机出动方案。  </w:t>
      </w:r>
      <w:r>
        <w:rPr>
          <w:b/>
          <w:w w:val="99"/>
        </w:rPr>
        <w:t>   </w:t>
      </w:r>
    </w:p>
    <w:p>
      <w:pPr>
        <w:pStyle w:val="ListParagraph"/>
        <w:numPr>
          <w:ilvl w:val="2"/>
          <w:numId w:val="950"/>
        </w:numPr>
        <w:tabs>
          <w:tab w:pos="1371" w:val="left" w:leader="none"/>
        </w:tabs>
        <w:spacing w:line="446" w:lineRule="auto" w:before="0" w:after="0"/>
        <w:ind w:left="418" w:right="1326" w:firstLine="422"/>
        <w:jc w:val="left"/>
        <w:rPr>
          <w:sz w:val="21"/>
        </w:rPr>
      </w:pPr>
      <w:r>
        <w:rPr>
          <w:spacing w:val="-3"/>
          <w:sz w:val="21"/>
        </w:rPr>
        <w:t>火警受理子系统应能提供辖区消防站和消防车辆位置信息，能显示消防车辆的待命、 </w:t>
      </w:r>
      <w:r>
        <w:rPr>
          <w:spacing w:val="-7"/>
          <w:sz w:val="21"/>
        </w:rPr>
        <w:t>出动、到场、执勤、检修等状态，能按消防站序号、距现场地点的距离、车辆类型等对相关消防</w:t>
      </w:r>
      <w:r>
        <w:rPr>
          <w:spacing w:val="-5"/>
          <w:sz w:val="21"/>
        </w:rPr>
        <w:t>车辆进行排序，供编制出动方案时快速选择。</w:t>
      </w:r>
      <w:r>
        <w:rPr>
          <w:sz w:val="21"/>
        </w:rPr>
        <w:t> </w:t>
      </w:r>
    </w:p>
    <w:p>
      <w:pPr>
        <w:pStyle w:val="ListParagraph"/>
        <w:numPr>
          <w:ilvl w:val="2"/>
          <w:numId w:val="950"/>
        </w:numPr>
        <w:tabs>
          <w:tab w:pos="1370" w:val="left" w:leader="none"/>
        </w:tabs>
        <w:spacing w:line="268" w:lineRule="exact" w:before="0" w:after="0"/>
        <w:ind w:left="1369" w:right="0" w:hanging="530"/>
        <w:jc w:val="left"/>
        <w:rPr>
          <w:sz w:val="21"/>
        </w:rPr>
      </w:pPr>
      <w:r>
        <w:rPr>
          <w:spacing w:val="-3"/>
          <w:sz w:val="21"/>
        </w:rPr>
        <w:t>火警受理子系统的下达出动指令功能应符合下列要求：</w:t>
      </w:r>
      <w:r>
        <w:rPr>
          <w:sz w:val="21"/>
        </w:rPr>
        <w:t> </w:t>
      </w:r>
    </w:p>
    <w:p>
      <w:pPr>
        <w:pStyle w:val="BodyText"/>
        <w:spacing w:before="1"/>
        <w:rPr>
          <w:sz w:val="18"/>
        </w:rPr>
      </w:pPr>
    </w:p>
    <w:p>
      <w:pPr>
        <w:pStyle w:val="BodyText"/>
        <w:ind w:left="838"/>
      </w:pPr>
      <w:r>
        <w:rPr/>
        <w:t>能以语音、数据形式将出动指令下达到消防站； </w:t>
      </w:r>
    </w:p>
    <w:p>
      <w:pPr>
        <w:spacing w:after="0"/>
        <w:sectPr>
          <w:pgSz w:w="11910" w:h="16850"/>
          <w:pgMar w:header="0" w:footer="1239" w:top="1220" w:bottom="1420" w:left="1260" w:right="0"/>
        </w:sectPr>
      </w:pPr>
    </w:p>
    <w:p>
      <w:pPr>
        <w:pStyle w:val="BodyText"/>
        <w:spacing w:before="47"/>
        <w:ind w:left="838"/>
      </w:pPr>
      <w:r>
        <w:rPr/>
        <w:t>能对消防站警灯、警铃、火警广播、车库门等的联动控制装置发出控制指令； </w:t>
      </w:r>
    </w:p>
    <w:p>
      <w:pPr>
        <w:pStyle w:val="BodyText"/>
        <w:rPr>
          <w:sz w:val="18"/>
        </w:rPr>
      </w:pPr>
    </w:p>
    <w:p>
      <w:pPr>
        <w:pStyle w:val="BodyText"/>
        <w:spacing w:line="446" w:lineRule="auto"/>
        <w:ind w:left="418" w:right="1431" w:firstLine="419"/>
      </w:pPr>
      <w:r>
        <w:rPr>
          <w:spacing w:val="-6"/>
        </w:rPr>
        <w:t>能向供水、供电、供气、医疗、救护、交通、环卫等灭火救援有关单位发送灾情通报和联合</w:t>
      </w:r>
      <w:r>
        <w:rPr>
          <w:spacing w:val="-4"/>
        </w:rPr>
        <w:t>作战要求。</w:t>
      </w:r>
      <w:r>
        <w:rPr/>
        <w:t> </w:t>
      </w:r>
    </w:p>
    <w:p>
      <w:pPr>
        <w:pStyle w:val="ListParagraph"/>
        <w:numPr>
          <w:ilvl w:val="2"/>
          <w:numId w:val="950"/>
        </w:numPr>
        <w:tabs>
          <w:tab w:pos="1370" w:val="left" w:leader="none"/>
        </w:tabs>
        <w:spacing w:line="446" w:lineRule="auto" w:before="0" w:after="0"/>
        <w:ind w:left="418" w:right="1431" w:firstLine="422"/>
        <w:jc w:val="left"/>
        <w:rPr>
          <w:sz w:val="21"/>
        </w:rPr>
      </w:pPr>
      <w:r>
        <w:rPr>
          <w:spacing w:val="-5"/>
          <w:sz w:val="21"/>
        </w:rPr>
        <w:t>火警受理子系统应能建立每起火灾及其他灾害事故档案，实时记录火警受理全过程的</w:t>
      </w:r>
      <w:r>
        <w:rPr>
          <w:spacing w:val="-4"/>
          <w:sz w:val="21"/>
        </w:rPr>
        <w:t>文字、语音、图像等信息，生成有关的统计报表。</w:t>
      </w:r>
      <w:r>
        <w:rPr>
          <w:sz w:val="21"/>
        </w:rPr>
        <w:t> </w:t>
      </w:r>
    </w:p>
    <w:p>
      <w:pPr>
        <w:pStyle w:val="ListParagraph"/>
        <w:numPr>
          <w:ilvl w:val="2"/>
          <w:numId w:val="950"/>
        </w:numPr>
        <w:tabs>
          <w:tab w:pos="1370" w:val="left" w:leader="none"/>
        </w:tabs>
        <w:spacing w:line="267" w:lineRule="exact" w:before="0" w:after="0"/>
        <w:ind w:left="1369" w:right="0" w:hanging="530"/>
        <w:jc w:val="left"/>
        <w:rPr>
          <w:sz w:val="21"/>
        </w:rPr>
      </w:pPr>
      <w:r>
        <w:rPr>
          <w:spacing w:val="-3"/>
          <w:sz w:val="21"/>
        </w:rPr>
        <w:t>火警受理全过程的录音录时功能应符合下列要求：</w:t>
      </w:r>
      <w:r>
        <w:rPr>
          <w:sz w:val="21"/>
        </w:rPr>
        <w:t> </w:t>
      </w:r>
    </w:p>
    <w:p>
      <w:pPr>
        <w:pStyle w:val="BodyText"/>
        <w:spacing w:before="2"/>
        <w:rPr>
          <w:sz w:val="18"/>
        </w:rPr>
      </w:pPr>
    </w:p>
    <w:p>
      <w:pPr>
        <w:pStyle w:val="BodyText"/>
        <w:spacing w:line="446" w:lineRule="auto"/>
        <w:ind w:left="838" w:right="3186"/>
      </w:pPr>
      <w:r>
        <w:rPr>
          <w:spacing w:val="-3"/>
        </w:rPr>
        <w:t>应能自动识别有线电话、无线电台的通话状态，启动录音和结束录音； 录音录时路数不应少于同时并行的通话路数；</w:t>
      </w:r>
      <w:r>
        <w:rPr/>
        <w:t> </w:t>
      </w:r>
    </w:p>
    <w:p>
      <w:pPr>
        <w:pStyle w:val="BodyText"/>
        <w:spacing w:line="267" w:lineRule="exact"/>
        <w:ind w:left="838"/>
      </w:pPr>
      <w:r>
        <w:rPr/>
        <w:t>录音记录应与接处警记录相关联； </w:t>
      </w:r>
    </w:p>
    <w:p>
      <w:pPr>
        <w:pStyle w:val="BodyText"/>
        <w:spacing w:before="2"/>
        <w:rPr>
          <w:sz w:val="18"/>
        </w:rPr>
      </w:pPr>
    </w:p>
    <w:p>
      <w:pPr>
        <w:pStyle w:val="BodyText"/>
        <w:spacing w:line="446" w:lineRule="auto"/>
        <w:ind w:left="838" w:right="3819"/>
      </w:pPr>
      <w:r>
        <w:rPr>
          <w:spacing w:val="-3"/>
        </w:rPr>
        <w:t>可在授权终端上选择回放录音，并应能进行数据转储和备份；  </w:t>
      </w:r>
      <w:r>
        <w:rPr>
          <w:spacing w:val="-7"/>
        </w:rPr>
        <w:t>录音文件的保存不应少于 </w:t>
      </w:r>
      <w:r>
        <w:rPr/>
        <w:t>6</w:t>
      </w:r>
      <w:r>
        <w:rPr>
          <w:spacing w:val="-8"/>
        </w:rPr>
        <w:t> 个月，记录的原始信息不能被修改；</w:t>
      </w:r>
      <w:r>
        <w:rPr/>
        <w:t> </w:t>
      </w:r>
    </w:p>
    <w:p>
      <w:pPr>
        <w:pStyle w:val="BodyText"/>
        <w:spacing w:line="446" w:lineRule="auto"/>
        <w:ind w:left="418" w:right="1202" w:firstLine="419"/>
      </w:pPr>
      <w:r>
        <w:rPr/>
        <w:t>应能显示录音通道的状态和存储介质的剩余容量。当记录信息超过设定的存储容量的阈值时， 应能给出提示信息。 </w:t>
      </w:r>
    </w:p>
    <w:p>
      <w:pPr>
        <w:pStyle w:val="ListParagraph"/>
        <w:numPr>
          <w:ilvl w:val="2"/>
          <w:numId w:val="950"/>
        </w:numPr>
        <w:tabs>
          <w:tab w:pos="1371" w:val="left" w:leader="none"/>
        </w:tabs>
        <w:spacing w:line="240" w:lineRule="auto" w:before="0" w:after="0"/>
        <w:ind w:left="1370" w:right="0" w:hanging="531"/>
        <w:jc w:val="left"/>
        <w:rPr>
          <w:sz w:val="21"/>
        </w:rPr>
      </w:pPr>
      <w:r>
        <w:rPr>
          <w:spacing w:val="-3"/>
          <w:sz w:val="21"/>
        </w:rPr>
        <w:t>火警受理终端应符合下列要求：</w:t>
      </w:r>
      <w:r>
        <w:rPr>
          <w:sz w:val="21"/>
        </w:rPr>
        <w:t> </w:t>
      </w:r>
    </w:p>
    <w:p>
      <w:pPr>
        <w:pStyle w:val="BodyText"/>
        <w:spacing w:before="10"/>
        <w:rPr>
          <w:sz w:val="17"/>
        </w:rPr>
      </w:pPr>
    </w:p>
    <w:p>
      <w:pPr>
        <w:pStyle w:val="BodyText"/>
        <w:spacing w:line="446" w:lineRule="auto"/>
        <w:ind w:left="418" w:right="1431" w:firstLine="419"/>
        <w:jc w:val="both"/>
      </w:pPr>
      <w:r>
        <w:rPr>
          <w:spacing w:val="-4"/>
        </w:rPr>
        <w:t>火警受理终端可设置在城市消防通信指挥中心或公安机关指挥中心。设置在公安机关指挥中心的火警受理终端应与设置在城市消防通信指挥中心的跨区域调度指挥终端互联，保持接处警数</w:t>
      </w:r>
      <w:r>
        <w:rPr>
          <w:spacing w:val="-3"/>
        </w:rPr>
        <w:t>据同步并能信息共享；</w:t>
      </w:r>
      <w:r>
        <w:rPr/>
        <w:t> </w:t>
      </w:r>
    </w:p>
    <w:p>
      <w:pPr>
        <w:pStyle w:val="BodyText"/>
        <w:spacing w:line="268" w:lineRule="exact"/>
        <w:ind w:left="838"/>
        <w:jc w:val="both"/>
      </w:pPr>
      <w:r>
        <w:rPr/>
        <w:t>火警受理终端设置数量不应少于 2 套； </w:t>
      </w:r>
    </w:p>
    <w:p>
      <w:pPr>
        <w:pStyle w:val="BodyText"/>
        <w:spacing w:before="2"/>
        <w:rPr>
          <w:sz w:val="18"/>
        </w:rPr>
      </w:pPr>
    </w:p>
    <w:p>
      <w:pPr>
        <w:pStyle w:val="BodyText"/>
        <w:ind w:left="838"/>
      </w:pPr>
      <w:r>
        <w:rPr/>
        <w:t>日接警量大的城市，可将火警受理终端分为接警和处警终端，同时进行接警和处理； </w:t>
      </w:r>
    </w:p>
    <w:p>
      <w:pPr>
        <w:pStyle w:val="BodyText"/>
        <w:rPr>
          <w:sz w:val="18"/>
        </w:rPr>
      </w:pPr>
    </w:p>
    <w:p>
      <w:pPr>
        <w:pStyle w:val="BodyText"/>
        <w:spacing w:line="446" w:lineRule="auto"/>
        <w:ind w:left="838" w:right="1330"/>
      </w:pPr>
      <w:r>
        <w:rPr>
          <w:spacing w:val="-8"/>
        </w:rPr>
        <w:t>每套火警受理终端坐席可设置多个显示屏，能分别显示本规范第</w:t>
      </w:r>
      <w:r>
        <w:rPr/>
        <w:t>5.1.10</w:t>
      </w:r>
      <w:r>
        <w:rPr>
          <w:spacing w:val="-11"/>
        </w:rPr>
        <w:t> 条规定的工作界面； </w:t>
      </w:r>
      <w:r>
        <w:rPr>
          <w:spacing w:val="-3"/>
        </w:rPr>
        <w:t>火警受理终端坐席之间能进行警情转移，多个终端可协同处警；</w:t>
      </w:r>
      <w:r>
        <w:rPr/>
        <w:t> </w:t>
      </w:r>
    </w:p>
    <w:p>
      <w:pPr>
        <w:pStyle w:val="BodyText"/>
        <w:ind w:left="838"/>
      </w:pPr>
      <w:r>
        <w:rPr/>
        <w:t>具有明显的火警电话呼人信号提示。 </w:t>
      </w:r>
    </w:p>
    <w:p>
      <w:pPr>
        <w:pStyle w:val="BodyText"/>
        <w:spacing w:before="12"/>
        <w:rPr>
          <w:sz w:val="17"/>
        </w:rPr>
      </w:pPr>
    </w:p>
    <w:p>
      <w:pPr>
        <w:pStyle w:val="ListParagraph"/>
        <w:numPr>
          <w:ilvl w:val="2"/>
          <w:numId w:val="950"/>
        </w:numPr>
        <w:tabs>
          <w:tab w:pos="1478" w:val="left" w:leader="none"/>
        </w:tabs>
        <w:spacing w:line="240" w:lineRule="auto" w:before="0" w:after="0"/>
        <w:ind w:left="1477" w:right="0" w:hanging="638"/>
        <w:jc w:val="left"/>
        <w:rPr>
          <w:sz w:val="21"/>
        </w:rPr>
      </w:pPr>
      <w:r>
        <w:rPr>
          <w:spacing w:val="-3"/>
          <w:sz w:val="21"/>
        </w:rPr>
        <w:t>火警受理终端应具有下列工作界面：</w:t>
      </w:r>
      <w:r>
        <w:rPr>
          <w:sz w:val="21"/>
        </w:rPr>
        <w:t> </w:t>
      </w:r>
    </w:p>
    <w:p>
      <w:pPr>
        <w:pStyle w:val="BodyText"/>
        <w:rPr>
          <w:sz w:val="18"/>
        </w:rPr>
      </w:pPr>
    </w:p>
    <w:p>
      <w:pPr>
        <w:pStyle w:val="BodyText"/>
        <w:spacing w:line="446" w:lineRule="auto"/>
        <w:ind w:left="838" w:right="6129"/>
      </w:pPr>
      <w:r>
        <w:rPr/>
        <w:t>接警和调度电话、无线电台操作窗口； 录音和回放操作窗口； </w:t>
      </w:r>
    </w:p>
    <w:p>
      <w:pPr>
        <w:pStyle w:val="BodyText"/>
        <w:spacing w:line="446" w:lineRule="auto"/>
        <w:ind w:left="838" w:right="1505"/>
      </w:pPr>
      <w:r>
        <w:rPr>
          <w:spacing w:val="-3"/>
        </w:rPr>
        <w:t>火灾及其他灾害事故编号、报警时间、报警主叫号码、报警人姓名、报警地址录入窗口； 火场及其他灾害事故现场的单位名称、地址及责任消防站录入窗口；</w:t>
      </w:r>
      <w:r>
        <w:rPr/>
        <w:t> </w:t>
      </w:r>
    </w:p>
    <w:p>
      <w:pPr>
        <w:pStyle w:val="BodyText"/>
        <w:ind w:left="838"/>
      </w:pPr>
      <w:r>
        <w:rPr/>
        <w:t>火灾及其他灾害事故具体情况录入窗口； </w:t>
      </w:r>
    </w:p>
    <w:p>
      <w:pPr>
        <w:spacing w:after="0"/>
        <w:sectPr>
          <w:pgSz w:w="11910" w:h="16850"/>
          <w:pgMar w:header="0" w:footer="1239" w:top="1220" w:bottom="1420" w:left="1260" w:right="0"/>
        </w:sectPr>
      </w:pPr>
    </w:p>
    <w:p>
      <w:pPr>
        <w:pStyle w:val="BodyText"/>
        <w:spacing w:line="446" w:lineRule="auto" w:before="47"/>
        <w:ind w:left="838" w:right="5917"/>
        <w:jc w:val="both"/>
      </w:pPr>
      <w:r>
        <w:rPr/>
        <w:t>火灾及其他灾害事故类型选择录入窗口； 火灾及其他灾害事故等级选择录入窗口； 编制出动方案和下达出动指令操作窗口； 消防车辆属地、类型、状态显示窗口； </w:t>
      </w:r>
    </w:p>
    <w:p>
      <w:pPr>
        <w:pStyle w:val="BodyText"/>
        <w:spacing w:line="446" w:lineRule="auto"/>
        <w:ind w:left="838" w:right="4866"/>
      </w:pPr>
      <w:r>
        <w:rPr/>
        <w:t>火灾及其他灾害事故事件列表和处理状态显示窗口； 日期、时钟和气象信息显示窗口； </w:t>
      </w:r>
    </w:p>
    <w:p>
      <w:pPr>
        <w:pStyle w:val="BodyText"/>
        <w:ind w:left="838"/>
      </w:pPr>
      <w:r>
        <w:rPr/>
        <w:t>本规范第 5.9.1 条规定的消防地理信息显示窗口； </w:t>
      </w:r>
    </w:p>
    <w:p>
      <w:pPr>
        <w:pStyle w:val="BodyText"/>
        <w:spacing w:before="11"/>
        <w:rPr>
          <w:sz w:val="17"/>
        </w:rPr>
      </w:pPr>
    </w:p>
    <w:p>
      <w:pPr>
        <w:pStyle w:val="BodyText"/>
        <w:spacing w:line="446" w:lineRule="auto"/>
        <w:ind w:left="838" w:right="4446"/>
      </w:pPr>
      <w:r>
        <w:rPr>
          <w:spacing w:val="-11"/>
        </w:rPr>
        <w:t>本规范第 </w:t>
      </w:r>
      <w:r>
        <w:rPr/>
        <w:t>5.7</w:t>
      </w:r>
      <w:r>
        <w:rPr>
          <w:spacing w:val="-9"/>
        </w:rPr>
        <w:t> 节规定的消防指挥决策支持功能操作窗口； </w:t>
      </w:r>
      <w:r>
        <w:rPr>
          <w:spacing w:val="-3"/>
        </w:rPr>
        <w:t>火警受理信息记录管理操作窗口；</w:t>
      </w:r>
      <w:r>
        <w:rPr/>
        <w:t> </w:t>
      </w:r>
    </w:p>
    <w:p>
      <w:pPr>
        <w:pStyle w:val="BodyText"/>
        <w:ind w:left="838"/>
      </w:pPr>
      <w:r>
        <w:rPr>
          <w:spacing w:val="-3"/>
        </w:rPr>
        <w:t>上岗、离岗等值班管理操作窗口。</w:t>
      </w:r>
      <w:r>
        <w:rPr/>
        <w:t> </w:t>
      </w:r>
    </w:p>
    <w:p>
      <w:pPr>
        <w:pStyle w:val="BodyText"/>
        <w:spacing w:before="12"/>
        <w:rPr>
          <w:sz w:val="17"/>
        </w:rPr>
      </w:pPr>
    </w:p>
    <w:p>
      <w:pPr>
        <w:pStyle w:val="ListParagraph"/>
        <w:numPr>
          <w:ilvl w:val="2"/>
          <w:numId w:val="950"/>
        </w:numPr>
        <w:tabs>
          <w:tab w:pos="1478" w:val="left" w:leader="none"/>
        </w:tabs>
        <w:spacing w:line="240" w:lineRule="auto" w:before="0" w:after="0"/>
        <w:ind w:left="1477" w:right="0" w:hanging="638"/>
        <w:jc w:val="left"/>
        <w:rPr>
          <w:sz w:val="21"/>
        </w:rPr>
      </w:pPr>
      <w:r>
        <w:rPr>
          <w:spacing w:val="-3"/>
          <w:sz w:val="21"/>
        </w:rPr>
        <w:t>消防站火警终端应符合下列要求：</w:t>
      </w:r>
      <w:r>
        <w:rPr>
          <w:sz w:val="21"/>
        </w:rPr>
        <w:t> </w:t>
      </w:r>
    </w:p>
    <w:p>
      <w:pPr>
        <w:pStyle w:val="BodyText"/>
        <w:spacing w:before="12"/>
        <w:rPr>
          <w:sz w:val="17"/>
        </w:rPr>
      </w:pPr>
    </w:p>
    <w:p>
      <w:pPr>
        <w:pStyle w:val="BodyText"/>
        <w:ind w:left="838"/>
      </w:pPr>
      <w:r>
        <w:rPr/>
        <w:t>每个消防站应设置消防站火警终端； </w:t>
      </w:r>
    </w:p>
    <w:p>
      <w:pPr>
        <w:pStyle w:val="BodyText"/>
        <w:spacing w:before="2"/>
        <w:rPr>
          <w:sz w:val="18"/>
        </w:rPr>
      </w:pPr>
    </w:p>
    <w:p>
      <w:pPr>
        <w:pStyle w:val="BodyText"/>
        <w:ind w:left="838"/>
      </w:pPr>
      <w:r>
        <w:rPr/>
        <w:t>应能以语音和图文形式接收出动指令，并应打印出车单； </w:t>
      </w:r>
    </w:p>
    <w:p>
      <w:pPr>
        <w:pStyle w:val="BodyText"/>
        <w:rPr>
          <w:sz w:val="18"/>
        </w:rPr>
      </w:pPr>
    </w:p>
    <w:p>
      <w:pPr>
        <w:pStyle w:val="BodyText"/>
        <w:ind w:left="838"/>
      </w:pPr>
      <w:r>
        <w:rPr/>
        <w:t>应能自动或手动启动警灯、警铃、火警广播、车库门等的联动控制装置； </w:t>
      </w:r>
    </w:p>
    <w:p>
      <w:pPr>
        <w:pStyle w:val="BodyText"/>
        <w:rPr>
          <w:sz w:val="18"/>
        </w:rPr>
      </w:pPr>
    </w:p>
    <w:p>
      <w:pPr>
        <w:pStyle w:val="BodyText"/>
        <w:spacing w:line="446" w:lineRule="auto"/>
        <w:ind w:left="838" w:right="1925"/>
      </w:pPr>
      <w:r>
        <w:rPr>
          <w:spacing w:val="-3"/>
        </w:rPr>
        <w:t>应能录入或更新本站的消防实力、灭火救援装备器材、灭火剂等消防资源信息数据； </w:t>
      </w:r>
      <w:r>
        <w:rPr>
          <w:spacing w:val="-8"/>
        </w:rPr>
        <w:t>应能检索查询本规范第 </w:t>
      </w:r>
      <w:r>
        <w:rPr/>
        <w:t>5.8.3</w:t>
      </w:r>
      <w:r>
        <w:rPr>
          <w:spacing w:val="-28"/>
        </w:rPr>
        <w:t> 条</w:t>
      </w:r>
      <w:r>
        <w:rPr/>
        <w:t>～</w:t>
      </w:r>
      <w:r>
        <w:rPr>
          <w:spacing w:val="-27"/>
        </w:rPr>
        <w:t>第 </w:t>
      </w:r>
      <w:r>
        <w:rPr/>
        <w:t>5.8.7</w:t>
      </w:r>
      <w:r>
        <w:rPr>
          <w:spacing w:val="-9"/>
        </w:rPr>
        <w:t> 条规定的信息；</w:t>
      </w:r>
      <w:r>
        <w:rPr/>
        <w:t> </w:t>
      </w:r>
    </w:p>
    <w:p>
      <w:pPr>
        <w:pStyle w:val="BodyText"/>
        <w:ind w:left="838"/>
        <w:rPr>
          <w:sz w:val="18"/>
        </w:rPr>
      </w:pPr>
      <w:r>
        <w:rPr/>
        <w:t>录音录时功能应符合本规范第 5.1.8 条的规定。</w:t>
      </w:r>
      <w:r>
        <w:rPr>
          <w:sz w:val="18"/>
        </w:rPr>
        <w:t> </w:t>
      </w:r>
    </w:p>
    <w:p>
      <w:pPr>
        <w:pStyle w:val="BodyText"/>
        <w:spacing w:before="12"/>
        <w:rPr>
          <w:sz w:val="17"/>
        </w:rPr>
      </w:pPr>
    </w:p>
    <w:p>
      <w:pPr>
        <w:pStyle w:val="ListParagraph"/>
        <w:numPr>
          <w:ilvl w:val="1"/>
          <w:numId w:val="949"/>
        </w:numPr>
        <w:tabs>
          <w:tab w:pos="1159" w:val="left" w:leader="none"/>
        </w:tabs>
        <w:spacing w:line="240" w:lineRule="auto" w:before="0" w:after="0"/>
        <w:ind w:left="1158" w:right="0" w:hanging="319"/>
        <w:jc w:val="left"/>
        <w:rPr>
          <w:sz w:val="21"/>
        </w:rPr>
      </w:pPr>
      <w:r>
        <w:rPr>
          <w:spacing w:val="-3"/>
          <w:sz w:val="21"/>
        </w:rPr>
        <w:t>跨区域调度指挥子系统 </w:t>
      </w:r>
    </w:p>
    <w:p>
      <w:pPr>
        <w:pStyle w:val="BodyText"/>
        <w:spacing w:before="2"/>
        <w:rPr>
          <w:sz w:val="18"/>
        </w:rPr>
      </w:pPr>
    </w:p>
    <w:p>
      <w:pPr>
        <w:pStyle w:val="ListParagraph"/>
        <w:numPr>
          <w:ilvl w:val="2"/>
          <w:numId w:val="949"/>
        </w:numPr>
        <w:tabs>
          <w:tab w:pos="1371" w:val="left" w:leader="none"/>
        </w:tabs>
        <w:spacing w:line="240" w:lineRule="auto" w:before="0" w:after="0"/>
        <w:ind w:left="1370" w:right="0" w:hanging="531"/>
        <w:jc w:val="left"/>
        <w:rPr>
          <w:sz w:val="21"/>
        </w:rPr>
      </w:pPr>
      <w:r>
        <w:rPr>
          <w:spacing w:val="-3"/>
          <w:sz w:val="21"/>
        </w:rPr>
        <w:t>跨区域调度指挥子系统的基本工作流程（</w:t>
      </w:r>
      <w:r>
        <w:rPr>
          <w:spacing w:val="-28"/>
          <w:sz w:val="21"/>
        </w:rPr>
        <w:t>图 </w:t>
      </w:r>
      <w:r>
        <w:rPr>
          <w:sz w:val="21"/>
        </w:rPr>
        <w:t>5.2.1）</w:t>
      </w:r>
      <w:r>
        <w:rPr>
          <w:spacing w:val="-3"/>
          <w:sz w:val="21"/>
        </w:rPr>
        <w:t>应符合下列要求：</w:t>
      </w:r>
      <w:r>
        <w:rPr>
          <w:sz w:val="21"/>
        </w:rPr>
        <w:t> </w:t>
      </w:r>
    </w:p>
    <w:p>
      <w:pPr>
        <w:pStyle w:val="BodyText"/>
        <w:rPr>
          <w:sz w:val="18"/>
        </w:rPr>
      </w:pPr>
    </w:p>
    <w:p>
      <w:pPr>
        <w:pStyle w:val="BodyText"/>
        <w:spacing w:line="446" w:lineRule="auto"/>
        <w:ind w:left="418" w:right="1410" w:firstLine="419"/>
      </w:pPr>
      <w:r>
        <w:rPr/>
        <w:t>接收下级消防通信指挥中心和现场报告的灾情信息，接收上级消防通信指挥中心、公安机关指挥中心和政府相关部门发送的灾情通报和力量调度指令； </w:t>
      </w:r>
    </w:p>
    <w:p>
      <w:pPr>
        <w:pStyle w:val="BodyText"/>
        <w:spacing w:line="446" w:lineRule="auto"/>
        <w:ind w:left="838" w:right="4237"/>
      </w:pPr>
      <w:r>
        <w:rPr>
          <w:spacing w:val="-3"/>
        </w:rPr>
        <w:t>对火灾及其他灾害事故类型、等级、发展趋势进行判断；  按预案、等级调度方案、随机调度方案进行消防力量调度；</w:t>
      </w:r>
      <w:r>
        <w:rPr/>
        <w:t> </w:t>
      </w:r>
    </w:p>
    <w:p>
      <w:pPr>
        <w:pStyle w:val="BodyText"/>
        <w:spacing w:line="446" w:lineRule="auto"/>
        <w:ind w:left="838" w:right="3817"/>
        <w:rPr>
          <w:sz w:val="18"/>
        </w:rPr>
      </w:pPr>
      <w:r>
        <w:rPr/>
        <w:t>依据决策支持信息，综合分析制订灭火救援方案，并实施指挥； 对调度指挥全过程的文字、语音、图像等信息进行实时记录。</w:t>
      </w:r>
      <w:r>
        <w:rPr>
          <w:sz w:val="18"/>
        </w:rPr>
        <w:t> </w:t>
      </w:r>
    </w:p>
    <w:p>
      <w:pPr>
        <w:spacing w:after="0" w:line="446" w:lineRule="auto"/>
        <w:rPr>
          <w:sz w:val="18"/>
        </w:rPr>
        <w:sectPr>
          <w:pgSz w:w="11910" w:h="16850"/>
          <w:pgMar w:header="0" w:footer="1239" w:top="1220" w:bottom="1420" w:left="1260" w:right="0"/>
        </w:sectPr>
      </w:pPr>
    </w:p>
    <w:p>
      <w:pPr>
        <w:pStyle w:val="BodyText"/>
        <w:ind w:left="3867"/>
        <w:rPr>
          <w:sz w:val="20"/>
        </w:rPr>
      </w:pPr>
      <w:r>
        <w:rPr>
          <w:sz w:val="20"/>
        </w:rPr>
        <w:drawing>
          <wp:inline distT="0" distB="0" distL="0" distR="0">
            <wp:extent cx="990761" cy="2209800"/>
            <wp:effectExtent l="0" t="0" r="0" b="0"/>
            <wp:docPr id="803" name="image470.jpeg"/>
            <wp:cNvGraphicFramePr>
              <a:graphicFrameLocks noChangeAspect="1"/>
            </wp:cNvGraphicFramePr>
            <a:graphic>
              <a:graphicData uri="http://schemas.openxmlformats.org/drawingml/2006/picture">
                <pic:pic>
                  <pic:nvPicPr>
                    <pic:cNvPr id="804" name="image470.jpeg"/>
                    <pic:cNvPicPr/>
                  </pic:nvPicPr>
                  <pic:blipFill>
                    <a:blip r:embed="rId596" cstate="print"/>
                    <a:stretch>
                      <a:fillRect/>
                    </a:stretch>
                  </pic:blipFill>
                  <pic:spPr>
                    <a:xfrm>
                      <a:off x="0" y="0"/>
                      <a:ext cx="990761" cy="2209800"/>
                    </a:xfrm>
                    <a:prstGeom prst="rect">
                      <a:avLst/>
                    </a:prstGeom>
                  </pic:spPr>
                </pic:pic>
              </a:graphicData>
            </a:graphic>
          </wp:inline>
        </w:drawing>
      </w:r>
      <w:r>
        <w:rPr>
          <w:sz w:val="20"/>
        </w:rPr>
      </w:r>
    </w:p>
    <w:p>
      <w:pPr>
        <w:pStyle w:val="BodyText"/>
        <w:spacing w:before="12"/>
        <w:rPr>
          <w:sz w:val="20"/>
        </w:rPr>
      </w:pPr>
    </w:p>
    <w:p>
      <w:pPr>
        <w:spacing w:line="446" w:lineRule="auto" w:before="71"/>
        <w:ind w:left="840" w:right="3327" w:firstLine="1995"/>
        <w:jc w:val="left"/>
        <w:rPr>
          <w:sz w:val="21"/>
        </w:rPr>
      </w:pPr>
      <w:r>
        <w:rPr>
          <w:b/>
          <w:sz w:val="21"/>
        </w:rPr>
        <w:t>图 5.2.1 跨区域调度指挥子系统基本工作流程5.2.2 </w:t>
      </w:r>
      <w:r>
        <w:rPr>
          <w:sz w:val="21"/>
        </w:rPr>
        <w:t>跨区域调度指挥子系统的灾情接收功能应符合下列要求： </w:t>
      </w:r>
    </w:p>
    <w:p>
      <w:pPr>
        <w:pStyle w:val="BodyText"/>
        <w:spacing w:line="446" w:lineRule="auto"/>
        <w:ind w:left="418" w:right="1389" w:firstLine="419"/>
      </w:pPr>
      <w:r>
        <w:rPr/>
        <w:t>能接收下级通信指挥中心和本级现场指挥子系统报送的火灾及其他灾害事故信息、出动力量和处置情况等相关信息； </w:t>
      </w:r>
    </w:p>
    <w:p>
      <w:pPr>
        <w:pStyle w:val="BodyText"/>
        <w:spacing w:line="446" w:lineRule="auto"/>
        <w:ind w:left="418" w:right="1431" w:firstLine="419"/>
      </w:pPr>
      <w:r>
        <w:rPr>
          <w:spacing w:val="-6"/>
        </w:rPr>
        <w:t>能接收上级消防通信指挥中心、公安机关指挥中心和政府相关部门发送的灾情通报和力量调</w:t>
      </w:r>
      <w:r>
        <w:rPr>
          <w:spacing w:val="-5"/>
        </w:rPr>
        <w:t>度指令。</w:t>
      </w:r>
      <w:r>
        <w:rPr/>
        <w:t> </w:t>
      </w:r>
    </w:p>
    <w:p>
      <w:pPr>
        <w:pStyle w:val="ListParagraph"/>
        <w:numPr>
          <w:ilvl w:val="2"/>
          <w:numId w:val="951"/>
        </w:numPr>
        <w:tabs>
          <w:tab w:pos="1371" w:val="left" w:leader="none"/>
        </w:tabs>
        <w:spacing w:line="240" w:lineRule="auto" w:before="0" w:after="0"/>
        <w:ind w:left="1370" w:right="0" w:hanging="531"/>
        <w:jc w:val="left"/>
        <w:rPr>
          <w:sz w:val="21"/>
        </w:rPr>
      </w:pPr>
      <w:r>
        <w:rPr>
          <w:spacing w:val="-3"/>
          <w:sz w:val="21"/>
        </w:rPr>
        <w:t>跨区域调度指挥子系统的灾情判断功能应符合下列要求：</w:t>
      </w:r>
      <w:r>
        <w:rPr>
          <w:sz w:val="21"/>
        </w:rPr>
        <w:t> </w:t>
      </w:r>
    </w:p>
    <w:p>
      <w:pPr>
        <w:pStyle w:val="BodyText"/>
        <w:spacing w:before="10"/>
        <w:rPr>
          <w:sz w:val="17"/>
        </w:rPr>
      </w:pPr>
    </w:p>
    <w:p>
      <w:pPr>
        <w:pStyle w:val="BodyText"/>
        <w:spacing w:line="446" w:lineRule="auto"/>
        <w:ind w:left="838" w:right="5077"/>
      </w:pPr>
      <w:r>
        <w:rPr>
          <w:spacing w:val="-3"/>
        </w:rPr>
        <w:t>能检索火灾及其他灾害事故类型和等级数据库；  能对接收的灾情作出类型、等级及发展趋势判断。</w:t>
      </w:r>
      <w:r>
        <w:rPr/>
        <w:t> </w:t>
      </w:r>
    </w:p>
    <w:p>
      <w:pPr>
        <w:pStyle w:val="ListParagraph"/>
        <w:numPr>
          <w:ilvl w:val="2"/>
          <w:numId w:val="951"/>
        </w:numPr>
        <w:tabs>
          <w:tab w:pos="1371" w:val="left" w:leader="none"/>
        </w:tabs>
        <w:spacing w:line="240" w:lineRule="auto" w:before="0" w:after="0"/>
        <w:ind w:left="1370" w:right="0" w:hanging="531"/>
        <w:jc w:val="left"/>
        <w:rPr>
          <w:sz w:val="21"/>
        </w:rPr>
      </w:pPr>
      <w:r>
        <w:rPr>
          <w:spacing w:val="-3"/>
          <w:sz w:val="21"/>
        </w:rPr>
        <w:t>跨区域调度指挥子系统的力量调度功能应符合下列要求：</w:t>
      </w:r>
      <w:r>
        <w:rPr>
          <w:sz w:val="21"/>
        </w:rPr>
        <w:t> </w:t>
      </w:r>
    </w:p>
    <w:p>
      <w:pPr>
        <w:pStyle w:val="BodyText"/>
        <w:spacing w:before="12"/>
        <w:rPr>
          <w:sz w:val="17"/>
        </w:rPr>
      </w:pPr>
    </w:p>
    <w:p>
      <w:pPr>
        <w:pStyle w:val="BodyText"/>
        <w:spacing w:line="446" w:lineRule="auto"/>
        <w:ind w:left="418" w:right="1433" w:firstLine="419"/>
      </w:pPr>
      <w:r>
        <w:rPr>
          <w:spacing w:val="-6"/>
        </w:rPr>
        <w:t>能依据消防安全重点单位的预案、火灾及其他灾害事故等级、消防实力数据库，随机编制消</w:t>
      </w:r>
      <w:r>
        <w:rPr>
          <w:spacing w:val="-4"/>
        </w:rPr>
        <w:t>防力量调度方案；</w:t>
      </w:r>
      <w:r>
        <w:rPr/>
        <w:t> </w:t>
      </w:r>
    </w:p>
    <w:p>
      <w:pPr>
        <w:pStyle w:val="BodyText"/>
        <w:spacing w:before="1"/>
        <w:ind w:left="838"/>
      </w:pPr>
      <w:r>
        <w:rPr/>
        <w:t>能以语音、数据及指挥视频形式下达跨区域调度命令； </w:t>
      </w:r>
    </w:p>
    <w:p>
      <w:pPr>
        <w:pStyle w:val="BodyText"/>
        <w:spacing w:before="12"/>
        <w:rPr>
          <w:sz w:val="17"/>
        </w:rPr>
      </w:pPr>
    </w:p>
    <w:p>
      <w:pPr>
        <w:pStyle w:val="BodyText"/>
        <w:spacing w:line="446" w:lineRule="auto"/>
        <w:ind w:left="840" w:right="2134" w:hanging="3"/>
      </w:pPr>
      <w:r>
        <w:rPr/>
        <w:t>能向医疗、救护、交通、安监等灭火救援有关单位发出灾情通报和联合作战要求。</w:t>
      </w:r>
      <w:r>
        <w:rPr>
          <w:b/>
        </w:rPr>
        <w:t>5.2.5 </w:t>
      </w:r>
      <w:r>
        <w:rPr/>
        <w:t>跨区域调度指挥子系统的决策指挥功能应符合下列要求： </w:t>
      </w:r>
    </w:p>
    <w:p>
      <w:pPr>
        <w:pStyle w:val="BodyText"/>
        <w:spacing w:line="446" w:lineRule="auto"/>
        <w:ind w:left="838" w:right="2134"/>
      </w:pPr>
      <w:r>
        <w:rPr>
          <w:spacing w:val="-3"/>
        </w:rPr>
        <w:t>能依据消防安全重点单位的预案、决策支持数据库，随机编制灭火救援作战方案； 能以语音、数据及指挥视频形式下达跨区域作战指挥命令。</w:t>
      </w:r>
      <w:r>
        <w:rPr/>
        <w:t> </w:t>
      </w:r>
    </w:p>
    <w:p>
      <w:pPr>
        <w:pStyle w:val="ListParagraph"/>
        <w:numPr>
          <w:ilvl w:val="2"/>
          <w:numId w:val="952"/>
        </w:numPr>
        <w:tabs>
          <w:tab w:pos="1371" w:val="left" w:leader="none"/>
        </w:tabs>
        <w:spacing w:line="448" w:lineRule="auto" w:before="0" w:after="0"/>
        <w:ind w:left="418" w:right="1433" w:firstLine="422"/>
        <w:jc w:val="left"/>
        <w:rPr>
          <w:sz w:val="21"/>
        </w:rPr>
      </w:pPr>
      <w:r>
        <w:rPr>
          <w:spacing w:val="-6"/>
          <w:sz w:val="21"/>
        </w:rPr>
        <w:t>跨区域调度指挥子系统应能实时记录调度指挥全过程的文字、语音、图像等信息，并</w:t>
      </w:r>
      <w:r>
        <w:rPr>
          <w:spacing w:val="-4"/>
          <w:sz w:val="21"/>
        </w:rPr>
        <w:t>应自动存入相应的火灾及其他灾害事故档案中，生成有关的统计报表。</w:t>
      </w:r>
      <w:r>
        <w:rPr>
          <w:sz w:val="21"/>
        </w:rPr>
        <w:t> </w:t>
      </w:r>
    </w:p>
    <w:p>
      <w:pPr>
        <w:pStyle w:val="ListParagraph"/>
        <w:numPr>
          <w:ilvl w:val="2"/>
          <w:numId w:val="952"/>
        </w:numPr>
        <w:tabs>
          <w:tab w:pos="1371" w:val="left" w:leader="none"/>
        </w:tabs>
        <w:spacing w:line="264" w:lineRule="exact" w:before="0" w:after="0"/>
        <w:ind w:left="1370" w:right="0" w:hanging="531"/>
        <w:jc w:val="left"/>
        <w:rPr>
          <w:sz w:val="21"/>
        </w:rPr>
      </w:pPr>
      <w:r>
        <w:rPr>
          <w:spacing w:val="-3"/>
          <w:sz w:val="21"/>
        </w:rPr>
        <w:t>跨区域调度指挥终端应具有下列工作界面：</w:t>
      </w:r>
      <w:r>
        <w:rPr>
          <w:sz w:val="21"/>
        </w:rPr>
        <w:t> </w:t>
      </w:r>
    </w:p>
    <w:p>
      <w:pPr>
        <w:pStyle w:val="BodyText"/>
        <w:spacing w:before="10"/>
        <w:rPr>
          <w:sz w:val="17"/>
        </w:rPr>
      </w:pPr>
    </w:p>
    <w:p>
      <w:pPr>
        <w:pStyle w:val="BodyText"/>
        <w:ind w:left="838"/>
      </w:pPr>
      <w:r>
        <w:rPr/>
        <w:t>力量调度电话、无线电台操作窗口； </w:t>
      </w:r>
    </w:p>
    <w:p>
      <w:pPr>
        <w:spacing w:after="0"/>
        <w:sectPr>
          <w:pgSz w:w="11910" w:h="16850"/>
          <w:pgMar w:header="0" w:footer="1239" w:top="1200" w:bottom="1420" w:left="1260" w:right="0"/>
        </w:sectPr>
      </w:pPr>
    </w:p>
    <w:p>
      <w:pPr>
        <w:pStyle w:val="BodyText"/>
        <w:spacing w:before="47"/>
        <w:ind w:left="838"/>
      </w:pPr>
      <w:r>
        <w:rPr/>
        <w:t>录音和回放操作窗口； </w:t>
      </w:r>
    </w:p>
    <w:p>
      <w:pPr>
        <w:pStyle w:val="BodyText"/>
        <w:rPr>
          <w:sz w:val="18"/>
        </w:rPr>
      </w:pPr>
    </w:p>
    <w:p>
      <w:pPr>
        <w:pStyle w:val="BodyText"/>
        <w:spacing w:line="446" w:lineRule="auto"/>
        <w:ind w:left="838" w:right="3817"/>
      </w:pPr>
      <w:r>
        <w:rPr/>
        <w:t>火灾及其他灾害事故信息、出动力量和处置情况信息显示窗口； 灾情判断信息显示窗口； </w:t>
      </w:r>
    </w:p>
    <w:p>
      <w:pPr>
        <w:pStyle w:val="BodyText"/>
        <w:spacing w:line="446" w:lineRule="auto"/>
        <w:ind w:left="418" w:right="1431" w:firstLine="419"/>
      </w:pPr>
      <w:r>
        <w:rPr>
          <w:spacing w:val="-6"/>
        </w:rPr>
        <w:t>上级消防通信指挥中心、公安机关指挥中心和政府相关部门传输的灾情通报和力量调度指令</w:t>
      </w:r>
      <w:r>
        <w:rPr>
          <w:spacing w:val="-4"/>
        </w:rPr>
        <w:t>显示窗口；</w:t>
      </w:r>
      <w:r>
        <w:rPr/>
        <w:t> </w:t>
      </w:r>
    </w:p>
    <w:p>
      <w:pPr>
        <w:pStyle w:val="BodyText"/>
        <w:spacing w:line="446" w:lineRule="auto"/>
        <w:ind w:left="838" w:right="6337"/>
      </w:pPr>
      <w:r>
        <w:rPr/>
        <w:t>编制和下达力量调度方案操作窗口； 指挥决策支持信息显示窗口； </w:t>
      </w:r>
    </w:p>
    <w:p>
      <w:pPr>
        <w:pStyle w:val="BodyText"/>
        <w:spacing w:line="446" w:lineRule="auto"/>
        <w:ind w:left="838" w:right="4026"/>
        <w:rPr>
          <w:sz w:val="18"/>
        </w:rPr>
      </w:pPr>
      <w:r>
        <w:rPr>
          <w:spacing w:val="-3"/>
        </w:rPr>
        <w:t>编制灭火救援作战方案和下达跨区域作战指挥命令操作窗口； 调度指挥信息记录管理显示窗口</w:t>
      </w:r>
      <w:r>
        <w:rPr>
          <w:sz w:val="18"/>
        </w:rPr>
        <w:t> </w:t>
      </w:r>
    </w:p>
    <w:p>
      <w:pPr>
        <w:pStyle w:val="ListParagraph"/>
        <w:numPr>
          <w:ilvl w:val="1"/>
          <w:numId w:val="949"/>
        </w:numPr>
        <w:tabs>
          <w:tab w:pos="1159" w:val="left" w:leader="none"/>
        </w:tabs>
        <w:spacing w:line="240" w:lineRule="auto" w:before="0" w:after="0"/>
        <w:ind w:left="1158" w:right="0" w:hanging="319"/>
        <w:jc w:val="left"/>
        <w:rPr>
          <w:b/>
          <w:sz w:val="21"/>
        </w:rPr>
      </w:pPr>
      <w:r>
        <w:rPr>
          <w:spacing w:val="-3"/>
          <w:sz w:val="21"/>
        </w:rPr>
        <w:t>现场指挥子系统</w:t>
      </w:r>
      <w:r>
        <w:rPr>
          <w:b/>
          <w:w w:val="99"/>
          <w:sz w:val="21"/>
        </w:rPr>
        <w:t> </w:t>
      </w:r>
    </w:p>
    <w:p>
      <w:pPr>
        <w:pStyle w:val="BodyText"/>
        <w:spacing w:before="10"/>
        <w:rPr>
          <w:b/>
          <w:sz w:val="17"/>
        </w:rPr>
      </w:pPr>
    </w:p>
    <w:p>
      <w:pPr>
        <w:pStyle w:val="ListParagraph"/>
        <w:numPr>
          <w:ilvl w:val="2"/>
          <w:numId w:val="949"/>
        </w:numPr>
        <w:tabs>
          <w:tab w:pos="1370" w:val="left" w:leader="none"/>
        </w:tabs>
        <w:spacing w:line="240" w:lineRule="auto" w:before="0" w:after="0"/>
        <w:ind w:left="1369" w:right="0" w:hanging="530"/>
        <w:jc w:val="left"/>
        <w:rPr>
          <w:sz w:val="21"/>
        </w:rPr>
      </w:pPr>
      <w:r>
        <w:rPr>
          <w:spacing w:val="-3"/>
          <w:sz w:val="21"/>
        </w:rPr>
        <w:t>现场指挥子系统的基本工作流程（</w:t>
      </w:r>
      <w:r>
        <w:rPr>
          <w:spacing w:val="-27"/>
          <w:sz w:val="21"/>
        </w:rPr>
        <w:t>图 </w:t>
      </w:r>
      <w:r>
        <w:rPr>
          <w:sz w:val="21"/>
        </w:rPr>
        <w:t>5.3.1）</w:t>
      </w:r>
      <w:r>
        <w:rPr>
          <w:spacing w:val="-3"/>
          <w:sz w:val="21"/>
        </w:rPr>
        <w:t>应符合下列要求：</w:t>
      </w:r>
      <w:r>
        <w:rPr>
          <w:sz w:val="21"/>
        </w:rPr>
        <w:t> </w:t>
      </w:r>
    </w:p>
    <w:p>
      <w:pPr>
        <w:pStyle w:val="BodyText"/>
        <w:rPr>
          <w:sz w:val="18"/>
        </w:rPr>
      </w:pPr>
    </w:p>
    <w:p>
      <w:pPr>
        <w:pStyle w:val="BodyText"/>
        <w:ind w:left="838"/>
      </w:pPr>
      <w:r>
        <w:rPr/>
        <w:t>接收有关火灾及灾害事故情况通报和现场灭火救援行动指令； </w:t>
      </w:r>
    </w:p>
    <w:p>
      <w:pPr>
        <w:pStyle w:val="BodyText"/>
        <w:spacing w:before="2"/>
        <w:rPr>
          <w:sz w:val="18"/>
        </w:rPr>
      </w:pPr>
    </w:p>
    <w:p>
      <w:pPr>
        <w:pStyle w:val="BodyText"/>
        <w:spacing w:line="446" w:lineRule="auto"/>
        <w:ind w:left="838" w:right="2765"/>
      </w:pPr>
      <w:r>
        <w:rPr>
          <w:spacing w:val="-3"/>
        </w:rPr>
        <w:t>采集火灾及灾害事故数据、现场环境信息、现场灭火救援力量装备等信息； 制订现场灭火救援行动方案，下达灭火救援行动命令；</w:t>
      </w:r>
      <w:r>
        <w:rPr/>
        <w:t> </w:t>
      </w:r>
    </w:p>
    <w:p>
      <w:pPr>
        <w:pStyle w:val="BodyText"/>
        <w:spacing w:line="446" w:lineRule="auto"/>
        <w:ind w:left="838" w:right="1714"/>
      </w:pPr>
      <w:r>
        <w:rPr/>
        <w:drawing>
          <wp:anchor distT="0" distB="0" distL="0" distR="0" allowOverlap="1" layoutInCell="1" locked="0" behindDoc="1" simplePos="0" relativeHeight="216011776">
            <wp:simplePos x="0" y="0"/>
            <wp:positionH relativeFrom="page">
              <wp:posOffset>3265423</wp:posOffset>
            </wp:positionH>
            <wp:positionV relativeFrom="paragraph">
              <wp:posOffset>589788</wp:posOffset>
            </wp:positionV>
            <wp:extent cx="914400" cy="2362200"/>
            <wp:effectExtent l="0" t="0" r="0" b="0"/>
            <wp:wrapNone/>
            <wp:docPr id="805" name="image471.jpeg"/>
            <wp:cNvGraphicFramePr>
              <a:graphicFrameLocks noChangeAspect="1"/>
            </wp:cNvGraphicFramePr>
            <a:graphic>
              <a:graphicData uri="http://schemas.openxmlformats.org/drawingml/2006/picture">
                <pic:pic>
                  <pic:nvPicPr>
                    <pic:cNvPr id="806" name="image471.jpeg"/>
                    <pic:cNvPicPr/>
                  </pic:nvPicPr>
                  <pic:blipFill>
                    <a:blip r:embed="rId597" cstate="print"/>
                    <a:stretch>
                      <a:fillRect/>
                    </a:stretch>
                  </pic:blipFill>
                  <pic:spPr>
                    <a:xfrm>
                      <a:off x="0" y="0"/>
                      <a:ext cx="914400" cy="2362200"/>
                    </a:xfrm>
                    <a:prstGeom prst="rect">
                      <a:avLst/>
                    </a:prstGeom>
                  </pic:spPr>
                </pic:pic>
              </a:graphicData>
            </a:graphic>
          </wp:anchor>
        </w:drawing>
      </w:r>
      <w:r>
        <w:rPr>
          <w:spacing w:val="-3"/>
        </w:rPr>
        <w:t>将火灾及灾害事故态势、现场环境、现场灭火救援行动等信息报送消防通信指挥中心； 将现场灭火救援全过程的文字、语音、图像等信息进行实时记录。</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spacing w:line="446" w:lineRule="auto" w:before="1"/>
        <w:ind w:left="840" w:right="3642" w:firstLine="2311"/>
        <w:jc w:val="left"/>
        <w:rPr>
          <w:sz w:val="21"/>
        </w:rPr>
      </w:pPr>
      <w:r>
        <w:rPr>
          <w:b/>
          <w:sz w:val="21"/>
        </w:rPr>
        <w:t>图 5.3.1 现场指挥子系统基本工作流程5.3.2 </w:t>
      </w:r>
      <w:r>
        <w:rPr>
          <w:sz w:val="21"/>
        </w:rPr>
        <w:t>现场指挥子系统的接收指令功能应符合下列要求： </w:t>
      </w:r>
    </w:p>
    <w:p>
      <w:pPr>
        <w:pStyle w:val="BodyText"/>
        <w:ind w:left="838"/>
      </w:pPr>
      <w:r>
        <w:rPr/>
        <w:t>能接收消防通信指挥中心的灾情通报和灭火救援行动指令； </w:t>
      </w:r>
    </w:p>
    <w:p>
      <w:pPr>
        <w:pStyle w:val="BodyText"/>
        <w:spacing w:before="12"/>
        <w:rPr>
          <w:sz w:val="17"/>
        </w:rPr>
      </w:pPr>
    </w:p>
    <w:p>
      <w:pPr>
        <w:pStyle w:val="BodyText"/>
        <w:ind w:left="838"/>
      </w:pPr>
      <w:r>
        <w:rPr/>
        <w:t>能接收公安机关指挥中心、政府相关部门的灾情通报和灭火救援行动指令。 </w:t>
      </w:r>
    </w:p>
    <w:p>
      <w:pPr>
        <w:spacing w:after="0"/>
        <w:sectPr>
          <w:pgSz w:w="11910" w:h="16850"/>
          <w:pgMar w:header="0" w:footer="1239" w:top="1220" w:bottom="1420" w:left="1260" w:right="0"/>
        </w:sectPr>
      </w:pPr>
    </w:p>
    <w:p>
      <w:pPr>
        <w:pStyle w:val="ListParagraph"/>
        <w:numPr>
          <w:ilvl w:val="2"/>
          <w:numId w:val="953"/>
        </w:numPr>
        <w:tabs>
          <w:tab w:pos="1370" w:val="left" w:leader="none"/>
        </w:tabs>
        <w:spacing w:line="240" w:lineRule="auto" w:before="47" w:after="0"/>
        <w:ind w:left="1369" w:right="0" w:hanging="530"/>
        <w:jc w:val="left"/>
        <w:rPr>
          <w:sz w:val="21"/>
        </w:rPr>
      </w:pPr>
      <w:r>
        <w:rPr>
          <w:spacing w:val="-3"/>
          <w:sz w:val="21"/>
        </w:rPr>
        <w:t>现场指挥子系统采集的现场信息应包括下列内容：</w:t>
      </w:r>
      <w:r>
        <w:rPr>
          <w:sz w:val="21"/>
        </w:rPr>
        <w:t> </w:t>
      </w:r>
    </w:p>
    <w:p>
      <w:pPr>
        <w:pStyle w:val="BodyText"/>
        <w:rPr>
          <w:sz w:val="18"/>
        </w:rPr>
      </w:pPr>
    </w:p>
    <w:p>
      <w:pPr>
        <w:pStyle w:val="BodyText"/>
        <w:ind w:left="838"/>
      </w:pPr>
      <w:r>
        <w:rPr/>
        <w:t>火灾及其他灾害事故态势信息； </w:t>
      </w:r>
    </w:p>
    <w:p>
      <w:pPr>
        <w:pStyle w:val="BodyText"/>
        <w:rPr>
          <w:sz w:val="18"/>
        </w:rPr>
      </w:pPr>
    </w:p>
    <w:p>
      <w:pPr>
        <w:pStyle w:val="BodyText"/>
        <w:spacing w:line="446" w:lineRule="auto"/>
        <w:ind w:left="838" w:right="3606"/>
      </w:pPr>
      <w:r>
        <w:rPr/>
        <w:t>到达现场的消防车辆、人员、灭火救援装备器材、灭火剂等信息； 现场气象、道路、消防水源、建（构）筑物等环境信息； </w:t>
      </w:r>
    </w:p>
    <w:p>
      <w:pPr>
        <w:pStyle w:val="BodyText"/>
        <w:ind w:left="838"/>
      </w:pPr>
      <w:r>
        <w:rPr/>
        <w:t>现场实况图像信息。 </w:t>
      </w:r>
    </w:p>
    <w:p>
      <w:pPr>
        <w:pStyle w:val="BodyText"/>
        <w:spacing w:before="12"/>
        <w:rPr>
          <w:sz w:val="17"/>
        </w:rPr>
      </w:pPr>
    </w:p>
    <w:p>
      <w:pPr>
        <w:pStyle w:val="ListParagraph"/>
        <w:numPr>
          <w:ilvl w:val="2"/>
          <w:numId w:val="953"/>
        </w:numPr>
        <w:tabs>
          <w:tab w:pos="1370" w:val="left" w:leader="none"/>
        </w:tabs>
        <w:spacing w:line="240" w:lineRule="auto" w:before="0" w:after="0"/>
        <w:ind w:left="1369" w:right="0" w:hanging="530"/>
        <w:jc w:val="left"/>
        <w:rPr>
          <w:sz w:val="21"/>
        </w:rPr>
      </w:pPr>
      <w:r>
        <w:rPr>
          <w:spacing w:val="-3"/>
          <w:sz w:val="21"/>
        </w:rPr>
        <w:t>现场指挥子系统的作战指挥功能应符合下列要求：</w:t>
      </w:r>
      <w:r>
        <w:rPr>
          <w:sz w:val="21"/>
        </w:rPr>
        <w:t> </w:t>
      </w:r>
    </w:p>
    <w:p>
      <w:pPr>
        <w:pStyle w:val="BodyText"/>
        <w:spacing w:before="2"/>
        <w:rPr>
          <w:sz w:val="18"/>
        </w:rPr>
      </w:pPr>
    </w:p>
    <w:p>
      <w:pPr>
        <w:pStyle w:val="BodyText"/>
        <w:ind w:left="838"/>
      </w:pPr>
      <w:r>
        <w:rPr/>
        <w:t>能对灾情作出类型、等级及发展趋势判断； </w:t>
      </w:r>
    </w:p>
    <w:p>
      <w:pPr>
        <w:pStyle w:val="BodyText"/>
        <w:rPr>
          <w:sz w:val="18"/>
        </w:rPr>
      </w:pPr>
    </w:p>
    <w:p>
      <w:pPr>
        <w:pStyle w:val="BodyText"/>
        <w:spacing w:line="446" w:lineRule="auto"/>
        <w:ind w:left="838" w:right="2134"/>
      </w:pPr>
      <w:r>
        <w:rPr>
          <w:spacing w:val="-3"/>
        </w:rPr>
        <w:t>能依据消防安全重点单位的预案、决策支持数据库，随机编制灭火救援作战方案； 能以语音、数据及指挥视频形式下达灭火救援行动命令。</w:t>
      </w:r>
      <w:r>
        <w:rPr/>
        <w:t> </w:t>
      </w:r>
    </w:p>
    <w:p>
      <w:pPr>
        <w:pStyle w:val="ListParagraph"/>
        <w:numPr>
          <w:ilvl w:val="2"/>
          <w:numId w:val="953"/>
        </w:numPr>
        <w:tabs>
          <w:tab w:pos="1370" w:val="left" w:leader="none"/>
        </w:tabs>
        <w:spacing w:line="240" w:lineRule="auto" w:before="0" w:after="0"/>
        <w:ind w:left="1369" w:right="0" w:hanging="530"/>
        <w:jc w:val="left"/>
        <w:rPr>
          <w:sz w:val="21"/>
        </w:rPr>
      </w:pPr>
      <w:r>
        <w:rPr>
          <w:spacing w:val="-3"/>
          <w:sz w:val="21"/>
        </w:rPr>
        <w:t>现场指挥子系统报送的现场信息应包括下列内容：</w:t>
      </w:r>
      <w:r>
        <w:rPr>
          <w:sz w:val="21"/>
        </w:rPr>
        <w:t> </w:t>
      </w:r>
    </w:p>
    <w:p>
      <w:pPr>
        <w:pStyle w:val="BodyText"/>
        <w:spacing w:before="12"/>
        <w:rPr>
          <w:sz w:val="17"/>
        </w:rPr>
      </w:pPr>
    </w:p>
    <w:p>
      <w:pPr>
        <w:pStyle w:val="BodyText"/>
        <w:ind w:left="838"/>
      </w:pPr>
      <w:r>
        <w:rPr/>
        <w:t>火场及其他灾害事故现场态势信息； </w:t>
      </w:r>
    </w:p>
    <w:p>
      <w:pPr>
        <w:pStyle w:val="BodyText"/>
        <w:spacing w:before="12"/>
        <w:rPr>
          <w:sz w:val="17"/>
        </w:rPr>
      </w:pPr>
    </w:p>
    <w:p>
      <w:pPr>
        <w:pStyle w:val="BodyText"/>
        <w:spacing w:line="446" w:lineRule="auto" w:before="1"/>
        <w:ind w:left="838" w:right="4446"/>
      </w:pPr>
      <w:r>
        <w:rPr/>
        <w:t>现场气象、道路、消防水源、建（构）筑物等环境信息； 现场灭火救援行动信息； </w:t>
      </w:r>
    </w:p>
    <w:p>
      <w:pPr>
        <w:pStyle w:val="BodyText"/>
        <w:ind w:left="838"/>
      </w:pPr>
      <w:r>
        <w:rPr/>
        <w:t>现场实况图像信息。 </w:t>
      </w:r>
    </w:p>
    <w:p>
      <w:pPr>
        <w:pStyle w:val="BodyText"/>
        <w:spacing w:before="12"/>
        <w:rPr>
          <w:sz w:val="17"/>
        </w:rPr>
      </w:pPr>
    </w:p>
    <w:p>
      <w:pPr>
        <w:pStyle w:val="ListParagraph"/>
        <w:numPr>
          <w:ilvl w:val="2"/>
          <w:numId w:val="953"/>
        </w:numPr>
        <w:tabs>
          <w:tab w:pos="1371" w:val="left" w:leader="none"/>
        </w:tabs>
        <w:spacing w:line="446" w:lineRule="auto" w:before="0" w:after="0"/>
        <w:ind w:left="418" w:right="1433" w:firstLine="422"/>
        <w:jc w:val="left"/>
        <w:rPr>
          <w:sz w:val="21"/>
        </w:rPr>
      </w:pPr>
      <w:r>
        <w:rPr>
          <w:spacing w:val="-6"/>
          <w:sz w:val="21"/>
        </w:rPr>
        <w:t>现场指挥子系统应能实时记录现场指挥通信全过程的文字、语音、图像等信息，并应</w:t>
      </w:r>
      <w:r>
        <w:rPr>
          <w:spacing w:val="-4"/>
          <w:sz w:val="21"/>
        </w:rPr>
        <w:t>存入相应的火灾及其他灾害事故档案中，生成有关的统计报表。</w:t>
      </w:r>
      <w:r>
        <w:rPr>
          <w:sz w:val="21"/>
        </w:rPr>
        <w:t> </w:t>
      </w:r>
    </w:p>
    <w:p>
      <w:pPr>
        <w:pStyle w:val="ListParagraph"/>
        <w:numPr>
          <w:ilvl w:val="2"/>
          <w:numId w:val="953"/>
        </w:numPr>
        <w:tabs>
          <w:tab w:pos="1371" w:val="left" w:leader="none"/>
        </w:tabs>
        <w:spacing w:line="240" w:lineRule="auto" w:before="0" w:after="0"/>
        <w:ind w:left="1370" w:right="0" w:hanging="531"/>
        <w:jc w:val="left"/>
        <w:rPr>
          <w:sz w:val="21"/>
        </w:rPr>
      </w:pPr>
      <w:r>
        <w:rPr>
          <w:spacing w:val="-6"/>
          <w:sz w:val="21"/>
        </w:rPr>
        <w:t>现场指挥全过程的录音录时功能应符合本规范第 </w:t>
      </w:r>
      <w:r>
        <w:rPr>
          <w:sz w:val="21"/>
        </w:rPr>
        <w:t>5.1.8</w:t>
      </w:r>
      <w:r>
        <w:rPr>
          <w:spacing w:val="-12"/>
          <w:sz w:val="21"/>
        </w:rPr>
        <w:t> 条的规定。</w:t>
      </w:r>
      <w:r>
        <w:rPr>
          <w:sz w:val="21"/>
        </w:rPr>
        <w:t> </w:t>
      </w:r>
    </w:p>
    <w:p>
      <w:pPr>
        <w:pStyle w:val="BodyText"/>
        <w:spacing w:before="12"/>
        <w:rPr>
          <w:sz w:val="17"/>
        </w:rPr>
      </w:pPr>
    </w:p>
    <w:p>
      <w:pPr>
        <w:pStyle w:val="ListParagraph"/>
        <w:numPr>
          <w:ilvl w:val="2"/>
          <w:numId w:val="953"/>
        </w:numPr>
        <w:tabs>
          <w:tab w:pos="1371" w:val="left" w:leader="none"/>
        </w:tabs>
        <w:spacing w:line="240" w:lineRule="auto" w:before="0" w:after="0"/>
        <w:ind w:left="1370" w:right="0" w:hanging="531"/>
        <w:jc w:val="left"/>
        <w:rPr>
          <w:sz w:val="21"/>
        </w:rPr>
      </w:pPr>
      <w:r>
        <w:rPr>
          <w:spacing w:val="-3"/>
          <w:sz w:val="21"/>
        </w:rPr>
        <w:t>现场指挥子系统的现场通信组网功能应符合下列要求：</w:t>
      </w:r>
      <w:r>
        <w:rPr>
          <w:sz w:val="21"/>
        </w:rPr>
        <w:t> </w:t>
      </w:r>
    </w:p>
    <w:p>
      <w:pPr>
        <w:pStyle w:val="BodyText"/>
        <w:spacing w:before="2"/>
        <w:rPr>
          <w:sz w:val="18"/>
        </w:rPr>
      </w:pPr>
    </w:p>
    <w:p>
      <w:pPr>
        <w:pStyle w:val="BodyText"/>
        <w:ind w:left="838"/>
      </w:pPr>
      <w:r>
        <w:rPr/>
        <w:t>能通过外接电话接口或卫星通信链路，在现场开通市话等有线电话； </w:t>
      </w:r>
    </w:p>
    <w:p>
      <w:pPr>
        <w:pStyle w:val="BodyText"/>
        <w:rPr>
          <w:sz w:val="18"/>
        </w:rPr>
      </w:pPr>
    </w:p>
    <w:p>
      <w:pPr>
        <w:pStyle w:val="BodyText"/>
        <w:spacing w:line="446" w:lineRule="auto"/>
        <w:ind w:left="838" w:right="2345"/>
      </w:pPr>
      <w:r>
        <w:rPr>
          <w:spacing w:val="-3"/>
        </w:rPr>
        <w:t>可通过车载电话交换机和有线电话通信线路，开通现场有线电话指挥通信网络； 能接入多种通信系统或设备，进行不同通信网络的语音、数据通信交换；</w:t>
      </w:r>
      <w:r>
        <w:rPr/>
        <w:t> </w:t>
      </w:r>
    </w:p>
    <w:p>
      <w:pPr>
        <w:pStyle w:val="BodyText"/>
        <w:spacing w:line="446" w:lineRule="auto"/>
        <w:ind w:left="838" w:right="5917"/>
      </w:pPr>
      <w:r>
        <w:rPr/>
        <w:t>能通过图像传输设备传输现场实况图像； 具有现场指挥广播扩音功能； </w:t>
      </w:r>
    </w:p>
    <w:p>
      <w:pPr>
        <w:pStyle w:val="BodyText"/>
        <w:spacing w:line="267" w:lineRule="exact"/>
        <w:ind w:left="838"/>
      </w:pPr>
      <w:r>
        <w:rPr/>
        <w:t>现场无线通信组网功能应符合本规范第 5.12 节的规定； </w:t>
      </w:r>
    </w:p>
    <w:p>
      <w:pPr>
        <w:pStyle w:val="BodyText"/>
        <w:spacing w:before="2"/>
        <w:rPr>
          <w:sz w:val="18"/>
        </w:rPr>
      </w:pPr>
    </w:p>
    <w:p>
      <w:pPr>
        <w:pStyle w:val="BodyText"/>
        <w:ind w:left="838"/>
      </w:pPr>
      <w:r>
        <w:rPr/>
        <w:t>卫星通信组网功能应符合本规范第 5.13 节的规定。 </w:t>
      </w:r>
    </w:p>
    <w:p>
      <w:pPr>
        <w:pStyle w:val="BodyText"/>
        <w:rPr>
          <w:sz w:val="18"/>
        </w:rPr>
      </w:pPr>
    </w:p>
    <w:p>
      <w:pPr>
        <w:pStyle w:val="ListParagraph"/>
        <w:numPr>
          <w:ilvl w:val="2"/>
          <w:numId w:val="953"/>
        </w:numPr>
        <w:tabs>
          <w:tab w:pos="1370" w:val="left" w:leader="none"/>
        </w:tabs>
        <w:spacing w:line="240" w:lineRule="auto" w:before="0" w:after="0"/>
        <w:ind w:left="1369" w:right="0" w:hanging="530"/>
        <w:jc w:val="left"/>
        <w:rPr>
          <w:sz w:val="21"/>
        </w:rPr>
      </w:pPr>
      <w:r>
        <w:rPr>
          <w:spacing w:val="-3"/>
          <w:sz w:val="21"/>
        </w:rPr>
        <w:t>现场指挥子系统的图像信息应用功能应符合下列要求：</w:t>
      </w:r>
      <w:r>
        <w:rPr>
          <w:sz w:val="21"/>
        </w:rPr>
        <w:t> </w:t>
      </w:r>
    </w:p>
    <w:p>
      <w:pPr>
        <w:pStyle w:val="BodyText"/>
        <w:spacing w:before="12"/>
        <w:rPr>
          <w:sz w:val="17"/>
        </w:rPr>
      </w:pPr>
    </w:p>
    <w:p>
      <w:pPr>
        <w:pStyle w:val="BodyText"/>
        <w:ind w:left="838"/>
      </w:pPr>
      <w:r>
        <w:rPr/>
        <w:t>能接入消防通信指挥中心传输的消防图像监控信息、公安图像监控信息； </w:t>
      </w:r>
    </w:p>
    <w:p>
      <w:pPr>
        <w:pStyle w:val="BodyText"/>
        <w:spacing w:before="2"/>
        <w:rPr>
          <w:sz w:val="18"/>
        </w:rPr>
      </w:pPr>
    </w:p>
    <w:p>
      <w:pPr>
        <w:pStyle w:val="BodyText"/>
        <w:ind w:left="838"/>
      </w:pPr>
      <w:r>
        <w:rPr/>
        <w:t>能召开现场视音频指挥会议，并能参加公安机关、政府相关部门召开的视音频会议； </w:t>
      </w:r>
    </w:p>
    <w:p>
      <w:pPr>
        <w:spacing w:after="0"/>
        <w:sectPr>
          <w:pgSz w:w="11910" w:h="16850"/>
          <w:pgMar w:header="0" w:footer="1239" w:top="1220" w:bottom="1420" w:left="1260" w:right="0"/>
        </w:sectPr>
      </w:pPr>
    </w:p>
    <w:p>
      <w:pPr>
        <w:pStyle w:val="BodyText"/>
        <w:spacing w:before="47"/>
        <w:ind w:left="838"/>
      </w:pPr>
      <w:r>
        <w:rPr/>
        <w:t>具有现场图像预显、存储、检索、回放等功能。 </w:t>
      </w:r>
    </w:p>
    <w:p>
      <w:pPr>
        <w:pStyle w:val="BodyText"/>
        <w:rPr>
          <w:sz w:val="18"/>
        </w:rPr>
      </w:pPr>
    </w:p>
    <w:p>
      <w:pPr>
        <w:pStyle w:val="ListParagraph"/>
        <w:numPr>
          <w:ilvl w:val="2"/>
          <w:numId w:val="953"/>
        </w:numPr>
        <w:tabs>
          <w:tab w:pos="1478" w:val="left" w:leader="none"/>
        </w:tabs>
        <w:spacing w:line="240" w:lineRule="auto" w:before="0" w:after="0"/>
        <w:ind w:left="1477" w:right="0" w:hanging="638"/>
        <w:jc w:val="left"/>
        <w:rPr>
          <w:sz w:val="21"/>
        </w:rPr>
      </w:pPr>
      <w:r>
        <w:rPr>
          <w:spacing w:val="-3"/>
          <w:sz w:val="21"/>
        </w:rPr>
        <w:t>现场指挥子系统的现场通信控制功能应符合下列要求：</w:t>
      </w:r>
      <w:r>
        <w:rPr>
          <w:sz w:val="21"/>
        </w:rPr>
        <w:t> </w:t>
      </w:r>
    </w:p>
    <w:p>
      <w:pPr>
        <w:pStyle w:val="BodyText"/>
        <w:rPr>
          <w:sz w:val="18"/>
        </w:rPr>
      </w:pPr>
    </w:p>
    <w:p>
      <w:pPr>
        <w:pStyle w:val="BodyText"/>
        <w:ind w:left="838"/>
      </w:pPr>
      <w:r>
        <w:rPr/>
        <w:t>能显示呼入电话号码； </w:t>
      </w:r>
    </w:p>
    <w:p>
      <w:pPr>
        <w:pStyle w:val="BodyText"/>
        <w:spacing w:before="1"/>
        <w:rPr>
          <w:sz w:val="18"/>
        </w:rPr>
      </w:pPr>
    </w:p>
    <w:p>
      <w:pPr>
        <w:pStyle w:val="BodyText"/>
        <w:spacing w:before="1"/>
        <w:ind w:left="838"/>
      </w:pPr>
      <w:r>
        <w:rPr/>
        <w:t>能进行电话呼叫、应答、转接； </w:t>
      </w:r>
    </w:p>
    <w:p>
      <w:pPr>
        <w:pStyle w:val="BodyText"/>
        <w:spacing w:before="12"/>
        <w:rPr>
          <w:sz w:val="17"/>
        </w:rPr>
      </w:pPr>
    </w:p>
    <w:p>
      <w:pPr>
        <w:pStyle w:val="BodyText"/>
        <w:spacing w:line="446" w:lineRule="auto"/>
        <w:ind w:left="418" w:right="1410" w:firstLine="419"/>
      </w:pPr>
      <w:r>
        <w:rPr/>
        <w:t>能显示无线通信信道的收发状态及使用单位、工作频率等属性，能显示无线电台用户的通话状态及身份码，具有无线通信信道保护及多种控发方式功能； </w:t>
      </w:r>
    </w:p>
    <w:p>
      <w:pPr>
        <w:pStyle w:val="BodyText"/>
        <w:spacing w:line="446" w:lineRule="auto"/>
        <w:ind w:left="838" w:right="2134"/>
      </w:pPr>
      <w:r>
        <w:rPr>
          <w:spacing w:val="-3"/>
        </w:rPr>
        <w:t>能进行无线电台用户的呼叫、应答、转接，重点用户的呼叫应有明显的声光指示； 能进行有线、无线会议式指挥通话，具有指挥预案编辑及频率配置等功能； </w:t>
      </w:r>
    </w:p>
    <w:p>
      <w:pPr>
        <w:pStyle w:val="BodyText"/>
        <w:spacing w:line="446" w:lineRule="auto"/>
        <w:ind w:left="838" w:right="6337"/>
      </w:pPr>
      <w:r>
        <w:rPr>
          <w:spacing w:val="-3"/>
        </w:rPr>
        <w:t>能进行卫星通信链路的建立和撤收； 能进行现场图文信息的切换显示；  能进行交互式多媒体作战会议操作；</w:t>
      </w:r>
      <w:r>
        <w:rPr/>
        <w:t> </w:t>
      </w:r>
    </w:p>
    <w:p>
      <w:pPr>
        <w:pStyle w:val="BodyText"/>
        <w:spacing w:line="446" w:lineRule="auto"/>
        <w:ind w:left="838" w:right="5497"/>
      </w:pPr>
      <w:r>
        <w:rPr/>
        <w:t>具有撤退、遇险等紧急呼叫信号的发送功能； 能进行现场指挥广播扩音操作； </w:t>
      </w:r>
    </w:p>
    <w:p>
      <w:pPr>
        <w:pStyle w:val="BodyText"/>
        <w:ind w:left="838"/>
      </w:pPr>
      <w:r>
        <w:rPr/>
        <w:t>可对各种电气设备进行集中控制和监测。 </w:t>
      </w:r>
    </w:p>
    <w:p>
      <w:pPr>
        <w:pStyle w:val="BodyText"/>
        <w:spacing w:before="9"/>
        <w:rPr>
          <w:sz w:val="17"/>
        </w:rPr>
      </w:pPr>
    </w:p>
    <w:p>
      <w:pPr>
        <w:pStyle w:val="ListParagraph"/>
        <w:numPr>
          <w:ilvl w:val="2"/>
          <w:numId w:val="953"/>
        </w:numPr>
        <w:tabs>
          <w:tab w:pos="1478" w:val="left" w:leader="none"/>
        </w:tabs>
        <w:spacing w:line="240" w:lineRule="auto" w:before="0" w:after="0"/>
        <w:ind w:left="1477" w:right="0" w:hanging="638"/>
        <w:jc w:val="left"/>
        <w:rPr>
          <w:sz w:val="21"/>
        </w:rPr>
      </w:pPr>
      <w:r>
        <w:rPr>
          <w:spacing w:val="-3"/>
          <w:sz w:val="21"/>
        </w:rPr>
        <w:t>现场指挥终端等设备应具有下列工作界面：</w:t>
      </w:r>
      <w:r>
        <w:rPr>
          <w:sz w:val="21"/>
        </w:rPr>
        <w:t> </w:t>
      </w:r>
    </w:p>
    <w:p>
      <w:pPr>
        <w:pStyle w:val="BodyText"/>
        <w:spacing w:before="2"/>
        <w:rPr>
          <w:sz w:val="18"/>
        </w:rPr>
      </w:pPr>
    </w:p>
    <w:p>
      <w:pPr>
        <w:pStyle w:val="BodyText"/>
        <w:spacing w:line="446" w:lineRule="auto"/>
        <w:ind w:left="838" w:right="3505"/>
      </w:pPr>
      <w:r>
        <w:rPr>
          <w:spacing w:val="-11"/>
        </w:rPr>
        <w:t>本规范第 </w:t>
      </w:r>
      <w:r>
        <w:rPr/>
        <w:t>5.3.2</w:t>
      </w:r>
      <w:r>
        <w:rPr>
          <w:spacing w:val="-26"/>
        </w:rPr>
        <w:t> 条</w:t>
      </w:r>
      <w:r>
        <w:rPr>
          <w:spacing w:val="-3"/>
        </w:rPr>
        <w:t>～</w:t>
      </w:r>
      <w:r>
        <w:rPr>
          <w:spacing w:val="-24"/>
        </w:rPr>
        <w:t>第 </w:t>
      </w:r>
      <w:r>
        <w:rPr/>
        <w:t>5.3.10</w:t>
      </w:r>
      <w:r>
        <w:rPr>
          <w:spacing w:val="-9"/>
        </w:rPr>
        <w:t> 条规定的信息显示和功能操作窗口； </w:t>
      </w:r>
      <w:r>
        <w:rPr>
          <w:spacing w:val="-3"/>
        </w:rPr>
        <w:t>消防地理信息显示窗口；</w:t>
      </w:r>
      <w:r>
        <w:rPr/>
        <w:t> </w:t>
      </w:r>
    </w:p>
    <w:p>
      <w:pPr>
        <w:pStyle w:val="BodyText"/>
        <w:spacing w:line="446" w:lineRule="auto"/>
        <w:ind w:left="838" w:right="4964"/>
      </w:pPr>
      <w:r>
        <w:rPr>
          <w:spacing w:val="-3"/>
        </w:rPr>
        <w:t>各种电气设备控制操作和状态监测显示窗口。 </w:t>
      </w:r>
      <w:r>
        <w:rPr>
          <w:b/>
        </w:rPr>
        <w:t>5.3.12</w:t>
      </w:r>
      <w:r>
        <w:rPr>
          <w:b/>
          <w:spacing w:val="10"/>
        </w:rPr>
        <w:t> </w:t>
      </w:r>
      <w:r>
        <w:rPr>
          <w:spacing w:val="-3"/>
        </w:rPr>
        <w:t>便携式消防作战指挥平台应符合下列要求： 具有位置定位、导航功能； </w:t>
      </w:r>
    </w:p>
    <w:p>
      <w:pPr>
        <w:pStyle w:val="BodyText"/>
        <w:spacing w:line="268" w:lineRule="exact"/>
        <w:ind w:left="838"/>
      </w:pPr>
      <w:r>
        <w:rPr/>
        <w:t>具有现场消防地理信息显示窗口； </w:t>
      </w:r>
    </w:p>
    <w:p>
      <w:pPr>
        <w:pStyle w:val="BodyText"/>
        <w:spacing w:before="12"/>
        <w:rPr>
          <w:sz w:val="17"/>
        </w:rPr>
      </w:pPr>
    </w:p>
    <w:p>
      <w:pPr>
        <w:pStyle w:val="BodyText"/>
        <w:spacing w:line="446" w:lineRule="auto"/>
        <w:ind w:left="838" w:right="3817"/>
      </w:pPr>
      <w:r>
        <w:rPr>
          <w:spacing w:val="-9"/>
        </w:rPr>
        <w:t>具有本规范第 </w:t>
      </w:r>
      <w:r>
        <w:rPr/>
        <w:t>5.7.3</w:t>
      </w:r>
      <w:r>
        <w:rPr>
          <w:spacing w:val="-8"/>
        </w:rPr>
        <w:t> 条规定的消防指挥决策支持功能操作窗口； </w:t>
      </w:r>
      <w:r>
        <w:rPr>
          <w:spacing w:val="-3"/>
        </w:rPr>
        <w:t>具有现场作战指挥信息录入窗口，录入的信息不可更改；</w:t>
      </w:r>
      <w:r>
        <w:rPr/>
        <w:t> </w:t>
      </w:r>
    </w:p>
    <w:p>
      <w:pPr>
        <w:pStyle w:val="BodyText"/>
        <w:spacing w:line="267" w:lineRule="exact"/>
        <w:ind w:left="838"/>
      </w:pPr>
      <w:r>
        <w:rPr/>
        <w:t>具有一键快速进入火灾扑救、抢险救援、信息查询功能窗口； </w:t>
      </w:r>
    </w:p>
    <w:p>
      <w:pPr>
        <w:pStyle w:val="BodyText"/>
        <w:spacing w:before="2"/>
        <w:rPr>
          <w:sz w:val="18"/>
        </w:rPr>
      </w:pPr>
    </w:p>
    <w:p>
      <w:pPr>
        <w:pStyle w:val="BodyText"/>
        <w:spacing w:line="446" w:lineRule="auto"/>
        <w:ind w:left="418" w:right="1410" w:firstLine="419"/>
      </w:pPr>
      <w:r>
        <w:rPr/>
        <w:t>能基于现场消防地理信息、消防水源和灭火救援预案等进行灭火救援作战部署标绘、临机灾害处置方案编制； </w:t>
      </w:r>
    </w:p>
    <w:p>
      <w:pPr>
        <w:pStyle w:val="BodyText"/>
        <w:spacing w:line="446" w:lineRule="auto"/>
        <w:ind w:left="838" w:right="4866"/>
      </w:pPr>
      <w:r>
        <w:rPr/>
        <w:t>具有灭火救援数据关联、信息查询、语音提示功能； 能与移动消防指挥中心进行实时数据传输； </w:t>
      </w:r>
    </w:p>
    <w:p>
      <w:pPr>
        <w:spacing w:after="0" w:line="446" w:lineRule="auto"/>
        <w:sectPr>
          <w:pgSz w:w="11910" w:h="16850"/>
          <w:pgMar w:header="0" w:footer="1239" w:top="1220" w:bottom="1420" w:left="1260" w:right="0"/>
        </w:sectPr>
      </w:pPr>
    </w:p>
    <w:p>
      <w:pPr>
        <w:pStyle w:val="BodyText"/>
        <w:spacing w:before="47"/>
        <w:ind w:left="838"/>
      </w:pPr>
      <w:r>
        <w:rPr/>
        <w:t>具有测风、测温度、测距离、望远、夜视、扩音、警示等功能。 </w:t>
      </w:r>
    </w:p>
    <w:p>
      <w:pPr>
        <w:pStyle w:val="BodyText"/>
        <w:rPr>
          <w:sz w:val="18"/>
        </w:rPr>
      </w:pPr>
    </w:p>
    <w:p>
      <w:pPr>
        <w:pStyle w:val="ListParagraph"/>
        <w:numPr>
          <w:ilvl w:val="2"/>
          <w:numId w:val="954"/>
        </w:numPr>
        <w:tabs>
          <w:tab w:pos="1478" w:val="left" w:leader="none"/>
        </w:tabs>
        <w:spacing w:line="240" w:lineRule="auto" w:before="0" w:after="0"/>
        <w:ind w:left="1477" w:right="0" w:hanging="638"/>
        <w:jc w:val="left"/>
        <w:rPr>
          <w:sz w:val="21"/>
        </w:rPr>
      </w:pPr>
      <w:r>
        <w:rPr>
          <w:spacing w:val="-6"/>
          <w:sz w:val="21"/>
        </w:rPr>
        <w:t>现场指挥子系统的消防信息显示应符合本规范第 </w:t>
      </w:r>
      <w:r>
        <w:rPr>
          <w:sz w:val="21"/>
        </w:rPr>
        <w:t>5.10</w:t>
      </w:r>
      <w:r>
        <w:rPr>
          <w:spacing w:val="-12"/>
          <w:sz w:val="21"/>
        </w:rPr>
        <w:t> 节的规定。</w:t>
      </w:r>
      <w:r>
        <w:rPr>
          <w:sz w:val="21"/>
        </w:rPr>
        <w:t> </w:t>
      </w:r>
    </w:p>
    <w:p>
      <w:pPr>
        <w:pStyle w:val="BodyText"/>
        <w:rPr>
          <w:sz w:val="18"/>
        </w:rPr>
      </w:pPr>
    </w:p>
    <w:p>
      <w:pPr>
        <w:pStyle w:val="ListParagraph"/>
        <w:numPr>
          <w:ilvl w:val="2"/>
          <w:numId w:val="954"/>
        </w:numPr>
        <w:tabs>
          <w:tab w:pos="1478" w:val="left" w:leader="none"/>
        </w:tabs>
        <w:spacing w:line="240" w:lineRule="auto" w:before="0" w:after="0"/>
        <w:ind w:left="1477" w:right="0" w:hanging="638"/>
        <w:jc w:val="left"/>
        <w:rPr>
          <w:sz w:val="18"/>
        </w:rPr>
      </w:pPr>
      <w:r>
        <w:rPr>
          <w:spacing w:val="-3"/>
          <w:sz w:val="21"/>
        </w:rPr>
        <w:t>现场指挥设备的装载体及必要的保障设施应符合国家现行有关标准的规定。</w:t>
      </w:r>
      <w:r>
        <w:rPr>
          <w:spacing w:val="-3"/>
          <w:sz w:val="18"/>
        </w:rPr>
        <w:t> </w:t>
      </w:r>
    </w:p>
    <w:p>
      <w:pPr>
        <w:pStyle w:val="BodyText"/>
        <w:spacing w:before="1"/>
        <w:rPr>
          <w:sz w:val="18"/>
        </w:rPr>
      </w:pPr>
    </w:p>
    <w:p>
      <w:pPr>
        <w:pStyle w:val="ListParagraph"/>
        <w:numPr>
          <w:ilvl w:val="1"/>
          <w:numId w:val="949"/>
        </w:numPr>
        <w:tabs>
          <w:tab w:pos="1160" w:val="left" w:leader="none"/>
        </w:tabs>
        <w:spacing w:line="240" w:lineRule="auto" w:before="1" w:after="0"/>
        <w:ind w:left="1159" w:right="0" w:hanging="320"/>
        <w:jc w:val="left"/>
        <w:rPr>
          <w:sz w:val="21"/>
        </w:rPr>
      </w:pPr>
      <w:r>
        <w:rPr>
          <w:spacing w:val="-3"/>
          <w:sz w:val="21"/>
        </w:rPr>
        <w:t>指挥模拟训练子系统</w:t>
      </w:r>
      <w:r>
        <w:rPr>
          <w:sz w:val="21"/>
        </w:rPr>
        <w:t> </w:t>
      </w:r>
    </w:p>
    <w:p>
      <w:pPr>
        <w:pStyle w:val="BodyText"/>
        <w:spacing w:before="12"/>
        <w:rPr>
          <w:sz w:val="17"/>
        </w:rPr>
      </w:pPr>
    </w:p>
    <w:p>
      <w:pPr>
        <w:pStyle w:val="ListParagraph"/>
        <w:numPr>
          <w:ilvl w:val="2"/>
          <w:numId w:val="949"/>
        </w:numPr>
        <w:tabs>
          <w:tab w:pos="1371" w:val="left" w:leader="none"/>
        </w:tabs>
        <w:spacing w:line="240" w:lineRule="auto" w:before="0" w:after="0"/>
        <w:ind w:left="1370" w:right="0" w:hanging="531"/>
        <w:jc w:val="left"/>
        <w:rPr>
          <w:sz w:val="21"/>
        </w:rPr>
      </w:pPr>
      <w:r>
        <w:rPr>
          <w:spacing w:val="-3"/>
          <w:sz w:val="21"/>
        </w:rPr>
        <w:t>指挥模拟训练子系统的模拟训练功能应符合下列要求：</w:t>
      </w:r>
      <w:r>
        <w:rPr>
          <w:sz w:val="21"/>
        </w:rPr>
        <w:t> </w:t>
      </w:r>
    </w:p>
    <w:p>
      <w:pPr>
        <w:pStyle w:val="BodyText"/>
        <w:spacing w:before="12"/>
        <w:rPr>
          <w:sz w:val="17"/>
        </w:rPr>
      </w:pPr>
    </w:p>
    <w:p>
      <w:pPr>
        <w:pStyle w:val="BodyText"/>
        <w:ind w:left="838"/>
      </w:pPr>
      <w:r>
        <w:rPr/>
        <w:t>能根据灭火救援预案进行三维动态仿真演练； </w:t>
      </w:r>
    </w:p>
    <w:p>
      <w:pPr>
        <w:pStyle w:val="BodyText"/>
        <w:spacing w:before="2"/>
        <w:rPr>
          <w:sz w:val="18"/>
        </w:rPr>
      </w:pPr>
    </w:p>
    <w:p>
      <w:pPr>
        <w:pStyle w:val="BodyText"/>
        <w:spacing w:line="446" w:lineRule="auto"/>
        <w:ind w:left="838" w:right="2977"/>
      </w:pPr>
      <w:r>
        <w:rPr>
          <w:spacing w:val="-3"/>
        </w:rPr>
        <w:t>能对重特大火灾及灾害事故跨区域作战、多层次现场指挥进行模拟训练； 能依据灭火救援指挥评价体系，对指挥效果进行三维动态仿真评估。</w:t>
      </w:r>
      <w:r>
        <w:rPr/>
        <w:t> </w:t>
      </w:r>
    </w:p>
    <w:p>
      <w:pPr>
        <w:spacing w:line="267" w:lineRule="exact" w:before="0"/>
        <w:ind w:left="629" w:right="0" w:firstLine="0"/>
        <w:jc w:val="left"/>
        <w:rPr>
          <w:sz w:val="21"/>
        </w:rPr>
      </w:pPr>
      <w:r>
        <w:rPr>
          <w:b/>
          <w:w w:val="99"/>
          <w:sz w:val="21"/>
        </w:rPr>
        <w:t>  </w:t>
      </w:r>
      <w:r>
        <w:rPr>
          <w:b/>
          <w:sz w:val="21"/>
        </w:rPr>
        <w:t>5.4.2 </w:t>
      </w:r>
      <w:r>
        <w:rPr>
          <w:sz w:val="21"/>
        </w:rPr>
        <w:t>指挥模拟训练子系统的虚拟仿真功能应符合下列要求： </w:t>
      </w:r>
    </w:p>
    <w:p>
      <w:pPr>
        <w:pStyle w:val="BodyText"/>
        <w:spacing w:before="2"/>
        <w:rPr>
          <w:sz w:val="18"/>
        </w:rPr>
      </w:pPr>
    </w:p>
    <w:p>
      <w:pPr>
        <w:pStyle w:val="BodyText"/>
        <w:spacing w:line="446" w:lineRule="auto"/>
        <w:ind w:left="838" w:right="2134"/>
      </w:pPr>
      <w:r>
        <w:rPr>
          <w:spacing w:val="-3"/>
        </w:rPr>
        <w:t>能建立火灾及灾害事故、灭火救援车辆、人员、装备器材、场景等三维动态模型； 能将灭火救援二维文字预案转换为三维动态的数字化预案；</w:t>
      </w:r>
      <w:r>
        <w:rPr/>
        <w:t> </w:t>
      </w:r>
    </w:p>
    <w:p>
      <w:pPr>
        <w:pStyle w:val="BodyText"/>
        <w:spacing w:line="267" w:lineRule="exact"/>
        <w:ind w:left="838"/>
        <w:rPr>
          <w:sz w:val="18"/>
        </w:rPr>
      </w:pPr>
      <w:r>
        <w:rPr/>
        <w:t>能依据灭火救援指挥方案，编辑设计灭火救援指挥三维动态的数字化预案。</w:t>
      </w:r>
      <w:r>
        <w:rPr>
          <w:sz w:val="18"/>
        </w:rPr>
        <w:t> </w:t>
      </w:r>
    </w:p>
    <w:p>
      <w:pPr>
        <w:pStyle w:val="BodyText"/>
        <w:spacing w:before="2"/>
        <w:rPr>
          <w:sz w:val="18"/>
        </w:rPr>
      </w:pPr>
    </w:p>
    <w:p>
      <w:pPr>
        <w:pStyle w:val="ListParagraph"/>
        <w:numPr>
          <w:ilvl w:val="1"/>
          <w:numId w:val="949"/>
        </w:numPr>
        <w:tabs>
          <w:tab w:pos="1160" w:val="left" w:leader="none"/>
        </w:tabs>
        <w:spacing w:line="240" w:lineRule="auto" w:before="0" w:after="0"/>
        <w:ind w:left="1159" w:right="0" w:hanging="320"/>
        <w:jc w:val="left"/>
        <w:rPr>
          <w:b/>
          <w:sz w:val="21"/>
        </w:rPr>
      </w:pPr>
      <w:r>
        <w:rPr>
          <w:spacing w:val="-3"/>
          <w:sz w:val="21"/>
        </w:rPr>
        <w:t>消防图像管理子系统</w:t>
      </w:r>
      <w:r>
        <w:rPr>
          <w:b/>
          <w:w w:val="99"/>
          <w:sz w:val="21"/>
        </w:rPr>
        <w:t> </w:t>
      </w:r>
    </w:p>
    <w:p>
      <w:pPr>
        <w:pStyle w:val="BodyText"/>
        <w:rPr>
          <w:b/>
          <w:sz w:val="18"/>
        </w:rPr>
      </w:pPr>
    </w:p>
    <w:p>
      <w:pPr>
        <w:pStyle w:val="ListParagraph"/>
        <w:numPr>
          <w:ilvl w:val="2"/>
          <w:numId w:val="949"/>
        </w:numPr>
        <w:tabs>
          <w:tab w:pos="1371" w:val="left" w:leader="none"/>
        </w:tabs>
        <w:spacing w:line="446" w:lineRule="auto" w:before="0" w:after="0"/>
        <w:ind w:left="418" w:right="1431" w:firstLine="422"/>
        <w:jc w:val="left"/>
        <w:rPr>
          <w:sz w:val="21"/>
        </w:rPr>
      </w:pPr>
      <w:r>
        <w:rPr>
          <w:spacing w:val="-5"/>
          <w:sz w:val="21"/>
        </w:rPr>
        <w:t>消防图像管理子系统应能接入现场指挥子系统采集、传输的火场及其他灾害事故现场</w:t>
      </w:r>
      <w:r>
        <w:rPr>
          <w:spacing w:val="-4"/>
          <w:sz w:val="21"/>
        </w:rPr>
        <w:t>实况图像信息。</w:t>
      </w:r>
      <w:r>
        <w:rPr>
          <w:sz w:val="21"/>
        </w:rPr>
        <w:t> </w:t>
      </w:r>
    </w:p>
    <w:p>
      <w:pPr>
        <w:pStyle w:val="ListParagraph"/>
        <w:numPr>
          <w:ilvl w:val="2"/>
          <w:numId w:val="949"/>
        </w:numPr>
        <w:tabs>
          <w:tab w:pos="1371" w:val="left" w:leader="none"/>
        </w:tabs>
        <w:spacing w:line="446" w:lineRule="auto" w:before="0" w:after="0"/>
        <w:ind w:left="418" w:right="1431" w:firstLine="422"/>
        <w:jc w:val="left"/>
        <w:rPr>
          <w:sz w:val="21"/>
        </w:rPr>
      </w:pPr>
      <w:r>
        <w:rPr>
          <w:spacing w:val="-5"/>
          <w:sz w:val="21"/>
        </w:rPr>
        <w:t>消防图像管理子系统应能接收在城市消防重点区域、消防重点建</w:t>
      </w:r>
      <w:r>
        <w:rPr>
          <w:sz w:val="21"/>
        </w:rPr>
        <w:t>（</w:t>
      </w:r>
      <w:r>
        <w:rPr>
          <w:spacing w:val="-3"/>
          <w:sz w:val="21"/>
        </w:rPr>
        <w:t>构</w:t>
      </w:r>
      <w:r>
        <w:rPr>
          <w:spacing w:val="-10"/>
          <w:sz w:val="21"/>
        </w:rPr>
        <w:t>）</w:t>
      </w:r>
      <w:r>
        <w:rPr>
          <w:spacing w:val="-4"/>
          <w:sz w:val="21"/>
        </w:rPr>
        <w:t>筑物、消防重</w:t>
      </w:r>
      <w:r>
        <w:rPr>
          <w:spacing w:val="-3"/>
          <w:sz w:val="21"/>
        </w:rPr>
        <w:t>点部位设置的消防监控图像信息采集点采集、传输的实况图像信息。</w:t>
      </w:r>
      <w:r>
        <w:rPr>
          <w:sz w:val="21"/>
        </w:rPr>
        <w:t> </w:t>
      </w:r>
    </w:p>
    <w:p>
      <w:pPr>
        <w:pStyle w:val="ListParagraph"/>
        <w:numPr>
          <w:ilvl w:val="2"/>
          <w:numId w:val="949"/>
        </w:numPr>
        <w:tabs>
          <w:tab w:pos="1371" w:val="left" w:leader="none"/>
        </w:tabs>
        <w:spacing w:line="446" w:lineRule="auto" w:before="0" w:after="0"/>
        <w:ind w:left="418" w:right="1433" w:firstLine="422"/>
        <w:jc w:val="left"/>
        <w:rPr>
          <w:sz w:val="21"/>
        </w:rPr>
      </w:pPr>
      <w:r>
        <w:rPr>
          <w:spacing w:val="-6"/>
          <w:sz w:val="21"/>
        </w:rPr>
        <w:t>消防图像管理子系统应能与公安图像监控系统联网，获取重点区域、重点部位、重点</w:t>
      </w:r>
      <w:r>
        <w:rPr>
          <w:spacing w:val="-4"/>
          <w:sz w:val="21"/>
        </w:rPr>
        <w:t>道路图像信息。</w:t>
      </w:r>
      <w:r>
        <w:rPr>
          <w:sz w:val="21"/>
        </w:rPr>
        <w:t> </w:t>
      </w:r>
    </w:p>
    <w:p>
      <w:pPr>
        <w:pStyle w:val="ListParagraph"/>
        <w:numPr>
          <w:ilvl w:val="2"/>
          <w:numId w:val="949"/>
        </w:numPr>
        <w:tabs>
          <w:tab w:pos="1371" w:val="left" w:leader="none"/>
        </w:tabs>
        <w:spacing w:line="446" w:lineRule="auto" w:before="0" w:after="0"/>
        <w:ind w:left="418" w:right="1431" w:firstLine="422"/>
        <w:jc w:val="left"/>
        <w:rPr>
          <w:sz w:val="21"/>
        </w:rPr>
      </w:pPr>
      <w:r>
        <w:rPr>
          <w:spacing w:val="-4"/>
          <w:sz w:val="21"/>
        </w:rPr>
        <w:t>消防图像管理子系统应能接收在辖区消防站设置的远程监控图像信息采集点采集、传</w:t>
      </w:r>
      <w:r>
        <w:rPr>
          <w:spacing w:val="-3"/>
          <w:sz w:val="21"/>
        </w:rPr>
        <w:t>输的执勤备战、接警和火警出动等实况图像信息。</w:t>
      </w:r>
      <w:r>
        <w:rPr>
          <w:sz w:val="21"/>
        </w:rPr>
        <w:t> </w:t>
      </w:r>
    </w:p>
    <w:p>
      <w:pPr>
        <w:pStyle w:val="ListParagraph"/>
        <w:numPr>
          <w:ilvl w:val="2"/>
          <w:numId w:val="949"/>
        </w:numPr>
        <w:tabs>
          <w:tab w:pos="1371" w:val="left" w:leader="none"/>
        </w:tabs>
        <w:spacing w:line="240" w:lineRule="auto" w:before="0" w:after="0"/>
        <w:ind w:left="1370" w:right="0" w:hanging="531"/>
        <w:jc w:val="left"/>
        <w:rPr>
          <w:sz w:val="21"/>
        </w:rPr>
      </w:pPr>
      <w:r>
        <w:rPr>
          <w:spacing w:val="-3"/>
          <w:sz w:val="21"/>
        </w:rPr>
        <w:t>消防图像管理子系统应能接收消防车辆实时上传的实况图像信息。</w:t>
      </w:r>
      <w:r>
        <w:rPr>
          <w:sz w:val="21"/>
        </w:rPr>
        <w:t> </w:t>
      </w:r>
    </w:p>
    <w:p>
      <w:pPr>
        <w:pStyle w:val="BodyText"/>
        <w:spacing w:before="10"/>
        <w:rPr>
          <w:sz w:val="17"/>
        </w:rPr>
      </w:pPr>
    </w:p>
    <w:p>
      <w:pPr>
        <w:pStyle w:val="ListParagraph"/>
        <w:numPr>
          <w:ilvl w:val="2"/>
          <w:numId w:val="949"/>
        </w:numPr>
        <w:tabs>
          <w:tab w:pos="1370" w:val="left" w:leader="none"/>
        </w:tabs>
        <w:spacing w:line="446" w:lineRule="auto" w:before="0" w:after="0"/>
        <w:ind w:left="418" w:right="1431" w:firstLine="422"/>
        <w:jc w:val="left"/>
        <w:rPr>
          <w:sz w:val="21"/>
        </w:rPr>
      </w:pPr>
      <w:r>
        <w:rPr>
          <w:spacing w:val="-5"/>
          <w:sz w:val="21"/>
        </w:rPr>
        <w:t>消防图像管理子系统应能接入消防指挥视音频会议，并应能参加公安机关、政府相关</w:t>
      </w:r>
      <w:r>
        <w:rPr>
          <w:spacing w:val="-4"/>
          <w:sz w:val="21"/>
        </w:rPr>
        <w:t>部门召开的视音频会议。</w:t>
      </w:r>
      <w:r>
        <w:rPr>
          <w:sz w:val="21"/>
        </w:rPr>
        <w:t> </w:t>
      </w:r>
    </w:p>
    <w:p>
      <w:pPr>
        <w:pStyle w:val="ListParagraph"/>
        <w:numPr>
          <w:ilvl w:val="2"/>
          <w:numId w:val="949"/>
        </w:numPr>
        <w:tabs>
          <w:tab w:pos="1371" w:val="left" w:leader="none"/>
        </w:tabs>
        <w:spacing w:line="240" w:lineRule="auto" w:before="0" w:after="0"/>
        <w:ind w:left="1370" w:right="0" w:hanging="531"/>
        <w:jc w:val="left"/>
        <w:rPr>
          <w:sz w:val="21"/>
        </w:rPr>
      </w:pPr>
      <w:r>
        <w:rPr>
          <w:spacing w:val="-3"/>
          <w:sz w:val="21"/>
        </w:rPr>
        <w:t>消防图像管理子系统应能集中管理和按权限调配控制各类图像信息资源。 </w:t>
      </w:r>
    </w:p>
    <w:p>
      <w:pPr>
        <w:pStyle w:val="BodyText"/>
        <w:rPr>
          <w:sz w:val="18"/>
        </w:rPr>
      </w:pPr>
    </w:p>
    <w:p>
      <w:pPr>
        <w:pStyle w:val="ListParagraph"/>
        <w:numPr>
          <w:ilvl w:val="2"/>
          <w:numId w:val="949"/>
        </w:numPr>
        <w:tabs>
          <w:tab w:pos="1371" w:val="left" w:leader="none"/>
        </w:tabs>
        <w:spacing w:line="240" w:lineRule="auto" w:before="0" w:after="0"/>
        <w:ind w:left="1370" w:right="0" w:hanging="531"/>
        <w:jc w:val="left"/>
        <w:rPr>
          <w:sz w:val="18"/>
        </w:rPr>
      </w:pPr>
      <w:r>
        <w:rPr>
          <w:spacing w:val="-3"/>
          <w:sz w:val="21"/>
        </w:rPr>
        <w:t>消防图像管理子系统应能对各类图像信息进行存储和检索回放。</w:t>
      </w:r>
      <w:r>
        <w:rPr>
          <w:sz w:val="18"/>
        </w:rPr>
        <w:t> </w:t>
      </w:r>
    </w:p>
    <w:p>
      <w:pPr>
        <w:pStyle w:val="BodyText"/>
        <w:spacing w:before="12"/>
        <w:rPr>
          <w:sz w:val="17"/>
        </w:rPr>
      </w:pPr>
    </w:p>
    <w:p>
      <w:pPr>
        <w:pStyle w:val="ListParagraph"/>
        <w:numPr>
          <w:ilvl w:val="1"/>
          <w:numId w:val="949"/>
        </w:numPr>
        <w:tabs>
          <w:tab w:pos="1159" w:val="left" w:leader="none"/>
        </w:tabs>
        <w:spacing w:line="240" w:lineRule="auto" w:before="0" w:after="0"/>
        <w:ind w:left="1158" w:right="0" w:hanging="319"/>
        <w:jc w:val="left"/>
        <w:rPr>
          <w:b/>
          <w:sz w:val="21"/>
        </w:rPr>
      </w:pPr>
      <w:r>
        <w:rPr>
          <w:spacing w:val="-3"/>
          <w:sz w:val="21"/>
        </w:rPr>
        <w:t>消防车辆管理子系统</w:t>
      </w:r>
      <w:r>
        <w:rPr>
          <w:b/>
          <w:w w:val="99"/>
          <w:sz w:val="21"/>
        </w:rPr>
        <w:t> </w:t>
      </w:r>
    </w:p>
    <w:p>
      <w:pPr>
        <w:pStyle w:val="BodyText"/>
        <w:spacing w:before="2"/>
        <w:rPr>
          <w:b/>
          <w:sz w:val="18"/>
        </w:rPr>
      </w:pPr>
    </w:p>
    <w:p>
      <w:pPr>
        <w:pStyle w:val="ListParagraph"/>
        <w:numPr>
          <w:ilvl w:val="2"/>
          <w:numId w:val="949"/>
        </w:numPr>
        <w:tabs>
          <w:tab w:pos="1370" w:val="left" w:leader="none"/>
        </w:tabs>
        <w:spacing w:line="240" w:lineRule="auto" w:before="0" w:after="0"/>
        <w:ind w:left="1369" w:right="0" w:hanging="530"/>
        <w:jc w:val="left"/>
        <w:rPr>
          <w:sz w:val="21"/>
        </w:rPr>
      </w:pPr>
      <w:r>
        <w:rPr>
          <w:spacing w:val="-3"/>
          <w:sz w:val="21"/>
        </w:rPr>
        <w:t>消防车辆管理子系统的车辆监控功能应符合下列要求：</w:t>
      </w:r>
      <w:r>
        <w:rPr>
          <w:sz w:val="21"/>
        </w:rPr>
        <w:t> </w:t>
      </w:r>
    </w:p>
    <w:p>
      <w:pPr>
        <w:spacing w:after="0" w:line="240" w:lineRule="auto"/>
        <w:jc w:val="left"/>
        <w:rPr>
          <w:sz w:val="21"/>
        </w:rPr>
        <w:sectPr>
          <w:pgSz w:w="11910" w:h="16850"/>
          <w:pgMar w:header="0" w:footer="1239" w:top="1220" w:bottom="1420" w:left="1260" w:right="0"/>
        </w:sectPr>
      </w:pPr>
    </w:p>
    <w:p>
      <w:pPr>
        <w:pStyle w:val="BodyText"/>
        <w:spacing w:line="446" w:lineRule="auto" w:before="47"/>
        <w:ind w:left="418" w:right="1431" w:firstLine="419"/>
      </w:pPr>
      <w:r>
        <w:rPr>
          <w:spacing w:val="-5"/>
        </w:rPr>
        <w:t>能接收并显示车载终端发送的消防车辆位置、运行</w:t>
      </w:r>
      <w:r>
        <w:rPr/>
        <w:t>（</w:t>
      </w:r>
      <w:r>
        <w:rPr>
          <w:spacing w:val="-7"/>
        </w:rPr>
        <w:t>速度、行驶方向</w:t>
      </w:r>
      <w:r>
        <w:rPr>
          <w:spacing w:val="-108"/>
        </w:rPr>
        <w:t>）</w:t>
      </w:r>
      <w:r>
        <w:rPr>
          <w:spacing w:val="-9"/>
        </w:rPr>
        <w:t>、底盘、上装、车载器</w:t>
      </w:r>
      <w:r>
        <w:rPr>
          <w:spacing w:val="-5"/>
        </w:rPr>
        <w:t>材、视音频、大气环境等实时状态信息；</w:t>
      </w:r>
      <w:r>
        <w:rPr/>
        <w:t> </w:t>
      </w:r>
    </w:p>
    <w:p>
      <w:pPr>
        <w:pStyle w:val="BodyText"/>
        <w:spacing w:line="446" w:lineRule="auto"/>
        <w:ind w:left="838" w:right="4657"/>
      </w:pPr>
      <w:r>
        <w:rPr/>
        <w:t>能显示消防车辆动态轨迹，并具有历史轨迹回放功能； 具有分级、分区域和特定消防车辆监控管理功能。 </w:t>
      </w:r>
    </w:p>
    <w:p>
      <w:pPr>
        <w:pStyle w:val="ListParagraph"/>
        <w:numPr>
          <w:ilvl w:val="2"/>
          <w:numId w:val="949"/>
        </w:numPr>
        <w:tabs>
          <w:tab w:pos="1370" w:val="left" w:leader="none"/>
        </w:tabs>
        <w:spacing w:line="240" w:lineRule="auto" w:before="0" w:after="0"/>
        <w:ind w:left="1369" w:right="0" w:hanging="530"/>
        <w:jc w:val="left"/>
        <w:rPr>
          <w:sz w:val="21"/>
        </w:rPr>
      </w:pPr>
      <w:r>
        <w:rPr>
          <w:spacing w:val="-3"/>
          <w:sz w:val="21"/>
        </w:rPr>
        <w:t>消防车辆管理子系统的灭火救援信息传输功能应符合下列要求：</w:t>
      </w:r>
      <w:r>
        <w:rPr>
          <w:sz w:val="21"/>
        </w:rPr>
        <w:t> </w:t>
      </w:r>
    </w:p>
    <w:p>
      <w:pPr>
        <w:pStyle w:val="BodyText"/>
        <w:spacing w:before="10"/>
        <w:rPr>
          <w:sz w:val="17"/>
        </w:rPr>
      </w:pPr>
    </w:p>
    <w:p>
      <w:pPr>
        <w:pStyle w:val="BodyText"/>
        <w:spacing w:line="446" w:lineRule="auto"/>
        <w:ind w:left="418" w:right="1333" w:firstLine="419"/>
      </w:pPr>
      <w:r>
        <w:rPr/>
        <w:t>能接收并显示车载终端发送的待命、出动、途中、到场、出水、运水、停水、返队、执勤、检修等作战状态； </w:t>
      </w:r>
    </w:p>
    <w:p>
      <w:pPr>
        <w:pStyle w:val="BodyText"/>
        <w:spacing w:before="1"/>
        <w:ind w:left="838"/>
      </w:pPr>
      <w:r>
        <w:rPr/>
        <w:t>能向车载终端发送出动指令、行进目的地、行车路线； </w:t>
      </w:r>
    </w:p>
    <w:p>
      <w:pPr>
        <w:pStyle w:val="BodyText"/>
        <w:spacing w:before="12"/>
        <w:rPr>
          <w:sz w:val="17"/>
        </w:rPr>
      </w:pPr>
    </w:p>
    <w:p>
      <w:pPr>
        <w:pStyle w:val="BodyText"/>
        <w:spacing w:line="446" w:lineRule="auto"/>
        <w:ind w:left="838" w:right="3397"/>
      </w:pPr>
      <w:r>
        <w:rPr>
          <w:spacing w:val="-3"/>
        </w:rPr>
        <w:t>能向车载终端发送与灭火救援有关的简要文字信息，并能实现群发； 能接收并显示车载终端发送的与灭火救援有关的简要文字信息。 </w:t>
      </w:r>
      <w:r>
        <w:rPr>
          <w:b/>
        </w:rPr>
        <w:t>5.6.3</w:t>
      </w:r>
      <w:r>
        <w:rPr>
          <w:b/>
          <w:spacing w:val="3"/>
        </w:rPr>
        <w:t> </w:t>
      </w:r>
      <w:r>
        <w:rPr>
          <w:spacing w:val="-3"/>
        </w:rPr>
        <w:t>消防车辆管理子系统的车载终端应符合下列要求：</w:t>
      </w:r>
      <w:r>
        <w:rPr/>
        <w:t> </w:t>
      </w:r>
    </w:p>
    <w:p>
      <w:pPr>
        <w:pStyle w:val="BodyText"/>
        <w:spacing w:line="268" w:lineRule="exact"/>
        <w:ind w:left="838"/>
      </w:pPr>
      <w:r>
        <w:rPr/>
        <w:t>能定位本车的位置； </w:t>
      </w:r>
    </w:p>
    <w:p>
      <w:pPr>
        <w:pStyle w:val="BodyText"/>
        <w:spacing w:before="2"/>
        <w:rPr>
          <w:sz w:val="18"/>
        </w:rPr>
      </w:pPr>
    </w:p>
    <w:p>
      <w:pPr>
        <w:pStyle w:val="BodyText"/>
        <w:spacing w:line="446" w:lineRule="auto"/>
        <w:ind w:left="418" w:right="1434" w:firstLine="419"/>
      </w:pPr>
      <w:r>
        <w:rPr>
          <w:spacing w:val="-7"/>
        </w:rPr>
        <w:t>能将本车位置、运行、底盘、上装、车载器材、视音频、大气环境等信息实时发送给消防通</w:t>
      </w:r>
      <w:r>
        <w:rPr>
          <w:spacing w:val="-5"/>
        </w:rPr>
        <w:t>信指挥中心；</w:t>
      </w:r>
      <w:r>
        <w:rPr/>
        <w:t> </w:t>
      </w:r>
    </w:p>
    <w:p>
      <w:pPr>
        <w:pStyle w:val="BodyText"/>
        <w:spacing w:line="446" w:lineRule="auto"/>
        <w:ind w:left="418" w:right="1410" w:firstLine="419"/>
      </w:pPr>
      <w:r>
        <w:rPr/>
        <w:t>能将本车待命、出动、途中、到场、出水、运水、停水、返队、执勤、检修等作战状态等信息实时发送给消防通信指挥中心； </w:t>
      </w:r>
    </w:p>
    <w:p>
      <w:pPr>
        <w:pStyle w:val="BodyText"/>
        <w:spacing w:line="446" w:lineRule="auto"/>
        <w:ind w:left="838" w:right="1714"/>
      </w:pPr>
      <w:r>
        <w:rPr>
          <w:spacing w:val="-3"/>
        </w:rPr>
        <w:t>能接收、显示或语音播报消防通信指挥中心发送的出动指令、行进目的地、行车路线； 能接收、显示或语音播报消防通信指挥中心发送的与灭火救援有关的简要信息； </w:t>
      </w:r>
    </w:p>
    <w:p>
      <w:pPr>
        <w:pStyle w:val="BodyText"/>
        <w:spacing w:line="446" w:lineRule="auto"/>
        <w:ind w:left="838" w:right="4026"/>
        <w:jc w:val="both"/>
      </w:pPr>
      <w:r>
        <w:rPr/>
        <w:t>能向消防通信指挥中心发送与灭火救援有关的简要文字信息； 能查询显示常用目的地、重点目标以及水源分布等地理信息； 能人工设定或接收消防通信指挥中心发送的行车目的地； </w:t>
      </w:r>
    </w:p>
    <w:p>
      <w:pPr>
        <w:pStyle w:val="BodyText"/>
        <w:spacing w:line="446" w:lineRule="auto"/>
        <w:ind w:left="838" w:right="5497"/>
      </w:pPr>
      <w:r>
        <w:rPr/>
        <w:t>能自动生成行车路线，显示行车距离和时间； 具有语音提示引导车辆行进功能； </w:t>
      </w:r>
    </w:p>
    <w:p>
      <w:pPr>
        <w:pStyle w:val="BodyText"/>
        <w:spacing w:line="267" w:lineRule="exact"/>
        <w:ind w:left="838"/>
      </w:pPr>
      <w:r>
        <w:rPr/>
        <w:t>偏离导航路线时能自动重新计算行进路线。 </w:t>
      </w:r>
    </w:p>
    <w:p>
      <w:pPr>
        <w:pStyle w:val="BodyText"/>
        <w:spacing w:before="12"/>
        <w:rPr>
          <w:sz w:val="17"/>
        </w:rPr>
      </w:pPr>
    </w:p>
    <w:p>
      <w:pPr>
        <w:spacing w:before="0"/>
        <w:ind w:left="840" w:right="0" w:firstLine="0"/>
        <w:jc w:val="left"/>
        <w:rPr>
          <w:sz w:val="21"/>
        </w:rPr>
      </w:pPr>
      <w:r>
        <w:rPr>
          <w:b/>
          <w:sz w:val="21"/>
        </w:rPr>
        <w:t>5.6.4 </w:t>
      </w:r>
      <w:r>
        <w:rPr>
          <w:sz w:val="21"/>
        </w:rPr>
        <w:t>消防车辆管理子系统的性能应符合下列要求： </w:t>
      </w:r>
    </w:p>
    <w:p>
      <w:pPr>
        <w:pStyle w:val="BodyText"/>
        <w:spacing w:before="12"/>
        <w:rPr>
          <w:sz w:val="17"/>
        </w:rPr>
      </w:pPr>
    </w:p>
    <w:p>
      <w:pPr>
        <w:pStyle w:val="BodyText"/>
        <w:spacing w:line="446" w:lineRule="auto"/>
        <w:ind w:left="838" w:right="6023"/>
      </w:pPr>
      <w:r>
        <w:rPr/>
        <w:t>消防车辆定位允许水平偏差应为±15m； 车载终端系统启动时间不应大于 90s； </w:t>
      </w:r>
    </w:p>
    <w:p>
      <w:pPr>
        <w:pStyle w:val="BodyText"/>
        <w:ind w:left="838"/>
      </w:pPr>
      <w:r>
        <w:rPr/>
        <w:t>车载终端定位功能启动时间不应大于 180s； </w:t>
      </w:r>
    </w:p>
    <w:p>
      <w:pPr>
        <w:spacing w:after="0"/>
        <w:sectPr>
          <w:footerReference w:type="default" r:id="rId598"/>
          <w:pgSz w:w="11910" w:h="16850"/>
          <w:pgMar w:footer="1239" w:header="0" w:top="1220" w:bottom="1420" w:left="1260" w:right="0"/>
          <w:pgNumType w:start="1650"/>
        </w:sectPr>
      </w:pPr>
    </w:p>
    <w:p>
      <w:pPr>
        <w:pStyle w:val="BodyText"/>
        <w:spacing w:before="47"/>
        <w:ind w:left="838"/>
        <w:rPr>
          <w:sz w:val="18"/>
        </w:rPr>
      </w:pPr>
      <w:r>
        <w:rPr/>
        <w:t>应能同时监控不少于 2 个灭火救援现场的消防车辆位置、状态。</w:t>
      </w:r>
      <w:r>
        <w:rPr>
          <w:sz w:val="18"/>
        </w:rPr>
        <w:t> </w:t>
      </w:r>
    </w:p>
    <w:p>
      <w:pPr>
        <w:pStyle w:val="BodyText"/>
        <w:rPr>
          <w:sz w:val="18"/>
        </w:rPr>
      </w:pPr>
    </w:p>
    <w:p>
      <w:pPr>
        <w:pStyle w:val="ListParagraph"/>
        <w:numPr>
          <w:ilvl w:val="1"/>
          <w:numId w:val="949"/>
        </w:numPr>
        <w:tabs>
          <w:tab w:pos="1159" w:val="left" w:leader="none"/>
        </w:tabs>
        <w:spacing w:line="240" w:lineRule="auto" w:before="0" w:after="0"/>
        <w:ind w:left="1158" w:right="0" w:hanging="319"/>
        <w:jc w:val="left"/>
        <w:rPr>
          <w:sz w:val="21"/>
        </w:rPr>
      </w:pPr>
      <w:r>
        <w:rPr>
          <w:spacing w:val="-3"/>
          <w:sz w:val="21"/>
        </w:rPr>
        <w:t>消防指挥决策支持子系统</w:t>
      </w:r>
      <w:r>
        <w:rPr>
          <w:sz w:val="21"/>
        </w:rPr>
        <w:t> </w:t>
      </w:r>
    </w:p>
    <w:p>
      <w:pPr>
        <w:pStyle w:val="BodyText"/>
        <w:rPr>
          <w:sz w:val="18"/>
        </w:rPr>
      </w:pPr>
    </w:p>
    <w:p>
      <w:pPr>
        <w:pStyle w:val="ListParagraph"/>
        <w:numPr>
          <w:ilvl w:val="2"/>
          <w:numId w:val="949"/>
        </w:numPr>
        <w:tabs>
          <w:tab w:pos="1367" w:val="left" w:leader="none"/>
        </w:tabs>
        <w:spacing w:line="240" w:lineRule="auto" w:before="0" w:after="0"/>
        <w:ind w:left="1367" w:right="0" w:hanging="529"/>
        <w:jc w:val="left"/>
        <w:rPr>
          <w:sz w:val="21"/>
        </w:rPr>
      </w:pPr>
      <w:r>
        <w:rPr>
          <w:spacing w:val="-6"/>
          <w:sz w:val="21"/>
        </w:rPr>
        <w:t>消防指挥决策支持子系统应能检索查询本规范第 </w:t>
      </w:r>
      <w:r>
        <w:rPr>
          <w:sz w:val="21"/>
        </w:rPr>
        <w:t>5.8.3</w:t>
      </w:r>
      <w:r>
        <w:rPr>
          <w:spacing w:val="-27"/>
          <w:sz w:val="21"/>
        </w:rPr>
        <w:t> 条</w:t>
      </w:r>
      <w:r>
        <w:rPr>
          <w:spacing w:val="-3"/>
          <w:sz w:val="21"/>
        </w:rPr>
        <w:t>～</w:t>
      </w:r>
      <w:r>
        <w:rPr>
          <w:spacing w:val="-26"/>
          <w:sz w:val="21"/>
        </w:rPr>
        <w:t>第 </w:t>
      </w:r>
      <w:r>
        <w:rPr>
          <w:sz w:val="21"/>
        </w:rPr>
        <w:t>5.8.7</w:t>
      </w:r>
      <w:r>
        <w:rPr>
          <w:spacing w:val="-10"/>
          <w:sz w:val="21"/>
        </w:rPr>
        <w:t> 条规定的信息</w:t>
      </w:r>
      <w:r>
        <w:rPr>
          <w:sz w:val="21"/>
        </w:rPr>
        <w:t> </w:t>
      </w:r>
    </w:p>
    <w:p>
      <w:pPr>
        <w:pStyle w:val="BodyText"/>
        <w:spacing w:before="1"/>
        <w:rPr>
          <w:sz w:val="18"/>
        </w:rPr>
      </w:pPr>
    </w:p>
    <w:p>
      <w:pPr>
        <w:pStyle w:val="ListParagraph"/>
        <w:numPr>
          <w:ilvl w:val="2"/>
          <w:numId w:val="949"/>
        </w:numPr>
        <w:tabs>
          <w:tab w:pos="1369" w:val="left" w:leader="none"/>
        </w:tabs>
        <w:spacing w:line="240" w:lineRule="auto" w:before="1" w:after="0"/>
        <w:ind w:left="1368" w:right="0" w:hanging="531"/>
        <w:jc w:val="left"/>
        <w:rPr>
          <w:sz w:val="21"/>
        </w:rPr>
      </w:pPr>
      <w:r>
        <w:rPr>
          <w:spacing w:val="-3"/>
          <w:sz w:val="21"/>
        </w:rPr>
        <w:t>消防指挥决策支持子系统的预案管理功能应符合下列要求：</w:t>
      </w:r>
      <w:r>
        <w:rPr>
          <w:sz w:val="21"/>
        </w:rPr>
        <w:t> </w:t>
      </w:r>
    </w:p>
    <w:p>
      <w:pPr>
        <w:pStyle w:val="BodyText"/>
        <w:spacing w:before="12"/>
        <w:rPr>
          <w:sz w:val="17"/>
        </w:rPr>
      </w:pPr>
    </w:p>
    <w:p>
      <w:pPr>
        <w:pStyle w:val="BodyText"/>
        <w:ind w:left="838"/>
      </w:pPr>
      <w:r>
        <w:rPr/>
        <w:t>能提供制作模板，编制辖区或跨区域各类灭火救援预案，建立预案库； </w:t>
      </w:r>
    </w:p>
    <w:p>
      <w:pPr>
        <w:pStyle w:val="BodyText"/>
        <w:spacing w:before="12"/>
        <w:rPr>
          <w:sz w:val="17"/>
        </w:rPr>
      </w:pPr>
    </w:p>
    <w:p>
      <w:pPr>
        <w:pStyle w:val="BodyText"/>
        <w:spacing w:line="446" w:lineRule="auto"/>
        <w:ind w:left="838" w:right="2765"/>
      </w:pPr>
      <w:r>
        <w:rPr>
          <w:spacing w:val="-3"/>
        </w:rPr>
        <w:t>能根据灾害事故类型、等级等输入条件，进行比对匹配，查找相应的预案； 能在一个预案的基础上做编辑修改，形成新的预案； </w:t>
      </w:r>
    </w:p>
    <w:p>
      <w:pPr>
        <w:pStyle w:val="BodyText"/>
        <w:spacing w:line="446" w:lineRule="auto" w:before="1"/>
        <w:ind w:left="838" w:right="2765"/>
      </w:pPr>
      <w:r>
        <w:rPr>
          <w:spacing w:val="-3"/>
        </w:rPr>
        <w:t>能按预案制作归属或访问控制权限，提供预案的增加、修改、删除等功能； 具有预案下载、打印等输出功能。</w:t>
      </w:r>
      <w:r>
        <w:rPr/>
        <w:t> </w:t>
      </w:r>
    </w:p>
    <w:p>
      <w:pPr>
        <w:pStyle w:val="ListParagraph"/>
        <w:numPr>
          <w:ilvl w:val="2"/>
          <w:numId w:val="949"/>
        </w:numPr>
        <w:tabs>
          <w:tab w:pos="1367" w:val="left" w:leader="none"/>
        </w:tabs>
        <w:spacing w:line="240" w:lineRule="auto" w:before="0" w:after="0"/>
        <w:ind w:left="1367" w:right="0" w:hanging="529"/>
        <w:jc w:val="left"/>
        <w:rPr>
          <w:sz w:val="21"/>
        </w:rPr>
      </w:pPr>
      <w:r>
        <w:rPr>
          <w:spacing w:val="-3"/>
          <w:sz w:val="21"/>
        </w:rPr>
        <w:t>消防指挥决策支持子系统的辅助决策功能应符合下列要求：</w:t>
      </w:r>
      <w:r>
        <w:rPr>
          <w:sz w:val="21"/>
        </w:rPr>
        <w:t> </w:t>
      </w:r>
    </w:p>
    <w:p>
      <w:pPr>
        <w:pStyle w:val="BodyText"/>
        <w:spacing w:before="12"/>
        <w:rPr>
          <w:sz w:val="17"/>
        </w:rPr>
      </w:pPr>
    </w:p>
    <w:p>
      <w:pPr>
        <w:pStyle w:val="BodyText"/>
        <w:ind w:left="838"/>
      </w:pPr>
      <w:r>
        <w:rPr/>
        <w:t>能采集录入火灾及其他灾害事故数据和现场环境信息； </w:t>
      </w:r>
    </w:p>
    <w:p>
      <w:pPr>
        <w:pStyle w:val="BodyText"/>
        <w:spacing w:before="12"/>
        <w:rPr>
          <w:sz w:val="17"/>
        </w:rPr>
      </w:pPr>
    </w:p>
    <w:p>
      <w:pPr>
        <w:pStyle w:val="BodyText"/>
        <w:spacing w:line="446" w:lineRule="auto"/>
        <w:ind w:left="838" w:right="1431"/>
      </w:pPr>
      <w:r>
        <w:rPr>
          <w:spacing w:val="-6"/>
        </w:rPr>
        <w:t>能应用灭火救援模型、专家知识、典型案例等对火灾及其他灾害事故的发展趋势和后果进行</w:t>
      </w:r>
      <w:r>
        <w:rPr>
          <w:spacing w:val="-5"/>
        </w:rPr>
        <w:t>评估；</w:t>
      </w:r>
      <w:r>
        <w:rPr/>
        <w:t> </w:t>
      </w:r>
    </w:p>
    <w:p>
      <w:pPr>
        <w:pStyle w:val="BodyText"/>
        <w:spacing w:before="1"/>
        <w:ind w:left="838"/>
      </w:pPr>
      <w:r>
        <w:rPr/>
        <w:t>能提供相应的火灾及其他灾害事故处置对策； </w:t>
      </w:r>
    </w:p>
    <w:p>
      <w:pPr>
        <w:pStyle w:val="BodyText"/>
        <w:spacing w:before="12"/>
        <w:rPr>
          <w:sz w:val="17"/>
        </w:rPr>
      </w:pPr>
    </w:p>
    <w:p>
      <w:pPr>
        <w:pStyle w:val="BodyText"/>
        <w:ind w:left="838"/>
      </w:pPr>
      <w:r>
        <w:rPr/>
        <w:t>能计算现场需要的消防车辆、灭火救援装备器材、灭火剂； </w:t>
      </w:r>
    </w:p>
    <w:p>
      <w:pPr>
        <w:pStyle w:val="BodyText"/>
        <w:spacing w:before="2"/>
        <w:rPr>
          <w:sz w:val="18"/>
        </w:rPr>
      </w:pPr>
    </w:p>
    <w:p>
      <w:pPr>
        <w:pStyle w:val="BodyText"/>
        <w:ind w:left="838"/>
      </w:pPr>
      <w:r>
        <w:rPr/>
        <w:t>能提供现场消防车辆、灭火救援装备器材、灭火剂差额增补方案； </w:t>
      </w:r>
    </w:p>
    <w:p>
      <w:pPr>
        <w:pStyle w:val="BodyText"/>
        <w:spacing w:before="12"/>
        <w:rPr>
          <w:sz w:val="17"/>
        </w:rPr>
      </w:pPr>
    </w:p>
    <w:p>
      <w:pPr>
        <w:pStyle w:val="BodyText"/>
        <w:ind w:left="838"/>
      </w:pPr>
      <w:r>
        <w:rPr/>
        <w:t>能编制火灾及其他灾害事故处置方案，方案内容包括文字、态势图、表格等要素； </w:t>
      </w:r>
    </w:p>
    <w:p>
      <w:pPr>
        <w:pStyle w:val="BodyText"/>
        <w:spacing w:before="12"/>
        <w:rPr>
          <w:sz w:val="17"/>
        </w:rPr>
      </w:pPr>
    </w:p>
    <w:p>
      <w:pPr>
        <w:pStyle w:val="BodyText"/>
        <w:spacing w:line="446" w:lineRule="auto"/>
        <w:ind w:left="838" w:right="1433"/>
      </w:pPr>
      <w:r>
        <w:rPr>
          <w:spacing w:val="-6"/>
        </w:rPr>
        <w:t>能标绘火灾及其他灾害事故影响范围及趋势、灭火救援态势、临机灾害处置方案、灭火救援</w:t>
      </w:r>
      <w:r>
        <w:rPr>
          <w:spacing w:val="-4"/>
        </w:rPr>
        <w:t>作战部署等；</w:t>
      </w:r>
      <w:r>
        <w:rPr/>
        <w:t> </w:t>
      </w:r>
    </w:p>
    <w:p>
      <w:pPr>
        <w:pStyle w:val="BodyText"/>
        <w:spacing w:before="1"/>
        <w:ind w:left="838"/>
        <w:rPr>
          <w:sz w:val="18"/>
        </w:rPr>
      </w:pPr>
      <w:r>
        <w:rPr/>
        <w:t>8 具有灾害处置方案的推演和编辑修订功能。</w:t>
      </w:r>
      <w:r>
        <w:rPr>
          <w:sz w:val="18"/>
        </w:rPr>
        <w:t> </w:t>
      </w:r>
    </w:p>
    <w:p>
      <w:pPr>
        <w:pStyle w:val="BodyText"/>
        <w:spacing w:before="12"/>
        <w:rPr>
          <w:sz w:val="17"/>
        </w:rPr>
      </w:pPr>
    </w:p>
    <w:p>
      <w:pPr>
        <w:pStyle w:val="ListParagraph"/>
        <w:numPr>
          <w:ilvl w:val="1"/>
          <w:numId w:val="949"/>
        </w:numPr>
        <w:tabs>
          <w:tab w:pos="1159" w:val="left" w:leader="none"/>
        </w:tabs>
        <w:spacing w:line="240" w:lineRule="auto" w:before="0" w:after="0"/>
        <w:ind w:left="1158" w:right="0" w:hanging="319"/>
        <w:jc w:val="left"/>
        <w:rPr>
          <w:b/>
          <w:sz w:val="21"/>
        </w:rPr>
      </w:pPr>
      <w:r>
        <w:rPr>
          <w:spacing w:val="-3"/>
          <w:sz w:val="21"/>
        </w:rPr>
        <w:t>指挥信息管理子系统</w:t>
      </w:r>
      <w:r>
        <w:rPr>
          <w:b/>
          <w:w w:val="99"/>
          <w:sz w:val="21"/>
        </w:rPr>
        <w:t> </w:t>
      </w:r>
    </w:p>
    <w:p>
      <w:pPr>
        <w:pStyle w:val="BodyText"/>
        <w:spacing w:before="2"/>
        <w:rPr>
          <w:b/>
          <w:sz w:val="18"/>
        </w:rPr>
      </w:pPr>
    </w:p>
    <w:p>
      <w:pPr>
        <w:pStyle w:val="ListParagraph"/>
        <w:numPr>
          <w:ilvl w:val="2"/>
          <w:numId w:val="949"/>
        </w:numPr>
        <w:tabs>
          <w:tab w:pos="1371" w:val="left" w:leader="none"/>
        </w:tabs>
        <w:spacing w:line="240" w:lineRule="auto" w:before="0" w:after="0"/>
        <w:ind w:left="1370" w:right="0" w:hanging="531"/>
        <w:jc w:val="left"/>
        <w:rPr>
          <w:sz w:val="21"/>
        </w:rPr>
      </w:pPr>
      <w:r>
        <w:rPr>
          <w:spacing w:val="-3"/>
          <w:sz w:val="21"/>
        </w:rPr>
        <w:t>指挥信息管理子系统的信息管理功能应符合下列要求：</w:t>
      </w:r>
      <w:r>
        <w:rPr>
          <w:sz w:val="21"/>
        </w:rPr>
        <w:t> </w:t>
      </w:r>
    </w:p>
    <w:p>
      <w:pPr>
        <w:pStyle w:val="BodyText"/>
        <w:rPr>
          <w:sz w:val="18"/>
        </w:rPr>
      </w:pPr>
    </w:p>
    <w:p>
      <w:pPr>
        <w:pStyle w:val="BodyText"/>
        <w:spacing w:line="446" w:lineRule="auto"/>
        <w:ind w:left="838" w:right="2977"/>
      </w:pPr>
      <w:r>
        <w:rPr>
          <w:spacing w:val="-9"/>
        </w:rPr>
        <w:t>能对本规范第 </w:t>
      </w:r>
      <w:r>
        <w:rPr/>
        <w:t>5.8.3</w:t>
      </w:r>
      <w:r>
        <w:rPr>
          <w:spacing w:val="-25"/>
        </w:rPr>
        <w:t> 条</w:t>
      </w:r>
      <w:r>
        <w:rPr>
          <w:spacing w:val="-3"/>
        </w:rPr>
        <w:t>～</w:t>
      </w:r>
      <w:r>
        <w:rPr>
          <w:spacing w:val="-24"/>
        </w:rPr>
        <w:t>第 </w:t>
      </w:r>
      <w:r>
        <w:rPr/>
        <w:t>5.8.7</w:t>
      </w:r>
      <w:r>
        <w:rPr>
          <w:spacing w:val="-9"/>
        </w:rPr>
        <w:t> 条规定的信息进行录入、编辑、更新； </w:t>
      </w:r>
      <w:r>
        <w:rPr>
          <w:spacing w:val="-3"/>
        </w:rPr>
        <w:t>能对各类信息进行分类汇总、归档存储；</w:t>
      </w:r>
      <w:r>
        <w:rPr/>
        <w:t> </w:t>
      </w:r>
    </w:p>
    <w:p>
      <w:pPr>
        <w:pStyle w:val="BodyText"/>
        <w:ind w:left="838"/>
      </w:pPr>
      <w:r>
        <w:rPr/>
        <w:t>能与公安机关指挥中心、政府相关部门等相关业务信息交互、共享； </w:t>
      </w:r>
    </w:p>
    <w:p>
      <w:pPr>
        <w:pStyle w:val="BodyText"/>
        <w:spacing w:before="12"/>
        <w:rPr>
          <w:sz w:val="17"/>
        </w:rPr>
      </w:pPr>
    </w:p>
    <w:p>
      <w:pPr>
        <w:pStyle w:val="BodyText"/>
        <w:spacing w:line="446" w:lineRule="auto"/>
        <w:ind w:left="418" w:right="1410" w:firstLine="419"/>
      </w:pPr>
      <w:r>
        <w:rPr/>
        <w:t>能在消防基础数据平台层面上与消防监督、部队管理、社会公众服务等业务信息系统相关信息交互、共享； </w:t>
      </w:r>
    </w:p>
    <w:p>
      <w:pPr>
        <w:pStyle w:val="BodyText"/>
        <w:ind w:left="838"/>
      </w:pPr>
      <w:r>
        <w:rPr/>
        <w:t>能实现不同数据库管理系统之间的数据移植、转换、关联、整合； </w:t>
      </w:r>
    </w:p>
    <w:p>
      <w:pPr>
        <w:spacing w:after="0"/>
        <w:sectPr>
          <w:pgSz w:w="11910" w:h="16850"/>
          <w:pgMar w:header="0" w:footer="1239" w:top="1220" w:bottom="1420" w:left="1260" w:right="0"/>
        </w:sectPr>
      </w:pPr>
    </w:p>
    <w:p>
      <w:pPr>
        <w:pStyle w:val="BodyText"/>
        <w:spacing w:line="446" w:lineRule="auto" w:before="47"/>
        <w:ind w:left="838" w:right="2554"/>
      </w:pPr>
      <w:r>
        <w:rPr>
          <w:spacing w:val="-3"/>
        </w:rPr>
        <w:t>能根据应用需求对各类信息进行检索查询、统计分析，并能以图表方式展现； 能根据应用需求对重要、敏感的信息实行关联、跟踪和预警；</w:t>
      </w:r>
      <w:r>
        <w:rPr/>
        <w:t> </w:t>
      </w:r>
    </w:p>
    <w:p>
      <w:pPr>
        <w:pStyle w:val="BodyText"/>
        <w:spacing w:line="446" w:lineRule="auto"/>
        <w:ind w:left="838" w:right="5077"/>
      </w:pPr>
      <w:r>
        <w:rPr/>
        <w:t>能通过信息网络发布各类信息及其统计分析结果； 能对数据进行备份和恢复； </w:t>
      </w:r>
    </w:p>
    <w:p>
      <w:pPr>
        <w:pStyle w:val="BodyText"/>
        <w:ind w:left="838"/>
      </w:pPr>
      <w:r>
        <w:rPr/>
        <w:t>具有用户管理、权限管理、版本管理功能。 </w:t>
      </w:r>
    </w:p>
    <w:p>
      <w:pPr>
        <w:pStyle w:val="BodyText"/>
        <w:spacing w:before="10"/>
        <w:rPr>
          <w:sz w:val="17"/>
        </w:rPr>
      </w:pPr>
    </w:p>
    <w:p>
      <w:pPr>
        <w:pStyle w:val="ListParagraph"/>
        <w:numPr>
          <w:ilvl w:val="2"/>
          <w:numId w:val="949"/>
        </w:numPr>
        <w:tabs>
          <w:tab w:pos="1371" w:val="left" w:leader="none"/>
        </w:tabs>
        <w:spacing w:line="446" w:lineRule="auto" w:before="0" w:after="0"/>
        <w:ind w:left="418" w:right="1431" w:firstLine="422"/>
        <w:jc w:val="left"/>
        <w:rPr>
          <w:sz w:val="21"/>
        </w:rPr>
      </w:pPr>
      <w:r>
        <w:rPr>
          <w:spacing w:val="-5"/>
          <w:sz w:val="21"/>
        </w:rPr>
        <w:t>指挥信息管理子系统的信息分类与编码、数据结构、信息交换标准等应符合国家现行</w:t>
      </w:r>
      <w:r>
        <w:rPr>
          <w:spacing w:val="-4"/>
          <w:sz w:val="21"/>
        </w:rPr>
        <w:t>有关标准的规定。</w:t>
      </w:r>
      <w:r>
        <w:rPr>
          <w:sz w:val="21"/>
        </w:rPr>
        <w:t> </w:t>
      </w:r>
    </w:p>
    <w:p>
      <w:pPr>
        <w:pStyle w:val="BodyText"/>
        <w:spacing w:line="446" w:lineRule="auto" w:before="1"/>
        <w:ind w:left="418" w:right="1432" w:firstLine="419"/>
      </w:pPr>
      <w:r>
        <w:rPr>
          <w:w w:val="100"/>
        </w:rPr>
        <w:t> </w:t>
      </w:r>
      <w:r>
        <w:rPr>
          <w:b/>
        </w:rPr>
        <w:t>5.8.3</w:t>
      </w:r>
      <w:r>
        <w:rPr>
          <w:b/>
          <w:spacing w:val="93"/>
        </w:rPr>
        <w:t> </w:t>
      </w:r>
      <w:r>
        <w:rPr>
          <w:spacing w:val="-3"/>
        </w:rPr>
        <w:t>火灾及其他灾害事故类信息应包括接收报警情况、火灾及其他灾害事故类型、火灾及其他灾害事故等级等。</w:t>
      </w:r>
      <w:r>
        <w:rPr/>
        <w:t> </w:t>
      </w:r>
    </w:p>
    <w:p>
      <w:pPr>
        <w:pStyle w:val="ListParagraph"/>
        <w:numPr>
          <w:ilvl w:val="2"/>
          <w:numId w:val="955"/>
        </w:numPr>
        <w:tabs>
          <w:tab w:pos="1370" w:val="left" w:leader="none"/>
        </w:tabs>
        <w:spacing w:line="446" w:lineRule="auto" w:before="0" w:after="0"/>
        <w:ind w:left="418" w:right="1431" w:firstLine="422"/>
        <w:jc w:val="left"/>
        <w:rPr>
          <w:sz w:val="21"/>
        </w:rPr>
      </w:pPr>
      <w:r>
        <w:rPr>
          <w:spacing w:val="-7"/>
          <w:sz w:val="21"/>
        </w:rPr>
        <w:t>消防资源类信息应包括消防实力、消防车辆状态、灭火救援装备器材、消防水源、灭</w:t>
      </w:r>
      <w:r>
        <w:rPr>
          <w:spacing w:val="-5"/>
          <w:sz w:val="21"/>
        </w:rPr>
        <w:t>火剂、灭火救援有关单位、灭火救援专家、战勤保障等信息。</w:t>
      </w:r>
      <w:r>
        <w:rPr>
          <w:sz w:val="21"/>
        </w:rPr>
        <w:t> </w:t>
      </w:r>
    </w:p>
    <w:p>
      <w:pPr>
        <w:pStyle w:val="ListParagraph"/>
        <w:numPr>
          <w:ilvl w:val="2"/>
          <w:numId w:val="955"/>
        </w:numPr>
        <w:tabs>
          <w:tab w:pos="1371" w:val="left" w:leader="none"/>
        </w:tabs>
        <w:spacing w:line="446" w:lineRule="auto" w:before="0" w:after="0"/>
        <w:ind w:left="418" w:right="1431" w:firstLine="422"/>
        <w:jc w:val="left"/>
        <w:rPr>
          <w:sz w:val="21"/>
        </w:rPr>
      </w:pPr>
      <w:r>
        <w:rPr>
          <w:spacing w:val="-5"/>
          <w:sz w:val="21"/>
        </w:rPr>
        <w:t>消防指挥决策支持类信息应包括消防安全重点单位、危险化学品、各类火灾与灾害事</w:t>
      </w:r>
      <w:r>
        <w:rPr>
          <w:spacing w:val="-4"/>
          <w:sz w:val="21"/>
        </w:rPr>
        <w:t>故特性、灭火救援技战术以及气象等信息。</w:t>
      </w:r>
      <w:r>
        <w:rPr>
          <w:sz w:val="21"/>
        </w:rPr>
        <w:t> </w:t>
      </w:r>
    </w:p>
    <w:p>
      <w:pPr>
        <w:pStyle w:val="ListParagraph"/>
        <w:numPr>
          <w:ilvl w:val="2"/>
          <w:numId w:val="955"/>
        </w:numPr>
        <w:tabs>
          <w:tab w:pos="1370" w:val="left" w:leader="none"/>
        </w:tabs>
        <w:spacing w:line="240" w:lineRule="auto" w:before="0" w:after="0"/>
        <w:ind w:left="1369" w:right="0" w:hanging="530"/>
        <w:jc w:val="left"/>
        <w:rPr>
          <w:sz w:val="21"/>
        </w:rPr>
      </w:pPr>
      <w:r>
        <w:rPr>
          <w:spacing w:val="-8"/>
          <w:sz w:val="21"/>
        </w:rPr>
        <w:t>灭火救援行动类信息应包括各类灭火救援预案信息、力量调度和灭火救援行动情况等。</w:t>
      </w:r>
      <w:r>
        <w:rPr>
          <w:sz w:val="21"/>
        </w:rPr>
        <w:t> </w:t>
      </w:r>
    </w:p>
    <w:p>
      <w:pPr>
        <w:pStyle w:val="BodyText"/>
        <w:spacing w:before="10"/>
        <w:rPr>
          <w:sz w:val="17"/>
        </w:rPr>
      </w:pPr>
    </w:p>
    <w:p>
      <w:pPr>
        <w:pStyle w:val="ListParagraph"/>
        <w:numPr>
          <w:ilvl w:val="2"/>
          <w:numId w:val="955"/>
        </w:numPr>
        <w:tabs>
          <w:tab w:pos="1371" w:val="left" w:leader="none"/>
        </w:tabs>
        <w:spacing w:line="446" w:lineRule="auto" w:before="0" w:after="0"/>
        <w:ind w:left="418" w:right="1222" w:firstLine="422"/>
        <w:jc w:val="left"/>
        <w:rPr>
          <w:sz w:val="18"/>
        </w:rPr>
      </w:pPr>
      <w:r>
        <w:rPr>
          <w:spacing w:val="-5"/>
          <w:sz w:val="21"/>
        </w:rPr>
        <w:t>灭火救援记录和统计类信息内容应包括接处警录音录时信息、灭火救援作战记录信息、</w:t>
      </w:r>
      <w:r>
        <w:rPr>
          <w:spacing w:val="-4"/>
          <w:sz w:val="21"/>
        </w:rPr>
        <w:t>灭火救援统计信息等。</w:t>
      </w:r>
      <w:r>
        <w:rPr>
          <w:sz w:val="18"/>
        </w:rPr>
        <w:t> </w:t>
      </w:r>
    </w:p>
    <w:p>
      <w:pPr>
        <w:pStyle w:val="ListParagraph"/>
        <w:numPr>
          <w:ilvl w:val="1"/>
          <w:numId w:val="949"/>
        </w:numPr>
        <w:tabs>
          <w:tab w:pos="1159" w:val="left" w:leader="none"/>
        </w:tabs>
        <w:spacing w:line="240" w:lineRule="auto" w:before="0" w:after="0"/>
        <w:ind w:left="1158" w:right="0" w:hanging="319"/>
        <w:jc w:val="left"/>
        <w:rPr>
          <w:sz w:val="21"/>
        </w:rPr>
      </w:pPr>
      <w:r>
        <w:rPr>
          <w:spacing w:val="-3"/>
          <w:sz w:val="21"/>
        </w:rPr>
        <w:t>消防地理信息子系统</w:t>
      </w:r>
      <w:r>
        <w:rPr>
          <w:sz w:val="21"/>
        </w:rPr>
        <w:t> </w:t>
      </w:r>
    </w:p>
    <w:p>
      <w:pPr>
        <w:pStyle w:val="BodyText"/>
        <w:spacing w:before="12"/>
        <w:rPr>
          <w:sz w:val="17"/>
        </w:rPr>
      </w:pPr>
    </w:p>
    <w:p>
      <w:pPr>
        <w:pStyle w:val="ListParagraph"/>
        <w:numPr>
          <w:ilvl w:val="2"/>
          <w:numId w:val="949"/>
        </w:numPr>
        <w:tabs>
          <w:tab w:pos="1370" w:val="left" w:leader="none"/>
        </w:tabs>
        <w:spacing w:line="240" w:lineRule="auto" w:before="0" w:after="0"/>
        <w:ind w:left="1369" w:right="0" w:hanging="530"/>
        <w:jc w:val="left"/>
        <w:rPr>
          <w:sz w:val="21"/>
        </w:rPr>
      </w:pPr>
      <w:r>
        <w:rPr>
          <w:spacing w:val="-3"/>
          <w:sz w:val="21"/>
        </w:rPr>
        <w:t>消防地理信息子系统应能与火警受理子系统关联应用，并应显示下列内容： </w:t>
      </w:r>
    </w:p>
    <w:p>
      <w:pPr>
        <w:pStyle w:val="BodyText"/>
        <w:spacing w:before="2"/>
        <w:rPr>
          <w:sz w:val="18"/>
        </w:rPr>
      </w:pPr>
    </w:p>
    <w:p>
      <w:pPr>
        <w:pStyle w:val="BodyText"/>
        <w:spacing w:line="446" w:lineRule="auto"/>
        <w:ind w:left="838" w:right="4866"/>
      </w:pPr>
      <w:r>
        <w:rPr/>
        <w:t>定位显示固定报警电话和移动报警电话的地理位置； 定位显示火灾及其他灾害事故现场的地理位置； </w:t>
      </w:r>
    </w:p>
    <w:p>
      <w:pPr>
        <w:pStyle w:val="BodyText"/>
        <w:spacing w:line="267" w:lineRule="exact"/>
        <w:ind w:left="838"/>
      </w:pPr>
      <w:r>
        <w:rPr/>
        <w:t>显示火灾及其他灾害事故现场的道路、消防水源、建（构）筑物等信息； </w:t>
      </w:r>
    </w:p>
    <w:p>
      <w:pPr>
        <w:pStyle w:val="BodyText"/>
        <w:spacing w:before="2"/>
        <w:rPr>
          <w:sz w:val="18"/>
        </w:rPr>
      </w:pPr>
    </w:p>
    <w:p>
      <w:pPr>
        <w:pStyle w:val="BodyText"/>
        <w:spacing w:line="446" w:lineRule="auto"/>
        <w:ind w:left="838" w:right="1330"/>
      </w:pPr>
      <w:r>
        <w:rPr>
          <w:spacing w:val="-18"/>
        </w:rPr>
        <w:t>检索显示消防实力、灭火救援装备器材、灭火剂、公安警力、灭火救援有关单位等分布信息； </w:t>
      </w:r>
      <w:r>
        <w:rPr>
          <w:spacing w:val="-3"/>
        </w:rPr>
        <w:t>显示消防车辆到达现场的最佳行车路线、行车距离和时间。</w:t>
      </w:r>
      <w:r>
        <w:rPr/>
        <w:t> </w:t>
      </w:r>
    </w:p>
    <w:p>
      <w:pPr>
        <w:pStyle w:val="ListParagraph"/>
        <w:numPr>
          <w:ilvl w:val="2"/>
          <w:numId w:val="949"/>
        </w:numPr>
        <w:tabs>
          <w:tab w:pos="1371" w:val="left" w:leader="none"/>
        </w:tabs>
        <w:spacing w:line="446" w:lineRule="auto" w:before="0" w:after="0"/>
        <w:ind w:left="418" w:right="1431" w:firstLine="422"/>
        <w:jc w:val="left"/>
        <w:rPr>
          <w:sz w:val="21"/>
        </w:rPr>
      </w:pPr>
      <w:r>
        <w:rPr>
          <w:spacing w:val="-4"/>
          <w:sz w:val="21"/>
        </w:rPr>
        <w:t>消防地理信息子系统应能与跨区域调度指挥子系统和现场指挥子系统关联应用，并应</w:t>
      </w:r>
      <w:r>
        <w:rPr>
          <w:spacing w:val="-3"/>
          <w:sz w:val="21"/>
        </w:rPr>
        <w:t>显示下列内容：</w:t>
      </w:r>
      <w:r>
        <w:rPr>
          <w:sz w:val="21"/>
        </w:rPr>
        <w:t> </w:t>
      </w:r>
    </w:p>
    <w:p>
      <w:pPr>
        <w:pStyle w:val="BodyText"/>
        <w:ind w:left="838"/>
      </w:pPr>
      <w:r>
        <w:rPr/>
        <w:t>定位显示火灾及其他灾害事故现场的地理位置; </w:t>
      </w:r>
    </w:p>
    <w:p>
      <w:pPr>
        <w:pStyle w:val="BodyText"/>
        <w:spacing w:before="10"/>
        <w:rPr>
          <w:sz w:val="17"/>
        </w:rPr>
      </w:pPr>
    </w:p>
    <w:p>
      <w:pPr>
        <w:pStyle w:val="BodyText"/>
        <w:ind w:left="838"/>
      </w:pPr>
      <w:r>
        <w:rPr/>
        <w:t>显示火灾及其他灾害事故现场的道路、消防水源、建（构）筑物、力量部署等信息； </w:t>
      </w:r>
    </w:p>
    <w:p>
      <w:pPr>
        <w:pStyle w:val="BodyText"/>
        <w:spacing w:before="2"/>
        <w:rPr>
          <w:sz w:val="18"/>
        </w:rPr>
      </w:pPr>
    </w:p>
    <w:p>
      <w:pPr>
        <w:pStyle w:val="BodyText"/>
        <w:ind w:left="838"/>
      </w:pPr>
      <w:r>
        <w:rPr/>
        <w:t>检索显示消防实力、灭火救援装备器材、灭火剂、公安警力、灭火救援有关单位等分布信息； </w:t>
      </w:r>
    </w:p>
    <w:p>
      <w:pPr>
        <w:spacing w:after="0"/>
        <w:sectPr>
          <w:pgSz w:w="11910" w:h="16850"/>
          <w:pgMar w:header="0" w:footer="1239" w:top="1220" w:bottom="1420" w:left="1260" w:right="0"/>
        </w:sectPr>
      </w:pPr>
    </w:p>
    <w:p>
      <w:pPr>
        <w:pStyle w:val="BodyText"/>
        <w:spacing w:before="47"/>
        <w:ind w:left="838"/>
      </w:pPr>
      <w:r>
        <w:rPr/>
        <w:t>显示消防车辆到达现场的最佳行车路线、行车距离和时间。 </w:t>
      </w:r>
    </w:p>
    <w:p>
      <w:pPr>
        <w:pStyle w:val="BodyText"/>
        <w:rPr>
          <w:sz w:val="18"/>
        </w:rPr>
      </w:pPr>
    </w:p>
    <w:p>
      <w:pPr>
        <w:pStyle w:val="ListParagraph"/>
        <w:numPr>
          <w:ilvl w:val="2"/>
          <w:numId w:val="949"/>
        </w:numPr>
        <w:tabs>
          <w:tab w:pos="1370" w:val="left" w:leader="none"/>
        </w:tabs>
        <w:spacing w:line="446" w:lineRule="auto" w:before="0" w:after="0"/>
        <w:ind w:left="418" w:right="1431" w:firstLine="422"/>
        <w:jc w:val="left"/>
        <w:rPr>
          <w:sz w:val="21"/>
        </w:rPr>
      </w:pPr>
      <w:r>
        <w:rPr>
          <w:spacing w:val="-5"/>
          <w:sz w:val="21"/>
        </w:rPr>
        <w:t>消防地理信息子系统应能与消防车辆管理子系统关联应用，并应显示出动消防车辆的</w:t>
      </w:r>
      <w:r>
        <w:rPr>
          <w:spacing w:val="-4"/>
          <w:sz w:val="21"/>
        </w:rPr>
        <w:t>实时位置和动态轨迹。</w:t>
      </w:r>
      <w:r>
        <w:rPr>
          <w:sz w:val="21"/>
        </w:rPr>
        <w:t> </w:t>
      </w:r>
    </w:p>
    <w:p>
      <w:pPr>
        <w:pStyle w:val="ListParagraph"/>
        <w:numPr>
          <w:ilvl w:val="2"/>
          <w:numId w:val="949"/>
        </w:numPr>
        <w:tabs>
          <w:tab w:pos="1371" w:val="left" w:leader="none"/>
        </w:tabs>
        <w:spacing w:line="446" w:lineRule="auto" w:before="0" w:after="0"/>
        <w:ind w:left="418" w:right="1431" w:firstLine="422"/>
        <w:jc w:val="left"/>
        <w:rPr>
          <w:sz w:val="21"/>
        </w:rPr>
      </w:pPr>
      <w:r>
        <w:rPr>
          <w:spacing w:val="-5"/>
          <w:sz w:val="21"/>
        </w:rPr>
        <w:t>消防地理信息子系统应能与消防指挥决策支持子系统关联应用，标绘火灾及其他灾害</w:t>
      </w:r>
      <w:r>
        <w:rPr>
          <w:spacing w:val="-4"/>
          <w:sz w:val="21"/>
        </w:rPr>
        <w:t>事故影响范围及趋势、灭火救援态势、临机灾害处置方案、灭火救援作战部署等。</w:t>
      </w:r>
      <w:r>
        <w:rPr>
          <w:sz w:val="21"/>
        </w:rPr>
        <w:t> </w:t>
      </w:r>
    </w:p>
    <w:p>
      <w:pPr>
        <w:pStyle w:val="ListParagraph"/>
        <w:numPr>
          <w:ilvl w:val="2"/>
          <w:numId w:val="949"/>
        </w:numPr>
        <w:tabs>
          <w:tab w:pos="1371" w:val="left" w:leader="none"/>
        </w:tabs>
        <w:spacing w:line="446" w:lineRule="auto" w:before="0" w:after="0"/>
        <w:ind w:left="418" w:right="1431" w:firstLine="422"/>
        <w:jc w:val="left"/>
        <w:rPr>
          <w:sz w:val="21"/>
        </w:rPr>
      </w:pPr>
      <w:r>
        <w:rPr>
          <w:spacing w:val="-5"/>
          <w:sz w:val="21"/>
        </w:rPr>
        <w:t>消防地理信息子系统应能与消防图像管理子系统关联应用，定位显示各类信息采集点</w:t>
      </w:r>
      <w:r>
        <w:rPr>
          <w:spacing w:val="-4"/>
          <w:sz w:val="21"/>
        </w:rPr>
        <w:t>分布信息。</w:t>
      </w:r>
      <w:r>
        <w:rPr>
          <w:sz w:val="21"/>
        </w:rPr>
        <w:t> </w:t>
      </w:r>
    </w:p>
    <w:p>
      <w:pPr>
        <w:pStyle w:val="ListParagraph"/>
        <w:numPr>
          <w:ilvl w:val="2"/>
          <w:numId w:val="949"/>
        </w:numPr>
        <w:tabs>
          <w:tab w:pos="1370" w:val="left" w:leader="none"/>
        </w:tabs>
        <w:spacing w:line="240" w:lineRule="auto" w:before="0" w:after="0"/>
        <w:ind w:left="1369" w:right="0" w:hanging="530"/>
        <w:jc w:val="left"/>
        <w:rPr>
          <w:sz w:val="21"/>
        </w:rPr>
      </w:pPr>
      <w:r>
        <w:rPr>
          <w:spacing w:val="-3"/>
          <w:sz w:val="21"/>
        </w:rPr>
        <w:t>地理信息的采集和使用应符合国家现行有关标准的规定。</w:t>
      </w:r>
      <w:r>
        <w:rPr>
          <w:sz w:val="21"/>
        </w:rPr>
        <w:t> </w:t>
      </w:r>
    </w:p>
    <w:p>
      <w:pPr>
        <w:pStyle w:val="BodyText"/>
        <w:spacing w:before="10"/>
        <w:rPr>
          <w:sz w:val="17"/>
        </w:rPr>
      </w:pPr>
    </w:p>
    <w:p>
      <w:pPr>
        <w:pStyle w:val="ListParagraph"/>
        <w:numPr>
          <w:ilvl w:val="2"/>
          <w:numId w:val="949"/>
        </w:numPr>
        <w:tabs>
          <w:tab w:pos="1371" w:val="left" w:leader="none"/>
        </w:tabs>
        <w:spacing w:line="240" w:lineRule="auto" w:before="0" w:after="0"/>
        <w:ind w:left="1370" w:right="0" w:hanging="531"/>
        <w:jc w:val="left"/>
        <w:rPr>
          <w:sz w:val="21"/>
        </w:rPr>
      </w:pPr>
      <w:r>
        <w:rPr>
          <w:spacing w:val="-3"/>
          <w:sz w:val="21"/>
        </w:rPr>
        <w:t>消防地理信息子系统的地图数据应符合下列要求：</w:t>
      </w:r>
      <w:r>
        <w:rPr>
          <w:sz w:val="21"/>
        </w:rPr>
        <w:t> </w:t>
      </w:r>
    </w:p>
    <w:p>
      <w:pPr>
        <w:pStyle w:val="BodyText"/>
        <w:spacing w:before="2"/>
        <w:rPr>
          <w:sz w:val="18"/>
        </w:rPr>
      </w:pPr>
    </w:p>
    <w:p>
      <w:pPr>
        <w:pStyle w:val="BodyText"/>
        <w:ind w:left="838"/>
      </w:pPr>
      <w:r>
        <w:rPr/>
        <w:t>基础信息包括行政区、建（构）筑物、道路、水系、地形、植被等； </w:t>
      </w:r>
    </w:p>
    <w:p>
      <w:pPr>
        <w:pStyle w:val="BodyText"/>
        <w:rPr>
          <w:sz w:val="18"/>
        </w:rPr>
      </w:pPr>
    </w:p>
    <w:p>
      <w:pPr>
        <w:pStyle w:val="BodyText"/>
        <w:spacing w:line="446" w:lineRule="auto"/>
        <w:ind w:left="418" w:right="1387" w:firstLine="419"/>
      </w:pPr>
      <w:r>
        <w:rPr/>
        <w:t>警用信息包括人员、案（事）件、公共场所、城市交通、门牌号码、单位、公安机关、公共基础设施等； </w:t>
      </w:r>
    </w:p>
    <w:p>
      <w:pPr>
        <w:pStyle w:val="BodyText"/>
        <w:spacing w:line="446" w:lineRule="auto"/>
        <w:ind w:left="418" w:right="1431" w:firstLine="419"/>
      </w:pPr>
      <w:r>
        <w:rPr>
          <w:spacing w:val="-8"/>
        </w:rPr>
        <w:t>消防专业信息包括消防水源、消防站、消防企业、消防安全重点单位、重大危险源、灭火救</w:t>
      </w:r>
      <w:r>
        <w:rPr>
          <w:spacing w:val="-5"/>
        </w:rPr>
        <w:t>援有关单位等。</w:t>
      </w:r>
      <w:r>
        <w:rPr/>
        <w:t> </w:t>
      </w:r>
    </w:p>
    <w:p>
      <w:pPr>
        <w:pStyle w:val="ListParagraph"/>
        <w:numPr>
          <w:ilvl w:val="2"/>
          <w:numId w:val="949"/>
        </w:numPr>
        <w:tabs>
          <w:tab w:pos="1371" w:val="left" w:leader="none"/>
        </w:tabs>
        <w:spacing w:line="446" w:lineRule="auto" w:before="0" w:after="0"/>
        <w:ind w:left="418" w:right="1325" w:firstLine="422"/>
        <w:jc w:val="left"/>
        <w:rPr>
          <w:sz w:val="21"/>
        </w:rPr>
      </w:pPr>
      <w:r>
        <w:rPr>
          <w:spacing w:val="-5"/>
          <w:sz w:val="21"/>
        </w:rPr>
        <w:t>消防地理信息子系统在全国范围宜采用不低于 </w:t>
      </w:r>
      <w:r>
        <w:rPr>
          <w:sz w:val="21"/>
        </w:rPr>
        <w:t>1</w:t>
      </w:r>
      <w:r>
        <w:rPr>
          <w:spacing w:val="-3"/>
          <w:sz w:val="21"/>
        </w:rPr>
        <w:t>︰</w:t>
      </w:r>
      <w:r>
        <w:rPr>
          <w:sz w:val="21"/>
        </w:rPr>
        <w:t>250000</w:t>
      </w:r>
      <w:r>
        <w:rPr>
          <w:spacing w:val="-8"/>
          <w:sz w:val="21"/>
        </w:rPr>
        <w:t> 地形图数据，省</w:t>
      </w:r>
      <w:r>
        <w:rPr>
          <w:spacing w:val="-3"/>
          <w:sz w:val="21"/>
        </w:rPr>
        <w:t>（</w:t>
      </w:r>
      <w:r>
        <w:rPr>
          <w:spacing w:val="-2"/>
          <w:sz w:val="21"/>
        </w:rPr>
        <w:t>自治区</w:t>
      </w:r>
      <w:r>
        <w:rPr>
          <w:sz w:val="21"/>
        </w:rPr>
        <w:t>） </w:t>
      </w:r>
      <w:r>
        <w:rPr>
          <w:spacing w:val="-8"/>
          <w:sz w:val="21"/>
        </w:rPr>
        <w:t>范围内宜采用不低于 </w:t>
      </w:r>
      <w:r>
        <w:rPr>
          <w:sz w:val="21"/>
        </w:rPr>
        <w:t>1︰50000</w:t>
      </w:r>
      <w:r>
        <w:rPr>
          <w:spacing w:val="-6"/>
          <w:sz w:val="21"/>
        </w:rPr>
        <w:t> 地图数据，市区范围宜采用不低于 </w:t>
      </w:r>
      <w:r>
        <w:rPr>
          <w:spacing w:val="-3"/>
          <w:sz w:val="21"/>
        </w:rPr>
        <w:t>1</w:t>
      </w:r>
      <w:r>
        <w:rPr>
          <w:sz w:val="21"/>
        </w:rPr>
        <w:t>︰2000</w:t>
      </w:r>
      <w:r>
        <w:rPr>
          <w:spacing w:val="-5"/>
          <w:sz w:val="21"/>
        </w:rPr>
        <w:t> 地图数据，郊区、农</w:t>
      </w:r>
      <w:r>
        <w:rPr>
          <w:spacing w:val="-9"/>
          <w:sz w:val="21"/>
        </w:rPr>
        <w:t>村范围宜采用不低于 </w:t>
      </w:r>
      <w:r>
        <w:rPr>
          <w:sz w:val="21"/>
        </w:rPr>
        <w:t>1︰10000</w:t>
      </w:r>
      <w:r>
        <w:rPr>
          <w:spacing w:val="-3"/>
          <w:sz w:val="21"/>
        </w:rPr>
        <w:t> 地图数据。</w:t>
      </w:r>
      <w:r>
        <w:rPr>
          <w:sz w:val="21"/>
        </w:rPr>
        <w:t> </w:t>
      </w:r>
    </w:p>
    <w:p>
      <w:pPr>
        <w:pStyle w:val="ListParagraph"/>
        <w:numPr>
          <w:ilvl w:val="2"/>
          <w:numId w:val="949"/>
        </w:numPr>
        <w:tabs>
          <w:tab w:pos="1371" w:val="left" w:leader="none"/>
        </w:tabs>
        <w:spacing w:line="268" w:lineRule="exact" w:before="0" w:after="0"/>
        <w:ind w:left="1370" w:right="0" w:hanging="531"/>
        <w:jc w:val="left"/>
        <w:rPr>
          <w:sz w:val="21"/>
        </w:rPr>
      </w:pPr>
      <w:r>
        <w:rPr>
          <w:spacing w:val="-3"/>
          <w:sz w:val="21"/>
        </w:rPr>
        <w:t>消防地理信息子系统的地图数据显示控制功能应符合下列要求：</w:t>
      </w:r>
      <w:r>
        <w:rPr>
          <w:sz w:val="21"/>
        </w:rPr>
        <w:t> </w:t>
      </w:r>
    </w:p>
    <w:p>
      <w:pPr>
        <w:pStyle w:val="BodyText"/>
        <w:spacing w:before="12"/>
        <w:rPr>
          <w:sz w:val="17"/>
        </w:rPr>
      </w:pPr>
    </w:p>
    <w:p>
      <w:pPr>
        <w:pStyle w:val="BodyText"/>
        <w:spacing w:line="446" w:lineRule="auto"/>
        <w:ind w:left="418" w:right="1431" w:firstLine="419"/>
      </w:pPr>
      <w:r>
        <w:rPr>
          <w:spacing w:val="-8"/>
        </w:rPr>
        <w:t>地图数据的显示应包括街路名称、起点、终点、街路级别、长度、宽度、交叉路口、路面情</w:t>
      </w:r>
      <w:r>
        <w:rPr>
          <w:spacing w:val="-7"/>
        </w:rPr>
        <w:t>况等；</w:t>
      </w:r>
      <w:r>
        <w:rPr/>
        <w:t> </w:t>
      </w:r>
    </w:p>
    <w:p>
      <w:pPr>
        <w:pStyle w:val="BodyText"/>
        <w:spacing w:line="267" w:lineRule="exact"/>
        <w:ind w:left="838"/>
      </w:pPr>
      <w:r>
        <w:rPr/>
        <w:t>广域消防地图能显示行政区及道路、消防水源、消防站分布等； </w:t>
      </w:r>
    </w:p>
    <w:p>
      <w:pPr>
        <w:pStyle w:val="BodyText"/>
        <w:spacing w:before="2"/>
        <w:rPr>
          <w:sz w:val="18"/>
        </w:rPr>
      </w:pPr>
    </w:p>
    <w:p>
      <w:pPr>
        <w:pStyle w:val="BodyText"/>
        <w:ind w:left="838"/>
      </w:pPr>
      <w:r>
        <w:rPr/>
        <w:t>接警消防地图能显示消防站辖区及道路、消防水源、消防安全重点单位等； </w:t>
      </w:r>
    </w:p>
    <w:p>
      <w:pPr>
        <w:pStyle w:val="BodyText"/>
        <w:rPr>
          <w:sz w:val="18"/>
        </w:rPr>
      </w:pPr>
    </w:p>
    <w:p>
      <w:pPr>
        <w:pStyle w:val="BodyText"/>
        <w:spacing w:line="446" w:lineRule="auto"/>
        <w:ind w:left="418" w:right="1222" w:firstLine="419"/>
      </w:pPr>
      <w:r>
        <w:rPr>
          <w:spacing w:val="-10"/>
        </w:rPr>
        <w:t>灭火战区地图能显示以火灾及其他灾害事故地点为中心的作战区域及道路、消防水源、建</w:t>
      </w:r>
      <w:r>
        <w:rPr/>
        <w:t>（</w:t>
      </w:r>
      <w:r>
        <w:rPr>
          <w:spacing w:val="-5"/>
        </w:rPr>
        <w:t>构</w:t>
      </w:r>
      <w:r>
        <w:rPr/>
        <w:t>） </w:t>
      </w:r>
      <w:r>
        <w:rPr>
          <w:spacing w:val="-3"/>
        </w:rPr>
        <w:t>筑物、力量部署等相关信息；</w:t>
      </w:r>
      <w:r>
        <w:rPr/>
        <w:t> </w:t>
      </w:r>
    </w:p>
    <w:p>
      <w:pPr>
        <w:pStyle w:val="BodyText"/>
        <w:spacing w:line="446" w:lineRule="auto"/>
        <w:ind w:left="838" w:right="5709"/>
      </w:pPr>
      <w:r>
        <w:rPr/>
        <w:t>具有地图的放大、缩小、平移、漫游功能； 能注记设置地图要素显示的符号、文字； </w:t>
      </w:r>
    </w:p>
    <w:p>
      <w:pPr>
        <w:pStyle w:val="BodyText"/>
        <w:spacing w:line="446" w:lineRule="auto"/>
        <w:ind w:left="838" w:right="5288"/>
      </w:pPr>
      <w:r>
        <w:rPr/>
        <w:t>能按显示范围和比例尺，自动切换图层或区域； 能支持影像图叠加显示。 </w:t>
      </w:r>
    </w:p>
    <w:p>
      <w:pPr>
        <w:spacing w:after="0" w:line="446" w:lineRule="auto"/>
        <w:sectPr>
          <w:pgSz w:w="11910" w:h="16850"/>
          <w:pgMar w:header="0" w:footer="1239" w:top="1220" w:bottom="1420" w:left="1260" w:right="0"/>
        </w:sectPr>
      </w:pPr>
    </w:p>
    <w:p>
      <w:pPr>
        <w:pStyle w:val="ListParagraph"/>
        <w:numPr>
          <w:ilvl w:val="2"/>
          <w:numId w:val="949"/>
        </w:numPr>
        <w:tabs>
          <w:tab w:pos="1478" w:val="left" w:leader="none"/>
        </w:tabs>
        <w:spacing w:line="240" w:lineRule="auto" w:before="47" w:after="0"/>
        <w:ind w:left="1477" w:right="0" w:hanging="638"/>
        <w:jc w:val="left"/>
        <w:rPr>
          <w:sz w:val="21"/>
        </w:rPr>
      </w:pPr>
      <w:r>
        <w:rPr>
          <w:spacing w:val="-3"/>
          <w:sz w:val="21"/>
        </w:rPr>
        <w:t>消防地理信息子系统的地址匹配分析与定位功能应符合下列要求： </w:t>
      </w:r>
    </w:p>
    <w:p>
      <w:pPr>
        <w:pStyle w:val="BodyText"/>
        <w:rPr>
          <w:sz w:val="18"/>
        </w:rPr>
      </w:pPr>
    </w:p>
    <w:p>
      <w:pPr>
        <w:pStyle w:val="BodyText"/>
        <w:ind w:left="418"/>
      </w:pPr>
      <w:r>
        <w:rPr>
          <w:w w:val="100"/>
        </w:rPr>
        <w:t> </w:t>
      </w:r>
      <w:r>
        <w:rPr/>
        <w:t> </w:t>
      </w:r>
      <w:r>
        <w:rPr>
          <w:w w:val="100"/>
        </w:rPr>
        <w:t> </w:t>
      </w:r>
      <w:r>
        <w:rPr/>
        <w:t> 能设定组合条件进行模糊查询； </w:t>
      </w:r>
    </w:p>
    <w:p>
      <w:pPr>
        <w:pStyle w:val="BodyText"/>
        <w:rPr>
          <w:sz w:val="18"/>
        </w:rPr>
      </w:pPr>
    </w:p>
    <w:p>
      <w:pPr>
        <w:pStyle w:val="BodyText"/>
        <w:spacing w:line="446" w:lineRule="auto"/>
        <w:ind w:left="418" w:right="1433"/>
      </w:pPr>
      <w:r>
        <w:rPr>
          <w:w w:val="100"/>
        </w:rPr>
        <w:t> </w:t>
      </w:r>
      <w:r>
        <w:rPr/>
        <w:t> </w:t>
      </w:r>
      <w:r>
        <w:rPr>
          <w:w w:val="100"/>
        </w:rPr>
        <w:t> </w:t>
      </w:r>
      <w:r>
        <w:rPr/>
        <w:t> </w:t>
      </w:r>
      <w:r>
        <w:rPr>
          <w:spacing w:val="-8"/>
        </w:rPr>
        <w:t>能根据道路、小区、单位、水源、消火栓、消防站的名称或地址等，在地图上进行精确或模</w:t>
      </w:r>
      <w:r>
        <w:rPr>
          <w:spacing w:val="-6"/>
        </w:rPr>
        <w:t>糊定位。</w:t>
      </w:r>
      <w:r>
        <w:rPr/>
        <w:t> </w:t>
      </w:r>
    </w:p>
    <w:p>
      <w:pPr>
        <w:pStyle w:val="BodyText"/>
        <w:ind w:left="418"/>
      </w:pPr>
      <w:r>
        <w:rPr>
          <w:w w:val="100"/>
        </w:rPr>
        <w:t>    </w:t>
      </w:r>
      <w:r>
        <w:rPr>
          <w:b/>
        </w:rPr>
        <w:t>5.9.11 </w:t>
      </w:r>
      <w:r>
        <w:rPr/>
        <w:t>消防地理信息子系统的量测分析功能应符合下列要求： </w:t>
      </w:r>
    </w:p>
    <w:p>
      <w:pPr>
        <w:pStyle w:val="BodyText"/>
        <w:spacing w:before="12"/>
        <w:rPr>
          <w:sz w:val="17"/>
        </w:rPr>
      </w:pPr>
    </w:p>
    <w:p>
      <w:pPr>
        <w:pStyle w:val="BodyText"/>
        <w:ind w:left="418"/>
      </w:pPr>
      <w:r>
        <w:rPr>
          <w:w w:val="100"/>
        </w:rPr>
        <w:t> </w:t>
      </w:r>
      <w:r>
        <w:rPr/>
        <w:t> </w:t>
      </w:r>
      <w:r>
        <w:rPr>
          <w:w w:val="100"/>
        </w:rPr>
        <w:t> </w:t>
      </w:r>
      <w:r>
        <w:rPr/>
        <w:t> </w:t>
      </w:r>
      <w:r>
        <w:rPr>
          <w:spacing w:val="-3"/>
        </w:rPr>
        <w:t>能对道路、消防水源、建（</w:t>
      </w:r>
      <w:r>
        <w:rPr/>
        <w:t>构</w:t>
      </w:r>
      <w:r>
        <w:rPr>
          <w:spacing w:val="-3"/>
        </w:rPr>
        <w:t>）筑物等目标进行距离测量；</w:t>
      </w:r>
      <w:r>
        <w:rPr/>
        <w:t> </w:t>
      </w:r>
    </w:p>
    <w:p>
      <w:pPr>
        <w:pStyle w:val="BodyText"/>
        <w:spacing w:before="2"/>
        <w:rPr>
          <w:sz w:val="18"/>
        </w:rPr>
      </w:pPr>
    </w:p>
    <w:p>
      <w:pPr>
        <w:pStyle w:val="BodyText"/>
        <w:ind w:left="418"/>
      </w:pPr>
      <w:r>
        <w:rPr>
          <w:w w:val="100"/>
        </w:rPr>
        <w:t> </w:t>
      </w:r>
      <w:r>
        <w:rPr/>
        <w:t> </w:t>
      </w:r>
      <w:r>
        <w:rPr>
          <w:w w:val="100"/>
        </w:rPr>
        <w:t> </w:t>
      </w:r>
      <w:r>
        <w:rPr/>
        <w:t> </w:t>
      </w:r>
      <w:r>
        <w:rPr>
          <w:spacing w:val="-3"/>
        </w:rPr>
        <w:t>能对道路、消防水源、建（</w:t>
      </w:r>
      <w:r>
        <w:rPr/>
        <w:t>构</w:t>
      </w:r>
      <w:r>
        <w:rPr>
          <w:spacing w:val="-3"/>
        </w:rPr>
        <w:t>）筑物等目标进行面积测量；</w:t>
      </w:r>
      <w:r>
        <w:rPr/>
        <w:t> </w:t>
      </w:r>
    </w:p>
    <w:p>
      <w:pPr>
        <w:pStyle w:val="BodyText"/>
        <w:rPr>
          <w:sz w:val="18"/>
        </w:rPr>
      </w:pPr>
    </w:p>
    <w:p>
      <w:pPr>
        <w:pStyle w:val="BodyText"/>
        <w:ind w:left="418"/>
      </w:pPr>
      <w:r>
        <w:rPr>
          <w:w w:val="100"/>
        </w:rPr>
        <w:t> </w:t>
      </w:r>
      <w:r>
        <w:rPr/>
        <w:t> </w:t>
      </w:r>
      <w:r>
        <w:rPr>
          <w:w w:val="100"/>
        </w:rPr>
        <w:t> </w:t>
      </w:r>
      <w:r>
        <w:rPr/>
        <w:t> 能对指定的目标集合中的地理目标进行周边分析； </w:t>
      </w:r>
    </w:p>
    <w:p>
      <w:pPr>
        <w:pStyle w:val="BodyText"/>
        <w:spacing w:before="12"/>
        <w:rPr>
          <w:sz w:val="17"/>
        </w:rPr>
      </w:pPr>
    </w:p>
    <w:p>
      <w:pPr>
        <w:pStyle w:val="BodyText"/>
        <w:ind w:left="418"/>
      </w:pPr>
      <w:r>
        <w:rPr>
          <w:w w:val="100"/>
        </w:rPr>
        <w:t> </w:t>
      </w:r>
      <w:r>
        <w:rPr/>
        <w:t> </w:t>
      </w:r>
      <w:r>
        <w:rPr>
          <w:w w:val="100"/>
        </w:rPr>
        <w:t> </w:t>
      </w:r>
      <w:r>
        <w:rPr/>
        <w:t> 具有最佳行车路径分析功能。 </w:t>
      </w:r>
    </w:p>
    <w:p>
      <w:pPr>
        <w:pStyle w:val="BodyText"/>
        <w:spacing w:before="2"/>
        <w:rPr>
          <w:sz w:val="18"/>
        </w:rPr>
      </w:pPr>
    </w:p>
    <w:p>
      <w:pPr>
        <w:pStyle w:val="BodyText"/>
        <w:ind w:left="418"/>
      </w:pPr>
      <w:r>
        <w:rPr>
          <w:w w:val="100"/>
        </w:rPr>
        <w:t>    </w:t>
      </w:r>
      <w:r>
        <w:rPr>
          <w:b/>
        </w:rPr>
        <w:t>5.9.12 </w:t>
      </w:r>
      <w:r>
        <w:rPr/>
        <w:t>消防地理信息子系统的制图输出功能应符合下列要求： </w:t>
      </w:r>
    </w:p>
    <w:p>
      <w:pPr>
        <w:pStyle w:val="BodyText"/>
        <w:rPr>
          <w:sz w:val="18"/>
        </w:rPr>
      </w:pPr>
    </w:p>
    <w:p>
      <w:pPr>
        <w:pStyle w:val="BodyText"/>
        <w:ind w:left="418"/>
      </w:pPr>
      <w:r>
        <w:rPr>
          <w:w w:val="100"/>
        </w:rPr>
        <w:t> </w:t>
      </w:r>
      <w:r>
        <w:rPr/>
        <w:t> </w:t>
      </w:r>
      <w:r>
        <w:rPr>
          <w:w w:val="100"/>
        </w:rPr>
        <w:t> </w:t>
      </w:r>
      <w:r>
        <w:rPr/>
        <w:t> 能制作地图输出模板并予以存储； </w:t>
      </w:r>
    </w:p>
    <w:p>
      <w:pPr>
        <w:pStyle w:val="BodyText"/>
        <w:spacing w:before="12"/>
        <w:rPr>
          <w:sz w:val="17"/>
        </w:rPr>
      </w:pPr>
    </w:p>
    <w:p>
      <w:pPr>
        <w:pStyle w:val="BodyText"/>
        <w:ind w:left="418"/>
      </w:pPr>
      <w:r>
        <w:rPr>
          <w:w w:val="100"/>
        </w:rPr>
        <w:t> </w:t>
      </w:r>
      <w:r>
        <w:rPr/>
        <w:t> </w:t>
      </w:r>
      <w:r>
        <w:rPr>
          <w:w w:val="100"/>
        </w:rPr>
        <w:t> </w:t>
      </w:r>
      <w:r>
        <w:rPr/>
        <w:t> 能设置地图的图廓、标题、图例、指北针、比例尺等各种地图要素整饰； </w:t>
      </w:r>
    </w:p>
    <w:p>
      <w:pPr>
        <w:pStyle w:val="BodyText"/>
        <w:spacing w:before="2"/>
        <w:rPr>
          <w:sz w:val="18"/>
        </w:rPr>
      </w:pPr>
    </w:p>
    <w:p>
      <w:pPr>
        <w:pStyle w:val="BodyText"/>
        <w:ind w:left="418"/>
      </w:pPr>
      <w:r>
        <w:rPr>
          <w:w w:val="100"/>
        </w:rPr>
        <w:t> </w:t>
      </w:r>
      <w:r>
        <w:rPr/>
        <w:t> </w:t>
      </w:r>
      <w:r>
        <w:rPr>
          <w:w w:val="100"/>
        </w:rPr>
        <w:t> </w:t>
      </w:r>
      <w:r>
        <w:rPr/>
        <w:t> 能提供点、线、面和文字等地图标注工具； </w:t>
      </w:r>
    </w:p>
    <w:p>
      <w:pPr>
        <w:pStyle w:val="BodyText"/>
        <w:rPr>
          <w:sz w:val="18"/>
        </w:rPr>
      </w:pPr>
    </w:p>
    <w:p>
      <w:pPr>
        <w:pStyle w:val="BodyText"/>
        <w:ind w:left="418"/>
      </w:pPr>
      <w:r>
        <w:rPr>
          <w:w w:val="100"/>
        </w:rPr>
        <w:t> </w:t>
      </w:r>
      <w:r>
        <w:rPr/>
        <w:t> </w:t>
      </w:r>
      <w:r>
        <w:rPr>
          <w:w w:val="100"/>
        </w:rPr>
        <w:t> </w:t>
      </w:r>
      <w:r>
        <w:rPr/>
        <w:t> 能打印输出地图； </w:t>
      </w:r>
    </w:p>
    <w:p>
      <w:pPr>
        <w:pStyle w:val="BodyText"/>
        <w:spacing w:before="12"/>
        <w:rPr>
          <w:sz w:val="17"/>
        </w:rPr>
      </w:pPr>
    </w:p>
    <w:p>
      <w:pPr>
        <w:pStyle w:val="BodyText"/>
        <w:spacing w:line="446" w:lineRule="auto"/>
        <w:ind w:left="840" w:right="7193" w:hanging="423"/>
        <w:rPr>
          <w:b/>
        </w:rPr>
      </w:pPr>
      <w:r>
        <w:rPr>
          <w:w w:val="100"/>
        </w:rPr>
        <w:t> </w:t>
      </w:r>
      <w:r>
        <w:rPr/>
        <w:t> </w:t>
      </w:r>
      <w:r>
        <w:rPr>
          <w:w w:val="100"/>
        </w:rPr>
        <w:t>  </w:t>
      </w:r>
      <w:r>
        <w:rPr/>
        <w:t>能将地图以网络方式发布。</w:t>
      </w:r>
      <w:r>
        <w:rPr>
          <w:b/>
        </w:rPr>
        <w:t>5.10 </w:t>
      </w:r>
      <w:r>
        <w:rPr/>
        <w:t>消防信息显示子系统</w:t>
      </w:r>
      <w:r>
        <w:rPr>
          <w:b/>
          <w:w w:val="99"/>
        </w:rPr>
        <w:t> </w:t>
      </w:r>
    </w:p>
    <w:p>
      <w:pPr>
        <w:pStyle w:val="ListParagraph"/>
        <w:numPr>
          <w:ilvl w:val="2"/>
          <w:numId w:val="956"/>
        </w:numPr>
        <w:tabs>
          <w:tab w:pos="1475" w:val="left" w:leader="none"/>
        </w:tabs>
        <w:spacing w:line="240" w:lineRule="auto" w:before="0" w:after="0"/>
        <w:ind w:left="1474" w:right="0" w:hanging="637"/>
        <w:jc w:val="left"/>
        <w:rPr>
          <w:sz w:val="21"/>
        </w:rPr>
      </w:pPr>
      <w:r>
        <w:rPr>
          <w:spacing w:val="-5"/>
          <w:sz w:val="21"/>
        </w:rPr>
        <w:t>消防信息显示子系统应能接入和集中控制管理本规范第 </w:t>
      </w:r>
      <w:r>
        <w:rPr>
          <w:sz w:val="21"/>
        </w:rPr>
        <w:t>5.10.3</w:t>
      </w:r>
      <w:r>
        <w:rPr>
          <w:spacing w:val="-2"/>
          <w:sz w:val="21"/>
        </w:rPr>
        <w:t> 条规定的信息。 </w:t>
      </w:r>
    </w:p>
    <w:p>
      <w:pPr>
        <w:pStyle w:val="BodyText"/>
        <w:spacing w:before="12"/>
        <w:rPr>
          <w:sz w:val="17"/>
        </w:rPr>
      </w:pPr>
    </w:p>
    <w:p>
      <w:pPr>
        <w:pStyle w:val="ListParagraph"/>
        <w:numPr>
          <w:ilvl w:val="2"/>
          <w:numId w:val="956"/>
        </w:numPr>
        <w:tabs>
          <w:tab w:pos="1475" w:val="left" w:leader="none"/>
        </w:tabs>
        <w:spacing w:line="240" w:lineRule="auto" w:before="0" w:after="0"/>
        <w:ind w:left="1474" w:right="0" w:hanging="637"/>
        <w:jc w:val="left"/>
        <w:rPr>
          <w:sz w:val="21"/>
        </w:rPr>
      </w:pPr>
      <w:r>
        <w:rPr>
          <w:spacing w:val="-3"/>
          <w:sz w:val="21"/>
        </w:rPr>
        <w:t>消防信息显示子系统的切换控制功能应符合下列要求：</w:t>
      </w:r>
      <w:r>
        <w:rPr>
          <w:sz w:val="21"/>
        </w:rPr>
        <w:t> </w:t>
      </w:r>
    </w:p>
    <w:p>
      <w:pPr>
        <w:pStyle w:val="BodyText"/>
        <w:spacing w:before="2"/>
        <w:rPr>
          <w:sz w:val="18"/>
        </w:rPr>
      </w:pPr>
    </w:p>
    <w:p>
      <w:pPr>
        <w:pStyle w:val="BodyText"/>
        <w:spacing w:line="446" w:lineRule="auto"/>
        <w:ind w:left="838" w:right="4446"/>
      </w:pPr>
      <w:r>
        <w:rPr/>
        <w:t>能对视频信息进行显示控制，对音频信息进行播放控制； 具有多种组合显示模式，能实现不同模式的切换； </w:t>
      </w:r>
    </w:p>
    <w:p>
      <w:pPr>
        <w:pStyle w:val="BodyText"/>
        <w:spacing w:line="446" w:lineRule="auto"/>
        <w:ind w:left="838" w:right="4657"/>
      </w:pPr>
      <w:r>
        <w:rPr/>
        <w:t>具有多个视频图像和计算机画面的同屏混合显示功能； 能通过网络进行远程切换控制； </w:t>
      </w:r>
    </w:p>
    <w:p>
      <w:pPr>
        <w:pStyle w:val="BodyText"/>
        <w:ind w:left="838"/>
      </w:pPr>
      <w:r>
        <w:rPr/>
        <w:t>具有交互式电子白板功能。 </w:t>
      </w:r>
    </w:p>
    <w:p>
      <w:pPr>
        <w:pStyle w:val="BodyText"/>
        <w:spacing w:before="10"/>
        <w:rPr>
          <w:sz w:val="17"/>
        </w:rPr>
      </w:pPr>
    </w:p>
    <w:p>
      <w:pPr>
        <w:pStyle w:val="ListParagraph"/>
        <w:numPr>
          <w:ilvl w:val="2"/>
          <w:numId w:val="956"/>
        </w:numPr>
        <w:tabs>
          <w:tab w:pos="1475" w:val="left" w:leader="none"/>
        </w:tabs>
        <w:spacing w:line="240" w:lineRule="auto" w:before="1" w:after="0"/>
        <w:ind w:left="1474" w:right="0" w:hanging="637"/>
        <w:jc w:val="left"/>
        <w:rPr>
          <w:sz w:val="21"/>
        </w:rPr>
      </w:pPr>
      <w:r>
        <w:rPr>
          <w:spacing w:val="-3"/>
          <w:sz w:val="21"/>
        </w:rPr>
        <w:t>消防信息显示子系统应能显示下列内容：</w:t>
      </w:r>
      <w:r>
        <w:rPr>
          <w:sz w:val="21"/>
        </w:rPr>
        <w:t> </w:t>
      </w:r>
    </w:p>
    <w:p>
      <w:pPr>
        <w:pStyle w:val="BodyText"/>
        <w:spacing w:before="1"/>
        <w:rPr>
          <w:sz w:val="18"/>
        </w:rPr>
      </w:pPr>
    </w:p>
    <w:p>
      <w:pPr>
        <w:pStyle w:val="BodyText"/>
        <w:spacing w:before="1"/>
        <w:ind w:left="838"/>
      </w:pPr>
      <w:r>
        <w:rPr/>
        <w:t>辖区消防队站、值班信息； </w:t>
      </w:r>
    </w:p>
    <w:p>
      <w:pPr>
        <w:pStyle w:val="BodyText"/>
        <w:spacing w:before="12"/>
        <w:rPr>
          <w:sz w:val="17"/>
        </w:rPr>
      </w:pPr>
    </w:p>
    <w:p>
      <w:pPr>
        <w:pStyle w:val="BodyText"/>
        <w:spacing w:line="446" w:lineRule="auto"/>
        <w:ind w:left="838" w:right="3397"/>
      </w:pPr>
      <w:r>
        <w:rPr/>
        <w:t>辖区消防车辆类型、数量和待命、出动、到场、执勤、检修等状态； 日期、时钟； </w:t>
      </w:r>
    </w:p>
    <w:p>
      <w:pPr>
        <w:pStyle w:val="BodyText"/>
        <w:ind w:left="838"/>
      </w:pPr>
      <w:r>
        <w:rPr/>
        <w:t>当前天气、温度、湿度、风向、风力； </w:t>
      </w:r>
    </w:p>
    <w:p>
      <w:pPr>
        <w:spacing w:after="0"/>
        <w:sectPr>
          <w:pgSz w:w="11910" w:h="16850"/>
          <w:pgMar w:header="0" w:footer="1239" w:top="1220" w:bottom="1420" w:left="1260" w:right="0"/>
        </w:sectPr>
      </w:pPr>
    </w:p>
    <w:p>
      <w:pPr>
        <w:pStyle w:val="BodyText"/>
        <w:spacing w:line="446" w:lineRule="auto" w:before="47"/>
        <w:ind w:left="838" w:right="6757"/>
      </w:pPr>
      <w:r>
        <w:rPr/>
        <w:t>当前火灾及其他灾害事故信息； 灭火救援统计数据； </w:t>
      </w:r>
    </w:p>
    <w:p>
      <w:pPr>
        <w:pStyle w:val="BodyText"/>
        <w:spacing w:line="267" w:lineRule="exact"/>
        <w:ind w:left="838"/>
      </w:pPr>
      <w:r>
        <w:rPr/>
        <w:t>本规范第 5.5.1 条～第 5.5.7 条规定的图像信息； </w:t>
      </w:r>
    </w:p>
    <w:p>
      <w:pPr>
        <w:pStyle w:val="BodyText"/>
        <w:spacing w:before="2"/>
        <w:rPr>
          <w:sz w:val="18"/>
        </w:rPr>
      </w:pPr>
    </w:p>
    <w:p>
      <w:pPr>
        <w:pStyle w:val="BodyText"/>
        <w:ind w:left="838"/>
      </w:pPr>
      <w:r>
        <w:rPr/>
        <w:t>火警受理、调度指挥、现场指挥等业务应用系统的信息。 </w:t>
      </w:r>
    </w:p>
    <w:p>
      <w:pPr>
        <w:pStyle w:val="BodyText"/>
        <w:rPr>
          <w:sz w:val="18"/>
        </w:rPr>
      </w:pPr>
    </w:p>
    <w:p>
      <w:pPr>
        <w:pStyle w:val="ListParagraph"/>
        <w:numPr>
          <w:ilvl w:val="2"/>
          <w:numId w:val="956"/>
        </w:numPr>
        <w:tabs>
          <w:tab w:pos="1475" w:val="left" w:leader="none"/>
        </w:tabs>
        <w:spacing w:line="240" w:lineRule="auto" w:before="0" w:after="0"/>
        <w:ind w:left="1474" w:right="0" w:hanging="637"/>
        <w:jc w:val="left"/>
        <w:rPr>
          <w:sz w:val="21"/>
        </w:rPr>
      </w:pPr>
      <w:r>
        <w:rPr>
          <w:spacing w:val="-3"/>
          <w:sz w:val="21"/>
        </w:rPr>
        <w:t>消防信息显示子系统的软硬件设备应符合国家现行有关标准的规定。 </w:t>
      </w:r>
    </w:p>
    <w:p>
      <w:pPr>
        <w:pStyle w:val="BodyText"/>
        <w:spacing w:before="12"/>
        <w:rPr>
          <w:sz w:val="17"/>
        </w:rPr>
      </w:pPr>
    </w:p>
    <w:p>
      <w:pPr>
        <w:pStyle w:val="ListParagraph"/>
        <w:numPr>
          <w:ilvl w:val="2"/>
          <w:numId w:val="956"/>
        </w:numPr>
        <w:tabs>
          <w:tab w:pos="1475" w:val="left" w:leader="none"/>
        </w:tabs>
        <w:spacing w:line="446" w:lineRule="auto" w:before="0" w:after="0"/>
        <w:ind w:left="838" w:right="4338" w:firstLine="0"/>
        <w:jc w:val="both"/>
        <w:rPr>
          <w:sz w:val="21"/>
        </w:rPr>
      </w:pPr>
      <w:r>
        <w:rPr>
          <w:spacing w:val="-3"/>
          <w:sz w:val="21"/>
        </w:rPr>
        <w:t>消防信息显示子系统的技术性能应符合下列要求： </w:t>
      </w:r>
      <w:r>
        <w:rPr>
          <w:spacing w:val="-11"/>
          <w:sz w:val="21"/>
        </w:rPr>
        <w:t>应能支持从 </w:t>
      </w:r>
      <w:r>
        <w:rPr>
          <w:sz w:val="21"/>
        </w:rPr>
        <w:t>640×480</w:t>
      </w:r>
      <w:r>
        <w:rPr>
          <w:spacing w:val="-35"/>
          <w:sz w:val="21"/>
        </w:rPr>
        <w:t> 到 </w:t>
      </w:r>
      <w:r>
        <w:rPr>
          <w:sz w:val="21"/>
        </w:rPr>
        <w:t>1600×1200</w:t>
      </w:r>
      <w:r>
        <w:rPr>
          <w:spacing w:val="-3"/>
          <w:sz w:val="21"/>
        </w:rPr>
        <w:t> 的各种分辨率信号； </w:t>
      </w:r>
      <w:r>
        <w:rPr>
          <w:spacing w:val="-6"/>
          <w:sz w:val="21"/>
        </w:rPr>
        <w:t>屏幕亮度能适应高照度环境，亮度均匀性应大于 </w:t>
      </w:r>
      <w:r>
        <w:rPr>
          <w:spacing w:val="-3"/>
          <w:sz w:val="21"/>
        </w:rPr>
        <w:t>90%；</w:t>
      </w:r>
      <w:r>
        <w:rPr>
          <w:sz w:val="21"/>
        </w:rPr>
        <w:t> </w:t>
      </w:r>
    </w:p>
    <w:p>
      <w:pPr>
        <w:pStyle w:val="BodyText"/>
        <w:spacing w:line="268" w:lineRule="exact"/>
        <w:ind w:left="838"/>
        <w:jc w:val="both"/>
      </w:pPr>
      <w:r>
        <w:rPr/>
        <w:t>屏幕水平视角 180°，垂直视角不应小于 80°； </w:t>
      </w:r>
    </w:p>
    <w:p>
      <w:pPr>
        <w:pStyle w:val="BodyText"/>
        <w:spacing w:before="2"/>
        <w:rPr>
          <w:sz w:val="18"/>
        </w:rPr>
      </w:pPr>
    </w:p>
    <w:p>
      <w:pPr>
        <w:pStyle w:val="BodyText"/>
        <w:ind w:left="838"/>
      </w:pPr>
      <w:r>
        <w:rPr/>
        <w:t>能支持控制协议/因特网互联协议（TCP/IP） 等协议，网络接口应为 10M/100M 以太网； </w:t>
      </w:r>
    </w:p>
    <w:p>
      <w:pPr>
        <w:pStyle w:val="BodyText"/>
        <w:spacing w:before="12"/>
        <w:rPr>
          <w:sz w:val="17"/>
        </w:rPr>
      </w:pPr>
    </w:p>
    <w:p>
      <w:pPr>
        <w:pStyle w:val="BodyText"/>
        <w:ind w:left="838"/>
      </w:pPr>
      <w:r>
        <w:rPr/>
        <w:t>应具有模块式结构，易于检修； </w:t>
      </w:r>
    </w:p>
    <w:p>
      <w:pPr>
        <w:pStyle w:val="BodyText"/>
        <w:rPr>
          <w:sz w:val="18"/>
        </w:rPr>
      </w:pPr>
    </w:p>
    <w:p>
      <w:pPr>
        <w:pStyle w:val="BodyText"/>
        <w:spacing w:line="446" w:lineRule="auto"/>
        <w:ind w:left="838" w:right="5550"/>
      </w:pPr>
      <w:r>
        <w:rPr>
          <w:spacing w:val="-6"/>
        </w:rPr>
        <w:t>大屏幕投影组合墙的拼缝间隙不应大于 </w:t>
      </w:r>
      <w:r>
        <w:rPr/>
        <w:t>1mm； </w:t>
      </w:r>
      <w:r>
        <w:rPr>
          <w:spacing w:val="-3"/>
        </w:rPr>
        <w:t>应采用全中文图形界面，操作控制简单。 </w:t>
      </w:r>
      <w:r>
        <w:rPr>
          <w:b/>
        </w:rPr>
        <w:t>5.11</w:t>
      </w:r>
      <w:r>
        <w:rPr>
          <w:b/>
          <w:spacing w:val="2"/>
        </w:rPr>
        <w:t> </w:t>
      </w:r>
      <w:r>
        <w:rPr>
          <w:spacing w:val="-3"/>
        </w:rPr>
        <w:t>消防有线通信子系统</w:t>
      </w:r>
      <w:r>
        <w:rPr/>
        <w:t> </w:t>
      </w:r>
    </w:p>
    <w:p>
      <w:pPr>
        <w:spacing w:line="268" w:lineRule="exact" w:before="0"/>
        <w:ind w:left="840" w:right="0" w:firstLine="0"/>
        <w:jc w:val="left"/>
        <w:rPr>
          <w:sz w:val="21"/>
        </w:rPr>
      </w:pPr>
      <w:r>
        <w:rPr>
          <w:b/>
          <w:sz w:val="21"/>
        </w:rPr>
        <w:t>5.11.1 </w:t>
      </w:r>
      <w:r>
        <w:rPr>
          <w:sz w:val="21"/>
        </w:rPr>
        <w:t>消防有线通信子系统应具有下列火警电话呼入线路： </w:t>
      </w:r>
    </w:p>
    <w:p>
      <w:pPr>
        <w:pStyle w:val="BodyText"/>
        <w:spacing w:before="2"/>
        <w:rPr>
          <w:sz w:val="18"/>
        </w:rPr>
      </w:pPr>
    </w:p>
    <w:p>
      <w:pPr>
        <w:pStyle w:val="BodyText"/>
        <w:ind w:left="418"/>
      </w:pPr>
      <w:r>
        <w:rPr>
          <w:w w:val="100"/>
        </w:rPr>
        <w:t> </w:t>
      </w:r>
      <w:r>
        <w:rPr/>
        <w:t> </w:t>
      </w:r>
      <w:r>
        <w:rPr>
          <w:w w:val="100"/>
        </w:rPr>
        <w:t> </w:t>
      </w:r>
      <w:r>
        <w:rPr/>
        <w:t> 与城市公用电话网相连的语音通信线路； </w:t>
      </w:r>
    </w:p>
    <w:p>
      <w:pPr>
        <w:pStyle w:val="BodyText"/>
        <w:spacing w:before="12"/>
        <w:rPr>
          <w:sz w:val="17"/>
        </w:rPr>
      </w:pPr>
    </w:p>
    <w:p>
      <w:pPr>
        <w:pStyle w:val="BodyText"/>
        <w:ind w:left="418"/>
      </w:pPr>
      <w:r>
        <w:rPr>
          <w:w w:val="100"/>
        </w:rPr>
        <w:t> </w:t>
      </w:r>
      <w:r>
        <w:rPr/>
        <w:t> </w:t>
      </w:r>
      <w:r>
        <w:rPr>
          <w:w w:val="100"/>
        </w:rPr>
        <w:t> </w:t>
      </w:r>
      <w:r>
        <w:rPr/>
        <w:t> 与专用电话网相连的语音通信线路； </w:t>
      </w:r>
    </w:p>
    <w:p>
      <w:pPr>
        <w:pStyle w:val="BodyText"/>
        <w:spacing w:before="12"/>
        <w:rPr>
          <w:sz w:val="17"/>
        </w:rPr>
      </w:pPr>
    </w:p>
    <w:p>
      <w:pPr>
        <w:pStyle w:val="BodyText"/>
        <w:ind w:left="418"/>
      </w:pPr>
      <w:r>
        <w:rPr>
          <w:w w:val="100"/>
        </w:rPr>
        <w:t> </w:t>
      </w:r>
      <w:r>
        <w:rPr/>
        <w:t> </w:t>
      </w:r>
      <w:r>
        <w:rPr>
          <w:w w:val="100"/>
        </w:rPr>
        <w:t> </w:t>
      </w:r>
      <w:r>
        <w:rPr/>
        <w:t> 与城市消防远程监控系统报警终端相连的语音、数据通信线路； </w:t>
      </w:r>
    </w:p>
    <w:p>
      <w:pPr>
        <w:pStyle w:val="BodyText"/>
        <w:spacing w:before="2"/>
        <w:rPr>
          <w:sz w:val="18"/>
        </w:rPr>
      </w:pPr>
    </w:p>
    <w:p>
      <w:pPr>
        <w:pStyle w:val="BodyText"/>
        <w:ind w:left="418"/>
      </w:pPr>
      <w:r>
        <w:rPr>
          <w:w w:val="100"/>
        </w:rPr>
        <w:t> </w:t>
      </w:r>
      <w:r>
        <w:rPr/>
        <w:t> </w:t>
      </w:r>
      <w:r>
        <w:rPr>
          <w:w w:val="100"/>
        </w:rPr>
        <w:t> </w:t>
      </w:r>
      <w:r>
        <w:rPr/>
        <w:t> 查询固定报警电话装机地址和移动报警电话定位信息的数据通信线路。 </w:t>
      </w:r>
    </w:p>
    <w:p>
      <w:pPr>
        <w:pStyle w:val="BodyText"/>
        <w:rPr>
          <w:sz w:val="18"/>
        </w:rPr>
      </w:pPr>
    </w:p>
    <w:p>
      <w:pPr>
        <w:pStyle w:val="BodyText"/>
        <w:ind w:left="418"/>
      </w:pPr>
      <w:r>
        <w:rPr>
          <w:w w:val="100"/>
        </w:rPr>
        <w:t>    </w:t>
      </w:r>
      <w:r>
        <w:rPr>
          <w:b/>
        </w:rPr>
        <w:t>5.11.2 </w:t>
      </w:r>
      <w:r>
        <w:rPr/>
        <w:t>消防有线通信子系统应具有下列火警调度专用通信线路： </w:t>
      </w:r>
    </w:p>
    <w:p>
      <w:pPr>
        <w:pStyle w:val="BodyText"/>
        <w:rPr>
          <w:sz w:val="18"/>
        </w:rPr>
      </w:pPr>
    </w:p>
    <w:p>
      <w:pPr>
        <w:pStyle w:val="BodyText"/>
        <w:ind w:left="418"/>
      </w:pPr>
      <w:r>
        <w:rPr>
          <w:w w:val="100"/>
        </w:rPr>
        <w:t> </w:t>
      </w:r>
      <w:r>
        <w:rPr/>
        <w:t> </w:t>
      </w:r>
      <w:r>
        <w:rPr>
          <w:w w:val="100"/>
        </w:rPr>
        <w:t> </w:t>
      </w:r>
      <w:r>
        <w:rPr/>
        <w:t> 连通上级消防通信指挥中心的语音、数据、图像通信线路； </w:t>
      </w:r>
    </w:p>
    <w:p>
      <w:pPr>
        <w:pStyle w:val="BodyText"/>
        <w:spacing w:before="2"/>
        <w:rPr>
          <w:sz w:val="18"/>
        </w:rPr>
      </w:pPr>
    </w:p>
    <w:p>
      <w:pPr>
        <w:pStyle w:val="BodyText"/>
        <w:ind w:left="418"/>
      </w:pPr>
      <w:r>
        <w:rPr>
          <w:w w:val="100"/>
        </w:rPr>
        <w:t> </w:t>
      </w:r>
      <w:r>
        <w:rPr/>
        <w:t> </w:t>
      </w:r>
      <w:r>
        <w:rPr>
          <w:w w:val="100"/>
        </w:rPr>
        <w:t> </w:t>
      </w:r>
      <w:r>
        <w:rPr/>
        <w:t> 连通辖区消防站的语音、数据、图像通信线路； </w:t>
      </w:r>
    </w:p>
    <w:p>
      <w:pPr>
        <w:pStyle w:val="BodyText"/>
        <w:spacing w:before="12"/>
        <w:rPr>
          <w:sz w:val="17"/>
        </w:rPr>
      </w:pPr>
    </w:p>
    <w:p>
      <w:pPr>
        <w:pStyle w:val="BodyText"/>
        <w:ind w:left="418"/>
      </w:pPr>
      <w:r>
        <w:rPr>
          <w:w w:val="100"/>
        </w:rPr>
        <w:t> </w:t>
      </w:r>
      <w:r>
        <w:rPr/>
        <w:t> </w:t>
      </w:r>
      <w:r>
        <w:rPr>
          <w:w w:val="100"/>
        </w:rPr>
        <w:t> </w:t>
      </w:r>
      <w:r>
        <w:rPr/>
        <w:t> 连通公安机关指挥中心和政府相关部门的语音、数据通信线路； </w:t>
      </w:r>
    </w:p>
    <w:p>
      <w:pPr>
        <w:pStyle w:val="BodyText"/>
        <w:spacing w:before="12"/>
        <w:rPr>
          <w:sz w:val="17"/>
        </w:rPr>
      </w:pPr>
    </w:p>
    <w:p>
      <w:pPr>
        <w:pStyle w:val="BodyText"/>
        <w:ind w:left="418"/>
      </w:pPr>
      <w:r>
        <w:rPr>
          <w:w w:val="100"/>
        </w:rPr>
        <w:t> </w:t>
      </w:r>
      <w:r>
        <w:rPr/>
        <w:t> </w:t>
      </w:r>
      <w:r>
        <w:rPr>
          <w:w w:val="100"/>
        </w:rPr>
        <w:t> </w:t>
      </w:r>
      <w:r>
        <w:rPr/>
        <w:t> 连通供水、供电、供气、医疗、教静、交通、环卫等灭火救援有关单位的语音通信线路</w:t>
      </w:r>
      <w:r>
        <w:rPr>
          <w:b/>
        </w:rPr>
        <w:t>。</w:t>
      </w:r>
      <w:r>
        <w:rPr>
          <w:w w:val="100"/>
        </w:rPr>
        <w:t> </w:t>
      </w:r>
    </w:p>
    <w:p>
      <w:pPr>
        <w:pStyle w:val="BodyText"/>
        <w:spacing w:before="2"/>
        <w:rPr>
          <w:sz w:val="18"/>
        </w:rPr>
      </w:pPr>
    </w:p>
    <w:p>
      <w:pPr>
        <w:spacing w:before="0"/>
        <w:ind w:left="418" w:right="0" w:firstLine="0"/>
        <w:jc w:val="left"/>
        <w:rPr>
          <w:sz w:val="21"/>
        </w:rPr>
      </w:pPr>
      <w:r>
        <w:rPr>
          <w:b/>
          <w:w w:val="99"/>
          <w:sz w:val="21"/>
        </w:rPr>
        <w:t>    </w:t>
      </w:r>
      <w:r>
        <w:rPr>
          <w:b/>
          <w:sz w:val="21"/>
        </w:rPr>
        <w:t>5.11.3 </w:t>
      </w:r>
      <w:r>
        <w:rPr>
          <w:sz w:val="21"/>
        </w:rPr>
        <w:t>消防有线通信子系统应具有下列日常联络通信线路： </w:t>
      </w:r>
    </w:p>
    <w:p>
      <w:pPr>
        <w:pStyle w:val="BodyText"/>
        <w:rPr>
          <w:sz w:val="18"/>
        </w:rPr>
      </w:pPr>
    </w:p>
    <w:p>
      <w:pPr>
        <w:pStyle w:val="BodyText"/>
        <w:ind w:left="418"/>
      </w:pPr>
      <w:r>
        <w:rPr>
          <w:w w:val="100"/>
        </w:rPr>
        <w:t> </w:t>
      </w:r>
      <w:r>
        <w:rPr/>
        <w:t> </w:t>
      </w:r>
      <w:r>
        <w:rPr>
          <w:w w:val="100"/>
        </w:rPr>
        <w:t> </w:t>
      </w:r>
      <w:r>
        <w:rPr/>
        <w:t> 内部电话通信线路； </w:t>
      </w:r>
    </w:p>
    <w:p>
      <w:pPr>
        <w:pStyle w:val="BodyText"/>
        <w:rPr>
          <w:sz w:val="18"/>
        </w:rPr>
      </w:pPr>
    </w:p>
    <w:p>
      <w:pPr>
        <w:pStyle w:val="BodyText"/>
        <w:ind w:left="418"/>
      </w:pPr>
      <w:r>
        <w:rPr>
          <w:w w:val="100"/>
        </w:rPr>
        <w:t> </w:t>
      </w:r>
      <w:r>
        <w:rPr/>
        <w:t> </w:t>
      </w:r>
      <w:r>
        <w:rPr>
          <w:w w:val="100"/>
        </w:rPr>
        <w:t> </w:t>
      </w:r>
      <w:r>
        <w:rPr/>
        <w:t> </w:t>
      </w:r>
      <w:r>
        <w:rPr>
          <w:spacing w:val="-3"/>
        </w:rPr>
        <w:t>对外联络电话通信线路；</w:t>
      </w:r>
      <w:r>
        <w:rPr/>
        <w:t> </w:t>
      </w:r>
    </w:p>
    <w:p>
      <w:pPr>
        <w:pStyle w:val="BodyText"/>
        <w:spacing w:before="2"/>
        <w:rPr>
          <w:sz w:val="18"/>
        </w:rPr>
      </w:pPr>
    </w:p>
    <w:p>
      <w:pPr>
        <w:pStyle w:val="BodyText"/>
        <w:ind w:left="418"/>
      </w:pPr>
      <w:r>
        <w:rPr>
          <w:w w:val="100"/>
        </w:rPr>
        <w:t> </w:t>
      </w:r>
      <w:r>
        <w:rPr/>
        <w:t> </w:t>
      </w:r>
      <w:r>
        <w:rPr>
          <w:w w:val="100"/>
        </w:rPr>
        <w:t> </w:t>
      </w:r>
      <w:r>
        <w:rPr/>
        <w:t> </w:t>
      </w:r>
      <w:r>
        <w:rPr>
          <w:spacing w:val="-3"/>
        </w:rPr>
        <w:t>公安专网电话通信线路。</w:t>
      </w:r>
      <w:r>
        <w:rPr/>
        <w:t> </w:t>
      </w:r>
    </w:p>
    <w:p>
      <w:pPr>
        <w:spacing w:after="0"/>
        <w:sectPr>
          <w:pgSz w:w="11910" w:h="16850"/>
          <w:pgMar w:header="0" w:footer="1239" w:top="1220" w:bottom="1420" w:left="1260" w:right="0"/>
        </w:sectPr>
      </w:pPr>
    </w:p>
    <w:p>
      <w:pPr>
        <w:spacing w:before="47"/>
        <w:ind w:left="418" w:right="0" w:firstLine="0"/>
        <w:jc w:val="left"/>
        <w:rPr>
          <w:sz w:val="21"/>
        </w:rPr>
      </w:pPr>
      <w:r>
        <w:rPr>
          <w:w w:val="100"/>
          <w:sz w:val="21"/>
        </w:rPr>
        <w:t> </w:t>
      </w:r>
      <w:r>
        <w:rPr>
          <w:b/>
          <w:w w:val="99"/>
          <w:sz w:val="21"/>
        </w:rPr>
        <w:t>   </w:t>
      </w:r>
      <w:r>
        <w:rPr>
          <w:b/>
          <w:sz w:val="21"/>
        </w:rPr>
        <w:t>5.11.4 </w:t>
      </w:r>
      <w:r>
        <w:rPr>
          <w:sz w:val="21"/>
        </w:rPr>
        <w:t>与城市公用电话网相连的火警电话中继应符合下列要求： </w:t>
      </w:r>
    </w:p>
    <w:p>
      <w:pPr>
        <w:pStyle w:val="BodyText"/>
        <w:rPr>
          <w:sz w:val="18"/>
        </w:rPr>
      </w:pPr>
    </w:p>
    <w:p>
      <w:pPr>
        <w:pStyle w:val="BodyText"/>
        <w:spacing w:line="446" w:lineRule="auto"/>
        <w:ind w:left="418" w:right="1407"/>
      </w:pPr>
      <w:r>
        <w:rPr>
          <w:w w:val="100"/>
        </w:rPr>
        <w:t> </w:t>
      </w:r>
      <w:r>
        <w:rPr/>
        <w:t> </w:t>
      </w:r>
      <w:r>
        <w:rPr>
          <w:w w:val="100"/>
        </w:rPr>
        <w:t> </w:t>
      </w:r>
      <w:r>
        <w:rPr/>
        <w:t> 中等以上城市宜采用数字中继方式接入本地电话网，小城市可根据本地电话网情况采用数字中继方式或模拟中继方式接入本地电话网； </w:t>
      </w:r>
    </w:p>
    <w:p>
      <w:pPr>
        <w:pStyle w:val="BodyText"/>
        <w:ind w:left="418"/>
      </w:pPr>
      <w:r>
        <w:rPr>
          <w:w w:val="100"/>
        </w:rPr>
        <w:t> </w:t>
      </w:r>
      <w:r>
        <w:rPr/>
        <w:t> </w:t>
      </w:r>
      <w:r>
        <w:rPr>
          <w:w w:val="100"/>
        </w:rPr>
        <w:t> </w:t>
      </w:r>
      <w:r>
        <w:rPr/>
        <w:t> 火警电话中继线路应采用双路由方式与城市公用电话网相连； </w:t>
      </w:r>
    </w:p>
    <w:p>
      <w:pPr>
        <w:pStyle w:val="BodyText"/>
        <w:spacing w:before="12"/>
        <w:rPr>
          <w:sz w:val="17"/>
        </w:rPr>
      </w:pPr>
    </w:p>
    <w:p>
      <w:pPr>
        <w:pStyle w:val="BodyText"/>
        <w:ind w:left="418"/>
      </w:pPr>
      <w:r>
        <w:rPr>
          <w:w w:val="100"/>
        </w:rPr>
        <w:t> </w:t>
      </w:r>
      <w:r>
        <w:rPr/>
        <w:t> </w:t>
      </w:r>
      <w:r>
        <w:rPr>
          <w:w w:val="100"/>
        </w:rPr>
        <w:t> </w:t>
      </w:r>
      <w:r>
        <w:rPr/>
        <w:t> 采用数字中继方式入网时，应具有火警应急接警电话线路； </w:t>
      </w:r>
    </w:p>
    <w:p>
      <w:pPr>
        <w:pStyle w:val="BodyText"/>
        <w:rPr>
          <w:sz w:val="18"/>
        </w:rPr>
      </w:pPr>
    </w:p>
    <w:p>
      <w:pPr>
        <w:pStyle w:val="BodyText"/>
        <w:ind w:left="418"/>
      </w:pPr>
      <w:r>
        <w:rPr>
          <w:w w:val="100"/>
        </w:rPr>
        <w:t> </w:t>
      </w:r>
      <w:r>
        <w:rPr/>
        <w:t> </w:t>
      </w:r>
      <w:r>
        <w:rPr>
          <w:w w:val="100"/>
        </w:rPr>
        <w:t> </w:t>
      </w:r>
      <w:r>
        <w:rPr/>
        <w:t> 火警电话呼入应设置为被叫控制方式； </w:t>
      </w:r>
    </w:p>
    <w:p>
      <w:pPr>
        <w:pStyle w:val="BodyText"/>
        <w:spacing w:before="2"/>
        <w:rPr>
          <w:sz w:val="18"/>
        </w:rPr>
      </w:pPr>
    </w:p>
    <w:p>
      <w:pPr>
        <w:pStyle w:val="BodyText"/>
        <w:ind w:left="418"/>
      </w:pPr>
      <w:r>
        <w:rPr>
          <w:w w:val="100"/>
        </w:rPr>
        <w:t> </w:t>
      </w:r>
      <w:r>
        <w:rPr/>
        <w:t> </w:t>
      </w:r>
      <w:r>
        <w:rPr>
          <w:w w:val="100"/>
        </w:rPr>
        <w:t> </w:t>
      </w:r>
      <w:r>
        <w:rPr/>
        <w:t> 本地电话网应在火警电话呼叫接续过程中提供主叫电话号码； </w:t>
      </w:r>
    </w:p>
    <w:p>
      <w:pPr>
        <w:pStyle w:val="BodyText"/>
        <w:rPr>
          <w:sz w:val="18"/>
        </w:rPr>
      </w:pPr>
    </w:p>
    <w:p>
      <w:pPr>
        <w:pStyle w:val="BodyText"/>
        <w:spacing w:line="446" w:lineRule="auto"/>
        <w:ind w:left="418" w:right="1431"/>
      </w:pPr>
      <w:r>
        <w:rPr>
          <w:w w:val="100"/>
        </w:rPr>
        <w:t> </w:t>
      </w:r>
      <w:r>
        <w:rPr/>
        <w:t> </w:t>
      </w:r>
      <w:r>
        <w:rPr>
          <w:w w:val="100"/>
        </w:rPr>
        <w:t> </w:t>
      </w:r>
      <w:r>
        <w:rPr/>
        <w:t> </w:t>
      </w:r>
      <w:r>
        <w:rPr>
          <w:spacing w:val="-6"/>
        </w:rPr>
        <w:t>本地电话网应提供主叫电话用户信息</w:t>
      </w:r>
      <w:r>
        <w:rPr/>
        <w:t>（</w:t>
      </w:r>
      <w:r>
        <w:rPr>
          <w:spacing w:val="-3"/>
        </w:rPr>
        <w:t>用户名称和装机地址等</w:t>
      </w:r>
      <w:r>
        <w:rPr>
          <w:spacing w:val="-46"/>
        </w:rPr>
        <w:t>）</w:t>
      </w:r>
      <w:r>
        <w:rPr>
          <w:spacing w:val="-10"/>
        </w:rPr>
        <w:t> ，通过专用数据传输线路在</w:t>
      </w:r>
      <w:r>
        <w:rPr>
          <w:spacing w:val="-14"/>
        </w:rPr>
        <w:t>火警应答后 </w:t>
      </w:r>
      <w:r>
        <w:rPr/>
        <w:t>5s</w:t>
      </w:r>
      <w:r>
        <w:rPr>
          <w:spacing w:val="-9"/>
        </w:rPr>
        <w:t> 内送达火警受理终端。</w:t>
      </w:r>
      <w:r>
        <w:rPr/>
        <w:t> </w:t>
      </w:r>
    </w:p>
    <w:p>
      <w:pPr>
        <w:spacing w:before="0"/>
        <w:ind w:left="838" w:right="0" w:firstLine="0"/>
        <w:jc w:val="left"/>
        <w:rPr>
          <w:sz w:val="18"/>
        </w:rPr>
      </w:pPr>
      <w:r>
        <w:rPr>
          <w:w w:val="100"/>
          <w:sz w:val="21"/>
        </w:rPr>
        <w:t>  </w:t>
      </w:r>
      <w:r>
        <w:rPr>
          <w:b/>
          <w:w w:val="99"/>
          <w:sz w:val="21"/>
        </w:rPr>
        <w:t>  </w:t>
      </w:r>
      <w:r>
        <w:rPr>
          <w:b/>
          <w:sz w:val="21"/>
        </w:rPr>
        <w:t>5.11.5 </w:t>
      </w:r>
      <w:r>
        <w:rPr>
          <w:sz w:val="21"/>
        </w:rPr>
        <w:t>各类火警电话中继线路数量应符合表 5.11.5 的规定。</w:t>
      </w:r>
      <w:r>
        <w:rPr>
          <w:sz w:val="18"/>
        </w:rPr>
        <w:t> </w:t>
      </w:r>
    </w:p>
    <w:p>
      <w:pPr>
        <w:pStyle w:val="Heading6"/>
        <w:spacing w:before="144"/>
        <w:ind w:right="912"/>
        <w:jc w:val="center"/>
      </w:pPr>
      <w:r>
        <w:rPr/>
        <w:t>表 5.11.5 城市火警电话中继线路数量</w:t>
      </w:r>
      <w:r>
        <w:rPr>
          <w:w w:val="99"/>
        </w:rPr>
        <w:t> </w:t>
      </w:r>
    </w:p>
    <w:p>
      <w:pPr>
        <w:spacing w:before="105"/>
        <w:ind w:left="0" w:right="912" w:firstLine="0"/>
        <w:jc w:val="center"/>
        <w:rPr>
          <w:b/>
          <w:sz w:val="21"/>
        </w:rPr>
      </w:pPr>
      <w:r>
        <w:rPr>
          <w:b/>
          <w:w w:val="99"/>
          <w:sz w:val="21"/>
        </w:rPr>
        <w:t> </w:t>
      </w:r>
    </w:p>
    <w:p>
      <w:pPr>
        <w:spacing w:before="108"/>
        <w:ind w:left="0" w:right="912" w:firstLine="0"/>
        <w:jc w:val="center"/>
        <w:rPr>
          <w:b/>
          <w:sz w:val="21"/>
        </w:rPr>
      </w:pPr>
      <w:r>
        <w:rPr>
          <w:b/>
          <w:w w:val="99"/>
          <w:sz w:val="21"/>
        </w:rPr>
        <w:t> </w:t>
      </w:r>
    </w:p>
    <w:p>
      <w:pPr>
        <w:spacing w:before="105"/>
        <w:ind w:left="0" w:right="912" w:firstLine="0"/>
        <w:jc w:val="center"/>
        <w:rPr>
          <w:b/>
          <w:sz w:val="21"/>
        </w:rPr>
      </w:pPr>
      <w:r>
        <w:rPr>
          <w:b/>
          <w:w w:val="99"/>
          <w:sz w:val="21"/>
        </w:rPr>
        <w:t> </w:t>
      </w:r>
    </w:p>
    <w:p>
      <w:pPr>
        <w:spacing w:before="106"/>
        <w:ind w:left="0" w:right="912" w:firstLine="0"/>
        <w:jc w:val="center"/>
        <w:rPr>
          <w:b/>
          <w:sz w:val="21"/>
        </w:rPr>
      </w:pPr>
      <w:r>
        <w:rPr>
          <w:b/>
          <w:w w:val="99"/>
          <w:sz w:val="21"/>
        </w:rPr>
        <w:t> </w:t>
      </w:r>
    </w:p>
    <w:p>
      <w:pPr>
        <w:spacing w:before="105"/>
        <w:ind w:left="0" w:right="912" w:firstLine="0"/>
        <w:jc w:val="center"/>
        <w:rPr>
          <w:b/>
          <w:sz w:val="21"/>
        </w:rPr>
      </w:pPr>
      <w:r>
        <w:rPr>
          <w:b/>
          <w:w w:val="99"/>
          <w:sz w:val="21"/>
        </w:rPr>
        <w:t> </w:t>
      </w:r>
    </w:p>
    <w:p>
      <w:pPr>
        <w:spacing w:before="108"/>
        <w:ind w:left="0" w:right="912" w:firstLine="0"/>
        <w:jc w:val="center"/>
        <w:rPr>
          <w:b/>
          <w:sz w:val="21"/>
        </w:rPr>
      </w:pPr>
      <w:r>
        <w:rPr>
          <w:b/>
          <w:w w:val="99"/>
          <w:sz w:val="21"/>
        </w:rPr>
        <w:t> </w:t>
      </w:r>
    </w:p>
    <w:p>
      <w:pPr>
        <w:spacing w:before="105"/>
        <w:ind w:left="0" w:right="912" w:firstLine="0"/>
        <w:jc w:val="center"/>
        <w:rPr>
          <w:b/>
          <w:sz w:val="21"/>
        </w:rPr>
      </w:pPr>
      <w:r>
        <w:rPr>
          <w:b/>
          <w:w w:val="99"/>
          <w:sz w:val="21"/>
        </w:rPr>
        <w:t> </w:t>
      </w:r>
    </w:p>
    <w:p>
      <w:pPr>
        <w:spacing w:before="105"/>
        <w:ind w:left="0" w:right="912" w:firstLine="0"/>
        <w:jc w:val="center"/>
        <w:rPr>
          <w:b/>
          <w:sz w:val="21"/>
        </w:rPr>
      </w:pPr>
      <w:r>
        <w:rPr>
          <w:b/>
          <w:w w:val="99"/>
          <w:sz w:val="21"/>
        </w:rPr>
        <w:t> </w:t>
      </w:r>
    </w:p>
    <w:p>
      <w:pPr>
        <w:spacing w:before="106"/>
        <w:ind w:left="0" w:right="912" w:firstLine="0"/>
        <w:jc w:val="center"/>
        <w:rPr>
          <w:b/>
          <w:sz w:val="21"/>
        </w:rPr>
      </w:pPr>
      <w:r>
        <w:rPr>
          <w:b/>
          <w:w w:val="99"/>
          <w:sz w:val="21"/>
        </w:rPr>
        <w:t> </w:t>
      </w:r>
    </w:p>
    <w:p>
      <w:pPr>
        <w:spacing w:before="108"/>
        <w:ind w:left="0" w:right="912" w:firstLine="0"/>
        <w:jc w:val="center"/>
        <w:rPr>
          <w:b/>
          <w:sz w:val="21"/>
        </w:rPr>
      </w:pPr>
      <w:r>
        <w:rPr>
          <w:b/>
          <w:w w:val="99"/>
          <w:sz w:val="21"/>
        </w:rPr>
        <w:t> </w:t>
      </w:r>
    </w:p>
    <w:p>
      <w:pPr>
        <w:spacing w:before="105"/>
        <w:ind w:left="0" w:right="912" w:firstLine="0"/>
        <w:jc w:val="center"/>
        <w:rPr>
          <w:b/>
          <w:sz w:val="21"/>
        </w:rPr>
      </w:pPr>
      <w:r>
        <w:rPr>
          <w:b/>
          <w:w w:val="99"/>
          <w:sz w:val="21"/>
        </w:rPr>
        <w:t> </w:t>
      </w:r>
    </w:p>
    <w:p>
      <w:pPr>
        <w:pStyle w:val="BodyText"/>
        <w:ind w:left="951"/>
        <w:rPr>
          <w:sz w:val="20"/>
        </w:rPr>
      </w:pPr>
      <w:r>
        <w:rPr>
          <w:sz w:val="20"/>
        </w:rPr>
        <w:drawing>
          <wp:inline distT="0" distB="0" distL="0" distR="0">
            <wp:extent cx="4785775" cy="2667000"/>
            <wp:effectExtent l="0" t="0" r="0" b="0"/>
            <wp:docPr id="807" name="image472.jpeg"/>
            <wp:cNvGraphicFramePr>
              <a:graphicFrameLocks noChangeAspect="1"/>
            </wp:cNvGraphicFramePr>
            <a:graphic>
              <a:graphicData uri="http://schemas.openxmlformats.org/drawingml/2006/picture">
                <pic:pic>
                  <pic:nvPicPr>
                    <pic:cNvPr id="808" name="image472.jpeg"/>
                    <pic:cNvPicPr/>
                  </pic:nvPicPr>
                  <pic:blipFill>
                    <a:blip r:embed="rId599" cstate="print"/>
                    <a:stretch>
                      <a:fillRect/>
                    </a:stretch>
                  </pic:blipFill>
                  <pic:spPr>
                    <a:xfrm>
                      <a:off x="0" y="0"/>
                      <a:ext cx="4785775" cy="2667000"/>
                    </a:xfrm>
                    <a:prstGeom prst="rect">
                      <a:avLst/>
                    </a:prstGeom>
                  </pic:spPr>
                </pic:pic>
              </a:graphicData>
            </a:graphic>
          </wp:inline>
        </w:drawing>
      </w:r>
      <w:r>
        <w:rPr>
          <w:sz w:val="20"/>
        </w:rPr>
      </w:r>
    </w:p>
    <w:p>
      <w:pPr>
        <w:pStyle w:val="BodyText"/>
        <w:spacing w:before="4"/>
        <w:rPr>
          <w:b/>
          <w:sz w:val="22"/>
        </w:rPr>
      </w:pPr>
    </w:p>
    <w:p>
      <w:pPr>
        <w:pStyle w:val="BodyText"/>
        <w:ind w:left="838"/>
      </w:pPr>
      <w:r>
        <w:rPr/>
        <w:t>注“类别”栏内的城市规模根据国家有关城市规模划分标准和城市的规划情况确定。 </w:t>
      </w:r>
    </w:p>
    <w:p>
      <w:pPr>
        <w:spacing w:after="0"/>
        <w:sectPr>
          <w:pgSz w:w="11910" w:h="16850"/>
          <w:pgMar w:header="0" w:footer="1239" w:top="1220" w:bottom="1420" w:left="1260" w:right="0"/>
        </w:sectPr>
      </w:pPr>
    </w:p>
    <w:p>
      <w:pPr>
        <w:pStyle w:val="BodyText"/>
        <w:spacing w:before="47"/>
        <w:ind w:left="840"/>
      </w:pPr>
      <w:r>
        <w:rPr>
          <w:b/>
        </w:rPr>
        <w:t>5.11.6 </w:t>
      </w:r>
      <w:r>
        <w:rPr/>
        <w:t>火警调度语音专线和数据专线宜采用直达专线的形式，数据专线带宽不应小于 2M。 </w:t>
      </w:r>
    </w:p>
    <w:p>
      <w:pPr>
        <w:pStyle w:val="BodyText"/>
        <w:rPr>
          <w:sz w:val="18"/>
        </w:rPr>
      </w:pPr>
    </w:p>
    <w:p>
      <w:pPr>
        <w:spacing w:before="0"/>
        <w:ind w:left="418" w:right="0" w:firstLine="0"/>
        <w:jc w:val="left"/>
        <w:rPr>
          <w:sz w:val="21"/>
        </w:rPr>
      </w:pPr>
      <w:r>
        <w:rPr>
          <w:w w:val="100"/>
          <w:sz w:val="21"/>
        </w:rPr>
        <w:t>    </w:t>
      </w:r>
      <w:r>
        <w:rPr>
          <w:b/>
          <w:sz w:val="21"/>
        </w:rPr>
        <w:t>5.11.7 </w:t>
      </w:r>
      <w:r>
        <w:rPr>
          <w:sz w:val="21"/>
        </w:rPr>
        <w:t>接警调度程控交换机应符合下列要求： </w:t>
      </w:r>
    </w:p>
    <w:p>
      <w:pPr>
        <w:pStyle w:val="BodyText"/>
        <w:rPr>
          <w:sz w:val="18"/>
        </w:rPr>
      </w:pPr>
    </w:p>
    <w:p>
      <w:pPr>
        <w:pStyle w:val="BodyText"/>
        <w:ind w:left="418"/>
      </w:pPr>
      <w:r>
        <w:rPr>
          <w:w w:val="100"/>
        </w:rPr>
        <w:t> </w:t>
      </w:r>
      <w:r>
        <w:rPr/>
        <w:t> </w:t>
      </w:r>
      <w:r>
        <w:rPr>
          <w:w w:val="100"/>
        </w:rPr>
        <w:t> </w:t>
      </w:r>
      <w:r>
        <w:rPr/>
        <w:t> 提供计算机与电话集成（CTI）接口； </w:t>
      </w:r>
    </w:p>
    <w:p>
      <w:pPr>
        <w:pStyle w:val="BodyText"/>
        <w:spacing w:before="1"/>
        <w:rPr>
          <w:sz w:val="18"/>
        </w:rPr>
      </w:pPr>
    </w:p>
    <w:p>
      <w:pPr>
        <w:pStyle w:val="BodyText"/>
        <w:spacing w:before="1"/>
        <w:ind w:left="418"/>
      </w:pPr>
      <w:r>
        <w:rPr>
          <w:w w:val="100"/>
        </w:rPr>
        <w:t> </w:t>
      </w:r>
      <w:r>
        <w:rPr/>
        <w:t> </w:t>
      </w:r>
      <w:r>
        <w:rPr>
          <w:w w:val="100"/>
        </w:rPr>
        <w:t> </w:t>
      </w:r>
      <w:r>
        <w:rPr/>
        <w:t> 具有基本呼叫接续功能，能对公网、专网电话进行呼叫接续和转接； </w:t>
      </w:r>
    </w:p>
    <w:p>
      <w:pPr>
        <w:pStyle w:val="BodyText"/>
        <w:spacing w:before="12"/>
        <w:rPr>
          <w:sz w:val="17"/>
        </w:rPr>
      </w:pPr>
    </w:p>
    <w:p>
      <w:pPr>
        <w:pStyle w:val="BodyText"/>
        <w:ind w:left="418"/>
      </w:pPr>
      <w:r>
        <w:rPr>
          <w:w w:val="100"/>
        </w:rPr>
        <w:t> </w:t>
      </w:r>
      <w:r>
        <w:rPr/>
        <w:t> </w:t>
      </w:r>
      <w:r>
        <w:rPr>
          <w:w w:val="100"/>
        </w:rPr>
        <w:t> </w:t>
      </w:r>
      <w:r>
        <w:rPr/>
        <w:t> 具有双向通话的组呼功能，组呼用户数不应少于 8 方，能实现任一方的加入和拆除； </w:t>
      </w:r>
    </w:p>
    <w:p>
      <w:pPr>
        <w:pStyle w:val="BodyText"/>
        <w:spacing w:before="12"/>
        <w:rPr>
          <w:sz w:val="17"/>
        </w:rPr>
      </w:pPr>
    </w:p>
    <w:p>
      <w:pPr>
        <w:pStyle w:val="BodyText"/>
        <w:ind w:left="418"/>
      </w:pPr>
      <w:r>
        <w:rPr>
          <w:w w:val="100"/>
        </w:rPr>
        <w:t> </w:t>
      </w:r>
      <w:r>
        <w:rPr/>
        <w:t> </w:t>
      </w:r>
      <w:r>
        <w:rPr>
          <w:w w:val="100"/>
        </w:rPr>
        <w:t> </w:t>
      </w:r>
      <w:r>
        <w:rPr/>
        <w:t> 具有实现广播会议电话功能，会议方不应少于 16 方，能实现任一方的加入和拆除； </w:t>
      </w:r>
    </w:p>
    <w:p>
      <w:pPr>
        <w:pStyle w:val="BodyText"/>
        <w:spacing w:before="2"/>
        <w:rPr>
          <w:sz w:val="18"/>
        </w:rPr>
      </w:pPr>
    </w:p>
    <w:p>
      <w:pPr>
        <w:pStyle w:val="BodyText"/>
        <w:ind w:left="418"/>
      </w:pPr>
      <w:r>
        <w:rPr>
          <w:w w:val="100"/>
        </w:rPr>
        <w:t> </w:t>
      </w:r>
      <w:r>
        <w:rPr/>
        <w:t> </w:t>
      </w:r>
      <w:r>
        <w:rPr>
          <w:w w:val="100"/>
        </w:rPr>
        <w:t> </w:t>
      </w:r>
      <w:r>
        <w:rPr/>
        <w:t> </w:t>
      </w:r>
      <w:r>
        <w:rPr>
          <w:spacing w:val="-3"/>
        </w:rPr>
        <w:t>能对预先设置的多个电话进行轮询呼叫；</w:t>
      </w:r>
      <w:r>
        <w:rPr/>
        <w:t> </w:t>
      </w:r>
    </w:p>
    <w:p>
      <w:pPr>
        <w:pStyle w:val="BodyText"/>
        <w:rPr>
          <w:sz w:val="18"/>
        </w:rPr>
      </w:pPr>
    </w:p>
    <w:p>
      <w:pPr>
        <w:pStyle w:val="BodyText"/>
        <w:ind w:left="418"/>
      </w:pPr>
      <w:r>
        <w:rPr>
          <w:w w:val="100"/>
        </w:rPr>
        <w:t> </w:t>
      </w:r>
      <w:r>
        <w:rPr/>
        <w:t> </w:t>
      </w:r>
      <w:r>
        <w:rPr>
          <w:w w:val="100"/>
        </w:rPr>
        <w:t> </w:t>
      </w:r>
      <w:r>
        <w:rPr/>
        <w:t> </w:t>
      </w:r>
      <w:r>
        <w:rPr>
          <w:spacing w:val="-3"/>
        </w:rPr>
        <w:t>具有监听、强插、强拆和挂机回叫功能；</w:t>
      </w:r>
      <w:r>
        <w:rPr/>
        <w:t> </w:t>
      </w:r>
    </w:p>
    <w:p>
      <w:pPr>
        <w:pStyle w:val="BodyText"/>
        <w:rPr>
          <w:sz w:val="18"/>
        </w:rPr>
      </w:pPr>
    </w:p>
    <w:p>
      <w:pPr>
        <w:pStyle w:val="BodyText"/>
        <w:ind w:left="418"/>
      </w:pPr>
      <w:r>
        <w:rPr>
          <w:w w:val="100"/>
        </w:rPr>
        <w:t> </w:t>
      </w:r>
      <w:r>
        <w:rPr/>
        <w:t> </w:t>
      </w:r>
      <w:r>
        <w:rPr>
          <w:w w:val="100"/>
        </w:rPr>
        <w:t> </w:t>
      </w:r>
      <w:r>
        <w:rPr/>
        <w:t> 能在坐席间相互转接，完成呼叫转接、代接功能，在此过程中呼叫数据同步转移； </w:t>
      </w:r>
    </w:p>
    <w:p>
      <w:pPr>
        <w:pStyle w:val="BodyText"/>
        <w:spacing w:before="2"/>
        <w:rPr>
          <w:sz w:val="18"/>
        </w:rPr>
      </w:pPr>
    </w:p>
    <w:p>
      <w:pPr>
        <w:pStyle w:val="BodyText"/>
        <w:spacing w:line="446" w:lineRule="auto"/>
        <w:ind w:left="418" w:right="1433"/>
      </w:pPr>
      <w:r>
        <w:rPr>
          <w:w w:val="100"/>
        </w:rPr>
        <w:t> </w:t>
      </w:r>
      <w:r>
        <w:rPr/>
        <w:t> </w:t>
      </w:r>
      <w:r>
        <w:rPr>
          <w:w w:val="100"/>
        </w:rPr>
        <w:t> </w:t>
      </w:r>
      <w:r>
        <w:rPr/>
        <w:t> </w:t>
      </w:r>
      <w:r>
        <w:rPr>
          <w:spacing w:val="-7"/>
        </w:rPr>
        <w:t>具有话务统计功能，能统计呼入次数、接通次数、排队次数、早释次数和平均通话时长等数</w:t>
      </w:r>
      <w:r>
        <w:rPr>
          <w:spacing w:val="-5"/>
        </w:rPr>
        <w:t>据；</w:t>
      </w:r>
      <w:r>
        <w:rPr/>
        <w:t> </w:t>
      </w:r>
    </w:p>
    <w:p>
      <w:pPr>
        <w:pStyle w:val="BodyText"/>
        <w:spacing w:line="267" w:lineRule="exact"/>
        <w:ind w:left="418"/>
      </w:pPr>
      <w:r>
        <w:rPr>
          <w:w w:val="100"/>
        </w:rPr>
        <w:t> </w:t>
      </w:r>
      <w:r>
        <w:rPr/>
        <w:t> </w:t>
      </w:r>
      <w:r>
        <w:rPr>
          <w:w w:val="100"/>
        </w:rPr>
        <w:t> </w:t>
      </w:r>
      <w:r>
        <w:rPr/>
        <w:t> 电话报警接续中具有第四位拦截功能； </w:t>
      </w:r>
    </w:p>
    <w:p>
      <w:pPr>
        <w:pStyle w:val="BodyText"/>
        <w:spacing w:before="1"/>
        <w:rPr>
          <w:sz w:val="18"/>
        </w:rPr>
      </w:pPr>
    </w:p>
    <w:p>
      <w:pPr>
        <w:pStyle w:val="BodyText"/>
        <w:spacing w:before="1"/>
        <w:ind w:left="418"/>
      </w:pPr>
      <w:r>
        <w:rPr>
          <w:w w:val="100"/>
        </w:rPr>
        <w:t> </w:t>
      </w:r>
      <w:r>
        <w:rPr/>
        <w:t> </w:t>
      </w:r>
      <w:r>
        <w:rPr>
          <w:w w:val="100"/>
        </w:rPr>
        <w:t> </w:t>
      </w:r>
      <w:r>
        <w:rPr/>
        <w:t> 接收通信网局间信令中送来的报警电话号码。 </w:t>
      </w:r>
    </w:p>
    <w:p>
      <w:pPr>
        <w:pStyle w:val="BodyText"/>
        <w:spacing w:before="12"/>
        <w:rPr>
          <w:sz w:val="17"/>
        </w:rPr>
      </w:pPr>
    </w:p>
    <w:p>
      <w:pPr>
        <w:spacing w:before="0"/>
        <w:ind w:left="418" w:right="0" w:firstLine="0"/>
        <w:jc w:val="left"/>
        <w:rPr>
          <w:sz w:val="21"/>
        </w:rPr>
      </w:pPr>
      <w:r>
        <w:rPr>
          <w:w w:val="100"/>
          <w:sz w:val="21"/>
        </w:rPr>
        <w:t>  </w:t>
      </w:r>
      <w:r>
        <w:rPr>
          <w:b/>
          <w:w w:val="99"/>
          <w:sz w:val="21"/>
        </w:rPr>
        <w:t>  </w:t>
      </w:r>
      <w:r>
        <w:rPr>
          <w:b/>
          <w:sz w:val="21"/>
        </w:rPr>
        <w:t>5.11.8 </w:t>
      </w:r>
      <w:r>
        <w:rPr>
          <w:sz w:val="21"/>
        </w:rPr>
        <w:t>火警电话呼入排队方式应符合下列要求： </w:t>
      </w:r>
    </w:p>
    <w:p>
      <w:pPr>
        <w:pStyle w:val="BodyText"/>
        <w:rPr>
          <w:sz w:val="18"/>
        </w:rPr>
      </w:pPr>
    </w:p>
    <w:p>
      <w:pPr>
        <w:pStyle w:val="BodyText"/>
        <w:ind w:left="418"/>
      </w:pPr>
      <w:r>
        <w:rPr>
          <w:w w:val="100"/>
        </w:rPr>
        <w:t> </w:t>
      </w:r>
      <w:r>
        <w:rPr/>
        <w:t> </w:t>
      </w:r>
      <w:r>
        <w:rPr>
          <w:w w:val="100"/>
        </w:rPr>
        <w:t> </w:t>
      </w:r>
      <w:r>
        <w:rPr/>
        <w:t> 坐席全忙时应能将火警电话呼入进行排队，并应向排队用户发送语音提示或回铃音； </w:t>
      </w:r>
    </w:p>
    <w:p>
      <w:pPr>
        <w:pStyle w:val="BodyText"/>
        <w:spacing w:before="2"/>
        <w:rPr>
          <w:sz w:val="18"/>
        </w:rPr>
      </w:pPr>
    </w:p>
    <w:p>
      <w:pPr>
        <w:pStyle w:val="BodyText"/>
        <w:ind w:left="418"/>
      </w:pPr>
      <w:r>
        <w:rPr>
          <w:w w:val="100"/>
        </w:rPr>
        <w:t> </w:t>
      </w:r>
      <w:r>
        <w:rPr/>
        <w:t> </w:t>
      </w:r>
      <w:r>
        <w:rPr>
          <w:w w:val="100"/>
        </w:rPr>
        <w:t> </w:t>
      </w:r>
      <w:r>
        <w:rPr/>
        <w:t> 重点单位报警可优先分配； </w:t>
      </w:r>
    </w:p>
    <w:p>
      <w:pPr>
        <w:pStyle w:val="BodyText"/>
        <w:spacing w:before="12"/>
        <w:rPr>
          <w:sz w:val="17"/>
        </w:rPr>
      </w:pPr>
    </w:p>
    <w:p>
      <w:pPr>
        <w:pStyle w:val="BodyText"/>
        <w:ind w:left="418"/>
      </w:pPr>
      <w:r>
        <w:rPr>
          <w:w w:val="100"/>
        </w:rPr>
        <w:t> </w:t>
      </w:r>
      <w:r>
        <w:rPr/>
        <w:t> </w:t>
      </w:r>
      <w:r>
        <w:rPr>
          <w:w w:val="100"/>
        </w:rPr>
        <w:t> </w:t>
      </w:r>
      <w:r>
        <w:rPr/>
        <w:t> 不同局向的报警呼入可优先分配； </w:t>
      </w:r>
    </w:p>
    <w:p>
      <w:pPr>
        <w:pStyle w:val="BodyText"/>
        <w:spacing w:before="12"/>
        <w:rPr>
          <w:sz w:val="17"/>
        </w:rPr>
      </w:pPr>
    </w:p>
    <w:p>
      <w:pPr>
        <w:pStyle w:val="BodyText"/>
        <w:ind w:left="418"/>
      </w:pPr>
      <w:r>
        <w:rPr>
          <w:w w:val="100"/>
        </w:rPr>
        <w:t> </w:t>
      </w:r>
      <w:r>
        <w:rPr/>
        <w:t> </w:t>
      </w:r>
      <w:r>
        <w:rPr>
          <w:w w:val="100"/>
        </w:rPr>
        <w:t> </w:t>
      </w:r>
      <w:r>
        <w:rPr/>
        <w:t> 坐席离席时可不分配火警电话呼入。 </w:t>
      </w:r>
    </w:p>
    <w:p>
      <w:pPr>
        <w:pStyle w:val="BodyText"/>
        <w:spacing w:before="2"/>
        <w:rPr>
          <w:sz w:val="18"/>
        </w:rPr>
      </w:pPr>
    </w:p>
    <w:p>
      <w:pPr>
        <w:spacing w:before="0"/>
        <w:ind w:left="418" w:right="0" w:firstLine="0"/>
        <w:jc w:val="left"/>
        <w:rPr>
          <w:sz w:val="21"/>
        </w:rPr>
      </w:pPr>
      <w:r>
        <w:rPr>
          <w:w w:val="100"/>
          <w:sz w:val="21"/>
        </w:rPr>
        <w:t>   </w:t>
      </w:r>
      <w:r>
        <w:rPr>
          <w:b/>
          <w:w w:val="99"/>
          <w:sz w:val="21"/>
        </w:rPr>
        <w:t> </w:t>
      </w:r>
      <w:r>
        <w:rPr>
          <w:b/>
          <w:sz w:val="21"/>
        </w:rPr>
        <w:t>5.11.9 </w:t>
      </w:r>
      <w:r>
        <w:rPr>
          <w:sz w:val="21"/>
        </w:rPr>
        <w:t>火警电话呼入时坐席分配可采用下列方式： </w:t>
      </w:r>
    </w:p>
    <w:p>
      <w:pPr>
        <w:pStyle w:val="BodyText"/>
        <w:rPr>
          <w:sz w:val="18"/>
        </w:rPr>
      </w:pPr>
    </w:p>
    <w:p>
      <w:pPr>
        <w:pStyle w:val="BodyText"/>
        <w:ind w:left="418"/>
      </w:pPr>
      <w:r>
        <w:rPr>
          <w:w w:val="100"/>
        </w:rPr>
        <w:t> </w:t>
      </w:r>
      <w:r>
        <w:rPr/>
        <w:t> </w:t>
      </w:r>
      <w:r>
        <w:rPr>
          <w:w w:val="100"/>
        </w:rPr>
        <w:t> </w:t>
      </w:r>
      <w:r>
        <w:rPr/>
        <w:t> 按顺序依次循环向各坐席分配； </w:t>
      </w:r>
    </w:p>
    <w:p>
      <w:pPr>
        <w:pStyle w:val="BodyText"/>
        <w:rPr>
          <w:sz w:val="18"/>
        </w:rPr>
      </w:pPr>
    </w:p>
    <w:p>
      <w:pPr>
        <w:pStyle w:val="BodyText"/>
        <w:ind w:left="418"/>
      </w:pPr>
      <w:r>
        <w:rPr>
          <w:w w:val="100"/>
        </w:rPr>
        <w:t> </w:t>
      </w:r>
      <w:r>
        <w:rPr/>
        <w:t> </w:t>
      </w:r>
      <w:r>
        <w:rPr>
          <w:w w:val="100"/>
        </w:rPr>
        <w:t> </w:t>
      </w:r>
      <w:r>
        <w:rPr/>
        <w:t> 按设定的固定顺序依次分配； </w:t>
      </w:r>
    </w:p>
    <w:p>
      <w:pPr>
        <w:pStyle w:val="BodyText"/>
        <w:spacing w:before="2"/>
        <w:rPr>
          <w:sz w:val="18"/>
        </w:rPr>
      </w:pPr>
    </w:p>
    <w:p>
      <w:pPr>
        <w:pStyle w:val="BodyText"/>
        <w:ind w:left="418"/>
      </w:pPr>
      <w:r>
        <w:rPr>
          <w:w w:val="100"/>
        </w:rPr>
        <w:t> </w:t>
      </w:r>
      <w:r>
        <w:rPr/>
        <w:t> </w:t>
      </w:r>
      <w:r>
        <w:rPr>
          <w:w w:val="100"/>
        </w:rPr>
        <w:t> </w:t>
      </w:r>
      <w:r>
        <w:rPr/>
        <w:t> 对空闲时间最长的坐席优先分配； </w:t>
      </w:r>
    </w:p>
    <w:p>
      <w:pPr>
        <w:pStyle w:val="BodyText"/>
        <w:spacing w:before="12"/>
        <w:rPr>
          <w:sz w:val="17"/>
        </w:rPr>
      </w:pPr>
    </w:p>
    <w:p>
      <w:pPr>
        <w:pStyle w:val="BodyText"/>
        <w:ind w:left="418"/>
      </w:pPr>
      <w:r>
        <w:rPr>
          <w:w w:val="100"/>
        </w:rPr>
        <w:t> </w:t>
      </w:r>
      <w:r>
        <w:rPr/>
        <w:t> </w:t>
      </w:r>
      <w:r>
        <w:rPr>
          <w:w w:val="100"/>
        </w:rPr>
        <w:t> </w:t>
      </w:r>
      <w:r>
        <w:rPr/>
        <w:t> 向一组坐席同时分配报警呼叫，先应答者接听； </w:t>
      </w:r>
    </w:p>
    <w:p>
      <w:pPr>
        <w:pStyle w:val="BodyText"/>
        <w:rPr>
          <w:sz w:val="18"/>
        </w:rPr>
      </w:pPr>
    </w:p>
    <w:p>
      <w:pPr>
        <w:pStyle w:val="BodyText"/>
        <w:spacing w:line="446" w:lineRule="auto"/>
        <w:ind w:left="840" w:right="6129" w:hanging="423"/>
        <w:rPr>
          <w:b/>
        </w:rPr>
      </w:pPr>
      <w:r>
        <w:rPr>
          <w:w w:val="100"/>
        </w:rPr>
        <w:t> </w:t>
      </w:r>
      <w:r>
        <w:rPr/>
        <w:t> </w:t>
      </w:r>
      <w:r>
        <w:rPr>
          <w:w w:val="100"/>
        </w:rPr>
        <w:t> </w:t>
      </w:r>
      <w:r>
        <w:rPr/>
        <w:t> 根据坐席业务类型和技能等级分配。</w:t>
      </w:r>
      <w:r>
        <w:rPr>
          <w:b/>
        </w:rPr>
        <w:t>5.12 </w:t>
      </w:r>
      <w:r>
        <w:rPr/>
        <w:t>消防无线通信子系统</w:t>
      </w:r>
      <w:r>
        <w:rPr>
          <w:b/>
          <w:w w:val="99"/>
        </w:rPr>
        <w:t> </w:t>
      </w:r>
    </w:p>
    <w:p>
      <w:pPr>
        <w:spacing w:before="0"/>
        <w:ind w:left="840" w:right="0" w:firstLine="0"/>
        <w:jc w:val="left"/>
        <w:rPr>
          <w:sz w:val="21"/>
        </w:rPr>
      </w:pPr>
      <w:r>
        <w:rPr>
          <w:b/>
          <w:sz w:val="21"/>
        </w:rPr>
        <w:t>5.12.1 </w:t>
      </w:r>
      <w:r>
        <w:rPr>
          <w:sz w:val="21"/>
        </w:rPr>
        <w:t>消防无线通信网络应符合下列要求： </w:t>
      </w:r>
    </w:p>
    <w:p>
      <w:pPr>
        <w:pStyle w:val="BodyText"/>
        <w:spacing w:before="12"/>
        <w:rPr>
          <w:sz w:val="17"/>
        </w:rPr>
      </w:pPr>
    </w:p>
    <w:p>
      <w:pPr>
        <w:pStyle w:val="BodyText"/>
        <w:spacing w:line="446" w:lineRule="auto"/>
        <w:ind w:left="418" w:right="1431"/>
      </w:pPr>
      <w:r>
        <w:rPr>
          <w:w w:val="100"/>
        </w:rPr>
        <w:t> </w:t>
      </w:r>
      <w:r>
        <w:rPr/>
        <w:t> </w:t>
      </w:r>
      <w:r>
        <w:rPr>
          <w:w w:val="100"/>
        </w:rPr>
        <w:t> </w:t>
      </w:r>
      <w:r>
        <w:rPr/>
        <w:t> </w:t>
      </w:r>
      <w:r>
        <w:rPr>
          <w:spacing w:val="-5"/>
        </w:rPr>
        <w:t>应能设置独立的消防专用无线通信网，或加入公安集群无线通信系统，并在系统中设置消防</w:t>
      </w:r>
      <w:r>
        <w:rPr>
          <w:spacing w:val="-4"/>
          <w:w w:val="100"/>
        </w:rPr>
        <w:t>分调度台和一定数量的独立编队</w:t>
      </w:r>
      <w:r>
        <w:rPr>
          <w:w w:val="100"/>
        </w:rPr>
        <w:t>（</w:t>
      </w:r>
      <w:r>
        <w:rPr>
          <w:spacing w:val="-3"/>
          <w:w w:val="100"/>
        </w:rPr>
        <w:t>通话组</w:t>
      </w:r>
      <w:r>
        <w:rPr>
          <w:spacing w:val="-106"/>
          <w:w w:val="100"/>
        </w:rPr>
        <w:t>）</w:t>
      </w:r>
      <w:r>
        <w:rPr>
          <w:spacing w:val="-3"/>
          <w:w w:val="100"/>
        </w:rPr>
        <w:t>，建立灭火救援调度指挥网；</w:t>
      </w:r>
      <w:r>
        <w:rPr>
          <w:w w:val="100"/>
        </w:rPr>
        <w:t> </w:t>
      </w:r>
    </w:p>
    <w:p>
      <w:pPr>
        <w:spacing w:after="0" w:line="446" w:lineRule="auto"/>
        <w:sectPr>
          <w:pgSz w:w="11910" w:h="16850"/>
          <w:pgMar w:header="0" w:footer="1239" w:top="1220" w:bottom="1420" w:left="1260" w:right="0"/>
        </w:sectPr>
      </w:pPr>
    </w:p>
    <w:p>
      <w:pPr>
        <w:pStyle w:val="BodyText"/>
        <w:spacing w:line="446" w:lineRule="auto" w:before="47"/>
        <w:ind w:left="418" w:right="1399"/>
      </w:pPr>
      <w:r>
        <w:rPr>
          <w:w w:val="100"/>
        </w:rPr>
        <w:t> </w:t>
      </w:r>
      <w:r>
        <w:rPr/>
        <w:t> </w:t>
      </w:r>
      <w:r>
        <w:rPr>
          <w:w w:val="100"/>
        </w:rPr>
        <w:t> </w:t>
      </w:r>
      <w:r>
        <w:rPr/>
        <w:t> 省（自治区）消防无线通信子系统应有跨区域联合作战指挥通信的能力，地区（州、盟）消防无线通信子系统应有全地区（州、盟）灭火救援指挥通信的能力； </w:t>
      </w:r>
    </w:p>
    <w:p>
      <w:pPr>
        <w:pStyle w:val="BodyText"/>
        <w:spacing w:line="446" w:lineRule="auto"/>
        <w:ind w:left="418" w:right="1407"/>
      </w:pPr>
      <w:r>
        <w:rPr>
          <w:w w:val="100"/>
        </w:rPr>
        <w:t> </w:t>
      </w:r>
      <w:r>
        <w:rPr/>
        <w:t> </w:t>
      </w:r>
      <w:r>
        <w:rPr>
          <w:w w:val="100"/>
        </w:rPr>
        <w:t> </w:t>
      </w:r>
      <w:r>
        <w:rPr/>
        <w:t> 城市消防无线通信子系统应能保障城市消防辖区覆盖通信、现场指挥通信、灭火救援战斗通信； </w:t>
      </w:r>
    </w:p>
    <w:p>
      <w:pPr>
        <w:pStyle w:val="BodyText"/>
        <w:spacing w:line="446" w:lineRule="auto"/>
        <w:ind w:left="418" w:right="1407"/>
      </w:pPr>
      <w:r>
        <w:rPr>
          <w:w w:val="100"/>
        </w:rPr>
        <w:t> </w:t>
      </w:r>
      <w:r>
        <w:rPr/>
        <w:t> </w:t>
      </w:r>
      <w:r>
        <w:rPr>
          <w:w w:val="100"/>
        </w:rPr>
        <w:t> </w:t>
      </w:r>
      <w:r>
        <w:rPr/>
        <w:t> 应能在发生自然灾害或突发技术故障造成大范围通信中断时，通过卫星电话、短波电台等设备，提供应急通信保障； </w:t>
      </w:r>
    </w:p>
    <w:p>
      <w:pPr>
        <w:pStyle w:val="BodyText"/>
        <w:spacing w:line="446" w:lineRule="auto"/>
        <w:ind w:left="418" w:right="1386"/>
      </w:pPr>
      <w:r>
        <w:rPr>
          <w:w w:val="100"/>
        </w:rPr>
        <w:t> </w:t>
      </w:r>
      <w:r>
        <w:rPr/>
        <w:t> </w:t>
      </w:r>
      <w:r>
        <w:rPr>
          <w:w w:val="100"/>
        </w:rPr>
        <w:t> </w:t>
      </w:r>
      <w:r>
        <w:rPr/>
        <w:t> 与地方专职消防队等其他灭火救援力量在灾害事故现场的协同通信时，应临时配发参战指挥员无线电台，加入现场指挥网内通信，参战队数量很大时，应另行组建现场协同通信网； </w:t>
      </w:r>
    </w:p>
    <w:p>
      <w:pPr>
        <w:pStyle w:val="BodyText"/>
        <w:spacing w:line="446" w:lineRule="auto"/>
        <w:ind w:left="418" w:right="1433"/>
      </w:pPr>
      <w:r>
        <w:rPr>
          <w:w w:val="100"/>
        </w:rPr>
        <w:t> </w:t>
      </w:r>
      <w:r>
        <w:rPr/>
        <w:t> </w:t>
      </w:r>
      <w:r>
        <w:rPr>
          <w:w w:val="100"/>
        </w:rPr>
        <w:t> </w:t>
      </w:r>
      <w:r>
        <w:rPr/>
        <w:t> </w:t>
      </w:r>
      <w:r>
        <w:rPr>
          <w:spacing w:val="-6"/>
        </w:rPr>
        <w:t>参与灭火救援联合作战时，应能保持独立的消防通信体系，消防指挥员</w:t>
      </w:r>
      <w:r>
        <w:rPr/>
        <w:t>（</w:t>
      </w:r>
      <w:r>
        <w:rPr>
          <w:spacing w:val="-3"/>
        </w:rPr>
        <w:t>联络员</w:t>
      </w:r>
      <w:r>
        <w:rPr>
          <w:spacing w:val="-8"/>
        </w:rPr>
        <w:t>）</w:t>
      </w:r>
      <w:r>
        <w:rPr>
          <w:spacing w:val="-3"/>
        </w:rPr>
        <w:t>加入负责现场全面指挥单位的通信网；</w:t>
      </w:r>
      <w:r>
        <w:rPr/>
        <w:t> </w:t>
      </w:r>
    </w:p>
    <w:p>
      <w:pPr>
        <w:pStyle w:val="BodyText"/>
        <w:ind w:left="418"/>
      </w:pPr>
      <w:r>
        <w:rPr>
          <w:w w:val="100"/>
        </w:rPr>
        <w:t> </w:t>
      </w:r>
      <w:r>
        <w:rPr/>
        <w:t> </w:t>
      </w:r>
      <w:r>
        <w:rPr>
          <w:w w:val="100"/>
        </w:rPr>
        <w:t> </w:t>
      </w:r>
      <w:r>
        <w:rPr/>
        <w:t> 在无线电通信盲区，可通过移动通信基站，采用通信中继等方式，保证无线通信不间断； </w:t>
      </w:r>
    </w:p>
    <w:p>
      <w:pPr>
        <w:pStyle w:val="BodyText"/>
        <w:spacing w:before="8"/>
        <w:rPr>
          <w:sz w:val="17"/>
        </w:rPr>
      </w:pPr>
    </w:p>
    <w:p>
      <w:pPr>
        <w:pStyle w:val="BodyText"/>
        <w:ind w:left="418"/>
      </w:pPr>
      <w:r>
        <w:rPr>
          <w:w w:val="100"/>
        </w:rPr>
        <w:t> </w:t>
      </w:r>
      <w:r>
        <w:rPr/>
        <w:t> </w:t>
      </w:r>
      <w:r>
        <w:rPr>
          <w:w w:val="100"/>
        </w:rPr>
        <w:t> </w:t>
      </w:r>
      <w:r>
        <w:rPr/>
        <w:t> 在地铁、隧道、地下室等地下空间内，可采用地下无线中继等方式，实现无线通信。 </w:t>
      </w:r>
    </w:p>
    <w:p>
      <w:pPr>
        <w:pStyle w:val="BodyText"/>
        <w:spacing w:before="2"/>
        <w:rPr>
          <w:sz w:val="18"/>
        </w:rPr>
      </w:pPr>
    </w:p>
    <w:p>
      <w:pPr>
        <w:spacing w:before="0"/>
        <w:ind w:left="418" w:right="0" w:firstLine="0"/>
        <w:jc w:val="left"/>
        <w:rPr>
          <w:sz w:val="21"/>
        </w:rPr>
      </w:pPr>
      <w:r>
        <w:rPr>
          <w:w w:val="100"/>
          <w:sz w:val="21"/>
        </w:rPr>
        <w:t>   </w:t>
      </w:r>
      <w:r>
        <w:rPr>
          <w:b/>
          <w:w w:val="99"/>
          <w:sz w:val="21"/>
        </w:rPr>
        <w:t> </w:t>
      </w:r>
      <w:r>
        <w:rPr>
          <w:b/>
          <w:sz w:val="21"/>
        </w:rPr>
        <w:t>5.12.2 </w:t>
      </w:r>
      <w:r>
        <w:rPr>
          <w:sz w:val="21"/>
        </w:rPr>
        <w:t>城市消防无线通信网应由以下三级网组成： </w:t>
      </w:r>
    </w:p>
    <w:p>
      <w:pPr>
        <w:pStyle w:val="BodyText"/>
        <w:rPr>
          <w:sz w:val="18"/>
        </w:rPr>
      </w:pPr>
    </w:p>
    <w:p>
      <w:pPr>
        <w:pStyle w:val="BodyText"/>
        <w:spacing w:line="446" w:lineRule="auto"/>
        <w:ind w:left="418" w:right="1433"/>
        <w:jc w:val="both"/>
      </w:pPr>
      <w:r>
        <w:rPr>
          <w:w w:val="100"/>
        </w:rPr>
        <w:t> </w:t>
      </w:r>
      <w:r>
        <w:rPr/>
        <w:t> </w:t>
      </w:r>
      <w:r>
        <w:rPr>
          <w:w w:val="100"/>
        </w:rPr>
        <w:t> </w:t>
      </w:r>
      <w:r>
        <w:rPr/>
        <w:t> </w:t>
      </w:r>
      <w:r>
        <w:rPr>
          <w:w w:val="100"/>
        </w:rPr>
        <w:t>消防一级网</w:t>
      </w:r>
      <w:r>
        <w:rPr>
          <w:spacing w:val="2"/>
          <w:w w:val="100"/>
        </w:rPr>
        <w:t>（</w:t>
      </w:r>
      <w:r>
        <w:rPr>
          <w:w w:val="100"/>
        </w:rPr>
        <w:t>城市消防辖区覆盖网</w:t>
      </w:r>
      <w:r>
        <w:rPr>
          <w:spacing w:val="-106"/>
          <w:w w:val="100"/>
        </w:rPr>
        <w:t>）</w:t>
      </w:r>
      <w:r>
        <w:rPr>
          <w:w w:val="100"/>
        </w:rPr>
        <w:t>，适用于保障城市消防通信指挥中心与移动消防指挥中</w:t>
      </w:r>
      <w:r>
        <w:rPr>
          <w:spacing w:val="-6"/>
        </w:rPr>
        <w:t>心和辖区消防站固定电台、车载电台之间的通信联络，在使用车载电台的条件下，可靠通信覆盖</w:t>
      </w:r>
      <w:r>
        <w:rPr>
          <w:spacing w:val="-8"/>
        </w:rPr>
        <w:t>区不应小于城市辖区地理面积的 </w:t>
      </w:r>
      <w:r>
        <w:rPr/>
        <w:t>80%； </w:t>
      </w:r>
    </w:p>
    <w:p>
      <w:pPr>
        <w:pStyle w:val="BodyText"/>
        <w:spacing w:line="446" w:lineRule="auto"/>
        <w:ind w:left="418" w:right="1438"/>
        <w:jc w:val="both"/>
      </w:pPr>
      <w:r>
        <w:rPr>
          <w:w w:val="100"/>
        </w:rPr>
        <w:t> </w:t>
      </w:r>
      <w:r>
        <w:rPr/>
        <w:t> </w:t>
      </w:r>
      <w:r>
        <w:rPr>
          <w:w w:val="100"/>
        </w:rPr>
        <w:t> </w:t>
      </w:r>
      <w:r>
        <w:rPr/>
        <w:t> </w:t>
      </w:r>
      <w:r>
        <w:rPr>
          <w:w w:val="100"/>
        </w:rPr>
        <w:t>消防二级网</w:t>
      </w:r>
      <w:r>
        <w:rPr>
          <w:spacing w:val="2"/>
          <w:w w:val="100"/>
        </w:rPr>
        <w:t>（</w:t>
      </w:r>
      <w:r>
        <w:rPr>
          <w:w w:val="100"/>
        </w:rPr>
        <w:t>现场指挥网</w:t>
      </w:r>
      <w:r>
        <w:rPr>
          <w:spacing w:val="-106"/>
          <w:w w:val="100"/>
        </w:rPr>
        <w:t>）</w:t>
      </w:r>
      <w:r>
        <w:rPr>
          <w:spacing w:val="-1"/>
          <w:w w:val="100"/>
        </w:rPr>
        <w:t>，适用于保障火场及其他灾害事故现场范围内各级消防指挥人员</w:t>
      </w:r>
      <w:r>
        <w:rPr>
          <w:spacing w:val="-3"/>
        </w:rPr>
        <w:t>之间的通信联络；</w:t>
      </w:r>
      <w:r>
        <w:rPr/>
        <w:t> </w:t>
      </w:r>
    </w:p>
    <w:p>
      <w:pPr>
        <w:pStyle w:val="BodyText"/>
        <w:spacing w:line="446" w:lineRule="auto"/>
        <w:ind w:left="418" w:right="1438"/>
        <w:jc w:val="both"/>
      </w:pPr>
      <w:r>
        <w:rPr>
          <w:w w:val="100"/>
        </w:rPr>
        <w:t> </w:t>
      </w:r>
      <w:r>
        <w:rPr/>
        <w:t> </w:t>
      </w:r>
      <w:r>
        <w:rPr>
          <w:w w:val="100"/>
        </w:rPr>
        <w:t> </w:t>
      </w:r>
      <w:r>
        <w:rPr/>
        <w:t> </w:t>
      </w:r>
      <w:r>
        <w:rPr>
          <w:w w:val="100"/>
        </w:rPr>
        <w:t>消防三级网</w:t>
      </w:r>
      <w:r>
        <w:rPr>
          <w:spacing w:val="2"/>
          <w:w w:val="100"/>
        </w:rPr>
        <w:t>（</w:t>
      </w:r>
      <w:r>
        <w:rPr>
          <w:w w:val="100"/>
        </w:rPr>
        <w:t>灭火救援战斗网</w:t>
      </w:r>
      <w:r>
        <w:rPr>
          <w:spacing w:val="-106"/>
          <w:w w:val="100"/>
        </w:rPr>
        <w:t>）</w:t>
      </w:r>
      <w:r>
        <w:rPr>
          <w:spacing w:val="-1"/>
          <w:w w:val="100"/>
        </w:rPr>
        <w:t>，适用于火场及其他灾害事故现场范围内各参战消防队内部</w:t>
      </w:r>
      <w:r>
        <w:rPr>
          <w:spacing w:val="-3"/>
        </w:rPr>
        <w:t>的指挥员、战斗班班长、驾驶员、特勤抢险班战斗员之间的通信联络。</w:t>
      </w:r>
      <w:r>
        <w:rPr/>
        <w:t> </w:t>
      </w:r>
    </w:p>
    <w:p>
      <w:pPr>
        <w:spacing w:line="267" w:lineRule="exact" w:before="0"/>
        <w:ind w:left="418" w:right="0" w:firstLine="0"/>
        <w:jc w:val="left"/>
        <w:rPr>
          <w:sz w:val="21"/>
        </w:rPr>
      </w:pPr>
      <w:r>
        <w:rPr>
          <w:w w:val="100"/>
          <w:sz w:val="21"/>
        </w:rPr>
        <w:t>   </w:t>
      </w:r>
      <w:r>
        <w:rPr>
          <w:b/>
          <w:w w:val="99"/>
          <w:sz w:val="21"/>
        </w:rPr>
        <w:t> </w:t>
      </w:r>
      <w:r>
        <w:rPr>
          <w:b/>
          <w:sz w:val="21"/>
        </w:rPr>
        <w:t>5.12.3 </w:t>
      </w:r>
      <w:r>
        <w:rPr>
          <w:sz w:val="21"/>
        </w:rPr>
        <w:t>消防无线通信子系统的数据通信功能应符合下列要求： </w:t>
      </w:r>
    </w:p>
    <w:p>
      <w:pPr>
        <w:pStyle w:val="BodyText"/>
        <w:rPr>
          <w:sz w:val="18"/>
        </w:rPr>
      </w:pPr>
    </w:p>
    <w:p>
      <w:pPr>
        <w:pStyle w:val="BodyText"/>
        <w:spacing w:before="1"/>
        <w:ind w:left="418"/>
      </w:pPr>
      <w:r>
        <w:rPr>
          <w:w w:val="100"/>
        </w:rPr>
        <w:t> </w:t>
      </w:r>
      <w:r>
        <w:rPr/>
        <w:t> </w:t>
      </w:r>
      <w:r>
        <w:rPr>
          <w:w w:val="100"/>
        </w:rPr>
        <w:t> </w:t>
      </w:r>
      <w:r>
        <w:rPr/>
        <w:t> 应能建立火场及其他灾害事故现场与消防通信指挥中心的移动数据通信链路； </w:t>
      </w:r>
    </w:p>
    <w:p>
      <w:pPr>
        <w:pStyle w:val="BodyText"/>
        <w:spacing w:before="12"/>
        <w:rPr>
          <w:sz w:val="17"/>
        </w:rPr>
      </w:pPr>
    </w:p>
    <w:p>
      <w:pPr>
        <w:pStyle w:val="BodyText"/>
        <w:spacing w:line="446" w:lineRule="auto"/>
        <w:ind w:left="418" w:right="1407"/>
      </w:pPr>
      <w:r>
        <w:rPr>
          <w:w w:val="100"/>
        </w:rPr>
        <w:t> </w:t>
      </w:r>
      <w:r>
        <w:rPr/>
        <w:t> </w:t>
      </w:r>
      <w:r>
        <w:rPr>
          <w:w w:val="100"/>
        </w:rPr>
        <w:t> </w:t>
      </w:r>
      <w:r>
        <w:rPr/>
        <w:t> 在火场及其他灾害事故现场应能实现情报信息、火灾及其他灾害事故处置方案、现场灭火救援行动方案、指挥决策数据等信息的查询、传输； </w:t>
      </w:r>
    </w:p>
    <w:p>
      <w:pPr>
        <w:pStyle w:val="BodyText"/>
        <w:ind w:left="418"/>
      </w:pPr>
      <w:r>
        <w:rPr>
          <w:w w:val="100"/>
        </w:rPr>
        <w:t> </w:t>
      </w:r>
      <w:r>
        <w:rPr/>
        <w:t> </w:t>
      </w:r>
      <w:r>
        <w:rPr>
          <w:w w:val="100"/>
        </w:rPr>
        <w:t> </w:t>
      </w:r>
      <w:r>
        <w:rPr/>
        <w:t> 通过公网进行数据通信时应具有移动接入安全措施； </w:t>
      </w:r>
    </w:p>
    <w:p>
      <w:pPr>
        <w:pStyle w:val="BodyText"/>
        <w:spacing w:before="12"/>
        <w:rPr>
          <w:sz w:val="17"/>
        </w:rPr>
      </w:pPr>
    </w:p>
    <w:p>
      <w:pPr>
        <w:pStyle w:val="BodyText"/>
        <w:ind w:left="418"/>
      </w:pPr>
      <w:r>
        <w:rPr>
          <w:w w:val="100"/>
        </w:rPr>
        <w:t> </w:t>
      </w:r>
      <w:r>
        <w:rPr/>
        <w:t> </w:t>
      </w:r>
      <w:r>
        <w:rPr>
          <w:w w:val="100"/>
        </w:rPr>
        <w:t> </w:t>
      </w:r>
      <w:r>
        <w:rPr/>
        <w:t> 数据通信的传输速率、误码率等应能满足灭火救援作战指挥的需求。 </w:t>
      </w:r>
    </w:p>
    <w:p>
      <w:pPr>
        <w:pStyle w:val="BodyText"/>
        <w:rPr>
          <w:sz w:val="18"/>
        </w:rPr>
      </w:pPr>
    </w:p>
    <w:p>
      <w:pPr>
        <w:spacing w:before="0"/>
        <w:ind w:left="418" w:right="0" w:firstLine="0"/>
        <w:jc w:val="left"/>
        <w:rPr>
          <w:sz w:val="21"/>
        </w:rPr>
      </w:pPr>
      <w:r>
        <w:rPr>
          <w:w w:val="100"/>
          <w:sz w:val="21"/>
        </w:rPr>
        <w:t>   </w:t>
      </w:r>
      <w:r>
        <w:rPr>
          <w:b/>
          <w:w w:val="99"/>
          <w:sz w:val="21"/>
        </w:rPr>
        <w:t> </w:t>
      </w:r>
      <w:r>
        <w:rPr>
          <w:b/>
          <w:sz w:val="21"/>
        </w:rPr>
        <w:t>5.12.4 </w:t>
      </w:r>
      <w:r>
        <w:rPr>
          <w:sz w:val="21"/>
        </w:rPr>
        <w:t>消防无线通信子系统的工作频率应符合下列要求： </w:t>
      </w:r>
    </w:p>
    <w:p>
      <w:pPr>
        <w:pStyle w:val="BodyText"/>
        <w:spacing w:before="2"/>
        <w:rPr>
          <w:sz w:val="18"/>
        </w:rPr>
      </w:pPr>
    </w:p>
    <w:p>
      <w:pPr>
        <w:pStyle w:val="BodyText"/>
        <w:ind w:left="418"/>
      </w:pPr>
      <w:r>
        <w:rPr>
          <w:w w:val="100"/>
        </w:rPr>
        <w:t> </w:t>
      </w:r>
      <w:r>
        <w:rPr/>
        <w:t> </w:t>
      </w:r>
      <w:r>
        <w:rPr>
          <w:w w:val="100"/>
        </w:rPr>
        <w:t> </w:t>
      </w:r>
      <w:r>
        <w:rPr/>
        <w:t> 应能充分利用消防专用频率组网； </w:t>
      </w:r>
    </w:p>
    <w:p>
      <w:pPr>
        <w:spacing w:after="0"/>
        <w:sectPr>
          <w:pgSz w:w="11910" w:h="16850"/>
          <w:pgMar w:header="0" w:footer="1239" w:top="1220" w:bottom="1420" w:left="1260" w:right="0"/>
        </w:sectPr>
      </w:pPr>
    </w:p>
    <w:p>
      <w:pPr>
        <w:pStyle w:val="BodyText"/>
        <w:spacing w:line="446" w:lineRule="auto" w:before="47"/>
        <w:ind w:left="418" w:right="1407"/>
      </w:pPr>
      <w:r>
        <w:rPr>
          <w:w w:val="100"/>
        </w:rPr>
        <w:t> </w:t>
      </w:r>
      <w:r>
        <w:rPr/>
        <w:t> </w:t>
      </w:r>
      <w:r>
        <w:rPr>
          <w:w w:val="100"/>
        </w:rPr>
        <w:t> </w:t>
      </w:r>
      <w:r>
        <w:rPr/>
        <w:t> 应能根据需求和当地情况申请背景噪声小、传输特性好、不与民用大功率发射设备同频段的民用频率； </w:t>
      </w:r>
    </w:p>
    <w:p>
      <w:pPr>
        <w:pStyle w:val="BodyText"/>
        <w:spacing w:line="267" w:lineRule="exact"/>
        <w:ind w:left="418"/>
      </w:pPr>
      <w:r>
        <w:rPr>
          <w:w w:val="100"/>
        </w:rPr>
        <w:t> </w:t>
      </w:r>
      <w:r>
        <w:rPr/>
        <w:t> </w:t>
      </w:r>
      <w:r>
        <w:rPr>
          <w:w w:val="100"/>
        </w:rPr>
        <w:t> </w:t>
      </w:r>
      <w:r>
        <w:rPr/>
        <w:t> 消防跨区域联合作战通信专用频点不得设任何控制信令； </w:t>
      </w:r>
    </w:p>
    <w:p>
      <w:pPr>
        <w:pStyle w:val="BodyText"/>
        <w:spacing w:before="2"/>
        <w:rPr>
          <w:sz w:val="18"/>
        </w:rPr>
      </w:pPr>
    </w:p>
    <w:p>
      <w:pPr>
        <w:pStyle w:val="BodyText"/>
        <w:spacing w:line="446" w:lineRule="auto"/>
        <w:ind w:left="418" w:right="1407"/>
      </w:pPr>
      <w:r>
        <w:rPr>
          <w:w w:val="100"/>
        </w:rPr>
        <w:t> </w:t>
      </w:r>
      <w:r>
        <w:rPr/>
        <w:t> </w:t>
      </w:r>
      <w:r>
        <w:rPr>
          <w:w w:val="100"/>
        </w:rPr>
        <w:t> </w:t>
      </w:r>
      <w:r>
        <w:rPr/>
        <w:t> 每个消防站应有一个专用信道，或通过无支援关系消防站的频率复用，达到每个消防站有一个专用信道； </w:t>
      </w:r>
    </w:p>
    <w:p>
      <w:pPr>
        <w:pStyle w:val="BodyText"/>
        <w:spacing w:line="267" w:lineRule="exact"/>
        <w:ind w:left="418"/>
      </w:pPr>
      <w:r>
        <w:rPr>
          <w:w w:val="100"/>
        </w:rPr>
        <w:t> </w:t>
      </w:r>
      <w:r>
        <w:rPr/>
        <w:t> </w:t>
      </w:r>
      <w:r>
        <w:rPr>
          <w:w w:val="100"/>
        </w:rPr>
        <w:t> </w:t>
      </w:r>
      <w:r>
        <w:rPr/>
        <w:t> 无线电台的预置信道数量不应小于 16。 </w:t>
      </w:r>
    </w:p>
    <w:p>
      <w:pPr>
        <w:pStyle w:val="BodyText"/>
        <w:spacing w:before="2"/>
        <w:rPr>
          <w:sz w:val="18"/>
        </w:rPr>
      </w:pPr>
    </w:p>
    <w:p>
      <w:pPr>
        <w:pStyle w:val="BodyText"/>
        <w:ind w:left="418"/>
      </w:pPr>
      <w:r>
        <w:rPr>
          <w:w w:val="100"/>
        </w:rPr>
        <w:t>    </w:t>
      </w:r>
      <w:r>
        <w:rPr>
          <w:b/>
        </w:rPr>
        <w:t>5.12.5 </w:t>
      </w:r>
      <w:r>
        <w:rPr/>
        <w:t>消防无线通信子系统设备的工作环境应符合下列要求： </w:t>
      </w:r>
    </w:p>
    <w:p>
      <w:pPr>
        <w:pStyle w:val="BodyText"/>
        <w:rPr>
          <w:sz w:val="18"/>
        </w:rPr>
      </w:pPr>
    </w:p>
    <w:p>
      <w:pPr>
        <w:pStyle w:val="BodyText"/>
        <w:ind w:left="418"/>
      </w:pPr>
      <w:r>
        <w:rPr>
          <w:w w:val="100"/>
        </w:rPr>
        <w:t> </w:t>
      </w:r>
      <w:r>
        <w:rPr/>
        <w:t> </w:t>
      </w:r>
      <w:r>
        <w:rPr>
          <w:w w:val="100"/>
        </w:rPr>
        <w:t> </w:t>
      </w:r>
      <w:r>
        <w:rPr/>
        <w:t> 发射机的最大输出功率、固定天线的架设高度应符合当地无线电管理部门规定的要求； </w:t>
      </w:r>
    </w:p>
    <w:p>
      <w:pPr>
        <w:pStyle w:val="BodyText"/>
        <w:rPr>
          <w:sz w:val="18"/>
        </w:rPr>
      </w:pPr>
    </w:p>
    <w:p>
      <w:pPr>
        <w:pStyle w:val="BodyText"/>
        <w:spacing w:line="446" w:lineRule="auto"/>
        <w:ind w:left="418" w:right="1380"/>
      </w:pPr>
      <w:r>
        <w:rPr>
          <w:w w:val="100"/>
        </w:rPr>
        <w:t> </w:t>
      </w:r>
      <w:r>
        <w:rPr/>
        <w:t> </w:t>
      </w:r>
      <w:r>
        <w:rPr>
          <w:w w:val="100"/>
        </w:rPr>
        <w:t> </w:t>
      </w:r>
      <w:r>
        <w:rPr/>
        <w:t> 城市消防通信指挥中心建筑物周边 200m 范围内，不宜有大功率无线发射设备和能够产生强电磁场的电气设备； </w:t>
      </w:r>
    </w:p>
    <w:p>
      <w:pPr>
        <w:pStyle w:val="BodyText"/>
        <w:ind w:left="418"/>
      </w:pPr>
      <w:r>
        <w:rPr>
          <w:w w:val="100"/>
        </w:rPr>
        <w:t> </w:t>
      </w:r>
      <w:r>
        <w:rPr/>
        <w:t> </w:t>
      </w:r>
      <w:r>
        <w:rPr>
          <w:w w:val="100"/>
        </w:rPr>
        <w:t> </w:t>
      </w:r>
      <w:r>
        <w:rPr/>
        <w:t> 通信基站应有防雷与接地设施。 </w:t>
      </w:r>
    </w:p>
    <w:p>
      <w:pPr>
        <w:pStyle w:val="BodyText"/>
        <w:spacing w:before="12"/>
        <w:rPr>
          <w:sz w:val="17"/>
        </w:rPr>
      </w:pPr>
    </w:p>
    <w:p>
      <w:pPr>
        <w:spacing w:before="0"/>
        <w:ind w:left="418" w:right="0" w:firstLine="0"/>
        <w:jc w:val="left"/>
        <w:rPr>
          <w:sz w:val="21"/>
        </w:rPr>
      </w:pPr>
      <w:r>
        <w:rPr>
          <w:w w:val="100"/>
          <w:sz w:val="21"/>
        </w:rPr>
        <w:t>  </w:t>
      </w:r>
      <w:r>
        <w:rPr>
          <w:b/>
          <w:w w:val="99"/>
          <w:sz w:val="21"/>
        </w:rPr>
        <w:t>  </w:t>
      </w:r>
      <w:r>
        <w:rPr>
          <w:b/>
          <w:sz w:val="21"/>
        </w:rPr>
        <w:t>5.12.6 </w:t>
      </w:r>
      <w:r>
        <w:rPr>
          <w:sz w:val="21"/>
        </w:rPr>
        <w:t>消防无线通信子系统的通信天线杆塔的架设应符合下列要求： </w:t>
      </w:r>
    </w:p>
    <w:p>
      <w:pPr>
        <w:pStyle w:val="BodyText"/>
        <w:spacing w:before="2"/>
        <w:rPr>
          <w:sz w:val="18"/>
        </w:rPr>
      </w:pPr>
    </w:p>
    <w:p>
      <w:pPr>
        <w:pStyle w:val="BodyText"/>
        <w:spacing w:line="446" w:lineRule="auto"/>
        <w:ind w:left="418" w:right="1407"/>
      </w:pPr>
      <w:r>
        <w:rPr>
          <w:w w:val="100"/>
        </w:rPr>
        <w:t> </w:t>
      </w:r>
      <w:r>
        <w:rPr/>
        <w:t> </w:t>
      </w:r>
      <w:r>
        <w:rPr>
          <w:w w:val="100"/>
        </w:rPr>
        <w:t> </w:t>
      </w:r>
      <w:r>
        <w:rPr/>
        <w:t> 城市消防通信指挥中心应设置永久性无线通信天线杆塔，距离城市消防通信指挥中心较远的消防站也应设永久性天线杆塔； </w:t>
      </w:r>
    </w:p>
    <w:p>
      <w:pPr>
        <w:pStyle w:val="BodyText"/>
        <w:spacing w:line="446" w:lineRule="auto"/>
        <w:ind w:left="418" w:right="1431"/>
      </w:pPr>
      <w:r>
        <w:rPr>
          <w:w w:val="100"/>
        </w:rPr>
        <w:t> </w:t>
      </w:r>
      <w:r>
        <w:rPr/>
        <w:t> </w:t>
      </w:r>
      <w:r>
        <w:rPr>
          <w:w w:val="100"/>
        </w:rPr>
        <w:t> </w:t>
      </w:r>
      <w:r>
        <w:rPr/>
        <w:t> </w:t>
      </w:r>
      <w:r>
        <w:rPr>
          <w:spacing w:val="-5"/>
        </w:rPr>
        <w:t>通信天线杆塔的天线平台应设高度不低于 </w:t>
      </w:r>
      <w:r>
        <w:rPr/>
        <w:t>1.20m</w:t>
      </w:r>
      <w:r>
        <w:rPr>
          <w:spacing w:val="-10"/>
        </w:rPr>
        <w:t> 的栏杆，塔身应设检修爬梯和安全护栏，塔</w:t>
      </w:r>
      <w:r>
        <w:rPr>
          <w:spacing w:val="-5"/>
        </w:rPr>
        <w:t>身较高时应加设休息平台； </w:t>
      </w:r>
    </w:p>
    <w:p>
      <w:pPr>
        <w:pStyle w:val="BodyText"/>
        <w:spacing w:line="446" w:lineRule="auto"/>
        <w:ind w:left="840" w:right="2554" w:hanging="423"/>
      </w:pPr>
      <w:r>
        <w:rPr>
          <w:w w:val="100"/>
        </w:rPr>
        <w:t> </w:t>
      </w:r>
      <w:r>
        <w:rPr/>
        <w:t> </w:t>
      </w:r>
      <w:r>
        <w:rPr>
          <w:w w:val="100"/>
        </w:rPr>
        <w:t> </w:t>
      </w:r>
      <w:r>
        <w:rPr/>
        <w:t> 通信天线杆塔设计应按照永久荷载、可变荷载和偶然荷载最不利的组合考虑。</w:t>
      </w:r>
      <w:r>
        <w:rPr>
          <w:b/>
        </w:rPr>
        <w:t>5.13 </w:t>
      </w:r>
      <w:r>
        <w:rPr/>
        <w:t>消防卫星通信子系统 </w:t>
      </w:r>
    </w:p>
    <w:p>
      <w:pPr>
        <w:spacing w:before="0"/>
        <w:ind w:left="840" w:right="0" w:firstLine="0"/>
        <w:jc w:val="left"/>
        <w:rPr>
          <w:sz w:val="21"/>
        </w:rPr>
      </w:pPr>
      <w:r>
        <w:rPr>
          <w:b/>
          <w:sz w:val="21"/>
        </w:rPr>
        <w:t>5.13.1 </w:t>
      </w:r>
      <w:r>
        <w:rPr>
          <w:sz w:val="21"/>
        </w:rPr>
        <w:t>消防卫星通信子系统的基本功能应符合下列要求： </w:t>
      </w:r>
    </w:p>
    <w:p>
      <w:pPr>
        <w:pStyle w:val="BodyText"/>
        <w:spacing w:before="10"/>
        <w:rPr>
          <w:sz w:val="17"/>
        </w:rPr>
      </w:pPr>
    </w:p>
    <w:p>
      <w:pPr>
        <w:pStyle w:val="BodyText"/>
        <w:spacing w:line="446" w:lineRule="auto"/>
        <w:ind w:left="418" w:right="1394"/>
      </w:pPr>
      <w:r>
        <w:rPr>
          <w:w w:val="100"/>
        </w:rPr>
        <w:t> </w:t>
      </w:r>
      <w:r>
        <w:rPr/>
        <w:t> </w:t>
      </w:r>
      <w:r>
        <w:rPr>
          <w:w w:val="100"/>
        </w:rPr>
        <w:t> </w:t>
      </w:r>
      <w:r>
        <w:rPr/>
        <w:t> 应根据需求设置固定卫星站、移动（车载、便携）卫星站，建立与消防通信指挥中心之间点对点通信； </w:t>
      </w:r>
    </w:p>
    <w:p>
      <w:pPr>
        <w:pStyle w:val="BodyText"/>
        <w:ind w:left="418"/>
      </w:pPr>
      <w:r>
        <w:rPr>
          <w:w w:val="100"/>
        </w:rPr>
        <w:t> </w:t>
      </w:r>
      <w:r>
        <w:rPr/>
        <w:t> </w:t>
      </w:r>
      <w:r>
        <w:rPr>
          <w:w w:val="100"/>
        </w:rPr>
        <w:t> </w:t>
      </w:r>
      <w:r>
        <w:rPr/>
        <w:t> 应能与地面有线和无线通信网络相结合，互为补充； </w:t>
      </w:r>
    </w:p>
    <w:p>
      <w:pPr>
        <w:pStyle w:val="BodyText"/>
        <w:rPr>
          <w:sz w:val="18"/>
        </w:rPr>
      </w:pPr>
    </w:p>
    <w:p>
      <w:pPr>
        <w:pStyle w:val="BodyText"/>
        <w:ind w:left="418"/>
      </w:pPr>
      <w:r>
        <w:rPr>
          <w:w w:val="100"/>
        </w:rPr>
        <w:t> </w:t>
      </w:r>
      <w:r>
        <w:rPr/>
        <w:t> </w:t>
      </w:r>
      <w:r>
        <w:rPr>
          <w:w w:val="100"/>
        </w:rPr>
        <w:t> </w:t>
      </w:r>
      <w:r>
        <w:rPr/>
        <w:t> 应具有双向通信能力，能以透明方式实现语音、数据、图像等传输； </w:t>
      </w:r>
    </w:p>
    <w:p>
      <w:pPr>
        <w:pStyle w:val="BodyText"/>
        <w:spacing w:before="12"/>
        <w:rPr>
          <w:sz w:val="17"/>
        </w:rPr>
      </w:pPr>
    </w:p>
    <w:p>
      <w:pPr>
        <w:pStyle w:val="BodyText"/>
        <w:ind w:left="418"/>
      </w:pPr>
      <w:r>
        <w:rPr>
          <w:w w:val="100"/>
        </w:rPr>
        <w:t> </w:t>
      </w:r>
      <w:r>
        <w:rPr/>
        <w:t> </w:t>
      </w:r>
      <w:r>
        <w:rPr>
          <w:w w:val="100"/>
        </w:rPr>
        <w:t> </w:t>
      </w:r>
      <w:r>
        <w:rPr/>
        <w:t> </w:t>
      </w:r>
      <w:r>
        <w:rPr>
          <w:spacing w:val="-5"/>
          <w:w w:val="100"/>
        </w:rPr>
        <w:t>应提供以太网接口</w:t>
      </w:r>
      <w:r>
        <w:rPr>
          <w:w w:val="100"/>
        </w:rPr>
        <w:t>（</w:t>
      </w:r>
      <w:r>
        <w:rPr>
          <w:spacing w:val="-3"/>
          <w:w w:val="100"/>
        </w:rPr>
        <w:t>I</w:t>
      </w:r>
      <w:r>
        <w:rPr>
          <w:w w:val="100"/>
        </w:rPr>
        <w:t>P</w:t>
      </w:r>
      <w:r>
        <w:rPr>
          <w:spacing w:val="-106"/>
          <w:w w:val="100"/>
        </w:rPr>
        <w:t>）</w:t>
      </w:r>
      <w:r>
        <w:rPr>
          <w:spacing w:val="-6"/>
          <w:w w:val="100"/>
        </w:rPr>
        <w:t>，能与各种通信终端设备连接，传输符合控制协议</w:t>
      </w:r>
      <w:r>
        <w:rPr>
          <w:w w:val="100"/>
        </w:rPr>
        <w:t>/</w:t>
      </w:r>
      <w:r>
        <w:rPr>
          <w:spacing w:val="-3"/>
          <w:w w:val="100"/>
        </w:rPr>
        <w:t>因特网互联协议</w:t>
      </w:r>
    </w:p>
    <w:p>
      <w:pPr>
        <w:pStyle w:val="BodyText"/>
        <w:spacing w:before="2"/>
        <w:rPr>
          <w:sz w:val="18"/>
        </w:rPr>
      </w:pPr>
    </w:p>
    <w:p>
      <w:pPr>
        <w:pStyle w:val="BodyText"/>
        <w:ind w:left="418"/>
      </w:pPr>
      <w:r>
        <w:rPr/>
        <w:t>（TCP/IP）的信息； </w:t>
      </w:r>
    </w:p>
    <w:p>
      <w:pPr>
        <w:pStyle w:val="BodyText"/>
        <w:rPr>
          <w:sz w:val="18"/>
        </w:rPr>
      </w:pPr>
    </w:p>
    <w:p>
      <w:pPr>
        <w:pStyle w:val="BodyText"/>
        <w:ind w:left="418"/>
      </w:pPr>
      <w:r>
        <w:rPr>
          <w:w w:val="100"/>
        </w:rPr>
        <w:t> </w:t>
      </w:r>
      <w:r>
        <w:rPr/>
        <w:t> </w:t>
      </w:r>
      <w:r>
        <w:rPr>
          <w:w w:val="100"/>
        </w:rPr>
        <w:t> </w:t>
      </w:r>
      <w:r>
        <w:rPr/>
        <w:t> 数据通信速率应能满足业务需求，并具有动态的按需分配带宽功能； </w:t>
      </w:r>
    </w:p>
    <w:p>
      <w:pPr>
        <w:pStyle w:val="BodyText"/>
        <w:spacing w:before="12"/>
        <w:rPr>
          <w:sz w:val="17"/>
        </w:rPr>
      </w:pPr>
    </w:p>
    <w:p>
      <w:pPr>
        <w:pStyle w:val="BodyText"/>
        <w:ind w:left="418"/>
      </w:pPr>
      <w:r>
        <w:rPr>
          <w:w w:val="100"/>
        </w:rPr>
        <w:t> </w:t>
      </w:r>
      <w:r>
        <w:rPr/>
        <w:t> </w:t>
      </w:r>
      <w:r>
        <w:rPr>
          <w:w w:val="100"/>
        </w:rPr>
        <w:t> </w:t>
      </w:r>
      <w:r>
        <w:rPr/>
        <w:t> 卫星站应具备电动捕星或快速自动捕星（程序引导）功能； </w:t>
      </w:r>
    </w:p>
    <w:p>
      <w:pPr>
        <w:pStyle w:val="BodyText"/>
        <w:spacing w:before="2"/>
        <w:rPr>
          <w:sz w:val="18"/>
        </w:rPr>
      </w:pPr>
    </w:p>
    <w:p>
      <w:pPr>
        <w:pStyle w:val="BodyText"/>
        <w:ind w:left="418"/>
      </w:pPr>
      <w:r>
        <w:rPr>
          <w:w w:val="100"/>
        </w:rPr>
        <w:t> </w:t>
      </w:r>
      <w:r>
        <w:rPr/>
        <w:t> </w:t>
      </w:r>
      <w:r>
        <w:rPr>
          <w:w w:val="100"/>
        </w:rPr>
        <w:t> </w:t>
      </w:r>
      <w:r>
        <w:rPr/>
        <w:t> 移动卫星站架设和开通时间不应大于 15min。 </w:t>
      </w:r>
    </w:p>
    <w:p>
      <w:pPr>
        <w:spacing w:after="0"/>
        <w:sectPr>
          <w:pgSz w:w="11910" w:h="16850"/>
          <w:pgMar w:header="0" w:footer="1239" w:top="1220" w:bottom="1420" w:left="1260" w:right="0"/>
        </w:sectPr>
      </w:pPr>
    </w:p>
    <w:p>
      <w:pPr>
        <w:spacing w:before="47"/>
        <w:ind w:left="418" w:right="0" w:firstLine="0"/>
        <w:jc w:val="left"/>
        <w:rPr>
          <w:sz w:val="21"/>
        </w:rPr>
      </w:pPr>
      <w:r>
        <w:rPr>
          <w:w w:val="100"/>
          <w:sz w:val="21"/>
        </w:rPr>
        <w:t>   </w:t>
      </w:r>
      <w:r>
        <w:rPr>
          <w:b/>
          <w:w w:val="99"/>
          <w:sz w:val="21"/>
        </w:rPr>
        <w:t> </w:t>
      </w:r>
      <w:r>
        <w:rPr>
          <w:b/>
          <w:sz w:val="21"/>
        </w:rPr>
        <w:t>5.13.2 </w:t>
      </w:r>
      <w:r>
        <w:rPr>
          <w:sz w:val="21"/>
        </w:rPr>
        <w:t>消防卫星通信子系统的传输质量应符合下列要求： </w:t>
      </w:r>
    </w:p>
    <w:p>
      <w:pPr>
        <w:pStyle w:val="BodyText"/>
        <w:rPr>
          <w:sz w:val="18"/>
        </w:rPr>
      </w:pPr>
    </w:p>
    <w:p>
      <w:pPr>
        <w:pStyle w:val="BodyText"/>
        <w:ind w:left="418"/>
      </w:pPr>
      <w:r>
        <w:rPr>
          <w:w w:val="100"/>
        </w:rPr>
        <w:t> </w:t>
      </w:r>
      <w:r>
        <w:rPr/>
        <w:t> </w:t>
      </w:r>
      <w:r>
        <w:rPr>
          <w:w w:val="100"/>
        </w:rPr>
        <w:t> </w:t>
      </w:r>
      <w:r>
        <w:rPr/>
        <w:t> 语音传输速率不应小于 8Kbit/s； </w:t>
      </w:r>
    </w:p>
    <w:p>
      <w:pPr>
        <w:pStyle w:val="BodyText"/>
        <w:rPr>
          <w:sz w:val="18"/>
        </w:rPr>
      </w:pPr>
    </w:p>
    <w:p>
      <w:pPr>
        <w:pStyle w:val="BodyText"/>
        <w:ind w:left="418"/>
      </w:pPr>
      <w:r>
        <w:rPr>
          <w:w w:val="100"/>
        </w:rPr>
        <w:t> </w:t>
      </w:r>
      <w:r>
        <w:rPr/>
        <w:t> </w:t>
      </w:r>
      <w:r>
        <w:rPr>
          <w:w w:val="100"/>
        </w:rPr>
        <w:t> </w:t>
      </w:r>
      <w:r>
        <w:rPr/>
        <w:t> 数据传输速率不应小于 64Kbit/s； </w:t>
      </w:r>
    </w:p>
    <w:p>
      <w:pPr>
        <w:pStyle w:val="BodyText"/>
        <w:spacing w:before="1"/>
        <w:rPr>
          <w:sz w:val="18"/>
        </w:rPr>
      </w:pPr>
    </w:p>
    <w:p>
      <w:pPr>
        <w:pStyle w:val="BodyText"/>
        <w:spacing w:before="1"/>
        <w:ind w:left="418"/>
      </w:pPr>
      <w:r>
        <w:rPr>
          <w:w w:val="100"/>
        </w:rPr>
        <w:t> </w:t>
      </w:r>
      <w:r>
        <w:rPr/>
        <w:t> </w:t>
      </w:r>
      <w:r>
        <w:rPr>
          <w:w w:val="100"/>
        </w:rPr>
        <w:t> </w:t>
      </w:r>
      <w:r>
        <w:rPr/>
        <w:t> 图像传输速率不应小于 384Kbit/s。 </w:t>
      </w:r>
    </w:p>
    <w:p>
      <w:pPr>
        <w:pStyle w:val="BodyText"/>
        <w:spacing w:before="12"/>
        <w:rPr>
          <w:sz w:val="17"/>
        </w:rPr>
      </w:pPr>
    </w:p>
    <w:p>
      <w:pPr>
        <w:spacing w:before="0"/>
        <w:ind w:left="418" w:right="0" w:firstLine="0"/>
        <w:jc w:val="left"/>
        <w:rPr>
          <w:sz w:val="21"/>
        </w:rPr>
      </w:pPr>
      <w:r>
        <w:rPr>
          <w:w w:val="100"/>
          <w:sz w:val="21"/>
        </w:rPr>
        <w:t>   </w:t>
      </w:r>
      <w:r>
        <w:rPr>
          <w:b/>
          <w:w w:val="99"/>
          <w:sz w:val="21"/>
        </w:rPr>
        <w:t> </w:t>
      </w:r>
      <w:r>
        <w:rPr>
          <w:b/>
          <w:sz w:val="21"/>
        </w:rPr>
        <w:t>5.13.3 </w:t>
      </w:r>
      <w:r>
        <w:rPr>
          <w:sz w:val="21"/>
        </w:rPr>
        <w:t>消防卫星通信子系统应采用 Ku 频段卫星转发器。 </w:t>
      </w:r>
    </w:p>
    <w:p>
      <w:pPr>
        <w:pStyle w:val="BodyText"/>
        <w:spacing w:before="12"/>
        <w:rPr>
          <w:sz w:val="17"/>
        </w:rPr>
      </w:pPr>
    </w:p>
    <w:p>
      <w:pPr>
        <w:pStyle w:val="BodyText"/>
        <w:spacing w:line="446" w:lineRule="auto"/>
        <w:ind w:left="418" w:right="1434"/>
      </w:pPr>
      <w:r>
        <w:rPr>
          <w:w w:val="100"/>
        </w:rPr>
        <w:t> </w:t>
      </w:r>
      <w:r>
        <w:rPr>
          <w:b/>
          <w:w w:val="99"/>
        </w:rPr>
        <w:t>   </w:t>
      </w:r>
      <w:r>
        <w:rPr>
          <w:b/>
        </w:rPr>
        <w:t>5.13.4</w:t>
      </w:r>
      <w:r>
        <w:rPr>
          <w:b/>
          <w:spacing w:val="92"/>
        </w:rPr>
        <w:t> </w:t>
      </w:r>
      <w:r>
        <w:rPr>
          <w:spacing w:val="-3"/>
        </w:rPr>
        <w:t>消防卫星通信子系统的建站和使用应符合国家有关法律、法规的规定，卫星通信设备应具有国家主管部门颁发的产品许可证。</w:t>
      </w:r>
      <w:r>
        <w:rPr/>
        <w:t> </w:t>
      </w:r>
    </w:p>
    <w:p>
      <w:pPr>
        <w:pStyle w:val="Heading4"/>
        <w:spacing w:line="278" w:lineRule="exact"/>
      </w:pPr>
      <w:r>
        <w:rPr/>
        <w:t>6 系统的基础环境要求</w:t>
      </w:r>
      <w:r>
        <w:rPr>
          <w:w w:val="99"/>
        </w:rPr>
        <w:t> </w:t>
      </w:r>
    </w:p>
    <w:p>
      <w:pPr>
        <w:pStyle w:val="BodyText"/>
        <w:spacing w:before="4"/>
        <w:rPr>
          <w:b/>
          <w:sz w:val="17"/>
        </w:rPr>
      </w:pPr>
    </w:p>
    <w:p>
      <w:pPr>
        <w:pStyle w:val="ListParagraph"/>
        <w:numPr>
          <w:ilvl w:val="1"/>
          <w:numId w:val="957"/>
        </w:numPr>
        <w:tabs>
          <w:tab w:pos="1159" w:val="left" w:leader="none"/>
        </w:tabs>
        <w:spacing w:line="240" w:lineRule="auto" w:before="0" w:after="0"/>
        <w:ind w:left="1158" w:right="0" w:hanging="319"/>
        <w:jc w:val="left"/>
        <w:rPr>
          <w:sz w:val="21"/>
        </w:rPr>
      </w:pPr>
      <w:r>
        <w:rPr>
          <w:spacing w:val="-3"/>
          <w:sz w:val="21"/>
        </w:rPr>
        <w:t>计算机通信网络</w:t>
      </w:r>
      <w:r>
        <w:rPr>
          <w:sz w:val="21"/>
        </w:rPr>
        <w:t> </w:t>
      </w:r>
    </w:p>
    <w:p>
      <w:pPr>
        <w:pStyle w:val="BodyText"/>
        <w:spacing w:before="2"/>
        <w:rPr>
          <w:sz w:val="18"/>
        </w:rPr>
      </w:pPr>
    </w:p>
    <w:p>
      <w:pPr>
        <w:pStyle w:val="ListParagraph"/>
        <w:numPr>
          <w:ilvl w:val="2"/>
          <w:numId w:val="957"/>
        </w:numPr>
        <w:tabs>
          <w:tab w:pos="1370" w:val="left" w:leader="none"/>
        </w:tabs>
        <w:spacing w:line="240" w:lineRule="auto" w:before="0" w:after="0"/>
        <w:ind w:left="1369" w:right="0" w:hanging="530"/>
        <w:jc w:val="left"/>
        <w:rPr>
          <w:sz w:val="21"/>
        </w:rPr>
      </w:pPr>
      <w:r>
        <w:rPr>
          <w:spacing w:val="-3"/>
          <w:sz w:val="21"/>
        </w:rPr>
        <w:t>计算机通信网络构成应符合下列要求：</w:t>
      </w:r>
      <w:r>
        <w:rPr>
          <w:sz w:val="21"/>
        </w:rPr>
        <w:t> </w:t>
      </w:r>
    </w:p>
    <w:p>
      <w:pPr>
        <w:pStyle w:val="BodyText"/>
        <w:spacing w:before="12"/>
        <w:rPr>
          <w:sz w:val="17"/>
        </w:rPr>
      </w:pPr>
    </w:p>
    <w:p>
      <w:pPr>
        <w:pStyle w:val="BodyText"/>
        <w:ind w:left="418"/>
      </w:pPr>
      <w:r>
        <w:rPr>
          <w:w w:val="100"/>
        </w:rPr>
        <w:t> </w:t>
      </w:r>
      <w:r>
        <w:rPr/>
        <w:t> </w:t>
      </w:r>
      <w:r>
        <w:rPr>
          <w:w w:val="100"/>
        </w:rPr>
        <w:t> </w:t>
      </w:r>
      <w:r>
        <w:rPr/>
        <w:t> 网络宜为交换式快速以太网； </w:t>
      </w:r>
    </w:p>
    <w:p>
      <w:pPr>
        <w:pStyle w:val="BodyText"/>
        <w:rPr>
          <w:sz w:val="18"/>
        </w:rPr>
      </w:pPr>
    </w:p>
    <w:p>
      <w:pPr>
        <w:pStyle w:val="BodyText"/>
        <w:ind w:left="418"/>
      </w:pPr>
      <w:r>
        <w:rPr>
          <w:w w:val="100"/>
        </w:rPr>
        <w:t> </w:t>
      </w:r>
      <w:r>
        <w:rPr/>
        <w:t> </w:t>
      </w:r>
      <w:r>
        <w:rPr>
          <w:w w:val="100"/>
        </w:rPr>
        <w:t> </w:t>
      </w:r>
      <w:r>
        <w:rPr/>
        <w:t> 宜采用星型拓扑结构； </w:t>
      </w:r>
    </w:p>
    <w:p>
      <w:pPr>
        <w:pStyle w:val="BodyText"/>
        <w:spacing w:before="2"/>
        <w:rPr>
          <w:sz w:val="18"/>
        </w:rPr>
      </w:pPr>
    </w:p>
    <w:p>
      <w:pPr>
        <w:pStyle w:val="BodyText"/>
        <w:spacing w:line="446" w:lineRule="auto"/>
        <w:ind w:left="418" w:right="1435"/>
      </w:pPr>
      <w:r>
        <w:rPr>
          <w:w w:val="100"/>
        </w:rPr>
        <w:t> </w:t>
      </w:r>
      <w:r>
        <w:rPr/>
        <w:t> </w:t>
      </w:r>
      <w:r>
        <w:rPr>
          <w:w w:val="100"/>
        </w:rPr>
        <w:t> </w:t>
      </w:r>
      <w:r>
        <w:rPr/>
        <w:t> 局域网主干网络线路速率不应低于 1000Mbit/s ， 到各终端计算机网络接口不应低于100Mbit/s； </w:t>
      </w:r>
    </w:p>
    <w:p>
      <w:pPr>
        <w:pStyle w:val="BodyText"/>
        <w:spacing w:line="267" w:lineRule="exact"/>
        <w:ind w:left="418"/>
      </w:pPr>
      <w:r>
        <w:rPr>
          <w:w w:val="100"/>
        </w:rPr>
        <w:t> </w:t>
      </w:r>
      <w:r>
        <w:rPr/>
        <w:t> </w:t>
      </w:r>
      <w:r>
        <w:rPr>
          <w:w w:val="100"/>
        </w:rPr>
        <w:t> </w:t>
      </w:r>
      <w:r>
        <w:rPr/>
        <w:t> </w:t>
      </w:r>
      <w:r>
        <w:rPr>
          <w:spacing w:val="-3"/>
          <w:w w:val="100"/>
        </w:rPr>
        <w:t>应能根据系统内各不同组成部分功能及数据处理流向适当划分虚拟局域网</w:t>
      </w:r>
      <w:r>
        <w:rPr>
          <w:w w:val="100"/>
        </w:rPr>
        <w:t>（V</w:t>
      </w:r>
      <w:r>
        <w:rPr>
          <w:spacing w:val="-3"/>
          <w:w w:val="100"/>
        </w:rPr>
        <w:t>L</w:t>
      </w:r>
      <w:r>
        <w:rPr>
          <w:w w:val="100"/>
        </w:rPr>
        <w:t>A</w:t>
      </w:r>
      <w:r>
        <w:rPr>
          <w:spacing w:val="-1"/>
          <w:w w:val="100"/>
        </w:rPr>
        <w:t>N</w:t>
      </w:r>
      <w:r>
        <w:rPr>
          <w:spacing w:val="-108"/>
          <w:w w:val="100"/>
        </w:rPr>
        <w:t>）</w:t>
      </w:r>
      <w:r>
        <w:rPr>
          <w:spacing w:val="-3"/>
          <w:w w:val="100"/>
        </w:rPr>
        <w:t>。</w:t>
      </w:r>
      <w:r>
        <w:rPr>
          <w:w w:val="100"/>
        </w:rPr>
        <w:t> </w:t>
      </w:r>
    </w:p>
    <w:p>
      <w:pPr>
        <w:pStyle w:val="BodyText"/>
        <w:spacing w:before="2"/>
        <w:rPr>
          <w:sz w:val="18"/>
        </w:rPr>
      </w:pPr>
    </w:p>
    <w:p>
      <w:pPr>
        <w:spacing w:before="0"/>
        <w:ind w:left="418" w:right="0" w:firstLine="0"/>
        <w:jc w:val="left"/>
        <w:rPr>
          <w:sz w:val="21"/>
        </w:rPr>
      </w:pPr>
      <w:r>
        <w:rPr>
          <w:w w:val="100"/>
          <w:sz w:val="21"/>
        </w:rPr>
        <w:t>    </w:t>
      </w:r>
      <w:r>
        <w:rPr>
          <w:spacing w:val="-3"/>
          <w:w w:val="100"/>
          <w:sz w:val="21"/>
        </w:rPr>
        <w:t> </w:t>
      </w:r>
      <w:r>
        <w:rPr>
          <w:b/>
          <w:sz w:val="21"/>
        </w:rPr>
        <w:t>6.1.2</w:t>
      </w:r>
      <w:r>
        <w:rPr>
          <w:b/>
          <w:spacing w:val="21"/>
          <w:sz w:val="21"/>
        </w:rPr>
        <w:t> </w:t>
      </w:r>
      <w:r>
        <w:rPr>
          <w:spacing w:val="-3"/>
          <w:sz w:val="21"/>
        </w:rPr>
        <w:t>计算机通信网络性能应符合下列要求：</w:t>
      </w:r>
      <w:r>
        <w:rPr>
          <w:sz w:val="21"/>
        </w:rPr>
        <w:t> </w:t>
      </w:r>
    </w:p>
    <w:p>
      <w:pPr>
        <w:pStyle w:val="BodyText"/>
        <w:spacing w:before="12"/>
        <w:rPr>
          <w:sz w:val="17"/>
        </w:rPr>
      </w:pPr>
    </w:p>
    <w:p>
      <w:pPr>
        <w:pStyle w:val="BodyText"/>
        <w:ind w:left="418"/>
      </w:pPr>
      <w:r>
        <w:rPr>
          <w:w w:val="100"/>
        </w:rPr>
        <w:t> </w:t>
      </w:r>
      <w:r>
        <w:rPr/>
        <w:t> </w:t>
      </w:r>
      <w:r>
        <w:rPr>
          <w:w w:val="100"/>
        </w:rPr>
        <w:t> </w:t>
      </w:r>
      <w:r>
        <w:rPr/>
        <w:t> </w:t>
      </w:r>
      <w:r>
        <w:rPr>
          <w:spacing w:val="-3"/>
          <w:w w:val="100"/>
        </w:rPr>
        <w:t> </w:t>
      </w:r>
      <w:r>
        <w:rPr>
          <w:spacing w:val="-3"/>
        </w:rPr>
        <w:t>能满足语音、数据和图像的多业务应用需求；</w:t>
      </w:r>
      <w:r>
        <w:rPr/>
        <w:t> </w:t>
      </w:r>
    </w:p>
    <w:p>
      <w:pPr>
        <w:pStyle w:val="BodyText"/>
        <w:spacing w:before="12"/>
        <w:rPr>
          <w:sz w:val="17"/>
        </w:rPr>
      </w:pPr>
    </w:p>
    <w:p>
      <w:pPr>
        <w:pStyle w:val="BodyText"/>
        <w:ind w:left="418"/>
      </w:pPr>
      <w:r>
        <w:rPr>
          <w:w w:val="100"/>
        </w:rPr>
        <w:t> </w:t>
      </w:r>
      <w:r>
        <w:rPr/>
        <w:t> </w:t>
      </w:r>
      <w:r>
        <w:rPr>
          <w:w w:val="100"/>
        </w:rPr>
        <w:t> </w:t>
      </w:r>
      <w:r>
        <w:rPr/>
        <w:t> </w:t>
      </w:r>
      <w:r>
        <w:rPr>
          <w:w w:val="100"/>
        </w:rPr>
        <w:t> </w:t>
      </w:r>
      <w:r>
        <w:rPr/>
        <w:t>具有全网统一的安全策略、服务质量（QoS）策略、流量管理策略和系统管理策略； </w:t>
      </w:r>
    </w:p>
    <w:p>
      <w:pPr>
        <w:pStyle w:val="BodyText"/>
        <w:spacing w:before="2"/>
        <w:rPr>
          <w:sz w:val="18"/>
        </w:rPr>
      </w:pPr>
    </w:p>
    <w:p>
      <w:pPr>
        <w:pStyle w:val="BodyText"/>
        <w:ind w:left="418"/>
      </w:pPr>
      <w:r>
        <w:rPr>
          <w:w w:val="100"/>
        </w:rPr>
        <w:t> </w:t>
      </w:r>
      <w:r>
        <w:rPr/>
        <w:t> </w:t>
      </w:r>
      <w:r>
        <w:rPr>
          <w:w w:val="100"/>
        </w:rPr>
        <w:t> </w:t>
      </w:r>
      <w:r>
        <w:rPr/>
        <w:t> </w:t>
      </w:r>
      <w:r>
        <w:rPr>
          <w:w w:val="100"/>
        </w:rPr>
        <w:t> </w:t>
      </w:r>
      <w:r>
        <w:rPr/>
        <w:t>能保证各类业务数据流的高效传输，时效性强，延时小； </w:t>
      </w:r>
    </w:p>
    <w:p>
      <w:pPr>
        <w:pStyle w:val="BodyText"/>
        <w:rPr>
          <w:sz w:val="18"/>
        </w:rPr>
      </w:pPr>
    </w:p>
    <w:p>
      <w:pPr>
        <w:pStyle w:val="BodyText"/>
        <w:spacing w:line="446" w:lineRule="auto"/>
        <w:ind w:left="840" w:right="5394" w:hanging="423"/>
      </w:pPr>
      <w:r>
        <w:rPr>
          <w:w w:val="100"/>
        </w:rPr>
        <w:t> </w:t>
      </w:r>
      <w:r>
        <w:rPr/>
        <w:t> </w:t>
      </w:r>
      <w:r>
        <w:rPr>
          <w:w w:val="100"/>
        </w:rPr>
        <w:t> </w:t>
      </w:r>
      <w:r>
        <w:rPr/>
        <w:t> </w:t>
      </w:r>
      <w:r>
        <w:rPr>
          <w:w w:val="100"/>
        </w:rPr>
        <w:t> </w:t>
      </w:r>
      <w:r>
        <w:rPr/>
        <w:t>具有良好的扩展性能，能支持未来扩充需求。</w:t>
      </w:r>
      <w:r>
        <w:rPr>
          <w:b/>
        </w:rPr>
        <w:t>6.2 </w:t>
      </w:r>
      <w:r>
        <w:rPr/>
        <w:t>系统的供电 </w:t>
      </w:r>
    </w:p>
    <w:p>
      <w:pPr>
        <w:spacing w:before="0"/>
        <w:ind w:left="840" w:right="0" w:firstLine="0"/>
        <w:jc w:val="left"/>
        <w:rPr>
          <w:sz w:val="21"/>
        </w:rPr>
      </w:pPr>
      <w:r>
        <w:rPr>
          <w:b/>
          <w:sz w:val="21"/>
        </w:rPr>
        <w:t>6.2.1 </w:t>
      </w:r>
      <w:r>
        <w:rPr>
          <w:sz w:val="21"/>
        </w:rPr>
        <w:t>系统的供电应符合下列要求： </w:t>
      </w:r>
    </w:p>
    <w:p>
      <w:pPr>
        <w:pStyle w:val="BodyText"/>
        <w:rPr>
          <w:sz w:val="18"/>
        </w:rPr>
      </w:pPr>
    </w:p>
    <w:p>
      <w:pPr>
        <w:pStyle w:val="BodyText"/>
        <w:ind w:left="418"/>
      </w:pPr>
      <w:r>
        <w:rPr>
          <w:w w:val="100"/>
        </w:rPr>
        <w:t> </w:t>
      </w:r>
      <w:r>
        <w:rPr/>
        <w:t> </w:t>
      </w:r>
      <w:r>
        <w:rPr>
          <w:w w:val="100"/>
        </w:rPr>
        <w:t> </w:t>
      </w:r>
      <w:r>
        <w:rPr/>
        <w:t> 消防通信指挥中心的供电应按一级负荷设计； </w:t>
      </w:r>
    </w:p>
    <w:p>
      <w:pPr>
        <w:pStyle w:val="BodyText"/>
        <w:spacing w:before="12"/>
        <w:rPr>
          <w:sz w:val="17"/>
        </w:rPr>
      </w:pPr>
    </w:p>
    <w:p>
      <w:pPr>
        <w:pStyle w:val="BodyText"/>
        <w:spacing w:line="446" w:lineRule="auto"/>
        <w:ind w:left="418" w:right="1431"/>
      </w:pPr>
      <w:r>
        <w:rPr>
          <w:w w:val="100"/>
        </w:rPr>
        <w:t> </w:t>
      </w:r>
      <w:r>
        <w:rPr/>
        <w:t> </w:t>
      </w:r>
      <w:r>
        <w:rPr>
          <w:w w:val="100"/>
        </w:rPr>
        <w:t> </w:t>
      </w:r>
      <w:r>
        <w:rPr/>
        <w:t> </w:t>
      </w:r>
      <w:r>
        <w:rPr>
          <w:spacing w:val="-48"/>
        </w:rPr>
        <w:t>省</w:t>
      </w:r>
      <w:r>
        <w:rPr/>
        <w:t>（</w:t>
      </w:r>
      <w:r>
        <w:rPr>
          <w:spacing w:val="-3"/>
        </w:rPr>
        <w:t>自治区</w:t>
      </w:r>
      <w:r>
        <w:rPr>
          <w:spacing w:val="-106"/>
        </w:rPr>
        <w:t>）</w:t>
      </w:r>
      <w:r>
        <w:rPr>
          <w:spacing w:val="-10"/>
        </w:rPr>
        <w:t>、大中型城市消防通信指挥中心的主电源应由两个稳定可靠的独立电源供电，并</w:t>
      </w:r>
      <w:r>
        <w:rPr>
          <w:spacing w:val="-5"/>
        </w:rPr>
        <w:t>应设置应急电源，其他城市消防通信指挥中心的主电源不应低于两回路供电； </w:t>
      </w:r>
    </w:p>
    <w:p>
      <w:pPr>
        <w:pStyle w:val="BodyText"/>
        <w:ind w:left="418"/>
      </w:pPr>
      <w:r>
        <w:rPr>
          <w:w w:val="100"/>
        </w:rPr>
        <w:t> </w:t>
      </w:r>
      <w:r>
        <w:rPr/>
        <w:t> </w:t>
      </w:r>
      <w:r>
        <w:rPr>
          <w:w w:val="100"/>
        </w:rPr>
        <w:t> </w:t>
      </w:r>
      <w:r>
        <w:rPr/>
        <w:t> 系统配电线路应与其他配电线路分开，并应在最末一级配电箱处设自动切换装置； </w:t>
      </w:r>
    </w:p>
    <w:p>
      <w:pPr>
        <w:pStyle w:val="BodyText"/>
        <w:rPr>
          <w:sz w:val="18"/>
        </w:rPr>
      </w:pPr>
    </w:p>
    <w:p>
      <w:pPr>
        <w:pStyle w:val="BodyText"/>
        <w:spacing w:line="446" w:lineRule="auto"/>
        <w:ind w:left="418" w:right="1431"/>
      </w:pPr>
      <w:r>
        <w:rPr>
          <w:w w:val="100"/>
        </w:rPr>
        <w:t> </w:t>
      </w:r>
      <w:r>
        <w:rPr/>
        <w:t> </w:t>
      </w:r>
      <w:r>
        <w:rPr>
          <w:w w:val="100"/>
        </w:rPr>
        <w:t> </w:t>
      </w:r>
      <w:r>
        <w:rPr/>
        <w:t> </w:t>
      </w:r>
      <w:r>
        <w:rPr>
          <w:spacing w:val="-6"/>
        </w:rPr>
        <w:t>系统由市电直接供电时，电源电压变动、频率变化及波形失真率应符合计算机电源电能质量</w:t>
      </w:r>
      <w:r>
        <w:rPr>
          <w:spacing w:val="-4"/>
          <w:w w:val="100"/>
        </w:rPr>
        <w:t>参数表的规定</w:t>
      </w:r>
      <w:r>
        <w:rPr>
          <w:spacing w:val="-3"/>
          <w:w w:val="100"/>
        </w:rPr>
        <w:t>（</w:t>
      </w:r>
      <w:r>
        <w:rPr>
          <w:w w:val="100"/>
        </w:rPr>
        <w:t>表</w:t>
      </w:r>
      <w:r>
        <w:rPr>
          <w:spacing w:val="-53"/>
        </w:rPr>
        <w:t> </w:t>
      </w:r>
      <w:r>
        <w:rPr>
          <w:spacing w:val="-3"/>
          <w:w w:val="100"/>
        </w:rPr>
        <w:t>6</w:t>
      </w:r>
      <w:r>
        <w:rPr>
          <w:w w:val="100"/>
        </w:rPr>
        <w:t>.2.</w:t>
      </w:r>
      <w:r>
        <w:rPr>
          <w:spacing w:val="-2"/>
          <w:w w:val="100"/>
        </w:rPr>
        <w:t>1</w:t>
      </w:r>
      <w:r>
        <w:rPr>
          <w:spacing w:val="-3"/>
          <w:w w:val="100"/>
        </w:rPr>
        <w:t>-</w:t>
      </w:r>
      <w:r>
        <w:rPr>
          <w:w w:val="100"/>
        </w:rPr>
        <w:t>1</w:t>
      </w:r>
      <w:r>
        <w:rPr>
          <w:spacing w:val="-106"/>
          <w:w w:val="100"/>
        </w:rPr>
        <w:t>）</w:t>
      </w:r>
      <w:r>
        <w:rPr>
          <w:spacing w:val="-3"/>
          <w:w w:val="100"/>
        </w:rPr>
        <w:t>，超出此规定时，应加调压设备；</w:t>
      </w:r>
      <w:r>
        <w:rPr>
          <w:w w:val="100"/>
        </w:rPr>
        <w:t> </w:t>
      </w:r>
    </w:p>
    <w:p>
      <w:pPr>
        <w:spacing w:after="0" w:line="446" w:lineRule="auto"/>
        <w:sectPr>
          <w:footerReference w:type="default" r:id="rId600"/>
          <w:pgSz w:w="11910" w:h="16850"/>
          <w:pgMar w:footer="1239" w:header="0" w:top="1220" w:bottom="1420" w:left="1260" w:right="0"/>
          <w:pgNumType w:start="1660"/>
        </w:sectPr>
      </w:pPr>
    </w:p>
    <w:p>
      <w:pPr>
        <w:pStyle w:val="Heading6"/>
        <w:spacing w:before="61"/>
        <w:ind w:right="912"/>
        <w:jc w:val="center"/>
        <w:rPr>
          <w:b w:val="0"/>
        </w:rPr>
      </w:pPr>
      <w:r>
        <w:rPr/>
        <w:t>表 6.2.1-1 计算机电源电能质量参数表</w:t>
      </w:r>
      <w:r>
        <w:rPr>
          <w:b w:val="0"/>
          <w:w w:val="100"/>
        </w:rPr>
        <w:t> </w:t>
      </w:r>
    </w:p>
    <w:p>
      <w:pPr>
        <w:pStyle w:val="BodyText"/>
        <w:ind w:left="1287"/>
        <w:rPr>
          <w:sz w:val="20"/>
        </w:rPr>
      </w:pPr>
      <w:r>
        <w:rPr>
          <w:sz w:val="20"/>
        </w:rPr>
        <w:drawing>
          <wp:inline distT="0" distB="0" distL="0" distR="0">
            <wp:extent cx="4333875" cy="1714500"/>
            <wp:effectExtent l="0" t="0" r="0" b="0"/>
            <wp:docPr id="809" name="image473.jpeg"/>
            <wp:cNvGraphicFramePr>
              <a:graphicFrameLocks noChangeAspect="1"/>
            </wp:cNvGraphicFramePr>
            <a:graphic>
              <a:graphicData uri="http://schemas.openxmlformats.org/drawingml/2006/picture">
                <pic:pic>
                  <pic:nvPicPr>
                    <pic:cNvPr id="810" name="image473.jpeg"/>
                    <pic:cNvPicPr/>
                  </pic:nvPicPr>
                  <pic:blipFill>
                    <a:blip r:embed="rId601" cstate="print"/>
                    <a:stretch>
                      <a:fillRect/>
                    </a:stretch>
                  </pic:blipFill>
                  <pic:spPr>
                    <a:xfrm>
                      <a:off x="0" y="0"/>
                      <a:ext cx="4333875" cy="1714500"/>
                    </a:xfrm>
                    <a:prstGeom prst="rect">
                      <a:avLst/>
                    </a:prstGeom>
                  </pic:spPr>
                </pic:pic>
              </a:graphicData>
            </a:graphic>
          </wp:inline>
        </w:drawing>
      </w:r>
      <w:r>
        <w:rPr>
          <w:sz w:val="20"/>
        </w:rPr>
      </w:r>
    </w:p>
    <w:p>
      <w:pPr>
        <w:pStyle w:val="BodyText"/>
        <w:spacing w:before="7"/>
        <w:rPr>
          <w:sz w:val="19"/>
        </w:rPr>
      </w:pPr>
    </w:p>
    <w:p>
      <w:pPr>
        <w:pStyle w:val="BodyText"/>
        <w:spacing w:line="448" w:lineRule="auto"/>
        <w:ind w:left="418" w:right="1410" w:firstLine="419"/>
      </w:pPr>
      <w:r>
        <w:rPr/>
        <w:t>通信设备的直流供电系统应由整流配电设备和蓄电池组组成，可采用分散或集中供电方式供电，其中整流设备应采用开关电源，蓄电池应采用阀控式密封铅酸蓄电池； </w:t>
      </w:r>
    </w:p>
    <w:p>
      <w:pPr>
        <w:pStyle w:val="BodyText"/>
        <w:spacing w:line="264" w:lineRule="exact"/>
        <w:ind w:left="418"/>
      </w:pPr>
      <w:r>
        <w:rPr>
          <w:w w:val="100"/>
        </w:rPr>
        <w:t> </w:t>
      </w:r>
      <w:r>
        <w:rPr/>
        <w:t> </w:t>
      </w:r>
      <w:r>
        <w:rPr>
          <w:w w:val="100"/>
        </w:rPr>
        <w:t> </w:t>
      </w:r>
      <w:r>
        <w:rPr/>
        <w:t> 通信设备的直流供电系统应采用在线充电方式以全浮充制运行，直流基础电源电压应为-48V。</w:t>
      </w:r>
    </w:p>
    <w:p>
      <w:pPr>
        <w:pStyle w:val="BodyText"/>
        <w:rPr>
          <w:sz w:val="18"/>
        </w:rPr>
      </w:pPr>
    </w:p>
    <w:p>
      <w:pPr>
        <w:pStyle w:val="BodyText"/>
        <w:ind w:left="418"/>
        <w:rPr>
          <w:sz w:val="18"/>
        </w:rPr>
      </w:pPr>
      <w:r>
        <w:rPr/>
        <w:t>基础电源电压变动范围和杂音电压要求应符合表 6.2.1-2 的规定；</w:t>
      </w:r>
      <w:r>
        <w:rPr>
          <w:sz w:val="18"/>
        </w:rPr>
        <w:t> </w:t>
      </w:r>
    </w:p>
    <w:p>
      <w:pPr>
        <w:pStyle w:val="Heading6"/>
        <w:spacing w:before="146"/>
        <w:ind w:right="915"/>
        <w:jc w:val="center"/>
        <w:rPr>
          <w:b w:val="0"/>
        </w:rPr>
      </w:pPr>
      <w:r>
        <w:rPr/>
        <w:t>表 6.2.1-2 基础电源电压变动范围和杂音电压要求</w:t>
      </w:r>
      <w:r>
        <w:rPr>
          <w:b w:val="0"/>
          <w:w w:val="100"/>
        </w:rPr>
        <w:t> </w:t>
      </w:r>
    </w:p>
    <w:p>
      <w:pPr>
        <w:pStyle w:val="BodyText"/>
        <w:ind w:left="1272"/>
        <w:rPr>
          <w:sz w:val="20"/>
        </w:rPr>
      </w:pPr>
      <w:r>
        <w:rPr>
          <w:sz w:val="20"/>
        </w:rPr>
        <w:drawing>
          <wp:inline distT="0" distB="0" distL="0" distR="0">
            <wp:extent cx="4343926" cy="990600"/>
            <wp:effectExtent l="0" t="0" r="0" b="0"/>
            <wp:docPr id="811" name="image474.jpeg"/>
            <wp:cNvGraphicFramePr>
              <a:graphicFrameLocks noChangeAspect="1"/>
            </wp:cNvGraphicFramePr>
            <a:graphic>
              <a:graphicData uri="http://schemas.openxmlformats.org/drawingml/2006/picture">
                <pic:pic>
                  <pic:nvPicPr>
                    <pic:cNvPr id="812" name="image474.jpeg"/>
                    <pic:cNvPicPr/>
                  </pic:nvPicPr>
                  <pic:blipFill>
                    <a:blip r:embed="rId602" cstate="print"/>
                    <a:stretch>
                      <a:fillRect/>
                    </a:stretch>
                  </pic:blipFill>
                  <pic:spPr>
                    <a:xfrm>
                      <a:off x="0" y="0"/>
                      <a:ext cx="4343926" cy="990600"/>
                    </a:xfrm>
                    <a:prstGeom prst="rect">
                      <a:avLst/>
                    </a:prstGeom>
                  </pic:spPr>
                </pic:pic>
              </a:graphicData>
            </a:graphic>
          </wp:inline>
        </w:drawing>
      </w:r>
      <w:r>
        <w:rPr>
          <w:sz w:val="20"/>
        </w:rPr>
      </w:r>
    </w:p>
    <w:p>
      <w:pPr>
        <w:pStyle w:val="BodyText"/>
        <w:spacing w:before="10"/>
        <w:rPr>
          <w:sz w:val="26"/>
        </w:rPr>
      </w:pPr>
    </w:p>
    <w:p>
      <w:pPr>
        <w:pStyle w:val="BodyText"/>
        <w:spacing w:line="446" w:lineRule="auto"/>
        <w:ind w:left="418" w:right="1410" w:firstLine="419"/>
      </w:pPr>
      <w:r>
        <w:rPr/>
        <w:t>系统供电线路导线应采用经阻燃处理的铜芯电缆，交流中性线应采用与相线截面相等的同类型的电缆； </w:t>
      </w:r>
    </w:p>
    <w:p>
      <w:pPr>
        <w:pStyle w:val="BodyText"/>
        <w:spacing w:line="267" w:lineRule="exact"/>
        <w:ind w:left="418"/>
      </w:pPr>
      <w:r>
        <w:rPr>
          <w:w w:val="100"/>
        </w:rPr>
        <w:t> </w:t>
      </w:r>
      <w:r>
        <w:rPr/>
        <w:t> </w:t>
      </w:r>
      <w:r>
        <w:rPr>
          <w:w w:val="100"/>
        </w:rPr>
        <w:t> </w:t>
      </w:r>
      <w:r>
        <w:rPr/>
        <w:t> 系统配备的发电机组应具有自动投入功能； </w:t>
      </w:r>
    </w:p>
    <w:p>
      <w:pPr>
        <w:pStyle w:val="BodyText"/>
        <w:spacing w:before="2"/>
        <w:rPr>
          <w:sz w:val="18"/>
        </w:rPr>
      </w:pPr>
    </w:p>
    <w:p>
      <w:pPr>
        <w:pStyle w:val="BodyText"/>
        <w:ind w:left="418"/>
        <w:rPr>
          <w:b/>
        </w:rPr>
      </w:pPr>
      <w:r>
        <w:rPr>
          <w:w w:val="100"/>
        </w:rPr>
        <w:t> </w:t>
      </w:r>
      <w:r>
        <w:rPr/>
        <w:t> </w:t>
      </w:r>
      <w:r>
        <w:rPr>
          <w:w w:val="100"/>
        </w:rPr>
        <w:t> </w:t>
      </w:r>
      <w:r>
        <w:rPr/>
        <w:t> 消防站应设置通信专用交流配电箱，其电源容量不应小于 5kV·A。</w:t>
      </w:r>
      <w:r>
        <w:rPr>
          <w:b/>
          <w:w w:val="99"/>
        </w:rPr>
        <w:t> </w:t>
      </w:r>
    </w:p>
    <w:p>
      <w:pPr>
        <w:pStyle w:val="BodyText"/>
        <w:spacing w:before="12"/>
        <w:rPr>
          <w:b/>
          <w:sz w:val="17"/>
        </w:rPr>
      </w:pPr>
    </w:p>
    <w:p>
      <w:pPr>
        <w:spacing w:before="0"/>
        <w:ind w:left="418" w:right="0" w:firstLine="0"/>
        <w:jc w:val="left"/>
        <w:rPr>
          <w:sz w:val="21"/>
        </w:rPr>
      </w:pPr>
      <w:r>
        <w:rPr>
          <w:b/>
          <w:w w:val="99"/>
          <w:sz w:val="21"/>
        </w:rPr>
        <w:t>    </w:t>
      </w:r>
      <w:r>
        <w:rPr>
          <w:b/>
          <w:sz w:val="21"/>
        </w:rPr>
        <w:t>6.2.2 </w:t>
      </w:r>
      <w:r>
        <w:rPr>
          <w:sz w:val="21"/>
        </w:rPr>
        <w:t>不间断电源应符合下列要求： </w:t>
      </w:r>
    </w:p>
    <w:p>
      <w:pPr>
        <w:pStyle w:val="BodyText"/>
        <w:rPr>
          <w:sz w:val="18"/>
        </w:rPr>
      </w:pPr>
    </w:p>
    <w:p>
      <w:pPr>
        <w:pStyle w:val="BodyText"/>
        <w:ind w:left="418"/>
      </w:pPr>
      <w:r>
        <w:rPr>
          <w:w w:val="100"/>
        </w:rPr>
        <w:t> </w:t>
      </w:r>
      <w:r>
        <w:rPr/>
        <w:t> </w:t>
      </w:r>
      <w:r>
        <w:rPr>
          <w:w w:val="100"/>
        </w:rPr>
        <w:t> </w:t>
      </w:r>
      <w:r>
        <w:rPr/>
        <w:t> 具有不间断和无瞬变要求的交流供电设备宜采用不间断电源； </w:t>
      </w:r>
    </w:p>
    <w:p>
      <w:pPr>
        <w:pStyle w:val="BodyText"/>
        <w:spacing w:before="2"/>
        <w:rPr>
          <w:sz w:val="18"/>
        </w:rPr>
      </w:pPr>
    </w:p>
    <w:p>
      <w:pPr>
        <w:pStyle w:val="BodyText"/>
        <w:spacing w:line="446" w:lineRule="auto"/>
        <w:ind w:left="418" w:right="1431"/>
        <w:rPr>
          <w:sz w:val="18"/>
        </w:rPr>
      </w:pPr>
      <w:r>
        <w:rPr>
          <w:w w:val="100"/>
        </w:rPr>
        <w:t> </w:t>
      </w:r>
      <w:r>
        <w:rPr/>
        <w:t> </w:t>
      </w:r>
      <w:r>
        <w:rPr>
          <w:w w:val="100"/>
        </w:rPr>
        <w:t> </w:t>
      </w:r>
      <w:r>
        <w:rPr/>
        <w:t> </w:t>
      </w:r>
      <w:r>
        <w:rPr>
          <w:spacing w:val="-7"/>
        </w:rPr>
        <w:t>接警、调度系统采用在线式不间断电源供电时，在外部市电断电后应能保证所有设备正常供</w:t>
      </w:r>
      <w:r>
        <w:rPr>
          <w:spacing w:val="-12"/>
        </w:rPr>
        <w:t>电时间不小于 </w:t>
      </w:r>
      <w:r>
        <w:rPr/>
        <w:t>12h</w:t>
      </w:r>
      <w:r>
        <w:rPr>
          <w:spacing w:val="-5"/>
        </w:rPr>
        <w:t>；有后备发电系统时，不间断电源应能保证正常供电时间不小于 </w:t>
      </w:r>
      <w:r>
        <w:rPr/>
        <w:t>2h</w:t>
      </w:r>
      <w:r>
        <w:rPr>
          <w:spacing w:val="-3"/>
        </w:rPr>
        <w:t>。</w:t>
      </w:r>
      <w:r>
        <w:rPr>
          <w:sz w:val="18"/>
        </w:rPr>
        <w:t> </w:t>
      </w:r>
    </w:p>
    <w:p>
      <w:pPr>
        <w:pStyle w:val="ListParagraph"/>
        <w:numPr>
          <w:ilvl w:val="1"/>
          <w:numId w:val="958"/>
        </w:numPr>
        <w:tabs>
          <w:tab w:pos="1160" w:val="left" w:leader="none"/>
        </w:tabs>
        <w:spacing w:line="267" w:lineRule="exact" w:before="0" w:after="0"/>
        <w:ind w:left="1159" w:right="0" w:hanging="320"/>
        <w:jc w:val="left"/>
        <w:rPr>
          <w:sz w:val="21"/>
        </w:rPr>
      </w:pPr>
      <w:r>
        <w:rPr>
          <w:spacing w:val="-3"/>
          <w:sz w:val="21"/>
        </w:rPr>
        <w:t>系统的防雷与接地</w:t>
      </w:r>
      <w:r>
        <w:rPr>
          <w:sz w:val="21"/>
        </w:rPr>
        <w:t> </w:t>
      </w:r>
    </w:p>
    <w:p>
      <w:pPr>
        <w:pStyle w:val="BodyText"/>
        <w:spacing w:before="2"/>
        <w:rPr>
          <w:sz w:val="18"/>
        </w:rPr>
      </w:pPr>
    </w:p>
    <w:p>
      <w:pPr>
        <w:pStyle w:val="ListParagraph"/>
        <w:numPr>
          <w:ilvl w:val="2"/>
          <w:numId w:val="958"/>
        </w:numPr>
        <w:tabs>
          <w:tab w:pos="1371" w:val="left" w:leader="none"/>
        </w:tabs>
        <w:spacing w:line="240" w:lineRule="auto" w:before="0" w:after="0"/>
        <w:ind w:left="1370" w:right="0" w:hanging="531"/>
        <w:jc w:val="left"/>
        <w:rPr>
          <w:sz w:val="21"/>
        </w:rPr>
      </w:pPr>
      <w:r>
        <w:rPr>
          <w:spacing w:val="-5"/>
          <w:sz w:val="21"/>
        </w:rPr>
        <w:t>系统的雷电防护应符合现行国家标准《建筑物电子信息系统防雷技术规范》</w:t>
      </w:r>
      <w:r>
        <w:rPr>
          <w:sz w:val="21"/>
        </w:rPr>
        <w:t>GB</w:t>
      </w:r>
      <w:r>
        <w:rPr>
          <w:spacing w:val="-27"/>
          <w:sz w:val="21"/>
        </w:rPr>
        <w:t> </w:t>
      </w:r>
      <w:r>
        <w:rPr>
          <w:sz w:val="21"/>
        </w:rPr>
        <w:t>50343</w:t>
      </w:r>
    </w:p>
    <w:p>
      <w:pPr>
        <w:pStyle w:val="BodyText"/>
        <w:spacing w:before="12"/>
        <w:rPr>
          <w:sz w:val="17"/>
        </w:rPr>
      </w:pPr>
    </w:p>
    <w:p>
      <w:pPr>
        <w:pStyle w:val="BodyText"/>
        <w:ind w:left="418"/>
      </w:pPr>
      <w:r>
        <w:rPr/>
        <w:t>的有关规定。 </w:t>
      </w:r>
    </w:p>
    <w:p>
      <w:pPr>
        <w:pStyle w:val="BodyText"/>
        <w:rPr>
          <w:sz w:val="18"/>
        </w:rPr>
      </w:pPr>
    </w:p>
    <w:p>
      <w:pPr>
        <w:spacing w:before="0"/>
        <w:ind w:left="418" w:right="0" w:firstLine="0"/>
        <w:jc w:val="left"/>
        <w:rPr>
          <w:sz w:val="21"/>
        </w:rPr>
      </w:pPr>
      <w:r>
        <w:rPr>
          <w:b/>
          <w:w w:val="99"/>
          <w:sz w:val="21"/>
        </w:rPr>
        <w:t>    </w:t>
      </w:r>
      <w:r>
        <w:rPr>
          <w:b/>
          <w:sz w:val="21"/>
        </w:rPr>
        <w:t>6.3.2 </w:t>
      </w:r>
      <w:r>
        <w:rPr>
          <w:sz w:val="21"/>
        </w:rPr>
        <w:t>系统的接地应符合下列要求： </w:t>
      </w:r>
    </w:p>
    <w:p>
      <w:pPr>
        <w:pStyle w:val="BodyText"/>
        <w:spacing w:line="500" w:lineRule="atLeast" w:before="2"/>
        <w:ind w:left="418" w:right="1435"/>
      </w:pPr>
      <w:r>
        <w:rPr>
          <w:w w:val="100"/>
        </w:rPr>
        <w:t> </w:t>
      </w:r>
      <w:r>
        <w:rPr/>
        <w:t> </w:t>
      </w:r>
      <w:r>
        <w:rPr>
          <w:w w:val="100"/>
        </w:rPr>
        <w:t> </w:t>
      </w:r>
      <w:r>
        <w:rPr/>
        <w:t> </w:t>
      </w:r>
      <w:r>
        <w:rPr>
          <w:spacing w:val="-7"/>
        </w:rPr>
        <w:t>机房交流功能接地、保护接地、直流功能接地、防雷接地等各种接地宜共用接地网，接地电</w:t>
      </w:r>
      <w:r>
        <w:rPr>
          <w:spacing w:val="-5"/>
        </w:rPr>
        <w:t>阻应按其中最小值确定；</w:t>
      </w:r>
      <w:r>
        <w:rPr/>
        <w:t> </w:t>
      </w:r>
    </w:p>
    <w:p>
      <w:pPr>
        <w:spacing w:after="0" w:line="500" w:lineRule="atLeast"/>
        <w:sectPr>
          <w:pgSz w:w="11910" w:h="16850"/>
          <w:pgMar w:header="0" w:footer="1239" w:top="1120" w:bottom="1420" w:left="1260" w:right="0"/>
        </w:sectPr>
      </w:pPr>
    </w:p>
    <w:p>
      <w:pPr>
        <w:pStyle w:val="BodyText"/>
        <w:spacing w:before="47"/>
        <w:ind w:left="418"/>
        <w:jc w:val="both"/>
      </w:pPr>
      <w:r>
        <w:rPr>
          <w:w w:val="100"/>
        </w:rPr>
        <w:t> </w:t>
      </w:r>
      <w:r>
        <w:rPr/>
        <w:t> </w:t>
      </w:r>
      <w:r>
        <w:rPr>
          <w:w w:val="100"/>
        </w:rPr>
        <w:t> </w:t>
      </w:r>
      <w:r>
        <w:rPr/>
        <w:t> 当接地采用分设方式时，各接地系统的接地电阻应按设备要求的最小值确定； </w:t>
      </w:r>
    </w:p>
    <w:p>
      <w:pPr>
        <w:pStyle w:val="BodyText"/>
        <w:rPr>
          <w:sz w:val="18"/>
        </w:rPr>
      </w:pPr>
    </w:p>
    <w:p>
      <w:pPr>
        <w:pStyle w:val="BodyText"/>
        <w:ind w:left="418"/>
        <w:jc w:val="both"/>
      </w:pPr>
      <w:r>
        <w:rPr>
          <w:w w:val="100"/>
        </w:rPr>
        <w:t> </w:t>
      </w:r>
      <w:r>
        <w:rPr/>
        <w:t> </w:t>
      </w:r>
      <w:r>
        <w:rPr>
          <w:w w:val="100"/>
        </w:rPr>
        <w:t> </w:t>
      </w:r>
      <w:r>
        <w:rPr/>
        <w:t> 建筑防雷接地电阻不应大于 10Ω； </w:t>
      </w:r>
    </w:p>
    <w:p>
      <w:pPr>
        <w:pStyle w:val="BodyText"/>
        <w:rPr>
          <w:sz w:val="18"/>
        </w:rPr>
      </w:pPr>
    </w:p>
    <w:p>
      <w:pPr>
        <w:pStyle w:val="BodyText"/>
        <w:spacing w:line="446" w:lineRule="auto"/>
        <w:ind w:left="418" w:right="1431"/>
        <w:jc w:val="both"/>
      </w:pPr>
      <w:r>
        <w:rPr>
          <w:w w:val="100"/>
        </w:rPr>
        <w:t> </w:t>
      </w:r>
      <w:r>
        <w:rPr/>
        <w:t> </w:t>
      </w:r>
      <w:r>
        <w:rPr>
          <w:w w:val="100"/>
        </w:rPr>
        <w:t> </w:t>
      </w:r>
      <w:r>
        <w:rPr/>
        <w:t> </w:t>
      </w:r>
      <w:r>
        <w:rPr>
          <w:spacing w:val="-7"/>
        </w:rPr>
        <w:t>机房内应做等电位联结，并设置等电位联结端子箱。工作频率小于 </w:t>
      </w:r>
      <w:r>
        <w:rPr/>
        <w:t>30kHz</w:t>
      </w:r>
      <w:r>
        <w:rPr>
          <w:spacing w:val="-7"/>
        </w:rPr>
        <w:t> 且设备数量较少的</w:t>
      </w:r>
      <w:r>
        <w:rPr>
          <w:spacing w:val="-5"/>
        </w:rPr>
        <w:t>机房，可采用单点接地方式；工作频率大于 </w:t>
      </w:r>
      <w:r>
        <w:rPr/>
        <w:t>300kHz</w:t>
      </w:r>
      <w:r>
        <w:rPr>
          <w:spacing w:val="-3"/>
        </w:rPr>
        <w:t> 且设备台数较多的机房，可采用多点接地方式；</w:t>
      </w:r>
      <w:r>
        <w:rPr/>
        <w:t> </w:t>
      </w:r>
    </w:p>
    <w:p>
      <w:pPr>
        <w:pStyle w:val="BodyText"/>
        <w:spacing w:line="268" w:lineRule="exact"/>
        <w:ind w:left="418"/>
        <w:jc w:val="both"/>
      </w:pPr>
      <w:r>
        <w:rPr>
          <w:w w:val="100"/>
        </w:rPr>
        <w:t> </w:t>
      </w:r>
      <w:r>
        <w:rPr/>
        <w:t> </w:t>
      </w:r>
      <w:r>
        <w:rPr>
          <w:w w:val="100"/>
        </w:rPr>
        <w:t> </w:t>
      </w:r>
      <w:r>
        <w:rPr/>
        <w:t> 机房内应设接地干线和接地端子箱； </w:t>
      </w:r>
    </w:p>
    <w:p>
      <w:pPr>
        <w:pStyle w:val="BodyText"/>
        <w:spacing w:before="1"/>
        <w:rPr>
          <w:sz w:val="18"/>
        </w:rPr>
      </w:pPr>
    </w:p>
    <w:p>
      <w:pPr>
        <w:pStyle w:val="BodyText"/>
        <w:spacing w:before="1"/>
        <w:ind w:left="418"/>
        <w:jc w:val="both"/>
      </w:pPr>
      <w:r>
        <w:rPr>
          <w:w w:val="100"/>
        </w:rPr>
        <w:t> </w:t>
      </w:r>
      <w:r>
        <w:rPr/>
        <w:t> </w:t>
      </w:r>
      <w:r>
        <w:rPr>
          <w:w w:val="100"/>
        </w:rPr>
        <w:t> </w:t>
      </w:r>
      <w:r>
        <w:rPr/>
        <w:t> 当各系统共用接地网时，宜将各系统分别采用接地导体与接地网连接。 </w:t>
      </w:r>
    </w:p>
    <w:p>
      <w:pPr>
        <w:pStyle w:val="BodyText"/>
        <w:rPr>
          <w:sz w:val="18"/>
        </w:rPr>
      </w:pPr>
    </w:p>
    <w:p>
      <w:pPr>
        <w:spacing w:before="0"/>
        <w:ind w:left="418" w:right="0" w:firstLine="0"/>
        <w:jc w:val="left"/>
        <w:rPr>
          <w:sz w:val="21"/>
        </w:rPr>
      </w:pPr>
      <w:r>
        <w:rPr>
          <w:b/>
          <w:w w:val="99"/>
          <w:sz w:val="21"/>
        </w:rPr>
        <w:t>    </w:t>
      </w:r>
      <w:r>
        <w:rPr>
          <w:b/>
          <w:sz w:val="21"/>
        </w:rPr>
        <w:t>6.3.3 </w:t>
      </w:r>
      <w:r>
        <w:rPr>
          <w:sz w:val="21"/>
        </w:rPr>
        <w:t>共用接地系统中接地体、接地引入线、接地总汇集线和接地线应符合下列要求： </w:t>
      </w:r>
    </w:p>
    <w:p>
      <w:pPr>
        <w:pStyle w:val="BodyText"/>
        <w:spacing w:before="12"/>
        <w:rPr>
          <w:sz w:val="17"/>
        </w:rPr>
      </w:pPr>
    </w:p>
    <w:p>
      <w:pPr>
        <w:pStyle w:val="BodyText"/>
        <w:spacing w:line="446" w:lineRule="auto"/>
        <w:ind w:left="418" w:right="1380"/>
      </w:pPr>
      <w:r>
        <w:rPr>
          <w:w w:val="100"/>
        </w:rPr>
        <w:t> </w:t>
      </w:r>
      <w:r>
        <w:rPr/>
        <w:t> </w:t>
      </w:r>
      <w:r>
        <w:rPr>
          <w:w w:val="100"/>
        </w:rPr>
        <w:t> </w:t>
      </w:r>
      <w:r>
        <w:rPr/>
        <w:t> 接地系统中的垂直接地体宜采用长度不小于 2.5m 的镀锌钢材，其接地体上端距地面不宜小于 0.7m； </w:t>
      </w:r>
    </w:p>
    <w:p>
      <w:pPr>
        <w:pStyle w:val="BodyText"/>
        <w:ind w:left="418"/>
      </w:pPr>
      <w:r>
        <w:rPr>
          <w:w w:val="100"/>
        </w:rPr>
        <w:t> </w:t>
      </w:r>
      <w:r>
        <w:rPr/>
        <w:t> </w:t>
      </w:r>
      <w:r>
        <w:rPr>
          <w:w w:val="100"/>
        </w:rPr>
        <w:t> </w:t>
      </w:r>
      <w:r>
        <w:rPr/>
        <w:t> 接地引入线宜采用 40mm×4mm 或 50mm×5mm 的镀锌扁钢，长度不宜超过 30m； </w:t>
      </w:r>
    </w:p>
    <w:p>
      <w:pPr>
        <w:pStyle w:val="BodyText"/>
        <w:spacing w:before="12"/>
        <w:rPr>
          <w:sz w:val="17"/>
        </w:rPr>
      </w:pPr>
    </w:p>
    <w:p>
      <w:pPr>
        <w:pStyle w:val="BodyText"/>
        <w:ind w:left="418"/>
      </w:pPr>
      <w:r>
        <w:rPr>
          <w:w w:val="100"/>
        </w:rPr>
        <w:t> </w:t>
      </w:r>
      <w:r>
        <w:rPr/>
        <w:t> </w:t>
      </w:r>
      <w:r>
        <w:rPr>
          <w:w w:val="100"/>
        </w:rPr>
        <w:t> </w:t>
      </w:r>
      <w:r>
        <w:rPr/>
        <w:t> 接地总汇集线应采用截面积不小于 160mm2 的铜排或相同电阻值的镀锌扁钢； </w:t>
      </w:r>
    </w:p>
    <w:p>
      <w:pPr>
        <w:pStyle w:val="BodyText"/>
        <w:spacing w:before="2"/>
        <w:rPr>
          <w:sz w:val="18"/>
        </w:rPr>
      </w:pPr>
    </w:p>
    <w:p>
      <w:pPr>
        <w:pStyle w:val="BodyText"/>
        <w:ind w:left="418"/>
        <w:rPr>
          <w:sz w:val="18"/>
        </w:rPr>
      </w:pPr>
      <w:r>
        <w:rPr>
          <w:w w:val="100"/>
        </w:rPr>
        <w:t> </w:t>
      </w:r>
      <w:r>
        <w:rPr/>
        <w:t> </w:t>
      </w:r>
      <w:r>
        <w:rPr>
          <w:w w:val="100"/>
        </w:rPr>
        <w:t> </w:t>
      </w:r>
      <w:r>
        <w:rPr/>
        <w:t> 接地线不得使用铝材。一般设备（机架）的接地线应使用截面积不小于 16mm2 的多股铜线。</w:t>
      </w:r>
      <w:r>
        <w:rPr>
          <w:sz w:val="18"/>
        </w:rPr>
        <w:t> </w:t>
      </w:r>
    </w:p>
    <w:p>
      <w:pPr>
        <w:pStyle w:val="BodyText"/>
        <w:rPr>
          <w:sz w:val="18"/>
        </w:rPr>
      </w:pPr>
    </w:p>
    <w:p>
      <w:pPr>
        <w:pStyle w:val="ListParagraph"/>
        <w:numPr>
          <w:ilvl w:val="1"/>
          <w:numId w:val="958"/>
        </w:numPr>
        <w:tabs>
          <w:tab w:pos="1159" w:val="left" w:leader="none"/>
        </w:tabs>
        <w:spacing w:line="240" w:lineRule="auto" w:before="0" w:after="0"/>
        <w:ind w:left="1158" w:right="0" w:hanging="319"/>
        <w:jc w:val="left"/>
        <w:rPr>
          <w:sz w:val="21"/>
        </w:rPr>
      </w:pPr>
      <w:r>
        <w:rPr>
          <w:spacing w:val="-3"/>
          <w:sz w:val="21"/>
        </w:rPr>
        <w:t>系统的综合布线</w:t>
      </w:r>
      <w:r>
        <w:rPr>
          <w:sz w:val="21"/>
        </w:rPr>
        <w:t> </w:t>
      </w:r>
    </w:p>
    <w:p>
      <w:pPr>
        <w:pStyle w:val="BodyText"/>
        <w:spacing w:before="12"/>
        <w:rPr>
          <w:sz w:val="17"/>
        </w:rPr>
      </w:pPr>
    </w:p>
    <w:p>
      <w:pPr>
        <w:pStyle w:val="ListParagraph"/>
        <w:numPr>
          <w:ilvl w:val="2"/>
          <w:numId w:val="958"/>
        </w:numPr>
        <w:tabs>
          <w:tab w:pos="1370" w:val="left" w:leader="none"/>
        </w:tabs>
        <w:spacing w:line="446" w:lineRule="auto" w:before="0" w:after="0"/>
        <w:ind w:left="418" w:right="1433" w:firstLine="422"/>
        <w:jc w:val="left"/>
        <w:rPr>
          <w:b/>
          <w:sz w:val="21"/>
        </w:rPr>
      </w:pPr>
      <w:r>
        <w:rPr>
          <w:spacing w:val="-6"/>
          <w:sz w:val="21"/>
        </w:rPr>
        <w:t>系统的综合布线应符合现行国家标准《综合布线系统工程设计规范》</w:t>
      </w:r>
      <w:r>
        <w:rPr>
          <w:sz w:val="21"/>
        </w:rPr>
        <w:t>GB</w:t>
      </w:r>
      <w:r>
        <w:rPr>
          <w:spacing w:val="-15"/>
          <w:sz w:val="21"/>
        </w:rPr>
        <w:t> </w:t>
      </w:r>
      <w:r>
        <w:rPr>
          <w:sz w:val="21"/>
        </w:rPr>
        <w:t>50311</w:t>
      </w:r>
      <w:r>
        <w:rPr>
          <w:spacing w:val="-13"/>
          <w:sz w:val="21"/>
        </w:rPr>
        <w:t> 的有关</w:t>
      </w:r>
      <w:r>
        <w:rPr>
          <w:spacing w:val="-10"/>
          <w:sz w:val="21"/>
        </w:rPr>
        <w:t>规定。</w:t>
      </w:r>
      <w:r>
        <w:rPr>
          <w:b/>
          <w:w w:val="99"/>
          <w:sz w:val="21"/>
        </w:rPr>
        <w:t> </w:t>
      </w:r>
    </w:p>
    <w:p>
      <w:pPr>
        <w:pStyle w:val="ListParagraph"/>
        <w:numPr>
          <w:ilvl w:val="2"/>
          <w:numId w:val="958"/>
        </w:numPr>
        <w:tabs>
          <w:tab w:pos="1371" w:val="left" w:leader="none"/>
        </w:tabs>
        <w:spacing w:line="446" w:lineRule="auto" w:before="0" w:after="0"/>
        <w:ind w:left="418" w:right="1326" w:firstLine="422"/>
        <w:jc w:val="left"/>
        <w:rPr>
          <w:sz w:val="21"/>
        </w:rPr>
      </w:pPr>
      <w:r>
        <w:rPr>
          <w:spacing w:val="-3"/>
          <w:sz w:val="21"/>
        </w:rPr>
        <w:t>控制线路及通信线路采用暗敷设时，宜采用金属管或经阻燃处理的硬质塑料管保护， </w:t>
      </w:r>
      <w:r>
        <w:rPr>
          <w:spacing w:val="-7"/>
          <w:sz w:val="21"/>
        </w:rPr>
        <w:t>并应敷设在不燃烧体的结构层内，其保护层厚度不宜小于 </w:t>
      </w:r>
      <w:r>
        <w:rPr>
          <w:sz w:val="21"/>
        </w:rPr>
        <w:t>30mm</w:t>
      </w:r>
      <w:r>
        <w:rPr>
          <w:spacing w:val="-9"/>
          <w:sz w:val="21"/>
        </w:rPr>
        <w:t>。当采用明敷设时，应采用金属管</w:t>
      </w:r>
      <w:r>
        <w:rPr>
          <w:spacing w:val="-5"/>
          <w:sz w:val="21"/>
        </w:rPr>
        <w:t>或金属线槽保护，并应在金属管或金属线槽上采取防火保护措施。</w:t>
      </w:r>
      <w:r>
        <w:rPr>
          <w:sz w:val="21"/>
        </w:rPr>
        <w:t> </w:t>
      </w:r>
    </w:p>
    <w:p>
      <w:pPr>
        <w:pStyle w:val="ListParagraph"/>
        <w:numPr>
          <w:ilvl w:val="2"/>
          <w:numId w:val="958"/>
        </w:numPr>
        <w:tabs>
          <w:tab w:pos="1370" w:val="left" w:leader="none"/>
        </w:tabs>
        <w:spacing w:line="268" w:lineRule="exact" w:before="0" w:after="0"/>
        <w:ind w:left="1369" w:right="0" w:hanging="530"/>
        <w:jc w:val="left"/>
        <w:rPr>
          <w:sz w:val="21"/>
        </w:rPr>
      </w:pPr>
      <w:r>
        <w:rPr>
          <w:spacing w:val="-8"/>
          <w:sz w:val="21"/>
        </w:rPr>
        <w:t>控制及通信线路垂直干线宜通过电缆竖井敷设，并应与强电线路的电缆竖井分别设置。</w:t>
      </w:r>
      <w:r>
        <w:rPr>
          <w:sz w:val="21"/>
        </w:rPr>
        <w:t> </w:t>
      </w:r>
    </w:p>
    <w:p>
      <w:pPr>
        <w:pStyle w:val="BodyText"/>
        <w:rPr>
          <w:sz w:val="18"/>
        </w:rPr>
      </w:pPr>
    </w:p>
    <w:p>
      <w:pPr>
        <w:pStyle w:val="ListParagraph"/>
        <w:numPr>
          <w:ilvl w:val="1"/>
          <w:numId w:val="958"/>
        </w:numPr>
        <w:tabs>
          <w:tab w:pos="1159" w:val="left" w:leader="none"/>
        </w:tabs>
        <w:spacing w:line="240" w:lineRule="auto" w:before="0" w:after="0"/>
        <w:ind w:left="1158" w:right="0" w:hanging="319"/>
        <w:jc w:val="left"/>
        <w:rPr>
          <w:sz w:val="21"/>
        </w:rPr>
      </w:pPr>
      <w:r>
        <w:rPr>
          <w:spacing w:val="-3"/>
          <w:sz w:val="21"/>
        </w:rPr>
        <w:t>系统的设备用房</w:t>
      </w:r>
      <w:r>
        <w:rPr>
          <w:sz w:val="21"/>
        </w:rPr>
        <w:t> </w:t>
      </w:r>
    </w:p>
    <w:p>
      <w:pPr>
        <w:pStyle w:val="BodyText"/>
        <w:spacing w:before="2"/>
        <w:rPr>
          <w:sz w:val="18"/>
        </w:rPr>
      </w:pPr>
    </w:p>
    <w:p>
      <w:pPr>
        <w:pStyle w:val="ListParagraph"/>
        <w:numPr>
          <w:ilvl w:val="2"/>
          <w:numId w:val="958"/>
        </w:numPr>
        <w:tabs>
          <w:tab w:pos="1371" w:val="left" w:leader="none"/>
        </w:tabs>
        <w:spacing w:line="446" w:lineRule="auto" w:before="0" w:after="0"/>
        <w:ind w:left="418" w:right="1431" w:firstLine="422"/>
        <w:jc w:val="left"/>
        <w:rPr>
          <w:b/>
          <w:sz w:val="21"/>
        </w:rPr>
      </w:pPr>
      <w:r>
        <w:rPr>
          <w:spacing w:val="-3"/>
          <w:sz w:val="21"/>
        </w:rPr>
        <w:t>系统的设备用房应符合现行国家标准《计算机场地通用规范》</w:t>
      </w:r>
      <w:r>
        <w:rPr>
          <w:sz w:val="21"/>
        </w:rPr>
        <w:t>GB/T</w:t>
      </w:r>
      <w:r>
        <w:rPr>
          <w:spacing w:val="19"/>
          <w:sz w:val="21"/>
        </w:rPr>
        <w:t> </w:t>
      </w:r>
      <w:r>
        <w:rPr>
          <w:sz w:val="21"/>
        </w:rPr>
        <w:t>2887</w:t>
      </w:r>
      <w:r>
        <w:rPr>
          <w:spacing w:val="-10"/>
          <w:sz w:val="21"/>
        </w:rPr>
        <w:t> 和《电子信</w:t>
      </w:r>
      <w:r>
        <w:rPr>
          <w:spacing w:val="-5"/>
          <w:sz w:val="21"/>
        </w:rPr>
        <w:t>息系统机房设计规范》</w:t>
      </w:r>
      <w:r>
        <w:rPr>
          <w:sz w:val="21"/>
        </w:rPr>
        <w:t>GB</w:t>
      </w:r>
      <w:r>
        <w:rPr>
          <w:spacing w:val="-2"/>
          <w:sz w:val="21"/>
        </w:rPr>
        <w:t> </w:t>
      </w:r>
      <w:r>
        <w:rPr>
          <w:sz w:val="21"/>
        </w:rPr>
        <w:t>50174</w:t>
      </w:r>
      <w:r>
        <w:rPr>
          <w:spacing w:val="-10"/>
          <w:sz w:val="21"/>
        </w:rPr>
        <w:t> 的有关规定。</w:t>
      </w:r>
      <w:r>
        <w:rPr>
          <w:b/>
          <w:w w:val="99"/>
          <w:sz w:val="21"/>
        </w:rPr>
        <w:t> </w:t>
      </w:r>
    </w:p>
    <w:p>
      <w:pPr>
        <w:spacing w:line="267" w:lineRule="exact" w:before="0"/>
        <w:ind w:left="418" w:right="0" w:firstLine="0"/>
        <w:jc w:val="left"/>
        <w:rPr>
          <w:sz w:val="21"/>
        </w:rPr>
      </w:pPr>
      <w:r>
        <w:rPr>
          <w:b/>
          <w:w w:val="99"/>
          <w:sz w:val="21"/>
        </w:rPr>
        <w:t>    </w:t>
      </w:r>
      <w:r>
        <w:rPr>
          <w:b/>
          <w:sz w:val="21"/>
        </w:rPr>
        <w:t>6.5.2 </w:t>
      </w:r>
      <w:r>
        <w:rPr>
          <w:sz w:val="21"/>
        </w:rPr>
        <w:t>系统的设备用房面积应符合下列要求： </w:t>
      </w:r>
    </w:p>
    <w:p>
      <w:pPr>
        <w:pStyle w:val="BodyText"/>
        <w:spacing w:before="1"/>
        <w:rPr>
          <w:sz w:val="18"/>
        </w:rPr>
      </w:pPr>
    </w:p>
    <w:p>
      <w:pPr>
        <w:pStyle w:val="BodyText"/>
        <w:spacing w:before="1"/>
        <w:ind w:left="418"/>
      </w:pPr>
      <w:r>
        <w:rPr>
          <w:w w:val="100"/>
        </w:rPr>
        <w:t> </w:t>
      </w:r>
      <w:r>
        <w:rPr/>
        <w:t> </w:t>
      </w:r>
      <w:r>
        <w:rPr>
          <w:w w:val="100"/>
        </w:rPr>
        <w:t> </w:t>
      </w:r>
      <w:r>
        <w:rPr/>
        <w:t> 消防通信指挥中心通信室和指挥室的总建筑面积不宜小于 150 ㎡； </w:t>
      </w:r>
    </w:p>
    <w:p>
      <w:pPr>
        <w:pStyle w:val="BodyText"/>
        <w:spacing w:before="12"/>
        <w:rPr>
          <w:sz w:val="17"/>
        </w:rPr>
      </w:pPr>
    </w:p>
    <w:p>
      <w:pPr>
        <w:pStyle w:val="BodyText"/>
        <w:ind w:left="418"/>
      </w:pPr>
      <w:r>
        <w:rPr>
          <w:w w:val="100"/>
        </w:rPr>
        <w:t> </w:t>
      </w:r>
      <w:r>
        <w:rPr/>
        <w:t> </w:t>
      </w:r>
      <w:r>
        <w:rPr>
          <w:w w:val="100"/>
        </w:rPr>
        <w:t> </w:t>
      </w:r>
      <w:r>
        <w:rPr/>
        <w:t> 消防站通信室的建筑面积，普通消防站不宜小于 30 ㎡；特种消防站不宜小于 40 ㎡。 </w:t>
      </w:r>
    </w:p>
    <w:p>
      <w:pPr>
        <w:pStyle w:val="BodyText"/>
        <w:rPr>
          <w:sz w:val="18"/>
        </w:rPr>
      </w:pPr>
    </w:p>
    <w:p>
      <w:pPr>
        <w:spacing w:before="0"/>
        <w:ind w:left="418" w:right="0" w:firstLine="0"/>
        <w:jc w:val="left"/>
        <w:rPr>
          <w:sz w:val="21"/>
        </w:rPr>
      </w:pPr>
      <w:r>
        <w:rPr>
          <w:b/>
          <w:w w:val="99"/>
          <w:sz w:val="21"/>
        </w:rPr>
        <w:t>    </w:t>
      </w:r>
      <w:r>
        <w:rPr>
          <w:b/>
          <w:sz w:val="21"/>
        </w:rPr>
        <w:t>6.5.3 </w:t>
      </w:r>
      <w:r>
        <w:rPr>
          <w:sz w:val="21"/>
        </w:rPr>
        <w:t>消防通信指挥中心和消防站的设备用房的净高要求应符合表 6.5.3 的规定。 </w:t>
      </w:r>
    </w:p>
    <w:p>
      <w:pPr>
        <w:pStyle w:val="Heading6"/>
        <w:spacing w:before="146"/>
        <w:ind w:left="3413"/>
        <w:rPr>
          <w:b w:val="0"/>
        </w:rPr>
      </w:pPr>
      <w:r>
        <w:rPr/>
        <w:t>表 6.5.3 设备用房的净高要求</w:t>
      </w:r>
      <w:r>
        <w:rPr>
          <w:b w:val="0"/>
          <w:w w:val="100"/>
        </w:rPr>
        <w:t> </w:t>
      </w:r>
    </w:p>
    <w:p>
      <w:pPr>
        <w:spacing w:after="0"/>
        <w:sectPr>
          <w:pgSz w:w="11910" w:h="16850"/>
          <w:pgMar w:header="0" w:footer="1239" w:top="1220" w:bottom="1420" w:left="1260" w:right="0"/>
        </w:sectPr>
      </w:pPr>
    </w:p>
    <w:p>
      <w:pPr>
        <w:pStyle w:val="BodyText"/>
        <w:ind w:left="1165"/>
        <w:rPr>
          <w:sz w:val="20"/>
        </w:rPr>
      </w:pPr>
      <w:r>
        <w:rPr>
          <w:sz w:val="20"/>
        </w:rPr>
        <w:drawing>
          <wp:inline distT="0" distB="0" distL="0" distR="0">
            <wp:extent cx="4515806" cy="1209675"/>
            <wp:effectExtent l="0" t="0" r="0" b="0"/>
            <wp:docPr id="813" name="image475.jpeg"/>
            <wp:cNvGraphicFramePr>
              <a:graphicFrameLocks noChangeAspect="1"/>
            </wp:cNvGraphicFramePr>
            <a:graphic>
              <a:graphicData uri="http://schemas.openxmlformats.org/drawingml/2006/picture">
                <pic:pic>
                  <pic:nvPicPr>
                    <pic:cNvPr id="814" name="image475.jpeg"/>
                    <pic:cNvPicPr/>
                  </pic:nvPicPr>
                  <pic:blipFill>
                    <a:blip r:embed="rId603" cstate="print"/>
                    <a:stretch>
                      <a:fillRect/>
                    </a:stretch>
                  </pic:blipFill>
                  <pic:spPr>
                    <a:xfrm>
                      <a:off x="0" y="0"/>
                      <a:ext cx="4515806" cy="1209675"/>
                    </a:xfrm>
                    <a:prstGeom prst="rect">
                      <a:avLst/>
                    </a:prstGeom>
                  </pic:spPr>
                </pic:pic>
              </a:graphicData>
            </a:graphic>
          </wp:inline>
        </w:drawing>
      </w:r>
      <w:r>
        <w:rPr>
          <w:sz w:val="20"/>
        </w:rPr>
      </w:r>
    </w:p>
    <w:p>
      <w:pPr>
        <w:pStyle w:val="BodyText"/>
        <w:spacing w:before="10"/>
        <w:rPr>
          <w:sz w:val="13"/>
        </w:rPr>
      </w:pPr>
    </w:p>
    <w:p>
      <w:pPr>
        <w:pStyle w:val="ListParagraph"/>
        <w:numPr>
          <w:ilvl w:val="2"/>
          <w:numId w:val="959"/>
        </w:numPr>
        <w:tabs>
          <w:tab w:pos="1370" w:val="left" w:leader="none"/>
        </w:tabs>
        <w:spacing w:line="240" w:lineRule="auto" w:before="72" w:after="0"/>
        <w:ind w:left="1369" w:right="0" w:hanging="530"/>
        <w:jc w:val="left"/>
        <w:rPr>
          <w:sz w:val="21"/>
        </w:rPr>
      </w:pPr>
      <w:r>
        <w:rPr>
          <w:spacing w:val="-7"/>
          <w:sz w:val="21"/>
        </w:rPr>
        <w:t>设备用房的荷载要求应符合表 </w:t>
      </w:r>
      <w:r>
        <w:rPr>
          <w:sz w:val="21"/>
        </w:rPr>
        <w:t>6.5.4</w:t>
      </w:r>
      <w:r>
        <w:rPr>
          <w:spacing w:val="-12"/>
          <w:sz w:val="21"/>
        </w:rPr>
        <w:t> 的规定。 </w:t>
      </w:r>
    </w:p>
    <w:p>
      <w:pPr>
        <w:pStyle w:val="Heading6"/>
        <w:spacing w:before="146"/>
        <w:ind w:left="3413"/>
        <w:rPr>
          <w:b w:val="0"/>
        </w:rPr>
      </w:pPr>
      <w:r>
        <w:rPr/>
        <w:t>表 6.5.4 设备用房的荷载要求</w:t>
      </w:r>
      <w:r>
        <w:rPr>
          <w:b w:val="0"/>
          <w:w w:val="100"/>
        </w:rPr>
        <w:t> </w:t>
      </w:r>
    </w:p>
    <w:p>
      <w:pPr>
        <w:pStyle w:val="BodyText"/>
        <w:ind w:left="1122"/>
        <w:rPr>
          <w:sz w:val="20"/>
        </w:rPr>
      </w:pPr>
      <w:r>
        <w:rPr>
          <w:sz w:val="20"/>
        </w:rPr>
        <w:drawing>
          <wp:inline distT="0" distB="0" distL="0" distR="0">
            <wp:extent cx="4564370" cy="1447800"/>
            <wp:effectExtent l="0" t="0" r="0" b="0"/>
            <wp:docPr id="815" name="image476.jpeg"/>
            <wp:cNvGraphicFramePr>
              <a:graphicFrameLocks noChangeAspect="1"/>
            </wp:cNvGraphicFramePr>
            <a:graphic>
              <a:graphicData uri="http://schemas.openxmlformats.org/drawingml/2006/picture">
                <pic:pic>
                  <pic:nvPicPr>
                    <pic:cNvPr id="816" name="image476.jpeg"/>
                    <pic:cNvPicPr/>
                  </pic:nvPicPr>
                  <pic:blipFill>
                    <a:blip r:embed="rId604" cstate="print"/>
                    <a:stretch>
                      <a:fillRect/>
                    </a:stretch>
                  </pic:blipFill>
                  <pic:spPr>
                    <a:xfrm>
                      <a:off x="0" y="0"/>
                      <a:ext cx="4564370" cy="1447800"/>
                    </a:xfrm>
                    <a:prstGeom prst="rect">
                      <a:avLst/>
                    </a:prstGeom>
                  </pic:spPr>
                </pic:pic>
              </a:graphicData>
            </a:graphic>
          </wp:inline>
        </w:drawing>
      </w:r>
      <w:r>
        <w:rPr>
          <w:sz w:val="20"/>
        </w:rPr>
      </w:r>
    </w:p>
    <w:p>
      <w:pPr>
        <w:pStyle w:val="BodyText"/>
        <w:spacing w:before="9"/>
        <w:rPr>
          <w:sz w:val="20"/>
        </w:rPr>
      </w:pPr>
    </w:p>
    <w:p>
      <w:pPr>
        <w:pStyle w:val="ListParagraph"/>
        <w:numPr>
          <w:ilvl w:val="2"/>
          <w:numId w:val="959"/>
        </w:numPr>
        <w:tabs>
          <w:tab w:pos="1370" w:val="left" w:leader="none"/>
        </w:tabs>
        <w:spacing w:line="367" w:lineRule="auto" w:before="1" w:after="0"/>
        <w:ind w:left="2253" w:right="2565" w:hanging="1414"/>
        <w:jc w:val="left"/>
        <w:rPr>
          <w:sz w:val="21"/>
        </w:rPr>
      </w:pPr>
      <w:r>
        <w:rPr/>
        <w:drawing>
          <wp:anchor distT="0" distB="0" distL="0" distR="0" allowOverlap="1" layoutInCell="1" locked="0" behindDoc="1" simplePos="0" relativeHeight="216012800">
            <wp:simplePos x="0" y="0"/>
            <wp:positionH relativeFrom="page">
              <wp:posOffset>1531238</wp:posOffset>
            </wp:positionH>
            <wp:positionV relativeFrom="paragraph">
              <wp:posOffset>435101</wp:posOffset>
            </wp:positionV>
            <wp:extent cx="4535170" cy="1218949"/>
            <wp:effectExtent l="0" t="0" r="0" b="0"/>
            <wp:wrapNone/>
            <wp:docPr id="817" name="image477.jpeg"/>
            <wp:cNvGraphicFramePr>
              <a:graphicFrameLocks noChangeAspect="1"/>
            </wp:cNvGraphicFramePr>
            <a:graphic>
              <a:graphicData uri="http://schemas.openxmlformats.org/drawingml/2006/picture">
                <pic:pic>
                  <pic:nvPicPr>
                    <pic:cNvPr id="818" name="image477.jpeg"/>
                    <pic:cNvPicPr/>
                  </pic:nvPicPr>
                  <pic:blipFill>
                    <a:blip r:embed="rId605" cstate="print"/>
                    <a:stretch>
                      <a:fillRect/>
                    </a:stretch>
                  </pic:blipFill>
                  <pic:spPr>
                    <a:xfrm>
                      <a:off x="0" y="0"/>
                      <a:ext cx="4535170" cy="1218949"/>
                    </a:xfrm>
                    <a:prstGeom prst="rect">
                      <a:avLst/>
                    </a:prstGeom>
                  </pic:spPr>
                </pic:pic>
              </a:graphicData>
            </a:graphic>
          </wp:anchor>
        </w:drawing>
      </w:r>
      <w:r>
        <w:rPr>
          <w:spacing w:val="-5"/>
          <w:sz w:val="21"/>
        </w:rPr>
        <w:t>消防通信指挥中心的室内温度、相对湿度要求应符合表 </w:t>
      </w:r>
      <w:r>
        <w:rPr>
          <w:sz w:val="21"/>
        </w:rPr>
        <w:t>6.5.5</w:t>
      </w:r>
      <w:r>
        <w:rPr>
          <w:spacing w:val="-9"/>
          <w:sz w:val="21"/>
        </w:rPr>
        <w:t> 的规定。</w:t>
      </w:r>
      <w:r>
        <w:rPr>
          <w:b/>
          <w:sz w:val="21"/>
        </w:rPr>
        <w:t>表</w:t>
      </w:r>
      <w:r>
        <w:rPr>
          <w:b/>
          <w:spacing w:val="-54"/>
          <w:sz w:val="21"/>
        </w:rPr>
        <w:t> </w:t>
      </w:r>
      <w:r>
        <w:rPr>
          <w:b/>
          <w:sz w:val="21"/>
        </w:rPr>
        <w:t>6.5.5</w:t>
      </w:r>
      <w:r>
        <w:rPr>
          <w:b/>
          <w:spacing w:val="-3"/>
          <w:sz w:val="21"/>
        </w:rPr>
        <w:t> 消防通信指挥中心的室内温度、相对湿度要求</w:t>
      </w:r>
      <w:r>
        <w:rPr>
          <w:spacing w:val="-3"/>
          <w:w w:val="100"/>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pPr>
    </w:p>
    <w:p>
      <w:pPr>
        <w:pStyle w:val="ListParagraph"/>
        <w:numPr>
          <w:ilvl w:val="2"/>
          <w:numId w:val="959"/>
        </w:numPr>
        <w:tabs>
          <w:tab w:pos="1370" w:val="left" w:leader="none"/>
        </w:tabs>
        <w:spacing w:line="240" w:lineRule="auto" w:before="0" w:after="0"/>
        <w:ind w:left="1369" w:right="0" w:hanging="530"/>
        <w:jc w:val="left"/>
        <w:rPr>
          <w:sz w:val="21"/>
        </w:rPr>
      </w:pPr>
      <w:r>
        <w:rPr>
          <w:spacing w:val="-3"/>
          <w:sz w:val="21"/>
        </w:rPr>
        <w:t>机房防静电应符合下列要求：</w:t>
      </w:r>
      <w:r>
        <w:rPr>
          <w:sz w:val="21"/>
        </w:rPr>
        <w:t> </w:t>
      </w:r>
    </w:p>
    <w:p>
      <w:pPr>
        <w:pStyle w:val="BodyText"/>
        <w:spacing w:before="12"/>
        <w:rPr>
          <w:sz w:val="17"/>
        </w:rPr>
      </w:pPr>
    </w:p>
    <w:p>
      <w:pPr>
        <w:pStyle w:val="BodyText"/>
        <w:ind w:left="418"/>
      </w:pPr>
      <w:r>
        <w:rPr>
          <w:w w:val="100"/>
        </w:rPr>
        <w:t> </w:t>
      </w:r>
      <w:r>
        <w:rPr/>
        <w:t> </w:t>
      </w:r>
      <w:r>
        <w:rPr>
          <w:w w:val="100"/>
        </w:rPr>
        <w:t> </w:t>
      </w:r>
      <w:r>
        <w:rPr/>
        <w:t> </w:t>
      </w:r>
      <w:r>
        <w:rPr>
          <w:spacing w:val="-3"/>
        </w:rPr>
        <w:t>机房地面及工作面的静电泄漏电阻应符合现行国家标准《计算机场地通用规范》</w:t>
      </w:r>
      <w:r>
        <w:rPr/>
        <w:t>GB/T</w:t>
      </w:r>
      <w:r>
        <w:rPr>
          <w:spacing w:val="54"/>
        </w:rPr>
        <w:t> </w:t>
      </w:r>
      <w:r>
        <w:rPr/>
        <w:t>2887</w:t>
      </w:r>
    </w:p>
    <w:p>
      <w:pPr>
        <w:pStyle w:val="BodyText"/>
        <w:rPr>
          <w:sz w:val="18"/>
        </w:rPr>
      </w:pPr>
    </w:p>
    <w:p>
      <w:pPr>
        <w:pStyle w:val="BodyText"/>
        <w:ind w:left="418"/>
      </w:pPr>
      <w:r>
        <w:rPr/>
        <w:t>的规定； </w:t>
      </w:r>
    </w:p>
    <w:p>
      <w:pPr>
        <w:pStyle w:val="BodyText"/>
        <w:spacing w:before="2"/>
        <w:rPr>
          <w:sz w:val="18"/>
        </w:rPr>
      </w:pPr>
    </w:p>
    <w:p>
      <w:pPr>
        <w:pStyle w:val="BodyText"/>
        <w:ind w:left="418"/>
        <w:jc w:val="both"/>
      </w:pPr>
      <w:r>
        <w:rPr>
          <w:w w:val="100"/>
        </w:rPr>
        <w:t> </w:t>
      </w:r>
      <w:r>
        <w:rPr/>
        <w:t> </w:t>
      </w:r>
      <w:r>
        <w:rPr>
          <w:w w:val="100"/>
        </w:rPr>
        <w:t> </w:t>
      </w:r>
      <w:r>
        <w:rPr/>
        <w:t> 机房内绝缘体的静电电位不应大于 1kV； </w:t>
      </w:r>
    </w:p>
    <w:p>
      <w:pPr>
        <w:pStyle w:val="BodyText"/>
        <w:rPr>
          <w:sz w:val="18"/>
        </w:rPr>
      </w:pPr>
    </w:p>
    <w:p>
      <w:pPr>
        <w:pStyle w:val="BodyText"/>
        <w:spacing w:line="446" w:lineRule="auto"/>
        <w:ind w:left="418" w:right="1430"/>
        <w:jc w:val="both"/>
      </w:pPr>
      <w:r>
        <w:rPr>
          <w:w w:val="100"/>
        </w:rPr>
        <w:t> </w:t>
      </w:r>
      <w:r>
        <w:rPr/>
        <w:t> </w:t>
      </w:r>
      <w:r>
        <w:rPr>
          <w:w w:val="100"/>
        </w:rPr>
        <w:t> </w:t>
      </w:r>
      <w:r>
        <w:rPr/>
        <w:t> </w:t>
      </w:r>
      <w:r>
        <w:rPr>
          <w:spacing w:val="-6"/>
        </w:rPr>
        <w:t>机房不用活动地板时，可铺设导静电地面；导静电地面可采用导电胶与建筑地面粘牢，导静</w:t>
      </w:r>
      <w:r>
        <w:rPr>
          <w:spacing w:val="-5"/>
        </w:rPr>
        <w:t>电地面电阻率均应为 </w:t>
      </w:r>
      <w:r>
        <w:rPr/>
        <w:t>1.0×107Ω·cm～1.0×1010Ω·cm</w:t>
      </w:r>
      <w:r>
        <w:rPr>
          <w:spacing w:val="-3"/>
        </w:rPr>
        <w:t>，其导电性能应长期稳定且材料不易起尘；</w:t>
      </w:r>
      <w:r>
        <w:rPr/>
        <w:t> </w:t>
      </w:r>
    </w:p>
    <w:p>
      <w:pPr>
        <w:pStyle w:val="BodyText"/>
        <w:spacing w:line="446" w:lineRule="auto"/>
        <w:ind w:left="418" w:right="1431"/>
        <w:jc w:val="both"/>
      </w:pPr>
      <w:r>
        <w:rPr>
          <w:w w:val="100"/>
        </w:rPr>
        <w:t> </w:t>
      </w:r>
      <w:r>
        <w:rPr/>
        <w:t> </w:t>
      </w:r>
      <w:r>
        <w:rPr>
          <w:w w:val="100"/>
        </w:rPr>
        <w:t> </w:t>
      </w:r>
      <w:r>
        <w:rPr/>
        <w:t> </w:t>
      </w:r>
      <w:r>
        <w:rPr>
          <w:spacing w:val="-5"/>
        </w:rPr>
        <w:t>机房内采用的活动地板可由钢、铝或其他有足够机械强度的难燃材料制成，活动地板表面应</w:t>
      </w:r>
      <w:r>
        <w:rPr>
          <w:spacing w:val="-4"/>
        </w:rPr>
        <w:t>采用导静电材料，不得暴露金属部分。</w:t>
      </w:r>
      <w:r>
        <w:rPr/>
        <w:t> </w:t>
      </w:r>
    </w:p>
    <w:p>
      <w:pPr>
        <w:pStyle w:val="BodyText"/>
        <w:ind w:left="418"/>
      </w:pPr>
      <w:r>
        <w:rPr>
          <w:w w:val="100"/>
        </w:rPr>
        <w:t>    </w:t>
      </w:r>
      <w:r>
        <w:rPr>
          <w:b/>
        </w:rPr>
        <w:t>6.5.7 </w:t>
      </w:r>
      <w:r>
        <w:rPr/>
        <w:t>消防通信指挥中心和消防站的设备用房照度应符合下列要求： </w:t>
      </w:r>
    </w:p>
    <w:p>
      <w:pPr>
        <w:pStyle w:val="BodyText"/>
        <w:spacing w:before="11"/>
        <w:rPr>
          <w:sz w:val="17"/>
        </w:rPr>
      </w:pPr>
    </w:p>
    <w:p>
      <w:pPr>
        <w:pStyle w:val="BodyText"/>
        <w:ind w:left="418"/>
        <w:jc w:val="both"/>
      </w:pPr>
      <w:r>
        <w:rPr>
          <w:w w:val="100"/>
        </w:rPr>
        <w:t> </w:t>
      </w:r>
      <w:r>
        <w:rPr/>
        <w:t> </w:t>
      </w:r>
      <w:r>
        <w:rPr>
          <w:w w:val="100"/>
        </w:rPr>
        <w:t> </w:t>
      </w:r>
      <w:r>
        <w:rPr/>
        <w:t> </w:t>
      </w:r>
      <w:r>
        <w:rPr>
          <w:w w:val="100"/>
        </w:rPr>
        <w:t> </w:t>
      </w:r>
      <w:r>
        <w:rPr/>
        <w:t>距地板面 0.75m 的水平工作面为 200～500lx； </w:t>
      </w:r>
    </w:p>
    <w:p>
      <w:pPr>
        <w:pStyle w:val="BodyText"/>
        <w:rPr>
          <w:sz w:val="18"/>
        </w:rPr>
      </w:pPr>
    </w:p>
    <w:p>
      <w:pPr>
        <w:pStyle w:val="BodyText"/>
        <w:ind w:left="418"/>
        <w:jc w:val="both"/>
      </w:pPr>
      <w:r>
        <w:rPr>
          <w:w w:val="100"/>
        </w:rPr>
        <w:t> </w:t>
      </w:r>
      <w:r>
        <w:rPr/>
        <w:t> </w:t>
      </w:r>
      <w:r>
        <w:rPr>
          <w:w w:val="100"/>
        </w:rPr>
        <w:t> </w:t>
      </w:r>
      <w:r>
        <w:rPr/>
        <w:t> </w:t>
      </w:r>
      <w:r>
        <w:rPr>
          <w:w w:val="100"/>
        </w:rPr>
        <w:t> </w:t>
      </w:r>
      <w:r>
        <w:rPr/>
        <w:t>距地板面 1.40m 的垂直工作面为 50～200lx。 </w:t>
      </w:r>
    </w:p>
    <w:p>
      <w:pPr>
        <w:spacing w:after="0"/>
        <w:jc w:val="both"/>
        <w:sectPr>
          <w:pgSz w:w="11910" w:h="16850"/>
          <w:pgMar w:header="0" w:footer="1239" w:top="1080" w:bottom="1420" w:left="1260" w:right="0"/>
        </w:sectPr>
      </w:pPr>
    </w:p>
    <w:p>
      <w:pPr>
        <w:spacing w:before="47"/>
        <w:ind w:left="418" w:right="0" w:firstLine="0"/>
        <w:jc w:val="left"/>
        <w:rPr>
          <w:sz w:val="21"/>
        </w:rPr>
      </w:pPr>
      <w:r>
        <w:rPr>
          <w:w w:val="100"/>
          <w:sz w:val="21"/>
        </w:rPr>
        <w:t>    </w:t>
      </w:r>
      <w:r>
        <w:rPr>
          <w:b/>
          <w:sz w:val="21"/>
        </w:rPr>
        <w:t>6.5.8 </w:t>
      </w:r>
      <w:r>
        <w:rPr>
          <w:sz w:val="21"/>
        </w:rPr>
        <w:t>系统机房设备布置应符合下列要求： </w:t>
      </w:r>
    </w:p>
    <w:p>
      <w:pPr>
        <w:pStyle w:val="BodyText"/>
        <w:rPr>
          <w:sz w:val="18"/>
        </w:rPr>
      </w:pPr>
    </w:p>
    <w:p>
      <w:pPr>
        <w:pStyle w:val="BodyText"/>
        <w:ind w:left="418"/>
      </w:pPr>
      <w:r>
        <w:rPr>
          <w:w w:val="100"/>
        </w:rPr>
        <w:t> </w:t>
      </w:r>
      <w:r>
        <w:rPr/>
        <w:t> </w:t>
      </w:r>
      <w:r>
        <w:rPr>
          <w:w w:val="100"/>
        </w:rPr>
        <w:t> </w:t>
      </w:r>
      <w:r>
        <w:rPr/>
        <w:t> 机房设备应根据系统配置及管理需要分区布置，当几个系统合用机房时，应按功能分区布置； </w:t>
      </w:r>
    </w:p>
    <w:p>
      <w:pPr>
        <w:pStyle w:val="BodyText"/>
        <w:rPr>
          <w:sz w:val="18"/>
        </w:rPr>
      </w:pPr>
    </w:p>
    <w:p>
      <w:pPr>
        <w:pStyle w:val="BodyText"/>
        <w:ind w:left="418"/>
      </w:pPr>
      <w:r>
        <w:rPr>
          <w:w w:val="100"/>
        </w:rPr>
        <w:t> </w:t>
      </w:r>
      <w:r>
        <w:rPr/>
        <w:t> </w:t>
      </w:r>
      <w:r>
        <w:rPr>
          <w:w w:val="100"/>
        </w:rPr>
        <w:t>  </w:t>
      </w:r>
      <w:r>
        <w:rPr/>
        <w:t>地震基本烈度为 7 度及以上地区，机房设备的安装应采取抗震措施； </w:t>
      </w:r>
    </w:p>
    <w:p>
      <w:pPr>
        <w:pStyle w:val="BodyText"/>
        <w:spacing w:before="1"/>
        <w:rPr>
          <w:sz w:val="18"/>
        </w:rPr>
      </w:pPr>
    </w:p>
    <w:p>
      <w:pPr>
        <w:pStyle w:val="BodyText"/>
        <w:spacing w:before="1"/>
        <w:ind w:left="418"/>
      </w:pPr>
      <w:r>
        <w:rPr>
          <w:w w:val="100"/>
        </w:rPr>
        <w:t> </w:t>
      </w:r>
      <w:r>
        <w:rPr/>
        <w:t> </w:t>
      </w:r>
      <w:r>
        <w:rPr>
          <w:w w:val="100"/>
        </w:rPr>
        <w:t>  </w:t>
      </w:r>
      <w:r>
        <w:rPr/>
        <w:t>墙挂式设备中心距地面高度宜为 1.5m，侧面距墙不应大于 0.5m。 </w:t>
      </w:r>
    </w:p>
    <w:p>
      <w:pPr>
        <w:pStyle w:val="BodyText"/>
        <w:spacing w:before="12"/>
        <w:rPr>
          <w:sz w:val="17"/>
        </w:rPr>
      </w:pPr>
    </w:p>
    <w:p>
      <w:pPr>
        <w:pStyle w:val="BodyText"/>
        <w:ind w:left="418"/>
      </w:pPr>
      <w:r>
        <w:rPr>
          <w:w w:val="100"/>
        </w:rPr>
        <w:t>    </w:t>
      </w:r>
      <w:r>
        <w:rPr>
          <w:b/>
        </w:rPr>
        <w:t>6.5.9 </w:t>
      </w:r>
      <w:r>
        <w:rPr/>
        <w:t>机房内设备的间距和通道应符合下列要求： </w:t>
      </w:r>
    </w:p>
    <w:p>
      <w:pPr>
        <w:pStyle w:val="BodyText"/>
        <w:spacing w:before="12"/>
        <w:rPr>
          <w:sz w:val="17"/>
        </w:rPr>
      </w:pPr>
    </w:p>
    <w:p>
      <w:pPr>
        <w:pStyle w:val="BodyText"/>
        <w:ind w:left="418"/>
      </w:pPr>
      <w:r>
        <w:rPr>
          <w:w w:val="100"/>
        </w:rPr>
        <w:t> </w:t>
      </w:r>
      <w:r>
        <w:rPr/>
        <w:t> </w:t>
      </w:r>
      <w:r>
        <w:rPr>
          <w:w w:val="100"/>
        </w:rPr>
        <w:t>  </w:t>
      </w:r>
      <w:r>
        <w:rPr/>
        <w:t>机柜正面相对排列时，其净距离不应小于 1.5m； </w:t>
      </w:r>
    </w:p>
    <w:p>
      <w:pPr>
        <w:pStyle w:val="BodyText"/>
        <w:spacing w:before="2"/>
        <w:rPr>
          <w:sz w:val="18"/>
        </w:rPr>
      </w:pPr>
    </w:p>
    <w:p>
      <w:pPr>
        <w:pStyle w:val="BodyText"/>
        <w:ind w:left="418"/>
      </w:pPr>
      <w:r>
        <w:rPr>
          <w:w w:val="100"/>
        </w:rPr>
        <w:t> </w:t>
      </w:r>
      <w:r>
        <w:rPr/>
        <w:t> </w:t>
      </w:r>
      <w:r>
        <w:rPr>
          <w:w w:val="100"/>
        </w:rPr>
        <w:t>  </w:t>
      </w:r>
      <w:r>
        <w:rPr/>
        <w:t>背后开门的设备，背面距墙面不应小于 0.8m； </w:t>
      </w:r>
    </w:p>
    <w:p>
      <w:pPr>
        <w:pStyle w:val="BodyText"/>
        <w:rPr>
          <w:sz w:val="18"/>
        </w:rPr>
      </w:pPr>
    </w:p>
    <w:p>
      <w:pPr>
        <w:pStyle w:val="BodyText"/>
        <w:spacing w:line="446" w:lineRule="auto"/>
        <w:ind w:left="418" w:right="1431"/>
      </w:pPr>
      <w:r>
        <w:rPr>
          <w:w w:val="100"/>
        </w:rPr>
        <w:t> </w:t>
      </w:r>
      <w:r>
        <w:rPr/>
        <w:t> </w:t>
      </w:r>
      <w:r>
        <w:rPr>
          <w:w w:val="100"/>
        </w:rPr>
        <w:t>  </w:t>
      </w:r>
      <w:r>
        <w:rPr>
          <w:spacing w:val="-6"/>
        </w:rPr>
        <w:t>机柜侧面距墙不应小于 </w:t>
      </w:r>
      <w:r>
        <w:rPr>
          <w:spacing w:val="-15"/>
        </w:rPr>
        <w:t>0.5m</w:t>
      </w:r>
      <w:r>
        <w:rPr>
          <w:spacing w:val="-7"/>
        </w:rPr>
        <w:t>，机柜侧面距其他设备净距不应小于 </w:t>
      </w:r>
      <w:r>
        <w:rPr>
          <w:spacing w:val="-16"/>
        </w:rPr>
        <w:t>0.8m</w:t>
      </w:r>
      <w:r>
        <w:rPr>
          <w:spacing w:val="-5"/>
        </w:rPr>
        <w:t>，当需要维修测试时， </w:t>
      </w:r>
      <w:r>
        <w:rPr>
          <w:spacing w:val="-11"/>
        </w:rPr>
        <w:t>距墙不应小于 </w:t>
      </w:r>
      <w:r>
        <w:rPr/>
        <w:t>1.2m； </w:t>
      </w:r>
    </w:p>
    <w:p>
      <w:pPr>
        <w:pStyle w:val="BodyText"/>
        <w:ind w:left="418"/>
      </w:pPr>
      <w:r>
        <w:rPr>
          <w:w w:val="100"/>
        </w:rPr>
        <w:t> </w:t>
      </w:r>
      <w:r>
        <w:rPr/>
        <w:t> </w:t>
      </w:r>
      <w:r>
        <w:rPr>
          <w:w w:val="100"/>
        </w:rPr>
        <w:t> </w:t>
      </w:r>
      <w:r>
        <w:rPr/>
        <w:t> 并排布置的设备总长度大于 4m 时，两侧均应设置通道； </w:t>
      </w:r>
    </w:p>
    <w:p>
      <w:pPr>
        <w:pStyle w:val="BodyText"/>
        <w:rPr>
          <w:sz w:val="18"/>
        </w:rPr>
      </w:pPr>
    </w:p>
    <w:p>
      <w:pPr>
        <w:pStyle w:val="BodyText"/>
        <w:ind w:left="418"/>
      </w:pPr>
      <w:r>
        <w:rPr>
          <w:w w:val="100"/>
        </w:rPr>
        <w:t> </w:t>
      </w:r>
      <w:r>
        <w:rPr/>
        <w:t> </w:t>
      </w:r>
      <w:r>
        <w:rPr>
          <w:w w:val="100"/>
        </w:rPr>
        <w:t> </w:t>
      </w:r>
      <w:r>
        <w:rPr/>
        <w:t> 机房内通道净宽不应小于 1.2m。 </w:t>
      </w:r>
    </w:p>
    <w:p>
      <w:pPr>
        <w:pStyle w:val="BodyText"/>
        <w:spacing w:before="12"/>
        <w:rPr>
          <w:sz w:val="17"/>
        </w:rPr>
      </w:pPr>
    </w:p>
    <w:p>
      <w:pPr>
        <w:pStyle w:val="BodyText"/>
        <w:spacing w:line="446" w:lineRule="auto"/>
        <w:ind w:left="418" w:right="1432"/>
        <w:rPr>
          <w:sz w:val="18"/>
        </w:rPr>
      </w:pPr>
      <w:r>
        <w:rPr>
          <w:w w:val="100"/>
        </w:rPr>
        <w:t>    </w:t>
      </w:r>
      <w:r>
        <w:rPr>
          <w:b/>
        </w:rPr>
        <w:t>6.5.10</w:t>
      </w:r>
      <w:r>
        <w:rPr>
          <w:b/>
          <w:spacing w:val="92"/>
        </w:rPr>
        <w:t> </w:t>
      </w:r>
      <w:r>
        <w:rPr>
          <w:spacing w:val="-3"/>
        </w:rPr>
        <w:t>消防通信指挥中心和消防站的设备用房应避开强电磁场干扰，或采取有效的电磁屏</w:t>
      </w:r>
      <w:r>
        <w:rPr>
          <w:spacing w:val="-6"/>
        </w:rPr>
        <w:t>蔽措施。室内电磁干扰场强在频率范围为 </w:t>
      </w:r>
      <w:r>
        <w:rPr/>
        <w:t>1MHz～1GHz</w:t>
      </w:r>
      <w:r>
        <w:rPr>
          <w:spacing w:val="-16"/>
        </w:rPr>
        <w:t> 时，不应大于 </w:t>
      </w:r>
      <w:r>
        <w:rPr/>
        <w:t>10V/m</w:t>
      </w:r>
      <w:r>
        <w:rPr>
          <w:spacing w:val="-3"/>
        </w:rPr>
        <w:t>。</w:t>
      </w:r>
      <w:r>
        <w:rPr>
          <w:sz w:val="18"/>
        </w:rPr>
        <w:t> </w:t>
      </w:r>
    </w:p>
    <w:p>
      <w:pPr>
        <w:pStyle w:val="Heading4"/>
        <w:spacing w:line="278" w:lineRule="exact"/>
      </w:pPr>
      <w:r>
        <w:rPr/>
        <w:t>7 系统通用设备和软件要求</w:t>
      </w:r>
      <w:r>
        <w:rPr>
          <w:w w:val="99"/>
        </w:rPr>
        <w:t> </w:t>
      </w:r>
    </w:p>
    <w:p>
      <w:pPr>
        <w:pStyle w:val="BodyText"/>
        <w:spacing w:before="4"/>
        <w:rPr>
          <w:b/>
          <w:sz w:val="17"/>
        </w:rPr>
      </w:pPr>
    </w:p>
    <w:p>
      <w:pPr>
        <w:pStyle w:val="ListParagraph"/>
        <w:numPr>
          <w:ilvl w:val="1"/>
          <w:numId w:val="960"/>
        </w:numPr>
        <w:tabs>
          <w:tab w:pos="1159" w:val="left" w:leader="none"/>
        </w:tabs>
        <w:spacing w:line="240" w:lineRule="auto" w:before="0" w:after="0"/>
        <w:ind w:left="1158" w:right="0" w:hanging="319"/>
        <w:jc w:val="left"/>
        <w:rPr>
          <w:b/>
          <w:sz w:val="21"/>
        </w:rPr>
      </w:pPr>
      <w:r>
        <w:rPr>
          <w:spacing w:val="-3"/>
          <w:sz w:val="21"/>
        </w:rPr>
        <w:t>系统通用设备</w:t>
      </w:r>
      <w:r>
        <w:rPr>
          <w:b/>
          <w:w w:val="99"/>
          <w:sz w:val="21"/>
        </w:rPr>
        <w:t> </w:t>
      </w:r>
    </w:p>
    <w:p>
      <w:pPr>
        <w:pStyle w:val="BodyText"/>
        <w:spacing w:before="2"/>
        <w:rPr>
          <w:b/>
          <w:sz w:val="18"/>
        </w:rPr>
      </w:pPr>
    </w:p>
    <w:p>
      <w:pPr>
        <w:pStyle w:val="ListParagraph"/>
        <w:numPr>
          <w:ilvl w:val="2"/>
          <w:numId w:val="960"/>
        </w:numPr>
        <w:tabs>
          <w:tab w:pos="1370" w:val="left" w:leader="none"/>
        </w:tabs>
        <w:spacing w:line="446" w:lineRule="auto" w:before="0" w:after="0"/>
        <w:ind w:left="418" w:right="1433" w:firstLine="422"/>
        <w:jc w:val="left"/>
        <w:rPr>
          <w:sz w:val="21"/>
        </w:rPr>
      </w:pPr>
      <w:r>
        <w:rPr>
          <w:spacing w:val="-6"/>
          <w:sz w:val="21"/>
        </w:rPr>
        <w:t>消防通信指挥系统使用的计算机、输入设备、输出设备、数据存储与数据备份设备以</w:t>
      </w:r>
      <w:r>
        <w:rPr>
          <w:spacing w:val="-4"/>
          <w:sz w:val="21"/>
        </w:rPr>
        <w:t>及不间断电源等硬件设备应为通过中国强制性产品质量认证的产品。</w:t>
      </w:r>
      <w:r>
        <w:rPr>
          <w:sz w:val="21"/>
        </w:rPr>
        <w:t> </w:t>
      </w:r>
    </w:p>
    <w:p>
      <w:pPr>
        <w:pStyle w:val="BodyText"/>
        <w:spacing w:line="446" w:lineRule="auto"/>
        <w:ind w:left="418" w:right="1377"/>
      </w:pPr>
      <w:r>
        <w:rPr>
          <w:b/>
          <w:w w:val="99"/>
        </w:rPr>
        <w:t>    </w:t>
      </w:r>
      <w:r>
        <w:rPr>
          <w:b/>
        </w:rPr>
        <w:t>7.1.2 </w:t>
      </w:r>
      <w:r>
        <w:rPr/>
        <w:t>消防通信指挥系统使用的电信终端设备、无线通信设备、卫星通信设备和涉及网间互联的网络设备等产品应具有国家主管部门颁发的进网许可证。 </w:t>
      </w:r>
    </w:p>
    <w:p>
      <w:pPr>
        <w:pStyle w:val="BodyText"/>
        <w:spacing w:line="446" w:lineRule="auto"/>
        <w:ind w:left="418" w:right="1431"/>
        <w:jc w:val="both"/>
      </w:pPr>
      <w:r>
        <w:rPr>
          <w:w w:val="100"/>
        </w:rPr>
        <w:t>   </w:t>
      </w:r>
      <w:r>
        <w:rPr>
          <w:b/>
          <w:spacing w:val="-3"/>
          <w:w w:val="99"/>
        </w:rPr>
        <w:t> </w:t>
      </w:r>
      <w:r>
        <w:rPr>
          <w:b/>
        </w:rPr>
        <w:t>7.1.3 </w:t>
      </w:r>
      <w:r>
        <w:rPr>
          <w:spacing w:val="-8"/>
        </w:rPr>
        <w:t>消防通信指挥系统使用的开关插座、接线端子</w:t>
      </w:r>
      <w:r>
        <w:rPr/>
        <w:t>（盒</w:t>
      </w:r>
      <w:r>
        <w:rPr>
          <w:spacing w:val="-108"/>
        </w:rPr>
        <w:t>）</w:t>
      </w:r>
      <w:r>
        <w:rPr>
          <w:spacing w:val="-10"/>
        </w:rPr>
        <w:t>、电线电缆、线槽桥架等电器材料</w:t>
      </w:r>
      <w:r>
        <w:rPr>
          <w:spacing w:val="-7"/>
        </w:rPr>
        <w:t>应采用符合国家现行有关标准的产品，实行生产许可证或安全认证制度的产品应具有许可证编号</w:t>
      </w:r>
      <w:r>
        <w:rPr>
          <w:spacing w:val="-5"/>
        </w:rPr>
        <w:t>或安全认证标志。</w:t>
      </w:r>
      <w:r>
        <w:rPr/>
        <w:t> </w:t>
      </w:r>
    </w:p>
    <w:p>
      <w:pPr>
        <w:pStyle w:val="ListParagraph"/>
        <w:numPr>
          <w:ilvl w:val="1"/>
          <w:numId w:val="960"/>
        </w:numPr>
        <w:tabs>
          <w:tab w:pos="1160" w:val="left" w:leader="none"/>
        </w:tabs>
        <w:spacing w:line="268" w:lineRule="exact" w:before="0" w:after="0"/>
        <w:ind w:left="1159" w:right="0" w:hanging="320"/>
        <w:jc w:val="left"/>
        <w:rPr>
          <w:b/>
          <w:sz w:val="21"/>
        </w:rPr>
      </w:pPr>
      <w:r>
        <w:rPr>
          <w:spacing w:val="-3"/>
          <w:sz w:val="21"/>
        </w:rPr>
        <w:t>系统软件</w:t>
      </w:r>
      <w:r>
        <w:rPr>
          <w:b/>
          <w:w w:val="99"/>
          <w:sz w:val="21"/>
        </w:rPr>
        <w:t> </w:t>
      </w:r>
    </w:p>
    <w:p>
      <w:pPr>
        <w:pStyle w:val="BodyText"/>
        <w:spacing w:before="10"/>
        <w:rPr>
          <w:b/>
          <w:sz w:val="17"/>
        </w:rPr>
      </w:pPr>
    </w:p>
    <w:p>
      <w:pPr>
        <w:pStyle w:val="ListParagraph"/>
        <w:numPr>
          <w:ilvl w:val="2"/>
          <w:numId w:val="960"/>
        </w:numPr>
        <w:tabs>
          <w:tab w:pos="1367" w:val="left" w:leader="none"/>
        </w:tabs>
        <w:spacing w:line="240" w:lineRule="auto" w:before="0" w:after="0"/>
        <w:ind w:left="1367" w:right="0" w:hanging="529"/>
        <w:jc w:val="left"/>
        <w:rPr>
          <w:sz w:val="21"/>
        </w:rPr>
      </w:pPr>
      <w:r>
        <w:rPr>
          <w:spacing w:val="-3"/>
          <w:sz w:val="21"/>
        </w:rPr>
        <w:t>操作系统软件、平台软件应具有软件使用（</w:t>
      </w:r>
      <w:r>
        <w:rPr>
          <w:sz w:val="21"/>
        </w:rPr>
        <w:t>授权</w:t>
      </w:r>
      <w:r>
        <w:rPr>
          <w:spacing w:val="-3"/>
          <w:sz w:val="21"/>
        </w:rPr>
        <w:t>）许可证。</w:t>
      </w:r>
      <w:r>
        <w:rPr>
          <w:sz w:val="21"/>
        </w:rPr>
        <w:t> </w:t>
      </w:r>
    </w:p>
    <w:p>
      <w:pPr>
        <w:pStyle w:val="BodyText"/>
        <w:spacing w:before="2"/>
        <w:rPr>
          <w:sz w:val="18"/>
        </w:rPr>
      </w:pPr>
    </w:p>
    <w:p>
      <w:pPr>
        <w:pStyle w:val="ListParagraph"/>
        <w:numPr>
          <w:ilvl w:val="2"/>
          <w:numId w:val="960"/>
        </w:numPr>
        <w:tabs>
          <w:tab w:pos="1369" w:val="left" w:leader="none"/>
        </w:tabs>
        <w:spacing w:line="240" w:lineRule="auto" w:before="0" w:after="0"/>
        <w:ind w:left="1368" w:right="0" w:hanging="531"/>
        <w:jc w:val="left"/>
        <w:rPr>
          <w:sz w:val="21"/>
        </w:rPr>
      </w:pPr>
      <w:r>
        <w:rPr>
          <w:spacing w:val="-3"/>
          <w:sz w:val="21"/>
        </w:rPr>
        <w:t>应用软件应提供安装程序和程序结构说明、使用维护手册等技术文件。 </w:t>
      </w:r>
    </w:p>
    <w:p>
      <w:pPr>
        <w:pStyle w:val="BodyText"/>
        <w:rPr>
          <w:sz w:val="18"/>
        </w:rPr>
      </w:pPr>
    </w:p>
    <w:p>
      <w:pPr>
        <w:pStyle w:val="ListParagraph"/>
        <w:numPr>
          <w:ilvl w:val="2"/>
          <w:numId w:val="960"/>
        </w:numPr>
        <w:tabs>
          <w:tab w:pos="1369" w:val="left" w:leader="none"/>
        </w:tabs>
        <w:spacing w:line="446" w:lineRule="auto" w:before="0" w:after="0"/>
        <w:ind w:left="838" w:right="1430" w:firstLine="0"/>
        <w:jc w:val="left"/>
        <w:rPr>
          <w:sz w:val="21"/>
        </w:rPr>
      </w:pPr>
      <w:r>
        <w:rPr>
          <w:sz w:val="21"/>
        </w:rPr>
        <w:t>应用软件应由国家相关产品质量监督检验或软件评测机构按照有关标准的技术要求 </w:t>
      </w:r>
      <w:r>
        <w:rPr>
          <w:spacing w:val="-1"/>
          <w:sz w:val="21"/>
        </w:rPr>
        <w:t>检测。</w:t>
      </w:r>
      <w:r>
        <w:rPr>
          <w:sz w:val="21"/>
        </w:rPr>
        <w:t> </w:t>
      </w:r>
    </w:p>
    <w:p>
      <w:pPr>
        <w:pStyle w:val="ListParagraph"/>
        <w:numPr>
          <w:ilvl w:val="2"/>
          <w:numId w:val="960"/>
        </w:numPr>
        <w:tabs>
          <w:tab w:pos="1369" w:val="left" w:leader="none"/>
        </w:tabs>
        <w:spacing w:line="240" w:lineRule="auto" w:before="0" w:after="0"/>
        <w:ind w:left="1368" w:right="0" w:hanging="531"/>
        <w:jc w:val="left"/>
        <w:rPr>
          <w:sz w:val="18"/>
        </w:rPr>
      </w:pPr>
      <w:r>
        <w:rPr>
          <w:spacing w:val="-3"/>
          <w:sz w:val="21"/>
        </w:rPr>
        <w:t>应用软件人机界面应采用中文显示，并应界面清晰、风格统一、操作方便。</w:t>
      </w:r>
      <w:r>
        <w:rPr>
          <w:spacing w:val="-3"/>
          <w:sz w:val="18"/>
        </w:rPr>
        <w:t> </w:t>
      </w:r>
    </w:p>
    <w:p>
      <w:pPr>
        <w:spacing w:after="0" w:line="240" w:lineRule="auto"/>
        <w:jc w:val="left"/>
        <w:rPr>
          <w:sz w:val="18"/>
        </w:rPr>
        <w:sectPr>
          <w:pgSz w:w="11910" w:h="16850"/>
          <w:pgMar w:header="0" w:footer="1239" w:top="1220" w:bottom="1420" w:left="1260" w:right="0"/>
        </w:sectPr>
      </w:pPr>
    </w:p>
    <w:p>
      <w:pPr>
        <w:pStyle w:val="Heading4"/>
        <w:spacing w:before="37"/>
      </w:pPr>
      <w:r>
        <w:rPr/>
        <w:t>8 系统设备配置要求</w:t>
      </w:r>
      <w:r>
        <w:rPr>
          <w:w w:val="99"/>
        </w:rPr>
        <w:t> </w:t>
      </w:r>
    </w:p>
    <w:p>
      <w:pPr>
        <w:pStyle w:val="BodyText"/>
        <w:spacing w:before="4"/>
        <w:rPr>
          <w:b/>
          <w:sz w:val="17"/>
        </w:rPr>
      </w:pPr>
    </w:p>
    <w:p>
      <w:pPr>
        <w:pStyle w:val="ListParagraph"/>
        <w:numPr>
          <w:ilvl w:val="1"/>
          <w:numId w:val="961"/>
        </w:numPr>
        <w:tabs>
          <w:tab w:pos="1159" w:val="left" w:leader="none"/>
        </w:tabs>
        <w:spacing w:line="240" w:lineRule="auto" w:before="1" w:after="0"/>
        <w:ind w:left="1158" w:right="0" w:hanging="319"/>
        <w:jc w:val="left"/>
        <w:rPr>
          <w:sz w:val="21"/>
        </w:rPr>
      </w:pPr>
      <w:r>
        <w:rPr>
          <w:spacing w:val="-3"/>
          <w:sz w:val="21"/>
        </w:rPr>
        <w:t>消防通信指挥中心系统设备配置</w:t>
      </w:r>
      <w:r>
        <w:rPr>
          <w:sz w:val="21"/>
        </w:rPr>
        <w:t> </w:t>
      </w:r>
    </w:p>
    <w:p>
      <w:pPr>
        <w:pStyle w:val="BodyText"/>
        <w:spacing w:before="12"/>
        <w:rPr>
          <w:sz w:val="17"/>
        </w:rPr>
      </w:pPr>
    </w:p>
    <w:p>
      <w:pPr>
        <w:pStyle w:val="ListParagraph"/>
        <w:numPr>
          <w:ilvl w:val="2"/>
          <w:numId w:val="961"/>
        </w:numPr>
        <w:tabs>
          <w:tab w:pos="1370" w:val="left" w:leader="none"/>
        </w:tabs>
        <w:spacing w:line="240" w:lineRule="auto" w:before="0" w:after="0"/>
        <w:ind w:left="1369" w:right="0" w:hanging="530"/>
        <w:jc w:val="left"/>
        <w:rPr>
          <w:sz w:val="21"/>
        </w:rPr>
      </w:pPr>
      <w:r>
        <w:rPr>
          <w:spacing w:val="-10"/>
          <w:sz w:val="21"/>
        </w:rPr>
        <w:t>国家、省</w:t>
      </w:r>
      <w:r>
        <w:rPr>
          <w:sz w:val="21"/>
        </w:rPr>
        <w:t>（</w:t>
      </w:r>
      <w:r>
        <w:rPr>
          <w:spacing w:val="-2"/>
          <w:sz w:val="21"/>
        </w:rPr>
        <w:t>自治区</w:t>
      </w:r>
      <w:r>
        <w:rPr>
          <w:spacing w:val="-108"/>
          <w:sz w:val="21"/>
        </w:rPr>
        <w:t>）</w:t>
      </w:r>
      <w:r>
        <w:rPr>
          <w:spacing w:val="-11"/>
          <w:sz w:val="21"/>
        </w:rPr>
        <w:t>、地区</w:t>
      </w:r>
      <w:r>
        <w:rPr>
          <w:spacing w:val="-3"/>
          <w:sz w:val="21"/>
        </w:rPr>
        <w:t>（</w:t>
      </w:r>
      <w:r>
        <w:rPr>
          <w:spacing w:val="-7"/>
          <w:sz w:val="21"/>
        </w:rPr>
        <w:t>州、盟</w:t>
      </w:r>
      <w:r>
        <w:rPr>
          <w:spacing w:val="-15"/>
          <w:sz w:val="21"/>
        </w:rPr>
        <w:t>）</w:t>
      </w:r>
      <w:r>
        <w:rPr>
          <w:spacing w:val="-6"/>
          <w:sz w:val="21"/>
        </w:rPr>
        <w:t>消防通信指挥中心系统设备配置应符合表 </w:t>
      </w:r>
      <w:r>
        <w:rPr>
          <w:sz w:val="21"/>
        </w:rPr>
        <w:t>8.1.1</w:t>
      </w:r>
    </w:p>
    <w:p>
      <w:pPr>
        <w:pStyle w:val="BodyText"/>
        <w:spacing w:before="2"/>
        <w:rPr>
          <w:sz w:val="18"/>
        </w:rPr>
      </w:pPr>
    </w:p>
    <w:p>
      <w:pPr>
        <w:pStyle w:val="BodyText"/>
        <w:ind w:left="418"/>
      </w:pPr>
      <w:r>
        <w:rPr/>
        <w:t>的规定。 </w:t>
      </w:r>
    </w:p>
    <w:p>
      <w:pPr>
        <w:pStyle w:val="BodyText"/>
        <w:spacing w:before="12"/>
        <w:rPr>
          <w:sz w:val="17"/>
        </w:rPr>
      </w:pPr>
    </w:p>
    <w:p>
      <w:pPr>
        <w:pStyle w:val="Heading6"/>
        <w:ind w:right="914"/>
        <w:jc w:val="center"/>
      </w:pPr>
      <w:r>
        <w:rPr>
          <w:spacing w:val="-27"/>
        </w:rPr>
        <w:t>表 </w:t>
      </w:r>
      <w:r>
        <w:rPr/>
        <w:t>8.1.1 国家、省（</w:t>
      </w:r>
      <w:r>
        <w:rPr>
          <w:spacing w:val="-2"/>
        </w:rPr>
        <w:t>自治区</w:t>
      </w:r>
      <w:r>
        <w:rPr>
          <w:spacing w:val="-106"/>
        </w:rPr>
        <w:t>）</w:t>
      </w:r>
      <w:r>
        <w:rPr/>
        <w:t>、地区（州、盟</w:t>
      </w:r>
      <w:r>
        <w:rPr>
          <w:spacing w:val="-3"/>
        </w:rPr>
        <w:t>）消防通信指挥中心系统设备</w:t>
      </w:r>
      <w:r>
        <w:rPr>
          <w:spacing w:val="-3"/>
          <w:w w:val="99"/>
        </w:rPr>
        <w:t> </w:t>
      </w:r>
    </w:p>
    <w:p>
      <w:pPr>
        <w:pStyle w:val="BodyText"/>
        <w:spacing w:before="2"/>
        <w:rPr>
          <w:b/>
          <w:sz w:val="13"/>
        </w:rPr>
      </w:pPr>
      <w:r>
        <w:rPr/>
        <w:drawing>
          <wp:anchor distT="0" distB="0" distL="0" distR="0" allowOverlap="1" layoutInCell="1" locked="0" behindDoc="0" simplePos="0" relativeHeight="371">
            <wp:simplePos x="0" y="0"/>
            <wp:positionH relativeFrom="page">
              <wp:posOffset>1447800</wp:posOffset>
            </wp:positionH>
            <wp:positionV relativeFrom="paragraph">
              <wp:posOffset>132326</wp:posOffset>
            </wp:positionV>
            <wp:extent cx="4970111" cy="4508754"/>
            <wp:effectExtent l="0" t="0" r="0" b="0"/>
            <wp:wrapTopAndBottom/>
            <wp:docPr id="819" name="image478.jpeg"/>
            <wp:cNvGraphicFramePr>
              <a:graphicFrameLocks noChangeAspect="1"/>
            </wp:cNvGraphicFramePr>
            <a:graphic>
              <a:graphicData uri="http://schemas.openxmlformats.org/drawingml/2006/picture">
                <pic:pic>
                  <pic:nvPicPr>
                    <pic:cNvPr id="820" name="image478.jpeg"/>
                    <pic:cNvPicPr/>
                  </pic:nvPicPr>
                  <pic:blipFill>
                    <a:blip r:embed="rId606" cstate="print"/>
                    <a:stretch>
                      <a:fillRect/>
                    </a:stretch>
                  </pic:blipFill>
                  <pic:spPr>
                    <a:xfrm>
                      <a:off x="0" y="0"/>
                      <a:ext cx="4970111" cy="4508754"/>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6"/>
        </w:rPr>
      </w:pPr>
    </w:p>
    <w:p>
      <w:pPr>
        <w:spacing w:before="0"/>
        <w:ind w:left="0" w:right="912" w:firstLine="0"/>
        <w:jc w:val="center"/>
        <w:rPr>
          <w:b/>
          <w:sz w:val="21"/>
        </w:rPr>
      </w:pPr>
      <w:r>
        <w:rPr>
          <w:b/>
          <w:w w:val="99"/>
          <w:sz w:val="21"/>
        </w:rPr>
        <w:t> </w:t>
      </w:r>
    </w:p>
    <w:p>
      <w:pPr>
        <w:spacing w:after="0"/>
        <w:jc w:val="center"/>
        <w:rPr>
          <w:sz w:val="21"/>
        </w:rPr>
        <w:sectPr>
          <w:pgSz w:w="11910" w:h="16850"/>
          <w:pgMar w:header="0" w:footer="1239" w:top="1200" w:bottom="1420" w:left="1260" w:right="0"/>
        </w:sectPr>
      </w:pPr>
    </w:p>
    <w:p>
      <w:pPr>
        <w:pStyle w:val="BodyText"/>
        <w:ind w:left="952"/>
        <w:rPr>
          <w:sz w:val="20"/>
        </w:rPr>
      </w:pPr>
      <w:r>
        <w:rPr>
          <w:sz w:val="20"/>
        </w:rPr>
        <w:drawing>
          <wp:inline distT="0" distB="0" distL="0" distR="0">
            <wp:extent cx="4796502" cy="5920740"/>
            <wp:effectExtent l="0" t="0" r="0" b="0"/>
            <wp:docPr id="821" name="image479.jpeg"/>
            <wp:cNvGraphicFramePr>
              <a:graphicFrameLocks noChangeAspect="1"/>
            </wp:cNvGraphicFramePr>
            <a:graphic>
              <a:graphicData uri="http://schemas.openxmlformats.org/drawingml/2006/picture">
                <pic:pic>
                  <pic:nvPicPr>
                    <pic:cNvPr id="822" name="image479.jpeg"/>
                    <pic:cNvPicPr/>
                  </pic:nvPicPr>
                  <pic:blipFill>
                    <a:blip r:embed="rId607" cstate="print"/>
                    <a:stretch>
                      <a:fillRect/>
                    </a:stretch>
                  </pic:blipFill>
                  <pic:spPr>
                    <a:xfrm>
                      <a:off x="0" y="0"/>
                      <a:ext cx="4796502" cy="5920740"/>
                    </a:xfrm>
                    <a:prstGeom prst="rect">
                      <a:avLst/>
                    </a:prstGeom>
                  </pic:spPr>
                </pic:pic>
              </a:graphicData>
            </a:graphic>
          </wp:inline>
        </w:drawing>
      </w:r>
      <w:r>
        <w:rPr>
          <w:sz w:val="20"/>
        </w:rPr>
      </w:r>
    </w:p>
    <w:p>
      <w:pPr>
        <w:pStyle w:val="BodyText"/>
        <w:spacing w:before="11"/>
        <w:rPr>
          <w:b/>
          <w:sz w:val="13"/>
        </w:rPr>
      </w:pPr>
    </w:p>
    <w:p>
      <w:pPr>
        <w:pStyle w:val="BodyText"/>
        <w:spacing w:before="72"/>
        <w:ind w:left="418"/>
      </w:pPr>
      <w:r>
        <w:rPr>
          <w:w w:val="100"/>
        </w:rPr>
        <w:t> </w:t>
      </w:r>
      <w:r>
        <w:rPr/>
        <w:t> </w:t>
      </w:r>
      <w:r>
        <w:rPr>
          <w:w w:val="100"/>
        </w:rPr>
        <w:t> </w:t>
      </w:r>
      <w:r>
        <w:rPr/>
        <w:t> 注：1 “配置”栏内标“选配”的表示可根据有关规定或实际需求选择配置； </w:t>
      </w:r>
    </w:p>
    <w:p>
      <w:pPr>
        <w:pStyle w:val="BodyText"/>
        <w:spacing w:before="12"/>
        <w:rPr>
          <w:sz w:val="17"/>
        </w:rPr>
      </w:pPr>
    </w:p>
    <w:p>
      <w:pPr>
        <w:pStyle w:val="BodyText"/>
        <w:spacing w:line="446" w:lineRule="auto"/>
        <w:ind w:left="418" w:right="1407"/>
      </w:pPr>
      <w:r>
        <w:rPr>
          <w:w w:val="100"/>
        </w:rPr>
        <w:t> </w:t>
      </w:r>
      <w:r>
        <w:rPr/>
        <w:t> </w:t>
      </w:r>
      <w:r>
        <w:rPr>
          <w:w w:val="100"/>
        </w:rPr>
        <w:t> </w:t>
      </w:r>
      <w:r>
        <w:rPr/>
        <w:t> 2 数据库服务器、数据存储设备、程控交换机、网络安全设备、移动接入平台设备是消防业务信息系统共用设备； </w:t>
      </w:r>
    </w:p>
    <w:p>
      <w:pPr>
        <w:pStyle w:val="BodyText"/>
        <w:spacing w:line="446" w:lineRule="auto"/>
        <w:ind w:left="840" w:right="2554" w:hanging="423"/>
        <w:rPr>
          <w:sz w:val="18"/>
        </w:rPr>
      </w:pPr>
      <w:r>
        <w:rPr>
          <w:w w:val="100"/>
        </w:rPr>
        <w:t> </w:t>
      </w:r>
      <w:r>
        <w:rPr/>
        <w:t> </w:t>
      </w:r>
      <w:r>
        <w:rPr>
          <w:w w:val="100"/>
        </w:rPr>
        <w:t> </w:t>
      </w:r>
      <w:r>
        <w:rPr/>
        <w:t> 3 外网交换机、服务器、数据存储设备可根据有关规定或实际需求选择配置。</w:t>
      </w:r>
      <w:r>
        <w:rPr>
          <w:b/>
        </w:rPr>
        <w:t>8.1.2 </w:t>
      </w:r>
      <w:r>
        <w:rPr/>
        <w:t>城市消防通信指挥中心系统设备配置应符合表 8.1.2 的规定。</w:t>
      </w:r>
      <w:r>
        <w:rPr>
          <w:sz w:val="18"/>
        </w:rPr>
        <w:t> </w:t>
      </w:r>
    </w:p>
    <w:p>
      <w:pPr>
        <w:pStyle w:val="Heading6"/>
        <w:ind w:left="2888"/>
      </w:pPr>
      <w:r>
        <w:rPr/>
        <w:t>表 8.1.2 城市消防通信指挥中心系统设备</w:t>
      </w:r>
      <w:r>
        <w:rPr>
          <w:w w:val="99"/>
        </w:rPr>
        <w:t> </w:t>
      </w:r>
    </w:p>
    <w:p>
      <w:pPr>
        <w:pStyle w:val="BodyText"/>
        <w:spacing w:before="144"/>
        <w:ind w:right="912"/>
        <w:jc w:val="center"/>
      </w:pPr>
      <w:r>
        <w:rPr>
          <w:w w:val="100"/>
        </w:rPr>
        <w:t> </w:t>
      </w:r>
    </w:p>
    <w:p>
      <w:pPr>
        <w:spacing w:after="0"/>
        <w:jc w:val="center"/>
        <w:sectPr>
          <w:pgSz w:w="11910" w:h="16850"/>
          <w:pgMar w:header="0" w:footer="1239" w:top="108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2"/>
        <w:ind w:right="2336"/>
        <w:jc w:val="right"/>
      </w:pPr>
      <w:r>
        <w:rPr/>
        <w:drawing>
          <wp:anchor distT="0" distB="0" distL="0" distR="0" allowOverlap="1" layoutInCell="1" locked="0" behindDoc="0" simplePos="0" relativeHeight="252039168">
            <wp:simplePos x="0" y="0"/>
            <wp:positionH relativeFrom="page">
              <wp:posOffset>1703323</wp:posOffset>
            </wp:positionH>
            <wp:positionV relativeFrom="paragraph">
              <wp:posOffset>-5859907</wp:posOffset>
            </wp:positionV>
            <wp:extent cx="4305300" cy="6019040"/>
            <wp:effectExtent l="0" t="0" r="0" b="0"/>
            <wp:wrapNone/>
            <wp:docPr id="823" name="image480.jpeg"/>
            <wp:cNvGraphicFramePr>
              <a:graphicFrameLocks noChangeAspect="1"/>
            </wp:cNvGraphicFramePr>
            <a:graphic>
              <a:graphicData uri="http://schemas.openxmlformats.org/drawingml/2006/picture">
                <pic:pic>
                  <pic:nvPicPr>
                    <pic:cNvPr id="824" name="image480.jpeg"/>
                    <pic:cNvPicPr/>
                  </pic:nvPicPr>
                  <pic:blipFill>
                    <a:blip r:embed="rId608" cstate="print"/>
                    <a:stretch>
                      <a:fillRect/>
                    </a:stretch>
                  </pic:blipFill>
                  <pic:spPr>
                    <a:xfrm>
                      <a:off x="0" y="0"/>
                      <a:ext cx="4305300" cy="6019040"/>
                    </a:xfrm>
                    <a:prstGeom prst="rect">
                      <a:avLst/>
                    </a:prstGeom>
                  </pic:spPr>
                </pic:pic>
              </a:graphicData>
            </a:graphic>
          </wp:anchor>
        </w:drawing>
      </w:r>
      <w:r>
        <w:rPr>
          <w:w w:val="100"/>
        </w:rPr>
        <w:t> </w:t>
      </w:r>
    </w:p>
    <w:p>
      <w:pPr>
        <w:spacing w:after="0"/>
        <w:jc w:val="right"/>
        <w:sectPr>
          <w:pgSz w:w="11910" w:h="16850"/>
          <w:pgMar w:header="0" w:footer="1239" w:top="1080" w:bottom="1420" w:left="1260" w:right="0"/>
        </w:sectPr>
      </w:pPr>
    </w:p>
    <w:p>
      <w:pPr>
        <w:pStyle w:val="BodyText"/>
        <w:ind w:left="1302"/>
        <w:rPr>
          <w:sz w:val="20"/>
        </w:rPr>
      </w:pPr>
      <w:r>
        <w:rPr>
          <w:sz w:val="20"/>
        </w:rPr>
        <w:drawing>
          <wp:inline distT="0" distB="0" distL="0" distR="0">
            <wp:extent cx="4324713" cy="4533900"/>
            <wp:effectExtent l="0" t="0" r="0" b="0"/>
            <wp:docPr id="825" name="image481.jpeg"/>
            <wp:cNvGraphicFramePr>
              <a:graphicFrameLocks noChangeAspect="1"/>
            </wp:cNvGraphicFramePr>
            <a:graphic>
              <a:graphicData uri="http://schemas.openxmlformats.org/drawingml/2006/picture">
                <pic:pic>
                  <pic:nvPicPr>
                    <pic:cNvPr id="826" name="image481.jpeg"/>
                    <pic:cNvPicPr/>
                  </pic:nvPicPr>
                  <pic:blipFill>
                    <a:blip r:embed="rId609" cstate="print"/>
                    <a:stretch>
                      <a:fillRect/>
                    </a:stretch>
                  </pic:blipFill>
                  <pic:spPr>
                    <a:xfrm>
                      <a:off x="0" y="0"/>
                      <a:ext cx="4324713" cy="4533900"/>
                    </a:xfrm>
                    <a:prstGeom prst="rect">
                      <a:avLst/>
                    </a:prstGeom>
                  </pic:spPr>
                </pic:pic>
              </a:graphicData>
            </a:graphic>
          </wp:inline>
        </w:drawing>
      </w:r>
      <w:r>
        <w:rPr>
          <w:sz w:val="20"/>
        </w:rPr>
      </w:r>
    </w:p>
    <w:p>
      <w:pPr>
        <w:pStyle w:val="BodyText"/>
        <w:spacing w:before="10"/>
        <w:rPr>
          <w:sz w:val="13"/>
        </w:rPr>
      </w:pPr>
    </w:p>
    <w:p>
      <w:pPr>
        <w:pStyle w:val="BodyText"/>
        <w:spacing w:line="446" w:lineRule="auto" w:before="72"/>
        <w:ind w:left="418" w:right="1433" w:firstLine="419"/>
      </w:pPr>
      <w:r>
        <w:rPr>
          <w:spacing w:val="-2"/>
        </w:rPr>
        <w:t>注：</w:t>
      </w:r>
      <w:r>
        <w:rPr>
          <w:spacing w:val="-4"/>
        </w:rPr>
        <w:t>1</w:t>
      </w:r>
      <w:r>
        <w:rPr>
          <w:spacing w:val="-6"/>
        </w:rPr>
        <w:t>.直辖市、省会市及国家计划单列市应按Ⅰ类标准配置；地级市应按Ⅱ类标准配置；县</w:t>
      </w:r>
      <w:r>
        <w:rPr>
          <w:spacing w:val="-4"/>
        </w:rPr>
        <w:t>级市应按Ⅲ类标准配置；</w:t>
      </w:r>
      <w:r>
        <w:rPr/>
        <w:t> </w:t>
      </w:r>
    </w:p>
    <w:p>
      <w:pPr>
        <w:pStyle w:val="BodyText"/>
        <w:ind w:left="838"/>
      </w:pPr>
      <w:r>
        <w:rPr>
          <w:w w:val="100"/>
        </w:rPr>
        <w:t> </w:t>
      </w:r>
      <w:r>
        <w:rPr/>
        <w:t> </w:t>
      </w:r>
      <w:r>
        <w:rPr>
          <w:w w:val="100"/>
        </w:rPr>
        <w:t> </w:t>
      </w:r>
      <w:r>
        <w:rPr/>
        <w:t> 2.“配置”栏内标“选配”的表示可根据有关规定或实际需求选择配置； </w:t>
      </w:r>
    </w:p>
    <w:p>
      <w:pPr>
        <w:pStyle w:val="BodyText"/>
        <w:spacing w:before="12"/>
        <w:rPr>
          <w:sz w:val="17"/>
        </w:rPr>
      </w:pPr>
    </w:p>
    <w:p>
      <w:pPr>
        <w:pStyle w:val="BodyText"/>
        <w:spacing w:line="446" w:lineRule="auto"/>
        <w:ind w:left="418" w:right="1433" w:firstLine="419"/>
      </w:pPr>
      <w:r>
        <w:rPr>
          <w:w w:val="100"/>
        </w:rPr>
        <w:t> </w:t>
      </w:r>
      <w:r>
        <w:rPr/>
        <w:t> </w:t>
      </w:r>
      <w:r>
        <w:rPr>
          <w:w w:val="100"/>
        </w:rPr>
        <w:t> </w:t>
      </w:r>
      <w:r>
        <w:rPr/>
        <w:t> 3</w:t>
      </w:r>
      <w:r>
        <w:rPr>
          <w:spacing w:val="-9"/>
        </w:rPr>
        <w:t>. 数据库服务器、数据存储设备、程控交换机、网络安全设备是消防业务信息系统共用</w:t>
      </w:r>
      <w:r>
        <w:rPr>
          <w:spacing w:val="-8"/>
        </w:rPr>
        <w:t>设备。</w:t>
      </w:r>
      <w:r>
        <w:rPr/>
        <w:t> </w:t>
      </w:r>
    </w:p>
    <w:p>
      <w:pPr>
        <w:pStyle w:val="ListParagraph"/>
        <w:numPr>
          <w:ilvl w:val="1"/>
          <w:numId w:val="961"/>
        </w:numPr>
        <w:tabs>
          <w:tab w:pos="1159" w:val="left" w:leader="none"/>
        </w:tabs>
        <w:spacing w:line="240" w:lineRule="auto" w:before="1" w:after="0"/>
        <w:ind w:left="1158" w:right="0" w:hanging="319"/>
        <w:jc w:val="left"/>
        <w:rPr>
          <w:sz w:val="21"/>
        </w:rPr>
      </w:pPr>
      <w:r>
        <w:rPr>
          <w:spacing w:val="-3"/>
          <w:sz w:val="21"/>
        </w:rPr>
        <w:t>移动消防指挥中心系统设备配置</w:t>
      </w:r>
      <w:r>
        <w:rPr>
          <w:sz w:val="21"/>
        </w:rPr>
        <w:t> </w:t>
      </w:r>
    </w:p>
    <w:p>
      <w:pPr>
        <w:pStyle w:val="ListParagraph"/>
        <w:numPr>
          <w:ilvl w:val="2"/>
          <w:numId w:val="961"/>
        </w:numPr>
        <w:tabs>
          <w:tab w:pos="1371" w:val="left" w:leader="none"/>
        </w:tabs>
        <w:spacing w:line="500" w:lineRule="atLeast" w:before="0" w:after="0"/>
        <w:ind w:left="2359" w:right="2340" w:hanging="1520"/>
        <w:jc w:val="left"/>
        <w:rPr>
          <w:b/>
          <w:sz w:val="21"/>
        </w:rPr>
      </w:pPr>
      <w:r>
        <w:rPr>
          <w:spacing w:val="-4"/>
          <w:sz w:val="21"/>
        </w:rPr>
        <w:t>以车辆为载体的移动消防指挥中心系统设备配置应符合表 </w:t>
      </w:r>
      <w:r>
        <w:rPr>
          <w:sz w:val="21"/>
        </w:rPr>
        <w:t>8.2.1</w:t>
      </w:r>
      <w:r>
        <w:rPr>
          <w:spacing w:val="-8"/>
          <w:sz w:val="21"/>
        </w:rPr>
        <w:t> 的规定。</w:t>
      </w:r>
      <w:r>
        <w:rPr>
          <w:b/>
          <w:sz w:val="21"/>
        </w:rPr>
        <w:t>表</w:t>
      </w:r>
      <w:r>
        <w:rPr>
          <w:b/>
          <w:spacing w:val="-53"/>
          <w:sz w:val="21"/>
        </w:rPr>
        <w:t> </w:t>
      </w:r>
      <w:r>
        <w:rPr>
          <w:b/>
          <w:sz w:val="21"/>
        </w:rPr>
        <w:t>8.2.1</w:t>
      </w:r>
      <w:r>
        <w:rPr>
          <w:b/>
          <w:spacing w:val="-3"/>
          <w:sz w:val="21"/>
        </w:rPr>
        <w:t> 以车辆为载体的移动消防指挥中心系统设备</w:t>
      </w:r>
      <w:r>
        <w:rPr>
          <w:b/>
          <w:spacing w:val="-3"/>
          <w:w w:val="99"/>
          <w:sz w:val="21"/>
        </w:rPr>
        <w:t> </w:t>
      </w:r>
    </w:p>
    <w:p>
      <w:pPr>
        <w:pStyle w:val="BodyText"/>
        <w:spacing w:before="144"/>
        <w:ind w:left="4812"/>
      </w:pPr>
      <w:r>
        <w:rPr>
          <w:w w:val="100"/>
        </w:rPr>
        <w:t> </w:t>
      </w:r>
    </w:p>
    <w:p>
      <w:pPr>
        <w:spacing w:after="0"/>
        <w:sectPr>
          <w:pgSz w:w="11910" w:h="16850"/>
          <w:pgMar w:header="0" w:footer="1239" w:top="108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0"/>
        </w:rPr>
      </w:pPr>
    </w:p>
    <w:p>
      <w:pPr>
        <w:pStyle w:val="BodyText"/>
        <w:spacing w:before="72"/>
        <w:ind w:right="2304"/>
        <w:jc w:val="right"/>
      </w:pPr>
      <w:r>
        <w:rPr/>
        <w:drawing>
          <wp:anchor distT="0" distB="0" distL="0" distR="0" allowOverlap="1" layoutInCell="1" locked="0" behindDoc="0" simplePos="0" relativeHeight="252040192">
            <wp:simplePos x="0" y="0"/>
            <wp:positionH relativeFrom="page">
              <wp:posOffset>1684273</wp:posOffset>
            </wp:positionH>
            <wp:positionV relativeFrom="paragraph">
              <wp:posOffset>-6355588</wp:posOffset>
            </wp:positionV>
            <wp:extent cx="4333875" cy="6533388"/>
            <wp:effectExtent l="0" t="0" r="0" b="0"/>
            <wp:wrapNone/>
            <wp:docPr id="827" name="image482.jpeg"/>
            <wp:cNvGraphicFramePr>
              <a:graphicFrameLocks noChangeAspect="1"/>
            </wp:cNvGraphicFramePr>
            <a:graphic>
              <a:graphicData uri="http://schemas.openxmlformats.org/drawingml/2006/picture">
                <pic:pic>
                  <pic:nvPicPr>
                    <pic:cNvPr id="828" name="image482.jpeg"/>
                    <pic:cNvPicPr/>
                  </pic:nvPicPr>
                  <pic:blipFill>
                    <a:blip r:embed="rId610" cstate="print"/>
                    <a:stretch>
                      <a:fillRect/>
                    </a:stretch>
                  </pic:blipFill>
                  <pic:spPr>
                    <a:xfrm>
                      <a:off x="0" y="0"/>
                      <a:ext cx="4333875" cy="6533388"/>
                    </a:xfrm>
                    <a:prstGeom prst="rect">
                      <a:avLst/>
                    </a:prstGeom>
                  </pic:spPr>
                </pic:pic>
              </a:graphicData>
            </a:graphic>
          </wp:anchor>
        </w:drawing>
      </w:r>
      <w:r>
        <w:rPr>
          <w:w w:val="100"/>
        </w:rPr>
        <w:t> </w:t>
      </w:r>
    </w:p>
    <w:p>
      <w:pPr>
        <w:spacing w:after="0"/>
        <w:jc w:val="right"/>
        <w:sectPr>
          <w:pgSz w:w="11910" w:h="16850"/>
          <w:pgMar w:header="0" w:footer="1239" w:top="1080" w:bottom="1420" w:left="12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pStyle w:val="BodyText"/>
        <w:spacing w:before="71"/>
        <w:ind w:right="2290"/>
        <w:jc w:val="right"/>
      </w:pPr>
      <w:r>
        <w:rPr/>
        <w:drawing>
          <wp:anchor distT="0" distB="0" distL="0" distR="0" allowOverlap="1" layoutInCell="1" locked="0" behindDoc="0" simplePos="0" relativeHeight="252041216">
            <wp:simplePos x="0" y="0"/>
            <wp:positionH relativeFrom="page">
              <wp:posOffset>1674748</wp:posOffset>
            </wp:positionH>
            <wp:positionV relativeFrom="paragraph">
              <wp:posOffset>-6337934</wp:posOffset>
            </wp:positionV>
            <wp:extent cx="4343400" cy="6476620"/>
            <wp:effectExtent l="0" t="0" r="0" b="0"/>
            <wp:wrapNone/>
            <wp:docPr id="829" name="image483.jpeg"/>
            <wp:cNvGraphicFramePr>
              <a:graphicFrameLocks noChangeAspect="1"/>
            </wp:cNvGraphicFramePr>
            <a:graphic>
              <a:graphicData uri="http://schemas.openxmlformats.org/drawingml/2006/picture">
                <pic:pic>
                  <pic:nvPicPr>
                    <pic:cNvPr id="830" name="image483.jpeg"/>
                    <pic:cNvPicPr/>
                  </pic:nvPicPr>
                  <pic:blipFill>
                    <a:blip r:embed="rId612" cstate="print"/>
                    <a:stretch>
                      <a:fillRect/>
                    </a:stretch>
                  </pic:blipFill>
                  <pic:spPr>
                    <a:xfrm>
                      <a:off x="0" y="0"/>
                      <a:ext cx="4343400" cy="6476620"/>
                    </a:xfrm>
                    <a:prstGeom prst="rect">
                      <a:avLst/>
                    </a:prstGeom>
                  </pic:spPr>
                </pic:pic>
              </a:graphicData>
            </a:graphic>
          </wp:anchor>
        </w:drawing>
      </w:r>
      <w:r>
        <w:rPr>
          <w:w w:val="100"/>
        </w:rPr>
        <w:t> </w:t>
      </w:r>
    </w:p>
    <w:p>
      <w:pPr>
        <w:spacing w:after="0"/>
        <w:jc w:val="right"/>
        <w:sectPr>
          <w:footerReference w:type="default" r:id="rId611"/>
          <w:pgSz w:w="11910" w:h="16850"/>
          <w:pgMar w:footer="1239" w:header="0" w:top="1080" w:bottom="1420" w:left="1260" w:right="0"/>
          <w:pgNumType w:start="1670"/>
        </w:sectPr>
      </w:pPr>
    </w:p>
    <w:p>
      <w:pPr>
        <w:pStyle w:val="BodyText"/>
        <w:ind w:left="389"/>
        <w:rPr>
          <w:sz w:val="20"/>
        </w:rPr>
      </w:pPr>
      <w:r>
        <w:rPr>
          <w:sz w:val="20"/>
        </w:rPr>
        <w:pict>
          <v:group style="width:442.4pt;height:591.1pt;mso-position-horizontal-relative:char;mso-position-vertical-relative:line" coordorigin="0,0" coordsize="8848,11822">
            <v:rect style="position:absolute;left:0;top:9930;width:8848;height:1892" filled="true" fillcolor="#ffffff" stroked="false">
              <v:fill type="solid"/>
            </v:rect>
            <v:shape style="position:absolute;left:1018;top:0;width:6810;height:9918" type="#_x0000_t75" stroked="false">
              <v:imagedata r:id="rId613" o:title=""/>
            </v:shape>
            <v:shape style="position:absolute;left:883;top:9929;width:6855;height:1823" type="#_x0000_t75" stroked="false">
              <v:imagedata r:id="rId614" o:title=""/>
            </v:shape>
          </v:group>
        </w:pict>
      </w:r>
      <w:r>
        <w:rPr>
          <w:sz w:val="20"/>
        </w:rPr>
      </w:r>
    </w:p>
    <w:p>
      <w:pPr>
        <w:pStyle w:val="BodyText"/>
        <w:spacing w:before="1"/>
        <w:rPr>
          <w:sz w:val="6"/>
        </w:rPr>
      </w:pPr>
    </w:p>
    <w:p>
      <w:pPr>
        <w:pStyle w:val="BodyText"/>
        <w:spacing w:line="446" w:lineRule="auto" w:before="71"/>
        <w:ind w:left="418" w:right="1433" w:firstLine="419"/>
      </w:pPr>
      <w:r>
        <w:rPr>
          <w:spacing w:val="-2"/>
        </w:rPr>
        <w:t>注：</w:t>
      </w:r>
      <w:r>
        <w:rPr>
          <w:spacing w:val="-3"/>
        </w:rPr>
        <w:t>1</w:t>
      </w:r>
      <w:r>
        <w:rPr>
          <w:spacing w:val="3"/>
        </w:rPr>
        <w:t>. 省</w:t>
      </w:r>
      <w:r>
        <w:rPr>
          <w:spacing w:val="-3"/>
        </w:rPr>
        <w:t>（</w:t>
      </w:r>
      <w:r>
        <w:rPr>
          <w:spacing w:val="-1"/>
        </w:rPr>
        <w:t>自治区</w:t>
      </w:r>
      <w:r>
        <w:rPr>
          <w:spacing w:val="-106"/>
        </w:rPr>
        <w:t>）</w:t>
      </w:r>
      <w:r>
        <w:rPr>
          <w:spacing w:val="-7"/>
        </w:rPr>
        <w:t>、直辖市、省会市及国家计划单列市应按 </w:t>
      </w:r>
      <w:r>
        <w:rPr/>
        <w:t>I</w:t>
      </w:r>
      <w:r>
        <w:rPr>
          <w:spacing w:val="-9"/>
        </w:rPr>
        <w:t> 类标准配置；地区、地级市</w:t>
      </w:r>
      <w:r>
        <w:rPr>
          <w:spacing w:val="-5"/>
        </w:rPr>
        <w:t>应按Ⅱ类标准配置；县级市应按Ⅲ类标准配置；</w:t>
      </w:r>
      <w:r>
        <w:rPr/>
        <w:t> </w:t>
      </w:r>
    </w:p>
    <w:p>
      <w:pPr>
        <w:pStyle w:val="BodyText"/>
        <w:spacing w:before="1"/>
        <w:ind w:left="838"/>
        <w:rPr>
          <w:sz w:val="18"/>
        </w:rPr>
      </w:pPr>
      <w:r>
        <w:rPr>
          <w:w w:val="100"/>
        </w:rPr>
        <w:t> </w:t>
      </w:r>
      <w:r>
        <w:rPr/>
        <w:t> </w:t>
      </w:r>
      <w:r>
        <w:rPr>
          <w:w w:val="100"/>
        </w:rPr>
        <w:t> </w:t>
      </w:r>
      <w:r>
        <w:rPr/>
        <w:t> 2.“配置”栏内标“选配”的表示可根据有 0 关规定或实际需求选择配置。</w:t>
      </w:r>
      <w:r>
        <w:rPr>
          <w:sz w:val="18"/>
        </w:rPr>
        <w:t> </w:t>
      </w:r>
    </w:p>
    <w:p>
      <w:pPr>
        <w:pStyle w:val="BodyText"/>
        <w:spacing w:before="12"/>
        <w:rPr>
          <w:sz w:val="17"/>
        </w:rPr>
      </w:pPr>
    </w:p>
    <w:p>
      <w:pPr>
        <w:pStyle w:val="ListParagraph"/>
        <w:numPr>
          <w:ilvl w:val="1"/>
          <w:numId w:val="961"/>
        </w:numPr>
        <w:tabs>
          <w:tab w:pos="1159" w:val="left" w:leader="none"/>
        </w:tabs>
        <w:spacing w:line="240" w:lineRule="auto" w:before="0" w:after="0"/>
        <w:ind w:left="1158" w:right="0" w:hanging="319"/>
        <w:jc w:val="left"/>
        <w:rPr>
          <w:sz w:val="21"/>
        </w:rPr>
      </w:pPr>
      <w:r>
        <w:rPr>
          <w:spacing w:val="-3"/>
          <w:sz w:val="21"/>
        </w:rPr>
        <w:t>消防站系统设备配置</w:t>
      </w:r>
      <w:r>
        <w:rPr>
          <w:sz w:val="21"/>
        </w:rPr>
        <w:t> </w:t>
      </w:r>
    </w:p>
    <w:p>
      <w:pPr>
        <w:spacing w:after="0" w:line="240" w:lineRule="auto"/>
        <w:jc w:val="left"/>
        <w:rPr>
          <w:sz w:val="21"/>
        </w:rPr>
        <w:sectPr>
          <w:pgSz w:w="11910" w:h="16850"/>
          <w:pgMar w:header="0" w:footer="1239" w:top="1080" w:bottom="1420" w:left="1260" w:right="0"/>
        </w:sectPr>
      </w:pPr>
    </w:p>
    <w:p>
      <w:pPr>
        <w:pStyle w:val="ListParagraph"/>
        <w:numPr>
          <w:ilvl w:val="2"/>
          <w:numId w:val="961"/>
        </w:numPr>
        <w:tabs>
          <w:tab w:pos="1371" w:val="left" w:leader="none"/>
        </w:tabs>
        <w:spacing w:line="240" w:lineRule="auto" w:before="47" w:after="0"/>
        <w:ind w:left="1370" w:right="0" w:hanging="531"/>
        <w:jc w:val="left"/>
        <w:rPr>
          <w:b/>
          <w:sz w:val="21"/>
        </w:rPr>
      </w:pPr>
      <w:r>
        <w:rPr>
          <w:spacing w:val="-7"/>
          <w:sz w:val="21"/>
        </w:rPr>
        <w:t>消防站系统设备配置应符合表 </w:t>
      </w:r>
      <w:r>
        <w:rPr>
          <w:sz w:val="21"/>
        </w:rPr>
        <w:t>8.3.1</w:t>
      </w:r>
      <w:r>
        <w:rPr>
          <w:spacing w:val="-12"/>
          <w:sz w:val="21"/>
        </w:rPr>
        <w:t> 的规定。</w:t>
      </w:r>
      <w:r>
        <w:rPr>
          <w:b/>
          <w:spacing w:val="-12"/>
          <w:w w:val="99"/>
          <w:sz w:val="21"/>
        </w:rPr>
        <w:t> </w:t>
      </w:r>
    </w:p>
    <w:p>
      <w:pPr>
        <w:pStyle w:val="BodyText"/>
        <w:rPr>
          <w:b/>
          <w:sz w:val="18"/>
        </w:rPr>
      </w:pPr>
    </w:p>
    <w:p>
      <w:pPr>
        <w:pStyle w:val="Heading6"/>
        <w:ind w:right="914"/>
        <w:jc w:val="center"/>
      </w:pPr>
      <w:r>
        <w:rPr/>
        <w:t>表 8.3.1 消防站系统设备</w:t>
      </w:r>
      <w:r>
        <w:rPr>
          <w:w w:val="99"/>
        </w:rPr>
        <w:t> </w:t>
      </w:r>
    </w:p>
    <w:p>
      <w:pPr>
        <w:pStyle w:val="BodyText"/>
        <w:spacing w:before="144" w:after="3"/>
        <w:ind w:right="912"/>
        <w:jc w:val="center"/>
      </w:pPr>
      <w:r>
        <w:rPr>
          <w:w w:val="100"/>
        </w:rPr>
        <w:t> </w:t>
      </w:r>
    </w:p>
    <w:p>
      <w:pPr>
        <w:pStyle w:val="BodyText"/>
        <w:ind w:left="389"/>
        <w:rPr>
          <w:sz w:val="20"/>
        </w:rPr>
      </w:pPr>
      <w:r>
        <w:rPr>
          <w:sz w:val="20"/>
        </w:rPr>
        <w:pict>
          <v:group style="width:442.4pt;height:490.55pt;mso-position-horizontal-relative:char;mso-position-vertical-relative:line" coordorigin="0,0" coordsize="8848,9811">
            <v:rect style="position:absolute;left:0;top:5941;width:8848;height:3870" filled="true" fillcolor="#ffffff" stroked="false">
              <v:fill type="solid"/>
            </v:rect>
            <v:shape style="position:absolute;left:1003;top:0;width:6840;height:5940" type="#_x0000_t75" stroked="false">
              <v:imagedata r:id="rId615" o:title=""/>
            </v:shape>
            <v:shape style="position:absolute;left:898;top:5940;width:6840;height:3795" type="#_x0000_t75" stroked="false">
              <v:imagedata r:id="rId616" o:title=""/>
            </v:shape>
            <v:shape style="position:absolute;left:7844;top:5759;width:126;height:212" type="#_x0000_t202" filled="false" stroked="false">
              <v:textbox inset="0,0,0,0">
                <w:txbxContent>
                  <w:p>
                    <w:pPr>
                      <w:spacing w:line="211" w:lineRule="exact" w:before="0"/>
                      <w:ind w:left="0" w:right="0" w:firstLine="0"/>
                      <w:jc w:val="left"/>
                      <w:rPr>
                        <w:sz w:val="21"/>
                      </w:rPr>
                    </w:pPr>
                    <w:r>
                      <w:rPr>
                        <w:w w:val="100"/>
                        <w:sz w:val="21"/>
                      </w:rPr>
                      <w:t> </w:t>
                    </w:r>
                  </w:p>
                </w:txbxContent>
              </v:textbox>
              <w10:wrap type="none"/>
            </v:shape>
            <v:shape style="position:absolute;left:7739;top:9569;width:322;height:212" type="#_x0000_t202" filled="false" stroked="false">
              <v:textbox inset="0,0,0,0">
                <w:txbxContent>
                  <w:p>
                    <w:pPr>
                      <w:spacing w:line="210" w:lineRule="exact" w:before="1"/>
                      <w:ind w:left="0" w:right="0" w:firstLine="0"/>
                      <w:jc w:val="left"/>
                      <w:rPr>
                        <w:sz w:val="18"/>
                      </w:rPr>
                    </w:pPr>
                    <w:r>
                      <w:rPr>
                        <w:w w:val="100"/>
                        <w:sz w:val="21"/>
                      </w:rPr>
                      <w:t> </w:t>
                    </w:r>
                    <w:r>
                      <w:rPr>
                        <w:sz w:val="21"/>
                      </w:rPr>
                      <w:t> </w:t>
                    </w:r>
                    <w:r>
                      <w:rPr>
                        <w:sz w:val="18"/>
                      </w:rPr>
                      <w:t> </w:t>
                    </w:r>
                  </w:p>
                </w:txbxContent>
              </v:textbox>
              <w10:wrap type="none"/>
            </v:shape>
          </v:group>
        </w:pict>
      </w:r>
      <w:r>
        <w:rPr>
          <w:sz w:val="20"/>
        </w:rPr>
      </w:r>
    </w:p>
    <w:p>
      <w:pPr>
        <w:pStyle w:val="BodyText"/>
        <w:spacing w:before="3"/>
        <w:rPr>
          <w:sz w:val="6"/>
        </w:rPr>
      </w:pPr>
    </w:p>
    <w:p>
      <w:pPr>
        <w:pStyle w:val="BodyText"/>
        <w:spacing w:before="71"/>
        <w:ind w:left="418"/>
      </w:pPr>
      <w:r>
        <w:rPr/>
        <w:t>注：1.“配置”栏内标“选配”的表示可根据有关规定或实际需求选择配置； </w:t>
      </w:r>
    </w:p>
    <w:p>
      <w:pPr>
        <w:pStyle w:val="BodyText"/>
        <w:spacing w:before="2"/>
        <w:rPr>
          <w:sz w:val="18"/>
        </w:rPr>
      </w:pPr>
    </w:p>
    <w:p>
      <w:pPr>
        <w:pStyle w:val="BodyText"/>
        <w:ind w:left="418"/>
      </w:pPr>
      <w:r>
        <w:rPr/>
        <w:t>2. 网络设备、指挥视频设备、视频监控设备是消防业务信息系统共用设备。 </w:t>
      </w:r>
    </w:p>
    <w:p>
      <w:pPr>
        <w:pStyle w:val="Heading2"/>
        <w:spacing w:before="42"/>
        <w:ind w:left="3298"/>
        <w:jc w:val="left"/>
      </w:pPr>
      <w:r>
        <w:rPr>
          <w:w w:val="99"/>
        </w:rPr>
        <w:t> </w:t>
      </w:r>
    </w:p>
    <w:p>
      <w:pPr>
        <w:spacing w:after="0"/>
        <w:jc w:val="left"/>
        <w:sectPr>
          <w:pgSz w:w="11910" w:h="16850"/>
          <w:pgMar w:header="0" w:footer="1239" w:top="1220" w:bottom="1420" w:left="1260" w:right="0"/>
        </w:sectPr>
      </w:pPr>
    </w:p>
    <w:p>
      <w:pPr>
        <w:spacing w:before="21"/>
        <w:ind w:left="418" w:right="0" w:firstLine="0"/>
        <w:jc w:val="left"/>
        <w:rPr>
          <w:b/>
          <w:sz w:val="36"/>
        </w:rPr>
      </w:pPr>
      <w:r>
        <w:rPr>
          <w:b/>
          <w:sz w:val="36"/>
        </w:rPr>
        <w:t>（二）森林消防国家标准</w:t>
      </w:r>
      <w:r>
        <w:rPr>
          <w:b/>
          <w:w w:val="99"/>
          <w:sz w:val="36"/>
        </w:rPr>
        <w:t> </w:t>
      </w:r>
    </w:p>
    <w:p>
      <w:pPr>
        <w:pStyle w:val="BodyText"/>
        <w:spacing w:before="7"/>
        <w:rPr>
          <w:b/>
          <w:sz w:val="45"/>
        </w:rPr>
      </w:pPr>
    </w:p>
    <w:p>
      <w:pPr>
        <w:spacing w:before="0"/>
        <w:ind w:left="2629" w:right="0" w:firstLine="0"/>
        <w:jc w:val="left"/>
        <w:rPr>
          <w:b/>
          <w:sz w:val="30"/>
        </w:rPr>
      </w:pPr>
      <w:bookmarkStart w:name="_bookmark37" w:id="38"/>
      <w:bookmarkEnd w:id="38"/>
      <w:r>
        <w:rPr/>
      </w:r>
      <w:r>
        <w:rPr>
          <w:b/>
          <w:sz w:val="30"/>
        </w:rPr>
        <w:t>便携式风力灭火机 通用技术条件</w:t>
      </w:r>
      <w:r>
        <w:rPr>
          <w:b/>
          <w:w w:val="99"/>
          <w:sz w:val="30"/>
        </w:rPr>
        <w:t> </w:t>
      </w:r>
    </w:p>
    <w:p>
      <w:pPr>
        <w:pStyle w:val="BodyText"/>
        <w:spacing w:before="4"/>
        <w:rPr>
          <w:b/>
          <w:sz w:val="39"/>
        </w:rPr>
      </w:pPr>
    </w:p>
    <w:p>
      <w:pPr>
        <w:pStyle w:val="Heading4"/>
      </w:pPr>
      <w:r>
        <w:rPr/>
        <w:t>1 主题内容与适用范围</w:t>
      </w:r>
      <w:r>
        <w:rPr>
          <w:w w:val="99"/>
        </w:rPr>
        <w:t> </w:t>
      </w:r>
    </w:p>
    <w:p>
      <w:pPr>
        <w:pStyle w:val="BodyText"/>
        <w:spacing w:before="4"/>
        <w:rPr>
          <w:b/>
          <w:sz w:val="17"/>
        </w:rPr>
      </w:pPr>
    </w:p>
    <w:p>
      <w:pPr>
        <w:pStyle w:val="BodyText"/>
        <w:spacing w:line="446" w:lineRule="auto"/>
        <w:ind w:left="838" w:right="3606"/>
      </w:pPr>
      <w:r>
        <w:rPr/>
        <w:t>本标准规定了便携式风力灭火机（以下简称灭火机）的基本要求。本标准适用于便携式风力灭火机的设计、制造与验收。 </w:t>
      </w:r>
    </w:p>
    <w:p>
      <w:pPr>
        <w:pStyle w:val="Heading4"/>
        <w:spacing w:line="278" w:lineRule="exact"/>
      </w:pPr>
      <w:r>
        <w:rPr/>
        <w:t>2 引用标准</w:t>
      </w:r>
      <w:r>
        <w:rPr>
          <w:w w:val="99"/>
        </w:rPr>
        <w:t> </w:t>
      </w:r>
    </w:p>
    <w:p>
      <w:pPr>
        <w:pStyle w:val="BodyText"/>
        <w:spacing w:before="3"/>
        <w:rPr>
          <w:b/>
          <w:sz w:val="17"/>
        </w:rPr>
      </w:pPr>
    </w:p>
    <w:p>
      <w:pPr>
        <w:pStyle w:val="BodyText"/>
        <w:spacing w:line="446" w:lineRule="auto" w:before="1"/>
        <w:ind w:left="838" w:right="5500"/>
      </w:pPr>
      <w:r>
        <w:rPr/>
        <w:t>GB 10281 便携式风力灭火机 台架试验方法GB 10283 便携式风力灭火机 手感震动的测定GB 10284 便携式风力灭火机 耳旁噪声的测定GB 5392 油锯 通用技术条件 </w:t>
      </w:r>
    </w:p>
    <w:p>
      <w:pPr>
        <w:pStyle w:val="BodyText"/>
        <w:spacing w:line="269" w:lineRule="exact"/>
        <w:ind w:left="838"/>
      </w:pPr>
      <w:r>
        <w:rPr/>
        <w:t>GB 2828 逐批检查计数抽样程序及抽样表 </w:t>
      </w:r>
    </w:p>
    <w:p>
      <w:pPr>
        <w:pStyle w:val="BodyText"/>
        <w:spacing w:before="8"/>
        <w:rPr>
          <w:sz w:val="15"/>
        </w:rPr>
      </w:pPr>
    </w:p>
    <w:p>
      <w:pPr>
        <w:pStyle w:val="Heading4"/>
      </w:pPr>
      <w:r>
        <w:rPr/>
        <w:t>3 整机技术要求</w:t>
      </w:r>
      <w:r>
        <w:rPr>
          <w:w w:val="99"/>
        </w:rPr>
        <w:t> </w:t>
      </w:r>
    </w:p>
    <w:p>
      <w:pPr>
        <w:pStyle w:val="BodyText"/>
        <w:spacing w:before="4"/>
        <w:rPr>
          <w:b/>
          <w:sz w:val="17"/>
        </w:rPr>
      </w:pPr>
    </w:p>
    <w:p>
      <w:pPr>
        <w:pStyle w:val="ListParagraph"/>
        <w:numPr>
          <w:ilvl w:val="1"/>
          <w:numId w:val="962"/>
        </w:numPr>
        <w:tabs>
          <w:tab w:pos="1160" w:val="left" w:leader="none"/>
        </w:tabs>
        <w:spacing w:line="240" w:lineRule="auto" w:before="0" w:after="0"/>
        <w:ind w:left="1159" w:right="0" w:hanging="320"/>
        <w:jc w:val="left"/>
        <w:rPr>
          <w:sz w:val="21"/>
        </w:rPr>
      </w:pPr>
      <w:r>
        <w:rPr>
          <w:spacing w:val="-3"/>
          <w:sz w:val="21"/>
        </w:rPr>
        <w:t>灭火机应按规定批准的图样及技术文件制造。</w:t>
      </w:r>
      <w:r>
        <w:rPr>
          <w:sz w:val="21"/>
        </w:rPr>
        <w:t> </w:t>
      </w:r>
    </w:p>
    <w:p>
      <w:pPr>
        <w:pStyle w:val="BodyText"/>
        <w:spacing w:before="2"/>
        <w:rPr>
          <w:sz w:val="18"/>
        </w:rPr>
      </w:pPr>
    </w:p>
    <w:p>
      <w:pPr>
        <w:pStyle w:val="ListParagraph"/>
        <w:numPr>
          <w:ilvl w:val="1"/>
          <w:numId w:val="962"/>
        </w:numPr>
        <w:tabs>
          <w:tab w:pos="1160" w:val="left" w:leader="none"/>
        </w:tabs>
        <w:spacing w:line="240" w:lineRule="auto" w:before="0" w:after="0"/>
        <w:ind w:left="1159" w:right="0" w:hanging="320"/>
        <w:jc w:val="left"/>
        <w:rPr>
          <w:sz w:val="21"/>
        </w:rPr>
      </w:pPr>
      <w:r>
        <w:rPr>
          <w:spacing w:val="-7"/>
          <w:sz w:val="21"/>
        </w:rPr>
        <w:t>灭火机主要技术规格，如附录 </w:t>
      </w:r>
      <w:r>
        <w:rPr>
          <w:sz w:val="21"/>
        </w:rPr>
        <w:t>A（</w:t>
      </w:r>
      <w:r>
        <w:rPr>
          <w:spacing w:val="-3"/>
          <w:sz w:val="21"/>
        </w:rPr>
        <w:t>补充件</w:t>
      </w:r>
      <w:r>
        <w:rPr>
          <w:sz w:val="21"/>
        </w:rPr>
        <w:t>）</w:t>
      </w:r>
      <w:r>
        <w:rPr>
          <w:spacing w:val="-3"/>
          <w:sz w:val="21"/>
        </w:rPr>
        <w:t>所示。</w:t>
      </w:r>
      <w:r>
        <w:rPr>
          <w:sz w:val="21"/>
        </w:rPr>
        <w:t> </w:t>
      </w:r>
    </w:p>
    <w:p>
      <w:pPr>
        <w:pStyle w:val="BodyText"/>
        <w:spacing w:before="12"/>
        <w:rPr>
          <w:sz w:val="17"/>
        </w:rPr>
      </w:pPr>
    </w:p>
    <w:p>
      <w:pPr>
        <w:pStyle w:val="ListParagraph"/>
        <w:numPr>
          <w:ilvl w:val="1"/>
          <w:numId w:val="962"/>
        </w:numPr>
        <w:tabs>
          <w:tab w:pos="1159" w:val="left" w:leader="none"/>
        </w:tabs>
        <w:spacing w:line="240" w:lineRule="auto" w:before="0" w:after="0"/>
        <w:ind w:left="1158" w:right="0" w:hanging="319"/>
        <w:jc w:val="left"/>
        <w:rPr>
          <w:sz w:val="21"/>
        </w:rPr>
      </w:pPr>
      <w:r>
        <w:rPr>
          <w:spacing w:val="-5"/>
          <w:sz w:val="21"/>
        </w:rPr>
        <w:t>灭火机应能在火场环境温度下正常工作，一次加油连续工作时间不小于 </w:t>
      </w:r>
      <w:r>
        <w:rPr>
          <w:sz w:val="21"/>
        </w:rPr>
        <w:t>30min</w:t>
      </w:r>
      <w:r>
        <w:rPr>
          <w:spacing w:val="-3"/>
          <w:sz w:val="21"/>
        </w:rPr>
        <w:t>。</w:t>
      </w:r>
      <w:r>
        <w:rPr>
          <w:sz w:val="21"/>
        </w:rPr>
        <w:t> </w:t>
      </w:r>
    </w:p>
    <w:p>
      <w:pPr>
        <w:pStyle w:val="BodyText"/>
        <w:spacing w:before="12"/>
        <w:rPr>
          <w:sz w:val="17"/>
        </w:rPr>
      </w:pPr>
    </w:p>
    <w:p>
      <w:pPr>
        <w:pStyle w:val="ListParagraph"/>
        <w:numPr>
          <w:ilvl w:val="1"/>
          <w:numId w:val="962"/>
        </w:numPr>
        <w:tabs>
          <w:tab w:pos="1159" w:val="left" w:leader="none"/>
        </w:tabs>
        <w:spacing w:line="240" w:lineRule="auto" w:before="0" w:after="0"/>
        <w:ind w:left="1158" w:right="0" w:hanging="319"/>
        <w:jc w:val="left"/>
        <w:rPr>
          <w:sz w:val="21"/>
        </w:rPr>
      </w:pPr>
      <w:r>
        <w:rPr>
          <w:spacing w:val="-6"/>
          <w:sz w:val="21"/>
        </w:rPr>
        <w:t>灭火机自水平位置向上、下、右倾斜 </w:t>
      </w:r>
      <w:r>
        <w:rPr>
          <w:sz w:val="21"/>
        </w:rPr>
        <w:t>30</w:t>
      </w:r>
      <w:r>
        <w:rPr>
          <w:spacing w:val="-3"/>
          <w:sz w:val="21"/>
        </w:rPr>
        <w:t>°均能正常工作。</w:t>
      </w:r>
      <w:r>
        <w:rPr>
          <w:sz w:val="21"/>
        </w:rPr>
        <w:t> </w:t>
      </w:r>
    </w:p>
    <w:p>
      <w:pPr>
        <w:pStyle w:val="BodyText"/>
        <w:spacing w:before="2"/>
        <w:rPr>
          <w:sz w:val="18"/>
        </w:rPr>
      </w:pPr>
    </w:p>
    <w:p>
      <w:pPr>
        <w:pStyle w:val="ListParagraph"/>
        <w:numPr>
          <w:ilvl w:val="1"/>
          <w:numId w:val="962"/>
        </w:numPr>
        <w:tabs>
          <w:tab w:pos="1159" w:val="left" w:leader="none"/>
        </w:tabs>
        <w:spacing w:line="240" w:lineRule="auto" w:before="0" w:after="0"/>
        <w:ind w:left="1158" w:right="0" w:hanging="319"/>
        <w:jc w:val="left"/>
        <w:rPr>
          <w:sz w:val="21"/>
        </w:rPr>
      </w:pPr>
      <w:r>
        <w:rPr>
          <w:spacing w:val="-3"/>
          <w:sz w:val="21"/>
        </w:rPr>
        <w:t>灭火机整机净重量与风功率</w:t>
      </w:r>
      <w:r>
        <w:rPr>
          <w:sz w:val="21"/>
        </w:rPr>
        <w:t>（</w:t>
      </w:r>
      <w:r>
        <w:rPr>
          <w:spacing w:val="-3"/>
          <w:sz w:val="21"/>
        </w:rPr>
        <w:t>风机全压空气功率</w:t>
      </w:r>
      <w:r>
        <w:rPr>
          <w:sz w:val="21"/>
        </w:rPr>
        <w:t>）</w:t>
      </w:r>
      <w:r>
        <w:rPr>
          <w:spacing w:val="-11"/>
          <w:sz w:val="21"/>
        </w:rPr>
        <w:t>之比应不大于 </w:t>
      </w:r>
      <w:r>
        <w:rPr>
          <w:sz w:val="21"/>
        </w:rPr>
        <w:t>6kg/kW。 </w:t>
      </w:r>
    </w:p>
    <w:p>
      <w:pPr>
        <w:pStyle w:val="BodyText"/>
        <w:rPr>
          <w:sz w:val="18"/>
        </w:rPr>
      </w:pPr>
    </w:p>
    <w:p>
      <w:pPr>
        <w:pStyle w:val="ListParagraph"/>
        <w:numPr>
          <w:ilvl w:val="1"/>
          <w:numId w:val="962"/>
        </w:numPr>
        <w:tabs>
          <w:tab w:pos="1159" w:val="left" w:leader="none"/>
        </w:tabs>
        <w:spacing w:line="240" w:lineRule="auto" w:before="0" w:after="0"/>
        <w:ind w:left="1158" w:right="0" w:hanging="319"/>
        <w:jc w:val="left"/>
        <w:rPr>
          <w:sz w:val="21"/>
        </w:rPr>
      </w:pPr>
      <w:r>
        <w:rPr>
          <w:spacing w:val="-7"/>
          <w:sz w:val="21"/>
        </w:rPr>
        <w:t>标定转速下，距灭火机中心 </w:t>
      </w:r>
      <w:r>
        <w:rPr>
          <w:sz w:val="21"/>
        </w:rPr>
        <w:t>2.5m</w:t>
      </w:r>
      <w:r>
        <w:rPr>
          <w:spacing w:val="-12"/>
          <w:sz w:val="21"/>
        </w:rPr>
        <w:t> 处的射流中心风速应不低于 </w:t>
      </w:r>
      <w:r>
        <w:rPr>
          <w:sz w:val="21"/>
        </w:rPr>
        <w:t>22m/s。 </w:t>
      </w:r>
    </w:p>
    <w:p>
      <w:pPr>
        <w:pStyle w:val="BodyText"/>
        <w:rPr>
          <w:sz w:val="18"/>
        </w:rPr>
      </w:pPr>
    </w:p>
    <w:p>
      <w:pPr>
        <w:pStyle w:val="ListParagraph"/>
        <w:numPr>
          <w:ilvl w:val="1"/>
          <w:numId w:val="962"/>
        </w:numPr>
        <w:tabs>
          <w:tab w:pos="1159" w:val="left" w:leader="none"/>
        </w:tabs>
        <w:spacing w:line="240" w:lineRule="auto" w:before="0" w:after="0"/>
        <w:ind w:left="1158" w:right="0" w:hanging="319"/>
        <w:jc w:val="left"/>
        <w:rPr>
          <w:sz w:val="21"/>
        </w:rPr>
      </w:pPr>
      <w:r>
        <w:rPr>
          <w:spacing w:val="-3"/>
          <w:sz w:val="21"/>
        </w:rPr>
        <w:t>在标定转速下，风筒出口处风量应不低于。 4m</w:t>
      </w:r>
      <w:r>
        <w:rPr>
          <w:spacing w:val="1"/>
          <w:sz w:val="21"/>
        </w:rPr>
        <w:t> </w:t>
      </w:r>
      <w:r>
        <w:rPr>
          <w:sz w:val="21"/>
        </w:rPr>
        <w:t>'/s</w:t>
      </w:r>
      <w:r>
        <w:rPr>
          <w:spacing w:val="-3"/>
          <w:sz w:val="21"/>
        </w:rPr>
        <w:t>。</w:t>
      </w:r>
      <w:r>
        <w:rPr>
          <w:sz w:val="21"/>
        </w:rPr>
        <w:t> </w:t>
      </w:r>
    </w:p>
    <w:p>
      <w:pPr>
        <w:pStyle w:val="BodyText"/>
        <w:spacing w:before="2"/>
        <w:rPr>
          <w:sz w:val="18"/>
        </w:rPr>
      </w:pPr>
    </w:p>
    <w:p>
      <w:pPr>
        <w:pStyle w:val="ListParagraph"/>
        <w:numPr>
          <w:ilvl w:val="1"/>
          <w:numId w:val="962"/>
        </w:numPr>
        <w:tabs>
          <w:tab w:pos="1159" w:val="left" w:leader="none"/>
        </w:tabs>
        <w:spacing w:line="240" w:lineRule="auto" w:before="0" w:after="0"/>
        <w:ind w:left="1158" w:right="0" w:hanging="319"/>
        <w:jc w:val="left"/>
        <w:rPr>
          <w:sz w:val="21"/>
        </w:rPr>
      </w:pPr>
      <w:r>
        <w:rPr>
          <w:spacing w:val="-3"/>
          <w:sz w:val="21"/>
        </w:rPr>
        <w:t>灭火机起动试验应符 合 </w:t>
      </w:r>
      <w:r>
        <w:rPr>
          <w:sz w:val="21"/>
        </w:rPr>
        <w:t>GB</w:t>
      </w:r>
      <w:r>
        <w:rPr>
          <w:spacing w:val="-2"/>
          <w:sz w:val="21"/>
        </w:rPr>
        <w:t> </w:t>
      </w:r>
      <w:r>
        <w:rPr>
          <w:sz w:val="21"/>
        </w:rPr>
        <w:t>10281</w:t>
      </w:r>
      <w:r>
        <w:rPr>
          <w:spacing w:val="-17"/>
          <w:sz w:val="21"/>
        </w:rPr>
        <w:t> 的规定，在 </w:t>
      </w:r>
      <w:r>
        <w:rPr>
          <w:sz w:val="21"/>
        </w:rPr>
        <w:t>30s</w:t>
      </w:r>
      <w:r>
        <w:rPr>
          <w:spacing w:val="-3"/>
          <w:sz w:val="21"/>
        </w:rPr>
        <w:t> 内应起动成功。</w:t>
      </w:r>
      <w:r>
        <w:rPr>
          <w:sz w:val="21"/>
        </w:rPr>
        <w:t> </w:t>
      </w:r>
    </w:p>
    <w:p>
      <w:pPr>
        <w:pStyle w:val="BodyText"/>
        <w:spacing w:before="12"/>
        <w:rPr>
          <w:sz w:val="17"/>
        </w:rPr>
      </w:pPr>
    </w:p>
    <w:p>
      <w:pPr>
        <w:pStyle w:val="ListParagraph"/>
        <w:numPr>
          <w:ilvl w:val="1"/>
          <w:numId w:val="962"/>
        </w:numPr>
        <w:tabs>
          <w:tab w:pos="1159" w:val="left" w:leader="none"/>
        </w:tabs>
        <w:spacing w:line="446" w:lineRule="auto" w:before="0" w:after="0"/>
        <w:ind w:left="418" w:right="1431" w:firstLine="422"/>
        <w:jc w:val="left"/>
        <w:rPr>
          <w:sz w:val="21"/>
        </w:rPr>
      </w:pPr>
      <w:r>
        <w:rPr>
          <w:spacing w:val="-6"/>
          <w:sz w:val="21"/>
        </w:rPr>
        <w:t>灭火机连续运转可靠性试验应不少于 </w:t>
      </w:r>
      <w:r>
        <w:rPr>
          <w:sz w:val="21"/>
        </w:rPr>
        <w:t>24h</w:t>
      </w:r>
      <w:r>
        <w:rPr>
          <w:spacing w:val="-9"/>
          <w:sz w:val="21"/>
        </w:rPr>
        <w:t> ，试验方法应符合 </w:t>
      </w:r>
      <w:r>
        <w:rPr>
          <w:spacing w:val="-3"/>
          <w:sz w:val="21"/>
        </w:rPr>
        <w:t>G</w:t>
      </w:r>
      <w:r>
        <w:rPr>
          <w:spacing w:val="-21"/>
          <w:sz w:val="21"/>
        </w:rPr>
        <w:t> </w:t>
      </w:r>
      <w:r>
        <w:rPr>
          <w:sz w:val="21"/>
        </w:rPr>
        <w:t>B</w:t>
      </w:r>
      <w:r>
        <w:rPr>
          <w:spacing w:val="-21"/>
          <w:sz w:val="21"/>
        </w:rPr>
        <w:t> </w:t>
      </w:r>
      <w:r>
        <w:rPr>
          <w:sz w:val="21"/>
        </w:rPr>
        <w:t>10281</w:t>
      </w:r>
      <w:r>
        <w:rPr>
          <w:spacing w:val="-12"/>
          <w:sz w:val="21"/>
        </w:rPr>
        <w:t> 的规定。试验中</w:t>
      </w:r>
      <w:r>
        <w:rPr>
          <w:spacing w:val="-8"/>
          <w:sz w:val="21"/>
        </w:rPr>
        <w:t>不得有任何故障和保养停机，试验后的发动机转速不应下降 </w:t>
      </w:r>
      <w:r>
        <w:rPr>
          <w:sz w:val="21"/>
        </w:rPr>
        <w:t>5</w:t>
      </w:r>
      <w:r>
        <w:rPr>
          <w:spacing w:val="-2"/>
          <w:sz w:val="21"/>
        </w:rPr>
        <w:t>%。</w:t>
      </w:r>
      <w:r>
        <w:rPr>
          <w:sz w:val="21"/>
        </w:rPr>
        <w:t> </w:t>
      </w:r>
    </w:p>
    <w:p>
      <w:pPr>
        <w:pStyle w:val="ListParagraph"/>
        <w:numPr>
          <w:ilvl w:val="1"/>
          <w:numId w:val="962"/>
        </w:numPr>
        <w:tabs>
          <w:tab w:pos="1264" w:val="left" w:leader="none"/>
        </w:tabs>
        <w:spacing w:line="240" w:lineRule="auto" w:before="0" w:after="0"/>
        <w:ind w:left="1263" w:right="0" w:hanging="424"/>
        <w:jc w:val="left"/>
        <w:rPr>
          <w:sz w:val="21"/>
        </w:rPr>
      </w:pPr>
      <w:r>
        <w:rPr>
          <w:spacing w:val="-9"/>
          <w:sz w:val="21"/>
        </w:rPr>
        <w:t>标定转速下，按 </w:t>
      </w:r>
      <w:r>
        <w:rPr>
          <w:sz w:val="21"/>
        </w:rPr>
        <w:t>GB</w:t>
      </w:r>
      <w:r>
        <w:rPr>
          <w:spacing w:val="12"/>
          <w:sz w:val="21"/>
        </w:rPr>
        <w:t> </w:t>
      </w:r>
      <w:r>
        <w:rPr>
          <w:sz w:val="21"/>
        </w:rPr>
        <w:t>10283</w:t>
      </w:r>
      <w:r>
        <w:rPr>
          <w:spacing w:val="-10"/>
          <w:sz w:val="21"/>
        </w:rPr>
        <w:t> 测出的灭火机把手处的振动加速度值应不大于 </w:t>
      </w:r>
      <w:r>
        <w:rPr>
          <w:sz w:val="21"/>
        </w:rPr>
        <w:t>30m/s²</w:t>
      </w:r>
      <w:r>
        <w:rPr>
          <w:spacing w:val="-3"/>
          <w:sz w:val="21"/>
        </w:rPr>
        <w:t>。</w:t>
      </w:r>
      <w:r>
        <w:rPr>
          <w:sz w:val="21"/>
        </w:rPr>
        <w:t> </w:t>
      </w:r>
    </w:p>
    <w:p>
      <w:pPr>
        <w:pStyle w:val="BodyText"/>
        <w:spacing w:before="12"/>
        <w:rPr>
          <w:sz w:val="17"/>
        </w:rPr>
      </w:pPr>
    </w:p>
    <w:p>
      <w:pPr>
        <w:pStyle w:val="ListParagraph"/>
        <w:numPr>
          <w:ilvl w:val="1"/>
          <w:numId w:val="962"/>
        </w:numPr>
        <w:tabs>
          <w:tab w:pos="1266" w:val="left" w:leader="none"/>
        </w:tabs>
        <w:spacing w:line="240" w:lineRule="auto" w:before="0" w:after="0"/>
        <w:ind w:left="1265" w:right="0" w:hanging="426"/>
        <w:jc w:val="left"/>
        <w:rPr>
          <w:sz w:val="21"/>
        </w:rPr>
      </w:pPr>
      <w:r>
        <w:rPr>
          <w:spacing w:val="-3"/>
          <w:w w:val="100"/>
          <w:sz w:val="21"/>
        </w:rPr>
        <w:t>标定转速下，按</w:t>
      </w:r>
      <w:r>
        <w:rPr>
          <w:spacing w:val="-55"/>
          <w:sz w:val="21"/>
        </w:rPr>
        <w:t> </w:t>
      </w:r>
      <w:r>
        <w:rPr>
          <w:w w:val="100"/>
          <w:sz w:val="21"/>
        </w:rPr>
        <w:t>G </w:t>
      </w:r>
      <w:r>
        <w:rPr>
          <w:spacing w:val="-3"/>
          <w:w w:val="100"/>
          <w:sz w:val="21"/>
        </w:rPr>
        <w:t>B</w:t>
      </w:r>
      <w:r>
        <w:rPr>
          <w:w w:val="100"/>
          <w:sz w:val="21"/>
        </w:rPr>
        <w:t> 102</w:t>
      </w:r>
      <w:r>
        <w:rPr>
          <w:spacing w:val="-3"/>
          <w:w w:val="100"/>
          <w:sz w:val="21"/>
        </w:rPr>
        <w:t>8</w:t>
      </w:r>
      <w:r>
        <w:rPr>
          <w:w w:val="100"/>
          <w:sz w:val="21"/>
        </w:rPr>
        <w:t>4</w:t>
      </w:r>
      <w:r>
        <w:rPr>
          <w:spacing w:val="-53"/>
          <w:sz w:val="21"/>
        </w:rPr>
        <w:t> </w:t>
      </w:r>
      <w:r>
        <w:rPr>
          <w:spacing w:val="-3"/>
          <w:w w:val="100"/>
          <w:sz w:val="21"/>
        </w:rPr>
        <w:t>测出的操作者耳旁噪声声压级值不得大于</w:t>
      </w:r>
      <w:r>
        <w:rPr>
          <w:spacing w:val="-52"/>
          <w:sz w:val="21"/>
        </w:rPr>
        <w:t> </w:t>
      </w:r>
      <w:r>
        <w:rPr>
          <w:spacing w:val="-3"/>
          <w:w w:val="100"/>
          <w:sz w:val="21"/>
        </w:rPr>
        <w:t>10</w:t>
      </w:r>
      <w:r>
        <w:rPr>
          <w:w w:val="100"/>
          <w:sz w:val="21"/>
        </w:rPr>
        <w:t>5d</w:t>
      </w:r>
      <w:r>
        <w:rPr>
          <w:spacing w:val="-1"/>
          <w:w w:val="100"/>
          <w:sz w:val="21"/>
        </w:rPr>
        <w:t>B</w:t>
      </w:r>
      <w:r>
        <w:rPr>
          <w:w w:val="100"/>
          <w:sz w:val="21"/>
        </w:rPr>
        <w:t>（</w:t>
      </w:r>
      <w:r>
        <w:rPr>
          <w:spacing w:val="-3"/>
          <w:w w:val="100"/>
          <w:sz w:val="21"/>
        </w:rPr>
        <w:t>A</w:t>
      </w:r>
      <w:r>
        <w:rPr>
          <w:spacing w:val="-106"/>
          <w:w w:val="100"/>
          <w:sz w:val="21"/>
        </w:rPr>
        <w:t>）</w:t>
      </w:r>
      <w:r>
        <w:rPr>
          <w:spacing w:val="-3"/>
          <w:w w:val="100"/>
          <w:sz w:val="21"/>
        </w:rPr>
        <w:t>。</w:t>
      </w:r>
      <w:r>
        <w:rPr>
          <w:w w:val="100"/>
          <w:sz w:val="21"/>
        </w:rPr>
        <w:t> </w:t>
      </w:r>
    </w:p>
    <w:p>
      <w:pPr>
        <w:pStyle w:val="BodyText"/>
        <w:spacing w:before="9"/>
        <w:rPr>
          <w:sz w:val="15"/>
        </w:rPr>
      </w:pPr>
    </w:p>
    <w:p>
      <w:pPr>
        <w:pStyle w:val="Heading4"/>
      </w:pPr>
      <w:r>
        <w:rPr/>
        <w:t>4 发动机技术要求</w:t>
      </w:r>
      <w:r>
        <w:rPr>
          <w:w w:val="99"/>
        </w:rPr>
        <w:t> </w:t>
      </w:r>
    </w:p>
    <w:p>
      <w:pPr>
        <w:pStyle w:val="BodyText"/>
        <w:spacing w:before="6"/>
        <w:rPr>
          <w:b/>
          <w:sz w:val="17"/>
        </w:rPr>
      </w:pPr>
    </w:p>
    <w:p>
      <w:pPr>
        <w:pStyle w:val="ListParagraph"/>
        <w:numPr>
          <w:ilvl w:val="1"/>
          <w:numId w:val="963"/>
        </w:numPr>
        <w:tabs>
          <w:tab w:pos="1160" w:val="left" w:leader="none"/>
        </w:tabs>
        <w:spacing w:line="240" w:lineRule="auto" w:before="0" w:after="0"/>
        <w:ind w:left="1159" w:right="0" w:hanging="320"/>
        <w:jc w:val="left"/>
        <w:rPr>
          <w:sz w:val="21"/>
        </w:rPr>
      </w:pPr>
      <w:r>
        <w:rPr>
          <w:spacing w:val="-3"/>
          <w:sz w:val="21"/>
        </w:rPr>
        <w:t>灭火机用发动机的标定功率为最大功率。</w:t>
      </w:r>
      <w:r>
        <w:rPr>
          <w:sz w:val="21"/>
        </w:rPr>
        <w:t> </w:t>
      </w:r>
    </w:p>
    <w:p>
      <w:pPr>
        <w:pStyle w:val="BodyText"/>
        <w:spacing w:before="12"/>
        <w:rPr>
          <w:sz w:val="17"/>
        </w:rPr>
      </w:pPr>
    </w:p>
    <w:p>
      <w:pPr>
        <w:pStyle w:val="ListParagraph"/>
        <w:numPr>
          <w:ilvl w:val="1"/>
          <w:numId w:val="963"/>
        </w:numPr>
        <w:tabs>
          <w:tab w:pos="1159" w:val="left" w:leader="none"/>
        </w:tabs>
        <w:spacing w:line="240" w:lineRule="auto" w:before="0" w:after="0"/>
        <w:ind w:left="1158" w:right="0" w:hanging="319"/>
        <w:jc w:val="left"/>
        <w:rPr>
          <w:sz w:val="21"/>
        </w:rPr>
      </w:pPr>
      <w:r>
        <w:rPr>
          <w:spacing w:val="-6"/>
          <w:sz w:val="21"/>
        </w:rPr>
        <w:t>灭火机用发动机的主要性能及指标应符合 </w:t>
      </w:r>
      <w:r>
        <w:rPr>
          <w:sz w:val="21"/>
        </w:rPr>
        <w:t>GB</w:t>
      </w:r>
      <w:r>
        <w:rPr>
          <w:spacing w:val="-2"/>
          <w:sz w:val="21"/>
        </w:rPr>
        <w:t> </w:t>
      </w:r>
      <w:r>
        <w:rPr>
          <w:sz w:val="21"/>
        </w:rPr>
        <w:t>5392</w:t>
      </w:r>
      <w:r>
        <w:rPr>
          <w:spacing w:val="-13"/>
          <w:sz w:val="21"/>
        </w:rPr>
        <w:t> 的规定。</w:t>
      </w:r>
      <w:r>
        <w:rPr>
          <w:sz w:val="21"/>
        </w:rPr>
        <w:t> </w:t>
      </w:r>
    </w:p>
    <w:p>
      <w:pPr>
        <w:spacing w:after="0" w:line="240" w:lineRule="auto"/>
        <w:jc w:val="left"/>
        <w:rPr>
          <w:sz w:val="21"/>
        </w:rPr>
        <w:sectPr>
          <w:pgSz w:w="11910" w:h="16850"/>
          <w:pgMar w:header="0" w:footer="1239" w:top="1060" w:bottom="1420" w:left="1260" w:right="0"/>
        </w:sectPr>
      </w:pPr>
    </w:p>
    <w:p>
      <w:pPr>
        <w:pStyle w:val="Heading4"/>
        <w:spacing w:before="37"/>
      </w:pPr>
      <w:r>
        <w:rPr/>
        <w:t>5 主要零部件技术要求</w:t>
      </w:r>
      <w:r>
        <w:rPr>
          <w:w w:val="99"/>
        </w:rPr>
        <w:t> </w:t>
      </w:r>
    </w:p>
    <w:p>
      <w:pPr>
        <w:pStyle w:val="BodyText"/>
        <w:spacing w:before="4"/>
        <w:rPr>
          <w:b/>
          <w:sz w:val="17"/>
        </w:rPr>
      </w:pPr>
    </w:p>
    <w:p>
      <w:pPr>
        <w:spacing w:before="1"/>
        <w:ind w:left="840" w:right="0" w:firstLine="0"/>
        <w:jc w:val="left"/>
        <w:rPr>
          <w:sz w:val="21"/>
        </w:rPr>
      </w:pPr>
      <w:r>
        <w:rPr>
          <w:b/>
          <w:sz w:val="21"/>
        </w:rPr>
        <w:t>5.1 </w:t>
      </w:r>
      <w:r>
        <w:rPr>
          <w:sz w:val="21"/>
        </w:rPr>
        <w:t>风机： </w:t>
      </w:r>
    </w:p>
    <w:p>
      <w:pPr>
        <w:pStyle w:val="BodyText"/>
        <w:spacing w:before="12"/>
        <w:rPr>
          <w:sz w:val="17"/>
        </w:rPr>
      </w:pPr>
    </w:p>
    <w:p>
      <w:pPr>
        <w:pStyle w:val="ListParagraph"/>
        <w:numPr>
          <w:ilvl w:val="2"/>
          <w:numId w:val="964"/>
        </w:numPr>
        <w:tabs>
          <w:tab w:pos="1371" w:val="left" w:leader="none"/>
        </w:tabs>
        <w:spacing w:line="240" w:lineRule="auto" w:before="0" w:after="0"/>
        <w:ind w:left="1370" w:right="0" w:hanging="531"/>
        <w:jc w:val="left"/>
        <w:rPr>
          <w:sz w:val="21"/>
        </w:rPr>
      </w:pPr>
      <w:r>
        <w:rPr>
          <w:spacing w:val="-7"/>
          <w:sz w:val="21"/>
        </w:rPr>
        <w:t>灭火机风机全压效率应不低于 </w:t>
      </w:r>
      <w:r>
        <w:rPr>
          <w:sz w:val="21"/>
        </w:rPr>
        <w:t>60%（</w:t>
      </w:r>
      <w:r>
        <w:rPr>
          <w:spacing w:val="-3"/>
          <w:sz w:val="21"/>
        </w:rPr>
        <w:t>叶片前向弯曲叶轮</w:t>
      </w:r>
      <w:r>
        <w:rPr>
          <w:spacing w:val="-106"/>
          <w:sz w:val="21"/>
        </w:rPr>
        <w:t>）</w:t>
      </w:r>
      <w:r>
        <w:rPr>
          <w:spacing w:val="-3"/>
          <w:sz w:val="21"/>
        </w:rPr>
        <w:t>。</w:t>
      </w:r>
      <w:r>
        <w:rPr>
          <w:sz w:val="21"/>
        </w:rPr>
        <w:t> </w:t>
      </w:r>
    </w:p>
    <w:p>
      <w:pPr>
        <w:pStyle w:val="BodyText"/>
        <w:spacing w:before="2"/>
        <w:rPr>
          <w:sz w:val="18"/>
        </w:rPr>
      </w:pPr>
    </w:p>
    <w:p>
      <w:pPr>
        <w:pStyle w:val="ListParagraph"/>
        <w:numPr>
          <w:ilvl w:val="2"/>
          <w:numId w:val="964"/>
        </w:numPr>
        <w:tabs>
          <w:tab w:pos="1371" w:val="left" w:leader="none"/>
        </w:tabs>
        <w:spacing w:line="446" w:lineRule="auto" w:before="0" w:after="0"/>
        <w:ind w:left="418" w:right="1433" w:firstLine="422"/>
        <w:jc w:val="left"/>
        <w:rPr>
          <w:sz w:val="21"/>
        </w:rPr>
      </w:pPr>
      <w:r>
        <w:rPr>
          <w:spacing w:val="-7"/>
          <w:sz w:val="21"/>
        </w:rPr>
        <w:t>风机耐久性试验应不少于 </w:t>
      </w:r>
      <w:r>
        <w:rPr>
          <w:sz w:val="21"/>
        </w:rPr>
        <w:t>160h</w:t>
      </w:r>
      <w:r>
        <w:rPr>
          <w:spacing w:val="-9"/>
          <w:sz w:val="21"/>
        </w:rPr>
        <w:t>，试验方法应符合 </w:t>
      </w:r>
      <w:r>
        <w:rPr>
          <w:sz w:val="21"/>
        </w:rPr>
        <w:t>GB</w:t>
      </w:r>
      <w:r>
        <w:rPr>
          <w:spacing w:val="15"/>
          <w:sz w:val="21"/>
        </w:rPr>
        <w:t> </w:t>
      </w:r>
      <w:r>
        <w:rPr>
          <w:sz w:val="21"/>
        </w:rPr>
        <w:t>10281</w:t>
      </w:r>
      <w:r>
        <w:rPr>
          <w:spacing w:val="-9"/>
          <w:sz w:val="21"/>
        </w:rPr>
        <w:t> 的规定。试验后，各零、</w:t>
      </w:r>
      <w:r>
        <w:rPr>
          <w:spacing w:val="-5"/>
          <w:sz w:val="21"/>
        </w:rPr>
        <w:t>部件不应出现裂纹和明显变形。</w:t>
      </w:r>
      <w:r>
        <w:rPr>
          <w:sz w:val="21"/>
        </w:rPr>
        <w:t> </w:t>
      </w:r>
    </w:p>
    <w:p>
      <w:pPr>
        <w:pStyle w:val="ListParagraph"/>
        <w:numPr>
          <w:ilvl w:val="2"/>
          <w:numId w:val="964"/>
        </w:numPr>
        <w:tabs>
          <w:tab w:pos="1371" w:val="left" w:leader="none"/>
        </w:tabs>
        <w:spacing w:line="267" w:lineRule="exact" w:before="0" w:after="0"/>
        <w:ind w:left="1370" w:right="0" w:hanging="531"/>
        <w:jc w:val="left"/>
        <w:rPr>
          <w:b/>
          <w:sz w:val="21"/>
        </w:rPr>
      </w:pPr>
      <w:r>
        <w:rPr>
          <w:spacing w:val="-6"/>
          <w:sz w:val="21"/>
        </w:rPr>
        <w:t>叶轮应进行静平衡检验，偏摆范围不得超过 </w:t>
      </w:r>
      <w:r>
        <w:rPr>
          <w:sz w:val="21"/>
        </w:rPr>
        <w:t>30°</w:t>
      </w:r>
      <w:r>
        <w:rPr>
          <w:spacing w:val="-3"/>
          <w:sz w:val="21"/>
        </w:rPr>
        <w:t>。</w:t>
      </w:r>
      <w:r>
        <w:rPr>
          <w:b/>
          <w:w w:val="99"/>
          <w:sz w:val="21"/>
        </w:rPr>
        <w:t> </w:t>
      </w:r>
    </w:p>
    <w:p>
      <w:pPr>
        <w:pStyle w:val="BodyText"/>
        <w:spacing w:before="2"/>
        <w:rPr>
          <w:b/>
          <w:sz w:val="18"/>
        </w:rPr>
      </w:pPr>
    </w:p>
    <w:p>
      <w:pPr>
        <w:pStyle w:val="ListParagraph"/>
        <w:numPr>
          <w:ilvl w:val="2"/>
          <w:numId w:val="964"/>
        </w:numPr>
        <w:tabs>
          <w:tab w:pos="1371" w:val="left" w:leader="none"/>
        </w:tabs>
        <w:spacing w:line="446" w:lineRule="auto" w:before="0" w:after="0"/>
        <w:ind w:left="418" w:right="1431" w:firstLine="422"/>
        <w:jc w:val="left"/>
        <w:rPr>
          <w:sz w:val="21"/>
        </w:rPr>
      </w:pPr>
      <w:r>
        <w:rPr>
          <w:spacing w:val="-11"/>
          <w:sz w:val="21"/>
        </w:rPr>
        <w:t>叶轮应进行 </w:t>
      </w:r>
      <w:r>
        <w:rPr>
          <w:sz w:val="21"/>
        </w:rPr>
        <w:t>1.3</w:t>
      </w:r>
      <w:r>
        <w:rPr>
          <w:spacing w:val="-10"/>
          <w:sz w:val="21"/>
        </w:rPr>
        <w:t> 倍于标定转速的超速试验。试验方法应符合 </w:t>
      </w:r>
      <w:r>
        <w:rPr>
          <w:sz w:val="21"/>
        </w:rPr>
        <w:t>GB</w:t>
      </w:r>
      <w:r>
        <w:rPr>
          <w:spacing w:val="41"/>
          <w:sz w:val="21"/>
        </w:rPr>
        <w:t> </w:t>
      </w:r>
      <w:r>
        <w:rPr>
          <w:sz w:val="21"/>
        </w:rPr>
        <w:t>10281</w:t>
      </w:r>
      <w:r>
        <w:rPr>
          <w:spacing w:val="-10"/>
          <w:sz w:val="21"/>
        </w:rPr>
        <w:t> 的规定，试验</w:t>
      </w:r>
      <w:r>
        <w:rPr>
          <w:spacing w:val="-5"/>
          <w:sz w:val="21"/>
        </w:rPr>
        <w:t>后，各处不应有变形、裂痕、损坏。</w:t>
      </w:r>
      <w:r>
        <w:rPr>
          <w:sz w:val="21"/>
        </w:rPr>
        <w:t> </w:t>
      </w:r>
    </w:p>
    <w:p>
      <w:pPr>
        <w:pStyle w:val="BodyText"/>
        <w:spacing w:line="267" w:lineRule="exact"/>
        <w:ind w:left="840"/>
      </w:pPr>
      <w:r>
        <w:rPr>
          <w:b/>
        </w:rPr>
        <w:t>5.2 </w:t>
      </w:r>
      <w:r>
        <w:rPr/>
        <w:t>外购件、外协件和原材料均需符合有关标准和技术文件的规定。 </w:t>
      </w:r>
    </w:p>
    <w:p>
      <w:pPr>
        <w:pStyle w:val="BodyText"/>
        <w:spacing w:before="10"/>
        <w:rPr>
          <w:sz w:val="15"/>
        </w:rPr>
      </w:pPr>
    </w:p>
    <w:p>
      <w:pPr>
        <w:pStyle w:val="Heading4"/>
      </w:pPr>
      <w:r>
        <w:rPr/>
        <w:t>6 检验分类</w:t>
      </w:r>
      <w:r>
        <w:rPr>
          <w:w w:val="99"/>
        </w:rPr>
        <w:t> </w:t>
      </w:r>
    </w:p>
    <w:p>
      <w:pPr>
        <w:pStyle w:val="BodyText"/>
        <w:spacing w:before="4"/>
        <w:rPr>
          <w:b/>
          <w:sz w:val="17"/>
        </w:rPr>
      </w:pPr>
    </w:p>
    <w:p>
      <w:pPr>
        <w:pStyle w:val="ListParagraph"/>
        <w:numPr>
          <w:ilvl w:val="1"/>
          <w:numId w:val="965"/>
        </w:numPr>
        <w:tabs>
          <w:tab w:pos="1159" w:val="left" w:leader="none"/>
        </w:tabs>
        <w:spacing w:line="240" w:lineRule="auto" w:before="0" w:after="0"/>
        <w:ind w:left="1158" w:right="0" w:hanging="319"/>
        <w:jc w:val="left"/>
        <w:rPr>
          <w:sz w:val="21"/>
        </w:rPr>
      </w:pPr>
      <w:r>
        <w:rPr>
          <w:spacing w:val="-3"/>
          <w:sz w:val="21"/>
        </w:rPr>
        <w:t>灭火机产品检验时要进行试验，试验分形式试验、出厂试验和定期抽查试验。</w:t>
      </w:r>
      <w:r>
        <w:rPr>
          <w:sz w:val="21"/>
        </w:rPr>
        <w:t> </w:t>
      </w:r>
    </w:p>
    <w:p>
      <w:pPr>
        <w:pStyle w:val="BodyText"/>
        <w:spacing w:before="12"/>
        <w:rPr>
          <w:sz w:val="17"/>
        </w:rPr>
      </w:pPr>
    </w:p>
    <w:p>
      <w:pPr>
        <w:pStyle w:val="ListParagraph"/>
        <w:numPr>
          <w:ilvl w:val="1"/>
          <w:numId w:val="965"/>
        </w:numPr>
        <w:tabs>
          <w:tab w:pos="1160" w:val="left" w:leader="none"/>
        </w:tabs>
        <w:spacing w:line="240" w:lineRule="auto" w:before="0" w:after="0"/>
        <w:ind w:left="1159" w:right="0" w:hanging="320"/>
        <w:jc w:val="left"/>
        <w:rPr>
          <w:sz w:val="21"/>
        </w:rPr>
      </w:pPr>
      <w:r>
        <w:rPr>
          <w:spacing w:val="-3"/>
          <w:sz w:val="21"/>
        </w:rPr>
        <w:t>新产品定型或结构、工艺有较大改变，老产品转厂出产时均必须进行形式试验。</w:t>
      </w:r>
      <w:r>
        <w:rPr>
          <w:sz w:val="21"/>
        </w:rPr>
        <w:t> </w:t>
      </w:r>
    </w:p>
    <w:p>
      <w:pPr>
        <w:pStyle w:val="BodyText"/>
        <w:spacing w:before="2"/>
        <w:rPr>
          <w:sz w:val="18"/>
        </w:rPr>
      </w:pPr>
    </w:p>
    <w:p>
      <w:pPr>
        <w:pStyle w:val="BodyText"/>
        <w:spacing w:line="446" w:lineRule="auto"/>
        <w:ind w:left="838" w:right="8133"/>
      </w:pPr>
      <w:r>
        <w:rPr>
          <w:spacing w:val="-3"/>
        </w:rPr>
        <w:t>试验项目包括：  </w:t>
      </w:r>
      <w:r>
        <w:rPr/>
        <w:t>a.</w:t>
      </w:r>
      <w:r>
        <w:rPr>
          <w:spacing w:val="-3"/>
        </w:rPr>
        <w:t>风机性能试验；</w:t>
      </w:r>
      <w:r>
        <w:rPr/>
        <w:t> </w:t>
      </w:r>
    </w:p>
    <w:p>
      <w:pPr>
        <w:pStyle w:val="ListParagraph"/>
        <w:numPr>
          <w:ilvl w:val="0"/>
          <w:numId w:val="966"/>
        </w:numPr>
        <w:tabs>
          <w:tab w:pos="1051" w:val="left" w:leader="none"/>
        </w:tabs>
        <w:spacing w:line="446" w:lineRule="auto" w:before="0" w:after="0"/>
        <w:ind w:left="418" w:right="1435" w:firstLine="419"/>
        <w:jc w:val="left"/>
        <w:rPr>
          <w:sz w:val="21"/>
        </w:rPr>
      </w:pPr>
      <w:r>
        <w:rPr>
          <w:spacing w:val="-7"/>
          <w:sz w:val="21"/>
        </w:rPr>
        <w:t>整机性能试验，包括起动性能试验、翻转性能试脸、连续运转可靠性试验、风机耐久性试</w:t>
      </w:r>
      <w:r>
        <w:rPr>
          <w:spacing w:val="-5"/>
          <w:sz w:val="21"/>
        </w:rPr>
        <w:t>验、手感振动试验、耳旁噪声试验、一次加油连续工作时间测定。</w:t>
      </w:r>
      <w:r>
        <w:rPr>
          <w:sz w:val="21"/>
        </w:rPr>
        <w:t> </w:t>
      </w:r>
    </w:p>
    <w:p>
      <w:pPr>
        <w:pStyle w:val="ListParagraph"/>
        <w:numPr>
          <w:ilvl w:val="0"/>
          <w:numId w:val="966"/>
        </w:numPr>
        <w:tabs>
          <w:tab w:pos="1051" w:val="left" w:leader="none"/>
        </w:tabs>
        <w:spacing w:line="240" w:lineRule="auto" w:before="0" w:after="0"/>
        <w:ind w:left="1050" w:right="0" w:hanging="213"/>
        <w:jc w:val="left"/>
        <w:rPr>
          <w:sz w:val="21"/>
        </w:rPr>
      </w:pPr>
      <w:r>
        <w:rPr>
          <w:spacing w:val="-3"/>
          <w:sz w:val="21"/>
        </w:rPr>
        <w:t>叶轮性能试验，包括叶轮静平衡试验、叶轮超速试验。</w:t>
      </w:r>
      <w:r>
        <w:rPr>
          <w:sz w:val="21"/>
        </w:rPr>
        <w:t> </w:t>
      </w:r>
    </w:p>
    <w:p>
      <w:pPr>
        <w:pStyle w:val="BodyText"/>
        <w:spacing w:before="10"/>
        <w:rPr>
          <w:sz w:val="17"/>
        </w:rPr>
      </w:pPr>
    </w:p>
    <w:p>
      <w:pPr>
        <w:pStyle w:val="ListParagraph"/>
        <w:numPr>
          <w:ilvl w:val="1"/>
          <w:numId w:val="965"/>
        </w:numPr>
        <w:tabs>
          <w:tab w:pos="1160" w:val="left" w:leader="none"/>
        </w:tabs>
        <w:spacing w:line="446" w:lineRule="auto" w:before="0" w:after="0"/>
        <w:ind w:left="418" w:right="1431" w:firstLine="422"/>
        <w:jc w:val="left"/>
        <w:rPr>
          <w:sz w:val="21"/>
        </w:rPr>
      </w:pPr>
      <w:r>
        <w:rPr>
          <w:spacing w:val="-6"/>
          <w:sz w:val="21"/>
        </w:rPr>
        <w:t>鉴定定型批量生产的灭火机，产品出厂必须进行出厂试验。在确保产品质的前提下，工厂可自行决定试验项目，但必须进行起动性能试验，并且在标定转速下稳定运转 </w:t>
      </w:r>
      <w:r>
        <w:rPr>
          <w:sz w:val="21"/>
        </w:rPr>
        <w:t>1min, </w:t>
      </w:r>
    </w:p>
    <w:p>
      <w:pPr>
        <w:pStyle w:val="ListParagraph"/>
        <w:numPr>
          <w:ilvl w:val="1"/>
          <w:numId w:val="965"/>
        </w:numPr>
        <w:tabs>
          <w:tab w:pos="1160" w:val="left" w:leader="none"/>
        </w:tabs>
        <w:spacing w:line="446" w:lineRule="auto" w:before="1" w:after="0"/>
        <w:ind w:left="418" w:right="1431" w:firstLine="422"/>
        <w:jc w:val="left"/>
        <w:rPr>
          <w:sz w:val="21"/>
        </w:rPr>
      </w:pPr>
      <w:r>
        <w:rPr>
          <w:spacing w:val="-5"/>
          <w:sz w:val="21"/>
        </w:rPr>
        <w:t>批盘生产的灭火机应根据批量的大小，定期抽取一定数量的灭火机进行试脸。试脸项目</w:t>
      </w:r>
      <w:r>
        <w:rPr>
          <w:spacing w:val="-14"/>
          <w:sz w:val="21"/>
        </w:rPr>
        <w:t>应包括第 </w:t>
      </w:r>
      <w:r>
        <w:rPr>
          <w:sz w:val="21"/>
        </w:rPr>
        <w:t>6.2</w:t>
      </w:r>
      <w:r>
        <w:rPr>
          <w:spacing w:val="-37"/>
          <w:sz w:val="21"/>
        </w:rPr>
        <w:t> 条 </w:t>
      </w:r>
      <w:r>
        <w:rPr>
          <w:sz w:val="21"/>
        </w:rPr>
        <w:t>b</w:t>
      </w:r>
      <w:r>
        <w:rPr>
          <w:spacing w:val="-37"/>
          <w:sz w:val="21"/>
        </w:rPr>
        <w:t> 和 </w:t>
      </w:r>
      <w:r>
        <w:rPr>
          <w:sz w:val="21"/>
        </w:rPr>
        <w:t>c</w:t>
      </w:r>
      <w:r>
        <w:rPr>
          <w:spacing w:val="-10"/>
          <w:sz w:val="21"/>
        </w:rPr>
        <w:t> 的各项内容。</w:t>
      </w:r>
      <w:r>
        <w:rPr>
          <w:sz w:val="21"/>
        </w:rPr>
        <w:t> </w:t>
      </w:r>
    </w:p>
    <w:p>
      <w:pPr>
        <w:pStyle w:val="Heading4"/>
        <w:spacing w:line="277" w:lineRule="exact"/>
      </w:pPr>
      <w:r>
        <w:rPr/>
        <w:t>7 验收规则</w:t>
      </w:r>
      <w:r>
        <w:rPr>
          <w:w w:val="99"/>
        </w:rPr>
        <w:t> </w:t>
      </w:r>
    </w:p>
    <w:p>
      <w:pPr>
        <w:pStyle w:val="BodyText"/>
        <w:spacing w:before="3"/>
        <w:rPr>
          <w:b/>
          <w:sz w:val="17"/>
        </w:rPr>
      </w:pPr>
    </w:p>
    <w:p>
      <w:pPr>
        <w:pStyle w:val="ListParagraph"/>
        <w:numPr>
          <w:ilvl w:val="1"/>
          <w:numId w:val="967"/>
        </w:numPr>
        <w:tabs>
          <w:tab w:pos="1230" w:val="left" w:leader="none"/>
        </w:tabs>
        <w:spacing w:line="446" w:lineRule="auto" w:before="1" w:after="0"/>
        <w:ind w:left="418" w:right="1431" w:firstLine="422"/>
        <w:jc w:val="left"/>
        <w:rPr>
          <w:sz w:val="21"/>
        </w:rPr>
      </w:pPr>
      <w:r>
        <w:rPr>
          <w:spacing w:val="-3"/>
          <w:sz w:val="21"/>
        </w:rPr>
        <w:t>制造厂应按有关标准编制试验大纲和试验规范，产品必须按规范进行试脸，合格后方能出厂。</w:t>
      </w:r>
      <w:r>
        <w:rPr>
          <w:sz w:val="21"/>
        </w:rPr>
        <w:t> </w:t>
      </w:r>
    </w:p>
    <w:p>
      <w:pPr>
        <w:pStyle w:val="ListParagraph"/>
        <w:numPr>
          <w:ilvl w:val="1"/>
          <w:numId w:val="967"/>
        </w:numPr>
        <w:tabs>
          <w:tab w:pos="1213" w:val="left" w:leader="none"/>
        </w:tabs>
        <w:spacing w:line="240" w:lineRule="auto" w:before="0" w:after="0"/>
        <w:ind w:left="1212" w:right="0" w:hanging="373"/>
        <w:jc w:val="left"/>
        <w:rPr>
          <w:sz w:val="21"/>
        </w:rPr>
      </w:pPr>
      <w:r>
        <w:rPr>
          <w:spacing w:val="-7"/>
          <w:sz w:val="21"/>
        </w:rPr>
        <w:t>产品抽样方案与判定规则应符合 </w:t>
      </w:r>
      <w:r>
        <w:rPr>
          <w:sz w:val="21"/>
        </w:rPr>
        <w:t>GB</w:t>
      </w:r>
      <w:r>
        <w:rPr>
          <w:spacing w:val="-2"/>
          <w:sz w:val="21"/>
        </w:rPr>
        <w:t> </w:t>
      </w:r>
      <w:r>
        <w:rPr>
          <w:sz w:val="21"/>
        </w:rPr>
        <w:t>2828</w:t>
      </w:r>
      <w:r>
        <w:rPr>
          <w:spacing w:val="-13"/>
          <w:sz w:val="21"/>
        </w:rPr>
        <w:t> 的规定。</w:t>
      </w:r>
      <w:r>
        <w:rPr>
          <w:sz w:val="21"/>
        </w:rPr>
        <w:t> </w:t>
      </w:r>
    </w:p>
    <w:p>
      <w:pPr>
        <w:pStyle w:val="BodyText"/>
        <w:spacing w:before="12"/>
        <w:rPr>
          <w:sz w:val="17"/>
        </w:rPr>
      </w:pPr>
    </w:p>
    <w:p>
      <w:pPr>
        <w:pStyle w:val="ListParagraph"/>
        <w:numPr>
          <w:ilvl w:val="1"/>
          <w:numId w:val="967"/>
        </w:numPr>
        <w:tabs>
          <w:tab w:pos="1160" w:val="left" w:leader="none"/>
        </w:tabs>
        <w:spacing w:line="240" w:lineRule="auto" w:before="0" w:after="0"/>
        <w:ind w:left="1159" w:right="0" w:hanging="320"/>
        <w:jc w:val="left"/>
        <w:rPr>
          <w:sz w:val="21"/>
        </w:rPr>
      </w:pPr>
      <w:r>
        <w:rPr>
          <w:spacing w:val="-3"/>
          <w:sz w:val="21"/>
        </w:rPr>
        <w:t>用户如对灭火机有特殊要求，可与制造厂商定并按签订的合同进行交接验收。 </w:t>
      </w:r>
    </w:p>
    <w:p>
      <w:pPr>
        <w:pStyle w:val="BodyText"/>
        <w:spacing w:before="8"/>
        <w:rPr>
          <w:sz w:val="15"/>
        </w:rPr>
      </w:pPr>
    </w:p>
    <w:p>
      <w:pPr>
        <w:pStyle w:val="Heading4"/>
      </w:pPr>
      <w:r>
        <w:rPr/>
        <w:t>8 标志、包装、运物、贮存</w:t>
      </w:r>
      <w:r>
        <w:rPr>
          <w:w w:val="99"/>
        </w:rPr>
        <w:t> </w:t>
      </w:r>
    </w:p>
    <w:p>
      <w:pPr>
        <w:pStyle w:val="BodyText"/>
        <w:spacing w:before="6"/>
        <w:rPr>
          <w:b/>
          <w:sz w:val="17"/>
        </w:rPr>
      </w:pPr>
    </w:p>
    <w:p>
      <w:pPr>
        <w:pStyle w:val="ListParagraph"/>
        <w:numPr>
          <w:ilvl w:val="1"/>
          <w:numId w:val="968"/>
        </w:numPr>
        <w:tabs>
          <w:tab w:pos="1159" w:val="left" w:leader="none"/>
        </w:tabs>
        <w:spacing w:line="240" w:lineRule="auto" w:before="1" w:after="0"/>
        <w:ind w:left="1158" w:right="0" w:hanging="319"/>
        <w:jc w:val="left"/>
        <w:rPr>
          <w:b/>
          <w:sz w:val="21"/>
        </w:rPr>
      </w:pPr>
      <w:r>
        <w:rPr>
          <w:spacing w:val="-3"/>
          <w:sz w:val="21"/>
        </w:rPr>
        <w:t>灭火机外部应有铭牌，铭牌上应标有：</w:t>
      </w:r>
      <w:r>
        <w:rPr>
          <w:b/>
          <w:w w:val="99"/>
          <w:sz w:val="21"/>
        </w:rPr>
        <w:t> </w:t>
      </w:r>
    </w:p>
    <w:p>
      <w:pPr>
        <w:spacing w:after="0" w:line="240" w:lineRule="auto"/>
        <w:jc w:val="left"/>
        <w:rPr>
          <w:sz w:val="21"/>
        </w:rPr>
        <w:sectPr>
          <w:pgSz w:w="11910" w:h="16850"/>
          <w:pgMar w:header="0" w:footer="1239" w:top="1200" w:bottom="1420" w:left="1260" w:right="0"/>
        </w:sectPr>
      </w:pPr>
    </w:p>
    <w:p>
      <w:pPr>
        <w:pStyle w:val="BodyText"/>
        <w:spacing w:line="446" w:lineRule="auto" w:before="47"/>
        <w:ind w:left="838" w:right="8335"/>
        <w:jc w:val="both"/>
      </w:pPr>
      <w:r>
        <w:rPr/>
        <w:t>a. 制造厂名； b. 产品名称； c. 产品型号； </w:t>
      </w:r>
    </w:p>
    <w:p>
      <w:pPr>
        <w:pStyle w:val="BodyText"/>
        <w:spacing w:line="268" w:lineRule="exact"/>
        <w:ind w:left="838"/>
      </w:pPr>
      <w:r>
        <w:rPr/>
        <w:t>d. 出厂日期或出厂编号。 </w:t>
      </w:r>
    </w:p>
    <w:p>
      <w:pPr>
        <w:pStyle w:val="BodyText"/>
        <w:rPr>
          <w:sz w:val="18"/>
        </w:rPr>
      </w:pPr>
    </w:p>
    <w:p>
      <w:pPr>
        <w:pStyle w:val="ListParagraph"/>
        <w:numPr>
          <w:ilvl w:val="1"/>
          <w:numId w:val="968"/>
        </w:numPr>
        <w:tabs>
          <w:tab w:pos="1160" w:val="left" w:leader="none"/>
        </w:tabs>
        <w:spacing w:line="240" w:lineRule="auto" w:before="0" w:after="0"/>
        <w:ind w:left="1159" w:right="0" w:hanging="320"/>
        <w:jc w:val="left"/>
        <w:rPr>
          <w:sz w:val="21"/>
        </w:rPr>
      </w:pPr>
      <w:r>
        <w:rPr>
          <w:spacing w:val="-14"/>
          <w:sz w:val="21"/>
        </w:rPr>
        <w:t>灭火机及其备件出厂前应采取防锈措施，装箱后应固定稳妥，包装应牢固、可靠、防潮。</w:t>
      </w:r>
      <w:r>
        <w:rPr>
          <w:sz w:val="21"/>
        </w:rPr>
        <w:t> </w:t>
      </w:r>
    </w:p>
    <w:p>
      <w:pPr>
        <w:pStyle w:val="BodyText"/>
        <w:spacing w:before="12"/>
        <w:rPr>
          <w:sz w:val="17"/>
        </w:rPr>
      </w:pPr>
    </w:p>
    <w:p>
      <w:pPr>
        <w:pStyle w:val="ListParagraph"/>
        <w:numPr>
          <w:ilvl w:val="1"/>
          <w:numId w:val="968"/>
        </w:numPr>
        <w:tabs>
          <w:tab w:pos="1159" w:val="left" w:leader="none"/>
        </w:tabs>
        <w:spacing w:line="446" w:lineRule="auto" w:before="0" w:after="0"/>
        <w:ind w:left="838" w:right="1500" w:firstLine="2"/>
        <w:jc w:val="left"/>
        <w:rPr>
          <w:sz w:val="21"/>
        </w:rPr>
      </w:pPr>
      <w:r>
        <w:rPr>
          <w:spacing w:val="-3"/>
          <w:sz w:val="21"/>
        </w:rPr>
        <w:t>每台灭火机出厂装箱时，随机附件、备件、工具和技术文件应齐全。技术文件包括： </w:t>
      </w:r>
      <w:r>
        <w:rPr>
          <w:sz w:val="21"/>
        </w:rPr>
        <w:t>a.</w:t>
      </w:r>
      <w:r>
        <w:rPr>
          <w:spacing w:val="-3"/>
          <w:sz w:val="21"/>
        </w:rPr>
        <w:t> 产品合格证；</w:t>
      </w:r>
      <w:r>
        <w:rPr>
          <w:sz w:val="21"/>
        </w:rPr>
        <w:t> </w:t>
      </w:r>
    </w:p>
    <w:p>
      <w:pPr>
        <w:pStyle w:val="BodyText"/>
        <w:spacing w:line="446" w:lineRule="auto" w:before="1"/>
        <w:ind w:left="838" w:right="8126"/>
      </w:pPr>
      <w:r>
        <w:rPr/>
        <w:t>b. 产品说明书； c. 装箱单。 </w:t>
      </w:r>
    </w:p>
    <w:p>
      <w:pPr>
        <w:pStyle w:val="ListParagraph"/>
        <w:numPr>
          <w:ilvl w:val="1"/>
          <w:numId w:val="968"/>
        </w:numPr>
        <w:tabs>
          <w:tab w:pos="1160" w:val="left" w:leader="none"/>
        </w:tabs>
        <w:spacing w:line="446" w:lineRule="auto" w:before="0" w:after="0"/>
        <w:ind w:left="838" w:right="3601" w:firstLine="2"/>
        <w:jc w:val="left"/>
        <w:rPr>
          <w:sz w:val="21"/>
        </w:rPr>
      </w:pPr>
      <w:r>
        <w:rPr>
          <w:spacing w:val="-3"/>
          <w:sz w:val="21"/>
        </w:rPr>
        <w:t>包装箱面应标有保证运输和贮存所需要的说明和标志，包括： </w:t>
      </w:r>
      <w:r>
        <w:rPr>
          <w:sz w:val="21"/>
        </w:rPr>
        <w:t>a.</w:t>
      </w:r>
      <w:r>
        <w:rPr>
          <w:spacing w:val="-3"/>
          <w:sz w:val="21"/>
        </w:rPr>
        <w:t> 制造厂名；</w:t>
      </w:r>
      <w:r>
        <w:rPr>
          <w:sz w:val="21"/>
        </w:rPr>
        <w:t> </w:t>
      </w:r>
    </w:p>
    <w:p>
      <w:pPr>
        <w:pStyle w:val="ListParagraph"/>
        <w:numPr>
          <w:ilvl w:val="0"/>
          <w:numId w:val="969"/>
        </w:numPr>
        <w:tabs>
          <w:tab w:pos="1051" w:val="left" w:leader="none"/>
        </w:tabs>
        <w:spacing w:line="267" w:lineRule="exact" w:before="0" w:after="0"/>
        <w:ind w:left="1050" w:right="0" w:hanging="213"/>
        <w:jc w:val="left"/>
        <w:rPr>
          <w:sz w:val="21"/>
        </w:rPr>
      </w:pPr>
      <w:r>
        <w:rPr>
          <w:spacing w:val="-3"/>
          <w:sz w:val="21"/>
        </w:rPr>
        <w:t>产品型号、名称；</w:t>
      </w:r>
      <w:r>
        <w:rPr>
          <w:sz w:val="21"/>
        </w:rPr>
        <w:t> </w:t>
      </w:r>
    </w:p>
    <w:p>
      <w:pPr>
        <w:pStyle w:val="BodyText"/>
        <w:spacing w:before="1"/>
        <w:rPr>
          <w:sz w:val="18"/>
        </w:rPr>
      </w:pPr>
    </w:p>
    <w:p>
      <w:pPr>
        <w:pStyle w:val="ListParagraph"/>
        <w:numPr>
          <w:ilvl w:val="0"/>
          <w:numId w:val="969"/>
        </w:numPr>
        <w:tabs>
          <w:tab w:pos="1051" w:val="left" w:leader="none"/>
        </w:tabs>
        <w:spacing w:line="446" w:lineRule="auto" w:before="0" w:after="0"/>
        <w:ind w:left="838" w:right="7230" w:firstLine="0"/>
        <w:jc w:val="left"/>
        <w:rPr>
          <w:sz w:val="21"/>
        </w:rPr>
      </w:pPr>
      <w:r>
        <w:rPr>
          <w:spacing w:val="-11"/>
          <w:sz w:val="21"/>
        </w:rPr>
        <w:t>外形尺寸 </w:t>
      </w:r>
      <w:r>
        <w:rPr>
          <w:sz w:val="21"/>
        </w:rPr>
        <w:t>l×b×h，m； d.</w:t>
      </w:r>
      <w:r>
        <w:rPr>
          <w:spacing w:val="-3"/>
          <w:sz w:val="21"/>
        </w:rPr>
        <w:t> 总质量，</w:t>
      </w:r>
      <w:r>
        <w:rPr>
          <w:sz w:val="21"/>
        </w:rPr>
        <w:t>kg； </w:t>
      </w:r>
    </w:p>
    <w:p>
      <w:pPr>
        <w:pStyle w:val="BodyText"/>
        <w:spacing w:line="446" w:lineRule="auto"/>
        <w:ind w:left="838" w:right="8126"/>
      </w:pPr>
      <w:r>
        <w:rPr/>
        <w:t>e. 净质量，kg； f. 出厂日期； </w:t>
      </w:r>
    </w:p>
    <w:p>
      <w:pPr>
        <w:pStyle w:val="BodyText"/>
        <w:ind w:left="838"/>
      </w:pPr>
      <w:r>
        <w:rPr/>
        <w:t>g. 其他指示标志，如防潮、请勿倒置等。 </w:t>
      </w:r>
    </w:p>
    <w:p>
      <w:pPr>
        <w:pStyle w:val="BodyText"/>
        <w:spacing w:before="10"/>
        <w:rPr>
          <w:sz w:val="17"/>
        </w:rPr>
      </w:pPr>
    </w:p>
    <w:p>
      <w:pPr>
        <w:pStyle w:val="ListParagraph"/>
        <w:numPr>
          <w:ilvl w:val="1"/>
          <w:numId w:val="968"/>
        </w:numPr>
        <w:tabs>
          <w:tab w:pos="1160" w:val="left" w:leader="none"/>
        </w:tabs>
        <w:spacing w:line="240" w:lineRule="auto" w:before="1" w:after="0"/>
        <w:ind w:left="1159" w:right="0" w:hanging="320"/>
        <w:jc w:val="left"/>
        <w:rPr>
          <w:sz w:val="21"/>
        </w:rPr>
      </w:pPr>
      <w:r>
        <w:rPr>
          <w:spacing w:val="-3"/>
          <w:sz w:val="21"/>
        </w:rPr>
        <w:t>灭火机禁止露天存放。存放地应阴凉、干燥、通风。</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3"/>
        </w:rPr>
      </w:pPr>
    </w:p>
    <w:p>
      <w:pPr>
        <w:pStyle w:val="BodyText"/>
        <w:spacing w:before="72"/>
        <w:ind w:left="838"/>
      </w:pPr>
      <w:r>
        <w:rPr>
          <w:w w:val="100"/>
        </w:rPr>
        <w:t> </w:t>
      </w:r>
    </w:p>
    <w:p>
      <w:pPr>
        <w:spacing w:after="0"/>
        <w:sectPr>
          <w:pgSz w:w="11910" w:h="16850"/>
          <w:pgMar w:header="0" w:footer="1239" w:top="1220" w:bottom="1420" w:left="1260" w:right="0"/>
        </w:sectPr>
      </w:pPr>
    </w:p>
    <w:p>
      <w:pPr>
        <w:pStyle w:val="BodyText"/>
        <w:rPr>
          <w:sz w:val="20"/>
        </w:rPr>
      </w:pPr>
    </w:p>
    <w:p>
      <w:pPr>
        <w:pStyle w:val="BodyText"/>
        <w:rPr>
          <w:sz w:val="20"/>
        </w:rPr>
      </w:pPr>
    </w:p>
    <w:p>
      <w:pPr>
        <w:pStyle w:val="BodyText"/>
        <w:spacing w:before="5"/>
        <w:rPr>
          <w:sz w:val="19"/>
        </w:rPr>
      </w:pPr>
    </w:p>
    <w:p>
      <w:pPr>
        <w:pStyle w:val="Heading4"/>
        <w:spacing w:before="134"/>
        <w:ind w:left="2763"/>
        <w:rPr>
          <w:sz w:val="32"/>
        </w:rPr>
      </w:pPr>
      <w:r>
        <w:rPr/>
        <w:t>附录 A 灭火机主要技术规格（补充件）</w:t>
      </w:r>
      <w:r>
        <w:rPr>
          <w:w w:val="98"/>
          <w:sz w:val="32"/>
        </w:rPr>
        <w:t> </w:t>
      </w:r>
    </w:p>
    <w:p>
      <w:pPr>
        <w:pStyle w:val="BodyText"/>
        <w:rPr>
          <w:b/>
          <w:sz w:val="20"/>
        </w:rPr>
      </w:pPr>
    </w:p>
    <w:p>
      <w:pPr>
        <w:pStyle w:val="BodyText"/>
        <w:spacing w:before="9"/>
        <w:rPr>
          <w:b/>
          <w:sz w:val="17"/>
        </w:rPr>
      </w:pPr>
    </w:p>
    <w:p>
      <w:pPr>
        <w:spacing w:before="1"/>
        <w:ind w:left="840" w:right="0" w:firstLine="0"/>
        <w:jc w:val="left"/>
        <w:rPr>
          <w:sz w:val="21"/>
        </w:rPr>
      </w:pPr>
      <w:r>
        <w:rPr>
          <w:b/>
          <w:sz w:val="21"/>
        </w:rPr>
        <w:t>A1 </w:t>
      </w:r>
      <w:r>
        <w:rPr>
          <w:sz w:val="21"/>
        </w:rPr>
        <w:t>整机 </w:t>
      </w:r>
    </w:p>
    <w:p>
      <w:pPr>
        <w:pStyle w:val="BodyText"/>
        <w:spacing w:before="1"/>
        <w:rPr>
          <w:sz w:val="18"/>
        </w:rPr>
      </w:pPr>
    </w:p>
    <w:p>
      <w:pPr>
        <w:spacing w:line="446" w:lineRule="auto" w:before="1"/>
        <w:ind w:left="840" w:right="6964" w:firstLine="0"/>
        <w:jc w:val="left"/>
        <w:rPr>
          <w:sz w:val="21"/>
        </w:rPr>
      </w:pPr>
      <w:r>
        <w:rPr>
          <w:b/>
          <w:sz w:val="21"/>
        </w:rPr>
        <w:t>A1.1</w:t>
      </w:r>
      <w:r>
        <w:rPr>
          <w:b/>
          <w:spacing w:val="4"/>
          <w:sz w:val="21"/>
        </w:rPr>
        <w:t> </w:t>
      </w:r>
      <w:r>
        <w:rPr>
          <w:spacing w:val="-3"/>
          <w:sz w:val="21"/>
        </w:rPr>
        <w:t>整机标定转速，</w:t>
      </w:r>
      <w:r>
        <w:rPr>
          <w:sz w:val="21"/>
        </w:rPr>
        <w:t>r/min</w:t>
      </w:r>
      <w:r>
        <w:rPr>
          <w:spacing w:val="-3"/>
          <w:sz w:val="21"/>
        </w:rPr>
        <w:t>。</w:t>
      </w:r>
      <w:r>
        <w:rPr>
          <w:b/>
          <w:sz w:val="21"/>
        </w:rPr>
        <w:t>A1.2</w:t>
      </w:r>
      <w:r>
        <w:rPr>
          <w:b/>
          <w:spacing w:val="4"/>
          <w:sz w:val="21"/>
        </w:rPr>
        <w:t>   </w:t>
      </w:r>
      <w:r>
        <w:rPr>
          <w:spacing w:val="-3"/>
          <w:sz w:val="21"/>
        </w:rPr>
        <w:t>整机净质量</w:t>
      </w:r>
      <w:r>
        <w:rPr>
          <w:sz w:val="21"/>
        </w:rPr>
        <w:t>，kg</w:t>
      </w:r>
      <w:r>
        <w:rPr>
          <w:spacing w:val="-3"/>
          <w:sz w:val="21"/>
        </w:rPr>
        <w:t>。 </w:t>
      </w:r>
      <w:r>
        <w:rPr>
          <w:b/>
          <w:sz w:val="21"/>
        </w:rPr>
        <w:t>A1.3</w:t>
      </w:r>
      <w:r>
        <w:rPr>
          <w:b/>
          <w:spacing w:val="1"/>
          <w:sz w:val="21"/>
        </w:rPr>
        <w:t> </w:t>
      </w:r>
      <w:r>
        <w:rPr>
          <w:spacing w:val="-3"/>
          <w:sz w:val="21"/>
        </w:rPr>
        <w:t>整机耗油量</w:t>
      </w:r>
      <w:r>
        <w:rPr>
          <w:sz w:val="21"/>
        </w:rPr>
        <w:t>，kg/h</w:t>
      </w:r>
      <w:r>
        <w:rPr>
          <w:spacing w:val="-3"/>
          <w:sz w:val="21"/>
        </w:rPr>
        <w:t>。</w:t>
      </w:r>
      <w:r>
        <w:rPr>
          <w:sz w:val="21"/>
        </w:rPr>
        <w:t> </w:t>
      </w:r>
    </w:p>
    <w:p>
      <w:pPr>
        <w:spacing w:line="446" w:lineRule="auto" w:before="0"/>
        <w:ind w:left="840" w:right="6177" w:firstLine="0"/>
        <w:jc w:val="left"/>
        <w:rPr>
          <w:sz w:val="21"/>
        </w:rPr>
      </w:pPr>
      <w:r>
        <w:rPr>
          <w:b/>
          <w:sz w:val="21"/>
        </w:rPr>
        <w:t>A1.4 </w:t>
      </w:r>
      <w:r>
        <w:rPr>
          <w:sz w:val="21"/>
        </w:rPr>
        <w:t>距风机中心 2-5m 处风速，m/s。</w:t>
      </w:r>
      <w:r>
        <w:rPr>
          <w:b/>
          <w:sz w:val="21"/>
        </w:rPr>
        <w:t>A1.5 </w:t>
      </w:r>
      <w:r>
        <w:rPr>
          <w:sz w:val="21"/>
        </w:rPr>
        <w:t>风筒出口处风量，m³/s。 </w:t>
      </w:r>
    </w:p>
    <w:p>
      <w:pPr>
        <w:spacing w:line="446" w:lineRule="auto" w:before="0"/>
        <w:ind w:left="840" w:right="7120" w:firstLine="0"/>
        <w:jc w:val="left"/>
        <w:rPr>
          <w:sz w:val="21"/>
        </w:rPr>
      </w:pPr>
      <w:r>
        <w:rPr>
          <w:b/>
          <w:sz w:val="21"/>
        </w:rPr>
        <w:t>A1.6 </w:t>
      </w:r>
      <w:r>
        <w:rPr>
          <w:sz w:val="21"/>
        </w:rPr>
        <w:t>外形尺寸 l×b×h,m。</w:t>
      </w:r>
      <w:r>
        <w:rPr>
          <w:b/>
          <w:sz w:val="21"/>
        </w:rPr>
        <w:t>A1.7 </w:t>
      </w:r>
      <w:r>
        <w:rPr>
          <w:sz w:val="21"/>
        </w:rPr>
        <w:t>燃油箱容积，L。 </w:t>
      </w:r>
    </w:p>
    <w:p>
      <w:pPr>
        <w:spacing w:before="0"/>
        <w:ind w:left="840" w:right="0" w:firstLine="0"/>
        <w:jc w:val="left"/>
        <w:rPr>
          <w:sz w:val="21"/>
        </w:rPr>
      </w:pPr>
      <w:r>
        <w:rPr>
          <w:b/>
          <w:sz w:val="21"/>
        </w:rPr>
        <w:t>A2 </w:t>
      </w:r>
      <w:r>
        <w:rPr>
          <w:sz w:val="21"/>
        </w:rPr>
        <w:t>发动机 </w:t>
      </w:r>
    </w:p>
    <w:p>
      <w:pPr>
        <w:pStyle w:val="BodyText"/>
        <w:spacing w:before="9"/>
        <w:rPr>
          <w:sz w:val="17"/>
        </w:rPr>
      </w:pPr>
    </w:p>
    <w:p>
      <w:pPr>
        <w:spacing w:before="0"/>
        <w:ind w:left="840" w:right="0" w:firstLine="0"/>
        <w:jc w:val="left"/>
        <w:rPr>
          <w:sz w:val="21"/>
        </w:rPr>
      </w:pPr>
      <w:r>
        <w:rPr>
          <w:b/>
          <w:sz w:val="21"/>
        </w:rPr>
        <w:t>A2.1 </w:t>
      </w:r>
      <w:r>
        <w:rPr>
          <w:sz w:val="21"/>
        </w:rPr>
        <w:t>形式及型号。 </w:t>
      </w:r>
    </w:p>
    <w:p>
      <w:pPr>
        <w:pStyle w:val="BodyText"/>
        <w:spacing w:before="2"/>
        <w:rPr>
          <w:sz w:val="18"/>
        </w:rPr>
      </w:pPr>
    </w:p>
    <w:p>
      <w:pPr>
        <w:spacing w:line="446" w:lineRule="auto" w:before="0"/>
        <w:ind w:left="840" w:right="5913" w:firstLine="0"/>
        <w:jc w:val="left"/>
        <w:rPr>
          <w:sz w:val="21"/>
        </w:rPr>
      </w:pPr>
      <w:r>
        <w:rPr>
          <w:b/>
          <w:sz w:val="21"/>
        </w:rPr>
        <w:t>A2.2</w:t>
      </w:r>
      <w:r>
        <w:rPr>
          <w:b/>
          <w:spacing w:val="76"/>
          <w:sz w:val="21"/>
        </w:rPr>
        <w:t> </w:t>
      </w:r>
      <w:r>
        <w:rPr>
          <w:spacing w:val="-3"/>
          <w:sz w:val="21"/>
        </w:rPr>
        <w:t>标定功率，</w:t>
      </w:r>
      <w:r>
        <w:rPr>
          <w:sz w:val="21"/>
        </w:rPr>
        <w:t>kW</w:t>
      </w:r>
      <w:r>
        <w:rPr>
          <w:spacing w:val="7"/>
          <w:sz w:val="21"/>
        </w:rPr>
        <w:t>(在 </w:t>
      </w:r>
      <w:r>
        <w:rPr>
          <w:sz w:val="21"/>
        </w:rPr>
        <w:t>r/min</w:t>
      </w:r>
      <w:r>
        <w:rPr>
          <w:spacing w:val="3"/>
          <w:sz w:val="21"/>
        </w:rPr>
        <w:t> 时)。</w:t>
      </w:r>
      <w:r>
        <w:rPr>
          <w:b/>
          <w:sz w:val="21"/>
        </w:rPr>
        <w:t>A2.3</w:t>
      </w:r>
      <w:r>
        <w:rPr>
          <w:b/>
          <w:spacing w:val="5"/>
          <w:sz w:val="21"/>
        </w:rPr>
        <w:t> </w:t>
      </w:r>
      <w:r>
        <w:rPr>
          <w:spacing w:val="-3"/>
          <w:sz w:val="21"/>
        </w:rPr>
        <w:t>标定转速燃油消耗率</w:t>
      </w:r>
      <w:r>
        <w:rPr>
          <w:sz w:val="21"/>
        </w:rPr>
        <w:t>，g/(kW·h</w:t>
      </w:r>
      <w:r>
        <w:rPr>
          <w:spacing w:val="-2"/>
          <w:sz w:val="21"/>
        </w:rPr>
        <w:t>)。</w:t>
      </w:r>
      <w:r>
        <w:rPr>
          <w:b/>
          <w:sz w:val="21"/>
        </w:rPr>
        <w:t>A2.4</w:t>
      </w:r>
      <w:r>
        <w:rPr>
          <w:b/>
          <w:spacing w:val="2"/>
          <w:sz w:val="21"/>
        </w:rPr>
        <w:t> </w:t>
      </w:r>
      <w:r>
        <w:rPr>
          <w:spacing w:val="-3"/>
          <w:sz w:val="21"/>
        </w:rPr>
        <w:t>化油器形式及型号。</w:t>
      </w:r>
      <w:r>
        <w:rPr>
          <w:sz w:val="21"/>
        </w:rPr>
        <w:t> </w:t>
      </w:r>
    </w:p>
    <w:p>
      <w:pPr>
        <w:spacing w:line="446" w:lineRule="auto" w:before="0"/>
        <w:ind w:left="840" w:right="7278" w:firstLine="0"/>
        <w:jc w:val="left"/>
        <w:rPr>
          <w:sz w:val="21"/>
        </w:rPr>
      </w:pPr>
      <w:r>
        <w:rPr>
          <w:b/>
          <w:sz w:val="21"/>
        </w:rPr>
        <w:t>A2.5 </w:t>
      </w:r>
      <w:r>
        <w:rPr>
          <w:sz w:val="21"/>
        </w:rPr>
        <w:t>磁电机形式及型号。</w:t>
      </w:r>
      <w:r>
        <w:rPr>
          <w:b/>
          <w:sz w:val="21"/>
        </w:rPr>
        <w:t>A2.6 </w:t>
      </w:r>
      <w:r>
        <w:rPr>
          <w:sz w:val="21"/>
        </w:rPr>
        <w:t>燃油牌号。 </w:t>
      </w:r>
    </w:p>
    <w:p>
      <w:pPr>
        <w:spacing w:line="267" w:lineRule="exact" w:before="0"/>
        <w:ind w:left="840" w:right="0" w:firstLine="0"/>
        <w:jc w:val="left"/>
        <w:rPr>
          <w:sz w:val="21"/>
        </w:rPr>
      </w:pPr>
      <w:r>
        <w:rPr>
          <w:b/>
          <w:sz w:val="21"/>
        </w:rPr>
        <w:t>A2.7 </w:t>
      </w:r>
      <w:r>
        <w:rPr>
          <w:sz w:val="21"/>
        </w:rPr>
        <w:t>润滑油牌号。 </w:t>
      </w:r>
    </w:p>
    <w:p>
      <w:pPr>
        <w:pStyle w:val="BodyText"/>
        <w:rPr>
          <w:sz w:val="18"/>
        </w:rPr>
      </w:pPr>
    </w:p>
    <w:p>
      <w:pPr>
        <w:spacing w:before="0"/>
        <w:ind w:left="840" w:right="0" w:firstLine="0"/>
        <w:jc w:val="left"/>
        <w:rPr>
          <w:sz w:val="21"/>
        </w:rPr>
      </w:pPr>
      <w:r>
        <w:rPr>
          <w:b/>
          <w:sz w:val="21"/>
        </w:rPr>
        <w:t>A2.8 </w:t>
      </w:r>
      <w:r>
        <w:rPr>
          <w:spacing w:val="-3"/>
          <w:sz w:val="21"/>
        </w:rPr>
        <w:t>燃油、润滑油混合比</w:t>
      </w:r>
      <w:r>
        <w:rPr>
          <w:sz w:val="21"/>
        </w:rPr>
        <w:t>（</w:t>
      </w:r>
      <w:r>
        <w:rPr>
          <w:spacing w:val="-2"/>
          <w:sz w:val="21"/>
        </w:rPr>
        <w:t>按容积</w:t>
      </w:r>
      <w:r>
        <w:rPr>
          <w:spacing w:val="-108"/>
          <w:sz w:val="21"/>
        </w:rPr>
        <w:t>）</w:t>
      </w:r>
      <w:r>
        <w:rPr>
          <w:spacing w:val="-3"/>
          <w:sz w:val="21"/>
        </w:rPr>
        <w:t>。</w:t>
      </w:r>
      <w:r>
        <w:rPr>
          <w:sz w:val="21"/>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6"/>
        </w:rPr>
      </w:pPr>
    </w:p>
    <w:p>
      <w:pPr>
        <w:pStyle w:val="BodyText"/>
        <w:spacing w:before="72"/>
        <w:ind w:left="3298"/>
      </w:pPr>
      <w:r>
        <w:rPr>
          <w:w w:val="100"/>
        </w:rPr>
        <w:t> </w:t>
      </w:r>
    </w:p>
    <w:p>
      <w:pPr>
        <w:spacing w:after="0"/>
        <w:sectPr>
          <w:pgSz w:w="11910" w:h="16850"/>
          <w:pgMar w:header="0" w:footer="1239" w:top="1600" w:bottom="1420" w:left="1260" w:right="0"/>
        </w:sectPr>
      </w:pPr>
    </w:p>
    <w:p>
      <w:pPr>
        <w:pStyle w:val="Heading2"/>
        <w:ind w:left="2629"/>
        <w:jc w:val="left"/>
      </w:pPr>
      <w:bookmarkStart w:name="_bookmark38" w:id="39"/>
      <w:bookmarkEnd w:id="39"/>
      <w:r>
        <w:rPr>
          <w:b w:val="0"/>
        </w:rPr>
      </w:r>
      <w:r>
        <w:rPr/>
        <w:t>便携式风力灭火机 台架试验方法</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838" w:right="2345"/>
      </w:pPr>
      <w:r>
        <w:rPr>
          <w:spacing w:val="-3"/>
        </w:rPr>
        <w:t>本标准规定了便携式风力灭火机在试验台上进行性能试验和耐久性试验的方法。本标准适用于便携式风力灭火机。</w:t>
      </w:r>
      <w:r>
        <w:rPr/>
        <w:t> </w:t>
      </w:r>
    </w:p>
    <w:p>
      <w:pPr>
        <w:pStyle w:val="Heading4"/>
        <w:spacing w:line="277" w:lineRule="exact"/>
      </w:pPr>
      <w:r>
        <w:rPr/>
        <w:t>2 引用标准</w:t>
      </w:r>
      <w:r>
        <w:rPr>
          <w:w w:val="99"/>
        </w:rPr>
        <w:t> </w:t>
      </w:r>
    </w:p>
    <w:p>
      <w:pPr>
        <w:pStyle w:val="BodyText"/>
        <w:spacing w:before="4"/>
        <w:rPr>
          <w:b/>
          <w:sz w:val="17"/>
        </w:rPr>
      </w:pPr>
    </w:p>
    <w:p>
      <w:pPr>
        <w:pStyle w:val="BodyText"/>
        <w:spacing w:line="446" w:lineRule="auto"/>
        <w:ind w:left="418" w:right="1330" w:firstLine="419"/>
      </w:pPr>
      <w:r>
        <w:rPr>
          <w:spacing w:val="-6"/>
        </w:rPr>
        <w:t>下列标准所包含的条文，通过在本标准中引用而构成为本标准的条文。本标准出版时，所示</w:t>
      </w:r>
      <w:r>
        <w:rPr>
          <w:spacing w:val="-17"/>
        </w:rPr>
        <w:t>版本均为有效。所有标准都会被修订，使用本标准的各方应探讨使用下列标准最新版本的可能性。</w:t>
      </w:r>
      <w:r>
        <w:rPr/>
        <w:t> </w:t>
      </w:r>
    </w:p>
    <w:p>
      <w:pPr>
        <w:pStyle w:val="BodyText"/>
        <w:ind w:left="838"/>
      </w:pPr>
      <w:r>
        <w:rPr/>
        <w:t>GB/T 1106——1987 内燃机台架试验方法 </w:t>
      </w:r>
    </w:p>
    <w:p>
      <w:pPr>
        <w:pStyle w:val="BodyText"/>
        <w:spacing w:before="8"/>
        <w:rPr>
          <w:sz w:val="15"/>
        </w:rPr>
      </w:pPr>
    </w:p>
    <w:p>
      <w:pPr>
        <w:pStyle w:val="Heading4"/>
      </w:pPr>
      <w:r>
        <w:rPr/>
        <w:t>3 试验项目及条件</w:t>
      </w:r>
      <w:r>
        <w:rPr>
          <w:w w:val="99"/>
        </w:rPr>
        <w:t> </w:t>
      </w:r>
    </w:p>
    <w:p>
      <w:pPr>
        <w:pStyle w:val="BodyText"/>
        <w:spacing w:before="4"/>
        <w:rPr>
          <w:b/>
          <w:sz w:val="17"/>
        </w:rPr>
      </w:pPr>
    </w:p>
    <w:p>
      <w:pPr>
        <w:pStyle w:val="BodyText"/>
        <w:spacing w:line="446" w:lineRule="auto"/>
        <w:ind w:left="838" w:right="7914" w:firstLine="2"/>
      </w:pPr>
      <w:r>
        <w:rPr>
          <w:b/>
        </w:rPr>
        <w:t>3.1 </w:t>
      </w:r>
      <w:r>
        <w:rPr>
          <w:spacing w:val="-3"/>
        </w:rPr>
        <w:t>试 验 项 目 </w:t>
      </w:r>
      <w:r>
        <w:rPr/>
        <w:t>a）</w:t>
      </w:r>
      <w:r>
        <w:rPr>
          <w:spacing w:val="-3"/>
        </w:rPr>
        <w:t>风机性能试验； </w:t>
      </w:r>
      <w:r>
        <w:rPr/>
        <w:t>b）</w:t>
      </w:r>
      <w:r>
        <w:rPr>
          <w:spacing w:val="-3"/>
        </w:rPr>
        <w:t>整机性能试验；</w:t>
      </w:r>
      <w:r>
        <w:rPr/>
        <w:t> </w:t>
      </w:r>
    </w:p>
    <w:p>
      <w:pPr>
        <w:pStyle w:val="BodyText"/>
        <w:spacing w:line="446" w:lineRule="auto"/>
        <w:ind w:left="838" w:right="7705"/>
        <w:jc w:val="both"/>
      </w:pPr>
      <w:r>
        <w:rPr/>
        <w:t>c）风机耐久性试验； d）叶轮超转速试验； e）叶轮静平衡检查。</w:t>
      </w:r>
      <w:r>
        <w:rPr>
          <w:b/>
        </w:rPr>
        <w:t>3.2 </w:t>
      </w:r>
      <w:r>
        <w:rPr/>
        <w:t>试验用仪器 </w:t>
      </w:r>
    </w:p>
    <w:p>
      <w:pPr>
        <w:pStyle w:val="BodyText"/>
        <w:spacing w:line="446" w:lineRule="auto"/>
        <w:ind w:left="838" w:right="3349"/>
      </w:pPr>
      <w:r>
        <w:rPr>
          <w:spacing w:val="-3"/>
        </w:rPr>
        <w:t>试验用仪器应在检定的有效期内，在试验前应进行检查和校准。  </w:t>
      </w:r>
      <w:r>
        <w:rPr/>
        <w:t>a）U</w:t>
      </w:r>
      <w:r>
        <w:rPr>
          <w:spacing w:val="-13"/>
        </w:rPr>
        <w:t> 形管液柱压力计；管内径 </w:t>
      </w:r>
      <w:r>
        <w:rPr/>
        <w:t>6~10mm</w:t>
      </w:r>
      <w:r>
        <w:rPr>
          <w:spacing w:val="-9"/>
        </w:rPr>
        <w:t>，最小刻度 </w:t>
      </w:r>
      <w:r>
        <w:rPr/>
        <w:t>1mm，</w:t>
      </w:r>
      <w:r>
        <w:rPr>
          <w:spacing w:val="-2"/>
        </w:rPr>
        <w:t>精度±</w:t>
      </w:r>
      <w:r>
        <w:rPr/>
        <w:t>0.4</w:t>
      </w:r>
      <w:r>
        <w:rPr>
          <w:spacing w:val="-2"/>
        </w:rPr>
        <w:t>%。</w:t>
      </w:r>
      <w:r>
        <w:rPr/>
        <w:t>b）</w:t>
      </w:r>
      <w:r>
        <w:rPr>
          <w:spacing w:val="-9"/>
        </w:rPr>
        <w:t>毕托管：外径不大于 </w:t>
      </w:r>
      <w:r>
        <w:rPr/>
        <w:t>8mm； </w:t>
      </w:r>
    </w:p>
    <w:p>
      <w:pPr>
        <w:pStyle w:val="ListParagraph"/>
        <w:numPr>
          <w:ilvl w:val="0"/>
          <w:numId w:val="970"/>
        </w:numPr>
        <w:tabs>
          <w:tab w:pos="1156" w:val="left" w:leader="none"/>
        </w:tabs>
        <w:spacing w:line="268" w:lineRule="exact" w:before="0" w:after="0"/>
        <w:ind w:left="1155" w:right="0" w:hanging="318"/>
        <w:jc w:val="left"/>
        <w:rPr>
          <w:sz w:val="21"/>
        </w:rPr>
      </w:pPr>
      <w:r>
        <w:rPr>
          <w:spacing w:val="-3"/>
          <w:sz w:val="21"/>
        </w:rPr>
        <w:t>转速表或测速仪：精度</w:t>
      </w:r>
      <w:r>
        <w:rPr>
          <w:sz w:val="21"/>
        </w:rPr>
        <w:t>±0.5</w:t>
      </w:r>
      <w:r>
        <w:rPr>
          <w:spacing w:val="-2"/>
          <w:sz w:val="21"/>
        </w:rPr>
        <w:t>%。</w:t>
      </w:r>
      <w:r>
        <w:rPr>
          <w:sz w:val="21"/>
        </w:rPr>
        <w:t> </w:t>
      </w:r>
    </w:p>
    <w:p>
      <w:pPr>
        <w:pStyle w:val="BodyText"/>
        <w:spacing w:before="11"/>
        <w:rPr>
          <w:sz w:val="17"/>
        </w:rPr>
      </w:pPr>
    </w:p>
    <w:p>
      <w:pPr>
        <w:pStyle w:val="ListParagraph"/>
        <w:numPr>
          <w:ilvl w:val="0"/>
          <w:numId w:val="970"/>
        </w:numPr>
        <w:tabs>
          <w:tab w:pos="1156" w:val="left" w:leader="none"/>
        </w:tabs>
        <w:spacing w:line="240" w:lineRule="auto" w:before="0" w:after="0"/>
        <w:ind w:left="1155" w:right="0" w:hanging="318"/>
        <w:jc w:val="left"/>
        <w:rPr>
          <w:sz w:val="21"/>
        </w:rPr>
      </w:pPr>
      <w:r>
        <w:rPr>
          <w:spacing w:val="-3"/>
          <w:sz w:val="21"/>
        </w:rPr>
        <w:t>扭矩仪或测功机用指针秤：精度±</w:t>
      </w:r>
      <w:r>
        <w:rPr>
          <w:sz w:val="21"/>
        </w:rPr>
        <w:t>1.5%； </w:t>
      </w:r>
    </w:p>
    <w:p>
      <w:pPr>
        <w:pStyle w:val="BodyText"/>
        <w:rPr>
          <w:sz w:val="18"/>
        </w:rPr>
      </w:pPr>
    </w:p>
    <w:p>
      <w:pPr>
        <w:pStyle w:val="ListParagraph"/>
        <w:numPr>
          <w:ilvl w:val="0"/>
          <w:numId w:val="970"/>
        </w:numPr>
        <w:tabs>
          <w:tab w:pos="1156" w:val="left" w:leader="none"/>
        </w:tabs>
        <w:spacing w:line="446" w:lineRule="auto" w:before="0" w:after="0"/>
        <w:ind w:left="838" w:right="4871" w:firstLine="0"/>
        <w:jc w:val="left"/>
        <w:rPr>
          <w:sz w:val="21"/>
        </w:rPr>
      </w:pPr>
      <w:r>
        <w:rPr>
          <w:spacing w:val="-6"/>
          <w:sz w:val="21"/>
        </w:rPr>
        <w:t>测功机：测功机功率为风机设计功率的 </w:t>
      </w:r>
      <w:r>
        <w:rPr>
          <w:sz w:val="21"/>
        </w:rPr>
        <w:t>2～3</w:t>
      </w:r>
      <w:r>
        <w:rPr>
          <w:spacing w:val="-19"/>
          <w:sz w:val="21"/>
        </w:rPr>
        <w:t> 倍； </w:t>
      </w:r>
      <w:r>
        <w:rPr>
          <w:sz w:val="21"/>
        </w:rPr>
        <w:t>f）</w:t>
      </w:r>
      <w:r>
        <w:rPr>
          <w:spacing w:val="-9"/>
          <w:sz w:val="21"/>
        </w:rPr>
        <w:t>温度计：最小刻度 </w:t>
      </w:r>
      <w:r>
        <w:rPr>
          <w:sz w:val="21"/>
        </w:rPr>
        <w:t>0.5</w:t>
      </w:r>
      <w:r>
        <w:rPr>
          <w:spacing w:val="-1"/>
          <w:sz w:val="21"/>
        </w:rPr>
        <w:t>℃，精度±</w:t>
      </w:r>
      <w:r>
        <w:rPr>
          <w:sz w:val="21"/>
        </w:rPr>
        <w:t>1.0%； </w:t>
      </w:r>
    </w:p>
    <w:p>
      <w:pPr>
        <w:pStyle w:val="BodyText"/>
        <w:spacing w:line="446" w:lineRule="auto"/>
        <w:ind w:left="838" w:right="5447"/>
      </w:pPr>
      <w:r>
        <w:rPr/>
        <w:t>g）</w:t>
      </w:r>
      <w:r>
        <w:rPr>
          <w:spacing w:val="-6"/>
        </w:rPr>
        <w:t>气压计：最小刻度 </w:t>
      </w:r>
      <w:r>
        <w:rPr/>
        <w:t>100Pa，</w:t>
      </w:r>
      <w:r>
        <w:rPr>
          <w:spacing w:val="-2"/>
        </w:rPr>
        <w:t>精度±</w:t>
      </w:r>
      <w:r>
        <w:rPr/>
        <w:t>1.0%； h）</w:t>
      </w:r>
      <w:r>
        <w:rPr>
          <w:spacing w:val="-8"/>
        </w:rPr>
        <w:t>干湿度计：最小刻度 </w:t>
      </w:r>
      <w:r>
        <w:rPr/>
        <w:t>0.5</w:t>
      </w:r>
      <w:r>
        <w:rPr>
          <w:spacing w:val="-1"/>
        </w:rPr>
        <w:t>℃，精度</w:t>
      </w:r>
      <w:r>
        <w:rPr/>
        <w:t>±1.0%； i）</w:t>
      </w:r>
      <w:r>
        <w:rPr>
          <w:spacing w:val="-9"/>
        </w:rPr>
        <w:t>风速仪：最小刻度 </w:t>
      </w:r>
      <w:r>
        <w:rPr/>
        <w:t>0.2m/s</w:t>
      </w:r>
      <w:r>
        <w:rPr>
          <w:spacing w:val="-1"/>
        </w:rPr>
        <w:t>，精度</w:t>
      </w:r>
      <w:r>
        <w:rPr/>
        <w:t>±1.0</w:t>
      </w:r>
      <w:r>
        <w:rPr>
          <w:spacing w:val="-2"/>
        </w:rPr>
        <w:t>%。</w:t>
      </w:r>
      <w:r>
        <w:rPr/>
        <w:t> </w:t>
      </w:r>
    </w:p>
    <w:p>
      <w:pPr>
        <w:spacing w:line="268" w:lineRule="exact" w:before="0"/>
        <w:ind w:left="840" w:right="0" w:firstLine="0"/>
        <w:jc w:val="left"/>
        <w:rPr>
          <w:b/>
          <w:sz w:val="21"/>
        </w:rPr>
      </w:pPr>
      <w:r>
        <w:rPr>
          <w:b/>
          <w:sz w:val="21"/>
        </w:rPr>
        <w:t>3.3</w:t>
      </w:r>
      <w:r>
        <w:rPr>
          <w:b/>
          <w:spacing w:val="-51"/>
          <w:sz w:val="21"/>
        </w:rPr>
        <w:t> </w:t>
      </w:r>
      <w:r>
        <w:rPr>
          <w:spacing w:val="-3"/>
          <w:sz w:val="21"/>
        </w:rPr>
        <w:t>标定工况</w:t>
      </w:r>
      <w:r>
        <w:rPr>
          <w:b/>
          <w:w w:val="99"/>
          <w:sz w:val="21"/>
        </w:rPr>
        <w:t> </w:t>
      </w:r>
    </w:p>
    <w:p>
      <w:pPr>
        <w:spacing w:after="0" w:line="268" w:lineRule="exact"/>
        <w:jc w:val="left"/>
        <w:rPr>
          <w:sz w:val="21"/>
        </w:rPr>
        <w:sectPr>
          <w:pgSz w:w="11910" w:h="16850"/>
          <w:pgMar w:header="0" w:footer="1239" w:top="1140" w:bottom="1420" w:left="1260" w:right="0"/>
        </w:sectPr>
      </w:pPr>
    </w:p>
    <w:p>
      <w:pPr>
        <w:pStyle w:val="BodyText"/>
        <w:spacing w:line="446" w:lineRule="auto" w:before="47"/>
        <w:ind w:left="418" w:right="1433" w:firstLine="419"/>
      </w:pPr>
      <w:r>
        <w:rPr>
          <w:spacing w:val="-10"/>
        </w:rPr>
        <w:t>性能试验的工况除特殊要求外，均指标定转速</w:t>
      </w:r>
      <w:r>
        <w:rPr/>
        <w:t>（</w:t>
      </w:r>
      <w:r>
        <w:rPr>
          <w:spacing w:val="-3"/>
        </w:rPr>
        <w:t>对标定转速有范围的取上限值</w:t>
      </w:r>
      <w:r>
        <w:rPr>
          <w:spacing w:val="-77"/>
        </w:rPr>
        <w:t>）</w:t>
      </w:r>
      <w:r>
        <w:rPr>
          <w:spacing w:val="-15"/>
        </w:rPr>
        <w:t>，试验用介质</w:t>
      </w:r>
      <w:r>
        <w:rPr>
          <w:spacing w:val="-9"/>
        </w:rPr>
        <w:t>为空气。</w:t>
      </w:r>
      <w:r>
        <w:rPr/>
        <w:t> </w:t>
      </w:r>
    </w:p>
    <w:p>
      <w:pPr>
        <w:pStyle w:val="Heading4"/>
        <w:spacing w:line="275" w:lineRule="exact"/>
      </w:pPr>
      <w:r>
        <w:rPr/>
        <w:t>4 风机性能试验</w:t>
      </w:r>
      <w:r>
        <w:rPr>
          <w:w w:val="99"/>
        </w:rPr>
        <w:t> </w:t>
      </w:r>
    </w:p>
    <w:p>
      <w:pPr>
        <w:pStyle w:val="BodyText"/>
        <w:spacing w:before="6"/>
        <w:rPr>
          <w:b/>
          <w:sz w:val="17"/>
        </w:rPr>
      </w:pPr>
    </w:p>
    <w:p>
      <w:pPr>
        <w:pStyle w:val="ListParagraph"/>
        <w:numPr>
          <w:ilvl w:val="1"/>
          <w:numId w:val="971"/>
        </w:numPr>
        <w:tabs>
          <w:tab w:pos="1159" w:val="left" w:leader="none"/>
        </w:tabs>
        <w:spacing w:line="240" w:lineRule="auto" w:before="1" w:after="0"/>
        <w:ind w:left="1158" w:right="0" w:hanging="319"/>
        <w:jc w:val="left"/>
        <w:rPr>
          <w:sz w:val="21"/>
        </w:rPr>
      </w:pPr>
      <w:r>
        <w:rPr>
          <w:spacing w:val="-3"/>
          <w:sz w:val="21"/>
        </w:rPr>
        <w:t>试验目的</w:t>
      </w:r>
      <w:r>
        <w:rPr>
          <w:sz w:val="21"/>
        </w:rPr>
        <w:t> </w:t>
      </w:r>
    </w:p>
    <w:p>
      <w:pPr>
        <w:pStyle w:val="BodyText"/>
        <w:spacing w:before="12"/>
        <w:rPr>
          <w:sz w:val="17"/>
        </w:rPr>
      </w:pPr>
    </w:p>
    <w:p>
      <w:pPr>
        <w:pStyle w:val="BodyText"/>
        <w:spacing w:line="446" w:lineRule="auto"/>
        <w:ind w:left="418" w:right="1410" w:firstLine="419"/>
      </w:pPr>
      <w:r>
        <w:rPr/>
        <w:t>风机性能试验是利用流量调节装置通过测定风机在标定转速下风机的压力、轴功率、效率随流量的变化关系，鉴定风机的性能。 </w:t>
      </w:r>
    </w:p>
    <w:p>
      <w:pPr>
        <w:pStyle w:val="ListParagraph"/>
        <w:numPr>
          <w:ilvl w:val="1"/>
          <w:numId w:val="971"/>
        </w:numPr>
        <w:tabs>
          <w:tab w:pos="1160" w:val="left" w:leader="none"/>
        </w:tabs>
        <w:spacing w:line="240" w:lineRule="auto" w:before="0" w:after="0"/>
        <w:ind w:left="1159" w:right="0" w:hanging="320"/>
        <w:jc w:val="left"/>
        <w:rPr>
          <w:sz w:val="21"/>
        </w:rPr>
      </w:pPr>
      <w:r>
        <w:rPr>
          <w:spacing w:val="-3"/>
          <w:sz w:val="21"/>
        </w:rPr>
        <w:t>标准进气状态</w:t>
      </w:r>
      <w:r>
        <w:rPr>
          <w:sz w:val="21"/>
        </w:rPr>
        <w:t> </w:t>
      </w:r>
    </w:p>
    <w:p>
      <w:pPr>
        <w:pStyle w:val="BodyText"/>
        <w:rPr>
          <w:sz w:val="18"/>
        </w:rPr>
      </w:pPr>
    </w:p>
    <w:p>
      <w:pPr>
        <w:pStyle w:val="BodyText"/>
        <w:spacing w:line="446" w:lineRule="auto"/>
        <w:ind w:left="418" w:right="1433" w:firstLine="419"/>
      </w:pPr>
      <w:r>
        <w:rPr>
          <w:spacing w:val="-6"/>
        </w:rPr>
        <w:t>标准进气状态为：温度 </w:t>
      </w:r>
      <w:r>
        <w:rPr/>
        <w:t>20</w:t>
      </w:r>
      <w:r>
        <w:rPr>
          <w:spacing w:val="-7"/>
        </w:rPr>
        <w:t>℃、大气压力 </w:t>
      </w:r>
      <w:r>
        <w:rPr/>
        <w:t>101.3×10³Pa</w:t>
      </w:r>
      <w:r>
        <w:rPr>
          <w:spacing w:val="-8"/>
        </w:rPr>
        <w:t>、相对湿度 </w:t>
      </w:r>
      <w:r>
        <w:rPr/>
        <w:t>50</w:t>
      </w:r>
      <w:r>
        <w:rPr>
          <w:spacing w:val="-7"/>
        </w:rPr>
        <w:t>%；密度为 </w:t>
      </w:r>
      <w:r>
        <w:rPr/>
        <w:t>1.2kg/m³的</w:t>
      </w:r>
      <w:r>
        <w:rPr>
          <w:spacing w:val="-1"/>
        </w:rPr>
        <w:t>空气。</w:t>
      </w:r>
      <w:r>
        <w:rPr/>
        <w:t> </w:t>
      </w:r>
    </w:p>
    <w:p>
      <w:pPr>
        <w:pStyle w:val="ListParagraph"/>
        <w:numPr>
          <w:ilvl w:val="1"/>
          <w:numId w:val="971"/>
        </w:numPr>
        <w:tabs>
          <w:tab w:pos="1160" w:val="left" w:leader="none"/>
        </w:tabs>
        <w:spacing w:line="240" w:lineRule="auto" w:before="0" w:after="0"/>
        <w:ind w:left="1159" w:right="0" w:hanging="320"/>
        <w:jc w:val="left"/>
        <w:rPr>
          <w:sz w:val="21"/>
        </w:rPr>
      </w:pPr>
      <w:r>
        <w:rPr>
          <w:spacing w:val="-3"/>
          <w:sz w:val="21"/>
        </w:rPr>
        <w:t>试验装置</w:t>
      </w:r>
      <w:r>
        <w:rPr>
          <w:sz w:val="21"/>
        </w:rPr>
        <w:t> </w:t>
      </w:r>
    </w:p>
    <w:p>
      <w:pPr>
        <w:pStyle w:val="BodyText"/>
        <w:spacing w:before="12"/>
        <w:rPr>
          <w:sz w:val="17"/>
        </w:rPr>
      </w:pPr>
    </w:p>
    <w:p>
      <w:pPr>
        <w:pStyle w:val="ListParagraph"/>
        <w:numPr>
          <w:ilvl w:val="2"/>
          <w:numId w:val="971"/>
        </w:numPr>
        <w:tabs>
          <w:tab w:pos="1370" w:val="left" w:leader="none"/>
        </w:tabs>
        <w:spacing w:line="240" w:lineRule="auto" w:before="0" w:after="0"/>
        <w:ind w:left="1369" w:right="0" w:hanging="530"/>
        <w:jc w:val="left"/>
        <w:rPr>
          <w:sz w:val="21"/>
        </w:rPr>
      </w:pPr>
      <w:r>
        <w:rPr>
          <w:spacing w:val="-5"/>
          <w:sz w:val="21"/>
        </w:rPr>
        <w:t>试验装置，即对风机在全闭和全开范围内进行试验的设备和调节装置。见图 </w:t>
      </w:r>
      <w:r>
        <w:rPr>
          <w:sz w:val="21"/>
        </w:rPr>
        <w:t>1</w:t>
      </w:r>
      <w:r>
        <w:rPr>
          <w:spacing w:val="-3"/>
          <w:sz w:val="21"/>
        </w:rPr>
        <w:t>。</w:t>
      </w:r>
      <w:r>
        <w:rPr>
          <w:sz w:val="21"/>
        </w:rPr>
        <w:t> </w:t>
      </w:r>
    </w:p>
    <w:p>
      <w:pPr>
        <w:pStyle w:val="BodyText"/>
        <w:spacing w:before="12"/>
        <w:rPr>
          <w:sz w:val="17"/>
        </w:rPr>
      </w:pPr>
    </w:p>
    <w:p>
      <w:pPr>
        <w:pStyle w:val="BodyText"/>
        <w:spacing w:line="446" w:lineRule="auto"/>
        <w:ind w:left="418" w:right="1431" w:firstLine="419"/>
      </w:pPr>
      <w:r>
        <w:rPr/>
        <w:drawing>
          <wp:anchor distT="0" distB="0" distL="0" distR="0" allowOverlap="1" layoutInCell="1" locked="0" behindDoc="0" simplePos="0" relativeHeight="379">
            <wp:simplePos x="0" y="0"/>
            <wp:positionH relativeFrom="page">
              <wp:posOffset>1296203</wp:posOffset>
            </wp:positionH>
            <wp:positionV relativeFrom="paragraph">
              <wp:posOffset>685609</wp:posOffset>
            </wp:positionV>
            <wp:extent cx="4658117" cy="2514600"/>
            <wp:effectExtent l="0" t="0" r="0" b="0"/>
            <wp:wrapTopAndBottom/>
            <wp:docPr id="831" name="image488.jpeg"/>
            <wp:cNvGraphicFramePr>
              <a:graphicFrameLocks noChangeAspect="1"/>
            </wp:cNvGraphicFramePr>
            <a:graphic>
              <a:graphicData uri="http://schemas.openxmlformats.org/drawingml/2006/picture">
                <pic:pic>
                  <pic:nvPicPr>
                    <pic:cNvPr id="832" name="image488.jpeg"/>
                    <pic:cNvPicPr/>
                  </pic:nvPicPr>
                  <pic:blipFill>
                    <a:blip r:embed="rId617" cstate="print"/>
                    <a:stretch>
                      <a:fillRect/>
                    </a:stretch>
                  </pic:blipFill>
                  <pic:spPr>
                    <a:xfrm>
                      <a:off x="0" y="0"/>
                      <a:ext cx="4658117" cy="2514600"/>
                    </a:xfrm>
                    <a:prstGeom prst="rect">
                      <a:avLst/>
                    </a:prstGeom>
                  </pic:spPr>
                </pic:pic>
              </a:graphicData>
            </a:graphic>
          </wp:anchor>
        </w:drawing>
      </w:r>
      <w:r>
        <w:rPr/>
        <w:t>1—</w:t>
      </w:r>
      <w:r>
        <w:rPr>
          <w:spacing w:val="-5"/>
        </w:rPr>
        <w:t>试验风机；</w:t>
      </w:r>
      <w:r>
        <w:rPr>
          <w:spacing w:val="-9"/>
        </w:rPr>
        <w:t>2</w:t>
      </w:r>
      <w:r>
        <w:rPr>
          <w:spacing w:val="-6"/>
        </w:rPr>
        <w:t>—连接管；</w:t>
      </w:r>
      <w:r>
        <w:rPr>
          <w:spacing w:val="-9"/>
        </w:rPr>
        <w:t>3</w:t>
      </w:r>
      <w:r>
        <w:rPr>
          <w:spacing w:val="-5"/>
        </w:rPr>
        <w:t>—试验风筒；</w:t>
      </w:r>
      <w:r>
        <w:rPr>
          <w:spacing w:val="-9"/>
        </w:rPr>
        <w:t>4</w:t>
      </w:r>
      <w:r>
        <w:rPr>
          <w:spacing w:val="-5"/>
        </w:rPr>
        <w:t>—压力计；</w:t>
      </w:r>
      <w:r>
        <w:rPr>
          <w:spacing w:val="-9"/>
        </w:rPr>
        <w:t>5</w:t>
      </w:r>
      <w:r>
        <w:rPr>
          <w:spacing w:val="-6"/>
        </w:rPr>
        <w:t>—整流栅；</w:t>
      </w:r>
      <w:r>
        <w:rPr>
          <w:spacing w:val="-9"/>
        </w:rPr>
        <w:t>6</w:t>
      </w:r>
      <w:r>
        <w:rPr>
          <w:spacing w:val="-5"/>
        </w:rPr>
        <w:t>—动压管；</w:t>
      </w:r>
      <w:r>
        <w:rPr>
          <w:spacing w:val="-9"/>
        </w:rPr>
        <w:t>7</w:t>
      </w:r>
      <w:r>
        <w:rPr>
          <w:spacing w:val="-4"/>
        </w:rPr>
        <w:t>—流量调节装置</w:t>
      </w:r>
      <w:r>
        <w:rPr/>
        <w:t> </w:t>
      </w:r>
    </w:p>
    <w:p>
      <w:pPr>
        <w:pStyle w:val="Heading6"/>
        <w:spacing w:before="147"/>
        <w:ind w:left="3627"/>
        <w:jc w:val="both"/>
      </w:pPr>
      <w:r>
        <w:rPr/>
        <w:t>图 1 风机试验装置示意图</w:t>
      </w:r>
      <w:r>
        <w:rPr>
          <w:w w:val="99"/>
        </w:rPr>
        <w:t> </w:t>
      </w:r>
    </w:p>
    <w:p>
      <w:pPr>
        <w:pStyle w:val="BodyText"/>
        <w:rPr>
          <w:b/>
          <w:sz w:val="18"/>
        </w:rPr>
      </w:pPr>
    </w:p>
    <w:p>
      <w:pPr>
        <w:pStyle w:val="ListParagraph"/>
        <w:numPr>
          <w:ilvl w:val="2"/>
          <w:numId w:val="971"/>
        </w:numPr>
        <w:tabs>
          <w:tab w:pos="1371" w:val="left" w:leader="none"/>
        </w:tabs>
        <w:spacing w:line="446" w:lineRule="auto" w:before="0" w:after="0"/>
        <w:ind w:left="418" w:right="1433" w:firstLine="422"/>
        <w:jc w:val="both"/>
        <w:rPr>
          <w:sz w:val="21"/>
        </w:rPr>
      </w:pPr>
      <w:r>
        <w:rPr>
          <w:spacing w:val="-7"/>
          <w:sz w:val="21"/>
        </w:rPr>
        <w:t>试验装置的试验风筒应采用内表面光滑，截面积为风机出口截面积的 </w:t>
      </w:r>
      <w:r>
        <w:rPr>
          <w:sz w:val="21"/>
        </w:rPr>
        <w:t>1~1.3</w:t>
      </w:r>
      <w:r>
        <w:rPr>
          <w:spacing w:val="-11"/>
          <w:sz w:val="21"/>
        </w:rPr>
        <w:t> 倍的圆形</w:t>
      </w:r>
      <w:r>
        <w:rPr>
          <w:sz w:val="21"/>
        </w:rPr>
        <w:t>直管，风机出口非圆形或截面积小于试验风筒截面积时用过渡接头连接，其锥形扩散角应小于14°</w:t>
      </w:r>
      <w:r>
        <w:rPr>
          <w:spacing w:val="-3"/>
          <w:sz w:val="21"/>
        </w:rPr>
        <w:t>。</w:t>
      </w:r>
      <w:r>
        <w:rPr>
          <w:sz w:val="21"/>
        </w:rPr>
        <w:t> </w:t>
      </w:r>
    </w:p>
    <w:p>
      <w:pPr>
        <w:pStyle w:val="BodyText"/>
        <w:spacing w:line="448" w:lineRule="auto"/>
        <w:ind w:left="418" w:right="1433" w:firstLine="419"/>
        <w:jc w:val="both"/>
      </w:pPr>
      <w:r>
        <w:rPr>
          <w:spacing w:val="-6"/>
          <w:position w:val="1"/>
        </w:rPr>
        <w:t>风筒内径按 </w:t>
      </w:r>
      <w:r>
        <w:rPr>
          <w:position w:val="1"/>
        </w:rPr>
        <w:t>IT13</w:t>
      </w:r>
      <w:r>
        <w:rPr>
          <w:spacing w:val="-7"/>
          <w:position w:val="1"/>
        </w:rPr>
        <w:t> 级制造，表面粗糙度 </w:t>
      </w:r>
      <w:r>
        <w:rPr>
          <w:position w:val="1"/>
        </w:rPr>
        <w:t>R</w:t>
      </w:r>
      <w:r>
        <w:rPr>
          <w:sz w:val="11"/>
        </w:rPr>
        <w:t>a </w:t>
      </w:r>
      <w:r>
        <w:rPr>
          <w:spacing w:val="-8"/>
          <w:position w:val="1"/>
        </w:rPr>
        <w:t>值不超过 </w:t>
      </w:r>
      <w:r>
        <w:rPr>
          <w:position w:val="1"/>
        </w:rPr>
        <w:t>12.5μm</w:t>
      </w:r>
      <w:r>
        <w:rPr>
          <w:spacing w:val="-3"/>
          <w:position w:val="1"/>
        </w:rPr>
        <w:t>。静压测量小孔应均布在垂直于</w:t>
      </w:r>
      <w:r>
        <w:rPr>
          <w:spacing w:val="-7"/>
        </w:rPr>
        <w:t>风筒轴线的同一截面上。孔数为 </w:t>
      </w:r>
      <w:r>
        <w:rPr/>
        <w:t>3~4</w:t>
      </w:r>
      <w:r>
        <w:rPr>
          <w:spacing w:val="-17"/>
        </w:rPr>
        <w:t> 个，直径为 </w:t>
      </w:r>
      <w:r>
        <w:rPr/>
        <w:t>1~2mm</w:t>
      </w:r>
      <w:r>
        <w:rPr>
          <w:spacing w:val="-3"/>
        </w:rPr>
        <w:t>，孔口应平滑无凸起或毛刺。</w:t>
      </w:r>
      <w:r>
        <w:rPr/>
        <w:t> </w:t>
      </w:r>
    </w:p>
    <w:p>
      <w:pPr>
        <w:spacing w:after="0" w:line="448" w:lineRule="auto"/>
        <w:jc w:val="both"/>
        <w:sectPr>
          <w:pgSz w:w="11910" w:h="16850"/>
          <w:pgMar w:header="0" w:footer="1239" w:top="1220" w:bottom="1420" w:left="1260" w:right="0"/>
        </w:sectPr>
      </w:pPr>
    </w:p>
    <w:p>
      <w:pPr>
        <w:pStyle w:val="ListParagraph"/>
        <w:numPr>
          <w:ilvl w:val="2"/>
          <w:numId w:val="971"/>
        </w:numPr>
        <w:tabs>
          <w:tab w:pos="1370" w:val="left" w:leader="none"/>
        </w:tabs>
        <w:spacing w:line="251" w:lineRule="exact" w:before="55" w:after="0"/>
        <w:ind w:left="1369" w:right="0" w:hanging="530"/>
        <w:jc w:val="left"/>
        <w:rPr>
          <w:sz w:val="21"/>
        </w:rPr>
      </w:pPr>
      <w:r>
        <w:rPr/>
        <w:pict>
          <v:rect style="position:absolute;margin-left:366.309998pt;margin-top:12.51646pt;width:4.32pt;height:.72pt;mso-position-horizontal-relative:page;mso-position-vertical-relative:paragraph;z-index:-287291392" filled="true" fillcolor="#000000" stroked="false">
            <v:fill type="solid"/>
            <w10:wrap type="none"/>
          </v:rect>
        </w:pict>
      </w:r>
      <w:r>
        <w:rPr/>
        <w:pict>
          <v:rect style="position:absolute;margin-left:381.670013pt;margin-top:12.51646pt;width:4.32pt;height:.72pt;mso-position-horizontal-relative:page;mso-position-vertical-relative:paragraph;z-index:-287290368" filled="true" fillcolor="#000000" stroked="false">
            <v:fill type="solid"/>
            <w10:wrap type="none"/>
          </v:rect>
        </w:pict>
      </w:r>
      <w:r>
        <w:rPr>
          <w:spacing w:val="-12"/>
          <w:sz w:val="21"/>
        </w:rPr>
        <w:t>整流栅，栅格正方形，边长 </w:t>
      </w:r>
      <w:r>
        <w:rPr>
          <w:sz w:val="21"/>
        </w:rPr>
        <w:t>l</w:t>
      </w:r>
      <w:r>
        <w:rPr>
          <w:spacing w:val="-14"/>
          <w:sz w:val="21"/>
        </w:rPr>
        <w:t> 为试验风筒直径 </w:t>
      </w:r>
      <w:r>
        <w:rPr>
          <w:sz w:val="21"/>
        </w:rPr>
        <w:t>D</w:t>
      </w:r>
      <w:r>
        <w:rPr>
          <w:spacing w:val="-28"/>
          <w:sz w:val="21"/>
        </w:rPr>
        <w:t> 的</w:t>
      </w:r>
      <w:r>
        <w:rPr>
          <w:rFonts w:ascii="Cambria Math" w:eastAsia="Cambria Math"/>
          <w:position w:val="12"/>
          <w:sz w:val="15"/>
        </w:rPr>
        <w:t>1</w:t>
      </w:r>
      <w:r>
        <w:rPr>
          <w:rFonts w:ascii="Cambria Math" w:eastAsia="Cambria Math"/>
          <w:spacing w:val="2"/>
          <w:position w:val="12"/>
          <w:sz w:val="15"/>
        </w:rPr>
        <w:t> </w:t>
      </w:r>
      <w:r>
        <w:rPr>
          <w:rFonts w:ascii="Cambria Math" w:eastAsia="Cambria Math"/>
          <w:sz w:val="21"/>
        </w:rPr>
        <w:t>~</w:t>
      </w:r>
      <w:r>
        <w:rPr>
          <w:rFonts w:ascii="Cambria Math" w:eastAsia="Cambria Math"/>
          <w:spacing w:val="-11"/>
          <w:sz w:val="21"/>
        </w:rPr>
        <w:t> </w:t>
      </w:r>
      <w:r>
        <w:rPr>
          <w:rFonts w:ascii="Cambria Math" w:eastAsia="Cambria Math"/>
          <w:spacing w:val="-10"/>
          <w:position w:val="12"/>
          <w:sz w:val="15"/>
        </w:rPr>
        <w:t>1</w:t>
      </w:r>
      <w:r>
        <w:rPr>
          <w:spacing w:val="-12"/>
          <w:sz w:val="21"/>
        </w:rPr>
        <w:t>，轴向长度 </w:t>
      </w:r>
      <w:r>
        <w:rPr>
          <w:sz w:val="21"/>
        </w:rPr>
        <w:t>L</w:t>
      </w:r>
      <w:r>
        <w:rPr>
          <w:spacing w:val="-19"/>
          <w:sz w:val="21"/>
        </w:rPr>
        <w:t> 应不小于 </w:t>
      </w:r>
      <w:r>
        <w:rPr>
          <w:spacing w:val="-7"/>
          <w:sz w:val="21"/>
        </w:rPr>
        <w:t>3l</w:t>
      </w:r>
      <w:r>
        <w:rPr>
          <w:spacing w:val="-4"/>
          <w:sz w:val="21"/>
        </w:rPr>
        <w:t>，见</w:t>
      </w:r>
    </w:p>
    <w:p>
      <w:pPr>
        <w:tabs>
          <w:tab w:pos="2187" w:val="left" w:leader="none"/>
        </w:tabs>
        <w:spacing w:line="151" w:lineRule="exact" w:before="0"/>
        <w:ind w:left="1880" w:right="0" w:firstLine="0"/>
        <w:jc w:val="center"/>
        <w:rPr>
          <w:rFonts w:ascii="Cambria Math"/>
          <w:sz w:val="15"/>
        </w:rPr>
      </w:pPr>
      <w:r>
        <w:rPr>
          <w:rFonts w:ascii="Cambria Math"/>
          <w:w w:val="105"/>
          <w:sz w:val="15"/>
        </w:rPr>
        <w:t>4</w:t>
        <w:tab/>
        <w:t>6</w:t>
      </w:r>
    </w:p>
    <w:p>
      <w:pPr>
        <w:pStyle w:val="BodyText"/>
        <w:spacing w:before="9"/>
        <w:rPr>
          <w:rFonts w:ascii="Cambria Math"/>
          <w:sz w:val="12"/>
        </w:rPr>
      </w:pPr>
    </w:p>
    <w:p>
      <w:pPr>
        <w:pStyle w:val="BodyText"/>
        <w:ind w:left="418"/>
        <w:rPr>
          <w:b/>
        </w:rPr>
      </w:pPr>
      <w:r>
        <w:rPr/>
        <w:drawing>
          <wp:anchor distT="0" distB="0" distL="0" distR="0" allowOverlap="1" layoutInCell="1" locked="0" behindDoc="0" simplePos="0" relativeHeight="380">
            <wp:simplePos x="0" y="0"/>
            <wp:positionH relativeFrom="page">
              <wp:posOffset>2884551</wp:posOffset>
            </wp:positionH>
            <wp:positionV relativeFrom="paragraph">
              <wp:posOffset>201295</wp:posOffset>
            </wp:positionV>
            <wp:extent cx="1828800" cy="1676400"/>
            <wp:effectExtent l="0" t="0" r="0" b="0"/>
            <wp:wrapTopAndBottom/>
            <wp:docPr id="833" name="image489.jpeg"/>
            <wp:cNvGraphicFramePr>
              <a:graphicFrameLocks noChangeAspect="1"/>
            </wp:cNvGraphicFramePr>
            <a:graphic>
              <a:graphicData uri="http://schemas.openxmlformats.org/drawingml/2006/picture">
                <pic:pic>
                  <pic:nvPicPr>
                    <pic:cNvPr id="834" name="image489.jpeg"/>
                    <pic:cNvPicPr/>
                  </pic:nvPicPr>
                  <pic:blipFill>
                    <a:blip r:embed="rId618" cstate="print"/>
                    <a:stretch>
                      <a:fillRect/>
                    </a:stretch>
                  </pic:blipFill>
                  <pic:spPr>
                    <a:xfrm>
                      <a:off x="0" y="0"/>
                      <a:ext cx="1828800" cy="1676400"/>
                    </a:xfrm>
                    <a:prstGeom prst="rect">
                      <a:avLst/>
                    </a:prstGeom>
                  </pic:spPr>
                </pic:pic>
              </a:graphicData>
            </a:graphic>
          </wp:anchor>
        </w:drawing>
      </w:r>
      <w:r>
        <w:rPr>
          <w:spacing w:val="-26"/>
        </w:rPr>
        <w:t>图 </w:t>
      </w:r>
      <w:r>
        <w:rPr/>
        <w:t>2</w:t>
      </w:r>
      <w:r>
        <w:rPr>
          <w:spacing w:val="-3"/>
        </w:rPr>
        <w:t>。</w:t>
      </w:r>
      <w:r>
        <w:rPr>
          <w:b/>
          <w:w w:val="99"/>
        </w:rPr>
        <w:t> </w:t>
      </w:r>
    </w:p>
    <w:p>
      <w:pPr>
        <w:pStyle w:val="BodyText"/>
        <w:spacing w:before="2"/>
        <w:rPr>
          <w:b/>
          <w:sz w:val="7"/>
        </w:rPr>
      </w:pPr>
    </w:p>
    <w:p>
      <w:pPr>
        <w:pStyle w:val="ListParagraph"/>
        <w:numPr>
          <w:ilvl w:val="2"/>
          <w:numId w:val="971"/>
        </w:numPr>
        <w:tabs>
          <w:tab w:pos="1371" w:val="left" w:leader="none"/>
        </w:tabs>
        <w:spacing w:line="446" w:lineRule="auto" w:before="71" w:after="0"/>
        <w:ind w:left="418" w:right="1325" w:firstLine="422"/>
        <w:jc w:val="left"/>
        <w:rPr>
          <w:b/>
          <w:sz w:val="21"/>
        </w:rPr>
      </w:pPr>
      <w:r>
        <w:rPr>
          <w:spacing w:val="-4"/>
          <w:sz w:val="21"/>
        </w:rPr>
        <w:t>测定动压的测定点应分布在风筒轴线的垂直截面上，沿垂直和水平方向各测 </w:t>
      </w:r>
      <w:r>
        <w:rPr>
          <w:sz w:val="21"/>
        </w:rPr>
        <w:t>8</w:t>
      </w:r>
      <w:r>
        <w:rPr>
          <w:spacing w:val="-12"/>
          <w:sz w:val="21"/>
        </w:rPr>
        <w:t> 个点， </w:t>
      </w:r>
      <w:r>
        <w:rPr>
          <w:spacing w:val="-17"/>
          <w:sz w:val="21"/>
        </w:rPr>
        <w:t>位置见图 </w:t>
      </w:r>
      <w:r>
        <w:rPr>
          <w:spacing w:val="-3"/>
          <w:sz w:val="21"/>
        </w:rPr>
        <w:t>3。</w:t>
      </w:r>
      <w:r>
        <w:rPr>
          <w:b/>
          <w:w w:val="99"/>
          <w:sz w:val="21"/>
        </w:rPr>
        <w:t> </w:t>
      </w:r>
    </w:p>
    <w:p>
      <w:pPr>
        <w:pStyle w:val="BodyText"/>
        <w:spacing w:before="11"/>
        <w:rPr>
          <w:b/>
          <w:sz w:val="25"/>
        </w:rPr>
      </w:pPr>
      <w:r>
        <w:rPr/>
        <w:drawing>
          <wp:anchor distT="0" distB="0" distL="0" distR="0" allowOverlap="1" layoutInCell="1" locked="0" behindDoc="0" simplePos="0" relativeHeight="381">
            <wp:simplePos x="0" y="0"/>
            <wp:positionH relativeFrom="page">
              <wp:posOffset>2332101</wp:posOffset>
            </wp:positionH>
            <wp:positionV relativeFrom="paragraph">
              <wp:posOffset>235204</wp:posOffset>
            </wp:positionV>
            <wp:extent cx="2781300" cy="3352800"/>
            <wp:effectExtent l="0" t="0" r="0" b="0"/>
            <wp:wrapTopAndBottom/>
            <wp:docPr id="835" name="image490.jpeg"/>
            <wp:cNvGraphicFramePr>
              <a:graphicFrameLocks noChangeAspect="1"/>
            </wp:cNvGraphicFramePr>
            <a:graphic>
              <a:graphicData uri="http://schemas.openxmlformats.org/drawingml/2006/picture">
                <pic:pic>
                  <pic:nvPicPr>
                    <pic:cNvPr id="836" name="image490.jpeg"/>
                    <pic:cNvPicPr/>
                  </pic:nvPicPr>
                  <pic:blipFill>
                    <a:blip r:embed="rId619" cstate="print"/>
                    <a:stretch>
                      <a:fillRect/>
                    </a:stretch>
                  </pic:blipFill>
                  <pic:spPr>
                    <a:xfrm>
                      <a:off x="0" y="0"/>
                      <a:ext cx="2781300" cy="3352800"/>
                    </a:xfrm>
                    <a:prstGeom prst="rect">
                      <a:avLst/>
                    </a:prstGeom>
                  </pic:spPr>
                </pic:pic>
              </a:graphicData>
            </a:graphic>
          </wp:anchor>
        </w:drawing>
      </w:r>
    </w:p>
    <w:p>
      <w:pPr>
        <w:pStyle w:val="ListParagraph"/>
        <w:numPr>
          <w:ilvl w:val="2"/>
          <w:numId w:val="971"/>
        </w:numPr>
        <w:tabs>
          <w:tab w:pos="1370" w:val="left" w:leader="none"/>
        </w:tabs>
        <w:spacing w:line="240" w:lineRule="auto" w:before="163" w:after="0"/>
        <w:ind w:left="1369" w:right="0" w:hanging="530"/>
        <w:jc w:val="left"/>
        <w:rPr>
          <w:sz w:val="21"/>
        </w:rPr>
      </w:pPr>
      <w:r>
        <w:rPr>
          <w:spacing w:val="-3"/>
          <w:sz w:val="21"/>
        </w:rPr>
        <w:t>试验在室内台架上进行。风机试验装置安装调整后运转，转速稳定后再进行测试。</w:t>
      </w:r>
      <w:r>
        <w:rPr>
          <w:sz w:val="21"/>
        </w:rPr>
        <w:t> </w:t>
      </w:r>
    </w:p>
    <w:p>
      <w:pPr>
        <w:pStyle w:val="BodyText"/>
        <w:rPr>
          <w:sz w:val="18"/>
        </w:rPr>
      </w:pPr>
    </w:p>
    <w:p>
      <w:pPr>
        <w:pStyle w:val="BodyText"/>
        <w:spacing w:line="446" w:lineRule="auto"/>
        <w:ind w:left="418" w:right="1433" w:firstLine="419"/>
      </w:pPr>
      <w:r>
        <w:rPr>
          <w:spacing w:val="-7"/>
        </w:rPr>
        <w:t>测定时，除主风道外，其他出风口均堵上。试验装置进、出口附近应无任何影响气流正常流</w:t>
      </w:r>
      <w:r>
        <w:rPr>
          <w:spacing w:val="-5"/>
        </w:rPr>
        <w:t>动的障碍物。</w:t>
      </w:r>
      <w:r>
        <w:rPr/>
        <w:t> </w:t>
      </w:r>
    </w:p>
    <w:p>
      <w:pPr>
        <w:pStyle w:val="ListParagraph"/>
        <w:numPr>
          <w:ilvl w:val="1"/>
          <w:numId w:val="971"/>
        </w:numPr>
        <w:tabs>
          <w:tab w:pos="1159" w:val="left" w:leader="none"/>
        </w:tabs>
        <w:spacing w:line="240" w:lineRule="auto" w:before="0" w:after="0"/>
        <w:ind w:left="1158" w:right="0" w:hanging="319"/>
        <w:jc w:val="left"/>
        <w:rPr>
          <w:b/>
          <w:sz w:val="21"/>
        </w:rPr>
      </w:pPr>
      <w:r>
        <w:rPr>
          <w:spacing w:val="-3"/>
          <w:sz w:val="21"/>
        </w:rPr>
        <w:t>参数测定及计算</w:t>
      </w:r>
      <w:r>
        <w:rPr>
          <w:b/>
          <w:w w:val="99"/>
          <w:sz w:val="21"/>
        </w:rPr>
        <w:t> </w:t>
      </w:r>
    </w:p>
    <w:p>
      <w:pPr>
        <w:pStyle w:val="BodyText"/>
        <w:rPr>
          <w:b/>
          <w:sz w:val="18"/>
        </w:rPr>
      </w:pPr>
    </w:p>
    <w:p>
      <w:pPr>
        <w:pStyle w:val="ListParagraph"/>
        <w:numPr>
          <w:ilvl w:val="2"/>
          <w:numId w:val="971"/>
        </w:numPr>
        <w:tabs>
          <w:tab w:pos="1371" w:val="left" w:leader="none"/>
        </w:tabs>
        <w:spacing w:line="446" w:lineRule="auto" w:before="0" w:after="0"/>
        <w:ind w:left="418" w:right="1330" w:firstLine="422"/>
        <w:jc w:val="left"/>
        <w:rPr>
          <w:b/>
          <w:sz w:val="21"/>
        </w:rPr>
      </w:pPr>
      <w:r>
        <w:rPr>
          <w:spacing w:val="-13"/>
          <w:sz w:val="21"/>
        </w:rPr>
        <w:t>逐次调节流量调节装置，使试验风筒从全闭逐次开启直至全开，每调节一次测定转速、</w:t>
      </w:r>
      <w:r>
        <w:rPr>
          <w:spacing w:val="-6"/>
          <w:sz w:val="21"/>
        </w:rPr>
        <w:t>动压、静压和轴功率。</w:t>
      </w:r>
      <w:r>
        <w:rPr>
          <w:b/>
          <w:w w:val="99"/>
          <w:sz w:val="21"/>
        </w:rPr>
        <w:t> </w:t>
      </w:r>
    </w:p>
    <w:p>
      <w:pPr>
        <w:pStyle w:val="BodyText"/>
        <w:ind w:left="838"/>
      </w:pPr>
      <w:r>
        <w:rPr/>
        <w:t>全闭到全开共调节 9 次左右。测试完毕后进行计算，将测定及计算结果记入表 1、表 2。 </w:t>
      </w:r>
    </w:p>
    <w:p>
      <w:pPr>
        <w:spacing w:after="0"/>
        <w:sectPr>
          <w:pgSz w:w="11910" w:h="16850"/>
          <w:pgMar w:header="0" w:footer="1239" w:top="1160" w:bottom="1420" w:left="1260" w:right="0"/>
        </w:sectPr>
      </w:pPr>
    </w:p>
    <w:p>
      <w:pPr>
        <w:pStyle w:val="Heading6"/>
        <w:spacing w:before="47"/>
        <w:ind w:right="912"/>
        <w:jc w:val="center"/>
      </w:pPr>
      <w:r>
        <w:rPr/>
        <w:t>表 1 风机性能试验及计算</w:t>
      </w:r>
      <w:r>
        <w:rPr>
          <w:w w:val="99"/>
        </w:rPr>
        <w:t> </w:t>
      </w:r>
    </w:p>
    <w:p>
      <w:pPr>
        <w:pStyle w:val="BodyText"/>
        <w:rPr>
          <w:b/>
          <w:sz w:val="18"/>
        </w:rPr>
      </w:pPr>
    </w:p>
    <w:p>
      <w:pPr>
        <w:pStyle w:val="BodyText"/>
        <w:spacing w:after="40"/>
        <w:ind w:left="418"/>
      </w:pPr>
      <w:r>
        <w:rPr/>
        <w:t>试 验 日 期 ： 年 月 日 地 点 ： </w:t>
      </w:r>
    </w:p>
    <w:tbl>
      <w:tblPr>
        <w:tblW w:w="0" w:type="auto"/>
        <w:jc w:val="left"/>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6"/>
        <w:gridCol w:w="430"/>
        <w:gridCol w:w="476"/>
        <w:gridCol w:w="428"/>
        <w:gridCol w:w="428"/>
        <w:gridCol w:w="377"/>
        <w:gridCol w:w="403"/>
        <w:gridCol w:w="276"/>
        <w:gridCol w:w="499"/>
        <w:gridCol w:w="338"/>
        <w:gridCol w:w="334"/>
        <w:gridCol w:w="425"/>
        <w:gridCol w:w="403"/>
        <w:gridCol w:w="485"/>
        <w:gridCol w:w="315"/>
        <w:gridCol w:w="87"/>
        <w:gridCol w:w="536"/>
        <w:gridCol w:w="333"/>
        <w:gridCol w:w="90"/>
        <w:gridCol w:w="409"/>
        <w:gridCol w:w="416"/>
        <w:gridCol w:w="416"/>
      </w:tblGrid>
      <w:tr>
        <w:trPr>
          <w:trHeight w:val="385" w:hRule="atLeast"/>
        </w:trPr>
        <w:tc>
          <w:tcPr>
            <w:tcW w:w="6313" w:type="dxa"/>
            <w:gridSpan w:val="15"/>
          </w:tcPr>
          <w:p>
            <w:pPr>
              <w:pStyle w:val="TableParagraph"/>
              <w:spacing w:before="108"/>
              <w:ind w:left="2855" w:right="2768"/>
              <w:jc w:val="center"/>
              <w:rPr>
                <w:sz w:val="16"/>
              </w:rPr>
            </w:pPr>
            <w:r>
              <w:rPr>
                <w:sz w:val="16"/>
              </w:rPr>
              <w:t>原始资料 </w:t>
            </w:r>
          </w:p>
        </w:tc>
        <w:tc>
          <w:tcPr>
            <w:tcW w:w="2287" w:type="dxa"/>
            <w:gridSpan w:val="7"/>
          </w:tcPr>
          <w:p>
            <w:pPr>
              <w:pStyle w:val="TableParagraph"/>
              <w:spacing w:before="108"/>
              <w:ind w:left="816"/>
              <w:rPr>
                <w:sz w:val="16"/>
              </w:rPr>
            </w:pPr>
            <w:r>
              <w:rPr>
                <w:sz w:val="16"/>
              </w:rPr>
              <w:t>自然条件 </w:t>
            </w:r>
          </w:p>
        </w:tc>
      </w:tr>
      <w:tr>
        <w:trPr>
          <w:trHeight w:val="491" w:hRule="atLeast"/>
        </w:trPr>
        <w:tc>
          <w:tcPr>
            <w:tcW w:w="696" w:type="dxa"/>
            <w:vMerge w:val="restart"/>
          </w:tcPr>
          <w:p>
            <w:pPr>
              <w:pStyle w:val="TableParagraph"/>
              <w:rPr>
                <w:sz w:val="16"/>
              </w:rPr>
            </w:pPr>
          </w:p>
          <w:p>
            <w:pPr>
              <w:pStyle w:val="TableParagraph"/>
              <w:rPr>
                <w:sz w:val="16"/>
              </w:rPr>
            </w:pPr>
          </w:p>
          <w:p>
            <w:pPr>
              <w:pStyle w:val="TableParagraph"/>
              <w:rPr>
                <w:sz w:val="16"/>
              </w:rPr>
            </w:pPr>
          </w:p>
          <w:p>
            <w:pPr>
              <w:pStyle w:val="TableParagraph"/>
              <w:spacing w:before="11"/>
              <w:rPr>
                <w:sz w:val="12"/>
              </w:rPr>
            </w:pPr>
          </w:p>
          <w:p>
            <w:pPr>
              <w:pStyle w:val="TableParagraph"/>
              <w:spacing w:before="1"/>
              <w:ind w:left="107"/>
              <w:rPr>
                <w:sz w:val="16"/>
              </w:rPr>
            </w:pPr>
            <w:r>
              <w:rPr>
                <w:sz w:val="16"/>
              </w:rPr>
              <w:t>风机 </w:t>
            </w:r>
          </w:p>
        </w:tc>
        <w:tc>
          <w:tcPr>
            <w:tcW w:w="906" w:type="dxa"/>
            <w:gridSpan w:val="2"/>
          </w:tcPr>
          <w:p>
            <w:pPr>
              <w:pStyle w:val="TableParagraph"/>
              <w:spacing w:before="7"/>
              <w:rPr>
                <w:sz w:val="12"/>
              </w:rPr>
            </w:pPr>
          </w:p>
          <w:p>
            <w:pPr>
              <w:pStyle w:val="TableParagraph"/>
              <w:ind w:left="107"/>
              <w:rPr>
                <w:sz w:val="16"/>
              </w:rPr>
            </w:pPr>
            <w:r>
              <w:rPr>
                <w:sz w:val="16"/>
              </w:rPr>
              <w:t>叶轮外径 </w:t>
            </w:r>
          </w:p>
        </w:tc>
        <w:tc>
          <w:tcPr>
            <w:tcW w:w="856" w:type="dxa"/>
            <w:gridSpan w:val="2"/>
          </w:tcPr>
          <w:p>
            <w:pPr>
              <w:pStyle w:val="TableParagraph"/>
              <w:spacing w:before="7"/>
              <w:rPr>
                <w:sz w:val="12"/>
              </w:rPr>
            </w:pPr>
          </w:p>
          <w:p>
            <w:pPr>
              <w:pStyle w:val="TableParagraph"/>
              <w:ind w:right="18"/>
              <w:jc w:val="right"/>
              <w:rPr>
                <w:sz w:val="16"/>
              </w:rPr>
            </w:pPr>
            <w:r>
              <w:rPr>
                <w:sz w:val="16"/>
              </w:rPr>
              <w:t>m </w:t>
            </w:r>
          </w:p>
        </w:tc>
        <w:tc>
          <w:tcPr>
            <w:tcW w:w="780" w:type="dxa"/>
            <w:gridSpan w:val="2"/>
            <w:vMerge w:val="restart"/>
          </w:tcPr>
          <w:p>
            <w:pPr>
              <w:pStyle w:val="TableParagraph"/>
              <w:rPr>
                <w:sz w:val="16"/>
              </w:rPr>
            </w:pPr>
          </w:p>
          <w:p>
            <w:pPr>
              <w:pStyle w:val="TableParagraph"/>
              <w:rPr>
                <w:sz w:val="16"/>
              </w:rPr>
            </w:pPr>
          </w:p>
          <w:p>
            <w:pPr>
              <w:pStyle w:val="TableParagraph"/>
              <w:rPr>
                <w:sz w:val="16"/>
              </w:rPr>
            </w:pPr>
          </w:p>
          <w:p>
            <w:pPr>
              <w:pStyle w:val="TableParagraph"/>
              <w:spacing w:before="11"/>
              <w:rPr>
                <w:sz w:val="12"/>
              </w:rPr>
            </w:pPr>
          </w:p>
          <w:p>
            <w:pPr>
              <w:pStyle w:val="TableParagraph"/>
              <w:spacing w:before="1"/>
              <w:ind w:left="105"/>
              <w:rPr>
                <w:sz w:val="16"/>
              </w:rPr>
            </w:pPr>
            <w:r>
              <w:rPr>
                <w:sz w:val="16"/>
              </w:rPr>
              <w:t>试验台 </w:t>
            </w:r>
          </w:p>
        </w:tc>
        <w:tc>
          <w:tcPr>
            <w:tcW w:w="1872" w:type="dxa"/>
            <w:gridSpan w:val="5"/>
          </w:tcPr>
          <w:p>
            <w:pPr>
              <w:pStyle w:val="TableParagraph"/>
              <w:spacing w:before="7"/>
              <w:rPr>
                <w:sz w:val="12"/>
              </w:rPr>
            </w:pPr>
          </w:p>
          <w:p>
            <w:pPr>
              <w:pStyle w:val="TableParagraph"/>
              <w:ind w:left="136"/>
              <w:rPr>
                <w:sz w:val="16"/>
              </w:rPr>
            </w:pPr>
            <w:r>
              <w:rPr>
                <w:sz w:val="16"/>
              </w:rPr>
              <w:t>电力测功机型号 </w:t>
            </w:r>
          </w:p>
        </w:tc>
        <w:tc>
          <w:tcPr>
            <w:tcW w:w="1203" w:type="dxa"/>
            <w:gridSpan w:val="3"/>
          </w:tcPr>
          <w:p>
            <w:pPr>
              <w:pStyle w:val="TableParagraph"/>
              <w:spacing w:before="7"/>
              <w:rPr>
                <w:sz w:val="12"/>
              </w:rPr>
            </w:pPr>
          </w:p>
          <w:p>
            <w:pPr>
              <w:pStyle w:val="TableParagraph"/>
              <w:ind w:right="18"/>
              <w:jc w:val="right"/>
              <w:rPr>
                <w:sz w:val="16"/>
              </w:rPr>
            </w:pPr>
            <w:r>
              <w:rPr>
                <w:w w:val="100"/>
                <w:sz w:val="16"/>
              </w:rPr>
              <w:t> </w:t>
            </w:r>
          </w:p>
        </w:tc>
        <w:tc>
          <w:tcPr>
            <w:tcW w:w="956" w:type="dxa"/>
            <w:gridSpan w:val="3"/>
          </w:tcPr>
          <w:p>
            <w:pPr>
              <w:pStyle w:val="TableParagraph"/>
              <w:spacing w:before="7"/>
              <w:rPr>
                <w:sz w:val="12"/>
              </w:rPr>
            </w:pPr>
          </w:p>
          <w:p>
            <w:pPr>
              <w:pStyle w:val="TableParagraph"/>
              <w:ind w:left="105"/>
              <w:rPr>
                <w:sz w:val="16"/>
              </w:rPr>
            </w:pPr>
            <w:r>
              <w:rPr>
                <w:sz w:val="16"/>
              </w:rPr>
              <w:t>环境温度 </w:t>
            </w:r>
          </w:p>
        </w:tc>
        <w:tc>
          <w:tcPr>
            <w:tcW w:w="1331" w:type="dxa"/>
            <w:gridSpan w:val="4"/>
          </w:tcPr>
          <w:p>
            <w:pPr>
              <w:pStyle w:val="TableParagraph"/>
              <w:spacing w:before="7"/>
              <w:rPr>
                <w:sz w:val="12"/>
              </w:rPr>
            </w:pPr>
          </w:p>
          <w:p>
            <w:pPr>
              <w:pStyle w:val="TableParagraph"/>
              <w:ind w:right="24"/>
              <w:jc w:val="right"/>
              <w:rPr>
                <w:sz w:val="16"/>
              </w:rPr>
            </w:pPr>
            <w:r>
              <w:rPr>
                <w:sz w:val="16"/>
              </w:rPr>
              <w:t>℃ </w:t>
            </w:r>
          </w:p>
        </w:tc>
      </w:tr>
      <w:tr>
        <w:trPr>
          <w:trHeight w:val="479" w:hRule="atLeast"/>
        </w:trPr>
        <w:tc>
          <w:tcPr>
            <w:tcW w:w="696" w:type="dxa"/>
            <w:vMerge/>
            <w:tcBorders>
              <w:top w:val="nil"/>
            </w:tcBorders>
          </w:tcPr>
          <w:p>
            <w:pPr>
              <w:rPr>
                <w:sz w:val="2"/>
                <w:szCs w:val="2"/>
              </w:rPr>
            </w:pPr>
          </w:p>
        </w:tc>
        <w:tc>
          <w:tcPr>
            <w:tcW w:w="906" w:type="dxa"/>
            <w:gridSpan w:val="2"/>
          </w:tcPr>
          <w:p>
            <w:pPr>
              <w:pStyle w:val="TableParagraph"/>
              <w:spacing w:line="240" w:lineRule="exact" w:before="2"/>
              <w:ind w:left="107" w:right="65"/>
              <w:rPr>
                <w:sz w:val="16"/>
              </w:rPr>
            </w:pPr>
            <w:r>
              <w:rPr>
                <w:sz w:val="16"/>
              </w:rPr>
              <w:t>叶轮外径风口直径 </w:t>
            </w:r>
          </w:p>
        </w:tc>
        <w:tc>
          <w:tcPr>
            <w:tcW w:w="856" w:type="dxa"/>
            <w:gridSpan w:val="2"/>
          </w:tcPr>
          <w:p>
            <w:pPr>
              <w:pStyle w:val="TableParagraph"/>
              <w:rPr>
                <w:sz w:val="12"/>
              </w:rPr>
            </w:pPr>
          </w:p>
          <w:p>
            <w:pPr>
              <w:pStyle w:val="TableParagraph"/>
              <w:ind w:right="18"/>
              <w:jc w:val="right"/>
              <w:rPr>
                <w:sz w:val="16"/>
              </w:rPr>
            </w:pPr>
            <w:r>
              <w:rPr>
                <w:sz w:val="16"/>
              </w:rPr>
              <w:t>m </w:t>
            </w:r>
          </w:p>
        </w:tc>
        <w:tc>
          <w:tcPr>
            <w:tcW w:w="780" w:type="dxa"/>
            <w:gridSpan w:val="2"/>
            <w:vMerge/>
            <w:tcBorders>
              <w:top w:val="nil"/>
            </w:tcBorders>
          </w:tcPr>
          <w:p>
            <w:pPr>
              <w:rPr>
                <w:sz w:val="2"/>
                <w:szCs w:val="2"/>
              </w:rPr>
            </w:pPr>
          </w:p>
        </w:tc>
        <w:tc>
          <w:tcPr>
            <w:tcW w:w="1872" w:type="dxa"/>
            <w:gridSpan w:val="5"/>
          </w:tcPr>
          <w:p>
            <w:pPr>
              <w:pStyle w:val="TableParagraph"/>
              <w:rPr>
                <w:sz w:val="12"/>
              </w:rPr>
            </w:pPr>
          </w:p>
          <w:p>
            <w:pPr>
              <w:pStyle w:val="TableParagraph"/>
              <w:ind w:left="136"/>
              <w:rPr>
                <w:sz w:val="16"/>
              </w:rPr>
            </w:pPr>
            <w:r>
              <w:rPr>
                <w:sz w:val="16"/>
              </w:rPr>
              <w:t>驱动功率 </w:t>
            </w:r>
          </w:p>
        </w:tc>
        <w:tc>
          <w:tcPr>
            <w:tcW w:w="1203" w:type="dxa"/>
            <w:gridSpan w:val="3"/>
          </w:tcPr>
          <w:p>
            <w:pPr>
              <w:pStyle w:val="TableParagraph"/>
              <w:rPr>
                <w:sz w:val="12"/>
              </w:rPr>
            </w:pPr>
          </w:p>
          <w:p>
            <w:pPr>
              <w:pStyle w:val="TableParagraph"/>
              <w:ind w:right="18"/>
              <w:jc w:val="right"/>
              <w:rPr>
                <w:sz w:val="16"/>
              </w:rPr>
            </w:pPr>
            <w:r>
              <w:rPr>
                <w:sz w:val="16"/>
              </w:rPr>
              <w:t>kW </w:t>
            </w:r>
          </w:p>
        </w:tc>
        <w:tc>
          <w:tcPr>
            <w:tcW w:w="956" w:type="dxa"/>
            <w:gridSpan w:val="3"/>
          </w:tcPr>
          <w:p>
            <w:pPr>
              <w:pStyle w:val="TableParagraph"/>
              <w:rPr>
                <w:sz w:val="12"/>
              </w:rPr>
            </w:pPr>
          </w:p>
          <w:p>
            <w:pPr>
              <w:pStyle w:val="TableParagraph"/>
              <w:ind w:left="105"/>
              <w:rPr>
                <w:sz w:val="16"/>
              </w:rPr>
            </w:pPr>
            <w:r>
              <w:rPr>
                <w:sz w:val="16"/>
              </w:rPr>
              <w:t>相对湿度 </w:t>
            </w:r>
          </w:p>
        </w:tc>
        <w:tc>
          <w:tcPr>
            <w:tcW w:w="1331" w:type="dxa"/>
            <w:gridSpan w:val="4"/>
          </w:tcPr>
          <w:p>
            <w:pPr>
              <w:pStyle w:val="TableParagraph"/>
              <w:rPr>
                <w:sz w:val="12"/>
              </w:rPr>
            </w:pPr>
          </w:p>
          <w:p>
            <w:pPr>
              <w:pStyle w:val="TableParagraph"/>
              <w:ind w:right="24"/>
              <w:jc w:val="right"/>
              <w:rPr>
                <w:sz w:val="16"/>
              </w:rPr>
            </w:pPr>
            <w:r>
              <w:rPr>
                <w:sz w:val="16"/>
              </w:rPr>
              <w:t>% </w:t>
            </w:r>
          </w:p>
        </w:tc>
      </w:tr>
      <w:tr>
        <w:trPr>
          <w:trHeight w:val="239" w:hRule="atLeast"/>
        </w:trPr>
        <w:tc>
          <w:tcPr>
            <w:tcW w:w="696" w:type="dxa"/>
            <w:vMerge/>
            <w:tcBorders>
              <w:top w:val="nil"/>
            </w:tcBorders>
          </w:tcPr>
          <w:p>
            <w:pPr>
              <w:rPr>
                <w:sz w:val="2"/>
                <w:szCs w:val="2"/>
              </w:rPr>
            </w:pPr>
          </w:p>
        </w:tc>
        <w:tc>
          <w:tcPr>
            <w:tcW w:w="906" w:type="dxa"/>
            <w:gridSpan w:val="2"/>
          </w:tcPr>
          <w:p>
            <w:pPr>
              <w:pStyle w:val="TableParagraph"/>
              <w:spacing w:line="185" w:lineRule="exact" w:before="34"/>
              <w:ind w:left="107"/>
              <w:rPr>
                <w:sz w:val="16"/>
              </w:rPr>
            </w:pPr>
            <w:r>
              <w:rPr>
                <w:sz w:val="16"/>
              </w:rPr>
              <w:t>叶轮形式 </w:t>
            </w:r>
          </w:p>
        </w:tc>
        <w:tc>
          <w:tcPr>
            <w:tcW w:w="856" w:type="dxa"/>
            <w:gridSpan w:val="2"/>
          </w:tcPr>
          <w:p>
            <w:pPr>
              <w:pStyle w:val="TableParagraph"/>
              <w:spacing w:line="185" w:lineRule="exact" w:before="34"/>
              <w:ind w:right="18"/>
              <w:jc w:val="right"/>
              <w:rPr>
                <w:sz w:val="16"/>
              </w:rPr>
            </w:pPr>
            <w:r>
              <w:rPr>
                <w:w w:val="100"/>
                <w:sz w:val="16"/>
              </w:rPr>
              <w:t> </w:t>
            </w:r>
          </w:p>
        </w:tc>
        <w:tc>
          <w:tcPr>
            <w:tcW w:w="780" w:type="dxa"/>
            <w:gridSpan w:val="2"/>
            <w:vMerge/>
            <w:tcBorders>
              <w:top w:val="nil"/>
            </w:tcBorders>
          </w:tcPr>
          <w:p>
            <w:pPr>
              <w:rPr>
                <w:sz w:val="2"/>
                <w:szCs w:val="2"/>
              </w:rPr>
            </w:pPr>
          </w:p>
        </w:tc>
        <w:tc>
          <w:tcPr>
            <w:tcW w:w="1872" w:type="dxa"/>
            <w:gridSpan w:val="5"/>
          </w:tcPr>
          <w:p>
            <w:pPr>
              <w:pStyle w:val="TableParagraph"/>
              <w:spacing w:line="185" w:lineRule="exact" w:before="34"/>
              <w:ind w:left="136"/>
              <w:rPr>
                <w:sz w:val="16"/>
              </w:rPr>
            </w:pPr>
            <w:r>
              <w:rPr>
                <w:sz w:val="16"/>
              </w:rPr>
              <w:t>试验设备摩擦负荷 </w:t>
            </w:r>
          </w:p>
        </w:tc>
        <w:tc>
          <w:tcPr>
            <w:tcW w:w="1203" w:type="dxa"/>
            <w:gridSpan w:val="3"/>
          </w:tcPr>
          <w:p>
            <w:pPr>
              <w:pStyle w:val="TableParagraph"/>
              <w:spacing w:line="185" w:lineRule="exact" w:before="34"/>
              <w:ind w:right="18"/>
              <w:jc w:val="right"/>
              <w:rPr>
                <w:sz w:val="16"/>
              </w:rPr>
            </w:pPr>
            <w:r>
              <w:rPr>
                <w:sz w:val="16"/>
              </w:rPr>
              <w:t>kg </w:t>
            </w:r>
          </w:p>
        </w:tc>
        <w:tc>
          <w:tcPr>
            <w:tcW w:w="956" w:type="dxa"/>
            <w:gridSpan w:val="3"/>
          </w:tcPr>
          <w:p>
            <w:pPr>
              <w:pStyle w:val="TableParagraph"/>
              <w:spacing w:line="185" w:lineRule="exact" w:before="34"/>
              <w:ind w:left="105"/>
              <w:rPr>
                <w:sz w:val="16"/>
              </w:rPr>
            </w:pPr>
            <w:r>
              <w:rPr>
                <w:sz w:val="16"/>
              </w:rPr>
              <w:t>大气压力 </w:t>
            </w:r>
          </w:p>
        </w:tc>
        <w:tc>
          <w:tcPr>
            <w:tcW w:w="1331" w:type="dxa"/>
            <w:gridSpan w:val="4"/>
          </w:tcPr>
          <w:p>
            <w:pPr>
              <w:pStyle w:val="TableParagraph"/>
              <w:spacing w:line="185" w:lineRule="exact" w:before="34"/>
              <w:ind w:right="24"/>
              <w:jc w:val="right"/>
              <w:rPr>
                <w:sz w:val="16"/>
              </w:rPr>
            </w:pPr>
            <w:r>
              <w:rPr>
                <w:sz w:val="16"/>
              </w:rPr>
              <w:t>Pa </w:t>
            </w:r>
          </w:p>
        </w:tc>
      </w:tr>
      <w:tr>
        <w:trPr>
          <w:trHeight w:val="239" w:hRule="atLeast"/>
        </w:trPr>
        <w:tc>
          <w:tcPr>
            <w:tcW w:w="696" w:type="dxa"/>
            <w:vMerge/>
            <w:tcBorders>
              <w:top w:val="nil"/>
            </w:tcBorders>
          </w:tcPr>
          <w:p>
            <w:pPr>
              <w:rPr>
                <w:sz w:val="2"/>
                <w:szCs w:val="2"/>
              </w:rPr>
            </w:pPr>
          </w:p>
        </w:tc>
        <w:tc>
          <w:tcPr>
            <w:tcW w:w="906" w:type="dxa"/>
            <w:gridSpan w:val="2"/>
          </w:tcPr>
          <w:p>
            <w:pPr>
              <w:pStyle w:val="TableParagraph"/>
              <w:spacing w:line="185" w:lineRule="exact" w:before="34"/>
              <w:ind w:left="107"/>
              <w:rPr>
                <w:sz w:val="16"/>
              </w:rPr>
            </w:pPr>
            <w:r>
              <w:rPr>
                <w:sz w:val="16"/>
              </w:rPr>
              <w:t>叶片数目 </w:t>
            </w:r>
          </w:p>
        </w:tc>
        <w:tc>
          <w:tcPr>
            <w:tcW w:w="856" w:type="dxa"/>
            <w:gridSpan w:val="2"/>
          </w:tcPr>
          <w:p>
            <w:pPr>
              <w:pStyle w:val="TableParagraph"/>
              <w:spacing w:line="185" w:lineRule="exact" w:before="34"/>
              <w:ind w:right="18"/>
              <w:jc w:val="right"/>
              <w:rPr>
                <w:sz w:val="16"/>
              </w:rPr>
            </w:pPr>
            <w:r>
              <w:rPr>
                <w:w w:val="100"/>
                <w:sz w:val="16"/>
              </w:rPr>
              <w:t> </w:t>
            </w:r>
          </w:p>
        </w:tc>
        <w:tc>
          <w:tcPr>
            <w:tcW w:w="780" w:type="dxa"/>
            <w:gridSpan w:val="2"/>
            <w:vMerge/>
            <w:tcBorders>
              <w:top w:val="nil"/>
            </w:tcBorders>
          </w:tcPr>
          <w:p>
            <w:pPr>
              <w:rPr>
                <w:sz w:val="2"/>
                <w:szCs w:val="2"/>
              </w:rPr>
            </w:pPr>
          </w:p>
        </w:tc>
        <w:tc>
          <w:tcPr>
            <w:tcW w:w="1872" w:type="dxa"/>
            <w:gridSpan w:val="5"/>
          </w:tcPr>
          <w:p>
            <w:pPr>
              <w:pStyle w:val="TableParagraph"/>
              <w:spacing w:line="185" w:lineRule="exact" w:before="34"/>
              <w:ind w:left="136"/>
              <w:rPr>
                <w:sz w:val="16"/>
              </w:rPr>
            </w:pPr>
            <w:r>
              <w:rPr>
                <w:sz w:val="16"/>
              </w:rPr>
              <w:t>测量风筒直径 </w:t>
            </w:r>
          </w:p>
        </w:tc>
        <w:tc>
          <w:tcPr>
            <w:tcW w:w="1203" w:type="dxa"/>
            <w:gridSpan w:val="3"/>
          </w:tcPr>
          <w:p>
            <w:pPr>
              <w:pStyle w:val="TableParagraph"/>
              <w:spacing w:line="185" w:lineRule="exact" w:before="34"/>
              <w:ind w:right="18"/>
              <w:jc w:val="right"/>
              <w:rPr>
                <w:sz w:val="16"/>
              </w:rPr>
            </w:pPr>
            <w:r>
              <w:rPr>
                <w:sz w:val="16"/>
              </w:rPr>
              <w:t>m </w:t>
            </w:r>
          </w:p>
        </w:tc>
        <w:tc>
          <w:tcPr>
            <w:tcW w:w="956" w:type="dxa"/>
            <w:gridSpan w:val="3"/>
          </w:tcPr>
          <w:p>
            <w:pPr>
              <w:pStyle w:val="TableParagraph"/>
              <w:spacing w:line="185" w:lineRule="exact" w:before="34"/>
              <w:ind w:left="105"/>
              <w:rPr>
                <w:sz w:val="16"/>
              </w:rPr>
            </w:pPr>
            <w:r>
              <w:rPr>
                <w:sz w:val="16"/>
              </w:rPr>
              <w:t>空气重度 </w:t>
            </w:r>
          </w:p>
        </w:tc>
        <w:tc>
          <w:tcPr>
            <w:tcW w:w="1331" w:type="dxa"/>
            <w:gridSpan w:val="4"/>
          </w:tcPr>
          <w:p>
            <w:pPr>
              <w:pStyle w:val="TableParagraph"/>
              <w:spacing w:line="185" w:lineRule="exact" w:before="34"/>
              <w:ind w:right="24"/>
              <w:jc w:val="right"/>
              <w:rPr>
                <w:sz w:val="16"/>
              </w:rPr>
            </w:pPr>
            <w:r>
              <w:rPr>
                <w:sz w:val="16"/>
              </w:rPr>
              <w:t>N/m³ </w:t>
            </w:r>
          </w:p>
        </w:tc>
      </w:tr>
      <w:tr>
        <w:trPr>
          <w:trHeight w:val="239" w:hRule="atLeast"/>
        </w:trPr>
        <w:tc>
          <w:tcPr>
            <w:tcW w:w="696" w:type="dxa"/>
            <w:vMerge/>
            <w:tcBorders>
              <w:top w:val="nil"/>
            </w:tcBorders>
          </w:tcPr>
          <w:p>
            <w:pPr>
              <w:rPr>
                <w:sz w:val="2"/>
                <w:szCs w:val="2"/>
              </w:rPr>
            </w:pPr>
          </w:p>
        </w:tc>
        <w:tc>
          <w:tcPr>
            <w:tcW w:w="906" w:type="dxa"/>
            <w:gridSpan w:val="2"/>
          </w:tcPr>
          <w:p>
            <w:pPr>
              <w:pStyle w:val="TableParagraph"/>
              <w:spacing w:line="185" w:lineRule="exact" w:before="34"/>
              <w:ind w:left="107"/>
              <w:rPr>
                <w:sz w:val="16"/>
              </w:rPr>
            </w:pPr>
            <w:r>
              <w:rPr>
                <w:w w:val="100"/>
                <w:sz w:val="16"/>
              </w:rPr>
              <w:t> </w:t>
            </w:r>
          </w:p>
        </w:tc>
        <w:tc>
          <w:tcPr>
            <w:tcW w:w="856" w:type="dxa"/>
            <w:gridSpan w:val="2"/>
          </w:tcPr>
          <w:p>
            <w:pPr>
              <w:pStyle w:val="TableParagraph"/>
              <w:spacing w:line="185" w:lineRule="exact" w:before="34"/>
              <w:ind w:right="18"/>
              <w:jc w:val="right"/>
              <w:rPr>
                <w:sz w:val="16"/>
              </w:rPr>
            </w:pPr>
            <w:r>
              <w:rPr>
                <w:w w:val="100"/>
                <w:sz w:val="16"/>
              </w:rPr>
              <w:t> </w:t>
            </w:r>
          </w:p>
        </w:tc>
        <w:tc>
          <w:tcPr>
            <w:tcW w:w="780" w:type="dxa"/>
            <w:gridSpan w:val="2"/>
            <w:vMerge/>
            <w:tcBorders>
              <w:top w:val="nil"/>
            </w:tcBorders>
          </w:tcPr>
          <w:p>
            <w:pPr>
              <w:rPr>
                <w:sz w:val="2"/>
                <w:szCs w:val="2"/>
              </w:rPr>
            </w:pPr>
          </w:p>
        </w:tc>
        <w:tc>
          <w:tcPr>
            <w:tcW w:w="1872" w:type="dxa"/>
            <w:gridSpan w:val="5"/>
          </w:tcPr>
          <w:p>
            <w:pPr>
              <w:pStyle w:val="TableParagraph"/>
              <w:spacing w:line="185" w:lineRule="exact" w:before="34"/>
              <w:ind w:left="136"/>
              <w:rPr>
                <w:sz w:val="16"/>
              </w:rPr>
            </w:pPr>
            <w:r>
              <w:rPr>
                <w:sz w:val="16"/>
              </w:rPr>
              <w:t>设备空载功率 </w:t>
            </w:r>
          </w:p>
        </w:tc>
        <w:tc>
          <w:tcPr>
            <w:tcW w:w="1203" w:type="dxa"/>
            <w:gridSpan w:val="3"/>
          </w:tcPr>
          <w:p>
            <w:pPr>
              <w:pStyle w:val="TableParagraph"/>
              <w:spacing w:line="185" w:lineRule="exact" w:before="34"/>
              <w:ind w:right="18"/>
              <w:jc w:val="right"/>
              <w:rPr>
                <w:sz w:val="16"/>
              </w:rPr>
            </w:pPr>
            <w:r>
              <w:rPr>
                <w:sz w:val="16"/>
              </w:rPr>
              <w:t>kW </w:t>
            </w:r>
          </w:p>
        </w:tc>
        <w:tc>
          <w:tcPr>
            <w:tcW w:w="956" w:type="dxa"/>
            <w:gridSpan w:val="3"/>
          </w:tcPr>
          <w:p>
            <w:pPr>
              <w:pStyle w:val="TableParagraph"/>
              <w:spacing w:line="185" w:lineRule="exact" w:before="34"/>
              <w:ind w:left="105"/>
              <w:rPr>
                <w:sz w:val="16"/>
              </w:rPr>
            </w:pPr>
            <w:r>
              <w:rPr>
                <w:sz w:val="16"/>
              </w:rPr>
              <w:t>空气密度 </w:t>
            </w:r>
          </w:p>
        </w:tc>
        <w:tc>
          <w:tcPr>
            <w:tcW w:w="1331" w:type="dxa"/>
            <w:gridSpan w:val="4"/>
          </w:tcPr>
          <w:p>
            <w:pPr>
              <w:pStyle w:val="TableParagraph"/>
              <w:spacing w:line="185" w:lineRule="exact" w:before="34"/>
              <w:ind w:left="813"/>
              <w:rPr>
                <w:sz w:val="16"/>
              </w:rPr>
            </w:pPr>
            <w:r>
              <w:rPr>
                <w:sz w:val="16"/>
              </w:rPr>
              <w:t>kg/m³ </w:t>
            </w:r>
          </w:p>
        </w:tc>
      </w:tr>
      <w:tr>
        <w:trPr>
          <w:trHeight w:val="239" w:hRule="atLeast"/>
        </w:trPr>
        <w:tc>
          <w:tcPr>
            <w:tcW w:w="696" w:type="dxa"/>
            <w:vMerge w:val="restart"/>
          </w:tcPr>
          <w:p>
            <w:pPr>
              <w:pStyle w:val="TableParagraph"/>
              <w:spacing w:before="10"/>
              <w:rPr>
                <w:sz w:val="21"/>
              </w:rPr>
            </w:pPr>
          </w:p>
          <w:p>
            <w:pPr>
              <w:pStyle w:val="TableParagraph"/>
              <w:ind w:left="107"/>
              <w:rPr>
                <w:sz w:val="16"/>
              </w:rPr>
            </w:pPr>
            <w:r>
              <w:rPr>
                <w:sz w:val="16"/>
              </w:rPr>
              <w:t>工况点 </w:t>
            </w:r>
          </w:p>
        </w:tc>
        <w:tc>
          <w:tcPr>
            <w:tcW w:w="1762" w:type="dxa"/>
            <w:gridSpan w:val="4"/>
          </w:tcPr>
          <w:p>
            <w:pPr>
              <w:pStyle w:val="TableParagraph"/>
              <w:spacing w:line="185" w:lineRule="exact" w:before="34"/>
              <w:ind w:left="558"/>
              <w:rPr>
                <w:sz w:val="16"/>
              </w:rPr>
            </w:pPr>
            <w:r>
              <w:rPr>
                <w:sz w:val="16"/>
              </w:rPr>
              <w:t>测定数据 </w:t>
            </w:r>
          </w:p>
        </w:tc>
        <w:tc>
          <w:tcPr>
            <w:tcW w:w="3855" w:type="dxa"/>
            <w:gridSpan w:val="10"/>
          </w:tcPr>
          <w:p>
            <w:pPr>
              <w:pStyle w:val="TableParagraph"/>
              <w:spacing w:line="185" w:lineRule="exact" w:before="34"/>
              <w:ind w:left="1623" w:right="1541"/>
              <w:jc w:val="center"/>
              <w:rPr>
                <w:sz w:val="16"/>
              </w:rPr>
            </w:pPr>
            <w:r>
              <w:rPr>
                <w:sz w:val="16"/>
              </w:rPr>
              <w:t>运算数据 </w:t>
            </w:r>
          </w:p>
        </w:tc>
        <w:tc>
          <w:tcPr>
            <w:tcW w:w="2287" w:type="dxa"/>
            <w:gridSpan w:val="7"/>
          </w:tcPr>
          <w:p>
            <w:pPr>
              <w:pStyle w:val="TableParagraph"/>
              <w:spacing w:line="185" w:lineRule="exact" w:before="34"/>
              <w:ind w:left="417"/>
              <w:rPr>
                <w:sz w:val="16"/>
              </w:rPr>
            </w:pPr>
            <w:r>
              <w:rPr>
                <w:sz w:val="16"/>
              </w:rPr>
              <w:t>换算成标准状态数据 </w:t>
            </w:r>
          </w:p>
        </w:tc>
      </w:tr>
      <w:tr>
        <w:trPr>
          <w:trHeight w:val="480" w:hRule="atLeast"/>
        </w:trPr>
        <w:tc>
          <w:tcPr>
            <w:tcW w:w="696" w:type="dxa"/>
            <w:vMerge/>
            <w:tcBorders>
              <w:top w:val="nil"/>
            </w:tcBorders>
          </w:tcPr>
          <w:p>
            <w:pPr>
              <w:rPr>
                <w:sz w:val="2"/>
                <w:szCs w:val="2"/>
              </w:rPr>
            </w:pPr>
          </w:p>
        </w:tc>
        <w:tc>
          <w:tcPr>
            <w:tcW w:w="430" w:type="dxa"/>
          </w:tcPr>
          <w:p>
            <w:pPr>
              <w:pStyle w:val="TableParagraph"/>
              <w:spacing w:before="1"/>
              <w:rPr>
                <w:sz w:val="12"/>
              </w:rPr>
            </w:pPr>
          </w:p>
          <w:p>
            <w:pPr>
              <w:pStyle w:val="TableParagraph"/>
              <w:ind w:left="107"/>
              <w:rPr>
                <w:sz w:val="16"/>
              </w:rPr>
            </w:pPr>
            <w:r>
              <w:rPr>
                <w:sz w:val="16"/>
              </w:rPr>
              <w:t>n </w:t>
            </w:r>
          </w:p>
        </w:tc>
        <w:tc>
          <w:tcPr>
            <w:tcW w:w="476" w:type="dxa"/>
          </w:tcPr>
          <w:p>
            <w:pPr>
              <w:pStyle w:val="TableParagraph"/>
              <w:rPr>
                <w:sz w:val="12"/>
              </w:rPr>
            </w:pPr>
          </w:p>
          <w:p>
            <w:pPr>
              <w:pStyle w:val="TableParagraph"/>
              <w:ind w:left="129" w:right="177"/>
              <w:jc w:val="center"/>
              <w:rPr>
                <w:sz w:val="16"/>
              </w:rPr>
            </w:pPr>
            <w:r>
              <w:rPr>
                <w:position w:val="1"/>
                <w:sz w:val="16"/>
              </w:rPr>
              <w:t>N</w:t>
            </w:r>
            <w:r>
              <w:rPr>
                <w:sz w:val="8"/>
              </w:rPr>
              <w:t>i</w:t>
            </w:r>
            <w:r>
              <w:rPr>
                <w:w w:val="100"/>
                <w:position w:val="1"/>
                <w:sz w:val="16"/>
              </w:rPr>
              <w:t> </w:t>
            </w:r>
          </w:p>
        </w:tc>
        <w:tc>
          <w:tcPr>
            <w:tcW w:w="428" w:type="dxa"/>
            <w:tcBorders>
              <w:right w:val="single" w:sz="6" w:space="0" w:color="000000"/>
            </w:tcBorders>
          </w:tcPr>
          <w:p>
            <w:pPr>
              <w:pStyle w:val="TableParagraph"/>
              <w:rPr>
                <w:sz w:val="12"/>
              </w:rPr>
            </w:pPr>
          </w:p>
          <w:p>
            <w:pPr>
              <w:pStyle w:val="TableParagraph"/>
              <w:ind w:left="105" w:right="150"/>
              <w:jc w:val="center"/>
              <w:rPr>
                <w:sz w:val="8"/>
              </w:rPr>
            </w:pPr>
            <w:r>
              <w:rPr>
                <w:position w:val="1"/>
                <w:sz w:val="16"/>
              </w:rPr>
              <w:t>P</w:t>
            </w:r>
            <w:r>
              <w:rPr>
                <w:sz w:val="8"/>
              </w:rPr>
              <w:t>e </w:t>
            </w:r>
          </w:p>
        </w:tc>
        <w:tc>
          <w:tcPr>
            <w:tcW w:w="428" w:type="dxa"/>
            <w:tcBorders>
              <w:left w:val="single" w:sz="6" w:space="0" w:color="000000"/>
            </w:tcBorders>
          </w:tcPr>
          <w:p>
            <w:pPr>
              <w:pStyle w:val="TableParagraph"/>
              <w:rPr>
                <w:sz w:val="12"/>
              </w:rPr>
            </w:pPr>
          </w:p>
          <w:p>
            <w:pPr>
              <w:pStyle w:val="TableParagraph"/>
              <w:ind w:left="101"/>
              <w:rPr>
                <w:sz w:val="16"/>
              </w:rPr>
            </w:pPr>
            <w:r>
              <w:rPr>
                <w:position w:val="1"/>
                <w:sz w:val="16"/>
              </w:rPr>
              <w:t>P</w:t>
            </w:r>
            <w:r>
              <w:rPr>
                <w:sz w:val="8"/>
              </w:rPr>
              <w:t>d</w:t>
            </w:r>
            <w:r>
              <w:rPr>
                <w:w w:val="100"/>
                <w:position w:val="1"/>
                <w:sz w:val="16"/>
              </w:rPr>
              <w:t> </w:t>
            </w:r>
          </w:p>
        </w:tc>
        <w:tc>
          <w:tcPr>
            <w:tcW w:w="377" w:type="dxa"/>
          </w:tcPr>
          <w:p>
            <w:pPr>
              <w:pStyle w:val="TableParagraph"/>
              <w:spacing w:before="1"/>
              <w:rPr>
                <w:sz w:val="12"/>
              </w:rPr>
            </w:pPr>
          </w:p>
          <w:p>
            <w:pPr>
              <w:pStyle w:val="TableParagraph"/>
              <w:ind w:left="105"/>
              <w:rPr>
                <w:sz w:val="16"/>
              </w:rPr>
            </w:pPr>
            <w:r>
              <w:rPr>
                <w:sz w:val="16"/>
              </w:rPr>
              <w:t>△ </w:t>
            </w:r>
          </w:p>
        </w:tc>
        <w:tc>
          <w:tcPr>
            <w:tcW w:w="403" w:type="dxa"/>
          </w:tcPr>
          <w:p>
            <w:pPr>
              <w:pStyle w:val="TableParagraph"/>
              <w:spacing w:before="34"/>
              <w:ind w:left="105"/>
              <w:rPr>
                <w:sz w:val="8"/>
              </w:rPr>
            </w:pPr>
            <w:r>
              <w:rPr>
                <w:position w:val="1"/>
                <w:sz w:val="16"/>
              </w:rPr>
              <w:t>P</w:t>
            </w:r>
            <w:r>
              <w:rPr>
                <w:sz w:val="8"/>
              </w:rPr>
              <w:t>s</w:t>
            </w:r>
          </w:p>
          <w:p>
            <w:pPr>
              <w:pStyle w:val="TableParagraph"/>
              <w:spacing w:line="96" w:lineRule="exact" w:before="125"/>
              <w:ind w:left="105"/>
              <w:rPr>
                <w:sz w:val="16"/>
              </w:rPr>
            </w:pPr>
            <w:r>
              <w:rPr>
                <w:sz w:val="8"/>
              </w:rPr>
              <w:t>t</w:t>
            </w:r>
            <w:r>
              <w:rPr>
                <w:w w:val="100"/>
                <w:position w:val="1"/>
                <w:sz w:val="16"/>
              </w:rPr>
              <w:t> </w:t>
            </w:r>
          </w:p>
        </w:tc>
        <w:tc>
          <w:tcPr>
            <w:tcW w:w="276" w:type="dxa"/>
          </w:tcPr>
          <w:p>
            <w:pPr>
              <w:pStyle w:val="TableParagraph"/>
              <w:spacing w:before="1"/>
              <w:rPr>
                <w:sz w:val="12"/>
              </w:rPr>
            </w:pPr>
          </w:p>
          <w:p>
            <w:pPr>
              <w:pStyle w:val="TableParagraph"/>
              <w:ind w:left="71"/>
              <w:rPr>
                <w:sz w:val="16"/>
              </w:rPr>
            </w:pPr>
            <w:r>
              <w:rPr>
                <w:sz w:val="16"/>
              </w:rPr>
              <w:t>p </w:t>
            </w:r>
          </w:p>
        </w:tc>
        <w:tc>
          <w:tcPr>
            <w:tcW w:w="499" w:type="dxa"/>
          </w:tcPr>
          <w:p>
            <w:pPr>
              <w:pStyle w:val="TableParagraph"/>
              <w:spacing w:before="5"/>
              <w:rPr>
                <w:sz w:val="13"/>
              </w:rPr>
            </w:pPr>
          </w:p>
          <w:p>
            <w:pPr>
              <w:pStyle w:val="TableParagraph"/>
              <w:spacing w:before="1"/>
              <w:ind w:left="105"/>
              <w:rPr>
                <w:sz w:val="16"/>
              </w:rPr>
            </w:pPr>
            <w:r>
              <w:rPr>
                <w:rFonts w:ascii="Cambria Math" w:hAnsi="Cambria Math"/>
                <w:sz w:val="16"/>
              </w:rPr>
              <w:t>√pd</w:t>
            </w:r>
            <w:r>
              <w:rPr>
                <w:sz w:val="16"/>
              </w:rPr>
              <w:t> </w:t>
            </w:r>
          </w:p>
        </w:tc>
        <w:tc>
          <w:tcPr>
            <w:tcW w:w="338" w:type="dxa"/>
          </w:tcPr>
          <w:p>
            <w:pPr>
              <w:pStyle w:val="TableParagraph"/>
              <w:spacing w:before="1"/>
              <w:rPr>
                <w:sz w:val="12"/>
              </w:rPr>
            </w:pPr>
          </w:p>
          <w:p>
            <w:pPr>
              <w:pStyle w:val="TableParagraph"/>
              <w:ind w:left="105"/>
              <w:rPr>
                <w:sz w:val="16"/>
              </w:rPr>
            </w:pPr>
            <w:r>
              <w:rPr>
                <w:sz w:val="16"/>
              </w:rPr>
              <w:t>Q </w:t>
            </w:r>
          </w:p>
        </w:tc>
        <w:tc>
          <w:tcPr>
            <w:tcW w:w="334" w:type="dxa"/>
          </w:tcPr>
          <w:p>
            <w:pPr>
              <w:pStyle w:val="TableParagraph"/>
              <w:spacing w:before="1"/>
              <w:rPr>
                <w:sz w:val="12"/>
              </w:rPr>
            </w:pPr>
          </w:p>
          <w:p>
            <w:pPr>
              <w:pStyle w:val="TableParagraph"/>
              <w:ind w:left="123" w:right="80"/>
              <w:jc w:val="center"/>
              <w:rPr>
                <w:sz w:val="16"/>
              </w:rPr>
            </w:pPr>
            <w:r>
              <w:rPr>
                <w:sz w:val="16"/>
              </w:rPr>
              <w:t>N </w:t>
            </w:r>
          </w:p>
        </w:tc>
        <w:tc>
          <w:tcPr>
            <w:tcW w:w="425" w:type="dxa"/>
          </w:tcPr>
          <w:p>
            <w:pPr>
              <w:pStyle w:val="TableParagraph"/>
              <w:rPr>
                <w:sz w:val="12"/>
              </w:rPr>
            </w:pPr>
          </w:p>
          <w:p>
            <w:pPr>
              <w:pStyle w:val="TableParagraph"/>
              <w:ind w:left="125" w:right="130"/>
              <w:jc w:val="center"/>
              <w:rPr>
                <w:sz w:val="16"/>
              </w:rPr>
            </w:pPr>
            <w:r>
              <w:rPr>
                <w:position w:val="1"/>
                <w:sz w:val="16"/>
              </w:rPr>
              <w:t>N</w:t>
            </w:r>
            <w:r>
              <w:rPr>
                <w:sz w:val="8"/>
              </w:rPr>
              <w:t>1</w:t>
            </w:r>
            <w:r>
              <w:rPr>
                <w:w w:val="100"/>
                <w:position w:val="1"/>
                <w:sz w:val="16"/>
              </w:rPr>
              <w:t> </w:t>
            </w:r>
          </w:p>
        </w:tc>
        <w:tc>
          <w:tcPr>
            <w:tcW w:w="403" w:type="dxa"/>
          </w:tcPr>
          <w:p>
            <w:pPr>
              <w:pStyle w:val="TableParagraph"/>
              <w:spacing w:before="1"/>
              <w:rPr>
                <w:sz w:val="12"/>
              </w:rPr>
            </w:pPr>
          </w:p>
          <w:p>
            <w:pPr>
              <w:pStyle w:val="TableParagraph"/>
              <w:ind w:left="105"/>
              <w:rPr>
                <w:sz w:val="16"/>
              </w:rPr>
            </w:pPr>
            <w:r>
              <w:rPr>
                <w:sz w:val="16"/>
              </w:rPr>
              <w:t>η </w:t>
            </w:r>
          </w:p>
        </w:tc>
        <w:tc>
          <w:tcPr>
            <w:tcW w:w="485" w:type="dxa"/>
          </w:tcPr>
          <w:p>
            <w:pPr>
              <w:pStyle w:val="TableParagraph"/>
              <w:spacing w:before="1"/>
              <w:rPr>
                <w:sz w:val="12"/>
              </w:rPr>
            </w:pPr>
          </w:p>
          <w:p>
            <w:pPr>
              <w:pStyle w:val="TableParagraph"/>
              <w:ind w:left="106"/>
              <w:rPr>
                <w:sz w:val="16"/>
              </w:rPr>
            </w:pPr>
            <w:r>
              <w:rPr>
                <w:sz w:val="16"/>
              </w:rPr>
              <w:t>N‘1 </w:t>
            </w:r>
          </w:p>
        </w:tc>
        <w:tc>
          <w:tcPr>
            <w:tcW w:w="402" w:type="dxa"/>
            <w:gridSpan w:val="2"/>
          </w:tcPr>
          <w:p>
            <w:pPr>
              <w:pStyle w:val="TableParagraph"/>
              <w:spacing w:before="34"/>
              <w:ind w:left="105"/>
              <w:rPr>
                <w:sz w:val="16"/>
              </w:rPr>
            </w:pPr>
            <w:r>
              <w:rPr>
                <w:w w:val="100"/>
                <w:sz w:val="16"/>
              </w:rPr>
              <w:t>η</w:t>
            </w:r>
          </w:p>
          <w:p>
            <w:pPr>
              <w:pStyle w:val="TableParagraph"/>
              <w:spacing w:line="96" w:lineRule="exact" w:before="125"/>
              <w:ind w:left="105"/>
              <w:rPr>
                <w:sz w:val="16"/>
              </w:rPr>
            </w:pPr>
            <w:r>
              <w:rPr>
                <w:sz w:val="8"/>
              </w:rPr>
              <w:t>d</w:t>
            </w:r>
            <w:r>
              <w:rPr>
                <w:w w:val="100"/>
                <w:position w:val="1"/>
                <w:sz w:val="16"/>
              </w:rPr>
              <w:t> </w:t>
            </w:r>
          </w:p>
        </w:tc>
        <w:tc>
          <w:tcPr>
            <w:tcW w:w="536" w:type="dxa"/>
          </w:tcPr>
          <w:p>
            <w:pPr>
              <w:pStyle w:val="TableParagraph"/>
              <w:rPr>
                <w:sz w:val="12"/>
              </w:rPr>
            </w:pPr>
          </w:p>
          <w:p>
            <w:pPr>
              <w:pStyle w:val="TableParagraph"/>
              <w:ind w:left="104"/>
              <w:rPr>
                <w:sz w:val="16"/>
              </w:rPr>
            </w:pPr>
            <w:r>
              <w:rPr>
                <w:position w:val="1"/>
                <w:sz w:val="16"/>
              </w:rPr>
              <w:t>P</w:t>
            </w:r>
            <w:r>
              <w:rPr>
                <w:sz w:val="8"/>
              </w:rPr>
              <w:t>at1</w:t>
            </w:r>
            <w:r>
              <w:rPr>
                <w:w w:val="100"/>
                <w:position w:val="1"/>
                <w:sz w:val="16"/>
              </w:rPr>
              <w:t> </w:t>
            </w:r>
          </w:p>
        </w:tc>
        <w:tc>
          <w:tcPr>
            <w:tcW w:w="423" w:type="dxa"/>
            <w:gridSpan w:val="2"/>
          </w:tcPr>
          <w:p>
            <w:pPr>
              <w:pStyle w:val="TableParagraph"/>
              <w:rPr>
                <w:sz w:val="12"/>
              </w:rPr>
            </w:pPr>
          </w:p>
          <w:p>
            <w:pPr>
              <w:pStyle w:val="TableParagraph"/>
              <w:ind w:left="101"/>
              <w:rPr>
                <w:sz w:val="16"/>
              </w:rPr>
            </w:pPr>
            <w:r>
              <w:rPr>
                <w:position w:val="1"/>
                <w:sz w:val="16"/>
              </w:rPr>
              <w:t>P</w:t>
            </w:r>
            <w:r>
              <w:rPr>
                <w:sz w:val="8"/>
              </w:rPr>
              <w:t>d1</w:t>
            </w:r>
            <w:r>
              <w:rPr>
                <w:w w:val="100"/>
                <w:position w:val="1"/>
                <w:sz w:val="16"/>
              </w:rPr>
              <w:t> </w:t>
            </w:r>
          </w:p>
        </w:tc>
        <w:tc>
          <w:tcPr>
            <w:tcW w:w="409" w:type="dxa"/>
          </w:tcPr>
          <w:p>
            <w:pPr>
              <w:pStyle w:val="TableParagraph"/>
              <w:rPr>
                <w:sz w:val="12"/>
              </w:rPr>
            </w:pPr>
          </w:p>
          <w:p>
            <w:pPr>
              <w:pStyle w:val="TableParagraph"/>
              <w:ind w:left="99"/>
              <w:rPr>
                <w:sz w:val="16"/>
              </w:rPr>
            </w:pPr>
            <w:r>
              <w:rPr>
                <w:position w:val="1"/>
                <w:sz w:val="16"/>
              </w:rPr>
              <w:t>P</w:t>
            </w:r>
            <w:r>
              <w:rPr>
                <w:sz w:val="8"/>
              </w:rPr>
              <w:t>1</w:t>
            </w:r>
            <w:r>
              <w:rPr>
                <w:w w:val="100"/>
                <w:position w:val="1"/>
                <w:sz w:val="16"/>
              </w:rPr>
              <w:t> </w:t>
            </w:r>
          </w:p>
        </w:tc>
        <w:tc>
          <w:tcPr>
            <w:tcW w:w="416" w:type="dxa"/>
          </w:tcPr>
          <w:p>
            <w:pPr>
              <w:pStyle w:val="TableParagraph"/>
              <w:rPr>
                <w:sz w:val="12"/>
              </w:rPr>
            </w:pPr>
          </w:p>
          <w:p>
            <w:pPr>
              <w:pStyle w:val="TableParagraph"/>
              <w:ind w:left="100"/>
              <w:rPr>
                <w:sz w:val="16"/>
              </w:rPr>
            </w:pPr>
            <w:r>
              <w:rPr>
                <w:position w:val="1"/>
                <w:sz w:val="16"/>
              </w:rPr>
              <w:t>N</w:t>
            </w:r>
            <w:r>
              <w:rPr>
                <w:sz w:val="8"/>
              </w:rPr>
              <w:t>1</w:t>
            </w:r>
            <w:r>
              <w:rPr>
                <w:w w:val="100"/>
                <w:position w:val="1"/>
                <w:sz w:val="16"/>
              </w:rPr>
              <w:t> </w:t>
            </w:r>
          </w:p>
        </w:tc>
        <w:tc>
          <w:tcPr>
            <w:tcW w:w="416" w:type="dxa"/>
          </w:tcPr>
          <w:p>
            <w:pPr>
              <w:pStyle w:val="TableParagraph"/>
              <w:rPr>
                <w:sz w:val="12"/>
              </w:rPr>
            </w:pPr>
          </w:p>
          <w:p>
            <w:pPr>
              <w:pStyle w:val="TableParagraph"/>
              <w:ind w:left="97"/>
              <w:rPr>
                <w:sz w:val="16"/>
              </w:rPr>
            </w:pPr>
            <w:r>
              <w:rPr>
                <w:position w:val="1"/>
                <w:sz w:val="16"/>
              </w:rPr>
              <w:t>Q</w:t>
            </w:r>
            <w:r>
              <w:rPr>
                <w:sz w:val="8"/>
              </w:rPr>
              <w:t>1</w:t>
            </w:r>
            <w:r>
              <w:rPr>
                <w:w w:val="100"/>
                <w:position w:val="1"/>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全闭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41" w:hRule="atLeast"/>
        </w:trPr>
        <w:tc>
          <w:tcPr>
            <w:tcW w:w="696" w:type="dxa"/>
          </w:tcPr>
          <w:p>
            <w:pPr>
              <w:pStyle w:val="TableParagraph"/>
              <w:spacing w:line="185" w:lineRule="exact" w:before="36"/>
              <w:ind w:left="206" w:right="119"/>
              <w:jc w:val="center"/>
              <w:rPr>
                <w:sz w:val="16"/>
              </w:rPr>
            </w:pPr>
            <w:r>
              <w:rPr>
                <w:sz w:val="16"/>
              </w:rPr>
              <w:t>1 </w:t>
            </w:r>
          </w:p>
        </w:tc>
        <w:tc>
          <w:tcPr>
            <w:tcW w:w="430" w:type="dxa"/>
          </w:tcPr>
          <w:p>
            <w:pPr>
              <w:pStyle w:val="TableParagraph"/>
              <w:spacing w:line="185" w:lineRule="exact" w:before="36"/>
              <w:ind w:left="107"/>
              <w:rPr>
                <w:sz w:val="16"/>
              </w:rPr>
            </w:pPr>
            <w:r>
              <w:rPr>
                <w:w w:val="100"/>
                <w:sz w:val="16"/>
              </w:rPr>
              <w:t> </w:t>
            </w:r>
          </w:p>
        </w:tc>
        <w:tc>
          <w:tcPr>
            <w:tcW w:w="476" w:type="dxa"/>
          </w:tcPr>
          <w:p>
            <w:pPr>
              <w:pStyle w:val="TableParagraph"/>
              <w:spacing w:line="185" w:lineRule="exact" w:before="36"/>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6"/>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6"/>
              <w:ind w:left="101"/>
              <w:rPr>
                <w:sz w:val="16"/>
              </w:rPr>
            </w:pPr>
            <w:r>
              <w:rPr>
                <w:w w:val="100"/>
                <w:sz w:val="16"/>
              </w:rPr>
              <w:t> </w:t>
            </w:r>
          </w:p>
        </w:tc>
        <w:tc>
          <w:tcPr>
            <w:tcW w:w="377" w:type="dxa"/>
          </w:tcPr>
          <w:p>
            <w:pPr>
              <w:pStyle w:val="TableParagraph"/>
              <w:spacing w:line="185" w:lineRule="exact" w:before="36"/>
              <w:ind w:left="105"/>
              <w:rPr>
                <w:sz w:val="16"/>
              </w:rPr>
            </w:pPr>
            <w:r>
              <w:rPr>
                <w:w w:val="100"/>
                <w:sz w:val="16"/>
              </w:rPr>
              <w:t> </w:t>
            </w:r>
          </w:p>
        </w:tc>
        <w:tc>
          <w:tcPr>
            <w:tcW w:w="403" w:type="dxa"/>
          </w:tcPr>
          <w:p>
            <w:pPr>
              <w:pStyle w:val="TableParagraph"/>
              <w:spacing w:line="185" w:lineRule="exact" w:before="36"/>
              <w:ind w:left="105"/>
              <w:rPr>
                <w:sz w:val="16"/>
              </w:rPr>
            </w:pPr>
            <w:r>
              <w:rPr>
                <w:w w:val="100"/>
                <w:sz w:val="16"/>
              </w:rPr>
              <w:t> </w:t>
            </w:r>
          </w:p>
        </w:tc>
        <w:tc>
          <w:tcPr>
            <w:tcW w:w="276" w:type="dxa"/>
          </w:tcPr>
          <w:p>
            <w:pPr>
              <w:pStyle w:val="TableParagraph"/>
              <w:spacing w:line="195" w:lineRule="exact" w:before="26"/>
              <w:ind w:left="71"/>
              <w:rPr>
                <w:i/>
                <w:sz w:val="17"/>
              </w:rPr>
            </w:pPr>
            <w:r>
              <w:rPr>
                <w:i/>
                <w:w w:val="94"/>
                <w:sz w:val="17"/>
              </w:rPr>
              <w:t> </w:t>
            </w:r>
          </w:p>
        </w:tc>
        <w:tc>
          <w:tcPr>
            <w:tcW w:w="499" w:type="dxa"/>
          </w:tcPr>
          <w:p>
            <w:pPr>
              <w:pStyle w:val="TableParagraph"/>
              <w:spacing w:line="185" w:lineRule="exact" w:before="36"/>
              <w:ind w:left="105"/>
              <w:rPr>
                <w:sz w:val="16"/>
              </w:rPr>
            </w:pPr>
            <w:r>
              <w:rPr>
                <w:w w:val="100"/>
                <w:sz w:val="16"/>
              </w:rPr>
              <w:t> </w:t>
            </w:r>
          </w:p>
        </w:tc>
        <w:tc>
          <w:tcPr>
            <w:tcW w:w="338" w:type="dxa"/>
          </w:tcPr>
          <w:p>
            <w:pPr>
              <w:pStyle w:val="TableParagraph"/>
              <w:spacing w:line="185" w:lineRule="exact" w:before="36"/>
              <w:ind w:left="105"/>
              <w:rPr>
                <w:sz w:val="16"/>
              </w:rPr>
            </w:pPr>
            <w:r>
              <w:rPr>
                <w:w w:val="100"/>
                <w:sz w:val="16"/>
              </w:rPr>
              <w:t> </w:t>
            </w:r>
          </w:p>
        </w:tc>
        <w:tc>
          <w:tcPr>
            <w:tcW w:w="334" w:type="dxa"/>
          </w:tcPr>
          <w:p>
            <w:pPr>
              <w:pStyle w:val="TableParagraph"/>
              <w:spacing w:line="185" w:lineRule="exact" w:before="36"/>
              <w:ind w:right="34"/>
              <w:jc w:val="center"/>
              <w:rPr>
                <w:sz w:val="16"/>
              </w:rPr>
            </w:pPr>
            <w:r>
              <w:rPr>
                <w:w w:val="100"/>
                <w:sz w:val="16"/>
              </w:rPr>
              <w:t> </w:t>
            </w:r>
          </w:p>
        </w:tc>
        <w:tc>
          <w:tcPr>
            <w:tcW w:w="425" w:type="dxa"/>
          </w:tcPr>
          <w:p>
            <w:pPr>
              <w:pStyle w:val="TableParagraph"/>
              <w:spacing w:line="185" w:lineRule="exact" w:before="36"/>
              <w:ind w:right="125"/>
              <w:jc w:val="center"/>
              <w:rPr>
                <w:sz w:val="16"/>
              </w:rPr>
            </w:pPr>
            <w:r>
              <w:rPr>
                <w:w w:val="100"/>
                <w:sz w:val="16"/>
              </w:rPr>
              <w:t> </w:t>
            </w:r>
          </w:p>
        </w:tc>
        <w:tc>
          <w:tcPr>
            <w:tcW w:w="403" w:type="dxa"/>
          </w:tcPr>
          <w:p>
            <w:pPr>
              <w:pStyle w:val="TableParagraph"/>
              <w:spacing w:line="185" w:lineRule="exact" w:before="36"/>
              <w:ind w:left="105"/>
              <w:rPr>
                <w:sz w:val="16"/>
              </w:rPr>
            </w:pPr>
            <w:r>
              <w:rPr>
                <w:w w:val="100"/>
                <w:sz w:val="16"/>
              </w:rPr>
              <w:t> </w:t>
            </w:r>
          </w:p>
        </w:tc>
        <w:tc>
          <w:tcPr>
            <w:tcW w:w="485" w:type="dxa"/>
          </w:tcPr>
          <w:p>
            <w:pPr>
              <w:pStyle w:val="TableParagraph"/>
              <w:spacing w:line="185" w:lineRule="exact" w:before="36"/>
              <w:ind w:left="106"/>
              <w:rPr>
                <w:sz w:val="16"/>
              </w:rPr>
            </w:pPr>
            <w:r>
              <w:rPr>
                <w:w w:val="100"/>
                <w:sz w:val="16"/>
              </w:rPr>
              <w:t> </w:t>
            </w:r>
          </w:p>
        </w:tc>
        <w:tc>
          <w:tcPr>
            <w:tcW w:w="402" w:type="dxa"/>
            <w:gridSpan w:val="2"/>
          </w:tcPr>
          <w:p>
            <w:pPr>
              <w:pStyle w:val="TableParagraph"/>
              <w:spacing w:line="185" w:lineRule="exact" w:before="36"/>
              <w:ind w:left="105"/>
              <w:rPr>
                <w:sz w:val="16"/>
              </w:rPr>
            </w:pPr>
            <w:r>
              <w:rPr>
                <w:w w:val="100"/>
                <w:sz w:val="16"/>
              </w:rPr>
              <w:t> </w:t>
            </w:r>
          </w:p>
        </w:tc>
        <w:tc>
          <w:tcPr>
            <w:tcW w:w="536" w:type="dxa"/>
          </w:tcPr>
          <w:p>
            <w:pPr>
              <w:pStyle w:val="TableParagraph"/>
              <w:spacing w:line="185" w:lineRule="exact" w:before="36"/>
              <w:ind w:left="104"/>
              <w:rPr>
                <w:sz w:val="16"/>
              </w:rPr>
            </w:pPr>
            <w:r>
              <w:rPr>
                <w:w w:val="100"/>
                <w:sz w:val="16"/>
              </w:rPr>
              <w:t> </w:t>
            </w:r>
          </w:p>
        </w:tc>
        <w:tc>
          <w:tcPr>
            <w:tcW w:w="423" w:type="dxa"/>
            <w:gridSpan w:val="2"/>
          </w:tcPr>
          <w:p>
            <w:pPr>
              <w:pStyle w:val="TableParagraph"/>
              <w:spacing w:line="185" w:lineRule="exact" w:before="36"/>
              <w:ind w:left="101"/>
              <w:rPr>
                <w:sz w:val="16"/>
              </w:rPr>
            </w:pPr>
            <w:r>
              <w:rPr>
                <w:w w:val="100"/>
                <w:sz w:val="16"/>
              </w:rPr>
              <w:t> </w:t>
            </w:r>
          </w:p>
        </w:tc>
        <w:tc>
          <w:tcPr>
            <w:tcW w:w="409" w:type="dxa"/>
          </w:tcPr>
          <w:p>
            <w:pPr>
              <w:pStyle w:val="TableParagraph"/>
              <w:spacing w:line="185" w:lineRule="exact" w:before="36"/>
              <w:ind w:left="99"/>
              <w:rPr>
                <w:sz w:val="16"/>
              </w:rPr>
            </w:pPr>
            <w:r>
              <w:rPr>
                <w:w w:val="100"/>
                <w:sz w:val="16"/>
              </w:rPr>
              <w:t> </w:t>
            </w:r>
          </w:p>
        </w:tc>
        <w:tc>
          <w:tcPr>
            <w:tcW w:w="416" w:type="dxa"/>
          </w:tcPr>
          <w:p>
            <w:pPr>
              <w:pStyle w:val="TableParagraph"/>
              <w:spacing w:line="185" w:lineRule="exact" w:before="36"/>
              <w:ind w:left="100"/>
              <w:rPr>
                <w:sz w:val="16"/>
              </w:rPr>
            </w:pPr>
            <w:r>
              <w:rPr>
                <w:w w:val="100"/>
                <w:sz w:val="16"/>
              </w:rPr>
              <w:t> </w:t>
            </w:r>
          </w:p>
        </w:tc>
        <w:tc>
          <w:tcPr>
            <w:tcW w:w="416" w:type="dxa"/>
          </w:tcPr>
          <w:p>
            <w:pPr>
              <w:pStyle w:val="TableParagraph"/>
              <w:spacing w:line="185" w:lineRule="exact" w:before="36"/>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2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3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4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5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6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42" w:hRule="atLeast"/>
        </w:trPr>
        <w:tc>
          <w:tcPr>
            <w:tcW w:w="696" w:type="dxa"/>
          </w:tcPr>
          <w:p>
            <w:pPr>
              <w:pStyle w:val="TableParagraph"/>
              <w:spacing w:line="185" w:lineRule="exact" w:before="36"/>
              <w:ind w:left="206" w:right="119"/>
              <w:jc w:val="center"/>
              <w:rPr>
                <w:sz w:val="16"/>
              </w:rPr>
            </w:pPr>
            <w:r>
              <w:rPr>
                <w:sz w:val="16"/>
              </w:rPr>
              <w:t>7 </w:t>
            </w:r>
          </w:p>
        </w:tc>
        <w:tc>
          <w:tcPr>
            <w:tcW w:w="430" w:type="dxa"/>
          </w:tcPr>
          <w:p>
            <w:pPr>
              <w:pStyle w:val="TableParagraph"/>
              <w:spacing w:line="185" w:lineRule="exact" w:before="36"/>
              <w:ind w:left="107"/>
              <w:rPr>
                <w:sz w:val="16"/>
              </w:rPr>
            </w:pPr>
            <w:r>
              <w:rPr>
                <w:w w:val="100"/>
                <w:sz w:val="16"/>
              </w:rPr>
              <w:t> </w:t>
            </w:r>
          </w:p>
        </w:tc>
        <w:tc>
          <w:tcPr>
            <w:tcW w:w="476" w:type="dxa"/>
          </w:tcPr>
          <w:p>
            <w:pPr>
              <w:pStyle w:val="TableParagraph"/>
              <w:spacing w:line="185" w:lineRule="exact" w:before="36"/>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6"/>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6"/>
              <w:ind w:left="101"/>
              <w:rPr>
                <w:sz w:val="16"/>
              </w:rPr>
            </w:pPr>
            <w:r>
              <w:rPr>
                <w:w w:val="100"/>
                <w:sz w:val="16"/>
              </w:rPr>
              <w:t> </w:t>
            </w:r>
          </w:p>
        </w:tc>
        <w:tc>
          <w:tcPr>
            <w:tcW w:w="377" w:type="dxa"/>
          </w:tcPr>
          <w:p>
            <w:pPr>
              <w:pStyle w:val="TableParagraph"/>
              <w:spacing w:line="185" w:lineRule="exact" w:before="36"/>
              <w:ind w:left="105"/>
              <w:rPr>
                <w:sz w:val="16"/>
              </w:rPr>
            </w:pPr>
            <w:r>
              <w:rPr>
                <w:w w:val="100"/>
                <w:sz w:val="16"/>
              </w:rPr>
              <w:t> </w:t>
            </w:r>
          </w:p>
        </w:tc>
        <w:tc>
          <w:tcPr>
            <w:tcW w:w="403" w:type="dxa"/>
          </w:tcPr>
          <w:p>
            <w:pPr>
              <w:pStyle w:val="TableParagraph"/>
              <w:spacing w:line="185" w:lineRule="exact" w:before="36"/>
              <w:ind w:left="105"/>
              <w:rPr>
                <w:sz w:val="16"/>
              </w:rPr>
            </w:pPr>
            <w:r>
              <w:rPr>
                <w:w w:val="100"/>
                <w:sz w:val="16"/>
              </w:rPr>
              <w:t> </w:t>
            </w:r>
          </w:p>
        </w:tc>
        <w:tc>
          <w:tcPr>
            <w:tcW w:w="276" w:type="dxa"/>
          </w:tcPr>
          <w:p>
            <w:pPr>
              <w:pStyle w:val="TableParagraph"/>
              <w:spacing w:line="185" w:lineRule="exact" w:before="36"/>
              <w:ind w:left="71"/>
              <w:rPr>
                <w:sz w:val="16"/>
              </w:rPr>
            </w:pPr>
            <w:r>
              <w:rPr>
                <w:w w:val="100"/>
                <w:sz w:val="16"/>
              </w:rPr>
              <w:t> </w:t>
            </w:r>
          </w:p>
        </w:tc>
        <w:tc>
          <w:tcPr>
            <w:tcW w:w="499" w:type="dxa"/>
          </w:tcPr>
          <w:p>
            <w:pPr>
              <w:pStyle w:val="TableParagraph"/>
              <w:spacing w:line="185" w:lineRule="exact" w:before="36"/>
              <w:ind w:left="105"/>
              <w:rPr>
                <w:sz w:val="16"/>
              </w:rPr>
            </w:pPr>
            <w:r>
              <w:rPr>
                <w:w w:val="100"/>
                <w:sz w:val="16"/>
              </w:rPr>
              <w:t> </w:t>
            </w:r>
          </w:p>
        </w:tc>
        <w:tc>
          <w:tcPr>
            <w:tcW w:w="338" w:type="dxa"/>
          </w:tcPr>
          <w:p>
            <w:pPr>
              <w:pStyle w:val="TableParagraph"/>
              <w:spacing w:line="185" w:lineRule="exact" w:before="36"/>
              <w:ind w:left="105"/>
              <w:rPr>
                <w:sz w:val="16"/>
              </w:rPr>
            </w:pPr>
            <w:r>
              <w:rPr>
                <w:w w:val="100"/>
                <w:sz w:val="16"/>
              </w:rPr>
              <w:t> </w:t>
            </w:r>
          </w:p>
        </w:tc>
        <w:tc>
          <w:tcPr>
            <w:tcW w:w="334" w:type="dxa"/>
          </w:tcPr>
          <w:p>
            <w:pPr>
              <w:pStyle w:val="TableParagraph"/>
              <w:spacing w:line="185" w:lineRule="exact" w:before="36"/>
              <w:ind w:right="34"/>
              <w:jc w:val="center"/>
              <w:rPr>
                <w:sz w:val="16"/>
              </w:rPr>
            </w:pPr>
            <w:r>
              <w:rPr>
                <w:w w:val="100"/>
                <w:sz w:val="16"/>
              </w:rPr>
              <w:t> </w:t>
            </w:r>
          </w:p>
        </w:tc>
        <w:tc>
          <w:tcPr>
            <w:tcW w:w="425" w:type="dxa"/>
          </w:tcPr>
          <w:p>
            <w:pPr>
              <w:pStyle w:val="TableParagraph"/>
              <w:spacing w:line="185" w:lineRule="exact" w:before="36"/>
              <w:ind w:right="125"/>
              <w:jc w:val="center"/>
              <w:rPr>
                <w:sz w:val="16"/>
              </w:rPr>
            </w:pPr>
            <w:r>
              <w:rPr>
                <w:w w:val="100"/>
                <w:sz w:val="16"/>
              </w:rPr>
              <w:t> </w:t>
            </w:r>
          </w:p>
        </w:tc>
        <w:tc>
          <w:tcPr>
            <w:tcW w:w="403" w:type="dxa"/>
          </w:tcPr>
          <w:p>
            <w:pPr>
              <w:pStyle w:val="TableParagraph"/>
              <w:spacing w:line="185" w:lineRule="exact" w:before="36"/>
              <w:ind w:left="105"/>
              <w:rPr>
                <w:sz w:val="16"/>
              </w:rPr>
            </w:pPr>
            <w:r>
              <w:rPr>
                <w:w w:val="100"/>
                <w:sz w:val="16"/>
              </w:rPr>
              <w:t> </w:t>
            </w:r>
          </w:p>
        </w:tc>
        <w:tc>
          <w:tcPr>
            <w:tcW w:w="485" w:type="dxa"/>
          </w:tcPr>
          <w:p>
            <w:pPr>
              <w:pStyle w:val="TableParagraph"/>
              <w:spacing w:line="185" w:lineRule="exact" w:before="36"/>
              <w:ind w:left="106"/>
              <w:rPr>
                <w:sz w:val="16"/>
              </w:rPr>
            </w:pPr>
            <w:r>
              <w:rPr>
                <w:w w:val="100"/>
                <w:sz w:val="16"/>
              </w:rPr>
              <w:t> </w:t>
            </w:r>
          </w:p>
        </w:tc>
        <w:tc>
          <w:tcPr>
            <w:tcW w:w="402" w:type="dxa"/>
            <w:gridSpan w:val="2"/>
          </w:tcPr>
          <w:p>
            <w:pPr>
              <w:pStyle w:val="TableParagraph"/>
              <w:spacing w:line="185" w:lineRule="exact" w:before="36"/>
              <w:ind w:left="105"/>
              <w:rPr>
                <w:sz w:val="16"/>
              </w:rPr>
            </w:pPr>
            <w:r>
              <w:rPr>
                <w:w w:val="100"/>
                <w:sz w:val="16"/>
              </w:rPr>
              <w:t> </w:t>
            </w:r>
          </w:p>
        </w:tc>
        <w:tc>
          <w:tcPr>
            <w:tcW w:w="536" w:type="dxa"/>
          </w:tcPr>
          <w:p>
            <w:pPr>
              <w:pStyle w:val="TableParagraph"/>
              <w:spacing w:line="185" w:lineRule="exact" w:before="36"/>
              <w:ind w:left="104"/>
              <w:rPr>
                <w:sz w:val="16"/>
              </w:rPr>
            </w:pPr>
            <w:r>
              <w:rPr>
                <w:w w:val="100"/>
                <w:sz w:val="16"/>
              </w:rPr>
              <w:t> </w:t>
            </w:r>
          </w:p>
        </w:tc>
        <w:tc>
          <w:tcPr>
            <w:tcW w:w="423" w:type="dxa"/>
            <w:gridSpan w:val="2"/>
          </w:tcPr>
          <w:p>
            <w:pPr>
              <w:pStyle w:val="TableParagraph"/>
              <w:spacing w:line="185" w:lineRule="exact" w:before="36"/>
              <w:ind w:left="101"/>
              <w:rPr>
                <w:sz w:val="16"/>
              </w:rPr>
            </w:pPr>
            <w:r>
              <w:rPr>
                <w:w w:val="100"/>
                <w:sz w:val="16"/>
              </w:rPr>
              <w:t> </w:t>
            </w:r>
          </w:p>
        </w:tc>
        <w:tc>
          <w:tcPr>
            <w:tcW w:w="409" w:type="dxa"/>
          </w:tcPr>
          <w:p>
            <w:pPr>
              <w:pStyle w:val="TableParagraph"/>
              <w:spacing w:line="185" w:lineRule="exact" w:before="36"/>
              <w:ind w:left="99"/>
              <w:rPr>
                <w:sz w:val="16"/>
              </w:rPr>
            </w:pPr>
            <w:r>
              <w:rPr>
                <w:w w:val="100"/>
                <w:sz w:val="16"/>
              </w:rPr>
              <w:t> </w:t>
            </w:r>
          </w:p>
        </w:tc>
        <w:tc>
          <w:tcPr>
            <w:tcW w:w="416" w:type="dxa"/>
          </w:tcPr>
          <w:p>
            <w:pPr>
              <w:pStyle w:val="TableParagraph"/>
              <w:spacing w:line="185" w:lineRule="exact" w:before="36"/>
              <w:ind w:left="100"/>
              <w:rPr>
                <w:sz w:val="16"/>
              </w:rPr>
            </w:pPr>
            <w:r>
              <w:rPr>
                <w:w w:val="100"/>
                <w:sz w:val="16"/>
              </w:rPr>
              <w:t> </w:t>
            </w:r>
          </w:p>
        </w:tc>
        <w:tc>
          <w:tcPr>
            <w:tcW w:w="416" w:type="dxa"/>
          </w:tcPr>
          <w:p>
            <w:pPr>
              <w:pStyle w:val="TableParagraph"/>
              <w:spacing w:line="185" w:lineRule="exact" w:before="36"/>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8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9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39" w:hRule="atLeast"/>
        </w:trPr>
        <w:tc>
          <w:tcPr>
            <w:tcW w:w="696" w:type="dxa"/>
          </w:tcPr>
          <w:p>
            <w:pPr>
              <w:pStyle w:val="TableParagraph"/>
              <w:spacing w:line="185" w:lineRule="exact" w:before="34"/>
              <w:ind w:left="206" w:right="119"/>
              <w:jc w:val="center"/>
              <w:rPr>
                <w:sz w:val="16"/>
              </w:rPr>
            </w:pPr>
            <w:r>
              <w:rPr>
                <w:sz w:val="16"/>
              </w:rPr>
              <w:t>全开 </w:t>
            </w:r>
          </w:p>
        </w:tc>
        <w:tc>
          <w:tcPr>
            <w:tcW w:w="430" w:type="dxa"/>
          </w:tcPr>
          <w:p>
            <w:pPr>
              <w:pStyle w:val="TableParagraph"/>
              <w:spacing w:line="185" w:lineRule="exact" w:before="34"/>
              <w:ind w:left="107"/>
              <w:rPr>
                <w:sz w:val="16"/>
              </w:rPr>
            </w:pPr>
            <w:r>
              <w:rPr>
                <w:w w:val="100"/>
                <w:sz w:val="16"/>
              </w:rPr>
              <w:t> </w:t>
            </w:r>
          </w:p>
        </w:tc>
        <w:tc>
          <w:tcPr>
            <w:tcW w:w="476" w:type="dxa"/>
          </w:tcPr>
          <w:p>
            <w:pPr>
              <w:pStyle w:val="TableParagraph"/>
              <w:spacing w:line="185" w:lineRule="exact" w:before="34"/>
              <w:ind w:right="168"/>
              <w:jc w:val="center"/>
              <w:rPr>
                <w:sz w:val="16"/>
              </w:rPr>
            </w:pPr>
            <w:r>
              <w:rPr>
                <w:w w:val="100"/>
                <w:sz w:val="16"/>
              </w:rPr>
              <w:t> </w:t>
            </w:r>
          </w:p>
        </w:tc>
        <w:tc>
          <w:tcPr>
            <w:tcW w:w="428" w:type="dxa"/>
            <w:tcBorders>
              <w:right w:val="single" w:sz="6" w:space="0" w:color="000000"/>
            </w:tcBorders>
          </w:tcPr>
          <w:p>
            <w:pPr>
              <w:pStyle w:val="TableParagraph"/>
              <w:spacing w:line="185" w:lineRule="exact" w:before="34"/>
              <w:ind w:right="124"/>
              <w:jc w:val="center"/>
              <w:rPr>
                <w:sz w:val="16"/>
              </w:rPr>
            </w:pPr>
            <w:r>
              <w:rPr>
                <w:w w:val="100"/>
                <w:sz w:val="16"/>
              </w:rPr>
              <w:t> </w:t>
            </w:r>
          </w:p>
        </w:tc>
        <w:tc>
          <w:tcPr>
            <w:tcW w:w="428" w:type="dxa"/>
            <w:tcBorders>
              <w:left w:val="single" w:sz="6" w:space="0" w:color="000000"/>
            </w:tcBorders>
          </w:tcPr>
          <w:p>
            <w:pPr>
              <w:pStyle w:val="TableParagraph"/>
              <w:spacing w:line="185" w:lineRule="exact" w:before="34"/>
              <w:ind w:left="101"/>
              <w:rPr>
                <w:sz w:val="16"/>
              </w:rPr>
            </w:pPr>
            <w:r>
              <w:rPr>
                <w:w w:val="100"/>
                <w:sz w:val="16"/>
              </w:rPr>
              <w:t> </w:t>
            </w:r>
          </w:p>
        </w:tc>
        <w:tc>
          <w:tcPr>
            <w:tcW w:w="377" w:type="dxa"/>
          </w:tcPr>
          <w:p>
            <w:pPr>
              <w:pStyle w:val="TableParagraph"/>
              <w:spacing w:line="185" w:lineRule="exact" w:before="34"/>
              <w:ind w:left="105"/>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276" w:type="dxa"/>
          </w:tcPr>
          <w:p>
            <w:pPr>
              <w:pStyle w:val="TableParagraph"/>
              <w:spacing w:line="185" w:lineRule="exact" w:before="34"/>
              <w:ind w:left="71"/>
              <w:rPr>
                <w:sz w:val="16"/>
              </w:rPr>
            </w:pPr>
            <w:r>
              <w:rPr>
                <w:w w:val="100"/>
                <w:sz w:val="16"/>
              </w:rPr>
              <w:t> </w:t>
            </w:r>
          </w:p>
        </w:tc>
        <w:tc>
          <w:tcPr>
            <w:tcW w:w="499" w:type="dxa"/>
          </w:tcPr>
          <w:p>
            <w:pPr>
              <w:pStyle w:val="TableParagraph"/>
              <w:spacing w:line="185" w:lineRule="exact" w:before="34"/>
              <w:ind w:left="105"/>
              <w:rPr>
                <w:sz w:val="16"/>
              </w:rPr>
            </w:pPr>
            <w:r>
              <w:rPr>
                <w:w w:val="100"/>
                <w:sz w:val="16"/>
              </w:rPr>
              <w:t> </w:t>
            </w:r>
          </w:p>
        </w:tc>
        <w:tc>
          <w:tcPr>
            <w:tcW w:w="338" w:type="dxa"/>
          </w:tcPr>
          <w:p>
            <w:pPr>
              <w:pStyle w:val="TableParagraph"/>
              <w:spacing w:line="185" w:lineRule="exact" w:before="34"/>
              <w:ind w:left="105"/>
              <w:rPr>
                <w:sz w:val="16"/>
              </w:rPr>
            </w:pPr>
            <w:r>
              <w:rPr>
                <w:w w:val="100"/>
                <w:sz w:val="16"/>
              </w:rPr>
              <w:t> </w:t>
            </w:r>
          </w:p>
        </w:tc>
        <w:tc>
          <w:tcPr>
            <w:tcW w:w="334" w:type="dxa"/>
          </w:tcPr>
          <w:p>
            <w:pPr>
              <w:pStyle w:val="TableParagraph"/>
              <w:spacing w:line="185" w:lineRule="exact" w:before="34"/>
              <w:ind w:right="34"/>
              <w:jc w:val="center"/>
              <w:rPr>
                <w:sz w:val="16"/>
              </w:rPr>
            </w:pPr>
            <w:r>
              <w:rPr>
                <w:w w:val="100"/>
                <w:sz w:val="16"/>
              </w:rPr>
              <w:t> </w:t>
            </w:r>
          </w:p>
        </w:tc>
        <w:tc>
          <w:tcPr>
            <w:tcW w:w="425" w:type="dxa"/>
          </w:tcPr>
          <w:p>
            <w:pPr>
              <w:pStyle w:val="TableParagraph"/>
              <w:spacing w:line="185" w:lineRule="exact" w:before="34"/>
              <w:ind w:right="125"/>
              <w:jc w:val="center"/>
              <w:rPr>
                <w:sz w:val="16"/>
              </w:rPr>
            </w:pPr>
            <w:r>
              <w:rPr>
                <w:w w:val="100"/>
                <w:sz w:val="16"/>
              </w:rPr>
              <w:t> </w:t>
            </w:r>
          </w:p>
        </w:tc>
        <w:tc>
          <w:tcPr>
            <w:tcW w:w="403" w:type="dxa"/>
          </w:tcPr>
          <w:p>
            <w:pPr>
              <w:pStyle w:val="TableParagraph"/>
              <w:spacing w:line="185" w:lineRule="exact" w:before="34"/>
              <w:ind w:left="105"/>
              <w:rPr>
                <w:sz w:val="16"/>
              </w:rPr>
            </w:pPr>
            <w:r>
              <w:rPr>
                <w:w w:val="100"/>
                <w:sz w:val="16"/>
              </w:rPr>
              <w:t> </w:t>
            </w:r>
          </w:p>
        </w:tc>
        <w:tc>
          <w:tcPr>
            <w:tcW w:w="485" w:type="dxa"/>
          </w:tcPr>
          <w:p>
            <w:pPr>
              <w:pStyle w:val="TableParagraph"/>
              <w:spacing w:line="185" w:lineRule="exact" w:before="34"/>
              <w:ind w:left="106"/>
              <w:rPr>
                <w:sz w:val="16"/>
              </w:rPr>
            </w:pPr>
            <w:r>
              <w:rPr>
                <w:w w:val="100"/>
                <w:sz w:val="16"/>
              </w:rPr>
              <w:t> </w:t>
            </w:r>
          </w:p>
        </w:tc>
        <w:tc>
          <w:tcPr>
            <w:tcW w:w="402" w:type="dxa"/>
            <w:gridSpan w:val="2"/>
          </w:tcPr>
          <w:p>
            <w:pPr>
              <w:pStyle w:val="TableParagraph"/>
              <w:spacing w:line="185" w:lineRule="exact" w:before="34"/>
              <w:ind w:left="105"/>
              <w:rPr>
                <w:sz w:val="16"/>
              </w:rPr>
            </w:pPr>
            <w:r>
              <w:rPr>
                <w:w w:val="100"/>
                <w:sz w:val="16"/>
              </w:rPr>
              <w:t> </w:t>
            </w:r>
          </w:p>
        </w:tc>
        <w:tc>
          <w:tcPr>
            <w:tcW w:w="536" w:type="dxa"/>
          </w:tcPr>
          <w:p>
            <w:pPr>
              <w:pStyle w:val="TableParagraph"/>
              <w:spacing w:line="185" w:lineRule="exact" w:before="34"/>
              <w:ind w:left="104"/>
              <w:rPr>
                <w:sz w:val="16"/>
              </w:rPr>
            </w:pPr>
            <w:r>
              <w:rPr>
                <w:w w:val="100"/>
                <w:sz w:val="16"/>
              </w:rPr>
              <w:t> </w:t>
            </w:r>
          </w:p>
        </w:tc>
        <w:tc>
          <w:tcPr>
            <w:tcW w:w="423" w:type="dxa"/>
            <w:gridSpan w:val="2"/>
          </w:tcPr>
          <w:p>
            <w:pPr>
              <w:pStyle w:val="TableParagraph"/>
              <w:spacing w:line="185" w:lineRule="exact" w:before="34"/>
              <w:ind w:left="101"/>
              <w:rPr>
                <w:sz w:val="16"/>
              </w:rPr>
            </w:pPr>
            <w:r>
              <w:rPr>
                <w:w w:val="100"/>
                <w:sz w:val="16"/>
              </w:rPr>
              <w:t> </w:t>
            </w:r>
          </w:p>
        </w:tc>
        <w:tc>
          <w:tcPr>
            <w:tcW w:w="409" w:type="dxa"/>
          </w:tcPr>
          <w:p>
            <w:pPr>
              <w:pStyle w:val="TableParagraph"/>
              <w:spacing w:line="185" w:lineRule="exact" w:before="34"/>
              <w:ind w:left="99"/>
              <w:rPr>
                <w:sz w:val="16"/>
              </w:rPr>
            </w:pPr>
            <w:r>
              <w:rPr>
                <w:w w:val="100"/>
                <w:sz w:val="16"/>
              </w:rPr>
              <w:t> </w:t>
            </w:r>
          </w:p>
        </w:tc>
        <w:tc>
          <w:tcPr>
            <w:tcW w:w="416" w:type="dxa"/>
          </w:tcPr>
          <w:p>
            <w:pPr>
              <w:pStyle w:val="TableParagraph"/>
              <w:spacing w:line="185" w:lineRule="exact" w:before="34"/>
              <w:ind w:left="100"/>
              <w:rPr>
                <w:sz w:val="16"/>
              </w:rPr>
            </w:pPr>
            <w:r>
              <w:rPr>
                <w:w w:val="100"/>
                <w:sz w:val="16"/>
              </w:rPr>
              <w:t> </w:t>
            </w:r>
          </w:p>
        </w:tc>
        <w:tc>
          <w:tcPr>
            <w:tcW w:w="416" w:type="dxa"/>
          </w:tcPr>
          <w:p>
            <w:pPr>
              <w:pStyle w:val="TableParagraph"/>
              <w:spacing w:line="185" w:lineRule="exact" w:before="34"/>
              <w:ind w:left="97"/>
              <w:rPr>
                <w:sz w:val="16"/>
              </w:rPr>
            </w:pPr>
            <w:r>
              <w:rPr>
                <w:w w:val="100"/>
                <w:sz w:val="16"/>
              </w:rPr>
              <w:t> </w:t>
            </w:r>
          </w:p>
        </w:tc>
      </w:tr>
      <w:tr>
        <w:trPr>
          <w:trHeight w:val="240" w:hRule="atLeast"/>
        </w:trPr>
        <w:tc>
          <w:tcPr>
            <w:tcW w:w="696" w:type="dxa"/>
          </w:tcPr>
          <w:p>
            <w:pPr>
              <w:pStyle w:val="TableParagraph"/>
              <w:spacing w:line="185" w:lineRule="exact" w:before="34"/>
              <w:ind w:left="206" w:right="119"/>
              <w:jc w:val="center"/>
              <w:rPr>
                <w:sz w:val="16"/>
              </w:rPr>
            </w:pPr>
            <w:r>
              <w:rPr>
                <w:sz w:val="16"/>
              </w:rPr>
              <w:t>备注 </w:t>
            </w:r>
          </w:p>
        </w:tc>
        <w:tc>
          <w:tcPr>
            <w:tcW w:w="7904" w:type="dxa"/>
            <w:gridSpan w:val="21"/>
          </w:tcPr>
          <w:p>
            <w:pPr>
              <w:pStyle w:val="TableParagraph"/>
              <w:spacing w:line="185" w:lineRule="exact" w:before="34"/>
              <w:ind w:left="107"/>
              <w:rPr>
                <w:sz w:val="16"/>
              </w:rPr>
            </w:pPr>
            <w:r>
              <w:rPr>
                <w:w w:val="100"/>
                <w:sz w:val="16"/>
              </w:rPr>
              <w:t> </w:t>
            </w:r>
          </w:p>
        </w:tc>
      </w:tr>
    </w:tbl>
    <w:p>
      <w:pPr>
        <w:pStyle w:val="BodyText"/>
        <w:spacing w:before="11"/>
        <w:rPr>
          <w:sz w:val="14"/>
        </w:rPr>
      </w:pPr>
    </w:p>
    <w:p>
      <w:pPr>
        <w:pStyle w:val="BodyText"/>
        <w:ind w:right="914"/>
        <w:jc w:val="center"/>
      </w:pPr>
      <w:r>
        <w:rPr/>
        <w:t>记 录                   计 算 </w:t>
      </w:r>
    </w:p>
    <w:p>
      <w:pPr>
        <w:pStyle w:val="BodyText"/>
        <w:spacing w:before="1"/>
        <w:rPr>
          <w:sz w:val="18"/>
        </w:rPr>
      </w:pPr>
    </w:p>
    <w:p>
      <w:pPr>
        <w:pStyle w:val="BodyText"/>
        <w:spacing w:before="1"/>
        <w:ind w:left="838"/>
      </w:pPr>
      <w:r>
        <w:rPr>
          <w:position w:val="1"/>
        </w:rPr>
        <w:t>测试完毕后 10min 内测定传动系统空载功率 N</w:t>
      </w:r>
      <w:r>
        <w:rPr>
          <w:sz w:val="11"/>
        </w:rPr>
        <w:t>e</w:t>
      </w:r>
      <w:r>
        <w:rPr>
          <w:position w:val="1"/>
        </w:rPr>
        <w:t>。测定时须拆除测功机上的测试风机等装置。 </w:t>
      </w:r>
    </w:p>
    <w:p>
      <w:pPr>
        <w:pStyle w:val="BodyText"/>
        <w:spacing w:before="5"/>
        <w:rPr>
          <w:sz w:val="12"/>
        </w:rPr>
      </w:pPr>
    </w:p>
    <w:p>
      <w:pPr>
        <w:spacing w:after="0"/>
        <w:rPr>
          <w:sz w:val="12"/>
        </w:rPr>
        <w:sectPr>
          <w:footerReference w:type="default" r:id="rId620"/>
          <w:pgSz w:w="11910" w:h="16850"/>
          <w:pgMar w:footer="1239" w:header="0" w:top="1220" w:bottom="1420" w:left="1260" w:right="0"/>
          <w:pgNumType w:start="1680"/>
        </w:sectPr>
      </w:pPr>
    </w:p>
    <w:p>
      <w:pPr>
        <w:pStyle w:val="ListParagraph"/>
        <w:numPr>
          <w:ilvl w:val="2"/>
          <w:numId w:val="971"/>
        </w:numPr>
        <w:tabs>
          <w:tab w:pos="1370" w:val="left" w:leader="none"/>
        </w:tabs>
        <w:spacing w:line="240" w:lineRule="auto" w:before="71" w:after="0"/>
        <w:ind w:left="1369" w:right="0" w:hanging="530"/>
        <w:jc w:val="left"/>
        <w:rPr>
          <w:sz w:val="21"/>
        </w:rPr>
      </w:pPr>
      <w:r>
        <w:rPr>
          <w:spacing w:val="-3"/>
          <w:sz w:val="21"/>
        </w:rPr>
        <w:t>风机出气口的动压</w:t>
      </w:r>
      <w:r>
        <w:rPr>
          <w:sz w:val="21"/>
        </w:rPr>
        <w:t> </w:t>
      </w:r>
    </w:p>
    <w:p>
      <w:pPr>
        <w:pStyle w:val="BodyText"/>
        <w:rPr>
          <w:sz w:val="24"/>
        </w:rPr>
      </w:pPr>
      <w:r>
        <w:rPr/>
        <w:br w:type="column"/>
      </w:r>
      <w:r>
        <w:rPr>
          <w:sz w:val="24"/>
        </w:rPr>
      </w:r>
    </w:p>
    <w:p>
      <w:pPr>
        <w:spacing w:before="182"/>
        <w:ind w:left="0" w:right="0" w:firstLine="0"/>
        <w:jc w:val="right"/>
        <w:rPr>
          <w:rFonts w:ascii="Cambria Math" w:eastAsia="Cambria Math"/>
          <w:sz w:val="15"/>
        </w:rPr>
      </w:pPr>
      <w:r>
        <w:rPr>
          <w:rFonts w:ascii="Cambria Math" w:eastAsia="Cambria Math"/>
          <w:w w:val="105"/>
          <w:sz w:val="21"/>
        </w:rPr>
        <w:t>p</w:t>
      </w:r>
      <w:r>
        <w:rPr>
          <w:rFonts w:ascii="Cambria Math" w:eastAsia="Cambria Math"/>
          <w:w w:val="105"/>
          <w:position w:val="-3"/>
          <w:sz w:val="15"/>
        </w:rPr>
        <w:t>𝑑</w:t>
      </w:r>
    </w:p>
    <w:p>
      <w:pPr>
        <w:pStyle w:val="BodyText"/>
        <w:rPr>
          <w:rFonts w:ascii="Cambria Math"/>
          <w:sz w:val="20"/>
        </w:rPr>
      </w:pPr>
      <w:r>
        <w:rPr/>
        <w:br w:type="column"/>
      </w:r>
      <w:r>
        <w:rPr>
          <w:rFonts w:ascii="Cambria Math"/>
          <w:sz w:val="20"/>
        </w:rPr>
      </w:r>
    </w:p>
    <w:p>
      <w:pPr>
        <w:pStyle w:val="BodyText"/>
        <w:spacing w:before="6"/>
        <w:rPr>
          <w:rFonts w:ascii="Cambria Math"/>
          <w:sz w:val="12"/>
        </w:rPr>
      </w:pPr>
      <w:r>
        <w:rPr/>
        <w:pict>
          <v:line style="position:absolute;mso-position-horizontal-relative:page;mso-position-vertical-relative:paragraph;z-index:-251265024;mso-wrap-distance-left:0;mso-wrap-distance-right:0" from="307.609985pt,9.562613pt" to="320.593985pt,9.562613pt" stroked="true" strokeweight=".48001pt" strokecolor="#000000">
            <v:stroke dashstyle="solid"/>
            <w10:wrap type="topAndBottom"/>
          </v:line>
        </w:pict>
      </w:r>
      <w:r>
        <w:rPr/>
        <w:pict>
          <v:line style="position:absolute;mso-position-horizontal-relative:page;mso-position-vertical-relative:paragraph;z-index:-251264000;mso-wrap-distance-left:0;mso-wrap-distance-right:0" from="331.630005pt,9.562613pt" to="344.590005pt,9.562613pt" stroked="true" strokeweight=".48001pt" strokecolor="#000000">
            <v:stroke dashstyle="solid"/>
            <w10:wrap type="topAndBottom"/>
          </v:line>
        </w:pict>
      </w:r>
      <w:r>
        <w:rPr/>
        <w:pict>
          <v:line style="position:absolute;mso-position-horizontal-relative:page;mso-position-vertical-relative:paragraph;z-index:-251262976;mso-wrap-distance-left:0;mso-wrap-distance-right:0" from="367.51001pt,9.562613pt" to="381.07001pt,9.562613pt" stroked="true" strokeweight=".48001pt" strokecolor="#000000">
            <v:stroke dashstyle="solid"/>
            <w10:wrap type="topAndBottom"/>
          </v:line>
        </w:pict>
      </w:r>
    </w:p>
    <w:p>
      <w:pPr>
        <w:spacing w:line="241" w:lineRule="exact" w:before="0"/>
        <w:ind w:left="-27" w:right="0" w:firstLine="0"/>
        <w:jc w:val="left"/>
        <w:rPr>
          <w:sz w:val="21"/>
        </w:rPr>
      </w:pPr>
      <w:r>
        <w:rPr>
          <w:rFonts w:ascii="Cambria Math" w:hAnsi="Cambria Math" w:eastAsia="Cambria Math"/>
          <w:w w:val="105"/>
          <w:position w:val="1"/>
          <w:sz w:val="21"/>
        </w:rPr>
        <w:t>(</w:t>
      </w:r>
      <w:r>
        <w:rPr>
          <w:rFonts w:ascii="Cambria Math" w:hAnsi="Cambria Math" w:eastAsia="Cambria Math"/>
          <w:w w:val="105"/>
          <w:sz w:val="21"/>
        </w:rPr>
        <w:t>𝑃𝑎</w:t>
      </w:r>
      <w:r>
        <w:rPr>
          <w:rFonts w:ascii="Cambria Math" w:hAnsi="Cambria Math" w:eastAsia="Cambria Math"/>
          <w:w w:val="105"/>
          <w:position w:val="1"/>
          <w:sz w:val="21"/>
        </w:rPr>
        <w:t>) </w:t>
      </w:r>
      <w:r>
        <w:rPr>
          <w:rFonts w:ascii="Cambria Math" w:hAnsi="Cambria Math" w:eastAsia="Cambria Math"/>
          <w:w w:val="105"/>
          <w:sz w:val="21"/>
        </w:rPr>
        <w:t>= (</w:t>
      </w:r>
      <w:r>
        <w:rPr>
          <w:rFonts w:ascii="Cambria Math" w:hAnsi="Cambria Math" w:eastAsia="Cambria Math"/>
          <w:w w:val="105"/>
          <w:position w:val="12"/>
          <w:sz w:val="21"/>
          <w:u w:val="single"/>
        </w:rPr>
        <w:t> </w:t>
      </w:r>
      <w:r>
        <w:rPr>
          <w:rFonts w:ascii="Cambria Math" w:hAnsi="Cambria Math" w:eastAsia="Cambria Math"/>
          <w:w w:val="105"/>
          <w:position w:val="12"/>
          <w:sz w:val="15"/>
          <w:u w:val="single"/>
        </w:rPr>
        <w:t>√</w:t>
      </w:r>
      <w:r>
        <w:rPr>
          <w:rFonts w:ascii="Cambria Math" w:hAnsi="Cambria Math" w:eastAsia="Cambria Math"/>
          <w:w w:val="105"/>
          <w:position w:val="15"/>
          <w:sz w:val="15"/>
          <w:u w:val="single"/>
        </w:rPr>
        <w:t>𝑝</w:t>
      </w:r>
      <w:r>
        <w:rPr>
          <w:rFonts w:ascii="Cambria Math" w:hAnsi="Cambria Math" w:eastAsia="Cambria Math"/>
          <w:w w:val="105"/>
          <w:position w:val="12"/>
          <w:sz w:val="12"/>
          <w:u w:val="single"/>
        </w:rPr>
        <w:t>𝑑</w:t>
      </w:r>
      <w:r>
        <w:rPr>
          <w:rFonts w:ascii="Cambria Math" w:hAnsi="Cambria Math" w:eastAsia="Cambria Math"/>
          <w:w w:val="105"/>
          <w:position w:val="9"/>
          <w:sz w:val="12"/>
          <w:u w:val="single"/>
        </w:rPr>
        <w:t>1</w:t>
      </w:r>
      <w:r>
        <w:rPr>
          <w:rFonts w:ascii="Cambria Math" w:hAnsi="Cambria Math" w:eastAsia="Cambria Math"/>
          <w:w w:val="105"/>
          <w:position w:val="15"/>
          <w:sz w:val="15"/>
          <w:u w:val="single"/>
        </w:rPr>
        <w:t>+</w:t>
      </w:r>
      <w:r>
        <w:rPr>
          <w:rFonts w:ascii="Cambria Math" w:hAnsi="Cambria Math" w:eastAsia="Cambria Math"/>
          <w:w w:val="105"/>
          <w:position w:val="12"/>
          <w:sz w:val="15"/>
          <w:u w:val="single"/>
        </w:rPr>
        <w:t>√</w:t>
      </w:r>
      <w:r>
        <w:rPr>
          <w:rFonts w:ascii="Cambria Math" w:hAnsi="Cambria Math" w:eastAsia="Cambria Math"/>
          <w:w w:val="105"/>
          <w:position w:val="15"/>
          <w:sz w:val="15"/>
          <w:u w:val="single"/>
        </w:rPr>
        <w:t>𝑝</w:t>
      </w:r>
      <w:r>
        <w:rPr>
          <w:rFonts w:ascii="Cambria Math" w:hAnsi="Cambria Math" w:eastAsia="Cambria Math"/>
          <w:w w:val="105"/>
          <w:position w:val="12"/>
          <w:sz w:val="12"/>
          <w:u w:val="single"/>
        </w:rPr>
        <w:t>𝑑</w:t>
      </w:r>
      <w:r>
        <w:rPr>
          <w:rFonts w:ascii="Cambria Math" w:hAnsi="Cambria Math" w:eastAsia="Cambria Math"/>
          <w:w w:val="105"/>
          <w:position w:val="9"/>
          <w:sz w:val="12"/>
          <w:u w:val="single"/>
        </w:rPr>
        <w:t>2</w:t>
      </w:r>
      <w:r>
        <w:rPr>
          <w:rFonts w:ascii="Cambria Math" w:hAnsi="Cambria Math" w:eastAsia="Cambria Math"/>
          <w:w w:val="105"/>
          <w:position w:val="15"/>
          <w:sz w:val="15"/>
          <w:u w:val="single"/>
        </w:rPr>
        <w:t>+⋯+</w:t>
      </w:r>
      <w:r>
        <w:rPr>
          <w:rFonts w:ascii="Cambria Math" w:hAnsi="Cambria Math" w:eastAsia="Cambria Math"/>
          <w:w w:val="105"/>
          <w:position w:val="12"/>
          <w:sz w:val="15"/>
          <w:u w:val="single"/>
        </w:rPr>
        <w:t>√</w:t>
      </w:r>
      <w:r>
        <w:rPr>
          <w:rFonts w:ascii="Cambria Math" w:hAnsi="Cambria Math" w:eastAsia="Cambria Math"/>
          <w:w w:val="105"/>
          <w:position w:val="15"/>
          <w:sz w:val="15"/>
          <w:u w:val="single"/>
        </w:rPr>
        <w:t>𝑝</w:t>
      </w:r>
      <w:r>
        <w:rPr>
          <w:rFonts w:ascii="Cambria Math" w:hAnsi="Cambria Math" w:eastAsia="Cambria Math"/>
          <w:w w:val="105"/>
          <w:position w:val="12"/>
          <w:sz w:val="12"/>
          <w:u w:val="single"/>
        </w:rPr>
        <w:t>𝑑</w:t>
      </w:r>
      <w:r>
        <w:rPr>
          <w:rFonts w:ascii="Cambria Math" w:hAnsi="Cambria Math" w:eastAsia="Cambria Math"/>
          <w:w w:val="105"/>
          <w:position w:val="9"/>
          <w:sz w:val="12"/>
          <w:u w:val="single"/>
        </w:rPr>
        <w:t>𝑛</w:t>
      </w:r>
      <w:r>
        <w:rPr>
          <w:rFonts w:ascii="Cambria Math" w:hAnsi="Cambria Math" w:eastAsia="Cambria Math"/>
          <w:w w:val="105"/>
          <w:sz w:val="21"/>
        </w:rPr>
        <w:t>) ² </w:t>
      </w:r>
      <w:r>
        <w:rPr>
          <w:w w:val="105"/>
          <w:sz w:val="21"/>
        </w:rPr>
        <w:t>………………（1） </w:t>
      </w:r>
    </w:p>
    <w:p>
      <w:pPr>
        <w:spacing w:line="128" w:lineRule="exact" w:before="0"/>
        <w:ind w:left="1517" w:right="0" w:firstLine="0"/>
        <w:jc w:val="left"/>
        <w:rPr>
          <w:rFonts w:ascii="Cambria Math" w:eastAsia="Cambria Math"/>
          <w:sz w:val="15"/>
        </w:rPr>
      </w:pPr>
      <w:r>
        <w:rPr>
          <w:rFonts w:ascii="Cambria Math" w:eastAsia="Cambria Math"/>
          <w:w w:val="115"/>
          <w:sz w:val="15"/>
        </w:rPr>
        <w:t>𝑛</w:t>
      </w:r>
    </w:p>
    <w:p>
      <w:pPr>
        <w:spacing w:after="0" w:line="128" w:lineRule="exact"/>
        <w:jc w:val="left"/>
        <w:rPr>
          <w:rFonts w:ascii="Cambria Math" w:eastAsia="Cambria Math"/>
          <w:sz w:val="15"/>
        </w:rPr>
        <w:sectPr>
          <w:type w:val="continuous"/>
          <w:pgSz w:w="11910" w:h="16850"/>
          <w:pgMar w:top="1600" w:bottom="1180" w:left="1260" w:right="0"/>
          <w:cols w:num="3" w:equalWidth="0">
            <w:col w:w="3261" w:space="40"/>
            <w:col w:w="662" w:space="39"/>
            <w:col w:w="6648"/>
          </w:cols>
        </w:sectPr>
      </w:pPr>
    </w:p>
    <w:p>
      <w:pPr>
        <w:pStyle w:val="BodyText"/>
        <w:spacing w:before="9"/>
        <w:rPr>
          <w:rFonts w:ascii="Cambria Math"/>
          <w:sz w:val="10"/>
        </w:rPr>
      </w:pPr>
    </w:p>
    <w:p>
      <w:pPr>
        <w:pStyle w:val="BodyText"/>
        <w:spacing w:before="71"/>
        <w:ind w:left="838"/>
      </w:pPr>
      <w:r>
        <w:rPr>
          <w:position w:val="1"/>
        </w:rPr>
        <w:t>式中：p</w:t>
      </w:r>
      <w:r>
        <w:rPr>
          <w:sz w:val="11"/>
        </w:rPr>
        <w:t>d1</w:t>
      </w:r>
      <w:r>
        <w:rPr>
          <w:position w:val="1"/>
        </w:rPr>
        <w:t>，pd2……p</w:t>
      </w:r>
      <w:r>
        <w:rPr>
          <w:sz w:val="11"/>
        </w:rPr>
        <w:t>dn</w:t>
      </w:r>
      <w:r>
        <w:rPr>
          <w:position w:val="1"/>
        </w:rPr>
        <w:t>——同一测试工况下毕托管所测各点的动压值，Pa。 </w:t>
      </w:r>
    </w:p>
    <w:p>
      <w:pPr>
        <w:pStyle w:val="BodyText"/>
        <w:spacing w:before="8"/>
        <w:rPr>
          <w:sz w:val="12"/>
        </w:rPr>
      </w:pPr>
    </w:p>
    <w:p>
      <w:pPr>
        <w:spacing w:after="0"/>
        <w:rPr>
          <w:sz w:val="12"/>
        </w:rPr>
        <w:sectPr>
          <w:type w:val="continuous"/>
          <w:pgSz w:w="11910" w:h="16850"/>
          <w:pgMar w:top="1600" w:bottom="1180" w:left="1260" w:right="0"/>
        </w:sectPr>
      </w:pPr>
    </w:p>
    <w:p>
      <w:pPr>
        <w:pStyle w:val="ListParagraph"/>
        <w:numPr>
          <w:ilvl w:val="2"/>
          <w:numId w:val="971"/>
        </w:numPr>
        <w:tabs>
          <w:tab w:pos="1370" w:val="left" w:leader="none"/>
        </w:tabs>
        <w:spacing w:line="240" w:lineRule="auto" w:before="72" w:after="0"/>
        <w:ind w:left="1369" w:right="0" w:hanging="530"/>
        <w:jc w:val="left"/>
        <w:rPr>
          <w:sz w:val="21"/>
        </w:rPr>
      </w:pPr>
      <w:r>
        <w:rPr>
          <w:spacing w:val="-3"/>
          <w:sz w:val="21"/>
        </w:rPr>
        <w:t>风机出气口的静压</w:t>
      </w:r>
      <w:r>
        <w:rPr>
          <w:sz w:val="21"/>
        </w:rPr>
        <w:t> </w:t>
      </w:r>
    </w:p>
    <w:p>
      <w:pPr>
        <w:pStyle w:val="BodyText"/>
        <w:rPr>
          <w:sz w:val="20"/>
        </w:rPr>
      </w:pPr>
      <w:r>
        <w:rPr/>
        <w:br w:type="column"/>
      </w:r>
      <w:r>
        <w:rPr>
          <w:sz w:val="20"/>
        </w:rPr>
      </w:r>
    </w:p>
    <w:p>
      <w:pPr>
        <w:pStyle w:val="BodyText"/>
        <w:tabs>
          <w:tab w:pos="1159" w:val="left" w:leader="none"/>
        </w:tabs>
        <w:spacing w:line="125" w:lineRule="exact" w:before="174"/>
        <w:ind w:left="840"/>
        <w:rPr>
          <w:rFonts w:ascii="Cambria Math" w:eastAsia="Cambria Math"/>
        </w:rPr>
      </w:pPr>
      <w:r>
        <w:rPr>
          <w:rFonts w:ascii="Cambria Math" w:eastAsia="Cambria Math"/>
        </w:rPr>
        <w:t>𝑝</w:t>
        <w:tab/>
        <w:t>=</w:t>
      </w:r>
      <w:r>
        <w:rPr>
          <w:rFonts w:ascii="Cambria Math" w:eastAsia="Cambria Math"/>
          <w:spacing w:val="15"/>
        </w:rPr>
        <w:t> </w:t>
      </w:r>
      <w:r>
        <w:rPr>
          <w:rFonts w:ascii="Cambria Math" w:eastAsia="Cambria Math"/>
          <w:spacing w:val="-152"/>
        </w:rPr>
        <w:t>𝑝</w:t>
      </w:r>
    </w:p>
    <w:p>
      <w:pPr>
        <w:pStyle w:val="BodyText"/>
        <w:spacing w:before="4"/>
        <w:rPr>
          <w:rFonts w:ascii="Cambria Math"/>
          <w:sz w:val="31"/>
        </w:rPr>
      </w:pPr>
      <w:r>
        <w:rPr/>
        <w:br w:type="column"/>
      </w:r>
      <w:r>
        <w:rPr>
          <w:rFonts w:ascii="Cambria Math"/>
          <w:sz w:val="31"/>
        </w:rPr>
      </w:r>
    </w:p>
    <w:p>
      <w:pPr>
        <w:spacing w:line="188" w:lineRule="exact" w:before="0"/>
        <w:ind w:left="91" w:right="0" w:firstLine="0"/>
        <w:jc w:val="left"/>
        <w:rPr>
          <w:rFonts w:ascii="Cambria Math" w:hAnsi="Cambria Math" w:eastAsia="Cambria Math"/>
          <w:sz w:val="21"/>
        </w:rPr>
      </w:pPr>
      <w:r>
        <w:rPr>
          <w:rFonts w:ascii="Cambria Math" w:hAnsi="Cambria Math" w:eastAsia="Cambria Math"/>
          <w:sz w:val="21"/>
        </w:rPr>
        <w:t>+ 0.025</w:t>
      </w:r>
      <w:r>
        <w:rPr>
          <w:rFonts w:ascii="Cambria Math" w:hAnsi="Cambria Math" w:eastAsia="Cambria Math"/>
          <w:position w:val="12"/>
          <w:sz w:val="21"/>
          <w:u w:val="single"/>
        </w:rPr>
        <w:t> </w:t>
      </w:r>
      <w:r>
        <w:rPr>
          <w:rFonts w:ascii="Cambria Math" w:hAnsi="Cambria Math" w:eastAsia="Cambria Math"/>
          <w:position w:val="12"/>
          <w:sz w:val="15"/>
          <w:u w:val="single"/>
        </w:rPr>
        <w:t>𝐿</w:t>
      </w:r>
      <w:r>
        <w:rPr>
          <w:rFonts w:ascii="Cambria Math" w:hAnsi="Cambria Math" w:eastAsia="Cambria Math"/>
          <w:position w:val="9"/>
          <w:sz w:val="12"/>
          <w:u w:val="single"/>
        </w:rPr>
        <w:t>𝑎</w:t>
      </w:r>
      <w:r>
        <w:rPr>
          <w:rFonts w:ascii="Cambria Math" w:hAnsi="Cambria Math" w:eastAsia="Cambria Math"/>
          <w:position w:val="9"/>
          <w:sz w:val="12"/>
        </w:rPr>
        <w:t> </w:t>
      </w:r>
      <w:r>
        <w:rPr>
          <w:rFonts w:ascii="Cambria Math" w:hAnsi="Cambria Math" w:eastAsia="Cambria Math"/>
          <w:sz w:val="21"/>
        </w:rPr>
        <w:t>· 𝑝</w:t>
      </w:r>
    </w:p>
    <w:p>
      <w:pPr>
        <w:pStyle w:val="BodyText"/>
        <w:rPr>
          <w:rFonts w:ascii="Cambria Math"/>
          <w:sz w:val="20"/>
        </w:rPr>
      </w:pPr>
      <w:r>
        <w:rPr/>
        <w:br w:type="column"/>
      </w:r>
      <w:r>
        <w:rPr>
          <w:rFonts w:ascii="Cambria Math"/>
          <w:sz w:val="20"/>
        </w:rPr>
      </w:r>
    </w:p>
    <w:p>
      <w:pPr>
        <w:pStyle w:val="BodyText"/>
        <w:spacing w:before="10"/>
        <w:rPr>
          <w:rFonts w:ascii="Cambria Math"/>
          <w:sz w:val="15"/>
        </w:rPr>
      </w:pPr>
    </w:p>
    <w:p>
      <w:pPr>
        <w:pStyle w:val="BodyText"/>
        <w:spacing w:line="135" w:lineRule="exact"/>
        <w:ind w:left="60"/>
      </w:pPr>
      <w:r>
        <w:rPr>
          <w:w w:val="100"/>
        </w:rPr>
        <w:t>       </w:t>
      </w:r>
      <w:r>
        <w:rPr/>
        <w:t>……………………（2） </w:t>
      </w:r>
    </w:p>
    <w:p>
      <w:pPr>
        <w:spacing w:after="0" w:line="135" w:lineRule="exact"/>
        <w:sectPr>
          <w:type w:val="continuous"/>
          <w:pgSz w:w="11910" w:h="16850"/>
          <w:pgMar w:top="1600" w:bottom="1180" w:left="1260" w:right="0"/>
          <w:cols w:num="4" w:equalWidth="0">
            <w:col w:w="3301" w:space="53"/>
            <w:col w:w="1494" w:space="39"/>
            <w:col w:w="1281" w:space="39"/>
            <w:col w:w="4443"/>
          </w:cols>
        </w:sectPr>
      </w:pPr>
    </w:p>
    <w:p>
      <w:pPr>
        <w:tabs>
          <w:tab w:pos="535" w:val="left" w:leader="none"/>
        </w:tabs>
        <w:spacing w:line="151" w:lineRule="exact" w:before="0"/>
        <w:ind w:left="0" w:right="0" w:firstLine="0"/>
        <w:jc w:val="right"/>
        <w:rPr>
          <w:rFonts w:ascii="Cambria Math" w:eastAsia="Cambria Math"/>
          <w:sz w:val="15"/>
        </w:rPr>
      </w:pPr>
      <w:r>
        <w:rPr>
          <w:rFonts w:ascii="Cambria Math" w:eastAsia="Cambria Math"/>
          <w:w w:val="110"/>
          <w:sz w:val="15"/>
        </w:rPr>
        <w:t>𝑠𝑡</w:t>
        <w:tab/>
        <w:t>𝑒</w:t>
      </w:r>
    </w:p>
    <w:p>
      <w:pPr>
        <w:pStyle w:val="BodyText"/>
        <w:spacing w:before="10"/>
        <w:rPr>
          <w:rFonts w:ascii="Cambria Math"/>
          <w:sz w:val="17"/>
        </w:rPr>
      </w:pPr>
    </w:p>
    <w:p>
      <w:pPr>
        <w:pStyle w:val="BodyText"/>
        <w:ind w:left="838"/>
      </w:pPr>
      <w:r>
        <w:rPr>
          <w:position w:val="1"/>
        </w:rPr>
        <w:t>式中：</w:t>
      </w:r>
      <w:r>
        <w:rPr>
          <w:i/>
          <w:position w:val="1"/>
          <w:sz w:val="22"/>
        </w:rPr>
        <w:t>p</w:t>
      </w:r>
      <w:r>
        <w:rPr>
          <w:sz w:val="11"/>
        </w:rPr>
        <w:t>st</w:t>
      </w:r>
      <w:r>
        <w:rPr>
          <w:position w:val="1"/>
        </w:rPr>
        <w:t>——风机出气口的静压，Pa； </w:t>
      </w:r>
    </w:p>
    <w:p>
      <w:pPr>
        <w:pStyle w:val="BodyText"/>
        <w:spacing w:before="12"/>
        <w:rPr>
          <w:sz w:val="16"/>
        </w:rPr>
      </w:pPr>
    </w:p>
    <w:p>
      <w:pPr>
        <w:pStyle w:val="BodyText"/>
        <w:ind w:left="1469"/>
      </w:pPr>
      <w:r>
        <w:rPr>
          <w:i/>
          <w:position w:val="1"/>
          <w:sz w:val="22"/>
        </w:rPr>
        <w:t>p</w:t>
      </w:r>
      <w:r>
        <w:rPr>
          <w:sz w:val="11"/>
        </w:rPr>
        <w:t>e</w:t>
      </w:r>
      <w:r>
        <w:rPr>
          <w:position w:val="1"/>
        </w:rPr>
        <w:t>——静压孔处测得的压力，Pa； </w:t>
      </w:r>
    </w:p>
    <w:p>
      <w:pPr>
        <w:tabs>
          <w:tab w:pos="1198" w:val="left" w:leader="none"/>
        </w:tabs>
        <w:spacing w:line="196" w:lineRule="auto" w:before="0"/>
        <w:ind w:left="792" w:right="0" w:firstLine="0"/>
        <w:jc w:val="left"/>
        <w:rPr>
          <w:rFonts w:ascii="Cambria Math" w:eastAsia="Cambria Math"/>
          <w:sz w:val="15"/>
        </w:rPr>
      </w:pPr>
      <w:r>
        <w:rPr/>
        <w:br w:type="column"/>
      </w:r>
      <w:r>
        <w:rPr>
          <w:rFonts w:ascii="Cambria Math" w:eastAsia="Cambria Math"/>
          <w:w w:val="110"/>
          <w:position w:val="-5"/>
          <w:sz w:val="15"/>
        </w:rPr>
        <w:t>𝐷</w:t>
        <w:tab/>
      </w:r>
      <w:r>
        <w:rPr>
          <w:rFonts w:ascii="Cambria Math" w:eastAsia="Cambria Math"/>
          <w:w w:val="110"/>
          <w:sz w:val="15"/>
        </w:rPr>
        <w:t>𝑑</w:t>
      </w:r>
    </w:p>
    <w:p>
      <w:pPr>
        <w:spacing w:after="0" w:line="196" w:lineRule="auto"/>
        <w:jc w:val="left"/>
        <w:rPr>
          <w:rFonts w:ascii="Cambria Math" w:eastAsia="Cambria Math"/>
          <w:sz w:val="15"/>
        </w:rPr>
        <w:sectPr>
          <w:type w:val="continuous"/>
          <w:pgSz w:w="11910" w:h="16850"/>
          <w:pgMar w:top="1600" w:bottom="1180" w:left="1260" w:right="0"/>
          <w:cols w:num="2" w:equalWidth="0">
            <w:col w:w="4922" w:space="40"/>
            <w:col w:w="5688"/>
          </w:cols>
        </w:sectPr>
      </w:pPr>
    </w:p>
    <w:p>
      <w:pPr>
        <w:pStyle w:val="BodyText"/>
        <w:spacing w:before="6"/>
        <w:rPr>
          <w:rFonts w:ascii="Cambria Math"/>
          <w:sz w:val="12"/>
        </w:rPr>
      </w:pPr>
    </w:p>
    <w:p>
      <w:pPr>
        <w:pStyle w:val="BodyText"/>
        <w:spacing w:line="427" w:lineRule="auto" w:before="71"/>
        <w:ind w:left="1469" w:right="4813"/>
      </w:pPr>
      <w:r>
        <w:rPr>
          <w:i/>
          <w:position w:val="1"/>
          <w:sz w:val="22"/>
        </w:rPr>
        <w:t>L</w:t>
      </w:r>
      <w:r>
        <w:rPr>
          <w:sz w:val="11"/>
        </w:rPr>
        <w:t>a</w:t>
      </w:r>
      <w:r>
        <w:rPr>
          <w:position w:val="1"/>
        </w:rPr>
        <w:t>——风机出气口至静压测点的风筒长度，m； </w:t>
      </w:r>
      <w:r>
        <w:rPr>
          <w:i/>
          <w:sz w:val="22"/>
        </w:rPr>
        <w:t>d</w:t>
      </w:r>
      <w:r>
        <w:rPr/>
        <w:t>——试验风筒内径，m。 </w:t>
      </w:r>
    </w:p>
    <w:p>
      <w:pPr>
        <w:pStyle w:val="ListParagraph"/>
        <w:numPr>
          <w:ilvl w:val="2"/>
          <w:numId w:val="971"/>
        </w:numPr>
        <w:tabs>
          <w:tab w:pos="1370" w:val="left" w:leader="none"/>
        </w:tabs>
        <w:spacing w:line="240" w:lineRule="auto" w:before="8" w:after="0"/>
        <w:ind w:left="1369" w:right="0" w:hanging="530"/>
        <w:jc w:val="left"/>
        <w:rPr>
          <w:sz w:val="21"/>
        </w:rPr>
      </w:pPr>
      <w:r>
        <w:rPr>
          <w:spacing w:val="-3"/>
          <w:sz w:val="21"/>
        </w:rPr>
        <w:t>全压</w:t>
      </w:r>
      <w:r>
        <w:rPr>
          <w:sz w:val="21"/>
        </w:rPr>
        <w:t> </w:t>
      </w:r>
    </w:p>
    <w:p>
      <w:pPr>
        <w:pStyle w:val="BodyText"/>
        <w:spacing w:before="12"/>
        <w:rPr>
          <w:sz w:val="17"/>
        </w:rPr>
      </w:pPr>
    </w:p>
    <w:p>
      <w:pPr>
        <w:tabs>
          <w:tab w:pos="8684" w:val="left" w:leader="dot"/>
        </w:tabs>
        <w:spacing w:before="0"/>
        <w:ind w:left="4589" w:right="0" w:firstLine="0"/>
        <w:jc w:val="left"/>
        <w:rPr>
          <w:sz w:val="21"/>
        </w:rPr>
      </w:pPr>
      <w:r>
        <w:rPr>
          <w:rFonts w:ascii="Cambria Math" w:eastAsia="Cambria Math"/>
          <w:sz w:val="21"/>
        </w:rPr>
        <w:t>p</w:t>
      </w:r>
      <w:r>
        <w:rPr>
          <w:rFonts w:ascii="Cambria Math" w:eastAsia="Cambria Math"/>
          <w:position w:val="1"/>
          <w:sz w:val="21"/>
        </w:rPr>
        <w:t>(</w:t>
      </w:r>
      <w:r>
        <w:rPr>
          <w:rFonts w:ascii="Cambria Math" w:eastAsia="Cambria Math"/>
          <w:sz w:val="21"/>
        </w:rPr>
        <w:t>Pa</w:t>
      </w:r>
      <w:r>
        <w:rPr>
          <w:rFonts w:ascii="Cambria Math" w:eastAsia="Cambria Math"/>
          <w:position w:val="1"/>
          <w:sz w:val="21"/>
        </w:rPr>
        <w:t>) </w:t>
      </w:r>
      <w:r>
        <w:rPr>
          <w:rFonts w:ascii="Cambria Math" w:eastAsia="Cambria Math"/>
          <w:sz w:val="21"/>
        </w:rPr>
        <w:t>=  </w:t>
      </w:r>
      <w:r>
        <w:rPr>
          <w:rFonts w:ascii="Cambria Math" w:eastAsia="Cambria Math"/>
          <w:spacing w:val="-4"/>
          <w:sz w:val="21"/>
        </w:rPr>
        <w:t>𝑝</w:t>
      </w:r>
      <w:r>
        <w:rPr>
          <w:rFonts w:ascii="Cambria Math" w:eastAsia="Cambria Math"/>
          <w:spacing w:val="-4"/>
          <w:position w:val="-3"/>
          <w:sz w:val="15"/>
        </w:rPr>
        <w:t>𝑛</w:t>
      </w:r>
      <w:r>
        <w:rPr>
          <w:rFonts w:ascii="Cambria Math" w:eastAsia="Cambria Math"/>
          <w:spacing w:val="5"/>
          <w:position w:val="-3"/>
          <w:sz w:val="15"/>
        </w:rPr>
        <w:t> </w:t>
      </w:r>
      <w:r>
        <w:rPr>
          <w:rFonts w:ascii="Cambria Math" w:eastAsia="Cambria Math"/>
          <w:sz w:val="21"/>
        </w:rPr>
        <w:t>+</w:t>
      </w:r>
      <w:r>
        <w:rPr>
          <w:rFonts w:ascii="Cambria Math" w:eastAsia="Cambria Math"/>
          <w:spacing w:val="1"/>
          <w:sz w:val="21"/>
        </w:rPr>
        <w:t> </w:t>
      </w:r>
      <w:r>
        <w:rPr>
          <w:rFonts w:ascii="Cambria Math" w:eastAsia="Cambria Math"/>
          <w:spacing w:val="-4"/>
          <w:sz w:val="21"/>
        </w:rPr>
        <w:t>𝑝</w:t>
      </w:r>
      <w:r>
        <w:rPr>
          <w:rFonts w:ascii="Cambria Math" w:eastAsia="Cambria Math"/>
          <w:spacing w:val="-4"/>
          <w:position w:val="-3"/>
          <w:sz w:val="15"/>
        </w:rPr>
        <w:t>𝑑</w:t>
        <w:tab/>
      </w:r>
      <w:r>
        <w:rPr>
          <w:sz w:val="21"/>
        </w:rPr>
        <w:t>（3） </w:t>
      </w:r>
    </w:p>
    <w:p>
      <w:pPr>
        <w:pStyle w:val="BodyText"/>
        <w:spacing w:before="6"/>
        <w:rPr>
          <w:sz w:val="11"/>
        </w:rPr>
      </w:pPr>
    </w:p>
    <w:p>
      <w:pPr>
        <w:spacing w:after="0"/>
        <w:rPr>
          <w:sz w:val="11"/>
        </w:rPr>
        <w:sectPr>
          <w:type w:val="continuous"/>
          <w:pgSz w:w="11910" w:h="16850"/>
          <w:pgMar w:top="1600" w:bottom="1180" w:left="1260" w:right="0"/>
        </w:sectPr>
      </w:pPr>
    </w:p>
    <w:p>
      <w:pPr>
        <w:pStyle w:val="ListParagraph"/>
        <w:numPr>
          <w:ilvl w:val="2"/>
          <w:numId w:val="971"/>
        </w:numPr>
        <w:tabs>
          <w:tab w:pos="1371" w:val="left" w:leader="none"/>
        </w:tabs>
        <w:spacing w:line="240" w:lineRule="auto" w:before="72" w:after="0"/>
        <w:ind w:left="1370" w:right="0" w:hanging="531"/>
        <w:jc w:val="left"/>
        <w:rPr>
          <w:sz w:val="21"/>
        </w:rPr>
      </w:pPr>
      <w:r>
        <w:rPr>
          <w:spacing w:val="-3"/>
          <w:sz w:val="21"/>
        </w:rPr>
        <w:t>风量</w:t>
      </w:r>
      <w:r>
        <w:rPr>
          <w:sz w:val="21"/>
        </w:rPr>
        <w:t> </w:t>
      </w:r>
    </w:p>
    <w:p>
      <w:pPr>
        <w:pStyle w:val="BodyText"/>
        <w:rPr>
          <w:sz w:val="20"/>
        </w:rPr>
      </w:pPr>
      <w:r>
        <w:rPr/>
        <w:br w:type="column"/>
      </w:r>
      <w:r>
        <w:rPr>
          <w:sz w:val="20"/>
        </w:rPr>
      </w:r>
    </w:p>
    <w:p>
      <w:pPr>
        <w:pStyle w:val="BodyText"/>
        <w:spacing w:before="1"/>
        <w:rPr>
          <w:sz w:val="10"/>
        </w:rPr>
      </w:pPr>
      <w:r>
        <w:rPr/>
        <w:pict>
          <v:line style="position:absolute;mso-position-horizontal-relative:page;mso-position-vertical-relative:paragraph;z-index:-251261952;mso-wrap-distance-left:0;mso-wrap-distance-right:0" from="354.549988pt,8.843811pt" to="376.509988pt,8.843811pt" stroked="true" strokeweight=".72003pt" strokecolor="#000000">
            <v:stroke dashstyle="solid"/>
            <w10:wrap type="topAndBottom"/>
          </v:line>
        </w:pict>
      </w:r>
    </w:p>
    <w:p>
      <w:pPr>
        <w:pStyle w:val="BodyText"/>
        <w:tabs>
          <w:tab w:pos="5002" w:val="left" w:leader="dot"/>
        </w:tabs>
        <w:spacing w:line="168" w:lineRule="exact"/>
        <w:ind w:left="840"/>
      </w:pPr>
      <w:r>
        <w:rPr>
          <w:rFonts w:ascii="Cambria Math" w:hAnsi="Cambria Math" w:eastAsia="Cambria Math"/>
          <w:w w:val="105"/>
        </w:rPr>
        <w:t>Q (</w:t>
      </w:r>
      <w:r>
        <w:rPr>
          <w:rFonts w:ascii="Cambria Math" w:hAnsi="Cambria Math" w:eastAsia="Cambria Math"/>
          <w:w w:val="105"/>
          <w:position w:val="13"/>
          <w:sz w:val="15"/>
        </w:rPr>
        <w:t>m</w:t>
      </w:r>
      <w:r>
        <w:rPr>
          <w:rFonts w:ascii="Cambria Math" w:hAnsi="Cambria Math" w:eastAsia="Cambria Math"/>
          <w:w w:val="105"/>
          <w:position w:val="18"/>
          <w:sz w:val="12"/>
        </w:rPr>
        <w:t>3</w:t>
      </w:r>
      <w:r>
        <w:rPr>
          <w:rFonts w:ascii="Cambria Math" w:hAnsi="Cambria Math" w:eastAsia="Cambria Math"/>
          <w:w w:val="105"/>
        </w:rPr>
        <w:t>) = A</w:t>
      </w:r>
      <w:r>
        <w:rPr>
          <w:rFonts w:ascii="Cambria Math" w:hAnsi="Cambria Math" w:eastAsia="Cambria Math"/>
          <w:spacing w:val="5"/>
          <w:w w:val="105"/>
        </w:rPr>
        <w:t> </w:t>
      </w:r>
      <w:r>
        <w:rPr>
          <w:rFonts w:ascii="Cambria Math" w:hAnsi="Cambria Math" w:eastAsia="Cambria Math"/>
          <w:w w:val="105"/>
        </w:rPr>
        <w:t>·</w:t>
      </w:r>
      <w:r>
        <w:rPr>
          <w:rFonts w:ascii="Cambria Math" w:hAnsi="Cambria Math" w:eastAsia="Cambria Math"/>
          <w:spacing w:val="-1"/>
          <w:w w:val="105"/>
        </w:rPr>
        <w:t> </w:t>
      </w:r>
      <w:r>
        <w:rPr>
          <w:rFonts w:ascii="Cambria Math" w:hAnsi="Cambria Math" w:eastAsia="Cambria Math"/>
          <w:spacing w:val="-5"/>
          <w:w w:val="105"/>
          <w:position w:val="3"/>
        </w:rPr>
        <w:t>√</w:t>
      </w:r>
      <w:r>
        <w:rPr>
          <w:rFonts w:ascii="Cambria Math" w:hAnsi="Cambria Math" w:eastAsia="Cambria Math"/>
          <w:spacing w:val="-5"/>
          <w:w w:val="105"/>
          <w:position w:val="11"/>
        </w:rPr>
        <w:t>2𝑝</w:t>
      </w:r>
      <w:r>
        <w:rPr>
          <w:rFonts w:ascii="Cambria Math" w:hAnsi="Cambria Math" w:eastAsia="Cambria Math"/>
          <w:spacing w:val="-5"/>
          <w:w w:val="105"/>
          <w:position w:val="1"/>
        </w:rPr>
        <w:t>⁄</w:t>
        <w:tab/>
      </w:r>
      <w:r>
        <w:rPr>
          <w:w w:val="105"/>
        </w:rPr>
        <w:t>（4） </w:t>
      </w:r>
    </w:p>
    <w:p>
      <w:pPr>
        <w:pStyle w:val="BodyText"/>
        <w:spacing w:before="10"/>
        <w:rPr>
          <w:sz w:val="3"/>
        </w:rPr>
      </w:pPr>
    </w:p>
    <w:p>
      <w:pPr>
        <w:pStyle w:val="BodyText"/>
        <w:spacing w:line="20" w:lineRule="exact"/>
        <w:ind w:left="1108"/>
        <w:rPr>
          <w:sz w:val="2"/>
        </w:rPr>
      </w:pPr>
      <w:r>
        <w:rPr>
          <w:sz w:val="2"/>
        </w:rPr>
        <w:pict>
          <v:group style="width:10.8pt;height:.75pt;mso-position-horizontal-relative:char;mso-position-vertical-relative:line" coordorigin="0,0" coordsize="216,15">
            <v:line style="position:absolute" from="0,7" to="216,7" stroked="true" strokeweight=".71997pt" strokecolor="#000000">
              <v:stroke dashstyle="solid"/>
            </v:line>
          </v:group>
        </w:pict>
      </w:r>
      <w:r>
        <w:rPr>
          <w:sz w:val="2"/>
        </w:rPr>
      </w:r>
    </w:p>
    <w:p>
      <w:pPr>
        <w:spacing w:after="0" w:line="20" w:lineRule="exact"/>
        <w:rPr>
          <w:sz w:val="2"/>
        </w:rPr>
        <w:sectPr>
          <w:type w:val="continuous"/>
          <w:pgSz w:w="11910" w:h="16850"/>
          <w:pgMar w:top="1600" w:bottom="1180" w:left="1260" w:right="0"/>
          <w:cols w:num="2" w:equalWidth="0">
            <w:col w:w="2040" w:space="1640"/>
            <w:col w:w="6970"/>
          </w:cols>
        </w:sectPr>
      </w:pPr>
    </w:p>
    <w:p>
      <w:pPr>
        <w:tabs>
          <w:tab w:pos="1768" w:val="left" w:leader="none"/>
        </w:tabs>
        <w:spacing w:line="115" w:lineRule="auto" w:before="0"/>
        <w:ind w:left="486" w:right="0" w:firstLine="0"/>
        <w:jc w:val="center"/>
        <w:rPr>
          <w:rFonts w:ascii="Cambria Math" w:eastAsia="Cambria Math"/>
          <w:sz w:val="21"/>
        </w:rPr>
      </w:pPr>
      <w:r>
        <w:rPr>
          <w:rFonts w:ascii="Cambria Math" w:eastAsia="Cambria Math"/>
          <w:w w:val="110"/>
          <w:position w:val="-5"/>
          <w:sz w:val="15"/>
        </w:rPr>
        <w:t>s</w:t>
        <w:tab/>
      </w:r>
      <w:r>
        <w:rPr>
          <w:rFonts w:ascii="Cambria Math" w:eastAsia="Cambria Math"/>
          <w:w w:val="110"/>
          <w:sz w:val="21"/>
        </w:rPr>
        <w:t>𝜌</w:t>
      </w:r>
    </w:p>
    <w:p>
      <w:pPr>
        <w:spacing w:after="0" w:line="115" w:lineRule="auto"/>
        <w:jc w:val="center"/>
        <w:rPr>
          <w:rFonts w:ascii="Cambria Math" w:eastAsia="Cambria Math"/>
          <w:sz w:val="21"/>
        </w:rPr>
        <w:sectPr>
          <w:type w:val="continuous"/>
          <w:pgSz w:w="11910" w:h="16850"/>
          <w:pgMar w:top="1600" w:bottom="1180" w:left="1260" w:right="0"/>
        </w:sectPr>
      </w:pPr>
    </w:p>
    <w:p>
      <w:pPr>
        <w:pStyle w:val="BodyText"/>
        <w:spacing w:before="47"/>
        <w:ind w:left="838"/>
      </w:pPr>
      <w:r>
        <w:rPr/>
        <w:t>式中：A——测量风筒内截面面积，㎡； </w:t>
      </w:r>
    </w:p>
    <w:p>
      <w:pPr>
        <w:pStyle w:val="BodyText"/>
        <w:rPr>
          <w:sz w:val="18"/>
        </w:rPr>
      </w:pPr>
    </w:p>
    <w:p>
      <w:pPr>
        <w:pStyle w:val="BodyText"/>
        <w:ind w:left="838"/>
      </w:pPr>
      <w:r>
        <w:rPr/>
        <w:t>ρ——空气密度，kg/m³。 </w:t>
      </w:r>
    </w:p>
    <w:p>
      <w:pPr>
        <w:pStyle w:val="BodyText"/>
        <w:tabs>
          <w:tab w:pos="8252" w:val="left" w:leader="dot"/>
        </w:tabs>
        <w:spacing w:line="274" w:lineRule="exact" w:before="19"/>
        <w:ind w:left="838"/>
      </w:pPr>
      <w:r>
        <w:rPr/>
        <w:t>其 中 </w:t>
      </w:r>
      <w:r>
        <w:rPr>
          <w:spacing w:val="-3"/>
        </w:rPr>
        <w:t>：                     </w:t>
      </w:r>
      <w:r>
        <w:rPr>
          <w:spacing w:val="40"/>
        </w:rPr>
        <w:t> </w:t>
      </w:r>
      <w:r>
        <w:rPr/>
        <w:t>ρ </w:t>
      </w:r>
      <w:r>
        <w:rPr>
          <w:rFonts w:ascii="Cambria Math" w:hAnsi="Cambria Math" w:eastAsia="Cambria Math"/>
        </w:rPr>
        <w:t>= 0.00347 × </w:t>
      </w:r>
      <w:r>
        <w:rPr>
          <w:rFonts w:ascii="Cambria Math" w:hAnsi="Cambria Math" w:eastAsia="Cambria Math"/>
          <w:spacing w:val="3"/>
          <w:position w:val="12"/>
          <w:u w:val="single"/>
        </w:rPr>
        <w:t> </w:t>
      </w:r>
      <w:r>
        <w:rPr>
          <w:rFonts w:ascii="Cambria Math" w:hAnsi="Cambria Math" w:eastAsia="Cambria Math"/>
          <w:position w:val="12"/>
          <w:sz w:val="15"/>
          <w:u w:val="single"/>
        </w:rPr>
        <w:t>𝑝</w:t>
      </w:r>
      <w:r>
        <w:rPr>
          <w:rFonts w:ascii="Cambria Math" w:hAnsi="Cambria Math" w:eastAsia="Cambria Math"/>
          <w:position w:val="9"/>
          <w:sz w:val="12"/>
          <w:u w:val="single"/>
        </w:rPr>
        <w:t>𝑎</w:t>
      </w:r>
      <w:r>
        <w:rPr>
          <w:rFonts w:ascii="Cambria Math" w:hAnsi="Cambria Math" w:eastAsia="Cambria Math"/>
          <w:position w:val="9"/>
          <w:sz w:val="12"/>
        </w:rPr>
        <w:tab/>
      </w:r>
      <w:r>
        <w:rPr/>
        <w:t>（5） </w:t>
      </w:r>
    </w:p>
    <w:p>
      <w:pPr>
        <w:spacing w:line="128" w:lineRule="exact" w:before="0"/>
        <w:ind w:left="1880" w:right="1346" w:firstLine="0"/>
        <w:jc w:val="center"/>
        <w:rPr>
          <w:rFonts w:ascii="Cambria Math" w:eastAsia="Cambria Math"/>
          <w:sz w:val="15"/>
        </w:rPr>
      </w:pPr>
      <w:r>
        <w:rPr>
          <w:rFonts w:ascii="Cambria Math" w:eastAsia="Cambria Math"/>
          <w:w w:val="105"/>
          <w:sz w:val="15"/>
        </w:rPr>
        <w:t>𝑇+𝑡</w:t>
      </w:r>
    </w:p>
    <w:p>
      <w:pPr>
        <w:pStyle w:val="BodyText"/>
        <w:spacing w:line="446" w:lineRule="auto" w:before="160"/>
        <w:ind w:left="1469" w:right="6234" w:hanging="632"/>
      </w:pPr>
      <w:r>
        <w:rPr/>
        <w:t>式中：pn</w:t>
      </w:r>
      <w:r>
        <w:rPr>
          <w:spacing w:val="-3"/>
        </w:rPr>
        <w:t>——试验时的大气压，</w:t>
      </w:r>
      <w:r>
        <w:rPr/>
        <w:t>Pa； t—</w:t>
      </w:r>
      <w:r>
        <w:rPr>
          <w:spacing w:val="-3"/>
        </w:rPr>
        <w:t>—试验时的环境温度，℃； T——绝对温度</w:t>
      </w:r>
      <w:r>
        <w:rPr/>
        <w:t>，T=273℃。 </w:t>
      </w:r>
    </w:p>
    <w:p>
      <w:pPr>
        <w:pStyle w:val="ListParagraph"/>
        <w:numPr>
          <w:ilvl w:val="2"/>
          <w:numId w:val="971"/>
        </w:numPr>
        <w:tabs>
          <w:tab w:pos="1370" w:val="left" w:leader="none"/>
        </w:tabs>
        <w:spacing w:line="268" w:lineRule="exact" w:before="0" w:after="0"/>
        <w:ind w:left="1369" w:right="0" w:hanging="530"/>
        <w:jc w:val="left"/>
        <w:rPr>
          <w:sz w:val="21"/>
        </w:rPr>
      </w:pPr>
      <w:r>
        <w:rPr>
          <w:spacing w:val="-3"/>
          <w:sz w:val="21"/>
        </w:rPr>
        <w:t>全压空气功率</w:t>
      </w:r>
      <w:r>
        <w:rPr>
          <w:sz w:val="21"/>
        </w:rPr>
        <w:t> </w:t>
      </w:r>
    </w:p>
    <w:p>
      <w:pPr>
        <w:tabs>
          <w:tab w:pos="6740" w:val="left" w:leader="dot"/>
        </w:tabs>
        <w:spacing w:line="188" w:lineRule="exact" w:before="179" w:after="6"/>
        <w:ind w:left="2782" w:right="0" w:firstLine="0"/>
        <w:jc w:val="left"/>
        <w:rPr>
          <w:sz w:val="21"/>
        </w:rPr>
      </w:pPr>
      <w:r>
        <w:rPr>
          <w:rFonts w:ascii="Cambria Math" w:hAnsi="Cambria Math" w:eastAsia="Cambria Math"/>
          <w:sz w:val="21"/>
        </w:rPr>
        <w:t>N  </w:t>
      </w:r>
      <w:r>
        <w:rPr>
          <w:rFonts w:ascii="Cambria Math" w:hAnsi="Cambria Math" w:eastAsia="Cambria Math"/>
          <w:position w:val="1"/>
          <w:sz w:val="21"/>
        </w:rPr>
        <w:t>(</w:t>
      </w:r>
      <w:r>
        <w:rPr>
          <w:rFonts w:ascii="Cambria Math" w:hAnsi="Cambria Math" w:eastAsia="Cambria Math"/>
          <w:sz w:val="21"/>
        </w:rPr>
        <w:t>kW</w:t>
      </w:r>
      <w:r>
        <w:rPr>
          <w:rFonts w:ascii="Cambria Math" w:hAnsi="Cambria Math" w:eastAsia="Cambria Math"/>
          <w:position w:val="1"/>
          <w:sz w:val="21"/>
        </w:rPr>
        <w:t>)</w:t>
      </w:r>
      <w:r>
        <w:rPr>
          <w:rFonts w:ascii="Cambria Math" w:hAnsi="Cambria Math" w:eastAsia="Cambria Math"/>
          <w:spacing w:val="16"/>
          <w:position w:val="1"/>
          <w:sz w:val="21"/>
        </w:rPr>
        <w:t> </w:t>
      </w:r>
      <w:r>
        <w:rPr>
          <w:rFonts w:ascii="Cambria Math" w:hAnsi="Cambria Math" w:eastAsia="Cambria Math"/>
          <w:sz w:val="21"/>
        </w:rPr>
        <w:t>= </w:t>
      </w:r>
      <w:r>
        <w:rPr>
          <w:rFonts w:ascii="Cambria Math" w:hAnsi="Cambria Math" w:eastAsia="Cambria Math"/>
          <w:spacing w:val="19"/>
          <w:sz w:val="21"/>
        </w:rPr>
        <w:t> </w:t>
      </w:r>
      <w:r>
        <w:rPr>
          <w:rFonts w:ascii="Cambria Math" w:hAnsi="Cambria Math" w:eastAsia="Cambria Math"/>
          <w:position w:val="12"/>
          <w:sz w:val="15"/>
        </w:rPr>
        <w:t>Q·p</w:t>
        <w:tab/>
      </w:r>
      <w:r>
        <w:rPr>
          <w:sz w:val="21"/>
        </w:rPr>
        <w:t>（6） </w:t>
      </w:r>
    </w:p>
    <w:p>
      <w:pPr>
        <w:pStyle w:val="BodyText"/>
        <w:spacing w:line="20" w:lineRule="exact"/>
        <w:ind w:left="3758"/>
        <w:rPr>
          <w:sz w:val="2"/>
        </w:rPr>
      </w:pPr>
      <w:r>
        <w:rPr>
          <w:sz w:val="2"/>
        </w:rPr>
        <w:pict>
          <v:group style="width:17.4pt;height:.75pt;mso-position-horizontal-relative:char;mso-position-vertical-relative:line" coordorigin="0,0" coordsize="348,15">
            <v:line style="position:absolute" from="0,7" to="348,7" stroked="true" strokeweight=".72pt" strokecolor="#000000">
              <v:stroke dashstyle="solid"/>
            </v:line>
          </v:group>
        </w:pict>
      </w:r>
      <w:r>
        <w:rPr>
          <w:sz w:val="2"/>
        </w:rPr>
      </w:r>
    </w:p>
    <w:p>
      <w:pPr>
        <w:spacing w:after="0" w:line="20" w:lineRule="exact"/>
        <w:rPr>
          <w:sz w:val="2"/>
        </w:rPr>
        <w:sectPr>
          <w:pgSz w:w="11910" w:h="16850"/>
          <w:pgMar w:header="0" w:footer="1239" w:top="1220" w:bottom="1420" w:left="1260" w:right="0"/>
        </w:sectPr>
      </w:pPr>
    </w:p>
    <w:p>
      <w:pPr>
        <w:spacing w:line="125" w:lineRule="exact" w:before="0"/>
        <w:ind w:left="0" w:right="0" w:firstLine="0"/>
        <w:jc w:val="right"/>
        <w:rPr>
          <w:rFonts w:ascii="Cambria Math"/>
          <w:sz w:val="15"/>
        </w:rPr>
      </w:pPr>
      <w:r>
        <w:rPr>
          <w:rFonts w:ascii="Cambria Math"/>
          <w:w w:val="105"/>
          <w:sz w:val="15"/>
        </w:rPr>
        <w:t>1</w:t>
      </w:r>
    </w:p>
    <w:p>
      <w:pPr>
        <w:pStyle w:val="BodyText"/>
        <w:spacing w:before="4"/>
        <w:rPr>
          <w:rFonts w:ascii="Cambria Math"/>
          <w:sz w:val="18"/>
        </w:rPr>
      </w:pPr>
    </w:p>
    <w:p>
      <w:pPr>
        <w:pStyle w:val="ListParagraph"/>
        <w:numPr>
          <w:ilvl w:val="2"/>
          <w:numId w:val="971"/>
        </w:numPr>
        <w:tabs>
          <w:tab w:pos="1370" w:val="left" w:leader="none"/>
        </w:tabs>
        <w:spacing w:line="240" w:lineRule="auto" w:before="0" w:after="0"/>
        <w:ind w:left="1369" w:right="0" w:hanging="530"/>
        <w:jc w:val="left"/>
        <w:rPr>
          <w:sz w:val="21"/>
        </w:rPr>
      </w:pPr>
      <w:r>
        <w:rPr>
          <w:spacing w:val="-3"/>
          <w:sz w:val="21"/>
        </w:rPr>
        <w:t>风机轴功率</w:t>
      </w:r>
      <w:r>
        <w:rPr>
          <w:sz w:val="21"/>
        </w:rPr>
        <w:t> </w:t>
      </w:r>
    </w:p>
    <w:p>
      <w:pPr>
        <w:spacing w:before="11"/>
        <w:ind w:left="717" w:right="0" w:firstLine="0"/>
        <w:jc w:val="left"/>
        <w:rPr>
          <w:rFonts w:ascii="Cambria Math"/>
          <w:sz w:val="15"/>
        </w:rPr>
      </w:pPr>
      <w:r>
        <w:rPr/>
        <w:br w:type="column"/>
      </w:r>
      <w:r>
        <w:rPr>
          <w:rFonts w:ascii="Cambria Math"/>
          <w:w w:val="105"/>
          <w:sz w:val="15"/>
        </w:rPr>
        <w:t>1000</w:t>
      </w:r>
    </w:p>
    <w:p>
      <w:pPr>
        <w:spacing w:after="0"/>
        <w:jc w:val="left"/>
        <w:rPr>
          <w:rFonts w:ascii="Cambria Math"/>
          <w:sz w:val="15"/>
        </w:rPr>
        <w:sectPr>
          <w:type w:val="continuous"/>
          <w:pgSz w:w="11910" w:h="16850"/>
          <w:pgMar w:top="1600" w:bottom="1180" w:left="1260" w:right="0"/>
          <w:cols w:num="2" w:equalWidth="0">
            <w:col w:w="3010" w:space="40"/>
            <w:col w:w="7600"/>
          </w:cols>
        </w:sectPr>
      </w:pPr>
    </w:p>
    <w:p>
      <w:pPr>
        <w:pStyle w:val="BodyText"/>
        <w:spacing w:before="6"/>
        <w:rPr>
          <w:rFonts w:ascii="Cambria Math"/>
          <w:sz w:val="13"/>
        </w:rPr>
      </w:pPr>
    </w:p>
    <w:p>
      <w:pPr>
        <w:pStyle w:val="BodyText"/>
        <w:tabs>
          <w:tab w:pos="6757" w:val="left" w:leader="dot"/>
        </w:tabs>
        <w:spacing w:before="71"/>
        <w:ind w:left="2763"/>
      </w:pPr>
      <w:r>
        <w:rPr>
          <w:rFonts w:ascii="Cambria Math" w:hAnsi="Cambria Math" w:eastAsia="Cambria Math"/>
        </w:rPr>
        <w:t>N</w:t>
      </w:r>
      <w:r>
        <w:rPr>
          <w:rFonts w:ascii="Cambria Math" w:hAnsi="Cambria Math" w:eastAsia="Cambria Math"/>
          <w:position w:val="1"/>
        </w:rPr>
        <w:t>(</w:t>
      </w:r>
      <w:r>
        <w:rPr>
          <w:rFonts w:ascii="Cambria Math" w:hAnsi="Cambria Math" w:eastAsia="Cambria Math"/>
        </w:rPr>
        <w:t>kW</w:t>
      </w:r>
      <w:r>
        <w:rPr>
          <w:rFonts w:ascii="Cambria Math" w:hAnsi="Cambria Math" w:eastAsia="Cambria Math"/>
          <w:position w:val="1"/>
        </w:rPr>
        <w:t>) </w:t>
      </w:r>
      <w:r>
        <w:rPr>
          <w:rFonts w:ascii="Cambria Math" w:hAnsi="Cambria Math" w:eastAsia="Cambria Math"/>
        </w:rPr>
        <w:t>=  N</w:t>
      </w:r>
      <w:r>
        <w:rPr>
          <w:rFonts w:ascii="Cambria Math" w:hAnsi="Cambria Math" w:eastAsia="Cambria Math"/>
          <w:position w:val="-3"/>
          <w:sz w:val="15"/>
        </w:rPr>
        <w:t>i</w:t>
      </w:r>
      <w:r>
        <w:rPr>
          <w:rFonts w:ascii="Cambria Math" w:hAnsi="Cambria Math" w:eastAsia="Cambria Math"/>
          <w:spacing w:val="5"/>
          <w:position w:val="-3"/>
          <w:sz w:val="15"/>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N</w:t>
      </w:r>
      <w:r>
        <w:rPr>
          <w:rFonts w:ascii="Cambria Math" w:hAnsi="Cambria Math" w:eastAsia="Cambria Math"/>
          <w:position w:val="-3"/>
          <w:sz w:val="15"/>
        </w:rPr>
        <w:t>e</w:t>
        <w:tab/>
      </w:r>
      <w:r>
        <w:rPr/>
        <w:t>（7） </w:t>
      </w:r>
    </w:p>
    <w:p>
      <w:pPr>
        <w:pStyle w:val="BodyText"/>
        <w:spacing w:line="446" w:lineRule="auto" w:before="216"/>
        <w:ind w:left="838" w:right="6654"/>
      </w:pPr>
      <w:r>
        <w:rPr/>
        <w:t>式中：N——风机轴功率，kW； Ni——各测试点轴功率，kW； Ne——系统空载功率，kW； </w:t>
      </w:r>
    </w:p>
    <w:p>
      <w:pPr>
        <w:spacing w:after="0" w:line="446" w:lineRule="auto"/>
        <w:sectPr>
          <w:type w:val="continuous"/>
          <w:pgSz w:w="11910" w:h="16850"/>
          <w:pgMar w:top="1600" w:bottom="1180" w:left="1260" w:right="0"/>
        </w:sectPr>
      </w:pPr>
    </w:p>
    <w:p>
      <w:pPr>
        <w:pStyle w:val="ListParagraph"/>
        <w:numPr>
          <w:ilvl w:val="2"/>
          <w:numId w:val="971"/>
        </w:numPr>
        <w:tabs>
          <w:tab w:pos="1371" w:val="left" w:leader="none"/>
        </w:tabs>
        <w:spacing w:line="269" w:lineRule="exact" w:before="0" w:after="0"/>
        <w:ind w:left="1370" w:right="0" w:hanging="531"/>
        <w:jc w:val="left"/>
        <w:rPr>
          <w:sz w:val="21"/>
        </w:rPr>
      </w:pPr>
      <w:r>
        <w:rPr>
          <w:spacing w:val="-3"/>
          <w:sz w:val="21"/>
        </w:rPr>
        <w:t>风机效率η</w:t>
      </w:r>
      <w:r>
        <w:rPr>
          <w:sz w:val="21"/>
        </w:rPr>
        <w:t> </w:t>
      </w:r>
    </w:p>
    <w:p>
      <w:pPr>
        <w:pStyle w:val="BodyText"/>
        <w:rPr>
          <w:sz w:val="35"/>
        </w:rPr>
      </w:pPr>
      <w:r>
        <w:rPr/>
        <w:br w:type="column"/>
      </w:r>
      <w:r>
        <w:rPr>
          <w:sz w:val="35"/>
        </w:rPr>
      </w:r>
    </w:p>
    <w:p>
      <w:pPr>
        <w:pStyle w:val="BodyText"/>
        <w:tabs>
          <w:tab w:pos="4110" w:val="left" w:leader="dot"/>
        </w:tabs>
        <w:spacing w:line="274" w:lineRule="exact"/>
        <w:ind w:left="68"/>
      </w:pPr>
      <w:r>
        <w:rPr/>
        <w:t>η</w:t>
      </w:r>
      <w:r>
        <w:rPr>
          <w:rFonts w:ascii="Cambria Math" w:hAnsi="Cambria Math" w:eastAsia="Cambria Math"/>
          <w:position w:val="1"/>
        </w:rPr>
        <w:t>(</w:t>
      </w:r>
      <w:r>
        <w:rPr>
          <w:rFonts w:ascii="Cambria Math" w:hAnsi="Cambria Math" w:eastAsia="Cambria Math"/>
        </w:rPr>
        <w:t>%</w:t>
      </w:r>
      <w:r>
        <w:rPr>
          <w:rFonts w:ascii="Cambria Math" w:hAnsi="Cambria Math" w:eastAsia="Cambria Math"/>
          <w:position w:val="1"/>
        </w:rPr>
        <w:t>) </w:t>
      </w:r>
      <w:r>
        <w:rPr>
          <w:rFonts w:ascii="Cambria Math" w:hAnsi="Cambria Math" w:eastAsia="Cambria Math"/>
        </w:rPr>
        <w:t>= </w:t>
      </w:r>
      <w:r>
        <w:rPr>
          <w:rFonts w:ascii="Cambria Math" w:hAnsi="Cambria Math" w:eastAsia="Cambria Math"/>
          <w:position w:val="12"/>
          <w:u w:val="single"/>
        </w:rPr>
        <w:t> </w:t>
      </w:r>
      <w:r>
        <w:rPr>
          <w:rFonts w:ascii="Cambria Math" w:hAnsi="Cambria Math" w:eastAsia="Cambria Math"/>
          <w:position w:val="12"/>
          <w:sz w:val="15"/>
          <w:u w:val="single"/>
        </w:rPr>
        <w:t>N</w:t>
      </w:r>
      <w:r>
        <w:rPr>
          <w:rFonts w:ascii="Cambria Math" w:hAnsi="Cambria Math" w:eastAsia="Cambria Math"/>
          <w:position w:val="9"/>
          <w:sz w:val="12"/>
          <w:u w:val="single"/>
        </w:rPr>
        <w:t>1</w:t>
      </w:r>
      <w:r>
        <w:rPr>
          <w:rFonts w:ascii="Cambria Math" w:hAnsi="Cambria Math" w:eastAsia="Cambria Math"/>
          <w:spacing w:val="-1"/>
          <w:position w:val="9"/>
          <w:sz w:val="12"/>
        </w:rPr>
        <w:t> </w:t>
      </w:r>
      <w:r>
        <w:rPr>
          <w:rFonts w:ascii="Cambria Math" w:hAnsi="Cambria Math" w:eastAsia="Cambria Math"/>
        </w:rPr>
        <w:t>×</w:t>
      </w:r>
      <w:r>
        <w:rPr>
          <w:rFonts w:ascii="Cambria Math" w:hAnsi="Cambria Math" w:eastAsia="Cambria Math"/>
          <w:spacing w:val="2"/>
        </w:rPr>
        <w:t> </w:t>
      </w:r>
      <w:r>
        <w:rPr>
          <w:rFonts w:ascii="Cambria Math" w:hAnsi="Cambria Math" w:eastAsia="Cambria Math"/>
        </w:rPr>
        <w:t>100</w:t>
        <w:tab/>
      </w:r>
      <w:r>
        <w:rPr/>
        <w:t>（8） </w:t>
      </w:r>
    </w:p>
    <w:p>
      <w:pPr>
        <w:spacing w:line="128" w:lineRule="exact" w:before="0"/>
        <w:ind w:left="951" w:right="0" w:firstLine="0"/>
        <w:jc w:val="left"/>
        <w:rPr>
          <w:rFonts w:ascii="Cambria Math"/>
          <w:sz w:val="15"/>
        </w:rPr>
      </w:pPr>
      <w:r>
        <w:rPr>
          <w:rFonts w:ascii="Cambria Math"/>
          <w:w w:val="111"/>
          <w:sz w:val="15"/>
        </w:rPr>
        <w:t>N</w:t>
      </w:r>
    </w:p>
    <w:p>
      <w:pPr>
        <w:spacing w:after="0" w:line="128" w:lineRule="exact"/>
        <w:jc w:val="left"/>
        <w:rPr>
          <w:rFonts w:ascii="Cambria Math"/>
          <w:sz w:val="15"/>
        </w:rPr>
        <w:sectPr>
          <w:type w:val="continuous"/>
          <w:pgSz w:w="11910" w:h="16850"/>
          <w:pgMar w:top="1600" w:bottom="1180" w:left="1260" w:right="0"/>
          <w:cols w:num="2" w:equalWidth="0">
            <w:col w:w="2631" w:space="40"/>
            <w:col w:w="7979"/>
          </w:cols>
        </w:sectPr>
      </w:pPr>
    </w:p>
    <w:p>
      <w:pPr>
        <w:pStyle w:val="ListParagraph"/>
        <w:numPr>
          <w:ilvl w:val="2"/>
          <w:numId w:val="971"/>
        </w:numPr>
        <w:tabs>
          <w:tab w:pos="1370" w:val="left" w:leader="none"/>
        </w:tabs>
        <w:spacing w:line="240" w:lineRule="auto" w:before="150" w:after="0"/>
        <w:ind w:left="1369" w:right="0" w:hanging="530"/>
        <w:jc w:val="left"/>
        <w:rPr>
          <w:sz w:val="21"/>
        </w:rPr>
      </w:pPr>
      <w:r>
        <w:rPr>
          <w:spacing w:val="-6"/>
          <w:sz w:val="21"/>
        </w:rPr>
        <w:t>当测定条件为非标准环境状态时，修正到标准环境状态。将测定和计算的数据记入表</w:t>
      </w:r>
    </w:p>
    <w:p>
      <w:pPr>
        <w:pStyle w:val="BodyText"/>
        <w:spacing w:before="5"/>
        <w:rPr>
          <w:sz w:val="12"/>
        </w:rPr>
      </w:pPr>
    </w:p>
    <w:p>
      <w:pPr>
        <w:pStyle w:val="BodyText"/>
        <w:spacing w:before="72"/>
        <w:ind w:left="418"/>
      </w:pPr>
      <w:r>
        <w:rPr/>
        <w:t>2。 </w:t>
      </w:r>
    </w:p>
    <w:p>
      <w:pPr>
        <w:pStyle w:val="BodyText"/>
        <w:spacing w:before="7"/>
        <w:rPr>
          <w:sz w:val="12"/>
        </w:rPr>
      </w:pPr>
    </w:p>
    <w:p>
      <w:pPr>
        <w:pStyle w:val="Heading6"/>
        <w:spacing w:before="71"/>
        <w:ind w:left="3310"/>
      </w:pPr>
      <w:r>
        <w:rPr/>
        <w:t>表 2 风机性能试验记录及计算表</w:t>
      </w:r>
      <w:r>
        <w:rPr>
          <w:w w:val="99"/>
        </w:rPr>
        <w:t> </w:t>
      </w:r>
    </w:p>
    <w:p>
      <w:pPr>
        <w:pStyle w:val="BodyText"/>
        <w:rPr>
          <w:b/>
          <w:sz w:val="18"/>
        </w:rPr>
      </w:pPr>
    </w:p>
    <w:p>
      <w:pPr>
        <w:pStyle w:val="BodyText"/>
        <w:spacing w:after="40"/>
        <w:ind w:left="418"/>
      </w:pPr>
      <w:r>
        <w:rPr/>
        <w:t>试 验 日 期 ： 年 月 日 地 点 ： </w:t>
      </w: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
        <w:gridCol w:w="471"/>
        <w:gridCol w:w="346"/>
        <w:gridCol w:w="435"/>
        <w:gridCol w:w="437"/>
        <w:gridCol w:w="438"/>
        <w:gridCol w:w="375"/>
        <w:gridCol w:w="377"/>
        <w:gridCol w:w="377"/>
        <w:gridCol w:w="375"/>
        <w:gridCol w:w="447"/>
        <w:gridCol w:w="483"/>
        <w:gridCol w:w="483"/>
        <w:gridCol w:w="481"/>
        <w:gridCol w:w="483"/>
        <w:gridCol w:w="377"/>
        <w:gridCol w:w="377"/>
        <w:gridCol w:w="390"/>
        <w:gridCol w:w="377"/>
        <w:gridCol w:w="605"/>
        <w:gridCol w:w="425"/>
      </w:tblGrid>
      <w:tr>
        <w:trPr>
          <w:trHeight w:val="501" w:hRule="atLeast"/>
        </w:trPr>
        <w:tc>
          <w:tcPr>
            <w:tcW w:w="377" w:type="dxa"/>
            <w:vMerge w:val="restart"/>
          </w:tcPr>
          <w:p>
            <w:pPr>
              <w:pStyle w:val="TableParagraph"/>
              <w:rPr>
                <w:sz w:val="20"/>
              </w:rPr>
            </w:pPr>
          </w:p>
          <w:p>
            <w:pPr>
              <w:pStyle w:val="TableParagraph"/>
              <w:rPr>
                <w:sz w:val="20"/>
              </w:rPr>
            </w:pPr>
          </w:p>
          <w:p>
            <w:pPr>
              <w:pStyle w:val="TableParagraph"/>
              <w:rPr>
                <w:sz w:val="20"/>
              </w:rPr>
            </w:pPr>
          </w:p>
          <w:p>
            <w:pPr>
              <w:pStyle w:val="TableParagraph"/>
              <w:spacing w:before="3"/>
              <w:rPr>
                <w:sz w:val="14"/>
              </w:rPr>
            </w:pPr>
          </w:p>
          <w:p>
            <w:pPr>
              <w:pStyle w:val="TableParagraph"/>
              <w:spacing w:line="446" w:lineRule="auto" w:before="1"/>
              <w:ind w:left="107" w:right="-58"/>
              <w:jc w:val="both"/>
              <w:rPr>
                <w:sz w:val="21"/>
              </w:rPr>
            </w:pPr>
            <w:r>
              <w:rPr>
                <w:sz w:val="21"/>
              </w:rPr>
              <w:t>工况点 </w:t>
            </w:r>
          </w:p>
        </w:tc>
        <w:tc>
          <w:tcPr>
            <w:tcW w:w="471" w:type="dxa"/>
            <w:vMerge w:val="restart"/>
          </w:tcPr>
          <w:p>
            <w:pPr>
              <w:pStyle w:val="TableParagraph"/>
              <w:rPr>
                <w:sz w:val="20"/>
              </w:rPr>
            </w:pPr>
          </w:p>
          <w:p>
            <w:pPr>
              <w:pStyle w:val="TableParagraph"/>
              <w:rPr>
                <w:sz w:val="20"/>
              </w:rPr>
            </w:pPr>
          </w:p>
          <w:p>
            <w:pPr>
              <w:pStyle w:val="TableParagraph"/>
              <w:spacing w:before="10"/>
              <w:rPr>
                <w:sz w:val="14"/>
              </w:rPr>
            </w:pPr>
          </w:p>
          <w:p>
            <w:pPr>
              <w:pStyle w:val="TableParagraph"/>
              <w:spacing w:line="446" w:lineRule="auto"/>
              <w:ind w:left="129" w:right="13"/>
              <w:rPr>
                <w:sz w:val="21"/>
              </w:rPr>
            </w:pPr>
            <w:r>
              <w:rPr>
                <w:sz w:val="21"/>
              </w:rPr>
              <w:t>静压</w:t>
            </w:r>
            <w:r>
              <w:rPr>
                <w:position w:val="1"/>
                <w:sz w:val="21"/>
              </w:rPr>
              <w:t>p</w:t>
            </w:r>
            <w:r>
              <w:rPr>
                <w:sz w:val="11"/>
              </w:rPr>
              <w:t>e </w:t>
            </w:r>
            <w:r>
              <w:rPr>
                <w:sz w:val="21"/>
              </w:rPr>
              <w:t>Pa </w:t>
            </w:r>
          </w:p>
        </w:tc>
        <w:tc>
          <w:tcPr>
            <w:tcW w:w="8088" w:type="dxa"/>
            <w:gridSpan w:val="19"/>
          </w:tcPr>
          <w:p>
            <w:pPr>
              <w:pStyle w:val="TableParagraph"/>
              <w:spacing w:before="11"/>
              <w:rPr>
                <w:sz w:val="14"/>
              </w:rPr>
            </w:pPr>
          </w:p>
          <w:p>
            <w:pPr>
              <w:pStyle w:val="TableParagraph"/>
              <w:ind w:left="3651" w:right="3546"/>
              <w:jc w:val="center"/>
              <w:rPr>
                <w:sz w:val="21"/>
              </w:rPr>
            </w:pPr>
            <w:r>
              <w:rPr>
                <w:sz w:val="21"/>
              </w:rPr>
              <w:t>动压，Pa </w:t>
            </w:r>
          </w:p>
        </w:tc>
      </w:tr>
      <w:tr>
        <w:trPr>
          <w:trHeight w:val="1998" w:hRule="atLeast"/>
        </w:trPr>
        <w:tc>
          <w:tcPr>
            <w:tcW w:w="377" w:type="dxa"/>
            <w:vMerge/>
            <w:tcBorders>
              <w:top w:val="nil"/>
            </w:tcBorders>
          </w:tcPr>
          <w:p>
            <w:pPr>
              <w:rPr>
                <w:sz w:val="2"/>
                <w:szCs w:val="2"/>
              </w:rPr>
            </w:pPr>
          </w:p>
        </w:tc>
        <w:tc>
          <w:tcPr>
            <w:tcW w:w="471" w:type="dxa"/>
            <w:vMerge/>
            <w:tcBorders>
              <w:top w:val="nil"/>
            </w:tcBorders>
          </w:tcPr>
          <w:p>
            <w:pPr>
              <w:rPr>
                <w:sz w:val="2"/>
                <w:szCs w:val="2"/>
              </w:rPr>
            </w:pPr>
          </w:p>
        </w:tc>
        <w:tc>
          <w:tcPr>
            <w:tcW w:w="7663" w:type="dxa"/>
            <w:gridSpan w:val="18"/>
          </w:tcPr>
          <w:p>
            <w:pPr>
              <w:pStyle w:val="TableParagraph"/>
              <w:rPr>
                <w:sz w:val="20"/>
              </w:rPr>
            </w:pPr>
          </w:p>
          <w:p>
            <w:pPr>
              <w:pStyle w:val="TableParagraph"/>
              <w:rPr>
                <w:sz w:val="20"/>
              </w:rPr>
            </w:pPr>
          </w:p>
          <w:p>
            <w:pPr>
              <w:pStyle w:val="TableParagraph"/>
              <w:rPr>
                <w:sz w:val="20"/>
              </w:rPr>
            </w:pPr>
          </w:p>
          <w:p>
            <w:pPr>
              <w:pStyle w:val="TableParagraph"/>
              <w:spacing w:before="170"/>
              <w:ind w:left="3544" w:right="3439"/>
              <w:jc w:val="center"/>
              <w:rPr>
                <w:sz w:val="21"/>
              </w:rPr>
            </w:pPr>
            <w:r>
              <w:rPr>
                <w:sz w:val="21"/>
              </w:rPr>
              <w:t>测定值 </w:t>
            </w:r>
          </w:p>
        </w:tc>
        <w:tc>
          <w:tcPr>
            <w:tcW w:w="425" w:type="dxa"/>
          </w:tcPr>
          <w:p>
            <w:pPr>
              <w:pStyle w:val="TableParagraph"/>
              <w:spacing w:before="11"/>
              <w:rPr>
                <w:sz w:val="14"/>
              </w:rPr>
            </w:pPr>
          </w:p>
          <w:p>
            <w:pPr>
              <w:pStyle w:val="TableParagraph"/>
              <w:spacing w:line="446" w:lineRule="auto"/>
              <w:ind w:left="99" w:right="102"/>
              <w:jc w:val="both"/>
              <w:rPr>
                <w:sz w:val="21"/>
              </w:rPr>
            </w:pPr>
            <w:r>
              <w:rPr>
                <w:sz w:val="21"/>
              </w:rPr>
              <w:t>平均值</w:t>
            </w:r>
          </w:p>
          <w:p>
            <w:pPr>
              <w:pStyle w:val="TableParagraph"/>
              <w:spacing w:line="267" w:lineRule="exact"/>
              <w:ind w:left="99"/>
              <w:rPr>
                <w:sz w:val="21"/>
              </w:rPr>
            </w:pPr>
            <w:r>
              <w:rPr>
                <w:position w:val="1"/>
                <w:sz w:val="21"/>
              </w:rPr>
              <w:t>p</w:t>
            </w:r>
            <w:r>
              <w:rPr>
                <w:sz w:val="11"/>
              </w:rPr>
              <w:t>d</w:t>
            </w:r>
            <w:r>
              <w:rPr>
                <w:w w:val="100"/>
                <w:position w:val="1"/>
                <w:sz w:val="21"/>
              </w:rPr>
              <w:t> </w:t>
            </w:r>
          </w:p>
        </w:tc>
      </w:tr>
      <w:tr>
        <w:trPr>
          <w:trHeight w:val="501" w:hRule="atLeast"/>
        </w:trPr>
        <w:tc>
          <w:tcPr>
            <w:tcW w:w="377" w:type="dxa"/>
            <w:vMerge/>
            <w:tcBorders>
              <w:top w:val="nil"/>
            </w:tcBorders>
          </w:tcPr>
          <w:p>
            <w:pPr>
              <w:rPr>
                <w:sz w:val="2"/>
                <w:szCs w:val="2"/>
              </w:rPr>
            </w:pPr>
          </w:p>
        </w:tc>
        <w:tc>
          <w:tcPr>
            <w:tcW w:w="471" w:type="dxa"/>
            <w:vMerge/>
            <w:tcBorders>
              <w:top w:val="nil"/>
            </w:tcBorders>
          </w:tcPr>
          <w:p>
            <w:pPr>
              <w:rPr>
                <w:sz w:val="2"/>
                <w:szCs w:val="2"/>
              </w:rPr>
            </w:pPr>
          </w:p>
        </w:tc>
        <w:tc>
          <w:tcPr>
            <w:tcW w:w="346" w:type="dxa"/>
          </w:tcPr>
          <w:p>
            <w:pPr>
              <w:pStyle w:val="TableParagraph"/>
              <w:spacing w:before="201"/>
              <w:ind w:left="106"/>
              <w:rPr>
                <w:rFonts w:ascii="Cambria Math" w:eastAsia="Cambria Math"/>
                <w:sz w:val="15"/>
              </w:rPr>
            </w:pPr>
            <w:r>
              <w:rPr>
                <w:rFonts w:ascii="Cambria Math" w:eastAsia="Cambria Math"/>
                <w:w w:val="105"/>
                <w:sz w:val="21"/>
              </w:rPr>
              <w:t>𝑝</w:t>
            </w:r>
            <w:r>
              <w:rPr>
                <w:rFonts w:ascii="Cambria Math" w:eastAsia="Cambria Math"/>
                <w:w w:val="105"/>
                <w:position w:val="-3"/>
                <w:sz w:val="15"/>
              </w:rPr>
              <w:t>𝑑</w:t>
            </w:r>
          </w:p>
        </w:tc>
        <w:tc>
          <w:tcPr>
            <w:tcW w:w="435" w:type="dxa"/>
          </w:tcPr>
          <w:p>
            <w:pPr>
              <w:pStyle w:val="TableParagraph"/>
              <w:spacing w:line="280" w:lineRule="exact" w:before="201"/>
              <w:ind w:left="106"/>
              <w:rPr>
                <w:rFonts w:ascii="Cambria Math" w:eastAsia="Cambria Math"/>
                <w:sz w:val="12"/>
              </w:rPr>
            </w:pPr>
            <w:r>
              <w:rPr>
                <w:rFonts w:ascii="Cambria Math" w:eastAsia="Cambria Math"/>
                <w:w w:val="105"/>
                <w:sz w:val="21"/>
              </w:rPr>
              <w:t>𝑝</w:t>
            </w:r>
            <w:r>
              <w:rPr>
                <w:rFonts w:ascii="Cambria Math" w:eastAsia="Cambria Math"/>
                <w:w w:val="105"/>
                <w:position w:val="-3"/>
                <w:sz w:val="15"/>
              </w:rPr>
              <w:t>𝑑</w:t>
            </w:r>
            <w:r>
              <w:rPr>
                <w:rFonts w:ascii="Cambria Math" w:eastAsia="Cambria Math"/>
                <w:w w:val="105"/>
                <w:position w:val="-6"/>
                <w:sz w:val="12"/>
              </w:rPr>
              <w:t>2</w:t>
            </w:r>
          </w:p>
        </w:tc>
        <w:tc>
          <w:tcPr>
            <w:tcW w:w="437" w:type="dxa"/>
          </w:tcPr>
          <w:p>
            <w:pPr>
              <w:pStyle w:val="TableParagraph"/>
              <w:spacing w:line="280" w:lineRule="exact" w:before="201"/>
              <w:ind w:left="108"/>
              <w:rPr>
                <w:rFonts w:ascii="Cambria Math" w:eastAsia="Cambria Math"/>
                <w:sz w:val="12"/>
              </w:rPr>
            </w:pPr>
            <w:r>
              <w:rPr>
                <w:rFonts w:ascii="Cambria Math" w:eastAsia="Cambria Math"/>
                <w:w w:val="105"/>
                <w:sz w:val="21"/>
              </w:rPr>
              <w:t>𝑝</w:t>
            </w:r>
            <w:r>
              <w:rPr>
                <w:rFonts w:ascii="Cambria Math" w:eastAsia="Cambria Math"/>
                <w:w w:val="105"/>
                <w:position w:val="-3"/>
                <w:sz w:val="15"/>
              </w:rPr>
              <w:t>𝑑</w:t>
            </w:r>
            <w:r>
              <w:rPr>
                <w:rFonts w:ascii="Cambria Math" w:eastAsia="Cambria Math"/>
                <w:w w:val="105"/>
                <w:position w:val="-6"/>
                <w:sz w:val="12"/>
              </w:rPr>
              <w:t>3</w:t>
            </w:r>
          </w:p>
        </w:tc>
        <w:tc>
          <w:tcPr>
            <w:tcW w:w="438" w:type="dxa"/>
          </w:tcPr>
          <w:p>
            <w:pPr>
              <w:pStyle w:val="TableParagraph"/>
              <w:spacing w:line="280" w:lineRule="exact" w:before="201"/>
              <w:ind w:left="106"/>
              <w:rPr>
                <w:rFonts w:ascii="Cambria Math" w:eastAsia="Cambria Math"/>
                <w:sz w:val="12"/>
              </w:rPr>
            </w:pPr>
            <w:r>
              <w:rPr>
                <w:rFonts w:ascii="Cambria Math" w:eastAsia="Cambria Math"/>
                <w:w w:val="105"/>
                <w:sz w:val="21"/>
              </w:rPr>
              <w:t>𝑝</w:t>
            </w:r>
            <w:r>
              <w:rPr>
                <w:rFonts w:ascii="Cambria Math" w:eastAsia="Cambria Math"/>
                <w:w w:val="105"/>
                <w:position w:val="-3"/>
                <w:sz w:val="15"/>
              </w:rPr>
              <w:t>𝑑</w:t>
            </w:r>
            <w:r>
              <w:rPr>
                <w:rFonts w:ascii="Cambria Math" w:eastAsia="Cambria Math"/>
                <w:w w:val="105"/>
                <w:position w:val="-6"/>
                <w:sz w:val="12"/>
              </w:rPr>
              <w:t>4</w:t>
            </w:r>
          </w:p>
        </w:tc>
        <w:tc>
          <w:tcPr>
            <w:tcW w:w="375" w:type="dxa"/>
          </w:tcPr>
          <w:p>
            <w:pPr>
              <w:pStyle w:val="TableParagraph"/>
              <w:spacing w:before="11"/>
              <w:rPr>
                <w:sz w:val="14"/>
              </w:rPr>
            </w:pPr>
          </w:p>
          <w:p>
            <w:pPr>
              <w:pStyle w:val="TableParagraph"/>
              <w:ind w:left="105"/>
              <w:rPr>
                <w:sz w:val="21"/>
              </w:rPr>
            </w:pPr>
            <w:r>
              <w:rPr>
                <w:w w:val="100"/>
                <w:sz w:val="21"/>
              </w:rPr>
              <w:t>…</w:t>
            </w:r>
          </w:p>
        </w:tc>
        <w:tc>
          <w:tcPr>
            <w:tcW w:w="377" w:type="dxa"/>
          </w:tcPr>
          <w:p>
            <w:pPr>
              <w:pStyle w:val="TableParagraph"/>
              <w:spacing w:before="11"/>
              <w:rPr>
                <w:sz w:val="14"/>
              </w:rPr>
            </w:pPr>
          </w:p>
          <w:p>
            <w:pPr>
              <w:pStyle w:val="TableParagraph"/>
              <w:ind w:left="58"/>
              <w:jc w:val="center"/>
              <w:rPr>
                <w:sz w:val="21"/>
              </w:rPr>
            </w:pPr>
            <w:r>
              <w:rPr>
                <w:w w:val="100"/>
                <w:sz w:val="21"/>
              </w:rPr>
              <w:t>…</w:t>
            </w:r>
          </w:p>
        </w:tc>
        <w:tc>
          <w:tcPr>
            <w:tcW w:w="377" w:type="dxa"/>
          </w:tcPr>
          <w:p>
            <w:pPr>
              <w:pStyle w:val="TableParagraph"/>
              <w:spacing w:before="11"/>
              <w:rPr>
                <w:sz w:val="14"/>
              </w:rPr>
            </w:pPr>
          </w:p>
          <w:p>
            <w:pPr>
              <w:pStyle w:val="TableParagraph"/>
              <w:ind w:left="104"/>
              <w:rPr>
                <w:sz w:val="21"/>
              </w:rPr>
            </w:pPr>
            <w:r>
              <w:rPr>
                <w:w w:val="100"/>
                <w:sz w:val="21"/>
              </w:rPr>
              <w:t>…</w:t>
            </w:r>
          </w:p>
        </w:tc>
        <w:tc>
          <w:tcPr>
            <w:tcW w:w="375" w:type="dxa"/>
          </w:tcPr>
          <w:p>
            <w:pPr>
              <w:pStyle w:val="TableParagraph"/>
              <w:spacing w:before="11"/>
              <w:rPr>
                <w:sz w:val="14"/>
              </w:rPr>
            </w:pPr>
          </w:p>
          <w:p>
            <w:pPr>
              <w:pStyle w:val="TableParagraph"/>
              <w:ind w:left="104"/>
              <w:rPr>
                <w:sz w:val="21"/>
              </w:rPr>
            </w:pPr>
            <w:r>
              <w:rPr>
                <w:w w:val="100"/>
                <w:sz w:val="21"/>
              </w:rPr>
              <w:t>…</w:t>
            </w:r>
          </w:p>
        </w:tc>
        <w:tc>
          <w:tcPr>
            <w:tcW w:w="447" w:type="dxa"/>
          </w:tcPr>
          <w:p>
            <w:pPr>
              <w:pStyle w:val="TableParagraph"/>
              <w:spacing w:line="280" w:lineRule="exact" w:before="201"/>
              <w:ind w:left="105"/>
              <w:rPr>
                <w:rFonts w:ascii="Cambria Math" w:eastAsia="Cambria Math"/>
                <w:sz w:val="12"/>
              </w:rPr>
            </w:pPr>
            <w:r>
              <w:rPr>
                <w:rFonts w:ascii="Cambria Math" w:eastAsia="Cambria Math"/>
                <w:w w:val="110"/>
                <w:sz w:val="21"/>
              </w:rPr>
              <w:t>𝑝</w:t>
            </w:r>
            <w:r>
              <w:rPr>
                <w:rFonts w:ascii="Cambria Math" w:eastAsia="Cambria Math"/>
                <w:w w:val="110"/>
                <w:position w:val="-3"/>
                <w:sz w:val="15"/>
              </w:rPr>
              <w:t>𝑑</w:t>
            </w:r>
            <w:r>
              <w:rPr>
                <w:rFonts w:ascii="Cambria Math" w:eastAsia="Cambria Math"/>
                <w:w w:val="110"/>
                <w:position w:val="-6"/>
                <w:sz w:val="12"/>
              </w:rPr>
              <w:t>𝜎</w:t>
            </w:r>
          </w:p>
        </w:tc>
        <w:tc>
          <w:tcPr>
            <w:tcW w:w="483" w:type="dxa"/>
          </w:tcPr>
          <w:p>
            <w:pPr>
              <w:pStyle w:val="TableParagraph"/>
              <w:spacing w:line="280" w:lineRule="exact" w:before="201"/>
              <w:ind w:left="102"/>
              <w:rPr>
                <w:rFonts w:ascii="Cambria Math" w:hAnsi="Cambria Math" w:eastAsia="Cambria Math"/>
                <w:sz w:val="12"/>
              </w:rPr>
            </w:pPr>
            <w:r>
              <w:rPr>
                <w:rFonts w:ascii="Cambria Math" w:hAnsi="Cambria Math" w:eastAsia="Cambria Math"/>
                <w:w w:val="105"/>
                <w:sz w:val="21"/>
              </w:rPr>
              <w:t>𝑝′</w:t>
            </w:r>
            <w:r>
              <w:rPr>
                <w:rFonts w:ascii="Cambria Math" w:hAnsi="Cambria Math" w:eastAsia="Cambria Math"/>
                <w:w w:val="105"/>
                <w:position w:val="-3"/>
                <w:sz w:val="15"/>
              </w:rPr>
              <w:t>𝑑</w:t>
            </w:r>
            <w:r>
              <w:rPr>
                <w:rFonts w:ascii="Cambria Math" w:hAnsi="Cambria Math" w:eastAsia="Cambria Math"/>
                <w:w w:val="105"/>
                <w:position w:val="-6"/>
                <w:sz w:val="12"/>
              </w:rPr>
              <w:t>1</w:t>
            </w:r>
          </w:p>
        </w:tc>
        <w:tc>
          <w:tcPr>
            <w:tcW w:w="483" w:type="dxa"/>
          </w:tcPr>
          <w:p>
            <w:pPr>
              <w:pStyle w:val="TableParagraph"/>
              <w:spacing w:line="280" w:lineRule="exact" w:before="201"/>
              <w:ind w:left="102"/>
              <w:rPr>
                <w:rFonts w:ascii="Cambria Math" w:hAnsi="Cambria Math" w:eastAsia="Cambria Math"/>
                <w:sz w:val="12"/>
              </w:rPr>
            </w:pPr>
            <w:r>
              <w:rPr>
                <w:rFonts w:ascii="Cambria Math" w:hAnsi="Cambria Math" w:eastAsia="Cambria Math"/>
                <w:w w:val="105"/>
                <w:sz w:val="21"/>
              </w:rPr>
              <w:t>𝑝′</w:t>
            </w:r>
            <w:r>
              <w:rPr>
                <w:rFonts w:ascii="Cambria Math" w:hAnsi="Cambria Math" w:eastAsia="Cambria Math"/>
                <w:w w:val="105"/>
                <w:position w:val="-3"/>
                <w:sz w:val="15"/>
              </w:rPr>
              <w:t>𝑑</w:t>
            </w:r>
            <w:r>
              <w:rPr>
                <w:rFonts w:ascii="Cambria Math" w:hAnsi="Cambria Math" w:eastAsia="Cambria Math"/>
                <w:w w:val="105"/>
                <w:position w:val="-6"/>
                <w:sz w:val="12"/>
              </w:rPr>
              <w:t>2</w:t>
            </w:r>
          </w:p>
        </w:tc>
        <w:tc>
          <w:tcPr>
            <w:tcW w:w="481" w:type="dxa"/>
          </w:tcPr>
          <w:p>
            <w:pPr>
              <w:pStyle w:val="TableParagraph"/>
              <w:spacing w:line="280" w:lineRule="exact" w:before="201"/>
              <w:ind w:left="102"/>
              <w:rPr>
                <w:rFonts w:ascii="Cambria Math" w:hAnsi="Cambria Math" w:eastAsia="Cambria Math"/>
                <w:sz w:val="12"/>
              </w:rPr>
            </w:pPr>
            <w:r>
              <w:rPr>
                <w:rFonts w:ascii="Cambria Math" w:hAnsi="Cambria Math" w:eastAsia="Cambria Math"/>
                <w:w w:val="105"/>
                <w:sz w:val="21"/>
              </w:rPr>
              <w:t>𝑝′</w:t>
            </w:r>
            <w:r>
              <w:rPr>
                <w:rFonts w:ascii="Cambria Math" w:hAnsi="Cambria Math" w:eastAsia="Cambria Math"/>
                <w:w w:val="105"/>
                <w:position w:val="-3"/>
                <w:sz w:val="15"/>
              </w:rPr>
              <w:t>𝑑</w:t>
            </w:r>
            <w:r>
              <w:rPr>
                <w:rFonts w:ascii="Cambria Math" w:hAnsi="Cambria Math" w:eastAsia="Cambria Math"/>
                <w:w w:val="105"/>
                <w:position w:val="-6"/>
                <w:sz w:val="12"/>
              </w:rPr>
              <w:t>3</w:t>
            </w:r>
          </w:p>
        </w:tc>
        <w:tc>
          <w:tcPr>
            <w:tcW w:w="483" w:type="dxa"/>
          </w:tcPr>
          <w:p>
            <w:pPr>
              <w:pStyle w:val="TableParagraph"/>
              <w:spacing w:line="280" w:lineRule="exact" w:before="201"/>
              <w:ind w:left="101"/>
              <w:rPr>
                <w:rFonts w:ascii="Cambria Math" w:hAnsi="Cambria Math" w:eastAsia="Cambria Math"/>
                <w:sz w:val="12"/>
              </w:rPr>
            </w:pPr>
            <w:r>
              <w:rPr>
                <w:rFonts w:ascii="Cambria Math" w:hAnsi="Cambria Math" w:eastAsia="Cambria Math"/>
                <w:w w:val="105"/>
                <w:sz w:val="21"/>
              </w:rPr>
              <w:t>𝑝′</w:t>
            </w:r>
            <w:r>
              <w:rPr>
                <w:rFonts w:ascii="Cambria Math" w:hAnsi="Cambria Math" w:eastAsia="Cambria Math"/>
                <w:w w:val="105"/>
                <w:position w:val="-3"/>
                <w:sz w:val="15"/>
              </w:rPr>
              <w:t>𝑑</w:t>
            </w:r>
            <w:r>
              <w:rPr>
                <w:rFonts w:ascii="Cambria Math" w:hAnsi="Cambria Math" w:eastAsia="Cambria Math"/>
                <w:w w:val="105"/>
                <w:position w:val="-6"/>
                <w:sz w:val="12"/>
              </w:rPr>
              <w:t>4</w:t>
            </w:r>
          </w:p>
        </w:tc>
        <w:tc>
          <w:tcPr>
            <w:tcW w:w="377" w:type="dxa"/>
          </w:tcPr>
          <w:p>
            <w:pPr>
              <w:pStyle w:val="TableParagraph"/>
              <w:spacing w:before="11"/>
              <w:rPr>
                <w:sz w:val="14"/>
              </w:rPr>
            </w:pPr>
          </w:p>
          <w:p>
            <w:pPr>
              <w:pStyle w:val="TableParagraph"/>
              <w:ind w:left="100"/>
              <w:rPr>
                <w:sz w:val="21"/>
              </w:rPr>
            </w:pPr>
            <w:r>
              <w:rPr>
                <w:w w:val="100"/>
                <w:sz w:val="21"/>
              </w:rPr>
              <w:t>…</w:t>
            </w:r>
          </w:p>
        </w:tc>
        <w:tc>
          <w:tcPr>
            <w:tcW w:w="377" w:type="dxa"/>
          </w:tcPr>
          <w:p>
            <w:pPr>
              <w:pStyle w:val="TableParagraph"/>
              <w:spacing w:before="11"/>
              <w:rPr>
                <w:sz w:val="14"/>
              </w:rPr>
            </w:pPr>
          </w:p>
          <w:p>
            <w:pPr>
              <w:pStyle w:val="TableParagraph"/>
              <w:ind w:left="100"/>
              <w:rPr>
                <w:sz w:val="21"/>
              </w:rPr>
            </w:pPr>
            <w:r>
              <w:rPr>
                <w:w w:val="100"/>
                <w:sz w:val="21"/>
              </w:rPr>
              <w:t>…</w:t>
            </w:r>
          </w:p>
        </w:tc>
        <w:tc>
          <w:tcPr>
            <w:tcW w:w="390" w:type="dxa"/>
          </w:tcPr>
          <w:p>
            <w:pPr>
              <w:pStyle w:val="TableParagraph"/>
              <w:spacing w:before="11"/>
              <w:rPr>
                <w:sz w:val="14"/>
              </w:rPr>
            </w:pPr>
          </w:p>
          <w:p>
            <w:pPr>
              <w:pStyle w:val="TableParagraph"/>
              <w:ind w:left="100" w:right="-44"/>
              <w:rPr>
                <w:sz w:val="21"/>
              </w:rPr>
            </w:pPr>
            <w:r>
              <w:rPr>
                <w:sz w:val="21"/>
              </w:rPr>
              <w:t>… </w:t>
            </w:r>
          </w:p>
        </w:tc>
        <w:tc>
          <w:tcPr>
            <w:tcW w:w="377" w:type="dxa"/>
          </w:tcPr>
          <w:p>
            <w:pPr>
              <w:pStyle w:val="TableParagraph"/>
              <w:spacing w:before="11"/>
              <w:rPr>
                <w:sz w:val="14"/>
              </w:rPr>
            </w:pPr>
          </w:p>
          <w:p>
            <w:pPr>
              <w:pStyle w:val="TableParagraph"/>
              <w:ind w:left="48"/>
              <w:jc w:val="center"/>
              <w:rPr>
                <w:sz w:val="21"/>
              </w:rPr>
            </w:pPr>
            <w:r>
              <w:rPr>
                <w:w w:val="100"/>
                <w:sz w:val="21"/>
              </w:rPr>
              <w:t>…</w:t>
            </w:r>
          </w:p>
        </w:tc>
        <w:tc>
          <w:tcPr>
            <w:tcW w:w="605" w:type="dxa"/>
          </w:tcPr>
          <w:p>
            <w:pPr>
              <w:pStyle w:val="TableParagraph"/>
              <w:spacing w:line="280" w:lineRule="exact" w:before="201"/>
              <w:ind w:left="111"/>
              <w:rPr>
                <w:sz w:val="21"/>
              </w:rPr>
            </w:pPr>
            <w:r>
              <w:rPr>
                <w:rFonts w:ascii="Cambria Math" w:hAnsi="Cambria Math" w:eastAsia="Cambria Math"/>
                <w:w w:val="110"/>
                <w:sz w:val="21"/>
              </w:rPr>
              <w:t>𝑝′</w:t>
            </w:r>
            <w:r>
              <w:rPr>
                <w:rFonts w:ascii="Cambria Math" w:hAnsi="Cambria Math" w:eastAsia="Cambria Math"/>
                <w:w w:val="110"/>
                <w:position w:val="-3"/>
                <w:sz w:val="15"/>
              </w:rPr>
              <w:t>𝑑</w:t>
            </w:r>
            <w:r>
              <w:rPr>
                <w:rFonts w:ascii="Cambria Math" w:hAnsi="Cambria Math" w:eastAsia="Cambria Math"/>
                <w:w w:val="110"/>
                <w:position w:val="-6"/>
                <w:sz w:val="12"/>
              </w:rPr>
              <w:t>𝜎</w:t>
            </w:r>
            <w:r>
              <w:rPr>
                <w:w w:val="100"/>
                <w:sz w:val="21"/>
              </w:rPr>
              <w:t> </w:t>
            </w:r>
          </w:p>
        </w:tc>
        <w:tc>
          <w:tcPr>
            <w:tcW w:w="425" w:type="dxa"/>
          </w:tcPr>
          <w:p>
            <w:pPr>
              <w:pStyle w:val="TableParagraph"/>
              <w:spacing w:before="11"/>
              <w:rPr>
                <w:sz w:val="14"/>
              </w:rPr>
            </w:pPr>
          </w:p>
          <w:p>
            <w:pPr>
              <w:pStyle w:val="TableParagraph"/>
              <w:ind w:left="99"/>
              <w:rPr>
                <w:sz w:val="21"/>
              </w:rPr>
            </w:pPr>
            <w:r>
              <w:rPr>
                <w:w w:val="100"/>
                <w:sz w:val="21"/>
              </w:rPr>
              <w:t> </w:t>
            </w:r>
          </w:p>
        </w:tc>
      </w:tr>
      <w:tr>
        <w:trPr>
          <w:trHeight w:val="1000" w:hRule="atLeast"/>
        </w:trPr>
        <w:tc>
          <w:tcPr>
            <w:tcW w:w="377" w:type="dxa"/>
          </w:tcPr>
          <w:p>
            <w:pPr>
              <w:pStyle w:val="TableParagraph"/>
              <w:spacing w:line="500" w:lineRule="exact"/>
              <w:ind w:left="107" w:right="-58"/>
              <w:rPr>
                <w:sz w:val="21"/>
              </w:rPr>
            </w:pPr>
            <w:r>
              <w:rPr>
                <w:sz w:val="21"/>
              </w:rPr>
              <w:t>全部 </w:t>
            </w:r>
          </w:p>
        </w:tc>
        <w:tc>
          <w:tcPr>
            <w:tcW w:w="471" w:type="dxa"/>
          </w:tcPr>
          <w:p>
            <w:pPr>
              <w:pStyle w:val="TableParagraph"/>
              <w:spacing w:before="11"/>
              <w:rPr>
                <w:sz w:val="14"/>
              </w:rPr>
            </w:pPr>
          </w:p>
          <w:p>
            <w:pPr>
              <w:pStyle w:val="TableParagraph"/>
              <w:ind w:left="107"/>
              <w:rPr>
                <w:sz w:val="21"/>
              </w:rPr>
            </w:pPr>
            <w:r>
              <w:rPr>
                <w:w w:val="100"/>
                <w:sz w:val="21"/>
              </w:rPr>
              <w:t> </w:t>
            </w:r>
          </w:p>
        </w:tc>
        <w:tc>
          <w:tcPr>
            <w:tcW w:w="346" w:type="dxa"/>
          </w:tcPr>
          <w:p>
            <w:pPr>
              <w:pStyle w:val="TableParagraph"/>
              <w:spacing w:before="11"/>
              <w:rPr>
                <w:sz w:val="14"/>
              </w:rPr>
            </w:pPr>
          </w:p>
          <w:p>
            <w:pPr>
              <w:pStyle w:val="TableParagraph"/>
              <w:ind w:left="106"/>
              <w:rPr>
                <w:sz w:val="21"/>
              </w:rPr>
            </w:pPr>
            <w:r>
              <w:rPr>
                <w:w w:val="100"/>
                <w:sz w:val="21"/>
              </w:rPr>
              <w:t> </w:t>
            </w:r>
          </w:p>
        </w:tc>
        <w:tc>
          <w:tcPr>
            <w:tcW w:w="435" w:type="dxa"/>
          </w:tcPr>
          <w:p>
            <w:pPr>
              <w:pStyle w:val="TableParagraph"/>
              <w:spacing w:before="11"/>
              <w:rPr>
                <w:sz w:val="14"/>
              </w:rPr>
            </w:pPr>
          </w:p>
          <w:p>
            <w:pPr>
              <w:pStyle w:val="TableParagraph"/>
              <w:ind w:left="106"/>
              <w:rPr>
                <w:sz w:val="21"/>
              </w:rPr>
            </w:pPr>
            <w:r>
              <w:rPr>
                <w:w w:val="100"/>
                <w:sz w:val="21"/>
              </w:rPr>
              <w:t> </w:t>
            </w:r>
          </w:p>
        </w:tc>
        <w:tc>
          <w:tcPr>
            <w:tcW w:w="437" w:type="dxa"/>
          </w:tcPr>
          <w:p>
            <w:pPr>
              <w:pStyle w:val="TableParagraph"/>
              <w:spacing w:before="11"/>
              <w:rPr>
                <w:sz w:val="14"/>
              </w:rPr>
            </w:pPr>
          </w:p>
          <w:p>
            <w:pPr>
              <w:pStyle w:val="TableParagraph"/>
              <w:ind w:left="108"/>
              <w:rPr>
                <w:sz w:val="21"/>
              </w:rPr>
            </w:pPr>
            <w:r>
              <w:rPr>
                <w:w w:val="100"/>
                <w:sz w:val="21"/>
              </w:rPr>
              <w:t> </w:t>
            </w:r>
          </w:p>
        </w:tc>
        <w:tc>
          <w:tcPr>
            <w:tcW w:w="438" w:type="dxa"/>
          </w:tcPr>
          <w:p>
            <w:pPr>
              <w:pStyle w:val="TableParagraph"/>
              <w:spacing w:before="11"/>
              <w:rPr>
                <w:sz w:val="14"/>
              </w:rPr>
            </w:pPr>
          </w:p>
          <w:p>
            <w:pPr>
              <w:pStyle w:val="TableParagraph"/>
              <w:ind w:left="106"/>
              <w:rPr>
                <w:sz w:val="21"/>
              </w:rPr>
            </w:pPr>
            <w:r>
              <w:rPr>
                <w:w w:val="100"/>
                <w:sz w:val="21"/>
              </w:rPr>
              <w:t> </w:t>
            </w:r>
          </w:p>
        </w:tc>
        <w:tc>
          <w:tcPr>
            <w:tcW w:w="375" w:type="dxa"/>
          </w:tcPr>
          <w:p>
            <w:pPr>
              <w:pStyle w:val="TableParagraph"/>
              <w:spacing w:before="11"/>
              <w:rPr>
                <w:sz w:val="14"/>
              </w:rPr>
            </w:pPr>
          </w:p>
          <w:p>
            <w:pPr>
              <w:pStyle w:val="TableParagraph"/>
              <w:ind w:left="105"/>
              <w:rPr>
                <w:sz w:val="21"/>
              </w:rPr>
            </w:pPr>
            <w:r>
              <w:rPr>
                <w:w w:val="100"/>
                <w:sz w:val="21"/>
              </w:rPr>
              <w:t> </w:t>
            </w:r>
          </w:p>
        </w:tc>
        <w:tc>
          <w:tcPr>
            <w:tcW w:w="377" w:type="dxa"/>
          </w:tcPr>
          <w:p>
            <w:pPr>
              <w:pStyle w:val="TableParagraph"/>
              <w:spacing w:before="11"/>
              <w:rPr>
                <w:sz w:val="14"/>
              </w:rPr>
            </w:pPr>
          </w:p>
          <w:p>
            <w:pPr>
              <w:pStyle w:val="TableParagraph"/>
              <w:ind w:right="45"/>
              <w:jc w:val="center"/>
              <w:rPr>
                <w:sz w:val="21"/>
              </w:rPr>
            </w:pPr>
            <w:r>
              <w:rPr>
                <w:w w:val="100"/>
                <w:sz w:val="21"/>
              </w:rPr>
              <w:t> </w:t>
            </w:r>
          </w:p>
        </w:tc>
        <w:tc>
          <w:tcPr>
            <w:tcW w:w="377" w:type="dxa"/>
          </w:tcPr>
          <w:p>
            <w:pPr>
              <w:pStyle w:val="TableParagraph"/>
              <w:spacing w:before="11"/>
              <w:rPr>
                <w:sz w:val="14"/>
              </w:rPr>
            </w:pPr>
          </w:p>
          <w:p>
            <w:pPr>
              <w:pStyle w:val="TableParagraph"/>
              <w:ind w:left="104"/>
              <w:rPr>
                <w:sz w:val="21"/>
              </w:rPr>
            </w:pPr>
            <w:r>
              <w:rPr>
                <w:w w:val="100"/>
                <w:sz w:val="21"/>
              </w:rPr>
              <w:t> </w:t>
            </w:r>
          </w:p>
        </w:tc>
        <w:tc>
          <w:tcPr>
            <w:tcW w:w="375" w:type="dxa"/>
          </w:tcPr>
          <w:p>
            <w:pPr>
              <w:pStyle w:val="TableParagraph"/>
              <w:spacing w:before="11"/>
              <w:rPr>
                <w:sz w:val="14"/>
              </w:rPr>
            </w:pPr>
          </w:p>
          <w:p>
            <w:pPr>
              <w:pStyle w:val="TableParagraph"/>
              <w:ind w:left="104"/>
              <w:rPr>
                <w:sz w:val="21"/>
              </w:rPr>
            </w:pPr>
            <w:r>
              <w:rPr>
                <w:w w:val="100"/>
                <w:sz w:val="21"/>
              </w:rPr>
              <w:t> </w:t>
            </w:r>
          </w:p>
        </w:tc>
        <w:tc>
          <w:tcPr>
            <w:tcW w:w="447" w:type="dxa"/>
          </w:tcPr>
          <w:p>
            <w:pPr>
              <w:pStyle w:val="TableParagraph"/>
              <w:spacing w:before="11"/>
              <w:rPr>
                <w:sz w:val="14"/>
              </w:rPr>
            </w:pPr>
          </w:p>
          <w:p>
            <w:pPr>
              <w:pStyle w:val="TableParagraph"/>
              <w:ind w:left="105"/>
              <w:rPr>
                <w:sz w:val="21"/>
              </w:rPr>
            </w:pPr>
            <w:r>
              <w:rPr>
                <w:w w:val="100"/>
                <w:sz w:val="21"/>
              </w:rPr>
              <w:t> </w:t>
            </w:r>
          </w:p>
        </w:tc>
        <w:tc>
          <w:tcPr>
            <w:tcW w:w="483" w:type="dxa"/>
          </w:tcPr>
          <w:p>
            <w:pPr>
              <w:pStyle w:val="TableParagraph"/>
              <w:spacing w:before="11"/>
              <w:rPr>
                <w:sz w:val="14"/>
              </w:rPr>
            </w:pPr>
          </w:p>
          <w:p>
            <w:pPr>
              <w:pStyle w:val="TableParagraph"/>
              <w:ind w:left="102"/>
              <w:rPr>
                <w:sz w:val="21"/>
              </w:rPr>
            </w:pPr>
            <w:r>
              <w:rPr>
                <w:w w:val="100"/>
                <w:sz w:val="21"/>
              </w:rPr>
              <w:t> </w:t>
            </w:r>
          </w:p>
        </w:tc>
        <w:tc>
          <w:tcPr>
            <w:tcW w:w="483" w:type="dxa"/>
          </w:tcPr>
          <w:p>
            <w:pPr>
              <w:pStyle w:val="TableParagraph"/>
              <w:spacing w:before="11"/>
              <w:rPr>
                <w:sz w:val="14"/>
              </w:rPr>
            </w:pPr>
          </w:p>
          <w:p>
            <w:pPr>
              <w:pStyle w:val="TableParagraph"/>
              <w:ind w:left="102"/>
              <w:rPr>
                <w:sz w:val="21"/>
              </w:rPr>
            </w:pPr>
            <w:r>
              <w:rPr>
                <w:w w:val="100"/>
                <w:sz w:val="21"/>
              </w:rPr>
              <w:t> </w:t>
            </w:r>
          </w:p>
        </w:tc>
        <w:tc>
          <w:tcPr>
            <w:tcW w:w="481" w:type="dxa"/>
          </w:tcPr>
          <w:p>
            <w:pPr>
              <w:pStyle w:val="TableParagraph"/>
              <w:spacing w:before="11"/>
              <w:rPr>
                <w:sz w:val="14"/>
              </w:rPr>
            </w:pPr>
          </w:p>
          <w:p>
            <w:pPr>
              <w:pStyle w:val="TableParagraph"/>
              <w:ind w:left="102"/>
              <w:rPr>
                <w:sz w:val="21"/>
              </w:rPr>
            </w:pPr>
            <w:r>
              <w:rPr>
                <w:w w:val="100"/>
                <w:sz w:val="21"/>
              </w:rPr>
              <w:t> </w:t>
            </w:r>
          </w:p>
        </w:tc>
        <w:tc>
          <w:tcPr>
            <w:tcW w:w="483" w:type="dxa"/>
          </w:tcPr>
          <w:p>
            <w:pPr>
              <w:pStyle w:val="TableParagraph"/>
              <w:spacing w:before="11"/>
              <w:rPr>
                <w:sz w:val="14"/>
              </w:rPr>
            </w:pPr>
          </w:p>
          <w:p>
            <w:pPr>
              <w:pStyle w:val="TableParagraph"/>
              <w:ind w:left="101"/>
              <w:rPr>
                <w:sz w:val="21"/>
              </w:rPr>
            </w:pPr>
            <w:r>
              <w:rPr>
                <w:w w:val="100"/>
                <w:sz w:val="21"/>
              </w:rPr>
              <w:t> </w:t>
            </w:r>
          </w:p>
        </w:tc>
        <w:tc>
          <w:tcPr>
            <w:tcW w:w="377" w:type="dxa"/>
          </w:tcPr>
          <w:p>
            <w:pPr>
              <w:pStyle w:val="TableParagraph"/>
              <w:spacing w:before="11"/>
              <w:rPr>
                <w:sz w:val="14"/>
              </w:rPr>
            </w:pPr>
          </w:p>
          <w:p>
            <w:pPr>
              <w:pStyle w:val="TableParagraph"/>
              <w:ind w:left="100"/>
              <w:rPr>
                <w:sz w:val="21"/>
              </w:rPr>
            </w:pPr>
            <w:r>
              <w:rPr>
                <w:w w:val="100"/>
                <w:sz w:val="21"/>
              </w:rPr>
              <w:t> </w:t>
            </w:r>
          </w:p>
        </w:tc>
        <w:tc>
          <w:tcPr>
            <w:tcW w:w="377" w:type="dxa"/>
          </w:tcPr>
          <w:p>
            <w:pPr>
              <w:pStyle w:val="TableParagraph"/>
              <w:spacing w:before="11"/>
              <w:rPr>
                <w:sz w:val="14"/>
              </w:rPr>
            </w:pPr>
          </w:p>
          <w:p>
            <w:pPr>
              <w:pStyle w:val="TableParagraph"/>
              <w:ind w:left="100"/>
              <w:rPr>
                <w:sz w:val="21"/>
              </w:rPr>
            </w:pPr>
            <w:r>
              <w:rPr>
                <w:w w:val="100"/>
                <w:sz w:val="21"/>
              </w:rPr>
              <w:t> </w:t>
            </w:r>
          </w:p>
        </w:tc>
        <w:tc>
          <w:tcPr>
            <w:tcW w:w="390" w:type="dxa"/>
          </w:tcPr>
          <w:p>
            <w:pPr>
              <w:pStyle w:val="TableParagraph"/>
              <w:spacing w:before="11"/>
              <w:rPr>
                <w:sz w:val="14"/>
              </w:rPr>
            </w:pPr>
          </w:p>
          <w:p>
            <w:pPr>
              <w:pStyle w:val="TableParagraph"/>
              <w:ind w:left="100"/>
              <w:rPr>
                <w:sz w:val="21"/>
              </w:rPr>
            </w:pPr>
            <w:r>
              <w:rPr>
                <w:w w:val="100"/>
                <w:sz w:val="21"/>
              </w:rPr>
              <w:t> </w:t>
            </w:r>
          </w:p>
        </w:tc>
        <w:tc>
          <w:tcPr>
            <w:tcW w:w="377" w:type="dxa"/>
          </w:tcPr>
          <w:p>
            <w:pPr>
              <w:pStyle w:val="TableParagraph"/>
              <w:spacing w:before="11"/>
              <w:rPr>
                <w:sz w:val="14"/>
              </w:rPr>
            </w:pPr>
          </w:p>
          <w:p>
            <w:pPr>
              <w:pStyle w:val="TableParagraph"/>
              <w:ind w:right="55"/>
              <w:jc w:val="center"/>
              <w:rPr>
                <w:sz w:val="21"/>
              </w:rPr>
            </w:pPr>
            <w:r>
              <w:rPr>
                <w:w w:val="100"/>
                <w:sz w:val="21"/>
              </w:rPr>
              <w:t> </w:t>
            </w:r>
          </w:p>
        </w:tc>
        <w:tc>
          <w:tcPr>
            <w:tcW w:w="605" w:type="dxa"/>
          </w:tcPr>
          <w:p>
            <w:pPr>
              <w:pStyle w:val="TableParagraph"/>
              <w:spacing w:before="11"/>
              <w:rPr>
                <w:sz w:val="14"/>
              </w:rPr>
            </w:pPr>
          </w:p>
          <w:p>
            <w:pPr>
              <w:pStyle w:val="TableParagraph"/>
              <w:ind w:left="99"/>
              <w:rPr>
                <w:sz w:val="21"/>
              </w:rPr>
            </w:pPr>
            <w:r>
              <w:rPr>
                <w:w w:val="100"/>
                <w:sz w:val="21"/>
              </w:rPr>
              <w:t> </w:t>
            </w:r>
          </w:p>
        </w:tc>
        <w:tc>
          <w:tcPr>
            <w:tcW w:w="425" w:type="dxa"/>
          </w:tcPr>
          <w:p>
            <w:pPr>
              <w:pStyle w:val="TableParagraph"/>
              <w:spacing w:before="11"/>
              <w:rPr>
                <w:sz w:val="14"/>
              </w:rPr>
            </w:pPr>
          </w:p>
          <w:p>
            <w:pPr>
              <w:pStyle w:val="TableParagraph"/>
              <w:ind w:left="99"/>
              <w:rPr>
                <w:sz w:val="21"/>
              </w:rPr>
            </w:pPr>
            <w:r>
              <w:rPr>
                <w:w w:val="100"/>
                <w:sz w:val="21"/>
              </w:rPr>
              <w:t> </w:t>
            </w:r>
          </w:p>
        </w:tc>
      </w:tr>
      <w:tr>
        <w:trPr>
          <w:trHeight w:val="498" w:hRule="atLeast"/>
        </w:trPr>
        <w:tc>
          <w:tcPr>
            <w:tcW w:w="377" w:type="dxa"/>
          </w:tcPr>
          <w:p>
            <w:pPr>
              <w:pStyle w:val="TableParagraph"/>
              <w:spacing w:before="11"/>
              <w:rPr>
                <w:sz w:val="14"/>
              </w:rPr>
            </w:pPr>
          </w:p>
          <w:p>
            <w:pPr>
              <w:pStyle w:val="TableParagraph"/>
              <w:ind w:left="107"/>
              <w:rPr>
                <w:sz w:val="21"/>
              </w:rPr>
            </w:pPr>
            <w:r>
              <w:rPr>
                <w:sz w:val="21"/>
              </w:rPr>
              <w:t>1 </w:t>
            </w:r>
          </w:p>
        </w:tc>
        <w:tc>
          <w:tcPr>
            <w:tcW w:w="471" w:type="dxa"/>
          </w:tcPr>
          <w:p>
            <w:pPr>
              <w:pStyle w:val="TableParagraph"/>
              <w:spacing w:before="11"/>
              <w:rPr>
                <w:sz w:val="14"/>
              </w:rPr>
            </w:pPr>
          </w:p>
          <w:p>
            <w:pPr>
              <w:pStyle w:val="TableParagraph"/>
              <w:ind w:left="107"/>
              <w:rPr>
                <w:sz w:val="21"/>
              </w:rPr>
            </w:pPr>
            <w:r>
              <w:rPr>
                <w:w w:val="100"/>
                <w:sz w:val="21"/>
              </w:rPr>
              <w:t> </w:t>
            </w:r>
          </w:p>
        </w:tc>
        <w:tc>
          <w:tcPr>
            <w:tcW w:w="346" w:type="dxa"/>
          </w:tcPr>
          <w:p>
            <w:pPr>
              <w:pStyle w:val="TableParagraph"/>
              <w:spacing w:before="11"/>
              <w:rPr>
                <w:sz w:val="14"/>
              </w:rPr>
            </w:pPr>
          </w:p>
          <w:p>
            <w:pPr>
              <w:pStyle w:val="TableParagraph"/>
              <w:ind w:left="106"/>
              <w:rPr>
                <w:sz w:val="21"/>
              </w:rPr>
            </w:pPr>
            <w:r>
              <w:rPr>
                <w:w w:val="100"/>
                <w:sz w:val="21"/>
              </w:rPr>
              <w:t> </w:t>
            </w:r>
          </w:p>
        </w:tc>
        <w:tc>
          <w:tcPr>
            <w:tcW w:w="435" w:type="dxa"/>
          </w:tcPr>
          <w:p>
            <w:pPr>
              <w:pStyle w:val="TableParagraph"/>
              <w:spacing w:before="11"/>
              <w:rPr>
                <w:sz w:val="14"/>
              </w:rPr>
            </w:pPr>
          </w:p>
          <w:p>
            <w:pPr>
              <w:pStyle w:val="TableParagraph"/>
              <w:ind w:left="106"/>
              <w:rPr>
                <w:sz w:val="21"/>
              </w:rPr>
            </w:pPr>
            <w:r>
              <w:rPr>
                <w:w w:val="100"/>
                <w:sz w:val="21"/>
              </w:rPr>
              <w:t> </w:t>
            </w:r>
          </w:p>
        </w:tc>
        <w:tc>
          <w:tcPr>
            <w:tcW w:w="437" w:type="dxa"/>
          </w:tcPr>
          <w:p>
            <w:pPr>
              <w:pStyle w:val="TableParagraph"/>
              <w:spacing w:before="11"/>
              <w:rPr>
                <w:sz w:val="14"/>
              </w:rPr>
            </w:pPr>
          </w:p>
          <w:p>
            <w:pPr>
              <w:pStyle w:val="TableParagraph"/>
              <w:ind w:left="108"/>
              <w:rPr>
                <w:sz w:val="21"/>
              </w:rPr>
            </w:pPr>
            <w:r>
              <w:rPr>
                <w:w w:val="100"/>
                <w:sz w:val="21"/>
              </w:rPr>
              <w:t> </w:t>
            </w:r>
          </w:p>
        </w:tc>
        <w:tc>
          <w:tcPr>
            <w:tcW w:w="438" w:type="dxa"/>
          </w:tcPr>
          <w:p>
            <w:pPr>
              <w:pStyle w:val="TableParagraph"/>
              <w:spacing w:before="11"/>
              <w:rPr>
                <w:sz w:val="14"/>
              </w:rPr>
            </w:pPr>
          </w:p>
          <w:p>
            <w:pPr>
              <w:pStyle w:val="TableParagraph"/>
              <w:ind w:left="106"/>
              <w:rPr>
                <w:sz w:val="21"/>
              </w:rPr>
            </w:pPr>
            <w:r>
              <w:rPr>
                <w:w w:val="100"/>
                <w:sz w:val="21"/>
              </w:rPr>
              <w:t> </w:t>
            </w:r>
          </w:p>
        </w:tc>
        <w:tc>
          <w:tcPr>
            <w:tcW w:w="375" w:type="dxa"/>
          </w:tcPr>
          <w:p>
            <w:pPr>
              <w:pStyle w:val="TableParagraph"/>
              <w:spacing w:before="11"/>
              <w:rPr>
                <w:sz w:val="14"/>
              </w:rPr>
            </w:pPr>
          </w:p>
          <w:p>
            <w:pPr>
              <w:pStyle w:val="TableParagraph"/>
              <w:ind w:left="105"/>
              <w:rPr>
                <w:sz w:val="21"/>
              </w:rPr>
            </w:pPr>
            <w:r>
              <w:rPr>
                <w:w w:val="100"/>
                <w:sz w:val="21"/>
              </w:rPr>
              <w:t> </w:t>
            </w:r>
          </w:p>
        </w:tc>
        <w:tc>
          <w:tcPr>
            <w:tcW w:w="377" w:type="dxa"/>
          </w:tcPr>
          <w:p>
            <w:pPr>
              <w:pStyle w:val="TableParagraph"/>
              <w:spacing w:before="11"/>
              <w:rPr>
                <w:sz w:val="14"/>
              </w:rPr>
            </w:pPr>
          </w:p>
          <w:p>
            <w:pPr>
              <w:pStyle w:val="TableParagraph"/>
              <w:ind w:right="45"/>
              <w:jc w:val="center"/>
              <w:rPr>
                <w:sz w:val="21"/>
              </w:rPr>
            </w:pPr>
            <w:r>
              <w:rPr>
                <w:w w:val="100"/>
                <w:sz w:val="21"/>
              </w:rPr>
              <w:t> </w:t>
            </w:r>
          </w:p>
        </w:tc>
        <w:tc>
          <w:tcPr>
            <w:tcW w:w="377" w:type="dxa"/>
          </w:tcPr>
          <w:p>
            <w:pPr>
              <w:pStyle w:val="TableParagraph"/>
              <w:spacing w:before="11"/>
              <w:rPr>
                <w:sz w:val="14"/>
              </w:rPr>
            </w:pPr>
          </w:p>
          <w:p>
            <w:pPr>
              <w:pStyle w:val="TableParagraph"/>
              <w:ind w:left="104"/>
              <w:rPr>
                <w:sz w:val="21"/>
              </w:rPr>
            </w:pPr>
            <w:r>
              <w:rPr>
                <w:w w:val="100"/>
                <w:sz w:val="21"/>
              </w:rPr>
              <w:t> </w:t>
            </w:r>
          </w:p>
        </w:tc>
        <w:tc>
          <w:tcPr>
            <w:tcW w:w="375" w:type="dxa"/>
          </w:tcPr>
          <w:p>
            <w:pPr>
              <w:pStyle w:val="TableParagraph"/>
              <w:spacing w:before="11"/>
              <w:rPr>
                <w:sz w:val="14"/>
              </w:rPr>
            </w:pPr>
          </w:p>
          <w:p>
            <w:pPr>
              <w:pStyle w:val="TableParagraph"/>
              <w:ind w:left="104"/>
              <w:rPr>
                <w:sz w:val="21"/>
              </w:rPr>
            </w:pPr>
            <w:r>
              <w:rPr>
                <w:w w:val="100"/>
                <w:sz w:val="21"/>
              </w:rPr>
              <w:t> </w:t>
            </w:r>
          </w:p>
        </w:tc>
        <w:tc>
          <w:tcPr>
            <w:tcW w:w="447" w:type="dxa"/>
          </w:tcPr>
          <w:p>
            <w:pPr>
              <w:pStyle w:val="TableParagraph"/>
              <w:spacing w:before="11"/>
              <w:rPr>
                <w:sz w:val="14"/>
              </w:rPr>
            </w:pPr>
          </w:p>
          <w:p>
            <w:pPr>
              <w:pStyle w:val="TableParagraph"/>
              <w:ind w:left="105"/>
              <w:rPr>
                <w:sz w:val="21"/>
              </w:rPr>
            </w:pPr>
            <w:r>
              <w:rPr>
                <w:w w:val="100"/>
                <w:sz w:val="21"/>
              </w:rPr>
              <w:t> </w:t>
            </w:r>
          </w:p>
        </w:tc>
        <w:tc>
          <w:tcPr>
            <w:tcW w:w="483" w:type="dxa"/>
          </w:tcPr>
          <w:p>
            <w:pPr>
              <w:pStyle w:val="TableParagraph"/>
              <w:spacing w:before="11"/>
              <w:rPr>
                <w:sz w:val="14"/>
              </w:rPr>
            </w:pPr>
          </w:p>
          <w:p>
            <w:pPr>
              <w:pStyle w:val="TableParagraph"/>
              <w:ind w:left="102"/>
              <w:rPr>
                <w:sz w:val="21"/>
              </w:rPr>
            </w:pPr>
            <w:r>
              <w:rPr>
                <w:w w:val="100"/>
                <w:sz w:val="21"/>
              </w:rPr>
              <w:t> </w:t>
            </w:r>
          </w:p>
        </w:tc>
        <w:tc>
          <w:tcPr>
            <w:tcW w:w="483" w:type="dxa"/>
          </w:tcPr>
          <w:p>
            <w:pPr>
              <w:pStyle w:val="TableParagraph"/>
              <w:spacing w:before="11"/>
              <w:rPr>
                <w:sz w:val="14"/>
              </w:rPr>
            </w:pPr>
          </w:p>
          <w:p>
            <w:pPr>
              <w:pStyle w:val="TableParagraph"/>
              <w:ind w:left="102"/>
              <w:rPr>
                <w:sz w:val="21"/>
              </w:rPr>
            </w:pPr>
            <w:r>
              <w:rPr>
                <w:w w:val="100"/>
                <w:sz w:val="21"/>
              </w:rPr>
              <w:t> </w:t>
            </w:r>
          </w:p>
        </w:tc>
        <w:tc>
          <w:tcPr>
            <w:tcW w:w="481" w:type="dxa"/>
          </w:tcPr>
          <w:p>
            <w:pPr>
              <w:pStyle w:val="TableParagraph"/>
              <w:spacing w:before="11"/>
              <w:rPr>
                <w:sz w:val="14"/>
              </w:rPr>
            </w:pPr>
          </w:p>
          <w:p>
            <w:pPr>
              <w:pStyle w:val="TableParagraph"/>
              <w:ind w:left="102"/>
              <w:rPr>
                <w:sz w:val="21"/>
              </w:rPr>
            </w:pPr>
            <w:r>
              <w:rPr>
                <w:w w:val="100"/>
                <w:sz w:val="21"/>
              </w:rPr>
              <w:t> </w:t>
            </w:r>
          </w:p>
        </w:tc>
        <w:tc>
          <w:tcPr>
            <w:tcW w:w="483" w:type="dxa"/>
          </w:tcPr>
          <w:p>
            <w:pPr>
              <w:pStyle w:val="TableParagraph"/>
              <w:spacing w:before="11"/>
              <w:rPr>
                <w:sz w:val="14"/>
              </w:rPr>
            </w:pPr>
          </w:p>
          <w:p>
            <w:pPr>
              <w:pStyle w:val="TableParagraph"/>
              <w:ind w:left="101"/>
              <w:rPr>
                <w:sz w:val="21"/>
              </w:rPr>
            </w:pPr>
            <w:r>
              <w:rPr>
                <w:w w:val="100"/>
                <w:sz w:val="21"/>
              </w:rPr>
              <w:t> </w:t>
            </w:r>
          </w:p>
        </w:tc>
        <w:tc>
          <w:tcPr>
            <w:tcW w:w="377" w:type="dxa"/>
          </w:tcPr>
          <w:p>
            <w:pPr>
              <w:pStyle w:val="TableParagraph"/>
              <w:spacing w:before="11"/>
              <w:rPr>
                <w:sz w:val="14"/>
              </w:rPr>
            </w:pPr>
          </w:p>
          <w:p>
            <w:pPr>
              <w:pStyle w:val="TableParagraph"/>
              <w:ind w:left="100"/>
              <w:rPr>
                <w:sz w:val="21"/>
              </w:rPr>
            </w:pPr>
            <w:r>
              <w:rPr>
                <w:w w:val="100"/>
                <w:sz w:val="21"/>
              </w:rPr>
              <w:t> </w:t>
            </w:r>
          </w:p>
        </w:tc>
        <w:tc>
          <w:tcPr>
            <w:tcW w:w="377" w:type="dxa"/>
          </w:tcPr>
          <w:p>
            <w:pPr>
              <w:pStyle w:val="TableParagraph"/>
              <w:spacing w:before="11"/>
              <w:rPr>
                <w:sz w:val="14"/>
              </w:rPr>
            </w:pPr>
          </w:p>
          <w:p>
            <w:pPr>
              <w:pStyle w:val="TableParagraph"/>
              <w:ind w:left="100"/>
              <w:rPr>
                <w:sz w:val="21"/>
              </w:rPr>
            </w:pPr>
            <w:r>
              <w:rPr>
                <w:w w:val="100"/>
                <w:sz w:val="21"/>
              </w:rPr>
              <w:t> </w:t>
            </w:r>
          </w:p>
        </w:tc>
        <w:tc>
          <w:tcPr>
            <w:tcW w:w="390" w:type="dxa"/>
          </w:tcPr>
          <w:p>
            <w:pPr>
              <w:pStyle w:val="TableParagraph"/>
              <w:spacing w:before="11"/>
              <w:rPr>
                <w:sz w:val="14"/>
              </w:rPr>
            </w:pPr>
          </w:p>
          <w:p>
            <w:pPr>
              <w:pStyle w:val="TableParagraph"/>
              <w:ind w:left="100"/>
              <w:rPr>
                <w:sz w:val="21"/>
              </w:rPr>
            </w:pPr>
            <w:r>
              <w:rPr>
                <w:w w:val="100"/>
                <w:sz w:val="21"/>
              </w:rPr>
              <w:t> </w:t>
            </w:r>
          </w:p>
        </w:tc>
        <w:tc>
          <w:tcPr>
            <w:tcW w:w="377" w:type="dxa"/>
          </w:tcPr>
          <w:p>
            <w:pPr>
              <w:pStyle w:val="TableParagraph"/>
              <w:spacing w:before="11"/>
              <w:rPr>
                <w:sz w:val="14"/>
              </w:rPr>
            </w:pPr>
          </w:p>
          <w:p>
            <w:pPr>
              <w:pStyle w:val="TableParagraph"/>
              <w:ind w:right="55"/>
              <w:jc w:val="center"/>
              <w:rPr>
                <w:sz w:val="21"/>
              </w:rPr>
            </w:pPr>
            <w:r>
              <w:rPr>
                <w:w w:val="100"/>
                <w:sz w:val="21"/>
              </w:rPr>
              <w:t> </w:t>
            </w:r>
          </w:p>
        </w:tc>
        <w:tc>
          <w:tcPr>
            <w:tcW w:w="605" w:type="dxa"/>
          </w:tcPr>
          <w:p>
            <w:pPr>
              <w:pStyle w:val="TableParagraph"/>
              <w:spacing w:before="11"/>
              <w:rPr>
                <w:sz w:val="14"/>
              </w:rPr>
            </w:pPr>
          </w:p>
          <w:p>
            <w:pPr>
              <w:pStyle w:val="TableParagraph"/>
              <w:ind w:left="99"/>
              <w:rPr>
                <w:sz w:val="21"/>
              </w:rPr>
            </w:pPr>
            <w:r>
              <w:rPr>
                <w:w w:val="100"/>
                <w:sz w:val="21"/>
              </w:rPr>
              <w:t> </w:t>
            </w:r>
          </w:p>
        </w:tc>
        <w:tc>
          <w:tcPr>
            <w:tcW w:w="425" w:type="dxa"/>
          </w:tcPr>
          <w:p>
            <w:pPr>
              <w:pStyle w:val="TableParagraph"/>
              <w:spacing w:before="11"/>
              <w:rPr>
                <w:sz w:val="14"/>
              </w:rPr>
            </w:pPr>
          </w:p>
          <w:p>
            <w:pPr>
              <w:pStyle w:val="TableParagraph"/>
              <w:ind w:left="99"/>
              <w:rPr>
                <w:sz w:val="21"/>
              </w:rPr>
            </w:pPr>
            <w:r>
              <w:rPr>
                <w:w w:val="100"/>
                <w:sz w:val="21"/>
              </w:rPr>
              <w:t> </w:t>
            </w:r>
          </w:p>
        </w:tc>
      </w:tr>
    </w:tbl>
    <w:p>
      <w:pPr>
        <w:spacing w:after="0"/>
        <w:rPr>
          <w:sz w:val="21"/>
        </w:rPr>
        <w:sectPr>
          <w:type w:val="continuous"/>
          <w:pgSz w:w="11910" w:h="16850"/>
          <w:pgMar w:top="1600" w:bottom="1180" w:left="1260" w:right="0"/>
        </w:sectPr>
      </w:pP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
        <w:gridCol w:w="471"/>
        <w:gridCol w:w="346"/>
        <w:gridCol w:w="435"/>
        <w:gridCol w:w="437"/>
        <w:gridCol w:w="438"/>
        <w:gridCol w:w="375"/>
        <w:gridCol w:w="377"/>
        <w:gridCol w:w="377"/>
        <w:gridCol w:w="375"/>
        <w:gridCol w:w="447"/>
        <w:gridCol w:w="483"/>
        <w:gridCol w:w="483"/>
        <w:gridCol w:w="481"/>
        <w:gridCol w:w="483"/>
        <w:gridCol w:w="377"/>
        <w:gridCol w:w="377"/>
        <w:gridCol w:w="390"/>
        <w:gridCol w:w="377"/>
        <w:gridCol w:w="605"/>
        <w:gridCol w:w="425"/>
      </w:tblGrid>
      <w:tr>
        <w:trPr>
          <w:trHeight w:val="499" w:hRule="atLeast"/>
        </w:trPr>
        <w:tc>
          <w:tcPr>
            <w:tcW w:w="377" w:type="dxa"/>
          </w:tcPr>
          <w:p>
            <w:pPr>
              <w:pStyle w:val="TableParagraph"/>
              <w:spacing w:before="8"/>
              <w:rPr>
                <w:sz w:val="14"/>
              </w:rPr>
            </w:pPr>
          </w:p>
          <w:p>
            <w:pPr>
              <w:pStyle w:val="TableParagraph"/>
              <w:ind w:left="140" w:right="81"/>
              <w:jc w:val="center"/>
              <w:rPr>
                <w:sz w:val="21"/>
              </w:rPr>
            </w:pPr>
            <w:r>
              <w:rPr>
                <w:sz w:val="21"/>
              </w:rPr>
              <w:t>2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501" w:hRule="atLeast"/>
        </w:trPr>
        <w:tc>
          <w:tcPr>
            <w:tcW w:w="377" w:type="dxa"/>
          </w:tcPr>
          <w:p>
            <w:pPr>
              <w:pStyle w:val="TableParagraph"/>
              <w:spacing w:before="8"/>
              <w:rPr>
                <w:sz w:val="14"/>
              </w:rPr>
            </w:pPr>
          </w:p>
          <w:p>
            <w:pPr>
              <w:pStyle w:val="TableParagraph"/>
              <w:ind w:left="140" w:right="81"/>
              <w:jc w:val="center"/>
              <w:rPr>
                <w:sz w:val="21"/>
              </w:rPr>
            </w:pPr>
            <w:r>
              <w:rPr>
                <w:sz w:val="21"/>
              </w:rPr>
              <w:t>3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498" w:hRule="atLeast"/>
        </w:trPr>
        <w:tc>
          <w:tcPr>
            <w:tcW w:w="377" w:type="dxa"/>
          </w:tcPr>
          <w:p>
            <w:pPr>
              <w:pStyle w:val="TableParagraph"/>
              <w:spacing w:before="8"/>
              <w:rPr>
                <w:sz w:val="14"/>
              </w:rPr>
            </w:pPr>
          </w:p>
          <w:p>
            <w:pPr>
              <w:pStyle w:val="TableParagraph"/>
              <w:ind w:left="140" w:right="81"/>
              <w:jc w:val="center"/>
              <w:rPr>
                <w:sz w:val="21"/>
              </w:rPr>
            </w:pPr>
            <w:r>
              <w:rPr>
                <w:sz w:val="21"/>
              </w:rPr>
              <w:t>4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501" w:hRule="atLeast"/>
        </w:trPr>
        <w:tc>
          <w:tcPr>
            <w:tcW w:w="377" w:type="dxa"/>
          </w:tcPr>
          <w:p>
            <w:pPr>
              <w:pStyle w:val="TableParagraph"/>
              <w:spacing w:before="8"/>
              <w:rPr>
                <w:sz w:val="14"/>
              </w:rPr>
            </w:pPr>
          </w:p>
          <w:p>
            <w:pPr>
              <w:pStyle w:val="TableParagraph"/>
              <w:ind w:left="140" w:right="81"/>
              <w:jc w:val="center"/>
              <w:rPr>
                <w:sz w:val="21"/>
              </w:rPr>
            </w:pPr>
            <w:r>
              <w:rPr>
                <w:sz w:val="21"/>
              </w:rPr>
              <w:t>5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498" w:hRule="atLeast"/>
        </w:trPr>
        <w:tc>
          <w:tcPr>
            <w:tcW w:w="377" w:type="dxa"/>
          </w:tcPr>
          <w:p>
            <w:pPr>
              <w:pStyle w:val="TableParagraph"/>
              <w:spacing w:before="8"/>
              <w:rPr>
                <w:sz w:val="14"/>
              </w:rPr>
            </w:pPr>
          </w:p>
          <w:p>
            <w:pPr>
              <w:pStyle w:val="TableParagraph"/>
              <w:ind w:left="140" w:right="81"/>
              <w:jc w:val="center"/>
              <w:rPr>
                <w:sz w:val="21"/>
              </w:rPr>
            </w:pPr>
            <w:r>
              <w:rPr>
                <w:sz w:val="21"/>
              </w:rPr>
              <w:t>6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501" w:hRule="atLeast"/>
        </w:trPr>
        <w:tc>
          <w:tcPr>
            <w:tcW w:w="377" w:type="dxa"/>
          </w:tcPr>
          <w:p>
            <w:pPr>
              <w:pStyle w:val="TableParagraph"/>
              <w:spacing w:before="8"/>
              <w:rPr>
                <w:sz w:val="14"/>
              </w:rPr>
            </w:pPr>
          </w:p>
          <w:p>
            <w:pPr>
              <w:pStyle w:val="TableParagraph"/>
              <w:ind w:left="140" w:right="81"/>
              <w:jc w:val="center"/>
              <w:rPr>
                <w:sz w:val="21"/>
              </w:rPr>
            </w:pPr>
            <w:r>
              <w:rPr>
                <w:sz w:val="21"/>
              </w:rPr>
              <w:t>7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499" w:hRule="atLeast"/>
        </w:trPr>
        <w:tc>
          <w:tcPr>
            <w:tcW w:w="377" w:type="dxa"/>
          </w:tcPr>
          <w:p>
            <w:pPr>
              <w:pStyle w:val="TableParagraph"/>
              <w:spacing w:before="8"/>
              <w:rPr>
                <w:sz w:val="14"/>
              </w:rPr>
            </w:pPr>
          </w:p>
          <w:p>
            <w:pPr>
              <w:pStyle w:val="TableParagraph"/>
              <w:ind w:left="140" w:right="81"/>
              <w:jc w:val="center"/>
              <w:rPr>
                <w:sz w:val="21"/>
              </w:rPr>
            </w:pPr>
            <w:r>
              <w:rPr>
                <w:sz w:val="21"/>
              </w:rPr>
              <w:t>8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501" w:hRule="atLeast"/>
        </w:trPr>
        <w:tc>
          <w:tcPr>
            <w:tcW w:w="377" w:type="dxa"/>
          </w:tcPr>
          <w:p>
            <w:pPr>
              <w:pStyle w:val="TableParagraph"/>
              <w:spacing w:before="8"/>
              <w:rPr>
                <w:sz w:val="14"/>
              </w:rPr>
            </w:pPr>
          </w:p>
          <w:p>
            <w:pPr>
              <w:pStyle w:val="TableParagraph"/>
              <w:ind w:left="140" w:right="81"/>
              <w:jc w:val="center"/>
              <w:rPr>
                <w:sz w:val="21"/>
              </w:rPr>
            </w:pPr>
            <w:r>
              <w:rPr>
                <w:sz w:val="21"/>
              </w:rPr>
              <w:t>9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1000" w:hRule="atLeast"/>
        </w:trPr>
        <w:tc>
          <w:tcPr>
            <w:tcW w:w="377" w:type="dxa"/>
          </w:tcPr>
          <w:p>
            <w:pPr>
              <w:pStyle w:val="TableParagraph"/>
              <w:spacing w:before="8"/>
              <w:rPr>
                <w:sz w:val="14"/>
              </w:rPr>
            </w:pPr>
          </w:p>
          <w:p>
            <w:pPr>
              <w:pStyle w:val="TableParagraph"/>
              <w:ind w:left="107"/>
              <w:rPr>
                <w:sz w:val="21"/>
              </w:rPr>
            </w:pPr>
            <w:r>
              <w:rPr>
                <w:w w:val="100"/>
                <w:sz w:val="21"/>
              </w:rPr>
              <w:t>全</w:t>
            </w:r>
          </w:p>
          <w:p>
            <w:pPr>
              <w:pStyle w:val="TableParagraph"/>
              <w:spacing w:before="12"/>
              <w:rPr>
                <w:sz w:val="17"/>
              </w:rPr>
            </w:pPr>
          </w:p>
          <w:p>
            <w:pPr>
              <w:pStyle w:val="TableParagraph"/>
              <w:ind w:left="107" w:right="-58"/>
              <w:rPr>
                <w:sz w:val="21"/>
              </w:rPr>
            </w:pPr>
            <w:r>
              <w:rPr>
                <w:sz w:val="21"/>
              </w:rPr>
              <w:t>开 </w:t>
            </w:r>
          </w:p>
        </w:tc>
        <w:tc>
          <w:tcPr>
            <w:tcW w:w="471" w:type="dxa"/>
          </w:tcPr>
          <w:p>
            <w:pPr>
              <w:pStyle w:val="TableParagraph"/>
              <w:spacing w:before="8"/>
              <w:rPr>
                <w:sz w:val="14"/>
              </w:rPr>
            </w:pPr>
          </w:p>
          <w:p>
            <w:pPr>
              <w:pStyle w:val="TableParagraph"/>
              <w:ind w:left="107"/>
              <w:rPr>
                <w:sz w:val="21"/>
              </w:rPr>
            </w:pPr>
            <w:r>
              <w:rPr>
                <w:w w:val="100"/>
                <w:sz w:val="21"/>
              </w:rPr>
              <w:t> </w:t>
            </w:r>
          </w:p>
        </w:tc>
        <w:tc>
          <w:tcPr>
            <w:tcW w:w="346" w:type="dxa"/>
          </w:tcPr>
          <w:p>
            <w:pPr>
              <w:pStyle w:val="TableParagraph"/>
              <w:spacing w:before="8"/>
              <w:rPr>
                <w:sz w:val="14"/>
              </w:rPr>
            </w:pPr>
          </w:p>
          <w:p>
            <w:pPr>
              <w:pStyle w:val="TableParagraph"/>
              <w:ind w:left="106"/>
              <w:rPr>
                <w:sz w:val="21"/>
              </w:rPr>
            </w:pPr>
            <w:r>
              <w:rPr>
                <w:w w:val="100"/>
                <w:sz w:val="21"/>
              </w:rPr>
              <w:t> </w:t>
            </w:r>
          </w:p>
        </w:tc>
        <w:tc>
          <w:tcPr>
            <w:tcW w:w="435" w:type="dxa"/>
          </w:tcPr>
          <w:p>
            <w:pPr>
              <w:pStyle w:val="TableParagraph"/>
              <w:spacing w:before="8"/>
              <w:rPr>
                <w:sz w:val="14"/>
              </w:rPr>
            </w:pPr>
          </w:p>
          <w:p>
            <w:pPr>
              <w:pStyle w:val="TableParagraph"/>
              <w:ind w:left="106"/>
              <w:rPr>
                <w:sz w:val="21"/>
              </w:rPr>
            </w:pPr>
            <w:r>
              <w:rPr>
                <w:w w:val="100"/>
                <w:sz w:val="21"/>
              </w:rPr>
              <w:t> </w:t>
            </w:r>
          </w:p>
        </w:tc>
        <w:tc>
          <w:tcPr>
            <w:tcW w:w="437" w:type="dxa"/>
          </w:tcPr>
          <w:p>
            <w:pPr>
              <w:pStyle w:val="TableParagraph"/>
              <w:spacing w:before="8"/>
              <w:rPr>
                <w:sz w:val="14"/>
              </w:rPr>
            </w:pPr>
          </w:p>
          <w:p>
            <w:pPr>
              <w:pStyle w:val="TableParagraph"/>
              <w:ind w:left="108"/>
              <w:rPr>
                <w:sz w:val="21"/>
              </w:rPr>
            </w:pPr>
            <w:r>
              <w:rPr>
                <w:w w:val="100"/>
                <w:sz w:val="21"/>
              </w:rPr>
              <w:t> </w:t>
            </w:r>
          </w:p>
        </w:tc>
        <w:tc>
          <w:tcPr>
            <w:tcW w:w="438" w:type="dxa"/>
          </w:tcPr>
          <w:p>
            <w:pPr>
              <w:pStyle w:val="TableParagraph"/>
              <w:spacing w:before="8"/>
              <w:rPr>
                <w:sz w:val="14"/>
              </w:rPr>
            </w:pPr>
          </w:p>
          <w:p>
            <w:pPr>
              <w:pStyle w:val="TableParagraph"/>
              <w:ind w:left="106"/>
              <w:rPr>
                <w:sz w:val="21"/>
              </w:rPr>
            </w:pPr>
            <w:r>
              <w:rPr>
                <w:w w:val="100"/>
                <w:sz w:val="21"/>
              </w:rPr>
              <w:t> </w:t>
            </w:r>
          </w:p>
        </w:tc>
        <w:tc>
          <w:tcPr>
            <w:tcW w:w="375" w:type="dxa"/>
          </w:tcPr>
          <w:p>
            <w:pPr>
              <w:pStyle w:val="TableParagraph"/>
              <w:spacing w:before="8"/>
              <w:rPr>
                <w:sz w:val="14"/>
              </w:rPr>
            </w:pPr>
          </w:p>
          <w:p>
            <w:pPr>
              <w:pStyle w:val="TableParagraph"/>
              <w:ind w:right="47"/>
              <w:jc w:val="center"/>
              <w:rPr>
                <w:sz w:val="21"/>
              </w:rPr>
            </w:pPr>
            <w:r>
              <w:rPr>
                <w:w w:val="100"/>
                <w:sz w:val="21"/>
              </w:rPr>
              <w:t> </w:t>
            </w:r>
          </w:p>
        </w:tc>
        <w:tc>
          <w:tcPr>
            <w:tcW w:w="377" w:type="dxa"/>
          </w:tcPr>
          <w:p>
            <w:pPr>
              <w:pStyle w:val="TableParagraph"/>
              <w:spacing w:before="8"/>
              <w:rPr>
                <w:sz w:val="14"/>
              </w:rPr>
            </w:pPr>
          </w:p>
          <w:p>
            <w:pPr>
              <w:pStyle w:val="TableParagraph"/>
              <w:ind w:left="106"/>
              <w:rPr>
                <w:sz w:val="21"/>
              </w:rPr>
            </w:pPr>
            <w:r>
              <w:rPr>
                <w:w w:val="100"/>
                <w:sz w:val="21"/>
              </w:rPr>
              <w:t> </w:t>
            </w:r>
          </w:p>
        </w:tc>
        <w:tc>
          <w:tcPr>
            <w:tcW w:w="377" w:type="dxa"/>
          </w:tcPr>
          <w:p>
            <w:pPr>
              <w:pStyle w:val="TableParagraph"/>
              <w:spacing w:before="8"/>
              <w:rPr>
                <w:sz w:val="14"/>
              </w:rPr>
            </w:pPr>
          </w:p>
          <w:p>
            <w:pPr>
              <w:pStyle w:val="TableParagraph"/>
              <w:ind w:left="104"/>
              <w:rPr>
                <w:sz w:val="21"/>
              </w:rPr>
            </w:pPr>
            <w:r>
              <w:rPr>
                <w:w w:val="100"/>
                <w:sz w:val="21"/>
              </w:rPr>
              <w:t> </w:t>
            </w:r>
          </w:p>
        </w:tc>
        <w:tc>
          <w:tcPr>
            <w:tcW w:w="375" w:type="dxa"/>
          </w:tcPr>
          <w:p>
            <w:pPr>
              <w:pStyle w:val="TableParagraph"/>
              <w:spacing w:before="8"/>
              <w:rPr>
                <w:sz w:val="14"/>
              </w:rPr>
            </w:pPr>
          </w:p>
          <w:p>
            <w:pPr>
              <w:pStyle w:val="TableParagraph"/>
              <w:ind w:right="49"/>
              <w:jc w:val="center"/>
              <w:rPr>
                <w:sz w:val="21"/>
              </w:rPr>
            </w:pPr>
            <w:r>
              <w:rPr>
                <w:w w:val="100"/>
                <w:sz w:val="21"/>
              </w:rPr>
              <w:t> </w:t>
            </w:r>
          </w:p>
        </w:tc>
        <w:tc>
          <w:tcPr>
            <w:tcW w:w="447" w:type="dxa"/>
          </w:tcPr>
          <w:p>
            <w:pPr>
              <w:pStyle w:val="TableParagraph"/>
              <w:spacing w:before="8"/>
              <w:rPr>
                <w:sz w:val="14"/>
              </w:rPr>
            </w:pPr>
          </w:p>
          <w:p>
            <w:pPr>
              <w:pStyle w:val="TableParagraph"/>
              <w:ind w:left="105"/>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2"/>
              <w:rPr>
                <w:sz w:val="21"/>
              </w:rPr>
            </w:pPr>
            <w:r>
              <w:rPr>
                <w:w w:val="100"/>
                <w:sz w:val="21"/>
              </w:rPr>
              <w:t> </w:t>
            </w:r>
          </w:p>
        </w:tc>
        <w:tc>
          <w:tcPr>
            <w:tcW w:w="481" w:type="dxa"/>
          </w:tcPr>
          <w:p>
            <w:pPr>
              <w:pStyle w:val="TableParagraph"/>
              <w:spacing w:before="8"/>
              <w:rPr>
                <w:sz w:val="14"/>
              </w:rPr>
            </w:pPr>
          </w:p>
          <w:p>
            <w:pPr>
              <w:pStyle w:val="TableParagraph"/>
              <w:ind w:left="102"/>
              <w:rPr>
                <w:sz w:val="21"/>
              </w:rPr>
            </w:pPr>
            <w:r>
              <w:rPr>
                <w:w w:val="100"/>
                <w:sz w:val="21"/>
              </w:rPr>
              <w:t> </w:t>
            </w:r>
          </w:p>
        </w:tc>
        <w:tc>
          <w:tcPr>
            <w:tcW w:w="483" w:type="dxa"/>
          </w:tcPr>
          <w:p>
            <w:pPr>
              <w:pStyle w:val="TableParagraph"/>
              <w:spacing w:before="8"/>
              <w:rPr>
                <w:sz w:val="14"/>
              </w:rPr>
            </w:pPr>
          </w:p>
          <w:p>
            <w:pPr>
              <w:pStyle w:val="TableParagraph"/>
              <w:ind w:left="101"/>
              <w:rPr>
                <w:sz w:val="21"/>
              </w:rPr>
            </w:pPr>
            <w:r>
              <w:rPr>
                <w:w w:val="100"/>
                <w:sz w:val="21"/>
              </w:rPr>
              <w:t> </w:t>
            </w:r>
          </w:p>
        </w:tc>
        <w:tc>
          <w:tcPr>
            <w:tcW w:w="377" w:type="dxa"/>
          </w:tcPr>
          <w:p>
            <w:pPr>
              <w:pStyle w:val="TableParagraph"/>
              <w:spacing w:before="8"/>
              <w:rPr>
                <w:sz w:val="14"/>
              </w:rPr>
            </w:pPr>
          </w:p>
          <w:p>
            <w:pPr>
              <w:pStyle w:val="TableParagraph"/>
              <w:ind w:left="100"/>
              <w:rPr>
                <w:sz w:val="21"/>
              </w:rPr>
            </w:pPr>
            <w:r>
              <w:rPr>
                <w:w w:val="100"/>
                <w:sz w:val="21"/>
              </w:rPr>
              <w:t> </w:t>
            </w:r>
          </w:p>
        </w:tc>
        <w:tc>
          <w:tcPr>
            <w:tcW w:w="377" w:type="dxa"/>
          </w:tcPr>
          <w:p>
            <w:pPr>
              <w:pStyle w:val="TableParagraph"/>
              <w:spacing w:before="8"/>
              <w:rPr>
                <w:sz w:val="14"/>
              </w:rPr>
            </w:pPr>
          </w:p>
          <w:p>
            <w:pPr>
              <w:pStyle w:val="TableParagraph"/>
              <w:ind w:right="58"/>
              <w:jc w:val="center"/>
              <w:rPr>
                <w:sz w:val="21"/>
              </w:rPr>
            </w:pPr>
            <w:r>
              <w:rPr>
                <w:w w:val="100"/>
                <w:sz w:val="21"/>
              </w:rPr>
              <w:t> </w:t>
            </w:r>
          </w:p>
        </w:tc>
        <w:tc>
          <w:tcPr>
            <w:tcW w:w="390" w:type="dxa"/>
          </w:tcPr>
          <w:p>
            <w:pPr>
              <w:pStyle w:val="TableParagraph"/>
              <w:spacing w:before="8"/>
              <w:rPr>
                <w:sz w:val="14"/>
              </w:rPr>
            </w:pPr>
          </w:p>
          <w:p>
            <w:pPr>
              <w:pStyle w:val="TableParagraph"/>
              <w:ind w:right="70"/>
              <w:jc w:val="center"/>
              <w:rPr>
                <w:sz w:val="21"/>
              </w:rPr>
            </w:pPr>
            <w:r>
              <w:rPr>
                <w:w w:val="100"/>
                <w:sz w:val="21"/>
              </w:rPr>
              <w:t> </w:t>
            </w:r>
          </w:p>
        </w:tc>
        <w:tc>
          <w:tcPr>
            <w:tcW w:w="377" w:type="dxa"/>
          </w:tcPr>
          <w:p>
            <w:pPr>
              <w:pStyle w:val="TableParagraph"/>
              <w:spacing w:before="8"/>
              <w:rPr>
                <w:sz w:val="14"/>
              </w:rPr>
            </w:pPr>
          </w:p>
          <w:p>
            <w:pPr>
              <w:pStyle w:val="TableParagraph"/>
              <w:ind w:left="101"/>
              <w:rPr>
                <w:sz w:val="21"/>
              </w:rPr>
            </w:pPr>
            <w:r>
              <w:rPr>
                <w:w w:val="100"/>
                <w:sz w:val="21"/>
              </w:rPr>
              <w:t> </w:t>
            </w:r>
          </w:p>
        </w:tc>
        <w:tc>
          <w:tcPr>
            <w:tcW w:w="605" w:type="dxa"/>
          </w:tcPr>
          <w:p>
            <w:pPr>
              <w:pStyle w:val="TableParagraph"/>
              <w:spacing w:before="8"/>
              <w:rPr>
                <w:sz w:val="14"/>
              </w:rPr>
            </w:pPr>
          </w:p>
          <w:p>
            <w:pPr>
              <w:pStyle w:val="TableParagraph"/>
              <w:ind w:left="99"/>
              <w:rPr>
                <w:sz w:val="21"/>
              </w:rPr>
            </w:pPr>
            <w:r>
              <w:rPr>
                <w:w w:val="100"/>
                <w:sz w:val="21"/>
              </w:rPr>
              <w:t> </w:t>
            </w:r>
          </w:p>
        </w:tc>
        <w:tc>
          <w:tcPr>
            <w:tcW w:w="425" w:type="dxa"/>
          </w:tcPr>
          <w:p>
            <w:pPr>
              <w:pStyle w:val="TableParagraph"/>
              <w:spacing w:before="8"/>
              <w:rPr>
                <w:sz w:val="14"/>
              </w:rPr>
            </w:pPr>
          </w:p>
          <w:p>
            <w:pPr>
              <w:pStyle w:val="TableParagraph"/>
              <w:ind w:left="99"/>
              <w:rPr>
                <w:sz w:val="21"/>
              </w:rPr>
            </w:pPr>
            <w:r>
              <w:rPr>
                <w:w w:val="100"/>
                <w:sz w:val="21"/>
              </w:rPr>
              <w:t> </w:t>
            </w:r>
          </w:p>
        </w:tc>
      </w:tr>
      <w:tr>
        <w:trPr>
          <w:trHeight w:val="1000" w:hRule="atLeast"/>
        </w:trPr>
        <w:tc>
          <w:tcPr>
            <w:tcW w:w="377" w:type="dxa"/>
          </w:tcPr>
          <w:p>
            <w:pPr>
              <w:pStyle w:val="TableParagraph"/>
              <w:spacing w:before="8"/>
              <w:rPr>
                <w:sz w:val="14"/>
              </w:rPr>
            </w:pPr>
          </w:p>
          <w:p>
            <w:pPr>
              <w:pStyle w:val="TableParagraph"/>
              <w:ind w:left="107"/>
              <w:rPr>
                <w:sz w:val="21"/>
              </w:rPr>
            </w:pPr>
            <w:r>
              <w:rPr>
                <w:w w:val="100"/>
                <w:sz w:val="21"/>
              </w:rPr>
              <w:t>备</w:t>
            </w:r>
          </w:p>
          <w:p>
            <w:pPr>
              <w:pStyle w:val="TableParagraph"/>
              <w:spacing w:before="12"/>
              <w:rPr>
                <w:sz w:val="17"/>
              </w:rPr>
            </w:pPr>
          </w:p>
          <w:p>
            <w:pPr>
              <w:pStyle w:val="TableParagraph"/>
              <w:ind w:left="107" w:right="-58"/>
              <w:rPr>
                <w:sz w:val="21"/>
              </w:rPr>
            </w:pPr>
            <w:r>
              <w:rPr>
                <w:sz w:val="21"/>
              </w:rPr>
              <w:t>注 </w:t>
            </w:r>
          </w:p>
        </w:tc>
        <w:tc>
          <w:tcPr>
            <w:tcW w:w="8559" w:type="dxa"/>
            <w:gridSpan w:val="20"/>
          </w:tcPr>
          <w:p>
            <w:pPr>
              <w:pStyle w:val="TableParagraph"/>
              <w:spacing w:before="8"/>
              <w:rPr>
                <w:sz w:val="14"/>
              </w:rPr>
            </w:pPr>
          </w:p>
          <w:p>
            <w:pPr>
              <w:pStyle w:val="TableParagraph"/>
              <w:ind w:left="107"/>
              <w:rPr>
                <w:sz w:val="21"/>
              </w:rPr>
            </w:pPr>
            <w:r>
              <w:rPr>
                <w:w w:val="100"/>
                <w:sz w:val="21"/>
              </w:rPr>
              <w:t> </w:t>
            </w:r>
          </w:p>
        </w:tc>
      </w:tr>
    </w:tbl>
    <w:p>
      <w:pPr>
        <w:pStyle w:val="BodyText"/>
        <w:rPr>
          <w:sz w:val="9"/>
        </w:rPr>
      </w:pPr>
    </w:p>
    <w:p>
      <w:pPr>
        <w:pStyle w:val="BodyText"/>
        <w:spacing w:before="72"/>
        <w:ind w:left="3394"/>
      </w:pPr>
      <w:r>
        <w:rPr/>
        <w:t>记 录 计 算 </w:t>
      </w:r>
    </w:p>
    <w:p>
      <w:pPr>
        <w:pStyle w:val="BodyText"/>
        <w:rPr>
          <w:sz w:val="18"/>
        </w:rPr>
      </w:pPr>
    </w:p>
    <w:p>
      <w:pPr>
        <w:pStyle w:val="ListParagraph"/>
        <w:numPr>
          <w:ilvl w:val="2"/>
          <w:numId w:val="971"/>
        </w:numPr>
        <w:tabs>
          <w:tab w:pos="1478" w:val="left" w:leader="none"/>
        </w:tabs>
        <w:spacing w:line="240" w:lineRule="auto" w:before="0" w:after="0"/>
        <w:ind w:left="1477" w:right="0" w:hanging="638"/>
        <w:jc w:val="left"/>
        <w:rPr>
          <w:sz w:val="21"/>
        </w:rPr>
      </w:pPr>
      <w:r>
        <w:rPr>
          <w:spacing w:val="-5"/>
          <w:sz w:val="21"/>
        </w:rPr>
        <w:t>根据计算出的参数绘制出风机的性能曲线，即风量与各参数的关系曲线，见图 </w:t>
      </w:r>
      <w:r>
        <w:rPr>
          <w:spacing w:val="-3"/>
          <w:sz w:val="21"/>
        </w:rPr>
        <w:t>4。</w:t>
      </w:r>
      <w:r>
        <w:rPr>
          <w:sz w:val="21"/>
        </w:rPr>
        <w:t> </w:t>
      </w:r>
    </w:p>
    <w:p>
      <w:pPr>
        <w:pStyle w:val="BodyText"/>
        <w:rPr>
          <w:sz w:val="20"/>
        </w:rPr>
      </w:pPr>
    </w:p>
    <w:p>
      <w:pPr>
        <w:pStyle w:val="BodyText"/>
        <w:rPr>
          <w:sz w:val="25"/>
        </w:rPr>
      </w:pPr>
      <w:r>
        <w:rPr/>
        <w:drawing>
          <wp:anchor distT="0" distB="0" distL="0" distR="0" allowOverlap="1" layoutInCell="1" locked="0" behindDoc="0" simplePos="0" relativeHeight="390">
            <wp:simplePos x="0" y="0"/>
            <wp:positionH relativeFrom="page">
              <wp:posOffset>1784704</wp:posOffset>
            </wp:positionH>
            <wp:positionV relativeFrom="paragraph">
              <wp:posOffset>228274</wp:posOffset>
            </wp:positionV>
            <wp:extent cx="4023126" cy="2428875"/>
            <wp:effectExtent l="0" t="0" r="0" b="0"/>
            <wp:wrapTopAndBottom/>
            <wp:docPr id="837" name="image491.jpeg"/>
            <wp:cNvGraphicFramePr>
              <a:graphicFrameLocks noChangeAspect="1"/>
            </wp:cNvGraphicFramePr>
            <a:graphic>
              <a:graphicData uri="http://schemas.openxmlformats.org/drawingml/2006/picture">
                <pic:pic>
                  <pic:nvPicPr>
                    <pic:cNvPr id="838" name="image491.jpeg"/>
                    <pic:cNvPicPr/>
                  </pic:nvPicPr>
                  <pic:blipFill>
                    <a:blip r:embed="rId621" cstate="print"/>
                    <a:stretch>
                      <a:fillRect/>
                    </a:stretch>
                  </pic:blipFill>
                  <pic:spPr>
                    <a:xfrm>
                      <a:off x="0" y="0"/>
                      <a:ext cx="4023126" cy="2428875"/>
                    </a:xfrm>
                    <a:prstGeom prst="rect">
                      <a:avLst/>
                    </a:prstGeom>
                  </pic:spPr>
                </pic:pic>
              </a:graphicData>
            </a:graphic>
          </wp:anchor>
        </w:drawing>
      </w:r>
    </w:p>
    <w:p>
      <w:pPr>
        <w:pStyle w:val="BodyText"/>
        <w:rPr>
          <w:sz w:val="8"/>
        </w:rPr>
      </w:pPr>
    </w:p>
    <w:p>
      <w:pPr>
        <w:pStyle w:val="ListParagraph"/>
        <w:numPr>
          <w:ilvl w:val="1"/>
          <w:numId w:val="971"/>
        </w:numPr>
        <w:tabs>
          <w:tab w:pos="1159" w:val="left" w:leader="none"/>
        </w:tabs>
        <w:spacing w:line="240" w:lineRule="auto" w:before="72" w:after="0"/>
        <w:ind w:left="1158" w:right="0" w:hanging="319"/>
        <w:jc w:val="left"/>
        <w:rPr>
          <w:sz w:val="21"/>
        </w:rPr>
      </w:pPr>
      <w:r>
        <w:rPr>
          <w:spacing w:val="-3"/>
          <w:sz w:val="21"/>
        </w:rPr>
        <w:t>风机整机性能测定 </w:t>
      </w:r>
      <w:r>
        <w:rPr>
          <w:sz w:val="21"/>
        </w:rPr>
        <w:t> </w:t>
      </w:r>
    </w:p>
    <w:p>
      <w:pPr>
        <w:pStyle w:val="BodyText"/>
        <w:spacing w:before="12"/>
        <w:rPr>
          <w:sz w:val="17"/>
        </w:rPr>
      </w:pPr>
    </w:p>
    <w:p>
      <w:pPr>
        <w:pStyle w:val="BodyText"/>
        <w:spacing w:line="446" w:lineRule="auto"/>
        <w:ind w:left="840" w:right="3397" w:hanging="3"/>
      </w:pPr>
      <w:r>
        <w:rPr/>
        <w:t>风机整机性能测定是用来考核其性能指标是否达到设计或改进要求。</w:t>
      </w:r>
      <w:r>
        <w:rPr>
          <w:b/>
        </w:rPr>
        <w:t>4.5.1 </w:t>
      </w:r>
      <w:r>
        <w:rPr/>
        <w:t>工况点的测定 </w:t>
      </w:r>
    </w:p>
    <w:p>
      <w:pPr>
        <w:pStyle w:val="BodyText"/>
        <w:spacing w:line="446" w:lineRule="auto" w:before="1"/>
        <w:ind w:left="418" w:right="1609" w:firstLine="419"/>
      </w:pPr>
      <w:r>
        <w:rPr/>
        <w:t>工况点的测定采用轴功率法。测定时主风道和冷却风口处于工作状态，测定风机性能并绘出标准进气状态的性能曲线，见图 5。 </w:t>
      </w:r>
    </w:p>
    <w:p>
      <w:pPr>
        <w:spacing w:after="0" w:line="446" w:lineRule="auto"/>
        <w:sectPr>
          <w:pgSz w:w="11910" w:h="16850"/>
          <w:pgMar w:header="0" w:footer="1239" w:top="1080" w:bottom="1420" w:left="1260" w:right="0"/>
        </w:sectPr>
      </w:pPr>
    </w:p>
    <w:p>
      <w:pPr>
        <w:pStyle w:val="BodyText"/>
        <w:spacing w:line="446" w:lineRule="auto" w:before="47"/>
        <w:ind w:left="838" w:right="1505"/>
      </w:pPr>
      <w:r>
        <w:rPr>
          <w:spacing w:val="-9"/>
        </w:rPr>
        <w:t>试验完毕后 </w:t>
      </w:r>
      <w:r>
        <w:rPr/>
        <w:t>10min</w:t>
      </w:r>
      <w:r>
        <w:rPr>
          <w:spacing w:val="-8"/>
        </w:rPr>
        <w:t> 以内，拆去试验风筒，装上灭火用风筒，测出同一转速下的轴功率值。</w:t>
      </w:r>
      <w:r>
        <w:rPr>
          <w:spacing w:val="-3"/>
        </w:rPr>
        <w:t>在性能曲线上，找出相应的轴功率点，过此点做垂线，与各曲线的交点即为标准进气状态</w:t>
      </w:r>
    </w:p>
    <w:p>
      <w:pPr>
        <w:pStyle w:val="BodyText"/>
        <w:spacing w:line="267" w:lineRule="exact"/>
        <w:ind w:left="418"/>
      </w:pPr>
      <w:r>
        <w:rPr/>
        <w:t>下风机整机性能参数。 </w:t>
      </w:r>
    </w:p>
    <w:p>
      <w:pPr>
        <w:pStyle w:val="BodyText"/>
        <w:spacing w:before="2"/>
        <w:rPr>
          <w:sz w:val="18"/>
        </w:rPr>
      </w:pPr>
    </w:p>
    <w:p>
      <w:pPr>
        <w:pStyle w:val="BodyText"/>
        <w:ind w:left="838"/>
      </w:pPr>
      <w:r>
        <w:rPr>
          <w:position w:val="1"/>
        </w:rPr>
        <w:t>由图 5 可取得工况点参数为 p”</w:t>
      </w:r>
      <w:r>
        <w:rPr>
          <w:sz w:val="11"/>
        </w:rPr>
        <w:t>0</w:t>
      </w:r>
      <w:r>
        <w:rPr>
          <w:position w:val="1"/>
        </w:rPr>
        <w:t>、p”</w:t>
      </w:r>
      <w:r>
        <w:rPr>
          <w:sz w:val="11"/>
        </w:rPr>
        <w:t>at0</w:t>
      </w:r>
      <w:r>
        <w:rPr>
          <w:position w:val="1"/>
        </w:rPr>
        <w:t>、p”</w:t>
      </w:r>
      <w:r>
        <w:rPr>
          <w:sz w:val="11"/>
        </w:rPr>
        <w:t>d0</w:t>
      </w:r>
      <w:r>
        <w:rPr>
          <w:position w:val="1"/>
        </w:rPr>
        <w:t>、Q”</w:t>
      </w:r>
      <w:r>
        <w:rPr>
          <w:sz w:val="11"/>
        </w:rPr>
        <w:t>0</w:t>
      </w:r>
      <w:r>
        <w:rPr>
          <w:position w:val="1"/>
        </w:rPr>
        <w:t>、N”</w:t>
      </w:r>
      <w:r>
        <w:rPr>
          <w:sz w:val="11"/>
        </w:rPr>
        <w:t>0</w:t>
      </w:r>
      <w:r>
        <w:rPr>
          <w:position w:val="1"/>
        </w:rPr>
        <w:t>、η”。 </w:t>
      </w:r>
    </w:p>
    <w:p>
      <w:pPr>
        <w:pStyle w:val="BodyText"/>
        <w:spacing w:before="12"/>
        <w:rPr>
          <w:sz w:val="9"/>
        </w:rPr>
      </w:pPr>
      <w:r>
        <w:rPr/>
        <w:drawing>
          <wp:anchor distT="0" distB="0" distL="0" distR="0" allowOverlap="1" layoutInCell="1" locked="0" behindDoc="0" simplePos="0" relativeHeight="391">
            <wp:simplePos x="0" y="0"/>
            <wp:positionH relativeFrom="page">
              <wp:posOffset>1237591</wp:posOffset>
            </wp:positionH>
            <wp:positionV relativeFrom="paragraph">
              <wp:posOffset>105822</wp:posOffset>
            </wp:positionV>
            <wp:extent cx="4571109" cy="4076700"/>
            <wp:effectExtent l="0" t="0" r="0" b="0"/>
            <wp:wrapTopAndBottom/>
            <wp:docPr id="839" name="image492.jpeg"/>
            <wp:cNvGraphicFramePr>
              <a:graphicFrameLocks noChangeAspect="1"/>
            </wp:cNvGraphicFramePr>
            <a:graphic>
              <a:graphicData uri="http://schemas.openxmlformats.org/drawingml/2006/picture">
                <pic:pic>
                  <pic:nvPicPr>
                    <pic:cNvPr id="840" name="image492.jpeg"/>
                    <pic:cNvPicPr/>
                  </pic:nvPicPr>
                  <pic:blipFill>
                    <a:blip r:embed="rId622" cstate="print"/>
                    <a:stretch>
                      <a:fillRect/>
                    </a:stretch>
                  </pic:blipFill>
                  <pic:spPr>
                    <a:xfrm>
                      <a:off x="0" y="0"/>
                      <a:ext cx="4571109" cy="4076700"/>
                    </a:xfrm>
                    <a:prstGeom prst="rect">
                      <a:avLst/>
                    </a:prstGeom>
                  </pic:spPr>
                </pic:pic>
              </a:graphicData>
            </a:graphic>
          </wp:anchor>
        </w:drawing>
      </w:r>
    </w:p>
    <w:p>
      <w:pPr>
        <w:pStyle w:val="BodyText"/>
        <w:spacing w:before="10"/>
        <w:rPr>
          <w:sz w:val="14"/>
        </w:rPr>
      </w:pPr>
    </w:p>
    <w:p>
      <w:pPr>
        <w:pStyle w:val="BodyText"/>
        <w:ind w:right="494"/>
        <w:jc w:val="center"/>
      </w:pPr>
      <w:r>
        <w:rPr/>
        <w:t>图 5 轴功率法确定工况点 </w:t>
      </w:r>
    </w:p>
    <w:p>
      <w:pPr>
        <w:pStyle w:val="BodyText"/>
        <w:spacing w:before="2"/>
        <w:rPr>
          <w:sz w:val="18"/>
        </w:rPr>
      </w:pPr>
    </w:p>
    <w:p>
      <w:pPr>
        <w:pStyle w:val="ListParagraph"/>
        <w:numPr>
          <w:ilvl w:val="2"/>
          <w:numId w:val="972"/>
        </w:numPr>
        <w:tabs>
          <w:tab w:pos="1371" w:val="left" w:leader="none"/>
        </w:tabs>
        <w:spacing w:line="240" w:lineRule="auto" w:before="0" w:after="0"/>
        <w:ind w:left="1370" w:right="0" w:hanging="531"/>
        <w:jc w:val="left"/>
        <w:rPr>
          <w:sz w:val="21"/>
        </w:rPr>
      </w:pPr>
      <w:r>
        <w:rPr>
          <w:spacing w:val="-3"/>
          <w:sz w:val="21"/>
        </w:rPr>
        <w:t>风机整机效率</w:t>
      </w:r>
      <w:r>
        <w:rPr>
          <w:sz w:val="21"/>
        </w:rPr>
        <w:t> </w:t>
      </w:r>
    </w:p>
    <w:p>
      <w:pPr>
        <w:pStyle w:val="BodyText"/>
        <w:spacing w:before="5"/>
        <w:rPr>
          <w:sz w:val="12"/>
        </w:rPr>
      </w:pPr>
    </w:p>
    <w:p>
      <w:pPr>
        <w:spacing w:after="0"/>
        <w:rPr>
          <w:sz w:val="12"/>
        </w:rPr>
        <w:sectPr>
          <w:pgSz w:w="11910" w:h="16850"/>
          <w:pgMar w:header="0" w:footer="1239" w:top="1220" w:bottom="1420" w:left="1260" w:right="0"/>
        </w:sectPr>
      </w:pPr>
    </w:p>
    <w:p>
      <w:pPr>
        <w:pStyle w:val="ListParagraph"/>
        <w:numPr>
          <w:ilvl w:val="3"/>
          <w:numId w:val="972"/>
        </w:numPr>
        <w:tabs>
          <w:tab w:pos="1583" w:val="left" w:leader="none"/>
        </w:tabs>
        <w:spacing w:line="240" w:lineRule="auto" w:before="72" w:after="0"/>
        <w:ind w:left="1582" w:right="0" w:hanging="743"/>
        <w:jc w:val="left"/>
        <w:rPr>
          <w:sz w:val="21"/>
        </w:rPr>
      </w:pPr>
      <w:r>
        <w:rPr>
          <w:spacing w:val="-3"/>
          <w:sz w:val="21"/>
        </w:rPr>
        <w:t>灭火风筒出口处动压</w:t>
      </w:r>
      <w:r>
        <w:rPr>
          <w:sz w:val="21"/>
        </w:rPr>
        <w:t> </w:t>
      </w:r>
    </w:p>
    <w:p>
      <w:pPr>
        <w:pStyle w:val="BodyText"/>
        <w:spacing w:before="6"/>
        <w:rPr>
          <w:sz w:val="34"/>
        </w:rPr>
      </w:pPr>
      <w:r>
        <w:rPr/>
        <w:br w:type="column"/>
      </w:r>
      <w:r>
        <w:rPr>
          <w:sz w:val="34"/>
        </w:rPr>
      </w:r>
    </w:p>
    <w:p>
      <w:pPr>
        <w:spacing w:before="0"/>
        <w:ind w:left="0" w:right="0" w:firstLine="0"/>
        <w:jc w:val="right"/>
        <w:rPr>
          <w:rFonts w:ascii="Cambria Math" w:hAnsi="Cambria Math" w:eastAsia="Cambria Math"/>
          <w:sz w:val="15"/>
        </w:rPr>
      </w:pPr>
      <w:r>
        <w:rPr>
          <w:rFonts w:ascii="Cambria Math" w:hAnsi="Cambria Math" w:eastAsia="Cambria Math"/>
          <w:w w:val="120"/>
          <w:position w:val="-7"/>
          <w:sz w:val="21"/>
        </w:rPr>
        <w:t>𝑝</w:t>
      </w:r>
      <w:r>
        <w:rPr>
          <w:rFonts w:ascii="Cambria Math" w:hAnsi="Cambria Math" w:eastAsia="Cambria Math"/>
          <w:w w:val="120"/>
          <w:sz w:val="15"/>
        </w:rPr>
        <w:t>′</w:t>
      </w:r>
    </w:p>
    <w:p>
      <w:pPr>
        <w:pStyle w:val="BodyText"/>
        <w:rPr>
          <w:rFonts w:ascii="Cambria Math"/>
          <w:sz w:val="18"/>
        </w:rPr>
      </w:pPr>
      <w:r>
        <w:rPr/>
        <w:br w:type="column"/>
      </w:r>
      <w:r>
        <w:rPr>
          <w:rFonts w:ascii="Cambria Math"/>
          <w:sz w:val="18"/>
        </w:rPr>
      </w:r>
    </w:p>
    <w:p>
      <w:pPr>
        <w:pStyle w:val="BodyText"/>
        <w:rPr>
          <w:rFonts w:ascii="Cambria Math"/>
          <w:sz w:val="18"/>
        </w:rPr>
      </w:pPr>
    </w:p>
    <w:p>
      <w:pPr>
        <w:pStyle w:val="BodyText"/>
        <w:spacing w:before="9"/>
        <w:rPr>
          <w:rFonts w:ascii="Cambria Math"/>
          <w:sz w:val="14"/>
        </w:rPr>
      </w:pPr>
    </w:p>
    <w:p>
      <w:pPr>
        <w:spacing w:before="0"/>
        <w:ind w:left="-32" w:right="0" w:firstLine="0"/>
        <w:jc w:val="left"/>
        <w:rPr>
          <w:rFonts w:ascii="Cambria Math" w:eastAsia="Cambria Math"/>
          <w:sz w:val="12"/>
        </w:rPr>
      </w:pPr>
      <w:r>
        <w:rPr>
          <w:rFonts w:ascii="Cambria Math" w:eastAsia="Cambria Math"/>
          <w:w w:val="105"/>
          <w:sz w:val="15"/>
        </w:rPr>
        <w:t>𝑑</w:t>
      </w:r>
      <w:r>
        <w:rPr>
          <w:rFonts w:ascii="Cambria Math" w:eastAsia="Cambria Math"/>
          <w:w w:val="105"/>
          <w:position w:val="-2"/>
          <w:sz w:val="12"/>
        </w:rPr>
        <w:t>0</w:t>
      </w:r>
    </w:p>
    <w:p>
      <w:pPr>
        <w:pStyle w:val="BodyText"/>
        <w:rPr>
          <w:rFonts w:ascii="Cambria Math"/>
          <w:sz w:val="22"/>
        </w:rPr>
      </w:pPr>
      <w:r>
        <w:rPr/>
        <w:br w:type="column"/>
      </w:r>
      <w:r>
        <w:rPr>
          <w:rFonts w:ascii="Cambria Math"/>
          <w:sz w:val="22"/>
        </w:rPr>
      </w:r>
    </w:p>
    <w:p>
      <w:pPr>
        <w:pStyle w:val="BodyText"/>
        <w:spacing w:before="194"/>
        <w:ind w:left="-23"/>
        <w:rPr>
          <w:rFonts w:ascii="Cambria Math" w:hAnsi="Cambria Math" w:eastAsia="Cambria Math"/>
        </w:rPr>
      </w:pPr>
      <w:r>
        <w:rPr>
          <w:rFonts w:ascii="Cambria Math" w:hAnsi="Cambria Math" w:eastAsia="Cambria Math"/>
          <w:position w:val="1"/>
        </w:rPr>
        <w:t>(</w:t>
      </w:r>
      <w:r>
        <w:rPr>
          <w:rFonts w:ascii="Cambria Math" w:hAnsi="Cambria Math" w:eastAsia="Cambria Math"/>
        </w:rPr>
        <w:t>𝑃𝑎</w:t>
      </w:r>
      <w:r>
        <w:rPr>
          <w:rFonts w:ascii="Cambria Math" w:hAnsi="Cambria Math" w:eastAsia="Cambria Math"/>
          <w:position w:val="1"/>
        </w:rPr>
        <w:t>) </w:t>
      </w:r>
      <w:r>
        <w:rPr>
          <w:rFonts w:ascii="Cambria Math" w:hAnsi="Cambria Math" w:eastAsia="Cambria Math"/>
        </w:rPr>
        <w:t>= 𝑝′′</w:t>
      </w:r>
    </w:p>
    <w:p>
      <w:pPr>
        <w:pStyle w:val="BodyText"/>
        <w:rPr>
          <w:rFonts w:ascii="Cambria Math"/>
          <w:sz w:val="18"/>
        </w:rPr>
      </w:pPr>
      <w:r>
        <w:rPr/>
        <w:br w:type="column"/>
      </w:r>
      <w:r>
        <w:rPr>
          <w:rFonts w:ascii="Cambria Math"/>
          <w:sz w:val="18"/>
        </w:rPr>
      </w:r>
    </w:p>
    <w:p>
      <w:pPr>
        <w:pStyle w:val="BodyText"/>
        <w:rPr>
          <w:rFonts w:ascii="Cambria Math"/>
          <w:sz w:val="18"/>
        </w:rPr>
      </w:pPr>
    </w:p>
    <w:p>
      <w:pPr>
        <w:spacing w:before="140"/>
        <w:ind w:left="-40" w:right="0" w:firstLine="0"/>
        <w:jc w:val="left"/>
        <w:rPr>
          <w:rFonts w:ascii="Cambria Math" w:eastAsia="Cambria Math"/>
          <w:sz w:val="12"/>
        </w:rPr>
      </w:pPr>
      <w:r>
        <w:rPr>
          <w:rFonts w:ascii="Cambria Math" w:eastAsia="Cambria Math"/>
          <w:w w:val="105"/>
          <w:sz w:val="15"/>
        </w:rPr>
        <w:t>𝑑</w:t>
      </w:r>
      <w:r>
        <w:rPr>
          <w:rFonts w:ascii="Cambria Math" w:eastAsia="Cambria Math"/>
          <w:w w:val="105"/>
          <w:position w:val="-2"/>
          <w:sz w:val="12"/>
        </w:rPr>
        <w:t>0</w:t>
      </w:r>
    </w:p>
    <w:p>
      <w:pPr>
        <w:pStyle w:val="BodyText"/>
        <w:spacing w:before="3"/>
        <w:rPr>
          <w:rFonts w:ascii="Cambria Math"/>
          <w:sz w:val="31"/>
        </w:rPr>
      </w:pPr>
      <w:r>
        <w:rPr/>
        <w:br w:type="column"/>
      </w:r>
      <w:r>
        <w:rPr>
          <w:rFonts w:ascii="Cambria Math"/>
          <w:sz w:val="31"/>
        </w:rPr>
      </w:r>
    </w:p>
    <w:p>
      <w:pPr>
        <w:spacing w:line="340" w:lineRule="exact" w:before="1"/>
        <w:ind w:left="-25" w:right="0" w:firstLine="0"/>
        <w:jc w:val="left"/>
        <w:rPr>
          <w:sz w:val="21"/>
        </w:rPr>
      </w:pPr>
      <w:r>
        <w:rPr>
          <w:rFonts w:ascii="Cambria Math" w:hAnsi="Cambria Math" w:eastAsia="Cambria Math"/>
          <w:sz w:val="21"/>
        </w:rPr>
        <w:t>` </w:t>
      </w:r>
      <w:r>
        <w:rPr>
          <w:rFonts w:ascii="Cambria Math" w:hAnsi="Cambria Math" w:eastAsia="Cambria Math"/>
          <w:position w:val="12"/>
          <w:sz w:val="15"/>
        </w:rPr>
        <w:t>𝐷</w:t>
      </w:r>
      <w:r>
        <w:rPr>
          <w:rFonts w:ascii="Cambria Math" w:hAnsi="Cambria Math" w:eastAsia="Cambria Math"/>
          <w:position w:val="18"/>
          <w:sz w:val="12"/>
        </w:rPr>
        <w:t>4</w:t>
      </w:r>
      <w:r>
        <w:rPr>
          <w:rFonts w:ascii="Cambria Math" w:hAnsi="Cambria Math" w:eastAsia="Cambria Math"/>
          <w:sz w:val="12"/>
        </w:rPr>
        <w:t> </w:t>
      </w:r>
      <w:r>
        <w:rPr>
          <w:sz w:val="21"/>
        </w:rPr>
        <w:t>……………………（9） </w:t>
      </w:r>
    </w:p>
    <w:p>
      <w:pPr>
        <w:spacing w:line="127" w:lineRule="exact" w:before="0"/>
        <w:ind w:left="212" w:right="0" w:firstLine="0"/>
        <w:jc w:val="left"/>
        <w:rPr>
          <w:rFonts w:ascii="Cambria Math"/>
          <w:sz w:val="12"/>
        </w:rPr>
      </w:pPr>
      <w:r>
        <w:rPr/>
        <w:pict>
          <v:line style="position:absolute;mso-position-horizontal-relative:page;mso-position-vertical-relative:paragraph;z-index:-287281152" from="365.350006pt,-5.28596pt" to="376.390006pt,-5.28596pt" stroked="true" strokeweight=".71997pt" strokecolor="#000000">
            <v:stroke dashstyle="solid"/>
            <w10:wrap type="none"/>
          </v:line>
        </w:pict>
      </w:r>
      <w:r>
        <w:rPr/>
        <w:pict>
          <v:shape style="position:absolute;margin-left:365.350006pt;margin-top:-4.558827pt;width:10.8pt;height:9.25pt;mso-position-horizontal-relative:page;mso-position-vertical-relative:paragraph;z-index:-287279104" type="#_x0000_t202" filled="false" stroked="false">
            <v:textbox inset="0,0,0,0">
              <w:txbxContent>
                <w:p>
                  <w:pPr>
                    <w:spacing w:line="156" w:lineRule="auto" w:before="7"/>
                    <w:ind w:left="0" w:right="0" w:firstLine="0"/>
                    <w:jc w:val="left"/>
                    <w:rPr>
                      <w:rFonts w:ascii="Cambria Math" w:eastAsia="Cambria Math"/>
                      <w:sz w:val="12"/>
                    </w:rPr>
                  </w:pPr>
                  <w:r>
                    <w:rPr>
                      <w:rFonts w:ascii="Cambria Math" w:eastAsia="Cambria Math"/>
                      <w:w w:val="105"/>
                      <w:position w:val="-5"/>
                      <w:sz w:val="15"/>
                    </w:rPr>
                    <w:t>𝐷 </w:t>
                  </w:r>
                  <w:r>
                    <w:rPr>
                      <w:rFonts w:ascii="Cambria Math" w:eastAsia="Cambria Math"/>
                      <w:w w:val="105"/>
                      <w:sz w:val="12"/>
                    </w:rPr>
                    <w:t>4</w:t>
                  </w:r>
                </w:p>
              </w:txbxContent>
            </v:textbox>
            <w10:wrap type="none"/>
          </v:shape>
        </w:pict>
      </w:r>
      <w:r>
        <w:rPr>
          <w:rFonts w:ascii="Cambria Math"/>
          <w:w w:val="107"/>
          <w:sz w:val="12"/>
        </w:rPr>
        <w:t>1</w:t>
      </w:r>
    </w:p>
    <w:p>
      <w:pPr>
        <w:spacing w:after="0" w:line="127" w:lineRule="exact"/>
        <w:jc w:val="left"/>
        <w:rPr>
          <w:rFonts w:ascii="Cambria Math"/>
          <w:sz w:val="12"/>
        </w:rPr>
        <w:sectPr>
          <w:type w:val="continuous"/>
          <w:pgSz w:w="11910" w:h="16850"/>
          <w:pgMar w:top="1600" w:bottom="1180" w:left="1260" w:right="0"/>
          <w:cols w:num="6" w:equalWidth="0">
            <w:col w:w="3683" w:space="40"/>
            <w:col w:w="931" w:space="39"/>
            <w:col w:w="136" w:space="40"/>
            <w:col w:w="902" w:space="40"/>
            <w:col w:w="128" w:space="39"/>
            <w:col w:w="4672"/>
          </w:cols>
        </w:sectPr>
      </w:pPr>
    </w:p>
    <w:p>
      <w:pPr>
        <w:pStyle w:val="BodyText"/>
        <w:spacing w:before="163"/>
        <w:ind w:left="838"/>
      </w:pPr>
      <w:r>
        <w:rPr>
          <w:position w:val="1"/>
        </w:rPr>
        <w:t>式中：D</w:t>
      </w:r>
      <w:r>
        <w:rPr>
          <w:sz w:val="11"/>
        </w:rPr>
        <w:t>1</w:t>
      </w:r>
      <w:r>
        <w:rPr>
          <w:position w:val="1"/>
        </w:rPr>
        <w:t>——灭火风筒出口处直径，m。 </w:t>
      </w:r>
    </w:p>
    <w:p>
      <w:pPr>
        <w:pStyle w:val="BodyText"/>
        <w:spacing w:before="5"/>
        <w:rPr>
          <w:sz w:val="12"/>
        </w:rPr>
      </w:pPr>
    </w:p>
    <w:p>
      <w:pPr>
        <w:spacing w:after="0"/>
        <w:rPr>
          <w:sz w:val="12"/>
        </w:rPr>
        <w:sectPr>
          <w:type w:val="continuous"/>
          <w:pgSz w:w="11910" w:h="16850"/>
          <w:pgMar w:top="1600" w:bottom="1180" w:left="1260" w:right="0"/>
        </w:sectPr>
      </w:pPr>
    </w:p>
    <w:p>
      <w:pPr>
        <w:pStyle w:val="ListParagraph"/>
        <w:numPr>
          <w:ilvl w:val="3"/>
          <w:numId w:val="972"/>
        </w:numPr>
        <w:tabs>
          <w:tab w:pos="1583" w:val="left" w:leader="none"/>
        </w:tabs>
        <w:spacing w:line="240" w:lineRule="auto" w:before="72" w:after="0"/>
        <w:ind w:left="1582" w:right="0" w:hanging="743"/>
        <w:jc w:val="left"/>
        <w:rPr>
          <w:sz w:val="21"/>
        </w:rPr>
      </w:pPr>
      <w:r>
        <w:rPr>
          <w:spacing w:val="-3"/>
          <w:sz w:val="21"/>
        </w:rPr>
        <w:t>灭火风筒出口处的动压功率</w:t>
      </w:r>
      <w:r>
        <w:rPr>
          <w:sz w:val="21"/>
        </w:rPr>
        <w:t> </w:t>
      </w:r>
    </w:p>
    <w:p>
      <w:pPr>
        <w:pStyle w:val="BodyText"/>
        <w:rPr>
          <w:sz w:val="20"/>
        </w:rPr>
      </w:pPr>
    </w:p>
    <w:p>
      <w:pPr>
        <w:pStyle w:val="BodyText"/>
        <w:spacing w:before="9"/>
        <w:rPr>
          <w:sz w:val="27"/>
        </w:rPr>
      </w:pPr>
    </w:p>
    <w:p>
      <w:pPr>
        <w:pStyle w:val="ListParagraph"/>
        <w:numPr>
          <w:ilvl w:val="3"/>
          <w:numId w:val="972"/>
        </w:numPr>
        <w:tabs>
          <w:tab w:pos="1583" w:val="left" w:leader="none"/>
        </w:tabs>
        <w:spacing w:line="240" w:lineRule="auto" w:before="1" w:after="0"/>
        <w:ind w:left="1582" w:right="0" w:hanging="743"/>
        <w:jc w:val="left"/>
        <w:rPr>
          <w:sz w:val="21"/>
        </w:rPr>
      </w:pPr>
      <w:r>
        <w:rPr>
          <w:spacing w:val="-3"/>
          <w:sz w:val="21"/>
        </w:rPr>
        <w:t>工作状态整机效率 </w:t>
      </w:r>
    </w:p>
    <w:p>
      <w:pPr>
        <w:pStyle w:val="BodyText"/>
        <w:spacing w:before="9"/>
        <w:rPr>
          <w:sz w:val="33"/>
        </w:rPr>
      </w:pPr>
      <w:r>
        <w:rPr/>
        <w:br w:type="column"/>
      </w:r>
      <w:r>
        <w:rPr>
          <w:sz w:val="33"/>
        </w:rPr>
      </w:r>
    </w:p>
    <w:p>
      <w:pPr>
        <w:spacing w:before="1"/>
        <w:ind w:left="295" w:right="0" w:firstLine="0"/>
        <w:jc w:val="left"/>
        <w:rPr>
          <w:rFonts w:ascii="Cambria Math" w:hAnsi="Cambria Math" w:eastAsia="Cambria Math"/>
          <w:sz w:val="15"/>
        </w:rPr>
      </w:pPr>
      <w:r>
        <w:rPr>
          <w:rFonts w:ascii="Cambria Math" w:hAnsi="Cambria Math" w:eastAsia="Cambria Math"/>
          <w:spacing w:val="-1"/>
          <w:w w:val="115"/>
          <w:position w:val="-7"/>
          <w:sz w:val="21"/>
        </w:rPr>
        <w:t>𝑁</w:t>
      </w:r>
      <w:r>
        <w:rPr>
          <w:rFonts w:ascii="Cambria Math" w:hAnsi="Cambria Math" w:eastAsia="Cambria Math"/>
          <w:spacing w:val="-1"/>
          <w:w w:val="115"/>
          <w:sz w:val="15"/>
        </w:rPr>
        <w:t>′</w:t>
      </w:r>
      <w:r>
        <w:rPr>
          <w:rFonts w:ascii="Cambria Math" w:hAnsi="Cambria Math" w:eastAsia="Cambria Math"/>
          <w:spacing w:val="-1"/>
          <w:w w:val="115"/>
          <w:position w:val="-11"/>
          <w:sz w:val="15"/>
        </w:rPr>
        <w:t>0</w:t>
      </w:r>
    </w:p>
    <w:p>
      <w:pPr>
        <w:pStyle w:val="BodyText"/>
        <w:spacing w:before="6"/>
        <w:rPr>
          <w:rFonts w:ascii="Cambria Math"/>
          <w:sz w:val="31"/>
        </w:rPr>
      </w:pPr>
      <w:r>
        <w:rPr/>
        <w:br w:type="column"/>
      </w:r>
      <w:r>
        <w:rPr>
          <w:rFonts w:ascii="Cambria Math"/>
          <w:sz w:val="31"/>
        </w:rPr>
      </w:r>
    </w:p>
    <w:p>
      <w:pPr>
        <w:tabs>
          <w:tab w:pos="3571" w:val="left" w:leader="dot"/>
        </w:tabs>
        <w:spacing w:line="294" w:lineRule="exact" w:before="0"/>
        <w:ind w:left="-32" w:right="0" w:firstLine="0"/>
        <w:jc w:val="left"/>
        <w:rPr>
          <w:sz w:val="21"/>
        </w:rPr>
      </w:pPr>
      <w:r>
        <w:rPr>
          <w:rFonts w:ascii="Cambria Math" w:hAnsi="Cambria Math" w:eastAsia="Cambria Math"/>
          <w:w w:val="105"/>
          <w:position w:val="1"/>
          <w:sz w:val="21"/>
        </w:rPr>
        <w:t>(</w:t>
      </w:r>
      <w:r>
        <w:rPr>
          <w:rFonts w:ascii="Cambria Math" w:hAnsi="Cambria Math" w:eastAsia="Cambria Math"/>
          <w:w w:val="105"/>
          <w:sz w:val="21"/>
        </w:rPr>
        <w:t>kW</w:t>
      </w:r>
      <w:r>
        <w:rPr>
          <w:rFonts w:ascii="Cambria Math" w:hAnsi="Cambria Math" w:eastAsia="Cambria Math"/>
          <w:w w:val="105"/>
          <w:position w:val="1"/>
          <w:sz w:val="21"/>
        </w:rPr>
        <w:t>) </w:t>
      </w:r>
      <w:r>
        <w:rPr>
          <w:rFonts w:ascii="Cambria Math" w:hAnsi="Cambria Math" w:eastAsia="Cambria Math"/>
          <w:w w:val="105"/>
          <w:sz w:val="21"/>
        </w:rPr>
        <w:t>=</w:t>
      </w:r>
      <w:r>
        <w:rPr>
          <w:rFonts w:ascii="Cambria Math" w:hAnsi="Cambria Math" w:eastAsia="Cambria Math"/>
          <w:spacing w:val="18"/>
          <w:w w:val="105"/>
          <w:sz w:val="21"/>
        </w:rPr>
        <w:t> </w:t>
      </w:r>
      <w:r>
        <w:rPr>
          <w:rFonts w:ascii="Cambria Math" w:hAnsi="Cambria Math" w:eastAsia="Cambria Math"/>
          <w:w w:val="105"/>
          <w:position w:val="14"/>
          <w:sz w:val="15"/>
        </w:rPr>
        <w:t>p′</w:t>
      </w:r>
      <w:r>
        <w:rPr>
          <w:rFonts w:ascii="Cambria Math" w:hAnsi="Cambria Math" w:eastAsia="Cambria Math"/>
          <w:w w:val="105"/>
          <w:position w:val="11"/>
          <w:sz w:val="12"/>
        </w:rPr>
        <w:t>d</w:t>
      </w:r>
      <w:r>
        <w:rPr>
          <w:rFonts w:ascii="Cambria Math" w:hAnsi="Cambria Math" w:eastAsia="Cambria Math"/>
          <w:w w:val="105"/>
          <w:position w:val="8"/>
          <w:sz w:val="12"/>
        </w:rPr>
        <w:t>0</w:t>
      </w:r>
      <w:r>
        <w:rPr>
          <w:rFonts w:ascii="Cambria Math" w:hAnsi="Cambria Math" w:eastAsia="Cambria Math"/>
          <w:spacing w:val="-15"/>
          <w:w w:val="105"/>
          <w:position w:val="8"/>
          <w:sz w:val="12"/>
        </w:rPr>
        <w:t> </w:t>
      </w:r>
      <w:r>
        <w:rPr>
          <w:rFonts w:ascii="Cambria Math" w:hAnsi="Cambria Math" w:eastAsia="Cambria Math"/>
          <w:w w:val="105"/>
          <w:position w:val="14"/>
          <w:sz w:val="15"/>
        </w:rPr>
        <w:t>·Q</w:t>
      </w:r>
      <w:r>
        <w:rPr>
          <w:rFonts w:ascii="Cambria Math" w:hAnsi="Cambria Math" w:eastAsia="Cambria Math"/>
          <w:w w:val="105"/>
          <w:position w:val="11"/>
          <w:sz w:val="12"/>
        </w:rPr>
        <w:t>0</w:t>
        <w:tab/>
      </w:r>
      <w:r>
        <w:rPr>
          <w:w w:val="105"/>
          <w:sz w:val="21"/>
        </w:rPr>
        <w:t>（10） </w:t>
      </w:r>
    </w:p>
    <w:p>
      <w:pPr>
        <w:spacing w:line="128" w:lineRule="exact" w:before="0"/>
        <w:ind w:left="816" w:right="0" w:firstLine="0"/>
        <w:jc w:val="left"/>
        <w:rPr>
          <w:rFonts w:ascii="Cambria Math"/>
          <w:sz w:val="15"/>
        </w:rPr>
      </w:pPr>
      <w:r>
        <w:rPr/>
        <w:pict>
          <v:line style="position:absolute;mso-position-horizontal-relative:page;mso-position-vertical-relative:paragraph;z-index:-287280128" from="349.269989pt,-3.553313pt" to="376.269989pt,-3.553313pt" stroked="true" strokeweight=".71997pt" strokecolor="#000000">
            <v:stroke dashstyle="solid"/>
            <w10:wrap type="none"/>
          </v:line>
        </w:pict>
      </w:r>
      <w:r>
        <w:rPr>
          <w:rFonts w:ascii="Cambria Math"/>
          <w:w w:val="105"/>
          <w:sz w:val="15"/>
        </w:rPr>
        <w:t>1000</w:t>
      </w:r>
    </w:p>
    <w:p>
      <w:pPr>
        <w:spacing w:after="0" w:line="128" w:lineRule="exact"/>
        <w:jc w:val="left"/>
        <w:rPr>
          <w:rFonts w:ascii="Cambria Math"/>
          <w:sz w:val="15"/>
        </w:rPr>
        <w:sectPr>
          <w:type w:val="continuous"/>
          <w:pgSz w:w="11910" w:h="16850"/>
          <w:pgMar w:top="1600" w:bottom="1180" w:left="1260" w:right="0"/>
          <w:cols w:num="3" w:equalWidth="0">
            <w:col w:w="4314" w:space="40"/>
            <w:col w:w="612" w:space="39"/>
            <w:col w:w="5645"/>
          </w:cols>
        </w:sectPr>
      </w:pPr>
    </w:p>
    <w:p>
      <w:pPr>
        <w:pStyle w:val="BodyText"/>
        <w:rPr>
          <w:rFonts w:ascii="Cambria Math"/>
          <w:sz w:val="24"/>
        </w:rPr>
      </w:pPr>
    </w:p>
    <w:p>
      <w:pPr>
        <w:pStyle w:val="BodyText"/>
        <w:rPr>
          <w:rFonts w:ascii="Cambria Math"/>
          <w:sz w:val="26"/>
        </w:rPr>
      </w:pPr>
    </w:p>
    <w:p>
      <w:pPr>
        <w:pStyle w:val="Heading4"/>
      </w:pPr>
      <w:r>
        <w:rPr/>
        <w:t>5 整机性能试验</w:t>
      </w:r>
      <w:r>
        <w:rPr>
          <w:w w:val="99"/>
        </w:rPr>
        <w:t> </w:t>
      </w:r>
    </w:p>
    <w:p>
      <w:pPr>
        <w:tabs>
          <w:tab w:pos="4412" w:val="left" w:leader="dot"/>
        </w:tabs>
        <w:spacing w:line="274" w:lineRule="exact" w:before="26"/>
        <w:ind w:left="418" w:right="0" w:firstLine="0"/>
        <w:jc w:val="left"/>
        <w:rPr>
          <w:sz w:val="21"/>
        </w:rPr>
      </w:pPr>
      <w:r>
        <w:rPr/>
        <w:br w:type="column"/>
      </w:r>
      <w:r>
        <w:rPr>
          <w:sz w:val="21"/>
        </w:rPr>
        <w:t>η</w:t>
      </w:r>
      <w:r>
        <w:rPr>
          <w:rFonts w:ascii="Cambria Math" w:hAnsi="Cambria Math" w:eastAsia="Cambria Math"/>
          <w:position w:val="1"/>
          <w:sz w:val="21"/>
        </w:rPr>
        <w:t>(</w:t>
      </w:r>
      <w:r>
        <w:rPr>
          <w:rFonts w:ascii="Cambria Math" w:hAnsi="Cambria Math" w:eastAsia="Cambria Math"/>
          <w:sz w:val="21"/>
        </w:rPr>
        <w:t>%</w:t>
      </w:r>
      <w:r>
        <w:rPr>
          <w:rFonts w:ascii="Cambria Math" w:hAnsi="Cambria Math" w:eastAsia="Cambria Math"/>
          <w:position w:val="1"/>
          <w:sz w:val="21"/>
        </w:rPr>
        <w:t>) </w:t>
      </w:r>
      <w:r>
        <w:rPr>
          <w:rFonts w:ascii="Cambria Math" w:hAnsi="Cambria Math" w:eastAsia="Cambria Math"/>
          <w:sz w:val="21"/>
        </w:rPr>
        <w:t>= </w:t>
      </w:r>
      <w:r>
        <w:rPr>
          <w:rFonts w:ascii="Cambria Math" w:hAnsi="Cambria Math" w:eastAsia="Cambria Math"/>
          <w:position w:val="12"/>
          <w:sz w:val="21"/>
          <w:u w:val="single"/>
        </w:rPr>
        <w:t> </w:t>
      </w:r>
      <w:r>
        <w:rPr>
          <w:rFonts w:ascii="Cambria Math" w:hAnsi="Cambria Math" w:eastAsia="Cambria Math"/>
          <w:position w:val="12"/>
          <w:sz w:val="15"/>
          <w:u w:val="single"/>
        </w:rPr>
        <w:t>𝑁′</w:t>
      </w:r>
      <w:r>
        <w:rPr>
          <w:rFonts w:ascii="Cambria Math" w:hAnsi="Cambria Math" w:eastAsia="Cambria Math"/>
          <w:position w:val="9"/>
          <w:sz w:val="12"/>
          <w:u w:val="single"/>
        </w:rPr>
        <w:t>0</w:t>
      </w:r>
      <w:r>
        <w:rPr>
          <w:rFonts w:ascii="Cambria Math" w:hAnsi="Cambria Math" w:eastAsia="Cambria Math"/>
          <w:spacing w:val="3"/>
          <w:position w:val="9"/>
          <w:sz w:val="12"/>
        </w:rPr>
        <w:t> </w:t>
      </w:r>
      <w:r>
        <w:rPr>
          <w:rFonts w:ascii="Cambria Math" w:hAnsi="Cambria Math" w:eastAsia="Cambria Math"/>
          <w:sz w:val="21"/>
        </w:rPr>
        <w:t>×</w:t>
      </w:r>
      <w:r>
        <w:rPr>
          <w:rFonts w:ascii="Cambria Math" w:hAnsi="Cambria Math" w:eastAsia="Cambria Math"/>
          <w:spacing w:val="2"/>
          <w:sz w:val="21"/>
        </w:rPr>
        <w:t> </w:t>
      </w:r>
      <w:r>
        <w:rPr>
          <w:rFonts w:ascii="Cambria Math" w:hAnsi="Cambria Math" w:eastAsia="Cambria Math"/>
          <w:sz w:val="21"/>
        </w:rPr>
        <w:t>100</w:t>
        <w:tab/>
      </w:r>
      <w:r>
        <w:rPr>
          <w:sz w:val="21"/>
        </w:rPr>
        <w:t>（11） </w:t>
      </w:r>
    </w:p>
    <w:p>
      <w:pPr>
        <w:spacing w:line="151" w:lineRule="exact" w:before="0"/>
        <w:ind w:left="1294" w:right="0" w:firstLine="0"/>
        <w:jc w:val="left"/>
        <w:rPr>
          <w:rFonts w:ascii="Cambria Math" w:eastAsia="Cambria Math"/>
          <w:sz w:val="12"/>
        </w:rPr>
      </w:pPr>
      <w:r>
        <w:rPr>
          <w:rFonts w:ascii="Cambria Math" w:eastAsia="Cambria Math"/>
          <w:w w:val="105"/>
          <w:sz w:val="15"/>
        </w:rPr>
        <w:t>𝑁</w:t>
      </w:r>
      <w:r>
        <w:rPr>
          <w:rFonts w:ascii="Cambria Math" w:eastAsia="Cambria Math"/>
          <w:w w:val="105"/>
          <w:position w:val="-2"/>
          <w:sz w:val="12"/>
        </w:rPr>
        <w:t>0</w:t>
      </w:r>
    </w:p>
    <w:p>
      <w:pPr>
        <w:spacing w:after="0" w:line="151" w:lineRule="exact"/>
        <w:jc w:val="left"/>
        <w:rPr>
          <w:rFonts w:ascii="Cambria Math" w:eastAsia="Cambria Math"/>
          <w:sz w:val="12"/>
        </w:rPr>
        <w:sectPr>
          <w:type w:val="continuous"/>
          <w:pgSz w:w="11910" w:h="16850"/>
          <w:pgMar w:top="1600" w:bottom="1180" w:left="1260" w:right="0"/>
          <w:cols w:num="2" w:equalWidth="0">
            <w:col w:w="2266" w:space="1899"/>
            <w:col w:w="6485"/>
          </w:cols>
        </w:sectPr>
      </w:pPr>
    </w:p>
    <w:p>
      <w:pPr>
        <w:pStyle w:val="BodyText"/>
        <w:spacing w:before="10"/>
        <w:rPr>
          <w:rFonts w:ascii="Cambria Math"/>
          <w:sz w:val="12"/>
        </w:rPr>
      </w:pPr>
    </w:p>
    <w:p>
      <w:pPr>
        <w:pStyle w:val="ListParagraph"/>
        <w:numPr>
          <w:ilvl w:val="1"/>
          <w:numId w:val="973"/>
        </w:numPr>
        <w:tabs>
          <w:tab w:pos="1213" w:val="left" w:leader="none"/>
        </w:tabs>
        <w:spacing w:line="240" w:lineRule="auto" w:before="71" w:after="0"/>
        <w:ind w:left="1212" w:right="0" w:hanging="373"/>
        <w:jc w:val="left"/>
        <w:rPr>
          <w:sz w:val="21"/>
        </w:rPr>
      </w:pPr>
      <w:r>
        <w:rPr>
          <w:spacing w:val="-3"/>
          <w:sz w:val="21"/>
        </w:rPr>
        <w:t>灭火风筒出口处动压测定及效率、风速、风量计算 </w:t>
      </w:r>
      <w:r>
        <w:rPr>
          <w:sz w:val="21"/>
        </w:rPr>
        <w:t> </w:t>
      </w:r>
    </w:p>
    <w:p>
      <w:pPr>
        <w:pStyle w:val="BodyText"/>
        <w:spacing w:before="2"/>
        <w:rPr>
          <w:sz w:val="18"/>
        </w:rPr>
      </w:pPr>
    </w:p>
    <w:p>
      <w:pPr>
        <w:pStyle w:val="BodyText"/>
        <w:ind w:left="838"/>
      </w:pPr>
      <w:r>
        <w:rPr/>
        <w:t>在室内测定，便携式风力灭火机（以下简称风力灭火机）固定在台架上，风筒中心距地面</w:t>
      </w:r>
    </w:p>
    <w:p>
      <w:pPr>
        <w:spacing w:after="0"/>
        <w:sectPr>
          <w:type w:val="continuous"/>
          <w:pgSz w:w="11910" w:h="16850"/>
          <w:pgMar w:top="1600" w:bottom="1180" w:left="1260" w:right="0"/>
        </w:sectPr>
      </w:pPr>
    </w:p>
    <w:p>
      <w:pPr>
        <w:pStyle w:val="BodyText"/>
        <w:spacing w:line="446" w:lineRule="auto" w:before="47"/>
        <w:ind w:left="418" w:right="1455"/>
      </w:pPr>
      <w:r>
        <w:rPr>
          <w:spacing w:val="-12"/>
        </w:rPr>
        <w:t>不小于 </w:t>
      </w:r>
      <w:r>
        <w:rPr/>
        <w:t>1m</w:t>
      </w:r>
      <w:r>
        <w:rPr>
          <w:spacing w:val="-6"/>
        </w:rPr>
        <w:t>，前方不得有障碍物，左右 </w:t>
      </w:r>
      <w:r>
        <w:rPr/>
        <w:t>2m</w:t>
      </w:r>
      <w:r>
        <w:rPr>
          <w:spacing w:val="-8"/>
        </w:rPr>
        <w:t> 内不得有影响射流的障碍物。在标定转速下，用一个能</w:t>
      </w:r>
      <w:r>
        <w:rPr>
          <w:spacing w:val="-5"/>
        </w:rPr>
        <w:t>上下左右调整的可移动支架固定毕托管，测定射流动压值。</w:t>
      </w:r>
      <w:r>
        <w:rPr/>
        <w:t> </w:t>
      </w:r>
    </w:p>
    <w:p>
      <w:pPr>
        <w:pStyle w:val="ListParagraph"/>
        <w:numPr>
          <w:ilvl w:val="2"/>
          <w:numId w:val="973"/>
        </w:numPr>
        <w:tabs>
          <w:tab w:pos="1370" w:val="left" w:leader="none"/>
        </w:tabs>
        <w:spacing w:line="267" w:lineRule="exact" w:before="0" w:after="0"/>
        <w:ind w:left="1369" w:right="0" w:hanging="530"/>
        <w:jc w:val="left"/>
        <w:rPr>
          <w:sz w:val="21"/>
        </w:rPr>
      </w:pPr>
      <w:r>
        <w:rPr>
          <w:spacing w:val="-12"/>
          <w:sz w:val="21"/>
        </w:rPr>
        <w:t>距风筒出口 </w:t>
      </w:r>
      <w:r>
        <w:rPr>
          <w:sz w:val="21"/>
        </w:rPr>
        <w:t>10mm</w:t>
      </w:r>
      <w:r>
        <w:rPr>
          <w:spacing w:val="-11"/>
          <w:sz w:val="21"/>
        </w:rPr>
        <w:t> 处测定与风筒出口等截面各点动压值，垂直和水平方向各测 </w:t>
      </w:r>
      <w:r>
        <w:rPr>
          <w:sz w:val="21"/>
        </w:rPr>
        <w:t>10</w:t>
      </w:r>
    </w:p>
    <w:p>
      <w:pPr>
        <w:pStyle w:val="BodyText"/>
        <w:spacing w:before="2"/>
        <w:rPr>
          <w:sz w:val="18"/>
        </w:rPr>
      </w:pPr>
    </w:p>
    <w:p>
      <w:pPr>
        <w:pStyle w:val="BodyText"/>
        <w:ind w:left="418"/>
      </w:pPr>
      <w:r>
        <w:rPr/>
        <w:t>点，并换算为标准状态值。 </w:t>
      </w:r>
    </w:p>
    <w:p>
      <w:pPr>
        <w:pStyle w:val="BodyText"/>
        <w:rPr>
          <w:sz w:val="18"/>
        </w:rPr>
      </w:pPr>
    </w:p>
    <w:p>
      <w:pPr>
        <w:pStyle w:val="ListParagraph"/>
        <w:numPr>
          <w:ilvl w:val="2"/>
          <w:numId w:val="973"/>
        </w:numPr>
        <w:tabs>
          <w:tab w:pos="1370" w:val="left" w:leader="none"/>
        </w:tabs>
        <w:spacing w:line="240" w:lineRule="auto" w:before="0" w:after="0"/>
        <w:ind w:left="1369" w:right="0" w:hanging="530"/>
        <w:jc w:val="left"/>
        <w:rPr>
          <w:sz w:val="21"/>
        </w:rPr>
      </w:pPr>
      <w:r>
        <w:rPr>
          <w:spacing w:val="-3"/>
          <w:sz w:val="21"/>
        </w:rPr>
        <w:t>各点风速计算见式</w:t>
      </w:r>
      <w:r>
        <w:rPr>
          <w:sz w:val="21"/>
        </w:rPr>
        <w:t>（12） </w:t>
      </w:r>
    </w:p>
    <w:p>
      <w:pPr>
        <w:pStyle w:val="BodyText"/>
        <w:spacing w:before="3"/>
        <w:rPr>
          <w:sz w:val="20"/>
        </w:rPr>
      </w:pPr>
    </w:p>
    <w:p>
      <w:pPr>
        <w:pStyle w:val="BodyText"/>
        <w:spacing w:line="20" w:lineRule="exact"/>
        <w:ind w:left="5403"/>
        <w:rPr>
          <w:sz w:val="2"/>
        </w:rPr>
      </w:pPr>
      <w:r>
        <w:rPr>
          <w:sz w:val="2"/>
        </w:rPr>
        <w:pict>
          <v:group style="width:32.3pt;height:.75pt;mso-position-horizontal-relative:char;mso-position-vertical-relative:line" coordorigin="0,0" coordsize="646,15">
            <v:line style="position:absolute" from="0,7" to="646,7" stroked="true" strokeweight=".72pt" strokecolor="#000000">
              <v:stroke dashstyle="solid"/>
            </v:line>
          </v:group>
        </w:pict>
      </w:r>
      <w:r>
        <w:rPr>
          <w:sz w:val="2"/>
        </w:rPr>
      </w:r>
    </w:p>
    <w:p>
      <w:pPr>
        <w:spacing w:after="0" w:line="20" w:lineRule="exact"/>
        <w:rPr>
          <w:sz w:val="2"/>
        </w:rPr>
        <w:sectPr>
          <w:pgSz w:w="11910" w:h="16850"/>
          <w:pgMar w:header="0" w:footer="1239" w:top="1220" w:bottom="1420" w:left="1260" w:right="0"/>
        </w:sectPr>
      </w:pPr>
    </w:p>
    <w:p>
      <w:pPr>
        <w:pStyle w:val="BodyText"/>
        <w:spacing w:before="3"/>
        <w:rPr>
          <w:sz w:val="35"/>
        </w:rPr>
      </w:pPr>
    </w:p>
    <w:p>
      <w:pPr>
        <w:spacing w:before="1"/>
        <w:ind w:left="838" w:right="0" w:firstLine="0"/>
        <w:jc w:val="left"/>
        <w:rPr>
          <w:sz w:val="21"/>
        </w:rPr>
      </w:pPr>
      <w:r>
        <w:rPr/>
        <w:pict>
          <v:shape style="position:absolute;margin-left:154.580002pt;margin-top:9.758609pt;width:3.2pt;height:4.6pt;mso-position-horizontal-relative:page;mso-position-vertical-relative:paragraph;z-index:-287273984" type="#_x0000_t202" filled="false" stroked="false">
            <v:textbox inset="0,0,0,0">
              <w:txbxContent>
                <w:p>
                  <w:pPr>
                    <w:spacing w:line="91" w:lineRule="exact" w:before="0"/>
                    <w:ind w:left="0" w:right="0" w:firstLine="0"/>
                    <w:jc w:val="left"/>
                    <w:rPr>
                      <w:rFonts w:ascii="Cambria Math" w:eastAsia="Cambria Math"/>
                      <w:sz w:val="9"/>
                    </w:rPr>
                  </w:pPr>
                  <w:r>
                    <w:rPr>
                      <w:rFonts w:ascii="Cambria Math" w:eastAsia="Cambria Math"/>
                      <w:w w:val="120"/>
                      <w:sz w:val="9"/>
                    </w:rPr>
                    <w:t>𝜎</w:t>
                  </w:r>
                </w:p>
              </w:txbxContent>
            </v:textbox>
            <w10:wrap type="none"/>
          </v:shape>
        </w:pict>
      </w:r>
      <w:r>
        <w:rPr>
          <w:sz w:val="21"/>
        </w:rPr>
        <w:t>式中：相</w:t>
      </w:r>
      <w:r>
        <w:rPr>
          <w:rFonts w:ascii="Cambria Math" w:eastAsia="Cambria Math"/>
          <w:sz w:val="16"/>
        </w:rPr>
        <w:t>𝑝</w:t>
      </w:r>
      <w:r>
        <w:rPr>
          <w:rFonts w:ascii="Cambria Math" w:eastAsia="Cambria Math"/>
          <w:position w:val="-2"/>
          <w:sz w:val="11"/>
        </w:rPr>
        <w:t>𝑑 </w:t>
      </w:r>
      <w:r>
        <w:rPr>
          <w:sz w:val="21"/>
        </w:rPr>
        <w:t>应处风速，m/s。 </w:t>
      </w:r>
    </w:p>
    <w:p>
      <w:pPr>
        <w:spacing w:line="182" w:lineRule="auto" w:before="0"/>
        <w:ind w:left="1236" w:right="1728" w:firstLine="0"/>
        <w:jc w:val="center"/>
        <w:rPr>
          <w:b/>
          <w:sz w:val="21"/>
        </w:rPr>
      </w:pPr>
      <w:r>
        <w:rPr/>
        <w:br w:type="column"/>
      </w:r>
      <w:r>
        <w:rPr>
          <w:rFonts w:ascii="Cambria Math" w:hAnsi="Cambria Math" w:eastAsia="Cambria Math"/>
          <w:w w:val="105"/>
          <w:sz w:val="21"/>
        </w:rPr>
        <w:t>𝑣</w:t>
      </w:r>
      <w:r>
        <w:rPr>
          <w:rFonts w:ascii="Cambria Math" w:hAnsi="Cambria Math" w:eastAsia="Cambria Math"/>
          <w:w w:val="105"/>
          <w:position w:val="-3"/>
          <w:sz w:val="15"/>
        </w:rPr>
        <w:t>𝑖 </w:t>
      </w:r>
      <w:r>
        <w:rPr>
          <w:rFonts w:ascii="Cambria Math" w:hAnsi="Cambria Math" w:eastAsia="Cambria Math"/>
          <w:w w:val="105"/>
          <w:sz w:val="21"/>
        </w:rPr>
        <w:t>= </w:t>
      </w:r>
      <w:r>
        <w:rPr>
          <w:rFonts w:ascii="Cambria Math" w:hAnsi="Cambria Math" w:eastAsia="Cambria Math"/>
          <w:w w:val="105"/>
          <w:position w:val="-1"/>
          <w:sz w:val="21"/>
        </w:rPr>
        <w:t>√</w:t>
      </w:r>
      <w:r>
        <w:rPr>
          <w:rFonts w:ascii="Cambria Math" w:hAnsi="Cambria Math" w:eastAsia="Cambria Math"/>
          <w:w w:val="105"/>
          <w:sz w:val="21"/>
        </w:rPr>
        <w:t>2𝑝</w:t>
      </w:r>
      <w:r>
        <w:rPr>
          <w:rFonts w:ascii="Cambria Math" w:hAnsi="Cambria Math" w:eastAsia="Cambria Math"/>
          <w:w w:val="105"/>
          <w:position w:val="-3"/>
          <w:sz w:val="15"/>
        </w:rPr>
        <w:t>𝑑</w:t>
      </w:r>
      <w:r>
        <w:rPr>
          <w:rFonts w:ascii="Cambria Math" w:hAnsi="Cambria Math" w:eastAsia="Cambria Math"/>
          <w:w w:val="105"/>
          <w:position w:val="-6"/>
          <w:sz w:val="12"/>
        </w:rPr>
        <w:t>𝜎</w:t>
      </w:r>
      <w:r>
        <w:rPr>
          <w:rFonts w:ascii="Cambria Math" w:hAnsi="Cambria Math" w:eastAsia="Cambria Math"/>
          <w:w w:val="105"/>
          <w:sz w:val="21"/>
        </w:rPr>
        <w:t>/𝜌 </w:t>
      </w:r>
      <w:r>
        <w:rPr>
          <w:w w:val="105"/>
          <w:sz w:val="21"/>
        </w:rPr>
        <w:t>……………………（12）</w:t>
      </w:r>
      <w:r>
        <w:rPr>
          <w:b/>
          <w:w w:val="99"/>
          <w:sz w:val="21"/>
        </w:rPr>
        <w:t> </w:t>
      </w:r>
    </w:p>
    <w:p>
      <w:pPr>
        <w:spacing w:after="0" w:line="182" w:lineRule="auto"/>
        <w:jc w:val="center"/>
        <w:rPr>
          <w:sz w:val="21"/>
        </w:rPr>
        <w:sectPr>
          <w:type w:val="continuous"/>
          <w:pgSz w:w="11910" w:h="16850"/>
          <w:pgMar w:top="1600" w:bottom="1180" w:left="1260" w:right="0"/>
          <w:cols w:num="2" w:equalWidth="0">
            <w:col w:w="3627" w:space="338"/>
            <w:col w:w="6685"/>
          </w:cols>
        </w:sectPr>
      </w:pPr>
    </w:p>
    <w:p>
      <w:pPr>
        <w:pStyle w:val="BodyText"/>
        <w:spacing w:before="5"/>
        <w:rPr>
          <w:b/>
          <w:sz w:val="12"/>
        </w:rPr>
      </w:pPr>
    </w:p>
    <w:p>
      <w:pPr>
        <w:pStyle w:val="ListParagraph"/>
        <w:numPr>
          <w:ilvl w:val="2"/>
          <w:numId w:val="973"/>
        </w:numPr>
        <w:tabs>
          <w:tab w:pos="1370" w:val="left" w:leader="none"/>
        </w:tabs>
        <w:spacing w:line="240" w:lineRule="auto" w:before="72" w:after="0"/>
        <w:ind w:left="1369" w:right="0" w:hanging="530"/>
        <w:jc w:val="left"/>
        <w:rPr>
          <w:sz w:val="21"/>
        </w:rPr>
      </w:pPr>
      <w:r>
        <w:rPr/>
        <w:pict>
          <v:line style="position:absolute;mso-position-horizontal-relative:page;mso-position-vertical-relative:paragraph;z-index:-251252736;mso-wrap-distance-left:0;mso-wrap-distance-right:0" from="359.950012pt,21.29998pt" to="366.790012pt,21.29998pt" stroked="true" strokeweight=".48001pt" strokecolor="#000000">
            <v:stroke dashstyle="solid"/>
            <w10:wrap type="topAndBottom"/>
          </v:line>
        </w:pict>
      </w:r>
      <w:r>
        <w:rPr>
          <w:spacing w:val="-3"/>
          <w:w w:val="100"/>
          <w:sz w:val="21"/>
        </w:rPr>
        <w:t>平均风速、风量计算见式</w:t>
      </w:r>
      <w:r>
        <w:rPr>
          <w:w w:val="100"/>
          <w:sz w:val="21"/>
        </w:rPr>
        <w:t>（1</w:t>
      </w:r>
      <w:r>
        <w:rPr>
          <w:spacing w:val="-3"/>
          <w:w w:val="100"/>
          <w:sz w:val="21"/>
        </w:rPr>
        <w:t>3</w:t>
      </w:r>
      <w:r>
        <w:rPr>
          <w:spacing w:val="-106"/>
          <w:w w:val="100"/>
          <w:sz w:val="21"/>
        </w:rPr>
        <w:t>）</w:t>
      </w:r>
      <w:r>
        <w:rPr>
          <w:spacing w:val="-2"/>
          <w:w w:val="100"/>
          <w:sz w:val="21"/>
        </w:rPr>
        <w:t>、式</w:t>
      </w:r>
      <w:r>
        <w:rPr>
          <w:w w:val="100"/>
          <w:sz w:val="21"/>
        </w:rPr>
        <w:t>（</w:t>
      </w:r>
      <w:r>
        <w:rPr>
          <w:spacing w:val="-3"/>
          <w:w w:val="100"/>
          <w:sz w:val="21"/>
        </w:rPr>
        <w:t>1</w:t>
      </w:r>
      <w:r>
        <w:rPr>
          <w:w w:val="100"/>
          <w:sz w:val="21"/>
        </w:rPr>
        <w:t>4</w:t>
      </w:r>
      <w:r>
        <w:rPr>
          <w:spacing w:val="-106"/>
          <w:w w:val="100"/>
          <w:sz w:val="21"/>
        </w:rPr>
        <w:t>）</w:t>
      </w:r>
      <w:r>
        <w:rPr>
          <w:spacing w:val="-3"/>
          <w:w w:val="100"/>
          <w:sz w:val="21"/>
        </w:rPr>
        <w:t>：</w:t>
      </w:r>
      <w:r>
        <w:rPr>
          <w:w w:val="100"/>
          <w:sz w:val="21"/>
        </w:rPr>
        <w:t> </w:t>
      </w:r>
    </w:p>
    <w:p>
      <w:pPr>
        <w:spacing w:line="31" w:lineRule="auto" w:before="0"/>
        <w:ind w:left="1880" w:right="966" w:firstLine="0"/>
        <w:jc w:val="center"/>
        <w:rPr>
          <w:rFonts w:ascii="Cambria Math" w:hAnsi="Cambria Math" w:eastAsia="Cambria Math"/>
          <w:sz w:val="12"/>
        </w:rPr>
      </w:pPr>
      <w:r>
        <w:rPr>
          <w:rFonts w:ascii="Cambria Math" w:hAnsi="Cambria Math" w:eastAsia="Cambria Math"/>
          <w:w w:val="110"/>
          <w:position w:val="-5"/>
          <w:sz w:val="15"/>
        </w:rPr>
        <w:t>∑</w:t>
      </w:r>
      <w:r>
        <w:rPr>
          <w:rFonts w:ascii="Cambria Math" w:hAnsi="Cambria Math" w:eastAsia="Cambria Math"/>
          <w:w w:val="110"/>
          <w:sz w:val="12"/>
        </w:rPr>
        <w:t>20  </w:t>
      </w:r>
      <w:r>
        <w:rPr>
          <w:rFonts w:ascii="Cambria Math" w:hAnsi="Cambria Math" w:eastAsia="Cambria Math"/>
          <w:w w:val="110"/>
          <w:position w:val="-7"/>
          <w:sz w:val="15"/>
        </w:rPr>
        <w:t>√</w:t>
      </w:r>
      <w:r>
        <w:rPr>
          <w:rFonts w:ascii="Cambria Math" w:hAnsi="Cambria Math" w:eastAsia="Cambria Math"/>
          <w:w w:val="110"/>
          <w:position w:val="-6"/>
          <w:sz w:val="15"/>
        </w:rPr>
        <w:t>𝑣</w:t>
      </w:r>
      <w:r>
        <w:rPr>
          <w:rFonts w:ascii="Cambria Math" w:hAnsi="Cambria Math" w:eastAsia="Cambria Math"/>
          <w:w w:val="110"/>
          <w:position w:val="-9"/>
          <w:sz w:val="12"/>
        </w:rPr>
        <w:t>𝑖</w:t>
      </w:r>
    </w:p>
    <w:p>
      <w:pPr>
        <w:spacing w:after="0" w:line="31" w:lineRule="auto"/>
        <w:jc w:val="center"/>
        <w:rPr>
          <w:rFonts w:ascii="Cambria Math" w:hAnsi="Cambria Math" w:eastAsia="Cambria Math"/>
          <w:sz w:val="12"/>
        </w:rPr>
        <w:sectPr>
          <w:type w:val="continuous"/>
          <w:pgSz w:w="11910" w:h="16850"/>
          <w:pgMar w:top="1600" w:bottom="1180" w:left="1260" w:right="0"/>
        </w:sectPr>
      </w:pPr>
    </w:p>
    <w:p>
      <w:pPr>
        <w:pStyle w:val="BodyText"/>
        <w:spacing w:line="232" w:lineRule="exact"/>
        <w:jc w:val="right"/>
        <w:rPr>
          <w:rFonts w:ascii="Cambria Math" w:hAnsi="Cambria Math" w:eastAsia="Cambria Math"/>
        </w:rPr>
      </w:pPr>
      <w:r>
        <w:rPr>
          <w:rFonts w:ascii="Cambria Math" w:hAnsi="Cambria Math" w:eastAsia="Cambria Math"/>
        </w:rPr>
        <w:t>v</w:t>
      </w:r>
      <w:r>
        <w:rPr>
          <w:rFonts w:ascii="Cambria Math" w:hAnsi="Cambria Math" w:eastAsia="Cambria Math"/>
          <w:position w:val="1"/>
        </w:rPr>
        <w:t>(</w:t>
      </w:r>
      <w:r>
        <w:rPr>
          <w:rFonts w:ascii="Cambria Math" w:hAnsi="Cambria Math" w:eastAsia="Cambria Math"/>
        </w:rPr>
        <w:t>𝑚</w:t>
      </w:r>
      <w:r>
        <w:rPr>
          <w:rFonts w:ascii="Cambria Math" w:hAnsi="Cambria Math" w:eastAsia="Cambria Math"/>
          <w:position w:val="1"/>
        </w:rPr>
        <w:t>⁄</w:t>
      </w:r>
      <w:r>
        <w:rPr>
          <w:rFonts w:ascii="Cambria Math" w:hAnsi="Cambria Math" w:eastAsia="Cambria Math"/>
        </w:rPr>
        <w:t>𝑠</w:t>
      </w:r>
      <w:r>
        <w:rPr>
          <w:rFonts w:ascii="Cambria Math" w:hAnsi="Cambria Math" w:eastAsia="Cambria Math"/>
          <w:position w:val="1"/>
        </w:rPr>
        <w:t>) </w:t>
      </w:r>
      <w:r>
        <w:rPr>
          <w:rFonts w:ascii="Cambria Math" w:hAnsi="Cambria Math" w:eastAsia="Cambria Math"/>
        </w:rPr>
        <w:t>= (</w:t>
      </w:r>
    </w:p>
    <w:p>
      <w:pPr>
        <w:spacing w:line="121" w:lineRule="exact" w:before="0"/>
        <w:ind w:left="69" w:right="0" w:firstLine="0"/>
        <w:jc w:val="left"/>
        <w:rPr>
          <w:rFonts w:ascii="Cambria Math" w:eastAsia="Cambria Math"/>
          <w:sz w:val="12"/>
        </w:rPr>
      </w:pPr>
      <w:r>
        <w:rPr/>
        <w:br w:type="column"/>
      </w:r>
      <w:r>
        <w:rPr>
          <w:rFonts w:ascii="Cambria Math" w:eastAsia="Cambria Math"/>
          <w:w w:val="110"/>
          <w:sz w:val="12"/>
        </w:rPr>
        <w:t>𝑖=1</w:t>
      </w:r>
    </w:p>
    <w:p>
      <w:pPr>
        <w:spacing w:before="27"/>
        <w:ind w:left="167" w:right="0" w:firstLine="0"/>
        <w:jc w:val="left"/>
        <w:rPr>
          <w:rFonts w:ascii="Cambria Math"/>
          <w:sz w:val="15"/>
        </w:rPr>
      </w:pPr>
      <w:r>
        <w:rPr/>
        <w:pict>
          <v:line style="position:absolute;mso-position-horizontal-relative:page;mso-position-vertical-relative:paragraph;z-index:252064768" from="337.51001pt,.196453pt" to="366.79001pt,.196453pt" stroked="true" strokeweight=".72pt" strokecolor="#000000">
            <v:stroke dashstyle="solid"/>
            <w10:wrap type="none"/>
          </v:line>
        </w:pict>
      </w:r>
      <w:r>
        <w:rPr>
          <w:rFonts w:ascii="Cambria Math"/>
          <w:spacing w:val="-1"/>
          <w:w w:val="105"/>
          <w:sz w:val="15"/>
        </w:rPr>
        <w:t>20</w:t>
      </w:r>
    </w:p>
    <w:p>
      <w:pPr>
        <w:pStyle w:val="BodyText"/>
        <w:spacing w:line="244" w:lineRule="exact"/>
        <w:ind w:left="166"/>
      </w:pPr>
      <w:r>
        <w:rPr/>
        <w:br w:type="column"/>
      </w:r>
      <w:r>
        <w:rPr>
          <w:rFonts w:ascii="Cambria Math" w:hAnsi="Cambria Math" w:eastAsia="Cambria Math"/>
        </w:rPr>
        <w:t>)</w:t>
      </w:r>
      <w:r>
        <w:rPr/>
        <w:t>²</w:t>
      </w:r>
      <w:r>
        <w:rPr>
          <w:spacing w:val="104"/>
        </w:rPr>
        <w:t> </w:t>
      </w:r>
      <w:r>
        <w:rPr/>
        <w:t>……………………（13） </w:t>
      </w:r>
    </w:p>
    <w:p>
      <w:pPr>
        <w:spacing w:after="0" w:line="244" w:lineRule="exact"/>
        <w:sectPr>
          <w:type w:val="continuous"/>
          <w:pgSz w:w="11910" w:h="16850"/>
          <w:pgMar w:top="1600" w:bottom="1180" w:left="1260" w:right="0"/>
          <w:cols w:num="3" w:equalWidth="0">
            <w:col w:w="5490" w:space="40"/>
            <w:col w:w="341" w:space="39"/>
            <w:col w:w="4740"/>
          </w:cols>
        </w:sectPr>
      </w:pPr>
    </w:p>
    <w:p>
      <w:pPr>
        <w:pStyle w:val="BodyText"/>
        <w:tabs>
          <w:tab w:pos="8579" w:val="left" w:leader="dot"/>
        </w:tabs>
        <w:spacing w:before="160"/>
        <w:ind w:left="4702"/>
        <w:rPr>
          <w:b/>
        </w:rPr>
      </w:pPr>
      <w:r>
        <w:rPr/>
        <w:t>Q(m³/s)=</w:t>
      </w:r>
      <w:r>
        <w:rPr>
          <w:rFonts w:ascii="Cambria Math" w:hAnsi="Cambria Math" w:eastAsia="Cambria Math"/>
        </w:rPr>
        <w:t>𝐴</w:t>
      </w:r>
      <w:r>
        <w:rPr>
          <w:rFonts w:ascii="Cambria Math" w:hAnsi="Cambria Math" w:eastAsia="Cambria Math"/>
          <w:position w:val="-3"/>
          <w:sz w:val="15"/>
        </w:rPr>
        <w:t>𝑖</w:t>
      </w:r>
      <w:r>
        <w:rPr/>
        <w:t>·v</w:t>
        <w:tab/>
        <w:t>（14）</w:t>
      </w:r>
      <w:r>
        <w:rPr>
          <w:b/>
          <w:w w:val="99"/>
        </w:rPr>
        <w:t> </w:t>
      </w:r>
    </w:p>
    <w:p>
      <w:pPr>
        <w:pStyle w:val="BodyText"/>
        <w:spacing w:before="216"/>
        <w:ind w:left="838"/>
      </w:pPr>
      <w:r>
        <w:rPr/>
        <w:t>式中：A1——灭火风筒出口处截面积，㎡。 </w:t>
      </w:r>
    </w:p>
    <w:p>
      <w:pPr>
        <w:pStyle w:val="BodyText"/>
        <w:spacing w:before="2"/>
        <w:rPr>
          <w:sz w:val="18"/>
        </w:rPr>
      </w:pPr>
    </w:p>
    <w:p>
      <w:pPr>
        <w:pStyle w:val="ListParagraph"/>
        <w:numPr>
          <w:ilvl w:val="2"/>
          <w:numId w:val="973"/>
        </w:numPr>
        <w:tabs>
          <w:tab w:pos="1371" w:val="left" w:leader="none"/>
        </w:tabs>
        <w:spacing w:line="240" w:lineRule="auto" w:before="0" w:after="0"/>
        <w:ind w:left="1370" w:right="0" w:hanging="531"/>
        <w:jc w:val="left"/>
        <w:rPr>
          <w:sz w:val="21"/>
        </w:rPr>
      </w:pPr>
      <w:r>
        <w:rPr>
          <w:spacing w:val="-2"/>
          <w:w w:val="100"/>
          <w:sz w:val="21"/>
        </w:rPr>
        <w:t>用式</w:t>
      </w:r>
      <w:r>
        <w:rPr>
          <w:w w:val="100"/>
          <w:sz w:val="21"/>
        </w:rPr>
        <w:t>（</w:t>
      </w:r>
      <w:r>
        <w:rPr>
          <w:spacing w:val="-3"/>
          <w:w w:val="100"/>
          <w:sz w:val="21"/>
        </w:rPr>
        <w:t>1</w:t>
      </w:r>
      <w:r>
        <w:rPr>
          <w:w w:val="100"/>
          <w:sz w:val="21"/>
        </w:rPr>
        <w:t>0</w:t>
      </w:r>
      <w:r>
        <w:rPr>
          <w:spacing w:val="-106"/>
          <w:w w:val="100"/>
          <w:sz w:val="21"/>
        </w:rPr>
        <w:t>）</w:t>
      </w:r>
      <w:r>
        <w:rPr>
          <w:spacing w:val="-108"/>
          <w:w w:val="100"/>
          <w:sz w:val="21"/>
        </w:rPr>
        <w:t>、</w:t>
      </w:r>
      <w:r>
        <w:rPr>
          <w:w w:val="100"/>
          <w:sz w:val="21"/>
        </w:rPr>
        <w:t>（1</w:t>
      </w:r>
      <w:r>
        <w:rPr>
          <w:spacing w:val="-3"/>
          <w:w w:val="100"/>
          <w:sz w:val="21"/>
        </w:rPr>
        <w:t>1）计算灭火风筒出口处动压效率。</w:t>
      </w:r>
      <w:r>
        <w:rPr>
          <w:w w:val="100"/>
          <w:sz w:val="21"/>
        </w:rPr>
        <w:t> </w:t>
      </w:r>
    </w:p>
    <w:p>
      <w:pPr>
        <w:pStyle w:val="BodyText"/>
        <w:spacing w:before="12"/>
        <w:rPr>
          <w:sz w:val="17"/>
        </w:rPr>
      </w:pPr>
    </w:p>
    <w:p>
      <w:pPr>
        <w:pStyle w:val="ListParagraph"/>
        <w:numPr>
          <w:ilvl w:val="1"/>
          <w:numId w:val="973"/>
        </w:numPr>
        <w:tabs>
          <w:tab w:pos="1159" w:val="left" w:leader="none"/>
        </w:tabs>
        <w:spacing w:line="240" w:lineRule="auto" w:before="0" w:after="0"/>
        <w:ind w:left="1158" w:right="0" w:hanging="319"/>
        <w:jc w:val="left"/>
        <w:rPr>
          <w:sz w:val="21"/>
        </w:rPr>
      </w:pPr>
      <w:r>
        <w:rPr>
          <w:spacing w:val="-12"/>
          <w:sz w:val="21"/>
        </w:rPr>
        <w:t>距风机中心 </w:t>
      </w:r>
      <w:r>
        <w:rPr>
          <w:sz w:val="21"/>
        </w:rPr>
        <w:t>2.5</w:t>
      </w:r>
      <w:r>
        <w:rPr>
          <w:spacing w:val="-9"/>
          <w:sz w:val="21"/>
        </w:rPr>
        <w:t> 处的射流轴线风速的测定</w:t>
      </w:r>
      <w:r>
        <w:rPr>
          <w:sz w:val="21"/>
        </w:rPr>
        <w:t> </w:t>
      </w:r>
    </w:p>
    <w:p>
      <w:pPr>
        <w:pStyle w:val="BodyText"/>
        <w:rPr>
          <w:sz w:val="18"/>
        </w:rPr>
      </w:pPr>
    </w:p>
    <w:p>
      <w:pPr>
        <w:pStyle w:val="BodyText"/>
        <w:spacing w:line="446" w:lineRule="auto"/>
        <w:ind w:left="418" w:right="1431" w:firstLine="419"/>
      </w:pPr>
      <w:r>
        <w:rPr/>
        <w:drawing>
          <wp:anchor distT="0" distB="0" distL="0" distR="0" allowOverlap="1" layoutInCell="1" locked="0" behindDoc="1" simplePos="0" relativeHeight="216041472">
            <wp:simplePos x="0" y="0"/>
            <wp:positionH relativeFrom="page">
              <wp:posOffset>1157552</wp:posOffset>
            </wp:positionH>
            <wp:positionV relativeFrom="paragraph">
              <wp:posOffset>530098</wp:posOffset>
            </wp:positionV>
            <wp:extent cx="5027456" cy="3655714"/>
            <wp:effectExtent l="0" t="0" r="0" b="0"/>
            <wp:wrapNone/>
            <wp:docPr id="841" name="image493.jpeg"/>
            <wp:cNvGraphicFramePr>
              <a:graphicFrameLocks noChangeAspect="1"/>
            </wp:cNvGraphicFramePr>
            <a:graphic>
              <a:graphicData uri="http://schemas.openxmlformats.org/drawingml/2006/picture">
                <pic:pic>
                  <pic:nvPicPr>
                    <pic:cNvPr id="842" name="image493.jpeg"/>
                    <pic:cNvPicPr/>
                  </pic:nvPicPr>
                  <pic:blipFill>
                    <a:blip r:embed="rId623" cstate="print"/>
                    <a:stretch>
                      <a:fillRect/>
                    </a:stretch>
                  </pic:blipFill>
                  <pic:spPr>
                    <a:xfrm>
                      <a:off x="0" y="0"/>
                      <a:ext cx="5027456" cy="3655714"/>
                    </a:xfrm>
                    <a:prstGeom prst="rect">
                      <a:avLst/>
                    </a:prstGeom>
                  </pic:spPr>
                </pic:pic>
              </a:graphicData>
            </a:graphic>
          </wp:anchor>
        </w:drawing>
      </w:r>
      <w:r>
        <w:rPr>
          <w:spacing w:val="-5"/>
        </w:rPr>
        <w:t>将风力灭火机固定，要求与 </w:t>
      </w:r>
      <w:r>
        <w:rPr/>
        <w:t>5.1</w:t>
      </w:r>
      <w:r>
        <w:rPr>
          <w:spacing w:val="-8"/>
        </w:rPr>
        <w:t> 同，用风速仪沿射流中心测距风机中心 </w:t>
      </w:r>
      <w:r>
        <w:rPr/>
        <w:t>2.5m</w:t>
      </w:r>
      <w:r>
        <w:rPr>
          <w:spacing w:val="-7"/>
        </w:rPr>
        <w:t> 处最大风速。</w:t>
      </w:r>
      <w:r>
        <w:rPr>
          <w:spacing w:val="-11"/>
        </w:rPr>
        <w:t>以上数据，记入表 </w:t>
      </w:r>
      <w:r>
        <w:rPr>
          <w:spacing w:val="-3"/>
        </w:rPr>
        <w:t>3。</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6"/>
        </w:rPr>
      </w:pPr>
    </w:p>
    <w:p>
      <w:pPr>
        <w:pStyle w:val="ListParagraph"/>
        <w:numPr>
          <w:ilvl w:val="1"/>
          <w:numId w:val="973"/>
        </w:numPr>
        <w:tabs>
          <w:tab w:pos="1159" w:val="left" w:leader="none"/>
        </w:tabs>
        <w:spacing w:line="240" w:lineRule="auto" w:before="0" w:after="0"/>
        <w:ind w:left="1158" w:right="0" w:hanging="319"/>
        <w:jc w:val="left"/>
        <w:rPr>
          <w:sz w:val="21"/>
        </w:rPr>
      </w:pPr>
      <w:r>
        <w:rPr>
          <w:spacing w:val="-3"/>
          <w:sz w:val="21"/>
        </w:rPr>
        <w:t>启动性能试验</w:t>
      </w:r>
      <w:r>
        <w:rPr>
          <w:sz w:val="21"/>
        </w:rPr>
        <w:t> </w:t>
      </w:r>
    </w:p>
    <w:p>
      <w:pPr>
        <w:pStyle w:val="BodyText"/>
        <w:spacing w:before="12"/>
        <w:rPr>
          <w:sz w:val="17"/>
        </w:rPr>
      </w:pPr>
    </w:p>
    <w:p>
      <w:pPr>
        <w:pStyle w:val="BodyText"/>
        <w:ind w:left="838"/>
      </w:pPr>
      <w:r>
        <w:rPr/>
        <w:t>试验在环境温度不低于-10℃时进行。 </w:t>
      </w:r>
    </w:p>
    <w:p>
      <w:pPr>
        <w:spacing w:after="0"/>
        <w:sectPr>
          <w:type w:val="continuous"/>
          <w:pgSz w:w="11910" w:h="16850"/>
          <w:pgMar w:top="1600" w:bottom="1180" w:left="1260" w:right="0"/>
        </w:sectPr>
      </w:pPr>
    </w:p>
    <w:p>
      <w:pPr>
        <w:pStyle w:val="BodyText"/>
        <w:spacing w:line="446" w:lineRule="auto" w:before="47"/>
        <w:ind w:left="418" w:right="1383" w:firstLine="419"/>
      </w:pPr>
      <w:r>
        <w:rPr/>
        <w:t>从第一次拉起动绳开始，30s 内完成起动，在起动开始前可以排除气缸内的防锈油，但不允许做任何调整。 </w:t>
      </w:r>
    </w:p>
    <w:p>
      <w:pPr>
        <w:pStyle w:val="BodyText"/>
        <w:spacing w:line="446" w:lineRule="auto"/>
        <w:ind w:left="840" w:right="3923" w:hanging="3"/>
      </w:pPr>
      <w:r>
        <w:rPr/>
        <w:t>当温度低于-10℃时，允许按有关技术文件规定采取辅助措施。</w:t>
      </w:r>
      <w:r>
        <w:rPr>
          <w:b/>
        </w:rPr>
        <w:t>5.4 </w:t>
      </w:r>
      <w:r>
        <w:rPr/>
        <w:t>翻转性能试验 </w:t>
      </w:r>
    </w:p>
    <w:p>
      <w:pPr>
        <w:pStyle w:val="BodyText"/>
        <w:spacing w:line="446" w:lineRule="auto"/>
        <w:ind w:left="418" w:right="1433" w:firstLine="419"/>
      </w:pPr>
      <w:r>
        <w:rPr>
          <w:spacing w:val="-8"/>
        </w:rPr>
        <w:t>风力灭火机在标定转速下运转平稳后，自水平位置上、下、左、右倾斜 </w:t>
      </w:r>
      <w:r>
        <w:rPr/>
        <w:t>90</w:t>
      </w:r>
      <w:r>
        <w:rPr>
          <w:spacing w:val="-5"/>
        </w:rPr>
        <w:t>°各一次，各位置</w:t>
      </w:r>
      <w:r>
        <w:rPr>
          <w:spacing w:val="-9"/>
        </w:rPr>
        <w:t>停留时间不得少于 </w:t>
      </w:r>
      <w:r>
        <w:rPr/>
        <w:t>10s。 </w:t>
      </w:r>
    </w:p>
    <w:p>
      <w:pPr>
        <w:spacing w:before="0"/>
        <w:ind w:left="840" w:right="0" w:firstLine="0"/>
        <w:jc w:val="left"/>
        <w:rPr>
          <w:sz w:val="21"/>
        </w:rPr>
      </w:pPr>
      <w:r>
        <w:rPr>
          <w:b/>
          <w:sz w:val="21"/>
        </w:rPr>
        <w:t>5.5 </w:t>
      </w:r>
      <w:r>
        <w:rPr>
          <w:sz w:val="21"/>
        </w:rPr>
        <w:t>连续运转可靠性试验 </w:t>
      </w:r>
    </w:p>
    <w:p>
      <w:pPr>
        <w:pStyle w:val="BodyText"/>
        <w:spacing w:before="11"/>
        <w:rPr>
          <w:sz w:val="17"/>
        </w:rPr>
      </w:pPr>
    </w:p>
    <w:p>
      <w:pPr>
        <w:pStyle w:val="BodyText"/>
        <w:spacing w:line="446" w:lineRule="auto"/>
        <w:ind w:left="840" w:right="1719" w:hanging="3"/>
      </w:pPr>
      <w:r>
        <w:rPr/>
        <w:t>在标定转速下连续运转 24h。试验结束时测定风力灭火机转速，转速下降不得超过 5%。</w:t>
      </w:r>
      <w:r>
        <w:rPr>
          <w:b/>
        </w:rPr>
        <w:t>5.6 </w:t>
      </w:r>
      <w:r>
        <w:rPr/>
        <w:t>一次加油连续工作时间测定  </w:t>
      </w:r>
    </w:p>
    <w:p>
      <w:pPr>
        <w:pStyle w:val="BodyText"/>
        <w:ind w:left="838"/>
      </w:pPr>
      <w:r>
        <w:rPr/>
        <w:t>在标定转速下重复测三次，取平均值，结果记入表 4。 </w:t>
      </w:r>
    </w:p>
    <w:p>
      <w:pPr>
        <w:pStyle w:val="BodyText"/>
        <w:spacing w:before="12"/>
        <w:rPr>
          <w:sz w:val="17"/>
        </w:rPr>
      </w:pPr>
    </w:p>
    <w:p>
      <w:pPr>
        <w:pStyle w:val="Heading6"/>
        <w:ind w:left="3416"/>
      </w:pPr>
      <w:r>
        <w:rPr/>
        <w:t>表 4 一次加油连续工作时间测试表</w:t>
      </w:r>
      <w:r>
        <w:rPr>
          <w:w w:val="99"/>
        </w:rPr>
        <w:t> </w:t>
      </w:r>
    </w:p>
    <w:p>
      <w:pPr>
        <w:pStyle w:val="BodyText"/>
        <w:spacing w:before="12"/>
        <w:rPr>
          <w:b/>
          <w:sz w:val="17"/>
        </w:rPr>
      </w:pPr>
    </w:p>
    <w:p>
      <w:pPr>
        <w:pStyle w:val="BodyText"/>
        <w:spacing w:after="42"/>
        <w:ind w:left="838"/>
      </w:pPr>
      <w:r>
        <w:rPr/>
        <w:t>试 验 日 期 ： 年 月 日 地 点 ： </w:t>
      </w:r>
    </w:p>
    <w:tbl>
      <w:tblPr>
        <w:tblW w:w="0" w:type="auto"/>
        <w:jc w:val="left"/>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4"/>
        <w:gridCol w:w="1642"/>
        <w:gridCol w:w="1644"/>
        <w:gridCol w:w="1728"/>
        <w:gridCol w:w="1561"/>
      </w:tblGrid>
      <w:tr>
        <w:trPr>
          <w:trHeight w:val="1000" w:hRule="atLeast"/>
        </w:trPr>
        <w:tc>
          <w:tcPr>
            <w:tcW w:w="1644" w:type="dxa"/>
          </w:tcPr>
          <w:p>
            <w:pPr>
              <w:pStyle w:val="TableParagraph"/>
              <w:rPr>
                <w:sz w:val="20"/>
              </w:rPr>
            </w:pPr>
          </w:p>
          <w:p>
            <w:pPr>
              <w:pStyle w:val="TableParagraph"/>
              <w:spacing w:before="4"/>
              <w:rPr>
                <w:sz w:val="14"/>
              </w:rPr>
            </w:pPr>
          </w:p>
          <w:p>
            <w:pPr>
              <w:pStyle w:val="TableParagraph"/>
              <w:ind w:left="277" w:right="162"/>
              <w:jc w:val="center"/>
              <w:rPr>
                <w:sz w:val="21"/>
              </w:rPr>
            </w:pPr>
            <w:r>
              <w:rPr>
                <w:sz w:val="21"/>
              </w:rPr>
              <w:t>次数 </w:t>
            </w:r>
          </w:p>
        </w:tc>
        <w:tc>
          <w:tcPr>
            <w:tcW w:w="1642" w:type="dxa"/>
          </w:tcPr>
          <w:p>
            <w:pPr>
              <w:pStyle w:val="TableParagraph"/>
              <w:rPr>
                <w:sz w:val="20"/>
              </w:rPr>
            </w:pPr>
          </w:p>
          <w:p>
            <w:pPr>
              <w:pStyle w:val="TableParagraph"/>
              <w:spacing w:before="4"/>
              <w:rPr>
                <w:sz w:val="14"/>
              </w:rPr>
            </w:pPr>
          </w:p>
          <w:p>
            <w:pPr>
              <w:pStyle w:val="TableParagraph"/>
              <w:ind w:left="328" w:right="213"/>
              <w:jc w:val="center"/>
              <w:rPr>
                <w:sz w:val="21"/>
              </w:rPr>
            </w:pPr>
            <w:r>
              <w:rPr>
                <w:sz w:val="21"/>
              </w:rPr>
              <w:t>加油量，kg </w:t>
            </w:r>
          </w:p>
        </w:tc>
        <w:tc>
          <w:tcPr>
            <w:tcW w:w="1644" w:type="dxa"/>
          </w:tcPr>
          <w:p>
            <w:pPr>
              <w:pStyle w:val="TableParagraph"/>
              <w:rPr>
                <w:sz w:val="20"/>
              </w:rPr>
            </w:pPr>
          </w:p>
          <w:p>
            <w:pPr>
              <w:pStyle w:val="TableParagraph"/>
              <w:spacing w:before="4"/>
              <w:rPr>
                <w:sz w:val="14"/>
              </w:rPr>
            </w:pPr>
          </w:p>
          <w:p>
            <w:pPr>
              <w:pStyle w:val="TableParagraph"/>
              <w:ind w:left="277" w:right="162"/>
              <w:jc w:val="center"/>
              <w:rPr>
                <w:sz w:val="21"/>
              </w:rPr>
            </w:pPr>
            <w:r>
              <w:rPr>
                <w:sz w:val="21"/>
              </w:rPr>
              <w:t>工作时间，h </w:t>
            </w:r>
          </w:p>
        </w:tc>
        <w:tc>
          <w:tcPr>
            <w:tcW w:w="1728" w:type="dxa"/>
          </w:tcPr>
          <w:p>
            <w:pPr>
              <w:pStyle w:val="TableParagraph"/>
              <w:spacing w:line="500" w:lineRule="exact"/>
              <w:ind w:left="233" w:right="114" w:hanging="106"/>
              <w:rPr>
                <w:sz w:val="21"/>
              </w:rPr>
            </w:pPr>
            <w:r>
              <w:rPr>
                <w:sz w:val="21"/>
              </w:rPr>
              <w:t>燃油牌号及混合比（按容积） </w:t>
            </w:r>
          </w:p>
        </w:tc>
        <w:tc>
          <w:tcPr>
            <w:tcW w:w="1561" w:type="dxa"/>
          </w:tcPr>
          <w:p>
            <w:pPr>
              <w:pStyle w:val="TableParagraph"/>
              <w:rPr>
                <w:sz w:val="20"/>
              </w:rPr>
            </w:pPr>
          </w:p>
          <w:p>
            <w:pPr>
              <w:pStyle w:val="TableParagraph"/>
              <w:spacing w:before="4"/>
              <w:rPr>
                <w:sz w:val="14"/>
              </w:rPr>
            </w:pPr>
          </w:p>
          <w:p>
            <w:pPr>
              <w:pStyle w:val="TableParagraph"/>
              <w:ind w:left="602" w:right="488"/>
              <w:jc w:val="center"/>
              <w:rPr>
                <w:sz w:val="21"/>
              </w:rPr>
            </w:pPr>
            <w:r>
              <w:rPr>
                <w:sz w:val="21"/>
              </w:rPr>
              <w:t>备注 </w:t>
            </w:r>
          </w:p>
        </w:tc>
      </w:tr>
      <w:tr>
        <w:trPr>
          <w:trHeight w:val="498" w:hRule="atLeast"/>
        </w:trPr>
        <w:tc>
          <w:tcPr>
            <w:tcW w:w="1644" w:type="dxa"/>
          </w:tcPr>
          <w:p>
            <w:pPr>
              <w:pStyle w:val="TableParagraph"/>
              <w:spacing w:before="11"/>
              <w:rPr>
                <w:sz w:val="14"/>
              </w:rPr>
            </w:pPr>
          </w:p>
          <w:p>
            <w:pPr>
              <w:pStyle w:val="TableParagraph"/>
              <w:ind w:left="274" w:right="162"/>
              <w:jc w:val="center"/>
              <w:rPr>
                <w:sz w:val="21"/>
              </w:rPr>
            </w:pPr>
            <w:r>
              <w:rPr>
                <w:sz w:val="21"/>
              </w:rPr>
              <w:t>1 </w:t>
            </w:r>
          </w:p>
        </w:tc>
        <w:tc>
          <w:tcPr>
            <w:tcW w:w="1642" w:type="dxa"/>
          </w:tcPr>
          <w:p>
            <w:pPr>
              <w:pStyle w:val="TableParagraph"/>
              <w:spacing w:before="11"/>
              <w:rPr>
                <w:sz w:val="14"/>
              </w:rPr>
            </w:pPr>
          </w:p>
          <w:p>
            <w:pPr>
              <w:pStyle w:val="TableParagraph"/>
              <w:ind w:left="115"/>
              <w:jc w:val="center"/>
              <w:rPr>
                <w:sz w:val="21"/>
              </w:rPr>
            </w:pPr>
            <w:r>
              <w:rPr>
                <w:w w:val="100"/>
                <w:sz w:val="21"/>
              </w:rPr>
              <w:t> </w:t>
            </w:r>
          </w:p>
        </w:tc>
        <w:tc>
          <w:tcPr>
            <w:tcW w:w="1644" w:type="dxa"/>
          </w:tcPr>
          <w:p>
            <w:pPr>
              <w:pStyle w:val="TableParagraph"/>
              <w:spacing w:before="11"/>
              <w:rPr>
                <w:sz w:val="14"/>
              </w:rPr>
            </w:pPr>
          </w:p>
          <w:p>
            <w:pPr>
              <w:pStyle w:val="TableParagraph"/>
              <w:ind w:left="113"/>
              <w:jc w:val="center"/>
              <w:rPr>
                <w:sz w:val="21"/>
              </w:rPr>
            </w:pPr>
            <w:r>
              <w:rPr>
                <w:w w:val="100"/>
                <w:sz w:val="21"/>
              </w:rPr>
              <w:t> </w:t>
            </w:r>
          </w:p>
        </w:tc>
        <w:tc>
          <w:tcPr>
            <w:tcW w:w="1728" w:type="dxa"/>
          </w:tcPr>
          <w:p>
            <w:pPr>
              <w:pStyle w:val="TableParagraph"/>
              <w:spacing w:before="11"/>
              <w:rPr>
                <w:sz w:val="14"/>
              </w:rPr>
            </w:pPr>
          </w:p>
          <w:p>
            <w:pPr>
              <w:pStyle w:val="TableParagraph"/>
              <w:ind w:right="746"/>
              <w:jc w:val="right"/>
              <w:rPr>
                <w:sz w:val="21"/>
              </w:rPr>
            </w:pPr>
            <w:r>
              <w:rPr>
                <w:w w:val="100"/>
                <w:sz w:val="21"/>
              </w:rPr>
              <w:t> </w:t>
            </w:r>
          </w:p>
        </w:tc>
        <w:tc>
          <w:tcPr>
            <w:tcW w:w="1561" w:type="dxa"/>
          </w:tcPr>
          <w:p>
            <w:pPr>
              <w:pStyle w:val="TableParagraph"/>
              <w:spacing w:before="11"/>
              <w:rPr>
                <w:sz w:val="14"/>
              </w:rPr>
            </w:pPr>
          </w:p>
          <w:p>
            <w:pPr>
              <w:pStyle w:val="TableParagraph"/>
              <w:ind w:left="116"/>
              <w:jc w:val="center"/>
              <w:rPr>
                <w:sz w:val="21"/>
              </w:rPr>
            </w:pPr>
            <w:r>
              <w:rPr>
                <w:w w:val="100"/>
                <w:sz w:val="21"/>
              </w:rPr>
              <w:t> </w:t>
            </w:r>
          </w:p>
        </w:tc>
      </w:tr>
      <w:tr>
        <w:trPr>
          <w:trHeight w:val="501" w:hRule="atLeast"/>
        </w:trPr>
        <w:tc>
          <w:tcPr>
            <w:tcW w:w="1644" w:type="dxa"/>
          </w:tcPr>
          <w:p>
            <w:pPr>
              <w:pStyle w:val="TableParagraph"/>
              <w:spacing w:before="11"/>
              <w:rPr>
                <w:sz w:val="14"/>
              </w:rPr>
            </w:pPr>
          </w:p>
          <w:p>
            <w:pPr>
              <w:pStyle w:val="TableParagraph"/>
              <w:ind w:left="274" w:right="162"/>
              <w:jc w:val="center"/>
              <w:rPr>
                <w:sz w:val="21"/>
              </w:rPr>
            </w:pPr>
            <w:r>
              <w:rPr>
                <w:sz w:val="21"/>
              </w:rPr>
              <w:t>2 </w:t>
            </w:r>
          </w:p>
        </w:tc>
        <w:tc>
          <w:tcPr>
            <w:tcW w:w="1642" w:type="dxa"/>
          </w:tcPr>
          <w:p>
            <w:pPr>
              <w:pStyle w:val="TableParagraph"/>
              <w:spacing w:before="11"/>
              <w:rPr>
                <w:sz w:val="14"/>
              </w:rPr>
            </w:pPr>
          </w:p>
          <w:p>
            <w:pPr>
              <w:pStyle w:val="TableParagraph"/>
              <w:ind w:left="115"/>
              <w:jc w:val="center"/>
              <w:rPr>
                <w:sz w:val="21"/>
              </w:rPr>
            </w:pPr>
            <w:r>
              <w:rPr>
                <w:w w:val="100"/>
                <w:sz w:val="21"/>
              </w:rPr>
              <w:t> </w:t>
            </w:r>
          </w:p>
        </w:tc>
        <w:tc>
          <w:tcPr>
            <w:tcW w:w="1644" w:type="dxa"/>
          </w:tcPr>
          <w:p>
            <w:pPr>
              <w:pStyle w:val="TableParagraph"/>
              <w:spacing w:before="11"/>
              <w:rPr>
                <w:sz w:val="14"/>
              </w:rPr>
            </w:pPr>
          </w:p>
          <w:p>
            <w:pPr>
              <w:pStyle w:val="TableParagraph"/>
              <w:ind w:left="113"/>
              <w:jc w:val="center"/>
              <w:rPr>
                <w:sz w:val="21"/>
              </w:rPr>
            </w:pPr>
            <w:r>
              <w:rPr>
                <w:w w:val="100"/>
                <w:sz w:val="21"/>
              </w:rPr>
              <w:t> </w:t>
            </w:r>
          </w:p>
        </w:tc>
        <w:tc>
          <w:tcPr>
            <w:tcW w:w="1728" w:type="dxa"/>
          </w:tcPr>
          <w:p>
            <w:pPr>
              <w:pStyle w:val="TableParagraph"/>
              <w:spacing w:before="11"/>
              <w:rPr>
                <w:sz w:val="14"/>
              </w:rPr>
            </w:pPr>
          </w:p>
          <w:p>
            <w:pPr>
              <w:pStyle w:val="TableParagraph"/>
              <w:ind w:right="746"/>
              <w:jc w:val="right"/>
              <w:rPr>
                <w:sz w:val="21"/>
              </w:rPr>
            </w:pPr>
            <w:r>
              <w:rPr>
                <w:w w:val="100"/>
                <w:sz w:val="21"/>
              </w:rPr>
              <w:t> </w:t>
            </w:r>
          </w:p>
        </w:tc>
        <w:tc>
          <w:tcPr>
            <w:tcW w:w="1561" w:type="dxa"/>
          </w:tcPr>
          <w:p>
            <w:pPr>
              <w:pStyle w:val="TableParagraph"/>
              <w:spacing w:before="11"/>
              <w:rPr>
                <w:sz w:val="14"/>
              </w:rPr>
            </w:pPr>
          </w:p>
          <w:p>
            <w:pPr>
              <w:pStyle w:val="TableParagraph"/>
              <w:ind w:left="116"/>
              <w:jc w:val="center"/>
              <w:rPr>
                <w:sz w:val="21"/>
              </w:rPr>
            </w:pPr>
            <w:r>
              <w:rPr>
                <w:w w:val="100"/>
                <w:sz w:val="21"/>
              </w:rPr>
              <w:t> </w:t>
            </w:r>
          </w:p>
        </w:tc>
      </w:tr>
      <w:tr>
        <w:trPr>
          <w:trHeight w:val="498" w:hRule="atLeast"/>
        </w:trPr>
        <w:tc>
          <w:tcPr>
            <w:tcW w:w="1644" w:type="dxa"/>
          </w:tcPr>
          <w:p>
            <w:pPr>
              <w:pStyle w:val="TableParagraph"/>
              <w:spacing w:before="11"/>
              <w:rPr>
                <w:sz w:val="14"/>
              </w:rPr>
            </w:pPr>
          </w:p>
          <w:p>
            <w:pPr>
              <w:pStyle w:val="TableParagraph"/>
              <w:ind w:left="274" w:right="162"/>
              <w:jc w:val="center"/>
              <w:rPr>
                <w:sz w:val="21"/>
              </w:rPr>
            </w:pPr>
            <w:r>
              <w:rPr>
                <w:sz w:val="21"/>
              </w:rPr>
              <w:t>3 </w:t>
            </w:r>
          </w:p>
        </w:tc>
        <w:tc>
          <w:tcPr>
            <w:tcW w:w="1642" w:type="dxa"/>
          </w:tcPr>
          <w:p>
            <w:pPr>
              <w:pStyle w:val="TableParagraph"/>
              <w:spacing w:before="11"/>
              <w:rPr>
                <w:sz w:val="14"/>
              </w:rPr>
            </w:pPr>
          </w:p>
          <w:p>
            <w:pPr>
              <w:pStyle w:val="TableParagraph"/>
              <w:ind w:left="115"/>
              <w:jc w:val="center"/>
              <w:rPr>
                <w:sz w:val="21"/>
              </w:rPr>
            </w:pPr>
            <w:r>
              <w:rPr>
                <w:w w:val="100"/>
                <w:sz w:val="21"/>
              </w:rPr>
              <w:t> </w:t>
            </w:r>
          </w:p>
        </w:tc>
        <w:tc>
          <w:tcPr>
            <w:tcW w:w="1644" w:type="dxa"/>
          </w:tcPr>
          <w:p>
            <w:pPr>
              <w:pStyle w:val="TableParagraph"/>
              <w:spacing w:before="11"/>
              <w:rPr>
                <w:sz w:val="14"/>
              </w:rPr>
            </w:pPr>
          </w:p>
          <w:p>
            <w:pPr>
              <w:pStyle w:val="TableParagraph"/>
              <w:ind w:left="113"/>
              <w:jc w:val="center"/>
              <w:rPr>
                <w:sz w:val="21"/>
              </w:rPr>
            </w:pPr>
            <w:r>
              <w:rPr>
                <w:w w:val="100"/>
                <w:sz w:val="21"/>
              </w:rPr>
              <w:t> </w:t>
            </w:r>
          </w:p>
        </w:tc>
        <w:tc>
          <w:tcPr>
            <w:tcW w:w="1728" w:type="dxa"/>
          </w:tcPr>
          <w:p>
            <w:pPr>
              <w:pStyle w:val="TableParagraph"/>
              <w:spacing w:before="11"/>
              <w:rPr>
                <w:sz w:val="14"/>
              </w:rPr>
            </w:pPr>
          </w:p>
          <w:p>
            <w:pPr>
              <w:pStyle w:val="TableParagraph"/>
              <w:ind w:right="746"/>
              <w:jc w:val="right"/>
              <w:rPr>
                <w:sz w:val="21"/>
              </w:rPr>
            </w:pPr>
            <w:r>
              <w:rPr>
                <w:w w:val="100"/>
                <w:sz w:val="21"/>
              </w:rPr>
              <w:t> </w:t>
            </w:r>
          </w:p>
        </w:tc>
        <w:tc>
          <w:tcPr>
            <w:tcW w:w="1561" w:type="dxa"/>
          </w:tcPr>
          <w:p>
            <w:pPr>
              <w:pStyle w:val="TableParagraph"/>
              <w:spacing w:before="11"/>
              <w:rPr>
                <w:sz w:val="14"/>
              </w:rPr>
            </w:pPr>
          </w:p>
          <w:p>
            <w:pPr>
              <w:pStyle w:val="TableParagraph"/>
              <w:ind w:left="116"/>
              <w:jc w:val="center"/>
              <w:rPr>
                <w:sz w:val="21"/>
              </w:rPr>
            </w:pPr>
            <w:r>
              <w:rPr>
                <w:w w:val="100"/>
                <w:sz w:val="21"/>
              </w:rPr>
              <w:t> </w:t>
            </w:r>
          </w:p>
        </w:tc>
      </w:tr>
      <w:tr>
        <w:trPr>
          <w:trHeight w:val="501" w:hRule="atLeast"/>
        </w:trPr>
        <w:tc>
          <w:tcPr>
            <w:tcW w:w="1644" w:type="dxa"/>
          </w:tcPr>
          <w:p>
            <w:pPr>
              <w:pStyle w:val="TableParagraph"/>
              <w:spacing w:before="11"/>
              <w:rPr>
                <w:sz w:val="14"/>
              </w:rPr>
            </w:pPr>
          </w:p>
          <w:p>
            <w:pPr>
              <w:pStyle w:val="TableParagraph"/>
              <w:ind w:left="277" w:right="162"/>
              <w:jc w:val="center"/>
              <w:rPr>
                <w:sz w:val="21"/>
              </w:rPr>
            </w:pPr>
            <w:r>
              <w:rPr>
                <w:sz w:val="21"/>
              </w:rPr>
              <w:t>平均 </w:t>
            </w:r>
          </w:p>
        </w:tc>
        <w:tc>
          <w:tcPr>
            <w:tcW w:w="1642" w:type="dxa"/>
          </w:tcPr>
          <w:p>
            <w:pPr>
              <w:pStyle w:val="TableParagraph"/>
              <w:spacing w:before="11"/>
              <w:rPr>
                <w:sz w:val="14"/>
              </w:rPr>
            </w:pPr>
          </w:p>
          <w:p>
            <w:pPr>
              <w:pStyle w:val="TableParagraph"/>
              <w:ind w:left="115"/>
              <w:jc w:val="center"/>
              <w:rPr>
                <w:sz w:val="21"/>
              </w:rPr>
            </w:pPr>
            <w:r>
              <w:rPr>
                <w:w w:val="100"/>
                <w:sz w:val="21"/>
              </w:rPr>
              <w:t> </w:t>
            </w:r>
          </w:p>
        </w:tc>
        <w:tc>
          <w:tcPr>
            <w:tcW w:w="1644" w:type="dxa"/>
          </w:tcPr>
          <w:p>
            <w:pPr>
              <w:pStyle w:val="TableParagraph"/>
              <w:spacing w:before="11"/>
              <w:rPr>
                <w:sz w:val="14"/>
              </w:rPr>
            </w:pPr>
          </w:p>
          <w:p>
            <w:pPr>
              <w:pStyle w:val="TableParagraph"/>
              <w:ind w:left="113"/>
              <w:jc w:val="center"/>
              <w:rPr>
                <w:sz w:val="21"/>
              </w:rPr>
            </w:pPr>
            <w:r>
              <w:rPr>
                <w:w w:val="100"/>
                <w:sz w:val="21"/>
              </w:rPr>
              <w:t> </w:t>
            </w:r>
          </w:p>
        </w:tc>
        <w:tc>
          <w:tcPr>
            <w:tcW w:w="1728" w:type="dxa"/>
          </w:tcPr>
          <w:p>
            <w:pPr>
              <w:pStyle w:val="TableParagraph"/>
              <w:spacing w:before="11"/>
              <w:rPr>
                <w:sz w:val="14"/>
              </w:rPr>
            </w:pPr>
          </w:p>
          <w:p>
            <w:pPr>
              <w:pStyle w:val="TableParagraph"/>
              <w:ind w:right="746"/>
              <w:jc w:val="right"/>
              <w:rPr>
                <w:sz w:val="21"/>
              </w:rPr>
            </w:pPr>
            <w:r>
              <w:rPr>
                <w:w w:val="100"/>
                <w:sz w:val="21"/>
              </w:rPr>
              <w:t> </w:t>
            </w:r>
          </w:p>
        </w:tc>
        <w:tc>
          <w:tcPr>
            <w:tcW w:w="1561" w:type="dxa"/>
          </w:tcPr>
          <w:p>
            <w:pPr>
              <w:pStyle w:val="TableParagraph"/>
              <w:spacing w:before="11"/>
              <w:rPr>
                <w:sz w:val="14"/>
              </w:rPr>
            </w:pPr>
          </w:p>
          <w:p>
            <w:pPr>
              <w:pStyle w:val="TableParagraph"/>
              <w:ind w:left="116"/>
              <w:jc w:val="center"/>
              <w:rPr>
                <w:sz w:val="21"/>
              </w:rPr>
            </w:pPr>
            <w:r>
              <w:rPr>
                <w:w w:val="100"/>
                <w:sz w:val="21"/>
              </w:rPr>
              <w:t> </w:t>
            </w:r>
          </w:p>
        </w:tc>
      </w:tr>
    </w:tbl>
    <w:p>
      <w:pPr>
        <w:pStyle w:val="BodyText"/>
        <w:spacing w:before="11"/>
        <w:rPr>
          <w:sz w:val="14"/>
        </w:rPr>
      </w:pPr>
    </w:p>
    <w:p>
      <w:pPr>
        <w:pStyle w:val="BodyText"/>
        <w:spacing w:line="446" w:lineRule="auto"/>
        <w:ind w:left="418" w:right="1431" w:firstLine="419"/>
        <w:jc w:val="both"/>
      </w:pPr>
      <w:r>
        <w:rPr>
          <w:spacing w:val="-7"/>
        </w:rPr>
        <w:t>风机每两年随主机做一次 </w:t>
      </w:r>
      <w:r>
        <w:rPr/>
        <w:t>500h</w:t>
      </w:r>
      <w:r>
        <w:rPr>
          <w:spacing w:val="-15"/>
        </w:rPr>
        <w:t> 变工况</w:t>
      </w:r>
      <w:r>
        <w:rPr/>
        <w:t>（1min</w:t>
      </w:r>
      <w:r>
        <w:rPr>
          <w:spacing w:val="-11"/>
        </w:rPr>
        <w:t> 标定转速，</w:t>
      </w:r>
      <w:r>
        <w:rPr>
          <w:spacing w:val="-3"/>
        </w:rPr>
        <w:t>3min</w:t>
      </w:r>
      <w:r>
        <w:rPr>
          <w:spacing w:val="-8"/>
        </w:rPr>
        <w:t> 二分之一标定转速</w:t>
      </w:r>
      <w:r>
        <w:rPr>
          <w:spacing w:val="-12"/>
        </w:rPr>
        <w:t>）</w:t>
      </w:r>
      <w:r>
        <w:rPr>
          <w:spacing w:val="-2"/>
        </w:rPr>
        <w:t>耐久性试</w:t>
      </w:r>
      <w:r>
        <w:rPr>
          <w:spacing w:val="-10"/>
        </w:rPr>
        <w:t>验，允许用三台风机壳，单台风机壳试验时间不得少于 </w:t>
      </w:r>
      <w:r>
        <w:rPr/>
        <w:t>160h</w:t>
      </w:r>
      <w:r>
        <w:rPr>
          <w:spacing w:val="-12"/>
        </w:rPr>
        <w:t>。发动机允许按 </w:t>
      </w:r>
      <w:r>
        <w:rPr/>
        <w:t>GB/T 1105</w:t>
      </w:r>
      <w:r>
        <w:rPr>
          <w:spacing w:val="-11"/>
        </w:rPr>
        <w:t> 的有关规</w:t>
      </w:r>
      <w:r>
        <w:rPr>
          <w:spacing w:val="-6"/>
        </w:rPr>
        <w:t>定进行停机保养。</w:t>
      </w:r>
      <w:r>
        <w:rPr/>
        <w:t> </w:t>
      </w:r>
    </w:p>
    <w:p>
      <w:pPr>
        <w:pStyle w:val="BodyText"/>
        <w:spacing w:line="268" w:lineRule="exact"/>
        <w:ind w:left="838"/>
      </w:pPr>
      <w:r>
        <w:rPr/>
        <w:t>试验后检查叶轮和风机壳。 </w:t>
      </w:r>
    </w:p>
    <w:p>
      <w:pPr>
        <w:pStyle w:val="BodyText"/>
        <w:spacing w:before="8"/>
        <w:rPr>
          <w:sz w:val="15"/>
        </w:rPr>
      </w:pPr>
    </w:p>
    <w:p>
      <w:pPr>
        <w:pStyle w:val="Heading4"/>
      </w:pPr>
      <w:r>
        <w:rPr/>
        <w:t>6 叶轮超转速试验</w:t>
      </w:r>
      <w:r>
        <w:rPr>
          <w:w w:val="99"/>
        </w:rPr>
        <w:t> </w:t>
      </w:r>
    </w:p>
    <w:p>
      <w:pPr>
        <w:pStyle w:val="BodyText"/>
        <w:spacing w:before="4"/>
        <w:rPr>
          <w:b/>
          <w:sz w:val="17"/>
        </w:rPr>
      </w:pPr>
    </w:p>
    <w:p>
      <w:pPr>
        <w:pStyle w:val="BodyText"/>
        <w:ind w:left="838"/>
      </w:pPr>
      <w:r>
        <w:rPr/>
        <w:t>在超转速试验台上进行，叶轮在 1.3 倍标定转速下运转。间隔起动三次，每次运转不少于</w:t>
      </w:r>
    </w:p>
    <w:p>
      <w:pPr>
        <w:pStyle w:val="BodyText"/>
        <w:spacing w:before="2"/>
        <w:rPr>
          <w:sz w:val="18"/>
        </w:rPr>
      </w:pPr>
    </w:p>
    <w:p>
      <w:pPr>
        <w:pStyle w:val="BodyText"/>
        <w:ind w:left="418"/>
      </w:pPr>
      <w:r>
        <w:rPr/>
        <w:t>5min。试验后检查叶轮，不应有变形、裂痕、损坏和松动。 </w:t>
      </w:r>
    </w:p>
    <w:p>
      <w:pPr>
        <w:pStyle w:val="BodyText"/>
        <w:spacing w:before="8"/>
        <w:rPr>
          <w:sz w:val="15"/>
        </w:rPr>
      </w:pPr>
    </w:p>
    <w:p>
      <w:pPr>
        <w:pStyle w:val="Heading4"/>
      </w:pPr>
      <w:r>
        <w:rPr/>
        <w:t>7 叶轮静平衡检查</w:t>
      </w:r>
      <w:r>
        <w:rPr>
          <w:w w:val="99"/>
        </w:rPr>
        <w:t> </w:t>
      </w:r>
    </w:p>
    <w:p>
      <w:pPr>
        <w:pStyle w:val="BodyText"/>
        <w:spacing w:before="4"/>
        <w:rPr>
          <w:b/>
          <w:sz w:val="17"/>
        </w:rPr>
      </w:pPr>
    </w:p>
    <w:p>
      <w:pPr>
        <w:pStyle w:val="BodyText"/>
        <w:ind w:left="838"/>
      </w:pPr>
      <w:r>
        <w:rPr/>
        <w:t>用静平衡机或静平衡架测定叶轮不平衡量。 </w:t>
      </w:r>
    </w:p>
    <w:p>
      <w:pPr>
        <w:spacing w:after="0"/>
        <w:sectPr>
          <w:pgSz w:w="11910" w:h="16850"/>
          <w:pgMar w:header="0" w:footer="1239" w:top="1220" w:bottom="1420" w:left="1260" w:right="0"/>
        </w:sectPr>
      </w:pPr>
    </w:p>
    <w:p>
      <w:pPr>
        <w:pStyle w:val="Heading4"/>
        <w:spacing w:before="37"/>
      </w:pPr>
      <w:r>
        <w:rPr/>
        <w:t>8 试验报告</w:t>
      </w:r>
      <w:r>
        <w:rPr>
          <w:w w:val="99"/>
        </w:rPr>
        <w:t> </w:t>
      </w:r>
    </w:p>
    <w:p>
      <w:pPr>
        <w:pStyle w:val="BodyText"/>
        <w:spacing w:before="4"/>
        <w:rPr>
          <w:b/>
          <w:sz w:val="17"/>
        </w:rPr>
      </w:pPr>
    </w:p>
    <w:p>
      <w:pPr>
        <w:pStyle w:val="BodyText"/>
        <w:spacing w:before="1"/>
        <w:ind w:left="838"/>
      </w:pPr>
      <w:r>
        <w:rPr/>
        <w:t>试验报告应包括以下内容： </w:t>
      </w:r>
    </w:p>
    <w:p>
      <w:pPr>
        <w:pStyle w:val="BodyText"/>
        <w:spacing w:before="12"/>
        <w:rPr>
          <w:sz w:val="17"/>
        </w:rPr>
      </w:pPr>
    </w:p>
    <w:p>
      <w:pPr>
        <w:pStyle w:val="BodyText"/>
        <w:spacing w:line="446" w:lineRule="auto"/>
        <w:ind w:left="842" w:right="6654" w:hanging="5"/>
      </w:pPr>
      <w:r>
        <w:rPr/>
        <w:t>a）试验目的、地点、概况说明； b）试验样机的技术特性； </w:t>
      </w:r>
    </w:p>
    <w:p>
      <w:pPr>
        <w:pStyle w:val="ListParagraph"/>
        <w:numPr>
          <w:ilvl w:val="0"/>
          <w:numId w:val="974"/>
        </w:numPr>
        <w:tabs>
          <w:tab w:pos="1161" w:val="left" w:leader="none"/>
        </w:tabs>
        <w:spacing w:line="240" w:lineRule="auto" w:before="0" w:after="0"/>
        <w:ind w:left="1160" w:right="0" w:hanging="319"/>
        <w:jc w:val="left"/>
        <w:rPr>
          <w:sz w:val="21"/>
        </w:rPr>
      </w:pPr>
      <w:r>
        <w:rPr>
          <w:spacing w:val="-3"/>
          <w:sz w:val="21"/>
        </w:rPr>
        <w:t>试验依据的标准；</w:t>
      </w:r>
      <w:r>
        <w:rPr>
          <w:sz w:val="21"/>
        </w:rPr>
        <w:t> </w:t>
      </w:r>
    </w:p>
    <w:p>
      <w:pPr>
        <w:pStyle w:val="ListParagraph"/>
        <w:numPr>
          <w:ilvl w:val="0"/>
          <w:numId w:val="974"/>
        </w:numPr>
        <w:tabs>
          <w:tab w:pos="1161" w:val="left" w:leader="none"/>
        </w:tabs>
        <w:spacing w:line="502" w:lineRule="exact" w:before="38" w:after="0"/>
        <w:ind w:left="842" w:right="6441" w:firstLine="0"/>
        <w:jc w:val="left"/>
        <w:rPr>
          <w:sz w:val="21"/>
        </w:rPr>
      </w:pPr>
      <w:r>
        <w:rPr>
          <w:spacing w:val="-3"/>
          <w:sz w:val="21"/>
        </w:rPr>
        <w:t>试验项目、数据、结果及分析； </w:t>
      </w:r>
      <w:r>
        <w:rPr>
          <w:sz w:val="21"/>
        </w:rPr>
        <w:t>e）</w:t>
      </w:r>
      <w:r>
        <w:rPr>
          <w:spacing w:val="-3"/>
          <w:sz w:val="21"/>
        </w:rPr>
        <w:t>存在问题及改进意见；</w:t>
      </w:r>
      <w:r>
        <w:rPr>
          <w:sz w:val="21"/>
        </w:rPr>
        <w:t> </w:t>
      </w:r>
    </w:p>
    <w:p>
      <w:pPr>
        <w:pStyle w:val="BodyText"/>
        <w:spacing w:line="268" w:lineRule="exact"/>
        <w:ind w:left="838"/>
      </w:pPr>
      <w:r>
        <w:rPr/>
        <w:t>f）结论。 </w:t>
      </w:r>
    </w:p>
    <w:p>
      <w:pPr>
        <w:pStyle w:val="BodyText"/>
        <w:spacing w:before="5"/>
        <w:ind w:left="838"/>
      </w:pPr>
      <w:r>
        <w:rPr>
          <w:w w:val="100"/>
        </w:rPr>
        <w:t> </w:t>
      </w:r>
    </w:p>
    <w:p>
      <w:pPr>
        <w:pStyle w:val="BodyText"/>
        <w:spacing w:before="2"/>
        <w:ind w:left="838"/>
      </w:pPr>
      <w:r>
        <w:rPr>
          <w:w w:val="100"/>
        </w:rPr>
        <w:t> </w:t>
      </w:r>
    </w:p>
    <w:p>
      <w:pPr>
        <w:pStyle w:val="BodyText"/>
        <w:spacing w:before="5"/>
        <w:ind w:left="838"/>
      </w:pPr>
      <w:r>
        <w:rPr>
          <w:w w:val="100"/>
        </w:rPr>
        <w:t> </w:t>
      </w:r>
    </w:p>
    <w:p>
      <w:pPr>
        <w:pStyle w:val="BodyText"/>
        <w:spacing w:before="2"/>
        <w:ind w:left="838"/>
      </w:pPr>
      <w:r>
        <w:rPr>
          <w:w w:val="100"/>
        </w:rPr>
        <w:t> </w:t>
      </w:r>
    </w:p>
    <w:p>
      <w:pPr>
        <w:pStyle w:val="BodyText"/>
        <w:spacing w:before="2"/>
        <w:ind w:left="838"/>
      </w:pPr>
      <w:r>
        <w:rPr>
          <w:w w:val="100"/>
        </w:rPr>
        <w:t> </w:t>
      </w:r>
    </w:p>
    <w:p>
      <w:pPr>
        <w:pStyle w:val="BodyText"/>
        <w:spacing w:before="4"/>
        <w:ind w:left="838"/>
      </w:pPr>
      <w:r>
        <w:rPr>
          <w:w w:val="100"/>
        </w:rPr>
        <w:t> </w:t>
      </w:r>
    </w:p>
    <w:p>
      <w:pPr>
        <w:pStyle w:val="BodyText"/>
        <w:spacing w:before="3"/>
        <w:ind w:left="838"/>
      </w:pPr>
      <w:r>
        <w:rPr>
          <w:w w:val="100"/>
        </w:rPr>
        <w:t> </w:t>
      </w:r>
    </w:p>
    <w:p>
      <w:pPr>
        <w:pStyle w:val="BodyText"/>
        <w:spacing w:before="4"/>
        <w:ind w:left="838"/>
      </w:pPr>
      <w:r>
        <w:rPr>
          <w:w w:val="100"/>
        </w:rPr>
        <w:t> </w:t>
      </w:r>
    </w:p>
    <w:p>
      <w:pPr>
        <w:pStyle w:val="BodyText"/>
        <w:spacing w:before="2"/>
        <w:ind w:left="838"/>
      </w:pPr>
      <w:r>
        <w:rPr>
          <w:w w:val="100"/>
        </w:rPr>
        <w:t> </w:t>
      </w:r>
    </w:p>
    <w:p>
      <w:pPr>
        <w:pStyle w:val="BodyText"/>
        <w:spacing w:before="5"/>
        <w:ind w:left="838"/>
      </w:pPr>
      <w:r>
        <w:rPr>
          <w:w w:val="100"/>
        </w:rPr>
        <w:t> </w:t>
      </w:r>
    </w:p>
    <w:p>
      <w:pPr>
        <w:pStyle w:val="BodyText"/>
        <w:spacing w:before="2"/>
        <w:ind w:left="838"/>
      </w:pPr>
      <w:r>
        <w:rPr>
          <w:w w:val="100"/>
        </w:rPr>
        <w:t> </w:t>
      </w:r>
    </w:p>
    <w:p>
      <w:pPr>
        <w:pStyle w:val="BodyText"/>
        <w:spacing w:before="5"/>
        <w:ind w:left="838"/>
      </w:pPr>
      <w:r>
        <w:rPr>
          <w:w w:val="100"/>
        </w:rPr>
        <w:t> </w:t>
      </w:r>
    </w:p>
    <w:p>
      <w:pPr>
        <w:pStyle w:val="BodyText"/>
        <w:spacing w:before="2"/>
        <w:ind w:left="838"/>
      </w:pPr>
      <w:r>
        <w:rPr>
          <w:w w:val="100"/>
        </w:rPr>
        <w:t> </w:t>
      </w:r>
    </w:p>
    <w:p>
      <w:pPr>
        <w:pStyle w:val="BodyText"/>
        <w:spacing w:before="4"/>
        <w:ind w:left="838"/>
      </w:pPr>
      <w:r>
        <w:rPr>
          <w:w w:val="100"/>
        </w:rPr>
        <w:t> </w:t>
      </w:r>
    </w:p>
    <w:p>
      <w:pPr>
        <w:pStyle w:val="BodyText"/>
        <w:spacing w:before="3"/>
        <w:ind w:left="838"/>
      </w:pPr>
      <w:r>
        <w:rPr>
          <w:w w:val="100"/>
        </w:rPr>
        <w:t> </w:t>
      </w:r>
    </w:p>
    <w:p>
      <w:pPr>
        <w:pStyle w:val="BodyText"/>
        <w:spacing w:before="4"/>
        <w:ind w:left="838"/>
      </w:pPr>
      <w:r>
        <w:rPr>
          <w:w w:val="100"/>
        </w:rPr>
        <w:t> </w:t>
      </w:r>
    </w:p>
    <w:p>
      <w:pPr>
        <w:pStyle w:val="BodyText"/>
        <w:spacing w:before="2"/>
        <w:ind w:left="838"/>
      </w:pPr>
      <w:r>
        <w:rPr>
          <w:w w:val="100"/>
        </w:rPr>
        <w:t> </w:t>
      </w:r>
    </w:p>
    <w:p>
      <w:pPr>
        <w:pStyle w:val="BodyText"/>
        <w:spacing w:before="5"/>
        <w:ind w:left="838"/>
      </w:pPr>
      <w:r>
        <w:rPr>
          <w:w w:val="100"/>
        </w:rPr>
        <w:t> </w:t>
      </w:r>
    </w:p>
    <w:p>
      <w:pPr>
        <w:pStyle w:val="BodyText"/>
        <w:spacing w:before="2"/>
        <w:ind w:left="838"/>
      </w:pPr>
      <w:r>
        <w:rPr>
          <w:w w:val="100"/>
        </w:rPr>
        <w:t> </w:t>
      </w:r>
    </w:p>
    <w:p>
      <w:pPr>
        <w:pStyle w:val="BodyText"/>
        <w:spacing w:before="4"/>
        <w:ind w:left="838"/>
      </w:pPr>
      <w:r>
        <w:rPr>
          <w:w w:val="100"/>
        </w:rPr>
        <w:t> </w:t>
      </w:r>
    </w:p>
    <w:p>
      <w:pPr>
        <w:pStyle w:val="BodyText"/>
        <w:spacing w:before="3"/>
        <w:ind w:left="838"/>
      </w:pPr>
      <w:r>
        <w:rPr>
          <w:w w:val="100"/>
        </w:rPr>
        <w:t> </w:t>
      </w:r>
    </w:p>
    <w:p>
      <w:pPr>
        <w:pStyle w:val="BodyText"/>
        <w:spacing w:before="4"/>
        <w:ind w:left="838"/>
      </w:pPr>
      <w:r>
        <w:rPr>
          <w:w w:val="100"/>
        </w:rPr>
        <w:t> </w:t>
      </w:r>
    </w:p>
    <w:p>
      <w:pPr>
        <w:pStyle w:val="BodyText"/>
        <w:spacing w:before="3"/>
        <w:ind w:left="838"/>
      </w:pPr>
      <w:r>
        <w:rPr>
          <w:w w:val="100"/>
        </w:rPr>
        <w:t> </w:t>
      </w:r>
    </w:p>
    <w:p>
      <w:pPr>
        <w:pStyle w:val="BodyText"/>
        <w:spacing w:before="4"/>
        <w:ind w:left="838"/>
      </w:pPr>
      <w:r>
        <w:rPr>
          <w:w w:val="100"/>
        </w:rPr>
        <w:t> </w:t>
      </w:r>
    </w:p>
    <w:p>
      <w:pPr>
        <w:pStyle w:val="BodyText"/>
        <w:spacing w:before="3"/>
        <w:ind w:left="838"/>
      </w:pPr>
      <w:r>
        <w:rPr>
          <w:w w:val="100"/>
        </w:rPr>
        <w:t> </w:t>
      </w:r>
    </w:p>
    <w:p>
      <w:pPr>
        <w:pStyle w:val="BodyText"/>
        <w:spacing w:before="2"/>
        <w:ind w:left="838"/>
      </w:pPr>
      <w:r>
        <w:rPr>
          <w:w w:val="100"/>
        </w:rPr>
        <w:t> </w:t>
      </w:r>
    </w:p>
    <w:p>
      <w:pPr>
        <w:pStyle w:val="BodyText"/>
        <w:spacing w:before="4"/>
        <w:ind w:left="838"/>
      </w:pPr>
      <w:r>
        <w:rPr>
          <w:w w:val="100"/>
        </w:rPr>
        <w:t> </w:t>
      </w:r>
    </w:p>
    <w:p>
      <w:pPr>
        <w:pStyle w:val="BodyText"/>
        <w:spacing w:before="2"/>
        <w:ind w:left="838"/>
      </w:pPr>
      <w:r>
        <w:rPr>
          <w:w w:val="100"/>
        </w:rPr>
        <w:t> </w:t>
      </w:r>
    </w:p>
    <w:p>
      <w:pPr>
        <w:pStyle w:val="BodyText"/>
        <w:spacing w:before="5"/>
        <w:ind w:left="838"/>
      </w:pPr>
      <w:r>
        <w:rPr>
          <w:w w:val="100"/>
        </w:rPr>
        <w:t> </w:t>
      </w:r>
    </w:p>
    <w:p>
      <w:pPr>
        <w:pStyle w:val="BodyText"/>
        <w:spacing w:before="2"/>
        <w:ind w:left="838"/>
      </w:pPr>
      <w:r>
        <w:rPr>
          <w:w w:val="100"/>
        </w:rPr>
        <w:t> </w:t>
      </w:r>
    </w:p>
    <w:p>
      <w:pPr>
        <w:pStyle w:val="BodyText"/>
        <w:spacing w:before="5"/>
        <w:ind w:left="838"/>
      </w:pPr>
      <w:r>
        <w:rPr>
          <w:w w:val="100"/>
        </w:rPr>
        <w:t> </w:t>
      </w:r>
    </w:p>
    <w:p>
      <w:pPr>
        <w:pStyle w:val="BodyText"/>
        <w:spacing w:before="2"/>
        <w:ind w:left="838"/>
      </w:pPr>
      <w:r>
        <w:rPr>
          <w:w w:val="100"/>
        </w:rPr>
        <w:t> </w:t>
      </w:r>
    </w:p>
    <w:p>
      <w:pPr>
        <w:pStyle w:val="BodyText"/>
        <w:spacing w:before="4"/>
        <w:ind w:left="838"/>
      </w:pPr>
      <w:r>
        <w:rPr>
          <w:w w:val="100"/>
        </w:rPr>
        <w:t> </w:t>
      </w:r>
    </w:p>
    <w:p>
      <w:pPr>
        <w:pStyle w:val="BodyText"/>
        <w:spacing w:before="3"/>
        <w:ind w:left="838"/>
      </w:pPr>
      <w:r>
        <w:rPr>
          <w:w w:val="100"/>
        </w:rPr>
        <w:t> </w:t>
      </w:r>
    </w:p>
    <w:p>
      <w:pPr>
        <w:pStyle w:val="BodyText"/>
        <w:spacing w:before="4"/>
        <w:ind w:left="838"/>
      </w:pPr>
      <w:r>
        <w:rPr>
          <w:w w:val="100"/>
        </w:rPr>
        <w:t> </w:t>
      </w:r>
    </w:p>
    <w:p>
      <w:pPr>
        <w:pStyle w:val="BodyText"/>
        <w:spacing w:before="2"/>
        <w:ind w:left="838"/>
      </w:pPr>
      <w:r>
        <w:rPr>
          <w:w w:val="100"/>
        </w:rPr>
        <w:t> </w:t>
      </w:r>
    </w:p>
    <w:p>
      <w:pPr>
        <w:pStyle w:val="BodyText"/>
        <w:spacing w:before="5"/>
        <w:ind w:left="838"/>
      </w:pPr>
      <w:r>
        <w:rPr>
          <w:w w:val="100"/>
        </w:rPr>
        <w:t> </w:t>
      </w:r>
    </w:p>
    <w:p>
      <w:pPr>
        <w:pStyle w:val="BodyText"/>
        <w:spacing w:before="2"/>
        <w:ind w:left="838"/>
      </w:pPr>
      <w:r>
        <w:rPr>
          <w:w w:val="100"/>
        </w:rPr>
        <w:t> </w:t>
      </w:r>
    </w:p>
    <w:p>
      <w:pPr>
        <w:spacing w:after="0"/>
        <w:sectPr>
          <w:pgSz w:w="11910" w:h="16850"/>
          <w:pgMar w:header="0" w:footer="1239" w:top="1200" w:bottom="1420" w:left="1260" w:right="0"/>
        </w:sectPr>
      </w:pPr>
    </w:p>
    <w:p>
      <w:pPr>
        <w:pStyle w:val="Heading2"/>
        <w:ind w:left="2554"/>
        <w:jc w:val="left"/>
      </w:pPr>
      <w:bookmarkStart w:name="_bookmark39" w:id="40"/>
      <w:bookmarkEnd w:id="40"/>
      <w:r>
        <w:rPr>
          <w:b w:val="0"/>
        </w:rPr>
      </w:r>
      <w:r>
        <w:rPr/>
        <w:t>便携式风力灭火机手感振动的测定</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ind w:left="838"/>
      </w:pPr>
      <w:r>
        <w:rPr/>
        <w:t>本标准规定了便携式风力灭火机手传振动的测定。 </w:t>
      </w:r>
    </w:p>
    <w:p>
      <w:pPr>
        <w:pStyle w:val="BodyText"/>
        <w:spacing w:before="12"/>
        <w:rPr>
          <w:sz w:val="17"/>
        </w:rPr>
      </w:pPr>
    </w:p>
    <w:p>
      <w:pPr>
        <w:pStyle w:val="BodyText"/>
        <w:ind w:left="838"/>
      </w:pPr>
      <w:r>
        <w:rPr>
          <w:spacing w:val="-3"/>
        </w:rPr>
        <w:t>本标准适用于便携式风力灭火机</w:t>
      </w:r>
      <w:r>
        <w:rPr/>
        <w:t>（</w:t>
      </w:r>
      <w:r>
        <w:rPr>
          <w:spacing w:val="-3"/>
        </w:rPr>
        <w:t>以下简称风力灭火机</w:t>
      </w:r>
      <w:r>
        <w:rPr>
          <w:spacing w:val="-108"/>
        </w:rPr>
        <w:t>）</w:t>
      </w:r>
      <w:r>
        <w:rPr>
          <w:spacing w:val="-3"/>
        </w:rPr>
        <w:t>。</w:t>
      </w:r>
      <w:r>
        <w:rPr/>
        <w:t> </w:t>
      </w:r>
    </w:p>
    <w:p>
      <w:pPr>
        <w:pStyle w:val="BodyText"/>
        <w:spacing w:before="10"/>
        <w:rPr>
          <w:sz w:val="15"/>
        </w:rPr>
      </w:pPr>
    </w:p>
    <w:p>
      <w:pPr>
        <w:pStyle w:val="Heading4"/>
        <w:spacing w:before="1"/>
      </w:pPr>
      <w:r>
        <w:rPr/>
        <w:t>2 引用标准</w:t>
      </w:r>
      <w:r>
        <w:rPr>
          <w:w w:val="99"/>
        </w:rPr>
        <w:t> </w:t>
      </w:r>
    </w:p>
    <w:p>
      <w:pPr>
        <w:pStyle w:val="BodyText"/>
        <w:spacing w:before="3"/>
        <w:rPr>
          <w:b/>
          <w:sz w:val="17"/>
        </w:rPr>
      </w:pPr>
    </w:p>
    <w:p>
      <w:pPr>
        <w:pStyle w:val="BodyText"/>
        <w:spacing w:line="446" w:lineRule="auto" w:before="1"/>
        <w:ind w:left="418" w:right="1330" w:firstLine="419"/>
      </w:pPr>
      <w:r>
        <w:rPr>
          <w:spacing w:val="-6"/>
        </w:rPr>
        <w:t>下列标准所包含的条文，通过在本标准中引用而构成为本标准的条文。本标准出版时，所示</w:t>
      </w:r>
      <w:r>
        <w:rPr>
          <w:spacing w:val="-17"/>
        </w:rPr>
        <w:t>版本均为有效。所有标准都会被修订，使用本标准的各方应探讨使用下列标准最新版本的可能性。</w:t>
      </w:r>
      <w:r>
        <w:rPr/>
        <w:t> </w:t>
      </w:r>
    </w:p>
    <w:p>
      <w:pPr>
        <w:pStyle w:val="BodyText"/>
        <w:ind w:left="838"/>
      </w:pPr>
      <w:r>
        <w:rPr/>
        <w:t>GB/T 3241——1982 声和振动分析用的 1/1 和 1/3 倍频程滤波器 </w:t>
      </w:r>
    </w:p>
    <w:p>
      <w:pPr>
        <w:pStyle w:val="BodyText"/>
        <w:spacing w:before="8"/>
        <w:rPr>
          <w:sz w:val="15"/>
        </w:rPr>
      </w:pPr>
    </w:p>
    <w:p>
      <w:pPr>
        <w:pStyle w:val="Heading4"/>
      </w:pPr>
      <w:r>
        <w:rPr/>
        <w:t>3 测量仪器及精度</w:t>
      </w:r>
      <w:r>
        <w:rPr>
          <w:w w:val="99"/>
        </w:rPr>
        <w:t> </w:t>
      </w:r>
    </w:p>
    <w:p>
      <w:pPr>
        <w:pStyle w:val="BodyText"/>
        <w:spacing w:before="4"/>
        <w:rPr>
          <w:b/>
          <w:sz w:val="17"/>
        </w:rPr>
      </w:pPr>
    </w:p>
    <w:p>
      <w:pPr>
        <w:pStyle w:val="ListParagraph"/>
        <w:numPr>
          <w:ilvl w:val="1"/>
          <w:numId w:val="975"/>
        </w:numPr>
        <w:tabs>
          <w:tab w:pos="1159" w:val="left" w:leader="none"/>
        </w:tabs>
        <w:spacing w:line="446" w:lineRule="auto" w:before="0" w:after="0"/>
        <w:ind w:left="418" w:right="1430" w:firstLine="422"/>
        <w:jc w:val="both"/>
        <w:rPr>
          <w:sz w:val="21"/>
        </w:rPr>
      </w:pPr>
      <w:r>
        <w:rPr>
          <w:spacing w:val="-6"/>
          <w:sz w:val="21"/>
        </w:rPr>
        <w:t>测量仪器可采用设有符合附录 </w:t>
      </w:r>
      <w:r>
        <w:rPr>
          <w:sz w:val="21"/>
        </w:rPr>
        <w:t>A</w:t>
      </w:r>
      <w:r>
        <w:rPr>
          <w:spacing w:val="-10"/>
          <w:sz w:val="21"/>
        </w:rPr>
        <w:t> 计权特性网络的手传振动专用测量仪器，直接读取计权</w:t>
      </w:r>
      <w:r>
        <w:rPr>
          <w:spacing w:val="-9"/>
          <w:sz w:val="21"/>
        </w:rPr>
        <w:t>加速度，也可采用由加速度传感器、滤波器、均方根值检波器、指示器及磁带记录仪组成的测量</w:t>
      </w:r>
      <w:r>
        <w:rPr>
          <w:spacing w:val="-5"/>
          <w:sz w:val="21"/>
        </w:rPr>
        <w:t>系统对振动信号进行测量与分析。</w:t>
      </w:r>
      <w:r>
        <w:rPr>
          <w:sz w:val="21"/>
        </w:rPr>
        <w:t> </w:t>
      </w:r>
    </w:p>
    <w:p>
      <w:pPr>
        <w:pStyle w:val="ListParagraph"/>
        <w:numPr>
          <w:ilvl w:val="1"/>
          <w:numId w:val="975"/>
        </w:numPr>
        <w:tabs>
          <w:tab w:pos="1159" w:val="left" w:leader="none"/>
        </w:tabs>
        <w:spacing w:line="268" w:lineRule="exact" w:before="0" w:after="0"/>
        <w:ind w:left="1158" w:right="0" w:hanging="319"/>
        <w:jc w:val="left"/>
        <w:rPr>
          <w:sz w:val="21"/>
        </w:rPr>
      </w:pPr>
      <w:r>
        <w:rPr>
          <w:spacing w:val="-3"/>
          <w:sz w:val="21"/>
        </w:rPr>
        <w:t>频率响应范围</w:t>
      </w:r>
      <w:r>
        <w:rPr>
          <w:sz w:val="21"/>
        </w:rPr>
        <w:t> </w:t>
      </w:r>
    </w:p>
    <w:p>
      <w:pPr>
        <w:pStyle w:val="BodyText"/>
        <w:spacing w:before="2"/>
        <w:rPr>
          <w:sz w:val="18"/>
        </w:rPr>
      </w:pPr>
    </w:p>
    <w:p>
      <w:pPr>
        <w:pStyle w:val="BodyText"/>
        <w:spacing w:line="446" w:lineRule="auto"/>
        <w:ind w:left="840" w:right="5656" w:hanging="3"/>
      </w:pPr>
      <w:r>
        <w:rPr/>
        <w:t>测量仪器的频率响应范围不小于 8~1500Hz。</w:t>
      </w:r>
      <w:r>
        <w:rPr>
          <w:b/>
        </w:rPr>
        <w:t>3.3 </w:t>
      </w:r>
      <w:r>
        <w:rPr/>
        <w:t>加速度计 </w:t>
      </w:r>
    </w:p>
    <w:p>
      <w:pPr>
        <w:pStyle w:val="BodyText"/>
        <w:spacing w:line="446" w:lineRule="auto"/>
        <w:ind w:left="418" w:right="1383" w:firstLine="419"/>
      </w:pPr>
      <w:r>
        <w:rPr/>
        <w:t>测量一个位置所用加速度计的总质量（包括固定支座，不包括电缆）不得大于 50g。其横向灵敏度应小于 10%。 </w:t>
      </w:r>
    </w:p>
    <w:p>
      <w:pPr>
        <w:spacing w:before="0"/>
        <w:ind w:left="840" w:right="0" w:firstLine="0"/>
        <w:jc w:val="left"/>
        <w:rPr>
          <w:sz w:val="21"/>
        </w:rPr>
      </w:pPr>
      <w:r>
        <w:rPr>
          <w:b/>
          <w:sz w:val="21"/>
        </w:rPr>
        <w:t>3.4</w:t>
      </w:r>
      <w:r>
        <w:rPr>
          <w:b/>
          <w:spacing w:val="4"/>
          <w:sz w:val="21"/>
        </w:rPr>
        <w:t> </w:t>
      </w:r>
      <w:r>
        <w:rPr>
          <w:spacing w:val="-3"/>
          <w:sz w:val="21"/>
        </w:rPr>
        <w:t>滤波器 </w:t>
      </w:r>
      <w:r>
        <w:rPr>
          <w:sz w:val="21"/>
        </w:rPr>
        <w:t> </w:t>
      </w:r>
    </w:p>
    <w:p>
      <w:pPr>
        <w:pStyle w:val="BodyText"/>
        <w:spacing w:before="9"/>
        <w:rPr>
          <w:sz w:val="17"/>
        </w:rPr>
      </w:pPr>
    </w:p>
    <w:p>
      <w:pPr>
        <w:pStyle w:val="BodyText"/>
        <w:spacing w:line="448" w:lineRule="auto"/>
        <w:ind w:left="840" w:right="2873" w:hanging="3"/>
      </w:pPr>
      <w:r>
        <w:rPr>
          <w:spacing w:val="-11"/>
        </w:rPr>
        <w:t>振动分析用 </w:t>
      </w:r>
      <w:r>
        <w:rPr/>
        <w:t>1/3</w:t>
      </w:r>
      <w:r>
        <w:rPr>
          <w:spacing w:val="-22"/>
        </w:rPr>
        <w:t> 频带或 </w:t>
      </w:r>
      <w:r>
        <w:rPr/>
        <w:t>1/1</w:t>
      </w:r>
      <w:r>
        <w:rPr>
          <w:spacing w:val="-11"/>
        </w:rPr>
        <w:t> 频带滤波器。滤波器应符合 </w:t>
      </w:r>
      <w:r>
        <w:rPr/>
        <w:t>GB/T3241</w:t>
      </w:r>
      <w:r>
        <w:rPr>
          <w:spacing w:val="-12"/>
        </w:rPr>
        <w:t> 的规定。</w:t>
      </w:r>
      <w:r>
        <w:rPr>
          <w:b/>
          <w:spacing w:val="-12"/>
        </w:rPr>
        <w:t>3.5</w:t>
      </w:r>
      <w:r>
        <w:rPr>
          <w:b/>
          <w:spacing w:val="1"/>
        </w:rPr>
        <w:t> </w:t>
      </w:r>
      <w:r>
        <w:rPr>
          <w:spacing w:val="-3"/>
        </w:rPr>
        <w:t>转速计 </w:t>
      </w:r>
      <w:r>
        <w:rPr/>
        <w:t> </w:t>
      </w:r>
    </w:p>
    <w:p>
      <w:pPr>
        <w:pStyle w:val="BodyText"/>
        <w:spacing w:line="446" w:lineRule="auto"/>
        <w:ind w:left="840" w:right="4028" w:hanging="3"/>
      </w:pPr>
      <w:r>
        <w:rPr/>
        <w:t>使用非接触式转速计，转速计的精度应在读数的±2.5%以内。</w:t>
      </w:r>
      <w:r>
        <w:rPr>
          <w:b/>
        </w:rPr>
        <w:t>3.6 </w:t>
      </w:r>
      <w:r>
        <w:rPr/>
        <w:t>磁带记录仪  </w:t>
      </w:r>
    </w:p>
    <w:p>
      <w:pPr>
        <w:pStyle w:val="BodyText"/>
        <w:ind w:left="838"/>
      </w:pPr>
      <w:r>
        <w:rPr/>
        <w:t>磁带记录仪的回放误差应小于±3.5%。 </w:t>
      </w:r>
    </w:p>
    <w:p>
      <w:pPr>
        <w:pStyle w:val="BodyText"/>
        <w:spacing w:before="8"/>
        <w:rPr>
          <w:sz w:val="17"/>
        </w:rPr>
      </w:pPr>
    </w:p>
    <w:p>
      <w:pPr>
        <w:pStyle w:val="BodyText"/>
        <w:spacing w:line="446" w:lineRule="auto"/>
        <w:ind w:left="418" w:right="1378" w:firstLine="422"/>
      </w:pPr>
      <w:r>
        <w:rPr>
          <w:b/>
        </w:rPr>
        <w:t>3.7 </w:t>
      </w:r>
      <w:r>
        <w:rPr/>
        <w:t>测量仪器应经国家认可的计量单位检定，并在规定的有效期内使用，使用前后均应进行检查及校核。 </w:t>
      </w:r>
    </w:p>
    <w:p>
      <w:pPr>
        <w:pStyle w:val="Heading4"/>
        <w:spacing w:line="278" w:lineRule="exact"/>
      </w:pPr>
      <w:r>
        <w:rPr/>
        <w:t>4 测定规范</w:t>
      </w:r>
      <w:r>
        <w:rPr>
          <w:w w:val="99"/>
        </w:rPr>
        <w:t> </w:t>
      </w:r>
    </w:p>
    <w:p>
      <w:pPr>
        <w:pStyle w:val="BodyText"/>
        <w:spacing w:before="4"/>
        <w:rPr>
          <w:b/>
          <w:sz w:val="17"/>
        </w:rPr>
      </w:pPr>
    </w:p>
    <w:p>
      <w:pPr>
        <w:pStyle w:val="ListParagraph"/>
        <w:numPr>
          <w:ilvl w:val="1"/>
          <w:numId w:val="976"/>
        </w:numPr>
        <w:tabs>
          <w:tab w:pos="1160" w:val="left" w:leader="none"/>
        </w:tabs>
        <w:spacing w:line="240" w:lineRule="auto" w:before="0" w:after="0"/>
        <w:ind w:left="1159" w:right="0" w:hanging="320"/>
        <w:jc w:val="left"/>
        <w:rPr>
          <w:sz w:val="21"/>
        </w:rPr>
      </w:pPr>
      <w:r>
        <w:rPr>
          <w:spacing w:val="-3"/>
          <w:sz w:val="21"/>
        </w:rPr>
        <w:t>风力灭火机 </w:t>
      </w:r>
      <w:r>
        <w:rPr>
          <w:sz w:val="21"/>
        </w:rPr>
        <w:t> </w:t>
      </w:r>
    </w:p>
    <w:p>
      <w:pPr>
        <w:spacing w:after="0" w:line="240" w:lineRule="auto"/>
        <w:jc w:val="left"/>
        <w:rPr>
          <w:sz w:val="21"/>
        </w:rPr>
        <w:sectPr>
          <w:pgSz w:w="11910" w:h="16850"/>
          <w:pgMar w:header="0" w:footer="1239" w:top="1140" w:bottom="1420" w:left="1260" w:right="0"/>
        </w:sectPr>
      </w:pPr>
    </w:p>
    <w:p>
      <w:pPr>
        <w:pStyle w:val="BodyText"/>
        <w:spacing w:line="446" w:lineRule="auto" w:before="47"/>
        <w:ind w:left="418" w:right="1410" w:firstLine="419"/>
      </w:pPr>
      <w:r>
        <w:rPr/>
        <w:t>供测量用的风力灭火机必须是制造厂正常生产的、装有风筒及背带的风力灭火机。测量前应做好下列准备： </w:t>
      </w:r>
    </w:p>
    <w:p>
      <w:pPr>
        <w:pStyle w:val="BodyText"/>
        <w:spacing w:line="446" w:lineRule="auto"/>
        <w:ind w:left="838" w:right="5288"/>
      </w:pPr>
      <w:r>
        <w:rPr/>
        <w:t>将燃油箱至少装入半箱使用说明书规定的燃油； a）按产品说明书调整化油器  </w:t>
      </w:r>
    </w:p>
    <w:p>
      <w:pPr>
        <w:pStyle w:val="BodyText"/>
        <w:ind w:left="838"/>
      </w:pPr>
      <w:r>
        <w:rPr/>
        <w:t>b)试运转并预热发动机  </w:t>
      </w:r>
    </w:p>
    <w:p>
      <w:pPr>
        <w:pStyle w:val="BodyText"/>
        <w:spacing w:before="10"/>
        <w:rPr>
          <w:sz w:val="17"/>
        </w:rPr>
      </w:pPr>
    </w:p>
    <w:p>
      <w:pPr>
        <w:pStyle w:val="ListParagraph"/>
        <w:numPr>
          <w:ilvl w:val="1"/>
          <w:numId w:val="976"/>
        </w:numPr>
        <w:tabs>
          <w:tab w:pos="1198" w:val="left" w:leader="none"/>
        </w:tabs>
        <w:spacing w:line="240" w:lineRule="auto" w:before="0" w:after="0"/>
        <w:ind w:left="1198" w:right="0" w:hanging="360"/>
        <w:jc w:val="left"/>
        <w:rPr>
          <w:sz w:val="21"/>
        </w:rPr>
      </w:pPr>
      <w:r>
        <w:rPr>
          <w:spacing w:val="-3"/>
          <w:sz w:val="21"/>
        </w:rPr>
        <w:t>测量位置及测量方向 </w:t>
      </w:r>
      <w:r>
        <w:rPr>
          <w:sz w:val="21"/>
        </w:rPr>
        <w:t> </w:t>
      </w:r>
    </w:p>
    <w:p>
      <w:pPr>
        <w:pStyle w:val="BodyText"/>
        <w:spacing w:before="2"/>
        <w:rPr>
          <w:sz w:val="18"/>
        </w:rPr>
      </w:pPr>
    </w:p>
    <w:p>
      <w:pPr>
        <w:pStyle w:val="BodyText"/>
        <w:ind w:left="838"/>
      </w:pPr>
      <w:r>
        <w:rPr/>
        <w:t>在风力灭火机的前、后把手的手握处，测量 F、S、V 三轴向振动的计权加速度。 </w:t>
      </w:r>
    </w:p>
    <w:p>
      <w:pPr>
        <w:pStyle w:val="BodyText"/>
        <w:rPr>
          <w:sz w:val="18"/>
        </w:rPr>
      </w:pPr>
    </w:p>
    <w:p>
      <w:pPr>
        <w:pStyle w:val="ListParagraph"/>
        <w:numPr>
          <w:ilvl w:val="1"/>
          <w:numId w:val="976"/>
        </w:numPr>
        <w:tabs>
          <w:tab w:pos="1198" w:val="left" w:leader="none"/>
        </w:tabs>
        <w:spacing w:line="446" w:lineRule="auto" w:before="0" w:after="0"/>
        <w:ind w:left="838" w:right="7175" w:firstLine="0"/>
        <w:jc w:val="left"/>
        <w:rPr>
          <w:sz w:val="21"/>
        </w:rPr>
      </w:pPr>
      <w:r>
        <w:rPr>
          <w:spacing w:val="-2"/>
          <w:sz w:val="21"/>
        </w:rPr>
        <w:t>加速度计的安装   </w:t>
      </w:r>
      <w:r>
        <w:rPr>
          <w:b/>
          <w:spacing w:val="-2"/>
          <w:sz w:val="21"/>
        </w:rPr>
        <w:t>4.3.1</w:t>
      </w:r>
      <w:r>
        <w:rPr>
          <w:b/>
          <w:spacing w:val="5"/>
          <w:sz w:val="21"/>
        </w:rPr>
        <w:t> </w:t>
      </w:r>
      <w:r>
        <w:rPr>
          <w:spacing w:val="-3"/>
          <w:sz w:val="21"/>
        </w:rPr>
        <w:t>加速度计的安装位置 </w:t>
      </w:r>
    </w:p>
    <w:p>
      <w:pPr>
        <w:pStyle w:val="BodyText"/>
        <w:ind w:left="838"/>
      </w:pPr>
      <w:r>
        <w:rPr/>
        <w:t>加速度计的安装位置及测量方向见图 1。加速度计的重心位置距把手截面（前把手由 V 和 F</w:t>
      </w:r>
    </w:p>
    <w:p>
      <w:pPr>
        <w:pStyle w:val="BodyText"/>
        <w:rPr>
          <w:sz w:val="18"/>
        </w:rPr>
      </w:pPr>
    </w:p>
    <w:p>
      <w:pPr>
        <w:pStyle w:val="BodyText"/>
        <w:ind w:left="838"/>
      </w:pPr>
      <w:r>
        <w:rPr/>
        <w:t>线确定，后把手由 V 和 S 线确定）的最大距离为 20mm。 </w:t>
      </w:r>
    </w:p>
    <w:p>
      <w:pPr>
        <w:pStyle w:val="BodyText"/>
        <w:spacing w:before="12"/>
        <w:rPr>
          <w:sz w:val="17"/>
        </w:rPr>
      </w:pPr>
    </w:p>
    <w:p>
      <w:pPr>
        <w:pStyle w:val="BodyText"/>
        <w:spacing w:line="446" w:lineRule="auto"/>
        <w:ind w:left="838" w:right="3294"/>
      </w:pPr>
      <w:r>
        <w:rPr>
          <w:spacing w:val="-9"/>
        </w:rPr>
        <w:t>如果图中尺寸 </w:t>
      </w:r>
      <w:r>
        <w:rPr/>
        <w:t>25mm</w:t>
      </w:r>
      <w:r>
        <w:rPr>
          <w:spacing w:val="-8"/>
        </w:rPr>
        <w:t> 不能保证，加速度计应置于把手握持部位的右侧。</w:t>
      </w:r>
      <w:r>
        <w:rPr>
          <w:spacing w:val="-9"/>
        </w:rPr>
        <w:t>如果图中尺寸 </w:t>
      </w:r>
      <w:r>
        <w:rPr/>
        <w:t>80mm</w:t>
      </w:r>
      <w:r>
        <w:rPr>
          <w:spacing w:val="-8"/>
        </w:rPr>
        <w:t> 不能保证，加速度计应置于把手握持部位的后端。</w:t>
      </w:r>
      <w:r>
        <w:rPr/>
        <w:t> </w:t>
      </w:r>
    </w:p>
    <w:p>
      <w:pPr>
        <w:pStyle w:val="BodyText"/>
        <w:spacing w:before="12"/>
        <w:rPr>
          <w:sz w:val="13"/>
        </w:rPr>
      </w:pPr>
      <w:r>
        <w:rPr/>
        <w:drawing>
          <wp:anchor distT="0" distB="0" distL="0" distR="0" allowOverlap="1" layoutInCell="1" locked="0" behindDoc="0" simplePos="0" relativeHeight="400">
            <wp:simplePos x="0" y="0"/>
            <wp:positionH relativeFrom="page">
              <wp:posOffset>2233987</wp:posOffset>
            </wp:positionH>
            <wp:positionV relativeFrom="paragraph">
              <wp:posOffset>138263</wp:posOffset>
            </wp:positionV>
            <wp:extent cx="2974412" cy="2886075"/>
            <wp:effectExtent l="0" t="0" r="0" b="0"/>
            <wp:wrapTopAndBottom/>
            <wp:docPr id="843" name="image494.jpeg"/>
            <wp:cNvGraphicFramePr>
              <a:graphicFrameLocks noChangeAspect="1"/>
            </wp:cNvGraphicFramePr>
            <a:graphic>
              <a:graphicData uri="http://schemas.openxmlformats.org/drawingml/2006/picture">
                <pic:pic>
                  <pic:nvPicPr>
                    <pic:cNvPr id="844" name="image494.jpeg"/>
                    <pic:cNvPicPr/>
                  </pic:nvPicPr>
                  <pic:blipFill>
                    <a:blip r:embed="rId624" cstate="print"/>
                    <a:stretch>
                      <a:fillRect/>
                    </a:stretch>
                  </pic:blipFill>
                  <pic:spPr>
                    <a:xfrm>
                      <a:off x="0" y="0"/>
                      <a:ext cx="2974412" cy="2886075"/>
                    </a:xfrm>
                    <a:prstGeom prst="rect">
                      <a:avLst/>
                    </a:prstGeom>
                  </pic:spPr>
                </pic:pic>
              </a:graphicData>
            </a:graphic>
          </wp:anchor>
        </w:drawing>
      </w:r>
    </w:p>
    <w:p>
      <w:pPr>
        <w:pStyle w:val="BodyText"/>
        <w:rPr>
          <w:sz w:val="14"/>
        </w:rPr>
      </w:pPr>
    </w:p>
    <w:p>
      <w:pPr>
        <w:spacing w:before="0"/>
        <w:ind w:left="838" w:right="0" w:firstLine="0"/>
        <w:jc w:val="left"/>
        <w:rPr>
          <w:sz w:val="21"/>
        </w:rPr>
      </w:pPr>
      <w:r>
        <w:rPr>
          <w:b/>
          <w:sz w:val="21"/>
        </w:rPr>
        <w:t>4.3.2 </w:t>
      </w:r>
      <w:r>
        <w:rPr>
          <w:sz w:val="21"/>
        </w:rPr>
        <w:t>加速度计的固定 </w:t>
      </w:r>
    </w:p>
    <w:p>
      <w:pPr>
        <w:pStyle w:val="BodyText"/>
        <w:rPr>
          <w:sz w:val="18"/>
        </w:rPr>
      </w:pPr>
    </w:p>
    <w:p>
      <w:pPr>
        <w:pStyle w:val="BodyText"/>
        <w:ind w:left="838"/>
      </w:pPr>
      <w:r>
        <w:rPr/>
        <w:t>对于刚性把手，加速度计要刚性地固定在把手上。 </w:t>
      </w:r>
    </w:p>
    <w:p>
      <w:pPr>
        <w:pStyle w:val="BodyText"/>
        <w:rPr>
          <w:sz w:val="18"/>
        </w:rPr>
      </w:pPr>
    </w:p>
    <w:p>
      <w:pPr>
        <w:pStyle w:val="BodyText"/>
        <w:spacing w:line="446" w:lineRule="auto"/>
        <w:ind w:left="418" w:right="1433" w:firstLine="419"/>
        <w:jc w:val="both"/>
      </w:pPr>
      <w:r>
        <w:rPr>
          <w:spacing w:val="-4"/>
        </w:rPr>
        <w:t>对于装有弹性减震层</w:t>
      </w:r>
      <w:r>
        <w:rPr>
          <w:spacing w:val="-3"/>
        </w:rPr>
        <w:t>（例如橡胶垫</w:t>
      </w:r>
      <w:r>
        <w:rPr>
          <w:spacing w:val="-8"/>
        </w:rPr>
        <w:t>）</w:t>
      </w:r>
      <w:r>
        <w:rPr>
          <w:spacing w:val="-6"/>
        </w:rPr>
        <w:t>的把手，可以使用合适的加速度计支座，将加速度计安</w:t>
      </w:r>
      <w:r>
        <w:rPr>
          <w:spacing w:val="-8"/>
        </w:rPr>
        <w:t>装在弹性减震层表面，但须记录弹性减震层的类型、厚度、物理性能及振动衰减程度。也可先除</w:t>
      </w:r>
      <w:r>
        <w:rPr>
          <w:spacing w:val="-5"/>
        </w:rPr>
        <w:t>掉固定位置的减震层，将加速度计刚性地固定在把手上。</w:t>
      </w:r>
      <w:r>
        <w:rPr/>
        <w:t> </w:t>
      </w:r>
    </w:p>
    <w:p>
      <w:pPr>
        <w:spacing w:after="0" w:line="446" w:lineRule="auto"/>
        <w:jc w:val="both"/>
        <w:sectPr>
          <w:pgSz w:w="11910" w:h="16850"/>
          <w:pgMar w:header="0" w:footer="1239" w:top="1220" w:bottom="1420" w:left="1260" w:right="0"/>
        </w:sectPr>
      </w:pPr>
    </w:p>
    <w:p>
      <w:pPr>
        <w:pStyle w:val="BodyText"/>
        <w:spacing w:line="446" w:lineRule="auto" w:before="47"/>
        <w:ind w:left="418" w:right="1431" w:firstLine="419"/>
      </w:pPr>
      <w:r>
        <w:rPr>
          <w:spacing w:val="-6"/>
        </w:rPr>
        <w:t>无论哪一种情况，都必须注意加速度计支座的尺寸、形状及安装对于振动向手的传递不应有显著的影响。在安装加速度计时应使其在三个轴线方向上的传递函数能平直达到 </w:t>
      </w:r>
      <w:r>
        <w:rPr/>
        <w:t>1500Hz</w:t>
      </w:r>
      <w:r>
        <w:rPr>
          <w:spacing w:val="-3"/>
        </w:rPr>
        <w:t>。</w:t>
      </w:r>
      <w:r>
        <w:rPr/>
        <w:t> </w:t>
      </w:r>
    </w:p>
    <w:p>
      <w:pPr>
        <w:pStyle w:val="ListParagraph"/>
        <w:numPr>
          <w:ilvl w:val="1"/>
          <w:numId w:val="976"/>
        </w:numPr>
        <w:tabs>
          <w:tab w:pos="1198" w:val="left" w:leader="none"/>
        </w:tabs>
        <w:spacing w:line="267" w:lineRule="exact" w:before="0" w:after="0"/>
        <w:ind w:left="1198" w:right="0" w:hanging="360"/>
        <w:jc w:val="left"/>
        <w:rPr>
          <w:sz w:val="21"/>
        </w:rPr>
      </w:pPr>
      <w:r>
        <w:rPr>
          <w:spacing w:val="-3"/>
          <w:sz w:val="21"/>
        </w:rPr>
        <w:t>风力灭火机的操作</w:t>
      </w:r>
      <w:r>
        <w:rPr>
          <w:sz w:val="21"/>
        </w:rPr>
        <w:t> </w:t>
      </w:r>
    </w:p>
    <w:p>
      <w:pPr>
        <w:pStyle w:val="BodyText"/>
        <w:spacing w:before="2"/>
        <w:rPr>
          <w:sz w:val="18"/>
        </w:rPr>
      </w:pPr>
    </w:p>
    <w:p>
      <w:pPr>
        <w:pStyle w:val="ListParagraph"/>
        <w:numPr>
          <w:ilvl w:val="2"/>
          <w:numId w:val="976"/>
        </w:numPr>
        <w:tabs>
          <w:tab w:pos="1563" w:val="left" w:leader="none"/>
        </w:tabs>
        <w:spacing w:line="240" w:lineRule="auto" w:before="0" w:after="0"/>
        <w:ind w:left="1562" w:right="0" w:hanging="721"/>
        <w:jc w:val="left"/>
        <w:rPr>
          <w:sz w:val="21"/>
        </w:rPr>
      </w:pPr>
      <w:r>
        <w:rPr>
          <w:spacing w:val="-5"/>
          <w:sz w:val="21"/>
        </w:rPr>
        <w:t>用背带将风力灭火机侧挂在操作者身上，并用双手握住前、后把手，如图 </w:t>
      </w:r>
      <w:r>
        <w:rPr>
          <w:spacing w:val="-3"/>
          <w:sz w:val="21"/>
        </w:rPr>
        <w:t>2</w:t>
      </w:r>
      <w:r>
        <w:rPr>
          <w:sz w:val="21"/>
        </w:rPr>
        <w:t>。 </w:t>
      </w:r>
    </w:p>
    <w:p>
      <w:pPr>
        <w:pStyle w:val="BodyText"/>
        <w:spacing w:before="7"/>
        <w:rPr>
          <w:sz w:val="8"/>
        </w:rPr>
      </w:pPr>
      <w:r>
        <w:rPr/>
        <w:drawing>
          <wp:anchor distT="0" distB="0" distL="0" distR="0" allowOverlap="1" layoutInCell="1" locked="0" behindDoc="0" simplePos="0" relativeHeight="401">
            <wp:simplePos x="0" y="0"/>
            <wp:positionH relativeFrom="page">
              <wp:posOffset>3027426</wp:posOffset>
            </wp:positionH>
            <wp:positionV relativeFrom="paragraph">
              <wp:posOffset>94392</wp:posOffset>
            </wp:positionV>
            <wp:extent cx="1648256" cy="2714625"/>
            <wp:effectExtent l="0" t="0" r="0" b="0"/>
            <wp:wrapTopAndBottom/>
            <wp:docPr id="845" name="image495.jpeg"/>
            <wp:cNvGraphicFramePr>
              <a:graphicFrameLocks noChangeAspect="1"/>
            </wp:cNvGraphicFramePr>
            <a:graphic>
              <a:graphicData uri="http://schemas.openxmlformats.org/drawingml/2006/picture">
                <pic:pic>
                  <pic:nvPicPr>
                    <pic:cNvPr id="846" name="image495.jpeg"/>
                    <pic:cNvPicPr/>
                  </pic:nvPicPr>
                  <pic:blipFill>
                    <a:blip r:embed="rId625" cstate="print"/>
                    <a:stretch>
                      <a:fillRect/>
                    </a:stretch>
                  </pic:blipFill>
                  <pic:spPr>
                    <a:xfrm>
                      <a:off x="0" y="0"/>
                      <a:ext cx="1648256" cy="2714625"/>
                    </a:xfrm>
                    <a:prstGeom prst="rect">
                      <a:avLst/>
                    </a:prstGeom>
                  </pic:spPr>
                </pic:pic>
              </a:graphicData>
            </a:graphic>
          </wp:anchor>
        </w:drawing>
      </w:r>
    </w:p>
    <w:p>
      <w:pPr>
        <w:pStyle w:val="Heading6"/>
        <w:spacing w:before="178"/>
        <w:ind w:right="914"/>
        <w:jc w:val="center"/>
      </w:pPr>
      <w:r>
        <w:rPr/>
        <w:t>图 2 风力灭火机的操作</w:t>
      </w:r>
      <w:r>
        <w:rPr>
          <w:w w:val="99"/>
        </w:rPr>
        <w:t> </w:t>
      </w:r>
    </w:p>
    <w:p>
      <w:pPr>
        <w:pStyle w:val="BodyText"/>
        <w:spacing w:before="12"/>
        <w:rPr>
          <w:b/>
          <w:sz w:val="17"/>
        </w:rPr>
      </w:pPr>
    </w:p>
    <w:p>
      <w:pPr>
        <w:pStyle w:val="ListParagraph"/>
        <w:numPr>
          <w:ilvl w:val="2"/>
          <w:numId w:val="976"/>
        </w:numPr>
        <w:tabs>
          <w:tab w:pos="1563" w:val="left" w:leader="none"/>
        </w:tabs>
        <w:spacing w:line="240" w:lineRule="auto" w:before="0" w:after="0"/>
        <w:ind w:left="1562" w:right="0" w:hanging="721"/>
        <w:jc w:val="left"/>
        <w:rPr>
          <w:sz w:val="21"/>
        </w:rPr>
      </w:pPr>
      <w:r>
        <w:rPr>
          <w:spacing w:val="-3"/>
          <w:sz w:val="21"/>
        </w:rPr>
        <w:t>转速计应放在便于操作者观察转速又不影响操作的位置。</w:t>
      </w:r>
      <w:r>
        <w:rPr>
          <w:sz w:val="21"/>
        </w:rPr>
        <w:t> </w:t>
      </w:r>
    </w:p>
    <w:p>
      <w:pPr>
        <w:pStyle w:val="BodyText"/>
        <w:spacing w:before="2"/>
        <w:rPr>
          <w:sz w:val="18"/>
        </w:rPr>
      </w:pPr>
    </w:p>
    <w:p>
      <w:pPr>
        <w:pStyle w:val="ListParagraph"/>
        <w:numPr>
          <w:ilvl w:val="2"/>
          <w:numId w:val="976"/>
        </w:numPr>
        <w:tabs>
          <w:tab w:pos="1563" w:val="left" w:leader="none"/>
        </w:tabs>
        <w:spacing w:line="240" w:lineRule="auto" w:before="0" w:after="0"/>
        <w:ind w:left="1562" w:right="0" w:hanging="721"/>
        <w:jc w:val="left"/>
        <w:rPr>
          <w:sz w:val="21"/>
        </w:rPr>
      </w:pPr>
      <w:r>
        <w:rPr>
          <w:spacing w:val="-3"/>
          <w:sz w:val="21"/>
        </w:rPr>
        <w:t>由操作者控制油门，使风力灭火机在制造厂规定的标定转速下运转。</w:t>
      </w:r>
      <w:r>
        <w:rPr>
          <w:sz w:val="21"/>
        </w:rPr>
        <w:t> </w:t>
      </w:r>
    </w:p>
    <w:p>
      <w:pPr>
        <w:pStyle w:val="BodyText"/>
        <w:spacing w:before="12"/>
        <w:rPr>
          <w:sz w:val="17"/>
        </w:rPr>
      </w:pPr>
    </w:p>
    <w:p>
      <w:pPr>
        <w:pStyle w:val="ListParagraph"/>
        <w:numPr>
          <w:ilvl w:val="1"/>
          <w:numId w:val="976"/>
        </w:numPr>
        <w:tabs>
          <w:tab w:pos="1198" w:val="left" w:leader="none"/>
        </w:tabs>
        <w:spacing w:line="240" w:lineRule="auto" w:before="0" w:after="0"/>
        <w:ind w:left="1198" w:right="0" w:hanging="360"/>
        <w:jc w:val="left"/>
        <w:rPr>
          <w:sz w:val="21"/>
        </w:rPr>
      </w:pPr>
      <w:r>
        <w:rPr>
          <w:spacing w:val="-3"/>
          <w:sz w:val="21"/>
        </w:rPr>
        <w:t>电噪声</w:t>
      </w:r>
      <w:r>
        <w:rPr>
          <w:sz w:val="21"/>
        </w:rPr>
        <w:t> </w:t>
      </w:r>
    </w:p>
    <w:p>
      <w:pPr>
        <w:pStyle w:val="BodyText"/>
        <w:rPr>
          <w:sz w:val="18"/>
        </w:rPr>
      </w:pPr>
    </w:p>
    <w:p>
      <w:pPr>
        <w:pStyle w:val="BodyText"/>
        <w:spacing w:line="446" w:lineRule="auto"/>
        <w:ind w:left="418" w:right="1431" w:firstLine="419"/>
      </w:pPr>
      <w:r>
        <w:rPr>
          <w:spacing w:val="-9"/>
        </w:rPr>
        <w:t>测定中，发动机及电缆的电噪声对测定的干扰不得超过最大实测值的 </w:t>
      </w:r>
      <w:r>
        <w:rPr>
          <w:spacing w:val="-16"/>
        </w:rPr>
        <w:t>5%（</w:t>
      </w:r>
      <w:r>
        <w:rPr>
          <w:spacing w:val="-3"/>
        </w:rPr>
        <w:t>推荐采用抗干扰火花塞</w:t>
      </w:r>
      <w:r>
        <w:rPr>
          <w:spacing w:val="-108"/>
        </w:rPr>
        <w:t>）</w:t>
      </w:r>
      <w:r>
        <w:rPr>
          <w:spacing w:val="-3"/>
        </w:rPr>
        <w:t>。</w:t>
      </w:r>
      <w:r>
        <w:rPr/>
        <w:t> </w:t>
      </w:r>
    </w:p>
    <w:p>
      <w:pPr>
        <w:pStyle w:val="Heading4"/>
        <w:spacing w:line="278" w:lineRule="exact"/>
      </w:pPr>
      <w:r>
        <w:rPr/>
        <w:t>5 数据的取得和处理</w:t>
      </w:r>
      <w:r>
        <w:rPr>
          <w:w w:val="99"/>
        </w:rPr>
        <w:t> </w:t>
      </w:r>
    </w:p>
    <w:p>
      <w:pPr>
        <w:pStyle w:val="BodyText"/>
        <w:spacing w:before="4"/>
        <w:rPr>
          <w:b/>
          <w:sz w:val="17"/>
        </w:rPr>
      </w:pPr>
    </w:p>
    <w:p>
      <w:pPr>
        <w:spacing w:before="0"/>
        <w:ind w:left="840" w:right="0" w:firstLine="0"/>
        <w:jc w:val="left"/>
        <w:rPr>
          <w:sz w:val="21"/>
        </w:rPr>
      </w:pPr>
      <w:r>
        <w:rPr>
          <w:b/>
          <w:sz w:val="21"/>
        </w:rPr>
        <w:t>5.1 </w:t>
      </w:r>
      <w:r>
        <w:rPr>
          <w:sz w:val="21"/>
        </w:rPr>
        <w:t>测量值的表示单位 </w:t>
      </w:r>
    </w:p>
    <w:p>
      <w:pPr>
        <w:pStyle w:val="BodyText"/>
        <w:spacing w:before="2"/>
        <w:rPr>
          <w:sz w:val="18"/>
        </w:rPr>
      </w:pPr>
    </w:p>
    <w:p>
      <w:pPr>
        <w:pStyle w:val="BodyText"/>
        <w:spacing w:line="446" w:lineRule="auto"/>
        <w:ind w:left="418" w:right="1431" w:firstLine="419"/>
        <w:jc w:val="both"/>
      </w:pPr>
      <w:r>
        <w:rPr>
          <w:spacing w:val="-7"/>
        </w:rPr>
        <w:t>表示振动量值的基本量是加速度。加速度通常以 </w:t>
      </w:r>
      <w:r>
        <w:rPr/>
        <w:t>m/s²</w:t>
      </w:r>
      <w:r>
        <w:rPr>
          <w:spacing w:val="-8"/>
        </w:rPr>
        <w:t>为单位。振动加速度量值用均方根值即</w:t>
      </w:r>
      <w:r>
        <w:rPr>
          <w:spacing w:val="-9"/>
        </w:rPr>
        <w:t>有效值表示。根据人体对不同频率振动的生理效应规律进行计权的振动加速度称为频率计权加速</w:t>
      </w:r>
      <w:r>
        <w:rPr>
          <w:spacing w:val="-6"/>
        </w:rPr>
        <w:t>度[见式</w:t>
      </w:r>
      <w:r>
        <w:rPr/>
        <w:t>（1）</w:t>
      </w:r>
      <w:r>
        <w:rPr>
          <w:spacing w:val="-3"/>
        </w:rPr>
        <w:t>]。用以评价手传振动对人的影响。</w:t>
      </w:r>
      <w:r>
        <w:rPr/>
        <w:t> </w:t>
      </w:r>
    </w:p>
    <w:p>
      <w:pPr>
        <w:pStyle w:val="BodyText"/>
        <w:spacing w:line="446" w:lineRule="auto"/>
        <w:ind w:left="840" w:right="7074" w:hanging="3"/>
        <w:jc w:val="both"/>
      </w:pPr>
      <w:r>
        <w:rPr/>
        <w:t>振动量级也可以用 dB 表示。</w:t>
      </w:r>
      <w:r>
        <w:rPr>
          <w:b/>
        </w:rPr>
        <w:t>5.2 </w:t>
      </w:r>
      <w:r>
        <w:rPr/>
        <w:t>数据测定和处理 </w:t>
      </w:r>
    </w:p>
    <w:p>
      <w:pPr>
        <w:pStyle w:val="ListParagraph"/>
        <w:numPr>
          <w:ilvl w:val="2"/>
          <w:numId w:val="977"/>
        </w:numPr>
        <w:tabs>
          <w:tab w:pos="1371" w:val="left" w:leader="none"/>
        </w:tabs>
        <w:spacing w:line="446" w:lineRule="auto" w:before="0" w:after="0"/>
        <w:ind w:left="418" w:right="1431" w:firstLine="422"/>
        <w:jc w:val="both"/>
        <w:rPr>
          <w:sz w:val="21"/>
        </w:rPr>
      </w:pPr>
      <w:r>
        <w:rPr>
          <w:spacing w:val="-5"/>
          <w:sz w:val="21"/>
        </w:rPr>
        <w:t>使用手传振动专用测量仪器直接读取三轴向振动频率计权加速度时，应每隔两秒读取</w:t>
      </w:r>
      <w:r>
        <w:rPr>
          <w:spacing w:val="-4"/>
          <w:position w:val="1"/>
          <w:sz w:val="21"/>
        </w:rPr>
        <w:t>一个实测值，作为</w:t>
      </w:r>
      <w:r>
        <w:rPr>
          <w:rFonts w:ascii="Symbol" w:hAnsi="Symbol" w:eastAsia="Symbol"/>
          <w:position w:val="1"/>
          <w:sz w:val="21"/>
        </w:rPr>
        <w:t></w:t>
      </w:r>
      <w:r>
        <w:rPr>
          <w:position w:val="1"/>
          <w:sz w:val="21"/>
        </w:rPr>
        <w:t>a</w:t>
      </w:r>
      <w:r>
        <w:rPr>
          <w:sz w:val="11"/>
        </w:rPr>
        <w:t>p</w:t>
      </w:r>
      <w:r>
        <w:rPr>
          <w:spacing w:val="-31"/>
          <w:sz w:val="11"/>
        </w:rPr>
        <w:t> </w:t>
      </w:r>
      <w:r>
        <w:rPr>
          <w:position w:val="1"/>
          <w:sz w:val="21"/>
        </w:rPr>
        <w:t>或</w:t>
      </w:r>
      <w:r>
        <w:rPr>
          <w:rFonts w:ascii="Symbol" w:hAnsi="Symbol" w:eastAsia="Symbol"/>
          <w:position w:val="1"/>
          <w:sz w:val="21"/>
        </w:rPr>
        <w:t></w:t>
      </w:r>
      <w:r>
        <w:rPr>
          <w:position w:val="1"/>
          <w:sz w:val="21"/>
        </w:rPr>
        <w:t>a</w:t>
      </w:r>
      <w:r>
        <w:rPr>
          <w:sz w:val="11"/>
        </w:rPr>
        <w:t>s</w:t>
      </w:r>
      <w:r>
        <w:rPr>
          <w:spacing w:val="-29"/>
          <w:sz w:val="11"/>
        </w:rPr>
        <w:t> </w:t>
      </w:r>
      <w:r>
        <w:rPr>
          <w:position w:val="1"/>
          <w:sz w:val="21"/>
        </w:rPr>
        <w:t>或</w:t>
      </w:r>
      <w:r>
        <w:rPr>
          <w:rFonts w:ascii="Symbol" w:hAnsi="Symbol" w:eastAsia="Symbol"/>
          <w:position w:val="1"/>
          <w:sz w:val="21"/>
        </w:rPr>
        <w:t></w:t>
      </w:r>
      <w:r>
        <w:rPr>
          <w:position w:val="1"/>
          <w:sz w:val="21"/>
        </w:rPr>
        <w:t>a</w:t>
      </w:r>
      <w:r>
        <w:rPr>
          <w:sz w:val="11"/>
        </w:rPr>
        <w:t>v</w:t>
      </w:r>
      <w:r>
        <w:rPr>
          <w:spacing w:val="-12"/>
          <w:position w:val="1"/>
          <w:sz w:val="21"/>
        </w:rPr>
        <w:t>,并填入表 </w:t>
      </w:r>
      <w:r>
        <w:rPr>
          <w:position w:val="1"/>
          <w:sz w:val="21"/>
        </w:rPr>
        <w:t>1</w:t>
      </w:r>
      <w:r>
        <w:rPr>
          <w:spacing w:val="-3"/>
          <w:position w:val="1"/>
          <w:sz w:val="21"/>
        </w:rPr>
        <w:t>“计权值”栏。</w:t>
      </w:r>
      <w:r>
        <w:rPr>
          <w:position w:val="1"/>
          <w:sz w:val="21"/>
        </w:rPr>
        <w:t> </w:t>
      </w:r>
    </w:p>
    <w:p>
      <w:pPr>
        <w:spacing w:after="0" w:line="446" w:lineRule="auto"/>
        <w:jc w:val="both"/>
        <w:rPr>
          <w:sz w:val="21"/>
        </w:rPr>
        <w:sectPr>
          <w:pgSz w:w="11910" w:h="16850"/>
          <w:pgMar w:header="0" w:footer="1239" w:top="1220" w:bottom="1420" w:left="1260" w:right="0"/>
        </w:sectPr>
      </w:pPr>
    </w:p>
    <w:p>
      <w:pPr>
        <w:pStyle w:val="ListParagraph"/>
        <w:numPr>
          <w:ilvl w:val="2"/>
          <w:numId w:val="977"/>
        </w:numPr>
        <w:tabs>
          <w:tab w:pos="1371" w:val="left" w:leader="none"/>
        </w:tabs>
        <w:spacing w:line="446" w:lineRule="auto" w:before="47" w:after="0"/>
        <w:ind w:left="418" w:right="1431" w:firstLine="422"/>
        <w:jc w:val="both"/>
        <w:rPr>
          <w:sz w:val="21"/>
        </w:rPr>
      </w:pPr>
      <w:r>
        <w:rPr/>
        <w:pict>
          <v:line style="position:absolute;mso-position-horizontal-relative:page;mso-position-vertical-relative:paragraph;z-index:-287268864" from="293.690002pt,70.229996pt" to="370.754002pt,70.229996pt" stroked="true" strokeweight=".72pt" strokecolor="#000000">
            <v:stroke dashstyle="solid"/>
            <w10:wrap type="none"/>
          </v:line>
        </w:pict>
      </w:r>
      <w:r>
        <w:rPr>
          <w:spacing w:val="-8"/>
          <w:sz w:val="21"/>
        </w:rPr>
        <w:t>使用加速度计、放大器、滤波器、均方根值检波器、指示器及磁带记录仪组成的测量</w:t>
      </w:r>
      <w:r>
        <w:rPr>
          <w:spacing w:val="-24"/>
          <w:sz w:val="21"/>
        </w:rPr>
        <w:t>装置，得到 </w:t>
      </w:r>
      <w:r>
        <w:rPr>
          <w:sz w:val="21"/>
        </w:rPr>
        <w:t>1/3</w:t>
      </w:r>
      <w:r>
        <w:rPr>
          <w:spacing w:val="-13"/>
          <w:sz w:val="21"/>
        </w:rPr>
        <w:t> 倍频带或倍频带各中心频带加速度均方根值时，将测得值填入表 </w:t>
      </w:r>
      <w:r>
        <w:rPr>
          <w:sz w:val="21"/>
        </w:rPr>
        <w:t>1</w:t>
      </w:r>
      <w:r>
        <w:rPr>
          <w:spacing w:val="-19"/>
          <w:sz w:val="21"/>
        </w:rPr>
        <w:t> 中的“实测值” </w:t>
      </w:r>
      <w:r>
        <w:rPr>
          <w:spacing w:val="-10"/>
          <w:sz w:val="21"/>
        </w:rPr>
        <w:t>栏，利用式</w:t>
      </w:r>
      <w:r>
        <w:rPr>
          <w:sz w:val="21"/>
        </w:rPr>
        <w:t>（1）</w:t>
      </w:r>
      <w:r>
        <w:rPr>
          <w:spacing w:val="-9"/>
          <w:sz w:val="21"/>
        </w:rPr>
        <w:t>进行计权处理，得 </w:t>
      </w:r>
      <w:r>
        <w:rPr>
          <w:spacing w:val="-3"/>
          <w:sz w:val="21"/>
        </w:rPr>
        <w:t>F</w:t>
      </w:r>
      <w:r>
        <w:rPr>
          <w:sz w:val="21"/>
        </w:rPr>
        <w:t>、</w:t>
      </w:r>
      <w:r>
        <w:rPr>
          <w:spacing w:val="-3"/>
          <w:sz w:val="21"/>
        </w:rPr>
        <w:t>S</w:t>
      </w:r>
      <w:r>
        <w:rPr>
          <w:sz w:val="21"/>
        </w:rPr>
        <w:t>、V</w:t>
      </w:r>
      <w:r>
        <w:rPr>
          <w:spacing w:val="-8"/>
          <w:sz w:val="21"/>
        </w:rPr>
        <w:t> 三个方向上的频率计权加速度值。 </w:t>
      </w:r>
    </w:p>
    <w:p>
      <w:pPr>
        <w:spacing w:line="99" w:lineRule="exact" w:before="0"/>
        <w:ind w:left="0" w:right="1141" w:firstLine="0"/>
        <w:jc w:val="center"/>
        <w:rPr>
          <w:rFonts w:ascii="Cambria Math" w:eastAsia="Cambria Math"/>
          <w:sz w:val="15"/>
        </w:rPr>
      </w:pPr>
      <w:r>
        <w:rPr>
          <w:rFonts w:ascii="Cambria Math" w:eastAsia="Cambria Math"/>
          <w:w w:val="115"/>
          <w:sz w:val="15"/>
        </w:rPr>
        <w:t>𝑛</w:t>
      </w:r>
    </w:p>
    <w:p>
      <w:pPr>
        <w:spacing w:before="64"/>
        <w:ind w:left="3473" w:right="0" w:firstLine="0"/>
        <w:jc w:val="left"/>
        <w:rPr>
          <w:sz w:val="21"/>
        </w:rPr>
      </w:pPr>
      <w:r>
        <w:rPr>
          <w:rFonts w:ascii="Symbol" w:hAnsi="Symbol" w:eastAsia="Symbol"/>
          <w:w w:val="110"/>
          <w:position w:val="4"/>
          <w:sz w:val="21"/>
        </w:rPr>
        <w:t></w:t>
      </w:r>
      <w:r>
        <w:rPr>
          <w:rFonts w:ascii="Cambria Math" w:hAnsi="Cambria Math" w:eastAsia="Cambria Math"/>
          <w:w w:val="110"/>
          <w:position w:val="4"/>
          <w:sz w:val="21"/>
        </w:rPr>
        <w:t>𝑎</w:t>
      </w:r>
      <w:r>
        <w:rPr>
          <w:rFonts w:ascii="Cambria Math" w:hAnsi="Cambria Math" w:eastAsia="Cambria Math"/>
          <w:w w:val="110"/>
          <w:sz w:val="15"/>
        </w:rPr>
        <w:t>(𝑃,𝑆,𝑉) </w:t>
      </w:r>
      <w:r>
        <w:rPr>
          <w:rFonts w:ascii="Cambria Math" w:hAnsi="Cambria Math" w:eastAsia="Cambria Math"/>
          <w:w w:val="110"/>
          <w:position w:val="4"/>
          <w:sz w:val="21"/>
        </w:rPr>
        <w:t>= </w:t>
      </w:r>
      <w:r>
        <w:rPr>
          <w:rFonts w:ascii="Cambria Math" w:hAnsi="Cambria Math" w:eastAsia="Cambria Math"/>
          <w:w w:val="110"/>
          <w:position w:val="3"/>
          <w:sz w:val="21"/>
        </w:rPr>
        <w:t>√</w:t>
      </w:r>
      <w:r>
        <w:rPr>
          <w:rFonts w:ascii="Cambria Math" w:hAnsi="Cambria Math" w:eastAsia="Cambria Math"/>
          <w:w w:val="110"/>
          <w:position w:val="4"/>
          <w:sz w:val="21"/>
        </w:rPr>
        <w:t>∑[𝑘</w:t>
      </w:r>
      <w:r>
        <w:rPr>
          <w:rFonts w:ascii="Cambria Math" w:hAnsi="Cambria Math" w:eastAsia="Cambria Math"/>
          <w:w w:val="110"/>
          <w:sz w:val="15"/>
        </w:rPr>
        <w:t>𝑗 </w:t>
      </w:r>
      <w:r>
        <w:rPr>
          <w:rFonts w:ascii="Cambria Math" w:hAnsi="Cambria Math" w:eastAsia="Cambria Math"/>
          <w:w w:val="110"/>
          <w:position w:val="4"/>
          <w:sz w:val="21"/>
        </w:rPr>
        <w:t>· 𝑎</w:t>
      </w:r>
      <w:r>
        <w:rPr>
          <w:rFonts w:ascii="Cambria Math" w:hAnsi="Cambria Math" w:eastAsia="Cambria Math"/>
          <w:w w:val="110"/>
          <w:position w:val="1"/>
          <w:sz w:val="15"/>
        </w:rPr>
        <w:t>(</w:t>
      </w:r>
      <w:r>
        <w:rPr>
          <w:rFonts w:ascii="Cambria Math" w:hAnsi="Cambria Math" w:eastAsia="Cambria Math"/>
          <w:w w:val="110"/>
          <w:sz w:val="15"/>
        </w:rPr>
        <w:t>𝑃,𝑆,𝑉</w:t>
      </w:r>
      <w:r>
        <w:rPr>
          <w:rFonts w:ascii="Cambria Math" w:hAnsi="Cambria Math" w:eastAsia="Cambria Math"/>
          <w:w w:val="110"/>
          <w:position w:val="1"/>
          <w:sz w:val="15"/>
        </w:rPr>
        <w:t>)</w:t>
      </w:r>
      <w:r>
        <w:rPr>
          <w:rFonts w:ascii="Cambria Math" w:hAnsi="Cambria Math" w:eastAsia="Cambria Math"/>
          <w:w w:val="110"/>
          <w:sz w:val="15"/>
        </w:rPr>
        <w:t>𝑗</w:t>
      </w:r>
      <w:r>
        <w:rPr>
          <w:rFonts w:ascii="Cambria Math" w:hAnsi="Cambria Math" w:eastAsia="Cambria Math"/>
          <w:w w:val="110"/>
          <w:position w:val="4"/>
          <w:sz w:val="21"/>
        </w:rPr>
        <w:t>]</w:t>
      </w:r>
      <w:r>
        <w:rPr>
          <w:i/>
          <w:w w:val="110"/>
          <w:position w:val="4"/>
          <w:sz w:val="22"/>
        </w:rPr>
        <w:t>²</w:t>
      </w:r>
      <w:r>
        <w:rPr>
          <w:w w:val="100"/>
          <w:position w:val="4"/>
          <w:sz w:val="21"/>
        </w:rPr>
        <w:t> </w:t>
      </w:r>
    </w:p>
    <w:p>
      <w:pPr>
        <w:spacing w:before="50"/>
        <w:ind w:left="0" w:right="1137" w:firstLine="0"/>
        <w:jc w:val="center"/>
        <w:rPr>
          <w:rFonts w:ascii="Cambria Math" w:eastAsia="Cambria Math"/>
          <w:sz w:val="15"/>
        </w:rPr>
      </w:pPr>
      <w:r>
        <w:rPr>
          <w:rFonts w:ascii="Cambria Math" w:eastAsia="Cambria Math"/>
          <w:w w:val="110"/>
          <w:sz w:val="15"/>
        </w:rPr>
        <w:t>𝑗=1</w:t>
      </w:r>
    </w:p>
    <w:p>
      <w:pPr>
        <w:pStyle w:val="BodyText"/>
        <w:spacing w:before="6"/>
        <w:rPr>
          <w:rFonts w:ascii="Cambria Math"/>
          <w:sz w:val="16"/>
        </w:rPr>
      </w:pPr>
    </w:p>
    <w:p>
      <w:pPr>
        <w:pStyle w:val="BodyText"/>
        <w:spacing w:before="101"/>
        <w:ind w:left="838"/>
      </w:pPr>
      <w:r>
        <w:rPr>
          <w:position w:val="1"/>
        </w:rPr>
        <w:t>式中：</w:t>
      </w:r>
      <w:r>
        <w:rPr>
          <w:rFonts w:ascii="Symbol" w:hAnsi="Symbol" w:eastAsia="Symbol"/>
          <w:position w:val="1"/>
        </w:rPr>
        <w:t></w:t>
      </w:r>
      <w:r>
        <w:rPr>
          <w:position w:val="1"/>
        </w:rPr>
        <w:t>a</w:t>
      </w:r>
      <w:r>
        <w:rPr>
          <w:sz w:val="11"/>
        </w:rPr>
        <w:t>（P,S,V）</w:t>
      </w:r>
      <w:r>
        <w:rPr>
          <w:position w:val="1"/>
        </w:rPr>
        <w:t>——F 向或S 向或V 向的频率计权加速度，m/s²； </w:t>
      </w:r>
    </w:p>
    <w:p>
      <w:pPr>
        <w:pStyle w:val="BodyText"/>
        <w:spacing w:before="233"/>
        <w:ind w:left="838"/>
      </w:pPr>
      <w:r>
        <w:rPr>
          <w:position w:val="1"/>
        </w:rPr>
        <w:t>a</w:t>
      </w:r>
      <w:r>
        <w:rPr>
          <w:sz w:val="11"/>
        </w:rPr>
        <w:t>（P,S,V）j</w:t>
      </w:r>
      <w:r>
        <w:rPr>
          <w:position w:val="1"/>
        </w:rPr>
        <w:t>——F 向或 S 向或V 向的 1/3 倍频带或倍频带中第 j 频带实测的加速度均方根值，m/s</w:t>
      </w:r>
    </w:p>
    <w:p>
      <w:pPr>
        <w:pStyle w:val="BodyText"/>
        <w:rPr>
          <w:sz w:val="18"/>
        </w:rPr>
      </w:pPr>
    </w:p>
    <w:p>
      <w:pPr>
        <w:pStyle w:val="BodyText"/>
        <w:ind w:left="418"/>
      </w:pPr>
      <w:r>
        <w:rPr/>
        <w:t>²； </w:t>
      </w:r>
    </w:p>
    <w:p>
      <w:pPr>
        <w:pStyle w:val="BodyText"/>
        <w:spacing w:before="12"/>
        <w:rPr>
          <w:sz w:val="17"/>
        </w:rPr>
      </w:pPr>
    </w:p>
    <w:p>
      <w:pPr>
        <w:pStyle w:val="BodyText"/>
        <w:spacing w:line="448" w:lineRule="auto"/>
        <w:ind w:left="838" w:right="3450"/>
      </w:pPr>
      <w:r>
        <w:rPr>
          <w:w w:val="100"/>
          <w:position w:val="1"/>
        </w:rPr>
        <w:t>k</w:t>
      </w:r>
      <w:r>
        <w:rPr>
          <w:w w:val="100"/>
          <w:sz w:val="11"/>
        </w:rPr>
        <w:t>j</w:t>
      </w:r>
      <w:r>
        <w:rPr>
          <w:spacing w:val="-2"/>
          <w:w w:val="100"/>
          <w:position w:val="1"/>
        </w:rPr>
        <w:t>——</w:t>
      </w:r>
      <w:r>
        <w:rPr>
          <w:w w:val="100"/>
          <w:position w:val="1"/>
        </w:rPr>
        <w:t>1/3</w:t>
      </w:r>
      <w:r>
        <w:rPr>
          <w:spacing w:val="-55"/>
          <w:position w:val="1"/>
        </w:rPr>
        <w:t> </w:t>
      </w:r>
      <w:r>
        <w:rPr>
          <w:spacing w:val="-3"/>
          <w:w w:val="100"/>
          <w:position w:val="1"/>
        </w:rPr>
        <w:t>倍频带或倍频带中第</w:t>
      </w:r>
      <w:r>
        <w:rPr>
          <w:spacing w:val="-3"/>
          <w:position w:val="1"/>
        </w:rPr>
        <w:t> </w:t>
      </w:r>
      <w:r>
        <w:rPr>
          <w:w w:val="100"/>
          <w:position w:val="1"/>
        </w:rPr>
        <w:t>j</w:t>
      </w:r>
      <w:r>
        <w:rPr>
          <w:spacing w:val="-55"/>
          <w:position w:val="1"/>
        </w:rPr>
        <w:t> </w:t>
      </w:r>
      <w:r>
        <w:rPr>
          <w:spacing w:val="-3"/>
          <w:w w:val="100"/>
          <w:position w:val="1"/>
        </w:rPr>
        <w:t>频带相应的计权因子</w:t>
      </w:r>
      <w:r>
        <w:rPr>
          <w:w w:val="100"/>
          <w:position w:val="1"/>
        </w:rPr>
        <w:t>（</w:t>
      </w:r>
      <w:r>
        <w:rPr>
          <w:spacing w:val="-2"/>
          <w:w w:val="100"/>
          <w:position w:val="1"/>
        </w:rPr>
        <w:t>见附录</w:t>
      </w:r>
      <w:r>
        <w:rPr>
          <w:spacing w:val="-53"/>
          <w:position w:val="1"/>
        </w:rPr>
        <w:t> </w:t>
      </w:r>
      <w:r>
        <w:rPr>
          <w:w w:val="100"/>
          <w:position w:val="1"/>
        </w:rPr>
        <w:t>A</w:t>
      </w:r>
      <w:r>
        <w:rPr>
          <w:spacing w:val="-108"/>
          <w:w w:val="100"/>
          <w:position w:val="1"/>
        </w:rPr>
        <w:t>）</w:t>
      </w:r>
      <w:r>
        <w:rPr>
          <w:spacing w:val="-3"/>
          <w:w w:val="100"/>
          <w:position w:val="1"/>
        </w:rPr>
        <w:t>；</w:t>
      </w:r>
      <w:r>
        <w:rPr>
          <w:w w:val="100"/>
          <w:position w:val="1"/>
        </w:rPr>
        <w:t> </w:t>
      </w:r>
      <w:r>
        <w:rPr/>
        <w:t>n—</w:t>
      </w:r>
      <w:r>
        <w:rPr>
          <w:spacing w:val="-2"/>
        </w:rPr>
        <w:t>—所用频带数。 </w:t>
      </w:r>
    </w:p>
    <w:p>
      <w:pPr>
        <w:pStyle w:val="ListParagraph"/>
        <w:numPr>
          <w:ilvl w:val="2"/>
          <w:numId w:val="977"/>
        </w:numPr>
        <w:tabs>
          <w:tab w:pos="1370" w:val="left" w:leader="none"/>
        </w:tabs>
        <w:spacing w:line="264" w:lineRule="exact" w:before="0" w:after="0"/>
        <w:ind w:left="1369" w:right="0" w:hanging="530"/>
        <w:jc w:val="left"/>
        <w:rPr>
          <w:sz w:val="21"/>
        </w:rPr>
      </w:pPr>
      <w:r>
        <w:rPr>
          <w:spacing w:val="-3"/>
          <w:sz w:val="21"/>
        </w:rPr>
        <w:t>计数加速度总值</w:t>
      </w:r>
      <w:r>
        <w:rPr>
          <w:sz w:val="21"/>
        </w:rPr>
        <w:t> </w:t>
      </w:r>
    </w:p>
    <w:p>
      <w:pPr>
        <w:pStyle w:val="BodyText"/>
        <w:spacing w:before="11"/>
        <w:rPr>
          <w:sz w:val="17"/>
        </w:rPr>
      </w:pPr>
    </w:p>
    <w:p>
      <w:pPr>
        <w:pStyle w:val="BodyText"/>
        <w:ind w:left="838"/>
        <w:rPr>
          <w:rFonts w:ascii="Cambria Math" w:hAnsi="Cambria Math" w:eastAsia="Cambria Math"/>
        </w:rPr>
      </w:pPr>
      <w:r>
        <w:rPr/>
        <w:pict>
          <v:line style="position:absolute;mso-position-horizontal-relative:page;mso-position-vertical-relative:paragraph;z-index:-251246592;mso-wrap-distance-left:0;mso-wrap-distance-right:0" from="91.823997pt,20.176401pt" to="166.223997pt,20.176401pt" stroked="true" strokeweight=".72pt" strokecolor="#000000">
            <v:stroke dashstyle="solid"/>
            <w10:wrap type="topAndBottom"/>
          </v:line>
        </w:pict>
      </w:r>
      <w:r>
        <w:rPr>
          <w:position w:val="1"/>
        </w:rPr>
        <w:t>将 F、S、V 三轴向的频率计权加速度值</w:t>
      </w:r>
      <w:r>
        <w:rPr>
          <w:rFonts w:ascii="Symbol" w:hAnsi="Symbol" w:eastAsia="Symbol"/>
          <w:position w:val="1"/>
        </w:rPr>
        <w:t></w:t>
      </w:r>
      <w:r>
        <w:rPr>
          <w:position w:val="1"/>
        </w:rPr>
        <w:t>a</w:t>
      </w:r>
      <w:r>
        <w:rPr>
          <w:sz w:val="11"/>
        </w:rPr>
        <w:t>P</w:t>
      </w:r>
      <w:r>
        <w:rPr>
          <w:position w:val="1"/>
        </w:rPr>
        <w:t>、</w:t>
      </w:r>
      <w:r>
        <w:rPr>
          <w:rFonts w:ascii="Symbol" w:hAnsi="Symbol" w:eastAsia="Symbol"/>
          <w:position w:val="1"/>
        </w:rPr>
        <w:t></w:t>
      </w:r>
      <w:r>
        <w:rPr>
          <w:position w:val="1"/>
        </w:rPr>
        <w:t>a</w:t>
      </w:r>
      <w:r>
        <w:rPr>
          <w:sz w:val="11"/>
        </w:rPr>
        <w:t>S</w:t>
      </w:r>
      <w:r>
        <w:rPr>
          <w:position w:val="1"/>
        </w:rPr>
        <w:t>、</w:t>
      </w:r>
      <w:r>
        <w:rPr>
          <w:rFonts w:ascii="Symbol" w:hAnsi="Symbol" w:eastAsia="Symbol"/>
          <w:position w:val="1"/>
        </w:rPr>
        <w:t></w:t>
      </w:r>
      <w:r>
        <w:rPr>
          <w:position w:val="1"/>
        </w:rPr>
        <w:t>a</w:t>
      </w:r>
      <w:r>
        <w:rPr>
          <w:sz w:val="11"/>
        </w:rPr>
        <w:t>V </w:t>
      </w:r>
      <w:r>
        <w:rPr>
          <w:position w:val="1"/>
        </w:rPr>
        <w:t>处理成一个计权加速度总值；</w:t>
      </w:r>
      <w:r>
        <w:rPr>
          <w:rFonts w:ascii="Cambria Math" w:hAnsi="Cambria Math" w:eastAsia="Cambria Math"/>
          <w:position w:val="1"/>
        </w:rPr>
        <w:t>a =</w:t>
      </w:r>
    </w:p>
    <w:p>
      <w:pPr>
        <w:pStyle w:val="BodyText"/>
        <w:spacing w:line="149" w:lineRule="exact" w:before="61"/>
        <w:ind w:left="418"/>
      </w:pPr>
      <w:r>
        <w:rPr>
          <w:rFonts w:ascii="Cambria Math" w:hAnsi="Cambria Math" w:eastAsia="Cambria Math"/>
          <w:position w:val="1"/>
        </w:rPr>
        <w:t>√</w:t>
      </w:r>
      <w:r>
        <w:rPr>
          <w:rFonts w:ascii="Symbol" w:hAnsi="Symbol" w:eastAsia="Symbol"/>
        </w:rPr>
        <w:t></w:t>
      </w:r>
      <w:r>
        <w:rPr>
          <w:rFonts w:ascii="Cambria Math" w:hAnsi="Cambria Math" w:eastAsia="Cambria Math"/>
        </w:rPr>
        <w:t>𝑎</w:t>
      </w:r>
      <w:r>
        <w:rPr>
          <w:rFonts w:ascii="Cambria Math" w:hAnsi="Cambria Math" w:eastAsia="Cambria Math"/>
          <w:vertAlign w:val="superscript"/>
        </w:rPr>
        <w:t>2</w:t>
      </w:r>
      <w:r>
        <w:rPr>
          <w:rFonts w:ascii="Cambria Math" w:hAnsi="Cambria Math" w:eastAsia="Cambria Math"/>
          <w:vertAlign w:val="baseline"/>
        </w:rPr>
        <w:t> + </w:t>
      </w:r>
      <w:r>
        <w:rPr>
          <w:rFonts w:ascii="Symbol" w:hAnsi="Symbol" w:eastAsia="Symbol"/>
          <w:vertAlign w:val="baseline"/>
        </w:rPr>
        <w:t></w:t>
      </w:r>
      <w:r>
        <w:rPr>
          <w:rFonts w:ascii="Cambria Math" w:hAnsi="Cambria Math" w:eastAsia="Cambria Math"/>
          <w:vertAlign w:val="baseline"/>
        </w:rPr>
        <w:t>𝑎</w:t>
      </w:r>
      <w:r>
        <w:rPr>
          <w:rFonts w:ascii="Cambria Math" w:hAnsi="Cambria Math" w:eastAsia="Cambria Math"/>
          <w:vertAlign w:val="superscript"/>
        </w:rPr>
        <w:t>2</w:t>
      </w:r>
      <w:r>
        <w:rPr>
          <w:rFonts w:ascii="Cambria Math" w:hAnsi="Cambria Math" w:eastAsia="Cambria Math"/>
          <w:vertAlign w:val="baseline"/>
        </w:rPr>
        <w:t> + </w:t>
      </w:r>
      <w:r>
        <w:rPr>
          <w:rFonts w:ascii="Symbol" w:hAnsi="Symbol" w:eastAsia="Symbol"/>
          <w:vertAlign w:val="baseline"/>
        </w:rPr>
        <w:t></w:t>
      </w:r>
      <w:r>
        <w:rPr>
          <w:rFonts w:ascii="Cambria Math" w:hAnsi="Cambria Math" w:eastAsia="Cambria Math"/>
          <w:vertAlign w:val="baseline"/>
        </w:rPr>
        <w:t>𝑎</w:t>
      </w:r>
      <w:r>
        <w:rPr>
          <w:rFonts w:ascii="Cambria Math" w:hAnsi="Cambria Math" w:eastAsia="Cambria Math"/>
          <w:vertAlign w:val="superscript"/>
        </w:rPr>
        <w:t>2</w:t>
      </w:r>
      <w:r>
        <w:rPr>
          <w:rFonts w:ascii="Cambria Math" w:hAnsi="Cambria Math" w:eastAsia="Cambria Math"/>
          <w:vertAlign w:val="baseline"/>
        </w:rPr>
        <w:t> </w:t>
      </w:r>
      <w:r>
        <w:rPr>
          <w:vertAlign w:val="baseline"/>
        </w:rPr>
        <w:t>……………………（2） </w:t>
      </w:r>
    </w:p>
    <w:p>
      <w:pPr>
        <w:tabs>
          <w:tab w:pos="1375" w:val="left" w:leader="none"/>
          <w:tab w:pos="1953" w:val="left" w:leader="none"/>
        </w:tabs>
        <w:spacing w:line="152" w:lineRule="exact" w:before="0"/>
        <w:ind w:left="799" w:right="0" w:firstLine="0"/>
        <w:jc w:val="left"/>
        <w:rPr>
          <w:rFonts w:ascii="Cambria Math" w:eastAsia="Cambria Math"/>
          <w:sz w:val="15"/>
        </w:rPr>
      </w:pPr>
      <w:r>
        <w:rPr>
          <w:rFonts w:ascii="Cambria Math" w:eastAsia="Cambria Math"/>
          <w:w w:val="105"/>
          <w:sz w:val="15"/>
        </w:rPr>
        <w:t>𝑃</w:t>
        <w:tab/>
        <w:t>𝑆</w:t>
        <w:tab/>
        <w:t>𝑉</w:t>
      </w:r>
    </w:p>
    <w:p>
      <w:pPr>
        <w:pStyle w:val="BodyText"/>
        <w:rPr>
          <w:rFonts w:ascii="Cambria Math"/>
          <w:sz w:val="11"/>
        </w:rPr>
      </w:pPr>
    </w:p>
    <w:p>
      <w:pPr>
        <w:spacing w:line="446" w:lineRule="auto" w:before="72"/>
        <w:ind w:left="840" w:right="6337" w:hanging="3"/>
        <w:jc w:val="left"/>
        <w:rPr>
          <w:sz w:val="21"/>
        </w:rPr>
      </w:pPr>
      <w:r>
        <w:rPr>
          <w:sz w:val="21"/>
        </w:rPr>
        <w:t>填入表 1 中“计权加速度总值”栏。</w:t>
      </w:r>
      <w:r>
        <w:rPr>
          <w:b/>
          <w:sz w:val="21"/>
        </w:rPr>
        <w:t>5.2.4 </w:t>
      </w:r>
      <w:r>
        <w:rPr>
          <w:sz w:val="21"/>
        </w:rPr>
        <w:t>测量次数 </w:t>
      </w:r>
    </w:p>
    <w:p>
      <w:pPr>
        <w:pStyle w:val="BodyText"/>
        <w:spacing w:line="446" w:lineRule="auto"/>
        <w:ind w:left="418" w:right="1433" w:firstLine="419"/>
      </w:pPr>
      <w:r>
        <w:rPr>
          <w:spacing w:val="-22"/>
        </w:rPr>
        <w:t>按 </w:t>
      </w:r>
      <w:r>
        <w:rPr/>
        <w:t>4.4.3</w:t>
      </w:r>
      <w:r>
        <w:rPr>
          <w:spacing w:val="-14"/>
        </w:rPr>
        <w:t> 的规定，间隔重复进行测量 </w:t>
      </w:r>
      <w:r>
        <w:rPr/>
        <w:t>5</w:t>
      </w:r>
      <w:r>
        <w:rPr>
          <w:spacing w:val="-12"/>
        </w:rPr>
        <w:t> 次，得到五个计权加速度总值：</w:t>
      </w:r>
      <w:r>
        <w:rPr>
          <w:spacing w:val="-13"/>
        </w:rPr>
        <w:t>a1</w:t>
      </w:r>
      <w:r>
        <w:rPr>
          <w:spacing w:val="-33"/>
        </w:rPr>
        <w:t>、</w:t>
      </w:r>
      <w:r>
        <w:rPr>
          <w:spacing w:val="-3"/>
        </w:rPr>
        <w:t>a2</w:t>
      </w:r>
      <w:r>
        <w:rPr>
          <w:spacing w:val="-34"/>
        </w:rPr>
        <w:t>、</w:t>
      </w:r>
      <w:r>
        <w:rPr/>
        <w:t>a3</w:t>
      </w:r>
      <w:r>
        <w:rPr>
          <w:spacing w:val="-34"/>
        </w:rPr>
        <w:t>、</w:t>
      </w:r>
      <w:r>
        <w:rPr>
          <w:spacing w:val="-3"/>
        </w:rPr>
        <w:t>a4</w:t>
      </w:r>
      <w:r>
        <w:rPr>
          <w:spacing w:val="-34"/>
        </w:rPr>
        <w:t>、</w:t>
      </w:r>
      <w:r>
        <w:rPr/>
        <w:t>a5， </w:t>
      </w:r>
      <w:r>
        <w:rPr>
          <w:spacing w:val="-3"/>
        </w:rPr>
        <w:t>间隔期间应使发动机低速运转。</w:t>
      </w:r>
      <w:r>
        <w:rPr/>
        <w:t> </w:t>
      </w:r>
    </w:p>
    <w:p>
      <w:pPr>
        <w:pStyle w:val="BodyText"/>
        <w:spacing w:line="267" w:lineRule="exact"/>
        <w:ind w:left="838"/>
      </w:pPr>
      <w:r>
        <w:rPr/>
        <w:pict>
          <v:line style="position:absolute;mso-position-horizontal-relative:page;mso-position-vertical-relative:paragraph;z-index:-251245568;mso-wrap-distance-left:0;mso-wrap-distance-right:0" from="195.410004pt,19.974384pt" to="341.710004pt,19.974384pt" stroked="true" strokeweight=".72pt" strokecolor="#000000">
            <v:stroke dashstyle="solid"/>
            <w10:wrap type="topAndBottom"/>
          </v:line>
        </w:pict>
      </w:r>
      <w:r>
        <w:rPr/>
        <w:t>将五个计权加速度总值进一步处理成每一次测量时前、后把手上计权加速度总值的均方根值； </w:t>
      </w:r>
    </w:p>
    <w:p>
      <w:pPr>
        <w:pStyle w:val="BodyText"/>
        <w:tabs>
          <w:tab w:pos="7360" w:val="left" w:leader="dot"/>
        </w:tabs>
        <w:spacing w:line="146" w:lineRule="exact" w:before="61"/>
        <w:ind w:left="1740"/>
      </w:pPr>
      <w:r>
        <w:rPr>
          <w:rFonts w:ascii="Symbol" w:hAnsi="Symbol" w:eastAsia="Symbol"/>
        </w:rPr>
        <w:t></w:t>
      </w:r>
      <w:r>
        <w:rPr>
          <w:rFonts w:ascii="Cambria Math" w:hAnsi="Cambria Math" w:eastAsia="Cambria Math"/>
        </w:rPr>
        <w:t>a</w:t>
      </w:r>
      <w:r>
        <w:rPr>
          <w:rFonts w:ascii="Cambria Math" w:hAnsi="Cambria Math" w:eastAsia="Cambria Math"/>
          <w:position w:val="-3"/>
          <w:sz w:val="15"/>
        </w:rPr>
        <w:t>h,w  </w:t>
      </w:r>
      <w:r>
        <w:rPr>
          <w:rFonts w:ascii="Cambria Math" w:hAnsi="Cambria Math" w:eastAsia="Cambria Math"/>
        </w:rPr>
        <w:t>= </w:t>
      </w:r>
      <w:r>
        <w:rPr>
          <w:rFonts w:ascii="Cambria Math" w:hAnsi="Cambria Math" w:eastAsia="Cambria Math"/>
          <w:position w:val="1"/>
        </w:rPr>
        <w:t>√</w:t>
      </w:r>
      <w:r>
        <w:rPr>
          <w:rFonts w:ascii="Cambria Math" w:hAnsi="Cambria Math" w:eastAsia="Cambria Math"/>
        </w:rPr>
        <w:t>(</w:t>
      </w:r>
      <w:r>
        <w:rPr>
          <w:rFonts w:ascii="Symbol" w:hAnsi="Symbol" w:eastAsia="Symbol"/>
        </w:rPr>
        <w:t></w:t>
      </w:r>
      <w:r>
        <w:rPr>
          <w:rFonts w:ascii="Cambria Math" w:hAnsi="Cambria Math" w:eastAsia="Cambria Math"/>
        </w:rPr>
        <w:t>a</w:t>
      </w:r>
      <w:r>
        <w:rPr>
          <w:rFonts w:ascii="Cambria Math" w:hAnsi="Cambria Math" w:eastAsia="Cambria Math"/>
          <w:vertAlign w:val="superscript"/>
        </w:rPr>
        <w:t>2</w:t>
      </w:r>
      <w:r>
        <w:rPr>
          <w:rFonts w:ascii="Cambria Math" w:hAnsi="Cambria Math" w:eastAsia="Cambria Math"/>
          <w:vertAlign w:val="baseline"/>
        </w:rPr>
        <w:t> + </w:t>
      </w:r>
      <w:r>
        <w:rPr>
          <w:rFonts w:ascii="Symbol" w:hAnsi="Symbol" w:eastAsia="Symbol"/>
          <w:vertAlign w:val="baseline"/>
        </w:rPr>
        <w:t></w:t>
      </w:r>
      <w:r>
        <w:rPr>
          <w:rFonts w:ascii="Cambria Math" w:hAnsi="Cambria Math" w:eastAsia="Cambria Math"/>
          <w:vertAlign w:val="baseline"/>
        </w:rPr>
        <w:t>a</w:t>
      </w:r>
      <w:r>
        <w:rPr>
          <w:rFonts w:ascii="Cambria Math" w:hAnsi="Cambria Math" w:eastAsia="Cambria Math"/>
          <w:vertAlign w:val="superscript"/>
        </w:rPr>
        <w:t>2</w:t>
      </w:r>
      <w:r>
        <w:rPr>
          <w:rFonts w:ascii="Cambria Math" w:hAnsi="Cambria Math" w:eastAsia="Cambria Math"/>
          <w:vertAlign w:val="baseline"/>
        </w:rPr>
        <w:t> </w:t>
      </w:r>
      <w:r>
        <w:rPr>
          <w:rFonts w:ascii="Cambria Math" w:hAnsi="Cambria Math" w:eastAsia="Cambria Math"/>
          <w:spacing w:val="31"/>
          <w:vertAlign w:val="baseline"/>
        </w:rPr>
        <w:t> </w:t>
      </w:r>
      <w:r>
        <w:rPr>
          <w:rFonts w:ascii="Cambria Math" w:hAnsi="Cambria Math" w:eastAsia="Cambria Math"/>
          <w:vertAlign w:val="baseline"/>
        </w:rPr>
        <w:t>+ </w:t>
      </w:r>
      <w:r>
        <w:rPr>
          <w:rFonts w:ascii="Symbol" w:hAnsi="Symbol" w:eastAsia="Symbol"/>
          <w:vertAlign w:val="baseline"/>
        </w:rPr>
        <w:t></w:t>
      </w:r>
      <w:r>
        <w:rPr>
          <w:rFonts w:ascii="Cambria Math" w:hAnsi="Cambria Math" w:eastAsia="Cambria Math"/>
          <w:vertAlign w:val="baseline"/>
        </w:rPr>
        <w:t>a</w:t>
      </w:r>
      <w:r>
        <w:rPr>
          <w:rFonts w:ascii="Cambria Math" w:hAnsi="Cambria Math" w:eastAsia="Cambria Math"/>
          <w:vertAlign w:val="superscript"/>
        </w:rPr>
        <w:t>2</w:t>
      </w:r>
      <w:r>
        <w:rPr>
          <w:rFonts w:ascii="Cambria Math" w:hAnsi="Cambria Math" w:eastAsia="Cambria Math"/>
          <w:vertAlign w:val="baseline"/>
        </w:rPr>
        <w:t> + </w:t>
      </w:r>
      <w:r>
        <w:rPr>
          <w:rFonts w:ascii="Symbol" w:hAnsi="Symbol" w:eastAsia="Symbol"/>
          <w:vertAlign w:val="baseline"/>
        </w:rPr>
        <w:t></w:t>
      </w:r>
      <w:r>
        <w:rPr>
          <w:rFonts w:ascii="Cambria Math" w:hAnsi="Cambria Math" w:eastAsia="Cambria Math"/>
          <w:vertAlign w:val="baseline"/>
        </w:rPr>
        <w:t>a</w:t>
      </w:r>
      <w:r>
        <w:rPr>
          <w:rFonts w:ascii="Cambria Math" w:hAnsi="Cambria Math" w:eastAsia="Cambria Math"/>
          <w:vertAlign w:val="superscript"/>
        </w:rPr>
        <w:t>2</w:t>
      </w:r>
      <w:r>
        <w:rPr>
          <w:rFonts w:ascii="Cambria Math" w:hAnsi="Cambria Math" w:eastAsia="Cambria Math"/>
          <w:vertAlign w:val="baseline"/>
        </w:rPr>
        <w:t> +</w:t>
      </w:r>
      <w:r>
        <w:rPr>
          <w:rFonts w:ascii="Cambria Math" w:hAnsi="Cambria Math" w:eastAsia="Cambria Math"/>
          <w:spacing w:val="2"/>
          <w:vertAlign w:val="baseline"/>
        </w:rPr>
        <w:t> </w:t>
      </w:r>
      <w:r>
        <w:rPr>
          <w:rFonts w:ascii="Symbol" w:hAnsi="Symbol" w:eastAsia="Symbol"/>
          <w:vertAlign w:val="baseline"/>
        </w:rPr>
        <w:t></w:t>
      </w:r>
      <w:r>
        <w:rPr>
          <w:rFonts w:ascii="Cambria Math" w:hAnsi="Cambria Math" w:eastAsia="Cambria Math"/>
          <w:vertAlign w:val="baseline"/>
        </w:rPr>
        <w:t>a</w:t>
      </w:r>
      <w:r>
        <w:rPr>
          <w:rFonts w:ascii="Cambria Math" w:hAnsi="Cambria Math" w:eastAsia="Cambria Math"/>
          <w:vertAlign w:val="superscript"/>
        </w:rPr>
        <w:t>2</w:t>
      </w:r>
      <w:r>
        <w:rPr>
          <w:rFonts w:ascii="Cambria Math" w:hAnsi="Cambria Math" w:eastAsia="Cambria Math"/>
          <w:vertAlign w:val="baseline"/>
        </w:rPr>
        <w:t>)/5</w:t>
        <w:tab/>
      </w:r>
      <w:r>
        <w:rPr>
          <w:vertAlign w:val="baseline"/>
        </w:rPr>
        <w:t>（3） </w:t>
      </w:r>
    </w:p>
    <w:p>
      <w:pPr>
        <w:tabs>
          <w:tab w:pos="3500" w:val="left" w:leader="none"/>
          <w:tab w:pos="4059" w:val="left" w:leader="none"/>
          <w:tab w:pos="4616" w:val="left" w:leader="none"/>
          <w:tab w:pos="5173" w:val="left" w:leader="none"/>
        </w:tabs>
        <w:spacing w:line="154" w:lineRule="exact" w:before="0"/>
        <w:ind w:left="2943" w:right="0" w:firstLine="0"/>
        <w:jc w:val="left"/>
        <w:rPr>
          <w:rFonts w:ascii="Cambria Math"/>
          <w:sz w:val="15"/>
        </w:rPr>
      </w:pPr>
      <w:r>
        <w:rPr>
          <w:rFonts w:ascii="Cambria Math"/>
          <w:w w:val="105"/>
          <w:sz w:val="15"/>
        </w:rPr>
        <w:t>1</w:t>
        <w:tab/>
        <w:t>2</w:t>
        <w:tab/>
        <w:t>3</w:t>
        <w:tab/>
        <w:t>4</w:t>
        <w:tab/>
        <w:t>5</w:t>
      </w:r>
    </w:p>
    <w:p>
      <w:pPr>
        <w:pStyle w:val="BodyText"/>
        <w:rPr>
          <w:rFonts w:ascii="Cambria Math"/>
          <w:sz w:val="11"/>
        </w:rPr>
      </w:pPr>
    </w:p>
    <w:p>
      <w:pPr>
        <w:pStyle w:val="BodyText"/>
        <w:spacing w:before="72"/>
        <w:ind w:left="838"/>
      </w:pPr>
      <w:r>
        <w:rPr/>
        <w:t>记录于表 2，以其中的最大值作为风力灭火机手传振动的评定值。 </w:t>
      </w:r>
    </w:p>
    <w:p>
      <w:pPr>
        <w:pStyle w:val="BodyText"/>
        <w:spacing w:before="12"/>
        <w:rPr>
          <w:sz w:val="17"/>
        </w:rPr>
      </w:pPr>
    </w:p>
    <w:p>
      <w:pPr>
        <w:pStyle w:val="Heading6"/>
        <w:spacing w:after="42"/>
        <w:ind w:left="2993"/>
      </w:pPr>
      <w:r>
        <w:rPr/>
        <w:t>表 2 风力灭火机手传振动测定结果报告</w:t>
      </w:r>
      <w:r>
        <w:rPr>
          <w:w w:val="99"/>
        </w:rPr>
        <w:t> </w:t>
      </w: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634"/>
        <w:gridCol w:w="627"/>
        <w:gridCol w:w="629"/>
        <w:gridCol w:w="627"/>
        <w:gridCol w:w="627"/>
        <w:gridCol w:w="639"/>
        <w:gridCol w:w="627"/>
        <w:gridCol w:w="627"/>
        <w:gridCol w:w="629"/>
        <w:gridCol w:w="627"/>
        <w:gridCol w:w="629"/>
        <w:gridCol w:w="639"/>
      </w:tblGrid>
      <w:tr>
        <w:trPr>
          <w:trHeight w:val="498" w:hRule="atLeast"/>
        </w:trPr>
        <w:tc>
          <w:tcPr>
            <w:tcW w:w="742" w:type="dxa"/>
            <w:vMerge w:val="restart"/>
          </w:tcPr>
          <w:p>
            <w:pPr>
              <w:pStyle w:val="TableParagraph"/>
              <w:rPr>
                <w:b/>
                <w:sz w:val="20"/>
              </w:rPr>
            </w:pPr>
          </w:p>
          <w:p>
            <w:pPr>
              <w:pStyle w:val="TableParagraph"/>
              <w:rPr>
                <w:b/>
                <w:sz w:val="20"/>
              </w:rPr>
            </w:pPr>
          </w:p>
          <w:p>
            <w:pPr>
              <w:pStyle w:val="TableParagraph"/>
              <w:spacing w:before="4"/>
              <w:rPr>
                <w:b/>
                <w:sz w:val="15"/>
              </w:rPr>
            </w:pPr>
          </w:p>
          <w:p>
            <w:pPr>
              <w:pStyle w:val="TableParagraph"/>
              <w:spacing w:line="446" w:lineRule="auto"/>
              <w:ind w:left="107" w:right="-15" w:firstLine="52"/>
              <w:rPr>
                <w:sz w:val="21"/>
              </w:rPr>
            </w:pPr>
            <w:r>
              <w:rPr>
                <w:sz w:val="21"/>
              </w:rPr>
              <w:t>测定转速r/min </w:t>
            </w:r>
          </w:p>
        </w:tc>
        <w:tc>
          <w:tcPr>
            <w:tcW w:w="7561" w:type="dxa"/>
            <w:gridSpan w:val="12"/>
          </w:tcPr>
          <w:p>
            <w:pPr>
              <w:pStyle w:val="TableParagraph"/>
              <w:spacing w:before="189"/>
              <w:ind w:left="2230" w:right="2120"/>
              <w:jc w:val="center"/>
              <w:rPr>
                <w:sz w:val="21"/>
              </w:rPr>
            </w:pPr>
            <w:r>
              <w:rPr>
                <w:position w:val="1"/>
                <w:sz w:val="21"/>
              </w:rPr>
              <w:t>计权加速度总值方根值</w:t>
            </w:r>
            <w:r>
              <w:rPr>
                <w:rFonts w:ascii="Symbol" w:hAnsi="Symbol" w:eastAsia="Symbol"/>
                <w:position w:val="1"/>
                <w:sz w:val="21"/>
              </w:rPr>
              <w:t></w:t>
            </w:r>
            <w:r>
              <w:rPr>
                <w:position w:val="1"/>
                <w:sz w:val="21"/>
              </w:rPr>
              <w:t>a</w:t>
            </w:r>
            <w:r>
              <w:rPr>
                <w:sz w:val="11"/>
              </w:rPr>
              <w:t>h，w</w:t>
            </w:r>
            <w:r>
              <w:rPr>
                <w:position w:val="1"/>
                <w:sz w:val="21"/>
              </w:rPr>
              <w:t>，m/s² </w:t>
            </w:r>
          </w:p>
        </w:tc>
      </w:tr>
      <w:tr>
        <w:trPr>
          <w:trHeight w:val="501" w:hRule="atLeast"/>
        </w:trPr>
        <w:tc>
          <w:tcPr>
            <w:tcW w:w="742" w:type="dxa"/>
            <w:vMerge/>
            <w:tcBorders>
              <w:top w:val="nil"/>
            </w:tcBorders>
          </w:tcPr>
          <w:p>
            <w:pPr>
              <w:rPr>
                <w:sz w:val="2"/>
                <w:szCs w:val="2"/>
              </w:rPr>
            </w:pPr>
          </w:p>
        </w:tc>
        <w:tc>
          <w:tcPr>
            <w:tcW w:w="3144" w:type="dxa"/>
            <w:gridSpan w:val="5"/>
          </w:tcPr>
          <w:p>
            <w:pPr>
              <w:pStyle w:val="TableParagraph"/>
              <w:spacing w:before="11"/>
              <w:rPr>
                <w:b/>
                <w:sz w:val="14"/>
              </w:rPr>
            </w:pPr>
          </w:p>
          <w:p>
            <w:pPr>
              <w:pStyle w:val="TableParagraph"/>
              <w:ind w:left="1288" w:right="1175"/>
              <w:jc w:val="center"/>
              <w:rPr>
                <w:sz w:val="21"/>
              </w:rPr>
            </w:pPr>
            <w:r>
              <w:rPr>
                <w:sz w:val="21"/>
              </w:rPr>
              <w:t>前把手 </w:t>
            </w:r>
          </w:p>
        </w:tc>
        <w:tc>
          <w:tcPr>
            <w:tcW w:w="639" w:type="dxa"/>
          </w:tcPr>
          <w:p>
            <w:pPr>
              <w:pStyle w:val="TableParagraph"/>
              <w:spacing w:before="11"/>
              <w:rPr>
                <w:b/>
                <w:sz w:val="14"/>
              </w:rPr>
            </w:pPr>
          </w:p>
          <w:p>
            <w:pPr>
              <w:pStyle w:val="TableParagraph"/>
              <w:ind w:left="110"/>
              <w:jc w:val="center"/>
              <w:rPr>
                <w:sz w:val="21"/>
              </w:rPr>
            </w:pPr>
            <w:r>
              <w:rPr>
                <w:w w:val="100"/>
                <w:sz w:val="21"/>
              </w:rPr>
              <w:t> </w:t>
            </w:r>
          </w:p>
        </w:tc>
        <w:tc>
          <w:tcPr>
            <w:tcW w:w="3139" w:type="dxa"/>
            <w:gridSpan w:val="5"/>
          </w:tcPr>
          <w:p>
            <w:pPr>
              <w:pStyle w:val="TableParagraph"/>
              <w:spacing w:before="11"/>
              <w:rPr>
                <w:b/>
                <w:sz w:val="14"/>
              </w:rPr>
            </w:pPr>
          </w:p>
          <w:p>
            <w:pPr>
              <w:pStyle w:val="TableParagraph"/>
              <w:ind w:left="1283" w:right="1175"/>
              <w:jc w:val="center"/>
              <w:rPr>
                <w:sz w:val="21"/>
              </w:rPr>
            </w:pPr>
            <w:r>
              <w:rPr>
                <w:sz w:val="21"/>
              </w:rPr>
              <w:t>后把手 </w:t>
            </w:r>
          </w:p>
        </w:tc>
        <w:tc>
          <w:tcPr>
            <w:tcW w:w="639" w:type="dxa"/>
          </w:tcPr>
          <w:p>
            <w:pPr>
              <w:pStyle w:val="TableParagraph"/>
              <w:spacing w:before="11"/>
              <w:rPr>
                <w:b/>
                <w:sz w:val="14"/>
              </w:rPr>
            </w:pPr>
          </w:p>
          <w:p>
            <w:pPr>
              <w:pStyle w:val="TableParagraph"/>
              <w:ind w:left="101"/>
              <w:jc w:val="center"/>
              <w:rPr>
                <w:sz w:val="21"/>
              </w:rPr>
            </w:pPr>
            <w:r>
              <w:rPr>
                <w:w w:val="100"/>
                <w:sz w:val="21"/>
              </w:rPr>
              <w:t> </w:t>
            </w:r>
          </w:p>
        </w:tc>
      </w:tr>
      <w:tr>
        <w:trPr>
          <w:trHeight w:val="498" w:hRule="atLeast"/>
        </w:trPr>
        <w:tc>
          <w:tcPr>
            <w:tcW w:w="742" w:type="dxa"/>
            <w:vMerge/>
            <w:tcBorders>
              <w:top w:val="nil"/>
            </w:tcBorders>
          </w:tcPr>
          <w:p>
            <w:pPr>
              <w:rPr>
                <w:sz w:val="2"/>
                <w:szCs w:val="2"/>
              </w:rPr>
            </w:pPr>
          </w:p>
        </w:tc>
        <w:tc>
          <w:tcPr>
            <w:tcW w:w="3144" w:type="dxa"/>
            <w:gridSpan w:val="5"/>
          </w:tcPr>
          <w:p>
            <w:pPr>
              <w:pStyle w:val="TableParagraph"/>
              <w:spacing w:before="11"/>
              <w:rPr>
                <w:b/>
                <w:sz w:val="14"/>
              </w:rPr>
            </w:pPr>
          </w:p>
          <w:p>
            <w:pPr>
              <w:pStyle w:val="TableParagraph"/>
              <w:ind w:left="834"/>
              <w:rPr>
                <w:sz w:val="21"/>
              </w:rPr>
            </w:pPr>
            <w:r>
              <w:rPr>
                <w:sz w:val="21"/>
              </w:rPr>
              <w:t>计权加速度总值 </w:t>
            </w:r>
          </w:p>
        </w:tc>
        <w:tc>
          <w:tcPr>
            <w:tcW w:w="639" w:type="dxa"/>
          </w:tcPr>
          <w:p>
            <w:pPr>
              <w:pStyle w:val="TableParagraph"/>
              <w:spacing w:before="189"/>
              <w:ind w:left="157" w:right="47"/>
              <w:jc w:val="center"/>
              <w:rPr>
                <w:sz w:val="21"/>
              </w:rPr>
            </w:pPr>
            <w:r>
              <w:rPr>
                <w:rFonts w:ascii="Symbol" w:hAnsi="Symbol"/>
                <w:position w:val="1"/>
                <w:sz w:val="21"/>
              </w:rPr>
              <w:t></w:t>
            </w:r>
            <w:r>
              <w:rPr>
                <w:position w:val="1"/>
                <w:sz w:val="21"/>
              </w:rPr>
              <w:t>a</w:t>
            </w:r>
            <w:r>
              <w:rPr>
                <w:sz w:val="11"/>
              </w:rPr>
              <w:t>h,w</w:t>
            </w:r>
            <w:r>
              <w:rPr>
                <w:w w:val="100"/>
                <w:position w:val="1"/>
                <w:sz w:val="21"/>
              </w:rPr>
              <w:t> </w:t>
            </w:r>
          </w:p>
        </w:tc>
        <w:tc>
          <w:tcPr>
            <w:tcW w:w="3139" w:type="dxa"/>
            <w:gridSpan w:val="5"/>
          </w:tcPr>
          <w:p>
            <w:pPr>
              <w:pStyle w:val="TableParagraph"/>
              <w:spacing w:before="11"/>
              <w:rPr>
                <w:b/>
                <w:sz w:val="14"/>
              </w:rPr>
            </w:pPr>
          </w:p>
          <w:p>
            <w:pPr>
              <w:pStyle w:val="TableParagraph"/>
              <w:ind w:left="830"/>
              <w:rPr>
                <w:sz w:val="21"/>
              </w:rPr>
            </w:pPr>
            <w:r>
              <w:rPr>
                <w:sz w:val="21"/>
              </w:rPr>
              <w:t>计权加速度总值 </w:t>
            </w:r>
          </w:p>
        </w:tc>
        <w:tc>
          <w:tcPr>
            <w:tcW w:w="639" w:type="dxa"/>
          </w:tcPr>
          <w:p>
            <w:pPr>
              <w:pStyle w:val="TableParagraph"/>
              <w:spacing w:before="189"/>
              <w:ind w:left="153" w:right="52"/>
              <w:jc w:val="center"/>
              <w:rPr>
                <w:sz w:val="21"/>
              </w:rPr>
            </w:pPr>
            <w:r>
              <w:rPr>
                <w:rFonts w:ascii="Symbol" w:hAnsi="Symbol"/>
                <w:position w:val="1"/>
                <w:sz w:val="21"/>
              </w:rPr>
              <w:t></w:t>
            </w:r>
            <w:r>
              <w:rPr>
                <w:position w:val="1"/>
                <w:sz w:val="21"/>
              </w:rPr>
              <w:t>a</w:t>
            </w:r>
            <w:r>
              <w:rPr>
                <w:sz w:val="11"/>
              </w:rPr>
              <w:t>h,w</w:t>
            </w:r>
            <w:r>
              <w:rPr>
                <w:w w:val="100"/>
                <w:position w:val="1"/>
                <w:sz w:val="21"/>
              </w:rPr>
              <w:t> </w:t>
            </w:r>
          </w:p>
        </w:tc>
      </w:tr>
      <w:tr>
        <w:trPr>
          <w:trHeight w:val="501" w:hRule="atLeast"/>
        </w:trPr>
        <w:tc>
          <w:tcPr>
            <w:tcW w:w="742" w:type="dxa"/>
            <w:vMerge/>
            <w:tcBorders>
              <w:top w:val="nil"/>
            </w:tcBorders>
          </w:tcPr>
          <w:p>
            <w:pPr>
              <w:rPr>
                <w:sz w:val="2"/>
                <w:szCs w:val="2"/>
              </w:rPr>
            </w:pPr>
          </w:p>
        </w:tc>
        <w:tc>
          <w:tcPr>
            <w:tcW w:w="634" w:type="dxa"/>
          </w:tcPr>
          <w:p>
            <w:pPr>
              <w:pStyle w:val="TableParagraph"/>
              <w:spacing w:before="10"/>
              <w:rPr>
                <w:b/>
                <w:sz w:val="14"/>
              </w:rPr>
            </w:pPr>
          </w:p>
          <w:p>
            <w:pPr>
              <w:pStyle w:val="TableParagraph"/>
              <w:spacing w:before="1"/>
              <w:ind w:left="270" w:right="154"/>
              <w:jc w:val="center"/>
              <w:rPr>
                <w:sz w:val="21"/>
              </w:rPr>
            </w:pPr>
            <w:r>
              <w:rPr>
                <w:position w:val="1"/>
                <w:sz w:val="21"/>
              </w:rPr>
              <w:t>a</w:t>
            </w:r>
            <w:r>
              <w:rPr>
                <w:sz w:val="11"/>
              </w:rPr>
              <w:t>1</w:t>
            </w:r>
            <w:r>
              <w:rPr>
                <w:w w:val="100"/>
                <w:position w:val="1"/>
                <w:sz w:val="21"/>
              </w:rPr>
              <w:t> </w:t>
            </w:r>
          </w:p>
        </w:tc>
        <w:tc>
          <w:tcPr>
            <w:tcW w:w="627" w:type="dxa"/>
          </w:tcPr>
          <w:p>
            <w:pPr>
              <w:pStyle w:val="TableParagraph"/>
              <w:spacing w:before="10"/>
              <w:rPr>
                <w:b/>
                <w:sz w:val="14"/>
              </w:rPr>
            </w:pPr>
          </w:p>
          <w:p>
            <w:pPr>
              <w:pStyle w:val="TableParagraph"/>
              <w:spacing w:before="1"/>
              <w:ind w:left="259" w:right="147"/>
              <w:jc w:val="center"/>
              <w:rPr>
                <w:sz w:val="21"/>
              </w:rPr>
            </w:pPr>
            <w:r>
              <w:rPr>
                <w:position w:val="1"/>
                <w:sz w:val="21"/>
              </w:rPr>
              <w:t>a</w:t>
            </w:r>
            <w:r>
              <w:rPr>
                <w:sz w:val="11"/>
              </w:rPr>
              <w:t>2</w:t>
            </w:r>
            <w:r>
              <w:rPr>
                <w:w w:val="100"/>
                <w:position w:val="1"/>
                <w:sz w:val="21"/>
              </w:rPr>
              <w:t> </w:t>
            </w:r>
          </w:p>
        </w:tc>
        <w:tc>
          <w:tcPr>
            <w:tcW w:w="629" w:type="dxa"/>
          </w:tcPr>
          <w:p>
            <w:pPr>
              <w:pStyle w:val="TableParagraph"/>
              <w:spacing w:before="10"/>
              <w:rPr>
                <w:b/>
                <w:sz w:val="14"/>
              </w:rPr>
            </w:pPr>
          </w:p>
          <w:p>
            <w:pPr>
              <w:pStyle w:val="TableParagraph"/>
              <w:spacing w:before="1"/>
              <w:ind w:left="231"/>
              <w:rPr>
                <w:sz w:val="21"/>
              </w:rPr>
            </w:pPr>
            <w:r>
              <w:rPr>
                <w:position w:val="1"/>
                <w:sz w:val="21"/>
              </w:rPr>
              <w:t>a</w:t>
            </w:r>
            <w:r>
              <w:rPr>
                <w:sz w:val="11"/>
              </w:rPr>
              <w:t>3</w:t>
            </w:r>
            <w:r>
              <w:rPr>
                <w:w w:val="100"/>
                <w:position w:val="1"/>
                <w:sz w:val="21"/>
              </w:rPr>
              <w:t> </w:t>
            </w:r>
          </w:p>
        </w:tc>
        <w:tc>
          <w:tcPr>
            <w:tcW w:w="627" w:type="dxa"/>
          </w:tcPr>
          <w:p>
            <w:pPr>
              <w:pStyle w:val="TableParagraph"/>
              <w:spacing w:before="10"/>
              <w:rPr>
                <w:b/>
                <w:sz w:val="14"/>
              </w:rPr>
            </w:pPr>
          </w:p>
          <w:p>
            <w:pPr>
              <w:pStyle w:val="TableParagraph"/>
              <w:spacing w:before="1"/>
              <w:ind w:left="259" w:right="152"/>
              <w:jc w:val="center"/>
              <w:rPr>
                <w:sz w:val="21"/>
              </w:rPr>
            </w:pPr>
            <w:r>
              <w:rPr>
                <w:position w:val="1"/>
                <w:sz w:val="21"/>
              </w:rPr>
              <w:t>a</w:t>
            </w:r>
            <w:r>
              <w:rPr>
                <w:sz w:val="11"/>
              </w:rPr>
              <w:t>4</w:t>
            </w:r>
            <w:r>
              <w:rPr>
                <w:w w:val="100"/>
                <w:position w:val="1"/>
                <w:sz w:val="21"/>
              </w:rPr>
              <w:t> </w:t>
            </w:r>
          </w:p>
        </w:tc>
        <w:tc>
          <w:tcPr>
            <w:tcW w:w="627" w:type="dxa"/>
          </w:tcPr>
          <w:p>
            <w:pPr>
              <w:pStyle w:val="TableParagraph"/>
              <w:spacing w:before="10"/>
              <w:rPr>
                <w:b/>
                <w:sz w:val="14"/>
              </w:rPr>
            </w:pPr>
          </w:p>
          <w:p>
            <w:pPr>
              <w:pStyle w:val="TableParagraph"/>
              <w:spacing w:before="1"/>
              <w:ind w:left="259" w:right="148"/>
              <w:jc w:val="center"/>
              <w:rPr>
                <w:sz w:val="21"/>
              </w:rPr>
            </w:pPr>
            <w:r>
              <w:rPr>
                <w:position w:val="1"/>
                <w:sz w:val="21"/>
              </w:rPr>
              <w:t>a</w:t>
            </w:r>
            <w:r>
              <w:rPr>
                <w:sz w:val="11"/>
              </w:rPr>
              <w:t>5</w:t>
            </w:r>
            <w:r>
              <w:rPr>
                <w:w w:val="100"/>
                <w:position w:val="1"/>
                <w:sz w:val="21"/>
              </w:rPr>
              <w:t> </w:t>
            </w:r>
          </w:p>
        </w:tc>
        <w:tc>
          <w:tcPr>
            <w:tcW w:w="639" w:type="dxa"/>
            <w:vMerge w:val="restart"/>
          </w:tcPr>
          <w:p>
            <w:pPr>
              <w:pStyle w:val="TableParagraph"/>
              <w:rPr>
                <w:b/>
                <w:sz w:val="20"/>
              </w:rPr>
            </w:pPr>
          </w:p>
          <w:p>
            <w:pPr>
              <w:pStyle w:val="TableParagraph"/>
              <w:spacing w:before="9"/>
              <w:rPr>
                <w:b/>
                <w:sz w:val="14"/>
              </w:rPr>
            </w:pPr>
          </w:p>
          <w:p>
            <w:pPr>
              <w:pStyle w:val="TableParagraph"/>
              <w:ind w:left="316"/>
              <w:rPr>
                <w:sz w:val="21"/>
              </w:rPr>
            </w:pPr>
            <w:r>
              <w:rPr>
                <w:w w:val="100"/>
                <w:sz w:val="21"/>
              </w:rPr>
              <w:t> </w:t>
            </w:r>
          </w:p>
        </w:tc>
        <w:tc>
          <w:tcPr>
            <w:tcW w:w="627" w:type="dxa"/>
          </w:tcPr>
          <w:p>
            <w:pPr>
              <w:pStyle w:val="TableParagraph"/>
              <w:spacing w:before="10"/>
              <w:rPr>
                <w:b/>
                <w:sz w:val="14"/>
              </w:rPr>
            </w:pPr>
          </w:p>
          <w:p>
            <w:pPr>
              <w:pStyle w:val="TableParagraph"/>
              <w:spacing w:before="1"/>
              <w:ind w:left="230"/>
              <w:rPr>
                <w:sz w:val="21"/>
              </w:rPr>
            </w:pPr>
            <w:r>
              <w:rPr>
                <w:position w:val="1"/>
                <w:sz w:val="21"/>
              </w:rPr>
              <w:t>a</w:t>
            </w:r>
            <w:r>
              <w:rPr>
                <w:sz w:val="11"/>
              </w:rPr>
              <w:t>1</w:t>
            </w:r>
            <w:r>
              <w:rPr>
                <w:w w:val="100"/>
                <w:position w:val="1"/>
                <w:sz w:val="21"/>
              </w:rPr>
              <w:t> </w:t>
            </w:r>
          </w:p>
        </w:tc>
        <w:tc>
          <w:tcPr>
            <w:tcW w:w="627" w:type="dxa"/>
          </w:tcPr>
          <w:p>
            <w:pPr>
              <w:pStyle w:val="TableParagraph"/>
              <w:spacing w:before="10"/>
              <w:rPr>
                <w:b/>
                <w:sz w:val="14"/>
              </w:rPr>
            </w:pPr>
          </w:p>
          <w:p>
            <w:pPr>
              <w:pStyle w:val="TableParagraph"/>
              <w:spacing w:before="1"/>
              <w:ind w:left="259" w:right="151"/>
              <w:jc w:val="center"/>
              <w:rPr>
                <w:sz w:val="21"/>
              </w:rPr>
            </w:pPr>
            <w:r>
              <w:rPr>
                <w:position w:val="1"/>
                <w:sz w:val="21"/>
              </w:rPr>
              <w:t>a</w:t>
            </w:r>
            <w:r>
              <w:rPr>
                <w:sz w:val="11"/>
              </w:rPr>
              <w:t>2</w:t>
            </w:r>
            <w:r>
              <w:rPr>
                <w:w w:val="100"/>
                <w:position w:val="1"/>
                <w:sz w:val="21"/>
              </w:rPr>
              <w:t> </w:t>
            </w:r>
          </w:p>
        </w:tc>
        <w:tc>
          <w:tcPr>
            <w:tcW w:w="629" w:type="dxa"/>
          </w:tcPr>
          <w:p>
            <w:pPr>
              <w:pStyle w:val="TableParagraph"/>
              <w:spacing w:before="10"/>
              <w:rPr>
                <w:b/>
                <w:sz w:val="14"/>
              </w:rPr>
            </w:pPr>
          </w:p>
          <w:p>
            <w:pPr>
              <w:pStyle w:val="TableParagraph"/>
              <w:spacing w:before="1"/>
              <w:ind w:left="261" w:right="156"/>
              <w:jc w:val="center"/>
              <w:rPr>
                <w:sz w:val="21"/>
              </w:rPr>
            </w:pPr>
            <w:r>
              <w:rPr>
                <w:position w:val="1"/>
                <w:sz w:val="21"/>
              </w:rPr>
              <w:t>a</w:t>
            </w:r>
            <w:r>
              <w:rPr>
                <w:sz w:val="11"/>
              </w:rPr>
              <w:t>3</w:t>
            </w:r>
            <w:r>
              <w:rPr>
                <w:w w:val="100"/>
                <w:position w:val="1"/>
                <w:sz w:val="21"/>
              </w:rPr>
              <w:t> </w:t>
            </w:r>
          </w:p>
        </w:tc>
        <w:tc>
          <w:tcPr>
            <w:tcW w:w="627" w:type="dxa"/>
          </w:tcPr>
          <w:p>
            <w:pPr>
              <w:pStyle w:val="TableParagraph"/>
              <w:spacing w:before="10"/>
              <w:rPr>
                <w:b/>
                <w:sz w:val="14"/>
              </w:rPr>
            </w:pPr>
          </w:p>
          <w:p>
            <w:pPr>
              <w:pStyle w:val="TableParagraph"/>
              <w:spacing w:before="1"/>
              <w:ind w:left="254" w:right="152"/>
              <w:jc w:val="center"/>
              <w:rPr>
                <w:sz w:val="21"/>
              </w:rPr>
            </w:pPr>
            <w:r>
              <w:rPr>
                <w:position w:val="1"/>
                <w:sz w:val="21"/>
              </w:rPr>
              <w:t>a</w:t>
            </w:r>
            <w:r>
              <w:rPr>
                <w:sz w:val="11"/>
              </w:rPr>
              <w:t>4</w:t>
            </w:r>
            <w:r>
              <w:rPr>
                <w:w w:val="100"/>
                <w:position w:val="1"/>
                <w:sz w:val="21"/>
              </w:rPr>
              <w:t> </w:t>
            </w:r>
          </w:p>
        </w:tc>
        <w:tc>
          <w:tcPr>
            <w:tcW w:w="629" w:type="dxa"/>
          </w:tcPr>
          <w:p>
            <w:pPr>
              <w:pStyle w:val="TableParagraph"/>
              <w:spacing w:before="10"/>
              <w:rPr>
                <w:b/>
                <w:sz w:val="14"/>
              </w:rPr>
            </w:pPr>
          </w:p>
          <w:p>
            <w:pPr>
              <w:pStyle w:val="TableParagraph"/>
              <w:spacing w:before="1"/>
              <w:ind w:left="261" w:right="157"/>
              <w:jc w:val="center"/>
              <w:rPr>
                <w:sz w:val="21"/>
              </w:rPr>
            </w:pPr>
            <w:r>
              <w:rPr>
                <w:position w:val="1"/>
                <w:sz w:val="21"/>
              </w:rPr>
              <w:t>a</w:t>
            </w:r>
            <w:r>
              <w:rPr>
                <w:sz w:val="11"/>
              </w:rPr>
              <w:t>5</w:t>
            </w:r>
            <w:r>
              <w:rPr>
                <w:w w:val="100"/>
                <w:position w:val="1"/>
                <w:sz w:val="21"/>
              </w:rPr>
              <w:t> </w:t>
            </w:r>
          </w:p>
        </w:tc>
        <w:tc>
          <w:tcPr>
            <w:tcW w:w="639" w:type="dxa"/>
            <w:vMerge w:val="restart"/>
          </w:tcPr>
          <w:p>
            <w:pPr>
              <w:pStyle w:val="TableParagraph"/>
              <w:rPr>
                <w:b/>
                <w:sz w:val="20"/>
              </w:rPr>
            </w:pPr>
          </w:p>
          <w:p>
            <w:pPr>
              <w:pStyle w:val="TableParagraph"/>
              <w:spacing w:before="9"/>
              <w:rPr>
                <w:b/>
                <w:sz w:val="14"/>
              </w:rPr>
            </w:pPr>
          </w:p>
          <w:p>
            <w:pPr>
              <w:pStyle w:val="TableParagraph"/>
              <w:ind w:left="101"/>
              <w:jc w:val="center"/>
              <w:rPr>
                <w:sz w:val="21"/>
              </w:rPr>
            </w:pPr>
            <w:r>
              <w:rPr>
                <w:w w:val="100"/>
                <w:sz w:val="21"/>
              </w:rPr>
              <w:t> </w:t>
            </w:r>
          </w:p>
        </w:tc>
      </w:tr>
      <w:tr>
        <w:trPr>
          <w:trHeight w:val="499" w:hRule="atLeast"/>
        </w:trPr>
        <w:tc>
          <w:tcPr>
            <w:tcW w:w="742" w:type="dxa"/>
            <w:vMerge/>
            <w:tcBorders>
              <w:top w:val="nil"/>
            </w:tcBorders>
          </w:tcPr>
          <w:p>
            <w:pPr>
              <w:rPr>
                <w:sz w:val="2"/>
                <w:szCs w:val="2"/>
              </w:rPr>
            </w:pPr>
          </w:p>
        </w:tc>
        <w:tc>
          <w:tcPr>
            <w:tcW w:w="634" w:type="dxa"/>
          </w:tcPr>
          <w:p>
            <w:pPr>
              <w:pStyle w:val="TableParagraph"/>
              <w:spacing w:before="11"/>
              <w:rPr>
                <w:b/>
                <w:sz w:val="14"/>
              </w:rPr>
            </w:pPr>
          </w:p>
          <w:p>
            <w:pPr>
              <w:pStyle w:val="TableParagraph"/>
              <w:ind w:left="113"/>
              <w:jc w:val="center"/>
              <w:rPr>
                <w:sz w:val="21"/>
              </w:rPr>
            </w:pPr>
            <w:r>
              <w:rPr>
                <w:w w:val="100"/>
                <w:sz w:val="21"/>
              </w:rPr>
              <w:t> </w:t>
            </w:r>
          </w:p>
        </w:tc>
        <w:tc>
          <w:tcPr>
            <w:tcW w:w="627" w:type="dxa"/>
          </w:tcPr>
          <w:p>
            <w:pPr>
              <w:pStyle w:val="TableParagraph"/>
              <w:spacing w:before="11"/>
              <w:rPr>
                <w:b/>
                <w:sz w:val="14"/>
              </w:rPr>
            </w:pPr>
          </w:p>
          <w:p>
            <w:pPr>
              <w:pStyle w:val="TableParagraph"/>
              <w:ind w:left="110"/>
              <w:jc w:val="center"/>
              <w:rPr>
                <w:sz w:val="21"/>
              </w:rPr>
            </w:pPr>
            <w:r>
              <w:rPr>
                <w:w w:val="100"/>
                <w:sz w:val="21"/>
              </w:rPr>
              <w:t> </w:t>
            </w:r>
          </w:p>
        </w:tc>
        <w:tc>
          <w:tcPr>
            <w:tcW w:w="629" w:type="dxa"/>
          </w:tcPr>
          <w:p>
            <w:pPr>
              <w:pStyle w:val="TableParagraph"/>
              <w:spacing w:before="11"/>
              <w:rPr>
                <w:b/>
                <w:sz w:val="14"/>
              </w:rPr>
            </w:pPr>
          </w:p>
          <w:p>
            <w:pPr>
              <w:pStyle w:val="TableParagraph"/>
              <w:ind w:left="310"/>
              <w:rPr>
                <w:sz w:val="21"/>
              </w:rPr>
            </w:pPr>
            <w:r>
              <w:rPr>
                <w:w w:val="100"/>
                <w:sz w:val="21"/>
              </w:rPr>
              <w:t> </w:t>
            </w:r>
          </w:p>
        </w:tc>
        <w:tc>
          <w:tcPr>
            <w:tcW w:w="627" w:type="dxa"/>
          </w:tcPr>
          <w:p>
            <w:pPr>
              <w:pStyle w:val="TableParagraph"/>
              <w:spacing w:before="11"/>
              <w:rPr>
                <w:b/>
                <w:sz w:val="14"/>
              </w:rPr>
            </w:pPr>
          </w:p>
          <w:p>
            <w:pPr>
              <w:pStyle w:val="TableParagraph"/>
              <w:ind w:left="105"/>
              <w:jc w:val="center"/>
              <w:rPr>
                <w:sz w:val="21"/>
              </w:rPr>
            </w:pPr>
            <w:r>
              <w:rPr>
                <w:w w:val="100"/>
                <w:sz w:val="21"/>
              </w:rPr>
              <w:t> </w:t>
            </w:r>
          </w:p>
        </w:tc>
        <w:tc>
          <w:tcPr>
            <w:tcW w:w="627" w:type="dxa"/>
          </w:tcPr>
          <w:p>
            <w:pPr>
              <w:pStyle w:val="TableParagraph"/>
              <w:spacing w:before="11"/>
              <w:rPr>
                <w:b/>
                <w:sz w:val="14"/>
              </w:rPr>
            </w:pPr>
          </w:p>
          <w:p>
            <w:pPr>
              <w:pStyle w:val="TableParagraph"/>
              <w:ind w:left="108"/>
              <w:jc w:val="center"/>
              <w:rPr>
                <w:sz w:val="21"/>
              </w:rPr>
            </w:pPr>
            <w:r>
              <w:rPr>
                <w:w w:val="100"/>
                <w:sz w:val="21"/>
              </w:rPr>
              <w:t> </w:t>
            </w:r>
          </w:p>
        </w:tc>
        <w:tc>
          <w:tcPr>
            <w:tcW w:w="639" w:type="dxa"/>
            <w:vMerge/>
            <w:tcBorders>
              <w:top w:val="nil"/>
            </w:tcBorders>
          </w:tcPr>
          <w:p>
            <w:pPr>
              <w:rPr>
                <w:sz w:val="2"/>
                <w:szCs w:val="2"/>
              </w:rPr>
            </w:pPr>
          </w:p>
        </w:tc>
        <w:tc>
          <w:tcPr>
            <w:tcW w:w="627" w:type="dxa"/>
          </w:tcPr>
          <w:p>
            <w:pPr>
              <w:pStyle w:val="TableParagraph"/>
              <w:spacing w:before="11"/>
              <w:rPr>
                <w:b/>
                <w:sz w:val="14"/>
              </w:rPr>
            </w:pPr>
          </w:p>
          <w:p>
            <w:pPr>
              <w:pStyle w:val="TableParagraph"/>
              <w:ind w:left="309"/>
              <w:rPr>
                <w:sz w:val="21"/>
              </w:rPr>
            </w:pPr>
            <w:r>
              <w:rPr>
                <w:w w:val="100"/>
                <w:sz w:val="21"/>
              </w:rPr>
              <w:t> </w:t>
            </w:r>
          </w:p>
        </w:tc>
        <w:tc>
          <w:tcPr>
            <w:tcW w:w="627" w:type="dxa"/>
          </w:tcPr>
          <w:p>
            <w:pPr>
              <w:pStyle w:val="TableParagraph"/>
              <w:spacing w:before="11"/>
              <w:rPr>
                <w:b/>
                <w:sz w:val="14"/>
              </w:rPr>
            </w:pPr>
          </w:p>
          <w:p>
            <w:pPr>
              <w:pStyle w:val="TableParagraph"/>
              <w:ind w:left="106"/>
              <w:jc w:val="center"/>
              <w:rPr>
                <w:sz w:val="21"/>
              </w:rPr>
            </w:pPr>
            <w:r>
              <w:rPr>
                <w:w w:val="100"/>
                <w:sz w:val="21"/>
              </w:rPr>
              <w:t> </w:t>
            </w:r>
          </w:p>
        </w:tc>
        <w:tc>
          <w:tcPr>
            <w:tcW w:w="629" w:type="dxa"/>
          </w:tcPr>
          <w:p>
            <w:pPr>
              <w:pStyle w:val="TableParagraph"/>
              <w:spacing w:before="11"/>
              <w:rPr>
                <w:b/>
                <w:sz w:val="14"/>
              </w:rPr>
            </w:pPr>
          </w:p>
          <w:p>
            <w:pPr>
              <w:pStyle w:val="TableParagraph"/>
              <w:ind w:left="102"/>
              <w:jc w:val="center"/>
              <w:rPr>
                <w:sz w:val="21"/>
              </w:rPr>
            </w:pPr>
            <w:r>
              <w:rPr>
                <w:w w:val="100"/>
                <w:sz w:val="21"/>
              </w:rPr>
              <w:t> </w:t>
            </w:r>
          </w:p>
        </w:tc>
        <w:tc>
          <w:tcPr>
            <w:tcW w:w="627" w:type="dxa"/>
          </w:tcPr>
          <w:p>
            <w:pPr>
              <w:pStyle w:val="TableParagraph"/>
              <w:spacing w:before="11"/>
              <w:rPr>
                <w:b/>
                <w:sz w:val="14"/>
              </w:rPr>
            </w:pPr>
          </w:p>
          <w:p>
            <w:pPr>
              <w:pStyle w:val="TableParagraph"/>
              <w:ind w:left="99"/>
              <w:jc w:val="center"/>
              <w:rPr>
                <w:sz w:val="21"/>
              </w:rPr>
            </w:pPr>
            <w:r>
              <w:rPr>
                <w:w w:val="100"/>
                <w:sz w:val="21"/>
              </w:rPr>
              <w:t> </w:t>
            </w:r>
          </w:p>
        </w:tc>
        <w:tc>
          <w:tcPr>
            <w:tcW w:w="629" w:type="dxa"/>
          </w:tcPr>
          <w:p>
            <w:pPr>
              <w:pStyle w:val="TableParagraph"/>
              <w:spacing w:before="11"/>
              <w:rPr>
                <w:b/>
                <w:sz w:val="14"/>
              </w:rPr>
            </w:pPr>
          </w:p>
          <w:p>
            <w:pPr>
              <w:pStyle w:val="TableParagraph"/>
              <w:ind w:left="107"/>
              <w:jc w:val="center"/>
              <w:rPr>
                <w:sz w:val="21"/>
              </w:rPr>
            </w:pPr>
            <w:r>
              <w:rPr>
                <w:w w:val="100"/>
                <w:sz w:val="21"/>
              </w:rPr>
              <w:t> </w:t>
            </w:r>
          </w:p>
        </w:tc>
        <w:tc>
          <w:tcPr>
            <w:tcW w:w="639" w:type="dxa"/>
            <w:vMerge/>
            <w:tcBorders>
              <w:top w:val="nil"/>
            </w:tcBorders>
          </w:tcPr>
          <w:p>
            <w:pPr>
              <w:rPr>
                <w:sz w:val="2"/>
                <w:szCs w:val="2"/>
              </w:rPr>
            </w:pPr>
          </w:p>
        </w:tc>
      </w:tr>
    </w:tbl>
    <w:p>
      <w:pPr>
        <w:spacing w:before="160"/>
        <w:ind w:left="418" w:right="0" w:firstLine="0"/>
        <w:jc w:val="left"/>
        <w:rPr>
          <w:b/>
          <w:sz w:val="32"/>
        </w:rPr>
      </w:pPr>
      <w:r>
        <w:rPr>
          <w:b/>
          <w:sz w:val="24"/>
        </w:rPr>
        <w:t>6 测定报告</w:t>
      </w:r>
      <w:r>
        <w:rPr>
          <w:b/>
          <w:w w:val="98"/>
          <w:sz w:val="32"/>
        </w:rPr>
        <w:t> </w:t>
      </w:r>
    </w:p>
    <w:p>
      <w:pPr>
        <w:pStyle w:val="BodyText"/>
        <w:spacing w:before="225"/>
        <w:ind w:left="838"/>
      </w:pPr>
      <w:r>
        <w:rPr/>
        <w:t>测定报告包括下列内容： </w:t>
      </w:r>
    </w:p>
    <w:p>
      <w:pPr>
        <w:spacing w:after="0"/>
        <w:sectPr>
          <w:footerReference w:type="default" r:id="rId626"/>
          <w:pgSz w:w="11910" w:h="16850"/>
          <w:pgMar w:footer="1239" w:header="0" w:top="1220" w:bottom="1420" w:left="1260" w:right="0"/>
          <w:pgNumType w:start="1690"/>
        </w:sectPr>
      </w:pPr>
    </w:p>
    <w:p>
      <w:pPr>
        <w:pStyle w:val="BodyText"/>
        <w:spacing w:line="446" w:lineRule="auto" w:before="47"/>
        <w:ind w:left="838" w:right="8126"/>
      </w:pPr>
      <w:r>
        <w:rPr/>
        <w:t>a） 测量日期； b） 测量地点； </w:t>
      </w:r>
    </w:p>
    <w:p>
      <w:pPr>
        <w:pStyle w:val="ListParagraph"/>
        <w:numPr>
          <w:ilvl w:val="0"/>
          <w:numId w:val="978"/>
        </w:numPr>
        <w:tabs>
          <w:tab w:pos="1198" w:val="left" w:leader="none"/>
        </w:tabs>
        <w:spacing w:line="267" w:lineRule="exact" w:before="0" w:after="0"/>
        <w:ind w:left="1198" w:right="0" w:hanging="360"/>
        <w:jc w:val="left"/>
        <w:rPr>
          <w:sz w:val="21"/>
        </w:rPr>
      </w:pPr>
      <w:r>
        <w:rPr>
          <w:spacing w:val="-3"/>
          <w:sz w:val="21"/>
        </w:rPr>
        <w:t>测量人员及灭火机操作人员；</w:t>
      </w:r>
      <w:r>
        <w:rPr>
          <w:sz w:val="21"/>
        </w:rPr>
        <w:t> </w:t>
      </w:r>
    </w:p>
    <w:p>
      <w:pPr>
        <w:pStyle w:val="BodyText"/>
        <w:spacing w:before="2"/>
        <w:rPr>
          <w:sz w:val="18"/>
        </w:rPr>
      </w:pPr>
    </w:p>
    <w:p>
      <w:pPr>
        <w:pStyle w:val="ListParagraph"/>
        <w:numPr>
          <w:ilvl w:val="0"/>
          <w:numId w:val="978"/>
        </w:numPr>
        <w:tabs>
          <w:tab w:pos="1198" w:val="left" w:leader="none"/>
        </w:tabs>
        <w:spacing w:line="446" w:lineRule="auto" w:before="0" w:after="0"/>
        <w:ind w:left="838" w:right="3037" w:firstLine="0"/>
        <w:jc w:val="left"/>
        <w:rPr>
          <w:sz w:val="21"/>
        </w:rPr>
      </w:pPr>
      <w:r>
        <w:rPr>
          <w:spacing w:val="-2"/>
          <w:sz w:val="21"/>
        </w:rPr>
        <w:t>风力灭火机</w:t>
      </w:r>
      <w:r>
        <w:rPr>
          <w:sz w:val="21"/>
        </w:rPr>
        <w:t>（</w:t>
      </w:r>
      <w:r>
        <w:rPr>
          <w:spacing w:val="-3"/>
          <w:sz w:val="21"/>
        </w:rPr>
        <w:t>制造厂、型号、编号）把手上橡胶弹性减震垫的说明； </w:t>
      </w:r>
      <w:r>
        <w:rPr>
          <w:sz w:val="21"/>
        </w:rPr>
        <w:t>e）</w:t>
      </w:r>
      <w:r>
        <w:rPr>
          <w:spacing w:val="-10"/>
          <w:sz w:val="21"/>
        </w:rPr>
        <w:t> 测量仪器；仪器精度及测量方框图，振动分析用频带；</w:t>
      </w:r>
      <w:r>
        <w:rPr>
          <w:sz w:val="21"/>
        </w:rPr>
        <w:t> </w:t>
      </w:r>
    </w:p>
    <w:p>
      <w:pPr>
        <w:pStyle w:val="BodyText"/>
        <w:spacing w:line="446" w:lineRule="auto"/>
        <w:ind w:left="838" w:right="6549"/>
      </w:pPr>
      <w:r>
        <w:rPr/>
        <w:t>f） 加速度计支座安装固定说明； g） 各类数据记录表； </w:t>
      </w:r>
    </w:p>
    <w:p>
      <w:pPr>
        <w:pStyle w:val="BodyText"/>
        <w:ind w:left="838"/>
      </w:pPr>
      <w:r>
        <w:rPr/>
        <w:t>h） 测定结果。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7"/>
        </w:rPr>
      </w:pPr>
    </w:p>
    <w:p>
      <w:pPr>
        <w:pStyle w:val="Heading6"/>
        <w:spacing w:before="71"/>
        <w:ind w:left="3205"/>
      </w:pPr>
      <w:r>
        <w:rPr/>
        <w:t>表 1 风力灭火机手传振动测量数据</w:t>
      </w:r>
      <w:r>
        <w:rPr>
          <w:w w:val="99"/>
        </w:rPr>
        <w:t> </w:t>
      </w:r>
    </w:p>
    <w:p>
      <w:pPr>
        <w:spacing w:after="0"/>
        <w:sectPr>
          <w:pgSz w:w="11910" w:h="16850"/>
          <w:pgMar w:header="0" w:footer="1239" w:top="1220" w:bottom="1420" w:left="126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5"/>
        </w:rPr>
      </w:pPr>
    </w:p>
    <w:p>
      <w:pPr>
        <w:spacing w:before="72"/>
        <w:ind w:left="0" w:right="1330" w:firstLine="0"/>
        <w:jc w:val="right"/>
        <w:rPr>
          <w:b/>
          <w:sz w:val="21"/>
        </w:rPr>
      </w:pPr>
      <w:r>
        <w:rPr/>
        <w:pict>
          <v:group style="position:absolute;margin-left:84.651024pt;margin-top:-413.410004pt;width:428.1pt;height:559.65pt;mso-position-horizontal-relative:page;mso-position-vertical-relative:paragraph;z-index:252072960" coordorigin="1693,-8268" coordsize="8562,11193">
            <v:shape style="position:absolute;left:1693;top:-8269;width:8562;height:8535" type="#_x0000_t75" stroked="false">
              <v:imagedata r:id="rId627" o:title=""/>
            </v:shape>
            <v:shape style="position:absolute;left:2226;top:281;width:7198;height:2643" type="#_x0000_t75" stroked="false">
              <v:imagedata r:id="rId628" o:title=""/>
            </v:shape>
            <w10:wrap type="none"/>
          </v:group>
        </w:pict>
      </w:r>
      <w:r>
        <w:rPr>
          <w:b/>
          <w:w w:val="99"/>
          <w:sz w:val="21"/>
        </w:rPr>
        <w:t> </w:t>
      </w:r>
    </w:p>
    <w:p>
      <w:pPr>
        <w:spacing w:after="0"/>
        <w:jc w:val="right"/>
        <w:rPr>
          <w:sz w:val="21"/>
        </w:rPr>
        <w:sectPr>
          <w:pgSz w:w="11910" w:h="16850"/>
          <w:pgMar w:header="0" w:footer="1239" w:top="1080" w:bottom="1420" w:left="126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208"/>
        <w:ind w:left="0" w:right="1316" w:firstLine="0"/>
        <w:jc w:val="right"/>
        <w:rPr>
          <w:sz w:val="24"/>
        </w:rPr>
      </w:pPr>
      <w:r>
        <w:rPr/>
        <w:pict>
          <v:group style="position:absolute;margin-left:83.900002pt;margin-top:-409.620026pt;width:408.6pt;height:581.75pt;mso-position-horizontal-relative:page;mso-position-vertical-relative:paragraph;z-index:252073984" coordorigin="1678,-8192" coordsize="8172,11635">
            <v:shape style="position:absolute;left:1798;top:-8193;width:8051;height:8639" type="#_x0000_t75" stroked="false">
              <v:imagedata r:id="rId629" o:title=""/>
            </v:shape>
            <v:shape style="position:absolute;left:1678;top:447;width:7707;height:2995" type="#_x0000_t75" stroked="false">
              <v:imagedata r:id="rId630" o:title=""/>
            </v:shape>
            <w10:wrap type="none"/>
          </v:group>
        </w:pict>
      </w:r>
      <w:r>
        <w:rPr>
          <w:sz w:val="24"/>
        </w:rPr>
        <w:t> </w:t>
      </w:r>
    </w:p>
    <w:p>
      <w:pPr>
        <w:spacing w:after="0"/>
        <w:jc w:val="right"/>
        <w:rPr>
          <w:sz w:val="24"/>
        </w:rPr>
        <w:sectPr>
          <w:pgSz w:w="11910" w:h="16850"/>
          <w:pgMar w:header="0" w:footer="1239" w:top="1380" w:bottom="1420" w:left="1260" w:right="0"/>
        </w:sectPr>
      </w:pPr>
    </w:p>
    <w:p>
      <w:pPr>
        <w:spacing w:before="37"/>
        <w:ind w:left="2431" w:right="0" w:firstLine="0"/>
        <w:jc w:val="left"/>
        <w:rPr>
          <w:b/>
          <w:sz w:val="24"/>
        </w:rPr>
      </w:pPr>
      <w:r>
        <w:rPr>
          <w:b/>
          <w:sz w:val="24"/>
        </w:rPr>
        <w:t>附录 A（标准的附录）手传振动频率计权特性</w:t>
      </w:r>
      <w:r>
        <w:rPr>
          <w:b/>
          <w:w w:val="99"/>
          <w:sz w:val="24"/>
        </w:rPr>
        <w:t> </w:t>
      </w:r>
    </w:p>
    <w:p>
      <w:pPr>
        <w:pStyle w:val="BodyText"/>
        <w:spacing w:before="192"/>
        <w:ind w:left="840"/>
      </w:pPr>
      <w:r>
        <w:rPr>
          <w:b/>
          <w:position w:val="1"/>
        </w:rPr>
        <w:t>A.1 </w:t>
      </w:r>
      <w:r>
        <w:rPr>
          <w:position w:val="1"/>
        </w:rPr>
        <w:t>计算计权加速度的计权因子 k</w:t>
      </w:r>
      <w:r>
        <w:rPr>
          <w:sz w:val="11"/>
        </w:rPr>
        <w:t>j </w:t>
      </w:r>
      <w:r>
        <w:rPr>
          <w:position w:val="1"/>
        </w:rPr>
        <w:t>见表 1，手传振动频率计权特性曲线见图 A1。 </w:t>
      </w:r>
    </w:p>
    <w:p>
      <w:pPr>
        <w:pStyle w:val="BodyText"/>
        <w:spacing w:before="2"/>
        <w:rPr>
          <w:sz w:val="18"/>
        </w:rPr>
      </w:pPr>
    </w:p>
    <w:p>
      <w:pPr>
        <w:pStyle w:val="Heading6"/>
        <w:spacing w:after="40"/>
        <w:ind w:left="3452"/>
      </w:pPr>
      <w:r>
        <w:rPr>
          <w:position w:val="1"/>
        </w:rPr>
        <w:t>表 A1 手传振动频率计权因子 k</w:t>
      </w:r>
      <w:r>
        <w:rPr>
          <w:sz w:val="11"/>
        </w:rPr>
        <w:t>j </w:t>
      </w:r>
      <w:r>
        <w:rPr>
          <w:position w:val="1"/>
        </w:rPr>
        <w:t>表</w:t>
      </w:r>
      <w:r>
        <w:rPr>
          <w:w w:val="99"/>
          <w:position w:val="1"/>
        </w:rPr>
        <w:t> </w:t>
      </w: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7"/>
        <w:gridCol w:w="768"/>
        <w:gridCol w:w="771"/>
        <w:gridCol w:w="768"/>
      </w:tblGrid>
      <w:tr>
        <w:trPr>
          <w:trHeight w:val="501" w:hRule="atLeast"/>
        </w:trPr>
        <w:tc>
          <w:tcPr>
            <w:tcW w:w="6217" w:type="dxa"/>
            <w:vMerge w:val="restart"/>
          </w:tcPr>
          <w:p>
            <w:pPr>
              <w:pStyle w:val="TableParagraph"/>
              <w:rPr>
                <w:b/>
                <w:sz w:val="20"/>
              </w:rPr>
            </w:pPr>
          </w:p>
          <w:p>
            <w:pPr>
              <w:pStyle w:val="TableParagraph"/>
              <w:rPr>
                <w:b/>
                <w:sz w:val="20"/>
              </w:rPr>
            </w:pPr>
          </w:p>
          <w:p>
            <w:pPr>
              <w:pStyle w:val="TableParagraph"/>
              <w:rPr>
                <w:b/>
                <w:sz w:val="20"/>
              </w:rPr>
            </w:pPr>
          </w:p>
          <w:p>
            <w:pPr>
              <w:pStyle w:val="TableParagraph"/>
              <w:spacing w:before="178"/>
              <w:ind w:left="2509" w:right="2397"/>
              <w:jc w:val="center"/>
              <w:rPr>
                <w:sz w:val="21"/>
              </w:rPr>
            </w:pPr>
            <w:r>
              <w:rPr>
                <w:sz w:val="21"/>
              </w:rPr>
              <w:t>中心频率，Hz </w:t>
            </w:r>
          </w:p>
        </w:tc>
        <w:tc>
          <w:tcPr>
            <w:tcW w:w="768" w:type="dxa"/>
            <w:vMerge w:val="restart"/>
          </w:tcPr>
          <w:p>
            <w:pPr>
              <w:pStyle w:val="TableParagraph"/>
              <w:rPr>
                <w:b/>
                <w:sz w:val="20"/>
              </w:rPr>
            </w:pPr>
          </w:p>
          <w:p>
            <w:pPr>
              <w:pStyle w:val="TableParagraph"/>
              <w:spacing w:before="11"/>
              <w:rPr>
                <w:b/>
                <w:sz w:val="14"/>
              </w:rPr>
            </w:pPr>
          </w:p>
          <w:p>
            <w:pPr>
              <w:pStyle w:val="TableParagraph"/>
              <w:spacing w:line="446" w:lineRule="auto"/>
              <w:ind w:left="172" w:right="161"/>
              <w:jc w:val="both"/>
              <w:rPr>
                <w:sz w:val="21"/>
              </w:rPr>
            </w:pPr>
            <w:r>
              <w:rPr>
                <w:sz w:val="21"/>
              </w:rPr>
              <w:t>计权值， dB </w:t>
            </w:r>
          </w:p>
        </w:tc>
        <w:tc>
          <w:tcPr>
            <w:tcW w:w="1539" w:type="dxa"/>
            <w:gridSpan w:val="2"/>
          </w:tcPr>
          <w:p>
            <w:pPr>
              <w:pStyle w:val="TableParagraph"/>
              <w:spacing w:before="10"/>
              <w:rPr>
                <w:b/>
                <w:sz w:val="14"/>
              </w:rPr>
            </w:pPr>
          </w:p>
          <w:p>
            <w:pPr>
              <w:pStyle w:val="TableParagraph"/>
              <w:spacing w:before="1"/>
              <w:ind w:left="722" w:right="607"/>
              <w:jc w:val="center"/>
              <w:rPr>
                <w:sz w:val="21"/>
              </w:rPr>
            </w:pPr>
            <w:r>
              <w:rPr>
                <w:position w:val="1"/>
                <w:sz w:val="21"/>
              </w:rPr>
              <w:t>k</w:t>
            </w:r>
            <w:r>
              <w:rPr>
                <w:sz w:val="11"/>
              </w:rPr>
              <w:t>j</w:t>
            </w:r>
            <w:r>
              <w:rPr>
                <w:w w:val="100"/>
                <w:position w:val="1"/>
                <w:sz w:val="21"/>
              </w:rPr>
              <w:t> </w:t>
            </w:r>
          </w:p>
        </w:tc>
      </w:tr>
      <w:tr>
        <w:trPr>
          <w:trHeight w:val="1499" w:hRule="atLeast"/>
        </w:trPr>
        <w:tc>
          <w:tcPr>
            <w:tcW w:w="6217" w:type="dxa"/>
            <w:vMerge/>
            <w:tcBorders>
              <w:top w:val="nil"/>
            </w:tcBorders>
          </w:tcPr>
          <w:p>
            <w:pPr>
              <w:rPr>
                <w:sz w:val="2"/>
                <w:szCs w:val="2"/>
              </w:rPr>
            </w:pPr>
          </w:p>
        </w:tc>
        <w:tc>
          <w:tcPr>
            <w:tcW w:w="768" w:type="dxa"/>
            <w:vMerge/>
            <w:tcBorders>
              <w:top w:val="nil"/>
            </w:tcBorders>
          </w:tcPr>
          <w:p>
            <w:pPr>
              <w:rPr>
                <w:sz w:val="2"/>
                <w:szCs w:val="2"/>
              </w:rPr>
            </w:pPr>
          </w:p>
        </w:tc>
        <w:tc>
          <w:tcPr>
            <w:tcW w:w="771" w:type="dxa"/>
          </w:tcPr>
          <w:p>
            <w:pPr>
              <w:pStyle w:val="TableParagraph"/>
              <w:spacing w:line="500" w:lineRule="exact"/>
              <w:ind w:left="172" w:right="163" w:firstLine="53"/>
              <w:jc w:val="both"/>
              <w:rPr>
                <w:sz w:val="21"/>
              </w:rPr>
            </w:pPr>
            <w:r>
              <w:rPr>
                <w:sz w:val="21"/>
              </w:rPr>
              <w:t>1/3 倍频程 </w:t>
            </w:r>
          </w:p>
        </w:tc>
        <w:tc>
          <w:tcPr>
            <w:tcW w:w="768" w:type="dxa"/>
          </w:tcPr>
          <w:p>
            <w:pPr>
              <w:pStyle w:val="TableParagraph"/>
              <w:rPr>
                <w:b/>
                <w:sz w:val="20"/>
              </w:rPr>
            </w:pPr>
          </w:p>
          <w:p>
            <w:pPr>
              <w:pStyle w:val="TableParagraph"/>
              <w:spacing w:before="4"/>
              <w:rPr>
                <w:b/>
                <w:sz w:val="14"/>
              </w:rPr>
            </w:pPr>
          </w:p>
          <w:p>
            <w:pPr>
              <w:pStyle w:val="TableParagraph"/>
              <w:spacing w:line="446" w:lineRule="auto"/>
              <w:ind w:left="278" w:right="161" w:hanging="106"/>
              <w:rPr>
                <w:sz w:val="21"/>
              </w:rPr>
            </w:pPr>
            <w:r>
              <w:rPr>
                <w:sz w:val="21"/>
              </w:rPr>
              <w:t>倍频程 </w:t>
            </w:r>
          </w:p>
        </w:tc>
      </w:tr>
      <w:tr>
        <w:trPr>
          <w:trHeight w:val="499" w:hRule="atLeast"/>
        </w:trPr>
        <w:tc>
          <w:tcPr>
            <w:tcW w:w="6217" w:type="dxa"/>
          </w:tcPr>
          <w:p>
            <w:pPr>
              <w:pStyle w:val="TableParagraph"/>
              <w:spacing w:before="11"/>
              <w:rPr>
                <w:b/>
                <w:sz w:val="14"/>
              </w:rPr>
            </w:pPr>
          </w:p>
          <w:p>
            <w:pPr>
              <w:pStyle w:val="TableParagraph"/>
              <w:ind w:left="2949"/>
              <w:rPr>
                <w:sz w:val="21"/>
              </w:rPr>
            </w:pPr>
            <w:r>
              <w:rPr>
                <w:sz w:val="21"/>
              </w:rPr>
              <w:t>6.3 </w:t>
            </w:r>
          </w:p>
        </w:tc>
        <w:tc>
          <w:tcPr>
            <w:tcW w:w="768" w:type="dxa"/>
          </w:tcPr>
          <w:p>
            <w:pPr>
              <w:pStyle w:val="TableParagraph"/>
              <w:spacing w:before="11"/>
              <w:rPr>
                <w:b/>
                <w:sz w:val="14"/>
              </w:rPr>
            </w:pPr>
          </w:p>
          <w:p>
            <w:pPr>
              <w:pStyle w:val="TableParagraph"/>
              <w:ind w:right="213"/>
              <w:jc w:val="right"/>
              <w:rPr>
                <w:sz w:val="21"/>
              </w:rPr>
            </w:pPr>
            <w:r>
              <w:rPr>
                <w:sz w:val="21"/>
              </w:rPr>
              <w:t>0 </w:t>
            </w:r>
          </w:p>
        </w:tc>
        <w:tc>
          <w:tcPr>
            <w:tcW w:w="771" w:type="dxa"/>
          </w:tcPr>
          <w:p>
            <w:pPr>
              <w:pStyle w:val="TableParagraph"/>
              <w:spacing w:before="11"/>
              <w:rPr>
                <w:b/>
                <w:sz w:val="14"/>
              </w:rPr>
            </w:pPr>
          </w:p>
          <w:p>
            <w:pPr>
              <w:pStyle w:val="TableParagraph"/>
              <w:ind w:left="225"/>
              <w:rPr>
                <w:sz w:val="21"/>
              </w:rPr>
            </w:pPr>
            <w:r>
              <w:rPr>
                <w:sz w:val="21"/>
              </w:rPr>
              <w:t>1.0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501" w:hRule="atLeast"/>
        </w:trPr>
        <w:tc>
          <w:tcPr>
            <w:tcW w:w="6217" w:type="dxa"/>
          </w:tcPr>
          <w:p>
            <w:pPr>
              <w:pStyle w:val="TableParagraph"/>
              <w:spacing w:before="11"/>
              <w:rPr>
                <w:b/>
                <w:sz w:val="14"/>
              </w:rPr>
            </w:pPr>
          </w:p>
          <w:p>
            <w:pPr>
              <w:pStyle w:val="TableParagraph"/>
              <w:ind w:left="2509" w:right="2394"/>
              <w:jc w:val="center"/>
              <w:rPr>
                <w:sz w:val="21"/>
              </w:rPr>
            </w:pPr>
            <w:r>
              <w:rPr>
                <w:sz w:val="21"/>
              </w:rPr>
              <w:t>8 </w:t>
            </w:r>
          </w:p>
        </w:tc>
        <w:tc>
          <w:tcPr>
            <w:tcW w:w="768" w:type="dxa"/>
          </w:tcPr>
          <w:p>
            <w:pPr>
              <w:pStyle w:val="TableParagraph"/>
              <w:spacing w:before="11"/>
              <w:rPr>
                <w:b/>
                <w:sz w:val="14"/>
              </w:rPr>
            </w:pPr>
          </w:p>
          <w:p>
            <w:pPr>
              <w:pStyle w:val="TableParagraph"/>
              <w:ind w:right="213"/>
              <w:jc w:val="right"/>
              <w:rPr>
                <w:sz w:val="21"/>
              </w:rPr>
            </w:pPr>
            <w:r>
              <w:rPr>
                <w:sz w:val="21"/>
              </w:rPr>
              <w:t>0 </w:t>
            </w:r>
          </w:p>
        </w:tc>
        <w:tc>
          <w:tcPr>
            <w:tcW w:w="771" w:type="dxa"/>
          </w:tcPr>
          <w:p>
            <w:pPr>
              <w:pStyle w:val="TableParagraph"/>
              <w:spacing w:before="11"/>
              <w:rPr>
                <w:b/>
                <w:sz w:val="14"/>
              </w:rPr>
            </w:pPr>
          </w:p>
          <w:p>
            <w:pPr>
              <w:pStyle w:val="TableParagraph"/>
              <w:ind w:left="225"/>
              <w:rPr>
                <w:sz w:val="21"/>
              </w:rPr>
            </w:pPr>
            <w:r>
              <w:rPr>
                <w:sz w:val="21"/>
              </w:rPr>
              <w:t>1.0 </w:t>
            </w:r>
          </w:p>
        </w:tc>
        <w:tc>
          <w:tcPr>
            <w:tcW w:w="768" w:type="dxa"/>
          </w:tcPr>
          <w:p>
            <w:pPr>
              <w:pStyle w:val="TableParagraph"/>
              <w:spacing w:before="11"/>
              <w:rPr>
                <w:b/>
                <w:sz w:val="14"/>
              </w:rPr>
            </w:pPr>
          </w:p>
          <w:p>
            <w:pPr>
              <w:pStyle w:val="TableParagraph"/>
              <w:ind w:left="152" w:right="40"/>
              <w:jc w:val="center"/>
              <w:rPr>
                <w:sz w:val="21"/>
              </w:rPr>
            </w:pPr>
            <w:r>
              <w:rPr>
                <w:sz w:val="21"/>
              </w:rPr>
              <w:t>1.0 </w:t>
            </w:r>
          </w:p>
        </w:tc>
      </w:tr>
      <w:tr>
        <w:trPr>
          <w:trHeight w:val="498" w:hRule="atLeast"/>
        </w:trPr>
        <w:tc>
          <w:tcPr>
            <w:tcW w:w="6217" w:type="dxa"/>
          </w:tcPr>
          <w:p>
            <w:pPr>
              <w:pStyle w:val="TableParagraph"/>
              <w:spacing w:before="11"/>
              <w:rPr>
                <w:b/>
                <w:sz w:val="14"/>
              </w:rPr>
            </w:pPr>
          </w:p>
          <w:p>
            <w:pPr>
              <w:pStyle w:val="TableParagraph"/>
              <w:ind w:left="2509" w:right="2394"/>
              <w:jc w:val="center"/>
              <w:rPr>
                <w:sz w:val="21"/>
              </w:rPr>
            </w:pPr>
            <w:r>
              <w:rPr>
                <w:sz w:val="21"/>
              </w:rPr>
              <w:t>10 </w:t>
            </w:r>
          </w:p>
        </w:tc>
        <w:tc>
          <w:tcPr>
            <w:tcW w:w="768" w:type="dxa"/>
          </w:tcPr>
          <w:p>
            <w:pPr>
              <w:pStyle w:val="TableParagraph"/>
              <w:spacing w:before="11"/>
              <w:rPr>
                <w:b/>
                <w:sz w:val="14"/>
              </w:rPr>
            </w:pPr>
          </w:p>
          <w:p>
            <w:pPr>
              <w:pStyle w:val="TableParagraph"/>
              <w:ind w:right="213"/>
              <w:jc w:val="right"/>
              <w:rPr>
                <w:sz w:val="21"/>
              </w:rPr>
            </w:pPr>
            <w:r>
              <w:rPr>
                <w:sz w:val="21"/>
              </w:rPr>
              <w:t>0 </w:t>
            </w:r>
          </w:p>
        </w:tc>
        <w:tc>
          <w:tcPr>
            <w:tcW w:w="771" w:type="dxa"/>
          </w:tcPr>
          <w:p>
            <w:pPr>
              <w:pStyle w:val="TableParagraph"/>
              <w:spacing w:before="11"/>
              <w:rPr>
                <w:b/>
                <w:sz w:val="14"/>
              </w:rPr>
            </w:pPr>
          </w:p>
          <w:p>
            <w:pPr>
              <w:pStyle w:val="TableParagraph"/>
              <w:ind w:left="225"/>
              <w:rPr>
                <w:sz w:val="21"/>
              </w:rPr>
            </w:pPr>
            <w:r>
              <w:rPr>
                <w:sz w:val="21"/>
              </w:rPr>
              <w:t>1.0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501" w:hRule="atLeast"/>
        </w:trPr>
        <w:tc>
          <w:tcPr>
            <w:tcW w:w="6217" w:type="dxa"/>
          </w:tcPr>
          <w:p>
            <w:pPr>
              <w:pStyle w:val="TableParagraph"/>
              <w:spacing w:before="11"/>
              <w:rPr>
                <w:b/>
                <w:sz w:val="14"/>
              </w:rPr>
            </w:pPr>
          </w:p>
          <w:p>
            <w:pPr>
              <w:pStyle w:val="TableParagraph"/>
              <w:ind w:left="2844"/>
              <w:rPr>
                <w:sz w:val="21"/>
              </w:rPr>
            </w:pPr>
            <w:r>
              <w:rPr>
                <w:sz w:val="21"/>
              </w:rPr>
              <w:t>12. 5 </w:t>
            </w:r>
          </w:p>
        </w:tc>
        <w:tc>
          <w:tcPr>
            <w:tcW w:w="768" w:type="dxa"/>
          </w:tcPr>
          <w:p>
            <w:pPr>
              <w:pStyle w:val="TableParagraph"/>
              <w:spacing w:before="11"/>
              <w:rPr>
                <w:b/>
                <w:sz w:val="14"/>
              </w:rPr>
            </w:pPr>
          </w:p>
          <w:p>
            <w:pPr>
              <w:pStyle w:val="TableParagraph"/>
              <w:ind w:right="213"/>
              <w:jc w:val="right"/>
              <w:rPr>
                <w:sz w:val="21"/>
              </w:rPr>
            </w:pPr>
            <w:r>
              <w:rPr>
                <w:sz w:val="21"/>
              </w:rPr>
              <w:t>0 </w:t>
            </w:r>
          </w:p>
        </w:tc>
        <w:tc>
          <w:tcPr>
            <w:tcW w:w="771" w:type="dxa"/>
          </w:tcPr>
          <w:p>
            <w:pPr>
              <w:pStyle w:val="TableParagraph"/>
              <w:spacing w:before="11"/>
              <w:rPr>
                <w:b/>
                <w:sz w:val="14"/>
              </w:rPr>
            </w:pPr>
          </w:p>
          <w:p>
            <w:pPr>
              <w:pStyle w:val="TableParagraph"/>
              <w:ind w:left="225"/>
              <w:rPr>
                <w:sz w:val="21"/>
              </w:rPr>
            </w:pPr>
            <w:r>
              <w:rPr>
                <w:sz w:val="21"/>
              </w:rPr>
              <w:t>1.0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498" w:hRule="atLeast"/>
        </w:trPr>
        <w:tc>
          <w:tcPr>
            <w:tcW w:w="6217" w:type="dxa"/>
          </w:tcPr>
          <w:p>
            <w:pPr>
              <w:pStyle w:val="TableParagraph"/>
              <w:spacing w:before="11"/>
              <w:rPr>
                <w:b/>
                <w:sz w:val="14"/>
              </w:rPr>
            </w:pPr>
          </w:p>
          <w:p>
            <w:pPr>
              <w:pStyle w:val="TableParagraph"/>
              <w:ind w:left="2509" w:right="2394"/>
              <w:jc w:val="center"/>
              <w:rPr>
                <w:sz w:val="21"/>
              </w:rPr>
            </w:pPr>
            <w:r>
              <w:rPr>
                <w:sz w:val="21"/>
              </w:rPr>
              <w:t>16 </w:t>
            </w:r>
          </w:p>
        </w:tc>
        <w:tc>
          <w:tcPr>
            <w:tcW w:w="768" w:type="dxa"/>
          </w:tcPr>
          <w:p>
            <w:pPr>
              <w:pStyle w:val="TableParagraph"/>
              <w:spacing w:before="11"/>
              <w:rPr>
                <w:b/>
                <w:sz w:val="14"/>
              </w:rPr>
            </w:pPr>
          </w:p>
          <w:p>
            <w:pPr>
              <w:pStyle w:val="TableParagraph"/>
              <w:ind w:right="213"/>
              <w:jc w:val="right"/>
              <w:rPr>
                <w:sz w:val="21"/>
              </w:rPr>
            </w:pPr>
            <w:r>
              <w:rPr>
                <w:sz w:val="21"/>
              </w:rPr>
              <w:t>0 </w:t>
            </w:r>
          </w:p>
        </w:tc>
        <w:tc>
          <w:tcPr>
            <w:tcW w:w="771" w:type="dxa"/>
          </w:tcPr>
          <w:p>
            <w:pPr>
              <w:pStyle w:val="TableParagraph"/>
              <w:spacing w:before="11"/>
              <w:rPr>
                <w:b/>
                <w:sz w:val="14"/>
              </w:rPr>
            </w:pPr>
          </w:p>
          <w:p>
            <w:pPr>
              <w:pStyle w:val="TableParagraph"/>
              <w:ind w:left="225"/>
              <w:rPr>
                <w:sz w:val="21"/>
              </w:rPr>
            </w:pPr>
            <w:r>
              <w:rPr>
                <w:sz w:val="21"/>
              </w:rPr>
              <w:t>1.0 </w:t>
            </w:r>
          </w:p>
        </w:tc>
        <w:tc>
          <w:tcPr>
            <w:tcW w:w="768" w:type="dxa"/>
          </w:tcPr>
          <w:p>
            <w:pPr>
              <w:pStyle w:val="TableParagraph"/>
              <w:spacing w:before="11"/>
              <w:rPr>
                <w:b/>
                <w:sz w:val="14"/>
              </w:rPr>
            </w:pPr>
          </w:p>
          <w:p>
            <w:pPr>
              <w:pStyle w:val="TableParagraph"/>
              <w:ind w:left="152" w:right="40"/>
              <w:jc w:val="center"/>
              <w:rPr>
                <w:sz w:val="21"/>
              </w:rPr>
            </w:pPr>
            <w:r>
              <w:rPr>
                <w:sz w:val="21"/>
              </w:rPr>
              <w:t>1.0 </w:t>
            </w:r>
          </w:p>
        </w:tc>
      </w:tr>
      <w:tr>
        <w:trPr>
          <w:trHeight w:val="501" w:hRule="atLeast"/>
        </w:trPr>
        <w:tc>
          <w:tcPr>
            <w:tcW w:w="6217" w:type="dxa"/>
          </w:tcPr>
          <w:p>
            <w:pPr>
              <w:pStyle w:val="TableParagraph"/>
              <w:spacing w:before="11"/>
              <w:rPr>
                <w:b/>
                <w:sz w:val="14"/>
              </w:rPr>
            </w:pPr>
          </w:p>
          <w:p>
            <w:pPr>
              <w:pStyle w:val="TableParagraph"/>
              <w:ind w:left="2509" w:right="2394"/>
              <w:jc w:val="center"/>
              <w:rPr>
                <w:sz w:val="21"/>
              </w:rPr>
            </w:pPr>
            <w:r>
              <w:rPr>
                <w:sz w:val="21"/>
              </w:rPr>
              <w:t>20 </w:t>
            </w:r>
          </w:p>
        </w:tc>
        <w:tc>
          <w:tcPr>
            <w:tcW w:w="768" w:type="dxa"/>
          </w:tcPr>
          <w:p>
            <w:pPr>
              <w:pStyle w:val="TableParagraph"/>
              <w:spacing w:before="11"/>
              <w:rPr>
                <w:b/>
                <w:sz w:val="14"/>
              </w:rPr>
            </w:pPr>
          </w:p>
          <w:p>
            <w:pPr>
              <w:pStyle w:val="TableParagraph"/>
              <w:ind w:right="161"/>
              <w:jc w:val="right"/>
              <w:rPr>
                <w:sz w:val="21"/>
              </w:rPr>
            </w:pPr>
            <w:r>
              <w:rPr>
                <w:sz w:val="21"/>
              </w:rPr>
              <w:t>-2 </w:t>
            </w:r>
          </w:p>
        </w:tc>
        <w:tc>
          <w:tcPr>
            <w:tcW w:w="771" w:type="dxa"/>
          </w:tcPr>
          <w:p>
            <w:pPr>
              <w:pStyle w:val="TableParagraph"/>
              <w:spacing w:before="11"/>
              <w:rPr>
                <w:b/>
                <w:sz w:val="14"/>
              </w:rPr>
            </w:pPr>
          </w:p>
          <w:p>
            <w:pPr>
              <w:pStyle w:val="TableParagraph"/>
              <w:ind w:left="172"/>
              <w:rPr>
                <w:sz w:val="21"/>
              </w:rPr>
            </w:pPr>
            <w:r>
              <w:rPr>
                <w:sz w:val="21"/>
              </w:rPr>
              <w:t>0.79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499" w:hRule="atLeast"/>
        </w:trPr>
        <w:tc>
          <w:tcPr>
            <w:tcW w:w="6217" w:type="dxa"/>
          </w:tcPr>
          <w:p>
            <w:pPr>
              <w:pStyle w:val="TableParagraph"/>
              <w:spacing w:before="11"/>
              <w:rPr>
                <w:b/>
                <w:sz w:val="14"/>
              </w:rPr>
            </w:pPr>
          </w:p>
          <w:p>
            <w:pPr>
              <w:pStyle w:val="TableParagraph"/>
              <w:ind w:left="2509" w:right="2394"/>
              <w:jc w:val="center"/>
              <w:rPr>
                <w:sz w:val="21"/>
              </w:rPr>
            </w:pPr>
            <w:r>
              <w:rPr>
                <w:sz w:val="21"/>
              </w:rPr>
              <w:t>25 </w:t>
            </w:r>
          </w:p>
        </w:tc>
        <w:tc>
          <w:tcPr>
            <w:tcW w:w="768" w:type="dxa"/>
          </w:tcPr>
          <w:p>
            <w:pPr>
              <w:pStyle w:val="TableParagraph"/>
              <w:spacing w:before="11"/>
              <w:rPr>
                <w:b/>
                <w:sz w:val="14"/>
              </w:rPr>
            </w:pPr>
          </w:p>
          <w:p>
            <w:pPr>
              <w:pStyle w:val="TableParagraph"/>
              <w:ind w:right="161"/>
              <w:jc w:val="right"/>
              <w:rPr>
                <w:sz w:val="21"/>
              </w:rPr>
            </w:pPr>
            <w:r>
              <w:rPr>
                <w:sz w:val="21"/>
              </w:rPr>
              <w:t>-4 </w:t>
            </w:r>
          </w:p>
        </w:tc>
        <w:tc>
          <w:tcPr>
            <w:tcW w:w="771" w:type="dxa"/>
          </w:tcPr>
          <w:p>
            <w:pPr>
              <w:pStyle w:val="TableParagraph"/>
              <w:spacing w:before="11"/>
              <w:rPr>
                <w:b/>
                <w:sz w:val="14"/>
              </w:rPr>
            </w:pPr>
          </w:p>
          <w:p>
            <w:pPr>
              <w:pStyle w:val="TableParagraph"/>
              <w:ind w:left="172"/>
              <w:rPr>
                <w:sz w:val="21"/>
              </w:rPr>
            </w:pPr>
            <w:r>
              <w:rPr>
                <w:sz w:val="21"/>
              </w:rPr>
              <w:t>0.63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501" w:hRule="atLeast"/>
        </w:trPr>
        <w:tc>
          <w:tcPr>
            <w:tcW w:w="6217" w:type="dxa"/>
          </w:tcPr>
          <w:p>
            <w:pPr>
              <w:pStyle w:val="TableParagraph"/>
              <w:spacing w:before="11"/>
              <w:rPr>
                <w:b/>
                <w:sz w:val="14"/>
              </w:rPr>
            </w:pPr>
          </w:p>
          <w:p>
            <w:pPr>
              <w:pStyle w:val="TableParagraph"/>
              <w:ind w:left="2897"/>
              <w:rPr>
                <w:sz w:val="21"/>
              </w:rPr>
            </w:pPr>
            <w:r>
              <w:rPr>
                <w:sz w:val="21"/>
              </w:rPr>
              <w:t>31.5 </w:t>
            </w:r>
          </w:p>
        </w:tc>
        <w:tc>
          <w:tcPr>
            <w:tcW w:w="768" w:type="dxa"/>
          </w:tcPr>
          <w:p>
            <w:pPr>
              <w:pStyle w:val="TableParagraph"/>
              <w:spacing w:before="11"/>
              <w:rPr>
                <w:b/>
                <w:sz w:val="14"/>
              </w:rPr>
            </w:pPr>
          </w:p>
          <w:p>
            <w:pPr>
              <w:pStyle w:val="TableParagraph"/>
              <w:ind w:right="161"/>
              <w:jc w:val="right"/>
              <w:rPr>
                <w:sz w:val="21"/>
              </w:rPr>
            </w:pPr>
            <w:r>
              <w:rPr>
                <w:sz w:val="21"/>
              </w:rPr>
              <w:t>-6 </w:t>
            </w:r>
          </w:p>
        </w:tc>
        <w:tc>
          <w:tcPr>
            <w:tcW w:w="771" w:type="dxa"/>
          </w:tcPr>
          <w:p>
            <w:pPr>
              <w:pStyle w:val="TableParagraph"/>
              <w:spacing w:before="11"/>
              <w:rPr>
                <w:b/>
                <w:sz w:val="14"/>
              </w:rPr>
            </w:pPr>
          </w:p>
          <w:p>
            <w:pPr>
              <w:pStyle w:val="TableParagraph"/>
              <w:ind w:left="225"/>
              <w:rPr>
                <w:sz w:val="21"/>
              </w:rPr>
            </w:pPr>
            <w:r>
              <w:rPr>
                <w:sz w:val="21"/>
              </w:rPr>
              <w:t>0.5 </w:t>
            </w:r>
          </w:p>
        </w:tc>
        <w:tc>
          <w:tcPr>
            <w:tcW w:w="768" w:type="dxa"/>
          </w:tcPr>
          <w:p>
            <w:pPr>
              <w:pStyle w:val="TableParagraph"/>
              <w:spacing w:before="11"/>
              <w:rPr>
                <w:b/>
                <w:sz w:val="14"/>
              </w:rPr>
            </w:pPr>
          </w:p>
          <w:p>
            <w:pPr>
              <w:pStyle w:val="TableParagraph"/>
              <w:ind w:left="152" w:right="40"/>
              <w:jc w:val="center"/>
              <w:rPr>
                <w:sz w:val="21"/>
              </w:rPr>
            </w:pPr>
            <w:r>
              <w:rPr>
                <w:sz w:val="21"/>
              </w:rPr>
              <w:t>0.5 </w:t>
            </w:r>
          </w:p>
        </w:tc>
      </w:tr>
      <w:tr>
        <w:trPr>
          <w:trHeight w:val="498" w:hRule="atLeast"/>
        </w:trPr>
        <w:tc>
          <w:tcPr>
            <w:tcW w:w="6217" w:type="dxa"/>
          </w:tcPr>
          <w:p>
            <w:pPr>
              <w:pStyle w:val="TableParagraph"/>
              <w:spacing w:before="11"/>
              <w:rPr>
                <w:b/>
                <w:sz w:val="14"/>
              </w:rPr>
            </w:pPr>
          </w:p>
          <w:p>
            <w:pPr>
              <w:pStyle w:val="TableParagraph"/>
              <w:ind w:left="2509" w:right="2394"/>
              <w:jc w:val="center"/>
              <w:rPr>
                <w:sz w:val="21"/>
              </w:rPr>
            </w:pPr>
            <w:r>
              <w:rPr>
                <w:sz w:val="21"/>
              </w:rPr>
              <w:t>40 </w:t>
            </w:r>
          </w:p>
        </w:tc>
        <w:tc>
          <w:tcPr>
            <w:tcW w:w="768" w:type="dxa"/>
          </w:tcPr>
          <w:p>
            <w:pPr>
              <w:pStyle w:val="TableParagraph"/>
              <w:spacing w:before="11"/>
              <w:rPr>
                <w:b/>
                <w:sz w:val="14"/>
              </w:rPr>
            </w:pPr>
          </w:p>
          <w:p>
            <w:pPr>
              <w:pStyle w:val="TableParagraph"/>
              <w:ind w:right="161"/>
              <w:jc w:val="right"/>
              <w:rPr>
                <w:sz w:val="21"/>
              </w:rPr>
            </w:pPr>
            <w:r>
              <w:rPr>
                <w:sz w:val="21"/>
              </w:rPr>
              <w:t>-8 </w:t>
            </w:r>
          </w:p>
        </w:tc>
        <w:tc>
          <w:tcPr>
            <w:tcW w:w="771" w:type="dxa"/>
          </w:tcPr>
          <w:p>
            <w:pPr>
              <w:pStyle w:val="TableParagraph"/>
              <w:spacing w:before="11"/>
              <w:rPr>
                <w:b/>
                <w:sz w:val="14"/>
              </w:rPr>
            </w:pPr>
          </w:p>
          <w:p>
            <w:pPr>
              <w:pStyle w:val="TableParagraph"/>
              <w:ind w:left="225"/>
              <w:rPr>
                <w:sz w:val="21"/>
              </w:rPr>
            </w:pPr>
            <w:r>
              <w:rPr>
                <w:sz w:val="21"/>
              </w:rPr>
              <w:t>0.4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501" w:hRule="atLeast"/>
        </w:trPr>
        <w:tc>
          <w:tcPr>
            <w:tcW w:w="6217" w:type="dxa"/>
          </w:tcPr>
          <w:p>
            <w:pPr>
              <w:pStyle w:val="TableParagraph"/>
              <w:spacing w:before="11"/>
              <w:rPr>
                <w:b/>
                <w:sz w:val="14"/>
              </w:rPr>
            </w:pPr>
          </w:p>
          <w:p>
            <w:pPr>
              <w:pStyle w:val="TableParagraph"/>
              <w:ind w:left="2509" w:right="2394"/>
              <w:jc w:val="center"/>
              <w:rPr>
                <w:sz w:val="21"/>
              </w:rPr>
            </w:pPr>
            <w:r>
              <w:rPr>
                <w:sz w:val="21"/>
              </w:rPr>
              <w:t>50 </w:t>
            </w:r>
          </w:p>
        </w:tc>
        <w:tc>
          <w:tcPr>
            <w:tcW w:w="768" w:type="dxa"/>
          </w:tcPr>
          <w:p>
            <w:pPr>
              <w:pStyle w:val="TableParagraph"/>
              <w:spacing w:before="11"/>
              <w:rPr>
                <w:b/>
                <w:sz w:val="14"/>
              </w:rPr>
            </w:pPr>
          </w:p>
          <w:p>
            <w:pPr>
              <w:pStyle w:val="TableParagraph"/>
              <w:ind w:right="110"/>
              <w:jc w:val="right"/>
              <w:rPr>
                <w:sz w:val="21"/>
              </w:rPr>
            </w:pPr>
            <w:r>
              <w:rPr>
                <w:sz w:val="21"/>
              </w:rPr>
              <w:t>-10 </w:t>
            </w:r>
          </w:p>
        </w:tc>
        <w:tc>
          <w:tcPr>
            <w:tcW w:w="771" w:type="dxa"/>
          </w:tcPr>
          <w:p>
            <w:pPr>
              <w:pStyle w:val="TableParagraph"/>
              <w:spacing w:before="11"/>
              <w:rPr>
                <w:b/>
                <w:sz w:val="14"/>
              </w:rPr>
            </w:pPr>
          </w:p>
          <w:p>
            <w:pPr>
              <w:pStyle w:val="TableParagraph"/>
              <w:ind w:left="225"/>
              <w:rPr>
                <w:sz w:val="21"/>
              </w:rPr>
            </w:pPr>
            <w:r>
              <w:rPr>
                <w:sz w:val="21"/>
              </w:rPr>
              <w:t>0.3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498" w:hRule="atLeast"/>
        </w:trPr>
        <w:tc>
          <w:tcPr>
            <w:tcW w:w="6217" w:type="dxa"/>
          </w:tcPr>
          <w:p>
            <w:pPr>
              <w:pStyle w:val="TableParagraph"/>
              <w:spacing w:before="11"/>
              <w:rPr>
                <w:b/>
                <w:sz w:val="14"/>
              </w:rPr>
            </w:pPr>
          </w:p>
          <w:p>
            <w:pPr>
              <w:pStyle w:val="TableParagraph"/>
              <w:ind w:left="2509" w:right="2394"/>
              <w:jc w:val="center"/>
              <w:rPr>
                <w:sz w:val="21"/>
              </w:rPr>
            </w:pPr>
            <w:r>
              <w:rPr>
                <w:sz w:val="21"/>
              </w:rPr>
              <w:t>63 </w:t>
            </w:r>
          </w:p>
        </w:tc>
        <w:tc>
          <w:tcPr>
            <w:tcW w:w="768" w:type="dxa"/>
          </w:tcPr>
          <w:p>
            <w:pPr>
              <w:pStyle w:val="TableParagraph"/>
              <w:spacing w:before="11"/>
              <w:rPr>
                <w:b/>
                <w:sz w:val="14"/>
              </w:rPr>
            </w:pPr>
          </w:p>
          <w:p>
            <w:pPr>
              <w:pStyle w:val="TableParagraph"/>
              <w:ind w:right="110"/>
              <w:jc w:val="right"/>
              <w:rPr>
                <w:sz w:val="21"/>
              </w:rPr>
            </w:pPr>
            <w:r>
              <w:rPr>
                <w:sz w:val="21"/>
              </w:rPr>
              <w:t>-12 </w:t>
            </w:r>
          </w:p>
        </w:tc>
        <w:tc>
          <w:tcPr>
            <w:tcW w:w="771" w:type="dxa"/>
          </w:tcPr>
          <w:p>
            <w:pPr>
              <w:pStyle w:val="TableParagraph"/>
              <w:spacing w:before="11"/>
              <w:rPr>
                <w:b/>
                <w:sz w:val="14"/>
              </w:rPr>
            </w:pPr>
          </w:p>
          <w:p>
            <w:pPr>
              <w:pStyle w:val="TableParagraph"/>
              <w:ind w:left="172"/>
              <w:rPr>
                <w:sz w:val="21"/>
              </w:rPr>
            </w:pPr>
            <w:r>
              <w:rPr>
                <w:sz w:val="21"/>
              </w:rPr>
              <w:t>0.25 </w:t>
            </w:r>
          </w:p>
        </w:tc>
        <w:tc>
          <w:tcPr>
            <w:tcW w:w="768" w:type="dxa"/>
          </w:tcPr>
          <w:p>
            <w:pPr>
              <w:pStyle w:val="TableParagraph"/>
              <w:spacing w:before="11"/>
              <w:rPr>
                <w:b/>
                <w:sz w:val="14"/>
              </w:rPr>
            </w:pPr>
          </w:p>
          <w:p>
            <w:pPr>
              <w:pStyle w:val="TableParagraph"/>
              <w:ind w:left="152" w:right="40"/>
              <w:jc w:val="center"/>
              <w:rPr>
                <w:sz w:val="21"/>
              </w:rPr>
            </w:pPr>
            <w:r>
              <w:rPr>
                <w:sz w:val="21"/>
              </w:rPr>
              <w:t>0.25 </w:t>
            </w:r>
          </w:p>
        </w:tc>
      </w:tr>
      <w:tr>
        <w:trPr>
          <w:trHeight w:val="501" w:hRule="atLeast"/>
        </w:trPr>
        <w:tc>
          <w:tcPr>
            <w:tcW w:w="6217" w:type="dxa"/>
          </w:tcPr>
          <w:p>
            <w:pPr>
              <w:pStyle w:val="TableParagraph"/>
              <w:spacing w:before="11"/>
              <w:rPr>
                <w:b/>
                <w:sz w:val="14"/>
              </w:rPr>
            </w:pPr>
          </w:p>
          <w:p>
            <w:pPr>
              <w:pStyle w:val="TableParagraph"/>
              <w:ind w:left="2509" w:right="2394"/>
              <w:jc w:val="center"/>
              <w:rPr>
                <w:sz w:val="21"/>
              </w:rPr>
            </w:pPr>
            <w:r>
              <w:rPr>
                <w:sz w:val="21"/>
              </w:rPr>
              <w:t>80 </w:t>
            </w:r>
          </w:p>
        </w:tc>
        <w:tc>
          <w:tcPr>
            <w:tcW w:w="768" w:type="dxa"/>
          </w:tcPr>
          <w:p>
            <w:pPr>
              <w:pStyle w:val="TableParagraph"/>
              <w:spacing w:before="11"/>
              <w:rPr>
                <w:b/>
                <w:sz w:val="14"/>
              </w:rPr>
            </w:pPr>
          </w:p>
          <w:p>
            <w:pPr>
              <w:pStyle w:val="TableParagraph"/>
              <w:ind w:right="110"/>
              <w:jc w:val="right"/>
              <w:rPr>
                <w:sz w:val="21"/>
              </w:rPr>
            </w:pPr>
            <w:r>
              <w:rPr>
                <w:sz w:val="21"/>
              </w:rPr>
              <w:t>-14 </w:t>
            </w:r>
          </w:p>
        </w:tc>
        <w:tc>
          <w:tcPr>
            <w:tcW w:w="771" w:type="dxa"/>
          </w:tcPr>
          <w:p>
            <w:pPr>
              <w:pStyle w:val="TableParagraph"/>
              <w:spacing w:before="11"/>
              <w:rPr>
                <w:b/>
                <w:sz w:val="14"/>
              </w:rPr>
            </w:pPr>
          </w:p>
          <w:p>
            <w:pPr>
              <w:pStyle w:val="TableParagraph"/>
              <w:ind w:left="225"/>
              <w:rPr>
                <w:sz w:val="21"/>
              </w:rPr>
            </w:pPr>
            <w:r>
              <w:rPr>
                <w:sz w:val="21"/>
              </w:rPr>
              <w:t>0.2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499" w:hRule="atLeast"/>
        </w:trPr>
        <w:tc>
          <w:tcPr>
            <w:tcW w:w="6217" w:type="dxa"/>
          </w:tcPr>
          <w:p>
            <w:pPr>
              <w:pStyle w:val="TableParagraph"/>
              <w:spacing w:before="11"/>
              <w:rPr>
                <w:b/>
                <w:sz w:val="14"/>
              </w:rPr>
            </w:pPr>
          </w:p>
          <w:p>
            <w:pPr>
              <w:pStyle w:val="TableParagraph"/>
              <w:spacing w:before="1"/>
              <w:ind w:left="2949"/>
              <w:rPr>
                <w:sz w:val="21"/>
              </w:rPr>
            </w:pPr>
            <w:r>
              <w:rPr>
                <w:sz w:val="21"/>
              </w:rPr>
              <w:t>100 </w:t>
            </w:r>
          </w:p>
        </w:tc>
        <w:tc>
          <w:tcPr>
            <w:tcW w:w="768" w:type="dxa"/>
          </w:tcPr>
          <w:p>
            <w:pPr>
              <w:pStyle w:val="TableParagraph"/>
              <w:spacing w:before="11"/>
              <w:rPr>
                <w:b/>
                <w:sz w:val="14"/>
              </w:rPr>
            </w:pPr>
          </w:p>
          <w:p>
            <w:pPr>
              <w:pStyle w:val="TableParagraph"/>
              <w:spacing w:before="1"/>
              <w:ind w:right="110"/>
              <w:jc w:val="right"/>
              <w:rPr>
                <w:sz w:val="21"/>
              </w:rPr>
            </w:pPr>
            <w:r>
              <w:rPr>
                <w:sz w:val="21"/>
              </w:rPr>
              <w:t>-16 </w:t>
            </w:r>
          </w:p>
        </w:tc>
        <w:tc>
          <w:tcPr>
            <w:tcW w:w="771" w:type="dxa"/>
          </w:tcPr>
          <w:p>
            <w:pPr>
              <w:pStyle w:val="TableParagraph"/>
              <w:spacing w:before="11"/>
              <w:rPr>
                <w:b/>
                <w:sz w:val="14"/>
              </w:rPr>
            </w:pPr>
          </w:p>
          <w:p>
            <w:pPr>
              <w:pStyle w:val="TableParagraph"/>
              <w:spacing w:before="1"/>
              <w:ind w:left="172"/>
              <w:rPr>
                <w:sz w:val="21"/>
              </w:rPr>
            </w:pPr>
            <w:r>
              <w:rPr>
                <w:sz w:val="21"/>
              </w:rPr>
              <w:t>0.16 </w:t>
            </w:r>
          </w:p>
        </w:tc>
        <w:tc>
          <w:tcPr>
            <w:tcW w:w="768" w:type="dxa"/>
          </w:tcPr>
          <w:p>
            <w:pPr>
              <w:pStyle w:val="TableParagraph"/>
              <w:spacing w:before="11"/>
              <w:rPr>
                <w:b/>
                <w:sz w:val="14"/>
              </w:rPr>
            </w:pPr>
          </w:p>
          <w:p>
            <w:pPr>
              <w:pStyle w:val="TableParagraph"/>
              <w:spacing w:before="1"/>
              <w:ind w:left="152" w:right="37"/>
              <w:jc w:val="center"/>
              <w:rPr>
                <w:sz w:val="21"/>
              </w:rPr>
            </w:pPr>
            <w:r>
              <w:rPr>
                <w:sz w:val="21"/>
              </w:rPr>
              <w:t>— </w:t>
            </w:r>
          </w:p>
        </w:tc>
      </w:tr>
      <w:tr>
        <w:trPr>
          <w:trHeight w:val="501" w:hRule="atLeast"/>
        </w:trPr>
        <w:tc>
          <w:tcPr>
            <w:tcW w:w="6217" w:type="dxa"/>
          </w:tcPr>
          <w:p>
            <w:pPr>
              <w:pStyle w:val="TableParagraph"/>
              <w:spacing w:before="11"/>
              <w:rPr>
                <w:b/>
                <w:sz w:val="14"/>
              </w:rPr>
            </w:pPr>
          </w:p>
          <w:p>
            <w:pPr>
              <w:pStyle w:val="TableParagraph"/>
              <w:ind w:left="2949"/>
              <w:rPr>
                <w:sz w:val="21"/>
              </w:rPr>
            </w:pPr>
            <w:r>
              <w:rPr>
                <w:sz w:val="21"/>
              </w:rPr>
              <w:t>125 </w:t>
            </w:r>
          </w:p>
        </w:tc>
        <w:tc>
          <w:tcPr>
            <w:tcW w:w="768" w:type="dxa"/>
          </w:tcPr>
          <w:p>
            <w:pPr>
              <w:pStyle w:val="TableParagraph"/>
              <w:spacing w:before="11"/>
              <w:rPr>
                <w:b/>
                <w:sz w:val="14"/>
              </w:rPr>
            </w:pPr>
          </w:p>
          <w:p>
            <w:pPr>
              <w:pStyle w:val="TableParagraph"/>
              <w:ind w:right="110"/>
              <w:jc w:val="right"/>
              <w:rPr>
                <w:sz w:val="21"/>
              </w:rPr>
            </w:pPr>
            <w:r>
              <w:rPr>
                <w:sz w:val="21"/>
              </w:rPr>
              <w:t>-18 </w:t>
            </w:r>
          </w:p>
        </w:tc>
        <w:tc>
          <w:tcPr>
            <w:tcW w:w="771" w:type="dxa"/>
          </w:tcPr>
          <w:p>
            <w:pPr>
              <w:pStyle w:val="TableParagraph"/>
              <w:spacing w:before="11"/>
              <w:rPr>
                <w:b/>
                <w:sz w:val="14"/>
              </w:rPr>
            </w:pPr>
          </w:p>
          <w:p>
            <w:pPr>
              <w:pStyle w:val="TableParagraph"/>
              <w:ind w:left="172"/>
              <w:rPr>
                <w:sz w:val="21"/>
              </w:rPr>
            </w:pPr>
            <w:r>
              <w:rPr>
                <w:sz w:val="21"/>
              </w:rPr>
              <w:t>0.13 </w:t>
            </w:r>
          </w:p>
        </w:tc>
        <w:tc>
          <w:tcPr>
            <w:tcW w:w="768" w:type="dxa"/>
          </w:tcPr>
          <w:p>
            <w:pPr>
              <w:pStyle w:val="TableParagraph"/>
              <w:spacing w:before="11"/>
              <w:rPr>
                <w:b/>
                <w:sz w:val="14"/>
              </w:rPr>
            </w:pPr>
          </w:p>
          <w:p>
            <w:pPr>
              <w:pStyle w:val="TableParagraph"/>
              <w:ind w:left="152" w:right="40"/>
              <w:jc w:val="center"/>
              <w:rPr>
                <w:sz w:val="21"/>
              </w:rPr>
            </w:pPr>
            <w:r>
              <w:rPr>
                <w:sz w:val="21"/>
              </w:rPr>
              <w:t>0.125 </w:t>
            </w:r>
          </w:p>
        </w:tc>
      </w:tr>
      <w:tr>
        <w:trPr>
          <w:trHeight w:val="498" w:hRule="atLeast"/>
        </w:trPr>
        <w:tc>
          <w:tcPr>
            <w:tcW w:w="6217" w:type="dxa"/>
          </w:tcPr>
          <w:p>
            <w:pPr>
              <w:pStyle w:val="TableParagraph"/>
              <w:spacing w:before="11"/>
              <w:rPr>
                <w:b/>
                <w:sz w:val="14"/>
              </w:rPr>
            </w:pPr>
          </w:p>
          <w:p>
            <w:pPr>
              <w:pStyle w:val="TableParagraph"/>
              <w:ind w:left="2949"/>
              <w:rPr>
                <w:sz w:val="21"/>
              </w:rPr>
            </w:pPr>
            <w:r>
              <w:rPr>
                <w:sz w:val="21"/>
              </w:rPr>
              <w:t>160 </w:t>
            </w:r>
          </w:p>
        </w:tc>
        <w:tc>
          <w:tcPr>
            <w:tcW w:w="768" w:type="dxa"/>
          </w:tcPr>
          <w:p>
            <w:pPr>
              <w:pStyle w:val="TableParagraph"/>
              <w:spacing w:before="11"/>
              <w:rPr>
                <w:b/>
                <w:sz w:val="14"/>
              </w:rPr>
            </w:pPr>
          </w:p>
          <w:p>
            <w:pPr>
              <w:pStyle w:val="TableParagraph"/>
              <w:ind w:right="110"/>
              <w:jc w:val="right"/>
              <w:rPr>
                <w:sz w:val="21"/>
              </w:rPr>
            </w:pPr>
            <w:r>
              <w:rPr>
                <w:sz w:val="21"/>
              </w:rPr>
              <w:t>-20 </w:t>
            </w:r>
          </w:p>
        </w:tc>
        <w:tc>
          <w:tcPr>
            <w:tcW w:w="771" w:type="dxa"/>
          </w:tcPr>
          <w:p>
            <w:pPr>
              <w:pStyle w:val="TableParagraph"/>
              <w:spacing w:before="11"/>
              <w:rPr>
                <w:b/>
                <w:sz w:val="14"/>
              </w:rPr>
            </w:pPr>
          </w:p>
          <w:p>
            <w:pPr>
              <w:pStyle w:val="TableParagraph"/>
              <w:ind w:left="172"/>
              <w:rPr>
                <w:sz w:val="21"/>
              </w:rPr>
            </w:pPr>
            <w:r>
              <w:rPr>
                <w:sz w:val="21"/>
              </w:rPr>
              <w:t>0.10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501" w:hRule="atLeast"/>
        </w:trPr>
        <w:tc>
          <w:tcPr>
            <w:tcW w:w="6217" w:type="dxa"/>
          </w:tcPr>
          <w:p>
            <w:pPr>
              <w:pStyle w:val="TableParagraph"/>
              <w:spacing w:before="11"/>
              <w:rPr>
                <w:b/>
                <w:sz w:val="14"/>
              </w:rPr>
            </w:pPr>
          </w:p>
          <w:p>
            <w:pPr>
              <w:pStyle w:val="TableParagraph"/>
              <w:ind w:left="2949"/>
              <w:rPr>
                <w:sz w:val="21"/>
              </w:rPr>
            </w:pPr>
            <w:r>
              <w:rPr>
                <w:sz w:val="21"/>
              </w:rPr>
              <w:t>200 </w:t>
            </w:r>
          </w:p>
        </w:tc>
        <w:tc>
          <w:tcPr>
            <w:tcW w:w="768" w:type="dxa"/>
          </w:tcPr>
          <w:p>
            <w:pPr>
              <w:pStyle w:val="TableParagraph"/>
              <w:spacing w:before="11"/>
              <w:rPr>
                <w:b/>
                <w:sz w:val="14"/>
              </w:rPr>
            </w:pPr>
          </w:p>
          <w:p>
            <w:pPr>
              <w:pStyle w:val="TableParagraph"/>
              <w:ind w:right="110"/>
              <w:jc w:val="right"/>
              <w:rPr>
                <w:sz w:val="21"/>
              </w:rPr>
            </w:pPr>
            <w:r>
              <w:rPr>
                <w:sz w:val="21"/>
              </w:rPr>
              <w:t>-22 </w:t>
            </w:r>
          </w:p>
        </w:tc>
        <w:tc>
          <w:tcPr>
            <w:tcW w:w="771" w:type="dxa"/>
          </w:tcPr>
          <w:p>
            <w:pPr>
              <w:pStyle w:val="TableParagraph"/>
              <w:spacing w:before="11"/>
              <w:rPr>
                <w:b/>
                <w:sz w:val="14"/>
              </w:rPr>
            </w:pPr>
          </w:p>
          <w:p>
            <w:pPr>
              <w:pStyle w:val="TableParagraph"/>
              <w:ind w:left="172"/>
              <w:rPr>
                <w:sz w:val="21"/>
              </w:rPr>
            </w:pPr>
            <w:r>
              <w:rPr>
                <w:sz w:val="21"/>
              </w:rPr>
              <w:t>0.08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498" w:hRule="atLeast"/>
        </w:trPr>
        <w:tc>
          <w:tcPr>
            <w:tcW w:w="6217" w:type="dxa"/>
          </w:tcPr>
          <w:p>
            <w:pPr>
              <w:pStyle w:val="TableParagraph"/>
              <w:spacing w:before="11"/>
              <w:rPr>
                <w:b/>
                <w:sz w:val="14"/>
              </w:rPr>
            </w:pPr>
          </w:p>
          <w:p>
            <w:pPr>
              <w:pStyle w:val="TableParagraph"/>
              <w:ind w:left="2949"/>
              <w:rPr>
                <w:sz w:val="21"/>
              </w:rPr>
            </w:pPr>
            <w:r>
              <w:rPr>
                <w:sz w:val="21"/>
              </w:rPr>
              <w:t>250 </w:t>
            </w:r>
          </w:p>
        </w:tc>
        <w:tc>
          <w:tcPr>
            <w:tcW w:w="768" w:type="dxa"/>
          </w:tcPr>
          <w:p>
            <w:pPr>
              <w:pStyle w:val="TableParagraph"/>
              <w:spacing w:before="11"/>
              <w:rPr>
                <w:b/>
                <w:sz w:val="14"/>
              </w:rPr>
            </w:pPr>
          </w:p>
          <w:p>
            <w:pPr>
              <w:pStyle w:val="TableParagraph"/>
              <w:ind w:right="110"/>
              <w:jc w:val="right"/>
              <w:rPr>
                <w:sz w:val="21"/>
              </w:rPr>
            </w:pPr>
            <w:r>
              <w:rPr>
                <w:sz w:val="21"/>
              </w:rPr>
              <w:t>-24 </w:t>
            </w:r>
          </w:p>
        </w:tc>
        <w:tc>
          <w:tcPr>
            <w:tcW w:w="771" w:type="dxa"/>
          </w:tcPr>
          <w:p>
            <w:pPr>
              <w:pStyle w:val="TableParagraph"/>
              <w:spacing w:before="11"/>
              <w:rPr>
                <w:b/>
                <w:sz w:val="14"/>
              </w:rPr>
            </w:pPr>
          </w:p>
          <w:p>
            <w:pPr>
              <w:pStyle w:val="TableParagraph"/>
              <w:ind w:left="172"/>
              <w:rPr>
                <w:sz w:val="21"/>
              </w:rPr>
            </w:pPr>
            <w:r>
              <w:rPr>
                <w:sz w:val="21"/>
              </w:rPr>
              <w:t>0.06 </w:t>
            </w:r>
          </w:p>
        </w:tc>
        <w:tc>
          <w:tcPr>
            <w:tcW w:w="768" w:type="dxa"/>
          </w:tcPr>
          <w:p>
            <w:pPr>
              <w:pStyle w:val="TableParagraph"/>
              <w:spacing w:before="11"/>
              <w:rPr>
                <w:b/>
                <w:sz w:val="14"/>
              </w:rPr>
            </w:pPr>
          </w:p>
          <w:p>
            <w:pPr>
              <w:pStyle w:val="TableParagraph"/>
              <w:ind w:left="152" w:right="40"/>
              <w:jc w:val="center"/>
              <w:rPr>
                <w:sz w:val="21"/>
              </w:rPr>
            </w:pPr>
            <w:r>
              <w:rPr>
                <w:sz w:val="21"/>
              </w:rPr>
              <w:t>0.063 </w:t>
            </w:r>
          </w:p>
        </w:tc>
      </w:tr>
      <w:tr>
        <w:trPr>
          <w:trHeight w:val="501" w:hRule="atLeast"/>
        </w:trPr>
        <w:tc>
          <w:tcPr>
            <w:tcW w:w="6217" w:type="dxa"/>
          </w:tcPr>
          <w:p>
            <w:pPr>
              <w:pStyle w:val="TableParagraph"/>
              <w:spacing w:before="11"/>
              <w:rPr>
                <w:b/>
                <w:sz w:val="14"/>
              </w:rPr>
            </w:pPr>
          </w:p>
          <w:p>
            <w:pPr>
              <w:pStyle w:val="TableParagraph"/>
              <w:ind w:left="2949"/>
              <w:rPr>
                <w:sz w:val="21"/>
              </w:rPr>
            </w:pPr>
            <w:r>
              <w:rPr>
                <w:sz w:val="21"/>
              </w:rPr>
              <w:t>315 </w:t>
            </w:r>
          </w:p>
        </w:tc>
        <w:tc>
          <w:tcPr>
            <w:tcW w:w="768" w:type="dxa"/>
          </w:tcPr>
          <w:p>
            <w:pPr>
              <w:pStyle w:val="TableParagraph"/>
              <w:spacing w:before="11"/>
              <w:rPr>
                <w:b/>
                <w:sz w:val="14"/>
              </w:rPr>
            </w:pPr>
          </w:p>
          <w:p>
            <w:pPr>
              <w:pStyle w:val="TableParagraph"/>
              <w:ind w:right="110"/>
              <w:jc w:val="right"/>
              <w:rPr>
                <w:sz w:val="21"/>
              </w:rPr>
            </w:pPr>
            <w:r>
              <w:rPr>
                <w:sz w:val="21"/>
              </w:rPr>
              <w:t>-26 </w:t>
            </w:r>
          </w:p>
        </w:tc>
        <w:tc>
          <w:tcPr>
            <w:tcW w:w="771" w:type="dxa"/>
          </w:tcPr>
          <w:p>
            <w:pPr>
              <w:pStyle w:val="TableParagraph"/>
              <w:spacing w:before="11"/>
              <w:rPr>
                <w:b/>
                <w:sz w:val="14"/>
              </w:rPr>
            </w:pPr>
          </w:p>
          <w:p>
            <w:pPr>
              <w:pStyle w:val="TableParagraph"/>
              <w:ind w:left="172"/>
              <w:rPr>
                <w:sz w:val="21"/>
              </w:rPr>
            </w:pPr>
            <w:r>
              <w:rPr>
                <w:sz w:val="21"/>
              </w:rPr>
              <w:t>0.06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499" w:hRule="atLeast"/>
        </w:trPr>
        <w:tc>
          <w:tcPr>
            <w:tcW w:w="6217" w:type="dxa"/>
          </w:tcPr>
          <w:p>
            <w:pPr>
              <w:pStyle w:val="TableParagraph"/>
              <w:spacing w:before="11"/>
              <w:rPr>
                <w:b/>
                <w:sz w:val="14"/>
              </w:rPr>
            </w:pPr>
          </w:p>
          <w:p>
            <w:pPr>
              <w:pStyle w:val="TableParagraph"/>
              <w:ind w:left="2949"/>
              <w:rPr>
                <w:sz w:val="21"/>
              </w:rPr>
            </w:pPr>
            <w:r>
              <w:rPr>
                <w:sz w:val="21"/>
              </w:rPr>
              <w:t>400 </w:t>
            </w:r>
          </w:p>
        </w:tc>
        <w:tc>
          <w:tcPr>
            <w:tcW w:w="768" w:type="dxa"/>
          </w:tcPr>
          <w:p>
            <w:pPr>
              <w:pStyle w:val="TableParagraph"/>
              <w:spacing w:before="11"/>
              <w:rPr>
                <w:b/>
                <w:sz w:val="14"/>
              </w:rPr>
            </w:pPr>
          </w:p>
          <w:p>
            <w:pPr>
              <w:pStyle w:val="TableParagraph"/>
              <w:ind w:right="110"/>
              <w:jc w:val="right"/>
              <w:rPr>
                <w:sz w:val="21"/>
              </w:rPr>
            </w:pPr>
            <w:r>
              <w:rPr>
                <w:sz w:val="21"/>
              </w:rPr>
              <w:t>-28 </w:t>
            </w:r>
          </w:p>
        </w:tc>
        <w:tc>
          <w:tcPr>
            <w:tcW w:w="771" w:type="dxa"/>
          </w:tcPr>
          <w:p>
            <w:pPr>
              <w:pStyle w:val="TableParagraph"/>
              <w:spacing w:before="11"/>
              <w:rPr>
                <w:b/>
                <w:sz w:val="14"/>
              </w:rPr>
            </w:pPr>
          </w:p>
          <w:p>
            <w:pPr>
              <w:pStyle w:val="TableParagraph"/>
              <w:ind w:left="172"/>
              <w:rPr>
                <w:sz w:val="21"/>
              </w:rPr>
            </w:pPr>
            <w:r>
              <w:rPr>
                <w:sz w:val="21"/>
              </w:rPr>
              <w:t>0.04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r>
        <w:trPr>
          <w:trHeight w:val="501" w:hRule="atLeast"/>
        </w:trPr>
        <w:tc>
          <w:tcPr>
            <w:tcW w:w="6217" w:type="dxa"/>
          </w:tcPr>
          <w:p>
            <w:pPr>
              <w:pStyle w:val="TableParagraph"/>
              <w:spacing w:before="11"/>
              <w:rPr>
                <w:b/>
                <w:sz w:val="14"/>
              </w:rPr>
            </w:pPr>
          </w:p>
          <w:p>
            <w:pPr>
              <w:pStyle w:val="TableParagraph"/>
              <w:ind w:left="2949"/>
              <w:rPr>
                <w:sz w:val="21"/>
              </w:rPr>
            </w:pPr>
            <w:r>
              <w:rPr>
                <w:sz w:val="21"/>
              </w:rPr>
              <w:t>500 </w:t>
            </w:r>
          </w:p>
        </w:tc>
        <w:tc>
          <w:tcPr>
            <w:tcW w:w="768" w:type="dxa"/>
          </w:tcPr>
          <w:p>
            <w:pPr>
              <w:pStyle w:val="TableParagraph"/>
              <w:spacing w:before="11"/>
              <w:rPr>
                <w:b/>
                <w:sz w:val="14"/>
              </w:rPr>
            </w:pPr>
          </w:p>
          <w:p>
            <w:pPr>
              <w:pStyle w:val="TableParagraph"/>
              <w:ind w:right="110"/>
              <w:jc w:val="right"/>
              <w:rPr>
                <w:sz w:val="21"/>
              </w:rPr>
            </w:pPr>
            <w:r>
              <w:rPr>
                <w:sz w:val="21"/>
              </w:rPr>
              <w:t>-30 </w:t>
            </w:r>
          </w:p>
        </w:tc>
        <w:tc>
          <w:tcPr>
            <w:tcW w:w="771" w:type="dxa"/>
          </w:tcPr>
          <w:p>
            <w:pPr>
              <w:pStyle w:val="TableParagraph"/>
              <w:spacing w:before="11"/>
              <w:rPr>
                <w:b/>
                <w:sz w:val="14"/>
              </w:rPr>
            </w:pPr>
          </w:p>
          <w:p>
            <w:pPr>
              <w:pStyle w:val="TableParagraph"/>
              <w:ind w:left="172"/>
              <w:rPr>
                <w:sz w:val="21"/>
              </w:rPr>
            </w:pPr>
            <w:r>
              <w:rPr>
                <w:sz w:val="21"/>
              </w:rPr>
              <w:t>0.03 </w:t>
            </w:r>
          </w:p>
        </w:tc>
        <w:tc>
          <w:tcPr>
            <w:tcW w:w="768" w:type="dxa"/>
          </w:tcPr>
          <w:p>
            <w:pPr>
              <w:pStyle w:val="TableParagraph"/>
              <w:spacing w:before="11"/>
              <w:rPr>
                <w:b/>
                <w:sz w:val="14"/>
              </w:rPr>
            </w:pPr>
          </w:p>
          <w:p>
            <w:pPr>
              <w:pStyle w:val="TableParagraph"/>
              <w:ind w:left="152" w:right="40"/>
              <w:jc w:val="center"/>
              <w:rPr>
                <w:sz w:val="21"/>
              </w:rPr>
            </w:pPr>
            <w:r>
              <w:rPr>
                <w:sz w:val="21"/>
              </w:rPr>
              <w:t>0.03 </w:t>
            </w:r>
          </w:p>
        </w:tc>
      </w:tr>
      <w:tr>
        <w:trPr>
          <w:trHeight w:val="498" w:hRule="atLeast"/>
        </w:trPr>
        <w:tc>
          <w:tcPr>
            <w:tcW w:w="6217" w:type="dxa"/>
          </w:tcPr>
          <w:p>
            <w:pPr>
              <w:pStyle w:val="TableParagraph"/>
              <w:spacing w:before="11"/>
              <w:rPr>
                <w:b/>
                <w:sz w:val="14"/>
              </w:rPr>
            </w:pPr>
          </w:p>
          <w:p>
            <w:pPr>
              <w:pStyle w:val="TableParagraph"/>
              <w:ind w:left="2949"/>
              <w:rPr>
                <w:sz w:val="21"/>
              </w:rPr>
            </w:pPr>
            <w:r>
              <w:rPr>
                <w:sz w:val="21"/>
              </w:rPr>
              <w:t>630 </w:t>
            </w:r>
          </w:p>
        </w:tc>
        <w:tc>
          <w:tcPr>
            <w:tcW w:w="768" w:type="dxa"/>
          </w:tcPr>
          <w:p>
            <w:pPr>
              <w:pStyle w:val="TableParagraph"/>
              <w:spacing w:before="11"/>
              <w:rPr>
                <w:b/>
                <w:sz w:val="14"/>
              </w:rPr>
            </w:pPr>
          </w:p>
          <w:p>
            <w:pPr>
              <w:pStyle w:val="TableParagraph"/>
              <w:ind w:right="110"/>
              <w:jc w:val="right"/>
              <w:rPr>
                <w:sz w:val="21"/>
              </w:rPr>
            </w:pPr>
            <w:r>
              <w:rPr>
                <w:sz w:val="21"/>
              </w:rPr>
              <w:t>-32 </w:t>
            </w:r>
          </w:p>
        </w:tc>
        <w:tc>
          <w:tcPr>
            <w:tcW w:w="771" w:type="dxa"/>
          </w:tcPr>
          <w:p>
            <w:pPr>
              <w:pStyle w:val="TableParagraph"/>
              <w:spacing w:before="11"/>
              <w:rPr>
                <w:b/>
                <w:sz w:val="14"/>
              </w:rPr>
            </w:pPr>
          </w:p>
          <w:p>
            <w:pPr>
              <w:pStyle w:val="TableParagraph"/>
              <w:ind w:left="172"/>
              <w:rPr>
                <w:sz w:val="21"/>
              </w:rPr>
            </w:pPr>
            <w:r>
              <w:rPr>
                <w:sz w:val="21"/>
              </w:rPr>
              <w:t>0.03 </w:t>
            </w:r>
          </w:p>
        </w:tc>
        <w:tc>
          <w:tcPr>
            <w:tcW w:w="768" w:type="dxa"/>
          </w:tcPr>
          <w:p>
            <w:pPr>
              <w:pStyle w:val="TableParagraph"/>
              <w:spacing w:before="11"/>
              <w:rPr>
                <w:b/>
                <w:sz w:val="14"/>
              </w:rPr>
            </w:pPr>
          </w:p>
          <w:p>
            <w:pPr>
              <w:pStyle w:val="TableParagraph"/>
              <w:ind w:left="152" w:right="37"/>
              <w:jc w:val="center"/>
              <w:rPr>
                <w:sz w:val="21"/>
              </w:rPr>
            </w:pPr>
            <w:r>
              <w:rPr>
                <w:sz w:val="21"/>
              </w:rPr>
              <w:t>— </w:t>
            </w:r>
          </w:p>
        </w:tc>
      </w:tr>
    </w:tbl>
    <w:p>
      <w:pPr>
        <w:spacing w:after="0"/>
        <w:jc w:val="center"/>
        <w:rPr>
          <w:sz w:val="21"/>
        </w:rPr>
        <w:sectPr>
          <w:pgSz w:w="11910" w:h="16850"/>
          <w:pgMar w:header="0" w:footer="1239" w:top="1040" w:bottom="1420" w:left="1260" w:right="0"/>
        </w:sectPr>
      </w:pP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17"/>
        <w:gridCol w:w="768"/>
        <w:gridCol w:w="771"/>
        <w:gridCol w:w="768"/>
      </w:tblGrid>
      <w:tr>
        <w:trPr>
          <w:trHeight w:val="499" w:hRule="atLeast"/>
        </w:trPr>
        <w:tc>
          <w:tcPr>
            <w:tcW w:w="6217" w:type="dxa"/>
          </w:tcPr>
          <w:p>
            <w:pPr>
              <w:pStyle w:val="TableParagraph"/>
              <w:spacing w:before="8"/>
              <w:rPr>
                <w:b/>
                <w:sz w:val="14"/>
              </w:rPr>
            </w:pPr>
          </w:p>
          <w:p>
            <w:pPr>
              <w:pStyle w:val="TableParagraph"/>
              <w:ind w:left="2509" w:right="2397"/>
              <w:jc w:val="center"/>
              <w:rPr>
                <w:sz w:val="21"/>
              </w:rPr>
            </w:pPr>
            <w:r>
              <w:rPr>
                <w:sz w:val="21"/>
              </w:rPr>
              <w:t>800 </w:t>
            </w:r>
          </w:p>
        </w:tc>
        <w:tc>
          <w:tcPr>
            <w:tcW w:w="768" w:type="dxa"/>
          </w:tcPr>
          <w:p>
            <w:pPr>
              <w:pStyle w:val="TableParagraph"/>
              <w:spacing w:before="8"/>
              <w:rPr>
                <w:b/>
                <w:sz w:val="14"/>
              </w:rPr>
            </w:pPr>
          </w:p>
          <w:p>
            <w:pPr>
              <w:pStyle w:val="TableParagraph"/>
              <w:ind w:right="110"/>
              <w:jc w:val="right"/>
              <w:rPr>
                <w:sz w:val="21"/>
              </w:rPr>
            </w:pPr>
            <w:r>
              <w:rPr>
                <w:sz w:val="21"/>
              </w:rPr>
              <w:t>-34 </w:t>
            </w:r>
          </w:p>
        </w:tc>
        <w:tc>
          <w:tcPr>
            <w:tcW w:w="771" w:type="dxa"/>
          </w:tcPr>
          <w:p>
            <w:pPr>
              <w:pStyle w:val="TableParagraph"/>
              <w:spacing w:before="8"/>
              <w:rPr>
                <w:b/>
                <w:sz w:val="14"/>
              </w:rPr>
            </w:pPr>
          </w:p>
          <w:p>
            <w:pPr>
              <w:pStyle w:val="TableParagraph"/>
              <w:ind w:right="60"/>
              <w:jc w:val="right"/>
              <w:rPr>
                <w:sz w:val="21"/>
              </w:rPr>
            </w:pPr>
            <w:r>
              <w:rPr>
                <w:sz w:val="21"/>
              </w:rPr>
              <w:t>0.02 </w:t>
            </w:r>
          </w:p>
        </w:tc>
        <w:tc>
          <w:tcPr>
            <w:tcW w:w="768" w:type="dxa"/>
          </w:tcPr>
          <w:p>
            <w:pPr>
              <w:pStyle w:val="TableParagraph"/>
              <w:spacing w:before="8"/>
              <w:rPr>
                <w:b/>
                <w:sz w:val="14"/>
              </w:rPr>
            </w:pPr>
          </w:p>
          <w:p>
            <w:pPr>
              <w:pStyle w:val="TableParagraph"/>
              <w:ind w:left="152" w:right="37"/>
              <w:jc w:val="center"/>
              <w:rPr>
                <w:sz w:val="21"/>
              </w:rPr>
            </w:pPr>
            <w:r>
              <w:rPr>
                <w:sz w:val="21"/>
              </w:rPr>
              <w:t>— </w:t>
            </w:r>
          </w:p>
        </w:tc>
      </w:tr>
      <w:tr>
        <w:trPr>
          <w:trHeight w:val="501" w:hRule="atLeast"/>
        </w:trPr>
        <w:tc>
          <w:tcPr>
            <w:tcW w:w="6217" w:type="dxa"/>
          </w:tcPr>
          <w:p>
            <w:pPr>
              <w:pStyle w:val="TableParagraph"/>
              <w:spacing w:before="8"/>
              <w:rPr>
                <w:b/>
                <w:sz w:val="14"/>
              </w:rPr>
            </w:pPr>
          </w:p>
          <w:p>
            <w:pPr>
              <w:pStyle w:val="TableParagraph"/>
              <w:ind w:left="2509" w:right="2397"/>
              <w:jc w:val="center"/>
              <w:rPr>
                <w:sz w:val="21"/>
              </w:rPr>
            </w:pPr>
            <w:r>
              <w:rPr>
                <w:sz w:val="21"/>
              </w:rPr>
              <w:t>1000 </w:t>
            </w:r>
          </w:p>
        </w:tc>
        <w:tc>
          <w:tcPr>
            <w:tcW w:w="768" w:type="dxa"/>
          </w:tcPr>
          <w:p>
            <w:pPr>
              <w:pStyle w:val="TableParagraph"/>
              <w:spacing w:before="8"/>
              <w:rPr>
                <w:b/>
                <w:sz w:val="14"/>
              </w:rPr>
            </w:pPr>
          </w:p>
          <w:p>
            <w:pPr>
              <w:pStyle w:val="TableParagraph"/>
              <w:ind w:right="110"/>
              <w:jc w:val="right"/>
              <w:rPr>
                <w:sz w:val="21"/>
              </w:rPr>
            </w:pPr>
            <w:r>
              <w:rPr>
                <w:sz w:val="21"/>
              </w:rPr>
              <w:t>-36 </w:t>
            </w:r>
          </w:p>
        </w:tc>
        <w:tc>
          <w:tcPr>
            <w:tcW w:w="771" w:type="dxa"/>
          </w:tcPr>
          <w:p>
            <w:pPr>
              <w:pStyle w:val="TableParagraph"/>
              <w:spacing w:before="8"/>
              <w:rPr>
                <w:b/>
                <w:sz w:val="14"/>
              </w:rPr>
            </w:pPr>
          </w:p>
          <w:p>
            <w:pPr>
              <w:pStyle w:val="TableParagraph"/>
              <w:ind w:right="60"/>
              <w:jc w:val="right"/>
              <w:rPr>
                <w:sz w:val="21"/>
              </w:rPr>
            </w:pPr>
            <w:r>
              <w:rPr>
                <w:sz w:val="21"/>
              </w:rPr>
              <w:t>0.02 </w:t>
            </w:r>
          </w:p>
        </w:tc>
        <w:tc>
          <w:tcPr>
            <w:tcW w:w="768" w:type="dxa"/>
          </w:tcPr>
          <w:p>
            <w:pPr>
              <w:pStyle w:val="TableParagraph"/>
              <w:spacing w:before="8"/>
              <w:rPr>
                <w:b/>
                <w:sz w:val="14"/>
              </w:rPr>
            </w:pPr>
          </w:p>
          <w:p>
            <w:pPr>
              <w:pStyle w:val="TableParagraph"/>
              <w:ind w:left="152" w:right="40"/>
              <w:jc w:val="center"/>
              <w:rPr>
                <w:sz w:val="21"/>
              </w:rPr>
            </w:pPr>
            <w:r>
              <w:rPr>
                <w:sz w:val="21"/>
              </w:rPr>
              <w:t>0.016 </w:t>
            </w:r>
          </w:p>
        </w:tc>
      </w:tr>
      <w:tr>
        <w:trPr>
          <w:trHeight w:val="290" w:hRule="atLeast"/>
        </w:trPr>
        <w:tc>
          <w:tcPr>
            <w:tcW w:w="6217" w:type="dxa"/>
          </w:tcPr>
          <w:p>
            <w:pPr>
              <w:pStyle w:val="TableParagraph"/>
              <w:spacing w:line="263" w:lineRule="exact" w:before="7"/>
              <w:ind w:left="2509" w:right="2397"/>
              <w:jc w:val="center"/>
              <w:rPr>
                <w:sz w:val="21"/>
              </w:rPr>
            </w:pPr>
            <w:r>
              <w:rPr>
                <w:sz w:val="21"/>
              </w:rPr>
              <w:t>1250 </w:t>
            </w:r>
          </w:p>
        </w:tc>
        <w:tc>
          <w:tcPr>
            <w:tcW w:w="768" w:type="dxa"/>
          </w:tcPr>
          <w:p>
            <w:pPr>
              <w:pStyle w:val="TableParagraph"/>
              <w:spacing w:line="263" w:lineRule="exact" w:before="7"/>
              <w:ind w:right="110"/>
              <w:jc w:val="right"/>
              <w:rPr>
                <w:sz w:val="21"/>
              </w:rPr>
            </w:pPr>
            <w:r>
              <w:rPr>
                <w:sz w:val="21"/>
              </w:rPr>
              <w:t>-38 </w:t>
            </w:r>
          </w:p>
        </w:tc>
        <w:tc>
          <w:tcPr>
            <w:tcW w:w="771" w:type="dxa"/>
          </w:tcPr>
          <w:p>
            <w:pPr>
              <w:pStyle w:val="TableParagraph"/>
              <w:spacing w:line="263" w:lineRule="exact" w:before="7"/>
              <w:ind w:right="60"/>
              <w:jc w:val="right"/>
              <w:rPr>
                <w:sz w:val="21"/>
              </w:rPr>
            </w:pPr>
            <w:r>
              <w:rPr>
                <w:sz w:val="21"/>
              </w:rPr>
              <w:t>0.01 </w:t>
            </w:r>
          </w:p>
        </w:tc>
        <w:tc>
          <w:tcPr>
            <w:tcW w:w="768" w:type="dxa"/>
          </w:tcPr>
          <w:p>
            <w:pPr>
              <w:pStyle w:val="TableParagraph"/>
              <w:spacing w:line="263" w:lineRule="exact" w:before="7"/>
              <w:ind w:left="152" w:right="37"/>
              <w:jc w:val="center"/>
              <w:rPr>
                <w:sz w:val="21"/>
              </w:rPr>
            </w:pPr>
            <w:r>
              <w:rPr>
                <w:sz w:val="21"/>
              </w:rPr>
              <w:t>— </w:t>
            </w:r>
          </w:p>
        </w:tc>
      </w:tr>
    </w:tbl>
    <w:p>
      <w:pPr>
        <w:tabs>
          <w:tab w:pos="9222" w:val="left" w:leader="none"/>
        </w:tabs>
        <w:spacing w:line="267" w:lineRule="exact" w:before="0"/>
        <w:ind w:left="3281" w:right="0" w:firstLine="0"/>
        <w:jc w:val="left"/>
        <w:rPr>
          <w:b/>
          <w:sz w:val="21"/>
        </w:rPr>
      </w:pPr>
      <w:r>
        <w:rPr>
          <w:b/>
          <w:sz w:val="21"/>
        </w:rPr>
        <w:t>图</w:t>
      </w:r>
      <w:r>
        <w:rPr>
          <w:b/>
          <w:spacing w:val="-52"/>
          <w:sz w:val="21"/>
        </w:rPr>
        <w:t> </w:t>
      </w:r>
      <w:r>
        <w:rPr>
          <w:b/>
          <w:sz w:val="21"/>
        </w:rPr>
        <w:t>A1</w:t>
      </w:r>
      <w:r>
        <w:rPr>
          <w:b/>
          <w:spacing w:val="-52"/>
          <w:sz w:val="21"/>
        </w:rPr>
        <w:t> </w:t>
      </w:r>
      <w:r>
        <w:rPr>
          <w:b/>
          <w:sz w:val="21"/>
        </w:rPr>
        <w:t>手传震动频率计权</w:t>
      </w:r>
      <w:r>
        <w:rPr>
          <w:b/>
          <w:spacing w:val="-3"/>
          <w:sz w:val="21"/>
        </w:rPr>
        <w:t>特</w:t>
      </w:r>
      <w:r>
        <w:rPr>
          <w:b/>
          <w:sz w:val="21"/>
        </w:rPr>
        <w:t>性曲线</w:t>
        <w:tab/>
      </w:r>
      <w:r>
        <w:rPr>
          <w:b/>
          <w:w w:val="99"/>
          <w:sz w:val="21"/>
        </w:rPr>
        <w:t> </w:t>
      </w:r>
    </w:p>
    <w:p>
      <w:pPr>
        <w:pStyle w:val="BodyText"/>
        <w:rPr>
          <w:b/>
          <w:sz w:val="20"/>
        </w:rPr>
      </w:pPr>
    </w:p>
    <w:p>
      <w:pPr>
        <w:pStyle w:val="BodyText"/>
        <w:spacing w:before="11"/>
        <w:rPr>
          <w:b/>
          <w:sz w:val="28"/>
        </w:rPr>
      </w:pPr>
      <w:r>
        <w:rPr/>
        <w:drawing>
          <wp:anchor distT="0" distB="0" distL="0" distR="0" allowOverlap="1" layoutInCell="1" locked="0" behindDoc="0" simplePos="0" relativeHeight="407">
            <wp:simplePos x="0" y="0"/>
            <wp:positionH relativeFrom="page">
              <wp:posOffset>1927860</wp:posOffset>
            </wp:positionH>
            <wp:positionV relativeFrom="paragraph">
              <wp:posOffset>259663</wp:posOffset>
            </wp:positionV>
            <wp:extent cx="3724688" cy="2286000"/>
            <wp:effectExtent l="0" t="0" r="0" b="0"/>
            <wp:wrapTopAndBottom/>
            <wp:docPr id="847" name="image500.jpeg"/>
            <wp:cNvGraphicFramePr>
              <a:graphicFrameLocks noChangeAspect="1"/>
            </wp:cNvGraphicFramePr>
            <a:graphic>
              <a:graphicData uri="http://schemas.openxmlformats.org/drawingml/2006/picture">
                <pic:pic>
                  <pic:nvPicPr>
                    <pic:cNvPr id="848" name="image500.jpeg"/>
                    <pic:cNvPicPr/>
                  </pic:nvPicPr>
                  <pic:blipFill>
                    <a:blip r:embed="rId631" cstate="print"/>
                    <a:stretch>
                      <a:fillRect/>
                    </a:stretch>
                  </pic:blipFill>
                  <pic:spPr>
                    <a:xfrm>
                      <a:off x="0" y="0"/>
                      <a:ext cx="3724688" cy="2286000"/>
                    </a:xfrm>
                    <a:prstGeom prst="rect">
                      <a:avLst/>
                    </a:prstGeom>
                  </pic:spPr>
                </pic:pic>
              </a:graphicData>
            </a:graphic>
          </wp:anchor>
        </w:drawing>
      </w:r>
    </w:p>
    <w:p>
      <w:pPr>
        <w:spacing w:after="0"/>
        <w:rPr>
          <w:sz w:val="28"/>
        </w:rPr>
        <w:sectPr>
          <w:pgSz w:w="11910" w:h="16850"/>
          <w:pgMar w:header="0" w:footer="1239" w:top="1080" w:bottom="1420" w:left="1260" w:right="0"/>
        </w:sectPr>
      </w:pPr>
    </w:p>
    <w:p>
      <w:pPr>
        <w:spacing w:before="37"/>
        <w:ind w:left="0" w:right="868" w:firstLine="0"/>
        <w:jc w:val="center"/>
        <w:rPr>
          <w:b/>
          <w:sz w:val="30"/>
        </w:rPr>
      </w:pPr>
      <w:bookmarkStart w:name="_bookmark40" w:id="41"/>
      <w:bookmarkEnd w:id="41"/>
      <w:r>
        <w:rPr/>
      </w:r>
      <w:r>
        <w:rPr>
          <w:b/>
          <w:sz w:val="30"/>
        </w:rPr>
        <w:t>森林火险气象预警</w:t>
      </w:r>
      <w:r>
        <w:rPr>
          <w:b/>
          <w:w w:val="99"/>
          <w:sz w:val="30"/>
        </w:rPr>
        <w:t> </w:t>
      </w:r>
    </w:p>
    <w:p>
      <w:pPr>
        <w:pStyle w:val="BodyText"/>
        <w:rPr>
          <w:b/>
          <w:sz w:val="20"/>
        </w:rPr>
      </w:pPr>
    </w:p>
    <w:p>
      <w:pPr>
        <w:pStyle w:val="BodyText"/>
        <w:spacing w:before="5"/>
        <w:rPr>
          <w:b/>
          <w:sz w:val="14"/>
        </w:rPr>
      </w:pPr>
    </w:p>
    <w:p>
      <w:pPr>
        <w:spacing w:before="66"/>
        <w:ind w:left="418" w:right="0" w:firstLine="0"/>
        <w:jc w:val="left"/>
        <w:rPr>
          <w:b/>
          <w:sz w:val="24"/>
        </w:rPr>
      </w:pPr>
      <w:r>
        <w:rPr>
          <w:b/>
          <w:sz w:val="24"/>
        </w:rPr>
        <w:t>1 范围</w:t>
      </w:r>
      <w:r>
        <w:rPr>
          <w:b/>
          <w:w w:val="99"/>
          <w:sz w:val="24"/>
        </w:rPr>
        <w:t> </w:t>
      </w:r>
    </w:p>
    <w:p>
      <w:pPr>
        <w:pStyle w:val="BodyText"/>
        <w:spacing w:before="4"/>
        <w:rPr>
          <w:b/>
          <w:sz w:val="17"/>
        </w:rPr>
      </w:pPr>
    </w:p>
    <w:p>
      <w:pPr>
        <w:pStyle w:val="BodyText"/>
        <w:ind w:left="838"/>
      </w:pPr>
      <w:r>
        <w:rPr/>
        <w:t>本标准规定了森林火险气象预警。 本标准适用于森林火险气象预警的相关业务。 </w:t>
      </w:r>
    </w:p>
    <w:p>
      <w:pPr>
        <w:pStyle w:val="BodyText"/>
        <w:spacing w:before="8"/>
        <w:rPr>
          <w:sz w:val="15"/>
        </w:rPr>
      </w:pPr>
    </w:p>
    <w:p>
      <w:pPr>
        <w:pStyle w:val="Heading4"/>
      </w:pPr>
      <w:r>
        <w:rPr/>
        <w:t>2 规范性引用文件</w:t>
      </w:r>
      <w:r>
        <w:rPr>
          <w:w w:val="99"/>
        </w:rPr>
        <w:t> </w:t>
      </w:r>
    </w:p>
    <w:p>
      <w:pPr>
        <w:pStyle w:val="BodyText"/>
        <w:spacing w:before="6"/>
        <w:rPr>
          <w:b/>
          <w:sz w:val="17"/>
        </w:rPr>
      </w:pPr>
    </w:p>
    <w:p>
      <w:pPr>
        <w:pStyle w:val="BodyText"/>
        <w:spacing w:line="446" w:lineRule="auto"/>
        <w:ind w:left="418" w:right="1609" w:firstLine="419"/>
      </w:pPr>
      <w:r>
        <w:rPr>
          <w:spacing w:val="-3"/>
        </w:rPr>
        <w:t>下列文件对于本文件的应用是必不可少的   。凡是注日期的引用文件，仅注日期的版本适用于本文 件。凡是不注日期的引用文件，其最新版本(包括所有的修改单)适用于本文件。 </w:t>
      </w:r>
    </w:p>
    <w:p>
      <w:pPr>
        <w:pStyle w:val="BodyText"/>
        <w:tabs>
          <w:tab w:pos="2517" w:val="left" w:leader="none"/>
        </w:tabs>
        <w:spacing w:line="267" w:lineRule="exact"/>
        <w:ind w:left="838"/>
      </w:pPr>
      <w:r>
        <w:rPr/>
        <w:t>QX/ T</w:t>
      </w:r>
      <w:r>
        <w:rPr>
          <w:spacing w:val="-3"/>
        </w:rPr>
        <w:t> </w:t>
      </w:r>
      <w:r>
        <w:rPr/>
        <w:t>77-2007</w:t>
        <w:tab/>
      </w:r>
      <w:r>
        <w:rPr>
          <w:spacing w:val="-3"/>
        </w:rPr>
        <w:t>森林火险气象等级</w:t>
      </w:r>
      <w:r>
        <w:rPr/>
        <w:t> </w:t>
      </w:r>
    </w:p>
    <w:p>
      <w:pPr>
        <w:pStyle w:val="BodyText"/>
        <w:spacing w:before="10"/>
        <w:rPr>
          <w:sz w:val="15"/>
        </w:rPr>
      </w:pPr>
    </w:p>
    <w:p>
      <w:pPr>
        <w:pStyle w:val="Heading4"/>
        <w:spacing w:before="1"/>
      </w:pPr>
      <w:r>
        <w:rPr/>
        <w:t>3 术语和定义</w:t>
      </w:r>
      <w:r>
        <w:rPr>
          <w:w w:val="99"/>
        </w:rPr>
        <w:t> </w:t>
      </w:r>
    </w:p>
    <w:p>
      <w:pPr>
        <w:pStyle w:val="BodyText"/>
        <w:spacing w:before="3"/>
        <w:rPr>
          <w:b/>
          <w:sz w:val="17"/>
        </w:rPr>
      </w:pPr>
    </w:p>
    <w:p>
      <w:pPr>
        <w:pStyle w:val="BodyText"/>
        <w:ind w:left="838"/>
      </w:pPr>
      <w:r>
        <w:rPr/>
        <w:t>下列术语和定义适用于本文件。 </w:t>
      </w:r>
    </w:p>
    <w:p>
      <w:pPr>
        <w:pStyle w:val="BodyText"/>
        <w:rPr>
          <w:sz w:val="18"/>
        </w:rPr>
      </w:pPr>
    </w:p>
    <w:p>
      <w:pPr>
        <w:pStyle w:val="ListParagraph"/>
        <w:numPr>
          <w:ilvl w:val="1"/>
          <w:numId w:val="979"/>
        </w:numPr>
        <w:tabs>
          <w:tab w:pos="1213" w:val="left" w:leader="none"/>
        </w:tabs>
        <w:spacing w:line="446" w:lineRule="auto" w:before="0" w:after="0"/>
        <w:ind w:left="838" w:right="6549" w:firstLine="2"/>
        <w:jc w:val="left"/>
        <w:rPr>
          <w:sz w:val="21"/>
        </w:rPr>
      </w:pPr>
      <w:r>
        <w:rPr>
          <w:spacing w:val="-14"/>
          <w:sz w:val="21"/>
        </w:rPr>
        <w:t>森林火险 </w:t>
      </w:r>
      <w:r>
        <w:rPr>
          <w:sz w:val="21"/>
        </w:rPr>
        <w:t>forest</w:t>
      </w:r>
      <w:r>
        <w:rPr>
          <w:spacing w:val="1"/>
          <w:sz w:val="21"/>
        </w:rPr>
        <w:t> </w:t>
      </w:r>
      <w:r>
        <w:rPr>
          <w:sz w:val="21"/>
        </w:rPr>
        <w:t>fire-danger </w:t>
      </w:r>
      <w:r>
        <w:rPr>
          <w:spacing w:val="-3"/>
          <w:sz w:val="21"/>
        </w:rPr>
        <w:t>发生森林火灾潜在的危险 程度。</w:t>
      </w:r>
      <w:r>
        <w:rPr>
          <w:sz w:val="21"/>
        </w:rPr>
        <w:t> </w:t>
      </w:r>
    </w:p>
    <w:p>
      <w:pPr>
        <w:pStyle w:val="ListParagraph"/>
        <w:numPr>
          <w:ilvl w:val="1"/>
          <w:numId w:val="979"/>
        </w:numPr>
        <w:tabs>
          <w:tab w:pos="1213" w:val="left" w:leader="none"/>
        </w:tabs>
        <w:spacing w:line="240" w:lineRule="auto" w:before="0" w:after="0"/>
        <w:ind w:left="1212" w:right="0" w:hanging="373"/>
        <w:jc w:val="left"/>
        <w:rPr>
          <w:sz w:val="21"/>
        </w:rPr>
      </w:pPr>
      <w:r>
        <w:rPr>
          <w:spacing w:val="-10"/>
          <w:sz w:val="21"/>
        </w:rPr>
        <w:t>森林火险气象指数 </w:t>
      </w:r>
      <w:r>
        <w:rPr>
          <w:sz w:val="21"/>
        </w:rPr>
        <w:t>forest</w:t>
      </w:r>
      <w:r>
        <w:rPr>
          <w:spacing w:val="1"/>
          <w:sz w:val="21"/>
        </w:rPr>
        <w:t> </w:t>
      </w:r>
      <w:r>
        <w:rPr>
          <w:sz w:val="21"/>
        </w:rPr>
        <w:t>fire-danger weather</w:t>
      </w:r>
      <w:r>
        <w:rPr>
          <w:spacing w:val="1"/>
          <w:sz w:val="21"/>
        </w:rPr>
        <w:t> </w:t>
      </w:r>
      <w:r>
        <w:rPr>
          <w:sz w:val="21"/>
        </w:rPr>
        <w:t>index </w:t>
      </w:r>
    </w:p>
    <w:p>
      <w:pPr>
        <w:pStyle w:val="BodyText"/>
        <w:rPr>
          <w:sz w:val="18"/>
        </w:rPr>
      </w:pPr>
    </w:p>
    <w:p>
      <w:pPr>
        <w:pStyle w:val="BodyText"/>
        <w:spacing w:line="446" w:lineRule="auto"/>
        <w:ind w:left="418" w:right="1505" w:firstLine="419"/>
      </w:pPr>
      <w:r>
        <w:rPr/>
        <w:t>注:它是对森林起火的可能性大小，火灾的强度和蔓延速度、燃烧方式以及人类控制难易程度的 一种综合描述 。 </w:t>
      </w:r>
    </w:p>
    <w:p>
      <w:pPr>
        <w:pStyle w:val="BodyText"/>
        <w:spacing w:line="446" w:lineRule="auto"/>
        <w:ind w:left="418" w:right="1609" w:firstLine="419"/>
        <w:jc w:val="both"/>
      </w:pPr>
      <w:r>
        <w:rPr/>
        <w:t>根据森林火险与气象条件之间的关系，通过经验或数学拟合得出的、用以反映森林火险程度的量化指标 。注:森林火险 气象指数计算 方法参见 QX/ T 77-2007 附录 B ，森林火险气象指数越大表征森林火灾危险度越高 。 </w:t>
      </w:r>
    </w:p>
    <w:p>
      <w:pPr>
        <w:pStyle w:val="ListParagraph"/>
        <w:numPr>
          <w:ilvl w:val="1"/>
          <w:numId w:val="979"/>
        </w:numPr>
        <w:tabs>
          <w:tab w:pos="1213" w:val="left" w:leader="none"/>
        </w:tabs>
        <w:spacing w:line="268" w:lineRule="exact" w:before="0" w:after="0"/>
        <w:ind w:left="1212" w:right="0" w:hanging="373"/>
        <w:jc w:val="both"/>
        <w:rPr>
          <w:sz w:val="21"/>
        </w:rPr>
      </w:pPr>
      <w:r>
        <w:rPr>
          <w:spacing w:val="-10"/>
          <w:sz w:val="21"/>
        </w:rPr>
        <w:t>森林火险气象等级 </w:t>
      </w:r>
      <w:r>
        <w:rPr>
          <w:sz w:val="21"/>
        </w:rPr>
        <w:t>forest</w:t>
      </w:r>
      <w:r>
        <w:rPr>
          <w:spacing w:val="1"/>
          <w:sz w:val="21"/>
        </w:rPr>
        <w:t> </w:t>
      </w:r>
      <w:r>
        <w:rPr>
          <w:sz w:val="21"/>
        </w:rPr>
        <w:t>fire-danger weather</w:t>
      </w:r>
      <w:r>
        <w:rPr>
          <w:spacing w:val="1"/>
          <w:sz w:val="21"/>
        </w:rPr>
        <w:t> </w:t>
      </w:r>
      <w:r>
        <w:rPr>
          <w:sz w:val="21"/>
        </w:rPr>
        <w:t>rating </w:t>
      </w:r>
    </w:p>
    <w:p>
      <w:pPr>
        <w:pStyle w:val="BodyText"/>
        <w:spacing w:before="12"/>
        <w:rPr>
          <w:sz w:val="17"/>
        </w:rPr>
      </w:pPr>
    </w:p>
    <w:p>
      <w:pPr>
        <w:pStyle w:val="BodyText"/>
        <w:spacing w:line="448" w:lineRule="auto"/>
        <w:ind w:left="418" w:right="1609" w:firstLine="419"/>
      </w:pPr>
      <w:r>
        <w:rPr/>
        <w:t>根据森林火险与气象条件之间的关系，将森林火险气象指数 (3.2)划分成能简单明了地反映森林火险程度的等级。 </w:t>
      </w:r>
    </w:p>
    <w:p>
      <w:pPr>
        <w:pStyle w:val="BodyText"/>
        <w:spacing w:line="446" w:lineRule="auto"/>
        <w:ind w:left="418" w:right="1508" w:firstLine="419"/>
      </w:pPr>
      <w:r>
        <w:rPr/>
        <w:t>注:森林火险气象指数划分为森林火险 气象等级的具体方法 参见 QX/ T  77-2007  中第3 章，森林火险气象等级越高表征森林火灾危险度越高。 </w:t>
      </w:r>
    </w:p>
    <w:p>
      <w:pPr>
        <w:pStyle w:val="ListParagraph"/>
        <w:numPr>
          <w:ilvl w:val="1"/>
          <w:numId w:val="979"/>
        </w:numPr>
        <w:tabs>
          <w:tab w:pos="1213" w:val="left" w:leader="none"/>
        </w:tabs>
        <w:spacing w:line="446" w:lineRule="auto" w:before="0" w:after="0"/>
        <w:ind w:left="838" w:right="3399" w:firstLine="2"/>
        <w:jc w:val="left"/>
        <w:rPr>
          <w:sz w:val="21"/>
        </w:rPr>
      </w:pPr>
      <w:r>
        <w:rPr>
          <w:spacing w:val="-10"/>
          <w:sz w:val="21"/>
        </w:rPr>
        <w:t>森林火险气象预警 </w:t>
      </w:r>
      <w:r>
        <w:rPr>
          <w:sz w:val="21"/>
        </w:rPr>
        <w:t>forest</w:t>
      </w:r>
      <w:r>
        <w:rPr>
          <w:spacing w:val="2"/>
          <w:sz w:val="21"/>
        </w:rPr>
        <w:t> </w:t>
      </w:r>
      <w:r>
        <w:rPr>
          <w:sz w:val="21"/>
        </w:rPr>
        <w:t>fire-danger</w:t>
      </w:r>
      <w:r>
        <w:rPr>
          <w:spacing w:val="1"/>
          <w:sz w:val="21"/>
        </w:rPr>
        <w:t> </w:t>
      </w:r>
      <w:r>
        <w:rPr>
          <w:sz w:val="21"/>
        </w:rPr>
        <w:t>weather</w:t>
      </w:r>
      <w:r>
        <w:rPr>
          <w:spacing w:val="1"/>
          <w:sz w:val="21"/>
        </w:rPr>
        <w:t> </w:t>
      </w:r>
      <w:r>
        <w:rPr>
          <w:sz w:val="21"/>
        </w:rPr>
        <w:t>early</w:t>
      </w:r>
      <w:r>
        <w:rPr>
          <w:spacing w:val="-2"/>
          <w:sz w:val="21"/>
        </w:rPr>
        <w:t> </w:t>
      </w:r>
      <w:r>
        <w:rPr>
          <w:sz w:val="21"/>
        </w:rPr>
        <w:t>warning </w:t>
      </w:r>
      <w:r>
        <w:rPr>
          <w:spacing w:val="-3"/>
          <w:sz w:val="21"/>
        </w:rPr>
        <w:t>对预报时效内森林火险 气象等级的预先估计和 警示 。</w:t>
      </w:r>
      <w:r>
        <w:rPr>
          <w:sz w:val="21"/>
        </w:rPr>
        <w:t> </w:t>
      </w:r>
    </w:p>
    <w:p>
      <w:pPr>
        <w:pStyle w:val="Heading4"/>
        <w:spacing w:line="275" w:lineRule="exact"/>
      </w:pPr>
      <w:r>
        <w:rPr/>
        <w:t>4 预 警</w:t>
      </w:r>
      <w:r>
        <w:rPr>
          <w:w w:val="99"/>
        </w:rPr>
        <w:t> </w:t>
      </w:r>
    </w:p>
    <w:p>
      <w:pPr>
        <w:pStyle w:val="BodyText"/>
        <w:spacing w:before="1"/>
        <w:rPr>
          <w:b/>
          <w:sz w:val="17"/>
        </w:rPr>
      </w:pPr>
    </w:p>
    <w:p>
      <w:pPr>
        <w:spacing w:before="1"/>
        <w:ind w:left="840" w:right="0" w:firstLine="0"/>
        <w:jc w:val="left"/>
        <w:rPr>
          <w:b/>
          <w:sz w:val="21"/>
        </w:rPr>
      </w:pPr>
      <w:r>
        <w:rPr>
          <w:b/>
          <w:sz w:val="21"/>
        </w:rPr>
        <w:t>4.1 </w:t>
      </w:r>
      <w:r>
        <w:rPr>
          <w:sz w:val="21"/>
        </w:rPr>
        <w:t>等级划分</w:t>
      </w:r>
      <w:r>
        <w:rPr>
          <w:b/>
          <w:w w:val="99"/>
          <w:sz w:val="21"/>
        </w:rPr>
        <w:t> </w:t>
      </w:r>
    </w:p>
    <w:p>
      <w:pPr>
        <w:pStyle w:val="BodyText"/>
        <w:spacing w:before="12"/>
        <w:rPr>
          <w:b/>
          <w:sz w:val="17"/>
        </w:rPr>
      </w:pPr>
    </w:p>
    <w:p>
      <w:pPr>
        <w:pStyle w:val="BodyText"/>
        <w:ind w:left="838"/>
      </w:pPr>
      <w:r>
        <w:rPr/>
        <w:t>森林火险气象预警等级 由弱到强划分为 三个等级，依次为黄色预警 、橙色预警、红色预</w:t>
      </w:r>
    </w:p>
    <w:p>
      <w:pPr>
        <w:spacing w:after="0"/>
        <w:sectPr>
          <w:pgSz w:w="11910" w:h="16850"/>
          <w:pgMar w:header="0" w:footer="1239" w:top="1140" w:bottom="1420" w:left="1260" w:right="0"/>
        </w:sectPr>
      </w:pPr>
    </w:p>
    <w:p>
      <w:pPr>
        <w:pStyle w:val="BodyText"/>
        <w:spacing w:line="446" w:lineRule="auto" w:before="47"/>
        <w:ind w:left="840" w:right="3711" w:hanging="423"/>
      </w:pPr>
      <w:r>
        <w:rPr/>
        <w:t>警 。若同时 达到两种以上预 警等级时，以 最强的预警等级为准 。</w:t>
      </w:r>
      <w:r>
        <w:rPr>
          <w:b/>
        </w:rPr>
        <w:t>4.2 </w:t>
      </w:r>
      <w:r>
        <w:rPr/>
        <w:t>黄色预警 </w:t>
      </w:r>
    </w:p>
    <w:p>
      <w:pPr>
        <w:pStyle w:val="BodyText"/>
        <w:spacing w:line="446" w:lineRule="auto"/>
        <w:ind w:left="418" w:right="1611" w:firstLine="419"/>
        <w:jc w:val="both"/>
      </w:pPr>
      <w:r>
        <w:rPr/>
        <w:t>某地森林火险气象等级已持续 8 天达三级及以上或持续 5 天达四级及以上，且起报日当天森林火 险气象等级达四级及以上;并预计未来 24 h 内，该地森林火险气象等级仍将持续四级时发布黄色预警。 </w:t>
      </w:r>
    </w:p>
    <w:p>
      <w:pPr>
        <w:pStyle w:val="BodyText"/>
        <w:spacing w:line="446" w:lineRule="auto"/>
        <w:ind w:left="840" w:right="5709" w:hanging="3"/>
      </w:pPr>
      <w:r>
        <w:rPr/>
        <w:t>森林火险气象等级的划分见 QX/ T 77-2007 </w:t>
      </w:r>
      <w:r>
        <w:rPr>
          <w:b/>
        </w:rPr>
        <w:t>4.3 </w:t>
      </w:r>
      <w:r>
        <w:rPr/>
        <w:t>橙色预警 </w:t>
      </w:r>
    </w:p>
    <w:p>
      <w:pPr>
        <w:pStyle w:val="BodyText"/>
        <w:spacing w:line="446" w:lineRule="auto"/>
        <w:ind w:left="418" w:right="1608" w:firstLine="419"/>
      </w:pPr>
      <w:r>
        <w:rPr>
          <w:spacing w:val="-2"/>
        </w:rPr>
        <w:t>某地森林火险气象等级己持续 </w:t>
      </w:r>
      <w:r>
        <w:rPr>
          <w:spacing w:val="-3"/>
        </w:rPr>
        <w:t>5 天达四级及以上，且起报日当天森林火险气象等级达五级;并预计 未来 </w:t>
      </w:r>
      <w:r>
        <w:rPr/>
        <w:t>24 h</w:t>
      </w:r>
      <w:r>
        <w:rPr>
          <w:spacing w:val="-3"/>
        </w:rPr>
        <w:t> 内，该地森林火险气象等级仍将持续五级时发布橙色预警。 </w:t>
      </w:r>
    </w:p>
    <w:p>
      <w:pPr>
        <w:spacing w:before="0"/>
        <w:ind w:left="840" w:right="0" w:firstLine="0"/>
        <w:jc w:val="left"/>
        <w:rPr>
          <w:sz w:val="21"/>
        </w:rPr>
      </w:pPr>
      <w:r>
        <w:rPr>
          <w:b/>
          <w:sz w:val="21"/>
        </w:rPr>
        <w:t>4 .4</w:t>
      </w:r>
      <w:r>
        <w:rPr>
          <w:b/>
          <w:spacing w:val="-51"/>
          <w:sz w:val="21"/>
        </w:rPr>
        <w:t> </w:t>
      </w:r>
      <w:r>
        <w:rPr>
          <w:spacing w:val="-3"/>
          <w:sz w:val="21"/>
        </w:rPr>
        <w:t>红色预警</w:t>
      </w:r>
      <w:r>
        <w:rPr>
          <w:sz w:val="21"/>
        </w:rPr>
        <w:t> </w:t>
      </w:r>
    </w:p>
    <w:p>
      <w:pPr>
        <w:pStyle w:val="BodyText"/>
        <w:spacing w:before="9"/>
        <w:rPr>
          <w:sz w:val="17"/>
        </w:rPr>
      </w:pPr>
    </w:p>
    <w:p>
      <w:pPr>
        <w:pStyle w:val="BodyText"/>
        <w:spacing w:line="446" w:lineRule="auto" w:before="1"/>
        <w:ind w:left="418" w:right="1611" w:firstLine="419"/>
      </w:pPr>
      <w:r>
        <w:rPr>
          <w:spacing w:val="-7"/>
        </w:rPr>
        <w:t>某地森林火险气象等级已持续 </w:t>
      </w:r>
      <w:r>
        <w:rPr>
          <w:spacing w:val="-3"/>
        </w:rPr>
        <w:t>3</w:t>
      </w:r>
      <w:r>
        <w:rPr>
          <w:spacing w:val="-2"/>
        </w:rPr>
        <w:t> 天达五级，并预计未来 </w:t>
      </w:r>
      <w:r>
        <w:rPr/>
        <w:t>24 h</w:t>
      </w:r>
      <w:r>
        <w:rPr>
          <w:spacing w:val="-8"/>
        </w:rPr>
        <w:t> 内，该地森林火险气象等级</w:t>
      </w:r>
      <w:r>
        <w:rPr>
          <w:spacing w:val="-5"/>
        </w:rPr>
        <w:t>仍将持续 五级时发布红色预警。</w:t>
      </w:r>
      <w:r>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pStyle w:val="BodyText"/>
        <w:spacing w:before="71"/>
        <w:ind w:left="3298"/>
      </w:pPr>
      <w:r>
        <w:rPr>
          <w:w w:val="100"/>
        </w:rPr>
        <w:t> </w:t>
      </w:r>
    </w:p>
    <w:p>
      <w:pPr>
        <w:spacing w:after="0"/>
        <w:sectPr>
          <w:pgSz w:w="11910" w:h="16850"/>
          <w:pgMar w:header="0" w:footer="1239" w:top="1220" w:bottom="1420" w:left="1260" w:right="0"/>
        </w:sectPr>
      </w:pPr>
    </w:p>
    <w:p>
      <w:pPr>
        <w:pStyle w:val="Heading2"/>
        <w:ind w:left="3305"/>
        <w:jc w:val="left"/>
      </w:pPr>
      <w:bookmarkStart w:name="_bookmark41" w:id="42"/>
      <w:bookmarkEnd w:id="42"/>
      <w:r>
        <w:rPr>
          <w:b w:val="0"/>
        </w:rPr>
      </w:r>
      <w:r>
        <w:rPr/>
        <w:t>防护服装 森林防火服</w:t>
      </w:r>
      <w:r>
        <w:rPr>
          <w:w w:val="99"/>
        </w:rPr>
        <w:t> </w:t>
      </w:r>
    </w:p>
    <w:p>
      <w:pPr>
        <w:pStyle w:val="BodyText"/>
        <w:rPr>
          <w:b/>
          <w:sz w:val="20"/>
        </w:rPr>
      </w:pPr>
    </w:p>
    <w:p>
      <w:pPr>
        <w:pStyle w:val="BodyText"/>
        <w:spacing w:before="5"/>
        <w:rPr>
          <w:b/>
          <w:sz w:val="14"/>
        </w:rPr>
      </w:pPr>
    </w:p>
    <w:p>
      <w:pPr>
        <w:pStyle w:val="Heading4"/>
        <w:spacing w:before="66"/>
      </w:pPr>
      <w:r>
        <w:rPr/>
        <w:t>1 范围</w:t>
      </w:r>
      <w:r>
        <w:rPr>
          <w:w w:val="99"/>
        </w:rPr>
        <w:t> </w:t>
      </w:r>
    </w:p>
    <w:p>
      <w:pPr>
        <w:pStyle w:val="BodyText"/>
        <w:spacing w:before="4"/>
        <w:rPr>
          <w:b/>
          <w:sz w:val="17"/>
        </w:rPr>
      </w:pPr>
    </w:p>
    <w:p>
      <w:pPr>
        <w:pStyle w:val="BodyText"/>
        <w:spacing w:line="446" w:lineRule="auto"/>
        <w:ind w:left="838" w:right="3397"/>
      </w:pPr>
      <w:r>
        <w:rPr/>
        <w:t>本标准规定了森林防火服的技术要求、试验方法、检验规则和标识。本标准适用于从事森林扑火作业人员穿用的防护服装。 </w:t>
      </w:r>
    </w:p>
    <w:p>
      <w:pPr>
        <w:pStyle w:val="BodyText"/>
        <w:ind w:left="838"/>
      </w:pPr>
      <w:r>
        <w:rPr/>
        <w:t>本标准不适用于城市消防救援中穿用的阻燃防护服。 </w:t>
      </w:r>
    </w:p>
    <w:p>
      <w:pPr>
        <w:pStyle w:val="BodyText"/>
        <w:spacing w:before="8"/>
        <w:rPr>
          <w:sz w:val="15"/>
        </w:rPr>
      </w:pPr>
    </w:p>
    <w:p>
      <w:pPr>
        <w:pStyle w:val="Heading4"/>
      </w:pPr>
      <w:r>
        <w:rPr/>
        <w:t>2 规范性引用文件</w:t>
      </w:r>
      <w:r>
        <w:rPr>
          <w:w w:val="99"/>
        </w:rPr>
        <w:t> </w:t>
      </w:r>
    </w:p>
    <w:p>
      <w:pPr>
        <w:pStyle w:val="BodyText"/>
        <w:spacing w:before="4"/>
        <w:rPr>
          <w:b/>
          <w:sz w:val="17"/>
        </w:rPr>
      </w:pPr>
    </w:p>
    <w:p>
      <w:pPr>
        <w:pStyle w:val="BodyText"/>
        <w:spacing w:line="446" w:lineRule="auto"/>
        <w:ind w:left="418" w:right="1410" w:firstLine="419"/>
      </w:pPr>
      <w:r>
        <w:rPr/>
        <w:t>下列文件对于本文件的应用是必不可少的。凡是注日期的引用文件，仅注日期的版本适用于本文件。凡是不注日期的引用文件，其最新版本（包括所有的修改单）适用于本文件。 </w:t>
      </w:r>
    </w:p>
    <w:p>
      <w:pPr>
        <w:pStyle w:val="BodyText"/>
        <w:ind w:left="838"/>
      </w:pPr>
      <w:r>
        <w:rPr/>
        <w:t>GB/T 250 纺织品 色牢度试验 评定变色用灰色样卡 </w:t>
      </w:r>
    </w:p>
    <w:p>
      <w:pPr>
        <w:pStyle w:val="BodyText"/>
        <w:rPr>
          <w:sz w:val="18"/>
        </w:rPr>
      </w:pPr>
    </w:p>
    <w:p>
      <w:pPr>
        <w:pStyle w:val="BodyText"/>
        <w:ind w:left="838"/>
      </w:pPr>
      <w:r>
        <w:rPr/>
        <w:t>GB/T 2912.1 纺织品 甲醛的测定 第 1 部分：游离和水解的甲醛（水萃取法） </w:t>
      </w:r>
    </w:p>
    <w:p>
      <w:pPr>
        <w:pStyle w:val="BodyText"/>
        <w:spacing w:before="1"/>
        <w:rPr>
          <w:sz w:val="18"/>
        </w:rPr>
      </w:pPr>
    </w:p>
    <w:p>
      <w:pPr>
        <w:pStyle w:val="BodyText"/>
        <w:spacing w:line="446" w:lineRule="auto" w:before="1"/>
        <w:ind w:left="838" w:right="1767"/>
      </w:pPr>
      <w:r>
        <w:rPr/>
        <w:t>GB/T 3916——2013 纺织品 卷装纱 单根纱线断裂能力和断裂伸长率的测定（CRE 法） GB/T 3917.3 纺织品 织物撕破性能 第 3 部分：梯形试样撕破能力的测定 </w:t>
      </w:r>
    </w:p>
    <w:p>
      <w:pPr>
        <w:pStyle w:val="BodyText"/>
        <w:spacing w:line="267" w:lineRule="exact"/>
        <w:ind w:left="838"/>
      </w:pPr>
      <w:r>
        <w:rPr/>
        <w:t>GB/T</w:t>
      </w:r>
      <w:r>
        <w:rPr>
          <w:spacing w:val="4"/>
        </w:rPr>
        <w:t> </w:t>
      </w:r>
      <w:r>
        <w:rPr/>
        <w:t>3920</w:t>
      </w:r>
      <w:r>
        <w:rPr>
          <w:spacing w:val="-3"/>
        </w:rPr>
        <w:t> 纺织品 色牢度试验 耐摩擦色牢度</w:t>
      </w:r>
      <w:r>
        <w:rPr/>
        <w:t> </w:t>
      </w:r>
    </w:p>
    <w:p>
      <w:pPr>
        <w:pStyle w:val="BodyText"/>
        <w:spacing w:before="1"/>
        <w:rPr>
          <w:sz w:val="18"/>
        </w:rPr>
      </w:pPr>
    </w:p>
    <w:p>
      <w:pPr>
        <w:pStyle w:val="BodyText"/>
        <w:spacing w:line="446" w:lineRule="auto" w:before="1"/>
        <w:ind w:left="838" w:right="4657"/>
      </w:pPr>
      <w:r>
        <w:rPr/>
        <w:t>GB/T</w:t>
      </w:r>
      <w:r>
        <w:rPr>
          <w:spacing w:val="3"/>
        </w:rPr>
        <w:t> </w:t>
      </w:r>
      <w:r>
        <w:rPr/>
        <w:t>3921——2008</w:t>
      </w:r>
      <w:r>
        <w:rPr>
          <w:spacing w:val="-3"/>
        </w:rPr>
        <w:t> 纺织品 色牢度试验 耐皂洗色牢度</w:t>
      </w:r>
      <w:r>
        <w:rPr/>
        <w:t>GB/T</w:t>
      </w:r>
      <w:r>
        <w:rPr>
          <w:spacing w:val="1"/>
        </w:rPr>
        <w:t> </w:t>
      </w:r>
      <w:r>
        <w:rPr/>
        <w:t>3922</w:t>
      </w:r>
      <w:r>
        <w:rPr>
          <w:spacing w:val="-3"/>
        </w:rPr>
        <w:t> 纺织品 色牢度试验 耐汗渍色牢度</w:t>
      </w:r>
      <w:r>
        <w:rPr/>
        <w:t> </w:t>
      </w:r>
    </w:p>
    <w:p>
      <w:pPr>
        <w:pStyle w:val="BodyText"/>
        <w:spacing w:line="446" w:lineRule="auto"/>
        <w:ind w:left="838" w:right="1508"/>
      </w:pPr>
      <w:r>
        <w:rPr/>
        <w:t>GB/T 3923.1 纺织品 织物拉伸性能 第 1 部分：断裂强力和断裂伸长率的测定（条样法） GB/T 4669——2008 纺织品 机织物 单位长度质量和单位面积的测定 </w:t>
      </w:r>
    </w:p>
    <w:p>
      <w:pPr>
        <w:pStyle w:val="BodyText"/>
        <w:spacing w:line="446" w:lineRule="auto"/>
        <w:ind w:left="838" w:right="2979"/>
      </w:pPr>
      <w:r>
        <w:rPr/>
        <w:t>GB/T 5455 纺织品 燃烧性能 垂直房县损毁长度、阴燃和续燃时间的测定GB/T 5713 纺织品 色牢度试验 耐水色牢度 </w:t>
      </w:r>
    </w:p>
    <w:p>
      <w:pPr>
        <w:pStyle w:val="BodyText"/>
        <w:ind w:left="838"/>
      </w:pPr>
      <w:r>
        <w:rPr/>
        <w:t>GB/T 7573 纺织品 水萃取液 pH 值的测定 </w:t>
      </w:r>
    </w:p>
    <w:p>
      <w:pPr>
        <w:pStyle w:val="BodyText"/>
        <w:spacing w:before="10"/>
        <w:rPr>
          <w:sz w:val="17"/>
        </w:rPr>
      </w:pPr>
    </w:p>
    <w:p>
      <w:pPr>
        <w:pStyle w:val="BodyText"/>
        <w:ind w:left="838"/>
      </w:pPr>
      <w:r>
        <w:rPr/>
        <w:t>GB/T 8427——2008 纺织品 色牢度试验 耐人造光色牢度：氙弧 </w:t>
      </w:r>
    </w:p>
    <w:p>
      <w:pPr>
        <w:pStyle w:val="BodyText"/>
        <w:spacing w:before="12"/>
        <w:rPr>
          <w:sz w:val="17"/>
        </w:rPr>
      </w:pPr>
    </w:p>
    <w:p>
      <w:pPr>
        <w:pStyle w:val="BodyText"/>
        <w:spacing w:line="446" w:lineRule="auto"/>
        <w:ind w:left="838" w:right="2451"/>
      </w:pPr>
      <w:r>
        <w:rPr/>
        <w:t>GB/T 8628 纺织品 测定尺寸变化的试验中织物试样和服装的准备、标记及测量GB/T 8629——2001 纺织品 试验用家庭洗涤和干燥程序 </w:t>
      </w:r>
    </w:p>
    <w:p>
      <w:pPr>
        <w:pStyle w:val="BodyText"/>
        <w:ind w:left="838"/>
      </w:pPr>
      <w:r>
        <w:rPr/>
        <w:t>GB/T 8630 纺织品 洗涤和干燥后尺寸变化的测定 </w:t>
      </w:r>
    </w:p>
    <w:p>
      <w:pPr>
        <w:pStyle w:val="BodyText"/>
        <w:spacing w:before="12"/>
        <w:rPr>
          <w:sz w:val="17"/>
        </w:rPr>
      </w:pPr>
    </w:p>
    <w:p>
      <w:pPr>
        <w:pStyle w:val="BodyText"/>
        <w:spacing w:line="448" w:lineRule="auto"/>
        <w:ind w:left="838" w:right="4237"/>
      </w:pPr>
      <w:r>
        <w:rPr/>
        <w:t>GB 8965.1——2009 防护服装 阻燃防护 第 1 部分：阻燃服GB/T 12903 个体防护装备术语 </w:t>
      </w:r>
    </w:p>
    <w:p>
      <w:pPr>
        <w:pStyle w:val="BodyText"/>
        <w:spacing w:line="264" w:lineRule="exact"/>
        <w:ind w:left="838"/>
      </w:pPr>
      <w:r>
        <w:rPr/>
        <w:t>GB/T 13171.2 洗衣粉（无磷型） </w:t>
      </w:r>
    </w:p>
    <w:p>
      <w:pPr>
        <w:spacing w:after="0" w:line="264" w:lineRule="exact"/>
        <w:sectPr>
          <w:pgSz w:w="11910" w:h="16850"/>
          <w:pgMar w:header="0" w:footer="1239" w:top="1140" w:bottom="1420" w:left="1260" w:right="0"/>
        </w:sectPr>
      </w:pPr>
    </w:p>
    <w:p>
      <w:pPr>
        <w:pStyle w:val="BodyText"/>
        <w:spacing w:before="47"/>
        <w:ind w:left="838"/>
      </w:pPr>
      <w:r>
        <w:rPr/>
        <w:t>GB/T 13640 劳动防护服号型 </w:t>
      </w:r>
    </w:p>
    <w:p>
      <w:pPr>
        <w:pStyle w:val="BodyText"/>
        <w:rPr>
          <w:sz w:val="18"/>
        </w:rPr>
      </w:pPr>
    </w:p>
    <w:p>
      <w:pPr>
        <w:pStyle w:val="BodyText"/>
        <w:spacing w:line="446" w:lineRule="auto"/>
        <w:ind w:left="838" w:right="1719"/>
      </w:pPr>
      <w:r>
        <w:rPr/>
        <w:t>GB/T13773.1 纺织品 织物及其制品的接缝拉伸性能 第 1 部分：条样法接缝强力的测定GB/T 17591——2006 阻燃织物 </w:t>
      </w:r>
    </w:p>
    <w:p>
      <w:pPr>
        <w:pStyle w:val="BodyText"/>
        <w:spacing w:line="446" w:lineRule="auto"/>
        <w:ind w:left="838" w:right="4031"/>
      </w:pPr>
      <w:r>
        <w:rPr/>
        <w:t>GB/T 19596——1998 纺织品 织物燃烧试验前的商业洗涤程序GB 20653——2006 职业用可视性警示服 </w:t>
      </w:r>
    </w:p>
    <w:p>
      <w:pPr>
        <w:pStyle w:val="BodyText"/>
        <w:spacing w:line="267" w:lineRule="exact"/>
        <w:ind w:left="838"/>
      </w:pPr>
      <w:r>
        <w:rPr/>
        <w:t>FZ/T 81007——2012 单、夹服装 </w:t>
      </w:r>
    </w:p>
    <w:p>
      <w:pPr>
        <w:pStyle w:val="BodyText"/>
        <w:spacing w:before="2"/>
        <w:rPr>
          <w:sz w:val="18"/>
        </w:rPr>
      </w:pPr>
    </w:p>
    <w:p>
      <w:pPr>
        <w:pStyle w:val="BodyText"/>
        <w:ind w:left="838"/>
      </w:pPr>
      <w:r>
        <w:rPr/>
        <w:t>国际标准色卡-潘通 纺织系列（Pantone Textile Color Specifier） </w:t>
      </w:r>
    </w:p>
    <w:p>
      <w:pPr>
        <w:pStyle w:val="BodyText"/>
        <w:spacing w:before="8"/>
        <w:rPr>
          <w:sz w:val="15"/>
        </w:rPr>
      </w:pPr>
    </w:p>
    <w:p>
      <w:pPr>
        <w:pStyle w:val="Heading4"/>
        <w:spacing w:before="1"/>
      </w:pPr>
      <w:r>
        <w:rPr/>
        <w:t>3 术语和定义</w:t>
      </w:r>
      <w:r>
        <w:rPr>
          <w:w w:val="99"/>
        </w:rPr>
        <w:t> </w:t>
      </w:r>
    </w:p>
    <w:p>
      <w:pPr>
        <w:pStyle w:val="BodyText"/>
        <w:spacing w:before="3"/>
        <w:rPr>
          <w:b/>
          <w:sz w:val="17"/>
        </w:rPr>
      </w:pPr>
    </w:p>
    <w:p>
      <w:pPr>
        <w:pStyle w:val="BodyText"/>
        <w:ind w:left="838"/>
      </w:pPr>
      <w:r>
        <w:rPr/>
        <w:t>GB/T 12903、GB 20653——2006 界定的以下术语和定义适用于本文件。 </w:t>
      </w:r>
    </w:p>
    <w:p>
      <w:pPr>
        <w:pStyle w:val="BodyText"/>
        <w:spacing w:before="2"/>
        <w:rPr>
          <w:sz w:val="18"/>
        </w:rPr>
      </w:pPr>
    </w:p>
    <w:p>
      <w:pPr>
        <w:pStyle w:val="BodyText"/>
        <w:ind w:left="840"/>
        <w:rPr>
          <w:b/>
        </w:rPr>
      </w:pPr>
      <w:r>
        <w:rPr>
          <w:b/>
        </w:rPr>
        <w:t>3.1</w:t>
      </w:r>
      <w:r>
        <w:rPr>
          <w:b/>
          <w:spacing w:val="-52"/>
        </w:rPr>
        <w:t> </w:t>
      </w:r>
      <w:r>
        <w:rPr>
          <w:spacing w:val="-3"/>
        </w:rPr>
        <w:t>森林防护服 </w:t>
      </w:r>
      <w:r>
        <w:rPr/>
        <w:t>forest fire preventive clothing</w:t>
      </w:r>
      <w:r>
        <w:rPr>
          <w:b/>
          <w:w w:val="99"/>
        </w:rPr>
        <w:t> </w:t>
      </w:r>
    </w:p>
    <w:p>
      <w:pPr>
        <w:pStyle w:val="BodyText"/>
        <w:rPr>
          <w:b/>
          <w:sz w:val="18"/>
        </w:rPr>
      </w:pPr>
    </w:p>
    <w:p>
      <w:pPr>
        <w:pStyle w:val="BodyText"/>
        <w:ind w:left="838"/>
      </w:pPr>
      <w:r>
        <w:rPr/>
        <w:t>作业人员在进行森林扑火时，为防御火焰、炙热物体等伤害而穿的防护服装。 </w:t>
      </w:r>
    </w:p>
    <w:p>
      <w:pPr>
        <w:pStyle w:val="BodyText"/>
        <w:spacing w:before="8"/>
        <w:rPr>
          <w:sz w:val="15"/>
        </w:rPr>
      </w:pPr>
    </w:p>
    <w:p>
      <w:pPr>
        <w:pStyle w:val="Heading4"/>
      </w:pPr>
      <w:r>
        <w:rPr/>
        <w:t>4 技术要求</w:t>
      </w:r>
      <w:r>
        <w:rPr>
          <w:w w:val="99"/>
        </w:rPr>
        <w:t> </w:t>
      </w:r>
    </w:p>
    <w:p>
      <w:pPr>
        <w:pStyle w:val="BodyText"/>
        <w:spacing w:before="6"/>
        <w:rPr>
          <w:b/>
          <w:sz w:val="17"/>
        </w:rPr>
      </w:pPr>
    </w:p>
    <w:p>
      <w:pPr>
        <w:pStyle w:val="ListParagraph"/>
        <w:numPr>
          <w:ilvl w:val="1"/>
          <w:numId w:val="980"/>
        </w:numPr>
        <w:tabs>
          <w:tab w:pos="1159" w:val="left" w:leader="none"/>
        </w:tabs>
        <w:spacing w:line="240" w:lineRule="auto" w:before="0" w:after="0"/>
        <w:ind w:left="1158" w:right="0" w:hanging="319"/>
        <w:jc w:val="left"/>
        <w:rPr>
          <w:sz w:val="21"/>
        </w:rPr>
      </w:pPr>
      <w:r>
        <w:rPr>
          <w:spacing w:val="-3"/>
          <w:sz w:val="21"/>
        </w:rPr>
        <w:t>材料</w:t>
      </w:r>
      <w:r>
        <w:rPr>
          <w:sz w:val="21"/>
        </w:rPr>
        <w:t> </w:t>
      </w:r>
    </w:p>
    <w:p>
      <w:pPr>
        <w:pStyle w:val="BodyText"/>
        <w:rPr>
          <w:sz w:val="18"/>
        </w:rPr>
      </w:pPr>
    </w:p>
    <w:p>
      <w:pPr>
        <w:pStyle w:val="ListParagraph"/>
        <w:numPr>
          <w:ilvl w:val="2"/>
          <w:numId w:val="980"/>
        </w:numPr>
        <w:tabs>
          <w:tab w:pos="1371" w:val="left" w:leader="none"/>
        </w:tabs>
        <w:spacing w:line="240" w:lineRule="auto" w:before="0" w:after="0"/>
        <w:ind w:left="1370" w:right="0" w:hanging="531"/>
        <w:jc w:val="left"/>
        <w:rPr>
          <w:sz w:val="21"/>
        </w:rPr>
      </w:pPr>
      <w:r>
        <w:rPr>
          <w:spacing w:val="-3"/>
          <w:sz w:val="21"/>
        </w:rPr>
        <w:t>面料</w:t>
      </w:r>
      <w:r>
        <w:rPr>
          <w:sz w:val="21"/>
        </w:rPr>
        <w:t> </w:t>
      </w:r>
    </w:p>
    <w:p>
      <w:pPr>
        <w:pStyle w:val="BodyText"/>
        <w:spacing w:before="12"/>
        <w:rPr>
          <w:sz w:val="17"/>
        </w:rPr>
      </w:pPr>
    </w:p>
    <w:p>
      <w:pPr>
        <w:pStyle w:val="ListParagraph"/>
        <w:numPr>
          <w:ilvl w:val="3"/>
          <w:numId w:val="980"/>
        </w:numPr>
        <w:tabs>
          <w:tab w:pos="1576" w:val="left" w:leader="none"/>
        </w:tabs>
        <w:spacing w:line="240" w:lineRule="auto" w:before="0" w:after="0"/>
        <w:ind w:left="1575" w:right="0" w:hanging="738"/>
        <w:jc w:val="left"/>
        <w:rPr>
          <w:sz w:val="21"/>
        </w:rPr>
      </w:pPr>
      <w:r>
        <w:rPr>
          <w:spacing w:val="-3"/>
          <w:sz w:val="21"/>
        </w:rPr>
        <w:t>颜色</w:t>
      </w:r>
      <w:r>
        <w:rPr>
          <w:sz w:val="21"/>
        </w:rPr>
        <w:t> </w:t>
      </w:r>
    </w:p>
    <w:p>
      <w:pPr>
        <w:pStyle w:val="BodyText"/>
        <w:spacing w:before="2"/>
        <w:rPr>
          <w:sz w:val="18"/>
        </w:rPr>
      </w:pPr>
    </w:p>
    <w:p>
      <w:pPr>
        <w:pStyle w:val="BodyText"/>
        <w:spacing w:line="446" w:lineRule="auto"/>
        <w:ind w:left="418" w:right="1382" w:firstLine="419"/>
      </w:pPr>
      <w:r>
        <w:rPr/>
        <w:t>森林防火服面料颜色为橘红色，应符合国际标准色卡-潘通，色号值未 16-1462TPX，色差△ E&lt;3.5。 </w:t>
      </w:r>
    </w:p>
    <w:p>
      <w:pPr>
        <w:pStyle w:val="ListParagraph"/>
        <w:numPr>
          <w:ilvl w:val="3"/>
          <w:numId w:val="980"/>
        </w:numPr>
        <w:tabs>
          <w:tab w:pos="1576" w:val="left" w:leader="none"/>
        </w:tabs>
        <w:spacing w:line="267" w:lineRule="exact" w:before="0" w:after="0"/>
        <w:ind w:left="1575" w:right="0" w:hanging="738"/>
        <w:jc w:val="left"/>
        <w:rPr>
          <w:sz w:val="21"/>
        </w:rPr>
      </w:pPr>
      <w:r>
        <w:rPr>
          <w:spacing w:val="-3"/>
          <w:sz w:val="21"/>
        </w:rPr>
        <w:t>外观质量</w:t>
      </w:r>
      <w:r>
        <w:rPr>
          <w:sz w:val="21"/>
        </w:rPr>
        <w:t> </w:t>
      </w:r>
    </w:p>
    <w:p>
      <w:pPr>
        <w:pStyle w:val="BodyText"/>
        <w:spacing w:before="2"/>
        <w:rPr>
          <w:sz w:val="18"/>
        </w:rPr>
      </w:pPr>
    </w:p>
    <w:p>
      <w:pPr>
        <w:pStyle w:val="BodyText"/>
        <w:spacing w:line="446" w:lineRule="auto"/>
        <w:ind w:left="838" w:right="3085"/>
      </w:pPr>
      <w:r>
        <w:rPr>
          <w:spacing w:val="-6"/>
        </w:rPr>
        <w:t>森林防火服面料的外观质量应符合 </w:t>
      </w:r>
      <w:r>
        <w:rPr/>
        <w:t>GB/T 17591——2006</w:t>
      </w:r>
      <w:r>
        <w:rPr>
          <w:spacing w:val="-35"/>
        </w:rPr>
        <w:t> 中 </w:t>
      </w:r>
      <w:r>
        <w:rPr/>
        <w:t>4.3</w:t>
      </w:r>
      <w:r>
        <w:rPr>
          <w:spacing w:val="-13"/>
        </w:rPr>
        <w:t> 的要求。</w:t>
      </w:r>
      <w:r>
        <w:rPr/>
        <w:t>4.1.1.3</w:t>
      </w:r>
      <w:r>
        <w:rPr>
          <w:spacing w:val="-3"/>
        </w:rPr>
        <w:t> 阻燃性能</w:t>
      </w:r>
      <w:r>
        <w:rPr/>
        <w:t> </w:t>
      </w:r>
    </w:p>
    <w:p>
      <w:pPr>
        <w:pStyle w:val="BodyText"/>
        <w:spacing w:line="267" w:lineRule="exact"/>
        <w:ind w:left="838"/>
      </w:pPr>
      <w:r>
        <w:rPr/>
        <w:t>森林防火服面料洗涤 50 次后的阻燃、隔热性能应符合表 1 的要求。 </w:t>
      </w:r>
    </w:p>
    <w:p>
      <w:pPr>
        <w:pStyle w:val="BodyText"/>
        <w:spacing w:before="2"/>
        <w:rPr>
          <w:sz w:val="18"/>
        </w:rPr>
      </w:pPr>
    </w:p>
    <w:p>
      <w:pPr>
        <w:pStyle w:val="Heading6"/>
        <w:spacing w:after="40"/>
        <w:ind w:left="3310"/>
      </w:pPr>
      <w:r>
        <w:rPr/>
        <w:t>表 1 面料阻燃、隔热性能项目和指标</w:t>
      </w:r>
      <w:r>
        <w:rPr>
          <w:w w:val="99"/>
        </w:rPr>
        <w:t> </w:t>
      </w: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8"/>
        <w:gridCol w:w="4151"/>
      </w:tblGrid>
      <w:tr>
        <w:trPr>
          <w:trHeight w:val="501" w:hRule="atLeast"/>
        </w:trPr>
        <w:tc>
          <w:tcPr>
            <w:tcW w:w="4148" w:type="dxa"/>
          </w:tcPr>
          <w:p>
            <w:pPr>
              <w:pStyle w:val="TableParagraph"/>
              <w:spacing w:before="11"/>
              <w:rPr>
                <w:b/>
                <w:sz w:val="14"/>
              </w:rPr>
            </w:pPr>
          </w:p>
          <w:p>
            <w:pPr>
              <w:pStyle w:val="TableParagraph"/>
              <w:ind w:left="527"/>
              <w:rPr>
                <w:sz w:val="21"/>
              </w:rPr>
            </w:pPr>
            <w:r>
              <w:rPr>
                <w:sz w:val="21"/>
              </w:rPr>
              <w:t>项目 </w:t>
            </w:r>
          </w:p>
        </w:tc>
        <w:tc>
          <w:tcPr>
            <w:tcW w:w="4151" w:type="dxa"/>
          </w:tcPr>
          <w:p>
            <w:pPr>
              <w:pStyle w:val="TableParagraph"/>
              <w:spacing w:before="11"/>
              <w:rPr>
                <w:b/>
                <w:sz w:val="14"/>
              </w:rPr>
            </w:pPr>
          </w:p>
          <w:p>
            <w:pPr>
              <w:pStyle w:val="TableParagraph"/>
              <w:ind w:left="530"/>
              <w:rPr>
                <w:sz w:val="21"/>
              </w:rPr>
            </w:pPr>
            <w:r>
              <w:rPr>
                <w:sz w:val="21"/>
              </w:rPr>
              <w:t>指标 </w:t>
            </w:r>
          </w:p>
        </w:tc>
      </w:tr>
      <w:tr>
        <w:trPr>
          <w:trHeight w:val="498" w:hRule="atLeast"/>
        </w:trPr>
        <w:tc>
          <w:tcPr>
            <w:tcW w:w="4148" w:type="dxa"/>
          </w:tcPr>
          <w:p>
            <w:pPr>
              <w:pStyle w:val="TableParagraph"/>
              <w:spacing w:before="11"/>
              <w:rPr>
                <w:b/>
                <w:sz w:val="14"/>
              </w:rPr>
            </w:pPr>
          </w:p>
          <w:p>
            <w:pPr>
              <w:pStyle w:val="TableParagraph"/>
              <w:ind w:left="527"/>
              <w:rPr>
                <w:sz w:val="21"/>
              </w:rPr>
            </w:pPr>
            <w:r>
              <w:rPr>
                <w:sz w:val="21"/>
              </w:rPr>
              <w:t>续燃时间/s </w:t>
            </w:r>
          </w:p>
        </w:tc>
        <w:tc>
          <w:tcPr>
            <w:tcW w:w="4151" w:type="dxa"/>
          </w:tcPr>
          <w:p>
            <w:pPr>
              <w:pStyle w:val="TableParagraph"/>
              <w:spacing w:before="11"/>
              <w:rPr>
                <w:b/>
                <w:sz w:val="14"/>
              </w:rPr>
            </w:pPr>
          </w:p>
          <w:p>
            <w:pPr>
              <w:pStyle w:val="TableParagraph"/>
              <w:ind w:left="530"/>
              <w:rPr>
                <w:sz w:val="21"/>
              </w:rPr>
            </w:pPr>
            <w:r>
              <w:rPr>
                <w:sz w:val="21"/>
              </w:rPr>
              <w:t>≤1 </w:t>
            </w:r>
          </w:p>
        </w:tc>
      </w:tr>
      <w:tr>
        <w:trPr>
          <w:trHeight w:val="501" w:hRule="atLeast"/>
        </w:trPr>
        <w:tc>
          <w:tcPr>
            <w:tcW w:w="4148" w:type="dxa"/>
          </w:tcPr>
          <w:p>
            <w:pPr>
              <w:pStyle w:val="TableParagraph"/>
              <w:spacing w:before="11"/>
              <w:rPr>
                <w:b/>
                <w:sz w:val="14"/>
              </w:rPr>
            </w:pPr>
          </w:p>
          <w:p>
            <w:pPr>
              <w:pStyle w:val="TableParagraph"/>
              <w:ind w:left="527"/>
              <w:rPr>
                <w:sz w:val="21"/>
              </w:rPr>
            </w:pPr>
            <w:r>
              <w:rPr>
                <w:sz w:val="21"/>
              </w:rPr>
              <w:t>阴燃时间/s </w:t>
            </w:r>
          </w:p>
        </w:tc>
        <w:tc>
          <w:tcPr>
            <w:tcW w:w="4151" w:type="dxa"/>
          </w:tcPr>
          <w:p>
            <w:pPr>
              <w:pStyle w:val="TableParagraph"/>
              <w:spacing w:before="11"/>
              <w:rPr>
                <w:b/>
                <w:sz w:val="14"/>
              </w:rPr>
            </w:pPr>
          </w:p>
          <w:p>
            <w:pPr>
              <w:pStyle w:val="TableParagraph"/>
              <w:ind w:left="530"/>
              <w:rPr>
                <w:sz w:val="21"/>
              </w:rPr>
            </w:pPr>
            <w:r>
              <w:rPr>
                <w:sz w:val="21"/>
              </w:rPr>
              <w:t>≤1 </w:t>
            </w:r>
          </w:p>
        </w:tc>
      </w:tr>
      <w:tr>
        <w:trPr>
          <w:trHeight w:val="499" w:hRule="atLeast"/>
        </w:trPr>
        <w:tc>
          <w:tcPr>
            <w:tcW w:w="4148" w:type="dxa"/>
          </w:tcPr>
          <w:p>
            <w:pPr>
              <w:pStyle w:val="TableParagraph"/>
              <w:spacing w:before="11"/>
              <w:rPr>
                <w:b/>
                <w:sz w:val="14"/>
              </w:rPr>
            </w:pPr>
          </w:p>
          <w:p>
            <w:pPr>
              <w:pStyle w:val="TableParagraph"/>
              <w:ind w:left="527"/>
              <w:rPr>
                <w:sz w:val="21"/>
              </w:rPr>
            </w:pPr>
            <w:r>
              <w:rPr>
                <w:sz w:val="21"/>
              </w:rPr>
              <w:t>损毁长度/mm </w:t>
            </w:r>
          </w:p>
        </w:tc>
        <w:tc>
          <w:tcPr>
            <w:tcW w:w="4151" w:type="dxa"/>
          </w:tcPr>
          <w:p>
            <w:pPr>
              <w:pStyle w:val="TableParagraph"/>
              <w:spacing w:before="11"/>
              <w:rPr>
                <w:b/>
                <w:sz w:val="14"/>
              </w:rPr>
            </w:pPr>
          </w:p>
          <w:p>
            <w:pPr>
              <w:pStyle w:val="TableParagraph"/>
              <w:ind w:left="530"/>
              <w:rPr>
                <w:sz w:val="21"/>
              </w:rPr>
            </w:pPr>
            <w:r>
              <w:rPr>
                <w:sz w:val="21"/>
              </w:rPr>
              <w:t>≤50 </w:t>
            </w:r>
          </w:p>
        </w:tc>
      </w:tr>
      <w:tr>
        <w:trPr>
          <w:trHeight w:val="501" w:hRule="atLeast"/>
        </w:trPr>
        <w:tc>
          <w:tcPr>
            <w:tcW w:w="4148" w:type="dxa"/>
          </w:tcPr>
          <w:p>
            <w:pPr>
              <w:pStyle w:val="TableParagraph"/>
              <w:spacing w:before="11"/>
              <w:rPr>
                <w:b/>
                <w:sz w:val="14"/>
              </w:rPr>
            </w:pPr>
          </w:p>
          <w:p>
            <w:pPr>
              <w:pStyle w:val="TableParagraph"/>
              <w:ind w:left="527"/>
              <w:rPr>
                <w:sz w:val="21"/>
              </w:rPr>
            </w:pPr>
            <w:r>
              <w:rPr>
                <w:sz w:val="21"/>
              </w:rPr>
              <w:t>熔融、滴落 </w:t>
            </w:r>
          </w:p>
        </w:tc>
        <w:tc>
          <w:tcPr>
            <w:tcW w:w="4151" w:type="dxa"/>
          </w:tcPr>
          <w:p>
            <w:pPr>
              <w:pStyle w:val="TableParagraph"/>
              <w:spacing w:before="11"/>
              <w:rPr>
                <w:b/>
                <w:sz w:val="14"/>
              </w:rPr>
            </w:pPr>
          </w:p>
          <w:p>
            <w:pPr>
              <w:pStyle w:val="TableParagraph"/>
              <w:ind w:left="530"/>
              <w:rPr>
                <w:sz w:val="21"/>
              </w:rPr>
            </w:pPr>
            <w:r>
              <w:rPr>
                <w:sz w:val="21"/>
              </w:rPr>
              <w:t>不应有 </w:t>
            </w:r>
          </w:p>
        </w:tc>
      </w:tr>
      <w:tr>
        <w:trPr>
          <w:trHeight w:val="498" w:hRule="atLeast"/>
        </w:trPr>
        <w:tc>
          <w:tcPr>
            <w:tcW w:w="4148" w:type="dxa"/>
          </w:tcPr>
          <w:p>
            <w:pPr>
              <w:pStyle w:val="TableParagraph"/>
              <w:spacing w:before="11"/>
              <w:rPr>
                <w:b/>
                <w:sz w:val="14"/>
              </w:rPr>
            </w:pPr>
          </w:p>
          <w:p>
            <w:pPr>
              <w:pStyle w:val="TableParagraph"/>
              <w:ind w:left="527"/>
              <w:rPr>
                <w:sz w:val="21"/>
              </w:rPr>
            </w:pPr>
            <w:r>
              <w:rPr>
                <w:sz w:val="21"/>
              </w:rPr>
              <w:t>热防护系数 TPP/（KW·s/m²） </w:t>
            </w:r>
          </w:p>
        </w:tc>
        <w:tc>
          <w:tcPr>
            <w:tcW w:w="4151" w:type="dxa"/>
          </w:tcPr>
          <w:p>
            <w:pPr>
              <w:pStyle w:val="TableParagraph"/>
              <w:spacing w:before="11"/>
              <w:rPr>
                <w:b/>
                <w:sz w:val="14"/>
              </w:rPr>
            </w:pPr>
          </w:p>
          <w:p>
            <w:pPr>
              <w:pStyle w:val="TableParagraph"/>
              <w:ind w:left="530"/>
              <w:rPr>
                <w:sz w:val="21"/>
              </w:rPr>
            </w:pPr>
            <w:r>
              <w:rPr>
                <w:sz w:val="21"/>
              </w:rPr>
              <w:t>≥250 </w:t>
            </w:r>
          </w:p>
        </w:tc>
      </w:tr>
    </w:tbl>
    <w:p>
      <w:pPr>
        <w:spacing w:after="0"/>
        <w:rPr>
          <w:sz w:val="21"/>
        </w:rPr>
        <w:sectPr>
          <w:pgSz w:w="11910" w:h="16850"/>
          <w:pgMar w:header="0" w:footer="1239" w:top="1220" w:bottom="1420" w:left="1260" w:right="0"/>
        </w:sectPr>
      </w:pPr>
    </w:p>
    <w:p>
      <w:pPr>
        <w:pStyle w:val="BodyText"/>
        <w:ind w:left="417"/>
        <w:rPr>
          <w:sz w:val="20"/>
        </w:rPr>
      </w:pPr>
      <w:r>
        <w:rPr>
          <w:sz w:val="20"/>
        </w:rPr>
        <w:pict>
          <v:shape style="width:414.95pt;height:75.5pt;mso-position-horizontal-relative:char;mso-position-vertical-relative:line" type="#_x0000_t202" filled="false" stroked="true" strokeweight=".47998pt" strokecolor="#000000">
            <w10:anchorlock/>
            <v:textbox inset="0,0,0,0">
              <w:txbxContent>
                <w:p>
                  <w:pPr>
                    <w:pStyle w:val="BodyText"/>
                    <w:spacing w:before="11"/>
                    <w:rPr>
                      <w:b/>
                      <w:sz w:val="14"/>
                    </w:rPr>
                  </w:pPr>
                </w:p>
                <w:p>
                  <w:pPr>
                    <w:pStyle w:val="BodyText"/>
                    <w:spacing w:line="446" w:lineRule="auto"/>
                    <w:ind w:left="103" w:right="99" w:firstLine="419"/>
                  </w:pPr>
                  <w:r>
                    <w:rPr>
                      <w:spacing w:val="-9"/>
                    </w:rPr>
                    <w:t>按照 </w:t>
                  </w:r>
                  <w:r>
                    <w:rPr/>
                    <w:t>GB/T17596——1998</w:t>
                  </w:r>
                  <w:r>
                    <w:rPr>
                      <w:spacing w:val="-15"/>
                    </w:rPr>
                    <w:t> 中 </w:t>
                  </w:r>
                  <w:r>
                    <w:rPr/>
                    <w:t>7.1、7.2</w:t>
                  </w:r>
                  <w:r>
                    <w:rPr>
                      <w:spacing w:val="-3"/>
                    </w:rPr>
                    <w:t>、</w:t>
                  </w:r>
                  <w:r>
                    <w:rPr/>
                    <w:t>7.3</w:t>
                  </w:r>
                  <w:r>
                    <w:rPr>
                      <w:spacing w:val="-8"/>
                    </w:rPr>
                    <w:t> 的要求，连续洗涤 </w:t>
                  </w:r>
                  <w:r>
                    <w:rPr/>
                    <w:t>12.5h</w:t>
                  </w:r>
                  <w:r>
                    <w:rPr>
                      <w:spacing w:val="-3"/>
                    </w:rPr>
                    <w:t>，排水，脱水</w:t>
                  </w:r>
                  <w:r>
                    <w:rPr>
                      <w:spacing w:val="-8"/>
                    </w:rPr>
                    <w:t>4min；然后重复操作以下过程 </w:t>
                  </w:r>
                  <w:r>
                    <w:rPr/>
                    <w:t>2</w:t>
                  </w:r>
                  <w:r>
                    <w:rPr>
                      <w:spacing w:val="-22"/>
                    </w:rPr>
                    <w:t> 次：漂洗 </w:t>
                  </w:r>
                  <w:r>
                    <w:rPr>
                      <w:spacing w:val="-9"/>
                    </w:rPr>
                    <w:t>45min</w:t>
                  </w:r>
                  <w:r>
                    <w:rPr>
                      <w:spacing w:val="-15"/>
                    </w:rPr>
                    <w:t>，排水，脱水 </w:t>
                  </w:r>
                  <w:r>
                    <w:rPr>
                      <w:spacing w:val="-8"/>
                    </w:rPr>
                    <w:t>4min，整个过程视为漂洗 </w:t>
                  </w:r>
                  <w:r>
                    <w:rPr/>
                    <w:t>50</w:t>
                  </w:r>
                </w:p>
                <w:p>
                  <w:pPr>
                    <w:pStyle w:val="BodyText"/>
                    <w:ind w:left="103"/>
                  </w:pPr>
                  <w:r>
                    <w:rPr/>
                    <w:t>次。 </w:t>
                  </w:r>
                </w:p>
              </w:txbxContent>
            </v:textbox>
            <v:stroke dashstyle="solid"/>
          </v:shape>
        </w:pict>
      </w:r>
      <w:r>
        <w:rPr>
          <w:sz w:val="20"/>
        </w:rPr>
      </w:r>
    </w:p>
    <w:p>
      <w:pPr>
        <w:pStyle w:val="BodyText"/>
        <w:spacing w:before="3"/>
        <w:rPr>
          <w:b/>
          <w:sz w:val="6"/>
        </w:rPr>
      </w:pPr>
    </w:p>
    <w:p>
      <w:pPr>
        <w:spacing w:before="72"/>
        <w:ind w:left="840" w:right="0" w:firstLine="0"/>
        <w:jc w:val="left"/>
        <w:rPr>
          <w:sz w:val="21"/>
        </w:rPr>
      </w:pPr>
      <w:r>
        <w:rPr>
          <w:b/>
          <w:sz w:val="21"/>
        </w:rPr>
        <w:t>4.1.1.4 </w:t>
      </w:r>
      <w:r>
        <w:rPr>
          <w:sz w:val="21"/>
        </w:rPr>
        <w:t>理化性能 </w:t>
      </w:r>
    </w:p>
    <w:p>
      <w:pPr>
        <w:pStyle w:val="BodyText"/>
        <w:spacing w:before="12"/>
        <w:rPr>
          <w:sz w:val="17"/>
        </w:rPr>
      </w:pPr>
    </w:p>
    <w:p>
      <w:pPr>
        <w:pStyle w:val="BodyText"/>
        <w:ind w:left="838"/>
      </w:pPr>
      <w:r>
        <w:rPr/>
        <w:t>森林防火服面料的理化性能应符合表 2 的要求。 </w:t>
      </w:r>
    </w:p>
    <w:p>
      <w:pPr>
        <w:pStyle w:val="BodyText"/>
        <w:spacing w:before="2"/>
        <w:rPr>
          <w:sz w:val="18"/>
        </w:rPr>
      </w:pPr>
    </w:p>
    <w:p>
      <w:pPr>
        <w:pStyle w:val="Heading6"/>
        <w:spacing w:after="39"/>
        <w:ind w:right="494"/>
        <w:jc w:val="center"/>
      </w:pPr>
      <w:r>
        <w:rPr/>
        <w:t>表 2 理化性能项目和指标</w:t>
      </w:r>
      <w:r>
        <w:rPr>
          <w:w w:val="99"/>
        </w:rPr>
        <w:t> </w:t>
      </w: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492"/>
        <w:gridCol w:w="2273"/>
        <w:gridCol w:w="2768"/>
      </w:tblGrid>
      <w:tr>
        <w:trPr>
          <w:trHeight w:val="501" w:hRule="atLeast"/>
        </w:trPr>
        <w:tc>
          <w:tcPr>
            <w:tcW w:w="5530" w:type="dxa"/>
            <w:gridSpan w:val="3"/>
          </w:tcPr>
          <w:p>
            <w:pPr>
              <w:pStyle w:val="TableParagraph"/>
              <w:spacing w:before="11"/>
              <w:rPr>
                <w:b/>
                <w:sz w:val="14"/>
              </w:rPr>
            </w:pPr>
          </w:p>
          <w:p>
            <w:pPr>
              <w:pStyle w:val="TableParagraph"/>
              <w:ind w:left="2481" w:right="2368"/>
              <w:jc w:val="center"/>
              <w:rPr>
                <w:sz w:val="21"/>
              </w:rPr>
            </w:pPr>
            <w:r>
              <w:rPr>
                <w:sz w:val="21"/>
              </w:rPr>
              <w:t>项  目 </w:t>
            </w:r>
          </w:p>
        </w:tc>
        <w:tc>
          <w:tcPr>
            <w:tcW w:w="2768" w:type="dxa"/>
          </w:tcPr>
          <w:p>
            <w:pPr>
              <w:pStyle w:val="TableParagraph"/>
              <w:spacing w:before="11"/>
              <w:rPr>
                <w:b/>
                <w:sz w:val="14"/>
              </w:rPr>
            </w:pPr>
          </w:p>
          <w:p>
            <w:pPr>
              <w:pStyle w:val="TableParagraph"/>
              <w:ind w:left="682" w:right="566"/>
              <w:jc w:val="center"/>
              <w:rPr>
                <w:sz w:val="21"/>
              </w:rPr>
            </w:pPr>
            <w:r>
              <w:rPr>
                <w:sz w:val="21"/>
              </w:rPr>
              <w:t>指  标 </w:t>
            </w:r>
          </w:p>
        </w:tc>
      </w:tr>
      <w:tr>
        <w:trPr>
          <w:trHeight w:val="499" w:hRule="atLeast"/>
        </w:trPr>
        <w:tc>
          <w:tcPr>
            <w:tcW w:w="3257" w:type="dxa"/>
            <w:gridSpan w:val="2"/>
            <w:vMerge w:val="restart"/>
          </w:tcPr>
          <w:p>
            <w:pPr>
              <w:pStyle w:val="TableParagraph"/>
              <w:rPr>
                <w:b/>
                <w:sz w:val="20"/>
              </w:rPr>
            </w:pPr>
          </w:p>
          <w:p>
            <w:pPr>
              <w:pStyle w:val="TableParagraph"/>
              <w:spacing w:before="9"/>
              <w:rPr>
                <w:b/>
                <w:sz w:val="14"/>
              </w:rPr>
            </w:pPr>
          </w:p>
          <w:p>
            <w:pPr>
              <w:pStyle w:val="TableParagraph"/>
              <w:spacing w:before="1"/>
              <w:ind w:left="314"/>
              <w:rPr>
                <w:sz w:val="21"/>
              </w:rPr>
            </w:pPr>
            <w:r>
              <w:rPr>
                <w:sz w:val="21"/>
              </w:rPr>
              <w:t>断裂强力（洗涤 50 次后）/N </w:t>
            </w:r>
          </w:p>
        </w:tc>
        <w:tc>
          <w:tcPr>
            <w:tcW w:w="2273" w:type="dxa"/>
          </w:tcPr>
          <w:p>
            <w:pPr>
              <w:pStyle w:val="TableParagraph"/>
              <w:spacing w:before="11"/>
              <w:rPr>
                <w:b/>
                <w:sz w:val="14"/>
              </w:rPr>
            </w:pPr>
          </w:p>
          <w:p>
            <w:pPr>
              <w:pStyle w:val="TableParagraph"/>
              <w:spacing w:before="1"/>
              <w:ind w:right="808"/>
              <w:jc w:val="right"/>
              <w:rPr>
                <w:sz w:val="21"/>
              </w:rPr>
            </w:pPr>
            <w:r>
              <w:rPr>
                <w:sz w:val="21"/>
              </w:rPr>
              <w:t>经向 </w:t>
            </w:r>
          </w:p>
        </w:tc>
        <w:tc>
          <w:tcPr>
            <w:tcW w:w="2768" w:type="dxa"/>
          </w:tcPr>
          <w:p>
            <w:pPr>
              <w:pStyle w:val="TableParagraph"/>
              <w:spacing w:before="11"/>
              <w:rPr>
                <w:b/>
                <w:sz w:val="14"/>
              </w:rPr>
            </w:pPr>
          </w:p>
          <w:p>
            <w:pPr>
              <w:pStyle w:val="TableParagraph"/>
              <w:spacing w:before="1"/>
              <w:ind w:left="682" w:right="566"/>
              <w:jc w:val="center"/>
              <w:rPr>
                <w:sz w:val="21"/>
              </w:rPr>
            </w:pPr>
            <w:r>
              <w:rPr>
                <w:sz w:val="21"/>
              </w:rPr>
              <w:t>≥1100 </w:t>
            </w:r>
          </w:p>
        </w:tc>
      </w:tr>
      <w:tr>
        <w:trPr>
          <w:trHeight w:val="501" w:hRule="atLeast"/>
        </w:trPr>
        <w:tc>
          <w:tcPr>
            <w:tcW w:w="3257" w:type="dxa"/>
            <w:gridSpan w:val="2"/>
            <w:vMerge/>
            <w:tcBorders>
              <w:top w:val="nil"/>
            </w:tcBorders>
          </w:tcPr>
          <w:p>
            <w:pPr>
              <w:rPr>
                <w:sz w:val="2"/>
                <w:szCs w:val="2"/>
              </w:rPr>
            </w:pPr>
          </w:p>
        </w:tc>
        <w:tc>
          <w:tcPr>
            <w:tcW w:w="2273" w:type="dxa"/>
          </w:tcPr>
          <w:p>
            <w:pPr>
              <w:pStyle w:val="TableParagraph"/>
              <w:spacing w:before="11"/>
              <w:rPr>
                <w:b/>
                <w:sz w:val="14"/>
              </w:rPr>
            </w:pPr>
          </w:p>
          <w:p>
            <w:pPr>
              <w:pStyle w:val="TableParagraph"/>
              <w:ind w:right="808"/>
              <w:jc w:val="right"/>
              <w:rPr>
                <w:sz w:val="21"/>
              </w:rPr>
            </w:pPr>
            <w:r>
              <w:rPr>
                <w:sz w:val="21"/>
              </w:rPr>
              <w:t>纬向 </w:t>
            </w:r>
          </w:p>
        </w:tc>
        <w:tc>
          <w:tcPr>
            <w:tcW w:w="2768" w:type="dxa"/>
          </w:tcPr>
          <w:p>
            <w:pPr>
              <w:pStyle w:val="TableParagraph"/>
              <w:spacing w:before="11"/>
              <w:rPr>
                <w:b/>
                <w:sz w:val="14"/>
              </w:rPr>
            </w:pPr>
          </w:p>
          <w:p>
            <w:pPr>
              <w:pStyle w:val="TableParagraph"/>
              <w:ind w:left="682" w:right="566"/>
              <w:jc w:val="center"/>
              <w:rPr>
                <w:sz w:val="21"/>
              </w:rPr>
            </w:pPr>
            <w:r>
              <w:rPr>
                <w:sz w:val="21"/>
              </w:rPr>
              <w:t>≥1000 </w:t>
            </w:r>
          </w:p>
        </w:tc>
      </w:tr>
      <w:tr>
        <w:trPr>
          <w:trHeight w:val="498" w:hRule="atLeast"/>
        </w:trPr>
        <w:tc>
          <w:tcPr>
            <w:tcW w:w="3257" w:type="dxa"/>
            <w:gridSpan w:val="2"/>
            <w:vMerge w:val="restart"/>
          </w:tcPr>
          <w:p>
            <w:pPr>
              <w:pStyle w:val="TableParagraph"/>
              <w:rPr>
                <w:b/>
                <w:sz w:val="20"/>
              </w:rPr>
            </w:pPr>
          </w:p>
          <w:p>
            <w:pPr>
              <w:pStyle w:val="TableParagraph"/>
              <w:spacing w:before="9"/>
              <w:rPr>
                <w:b/>
                <w:sz w:val="14"/>
              </w:rPr>
            </w:pPr>
          </w:p>
          <w:p>
            <w:pPr>
              <w:pStyle w:val="TableParagraph"/>
              <w:ind w:left="314"/>
              <w:rPr>
                <w:sz w:val="21"/>
              </w:rPr>
            </w:pPr>
            <w:r>
              <w:rPr>
                <w:sz w:val="21"/>
              </w:rPr>
              <w:t>撕破强力（洗涤 50 次后）/N </w:t>
            </w:r>
          </w:p>
        </w:tc>
        <w:tc>
          <w:tcPr>
            <w:tcW w:w="2273" w:type="dxa"/>
          </w:tcPr>
          <w:p>
            <w:pPr>
              <w:pStyle w:val="TableParagraph"/>
              <w:spacing w:before="11"/>
              <w:rPr>
                <w:b/>
                <w:sz w:val="14"/>
              </w:rPr>
            </w:pPr>
          </w:p>
          <w:p>
            <w:pPr>
              <w:pStyle w:val="TableParagraph"/>
              <w:ind w:right="808"/>
              <w:jc w:val="right"/>
              <w:rPr>
                <w:sz w:val="21"/>
              </w:rPr>
            </w:pPr>
            <w:r>
              <w:rPr>
                <w:sz w:val="21"/>
              </w:rPr>
              <w:t>经向 </w:t>
            </w:r>
          </w:p>
        </w:tc>
        <w:tc>
          <w:tcPr>
            <w:tcW w:w="2768" w:type="dxa"/>
          </w:tcPr>
          <w:p>
            <w:pPr>
              <w:pStyle w:val="TableParagraph"/>
              <w:spacing w:before="11"/>
              <w:rPr>
                <w:b/>
                <w:sz w:val="14"/>
              </w:rPr>
            </w:pPr>
          </w:p>
          <w:p>
            <w:pPr>
              <w:pStyle w:val="TableParagraph"/>
              <w:ind w:left="682" w:right="566"/>
              <w:jc w:val="center"/>
              <w:rPr>
                <w:sz w:val="21"/>
              </w:rPr>
            </w:pPr>
            <w:r>
              <w:rPr>
                <w:sz w:val="21"/>
              </w:rPr>
              <w:t>≥100 </w:t>
            </w:r>
          </w:p>
        </w:tc>
      </w:tr>
      <w:tr>
        <w:trPr>
          <w:trHeight w:val="501" w:hRule="atLeast"/>
        </w:trPr>
        <w:tc>
          <w:tcPr>
            <w:tcW w:w="3257" w:type="dxa"/>
            <w:gridSpan w:val="2"/>
            <w:vMerge/>
            <w:tcBorders>
              <w:top w:val="nil"/>
            </w:tcBorders>
          </w:tcPr>
          <w:p>
            <w:pPr>
              <w:rPr>
                <w:sz w:val="2"/>
                <w:szCs w:val="2"/>
              </w:rPr>
            </w:pPr>
          </w:p>
        </w:tc>
        <w:tc>
          <w:tcPr>
            <w:tcW w:w="2273" w:type="dxa"/>
          </w:tcPr>
          <w:p>
            <w:pPr>
              <w:pStyle w:val="TableParagraph"/>
              <w:spacing w:before="11"/>
              <w:rPr>
                <w:b/>
                <w:sz w:val="14"/>
              </w:rPr>
            </w:pPr>
          </w:p>
          <w:p>
            <w:pPr>
              <w:pStyle w:val="TableParagraph"/>
              <w:ind w:right="808"/>
              <w:jc w:val="right"/>
              <w:rPr>
                <w:sz w:val="21"/>
              </w:rPr>
            </w:pPr>
            <w:r>
              <w:rPr>
                <w:sz w:val="21"/>
              </w:rPr>
              <w:t>纬向 </w:t>
            </w:r>
          </w:p>
        </w:tc>
        <w:tc>
          <w:tcPr>
            <w:tcW w:w="2768" w:type="dxa"/>
          </w:tcPr>
          <w:p>
            <w:pPr>
              <w:pStyle w:val="TableParagraph"/>
              <w:spacing w:before="11"/>
              <w:rPr>
                <w:b/>
                <w:sz w:val="14"/>
              </w:rPr>
            </w:pPr>
          </w:p>
          <w:p>
            <w:pPr>
              <w:pStyle w:val="TableParagraph"/>
              <w:ind w:left="682" w:right="566"/>
              <w:jc w:val="center"/>
              <w:rPr>
                <w:sz w:val="21"/>
              </w:rPr>
            </w:pPr>
            <w:r>
              <w:rPr>
                <w:sz w:val="21"/>
              </w:rPr>
              <w:t>≥100 </w:t>
            </w:r>
          </w:p>
        </w:tc>
      </w:tr>
      <w:tr>
        <w:trPr>
          <w:trHeight w:val="498" w:hRule="atLeast"/>
        </w:trPr>
        <w:tc>
          <w:tcPr>
            <w:tcW w:w="5530" w:type="dxa"/>
            <w:gridSpan w:val="3"/>
          </w:tcPr>
          <w:p>
            <w:pPr>
              <w:pStyle w:val="TableParagraph"/>
              <w:spacing w:before="11"/>
              <w:rPr>
                <w:b/>
                <w:sz w:val="14"/>
              </w:rPr>
            </w:pPr>
          </w:p>
          <w:p>
            <w:pPr>
              <w:pStyle w:val="TableParagraph"/>
              <w:ind w:left="1660"/>
              <w:rPr>
                <w:sz w:val="21"/>
              </w:rPr>
            </w:pPr>
            <w:r>
              <w:rPr>
                <w:sz w:val="21"/>
              </w:rPr>
              <w:t>单位面积质量/（g/m²） </w:t>
            </w:r>
          </w:p>
        </w:tc>
        <w:tc>
          <w:tcPr>
            <w:tcW w:w="2768" w:type="dxa"/>
          </w:tcPr>
          <w:p>
            <w:pPr>
              <w:pStyle w:val="TableParagraph"/>
              <w:spacing w:before="11"/>
              <w:rPr>
                <w:b/>
                <w:sz w:val="14"/>
              </w:rPr>
            </w:pPr>
          </w:p>
          <w:p>
            <w:pPr>
              <w:pStyle w:val="TableParagraph"/>
              <w:ind w:left="682" w:right="566"/>
              <w:jc w:val="center"/>
              <w:rPr>
                <w:sz w:val="21"/>
              </w:rPr>
            </w:pPr>
            <w:r>
              <w:rPr>
                <w:sz w:val="21"/>
              </w:rPr>
              <w:t>≤210 </w:t>
            </w:r>
          </w:p>
        </w:tc>
      </w:tr>
      <w:tr>
        <w:trPr>
          <w:trHeight w:val="501" w:hRule="atLeast"/>
        </w:trPr>
        <w:tc>
          <w:tcPr>
            <w:tcW w:w="5530" w:type="dxa"/>
            <w:gridSpan w:val="3"/>
          </w:tcPr>
          <w:p>
            <w:pPr>
              <w:pStyle w:val="TableParagraph"/>
              <w:spacing w:before="11"/>
              <w:rPr>
                <w:b/>
                <w:sz w:val="14"/>
              </w:rPr>
            </w:pPr>
          </w:p>
          <w:p>
            <w:pPr>
              <w:pStyle w:val="TableParagraph"/>
              <w:ind w:left="1925"/>
              <w:rPr>
                <w:sz w:val="21"/>
              </w:rPr>
            </w:pPr>
            <w:r>
              <w:rPr>
                <w:sz w:val="21"/>
              </w:rPr>
              <w:t>水洗尺寸变化率/% </w:t>
            </w:r>
          </w:p>
        </w:tc>
        <w:tc>
          <w:tcPr>
            <w:tcW w:w="2768" w:type="dxa"/>
          </w:tcPr>
          <w:p>
            <w:pPr>
              <w:pStyle w:val="TableParagraph"/>
              <w:spacing w:before="11"/>
              <w:rPr>
                <w:b/>
                <w:sz w:val="14"/>
              </w:rPr>
            </w:pPr>
          </w:p>
          <w:p>
            <w:pPr>
              <w:pStyle w:val="TableParagraph"/>
              <w:ind w:left="679" w:right="566"/>
              <w:jc w:val="center"/>
              <w:rPr>
                <w:sz w:val="21"/>
              </w:rPr>
            </w:pPr>
            <w:r>
              <w:rPr>
                <w:sz w:val="21"/>
              </w:rPr>
              <w:t>-2.5~+2.5 </w:t>
            </w:r>
          </w:p>
        </w:tc>
      </w:tr>
      <w:tr>
        <w:trPr>
          <w:trHeight w:val="499" w:hRule="atLeast"/>
        </w:trPr>
        <w:tc>
          <w:tcPr>
            <w:tcW w:w="5530" w:type="dxa"/>
            <w:gridSpan w:val="3"/>
          </w:tcPr>
          <w:p>
            <w:pPr>
              <w:pStyle w:val="TableParagraph"/>
              <w:spacing w:before="11"/>
              <w:rPr>
                <w:b/>
                <w:sz w:val="14"/>
              </w:rPr>
            </w:pPr>
          </w:p>
          <w:p>
            <w:pPr>
              <w:pStyle w:val="TableParagraph"/>
              <w:ind w:left="1504"/>
              <w:rPr>
                <w:sz w:val="21"/>
              </w:rPr>
            </w:pPr>
            <w:r>
              <w:rPr>
                <w:sz w:val="21"/>
              </w:rPr>
              <w:t>热稳定性（260℃±5℃）/% </w:t>
            </w:r>
          </w:p>
        </w:tc>
        <w:tc>
          <w:tcPr>
            <w:tcW w:w="2768" w:type="dxa"/>
          </w:tcPr>
          <w:p>
            <w:pPr>
              <w:pStyle w:val="TableParagraph"/>
              <w:spacing w:before="11"/>
              <w:rPr>
                <w:b/>
                <w:sz w:val="14"/>
              </w:rPr>
            </w:pPr>
          </w:p>
          <w:p>
            <w:pPr>
              <w:pStyle w:val="TableParagraph"/>
              <w:ind w:left="682" w:right="566"/>
              <w:jc w:val="center"/>
              <w:rPr>
                <w:sz w:val="21"/>
              </w:rPr>
            </w:pPr>
            <w:r>
              <w:rPr>
                <w:sz w:val="21"/>
              </w:rPr>
              <w:t>≤10 </w:t>
            </w:r>
          </w:p>
        </w:tc>
      </w:tr>
      <w:tr>
        <w:trPr>
          <w:trHeight w:val="501" w:hRule="atLeast"/>
        </w:trPr>
        <w:tc>
          <w:tcPr>
            <w:tcW w:w="5530" w:type="dxa"/>
            <w:gridSpan w:val="3"/>
          </w:tcPr>
          <w:p>
            <w:pPr>
              <w:pStyle w:val="TableParagraph"/>
              <w:spacing w:before="11"/>
              <w:rPr>
                <w:b/>
                <w:sz w:val="14"/>
              </w:rPr>
            </w:pPr>
          </w:p>
          <w:p>
            <w:pPr>
              <w:pStyle w:val="TableParagraph"/>
              <w:ind w:left="1818"/>
              <w:rPr>
                <w:sz w:val="21"/>
              </w:rPr>
            </w:pPr>
            <w:r>
              <w:rPr>
                <w:sz w:val="21"/>
              </w:rPr>
              <w:t>甲醛含量/（mg/kg） </w:t>
            </w:r>
          </w:p>
        </w:tc>
        <w:tc>
          <w:tcPr>
            <w:tcW w:w="2768" w:type="dxa"/>
          </w:tcPr>
          <w:p>
            <w:pPr>
              <w:pStyle w:val="TableParagraph"/>
              <w:spacing w:before="11"/>
              <w:rPr>
                <w:b/>
                <w:sz w:val="14"/>
              </w:rPr>
            </w:pPr>
          </w:p>
          <w:p>
            <w:pPr>
              <w:pStyle w:val="TableParagraph"/>
              <w:ind w:left="682" w:right="566"/>
              <w:jc w:val="center"/>
              <w:rPr>
                <w:sz w:val="21"/>
              </w:rPr>
            </w:pPr>
            <w:r>
              <w:rPr>
                <w:sz w:val="21"/>
              </w:rPr>
              <w:t>≤75 </w:t>
            </w:r>
          </w:p>
        </w:tc>
      </w:tr>
      <w:tr>
        <w:trPr>
          <w:trHeight w:val="498" w:hRule="atLeast"/>
        </w:trPr>
        <w:tc>
          <w:tcPr>
            <w:tcW w:w="5530" w:type="dxa"/>
            <w:gridSpan w:val="3"/>
          </w:tcPr>
          <w:p>
            <w:pPr>
              <w:pStyle w:val="TableParagraph"/>
              <w:spacing w:before="11"/>
              <w:rPr>
                <w:b/>
                <w:sz w:val="14"/>
              </w:rPr>
            </w:pPr>
          </w:p>
          <w:p>
            <w:pPr>
              <w:pStyle w:val="TableParagraph"/>
              <w:ind w:left="2481" w:right="2368"/>
              <w:jc w:val="center"/>
              <w:rPr>
                <w:sz w:val="21"/>
              </w:rPr>
            </w:pPr>
            <w:r>
              <w:rPr>
                <w:sz w:val="21"/>
              </w:rPr>
              <w:t>pH 值 </w:t>
            </w:r>
          </w:p>
        </w:tc>
        <w:tc>
          <w:tcPr>
            <w:tcW w:w="2768" w:type="dxa"/>
          </w:tcPr>
          <w:p>
            <w:pPr>
              <w:pStyle w:val="TableParagraph"/>
              <w:spacing w:before="11"/>
              <w:rPr>
                <w:b/>
                <w:sz w:val="14"/>
              </w:rPr>
            </w:pPr>
          </w:p>
          <w:p>
            <w:pPr>
              <w:pStyle w:val="TableParagraph"/>
              <w:ind w:left="679" w:right="566"/>
              <w:jc w:val="center"/>
              <w:rPr>
                <w:sz w:val="21"/>
              </w:rPr>
            </w:pPr>
            <w:r>
              <w:rPr>
                <w:sz w:val="21"/>
              </w:rPr>
              <w:t>4.0~8.5 </w:t>
            </w:r>
          </w:p>
        </w:tc>
      </w:tr>
      <w:tr>
        <w:trPr>
          <w:trHeight w:val="501" w:hRule="atLeast"/>
        </w:trPr>
        <w:tc>
          <w:tcPr>
            <w:tcW w:w="2765" w:type="dxa"/>
          </w:tcPr>
          <w:p>
            <w:pPr>
              <w:pStyle w:val="TableParagraph"/>
              <w:spacing w:before="11"/>
              <w:rPr>
                <w:b/>
                <w:sz w:val="14"/>
              </w:rPr>
            </w:pPr>
          </w:p>
          <w:p>
            <w:pPr>
              <w:pStyle w:val="TableParagraph"/>
              <w:ind w:left="573" w:right="459"/>
              <w:jc w:val="center"/>
              <w:rPr>
                <w:sz w:val="21"/>
              </w:rPr>
            </w:pPr>
            <w:r>
              <w:rPr>
                <w:sz w:val="21"/>
              </w:rPr>
              <w:t>色牢度/级 </w:t>
            </w:r>
          </w:p>
        </w:tc>
        <w:tc>
          <w:tcPr>
            <w:tcW w:w="2765" w:type="dxa"/>
            <w:gridSpan w:val="2"/>
          </w:tcPr>
          <w:p>
            <w:pPr>
              <w:pStyle w:val="TableParagraph"/>
              <w:spacing w:before="11"/>
              <w:rPr>
                <w:b/>
                <w:sz w:val="14"/>
              </w:rPr>
            </w:pPr>
          </w:p>
          <w:p>
            <w:pPr>
              <w:pStyle w:val="TableParagraph"/>
              <w:ind w:left="856"/>
              <w:rPr>
                <w:sz w:val="21"/>
              </w:rPr>
            </w:pPr>
            <w:r>
              <w:rPr>
                <w:sz w:val="21"/>
              </w:rPr>
              <w:t>耐光色牢度 </w:t>
            </w:r>
          </w:p>
        </w:tc>
        <w:tc>
          <w:tcPr>
            <w:tcW w:w="2768" w:type="dxa"/>
          </w:tcPr>
          <w:p>
            <w:pPr>
              <w:pStyle w:val="TableParagraph"/>
              <w:spacing w:before="11"/>
              <w:rPr>
                <w:b/>
                <w:sz w:val="14"/>
              </w:rPr>
            </w:pPr>
          </w:p>
          <w:p>
            <w:pPr>
              <w:pStyle w:val="TableParagraph"/>
              <w:ind w:left="682" w:right="566"/>
              <w:jc w:val="center"/>
              <w:rPr>
                <w:sz w:val="21"/>
              </w:rPr>
            </w:pPr>
            <w:r>
              <w:rPr>
                <w:sz w:val="21"/>
              </w:rPr>
              <w:t>≥4 </w:t>
            </w:r>
          </w:p>
        </w:tc>
      </w:tr>
      <w:tr>
        <w:trPr>
          <w:trHeight w:val="498" w:hRule="atLeast"/>
        </w:trPr>
        <w:tc>
          <w:tcPr>
            <w:tcW w:w="2765" w:type="dxa"/>
          </w:tcPr>
          <w:p>
            <w:pPr>
              <w:pStyle w:val="TableParagraph"/>
              <w:spacing w:before="11"/>
              <w:rPr>
                <w:b/>
                <w:sz w:val="14"/>
              </w:rPr>
            </w:pPr>
          </w:p>
          <w:p>
            <w:pPr>
              <w:pStyle w:val="TableParagraph"/>
              <w:ind w:left="114"/>
              <w:jc w:val="center"/>
              <w:rPr>
                <w:sz w:val="21"/>
              </w:rPr>
            </w:pPr>
            <w:r>
              <w:rPr>
                <w:w w:val="100"/>
                <w:sz w:val="21"/>
              </w:rPr>
              <w:t> </w:t>
            </w:r>
          </w:p>
        </w:tc>
        <w:tc>
          <w:tcPr>
            <w:tcW w:w="2765" w:type="dxa"/>
            <w:gridSpan w:val="2"/>
          </w:tcPr>
          <w:p>
            <w:pPr>
              <w:pStyle w:val="TableParagraph"/>
              <w:spacing w:before="11"/>
              <w:rPr>
                <w:b/>
                <w:sz w:val="14"/>
              </w:rPr>
            </w:pPr>
          </w:p>
          <w:p>
            <w:pPr>
              <w:pStyle w:val="TableParagraph"/>
              <w:ind w:left="489"/>
              <w:rPr>
                <w:sz w:val="21"/>
              </w:rPr>
            </w:pPr>
            <w:r>
              <w:rPr>
                <w:sz w:val="21"/>
              </w:rPr>
              <w:t>耐洗（变色/沾色） </w:t>
            </w:r>
          </w:p>
        </w:tc>
        <w:tc>
          <w:tcPr>
            <w:tcW w:w="2768" w:type="dxa"/>
          </w:tcPr>
          <w:p>
            <w:pPr>
              <w:pStyle w:val="TableParagraph"/>
              <w:spacing w:before="11"/>
              <w:rPr>
                <w:b/>
                <w:sz w:val="14"/>
              </w:rPr>
            </w:pPr>
          </w:p>
          <w:p>
            <w:pPr>
              <w:pStyle w:val="TableParagraph"/>
              <w:ind w:left="679" w:right="566"/>
              <w:jc w:val="center"/>
              <w:rPr>
                <w:sz w:val="21"/>
              </w:rPr>
            </w:pPr>
            <w:r>
              <w:rPr>
                <w:sz w:val="21"/>
              </w:rPr>
              <w:t>≥4/3-4 </w:t>
            </w:r>
          </w:p>
        </w:tc>
      </w:tr>
      <w:tr>
        <w:trPr>
          <w:trHeight w:val="501" w:hRule="atLeast"/>
        </w:trPr>
        <w:tc>
          <w:tcPr>
            <w:tcW w:w="2765" w:type="dxa"/>
          </w:tcPr>
          <w:p>
            <w:pPr>
              <w:pStyle w:val="TableParagraph"/>
              <w:spacing w:before="11"/>
              <w:rPr>
                <w:b/>
                <w:sz w:val="14"/>
              </w:rPr>
            </w:pPr>
          </w:p>
          <w:p>
            <w:pPr>
              <w:pStyle w:val="TableParagraph"/>
              <w:ind w:left="114"/>
              <w:jc w:val="center"/>
              <w:rPr>
                <w:sz w:val="21"/>
              </w:rPr>
            </w:pPr>
            <w:r>
              <w:rPr>
                <w:w w:val="100"/>
                <w:sz w:val="21"/>
              </w:rPr>
              <w:t> </w:t>
            </w:r>
          </w:p>
        </w:tc>
        <w:tc>
          <w:tcPr>
            <w:tcW w:w="2765" w:type="dxa"/>
            <w:gridSpan w:val="2"/>
          </w:tcPr>
          <w:p>
            <w:pPr>
              <w:pStyle w:val="TableParagraph"/>
              <w:spacing w:before="11"/>
              <w:rPr>
                <w:b/>
                <w:sz w:val="14"/>
              </w:rPr>
            </w:pPr>
          </w:p>
          <w:p>
            <w:pPr>
              <w:pStyle w:val="TableParagraph"/>
              <w:ind w:left="489"/>
              <w:rPr>
                <w:sz w:val="21"/>
              </w:rPr>
            </w:pPr>
            <w:r>
              <w:rPr>
                <w:sz w:val="21"/>
              </w:rPr>
              <w:t>耐水（变色/沾色） </w:t>
            </w:r>
          </w:p>
        </w:tc>
        <w:tc>
          <w:tcPr>
            <w:tcW w:w="2768" w:type="dxa"/>
          </w:tcPr>
          <w:p>
            <w:pPr>
              <w:pStyle w:val="TableParagraph"/>
              <w:spacing w:before="11"/>
              <w:rPr>
                <w:b/>
                <w:sz w:val="14"/>
              </w:rPr>
            </w:pPr>
          </w:p>
          <w:p>
            <w:pPr>
              <w:pStyle w:val="TableParagraph"/>
              <w:ind w:left="679" w:right="566"/>
              <w:jc w:val="center"/>
              <w:rPr>
                <w:sz w:val="21"/>
              </w:rPr>
            </w:pPr>
            <w:r>
              <w:rPr>
                <w:sz w:val="21"/>
              </w:rPr>
              <w:t>≥4/3-4 </w:t>
            </w:r>
          </w:p>
        </w:tc>
      </w:tr>
      <w:tr>
        <w:trPr>
          <w:trHeight w:val="499" w:hRule="atLeast"/>
        </w:trPr>
        <w:tc>
          <w:tcPr>
            <w:tcW w:w="2765" w:type="dxa"/>
          </w:tcPr>
          <w:p>
            <w:pPr>
              <w:pStyle w:val="TableParagraph"/>
              <w:spacing w:before="11"/>
              <w:rPr>
                <w:b/>
                <w:sz w:val="14"/>
              </w:rPr>
            </w:pPr>
          </w:p>
          <w:p>
            <w:pPr>
              <w:pStyle w:val="TableParagraph"/>
              <w:spacing w:before="1"/>
              <w:ind w:left="114"/>
              <w:jc w:val="center"/>
              <w:rPr>
                <w:sz w:val="21"/>
              </w:rPr>
            </w:pPr>
            <w:r>
              <w:rPr>
                <w:w w:val="100"/>
                <w:sz w:val="21"/>
              </w:rPr>
              <w:t> </w:t>
            </w:r>
          </w:p>
        </w:tc>
        <w:tc>
          <w:tcPr>
            <w:tcW w:w="2765" w:type="dxa"/>
            <w:gridSpan w:val="2"/>
          </w:tcPr>
          <w:p>
            <w:pPr>
              <w:pStyle w:val="TableParagraph"/>
              <w:spacing w:before="11"/>
              <w:rPr>
                <w:b/>
                <w:sz w:val="14"/>
              </w:rPr>
            </w:pPr>
          </w:p>
          <w:p>
            <w:pPr>
              <w:pStyle w:val="TableParagraph"/>
              <w:spacing w:before="1"/>
              <w:ind w:left="962"/>
              <w:rPr>
                <w:sz w:val="21"/>
              </w:rPr>
            </w:pPr>
            <w:r>
              <w:rPr>
                <w:sz w:val="21"/>
              </w:rPr>
              <w:t>耐干耐擦 </w:t>
            </w:r>
          </w:p>
        </w:tc>
        <w:tc>
          <w:tcPr>
            <w:tcW w:w="2768" w:type="dxa"/>
          </w:tcPr>
          <w:p>
            <w:pPr>
              <w:pStyle w:val="TableParagraph"/>
              <w:spacing w:before="11"/>
              <w:rPr>
                <w:b/>
                <w:sz w:val="14"/>
              </w:rPr>
            </w:pPr>
          </w:p>
          <w:p>
            <w:pPr>
              <w:pStyle w:val="TableParagraph"/>
              <w:spacing w:before="1"/>
              <w:ind w:left="682" w:right="566"/>
              <w:jc w:val="center"/>
              <w:rPr>
                <w:sz w:val="21"/>
              </w:rPr>
            </w:pPr>
            <w:r>
              <w:rPr>
                <w:sz w:val="21"/>
              </w:rPr>
              <w:t>≥3-4 </w:t>
            </w:r>
          </w:p>
        </w:tc>
      </w:tr>
      <w:tr>
        <w:trPr>
          <w:trHeight w:val="501" w:hRule="atLeast"/>
        </w:trPr>
        <w:tc>
          <w:tcPr>
            <w:tcW w:w="2765" w:type="dxa"/>
          </w:tcPr>
          <w:p>
            <w:pPr>
              <w:pStyle w:val="TableParagraph"/>
              <w:spacing w:before="11"/>
              <w:rPr>
                <w:b/>
                <w:sz w:val="14"/>
              </w:rPr>
            </w:pPr>
          </w:p>
          <w:p>
            <w:pPr>
              <w:pStyle w:val="TableParagraph"/>
              <w:ind w:left="114"/>
              <w:jc w:val="center"/>
              <w:rPr>
                <w:sz w:val="21"/>
              </w:rPr>
            </w:pPr>
            <w:r>
              <w:rPr>
                <w:w w:val="100"/>
                <w:sz w:val="21"/>
              </w:rPr>
              <w:t> </w:t>
            </w:r>
          </w:p>
        </w:tc>
        <w:tc>
          <w:tcPr>
            <w:tcW w:w="2765" w:type="dxa"/>
            <w:gridSpan w:val="2"/>
          </w:tcPr>
          <w:p>
            <w:pPr>
              <w:pStyle w:val="TableParagraph"/>
              <w:spacing w:before="11"/>
              <w:rPr>
                <w:b/>
                <w:sz w:val="14"/>
              </w:rPr>
            </w:pPr>
          </w:p>
          <w:p>
            <w:pPr>
              <w:pStyle w:val="TableParagraph"/>
              <w:ind w:left="962"/>
              <w:rPr>
                <w:sz w:val="21"/>
              </w:rPr>
            </w:pPr>
            <w:r>
              <w:rPr>
                <w:sz w:val="21"/>
              </w:rPr>
              <w:t>耐湿摩擦 </w:t>
            </w:r>
          </w:p>
        </w:tc>
        <w:tc>
          <w:tcPr>
            <w:tcW w:w="2768" w:type="dxa"/>
          </w:tcPr>
          <w:p>
            <w:pPr>
              <w:pStyle w:val="TableParagraph"/>
              <w:spacing w:before="11"/>
              <w:rPr>
                <w:b/>
                <w:sz w:val="14"/>
              </w:rPr>
            </w:pPr>
          </w:p>
          <w:p>
            <w:pPr>
              <w:pStyle w:val="TableParagraph"/>
              <w:ind w:left="682" w:right="566"/>
              <w:jc w:val="center"/>
              <w:rPr>
                <w:sz w:val="21"/>
              </w:rPr>
            </w:pPr>
            <w:r>
              <w:rPr>
                <w:sz w:val="21"/>
              </w:rPr>
              <w:t>≥3 </w:t>
            </w:r>
          </w:p>
        </w:tc>
      </w:tr>
      <w:tr>
        <w:trPr>
          <w:trHeight w:val="498" w:hRule="atLeast"/>
        </w:trPr>
        <w:tc>
          <w:tcPr>
            <w:tcW w:w="2765" w:type="dxa"/>
          </w:tcPr>
          <w:p>
            <w:pPr>
              <w:pStyle w:val="TableParagraph"/>
              <w:spacing w:before="11"/>
              <w:rPr>
                <w:b/>
                <w:sz w:val="14"/>
              </w:rPr>
            </w:pPr>
          </w:p>
          <w:p>
            <w:pPr>
              <w:pStyle w:val="TableParagraph"/>
              <w:ind w:left="114"/>
              <w:jc w:val="center"/>
              <w:rPr>
                <w:sz w:val="21"/>
              </w:rPr>
            </w:pPr>
            <w:r>
              <w:rPr>
                <w:w w:val="100"/>
                <w:sz w:val="21"/>
              </w:rPr>
              <w:t> </w:t>
            </w:r>
          </w:p>
        </w:tc>
        <w:tc>
          <w:tcPr>
            <w:tcW w:w="2765" w:type="dxa"/>
            <w:gridSpan w:val="2"/>
          </w:tcPr>
          <w:p>
            <w:pPr>
              <w:pStyle w:val="TableParagraph"/>
              <w:spacing w:before="11"/>
              <w:rPr>
                <w:b/>
                <w:sz w:val="14"/>
              </w:rPr>
            </w:pPr>
          </w:p>
          <w:p>
            <w:pPr>
              <w:pStyle w:val="TableParagraph"/>
              <w:ind w:left="384"/>
              <w:rPr>
                <w:sz w:val="21"/>
              </w:rPr>
            </w:pPr>
            <w:r>
              <w:rPr>
                <w:sz w:val="21"/>
              </w:rPr>
              <w:t>耐汗渍（变色/沾色） </w:t>
            </w:r>
          </w:p>
        </w:tc>
        <w:tc>
          <w:tcPr>
            <w:tcW w:w="2768" w:type="dxa"/>
          </w:tcPr>
          <w:p>
            <w:pPr>
              <w:pStyle w:val="TableParagraph"/>
              <w:spacing w:before="11"/>
              <w:rPr>
                <w:b/>
                <w:sz w:val="14"/>
              </w:rPr>
            </w:pPr>
          </w:p>
          <w:p>
            <w:pPr>
              <w:pStyle w:val="TableParagraph"/>
              <w:ind w:left="679" w:right="566"/>
              <w:jc w:val="center"/>
              <w:rPr>
                <w:sz w:val="21"/>
              </w:rPr>
            </w:pPr>
            <w:r>
              <w:rPr>
                <w:sz w:val="21"/>
              </w:rPr>
              <w:t>≥3-4/3-4 </w:t>
            </w:r>
          </w:p>
        </w:tc>
      </w:tr>
    </w:tbl>
    <w:p>
      <w:pPr>
        <w:pStyle w:val="BodyText"/>
        <w:spacing w:before="11"/>
        <w:rPr>
          <w:b/>
          <w:sz w:val="14"/>
        </w:rPr>
      </w:pPr>
    </w:p>
    <w:p>
      <w:pPr>
        <w:pStyle w:val="ListParagraph"/>
        <w:numPr>
          <w:ilvl w:val="2"/>
          <w:numId w:val="980"/>
        </w:numPr>
        <w:tabs>
          <w:tab w:pos="1371" w:val="left" w:leader="none"/>
        </w:tabs>
        <w:spacing w:line="240" w:lineRule="auto" w:before="0" w:after="0"/>
        <w:ind w:left="1370" w:right="0" w:hanging="531"/>
        <w:jc w:val="left"/>
        <w:rPr>
          <w:sz w:val="21"/>
        </w:rPr>
      </w:pPr>
      <w:r>
        <w:rPr>
          <w:spacing w:val="-3"/>
          <w:sz w:val="21"/>
        </w:rPr>
        <w:t>缝纫线</w:t>
      </w:r>
      <w:r>
        <w:rPr>
          <w:sz w:val="21"/>
        </w:rPr>
        <w:t> </w:t>
      </w:r>
    </w:p>
    <w:p>
      <w:pPr>
        <w:pStyle w:val="BodyText"/>
        <w:spacing w:before="2"/>
        <w:rPr>
          <w:sz w:val="18"/>
        </w:rPr>
      </w:pPr>
    </w:p>
    <w:p>
      <w:pPr>
        <w:pStyle w:val="ListParagraph"/>
        <w:numPr>
          <w:ilvl w:val="3"/>
          <w:numId w:val="980"/>
        </w:numPr>
        <w:tabs>
          <w:tab w:pos="1576" w:val="left" w:leader="none"/>
        </w:tabs>
        <w:spacing w:line="240" w:lineRule="auto" w:before="0" w:after="0"/>
        <w:ind w:left="1575" w:right="0" w:hanging="738"/>
        <w:jc w:val="left"/>
        <w:rPr>
          <w:sz w:val="21"/>
        </w:rPr>
      </w:pPr>
      <w:r>
        <w:rPr>
          <w:spacing w:val="-3"/>
          <w:sz w:val="21"/>
        </w:rPr>
        <w:t>强力</w:t>
      </w:r>
      <w:r>
        <w:rPr>
          <w:sz w:val="21"/>
        </w:rPr>
        <w:t> </w:t>
      </w:r>
    </w:p>
    <w:p>
      <w:pPr>
        <w:pStyle w:val="BodyText"/>
        <w:spacing w:before="12"/>
        <w:rPr>
          <w:sz w:val="17"/>
        </w:rPr>
      </w:pPr>
    </w:p>
    <w:p>
      <w:pPr>
        <w:pStyle w:val="BodyText"/>
        <w:spacing w:line="446" w:lineRule="auto"/>
        <w:ind w:left="838" w:right="7653"/>
      </w:pPr>
      <w:r>
        <w:rPr/>
        <w:t>单线强力不小于 10N。4.1.2.2 热稳定性 </w:t>
      </w:r>
    </w:p>
    <w:p>
      <w:pPr>
        <w:pStyle w:val="BodyText"/>
        <w:spacing w:before="1"/>
        <w:ind w:left="838"/>
      </w:pPr>
      <w:r>
        <w:rPr/>
        <w:t>缝纫线在 260℃±5℃环境中，经 5min 热稳定试验后，无熔融和烧焦现象。 </w:t>
      </w:r>
    </w:p>
    <w:p>
      <w:pPr>
        <w:pStyle w:val="BodyText"/>
        <w:spacing w:before="12"/>
        <w:rPr>
          <w:sz w:val="17"/>
        </w:rPr>
      </w:pPr>
    </w:p>
    <w:p>
      <w:pPr>
        <w:pStyle w:val="ListParagraph"/>
        <w:numPr>
          <w:ilvl w:val="2"/>
          <w:numId w:val="980"/>
        </w:numPr>
        <w:tabs>
          <w:tab w:pos="1370" w:val="left" w:leader="none"/>
        </w:tabs>
        <w:spacing w:line="240" w:lineRule="auto" w:before="0" w:after="0"/>
        <w:ind w:left="1369" w:right="0" w:hanging="530"/>
        <w:jc w:val="left"/>
        <w:rPr>
          <w:sz w:val="21"/>
        </w:rPr>
      </w:pPr>
      <w:r>
        <w:rPr>
          <w:spacing w:val="-3"/>
          <w:sz w:val="21"/>
        </w:rPr>
        <w:t>反光带</w:t>
      </w:r>
      <w:r>
        <w:rPr>
          <w:sz w:val="21"/>
        </w:rPr>
        <w:t> </w:t>
      </w:r>
    </w:p>
    <w:p>
      <w:pPr>
        <w:spacing w:after="0" w:line="240" w:lineRule="auto"/>
        <w:jc w:val="left"/>
        <w:rPr>
          <w:sz w:val="21"/>
        </w:rPr>
        <w:sectPr>
          <w:footerReference w:type="default" r:id="rId632"/>
          <w:pgSz w:w="11910" w:h="16850"/>
          <w:pgMar w:footer="1239" w:header="0" w:top="1080" w:bottom="1420" w:left="1260" w:right="0"/>
          <w:pgNumType w:start="1700"/>
        </w:sectPr>
      </w:pPr>
    </w:p>
    <w:p>
      <w:pPr>
        <w:pStyle w:val="ListParagraph"/>
        <w:numPr>
          <w:ilvl w:val="3"/>
          <w:numId w:val="980"/>
        </w:numPr>
        <w:tabs>
          <w:tab w:pos="1576" w:val="left" w:leader="none"/>
        </w:tabs>
        <w:spacing w:line="240" w:lineRule="auto" w:before="47" w:after="0"/>
        <w:ind w:left="1575" w:right="0" w:hanging="738"/>
        <w:jc w:val="left"/>
        <w:rPr>
          <w:sz w:val="21"/>
        </w:rPr>
      </w:pPr>
      <w:r>
        <w:rPr>
          <w:spacing w:val="-3"/>
          <w:sz w:val="21"/>
        </w:rPr>
        <w:t>逆反射系数值</w:t>
      </w:r>
      <w:r>
        <w:rPr>
          <w:sz w:val="21"/>
        </w:rPr>
        <w:t> </w:t>
      </w:r>
    </w:p>
    <w:p>
      <w:pPr>
        <w:pStyle w:val="BodyText"/>
        <w:rPr>
          <w:sz w:val="18"/>
        </w:rPr>
      </w:pPr>
    </w:p>
    <w:p>
      <w:pPr>
        <w:pStyle w:val="BodyText"/>
        <w:ind w:left="838"/>
      </w:pPr>
      <w:r>
        <w:rPr/>
        <w:t>反光带的逆反射系数值，物理实验前应符合 GB 20653——2006 中表 7 的要求；按照 GB20653—</w:t>
      </w:r>
    </w:p>
    <w:p>
      <w:pPr>
        <w:pStyle w:val="BodyText"/>
        <w:rPr>
          <w:sz w:val="18"/>
        </w:rPr>
      </w:pPr>
    </w:p>
    <w:p>
      <w:pPr>
        <w:pStyle w:val="BodyText"/>
        <w:spacing w:line="446" w:lineRule="auto"/>
        <w:ind w:left="838" w:right="1666" w:hanging="420"/>
      </w:pPr>
      <w:r>
        <w:rPr/>
        <w:t>—2006</w:t>
      </w:r>
      <w:r>
        <w:rPr>
          <w:spacing w:val="-26"/>
        </w:rPr>
        <w:t> 中表 </w:t>
      </w:r>
      <w:r>
        <w:rPr/>
        <w:t>8</w:t>
      </w:r>
      <w:r>
        <w:rPr>
          <w:spacing w:val="-12"/>
        </w:rPr>
        <w:t> 规定的物理试验后，应符合 </w:t>
      </w:r>
      <w:r>
        <w:rPr/>
        <w:t>GB20653——2006</w:t>
      </w:r>
      <w:r>
        <w:rPr>
          <w:spacing w:val="-34"/>
        </w:rPr>
        <w:t> 中 </w:t>
      </w:r>
      <w:r>
        <w:rPr/>
        <w:t>6.2.2</w:t>
      </w:r>
      <w:r>
        <w:rPr>
          <w:spacing w:val="-8"/>
        </w:rPr>
        <w:t> 规定的光学性能要求。</w:t>
      </w:r>
      <w:r>
        <w:rPr/>
        <w:t>4.1.3.2</w:t>
      </w:r>
      <w:r>
        <w:rPr>
          <w:spacing w:val="-3"/>
        </w:rPr>
        <w:t> 阻燃性能</w:t>
      </w:r>
      <w:r>
        <w:rPr/>
        <w:t> </w:t>
      </w:r>
    </w:p>
    <w:p>
      <w:pPr>
        <w:pStyle w:val="BodyText"/>
        <w:spacing w:line="446" w:lineRule="auto"/>
        <w:ind w:left="838" w:right="5920"/>
      </w:pPr>
      <w:r>
        <w:rPr>
          <w:spacing w:val="-7"/>
        </w:rPr>
        <w:t>反光带的阻燃性能应符合 </w:t>
      </w:r>
      <w:r>
        <w:rPr/>
        <w:t>4.1.1.3</w:t>
      </w:r>
      <w:r>
        <w:rPr>
          <w:spacing w:val="-15"/>
        </w:rPr>
        <w:t> 要求。</w:t>
      </w:r>
      <w:r>
        <w:rPr/>
        <w:t>4.1.3.3</w:t>
      </w:r>
      <w:r>
        <w:rPr>
          <w:spacing w:val="-3"/>
        </w:rPr>
        <w:t> 热稳定性</w:t>
      </w:r>
      <w:r>
        <w:rPr/>
        <w:t> </w:t>
      </w:r>
    </w:p>
    <w:p>
      <w:pPr>
        <w:pStyle w:val="BodyText"/>
        <w:spacing w:line="446" w:lineRule="auto"/>
        <w:ind w:left="840" w:right="2400" w:hanging="3"/>
      </w:pPr>
      <w:r>
        <w:rPr>
          <w:spacing w:val="-11"/>
        </w:rPr>
        <w:t>反光带在 </w:t>
      </w:r>
      <w:r>
        <w:rPr/>
        <w:t>260℃±5</w:t>
      </w:r>
      <w:r>
        <w:rPr>
          <w:spacing w:val="-10"/>
        </w:rPr>
        <w:t>℃环境中，经 </w:t>
      </w:r>
      <w:r>
        <w:rPr/>
        <w:t>5min</w:t>
      </w:r>
      <w:r>
        <w:rPr>
          <w:spacing w:val="-8"/>
        </w:rPr>
        <w:t> 热稳定试验后，表面无碳化、脱落现象。</w:t>
      </w:r>
      <w:r>
        <w:rPr>
          <w:b/>
          <w:spacing w:val="-8"/>
        </w:rPr>
        <w:t>4.1.4</w:t>
      </w:r>
      <w:r>
        <w:rPr>
          <w:b/>
          <w:spacing w:val="-1"/>
        </w:rPr>
        <w:t> </w:t>
      </w:r>
      <w:r>
        <w:rPr>
          <w:spacing w:val="-3"/>
        </w:rPr>
        <w:t>附件及辅料</w:t>
      </w:r>
      <w:r>
        <w:rPr/>
        <w:t> </w:t>
      </w:r>
    </w:p>
    <w:p>
      <w:pPr>
        <w:pStyle w:val="BodyText"/>
        <w:spacing w:line="267" w:lineRule="exact"/>
        <w:ind w:left="838"/>
      </w:pPr>
      <w:r>
        <w:rPr/>
        <w:t>附件及辅料应满足以下要求： </w:t>
      </w:r>
    </w:p>
    <w:p>
      <w:pPr>
        <w:pStyle w:val="BodyText"/>
        <w:spacing w:before="1"/>
        <w:rPr>
          <w:sz w:val="18"/>
        </w:rPr>
      </w:pPr>
    </w:p>
    <w:p>
      <w:pPr>
        <w:pStyle w:val="BodyText"/>
        <w:spacing w:line="446" w:lineRule="auto"/>
        <w:ind w:left="842" w:right="1434"/>
      </w:pPr>
      <w:r>
        <w:rPr>
          <w:spacing w:val="-10"/>
        </w:rPr>
        <w:t>a）</w:t>
      </w:r>
      <w:r>
        <w:rPr>
          <w:spacing w:val="-13"/>
        </w:rPr>
        <w:t>扣、钩、拉链应便于连接和解脱，扣、钩、拉链的材质不应使用易熔、易燃、易变形的材</w:t>
      </w:r>
      <w:r>
        <w:rPr>
          <w:spacing w:val="-6"/>
        </w:rPr>
        <w:t>料，若必须使用时其表面需加阻燃面料掩襟；</w:t>
      </w:r>
      <w:r>
        <w:rPr/>
        <w:t> </w:t>
      </w:r>
    </w:p>
    <w:p>
      <w:pPr>
        <w:pStyle w:val="ListParagraph"/>
        <w:numPr>
          <w:ilvl w:val="0"/>
          <w:numId w:val="981"/>
        </w:numPr>
        <w:tabs>
          <w:tab w:pos="1055" w:val="left" w:leader="none"/>
        </w:tabs>
        <w:spacing w:line="267" w:lineRule="exact" w:before="0" w:after="0"/>
        <w:ind w:left="1055" w:right="0" w:hanging="213"/>
        <w:jc w:val="left"/>
        <w:rPr>
          <w:sz w:val="21"/>
        </w:rPr>
      </w:pPr>
      <w:r>
        <w:rPr>
          <w:spacing w:val="-3"/>
          <w:sz w:val="21"/>
        </w:rPr>
        <w:t>金属部件应不与皮肤或内衣直接接触；</w:t>
      </w:r>
      <w:r>
        <w:rPr>
          <w:sz w:val="21"/>
        </w:rPr>
        <w:t> </w:t>
      </w:r>
    </w:p>
    <w:p>
      <w:pPr>
        <w:pStyle w:val="BodyText"/>
        <w:spacing w:before="2"/>
        <w:rPr>
          <w:sz w:val="18"/>
        </w:rPr>
      </w:pPr>
    </w:p>
    <w:p>
      <w:pPr>
        <w:pStyle w:val="ListParagraph"/>
        <w:numPr>
          <w:ilvl w:val="0"/>
          <w:numId w:val="981"/>
        </w:numPr>
        <w:tabs>
          <w:tab w:pos="1055" w:val="left" w:leader="none"/>
        </w:tabs>
        <w:spacing w:line="446" w:lineRule="auto" w:before="0" w:after="0"/>
        <w:ind w:left="840" w:right="1709" w:firstLine="2"/>
        <w:jc w:val="left"/>
        <w:rPr>
          <w:b/>
          <w:sz w:val="21"/>
        </w:rPr>
      </w:pPr>
      <w:r>
        <w:rPr>
          <w:spacing w:val="-3"/>
          <w:sz w:val="21"/>
        </w:rPr>
        <w:t>如使用阻燃橡筋类材料，应采用阻燃面料包覆；若必须使用里料时，里料不可熔融。</w:t>
      </w:r>
      <w:r>
        <w:rPr>
          <w:b/>
          <w:sz w:val="21"/>
        </w:rPr>
        <w:t>4.2</w:t>
      </w:r>
      <w:r>
        <w:rPr>
          <w:b/>
          <w:spacing w:val="-1"/>
          <w:sz w:val="21"/>
        </w:rPr>
        <w:t> </w:t>
      </w:r>
      <w:r>
        <w:rPr>
          <w:spacing w:val="-3"/>
          <w:sz w:val="21"/>
        </w:rPr>
        <w:t>号型与结构</w:t>
      </w:r>
      <w:r>
        <w:rPr>
          <w:b/>
          <w:w w:val="99"/>
          <w:sz w:val="21"/>
        </w:rPr>
        <w:t> </w:t>
      </w:r>
    </w:p>
    <w:p>
      <w:pPr>
        <w:spacing w:line="267" w:lineRule="exact" w:before="0"/>
        <w:ind w:left="840" w:right="0" w:firstLine="0"/>
        <w:jc w:val="left"/>
        <w:rPr>
          <w:sz w:val="21"/>
        </w:rPr>
      </w:pPr>
      <w:r>
        <w:rPr>
          <w:b/>
          <w:sz w:val="21"/>
        </w:rPr>
        <w:t>4.2.1 </w:t>
      </w:r>
      <w:r>
        <w:rPr>
          <w:sz w:val="21"/>
        </w:rPr>
        <w:t>森林防火服的款式设计 </w:t>
      </w:r>
    </w:p>
    <w:p>
      <w:pPr>
        <w:pStyle w:val="BodyText"/>
        <w:spacing w:before="2"/>
        <w:rPr>
          <w:sz w:val="18"/>
        </w:rPr>
      </w:pPr>
    </w:p>
    <w:p>
      <w:pPr>
        <w:spacing w:line="446" w:lineRule="auto" w:before="0"/>
        <w:ind w:left="840" w:right="8224" w:hanging="3"/>
        <w:jc w:val="left"/>
        <w:rPr>
          <w:sz w:val="21"/>
        </w:rPr>
      </w:pPr>
      <w:r>
        <w:rPr>
          <w:spacing w:val="-12"/>
          <w:sz w:val="21"/>
        </w:rPr>
        <w:t>参考附录 </w:t>
      </w:r>
      <w:r>
        <w:rPr>
          <w:spacing w:val="-3"/>
          <w:sz w:val="21"/>
        </w:rPr>
        <w:t>A。</w:t>
      </w:r>
      <w:r>
        <w:rPr>
          <w:b/>
          <w:sz w:val="21"/>
        </w:rPr>
        <w:t>4.2.2</w:t>
      </w:r>
      <w:r>
        <w:rPr>
          <w:b/>
          <w:spacing w:val="5"/>
          <w:sz w:val="21"/>
        </w:rPr>
        <w:t> </w:t>
      </w:r>
      <w:r>
        <w:rPr>
          <w:spacing w:val="-3"/>
          <w:sz w:val="21"/>
        </w:rPr>
        <w:t>成品号型</w:t>
      </w:r>
      <w:r>
        <w:rPr>
          <w:sz w:val="21"/>
        </w:rPr>
        <w:t> </w:t>
      </w:r>
    </w:p>
    <w:p>
      <w:pPr>
        <w:pStyle w:val="BodyText"/>
        <w:spacing w:line="446" w:lineRule="auto"/>
        <w:ind w:left="840" w:right="1330" w:hanging="3"/>
      </w:pPr>
      <w:r>
        <w:rPr>
          <w:spacing w:val="-7"/>
        </w:rPr>
        <w:t>根据款式及使用要求，依据 </w:t>
      </w:r>
      <w:r>
        <w:rPr/>
        <w:t>GB/T</w:t>
      </w:r>
      <w:r>
        <w:rPr>
          <w:spacing w:val="45"/>
        </w:rPr>
        <w:t> </w:t>
      </w:r>
      <w:r>
        <w:rPr/>
        <w:t>13640</w:t>
      </w:r>
      <w:r>
        <w:rPr>
          <w:spacing w:val="-17"/>
        </w:rPr>
        <w:t> 选定，超出 </w:t>
      </w:r>
      <w:r>
        <w:rPr/>
        <w:t>GB/T</w:t>
      </w:r>
      <w:r>
        <w:rPr>
          <w:spacing w:val="45"/>
        </w:rPr>
        <w:t> </w:t>
      </w:r>
      <w:r>
        <w:rPr/>
        <w:t>13640</w:t>
      </w:r>
      <w:r>
        <w:rPr>
          <w:spacing w:val="-17"/>
        </w:rPr>
        <w:t> 范围可按照用户要求定制。</w:t>
      </w:r>
      <w:r>
        <w:rPr>
          <w:b/>
        </w:rPr>
        <w:t>4.2.3</w:t>
      </w:r>
      <w:r>
        <w:rPr>
          <w:b/>
          <w:spacing w:val="-1"/>
        </w:rPr>
        <w:t> </w:t>
      </w:r>
      <w:r>
        <w:rPr>
          <w:spacing w:val="-3"/>
        </w:rPr>
        <w:t>成品结构</w:t>
      </w:r>
      <w:r>
        <w:rPr/>
        <w:t> </w:t>
      </w:r>
    </w:p>
    <w:p>
      <w:pPr>
        <w:pStyle w:val="BodyText"/>
        <w:ind w:left="838"/>
      </w:pPr>
      <w:r>
        <w:rPr>
          <w:w w:val="100"/>
        </w:rPr>
        <w:t>4.3.2</w:t>
      </w:r>
      <w:r>
        <w:rPr>
          <w:spacing w:val="-3"/>
          <w:w w:val="100"/>
        </w:rPr>
        <w:t>.</w:t>
      </w:r>
      <w:r>
        <w:rPr>
          <w:w w:val="100"/>
        </w:rPr>
        <w:t>1</w:t>
      </w:r>
      <w:r>
        <w:rPr>
          <w:spacing w:val="-13"/>
          <w:w w:val="100"/>
        </w:rPr>
        <w:t> 服装的结构要求：上衣“袖口紧、领口紧”，裤子“脚口紧”。</w:t>
      </w:r>
      <w:r>
        <w:rPr>
          <w:w w:val="100"/>
        </w:rPr>
        <w:t> </w:t>
      </w:r>
    </w:p>
    <w:p>
      <w:pPr>
        <w:pStyle w:val="BodyText"/>
        <w:spacing w:before="10"/>
        <w:rPr>
          <w:sz w:val="17"/>
        </w:rPr>
      </w:pPr>
    </w:p>
    <w:p>
      <w:pPr>
        <w:pStyle w:val="BodyText"/>
        <w:spacing w:before="1"/>
        <w:ind w:left="838"/>
      </w:pPr>
      <w:r>
        <w:rPr/>
        <w:t>4.2.3.2 明衣袋应有袋盖，袋盖对称覆盖袋口，每边长度应大于袋口长度至少 1cm。 </w:t>
      </w:r>
    </w:p>
    <w:p>
      <w:pPr>
        <w:pStyle w:val="BodyText"/>
        <w:spacing w:before="1"/>
        <w:rPr>
          <w:sz w:val="18"/>
        </w:rPr>
      </w:pPr>
    </w:p>
    <w:p>
      <w:pPr>
        <w:pStyle w:val="BodyText"/>
        <w:spacing w:line="446" w:lineRule="auto"/>
        <w:ind w:left="418" w:right="1433" w:firstLine="419"/>
      </w:pPr>
      <w:r>
        <w:rPr/>
        <w:t>4.3.3.3</w:t>
      </w:r>
      <w:r>
        <w:rPr>
          <w:spacing w:val="-5"/>
        </w:rPr>
        <w:t> 服装的上衣长度应符合穿着时盖住裤子上端 </w:t>
      </w:r>
      <w:r>
        <w:rPr/>
        <w:t>20cm</w:t>
      </w:r>
      <w:r>
        <w:rPr>
          <w:spacing w:val="-7"/>
        </w:rPr>
        <w:t> 以上，裤子两侧口袋设计应避免</w:t>
      </w:r>
      <w:r>
        <w:rPr>
          <w:spacing w:val="-5"/>
        </w:rPr>
        <w:t>名省，褶向上倒。</w:t>
      </w:r>
      <w:r>
        <w:rPr/>
        <w:t> </w:t>
      </w:r>
    </w:p>
    <w:p>
      <w:pPr>
        <w:pStyle w:val="ListParagraph"/>
        <w:numPr>
          <w:ilvl w:val="3"/>
          <w:numId w:val="982"/>
        </w:numPr>
        <w:tabs>
          <w:tab w:pos="1576" w:val="left" w:leader="none"/>
        </w:tabs>
        <w:spacing w:line="267" w:lineRule="exact" w:before="0" w:after="0"/>
        <w:ind w:left="1575" w:right="0" w:hanging="738"/>
        <w:jc w:val="left"/>
        <w:rPr>
          <w:sz w:val="21"/>
        </w:rPr>
      </w:pPr>
      <w:r>
        <w:rPr>
          <w:spacing w:val="-3"/>
          <w:sz w:val="21"/>
        </w:rPr>
        <w:t>上衣两肩部可设置悬挂对讲机等设备专用绊带，其他部位不应再设绊带。 </w:t>
      </w:r>
    </w:p>
    <w:p>
      <w:pPr>
        <w:pStyle w:val="BodyText"/>
        <w:spacing w:before="2"/>
        <w:rPr>
          <w:sz w:val="18"/>
        </w:rPr>
      </w:pPr>
    </w:p>
    <w:p>
      <w:pPr>
        <w:pStyle w:val="ListParagraph"/>
        <w:numPr>
          <w:ilvl w:val="3"/>
          <w:numId w:val="982"/>
        </w:numPr>
        <w:tabs>
          <w:tab w:pos="1576" w:val="left" w:leader="none"/>
        </w:tabs>
        <w:spacing w:line="446" w:lineRule="auto" w:before="0" w:after="0"/>
        <w:ind w:left="418" w:right="1431" w:firstLine="419"/>
        <w:jc w:val="left"/>
        <w:rPr>
          <w:sz w:val="21"/>
        </w:rPr>
      </w:pPr>
      <w:r>
        <w:rPr>
          <w:spacing w:val="-5"/>
          <w:sz w:val="21"/>
        </w:rPr>
        <w:t>森林防火服的胸围、袖口、裤腿膝盖以下应有反光带，保证 </w:t>
      </w:r>
      <w:r>
        <w:rPr>
          <w:sz w:val="21"/>
        </w:rPr>
        <w:t>360°可视</w:t>
      </w:r>
      <w:r>
        <w:rPr>
          <w:spacing w:val="-3"/>
          <w:sz w:val="21"/>
        </w:rPr>
        <w:t>（也可按用</w:t>
      </w:r>
      <w:r>
        <w:rPr>
          <w:spacing w:val="-3"/>
          <w:w w:val="100"/>
          <w:sz w:val="21"/>
        </w:rPr>
        <w:t>户要求定制</w:t>
      </w:r>
      <w:r>
        <w:rPr>
          <w:spacing w:val="-106"/>
          <w:w w:val="100"/>
          <w:sz w:val="21"/>
        </w:rPr>
        <w:t>）</w:t>
      </w:r>
      <w:r>
        <w:rPr>
          <w:spacing w:val="-3"/>
          <w:w w:val="100"/>
          <w:sz w:val="21"/>
        </w:rPr>
        <w:t>，反光带的设置参考附录</w:t>
      </w:r>
      <w:r>
        <w:rPr>
          <w:spacing w:val="-53"/>
          <w:sz w:val="21"/>
        </w:rPr>
        <w:t> </w:t>
      </w:r>
      <w:r>
        <w:rPr>
          <w:w w:val="100"/>
          <w:sz w:val="21"/>
        </w:rPr>
        <w:t>A</w:t>
      </w:r>
      <w:r>
        <w:rPr>
          <w:spacing w:val="-3"/>
          <w:w w:val="100"/>
          <w:sz w:val="21"/>
        </w:rPr>
        <w:t>。</w:t>
      </w:r>
      <w:r>
        <w:rPr>
          <w:w w:val="100"/>
          <w:sz w:val="21"/>
        </w:rPr>
        <w:t> </w:t>
      </w:r>
    </w:p>
    <w:p>
      <w:pPr>
        <w:pStyle w:val="ListParagraph"/>
        <w:numPr>
          <w:ilvl w:val="1"/>
          <w:numId w:val="983"/>
        </w:numPr>
        <w:tabs>
          <w:tab w:pos="1160" w:val="left" w:leader="none"/>
        </w:tabs>
        <w:spacing w:line="267" w:lineRule="exact" w:before="0" w:after="0"/>
        <w:ind w:left="1159" w:right="0" w:hanging="320"/>
        <w:jc w:val="left"/>
        <w:rPr>
          <w:b/>
          <w:sz w:val="21"/>
        </w:rPr>
      </w:pPr>
      <w:r>
        <w:rPr>
          <w:spacing w:val="-3"/>
          <w:sz w:val="21"/>
        </w:rPr>
        <w:t>缝制</w:t>
      </w:r>
      <w:r>
        <w:rPr>
          <w:b/>
          <w:w w:val="99"/>
          <w:sz w:val="21"/>
        </w:rPr>
        <w:t> </w:t>
      </w:r>
    </w:p>
    <w:p>
      <w:pPr>
        <w:pStyle w:val="BodyText"/>
        <w:spacing w:before="2"/>
        <w:rPr>
          <w:b/>
          <w:sz w:val="18"/>
        </w:rPr>
      </w:pPr>
    </w:p>
    <w:p>
      <w:pPr>
        <w:pStyle w:val="BodyText"/>
        <w:ind w:left="838"/>
      </w:pPr>
      <w:r>
        <w:rPr/>
        <w:t>森林防火服缝制工艺应符合 FZ/T 81007——2012 中 3.9 的规定。 </w:t>
      </w:r>
    </w:p>
    <w:p>
      <w:pPr>
        <w:spacing w:after="0"/>
        <w:sectPr>
          <w:pgSz w:w="11910" w:h="16850"/>
          <w:pgMar w:header="0" w:footer="1239" w:top="1220" w:bottom="1420" w:left="1260" w:right="0"/>
        </w:sectPr>
      </w:pPr>
    </w:p>
    <w:p>
      <w:pPr>
        <w:pStyle w:val="ListParagraph"/>
        <w:numPr>
          <w:ilvl w:val="1"/>
          <w:numId w:val="983"/>
        </w:numPr>
        <w:tabs>
          <w:tab w:pos="1159" w:val="left" w:leader="none"/>
        </w:tabs>
        <w:spacing w:line="240" w:lineRule="auto" w:before="47" w:after="0"/>
        <w:ind w:left="1158" w:right="0" w:hanging="319"/>
        <w:jc w:val="left"/>
        <w:rPr>
          <w:b/>
          <w:sz w:val="21"/>
        </w:rPr>
      </w:pPr>
      <w:r>
        <w:rPr>
          <w:spacing w:val="-3"/>
          <w:sz w:val="21"/>
        </w:rPr>
        <w:t>外观</w:t>
      </w:r>
      <w:r>
        <w:rPr>
          <w:b/>
          <w:w w:val="99"/>
          <w:sz w:val="21"/>
        </w:rPr>
        <w:t> </w:t>
      </w:r>
    </w:p>
    <w:p>
      <w:pPr>
        <w:pStyle w:val="BodyText"/>
        <w:rPr>
          <w:b/>
          <w:sz w:val="18"/>
        </w:rPr>
      </w:pPr>
    </w:p>
    <w:p>
      <w:pPr>
        <w:pStyle w:val="ListParagraph"/>
        <w:numPr>
          <w:ilvl w:val="2"/>
          <w:numId w:val="983"/>
        </w:numPr>
        <w:tabs>
          <w:tab w:pos="1370" w:val="left" w:leader="none"/>
        </w:tabs>
        <w:spacing w:line="240" w:lineRule="auto" w:before="0" w:after="0"/>
        <w:ind w:left="1369" w:right="0" w:hanging="530"/>
        <w:jc w:val="left"/>
        <w:rPr>
          <w:sz w:val="21"/>
        </w:rPr>
      </w:pPr>
      <w:r>
        <w:rPr>
          <w:spacing w:val="-3"/>
          <w:sz w:val="21"/>
        </w:rPr>
        <w:t>森林防火服熨烫平展，定型充分，无烫黄和水渍，折迭端正，整洁美观。 </w:t>
      </w:r>
    </w:p>
    <w:p>
      <w:pPr>
        <w:pStyle w:val="BodyText"/>
        <w:rPr>
          <w:sz w:val="18"/>
        </w:rPr>
      </w:pPr>
    </w:p>
    <w:p>
      <w:pPr>
        <w:pStyle w:val="ListParagraph"/>
        <w:numPr>
          <w:ilvl w:val="2"/>
          <w:numId w:val="983"/>
        </w:numPr>
        <w:tabs>
          <w:tab w:pos="1370" w:val="left" w:leader="none"/>
        </w:tabs>
        <w:spacing w:line="240" w:lineRule="auto" w:before="0" w:after="0"/>
        <w:ind w:left="1369" w:right="0" w:hanging="530"/>
        <w:jc w:val="left"/>
        <w:rPr>
          <w:sz w:val="21"/>
        </w:rPr>
      </w:pPr>
      <w:r>
        <w:rPr>
          <w:spacing w:val="-3"/>
          <w:sz w:val="21"/>
        </w:rPr>
        <w:t>不应有对产品美观和牢固有影响的疵点、污渍、断经、断纬和破损。 </w:t>
      </w:r>
    </w:p>
    <w:p>
      <w:pPr>
        <w:pStyle w:val="BodyText"/>
        <w:spacing w:before="1"/>
        <w:rPr>
          <w:sz w:val="18"/>
        </w:rPr>
      </w:pPr>
    </w:p>
    <w:p>
      <w:pPr>
        <w:pStyle w:val="ListParagraph"/>
        <w:numPr>
          <w:ilvl w:val="1"/>
          <w:numId w:val="983"/>
        </w:numPr>
        <w:tabs>
          <w:tab w:pos="1159" w:val="left" w:leader="none"/>
        </w:tabs>
        <w:spacing w:line="240" w:lineRule="auto" w:before="1" w:after="0"/>
        <w:ind w:left="1158" w:right="0" w:hanging="319"/>
        <w:jc w:val="left"/>
        <w:rPr>
          <w:b/>
          <w:sz w:val="21"/>
        </w:rPr>
      </w:pPr>
      <w:r>
        <w:rPr>
          <w:spacing w:val="-3"/>
          <w:sz w:val="21"/>
        </w:rPr>
        <w:t>服装成品理化性能</w:t>
      </w:r>
      <w:r>
        <w:rPr>
          <w:b/>
          <w:w w:val="99"/>
          <w:sz w:val="21"/>
        </w:rPr>
        <w:t> </w:t>
      </w:r>
    </w:p>
    <w:p>
      <w:pPr>
        <w:pStyle w:val="BodyText"/>
        <w:spacing w:before="12"/>
        <w:rPr>
          <w:b/>
          <w:sz w:val="17"/>
        </w:rPr>
      </w:pPr>
    </w:p>
    <w:p>
      <w:pPr>
        <w:pStyle w:val="ListParagraph"/>
        <w:numPr>
          <w:ilvl w:val="2"/>
          <w:numId w:val="983"/>
        </w:numPr>
        <w:tabs>
          <w:tab w:pos="1371" w:val="left" w:leader="none"/>
        </w:tabs>
        <w:spacing w:line="240" w:lineRule="auto" w:before="0" w:after="0"/>
        <w:ind w:left="1370" w:right="0" w:hanging="531"/>
        <w:jc w:val="left"/>
        <w:rPr>
          <w:sz w:val="21"/>
        </w:rPr>
      </w:pPr>
      <w:r>
        <w:rPr>
          <w:spacing w:val="-3"/>
          <w:sz w:val="21"/>
        </w:rPr>
        <w:t>成品水洗后的尺寸变化率</w:t>
      </w:r>
      <w:r>
        <w:rPr>
          <w:sz w:val="21"/>
        </w:rPr>
        <w:t> </w:t>
      </w:r>
    </w:p>
    <w:p>
      <w:pPr>
        <w:pStyle w:val="BodyText"/>
        <w:spacing w:before="12"/>
        <w:rPr>
          <w:sz w:val="17"/>
        </w:rPr>
      </w:pPr>
    </w:p>
    <w:p>
      <w:pPr>
        <w:pStyle w:val="BodyText"/>
        <w:ind w:left="838"/>
      </w:pPr>
      <w:r>
        <w:rPr/>
        <w:t>成品水洗后的尺寸变化率按表 3 规定。 </w:t>
      </w:r>
    </w:p>
    <w:p>
      <w:pPr>
        <w:pStyle w:val="BodyText"/>
        <w:spacing w:before="2"/>
        <w:rPr>
          <w:sz w:val="18"/>
        </w:rPr>
      </w:pPr>
    </w:p>
    <w:p>
      <w:pPr>
        <w:pStyle w:val="Heading6"/>
        <w:spacing w:after="40"/>
        <w:ind w:right="494"/>
        <w:jc w:val="center"/>
      </w:pPr>
      <w:r>
        <w:rPr/>
        <w:t>表 3 成品水洗后的尺寸变化率</w:t>
      </w:r>
      <w:r>
        <w:rPr>
          <w:w w:val="99"/>
        </w:rPr>
        <w:t> </w:t>
      </w:r>
    </w:p>
    <w:tbl>
      <w:tblPr>
        <w:tblW w:w="0" w:type="auto"/>
        <w:jc w:val="left"/>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2765"/>
        <w:gridCol w:w="2768"/>
      </w:tblGrid>
      <w:tr>
        <w:trPr>
          <w:trHeight w:val="501" w:hRule="atLeast"/>
        </w:trPr>
        <w:tc>
          <w:tcPr>
            <w:tcW w:w="2765" w:type="dxa"/>
          </w:tcPr>
          <w:p>
            <w:pPr>
              <w:pStyle w:val="TableParagraph"/>
              <w:spacing w:before="11"/>
              <w:rPr>
                <w:b/>
                <w:sz w:val="14"/>
              </w:rPr>
            </w:pPr>
          </w:p>
          <w:p>
            <w:pPr>
              <w:pStyle w:val="TableParagraph"/>
              <w:spacing w:before="1"/>
              <w:ind w:left="942" w:right="410"/>
              <w:jc w:val="center"/>
              <w:rPr>
                <w:sz w:val="21"/>
              </w:rPr>
            </w:pPr>
            <w:r>
              <w:rPr>
                <w:sz w:val="21"/>
              </w:rPr>
              <w:t>部位名称 </w:t>
            </w:r>
          </w:p>
        </w:tc>
        <w:tc>
          <w:tcPr>
            <w:tcW w:w="2765" w:type="dxa"/>
          </w:tcPr>
          <w:p>
            <w:pPr>
              <w:pStyle w:val="TableParagraph"/>
              <w:spacing w:before="11"/>
              <w:rPr>
                <w:b/>
                <w:sz w:val="14"/>
              </w:rPr>
            </w:pPr>
          </w:p>
          <w:p>
            <w:pPr>
              <w:pStyle w:val="TableParagraph"/>
              <w:spacing w:before="1"/>
              <w:ind w:left="942" w:right="406"/>
              <w:jc w:val="center"/>
              <w:rPr>
                <w:sz w:val="21"/>
              </w:rPr>
            </w:pPr>
            <w:r>
              <w:rPr>
                <w:sz w:val="21"/>
              </w:rPr>
              <w:t>尺寸变化率/% </w:t>
            </w:r>
          </w:p>
        </w:tc>
        <w:tc>
          <w:tcPr>
            <w:tcW w:w="2768" w:type="dxa"/>
          </w:tcPr>
          <w:p>
            <w:pPr>
              <w:pStyle w:val="TableParagraph"/>
              <w:spacing w:before="11"/>
              <w:rPr>
                <w:b/>
                <w:sz w:val="14"/>
              </w:rPr>
            </w:pPr>
          </w:p>
          <w:p>
            <w:pPr>
              <w:pStyle w:val="TableParagraph"/>
              <w:spacing w:before="1"/>
              <w:ind w:left="943" w:right="410"/>
              <w:jc w:val="center"/>
              <w:rPr>
                <w:sz w:val="21"/>
              </w:rPr>
            </w:pPr>
            <w:r>
              <w:rPr>
                <w:sz w:val="21"/>
              </w:rPr>
              <w:t>备注 </w:t>
            </w:r>
          </w:p>
        </w:tc>
      </w:tr>
      <w:tr>
        <w:trPr>
          <w:trHeight w:val="498" w:hRule="atLeast"/>
        </w:trPr>
        <w:tc>
          <w:tcPr>
            <w:tcW w:w="2765" w:type="dxa"/>
          </w:tcPr>
          <w:p>
            <w:pPr>
              <w:pStyle w:val="TableParagraph"/>
              <w:spacing w:before="11"/>
              <w:rPr>
                <w:b/>
                <w:sz w:val="14"/>
              </w:rPr>
            </w:pPr>
          </w:p>
          <w:p>
            <w:pPr>
              <w:pStyle w:val="TableParagraph"/>
              <w:ind w:left="942" w:right="408"/>
              <w:jc w:val="center"/>
              <w:rPr>
                <w:sz w:val="21"/>
              </w:rPr>
            </w:pPr>
            <w:r>
              <w:rPr>
                <w:sz w:val="21"/>
              </w:rPr>
              <w:t>领大 </w:t>
            </w:r>
          </w:p>
        </w:tc>
        <w:tc>
          <w:tcPr>
            <w:tcW w:w="2765" w:type="dxa"/>
          </w:tcPr>
          <w:p>
            <w:pPr>
              <w:pStyle w:val="TableParagraph"/>
              <w:spacing w:before="11"/>
              <w:rPr>
                <w:b/>
                <w:sz w:val="14"/>
              </w:rPr>
            </w:pPr>
          </w:p>
          <w:p>
            <w:pPr>
              <w:pStyle w:val="TableParagraph"/>
              <w:ind w:left="942" w:right="406"/>
              <w:jc w:val="center"/>
              <w:rPr>
                <w:sz w:val="21"/>
              </w:rPr>
            </w:pPr>
            <w:r>
              <w:rPr>
                <w:sz w:val="21"/>
              </w:rPr>
              <w:t>≥-1.0 </w:t>
            </w:r>
          </w:p>
        </w:tc>
        <w:tc>
          <w:tcPr>
            <w:tcW w:w="2768" w:type="dxa"/>
          </w:tcPr>
          <w:p>
            <w:pPr>
              <w:pStyle w:val="TableParagraph"/>
              <w:spacing w:before="11"/>
              <w:rPr>
                <w:b/>
                <w:sz w:val="14"/>
              </w:rPr>
            </w:pPr>
          </w:p>
          <w:p>
            <w:pPr>
              <w:pStyle w:val="TableParagraph"/>
              <w:ind w:left="943" w:right="407"/>
              <w:jc w:val="center"/>
              <w:rPr>
                <w:sz w:val="21"/>
              </w:rPr>
            </w:pPr>
            <w:r>
              <w:rPr>
                <w:sz w:val="21"/>
              </w:rPr>
              <w:t>只考核立领 </w:t>
            </w:r>
          </w:p>
        </w:tc>
      </w:tr>
      <w:tr>
        <w:trPr>
          <w:trHeight w:val="501" w:hRule="atLeast"/>
        </w:trPr>
        <w:tc>
          <w:tcPr>
            <w:tcW w:w="2765" w:type="dxa"/>
          </w:tcPr>
          <w:p>
            <w:pPr>
              <w:pStyle w:val="TableParagraph"/>
              <w:spacing w:before="11"/>
              <w:rPr>
                <w:b/>
                <w:sz w:val="14"/>
              </w:rPr>
            </w:pPr>
          </w:p>
          <w:p>
            <w:pPr>
              <w:pStyle w:val="TableParagraph"/>
              <w:ind w:left="942" w:right="408"/>
              <w:jc w:val="center"/>
              <w:rPr>
                <w:sz w:val="21"/>
              </w:rPr>
            </w:pPr>
            <w:r>
              <w:rPr>
                <w:sz w:val="21"/>
              </w:rPr>
              <w:t>胸围 </w:t>
            </w:r>
          </w:p>
        </w:tc>
        <w:tc>
          <w:tcPr>
            <w:tcW w:w="2765" w:type="dxa"/>
          </w:tcPr>
          <w:p>
            <w:pPr>
              <w:pStyle w:val="TableParagraph"/>
              <w:spacing w:before="11"/>
              <w:rPr>
                <w:b/>
                <w:sz w:val="14"/>
              </w:rPr>
            </w:pPr>
          </w:p>
          <w:p>
            <w:pPr>
              <w:pStyle w:val="TableParagraph"/>
              <w:ind w:left="942" w:right="406"/>
              <w:jc w:val="center"/>
              <w:rPr>
                <w:sz w:val="21"/>
              </w:rPr>
            </w:pPr>
            <w:r>
              <w:rPr>
                <w:sz w:val="21"/>
              </w:rPr>
              <w:t>≥-2.0 </w:t>
            </w:r>
          </w:p>
        </w:tc>
        <w:tc>
          <w:tcPr>
            <w:tcW w:w="2768" w:type="dxa"/>
          </w:tcPr>
          <w:p>
            <w:pPr>
              <w:pStyle w:val="TableParagraph"/>
              <w:spacing w:before="11"/>
              <w:rPr>
                <w:b/>
                <w:sz w:val="14"/>
              </w:rPr>
            </w:pPr>
          </w:p>
          <w:p>
            <w:pPr>
              <w:pStyle w:val="TableParagraph"/>
              <w:ind w:left="943" w:right="410"/>
              <w:jc w:val="center"/>
              <w:rPr>
                <w:sz w:val="21"/>
              </w:rPr>
            </w:pPr>
            <w:r>
              <w:rPr>
                <w:sz w:val="21"/>
              </w:rPr>
              <w:t>—— </w:t>
            </w:r>
          </w:p>
        </w:tc>
      </w:tr>
      <w:tr>
        <w:trPr>
          <w:trHeight w:val="498" w:hRule="atLeast"/>
        </w:trPr>
        <w:tc>
          <w:tcPr>
            <w:tcW w:w="2765" w:type="dxa"/>
          </w:tcPr>
          <w:p>
            <w:pPr>
              <w:pStyle w:val="TableParagraph"/>
              <w:spacing w:before="11"/>
              <w:rPr>
                <w:b/>
                <w:sz w:val="14"/>
              </w:rPr>
            </w:pPr>
          </w:p>
          <w:p>
            <w:pPr>
              <w:pStyle w:val="TableParagraph"/>
              <w:ind w:left="942" w:right="408"/>
              <w:jc w:val="center"/>
              <w:rPr>
                <w:sz w:val="21"/>
              </w:rPr>
            </w:pPr>
            <w:r>
              <w:rPr>
                <w:sz w:val="21"/>
              </w:rPr>
              <w:t>衣长 </w:t>
            </w:r>
          </w:p>
        </w:tc>
        <w:tc>
          <w:tcPr>
            <w:tcW w:w="2765" w:type="dxa"/>
          </w:tcPr>
          <w:p>
            <w:pPr>
              <w:pStyle w:val="TableParagraph"/>
              <w:spacing w:before="11"/>
              <w:rPr>
                <w:b/>
                <w:sz w:val="14"/>
              </w:rPr>
            </w:pPr>
          </w:p>
          <w:p>
            <w:pPr>
              <w:pStyle w:val="TableParagraph"/>
              <w:ind w:left="942" w:right="406"/>
              <w:jc w:val="center"/>
              <w:rPr>
                <w:sz w:val="21"/>
              </w:rPr>
            </w:pPr>
            <w:r>
              <w:rPr>
                <w:sz w:val="21"/>
              </w:rPr>
              <w:t>≥-2.5 </w:t>
            </w:r>
          </w:p>
        </w:tc>
        <w:tc>
          <w:tcPr>
            <w:tcW w:w="2768" w:type="dxa"/>
          </w:tcPr>
          <w:p>
            <w:pPr>
              <w:pStyle w:val="TableParagraph"/>
              <w:spacing w:before="11"/>
              <w:rPr>
                <w:b/>
                <w:sz w:val="14"/>
              </w:rPr>
            </w:pPr>
          </w:p>
          <w:p>
            <w:pPr>
              <w:pStyle w:val="TableParagraph"/>
              <w:ind w:left="943" w:right="410"/>
              <w:jc w:val="center"/>
              <w:rPr>
                <w:sz w:val="21"/>
              </w:rPr>
            </w:pPr>
            <w:r>
              <w:rPr>
                <w:sz w:val="21"/>
              </w:rPr>
              <w:t>—— </w:t>
            </w:r>
          </w:p>
        </w:tc>
      </w:tr>
      <w:tr>
        <w:trPr>
          <w:trHeight w:val="501" w:hRule="atLeast"/>
        </w:trPr>
        <w:tc>
          <w:tcPr>
            <w:tcW w:w="2765" w:type="dxa"/>
          </w:tcPr>
          <w:p>
            <w:pPr>
              <w:pStyle w:val="TableParagraph"/>
              <w:spacing w:before="11"/>
              <w:rPr>
                <w:b/>
                <w:sz w:val="14"/>
              </w:rPr>
            </w:pPr>
          </w:p>
          <w:p>
            <w:pPr>
              <w:pStyle w:val="TableParagraph"/>
              <w:ind w:left="942" w:right="408"/>
              <w:jc w:val="center"/>
              <w:rPr>
                <w:sz w:val="21"/>
              </w:rPr>
            </w:pPr>
            <w:r>
              <w:rPr>
                <w:sz w:val="21"/>
              </w:rPr>
              <w:t>腰围 </w:t>
            </w:r>
          </w:p>
        </w:tc>
        <w:tc>
          <w:tcPr>
            <w:tcW w:w="2765" w:type="dxa"/>
          </w:tcPr>
          <w:p>
            <w:pPr>
              <w:pStyle w:val="TableParagraph"/>
              <w:spacing w:before="11"/>
              <w:rPr>
                <w:b/>
                <w:sz w:val="14"/>
              </w:rPr>
            </w:pPr>
          </w:p>
          <w:p>
            <w:pPr>
              <w:pStyle w:val="TableParagraph"/>
              <w:ind w:left="942" w:right="406"/>
              <w:jc w:val="center"/>
              <w:rPr>
                <w:sz w:val="21"/>
              </w:rPr>
            </w:pPr>
            <w:r>
              <w:rPr>
                <w:sz w:val="21"/>
              </w:rPr>
              <w:t>≥-1.0 </w:t>
            </w:r>
          </w:p>
        </w:tc>
        <w:tc>
          <w:tcPr>
            <w:tcW w:w="2768" w:type="dxa"/>
          </w:tcPr>
          <w:p>
            <w:pPr>
              <w:pStyle w:val="TableParagraph"/>
              <w:spacing w:before="11"/>
              <w:rPr>
                <w:b/>
                <w:sz w:val="14"/>
              </w:rPr>
            </w:pPr>
          </w:p>
          <w:p>
            <w:pPr>
              <w:pStyle w:val="TableParagraph"/>
              <w:ind w:left="943" w:right="410"/>
              <w:jc w:val="center"/>
              <w:rPr>
                <w:sz w:val="21"/>
              </w:rPr>
            </w:pPr>
            <w:r>
              <w:rPr>
                <w:sz w:val="21"/>
              </w:rPr>
              <w:t>—— </w:t>
            </w:r>
          </w:p>
        </w:tc>
      </w:tr>
      <w:tr>
        <w:trPr>
          <w:trHeight w:val="498" w:hRule="atLeast"/>
        </w:trPr>
        <w:tc>
          <w:tcPr>
            <w:tcW w:w="2765" w:type="dxa"/>
          </w:tcPr>
          <w:p>
            <w:pPr>
              <w:pStyle w:val="TableParagraph"/>
              <w:spacing w:before="11"/>
              <w:rPr>
                <w:b/>
                <w:sz w:val="14"/>
              </w:rPr>
            </w:pPr>
          </w:p>
          <w:p>
            <w:pPr>
              <w:pStyle w:val="TableParagraph"/>
              <w:ind w:left="942" w:right="408"/>
              <w:jc w:val="center"/>
              <w:rPr>
                <w:sz w:val="21"/>
              </w:rPr>
            </w:pPr>
            <w:r>
              <w:rPr>
                <w:sz w:val="21"/>
              </w:rPr>
              <w:t>裤长 </w:t>
            </w:r>
          </w:p>
        </w:tc>
        <w:tc>
          <w:tcPr>
            <w:tcW w:w="2765" w:type="dxa"/>
          </w:tcPr>
          <w:p>
            <w:pPr>
              <w:pStyle w:val="TableParagraph"/>
              <w:spacing w:before="11"/>
              <w:rPr>
                <w:b/>
                <w:sz w:val="14"/>
              </w:rPr>
            </w:pPr>
          </w:p>
          <w:p>
            <w:pPr>
              <w:pStyle w:val="TableParagraph"/>
              <w:ind w:left="942" w:right="406"/>
              <w:jc w:val="center"/>
              <w:rPr>
                <w:sz w:val="21"/>
              </w:rPr>
            </w:pPr>
            <w:r>
              <w:rPr>
                <w:sz w:val="21"/>
              </w:rPr>
              <w:t>≥-2.5 </w:t>
            </w:r>
          </w:p>
        </w:tc>
        <w:tc>
          <w:tcPr>
            <w:tcW w:w="2768" w:type="dxa"/>
          </w:tcPr>
          <w:p>
            <w:pPr>
              <w:pStyle w:val="TableParagraph"/>
              <w:spacing w:before="11"/>
              <w:rPr>
                <w:b/>
                <w:sz w:val="14"/>
              </w:rPr>
            </w:pPr>
          </w:p>
          <w:p>
            <w:pPr>
              <w:pStyle w:val="TableParagraph"/>
              <w:ind w:left="943" w:right="410"/>
              <w:jc w:val="center"/>
              <w:rPr>
                <w:sz w:val="21"/>
              </w:rPr>
            </w:pPr>
            <w:r>
              <w:rPr>
                <w:sz w:val="21"/>
              </w:rPr>
              <w:t>—— </w:t>
            </w:r>
          </w:p>
        </w:tc>
      </w:tr>
    </w:tbl>
    <w:p>
      <w:pPr>
        <w:pStyle w:val="BodyText"/>
        <w:spacing w:before="11"/>
        <w:rPr>
          <w:b/>
          <w:sz w:val="14"/>
        </w:rPr>
      </w:pPr>
    </w:p>
    <w:p>
      <w:pPr>
        <w:pStyle w:val="ListParagraph"/>
        <w:numPr>
          <w:ilvl w:val="2"/>
          <w:numId w:val="983"/>
        </w:numPr>
        <w:tabs>
          <w:tab w:pos="1370" w:val="left" w:leader="none"/>
        </w:tabs>
        <w:spacing w:line="240" w:lineRule="auto" w:before="1" w:after="0"/>
        <w:ind w:left="1369" w:right="0" w:hanging="530"/>
        <w:jc w:val="left"/>
        <w:rPr>
          <w:sz w:val="21"/>
        </w:rPr>
      </w:pPr>
      <w:r>
        <w:rPr>
          <w:spacing w:val="-3"/>
          <w:sz w:val="21"/>
        </w:rPr>
        <w:t>接缝强力</w:t>
      </w:r>
      <w:r>
        <w:rPr>
          <w:sz w:val="21"/>
        </w:rPr>
        <w:t> </w:t>
      </w:r>
    </w:p>
    <w:p>
      <w:pPr>
        <w:pStyle w:val="BodyText"/>
        <w:spacing w:before="1"/>
        <w:rPr>
          <w:sz w:val="18"/>
        </w:rPr>
      </w:pPr>
    </w:p>
    <w:p>
      <w:pPr>
        <w:pStyle w:val="BodyText"/>
        <w:ind w:left="838"/>
      </w:pPr>
      <w:r>
        <w:rPr/>
        <w:t>成品的接缝强力应达到一下要求： </w:t>
      </w:r>
    </w:p>
    <w:p>
      <w:pPr>
        <w:pStyle w:val="BodyText"/>
        <w:rPr>
          <w:sz w:val="18"/>
        </w:rPr>
      </w:pPr>
    </w:p>
    <w:p>
      <w:pPr>
        <w:pStyle w:val="BodyText"/>
        <w:spacing w:line="446" w:lineRule="auto"/>
        <w:ind w:left="838" w:right="5447"/>
      </w:pPr>
      <w:r>
        <w:rPr/>
        <w:t>a)裤后裆接缝和肩接缝断裂强力不小于 650N。b)单衣片接缝断裂能力不小于 200N。 </w:t>
      </w:r>
    </w:p>
    <w:p>
      <w:pPr>
        <w:pStyle w:val="Heading4"/>
        <w:spacing w:line="277" w:lineRule="exact"/>
      </w:pPr>
      <w:r>
        <w:rPr/>
        <w:t>5 试验方案</w:t>
      </w:r>
      <w:r>
        <w:rPr>
          <w:w w:val="99"/>
        </w:rPr>
        <w:t> </w:t>
      </w:r>
    </w:p>
    <w:p>
      <w:pPr>
        <w:pStyle w:val="BodyText"/>
        <w:spacing w:before="4"/>
        <w:rPr>
          <w:b/>
          <w:sz w:val="17"/>
        </w:rPr>
      </w:pPr>
    </w:p>
    <w:p>
      <w:pPr>
        <w:pStyle w:val="ListParagraph"/>
        <w:numPr>
          <w:ilvl w:val="1"/>
          <w:numId w:val="984"/>
        </w:numPr>
        <w:tabs>
          <w:tab w:pos="1159" w:val="left" w:leader="none"/>
        </w:tabs>
        <w:spacing w:line="240" w:lineRule="auto" w:before="0" w:after="0"/>
        <w:ind w:left="1158" w:right="0" w:hanging="319"/>
        <w:jc w:val="left"/>
        <w:rPr>
          <w:sz w:val="21"/>
        </w:rPr>
      </w:pPr>
      <w:r>
        <w:rPr>
          <w:spacing w:val="-8"/>
          <w:sz w:val="21"/>
        </w:rPr>
        <w:t>面料的阻燃性能测定按 </w:t>
      </w:r>
      <w:r>
        <w:rPr>
          <w:sz w:val="21"/>
        </w:rPr>
        <w:t>GB/T</w:t>
      </w:r>
      <w:r>
        <w:rPr>
          <w:spacing w:val="1"/>
          <w:sz w:val="21"/>
        </w:rPr>
        <w:t> </w:t>
      </w:r>
      <w:r>
        <w:rPr>
          <w:sz w:val="21"/>
        </w:rPr>
        <w:t>5455</w:t>
      </w:r>
      <w:r>
        <w:rPr>
          <w:spacing w:val="-11"/>
          <w:sz w:val="21"/>
        </w:rPr>
        <w:t> 规定执行。</w:t>
      </w:r>
      <w:r>
        <w:rPr>
          <w:sz w:val="21"/>
        </w:rPr>
        <w:t> </w:t>
      </w:r>
    </w:p>
    <w:p>
      <w:pPr>
        <w:pStyle w:val="BodyText"/>
        <w:rPr>
          <w:sz w:val="18"/>
        </w:rPr>
      </w:pPr>
    </w:p>
    <w:p>
      <w:pPr>
        <w:pStyle w:val="ListParagraph"/>
        <w:numPr>
          <w:ilvl w:val="1"/>
          <w:numId w:val="984"/>
        </w:numPr>
        <w:tabs>
          <w:tab w:pos="1159" w:val="left" w:leader="none"/>
        </w:tabs>
        <w:spacing w:line="240" w:lineRule="auto" w:before="0" w:after="0"/>
        <w:ind w:left="1158" w:right="0" w:hanging="319"/>
        <w:jc w:val="left"/>
        <w:rPr>
          <w:sz w:val="21"/>
        </w:rPr>
      </w:pPr>
      <w:r>
        <w:rPr>
          <w:spacing w:val="-8"/>
          <w:sz w:val="21"/>
        </w:rPr>
        <w:t>面料的热防护系数测定按 </w:t>
      </w:r>
      <w:r>
        <w:rPr>
          <w:sz w:val="21"/>
        </w:rPr>
        <w:t>GB8965.1——2009</w:t>
      </w:r>
      <w:r>
        <w:rPr>
          <w:spacing w:val="-23"/>
          <w:sz w:val="21"/>
        </w:rPr>
        <w:t> 中附录 </w:t>
      </w:r>
      <w:r>
        <w:rPr>
          <w:sz w:val="21"/>
        </w:rPr>
        <w:t>A</w:t>
      </w:r>
      <w:r>
        <w:rPr>
          <w:spacing w:val="-12"/>
          <w:sz w:val="21"/>
        </w:rPr>
        <w:t> 规定执行。</w:t>
      </w:r>
      <w:r>
        <w:rPr>
          <w:sz w:val="21"/>
        </w:rPr>
        <w:t> </w:t>
      </w:r>
    </w:p>
    <w:p>
      <w:pPr>
        <w:pStyle w:val="BodyText"/>
        <w:spacing w:before="2"/>
        <w:rPr>
          <w:sz w:val="18"/>
        </w:rPr>
      </w:pPr>
    </w:p>
    <w:p>
      <w:pPr>
        <w:pStyle w:val="ListParagraph"/>
        <w:numPr>
          <w:ilvl w:val="1"/>
          <w:numId w:val="984"/>
        </w:numPr>
        <w:tabs>
          <w:tab w:pos="1160" w:val="left" w:leader="none"/>
        </w:tabs>
        <w:spacing w:line="240" w:lineRule="auto" w:before="0" w:after="0"/>
        <w:ind w:left="1159" w:right="0" w:hanging="320"/>
        <w:jc w:val="left"/>
        <w:rPr>
          <w:sz w:val="21"/>
        </w:rPr>
      </w:pPr>
      <w:r>
        <w:rPr>
          <w:spacing w:val="-8"/>
          <w:sz w:val="21"/>
        </w:rPr>
        <w:t>面料的断裂强力试验按 </w:t>
      </w:r>
      <w:r>
        <w:rPr>
          <w:sz w:val="21"/>
        </w:rPr>
        <w:t>GB/T3923.1</w:t>
      </w:r>
      <w:r>
        <w:rPr>
          <w:spacing w:val="-12"/>
          <w:sz w:val="21"/>
        </w:rPr>
        <w:t> 规定执行。</w:t>
      </w:r>
      <w:r>
        <w:rPr>
          <w:sz w:val="21"/>
        </w:rPr>
        <w:t> </w:t>
      </w:r>
    </w:p>
    <w:p>
      <w:pPr>
        <w:pStyle w:val="BodyText"/>
        <w:spacing w:before="12"/>
        <w:rPr>
          <w:sz w:val="17"/>
        </w:rPr>
      </w:pPr>
    </w:p>
    <w:p>
      <w:pPr>
        <w:pStyle w:val="ListParagraph"/>
        <w:numPr>
          <w:ilvl w:val="1"/>
          <w:numId w:val="984"/>
        </w:numPr>
        <w:tabs>
          <w:tab w:pos="1160" w:val="left" w:leader="none"/>
        </w:tabs>
        <w:spacing w:line="240" w:lineRule="auto" w:before="0" w:after="0"/>
        <w:ind w:left="1159" w:right="0" w:hanging="320"/>
        <w:jc w:val="left"/>
        <w:rPr>
          <w:sz w:val="21"/>
        </w:rPr>
      </w:pPr>
      <w:r>
        <w:rPr>
          <w:spacing w:val="-8"/>
          <w:sz w:val="21"/>
        </w:rPr>
        <w:t>面料的断裂强力试验按 </w:t>
      </w:r>
      <w:r>
        <w:rPr>
          <w:sz w:val="21"/>
        </w:rPr>
        <w:t>GB/T</w:t>
      </w:r>
      <w:r>
        <w:rPr>
          <w:spacing w:val="1"/>
          <w:sz w:val="21"/>
        </w:rPr>
        <w:t> </w:t>
      </w:r>
      <w:r>
        <w:rPr>
          <w:sz w:val="21"/>
        </w:rPr>
        <w:t>3917.3</w:t>
      </w:r>
      <w:r>
        <w:rPr>
          <w:spacing w:val="-11"/>
          <w:sz w:val="21"/>
        </w:rPr>
        <w:t> 规定执行。 </w:t>
      </w:r>
    </w:p>
    <w:p>
      <w:pPr>
        <w:pStyle w:val="BodyText"/>
        <w:spacing w:before="12"/>
        <w:rPr>
          <w:sz w:val="17"/>
        </w:rPr>
      </w:pPr>
    </w:p>
    <w:p>
      <w:pPr>
        <w:pStyle w:val="ListParagraph"/>
        <w:numPr>
          <w:ilvl w:val="1"/>
          <w:numId w:val="984"/>
        </w:numPr>
        <w:tabs>
          <w:tab w:pos="1160" w:val="left" w:leader="none"/>
        </w:tabs>
        <w:spacing w:line="240" w:lineRule="auto" w:before="1" w:after="0"/>
        <w:ind w:left="1159" w:right="0" w:hanging="320"/>
        <w:jc w:val="left"/>
        <w:rPr>
          <w:sz w:val="21"/>
        </w:rPr>
      </w:pPr>
      <w:r>
        <w:rPr>
          <w:spacing w:val="-4"/>
          <w:sz w:val="21"/>
        </w:rPr>
        <w:t>面料的阻燃性能、隔热性能、断裂强力、撕破强力试验前洗涤程序按 </w:t>
      </w:r>
      <w:r>
        <w:rPr>
          <w:sz w:val="21"/>
        </w:rPr>
        <w:t>GB/T</w:t>
      </w:r>
      <w:r>
        <w:rPr>
          <w:spacing w:val="55"/>
          <w:sz w:val="21"/>
        </w:rPr>
        <w:t> </w:t>
      </w:r>
      <w:r>
        <w:rPr>
          <w:sz w:val="21"/>
        </w:rPr>
        <w:t>17596——</w:t>
      </w:r>
    </w:p>
    <w:p>
      <w:pPr>
        <w:pStyle w:val="BodyText"/>
        <w:spacing w:before="1"/>
        <w:rPr>
          <w:sz w:val="18"/>
        </w:rPr>
      </w:pPr>
    </w:p>
    <w:p>
      <w:pPr>
        <w:pStyle w:val="BodyText"/>
        <w:spacing w:line="446" w:lineRule="auto"/>
        <w:ind w:left="418" w:right="1433"/>
      </w:pPr>
      <w:r>
        <w:rPr/>
        <w:t>1998</w:t>
      </w:r>
      <w:r>
        <w:rPr>
          <w:spacing w:val="-10"/>
        </w:rPr>
        <w:t> 中“自动洗衣机</w:t>
      </w:r>
      <w:r>
        <w:rPr/>
        <w:t>（A</w:t>
      </w:r>
      <w:r>
        <w:rPr>
          <w:spacing w:val="-25"/>
        </w:rPr>
        <w:t> 型</w:t>
      </w:r>
      <w:r>
        <w:rPr>
          <w:spacing w:val="-8"/>
        </w:rPr>
        <w:t>）</w:t>
      </w:r>
      <w:r>
        <w:rPr>
          <w:spacing w:val="-9"/>
        </w:rPr>
        <w:t>缓和洗衣程序”执行，详见表 </w:t>
      </w:r>
      <w:r>
        <w:rPr/>
        <w:t>1</w:t>
      </w:r>
      <w:r>
        <w:rPr>
          <w:spacing w:val="-15"/>
        </w:rPr>
        <w:t> 段。洗衣粉按 </w:t>
      </w:r>
      <w:r>
        <w:rPr/>
        <w:t>GB/T13171.2</w:t>
      </w:r>
      <w:r>
        <w:rPr>
          <w:spacing w:val="-13"/>
        </w:rPr>
        <w:t> 的规定</w:t>
      </w:r>
      <w:r>
        <w:rPr>
          <w:spacing w:val="-10"/>
        </w:rPr>
        <w:t>选择。</w:t>
      </w:r>
      <w:r>
        <w:rPr/>
        <w:t> </w:t>
      </w:r>
    </w:p>
    <w:p>
      <w:pPr>
        <w:pStyle w:val="ListParagraph"/>
        <w:numPr>
          <w:ilvl w:val="1"/>
          <w:numId w:val="984"/>
        </w:numPr>
        <w:tabs>
          <w:tab w:pos="1159" w:val="left" w:leader="none"/>
        </w:tabs>
        <w:spacing w:line="267" w:lineRule="exact" w:before="0" w:after="0"/>
        <w:ind w:left="1158" w:right="0" w:hanging="319"/>
        <w:jc w:val="left"/>
        <w:rPr>
          <w:sz w:val="21"/>
        </w:rPr>
      </w:pPr>
      <w:r>
        <w:rPr>
          <w:spacing w:val="-7"/>
          <w:sz w:val="21"/>
        </w:rPr>
        <w:t>面料的单位面积质量测定按 </w:t>
      </w:r>
      <w:r>
        <w:rPr>
          <w:sz w:val="21"/>
        </w:rPr>
        <w:t>GB/T</w:t>
      </w:r>
      <w:r>
        <w:rPr>
          <w:spacing w:val="1"/>
          <w:sz w:val="21"/>
        </w:rPr>
        <w:t> </w:t>
      </w:r>
      <w:r>
        <w:rPr>
          <w:sz w:val="21"/>
        </w:rPr>
        <w:t>4669——2008</w:t>
      </w:r>
      <w:r>
        <w:rPr>
          <w:spacing w:val="-36"/>
          <w:sz w:val="21"/>
        </w:rPr>
        <w:t> 中 </w:t>
      </w:r>
      <w:r>
        <w:rPr>
          <w:sz w:val="21"/>
        </w:rPr>
        <w:t>6.8</w:t>
      </w:r>
      <w:r>
        <w:rPr>
          <w:spacing w:val="-11"/>
          <w:sz w:val="21"/>
        </w:rPr>
        <w:t> 规定执行。</w:t>
      </w:r>
      <w:r>
        <w:rPr>
          <w:sz w:val="21"/>
        </w:rPr>
        <w:t> </w:t>
      </w:r>
    </w:p>
    <w:p>
      <w:pPr>
        <w:pStyle w:val="BodyText"/>
        <w:spacing w:before="2"/>
        <w:rPr>
          <w:sz w:val="18"/>
        </w:rPr>
      </w:pPr>
    </w:p>
    <w:p>
      <w:pPr>
        <w:pStyle w:val="ListParagraph"/>
        <w:numPr>
          <w:ilvl w:val="1"/>
          <w:numId w:val="984"/>
        </w:numPr>
        <w:tabs>
          <w:tab w:pos="1160" w:val="left" w:leader="none"/>
        </w:tabs>
        <w:spacing w:line="240" w:lineRule="auto" w:before="0" w:after="0"/>
        <w:ind w:left="1159" w:right="490" w:hanging="1160"/>
        <w:jc w:val="left"/>
        <w:rPr>
          <w:sz w:val="21"/>
        </w:rPr>
      </w:pPr>
      <w:r>
        <w:rPr>
          <w:spacing w:val="-5"/>
          <w:sz w:val="21"/>
        </w:rPr>
        <w:t>面料及成品的水洗尺寸变化率试验方法按 </w:t>
      </w:r>
      <w:r>
        <w:rPr>
          <w:sz w:val="21"/>
        </w:rPr>
        <w:t>GB/T8628</w:t>
      </w:r>
      <w:r>
        <w:rPr>
          <w:spacing w:val="-26"/>
          <w:sz w:val="21"/>
        </w:rPr>
        <w:t> 和 </w:t>
      </w:r>
      <w:r>
        <w:rPr>
          <w:sz w:val="21"/>
        </w:rPr>
        <w:t>GB/T8630</w:t>
      </w:r>
      <w:r>
        <w:rPr>
          <w:spacing w:val="-12"/>
          <w:sz w:val="21"/>
        </w:rPr>
        <w:t> 规定执行，采用 </w:t>
      </w:r>
      <w:r>
        <w:rPr>
          <w:sz w:val="21"/>
        </w:rPr>
        <w:t>GB/T </w:t>
      </w:r>
    </w:p>
    <w:p>
      <w:pPr>
        <w:pStyle w:val="BodyText"/>
        <w:rPr>
          <w:sz w:val="18"/>
        </w:rPr>
      </w:pPr>
    </w:p>
    <w:p>
      <w:pPr>
        <w:pStyle w:val="BodyText"/>
        <w:ind w:left="418"/>
      </w:pPr>
      <w:r>
        <w:rPr/>
        <w:t>8629——2001 中的 5A 程序洗涤和程序 A 干燥。如果使用说明上为轻柔洗涤或手洗，则采用 7A 或</w:t>
      </w:r>
    </w:p>
    <w:p>
      <w:pPr>
        <w:spacing w:after="0"/>
        <w:sectPr>
          <w:pgSz w:w="11910" w:h="16850"/>
          <w:pgMar w:header="0" w:footer="1239" w:top="1220" w:bottom="1420" w:left="1260" w:right="0"/>
        </w:sectPr>
      </w:pPr>
    </w:p>
    <w:p>
      <w:pPr>
        <w:pStyle w:val="BodyText"/>
        <w:spacing w:before="47"/>
        <w:ind w:left="418"/>
      </w:pPr>
      <w:r>
        <w:rPr/>
        <w:t>仿手洗程序洗涤。 </w:t>
      </w:r>
    </w:p>
    <w:p>
      <w:pPr>
        <w:pStyle w:val="BodyText"/>
        <w:rPr>
          <w:sz w:val="18"/>
        </w:rPr>
      </w:pPr>
    </w:p>
    <w:p>
      <w:pPr>
        <w:pStyle w:val="ListParagraph"/>
        <w:numPr>
          <w:ilvl w:val="1"/>
          <w:numId w:val="984"/>
        </w:numPr>
        <w:tabs>
          <w:tab w:pos="1160" w:val="left" w:leader="none"/>
        </w:tabs>
        <w:spacing w:line="240" w:lineRule="auto" w:before="0" w:after="0"/>
        <w:ind w:left="1159" w:right="0" w:hanging="320"/>
        <w:jc w:val="left"/>
        <w:rPr>
          <w:sz w:val="21"/>
        </w:rPr>
      </w:pPr>
      <w:r>
        <w:rPr>
          <w:spacing w:val="-9"/>
          <w:sz w:val="21"/>
        </w:rPr>
        <w:t>面料的热稳定性试验 </w:t>
      </w:r>
      <w:r>
        <w:rPr>
          <w:sz w:val="21"/>
        </w:rPr>
        <w:t>GB</w:t>
      </w:r>
      <w:r>
        <w:rPr>
          <w:spacing w:val="1"/>
          <w:sz w:val="21"/>
        </w:rPr>
        <w:t> </w:t>
      </w:r>
      <w:r>
        <w:rPr>
          <w:sz w:val="21"/>
        </w:rPr>
        <w:t>8965.1——2009</w:t>
      </w:r>
      <w:r>
        <w:rPr>
          <w:spacing w:val="-23"/>
          <w:sz w:val="21"/>
        </w:rPr>
        <w:t> 中附录 </w:t>
      </w:r>
      <w:r>
        <w:rPr>
          <w:sz w:val="21"/>
        </w:rPr>
        <w:t>B</w:t>
      </w:r>
      <w:r>
        <w:rPr>
          <w:spacing w:val="-11"/>
          <w:sz w:val="21"/>
        </w:rPr>
        <w:t> 规定执行。</w:t>
      </w:r>
      <w:r>
        <w:rPr>
          <w:sz w:val="21"/>
        </w:rPr>
        <w:t> </w:t>
      </w:r>
    </w:p>
    <w:p>
      <w:pPr>
        <w:pStyle w:val="BodyText"/>
        <w:rPr>
          <w:sz w:val="18"/>
        </w:rPr>
      </w:pPr>
    </w:p>
    <w:p>
      <w:pPr>
        <w:pStyle w:val="ListParagraph"/>
        <w:numPr>
          <w:ilvl w:val="1"/>
          <w:numId w:val="984"/>
        </w:numPr>
        <w:tabs>
          <w:tab w:pos="1159" w:val="left" w:leader="none"/>
        </w:tabs>
        <w:spacing w:line="240" w:lineRule="auto" w:before="0" w:after="0"/>
        <w:ind w:left="1158" w:right="0" w:hanging="319"/>
        <w:jc w:val="left"/>
        <w:rPr>
          <w:sz w:val="21"/>
        </w:rPr>
      </w:pPr>
      <w:r>
        <w:rPr>
          <w:spacing w:val="-8"/>
          <w:sz w:val="21"/>
        </w:rPr>
        <w:t>面料的甲醛含量试验按 </w:t>
      </w:r>
      <w:r>
        <w:rPr>
          <w:sz w:val="21"/>
        </w:rPr>
        <w:t>GB/T</w:t>
      </w:r>
      <w:r>
        <w:rPr>
          <w:spacing w:val="1"/>
          <w:sz w:val="21"/>
        </w:rPr>
        <w:t> </w:t>
      </w:r>
      <w:r>
        <w:rPr>
          <w:sz w:val="21"/>
        </w:rPr>
        <w:t>2912.1</w:t>
      </w:r>
      <w:r>
        <w:rPr>
          <w:spacing w:val="-11"/>
          <w:sz w:val="21"/>
        </w:rPr>
        <w:t> 规定执行。 </w:t>
      </w:r>
    </w:p>
    <w:p>
      <w:pPr>
        <w:pStyle w:val="BodyText"/>
        <w:spacing w:before="1"/>
        <w:rPr>
          <w:sz w:val="18"/>
        </w:rPr>
      </w:pPr>
    </w:p>
    <w:p>
      <w:pPr>
        <w:pStyle w:val="ListParagraph"/>
        <w:numPr>
          <w:ilvl w:val="1"/>
          <w:numId w:val="984"/>
        </w:numPr>
        <w:tabs>
          <w:tab w:pos="1264" w:val="left" w:leader="none"/>
        </w:tabs>
        <w:spacing w:line="240" w:lineRule="auto" w:before="1" w:after="0"/>
        <w:ind w:left="1263" w:right="0" w:hanging="424"/>
        <w:jc w:val="left"/>
        <w:rPr>
          <w:sz w:val="21"/>
        </w:rPr>
      </w:pPr>
      <w:r>
        <w:rPr>
          <w:spacing w:val="-16"/>
          <w:sz w:val="21"/>
        </w:rPr>
        <w:t>面料的 </w:t>
      </w:r>
      <w:r>
        <w:rPr>
          <w:sz w:val="21"/>
        </w:rPr>
        <w:t>pH</w:t>
      </w:r>
      <w:r>
        <w:rPr>
          <w:spacing w:val="-20"/>
          <w:sz w:val="21"/>
        </w:rPr>
        <w:t> 值试验按 </w:t>
      </w:r>
      <w:r>
        <w:rPr>
          <w:sz w:val="21"/>
        </w:rPr>
        <w:t>GB/T</w:t>
      </w:r>
      <w:r>
        <w:rPr>
          <w:spacing w:val="1"/>
          <w:sz w:val="21"/>
        </w:rPr>
        <w:t> </w:t>
      </w:r>
      <w:r>
        <w:rPr>
          <w:sz w:val="21"/>
        </w:rPr>
        <w:t>7573</w:t>
      </w:r>
      <w:r>
        <w:rPr>
          <w:spacing w:val="-12"/>
          <w:sz w:val="21"/>
        </w:rPr>
        <w:t> 规定执行。</w:t>
      </w:r>
      <w:r>
        <w:rPr>
          <w:sz w:val="21"/>
        </w:rPr>
        <w:t> </w:t>
      </w:r>
    </w:p>
    <w:p>
      <w:pPr>
        <w:pStyle w:val="BodyText"/>
        <w:spacing w:before="12"/>
        <w:rPr>
          <w:sz w:val="17"/>
        </w:rPr>
      </w:pPr>
    </w:p>
    <w:p>
      <w:pPr>
        <w:pStyle w:val="ListParagraph"/>
        <w:numPr>
          <w:ilvl w:val="1"/>
          <w:numId w:val="984"/>
        </w:numPr>
        <w:tabs>
          <w:tab w:pos="1266" w:val="left" w:leader="none"/>
        </w:tabs>
        <w:spacing w:line="240" w:lineRule="auto" w:before="0" w:after="0"/>
        <w:ind w:left="1265" w:right="0" w:hanging="426"/>
        <w:jc w:val="left"/>
        <w:rPr>
          <w:sz w:val="21"/>
        </w:rPr>
      </w:pPr>
      <w:r>
        <w:rPr>
          <w:spacing w:val="-8"/>
          <w:sz w:val="21"/>
        </w:rPr>
        <w:t>面料的耐光色牢度试验按 </w:t>
      </w:r>
      <w:r>
        <w:rPr>
          <w:sz w:val="21"/>
        </w:rPr>
        <w:t>GB/T</w:t>
      </w:r>
      <w:r>
        <w:rPr>
          <w:spacing w:val="-2"/>
          <w:sz w:val="21"/>
        </w:rPr>
        <w:t> </w:t>
      </w:r>
      <w:r>
        <w:rPr>
          <w:sz w:val="21"/>
        </w:rPr>
        <w:t>8427——2008</w:t>
      </w:r>
      <w:r>
        <w:rPr>
          <w:spacing w:val="-36"/>
          <w:sz w:val="21"/>
        </w:rPr>
        <w:t> 中 </w:t>
      </w:r>
      <w:r>
        <w:rPr>
          <w:sz w:val="21"/>
        </w:rPr>
        <w:t>7.2.4</w:t>
      </w:r>
      <w:r>
        <w:rPr>
          <w:spacing w:val="-11"/>
          <w:sz w:val="21"/>
        </w:rPr>
        <w:t> 规定执行。</w:t>
      </w:r>
      <w:r>
        <w:rPr>
          <w:sz w:val="21"/>
        </w:rPr>
        <w:t> </w:t>
      </w:r>
    </w:p>
    <w:p>
      <w:pPr>
        <w:pStyle w:val="BodyText"/>
        <w:spacing w:before="12"/>
        <w:rPr>
          <w:sz w:val="17"/>
        </w:rPr>
      </w:pPr>
    </w:p>
    <w:p>
      <w:pPr>
        <w:pStyle w:val="ListParagraph"/>
        <w:numPr>
          <w:ilvl w:val="1"/>
          <w:numId w:val="984"/>
        </w:numPr>
        <w:tabs>
          <w:tab w:pos="1264" w:val="left" w:leader="none"/>
        </w:tabs>
        <w:spacing w:line="240" w:lineRule="auto" w:before="0" w:after="0"/>
        <w:ind w:left="1263" w:right="0" w:hanging="424"/>
        <w:jc w:val="left"/>
        <w:rPr>
          <w:sz w:val="21"/>
        </w:rPr>
      </w:pPr>
      <w:r>
        <w:rPr>
          <w:spacing w:val="-8"/>
          <w:sz w:val="21"/>
        </w:rPr>
        <w:t>面料的耐洗色牢度试验按 </w:t>
      </w:r>
      <w:r>
        <w:rPr>
          <w:sz w:val="21"/>
        </w:rPr>
        <w:t>GB/T</w:t>
      </w:r>
      <w:r>
        <w:rPr>
          <w:spacing w:val="-1"/>
          <w:sz w:val="21"/>
        </w:rPr>
        <w:t> </w:t>
      </w:r>
      <w:r>
        <w:rPr>
          <w:sz w:val="21"/>
        </w:rPr>
        <w:t>3921——2008</w:t>
      </w:r>
      <w:r>
        <w:rPr>
          <w:spacing w:val="-28"/>
          <w:sz w:val="21"/>
        </w:rPr>
        <w:t> 中表 </w:t>
      </w:r>
      <w:r>
        <w:rPr>
          <w:sz w:val="21"/>
        </w:rPr>
        <w:t>2</w:t>
      </w:r>
      <w:r>
        <w:rPr>
          <w:spacing w:val="-28"/>
          <w:sz w:val="21"/>
        </w:rPr>
        <w:t> 方法 </w:t>
      </w:r>
      <w:r>
        <w:rPr>
          <w:sz w:val="21"/>
        </w:rPr>
        <w:t>A（1）</w:t>
      </w:r>
      <w:r>
        <w:rPr>
          <w:spacing w:val="-3"/>
          <w:sz w:val="21"/>
        </w:rPr>
        <w:t>中规定执行。</w:t>
      </w:r>
      <w:r>
        <w:rPr>
          <w:sz w:val="21"/>
        </w:rPr>
        <w:t> </w:t>
      </w:r>
    </w:p>
    <w:p>
      <w:pPr>
        <w:pStyle w:val="BodyText"/>
        <w:spacing w:before="2"/>
        <w:rPr>
          <w:sz w:val="18"/>
        </w:rPr>
      </w:pPr>
    </w:p>
    <w:p>
      <w:pPr>
        <w:pStyle w:val="ListParagraph"/>
        <w:numPr>
          <w:ilvl w:val="1"/>
          <w:numId w:val="984"/>
        </w:numPr>
        <w:tabs>
          <w:tab w:pos="1266" w:val="left" w:leader="none"/>
        </w:tabs>
        <w:spacing w:line="240" w:lineRule="auto" w:before="0" w:after="0"/>
        <w:ind w:left="1265" w:right="0" w:hanging="426"/>
        <w:jc w:val="left"/>
        <w:rPr>
          <w:sz w:val="21"/>
        </w:rPr>
      </w:pPr>
      <w:r>
        <w:rPr>
          <w:spacing w:val="-8"/>
          <w:sz w:val="21"/>
        </w:rPr>
        <w:t>面料的耐水色牢度试验按 </w:t>
      </w:r>
      <w:r>
        <w:rPr>
          <w:sz w:val="21"/>
        </w:rPr>
        <w:t>GB/T</w:t>
      </w:r>
      <w:r>
        <w:rPr>
          <w:spacing w:val="-2"/>
          <w:sz w:val="21"/>
        </w:rPr>
        <w:t> </w:t>
      </w:r>
      <w:r>
        <w:rPr>
          <w:sz w:val="21"/>
        </w:rPr>
        <w:t>5713</w:t>
      </w:r>
      <w:r>
        <w:rPr>
          <w:spacing w:val="-11"/>
          <w:sz w:val="21"/>
        </w:rPr>
        <w:t> 规定执行。 </w:t>
      </w:r>
    </w:p>
    <w:p>
      <w:pPr>
        <w:pStyle w:val="BodyText"/>
        <w:rPr>
          <w:sz w:val="18"/>
        </w:rPr>
      </w:pPr>
    </w:p>
    <w:p>
      <w:pPr>
        <w:pStyle w:val="ListParagraph"/>
        <w:numPr>
          <w:ilvl w:val="1"/>
          <w:numId w:val="984"/>
        </w:numPr>
        <w:tabs>
          <w:tab w:pos="1266" w:val="left" w:leader="none"/>
        </w:tabs>
        <w:spacing w:line="240" w:lineRule="auto" w:before="0" w:after="0"/>
        <w:ind w:left="1265" w:right="0" w:hanging="426"/>
        <w:jc w:val="left"/>
        <w:rPr>
          <w:sz w:val="21"/>
        </w:rPr>
      </w:pPr>
      <w:r>
        <w:rPr>
          <w:spacing w:val="-7"/>
          <w:sz w:val="21"/>
        </w:rPr>
        <w:t>面料的耐摩擦色牢度试验按 </w:t>
      </w:r>
      <w:r>
        <w:rPr>
          <w:sz w:val="21"/>
        </w:rPr>
        <w:t>GB/T</w:t>
      </w:r>
      <w:r>
        <w:rPr>
          <w:spacing w:val="11"/>
          <w:sz w:val="21"/>
        </w:rPr>
        <w:t> </w:t>
      </w:r>
      <w:r>
        <w:rPr>
          <w:sz w:val="21"/>
        </w:rPr>
        <w:t>3920</w:t>
      </w:r>
      <w:r>
        <w:rPr>
          <w:spacing w:val="-11"/>
          <w:sz w:val="21"/>
        </w:rPr>
        <w:t> 规定执行。</w:t>
      </w:r>
      <w:r>
        <w:rPr>
          <w:sz w:val="21"/>
        </w:rPr>
        <w:t> </w:t>
      </w:r>
    </w:p>
    <w:p>
      <w:pPr>
        <w:pStyle w:val="BodyText"/>
        <w:rPr>
          <w:sz w:val="18"/>
        </w:rPr>
      </w:pPr>
    </w:p>
    <w:p>
      <w:pPr>
        <w:pStyle w:val="ListParagraph"/>
        <w:numPr>
          <w:ilvl w:val="1"/>
          <w:numId w:val="984"/>
        </w:numPr>
        <w:tabs>
          <w:tab w:pos="1264" w:val="left" w:leader="none"/>
        </w:tabs>
        <w:spacing w:line="240" w:lineRule="auto" w:before="0" w:after="0"/>
        <w:ind w:left="1263" w:right="0" w:hanging="424"/>
        <w:jc w:val="left"/>
        <w:rPr>
          <w:sz w:val="21"/>
        </w:rPr>
      </w:pPr>
      <w:r>
        <w:rPr>
          <w:spacing w:val="-7"/>
          <w:sz w:val="21"/>
        </w:rPr>
        <w:t>面料的耐汗渍色牢度试验按 </w:t>
      </w:r>
      <w:r>
        <w:rPr>
          <w:sz w:val="21"/>
        </w:rPr>
        <w:t>GB/T</w:t>
      </w:r>
      <w:r>
        <w:rPr>
          <w:spacing w:val="11"/>
          <w:sz w:val="21"/>
        </w:rPr>
        <w:t> </w:t>
      </w:r>
      <w:r>
        <w:rPr>
          <w:sz w:val="21"/>
        </w:rPr>
        <w:t>3922</w:t>
      </w:r>
      <w:r>
        <w:rPr>
          <w:spacing w:val="-11"/>
          <w:sz w:val="21"/>
        </w:rPr>
        <w:t> 规定执行。</w:t>
      </w:r>
      <w:r>
        <w:rPr>
          <w:sz w:val="21"/>
        </w:rPr>
        <w:t> </w:t>
      </w:r>
    </w:p>
    <w:p>
      <w:pPr>
        <w:pStyle w:val="BodyText"/>
        <w:spacing w:before="2"/>
        <w:rPr>
          <w:sz w:val="18"/>
        </w:rPr>
      </w:pPr>
    </w:p>
    <w:p>
      <w:pPr>
        <w:pStyle w:val="ListParagraph"/>
        <w:numPr>
          <w:ilvl w:val="1"/>
          <w:numId w:val="984"/>
        </w:numPr>
        <w:tabs>
          <w:tab w:pos="1264" w:val="left" w:leader="none"/>
        </w:tabs>
        <w:spacing w:line="240" w:lineRule="auto" w:before="0" w:after="0"/>
        <w:ind w:left="1263" w:right="0" w:hanging="424"/>
        <w:jc w:val="left"/>
        <w:rPr>
          <w:sz w:val="21"/>
        </w:rPr>
      </w:pPr>
      <w:r>
        <w:rPr>
          <w:spacing w:val="-8"/>
          <w:sz w:val="21"/>
        </w:rPr>
        <w:t>缝纫线的强力试验按 </w:t>
      </w:r>
      <w:r>
        <w:rPr>
          <w:sz w:val="21"/>
        </w:rPr>
        <w:t>GB/T3616——2013</w:t>
      </w:r>
      <w:r>
        <w:rPr>
          <w:spacing w:val="-37"/>
          <w:sz w:val="21"/>
        </w:rPr>
        <w:t> 中 </w:t>
      </w:r>
      <w:r>
        <w:rPr>
          <w:sz w:val="21"/>
        </w:rPr>
        <w:t>8.4</w:t>
      </w:r>
      <w:r>
        <w:rPr>
          <w:spacing w:val="-11"/>
          <w:sz w:val="21"/>
        </w:rPr>
        <w:t> 规定执行。</w:t>
      </w:r>
      <w:r>
        <w:rPr>
          <w:sz w:val="21"/>
        </w:rPr>
        <w:t> </w:t>
      </w:r>
    </w:p>
    <w:p>
      <w:pPr>
        <w:pStyle w:val="BodyText"/>
        <w:spacing w:before="12"/>
        <w:rPr>
          <w:sz w:val="17"/>
        </w:rPr>
      </w:pPr>
    </w:p>
    <w:p>
      <w:pPr>
        <w:pStyle w:val="BodyText"/>
        <w:ind w:left="840"/>
      </w:pPr>
      <w:r>
        <w:rPr>
          <w:b/>
        </w:rPr>
        <w:t>5.17 </w:t>
      </w:r>
      <w:r>
        <w:rPr/>
        <w:t>缝纫线的阻燃性试验按 GB 8965.1——2009 中 6.14 规定执行。 </w:t>
      </w:r>
    </w:p>
    <w:p>
      <w:pPr>
        <w:pStyle w:val="BodyText"/>
        <w:spacing w:before="12"/>
        <w:rPr>
          <w:sz w:val="17"/>
        </w:rPr>
      </w:pPr>
    </w:p>
    <w:p>
      <w:pPr>
        <w:pStyle w:val="ListParagraph"/>
        <w:numPr>
          <w:ilvl w:val="1"/>
          <w:numId w:val="985"/>
        </w:numPr>
        <w:tabs>
          <w:tab w:pos="1265" w:val="left" w:leader="none"/>
        </w:tabs>
        <w:spacing w:line="446" w:lineRule="auto" w:before="0" w:after="0"/>
        <w:ind w:left="418" w:right="1431" w:firstLine="422"/>
        <w:jc w:val="left"/>
        <w:rPr>
          <w:sz w:val="21"/>
        </w:rPr>
      </w:pPr>
      <w:r>
        <w:rPr>
          <w:spacing w:val="-6"/>
          <w:sz w:val="21"/>
        </w:rPr>
        <w:t>反光带的逆反射系数数值试验，经 </w:t>
      </w:r>
      <w:r>
        <w:rPr>
          <w:sz w:val="21"/>
        </w:rPr>
        <w:t>GB</w:t>
      </w:r>
      <w:r>
        <w:rPr>
          <w:spacing w:val="42"/>
          <w:sz w:val="21"/>
        </w:rPr>
        <w:t> </w:t>
      </w:r>
      <w:r>
        <w:rPr>
          <w:sz w:val="21"/>
        </w:rPr>
        <w:t>20653——2006</w:t>
      </w:r>
      <w:r>
        <w:rPr>
          <w:spacing w:val="-34"/>
          <w:sz w:val="21"/>
        </w:rPr>
        <w:t> 中 </w:t>
      </w:r>
      <w:r>
        <w:rPr>
          <w:sz w:val="21"/>
        </w:rPr>
        <w:t>7.4</w:t>
      </w:r>
      <w:r>
        <w:rPr>
          <w:spacing w:val="-3"/>
          <w:sz w:val="21"/>
        </w:rPr>
        <w:t>、</w:t>
      </w:r>
      <w:r>
        <w:rPr>
          <w:sz w:val="21"/>
        </w:rPr>
        <w:t>7.5</w:t>
      </w:r>
      <w:r>
        <w:rPr>
          <w:spacing w:val="-9"/>
          <w:sz w:val="21"/>
        </w:rPr>
        <w:t> 规定的物理试验前</w:t>
      </w:r>
      <w:r>
        <w:rPr>
          <w:spacing w:val="-16"/>
          <w:sz w:val="21"/>
        </w:rPr>
        <w:t>后，依据 </w:t>
      </w:r>
      <w:r>
        <w:rPr>
          <w:sz w:val="21"/>
        </w:rPr>
        <w:t>GB 20653——2006</w:t>
      </w:r>
      <w:r>
        <w:rPr>
          <w:spacing w:val="-36"/>
          <w:sz w:val="21"/>
        </w:rPr>
        <w:t> 中 </w:t>
      </w:r>
      <w:r>
        <w:rPr>
          <w:sz w:val="21"/>
        </w:rPr>
        <w:t>7.3</w:t>
      </w:r>
      <w:r>
        <w:rPr>
          <w:spacing w:val="-12"/>
          <w:sz w:val="21"/>
        </w:rPr>
        <w:t> 规定执行。</w:t>
      </w:r>
      <w:r>
        <w:rPr>
          <w:sz w:val="21"/>
        </w:rPr>
        <w:t> </w:t>
      </w:r>
    </w:p>
    <w:p>
      <w:pPr>
        <w:pStyle w:val="ListParagraph"/>
        <w:numPr>
          <w:ilvl w:val="1"/>
          <w:numId w:val="985"/>
        </w:numPr>
        <w:tabs>
          <w:tab w:pos="1264" w:val="left" w:leader="none"/>
        </w:tabs>
        <w:spacing w:line="240" w:lineRule="auto" w:before="1" w:after="0"/>
        <w:ind w:left="1263" w:right="0" w:hanging="424"/>
        <w:jc w:val="left"/>
        <w:rPr>
          <w:sz w:val="21"/>
        </w:rPr>
      </w:pPr>
      <w:r>
        <w:rPr>
          <w:spacing w:val="-8"/>
          <w:sz w:val="21"/>
        </w:rPr>
        <w:t>反光带的阻燃性能试验按 </w:t>
      </w:r>
      <w:r>
        <w:rPr>
          <w:sz w:val="21"/>
        </w:rPr>
        <w:t>GB/T</w:t>
      </w:r>
      <w:r>
        <w:rPr>
          <w:spacing w:val="-2"/>
          <w:sz w:val="21"/>
        </w:rPr>
        <w:t> </w:t>
      </w:r>
      <w:r>
        <w:rPr>
          <w:sz w:val="21"/>
        </w:rPr>
        <w:t>5455</w:t>
      </w:r>
      <w:r>
        <w:rPr>
          <w:spacing w:val="-11"/>
          <w:sz w:val="21"/>
        </w:rPr>
        <w:t> 规定执行。 </w:t>
      </w:r>
    </w:p>
    <w:p>
      <w:pPr>
        <w:pStyle w:val="BodyText"/>
        <w:spacing w:before="12"/>
        <w:rPr>
          <w:sz w:val="17"/>
        </w:rPr>
      </w:pPr>
    </w:p>
    <w:p>
      <w:pPr>
        <w:pStyle w:val="ListParagraph"/>
        <w:numPr>
          <w:ilvl w:val="1"/>
          <w:numId w:val="985"/>
        </w:numPr>
        <w:tabs>
          <w:tab w:pos="1264" w:val="left" w:leader="none"/>
        </w:tabs>
        <w:spacing w:line="240" w:lineRule="auto" w:before="0" w:after="0"/>
        <w:ind w:left="1263" w:right="0" w:hanging="424"/>
        <w:jc w:val="left"/>
        <w:rPr>
          <w:sz w:val="21"/>
        </w:rPr>
      </w:pPr>
      <w:r>
        <w:rPr>
          <w:spacing w:val="-8"/>
          <w:sz w:val="21"/>
        </w:rPr>
        <w:t>反光带的热稳定性试验按 </w:t>
      </w:r>
      <w:r>
        <w:rPr>
          <w:sz w:val="21"/>
        </w:rPr>
        <w:t>GB</w:t>
      </w:r>
      <w:r>
        <w:rPr>
          <w:spacing w:val="1"/>
          <w:sz w:val="21"/>
        </w:rPr>
        <w:t> </w:t>
      </w:r>
      <w:r>
        <w:rPr>
          <w:sz w:val="21"/>
        </w:rPr>
        <w:t>8965.1——2009</w:t>
      </w:r>
      <w:r>
        <w:rPr>
          <w:spacing w:val="-23"/>
          <w:sz w:val="21"/>
        </w:rPr>
        <w:t> 中附录 </w:t>
      </w:r>
      <w:r>
        <w:rPr>
          <w:sz w:val="21"/>
        </w:rPr>
        <w:t>B</w:t>
      </w:r>
      <w:r>
        <w:rPr>
          <w:spacing w:val="-11"/>
          <w:sz w:val="21"/>
        </w:rPr>
        <w:t> 规定执行。</w:t>
      </w:r>
      <w:r>
        <w:rPr>
          <w:sz w:val="21"/>
        </w:rPr>
        <w:t> </w:t>
      </w:r>
    </w:p>
    <w:p>
      <w:pPr>
        <w:pStyle w:val="BodyText"/>
        <w:spacing w:before="2"/>
        <w:rPr>
          <w:sz w:val="18"/>
        </w:rPr>
      </w:pPr>
    </w:p>
    <w:p>
      <w:pPr>
        <w:pStyle w:val="ListParagraph"/>
        <w:numPr>
          <w:ilvl w:val="1"/>
          <w:numId w:val="985"/>
        </w:numPr>
        <w:tabs>
          <w:tab w:pos="1266" w:val="left" w:leader="none"/>
        </w:tabs>
        <w:spacing w:line="240" w:lineRule="auto" w:before="0" w:after="0"/>
        <w:ind w:left="1265" w:right="0" w:hanging="426"/>
        <w:jc w:val="left"/>
        <w:rPr>
          <w:sz w:val="21"/>
        </w:rPr>
      </w:pPr>
      <w:r>
        <w:rPr>
          <w:spacing w:val="-6"/>
          <w:sz w:val="21"/>
        </w:rPr>
        <w:t>成品的裤后裆缝、肩接缝、单衣片接缝强力试验按 </w:t>
      </w:r>
      <w:r>
        <w:rPr>
          <w:sz w:val="21"/>
        </w:rPr>
        <w:t>GB/T</w:t>
      </w:r>
      <w:r>
        <w:rPr>
          <w:spacing w:val="-1"/>
          <w:sz w:val="21"/>
        </w:rPr>
        <w:t> </w:t>
      </w:r>
      <w:r>
        <w:rPr>
          <w:sz w:val="21"/>
        </w:rPr>
        <w:t>13773.1</w:t>
      </w:r>
      <w:r>
        <w:rPr>
          <w:spacing w:val="-10"/>
          <w:sz w:val="21"/>
        </w:rPr>
        <w:t> 规定执行。 </w:t>
      </w:r>
    </w:p>
    <w:p>
      <w:pPr>
        <w:pStyle w:val="BodyText"/>
        <w:spacing w:before="8"/>
        <w:rPr>
          <w:sz w:val="15"/>
        </w:rPr>
      </w:pPr>
    </w:p>
    <w:p>
      <w:pPr>
        <w:pStyle w:val="Heading4"/>
      </w:pPr>
      <w:r>
        <w:rPr/>
        <w:t>6 检验规则</w:t>
      </w:r>
      <w:r>
        <w:rPr>
          <w:w w:val="99"/>
        </w:rPr>
        <w:t> </w:t>
      </w:r>
    </w:p>
    <w:p>
      <w:pPr>
        <w:pStyle w:val="BodyText"/>
        <w:spacing w:before="4"/>
        <w:rPr>
          <w:b/>
          <w:sz w:val="17"/>
        </w:rPr>
      </w:pPr>
    </w:p>
    <w:p>
      <w:pPr>
        <w:pStyle w:val="BodyText"/>
        <w:ind w:left="838"/>
      </w:pPr>
      <w:r>
        <w:rPr/>
        <w:t>森林防火服的检验规则按照 FZ/T 81007——2012 第 5 章规定执行。 </w:t>
      </w:r>
    </w:p>
    <w:p>
      <w:pPr>
        <w:pStyle w:val="BodyText"/>
        <w:spacing w:before="10"/>
        <w:rPr>
          <w:sz w:val="15"/>
        </w:rPr>
      </w:pPr>
    </w:p>
    <w:p>
      <w:pPr>
        <w:pStyle w:val="Heading4"/>
      </w:pPr>
      <w:r>
        <w:rPr/>
        <w:t>7 标识</w:t>
      </w:r>
      <w:r>
        <w:rPr>
          <w:w w:val="99"/>
        </w:rPr>
        <w:t> </w:t>
      </w:r>
    </w:p>
    <w:p>
      <w:pPr>
        <w:pStyle w:val="BodyText"/>
        <w:spacing w:before="4"/>
        <w:rPr>
          <w:b/>
          <w:sz w:val="17"/>
        </w:rPr>
      </w:pPr>
    </w:p>
    <w:p>
      <w:pPr>
        <w:spacing w:before="1"/>
        <w:ind w:left="840" w:right="0" w:firstLine="0"/>
        <w:jc w:val="left"/>
        <w:rPr>
          <w:sz w:val="21"/>
        </w:rPr>
      </w:pPr>
      <w:r>
        <w:rPr>
          <w:b/>
          <w:sz w:val="21"/>
        </w:rPr>
        <w:t>7.1 </w:t>
      </w:r>
      <w:r>
        <w:rPr>
          <w:sz w:val="21"/>
        </w:rPr>
        <w:t>永久标识 </w:t>
      </w:r>
    </w:p>
    <w:p>
      <w:pPr>
        <w:pStyle w:val="BodyText"/>
        <w:spacing w:before="12"/>
        <w:rPr>
          <w:sz w:val="17"/>
        </w:rPr>
      </w:pPr>
    </w:p>
    <w:p>
      <w:pPr>
        <w:pStyle w:val="BodyText"/>
        <w:spacing w:line="446" w:lineRule="auto"/>
        <w:ind w:left="840" w:right="2345" w:hanging="3"/>
        <w:rPr>
          <w:b/>
        </w:rPr>
      </w:pPr>
      <w:r>
        <w:rPr/>
        <w:t>森林防火服上应有产品名称、产品执行标准、生产日期、号型规格、生产厂名。</w:t>
      </w:r>
      <w:r>
        <w:rPr>
          <w:b/>
        </w:rPr>
        <w:t>7.2 </w:t>
      </w:r>
      <w:r>
        <w:rPr/>
        <w:t>合格证</w:t>
      </w:r>
      <w:r>
        <w:rPr>
          <w:b/>
          <w:w w:val="99"/>
        </w:rPr>
        <w:t> </w:t>
      </w:r>
    </w:p>
    <w:p>
      <w:pPr>
        <w:pStyle w:val="BodyText"/>
        <w:spacing w:line="446" w:lineRule="auto"/>
        <w:ind w:left="418" w:right="1333" w:firstLine="419"/>
      </w:pPr>
      <w:r>
        <w:rPr/>
        <w:t>合格证内容应至少包含产品名称、产品执行标准、面料成分、生产日期、号型规格、厂名、厂址和联系方式。 </w:t>
      </w:r>
    </w:p>
    <w:p>
      <w:pPr>
        <w:spacing w:before="0"/>
        <w:ind w:left="840" w:right="0" w:firstLine="0"/>
        <w:jc w:val="left"/>
        <w:rPr>
          <w:b/>
          <w:sz w:val="21"/>
        </w:rPr>
      </w:pPr>
      <w:r>
        <w:rPr>
          <w:b/>
          <w:sz w:val="21"/>
        </w:rPr>
        <w:t>7.3 </w:t>
      </w:r>
      <w:r>
        <w:rPr>
          <w:sz w:val="21"/>
        </w:rPr>
        <w:t>包装</w:t>
      </w:r>
      <w:r>
        <w:rPr>
          <w:b/>
          <w:w w:val="99"/>
          <w:sz w:val="21"/>
        </w:rPr>
        <w:t> </w:t>
      </w:r>
    </w:p>
    <w:p>
      <w:pPr>
        <w:pStyle w:val="BodyText"/>
        <w:spacing w:before="12"/>
        <w:rPr>
          <w:b/>
          <w:sz w:val="17"/>
        </w:rPr>
      </w:pPr>
    </w:p>
    <w:p>
      <w:pPr>
        <w:pStyle w:val="BodyText"/>
        <w:spacing w:line="446" w:lineRule="auto"/>
        <w:ind w:left="840" w:right="1330" w:hanging="3"/>
      </w:pPr>
      <w:r>
        <w:rPr>
          <w:spacing w:val="-9"/>
        </w:rPr>
        <w:t>森林防火服及其福利的外包装上，应有产品名称、产品执行标准、商标</w:t>
      </w:r>
      <w:r>
        <w:rPr/>
        <w:t>（</w:t>
      </w:r>
      <w:r>
        <w:rPr>
          <w:spacing w:val="-2"/>
        </w:rPr>
        <w:t>如有</w:t>
      </w:r>
      <w:r>
        <w:rPr>
          <w:spacing w:val="-108"/>
        </w:rPr>
        <w:t>）</w:t>
      </w:r>
      <w:r>
        <w:rPr>
          <w:spacing w:val="-8"/>
        </w:rPr>
        <w:t>、号型规格。</w:t>
      </w:r>
      <w:r>
        <w:rPr>
          <w:b/>
        </w:rPr>
        <w:t>7.4 </w:t>
      </w:r>
      <w:r>
        <w:rPr>
          <w:spacing w:val="-3"/>
        </w:rPr>
        <w:t>说明书</w:t>
      </w:r>
      <w:r>
        <w:rPr/>
        <w:t> </w:t>
      </w:r>
    </w:p>
    <w:p>
      <w:pPr>
        <w:pStyle w:val="BodyText"/>
        <w:ind w:left="838"/>
      </w:pPr>
      <w:r>
        <w:rPr/>
        <w:t>森林防火服的独立包装中均应有产品说明书，产品说明书应至少包括： </w:t>
      </w:r>
    </w:p>
    <w:p>
      <w:pPr>
        <w:spacing w:after="0"/>
        <w:sectPr>
          <w:pgSz w:w="11910" w:h="16850"/>
          <w:pgMar w:header="0" w:footer="1239" w:top="1220" w:bottom="1420" w:left="1260" w:right="0"/>
        </w:sectPr>
      </w:pPr>
    </w:p>
    <w:p>
      <w:pPr>
        <w:pStyle w:val="BodyText"/>
        <w:spacing w:line="446" w:lineRule="auto" w:before="47"/>
        <w:ind w:left="838" w:right="8436"/>
      </w:pPr>
      <w:r>
        <w:rPr/>
        <w:t>a)使用限制； b)号型； </w:t>
      </w:r>
    </w:p>
    <w:p>
      <w:pPr>
        <w:pStyle w:val="BodyText"/>
        <w:spacing w:line="446" w:lineRule="auto"/>
        <w:ind w:left="838" w:right="7809"/>
      </w:pPr>
      <w:r>
        <w:rPr/>
        <w:t>c)使用前检查程序； d)保养和维护信息。 </w:t>
      </w:r>
    </w:p>
    <w:p>
      <w:pPr>
        <w:spacing w:after="0" w:line="446" w:lineRule="auto"/>
        <w:sectPr>
          <w:pgSz w:w="11910" w:h="16850"/>
          <w:pgMar w:header="0" w:footer="1239" w:top="1220" w:bottom="1420" w:left="1260" w:right="0"/>
        </w:sectPr>
      </w:pPr>
    </w:p>
    <w:p>
      <w:pPr>
        <w:pStyle w:val="Heading4"/>
        <w:spacing w:before="55"/>
        <w:ind w:left="0" w:right="898"/>
        <w:jc w:val="center"/>
      </w:pPr>
      <w:r>
        <w:rPr/>
        <w:t>附录 A（资料性附录）森林防火服的设计款式示意图</w:t>
      </w:r>
      <w:r>
        <w:rPr>
          <w:w w:val="99"/>
        </w:rPr>
        <w:t> </w:t>
      </w:r>
    </w:p>
    <w:p>
      <w:pPr>
        <w:pStyle w:val="BodyText"/>
        <w:rPr>
          <w:b/>
          <w:sz w:val="24"/>
        </w:rPr>
      </w:pPr>
    </w:p>
    <w:p>
      <w:pPr>
        <w:pStyle w:val="BodyText"/>
        <w:spacing w:before="176"/>
        <w:ind w:left="838"/>
      </w:pPr>
      <w:r>
        <w:rPr/>
        <w:t>森林防火服的设计款式如图 A.1 所示。 </w:t>
      </w:r>
    </w:p>
    <w:p>
      <w:pPr>
        <w:pStyle w:val="BodyText"/>
        <w:spacing w:before="11"/>
        <w:rPr>
          <w:sz w:val="18"/>
        </w:rPr>
      </w:pPr>
      <w:r>
        <w:rPr/>
        <w:drawing>
          <wp:anchor distT="0" distB="0" distL="0" distR="0" allowOverlap="1" layoutInCell="1" locked="0" behindDoc="0" simplePos="0" relativeHeight="409">
            <wp:simplePos x="0" y="0"/>
            <wp:positionH relativeFrom="page">
              <wp:posOffset>1522573</wp:posOffset>
            </wp:positionH>
            <wp:positionV relativeFrom="paragraph">
              <wp:posOffset>178758</wp:posOffset>
            </wp:positionV>
            <wp:extent cx="5029384" cy="5857875"/>
            <wp:effectExtent l="0" t="0" r="0" b="0"/>
            <wp:wrapTopAndBottom/>
            <wp:docPr id="849" name="image501.jpeg"/>
            <wp:cNvGraphicFramePr>
              <a:graphicFrameLocks noChangeAspect="1"/>
            </wp:cNvGraphicFramePr>
            <a:graphic>
              <a:graphicData uri="http://schemas.openxmlformats.org/drawingml/2006/picture">
                <pic:pic>
                  <pic:nvPicPr>
                    <pic:cNvPr id="850" name="image501.jpeg"/>
                    <pic:cNvPicPr/>
                  </pic:nvPicPr>
                  <pic:blipFill>
                    <a:blip r:embed="rId633" cstate="print"/>
                    <a:stretch>
                      <a:fillRect/>
                    </a:stretch>
                  </pic:blipFill>
                  <pic:spPr>
                    <a:xfrm>
                      <a:off x="0" y="0"/>
                      <a:ext cx="5029384" cy="5857875"/>
                    </a:xfrm>
                    <a:prstGeom prst="rect">
                      <a:avLst/>
                    </a:prstGeom>
                  </pic:spPr>
                </pic:pic>
              </a:graphicData>
            </a:graphic>
          </wp:anchor>
        </w:drawing>
      </w:r>
    </w:p>
    <w:p>
      <w:pPr>
        <w:pStyle w:val="BodyText"/>
        <w:spacing w:before="2"/>
        <w:rPr>
          <w:sz w:val="16"/>
        </w:rPr>
      </w:pPr>
    </w:p>
    <w:p>
      <w:pPr>
        <w:pStyle w:val="Heading6"/>
        <w:spacing w:before="1"/>
        <w:ind w:right="914"/>
        <w:jc w:val="center"/>
      </w:pPr>
      <w:r>
        <w:rPr/>
        <w:t>图 A.1 森林防火服设计示意图</w:t>
      </w:r>
      <w:r>
        <w:rPr>
          <w:w w:val="99"/>
        </w:rPr>
        <w:t>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28"/>
        </w:rPr>
      </w:pPr>
    </w:p>
    <w:p>
      <w:pPr>
        <w:spacing w:before="72"/>
        <w:ind w:left="418" w:right="0" w:firstLine="0"/>
        <w:jc w:val="left"/>
        <w:rPr>
          <w:b/>
          <w:sz w:val="21"/>
        </w:rPr>
      </w:pPr>
      <w:r>
        <w:rPr>
          <w:b/>
          <w:w w:val="99"/>
          <w:sz w:val="21"/>
        </w:rPr>
        <w:t> </w:t>
      </w:r>
    </w:p>
    <w:sectPr>
      <w:pgSz w:w="11910" w:h="16850"/>
      <w:pgMar w:header="0" w:footer="1239" w:top="1180" w:bottom="1420" w:left="12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等线">
    <w:altName w:val="等线"/>
    <w:charset w:val="86"/>
    <w:family w:val="auto"/>
    <w:pitch w:val="variable"/>
  </w:font>
  <w:font w:name="宋体">
    <w:altName w:val="宋体"/>
    <w:charset w:val="86"/>
    <w:family w:val="auto"/>
    <w:pitch w:val="variable"/>
  </w:font>
  <w:font w:name="微软雅黑">
    <w:altName w:val="微软雅黑"/>
    <w:charset w:val="86"/>
    <w:family w:val="swiss"/>
    <w:pitch w:val="variable"/>
  </w:font>
  <w:font w:name="MS Gothic">
    <w:altName w:val="MS Gothic"/>
    <w:charset w:val="0"/>
    <w:family w:val="modern"/>
    <w:pitch w:val="fixed"/>
  </w:font>
  <w:font w:name="Cambria Math">
    <w:altName w:val="Cambria Math"/>
    <w:charset w:val="0"/>
    <w:family w:val="roman"/>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type id="_x0000_t202" o:spt="202" coordsize="21600,21600" path="m,l,21600r21600,l21600,xe">
          <v:stroke joinstyle="miter"/>
          <v:path gradientshapeok="t" o:connecttype="rect"/>
        </v:shapetype>
        <v:shape style="position:absolute;margin-left:299.25pt;margin-top:781.309448pt;width:8.75pt;height:11.4pt;mso-position-horizontal-relative:page;mso-position-vertical-relative:page;z-index:-28768256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3</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822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1050</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720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1060</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617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1070</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515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1080</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 style="position:absolute;margin-left:292.170013pt;margin-top:769.069458pt;width:23pt;height:11.4pt;mso-position-horizontal-relative:page;mso-position-vertical-relative:page;z-index:-28766412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1099</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310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1100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208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1110</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105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1120</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003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1130</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900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1140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450012pt;margin-top:769.069458pt;width:18.4pt;height:11.4pt;mso-position-horizontal-relative:page;mso-position-vertical-relative:page;z-index:-28768153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780</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798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1150</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 style="position:absolute;margin-left:292.170013pt;margin-top:769.069458pt;width:23pt;height:11.4pt;mso-position-horizontal-relative:page;mso-position-vertical-relative:page;z-index:-28765696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1169</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593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1170</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491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1180</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388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1185</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286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1190</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184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1200</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5081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1210</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979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1220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03.900002pt;margin-top:646.424988pt;width:7.3pt;height:12.6pt;mso-position-horizontal-relative:page;mso-position-vertical-relative:page;z-index:-287680512" type="#_x0000_t202" filled="false" stroked="false">
          <v:textbox inset="0,0,0,0">
            <w:txbxContent>
              <w:p>
                <w:pPr>
                  <w:pStyle w:val="BodyText"/>
                  <w:spacing w:line="251" w:lineRule="exact"/>
                  <w:ind w:left="20"/>
                </w:pPr>
                <w:r>
                  <w:rPr>
                    <w:w w:val="100"/>
                  </w:rPr>
                  <w:t> </w:t>
                </w:r>
              </w:p>
            </w:txbxContent>
          </v:textbox>
          <w10:wrap type="none"/>
        </v:shape>
      </w:pict>
    </w:r>
    <w:r>
      <w:rPr/>
      <w:pict>
        <v:shape style="position:absolute;margin-left:103.900002pt;margin-top:671.384949pt;width:7.3pt;height:12.6pt;mso-position-horizontal-relative:page;mso-position-vertical-relative:page;z-index:-287679488" type="#_x0000_t202" filled="false" stroked="false">
          <v:textbox inset="0,0,0,0">
            <w:txbxContent>
              <w:p>
                <w:pPr>
                  <w:pStyle w:val="BodyText"/>
                  <w:spacing w:line="251" w:lineRule="exact"/>
                  <w:ind w:left="20"/>
                </w:pPr>
                <w:r>
                  <w:rPr>
                    <w:w w:val="100"/>
                  </w:rPr>
                  <w:t> </w:t>
                </w:r>
              </w:p>
            </w:txbxContent>
          </v:textbox>
          <w10:wrap type="none"/>
        </v:shape>
      </w:pict>
    </w:r>
    <w:r>
      <w:rPr/>
      <w:pict>
        <v:shape style="position:absolute;margin-left:103.900002pt;margin-top:696.484985pt;width:7.3pt;height:12.6pt;mso-position-horizontal-relative:page;mso-position-vertical-relative:page;z-index:-287678464" type="#_x0000_t202" filled="false" stroked="false">
          <v:textbox inset="0,0,0,0">
            <w:txbxContent>
              <w:p>
                <w:pPr>
                  <w:pStyle w:val="BodyText"/>
                  <w:spacing w:line="251" w:lineRule="exact"/>
                  <w:ind w:left="20"/>
                </w:pPr>
                <w:r>
                  <w:rPr>
                    <w:w w:val="100"/>
                  </w:rPr>
                  <w:t> </w:t>
                </w:r>
              </w:p>
            </w:txbxContent>
          </v:textbox>
          <w10:wrap type="none"/>
        </v:shape>
      </w:pict>
    </w:r>
    <w:r>
      <w:rPr/>
      <w:pict>
        <v:shape style="position:absolute;margin-left:103.900002pt;margin-top:721.445007pt;width:7.3pt;height:12.6pt;mso-position-horizontal-relative:page;mso-position-vertical-relative:page;z-index:-287677440" type="#_x0000_t202" filled="false" stroked="false">
          <v:textbox inset="0,0,0,0">
            <w:txbxContent>
              <w:p>
                <w:pPr>
                  <w:pStyle w:val="BodyText"/>
                  <w:spacing w:line="251" w:lineRule="exact"/>
                  <w:ind w:left="20"/>
                </w:pPr>
                <w:r>
                  <w:rPr>
                    <w:w w:val="100"/>
                  </w:rPr>
                  <w:t> </w:t>
                </w:r>
              </w:p>
            </w:txbxContent>
          </v:textbox>
          <w10:wrap type="none"/>
        </v:shape>
      </w:pict>
    </w:r>
    <w:r>
      <w:rPr/>
      <w:pict>
        <v:shape style="position:absolute;margin-left:103.900002pt;margin-top:746.404968pt;width:7.3pt;height:12.6pt;mso-position-horizontal-relative:page;mso-position-vertical-relative:page;z-index:-287676416" type="#_x0000_t202" filled="false" stroked="false">
          <v:textbox inset="0,0,0,0">
            <w:txbxContent>
              <w:p>
                <w:pPr>
                  <w:pStyle w:val="BodyText"/>
                  <w:spacing w:line="251" w:lineRule="exact"/>
                  <w:ind w:left="20"/>
                </w:pPr>
                <w:r>
                  <w:rPr>
                    <w:w w:val="100"/>
                  </w:rPr>
                  <w:t> </w:t>
                </w:r>
              </w:p>
            </w:txbxContent>
          </v:textbox>
          <w10:wrap type="none"/>
        </v:shape>
      </w:pict>
    </w:r>
    <w:r>
      <w:rPr/>
      <w:pict>
        <v:shape style="position:absolute;margin-left:294.450012pt;margin-top:769.069458pt;width:18.4pt;height:11.4pt;mso-position-horizontal-relative:page;mso-position-vertical-relative:page;z-index:-28767539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868</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876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1230</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774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1240</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672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1250</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569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1260</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467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1270</w:t>
                </w:r>
                <w:r>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364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1280</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262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1290</w:t>
                </w:r>
                <w:r>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4160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1300</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5"/>
      </w:rPr>
    </w:pPr>
    <w:r>
      <w:rPr/>
      <w:pict>
        <v:shape style="position:absolute;margin-left:292.170013pt;margin-top:769.069458pt;width:23pt;height:11.4pt;mso-position-horizontal-relative:page;mso-position-vertical-relative:page;z-index:-28764057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1316</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92.170013pt;margin-top:769.069458pt;width:23pt;height:11.4pt;mso-position-horizontal-relative:page;mso-position-vertical-relative:page;z-index:-28763955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1323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450012pt;margin-top:769.069458pt;width:18.4pt;height:11.4pt;mso-position-horizontal-relative:page;mso-position-vertical-relative:page;z-index:-28767436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870</w:t>
                </w:r>
                <w:r>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852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1330</w:t>
                </w:r>
                <w:r>
                  <w:rPr/>
                  <w:fldChar w:fldCharType="end"/>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750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1340</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648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1350</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545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1360</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443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1370</w:t>
                </w:r>
                <w:r>
                  <w:rPr/>
                  <w:fldChar w:fldCharType="end"/>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340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1380</w:t>
                </w:r>
                <w:r>
                  <w:rPr/>
                  <w:fldChar w:fldCharType="end"/>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238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1390</w:t>
                </w:r>
                <w:r>
                  <w:rPr/>
                  <w:fldChar w:fldCharType="end"/>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3136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1400</w:t>
                </w:r>
                <w:r>
                  <w:rPr/>
                  <w:fldChar w:fldCharType="end"/>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5"/>
      </w:rPr>
    </w:pPr>
    <w:r>
      <w:rPr/>
      <w:pict>
        <v:shape style="position:absolute;margin-left:292.170013pt;margin-top:769.069458pt;width:23pt;height:11.4pt;mso-position-horizontal-relative:page;mso-position-vertical-relative:page;z-index:-28763033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1418</w:t>
                </w:r>
                <w:r>
                  <w:rPr/>
                  <w:fldChar w:fldCharType="end"/>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931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1420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7334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1000</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828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1430</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726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1440</w:t>
                </w:r>
                <w:r>
                  <w:rPr/>
                  <w:fldChar w:fldCharType="end"/>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624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1450</w:t>
                </w:r>
                <w:r>
                  <w:rPr/>
                  <w:fldChar w:fldCharType="end"/>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521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1460</w:t>
                </w:r>
                <w:r>
                  <w:rPr/>
                  <w:fldChar w:fldCharType="end"/>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419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1470</w:t>
                </w:r>
                <w:r>
                  <w:rPr/>
                  <w:fldChar w:fldCharType="end"/>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316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1474</w:t>
                </w:r>
                <w:r>
                  <w:rPr/>
                  <w:fldChar w:fldCharType="end"/>
                </w:r>
              </w:p>
            </w:txbxContent>
          </v:textbox>
          <w10:wrap type="non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214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1480</w:t>
                </w:r>
                <w:r>
                  <w:rPr/>
                  <w:fldChar w:fldCharType="end"/>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112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1490</w:t>
                </w:r>
                <w:r>
                  <w:rPr/>
                  <w:fldChar w:fldCharType="end"/>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2009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1500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7232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1010</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13.209991pt;margin-top:715.924988pt;width:7.3pt;height:50pt;mso-position-horizontal-relative:page;mso-position-vertical-relative:page;z-index:-287619072" type="#_x0000_t202" filled="false" stroked="false">
          <v:textbox inset="0,0,0,0">
            <w:txbxContent>
              <w:p>
                <w:pPr>
                  <w:spacing w:line="261" w:lineRule="exact" w:before="0"/>
                  <w:ind w:left="20" w:right="0" w:firstLine="0"/>
                  <w:jc w:val="left"/>
                  <w:rPr>
                    <w:b/>
                    <w:sz w:val="21"/>
                  </w:rPr>
                </w:pPr>
                <w:r>
                  <w:rPr>
                    <w:b/>
                    <w:w w:val="99"/>
                    <w:sz w:val="21"/>
                  </w:rPr>
                  <w:t> </w:t>
                </w:r>
              </w:p>
              <w:p>
                <w:pPr>
                  <w:spacing w:before="105"/>
                  <w:ind w:left="20" w:right="0" w:firstLine="0"/>
                  <w:jc w:val="left"/>
                  <w:rPr>
                    <w:b/>
                    <w:sz w:val="21"/>
                  </w:rPr>
                </w:pPr>
                <w:r>
                  <w:rPr>
                    <w:b/>
                    <w:w w:val="99"/>
                    <w:sz w:val="21"/>
                  </w:rPr>
                  <w:t> </w:t>
                </w:r>
              </w:p>
              <w:p>
                <w:pPr>
                  <w:spacing w:line="260" w:lineRule="exact" w:before="105"/>
                  <w:ind w:left="20" w:right="0" w:firstLine="0"/>
                  <w:jc w:val="left"/>
                  <w:rPr>
                    <w:b/>
                    <w:sz w:val="21"/>
                  </w:rPr>
                </w:pPr>
                <w:r>
                  <w:rPr>
                    <w:b/>
                    <w:w w:val="99"/>
                    <w:sz w:val="21"/>
                  </w:rPr>
                  <w:t> </w:t>
                </w:r>
              </w:p>
            </w:txbxContent>
          </v:textbox>
          <w10:wrap type="none"/>
        </v:shape>
      </w:pict>
    </w:r>
    <w:r>
      <w:rPr/>
      <w:pict>
        <v:shape style="position:absolute;margin-left:292.170013pt;margin-top:769.069458pt;width:23pt;height:11.4pt;mso-position-horizontal-relative:page;mso-position-vertical-relative:page;z-index:-28761804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1507</w:t>
                </w:r>
                <w:r>
                  <w:rPr/>
                  <w:fldChar w:fldCharType="end"/>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170013pt;margin-top:769.069458pt;width:21pt;height:11.4pt;mso-position-horizontal-relative:page;mso-position-vertical-relative:page;z-index:-287617024" type="#_x0000_t202" filled="false" stroked="false">
          <v:textbox inset="0,0,0,0">
            <w:txbxContent>
              <w:p>
                <w:pPr>
                  <w:spacing w:line="228" w:lineRule="exact" w:before="0"/>
                  <w:ind w:left="20" w:right="0" w:firstLine="0"/>
                  <w:jc w:val="left"/>
                  <w:rPr>
                    <w:rFonts w:ascii="等线"/>
                    <w:sz w:val="18"/>
                  </w:rPr>
                </w:pPr>
                <w:r>
                  <w:rPr>
                    <w:rFonts w:ascii="等线"/>
                    <w:sz w:val="18"/>
                  </w:rPr>
                  <w:t>1509</w:t>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170013pt;margin-top:769.069458pt;width:21pt;height:11.4pt;mso-position-horizontal-relative:page;mso-position-vertical-relative:page;z-index:-287616000" type="#_x0000_t202" filled="false" stroked="false">
          <v:textbox inset="0,0,0,0">
            <w:txbxContent>
              <w:p>
                <w:pPr>
                  <w:spacing w:line="228" w:lineRule="exact" w:before="0"/>
                  <w:ind w:left="20" w:right="0" w:firstLine="0"/>
                  <w:jc w:val="left"/>
                  <w:rPr>
                    <w:rFonts w:ascii="等线"/>
                    <w:sz w:val="18"/>
                  </w:rPr>
                </w:pPr>
                <w:r>
                  <w:rPr>
                    <w:rFonts w:ascii="等线"/>
                    <w:sz w:val="18"/>
                  </w:rPr>
                  <w:t>1510</w:t>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1497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1511</w:t>
                </w:r>
                <w:r>
                  <w:rPr/>
                  <w:fldChar w:fldCharType="end"/>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1395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1520</w:t>
                </w:r>
                <w:r>
                  <w:rPr/>
                  <w:fldChar w:fldCharType="end"/>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1292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1530</w:t>
                </w:r>
                <w:r>
                  <w:rPr/>
                  <w:fldChar w:fldCharType="end"/>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1190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1540</w:t>
                </w:r>
                <w:r>
                  <w:rPr/>
                  <w:fldChar w:fldCharType="end"/>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1088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1550</w:t>
                </w:r>
                <w:r>
                  <w:rPr/>
                  <w:fldChar w:fldCharType="end"/>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985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1560</w:t>
                </w:r>
                <w:r>
                  <w:rPr/>
                  <w:fldChar w:fldCharType="end"/>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883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1570</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7129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1020</w:t>
                </w:r>
                <w:r>
                  <w:rPr/>
                  <w:fldChar w:fldCharType="end"/>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780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1580</w:t>
                </w:r>
                <w:r>
                  <w:rPr/>
                  <w:fldChar w:fldCharType="end"/>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678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1582</w:t>
                </w:r>
                <w:r>
                  <w:rPr/>
                  <w:fldChar w:fldCharType="end"/>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576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1590</w:t>
                </w:r>
                <w:r>
                  <w:rPr/>
                  <w:fldChar w:fldCharType="end"/>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14.459999pt;margin-top:752.404968pt;width:7.3pt;height:12.6pt;mso-position-horizontal-relative:page;mso-position-vertical-relative:page;z-index:-287604736" type="#_x0000_t202" filled="false" stroked="false">
          <v:textbox inset="0,0,0,0">
            <w:txbxContent>
              <w:p>
                <w:pPr>
                  <w:pStyle w:val="BodyText"/>
                  <w:spacing w:line="251" w:lineRule="exact"/>
                  <w:ind w:left="20"/>
                </w:pPr>
                <w:r>
                  <w:rPr>
                    <w:w w:val="100"/>
                  </w:rPr>
                  <w:t> </w:t>
                </w:r>
              </w:p>
            </w:txbxContent>
          </v:textbox>
          <w10:wrap type="none"/>
        </v:shape>
      </w:pict>
    </w:r>
    <w:r>
      <w:rPr/>
      <w:pict>
        <v:shape style="position:absolute;margin-left:292.170013pt;margin-top:769.069458pt;width:23pt;height:11.4pt;mso-position-horizontal-relative:page;mso-position-vertical-relative:page;z-index:-28760371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1594</w:t>
                </w:r>
                <w:r>
                  <w:rPr/>
                  <w:fldChar w:fldCharType="end"/>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268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1596</w:t>
                </w:r>
                <w:r>
                  <w:rPr/>
                  <w:fldChar w:fldCharType="end"/>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166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1600</w:t>
                </w:r>
                <w:r>
                  <w:rPr/>
                  <w:fldChar w:fldCharType="end"/>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0064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1610</w:t>
                </w:r>
                <w:r>
                  <w:rPr/>
                  <w:fldChar w:fldCharType="end"/>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961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1620</w:t>
                </w:r>
                <w:r>
                  <w:rPr/>
                  <w:fldChar w:fldCharType="end"/>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859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1630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7027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1030</w:t>
                </w:r>
                <w:r>
                  <w:rPr/>
                  <w:fldChar w:fldCharType="end"/>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756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1640</w:t>
                </w:r>
                <w:r>
                  <w:rPr/>
                  <w:fldChar w:fldCharType="end"/>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654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1650</w:t>
                </w:r>
                <w:r>
                  <w:rPr/>
                  <w:fldChar w:fldCharType="end"/>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5520"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1660</w:t>
                </w:r>
                <w:r>
                  <w:rPr/>
                  <w:fldChar w:fldCharType="end"/>
                </w:r>
              </w:p>
            </w:txbxContent>
          </v:textbox>
          <w10:wrap type="non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4496"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1670</w:t>
                </w:r>
                <w:r>
                  <w:rPr/>
                  <w:fldChar w:fldCharType="end"/>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3472"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1680</w:t>
                </w:r>
                <w:r>
                  <w:rPr/>
                  <w:fldChar w:fldCharType="end"/>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244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1690</w:t>
                </w:r>
                <w:r>
                  <w:rPr/>
                  <w:fldChar w:fldCharType="end"/>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591424"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1700</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170013pt;margin-top:769.069458pt;width:23pt;height:11.4pt;mso-position-horizontal-relative:page;mso-position-vertical-relative:page;z-index:-287669248" type="#_x0000_t202" filled="false" stroked="false">
          <v:textbox inset="0,0,0,0">
            <w:txbxContent>
              <w:p>
                <w:pPr>
                  <w:spacing w:line="228" w:lineRule="exact" w:before="0"/>
                  <w:ind w:left="40" w:right="0" w:firstLine="0"/>
                  <w:jc w:val="left"/>
                  <w:rPr>
                    <w:rFonts w:ascii="等线"/>
                    <w:sz w:val="18"/>
                  </w:rPr>
                </w:pPr>
                <w:r>
                  <w:rPr/>
                  <w:fldChar w:fldCharType="begin"/>
                </w:r>
                <w:r>
                  <w:rPr>
                    <w:rFonts w:ascii="等线"/>
                    <w:sz w:val="18"/>
                  </w:rPr>
                  <w:instrText> PAGE </w:instrText>
                </w:r>
                <w:r>
                  <w:rPr/>
                  <w:fldChar w:fldCharType="separate"/>
                </w:r>
                <w:r>
                  <w:rPr/>
                  <w:t>1040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4">
    <w:multiLevelType w:val="hybridMultilevel"/>
    <w:lvl w:ilvl="0">
      <w:start w:val="5"/>
      <w:numFmt w:val="decimal"/>
      <w:lvlText w:val="%1"/>
      <w:lvlJc w:val="left"/>
      <w:pPr>
        <w:ind w:left="418" w:hanging="425"/>
        <w:jc w:val="left"/>
      </w:pPr>
      <w:rPr>
        <w:rFonts w:hint="default"/>
        <w:lang w:val="zh-CN" w:eastAsia="zh-CN" w:bidi="zh-CN"/>
      </w:rPr>
    </w:lvl>
    <w:lvl w:ilvl="1">
      <w:start w:val="18"/>
      <w:numFmt w:val="decimal"/>
      <w:lvlText w:val="%1.%2"/>
      <w:lvlJc w:val="left"/>
      <w:pPr>
        <w:ind w:left="418" w:hanging="425"/>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425"/>
      </w:pPr>
      <w:rPr>
        <w:rFonts w:hint="default"/>
        <w:lang w:val="zh-CN" w:eastAsia="zh-CN" w:bidi="zh-CN"/>
      </w:rPr>
    </w:lvl>
    <w:lvl w:ilvl="3">
      <w:start w:val="0"/>
      <w:numFmt w:val="bullet"/>
      <w:lvlText w:val="•"/>
      <w:lvlJc w:val="left"/>
      <w:pPr>
        <w:ind w:left="3487" w:hanging="425"/>
      </w:pPr>
      <w:rPr>
        <w:rFonts w:hint="default"/>
        <w:lang w:val="zh-CN" w:eastAsia="zh-CN" w:bidi="zh-CN"/>
      </w:rPr>
    </w:lvl>
    <w:lvl w:ilvl="4">
      <w:start w:val="0"/>
      <w:numFmt w:val="bullet"/>
      <w:lvlText w:val="•"/>
      <w:lvlJc w:val="left"/>
      <w:pPr>
        <w:ind w:left="4510" w:hanging="425"/>
      </w:pPr>
      <w:rPr>
        <w:rFonts w:hint="default"/>
        <w:lang w:val="zh-CN" w:eastAsia="zh-CN" w:bidi="zh-CN"/>
      </w:rPr>
    </w:lvl>
    <w:lvl w:ilvl="5">
      <w:start w:val="0"/>
      <w:numFmt w:val="bullet"/>
      <w:lvlText w:val="•"/>
      <w:lvlJc w:val="left"/>
      <w:pPr>
        <w:ind w:left="5533" w:hanging="425"/>
      </w:pPr>
      <w:rPr>
        <w:rFonts w:hint="default"/>
        <w:lang w:val="zh-CN" w:eastAsia="zh-CN" w:bidi="zh-CN"/>
      </w:rPr>
    </w:lvl>
    <w:lvl w:ilvl="6">
      <w:start w:val="0"/>
      <w:numFmt w:val="bullet"/>
      <w:lvlText w:val="•"/>
      <w:lvlJc w:val="left"/>
      <w:pPr>
        <w:ind w:left="6555" w:hanging="425"/>
      </w:pPr>
      <w:rPr>
        <w:rFonts w:hint="default"/>
        <w:lang w:val="zh-CN" w:eastAsia="zh-CN" w:bidi="zh-CN"/>
      </w:rPr>
    </w:lvl>
    <w:lvl w:ilvl="7">
      <w:start w:val="0"/>
      <w:numFmt w:val="bullet"/>
      <w:lvlText w:val="•"/>
      <w:lvlJc w:val="left"/>
      <w:pPr>
        <w:ind w:left="7578" w:hanging="425"/>
      </w:pPr>
      <w:rPr>
        <w:rFonts w:hint="default"/>
        <w:lang w:val="zh-CN" w:eastAsia="zh-CN" w:bidi="zh-CN"/>
      </w:rPr>
    </w:lvl>
    <w:lvl w:ilvl="8">
      <w:start w:val="0"/>
      <w:numFmt w:val="bullet"/>
      <w:lvlText w:val="•"/>
      <w:lvlJc w:val="left"/>
      <w:pPr>
        <w:ind w:left="8601" w:hanging="425"/>
      </w:pPr>
      <w:rPr>
        <w:rFonts w:hint="default"/>
        <w:lang w:val="zh-CN" w:eastAsia="zh-CN" w:bidi="zh-CN"/>
      </w:rPr>
    </w:lvl>
  </w:abstractNum>
  <w:abstractNum w:abstractNumId="983">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82">
    <w:multiLevelType w:val="hybridMultilevel"/>
    <w:lvl w:ilvl="0">
      <w:start w:val="4"/>
      <w:numFmt w:val="decimal"/>
      <w:lvlText w:val="%1"/>
      <w:lvlJc w:val="left"/>
      <w:pPr>
        <w:ind w:left="1159" w:hanging="320"/>
        <w:jc w:val="left"/>
      </w:pPr>
      <w:rPr>
        <w:rFonts w:hint="default"/>
        <w:lang w:val="zh-CN" w:eastAsia="zh-CN" w:bidi="zh-CN"/>
      </w:rPr>
    </w:lvl>
    <w:lvl w:ilvl="1">
      <w:start w:val="3"/>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981">
    <w:multiLevelType w:val="hybridMultilevel"/>
    <w:lvl w:ilvl="0">
      <w:start w:val="4"/>
      <w:numFmt w:val="decimal"/>
      <w:lvlText w:val="%1"/>
      <w:lvlJc w:val="left"/>
      <w:pPr>
        <w:ind w:left="1575" w:hanging="738"/>
        <w:jc w:val="left"/>
      </w:pPr>
      <w:rPr>
        <w:rFonts w:hint="default"/>
        <w:lang w:val="zh-CN" w:eastAsia="zh-CN" w:bidi="zh-CN"/>
      </w:rPr>
    </w:lvl>
    <w:lvl w:ilvl="1">
      <w:start w:val="2"/>
      <w:numFmt w:val="decimal"/>
      <w:lvlText w:val="%1.%2"/>
      <w:lvlJc w:val="left"/>
      <w:pPr>
        <w:ind w:left="1575" w:hanging="738"/>
        <w:jc w:val="left"/>
      </w:pPr>
      <w:rPr>
        <w:rFonts w:hint="default"/>
        <w:lang w:val="zh-CN" w:eastAsia="zh-CN" w:bidi="zh-CN"/>
      </w:rPr>
    </w:lvl>
    <w:lvl w:ilvl="2">
      <w:start w:val="3"/>
      <w:numFmt w:val="decimal"/>
      <w:lvlText w:val="%1.%2.%3"/>
      <w:lvlJc w:val="left"/>
      <w:pPr>
        <w:ind w:left="1575" w:hanging="738"/>
        <w:jc w:val="left"/>
      </w:pPr>
      <w:rPr>
        <w:rFonts w:hint="default"/>
        <w:lang w:val="zh-CN" w:eastAsia="zh-CN" w:bidi="zh-CN"/>
      </w:rPr>
    </w:lvl>
    <w:lvl w:ilvl="3">
      <w:start w:val="4"/>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980">
    <w:multiLevelType w:val="hybridMultilevel"/>
    <w:lvl w:ilvl="0">
      <w:start w:val="2"/>
      <w:numFmt w:val="lowerLetter"/>
      <w:lvlText w:val="%1)"/>
      <w:lvlJc w:val="left"/>
      <w:pPr>
        <w:ind w:left="1055"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979">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978">
    <w:multiLevelType w:val="hybridMultilevel"/>
    <w:lvl w:ilvl="0">
      <w:start w:val="3"/>
      <w:numFmt w:val="decimal"/>
      <w:lvlText w:val="%1"/>
      <w:lvlJc w:val="left"/>
      <w:pPr>
        <w:ind w:left="838" w:hanging="372"/>
        <w:jc w:val="left"/>
      </w:pPr>
      <w:rPr>
        <w:rFonts w:hint="default"/>
        <w:lang w:val="zh-CN" w:eastAsia="zh-CN" w:bidi="zh-CN"/>
      </w:rPr>
    </w:lvl>
    <w:lvl w:ilvl="1">
      <w:start w:val="1"/>
      <w:numFmt w:val="decimal"/>
      <w:lvlText w:val="%1.%2"/>
      <w:lvlJc w:val="left"/>
      <w:pPr>
        <w:ind w:left="838"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2801" w:hanging="372"/>
      </w:pPr>
      <w:rPr>
        <w:rFonts w:hint="default"/>
        <w:lang w:val="zh-CN" w:eastAsia="zh-CN" w:bidi="zh-CN"/>
      </w:rPr>
    </w:lvl>
    <w:lvl w:ilvl="3">
      <w:start w:val="0"/>
      <w:numFmt w:val="bullet"/>
      <w:lvlText w:val="•"/>
      <w:lvlJc w:val="left"/>
      <w:pPr>
        <w:ind w:left="3781" w:hanging="372"/>
      </w:pPr>
      <w:rPr>
        <w:rFonts w:hint="default"/>
        <w:lang w:val="zh-CN" w:eastAsia="zh-CN" w:bidi="zh-CN"/>
      </w:rPr>
    </w:lvl>
    <w:lvl w:ilvl="4">
      <w:start w:val="0"/>
      <w:numFmt w:val="bullet"/>
      <w:lvlText w:val="•"/>
      <w:lvlJc w:val="left"/>
      <w:pPr>
        <w:ind w:left="4762" w:hanging="372"/>
      </w:pPr>
      <w:rPr>
        <w:rFonts w:hint="default"/>
        <w:lang w:val="zh-CN" w:eastAsia="zh-CN" w:bidi="zh-CN"/>
      </w:rPr>
    </w:lvl>
    <w:lvl w:ilvl="5">
      <w:start w:val="0"/>
      <w:numFmt w:val="bullet"/>
      <w:lvlText w:val="•"/>
      <w:lvlJc w:val="left"/>
      <w:pPr>
        <w:ind w:left="5743" w:hanging="372"/>
      </w:pPr>
      <w:rPr>
        <w:rFonts w:hint="default"/>
        <w:lang w:val="zh-CN" w:eastAsia="zh-CN" w:bidi="zh-CN"/>
      </w:rPr>
    </w:lvl>
    <w:lvl w:ilvl="6">
      <w:start w:val="0"/>
      <w:numFmt w:val="bullet"/>
      <w:lvlText w:val="•"/>
      <w:lvlJc w:val="left"/>
      <w:pPr>
        <w:ind w:left="6723" w:hanging="372"/>
      </w:pPr>
      <w:rPr>
        <w:rFonts w:hint="default"/>
        <w:lang w:val="zh-CN" w:eastAsia="zh-CN" w:bidi="zh-CN"/>
      </w:rPr>
    </w:lvl>
    <w:lvl w:ilvl="7">
      <w:start w:val="0"/>
      <w:numFmt w:val="bullet"/>
      <w:lvlText w:val="•"/>
      <w:lvlJc w:val="left"/>
      <w:pPr>
        <w:ind w:left="7704" w:hanging="372"/>
      </w:pPr>
      <w:rPr>
        <w:rFonts w:hint="default"/>
        <w:lang w:val="zh-CN" w:eastAsia="zh-CN" w:bidi="zh-CN"/>
      </w:rPr>
    </w:lvl>
    <w:lvl w:ilvl="8">
      <w:start w:val="0"/>
      <w:numFmt w:val="bullet"/>
      <w:lvlText w:val="•"/>
      <w:lvlJc w:val="left"/>
      <w:pPr>
        <w:ind w:left="8685" w:hanging="372"/>
      </w:pPr>
      <w:rPr>
        <w:rFonts w:hint="default"/>
        <w:lang w:val="zh-CN" w:eastAsia="zh-CN" w:bidi="zh-CN"/>
      </w:rPr>
    </w:lvl>
  </w:abstractNum>
  <w:abstractNum w:abstractNumId="977">
    <w:multiLevelType w:val="hybridMultilevel"/>
    <w:lvl w:ilvl="0">
      <w:start w:val="3"/>
      <w:numFmt w:val="lowerLetter"/>
      <w:lvlText w:val="%1）"/>
      <w:lvlJc w:val="left"/>
      <w:pPr>
        <w:ind w:left="1198" w:hanging="360"/>
        <w:jc w:val="left"/>
      </w:pPr>
      <w:rPr>
        <w:rFonts w:hint="default" w:ascii="宋体" w:hAnsi="宋体" w:eastAsia="宋体" w:cs="宋体"/>
        <w:w w:val="100"/>
        <w:sz w:val="21"/>
        <w:szCs w:val="21"/>
        <w:lang w:val="zh-CN" w:eastAsia="zh-CN" w:bidi="zh-CN"/>
      </w:rPr>
    </w:lvl>
    <w:lvl w:ilvl="1">
      <w:start w:val="0"/>
      <w:numFmt w:val="bullet"/>
      <w:lvlText w:val="•"/>
      <w:lvlJc w:val="left"/>
      <w:pPr>
        <w:ind w:left="2144" w:hanging="360"/>
      </w:pPr>
      <w:rPr>
        <w:rFonts w:hint="default"/>
        <w:lang w:val="zh-CN" w:eastAsia="zh-CN" w:bidi="zh-CN"/>
      </w:rPr>
    </w:lvl>
    <w:lvl w:ilvl="2">
      <w:start w:val="0"/>
      <w:numFmt w:val="bullet"/>
      <w:lvlText w:val="•"/>
      <w:lvlJc w:val="left"/>
      <w:pPr>
        <w:ind w:left="3089" w:hanging="360"/>
      </w:pPr>
      <w:rPr>
        <w:rFonts w:hint="default"/>
        <w:lang w:val="zh-CN" w:eastAsia="zh-CN" w:bidi="zh-CN"/>
      </w:rPr>
    </w:lvl>
    <w:lvl w:ilvl="3">
      <w:start w:val="0"/>
      <w:numFmt w:val="bullet"/>
      <w:lvlText w:val="•"/>
      <w:lvlJc w:val="left"/>
      <w:pPr>
        <w:ind w:left="4033" w:hanging="360"/>
      </w:pPr>
      <w:rPr>
        <w:rFonts w:hint="default"/>
        <w:lang w:val="zh-CN" w:eastAsia="zh-CN" w:bidi="zh-CN"/>
      </w:rPr>
    </w:lvl>
    <w:lvl w:ilvl="4">
      <w:start w:val="0"/>
      <w:numFmt w:val="bullet"/>
      <w:lvlText w:val="•"/>
      <w:lvlJc w:val="left"/>
      <w:pPr>
        <w:ind w:left="4978" w:hanging="360"/>
      </w:pPr>
      <w:rPr>
        <w:rFonts w:hint="default"/>
        <w:lang w:val="zh-CN" w:eastAsia="zh-CN" w:bidi="zh-CN"/>
      </w:rPr>
    </w:lvl>
    <w:lvl w:ilvl="5">
      <w:start w:val="0"/>
      <w:numFmt w:val="bullet"/>
      <w:lvlText w:val="•"/>
      <w:lvlJc w:val="left"/>
      <w:pPr>
        <w:ind w:left="5923" w:hanging="360"/>
      </w:pPr>
      <w:rPr>
        <w:rFonts w:hint="default"/>
        <w:lang w:val="zh-CN" w:eastAsia="zh-CN" w:bidi="zh-CN"/>
      </w:rPr>
    </w:lvl>
    <w:lvl w:ilvl="6">
      <w:start w:val="0"/>
      <w:numFmt w:val="bullet"/>
      <w:lvlText w:val="•"/>
      <w:lvlJc w:val="left"/>
      <w:pPr>
        <w:ind w:left="6867" w:hanging="360"/>
      </w:pPr>
      <w:rPr>
        <w:rFonts w:hint="default"/>
        <w:lang w:val="zh-CN" w:eastAsia="zh-CN" w:bidi="zh-CN"/>
      </w:rPr>
    </w:lvl>
    <w:lvl w:ilvl="7">
      <w:start w:val="0"/>
      <w:numFmt w:val="bullet"/>
      <w:lvlText w:val="•"/>
      <w:lvlJc w:val="left"/>
      <w:pPr>
        <w:ind w:left="7812" w:hanging="360"/>
      </w:pPr>
      <w:rPr>
        <w:rFonts w:hint="default"/>
        <w:lang w:val="zh-CN" w:eastAsia="zh-CN" w:bidi="zh-CN"/>
      </w:rPr>
    </w:lvl>
    <w:lvl w:ilvl="8">
      <w:start w:val="0"/>
      <w:numFmt w:val="bullet"/>
      <w:lvlText w:val="•"/>
      <w:lvlJc w:val="left"/>
      <w:pPr>
        <w:ind w:left="8757" w:hanging="360"/>
      </w:pPr>
      <w:rPr>
        <w:rFonts w:hint="default"/>
        <w:lang w:val="zh-CN" w:eastAsia="zh-CN" w:bidi="zh-CN"/>
      </w:rPr>
    </w:lvl>
  </w:abstractNum>
  <w:abstractNum w:abstractNumId="976">
    <w:multiLevelType w:val="hybridMultilevel"/>
    <w:lvl w:ilvl="0">
      <w:start w:val="5"/>
      <w:numFmt w:val="decimal"/>
      <w:lvlText w:val="%1"/>
      <w:lvlJc w:val="left"/>
      <w:pPr>
        <w:ind w:left="418" w:hanging="531"/>
        <w:jc w:val="left"/>
      </w:pPr>
      <w:rPr>
        <w:rFonts w:hint="default"/>
        <w:lang w:val="zh-CN" w:eastAsia="zh-CN" w:bidi="zh-CN"/>
      </w:rPr>
    </w:lvl>
    <w:lvl w:ilvl="1">
      <w:start w:val="2"/>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975">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562" w:hanging="720"/>
        <w:jc w:val="left"/>
      </w:pPr>
      <w:rPr>
        <w:rFonts w:hint="default" w:ascii="宋体" w:hAnsi="宋体" w:eastAsia="宋体" w:cs="宋体"/>
        <w:b/>
        <w:bCs/>
        <w:w w:val="99"/>
        <w:sz w:val="21"/>
        <w:szCs w:val="21"/>
        <w:lang w:val="zh-CN" w:eastAsia="zh-CN" w:bidi="zh-CN"/>
      </w:rPr>
    </w:lvl>
    <w:lvl w:ilvl="3">
      <w:start w:val="0"/>
      <w:numFmt w:val="bullet"/>
      <w:lvlText w:val="•"/>
      <w:lvlJc w:val="left"/>
      <w:pPr>
        <w:ind w:left="3579" w:hanging="720"/>
      </w:pPr>
      <w:rPr>
        <w:rFonts w:hint="default"/>
        <w:lang w:val="zh-CN" w:eastAsia="zh-CN" w:bidi="zh-CN"/>
      </w:rPr>
    </w:lvl>
    <w:lvl w:ilvl="4">
      <w:start w:val="0"/>
      <w:numFmt w:val="bullet"/>
      <w:lvlText w:val="•"/>
      <w:lvlJc w:val="left"/>
      <w:pPr>
        <w:ind w:left="4588" w:hanging="720"/>
      </w:pPr>
      <w:rPr>
        <w:rFonts w:hint="default"/>
        <w:lang w:val="zh-CN" w:eastAsia="zh-CN" w:bidi="zh-CN"/>
      </w:rPr>
    </w:lvl>
    <w:lvl w:ilvl="5">
      <w:start w:val="0"/>
      <w:numFmt w:val="bullet"/>
      <w:lvlText w:val="•"/>
      <w:lvlJc w:val="left"/>
      <w:pPr>
        <w:ind w:left="5598" w:hanging="720"/>
      </w:pPr>
      <w:rPr>
        <w:rFonts w:hint="default"/>
        <w:lang w:val="zh-CN" w:eastAsia="zh-CN" w:bidi="zh-CN"/>
      </w:rPr>
    </w:lvl>
    <w:lvl w:ilvl="6">
      <w:start w:val="0"/>
      <w:numFmt w:val="bullet"/>
      <w:lvlText w:val="•"/>
      <w:lvlJc w:val="left"/>
      <w:pPr>
        <w:ind w:left="6608" w:hanging="720"/>
      </w:pPr>
      <w:rPr>
        <w:rFonts w:hint="default"/>
        <w:lang w:val="zh-CN" w:eastAsia="zh-CN" w:bidi="zh-CN"/>
      </w:rPr>
    </w:lvl>
    <w:lvl w:ilvl="7">
      <w:start w:val="0"/>
      <w:numFmt w:val="bullet"/>
      <w:lvlText w:val="•"/>
      <w:lvlJc w:val="left"/>
      <w:pPr>
        <w:ind w:left="7617" w:hanging="720"/>
      </w:pPr>
      <w:rPr>
        <w:rFonts w:hint="default"/>
        <w:lang w:val="zh-CN" w:eastAsia="zh-CN" w:bidi="zh-CN"/>
      </w:rPr>
    </w:lvl>
    <w:lvl w:ilvl="8">
      <w:start w:val="0"/>
      <w:numFmt w:val="bullet"/>
      <w:lvlText w:val="•"/>
      <w:lvlJc w:val="left"/>
      <w:pPr>
        <w:ind w:left="8627" w:hanging="720"/>
      </w:pPr>
      <w:rPr>
        <w:rFonts w:hint="default"/>
        <w:lang w:val="zh-CN" w:eastAsia="zh-CN" w:bidi="zh-CN"/>
      </w:rPr>
    </w:lvl>
  </w:abstractNum>
  <w:abstractNum w:abstractNumId="974">
    <w:multiLevelType w:val="hybridMultilevel"/>
    <w:lvl w:ilvl="0">
      <w:start w:val="3"/>
      <w:numFmt w:val="decimal"/>
      <w:lvlText w:val="%1"/>
      <w:lvlJc w:val="left"/>
      <w:pPr>
        <w:ind w:left="418" w:hanging="318"/>
        <w:jc w:val="left"/>
      </w:pPr>
      <w:rPr>
        <w:rFonts w:hint="default"/>
        <w:lang w:val="zh-CN" w:eastAsia="zh-CN" w:bidi="zh-CN"/>
      </w:rPr>
    </w:lvl>
    <w:lvl w:ilvl="1">
      <w:start w:val="1"/>
      <w:numFmt w:val="decimal"/>
      <w:lvlText w:val="%1.%2"/>
      <w:lvlJc w:val="left"/>
      <w:pPr>
        <w:ind w:left="41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973">
    <w:multiLevelType w:val="hybridMultilevel"/>
    <w:lvl w:ilvl="0">
      <w:start w:val="3"/>
      <w:numFmt w:val="lowerLetter"/>
      <w:lvlText w:val="%1）"/>
      <w:lvlJc w:val="left"/>
      <w:pPr>
        <w:ind w:left="1160"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72">
    <w:multiLevelType w:val="hybridMultilevel"/>
    <w:lvl w:ilvl="0">
      <w:start w:val="5"/>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971">
    <w:multiLevelType w:val="hybridMultilevel"/>
    <w:lvl w:ilvl="0">
      <w:start w:val="4"/>
      <w:numFmt w:val="decimal"/>
      <w:lvlText w:val="%1"/>
      <w:lvlJc w:val="left"/>
      <w:pPr>
        <w:ind w:left="1370" w:hanging="531"/>
        <w:jc w:val="left"/>
      </w:pPr>
      <w:rPr>
        <w:rFonts w:hint="default"/>
        <w:lang w:val="zh-CN" w:eastAsia="zh-CN" w:bidi="zh-CN"/>
      </w:rPr>
    </w:lvl>
    <w:lvl w:ilvl="1">
      <w:start w:val="5"/>
      <w:numFmt w:val="decimal"/>
      <w:lvlText w:val="%1.%2"/>
      <w:lvlJc w:val="left"/>
      <w:pPr>
        <w:ind w:left="1370" w:hanging="531"/>
        <w:jc w:val="left"/>
      </w:pPr>
      <w:rPr>
        <w:rFonts w:hint="default"/>
        <w:lang w:val="zh-CN" w:eastAsia="zh-CN" w:bidi="zh-CN"/>
      </w:rPr>
    </w:lvl>
    <w:lvl w:ilvl="2">
      <w:start w:val="2"/>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82" w:hanging="743"/>
        <w:jc w:val="left"/>
      </w:pPr>
      <w:rPr>
        <w:rFonts w:hint="default" w:ascii="宋体" w:hAnsi="宋体" w:eastAsia="宋体" w:cs="宋体"/>
        <w:b/>
        <w:bCs/>
        <w:spacing w:val="-3"/>
        <w:w w:val="99"/>
        <w:sz w:val="19"/>
        <w:szCs w:val="19"/>
        <w:lang w:val="zh-CN" w:eastAsia="zh-CN" w:bidi="zh-CN"/>
      </w:rPr>
    </w:lvl>
    <w:lvl w:ilvl="4">
      <w:start w:val="0"/>
      <w:numFmt w:val="bullet"/>
      <w:lvlText w:val="•"/>
      <w:lvlJc w:val="left"/>
      <w:pPr>
        <w:ind w:left="2280" w:hanging="743"/>
      </w:pPr>
      <w:rPr>
        <w:rFonts w:hint="default"/>
        <w:lang w:val="zh-CN" w:eastAsia="zh-CN" w:bidi="zh-CN"/>
      </w:rPr>
    </w:lvl>
    <w:lvl w:ilvl="5">
      <w:start w:val="0"/>
      <w:numFmt w:val="bullet"/>
      <w:lvlText w:val="•"/>
      <w:lvlJc w:val="left"/>
      <w:pPr>
        <w:ind w:left="2514" w:hanging="743"/>
      </w:pPr>
      <w:rPr>
        <w:rFonts w:hint="default"/>
        <w:lang w:val="zh-CN" w:eastAsia="zh-CN" w:bidi="zh-CN"/>
      </w:rPr>
    </w:lvl>
    <w:lvl w:ilvl="6">
      <w:start w:val="0"/>
      <w:numFmt w:val="bullet"/>
      <w:lvlText w:val="•"/>
      <w:lvlJc w:val="left"/>
      <w:pPr>
        <w:ind w:left="2748" w:hanging="743"/>
      </w:pPr>
      <w:rPr>
        <w:rFonts w:hint="default"/>
        <w:lang w:val="zh-CN" w:eastAsia="zh-CN" w:bidi="zh-CN"/>
      </w:rPr>
    </w:lvl>
    <w:lvl w:ilvl="7">
      <w:start w:val="0"/>
      <w:numFmt w:val="bullet"/>
      <w:lvlText w:val="•"/>
      <w:lvlJc w:val="left"/>
      <w:pPr>
        <w:ind w:left="2981" w:hanging="743"/>
      </w:pPr>
      <w:rPr>
        <w:rFonts w:hint="default"/>
        <w:lang w:val="zh-CN" w:eastAsia="zh-CN" w:bidi="zh-CN"/>
      </w:rPr>
    </w:lvl>
    <w:lvl w:ilvl="8">
      <w:start w:val="0"/>
      <w:numFmt w:val="bullet"/>
      <w:lvlText w:val="•"/>
      <w:lvlJc w:val="left"/>
      <w:pPr>
        <w:ind w:left="3215" w:hanging="743"/>
      </w:pPr>
      <w:rPr>
        <w:rFonts w:hint="default"/>
        <w:lang w:val="zh-CN" w:eastAsia="zh-CN" w:bidi="zh-CN"/>
      </w:rPr>
    </w:lvl>
  </w:abstractNum>
  <w:abstractNum w:abstractNumId="970">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969">
    <w:multiLevelType w:val="hybridMultilevel"/>
    <w:lvl w:ilvl="0">
      <w:start w:val="3"/>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68">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967">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66">
    <w:multiLevelType w:val="hybridMultilevel"/>
    <w:lvl w:ilvl="0">
      <w:start w:val="7"/>
      <w:numFmt w:val="decimal"/>
      <w:lvlText w:val="%1"/>
      <w:lvlJc w:val="left"/>
      <w:pPr>
        <w:ind w:left="418" w:hanging="389"/>
        <w:jc w:val="left"/>
      </w:pPr>
      <w:rPr>
        <w:rFonts w:hint="default"/>
        <w:lang w:val="zh-CN" w:eastAsia="zh-CN" w:bidi="zh-CN"/>
      </w:rPr>
    </w:lvl>
    <w:lvl w:ilvl="1">
      <w:start w:val="1"/>
      <w:numFmt w:val="decimal"/>
      <w:lvlText w:val="%1.%2"/>
      <w:lvlJc w:val="left"/>
      <w:pPr>
        <w:ind w:left="418" w:hanging="389"/>
        <w:jc w:val="left"/>
      </w:pPr>
      <w:rPr>
        <w:rFonts w:hint="default" w:ascii="宋体" w:hAnsi="宋体" w:eastAsia="宋体" w:cs="宋体"/>
        <w:b/>
        <w:bCs/>
        <w:w w:val="99"/>
        <w:sz w:val="21"/>
        <w:szCs w:val="21"/>
        <w:lang w:val="zh-CN" w:eastAsia="zh-CN" w:bidi="zh-CN"/>
      </w:rPr>
    </w:lvl>
    <w:lvl w:ilvl="2">
      <w:start w:val="0"/>
      <w:numFmt w:val="bullet"/>
      <w:lvlText w:val="•"/>
      <w:lvlJc w:val="left"/>
      <w:pPr>
        <w:ind w:left="2465" w:hanging="389"/>
      </w:pPr>
      <w:rPr>
        <w:rFonts w:hint="default"/>
        <w:lang w:val="zh-CN" w:eastAsia="zh-CN" w:bidi="zh-CN"/>
      </w:rPr>
    </w:lvl>
    <w:lvl w:ilvl="3">
      <w:start w:val="0"/>
      <w:numFmt w:val="bullet"/>
      <w:lvlText w:val="•"/>
      <w:lvlJc w:val="left"/>
      <w:pPr>
        <w:ind w:left="3487" w:hanging="389"/>
      </w:pPr>
      <w:rPr>
        <w:rFonts w:hint="default"/>
        <w:lang w:val="zh-CN" w:eastAsia="zh-CN" w:bidi="zh-CN"/>
      </w:rPr>
    </w:lvl>
    <w:lvl w:ilvl="4">
      <w:start w:val="0"/>
      <w:numFmt w:val="bullet"/>
      <w:lvlText w:val="•"/>
      <w:lvlJc w:val="left"/>
      <w:pPr>
        <w:ind w:left="4510" w:hanging="389"/>
      </w:pPr>
      <w:rPr>
        <w:rFonts w:hint="default"/>
        <w:lang w:val="zh-CN" w:eastAsia="zh-CN" w:bidi="zh-CN"/>
      </w:rPr>
    </w:lvl>
    <w:lvl w:ilvl="5">
      <w:start w:val="0"/>
      <w:numFmt w:val="bullet"/>
      <w:lvlText w:val="•"/>
      <w:lvlJc w:val="left"/>
      <w:pPr>
        <w:ind w:left="5533" w:hanging="389"/>
      </w:pPr>
      <w:rPr>
        <w:rFonts w:hint="default"/>
        <w:lang w:val="zh-CN" w:eastAsia="zh-CN" w:bidi="zh-CN"/>
      </w:rPr>
    </w:lvl>
    <w:lvl w:ilvl="6">
      <w:start w:val="0"/>
      <w:numFmt w:val="bullet"/>
      <w:lvlText w:val="•"/>
      <w:lvlJc w:val="left"/>
      <w:pPr>
        <w:ind w:left="6555" w:hanging="389"/>
      </w:pPr>
      <w:rPr>
        <w:rFonts w:hint="default"/>
        <w:lang w:val="zh-CN" w:eastAsia="zh-CN" w:bidi="zh-CN"/>
      </w:rPr>
    </w:lvl>
    <w:lvl w:ilvl="7">
      <w:start w:val="0"/>
      <w:numFmt w:val="bullet"/>
      <w:lvlText w:val="•"/>
      <w:lvlJc w:val="left"/>
      <w:pPr>
        <w:ind w:left="7578" w:hanging="389"/>
      </w:pPr>
      <w:rPr>
        <w:rFonts w:hint="default"/>
        <w:lang w:val="zh-CN" w:eastAsia="zh-CN" w:bidi="zh-CN"/>
      </w:rPr>
    </w:lvl>
    <w:lvl w:ilvl="8">
      <w:start w:val="0"/>
      <w:numFmt w:val="bullet"/>
      <w:lvlText w:val="•"/>
      <w:lvlJc w:val="left"/>
      <w:pPr>
        <w:ind w:left="8601" w:hanging="389"/>
      </w:pPr>
      <w:rPr>
        <w:rFonts w:hint="default"/>
        <w:lang w:val="zh-CN" w:eastAsia="zh-CN" w:bidi="zh-CN"/>
      </w:rPr>
    </w:lvl>
  </w:abstractNum>
  <w:abstractNum w:abstractNumId="965">
    <w:multiLevelType w:val="hybridMultilevel"/>
    <w:lvl w:ilvl="0">
      <w:start w:val="2"/>
      <w:numFmt w:val="lowerLetter"/>
      <w:lvlText w:val="%1."/>
      <w:lvlJc w:val="left"/>
      <w:pPr>
        <w:ind w:left="418" w:hanging="213"/>
        <w:jc w:val="left"/>
      </w:pPr>
      <w:rPr>
        <w:rFonts w:hint="default" w:ascii="宋体" w:hAnsi="宋体" w:eastAsia="宋体" w:cs="宋体"/>
        <w:spacing w:val="-10"/>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964">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63">
    <w:multiLevelType w:val="hybridMultilevel"/>
    <w:lvl w:ilvl="0">
      <w:start w:val="5"/>
      <w:numFmt w:val="decimal"/>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62">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961">
    <w:multiLevelType w:val="hybridMultilevel"/>
    <w:lvl w:ilvl="0">
      <w:start w:val="3"/>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960">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360" w:hanging="529"/>
      </w:pPr>
      <w:rPr>
        <w:rFonts w:hint="default"/>
        <w:lang w:val="zh-CN" w:eastAsia="zh-CN" w:bidi="zh-CN"/>
      </w:rPr>
    </w:lvl>
    <w:lvl w:ilvl="4">
      <w:start w:val="0"/>
      <w:numFmt w:val="bullet"/>
      <w:lvlText w:val="•"/>
      <w:lvlJc w:val="left"/>
      <w:pPr>
        <w:ind w:left="3543" w:hanging="529"/>
      </w:pPr>
      <w:rPr>
        <w:rFonts w:hint="default"/>
        <w:lang w:val="zh-CN" w:eastAsia="zh-CN" w:bidi="zh-CN"/>
      </w:rPr>
    </w:lvl>
    <w:lvl w:ilvl="5">
      <w:start w:val="0"/>
      <w:numFmt w:val="bullet"/>
      <w:lvlText w:val="•"/>
      <w:lvlJc w:val="left"/>
      <w:pPr>
        <w:ind w:left="4727" w:hanging="529"/>
      </w:pPr>
      <w:rPr>
        <w:rFonts w:hint="default"/>
        <w:lang w:val="zh-CN" w:eastAsia="zh-CN" w:bidi="zh-CN"/>
      </w:rPr>
    </w:lvl>
    <w:lvl w:ilvl="6">
      <w:start w:val="0"/>
      <w:numFmt w:val="bullet"/>
      <w:lvlText w:val="•"/>
      <w:lvlJc w:val="left"/>
      <w:pPr>
        <w:ind w:left="5911" w:hanging="529"/>
      </w:pPr>
      <w:rPr>
        <w:rFonts w:hint="default"/>
        <w:lang w:val="zh-CN" w:eastAsia="zh-CN" w:bidi="zh-CN"/>
      </w:rPr>
    </w:lvl>
    <w:lvl w:ilvl="7">
      <w:start w:val="0"/>
      <w:numFmt w:val="bullet"/>
      <w:lvlText w:val="•"/>
      <w:lvlJc w:val="left"/>
      <w:pPr>
        <w:ind w:left="7095" w:hanging="529"/>
      </w:pPr>
      <w:rPr>
        <w:rFonts w:hint="default"/>
        <w:lang w:val="zh-CN" w:eastAsia="zh-CN" w:bidi="zh-CN"/>
      </w:rPr>
    </w:lvl>
    <w:lvl w:ilvl="8">
      <w:start w:val="0"/>
      <w:numFmt w:val="bullet"/>
      <w:lvlText w:val="•"/>
      <w:lvlJc w:val="left"/>
      <w:pPr>
        <w:ind w:left="8278" w:hanging="529"/>
      </w:pPr>
      <w:rPr>
        <w:rFonts w:hint="default"/>
        <w:lang w:val="zh-CN" w:eastAsia="zh-CN" w:bidi="zh-CN"/>
      </w:rPr>
    </w:lvl>
  </w:abstractNum>
  <w:abstractNum w:abstractNumId="959">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958">
    <w:multiLevelType w:val="hybridMultilevel"/>
    <w:lvl w:ilvl="0">
      <w:start w:val="6"/>
      <w:numFmt w:val="decimal"/>
      <w:lvlText w:val="%1"/>
      <w:lvlJc w:val="left"/>
      <w:pPr>
        <w:ind w:left="1369" w:hanging="529"/>
        <w:jc w:val="left"/>
      </w:pPr>
      <w:rPr>
        <w:rFonts w:hint="default"/>
        <w:lang w:val="zh-CN" w:eastAsia="zh-CN" w:bidi="zh-CN"/>
      </w:rPr>
    </w:lvl>
    <w:lvl w:ilvl="1">
      <w:start w:val="5"/>
      <w:numFmt w:val="decimal"/>
      <w:lvlText w:val="%1.%2"/>
      <w:lvlJc w:val="left"/>
      <w:pPr>
        <w:ind w:left="1369" w:hanging="529"/>
        <w:jc w:val="left"/>
      </w:pPr>
      <w:rPr>
        <w:rFonts w:hint="default"/>
        <w:lang w:val="zh-CN" w:eastAsia="zh-CN" w:bidi="zh-CN"/>
      </w:rPr>
    </w:lvl>
    <w:lvl w:ilvl="2">
      <w:start w:val="4"/>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957">
    <w:multiLevelType w:val="hybridMultilevel"/>
    <w:lvl w:ilvl="0">
      <w:start w:val="6"/>
      <w:numFmt w:val="decimal"/>
      <w:lvlText w:val="%1"/>
      <w:lvlJc w:val="left"/>
      <w:pPr>
        <w:ind w:left="1159" w:hanging="320"/>
        <w:jc w:val="left"/>
      </w:pPr>
      <w:rPr>
        <w:rFonts w:hint="default"/>
        <w:lang w:val="zh-CN" w:eastAsia="zh-CN" w:bidi="zh-CN"/>
      </w:rPr>
    </w:lvl>
    <w:lvl w:ilvl="1">
      <w:start w:val="3"/>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956">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955">
    <w:multiLevelType w:val="hybridMultilevel"/>
    <w:lvl w:ilvl="0">
      <w:start w:val="5"/>
      <w:numFmt w:val="decimal"/>
      <w:lvlText w:val="%1"/>
      <w:lvlJc w:val="left"/>
      <w:pPr>
        <w:ind w:left="1474" w:hanging="637"/>
        <w:jc w:val="left"/>
      </w:pPr>
      <w:rPr>
        <w:rFonts w:hint="default"/>
        <w:lang w:val="zh-CN" w:eastAsia="zh-CN" w:bidi="zh-CN"/>
      </w:rPr>
    </w:lvl>
    <w:lvl w:ilvl="1">
      <w:start w:val="10"/>
      <w:numFmt w:val="decimal"/>
      <w:lvlText w:val="%1.%2"/>
      <w:lvlJc w:val="left"/>
      <w:pPr>
        <w:ind w:left="1474" w:hanging="637"/>
        <w:jc w:val="left"/>
      </w:pPr>
      <w:rPr>
        <w:rFonts w:hint="default"/>
        <w:lang w:val="zh-CN" w:eastAsia="zh-CN" w:bidi="zh-CN"/>
      </w:rPr>
    </w:lvl>
    <w:lvl w:ilvl="2">
      <w:start w:val="1"/>
      <w:numFmt w:val="decimal"/>
      <w:lvlText w:val="%1.%2.%3"/>
      <w:lvlJc w:val="left"/>
      <w:pPr>
        <w:ind w:left="1474"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954">
    <w:multiLevelType w:val="hybridMultilevel"/>
    <w:lvl w:ilvl="0">
      <w:start w:val="5"/>
      <w:numFmt w:val="decimal"/>
      <w:lvlText w:val="%1"/>
      <w:lvlJc w:val="left"/>
      <w:pPr>
        <w:ind w:left="418" w:hanging="529"/>
        <w:jc w:val="left"/>
      </w:pPr>
      <w:rPr>
        <w:rFonts w:hint="default"/>
        <w:lang w:val="zh-CN" w:eastAsia="zh-CN" w:bidi="zh-CN"/>
      </w:rPr>
    </w:lvl>
    <w:lvl w:ilvl="1">
      <w:start w:val="8"/>
      <w:numFmt w:val="decimal"/>
      <w:lvlText w:val="%1.%2"/>
      <w:lvlJc w:val="left"/>
      <w:pPr>
        <w:ind w:left="418" w:hanging="529"/>
        <w:jc w:val="left"/>
      </w:pPr>
      <w:rPr>
        <w:rFonts w:hint="default"/>
        <w:lang w:val="zh-CN" w:eastAsia="zh-CN" w:bidi="zh-CN"/>
      </w:rPr>
    </w:lvl>
    <w:lvl w:ilvl="2">
      <w:start w:val="4"/>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953">
    <w:multiLevelType w:val="hybridMultilevel"/>
    <w:lvl w:ilvl="0">
      <w:start w:val="5"/>
      <w:numFmt w:val="decimal"/>
      <w:lvlText w:val="%1"/>
      <w:lvlJc w:val="left"/>
      <w:pPr>
        <w:ind w:left="1477" w:hanging="637"/>
        <w:jc w:val="left"/>
      </w:pPr>
      <w:rPr>
        <w:rFonts w:hint="default"/>
        <w:lang w:val="zh-CN" w:eastAsia="zh-CN" w:bidi="zh-CN"/>
      </w:rPr>
    </w:lvl>
    <w:lvl w:ilvl="1">
      <w:start w:val="3"/>
      <w:numFmt w:val="decimal"/>
      <w:lvlText w:val="%1.%2"/>
      <w:lvlJc w:val="left"/>
      <w:pPr>
        <w:ind w:left="1477" w:hanging="637"/>
        <w:jc w:val="left"/>
      </w:pPr>
      <w:rPr>
        <w:rFonts w:hint="default"/>
        <w:lang w:val="zh-CN" w:eastAsia="zh-CN" w:bidi="zh-CN"/>
      </w:rPr>
    </w:lvl>
    <w:lvl w:ilvl="2">
      <w:start w:val="13"/>
      <w:numFmt w:val="decimal"/>
      <w:lvlText w:val="%1.%2.%3"/>
      <w:lvlJc w:val="left"/>
      <w:pPr>
        <w:ind w:left="1477" w:hanging="637"/>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952">
    <w:multiLevelType w:val="hybridMultilevel"/>
    <w:lvl w:ilvl="0">
      <w:start w:val="5"/>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951">
    <w:multiLevelType w:val="hybridMultilevel"/>
    <w:lvl w:ilvl="0">
      <w:start w:val="5"/>
      <w:numFmt w:val="decimal"/>
      <w:lvlText w:val="%1"/>
      <w:lvlJc w:val="left"/>
      <w:pPr>
        <w:ind w:left="418" w:hanging="531"/>
        <w:jc w:val="left"/>
      </w:pPr>
      <w:rPr>
        <w:rFonts w:hint="default"/>
        <w:lang w:val="zh-CN" w:eastAsia="zh-CN" w:bidi="zh-CN"/>
      </w:rPr>
    </w:lvl>
    <w:lvl w:ilvl="1">
      <w:start w:val="2"/>
      <w:numFmt w:val="decimal"/>
      <w:lvlText w:val="%1.%2"/>
      <w:lvlJc w:val="left"/>
      <w:pPr>
        <w:ind w:left="418" w:hanging="531"/>
        <w:jc w:val="left"/>
      </w:pPr>
      <w:rPr>
        <w:rFonts w:hint="default"/>
        <w:lang w:val="zh-CN" w:eastAsia="zh-CN" w:bidi="zh-CN"/>
      </w:rPr>
    </w:lvl>
    <w:lvl w:ilvl="2">
      <w:start w:val="6"/>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950">
    <w:multiLevelType w:val="hybridMultilevel"/>
    <w:lvl w:ilvl="0">
      <w:start w:val="5"/>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3"/>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49">
    <w:multiLevelType w:val="hybridMultilevel"/>
    <w:lvl w:ilvl="0">
      <w:start w:val="5"/>
      <w:numFmt w:val="decimal"/>
      <w:lvlText w:val="%1"/>
      <w:lvlJc w:val="left"/>
      <w:pPr>
        <w:ind w:left="1369" w:hanging="529"/>
        <w:jc w:val="left"/>
      </w:pPr>
      <w:rPr>
        <w:rFonts w:hint="default"/>
        <w:lang w:val="zh-CN" w:eastAsia="zh-CN" w:bidi="zh-CN"/>
      </w:rPr>
    </w:lvl>
    <w:lvl w:ilvl="1">
      <w:start w:val="1"/>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948">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29"/>
      </w:pPr>
      <w:rPr>
        <w:rFonts w:hint="default"/>
        <w:lang w:val="zh-CN" w:eastAsia="zh-CN" w:bidi="zh-CN"/>
      </w:rPr>
    </w:lvl>
    <w:lvl w:ilvl="4">
      <w:start w:val="0"/>
      <w:numFmt w:val="bullet"/>
      <w:lvlText w:val="•"/>
      <w:lvlJc w:val="left"/>
      <w:pPr>
        <w:ind w:left="2703" w:hanging="529"/>
      </w:pPr>
      <w:rPr>
        <w:rFonts w:hint="default"/>
        <w:lang w:val="zh-CN" w:eastAsia="zh-CN" w:bidi="zh-CN"/>
      </w:rPr>
    </w:lvl>
    <w:lvl w:ilvl="5">
      <w:start w:val="0"/>
      <w:numFmt w:val="bullet"/>
      <w:lvlText w:val="•"/>
      <w:lvlJc w:val="left"/>
      <w:pPr>
        <w:ind w:left="4027" w:hanging="529"/>
      </w:pPr>
      <w:rPr>
        <w:rFonts w:hint="default"/>
        <w:lang w:val="zh-CN" w:eastAsia="zh-CN" w:bidi="zh-CN"/>
      </w:rPr>
    </w:lvl>
    <w:lvl w:ilvl="6">
      <w:start w:val="0"/>
      <w:numFmt w:val="bullet"/>
      <w:lvlText w:val="•"/>
      <w:lvlJc w:val="left"/>
      <w:pPr>
        <w:ind w:left="5351" w:hanging="529"/>
      </w:pPr>
      <w:rPr>
        <w:rFonts w:hint="default"/>
        <w:lang w:val="zh-CN" w:eastAsia="zh-CN" w:bidi="zh-CN"/>
      </w:rPr>
    </w:lvl>
    <w:lvl w:ilvl="7">
      <w:start w:val="0"/>
      <w:numFmt w:val="bullet"/>
      <w:lvlText w:val="•"/>
      <w:lvlJc w:val="left"/>
      <w:pPr>
        <w:ind w:left="6675" w:hanging="529"/>
      </w:pPr>
      <w:rPr>
        <w:rFonts w:hint="default"/>
        <w:lang w:val="zh-CN" w:eastAsia="zh-CN" w:bidi="zh-CN"/>
      </w:rPr>
    </w:lvl>
    <w:lvl w:ilvl="8">
      <w:start w:val="0"/>
      <w:numFmt w:val="bullet"/>
      <w:lvlText w:val="•"/>
      <w:lvlJc w:val="left"/>
      <w:pPr>
        <w:ind w:left="7998" w:hanging="529"/>
      </w:pPr>
      <w:rPr>
        <w:rFonts w:hint="default"/>
        <w:lang w:val="zh-CN" w:eastAsia="zh-CN" w:bidi="zh-CN"/>
      </w:rPr>
    </w:lvl>
  </w:abstractNum>
  <w:abstractNum w:abstractNumId="947">
    <w:multiLevelType w:val="hybridMultilevel"/>
    <w:lvl w:ilvl="0">
      <w:start w:val="4"/>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946">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945">
    <w:multiLevelType w:val="hybridMultilevel"/>
    <w:lvl w:ilvl="0">
      <w:start w:val="3"/>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944">
    <w:multiLevelType w:val="hybridMultilevel"/>
    <w:lvl w:ilvl="0">
      <w:start w:val="2"/>
      <w:numFmt w:val="decimal"/>
      <w:lvlText w:val="%1"/>
      <w:lvlJc w:val="left"/>
      <w:pPr>
        <w:ind w:left="418" w:hanging="318"/>
        <w:jc w:val="left"/>
      </w:pPr>
      <w:rPr>
        <w:rFonts w:hint="default"/>
        <w:lang w:val="zh-CN" w:eastAsia="zh-CN" w:bidi="zh-CN"/>
      </w:rPr>
    </w:lvl>
    <w:lvl w:ilvl="1">
      <w:start w:val="9"/>
      <w:numFmt w:val="decimal"/>
      <w:lvlText w:val="%1.%2"/>
      <w:lvlJc w:val="left"/>
      <w:pPr>
        <w:ind w:left="418" w:hanging="318"/>
        <w:jc w:val="left"/>
      </w:pPr>
      <w:rPr>
        <w:rFonts w:hint="default" w:ascii="宋体" w:hAnsi="宋体" w:eastAsia="宋体" w:cs="宋体"/>
        <w:b/>
        <w:bCs/>
        <w:spacing w:val="-51"/>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943">
    <w:multiLevelType w:val="hybridMultilevel"/>
    <w:lvl w:ilvl="0">
      <w:start w:val="2"/>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42">
    <w:multiLevelType w:val="hybridMultilevel"/>
    <w:lvl w:ilvl="0">
      <w:start w:val="1"/>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941">
    <w:multiLevelType w:val="hybridMultilevel"/>
    <w:lvl w:ilvl="0">
      <w:start w:val="11"/>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940">
    <w:multiLevelType w:val="hybridMultilevel"/>
    <w:lvl w:ilvl="0">
      <w:start w:val="10"/>
      <w:numFmt w:val="decimal"/>
      <w:lvlText w:val="%1"/>
      <w:lvlJc w:val="left"/>
      <w:pPr>
        <w:ind w:left="418" w:hanging="424"/>
        <w:jc w:val="left"/>
      </w:pPr>
      <w:rPr>
        <w:rFonts w:hint="default"/>
        <w:lang w:val="zh-CN" w:eastAsia="zh-CN" w:bidi="zh-CN"/>
      </w:rPr>
    </w:lvl>
    <w:lvl w:ilvl="1">
      <w:start w:val="7"/>
      <w:numFmt w:val="decimal"/>
      <w:lvlText w:val="%1.%2"/>
      <w:lvlJc w:val="left"/>
      <w:pPr>
        <w:ind w:left="418"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424"/>
      </w:pPr>
      <w:rPr>
        <w:rFonts w:hint="default"/>
        <w:lang w:val="zh-CN" w:eastAsia="zh-CN" w:bidi="zh-CN"/>
      </w:rPr>
    </w:lvl>
    <w:lvl w:ilvl="3">
      <w:start w:val="0"/>
      <w:numFmt w:val="bullet"/>
      <w:lvlText w:val="•"/>
      <w:lvlJc w:val="left"/>
      <w:pPr>
        <w:ind w:left="3487" w:hanging="424"/>
      </w:pPr>
      <w:rPr>
        <w:rFonts w:hint="default"/>
        <w:lang w:val="zh-CN" w:eastAsia="zh-CN" w:bidi="zh-CN"/>
      </w:rPr>
    </w:lvl>
    <w:lvl w:ilvl="4">
      <w:start w:val="0"/>
      <w:numFmt w:val="bullet"/>
      <w:lvlText w:val="•"/>
      <w:lvlJc w:val="left"/>
      <w:pPr>
        <w:ind w:left="4510" w:hanging="424"/>
      </w:pPr>
      <w:rPr>
        <w:rFonts w:hint="default"/>
        <w:lang w:val="zh-CN" w:eastAsia="zh-CN" w:bidi="zh-CN"/>
      </w:rPr>
    </w:lvl>
    <w:lvl w:ilvl="5">
      <w:start w:val="0"/>
      <w:numFmt w:val="bullet"/>
      <w:lvlText w:val="•"/>
      <w:lvlJc w:val="left"/>
      <w:pPr>
        <w:ind w:left="5533" w:hanging="424"/>
      </w:pPr>
      <w:rPr>
        <w:rFonts w:hint="default"/>
        <w:lang w:val="zh-CN" w:eastAsia="zh-CN" w:bidi="zh-CN"/>
      </w:rPr>
    </w:lvl>
    <w:lvl w:ilvl="6">
      <w:start w:val="0"/>
      <w:numFmt w:val="bullet"/>
      <w:lvlText w:val="•"/>
      <w:lvlJc w:val="left"/>
      <w:pPr>
        <w:ind w:left="6555" w:hanging="424"/>
      </w:pPr>
      <w:rPr>
        <w:rFonts w:hint="default"/>
        <w:lang w:val="zh-CN" w:eastAsia="zh-CN" w:bidi="zh-CN"/>
      </w:rPr>
    </w:lvl>
    <w:lvl w:ilvl="7">
      <w:start w:val="0"/>
      <w:numFmt w:val="bullet"/>
      <w:lvlText w:val="•"/>
      <w:lvlJc w:val="left"/>
      <w:pPr>
        <w:ind w:left="7578" w:hanging="424"/>
      </w:pPr>
      <w:rPr>
        <w:rFonts w:hint="default"/>
        <w:lang w:val="zh-CN" w:eastAsia="zh-CN" w:bidi="zh-CN"/>
      </w:rPr>
    </w:lvl>
    <w:lvl w:ilvl="8">
      <w:start w:val="0"/>
      <w:numFmt w:val="bullet"/>
      <w:lvlText w:val="•"/>
      <w:lvlJc w:val="left"/>
      <w:pPr>
        <w:ind w:left="8601" w:hanging="424"/>
      </w:pPr>
      <w:rPr>
        <w:rFonts w:hint="default"/>
        <w:lang w:val="zh-CN" w:eastAsia="zh-CN" w:bidi="zh-CN"/>
      </w:rPr>
    </w:lvl>
  </w:abstractNum>
  <w:abstractNum w:abstractNumId="939">
    <w:multiLevelType w:val="hybridMultilevel"/>
    <w:lvl w:ilvl="0">
      <w:start w:val="10"/>
      <w:numFmt w:val="decimal"/>
      <w:lvlText w:val="%1"/>
      <w:lvlJc w:val="left"/>
      <w:pPr>
        <w:ind w:left="418" w:hanging="424"/>
        <w:jc w:val="left"/>
      </w:pPr>
      <w:rPr>
        <w:rFonts w:hint="default"/>
        <w:lang w:val="zh-CN" w:eastAsia="zh-CN" w:bidi="zh-CN"/>
      </w:rPr>
    </w:lvl>
    <w:lvl w:ilvl="1">
      <w:start w:val="1"/>
      <w:numFmt w:val="decimal"/>
      <w:lvlText w:val="%1.%2"/>
      <w:lvlJc w:val="left"/>
      <w:pPr>
        <w:ind w:left="418"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424"/>
      </w:pPr>
      <w:rPr>
        <w:rFonts w:hint="default"/>
        <w:lang w:val="zh-CN" w:eastAsia="zh-CN" w:bidi="zh-CN"/>
      </w:rPr>
    </w:lvl>
    <w:lvl w:ilvl="3">
      <w:start w:val="0"/>
      <w:numFmt w:val="bullet"/>
      <w:lvlText w:val="•"/>
      <w:lvlJc w:val="left"/>
      <w:pPr>
        <w:ind w:left="3487" w:hanging="424"/>
      </w:pPr>
      <w:rPr>
        <w:rFonts w:hint="default"/>
        <w:lang w:val="zh-CN" w:eastAsia="zh-CN" w:bidi="zh-CN"/>
      </w:rPr>
    </w:lvl>
    <w:lvl w:ilvl="4">
      <w:start w:val="0"/>
      <w:numFmt w:val="bullet"/>
      <w:lvlText w:val="•"/>
      <w:lvlJc w:val="left"/>
      <w:pPr>
        <w:ind w:left="4510" w:hanging="424"/>
      </w:pPr>
      <w:rPr>
        <w:rFonts w:hint="default"/>
        <w:lang w:val="zh-CN" w:eastAsia="zh-CN" w:bidi="zh-CN"/>
      </w:rPr>
    </w:lvl>
    <w:lvl w:ilvl="5">
      <w:start w:val="0"/>
      <w:numFmt w:val="bullet"/>
      <w:lvlText w:val="•"/>
      <w:lvlJc w:val="left"/>
      <w:pPr>
        <w:ind w:left="5533" w:hanging="424"/>
      </w:pPr>
      <w:rPr>
        <w:rFonts w:hint="default"/>
        <w:lang w:val="zh-CN" w:eastAsia="zh-CN" w:bidi="zh-CN"/>
      </w:rPr>
    </w:lvl>
    <w:lvl w:ilvl="6">
      <w:start w:val="0"/>
      <w:numFmt w:val="bullet"/>
      <w:lvlText w:val="•"/>
      <w:lvlJc w:val="left"/>
      <w:pPr>
        <w:ind w:left="6555" w:hanging="424"/>
      </w:pPr>
      <w:rPr>
        <w:rFonts w:hint="default"/>
        <w:lang w:val="zh-CN" w:eastAsia="zh-CN" w:bidi="zh-CN"/>
      </w:rPr>
    </w:lvl>
    <w:lvl w:ilvl="7">
      <w:start w:val="0"/>
      <w:numFmt w:val="bullet"/>
      <w:lvlText w:val="•"/>
      <w:lvlJc w:val="left"/>
      <w:pPr>
        <w:ind w:left="7578" w:hanging="424"/>
      </w:pPr>
      <w:rPr>
        <w:rFonts w:hint="default"/>
        <w:lang w:val="zh-CN" w:eastAsia="zh-CN" w:bidi="zh-CN"/>
      </w:rPr>
    </w:lvl>
    <w:lvl w:ilvl="8">
      <w:start w:val="0"/>
      <w:numFmt w:val="bullet"/>
      <w:lvlText w:val="•"/>
      <w:lvlJc w:val="left"/>
      <w:pPr>
        <w:ind w:left="8601" w:hanging="424"/>
      </w:pPr>
      <w:rPr>
        <w:rFonts w:hint="default"/>
        <w:lang w:val="zh-CN" w:eastAsia="zh-CN" w:bidi="zh-CN"/>
      </w:rPr>
    </w:lvl>
  </w:abstractNum>
  <w:abstractNum w:abstractNumId="938">
    <w:multiLevelType w:val="hybridMultilevel"/>
    <w:lvl w:ilvl="0">
      <w:start w:val="9"/>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3"/>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37">
    <w:multiLevelType w:val="hybridMultilevel"/>
    <w:lvl w:ilvl="0">
      <w:start w:val="9"/>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936">
    <w:multiLevelType w:val="hybridMultilevel"/>
    <w:lvl w:ilvl="0">
      <w:start w:val="8"/>
      <w:numFmt w:val="decimal"/>
      <w:lvlText w:val="%1"/>
      <w:lvlJc w:val="left"/>
      <w:pPr>
        <w:ind w:left="418" w:hanging="531"/>
        <w:jc w:val="left"/>
      </w:pPr>
      <w:rPr>
        <w:rFonts w:hint="default"/>
        <w:lang w:val="zh-CN" w:eastAsia="zh-CN" w:bidi="zh-CN"/>
      </w:rPr>
    </w:lvl>
    <w:lvl w:ilvl="1">
      <w:start w:val="2"/>
      <w:numFmt w:val="decimal"/>
      <w:lvlText w:val="%1.%2"/>
      <w:lvlJc w:val="left"/>
      <w:pPr>
        <w:ind w:left="418" w:hanging="531"/>
        <w:jc w:val="left"/>
      </w:pPr>
      <w:rPr>
        <w:rFonts w:hint="default"/>
        <w:lang w:val="zh-CN" w:eastAsia="zh-CN" w:bidi="zh-CN"/>
      </w:rPr>
    </w:lvl>
    <w:lvl w:ilvl="2">
      <w:start w:val="7"/>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935">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934">
    <w:multiLevelType w:val="hybridMultilevel"/>
    <w:lvl w:ilvl="0">
      <w:start w:val="7"/>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31"/>
      </w:pPr>
      <w:rPr>
        <w:rFonts w:hint="default"/>
        <w:lang w:val="zh-CN" w:eastAsia="zh-CN" w:bidi="zh-CN"/>
      </w:rPr>
    </w:lvl>
    <w:lvl w:ilvl="4">
      <w:start w:val="0"/>
      <w:numFmt w:val="bullet"/>
      <w:lvlText w:val="•"/>
      <w:lvlJc w:val="left"/>
      <w:pPr>
        <w:ind w:left="2703" w:hanging="531"/>
      </w:pPr>
      <w:rPr>
        <w:rFonts w:hint="default"/>
        <w:lang w:val="zh-CN" w:eastAsia="zh-CN" w:bidi="zh-CN"/>
      </w:rPr>
    </w:lvl>
    <w:lvl w:ilvl="5">
      <w:start w:val="0"/>
      <w:numFmt w:val="bullet"/>
      <w:lvlText w:val="•"/>
      <w:lvlJc w:val="left"/>
      <w:pPr>
        <w:ind w:left="4027" w:hanging="531"/>
      </w:pPr>
      <w:rPr>
        <w:rFonts w:hint="default"/>
        <w:lang w:val="zh-CN" w:eastAsia="zh-CN" w:bidi="zh-CN"/>
      </w:rPr>
    </w:lvl>
    <w:lvl w:ilvl="6">
      <w:start w:val="0"/>
      <w:numFmt w:val="bullet"/>
      <w:lvlText w:val="•"/>
      <w:lvlJc w:val="left"/>
      <w:pPr>
        <w:ind w:left="5351" w:hanging="531"/>
      </w:pPr>
      <w:rPr>
        <w:rFonts w:hint="default"/>
        <w:lang w:val="zh-CN" w:eastAsia="zh-CN" w:bidi="zh-CN"/>
      </w:rPr>
    </w:lvl>
    <w:lvl w:ilvl="7">
      <w:start w:val="0"/>
      <w:numFmt w:val="bullet"/>
      <w:lvlText w:val="•"/>
      <w:lvlJc w:val="left"/>
      <w:pPr>
        <w:ind w:left="6675" w:hanging="531"/>
      </w:pPr>
      <w:rPr>
        <w:rFonts w:hint="default"/>
        <w:lang w:val="zh-CN" w:eastAsia="zh-CN" w:bidi="zh-CN"/>
      </w:rPr>
    </w:lvl>
    <w:lvl w:ilvl="8">
      <w:start w:val="0"/>
      <w:numFmt w:val="bullet"/>
      <w:lvlText w:val="•"/>
      <w:lvlJc w:val="left"/>
      <w:pPr>
        <w:ind w:left="7998" w:hanging="531"/>
      </w:pPr>
      <w:rPr>
        <w:rFonts w:hint="default"/>
        <w:lang w:val="zh-CN" w:eastAsia="zh-CN" w:bidi="zh-CN"/>
      </w:rPr>
    </w:lvl>
  </w:abstractNum>
  <w:abstractNum w:abstractNumId="933">
    <w:multiLevelType w:val="hybridMultilevel"/>
    <w:lvl w:ilvl="0">
      <w:start w:val="6"/>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5"/>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932">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931">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930">
    <w:multiLevelType w:val="hybridMultilevel"/>
    <w:lvl w:ilvl="0">
      <w:start w:val="4"/>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929">
    <w:multiLevelType w:val="hybridMultilevel"/>
    <w:lvl w:ilvl="0">
      <w:start w:val="4"/>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28">
    <w:multiLevelType w:val="hybridMultilevel"/>
    <w:lvl w:ilvl="0">
      <w:start w:val="4"/>
      <w:numFmt w:val="decimal"/>
      <w:lvlText w:val="%1"/>
      <w:lvlJc w:val="left"/>
      <w:pPr>
        <w:ind w:left="418" w:hanging="531"/>
        <w:jc w:val="left"/>
      </w:pPr>
      <w:rPr>
        <w:rFonts w:hint="default"/>
        <w:lang w:val="zh-CN" w:eastAsia="zh-CN" w:bidi="zh-CN"/>
      </w:rPr>
    </w:lvl>
    <w:lvl w:ilvl="1">
      <w:start w:val="1"/>
      <w:numFmt w:val="decimal"/>
      <w:lvlText w:val="%1.%2"/>
      <w:lvlJc w:val="left"/>
      <w:pPr>
        <w:ind w:left="418" w:hanging="531"/>
        <w:jc w:val="left"/>
      </w:pPr>
      <w:rPr>
        <w:rFonts w:hint="default"/>
        <w:lang w:val="zh-CN" w:eastAsia="zh-CN" w:bidi="zh-CN"/>
      </w:rPr>
    </w:lvl>
    <w:lvl w:ilvl="2">
      <w:start w:val="3"/>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927">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926">
    <w:multiLevelType w:val="hybridMultilevel"/>
    <w:lvl w:ilvl="0">
      <w:start w:val="3"/>
      <w:numFmt w:val="decimal"/>
      <w:lvlText w:val="%1"/>
      <w:lvlJc w:val="left"/>
      <w:pPr>
        <w:ind w:left="418" w:hanging="531"/>
        <w:jc w:val="left"/>
      </w:pPr>
      <w:rPr>
        <w:rFonts w:hint="default"/>
        <w:lang w:val="zh-CN" w:eastAsia="zh-CN" w:bidi="zh-CN"/>
      </w:rPr>
    </w:lvl>
    <w:lvl w:ilvl="1">
      <w:start w:val="1"/>
      <w:numFmt w:val="decimal"/>
      <w:lvlText w:val="%1.%2"/>
      <w:lvlJc w:val="left"/>
      <w:pPr>
        <w:ind w:left="418" w:hanging="531"/>
        <w:jc w:val="left"/>
      </w:pPr>
      <w:rPr>
        <w:rFonts w:hint="default"/>
        <w:lang w:val="zh-CN" w:eastAsia="zh-CN" w:bidi="zh-CN"/>
      </w:rPr>
    </w:lvl>
    <w:lvl w:ilvl="2">
      <w:start w:val="5"/>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925">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924">
    <w:multiLevelType w:val="hybridMultilevel"/>
    <w:lvl w:ilvl="0">
      <w:start w:val="2"/>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23">
    <w:multiLevelType w:val="hybridMultilevel"/>
    <w:lvl w:ilvl="0">
      <w:start w:val="1"/>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22">
    <w:multiLevelType w:val="hybridMultilevel"/>
    <w:lvl w:ilvl="0">
      <w:start w:val="12"/>
      <w:numFmt w:val="decimal"/>
      <w:lvlText w:val="%1"/>
      <w:lvlJc w:val="left"/>
      <w:pPr>
        <w:ind w:left="418" w:hanging="424"/>
        <w:jc w:val="left"/>
      </w:pPr>
      <w:rPr>
        <w:rFonts w:hint="default"/>
        <w:lang w:val="zh-CN" w:eastAsia="zh-CN" w:bidi="zh-CN"/>
      </w:rPr>
    </w:lvl>
    <w:lvl w:ilvl="1">
      <w:start w:val="1"/>
      <w:numFmt w:val="decimal"/>
      <w:lvlText w:val="%1.%2"/>
      <w:lvlJc w:val="left"/>
      <w:pPr>
        <w:ind w:left="418"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424"/>
      </w:pPr>
      <w:rPr>
        <w:rFonts w:hint="default"/>
        <w:lang w:val="zh-CN" w:eastAsia="zh-CN" w:bidi="zh-CN"/>
      </w:rPr>
    </w:lvl>
    <w:lvl w:ilvl="3">
      <w:start w:val="0"/>
      <w:numFmt w:val="bullet"/>
      <w:lvlText w:val="•"/>
      <w:lvlJc w:val="left"/>
      <w:pPr>
        <w:ind w:left="3487" w:hanging="424"/>
      </w:pPr>
      <w:rPr>
        <w:rFonts w:hint="default"/>
        <w:lang w:val="zh-CN" w:eastAsia="zh-CN" w:bidi="zh-CN"/>
      </w:rPr>
    </w:lvl>
    <w:lvl w:ilvl="4">
      <w:start w:val="0"/>
      <w:numFmt w:val="bullet"/>
      <w:lvlText w:val="•"/>
      <w:lvlJc w:val="left"/>
      <w:pPr>
        <w:ind w:left="4510" w:hanging="424"/>
      </w:pPr>
      <w:rPr>
        <w:rFonts w:hint="default"/>
        <w:lang w:val="zh-CN" w:eastAsia="zh-CN" w:bidi="zh-CN"/>
      </w:rPr>
    </w:lvl>
    <w:lvl w:ilvl="5">
      <w:start w:val="0"/>
      <w:numFmt w:val="bullet"/>
      <w:lvlText w:val="•"/>
      <w:lvlJc w:val="left"/>
      <w:pPr>
        <w:ind w:left="5533" w:hanging="424"/>
      </w:pPr>
      <w:rPr>
        <w:rFonts w:hint="default"/>
        <w:lang w:val="zh-CN" w:eastAsia="zh-CN" w:bidi="zh-CN"/>
      </w:rPr>
    </w:lvl>
    <w:lvl w:ilvl="6">
      <w:start w:val="0"/>
      <w:numFmt w:val="bullet"/>
      <w:lvlText w:val="•"/>
      <w:lvlJc w:val="left"/>
      <w:pPr>
        <w:ind w:left="6555" w:hanging="424"/>
      </w:pPr>
      <w:rPr>
        <w:rFonts w:hint="default"/>
        <w:lang w:val="zh-CN" w:eastAsia="zh-CN" w:bidi="zh-CN"/>
      </w:rPr>
    </w:lvl>
    <w:lvl w:ilvl="7">
      <w:start w:val="0"/>
      <w:numFmt w:val="bullet"/>
      <w:lvlText w:val="•"/>
      <w:lvlJc w:val="left"/>
      <w:pPr>
        <w:ind w:left="7578" w:hanging="424"/>
      </w:pPr>
      <w:rPr>
        <w:rFonts w:hint="default"/>
        <w:lang w:val="zh-CN" w:eastAsia="zh-CN" w:bidi="zh-CN"/>
      </w:rPr>
    </w:lvl>
    <w:lvl w:ilvl="8">
      <w:start w:val="0"/>
      <w:numFmt w:val="bullet"/>
      <w:lvlText w:val="•"/>
      <w:lvlJc w:val="left"/>
      <w:pPr>
        <w:ind w:left="8601" w:hanging="424"/>
      </w:pPr>
      <w:rPr>
        <w:rFonts w:hint="default"/>
        <w:lang w:val="zh-CN" w:eastAsia="zh-CN" w:bidi="zh-CN"/>
      </w:rPr>
    </w:lvl>
  </w:abstractNum>
  <w:abstractNum w:abstractNumId="921">
    <w:multiLevelType w:val="hybridMultilevel"/>
    <w:lvl w:ilvl="0">
      <w:start w:val="11"/>
      <w:numFmt w:val="decimal"/>
      <w:lvlText w:val="%1"/>
      <w:lvlJc w:val="left"/>
      <w:pPr>
        <w:ind w:left="418" w:hanging="478"/>
        <w:jc w:val="left"/>
      </w:pPr>
      <w:rPr>
        <w:rFonts w:hint="default"/>
        <w:lang w:val="zh-CN" w:eastAsia="zh-CN" w:bidi="zh-CN"/>
      </w:rPr>
    </w:lvl>
    <w:lvl w:ilvl="1">
      <w:start w:val="1"/>
      <w:numFmt w:val="decimal"/>
      <w:lvlText w:val="%1.%2"/>
      <w:lvlJc w:val="left"/>
      <w:pPr>
        <w:ind w:left="418" w:hanging="478"/>
        <w:jc w:val="left"/>
      </w:pPr>
      <w:rPr>
        <w:rFonts w:hint="default" w:ascii="宋体" w:hAnsi="宋体" w:eastAsia="宋体" w:cs="宋体"/>
        <w:b/>
        <w:bCs/>
        <w:w w:val="99"/>
        <w:sz w:val="21"/>
        <w:szCs w:val="21"/>
        <w:lang w:val="zh-CN" w:eastAsia="zh-CN" w:bidi="zh-CN"/>
      </w:rPr>
    </w:lvl>
    <w:lvl w:ilvl="2">
      <w:start w:val="0"/>
      <w:numFmt w:val="bullet"/>
      <w:lvlText w:val="•"/>
      <w:lvlJc w:val="left"/>
      <w:pPr>
        <w:ind w:left="2465" w:hanging="478"/>
      </w:pPr>
      <w:rPr>
        <w:rFonts w:hint="default"/>
        <w:lang w:val="zh-CN" w:eastAsia="zh-CN" w:bidi="zh-CN"/>
      </w:rPr>
    </w:lvl>
    <w:lvl w:ilvl="3">
      <w:start w:val="0"/>
      <w:numFmt w:val="bullet"/>
      <w:lvlText w:val="•"/>
      <w:lvlJc w:val="left"/>
      <w:pPr>
        <w:ind w:left="3487" w:hanging="478"/>
      </w:pPr>
      <w:rPr>
        <w:rFonts w:hint="default"/>
        <w:lang w:val="zh-CN" w:eastAsia="zh-CN" w:bidi="zh-CN"/>
      </w:rPr>
    </w:lvl>
    <w:lvl w:ilvl="4">
      <w:start w:val="0"/>
      <w:numFmt w:val="bullet"/>
      <w:lvlText w:val="•"/>
      <w:lvlJc w:val="left"/>
      <w:pPr>
        <w:ind w:left="4510" w:hanging="478"/>
      </w:pPr>
      <w:rPr>
        <w:rFonts w:hint="default"/>
        <w:lang w:val="zh-CN" w:eastAsia="zh-CN" w:bidi="zh-CN"/>
      </w:rPr>
    </w:lvl>
    <w:lvl w:ilvl="5">
      <w:start w:val="0"/>
      <w:numFmt w:val="bullet"/>
      <w:lvlText w:val="•"/>
      <w:lvlJc w:val="left"/>
      <w:pPr>
        <w:ind w:left="5533" w:hanging="478"/>
      </w:pPr>
      <w:rPr>
        <w:rFonts w:hint="default"/>
        <w:lang w:val="zh-CN" w:eastAsia="zh-CN" w:bidi="zh-CN"/>
      </w:rPr>
    </w:lvl>
    <w:lvl w:ilvl="6">
      <w:start w:val="0"/>
      <w:numFmt w:val="bullet"/>
      <w:lvlText w:val="•"/>
      <w:lvlJc w:val="left"/>
      <w:pPr>
        <w:ind w:left="6555" w:hanging="478"/>
      </w:pPr>
      <w:rPr>
        <w:rFonts w:hint="default"/>
        <w:lang w:val="zh-CN" w:eastAsia="zh-CN" w:bidi="zh-CN"/>
      </w:rPr>
    </w:lvl>
    <w:lvl w:ilvl="7">
      <w:start w:val="0"/>
      <w:numFmt w:val="bullet"/>
      <w:lvlText w:val="•"/>
      <w:lvlJc w:val="left"/>
      <w:pPr>
        <w:ind w:left="7578" w:hanging="478"/>
      </w:pPr>
      <w:rPr>
        <w:rFonts w:hint="default"/>
        <w:lang w:val="zh-CN" w:eastAsia="zh-CN" w:bidi="zh-CN"/>
      </w:rPr>
    </w:lvl>
    <w:lvl w:ilvl="8">
      <w:start w:val="0"/>
      <w:numFmt w:val="bullet"/>
      <w:lvlText w:val="•"/>
      <w:lvlJc w:val="left"/>
      <w:pPr>
        <w:ind w:left="8601" w:hanging="478"/>
      </w:pPr>
      <w:rPr>
        <w:rFonts w:hint="default"/>
        <w:lang w:val="zh-CN" w:eastAsia="zh-CN" w:bidi="zh-CN"/>
      </w:rPr>
    </w:lvl>
  </w:abstractNum>
  <w:abstractNum w:abstractNumId="920">
    <w:multiLevelType w:val="hybridMultilevel"/>
    <w:lvl w:ilvl="0">
      <w:start w:val="10"/>
      <w:numFmt w:val="decimal"/>
      <w:lvlText w:val="%1"/>
      <w:lvlJc w:val="left"/>
      <w:pPr>
        <w:ind w:left="418" w:hanging="689"/>
        <w:jc w:val="left"/>
      </w:pPr>
      <w:rPr>
        <w:rFonts w:hint="default"/>
        <w:lang w:val="zh-CN" w:eastAsia="zh-CN" w:bidi="zh-CN"/>
      </w:rPr>
    </w:lvl>
    <w:lvl w:ilvl="1">
      <w:start w:val="4"/>
      <w:numFmt w:val="decimal"/>
      <w:lvlText w:val="%1.%2"/>
      <w:lvlJc w:val="left"/>
      <w:pPr>
        <w:ind w:left="418" w:hanging="689"/>
        <w:jc w:val="left"/>
      </w:pPr>
      <w:rPr>
        <w:rFonts w:hint="default"/>
        <w:lang w:val="zh-CN" w:eastAsia="zh-CN" w:bidi="zh-CN"/>
      </w:rPr>
    </w:lvl>
    <w:lvl w:ilvl="2">
      <w:start w:val="1"/>
      <w:numFmt w:val="decimal"/>
      <w:lvlText w:val="%1.%2.%3"/>
      <w:lvlJc w:val="left"/>
      <w:pPr>
        <w:ind w:left="418"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689"/>
      </w:pPr>
      <w:rPr>
        <w:rFonts w:hint="default"/>
        <w:lang w:val="zh-CN" w:eastAsia="zh-CN" w:bidi="zh-CN"/>
      </w:rPr>
    </w:lvl>
    <w:lvl w:ilvl="4">
      <w:start w:val="0"/>
      <w:numFmt w:val="bullet"/>
      <w:lvlText w:val="•"/>
      <w:lvlJc w:val="left"/>
      <w:pPr>
        <w:ind w:left="4510" w:hanging="689"/>
      </w:pPr>
      <w:rPr>
        <w:rFonts w:hint="default"/>
        <w:lang w:val="zh-CN" w:eastAsia="zh-CN" w:bidi="zh-CN"/>
      </w:rPr>
    </w:lvl>
    <w:lvl w:ilvl="5">
      <w:start w:val="0"/>
      <w:numFmt w:val="bullet"/>
      <w:lvlText w:val="•"/>
      <w:lvlJc w:val="left"/>
      <w:pPr>
        <w:ind w:left="5533" w:hanging="689"/>
      </w:pPr>
      <w:rPr>
        <w:rFonts w:hint="default"/>
        <w:lang w:val="zh-CN" w:eastAsia="zh-CN" w:bidi="zh-CN"/>
      </w:rPr>
    </w:lvl>
    <w:lvl w:ilvl="6">
      <w:start w:val="0"/>
      <w:numFmt w:val="bullet"/>
      <w:lvlText w:val="•"/>
      <w:lvlJc w:val="left"/>
      <w:pPr>
        <w:ind w:left="6555" w:hanging="689"/>
      </w:pPr>
      <w:rPr>
        <w:rFonts w:hint="default"/>
        <w:lang w:val="zh-CN" w:eastAsia="zh-CN" w:bidi="zh-CN"/>
      </w:rPr>
    </w:lvl>
    <w:lvl w:ilvl="7">
      <w:start w:val="0"/>
      <w:numFmt w:val="bullet"/>
      <w:lvlText w:val="•"/>
      <w:lvlJc w:val="left"/>
      <w:pPr>
        <w:ind w:left="7578" w:hanging="689"/>
      </w:pPr>
      <w:rPr>
        <w:rFonts w:hint="default"/>
        <w:lang w:val="zh-CN" w:eastAsia="zh-CN" w:bidi="zh-CN"/>
      </w:rPr>
    </w:lvl>
    <w:lvl w:ilvl="8">
      <w:start w:val="0"/>
      <w:numFmt w:val="bullet"/>
      <w:lvlText w:val="•"/>
      <w:lvlJc w:val="left"/>
      <w:pPr>
        <w:ind w:left="8601" w:hanging="689"/>
      </w:pPr>
      <w:rPr>
        <w:rFonts w:hint="default"/>
        <w:lang w:val="zh-CN" w:eastAsia="zh-CN" w:bidi="zh-CN"/>
      </w:rPr>
    </w:lvl>
  </w:abstractNum>
  <w:abstractNum w:abstractNumId="919">
    <w:multiLevelType w:val="hybridMultilevel"/>
    <w:lvl w:ilvl="0">
      <w:start w:val="10"/>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3345" w:hanging="689"/>
      </w:pPr>
      <w:rPr>
        <w:rFonts w:hint="default"/>
        <w:lang w:val="zh-CN" w:eastAsia="zh-CN" w:bidi="zh-CN"/>
      </w:rPr>
    </w:lvl>
    <w:lvl w:ilvl="4">
      <w:start w:val="0"/>
      <w:numFmt w:val="bullet"/>
      <w:lvlText w:val="•"/>
      <w:lvlJc w:val="left"/>
      <w:pPr>
        <w:ind w:left="4388" w:hanging="689"/>
      </w:pPr>
      <w:rPr>
        <w:rFonts w:hint="default"/>
        <w:lang w:val="zh-CN" w:eastAsia="zh-CN" w:bidi="zh-CN"/>
      </w:rPr>
    </w:lvl>
    <w:lvl w:ilvl="5">
      <w:start w:val="0"/>
      <w:numFmt w:val="bullet"/>
      <w:lvlText w:val="•"/>
      <w:lvlJc w:val="left"/>
      <w:pPr>
        <w:ind w:left="5431" w:hanging="689"/>
      </w:pPr>
      <w:rPr>
        <w:rFonts w:hint="default"/>
        <w:lang w:val="zh-CN" w:eastAsia="zh-CN" w:bidi="zh-CN"/>
      </w:rPr>
    </w:lvl>
    <w:lvl w:ilvl="6">
      <w:start w:val="0"/>
      <w:numFmt w:val="bullet"/>
      <w:lvlText w:val="•"/>
      <w:lvlJc w:val="left"/>
      <w:pPr>
        <w:ind w:left="6474" w:hanging="689"/>
      </w:pPr>
      <w:rPr>
        <w:rFonts w:hint="default"/>
        <w:lang w:val="zh-CN" w:eastAsia="zh-CN" w:bidi="zh-CN"/>
      </w:rPr>
    </w:lvl>
    <w:lvl w:ilvl="7">
      <w:start w:val="0"/>
      <w:numFmt w:val="bullet"/>
      <w:lvlText w:val="•"/>
      <w:lvlJc w:val="left"/>
      <w:pPr>
        <w:ind w:left="7517" w:hanging="689"/>
      </w:pPr>
      <w:rPr>
        <w:rFonts w:hint="default"/>
        <w:lang w:val="zh-CN" w:eastAsia="zh-CN" w:bidi="zh-CN"/>
      </w:rPr>
    </w:lvl>
    <w:lvl w:ilvl="8">
      <w:start w:val="0"/>
      <w:numFmt w:val="bullet"/>
      <w:lvlText w:val="•"/>
      <w:lvlJc w:val="left"/>
      <w:pPr>
        <w:ind w:left="8560" w:hanging="689"/>
      </w:pPr>
      <w:rPr>
        <w:rFonts w:hint="default"/>
        <w:lang w:val="zh-CN" w:eastAsia="zh-CN" w:bidi="zh-CN"/>
      </w:rPr>
    </w:lvl>
  </w:abstractNum>
  <w:abstractNum w:abstractNumId="918">
    <w:multiLevelType w:val="hybridMultilevel"/>
    <w:lvl w:ilvl="0">
      <w:start w:val="9"/>
      <w:numFmt w:val="decimal"/>
      <w:lvlText w:val="%1"/>
      <w:lvlJc w:val="left"/>
      <w:pPr>
        <w:ind w:left="735" w:hanging="318"/>
        <w:jc w:val="left"/>
      </w:pPr>
      <w:rPr>
        <w:rFonts w:hint="default"/>
        <w:lang w:val="zh-CN" w:eastAsia="zh-CN" w:bidi="zh-CN"/>
      </w:rPr>
    </w:lvl>
    <w:lvl w:ilvl="1">
      <w:start w:val="1"/>
      <w:numFmt w:val="decimal"/>
      <w:lvlText w:val="%1.%2"/>
      <w:lvlJc w:val="left"/>
      <w:pPr>
        <w:ind w:left="735" w:hanging="318"/>
        <w:jc w:val="right"/>
      </w:pPr>
      <w:rPr>
        <w:rFonts w:hint="default" w:ascii="宋体" w:hAnsi="宋体" w:eastAsia="宋体" w:cs="宋体"/>
        <w:b/>
        <w:bCs/>
        <w:w w:val="99"/>
        <w:sz w:val="19"/>
        <w:szCs w:val="19"/>
        <w:lang w:val="zh-CN" w:eastAsia="zh-CN" w:bidi="zh-CN"/>
      </w:rPr>
    </w:lvl>
    <w:lvl w:ilvl="2">
      <w:start w:val="1"/>
      <w:numFmt w:val="decimal"/>
      <w:lvlText w:val="%1.%2.%3"/>
      <w:lvlJc w:val="left"/>
      <w:pPr>
        <w:ind w:left="1421"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917">
    <w:multiLevelType w:val="hybridMultilevel"/>
    <w:lvl w:ilvl="0">
      <w:start w:val="8"/>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916">
    <w:multiLevelType w:val="hybridMultilevel"/>
    <w:lvl w:ilvl="0">
      <w:start w:val="7"/>
      <w:numFmt w:val="decimal"/>
      <w:lvlText w:val="%1"/>
      <w:lvlJc w:val="left"/>
      <w:pPr>
        <w:ind w:left="996" w:hanging="579"/>
        <w:jc w:val="left"/>
      </w:pPr>
      <w:rPr>
        <w:rFonts w:hint="default"/>
        <w:lang w:val="zh-CN" w:eastAsia="zh-CN" w:bidi="zh-CN"/>
      </w:rPr>
    </w:lvl>
    <w:lvl w:ilvl="1">
      <w:start w:val="2"/>
      <w:numFmt w:val="decimal"/>
      <w:lvlText w:val="%1.%2"/>
      <w:lvlJc w:val="left"/>
      <w:pPr>
        <w:ind w:left="996" w:hanging="579"/>
        <w:jc w:val="left"/>
      </w:pPr>
      <w:rPr>
        <w:rFonts w:hint="default"/>
        <w:lang w:val="zh-CN" w:eastAsia="zh-CN" w:bidi="zh-CN"/>
      </w:rPr>
    </w:lvl>
    <w:lvl w:ilvl="2">
      <w:start w:val="2"/>
      <w:numFmt w:val="decimal"/>
      <w:lvlText w:val="%1.%2.%3"/>
      <w:lvlJc w:val="left"/>
      <w:pPr>
        <w:ind w:left="996" w:hanging="579"/>
        <w:jc w:val="right"/>
      </w:pPr>
      <w:rPr>
        <w:rFonts w:hint="default"/>
        <w:w w:val="100"/>
        <w:lang w:val="zh-CN" w:eastAsia="zh-CN" w:bidi="zh-CN"/>
      </w:rPr>
    </w:lvl>
    <w:lvl w:ilvl="3">
      <w:start w:val="0"/>
      <w:numFmt w:val="bullet"/>
      <w:lvlText w:val="•"/>
      <w:lvlJc w:val="left"/>
      <w:pPr>
        <w:ind w:left="3893" w:hanging="579"/>
      </w:pPr>
      <w:rPr>
        <w:rFonts w:hint="default"/>
        <w:lang w:val="zh-CN" w:eastAsia="zh-CN" w:bidi="zh-CN"/>
      </w:rPr>
    </w:lvl>
    <w:lvl w:ilvl="4">
      <w:start w:val="0"/>
      <w:numFmt w:val="bullet"/>
      <w:lvlText w:val="•"/>
      <w:lvlJc w:val="left"/>
      <w:pPr>
        <w:ind w:left="4858" w:hanging="579"/>
      </w:pPr>
      <w:rPr>
        <w:rFonts w:hint="default"/>
        <w:lang w:val="zh-CN" w:eastAsia="zh-CN" w:bidi="zh-CN"/>
      </w:rPr>
    </w:lvl>
    <w:lvl w:ilvl="5">
      <w:start w:val="0"/>
      <w:numFmt w:val="bullet"/>
      <w:lvlText w:val="•"/>
      <w:lvlJc w:val="left"/>
      <w:pPr>
        <w:ind w:left="5823" w:hanging="579"/>
      </w:pPr>
      <w:rPr>
        <w:rFonts w:hint="default"/>
        <w:lang w:val="zh-CN" w:eastAsia="zh-CN" w:bidi="zh-CN"/>
      </w:rPr>
    </w:lvl>
    <w:lvl w:ilvl="6">
      <w:start w:val="0"/>
      <w:numFmt w:val="bullet"/>
      <w:lvlText w:val="•"/>
      <w:lvlJc w:val="left"/>
      <w:pPr>
        <w:ind w:left="6787" w:hanging="579"/>
      </w:pPr>
      <w:rPr>
        <w:rFonts w:hint="default"/>
        <w:lang w:val="zh-CN" w:eastAsia="zh-CN" w:bidi="zh-CN"/>
      </w:rPr>
    </w:lvl>
    <w:lvl w:ilvl="7">
      <w:start w:val="0"/>
      <w:numFmt w:val="bullet"/>
      <w:lvlText w:val="•"/>
      <w:lvlJc w:val="left"/>
      <w:pPr>
        <w:ind w:left="7752" w:hanging="579"/>
      </w:pPr>
      <w:rPr>
        <w:rFonts w:hint="default"/>
        <w:lang w:val="zh-CN" w:eastAsia="zh-CN" w:bidi="zh-CN"/>
      </w:rPr>
    </w:lvl>
    <w:lvl w:ilvl="8">
      <w:start w:val="0"/>
      <w:numFmt w:val="bullet"/>
      <w:lvlText w:val="•"/>
      <w:lvlJc w:val="left"/>
      <w:pPr>
        <w:ind w:left="8717" w:hanging="579"/>
      </w:pPr>
      <w:rPr>
        <w:rFonts w:hint="default"/>
        <w:lang w:val="zh-CN" w:eastAsia="zh-CN" w:bidi="zh-CN"/>
      </w:rPr>
    </w:lvl>
  </w:abstractNum>
  <w:abstractNum w:abstractNumId="915">
    <w:multiLevelType w:val="hybridMultilevel"/>
    <w:lvl w:ilvl="0">
      <w:start w:val="7"/>
      <w:numFmt w:val="decimal"/>
      <w:lvlText w:val="%1"/>
      <w:lvlJc w:val="left"/>
      <w:pPr>
        <w:ind w:left="996" w:hanging="579"/>
        <w:jc w:val="left"/>
      </w:pPr>
      <w:rPr>
        <w:rFonts w:hint="default"/>
        <w:lang w:val="zh-CN" w:eastAsia="zh-CN" w:bidi="zh-CN"/>
      </w:rPr>
    </w:lvl>
    <w:lvl w:ilvl="1">
      <w:start w:val="1"/>
      <w:numFmt w:val="decimal"/>
      <w:lvlText w:val="%1.%2"/>
      <w:lvlJc w:val="left"/>
      <w:pPr>
        <w:ind w:left="996" w:hanging="579"/>
        <w:jc w:val="left"/>
      </w:pPr>
      <w:rPr>
        <w:rFonts w:hint="default"/>
        <w:lang w:val="zh-CN" w:eastAsia="zh-CN" w:bidi="zh-CN"/>
      </w:rPr>
    </w:lvl>
    <w:lvl w:ilvl="2">
      <w:start w:val="4"/>
      <w:numFmt w:val="decimal"/>
      <w:lvlText w:val="%1.%2.%3"/>
      <w:lvlJc w:val="left"/>
      <w:pPr>
        <w:ind w:left="996" w:hanging="579"/>
        <w:jc w:val="right"/>
      </w:pPr>
      <w:rPr>
        <w:rFonts w:hint="default"/>
        <w:w w:val="100"/>
        <w:lang w:val="zh-CN" w:eastAsia="zh-CN" w:bidi="zh-CN"/>
      </w:rPr>
    </w:lvl>
    <w:lvl w:ilvl="3">
      <w:start w:val="0"/>
      <w:numFmt w:val="bullet"/>
      <w:lvlText w:val="•"/>
      <w:lvlJc w:val="left"/>
      <w:pPr>
        <w:ind w:left="3893" w:hanging="579"/>
      </w:pPr>
      <w:rPr>
        <w:rFonts w:hint="default"/>
        <w:lang w:val="zh-CN" w:eastAsia="zh-CN" w:bidi="zh-CN"/>
      </w:rPr>
    </w:lvl>
    <w:lvl w:ilvl="4">
      <w:start w:val="0"/>
      <w:numFmt w:val="bullet"/>
      <w:lvlText w:val="•"/>
      <w:lvlJc w:val="left"/>
      <w:pPr>
        <w:ind w:left="4858" w:hanging="579"/>
      </w:pPr>
      <w:rPr>
        <w:rFonts w:hint="default"/>
        <w:lang w:val="zh-CN" w:eastAsia="zh-CN" w:bidi="zh-CN"/>
      </w:rPr>
    </w:lvl>
    <w:lvl w:ilvl="5">
      <w:start w:val="0"/>
      <w:numFmt w:val="bullet"/>
      <w:lvlText w:val="•"/>
      <w:lvlJc w:val="left"/>
      <w:pPr>
        <w:ind w:left="5823" w:hanging="579"/>
      </w:pPr>
      <w:rPr>
        <w:rFonts w:hint="default"/>
        <w:lang w:val="zh-CN" w:eastAsia="zh-CN" w:bidi="zh-CN"/>
      </w:rPr>
    </w:lvl>
    <w:lvl w:ilvl="6">
      <w:start w:val="0"/>
      <w:numFmt w:val="bullet"/>
      <w:lvlText w:val="•"/>
      <w:lvlJc w:val="left"/>
      <w:pPr>
        <w:ind w:left="6787" w:hanging="579"/>
      </w:pPr>
      <w:rPr>
        <w:rFonts w:hint="default"/>
        <w:lang w:val="zh-CN" w:eastAsia="zh-CN" w:bidi="zh-CN"/>
      </w:rPr>
    </w:lvl>
    <w:lvl w:ilvl="7">
      <w:start w:val="0"/>
      <w:numFmt w:val="bullet"/>
      <w:lvlText w:val="•"/>
      <w:lvlJc w:val="left"/>
      <w:pPr>
        <w:ind w:left="7752" w:hanging="579"/>
      </w:pPr>
      <w:rPr>
        <w:rFonts w:hint="default"/>
        <w:lang w:val="zh-CN" w:eastAsia="zh-CN" w:bidi="zh-CN"/>
      </w:rPr>
    </w:lvl>
    <w:lvl w:ilvl="8">
      <w:start w:val="0"/>
      <w:numFmt w:val="bullet"/>
      <w:lvlText w:val="•"/>
      <w:lvlJc w:val="left"/>
      <w:pPr>
        <w:ind w:left="8717" w:hanging="579"/>
      </w:pPr>
      <w:rPr>
        <w:rFonts w:hint="default"/>
        <w:lang w:val="zh-CN" w:eastAsia="zh-CN" w:bidi="zh-CN"/>
      </w:rPr>
    </w:lvl>
  </w:abstractNum>
  <w:abstractNum w:abstractNumId="914">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913">
    <w:multiLevelType w:val="hybridMultilevel"/>
    <w:lvl w:ilvl="0">
      <w:start w:val="6"/>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912">
    <w:multiLevelType w:val="hybridMultilevel"/>
    <w:lvl w:ilvl="0">
      <w:start w:val="6"/>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11">
    <w:multiLevelType w:val="hybridMultilevel"/>
    <w:lvl w:ilvl="0">
      <w:start w:val="6"/>
      <w:numFmt w:val="decimal"/>
      <w:lvlText w:val="%1"/>
      <w:lvlJc w:val="left"/>
      <w:pPr>
        <w:ind w:left="838" w:hanging="529"/>
        <w:jc w:val="left"/>
      </w:pPr>
      <w:rPr>
        <w:rFonts w:hint="default"/>
        <w:lang w:val="zh-CN" w:eastAsia="zh-CN" w:bidi="zh-CN"/>
      </w:rPr>
    </w:lvl>
    <w:lvl w:ilvl="1">
      <w:start w:val="1"/>
      <w:numFmt w:val="decimal"/>
      <w:lvlText w:val="%1.%2"/>
      <w:lvlJc w:val="left"/>
      <w:pPr>
        <w:ind w:left="838" w:hanging="529"/>
        <w:jc w:val="left"/>
      </w:pPr>
      <w:rPr>
        <w:rFonts w:hint="default"/>
        <w:lang w:val="zh-CN" w:eastAsia="zh-CN" w:bidi="zh-CN"/>
      </w:rPr>
    </w:lvl>
    <w:lvl w:ilvl="2">
      <w:start w:val="5"/>
      <w:numFmt w:val="decimal"/>
      <w:lvlText w:val="%1.%2.%3"/>
      <w:lvlJc w:val="left"/>
      <w:pPr>
        <w:ind w:left="83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781" w:hanging="529"/>
      </w:pPr>
      <w:rPr>
        <w:rFonts w:hint="default"/>
        <w:lang w:val="zh-CN" w:eastAsia="zh-CN" w:bidi="zh-CN"/>
      </w:rPr>
    </w:lvl>
    <w:lvl w:ilvl="4">
      <w:start w:val="0"/>
      <w:numFmt w:val="bullet"/>
      <w:lvlText w:val="•"/>
      <w:lvlJc w:val="left"/>
      <w:pPr>
        <w:ind w:left="4762" w:hanging="529"/>
      </w:pPr>
      <w:rPr>
        <w:rFonts w:hint="default"/>
        <w:lang w:val="zh-CN" w:eastAsia="zh-CN" w:bidi="zh-CN"/>
      </w:rPr>
    </w:lvl>
    <w:lvl w:ilvl="5">
      <w:start w:val="0"/>
      <w:numFmt w:val="bullet"/>
      <w:lvlText w:val="•"/>
      <w:lvlJc w:val="left"/>
      <w:pPr>
        <w:ind w:left="5743" w:hanging="529"/>
      </w:pPr>
      <w:rPr>
        <w:rFonts w:hint="default"/>
        <w:lang w:val="zh-CN" w:eastAsia="zh-CN" w:bidi="zh-CN"/>
      </w:rPr>
    </w:lvl>
    <w:lvl w:ilvl="6">
      <w:start w:val="0"/>
      <w:numFmt w:val="bullet"/>
      <w:lvlText w:val="•"/>
      <w:lvlJc w:val="left"/>
      <w:pPr>
        <w:ind w:left="6723" w:hanging="529"/>
      </w:pPr>
      <w:rPr>
        <w:rFonts w:hint="default"/>
        <w:lang w:val="zh-CN" w:eastAsia="zh-CN" w:bidi="zh-CN"/>
      </w:rPr>
    </w:lvl>
    <w:lvl w:ilvl="7">
      <w:start w:val="0"/>
      <w:numFmt w:val="bullet"/>
      <w:lvlText w:val="•"/>
      <w:lvlJc w:val="left"/>
      <w:pPr>
        <w:ind w:left="7704" w:hanging="529"/>
      </w:pPr>
      <w:rPr>
        <w:rFonts w:hint="default"/>
        <w:lang w:val="zh-CN" w:eastAsia="zh-CN" w:bidi="zh-CN"/>
      </w:rPr>
    </w:lvl>
    <w:lvl w:ilvl="8">
      <w:start w:val="0"/>
      <w:numFmt w:val="bullet"/>
      <w:lvlText w:val="•"/>
      <w:lvlJc w:val="left"/>
      <w:pPr>
        <w:ind w:left="8685" w:hanging="529"/>
      </w:pPr>
      <w:rPr>
        <w:rFonts w:hint="default"/>
        <w:lang w:val="zh-CN" w:eastAsia="zh-CN" w:bidi="zh-CN"/>
      </w:rPr>
    </w:lvl>
  </w:abstractNum>
  <w:abstractNum w:abstractNumId="910">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909">
    <w:multiLevelType w:val="hybridMultilevel"/>
    <w:lvl w:ilvl="0">
      <w:start w:val="5"/>
      <w:numFmt w:val="decimal"/>
      <w:lvlText w:val="%1"/>
      <w:lvlJc w:val="left"/>
      <w:pPr>
        <w:ind w:left="418" w:hanging="424"/>
        <w:jc w:val="left"/>
      </w:pPr>
      <w:rPr>
        <w:rFonts w:hint="default"/>
        <w:lang w:val="zh-CN" w:eastAsia="zh-CN" w:bidi="zh-CN"/>
      </w:rPr>
    </w:lvl>
    <w:lvl w:ilvl="1">
      <w:start w:val="12"/>
      <w:numFmt w:val="decimal"/>
      <w:lvlText w:val="%1.%2"/>
      <w:lvlJc w:val="left"/>
      <w:pPr>
        <w:ind w:left="418"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424"/>
      </w:pPr>
      <w:rPr>
        <w:rFonts w:hint="default"/>
        <w:lang w:val="zh-CN" w:eastAsia="zh-CN" w:bidi="zh-CN"/>
      </w:rPr>
    </w:lvl>
    <w:lvl w:ilvl="3">
      <w:start w:val="0"/>
      <w:numFmt w:val="bullet"/>
      <w:lvlText w:val="•"/>
      <w:lvlJc w:val="left"/>
      <w:pPr>
        <w:ind w:left="3487" w:hanging="424"/>
      </w:pPr>
      <w:rPr>
        <w:rFonts w:hint="default"/>
        <w:lang w:val="zh-CN" w:eastAsia="zh-CN" w:bidi="zh-CN"/>
      </w:rPr>
    </w:lvl>
    <w:lvl w:ilvl="4">
      <w:start w:val="0"/>
      <w:numFmt w:val="bullet"/>
      <w:lvlText w:val="•"/>
      <w:lvlJc w:val="left"/>
      <w:pPr>
        <w:ind w:left="4510" w:hanging="424"/>
      </w:pPr>
      <w:rPr>
        <w:rFonts w:hint="default"/>
        <w:lang w:val="zh-CN" w:eastAsia="zh-CN" w:bidi="zh-CN"/>
      </w:rPr>
    </w:lvl>
    <w:lvl w:ilvl="5">
      <w:start w:val="0"/>
      <w:numFmt w:val="bullet"/>
      <w:lvlText w:val="•"/>
      <w:lvlJc w:val="left"/>
      <w:pPr>
        <w:ind w:left="5533" w:hanging="424"/>
      </w:pPr>
      <w:rPr>
        <w:rFonts w:hint="default"/>
        <w:lang w:val="zh-CN" w:eastAsia="zh-CN" w:bidi="zh-CN"/>
      </w:rPr>
    </w:lvl>
    <w:lvl w:ilvl="6">
      <w:start w:val="0"/>
      <w:numFmt w:val="bullet"/>
      <w:lvlText w:val="•"/>
      <w:lvlJc w:val="left"/>
      <w:pPr>
        <w:ind w:left="6555" w:hanging="424"/>
      </w:pPr>
      <w:rPr>
        <w:rFonts w:hint="default"/>
        <w:lang w:val="zh-CN" w:eastAsia="zh-CN" w:bidi="zh-CN"/>
      </w:rPr>
    </w:lvl>
    <w:lvl w:ilvl="7">
      <w:start w:val="0"/>
      <w:numFmt w:val="bullet"/>
      <w:lvlText w:val="•"/>
      <w:lvlJc w:val="left"/>
      <w:pPr>
        <w:ind w:left="7578" w:hanging="424"/>
      </w:pPr>
      <w:rPr>
        <w:rFonts w:hint="default"/>
        <w:lang w:val="zh-CN" w:eastAsia="zh-CN" w:bidi="zh-CN"/>
      </w:rPr>
    </w:lvl>
    <w:lvl w:ilvl="8">
      <w:start w:val="0"/>
      <w:numFmt w:val="bullet"/>
      <w:lvlText w:val="•"/>
      <w:lvlJc w:val="left"/>
      <w:pPr>
        <w:ind w:left="8601" w:hanging="424"/>
      </w:pPr>
      <w:rPr>
        <w:rFonts w:hint="default"/>
        <w:lang w:val="zh-CN" w:eastAsia="zh-CN" w:bidi="zh-CN"/>
      </w:rPr>
    </w:lvl>
  </w:abstractNum>
  <w:abstractNum w:abstractNumId="908">
    <w:multiLevelType w:val="hybridMultilevel"/>
    <w:lvl w:ilvl="0">
      <w:start w:val="1"/>
      <w:numFmt w:val="decimal"/>
      <w:lvlText w:val="%1"/>
      <w:lvlJc w:val="left"/>
      <w:pPr>
        <w:ind w:left="996" w:hanging="159"/>
        <w:jc w:val="left"/>
      </w:pPr>
      <w:rPr>
        <w:rFonts w:hint="default" w:ascii="宋体" w:hAnsi="宋体" w:eastAsia="宋体" w:cs="宋体"/>
        <w:w w:val="100"/>
        <w:sz w:val="21"/>
        <w:szCs w:val="21"/>
        <w:lang w:val="zh-CN" w:eastAsia="zh-CN" w:bidi="zh-CN"/>
      </w:rPr>
    </w:lvl>
    <w:lvl w:ilvl="1">
      <w:start w:val="0"/>
      <w:numFmt w:val="bullet"/>
      <w:lvlText w:val="•"/>
      <w:lvlJc w:val="left"/>
      <w:pPr>
        <w:ind w:left="1964" w:hanging="159"/>
      </w:pPr>
      <w:rPr>
        <w:rFonts w:hint="default"/>
        <w:lang w:val="zh-CN" w:eastAsia="zh-CN" w:bidi="zh-CN"/>
      </w:rPr>
    </w:lvl>
    <w:lvl w:ilvl="2">
      <w:start w:val="0"/>
      <w:numFmt w:val="bullet"/>
      <w:lvlText w:val="•"/>
      <w:lvlJc w:val="left"/>
      <w:pPr>
        <w:ind w:left="2929" w:hanging="159"/>
      </w:pPr>
      <w:rPr>
        <w:rFonts w:hint="default"/>
        <w:lang w:val="zh-CN" w:eastAsia="zh-CN" w:bidi="zh-CN"/>
      </w:rPr>
    </w:lvl>
    <w:lvl w:ilvl="3">
      <w:start w:val="0"/>
      <w:numFmt w:val="bullet"/>
      <w:lvlText w:val="•"/>
      <w:lvlJc w:val="left"/>
      <w:pPr>
        <w:ind w:left="3893" w:hanging="159"/>
      </w:pPr>
      <w:rPr>
        <w:rFonts w:hint="default"/>
        <w:lang w:val="zh-CN" w:eastAsia="zh-CN" w:bidi="zh-CN"/>
      </w:rPr>
    </w:lvl>
    <w:lvl w:ilvl="4">
      <w:start w:val="0"/>
      <w:numFmt w:val="bullet"/>
      <w:lvlText w:val="•"/>
      <w:lvlJc w:val="left"/>
      <w:pPr>
        <w:ind w:left="4858" w:hanging="159"/>
      </w:pPr>
      <w:rPr>
        <w:rFonts w:hint="default"/>
        <w:lang w:val="zh-CN" w:eastAsia="zh-CN" w:bidi="zh-CN"/>
      </w:rPr>
    </w:lvl>
    <w:lvl w:ilvl="5">
      <w:start w:val="0"/>
      <w:numFmt w:val="bullet"/>
      <w:lvlText w:val="•"/>
      <w:lvlJc w:val="left"/>
      <w:pPr>
        <w:ind w:left="5823" w:hanging="159"/>
      </w:pPr>
      <w:rPr>
        <w:rFonts w:hint="default"/>
        <w:lang w:val="zh-CN" w:eastAsia="zh-CN" w:bidi="zh-CN"/>
      </w:rPr>
    </w:lvl>
    <w:lvl w:ilvl="6">
      <w:start w:val="0"/>
      <w:numFmt w:val="bullet"/>
      <w:lvlText w:val="•"/>
      <w:lvlJc w:val="left"/>
      <w:pPr>
        <w:ind w:left="6787" w:hanging="159"/>
      </w:pPr>
      <w:rPr>
        <w:rFonts w:hint="default"/>
        <w:lang w:val="zh-CN" w:eastAsia="zh-CN" w:bidi="zh-CN"/>
      </w:rPr>
    </w:lvl>
    <w:lvl w:ilvl="7">
      <w:start w:val="0"/>
      <w:numFmt w:val="bullet"/>
      <w:lvlText w:val="•"/>
      <w:lvlJc w:val="left"/>
      <w:pPr>
        <w:ind w:left="7752" w:hanging="159"/>
      </w:pPr>
      <w:rPr>
        <w:rFonts w:hint="default"/>
        <w:lang w:val="zh-CN" w:eastAsia="zh-CN" w:bidi="zh-CN"/>
      </w:rPr>
    </w:lvl>
    <w:lvl w:ilvl="8">
      <w:start w:val="0"/>
      <w:numFmt w:val="bullet"/>
      <w:lvlText w:val="•"/>
      <w:lvlJc w:val="left"/>
      <w:pPr>
        <w:ind w:left="8717" w:hanging="159"/>
      </w:pPr>
      <w:rPr>
        <w:rFonts w:hint="default"/>
        <w:lang w:val="zh-CN" w:eastAsia="zh-CN" w:bidi="zh-CN"/>
      </w:rPr>
    </w:lvl>
  </w:abstractNum>
  <w:abstractNum w:abstractNumId="907">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righ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06">
    <w:multiLevelType w:val="hybridMultilevel"/>
    <w:lvl w:ilvl="0">
      <w:start w:val="4"/>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5"/>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05">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2573" w:hanging="584"/>
      </w:pPr>
      <w:rPr>
        <w:rFonts w:hint="default"/>
        <w:lang w:val="zh-CN" w:eastAsia="zh-CN" w:bidi="zh-CN"/>
      </w:rPr>
    </w:lvl>
    <w:lvl w:ilvl="4">
      <w:start w:val="0"/>
      <w:numFmt w:val="bullet"/>
      <w:lvlText w:val="•"/>
      <w:lvlJc w:val="left"/>
      <w:pPr>
        <w:ind w:left="3726" w:hanging="584"/>
      </w:pPr>
      <w:rPr>
        <w:rFonts w:hint="default"/>
        <w:lang w:val="zh-CN" w:eastAsia="zh-CN" w:bidi="zh-CN"/>
      </w:rPr>
    </w:lvl>
    <w:lvl w:ilvl="5">
      <w:start w:val="0"/>
      <w:numFmt w:val="bullet"/>
      <w:lvlText w:val="•"/>
      <w:lvlJc w:val="left"/>
      <w:pPr>
        <w:ind w:left="4879" w:hanging="584"/>
      </w:pPr>
      <w:rPr>
        <w:rFonts w:hint="default"/>
        <w:lang w:val="zh-CN" w:eastAsia="zh-CN" w:bidi="zh-CN"/>
      </w:rPr>
    </w:lvl>
    <w:lvl w:ilvl="6">
      <w:start w:val="0"/>
      <w:numFmt w:val="bullet"/>
      <w:lvlText w:val="•"/>
      <w:lvlJc w:val="left"/>
      <w:pPr>
        <w:ind w:left="6033" w:hanging="584"/>
      </w:pPr>
      <w:rPr>
        <w:rFonts w:hint="default"/>
        <w:lang w:val="zh-CN" w:eastAsia="zh-CN" w:bidi="zh-CN"/>
      </w:rPr>
    </w:lvl>
    <w:lvl w:ilvl="7">
      <w:start w:val="0"/>
      <w:numFmt w:val="bullet"/>
      <w:lvlText w:val="•"/>
      <w:lvlJc w:val="left"/>
      <w:pPr>
        <w:ind w:left="7186" w:hanging="584"/>
      </w:pPr>
      <w:rPr>
        <w:rFonts w:hint="default"/>
        <w:lang w:val="zh-CN" w:eastAsia="zh-CN" w:bidi="zh-CN"/>
      </w:rPr>
    </w:lvl>
    <w:lvl w:ilvl="8">
      <w:start w:val="0"/>
      <w:numFmt w:val="bullet"/>
      <w:lvlText w:val="•"/>
      <w:lvlJc w:val="left"/>
      <w:pPr>
        <w:ind w:left="8339" w:hanging="584"/>
      </w:pPr>
      <w:rPr>
        <w:rFonts w:hint="default"/>
        <w:lang w:val="zh-CN" w:eastAsia="zh-CN" w:bidi="zh-CN"/>
      </w:rPr>
    </w:lvl>
  </w:abstractNum>
  <w:abstractNum w:abstractNumId="904">
    <w:multiLevelType w:val="hybridMultilevel"/>
    <w:lvl w:ilvl="0">
      <w:start w:val="3"/>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903">
    <w:multiLevelType w:val="hybridMultilevel"/>
    <w:lvl w:ilvl="0">
      <w:start w:val="2"/>
      <w:numFmt w:val="decimal"/>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9"/>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02">
    <w:multiLevelType w:val="hybridMultilevel"/>
    <w:lvl w:ilvl="0">
      <w:start w:val="2"/>
      <w:numFmt w:val="decimal"/>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6"/>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901">
    <w:multiLevelType w:val="hybridMultilevel"/>
    <w:lvl w:ilvl="0">
      <w:start w:val="2"/>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900">
    <w:multiLevelType w:val="hybridMultilevel"/>
    <w:lvl w:ilvl="0">
      <w:start w:val="1"/>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color w:val="333333"/>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899">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898">
    <w:multiLevelType w:val="hybridMultilevel"/>
    <w:lvl w:ilvl="0">
      <w:start w:val="5"/>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897">
    <w:multiLevelType w:val="hybridMultilevel"/>
    <w:lvl w:ilvl="0">
      <w:start w:val="5"/>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96">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7" w:hanging="529"/>
        <w:jc w:val="righ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895">
    <w:multiLevelType w:val="hybridMultilevel"/>
    <w:lvl w:ilvl="0">
      <w:start w:val="4"/>
      <w:numFmt w:val="decimal"/>
      <w:lvlText w:val="%1"/>
      <w:lvlJc w:val="left"/>
      <w:pPr>
        <w:ind w:left="418" w:hanging="424"/>
        <w:jc w:val="left"/>
      </w:pPr>
      <w:rPr>
        <w:rFonts w:hint="default"/>
        <w:lang w:val="zh-CN" w:eastAsia="zh-CN" w:bidi="zh-CN"/>
      </w:rPr>
    </w:lvl>
    <w:lvl w:ilvl="1">
      <w:start w:val="16"/>
      <w:numFmt w:val="decimal"/>
      <w:lvlText w:val="%1.%2"/>
      <w:lvlJc w:val="left"/>
      <w:pPr>
        <w:ind w:left="418"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424"/>
      </w:pPr>
      <w:rPr>
        <w:rFonts w:hint="default"/>
        <w:lang w:val="zh-CN" w:eastAsia="zh-CN" w:bidi="zh-CN"/>
      </w:rPr>
    </w:lvl>
    <w:lvl w:ilvl="3">
      <w:start w:val="0"/>
      <w:numFmt w:val="bullet"/>
      <w:lvlText w:val="•"/>
      <w:lvlJc w:val="left"/>
      <w:pPr>
        <w:ind w:left="3487" w:hanging="424"/>
      </w:pPr>
      <w:rPr>
        <w:rFonts w:hint="default"/>
        <w:lang w:val="zh-CN" w:eastAsia="zh-CN" w:bidi="zh-CN"/>
      </w:rPr>
    </w:lvl>
    <w:lvl w:ilvl="4">
      <w:start w:val="0"/>
      <w:numFmt w:val="bullet"/>
      <w:lvlText w:val="•"/>
      <w:lvlJc w:val="left"/>
      <w:pPr>
        <w:ind w:left="4510" w:hanging="424"/>
      </w:pPr>
      <w:rPr>
        <w:rFonts w:hint="default"/>
        <w:lang w:val="zh-CN" w:eastAsia="zh-CN" w:bidi="zh-CN"/>
      </w:rPr>
    </w:lvl>
    <w:lvl w:ilvl="5">
      <w:start w:val="0"/>
      <w:numFmt w:val="bullet"/>
      <w:lvlText w:val="•"/>
      <w:lvlJc w:val="left"/>
      <w:pPr>
        <w:ind w:left="5533" w:hanging="424"/>
      </w:pPr>
      <w:rPr>
        <w:rFonts w:hint="default"/>
        <w:lang w:val="zh-CN" w:eastAsia="zh-CN" w:bidi="zh-CN"/>
      </w:rPr>
    </w:lvl>
    <w:lvl w:ilvl="6">
      <w:start w:val="0"/>
      <w:numFmt w:val="bullet"/>
      <w:lvlText w:val="•"/>
      <w:lvlJc w:val="left"/>
      <w:pPr>
        <w:ind w:left="6555" w:hanging="424"/>
      </w:pPr>
      <w:rPr>
        <w:rFonts w:hint="default"/>
        <w:lang w:val="zh-CN" w:eastAsia="zh-CN" w:bidi="zh-CN"/>
      </w:rPr>
    </w:lvl>
    <w:lvl w:ilvl="7">
      <w:start w:val="0"/>
      <w:numFmt w:val="bullet"/>
      <w:lvlText w:val="•"/>
      <w:lvlJc w:val="left"/>
      <w:pPr>
        <w:ind w:left="7578" w:hanging="424"/>
      </w:pPr>
      <w:rPr>
        <w:rFonts w:hint="default"/>
        <w:lang w:val="zh-CN" w:eastAsia="zh-CN" w:bidi="zh-CN"/>
      </w:rPr>
    </w:lvl>
    <w:lvl w:ilvl="8">
      <w:start w:val="0"/>
      <w:numFmt w:val="bullet"/>
      <w:lvlText w:val="•"/>
      <w:lvlJc w:val="left"/>
      <w:pPr>
        <w:ind w:left="8601" w:hanging="424"/>
      </w:pPr>
      <w:rPr>
        <w:rFonts w:hint="default"/>
        <w:lang w:val="zh-CN" w:eastAsia="zh-CN" w:bidi="zh-CN"/>
      </w:rPr>
    </w:lvl>
  </w:abstractNum>
  <w:abstractNum w:abstractNumId="894">
    <w:multiLevelType w:val="hybridMultilevel"/>
    <w:lvl w:ilvl="0">
      <w:start w:val="4"/>
      <w:numFmt w:val="decimal"/>
      <w:lvlText w:val="%1"/>
      <w:lvlJc w:val="left"/>
      <w:pPr>
        <w:ind w:left="418" w:hanging="318"/>
        <w:jc w:val="left"/>
      </w:pPr>
      <w:rPr>
        <w:rFonts w:hint="default"/>
        <w:lang w:val="zh-CN" w:eastAsia="zh-CN" w:bidi="zh-CN"/>
      </w:rPr>
    </w:lvl>
    <w:lvl w:ilvl="1">
      <w:start w:val="1"/>
      <w:numFmt w:val="decimal"/>
      <w:lvlText w:val="%1.%2"/>
      <w:lvlJc w:val="left"/>
      <w:pPr>
        <w:ind w:left="41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893">
    <w:multiLevelType w:val="hybridMultilevel"/>
    <w:lvl w:ilvl="0">
      <w:start w:val="3"/>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892">
    <w:multiLevelType w:val="hybridMultilevel"/>
    <w:lvl w:ilvl="0">
      <w:start w:val="1"/>
      <w:numFmt w:val="decimal"/>
      <w:lvlText w:val="%1"/>
      <w:lvlJc w:val="left"/>
      <w:pPr>
        <w:ind w:left="418" w:hanging="318"/>
        <w:jc w:val="left"/>
      </w:pPr>
      <w:rPr>
        <w:rFonts w:hint="default"/>
        <w:lang w:val="zh-CN" w:eastAsia="zh-CN" w:bidi="zh-CN"/>
      </w:rPr>
    </w:lvl>
    <w:lvl w:ilvl="1">
      <w:start w:val="3"/>
      <w:numFmt w:val="decimal"/>
      <w:lvlText w:val="%1.%2"/>
      <w:lvlJc w:val="left"/>
      <w:pPr>
        <w:ind w:left="418" w:hanging="318"/>
        <w:jc w:val="left"/>
      </w:pPr>
      <w:rPr>
        <w:rFonts w:hint="default" w:ascii="宋体" w:hAnsi="宋体" w:eastAsia="宋体" w:cs="宋体"/>
        <w:b/>
        <w:bCs/>
        <w:color w:val="333333"/>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891">
    <w:multiLevelType w:val="hybridMultilevel"/>
    <w:lvl w:ilvl="0">
      <w:start w:val="9"/>
      <w:numFmt w:val="decimal"/>
      <w:lvlText w:val="%1"/>
      <w:lvlJc w:val="left"/>
      <w:pPr>
        <w:ind w:left="418" w:hanging="529"/>
        <w:jc w:val="left"/>
      </w:pPr>
      <w:rPr>
        <w:rFonts w:hint="default"/>
        <w:lang w:val="zh-CN" w:eastAsia="zh-CN" w:bidi="zh-CN"/>
      </w:rPr>
    </w:lvl>
    <w:lvl w:ilvl="1">
      <w:start w:val="0"/>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90">
    <w:multiLevelType w:val="hybridMultilevel"/>
    <w:lvl w:ilvl="0">
      <w:start w:val="8"/>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89">
    <w:multiLevelType w:val="hybridMultilevel"/>
    <w:lvl w:ilvl="0">
      <w:start w:val="8"/>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888">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360" w:hanging="531"/>
      </w:pPr>
      <w:rPr>
        <w:rFonts w:hint="default"/>
        <w:lang w:val="zh-CN" w:eastAsia="zh-CN" w:bidi="zh-CN"/>
      </w:rPr>
    </w:lvl>
    <w:lvl w:ilvl="4">
      <w:start w:val="0"/>
      <w:numFmt w:val="bullet"/>
      <w:lvlText w:val="•"/>
      <w:lvlJc w:val="left"/>
      <w:pPr>
        <w:ind w:left="2686" w:hanging="531"/>
      </w:pPr>
      <w:rPr>
        <w:rFonts w:hint="default"/>
        <w:lang w:val="zh-CN" w:eastAsia="zh-CN" w:bidi="zh-CN"/>
      </w:rPr>
    </w:lvl>
    <w:lvl w:ilvl="5">
      <w:start w:val="0"/>
      <w:numFmt w:val="bullet"/>
      <w:lvlText w:val="•"/>
      <w:lvlJc w:val="left"/>
      <w:pPr>
        <w:ind w:left="4013" w:hanging="531"/>
      </w:pPr>
      <w:rPr>
        <w:rFonts w:hint="default"/>
        <w:lang w:val="zh-CN" w:eastAsia="zh-CN" w:bidi="zh-CN"/>
      </w:rPr>
    </w:lvl>
    <w:lvl w:ilvl="6">
      <w:start w:val="0"/>
      <w:numFmt w:val="bullet"/>
      <w:lvlText w:val="•"/>
      <w:lvlJc w:val="left"/>
      <w:pPr>
        <w:ind w:left="5339" w:hanging="531"/>
      </w:pPr>
      <w:rPr>
        <w:rFonts w:hint="default"/>
        <w:lang w:val="zh-CN" w:eastAsia="zh-CN" w:bidi="zh-CN"/>
      </w:rPr>
    </w:lvl>
    <w:lvl w:ilvl="7">
      <w:start w:val="0"/>
      <w:numFmt w:val="bullet"/>
      <w:lvlText w:val="•"/>
      <w:lvlJc w:val="left"/>
      <w:pPr>
        <w:ind w:left="6666" w:hanging="531"/>
      </w:pPr>
      <w:rPr>
        <w:rFonts w:hint="default"/>
        <w:lang w:val="zh-CN" w:eastAsia="zh-CN" w:bidi="zh-CN"/>
      </w:rPr>
    </w:lvl>
    <w:lvl w:ilvl="8">
      <w:start w:val="0"/>
      <w:numFmt w:val="bullet"/>
      <w:lvlText w:val="•"/>
      <w:lvlJc w:val="left"/>
      <w:pPr>
        <w:ind w:left="7993" w:hanging="531"/>
      </w:pPr>
      <w:rPr>
        <w:rFonts w:hint="default"/>
        <w:lang w:val="zh-CN" w:eastAsia="zh-CN" w:bidi="zh-CN"/>
      </w:rPr>
    </w:lvl>
  </w:abstractNum>
  <w:abstractNum w:abstractNumId="887">
    <w:multiLevelType w:val="hybridMultilevel"/>
    <w:lvl w:ilvl="0">
      <w:start w:val="6"/>
      <w:numFmt w:val="decimal"/>
      <w:lvlText w:val="%1"/>
      <w:lvlJc w:val="left"/>
      <w:pPr>
        <w:ind w:left="418" w:hanging="531"/>
        <w:jc w:val="left"/>
      </w:pPr>
      <w:rPr>
        <w:rFonts w:hint="default"/>
        <w:lang w:val="zh-CN" w:eastAsia="zh-CN" w:bidi="zh-CN"/>
      </w:rPr>
    </w:lvl>
    <w:lvl w:ilvl="1">
      <w:start w:val="5"/>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886">
    <w:multiLevelType w:val="hybridMultilevel"/>
    <w:lvl w:ilvl="0">
      <w:start w:val="6"/>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85">
    <w:multiLevelType w:val="hybridMultilevel"/>
    <w:lvl w:ilvl="0">
      <w:start w:val="6"/>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3"/>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84">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883">
    <w:multiLevelType w:val="hybridMultilevel"/>
    <w:lvl w:ilvl="0">
      <w:start w:val="5"/>
      <w:numFmt w:val="decimal"/>
      <w:lvlText w:val="%1"/>
      <w:lvlJc w:val="left"/>
      <w:pPr>
        <w:ind w:left="418" w:hanging="529"/>
        <w:jc w:val="left"/>
      </w:pPr>
      <w:rPr>
        <w:rFonts w:hint="default"/>
        <w:lang w:val="zh-CN" w:eastAsia="zh-CN" w:bidi="zh-CN"/>
      </w:rPr>
    </w:lvl>
    <w:lvl w:ilvl="1">
      <w:start w:val="1"/>
      <w:numFmt w:val="decimal"/>
      <w:lvlText w:val="%1.%2"/>
      <w:lvlJc w:val="left"/>
      <w:pPr>
        <w:ind w:left="418" w:hanging="529"/>
        <w:jc w:val="left"/>
      </w:pPr>
      <w:rPr>
        <w:rFonts w:hint="default"/>
        <w:lang w:val="zh-CN" w:eastAsia="zh-CN" w:bidi="zh-CN"/>
      </w:rPr>
    </w:lvl>
    <w:lvl w:ilvl="2">
      <w:start w:val="3"/>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82">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881">
    <w:multiLevelType w:val="hybridMultilevel"/>
    <w:lvl w:ilvl="0">
      <w:start w:val="1"/>
      <w:numFmt w:val="decimal"/>
      <w:lvlText w:val="（%1）"/>
      <w:lvlJc w:val="left"/>
      <w:pPr>
        <w:ind w:left="947" w:hanging="529"/>
        <w:jc w:val="left"/>
      </w:pPr>
      <w:rPr>
        <w:rFonts w:hint="default" w:ascii="宋体" w:hAnsi="宋体" w:eastAsia="宋体" w:cs="宋体"/>
        <w:spacing w:val="-3"/>
        <w:w w:val="100"/>
        <w:sz w:val="19"/>
        <w:szCs w:val="19"/>
        <w:lang w:val="zh-CN" w:eastAsia="zh-CN" w:bidi="zh-CN"/>
      </w:rPr>
    </w:lvl>
    <w:lvl w:ilvl="1">
      <w:start w:val="2"/>
      <w:numFmt w:val="decimal"/>
      <w:lvlText w:val="（%2）"/>
      <w:lvlJc w:val="left"/>
      <w:pPr>
        <w:ind w:left="1367" w:hanging="529"/>
        <w:jc w:val="left"/>
      </w:pPr>
      <w:rPr>
        <w:rFonts w:hint="default" w:ascii="宋体" w:hAnsi="宋体" w:eastAsia="宋体" w:cs="宋体"/>
        <w:spacing w:val="-3"/>
        <w:w w:val="100"/>
        <w:sz w:val="19"/>
        <w:szCs w:val="19"/>
        <w:lang w:val="zh-CN" w:eastAsia="zh-CN" w:bidi="zh-CN"/>
      </w:rPr>
    </w:lvl>
    <w:lvl w:ilvl="2">
      <w:start w:val="0"/>
      <w:numFmt w:val="bullet"/>
      <w:lvlText w:val="•"/>
      <w:lvlJc w:val="left"/>
      <w:pPr>
        <w:ind w:left="2391" w:hanging="529"/>
      </w:pPr>
      <w:rPr>
        <w:rFonts w:hint="default"/>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880">
    <w:multiLevelType w:val="hybridMultilevel"/>
    <w:lvl w:ilvl="0">
      <w:start w:val="2"/>
      <w:numFmt w:val="decimal"/>
      <w:lvlText w:val="%1."/>
      <w:lvlJc w:val="left"/>
      <w:pPr>
        <w:ind w:left="418" w:hanging="213"/>
        <w:jc w:val="left"/>
      </w:pPr>
      <w:rPr>
        <w:rFonts w:hint="default" w:ascii="宋体" w:hAnsi="宋体" w:eastAsia="宋体" w:cs="宋体"/>
        <w:spacing w:val="-5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879">
    <w:multiLevelType w:val="hybridMultilevel"/>
    <w:lvl w:ilvl="0">
      <w:start w:val="4"/>
      <w:numFmt w:val="decimal"/>
      <w:lvlText w:val="%1"/>
      <w:lvlJc w:val="left"/>
      <w:pPr>
        <w:ind w:left="1158" w:hanging="318"/>
        <w:jc w:val="left"/>
      </w:pPr>
      <w:rPr>
        <w:rFonts w:hint="default"/>
        <w:lang w:val="zh-CN" w:eastAsia="zh-CN" w:bidi="zh-CN"/>
      </w:rPr>
    </w:lvl>
    <w:lvl w:ilvl="1">
      <w:start w:val="6"/>
      <w:numFmt w:val="decimal"/>
      <w:lvlText w:val="%1.%2"/>
      <w:lvlJc w:val="left"/>
      <w:pPr>
        <w:ind w:left="1158" w:hanging="318"/>
        <w:jc w:val="left"/>
      </w:pPr>
      <w:rPr>
        <w:rFonts w:hint="default" w:ascii="宋体" w:hAnsi="宋体" w:eastAsia="宋体" w:cs="宋体"/>
        <w:b/>
        <w:bCs/>
        <w:color w:val="333333"/>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878">
    <w:multiLevelType w:val="hybridMultilevel"/>
    <w:lvl w:ilvl="0">
      <w:start w:val="4"/>
      <w:numFmt w:val="decimal"/>
      <w:lvlText w:val="%1"/>
      <w:lvlJc w:val="left"/>
      <w:pPr>
        <w:ind w:left="418" w:hanging="531"/>
        <w:jc w:val="left"/>
      </w:pPr>
      <w:rPr>
        <w:rFonts w:hint="default"/>
        <w:lang w:val="zh-CN" w:eastAsia="zh-CN" w:bidi="zh-CN"/>
      </w:rPr>
    </w:lvl>
    <w:lvl w:ilvl="1">
      <w:start w:val="5"/>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877">
    <w:multiLevelType w:val="hybridMultilevel"/>
    <w:lvl w:ilvl="0">
      <w:start w:val="4"/>
      <w:numFmt w:val="decimal"/>
      <w:lvlText w:val="%1"/>
      <w:lvlJc w:val="left"/>
      <w:pPr>
        <w:ind w:left="418" w:hanging="584"/>
        <w:jc w:val="left"/>
      </w:pPr>
      <w:rPr>
        <w:rFonts w:hint="default"/>
        <w:lang w:val="zh-CN" w:eastAsia="zh-CN" w:bidi="zh-CN"/>
      </w:rPr>
    </w:lvl>
    <w:lvl w:ilvl="1">
      <w:start w:val="4"/>
      <w:numFmt w:val="decimal"/>
      <w:lvlText w:val="%1.%2"/>
      <w:lvlJc w:val="left"/>
      <w:pPr>
        <w:ind w:left="418" w:hanging="584"/>
        <w:jc w:val="left"/>
      </w:pPr>
      <w:rPr>
        <w:rFonts w:hint="default"/>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876">
    <w:multiLevelType w:val="hybridMultilevel"/>
    <w:lvl w:ilvl="0">
      <w:start w:val="4"/>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875">
    <w:multiLevelType w:val="hybridMultilevel"/>
    <w:lvl w:ilvl="0">
      <w:start w:val="2"/>
      <w:numFmt w:val="decimal"/>
      <w:lvlText w:val="%1."/>
      <w:lvlJc w:val="left"/>
      <w:pPr>
        <w:ind w:left="1050" w:hanging="213"/>
        <w:jc w:val="left"/>
      </w:pPr>
      <w:rPr>
        <w:rFonts w:hint="default" w:ascii="宋体" w:hAnsi="宋体" w:eastAsia="宋体" w:cs="宋体"/>
        <w:spacing w:val="-5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874">
    <w:multiLevelType w:val="hybridMultilevel"/>
    <w:lvl w:ilvl="0">
      <w:start w:val="4"/>
      <w:numFmt w:val="decimal"/>
      <w:lvlText w:val="%1"/>
      <w:lvlJc w:val="left"/>
      <w:pPr>
        <w:ind w:left="418" w:hanging="584"/>
        <w:jc w:val="left"/>
      </w:pPr>
      <w:rPr>
        <w:rFonts w:hint="default"/>
        <w:lang w:val="zh-CN" w:eastAsia="zh-CN" w:bidi="zh-CN"/>
      </w:rPr>
    </w:lvl>
    <w:lvl w:ilvl="1">
      <w:start w:val="2"/>
      <w:numFmt w:val="decimal"/>
      <w:lvlText w:val="%1.%2"/>
      <w:lvlJc w:val="left"/>
      <w:pPr>
        <w:ind w:left="418" w:hanging="584"/>
        <w:jc w:val="left"/>
      </w:pPr>
      <w:rPr>
        <w:rFonts w:hint="default"/>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873">
    <w:multiLevelType w:val="hybridMultilevel"/>
    <w:lvl w:ilvl="0">
      <w:start w:val="1"/>
      <w:numFmt w:val="decimal"/>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872">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871">
    <w:multiLevelType w:val="hybridMultilevel"/>
    <w:lvl w:ilvl="0">
      <w:start w:val="2"/>
      <w:numFmt w:val="decimal"/>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870">
    <w:multiLevelType w:val="hybridMultilevel"/>
    <w:lvl w:ilvl="0">
      <w:start w:val="3"/>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869">
    <w:multiLevelType w:val="hybridMultilevel"/>
    <w:lvl w:ilvl="0">
      <w:start w:val="3"/>
      <w:numFmt w:val="decimal"/>
      <w:lvlText w:val="%1"/>
      <w:lvlJc w:val="left"/>
      <w:pPr>
        <w:ind w:left="418" w:hanging="584"/>
        <w:jc w:val="left"/>
      </w:pPr>
      <w:rPr>
        <w:rFonts w:hint="default"/>
        <w:lang w:val="zh-CN" w:eastAsia="zh-CN" w:bidi="zh-CN"/>
      </w:rPr>
    </w:lvl>
    <w:lvl w:ilvl="1">
      <w:start w:val="2"/>
      <w:numFmt w:val="decimal"/>
      <w:lvlText w:val="%1.%2"/>
      <w:lvlJc w:val="left"/>
      <w:pPr>
        <w:ind w:left="418" w:hanging="584"/>
        <w:jc w:val="left"/>
      </w:pPr>
      <w:rPr>
        <w:rFonts w:hint="default"/>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868">
    <w:multiLevelType w:val="hybridMultilevel"/>
    <w:lvl w:ilvl="0">
      <w:start w:val="3"/>
      <w:numFmt w:val="decimal"/>
      <w:lvlText w:val="%1"/>
      <w:lvlJc w:val="left"/>
      <w:pPr>
        <w:ind w:left="418" w:hanging="584"/>
        <w:jc w:val="left"/>
      </w:pPr>
      <w:rPr>
        <w:rFonts w:hint="default"/>
        <w:lang w:val="zh-CN" w:eastAsia="zh-CN" w:bidi="zh-CN"/>
      </w:rPr>
    </w:lvl>
    <w:lvl w:ilvl="1">
      <w:start w:val="1"/>
      <w:numFmt w:val="decimal"/>
      <w:lvlText w:val="%1.%2"/>
      <w:lvlJc w:val="left"/>
      <w:pPr>
        <w:ind w:left="418" w:hanging="584"/>
        <w:jc w:val="left"/>
      </w:pPr>
      <w:rPr>
        <w:rFonts w:hint="default"/>
        <w:lang w:val="zh-CN" w:eastAsia="zh-CN" w:bidi="zh-CN"/>
      </w:rPr>
    </w:lvl>
    <w:lvl w:ilvl="2">
      <w:start w:val="7"/>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867">
    <w:multiLevelType w:val="hybridMultilevel"/>
    <w:lvl w:ilvl="0">
      <w:start w:val="3"/>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866">
    <w:multiLevelType w:val="hybridMultilevel"/>
    <w:lvl w:ilvl="0">
      <w:start w:val="2"/>
      <w:numFmt w:val="decimal"/>
      <w:lvlText w:val="%1"/>
      <w:lvlJc w:val="left"/>
      <w:pPr>
        <w:ind w:left="838" w:hanging="584"/>
        <w:jc w:val="left"/>
      </w:pPr>
      <w:rPr>
        <w:rFonts w:hint="default"/>
        <w:lang w:val="zh-CN" w:eastAsia="zh-CN" w:bidi="zh-CN"/>
      </w:rPr>
    </w:lvl>
    <w:lvl w:ilvl="1">
      <w:start w:val="2"/>
      <w:numFmt w:val="decimal"/>
      <w:lvlText w:val="%1.%2"/>
      <w:lvlJc w:val="left"/>
      <w:pPr>
        <w:ind w:left="838" w:hanging="584"/>
        <w:jc w:val="left"/>
      </w:pPr>
      <w:rPr>
        <w:rFonts w:hint="default"/>
        <w:lang w:val="zh-CN" w:eastAsia="zh-CN" w:bidi="zh-CN"/>
      </w:rPr>
    </w:lvl>
    <w:lvl w:ilvl="2">
      <w:start w:val="4"/>
      <w:numFmt w:val="decimal"/>
      <w:lvlText w:val="%1.%2.%3"/>
      <w:lvlJc w:val="left"/>
      <w:pPr>
        <w:ind w:left="838" w:hanging="584"/>
        <w:jc w:val="left"/>
      </w:pPr>
      <w:rPr>
        <w:rFonts w:hint="default"/>
        <w:b/>
        <w:bCs/>
        <w:w w:val="99"/>
        <w:lang w:val="zh-CN" w:eastAsia="zh-CN" w:bidi="zh-CN"/>
      </w:rPr>
    </w:lvl>
    <w:lvl w:ilvl="3">
      <w:start w:val="0"/>
      <w:numFmt w:val="bullet"/>
      <w:lvlText w:val="•"/>
      <w:lvlJc w:val="left"/>
      <w:pPr>
        <w:ind w:left="3781" w:hanging="584"/>
      </w:pPr>
      <w:rPr>
        <w:rFonts w:hint="default"/>
        <w:lang w:val="zh-CN" w:eastAsia="zh-CN" w:bidi="zh-CN"/>
      </w:rPr>
    </w:lvl>
    <w:lvl w:ilvl="4">
      <w:start w:val="0"/>
      <w:numFmt w:val="bullet"/>
      <w:lvlText w:val="•"/>
      <w:lvlJc w:val="left"/>
      <w:pPr>
        <w:ind w:left="4762" w:hanging="584"/>
      </w:pPr>
      <w:rPr>
        <w:rFonts w:hint="default"/>
        <w:lang w:val="zh-CN" w:eastAsia="zh-CN" w:bidi="zh-CN"/>
      </w:rPr>
    </w:lvl>
    <w:lvl w:ilvl="5">
      <w:start w:val="0"/>
      <w:numFmt w:val="bullet"/>
      <w:lvlText w:val="•"/>
      <w:lvlJc w:val="left"/>
      <w:pPr>
        <w:ind w:left="5743" w:hanging="584"/>
      </w:pPr>
      <w:rPr>
        <w:rFonts w:hint="default"/>
        <w:lang w:val="zh-CN" w:eastAsia="zh-CN" w:bidi="zh-CN"/>
      </w:rPr>
    </w:lvl>
    <w:lvl w:ilvl="6">
      <w:start w:val="0"/>
      <w:numFmt w:val="bullet"/>
      <w:lvlText w:val="•"/>
      <w:lvlJc w:val="left"/>
      <w:pPr>
        <w:ind w:left="6723" w:hanging="584"/>
      </w:pPr>
      <w:rPr>
        <w:rFonts w:hint="default"/>
        <w:lang w:val="zh-CN" w:eastAsia="zh-CN" w:bidi="zh-CN"/>
      </w:rPr>
    </w:lvl>
    <w:lvl w:ilvl="7">
      <w:start w:val="0"/>
      <w:numFmt w:val="bullet"/>
      <w:lvlText w:val="•"/>
      <w:lvlJc w:val="left"/>
      <w:pPr>
        <w:ind w:left="7704" w:hanging="584"/>
      </w:pPr>
      <w:rPr>
        <w:rFonts w:hint="default"/>
        <w:lang w:val="zh-CN" w:eastAsia="zh-CN" w:bidi="zh-CN"/>
      </w:rPr>
    </w:lvl>
    <w:lvl w:ilvl="8">
      <w:start w:val="0"/>
      <w:numFmt w:val="bullet"/>
      <w:lvlText w:val="•"/>
      <w:lvlJc w:val="left"/>
      <w:pPr>
        <w:ind w:left="8685" w:hanging="584"/>
      </w:pPr>
      <w:rPr>
        <w:rFonts w:hint="default"/>
        <w:lang w:val="zh-CN" w:eastAsia="zh-CN" w:bidi="zh-CN"/>
      </w:rPr>
    </w:lvl>
  </w:abstractNum>
  <w:abstractNum w:abstractNumId="865">
    <w:multiLevelType w:val="hybridMultilevel"/>
    <w:lvl w:ilvl="0">
      <w:start w:val="2"/>
      <w:numFmt w:val="decimal"/>
      <w:lvlText w:val="%1"/>
      <w:lvlJc w:val="left"/>
      <w:pPr>
        <w:ind w:left="1529" w:hanging="689"/>
        <w:jc w:val="left"/>
      </w:pPr>
      <w:rPr>
        <w:rFonts w:hint="default"/>
        <w:lang w:val="zh-CN" w:eastAsia="zh-CN" w:bidi="zh-CN"/>
      </w:rPr>
    </w:lvl>
    <w:lvl w:ilvl="1">
      <w:start w:val="1"/>
      <w:numFmt w:val="decimal"/>
      <w:lvlText w:val="%1.%2"/>
      <w:lvlJc w:val="left"/>
      <w:pPr>
        <w:ind w:left="1529" w:hanging="689"/>
        <w:jc w:val="left"/>
      </w:pPr>
      <w:rPr>
        <w:rFonts w:hint="default"/>
        <w:lang w:val="zh-CN" w:eastAsia="zh-CN" w:bidi="zh-CN"/>
      </w:rPr>
    </w:lvl>
    <w:lvl w:ilvl="2">
      <w:start w:val="11"/>
      <w:numFmt w:val="decimal"/>
      <w:lvlText w:val="%1.%2.%3"/>
      <w:lvlJc w:val="left"/>
      <w:pPr>
        <w:ind w:left="1529" w:hanging="689"/>
        <w:jc w:val="left"/>
      </w:pPr>
      <w:rPr>
        <w:rFonts w:hint="default" w:ascii="宋体" w:hAnsi="宋体" w:eastAsia="宋体" w:cs="宋体"/>
        <w:b/>
        <w:bCs/>
        <w:color w:val="333333"/>
        <w:w w:val="99"/>
        <w:sz w:val="21"/>
        <w:szCs w:val="21"/>
        <w:lang w:val="zh-CN" w:eastAsia="zh-CN" w:bidi="zh-CN"/>
      </w:rPr>
    </w:lvl>
    <w:lvl w:ilvl="3">
      <w:start w:val="0"/>
      <w:numFmt w:val="bullet"/>
      <w:lvlText w:val="•"/>
      <w:lvlJc w:val="left"/>
      <w:pPr>
        <w:ind w:left="4257" w:hanging="689"/>
      </w:pPr>
      <w:rPr>
        <w:rFonts w:hint="default"/>
        <w:lang w:val="zh-CN" w:eastAsia="zh-CN" w:bidi="zh-CN"/>
      </w:rPr>
    </w:lvl>
    <w:lvl w:ilvl="4">
      <w:start w:val="0"/>
      <w:numFmt w:val="bullet"/>
      <w:lvlText w:val="•"/>
      <w:lvlJc w:val="left"/>
      <w:pPr>
        <w:ind w:left="5170" w:hanging="689"/>
      </w:pPr>
      <w:rPr>
        <w:rFonts w:hint="default"/>
        <w:lang w:val="zh-CN" w:eastAsia="zh-CN" w:bidi="zh-CN"/>
      </w:rPr>
    </w:lvl>
    <w:lvl w:ilvl="5">
      <w:start w:val="0"/>
      <w:numFmt w:val="bullet"/>
      <w:lvlText w:val="•"/>
      <w:lvlJc w:val="left"/>
      <w:pPr>
        <w:ind w:left="6083" w:hanging="689"/>
      </w:pPr>
      <w:rPr>
        <w:rFonts w:hint="default"/>
        <w:lang w:val="zh-CN" w:eastAsia="zh-CN" w:bidi="zh-CN"/>
      </w:rPr>
    </w:lvl>
    <w:lvl w:ilvl="6">
      <w:start w:val="0"/>
      <w:numFmt w:val="bullet"/>
      <w:lvlText w:val="•"/>
      <w:lvlJc w:val="left"/>
      <w:pPr>
        <w:ind w:left="6995" w:hanging="689"/>
      </w:pPr>
      <w:rPr>
        <w:rFonts w:hint="default"/>
        <w:lang w:val="zh-CN" w:eastAsia="zh-CN" w:bidi="zh-CN"/>
      </w:rPr>
    </w:lvl>
    <w:lvl w:ilvl="7">
      <w:start w:val="0"/>
      <w:numFmt w:val="bullet"/>
      <w:lvlText w:val="•"/>
      <w:lvlJc w:val="left"/>
      <w:pPr>
        <w:ind w:left="7908" w:hanging="689"/>
      </w:pPr>
      <w:rPr>
        <w:rFonts w:hint="default"/>
        <w:lang w:val="zh-CN" w:eastAsia="zh-CN" w:bidi="zh-CN"/>
      </w:rPr>
    </w:lvl>
    <w:lvl w:ilvl="8">
      <w:start w:val="0"/>
      <w:numFmt w:val="bullet"/>
      <w:lvlText w:val="•"/>
      <w:lvlJc w:val="left"/>
      <w:pPr>
        <w:ind w:left="8821" w:hanging="689"/>
      </w:pPr>
      <w:rPr>
        <w:rFonts w:hint="default"/>
        <w:lang w:val="zh-CN" w:eastAsia="zh-CN" w:bidi="zh-CN"/>
      </w:rPr>
    </w:lvl>
  </w:abstractNum>
  <w:abstractNum w:abstractNumId="864">
    <w:multiLevelType w:val="hybridMultilevel"/>
    <w:lvl w:ilvl="0">
      <w:start w:val="2"/>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863">
    <w:multiLevelType w:val="hybridMultilevel"/>
    <w:lvl w:ilvl="0">
      <w:start w:val="1"/>
      <w:numFmt w:val="decimal"/>
      <w:lvlText w:val="%1"/>
      <w:lvlJc w:val="left"/>
      <w:pPr>
        <w:ind w:left="418" w:hanging="584"/>
        <w:jc w:val="left"/>
      </w:pPr>
      <w:rPr>
        <w:rFonts w:hint="default"/>
        <w:lang w:val="zh-CN" w:eastAsia="zh-CN" w:bidi="zh-CN"/>
      </w:rPr>
    </w:lvl>
    <w:lvl w:ilvl="1">
      <w:start w:val="0"/>
      <w:numFmt w:val="decimal"/>
      <w:lvlText w:val="%1.%2"/>
      <w:lvlJc w:val="left"/>
      <w:pPr>
        <w:ind w:left="418" w:hanging="584"/>
        <w:jc w:val="left"/>
      </w:pPr>
      <w:rPr>
        <w:rFonts w:hint="default"/>
        <w:lang w:val="zh-CN" w:eastAsia="zh-CN" w:bidi="zh-CN"/>
      </w:rPr>
    </w:lvl>
    <w:lvl w:ilvl="2">
      <w:start w:val="1"/>
      <w:numFmt w:val="decimal"/>
      <w:lvlText w:val="%1.%2.%3"/>
      <w:lvlJc w:val="left"/>
      <w:pPr>
        <w:ind w:left="418" w:hanging="584"/>
        <w:jc w:val="left"/>
      </w:pPr>
      <w:rPr>
        <w:rFonts w:hint="default"/>
        <w:b/>
        <w:bCs/>
        <w:w w:val="99"/>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862">
    <w:multiLevelType w:val="hybridMultilevel"/>
    <w:lvl w:ilvl="0">
      <w:start w:val="4"/>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861">
    <w:multiLevelType w:val="hybridMultilevel"/>
    <w:lvl w:ilvl="0">
      <w:start w:val="4"/>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60">
    <w:multiLevelType w:val="hybridMultilevel"/>
    <w:lvl w:ilvl="0">
      <w:start w:val="4"/>
      <w:numFmt w:val="decimal"/>
      <w:lvlText w:val="%1"/>
      <w:lvlJc w:val="left"/>
      <w:pPr>
        <w:ind w:left="1477" w:hanging="637"/>
        <w:jc w:val="left"/>
      </w:pPr>
      <w:rPr>
        <w:rFonts w:hint="default"/>
        <w:lang w:val="zh-CN" w:eastAsia="zh-CN" w:bidi="zh-CN"/>
      </w:rPr>
    </w:lvl>
    <w:lvl w:ilvl="1">
      <w:start w:val="1"/>
      <w:numFmt w:val="decimal"/>
      <w:lvlText w:val="%1.%2"/>
      <w:lvlJc w:val="left"/>
      <w:pPr>
        <w:ind w:left="1477" w:hanging="637"/>
        <w:jc w:val="left"/>
      </w:pPr>
      <w:rPr>
        <w:rFonts w:hint="default"/>
        <w:lang w:val="zh-CN" w:eastAsia="zh-CN" w:bidi="zh-CN"/>
      </w:rPr>
    </w:lvl>
    <w:lvl w:ilvl="2">
      <w:start w:val="10"/>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859">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858">
    <w:multiLevelType w:val="hybridMultilevel"/>
    <w:lvl w:ilvl="0">
      <w:start w:val="3"/>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857">
    <w:multiLevelType w:val="hybridMultilevel"/>
    <w:lvl w:ilvl="0">
      <w:start w:val="2"/>
      <w:numFmt w:val="decimal"/>
      <w:lvlText w:val="%1"/>
      <w:lvlJc w:val="left"/>
      <w:pPr>
        <w:ind w:left="1369" w:hanging="529"/>
        <w:jc w:val="left"/>
      </w:pPr>
      <w:rPr>
        <w:rFonts w:hint="default"/>
        <w:lang w:val="zh-CN" w:eastAsia="zh-CN" w:bidi="zh-CN"/>
      </w:rPr>
    </w:lvl>
    <w:lvl w:ilvl="1">
      <w:start w:val="0"/>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56">
    <w:multiLevelType w:val="hybridMultilevel"/>
    <w:lvl w:ilvl="0">
      <w:start w:val="1"/>
      <w:numFmt w:val="decimal"/>
      <w:lvlText w:val="%1"/>
      <w:lvlJc w:val="left"/>
      <w:pPr>
        <w:ind w:left="418" w:hanging="529"/>
        <w:jc w:val="left"/>
      </w:pPr>
      <w:rPr>
        <w:rFonts w:hint="default"/>
        <w:lang w:val="zh-CN" w:eastAsia="zh-CN" w:bidi="zh-CN"/>
      </w:rPr>
    </w:lvl>
    <w:lvl w:ilvl="1">
      <w:start w:val="0"/>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55">
    <w:multiLevelType w:val="hybridMultilevel"/>
    <w:lvl w:ilvl="0">
      <w:start w:val="8"/>
      <w:numFmt w:val="decimal"/>
      <w:lvlText w:val="%1"/>
      <w:lvlJc w:val="left"/>
      <w:pPr>
        <w:ind w:left="418" w:hanging="531"/>
        <w:jc w:val="left"/>
      </w:pPr>
      <w:rPr>
        <w:rFonts w:hint="default"/>
        <w:lang w:val="zh-CN" w:eastAsia="zh-CN" w:bidi="zh-CN"/>
      </w:rPr>
    </w:lvl>
    <w:lvl w:ilvl="1">
      <w:start w:val="0"/>
      <w:numFmt w:val="decimal"/>
      <w:lvlText w:val="%1.%2"/>
      <w:lvlJc w:val="left"/>
      <w:pPr>
        <w:ind w:left="418" w:hanging="531"/>
        <w:jc w:val="left"/>
      </w:pPr>
      <w:rPr>
        <w:rFonts w:hint="default"/>
        <w:lang w:val="zh-CN" w:eastAsia="zh-CN" w:bidi="zh-CN"/>
      </w:rPr>
    </w:lvl>
    <w:lvl w:ilvl="2">
      <w:start w:val="4"/>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854">
    <w:multiLevelType w:val="hybridMultilevel"/>
    <w:lvl w:ilvl="0">
      <w:start w:val="8"/>
      <w:numFmt w:val="decimal"/>
      <w:lvlText w:val="%1"/>
      <w:lvlJc w:val="left"/>
      <w:pPr>
        <w:ind w:left="838" w:hanging="531"/>
        <w:jc w:val="left"/>
      </w:pPr>
      <w:rPr>
        <w:rFonts w:hint="default"/>
        <w:lang w:val="zh-CN" w:eastAsia="zh-CN" w:bidi="zh-CN"/>
      </w:rPr>
    </w:lvl>
    <w:lvl w:ilvl="1">
      <w:start w:val="0"/>
      <w:numFmt w:val="decimal"/>
      <w:lvlText w:val="%1.%2"/>
      <w:lvlJc w:val="left"/>
      <w:pPr>
        <w:ind w:left="838" w:hanging="531"/>
        <w:jc w:val="left"/>
      </w:pPr>
      <w:rPr>
        <w:rFonts w:hint="default"/>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781" w:hanging="531"/>
      </w:pPr>
      <w:rPr>
        <w:rFonts w:hint="default"/>
        <w:lang w:val="zh-CN" w:eastAsia="zh-CN" w:bidi="zh-CN"/>
      </w:rPr>
    </w:lvl>
    <w:lvl w:ilvl="4">
      <w:start w:val="0"/>
      <w:numFmt w:val="bullet"/>
      <w:lvlText w:val="•"/>
      <w:lvlJc w:val="left"/>
      <w:pPr>
        <w:ind w:left="4762" w:hanging="531"/>
      </w:pPr>
      <w:rPr>
        <w:rFonts w:hint="default"/>
        <w:lang w:val="zh-CN" w:eastAsia="zh-CN" w:bidi="zh-CN"/>
      </w:rPr>
    </w:lvl>
    <w:lvl w:ilvl="5">
      <w:start w:val="0"/>
      <w:numFmt w:val="bullet"/>
      <w:lvlText w:val="•"/>
      <w:lvlJc w:val="left"/>
      <w:pPr>
        <w:ind w:left="5743" w:hanging="531"/>
      </w:pPr>
      <w:rPr>
        <w:rFonts w:hint="default"/>
        <w:lang w:val="zh-CN" w:eastAsia="zh-CN" w:bidi="zh-CN"/>
      </w:rPr>
    </w:lvl>
    <w:lvl w:ilvl="6">
      <w:start w:val="0"/>
      <w:numFmt w:val="bullet"/>
      <w:lvlText w:val="•"/>
      <w:lvlJc w:val="left"/>
      <w:pPr>
        <w:ind w:left="6723" w:hanging="531"/>
      </w:pPr>
      <w:rPr>
        <w:rFonts w:hint="default"/>
        <w:lang w:val="zh-CN" w:eastAsia="zh-CN" w:bidi="zh-CN"/>
      </w:rPr>
    </w:lvl>
    <w:lvl w:ilvl="7">
      <w:start w:val="0"/>
      <w:numFmt w:val="bullet"/>
      <w:lvlText w:val="•"/>
      <w:lvlJc w:val="left"/>
      <w:pPr>
        <w:ind w:left="7704" w:hanging="531"/>
      </w:pPr>
      <w:rPr>
        <w:rFonts w:hint="default"/>
        <w:lang w:val="zh-CN" w:eastAsia="zh-CN" w:bidi="zh-CN"/>
      </w:rPr>
    </w:lvl>
    <w:lvl w:ilvl="8">
      <w:start w:val="0"/>
      <w:numFmt w:val="bullet"/>
      <w:lvlText w:val="•"/>
      <w:lvlJc w:val="left"/>
      <w:pPr>
        <w:ind w:left="8685" w:hanging="531"/>
      </w:pPr>
      <w:rPr>
        <w:rFonts w:hint="default"/>
        <w:lang w:val="zh-CN" w:eastAsia="zh-CN" w:bidi="zh-CN"/>
      </w:rPr>
    </w:lvl>
  </w:abstractNum>
  <w:abstractNum w:abstractNumId="853">
    <w:multiLevelType w:val="hybridMultilevel"/>
    <w:lvl w:ilvl="0">
      <w:start w:val="7"/>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2"/>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52">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29"/>
      </w:pPr>
      <w:rPr>
        <w:rFonts w:hint="default"/>
        <w:lang w:val="zh-CN" w:eastAsia="zh-CN" w:bidi="zh-CN"/>
      </w:rPr>
    </w:lvl>
    <w:lvl w:ilvl="4">
      <w:start w:val="0"/>
      <w:numFmt w:val="bullet"/>
      <w:lvlText w:val="•"/>
      <w:lvlJc w:val="left"/>
      <w:pPr>
        <w:ind w:left="2703" w:hanging="529"/>
      </w:pPr>
      <w:rPr>
        <w:rFonts w:hint="default"/>
        <w:lang w:val="zh-CN" w:eastAsia="zh-CN" w:bidi="zh-CN"/>
      </w:rPr>
    </w:lvl>
    <w:lvl w:ilvl="5">
      <w:start w:val="0"/>
      <w:numFmt w:val="bullet"/>
      <w:lvlText w:val="•"/>
      <w:lvlJc w:val="left"/>
      <w:pPr>
        <w:ind w:left="4027" w:hanging="529"/>
      </w:pPr>
      <w:rPr>
        <w:rFonts w:hint="default"/>
        <w:lang w:val="zh-CN" w:eastAsia="zh-CN" w:bidi="zh-CN"/>
      </w:rPr>
    </w:lvl>
    <w:lvl w:ilvl="6">
      <w:start w:val="0"/>
      <w:numFmt w:val="bullet"/>
      <w:lvlText w:val="•"/>
      <w:lvlJc w:val="left"/>
      <w:pPr>
        <w:ind w:left="5351" w:hanging="529"/>
      </w:pPr>
      <w:rPr>
        <w:rFonts w:hint="default"/>
        <w:lang w:val="zh-CN" w:eastAsia="zh-CN" w:bidi="zh-CN"/>
      </w:rPr>
    </w:lvl>
    <w:lvl w:ilvl="7">
      <w:start w:val="0"/>
      <w:numFmt w:val="bullet"/>
      <w:lvlText w:val="•"/>
      <w:lvlJc w:val="left"/>
      <w:pPr>
        <w:ind w:left="6675" w:hanging="529"/>
      </w:pPr>
      <w:rPr>
        <w:rFonts w:hint="default"/>
        <w:lang w:val="zh-CN" w:eastAsia="zh-CN" w:bidi="zh-CN"/>
      </w:rPr>
    </w:lvl>
    <w:lvl w:ilvl="8">
      <w:start w:val="0"/>
      <w:numFmt w:val="bullet"/>
      <w:lvlText w:val="•"/>
      <w:lvlJc w:val="left"/>
      <w:pPr>
        <w:ind w:left="7998" w:hanging="529"/>
      </w:pPr>
      <w:rPr>
        <w:rFonts w:hint="default"/>
        <w:lang w:val="zh-CN" w:eastAsia="zh-CN" w:bidi="zh-CN"/>
      </w:rPr>
    </w:lvl>
  </w:abstractNum>
  <w:abstractNum w:abstractNumId="851">
    <w:multiLevelType w:val="hybridMultilevel"/>
    <w:lvl w:ilvl="0">
      <w:start w:val="6"/>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850">
    <w:multiLevelType w:val="hybridMultilevel"/>
    <w:lvl w:ilvl="0">
      <w:start w:val="1"/>
      <w:numFmt w:val="decimal"/>
      <w:lvlText w:val="%1）"/>
      <w:lvlJc w:val="left"/>
      <w:pPr>
        <w:ind w:left="1155" w:hanging="318"/>
        <w:jc w:val="left"/>
      </w:pPr>
      <w:rPr>
        <w:rFonts w:hint="default" w:ascii="宋体" w:hAnsi="宋体" w:eastAsia="宋体" w:cs="宋体"/>
        <w:spacing w:val="-8"/>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849">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848">
    <w:multiLevelType w:val="hybridMultilevel"/>
    <w:lvl w:ilvl="0">
      <w:start w:val="5"/>
      <w:numFmt w:val="decimal"/>
      <w:lvlText w:val="%1"/>
      <w:lvlJc w:val="left"/>
      <w:pPr>
        <w:ind w:left="826" w:hanging="531"/>
        <w:jc w:val="left"/>
      </w:pPr>
      <w:rPr>
        <w:rFonts w:hint="default"/>
        <w:lang w:val="zh-CN" w:eastAsia="zh-CN" w:bidi="zh-CN"/>
      </w:rPr>
    </w:lvl>
    <w:lvl w:ilvl="1">
      <w:start w:val="4"/>
      <w:numFmt w:val="decimal"/>
      <w:lvlText w:val="%1.%2"/>
      <w:lvlJc w:val="left"/>
      <w:pPr>
        <w:ind w:left="826" w:hanging="531"/>
        <w:jc w:val="left"/>
      </w:pPr>
      <w:rPr>
        <w:rFonts w:hint="default"/>
        <w:lang w:val="zh-CN" w:eastAsia="zh-CN" w:bidi="zh-CN"/>
      </w:rPr>
    </w:lvl>
    <w:lvl w:ilvl="2">
      <w:start w:val="1"/>
      <w:numFmt w:val="decimal"/>
      <w:lvlText w:val="%1.%2.%3"/>
      <w:lvlJc w:val="left"/>
      <w:pPr>
        <w:ind w:left="826"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767" w:hanging="531"/>
      </w:pPr>
      <w:rPr>
        <w:rFonts w:hint="default"/>
        <w:lang w:val="zh-CN" w:eastAsia="zh-CN" w:bidi="zh-CN"/>
      </w:rPr>
    </w:lvl>
    <w:lvl w:ilvl="4">
      <w:start w:val="0"/>
      <w:numFmt w:val="bullet"/>
      <w:lvlText w:val="•"/>
      <w:lvlJc w:val="left"/>
      <w:pPr>
        <w:ind w:left="4750" w:hanging="531"/>
      </w:pPr>
      <w:rPr>
        <w:rFonts w:hint="default"/>
        <w:lang w:val="zh-CN" w:eastAsia="zh-CN" w:bidi="zh-CN"/>
      </w:rPr>
    </w:lvl>
    <w:lvl w:ilvl="5">
      <w:start w:val="0"/>
      <w:numFmt w:val="bullet"/>
      <w:lvlText w:val="•"/>
      <w:lvlJc w:val="left"/>
      <w:pPr>
        <w:ind w:left="5733" w:hanging="531"/>
      </w:pPr>
      <w:rPr>
        <w:rFonts w:hint="default"/>
        <w:lang w:val="zh-CN" w:eastAsia="zh-CN" w:bidi="zh-CN"/>
      </w:rPr>
    </w:lvl>
    <w:lvl w:ilvl="6">
      <w:start w:val="0"/>
      <w:numFmt w:val="bullet"/>
      <w:lvlText w:val="•"/>
      <w:lvlJc w:val="left"/>
      <w:pPr>
        <w:ind w:left="6715" w:hanging="531"/>
      </w:pPr>
      <w:rPr>
        <w:rFonts w:hint="default"/>
        <w:lang w:val="zh-CN" w:eastAsia="zh-CN" w:bidi="zh-CN"/>
      </w:rPr>
    </w:lvl>
    <w:lvl w:ilvl="7">
      <w:start w:val="0"/>
      <w:numFmt w:val="bullet"/>
      <w:lvlText w:val="•"/>
      <w:lvlJc w:val="left"/>
      <w:pPr>
        <w:ind w:left="7698" w:hanging="531"/>
      </w:pPr>
      <w:rPr>
        <w:rFonts w:hint="default"/>
        <w:lang w:val="zh-CN" w:eastAsia="zh-CN" w:bidi="zh-CN"/>
      </w:rPr>
    </w:lvl>
    <w:lvl w:ilvl="8">
      <w:start w:val="0"/>
      <w:numFmt w:val="bullet"/>
      <w:lvlText w:val="•"/>
      <w:lvlJc w:val="left"/>
      <w:pPr>
        <w:ind w:left="8681" w:hanging="531"/>
      </w:pPr>
      <w:rPr>
        <w:rFonts w:hint="default"/>
        <w:lang w:val="zh-CN" w:eastAsia="zh-CN" w:bidi="zh-CN"/>
      </w:rPr>
    </w:lvl>
  </w:abstractNum>
  <w:abstractNum w:abstractNumId="847">
    <w:multiLevelType w:val="hybridMultilevel"/>
    <w:lvl w:ilvl="0">
      <w:start w:val="5"/>
      <w:numFmt w:val="decimal"/>
      <w:lvlText w:val="%1"/>
      <w:lvlJc w:val="left"/>
      <w:pPr>
        <w:ind w:left="1477" w:hanging="637"/>
        <w:jc w:val="left"/>
      </w:pPr>
      <w:rPr>
        <w:rFonts w:hint="default"/>
        <w:lang w:val="zh-CN" w:eastAsia="zh-CN" w:bidi="zh-CN"/>
      </w:rPr>
    </w:lvl>
    <w:lvl w:ilvl="1">
      <w:start w:val="3"/>
      <w:numFmt w:val="decimal"/>
      <w:lvlText w:val="%1.%2"/>
      <w:lvlJc w:val="left"/>
      <w:pPr>
        <w:ind w:left="1477" w:hanging="637"/>
        <w:jc w:val="left"/>
      </w:pPr>
      <w:rPr>
        <w:rFonts w:hint="default"/>
        <w:lang w:val="zh-CN" w:eastAsia="zh-CN" w:bidi="zh-CN"/>
      </w:rPr>
    </w:lvl>
    <w:lvl w:ilvl="2">
      <w:start w:val="10"/>
      <w:numFmt w:val="decimal"/>
      <w:lvlText w:val="%1.%2.%3"/>
      <w:lvlJc w:val="left"/>
      <w:pPr>
        <w:ind w:left="1477" w:hanging="637"/>
        <w:jc w:val="left"/>
      </w:pPr>
      <w:rPr>
        <w:rFonts w:hint="default" w:ascii="宋体" w:hAnsi="宋体" w:eastAsia="宋体" w:cs="宋体"/>
        <w:b/>
        <w:bCs/>
        <w:spacing w:val="-8"/>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846">
    <w:multiLevelType w:val="hybridMultilevel"/>
    <w:lvl w:ilvl="0">
      <w:start w:val="5"/>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6"/>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45">
    <w:multiLevelType w:val="hybridMultilevel"/>
    <w:lvl w:ilvl="0">
      <w:start w:val="5"/>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844">
    <w:multiLevelType w:val="hybridMultilevel"/>
    <w:lvl w:ilvl="0">
      <w:start w:val="5"/>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7"/>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43">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842">
    <w:multiLevelType w:val="hybridMultilevel"/>
    <w:lvl w:ilvl="0">
      <w:start w:val="4"/>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41">
    <w:multiLevelType w:val="hybridMultilevel"/>
    <w:lvl w:ilvl="0">
      <w:start w:val="4"/>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spacing w:val="-8"/>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40">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839">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8"/>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838">
    <w:multiLevelType w:val="hybridMultilevel"/>
    <w:lvl w:ilvl="0">
      <w:start w:val="1"/>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837">
    <w:multiLevelType w:val="hybridMultilevel"/>
    <w:lvl w:ilvl="0">
      <w:start w:val="11"/>
      <w:numFmt w:val="decimal"/>
      <w:lvlText w:val="%1"/>
      <w:lvlJc w:val="left"/>
      <w:pPr>
        <w:ind w:left="418" w:hanging="424"/>
        <w:jc w:val="left"/>
      </w:pPr>
      <w:rPr>
        <w:rFonts w:hint="default"/>
        <w:lang w:val="zh-CN" w:eastAsia="zh-CN" w:bidi="zh-CN"/>
      </w:rPr>
    </w:lvl>
    <w:lvl w:ilvl="1">
      <w:start w:val="1"/>
      <w:numFmt w:val="decimal"/>
      <w:lvlText w:val="%1.%2"/>
      <w:lvlJc w:val="left"/>
      <w:pPr>
        <w:ind w:left="418" w:hanging="424"/>
        <w:jc w:val="right"/>
      </w:pPr>
      <w:rPr>
        <w:rFonts w:hint="default" w:ascii="宋体" w:hAnsi="宋体" w:eastAsia="宋体" w:cs="宋体"/>
        <w:b/>
        <w:bCs/>
        <w:spacing w:val="-1"/>
        <w:w w:val="99"/>
        <w:sz w:val="19"/>
        <w:szCs w:val="19"/>
        <w:lang w:val="zh-CN" w:eastAsia="zh-CN" w:bidi="zh-CN"/>
      </w:rPr>
    </w:lvl>
    <w:lvl w:ilvl="2">
      <w:start w:val="0"/>
      <w:numFmt w:val="bullet"/>
      <w:lvlText w:val="•"/>
      <w:lvlJc w:val="left"/>
      <w:pPr>
        <w:ind w:left="2465" w:hanging="424"/>
      </w:pPr>
      <w:rPr>
        <w:rFonts w:hint="default"/>
        <w:lang w:val="zh-CN" w:eastAsia="zh-CN" w:bidi="zh-CN"/>
      </w:rPr>
    </w:lvl>
    <w:lvl w:ilvl="3">
      <w:start w:val="0"/>
      <w:numFmt w:val="bullet"/>
      <w:lvlText w:val="•"/>
      <w:lvlJc w:val="left"/>
      <w:pPr>
        <w:ind w:left="3487" w:hanging="424"/>
      </w:pPr>
      <w:rPr>
        <w:rFonts w:hint="default"/>
        <w:lang w:val="zh-CN" w:eastAsia="zh-CN" w:bidi="zh-CN"/>
      </w:rPr>
    </w:lvl>
    <w:lvl w:ilvl="4">
      <w:start w:val="0"/>
      <w:numFmt w:val="bullet"/>
      <w:lvlText w:val="•"/>
      <w:lvlJc w:val="left"/>
      <w:pPr>
        <w:ind w:left="4510" w:hanging="424"/>
      </w:pPr>
      <w:rPr>
        <w:rFonts w:hint="default"/>
        <w:lang w:val="zh-CN" w:eastAsia="zh-CN" w:bidi="zh-CN"/>
      </w:rPr>
    </w:lvl>
    <w:lvl w:ilvl="5">
      <w:start w:val="0"/>
      <w:numFmt w:val="bullet"/>
      <w:lvlText w:val="•"/>
      <w:lvlJc w:val="left"/>
      <w:pPr>
        <w:ind w:left="5533" w:hanging="424"/>
      </w:pPr>
      <w:rPr>
        <w:rFonts w:hint="default"/>
        <w:lang w:val="zh-CN" w:eastAsia="zh-CN" w:bidi="zh-CN"/>
      </w:rPr>
    </w:lvl>
    <w:lvl w:ilvl="6">
      <w:start w:val="0"/>
      <w:numFmt w:val="bullet"/>
      <w:lvlText w:val="•"/>
      <w:lvlJc w:val="left"/>
      <w:pPr>
        <w:ind w:left="6555" w:hanging="424"/>
      </w:pPr>
      <w:rPr>
        <w:rFonts w:hint="default"/>
        <w:lang w:val="zh-CN" w:eastAsia="zh-CN" w:bidi="zh-CN"/>
      </w:rPr>
    </w:lvl>
    <w:lvl w:ilvl="7">
      <w:start w:val="0"/>
      <w:numFmt w:val="bullet"/>
      <w:lvlText w:val="•"/>
      <w:lvlJc w:val="left"/>
      <w:pPr>
        <w:ind w:left="7578" w:hanging="424"/>
      </w:pPr>
      <w:rPr>
        <w:rFonts w:hint="default"/>
        <w:lang w:val="zh-CN" w:eastAsia="zh-CN" w:bidi="zh-CN"/>
      </w:rPr>
    </w:lvl>
    <w:lvl w:ilvl="8">
      <w:start w:val="0"/>
      <w:numFmt w:val="bullet"/>
      <w:lvlText w:val="•"/>
      <w:lvlJc w:val="left"/>
      <w:pPr>
        <w:ind w:left="8601" w:hanging="424"/>
      </w:pPr>
      <w:rPr>
        <w:rFonts w:hint="default"/>
        <w:lang w:val="zh-CN" w:eastAsia="zh-CN" w:bidi="zh-CN"/>
      </w:rPr>
    </w:lvl>
  </w:abstractNum>
  <w:abstractNum w:abstractNumId="836">
    <w:multiLevelType w:val="hybridMultilevel"/>
    <w:lvl w:ilvl="0">
      <w:start w:val="10"/>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2625" w:hanging="637"/>
      </w:pPr>
      <w:rPr>
        <w:rFonts w:hint="default"/>
        <w:lang w:val="zh-CN" w:eastAsia="zh-CN" w:bidi="zh-CN"/>
      </w:rPr>
    </w:lvl>
    <w:lvl w:ilvl="4">
      <w:start w:val="0"/>
      <w:numFmt w:val="bullet"/>
      <w:lvlText w:val="•"/>
      <w:lvlJc w:val="left"/>
      <w:pPr>
        <w:ind w:left="3771" w:hanging="637"/>
      </w:pPr>
      <w:rPr>
        <w:rFonts w:hint="default"/>
        <w:lang w:val="zh-CN" w:eastAsia="zh-CN" w:bidi="zh-CN"/>
      </w:rPr>
    </w:lvl>
    <w:lvl w:ilvl="5">
      <w:start w:val="0"/>
      <w:numFmt w:val="bullet"/>
      <w:lvlText w:val="•"/>
      <w:lvlJc w:val="left"/>
      <w:pPr>
        <w:ind w:left="4917" w:hanging="637"/>
      </w:pPr>
      <w:rPr>
        <w:rFonts w:hint="default"/>
        <w:lang w:val="zh-CN" w:eastAsia="zh-CN" w:bidi="zh-CN"/>
      </w:rPr>
    </w:lvl>
    <w:lvl w:ilvl="6">
      <w:start w:val="0"/>
      <w:numFmt w:val="bullet"/>
      <w:lvlText w:val="•"/>
      <w:lvlJc w:val="left"/>
      <w:pPr>
        <w:ind w:left="6063" w:hanging="637"/>
      </w:pPr>
      <w:rPr>
        <w:rFonts w:hint="default"/>
        <w:lang w:val="zh-CN" w:eastAsia="zh-CN" w:bidi="zh-CN"/>
      </w:rPr>
    </w:lvl>
    <w:lvl w:ilvl="7">
      <w:start w:val="0"/>
      <w:numFmt w:val="bullet"/>
      <w:lvlText w:val="•"/>
      <w:lvlJc w:val="left"/>
      <w:pPr>
        <w:ind w:left="7209" w:hanging="637"/>
      </w:pPr>
      <w:rPr>
        <w:rFonts w:hint="default"/>
        <w:lang w:val="zh-CN" w:eastAsia="zh-CN" w:bidi="zh-CN"/>
      </w:rPr>
    </w:lvl>
    <w:lvl w:ilvl="8">
      <w:start w:val="0"/>
      <w:numFmt w:val="bullet"/>
      <w:lvlText w:val="•"/>
      <w:lvlJc w:val="left"/>
      <w:pPr>
        <w:ind w:left="8354" w:hanging="637"/>
      </w:pPr>
      <w:rPr>
        <w:rFonts w:hint="default"/>
        <w:lang w:val="zh-CN" w:eastAsia="zh-CN" w:bidi="zh-CN"/>
      </w:rPr>
    </w:lvl>
  </w:abstractNum>
  <w:abstractNum w:abstractNumId="835">
    <w:multiLevelType w:val="hybridMultilevel"/>
    <w:lvl w:ilvl="0">
      <w:start w:val="9"/>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5"/>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34">
    <w:multiLevelType w:val="hybridMultilevel"/>
    <w:lvl w:ilvl="0">
      <w:start w:val="9"/>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1380" w:hanging="529"/>
      </w:pPr>
      <w:rPr>
        <w:rFonts w:hint="default"/>
        <w:lang w:val="zh-CN" w:eastAsia="zh-CN" w:bidi="zh-CN"/>
      </w:rPr>
    </w:lvl>
    <w:lvl w:ilvl="4">
      <w:start w:val="0"/>
      <w:numFmt w:val="bullet"/>
      <w:lvlText w:val="•"/>
      <w:lvlJc w:val="left"/>
      <w:pPr>
        <w:ind w:left="2703" w:hanging="529"/>
      </w:pPr>
      <w:rPr>
        <w:rFonts w:hint="default"/>
        <w:lang w:val="zh-CN" w:eastAsia="zh-CN" w:bidi="zh-CN"/>
      </w:rPr>
    </w:lvl>
    <w:lvl w:ilvl="5">
      <w:start w:val="0"/>
      <w:numFmt w:val="bullet"/>
      <w:lvlText w:val="•"/>
      <w:lvlJc w:val="left"/>
      <w:pPr>
        <w:ind w:left="4027" w:hanging="529"/>
      </w:pPr>
      <w:rPr>
        <w:rFonts w:hint="default"/>
        <w:lang w:val="zh-CN" w:eastAsia="zh-CN" w:bidi="zh-CN"/>
      </w:rPr>
    </w:lvl>
    <w:lvl w:ilvl="6">
      <w:start w:val="0"/>
      <w:numFmt w:val="bullet"/>
      <w:lvlText w:val="•"/>
      <w:lvlJc w:val="left"/>
      <w:pPr>
        <w:ind w:left="5351" w:hanging="529"/>
      </w:pPr>
      <w:rPr>
        <w:rFonts w:hint="default"/>
        <w:lang w:val="zh-CN" w:eastAsia="zh-CN" w:bidi="zh-CN"/>
      </w:rPr>
    </w:lvl>
    <w:lvl w:ilvl="7">
      <w:start w:val="0"/>
      <w:numFmt w:val="bullet"/>
      <w:lvlText w:val="•"/>
      <w:lvlJc w:val="left"/>
      <w:pPr>
        <w:ind w:left="6675" w:hanging="529"/>
      </w:pPr>
      <w:rPr>
        <w:rFonts w:hint="default"/>
        <w:lang w:val="zh-CN" w:eastAsia="zh-CN" w:bidi="zh-CN"/>
      </w:rPr>
    </w:lvl>
    <w:lvl w:ilvl="8">
      <w:start w:val="0"/>
      <w:numFmt w:val="bullet"/>
      <w:lvlText w:val="•"/>
      <w:lvlJc w:val="left"/>
      <w:pPr>
        <w:ind w:left="7998" w:hanging="529"/>
      </w:pPr>
      <w:rPr>
        <w:rFonts w:hint="default"/>
        <w:lang w:val="zh-CN" w:eastAsia="zh-CN" w:bidi="zh-CN"/>
      </w:rPr>
    </w:lvl>
  </w:abstractNum>
  <w:abstractNum w:abstractNumId="833">
    <w:multiLevelType w:val="hybridMultilevel"/>
    <w:lvl w:ilvl="0">
      <w:start w:val="8"/>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spacing w:val="-52"/>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832">
    <w:multiLevelType w:val="hybridMultilevel"/>
    <w:lvl w:ilvl="0">
      <w:start w:val="8"/>
      <w:numFmt w:val="decimal"/>
      <w:lvlText w:val="%1"/>
      <w:lvlJc w:val="left"/>
      <w:pPr>
        <w:ind w:left="418" w:hanging="529"/>
        <w:jc w:val="left"/>
      </w:pPr>
      <w:rPr>
        <w:rFonts w:hint="default"/>
        <w:lang w:val="zh-CN" w:eastAsia="zh-CN" w:bidi="zh-CN"/>
      </w:rPr>
    </w:lvl>
    <w:lvl w:ilvl="1">
      <w:start w:val="6"/>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31">
    <w:multiLevelType w:val="hybridMultilevel"/>
    <w:lvl w:ilvl="0">
      <w:start w:val="8"/>
      <w:numFmt w:val="decimal"/>
      <w:lvlText w:val="%1"/>
      <w:lvlJc w:val="left"/>
      <w:pPr>
        <w:ind w:left="1370" w:hanging="531"/>
        <w:jc w:val="left"/>
      </w:pPr>
      <w:rPr>
        <w:rFonts w:hint="default"/>
        <w:lang w:val="zh-CN" w:eastAsia="zh-CN" w:bidi="zh-CN"/>
      </w:rPr>
    </w:lvl>
    <w:lvl w:ilvl="1">
      <w:start w:val="5"/>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30">
    <w:multiLevelType w:val="hybridMultilevel"/>
    <w:lvl w:ilvl="0">
      <w:start w:val="2"/>
      <w:numFmt w:val="decimal"/>
      <w:lvlText w:val="%1)"/>
      <w:lvlJc w:val="left"/>
      <w:pPr>
        <w:ind w:left="1050" w:hanging="213"/>
        <w:jc w:val="left"/>
      </w:pPr>
      <w:rPr>
        <w:rFonts w:hint="default" w:ascii="宋体" w:hAnsi="宋体" w:eastAsia="宋体" w:cs="宋体"/>
        <w:spacing w:val="-55"/>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829">
    <w:multiLevelType w:val="hybridMultilevel"/>
    <w:lvl w:ilvl="0">
      <w:start w:val="8"/>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4"/>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828">
    <w:multiLevelType w:val="hybridMultilevel"/>
    <w:lvl w:ilvl="0">
      <w:start w:val="2"/>
      <w:numFmt w:val="decimal"/>
      <w:lvlText w:val="%1)"/>
      <w:lvlJc w:val="left"/>
      <w:pPr>
        <w:ind w:left="1050"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827">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31"/>
      </w:pPr>
      <w:rPr>
        <w:rFonts w:hint="default"/>
        <w:lang w:val="zh-CN" w:eastAsia="zh-CN" w:bidi="zh-CN"/>
      </w:rPr>
    </w:lvl>
    <w:lvl w:ilvl="4">
      <w:start w:val="0"/>
      <w:numFmt w:val="bullet"/>
      <w:lvlText w:val="•"/>
      <w:lvlJc w:val="left"/>
      <w:pPr>
        <w:ind w:left="2703" w:hanging="531"/>
      </w:pPr>
      <w:rPr>
        <w:rFonts w:hint="default"/>
        <w:lang w:val="zh-CN" w:eastAsia="zh-CN" w:bidi="zh-CN"/>
      </w:rPr>
    </w:lvl>
    <w:lvl w:ilvl="5">
      <w:start w:val="0"/>
      <w:numFmt w:val="bullet"/>
      <w:lvlText w:val="•"/>
      <w:lvlJc w:val="left"/>
      <w:pPr>
        <w:ind w:left="4027" w:hanging="531"/>
      </w:pPr>
      <w:rPr>
        <w:rFonts w:hint="default"/>
        <w:lang w:val="zh-CN" w:eastAsia="zh-CN" w:bidi="zh-CN"/>
      </w:rPr>
    </w:lvl>
    <w:lvl w:ilvl="6">
      <w:start w:val="0"/>
      <w:numFmt w:val="bullet"/>
      <w:lvlText w:val="•"/>
      <w:lvlJc w:val="left"/>
      <w:pPr>
        <w:ind w:left="5351" w:hanging="531"/>
      </w:pPr>
      <w:rPr>
        <w:rFonts w:hint="default"/>
        <w:lang w:val="zh-CN" w:eastAsia="zh-CN" w:bidi="zh-CN"/>
      </w:rPr>
    </w:lvl>
    <w:lvl w:ilvl="7">
      <w:start w:val="0"/>
      <w:numFmt w:val="bullet"/>
      <w:lvlText w:val="•"/>
      <w:lvlJc w:val="left"/>
      <w:pPr>
        <w:ind w:left="6675" w:hanging="531"/>
      </w:pPr>
      <w:rPr>
        <w:rFonts w:hint="default"/>
        <w:lang w:val="zh-CN" w:eastAsia="zh-CN" w:bidi="zh-CN"/>
      </w:rPr>
    </w:lvl>
    <w:lvl w:ilvl="8">
      <w:start w:val="0"/>
      <w:numFmt w:val="bullet"/>
      <w:lvlText w:val="•"/>
      <w:lvlJc w:val="left"/>
      <w:pPr>
        <w:ind w:left="7998" w:hanging="531"/>
      </w:pPr>
      <w:rPr>
        <w:rFonts w:hint="default"/>
        <w:lang w:val="zh-CN" w:eastAsia="zh-CN" w:bidi="zh-CN"/>
      </w:rPr>
    </w:lvl>
  </w:abstractNum>
  <w:abstractNum w:abstractNumId="826">
    <w:multiLevelType w:val="hybridMultilevel"/>
    <w:lvl w:ilvl="0">
      <w:start w:val="7"/>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825">
    <w:multiLevelType w:val="hybridMultilevel"/>
    <w:lvl w:ilvl="0">
      <w:start w:val="7"/>
      <w:numFmt w:val="decimal"/>
      <w:lvlText w:val="%1"/>
      <w:lvlJc w:val="left"/>
      <w:pPr>
        <w:ind w:left="418" w:hanging="529"/>
        <w:jc w:val="left"/>
      </w:pPr>
      <w:rPr>
        <w:rFonts w:hint="default"/>
        <w:lang w:val="zh-CN" w:eastAsia="zh-CN" w:bidi="zh-CN"/>
      </w:rPr>
    </w:lvl>
    <w:lvl w:ilvl="1">
      <w:start w:val="6"/>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24">
    <w:multiLevelType w:val="hybridMultilevel"/>
    <w:lvl w:ilvl="0">
      <w:start w:val="7"/>
      <w:numFmt w:val="decimal"/>
      <w:lvlText w:val="%1"/>
      <w:lvlJc w:val="left"/>
      <w:pPr>
        <w:ind w:left="1369" w:hanging="529"/>
        <w:jc w:val="left"/>
      </w:pPr>
      <w:rPr>
        <w:rFonts w:hint="default"/>
        <w:lang w:val="zh-CN" w:eastAsia="zh-CN" w:bidi="zh-CN"/>
      </w:rPr>
    </w:lvl>
    <w:lvl w:ilvl="1">
      <w:start w:val="5"/>
      <w:numFmt w:val="decimal"/>
      <w:lvlText w:val="%1.%2"/>
      <w:lvlJc w:val="left"/>
      <w:pPr>
        <w:ind w:left="1369" w:hanging="529"/>
        <w:jc w:val="left"/>
      </w:pPr>
      <w:rPr>
        <w:rFonts w:hint="default"/>
        <w:lang w:val="zh-CN" w:eastAsia="zh-CN" w:bidi="zh-CN"/>
      </w:rPr>
    </w:lvl>
    <w:lvl w:ilvl="2">
      <w:start w:val="4"/>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23">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822">
    <w:multiLevelType w:val="hybridMultilevel"/>
    <w:lvl w:ilvl="0">
      <w:start w:val="6"/>
      <w:numFmt w:val="decimal"/>
      <w:lvlText w:val="%1"/>
      <w:lvlJc w:val="left"/>
      <w:pPr>
        <w:ind w:left="418" w:hanging="529"/>
        <w:jc w:val="left"/>
      </w:pPr>
      <w:rPr>
        <w:rFonts w:hint="default"/>
        <w:lang w:val="zh-CN" w:eastAsia="zh-CN" w:bidi="zh-CN"/>
      </w:rPr>
    </w:lvl>
    <w:lvl w:ilvl="1">
      <w:start w:val="9"/>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21">
    <w:multiLevelType w:val="hybridMultilevel"/>
    <w:lvl w:ilvl="0">
      <w:start w:val="6"/>
      <w:numFmt w:val="decimal"/>
      <w:lvlText w:val="%1"/>
      <w:lvlJc w:val="left"/>
      <w:pPr>
        <w:ind w:left="1158" w:hanging="318"/>
        <w:jc w:val="left"/>
      </w:pPr>
      <w:rPr>
        <w:rFonts w:hint="default"/>
        <w:lang w:val="zh-CN" w:eastAsia="zh-CN" w:bidi="zh-CN"/>
      </w:rPr>
    </w:lvl>
    <w:lvl w:ilvl="1">
      <w:start w:val="8"/>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820">
    <w:multiLevelType w:val="hybridMultilevel"/>
    <w:lvl w:ilvl="0">
      <w:start w:val="6"/>
      <w:numFmt w:val="decimal"/>
      <w:lvlText w:val="%1"/>
      <w:lvlJc w:val="left"/>
      <w:pPr>
        <w:ind w:left="1370" w:hanging="531"/>
        <w:jc w:val="left"/>
      </w:pPr>
      <w:rPr>
        <w:rFonts w:hint="default"/>
        <w:lang w:val="zh-CN" w:eastAsia="zh-CN" w:bidi="zh-CN"/>
      </w:rPr>
    </w:lvl>
    <w:lvl w:ilvl="1">
      <w:start w:val="7"/>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19">
    <w:multiLevelType w:val="hybridMultilevel"/>
    <w:lvl w:ilvl="0">
      <w:start w:val="6"/>
      <w:numFmt w:val="decimal"/>
      <w:lvlText w:val="%1"/>
      <w:lvlJc w:val="left"/>
      <w:pPr>
        <w:ind w:left="1158" w:hanging="318"/>
        <w:jc w:val="left"/>
      </w:pPr>
      <w:rPr>
        <w:rFonts w:hint="default"/>
        <w:lang w:val="zh-CN" w:eastAsia="zh-CN" w:bidi="zh-CN"/>
      </w:rPr>
    </w:lvl>
    <w:lvl w:ilvl="1">
      <w:start w:val="6"/>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818">
    <w:multiLevelType w:val="hybridMultilevel"/>
    <w:lvl w:ilvl="0">
      <w:start w:val="6"/>
      <w:numFmt w:val="decimal"/>
      <w:lvlText w:val="%1"/>
      <w:lvlJc w:val="left"/>
      <w:pPr>
        <w:ind w:left="1159" w:hanging="320"/>
        <w:jc w:val="left"/>
      </w:pPr>
      <w:rPr>
        <w:rFonts w:hint="default"/>
        <w:lang w:val="zh-CN" w:eastAsia="zh-CN" w:bidi="zh-CN"/>
      </w:rPr>
    </w:lvl>
    <w:lvl w:ilvl="1">
      <w:start w:val="5"/>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817">
    <w:multiLevelType w:val="hybridMultilevel"/>
    <w:lvl w:ilvl="0">
      <w:start w:val="6"/>
      <w:numFmt w:val="decimal"/>
      <w:lvlText w:val="%1"/>
      <w:lvlJc w:val="left"/>
      <w:pPr>
        <w:ind w:left="1370" w:hanging="531"/>
        <w:jc w:val="left"/>
      </w:pPr>
      <w:rPr>
        <w:rFonts w:hint="default"/>
        <w:lang w:val="zh-CN" w:eastAsia="zh-CN" w:bidi="zh-CN"/>
      </w:rPr>
    </w:lvl>
    <w:lvl w:ilvl="1">
      <w:start w:val="4"/>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16">
    <w:multiLevelType w:val="hybridMultilevel"/>
    <w:lvl w:ilvl="0">
      <w:start w:val="6"/>
      <w:numFmt w:val="decimal"/>
      <w:lvlText w:val="%1"/>
      <w:lvlJc w:val="left"/>
      <w:pPr>
        <w:ind w:left="418" w:hanging="529"/>
        <w:jc w:val="left"/>
      </w:pPr>
      <w:rPr>
        <w:rFonts w:hint="default"/>
        <w:lang w:val="zh-CN" w:eastAsia="zh-CN" w:bidi="zh-CN"/>
      </w:rPr>
    </w:lvl>
    <w:lvl w:ilvl="1">
      <w:start w:val="3"/>
      <w:numFmt w:val="decimal"/>
      <w:lvlText w:val="%1.%2"/>
      <w:lvlJc w:val="left"/>
      <w:pPr>
        <w:ind w:left="418" w:hanging="529"/>
        <w:jc w:val="left"/>
      </w:pPr>
      <w:rPr>
        <w:rFonts w:hint="default"/>
        <w:lang w:val="zh-CN" w:eastAsia="zh-CN" w:bidi="zh-CN"/>
      </w:rPr>
    </w:lvl>
    <w:lvl w:ilvl="2">
      <w:start w:val="4"/>
      <w:numFmt w:val="decimal"/>
      <w:lvlText w:val="%1.%2.%3"/>
      <w:lvlJc w:val="left"/>
      <w:pPr>
        <w:ind w:left="418" w:hanging="529"/>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15">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814">
    <w:multiLevelType w:val="hybridMultilevel"/>
    <w:lvl w:ilvl="0">
      <w:start w:val="5"/>
      <w:numFmt w:val="decimal"/>
      <w:lvlText w:val="%1"/>
      <w:lvlJc w:val="left"/>
      <w:pPr>
        <w:ind w:left="1477" w:hanging="637"/>
        <w:jc w:val="left"/>
      </w:pPr>
      <w:rPr>
        <w:rFonts w:hint="default"/>
        <w:lang w:val="zh-CN" w:eastAsia="zh-CN" w:bidi="zh-CN"/>
      </w:rPr>
    </w:lvl>
    <w:lvl w:ilvl="1">
      <w:start w:val="16"/>
      <w:numFmt w:val="decimal"/>
      <w:lvlText w:val="%1.%2"/>
      <w:lvlJc w:val="left"/>
      <w:pPr>
        <w:ind w:left="1477" w:hanging="637"/>
        <w:jc w:val="left"/>
      </w:pPr>
      <w:rPr>
        <w:rFonts w:hint="default"/>
        <w:lang w:val="zh-CN" w:eastAsia="zh-CN" w:bidi="zh-CN"/>
      </w:rPr>
    </w:lvl>
    <w:lvl w:ilvl="2">
      <w:start w:val="3"/>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813">
    <w:multiLevelType w:val="hybridMultilevel"/>
    <w:lvl w:ilvl="0">
      <w:start w:val="5"/>
      <w:numFmt w:val="decimal"/>
      <w:lvlText w:val="%1"/>
      <w:lvlJc w:val="left"/>
      <w:pPr>
        <w:ind w:left="1265" w:hanging="425"/>
        <w:jc w:val="left"/>
      </w:pPr>
      <w:rPr>
        <w:rFonts w:hint="default"/>
        <w:lang w:val="zh-CN" w:eastAsia="zh-CN" w:bidi="zh-CN"/>
      </w:rPr>
    </w:lvl>
    <w:lvl w:ilvl="1">
      <w:start w:val="16"/>
      <w:numFmt w:val="decimal"/>
      <w:lvlText w:val="%1.%2"/>
      <w:lvlJc w:val="left"/>
      <w:pPr>
        <w:ind w:left="1265" w:hanging="425"/>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2625" w:hanging="637"/>
      </w:pPr>
      <w:rPr>
        <w:rFonts w:hint="default"/>
        <w:lang w:val="zh-CN" w:eastAsia="zh-CN" w:bidi="zh-CN"/>
      </w:rPr>
    </w:lvl>
    <w:lvl w:ilvl="4">
      <w:start w:val="0"/>
      <w:numFmt w:val="bullet"/>
      <w:lvlText w:val="•"/>
      <w:lvlJc w:val="left"/>
      <w:pPr>
        <w:ind w:left="3771" w:hanging="637"/>
      </w:pPr>
      <w:rPr>
        <w:rFonts w:hint="default"/>
        <w:lang w:val="zh-CN" w:eastAsia="zh-CN" w:bidi="zh-CN"/>
      </w:rPr>
    </w:lvl>
    <w:lvl w:ilvl="5">
      <w:start w:val="0"/>
      <w:numFmt w:val="bullet"/>
      <w:lvlText w:val="•"/>
      <w:lvlJc w:val="left"/>
      <w:pPr>
        <w:ind w:left="4917" w:hanging="637"/>
      </w:pPr>
      <w:rPr>
        <w:rFonts w:hint="default"/>
        <w:lang w:val="zh-CN" w:eastAsia="zh-CN" w:bidi="zh-CN"/>
      </w:rPr>
    </w:lvl>
    <w:lvl w:ilvl="6">
      <w:start w:val="0"/>
      <w:numFmt w:val="bullet"/>
      <w:lvlText w:val="•"/>
      <w:lvlJc w:val="left"/>
      <w:pPr>
        <w:ind w:left="6063" w:hanging="637"/>
      </w:pPr>
      <w:rPr>
        <w:rFonts w:hint="default"/>
        <w:lang w:val="zh-CN" w:eastAsia="zh-CN" w:bidi="zh-CN"/>
      </w:rPr>
    </w:lvl>
    <w:lvl w:ilvl="7">
      <w:start w:val="0"/>
      <w:numFmt w:val="bullet"/>
      <w:lvlText w:val="•"/>
      <w:lvlJc w:val="left"/>
      <w:pPr>
        <w:ind w:left="7209" w:hanging="637"/>
      </w:pPr>
      <w:rPr>
        <w:rFonts w:hint="default"/>
        <w:lang w:val="zh-CN" w:eastAsia="zh-CN" w:bidi="zh-CN"/>
      </w:rPr>
    </w:lvl>
    <w:lvl w:ilvl="8">
      <w:start w:val="0"/>
      <w:numFmt w:val="bullet"/>
      <w:lvlText w:val="•"/>
      <w:lvlJc w:val="left"/>
      <w:pPr>
        <w:ind w:left="8354" w:hanging="637"/>
      </w:pPr>
      <w:rPr>
        <w:rFonts w:hint="default"/>
        <w:lang w:val="zh-CN" w:eastAsia="zh-CN" w:bidi="zh-CN"/>
      </w:rPr>
    </w:lvl>
  </w:abstractNum>
  <w:abstractNum w:abstractNumId="812">
    <w:multiLevelType w:val="hybridMultilevel"/>
    <w:lvl w:ilvl="0">
      <w:start w:val="5"/>
      <w:numFmt w:val="decimal"/>
      <w:lvlText w:val="%1"/>
      <w:lvlJc w:val="left"/>
      <w:pPr>
        <w:ind w:left="1477" w:hanging="637"/>
        <w:jc w:val="left"/>
      </w:pPr>
      <w:rPr>
        <w:rFonts w:hint="default"/>
        <w:lang w:val="zh-CN" w:eastAsia="zh-CN" w:bidi="zh-CN"/>
      </w:rPr>
    </w:lvl>
    <w:lvl w:ilvl="1">
      <w:start w:val="15"/>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811">
    <w:multiLevelType w:val="hybridMultilevel"/>
    <w:lvl w:ilvl="0">
      <w:start w:val="5"/>
      <w:numFmt w:val="decimal"/>
      <w:lvlText w:val="%1"/>
      <w:lvlJc w:val="left"/>
      <w:pPr>
        <w:ind w:left="1477" w:hanging="637"/>
        <w:jc w:val="left"/>
      </w:pPr>
      <w:rPr>
        <w:rFonts w:hint="default"/>
        <w:lang w:val="zh-CN" w:eastAsia="zh-CN" w:bidi="zh-CN"/>
      </w:rPr>
    </w:lvl>
    <w:lvl w:ilvl="1">
      <w:start w:val="11"/>
      <w:numFmt w:val="decimal"/>
      <w:lvlText w:val="%1.%2"/>
      <w:lvlJc w:val="left"/>
      <w:pPr>
        <w:ind w:left="1477" w:hanging="637"/>
        <w:jc w:val="left"/>
      </w:pPr>
      <w:rPr>
        <w:rFonts w:hint="default"/>
        <w:lang w:val="zh-CN" w:eastAsia="zh-CN" w:bidi="zh-CN"/>
      </w:rPr>
    </w:lvl>
    <w:lvl w:ilvl="2">
      <w:start w:val="3"/>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810">
    <w:multiLevelType w:val="hybridMultilevel"/>
    <w:lvl w:ilvl="0">
      <w:start w:val="5"/>
      <w:numFmt w:val="decimal"/>
      <w:lvlText w:val="%1"/>
      <w:lvlJc w:val="left"/>
      <w:pPr>
        <w:ind w:left="1370" w:hanging="531"/>
        <w:jc w:val="left"/>
      </w:pPr>
      <w:rPr>
        <w:rFonts w:hint="default"/>
        <w:lang w:val="zh-CN" w:eastAsia="zh-CN" w:bidi="zh-CN"/>
      </w:rPr>
    </w:lvl>
    <w:lvl w:ilvl="1">
      <w:start w:val="9"/>
      <w:numFmt w:val="decimal"/>
      <w:lvlText w:val="%1.%2"/>
      <w:lvlJc w:val="left"/>
      <w:pPr>
        <w:ind w:left="1370" w:hanging="531"/>
        <w:jc w:val="left"/>
      </w:pPr>
      <w:rPr>
        <w:rFonts w:hint="default"/>
        <w:lang w:val="zh-CN" w:eastAsia="zh-CN" w:bidi="zh-CN"/>
      </w:rPr>
    </w:lvl>
    <w:lvl w:ilvl="2">
      <w:start w:val="3"/>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09">
    <w:multiLevelType w:val="hybridMultilevel"/>
    <w:lvl w:ilvl="0">
      <w:start w:val="5"/>
      <w:numFmt w:val="decimal"/>
      <w:lvlText w:val="%1"/>
      <w:lvlJc w:val="left"/>
      <w:pPr>
        <w:ind w:left="1158" w:hanging="318"/>
        <w:jc w:val="left"/>
      </w:pPr>
      <w:rPr>
        <w:rFonts w:hint="default"/>
        <w:lang w:val="zh-CN" w:eastAsia="zh-CN" w:bidi="zh-CN"/>
      </w:rPr>
    </w:lvl>
    <w:lvl w:ilvl="1">
      <w:start w:val="9"/>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31"/>
      </w:pPr>
      <w:rPr>
        <w:rFonts w:hint="default"/>
        <w:lang w:val="zh-CN" w:eastAsia="zh-CN" w:bidi="zh-CN"/>
      </w:rPr>
    </w:lvl>
    <w:lvl w:ilvl="4">
      <w:start w:val="0"/>
      <w:numFmt w:val="bullet"/>
      <w:lvlText w:val="•"/>
      <w:lvlJc w:val="left"/>
      <w:pPr>
        <w:ind w:left="1480" w:hanging="531"/>
      </w:pPr>
      <w:rPr>
        <w:rFonts w:hint="default"/>
        <w:lang w:val="zh-CN" w:eastAsia="zh-CN" w:bidi="zh-CN"/>
      </w:rPr>
    </w:lvl>
    <w:lvl w:ilvl="5">
      <w:start w:val="0"/>
      <w:numFmt w:val="bullet"/>
      <w:lvlText w:val="•"/>
      <w:lvlJc w:val="left"/>
      <w:pPr>
        <w:ind w:left="3007" w:hanging="531"/>
      </w:pPr>
      <w:rPr>
        <w:rFonts w:hint="default"/>
        <w:lang w:val="zh-CN" w:eastAsia="zh-CN" w:bidi="zh-CN"/>
      </w:rPr>
    </w:lvl>
    <w:lvl w:ilvl="6">
      <w:start w:val="0"/>
      <w:numFmt w:val="bullet"/>
      <w:lvlText w:val="•"/>
      <w:lvlJc w:val="left"/>
      <w:pPr>
        <w:ind w:left="4535" w:hanging="531"/>
      </w:pPr>
      <w:rPr>
        <w:rFonts w:hint="default"/>
        <w:lang w:val="zh-CN" w:eastAsia="zh-CN" w:bidi="zh-CN"/>
      </w:rPr>
    </w:lvl>
    <w:lvl w:ilvl="7">
      <w:start w:val="0"/>
      <w:numFmt w:val="bullet"/>
      <w:lvlText w:val="•"/>
      <w:lvlJc w:val="left"/>
      <w:pPr>
        <w:ind w:left="6063" w:hanging="531"/>
      </w:pPr>
      <w:rPr>
        <w:rFonts w:hint="default"/>
        <w:lang w:val="zh-CN" w:eastAsia="zh-CN" w:bidi="zh-CN"/>
      </w:rPr>
    </w:lvl>
    <w:lvl w:ilvl="8">
      <w:start w:val="0"/>
      <w:numFmt w:val="bullet"/>
      <w:lvlText w:val="•"/>
      <w:lvlJc w:val="left"/>
      <w:pPr>
        <w:ind w:left="7590" w:hanging="531"/>
      </w:pPr>
      <w:rPr>
        <w:rFonts w:hint="default"/>
        <w:lang w:val="zh-CN" w:eastAsia="zh-CN" w:bidi="zh-CN"/>
      </w:rPr>
    </w:lvl>
  </w:abstractNum>
  <w:abstractNum w:abstractNumId="808">
    <w:multiLevelType w:val="hybridMultilevel"/>
    <w:lvl w:ilvl="0">
      <w:start w:val="5"/>
      <w:numFmt w:val="decimal"/>
      <w:lvlText w:val="%1"/>
      <w:lvlJc w:val="left"/>
      <w:pPr>
        <w:ind w:left="1370" w:hanging="531"/>
        <w:jc w:val="left"/>
      </w:pPr>
      <w:rPr>
        <w:rFonts w:hint="default"/>
        <w:lang w:val="zh-CN" w:eastAsia="zh-CN" w:bidi="zh-CN"/>
      </w:rPr>
    </w:lvl>
    <w:lvl w:ilvl="1">
      <w:start w:val="8"/>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07">
    <w:multiLevelType w:val="hybridMultilevel"/>
    <w:lvl w:ilvl="0">
      <w:start w:val="5"/>
      <w:numFmt w:val="decimal"/>
      <w:lvlText w:val="%1"/>
      <w:lvlJc w:val="left"/>
      <w:pPr>
        <w:ind w:left="1370" w:hanging="531"/>
        <w:jc w:val="left"/>
      </w:pPr>
      <w:rPr>
        <w:rFonts w:hint="default"/>
        <w:lang w:val="zh-CN" w:eastAsia="zh-CN" w:bidi="zh-CN"/>
      </w:rPr>
    </w:lvl>
    <w:lvl w:ilvl="1">
      <w:start w:val="7"/>
      <w:numFmt w:val="decimal"/>
      <w:lvlText w:val="%1.%2"/>
      <w:lvlJc w:val="left"/>
      <w:pPr>
        <w:ind w:left="1370" w:hanging="531"/>
        <w:jc w:val="left"/>
      </w:pPr>
      <w:rPr>
        <w:rFonts w:hint="default"/>
        <w:lang w:val="zh-CN" w:eastAsia="zh-CN" w:bidi="zh-CN"/>
      </w:rPr>
    </w:lvl>
    <w:lvl w:ilvl="2">
      <w:start w:val="4"/>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06">
    <w:multiLevelType w:val="hybridMultilevel"/>
    <w:lvl w:ilvl="0">
      <w:start w:val="5"/>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805">
    <w:multiLevelType w:val="hybridMultilevel"/>
    <w:lvl w:ilvl="0">
      <w:start w:val="5"/>
      <w:numFmt w:val="decimal"/>
      <w:lvlText w:val="%1"/>
      <w:lvlJc w:val="left"/>
      <w:pPr>
        <w:ind w:left="418" w:hanging="529"/>
        <w:jc w:val="left"/>
      </w:pPr>
      <w:rPr>
        <w:rFonts w:hint="default"/>
        <w:lang w:val="zh-CN" w:eastAsia="zh-CN" w:bidi="zh-CN"/>
      </w:rPr>
    </w:lvl>
    <w:lvl w:ilvl="1">
      <w:start w:val="6"/>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spacing w:val="-5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804">
    <w:multiLevelType w:val="hybridMultilevel"/>
    <w:lvl w:ilvl="0">
      <w:start w:val="5"/>
      <w:numFmt w:val="decimal"/>
      <w:lvlText w:val="%1"/>
      <w:lvlJc w:val="left"/>
      <w:pPr>
        <w:ind w:left="418" w:hanging="531"/>
        <w:jc w:val="left"/>
      </w:pPr>
      <w:rPr>
        <w:rFonts w:hint="default"/>
        <w:lang w:val="zh-CN" w:eastAsia="zh-CN" w:bidi="zh-CN"/>
      </w:rPr>
    </w:lvl>
    <w:lvl w:ilvl="1">
      <w:start w:val="5"/>
      <w:numFmt w:val="decimal"/>
      <w:lvlText w:val="%1.%2"/>
      <w:lvlJc w:val="left"/>
      <w:pPr>
        <w:ind w:left="418" w:hanging="531"/>
        <w:jc w:val="left"/>
      </w:pPr>
      <w:rPr>
        <w:rFonts w:hint="default"/>
        <w:lang w:val="zh-CN" w:eastAsia="zh-CN" w:bidi="zh-CN"/>
      </w:rPr>
    </w:lvl>
    <w:lvl w:ilvl="2">
      <w:start w:val="6"/>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803">
    <w:multiLevelType w:val="hybridMultilevel"/>
    <w:lvl w:ilvl="0">
      <w:start w:val="5"/>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802">
    <w:multiLevelType w:val="hybridMultilevel"/>
    <w:lvl w:ilvl="0">
      <w:start w:val="5"/>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3"/>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01">
    <w:multiLevelType w:val="hybridMultilevel"/>
    <w:lvl w:ilvl="0">
      <w:start w:val="5"/>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9"/>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00">
    <w:multiLevelType w:val="hybridMultilevel"/>
    <w:lvl w:ilvl="0">
      <w:start w:val="5"/>
      <w:numFmt w:val="decimal"/>
      <w:lvlText w:val="%1"/>
      <w:lvlJc w:val="left"/>
      <w:pPr>
        <w:ind w:left="838" w:hanging="531"/>
        <w:jc w:val="left"/>
      </w:pPr>
      <w:rPr>
        <w:rFonts w:hint="default"/>
        <w:lang w:val="zh-CN" w:eastAsia="zh-CN" w:bidi="zh-CN"/>
      </w:rPr>
    </w:lvl>
    <w:lvl w:ilvl="1">
      <w:start w:val="2"/>
      <w:numFmt w:val="decimal"/>
      <w:lvlText w:val="%1.%2"/>
      <w:lvlJc w:val="left"/>
      <w:pPr>
        <w:ind w:left="838" w:hanging="531"/>
        <w:jc w:val="left"/>
      </w:pPr>
      <w:rPr>
        <w:rFonts w:hint="default"/>
        <w:lang w:val="zh-CN" w:eastAsia="zh-CN" w:bidi="zh-CN"/>
      </w:rPr>
    </w:lvl>
    <w:lvl w:ilvl="2">
      <w:start w:val="6"/>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781" w:hanging="531"/>
      </w:pPr>
      <w:rPr>
        <w:rFonts w:hint="default"/>
        <w:lang w:val="zh-CN" w:eastAsia="zh-CN" w:bidi="zh-CN"/>
      </w:rPr>
    </w:lvl>
    <w:lvl w:ilvl="4">
      <w:start w:val="0"/>
      <w:numFmt w:val="bullet"/>
      <w:lvlText w:val="•"/>
      <w:lvlJc w:val="left"/>
      <w:pPr>
        <w:ind w:left="4762" w:hanging="531"/>
      </w:pPr>
      <w:rPr>
        <w:rFonts w:hint="default"/>
        <w:lang w:val="zh-CN" w:eastAsia="zh-CN" w:bidi="zh-CN"/>
      </w:rPr>
    </w:lvl>
    <w:lvl w:ilvl="5">
      <w:start w:val="0"/>
      <w:numFmt w:val="bullet"/>
      <w:lvlText w:val="•"/>
      <w:lvlJc w:val="left"/>
      <w:pPr>
        <w:ind w:left="5743" w:hanging="531"/>
      </w:pPr>
      <w:rPr>
        <w:rFonts w:hint="default"/>
        <w:lang w:val="zh-CN" w:eastAsia="zh-CN" w:bidi="zh-CN"/>
      </w:rPr>
    </w:lvl>
    <w:lvl w:ilvl="6">
      <w:start w:val="0"/>
      <w:numFmt w:val="bullet"/>
      <w:lvlText w:val="•"/>
      <w:lvlJc w:val="left"/>
      <w:pPr>
        <w:ind w:left="6723" w:hanging="531"/>
      </w:pPr>
      <w:rPr>
        <w:rFonts w:hint="default"/>
        <w:lang w:val="zh-CN" w:eastAsia="zh-CN" w:bidi="zh-CN"/>
      </w:rPr>
    </w:lvl>
    <w:lvl w:ilvl="7">
      <w:start w:val="0"/>
      <w:numFmt w:val="bullet"/>
      <w:lvlText w:val="•"/>
      <w:lvlJc w:val="left"/>
      <w:pPr>
        <w:ind w:left="7704" w:hanging="531"/>
      </w:pPr>
      <w:rPr>
        <w:rFonts w:hint="default"/>
        <w:lang w:val="zh-CN" w:eastAsia="zh-CN" w:bidi="zh-CN"/>
      </w:rPr>
    </w:lvl>
    <w:lvl w:ilvl="8">
      <w:start w:val="0"/>
      <w:numFmt w:val="bullet"/>
      <w:lvlText w:val="•"/>
      <w:lvlJc w:val="left"/>
      <w:pPr>
        <w:ind w:left="8685" w:hanging="531"/>
      </w:pPr>
      <w:rPr>
        <w:rFonts w:hint="default"/>
        <w:lang w:val="zh-CN" w:eastAsia="zh-CN" w:bidi="zh-CN"/>
      </w:rPr>
    </w:lvl>
  </w:abstractNum>
  <w:abstractNum w:abstractNumId="799">
    <w:multiLevelType w:val="hybridMultilevel"/>
    <w:lvl w:ilvl="0">
      <w:start w:val="5"/>
      <w:numFmt w:val="decimal"/>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4"/>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798">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73" w:hanging="531"/>
      </w:pPr>
      <w:rPr>
        <w:rFonts w:hint="default"/>
        <w:lang w:val="zh-CN" w:eastAsia="zh-CN" w:bidi="zh-CN"/>
      </w:rPr>
    </w:lvl>
    <w:lvl w:ilvl="4">
      <w:start w:val="0"/>
      <w:numFmt w:val="bullet"/>
      <w:lvlText w:val="•"/>
      <w:lvlJc w:val="left"/>
      <w:pPr>
        <w:ind w:left="3726" w:hanging="531"/>
      </w:pPr>
      <w:rPr>
        <w:rFonts w:hint="default"/>
        <w:lang w:val="zh-CN" w:eastAsia="zh-CN" w:bidi="zh-CN"/>
      </w:rPr>
    </w:lvl>
    <w:lvl w:ilvl="5">
      <w:start w:val="0"/>
      <w:numFmt w:val="bullet"/>
      <w:lvlText w:val="•"/>
      <w:lvlJc w:val="left"/>
      <w:pPr>
        <w:ind w:left="4879" w:hanging="531"/>
      </w:pPr>
      <w:rPr>
        <w:rFonts w:hint="default"/>
        <w:lang w:val="zh-CN" w:eastAsia="zh-CN" w:bidi="zh-CN"/>
      </w:rPr>
    </w:lvl>
    <w:lvl w:ilvl="6">
      <w:start w:val="0"/>
      <w:numFmt w:val="bullet"/>
      <w:lvlText w:val="•"/>
      <w:lvlJc w:val="left"/>
      <w:pPr>
        <w:ind w:left="6033" w:hanging="531"/>
      </w:pPr>
      <w:rPr>
        <w:rFonts w:hint="default"/>
        <w:lang w:val="zh-CN" w:eastAsia="zh-CN" w:bidi="zh-CN"/>
      </w:rPr>
    </w:lvl>
    <w:lvl w:ilvl="7">
      <w:start w:val="0"/>
      <w:numFmt w:val="bullet"/>
      <w:lvlText w:val="•"/>
      <w:lvlJc w:val="left"/>
      <w:pPr>
        <w:ind w:left="7186" w:hanging="531"/>
      </w:pPr>
      <w:rPr>
        <w:rFonts w:hint="default"/>
        <w:lang w:val="zh-CN" w:eastAsia="zh-CN" w:bidi="zh-CN"/>
      </w:rPr>
    </w:lvl>
    <w:lvl w:ilvl="8">
      <w:start w:val="0"/>
      <w:numFmt w:val="bullet"/>
      <w:lvlText w:val="•"/>
      <w:lvlJc w:val="left"/>
      <w:pPr>
        <w:ind w:left="8339" w:hanging="531"/>
      </w:pPr>
      <w:rPr>
        <w:rFonts w:hint="default"/>
        <w:lang w:val="zh-CN" w:eastAsia="zh-CN" w:bidi="zh-CN"/>
      </w:rPr>
    </w:lvl>
  </w:abstractNum>
  <w:abstractNum w:abstractNumId="797">
    <w:multiLevelType w:val="hybridMultilevel"/>
    <w:lvl w:ilvl="0">
      <w:start w:val="4"/>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96">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40"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795">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794">
    <w:multiLevelType w:val="hybridMultilevel"/>
    <w:lvl w:ilvl="0">
      <w:start w:val="2"/>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93">
    <w:multiLevelType w:val="hybridMultilevel"/>
    <w:lvl w:ilvl="0">
      <w:start w:val="1"/>
      <w:numFmt w:val="decimal"/>
      <w:lvlText w:val="%1"/>
      <w:lvlJc w:val="left"/>
      <w:pPr>
        <w:ind w:left="418" w:hanging="372"/>
        <w:jc w:val="left"/>
      </w:pPr>
      <w:rPr>
        <w:rFonts w:hint="default"/>
        <w:lang w:val="zh-CN" w:eastAsia="zh-CN" w:bidi="zh-CN"/>
      </w:rPr>
    </w:lvl>
    <w:lvl w:ilvl="1">
      <w:start w:val="1"/>
      <w:numFmt w:val="decimal"/>
      <w:lvlText w:val="%1.%2"/>
      <w:lvlJc w:val="left"/>
      <w:pPr>
        <w:ind w:left="418"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2465" w:hanging="372"/>
      </w:pPr>
      <w:rPr>
        <w:rFonts w:hint="default"/>
        <w:lang w:val="zh-CN" w:eastAsia="zh-CN" w:bidi="zh-CN"/>
      </w:rPr>
    </w:lvl>
    <w:lvl w:ilvl="3">
      <w:start w:val="0"/>
      <w:numFmt w:val="bullet"/>
      <w:lvlText w:val="•"/>
      <w:lvlJc w:val="left"/>
      <w:pPr>
        <w:ind w:left="3487" w:hanging="372"/>
      </w:pPr>
      <w:rPr>
        <w:rFonts w:hint="default"/>
        <w:lang w:val="zh-CN" w:eastAsia="zh-CN" w:bidi="zh-CN"/>
      </w:rPr>
    </w:lvl>
    <w:lvl w:ilvl="4">
      <w:start w:val="0"/>
      <w:numFmt w:val="bullet"/>
      <w:lvlText w:val="•"/>
      <w:lvlJc w:val="left"/>
      <w:pPr>
        <w:ind w:left="4510" w:hanging="372"/>
      </w:pPr>
      <w:rPr>
        <w:rFonts w:hint="default"/>
        <w:lang w:val="zh-CN" w:eastAsia="zh-CN" w:bidi="zh-CN"/>
      </w:rPr>
    </w:lvl>
    <w:lvl w:ilvl="5">
      <w:start w:val="0"/>
      <w:numFmt w:val="bullet"/>
      <w:lvlText w:val="•"/>
      <w:lvlJc w:val="left"/>
      <w:pPr>
        <w:ind w:left="5533" w:hanging="372"/>
      </w:pPr>
      <w:rPr>
        <w:rFonts w:hint="default"/>
        <w:lang w:val="zh-CN" w:eastAsia="zh-CN" w:bidi="zh-CN"/>
      </w:rPr>
    </w:lvl>
    <w:lvl w:ilvl="6">
      <w:start w:val="0"/>
      <w:numFmt w:val="bullet"/>
      <w:lvlText w:val="•"/>
      <w:lvlJc w:val="left"/>
      <w:pPr>
        <w:ind w:left="6555" w:hanging="372"/>
      </w:pPr>
      <w:rPr>
        <w:rFonts w:hint="default"/>
        <w:lang w:val="zh-CN" w:eastAsia="zh-CN" w:bidi="zh-CN"/>
      </w:rPr>
    </w:lvl>
    <w:lvl w:ilvl="7">
      <w:start w:val="0"/>
      <w:numFmt w:val="bullet"/>
      <w:lvlText w:val="•"/>
      <w:lvlJc w:val="left"/>
      <w:pPr>
        <w:ind w:left="7578" w:hanging="372"/>
      </w:pPr>
      <w:rPr>
        <w:rFonts w:hint="default"/>
        <w:lang w:val="zh-CN" w:eastAsia="zh-CN" w:bidi="zh-CN"/>
      </w:rPr>
    </w:lvl>
    <w:lvl w:ilvl="8">
      <w:start w:val="0"/>
      <w:numFmt w:val="bullet"/>
      <w:lvlText w:val="•"/>
      <w:lvlJc w:val="left"/>
      <w:pPr>
        <w:ind w:left="8601" w:hanging="372"/>
      </w:pPr>
      <w:rPr>
        <w:rFonts w:hint="default"/>
        <w:lang w:val="zh-CN" w:eastAsia="zh-CN" w:bidi="zh-CN"/>
      </w:rPr>
    </w:lvl>
  </w:abstractNum>
  <w:abstractNum w:abstractNumId="792">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791">
    <w:multiLevelType w:val="hybridMultilevel"/>
    <w:lvl w:ilvl="0">
      <w:start w:val="5"/>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790">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789">
    <w:multiLevelType w:val="hybridMultilevel"/>
    <w:lvl w:ilvl="0">
      <w:start w:val="4"/>
      <w:numFmt w:val="decimal"/>
      <w:lvlText w:val="%1"/>
      <w:lvlJc w:val="left"/>
      <w:pPr>
        <w:ind w:left="1263" w:hanging="424"/>
        <w:jc w:val="left"/>
      </w:pPr>
      <w:rPr>
        <w:rFonts w:hint="default"/>
        <w:lang w:val="zh-CN" w:eastAsia="zh-CN" w:bidi="zh-CN"/>
      </w:rPr>
    </w:lvl>
    <w:lvl w:ilvl="1">
      <w:start w:val="28"/>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788">
    <w:multiLevelType w:val="hybridMultilevel"/>
    <w:lvl w:ilvl="0">
      <w:start w:val="4"/>
      <w:numFmt w:val="decimal"/>
      <w:lvlText w:val="%1"/>
      <w:lvlJc w:val="left"/>
      <w:pPr>
        <w:ind w:left="418" w:hanging="689"/>
        <w:jc w:val="left"/>
      </w:pPr>
      <w:rPr>
        <w:rFonts w:hint="default"/>
        <w:lang w:val="zh-CN" w:eastAsia="zh-CN" w:bidi="zh-CN"/>
      </w:rPr>
    </w:lvl>
    <w:lvl w:ilvl="1">
      <w:start w:val="27"/>
      <w:numFmt w:val="decimal"/>
      <w:lvlText w:val="%1.%2"/>
      <w:lvlJc w:val="left"/>
      <w:pPr>
        <w:ind w:left="418" w:hanging="689"/>
        <w:jc w:val="left"/>
      </w:pPr>
      <w:rPr>
        <w:rFonts w:hint="default"/>
        <w:lang w:val="zh-CN" w:eastAsia="zh-CN" w:bidi="zh-CN"/>
      </w:rPr>
    </w:lvl>
    <w:lvl w:ilvl="2">
      <w:start w:val="1"/>
      <w:numFmt w:val="decimal"/>
      <w:lvlText w:val="%1.%2.%3"/>
      <w:lvlJc w:val="left"/>
      <w:pPr>
        <w:ind w:left="418"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689"/>
      </w:pPr>
      <w:rPr>
        <w:rFonts w:hint="default"/>
        <w:lang w:val="zh-CN" w:eastAsia="zh-CN" w:bidi="zh-CN"/>
      </w:rPr>
    </w:lvl>
    <w:lvl w:ilvl="4">
      <w:start w:val="0"/>
      <w:numFmt w:val="bullet"/>
      <w:lvlText w:val="•"/>
      <w:lvlJc w:val="left"/>
      <w:pPr>
        <w:ind w:left="4510" w:hanging="689"/>
      </w:pPr>
      <w:rPr>
        <w:rFonts w:hint="default"/>
        <w:lang w:val="zh-CN" w:eastAsia="zh-CN" w:bidi="zh-CN"/>
      </w:rPr>
    </w:lvl>
    <w:lvl w:ilvl="5">
      <w:start w:val="0"/>
      <w:numFmt w:val="bullet"/>
      <w:lvlText w:val="•"/>
      <w:lvlJc w:val="left"/>
      <w:pPr>
        <w:ind w:left="5533" w:hanging="689"/>
      </w:pPr>
      <w:rPr>
        <w:rFonts w:hint="default"/>
        <w:lang w:val="zh-CN" w:eastAsia="zh-CN" w:bidi="zh-CN"/>
      </w:rPr>
    </w:lvl>
    <w:lvl w:ilvl="6">
      <w:start w:val="0"/>
      <w:numFmt w:val="bullet"/>
      <w:lvlText w:val="•"/>
      <w:lvlJc w:val="left"/>
      <w:pPr>
        <w:ind w:left="6555" w:hanging="689"/>
      </w:pPr>
      <w:rPr>
        <w:rFonts w:hint="default"/>
        <w:lang w:val="zh-CN" w:eastAsia="zh-CN" w:bidi="zh-CN"/>
      </w:rPr>
    </w:lvl>
    <w:lvl w:ilvl="7">
      <w:start w:val="0"/>
      <w:numFmt w:val="bullet"/>
      <w:lvlText w:val="•"/>
      <w:lvlJc w:val="left"/>
      <w:pPr>
        <w:ind w:left="7578" w:hanging="689"/>
      </w:pPr>
      <w:rPr>
        <w:rFonts w:hint="default"/>
        <w:lang w:val="zh-CN" w:eastAsia="zh-CN" w:bidi="zh-CN"/>
      </w:rPr>
    </w:lvl>
    <w:lvl w:ilvl="8">
      <w:start w:val="0"/>
      <w:numFmt w:val="bullet"/>
      <w:lvlText w:val="•"/>
      <w:lvlJc w:val="left"/>
      <w:pPr>
        <w:ind w:left="8601" w:hanging="689"/>
      </w:pPr>
      <w:rPr>
        <w:rFonts w:hint="default"/>
        <w:lang w:val="zh-CN" w:eastAsia="zh-CN" w:bidi="zh-CN"/>
      </w:rPr>
    </w:lvl>
  </w:abstractNum>
  <w:abstractNum w:abstractNumId="787">
    <w:multiLevelType w:val="hybridMultilevel"/>
    <w:lvl w:ilvl="0">
      <w:start w:val="4"/>
      <w:numFmt w:val="decimal"/>
      <w:lvlText w:val="%1"/>
      <w:lvlJc w:val="left"/>
      <w:pPr>
        <w:ind w:left="1477" w:hanging="637"/>
        <w:jc w:val="left"/>
      </w:pPr>
      <w:rPr>
        <w:rFonts w:hint="default"/>
        <w:lang w:val="zh-CN" w:eastAsia="zh-CN" w:bidi="zh-CN"/>
      </w:rPr>
    </w:lvl>
    <w:lvl w:ilvl="1">
      <w:start w:val="11"/>
      <w:numFmt w:val="decimal"/>
      <w:lvlText w:val="%1.%2"/>
      <w:lvlJc w:val="left"/>
      <w:pPr>
        <w:ind w:left="1477" w:hanging="637"/>
        <w:jc w:val="left"/>
      </w:pPr>
      <w:rPr>
        <w:rFonts w:hint="default"/>
        <w:lang w:val="zh-CN" w:eastAsia="zh-CN" w:bidi="zh-CN"/>
      </w:rPr>
    </w:lvl>
    <w:lvl w:ilvl="2">
      <w:start w:val="7"/>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786">
    <w:multiLevelType w:val="hybridMultilevel"/>
    <w:lvl w:ilvl="0">
      <w:start w:val="4"/>
      <w:numFmt w:val="decimal"/>
      <w:lvlText w:val="%1"/>
      <w:lvlJc w:val="left"/>
      <w:pPr>
        <w:ind w:left="1159" w:hanging="320"/>
        <w:jc w:val="left"/>
      </w:pPr>
      <w:rPr>
        <w:rFonts w:hint="default"/>
        <w:lang w:val="zh-CN" w:eastAsia="zh-CN" w:bidi="zh-CN"/>
      </w:rPr>
    </w:lvl>
    <w:lvl w:ilvl="1">
      <w:start w:val="9"/>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480" w:hanging="531"/>
      </w:pPr>
      <w:rPr>
        <w:rFonts w:hint="default"/>
        <w:lang w:val="zh-CN" w:eastAsia="zh-CN" w:bidi="zh-CN"/>
      </w:rPr>
    </w:lvl>
    <w:lvl w:ilvl="4">
      <w:start w:val="0"/>
      <w:numFmt w:val="bullet"/>
      <w:lvlText w:val="•"/>
      <w:lvlJc w:val="left"/>
      <w:pPr>
        <w:ind w:left="2789" w:hanging="531"/>
      </w:pPr>
      <w:rPr>
        <w:rFonts w:hint="default"/>
        <w:lang w:val="zh-CN" w:eastAsia="zh-CN" w:bidi="zh-CN"/>
      </w:rPr>
    </w:lvl>
    <w:lvl w:ilvl="5">
      <w:start w:val="0"/>
      <w:numFmt w:val="bullet"/>
      <w:lvlText w:val="•"/>
      <w:lvlJc w:val="left"/>
      <w:pPr>
        <w:ind w:left="4098" w:hanging="531"/>
      </w:pPr>
      <w:rPr>
        <w:rFonts w:hint="default"/>
        <w:lang w:val="zh-CN" w:eastAsia="zh-CN" w:bidi="zh-CN"/>
      </w:rPr>
    </w:lvl>
    <w:lvl w:ilvl="6">
      <w:start w:val="0"/>
      <w:numFmt w:val="bullet"/>
      <w:lvlText w:val="•"/>
      <w:lvlJc w:val="left"/>
      <w:pPr>
        <w:ind w:left="5408" w:hanging="531"/>
      </w:pPr>
      <w:rPr>
        <w:rFonts w:hint="default"/>
        <w:lang w:val="zh-CN" w:eastAsia="zh-CN" w:bidi="zh-CN"/>
      </w:rPr>
    </w:lvl>
    <w:lvl w:ilvl="7">
      <w:start w:val="0"/>
      <w:numFmt w:val="bullet"/>
      <w:lvlText w:val="•"/>
      <w:lvlJc w:val="left"/>
      <w:pPr>
        <w:ind w:left="6717" w:hanging="531"/>
      </w:pPr>
      <w:rPr>
        <w:rFonts w:hint="default"/>
        <w:lang w:val="zh-CN" w:eastAsia="zh-CN" w:bidi="zh-CN"/>
      </w:rPr>
    </w:lvl>
    <w:lvl w:ilvl="8">
      <w:start w:val="0"/>
      <w:numFmt w:val="bullet"/>
      <w:lvlText w:val="•"/>
      <w:lvlJc w:val="left"/>
      <w:pPr>
        <w:ind w:left="8027" w:hanging="531"/>
      </w:pPr>
      <w:rPr>
        <w:rFonts w:hint="default"/>
        <w:lang w:val="zh-CN" w:eastAsia="zh-CN" w:bidi="zh-CN"/>
      </w:rPr>
    </w:lvl>
  </w:abstractNum>
  <w:abstractNum w:abstractNumId="785">
    <w:multiLevelType w:val="hybridMultilevel"/>
    <w:lvl w:ilvl="0">
      <w:start w:val="4"/>
      <w:numFmt w:val="decimal"/>
      <w:lvlText w:val="%1"/>
      <w:lvlJc w:val="left"/>
      <w:pPr>
        <w:ind w:left="1159" w:hanging="320"/>
        <w:jc w:val="left"/>
      </w:pPr>
      <w:rPr>
        <w:rFonts w:hint="default"/>
        <w:lang w:val="zh-CN" w:eastAsia="zh-CN" w:bidi="zh-CN"/>
      </w:rPr>
    </w:lvl>
    <w:lvl w:ilvl="1">
      <w:start w:val="3"/>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784">
    <w:multiLevelType w:val="hybridMultilevel"/>
    <w:lvl w:ilvl="0">
      <w:start w:val="4"/>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783">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782">
    <w:multiLevelType w:val="hybridMultilevel"/>
    <w:lvl w:ilvl="0">
      <w:start w:val="3"/>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781">
    <w:multiLevelType w:val="hybridMultilevel"/>
    <w:lvl w:ilvl="0">
      <w:start w:val="2"/>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780">
    <w:multiLevelType w:val="hybridMultilevel"/>
    <w:lvl w:ilvl="0">
      <w:start w:val="1"/>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779">
    <w:multiLevelType w:val="hybridMultilevel"/>
    <w:lvl w:ilvl="0">
      <w:start w:val="9"/>
      <w:numFmt w:val="decimal"/>
      <w:lvlText w:val="%1"/>
      <w:lvlJc w:val="left"/>
      <w:pPr>
        <w:ind w:left="418" w:hanging="529"/>
        <w:jc w:val="left"/>
      </w:pPr>
      <w:rPr>
        <w:rFonts w:hint="default"/>
        <w:lang w:val="zh-CN" w:eastAsia="zh-CN" w:bidi="zh-CN"/>
      </w:rPr>
    </w:lvl>
    <w:lvl w:ilvl="1">
      <w:start w:val="0"/>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78">
    <w:multiLevelType w:val="hybridMultilevel"/>
    <w:lvl w:ilvl="0">
      <w:start w:val="8"/>
      <w:numFmt w:val="decimal"/>
      <w:lvlText w:val="%1"/>
      <w:lvlJc w:val="left"/>
      <w:pPr>
        <w:ind w:left="418" w:hanging="531"/>
        <w:jc w:val="left"/>
      </w:pPr>
      <w:rPr>
        <w:rFonts w:hint="default"/>
        <w:lang w:val="zh-CN" w:eastAsia="zh-CN" w:bidi="zh-CN"/>
      </w:rPr>
    </w:lvl>
    <w:lvl w:ilvl="1">
      <w:start w:val="2"/>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777">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776">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775">
    <w:multiLevelType w:val="hybridMultilevel"/>
    <w:lvl w:ilvl="0">
      <w:start w:val="6"/>
      <w:numFmt w:val="decimal"/>
      <w:lvlText w:val="%1"/>
      <w:lvlJc w:val="left"/>
      <w:pPr>
        <w:ind w:left="418" w:hanging="372"/>
        <w:jc w:val="left"/>
      </w:pPr>
      <w:rPr>
        <w:rFonts w:hint="default"/>
        <w:lang w:val="zh-CN" w:eastAsia="zh-CN" w:bidi="zh-CN"/>
      </w:rPr>
    </w:lvl>
    <w:lvl w:ilvl="1">
      <w:start w:val="1"/>
      <w:numFmt w:val="decimal"/>
      <w:lvlText w:val="%1.%2"/>
      <w:lvlJc w:val="left"/>
      <w:pPr>
        <w:ind w:left="418"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2465" w:hanging="372"/>
      </w:pPr>
      <w:rPr>
        <w:rFonts w:hint="default"/>
        <w:lang w:val="zh-CN" w:eastAsia="zh-CN" w:bidi="zh-CN"/>
      </w:rPr>
    </w:lvl>
    <w:lvl w:ilvl="3">
      <w:start w:val="0"/>
      <w:numFmt w:val="bullet"/>
      <w:lvlText w:val="•"/>
      <w:lvlJc w:val="left"/>
      <w:pPr>
        <w:ind w:left="3487" w:hanging="372"/>
      </w:pPr>
      <w:rPr>
        <w:rFonts w:hint="default"/>
        <w:lang w:val="zh-CN" w:eastAsia="zh-CN" w:bidi="zh-CN"/>
      </w:rPr>
    </w:lvl>
    <w:lvl w:ilvl="4">
      <w:start w:val="0"/>
      <w:numFmt w:val="bullet"/>
      <w:lvlText w:val="•"/>
      <w:lvlJc w:val="left"/>
      <w:pPr>
        <w:ind w:left="4510" w:hanging="372"/>
      </w:pPr>
      <w:rPr>
        <w:rFonts w:hint="default"/>
        <w:lang w:val="zh-CN" w:eastAsia="zh-CN" w:bidi="zh-CN"/>
      </w:rPr>
    </w:lvl>
    <w:lvl w:ilvl="5">
      <w:start w:val="0"/>
      <w:numFmt w:val="bullet"/>
      <w:lvlText w:val="•"/>
      <w:lvlJc w:val="left"/>
      <w:pPr>
        <w:ind w:left="5533" w:hanging="372"/>
      </w:pPr>
      <w:rPr>
        <w:rFonts w:hint="default"/>
        <w:lang w:val="zh-CN" w:eastAsia="zh-CN" w:bidi="zh-CN"/>
      </w:rPr>
    </w:lvl>
    <w:lvl w:ilvl="6">
      <w:start w:val="0"/>
      <w:numFmt w:val="bullet"/>
      <w:lvlText w:val="•"/>
      <w:lvlJc w:val="left"/>
      <w:pPr>
        <w:ind w:left="6555" w:hanging="372"/>
      </w:pPr>
      <w:rPr>
        <w:rFonts w:hint="default"/>
        <w:lang w:val="zh-CN" w:eastAsia="zh-CN" w:bidi="zh-CN"/>
      </w:rPr>
    </w:lvl>
    <w:lvl w:ilvl="7">
      <w:start w:val="0"/>
      <w:numFmt w:val="bullet"/>
      <w:lvlText w:val="•"/>
      <w:lvlJc w:val="left"/>
      <w:pPr>
        <w:ind w:left="7578" w:hanging="372"/>
      </w:pPr>
      <w:rPr>
        <w:rFonts w:hint="default"/>
        <w:lang w:val="zh-CN" w:eastAsia="zh-CN" w:bidi="zh-CN"/>
      </w:rPr>
    </w:lvl>
    <w:lvl w:ilvl="8">
      <w:start w:val="0"/>
      <w:numFmt w:val="bullet"/>
      <w:lvlText w:val="•"/>
      <w:lvlJc w:val="left"/>
      <w:pPr>
        <w:ind w:left="8601" w:hanging="372"/>
      </w:pPr>
      <w:rPr>
        <w:rFonts w:hint="default"/>
        <w:lang w:val="zh-CN" w:eastAsia="zh-CN" w:bidi="zh-CN"/>
      </w:rPr>
    </w:lvl>
  </w:abstractNum>
  <w:abstractNum w:abstractNumId="774">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773">
    <w:multiLevelType w:val="hybridMultilevel"/>
    <w:lvl w:ilvl="0">
      <w:start w:val="4"/>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72">
    <w:multiLevelType w:val="hybridMultilevel"/>
    <w:lvl w:ilvl="0">
      <w:start w:val="4"/>
      <w:numFmt w:val="decimal"/>
      <w:lvlText w:val="%1"/>
      <w:lvlJc w:val="left"/>
      <w:pPr>
        <w:ind w:left="996" w:hanging="579"/>
        <w:jc w:val="left"/>
      </w:pPr>
      <w:rPr>
        <w:rFonts w:hint="default"/>
        <w:lang w:val="zh-CN" w:eastAsia="zh-CN" w:bidi="zh-CN"/>
      </w:rPr>
    </w:lvl>
    <w:lvl w:ilvl="1">
      <w:start w:val="2"/>
      <w:numFmt w:val="decimal"/>
      <w:lvlText w:val="%1.%2"/>
      <w:lvlJc w:val="left"/>
      <w:pPr>
        <w:ind w:left="996" w:hanging="579"/>
        <w:jc w:val="left"/>
      </w:pPr>
      <w:rPr>
        <w:rFonts w:hint="default"/>
        <w:lang w:val="zh-CN" w:eastAsia="zh-CN" w:bidi="zh-CN"/>
      </w:rPr>
    </w:lvl>
    <w:lvl w:ilvl="2">
      <w:start w:val="7"/>
      <w:numFmt w:val="decimal"/>
      <w:lvlText w:val="%1.%2.%3"/>
      <w:lvlJc w:val="left"/>
      <w:pPr>
        <w:ind w:left="996" w:hanging="579"/>
        <w:jc w:val="right"/>
      </w:pPr>
      <w:rPr>
        <w:rFonts w:hint="default"/>
        <w:w w:val="100"/>
        <w:lang w:val="zh-CN" w:eastAsia="zh-CN" w:bidi="zh-CN"/>
      </w:rPr>
    </w:lvl>
    <w:lvl w:ilvl="3">
      <w:start w:val="0"/>
      <w:numFmt w:val="bullet"/>
      <w:lvlText w:val="•"/>
      <w:lvlJc w:val="left"/>
      <w:pPr>
        <w:ind w:left="3893" w:hanging="579"/>
      </w:pPr>
      <w:rPr>
        <w:rFonts w:hint="default"/>
        <w:lang w:val="zh-CN" w:eastAsia="zh-CN" w:bidi="zh-CN"/>
      </w:rPr>
    </w:lvl>
    <w:lvl w:ilvl="4">
      <w:start w:val="0"/>
      <w:numFmt w:val="bullet"/>
      <w:lvlText w:val="•"/>
      <w:lvlJc w:val="left"/>
      <w:pPr>
        <w:ind w:left="4858" w:hanging="579"/>
      </w:pPr>
      <w:rPr>
        <w:rFonts w:hint="default"/>
        <w:lang w:val="zh-CN" w:eastAsia="zh-CN" w:bidi="zh-CN"/>
      </w:rPr>
    </w:lvl>
    <w:lvl w:ilvl="5">
      <w:start w:val="0"/>
      <w:numFmt w:val="bullet"/>
      <w:lvlText w:val="•"/>
      <w:lvlJc w:val="left"/>
      <w:pPr>
        <w:ind w:left="5823" w:hanging="579"/>
      </w:pPr>
      <w:rPr>
        <w:rFonts w:hint="default"/>
        <w:lang w:val="zh-CN" w:eastAsia="zh-CN" w:bidi="zh-CN"/>
      </w:rPr>
    </w:lvl>
    <w:lvl w:ilvl="6">
      <w:start w:val="0"/>
      <w:numFmt w:val="bullet"/>
      <w:lvlText w:val="•"/>
      <w:lvlJc w:val="left"/>
      <w:pPr>
        <w:ind w:left="6787" w:hanging="579"/>
      </w:pPr>
      <w:rPr>
        <w:rFonts w:hint="default"/>
        <w:lang w:val="zh-CN" w:eastAsia="zh-CN" w:bidi="zh-CN"/>
      </w:rPr>
    </w:lvl>
    <w:lvl w:ilvl="7">
      <w:start w:val="0"/>
      <w:numFmt w:val="bullet"/>
      <w:lvlText w:val="•"/>
      <w:lvlJc w:val="left"/>
      <w:pPr>
        <w:ind w:left="7752" w:hanging="579"/>
      </w:pPr>
      <w:rPr>
        <w:rFonts w:hint="default"/>
        <w:lang w:val="zh-CN" w:eastAsia="zh-CN" w:bidi="zh-CN"/>
      </w:rPr>
    </w:lvl>
    <w:lvl w:ilvl="8">
      <w:start w:val="0"/>
      <w:numFmt w:val="bullet"/>
      <w:lvlText w:val="•"/>
      <w:lvlJc w:val="left"/>
      <w:pPr>
        <w:ind w:left="8717" w:hanging="579"/>
      </w:pPr>
      <w:rPr>
        <w:rFonts w:hint="default"/>
        <w:lang w:val="zh-CN" w:eastAsia="zh-CN" w:bidi="zh-CN"/>
      </w:rPr>
    </w:lvl>
  </w:abstractNum>
  <w:abstractNum w:abstractNumId="771">
    <w:multiLevelType w:val="hybridMultilevel"/>
    <w:lvl w:ilvl="0">
      <w:start w:val="2"/>
      <w:numFmt w:val="decimal"/>
      <w:lvlText w:val="%1."/>
      <w:lvlJc w:val="left"/>
      <w:pPr>
        <w:ind w:left="1050"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770">
    <w:multiLevelType w:val="hybridMultilevel"/>
    <w:lvl w:ilvl="0">
      <w:start w:val="4"/>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6"/>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69">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768">
    <w:multiLevelType w:val="hybridMultilevel"/>
    <w:lvl w:ilvl="0">
      <w:start w:val="2"/>
      <w:numFmt w:val="decimal"/>
      <w:lvlText w:val="%1."/>
      <w:lvlJc w:val="left"/>
      <w:pPr>
        <w:ind w:left="1055" w:hanging="213"/>
        <w:jc w:val="left"/>
      </w:pPr>
      <w:rPr>
        <w:rFonts w:hint="default" w:ascii="宋体" w:hAnsi="宋体" w:eastAsia="宋体" w:cs="宋体"/>
        <w:spacing w:val="-8"/>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767">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66">
    <w:multiLevelType w:val="hybridMultilevel"/>
    <w:lvl w:ilvl="0">
      <w:start w:val="2"/>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765">
    <w:multiLevelType w:val="hybridMultilevel"/>
    <w:lvl w:ilvl="0">
      <w:start w:val="1"/>
      <w:numFmt w:val="decimal"/>
      <w:lvlText w:val="%1"/>
      <w:lvlJc w:val="left"/>
      <w:pPr>
        <w:ind w:left="600" w:hanging="183"/>
        <w:jc w:val="left"/>
      </w:pPr>
      <w:rPr>
        <w:rFonts w:hint="default" w:ascii="宋体" w:hAnsi="宋体" w:eastAsia="宋体" w:cs="宋体"/>
        <w:b/>
        <w:bCs/>
        <w:w w:val="99"/>
        <w:sz w:val="24"/>
        <w:szCs w:val="24"/>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1716" w:hanging="320"/>
      </w:pPr>
      <w:rPr>
        <w:rFonts w:hint="default"/>
        <w:lang w:val="zh-CN" w:eastAsia="zh-CN" w:bidi="zh-CN"/>
      </w:rPr>
    </w:lvl>
    <w:lvl w:ilvl="3">
      <w:start w:val="0"/>
      <w:numFmt w:val="bullet"/>
      <w:lvlText w:val="•"/>
      <w:lvlJc w:val="left"/>
      <w:pPr>
        <w:ind w:left="2832" w:hanging="320"/>
      </w:pPr>
      <w:rPr>
        <w:rFonts w:hint="default"/>
        <w:lang w:val="zh-CN" w:eastAsia="zh-CN" w:bidi="zh-CN"/>
      </w:rPr>
    </w:lvl>
    <w:lvl w:ilvl="4">
      <w:start w:val="0"/>
      <w:numFmt w:val="bullet"/>
      <w:lvlText w:val="•"/>
      <w:lvlJc w:val="left"/>
      <w:pPr>
        <w:ind w:left="3948" w:hanging="320"/>
      </w:pPr>
      <w:rPr>
        <w:rFonts w:hint="default"/>
        <w:lang w:val="zh-CN" w:eastAsia="zh-CN" w:bidi="zh-CN"/>
      </w:rPr>
    </w:lvl>
    <w:lvl w:ilvl="5">
      <w:start w:val="0"/>
      <w:numFmt w:val="bullet"/>
      <w:lvlText w:val="•"/>
      <w:lvlJc w:val="left"/>
      <w:pPr>
        <w:ind w:left="5065" w:hanging="320"/>
      </w:pPr>
      <w:rPr>
        <w:rFonts w:hint="default"/>
        <w:lang w:val="zh-CN" w:eastAsia="zh-CN" w:bidi="zh-CN"/>
      </w:rPr>
    </w:lvl>
    <w:lvl w:ilvl="6">
      <w:start w:val="0"/>
      <w:numFmt w:val="bullet"/>
      <w:lvlText w:val="•"/>
      <w:lvlJc w:val="left"/>
      <w:pPr>
        <w:ind w:left="6181" w:hanging="320"/>
      </w:pPr>
      <w:rPr>
        <w:rFonts w:hint="default"/>
        <w:lang w:val="zh-CN" w:eastAsia="zh-CN" w:bidi="zh-CN"/>
      </w:rPr>
    </w:lvl>
    <w:lvl w:ilvl="7">
      <w:start w:val="0"/>
      <w:numFmt w:val="bullet"/>
      <w:lvlText w:val="•"/>
      <w:lvlJc w:val="left"/>
      <w:pPr>
        <w:ind w:left="7297" w:hanging="320"/>
      </w:pPr>
      <w:rPr>
        <w:rFonts w:hint="default"/>
        <w:lang w:val="zh-CN" w:eastAsia="zh-CN" w:bidi="zh-CN"/>
      </w:rPr>
    </w:lvl>
    <w:lvl w:ilvl="8">
      <w:start w:val="0"/>
      <w:numFmt w:val="bullet"/>
      <w:lvlText w:val="•"/>
      <w:lvlJc w:val="left"/>
      <w:pPr>
        <w:ind w:left="8413" w:hanging="320"/>
      </w:pPr>
      <w:rPr>
        <w:rFonts w:hint="default"/>
        <w:lang w:val="zh-CN" w:eastAsia="zh-CN" w:bidi="zh-CN"/>
      </w:rPr>
    </w:lvl>
  </w:abstractNum>
  <w:abstractNum w:abstractNumId="764">
    <w:multiLevelType w:val="hybridMultilevel"/>
    <w:lvl w:ilvl="0">
      <w:start w:val="14"/>
      <w:numFmt w:val="decimal"/>
      <w:lvlText w:val="%1"/>
      <w:lvlJc w:val="left"/>
      <w:pPr>
        <w:ind w:left="418" w:hanging="478"/>
        <w:jc w:val="left"/>
      </w:pPr>
      <w:rPr>
        <w:rFonts w:hint="default"/>
        <w:lang w:val="zh-CN" w:eastAsia="zh-CN" w:bidi="zh-CN"/>
      </w:rPr>
    </w:lvl>
    <w:lvl w:ilvl="1">
      <w:start w:val="1"/>
      <w:numFmt w:val="decimal"/>
      <w:lvlText w:val="%1.%2"/>
      <w:lvlJc w:val="left"/>
      <w:pPr>
        <w:ind w:left="418" w:hanging="478"/>
        <w:jc w:val="left"/>
      </w:pPr>
      <w:rPr>
        <w:rFonts w:hint="default" w:ascii="宋体" w:hAnsi="宋体" w:eastAsia="宋体" w:cs="宋体"/>
        <w:b/>
        <w:bCs/>
        <w:w w:val="99"/>
        <w:sz w:val="21"/>
        <w:szCs w:val="21"/>
        <w:lang w:val="zh-CN" w:eastAsia="zh-CN" w:bidi="zh-CN"/>
      </w:rPr>
    </w:lvl>
    <w:lvl w:ilvl="2">
      <w:start w:val="0"/>
      <w:numFmt w:val="bullet"/>
      <w:lvlText w:val="•"/>
      <w:lvlJc w:val="left"/>
      <w:pPr>
        <w:ind w:left="2465" w:hanging="478"/>
      </w:pPr>
      <w:rPr>
        <w:rFonts w:hint="default"/>
        <w:lang w:val="zh-CN" w:eastAsia="zh-CN" w:bidi="zh-CN"/>
      </w:rPr>
    </w:lvl>
    <w:lvl w:ilvl="3">
      <w:start w:val="0"/>
      <w:numFmt w:val="bullet"/>
      <w:lvlText w:val="•"/>
      <w:lvlJc w:val="left"/>
      <w:pPr>
        <w:ind w:left="3487" w:hanging="478"/>
      </w:pPr>
      <w:rPr>
        <w:rFonts w:hint="default"/>
        <w:lang w:val="zh-CN" w:eastAsia="zh-CN" w:bidi="zh-CN"/>
      </w:rPr>
    </w:lvl>
    <w:lvl w:ilvl="4">
      <w:start w:val="0"/>
      <w:numFmt w:val="bullet"/>
      <w:lvlText w:val="•"/>
      <w:lvlJc w:val="left"/>
      <w:pPr>
        <w:ind w:left="4510" w:hanging="478"/>
      </w:pPr>
      <w:rPr>
        <w:rFonts w:hint="default"/>
        <w:lang w:val="zh-CN" w:eastAsia="zh-CN" w:bidi="zh-CN"/>
      </w:rPr>
    </w:lvl>
    <w:lvl w:ilvl="5">
      <w:start w:val="0"/>
      <w:numFmt w:val="bullet"/>
      <w:lvlText w:val="•"/>
      <w:lvlJc w:val="left"/>
      <w:pPr>
        <w:ind w:left="5533" w:hanging="478"/>
      </w:pPr>
      <w:rPr>
        <w:rFonts w:hint="default"/>
        <w:lang w:val="zh-CN" w:eastAsia="zh-CN" w:bidi="zh-CN"/>
      </w:rPr>
    </w:lvl>
    <w:lvl w:ilvl="6">
      <w:start w:val="0"/>
      <w:numFmt w:val="bullet"/>
      <w:lvlText w:val="•"/>
      <w:lvlJc w:val="left"/>
      <w:pPr>
        <w:ind w:left="6555" w:hanging="478"/>
      </w:pPr>
      <w:rPr>
        <w:rFonts w:hint="default"/>
        <w:lang w:val="zh-CN" w:eastAsia="zh-CN" w:bidi="zh-CN"/>
      </w:rPr>
    </w:lvl>
    <w:lvl w:ilvl="7">
      <w:start w:val="0"/>
      <w:numFmt w:val="bullet"/>
      <w:lvlText w:val="•"/>
      <w:lvlJc w:val="left"/>
      <w:pPr>
        <w:ind w:left="7578" w:hanging="478"/>
      </w:pPr>
      <w:rPr>
        <w:rFonts w:hint="default"/>
        <w:lang w:val="zh-CN" w:eastAsia="zh-CN" w:bidi="zh-CN"/>
      </w:rPr>
    </w:lvl>
    <w:lvl w:ilvl="8">
      <w:start w:val="0"/>
      <w:numFmt w:val="bullet"/>
      <w:lvlText w:val="•"/>
      <w:lvlJc w:val="left"/>
      <w:pPr>
        <w:ind w:left="8601" w:hanging="478"/>
      </w:pPr>
      <w:rPr>
        <w:rFonts w:hint="default"/>
        <w:lang w:val="zh-CN" w:eastAsia="zh-CN" w:bidi="zh-CN"/>
      </w:rPr>
    </w:lvl>
  </w:abstractNum>
  <w:abstractNum w:abstractNumId="763">
    <w:multiLevelType w:val="hybridMultilevel"/>
    <w:lvl w:ilvl="0">
      <w:start w:val="13"/>
      <w:numFmt w:val="decimal"/>
      <w:lvlText w:val="%1"/>
      <w:lvlJc w:val="left"/>
      <w:pPr>
        <w:ind w:left="1634" w:hanging="795"/>
        <w:jc w:val="left"/>
      </w:pPr>
      <w:rPr>
        <w:rFonts w:hint="default"/>
        <w:lang w:val="zh-CN" w:eastAsia="zh-CN" w:bidi="zh-CN"/>
      </w:rPr>
    </w:lvl>
    <w:lvl w:ilvl="1">
      <w:start w:val="2"/>
      <w:numFmt w:val="decimal"/>
      <w:lvlText w:val="%1.%2"/>
      <w:lvlJc w:val="left"/>
      <w:pPr>
        <w:ind w:left="1634" w:hanging="795"/>
        <w:jc w:val="left"/>
      </w:pPr>
      <w:rPr>
        <w:rFonts w:hint="default"/>
        <w:lang w:val="zh-CN" w:eastAsia="zh-CN" w:bidi="zh-CN"/>
      </w:rPr>
    </w:lvl>
    <w:lvl w:ilvl="2">
      <w:start w:val="13"/>
      <w:numFmt w:val="decimal"/>
      <w:lvlText w:val="%1.%2.%3"/>
      <w:lvlJc w:val="left"/>
      <w:pPr>
        <w:ind w:left="1634" w:hanging="795"/>
        <w:jc w:val="left"/>
      </w:pPr>
      <w:rPr>
        <w:rFonts w:hint="default" w:ascii="宋体" w:hAnsi="宋体" w:eastAsia="宋体" w:cs="宋体"/>
        <w:b/>
        <w:bCs/>
        <w:w w:val="99"/>
        <w:sz w:val="21"/>
        <w:szCs w:val="21"/>
        <w:lang w:val="zh-CN" w:eastAsia="zh-CN" w:bidi="zh-CN"/>
      </w:rPr>
    </w:lvl>
    <w:lvl w:ilvl="3">
      <w:start w:val="0"/>
      <w:numFmt w:val="bullet"/>
      <w:lvlText w:val="•"/>
      <w:lvlJc w:val="left"/>
      <w:pPr>
        <w:ind w:left="4341" w:hanging="795"/>
      </w:pPr>
      <w:rPr>
        <w:rFonts w:hint="default"/>
        <w:lang w:val="zh-CN" w:eastAsia="zh-CN" w:bidi="zh-CN"/>
      </w:rPr>
    </w:lvl>
    <w:lvl w:ilvl="4">
      <w:start w:val="0"/>
      <w:numFmt w:val="bullet"/>
      <w:lvlText w:val="•"/>
      <w:lvlJc w:val="left"/>
      <w:pPr>
        <w:ind w:left="5242" w:hanging="795"/>
      </w:pPr>
      <w:rPr>
        <w:rFonts w:hint="default"/>
        <w:lang w:val="zh-CN" w:eastAsia="zh-CN" w:bidi="zh-CN"/>
      </w:rPr>
    </w:lvl>
    <w:lvl w:ilvl="5">
      <w:start w:val="0"/>
      <w:numFmt w:val="bullet"/>
      <w:lvlText w:val="•"/>
      <w:lvlJc w:val="left"/>
      <w:pPr>
        <w:ind w:left="6143" w:hanging="795"/>
      </w:pPr>
      <w:rPr>
        <w:rFonts w:hint="default"/>
        <w:lang w:val="zh-CN" w:eastAsia="zh-CN" w:bidi="zh-CN"/>
      </w:rPr>
    </w:lvl>
    <w:lvl w:ilvl="6">
      <w:start w:val="0"/>
      <w:numFmt w:val="bullet"/>
      <w:lvlText w:val="•"/>
      <w:lvlJc w:val="left"/>
      <w:pPr>
        <w:ind w:left="7043" w:hanging="795"/>
      </w:pPr>
      <w:rPr>
        <w:rFonts w:hint="default"/>
        <w:lang w:val="zh-CN" w:eastAsia="zh-CN" w:bidi="zh-CN"/>
      </w:rPr>
    </w:lvl>
    <w:lvl w:ilvl="7">
      <w:start w:val="0"/>
      <w:numFmt w:val="bullet"/>
      <w:lvlText w:val="•"/>
      <w:lvlJc w:val="left"/>
      <w:pPr>
        <w:ind w:left="7944" w:hanging="795"/>
      </w:pPr>
      <w:rPr>
        <w:rFonts w:hint="default"/>
        <w:lang w:val="zh-CN" w:eastAsia="zh-CN" w:bidi="zh-CN"/>
      </w:rPr>
    </w:lvl>
    <w:lvl w:ilvl="8">
      <w:start w:val="0"/>
      <w:numFmt w:val="bullet"/>
      <w:lvlText w:val="•"/>
      <w:lvlJc w:val="left"/>
      <w:pPr>
        <w:ind w:left="8845" w:hanging="795"/>
      </w:pPr>
      <w:rPr>
        <w:rFonts w:hint="default"/>
        <w:lang w:val="zh-CN" w:eastAsia="zh-CN" w:bidi="zh-CN"/>
      </w:rPr>
    </w:lvl>
  </w:abstractNum>
  <w:abstractNum w:abstractNumId="762">
    <w:multiLevelType w:val="hybridMultilevel"/>
    <w:lvl w:ilvl="0">
      <w:start w:val="13"/>
      <w:numFmt w:val="decimal"/>
      <w:lvlText w:val="%1"/>
      <w:lvlJc w:val="left"/>
      <w:pPr>
        <w:ind w:left="418" w:hanging="689"/>
        <w:jc w:val="left"/>
      </w:pPr>
      <w:rPr>
        <w:rFonts w:hint="default"/>
        <w:lang w:val="zh-CN" w:eastAsia="zh-CN" w:bidi="zh-CN"/>
      </w:rPr>
    </w:lvl>
    <w:lvl w:ilvl="1">
      <w:start w:val="2"/>
      <w:numFmt w:val="decimal"/>
      <w:lvlText w:val="%1.%2"/>
      <w:lvlJc w:val="left"/>
      <w:pPr>
        <w:ind w:left="418" w:hanging="689"/>
        <w:jc w:val="left"/>
      </w:pPr>
      <w:rPr>
        <w:rFonts w:hint="default"/>
        <w:lang w:val="zh-CN" w:eastAsia="zh-CN" w:bidi="zh-CN"/>
      </w:rPr>
    </w:lvl>
    <w:lvl w:ilvl="2">
      <w:start w:val="1"/>
      <w:numFmt w:val="decimal"/>
      <w:lvlText w:val="%1.%2.%3"/>
      <w:lvlJc w:val="left"/>
      <w:pPr>
        <w:ind w:left="418"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689"/>
      </w:pPr>
      <w:rPr>
        <w:rFonts w:hint="default"/>
        <w:lang w:val="zh-CN" w:eastAsia="zh-CN" w:bidi="zh-CN"/>
      </w:rPr>
    </w:lvl>
    <w:lvl w:ilvl="4">
      <w:start w:val="0"/>
      <w:numFmt w:val="bullet"/>
      <w:lvlText w:val="•"/>
      <w:lvlJc w:val="left"/>
      <w:pPr>
        <w:ind w:left="4510" w:hanging="689"/>
      </w:pPr>
      <w:rPr>
        <w:rFonts w:hint="default"/>
        <w:lang w:val="zh-CN" w:eastAsia="zh-CN" w:bidi="zh-CN"/>
      </w:rPr>
    </w:lvl>
    <w:lvl w:ilvl="5">
      <w:start w:val="0"/>
      <w:numFmt w:val="bullet"/>
      <w:lvlText w:val="•"/>
      <w:lvlJc w:val="left"/>
      <w:pPr>
        <w:ind w:left="5533" w:hanging="689"/>
      </w:pPr>
      <w:rPr>
        <w:rFonts w:hint="default"/>
        <w:lang w:val="zh-CN" w:eastAsia="zh-CN" w:bidi="zh-CN"/>
      </w:rPr>
    </w:lvl>
    <w:lvl w:ilvl="6">
      <w:start w:val="0"/>
      <w:numFmt w:val="bullet"/>
      <w:lvlText w:val="•"/>
      <w:lvlJc w:val="left"/>
      <w:pPr>
        <w:ind w:left="6555" w:hanging="689"/>
      </w:pPr>
      <w:rPr>
        <w:rFonts w:hint="default"/>
        <w:lang w:val="zh-CN" w:eastAsia="zh-CN" w:bidi="zh-CN"/>
      </w:rPr>
    </w:lvl>
    <w:lvl w:ilvl="7">
      <w:start w:val="0"/>
      <w:numFmt w:val="bullet"/>
      <w:lvlText w:val="•"/>
      <w:lvlJc w:val="left"/>
      <w:pPr>
        <w:ind w:left="7578" w:hanging="689"/>
      </w:pPr>
      <w:rPr>
        <w:rFonts w:hint="default"/>
        <w:lang w:val="zh-CN" w:eastAsia="zh-CN" w:bidi="zh-CN"/>
      </w:rPr>
    </w:lvl>
    <w:lvl w:ilvl="8">
      <w:start w:val="0"/>
      <w:numFmt w:val="bullet"/>
      <w:lvlText w:val="•"/>
      <w:lvlJc w:val="left"/>
      <w:pPr>
        <w:ind w:left="8601" w:hanging="689"/>
      </w:pPr>
      <w:rPr>
        <w:rFonts w:hint="default"/>
        <w:lang w:val="zh-CN" w:eastAsia="zh-CN" w:bidi="zh-CN"/>
      </w:rPr>
    </w:lvl>
  </w:abstractNum>
  <w:abstractNum w:abstractNumId="761">
    <w:multiLevelType w:val="hybridMultilevel"/>
    <w:lvl w:ilvl="0">
      <w:start w:val="13"/>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529"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3548" w:hanging="689"/>
      </w:pPr>
      <w:rPr>
        <w:rFonts w:hint="default"/>
        <w:lang w:val="zh-CN" w:eastAsia="zh-CN" w:bidi="zh-CN"/>
      </w:rPr>
    </w:lvl>
    <w:lvl w:ilvl="4">
      <w:start w:val="0"/>
      <w:numFmt w:val="bullet"/>
      <w:lvlText w:val="•"/>
      <w:lvlJc w:val="left"/>
      <w:pPr>
        <w:ind w:left="4562" w:hanging="689"/>
      </w:pPr>
      <w:rPr>
        <w:rFonts w:hint="default"/>
        <w:lang w:val="zh-CN" w:eastAsia="zh-CN" w:bidi="zh-CN"/>
      </w:rPr>
    </w:lvl>
    <w:lvl w:ilvl="5">
      <w:start w:val="0"/>
      <w:numFmt w:val="bullet"/>
      <w:lvlText w:val="•"/>
      <w:lvlJc w:val="left"/>
      <w:pPr>
        <w:ind w:left="5576" w:hanging="689"/>
      </w:pPr>
      <w:rPr>
        <w:rFonts w:hint="default"/>
        <w:lang w:val="zh-CN" w:eastAsia="zh-CN" w:bidi="zh-CN"/>
      </w:rPr>
    </w:lvl>
    <w:lvl w:ilvl="6">
      <w:start w:val="0"/>
      <w:numFmt w:val="bullet"/>
      <w:lvlText w:val="•"/>
      <w:lvlJc w:val="left"/>
      <w:pPr>
        <w:ind w:left="6590" w:hanging="689"/>
      </w:pPr>
      <w:rPr>
        <w:rFonts w:hint="default"/>
        <w:lang w:val="zh-CN" w:eastAsia="zh-CN" w:bidi="zh-CN"/>
      </w:rPr>
    </w:lvl>
    <w:lvl w:ilvl="7">
      <w:start w:val="0"/>
      <w:numFmt w:val="bullet"/>
      <w:lvlText w:val="•"/>
      <w:lvlJc w:val="left"/>
      <w:pPr>
        <w:ind w:left="7604" w:hanging="689"/>
      </w:pPr>
      <w:rPr>
        <w:rFonts w:hint="default"/>
        <w:lang w:val="zh-CN" w:eastAsia="zh-CN" w:bidi="zh-CN"/>
      </w:rPr>
    </w:lvl>
    <w:lvl w:ilvl="8">
      <w:start w:val="0"/>
      <w:numFmt w:val="bullet"/>
      <w:lvlText w:val="•"/>
      <w:lvlJc w:val="left"/>
      <w:pPr>
        <w:ind w:left="8618" w:hanging="689"/>
      </w:pPr>
      <w:rPr>
        <w:rFonts w:hint="default"/>
        <w:lang w:val="zh-CN" w:eastAsia="zh-CN" w:bidi="zh-CN"/>
      </w:rPr>
    </w:lvl>
  </w:abstractNum>
  <w:abstractNum w:abstractNumId="760">
    <w:multiLevelType w:val="hybridMultilevel"/>
    <w:lvl w:ilvl="0">
      <w:start w:val="2"/>
      <w:numFmt w:val="decimal"/>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59">
    <w:multiLevelType w:val="hybridMultilevel"/>
    <w:lvl w:ilvl="0">
      <w:start w:val="12"/>
      <w:numFmt w:val="decimal"/>
      <w:lvlText w:val="%1"/>
      <w:lvlJc w:val="left"/>
      <w:pPr>
        <w:ind w:left="838" w:hanging="689"/>
        <w:jc w:val="left"/>
      </w:pPr>
      <w:rPr>
        <w:rFonts w:hint="default"/>
        <w:lang w:val="zh-CN" w:eastAsia="zh-CN" w:bidi="zh-CN"/>
      </w:rPr>
    </w:lvl>
    <w:lvl w:ilvl="1">
      <w:start w:val="4"/>
      <w:numFmt w:val="decimal"/>
      <w:lvlText w:val="%1.%2"/>
      <w:lvlJc w:val="left"/>
      <w:pPr>
        <w:ind w:left="838" w:hanging="689"/>
        <w:jc w:val="left"/>
      </w:pPr>
      <w:rPr>
        <w:rFonts w:hint="default"/>
        <w:lang w:val="zh-CN" w:eastAsia="zh-CN" w:bidi="zh-CN"/>
      </w:rPr>
    </w:lvl>
    <w:lvl w:ilvl="2">
      <w:start w:val="1"/>
      <w:numFmt w:val="decimal"/>
      <w:lvlText w:val="%1.%2.%3"/>
      <w:lvlJc w:val="left"/>
      <w:pPr>
        <w:ind w:left="838"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3781" w:hanging="689"/>
      </w:pPr>
      <w:rPr>
        <w:rFonts w:hint="default"/>
        <w:lang w:val="zh-CN" w:eastAsia="zh-CN" w:bidi="zh-CN"/>
      </w:rPr>
    </w:lvl>
    <w:lvl w:ilvl="4">
      <w:start w:val="0"/>
      <w:numFmt w:val="bullet"/>
      <w:lvlText w:val="•"/>
      <w:lvlJc w:val="left"/>
      <w:pPr>
        <w:ind w:left="4762" w:hanging="689"/>
      </w:pPr>
      <w:rPr>
        <w:rFonts w:hint="default"/>
        <w:lang w:val="zh-CN" w:eastAsia="zh-CN" w:bidi="zh-CN"/>
      </w:rPr>
    </w:lvl>
    <w:lvl w:ilvl="5">
      <w:start w:val="0"/>
      <w:numFmt w:val="bullet"/>
      <w:lvlText w:val="•"/>
      <w:lvlJc w:val="left"/>
      <w:pPr>
        <w:ind w:left="5743" w:hanging="689"/>
      </w:pPr>
      <w:rPr>
        <w:rFonts w:hint="default"/>
        <w:lang w:val="zh-CN" w:eastAsia="zh-CN" w:bidi="zh-CN"/>
      </w:rPr>
    </w:lvl>
    <w:lvl w:ilvl="6">
      <w:start w:val="0"/>
      <w:numFmt w:val="bullet"/>
      <w:lvlText w:val="•"/>
      <w:lvlJc w:val="left"/>
      <w:pPr>
        <w:ind w:left="6723" w:hanging="689"/>
      </w:pPr>
      <w:rPr>
        <w:rFonts w:hint="default"/>
        <w:lang w:val="zh-CN" w:eastAsia="zh-CN" w:bidi="zh-CN"/>
      </w:rPr>
    </w:lvl>
    <w:lvl w:ilvl="7">
      <w:start w:val="0"/>
      <w:numFmt w:val="bullet"/>
      <w:lvlText w:val="•"/>
      <w:lvlJc w:val="left"/>
      <w:pPr>
        <w:ind w:left="7704" w:hanging="689"/>
      </w:pPr>
      <w:rPr>
        <w:rFonts w:hint="default"/>
        <w:lang w:val="zh-CN" w:eastAsia="zh-CN" w:bidi="zh-CN"/>
      </w:rPr>
    </w:lvl>
    <w:lvl w:ilvl="8">
      <w:start w:val="0"/>
      <w:numFmt w:val="bullet"/>
      <w:lvlText w:val="•"/>
      <w:lvlJc w:val="left"/>
      <w:pPr>
        <w:ind w:left="8685" w:hanging="689"/>
      </w:pPr>
      <w:rPr>
        <w:rFonts w:hint="default"/>
        <w:lang w:val="zh-CN" w:eastAsia="zh-CN" w:bidi="zh-CN"/>
      </w:rPr>
    </w:lvl>
  </w:abstractNum>
  <w:abstractNum w:abstractNumId="758">
    <w:multiLevelType w:val="hybridMultilevel"/>
    <w:lvl w:ilvl="0">
      <w:start w:val="1"/>
      <w:numFmt w:val="decimal"/>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57">
    <w:multiLevelType w:val="hybridMultilevel"/>
    <w:lvl w:ilvl="0">
      <w:start w:val="1"/>
      <w:numFmt w:val="decimal"/>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56">
    <w:multiLevelType w:val="hybridMultilevel"/>
    <w:lvl w:ilvl="0">
      <w:start w:val="1"/>
      <w:numFmt w:val="decimal"/>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55">
    <w:multiLevelType w:val="hybridMultilevel"/>
    <w:lvl w:ilvl="0">
      <w:start w:val="12"/>
      <w:numFmt w:val="decimal"/>
      <w:lvlText w:val="%1"/>
      <w:lvlJc w:val="left"/>
      <w:pPr>
        <w:ind w:left="1529" w:hanging="689"/>
        <w:jc w:val="left"/>
      </w:pPr>
      <w:rPr>
        <w:rFonts w:hint="default"/>
        <w:lang w:val="zh-CN" w:eastAsia="zh-CN" w:bidi="zh-CN"/>
      </w:rPr>
    </w:lvl>
    <w:lvl w:ilvl="1">
      <w:start w:val="3"/>
      <w:numFmt w:val="decimal"/>
      <w:lvlText w:val="%1.%2"/>
      <w:lvlJc w:val="left"/>
      <w:pPr>
        <w:ind w:left="1529" w:hanging="689"/>
        <w:jc w:val="left"/>
      </w:pPr>
      <w:rPr>
        <w:rFonts w:hint="default"/>
        <w:lang w:val="zh-CN" w:eastAsia="zh-CN" w:bidi="zh-CN"/>
      </w:rPr>
    </w:lvl>
    <w:lvl w:ilvl="2">
      <w:start w:val="1"/>
      <w:numFmt w:val="decimal"/>
      <w:lvlText w:val="%1.%2.%3"/>
      <w:lvlJc w:val="left"/>
      <w:pPr>
        <w:ind w:left="1529"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4257" w:hanging="689"/>
      </w:pPr>
      <w:rPr>
        <w:rFonts w:hint="default"/>
        <w:lang w:val="zh-CN" w:eastAsia="zh-CN" w:bidi="zh-CN"/>
      </w:rPr>
    </w:lvl>
    <w:lvl w:ilvl="4">
      <w:start w:val="0"/>
      <w:numFmt w:val="bullet"/>
      <w:lvlText w:val="•"/>
      <w:lvlJc w:val="left"/>
      <w:pPr>
        <w:ind w:left="5170" w:hanging="689"/>
      </w:pPr>
      <w:rPr>
        <w:rFonts w:hint="default"/>
        <w:lang w:val="zh-CN" w:eastAsia="zh-CN" w:bidi="zh-CN"/>
      </w:rPr>
    </w:lvl>
    <w:lvl w:ilvl="5">
      <w:start w:val="0"/>
      <w:numFmt w:val="bullet"/>
      <w:lvlText w:val="•"/>
      <w:lvlJc w:val="left"/>
      <w:pPr>
        <w:ind w:left="6083" w:hanging="689"/>
      </w:pPr>
      <w:rPr>
        <w:rFonts w:hint="default"/>
        <w:lang w:val="zh-CN" w:eastAsia="zh-CN" w:bidi="zh-CN"/>
      </w:rPr>
    </w:lvl>
    <w:lvl w:ilvl="6">
      <w:start w:val="0"/>
      <w:numFmt w:val="bullet"/>
      <w:lvlText w:val="•"/>
      <w:lvlJc w:val="left"/>
      <w:pPr>
        <w:ind w:left="6995" w:hanging="689"/>
      </w:pPr>
      <w:rPr>
        <w:rFonts w:hint="default"/>
        <w:lang w:val="zh-CN" w:eastAsia="zh-CN" w:bidi="zh-CN"/>
      </w:rPr>
    </w:lvl>
    <w:lvl w:ilvl="7">
      <w:start w:val="0"/>
      <w:numFmt w:val="bullet"/>
      <w:lvlText w:val="•"/>
      <w:lvlJc w:val="left"/>
      <w:pPr>
        <w:ind w:left="7908" w:hanging="689"/>
      </w:pPr>
      <w:rPr>
        <w:rFonts w:hint="default"/>
        <w:lang w:val="zh-CN" w:eastAsia="zh-CN" w:bidi="zh-CN"/>
      </w:rPr>
    </w:lvl>
    <w:lvl w:ilvl="8">
      <w:start w:val="0"/>
      <w:numFmt w:val="bullet"/>
      <w:lvlText w:val="•"/>
      <w:lvlJc w:val="left"/>
      <w:pPr>
        <w:ind w:left="8821" w:hanging="689"/>
      </w:pPr>
      <w:rPr>
        <w:rFonts w:hint="default"/>
        <w:lang w:val="zh-CN" w:eastAsia="zh-CN" w:bidi="zh-CN"/>
      </w:rPr>
    </w:lvl>
  </w:abstractNum>
  <w:abstractNum w:abstractNumId="754">
    <w:multiLevelType w:val="hybridMultilevel"/>
    <w:lvl w:ilvl="0">
      <w:start w:val="12"/>
      <w:numFmt w:val="decimal"/>
      <w:lvlText w:val="%1"/>
      <w:lvlJc w:val="left"/>
      <w:pPr>
        <w:ind w:left="1265" w:hanging="425"/>
        <w:jc w:val="left"/>
      </w:pPr>
      <w:rPr>
        <w:rFonts w:hint="default"/>
        <w:lang w:val="zh-CN" w:eastAsia="zh-CN" w:bidi="zh-CN"/>
      </w:rPr>
    </w:lvl>
    <w:lvl w:ilvl="1">
      <w:start w:val="1"/>
      <w:numFmt w:val="decimal"/>
      <w:lvlText w:val="%1.%2"/>
      <w:lvlJc w:val="left"/>
      <w:pPr>
        <w:ind w:left="1265" w:hanging="425"/>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529"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2660" w:hanging="689"/>
      </w:pPr>
      <w:rPr>
        <w:rFonts w:hint="default"/>
        <w:lang w:val="zh-CN" w:eastAsia="zh-CN" w:bidi="zh-CN"/>
      </w:rPr>
    </w:lvl>
    <w:lvl w:ilvl="4">
      <w:start w:val="0"/>
      <w:numFmt w:val="bullet"/>
      <w:lvlText w:val="•"/>
      <w:lvlJc w:val="left"/>
      <w:pPr>
        <w:ind w:left="3801" w:hanging="689"/>
      </w:pPr>
      <w:rPr>
        <w:rFonts w:hint="default"/>
        <w:lang w:val="zh-CN" w:eastAsia="zh-CN" w:bidi="zh-CN"/>
      </w:rPr>
    </w:lvl>
    <w:lvl w:ilvl="5">
      <w:start w:val="0"/>
      <w:numFmt w:val="bullet"/>
      <w:lvlText w:val="•"/>
      <w:lvlJc w:val="left"/>
      <w:pPr>
        <w:ind w:left="4942" w:hanging="689"/>
      </w:pPr>
      <w:rPr>
        <w:rFonts w:hint="default"/>
        <w:lang w:val="zh-CN" w:eastAsia="zh-CN" w:bidi="zh-CN"/>
      </w:rPr>
    </w:lvl>
    <w:lvl w:ilvl="6">
      <w:start w:val="0"/>
      <w:numFmt w:val="bullet"/>
      <w:lvlText w:val="•"/>
      <w:lvlJc w:val="left"/>
      <w:pPr>
        <w:ind w:left="6083" w:hanging="689"/>
      </w:pPr>
      <w:rPr>
        <w:rFonts w:hint="default"/>
        <w:lang w:val="zh-CN" w:eastAsia="zh-CN" w:bidi="zh-CN"/>
      </w:rPr>
    </w:lvl>
    <w:lvl w:ilvl="7">
      <w:start w:val="0"/>
      <w:numFmt w:val="bullet"/>
      <w:lvlText w:val="•"/>
      <w:lvlJc w:val="left"/>
      <w:pPr>
        <w:ind w:left="7224" w:hanging="689"/>
      </w:pPr>
      <w:rPr>
        <w:rFonts w:hint="default"/>
        <w:lang w:val="zh-CN" w:eastAsia="zh-CN" w:bidi="zh-CN"/>
      </w:rPr>
    </w:lvl>
    <w:lvl w:ilvl="8">
      <w:start w:val="0"/>
      <w:numFmt w:val="bullet"/>
      <w:lvlText w:val="•"/>
      <w:lvlJc w:val="left"/>
      <w:pPr>
        <w:ind w:left="8364" w:hanging="689"/>
      </w:pPr>
      <w:rPr>
        <w:rFonts w:hint="default"/>
        <w:lang w:val="zh-CN" w:eastAsia="zh-CN" w:bidi="zh-CN"/>
      </w:rPr>
    </w:lvl>
  </w:abstractNum>
  <w:abstractNum w:abstractNumId="753">
    <w:multiLevelType w:val="hybridMultilevel"/>
    <w:lvl w:ilvl="0">
      <w:start w:val="11"/>
      <w:numFmt w:val="decimal"/>
      <w:lvlText w:val="%1"/>
      <w:lvlJc w:val="left"/>
      <w:pPr>
        <w:ind w:left="838" w:hanging="478"/>
        <w:jc w:val="left"/>
      </w:pPr>
      <w:rPr>
        <w:rFonts w:hint="default"/>
        <w:lang w:val="zh-CN" w:eastAsia="zh-CN" w:bidi="zh-CN"/>
      </w:rPr>
    </w:lvl>
    <w:lvl w:ilvl="1">
      <w:start w:val="1"/>
      <w:numFmt w:val="decimal"/>
      <w:lvlText w:val="%1.%2"/>
      <w:lvlJc w:val="left"/>
      <w:pPr>
        <w:ind w:left="838" w:hanging="478"/>
        <w:jc w:val="left"/>
      </w:pPr>
      <w:rPr>
        <w:rFonts w:hint="default" w:ascii="宋体" w:hAnsi="宋体" w:eastAsia="宋体" w:cs="宋体"/>
        <w:b/>
        <w:bCs/>
        <w:w w:val="99"/>
        <w:sz w:val="21"/>
        <w:szCs w:val="21"/>
        <w:lang w:val="zh-CN" w:eastAsia="zh-CN" w:bidi="zh-CN"/>
      </w:rPr>
    </w:lvl>
    <w:lvl w:ilvl="2">
      <w:start w:val="0"/>
      <w:numFmt w:val="bullet"/>
      <w:lvlText w:val="•"/>
      <w:lvlJc w:val="left"/>
      <w:pPr>
        <w:ind w:left="2801" w:hanging="478"/>
      </w:pPr>
      <w:rPr>
        <w:rFonts w:hint="default"/>
        <w:lang w:val="zh-CN" w:eastAsia="zh-CN" w:bidi="zh-CN"/>
      </w:rPr>
    </w:lvl>
    <w:lvl w:ilvl="3">
      <w:start w:val="0"/>
      <w:numFmt w:val="bullet"/>
      <w:lvlText w:val="•"/>
      <w:lvlJc w:val="left"/>
      <w:pPr>
        <w:ind w:left="3781" w:hanging="478"/>
      </w:pPr>
      <w:rPr>
        <w:rFonts w:hint="default"/>
        <w:lang w:val="zh-CN" w:eastAsia="zh-CN" w:bidi="zh-CN"/>
      </w:rPr>
    </w:lvl>
    <w:lvl w:ilvl="4">
      <w:start w:val="0"/>
      <w:numFmt w:val="bullet"/>
      <w:lvlText w:val="•"/>
      <w:lvlJc w:val="left"/>
      <w:pPr>
        <w:ind w:left="4762" w:hanging="478"/>
      </w:pPr>
      <w:rPr>
        <w:rFonts w:hint="default"/>
        <w:lang w:val="zh-CN" w:eastAsia="zh-CN" w:bidi="zh-CN"/>
      </w:rPr>
    </w:lvl>
    <w:lvl w:ilvl="5">
      <w:start w:val="0"/>
      <w:numFmt w:val="bullet"/>
      <w:lvlText w:val="•"/>
      <w:lvlJc w:val="left"/>
      <w:pPr>
        <w:ind w:left="5743" w:hanging="478"/>
      </w:pPr>
      <w:rPr>
        <w:rFonts w:hint="default"/>
        <w:lang w:val="zh-CN" w:eastAsia="zh-CN" w:bidi="zh-CN"/>
      </w:rPr>
    </w:lvl>
    <w:lvl w:ilvl="6">
      <w:start w:val="0"/>
      <w:numFmt w:val="bullet"/>
      <w:lvlText w:val="•"/>
      <w:lvlJc w:val="left"/>
      <w:pPr>
        <w:ind w:left="6723" w:hanging="478"/>
      </w:pPr>
      <w:rPr>
        <w:rFonts w:hint="default"/>
        <w:lang w:val="zh-CN" w:eastAsia="zh-CN" w:bidi="zh-CN"/>
      </w:rPr>
    </w:lvl>
    <w:lvl w:ilvl="7">
      <w:start w:val="0"/>
      <w:numFmt w:val="bullet"/>
      <w:lvlText w:val="•"/>
      <w:lvlJc w:val="left"/>
      <w:pPr>
        <w:ind w:left="7704" w:hanging="478"/>
      </w:pPr>
      <w:rPr>
        <w:rFonts w:hint="default"/>
        <w:lang w:val="zh-CN" w:eastAsia="zh-CN" w:bidi="zh-CN"/>
      </w:rPr>
    </w:lvl>
    <w:lvl w:ilvl="8">
      <w:start w:val="0"/>
      <w:numFmt w:val="bullet"/>
      <w:lvlText w:val="•"/>
      <w:lvlJc w:val="left"/>
      <w:pPr>
        <w:ind w:left="8685" w:hanging="478"/>
      </w:pPr>
      <w:rPr>
        <w:rFonts w:hint="default"/>
        <w:lang w:val="zh-CN" w:eastAsia="zh-CN" w:bidi="zh-CN"/>
      </w:rPr>
    </w:lvl>
  </w:abstractNum>
  <w:abstractNum w:abstractNumId="752">
    <w:multiLevelType w:val="hybridMultilevel"/>
    <w:lvl w:ilvl="0">
      <w:start w:val="10"/>
      <w:numFmt w:val="decimal"/>
      <w:lvlText w:val="%1"/>
      <w:lvlJc w:val="left"/>
      <w:pPr>
        <w:ind w:left="1265" w:hanging="425"/>
        <w:jc w:val="left"/>
      </w:pPr>
      <w:rPr>
        <w:rFonts w:hint="default"/>
        <w:lang w:val="zh-CN" w:eastAsia="zh-CN" w:bidi="zh-CN"/>
      </w:rPr>
    </w:lvl>
    <w:lvl w:ilvl="1">
      <w:start w:val="1"/>
      <w:numFmt w:val="decimal"/>
      <w:lvlText w:val="%1.%2"/>
      <w:lvlJc w:val="left"/>
      <w:pPr>
        <w:ind w:left="1265" w:hanging="425"/>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1520" w:hanging="689"/>
      </w:pPr>
      <w:rPr>
        <w:rFonts w:hint="default"/>
        <w:lang w:val="zh-CN" w:eastAsia="zh-CN" w:bidi="zh-CN"/>
      </w:rPr>
    </w:lvl>
    <w:lvl w:ilvl="4">
      <w:start w:val="0"/>
      <w:numFmt w:val="bullet"/>
      <w:lvlText w:val="•"/>
      <w:lvlJc w:val="left"/>
      <w:pPr>
        <w:ind w:left="2823" w:hanging="689"/>
      </w:pPr>
      <w:rPr>
        <w:rFonts w:hint="default"/>
        <w:lang w:val="zh-CN" w:eastAsia="zh-CN" w:bidi="zh-CN"/>
      </w:rPr>
    </w:lvl>
    <w:lvl w:ilvl="5">
      <w:start w:val="0"/>
      <w:numFmt w:val="bullet"/>
      <w:lvlText w:val="•"/>
      <w:lvlJc w:val="left"/>
      <w:pPr>
        <w:ind w:left="4127" w:hanging="689"/>
      </w:pPr>
      <w:rPr>
        <w:rFonts w:hint="default"/>
        <w:lang w:val="zh-CN" w:eastAsia="zh-CN" w:bidi="zh-CN"/>
      </w:rPr>
    </w:lvl>
    <w:lvl w:ilvl="6">
      <w:start w:val="0"/>
      <w:numFmt w:val="bullet"/>
      <w:lvlText w:val="•"/>
      <w:lvlJc w:val="left"/>
      <w:pPr>
        <w:ind w:left="5431" w:hanging="689"/>
      </w:pPr>
      <w:rPr>
        <w:rFonts w:hint="default"/>
        <w:lang w:val="zh-CN" w:eastAsia="zh-CN" w:bidi="zh-CN"/>
      </w:rPr>
    </w:lvl>
    <w:lvl w:ilvl="7">
      <w:start w:val="0"/>
      <w:numFmt w:val="bullet"/>
      <w:lvlText w:val="•"/>
      <w:lvlJc w:val="left"/>
      <w:pPr>
        <w:ind w:left="6735" w:hanging="689"/>
      </w:pPr>
      <w:rPr>
        <w:rFonts w:hint="default"/>
        <w:lang w:val="zh-CN" w:eastAsia="zh-CN" w:bidi="zh-CN"/>
      </w:rPr>
    </w:lvl>
    <w:lvl w:ilvl="8">
      <w:start w:val="0"/>
      <w:numFmt w:val="bullet"/>
      <w:lvlText w:val="•"/>
      <w:lvlJc w:val="left"/>
      <w:pPr>
        <w:ind w:left="8038" w:hanging="689"/>
      </w:pPr>
      <w:rPr>
        <w:rFonts w:hint="default"/>
        <w:lang w:val="zh-CN" w:eastAsia="zh-CN" w:bidi="zh-CN"/>
      </w:rPr>
    </w:lvl>
  </w:abstractNum>
  <w:abstractNum w:abstractNumId="75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5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49">
    <w:multiLevelType w:val="hybridMultilevel"/>
    <w:lvl w:ilvl="0">
      <w:start w:val="9"/>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74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47">
    <w:multiLevelType w:val="hybridMultilevel"/>
    <w:lvl w:ilvl="0">
      <w:start w:val="8"/>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2573" w:hanging="584"/>
      </w:pPr>
      <w:rPr>
        <w:rFonts w:hint="default"/>
        <w:lang w:val="zh-CN" w:eastAsia="zh-CN" w:bidi="zh-CN"/>
      </w:rPr>
    </w:lvl>
    <w:lvl w:ilvl="4">
      <w:start w:val="0"/>
      <w:numFmt w:val="bullet"/>
      <w:lvlText w:val="•"/>
      <w:lvlJc w:val="left"/>
      <w:pPr>
        <w:ind w:left="3726" w:hanging="584"/>
      </w:pPr>
      <w:rPr>
        <w:rFonts w:hint="default"/>
        <w:lang w:val="zh-CN" w:eastAsia="zh-CN" w:bidi="zh-CN"/>
      </w:rPr>
    </w:lvl>
    <w:lvl w:ilvl="5">
      <w:start w:val="0"/>
      <w:numFmt w:val="bullet"/>
      <w:lvlText w:val="•"/>
      <w:lvlJc w:val="left"/>
      <w:pPr>
        <w:ind w:left="4879" w:hanging="584"/>
      </w:pPr>
      <w:rPr>
        <w:rFonts w:hint="default"/>
        <w:lang w:val="zh-CN" w:eastAsia="zh-CN" w:bidi="zh-CN"/>
      </w:rPr>
    </w:lvl>
    <w:lvl w:ilvl="6">
      <w:start w:val="0"/>
      <w:numFmt w:val="bullet"/>
      <w:lvlText w:val="•"/>
      <w:lvlJc w:val="left"/>
      <w:pPr>
        <w:ind w:left="6033" w:hanging="584"/>
      </w:pPr>
      <w:rPr>
        <w:rFonts w:hint="default"/>
        <w:lang w:val="zh-CN" w:eastAsia="zh-CN" w:bidi="zh-CN"/>
      </w:rPr>
    </w:lvl>
    <w:lvl w:ilvl="7">
      <w:start w:val="0"/>
      <w:numFmt w:val="bullet"/>
      <w:lvlText w:val="•"/>
      <w:lvlJc w:val="left"/>
      <w:pPr>
        <w:ind w:left="7186" w:hanging="584"/>
      </w:pPr>
      <w:rPr>
        <w:rFonts w:hint="default"/>
        <w:lang w:val="zh-CN" w:eastAsia="zh-CN" w:bidi="zh-CN"/>
      </w:rPr>
    </w:lvl>
    <w:lvl w:ilvl="8">
      <w:start w:val="0"/>
      <w:numFmt w:val="bullet"/>
      <w:lvlText w:val="•"/>
      <w:lvlJc w:val="left"/>
      <w:pPr>
        <w:ind w:left="8339" w:hanging="584"/>
      </w:pPr>
      <w:rPr>
        <w:rFonts w:hint="default"/>
        <w:lang w:val="zh-CN" w:eastAsia="zh-CN" w:bidi="zh-CN"/>
      </w:rPr>
    </w:lvl>
  </w:abstractNum>
  <w:abstractNum w:abstractNumId="746">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45">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4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43">
    <w:multiLevelType w:val="hybridMultilevel"/>
    <w:lvl w:ilvl="0">
      <w:start w:val="7"/>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74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41">
    <w:multiLevelType w:val="hybridMultilevel"/>
    <w:lvl w:ilvl="0">
      <w:start w:val="7"/>
      <w:numFmt w:val="decimal"/>
      <w:lvlText w:val="%1"/>
      <w:lvlJc w:val="left"/>
      <w:pPr>
        <w:ind w:left="418" w:hanging="584"/>
        <w:jc w:val="left"/>
      </w:pPr>
      <w:rPr>
        <w:rFonts w:hint="default"/>
        <w:lang w:val="zh-CN" w:eastAsia="zh-CN" w:bidi="zh-CN"/>
      </w:rPr>
    </w:lvl>
    <w:lvl w:ilvl="1">
      <w:start w:val="3"/>
      <w:numFmt w:val="decimal"/>
      <w:lvlText w:val="%1.%2"/>
      <w:lvlJc w:val="left"/>
      <w:pPr>
        <w:ind w:left="418" w:hanging="584"/>
        <w:jc w:val="left"/>
      </w:pPr>
      <w:rPr>
        <w:rFonts w:hint="default"/>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74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3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38">
    <w:multiLevelType w:val="hybridMultilevel"/>
    <w:lvl w:ilvl="0">
      <w:start w:val="7"/>
      <w:numFmt w:val="decimal"/>
      <w:lvlText w:val="%1"/>
      <w:lvlJc w:val="left"/>
      <w:pPr>
        <w:ind w:left="418" w:hanging="584"/>
        <w:jc w:val="left"/>
      </w:pPr>
      <w:rPr>
        <w:rFonts w:hint="default"/>
        <w:lang w:val="zh-CN" w:eastAsia="zh-CN" w:bidi="zh-CN"/>
      </w:rPr>
    </w:lvl>
    <w:lvl w:ilvl="1">
      <w:start w:val="2"/>
      <w:numFmt w:val="decimal"/>
      <w:lvlText w:val="%1.%2"/>
      <w:lvlJc w:val="left"/>
      <w:pPr>
        <w:ind w:left="418" w:hanging="584"/>
        <w:jc w:val="left"/>
      </w:pPr>
      <w:rPr>
        <w:rFonts w:hint="default"/>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737">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36">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73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3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33">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3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3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30">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29">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28">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2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26">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25">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2573" w:hanging="584"/>
      </w:pPr>
      <w:rPr>
        <w:rFonts w:hint="default"/>
        <w:lang w:val="zh-CN" w:eastAsia="zh-CN" w:bidi="zh-CN"/>
      </w:rPr>
    </w:lvl>
    <w:lvl w:ilvl="4">
      <w:start w:val="0"/>
      <w:numFmt w:val="bullet"/>
      <w:lvlText w:val="•"/>
      <w:lvlJc w:val="left"/>
      <w:pPr>
        <w:ind w:left="3726" w:hanging="584"/>
      </w:pPr>
      <w:rPr>
        <w:rFonts w:hint="default"/>
        <w:lang w:val="zh-CN" w:eastAsia="zh-CN" w:bidi="zh-CN"/>
      </w:rPr>
    </w:lvl>
    <w:lvl w:ilvl="5">
      <w:start w:val="0"/>
      <w:numFmt w:val="bullet"/>
      <w:lvlText w:val="•"/>
      <w:lvlJc w:val="left"/>
      <w:pPr>
        <w:ind w:left="4879" w:hanging="584"/>
      </w:pPr>
      <w:rPr>
        <w:rFonts w:hint="default"/>
        <w:lang w:val="zh-CN" w:eastAsia="zh-CN" w:bidi="zh-CN"/>
      </w:rPr>
    </w:lvl>
    <w:lvl w:ilvl="6">
      <w:start w:val="0"/>
      <w:numFmt w:val="bullet"/>
      <w:lvlText w:val="•"/>
      <w:lvlJc w:val="left"/>
      <w:pPr>
        <w:ind w:left="6033" w:hanging="584"/>
      </w:pPr>
      <w:rPr>
        <w:rFonts w:hint="default"/>
        <w:lang w:val="zh-CN" w:eastAsia="zh-CN" w:bidi="zh-CN"/>
      </w:rPr>
    </w:lvl>
    <w:lvl w:ilvl="7">
      <w:start w:val="0"/>
      <w:numFmt w:val="bullet"/>
      <w:lvlText w:val="•"/>
      <w:lvlJc w:val="left"/>
      <w:pPr>
        <w:ind w:left="7186" w:hanging="584"/>
      </w:pPr>
      <w:rPr>
        <w:rFonts w:hint="default"/>
        <w:lang w:val="zh-CN" w:eastAsia="zh-CN" w:bidi="zh-CN"/>
      </w:rPr>
    </w:lvl>
    <w:lvl w:ilvl="8">
      <w:start w:val="0"/>
      <w:numFmt w:val="bullet"/>
      <w:lvlText w:val="•"/>
      <w:lvlJc w:val="left"/>
      <w:pPr>
        <w:ind w:left="8339" w:hanging="584"/>
      </w:pPr>
      <w:rPr>
        <w:rFonts w:hint="default"/>
        <w:lang w:val="zh-CN" w:eastAsia="zh-CN" w:bidi="zh-CN"/>
      </w:rPr>
    </w:lvl>
  </w:abstractNum>
  <w:abstractNum w:abstractNumId="72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2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2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2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20">
    <w:multiLevelType w:val="hybridMultilevel"/>
    <w:lvl w:ilvl="0">
      <w:start w:val="5"/>
      <w:numFmt w:val="decimal"/>
      <w:lvlText w:val="%1"/>
      <w:lvlJc w:val="left"/>
      <w:pPr>
        <w:ind w:left="418" w:hanging="584"/>
        <w:jc w:val="left"/>
      </w:pPr>
      <w:rPr>
        <w:rFonts w:hint="default"/>
        <w:lang w:val="zh-CN" w:eastAsia="zh-CN" w:bidi="zh-CN"/>
      </w:rPr>
    </w:lvl>
    <w:lvl w:ilvl="1">
      <w:start w:val="5"/>
      <w:numFmt w:val="decimal"/>
      <w:lvlText w:val="%1.%2"/>
      <w:lvlJc w:val="left"/>
      <w:pPr>
        <w:ind w:left="418" w:hanging="584"/>
        <w:jc w:val="left"/>
      </w:pPr>
      <w:rPr>
        <w:rFonts w:hint="default"/>
        <w:lang w:val="zh-CN" w:eastAsia="zh-CN" w:bidi="zh-CN"/>
      </w:rPr>
    </w:lvl>
    <w:lvl w:ilvl="2">
      <w:start w:val="3"/>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719">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1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1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16">
    <w:multiLevelType w:val="hybridMultilevel"/>
    <w:lvl w:ilvl="0">
      <w:start w:val="5"/>
      <w:numFmt w:val="decimal"/>
      <w:lvlText w:val="%1"/>
      <w:lvlJc w:val="left"/>
      <w:pPr>
        <w:ind w:left="1159" w:hanging="320"/>
        <w:jc w:val="left"/>
      </w:pPr>
      <w:rPr>
        <w:rFonts w:hint="default"/>
        <w:lang w:val="zh-CN" w:eastAsia="zh-CN" w:bidi="zh-CN"/>
      </w:rPr>
    </w:lvl>
    <w:lvl w:ilvl="1">
      <w:start w:val="4"/>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715">
    <w:multiLevelType w:val="hybridMultilevel"/>
    <w:lvl w:ilvl="0">
      <w:start w:val="5"/>
      <w:numFmt w:val="decimal"/>
      <w:lvlText w:val="%1"/>
      <w:lvlJc w:val="left"/>
      <w:pPr>
        <w:ind w:left="418" w:hanging="584"/>
        <w:jc w:val="left"/>
      </w:pPr>
      <w:rPr>
        <w:rFonts w:hint="default"/>
        <w:lang w:val="zh-CN" w:eastAsia="zh-CN" w:bidi="zh-CN"/>
      </w:rPr>
    </w:lvl>
    <w:lvl w:ilvl="1">
      <w:start w:val="3"/>
      <w:numFmt w:val="decimal"/>
      <w:lvlText w:val="%1.%2"/>
      <w:lvlJc w:val="left"/>
      <w:pPr>
        <w:ind w:left="418" w:hanging="584"/>
        <w:jc w:val="left"/>
      </w:pPr>
      <w:rPr>
        <w:rFonts w:hint="default"/>
        <w:lang w:val="zh-CN" w:eastAsia="zh-CN" w:bidi="zh-CN"/>
      </w:rPr>
    </w:lvl>
    <w:lvl w:ilvl="2">
      <w:start w:val="4"/>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87" w:hanging="584"/>
      </w:pPr>
      <w:rPr>
        <w:rFonts w:hint="default"/>
        <w:lang w:val="zh-CN" w:eastAsia="zh-CN" w:bidi="zh-CN"/>
      </w:rPr>
    </w:lvl>
    <w:lvl w:ilvl="4">
      <w:start w:val="0"/>
      <w:numFmt w:val="bullet"/>
      <w:lvlText w:val="•"/>
      <w:lvlJc w:val="left"/>
      <w:pPr>
        <w:ind w:left="4510" w:hanging="584"/>
      </w:pPr>
      <w:rPr>
        <w:rFonts w:hint="default"/>
        <w:lang w:val="zh-CN" w:eastAsia="zh-CN" w:bidi="zh-CN"/>
      </w:rPr>
    </w:lvl>
    <w:lvl w:ilvl="5">
      <w:start w:val="0"/>
      <w:numFmt w:val="bullet"/>
      <w:lvlText w:val="•"/>
      <w:lvlJc w:val="left"/>
      <w:pPr>
        <w:ind w:left="5533" w:hanging="584"/>
      </w:pPr>
      <w:rPr>
        <w:rFonts w:hint="default"/>
        <w:lang w:val="zh-CN" w:eastAsia="zh-CN" w:bidi="zh-CN"/>
      </w:rPr>
    </w:lvl>
    <w:lvl w:ilvl="6">
      <w:start w:val="0"/>
      <w:numFmt w:val="bullet"/>
      <w:lvlText w:val="•"/>
      <w:lvlJc w:val="left"/>
      <w:pPr>
        <w:ind w:left="6555" w:hanging="584"/>
      </w:pPr>
      <w:rPr>
        <w:rFonts w:hint="default"/>
        <w:lang w:val="zh-CN" w:eastAsia="zh-CN" w:bidi="zh-CN"/>
      </w:rPr>
    </w:lvl>
    <w:lvl w:ilvl="7">
      <w:start w:val="0"/>
      <w:numFmt w:val="bullet"/>
      <w:lvlText w:val="•"/>
      <w:lvlJc w:val="left"/>
      <w:pPr>
        <w:ind w:left="7578" w:hanging="584"/>
      </w:pPr>
      <w:rPr>
        <w:rFonts w:hint="default"/>
        <w:lang w:val="zh-CN" w:eastAsia="zh-CN" w:bidi="zh-CN"/>
      </w:rPr>
    </w:lvl>
    <w:lvl w:ilvl="8">
      <w:start w:val="0"/>
      <w:numFmt w:val="bullet"/>
      <w:lvlText w:val="•"/>
      <w:lvlJc w:val="left"/>
      <w:pPr>
        <w:ind w:left="8601" w:hanging="584"/>
      </w:pPr>
      <w:rPr>
        <w:rFonts w:hint="default"/>
        <w:lang w:val="zh-CN" w:eastAsia="zh-CN" w:bidi="zh-CN"/>
      </w:rPr>
    </w:lvl>
  </w:abstractNum>
  <w:abstractNum w:abstractNumId="71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1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1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1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10">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09">
    <w:multiLevelType w:val="hybridMultilevel"/>
    <w:lvl w:ilvl="0">
      <w:start w:val="5"/>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4"/>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0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07">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06">
    <w:multiLevelType w:val="hybridMultilevel"/>
    <w:lvl w:ilvl="0">
      <w:start w:val="5"/>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70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0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03">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702">
    <w:multiLevelType w:val="hybridMultilevel"/>
    <w:lvl w:ilvl="0">
      <w:start w:val="5"/>
      <w:numFmt w:val="decimal"/>
      <w:lvlText w:val="%1"/>
      <w:lvlJc w:val="left"/>
      <w:pPr>
        <w:ind w:left="1477" w:hanging="637"/>
        <w:jc w:val="left"/>
      </w:pPr>
      <w:rPr>
        <w:rFonts w:hint="default"/>
        <w:lang w:val="zh-CN" w:eastAsia="zh-CN" w:bidi="zh-CN"/>
      </w:rPr>
    </w:lvl>
    <w:lvl w:ilvl="1">
      <w:start w:val="1"/>
      <w:numFmt w:val="decimal"/>
      <w:lvlText w:val="%1.%2"/>
      <w:lvlJc w:val="left"/>
      <w:pPr>
        <w:ind w:left="1477" w:hanging="637"/>
        <w:jc w:val="left"/>
      </w:pPr>
      <w:rPr>
        <w:rFonts w:hint="default"/>
        <w:lang w:val="zh-CN" w:eastAsia="zh-CN" w:bidi="zh-CN"/>
      </w:rPr>
    </w:lvl>
    <w:lvl w:ilvl="2">
      <w:start w:val="13"/>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70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00">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9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98">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9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9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95">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694">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93">
    <w:multiLevelType w:val="hybridMultilevel"/>
    <w:lvl w:ilvl="0">
      <w:start w:val="4"/>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69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9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9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8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8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87">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86">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85">
    <w:multiLevelType w:val="hybridMultilevel"/>
    <w:lvl w:ilvl="0">
      <w:start w:val="4"/>
      <w:numFmt w:val="decimal"/>
      <w:lvlText w:val="%1"/>
      <w:lvlJc w:val="left"/>
      <w:pPr>
        <w:ind w:left="1423" w:hanging="584"/>
        <w:jc w:val="left"/>
      </w:pPr>
      <w:rPr>
        <w:rFonts w:hint="default"/>
        <w:lang w:val="zh-CN" w:eastAsia="zh-CN" w:bidi="zh-CN"/>
      </w:rPr>
    </w:lvl>
    <w:lvl w:ilvl="1">
      <w:start w:val="3"/>
      <w:numFmt w:val="decimal"/>
      <w:lvlText w:val="%1.%2"/>
      <w:lvlJc w:val="left"/>
      <w:pPr>
        <w:ind w:left="1423" w:hanging="584"/>
        <w:jc w:val="left"/>
      </w:pPr>
      <w:rPr>
        <w:rFonts w:hint="default"/>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4187" w:hanging="584"/>
      </w:pPr>
      <w:rPr>
        <w:rFonts w:hint="default"/>
        <w:lang w:val="zh-CN" w:eastAsia="zh-CN" w:bidi="zh-CN"/>
      </w:rPr>
    </w:lvl>
    <w:lvl w:ilvl="4">
      <w:start w:val="0"/>
      <w:numFmt w:val="bullet"/>
      <w:lvlText w:val="•"/>
      <w:lvlJc w:val="left"/>
      <w:pPr>
        <w:ind w:left="5110" w:hanging="584"/>
      </w:pPr>
      <w:rPr>
        <w:rFonts w:hint="default"/>
        <w:lang w:val="zh-CN" w:eastAsia="zh-CN" w:bidi="zh-CN"/>
      </w:rPr>
    </w:lvl>
    <w:lvl w:ilvl="5">
      <w:start w:val="0"/>
      <w:numFmt w:val="bullet"/>
      <w:lvlText w:val="•"/>
      <w:lvlJc w:val="left"/>
      <w:pPr>
        <w:ind w:left="6033" w:hanging="584"/>
      </w:pPr>
      <w:rPr>
        <w:rFonts w:hint="default"/>
        <w:lang w:val="zh-CN" w:eastAsia="zh-CN" w:bidi="zh-CN"/>
      </w:rPr>
    </w:lvl>
    <w:lvl w:ilvl="6">
      <w:start w:val="0"/>
      <w:numFmt w:val="bullet"/>
      <w:lvlText w:val="•"/>
      <w:lvlJc w:val="left"/>
      <w:pPr>
        <w:ind w:left="6955" w:hanging="584"/>
      </w:pPr>
      <w:rPr>
        <w:rFonts w:hint="default"/>
        <w:lang w:val="zh-CN" w:eastAsia="zh-CN" w:bidi="zh-CN"/>
      </w:rPr>
    </w:lvl>
    <w:lvl w:ilvl="7">
      <w:start w:val="0"/>
      <w:numFmt w:val="bullet"/>
      <w:lvlText w:val="•"/>
      <w:lvlJc w:val="left"/>
      <w:pPr>
        <w:ind w:left="7878" w:hanging="584"/>
      </w:pPr>
      <w:rPr>
        <w:rFonts w:hint="default"/>
        <w:lang w:val="zh-CN" w:eastAsia="zh-CN" w:bidi="zh-CN"/>
      </w:rPr>
    </w:lvl>
    <w:lvl w:ilvl="8">
      <w:start w:val="0"/>
      <w:numFmt w:val="bullet"/>
      <w:lvlText w:val="•"/>
      <w:lvlJc w:val="left"/>
      <w:pPr>
        <w:ind w:left="8801" w:hanging="584"/>
      </w:pPr>
      <w:rPr>
        <w:rFonts w:hint="default"/>
        <w:lang w:val="zh-CN" w:eastAsia="zh-CN" w:bidi="zh-CN"/>
      </w:rPr>
    </w:lvl>
  </w:abstractNum>
  <w:abstractNum w:abstractNumId="68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8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82">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681">
    <w:multiLevelType w:val="hybridMultilevel"/>
    <w:lvl w:ilvl="0">
      <w:start w:val="2"/>
      <w:numFmt w:val="decimal"/>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680">
    <w:multiLevelType w:val="hybridMultilevel"/>
    <w:lvl w:ilvl="0">
      <w:start w:val="2"/>
      <w:numFmt w:val="decimal"/>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679">
    <w:multiLevelType w:val="hybridMultilevel"/>
    <w:lvl w:ilvl="0">
      <w:start w:val="2"/>
      <w:numFmt w:val="decimal"/>
      <w:lvlText w:val="%1."/>
      <w:lvlJc w:val="left"/>
      <w:pPr>
        <w:ind w:left="1050"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678">
    <w:multiLevelType w:val="hybridMultilevel"/>
    <w:lvl w:ilvl="0">
      <w:start w:val="2"/>
      <w:numFmt w:val="decimal"/>
      <w:lvlText w:val="%1."/>
      <w:lvlJc w:val="left"/>
      <w:pPr>
        <w:ind w:left="418" w:hanging="213"/>
        <w:jc w:val="left"/>
      </w:pPr>
      <w:rPr>
        <w:rFonts w:hint="default" w:ascii="宋体" w:hAnsi="宋体" w:eastAsia="宋体" w:cs="宋体"/>
        <w:spacing w:val="-52"/>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67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76">
    <w:multiLevelType w:val="hybridMultilevel"/>
    <w:lvl w:ilvl="0">
      <w:start w:val="2"/>
      <w:numFmt w:val="decimal"/>
      <w:lvlText w:val="%1."/>
      <w:lvlJc w:val="left"/>
      <w:pPr>
        <w:ind w:left="418"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675">
    <w:multiLevelType w:val="hybridMultilevel"/>
    <w:lvl w:ilvl="0">
      <w:start w:val="2"/>
      <w:numFmt w:val="decimal"/>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674">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73">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72">
    <w:multiLevelType w:val="hybridMultilevel"/>
    <w:lvl w:ilvl="0">
      <w:start w:val="3"/>
      <w:numFmt w:val="decimal"/>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671">
    <w:multiLevelType w:val="hybridMultilevel"/>
    <w:lvl w:ilvl="0">
      <w:start w:val="3"/>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b/>
        <w:bCs/>
        <w:w w:val="99"/>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67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6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68">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84"/>
      </w:pPr>
      <w:rPr>
        <w:rFonts w:hint="default"/>
        <w:lang w:val="zh-CN" w:eastAsia="zh-CN" w:bidi="zh-CN"/>
      </w:rPr>
    </w:lvl>
    <w:lvl w:ilvl="4">
      <w:start w:val="0"/>
      <w:numFmt w:val="bullet"/>
      <w:lvlText w:val="•"/>
      <w:lvlJc w:val="left"/>
      <w:pPr>
        <w:ind w:left="4322" w:hanging="584"/>
      </w:pPr>
      <w:rPr>
        <w:rFonts w:hint="default"/>
        <w:lang w:val="zh-CN" w:eastAsia="zh-CN" w:bidi="zh-CN"/>
      </w:rPr>
    </w:lvl>
    <w:lvl w:ilvl="5">
      <w:start w:val="0"/>
      <w:numFmt w:val="bullet"/>
      <w:lvlText w:val="•"/>
      <w:lvlJc w:val="left"/>
      <w:pPr>
        <w:ind w:left="5376" w:hanging="584"/>
      </w:pPr>
      <w:rPr>
        <w:rFonts w:hint="default"/>
        <w:lang w:val="zh-CN" w:eastAsia="zh-CN" w:bidi="zh-CN"/>
      </w:rPr>
    </w:lvl>
    <w:lvl w:ilvl="6">
      <w:start w:val="0"/>
      <w:numFmt w:val="bullet"/>
      <w:lvlText w:val="•"/>
      <w:lvlJc w:val="left"/>
      <w:pPr>
        <w:ind w:left="6430" w:hanging="584"/>
      </w:pPr>
      <w:rPr>
        <w:rFonts w:hint="default"/>
        <w:lang w:val="zh-CN" w:eastAsia="zh-CN" w:bidi="zh-CN"/>
      </w:rPr>
    </w:lvl>
    <w:lvl w:ilvl="7">
      <w:start w:val="0"/>
      <w:numFmt w:val="bullet"/>
      <w:lvlText w:val="•"/>
      <w:lvlJc w:val="left"/>
      <w:pPr>
        <w:ind w:left="7484" w:hanging="584"/>
      </w:pPr>
      <w:rPr>
        <w:rFonts w:hint="default"/>
        <w:lang w:val="zh-CN" w:eastAsia="zh-CN" w:bidi="zh-CN"/>
      </w:rPr>
    </w:lvl>
    <w:lvl w:ilvl="8">
      <w:start w:val="0"/>
      <w:numFmt w:val="bullet"/>
      <w:lvlText w:val="•"/>
      <w:lvlJc w:val="left"/>
      <w:pPr>
        <w:ind w:left="8538" w:hanging="584"/>
      </w:pPr>
      <w:rPr>
        <w:rFonts w:hint="default"/>
        <w:lang w:val="zh-CN" w:eastAsia="zh-CN" w:bidi="zh-CN"/>
      </w:rPr>
    </w:lvl>
  </w:abstractNum>
  <w:abstractNum w:abstractNumId="667">
    <w:multiLevelType w:val="hybridMultilevel"/>
    <w:lvl w:ilvl="0">
      <w:start w:val="2"/>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b/>
        <w:bCs/>
        <w:w w:val="99"/>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666">
    <w:multiLevelType w:val="hybridMultilevel"/>
    <w:lvl w:ilvl="0">
      <w:start w:val="1"/>
      <w:numFmt w:val="decimal"/>
      <w:lvlText w:val="%1"/>
      <w:lvlJc w:val="left"/>
      <w:pPr>
        <w:ind w:left="418" w:hanging="372"/>
        <w:jc w:val="left"/>
      </w:pPr>
      <w:rPr>
        <w:rFonts w:hint="default"/>
        <w:lang w:val="zh-CN" w:eastAsia="zh-CN" w:bidi="zh-CN"/>
      </w:rPr>
    </w:lvl>
    <w:lvl w:ilvl="1">
      <w:start w:val="1"/>
      <w:numFmt w:val="decimal"/>
      <w:lvlText w:val="%1.%2"/>
      <w:lvlJc w:val="left"/>
      <w:pPr>
        <w:ind w:left="418" w:hanging="372"/>
        <w:jc w:val="left"/>
      </w:pPr>
      <w:rPr>
        <w:rFonts w:hint="default" w:ascii="宋体" w:hAnsi="宋体" w:eastAsia="宋体" w:cs="宋体"/>
        <w:b/>
        <w:bCs/>
        <w:color w:val="333333"/>
        <w:w w:val="99"/>
        <w:sz w:val="21"/>
        <w:szCs w:val="21"/>
        <w:lang w:val="zh-CN" w:eastAsia="zh-CN" w:bidi="zh-CN"/>
      </w:rPr>
    </w:lvl>
    <w:lvl w:ilvl="2">
      <w:start w:val="0"/>
      <w:numFmt w:val="bullet"/>
      <w:lvlText w:val="•"/>
      <w:lvlJc w:val="left"/>
      <w:pPr>
        <w:ind w:left="2465" w:hanging="372"/>
      </w:pPr>
      <w:rPr>
        <w:rFonts w:hint="default"/>
        <w:lang w:val="zh-CN" w:eastAsia="zh-CN" w:bidi="zh-CN"/>
      </w:rPr>
    </w:lvl>
    <w:lvl w:ilvl="3">
      <w:start w:val="0"/>
      <w:numFmt w:val="bullet"/>
      <w:lvlText w:val="•"/>
      <w:lvlJc w:val="left"/>
      <w:pPr>
        <w:ind w:left="3487" w:hanging="372"/>
      </w:pPr>
      <w:rPr>
        <w:rFonts w:hint="default"/>
        <w:lang w:val="zh-CN" w:eastAsia="zh-CN" w:bidi="zh-CN"/>
      </w:rPr>
    </w:lvl>
    <w:lvl w:ilvl="4">
      <w:start w:val="0"/>
      <w:numFmt w:val="bullet"/>
      <w:lvlText w:val="•"/>
      <w:lvlJc w:val="left"/>
      <w:pPr>
        <w:ind w:left="4510" w:hanging="372"/>
      </w:pPr>
      <w:rPr>
        <w:rFonts w:hint="default"/>
        <w:lang w:val="zh-CN" w:eastAsia="zh-CN" w:bidi="zh-CN"/>
      </w:rPr>
    </w:lvl>
    <w:lvl w:ilvl="5">
      <w:start w:val="0"/>
      <w:numFmt w:val="bullet"/>
      <w:lvlText w:val="•"/>
      <w:lvlJc w:val="left"/>
      <w:pPr>
        <w:ind w:left="5533" w:hanging="372"/>
      </w:pPr>
      <w:rPr>
        <w:rFonts w:hint="default"/>
        <w:lang w:val="zh-CN" w:eastAsia="zh-CN" w:bidi="zh-CN"/>
      </w:rPr>
    </w:lvl>
    <w:lvl w:ilvl="6">
      <w:start w:val="0"/>
      <w:numFmt w:val="bullet"/>
      <w:lvlText w:val="•"/>
      <w:lvlJc w:val="left"/>
      <w:pPr>
        <w:ind w:left="6555" w:hanging="372"/>
      </w:pPr>
      <w:rPr>
        <w:rFonts w:hint="default"/>
        <w:lang w:val="zh-CN" w:eastAsia="zh-CN" w:bidi="zh-CN"/>
      </w:rPr>
    </w:lvl>
    <w:lvl w:ilvl="7">
      <w:start w:val="0"/>
      <w:numFmt w:val="bullet"/>
      <w:lvlText w:val="•"/>
      <w:lvlJc w:val="left"/>
      <w:pPr>
        <w:ind w:left="7578" w:hanging="372"/>
      </w:pPr>
      <w:rPr>
        <w:rFonts w:hint="default"/>
        <w:lang w:val="zh-CN" w:eastAsia="zh-CN" w:bidi="zh-CN"/>
      </w:rPr>
    </w:lvl>
    <w:lvl w:ilvl="8">
      <w:start w:val="0"/>
      <w:numFmt w:val="bullet"/>
      <w:lvlText w:val="•"/>
      <w:lvlJc w:val="left"/>
      <w:pPr>
        <w:ind w:left="8601" w:hanging="372"/>
      </w:pPr>
      <w:rPr>
        <w:rFonts w:hint="default"/>
        <w:lang w:val="zh-CN" w:eastAsia="zh-CN" w:bidi="zh-CN"/>
      </w:rPr>
    </w:lvl>
  </w:abstractNum>
  <w:abstractNum w:abstractNumId="665">
    <w:multiLevelType w:val="hybridMultilevel"/>
    <w:lvl w:ilvl="0">
      <w:start w:val="12"/>
      <w:numFmt w:val="decimal"/>
      <w:lvlText w:val="%1"/>
      <w:lvlJc w:val="left"/>
      <w:pPr>
        <w:ind w:left="418" w:hanging="637"/>
        <w:jc w:val="left"/>
      </w:pPr>
      <w:rPr>
        <w:rFonts w:hint="default"/>
        <w:lang w:val="zh-CN" w:eastAsia="zh-CN" w:bidi="zh-CN"/>
      </w:rPr>
    </w:lvl>
    <w:lvl w:ilvl="1">
      <w:start w:val="4"/>
      <w:numFmt w:val="decimal"/>
      <w:lvlText w:val="%1.%2"/>
      <w:lvlJc w:val="left"/>
      <w:pPr>
        <w:ind w:left="418" w:hanging="637"/>
        <w:jc w:val="left"/>
      </w:pPr>
      <w:rPr>
        <w:rFonts w:hint="default"/>
        <w:lang w:val="zh-CN" w:eastAsia="zh-CN" w:bidi="zh-CN"/>
      </w:rPr>
    </w:lvl>
    <w:lvl w:ilvl="2">
      <w:start w:val="5"/>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664">
    <w:multiLevelType w:val="hybridMultilevel"/>
    <w:lvl w:ilvl="0">
      <w:start w:val="1"/>
      <w:numFmt w:val="decimal"/>
      <w:lvlText w:val="（%1）"/>
      <w:lvlJc w:val="left"/>
      <w:pPr>
        <w:ind w:left="418" w:hanging="527"/>
        <w:jc w:val="left"/>
      </w:pPr>
      <w:rPr>
        <w:rFonts w:hint="default" w:ascii="宋体" w:hAnsi="宋体" w:eastAsia="宋体" w:cs="宋体"/>
        <w:spacing w:val="-68"/>
        <w:w w:val="100"/>
        <w:sz w:val="19"/>
        <w:szCs w:val="19"/>
        <w:lang w:val="zh-CN" w:eastAsia="zh-CN" w:bidi="zh-CN"/>
      </w:rPr>
    </w:lvl>
    <w:lvl w:ilvl="1">
      <w:start w:val="0"/>
      <w:numFmt w:val="bullet"/>
      <w:lvlText w:val="•"/>
      <w:lvlJc w:val="left"/>
      <w:pPr>
        <w:ind w:left="1442" w:hanging="527"/>
      </w:pPr>
      <w:rPr>
        <w:rFonts w:hint="default"/>
        <w:lang w:val="zh-CN" w:eastAsia="zh-CN" w:bidi="zh-CN"/>
      </w:rPr>
    </w:lvl>
    <w:lvl w:ilvl="2">
      <w:start w:val="0"/>
      <w:numFmt w:val="bullet"/>
      <w:lvlText w:val="•"/>
      <w:lvlJc w:val="left"/>
      <w:pPr>
        <w:ind w:left="2465" w:hanging="527"/>
      </w:pPr>
      <w:rPr>
        <w:rFonts w:hint="default"/>
        <w:lang w:val="zh-CN" w:eastAsia="zh-CN" w:bidi="zh-CN"/>
      </w:rPr>
    </w:lvl>
    <w:lvl w:ilvl="3">
      <w:start w:val="0"/>
      <w:numFmt w:val="bullet"/>
      <w:lvlText w:val="•"/>
      <w:lvlJc w:val="left"/>
      <w:pPr>
        <w:ind w:left="3487" w:hanging="527"/>
      </w:pPr>
      <w:rPr>
        <w:rFonts w:hint="default"/>
        <w:lang w:val="zh-CN" w:eastAsia="zh-CN" w:bidi="zh-CN"/>
      </w:rPr>
    </w:lvl>
    <w:lvl w:ilvl="4">
      <w:start w:val="0"/>
      <w:numFmt w:val="bullet"/>
      <w:lvlText w:val="•"/>
      <w:lvlJc w:val="left"/>
      <w:pPr>
        <w:ind w:left="4510" w:hanging="527"/>
      </w:pPr>
      <w:rPr>
        <w:rFonts w:hint="default"/>
        <w:lang w:val="zh-CN" w:eastAsia="zh-CN" w:bidi="zh-CN"/>
      </w:rPr>
    </w:lvl>
    <w:lvl w:ilvl="5">
      <w:start w:val="0"/>
      <w:numFmt w:val="bullet"/>
      <w:lvlText w:val="•"/>
      <w:lvlJc w:val="left"/>
      <w:pPr>
        <w:ind w:left="5533" w:hanging="527"/>
      </w:pPr>
      <w:rPr>
        <w:rFonts w:hint="default"/>
        <w:lang w:val="zh-CN" w:eastAsia="zh-CN" w:bidi="zh-CN"/>
      </w:rPr>
    </w:lvl>
    <w:lvl w:ilvl="6">
      <w:start w:val="0"/>
      <w:numFmt w:val="bullet"/>
      <w:lvlText w:val="•"/>
      <w:lvlJc w:val="left"/>
      <w:pPr>
        <w:ind w:left="6555" w:hanging="527"/>
      </w:pPr>
      <w:rPr>
        <w:rFonts w:hint="default"/>
        <w:lang w:val="zh-CN" w:eastAsia="zh-CN" w:bidi="zh-CN"/>
      </w:rPr>
    </w:lvl>
    <w:lvl w:ilvl="7">
      <w:start w:val="0"/>
      <w:numFmt w:val="bullet"/>
      <w:lvlText w:val="•"/>
      <w:lvlJc w:val="left"/>
      <w:pPr>
        <w:ind w:left="7578" w:hanging="527"/>
      </w:pPr>
      <w:rPr>
        <w:rFonts w:hint="default"/>
        <w:lang w:val="zh-CN" w:eastAsia="zh-CN" w:bidi="zh-CN"/>
      </w:rPr>
    </w:lvl>
    <w:lvl w:ilvl="8">
      <w:start w:val="0"/>
      <w:numFmt w:val="bullet"/>
      <w:lvlText w:val="•"/>
      <w:lvlJc w:val="left"/>
      <w:pPr>
        <w:ind w:left="8601" w:hanging="527"/>
      </w:pPr>
      <w:rPr>
        <w:rFonts w:hint="default"/>
        <w:lang w:val="zh-CN" w:eastAsia="zh-CN" w:bidi="zh-CN"/>
      </w:rPr>
    </w:lvl>
  </w:abstractNum>
  <w:abstractNum w:abstractNumId="66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62">
    <w:multiLevelType w:val="hybridMultilevel"/>
    <w:lvl w:ilvl="0">
      <w:start w:val="12"/>
      <w:numFmt w:val="decimal"/>
      <w:lvlText w:val="%1"/>
      <w:lvlJc w:val="left"/>
      <w:pPr>
        <w:ind w:left="1477" w:hanging="637"/>
        <w:jc w:val="left"/>
      </w:pPr>
      <w:rPr>
        <w:rFonts w:hint="default"/>
        <w:lang w:val="zh-CN" w:eastAsia="zh-CN" w:bidi="zh-CN"/>
      </w:rPr>
    </w:lvl>
    <w:lvl w:ilvl="1">
      <w:start w:val="4"/>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661">
    <w:multiLevelType w:val="hybridMultilevel"/>
    <w:lvl w:ilvl="0">
      <w:start w:val="12"/>
      <w:numFmt w:val="decimal"/>
      <w:lvlText w:val="%1"/>
      <w:lvlJc w:val="left"/>
      <w:pPr>
        <w:ind w:left="1318" w:hanging="478"/>
        <w:jc w:val="left"/>
      </w:pPr>
      <w:rPr>
        <w:rFonts w:hint="default"/>
        <w:lang w:val="zh-CN" w:eastAsia="zh-CN" w:bidi="zh-CN"/>
      </w:rPr>
    </w:lvl>
    <w:lvl w:ilvl="1">
      <w:start w:val="1"/>
      <w:numFmt w:val="decimal"/>
      <w:lvlText w:val="%1.%2"/>
      <w:lvlJc w:val="left"/>
      <w:pPr>
        <w:ind w:left="1318" w:hanging="478"/>
        <w:jc w:val="left"/>
      </w:pPr>
      <w:rPr>
        <w:rFonts w:hint="default" w:ascii="宋体" w:hAnsi="宋体" w:eastAsia="宋体" w:cs="宋体"/>
        <w:b/>
        <w:bCs/>
        <w:w w:val="99"/>
        <w:sz w:val="21"/>
        <w:szCs w:val="21"/>
        <w:lang w:val="zh-CN" w:eastAsia="zh-CN" w:bidi="zh-CN"/>
      </w:rPr>
    </w:lvl>
    <w:lvl w:ilvl="2">
      <w:start w:val="1"/>
      <w:numFmt w:val="decimal"/>
      <w:lvlText w:val="%1.%2.%3"/>
      <w:lvlJc w:val="left"/>
      <w:pPr>
        <w:ind w:left="418" w:hanging="637"/>
        <w:jc w:val="left"/>
      </w:pPr>
      <w:rPr>
        <w:rFonts w:hint="default" w:ascii="宋体" w:hAnsi="宋体" w:eastAsia="宋体" w:cs="宋体"/>
        <w:b/>
        <w:bCs/>
        <w:spacing w:val="-53"/>
        <w:w w:val="99"/>
        <w:sz w:val="19"/>
        <w:szCs w:val="19"/>
        <w:lang w:val="zh-CN" w:eastAsia="zh-CN" w:bidi="zh-CN"/>
      </w:rPr>
    </w:lvl>
    <w:lvl w:ilvl="3">
      <w:start w:val="0"/>
      <w:numFmt w:val="bullet"/>
      <w:lvlText w:val="•"/>
      <w:lvlJc w:val="left"/>
      <w:pPr>
        <w:ind w:left="3392" w:hanging="637"/>
      </w:pPr>
      <w:rPr>
        <w:rFonts w:hint="default"/>
        <w:lang w:val="zh-CN" w:eastAsia="zh-CN" w:bidi="zh-CN"/>
      </w:rPr>
    </w:lvl>
    <w:lvl w:ilvl="4">
      <w:start w:val="0"/>
      <w:numFmt w:val="bullet"/>
      <w:lvlText w:val="•"/>
      <w:lvlJc w:val="left"/>
      <w:pPr>
        <w:ind w:left="4428" w:hanging="637"/>
      </w:pPr>
      <w:rPr>
        <w:rFonts w:hint="default"/>
        <w:lang w:val="zh-CN" w:eastAsia="zh-CN" w:bidi="zh-CN"/>
      </w:rPr>
    </w:lvl>
    <w:lvl w:ilvl="5">
      <w:start w:val="0"/>
      <w:numFmt w:val="bullet"/>
      <w:lvlText w:val="•"/>
      <w:lvlJc w:val="left"/>
      <w:pPr>
        <w:ind w:left="5465" w:hanging="637"/>
      </w:pPr>
      <w:rPr>
        <w:rFonts w:hint="default"/>
        <w:lang w:val="zh-CN" w:eastAsia="zh-CN" w:bidi="zh-CN"/>
      </w:rPr>
    </w:lvl>
    <w:lvl w:ilvl="6">
      <w:start w:val="0"/>
      <w:numFmt w:val="bullet"/>
      <w:lvlText w:val="•"/>
      <w:lvlJc w:val="left"/>
      <w:pPr>
        <w:ind w:left="6501" w:hanging="637"/>
      </w:pPr>
      <w:rPr>
        <w:rFonts w:hint="default"/>
        <w:lang w:val="zh-CN" w:eastAsia="zh-CN" w:bidi="zh-CN"/>
      </w:rPr>
    </w:lvl>
    <w:lvl w:ilvl="7">
      <w:start w:val="0"/>
      <w:numFmt w:val="bullet"/>
      <w:lvlText w:val="•"/>
      <w:lvlJc w:val="left"/>
      <w:pPr>
        <w:ind w:left="7537" w:hanging="637"/>
      </w:pPr>
      <w:rPr>
        <w:rFonts w:hint="default"/>
        <w:lang w:val="zh-CN" w:eastAsia="zh-CN" w:bidi="zh-CN"/>
      </w:rPr>
    </w:lvl>
    <w:lvl w:ilvl="8">
      <w:start w:val="0"/>
      <w:numFmt w:val="bullet"/>
      <w:lvlText w:val="•"/>
      <w:lvlJc w:val="left"/>
      <w:pPr>
        <w:ind w:left="8573" w:hanging="637"/>
      </w:pPr>
      <w:rPr>
        <w:rFonts w:hint="default"/>
        <w:lang w:val="zh-CN" w:eastAsia="zh-CN" w:bidi="zh-CN"/>
      </w:rPr>
    </w:lvl>
  </w:abstractNum>
  <w:abstractNum w:abstractNumId="660">
    <w:multiLevelType w:val="hybridMultilevel"/>
    <w:lvl w:ilvl="0">
      <w:start w:val="11"/>
      <w:numFmt w:val="decimal"/>
      <w:lvlText w:val="%1"/>
      <w:lvlJc w:val="left"/>
      <w:pPr>
        <w:ind w:left="418" w:hanging="637"/>
        <w:jc w:val="left"/>
      </w:pPr>
      <w:rPr>
        <w:rFonts w:hint="default"/>
        <w:lang w:val="zh-CN" w:eastAsia="zh-CN" w:bidi="zh-CN"/>
      </w:rPr>
    </w:lvl>
    <w:lvl w:ilvl="1">
      <w:start w:val="2"/>
      <w:numFmt w:val="decimal"/>
      <w:lvlText w:val="%1.%2"/>
      <w:lvlJc w:val="left"/>
      <w:pPr>
        <w:ind w:left="418" w:hanging="637"/>
        <w:jc w:val="left"/>
      </w:pPr>
      <w:rPr>
        <w:rFonts w:hint="default"/>
        <w:lang w:val="zh-CN" w:eastAsia="zh-CN" w:bidi="zh-CN"/>
      </w:rPr>
    </w:lvl>
    <w:lvl w:ilvl="2">
      <w:start w:val="1"/>
      <w:numFmt w:val="decimal"/>
      <w:lvlText w:val="%1.%2.%3"/>
      <w:lvlJc w:val="left"/>
      <w:pPr>
        <w:ind w:left="418" w:hanging="637"/>
        <w:jc w:val="left"/>
      </w:pPr>
      <w:rPr>
        <w:rFonts w:hint="default" w:ascii="宋体" w:hAnsi="宋体" w:eastAsia="宋体" w:cs="宋体"/>
        <w:b/>
        <w:bCs/>
        <w:spacing w:val="-84"/>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65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58">
    <w:multiLevelType w:val="hybridMultilevel"/>
    <w:lvl w:ilvl="0">
      <w:start w:val="11"/>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spacing w:val="-8"/>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65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56">
    <w:multiLevelType w:val="hybridMultilevel"/>
    <w:lvl w:ilvl="0">
      <w:start w:val="10"/>
      <w:numFmt w:val="decimal"/>
      <w:lvlText w:val="%1"/>
      <w:lvlJc w:val="left"/>
      <w:pPr>
        <w:ind w:left="1318" w:hanging="478"/>
        <w:jc w:val="left"/>
      </w:pPr>
      <w:rPr>
        <w:rFonts w:hint="default"/>
        <w:lang w:val="zh-CN" w:eastAsia="zh-CN" w:bidi="zh-CN"/>
      </w:rPr>
    </w:lvl>
    <w:lvl w:ilvl="1">
      <w:start w:val="1"/>
      <w:numFmt w:val="decimal"/>
      <w:lvlText w:val="%1.%2"/>
      <w:lvlJc w:val="left"/>
      <w:pPr>
        <w:ind w:left="1318" w:hanging="478"/>
        <w:jc w:val="left"/>
      </w:pPr>
      <w:rPr>
        <w:rFonts w:hint="default" w:ascii="宋体" w:hAnsi="宋体" w:eastAsia="宋体" w:cs="宋体"/>
        <w:b/>
        <w:bCs/>
        <w:w w:val="99"/>
        <w:sz w:val="21"/>
        <w:szCs w:val="21"/>
        <w:lang w:val="zh-CN" w:eastAsia="zh-CN" w:bidi="zh-CN"/>
      </w:rPr>
    </w:lvl>
    <w:lvl w:ilvl="2">
      <w:start w:val="1"/>
      <w:numFmt w:val="decimal"/>
      <w:lvlText w:val="%1.%2.%3"/>
      <w:lvlJc w:val="left"/>
      <w:pPr>
        <w:ind w:left="1477" w:hanging="637"/>
        <w:jc w:val="left"/>
      </w:pPr>
      <w:rPr>
        <w:rFonts w:hint="default" w:ascii="宋体" w:hAnsi="宋体" w:eastAsia="宋体" w:cs="宋体"/>
        <w:b/>
        <w:bCs/>
        <w:spacing w:val="-12"/>
        <w:w w:val="99"/>
        <w:sz w:val="19"/>
        <w:szCs w:val="19"/>
        <w:lang w:val="zh-CN" w:eastAsia="zh-CN" w:bidi="zh-CN"/>
      </w:rPr>
    </w:lvl>
    <w:lvl w:ilvl="3">
      <w:start w:val="0"/>
      <w:numFmt w:val="bullet"/>
      <w:lvlText w:val="•"/>
      <w:lvlJc w:val="left"/>
      <w:pPr>
        <w:ind w:left="3516" w:hanging="637"/>
      </w:pPr>
      <w:rPr>
        <w:rFonts w:hint="default"/>
        <w:lang w:val="zh-CN" w:eastAsia="zh-CN" w:bidi="zh-CN"/>
      </w:rPr>
    </w:lvl>
    <w:lvl w:ilvl="4">
      <w:start w:val="0"/>
      <w:numFmt w:val="bullet"/>
      <w:lvlText w:val="•"/>
      <w:lvlJc w:val="left"/>
      <w:pPr>
        <w:ind w:left="4535" w:hanging="637"/>
      </w:pPr>
      <w:rPr>
        <w:rFonts w:hint="default"/>
        <w:lang w:val="zh-CN" w:eastAsia="zh-CN" w:bidi="zh-CN"/>
      </w:rPr>
    </w:lvl>
    <w:lvl w:ilvl="5">
      <w:start w:val="0"/>
      <w:numFmt w:val="bullet"/>
      <w:lvlText w:val="•"/>
      <w:lvlJc w:val="left"/>
      <w:pPr>
        <w:ind w:left="5553" w:hanging="637"/>
      </w:pPr>
      <w:rPr>
        <w:rFonts w:hint="default"/>
        <w:lang w:val="zh-CN" w:eastAsia="zh-CN" w:bidi="zh-CN"/>
      </w:rPr>
    </w:lvl>
    <w:lvl w:ilvl="6">
      <w:start w:val="0"/>
      <w:numFmt w:val="bullet"/>
      <w:lvlText w:val="•"/>
      <w:lvlJc w:val="left"/>
      <w:pPr>
        <w:ind w:left="6572" w:hanging="637"/>
      </w:pPr>
      <w:rPr>
        <w:rFonts w:hint="default"/>
        <w:lang w:val="zh-CN" w:eastAsia="zh-CN" w:bidi="zh-CN"/>
      </w:rPr>
    </w:lvl>
    <w:lvl w:ilvl="7">
      <w:start w:val="0"/>
      <w:numFmt w:val="bullet"/>
      <w:lvlText w:val="•"/>
      <w:lvlJc w:val="left"/>
      <w:pPr>
        <w:ind w:left="7590" w:hanging="637"/>
      </w:pPr>
      <w:rPr>
        <w:rFonts w:hint="default"/>
        <w:lang w:val="zh-CN" w:eastAsia="zh-CN" w:bidi="zh-CN"/>
      </w:rPr>
    </w:lvl>
    <w:lvl w:ilvl="8">
      <w:start w:val="0"/>
      <w:numFmt w:val="bullet"/>
      <w:lvlText w:val="•"/>
      <w:lvlJc w:val="left"/>
      <w:pPr>
        <w:ind w:left="8609" w:hanging="637"/>
      </w:pPr>
      <w:rPr>
        <w:rFonts w:hint="default"/>
        <w:lang w:val="zh-CN" w:eastAsia="zh-CN" w:bidi="zh-CN"/>
      </w:rPr>
    </w:lvl>
  </w:abstractNum>
  <w:abstractNum w:abstractNumId="65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54">
    <w:multiLevelType w:val="hybridMultilevel"/>
    <w:lvl w:ilvl="0">
      <w:start w:val="9"/>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31"/>
      </w:pPr>
      <w:rPr>
        <w:rFonts w:hint="default"/>
        <w:lang w:val="zh-CN" w:eastAsia="zh-CN" w:bidi="zh-CN"/>
      </w:rPr>
    </w:lvl>
    <w:lvl w:ilvl="4">
      <w:start w:val="0"/>
      <w:numFmt w:val="bullet"/>
      <w:lvlText w:val="•"/>
      <w:lvlJc w:val="left"/>
      <w:pPr>
        <w:ind w:left="2703" w:hanging="531"/>
      </w:pPr>
      <w:rPr>
        <w:rFonts w:hint="default"/>
        <w:lang w:val="zh-CN" w:eastAsia="zh-CN" w:bidi="zh-CN"/>
      </w:rPr>
    </w:lvl>
    <w:lvl w:ilvl="5">
      <w:start w:val="0"/>
      <w:numFmt w:val="bullet"/>
      <w:lvlText w:val="•"/>
      <w:lvlJc w:val="left"/>
      <w:pPr>
        <w:ind w:left="4027" w:hanging="531"/>
      </w:pPr>
      <w:rPr>
        <w:rFonts w:hint="default"/>
        <w:lang w:val="zh-CN" w:eastAsia="zh-CN" w:bidi="zh-CN"/>
      </w:rPr>
    </w:lvl>
    <w:lvl w:ilvl="6">
      <w:start w:val="0"/>
      <w:numFmt w:val="bullet"/>
      <w:lvlText w:val="•"/>
      <w:lvlJc w:val="left"/>
      <w:pPr>
        <w:ind w:left="5351" w:hanging="531"/>
      </w:pPr>
      <w:rPr>
        <w:rFonts w:hint="default"/>
        <w:lang w:val="zh-CN" w:eastAsia="zh-CN" w:bidi="zh-CN"/>
      </w:rPr>
    </w:lvl>
    <w:lvl w:ilvl="7">
      <w:start w:val="0"/>
      <w:numFmt w:val="bullet"/>
      <w:lvlText w:val="•"/>
      <w:lvlJc w:val="left"/>
      <w:pPr>
        <w:ind w:left="6675" w:hanging="531"/>
      </w:pPr>
      <w:rPr>
        <w:rFonts w:hint="default"/>
        <w:lang w:val="zh-CN" w:eastAsia="zh-CN" w:bidi="zh-CN"/>
      </w:rPr>
    </w:lvl>
    <w:lvl w:ilvl="8">
      <w:start w:val="0"/>
      <w:numFmt w:val="bullet"/>
      <w:lvlText w:val="•"/>
      <w:lvlJc w:val="left"/>
      <w:pPr>
        <w:ind w:left="7998" w:hanging="531"/>
      </w:pPr>
      <w:rPr>
        <w:rFonts w:hint="default"/>
        <w:lang w:val="zh-CN" w:eastAsia="zh-CN" w:bidi="zh-CN"/>
      </w:rPr>
    </w:lvl>
  </w:abstractNum>
  <w:abstractNum w:abstractNumId="653">
    <w:multiLevelType w:val="hybridMultilevel"/>
    <w:lvl w:ilvl="0">
      <w:start w:val="8"/>
      <w:numFmt w:val="decimal"/>
      <w:lvlText w:val="%1"/>
      <w:lvlJc w:val="left"/>
      <w:pPr>
        <w:ind w:left="1369" w:hanging="529"/>
        <w:jc w:val="left"/>
      </w:pPr>
      <w:rPr>
        <w:rFonts w:hint="default"/>
        <w:lang w:val="zh-CN" w:eastAsia="zh-CN" w:bidi="zh-CN"/>
      </w:rPr>
    </w:lvl>
    <w:lvl w:ilvl="1">
      <w:start w:val="1"/>
      <w:numFmt w:val="decimal"/>
      <w:lvlText w:val="%1.%2"/>
      <w:lvlJc w:val="left"/>
      <w:pPr>
        <w:ind w:left="1369" w:hanging="529"/>
        <w:jc w:val="left"/>
      </w:pPr>
      <w:rPr>
        <w:rFonts w:hint="default"/>
        <w:lang w:val="zh-CN" w:eastAsia="zh-CN" w:bidi="zh-CN"/>
      </w:rPr>
    </w:lvl>
    <w:lvl w:ilvl="2">
      <w:start w:val="5"/>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52">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98"/>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98"/>
      </w:pPr>
      <w:rPr>
        <w:rFonts w:hint="default"/>
        <w:lang w:val="zh-CN" w:eastAsia="zh-CN" w:bidi="zh-CN"/>
      </w:rPr>
    </w:lvl>
    <w:lvl w:ilvl="4">
      <w:start w:val="0"/>
      <w:numFmt w:val="bullet"/>
      <w:lvlText w:val="•"/>
      <w:lvlJc w:val="left"/>
      <w:pPr>
        <w:ind w:left="4322" w:hanging="598"/>
      </w:pPr>
      <w:rPr>
        <w:rFonts w:hint="default"/>
        <w:lang w:val="zh-CN" w:eastAsia="zh-CN" w:bidi="zh-CN"/>
      </w:rPr>
    </w:lvl>
    <w:lvl w:ilvl="5">
      <w:start w:val="0"/>
      <w:numFmt w:val="bullet"/>
      <w:lvlText w:val="•"/>
      <w:lvlJc w:val="left"/>
      <w:pPr>
        <w:ind w:left="5376" w:hanging="598"/>
      </w:pPr>
      <w:rPr>
        <w:rFonts w:hint="default"/>
        <w:lang w:val="zh-CN" w:eastAsia="zh-CN" w:bidi="zh-CN"/>
      </w:rPr>
    </w:lvl>
    <w:lvl w:ilvl="6">
      <w:start w:val="0"/>
      <w:numFmt w:val="bullet"/>
      <w:lvlText w:val="•"/>
      <w:lvlJc w:val="left"/>
      <w:pPr>
        <w:ind w:left="6430" w:hanging="598"/>
      </w:pPr>
      <w:rPr>
        <w:rFonts w:hint="default"/>
        <w:lang w:val="zh-CN" w:eastAsia="zh-CN" w:bidi="zh-CN"/>
      </w:rPr>
    </w:lvl>
    <w:lvl w:ilvl="7">
      <w:start w:val="0"/>
      <w:numFmt w:val="bullet"/>
      <w:lvlText w:val="•"/>
      <w:lvlJc w:val="left"/>
      <w:pPr>
        <w:ind w:left="7484" w:hanging="598"/>
      </w:pPr>
      <w:rPr>
        <w:rFonts w:hint="default"/>
        <w:lang w:val="zh-CN" w:eastAsia="zh-CN" w:bidi="zh-CN"/>
      </w:rPr>
    </w:lvl>
    <w:lvl w:ilvl="8">
      <w:start w:val="0"/>
      <w:numFmt w:val="bullet"/>
      <w:lvlText w:val="•"/>
      <w:lvlJc w:val="left"/>
      <w:pPr>
        <w:ind w:left="8538" w:hanging="598"/>
      </w:pPr>
      <w:rPr>
        <w:rFonts w:hint="default"/>
        <w:lang w:val="zh-CN" w:eastAsia="zh-CN" w:bidi="zh-CN"/>
      </w:rPr>
    </w:lvl>
  </w:abstractNum>
  <w:abstractNum w:abstractNumId="651">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50">
    <w:multiLevelType w:val="hybridMultilevel"/>
    <w:lvl w:ilvl="0">
      <w:start w:val="7"/>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64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48">
    <w:multiLevelType w:val="hybridMultilevel"/>
    <w:lvl w:ilvl="0">
      <w:start w:val="7"/>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3"/>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64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4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4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44">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643">
    <w:multiLevelType w:val="hybridMultilevel"/>
    <w:lvl w:ilvl="0">
      <w:start w:val="1"/>
      <w:numFmt w:val="decimal"/>
      <w:lvlText w:val="（%1）"/>
      <w:lvlJc w:val="left"/>
      <w:pPr>
        <w:ind w:left="418" w:hanging="527"/>
        <w:jc w:val="left"/>
      </w:pPr>
      <w:rPr>
        <w:rFonts w:hint="default" w:ascii="宋体" w:hAnsi="宋体" w:eastAsia="宋体" w:cs="宋体"/>
        <w:spacing w:val="-22"/>
        <w:w w:val="100"/>
        <w:sz w:val="19"/>
        <w:szCs w:val="19"/>
        <w:lang w:val="zh-CN" w:eastAsia="zh-CN" w:bidi="zh-CN"/>
      </w:rPr>
    </w:lvl>
    <w:lvl w:ilvl="1">
      <w:start w:val="0"/>
      <w:numFmt w:val="bullet"/>
      <w:lvlText w:val="•"/>
      <w:lvlJc w:val="left"/>
      <w:pPr>
        <w:ind w:left="1442" w:hanging="527"/>
      </w:pPr>
      <w:rPr>
        <w:rFonts w:hint="default"/>
        <w:lang w:val="zh-CN" w:eastAsia="zh-CN" w:bidi="zh-CN"/>
      </w:rPr>
    </w:lvl>
    <w:lvl w:ilvl="2">
      <w:start w:val="0"/>
      <w:numFmt w:val="bullet"/>
      <w:lvlText w:val="•"/>
      <w:lvlJc w:val="left"/>
      <w:pPr>
        <w:ind w:left="2465" w:hanging="527"/>
      </w:pPr>
      <w:rPr>
        <w:rFonts w:hint="default"/>
        <w:lang w:val="zh-CN" w:eastAsia="zh-CN" w:bidi="zh-CN"/>
      </w:rPr>
    </w:lvl>
    <w:lvl w:ilvl="3">
      <w:start w:val="0"/>
      <w:numFmt w:val="bullet"/>
      <w:lvlText w:val="•"/>
      <w:lvlJc w:val="left"/>
      <w:pPr>
        <w:ind w:left="3487" w:hanging="527"/>
      </w:pPr>
      <w:rPr>
        <w:rFonts w:hint="default"/>
        <w:lang w:val="zh-CN" w:eastAsia="zh-CN" w:bidi="zh-CN"/>
      </w:rPr>
    </w:lvl>
    <w:lvl w:ilvl="4">
      <w:start w:val="0"/>
      <w:numFmt w:val="bullet"/>
      <w:lvlText w:val="•"/>
      <w:lvlJc w:val="left"/>
      <w:pPr>
        <w:ind w:left="4510" w:hanging="527"/>
      </w:pPr>
      <w:rPr>
        <w:rFonts w:hint="default"/>
        <w:lang w:val="zh-CN" w:eastAsia="zh-CN" w:bidi="zh-CN"/>
      </w:rPr>
    </w:lvl>
    <w:lvl w:ilvl="5">
      <w:start w:val="0"/>
      <w:numFmt w:val="bullet"/>
      <w:lvlText w:val="•"/>
      <w:lvlJc w:val="left"/>
      <w:pPr>
        <w:ind w:left="5533" w:hanging="527"/>
      </w:pPr>
      <w:rPr>
        <w:rFonts w:hint="default"/>
        <w:lang w:val="zh-CN" w:eastAsia="zh-CN" w:bidi="zh-CN"/>
      </w:rPr>
    </w:lvl>
    <w:lvl w:ilvl="6">
      <w:start w:val="0"/>
      <w:numFmt w:val="bullet"/>
      <w:lvlText w:val="•"/>
      <w:lvlJc w:val="left"/>
      <w:pPr>
        <w:ind w:left="6555" w:hanging="527"/>
      </w:pPr>
      <w:rPr>
        <w:rFonts w:hint="default"/>
        <w:lang w:val="zh-CN" w:eastAsia="zh-CN" w:bidi="zh-CN"/>
      </w:rPr>
    </w:lvl>
    <w:lvl w:ilvl="7">
      <w:start w:val="0"/>
      <w:numFmt w:val="bullet"/>
      <w:lvlText w:val="•"/>
      <w:lvlJc w:val="left"/>
      <w:pPr>
        <w:ind w:left="7578" w:hanging="527"/>
      </w:pPr>
      <w:rPr>
        <w:rFonts w:hint="default"/>
        <w:lang w:val="zh-CN" w:eastAsia="zh-CN" w:bidi="zh-CN"/>
      </w:rPr>
    </w:lvl>
    <w:lvl w:ilvl="8">
      <w:start w:val="0"/>
      <w:numFmt w:val="bullet"/>
      <w:lvlText w:val="•"/>
      <w:lvlJc w:val="left"/>
      <w:pPr>
        <w:ind w:left="8601" w:hanging="527"/>
      </w:pPr>
      <w:rPr>
        <w:rFonts w:hint="default"/>
        <w:lang w:val="zh-CN" w:eastAsia="zh-CN" w:bidi="zh-CN"/>
      </w:rPr>
    </w:lvl>
  </w:abstractNum>
  <w:abstractNum w:abstractNumId="642">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641">
    <w:multiLevelType w:val="hybridMultilevel"/>
    <w:lvl w:ilvl="0">
      <w:start w:val="6"/>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29"/>
      </w:pPr>
      <w:rPr>
        <w:rFonts w:hint="default"/>
        <w:lang w:val="zh-CN" w:eastAsia="zh-CN" w:bidi="zh-CN"/>
      </w:rPr>
    </w:lvl>
    <w:lvl w:ilvl="4">
      <w:start w:val="0"/>
      <w:numFmt w:val="bullet"/>
      <w:lvlText w:val="•"/>
      <w:lvlJc w:val="left"/>
      <w:pPr>
        <w:ind w:left="2703" w:hanging="529"/>
      </w:pPr>
      <w:rPr>
        <w:rFonts w:hint="default"/>
        <w:lang w:val="zh-CN" w:eastAsia="zh-CN" w:bidi="zh-CN"/>
      </w:rPr>
    </w:lvl>
    <w:lvl w:ilvl="5">
      <w:start w:val="0"/>
      <w:numFmt w:val="bullet"/>
      <w:lvlText w:val="•"/>
      <w:lvlJc w:val="left"/>
      <w:pPr>
        <w:ind w:left="4027" w:hanging="529"/>
      </w:pPr>
      <w:rPr>
        <w:rFonts w:hint="default"/>
        <w:lang w:val="zh-CN" w:eastAsia="zh-CN" w:bidi="zh-CN"/>
      </w:rPr>
    </w:lvl>
    <w:lvl w:ilvl="6">
      <w:start w:val="0"/>
      <w:numFmt w:val="bullet"/>
      <w:lvlText w:val="•"/>
      <w:lvlJc w:val="left"/>
      <w:pPr>
        <w:ind w:left="5351" w:hanging="529"/>
      </w:pPr>
      <w:rPr>
        <w:rFonts w:hint="default"/>
        <w:lang w:val="zh-CN" w:eastAsia="zh-CN" w:bidi="zh-CN"/>
      </w:rPr>
    </w:lvl>
    <w:lvl w:ilvl="7">
      <w:start w:val="0"/>
      <w:numFmt w:val="bullet"/>
      <w:lvlText w:val="•"/>
      <w:lvlJc w:val="left"/>
      <w:pPr>
        <w:ind w:left="6675" w:hanging="529"/>
      </w:pPr>
      <w:rPr>
        <w:rFonts w:hint="default"/>
        <w:lang w:val="zh-CN" w:eastAsia="zh-CN" w:bidi="zh-CN"/>
      </w:rPr>
    </w:lvl>
    <w:lvl w:ilvl="8">
      <w:start w:val="0"/>
      <w:numFmt w:val="bullet"/>
      <w:lvlText w:val="•"/>
      <w:lvlJc w:val="left"/>
      <w:pPr>
        <w:ind w:left="7998" w:hanging="529"/>
      </w:pPr>
      <w:rPr>
        <w:rFonts w:hint="default"/>
        <w:lang w:val="zh-CN" w:eastAsia="zh-CN" w:bidi="zh-CN"/>
      </w:rPr>
    </w:lvl>
  </w:abstractNum>
  <w:abstractNum w:abstractNumId="64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39">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38">
    <w:multiLevelType w:val="hybridMultilevel"/>
    <w:lvl w:ilvl="0">
      <w:start w:val="1"/>
      <w:numFmt w:val="decimal"/>
      <w:lvlText w:val="（%1）"/>
      <w:lvlJc w:val="left"/>
      <w:pPr>
        <w:ind w:left="418" w:hanging="529"/>
        <w:jc w:val="left"/>
      </w:pPr>
      <w:rPr>
        <w:rFonts w:hint="default" w:ascii="宋体" w:hAnsi="宋体" w:eastAsia="宋体" w:cs="宋体"/>
        <w:spacing w:val="-36"/>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37">
    <w:multiLevelType w:val="hybridMultilevel"/>
    <w:lvl w:ilvl="0">
      <w:start w:val="6"/>
      <w:numFmt w:val="decimal"/>
      <w:lvlText w:val="%1"/>
      <w:lvlJc w:val="left"/>
      <w:pPr>
        <w:ind w:left="1477" w:hanging="637"/>
        <w:jc w:val="left"/>
      </w:pPr>
      <w:rPr>
        <w:rFonts w:hint="default"/>
        <w:lang w:val="zh-CN" w:eastAsia="zh-CN" w:bidi="zh-CN"/>
      </w:rPr>
    </w:lvl>
    <w:lvl w:ilvl="1">
      <w:start w:val="2"/>
      <w:numFmt w:val="decimal"/>
      <w:lvlText w:val="%1.%2"/>
      <w:lvlJc w:val="left"/>
      <w:pPr>
        <w:ind w:left="1477" w:hanging="637"/>
        <w:jc w:val="left"/>
      </w:pPr>
      <w:rPr>
        <w:rFonts w:hint="default"/>
        <w:lang w:val="zh-CN" w:eastAsia="zh-CN" w:bidi="zh-CN"/>
      </w:rPr>
    </w:lvl>
    <w:lvl w:ilvl="2">
      <w:start w:val="16"/>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63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35">
    <w:multiLevelType w:val="hybridMultilevel"/>
    <w:lvl w:ilvl="0">
      <w:start w:val="1"/>
      <w:numFmt w:val="decimal"/>
      <w:lvlText w:val="（%1）"/>
      <w:lvlJc w:val="left"/>
      <w:pPr>
        <w:ind w:left="418" w:hanging="527"/>
        <w:jc w:val="left"/>
      </w:pPr>
      <w:rPr>
        <w:rFonts w:hint="default" w:ascii="宋体" w:hAnsi="宋体" w:eastAsia="宋体" w:cs="宋体"/>
        <w:spacing w:val="-10"/>
        <w:w w:val="100"/>
        <w:sz w:val="19"/>
        <w:szCs w:val="19"/>
        <w:lang w:val="zh-CN" w:eastAsia="zh-CN" w:bidi="zh-CN"/>
      </w:rPr>
    </w:lvl>
    <w:lvl w:ilvl="1">
      <w:start w:val="0"/>
      <w:numFmt w:val="bullet"/>
      <w:lvlText w:val="•"/>
      <w:lvlJc w:val="left"/>
      <w:pPr>
        <w:ind w:left="1442" w:hanging="527"/>
      </w:pPr>
      <w:rPr>
        <w:rFonts w:hint="default"/>
        <w:lang w:val="zh-CN" w:eastAsia="zh-CN" w:bidi="zh-CN"/>
      </w:rPr>
    </w:lvl>
    <w:lvl w:ilvl="2">
      <w:start w:val="0"/>
      <w:numFmt w:val="bullet"/>
      <w:lvlText w:val="•"/>
      <w:lvlJc w:val="left"/>
      <w:pPr>
        <w:ind w:left="2465" w:hanging="527"/>
      </w:pPr>
      <w:rPr>
        <w:rFonts w:hint="default"/>
        <w:lang w:val="zh-CN" w:eastAsia="zh-CN" w:bidi="zh-CN"/>
      </w:rPr>
    </w:lvl>
    <w:lvl w:ilvl="3">
      <w:start w:val="0"/>
      <w:numFmt w:val="bullet"/>
      <w:lvlText w:val="•"/>
      <w:lvlJc w:val="left"/>
      <w:pPr>
        <w:ind w:left="3487" w:hanging="527"/>
      </w:pPr>
      <w:rPr>
        <w:rFonts w:hint="default"/>
        <w:lang w:val="zh-CN" w:eastAsia="zh-CN" w:bidi="zh-CN"/>
      </w:rPr>
    </w:lvl>
    <w:lvl w:ilvl="4">
      <w:start w:val="0"/>
      <w:numFmt w:val="bullet"/>
      <w:lvlText w:val="•"/>
      <w:lvlJc w:val="left"/>
      <w:pPr>
        <w:ind w:left="4510" w:hanging="527"/>
      </w:pPr>
      <w:rPr>
        <w:rFonts w:hint="default"/>
        <w:lang w:val="zh-CN" w:eastAsia="zh-CN" w:bidi="zh-CN"/>
      </w:rPr>
    </w:lvl>
    <w:lvl w:ilvl="5">
      <w:start w:val="0"/>
      <w:numFmt w:val="bullet"/>
      <w:lvlText w:val="•"/>
      <w:lvlJc w:val="left"/>
      <w:pPr>
        <w:ind w:left="5533" w:hanging="527"/>
      </w:pPr>
      <w:rPr>
        <w:rFonts w:hint="default"/>
        <w:lang w:val="zh-CN" w:eastAsia="zh-CN" w:bidi="zh-CN"/>
      </w:rPr>
    </w:lvl>
    <w:lvl w:ilvl="6">
      <w:start w:val="0"/>
      <w:numFmt w:val="bullet"/>
      <w:lvlText w:val="•"/>
      <w:lvlJc w:val="left"/>
      <w:pPr>
        <w:ind w:left="6555" w:hanging="527"/>
      </w:pPr>
      <w:rPr>
        <w:rFonts w:hint="default"/>
        <w:lang w:val="zh-CN" w:eastAsia="zh-CN" w:bidi="zh-CN"/>
      </w:rPr>
    </w:lvl>
    <w:lvl w:ilvl="7">
      <w:start w:val="0"/>
      <w:numFmt w:val="bullet"/>
      <w:lvlText w:val="•"/>
      <w:lvlJc w:val="left"/>
      <w:pPr>
        <w:ind w:left="7578" w:hanging="527"/>
      </w:pPr>
      <w:rPr>
        <w:rFonts w:hint="default"/>
        <w:lang w:val="zh-CN" w:eastAsia="zh-CN" w:bidi="zh-CN"/>
      </w:rPr>
    </w:lvl>
    <w:lvl w:ilvl="8">
      <w:start w:val="0"/>
      <w:numFmt w:val="bullet"/>
      <w:lvlText w:val="•"/>
      <w:lvlJc w:val="left"/>
      <w:pPr>
        <w:ind w:left="8601" w:hanging="527"/>
      </w:pPr>
      <w:rPr>
        <w:rFonts w:hint="default"/>
        <w:lang w:val="zh-CN" w:eastAsia="zh-CN" w:bidi="zh-CN"/>
      </w:rPr>
    </w:lvl>
  </w:abstractNum>
  <w:abstractNum w:abstractNumId="634">
    <w:multiLevelType w:val="hybridMultilevel"/>
    <w:lvl w:ilvl="0">
      <w:start w:val="6"/>
      <w:numFmt w:val="decimal"/>
      <w:lvlText w:val="%1"/>
      <w:lvlJc w:val="left"/>
      <w:pPr>
        <w:ind w:left="1477" w:hanging="637"/>
        <w:jc w:val="left"/>
      </w:pPr>
      <w:rPr>
        <w:rFonts w:hint="default"/>
        <w:lang w:val="zh-CN" w:eastAsia="zh-CN" w:bidi="zh-CN"/>
      </w:rPr>
    </w:lvl>
    <w:lvl w:ilvl="1">
      <w:start w:val="2"/>
      <w:numFmt w:val="decimal"/>
      <w:lvlText w:val="%1.%2"/>
      <w:lvlJc w:val="left"/>
      <w:pPr>
        <w:ind w:left="1477" w:hanging="637"/>
        <w:jc w:val="left"/>
      </w:pPr>
      <w:rPr>
        <w:rFonts w:hint="default"/>
        <w:lang w:val="zh-CN" w:eastAsia="zh-CN" w:bidi="zh-CN"/>
      </w:rPr>
    </w:lvl>
    <w:lvl w:ilvl="2">
      <w:start w:val="12"/>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633">
    <w:multiLevelType w:val="hybridMultilevel"/>
    <w:lvl w:ilvl="0">
      <w:start w:val="6"/>
      <w:numFmt w:val="decimal"/>
      <w:lvlText w:val="%1"/>
      <w:lvlJc w:val="left"/>
      <w:pPr>
        <w:ind w:left="947" w:hanging="529"/>
        <w:jc w:val="left"/>
      </w:pPr>
      <w:rPr>
        <w:rFonts w:hint="default"/>
        <w:lang w:val="zh-CN" w:eastAsia="zh-CN" w:bidi="zh-CN"/>
      </w:rPr>
    </w:lvl>
    <w:lvl w:ilvl="1">
      <w:start w:val="2"/>
      <w:numFmt w:val="decimal"/>
      <w:lvlText w:val="%1.%2"/>
      <w:lvlJc w:val="left"/>
      <w:pPr>
        <w:ind w:left="947" w:hanging="529"/>
        <w:jc w:val="left"/>
      </w:pPr>
      <w:rPr>
        <w:rFonts w:hint="default"/>
        <w:lang w:val="zh-CN" w:eastAsia="zh-CN" w:bidi="zh-CN"/>
      </w:rPr>
    </w:lvl>
    <w:lvl w:ilvl="2">
      <w:start w:val="9"/>
      <w:numFmt w:val="decimal"/>
      <w:lvlText w:val="%1.%2.%3"/>
      <w:lvlJc w:val="left"/>
      <w:pPr>
        <w:ind w:left="947" w:hanging="529"/>
        <w:jc w:val="right"/>
      </w:pPr>
      <w:rPr>
        <w:rFonts w:hint="default"/>
        <w:w w:val="100"/>
        <w:lang w:val="zh-CN" w:eastAsia="zh-CN" w:bidi="zh-CN"/>
      </w:rPr>
    </w:lvl>
    <w:lvl w:ilvl="3">
      <w:start w:val="0"/>
      <w:numFmt w:val="bullet"/>
      <w:lvlText w:val="•"/>
      <w:lvlJc w:val="left"/>
      <w:pPr>
        <w:ind w:left="3851" w:hanging="529"/>
      </w:pPr>
      <w:rPr>
        <w:rFonts w:hint="default"/>
        <w:lang w:val="zh-CN" w:eastAsia="zh-CN" w:bidi="zh-CN"/>
      </w:rPr>
    </w:lvl>
    <w:lvl w:ilvl="4">
      <w:start w:val="0"/>
      <w:numFmt w:val="bullet"/>
      <w:lvlText w:val="•"/>
      <w:lvlJc w:val="left"/>
      <w:pPr>
        <w:ind w:left="4822" w:hanging="529"/>
      </w:pPr>
      <w:rPr>
        <w:rFonts w:hint="default"/>
        <w:lang w:val="zh-CN" w:eastAsia="zh-CN" w:bidi="zh-CN"/>
      </w:rPr>
    </w:lvl>
    <w:lvl w:ilvl="5">
      <w:start w:val="0"/>
      <w:numFmt w:val="bullet"/>
      <w:lvlText w:val="•"/>
      <w:lvlJc w:val="left"/>
      <w:pPr>
        <w:ind w:left="5793" w:hanging="529"/>
      </w:pPr>
      <w:rPr>
        <w:rFonts w:hint="default"/>
        <w:lang w:val="zh-CN" w:eastAsia="zh-CN" w:bidi="zh-CN"/>
      </w:rPr>
    </w:lvl>
    <w:lvl w:ilvl="6">
      <w:start w:val="0"/>
      <w:numFmt w:val="bullet"/>
      <w:lvlText w:val="•"/>
      <w:lvlJc w:val="left"/>
      <w:pPr>
        <w:ind w:left="6763" w:hanging="529"/>
      </w:pPr>
      <w:rPr>
        <w:rFonts w:hint="default"/>
        <w:lang w:val="zh-CN" w:eastAsia="zh-CN" w:bidi="zh-CN"/>
      </w:rPr>
    </w:lvl>
    <w:lvl w:ilvl="7">
      <w:start w:val="0"/>
      <w:numFmt w:val="bullet"/>
      <w:lvlText w:val="•"/>
      <w:lvlJc w:val="left"/>
      <w:pPr>
        <w:ind w:left="7734" w:hanging="529"/>
      </w:pPr>
      <w:rPr>
        <w:rFonts w:hint="default"/>
        <w:lang w:val="zh-CN" w:eastAsia="zh-CN" w:bidi="zh-CN"/>
      </w:rPr>
    </w:lvl>
    <w:lvl w:ilvl="8">
      <w:start w:val="0"/>
      <w:numFmt w:val="bullet"/>
      <w:lvlText w:val="•"/>
      <w:lvlJc w:val="left"/>
      <w:pPr>
        <w:ind w:left="8705" w:hanging="529"/>
      </w:pPr>
      <w:rPr>
        <w:rFonts w:hint="default"/>
        <w:lang w:val="zh-CN" w:eastAsia="zh-CN" w:bidi="zh-CN"/>
      </w:rPr>
    </w:lvl>
  </w:abstractNum>
  <w:abstractNum w:abstractNumId="63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3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30">
    <w:multiLevelType w:val="hybridMultilevel"/>
    <w:lvl w:ilvl="0">
      <w:start w:val="6"/>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62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8">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62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2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1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1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1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1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15">
    <w:multiLevelType w:val="hybridMultilevel"/>
    <w:lvl w:ilvl="0">
      <w:start w:val="1"/>
      <w:numFmt w:val="decimal"/>
      <w:lvlText w:val="（%1）"/>
      <w:lvlJc w:val="left"/>
      <w:pPr>
        <w:ind w:left="418" w:hanging="529"/>
        <w:jc w:val="left"/>
      </w:pPr>
      <w:rPr>
        <w:rFonts w:hint="default" w:ascii="宋体" w:hAnsi="宋体" w:eastAsia="宋体" w:cs="宋体"/>
        <w:spacing w:val="-36"/>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14">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613">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612">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11">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610">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609">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08">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60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606">
    <w:multiLevelType w:val="hybridMultilevel"/>
    <w:lvl w:ilvl="0">
      <w:start w:val="1"/>
      <w:numFmt w:val="decimal"/>
      <w:lvlText w:val="（%1）"/>
      <w:lvlJc w:val="left"/>
      <w:pPr>
        <w:ind w:left="418" w:hanging="527"/>
        <w:jc w:val="left"/>
      </w:pPr>
      <w:rPr>
        <w:rFonts w:hint="default" w:ascii="宋体" w:hAnsi="宋体" w:eastAsia="宋体" w:cs="宋体"/>
        <w:spacing w:val="-68"/>
        <w:w w:val="100"/>
        <w:sz w:val="19"/>
        <w:szCs w:val="19"/>
        <w:lang w:val="zh-CN" w:eastAsia="zh-CN" w:bidi="zh-CN"/>
      </w:rPr>
    </w:lvl>
    <w:lvl w:ilvl="1">
      <w:start w:val="0"/>
      <w:numFmt w:val="bullet"/>
      <w:lvlText w:val="•"/>
      <w:lvlJc w:val="left"/>
      <w:pPr>
        <w:ind w:left="1442" w:hanging="527"/>
      </w:pPr>
      <w:rPr>
        <w:rFonts w:hint="default"/>
        <w:lang w:val="zh-CN" w:eastAsia="zh-CN" w:bidi="zh-CN"/>
      </w:rPr>
    </w:lvl>
    <w:lvl w:ilvl="2">
      <w:start w:val="0"/>
      <w:numFmt w:val="bullet"/>
      <w:lvlText w:val="•"/>
      <w:lvlJc w:val="left"/>
      <w:pPr>
        <w:ind w:left="2465" w:hanging="527"/>
      </w:pPr>
      <w:rPr>
        <w:rFonts w:hint="default"/>
        <w:lang w:val="zh-CN" w:eastAsia="zh-CN" w:bidi="zh-CN"/>
      </w:rPr>
    </w:lvl>
    <w:lvl w:ilvl="3">
      <w:start w:val="0"/>
      <w:numFmt w:val="bullet"/>
      <w:lvlText w:val="•"/>
      <w:lvlJc w:val="left"/>
      <w:pPr>
        <w:ind w:left="3487" w:hanging="527"/>
      </w:pPr>
      <w:rPr>
        <w:rFonts w:hint="default"/>
        <w:lang w:val="zh-CN" w:eastAsia="zh-CN" w:bidi="zh-CN"/>
      </w:rPr>
    </w:lvl>
    <w:lvl w:ilvl="4">
      <w:start w:val="0"/>
      <w:numFmt w:val="bullet"/>
      <w:lvlText w:val="•"/>
      <w:lvlJc w:val="left"/>
      <w:pPr>
        <w:ind w:left="4510" w:hanging="527"/>
      </w:pPr>
      <w:rPr>
        <w:rFonts w:hint="default"/>
        <w:lang w:val="zh-CN" w:eastAsia="zh-CN" w:bidi="zh-CN"/>
      </w:rPr>
    </w:lvl>
    <w:lvl w:ilvl="5">
      <w:start w:val="0"/>
      <w:numFmt w:val="bullet"/>
      <w:lvlText w:val="•"/>
      <w:lvlJc w:val="left"/>
      <w:pPr>
        <w:ind w:left="5533" w:hanging="527"/>
      </w:pPr>
      <w:rPr>
        <w:rFonts w:hint="default"/>
        <w:lang w:val="zh-CN" w:eastAsia="zh-CN" w:bidi="zh-CN"/>
      </w:rPr>
    </w:lvl>
    <w:lvl w:ilvl="6">
      <w:start w:val="0"/>
      <w:numFmt w:val="bullet"/>
      <w:lvlText w:val="•"/>
      <w:lvlJc w:val="left"/>
      <w:pPr>
        <w:ind w:left="6555" w:hanging="527"/>
      </w:pPr>
      <w:rPr>
        <w:rFonts w:hint="default"/>
        <w:lang w:val="zh-CN" w:eastAsia="zh-CN" w:bidi="zh-CN"/>
      </w:rPr>
    </w:lvl>
    <w:lvl w:ilvl="7">
      <w:start w:val="0"/>
      <w:numFmt w:val="bullet"/>
      <w:lvlText w:val="•"/>
      <w:lvlJc w:val="left"/>
      <w:pPr>
        <w:ind w:left="7578" w:hanging="527"/>
      </w:pPr>
      <w:rPr>
        <w:rFonts w:hint="default"/>
        <w:lang w:val="zh-CN" w:eastAsia="zh-CN" w:bidi="zh-CN"/>
      </w:rPr>
    </w:lvl>
    <w:lvl w:ilvl="8">
      <w:start w:val="0"/>
      <w:numFmt w:val="bullet"/>
      <w:lvlText w:val="•"/>
      <w:lvlJc w:val="left"/>
      <w:pPr>
        <w:ind w:left="8601" w:hanging="527"/>
      </w:pPr>
      <w:rPr>
        <w:rFonts w:hint="default"/>
        <w:lang w:val="zh-CN" w:eastAsia="zh-CN" w:bidi="zh-CN"/>
      </w:rPr>
    </w:lvl>
  </w:abstractNum>
  <w:abstractNum w:abstractNumId="605">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604">
    <w:multiLevelType w:val="hybridMultilevel"/>
    <w:lvl w:ilvl="0">
      <w:start w:val="1"/>
      <w:numFmt w:val="decimal"/>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603">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602">
    <w:multiLevelType w:val="hybridMultilevel"/>
    <w:lvl w:ilvl="0">
      <w:start w:val="4"/>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98"/>
        <w:jc w:val="left"/>
      </w:pPr>
      <w:rPr>
        <w:rFonts w:hint="default" w:ascii="宋体" w:hAnsi="宋体" w:eastAsia="宋体" w:cs="宋体"/>
        <w:b/>
        <w:bCs/>
        <w:w w:val="99"/>
        <w:sz w:val="21"/>
        <w:szCs w:val="21"/>
        <w:lang w:val="zh-CN" w:eastAsia="zh-CN" w:bidi="zh-CN"/>
      </w:rPr>
    </w:lvl>
    <w:lvl w:ilvl="3">
      <w:start w:val="0"/>
      <w:numFmt w:val="bullet"/>
      <w:lvlText w:val="•"/>
      <w:lvlJc w:val="left"/>
      <w:pPr>
        <w:ind w:left="1380" w:hanging="598"/>
      </w:pPr>
      <w:rPr>
        <w:rFonts w:hint="default"/>
        <w:lang w:val="zh-CN" w:eastAsia="zh-CN" w:bidi="zh-CN"/>
      </w:rPr>
    </w:lvl>
    <w:lvl w:ilvl="4">
      <w:start w:val="0"/>
      <w:numFmt w:val="bullet"/>
      <w:lvlText w:val="•"/>
      <w:lvlJc w:val="left"/>
      <w:pPr>
        <w:ind w:left="2703" w:hanging="598"/>
      </w:pPr>
      <w:rPr>
        <w:rFonts w:hint="default"/>
        <w:lang w:val="zh-CN" w:eastAsia="zh-CN" w:bidi="zh-CN"/>
      </w:rPr>
    </w:lvl>
    <w:lvl w:ilvl="5">
      <w:start w:val="0"/>
      <w:numFmt w:val="bullet"/>
      <w:lvlText w:val="•"/>
      <w:lvlJc w:val="left"/>
      <w:pPr>
        <w:ind w:left="4027" w:hanging="598"/>
      </w:pPr>
      <w:rPr>
        <w:rFonts w:hint="default"/>
        <w:lang w:val="zh-CN" w:eastAsia="zh-CN" w:bidi="zh-CN"/>
      </w:rPr>
    </w:lvl>
    <w:lvl w:ilvl="6">
      <w:start w:val="0"/>
      <w:numFmt w:val="bullet"/>
      <w:lvlText w:val="•"/>
      <w:lvlJc w:val="left"/>
      <w:pPr>
        <w:ind w:left="5351" w:hanging="598"/>
      </w:pPr>
      <w:rPr>
        <w:rFonts w:hint="default"/>
        <w:lang w:val="zh-CN" w:eastAsia="zh-CN" w:bidi="zh-CN"/>
      </w:rPr>
    </w:lvl>
    <w:lvl w:ilvl="7">
      <w:start w:val="0"/>
      <w:numFmt w:val="bullet"/>
      <w:lvlText w:val="•"/>
      <w:lvlJc w:val="left"/>
      <w:pPr>
        <w:ind w:left="6675" w:hanging="598"/>
      </w:pPr>
      <w:rPr>
        <w:rFonts w:hint="default"/>
        <w:lang w:val="zh-CN" w:eastAsia="zh-CN" w:bidi="zh-CN"/>
      </w:rPr>
    </w:lvl>
    <w:lvl w:ilvl="8">
      <w:start w:val="0"/>
      <w:numFmt w:val="bullet"/>
      <w:lvlText w:val="•"/>
      <w:lvlJc w:val="left"/>
      <w:pPr>
        <w:ind w:left="7998" w:hanging="598"/>
      </w:pPr>
      <w:rPr>
        <w:rFonts w:hint="default"/>
        <w:lang w:val="zh-CN" w:eastAsia="zh-CN" w:bidi="zh-CN"/>
      </w:rPr>
    </w:lvl>
  </w:abstractNum>
  <w:abstractNum w:abstractNumId="601">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600">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599">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598">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97">
    <w:multiLevelType w:val="hybridMultilevel"/>
    <w:lvl w:ilvl="0">
      <w:start w:val="4"/>
      <w:numFmt w:val="decimal"/>
      <w:lvlText w:val="%1"/>
      <w:lvlJc w:val="left"/>
      <w:pPr>
        <w:ind w:left="1423" w:hanging="584"/>
        <w:jc w:val="left"/>
      </w:pPr>
      <w:rPr>
        <w:rFonts w:hint="default"/>
        <w:lang w:val="zh-CN" w:eastAsia="zh-CN" w:bidi="zh-CN"/>
      </w:rPr>
    </w:lvl>
    <w:lvl w:ilvl="1">
      <w:start w:val="2"/>
      <w:numFmt w:val="decimal"/>
      <w:lvlText w:val="%1.%2"/>
      <w:lvlJc w:val="left"/>
      <w:pPr>
        <w:ind w:left="1423" w:hanging="584"/>
        <w:jc w:val="left"/>
      </w:pPr>
      <w:rPr>
        <w:rFonts w:hint="default"/>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4187" w:hanging="584"/>
      </w:pPr>
      <w:rPr>
        <w:rFonts w:hint="default"/>
        <w:lang w:val="zh-CN" w:eastAsia="zh-CN" w:bidi="zh-CN"/>
      </w:rPr>
    </w:lvl>
    <w:lvl w:ilvl="4">
      <w:start w:val="0"/>
      <w:numFmt w:val="bullet"/>
      <w:lvlText w:val="•"/>
      <w:lvlJc w:val="left"/>
      <w:pPr>
        <w:ind w:left="5110" w:hanging="584"/>
      </w:pPr>
      <w:rPr>
        <w:rFonts w:hint="default"/>
        <w:lang w:val="zh-CN" w:eastAsia="zh-CN" w:bidi="zh-CN"/>
      </w:rPr>
    </w:lvl>
    <w:lvl w:ilvl="5">
      <w:start w:val="0"/>
      <w:numFmt w:val="bullet"/>
      <w:lvlText w:val="•"/>
      <w:lvlJc w:val="left"/>
      <w:pPr>
        <w:ind w:left="6033" w:hanging="584"/>
      </w:pPr>
      <w:rPr>
        <w:rFonts w:hint="default"/>
        <w:lang w:val="zh-CN" w:eastAsia="zh-CN" w:bidi="zh-CN"/>
      </w:rPr>
    </w:lvl>
    <w:lvl w:ilvl="6">
      <w:start w:val="0"/>
      <w:numFmt w:val="bullet"/>
      <w:lvlText w:val="•"/>
      <w:lvlJc w:val="left"/>
      <w:pPr>
        <w:ind w:left="6955" w:hanging="584"/>
      </w:pPr>
      <w:rPr>
        <w:rFonts w:hint="default"/>
        <w:lang w:val="zh-CN" w:eastAsia="zh-CN" w:bidi="zh-CN"/>
      </w:rPr>
    </w:lvl>
    <w:lvl w:ilvl="7">
      <w:start w:val="0"/>
      <w:numFmt w:val="bullet"/>
      <w:lvlText w:val="•"/>
      <w:lvlJc w:val="left"/>
      <w:pPr>
        <w:ind w:left="7878" w:hanging="584"/>
      </w:pPr>
      <w:rPr>
        <w:rFonts w:hint="default"/>
        <w:lang w:val="zh-CN" w:eastAsia="zh-CN" w:bidi="zh-CN"/>
      </w:rPr>
    </w:lvl>
    <w:lvl w:ilvl="8">
      <w:start w:val="0"/>
      <w:numFmt w:val="bullet"/>
      <w:lvlText w:val="•"/>
      <w:lvlJc w:val="left"/>
      <w:pPr>
        <w:ind w:left="8801" w:hanging="584"/>
      </w:pPr>
      <w:rPr>
        <w:rFonts w:hint="default"/>
        <w:lang w:val="zh-CN" w:eastAsia="zh-CN" w:bidi="zh-CN"/>
      </w:rPr>
    </w:lvl>
  </w:abstractNum>
  <w:abstractNum w:abstractNumId="596">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98"/>
        <w:jc w:val="left"/>
      </w:pPr>
      <w:rPr>
        <w:rFonts w:hint="default" w:ascii="宋体" w:hAnsi="宋体" w:eastAsia="宋体" w:cs="宋体"/>
        <w:b/>
        <w:bCs/>
        <w:w w:val="99"/>
        <w:sz w:val="21"/>
        <w:szCs w:val="21"/>
        <w:lang w:val="zh-CN" w:eastAsia="zh-CN" w:bidi="zh-CN"/>
      </w:rPr>
    </w:lvl>
    <w:lvl w:ilvl="3">
      <w:start w:val="0"/>
      <w:numFmt w:val="bullet"/>
      <w:lvlText w:val="•"/>
      <w:lvlJc w:val="left"/>
      <w:pPr>
        <w:ind w:left="3268" w:hanging="598"/>
      </w:pPr>
      <w:rPr>
        <w:rFonts w:hint="default"/>
        <w:lang w:val="zh-CN" w:eastAsia="zh-CN" w:bidi="zh-CN"/>
      </w:rPr>
    </w:lvl>
    <w:lvl w:ilvl="4">
      <w:start w:val="0"/>
      <w:numFmt w:val="bullet"/>
      <w:lvlText w:val="•"/>
      <w:lvlJc w:val="left"/>
      <w:pPr>
        <w:ind w:left="4322" w:hanging="598"/>
      </w:pPr>
      <w:rPr>
        <w:rFonts w:hint="default"/>
        <w:lang w:val="zh-CN" w:eastAsia="zh-CN" w:bidi="zh-CN"/>
      </w:rPr>
    </w:lvl>
    <w:lvl w:ilvl="5">
      <w:start w:val="0"/>
      <w:numFmt w:val="bullet"/>
      <w:lvlText w:val="•"/>
      <w:lvlJc w:val="left"/>
      <w:pPr>
        <w:ind w:left="5376" w:hanging="598"/>
      </w:pPr>
      <w:rPr>
        <w:rFonts w:hint="default"/>
        <w:lang w:val="zh-CN" w:eastAsia="zh-CN" w:bidi="zh-CN"/>
      </w:rPr>
    </w:lvl>
    <w:lvl w:ilvl="6">
      <w:start w:val="0"/>
      <w:numFmt w:val="bullet"/>
      <w:lvlText w:val="•"/>
      <w:lvlJc w:val="left"/>
      <w:pPr>
        <w:ind w:left="6430" w:hanging="598"/>
      </w:pPr>
      <w:rPr>
        <w:rFonts w:hint="default"/>
        <w:lang w:val="zh-CN" w:eastAsia="zh-CN" w:bidi="zh-CN"/>
      </w:rPr>
    </w:lvl>
    <w:lvl w:ilvl="7">
      <w:start w:val="0"/>
      <w:numFmt w:val="bullet"/>
      <w:lvlText w:val="•"/>
      <w:lvlJc w:val="left"/>
      <w:pPr>
        <w:ind w:left="7484" w:hanging="598"/>
      </w:pPr>
      <w:rPr>
        <w:rFonts w:hint="default"/>
        <w:lang w:val="zh-CN" w:eastAsia="zh-CN" w:bidi="zh-CN"/>
      </w:rPr>
    </w:lvl>
    <w:lvl w:ilvl="8">
      <w:start w:val="0"/>
      <w:numFmt w:val="bullet"/>
      <w:lvlText w:val="•"/>
      <w:lvlJc w:val="left"/>
      <w:pPr>
        <w:ind w:left="8538" w:hanging="598"/>
      </w:pPr>
      <w:rPr>
        <w:rFonts w:hint="default"/>
        <w:lang w:val="zh-CN" w:eastAsia="zh-CN" w:bidi="zh-CN"/>
      </w:rPr>
    </w:lvl>
  </w:abstractNum>
  <w:abstractNum w:abstractNumId="59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94">
    <w:multiLevelType w:val="hybridMultilevel"/>
    <w:lvl w:ilvl="0">
      <w:start w:val="3"/>
      <w:numFmt w:val="decimal"/>
      <w:lvlText w:val="%1"/>
      <w:lvlJc w:val="left"/>
      <w:pPr>
        <w:ind w:left="1423" w:hanging="584"/>
        <w:jc w:val="left"/>
      </w:pPr>
      <w:rPr>
        <w:rFonts w:hint="default"/>
        <w:lang w:val="zh-CN" w:eastAsia="zh-CN" w:bidi="zh-CN"/>
      </w:rPr>
    </w:lvl>
    <w:lvl w:ilvl="1">
      <w:start w:val="4"/>
      <w:numFmt w:val="decimal"/>
      <w:lvlText w:val="%1.%2"/>
      <w:lvlJc w:val="left"/>
      <w:pPr>
        <w:ind w:left="1423" w:hanging="584"/>
        <w:jc w:val="left"/>
      </w:pPr>
      <w:rPr>
        <w:rFonts w:hint="default"/>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4187" w:hanging="584"/>
      </w:pPr>
      <w:rPr>
        <w:rFonts w:hint="default"/>
        <w:lang w:val="zh-CN" w:eastAsia="zh-CN" w:bidi="zh-CN"/>
      </w:rPr>
    </w:lvl>
    <w:lvl w:ilvl="4">
      <w:start w:val="0"/>
      <w:numFmt w:val="bullet"/>
      <w:lvlText w:val="•"/>
      <w:lvlJc w:val="left"/>
      <w:pPr>
        <w:ind w:left="5110" w:hanging="584"/>
      </w:pPr>
      <w:rPr>
        <w:rFonts w:hint="default"/>
        <w:lang w:val="zh-CN" w:eastAsia="zh-CN" w:bidi="zh-CN"/>
      </w:rPr>
    </w:lvl>
    <w:lvl w:ilvl="5">
      <w:start w:val="0"/>
      <w:numFmt w:val="bullet"/>
      <w:lvlText w:val="•"/>
      <w:lvlJc w:val="left"/>
      <w:pPr>
        <w:ind w:left="6033" w:hanging="584"/>
      </w:pPr>
      <w:rPr>
        <w:rFonts w:hint="default"/>
        <w:lang w:val="zh-CN" w:eastAsia="zh-CN" w:bidi="zh-CN"/>
      </w:rPr>
    </w:lvl>
    <w:lvl w:ilvl="6">
      <w:start w:val="0"/>
      <w:numFmt w:val="bullet"/>
      <w:lvlText w:val="•"/>
      <w:lvlJc w:val="left"/>
      <w:pPr>
        <w:ind w:left="6955" w:hanging="584"/>
      </w:pPr>
      <w:rPr>
        <w:rFonts w:hint="default"/>
        <w:lang w:val="zh-CN" w:eastAsia="zh-CN" w:bidi="zh-CN"/>
      </w:rPr>
    </w:lvl>
    <w:lvl w:ilvl="7">
      <w:start w:val="0"/>
      <w:numFmt w:val="bullet"/>
      <w:lvlText w:val="•"/>
      <w:lvlJc w:val="left"/>
      <w:pPr>
        <w:ind w:left="7878" w:hanging="584"/>
      </w:pPr>
      <w:rPr>
        <w:rFonts w:hint="default"/>
        <w:lang w:val="zh-CN" w:eastAsia="zh-CN" w:bidi="zh-CN"/>
      </w:rPr>
    </w:lvl>
    <w:lvl w:ilvl="8">
      <w:start w:val="0"/>
      <w:numFmt w:val="bullet"/>
      <w:lvlText w:val="•"/>
      <w:lvlJc w:val="left"/>
      <w:pPr>
        <w:ind w:left="8801" w:hanging="584"/>
      </w:pPr>
      <w:rPr>
        <w:rFonts w:hint="default"/>
        <w:lang w:val="zh-CN" w:eastAsia="zh-CN" w:bidi="zh-CN"/>
      </w:rPr>
    </w:lvl>
  </w:abstractNum>
  <w:abstractNum w:abstractNumId="59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92">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91">
    <w:multiLevelType w:val="hybridMultilevel"/>
    <w:lvl w:ilvl="0">
      <w:start w:val="1"/>
      <w:numFmt w:val="decimal"/>
      <w:lvlText w:val="（%1）"/>
      <w:lvlJc w:val="left"/>
      <w:pPr>
        <w:ind w:left="418" w:hanging="532"/>
        <w:jc w:val="left"/>
      </w:pPr>
      <w:rPr>
        <w:rFonts w:hint="default" w:ascii="宋体" w:hAnsi="宋体" w:eastAsia="宋体" w:cs="宋体"/>
        <w:spacing w:val="0"/>
        <w:w w:val="100"/>
        <w:sz w:val="19"/>
        <w:szCs w:val="19"/>
        <w:lang w:val="zh-CN" w:eastAsia="zh-CN" w:bidi="zh-CN"/>
      </w:rPr>
    </w:lvl>
    <w:lvl w:ilvl="1">
      <w:start w:val="0"/>
      <w:numFmt w:val="bullet"/>
      <w:lvlText w:val="•"/>
      <w:lvlJc w:val="left"/>
      <w:pPr>
        <w:ind w:left="1442" w:hanging="532"/>
      </w:pPr>
      <w:rPr>
        <w:rFonts w:hint="default"/>
        <w:lang w:val="zh-CN" w:eastAsia="zh-CN" w:bidi="zh-CN"/>
      </w:rPr>
    </w:lvl>
    <w:lvl w:ilvl="2">
      <w:start w:val="0"/>
      <w:numFmt w:val="bullet"/>
      <w:lvlText w:val="•"/>
      <w:lvlJc w:val="left"/>
      <w:pPr>
        <w:ind w:left="2465" w:hanging="532"/>
      </w:pPr>
      <w:rPr>
        <w:rFonts w:hint="default"/>
        <w:lang w:val="zh-CN" w:eastAsia="zh-CN" w:bidi="zh-CN"/>
      </w:rPr>
    </w:lvl>
    <w:lvl w:ilvl="3">
      <w:start w:val="0"/>
      <w:numFmt w:val="bullet"/>
      <w:lvlText w:val="•"/>
      <w:lvlJc w:val="left"/>
      <w:pPr>
        <w:ind w:left="3487" w:hanging="532"/>
      </w:pPr>
      <w:rPr>
        <w:rFonts w:hint="default"/>
        <w:lang w:val="zh-CN" w:eastAsia="zh-CN" w:bidi="zh-CN"/>
      </w:rPr>
    </w:lvl>
    <w:lvl w:ilvl="4">
      <w:start w:val="0"/>
      <w:numFmt w:val="bullet"/>
      <w:lvlText w:val="•"/>
      <w:lvlJc w:val="left"/>
      <w:pPr>
        <w:ind w:left="4510" w:hanging="532"/>
      </w:pPr>
      <w:rPr>
        <w:rFonts w:hint="default"/>
        <w:lang w:val="zh-CN" w:eastAsia="zh-CN" w:bidi="zh-CN"/>
      </w:rPr>
    </w:lvl>
    <w:lvl w:ilvl="5">
      <w:start w:val="0"/>
      <w:numFmt w:val="bullet"/>
      <w:lvlText w:val="•"/>
      <w:lvlJc w:val="left"/>
      <w:pPr>
        <w:ind w:left="5533" w:hanging="532"/>
      </w:pPr>
      <w:rPr>
        <w:rFonts w:hint="default"/>
        <w:lang w:val="zh-CN" w:eastAsia="zh-CN" w:bidi="zh-CN"/>
      </w:rPr>
    </w:lvl>
    <w:lvl w:ilvl="6">
      <w:start w:val="0"/>
      <w:numFmt w:val="bullet"/>
      <w:lvlText w:val="•"/>
      <w:lvlJc w:val="left"/>
      <w:pPr>
        <w:ind w:left="6555" w:hanging="532"/>
      </w:pPr>
      <w:rPr>
        <w:rFonts w:hint="default"/>
        <w:lang w:val="zh-CN" w:eastAsia="zh-CN" w:bidi="zh-CN"/>
      </w:rPr>
    </w:lvl>
    <w:lvl w:ilvl="7">
      <w:start w:val="0"/>
      <w:numFmt w:val="bullet"/>
      <w:lvlText w:val="•"/>
      <w:lvlJc w:val="left"/>
      <w:pPr>
        <w:ind w:left="7578" w:hanging="532"/>
      </w:pPr>
      <w:rPr>
        <w:rFonts w:hint="default"/>
        <w:lang w:val="zh-CN" w:eastAsia="zh-CN" w:bidi="zh-CN"/>
      </w:rPr>
    </w:lvl>
    <w:lvl w:ilvl="8">
      <w:start w:val="0"/>
      <w:numFmt w:val="bullet"/>
      <w:lvlText w:val="•"/>
      <w:lvlJc w:val="left"/>
      <w:pPr>
        <w:ind w:left="8601" w:hanging="532"/>
      </w:pPr>
      <w:rPr>
        <w:rFonts w:hint="default"/>
        <w:lang w:val="zh-CN" w:eastAsia="zh-CN" w:bidi="zh-CN"/>
      </w:rPr>
    </w:lvl>
  </w:abstractNum>
  <w:abstractNum w:abstractNumId="59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89">
    <w:multiLevelType w:val="hybridMultilevel"/>
    <w:lvl w:ilvl="0">
      <w:start w:val="1"/>
      <w:numFmt w:val="decimal"/>
      <w:lvlText w:val="（%1）"/>
      <w:lvlJc w:val="left"/>
      <w:pPr>
        <w:ind w:left="418" w:hanging="527"/>
        <w:jc w:val="left"/>
      </w:pPr>
      <w:rPr>
        <w:rFonts w:hint="default" w:ascii="宋体" w:hAnsi="宋体" w:eastAsia="宋体" w:cs="宋体"/>
        <w:spacing w:val="-27"/>
        <w:w w:val="100"/>
        <w:sz w:val="19"/>
        <w:szCs w:val="19"/>
        <w:lang w:val="zh-CN" w:eastAsia="zh-CN" w:bidi="zh-CN"/>
      </w:rPr>
    </w:lvl>
    <w:lvl w:ilvl="1">
      <w:start w:val="0"/>
      <w:numFmt w:val="bullet"/>
      <w:lvlText w:val="•"/>
      <w:lvlJc w:val="left"/>
      <w:pPr>
        <w:ind w:left="1442" w:hanging="527"/>
      </w:pPr>
      <w:rPr>
        <w:rFonts w:hint="default"/>
        <w:lang w:val="zh-CN" w:eastAsia="zh-CN" w:bidi="zh-CN"/>
      </w:rPr>
    </w:lvl>
    <w:lvl w:ilvl="2">
      <w:start w:val="0"/>
      <w:numFmt w:val="bullet"/>
      <w:lvlText w:val="•"/>
      <w:lvlJc w:val="left"/>
      <w:pPr>
        <w:ind w:left="2465" w:hanging="527"/>
      </w:pPr>
      <w:rPr>
        <w:rFonts w:hint="default"/>
        <w:lang w:val="zh-CN" w:eastAsia="zh-CN" w:bidi="zh-CN"/>
      </w:rPr>
    </w:lvl>
    <w:lvl w:ilvl="3">
      <w:start w:val="0"/>
      <w:numFmt w:val="bullet"/>
      <w:lvlText w:val="•"/>
      <w:lvlJc w:val="left"/>
      <w:pPr>
        <w:ind w:left="3487" w:hanging="527"/>
      </w:pPr>
      <w:rPr>
        <w:rFonts w:hint="default"/>
        <w:lang w:val="zh-CN" w:eastAsia="zh-CN" w:bidi="zh-CN"/>
      </w:rPr>
    </w:lvl>
    <w:lvl w:ilvl="4">
      <w:start w:val="0"/>
      <w:numFmt w:val="bullet"/>
      <w:lvlText w:val="•"/>
      <w:lvlJc w:val="left"/>
      <w:pPr>
        <w:ind w:left="4510" w:hanging="527"/>
      </w:pPr>
      <w:rPr>
        <w:rFonts w:hint="default"/>
        <w:lang w:val="zh-CN" w:eastAsia="zh-CN" w:bidi="zh-CN"/>
      </w:rPr>
    </w:lvl>
    <w:lvl w:ilvl="5">
      <w:start w:val="0"/>
      <w:numFmt w:val="bullet"/>
      <w:lvlText w:val="•"/>
      <w:lvlJc w:val="left"/>
      <w:pPr>
        <w:ind w:left="5533" w:hanging="527"/>
      </w:pPr>
      <w:rPr>
        <w:rFonts w:hint="default"/>
        <w:lang w:val="zh-CN" w:eastAsia="zh-CN" w:bidi="zh-CN"/>
      </w:rPr>
    </w:lvl>
    <w:lvl w:ilvl="6">
      <w:start w:val="0"/>
      <w:numFmt w:val="bullet"/>
      <w:lvlText w:val="•"/>
      <w:lvlJc w:val="left"/>
      <w:pPr>
        <w:ind w:left="6555" w:hanging="527"/>
      </w:pPr>
      <w:rPr>
        <w:rFonts w:hint="default"/>
        <w:lang w:val="zh-CN" w:eastAsia="zh-CN" w:bidi="zh-CN"/>
      </w:rPr>
    </w:lvl>
    <w:lvl w:ilvl="7">
      <w:start w:val="0"/>
      <w:numFmt w:val="bullet"/>
      <w:lvlText w:val="•"/>
      <w:lvlJc w:val="left"/>
      <w:pPr>
        <w:ind w:left="7578" w:hanging="527"/>
      </w:pPr>
      <w:rPr>
        <w:rFonts w:hint="default"/>
        <w:lang w:val="zh-CN" w:eastAsia="zh-CN" w:bidi="zh-CN"/>
      </w:rPr>
    </w:lvl>
    <w:lvl w:ilvl="8">
      <w:start w:val="0"/>
      <w:numFmt w:val="bullet"/>
      <w:lvlText w:val="•"/>
      <w:lvlJc w:val="left"/>
      <w:pPr>
        <w:ind w:left="8601" w:hanging="527"/>
      </w:pPr>
      <w:rPr>
        <w:rFonts w:hint="default"/>
        <w:lang w:val="zh-CN" w:eastAsia="zh-CN" w:bidi="zh-CN"/>
      </w:rPr>
    </w:lvl>
  </w:abstractNum>
  <w:abstractNum w:abstractNumId="588">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8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86">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1"/>
      <w:numFmt w:val="decimal"/>
      <w:lvlText w:val="%1.%2.%3"/>
      <w:lvlJc w:val="left"/>
      <w:pPr>
        <w:ind w:left="418" w:hanging="598"/>
        <w:jc w:val="left"/>
      </w:pPr>
      <w:rPr>
        <w:rFonts w:hint="default" w:ascii="宋体" w:hAnsi="宋体" w:eastAsia="宋体" w:cs="宋体"/>
        <w:b/>
        <w:bCs/>
        <w:w w:val="99"/>
        <w:sz w:val="21"/>
        <w:szCs w:val="21"/>
        <w:lang w:val="zh-CN" w:eastAsia="zh-CN" w:bidi="zh-CN"/>
      </w:rPr>
    </w:lvl>
    <w:lvl w:ilvl="3">
      <w:start w:val="0"/>
      <w:numFmt w:val="bullet"/>
      <w:lvlText w:val="•"/>
      <w:lvlJc w:val="left"/>
      <w:pPr>
        <w:ind w:left="2520" w:hanging="598"/>
      </w:pPr>
      <w:rPr>
        <w:rFonts w:hint="default"/>
        <w:lang w:val="zh-CN" w:eastAsia="zh-CN" w:bidi="zh-CN"/>
      </w:rPr>
    </w:lvl>
    <w:lvl w:ilvl="4">
      <w:start w:val="0"/>
      <w:numFmt w:val="bullet"/>
      <w:lvlText w:val="•"/>
      <w:lvlJc w:val="left"/>
      <w:pPr>
        <w:ind w:left="3681" w:hanging="598"/>
      </w:pPr>
      <w:rPr>
        <w:rFonts w:hint="default"/>
        <w:lang w:val="zh-CN" w:eastAsia="zh-CN" w:bidi="zh-CN"/>
      </w:rPr>
    </w:lvl>
    <w:lvl w:ilvl="5">
      <w:start w:val="0"/>
      <w:numFmt w:val="bullet"/>
      <w:lvlText w:val="•"/>
      <w:lvlJc w:val="left"/>
      <w:pPr>
        <w:ind w:left="4842" w:hanging="598"/>
      </w:pPr>
      <w:rPr>
        <w:rFonts w:hint="default"/>
        <w:lang w:val="zh-CN" w:eastAsia="zh-CN" w:bidi="zh-CN"/>
      </w:rPr>
    </w:lvl>
    <w:lvl w:ilvl="6">
      <w:start w:val="0"/>
      <w:numFmt w:val="bullet"/>
      <w:lvlText w:val="•"/>
      <w:lvlJc w:val="left"/>
      <w:pPr>
        <w:ind w:left="6003" w:hanging="598"/>
      </w:pPr>
      <w:rPr>
        <w:rFonts w:hint="default"/>
        <w:lang w:val="zh-CN" w:eastAsia="zh-CN" w:bidi="zh-CN"/>
      </w:rPr>
    </w:lvl>
    <w:lvl w:ilvl="7">
      <w:start w:val="0"/>
      <w:numFmt w:val="bullet"/>
      <w:lvlText w:val="•"/>
      <w:lvlJc w:val="left"/>
      <w:pPr>
        <w:ind w:left="7164" w:hanging="598"/>
      </w:pPr>
      <w:rPr>
        <w:rFonts w:hint="default"/>
        <w:lang w:val="zh-CN" w:eastAsia="zh-CN" w:bidi="zh-CN"/>
      </w:rPr>
    </w:lvl>
    <w:lvl w:ilvl="8">
      <w:start w:val="0"/>
      <w:numFmt w:val="bullet"/>
      <w:lvlText w:val="•"/>
      <w:lvlJc w:val="left"/>
      <w:pPr>
        <w:ind w:left="8324" w:hanging="598"/>
      </w:pPr>
      <w:rPr>
        <w:rFonts w:hint="default"/>
        <w:lang w:val="zh-CN" w:eastAsia="zh-CN" w:bidi="zh-CN"/>
      </w:rPr>
    </w:lvl>
  </w:abstractNum>
  <w:abstractNum w:abstractNumId="585">
    <w:multiLevelType w:val="hybridMultilevel"/>
    <w:lvl w:ilvl="0">
      <w:start w:val="2"/>
      <w:numFmt w:val="decimal"/>
      <w:lvlText w:val="%1"/>
      <w:lvlJc w:val="left"/>
      <w:pPr>
        <w:ind w:left="418" w:hanging="372"/>
        <w:jc w:val="left"/>
      </w:pPr>
      <w:rPr>
        <w:rFonts w:hint="default"/>
        <w:lang w:val="zh-CN" w:eastAsia="zh-CN" w:bidi="zh-CN"/>
      </w:rPr>
    </w:lvl>
    <w:lvl w:ilvl="1">
      <w:start w:val="1"/>
      <w:numFmt w:val="decimal"/>
      <w:lvlText w:val="%1.%2"/>
      <w:lvlJc w:val="left"/>
      <w:pPr>
        <w:ind w:left="418" w:hanging="372"/>
        <w:jc w:val="left"/>
      </w:pPr>
      <w:rPr>
        <w:rFonts w:hint="default" w:ascii="宋体" w:hAnsi="宋体" w:eastAsia="宋体" w:cs="宋体"/>
        <w:b/>
        <w:bCs/>
        <w:color w:val="333333"/>
        <w:w w:val="99"/>
        <w:sz w:val="21"/>
        <w:szCs w:val="21"/>
        <w:lang w:val="zh-CN" w:eastAsia="zh-CN" w:bidi="zh-CN"/>
      </w:rPr>
    </w:lvl>
    <w:lvl w:ilvl="2">
      <w:start w:val="0"/>
      <w:numFmt w:val="bullet"/>
      <w:lvlText w:val="•"/>
      <w:lvlJc w:val="left"/>
      <w:pPr>
        <w:ind w:left="2465" w:hanging="372"/>
      </w:pPr>
      <w:rPr>
        <w:rFonts w:hint="default"/>
        <w:lang w:val="zh-CN" w:eastAsia="zh-CN" w:bidi="zh-CN"/>
      </w:rPr>
    </w:lvl>
    <w:lvl w:ilvl="3">
      <w:start w:val="0"/>
      <w:numFmt w:val="bullet"/>
      <w:lvlText w:val="•"/>
      <w:lvlJc w:val="left"/>
      <w:pPr>
        <w:ind w:left="3487" w:hanging="372"/>
      </w:pPr>
      <w:rPr>
        <w:rFonts w:hint="default"/>
        <w:lang w:val="zh-CN" w:eastAsia="zh-CN" w:bidi="zh-CN"/>
      </w:rPr>
    </w:lvl>
    <w:lvl w:ilvl="4">
      <w:start w:val="0"/>
      <w:numFmt w:val="bullet"/>
      <w:lvlText w:val="•"/>
      <w:lvlJc w:val="left"/>
      <w:pPr>
        <w:ind w:left="4510" w:hanging="372"/>
      </w:pPr>
      <w:rPr>
        <w:rFonts w:hint="default"/>
        <w:lang w:val="zh-CN" w:eastAsia="zh-CN" w:bidi="zh-CN"/>
      </w:rPr>
    </w:lvl>
    <w:lvl w:ilvl="5">
      <w:start w:val="0"/>
      <w:numFmt w:val="bullet"/>
      <w:lvlText w:val="•"/>
      <w:lvlJc w:val="left"/>
      <w:pPr>
        <w:ind w:left="5533" w:hanging="372"/>
      </w:pPr>
      <w:rPr>
        <w:rFonts w:hint="default"/>
        <w:lang w:val="zh-CN" w:eastAsia="zh-CN" w:bidi="zh-CN"/>
      </w:rPr>
    </w:lvl>
    <w:lvl w:ilvl="6">
      <w:start w:val="0"/>
      <w:numFmt w:val="bullet"/>
      <w:lvlText w:val="•"/>
      <w:lvlJc w:val="left"/>
      <w:pPr>
        <w:ind w:left="6555" w:hanging="372"/>
      </w:pPr>
      <w:rPr>
        <w:rFonts w:hint="default"/>
        <w:lang w:val="zh-CN" w:eastAsia="zh-CN" w:bidi="zh-CN"/>
      </w:rPr>
    </w:lvl>
    <w:lvl w:ilvl="7">
      <w:start w:val="0"/>
      <w:numFmt w:val="bullet"/>
      <w:lvlText w:val="•"/>
      <w:lvlJc w:val="left"/>
      <w:pPr>
        <w:ind w:left="7578" w:hanging="372"/>
      </w:pPr>
      <w:rPr>
        <w:rFonts w:hint="default"/>
        <w:lang w:val="zh-CN" w:eastAsia="zh-CN" w:bidi="zh-CN"/>
      </w:rPr>
    </w:lvl>
    <w:lvl w:ilvl="8">
      <w:start w:val="0"/>
      <w:numFmt w:val="bullet"/>
      <w:lvlText w:val="•"/>
      <w:lvlJc w:val="left"/>
      <w:pPr>
        <w:ind w:left="8601" w:hanging="372"/>
      </w:pPr>
      <w:rPr>
        <w:rFonts w:hint="default"/>
        <w:lang w:val="zh-CN" w:eastAsia="zh-CN" w:bidi="zh-CN"/>
      </w:rPr>
    </w:lvl>
  </w:abstractNum>
  <w:abstractNum w:abstractNumId="584">
    <w:multiLevelType w:val="hybridMultilevel"/>
    <w:lvl w:ilvl="0">
      <w:start w:val="1"/>
      <w:numFmt w:val="decimal"/>
      <w:lvlText w:val="%1"/>
      <w:lvlJc w:val="left"/>
      <w:pPr>
        <w:ind w:left="418" w:hanging="372"/>
        <w:jc w:val="left"/>
      </w:pPr>
      <w:rPr>
        <w:rFonts w:hint="default"/>
        <w:lang w:val="zh-CN" w:eastAsia="zh-CN" w:bidi="zh-CN"/>
      </w:rPr>
    </w:lvl>
    <w:lvl w:ilvl="1">
      <w:start w:val="1"/>
      <w:numFmt w:val="decimal"/>
      <w:lvlText w:val="%1.%2"/>
      <w:lvlJc w:val="left"/>
      <w:pPr>
        <w:ind w:left="418" w:hanging="372"/>
        <w:jc w:val="left"/>
      </w:pPr>
      <w:rPr>
        <w:rFonts w:hint="default" w:ascii="宋体" w:hAnsi="宋体" w:eastAsia="宋体" w:cs="宋体"/>
        <w:b/>
        <w:bCs/>
        <w:color w:val="333333"/>
        <w:w w:val="99"/>
        <w:sz w:val="21"/>
        <w:szCs w:val="21"/>
        <w:lang w:val="zh-CN" w:eastAsia="zh-CN" w:bidi="zh-CN"/>
      </w:rPr>
    </w:lvl>
    <w:lvl w:ilvl="2">
      <w:start w:val="0"/>
      <w:numFmt w:val="bullet"/>
      <w:lvlText w:val="•"/>
      <w:lvlJc w:val="left"/>
      <w:pPr>
        <w:ind w:left="2465" w:hanging="372"/>
      </w:pPr>
      <w:rPr>
        <w:rFonts w:hint="default"/>
        <w:lang w:val="zh-CN" w:eastAsia="zh-CN" w:bidi="zh-CN"/>
      </w:rPr>
    </w:lvl>
    <w:lvl w:ilvl="3">
      <w:start w:val="0"/>
      <w:numFmt w:val="bullet"/>
      <w:lvlText w:val="•"/>
      <w:lvlJc w:val="left"/>
      <w:pPr>
        <w:ind w:left="3487" w:hanging="372"/>
      </w:pPr>
      <w:rPr>
        <w:rFonts w:hint="default"/>
        <w:lang w:val="zh-CN" w:eastAsia="zh-CN" w:bidi="zh-CN"/>
      </w:rPr>
    </w:lvl>
    <w:lvl w:ilvl="4">
      <w:start w:val="0"/>
      <w:numFmt w:val="bullet"/>
      <w:lvlText w:val="•"/>
      <w:lvlJc w:val="left"/>
      <w:pPr>
        <w:ind w:left="4510" w:hanging="372"/>
      </w:pPr>
      <w:rPr>
        <w:rFonts w:hint="default"/>
        <w:lang w:val="zh-CN" w:eastAsia="zh-CN" w:bidi="zh-CN"/>
      </w:rPr>
    </w:lvl>
    <w:lvl w:ilvl="5">
      <w:start w:val="0"/>
      <w:numFmt w:val="bullet"/>
      <w:lvlText w:val="•"/>
      <w:lvlJc w:val="left"/>
      <w:pPr>
        <w:ind w:left="5533" w:hanging="372"/>
      </w:pPr>
      <w:rPr>
        <w:rFonts w:hint="default"/>
        <w:lang w:val="zh-CN" w:eastAsia="zh-CN" w:bidi="zh-CN"/>
      </w:rPr>
    </w:lvl>
    <w:lvl w:ilvl="6">
      <w:start w:val="0"/>
      <w:numFmt w:val="bullet"/>
      <w:lvlText w:val="•"/>
      <w:lvlJc w:val="left"/>
      <w:pPr>
        <w:ind w:left="6555" w:hanging="372"/>
      </w:pPr>
      <w:rPr>
        <w:rFonts w:hint="default"/>
        <w:lang w:val="zh-CN" w:eastAsia="zh-CN" w:bidi="zh-CN"/>
      </w:rPr>
    </w:lvl>
    <w:lvl w:ilvl="7">
      <w:start w:val="0"/>
      <w:numFmt w:val="bullet"/>
      <w:lvlText w:val="•"/>
      <w:lvlJc w:val="left"/>
      <w:pPr>
        <w:ind w:left="7578" w:hanging="372"/>
      </w:pPr>
      <w:rPr>
        <w:rFonts w:hint="default"/>
        <w:lang w:val="zh-CN" w:eastAsia="zh-CN" w:bidi="zh-CN"/>
      </w:rPr>
    </w:lvl>
    <w:lvl w:ilvl="8">
      <w:start w:val="0"/>
      <w:numFmt w:val="bullet"/>
      <w:lvlText w:val="•"/>
      <w:lvlJc w:val="left"/>
      <w:pPr>
        <w:ind w:left="8601" w:hanging="372"/>
      </w:pPr>
      <w:rPr>
        <w:rFonts w:hint="default"/>
        <w:lang w:val="zh-CN" w:eastAsia="zh-CN" w:bidi="zh-CN"/>
      </w:rPr>
    </w:lvl>
  </w:abstractNum>
  <w:abstractNum w:abstractNumId="583">
    <w:multiLevelType w:val="hybridMultilevel"/>
    <w:lvl w:ilvl="0">
      <w:start w:val="7"/>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582">
    <w:multiLevelType w:val="hybridMultilevel"/>
    <w:lvl w:ilvl="0">
      <w:start w:val="4"/>
      <w:numFmt w:val="lowerLetter"/>
      <w:lvlText w:val="%1）"/>
      <w:lvlJc w:val="left"/>
      <w:pPr>
        <w:ind w:left="1155" w:hanging="318"/>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581">
    <w:multiLevelType w:val="hybridMultilevel"/>
    <w:lvl w:ilvl="0">
      <w:start w:val="6"/>
      <w:numFmt w:val="decimal"/>
      <w:lvlText w:val="%1"/>
      <w:lvlJc w:val="left"/>
      <w:pPr>
        <w:ind w:left="838" w:hanging="531"/>
        <w:jc w:val="left"/>
      </w:pPr>
      <w:rPr>
        <w:rFonts w:hint="default"/>
        <w:lang w:val="zh-CN" w:eastAsia="zh-CN" w:bidi="zh-CN"/>
      </w:rPr>
    </w:lvl>
    <w:lvl w:ilvl="1">
      <w:start w:val="2"/>
      <w:numFmt w:val="decimal"/>
      <w:lvlText w:val="%1.%2"/>
      <w:lvlJc w:val="left"/>
      <w:pPr>
        <w:ind w:left="838" w:hanging="531"/>
        <w:jc w:val="left"/>
      </w:pPr>
      <w:rPr>
        <w:rFonts w:hint="default"/>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781" w:hanging="531"/>
      </w:pPr>
      <w:rPr>
        <w:rFonts w:hint="default"/>
        <w:lang w:val="zh-CN" w:eastAsia="zh-CN" w:bidi="zh-CN"/>
      </w:rPr>
    </w:lvl>
    <w:lvl w:ilvl="4">
      <w:start w:val="0"/>
      <w:numFmt w:val="bullet"/>
      <w:lvlText w:val="•"/>
      <w:lvlJc w:val="left"/>
      <w:pPr>
        <w:ind w:left="4762" w:hanging="531"/>
      </w:pPr>
      <w:rPr>
        <w:rFonts w:hint="default"/>
        <w:lang w:val="zh-CN" w:eastAsia="zh-CN" w:bidi="zh-CN"/>
      </w:rPr>
    </w:lvl>
    <w:lvl w:ilvl="5">
      <w:start w:val="0"/>
      <w:numFmt w:val="bullet"/>
      <w:lvlText w:val="•"/>
      <w:lvlJc w:val="left"/>
      <w:pPr>
        <w:ind w:left="5743" w:hanging="531"/>
      </w:pPr>
      <w:rPr>
        <w:rFonts w:hint="default"/>
        <w:lang w:val="zh-CN" w:eastAsia="zh-CN" w:bidi="zh-CN"/>
      </w:rPr>
    </w:lvl>
    <w:lvl w:ilvl="6">
      <w:start w:val="0"/>
      <w:numFmt w:val="bullet"/>
      <w:lvlText w:val="•"/>
      <w:lvlJc w:val="left"/>
      <w:pPr>
        <w:ind w:left="6723" w:hanging="531"/>
      </w:pPr>
      <w:rPr>
        <w:rFonts w:hint="default"/>
        <w:lang w:val="zh-CN" w:eastAsia="zh-CN" w:bidi="zh-CN"/>
      </w:rPr>
    </w:lvl>
    <w:lvl w:ilvl="7">
      <w:start w:val="0"/>
      <w:numFmt w:val="bullet"/>
      <w:lvlText w:val="•"/>
      <w:lvlJc w:val="left"/>
      <w:pPr>
        <w:ind w:left="7704" w:hanging="531"/>
      </w:pPr>
      <w:rPr>
        <w:rFonts w:hint="default"/>
        <w:lang w:val="zh-CN" w:eastAsia="zh-CN" w:bidi="zh-CN"/>
      </w:rPr>
    </w:lvl>
    <w:lvl w:ilvl="8">
      <w:start w:val="0"/>
      <w:numFmt w:val="bullet"/>
      <w:lvlText w:val="•"/>
      <w:lvlJc w:val="left"/>
      <w:pPr>
        <w:ind w:left="8685" w:hanging="531"/>
      </w:pPr>
      <w:rPr>
        <w:rFonts w:hint="default"/>
        <w:lang w:val="zh-CN" w:eastAsia="zh-CN" w:bidi="zh-CN"/>
      </w:rPr>
    </w:lvl>
  </w:abstractNum>
  <w:abstractNum w:abstractNumId="580">
    <w:multiLevelType w:val="hybridMultilevel"/>
    <w:lvl w:ilvl="0">
      <w:start w:val="1"/>
      <w:numFmt w:val="lowerLetter"/>
      <w:lvlText w:val="%1）"/>
      <w:lvlJc w:val="left"/>
      <w:pPr>
        <w:ind w:left="418" w:hanging="318"/>
        <w:jc w:val="left"/>
      </w:pPr>
      <w:rPr>
        <w:rFonts w:hint="default" w:ascii="宋体" w:hAnsi="宋体" w:eastAsia="宋体" w:cs="宋体"/>
        <w:spacing w:val="-53"/>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579">
    <w:multiLevelType w:val="hybridMultilevel"/>
    <w:lvl w:ilvl="0">
      <w:start w:val="5"/>
      <w:numFmt w:val="decimal"/>
      <w:lvlText w:val="%1"/>
      <w:lvlJc w:val="left"/>
      <w:pPr>
        <w:ind w:left="1582" w:hanging="743"/>
        <w:jc w:val="left"/>
      </w:pPr>
      <w:rPr>
        <w:rFonts w:hint="default"/>
        <w:lang w:val="zh-CN" w:eastAsia="zh-CN" w:bidi="zh-CN"/>
      </w:rPr>
    </w:lvl>
    <w:lvl w:ilvl="1">
      <w:start w:val="6"/>
      <w:numFmt w:val="decimal"/>
      <w:lvlText w:val="%1.%2"/>
      <w:lvlJc w:val="left"/>
      <w:pPr>
        <w:ind w:left="1582" w:hanging="743"/>
        <w:jc w:val="left"/>
      </w:pPr>
      <w:rPr>
        <w:rFonts w:hint="default"/>
        <w:lang w:val="zh-CN" w:eastAsia="zh-CN" w:bidi="zh-CN"/>
      </w:rPr>
    </w:lvl>
    <w:lvl w:ilvl="2">
      <w:start w:val="2"/>
      <w:numFmt w:val="decimal"/>
      <w:lvlText w:val="%1.%2.%3"/>
      <w:lvlJc w:val="left"/>
      <w:pPr>
        <w:ind w:left="1582" w:hanging="743"/>
        <w:jc w:val="left"/>
      </w:pPr>
      <w:rPr>
        <w:rFonts w:hint="default"/>
        <w:lang w:val="zh-CN" w:eastAsia="zh-CN" w:bidi="zh-CN"/>
      </w:rPr>
    </w:lvl>
    <w:lvl w:ilvl="3">
      <w:start w:val="1"/>
      <w:numFmt w:val="decimal"/>
      <w:lvlText w:val="%1.%2.%3.%4"/>
      <w:lvlJc w:val="left"/>
      <w:pPr>
        <w:ind w:left="1582" w:hanging="743"/>
        <w:jc w:val="left"/>
      </w:pPr>
      <w:rPr>
        <w:rFonts w:hint="default" w:ascii="宋体" w:hAnsi="宋体" w:eastAsia="宋体" w:cs="宋体"/>
        <w:b/>
        <w:bCs/>
        <w:w w:val="99"/>
        <w:sz w:val="19"/>
        <w:szCs w:val="19"/>
        <w:lang w:val="zh-CN" w:eastAsia="zh-CN" w:bidi="zh-CN"/>
      </w:rPr>
    </w:lvl>
    <w:lvl w:ilvl="4">
      <w:start w:val="0"/>
      <w:numFmt w:val="bullet"/>
      <w:lvlText w:val="•"/>
      <w:lvlJc w:val="left"/>
      <w:pPr>
        <w:ind w:left="5206" w:hanging="743"/>
      </w:pPr>
      <w:rPr>
        <w:rFonts w:hint="default"/>
        <w:lang w:val="zh-CN" w:eastAsia="zh-CN" w:bidi="zh-CN"/>
      </w:rPr>
    </w:lvl>
    <w:lvl w:ilvl="5">
      <w:start w:val="0"/>
      <w:numFmt w:val="bullet"/>
      <w:lvlText w:val="•"/>
      <w:lvlJc w:val="left"/>
      <w:pPr>
        <w:ind w:left="6113" w:hanging="743"/>
      </w:pPr>
      <w:rPr>
        <w:rFonts w:hint="default"/>
        <w:lang w:val="zh-CN" w:eastAsia="zh-CN" w:bidi="zh-CN"/>
      </w:rPr>
    </w:lvl>
    <w:lvl w:ilvl="6">
      <w:start w:val="0"/>
      <w:numFmt w:val="bullet"/>
      <w:lvlText w:val="•"/>
      <w:lvlJc w:val="left"/>
      <w:pPr>
        <w:ind w:left="7019" w:hanging="743"/>
      </w:pPr>
      <w:rPr>
        <w:rFonts w:hint="default"/>
        <w:lang w:val="zh-CN" w:eastAsia="zh-CN" w:bidi="zh-CN"/>
      </w:rPr>
    </w:lvl>
    <w:lvl w:ilvl="7">
      <w:start w:val="0"/>
      <w:numFmt w:val="bullet"/>
      <w:lvlText w:val="•"/>
      <w:lvlJc w:val="left"/>
      <w:pPr>
        <w:ind w:left="7926" w:hanging="743"/>
      </w:pPr>
      <w:rPr>
        <w:rFonts w:hint="default"/>
        <w:lang w:val="zh-CN" w:eastAsia="zh-CN" w:bidi="zh-CN"/>
      </w:rPr>
    </w:lvl>
    <w:lvl w:ilvl="8">
      <w:start w:val="0"/>
      <w:numFmt w:val="bullet"/>
      <w:lvlText w:val="•"/>
      <w:lvlJc w:val="left"/>
      <w:pPr>
        <w:ind w:left="8833" w:hanging="743"/>
      </w:pPr>
      <w:rPr>
        <w:rFonts w:hint="default"/>
        <w:lang w:val="zh-CN" w:eastAsia="zh-CN" w:bidi="zh-CN"/>
      </w:rPr>
    </w:lvl>
  </w:abstractNum>
  <w:abstractNum w:abstractNumId="578">
    <w:multiLevelType w:val="hybridMultilevel"/>
    <w:lvl w:ilvl="0">
      <w:start w:val="5"/>
      <w:numFmt w:val="decimal"/>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4"/>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577">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77" w:hanging="637"/>
        <w:jc w:val="left"/>
      </w:pPr>
      <w:rPr>
        <w:rFonts w:hint="default"/>
        <w:b/>
        <w:bCs/>
        <w:spacing w:val="-3"/>
        <w:w w:val="99"/>
        <w:lang w:val="zh-CN" w:eastAsia="zh-CN" w:bidi="zh-CN"/>
      </w:rPr>
    </w:lvl>
    <w:lvl w:ilvl="3">
      <w:start w:val="1"/>
      <w:numFmt w:val="decimal"/>
      <w:lvlText w:val="%1.%2.%3.%4"/>
      <w:lvlJc w:val="left"/>
      <w:pPr>
        <w:ind w:left="1575" w:hanging="637"/>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1480" w:hanging="637"/>
      </w:pPr>
      <w:rPr>
        <w:rFonts w:hint="default"/>
        <w:lang w:val="zh-CN" w:eastAsia="zh-CN" w:bidi="zh-CN"/>
      </w:rPr>
    </w:lvl>
    <w:lvl w:ilvl="5">
      <w:start w:val="0"/>
      <w:numFmt w:val="bullet"/>
      <w:lvlText w:val="•"/>
      <w:lvlJc w:val="left"/>
      <w:pPr>
        <w:ind w:left="1580" w:hanging="637"/>
      </w:pPr>
      <w:rPr>
        <w:rFonts w:hint="default"/>
        <w:lang w:val="zh-CN" w:eastAsia="zh-CN" w:bidi="zh-CN"/>
      </w:rPr>
    </w:lvl>
    <w:lvl w:ilvl="6">
      <w:start w:val="0"/>
      <w:numFmt w:val="bullet"/>
      <w:lvlText w:val="•"/>
      <w:lvlJc w:val="left"/>
      <w:pPr>
        <w:ind w:left="3393" w:hanging="637"/>
      </w:pPr>
      <w:rPr>
        <w:rFonts w:hint="default"/>
        <w:lang w:val="zh-CN" w:eastAsia="zh-CN" w:bidi="zh-CN"/>
      </w:rPr>
    </w:lvl>
    <w:lvl w:ilvl="7">
      <w:start w:val="0"/>
      <w:numFmt w:val="bullet"/>
      <w:lvlText w:val="•"/>
      <w:lvlJc w:val="left"/>
      <w:pPr>
        <w:ind w:left="5206" w:hanging="637"/>
      </w:pPr>
      <w:rPr>
        <w:rFonts w:hint="default"/>
        <w:lang w:val="zh-CN" w:eastAsia="zh-CN" w:bidi="zh-CN"/>
      </w:rPr>
    </w:lvl>
    <w:lvl w:ilvl="8">
      <w:start w:val="0"/>
      <w:numFmt w:val="bullet"/>
      <w:lvlText w:val="•"/>
      <w:lvlJc w:val="left"/>
      <w:pPr>
        <w:ind w:left="7019" w:hanging="637"/>
      </w:pPr>
      <w:rPr>
        <w:rFonts w:hint="default"/>
        <w:lang w:val="zh-CN" w:eastAsia="zh-CN" w:bidi="zh-CN"/>
      </w:rPr>
    </w:lvl>
  </w:abstractNum>
  <w:abstractNum w:abstractNumId="576">
    <w:multiLevelType w:val="hybridMultilevel"/>
    <w:lvl w:ilvl="0">
      <w:start w:val="4"/>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righ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575">
    <w:multiLevelType w:val="hybridMultilevel"/>
    <w:lvl w:ilvl="0">
      <w:start w:val="1"/>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574">
    <w:multiLevelType w:val="hybridMultilevel"/>
    <w:lvl w:ilvl="0">
      <w:start w:val="2"/>
      <w:numFmt w:val="lowerLetter"/>
      <w:lvlText w:val="%1）"/>
      <w:lvlJc w:val="left"/>
      <w:pPr>
        <w:ind w:left="838" w:hanging="318"/>
        <w:jc w:val="left"/>
      </w:pPr>
      <w:rPr>
        <w:rFonts w:hint="default" w:ascii="宋体" w:hAnsi="宋体" w:eastAsia="宋体" w:cs="宋体"/>
        <w:spacing w:val="-52"/>
        <w:w w:val="100"/>
        <w:sz w:val="19"/>
        <w:szCs w:val="19"/>
        <w:lang w:val="zh-CN" w:eastAsia="zh-CN" w:bidi="zh-CN"/>
      </w:rPr>
    </w:lvl>
    <w:lvl w:ilvl="1">
      <w:start w:val="0"/>
      <w:numFmt w:val="bullet"/>
      <w:lvlText w:val="•"/>
      <w:lvlJc w:val="left"/>
      <w:pPr>
        <w:ind w:left="1820" w:hanging="318"/>
      </w:pPr>
      <w:rPr>
        <w:rFonts w:hint="default"/>
        <w:lang w:val="zh-CN" w:eastAsia="zh-CN" w:bidi="zh-CN"/>
      </w:rPr>
    </w:lvl>
    <w:lvl w:ilvl="2">
      <w:start w:val="0"/>
      <w:numFmt w:val="bullet"/>
      <w:lvlText w:val="•"/>
      <w:lvlJc w:val="left"/>
      <w:pPr>
        <w:ind w:left="2801" w:hanging="318"/>
      </w:pPr>
      <w:rPr>
        <w:rFonts w:hint="default"/>
        <w:lang w:val="zh-CN" w:eastAsia="zh-CN" w:bidi="zh-CN"/>
      </w:rPr>
    </w:lvl>
    <w:lvl w:ilvl="3">
      <w:start w:val="0"/>
      <w:numFmt w:val="bullet"/>
      <w:lvlText w:val="•"/>
      <w:lvlJc w:val="left"/>
      <w:pPr>
        <w:ind w:left="3781" w:hanging="318"/>
      </w:pPr>
      <w:rPr>
        <w:rFonts w:hint="default"/>
        <w:lang w:val="zh-CN" w:eastAsia="zh-CN" w:bidi="zh-CN"/>
      </w:rPr>
    </w:lvl>
    <w:lvl w:ilvl="4">
      <w:start w:val="0"/>
      <w:numFmt w:val="bullet"/>
      <w:lvlText w:val="•"/>
      <w:lvlJc w:val="left"/>
      <w:pPr>
        <w:ind w:left="4762" w:hanging="318"/>
      </w:pPr>
      <w:rPr>
        <w:rFonts w:hint="default"/>
        <w:lang w:val="zh-CN" w:eastAsia="zh-CN" w:bidi="zh-CN"/>
      </w:rPr>
    </w:lvl>
    <w:lvl w:ilvl="5">
      <w:start w:val="0"/>
      <w:numFmt w:val="bullet"/>
      <w:lvlText w:val="•"/>
      <w:lvlJc w:val="left"/>
      <w:pPr>
        <w:ind w:left="5743" w:hanging="318"/>
      </w:pPr>
      <w:rPr>
        <w:rFonts w:hint="default"/>
        <w:lang w:val="zh-CN" w:eastAsia="zh-CN" w:bidi="zh-CN"/>
      </w:rPr>
    </w:lvl>
    <w:lvl w:ilvl="6">
      <w:start w:val="0"/>
      <w:numFmt w:val="bullet"/>
      <w:lvlText w:val="•"/>
      <w:lvlJc w:val="left"/>
      <w:pPr>
        <w:ind w:left="6723" w:hanging="318"/>
      </w:pPr>
      <w:rPr>
        <w:rFonts w:hint="default"/>
        <w:lang w:val="zh-CN" w:eastAsia="zh-CN" w:bidi="zh-CN"/>
      </w:rPr>
    </w:lvl>
    <w:lvl w:ilvl="7">
      <w:start w:val="0"/>
      <w:numFmt w:val="bullet"/>
      <w:lvlText w:val="•"/>
      <w:lvlJc w:val="left"/>
      <w:pPr>
        <w:ind w:left="7704" w:hanging="318"/>
      </w:pPr>
      <w:rPr>
        <w:rFonts w:hint="default"/>
        <w:lang w:val="zh-CN" w:eastAsia="zh-CN" w:bidi="zh-CN"/>
      </w:rPr>
    </w:lvl>
    <w:lvl w:ilvl="8">
      <w:start w:val="0"/>
      <w:numFmt w:val="bullet"/>
      <w:lvlText w:val="•"/>
      <w:lvlJc w:val="left"/>
      <w:pPr>
        <w:ind w:left="8685" w:hanging="318"/>
      </w:pPr>
      <w:rPr>
        <w:rFonts w:hint="default"/>
        <w:lang w:val="zh-CN" w:eastAsia="zh-CN" w:bidi="zh-CN"/>
      </w:rPr>
    </w:lvl>
  </w:abstractNum>
  <w:abstractNum w:abstractNumId="573">
    <w:multiLevelType w:val="hybridMultilevel"/>
    <w:lvl w:ilvl="0">
      <w:start w:val="4"/>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572">
    <w:multiLevelType w:val="hybridMultilevel"/>
    <w:lvl w:ilvl="0">
      <w:start w:val="4"/>
      <w:numFmt w:val="decimal"/>
      <w:lvlText w:val="%1"/>
      <w:lvlJc w:val="left"/>
      <w:pPr>
        <w:ind w:left="1575" w:hanging="738"/>
        <w:jc w:val="left"/>
      </w:pPr>
      <w:rPr>
        <w:rFonts w:hint="default"/>
        <w:lang w:val="zh-CN" w:eastAsia="zh-CN" w:bidi="zh-CN"/>
      </w:rPr>
    </w:lvl>
    <w:lvl w:ilvl="1">
      <w:start w:val="2"/>
      <w:numFmt w:val="decimal"/>
      <w:lvlText w:val="%1.%2"/>
      <w:lvlJc w:val="left"/>
      <w:pPr>
        <w:ind w:left="1575" w:hanging="738"/>
        <w:jc w:val="left"/>
      </w:pPr>
      <w:rPr>
        <w:rFonts w:hint="default"/>
        <w:lang w:val="zh-CN" w:eastAsia="zh-CN" w:bidi="zh-CN"/>
      </w:rPr>
    </w:lvl>
    <w:lvl w:ilvl="2">
      <w:start w:val="5"/>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571">
    <w:multiLevelType w:val="hybridMultilevel"/>
    <w:lvl w:ilvl="0">
      <w:start w:val="4"/>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70">
    <w:multiLevelType w:val="hybridMultilevel"/>
    <w:lvl w:ilvl="0">
      <w:start w:val="4"/>
      <w:numFmt w:val="decimal"/>
      <w:lvlText w:val="%1"/>
      <w:lvlJc w:val="left"/>
      <w:pPr>
        <w:ind w:left="418" w:hanging="738"/>
        <w:jc w:val="left"/>
      </w:pPr>
      <w:rPr>
        <w:rFonts w:hint="default"/>
        <w:lang w:val="zh-CN" w:eastAsia="zh-CN" w:bidi="zh-CN"/>
      </w:rPr>
    </w:lvl>
    <w:lvl w:ilvl="1">
      <w:start w:val="2"/>
      <w:numFmt w:val="decimal"/>
      <w:lvlText w:val="%1.%2"/>
      <w:lvlJc w:val="left"/>
      <w:pPr>
        <w:ind w:left="418" w:hanging="738"/>
        <w:jc w:val="left"/>
      </w:pPr>
      <w:rPr>
        <w:rFonts w:hint="default"/>
        <w:lang w:val="zh-CN" w:eastAsia="zh-CN" w:bidi="zh-CN"/>
      </w:rPr>
    </w:lvl>
    <w:lvl w:ilvl="2">
      <w:start w:val="2"/>
      <w:numFmt w:val="decimal"/>
      <w:lvlText w:val="%1.%2.%3"/>
      <w:lvlJc w:val="left"/>
      <w:pPr>
        <w:ind w:left="418" w:hanging="738"/>
        <w:jc w:val="left"/>
      </w:pPr>
      <w:rPr>
        <w:rFonts w:hint="default"/>
        <w:lang w:val="zh-CN" w:eastAsia="zh-CN" w:bidi="zh-CN"/>
      </w:rPr>
    </w:lvl>
    <w:lvl w:ilvl="3">
      <w:start w:val="3"/>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569">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568">
    <w:multiLevelType w:val="hybridMultilevel"/>
    <w:lvl w:ilvl="0">
      <w:start w:val="3"/>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567">
    <w:multiLevelType w:val="hybridMultilevel"/>
    <w:lvl w:ilvl="0">
      <w:start w:val="4"/>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66">
    <w:multiLevelType w:val="hybridMultilevel"/>
    <w:lvl w:ilvl="0">
      <w:start w:val="1"/>
      <w:numFmt w:val="lowerLetter"/>
      <w:lvlText w:val="%1)"/>
      <w:lvlJc w:val="left"/>
      <w:pPr>
        <w:ind w:left="838"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1820" w:hanging="213"/>
      </w:pPr>
      <w:rPr>
        <w:rFonts w:hint="default"/>
        <w:lang w:val="zh-CN" w:eastAsia="zh-CN" w:bidi="zh-CN"/>
      </w:rPr>
    </w:lvl>
    <w:lvl w:ilvl="2">
      <w:start w:val="0"/>
      <w:numFmt w:val="bullet"/>
      <w:lvlText w:val="•"/>
      <w:lvlJc w:val="left"/>
      <w:pPr>
        <w:ind w:left="2801" w:hanging="213"/>
      </w:pPr>
      <w:rPr>
        <w:rFonts w:hint="default"/>
        <w:lang w:val="zh-CN" w:eastAsia="zh-CN" w:bidi="zh-CN"/>
      </w:rPr>
    </w:lvl>
    <w:lvl w:ilvl="3">
      <w:start w:val="0"/>
      <w:numFmt w:val="bullet"/>
      <w:lvlText w:val="•"/>
      <w:lvlJc w:val="left"/>
      <w:pPr>
        <w:ind w:left="3781" w:hanging="213"/>
      </w:pPr>
      <w:rPr>
        <w:rFonts w:hint="default"/>
        <w:lang w:val="zh-CN" w:eastAsia="zh-CN" w:bidi="zh-CN"/>
      </w:rPr>
    </w:lvl>
    <w:lvl w:ilvl="4">
      <w:start w:val="0"/>
      <w:numFmt w:val="bullet"/>
      <w:lvlText w:val="•"/>
      <w:lvlJc w:val="left"/>
      <w:pPr>
        <w:ind w:left="4762" w:hanging="213"/>
      </w:pPr>
      <w:rPr>
        <w:rFonts w:hint="default"/>
        <w:lang w:val="zh-CN" w:eastAsia="zh-CN" w:bidi="zh-CN"/>
      </w:rPr>
    </w:lvl>
    <w:lvl w:ilvl="5">
      <w:start w:val="0"/>
      <w:numFmt w:val="bullet"/>
      <w:lvlText w:val="•"/>
      <w:lvlJc w:val="left"/>
      <w:pPr>
        <w:ind w:left="5743" w:hanging="213"/>
      </w:pPr>
      <w:rPr>
        <w:rFonts w:hint="default"/>
        <w:lang w:val="zh-CN" w:eastAsia="zh-CN" w:bidi="zh-CN"/>
      </w:rPr>
    </w:lvl>
    <w:lvl w:ilvl="6">
      <w:start w:val="0"/>
      <w:numFmt w:val="bullet"/>
      <w:lvlText w:val="•"/>
      <w:lvlJc w:val="left"/>
      <w:pPr>
        <w:ind w:left="6723" w:hanging="213"/>
      </w:pPr>
      <w:rPr>
        <w:rFonts w:hint="default"/>
        <w:lang w:val="zh-CN" w:eastAsia="zh-CN" w:bidi="zh-CN"/>
      </w:rPr>
    </w:lvl>
    <w:lvl w:ilvl="7">
      <w:start w:val="0"/>
      <w:numFmt w:val="bullet"/>
      <w:lvlText w:val="•"/>
      <w:lvlJc w:val="left"/>
      <w:pPr>
        <w:ind w:left="7704" w:hanging="213"/>
      </w:pPr>
      <w:rPr>
        <w:rFonts w:hint="default"/>
        <w:lang w:val="zh-CN" w:eastAsia="zh-CN" w:bidi="zh-CN"/>
      </w:rPr>
    </w:lvl>
    <w:lvl w:ilvl="8">
      <w:start w:val="0"/>
      <w:numFmt w:val="bullet"/>
      <w:lvlText w:val="•"/>
      <w:lvlJc w:val="left"/>
      <w:pPr>
        <w:ind w:left="8685" w:hanging="213"/>
      </w:pPr>
      <w:rPr>
        <w:rFonts w:hint="default"/>
        <w:lang w:val="zh-CN" w:eastAsia="zh-CN" w:bidi="zh-CN"/>
      </w:rPr>
    </w:lvl>
  </w:abstractNum>
  <w:abstractNum w:abstractNumId="565">
    <w:multiLevelType w:val="hybridMultilevel"/>
    <w:lvl w:ilvl="0">
      <w:start w:val="8"/>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64">
    <w:multiLevelType w:val="hybridMultilevel"/>
    <w:lvl w:ilvl="0">
      <w:start w:val="4"/>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63">
    <w:multiLevelType w:val="hybridMultilevel"/>
    <w:lvl w:ilvl="0">
      <w:start w:val="8"/>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562">
    <w:multiLevelType w:val="hybridMultilevel"/>
    <w:lvl w:ilvl="0">
      <w:start w:val="4"/>
      <w:numFmt w:val="lowerLetter"/>
      <w:lvlText w:val="%1)"/>
      <w:lvlJc w:val="left"/>
      <w:pPr>
        <w:ind w:left="105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61">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560">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559">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558">
    <w:multiLevelType w:val="hybridMultilevel"/>
    <w:lvl w:ilvl="0">
      <w:start w:val="5"/>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557">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556">
    <w:multiLevelType w:val="hybridMultilevel"/>
    <w:lvl w:ilvl="0">
      <w:start w:val="3"/>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555">
    <w:multiLevelType w:val="hybridMultilevel"/>
    <w:lvl w:ilvl="0">
      <w:start w:val="1"/>
      <w:numFmt w:val="decimal"/>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554">
    <w:multiLevelType w:val="hybridMultilevel"/>
    <w:lvl w:ilvl="0">
      <w:start w:val="1"/>
      <w:numFmt w:val="decimal"/>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53">
    <w:multiLevelType w:val="hybridMultilevel"/>
    <w:lvl w:ilvl="0">
      <w:start w:val="6"/>
      <w:numFmt w:val="decimal"/>
      <w:lvlText w:val="%1"/>
      <w:lvlJc w:val="left"/>
      <w:pPr>
        <w:ind w:left="418" w:hanging="790"/>
        <w:jc w:val="left"/>
      </w:pPr>
      <w:rPr>
        <w:rFonts w:hint="default"/>
        <w:lang w:val="zh-CN" w:eastAsia="zh-CN" w:bidi="zh-CN"/>
      </w:rPr>
    </w:lvl>
    <w:lvl w:ilvl="1">
      <w:start w:val="3"/>
      <w:numFmt w:val="decimal"/>
      <w:lvlText w:val="%1.%2"/>
      <w:lvlJc w:val="left"/>
      <w:pPr>
        <w:ind w:left="418" w:hanging="790"/>
        <w:jc w:val="left"/>
      </w:pPr>
      <w:rPr>
        <w:rFonts w:hint="default"/>
        <w:lang w:val="zh-CN" w:eastAsia="zh-CN" w:bidi="zh-CN"/>
      </w:rPr>
    </w:lvl>
    <w:lvl w:ilvl="2">
      <w:start w:val="3"/>
      <w:numFmt w:val="decimal"/>
      <w:lvlText w:val="%1.%2.%3"/>
      <w:lvlJc w:val="left"/>
      <w:pPr>
        <w:ind w:left="418" w:hanging="790"/>
        <w:jc w:val="left"/>
      </w:pPr>
      <w:rPr>
        <w:rFonts w:hint="default"/>
        <w:lang w:val="zh-CN" w:eastAsia="zh-CN" w:bidi="zh-CN"/>
      </w:rPr>
    </w:lvl>
    <w:lvl w:ilvl="3">
      <w:start w:val="1"/>
      <w:numFmt w:val="decimal"/>
      <w:lvlText w:val="%1.%2.%3.%4"/>
      <w:lvlJc w:val="left"/>
      <w:pPr>
        <w:ind w:left="418" w:hanging="790"/>
        <w:jc w:val="left"/>
      </w:pPr>
      <w:rPr>
        <w:rFonts w:hint="default" w:ascii="宋体" w:hAnsi="宋体" w:eastAsia="宋体" w:cs="宋体"/>
        <w:spacing w:val="-3"/>
        <w:w w:val="100"/>
        <w:sz w:val="21"/>
        <w:szCs w:val="21"/>
        <w:lang w:val="zh-CN" w:eastAsia="zh-CN" w:bidi="zh-CN"/>
      </w:rPr>
    </w:lvl>
    <w:lvl w:ilvl="4">
      <w:start w:val="0"/>
      <w:numFmt w:val="bullet"/>
      <w:lvlText w:val="•"/>
      <w:lvlJc w:val="left"/>
      <w:pPr>
        <w:ind w:left="4510" w:hanging="790"/>
      </w:pPr>
      <w:rPr>
        <w:rFonts w:hint="default"/>
        <w:lang w:val="zh-CN" w:eastAsia="zh-CN" w:bidi="zh-CN"/>
      </w:rPr>
    </w:lvl>
    <w:lvl w:ilvl="5">
      <w:start w:val="0"/>
      <w:numFmt w:val="bullet"/>
      <w:lvlText w:val="•"/>
      <w:lvlJc w:val="left"/>
      <w:pPr>
        <w:ind w:left="5533" w:hanging="790"/>
      </w:pPr>
      <w:rPr>
        <w:rFonts w:hint="default"/>
        <w:lang w:val="zh-CN" w:eastAsia="zh-CN" w:bidi="zh-CN"/>
      </w:rPr>
    </w:lvl>
    <w:lvl w:ilvl="6">
      <w:start w:val="0"/>
      <w:numFmt w:val="bullet"/>
      <w:lvlText w:val="•"/>
      <w:lvlJc w:val="left"/>
      <w:pPr>
        <w:ind w:left="6555" w:hanging="790"/>
      </w:pPr>
      <w:rPr>
        <w:rFonts w:hint="default"/>
        <w:lang w:val="zh-CN" w:eastAsia="zh-CN" w:bidi="zh-CN"/>
      </w:rPr>
    </w:lvl>
    <w:lvl w:ilvl="7">
      <w:start w:val="0"/>
      <w:numFmt w:val="bullet"/>
      <w:lvlText w:val="•"/>
      <w:lvlJc w:val="left"/>
      <w:pPr>
        <w:ind w:left="7578" w:hanging="790"/>
      </w:pPr>
      <w:rPr>
        <w:rFonts w:hint="default"/>
        <w:lang w:val="zh-CN" w:eastAsia="zh-CN" w:bidi="zh-CN"/>
      </w:rPr>
    </w:lvl>
    <w:lvl w:ilvl="8">
      <w:start w:val="0"/>
      <w:numFmt w:val="bullet"/>
      <w:lvlText w:val="•"/>
      <w:lvlJc w:val="left"/>
      <w:pPr>
        <w:ind w:left="8601" w:hanging="790"/>
      </w:pPr>
      <w:rPr>
        <w:rFonts w:hint="default"/>
        <w:lang w:val="zh-CN" w:eastAsia="zh-CN" w:bidi="zh-CN"/>
      </w:rPr>
    </w:lvl>
  </w:abstractNum>
  <w:abstractNum w:abstractNumId="552">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5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5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4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4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4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4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45">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90"/>
        <w:jc w:val="left"/>
      </w:pPr>
      <w:rPr>
        <w:rFonts w:hint="default" w:ascii="宋体" w:hAnsi="宋体" w:eastAsia="宋体" w:cs="宋体"/>
        <w:spacing w:val="-3"/>
        <w:w w:val="100"/>
        <w:sz w:val="21"/>
        <w:szCs w:val="21"/>
        <w:lang w:val="zh-CN" w:eastAsia="zh-CN" w:bidi="zh-CN"/>
      </w:rPr>
    </w:lvl>
    <w:lvl w:ilvl="4">
      <w:start w:val="0"/>
      <w:numFmt w:val="bullet"/>
      <w:lvlText w:val="•"/>
      <w:lvlJc w:val="left"/>
      <w:pPr>
        <w:ind w:left="2738" w:hanging="790"/>
      </w:pPr>
      <w:rPr>
        <w:rFonts w:hint="default"/>
        <w:lang w:val="zh-CN" w:eastAsia="zh-CN" w:bidi="zh-CN"/>
      </w:rPr>
    </w:lvl>
    <w:lvl w:ilvl="5">
      <w:start w:val="0"/>
      <w:numFmt w:val="bullet"/>
      <w:lvlText w:val="•"/>
      <w:lvlJc w:val="left"/>
      <w:pPr>
        <w:ind w:left="4056" w:hanging="790"/>
      </w:pPr>
      <w:rPr>
        <w:rFonts w:hint="default"/>
        <w:lang w:val="zh-CN" w:eastAsia="zh-CN" w:bidi="zh-CN"/>
      </w:rPr>
    </w:lvl>
    <w:lvl w:ilvl="6">
      <w:start w:val="0"/>
      <w:numFmt w:val="bullet"/>
      <w:lvlText w:val="•"/>
      <w:lvlJc w:val="left"/>
      <w:pPr>
        <w:ind w:left="5374" w:hanging="790"/>
      </w:pPr>
      <w:rPr>
        <w:rFonts w:hint="default"/>
        <w:lang w:val="zh-CN" w:eastAsia="zh-CN" w:bidi="zh-CN"/>
      </w:rPr>
    </w:lvl>
    <w:lvl w:ilvl="7">
      <w:start w:val="0"/>
      <w:numFmt w:val="bullet"/>
      <w:lvlText w:val="•"/>
      <w:lvlJc w:val="left"/>
      <w:pPr>
        <w:ind w:left="6692" w:hanging="790"/>
      </w:pPr>
      <w:rPr>
        <w:rFonts w:hint="default"/>
        <w:lang w:val="zh-CN" w:eastAsia="zh-CN" w:bidi="zh-CN"/>
      </w:rPr>
    </w:lvl>
    <w:lvl w:ilvl="8">
      <w:start w:val="0"/>
      <w:numFmt w:val="bullet"/>
      <w:lvlText w:val="•"/>
      <w:lvlJc w:val="left"/>
      <w:pPr>
        <w:ind w:left="8010" w:hanging="790"/>
      </w:pPr>
      <w:rPr>
        <w:rFonts w:hint="default"/>
        <w:lang w:val="zh-CN" w:eastAsia="zh-CN" w:bidi="zh-CN"/>
      </w:rPr>
    </w:lvl>
  </w:abstractNum>
  <w:abstractNum w:abstractNumId="54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43">
    <w:multiLevelType w:val="hybridMultilevel"/>
    <w:lvl w:ilvl="0">
      <w:start w:val="5"/>
      <w:numFmt w:val="decimal"/>
      <w:lvlText w:val="%1"/>
      <w:lvlJc w:val="left"/>
      <w:pPr>
        <w:ind w:left="1370" w:hanging="531"/>
        <w:jc w:val="left"/>
      </w:pPr>
      <w:rPr>
        <w:rFonts w:hint="default"/>
        <w:lang w:val="zh-CN" w:eastAsia="zh-CN" w:bidi="zh-CN"/>
      </w:rPr>
    </w:lvl>
    <w:lvl w:ilvl="1">
      <w:start w:val="4"/>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542">
    <w:multiLevelType w:val="hybridMultilevel"/>
    <w:lvl w:ilvl="0">
      <w:start w:val="5"/>
      <w:numFmt w:val="decimal"/>
      <w:lvlText w:val="%1"/>
      <w:lvlJc w:val="left"/>
      <w:pPr>
        <w:ind w:left="418" w:hanging="637"/>
        <w:jc w:val="left"/>
      </w:pPr>
      <w:rPr>
        <w:rFonts w:hint="default"/>
        <w:lang w:val="zh-CN" w:eastAsia="zh-CN" w:bidi="zh-CN"/>
      </w:rPr>
    </w:lvl>
    <w:lvl w:ilvl="1">
      <w:start w:val="3"/>
      <w:numFmt w:val="decimal"/>
      <w:lvlText w:val="%1.%2"/>
      <w:lvlJc w:val="left"/>
      <w:pPr>
        <w:ind w:left="418" w:hanging="637"/>
        <w:jc w:val="left"/>
      </w:pPr>
      <w:rPr>
        <w:rFonts w:hint="default"/>
        <w:lang w:val="zh-CN" w:eastAsia="zh-CN" w:bidi="zh-CN"/>
      </w:rPr>
    </w:lvl>
    <w:lvl w:ilvl="2">
      <w:start w:val="14"/>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54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40">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3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3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37">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420" w:hanging="531"/>
      </w:pPr>
      <w:rPr>
        <w:rFonts w:hint="default"/>
        <w:lang w:val="zh-CN" w:eastAsia="zh-CN" w:bidi="zh-CN"/>
      </w:rPr>
    </w:lvl>
    <w:lvl w:ilvl="4">
      <w:start w:val="0"/>
      <w:numFmt w:val="bullet"/>
      <w:lvlText w:val="•"/>
      <w:lvlJc w:val="left"/>
      <w:pPr>
        <w:ind w:left="2738" w:hanging="531"/>
      </w:pPr>
      <w:rPr>
        <w:rFonts w:hint="default"/>
        <w:lang w:val="zh-CN" w:eastAsia="zh-CN" w:bidi="zh-CN"/>
      </w:rPr>
    </w:lvl>
    <w:lvl w:ilvl="5">
      <w:start w:val="0"/>
      <w:numFmt w:val="bullet"/>
      <w:lvlText w:val="•"/>
      <w:lvlJc w:val="left"/>
      <w:pPr>
        <w:ind w:left="4056" w:hanging="531"/>
      </w:pPr>
      <w:rPr>
        <w:rFonts w:hint="default"/>
        <w:lang w:val="zh-CN" w:eastAsia="zh-CN" w:bidi="zh-CN"/>
      </w:rPr>
    </w:lvl>
    <w:lvl w:ilvl="6">
      <w:start w:val="0"/>
      <w:numFmt w:val="bullet"/>
      <w:lvlText w:val="•"/>
      <w:lvlJc w:val="left"/>
      <w:pPr>
        <w:ind w:left="5374" w:hanging="531"/>
      </w:pPr>
      <w:rPr>
        <w:rFonts w:hint="default"/>
        <w:lang w:val="zh-CN" w:eastAsia="zh-CN" w:bidi="zh-CN"/>
      </w:rPr>
    </w:lvl>
    <w:lvl w:ilvl="7">
      <w:start w:val="0"/>
      <w:numFmt w:val="bullet"/>
      <w:lvlText w:val="•"/>
      <w:lvlJc w:val="left"/>
      <w:pPr>
        <w:ind w:left="6692" w:hanging="531"/>
      </w:pPr>
      <w:rPr>
        <w:rFonts w:hint="default"/>
        <w:lang w:val="zh-CN" w:eastAsia="zh-CN" w:bidi="zh-CN"/>
      </w:rPr>
    </w:lvl>
    <w:lvl w:ilvl="8">
      <w:start w:val="0"/>
      <w:numFmt w:val="bullet"/>
      <w:lvlText w:val="•"/>
      <w:lvlJc w:val="left"/>
      <w:pPr>
        <w:ind w:left="8010" w:hanging="531"/>
      </w:pPr>
      <w:rPr>
        <w:rFonts w:hint="default"/>
        <w:lang w:val="zh-CN" w:eastAsia="zh-CN" w:bidi="zh-CN"/>
      </w:rPr>
    </w:lvl>
  </w:abstractNum>
  <w:abstractNum w:abstractNumId="53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3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3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33">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420" w:hanging="531"/>
      </w:pPr>
      <w:rPr>
        <w:rFonts w:hint="default"/>
        <w:lang w:val="zh-CN" w:eastAsia="zh-CN" w:bidi="zh-CN"/>
      </w:rPr>
    </w:lvl>
    <w:lvl w:ilvl="4">
      <w:start w:val="0"/>
      <w:numFmt w:val="bullet"/>
      <w:lvlText w:val="•"/>
      <w:lvlJc w:val="left"/>
      <w:pPr>
        <w:ind w:left="2738" w:hanging="531"/>
      </w:pPr>
      <w:rPr>
        <w:rFonts w:hint="default"/>
        <w:lang w:val="zh-CN" w:eastAsia="zh-CN" w:bidi="zh-CN"/>
      </w:rPr>
    </w:lvl>
    <w:lvl w:ilvl="5">
      <w:start w:val="0"/>
      <w:numFmt w:val="bullet"/>
      <w:lvlText w:val="•"/>
      <w:lvlJc w:val="left"/>
      <w:pPr>
        <w:ind w:left="4056" w:hanging="531"/>
      </w:pPr>
      <w:rPr>
        <w:rFonts w:hint="default"/>
        <w:lang w:val="zh-CN" w:eastAsia="zh-CN" w:bidi="zh-CN"/>
      </w:rPr>
    </w:lvl>
    <w:lvl w:ilvl="6">
      <w:start w:val="0"/>
      <w:numFmt w:val="bullet"/>
      <w:lvlText w:val="•"/>
      <w:lvlJc w:val="left"/>
      <w:pPr>
        <w:ind w:left="5374" w:hanging="531"/>
      </w:pPr>
      <w:rPr>
        <w:rFonts w:hint="default"/>
        <w:lang w:val="zh-CN" w:eastAsia="zh-CN" w:bidi="zh-CN"/>
      </w:rPr>
    </w:lvl>
    <w:lvl w:ilvl="7">
      <w:start w:val="0"/>
      <w:numFmt w:val="bullet"/>
      <w:lvlText w:val="•"/>
      <w:lvlJc w:val="left"/>
      <w:pPr>
        <w:ind w:left="6692" w:hanging="531"/>
      </w:pPr>
      <w:rPr>
        <w:rFonts w:hint="default"/>
        <w:lang w:val="zh-CN" w:eastAsia="zh-CN" w:bidi="zh-CN"/>
      </w:rPr>
    </w:lvl>
    <w:lvl w:ilvl="8">
      <w:start w:val="0"/>
      <w:numFmt w:val="bullet"/>
      <w:lvlText w:val="•"/>
      <w:lvlJc w:val="left"/>
      <w:pPr>
        <w:ind w:left="8010" w:hanging="531"/>
      </w:pPr>
      <w:rPr>
        <w:rFonts w:hint="default"/>
        <w:lang w:val="zh-CN" w:eastAsia="zh-CN" w:bidi="zh-CN"/>
      </w:rPr>
    </w:lvl>
  </w:abstractNum>
  <w:abstractNum w:abstractNumId="53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3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30">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2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2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27">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526">
    <w:multiLevelType w:val="hybridMultilevel"/>
    <w:lvl w:ilvl="0">
      <w:start w:val="2"/>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525">
    <w:multiLevelType w:val="hybridMultilevel"/>
    <w:lvl w:ilvl="0">
      <w:start w:val="1"/>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524">
    <w:multiLevelType w:val="hybridMultilevel"/>
    <w:lvl w:ilvl="0">
      <w:start w:val="6"/>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righ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523">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1"/>
      <w:numFmt w:val="decimal"/>
      <w:lvlText w:val="%1.%2.%3.%4"/>
      <w:lvlJc w:val="left"/>
      <w:pPr>
        <w:ind w:left="1582" w:hanging="743"/>
        <w:jc w:val="left"/>
      </w:pPr>
      <w:rPr>
        <w:rFonts w:hint="default" w:ascii="宋体" w:hAnsi="宋体" w:eastAsia="宋体" w:cs="宋体"/>
        <w:b/>
        <w:bCs/>
        <w:spacing w:val="-3"/>
        <w:w w:val="99"/>
        <w:sz w:val="19"/>
        <w:szCs w:val="19"/>
        <w:lang w:val="zh-CN" w:eastAsia="zh-CN" w:bidi="zh-CN"/>
      </w:rPr>
    </w:lvl>
    <w:lvl w:ilvl="4">
      <w:start w:val="0"/>
      <w:numFmt w:val="bullet"/>
      <w:lvlText w:val="•"/>
      <w:lvlJc w:val="left"/>
      <w:pPr>
        <w:ind w:left="3846" w:hanging="743"/>
      </w:pPr>
      <w:rPr>
        <w:rFonts w:hint="default"/>
        <w:lang w:val="zh-CN" w:eastAsia="zh-CN" w:bidi="zh-CN"/>
      </w:rPr>
    </w:lvl>
    <w:lvl w:ilvl="5">
      <w:start w:val="0"/>
      <w:numFmt w:val="bullet"/>
      <w:lvlText w:val="•"/>
      <w:lvlJc w:val="left"/>
      <w:pPr>
        <w:ind w:left="4979" w:hanging="743"/>
      </w:pPr>
      <w:rPr>
        <w:rFonts w:hint="default"/>
        <w:lang w:val="zh-CN" w:eastAsia="zh-CN" w:bidi="zh-CN"/>
      </w:rPr>
    </w:lvl>
    <w:lvl w:ilvl="6">
      <w:start w:val="0"/>
      <w:numFmt w:val="bullet"/>
      <w:lvlText w:val="•"/>
      <w:lvlJc w:val="left"/>
      <w:pPr>
        <w:ind w:left="6113" w:hanging="743"/>
      </w:pPr>
      <w:rPr>
        <w:rFonts w:hint="default"/>
        <w:lang w:val="zh-CN" w:eastAsia="zh-CN" w:bidi="zh-CN"/>
      </w:rPr>
    </w:lvl>
    <w:lvl w:ilvl="7">
      <w:start w:val="0"/>
      <w:numFmt w:val="bullet"/>
      <w:lvlText w:val="•"/>
      <w:lvlJc w:val="left"/>
      <w:pPr>
        <w:ind w:left="7246" w:hanging="743"/>
      </w:pPr>
      <w:rPr>
        <w:rFonts w:hint="default"/>
        <w:lang w:val="zh-CN" w:eastAsia="zh-CN" w:bidi="zh-CN"/>
      </w:rPr>
    </w:lvl>
    <w:lvl w:ilvl="8">
      <w:start w:val="0"/>
      <w:numFmt w:val="bullet"/>
      <w:lvlText w:val="•"/>
      <w:lvlJc w:val="left"/>
      <w:pPr>
        <w:ind w:left="8379" w:hanging="743"/>
      </w:pPr>
      <w:rPr>
        <w:rFonts w:hint="default"/>
        <w:lang w:val="zh-CN" w:eastAsia="zh-CN" w:bidi="zh-CN"/>
      </w:rPr>
    </w:lvl>
  </w:abstractNum>
  <w:abstractNum w:abstractNumId="522">
    <w:multiLevelType w:val="hybridMultilevel"/>
    <w:lvl w:ilvl="0">
      <w:start w:val="1"/>
      <w:numFmt w:val="lowerLetter"/>
      <w:lvlText w:val="%1)"/>
      <w:lvlJc w:val="left"/>
      <w:pPr>
        <w:ind w:left="105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21">
    <w:multiLevelType w:val="hybridMultilevel"/>
    <w:lvl w:ilvl="0">
      <w:start w:val="4"/>
      <w:numFmt w:val="decimal"/>
      <w:lvlText w:val="%1"/>
      <w:lvlJc w:val="left"/>
      <w:pPr>
        <w:ind w:left="418" w:hanging="529"/>
        <w:jc w:val="left"/>
      </w:pPr>
      <w:rPr>
        <w:rFonts w:hint="default"/>
        <w:lang w:val="zh-CN" w:eastAsia="zh-CN" w:bidi="zh-CN"/>
      </w:rPr>
    </w:lvl>
    <w:lvl w:ilvl="1">
      <w:start w:val="3"/>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20">
    <w:multiLevelType w:val="hybridMultilevel"/>
    <w:lvl w:ilvl="0">
      <w:start w:val="1"/>
      <w:numFmt w:val="lowerLetter"/>
      <w:lvlText w:val="%1)"/>
      <w:lvlJc w:val="left"/>
      <w:pPr>
        <w:ind w:left="105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19">
    <w:multiLevelType w:val="hybridMultilevel"/>
    <w:lvl w:ilvl="0">
      <w:start w:val="3"/>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518">
    <w:multiLevelType w:val="hybridMultilevel"/>
    <w:lvl w:ilvl="0">
      <w:start w:val="6"/>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17">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1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1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14">
    <w:multiLevelType w:val="hybridMultilevel"/>
    <w:lvl w:ilvl="0">
      <w:start w:val="6"/>
      <w:numFmt w:val="decimal"/>
      <w:lvlText w:val="%1"/>
      <w:lvlJc w:val="left"/>
      <w:pPr>
        <w:ind w:left="418" w:hanging="529"/>
        <w:jc w:val="left"/>
      </w:pPr>
      <w:rPr>
        <w:rFonts w:hint="default"/>
        <w:lang w:val="zh-CN" w:eastAsia="zh-CN" w:bidi="zh-CN"/>
      </w:rPr>
    </w:lvl>
    <w:lvl w:ilvl="1">
      <w:start w:val="1"/>
      <w:numFmt w:val="decimal"/>
      <w:lvlText w:val="%1.%2"/>
      <w:lvlJc w:val="left"/>
      <w:pPr>
        <w:ind w:left="418" w:hanging="529"/>
        <w:jc w:val="left"/>
      </w:pPr>
      <w:rPr>
        <w:rFonts w:hint="default"/>
        <w:lang w:val="zh-CN" w:eastAsia="zh-CN" w:bidi="zh-CN"/>
      </w:rPr>
    </w:lvl>
    <w:lvl w:ilvl="2">
      <w:start w:val="4"/>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1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12">
    <w:multiLevelType w:val="hybridMultilevel"/>
    <w:lvl w:ilvl="0">
      <w:start w:val="6"/>
      <w:numFmt w:val="decimal"/>
      <w:lvlText w:val="%1"/>
      <w:lvlJc w:val="left"/>
      <w:pPr>
        <w:ind w:left="828" w:hanging="411"/>
        <w:jc w:val="left"/>
      </w:pPr>
      <w:rPr>
        <w:rFonts w:hint="default"/>
        <w:lang w:val="zh-CN" w:eastAsia="zh-CN" w:bidi="zh-CN"/>
      </w:rPr>
    </w:lvl>
    <w:lvl w:ilvl="1">
      <w:start w:val="1"/>
      <w:numFmt w:val="decimal"/>
      <w:lvlText w:val="%1.%2"/>
      <w:lvlJc w:val="left"/>
      <w:pPr>
        <w:ind w:left="828" w:hanging="411"/>
        <w:jc w:val="right"/>
      </w:pPr>
      <w:rPr>
        <w:rFonts w:hint="default" w:ascii="宋体" w:hAnsi="宋体" w:eastAsia="宋体" w:cs="宋体"/>
        <w:b/>
        <w:bCs/>
        <w:spacing w:val="0"/>
        <w:w w:val="99"/>
        <w:sz w:val="21"/>
        <w:szCs w:val="21"/>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511">
    <w:multiLevelType w:val="hybridMultilevel"/>
    <w:lvl w:ilvl="0">
      <w:start w:val="5"/>
      <w:numFmt w:val="decimal"/>
      <w:lvlText w:val="%1"/>
      <w:lvlJc w:val="left"/>
      <w:pPr>
        <w:ind w:left="1265" w:hanging="425"/>
        <w:jc w:val="left"/>
      </w:pPr>
      <w:rPr>
        <w:rFonts w:hint="default"/>
        <w:lang w:val="zh-CN" w:eastAsia="zh-CN" w:bidi="zh-CN"/>
      </w:rPr>
    </w:lvl>
    <w:lvl w:ilvl="1">
      <w:start w:val="10"/>
      <w:numFmt w:val="decimal"/>
      <w:lvlText w:val="%1.%2"/>
      <w:lvlJc w:val="left"/>
      <w:pPr>
        <w:ind w:left="1265" w:hanging="425"/>
        <w:jc w:val="left"/>
      </w:pPr>
      <w:rPr>
        <w:rFonts w:hint="default" w:ascii="宋体" w:hAnsi="宋体" w:eastAsia="宋体" w:cs="宋体"/>
        <w:b/>
        <w:bCs/>
        <w:w w:val="99"/>
        <w:sz w:val="19"/>
        <w:szCs w:val="19"/>
        <w:lang w:val="zh-CN" w:eastAsia="zh-CN" w:bidi="zh-CN"/>
      </w:rPr>
    </w:lvl>
    <w:lvl w:ilvl="2">
      <w:start w:val="0"/>
      <w:numFmt w:val="bullet"/>
      <w:lvlText w:val="•"/>
      <w:lvlJc w:val="left"/>
      <w:pPr>
        <w:ind w:left="3137" w:hanging="425"/>
      </w:pPr>
      <w:rPr>
        <w:rFonts w:hint="default"/>
        <w:lang w:val="zh-CN" w:eastAsia="zh-CN" w:bidi="zh-CN"/>
      </w:rPr>
    </w:lvl>
    <w:lvl w:ilvl="3">
      <w:start w:val="0"/>
      <w:numFmt w:val="bullet"/>
      <w:lvlText w:val="•"/>
      <w:lvlJc w:val="left"/>
      <w:pPr>
        <w:ind w:left="4075" w:hanging="425"/>
      </w:pPr>
      <w:rPr>
        <w:rFonts w:hint="default"/>
        <w:lang w:val="zh-CN" w:eastAsia="zh-CN" w:bidi="zh-CN"/>
      </w:rPr>
    </w:lvl>
    <w:lvl w:ilvl="4">
      <w:start w:val="0"/>
      <w:numFmt w:val="bullet"/>
      <w:lvlText w:val="•"/>
      <w:lvlJc w:val="left"/>
      <w:pPr>
        <w:ind w:left="5014" w:hanging="425"/>
      </w:pPr>
      <w:rPr>
        <w:rFonts w:hint="default"/>
        <w:lang w:val="zh-CN" w:eastAsia="zh-CN" w:bidi="zh-CN"/>
      </w:rPr>
    </w:lvl>
    <w:lvl w:ilvl="5">
      <w:start w:val="0"/>
      <w:numFmt w:val="bullet"/>
      <w:lvlText w:val="•"/>
      <w:lvlJc w:val="left"/>
      <w:pPr>
        <w:ind w:left="5953" w:hanging="425"/>
      </w:pPr>
      <w:rPr>
        <w:rFonts w:hint="default"/>
        <w:lang w:val="zh-CN" w:eastAsia="zh-CN" w:bidi="zh-CN"/>
      </w:rPr>
    </w:lvl>
    <w:lvl w:ilvl="6">
      <w:start w:val="0"/>
      <w:numFmt w:val="bullet"/>
      <w:lvlText w:val="•"/>
      <w:lvlJc w:val="left"/>
      <w:pPr>
        <w:ind w:left="6891" w:hanging="425"/>
      </w:pPr>
      <w:rPr>
        <w:rFonts w:hint="default"/>
        <w:lang w:val="zh-CN" w:eastAsia="zh-CN" w:bidi="zh-CN"/>
      </w:rPr>
    </w:lvl>
    <w:lvl w:ilvl="7">
      <w:start w:val="0"/>
      <w:numFmt w:val="bullet"/>
      <w:lvlText w:val="•"/>
      <w:lvlJc w:val="left"/>
      <w:pPr>
        <w:ind w:left="7830" w:hanging="425"/>
      </w:pPr>
      <w:rPr>
        <w:rFonts w:hint="default"/>
        <w:lang w:val="zh-CN" w:eastAsia="zh-CN" w:bidi="zh-CN"/>
      </w:rPr>
    </w:lvl>
    <w:lvl w:ilvl="8">
      <w:start w:val="0"/>
      <w:numFmt w:val="bullet"/>
      <w:lvlText w:val="•"/>
      <w:lvlJc w:val="left"/>
      <w:pPr>
        <w:ind w:left="8769" w:hanging="425"/>
      </w:pPr>
      <w:rPr>
        <w:rFonts w:hint="default"/>
        <w:lang w:val="zh-CN" w:eastAsia="zh-CN" w:bidi="zh-CN"/>
      </w:rPr>
    </w:lvl>
  </w:abstractNum>
  <w:abstractNum w:abstractNumId="51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0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08">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50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06">
    <w:multiLevelType w:val="hybridMultilevel"/>
    <w:lvl w:ilvl="0">
      <w:start w:val="5"/>
      <w:numFmt w:val="decimal"/>
      <w:lvlText w:val="%1"/>
      <w:lvlJc w:val="left"/>
      <w:pPr>
        <w:ind w:left="418" w:hanging="318"/>
        <w:jc w:val="left"/>
      </w:pPr>
      <w:rPr>
        <w:rFonts w:hint="default"/>
        <w:lang w:val="zh-CN" w:eastAsia="zh-CN" w:bidi="zh-CN"/>
      </w:rPr>
    </w:lvl>
    <w:lvl w:ilvl="1">
      <w:start w:val="1"/>
      <w:numFmt w:val="decimal"/>
      <w:lvlText w:val="%1.%2"/>
      <w:lvlJc w:val="left"/>
      <w:pPr>
        <w:ind w:left="41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505">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50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0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02">
    <w:multiLevelType w:val="hybridMultilevel"/>
    <w:lvl w:ilvl="0">
      <w:start w:val="3"/>
      <w:numFmt w:val="decimal"/>
      <w:lvlText w:val="%1"/>
      <w:lvlJc w:val="left"/>
      <w:pPr>
        <w:ind w:left="418" w:hanging="318"/>
        <w:jc w:val="left"/>
      </w:pPr>
      <w:rPr>
        <w:rFonts w:hint="default"/>
        <w:lang w:val="zh-CN" w:eastAsia="zh-CN" w:bidi="zh-CN"/>
      </w:rPr>
    </w:lvl>
    <w:lvl w:ilvl="1">
      <w:start w:val="1"/>
      <w:numFmt w:val="decimal"/>
      <w:lvlText w:val="%1.%2"/>
      <w:lvlJc w:val="left"/>
      <w:pPr>
        <w:ind w:left="41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501">
    <w:multiLevelType w:val="hybridMultilevel"/>
    <w:lvl w:ilvl="0">
      <w:start w:val="1"/>
      <w:numFmt w:val="decimal"/>
      <w:lvlText w:val="（%1）"/>
      <w:lvlJc w:val="left"/>
      <w:pPr>
        <w:ind w:left="1367" w:hanging="529"/>
        <w:jc w:val="left"/>
      </w:pPr>
      <w:rPr>
        <w:rFonts w:hint="default" w:ascii="宋体" w:hAnsi="宋体" w:eastAsia="宋体" w:cs="宋体"/>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00">
    <w:multiLevelType w:val="hybridMultilevel"/>
    <w:lvl w:ilvl="0">
      <w:start w:val="1"/>
      <w:numFmt w:val="decimal"/>
      <w:lvlText w:val="%1"/>
      <w:lvlJc w:val="left"/>
      <w:pPr>
        <w:ind w:left="600" w:hanging="183"/>
        <w:jc w:val="left"/>
      </w:pPr>
      <w:rPr>
        <w:rFonts w:hint="default"/>
        <w:b/>
        <w:bCs/>
        <w:w w:val="99"/>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2214" w:hanging="318"/>
      </w:pPr>
      <w:rPr>
        <w:rFonts w:hint="default"/>
        <w:lang w:val="zh-CN" w:eastAsia="zh-CN" w:bidi="zh-CN"/>
      </w:rPr>
    </w:lvl>
    <w:lvl w:ilvl="3">
      <w:start w:val="0"/>
      <w:numFmt w:val="bullet"/>
      <w:lvlText w:val="•"/>
      <w:lvlJc w:val="left"/>
      <w:pPr>
        <w:ind w:left="3268" w:hanging="318"/>
      </w:pPr>
      <w:rPr>
        <w:rFonts w:hint="default"/>
        <w:lang w:val="zh-CN" w:eastAsia="zh-CN" w:bidi="zh-CN"/>
      </w:rPr>
    </w:lvl>
    <w:lvl w:ilvl="4">
      <w:start w:val="0"/>
      <w:numFmt w:val="bullet"/>
      <w:lvlText w:val="•"/>
      <w:lvlJc w:val="left"/>
      <w:pPr>
        <w:ind w:left="4322" w:hanging="318"/>
      </w:pPr>
      <w:rPr>
        <w:rFonts w:hint="default"/>
        <w:lang w:val="zh-CN" w:eastAsia="zh-CN" w:bidi="zh-CN"/>
      </w:rPr>
    </w:lvl>
    <w:lvl w:ilvl="5">
      <w:start w:val="0"/>
      <w:numFmt w:val="bullet"/>
      <w:lvlText w:val="•"/>
      <w:lvlJc w:val="left"/>
      <w:pPr>
        <w:ind w:left="5376" w:hanging="318"/>
      </w:pPr>
      <w:rPr>
        <w:rFonts w:hint="default"/>
        <w:lang w:val="zh-CN" w:eastAsia="zh-CN" w:bidi="zh-CN"/>
      </w:rPr>
    </w:lvl>
    <w:lvl w:ilvl="6">
      <w:start w:val="0"/>
      <w:numFmt w:val="bullet"/>
      <w:lvlText w:val="•"/>
      <w:lvlJc w:val="left"/>
      <w:pPr>
        <w:ind w:left="6430" w:hanging="318"/>
      </w:pPr>
      <w:rPr>
        <w:rFonts w:hint="default"/>
        <w:lang w:val="zh-CN" w:eastAsia="zh-CN" w:bidi="zh-CN"/>
      </w:rPr>
    </w:lvl>
    <w:lvl w:ilvl="7">
      <w:start w:val="0"/>
      <w:numFmt w:val="bullet"/>
      <w:lvlText w:val="•"/>
      <w:lvlJc w:val="left"/>
      <w:pPr>
        <w:ind w:left="7484" w:hanging="318"/>
      </w:pPr>
      <w:rPr>
        <w:rFonts w:hint="default"/>
        <w:lang w:val="zh-CN" w:eastAsia="zh-CN" w:bidi="zh-CN"/>
      </w:rPr>
    </w:lvl>
    <w:lvl w:ilvl="8">
      <w:start w:val="0"/>
      <w:numFmt w:val="bullet"/>
      <w:lvlText w:val="•"/>
      <w:lvlJc w:val="left"/>
      <w:pPr>
        <w:ind w:left="8538" w:hanging="318"/>
      </w:pPr>
      <w:rPr>
        <w:rFonts w:hint="default"/>
        <w:lang w:val="zh-CN" w:eastAsia="zh-CN" w:bidi="zh-CN"/>
      </w:rPr>
    </w:lvl>
  </w:abstractNum>
  <w:abstractNum w:abstractNumId="499">
    <w:multiLevelType w:val="hybridMultilevel"/>
    <w:lvl w:ilvl="0">
      <w:start w:val="10"/>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516" w:hanging="637"/>
      </w:pPr>
      <w:rPr>
        <w:rFonts w:hint="default"/>
        <w:lang w:val="zh-CN" w:eastAsia="zh-CN" w:bidi="zh-CN"/>
      </w:rPr>
    </w:lvl>
    <w:lvl w:ilvl="4">
      <w:start w:val="0"/>
      <w:numFmt w:val="bullet"/>
      <w:lvlText w:val="•"/>
      <w:lvlJc w:val="left"/>
      <w:pPr>
        <w:ind w:left="4535" w:hanging="637"/>
      </w:pPr>
      <w:rPr>
        <w:rFonts w:hint="default"/>
        <w:lang w:val="zh-CN" w:eastAsia="zh-CN" w:bidi="zh-CN"/>
      </w:rPr>
    </w:lvl>
    <w:lvl w:ilvl="5">
      <w:start w:val="0"/>
      <w:numFmt w:val="bullet"/>
      <w:lvlText w:val="•"/>
      <w:lvlJc w:val="left"/>
      <w:pPr>
        <w:ind w:left="5553" w:hanging="637"/>
      </w:pPr>
      <w:rPr>
        <w:rFonts w:hint="default"/>
        <w:lang w:val="zh-CN" w:eastAsia="zh-CN" w:bidi="zh-CN"/>
      </w:rPr>
    </w:lvl>
    <w:lvl w:ilvl="6">
      <w:start w:val="0"/>
      <w:numFmt w:val="bullet"/>
      <w:lvlText w:val="•"/>
      <w:lvlJc w:val="left"/>
      <w:pPr>
        <w:ind w:left="6572" w:hanging="637"/>
      </w:pPr>
      <w:rPr>
        <w:rFonts w:hint="default"/>
        <w:lang w:val="zh-CN" w:eastAsia="zh-CN" w:bidi="zh-CN"/>
      </w:rPr>
    </w:lvl>
    <w:lvl w:ilvl="7">
      <w:start w:val="0"/>
      <w:numFmt w:val="bullet"/>
      <w:lvlText w:val="•"/>
      <w:lvlJc w:val="left"/>
      <w:pPr>
        <w:ind w:left="7590" w:hanging="637"/>
      </w:pPr>
      <w:rPr>
        <w:rFonts w:hint="default"/>
        <w:lang w:val="zh-CN" w:eastAsia="zh-CN" w:bidi="zh-CN"/>
      </w:rPr>
    </w:lvl>
    <w:lvl w:ilvl="8">
      <w:start w:val="0"/>
      <w:numFmt w:val="bullet"/>
      <w:lvlText w:val="•"/>
      <w:lvlJc w:val="left"/>
      <w:pPr>
        <w:ind w:left="8609" w:hanging="637"/>
      </w:pPr>
      <w:rPr>
        <w:rFonts w:hint="default"/>
        <w:lang w:val="zh-CN" w:eastAsia="zh-CN" w:bidi="zh-CN"/>
      </w:rPr>
    </w:lvl>
  </w:abstractNum>
  <w:abstractNum w:abstractNumId="498">
    <w:multiLevelType w:val="hybridMultilevel"/>
    <w:lvl w:ilvl="0">
      <w:start w:val="9"/>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497">
    <w:multiLevelType w:val="hybridMultilevel"/>
    <w:lvl w:ilvl="0">
      <w:start w:val="8"/>
      <w:numFmt w:val="decimal"/>
      <w:lvlText w:val="%1"/>
      <w:lvlJc w:val="left"/>
      <w:pPr>
        <w:ind w:left="418" w:hanging="529"/>
        <w:jc w:val="left"/>
      </w:pPr>
      <w:rPr>
        <w:rFonts w:hint="default"/>
        <w:lang w:val="zh-CN" w:eastAsia="zh-CN" w:bidi="zh-CN"/>
      </w:rPr>
    </w:lvl>
    <w:lvl w:ilvl="1">
      <w:start w:val="0"/>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96">
    <w:multiLevelType w:val="hybridMultilevel"/>
    <w:lvl w:ilvl="0">
      <w:start w:val="7"/>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495">
    <w:multiLevelType w:val="hybridMultilevel"/>
    <w:lvl w:ilvl="0">
      <w:start w:val="6"/>
      <w:numFmt w:val="decimal"/>
      <w:lvlText w:val="%1"/>
      <w:lvlJc w:val="left"/>
      <w:pPr>
        <w:ind w:left="1477" w:hanging="637"/>
        <w:jc w:val="left"/>
      </w:pPr>
      <w:rPr>
        <w:rFonts w:hint="default"/>
        <w:lang w:val="zh-CN" w:eastAsia="zh-CN" w:bidi="zh-CN"/>
      </w:rPr>
    </w:lvl>
    <w:lvl w:ilvl="1">
      <w:start w:val="2"/>
      <w:numFmt w:val="decimal"/>
      <w:lvlText w:val="%1.%2"/>
      <w:lvlJc w:val="left"/>
      <w:pPr>
        <w:ind w:left="1477" w:hanging="637"/>
        <w:jc w:val="left"/>
      </w:pPr>
      <w:rPr>
        <w:rFonts w:hint="default"/>
        <w:lang w:val="zh-CN" w:eastAsia="zh-CN" w:bidi="zh-CN"/>
      </w:rPr>
    </w:lvl>
    <w:lvl w:ilvl="2">
      <w:start w:val="16"/>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494">
    <w:multiLevelType w:val="hybridMultilevel"/>
    <w:lvl w:ilvl="0">
      <w:start w:val="1"/>
      <w:numFmt w:val="lowerLetter"/>
      <w:lvlText w:val="%1)"/>
      <w:lvlJc w:val="left"/>
      <w:pPr>
        <w:ind w:left="418"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493">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492">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91">
    <w:multiLevelType w:val="hybridMultilevel"/>
    <w:lvl w:ilvl="0">
      <w:start w:val="1"/>
      <w:numFmt w:val="lowerLetter"/>
      <w:lvlText w:val="%1)"/>
      <w:lvlJc w:val="left"/>
      <w:pPr>
        <w:ind w:left="418" w:hanging="213"/>
        <w:jc w:val="left"/>
      </w:pPr>
      <w:rPr>
        <w:rFonts w:hint="default" w:ascii="宋体" w:hAnsi="宋体" w:eastAsia="宋体" w:cs="宋体"/>
        <w:spacing w:val="-5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490">
    <w:multiLevelType w:val="hybridMultilevel"/>
    <w:lvl w:ilvl="0">
      <w:start w:val="5"/>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489">
    <w:multiLevelType w:val="hybridMultilevel"/>
    <w:lvl w:ilvl="0">
      <w:start w:val="4"/>
      <w:numFmt w:val="decimal"/>
      <w:lvlText w:val="%1"/>
      <w:lvlJc w:val="left"/>
      <w:pPr>
        <w:ind w:left="418" w:hanging="318"/>
        <w:jc w:val="left"/>
      </w:pPr>
      <w:rPr>
        <w:rFonts w:hint="default"/>
        <w:lang w:val="zh-CN" w:eastAsia="zh-CN" w:bidi="zh-CN"/>
      </w:rPr>
    </w:lvl>
    <w:lvl w:ilvl="1">
      <w:start w:val="6"/>
      <w:numFmt w:val="decimal"/>
      <w:lvlText w:val="%1.%2"/>
      <w:lvlJc w:val="left"/>
      <w:pPr>
        <w:ind w:left="41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488">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487">
    <w:multiLevelType w:val="hybridMultilevel"/>
    <w:lvl w:ilvl="0">
      <w:start w:val="9"/>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486">
    <w:multiLevelType w:val="hybridMultilevel"/>
    <w:lvl w:ilvl="0">
      <w:start w:val="1"/>
      <w:numFmt w:val="lowerLetter"/>
      <w:lvlText w:val="%1)"/>
      <w:lvlJc w:val="left"/>
      <w:pPr>
        <w:ind w:left="1050"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85">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484">
    <w:multiLevelType w:val="hybridMultilevel"/>
    <w:lvl w:ilvl="0">
      <w:start w:val="2"/>
      <w:numFmt w:val="lowerLetter"/>
      <w:lvlText w:val="%1)"/>
      <w:lvlJc w:val="left"/>
      <w:pPr>
        <w:ind w:left="105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83">
    <w:multiLevelType w:val="hybridMultilevel"/>
    <w:lvl w:ilvl="0">
      <w:start w:val="7"/>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482">
    <w:multiLevelType w:val="hybridMultilevel"/>
    <w:lvl w:ilvl="0">
      <w:start w:val="2"/>
      <w:numFmt w:val="lowerLetter"/>
      <w:lvlText w:val="%1)"/>
      <w:lvlJc w:val="left"/>
      <w:pPr>
        <w:ind w:left="1050" w:hanging="213"/>
        <w:jc w:val="left"/>
      </w:pPr>
      <w:rPr>
        <w:rFonts w:hint="default" w:ascii="宋体" w:hAnsi="宋体" w:eastAsia="宋体" w:cs="宋体"/>
        <w:spacing w:val="-55"/>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81">
    <w:multiLevelType w:val="hybridMultilevel"/>
    <w:lvl w:ilvl="0">
      <w:start w:val="6"/>
      <w:numFmt w:val="decimal"/>
      <w:lvlText w:val="%1"/>
      <w:lvlJc w:val="left"/>
      <w:pPr>
        <w:ind w:left="1477" w:hanging="637"/>
        <w:jc w:val="left"/>
      </w:pPr>
      <w:rPr>
        <w:rFonts w:hint="default"/>
        <w:lang w:val="zh-CN" w:eastAsia="zh-CN" w:bidi="zh-CN"/>
      </w:rPr>
    </w:lvl>
    <w:lvl w:ilvl="1">
      <w:start w:val="16"/>
      <w:numFmt w:val="decimal"/>
      <w:lvlText w:val="%1.%2"/>
      <w:lvlJc w:val="left"/>
      <w:pPr>
        <w:ind w:left="1477" w:hanging="637"/>
        <w:jc w:val="left"/>
      </w:pPr>
      <w:rPr>
        <w:rFonts w:hint="default"/>
        <w:lang w:val="zh-CN" w:eastAsia="zh-CN" w:bidi="zh-CN"/>
      </w:rPr>
    </w:lvl>
    <w:lvl w:ilvl="2">
      <w:start w:val="7"/>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681" w:hanging="844"/>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68" w:hanging="844"/>
      </w:pPr>
      <w:rPr>
        <w:rFonts w:hint="default"/>
        <w:lang w:val="zh-CN" w:eastAsia="zh-CN" w:bidi="zh-CN"/>
      </w:rPr>
    </w:lvl>
    <w:lvl w:ilvl="5">
      <w:start w:val="0"/>
      <w:numFmt w:val="bullet"/>
      <w:lvlText w:val="•"/>
      <w:lvlJc w:val="left"/>
      <w:pPr>
        <w:ind w:left="5665" w:hanging="844"/>
      </w:pPr>
      <w:rPr>
        <w:rFonts w:hint="default"/>
        <w:lang w:val="zh-CN" w:eastAsia="zh-CN" w:bidi="zh-CN"/>
      </w:rPr>
    </w:lvl>
    <w:lvl w:ilvl="6">
      <w:start w:val="0"/>
      <w:numFmt w:val="bullet"/>
      <w:lvlText w:val="•"/>
      <w:lvlJc w:val="left"/>
      <w:pPr>
        <w:ind w:left="6661" w:hanging="844"/>
      </w:pPr>
      <w:rPr>
        <w:rFonts w:hint="default"/>
        <w:lang w:val="zh-CN" w:eastAsia="zh-CN" w:bidi="zh-CN"/>
      </w:rPr>
    </w:lvl>
    <w:lvl w:ilvl="7">
      <w:start w:val="0"/>
      <w:numFmt w:val="bullet"/>
      <w:lvlText w:val="•"/>
      <w:lvlJc w:val="left"/>
      <w:pPr>
        <w:ind w:left="7657" w:hanging="844"/>
      </w:pPr>
      <w:rPr>
        <w:rFonts w:hint="default"/>
        <w:lang w:val="zh-CN" w:eastAsia="zh-CN" w:bidi="zh-CN"/>
      </w:rPr>
    </w:lvl>
    <w:lvl w:ilvl="8">
      <w:start w:val="0"/>
      <w:numFmt w:val="bullet"/>
      <w:lvlText w:val="•"/>
      <w:lvlJc w:val="left"/>
      <w:pPr>
        <w:ind w:left="8653" w:hanging="844"/>
      </w:pPr>
      <w:rPr>
        <w:rFonts w:hint="default"/>
        <w:lang w:val="zh-CN" w:eastAsia="zh-CN" w:bidi="zh-CN"/>
      </w:rPr>
    </w:lvl>
  </w:abstractNum>
  <w:abstractNum w:abstractNumId="480">
    <w:multiLevelType w:val="hybridMultilevel"/>
    <w:lvl w:ilvl="0">
      <w:start w:val="1"/>
      <w:numFmt w:val="lowerLetter"/>
      <w:lvlText w:val="%1)"/>
      <w:lvlJc w:val="left"/>
      <w:pPr>
        <w:ind w:left="105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79">
    <w:multiLevelType w:val="hybridMultilevel"/>
    <w:lvl w:ilvl="0">
      <w:start w:val="6"/>
      <w:numFmt w:val="decimal"/>
      <w:lvlText w:val="%1"/>
      <w:lvlJc w:val="left"/>
      <w:pPr>
        <w:ind w:left="1681" w:hanging="844"/>
        <w:jc w:val="left"/>
      </w:pPr>
      <w:rPr>
        <w:rFonts w:hint="default"/>
        <w:lang w:val="zh-CN" w:eastAsia="zh-CN" w:bidi="zh-CN"/>
      </w:rPr>
    </w:lvl>
    <w:lvl w:ilvl="1">
      <w:start w:val="16"/>
      <w:numFmt w:val="decimal"/>
      <w:lvlText w:val="%1.%2"/>
      <w:lvlJc w:val="left"/>
      <w:pPr>
        <w:ind w:left="1681" w:hanging="844"/>
        <w:jc w:val="left"/>
      </w:pPr>
      <w:rPr>
        <w:rFonts w:hint="default"/>
        <w:lang w:val="zh-CN" w:eastAsia="zh-CN" w:bidi="zh-CN"/>
      </w:rPr>
    </w:lvl>
    <w:lvl w:ilvl="2">
      <w:start w:val="6"/>
      <w:numFmt w:val="decimal"/>
      <w:lvlText w:val="%1.%2.%3"/>
      <w:lvlJc w:val="left"/>
      <w:pPr>
        <w:ind w:left="1681" w:hanging="844"/>
        <w:jc w:val="left"/>
      </w:pPr>
      <w:rPr>
        <w:rFonts w:hint="default"/>
        <w:lang w:val="zh-CN" w:eastAsia="zh-CN" w:bidi="zh-CN"/>
      </w:rPr>
    </w:lvl>
    <w:lvl w:ilvl="3">
      <w:start w:val="1"/>
      <w:numFmt w:val="decimal"/>
      <w:lvlText w:val="%1.%2.%3.%4"/>
      <w:lvlJc w:val="left"/>
      <w:pPr>
        <w:ind w:left="1681" w:hanging="844"/>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66" w:hanging="844"/>
      </w:pPr>
      <w:rPr>
        <w:rFonts w:hint="default"/>
        <w:lang w:val="zh-CN" w:eastAsia="zh-CN" w:bidi="zh-CN"/>
      </w:rPr>
    </w:lvl>
    <w:lvl w:ilvl="5">
      <w:start w:val="0"/>
      <w:numFmt w:val="bullet"/>
      <w:lvlText w:val="•"/>
      <w:lvlJc w:val="left"/>
      <w:pPr>
        <w:ind w:left="6163" w:hanging="844"/>
      </w:pPr>
      <w:rPr>
        <w:rFonts w:hint="default"/>
        <w:lang w:val="zh-CN" w:eastAsia="zh-CN" w:bidi="zh-CN"/>
      </w:rPr>
    </w:lvl>
    <w:lvl w:ilvl="6">
      <w:start w:val="0"/>
      <w:numFmt w:val="bullet"/>
      <w:lvlText w:val="•"/>
      <w:lvlJc w:val="left"/>
      <w:pPr>
        <w:ind w:left="7059" w:hanging="844"/>
      </w:pPr>
      <w:rPr>
        <w:rFonts w:hint="default"/>
        <w:lang w:val="zh-CN" w:eastAsia="zh-CN" w:bidi="zh-CN"/>
      </w:rPr>
    </w:lvl>
    <w:lvl w:ilvl="7">
      <w:start w:val="0"/>
      <w:numFmt w:val="bullet"/>
      <w:lvlText w:val="•"/>
      <w:lvlJc w:val="left"/>
      <w:pPr>
        <w:ind w:left="7956" w:hanging="844"/>
      </w:pPr>
      <w:rPr>
        <w:rFonts w:hint="default"/>
        <w:lang w:val="zh-CN" w:eastAsia="zh-CN" w:bidi="zh-CN"/>
      </w:rPr>
    </w:lvl>
    <w:lvl w:ilvl="8">
      <w:start w:val="0"/>
      <w:numFmt w:val="bullet"/>
      <w:lvlText w:val="•"/>
      <w:lvlJc w:val="left"/>
      <w:pPr>
        <w:ind w:left="8853" w:hanging="844"/>
      </w:pPr>
      <w:rPr>
        <w:rFonts w:hint="default"/>
        <w:lang w:val="zh-CN" w:eastAsia="zh-CN" w:bidi="zh-CN"/>
      </w:rPr>
    </w:lvl>
  </w:abstractNum>
  <w:abstractNum w:abstractNumId="478">
    <w:multiLevelType w:val="hybridMultilevel"/>
    <w:lvl w:ilvl="0">
      <w:start w:val="6"/>
      <w:numFmt w:val="decimal"/>
      <w:lvlText w:val="%1"/>
      <w:lvlJc w:val="left"/>
      <w:pPr>
        <w:ind w:left="1681" w:hanging="844"/>
        <w:jc w:val="left"/>
      </w:pPr>
      <w:rPr>
        <w:rFonts w:hint="default"/>
        <w:lang w:val="zh-CN" w:eastAsia="zh-CN" w:bidi="zh-CN"/>
      </w:rPr>
    </w:lvl>
    <w:lvl w:ilvl="1">
      <w:start w:val="16"/>
      <w:numFmt w:val="decimal"/>
      <w:lvlText w:val="%1.%2"/>
      <w:lvlJc w:val="left"/>
      <w:pPr>
        <w:ind w:left="1681" w:hanging="844"/>
        <w:jc w:val="left"/>
      </w:pPr>
      <w:rPr>
        <w:rFonts w:hint="default"/>
        <w:lang w:val="zh-CN" w:eastAsia="zh-CN" w:bidi="zh-CN"/>
      </w:rPr>
    </w:lvl>
    <w:lvl w:ilvl="2">
      <w:start w:val="4"/>
      <w:numFmt w:val="decimal"/>
      <w:lvlText w:val="%1.%2.%3"/>
      <w:lvlJc w:val="left"/>
      <w:pPr>
        <w:ind w:left="1681" w:hanging="844"/>
        <w:jc w:val="left"/>
      </w:pPr>
      <w:rPr>
        <w:rFonts w:hint="default"/>
        <w:lang w:val="zh-CN" w:eastAsia="zh-CN" w:bidi="zh-CN"/>
      </w:rPr>
    </w:lvl>
    <w:lvl w:ilvl="3">
      <w:start w:val="1"/>
      <w:numFmt w:val="decimal"/>
      <w:lvlText w:val="%1.%2.%3.%4"/>
      <w:lvlJc w:val="left"/>
      <w:pPr>
        <w:ind w:left="1681" w:hanging="844"/>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418" w:hanging="1055"/>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665" w:hanging="1055"/>
      </w:pPr>
      <w:rPr>
        <w:rFonts w:hint="default"/>
        <w:lang w:val="zh-CN" w:eastAsia="zh-CN" w:bidi="zh-CN"/>
      </w:rPr>
    </w:lvl>
    <w:lvl w:ilvl="6">
      <w:start w:val="0"/>
      <w:numFmt w:val="bullet"/>
      <w:lvlText w:val="•"/>
      <w:lvlJc w:val="left"/>
      <w:pPr>
        <w:ind w:left="6661" w:hanging="1055"/>
      </w:pPr>
      <w:rPr>
        <w:rFonts w:hint="default"/>
        <w:lang w:val="zh-CN" w:eastAsia="zh-CN" w:bidi="zh-CN"/>
      </w:rPr>
    </w:lvl>
    <w:lvl w:ilvl="7">
      <w:start w:val="0"/>
      <w:numFmt w:val="bullet"/>
      <w:lvlText w:val="•"/>
      <w:lvlJc w:val="left"/>
      <w:pPr>
        <w:ind w:left="7657" w:hanging="1055"/>
      </w:pPr>
      <w:rPr>
        <w:rFonts w:hint="default"/>
        <w:lang w:val="zh-CN" w:eastAsia="zh-CN" w:bidi="zh-CN"/>
      </w:rPr>
    </w:lvl>
    <w:lvl w:ilvl="8">
      <w:start w:val="0"/>
      <w:numFmt w:val="bullet"/>
      <w:lvlText w:val="•"/>
      <w:lvlJc w:val="left"/>
      <w:pPr>
        <w:ind w:left="8653" w:hanging="1055"/>
      </w:pPr>
      <w:rPr>
        <w:rFonts w:hint="default"/>
        <w:lang w:val="zh-CN" w:eastAsia="zh-CN" w:bidi="zh-CN"/>
      </w:rPr>
    </w:lvl>
  </w:abstractNum>
  <w:abstractNum w:abstractNumId="477">
    <w:multiLevelType w:val="hybridMultilevel"/>
    <w:lvl w:ilvl="0">
      <w:start w:val="6"/>
      <w:numFmt w:val="decimal"/>
      <w:lvlText w:val="%1"/>
      <w:lvlJc w:val="left"/>
      <w:pPr>
        <w:ind w:left="1477" w:hanging="637"/>
        <w:jc w:val="left"/>
      </w:pPr>
      <w:rPr>
        <w:rFonts w:hint="default"/>
        <w:lang w:val="zh-CN" w:eastAsia="zh-CN" w:bidi="zh-CN"/>
      </w:rPr>
    </w:lvl>
    <w:lvl w:ilvl="1">
      <w:start w:val="16"/>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1"/>
      <w:numFmt w:val="decimal"/>
      <w:lvlText w:val="%1.%2.%3.%4"/>
      <w:lvlJc w:val="left"/>
      <w:pPr>
        <w:ind w:left="1681" w:hanging="844"/>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68" w:hanging="844"/>
      </w:pPr>
      <w:rPr>
        <w:rFonts w:hint="default"/>
        <w:lang w:val="zh-CN" w:eastAsia="zh-CN" w:bidi="zh-CN"/>
      </w:rPr>
    </w:lvl>
    <w:lvl w:ilvl="5">
      <w:start w:val="0"/>
      <w:numFmt w:val="bullet"/>
      <w:lvlText w:val="•"/>
      <w:lvlJc w:val="left"/>
      <w:pPr>
        <w:ind w:left="5665" w:hanging="844"/>
      </w:pPr>
      <w:rPr>
        <w:rFonts w:hint="default"/>
        <w:lang w:val="zh-CN" w:eastAsia="zh-CN" w:bidi="zh-CN"/>
      </w:rPr>
    </w:lvl>
    <w:lvl w:ilvl="6">
      <w:start w:val="0"/>
      <w:numFmt w:val="bullet"/>
      <w:lvlText w:val="•"/>
      <w:lvlJc w:val="left"/>
      <w:pPr>
        <w:ind w:left="6661" w:hanging="844"/>
      </w:pPr>
      <w:rPr>
        <w:rFonts w:hint="default"/>
        <w:lang w:val="zh-CN" w:eastAsia="zh-CN" w:bidi="zh-CN"/>
      </w:rPr>
    </w:lvl>
    <w:lvl w:ilvl="7">
      <w:start w:val="0"/>
      <w:numFmt w:val="bullet"/>
      <w:lvlText w:val="•"/>
      <w:lvlJc w:val="left"/>
      <w:pPr>
        <w:ind w:left="7657" w:hanging="844"/>
      </w:pPr>
      <w:rPr>
        <w:rFonts w:hint="default"/>
        <w:lang w:val="zh-CN" w:eastAsia="zh-CN" w:bidi="zh-CN"/>
      </w:rPr>
    </w:lvl>
    <w:lvl w:ilvl="8">
      <w:start w:val="0"/>
      <w:numFmt w:val="bullet"/>
      <w:lvlText w:val="•"/>
      <w:lvlJc w:val="left"/>
      <w:pPr>
        <w:ind w:left="8653" w:hanging="844"/>
      </w:pPr>
      <w:rPr>
        <w:rFonts w:hint="default"/>
        <w:lang w:val="zh-CN" w:eastAsia="zh-CN" w:bidi="zh-CN"/>
      </w:rPr>
    </w:lvl>
  </w:abstractNum>
  <w:abstractNum w:abstractNumId="476">
    <w:multiLevelType w:val="hybridMultilevel"/>
    <w:lvl w:ilvl="0">
      <w:start w:val="6"/>
      <w:numFmt w:val="decimal"/>
      <w:lvlText w:val="%1"/>
      <w:lvlJc w:val="left"/>
      <w:pPr>
        <w:ind w:left="1477" w:hanging="637"/>
        <w:jc w:val="left"/>
      </w:pPr>
      <w:rPr>
        <w:rFonts w:hint="default"/>
        <w:lang w:val="zh-CN" w:eastAsia="zh-CN" w:bidi="zh-CN"/>
      </w:rPr>
    </w:lvl>
    <w:lvl w:ilvl="1">
      <w:start w:val="15"/>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b/>
        <w:bCs/>
        <w:w w:val="9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475">
    <w:multiLevelType w:val="hybridMultilevel"/>
    <w:lvl w:ilvl="0">
      <w:start w:val="6"/>
      <w:numFmt w:val="decimal"/>
      <w:lvlText w:val="%1"/>
      <w:lvlJc w:val="left"/>
      <w:pPr>
        <w:ind w:left="1477" w:hanging="637"/>
        <w:jc w:val="left"/>
      </w:pPr>
      <w:rPr>
        <w:rFonts w:hint="default"/>
        <w:lang w:val="zh-CN" w:eastAsia="zh-CN" w:bidi="zh-CN"/>
      </w:rPr>
    </w:lvl>
    <w:lvl w:ilvl="1">
      <w:start w:val="14"/>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474">
    <w:multiLevelType w:val="hybridMultilevel"/>
    <w:lvl w:ilvl="0">
      <w:start w:val="6"/>
      <w:numFmt w:val="decimal"/>
      <w:lvlText w:val="%1"/>
      <w:lvlJc w:val="left"/>
      <w:pPr>
        <w:ind w:left="1529" w:hanging="689"/>
        <w:jc w:val="left"/>
      </w:pPr>
      <w:rPr>
        <w:rFonts w:hint="default"/>
        <w:lang w:val="zh-CN" w:eastAsia="zh-CN" w:bidi="zh-CN"/>
      </w:rPr>
    </w:lvl>
    <w:lvl w:ilvl="1">
      <w:start w:val="13"/>
      <w:numFmt w:val="decimal"/>
      <w:lvlText w:val="%1.%2"/>
      <w:lvlJc w:val="left"/>
      <w:pPr>
        <w:ind w:left="1529" w:hanging="689"/>
        <w:jc w:val="left"/>
      </w:pPr>
      <w:rPr>
        <w:rFonts w:hint="default"/>
        <w:lang w:val="zh-CN" w:eastAsia="zh-CN" w:bidi="zh-CN"/>
      </w:rPr>
    </w:lvl>
    <w:lvl w:ilvl="2">
      <w:start w:val="1"/>
      <w:numFmt w:val="decimal"/>
      <w:lvlText w:val="%1.%2.%3"/>
      <w:lvlJc w:val="left"/>
      <w:pPr>
        <w:ind w:left="1529"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4257" w:hanging="689"/>
      </w:pPr>
      <w:rPr>
        <w:rFonts w:hint="default"/>
        <w:lang w:val="zh-CN" w:eastAsia="zh-CN" w:bidi="zh-CN"/>
      </w:rPr>
    </w:lvl>
    <w:lvl w:ilvl="4">
      <w:start w:val="0"/>
      <w:numFmt w:val="bullet"/>
      <w:lvlText w:val="•"/>
      <w:lvlJc w:val="left"/>
      <w:pPr>
        <w:ind w:left="5170" w:hanging="689"/>
      </w:pPr>
      <w:rPr>
        <w:rFonts w:hint="default"/>
        <w:lang w:val="zh-CN" w:eastAsia="zh-CN" w:bidi="zh-CN"/>
      </w:rPr>
    </w:lvl>
    <w:lvl w:ilvl="5">
      <w:start w:val="0"/>
      <w:numFmt w:val="bullet"/>
      <w:lvlText w:val="•"/>
      <w:lvlJc w:val="left"/>
      <w:pPr>
        <w:ind w:left="6083" w:hanging="689"/>
      </w:pPr>
      <w:rPr>
        <w:rFonts w:hint="default"/>
        <w:lang w:val="zh-CN" w:eastAsia="zh-CN" w:bidi="zh-CN"/>
      </w:rPr>
    </w:lvl>
    <w:lvl w:ilvl="6">
      <w:start w:val="0"/>
      <w:numFmt w:val="bullet"/>
      <w:lvlText w:val="•"/>
      <w:lvlJc w:val="left"/>
      <w:pPr>
        <w:ind w:left="6995" w:hanging="689"/>
      </w:pPr>
      <w:rPr>
        <w:rFonts w:hint="default"/>
        <w:lang w:val="zh-CN" w:eastAsia="zh-CN" w:bidi="zh-CN"/>
      </w:rPr>
    </w:lvl>
    <w:lvl w:ilvl="7">
      <w:start w:val="0"/>
      <w:numFmt w:val="bullet"/>
      <w:lvlText w:val="•"/>
      <w:lvlJc w:val="left"/>
      <w:pPr>
        <w:ind w:left="7908" w:hanging="689"/>
      </w:pPr>
      <w:rPr>
        <w:rFonts w:hint="default"/>
        <w:lang w:val="zh-CN" w:eastAsia="zh-CN" w:bidi="zh-CN"/>
      </w:rPr>
    </w:lvl>
    <w:lvl w:ilvl="8">
      <w:start w:val="0"/>
      <w:numFmt w:val="bullet"/>
      <w:lvlText w:val="•"/>
      <w:lvlJc w:val="left"/>
      <w:pPr>
        <w:ind w:left="8821" w:hanging="689"/>
      </w:pPr>
      <w:rPr>
        <w:rFonts w:hint="default"/>
        <w:lang w:val="zh-CN" w:eastAsia="zh-CN" w:bidi="zh-CN"/>
      </w:rPr>
    </w:lvl>
  </w:abstractNum>
  <w:abstractNum w:abstractNumId="473">
    <w:multiLevelType w:val="hybridMultilevel"/>
    <w:lvl w:ilvl="0">
      <w:start w:val="6"/>
      <w:numFmt w:val="decimal"/>
      <w:lvlText w:val="%1"/>
      <w:lvlJc w:val="left"/>
      <w:pPr>
        <w:ind w:left="1529" w:hanging="689"/>
        <w:jc w:val="left"/>
      </w:pPr>
      <w:rPr>
        <w:rFonts w:hint="default"/>
        <w:lang w:val="zh-CN" w:eastAsia="zh-CN" w:bidi="zh-CN"/>
      </w:rPr>
    </w:lvl>
    <w:lvl w:ilvl="1">
      <w:start w:val="12"/>
      <w:numFmt w:val="decimal"/>
      <w:lvlText w:val="%1.%2"/>
      <w:lvlJc w:val="left"/>
      <w:pPr>
        <w:ind w:left="1529" w:hanging="689"/>
        <w:jc w:val="left"/>
      </w:pPr>
      <w:rPr>
        <w:rFonts w:hint="default"/>
        <w:lang w:val="zh-CN" w:eastAsia="zh-CN" w:bidi="zh-CN"/>
      </w:rPr>
    </w:lvl>
    <w:lvl w:ilvl="2">
      <w:start w:val="1"/>
      <w:numFmt w:val="decimal"/>
      <w:lvlText w:val="%1.%2.%3"/>
      <w:lvlJc w:val="left"/>
      <w:pPr>
        <w:ind w:left="1529"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4257" w:hanging="689"/>
      </w:pPr>
      <w:rPr>
        <w:rFonts w:hint="default"/>
        <w:lang w:val="zh-CN" w:eastAsia="zh-CN" w:bidi="zh-CN"/>
      </w:rPr>
    </w:lvl>
    <w:lvl w:ilvl="4">
      <w:start w:val="0"/>
      <w:numFmt w:val="bullet"/>
      <w:lvlText w:val="•"/>
      <w:lvlJc w:val="left"/>
      <w:pPr>
        <w:ind w:left="5170" w:hanging="689"/>
      </w:pPr>
      <w:rPr>
        <w:rFonts w:hint="default"/>
        <w:lang w:val="zh-CN" w:eastAsia="zh-CN" w:bidi="zh-CN"/>
      </w:rPr>
    </w:lvl>
    <w:lvl w:ilvl="5">
      <w:start w:val="0"/>
      <w:numFmt w:val="bullet"/>
      <w:lvlText w:val="•"/>
      <w:lvlJc w:val="left"/>
      <w:pPr>
        <w:ind w:left="6083" w:hanging="689"/>
      </w:pPr>
      <w:rPr>
        <w:rFonts w:hint="default"/>
        <w:lang w:val="zh-CN" w:eastAsia="zh-CN" w:bidi="zh-CN"/>
      </w:rPr>
    </w:lvl>
    <w:lvl w:ilvl="6">
      <w:start w:val="0"/>
      <w:numFmt w:val="bullet"/>
      <w:lvlText w:val="•"/>
      <w:lvlJc w:val="left"/>
      <w:pPr>
        <w:ind w:left="6995" w:hanging="689"/>
      </w:pPr>
      <w:rPr>
        <w:rFonts w:hint="default"/>
        <w:lang w:val="zh-CN" w:eastAsia="zh-CN" w:bidi="zh-CN"/>
      </w:rPr>
    </w:lvl>
    <w:lvl w:ilvl="7">
      <w:start w:val="0"/>
      <w:numFmt w:val="bullet"/>
      <w:lvlText w:val="•"/>
      <w:lvlJc w:val="left"/>
      <w:pPr>
        <w:ind w:left="7908" w:hanging="689"/>
      </w:pPr>
      <w:rPr>
        <w:rFonts w:hint="default"/>
        <w:lang w:val="zh-CN" w:eastAsia="zh-CN" w:bidi="zh-CN"/>
      </w:rPr>
    </w:lvl>
    <w:lvl w:ilvl="8">
      <w:start w:val="0"/>
      <w:numFmt w:val="bullet"/>
      <w:lvlText w:val="•"/>
      <w:lvlJc w:val="left"/>
      <w:pPr>
        <w:ind w:left="8821" w:hanging="689"/>
      </w:pPr>
      <w:rPr>
        <w:rFonts w:hint="default"/>
        <w:lang w:val="zh-CN" w:eastAsia="zh-CN" w:bidi="zh-CN"/>
      </w:rPr>
    </w:lvl>
  </w:abstractNum>
  <w:abstractNum w:abstractNumId="472">
    <w:multiLevelType w:val="hybridMultilevel"/>
    <w:lvl w:ilvl="0">
      <w:start w:val="6"/>
      <w:numFmt w:val="decimal"/>
      <w:lvlText w:val="%1"/>
      <w:lvlJc w:val="left"/>
      <w:pPr>
        <w:ind w:left="1263" w:hanging="424"/>
        <w:jc w:val="left"/>
      </w:pPr>
      <w:rPr>
        <w:rFonts w:hint="default"/>
        <w:lang w:val="zh-CN" w:eastAsia="zh-CN" w:bidi="zh-CN"/>
      </w:rPr>
    </w:lvl>
    <w:lvl w:ilvl="1">
      <w:start w:val="1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637"/>
        <w:jc w:val="left"/>
      </w:pPr>
      <w:rPr>
        <w:rFonts w:hint="default" w:ascii="宋体" w:hAnsi="宋体" w:eastAsia="宋体" w:cs="宋体"/>
        <w:b/>
        <w:bCs/>
        <w:spacing w:val="-53"/>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471">
    <w:multiLevelType w:val="hybridMultilevel"/>
    <w:lvl w:ilvl="0">
      <w:start w:val="6"/>
      <w:numFmt w:val="decimal"/>
      <w:lvlText w:val="%1"/>
      <w:lvlJc w:val="left"/>
      <w:pPr>
        <w:ind w:left="1159" w:hanging="320"/>
        <w:jc w:val="left"/>
      </w:pPr>
      <w:rPr>
        <w:rFonts w:hint="default"/>
        <w:lang w:val="zh-CN" w:eastAsia="zh-CN" w:bidi="zh-CN"/>
      </w:rPr>
    </w:lvl>
    <w:lvl w:ilvl="1">
      <w:start w:val="8"/>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470">
    <w:multiLevelType w:val="hybridMultilevel"/>
    <w:lvl w:ilvl="0">
      <w:start w:val="6"/>
      <w:numFmt w:val="decimal"/>
      <w:lvlText w:val="%1"/>
      <w:lvlJc w:val="left"/>
      <w:pPr>
        <w:ind w:left="1369" w:hanging="529"/>
        <w:jc w:val="left"/>
      </w:pPr>
      <w:rPr>
        <w:rFonts w:hint="default"/>
        <w:lang w:val="zh-CN" w:eastAsia="zh-CN" w:bidi="zh-CN"/>
      </w:rPr>
    </w:lvl>
    <w:lvl w:ilvl="1">
      <w:start w:val="7"/>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69">
    <w:multiLevelType w:val="hybridMultilevel"/>
    <w:lvl w:ilvl="0">
      <w:start w:val="6"/>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468">
    <w:multiLevelType w:val="hybridMultilevel"/>
    <w:lvl w:ilvl="0">
      <w:start w:val="6"/>
      <w:numFmt w:val="decimal"/>
      <w:lvlText w:val="%1"/>
      <w:lvlJc w:val="left"/>
      <w:pPr>
        <w:ind w:left="1627" w:hanging="790"/>
        <w:jc w:val="left"/>
      </w:pPr>
      <w:rPr>
        <w:rFonts w:hint="default"/>
        <w:lang w:val="zh-CN" w:eastAsia="zh-CN" w:bidi="zh-CN"/>
      </w:rPr>
    </w:lvl>
    <w:lvl w:ilvl="1">
      <w:start w:val="2"/>
      <w:numFmt w:val="decimal"/>
      <w:lvlText w:val="%1.%2"/>
      <w:lvlJc w:val="left"/>
      <w:pPr>
        <w:ind w:left="1627" w:hanging="790"/>
        <w:jc w:val="left"/>
      </w:pPr>
      <w:rPr>
        <w:rFonts w:hint="default"/>
        <w:lang w:val="zh-CN" w:eastAsia="zh-CN" w:bidi="zh-CN"/>
      </w:rPr>
    </w:lvl>
    <w:lvl w:ilvl="2">
      <w:start w:val="3"/>
      <w:numFmt w:val="decimal"/>
      <w:lvlText w:val="%1.%2.%3"/>
      <w:lvlJc w:val="left"/>
      <w:pPr>
        <w:ind w:left="1627" w:hanging="790"/>
        <w:jc w:val="left"/>
      </w:pPr>
      <w:rPr>
        <w:rFonts w:hint="default"/>
        <w:lang w:val="zh-CN" w:eastAsia="zh-CN" w:bidi="zh-CN"/>
      </w:rPr>
    </w:lvl>
    <w:lvl w:ilvl="3">
      <w:start w:val="3"/>
      <w:numFmt w:val="decimal"/>
      <w:lvlText w:val="%1.%2.%3.%4"/>
      <w:lvlJc w:val="left"/>
      <w:pPr>
        <w:ind w:left="1627" w:hanging="790"/>
        <w:jc w:val="left"/>
      </w:pPr>
      <w:rPr>
        <w:rFonts w:hint="default" w:ascii="宋体" w:hAnsi="宋体" w:eastAsia="宋体" w:cs="宋体"/>
        <w:spacing w:val="-3"/>
        <w:w w:val="100"/>
        <w:sz w:val="21"/>
        <w:szCs w:val="21"/>
        <w:lang w:val="zh-CN" w:eastAsia="zh-CN" w:bidi="zh-CN"/>
      </w:rPr>
    </w:lvl>
    <w:lvl w:ilvl="4">
      <w:start w:val="0"/>
      <w:numFmt w:val="bullet"/>
      <w:lvlText w:val="•"/>
      <w:lvlJc w:val="left"/>
      <w:pPr>
        <w:ind w:left="5230" w:hanging="790"/>
      </w:pPr>
      <w:rPr>
        <w:rFonts w:hint="default"/>
        <w:lang w:val="zh-CN" w:eastAsia="zh-CN" w:bidi="zh-CN"/>
      </w:rPr>
    </w:lvl>
    <w:lvl w:ilvl="5">
      <w:start w:val="0"/>
      <w:numFmt w:val="bullet"/>
      <w:lvlText w:val="•"/>
      <w:lvlJc w:val="left"/>
      <w:pPr>
        <w:ind w:left="6133" w:hanging="790"/>
      </w:pPr>
      <w:rPr>
        <w:rFonts w:hint="default"/>
        <w:lang w:val="zh-CN" w:eastAsia="zh-CN" w:bidi="zh-CN"/>
      </w:rPr>
    </w:lvl>
    <w:lvl w:ilvl="6">
      <w:start w:val="0"/>
      <w:numFmt w:val="bullet"/>
      <w:lvlText w:val="•"/>
      <w:lvlJc w:val="left"/>
      <w:pPr>
        <w:ind w:left="7035" w:hanging="790"/>
      </w:pPr>
      <w:rPr>
        <w:rFonts w:hint="default"/>
        <w:lang w:val="zh-CN" w:eastAsia="zh-CN" w:bidi="zh-CN"/>
      </w:rPr>
    </w:lvl>
    <w:lvl w:ilvl="7">
      <w:start w:val="0"/>
      <w:numFmt w:val="bullet"/>
      <w:lvlText w:val="•"/>
      <w:lvlJc w:val="left"/>
      <w:pPr>
        <w:ind w:left="7938" w:hanging="790"/>
      </w:pPr>
      <w:rPr>
        <w:rFonts w:hint="default"/>
        <w:lang w:val="zh-CN" w:eastAsia="zh-CN" w:bidi="zh-CN"/>
      </w:rPr>
    </w:lvl>
    <w:lvl w:ilvl="8">
      <w:start w:val="0"/>
      <w:numFmt w:val="bullet"/>
      <w:lvlText w:val="•"/>
      <w:lvlJc w:val="left"/>
      <w:pPr>
        <w:ind w:left="8841" w:hanging="790"/>
      </w:pPr>
      <w:rPr>
        <w:rFonts w:hint="default"/>
        <w:lang w:val="zh-CN" w:eastAsia="zh-CN" w:bidi="zh-CN"/>
      </w:rPr>
    </w:lvl>
  </w:abstractNum>
  <w:abstractNum w:abstractNumId="467">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466">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465">
    <w:multiLevelType w:val="hybridMultilevel"/>
    <w:lvl w:ilvl="0">
      <w:start w:val="3"/>
      <w:numFmt w:val="decimal"/>
      <w:lvlText w:val="%1"/>
      <w:lvlJc w:val="left"/>
      <w:pPr>
        <w:ind w:left="1212" w:hanging="372"/>
        <w:jc w:val="left"/>
      </w:pPr>
      <w:rPr>
        <w:rFonts w:hint="default"/>
        <w:lang w:val="zh-CN" w:eastAsia="zh-CN" w:bidi="zh-CN"/>
      </w:rPr>
    </w:lvl>
    <w:lvl w:ilvl="1">
      <w:start w:val="2"/>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464">
    <w:multiLevelType w:val="hybridMultilevel"/>
    <w:lvl w:ilvl="0">
      <w:start w:val="10"/>
      <w:numFmt w:val="decimal"/>
      <w:lvlText w:val="%1"/>
      <w:lvlJc w:val="left"/>
      <w:pPr>
        <w:ind w:left="1265" w:hanging="425"/>
        <w:jc w:val="left"/>
      </w:pPr>
      <w:rPr>
        <w:rFonts w:hint="default"/>
        <w:lang w:val="zh-CN" w:eastAsia="zh-CN" w:bidi="zh-CN"/>
      </w:rPr>
    </w:lvl>
    <w:lvl w:ilvl="1">
      <w:start w:val="1"/>
      <w:numFmt w:val="decimal"/>
      <w:lvlText w:val="%1.%2"/>
      <w:lvlJc w:val="left"/>
      <w:pPr>
        <w:ind w:left="1265" w:hanging="425"/>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1480" w:hanging="637"/>
      </w:pPr>
      <w:rPr>
        <w:rFonts w:hint="default"/>
        <w:lang w:val="zh-CN" w:eastAsia="zh-CN" w:bidi="zh-CN"/>
      </w:rPr>
    </w:lvl>
    <w:lvl w:ilvl="4">
      <w:start w:val="0"/>
      <w:numFmt w:val="bullet"/>
      <w:lvlText w:val="•"/>
      <w:lvlJc w:val="left"/>
      <w:pPr>
        <w:ind w:left="2789" w:hanging="637"/>
      </w:pPr>
      <w:rPr>
        <w:rFonts w:hint="default"/>
        <w:lang w:val="zh-CN" w:eastAsia="zh-CN" w:bidi="zh-CN"/>
      </w:rPr>
    </w:lvl>
    <w:lvl w:ilvl="5">
      <w:start w:val="0"/>
      <w:numFmt w:val="bullet"/>
      <w:lvlText w:val="•"/>
      <w:lvlJc w:val="left"/>
      <w:pPr>
        <w:ind w:left="4098" w:hanging="637"/>
      </w:pPr>
      <w:rPr>
        <w:rFonts w:hint="default"/>
        <w:lang w:val="zh-CN" w:eastAsia="zh-CN" w:bidi="zh-CN"/>
      </w:rPr>
    </w:lvl>
    <w:lvl w:ilvl="6">
      <w:start w:val="0"/>
      <w:numFmt w:val="bullet"/>
      <w:lvlText w:val="•"/>
      <w:lvlJc w:val="left"/>
      <w:pPr>
        <w:ind w:left="5408" w:hanging="637"/>
      </w:pPr>
      <w:rPr>
        <w:rFonts w:hint="default"/>
        <w:lang w:val="zh-CN" w:eastAsia="zh-CN" w:bidi="zh-CN"/>
      </w:rPr>
    </w:lvl>
    <w:lvl w:ilvl="7">
      <w:start w:val="0"/>
      <w:numFmt w:val="bullet"/>
      <w:lvlText w:val="•"/>
      <w:lvlJc w:val="left"/>
      <w:pPr>
        <w:ind w:left="6717" w:hanging="637"/>
      </w:pPr>
      <w:rPr>
        <w:rFonts w:hint="default"/>
        <w:lang w:val="zh-CN" w:eastAsia="zh-CN" w:bidi="zh-CN"/>
      </w:rPr>
    </w:lvl>
    <w:lvl w:ilvl="8">
      <w:start w:val="0"/>
      <w:numFmt w:val="bullet"/>
      <w:lvlText w:val="•"/>
      <w:lvlJc w:val="left"/>
      <w:pPr>
        <w:ind w:left="8027" w:hanging="637"/>
      </w:pPr>
      <w:rPr>
        <w:rFonts w:hint="default"/>
        <w:lang w:val="zh-CN" w:eastAsia="zh-CN" w:bidi="zh-CN"/>
      </w:rPr>
    </w:lvl>
  </w:abstractNum>
  <w:abstractNum w:abstractNumId="463">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462">
    <w:multiLevelType w:val="hybridMultilevel"/>
    <w:lvl w:ilvl="0">
      <w:start w:val="2"/>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461">
    <w:multiLevelType w:val="hybridMultilevel"/>
    <w:lvl w:ilvl="0">
      <w:start w:val="9"/>
      <w:numFmt w:val="decimal"/>
      <w:lvlText w:val="%1"/>
      <w:lvlJc w:val="left"/>
      <w:pPr>
        <w:ind w:left="418" w:hanging="529"/>
        <w:jc w:val="left"/>
      </w:pPr>
      <w:rPr>
        <w:rFonts w:hint="default"/>
        <w:lang w:val="zh-CN" w:eastAsia="zh-CN" w:bidi="zh-CN"/>
      </w:rPr>
    </w:lvl>
    <w:lvl w:ilvl="1">
      <w:start w:val="1"/>
      <w:numFmt w:val="decimal"/>
      <w:lvlText w:val="%1.%2"/>
      <w:lvlJc w:val="left"/>
      <w:pPr>
        <w:ind w:left="418" w:hanging="529"/>
        <w:jc w:val="left"/>
      </w:pPr>
      <w:rPr>
        <w:rFonts w:hint="default"/>
        <w:lang w:val="zh-CN" w:eastAsia="zh-CN" w:bidi="zh-CN"/>
      </w:rPr>
    </w:lvl>
    <w:lvl w:ilvl="2">
      <w:start w:val="2"/>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60">
    <w:multiLevelType w:val="hybridMultilevel"/>
    <w:lvl w:ilvl="0">
      <w:start w:val="9"/>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459">
    <w:multiLevelType w:val="hybridMultilevel"/>
    <w:lvl w:ilvl="0">
      <w:start w:val="1"/>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458">
    <w:multiLevelType w:val="hybridMultilevel"/>
    <w:lvl w:ilvl="0">
      <w:start w:val="8"/>
      <w:numFmt w:val="decimal"/>
      <w:lvlText w:val="%1"/>
      <w:lvlJc w:val="left"/>
      <w:pPr>
        <w:ind w:left="1477" w:hanging="637"/>
        <w:jc w:val="left"/>
      </w:pPr>
      <w:rPr>
        <w:rFonts w:hint="default"/>
        <w:lang w:val="zh-CN" w:eastAsia="zh-CN" w:bidi="zh-CN"/>
      </w:rPr>
    </w:lvl>
    <w:lvl w:ilvl="1">
      <w:start w:val="13"/>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457">
    <w:multiLevelType w:val="hybridMultilevel"/>
    <w:lvl w:ilvl="0">
      <w:start w:val="8"/>
      <w:numFmt w:val="decimal"/>
      <w:lvlText w:val="%1"/>
      <w:lvlJc w:val="left"/>
      <w:pPr>
        <w:ind w:left="1477" w:hanging="637"/>
        <w:jc w:val="left"/>
      </w:pPr>
      <w:rPr>
        <w:rFonts w:hint="default"/>
        <w:lang w:val="zh-CN" w:eastAsia="zh-CN" w:bidi="zh-CN"/>
      </w:rPr>
    </w:lvl>
    <w:lvl w:ilvl="1">
      <w:start w:val="11"/>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456">
    <w:multiLevelType w:val="hybridMultilevel"/>
    <w:lvl w:ilvl="0">
      <w:start w:val="8"/>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position w:val="1"/>
        <w:sz w:val="19"/>
        <w:szCs w:val="19"/>
        <w:lang w:val="zh-CN" w:eastAsia="zh-CN" w:bidi="zh-CN"/>
      </w:rPr>
    </w:lvl>
    <w:lvl w:ilvl="4">
      <w:start w:val="0"/>
      <w:numFmt w:val="bullet"/>
      <w:lvlText w:val="•"/>
      <w:lvlJc w:val="left"/>
      <w:pPr>
        <w:ind w:left="2703" w:hanging="738"/>
      </w:pPr>
      <w:rPr>
        <w:rFonts w:hint="default"/>
        <w:lang w:val="zh-CN" w:eastAsia="zh-CN" w:bidi="zh-CN"/>
      </w:rPr>
    </w:lvl>
    <w:lvl w:ilvl="5">
      <w:start w:val="0"/>
      <w:numFmt w:val="bullet"/>
      <w:lvlText w:val="•"/>
      <w:lvlJc w:val="left"/>
      <w:pPr>
        <w:ind w:left="4027" w:hanging="738"/>
      </w:pPr>
      <w:rPr>
        <w:rFonts w:hint="default"/>
        <w:lang w:val="zh-CN" w:eastAsia="zh-CN" w:bidi="zh-CN"/>
      </w:rPr>
    </w:lvl>
    <w:lvl w:ilvl="6">
      <w:start w:val="0"/>
      <w:numFmt w:val="bullet"/>
      <w:lvlText w:val="•"/>
      <w:lvlJc w:val="left"/>
      <w:pPr>
        <w:ind w:left="5351" w:hanging="738"/>
      </w:pPr>
      <w:rPr>
        <w:rFonts w:hint="default"/>
        <w:lang w:val="zh-CN" w:eastAsia="zh-CN" w:bidi="zh-CN"/>
      </w:rPr>
    </w:lvl>
    <w:lvl w:ilvl="7">
      <w:start w:val="0"/>
      <w:numFmt w:val="bullet"/>
      <w:lvlText w:val="•"/>
      <w:lvlJc w:val="left"/>
      <w:pPr>
        <w:ind w:left="6675" w:hanging="738"/>
      </w:pPr>
      <w:rPr>
        <w:rFonts w:hint="default"/>
        <w:lang w:val="zh-CN" w:eastAsia="zh-CN" w:bidi="zh-CN"/>
      </w:rPr>
    </w:lvl>
    <w:lvl w:ilvl="8">
      <w:start w:val="0"/>
      <w:numFmt w:val="bullet"/>
      <w:lvlText w:val="•"/>
      <w:lvlJc w:val="left"/>
      <w:pPr>
        <w:ind w:left="7998" w:hanging="738"/>
      </w:pPr>
      <w:rPr>
        <w:rFonts w:hint="default"/>
        <w:lang w:val="zh-CN" w:eastAsia="zh-CN" w:bidi="zh-CN"/>
      </w:rPr>
    </w:lvl>
  </w:abstractNum>
  <w:abstractNum w:abstractNumId="455">
    <w:multiLevelType w:val="hybridMultilevel"/>
    <w:lvl w:ilvl="0">
      <w:start w:val="8"/>
      <w:numFmt w:val="decimal"/>
      <w:lvlText w:val="%1"/>
      <w:lvlJc w:val="left"/>
      <w:pPr>
        <w:ind w:left="1575" w:hanging="738"/>
        <w:jc w:val="left"/>
      </w:pPr>
      <w:rPr>
        <w:rFonts w:hint="default"/>
        <w:lang w:val="zh-CN" w:eastAsia="zh-CN" w:bidi="zh-CN"/>
      </w:rPr>
    </w:lvl>
    <w:lvl w:ilvl="1">
      <w:start w:val="6"/>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454">
    <w:multiLevelType w:val="hybridMultilevel"/>
    <w:lvl w:ilvl="0">
      <w:start w:val="8"/>
      <w:numFmt w:val="decimal"/>
      <w:lvlText w:val="%1"/>
      <w:lvlJc w:val="left"/>
      <w:pPr>
        <w:ind w:left="1370" w:hanging="531"/>
        <w:jc w:val="left"/>
      </w:pPr>
      <w:rPr>
        <w:rFonts w:hint="default"/>
        <w:lang w:val="zh-CN" w:eastAsia="zh-CN" w:bidi="zh-CN"/>
      </w:rPr>
    </w:lvl>
    <w:lvl w:ilvl="1">
      <w:start w:val="5"/>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02" w:hanging="738"/>
      </w:pPr>
      <w:rPr>
        <w:rFonts w:hint="default"/>
        <w:lang w:val="zh-CN" w:eastAsia="zh-CN" w:bidi="zh-CN"/>
      </w:rPr>
    </w:lvl>
    <w:lvl w:ilvl="5">
      <w:start w:val="0"/>
      <w:numFmt w:val="bullet"/>
      <w:lvlText w:val="•"/>
      <w:lvlJc w:val="left"/>
      <w:pPr>
        <w:ind w:left="5609" w:hanging="738"/>
      </w:pPr>
      <w:rPr>
        <w:rFonts w:hint="default"/>
        <w:lang w:val="zh-CN" w:eastAsia="zh-CN" w:bidi="zh-CN"/>
      </w:rPr>
    </w:lvl>
    <w:lvl w:ilvl="6">
      <w:start w:val="0"/>
      <w:numFmt w:val="bullet"/>
      <w:lvlText w:val="•"/>
      <w:lvlJc w:val="left"/>
      <w:pPr>
        <w:ind w:left="6616" w:hanging="738"/>
      </w:pPr>
      <w:rPr>
        <w:rFonts w:hint="default"/>
        <w:lang w:val="zh-CN" w:eastAsia="zh-CN" w:bidi="zh-CN"/>
      </w:rPr>
    </w:lvl>
    <w:lvl w:ilvl="7">
      <w:start w:val="0"/>
      <w:numFmt w:val="bullet"/>
      <w:lvlText w:val="•"/>
      <w:lvlJc w:val="left"/>
      <w:pPr>
        <w:ind w:left="7624" w:hanging="738"/>
      </w:pPr>
      <w:rPr>
        <w:rFonts w:hint="default"/>
        <w:lang w:val="zh-CN" w:eastAsia="zh-CN" w:bidi="zh-CN"/>
      </w:rPr>
    </w:lvl>
    <w:lvl w:ilvl="8">
      <w:start w:val="0"/>
      <w:numFmt w:val="bullet"/>
      <w:lvlText w:val="•"/>
      <w:lvlJc w:val="left"/>
      <w:pPr>
        <w:ind w:left="8631" w:hanging="738"/>
      </w:pPr>
      <w:rPr>
        <w:rFonts w:hint="default"/>
        <w:lang w:val="zh-CN" w:eastAsia="zh-CN" w:bidi="zh-CN"/>
      </w:rPr>
    </w:lvl>
  </w:abstractNum>
  <w:abstractNum w:abstractNumId="453">
    <w:multiLevelType w:val="hybridMultilevel"/>
    <w:lvl w:ilvl="0">
      <w:start w:val="8"/>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452">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451">
    <w:multiLevelType w:val="hybridMultilevel"/>
    <w:lvl w:ilvl="0">
      <w:start w:val="7"/>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3"/>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450">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43"/>
        <w:jc w:val="left"/>
      </w:pPr>
      <w:rPr>
        <w:rFonts w:hint="default" w:ascii="宋体" w:hAnsi="宋体" w:eastAsia="宋体" w:cs="宋体"/>
        <w:b/>
        <w:bCs/>
        <w:spacing w:val="-55"/>
        <w:w w:val="99"/>
        <w:sz w:val="19"/>
        <w:szCs w:val="19"/>
        <w:lang w:val="zh-CN" w:eastAsia="zh-CN" w:bidi="zh-CN"/>
      </w:rPr>
    </w:lvl>
    <w:lvl w:ilvl="4">
      <w:start w:val="0"/>
      <w:numFmt w:val="bullet"/>
      <w:lvlText w:val="•"/>
      <w:lvlJc w:val="left"/>
      <w:pPr>
        <w:ind w:left="3681" w:hanging="743"/>
      </w:pPr>
      <w:rPr>
        <w:rFonts w:hint="default"/>
        <w:lang w:val="zh-CN" w:eastAsia="zh-CN" w:bidi="zh-CN"/>
      </w:rPr>
    </w:lvl>
    <w:lvl w:ilvl="5">
      <w:start w:val="0"/>
      <w:numFmt w:val="bullet"/>
      <w:lvlText w:val="•"/>
      <w:lvlJc w:val="left"/>
      <w:pPr>
        <w:ind w:left="4842" w:hanging="743"/>
      </w:pPr>
      <w:rPr>
        <w:rFonts w:hint="default"/>
        <w:lang w:val="zh-CN" w:eastAsia="zh-CN" w:bidi="zh-CN"/>
      </w:rPr>
    </w:lvl>
    <w:lvl w:ilvl="6">
      <w:start w:val="0"/>
      <w:numFmt w:val="bullet"/>
      <w:lvlText w:val="•"/>
      <w:lvlJc w:val="left"/>
      <w:pPr>
        <w:ind w:left="6003" w:hanging="743"/>
      </w:pPr>
      <w:rPr>
        <w:rFonts w:hint="default"/>
        <w:lang w:val="zh-CN" w:eastAsia="zh-CN" w:bidi="zh-CN"/>
      </w:rPr>
    </w:lvl>
    <w:lvl w:ilvl="7">
      <w:start w:val="0"/>
      <w:numFmt w:val="bullet"/>
      <w:lvlText w:val="•"/>
      <w:lvlJc w:val="left"/>
      <w:pPr>
        <w:ind w:left="7164" w:hanging="743"/>
      </w:pPr>
      <w:rPr>
        <w:rFonts w:hint="default"/>
        <w:lang w:val="zh-CN" w:eastAsia="zh-CN" w:bidi="zh-CN"/>
      </w:rPr>
    </w:lvl>
    <w:lvl w:ilvl="8">
      <w:start w:val="0"/>
      <w:numFmt w:val="bullet"/>
      <w:lvlText w:val="•"/>
      <w:lvlJc w:val="left"/>
      <w:pPr>
        <w:ind w:left="8324" w:hanging="743"/>
      </w:pPr>
      <w:rPr>
        <w:rFonts w:hint="default"/>
        <w:lang w:val="zh-CN" w:eastAsia="zh-CN" w:bidi="zh-CN"/>
      </w:rPr>
    </w:lvl>
  </w:abstractNum>
  <w:abstractNum w:abstractNumId="449">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448">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447">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446">
    <w:multiLevelType w:val="hybridMultilevel"/>
    <w:lvl w:ilvl="0">
      <w:start w:val="4"/>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445">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444">
    <w:multiLevelType w:val="hybridMultilevel"/>
    <w:lvl w:ilvl="0">
      <w:start w:val="4"/>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443">
    <w:multiLevelType w:val="hybridMultilevel"/>
    <w:lvl w:ilvl="0">
      <w:start w:val="1"/>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442">
    <w:multiLevelType w:val="hybridMultilevel"/>
    <w:lvl w:ilvl="0">
      <w:start w:val="7"/>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441">
    <w:multiLevelType w:val="hybridMultilevel"/>
    <w:lvl w:ilvl="0">
      <w:start w:val="6"/>
      <w:numFmt w:val="decimal"/>
      <w:lvlText w:val="%1"/>
      <w:lvlJc w:val="left"/>
      <w:pPr>
        <w:ind w:left="418" w:hanging="738"/>
        <w:jc w:val="left"/>
      </w:pPr>
      <w:rPr>
        <w:rFonts w:hint="default"/>
        <w:lang w:val="zh-CN" w:eastAsia="zh-CN" w:bidi="zh-CN"/>
      </w:rPr>
    </w:lvl>
    <w:lvl w:ilvl="1">
      <w:start w:val="9"/>
      <w:numFmt w:val="decimal"/>
      <w:lvlText w:val="%1.%2"/>
      <w:lvlJc w:val="left"/>
      <w:pPr>
        <w:ind w:left="418" w:hanging="738"/>
        <w:jc w:val="left"/>
      </w:pPr>
      <w:rPr>
        <w:rFonts w:hint="default"/>
        <w:lang w:val="zh-CN" w:eastAsia="zh-CN" w:bidi="zh-CN"/>
      </w:rPr>
    </w:lvl>
    <w:lvl w:ilvl="2">
      <w:start w:val="4"/>
      <w:numFmt w:val="decimal"/>
      <w:lvlText w:val="%1.%2.%3"/>
      <w:lvlJc w:val="left"/>
      <w:pPr>
        <w:ind w:left="418" w:hanging="738"/>
        <w:jc w:val="left"/>
      </w:pPr>
      <w:rPr>
        <w:rFonts w:hint="default"/>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440">
    <w:multiLevelType w:val="hybridMultilevel"/>
    <w:lvl w:ilvl="0">
      <w:start w:val="6"/>
      <w:numFmt w:val="decimal"/>
      <w:lvlText w:val="%1"/>
      <w:lvlJc w:val="left"/>
      <w:pPr>
        <w:ind w:left="1787" w:hanging="950"/>
        <w:jc w:val="left"/>
      </w:pPr>
      <w:rPr>
        <w:rFonts w:hint="default"/>
        <w:lang w:val="zh-CN" w:eastAsia="zh-CN" w:bidi="zh-CN"/>
      </w:rPr>
    </w:lvl>
    <w:lvl w:ilvl="1">
      <w:start w:val="8"/>
      <w:numFmt w:val="decimal"/>
      <w:lvlText w:val="%1.%2"/>
      <w:lvlJc w:val="left"/>
      <w:pPr>
        <w:ind w:left="1787" w:hanging="950"/>
        <w:jc w:val="left"/>
      </w:pPr>
      <w:rPr>
        <w:rFonts w:hint="default"/>
        <w:lang w:val="zh-CN" w:eastAsia="zh-CN" w:bidi="zh-CN"/>
      </w:rPr>
    </w:lvl>
    <w:lvl w:ilvl="2">
      <w:start w:val="3"/>
      <w:numFmt w:val="decimal"/>
      <w:lvlText w:val="%1.%2.%3"/>
      <w:lvlJc w:val="left"/>
      <w:pPr>
        <w:ind w:left="1787" w:hanging="950"/>
        <w:jc w:val="left"/>
      </w:pPr>
      <w:rPr>
        <w:rFonts w:hint="default"/>
        <w:lang w:val="zh-CN" w:eastAsia="zh-CN" w:bidi="zh-CN"/>
      </w:rPr>
    </w:lvl>
    <w:lvl w:ilvl="3">
      <w:start w:val="2"/>
      <w:numFmt w:val="decimal"/>
      <w:lvlText w:val="%1.%2.%3.%4"/>
      <w:lvlJc w:val="left"/>
      <w:pPr>
        <w:ind w:left="1787" w:hanging="950"/>
        <w:jc w:val="left"/>
      </w:pPr>
      <w:rPr>
        <w:rFonts w:hint="default"/>
        <w:lang w:val="zh-CN" w:eastAsia="zh-CN" w:bidi="zh-CN"/>
      </w:rPr>
    </w:lvl>
    <w:lvl w:ilvl="4">
      <w:start w:val="3"/>
      <w:numFmt w:val="decimal"/>
      <w:lvlText w:val="%1.%2.%3.%4.%5"/>
      <w:lvlJc w:val="left"/>
      <w:pPr>
        <w:ind w:left="1787" w:hanging="950"/>
        <w:jc w:val="left"/>
      </w:pPr>
      <w:rPr>
        <w:rFonts w:hint="default" w:ascii="宋体" w:hAnsi="宋体" w:eastAsia="宋体" w:cs="宋体"/>
        <w:spacing w:val="-3"/>
        <w:w w:val="100"/>
        <w:position w:val="1"/>
        <w:sz w:val="19"/>
        <w:szCs w:val="19"/>
        <w:lang w:val="zh-CN" w:eastAsia="zh-CN" w:bidi="zh-CN"/>
      </w:rPr>
    </w:lvl>
    <w:lvl w:ilvl="5">
      <w:start w:val="0"/>
      <w:numFmt w:val="bullet"/>
      <w:lvlText w:val="•"/>
      <w:lvlJc w:val="left"/>
      <w:pPr>
        <w:ind w:left="6213" w:hanging="950"/>
      </w:pPr>
      <w:rPr>
        <w:rFonts w:hint="default"/>
        <w:lang w:val="zh-CN" w:eastAsia="zh-CN" w:bidi="zh-CN"/>
      </w:rPr>
    </w:lvl>
    <w:lvl w:ilvl="6">
      <w:start w:val="0"/>
      <w:numFmt w:val="bullet"/>
      <w:lvlText w:val="•"/>
      <w:lvlJc w:val="left"/>
      <w:pPr>
        <w:ind w:left="7099" w:hanging="950"/>
      </w:pPr>
      <w:rPr>
        <w:rFonts w:hint="default"/>
        <w:lang w:val="zh-CN" w:eastAsia="zh-CN" w:bidi="zh-CN"/>
      </w:rPr>
    </w:lvl>
    <w:lvl w:ilvl="7">
      <w:start w:val="0"/>
      <w:numFmt w:val="bullet"/>
      <w:lvlText w:val="•"/>
      <w:lvlJc w:val="left"/>
      <w:pPr>
        <w:ind w:left="7986" w:hanging="950"/>
      </w:pPr>
      <w:rPr>
        <w:rFonts w:hint="default"/>
        <w:lang w:val="zh-CN" w:eastAsia="zh-CN" w:bidi="zh-CN"/>
      </w:rPr>
    </w:lvl>
    <w:lvl w:ilvl="8">
      <w:start w:val="0"/>
      <w:numFmt w:val="bullet"/>
      <w:lvlText w:val="•"/>
      <w:lvlJc w:val="left"/>
      <w:pPr>
        <w:ind w:left="8873" w:hanging="950"/>
      </w:pPr>
      <w:rPr>
        <w:rFonts w:hint="default"/>
        <w:lang w:val="zh-CN" w:eastAsia="zh-CN" w:bidi="zh-CN"/>
      </w:rPr>
    </w:lvl>
  </w:abstractNum>
  <w:abstractNum w:abstractNumId="439">
    <w:multiLevelType w:val="hybridMultilevel"/>
    <w:lvl w:ilvl="0">
      <w:start w:val="6"/>
      <w:numFmt w:val="decimal"/>
      <w:lvlText w:val="%1"/>
      <w:lvlJc w:val="left"/>
      <w:pPr>
        <w:ind w:left="418" w:hanging="950"/>
        <w:jc w:val="left"/>
      </w:pPr>
      <w:rPr>
        <w:rFonts w:hint="default"/>
        <w:lang w:val="zh-CN" w:eastAsia="zh-CN" w:bidi="zh-CN"/>
      </w:rPr>
    </w:lvl>
    <w:lvl w:ilvl="1">
      <w:start w:val="8"/>
      <w:numFmt w:val="decimal"/>
      <w:lvlText w:val="%1.%2"/>
      <w:lvlJc w:val="left"/>
      <w:pPr>
        <w:ind w:left="418" w:hanging="950"/>
        <w:jc w:val="left"/>
      </w:pPr>
      <w:rPr>
        <w:rFonts w:hint="default"/>
        <w:lang w:val="zh-CN" w:eastAsia="zh-CN" w:bidi="zh-CN"/>
      </w:rPr>
    </w:lvl>
    <w:lvl w:ilvl="2">
      <w:start w:val="3"/>
      <w:numFmt w:val="decimal"/>
      <w:lvlText w:val="%1.%2.%3"/>
      <w:lvlJc w:val="left"/>
      <w:pPr>
        <w:ind w:left="418" w:hanging="950"/>
        <w:jc w:val="left"/>
      </w:pPr>
      <w:rPr>
        <w:rFonts w:hint="default"/>
        <w:lang w:val="zh-CN" w:eastAsia="zh-CN" w:bidi="zh-CN"/>
      </w:rPr>
    </w:lvl>
    <w:lvl w:ilvl="3">
      <w:start w:val="2"/>
      <w:numFmt w:val="decimal"/>
      <w:lvlText w:val="%1.%2.%3.%4"/>
      <w:lvlJc w:val="left"/>
      <w:pPr>
        <w:ind w:left="418" w:hanging="950"/>
        <w:jc w:val="left"/>
      </w:pPr>
      <w:rPr>
        <w:rFonts w:hint="default"/>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533" w:hanging="950"/>
      </w:pPr>
      <w:rPr>
        <w:rFonts w:hint="default"/>
        <w:lang w:val="zh-CN" w:eastAsia="zh-CN" w:bidi="zh-CN"/>
      </w:rPr>
    </w:lvl>
    <w:lvl w:ilvl="6">
      <w:start w:val="0"/>
      <w:numFmt w:val="bullet"/>
      <w:lvlText w:val="•"/>
      <w:lvlJc w:val="left"/>
      <w:pPr>
        <w:ind w:left="6555" w:hanging="950"/>
      </w:pPr>
      <w:rPr>
        <w:rFonts w:hint="default"/>
        <w:lang w:val="zh-CN" w:eastAsia="zh-CN" w:bidi="zh-CN"/>
      </w:rPr>
    </w:lvl>
    <w:lvl w:ilvl="7">
      <w:start w:val="0"/>
      <w:numFmt w:val="bullet"/>
      <w:lvlText w:val="•"/>
      <w:lvlJc w:val="left"/>
      <w:pPr>
        <w:ind w:left="7578" w:hanging="950"/>
      </w:pPr>
      <w:rPr>
        <w:rFonts w:hint="default"/>
        <w:lang w:val="zh-CN" w:eastAsia="zh-CN" w:bidi="zh-CN"/>
      </w:rPr>
    </w:lvl>
    <w:lvl w:ilvl="8">
      <w:start w:val="0"/>
      <w:numFmt w:val="bullet"/>
      <w:lvlText w:val="•"/>
      <w:lvlJc w:val="left"/>
      <w:pPr>
        <w:ind w:left="8601" w:hanging="950"/>
      </w:pPr>
      <w:rPr>
        <w:rFonts w:hint="default"/>
        <w:lang w:val="zh-CN" w:eastAsia="zh-CN" w:bidi="zh-CN"/>
      </w:rPr>
    </w:lvl>
  </w:abstractNum>
  <w:abstractNum w:abstractNumId="438">
    <w:multiLevelType w:val="hybridMultilevel"/>
    <w:lvl w:ilvl="0">
      <w:start w:val="6"/>
      <w:numFmt w:val="decimal"/>
      <w:lvlText w:val="%1"/>
      <w:lvlJc w:val="left"/>
      <w:pPr>
        <w:ind w:left="418" w:hanging="950"/>
        <w:jc w:val="left"/>
      </w:pPr>
      <w:rPr>
        <w:rFonts w:hint="default"/>
        <w:lang w:val="zh-CN" w:eastAsia="zh-CN" w:bidi="zh-CN"/>
      </w:rPr>
    </w:lvl>
    <w:lvl w:ilvl="1">
      <w:start w:val="8"/>
      <w:numFmt w:val="decimal"/>
      <w:lvlText w:val="%1.%2"/>
      <w:lvlJc w:val="left"/>
      <w:pPr>
        <w:ind w:left="418" w:hanging="950"/>
        <w:jc w:val="left"/>
      </w:pPr>
      <w:rPr>
        <w:rFonts w:hint="default"/>
        <w:lang w:val="zh-CN" w:eastAsia="zh-CN" w:bidi="zh-CN"/>
      </w:rPr>
    </w:lvl>
    <w:lvl w:ilvl="2">
      <w:start w:val="2"/>
      <w:numFmt w:val="decimal"/>
      <w:lvlText w:val="%1.%2.%3"/>
      <w:lvlJc w:val="left"/>
      <w:pPr>
        <w:ind w:left="418" w:hanging="950"/>
        <w:jc w:val="left"/>
      </w:pPr>
      <w:rPr>
        <w:rFonts w:hint="default"/>
        <w:lang w:val="zh-CN" w:eastAsia="zh-CN" w:bidi="zh-CN"/>
      </w:rPr>
    </w:lvl>
    <w:lvl w:ilvl="3">
      <w:start w:val="2"/>
      <w:numFmt w:val="decimal"/>
      <w:lvlText w:val="%1.%2.%3.%4"/>
      <w:lvlJc w:val="left"/>
      <w:pPr>
        <w:ind w:left="418" w:hanging="950"/>
        <w:jc w:val="left"/>
      </w:pPr>
      <w:rPr>
        <w:rFonts w:hint="default"/>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position w:val="1"/>
        <w:sz w:val="19"/>
        <w:szCs w:val="19"/>
        <w:lang w:val="zh-CN" w:eastAsia="zh-CN" w:bidi="zh-CN"/>
      </w:rPr>
    </w:lvl>
    <w:lvl w:ilvl="5">
      <w:start w:val="0"/>
      <w:numFmt w:val="bullet"/>
      <w:lvlText w:val="•"/>
      <w:lvlJc w:val="left"/>
      <w:pPr>
        <w:ind w:left="5533" w:hanging="950"/>
      </w:pPr>
      <w:rPr>
        <w:rFonts w:hint="default"/>
        <w:lang w:val="zh-CN" w:eastAsia="zh-CN" w:bidi="zh-CN"/>
      </w:rPr>
    </w:lvl>
    <w:lvl w:ilvl="6">
      <w:start w:val="0"/>
      <w:numFmt w:val="bullet"/>
      <w:lvlText w:val="•"/>
      <w:lvlJc w:val="left"/>
      <w:pPr>
        <w:ind w:left="6555" w:hanging="950"/>
      </w:pPr>
      <w:rPr>
        <w:rFonts w:hint="default"/>
        <w:lang w:val="zh-CN" w:eastAsia="zh-CN" w:bidi="zh-CN"/>
      </w:rPr>
    </w:lvl>
    <w:lvl w:ilvl="7">
      <w:start w:val="0"/>
      <w:numFmt w:val="bullet"/>
      <w:lvlText w:val="•"/>
      <w:lvlJc w:val="left"/>
      <w:pPr>
        <w:ind w:left="7578" w:hanging="950"/>
      </w:pPr>
      <w:rPr>
        <w:rFonts w:hint="default"/>
        <w:lang w:val="zh-CN" w:eastAsia="zh-CN" w:bidi="zh-CN"/>
      </w:rPr>
    </w:lvl>
    <w:lvl w:ilvl="8">
      <w:start w:val="0"/>
      <w:numFmt w:val="bullet"/>
      <w:lvlText w:val="•"/>
      <w:lvlJc w:val="left"/>
      <w:pPr>
        <w:ind w:left="8601" w:hanging="950"/>
      </w:pPr>
      <w:rPr>
        <w:rFonts w:hint="default"/>
        <w:lang w:val="zh-CN" w:eastAsia="zh-CN" w:bidi="zh-CN"/>
      </w:rPr>
    </w:lvl>
  </w:abstractNum>
  <w:abstractNum w:abstractNumId="437">
    <w:multiLevelType w:val="hybridMultilevel"/>
    <w:lvl w:ilvl="0">
      <w:start w:val="6"/>
      <w:numFmt w:val="decimal"/>
      <w:lvlText w:val="%1"/>
      <w:lvlJc w:val="left"/>
      <w:pPr>
        <w:ind w:left="1158" w:hanging="318"/>
        <w:jc w:val="left"/>
      </w:pPr>
      <w:rPr>
        <w:rFonts w:hint="default"/>
        <w:lang w:val="zh-CN" w:eastAsia="zh-CN" w:bidi="zh-CN"/>
      </w:rPr>
    </w:lvl>
    <w:lvl w:ilvl="1">
      <w:start w:val="8"/>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spacing w:val="-55"/>
        <w:w w:val="99"/>
        <w:position w:val="1"/>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1580" w:hanging="738"/>
      </w:pPr>
      <w:rPr>
        <w:rFonts w:hint="default"/>
        <w:lang w:val="zh-CN" w:eastAsia="zh-CN" w:bidi="zh-CN"/>
      </w:rPr>
    </w:lvl>
    <w:lvl w:ilvl="5">
      <w:start w:val="0"/>
      <w:numFmt w:val="bullet"/>
      <w:lvlText w:val="•"/>
      <w:lvlJc w:val="left"/>
      <w:pPr>
        <w:ind w:left="1680" w:hanging="738"/>
      </w:pPr>
      <w:rPr>
        <w:rFonts w:hint="default"/>
        <w:lang w:val="zh-CN" w:eastAsia="zh-CN" w:bidi="zh-CN"/>
      </w:rPr>
    </w:lvl>
    <w:lvl w:ilvl="6">
      <w:start w:val="0"/>
      <w:numFmt w:val="bullet"/>
      <w:lvlText w:val="•"/>
      <w:lvlJc w:val="left"/>
      <w:pPr>
        <w:ind w:left="3473" w:hanging="738"/>
      </w:pPr>
      <w:rPr>
        <w:rFonts w:hint="default"/>
        <w:lang w:val="zh-CN" w:eastAsia="zh-CN" w:bidi="zh-CN"/>
      </w:rPr>
    </w:lvl>
    <w:lvl w:ilvl="7">
      <w:start w:val="0"/>
      <w:numFmt w:val="bullet"/>
      <w:lvlText w:val="•"/>
      <w:lvlJc w:val="left"/>
      <w:pPr>
        <w:ind w:left="5266" w:hanging="738"/>
      </w:pPr>
      <w:rPr>
        <w:rFonts w:hint="default"/>
        <w:lang w:val="zh-CN" w:eastAsia="zh-CN" w:bidi="zh-CN"/>
      </w:rPr>
    </w:lvl>
    <w:lvl w:ilvl="8">
      <w:start w:val="0"/>
      <w:numFmt w:val="bullet"/>
      <w:lvlText w:val="•"/>
      <w:lvlJc w:val="left"/>
      <w:pPr>
        <w:ind w:left="7059" w:hanging="738"/>
      </w:pPr>
      <w:rPr>
        <w:rFonts w:hint="default"/>
        <w:lang w:val="zh-CN" w:eastAsia="zh-CN" w:bidi="zh-CN"/>
      </w:rPr>
    </w:lvl>
  </w:abstractNum>
  <w:abstractNum w:abstractNumId="436">
    <w:multiLevelType w:val="hybridMultilevel"/>
    <w:lvl w:ilvl="0">
      <w:start w:val="6"/>
      <w:numFmt w:val="decimal"/>
      <w:lvlText w:val="%1"/>
      <w:lvlJc w:val="left"/>
      <w:pPr>
        <w:ind w:left="1423" w:hanging="584"/>
        <w:jc w:val="left"/>
      </w:pPr>
      <w:rPr>
        <w:rFonts w:hint="default"/>
        <w:lang w:val="zh-CN" w:eastAsia="zh-CN" w:bidi="zh-CN"/>
      </w:rPr>
    </w:lvl>
    <w:lvl w:ilvl="1">
      <w:start w:val="7"/>
      <w:numFmt w:val="decimal"/>
      <w:lvlText w:val="%1.%2"/>
      <w:lvlJc w:val="left"/>
      <w:pPr>
        <w:ind w:left="1423" w:hanging="584"/>
        <w:jc w:val="left"/>
      </w:pPr>
      <w:rPr>
        <w:rFonts w:hint="default"/>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4187" w:hanging="584"/>
      </w:pPr>
      <w:rPr>
        <w:rFonts w:hint="default"/>
        <w:lang w:val="zh-CN" w:eastAsia="zh-CN" w:bidi="zh-CN"/>
      </w:rPr>
    </w:lvl>
    <w:lvl w:ilvl="4">
      <w:start w:val="0"/>
      <w:numFmt w:val="bullet"/>
      <w:lvlText w:val="•"/>
      <w:lvlJc w:val="left"/>
      <w:pPr>
        <w:ind w:left="5110" w:hanging="584"/>
      </w:pPr>
      <w:rPr>
        <w:rFonts w:hint="default"/>
        <w:lang w:val="zh-CN" w:eastAsia="zh-CN" w:bidi="zh-CN"/>
      </w:rPr>
    </w:lvl>
    <w:lvl w:ilvl="5">
      <w:start w:val="0"/>
      <w:numFmt w:val="bullet"/>
      <w:lvlText w:val="•"/>
      <w:lvlJc w:val="left"/>
      <w:pPr>
        <w:ind w:left="6033" w:hanging="584"/>
      </w:pPr>
      <w:rPr>
        <w:rFonts w:hint="default"/>
        <w:lang w:val="zh-CN" w:eastAsia="zh-CN" w:bidi="zh-CN"/>
      </w:rPr>
    </w:lvl>
    <w:lvl w:ilvl="6">
      <w:start w:val="0"/>
      <w:numFmt w:val="bullet"/>
      <w:lvlText w:val="•"/>
      <w:lvlJc w:val="left"/>
      <w:pPr>
        <w:ind w:left="6955" w:hanging="584"/>
      </w:pPr>
      <w:rPr>
        <w:rFonts w:hint="default"/>
        <w:lang w:val="zh-CN" w:eastAsia="zh-CN" w:bidi="zh-CN"/>
      </w:rPr>
    </w:lvl>
    <w:lvl w:ilvl="7">
      <w:start w:val="0"/>
      <w:numFmt w:val="bullet"/>
      <w:lvlText w:val="•"/>
      <w:lvlJc w:val="left"/>
      <w:pPr>
        <w:ind w:left="7878" w:hanging="584"/>
      </w:pPr>
      <w:rPr>
        <w:rFonts w:hint="default"/>
        <w:lang w:val="zh-CN" w:eastAsia="zh-CN" w:bidi="zh-CN"/>
      </w:rPr>
    </w:lvl>
    <w:lvl w:ilvl="8">
      <w:start w:val="0"/>
      <w:numFmt w:val="bullet"/>
      <w:lvlText w:val="•"/>
      <w:lvlJc w:val="left"/>
      <w:pPr>
        <w:ind w:left="8801" w:hanging="584"/>
      </w:pPr>
      <w:rPr>
        <w:rFonts w:hint="default"/>
        <w:lang w:val="zh-CN" w:eastAsia="zh-CN" w:bidi="zh-CN"/>
      </w:rPr>
    </w:lvl>
  </w:abstractNum>
  <w:abstractNum w:abstractNumId="435">
    <w:multiLevelType w:val="hybridMultilevel"/>
    <w:lvl w:ilvl="0">
      <w:start w:val="6"/>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434">
    <w:multiLevelType w:val="hybridMultilevel"/>
    <w:lvl w:ilvl="0">
      <w:start w:val="6"/>
      <w:numFmt w:val="decimal"/>
      <w:lvlText w:val="%1"/>
      <w:lvlJc w:val="left"/>
      <w:pPr>
        <w:ind w:left="1159" w:hanging="320"/>
        <w:jc w:val="left"/>
      </w:pPr>
      <w:rPr>
        <w:rFonts w:hint="default"/>
        <w:lang w:val="zh-CN" w:eastAsia="zh-CN" w:bidi="zh-CN"/>
      </w:rPr>
    </w:lvl>
    <w:lvl w:ilvl="1">
      <w:start w:val="3"/>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726" w:hanging="738"/>
      </w:pPr>
      <w:rPr>
        <w:rFonts w:hint="default"/>
        <w:lang w:val="zh-CN" w:eastAsia="zh-CN" w:bidi="zh-CN"/>
      </w:rPr>
    </w:lvl>
    <w:lvl w:ilvl="5">
      <w:start w:val="0"/>
      <w:numFmt w:val="bullet"/>
      <w:lvlText w:val="•"/>
      <w:lvlJc w:val="left"/>
      <w:pPr>
        <w:ind w:left="4879" w:hanging="738"/>
      </w:pPr>
      <w:rPr>
        <w:rFonts w:hint="default"/>
        <w:lang w:val="zh-CN" w:eastAsia="zh-CN" w:bidi="zh-CN"/>
      </w:rPr>
    </w:lvl>
    <w:lvl w:ilvl="6">
      <w:start w:val="0"/>
      <w:numFmt w:val="bullet"/>
      <w:lvlText w:val="•"/>
      <w:lvlJc w:val="left"/>
      <w:pPr>
        <w:ind w:left="6033" w:hanging="738"/>
      </w:pPr>
      <w:rPr>
        <w:rFonts w:hint="default"/>
        <w:lang w:val="zh-CN" w:eastAsia="zh-CN" w:bidi="zh-CN"/>
      </w:rPr>
    </w:lvl>
    <w:lvl w:ilvl="7">
      <w:start w:val="0"/>
      <w:numFmt w:val="bullet"/>
      <w:lvlText w:val="•"/>
      <w:lvlJc w:val="left"/>
      <w:pPr>
        <w:ind w:left="7186" w:hanging="738"/>
      </w:pPr>
      <w:rPr>
        <w:rFonts w:hint="default"/>
        <w:lang w:val="zh-CN" w:eastAsia="zh-CN" w:bidi="zh-CN"/>
      </w:rPr>
    </w:lvl>
    <w:lvl w:ilvl="8">
      <w:start w:val="0"/>
      <w:numFmt w:val="bullet"/>
      <w:lvlText w:val="•"/>
      <w:lvlJc w:val="left"/>
      <w:pPr>
        <w:ind w:left="8339" w:hanging="738"/>
      </w:pPr>
      <w:rPr>
        <w:rFonts w:hint="default"/>
        <w:lang w:val="zh-CN" w:eastAsia="zh-CN" w:bidi="zh-CN"/>
      </w:rPr>
    </w:lvl>
  </w:abstractNum>
  <w:abstractNum w:abstractNumId="433">
    <w:multiLevelType w:val="hybridMultilevel"/>
    <w:lvl w:ilvl="0">
      <w:start w:val="5"/>
      <w:numFmt w:val="decimal"/>
      <w:lvlText w:val="%1"/>
      <w:lvlJc w:val="left"/>
      <w:pPr>
        <w:ind w:left="1575" w:hanging="738"/>
        <w:jc w:val="left"/>
      </w:pPr>
      <w:rPr>
        <w:rFonts w:hint="default"/>
        <w:lang w:val="zh-CN" w:eastAsia="zh-CN" w:bidi="zh-CN"/>
      </w:rPr>
    </w:lvl>
    <w:lvl w:ilvl="1">
      <w:start w:val="8"/>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432">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431">
    <w:multiLevelType w:val="hybridMultilevel"/>
    <w:lvl w:ilvl="0">
      <w:start w:val="5"/>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4"/>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104" w:hanging="950"/>
      </w:pPr>
      <w:rPr>
        <w:rFonts w:hint="default"/>
        <w:lang w:val="zh-CN" w:eastAsia="zh-CN" w:bidi="zh-CN"/>
      </w:rPr>
    </w:lvl>
    <w:lvl w:ilvl="6">
      <w:start w:val="0"/>
      <w:numFmt w:val="bullet"/>
      <w:lvlText w:val="•"/>
      <w:lvlJc w:val="left"/>
      <w:pPr>
        <w:ind w:left="6213" w:hanging="950"/>
      </w:pPr>
      <w:rPr>
        <w:rFonts w:hint="default"/>
        <w:lang w:val="zh-CN" w:eastAsia="zh-CN" w:bidi="zh-CN"/>
      </w:rPr>
    </w:lvl>
    <w:lvl w:ilvl="7">
      <w:start w:val="0"/>
      <w:numFmt w:val="bullet"/>
      <w:lvlText w:val="•"/>
      <w:lvlJc w:val="left"/>
      <w:pPr>
        <w:ind w:left="7321" w:hanging="950"/>
      </w:pPr>
      <w:rPr>
        <w:rFonts w:hint="default"/>
        <w:lang w:val="zh-CN" w:eastAsia="zh-CN" w:bidi="zh-CN"/>
      </w:rPr>
    </w:lvl>
    <w:lvl w:ilvl="8">
      <w:start w:val="0"/>
      <w:numFmt w:val="bullet"/>
      <w:lvlText w:val="•"/>
      <w:lvlJc w:val="left"/>
      <w:pPr>
        <w:ind w:left="8429" w:hanging="950"/>
      </w:pPr>
      <w:rPr>
        <w:rFonts w:hint="default"/>
        <w:lang w:val="zh-CN" w:eastAsia="zh-CN" w:bidi="zh-CN"/>
      </w:rPr>
    </w:lvl>
  </w:abstractNum>
  <w:abstractNum w:abstractNumId="430">
    <w:multiLevelType w:val="hybridMultilevel"/>
    <w:lvl w:ilvl="0">
      <w:start w:val="5"/>
      <w:numFmt w:val="decimal"/>
      <w:lvlText w:val="%1"/>
      <w:lvlJc w:val="left"/>
      <w:pPr>
        <w:ind w:left="418" w:hanging="738"/>
        <w:jc w:val="left"/>
      </w:pPr>
      <w:rPr>
        <w:rFonts w:hint="default"/>
        <w:lang w:val="zh-CN" w:eastAsia="zh-CN" w:bidi="zh-CN"/>
      </w:rPr>
    </w:lvl>
    <w:lvl w:ilvl="1">
      <w:start w:val="3"/>
      <w:numFmt w:val="decimal"/>
      <w:lvlText w:val="%1.%2"/>
      <w:lvlJc w:val="left"/>
      <w:pPr>
        <w:ind w:left="418" w:hanging="738"/>
        <w:jc w:val="left"/>
      </w:pPr>
      <w:rPr>
        <w:rFonts w:hint="default"/>
        <w:lang w:val="zh-CN" w:eastAsia="zh-CN" w:bidi="zh-CN"/>
      </w:rPr>
    </w:lvl>
    <w:lvl w:ilvl="2">
      <w:start w:val="3"/>
      <w:numFmt w:val="decimal"/>
      <w:lvlText w:val="%1.%2.%3"/>
      <w:lvlJc w:val="left"/>
      <w:pPr>
        <w:ind w:left="418" w:hanging="738"/>
        <w:jc w:val="left"/>
      </w:pPr>
      <w:rPr>
        <w:rFonts w:hint="default"/>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429">
    <w:multiLevelType w:val="hybridMultilevel"/>
    <w:lvl w:ilvl="0">
      <w:start w:val="5"/>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spacing w:val="-3"/>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1580" w:hanging="738"/>
      </w:pPr>
      <w:rPr>
        <w:rFonts w:hint="default"/>
        <w:lang w:val="zh-CN" w:eastAsia="zh-CN" w:bidi="zh-CN"/>
      </w:rPr>
    </w:lvl>
    <w:lvl w:ilvl="5">
      <w:start w:val="0"/>
      <w:numFmt w:val="bullet"/>
      <w:lvlText w:val="•"/>
      <w:lvlJc w:val="left"/>
      <w:pPr>
        <w:ind w:left="3091" w:hanging="738"/>
      </w:pPr>
      <w:rPr>
        <w:rFonts w:hint="default"/>
        <w:lang w:val="zh-CN" w:eastAsia="zh-CN" w:bidi="zh-CN"/>
      </w:rPr>
    </w:lvl>
    <w:lvl w:ilvl="6">
      <w:start w:val="0"/>
      <w:numFmt w:val="bullet"/>
      <w:lvlText w:val="•"/>
      <w:lvlJc w:val="left"/>
      <w:pPr>
        <w:ind w:left="4602" w:hanging="738"/>
      </w:pPr>
      <w:rPr>
        <w:rFonts w:hint="default"/>
        <w:lang w:val="zh-CN" w:eastAsia="zh-CN" w:bidi="zh-CN"/>
      </w:rPr>
    </w:lvl>
    <w:lvl w:ilvl="7">
      <w:start w:val="0"/>
      <w:numFmt w:val="bullet"/>
      <w:lvlText w:val="•"/>
      <w:lvlJc w:val="left"/>
      <w:pPr>
        <w:ind w:left="6113" w:hanging="738"/>
      </w:pPr>
      <w:rPr>
        <w:rFonts w:hint="default"/>
        <w:lang w:val="zh-CN" w:eastAsia="zh-CN" w:bidi="zh-CN"/>
      </w:rPr>
    </w:lvl>
    <w:lvl w:ilvl="8">
      <w:start w:val="0"/>
      <w:numFmt w:val="bullet"/>
      <w:lvlText w:val="•"/>
      <w:lvlJc w:val="left"/>
      <w:pPr>
        <w:ind w:left="7624" w:hanging="738"/>
      </w:pPr>
      <w:rPr>
        <w:rFonts w:hint="default"/>
        <w:lang w:val="zh-CN" w:eastAsia="zh-CN" w:bidi="zh-CN"/>
      </w:rPr>
    </w:lvl>
  </w:abstractNum>
  <w:abstractNum w:abstractNumId="428">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427">
    <w:multiLevelType w:val="hybridMultilevel"/>
    <w:lvl w:ilvl="0">
      <w:start w:val="5"/>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426">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2875" w:hanging="738"/>
      </w:pPr>
      <w:rPr>
        <w:rFonts w:hint="default"/>
        <w:lang w:val="zh-CN" w:eastAsia="zh-CN" w:bidi="zh-CN"/>
      </w:rPr>
    </w:lvl>
    <w:lvl w:ilvl="5">
      <w:start w:val="0"/>
      <w:numFmt w:val="bullet"/>
      <w:lvlText w:val="•"/>
      <w:lvlJc w:val="left"/>
      <w:pPr>
        <w:ind w:left="4170" w:hanging="738"/>
      </w:pPr>
      <w:rPr>
        <w:rFonts w:hint="default"/>
        <w:lang w:val="zh-CN" w:eastAsia="zh-CN" w:bidi="zh-CN"/>
      </w:rPr>
    </w:lvl>
    <w:lvl w:ilvl="6">
      <w:start w:val="0"/>
      <w:numFmt w:val="bullet"/>
      <w:lvlText w:val="•"/>
      <w:lvlJc w:val="left"/>
      <w:pPr>
        <w:ind w:left="5465" w:hanging="738"/>
      </w:pPr>
      <w:rPr>
        <w:rFonts w:hint="default"/>
        <w:lang w:val="zh-CN" w:eastAsia="zh-CN" w:bidi="zh-CN"/>
      </w:rPr>
    </w:lvl>
    <w:lvl w:ilvl="7">
      <w:start w:val="0"/>
      <w:numFmt w:val="bullet"/>
      <w:lvlText w:val="•"/>
      <w:lvlJc w:val="left"/>
      <w:pPr>
        <w:ind w:left="6760" w:hanging="738"/>
      </w:pPr>
      <w:rPr>
        <w:rFonts w:hint="default"/>
        <w:lang w:val="zh-CN" w:eastAsia="zh-CN" w:bidi="zh-CN"/>
      </w:rPr>
    </w:lvl>
    <w:lvl w:ilvl="8">
      <w:start w:val="0"/>
      <w:numFmt w:val="bullet"/>
      <w:lvlText w:val="•"/>
      <w:lvlJc w:val="left"/>
      <w:pPr>
        <w:ind w:left="8056" w:hanging="738"/>
      </w:pPr>
      <w:rPr>
        <w:rFonts w:hint="default"/>
        <w:lang w:val="zh-CN" w:eastAsia="zh-CN" w:bidi="zh-CN"/>
      </w:rPr>
    </w:lvl>
  </w:abstractNum>
  <w:abstractNum w:abstractNumId="425">
    <w:multiLevelType w:val="hybridMultilevel"/>
    <w:lvl w:ilvl="0">
      <w:start w:val="3"/>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42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23">
    <w:multiLevelType w:val="hybridMultilevel"/>
    <w:lvl w:ilvl="0">
      <w:start w:val="1"/>
      <w:numFmt w:val="decimal"/>
      <w:lvlText w:val="（%1）"/>
      <w:lvlJc w:val="left"/>
      <w:pPr>
        <w:ind w:left="418" w:hanging="529"/>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2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21">
    <w:multiLevelType w:val="hybridMultilevel"/>
    <w:lvl w:ilvl="0">
      <w:start w:val="8"/>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420">
    <w:multiLevelType w:val="hybridMultilevel"/>
    <w:lvl w:ilvl="0">
      <w:start w:val="7"/>
      <w:numFmt w:val="decimal"/>
      <w:lvlText w:val="%1"/>
      <w:lvlJc w:val="left"/>
      <w:pPr>
        <w:ind w:left="1371" w:hanging="532"/>
        <w:jc w:val="left"/>
      </w:pPr>
      <w:rPr>
        <w:rFonts w:hint="default"/>
        <w:lang w:val="zh-CN" w:eastAsia="zh-CN" w:bidi="zh-CN"/>
      </w:rPr>
    </w:lvl>
    <w:lvl w:ilvl="1">
      <w:start w:val="3"/>
      <w:numFmt w:val="decimal"/>
      <w:lvlText w:val="%1.%2"/>
      <w:lvlJc w:val="left"/>
      <w:pPr>
        <w:ind w:left="1371" w:hanging="532"/>
        <w:jc w:val="left"/>
      </w:pPr>
      <w:rPr>
        <w:rFonts w:hint="default"/>
        <w:lang w:val="zh-CN" w:eastAsia="zh-CN" w:bidi="zh-CN"/>
      </w:rPr>
    </w:lvl>
    <w:lvl w:ilvl="2">
      <w:start w:val="1"/>
      <w:numFmt w:val="decimal"/>
      <w:lvlText w:val="%1.%2.%3"/>
      <w:lvlJc w:val="left"/>
      <w:pPr>
        <w:ind w:left="1371" w:hanging="532"/>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2"/>
      </w:pPr>
      <w:rPr>
        <w:rFonts w:hint="default"/>
        <w:lang w:val="zh-CN" w:eastAsia="zh-CN" w:bidi="zh-CN"/>
      </w:rPr>
    </w:lvl>
    <w:lvl w:ilvl="4">
      <w:start w:val="0"/>
      <w:numFmt w:val="bullet"/>
      <w:lvlText w:val="•"/>
      <w:lvlJc w:val="left"/>
      <w:pPr>
        <w:ind w:left="5086" w:hanging="532"/>
      </w:pPr>
      <w:rPr>
        <w:rFonts w:hint="default"/>
        <w:lang w:val="zh-CN" w:eastAsia="zh-CN" w:bidi="zh-CN"/>
      </w:rPr>
    </w:lvl>
    <w:lvl w:ilvl="5">
      <w:start w:val="0"/>
      <w:numFmt w:val="bullet"/>
      <w:lvlText w:val="•"/>
      <w:lvlJc w:val="left"/>
      <w:pPr>
        <w:ind w:left="6013" w:hanging="532"/>
      </w:pPr>
      <w:rPr>
        <w:rFonts w:hint="default"/>
        <w:lang w:val="zh-CN" w:eastAsia="zh-CN" w:bidi="zh-CN"/>
      </w:rPr>
    </w:lvl>
    <w:lvl w:ilvl="6">
      <w:start w:val="0"/>
      <w:numFmt w:val="bullet"/>
      <w:lvlText w:val="•"/>
      <w:lvlJc w:val="left"/>
      <w:pPr>
        <w:ind w:left="6939" w:hanging="532"/>
      </w:pPr>
      <w:rPr>
        <w:rFonts w:hint="default"/>
        <w:lang w:val="zh-CN" w:eastAsia="zh-CN" w:bidi="zh-CN"/>
      </w:rPr>
    </w:lvl>
    <w:lvl w:ilvl="7">
      <w:start w:val="0"/>
      <w:numFmt w:val="bullet"/>
      <w:lvlText w:val="•"/>
      <w:lvlJc w:val="left"/>
      <w:pPr>
        <w:ind w:left="7866" w:hanging="532"/>
      </w:pPr>
      <w:rPr>
        <w:rFonts w:hint="default"/>
        <w:lang w:val="zh-CN" w:eastAsia="zh-CN" w:bidi="zh-CN"/>
      </w:rPr>
    </w:lvl>
    <w:lvl w:ilvl="8">
      <w:start w:val="0"/>
      <w:numFmt w:val="bullet"/>
      <w:lvlText w:val="•"/>
      <w:lvlJc w:val="left"/>
      <w:pPr>
        <w:ind w:left="8793" w:hanging="532"/>
      </w:pPr>
      <w:rPr>
        <w:rFonts w:hint="default"/>
        <w:lang w:val="zh-CN" w:eastAsia="zh-CN" w:bidi="zh-CN"/>
      </w:rPr>
    </w:lvl>
  </w:abstractNum>
  <w:abstractNum w:abstractNumId="41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1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1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16">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15">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414">
    <w:multiLevelType w:val="hybridMultilevel"/>
    <w:lvl w:ilvl="0">
      <w:start w:val="6"/>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8"/>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413">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1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1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10">
    <w:multiLevelType w:val="hybridMultilevel"/>
    <w:lvl w:ilvl="0">
      <w:start w:val="6"/>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5"/>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09">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08">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0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406">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05">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04">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03">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29"/>
      </w:pPr>
      <w:rPr>
        <w:rFonts w:hint="default"/>
        <w:lang w:val="zh-CN" w:eastAsia="zh-CN" w:bidi="zh-CN"/>
      </w:rPr>
    </w:lvl>
    <w:lvl w:ilvl="4">
      <w:start w:val="0"/>
      <w:numFmt w:val="bullet"/>
      <w:lvlText w:val="•"/>
      <w:lvlJc w:val="left"/>
      <w:pPr>
        <w:ind w:left="2703" w:hanging="529"/>
      </w:pPr>
      <w:rPr>
        <w:rFonts w:hint="default"/>
        <w:lang w:val="zh-CN" w:eastAsia="zh-CN" w:bidi="zh-CN"/>
      </w:rPr>
    </w:lvl>
    <w:lvl w:ilvl="5">
      <w:start w:val="0"/>
      <w:numFmt w:val="bullet"/>
      <w:lvlText w:val="•"/>
      <w:lvlJc w:val="left"/>
      <w:pPr>
        <w:ind w:left="4027" w:hanging="529"/>
      </w:pPr>
      <w:rPr>
        <w:rFonts w:hint="default"/>
        <w:lang w:val="zh-CN" w:eastAsia="zh-CN" w:bidi="zh-CN"/>
      </w:rPr>
    </w:lvl>
    <w:lvl w:ilvl="6">
      <w:start w:val="0"/>
      <w:numFmt w:val="bullet"/>
      <w:lvlText w:val="•"/>
      <w:lvlJc w:val="left"/>
      <w:pPr>
        <w:ind w:left="5351" w:hanging="529"/>
      </w:pPr>
      <w:rPr>
        <w:rFonts w:hint="default"/>
        <w:lang w:val="zh-CN" w:eastAsia="zh-CN" w:bidi="zh-CN"/>
      </w:rPr>
    </w:lvl>
    <w:lvl w:ilvl="7">
      <w:start w:val="0"/>
      <w:numFmt w:val="bullet"/>
      <w:lvlText w:val="•"/>
      <w:lvlJc w:val="left"/>
      <w:pPr>
        <w:ind w:left="6675" w:hanging="529"/>
      </w:pPr>
      <w:rPr>
        <w:rFonts w:hint="default"/>
        <w:lang w:val="zh-CN" w:eastAsia="zh-CN" w:bidi="zh-CN"/>
      </w:rPr>
    </w:lvl>
    <w:lvl w:ilvl="8">
      <w:start w:val="0"/>
      <w:numFmt w:val="bullet"/>
      <w:lvlText w:val="•"/>
      <w:lvlJc w:val="left"/>
      <w:pPr>
        <w:ind w:left="7998" w:hanging="529"/>
      </w:pPr>
      <w:rPr>
        <w:rFonts w:hint="default"/>
        <w:lang w:val="zh-CN" w:eastAsia="zh-CN" w:bidi="zh-CN"/>
      </w:rPr>
    </w:lvl>
  </w:abstractNum>
  <w:abstractNum w:abstractNumId="402">
    <w:multiLevelType w:val="hybridMultilevel"/>
    <w:lvl w:ilvl="0">
      <w:start w:val="5"/>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401">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00">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9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9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9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96">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b/>
        <w:bCs/>
        <w:w w:val="9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39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9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93">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9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9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90">
    <w:multiLevelType w:val="hybridMultilevel"/>
    <w:lvl w:ilvl="0">
      <w:start w:val="4"/>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73" w:hanging="529"/>
      </w:pPr>
      <w:rPr>
        <w:rFonts w:hint="default"/>
        <w:lang w:val="zh-CN" w:eastAsia="zh-CN" w:bidi="zh-CN"/>
      </w:rPr>
    </w:lvl>
    <w:lvl w:ilvl="4">
      <w:start w:val="0"/>
      <w:numFmt w:val="bullet"/>
      <w:lvlText w:val="•"/>
      <w:lvlJc w:val="left"/>
      <w:pPr>
        <w:ind w:left="3726" w:hanging="529"/>
      </w:pPr>
      <w:rPr>
        <w:rFonts w:hint="default"/>
        <w:lang w:val="zh-CN" w:eastAsia="zh-CN" w:bidi="zh-CN"/>
      </w:rPr>
    </w:lvl>
    <w:lvl w:ilvl="5">
      <w:start w:val="0"/>
      <w:numFmt w:val="bullet"/>
      <w:lvlText w:val="•"/>
      <w:lvlJc w:val="left"/>
      <w:pPr>
        <w:ind w:left="4879" w:hanging="529"/>
      </w:pPr>
      <w:rPr>
        <w:rFonts w:hint="default"/>
        <w:lang w:val="zh-CN" w:eastAsia="zh-CN" w:bidi="zh-CN"/>
      </w:rPr>
    </w:lvl>
    <w:lvl w:ilvl="6">
      <w:start w:val="0"/>
      <w:numFmt w:val="bullet"/>
      <w:lvlText w:val="•"/>
      <w:lvlJc w:val="left"/>
      <w:pPr>
        <w:ind w:left="6033" w:hanging="529"/>
      </w:pPr>
      <w:rPr>
        <w:rFonts w:hint="default"/>
        <w:lang w:val="zh-CN" w:eastAsia="zh-CN" w:bidi="zh-CN"/>
      </w:rPr>
    </w:lvl>
    <w:lvl w:ilvl="7">
      <w:start w:val="0"/>
      <w:numFmt w:val="bullet"/>
      <w:lvlText w:val="•"/>
      <w:lvlJc w:val="left"/>
      <w:pPr>
        <w:ind w:left="7186" w:hanging="529"/>
      </w:pPr>
      <w:rPr>
        <w:rFonts w:hint="default"/>
        <w:lang w:val="zh-CN" w:eastAsia="zh-CN" w:bidi="zh-CN"/>
      </w:rPr>
    </w:lvl>
    <w:lvl w:ilvl="8">
      <w:start w:val="0"/>
      <w:numFmt w:val="bullet"/>
      <w:lvlText w:val="•"/>
      <w:lvlJc w:val="left"/>
      <w:pPr>
        <w:ind w:left="8339" w:hanging="529"/>
      </w:pPr>
      <w:rPr>
        <w:rFonts w:hint="default"/>
        <w:lang w:val="zh-CN" w:eastAsia="zh-CN" w:bidi="zh-CN"/>
      </w:rPr>
    </w:lvl>
  </w:abstractNum>
  <w:abstractNum w:abstractNumId="389">
    <w:multiLevelType w:val="hybridMultilevel"/>
    <w:lvl w:ilvl="0">
      <w:start w:val="4"/>
      <w:numFmt w:val="decimal"/>
      <w:lvlText w:val="%1"/>
      <w:lvlJc w:val="left"/>
      <w:pPr>
        <w:ind w:left="418" w:hanging="529"/>
        <w:jc w:val="left"/>
      </w:pPr>
      <w:rPr>
        <w:rFonts w:hint="default"/>
        <w:lang w:val="zh-CN" w:eastAsia="zh-CN" w:bidi="zh-CN"/>
      </w:rPr>
    </w:lvl>
    <w:lvl w:ilvl="1">
      <w:start w:val="3"/>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8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87">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86">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385">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84">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83">
    <w:multiLevelType w:val="hybridMultilevel"/>
    <w:lvl w:ilvl="0">
      <w:start w:val="1"/>
      <w:numFmt w:val="decimal"/>
      <w:lvlText w:val="（%1）"/>
      <w:lvlJc w:val="left"/>
      <w:pPr>
        <w:ind w:left="418" w:hanging="529"/>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82">
    <w:multiLevelType w:val="hybridMultilevel"/>
    <w:lvl w:ilvl="0">
      <w:start w:val="2"/>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381">
    <w:multiLevelType w:val="hybridMultilevel"/>
    <w:lvl w:ilvl="0">
      <w:start w:val="2"/>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380">
    <w:multiLevelType w:val="hybridMultilevel"/>
    <w:lvl w:ilvl="0">
      <w:start w:val="1"/>
      <w:numFmt w:val="decimal"/>
      <w:lvlText w:val="%1"/>
      <w:lvlJc w:val="left"/>
      <w:pPr>
        <w:ind w:left="418" w:hanging="318"/>
        <w:jc w:val="left"/>
      </w:pPr>
      <w:rPr>
        <w:rFonts w:hint="default"/>
        <w:lang w:val="zh-CN" w:eastAsia="zh-CN" w:bidi="zh-CN"/>
      </w:rPr>
    </w:lvl>
    <w:lvl w:ilvl="1">
      <w:start w:val="1"/>
      <w:numFmt w:val="decimal"/>
      <w:lvlText w:val="%1.%2"/>
      <w:lvlJc w:val="left"/>
      <w:pPr>
        <w:ind w:left="41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379">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378">
    <w:multiLevelType w:val="hybridMultilevel"/>
    <w:lvl w:ilvl="0">
      <w:start w:val="5"/>
      <w:numFmt w:val="decimal"/>
      <w:lvlText w:val="%1"/>
      <w:lvlJc w:val="left"/>
      <w:pPr>
        <w:ind w:left="418" w:hanging="372"/>
        <w:jc w:val="left"/>
      </w:pPr>
      <w:rPr>
        <w:rFonts w:hint="default"/>
        <w:lang w:val="zh-CN" w:eastAsia="zh-CN" w:bidi="zh-CN"/>
      </w:rPr>
    </w:lvl>
    <w:lvl w:ilvl="1">
      <w:start w:val="1"/>
      <w:numFmt w:val="decimal"/>
      <w:lvlText w:val="%1.%2"/>
      <w:lvlJc w:val="left"/>
      <w:pPr>
        <w:ind w:left="418"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2465" w:hanging="372"/>
      </w:pPr>
      <w:rPr>
        <w:rFonts w:hint="default"/>
        <w:lang w:val="zh-CN" w:eastAsia="zh-CN" w:bidi="zh-CN"/>
      </w:rPr>
    </w:lvl>
    <w:lvl w:ilvl="3">
      <w:start w:val="0"/>
      <w:numFmt w:val="bullet"/>
      <w:lvlText w:val="•"/>
      <w:lvlJc w:val="left"/>
      <w:pPr>
        <w:ind w:left="3487" w:hanging="372"/>
      </w:pPr>
      <w:rPr>
        <w:rFonts w:hint="default"/>
        <w:lang w:val="zh-CN" w:eastAsia="zh-CN" w:bidi="zh-CN"/>
      </w:rPr>
    </w:lvl>
    <w:lvl w:ilvl="4">
      <w:start w:val="0"/>
      <w:numFmt w:val="bullet"/>
      <w:lvlText w:val="•"/>
      <w:lvlJc w:val="left"/>
      <w:pPr>
        <w:ind w:left="4510" w:hanging="372"/>
      </w:pPr>
      <w:rPr>
        <w:rFonts w:hint="default"/>
        <w:lang w:val="zh-CN" w:eastAsia="zh-CN" w:bidi="zh-CN"/>
      </w:rPr>
    </w:lvl>
    <w:lvl w:ilvl="5">
      <w:start w:val="0"/>
      <w:numFmt w:val="bullet"/>
      <w:lvlText w:val="•"/>
      <w:lvlJc w:val="left"/>
      <w:pPr>
        <w:ind w:left="5533" w:hanging="372"/>
      </w:pPr>
      <w:rPr>
        <w:rFonts w:hint="default"/>
        <w:lang w:val="zh-CN" w:eastAsia="zh-CN" w:bidi="zh-CN"/>
      </w:rPr>
    </w:lvl>
    <w:lvl w:ilvl="6">
      <w:start w:val="0"/>
      <w:numFmt w:val="bullet"/>
      <w:lvlText w:val="•"/>
      <w:lvlJc w:val="left"/>
      <w:pPr>
        <w:ind w:left="6555" w:hanging="372"/>
      </w:pPr>
      <w:rPr>
        <w:rFonts w:hint="default"/>
        <w:lang w:val="zh-CN" w:eastAsia="zh-CN" w:bidi="zh-CN"/>
      </w:rPr>
    </w:lvl>
    <w:lvl w:ilvl="7">
      <w:start w:val="0"/>
      <w:numFmt w:val="bullet"/>
      <w:lvlText w:val="•"/>
      <w:lvlJc w:val="left"/>
      <w:pPr>
        <w:ind w:left="7578" w:hanging="372"/>
      </w:pPr>
      <w:rPr>
        <w:rFonts w:hint="default"/>
        <w:lang w:val="zh-CN" w:eastAsia="zh-CN" w:bidi="zh-CN"/>
      </w:rPr>
    </w:lvl>
    <w:lvl w:ilvl="8">
      <w:start w:val="0"/>
      <w:numFmt w:val="bullet"/>
      <w:lvlText w:val="•"/>
      <w:lvlJc w:val="left"/>
      <w:pPr>
        <w:ind w:left="8601" w:hanging="372"/>
      </w:pPr>
      <w:rPr>
        <w:rFonts w:hint="default"/>
        <w:lang w:val="zh-CN" w:eastAsia="zh-CN" w:bidi="zh-CN"/>
      </w:rPr>
    </w:lvl>
  </w:abstractNum>
  <w:abstractNum w:abstractNumId="37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76">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75">
    <w:multiLevelType w:val="hybridMultilevel"/>
    <w:lvl w:ilvl="0">
      <w:start w:val="4"/>
      <w:numFmt w:val="decimal"/>
      <w:lvlText w:val="%1"/>
      <w:lvlJc w:val="left"/>
      <w:pPr>
        <w:ind w:left="418" w:hanging="529"/>
        <w:jc w:val="left"/>
      </w:pPr>
      <w:rPr>
        <w:rFonts w:hint="default"/>
        <w:lang w:val="zh-CN" w:eastAsia="zh-CN" w:bidi="zh-CN"/>
      </w:rPr>
    </w:lvl>
    <w:lvl w:ilvl="1">
      <w:start w:val="1"/>
      <w:numFmt w:val="decimal"/>
      <w:lvlText w:val="%1.%2"/>
      <w:lvlJc w:val="left"/>
      <w:pPr>
        <w:ind w:left="418" w:hanging="529"/>
        <w:jc w:val="left"/>
      </w:pPr>
      <w:rPr>
        <w:rFonts w:hint="default"/>
        <w:lang w:val="zh-CN" w:eastAsia="zh-CN" w:bidi="zh-CN"/>
      </w:rPr>
    </w:lvl>
    <w:lvl w:ilvl="2">
      <w:start w:val="8"/>
      <w:numFmt w:val="decimal"/>
      <w:lvlText w:val="%1.%2.%3"/>
      <w:lvlJc w:val="left"/>
      <w:pPr>
        <w:ind w:left="418" w:hanging="529"/>
        <w:jc w:val="left"/>
      </w:pPr>
      <w:rPr>
        <w:rFonts w:hint="default" w:ascii="宋体" w:hAnsi="宋体" w:eastAsia="宋体" w:cs="宋体"/>
        <w:b/>
        <w:bCs/>
        <w:spacing w:val="-17"/>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74">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73">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31"/>
      </w:pPr>
      <w:rPr>
        <w:rFonts w:hint="default"/>
        <w:lang w:val="zh-CN" w:eastAsia="zh-CN" w:bidi="zh-CN"/>
      </w:rPr>
    </w:lvl>
    <w:lvl w:ilvl="4">
      <w:start w:val="0"/>
      <w:numFmt w:val="bullet"/>
      <w:lvlText w:val="•"/>
      <w:lvlJc w:val="left"/>
      <w:pPr>
        <w:ind w:left="2703" w:hanging="531"/>
      </w:pPr>
      <w:rPr>
        <w:rFonts w:hint="default"/>
        <w:lang w:val="zh-CN" w:eastAsia="zh-CN" w:bidi="zh-CN"/>
      </w:rPr>
    </w:lvl>
    <w:lvl w:ilvl="5">
      <w:start w:val="0"/>
      <w:numFmt w:val="bullet"/>
      <w:lvlText w:val="•"/>
      <w:lvlJc w:val="left"/>
      <w:pPr>
        <w:ind w:left="4027" w:hanging="531"/>
      </w:pPr>
      <w:rPr>
        <w:rFonts w:hint="default"/>
        <w:lang w:val="zh-CN" w:eastAsia="zh-CN" w:bidi="zh-CN"/>
      </w:rPr>
    </w:lvl>
    <w:lvl w:ilvl="6">
      <w:start w:val="0"/>
      <w:numFmt w:val="bullet"/>
      <w:lvlText w:val="•"/>
      <w:lvlJc w:val="left"/>
      <w:pPr>
        <w:ind w:left="5351" w:hanging="531"/>
      </w:pPr>
      <w:rPr>
        <w:rFonts w:hint="default"/>
        <w:lang w:val="zh-CN" w:eastAsia="zh-CN" w:bidi="zh-CN"/>
      </w:rPr>
    </w:lvl>
    <w:lvl w:ilvl="7">
      <w:start w:val="0"/>
      <w:numFmt w:val="bullet"/>
      <w:lvlText w:val="•"/>
      <w:lvlJc w:val="left"/>
      <w:pPr>
        <w:ind w:left="6675" w:hanging="531"/>
      </w:pPr>
      <w:rPr>
        <w:rFonts w:hint="default"/>
        <w:lang w:val="zh-CN" w:eastAsia="zh-CN" w:bidi="zh-CN"/>
      </w:rPr>
    </w:lvl>
    <w:lvl w:ilvl="8">
      <w:start w:val="0"/>
      <w:numFmt w:val="bullet"/>
      <w:lvlText w:val="•"/>
      <w:lvlJc w:val="left"/>
      <w:pPr>
        <w:ind w:left="7998" w:hanging="531"/>
      </w:pPr>
      <w:rPr>
        <w:rFonts w:hint="default"/>
        <w:lang w:val="zh-CN" w:eastAsia="zh-CN" w:bidi="zh-CN"/>
      </w:rPr>
    </w:lvl>
  </w:abstractNum>
  <w:abstractNum w:abstractNumId="37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71">
    <w:multiLevelType w:val="hybridMultilevel"/>
    <w:lvl w:ilvl="0">
      <w:start w:val="3"/>
      <w:numFmt w:val="decimal"/>
      <w:lvlText w:val="%1"/>
      <w:lvlJc w:val="left"/>
      <w:pPr>
        <w:ind w:left="1265" w:hanging="365"/>
        <w:jc w:val="left"/>
      </w:pPr>
      <w:rPr>
        <w:rFonts w:hint="default"/>
        <w:lang w:val="zh-CN" w:eastAsia="zh-CN" w:bidi="zh-CN"/>
      </w:rPr>
    </w:lvl>
    <w:lvl w:ilvl="1">
      <w:start w:val="5"/>
      <w:numFmt w:val="decimal"/>
      <w:lvlText w:val="%1.%2"/>
      <w:lvlJc w:val="left"/>
      <w:pPr>
        <w:ind w:left="1265" w:hanging="365"/>
        <w:jc w:val="left"/>
      </w:pPr>
      <w:rPr>
        <w:rFonts w:hint="default" w:ascii="宋体" w:hAnsi="宋体" w:eastAsia="宋体" w:cs="宋体"/>
        <w:b/>
        <w:bCs/>
        <w:spacing w:val="0"/>
        <w:w w:val="99"/>
        <w:sz w:val="22"/>
        <w:szCs w:val="22"/>
        <w:lang w:val="zh-CN" w:eastAsia="zh-CN" w:bidi="zh-CN"/>
      </w:rPr>
    </w:lvl>
    <w:lvl w:ilvl="2">
      <w:start w:val="1"/>
      <w:numFmt w:val="decimal"/>
      <w:lvlText w:val="%1.%2.%3"/>
      <w:lvlJc w:val="left"/>
      <w:pPr>
        <w:ind w:left="1369" w:hanging="529"/>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37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9">
    <w:multiLevelType w:val="hybridMultilevel"/>
    <w:lvl w:ilvl="0">
      <w:start w:val="5"/>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6">
    <w:multiLevelType w:val="hybridMultilevel"/>
    <w:lvl w:ilvl="0">
      <w:start w:val="3"/>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7"/>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4">
    <w:multiLevelType w:val="hybridMultilevel"/>
    <w:lvl w:ilvl="0">
      <w:start w:val="1"/>
      <w:numFmt w:val="decimal"/>
      <w:lvlText w:val="（%1）"/>
      <w:lvlJc w:val="left"/>
      <w:pPr>
        <w:ind w:left="1367" w:hanging="529"/>
        <w:jc w:val="left"/>
      </w:pPr>
      <w:rPr>
        <w:rFonts w:hint="default" w:ascii="宋体" w:hAnsi="宋体" w:eastAsia="宋体" w:cs="宋体"/>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3">
    <w:multiLevelType w:val="hybridMultilevel"/>
    <w:lvl w:ilvl="0">
      <w:start w:val="5"/>
      <w:numFmt w:val="decimal"/>
      <w:lvlText w:val="（%1）"/>
      <w:lvlJc w:val="left"/>
      <w:pPr>
        <w:ind w:left="1367" w:hanging="529"/>
        <w:jc w:val="left"/>
      </w:pPr>
      <w:rPr>
        <w:rFonts w:hint="default" w:ascii="宋体" w:hAnsi="宋体" w:eastAsia="宋体" w:cs="宋体"/>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1">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60">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59">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58">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57">
    <w:multiLevelType w:val="hybridMultilevel"/>
    <w:lvl w:ilvl="0">
      <w:start w:val="3"/>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6"/>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356">
    <w:multiLevelType w:val="hybridMultilevel"/>
    <w:lvl w:ilvl="0">
      <w:start w:val="1"/>
      <w:numFmt w:val="decimal"/>
      <w:lvlText w:val="（%1）"/>
      <w:lvlJc w:val="left"/>
      <w:pPr>
        <w:ind w:left="418" w:hanging="529"/>
        <w:jc w:val="left"/>
      </w:pPr>
      <w:rPr>
        <w:rFonts w:hint="default" w:ascii="宋体" w:hAnsi="宋体" w:eastAsia="宋体" w:cs="宋体"/>
        <w:spacing w:val="-48"/>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55">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54">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53">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52">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31"/>
      </w:pPr>
      <w:rPr>
        <w:rFonts w:hint="default"/>
        <w:lang w:val="zh-CN" w:eastAsia="zh-CN" w:bidi="zh-CN"/>
      </w:rPr>
    </w:lvl>
    <w:lvl w:ilvl="4">
      <w:start w:val="0"/>
      <w:numFmt w:val="bullet"/>
      <w:lvlText w:val="•"/>
      <w:lvlJc w:val="left"/>
      <w:pPr>
        <w:ind w:left="3681" w:hanging="531"/>
      </w:pPr>
      <w:rPr>
        <w:rFonts w:hint="default"/>
        <w:lang w:val="zh-CN" w:eastAsia="zh-CN" w:bidi="zh-CN"/>
      </w:rPr>
    </w:lvl>
    <w:lvl w:ilvl="5">
      <w:start w:val="0"/>
      <w:numFmt w:val="bullet"/>
      <w:lvlText w:val="•"/>
      <w:lvlJc w:val="left"/>
      <w:pPr>
        <w:ind w:left="4842" w:hanging="531"/>
      </w:pPr>
      <w:rPr>
        <w:rFonts w:hint="default"/>
        <w:lang w:val="zh-CN" w:eastAsia="zh-CN" w:bidi="zh-CN"/>
      </w:rPr>
    </w:lvl>
    <w:lvl w:ilvl="6">
      <w:start w:val="0"/>
      <w:numFmt w:val="bullet"/>
      <w:lvlText w:val="•"/>
      <w:lvlJc w:val="left"/>
      <w:pPr>
        <w:ind w:left="6003" w:hanging="531"/>
      </w:pPr>
      <w:rPr>
        <w:rFonts w:hint="default"/>
        <w:lang w:val="zh-CN" w:eastAsia="zh-CN" w:bidi="zh-CN"/>
      </w:rPr>
    </w:lvl>
    <w:lvl w:ilvl="7">
      <w:start w:val="0"/>
      <w:numFmt w:val="bullet"/>
      <w:lvlText w:val="•"/>
      <w:lvlJc w:val="left"/>
      <w:pPr>
        <w:ind w:left="7164" w:hanging="531"/>
      </w:pPr>
      <w:rPr>
        <w:rFonts w:hint="default"/>
        <w:lang w:val="zh-CN" w:eastAsia="zh-CN" w:bidi="zh-CN"/>
      </w:rPr>
    </w:lvl>
    <w:lvl w:ilvl="8">
      <w:start w:val="0"/>
      <w:numFmt w:val="bullet"/>
      <w:lvlText w:val="•"/>
      <w:lvlJc w:val="left"/>
      <w:pPr>
        <w:ind w:left="8324" w:hanging="531"/>
      </w:pPr>
      <w:rPr>
        <w:rFonts w:hint="default"/>
        <w:lang w:val="zh-CN" w:eastAsia="zh-CN" w:bidi="zh-CN"/>
      </w:rPr>
    </w:lvl>
  </w:abstractNum>
  <w:abstractNum w:abstractNumId="351">
    <w:multiLevelType w:val="hybridMultilevel"/>
    <w:lvl w:ilvl="0">
      <w:start w:val="2"/>
      <w:numFmt w:val="decimal"/>
      <w:lvlText w:val="%1"/>
      <w:lvlJc w:val="left"/>
      <w:pPr>
        <w:ind w:left="1369" w:hanging="529"/>
        <w:jc w:val="left"/>
      </w:pPr>
      <w:rPr>
        <w:rFonts w:hint="default"/>
        <w:lang w:val="zh-CN" w:eastAsia="zh-CN" w:bidi="zh-CN"/>
      </w:rPr>
    </w:lvl>
    <w:lvl w:ilvl="1">
      <w:start w:val="1"/>
      <w:numFmt w:val="decimal"/>
      <w:lvlText w:val="%1.%2"/>
      <w:lvlJc w:val="left"/>
      <w:pPr>
        <w:ind w:left="1369" w:hanging="529"/>
        <w:jc w:val="left"/>
      </w:pPr>
      <w:rPr>
        <w:rFonts w:hint="default"/>
        <w:lang w:val="zh-CN" w:eastAsia="zh-CN" w:bidi="zh-CN"/>
      </w:rPr>
    </w:lvl>
    <w:lvl w:ilvl="2">
      <w:start w:val="7"/>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50">
    <w:multiLevelType w:val="hybridMultilevel"/>
    <w:lvl w:ilvl="0">
      <w:start w:val="2"/>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349">
    <w:multiLevelType w:val="hybridMultilevel"/>
    <w:lvl w:ilvl="0">
      <w:start w:val="1"/>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348">
    <w:multiLevelType w:val="hybridMultilevel"/>
    <w:lvl w:ilvl="0">
      <w:start w:val="1"/>
      <w:numFmt w:val="decimal"/>
      <w:lvlText w:val="（%1）"/>
      <w:lvlJc w:val="left"/>
      <w:pPr>
        <w:ind w:left="1367" w:hanging="529"/>
        <w:jc w:val="left"/>
      </w:pPr>
      <w:rPr>
        <w:rFonts w:hint="default" w:ascii="宋体" w:hAnsi="宋体" w:eastAsia="宋体" w:cs="宋体"/>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47">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46">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45">
    <w:multiLevelType w:val="hybridMultilevel"/>
    <w:lvl w:ilvl="0">
      <w:start w:val="7"/>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344">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763" w:hanging="531"/>
      </w:pPr>
      <w:rPr>
        <w:rFonts w:hint="default"/>
        <w:lang w:val="zh-CN" w:eastAsia="zh-CN" w:bidi="zh-CN"/>
      </w:rPr>
    </w:lvl>
    <w:lvl w:ilvl="4">
      <w:start w:val="0"/>
      <w:numFmt w:val="bullet"/>
      <w:lvlText w:val="•"/>
      <w:lvlJc w:val="left"/>
      <w:pPr>
        <w:ind w:left="4746" w:hanging="531"/>
      </w:pPr>
      <w:rPr>
        <w:rFonts w:hint="default"/>
        <w:lang w:val="zh-CN" w:eastAsia="zh-CN" w:bidi="zh-CN"/>
      </w:rPr>
    </w:lvl>
    <w:lvl w:ilvl="5">
      <w:start w:val="0"/>
      <w:numFmt w:val="bullet"/>
      <w:lvlText w:val="•"/>
      <w:lvlJc w:val="left"/>
      <w:pPr>
        <w:ind w:left="5729" w:hanging="531"/>
      </w:pPr>
      <w:rPr>
        <w:rFonts w:hint="default"/>
        <w:lang w:val="zh-CN" w:eastAsia="zh-CN" w:bidi="zh-CN"/>
      </w:rPr>
    </w:lvl>
    <w:lvl w:ilvl="6">
      <w:start w:val="0"/>
      <w:numFmt w:val="bullet"/>
      <w:lvlText w:val="•"/>
      <w:lvlJc w:val="left"/>
      <w:pPr>
        <w:ind w:left="6713" w:hanging="531"/>
      </w:pPr>
      <w:rPr>
        <w:rFonts w:hint="default"/>
        <w:lang w:val="zh-CN" w:eastAsia="zh-CN" w:bidi="zh-CN"/>
      </w:rPr>
    </w:lvl>
    <w:lvl w:ilvl="7">
      <w:start w:val="0"/>
      <w:numFmt w:val="bullet"/>
      <w:lvlText w:val="•"/>
      <w:lvlJc w:val="left"/>
      <w:pPr>
        <w:ind w:left="7696" w:hanging="531"/>
      </w:pPr>
      <w:rPr>
        <w:rFonts w:hint="default"/>
        <w:lang w:val="zh-CN" w:eastAsia="zh-CN" w:bidi="zh-CN"/>
      </w:rPr>
    </w:lvl>
    <w:lvl w:ilvl="8">
      <w:start w:val="0"/>
      <w:numFmt w:val="bullet"/>
      <w:lvlText w:val="•"/>
      <w:lvlJc w:val="left"/>
      <w:pPr>
        <w:ind w:left="8679" w:hanging="531"/>
      </w:pPr>
      <w:rPr>
        <w:rFonts w:hint="default"/>
        <w:lang w:val="zh-CN" w:eastAsia="zh-CN" w:bidi="zh-CN"/>
      </w:rPr>
    </w:lvl>
  </w:abstractNum>
  <w:abstractNum w:abstractNumId="343">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342">
    <w:multiLevelType w:val="hybridMultilevel"/>
    <w:lvl w:ilvl="0">
      <w:start w:val="1"/>
      <w:numFmt w:val="decimal"/>
      <w:lvlText w:val="（%1）"/>
      <w:lvlJc w:val="left"/>
      <w:pPr>
        <w:ind w:left="1367"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41">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w w:val="100"/>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340">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39">
    <w:multiLevelType w:val="hybridMultilevel"/>
    <w:lvl w:ilvl="0">
      <w:start w:val="1"/>
      <w:numFmt w:val="decimal"/>
      <w:lvlText w:val="（%1）"/>
      <w:lvlJc w:val="left"/>
      <w:pPr>
        <w:ind w:left="418" w:hanging="529"/>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38">
    <w:multiLevelType w:val="hybridMultilevel"/>
    <w:lvl w:ilvl="0">
      <w:start w:val="3"/>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37">
    <w:multiLevelType w:val="hybridMultilevel"/>
    <w:lvl w:ilvl="0">
      <w:start w:val="1"/>
      <w:numFmt w:val="decimal"/>
      <w:lvlText w:val="（%1）"/>
      <w:lvlJc w:val="left"/>
      <w:pPr>
        <w:ind w:left="1367" w:hanging="529"/>
        <w:jc w:val="left"/>
      </w:pPr>
      <w:rPr>
        <w:rFonts w:hint="default" w:ascii="宋体" w:hAnsi="宋体" w:eastAsia="宋体" w:cs="宋体"/>
        <w:w w:val="100"/>
        <w:sz w:val="19"/>
        <w:szCs w:val="19"/>
        <w:lang w:val="zh-CN" w:eastAsia="zh-CN" w:bidi="zh-CN"/>
      </w:rPr>
    </w:lvl>
    <w:lvl w:ilvl="1">
      <w:start w:val="0"/>
      <w:numFmt w:val="bullet"/>
      <w:lvlText w:val="•"/>
      <w:lvlJc w:val="left"/>
      <w:pPr>
        <w:ind w:left="2288" w:hanging="529"/>
      </w:pPr>
      <w:rPr>
        <w:rFonts w:hint="default"/>
        <w:lang w:val="zh-CN" w:eastAsia="zh-CN" w:bidi="zh-CN"/>
      </w:rPr>
    </w:lvl>
    <w:lvl w:ilvl="2">
      <w:start w:val="0"/>
      <w:numFmt w:val="bullet"/>
      <w:lvlText w:val="•"/>
      <w:lvlJc w:val="left"/>
      <w:pPr>
        <w:ind w:left="3217" w:hanging="529"/>
      </w:pPr>
      <w:rPr>
        <w:rFonts w:hint="default"/>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36">
    <w:multiLevelType w:val="hybridMultilevel"/>
    <w:lvl w:ilvl="0">
      <w:start w:val="3"/>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335">
    <w:multiLevelType w:val="hybridMultilevel"/>
    <w:lvl w:ilvl="0">
      <w:start w:val="2"/>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334">
    <w:multiLevelType w:val="hybridMultilevel"/>
    <w:lvl w:ilvl="0">
      <w:start w:val="1"/>
      <w:numFmt w:val="decimal"/>
      <w:lvlText w:val="%1"/>
      <w:lvlJc w:val="left"/>
      <w:pPr>
        <w:ind w:left="418" w:hanging="318"/>
        <w:jc w:val="left"/>
      </w:pPr>
      <w:rPr>
        <w:rFonts w:hint="default"/>
        <w:lang w:val="zh-CN" w:eastAsia="zh-CN" w:bidi="zh-CN"/>
      </w:rPr>
    </w:lvl>
    <w:lvl w:ilvl="1">
      <w:start w:val="1"/>
      <w:numFmt w:val="decimal"/>
      <w:lvlText w:val="%1.%2"/>
      <w:lvlJc w:val="left"/>
      <w:pPr>
        <w:ind w:left="418" w:hanging="318"/>
        <w:jc w:val="left"/>
      </w:pPr>
      <w:rPr>
        <w:rFonts w:hint="default" w:ascii="宋体" w:hAnsi="宋体" w:eastAsia="宋体" w:cs="宋体"/>
        <w:b/>
        <w:bCs/>
        <w:spacing w:val="-27"/>
        <w:w w:val="99"/>
        <w:sz w:val="19"/>
        <w:szCs w:val="19"/>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333">
    <w:multiLevelType w:val="hybridMultilevel"/>
    <w:lvl w:ilvl="0">
      <w:start w:val="4"/>
      <w:numFmt w:val="lowerLetter"/>
      <w:lvlText w:val="%1)"/>
      <w:lvlJc w:val="left"/>
      <w:pPr>
        <w:ind w:left="105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32">
    <w:multiLevelType w:val="hybridMultilevel"/>
    <w:lvl w:ilvl="0">
      <w:start w:val="10"/>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331">
    <w:multiLevelType w:val="hybridMultilevel"/>
    <w:lvl w:ilvl="0">
      <w:start w:val="2"/>
      <w:numFmt w:val="lowerLetter"/>
      <w:lvlText w:val="%1)"/>
      <w:lvlJc w:val="left"/>
      <w:pPr>
        <w:ind w:left="105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30">
    <w:multiLevelType w:val="hybridMultilevel"/>
    <w:lvl w:ilvl="0">
      <w:start w:val="8"/>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329">
    <w:multiLevelType w:val="hybridMultilevel"/>
    <w:lvl w:ilvl="0">
      <w:start w:val="7"/>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328">
    <w:multiLevelType w:val="hybridMultilevel"/>
    <w:lvl w:ilvl="0">
      <w:start w:val="6"/>
      <w:numFmt w:val="decimal"/>
      <w:lvlText w:val="%1"/>
      <w:lvlJc w:val="left"/>
      <w:pPr>
        <w:ind w:left="1263" w:hanging="424"/>
        <w:jc w:val="left"/>
      </w:pPr>
      <w:rPr>
        <w:rFonts w:hint="default"/>
        <w:lang w:val="zh-CN" w:eastAsia="zh-CN" w:bidi="zh-CN"/>
      </w:rPr>
    </w:lvl>
    <w:lvl w:ilvl="1">
      <w:start w:val="12"/>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516" w:hanging="637"/>
      </w:pPr>
      <w:rPr>
        <w:rFonts w:hint="default"/>
        <w:lang w:val="zh-CN" w:eastAsia="zh-CN" w:bidi="zh-CN"/>
      </w:rPr>
    </w:lvl>
    <w:lvl w:ilvl="4">
      <w:start w:val="0"/>
      <w:numFmt w:val="bullet"/>
      <w:lvlText w:val="•"/>
      <w:lvlJc w:val="left"/>
      <w:pPr>
        <w:ind w:left="4535" w:hanging="637"/>
      </w:pPr>
      <w:rPr>
        <w:rFonts w:hint="default"/>
        <w:lang w:val="zh-CN" w:eastAsia="zh-CN" w:bidi="zh-CN"/>
      </w:rPr>
    </w:lvl>
    <w:lvl w:ilvl="5">
      <w:start w:val="0"/>
      <w:numFmt w:val="bullet"/>
      <w:lvlText w:val="•"/>
      <w:lvlJc w:val="left"/>
      <w:pPr>
        <w:ind w:left="5553" w:hanging="637"/>
      </w:pPr>
      <w:rPr>
        <w:rFonts w:hint="default"/>
        <w:lang w:val="zh-CN" w:eastAsia="zh-CN" w:bidi="zh-CN"/>
      </w:rPr>
    </w:lvl>
    <w:lvl w:ilvl="6">
      <w:start w:val="0"/>
      <w:numFmt w:val="bullet"/>
      <w:lvlText w:val="•"/>
      <w:lvlJc w:val="left"/>
      <w:pPr>
        <w:ind w:left="6572" w:hanging="637"/>
      </w:pPr>
      <w:rPr>
        <w:rFonts w:hint="default"/>
        <w:lang w:val="zh-CN" w:eastAsia="zh-CN" w:bidi="zh-CN"/>
      </w:rPr>
    </w:lvl>
    <w:lvl w:ilvl="7">
      <w:start w:val="0"/>
      <w:numFmt w:val="bullet"/>
      <w:lvlText w:val="•"/>
      <w:lvlJc w:val="left"/>
      <w:pPr>
        <w:ind w:left="7590" w:hanging="637"/>
      </w:pPr>
      <w:rPr>
        <w:rFonts w:hint="default"/>
        <w:lang w:val="zh-CN" w:eastAsia="zh-CN" w:bidi="zh-CN"/>
      </w:rPr>
    </w:lvl>
    <w:lvl w:ilvl="8">
      <w:start w:val="0"/>
      <w:numFmt w:val="bullet"/>
      <w:lvlText w:val="•"/>
      <w:lvlJc w:val="left"/>
      <w:pPr>
        <w:ind w:left="8609" w:hanging="637"/>
      </w:pPr>
      <w:rPr>
        <w:rFonts w:hint="default"/>
        <w:lang w:val="zh-CN" w:eastAsia="zh-CN" w:bidi="zh-CN"/>
      </w:rPr>
    </w:lvl>
  </w:abstractNum>
  <w:abstractNum w:abstractNumId="327">
    <w:multiLevelType w:val="hybridMultilevel"/>
    <w:lvl w:ilvl="0">
      <w:start w:val="6"/>
      <w:numFmt w:val="decimal"/>
      <w:lvlText w:val="%1"/>
      <w:lvlJc w:val="left"/>
      <w:pPr>
        <w:ind w:left="1477" w:hanging="637"/>
        <w:jc w:val="left"/>
      </w:pPr>
      <w:rPr>
        <w:rFonts w:hint="default"/>
        <w:lang w:val="zh-CN" w:eastAsia="zh-CN" w:bidi="zh-CN"/>
      </w:rPr>
    </w:lvl>
    <w:lvl w:ilvl="1">
      <w:start w:val="11"/>
      <w:numFmt w:val="decimal"/>
      <w:lvlText w:val="%1.%2"/>
      <w:lvlJc w:val="left"/>
      <w:pPr>
        <w:ind w:left="1477" w:hanging="637"/>
        <w:jc w:val="left"/>
      </w:pPr>
      <w:rPr>
        <w:rFonts w:hint="default"/>
        <w:lang w:val="zh-CN" w:eastAsia="zh-CN" w:bidi="zh-CN"/>
      </w:rPr>
    </w:lvl>
    <w:lvl w:ilvl="2">
      <w:start w:val="3"/>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326">
    <w:multiLevelType w:val="hybridMultilevel"/>
    <w:lvl w:ilvl="0">
      <w:start w:val="6"/>
      <w:numFmt w:val="decimal"/>
      <w:lvlText w:val="%1"/>
      <w:lvlJc w:val="left"/>
      <w:pPr>
        <w:ind w:left="418" w:hanging="529"/>
        <w:jc w:val="left"/>
      </w:pPr>
      <w:rPr>
        <w:rFonts w:hint="default"/>
        <w:lang w:val="zh-CN" w:eastAsia="zh-CN" w:bidi="zh-CN"/>
      </w:rPr>
    </w:lvl>
    <w:lvl w:ilvl="1">
      <w:start w:val="8"/>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325">
    <w:multiLevelType w:val="hybridMultilevel"/>
    <w:lvl w:ilvl="0">
      <w:start w:val="6"/>
      <w:numFmt w:val="decimal"/>
      <w:lvlText w:val="%1"/>
      <w:lvlJc w:val="left"/>
      <w:pPr>
        <w:ind w:left="1369" w:hanging="529"/>
        <w:jc w:val="left"/>
      </w:pPr>
      <w:rPr>
        <w:rFonts w:hint="default"/>
        <w:lang w:val="zh-CN" w:eastAsia="zh-CN" w:bidi="zh-CN"/>
      </w:rPr>
    </w:lvl>
    <w:lvl w:ilvl="1">
      <w:start w:val="6"/>
      <w:numFmt w:val="decimal"/>
      <w:lvlText w:val="%1.%2"/>
      <w:lvlJc w:val="left"/>
      <w:pPr>
        <w:ind w:left="1369" w:hanging="529"/>
        <w:jc w:val="left"/>
      </w:pPr>
      <w:rPr>
        <w:rFonts w:hint="default"/>
        <w:lang w:val="zh-CN" w:eastAsia="zh-CN" w:bidi="zh-CN"/>
      </w:rPr>
    </w:lvl>
    <w:lvl w:ilvl="2">
      <w:start w:val="6"/>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455" w:hanging="738"/>
      </w:pPr>
      <w:rPr>
        <w:rFonts w:hint="default"/>
        <w:lang w:val="zh-CN" w:eastAsia="zh-CN" w:bidi="zh-CN"/>
      </w:rPr>
    </w:lvl>
    <w:lvl w:ilvl="5">
      <w:start w:val="0"/>
      <w:numFmt w:val="bullet"/>
      <w:lvlText w:val="•"/>
      <w:lvlJc w:val="left"/>
      <w:pPr>
        <w:ind w:left="5487" w:hanging="738"/>
      </w:pPr>
      <w:rPr>
        <w:rFonts w:hint="default"/>
        <w:lang w:val="zh-CN" w:eastAsia="zh-CN" w:bidi="zh-CN"/>
      </w:rPr>
    </w:lvl>
    <w:lvl w:ilvl="6">
      <w:start w:val="0"/>
      <w:numFmt w:val="bullet"/>
      <w:lvlText w:val="•"/>
      <w:lvlJc w:val="left"/>
      <w:pPr>
        <w:ind w:left="6519" w:hanging="738"/>
      </w:pPr>
      <w:rPr>
        <w:rFonts w:hint="default"/>
        <w:lang w:val="zh-CN" w:eastAsia="zh-CN" w:bidi="zh-CN"/>
      </w:rPr>
    </w:lvl>
    <w:lvl w:ilvl="7">
      <w:start w:val="0"/>
      <w:numFmt w:val="bullet"/>
      <w:lvlText w:val="•"/>
      <w:lvlJc w:val="left"/>
      <w:pPr>
        <w:ind w:left="7550" w:hanging="738"/>
      </w:pPr>
      <w:rPr>
        <w:rFonts w:hint="default"/>
        <w:lang w:val="zh-CN" w:eastAsia="zh-CN" w:bidi="zh-CN"/>
      </w:rPr>
    </w:lvl>
    <w:lvl w:ilvl="8">
      <w:start w:val="0"/>
      <w:numFmt w:val="bullet"/>
      <w:lvlText w:val="•"/>
      <w:lvlJc w:val="left"/>
      <w:pPr>
        <w:ind w:left="8582" w:hanging="738"/>
      </w:pPr>
      <w:rPr>
        <w:rFonts w:hint="default"/>
        <w:lang w:val="zh-CN" w:eastAsia="zh-CN" w:bidi="zh-CN"/>
      </w:rPr>
    </w:lvl>
  </w:abstractNum>
  <w:abstractNum w:abstractNumId="324">
    <w:multiLevelType w:val="hybridMultilevel"/>
    <w:lvl w:ilvl="0">
      <w:start w:val="6"/>
      <w:numFmt w:val="decimal"/>
      <w:lvlText w:val="%1"/>
      <w:lvlJc w:val="left"/>
      <w:pPr>
        <w:ind w:left="1575" w:hanging="738"/>
        <w:jc w:val="left"/>
      </w:pPr>
      <w:rPr>
        <w:rFonts w:hint="default"/>
        <w:lang w:val="zh-CN" w:eastAsia="zh-CN" w:bidi="zh-CN"/>
      </w:rPr>
    </w:lvl>
    <w:lvl w:ilvl="1">
      <w:start w:val="6"/>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right"/>
      </w:pPr>
      <w:rPr>
        <w:rFonts w:hint="default"/>
        <w:spacing w:val="-3"/>
        <w:w w:val="100"/>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323">
    <w:multiLevelType w:val="hybridMultilevel"/>
    <w:lvl w:ilvl="0">
      <w:start w:val="6"/>
      <w:numFmt w:val="decimal"/>
      <w:lvlText w:val="%1"/>
      <w:lvlJc w:val="left"/>
      <w:pPr>
        <w:ind w:left="1158" w:hanging="318"/>
        <w:jc w:val="left"/>
      </w:pPr>
      <w:rPr>
        <w:rFonts w:hint="default"/>
        <w:lang w:val="zh-CN" w:eastAsia="zh-CN" w:bidi="zh-CN"/>
      </w:rPr>
    </w:lvl>
    <w:lvl w:ilvl="1">
      <w:start w:val="6"/>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322">
    <w:multiLevelType w:val="hybridMultilevel"/>
    <w:lvl w:ilvl="0">
      <w:start w:val="6"/>
      <w:numFmt w:val="decimal"/>
      <w:lvlText w:val="%1"/>
      <w:lvlJc w:val="left"/>
      <w:pPr>
        <w:ind w:left="1369" w:hanging="529"/>
        <w:jc w:val="left"/>
      </w:pPr>
      <w:rPr>
        <w:rFonts w:hint="default"/>
        <w:lang w:val="zh-CN" w:eastAsia="zh-CN" w:bidi="zh-CN"/>
      </w:rPr>
    </w:lvl>
    <w:lvl w:ilvl="1">
      <w:start w:val="5"/>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02" w:hanging="738"/>
      </w:pPr>
      <w:rPr>
        <w:rFonts w:hint="default"/>
        <w:lang w:val="zh-CN" w:eastAsia="zh-CN" w:bidi="zh-CN"/>
      </w:rPr>
    </w:lvl>
    <w:lvl w:ilvl="5">
      <w:start w:val="0"/>
      <w:numFmt w:val="bullet"/>
      <w:lvlText w:val="•"/>
      <w:lvlJc w:val="left"/>
      <w:pPr>
        <w:ind w:left="5609" w:hanging="738"/>
      </w:pPr>
      <w:rPr>
        <w:rFonts w:hint="default"/>
        <w:lang w:val="zh-CN" w:eastAsia="zh-CN" w:bidi="zh-CN"/>
      </w:rPr>
    </w:lvl>
    <w:lvl w:ilvl="6">
      <w:start w:val="0"/>
      <w:numFmt w:val="bullet"/>
      <w:lvlText w:val="•"/>
      <w:lvlJc w:val="left"/>
      <w:pPr>
        <w:ind w:left="6616" w:hanging="738"/>
      </w:pPr>
      <w:rPr>
        <w:rFonts w:hint="default"/>
        <w:lang w:val="zh-CN" w:eastAsia="zh-CN" w:bidi="zh-CN"/>
      </w:rPr>
    </w:lvl>
    <w:lvl w:ilvl="7">
      <w:start w:val="0"/>
      <w:numFmt w:val="bullet"/>
      <w:lvlText w:val="•"/>
      <w:lvlJc w:val="left"/>
      <w:pPr>
        <w:ind w:left="7624" w:hanging="738"/>
      </w:pPr>
      <w:rPr>
        <w:rFonts w:hint="default"/>
        <w:lang w:val="zh-CN" w:eastAsia="zh-CN" w:bidi="zh-CN"/>
      </w:rPr>
    </w:lvl>
    <w:lvl w:ilvl="8">
      <w:start w:val="0"/>
      <w:numFmt w:val="bullet"/>
      <w:lvlText w:val="•"/>
      <w:lvlJc w:val="left"/>
      <w:pPr>
        <w:ind w:left="8631" w:hanging="738"/>
      </w:pPr>
      <w:rPr>
        <w:rFonts w:hint="default"/>
        <w:lang w:val="zh-CN" w:eastAsia="zh-CN" w:bidi="zh-CN"/>
      </w:rPr>
    </w:lvl>
  </w:abstractNum>
  <w:abstractNum w:abstractNumId="321">
    <w:multiLevelType w:val="hybridMultilevel"/>
    <w:lvl w:ilvl="0">
      <w:start w:val="6"/>
      <w:numFmt w:val="decimal"/>
      <w:lvlText w:val="%1"/>
      <w:lvlJc w:val="left"/>
      <w:pPr>
        <w:ind w:left="1158" w:hanging="318"/>
        <w:jc w:val="left"/>
      </w:pPr>
      <w:rPr>
        <w:rFonts w:hint="default"/>
        <w:lang w:val="zh-CN" w:eastAsia="zh-CN" w:bidi="zh-CN"/>
      </w:rPr>
    </w:lvl>
    <w:lvl w:ilvl="1">
      <w:start w:val="4"/>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320">
    <w:multiLevelType w:val="hybridMultilevel"/>
    <w:lvl w:ilvl="0">
      <w:start w:val="6"/>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2"/>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02" w:hanging="738"/>
      </w:pPr>
      <w:rPr>
        <w:rFonts w:hint="default"/>
        <w:lang w:val="zh-CN" w:eastAsia="zh-CN" w:bidi="zh-CN"/>
      </w:rPr>
    </w:lvl>
    <w:lvl w:ilvl="5">
      <w:start w:val="0"/>
      <w:numFmt w:val="bullet"/>
      <w:lvlText w:val="•"/>
      <w:lvlJc w:val="left"/>
      <w:pPr>
        <w:ind w:left="5609" w:hanging="738"/>
      </w:pPr>
      <w:rPr>
        <w:rFonts w:hint="default"/>
        <w:lang w:val="zh-CN" w:eastAsia="zh-CN" w:bidi="zh-CN"/>
      </w:rPr>
    </w:lvl>
    <w:lvl w:ilvl="6">
      <w:start w:val="0"/>
      <w:numFmt w:val="bullet"/>
      <w:lvlText w:val="•"/>
      <w:lvlJc w:val="left"/>
      <w:pPr>
        <w:ind w:left="6616" w:hanging="738"/>
      </w:pPr>
      <w:rPr>
        <w:rFonts w:hint="default"/>
        <w:lang w:val="zh-CN" w:eastAsia="zh-CN" w:bidi="zh-CN"/>
      </w:rPr>
    </w:lvl>
    <w:lvl w:ilvl="7">
      <w:start w:val="0"/>
      <w:numFmt w:val="bullet"/>
      <w:lvlText w:val="•"/>
      <w:lvlJc w:val="left"/>
      <w:pPr>
        <w:ind w:left="7624" w:hanging="738"/>
      </w:pPr>
      <w:rPr>
        <w:rFonts w:hint="default"/>
        <w:lang w:val="zh-CN" w:eastAsia="zh-CN" w:bidi="zh-CN"/>
      </w:rPr>
    </w:lvl>
    <w:lvl w:ilvl="8">
      <w:start w:val="0"/>
      <w:numFmt w:val="bullet"/>
      <w:lvlText w:val="•"/>
      <w:lvlJc w:val="left"/>
      <w:pPr>
        <w:ind w:left="8631" w:hanging="738"/>
      </w:pPr>
      <w:rPr>
        <w:rFonts w:hint="default"/>
        <w:lang w:val="zh-CN" w:eastAsia="zh-CN" w:bidi="zh-CN"/>
      </w:rPr>
    </w:lvl>
  </w:abstractNum>
  <w:abstractNum w:abstractNumId="319">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18">
    <w:multiLevelType w:val="hybridMultilevel"/>
    <w:lvl w:ilvl="0">
      <w:start w:val="5"/>
      <w:numFmt w:val="decimal"/>
      <w:lvlText w:val="%1"/>
      <w:lvlJc w:val="left"/>
      <w:pPr>
        <w:ind w:left="947" w:hanging="529"/>
        <w:jc w:val="left"/>
      </w:pPr>
      <w:rPr>
        <w:rFonts w:hint="default"/>
        <w:lang w:val="zh-CN" w:eastAsia="zh-CN" w:bidi="zh-CN"/>
      </w:rPr>
    </w:lvl>
    <w:lvl w:ilvl="1">
      <w:start w:val="2"/>
      <w:numFmt w:val="decimal"/>
      <w:lvlText w:val="%1.%2"/>
      <w:lvlJc w:val="left"/>
      <w:pPr>
        <w:ind w:left="947" w:hanging="529"/>
        <w:jc w:val="left"/>
      </w:pPr>
      <w:rPr>
        <w:rFonts w:hint="default"/>
        <w:lang w:val="zh-CN" w:eastAsia="zh-CN" w:bidi="zh-CN"/>
      </w:rPr>
    </w:lvl>
    <w:lvl w:ilvl="2">
      <w:start w:val="1"/>
      <w:numFmt w:val="decimal"/>
      <w:lvlText w:val="%1.%2.%3"/>
      <w:lvlJc w:val="left"/>
      <w:pPr>
        <w:ind w:left="947" w:hanging="529"/>
        <w:jc w:val="left"/>
      </w:pPr>
      <w:rPr>
        <w:rFonts w:hint="default" w:ascii="宋体" w:hAnsi="宋体" w:eastAsia="宋体" w:cs="宋体"/>
        <w:w w:val="100"/>
        <w:sz w:val="19"/>
        <w:szCs w:val="19"/>
        <w:lang w:val="zh-CN" w:eastAsia="zh-CN" w:bidi="zh-CN"/>
      </w:rPr>
    </w:lvl>
    <w:lvl w:ilvl="3">
      <w:start w:val="0"/>
      <w:numFmt w:val="bullet"/>
      <w:lvlText w:val="•"/>
      <w:lvlJc w:val="left"/>
      <w:pPr>
        <w:ind w:left="3851" w:hanging="529"/>
      </w:pPr>
      <w:rPr>
        <w:rFonts w:hint="default"/>
        <w:lang w:val="zh-CN" w:eastAsia="zh-CN" w:bidi="zh-CN"/>
      </w:rPr>
    </w:lvl>
    <w:lvl w:ilvl="4">
      <w:start w:val="0"/>
      <w:numFmt w:val="bullet"/>
      <w:lvlText w:val="•"/>
      <w:lvlJc w:val="left"/>
      <w:pPr>
        <w:ind w:left="4822" w:hanging="529"/>
      </w:pPr>
      <w:rPr>
        <w:rFonts w:hint="default"/>
        <w:lang w:val="zh-CN" w:eastAsia="zh-CN" w:bidi="zh-CN"/>
      </w:rPr>
    </w:lvl>
    <w:lvl w:ilvl="5">
      <w:start w:val="0"/>
      <w:numFmt w:val="bullet"/>
      <w:lvlText w:val="•"/>
      <w:lvlJc w:val="left"/>
      <w:pPr>
        <w:ind w:left="5793" w:hanging="529"/>
      </w:pPr>
      <w:rPr>
        <w:rFonts w:hint="default"/>
        <w:lang w:val="zh-CN" w:eastAsia="zh-CN" w:bidi="zh-CN"/>
      </w:rPr>
    </w:lvl>
    <w:lvl w:ilvl="6">
      <w:start w:val="0"/>
      <w:numFmt w:val="bullet"/>
      <w:lvlText w:val="•"/>
      <w:lvlJc w:val="left"/>
      <w:pPr>
        <w:ind w:left="6763" w:hanging="529"/>
      </w:pPr>
      <w:rPr>
        <w:rFonts w:hint="default"/>
        <w:lang w:val="zh-CN" w:eastAsia="zh-CN" w:bidi="zh-CN"/>
      </w:rPr>
    </w:lvl>
    <w:lvl w:ilvl="7">
      <w:start w:val="0"/>
      <w:numFmt w:val="bullet"/>
      <w:lvlText w:val="•"/>
      <w:lvlJc w:val="left"/>
      <w:pPr>
        <w:ind w:left="7734" w:hanging="529"/>
      </w:pPr>
      <w:rPr>
        <w:rFonts w:hint="default"/>
        <w:lang w:val="zh-CN" w:eastAsia="zh-CN" w:bidi="zh-CN"/>
      </w:rPr>
    </w:lvl>
    <w:lvl w:ilvl="8">
      <w:start w:val="0"/>
      <w:numFmt w:val="bullet"/>
      <w:lvlText w:val="•"/>
      <w:lvlJc w:val="left"/>
      <w:pPr>
        <w:ind w:left="8705" w:hanging="529"/>
      </w:pPr>
      <w:rPr>
        <w:rFonts w:hint="default"/>
        <w:lang w:val="zh-CN" w:eastAsia="zh-CN" w:bidi="zh-CN"/>
      </w:rPr>
    </w:lvl>
  </w:abstractNum>
  <w:abstractNum w:abstractNumId="317">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316">
    <w:multiLevelType w:val="hybridMultilevel"/>
    <w:lvl w:ilvl="0">
      <w:start w:val="5"/>
      <w:numFmt w:val="decimal"/>
      <w:lvlText w:val="%1"/>
      <w:lvlJc w:val="left"/>
      <w:pPr>
        <w:ind w:left="1263" w:hanging="424"/>
        <w:jc w:val="left"/>
      </w:pPr>
      <w:rPr>
        <w:rFonts w:hint="default"/>
        <w:lang w:val="zh-CN" w:eastAsia="zh-CN" w:bidi="zh-CN"/>
      </w:rPr>
    </w:lvl>
    <w:lvl w:ilvl="1">
      <w:start w:val="12"/>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2625" w:hanging="637"/>
      </w:pPr>
      <w:rPr>
        <w:rFonts w:hint="default"/>
        <w:lang w:val="zh-CN" w:eastAsia="zh-CN" w:bidi="zh-CN"/>
      </w:rPr>
    </w:lvl>
    <w:lvl w:ilvl="4">
      <w:start w:val="0"/>
      <w:numFmt w:val="bullet"/>
      <w:lvlText w:val="•"/>
      <w:lvlJc w:val="left"/>
      <w:pPr>
        <w:ind w:left="3771" w:hanging="637"/>
      </w:pPr>
      <w:rPr>
        <w:rFonts w:hint="default"/>
        <w:lang w:val="zh-CN" w:eastAsia="zh-CN" w:bidi="zh-CN"/>
      </w:rPr>
    </w:lvl>
    <w:lvl w:ilvl="5">
      <w:start w:val="0"/>
      <w:numFmt w:val="bullet"/>
      <w:lvlText w:val="•"/>
      <w:lvlJc w:val="left"/>
      <w:pPr>
        <w:ind w:left="4917" w:hanging="637"/>
      </w:pPr>
      <w:rPr>
        <w:rFonts w:hint="default"/>
        <w:lang w:val="zh-CN" w:eastAsia="zh-CN" w:bidi="zh-CN"/>
      </w:rPr>
    </w:lvl>
    <w:lvl w:ilvl="6">
      <w:start w:val="0"/>
      <w:numFmt w:val="bullet"/>
      <w:lvlText w:val="•"/>
      <w:lvlJc w:val="left"/>
      <w:pPr>
        <w:ind w:left="6063" w:hanging="637"/>
      </w:pPr>
      <w:rPr>
        <w:rFonts w:hint="default"/>
        <w:lang w:val="zh-CN" w:eastAsia="zh-CN" w:bidi="zh-CN"/>
      </w:rPr>
    </w:lvl>
    <w:lvl w:ilvl="7">
      <w:start w:val="0"/>
      <w:numFmt w:val="bullet"/>
      <w:lvlText w:val="•"/>
      <w:lvlJc w:val="left"/>
      <w:pPr>
        <w:ind w:left="7209" w:hanging="637"/>
      </w:pPr>
      <w:rPr>
        <w:rFonts w:hint="default"/>
        <w:lang w:val="zh-CN" w:eastAsia="zh-CN" w:bidi="zh-CN"/>
      </w:rPr>
    </w:lvl>
    <w:lvl w:ilvl="8">
      <w:start w:val="0"/>
      <w:numFmt w:val="bullet"/>
      <w:lvlText w:val="•"/>
      <w:lvlJc w:val="left"/>
      <w:pPr>
        <w:ind w:left="8354" w:hanging="637"/>
      </w:pPr>
      <w:rPr>
        <w:rFonts w:hint="default"/>
        <w:lang w:val="zh-CN" w:eastAsia="zh-CN" w:bidi="zh-CN"/>
      </w:rPr>
    </w:lvl>
  </w:abstractNum>
  <w:abstractNum w:abstractNumId="315">
    <w:multiLevelType w:val="hybridMultilevel"/>
    <w:lvl w:ilvl="0">
      <w:start w:val="5"/>
      <w:numFmt w:val="decimal"/>
      <w:lvlText w:val="%1"/>
      <w:lvlJc w:val="left"/>
      <w:pPr>
        <w:ind w:left="418" w:hanging="637"/>
        <w:jc w:val="left"/>
      </w:pPr>
      <w:rPr>
        <w:rFonts w:hint="default"/>
        <w:lang w:val="zh-CN" w:eastAsia="zh-CN" w:bidi="zh-CN"/>
      </w:rPr>
    </w:lvl>
    <w:lvl w:ilvl="1">
      <w:start w:val="11"/>
      <w:numFmt w:val="decimal"/>
      <w:lvlText w:val="%1.%2"/>
      <w:lvlJc w:val="left"/>
      <w:pPr>
        <w:ind w:left="418" w:hanging="637"/>
        <w:jc w:val="left"/>
      </w:pPr>
      <w:rPr>
        <w:rFonts w:hint="default"/>
        <w:lang w:val="zh-CN" w:eastAsia="zh-CN" w:bidi="zh-CN"/>
      </w:rPr>
    </w:lvl>
    <w:lvl w:ilvl="2">
      <w:start w:val="2"/>
      <w:numFmt w:val="decimal"/>
      <w:lvlText w:val="%1.%2.%3"/>
      <w:lvlJc w:val="left"/>
      <w:pPr>
        <w:ind w:left="418" w:hanging="637"/>
        <w:jc w:val="left"/>
      </w:pPr>
      <w:rPr>
        <w:rFonts w:hint="default" w:ascii="宋体" w:hAnsi="宋体" w:eastAsia="宋体" w:cs="宋体"/>
        <w:b/>
        <w:bCs/>
        <w:spacing w:val="-53"/>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314">
    <w:multiLevelType w:val="hybridMultilevel"/>
    <w:lvl w:ilvl="0">
      <w:start w:val="5"/>
      <w:numFmt w:val="decimal"/>
      <w:lvlText w:val="%1"/>
      <w:lvlJc w:val="left"/>
      <w:pPr>
        <w:ind w:left="1681" w:hanging="844"/>
        <w:jc w:val="left"/>
      </w:pPr>
      <w:rPr>
        <w:rFonts w:hint="default"/>
        <w:lang w:val="zh-CN" w:eastAsia="zh-CN" w:bidi="zh-CN"/>
      </w:rPr>
    </w:lvl>
    <w:lvl w:ilvl="1">
      <w:start w:val="10"/>
      <w:numFmt w:val="decimal"/>
      <w:lvlText w:val="%1.%2"/>
      <w:lvlJc w:val="left"/>
      <w:pPr>
        <w:ind w:left="1681" w:hanging="844"/>
        <w:jc w:val="left"/>
      </w:pPr>
      <w:rPr>
        <w:rFonts w:hint="default"/>
        <w:lang w:val="zh-CN" w:eastAsia="zh-CN" w:bidi="zh-CN"/>
      </w:rPr>
    </w:lvl>
    <w:lvl w:ilvl="2">
      <w:start w:val="2"/>
      <w:numFmt w:val="decimal"/>
      <w:lvlText w:val="%1.%2.%3"/>
      <w:lvlJc w:val="left"/>
      <w:pPr>
        <w:ind w:left="1681" w:hanging="844"/>
        <w:jc w:val="left"/>
      </w:pPr>
      <w:rPr>
        <w:rFonts w:hint="default"/>
        <w:lang w:val="zh-CN" w:eastAsia="zh-CN" w:bidi="zh-CN"/>
      </w:rPr>
    </w:lvl>
    <w:lvl w:ilvl="3">
      <w:start w:val="1"/>
      <w:numFmt w:val="decimal"/>
      <w:lvlText w:val="%1.%2.%3.%4"/>
      <w:lvlJc w:val="left"/>
      <w:pPr>
        <w:ind w:left="1681" w:hanging="844"/>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66" w:hanging="844"/>
      </w:pPr>
      <w:rPr>
        <w:rFonts w:hint="default"/>
        <w:lang w:val="zh-CN" w:eastAsia="zh-CN" w:bidi="zh-CN"/>
      </w:rPr>
    </w:lvl>
    <w:lvl w:ilvl="5">
      <w:start w:val="0"/>
      <w:numFmt w:val="bullet"/>
      <w:lvlText w:val="•"/>
      <w:lvlJc w:val="left"/>
      <w:pPr>
        <w:ind w:left="6163" w:hanging="844"/>
      </w:pPr>
      <w:rPr>
        <w:rFonts w:hint="default"/>
        <w:lang w:val="zh-CN" w:eastAsia="zh-CN" w:bidi="zh-CN"/>
      </w:rPr>
    </w:lvl>
    <w:lvl w:ilvl="6">
      <w:start w:val="0"/>
      <w:numFmt w:val="bullet"/>
      <w:lvlText w:val="•"/>
      <w:lvlJc w:val="left"/>
      <w:pPr>
        <w:ind w:left="7059" w:hanging="844"/>
      </w:pPr>
      <w:rPr>
        <w:rFonts w:hint="default"/>
        <w:lang w:val="zh-CN" w:eastAsia="zh-CN" w:bidi="zh-CN"/>
      </w:rPr>
    </w:lvl>
    <w:lvl w:ilvl="7">
      <w:start w:val="0"/>
      <w:numFmt w:val="bullet"/>
      <w:lvlText w:val="•"/>
      <w:lvlJc w:val="left"/>
      <w:pPr>
        <w:ind w:left="7956" w:hanging="844"/>
      </w:pPr>
      <w:rPr>
        <w:rFonts w:hint="default"/>
        <w:lang w:val="zh-CN" w:eastAsia="zh-CN" w:bidi="zh-CN"/>
      </w:rPr>
    </w:lvl>
    <w:lvl w:ilvl="8">
      <w:start w:val="0"/>
      <w:numFmt w:val="bullet"/>
      <w:lvlText w:val="•"/>
      <w:lvlJc w:val="left"/>
      <w:pPr>
        <w:ind w:left="8853" w:hanging="844"/>
      </w:pPr>
      <w:rPr>
        <w:rFonts w:hint="default"/>
        <w:lang w:val="zh-CN" w:eastAsia="zh-CN" w:bidi="zh-CN"/>
      </w:rPr>
    </w:lvl>
  </w:abstractNum>
  <w:abstractNum w:abstractNumId="313">
    <w:multiLevelType w:val="hybridMultilevel"/>
    <w:lvl w:ilvl="0">
      <w:start w:val="5"/>
      <w:numFmt w:val="decimal"/>
      <w:lvlText w:val="%1"/>
      <w:lvlJc w:val="left"/>
      <w:pPr>
        <w:ind w:left="1265" w:hanging="425"/>
        <w:jc w:val="left"/>
      </w:pPr>
      <w:rPr>
        <w:rFonts w:hint="default"/>
        <w:lang w:val="zh-CN" w:eastAsia="zh-CN" w:bidi="zh-CN"/>
      </w:rPr>
    </w:lvl>
    <w:lvl w:ilvl="1">
      <w:start w:val="10"/>
      <w:numFmt w:val="decimal"/>
      <w:lvlText w:val="%1.%2"/>
      <w:lvlJc w:val="left"/>
      <w:pPr>
        <w:ind w:left="1265" w:hanging="425"/>
        <w:jc w:val="right"/>
      </w:pPr>
      <w:rPr>
        <w:rFonts w:hint="default"/>
        <w:b/>
        <w:bCs/>
        <w:w w:val="99"/>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844"/>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771" w:hanging="844"/>
      </w:pPr>
      <w:rPr>
        <w:rFonts w:hint="default"/>
        <w:lang w:val="zh-CN" w:eastAsia="zh-CN" w:bidi="zh-CN"/>
      </w:rPr>
    </w:lvl>
    <w:lvl w:ilvl="5">
      <w:start w:val="0"/>
      <w:numFmt w:val="bullet"/>
      <w:lvlText w:val="•"/>
      <w:lvlJc w:val="left"/>
      <w:pPr>
        <w:ind w:left="4917" w:hanging="844"/>
      </w:pPr>
      <w:rPr>
        <w:rFonts w:hint="default"/>
        <w:lang w:val="zh-CN" w:eastAsia="zh-CN" w:bidi="zh-CN"/>
      </w:rPr>
    </w:lvl>
    <w:lvl w:ilvl="6">
      <w:start w:val="0"/>
      <w:numFmt w:val="bullet"/>
      <w:lvlText w:val="•"/>
      <w:lvlJc w:val="left"/>
      <w:pPr>
        <w:ind w:left="6063" w:hanging="844"/>
      </w:pPr>
      <w:rPr>
        <w:rFonts w:hint="default"/>
        <w:lang w:val="zh-CN" w:eastAsia="zh-CN" w:bidi="zh-CN"/>
      </w:rPr>
    </w:lvl>
    <w:lvl w:ilvl="7">
      <w:start w:val="0"/>
      <w:numFmt w:val="bullet"/>
      <w:lvlText w:val="•"/>
      <w:lvlJc w:val="left"/>
      <w:pPr>
        <w:ind w:left="7209" w:hanging="844"/>
      </w:pPr>
      <w:rPr>
        <w:rFonts w:hint="default"/>
        <w:lang w:val="zh-CN" w:eastAsia="zh-CN" w:bidi="zh-CN"/>
      </w:rPr>
    </w:lvl>
    <w:lvl w:ilvl="8">
      <w:start w:val="0"/>
      <w:numFmt w:val="bullet"/>
      <w:lvlText w:val="•"/>
      <w:lvlJc w:val="left"/>
      <w:pPr>
        <w:ind w:left="8354" w:hanging="844"/>
      </w:pPr>
      <w:rPr>
        <w:rFonts w:hint="default"/>
        <w:lang w:val="zh-CN" w:eastAsia="zh-CN" w:bidi="zh-CN"/>
      </w:rPr>
    </w:lvl>
  </w:abstractNum>
  <w:abstractNum w:abstractNumId="312">
    <w:multiLevelType w:val="hybridMultilevel"/>
    <w:lvl w:ilvl="0">
      <w:start w:val="5"/>
      <w:numFmt w:val="decimal"/>
      <w:lvlText w:val="%1"/>
      <w:lvlJc w:val="left"/>
      <w:pPr>
        <w:ind w:left="1158" w:hanging="318"/>
        <w:jc w:val="left"/>
      </w:pPr>
      <w:rPr>
        <w:rFonts w:hint="default"/>
        <w:lang w:val="zh-CN" w:eastAsia="zh-CN" w:bidi="zh-CN"/>
      </w:rPr>
    </w:lvl>
    <w:lvl w:ilvl="1">
      <w:start w:val="6"/>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311">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310">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09">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308">
    <w:multiLevelType w:val="hybridMultilevel"/>
    <w:lvl w:ilvl="0">
      <w:start w:val="2"/>
      <w:numFmt w:val="upperLetter"/>
      <w:lvlText w:val="%1."/>
      <w:lvlJc w:val="left"/>
      <w:pPr>
        <w:ind w:left="418" w:hanging="213"/>
        <w:jc w:val="left"/>
      </w:pPr>
      <w:rPr>
        <w:rFonts w:hint="default" w:ascii="宋体" w:hAnsi="宋体" w:eastAsia="宋体" w:cs="宋体"/>
        <w:b/>
        <w:bCs/>
        <w:w w:val="99"/>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307">
    <w:multiLevelType w:val="hybridMultilevel"/>
    <w:lvl w:ilvl="0">
      <w:start w:val="1"/>
      <w:numFmt w:val="upperLetter"/>
      <w:lvlText w:val="%1."/>
      <w:lvlJc w:val="left"/>
      <w:pPr>
        <w:ind w:left="838" w:hanging="213"/>
        <w:jc w:val="left"/>
      </w:pPr>
      <w:rPr>
        <w:rFonts w:hint="default" w:ascii="宋体" w:hAnsi="宋体" w:eastAsia="宋体" w:cs="宋体"/>
        <w:b/>
        <w:bCs/>
        <w:w w:val="99"/>
        <w:sz w:val="19"/>
        <w:szCs w:val="19"/>
        <w:lang w:val="zh-CN" w:eastAsia="zh-CN" w:bidi="zh-CN"/>
      </w:rPr>
    </w:lvl>
    <w:lvl w:ilvl="1">
      <w:start w:val="0"/>
      <w:numFmt w:val="bullet"/>
      <w:lvlText w:val="•"/>
      <w:lvlJc w:val="left"/>
      <w:pPr>
        <w:ind w:left="1820" w:hanging="213"/>
      </w:pPr>
      <w:rPr>
        <w:rFonts w:hint="default"/>
        <w:lang w:val="zh-CN" w:eastAsia="zh-CN" w:bidi="zh-CN"/>
      </w:rPr>
    </w:lvl>
    <w:lvl w:ilvl="2">
      <w:start w:val="0"/>
      <w:numFmt w:val="bullet"/>
      <w:lvlText w:val="•"/>
      <w:lvlJc w:val="left"/>
      <w:pPr>
        <w:ind w:left="2801" w:hanging="213"/>
      </w:pPr>
      <w:rPr>
        <w:rFonts w:hint="default"/>
        <w:lang w:val="zh-CN" w:eastAsia="zh-CN" w:bidi="zh-CN"/>
      </w:rPr>
    </w:lvl>
    <w:lvl w:ilvl="3">
      <w:start w:val="0"/>
      <w:numFmt w:val="bullet"/>
      <w:lvlText w:val="•"/>
      <w:lvlJc w:val="left"/>
      <w:pPr>
        <w:ind w:left="3781" w:hanging="213"/>
      </w:pPr>
      <w:rPr>
        <w:rFonts w:hint="default"/>
        <w:lang w:val="zh-CN" w:eastAsia="zh-CN" w:bidi="zh-CN"/>
      </w:rPr>
    </w:lvl>
    <w:lvl w:ilvl="4">
      <w:start w:val="0"/>
      <w:numFmt w:val="bullet"/>
      <w:lvlText w:val="•"/>
      <w:lvlJc w:val="left"/>
      <w:pPr>
        <w:ind w:left="4762" w:hanging="213"/>
      </w:pPr>
      <w:rPr>
        <w:rFonts w:hint="default"/>
        <w:lang w:val="zh-CN" w:eastAsia="zh-CN" w:bidi="zh-CN"/>
      </w:rPr>
    </w:lvl>
    <w:lvl w:ilvl="5">
      <w:start w:val="0"/>
      <w:numFmt w:val="bullet"/>
      <w:lvlText w:val="•"/>
      <w:lvlJc w:val="left"/>
      <w:pPr>
        <w:ind w:left="5743" w:hanging="213"/>
      </w:pPr>
      <w:rPr>
        <w:rFonts w:hint="default"/>
        <w:lang w:val="zh-CN" w:eastAsia="zh-CN" w:bidi="zh-CN"/>
      </w:rPr>
    </w:lvl>
    <w:lvl w:ilvl="6">
      <w:start w:val="0"/>
      <w:numFmt w:val="bullet"/>
      <w:lvlText w:val="•"/>
      <w:lvlJc w:val="left"/>
      <w:pPr>
        <w:ind w:left="6723" w:hanging="213"/>
      </w:pPr>
      <w:rPr>
        <w:rFonts w:hint="default"/>
        <w:lang w:val="zh-CN" w:eastAsia="zh-CN" w:bidi="zh-CN"/>
      </w:rPr>
    </w:lvl>
    <w:lvl w:ilvl="7">
      <w:start w:val="0"/>
      <w:numFmt w:val="bullet"/>
      <w:lvlText w:val="•"/>
      <w:lvlJc w:val="left"/>
      <w:pPr>
        <w:ind w:left="7704" w:hanging="213"/>
      </w:pPr>
      <w:rPr>
        <w:rFonts w:hint="default"/>
        <w:lang w:val="zh-CN" w:eastAsia="zh-CN" w:bidi="zh-CN"/>
      </w:rPr>
    </w:lvl>
    <w:lvl w:ilvl="8">
      <w:start w:val="0"/>
      <w:numFmt w:val="bullet"/>
      <w:lvlText w:val="•"/>
      <w:lvlJc w:val="left"/>
      <w:pPr>
        <w:ind w:left="8685" w:hanging="213"/>
      </w:pPr>
      <w:rPr>
        <w:rFonts w:hint="default"/>
        <w:lang w:val="zh-CN" w:eastAsia="zh-CN" w:bidi="zh-CN"/>
      </w:rPr>
    </w:lvl>
  </w:abstractNum>
  <w:abstractNum w:abstractNumId="306">
    <w:multiLevelType w:val="hybridMultilevel"/>
    <w:lvl w:ilvl="0">
      <w:start w:val="12"/>
      <w:numFmt w:val="decimal"/>
      <w:lvlText w:val="%1"/>
      <w:lvlJc w:val="left"/>
      <w:pPr>
        <w:ind w:left="1477" w:hanging="637"/>
        <w:jc w:val="left"/>
      </w:pPr>
      <w:rPr>
        <w:rFonts w:hint="default"/>
        <w:lang w:val="zh-CN" w:eastAsia="zh-CN" w:bidi="zh-CN"/>
      </w:rPr>
    </w:lvl>
    <w:lvl w:ilvl="1">
      <w:start w:val="4"/>
      <w:numFmt w:val="decimal"/>
      <w:lvlText w:val="%1.%2"/>
      <w:lvlJc w:val="left"/>
      <w:pPr>
        <w:ind w:left="1477" w:hanging="637"/>
        <w:jc w:val="left"/>
      </w:pPr>
      <w:rPr>
        <w:rFonts w:hint="default"/>
        <w:lang w:val="zh-CN" w:eastAsia="zh-CN" w:bidi="zh-CN"/>
      </w:rPr>
    </w:lvl>
    <w:lvl w:ilvl="2">
      <w:start w:val="4"/>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305">
    <w:multiLevelType w:val="hybridMultilevel"/>
    <w:lvl w:ilvl="0">
      <w:start w:val="12"/>
      <w:numFmt w:val="decimal"/>
      <w:lvlText w:val="%1"/>
      <w:lvlJc w:val="left"/>
      <w:pPr>
        <w:ind w:left="1263" w:hanging="424"/>
        <w:jc w:val="left"/>
      </w:pPr>
      <w:rPr>
        <w:rFonts w:hint="default"/>
        <w:lang w:val="zh-CN" w:eastAsia="zh-CN" w:bidi="zh-CN"/>
      </w:rPr>
    </w:lvl>
    <w:lvl w:ilvl="1">
      <w:start w:val="4"/>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304">
    <w:multiLevelType w:val="hybridMultilevel"/>
    <w:lvl w:ilvl="0">
      <w:start w:val="12"/>
      <w:numFmt w:val="decimal"/>
      <w:lvlText w:val="%1"/>
      <w:lvlJc w:val="left"/>
      <w:pPr>
        <w:ind w:left="1477" w:hanging="637"/>
        <w:jc w:val="left"/>
      </w:pPr>
      <w:rPr>
        <w:rFonts w:hint="default"/>
        <w:lang w:val="zh-CN" w:eastAsia="zh-CN" w:bidi="zh-CN"/>
      </w:rPr>
    </w:lvl>
    <w:lvl w:ilvl="1">
      <w:start w:val="3"/>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303">
    <w:multiLevelType w:val="hybridMultilevel"/>
    <w:lvl w:ilvl="0">
      <w:start w:val="12"/>
      <w:numFmt w:val="decimal"/>
      <w:lvlText w:val="%1"/>
      <w:lvlJc w:val="left"/>
      <w:pPr>
        <w:ind w:left="1477" w:hanging="637"/>
        <w:jc w:val="left"/>
      </w:pPr>
      <w:rPr>
        <w:rFonts w:hint="default"/>
        <w:lang w:val="zh-CN" w:eastAsia="zh-CN" w:bidi="zh-CN"/>
      </w:rPr>
    </w:lvl>
    <w:lvl w:ilvl="1">
      <w:start w:val="1"/>
      <w:numFmt w:val="decimal"/>
      <w:lvlText w:val="%1.%2"/>
      <w:lvlJc w:val="left"/>
      <w:pPr>
        <w:ind w:left="1477" w:hanging="637"/>
        <w:jc w:val="left"/>
      </w:pPr>
      <w:rPr>
        <w:rFonts w:hint="default"/>
        <w:lang w:val="zh-CN" w:eastAsia="zh-CN" w:bidi="zh-CN"/>
      </w:rPr>
    </w:lvl>
    <w:lvl w:ilvl="2">
      <w:start w:val="8"/>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302">
    <w:multiLevelType w:val="hybridMultilevel"/>
    <w:lvl w:ilvl="0">
      <w:start w:val="12"/>
      <w:numFmt w:val="decimal"/>
      <w:lvlText w:val="%1"/>
      <w:lvlJc w:val="left"/>
      <w:pPr>
        <w:ind w:left="1052" w:hanging="635"/>
        <w:jc w:val="left"/>
      </w:pPr>
      <w:rPr>
        <w:rFonts w:hint="default"/>
        <w:lang w:val="zh-CN" w:eastAsia="zh-CN" w:bidi="zh-CN"/>
      </w:rPr>
    </w:lvl>
    <w:lvl w:ilvl="1">
      <w:start w:val="1"/>
      <w:numFmt w:val="decimal"/>
      <w:lvlText w:val="%1.%2"/>
      <w:lvlJc w:val="left"/>
      <w:pPr>
        <w:ind w:left="1052" w:hanging="635"/>
        <w:jc w:val="left"/>
      </w:pPr>
      <w:rPr>
        <w:rFonts w:hint="default"/>
        <w:lang w:val="zh-CN" w:eastAsia="zh-CN" w:bidi="zh-CN"/>
      </w:rPr>
    </w:lvl>
    <w:lvl w:ilvl="2">
      <w:start w:val="2"/>
      <w:numFmt w:val="decimal"/>
      <w:lvlText w:val="%1.%2.%3"/>
      <w:lvlJc w:val="left"/>
      <w:pPr>
        <w:ind w:left="1052" w:hanging="635"/>
        <w:jc w:val="right"/>
      </w:pPr>
      <w:rPr>
        <w:rFonts w:hint="default"/>
        <w:spacing w:val="-3"/>
        <w:w w:val="100"/>
        <w:lang w:val="zh-CN" w:eastAsia="zh-CN" w:bidi="zh-CN"/>
      </w:rPr>
    </w:lvl>
    <w:lvl w:ilvl="3">
      <w:start w:val="0"/>
      <w:numFmt w:val="bullet"/>
      <w:lvlText w:val="•"/>
      <w:lvlJc w:val="left"/>
      <w:pPr>
        <w:ind w:left="3935" w:hanging="635"/>
      </w:pPr>
      <w:rPr>
        <w:rFonts w:hint="default"/>
        <w:lang w:val="zh-CN" w:eastAsia="zh-CN" w:bidi="zh-CN"/>
      </w:rPr>
    </w:lvl>
    <w:lvl w:ilvl="4">
      <w:start w:val="0"/>
      <w:numFmt w:val="bullet"/>
      <w:lvlText w:val="•"/>
      <w:lvlJc w:val="left"/>
      <w:pPr>
        <w:ind w:left="4894" w:hanging="635"/>
      </w:pPr>
      <w:rPr>
        <w:rFonts w:hint="default"/>
        <w:lang w:val="zh-CN" w:eastAsia="zh-CN" w:bidi="zh-CN"/>
      </w:rPr>
    </w:lvl>
    <w:lvl w:ilvl="5">
      <w:start w:val="0"/>
      <w:numFmt w:val="bullet"/>
      <w:lvlText w:val="•"/>
      <w:lvlJc w:val="left"/>
      <w:pPr>
        <w:ind w:left="5853" w:hanging="635"/>
      </w:pPr>
      <w:rPr>
        <w:rFonts w:hint="default"/>
        <w:lang w:val="zh-CN" w:eastAsia="zh-CN" w:bidi="zh-CN"/>
      </w:rPr>
    </w:lvl>
    <w:lvl w:ilvl="6">
      <w:start w:val="0"/>
      <w:numFmt w:val="bullet"/>
      <w:lvlText w:val="•"/>
      <w:lvlJc w:val="left"/>
      <w:pPr>
        <w:ind w:left="6811" w:hanging="635"/>
      </w:pPr>
      <w:rPr>
        <w:rFonts w:hint="default"/>
        <w:lang w:val="zh-CN" w:eastAsia="zh-CN" w:bidi="zh-CN"/>
      </w:rPr>
    </w:lvl>
    <w:lvl w:ilvl="7">
      <w:start w:val="0"/>
      <w:numFmt w:val="bullet"/>
      <w:lvlText w:val="•"/>
      <w:lvlJc w:val="left"/>
      <w:pPr>
        <w:ind w:left="7770" w:hanging="635"/>
      </w:pPr>
      <w:rPr>
        <w:rFonts w:hint="default"/>
        <w:lang w:val="zh-CN" w:eastAsia="zh-CN" w:bidi="zh-CN"/>
      </w:rPr>
    </w:lvl>
    <w:lvl w:ilvl="8">
      <w:start w:val="0"/>
      <w:numFmt w:val="bullet"/>
      <w:lvlText w:val="•"/>
      <w:lvlJc w:val="left"/>
      <w:pPr>
        <w:ind w:left="8729" w:hanging="635"/>
      </w:pPr>
      <w:rPr>
        <w:rFonts w:hint="default"/>
        <w:lang w:val="zh-CN" w:eastAsia="zh-CN" w:bidi="zh-CN"/>
      </w:rPr>
    </w:lvl>
  </w:abstractNum>
  <w:abstractNum w:abstractNumId="301">
    <w:multiLevelType w:val="hybridMultilevel"/>
    <w:lvl w:ilvl="0">
      <w:start w:val="12"/>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300">
    <w:multiLevelType w:val="hybridMultilevel"/>
    <w:lvl w:ilvl="0">
      <w:start w:val="2"/>
      <w:numFmt w:val="decimal"/>
      <w:lvlText w:val="%1."/>
      <w:lvlJc w:val="left"/>
      <w:pPr>
        <w:ind w:left="418" w:hanging="213"/>
        <w:jc w:val="left"/>
      </w:pPr>
      <w:rPr>
        <w:rFonts w:hint="default"/>
        <w:spacing w:val="-53"/>
        <w:w w:val="100"/>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99">
    <w:multiLevelType w:val="hybridMultilevel"/>
    <w:lvl w:ilvl="0">
      <w:start w:val="2"/>
      <w:numFmt w:val="decimal"/>
      <w:lvlText w:val="%1."/>
      <w:lvlJc w:val="left"/>
      <w:pPr>
        <w:ind w:left="418" w:hanging="213"/>
        <w:jc w:val="left"/>
      </w:pPr>
      <w:rPr>
        <w:rFonts w:hint="default" w:ascii="宋体" w:hAnsi="宋体" w:eastAsia="宋体" w:cs="宋体"/>
        <w:color w:val="333333"/>
        <w:spacing w:val="-5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98">
    <w:multiLevelType w:val="hybridMultilevel"/>
    <w:lvl w:ilvl="0">
      <w:start w:val="11"/>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b/>
        <w:bCs/>
        <w:w w:val="99"/>
        <w:lang w:val="zh-CN" w:eastAsia="zh-CN" w:bidi="zh-CN"/>
      </w:rPr>
    </w:lvl>
    <w:lvl w:ilvl="2">
      <w:start w:val="0"/>
      <w:numFmt w:val="bullet"/>
      <w:lvlText w:val="•"/>
      <w:lvlJc w:val="left"/>
      <w:pPr>
        <w:ind w:left="3137" w:hanging="424"/>
      </w:pPr>
      <w:rPr>
        <w:rFonts w:hint="default"/>
        <w:lang w:val="zh-CN" w:eastAsia="zh-CN" w:bidi="zh-CN"/>
      </w:rPr>
    </w:lvl>
    <w:lvl w:ilvl="3">
      <w:start w:val="0"/>
      <w:numFmt w:val="bullet"/>
      <w:lvlText w:val="•"/>
      <w:lvlJc w:val="left"/>
      <w:pPr>
        <w:ind w:left="4075" w:hanging="424"/>
      </w:pPr>
      <w:rPr>
        <w:rFonts w:hint="default"/>
        <w:lang w:val="zh-CN" w:eastAsia="zh-CN" w:bidi="zh-CN"/>
      </w:rPr>
    </w:lvl>
    <w:lvl w:ilvl="4">
      <w:start w:val="0"/>
      <w:numFmt w:val="bullet"/>
      <w:lvlText w:val="•"/>
      <w:lvlJc w:val="left"/>
      <w:pPr>
        <w:ind w:left="5014" w:hanging="424"/>
      </w:pPr>
      <w:rPr>
        <w:rFonts w:hint="default"/>
        <w:lang w:val="zh-CN" w:eastAsia="zh-CN" w:bidi="zh-CN"/>
      </w:rPr>
    </w:lvl>
    <w:lvl w:ilvl="5">
      <w:start w:val="0"/>
      <w:numFmt w:val="bullet"/>
      <w:lvlText w:val="•"/>
      <w:lvlJc w:val="left"/>
      <w:pPr>
        <w:ind w:left="5953" w:hanging="424"/>
      </w:pPr>
      <w:rPr>
        <w:rFonts w:hint="default"/>
        <w:lang w:val="zh-CN" w:eastAsia="zh-CN" w:bidi="zh-CN"/>
      </w:rPr>
    </w:lvl>
    <w:lvl w:ilvl="6">
      <w:start w:val="0"/>
      <w:numFmt w:val="bullet"/>
      <w:lvlText w:val="•"/>
      <w:lvlJc w:val="left"/>
      <w:pPr>
        <w:ind w:left="6891" w:hanging="424"/>
      </w:pPr>
      <w:rPr>
        <w:rFonts w:hint="default"/>
        <w:lang w:val="zh-CN" w:eastAsia="zh-CN" w:bidi="zh-CN"/>
      </w:rPr>
    </w:lvl>
    <w:lvl w:ilvl="7">
      <w:start w:val="0"/>
      <w:numFmt w:val="bullet"/>
      <w:lvlText w:val="•"/>
      <w:lvlJc w:val="left"/>
      <w:pPr>
        <w:ind w:left="7830" w:hanging="424"/>
      </w:pPr>
      <w:rPr>
        <w:rFonts w:hint="default"/>
        <w:lang w:val="zh-CN" w:eastAsia="zh-CN" w:bidi="zh-CN"/>
      </w:rPr>
    </w:lvl>
    <w:lvl w:ilvl="8">
      <w:start w:val="0"/>
      <w:numFmt w:val="bullet"/>
      <w:lvlText w:val="•"/>
      <w:lvlJc w:val="left"/>
      <w:pPr>
        <w:ind w:left="8769" w:hanging="424"/>
      </w:pPr>
      <w:rPr>
        <w:rFonts w:hint="default"/>
        <w:lang w:val="zh-CN" w:eastAsia="zh-CN" w:bidi="zh-CN"/>
      </w:rPr>
    </w:lvl>
  </w:abstractNum>
  <w:abstractNum w:abstractNumId="297">
    <w:multiLevelType w:val="hybridMultilevel"/>
    <w:lvl w:ilvl="0">
      <w:start w:val="10"/>
      <w:numFmt w:val="decimal"/>
      <w:lvlText w:val="%1"/>
      <w:lvlJc w:val="left"/>
      <w:pPr>
        <w:ind w:left="418" w:hanging="637"/>
        <w:jc w:val="left"/>
      </w:pPr>
      <w:rPr>
        <w:rFonts w:hint="default"/>
        <w:lang w:val="zh-CN" w:eastAsia="zh-CN" w:bidi="zh-CN"/>
      </w:rPr>
    </w:lvl>
    <w:lvl w:ilvl="1">
      <w:start w:val="1"/>
      <w:numFmt w:val="decimal"/>
      <w:lvlText w:val="%1.%2"/>
      <w:lvlJc w:val="left"/>
      <w:pPr>
        <w:ind w:left="418" w:hanging="637"/>
        <w:jc w:val="left"/>
      </w:pPr>
      <w:rPr>
        <w:rFonts w:hint="default"/>
        <w:lang w:val="zh-CN" w:eastAsia="zh-CN" w:bidi="zh-CN"/>
      </w:rPr>
    </w:lvl>
    <w:lvl w:ilvl="2">
      <w:start w:val="8"/>
      <w:numFmt w:val="decimal"/>
      <w:lvlText w:val="%1.%2.%3"/>
      <w:lvlJc w:val="left"/>
      <w:pPr>
        <w:ind w:left="418" w:hanging="637"/>
        <w:jc w:val="left"/>
      </w:pPr>
      <w:rPr>
        <w:rFonts w:hint="default"/>
        <w:b/>
        <w:bCs/>
        <w:spacing w:val="-3"/>
        <w:w w:val="9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296">
    <w:multiLevelType w:val="hybridMultilevel"/>
    <w:lvl w:ilvl="0">
      <w:start w:val="10"/>
      <w:numFmt w:val="decimal"/>
      <w:lvlText w:val="%1"/>
      <w:lvlJc w:val="left"/>
      <w:pPr>
        <w:ind w:left="1263" w:hanging="424"/>
        <w:jc w:val="left"/>
      </w:pPr>
      <w:rPr>
        <w:rFonts w:hint="default"/>
        <w:lang w:val="zh-CN" w:eastAsia="zh-CN" w:bidi="zh-CN"/>
      </w:rPr>
    </w:lvl>
    <w:lvl w:ilvl="1">
      <w:start w:val="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b/>
        <w:bCs/>
        <w:spacing w:val="-52"/>
        <w:w w:val="99"/>
        <w:lang w:val="zh-CN" w:eastAsia="zh-CN" w:bidi="zh-CN"/>
      </w:rPr>
    </w:lvl>
    <w:lvl w:ilvl="3">
      <w:start w:val="0"/>
      <w:numFmt w:val="bullet"/>
      <w:lvlText w:val="•"/>
      <w:lvlJc w:val="left"/>
      <w:pPr>
        <w:ind w:left="2625" w:hanging="637"/>
      </w:pPr>
      <w:rPr>
        <w:rFonts w:hint="default"/>
        <w:lang w:val="zh-CN" w:eastAsia="zh-CN" w:bidi="zh-CN"/>
      </w:rPr>
    </w:lvl>
    <w:lvl w:ilvl="4">
      <w:start w:val="0"/>
      <w:numFmt w:val="bullet"/>
      <w:lvlText w:val="•"/>
      <w:lvlJc w:val="left"/>
      <w:pPr>
        <w:ind w:left="3771" w:hanging="637"/>
      </w:pPr>
      <w:rPr>
        <w:rFonts w:hint="default"/>
        <w:lang w:val="zh-CN" w:eastAsia="zh-CN" w:bidi="zh-CN"/>
      </w:rPr>
    </w:lvl>
    <w:lvl w:ilvl="5">
      <w:start w:val="0"/>
      <w:numFmt w:val="bullet"/>
      <w:lvlText w:val="•"/>
      <w:lvlJc w:val="left"/>
      <w:pPr>
        <w:ind w:left="4917" w:hanging="637"/>
      </w:pPr>
      <w:rPr>
        <w:rFonts w:hint="default"/>
        <w:lang w:val="zh-CN" w:eastAsia="zh-CN" w:bidi="zh-CN"/>
      </w:rPr>
    </w:lvl>
    <w:lvl w:ilvl="6">
      <w:start w:val="0"/>
      <w:numFmt w:val="bullet"/>
      <w:lvlText w:val="•"/>
      <w:lvlJc w:val="left"/>
      <w:pPr>
        <w:ind w:left="6063" w:hanging="637"/>
      </w:pPr>
      <w:rPr>
        <w:rFonts w:hint="default"/>
        <w:lang w:val="zh-CN" w:eastAsia="zh-CN" w:bidi="zh-CN"/>
      </w:rPr>
    </w:lvl>
    <w:lvl w:ilvl="7">
      <w:start w:val="0"/>
      <w:numFmt w:val="bullet"/>
      <w:lvlText w:val="•"/>
      <w:lvlJc w:val="left"/>
      <w:pPr>
        <w:ind w:left="7209" w:hanging="637"/>
      </w:pPr>
      <w:rPr>
        <w:rFonts w:hint="default"/>
        <w:lang w:val="zh-CN" w:eastAsia="zh-CN" w:bidi="zh-CN"/>
      </w:rPr>
    </w:lvl>
    <w:lvl w:ilvl="8">
      <w:start w:val="0"/>
      <w:numFmt w:val="bullet"/>
      <w:lvlText w:val="•"/>
      <w:lvlJc w:val="left"/>
      <w:pPr>
        <w:ind w:left="8354" w:hanging="637"/>
      </w:pPr>
      <w:rPr>
        <w:rFonts w:hint="default"/>
        <w:lang w:val="zh-CN" w:eastAsia="zh-CN" w:bidi="zh-CN"/>
      </w:rPr>
    </w:lvl>
  </w:abstractNum>
  <w:abstractNum w:abstractNumId="295">
    <w:multiLevelType w:val="hybridMultilevel"/>
    <w:lvl w:ilvl="0">
      <w:start w:val="9"/>
      <w:numFmt w:val="decimal"/>
      <w:lvlText w:val="%1"/>
      <w:lvlJc w:val="left"/>
      <w:pPr>
        <w:ind w:left="418" w:hanging="637"/>
        <w:jc w:val="left"/>
      </w:pPr>
      <w:rPr>
        <w:rFonts w:hint="default"/>
        <w:lang w:val="zh-CN" w:eastAsia="zh-CN" w:bidi="zh-CN"/>
      </w:rPr>
    </w:lvl>
    <w:lvl w:ilvl="1">
      <w:start w:val="3"/>
      <w:numFmt w:val="decimal"/>
      <w:lvlText w:val="%1.%2"/>
      <w:lvlJc w:val="left"/>
      <w:pPr>
        <w:ind w:left="418" w:hanging="637"/>
        <w:jc w:val="left"/>
      </w:pPr>
      <w:rPr>
        <w:rFonts w:hint="default"/>
        <w:lang w:val="zh-CN" w:eastAsia="zh-CN" w:bidi="zh-CN"/>
      </w:rPr>
    </w:lvl>
    <w:lvl w:ilvl="2">
      <w:start w:val="15"/>
      <w:numFmt w:val="decimal"/>
      <w:lvlText w:val="%1.%2.%3"/>
      <w:lvlJc w:val="left"/>
      <w:pPr>
        <w:ind w:left="418" w:hanging="637"/>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294">
    <w:multiLevelType w:val="hybridMultilevel"/>
    <w:lvl w:ilvl="0">
      <w:start w:val="9"/>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93">
    <w:multiLevelType w:val="hybridMultilevel"/>
    <w:lvl w:ilvl="0">
      <w:start w:val="9"/>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92">
    <w:multiLevelType w:val="hybridMultilevel"/>
    <w:lvl w:ilvl="0">
      <w:start w:val="9"/>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291">
    <w:multiLevelType w:val="hybridMultilevel"/>
    <w:lvl w:ilvl="0">
      <w:start w:val="8"/>
      <w:numFmt w:val="decimal"/>
      <w:lvlText w:val="%1"/>
      <w:lvlJc w:val="left"/>
      <w:pPr>
        <w:ind w:left="1159" w:hanging="320"/>
        <w:jc w:val="left"/>
      </w:pPr>
      <w:rPr>
        <w:rFonts w:hint="default"/>
        <w:lang w:val="zh-CN" w:eastAsia="zh-CN" w:bidi="zh-CN"/>
      </w:rPr>
    </w:lvl>
    <w:lvl w:ilvl="1">
      <w:start w:val="5"/>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290">
    <w:multiLevelType w:val="hybridMultilevel"/>
    <w:lvl w:ilvl="0">
      <w:start w:val="8"/>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289">
    <w:multiLevelType w:val="hybridMultilevel"/>
    <w:lvl w:ilvl="0">
      <w:start w:val="8"/>
      <w:numFmt w:val="decimal"/>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9"/>
      <w:numFmt w:val="decimal"/>
      <w:lvlText w:val="%1.%2.%3"/>
      <w:lvlJc w:val="left"/>
      <w:pPr>
        <w:ind w:left="1369"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288">
    <w:multiLevelType w:val="hybridMultilevel"/>
    <w:lvl w:ilvl="0">
      <w:start w:val="8"/>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4"/>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87">
    <w:multiLevelType w:val="hybridMultilevel"/>
    <w:lvl w:ilvl="0">
      <w:start w:val="8"/>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286">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285">
    <w:multiLevelType w:val="hybridMultilevel"/>
    <w:lvl w:ilvl="0">
      <w:start w:val="7"/>
      <w:numFmt w:val="decimal"/>
      <w:lvlText w:val="%1"/>
      <w:lvlJc w:val="left"/>
      <w:pPr>
        <w:ind w:left="418" w:hanging="529"/>
        <w:jc w:val="left"/>
      </w:pPr>
      <w:rPr>
        <w:rFonts w:hint="default"/>
        <w:lang w:val="zh-CN" w:eastAsia="zh-CN" w:bidi="zh-CN"/>
      </w:rPr>
    </w:lvl>
    <w:lvl w:ilvl="1">
      <w:start w:val="4"/>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84">
    <w:multiLevelType w:val="hybridMultilevel"/>
    <w:lvl w:ilvl="0">
      <w:start w:val="7"/>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5"/>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83">
    <w:multiLevelType w:val="hybridMultilevel"/>
    <w:lvl w:ilvl="0">
      <w:start w:val="7"/>
      <w:numFmt w:val="decimal"/>
      <w:lvlText w:val="%1"/>
      <w:lvlJc w:val="left"/>
      <w:pPr>
        <w:ind w:left="1212" w:hanging="372"/>
        <w:jc w:val="left"/>
      </w:pPr>
      <w:rPr>
        <w:rFonts w:hint="default"/>
        <w:lang w:val="zh-CN" w:eastAsia="zh-CN" w:bidi="zh-CN"/>
      </w:rPr>
    </w:lvl>
    <w:lvl w:ilvl="1">
      <w:start w:val="3"/>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1"/>
      <w:numFmt w:val="decimal"/>
      <w:lvlText w:val="%1.%2.%3"/>
      <w:lvlJc w:val="left"/>
      <w:pPr>
        <w:ind w:left="1369"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282">
    <w:multiLevelType w:val="hybridMultilevel"/>
    <w:lvl w:ilvl="0">
      <w:start w:val="7"/>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81">
    <w:multiLevelType w:val="hybridMultilevel"/>
    <w:lvl w:ilvl="0">
      <w:start w:val="7"/>
      <w:numFmt w:val="decimal"/>
      <w:lvlText w:val="%1"/>
      <w:lvlJc w:val="left"/>
      <w:pPr>
        <w:ind w:left="418" w:hanging="529"/>
        <w:jc w:val="left"/>
      </w:pPr>
      <w:rPr>
        <w:rFonts w:hint="default"/>
        <w:lang w:val="zh-CN" w:eastAsia="zh-CN" w:bidi="zh-CN"/>
      </w:rPr>
    </w:lvl>
    <w:lvl w:ilvl="1">
      <w:start w:val="1"/>
      <w:numFmt w:val="decimal"/>
      <w:lvlText w:val="%1.%2"/>
      <w:lvlJc w:val="left"/>
      <w:pPr>
        <w:ind w:left="418" w:hanging="529"/>
        <w:jc w:val="left"/>
      </w:pPr>
      <w:rPr>
        <w:rFonts w:hint="default"/>
        <w:lang w:val="zh-CN" w:eastAsia="zh-CN" w:bidi="zh-CN"/>
      </w:rPr>
    </w:lvl>
    <w:lvl w:ilvl="2">
      <w:start w:val="4"/>
      <w:numFmt w:val="decimal"/>
      <w:lvlText w:val="%1.%2.%3"/>
      <w:lvlJc w:val="left"/>
      <w:pPr>
        <w:ind w:left="418"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80">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279">
    <w:multiLevelType w:val="hybridMultilevel"/>
    <w:lvl w:ilvl="0">
      <w:start w:val="6"/>
      <w:numFmt w:val="decimal"/>
      <w:lvlText w:val="%1"/>
      <w:lvlJc w:val="left"/>
      <w:pPr>
        <w:ind w:left="418" w:hanging="529"/>
        <w:jc w:val="left"/>
      </w:pPr>
      <w:rPr>
        <w:rFonts w:hint="default"/>
        <w:lang w:val="zh-CN" w:eastAsia="zh-CN" w:bidi="zh-CN"/>
      </w:rPr>
    </w:lvl>
    <w:lvl w:ilvl="1">
      <w:start w:val="7"/>
      <w:numFmt w:val="decimal"/>
      <w:lvlText w:val="%1.%2"/>
      <w:lvlJc w:val="left"/>
      <w:pPr>
        <w:ind w:left="418" w:hanging="529"/>
        <w:jc w:val="left"/>
      </w:pPr>
      <w:rPr>
        <w:rFonts w:hint="default"/>
        <w:lang w:val="zh-CN" w:eastAsia="zh-CN" w:bidi="zh-CN"/>
      </w:rPr>
    </w:lvl>
    <w:lvl w:ilvl="2">
      <w:start w:val="6"/>
      <w:numFmt w:val="decimal"/>
      <w:lvlText w:val="%1.%2.%3"/>
      <w:lvlJc w:val="left"/>
      <w:pPr>
        <w:ind w:left="418"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78">
    <w:multiLevelType w:val="hybridMultilevel"/>
    <w:lvl w:ilvl="0">
      <w:start w:val="2"/>
      <w:numFmt w:val="decimal"/>
      <w:lvlText w:val="%1）"/>
      <w:lvlJc w:val="left"/>
      <w:pPr>
        <w:ind w:left="1155" w:hanging="318"/>
        <w:jc w:val="left"/>
      </w:pPr>
      <w:rPr>
        <w:rFonts w:hint="default" w:ascii="宋体" w:hAnsi="宋体" w:eastAsia="宋体" w:cs="宋体"/>
        <w:color w:val="333333"/>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277">
    <w:multiLevelType w:val="hybridMultilevel"/>
    <w:lvl w:ilvl="0">
      <w:start w:val="1"/>
      <w:numFmt w:val="decimal"/>
      <w:lvlText w:val="%1）"/>
      <w:lvlJc w:val="left"/>
      <w:pPr>
        <w:ind w:left="1155" w:hanging="318"/>
        <w:jc w:val="left"/>
      </w:pPr>
      <w:rPr>
        <w:rFonts w:hint="default" w:ascii="宋体" w:hAnsi="宋体" w:eastAsia="宋体" w:cs="宋体"/>
        <w:color w:val="333333"/>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276">
    <w:multiLevelType w:val="hybridMultilevel"/>
    <w:lvl w:ilvl="0">
      <w:start w:val="6"/>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275">
    <w:multiLevelType w:val="hybridMultilevel"/>
    <w:lvl w:ilvl="0">
      <w:start w:val="6"/>
      <w:numFmt w:val="decimal"/>
      <w:lvlText w:val="%1"/>
      <w:lvlJc w:val="left"/>
      <w:pPr>
        <w:ind w:left="418" w:hanging="531"/>
        <w:jc w:val="left"/>
      </w:pPr>
      <w:rPr>
        <w:rFonts w:hint="default"/>
        <w:lang w:val="zh-CN" w:eastAsia="zh-CN" w:bidi="zh-CN"/>
      </w:rPr>
    </w:lvl>
    <w:lvl w:ilvl="1">
      <w:start w:val="6"/>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74">
    <w:multiLevelType w:val="hybridMultilevel"/>
    <w:lvl w:ilvl="0">
      <w:start w:val="6"/>
      <w:numFmt w:val="decimal"/>
      <w:lvlText w:val="%1"/>
      <w:lvlJc w:val="left"/>
      <w:pPr>
        <w:ind w:left="1370" w:hanging="531"/>
        <w:jc w:val="left"/>
      </w:pPr>
      <w:rPr>
        <w:rFonts w:hint="default"/>
        <w:lang w:val="zh-CN" w:eastAsia="zh-CN" w:bidi="zh-CN"/>
      </w:rPr>
    </w:lvl>
    <w:lvl w:ilvl="1">
      <w:start w:val="5"/>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273">
    <w:multiLevelType w:val="hybridMultilevel"/>
    <w:lvl w:ilvl="0">
      <w:start w:val="6"/>
      <w:numFmt w:val="decimal"/>
      <w:lvlText w:val="%1"/>
      <w:lvlJc w:val="left"/>
      <w:pPr>
        <w:ind w:left="418" w:hanging="531"/>
        <w:jc w:val="left"/>
      </w:pPr>
      <w:rPr>
        <w:rFonts w:hint="default"/>
        <w:lang w:val="zh-CN" w:eastAsia="zh-CN" w:bidi="zh-CN"/>
      </w:rPr>
    </w:lvl>
    <w:lvl w:ilvl="1">
      <w:start w:val="4"/>
      <w:numFmt w:val="decimal"/>
      <w:lvlText w:val="%1.%2"/>
      <w:lvlJc w:val="left"/>
      <w:pPr>
        <w:ind w:left="418" w:hanging="531"/>
        <w:jc w:val="left"/>
      </w:pPr>
      <w:rPr>
        <w:rFonts w:hint="default"/>
        <w:lang w:val="zh-CN" w:eastAsia="zh-CN" w:bidi="zh-CN"/>
      </w:rPr>
    </w:lvl>
    <w:lvl w:ilvl="2">
      <w:start w:val="7"/>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72">
    <w:multiLevelType w:val="hybridMultilevel"/>
    <w:lvl w:ilvl="0">
      <w:start w:val="6"/>
      <w:numFmt w:val="decimal"/>
      <w:lvlText w:val="%1"/>
      <w:lvlJc w:val="left"/>
      <w:pPr>
        <w:ind w:left="1159" w:hanging="320"/>
        <w:jc w:val="left"/>
      </w:pPr>
      <w:rPr>
        <w:rFonts w:hint="default"/>
        <w:lang w:val="zh-CN" w:eastAsia="zh-CN" w:bidi="zh-CN"/>
      </w:rPr>
    </w:lvl>
    <w:lvl w:ilvl="1">
      <w:start w:val="4"/>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271">
    <w:multiLevelType w:val="hybridMultilevel"/>
    <w:lvl w:ilvl="0">
      <w:start w:val="6"/>
      <w:numFmt w:val="decimal"/>
      <w:lvlText w:val="%1"/>
      <w:lvlJc w:val="left"/>
      <w:pPr>
        <w:ind w:left="418" w:hanging="529"/>
        <w:jc w:val="left"/>
      </w:pPr>
      <w:rPr>
        <w:rFonts w:hint="default"/>
        <w:lang w:val="zh-CN" w:eastAsia="zh-CN" w:bidi="zh-CN"/>
      </w:rPr>
    </w:lvl>
    <w:lvl w:ilvl="1">
      <w:start w:val="3"/>
      <w:numFmt w:val="decimal"/>
      <w:lvlText w:val="%1.%2"/>
      <w:lvlJc w:val="left"/>
      <w:pPr>
        <w:ind w:left="418" w:hanging="529"/>
        <w:jc w:val="left"/>
      </w:pPr>
      <w:rPr>
        <w:rFonts w:hint="default"/>
        <w:lang w:val="zh-CN" w:eastAsia="zh-CN" w:bidi="zh-CN"/>
      </w:rPr>
    </w:lvl>
    <w:lvl w:ilvl="2">
      <w:start w:val="3"/>
      <w:numFmt w:val="decimal"/>
      <w:lvlText w:val="%1.%2.%3"/>
      <w:lvlJc w:val="left"/>
      <w:pPr>
        <w:ind w:left="418" w:hanging="529"/>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70">
    <w:multiLevelType w:val="hybridMultilevel"/>
    <w:lvl w:ilvl="0">
      <w:start w:val="6"/>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1"/>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2520" w:hanging="531"/>
      </w:pPr>
      <w:rPr>
        <w:rFonts w:hint="default"/>
        <w:lang w:val="zh-CN" w:eastAsia="zh-CN" w:bidi="zh-CN"/>
      </w:rPr>
    </w:lvl>
    <w:lvl w:ilvl="4">
      <w:start w:val="0"/>
      <w:numFmt w:val="bullet"/>
      <w:lvlText w:val="•"/>
      <w:lvlJc w:val="left"/>
      <w:pPr>
        <w:ind w:left="3681" w:hanging="531"/>
      </w:pPr>
      <w:rPr>
        <w:rFonts w:hint="default"/>
        <w:lang w:val="zh-CN" w:eastAsia="zh-CN" w:bidi="zh-CN"/>
      </w:rPr>
    </w:lvl>
    <w:lvl w:ilvl="5">
      <w:start w:val="0"/>
      <w:numFmt w:val="bullet"/>
      <w:lvlText w:val="•"/>
      <w:lvlJc w:val="left"/>
      <w:pPr>
        <w:ind w:left="4842" w:hanging="531"/>
      </w:pPr>
      <w:rPr>
        <w:rFonts w:hint="default"/>
        <w:lang w:val="zh-CN" w:eastAsia="zh-CN" w:bidi="zh-CN"/>
      </w:rPr>
    </w:lvl>
    <w:lvl w:ilvl="6">
      <w:start w:val="0"/>
      <w:numFmt w:val="bullet"/>
      <w:lvlText w:val="•"/>
      <w:lvlJc w:val="left"/>
      <w:pPr>
        <w:ind w:left="6003" w:hanging="531"/>
      </w:pPr>
      <w:rPr>
        <w:rFonts w:hint="default"/>
        <w:lang w:val="zh-CN" w:eastAsia="zh-CN" w:bidi="zh-CN"/>
      </w:rPr>
    </w:lvl>
    <w:lvl w:ilvl="7">
      <w:start w:val="0"/>
      <w:numFmt w:val="bullet"/>
      <w:lvlText w:val="•"/>
      <w:lvlJc w:val="left"/>
      <w:pPr>
        <w:ind w:left="7164" w:hanging="531"/>
      </w:pPr>
      <w:rPr>
        <w:rFonts w:hint="default"/>
        <w:lang w:val="zh-CN" w:eastAsia="zh-CN" w:bidi="zh-CN"/>
      </w:rPr>
    </w:lvl>
    <w:lvl w:ilvl="8">
      <w:start w:val="0"/>
      <w:numFmt w:val="bullet"/>
      <w:lvlText w:val="•"/>
      <w:lvlJc w:val="left"/>
      <w:pPr>
        <w:ind w:left="8324" w:hanging="531"/>
      </w:pPr>
      <w:rPr>
        <w:rFonts w:hint="default"/>
        <w:lang w:val="zh-CN" w:eastAsia="zh-CN" w:bidi="zh-CN"/>
      </w:rPr>
    </w:lvl>
  </w:abstractNum>
  <w:abstractNum w:abstractNumId="269">
    <w:multiLevelType w:val="hybridMultilevel"/>
    <w:lvl w:ilvl="0">
      <w:start w:val="2"/>
      <w:numFmt w:val="decimal"/>
      <w:lvlText w:val="%1."/>
      <w:lvlJc w:val="left"/>
      <w:pPr>
        <w:ind w:left="418" w:hanging="213"/>
        <w:jc w:val="left"/>
      </w:pPr>
      <w:rPr>
        <w:rFonts w:hint="default" w:ascii="宋体" w:hAnsi="宋体" w:eastAsia="宋体" w:cs="宋体"/>
        <w:color w:val="333333"/>
        <w:spacing w:val="-5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68">
    <w:multiLevelType w:val="hybridMultilevel"/>
    <w:lvl w:ilvl="0">
      <w:start w:val="5"/>
      <w:numFmt w:val="decimal"/>
      <w:lvlText w:val="%1"/>
      <w:lvlJc w:val="left"/>
      <w:pPr>
        <w:ind w:left="418" w:hanging="637"/>
        <w:jc w:val="left"/>
      </w:pPr>
      <w:rPr>
        <w:rFonts w:hint="default"/>
        <w:lang w:val="zh-CN" w:eastAsia="zh-CN" w:bidi="zh-CN"/>
      </w:rPr>
    </w:lvl>
    <w:lvl w:ilvl="1">
      <w:start w:val="5"/>
      <w:numFmt w:val="decimal"/>
      <w:lvlText w:val="%1.%2"/>
      <w:lvlJc w:val="left"/>
      <w:pPr>
        <w:ind w:left="418" w:hanging="637"/>
        <w:jc w:val="left"/>
      </w:pPr>
      <w:rPr>
        <w:rFonts w:hint="default"/>
        <w:lang w:val="zh-CN" w:eastAsia="zh-CN" w:bidi="zh-CN"/>
      </w:rPr>
    </w:lvl>
    <w:lvl w:ilvl="2">
      <w:start w:val="24"/>
      <w:numFmt w:val="decimal"/>
      <w:lvlText w:val="%1.%2.%3"/>
      <w:lvlJc w:val="left"/>
      <w:pPr>
        <w:ind w:left="418" w:hanging="637"/>
        <w:jc w:val="left"/>
      </w:pPr>
      <w:rPr>
        <w:rFonts w:hint="default" w:ascii="宋体" w:hAnsi="宋体" w:eastAsia="宋体" w:cs="宋体"/>
        <w:b/>
        <w:bCs/>
        <w:color w:val="333333"/>
        <w:spacing w:val="-55"/>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267">
    <w:multiLevelType w:val="hybridMultilevel"/>
    <w:lvl w:ilvl="0">
      <w:start w:val="5"/>
      <w:numFmt w:val="decimal"/>
      <w:lvlText w:val="%1"/>
      <w:lvlJc w:val="left"/>
      <w:pPr>
        <w:ind w:left="418" w:hanging="637"/>
        <w:jc w:val="left"/>
      </w:pPr>
      <w:rPr>
        <w:rFonts w:hint="default"/>
        <w:lang w:val="zh-CN" w:eastAsia="zh-CN" w:bidi="zh-CN"/>
      </w:rPr>
    </w:lvl>
    <w:lvl w:ilvl="1">
      <w:start w:val="5"/>
      <w:numFmt w:val="decimal"/>
      <w:lvlText w:val="%1.%2"/>
      <w:lvlJc w:val="left"/>
      <w:pPr>
        <w:ind w:left="418" w:hanging="637"/>
        <w:jc w:val="left"/>
      </w:pPr>
      <w:rPr>
        <w:rFonts w:hint="default"/>
        <w:lang w:val="zh-CN" w:eastAsia="zh-CN" w:bidi="zh-CN"/>
      </w:rPr>
    </w:lvl>
    <w:lvl w:ilvl="2">
      <w:start w:val="21"/>
      <w:numFmt w:val="decimal"/>
      <w:lvlText w:val="%1.%2.%3"/>
      <w:lvlJc w:val="left"/>
      <w:pPr>
        <w:ind w:left="418" w:hanging="637"/>
        <w:jc w:val="left"/>
      </w:pPr>
      <w:rPr>
        <w:rFonts w:hint="default" w:ascii="宋体" w:hAnsi="宋体" w:eastAsia="宋体" w:cs="宋体"/>
        <w:b/>
        <w:bCs/>
        <w:color w:val="333333"/>
        <w:spacing w:val="-3"/>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266">
    <w:multiLevelType w:val="hybridMultilevel"/>
    <w:lvl w:ilvl="0">
      <w:start w:val="5"/>
      <w:numFmt w:val="decimal"/>
      <w:lvlText w:val="%1"/>
      <w:lvlJc w:val="left"/>
      <w:pPr>
        <w:ind w:left="418" w:hanging="637"/>
        <w:jc w:val="left"/>
      </w:pPr>
      <w:rPr>
        <w:rFonts w:hint="default"/>
        <w:lang w:val="zh-CN" w:eastAsia="zh-CN" w:bidi="zh-CN"/>
      </w:rPr>
    </w:lvl>
    <w:lvl w:ilvl="1">
      <w:start w:val="5"/>
      <w:numFmt w:val="decimal"/>
      <w:lvlText w:val="%1.%2"/>
      <w:lvlJc w:val="left"/>
      <w:pPr>
        <w:ind w:left="418" w:hanging="637"/>
        <w:jc w:val="left"/>
      </w:pPr>
      <w:rPr>
        <w:rFonts w:hint="default"/>
        <w:lang w:val="zh-CN" w:eastAsia="zh-CN" w:bidi="zh-CN"/>
      </w:rPr>
    </w:lvl>
    <w:lvl w:ilvl="2">
      <w:start w:val="18"/>
      <w:numFmt w:val="decimal"/>
      <w:lvlText w:val="%1.%2.%3"/>
      <w:lvlJc w:val="left"/>
      <w:pPr>
        <w:ind w:left="418" w:hanging="637"/>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265">
    <w:multiLevelType w:val="hybridMultilevel"/>
    <w:lvl w:ilvl="0">
      <w:start w:val="2"/>
      <w:numFmt w:val="decimal"/>
      <w:lvlText w:val="%1."/>
      <w:lvlJc w:val="left"/>
      <w:pPr>
        <w:ind w:left="418" w:hanging="213"/>
        <w:jc w:val="left"/>
      </w:pPr>
      <w:rPr>
        <w:rFonts w:hint="default" w:ascii="宋体" w:hAnsi="宋体" w:eastAsia="宋体" w:cs="宋体"/>
        <w:color w:val="333333"/>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64">
    <w:multiLevelType w:val="hybridMultilevel"/>
    <w:lvl w:ilvl="0">
      <w:start w:val="5"/>
      <w:numFmt w:val="decimal"/>
      <w:lvlText w:val="%1"/>
      <w:lvlJc w:val="left"/>
      <w:pPr>
        <w:ind w:left="418" w:hanging="637"/>
        <w:jc w:val="left"/>
      </w:pPr>
      <w:rPr>
        <w:rFonts w:hint="default"/>
        <w:lang w:val="zh-CN" w:eastAsia="zh-CN" w:bidi="zh-CN"/>
      </w:rPr>
    </w:lvl>
    <w:lvl w:ilvl="1">
      <w:start w:val="5"/>
      <w:numFmt w:val="decimal"/>
      <w:lvlText w:val="%1.%2"/>
      <w:lvlJc w:val="left"/>
      <w:pPr>
        <w:ind w:left="418" w:hanging="637"/>
        <w:jc w:val="left"/>
      </w:pPr>
      <w:rPr>
        <w:rFonts w:hint="default"/>
        <w:lang w:val="zh-CN" w:eastAsia="zh-CN" w:bidi="zh-CN"/>
      </w:rPr>
    </w:lvl>
    <w:lvl w:ilvl="2">
      <w:start w:val="13"/>
      <w:numFmt w:val="decimal"/>
      <w:lvlText w:val="%1.%2.%3"/>
      <w:lvlJc w:val="left"/>
      <w:pPr>
        <w:ind w:left="418" w:hanging="637"/>
        <w:jc w:val="left"/>
      </w:pPr>
      <w:rPr>
        <w:rFonts w:hint="default" w:ascii="宋体" w:hAnsi="宋体" w:eastAsia="宋体" w:cs="宋体"/>
        <w:b/>
        <w:bCs/>
        <w:color w:val="333333"/>
        <w:spacing w:val="-55"/>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263">
    <w:multiLevelType w:val="hybridMultilevel"/>
    <w:lvl w:ilvl="0">
      <w:start w:val="1"/>
      <w:numFmt w:val="decimal"/>
      <w:lvlText w:val="（%1）"/>
      <w:lvlJc w:val="left"/>
      <w:pPr>
        <w:ind w:left="418" w:hanging="529"/>
        <w:jc w:val="left"/>
      </w:pPr>
      <w:rPr>
        <w:rFonts w:hint="default" w:ascii="宋体" w:hAnsi="宋体" w:eastAsia="宋体" w:cs="宋体"/>
        <w:color w:val="333333"/>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62">
    <w:multiLevelType w:val="hybridMultilevel"/>
    <w:lvl w:ilvl="0">
      <w:start w:val="5"/>
      <w:numFmt w:val="decimal"/>
      <w:lvlText w:val="%1"/>
      <w:lvlJc w:val="left"/>
      <w:pPr>
        <w:ind w:left="418" w:hanging="531"/>
        <w:jc w:val="left"/>
      </w:pPr>
      <w:rPr>
        <w:rFonts w:hint="default"/>
        <w:lang w:val="zh-CN" w:eastAsia="zh-CN" w:bidi="zh-CN"/>
      </w:rPr>
    </w:lvl>
    <w:lvl w:ilvl="1">
      <w:start w:val="5"/>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61">
    <w:multiLevelType w:val="hybridMultilevel"/>
    <w:lvl w:ilvl="0">
      <w:start w:val="5"/>
      <w:numFmt w:val="decimal"/>
      <w:lvlText w:val="%1"/>
      <w:lvlJc w:val="left"/>
      <w:pPr>
        <w:ind w:left="1477" w:hanging="637"/>
        <w:jc w:val="left"/>
      </w:pPr>
      <w:rPr>
        <w:rFonts w:hint="default"/>
        <w:lang w:val="zh-CN" w:eastAsia="zh-CN" w:bidi="zh-CN"/>
      </w:rPr>
    </w:lvl>
    <w:lvl w:ilvl="1">
      <w:start w:val="4"/>
      <w:numFmt w:val="decimal"/>
      <w:lvlText w:val="%1.%2"/>
      <w:lvlJc w:val="left"/>
      <w:pPr>
        <w:ind w:left="1477" w:hanging="637"/>
        <w:jc w:val="left"/>
      </w:pPr>
      <w:rPr>
        <w:rFonts w:hint="default"/>
        <w:lang w:val="zh-CN" w:eastAsia="zh-CN" w:bidi="zh-CN"/>
      </w:rPr>
    </w:lvl>
    <w:lvl w:ilvl="2">
      <w:start w:val="10"/>
      <w:numFmt w:val="decimal"/>
      <w:lvlText w:val="%1.%2.%3"/>
      <w:lvlJc w:val="left"/>
      <w:pPr>
        <w:ind w:left="1477" w:hanging="637"/>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260">
    <w:multiLevelType w:val="hybridMultilevel"/>
    <w:lvl w:ilvl="0">
      <w:start w:val="5"/>
      <w:numFmt w:val="decimal"/>
      <w:lvlText w:val="%1"/>
      <w:lvlJc w:val="left"/>
      <w:pPr>
        <w:ind w:left="418" w:hanging="531"/>
        <w:jc w:val="left"/>
      </w:pPr>
      <w:rPr>
        <w:rFonts w:hint="default"/>
        <w:lang w:val="zh-CN" w:eastAsia="zh-CN" w:bidi="zh-CN"/>
      </w:rPr>
    </w:lvl>
    <w:lvl w:ilvl="1">
      <w:start w:val="4"/>
      <w:numFmt w:val="decimal"/>
      <w:lvlText w:val="%1.%2"/>
      <w:lvlJc w:val="left"/>
      <w:pPr>
        <w:ind w:left="418" w:hanging="531"/>
        <w:jc w:val="left"/>
      </w:pPr>
      <w:rPr>
        <w:rFonts w:hint="default"/>
        <w:lang w:val="zh-CN" w:eastAsia="zh-CN" w:bidi="zh-CN"/>
      </w:rPr>
    </w:lvl>
    <w:lvl w:ilvl="2">
      <w:start w:val="4"/>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59">
    <w:multiLevelType w:val="hybridMultilevel"/>
    <w:lvl w:ilvl="0">
      <w:start w:val="5"/>
      <w:numFmt w:val="decimal"/>
      <w:lvlText w:val="%1"/>
      <w:lvlJc w:val="left"/>
      <w:pPr>
        <w:ind w:left="418" w:hanging="531"/>
        <w:jc w:val="left"/>
      </w:pPr>
      <w:rPr>
        <w:rFonts w:hint="default"/>
        <w:lang w:val="zh-CN" w:eastAsia="zh-CN" w:bidi="zh-CN"/>
      </w:rPr>
    </w:lvl>
    <w:lvl w:ilvl="1">
      <w:start w:val="4"/>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b/>
        <w:bCs/>
        <w:w w:val="9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58">
    <w:multiLevelType w:val="hybridMultilevel"/>
    <w:lvl w:ilvl="0">
      <w:start w:val="5"/>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3"/>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57">
    <w:multiLevelType w:val="hybridMultilevel"/>
    <w:lvl w:ilvl="0">
      <w:start w:val="2"/>
      <w:numFmt w:val="decimal"/>
      <w:lvlText w:val="%1."/>
      <w:lvlJc w:val="left"/>
      <w:pPr>
        <w:ind w:left="418" w:hanging="213"/>
        <w:jc w:val="left"/>
      </w:pPr>
      <w:rPr>
        <w:rFonts w:hint="default" w:ascii="宋体" w:hAnsi="宋体" w:eastAsia="宋体" w:cs="宋体"/>
        <w:color w:val="333333"/>
        <w:spacing w:val="-53"/>
        <w:w w:val="99"/>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56">
    <w:multiLevelType w:val="hybridMultilevel"/>
    <w:lvl w:ilvl="0">
      <w:start w:val="5"/>
      <w:numFmt w:val="decimal"/>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8"/>
      <w:numFmt w:val="decimal"/>
      <w:lvlText w:val="%1.%2.%3"/>
      <w:lvlJc w:val="left"/>
      <w:pPr>
        <w:ind w:left="1370"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255">
    <w:multiLevelType w:val="hybridMultilevel"/>
    <w:lvl w:ilvl="0">
      <w:start w:val="2"/>
      <w:numFmt w:val="decimal"/>
      <w:lvlText w:val="%1."/>
      <w:lvlJc w:val="left"/>
      <w:pPr>
        <w:ind w:left="418" w:hanging="213"/>
        <w:jc w:val="left"/>
      </w:pPr>
      <w:rPr>
        <w:rFonts w:hint="default" w:ascii="宋体" w:hAnsi="宋体" w:eastAsia="宋体" w:cs="宋体"/>
        <w:color w:val="333333"/>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54">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b/>
        <w:bCs/>
        <w:w w:val="99"/>
        <w:lang w:val="zh-CN" w:eastAsia="zh-CN" w:bidi="zh-CN"/>
      </w:rPr>
    </w:lvl>
    <w:lvl w:ilvl="3">
      <w:start w:val="0"/>
      <w:numFmt w:val="bullet"/>
      <w:lvlText w:val="•"/>
      <w:lvlJc w:val="left"/>
      <w:pPr>
        <w:ind w:left="2520" w:hanging="531"/>
      </w:pPr>
      <w:rPr>
        <w:rFonts w:hint="default"/>
        <w:lang w:val="zh-CN" w:eastAsia="zh-CN" w:bidi="zh-CN"/>
      </w:rPr>
    </w:lvl>
    <w:lvl w:ilvl="4">
      <w:start w:val="0"/>
      <w:numFmt w:val="bullet"/>
      <w:lvlText w:val="•"/>
      <w:lvlJc w:val="left"/>
      <w:pPr>
        <w:ind w:left="3681" w:hanging="531"/>
      </w:pPr>
      <w:rPr>
        <w:rFonts w:hint="default"/>
        <w:lang w:val="zh-CN" w:eastAsia="zh-CN" w:bidi="zh-CN"/>
      </w:rPr>
    </w:lvl>
    <w:lvl w:ilvl="5">
      <w:start w:val="0"/>
      <w:numFmt w:val="bullet"/>
      <w:lvlText w:val="•"/>
      <w:lvlJc w:val="left"/>
      <w:pPr>
        <w:ind w:left="4842" w:hanging="531"/>
      </w:pPr>
      <w:rPr>
        <w:rFonts w:hint="default"/>
        <w:lang w:val="zh-CN" w:eastAsia="zh-CN" w:bidi="zh-CN"/>
      </w:rPr>
    </w:lvl>
    <w:lvl w:ilvl="6">
      <w:start w:val="0"/>
      <w:numFmt w:val="bullet"/>
      <w:lvlText w:val="•"/>
      <w:lvlJc w:val="left"/>
      <w:pPr>
        <w:ind w:left="6003" w:hanging="531"/>
      </w:pPr>
      <w:rPr>
        <w:rFonts w:hint="default"/>
        <w:lang w:val="zh-CN" w:eastAsia="zh-CN" w:bidi="zh-CN"/>
      </w:rPr>
    </w:lvl>
    <w:lvl w:ilvl="7">
      <w:start w:val="0"/>
      <w:numFmt w:val="bullet"/>
      <w:lvlText w:val="•"/>
      <w:lvlJc w:val="left"/>
      <w:pPr>
        <w:ind w:left="7164" w:hanging="531"/>
      </w:pPr>
      <w:rPr>
        <w:rFonts w:hint="default"/>
        <w:lang w:val="zh-CN" w:eastAsia="zh-CN" w:bidi="zh-CN"/>
      </w:rPr>
    </w:lvl>
    <w:lvl w:ilvl="8">
      <w:start w:val="0"/>
      <w:numFmt w:val="bullet"/>
      <w:lvlText w:val="•"/>
      <w:lvlJc w:val="left"/>
      <w:pPr>
        <w:ind w:left="8324" w:hanging="531"/>
      </w:pPr>
      <w:rPr>
        <w:rFonts w:hint="default"/>
        <w:lang w:val="zh-CN" w:eastAsia="zh-CN" w:bidi="zh-CN"/>
      </w:rPr>
    </w:lvl>
  </w:abstractNum>
  <w:abstractNum w:abstractNumId="253">
    <w:multiLevelType w:val="hybridMultilevel"/>
    <w:lvl w:ilvl="0">
      <w:start w:val="4"/>
      <w:numFmt w:val="decimal"/>
      <w:lvlText w:val="%1"/>
      <w:lvlJc w:val="left"/>
      <w:pPr>
        <w:ind w:left="1158" w:hanging="318"/>
        <w:jc w:val="left"/>
      </w:pPr>
      <w:rPr>
        <w:rFonts w:hint="default"/>
        <w:lang w:val="zh-CN" w:eastAsia="zh-CN" w:bidi="zh-CN"/>
      </w:rPr>
    </w:lvl>
    <w:lvl w:ilvl="1">
      <w:start w:val="5"/>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252">
    <w:multiLevelType w:val="hybridMultilevel"/>
    <w:lvl w:ilvl="0">
      <w:start w:val="4"/>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3"/>
      <w:numFmt w:val="decimal"/>
      <w:lvlText w:val="%1.%2.%3"/>
      <w:lvlJc w:val="left"/>
      <w:pPr>
        <w:ind w:left="1370" w:hanging="531"/>
        <w:jc w:val="left"/>
      </w:pPr>
      <w:rPr>
        <w:rFonts w:hint="default"/>
        <w:b/>
        <w:bCs/>
        <w:w w:val="9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251">
    <w:multiLevelType w:val="hybridMultilevel"/>
    <w:lvl w:ilvl="0">
      <w:start w:val="4"/>
      <w:numFmt w:val="decimal"/>
      <w:lvlText w:val="%1"/>
      <w:lvlJc w:val="left"/>
      <w:pPr>
        <w:ind w:left="1477" w:hanging="637"/>
        <w:jc w:val="left"/>
      </w:pPr>
      <w:rPr>
        <w:rFonts w:hint="default"/>
        <w:lang w:val="zh-CN" w:eastAsia="zh-CN" w:bidi="zh-CN"/>
      </w:rPr>
    </w:lvl>
    <w:lvl w:ilvl="1">
      <w:start w:val="2"/>
      <w:numFmt w:val="decimal"/>
      <w:lvlText w:val="%1.%2"/>
      <w:lvlJc w:val="left"/>
      <w:pPr>
        <w:ind w:left="1477" w:hanging="637"/>
        <w:jc w:val="left"/>
      </w:pPr>
      <w:rPr>
        <w:rFonts w:hint="default"/>
        <w:lang w:val="zh-CN" w:eastAsia="zh-CN" w:bidi="zh-CN"/>
      </w:rPr>
    </w:lvl>
    <w:lvl w:ilvl="2">
      <w:start w:val="10"/>
      <w:numFmt w:val="decimal"/>
      <w:lvlText w:val="%1.%2.%3"/>
      <w:lvlJc w:val="left"/>
      <w:pPr>
        <w:ind w:left="1477" w:hanging="637"/>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250">
    <w:multiLevelType w:val="hybridMultilevel"/>
    <w:lvl w:ilvl="0">
      <w:start w:val="3"/>
      <w:numFmt w:val="decimal"/>
      <w:lvlText w:val="%1."/>
      <w:lvlJc w:val="left"/>
      <w:pPr>
        <w:ind w:left="1050" w:hanging="213"/>
        <w:jc w:val="left"/>
      </w:pPr>
      <w:rPr>
        <w:rFonts w:hint="default" w:ascii="宋体" w:hAnsi="宋体" w:eastAsia="宋体" w:cs="宋体"/>
        <w:color w:val="333333"/>
        <w:spacing w:val="-5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49">
    <w:multiLevelType w:val="hybridMultilevel"/>
    <w:lvl w:ilvl="0">
      <w:start w:val="2"/>
      <w:numFmt w:val="decimal"/>
      <w:lvlText w:val="%1."/>
      <w:lvlJc w:val="left"/>
      <w:pPr>
        <w:ind w:left="1050" w:hanging="213"/>
        <w:jc w:val="left"/>
      </w:pPr>
      <w:rPr>
        <w:rFonts w:hint="default" w:ascii="宋体" w:hAnsi="宋体" w:eastAsia="宋体" w:cs="宋体"/>
        <w:color w:val="333333"/>
        <w:spacing w:val="-52"/>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48">
    <w:multiLevelType w:val="hybridMultilevel"/>
    <w:lvl w:ilvl="0">
      <w:start w:val="4"/>
      <w:numFmt w:val="decimal"/>
      <w:lvlText w:val="%1"/>
      <w:lvlJc w:val="left"/>
      <w:pPr>
        <w:ind w:left="1369" w:hanging="529"/>
        <w:jc w:val="left"/>
      </w:pPr>
      <w:rPr>
        <w:rFonts w:hint="default"/>
        <w:lang w:val="zh-CN" w:eastAsia="zh-CN" w:bidi="zh-CN"/>
      </w:rPr>
    </w:lvl>
    <w:lvl w:ilvl="1">
      <w:start w:val="1"/>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color w:val="333333"/>
        <w:spacing w:val="-53"/>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247">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2520" w:hanging="531"/>
      </w:pPr>
      <w:rPr>
        <w:rFonts w:hint="default"/>
        <w:lang w:val="zh-CN" w:eastAsia="zh-CN" w:bidi="zh-CN"/>
      </w:rPr>
    </w:lvl>
    <w:lvl w:ilvl="4">
      <w:start w:val="0"/>
      <w:numFmt w:val="bullet"/>
      <w:lvlText w:val="•"/>
      <w:lvlJc w:val="left"/>
      <w:pPr>
        <w:ind w:left="3681" w:hanging="531"/>
      </w:pPr>
      <w:rPr>
        <w:rFonts w:hint="default"/>
        <w:lang w:val="zh-CN" w:eastAsia="zh-CN" w:bidi="zh-CN"/>
      </w:rPr>
    </w:lvl>
    <w:lvl w:ilvl="5">
      <w:start w:val="0"/>
      <w:numFmt w:val="bullet"/>
      <w:lvlText w:val="•"/>
      <w:lvlJc w:val="left"/>
      <w:pPr>
        <w:ind w:left="4842" w:hanging="531"/>
      </w:pPr>
      <w:rPr>
        <w:rFonts w:hint="default"/>
        <w:lang w:val="zh-CN" w:eastAsia="zh-CN" w:bidi="zh-CN"/>
      </w:rPr>
    </w:lvl>
    <w:lvl w:ilvl="6">
      <w:start w:val="0"/>
      <w:numFmt w:val="bullet"/>
      <w:lvlText w:val="•"/>
      <w:lvlJc w:val="left"/>
      <w:pPr>
        <w:ind w:left="6003" w:hanging="531"/>
      </w:pPr>
      <w:rPr>
        <w:rFonts w:hint="default"/>
        <w:lang w:val="zh-CN" w:eastAsia="zh-CN" w:bidi="zh-CN"/>
      </w:rPr>
    </w:lvl>
    <w:lvl w:ilvl="7">
      <w:start w:val="0"/>
      <w:numFmt w:val="bullet"/>
      <w:lvlText w:val="•"/>
      <w:lvlJc w:val="left"/>
      <w:pPr>
        <w:ind w:left="7164" w:hanging="531"/>
      </w:pPr>
      <w:rPr>
        <w:rFonts w:hint="default"/>
        <w:lang w:val="zh-CN" w:eastAsia="zh-CN" w:bidi="zh-CN"/>
      </w:rPr>
    </w:lvl>
    <w:lvl w:ilvl="8">
      <w:start w:val="0"/>
      <w:numFmt w:val="bullet"/>
      <w:lvlText w:val="•"/>
      <w:lvlJc w:val="left"/>
      <w:pPr>
        <w:ind w:left="8324" w:hanging="531"/>
      </w:pPr>
      <w:rPr>
        <w:rFonts w:hint="default"/>
        <w:lang w:val="zh-CN" w:eastAsia="zh-CN" w:bidi="zh-CN"/>
      </w:rPr>
    </w:lvl>
  </w:abstractNum>
  <w:abstractNum w:abstractNumId="246">
    <w:multiLevelType w:val="hybridMultilevel"/>
    <w:lvl w:ilvl="0">
      <w:start w:val="3"/>
      <w:numFmt w:val="decimal"/>
      <w:lvlText w:val="%1"/>
      <w:lvlJc w:val="left"/>
      <w:pPr>
        <w:ind w:left="418" w:hanging="531"/>
        <w:jc w:val="left"/>
      </w:pPr>
      <w:rPr>
        <w:rFonts w:hint="default"/>
        <w:lang w:val="zh-CN" w:eastAsia="zh-CN" w:bidi="zh-CN"/>
      </w:rPr>
    </w:lvl>
    <w:lvl w:ilvl="1">
      <w:start w:val="6"/>
      <w:numFmt w:val="decimal"/>
      <w:lvlText w:val="%1.%2"/>
      <w:lvlJc w:val="left"/>
      <w:pPr>
        <w:ind w:left="418" w:hanging="531"/>
        <w:jc w:val="left"/>
      </w:pPr>
      <w:rPr>
        <w:rFonts w:hint="default"/>
        <w:lang w:val="zh-CN" w:eastAsia="zh-CN" w:bidi="zh-CN"/>
      </w:rPr>
    </w:lvl>
    <w:lvl w:ilvl="2">
      <w:start w:val="9"/>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245">
    <w:multiLevelType w:val="hybridMultilevel"/>
    <w:lvl w:ilvl="0">
      <w:start w:val="2"/>
      <w:numFmt w:val="decimal"/>
      <w:lvlText w:val="%1."/>
      <w:lvlJc w:val="left"/>
      <w:pPr>
        <w:ind w:left="418" w:hanging="213"/>
        <w:jc w:val="left"/>
      </w:pPr>
      <w:rPr>
        <w:rFonts w:hint="default" w:ascii="宋体" w:hAnsi="宋体" w:eastAsia="宋体" w:cs="宋体"/>
        <w:color w:val="333333"/>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44">
    <w:multiLevelType w:val="hybridMultilevel"/>
    <w:lvl w:ilvl="0">
      <w:start w:val="3"/>
      <w:numFmt w:val="decimal"/>
      <w:lvlText w:val="%1"/>
      <w:lvlJc w:val="left"/>
      <w:pPr>
        <w:ind w:left="418" w:hanging="529"/>
        <w:jc w:val="left"/>
      </w:pPr>
      <w:rPr>
        <w:rFonts w:hint="default"/>
        <w:lang w:val="zh-CN" w:eastAsia="zh-CN" w:bidi="zh-CN"/>
      </w:rPr>
    </w:lvl>
    <w:lvl w:ilvl="1">
      <w:start w:val="4"/>
      <w:numFmt w:val="decimal"/>
      <w:lvlText w:val="%1.%2"/>
      <w:lvlJc w:val="left"/>
      <w:pPr>
        <w:ind w:left="418" w:hanging="529"/>
        <w:jc w:val="left"/>
      </w:pPr>
      <w:rPr>
        <w:rFonts w:hint="default"/>
        <w:lang w:val="zh-CN" w:eastAsia="zh-CN" w:bidi="zh-CN"/>
      </w:rPr>
    </w:lvl>
    <w:lvl w:ilvl="2">
      <w:start w:val="9"/>
      <w:numFmt w:val="decimal"/>
      <w:lvlText w:val="%1.%2.%3"/>
      <w:lvlJc w:val="left"/>
      <w:pPr>
        <w:ind w:left="418" w:hanging="529"/>
        <w:jc w:val="left"/>
      </w:pPr>
      <w:rPr>
        <w:rFonts w:hint="default" w:ascii="宋体" w:hAnsi="宋体" w:eastAsia="宋体" w:cs="宋体"/>
        <w:b/>
        <w:bCs/>
        <w:color w:val="333333"/>
        <w:spacing w:val="-3"/>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43">
    <w:multiLevelType w:val="hybridMultilevel"/>
    <w:lvl w:ilvl="0">
      <w:start w:val="3"/>
      <w:numFmt w:val="decimal"/>
      <w:lvlText w:val="%1"/>
      <w:lvlJc w:val="left"/>
      <w:pPr>
        <w:ind w:left="418" w:hanging="529"/>
        <w:jc w:val="left"/>
      </w:pPr>
      <w:rPr>
        <w:rFonts w:hint="default"/>
        <w:lang w:val="zh-CN" w:eastAsia="zh-CN" w:bidi="zh-CN"/>
      </w:rPr>
    </w:lvl>
    <w:lvl w:ilvl="1">
      <w:start w:val="4"/>
      <w:numFmt w:val="decimal"/>
      <w:lvlText w:val="%1.%2"/>
      <w:lvlJc w:val="left"/>
      <w:pPr>
        <w:ind w:left="418" w:hanging="529"/>
        <w:jc w:val="left"/>
      </w:pPr>
      <w:rPr>
        <w:rFonts w:hint="default"/>
        <w:lang w:val="zh-CN" w:eastAsia="zh-CN" w:bidi="zh-CN"/>
      </w:rPr>
    </w:lvl>
    <w:lvl w:ilvl="2">
      <w:start w:val="3"/>
      <w:numFmt w:val="decimal"/>
      <w:lvlText w:val="%1.%2.%3"/>
      <w:lvlJc w:val="left"/>
      <w:pPr>
        <w:ind w:left="418" w:hanging="529"/>
        <w:jc w:val="right"/>
      </w:pPr>
      <w:rPr>
        <w:rFonts w:hint="default"/>
        <w:w w:val="100"/>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42">
    <w:multiLevelType w:val="hybridMultilevel"/>
    <w:lvl w:ilvl="0">
      <w:start w:val="2"/>
      <w:numFmt w:val="decimal"/>
      <w:lvlText w:val="%1."/>
      <w:lvlJc w:val="left"/>
      <w:pPr>
        <w:ind w:left="418" w:hanging="213"/>
        <w:jc w:val="left"/>
      </w:pPr>
      <w:rPr>
        <w:rFonts w:hint="default" w:ascii="宋体" w:hAnsi="宋体" w:eastAsia="宋体" w:cs="宋体"/>
        <w:color w:val="333333"/>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41">
    <w:multiLevelType w:val="hybridMultilevel"/>
    <w:lvl w:ilvl="0">
      <w:start w:val="1"/>
      <w:numFmt w:val="decimal"/>
      <w:lvlText w:val="（%1）"/>
      <w:lvlJc w:val="left"/>
      <w:pPr>
        <w:ind w:left="418" w:hanging="529"/>
        <w:jc w:val="left"/>
      </w:pPr>
      <w:rPr>
        <w:rFonts w:hint="default" w:ascii="宋体" w:hAnsi="宋体" w:eastAsia="宋体" w:cs="宋体"/>
        <w:color w:val="333333"/>
        <w:spacing w:val="-3"/>
        <w:w w:val="100"/>
        <w:sz w:val="19"/>
        <w:szCs w:val="19"/>
        <w:lang w:val="zh-CN" w:eastAsia="zh-CN" w:bidi="zh-CN"/>
      </w:rPr>
    </w:lvl>
    <w:lvl w:ilvl="1">
      <w:start w:val="0"/>
      <w:numFmt w:val="bullet"/>
      <w:lvlText w:val="•"/>
      <w:lvlJc w:val="left"/>
      <w:pPr>
        <w:ind w:left="1442" w:hanging="529"/>
      </w:pPr>
      <w:rPr>
        <w:rFonts w:hint="default"/>
        <w:lang w:val="zh-CN" w:eastAsia="zh-CN" w:bidi="zh-CN"/>
      </w:rPr>
    </w:lvl>
    <w:lvl w:ilvl="2">
      <w:start w:val="0"/>
      <w:numFmt w:val="bullet"/>
      <w:lvlText w:val="•"/>
      <w:lvlJc w:val="left"/>
      <w:pPr>
        <w:ind w:left="2465" w:hanging="529"/>
      </w:pPr>
      <w:rPr>
        <w:rFonts w:hint="default"/>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40">
    <w:multiLevelType w:val="hybridMultilevel"/>
    <w:lvl w:ilvl="0">
      <w:start w:val="2"/>
      <w:numFmt w:val="decimal"/>
      <w:lvlText w:val="%1."/>
      <w:lvlJc w:val="left"/>
      <w:pPr>
        <w:ind w:left="1050" w:hanging="213"/>
        <w:jc w:val="left"/>
      </w:pPr>
      <w:rPr>
        <w:rFonts w:hint="default" w:ascii="宋体" w:hAnsi="宋体" w:eastAsia="宋体" w:cs="宋体"/>
        <w:color w:val="333333"/>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39">
    <w:multiLevelType w:val="hybridMultilevel"/>
    <w:lvl w:ilvl="0">
      <w:start w:val="3"/>
      <w:numFmt w:val="decimal"/>
      <w:lvlText w:val="%1"/>
      <w:lvlJc w:val="left"/>
      <w:pPr>
        <w:ind w:left="947" w:hanging="529"/>
        <w:jc w:val="left"/>
      </w:pPr>
      <w:rPr>
        <w:rFonts w:hint="default"/>
        <w:lang w:val="zh-CN" w:eastAsia="zh-CN" w:bidi="zh-CN"/>
      </w:rPr>
    </w:lvl>
    <w:lvl w:ilvl="1">
      <w:start w:val="3"/>
      <w:numFmt w:val="decimal"/>
      <w:lvlText w:val="%1.%2"/>
      <w:lvlJc w:val="left"/>
      <w:pPr>
        <w:ind w:left="947" w:hanging="529"/>
        <w:jc w:val="left"/>
      </w:pPr>
      <w:rPr>
        <w:rFonts w:hint="default"/>
        <w:lang w:val="zh-CN" w:eastAsia="zh-CN" w:bidi="zh-CN"/>
      </w:rPr>
    </w:lvl>
    <w:lvl w:ilvl="2">
      <w:start w:val="1"/>
      <w:numFmt w:val="decimal"/>
      <w:lvlText w:val="%1.%2.%3"/>
      <w:lvlJc w:val="left"/>
      <w:pPr>
        <w:ind w:left="947" w:hanging="529"/>
        <w:jc w:val="right"/>
      </w:pPr>
      <w:rPr>
        <w:rFonts w:hint="default"/>
        <w:w w:val="100"/>
        <w:lang w:val="zh-CN" w:eastAsia="zh-CN" w:bidi="zh-CN"/>
      </w:rPr>
    </w:lvl>
    <w:lvl w:ilvl="3">
      <w:start w:val="2"/>
      <w:numFmt w:val="decimal"/>
      <w:lvlText w:val="%4."/>
      <w:lvlJc w:val="left"/>
      <w:pPr>
        <w:ind w:left="418" w:hanging="213"/>
        <w:jc w:val="left"/>
      </w:pPr>
      <w:rPr>
        <w:rFonts w:hint="default" w:ascii="宋体" w:hAnsi="宋体" w:eastAsia="宋体" w:cs="宋体"/>
        <w:color w:val="333333"/>
        <w:spacing w:val="-55"/>
        <w:w w:val="100"/>
        <w:sz w:val="19"/>
        <w:szCs w:val="19"/>
        <w:lang w:val="zh-CN" w:eastAsia="zh-CN" w:bidi="zh-CN"/>
      </w:rPr>
    </w:lvl>
    <w:lvl w:ilvl="4">
      <w:start w:val="0"/>
      <w:numFmt w:val="bullet"/>
      <w:lvlText w:val="•"/>
      <w:lvlJc w:val="left"/>
      <w:pPr>
        <w:ind w:left="4175" w:hanging="213"/>
      </w:pPr>
      <w:rPr>
        <w:rFonts w:hint="default"/>
        <w:lang w:val="zh-CN" w:eastAsia="zh-CN" w:bidi="zh-CN"/>
      </w:rPr>
    </w:lvl>
    <w:lvl w:ilvl="5">
      <w:start w:val="0"/>
      <w:numFmt w:val="bullet"/>
      <w:lvlText w:val="•"/>
      <w:lvlJc w:val="left"/>
      <w:pPr>
        <w:ind w:left="5253" w:hanging="213"/>
      </w:pPr>
      <w:rPr>
        <w:rFonts w:hint="default"/>
        <w:lang w:val="zh-CN" w:eastAsia="zh-CN" w:bidi="zh-CN"/>
      </w:rPr>
    </w:lvl>
    <w:lvl w:ilvl="6">
      <w:start w:val="0"/>
      <w:numFmt w:val="bullet"/>
      <w:lvlText w:val="•"/>
      <w:lvlJc w:val="left"/>
      <w:pPr>
        <w:ind w:left="6332" w:hanging="213"/>
      </w:pPr>
      <w:rPr>
        <w:rFonts w:hint="default"/>
        <w:lang w:val="zh-CN" w:eastAsia="zh-CN" w:bidi="zh-CN"/>
      </w:rPr>
    </w:lvl>
    <w:lvl w:ilvl="7">
      <w:start w:val="0"/>
      <w:numFmt w:val="bullet"/>
      <w:lvlText w:val="•"/>
      <w:lvlJc w:val="left"/>
      <w:pPr>
        <w:ind w:left="7410" w:hanging="213"/>
      </w:pPr>
      <w:rPr>
        <w:rFonts w:hint="default"/>
        <w:lang w:val="zh-CN" w:eastAsia="zh-CN" w:bidi="zh-CN"/>
      </w:rPr>
    </w:lvl>
    <w:lvl w:ilvl="8">
      <w:start w:val="0"/>
      <w:numFmt w:val="bullet"/>
      <w:lvlText w:val="•"/>
      <w:lvlJc w:val="left"/>
      <w:pPr>
        <w:ind w:left="8489" w:hanging="213"/>
      </w:pPr>
      <w:rPr>
        <w:rFonts w:hint="default"/>
        <w:lang w:val="zh-CN" w:eastAsia="zh-CN" w:bidi="zh-CN"/>
      </w:rPr>
    </w:lvl>
  </w:abstractNum>
  <w:abstractNum w:abstractNumId="238">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1380" w:hanging="531"/>
      </w:pPr>
      <w:rPr>
        <w:rFonts w:hint="default"/>
        <w:lang w:val="zh-CN" w:eastAsia="zh-CN" w:bidi="zh-CN"/>
      </w:rPr>
    </w:lvl>
    <w:lvl w:ilvl="4">
      <w:start w:val="0"/>
      <w:numFmt w:val="bullet"/>
      <w:lvlText w:val="•"/>
      <w:lvlJc w:val="left"/>
      <w:pPr>
        <w:ind w:left="2703" w:hanging="531"/>
      </w:pPr>
      <w:rPr>
        <w:rFonts w:hint="default"/>
        <w:lang w:val="zh-CN" w:eastAsia="zh-CN" w:bidi="zh-CN"/>
      </w:rPr>
    </w:lvl>
    <w:lvl w:ilvl="5">
      <w:start w:val="0"/>
      <w:numFmt w:val="bullet"/>
      <w:lvlText w:val="•"/>
      <w:lvlJc w:val="left"/>
      <w:pPr>
        <w:ind w:left="4027" w:hanging="531"/>
      </w:pPr>
      <w:rPr>
        <w:rFonts w:hint="default"/>
        <w:lang w:val="zh-CN" w:eastAsia="zh-CN" w:bidi="zh-CN"/>
      </w:rPr>
    </w:lvl>
    <w:lvl w:ilvl="6">
      <w:start w:val="0"/>
      <w:numFmt w:val="bullet"/>
      <w:lvlText w:val="•"/>
      <w:lvlJc w:val="left"/>
      <w:pPr>
        <w:ind w:left="5351" w:hanging="531"/>
      </w:pPr>
      <w:rPr>
        <w:rFonts w:hint="default"/>
        <w:lang w:val="zh-CN" w:eastAsia="zh-CN" w:bidi="zh-CN"/>
      </w:rPr>
    </w:lvl>
    <w:lvl w:ilvl="7">
      <w:start w:val="0"/>
      <w:numFmt w:val="bullet"/>
      <w:lvlText w:val="•"/>
      <w:lvlJc w:val="left"/>
      <w:pPr>
        <w:ind w:left="6675" w:hanging="531"/>
      </w:pPr>
      <w:rPr>
        <w:rFonts w:hint="default"/>
        <w:lang w:val="zh-CN" w:eastAsia="zh-CN" w:bidi="zh-CN"/>
      </w:rPr>
    </w:lvl>
    <w:lvl w:ilvl="8">
      <w:start w:val="0"/>
      <w:numFmt w:val="bullet"/>
      <w:lvlText w:val="•"/>
      <w:lvlJc w:val="left"/>
      <w:pPr>
        <w:ind w:left="7998" w:hanging="531"/>
      </w:pPr>
      <w:rPr>
        <w:rFonts w:hint="default"/>
        <w:lang w:val="zh-CN" w:eastAsia="zh-CN" w:bidi="zh-CN"/>
      </w:rPr>
    </w:lvl>
  </w:abstractNum>
  <w:abstractNum w:abstractNumId="237">
    <w:multiLevelType w:val="hybridMultilevel"/>
    <w:lvl w:ilvl="0">
      <w:start w:val="2"/>
      <w:numFmt w:val="decimal"/>
      <w:lvlText w:val="%1"/>
      <w:lvlJc w:val="left"/>
      <w:pPr>
        <w:ind w:left="1477" w:hanging="637"/>
        <w:jc w:val="left"/>
      </w:pPr>
      <w:rPr>
        <w:rFonts w:hint="default"/>
        <w:lang w:val="zh-CN" w:eastAsia="zh-CN" w:bidi="zh-CN"/>
      </w:rPr>
    </w:lvl>
    <w:lvl w:ilvl="1">
      <w:start w:val="1"/>
      <w:numFmt w:val="decimal"/>
      <w:lvlText w:val="%1.%2"/>
      <w:lvlJc w:val="left"/>
      <w:pPr>
        <w:ind w:left="1477" w:hanging="637"/>
        <w:jc w:val="left"/>
      </w:pPr>
      <w:rPr>
        <w:rFonts w:hint="default"/>
        <w:lang w:val="zh-CN" w:eastAsia="zh-CN" w:bidi="zh-CN"/>
      </w:rPr>
    </w:lvl>
    <w:lvl w:ilvl="2">
      <w:start w:val="22"/>
      <w:numFmt w:val="decimal"/>
      <w:lvlText w:val="%1.%2.%3"/>
      <w:lvlJc w:val="left"/>
      <w:pPr>
        <w:ind w:left="1477" w:hanging="637"/>
        <w:jc w:val="left"/>
      </w:pPr>
      <w:rPr>
        <w:rFonts w:hint="default" w:ascii="宋体" w:hAnsi="宋体" w:eastAsia="宋体" w:cs="宋体"/>
        <w:b/>
        <w:bCs/>
        <w:color w:val="333333"/>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236">
    <w:multiLevelType w:val="hybridMultilevel"/>
    <w:lvl w:ilvl="0">
      <w:start w:val="2"/>
      <w:numFmt w:val="decimal"/>
      <w:lvlText w:val="%1"/>
      <w:lvlJc w:val="left"/>
      <w:pPr>
        <w:ind w:left="1477" w:hanging="637"/>
        <w:jc w:val="left"/>
      </w:pPr>
      <w:rPr>
        <w:rFonts w:hint="default"/>
        <w:lang w:val="zh-CN" w:eastAsia="zh-CN" w:bidi="zh-CN"/>
      </w:rPr>
    </w:lvl>
    <w:lvl w:ilvl="1">
      <w:start w:val="1"/>
      <w:numFmt w:val="decimal"/>
      <w:lvlText w:val="%1.%2"/>
      <w:lvlJc w:val="left"/>
      <w:pPr>
        <w:ind w:left="1477" w:hanging="637"/>
        <w:jc w:val="left"/>
      </w:pPr>
      <w:rPr>
        <w:rFonts w:hint="default"/>
        <w:lang w:val="zh-CN" w:eastAsia="zh-CN" w:bidi="zh-CN"/>
      </w:rPr>
    </w:lvl>
    <w:lvl w:ilvl="2">
      <w:start w:val="17"/>
      <w:numFmt w:val="decimal"/>
      <w:lvlText w:val="%1.%2.%3"/>
      <w:lvlJc w:val="left"/>
      <w:pPr>
        <w:ind w:left="1477" w:hanging="637"/>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235">
    <w:multiLevelType w:val="hybridMultilevel"/>
    <w:lvl w:ilvl="0">
      <w:start w:val="1"/>
      <w:numFmt w:val="decimal"/>
      <w:lvlText w:val="%1"/>
      <w:lvlJc w:val="left"/>
      <w:pPr>
        <w:ind w:left="600" w:hanging="183"/>
        <w:jc w:val="left"/>
      </w:pPr>
      <w:rPr>
        <w:rFonts w:hint="default" w:ascii="宋体" w:hAnsi="宋体" w:eastAsia="宋体" w:cs="宋体"/>
        <w:b/>
        <w:bCs/>
        <w:w w:val="99"/>
        <w:sz w:val="24"/>
        <w:szCs w:val="24"/>
        <w:lang w:val="zh-CN" w:eastAsia="zh-CN" w:bidi="zh-CN"/>
      </w:rPr>
    </w:lvl>
    <w:lvl w:ilvl="1">
      <w:start w:val="1"/>
      <w:numFmt w:val="decimal"/>
      <w:lvlText w:val="%1.%2"/>
      <w:lvlJc w:val="left"/>
      <w:pPr>
        <w:ind w:left="1158" w:hanging="318"/>
        <w:jc w:val="left"/>
      </w:pPr>
      <w:rPr>
        <w:rFonts w:hint="default"/>
        <w:b/>
        <w:bCs/>
        <w:w w:val="99"/>
        <w:lang w:val="zh-CN" w:eastAsia="zh-CN" w:bidi="zh-CN"/>
      </w:rPr>
    </w:lvl>
    <w:lvl w:ilvl="2">
      <w:start w:val="1"/>
      <w:numFmt w:val="decimal"/>
      <w:lvlText w:val="%1.%2.%3"/>
      <w:lvlJc w:val="left"/>
      <w:pPr>
        <w:ind w:left="1370" w:hanging="531"/>
        <w:jc w:val="left"/>
      </w:pPr>
      <w:rPr>
        <w:rFonts w:hint="default" w:ascii="宋体" w:hAnsi="宋体" w:eastAsia="宋体" w:cs="宋体"/>
        <w:b/>
        <w:bCs/>
        <w:color w:val="333333"/>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234">
    <w:multiLevelType w:val="hybridMultilevel"/>
    <w:lvl w:ilvl="0">
      <w:start w:val="7"/>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233">
    <w:multiLevelType w:val="hybridMultilevel"/>
    <w:lvl w:ilvl="0">
      <w:start w:val="7"/>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232">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231">
    <w:multiLevelType w:val="hybridMultilevel"/>
    <w:lvl w:ilvl="0">
      <w:start w:val="5"/>
      <w:numFmt w:val="decimal"/>
      <w:lvlText w:val="%1"/>
      <w:lvlJc w:val="left"/>
      <w:pPr>
        <w:ind w:left="1158" w:hanging="318"/>
        <w:jc w:val="left"/>
      </w:pPr>
      <w:rPr>
        <w:rFonts w:hint="default"/>
        <w:lang w:val="zh-CN" w:eastAsia="zh-CN" w:bidi="zh-CN"/>
      </w:rPr>
    </w:lvl>
    <w:lvl w:ilvl="1">
      <w:start w:val="5"/>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230">
    <w:multiLevelType w:val="hybridMultilevel"/>
    <w:lvl w:ilvl="0">
      <w:start w:val="5"/>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5"/>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229">
    <w:multiLevelType w:val="hybridMultilevel"/>
    <w:lvl w:ilvl="0">
      <w:start w:val="1"/>
      <w:numFmt w:val="lowerLetter"/>
      <w:lvlText w:val="%1)"/>
      <w:lvlJc w:val="left"/>
      <w:pPr>
        <w:ind w:left="418"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28">
    <w:multiLevelType w:val="hybridMultilevel"/>
    <w:lvl w:ilvl="0">
      <w:start w:val="5"/>
      <w:numFmt w:val="decimal"/>
      <w:lvlText w:val="%1"/>
      <w:lvlJc w:val="left"/>
      <w:pPr>
        <w:ind w:left="1995" w:hanging="1158"/>
        <w:jc w:val="left"/>
      </w:pPr>
      <w:rPr>
        <w:rFonts w:hint="default"/>
        <w:lang w:val="zh-CN" w:eastAsia="zh-CN" w:bidi="zh-CN"/>
      </w:rPr>
    </w:lvl>
    <w:lvl w:ilvl="1">
      <w:start w:val="4"/>
      <w:numFmt w:val="decimal"/>
      <w:lvlText w:val="%1.%2"/>
      <w:lvlJc w:val="left"/>
      <w:pPr>
        <w:ind w:left="1995" w:hanging="1158"/>
        <w:jc w:val="left"/>
      </w:pPr>
      <w:rPr>
        <w:rFonts w:hint="default"/>
        <w:lang w:val="zh-CN" w:eastAsia="zh-CN" w:bidi="zh-CN"/>
      </w:rPr>
    </w:lvl>
    <w:lvl w:ilvl="2">
      <w:start w:val="4"/>
      <w:numFmt w:val="decimal"/>
      <w:lvlText w:val="%1.%2.%3"/>
      <w:lvlJc w:val="left"/>
      <w:pPr>
        <w:ind w:left="1995" w:hanging="1158"/>
        <w:jc w:val="left"/>
      </w:pPr>
      <w:rPr>
        <w:rFonts w:hint="default"/>
        <w:lang w:val="zh-CN" w:eastAsia="zh-CN" w:bidi="zh-CN"/>
      </w:rPr>
    </w:lvl>
    <w:lvl w:ilvl="3">
      <w:start w:val="2"/>
      <w:numFmt w:val="decimal"/>
      <w:lvlText w:val="%1.%2.%3.%4"/>
      <w:lvlJc w:val="left"/>
      <w:pPr>
        <w:ind w:left="1995" w:hanging="1158"/>
        <w:jc w:val="left"/>
      </w:pPr>
      <w:rPr>
        <w:rFonts w:hint="default"/>
        <w:lang w:val="zh-CN" w:eastAsia="zh-CN" w:bidi="zh-CN"/>
      </w:rPr>
    </w:lvl>
    <w:lvl w:ilvl="4">
      <w:start w:val="6"/>
      <w:numFmt w:val="decimal"/>
      <w:lvlText w:val="%1.%2.%3.%4.%5"/>
      <w:lvlJc w:val="left"/>
      <w:pPr>
        <w:ind w:left="1995" w:hanging="1158"/>
        <w:jc w:val="left"/>
      </w:pPr>
      <w:rPr>
        <w:rFonts w:hint="default"/>
        <w:lang w:val="zh-CN" w:eastAsia="zh-CN" w:bidi="zh-CN"/>
      </w:rPr>
    </w:lvl>
    <w:lvl w:ilvl="5">
      <w:start w:val="4"/>
      <w:numFmt w:val="decimal"/>
      <w:lvlText w:val="%1.%2.%3.%4.%5.%6"/>
      <w:lvlJc w:val="left"/>
      <w:pPr>
        <w:ind w:left="1995" w:hanging="1158"/>
        <w:jc w:val="left"/>
      </w:pPr>
      <w:rPr>
        <w:rFonts w:hint="default" w:ascii="宋体" w:hAnsi="宋体" w:eastAsia="宋体" w:cs="宋体"/>
        <w:spacing w:val="-3"/>
        <w:w w:val="100"/>
        <w:sz w:val="19"/>
        <w:szCs w:val="19"/>
        <w:lang w:val="zh-CN" w:eastAsia="zh-CN" w:bidi="zh-CN"/>
      </w:rPr>
    </w:lvl>
    <w:lvl w:ilvl="6">
      <w:start w:val="0"/>
      <w:numFmt w:val="bullet"/>
      <w:lvlText w:val="•"/>
      <w:lvlJc w:val="left"/>
      <w:pPr>
        <w:ind w:left="7187" w:hanging="1158"/>
      </w:pPr>
      <w:rPr>
        <w:rFonts w:hint="default"/>
        <w:lang w:val="zh-CN" w:eastAsia="zh-CN" w:bidi="zh-CN"/>
      </w:rPr>
    </w:lvl>
    <w:lvl w:ilvl="7">
      <w:start w:val="0"/>
      <w:numFmt w:val="bullet"/>
      <w:lvlText w:val="•"/>
      <w:lvlJc w:val="left"/>
      <w:pPr>
        <w:ind w:left="8052" w:hanging="1158"/>
      </w:pPr>
      <w:rPr>
        <w:rFonts w:hint="default"/>
        <w:lang w:val="zh-CN" w:eastAsia="zh-CN" w:bidi="zh-CN"/>
      </w:rPr>
    </w:lvl>
    <w:lvl w:ilvl="8">
      <w:start w:val="0"/>
      <w:numFmt w:val="bullet"/>
      <w:lvlText w:val="•"/>
      <w:lvlJc w:val="left"/>
      <w:pPr>
        <w:ind w:left="8917" w:hanging="1158"/>
      </w:pPr>
      <w:rPr>
        <w:rFonts w:hint="default"/>
        <w:lang w:val="zh-CN" w:eastAsia="zh-CN" w:bidi="zh-CN"/>
      </w:rPr>
    </w:lvl>
  </w:abstractNum>
  <w:abstractNum w:abstractNumId="227">
    <w:multiLevelType w:val="hybridMultilevel"/>
    <w:lvl w:ilvl="0">
      <w:start w:val="4"/>
      <w:numFmt w:val="decimal"/>
      <w:lvlText w:val="%1"/>
      <w:lvlJc w:val="left"/>
      <w:pPr>
        <w:ind w:left="1627" w:hanging="1210"/>
        <w:jc w:val="left"/>
      </w:pPr>
      <w:rPr>
        <w:rFonts w:hint="default"/>
        <w:lang w:val="zh-CN" w:eastAsia="zh-CN" w:bidi="zh-CN"/>
      </w:rPr>
    </w:lvl>
    <w:lvl w:ilvl="1">
      <w:start w:val="4"/>
      <w:numFmt w:val="decimal"/>
      <w:lvlText w:val="%1.%2"/>
      <w:lvlJc w:val="left"/>
      <w:pPr>
        <w:ind w:left="1627" w:hanging="1210"/>
        <w:jc w:val="left"/>
      </w:pPr>
      <w:rPr>
        <w:rFonts w:hint="default"/>
        <w:lang w:val="zh-CN" w:eastAsia="zh-CN" w:bidi="zh-CN"/>
      </w:rPr>
    </w:lvl>
    <w:lvl w:ilvl="2">
      <w:start w:val="4"/>
      <w:numFmt w:val="decimal"/>
      <w:lvlText w:val="%1.%2.%3"/>
      <w:lvlJc w:val="left"/>
      <w:pPr>
        <w:ind w:left="1627" w:hanging="1210"/>
        <w:jc w:val="left"/>
      </w:pPr>
      <w:rPr>
        <w:rFonts w:hint="default"/>
        <w:lang w:val="zh-CN" w:eastAsia="zh-CN" w:bidi="zh-CN"/>
      </w:rPr>
    </w:lvl>
    <w:lvl w:ilvl="3">
      <w:start w:val="2"/>
      <w:numFmt w:val="decimal"/>
      <w:lvlText w:val="%1.%2.%3.%4"/>
      <w:lvlJc w:val="left"/>
      <w:pPr>
        <w:ind w:left="1627" w:hanging="1210"/>
        <w:jc w:val="left"/>
      </w:pPr>
      <w:rPr>
        <w:rFonts w:hint="default"/>
        <w:lang w:val="zh-CN" w:eastAsia="zh-CN" w:bidi="zh-CN"/>
      </w:rPr>
    </w:lvl>
    <w:lvl w:ilvl="4">
      <w:start w:val="6"/>
      <w:numFmt w:val="decimal"/>
      <w:lvlText w:val="%1.%2.%3.%4.%5"/>
      <w:lvlJc w:val="left"/>
      <w:pPr>
        <w:ind w:left="1627" w:hanging="1210"/>
        <w:jc w:val="left"/>
      </w:pPr>
      <w:rPr>
        <w:rFonts w:hint="default"/>
        <w:lang w:val="zh-CN" w:eastAsia="zh-CN" w:bidi="zh-CN"/>
      </w:rPr>
    </w:lvl>
    <w:lvl w:ilvl="5">
      <w:start w:val="2"/>
      <w:numFmt w:val="decimal"/>
      <w:lvlText w:val="%1.%2.%3.%4.%5.%6"/>
      <w:lvlJc w:val="left"/>
      <w:pPr>
        <w:ind w:left="1627" w:hanging="1210"/>
        <w:jc w:val="left"/>
      </w:pPr>
      <w:rPr>
        <w:rFonts w:hint="default" w:ascii="宋体" w:hAnsi="宋体" w:eastAsia="宋体" w:cs="宋体"/>
        <w:spacing w:val="-3"/>
        <w:w w:val="100"/>
        <w:sz w:val="21"/>
        <w:szCs w:val="21"/>
        <w:lang w:val="zh-CN" w:eastAsia="zh-CN" w:bidi="zh-CN"/>
      </w:rPr>
    </w:lvl>
    <w:lvl w:ilvl="6">
      <w:start w:val="0"/>
      <w:numFmt w:val="bullet"/>
      <w:lvlText w:val="•"/>
      <w:lvlJc w:val="left"/>
      <w:pPr>
        <w:ind w:left="7035" w:hanging="1210"/>
      </w:pPr>
      <w:rPr>
        <w:rFonts w:hint="default"/>
        <w:lang w:val="zh-CN" w:eastAsia="zh-CN" w:bidi="zh-CN"/>
      </w:rPr>
    </w:lvl>
    <w:lvl w:ilvl="7">
      <w:start w:val="0"/>
      <w:numFmt w:val="bullet"/>
      <w:lvlText w:val="•"/>
      <w:lvlJc w:val="left"/>
      <w:pPr>
        <w:ind w:left="7938" w:hanging="1210"/>
      </w:pPr>
      <w:rPr>
        <w:rFonts w:hint="default"/>
        <w:lang w:val="zh-CN" w:eastAsia="zh-CN" w:bidi="zh-CN"/>
      </w:rPr>
    </w:lvl>
    <w:lvl w:ilvl="8">
      <w:start w:val="0"/>
      <w:numFmt w:val="bullet"/>
      <w:lvlText w:val="•"/>
      <w:lvlJc w:val="left"/>
      <w:pPr>
        <w:ind w:left="8841" w:hanging="1210"/>
      </w:pPr>
      <w:rPr>
        <w:rFonts w:hint="default"/>
        <w:lang w:val="zh-CN" w:eastAsia="zh-CN" w:bidi="zh-CN"/>
      </w:rPr>
    </w:lvl>
  </w:abstractNum>
  <w:abstractNum w:abstractNumId="226">
    <w:multiLevelType w:val="hybridMultilevel"/>
    <w:lvl w:ilvl="0">
      <w:start w:val="5"/>
      <w:numFmt w:val="decimal"/>
      <w:lvlText w:val="%1"/>
      <w:lvlJc w:val="left"/>
      <w:pPr>
        <w:ind w:left="1787" w:hanging="950"/>
        <w:jc w:val="left"/>
      </w:pPr>
      <w:rPr>
        <w:rFonts w:hint="default"/>
        <w:lang w:val="zh-CN" w:eastAsia="zh-CN" w:bidi="zh-CN"/>
      </w:rPr>
    </w:lvl>
    <w:lvl w:ilvl="1">
      <w:start w:val="4"/>
      <w:numFmt w:val="decimal"/>
      <w:lvlText w:val="%1.%2"/>
      <w:lvlJc w:val="left"/>
      <w:pPr>
        <w:ind w:left="1787" w:hanging="950"/>
        <w:jc w:val="left"/>
      </w:pPr>
      <w:rPr>
        <w:rFonts w:hint="default"/>
        <w:lang w:val="zh-CN" w:eastAsia="zh-CN" w:bidi="zh-CN"/>
      </w:rPr>
    </w:lvl>
    <w:lvl w:ilvl="2">
      <w:start w:val="4"/>
      <w:numFmt w:val="decimal"/>
      <w:lvlText w:val="%1.%2.%3"/>
      <w:lvlJc w:val="left"/>
      <w:pPr>
        <w:ind w:left="1787" w:hanging="950"/>
        <w:jc w:val="left"/>
      </w:pPr>
      <w:rPr>
        <w:rFonts w:hint="default"/>
        <w:lang w:val="zh-CN" w:eastAsia="zh-CN" w:bidi="zh-CN"/>
      </w:rPr>
    </w:lvl>
    <w:lvl w:ilvl="3">
      <w:start w:val="2"/>
      <w:numFmt w:val="decimal"/>
      <w:lvlText w:val="%1.%2.%3.%4"/>
      <w:lvlJc w:val="left"/>
      <w:pPr>
        <w:ind w:left="1787" w:hanging="950"/>
        <w:jc w:val="left"/>
      </w:pPr>
      <w:rPr>
        <w:rFonts w:hint="default"/>
        <w:lang w:val="zh-CN" w:eastAsia="zh-CN" w:bidi="zh-CN"/>
      </w:rPr>
    </w:lvl>
    <w:lvl w:ilvl="4">
      <w:start w:val="4"/>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1"/>
      <w:numFmt w:val="decimal"/>
      <w:lvlText w:val="%1.%2.%3.%4.%5.%6"/>
      <w:lvlJc w:val="left"/>
      <w:pPr>
        <w:ind w:left="418" w:hanging="1158"/>
        <w:jc w:val="left"/>
      </w:pPr>
      <w:rPr>
        <w:rFonts w:hint="default" w:ascii="宋体" w:hAnsi="宋体" w:eastAsia="宋体" w:cs="宋体"/>
        <w:spacing w:val="-3"/>
        <w:w w:val="100"/>
        <w:sz w:val="19"/>
        <w:szCs w:val="19"/>
        <w:lang w:val="zh-CN" w:eastAsia="zh-CN" w:bidi="zh-CN"/>
      </w:rPr>
    </w:lvl>
    <w:lvl w:ilvl="6">
      <w:start w:val="0"/>
      <w:numFmt w:val="bullet"/>
      <w:lvlText w:val="•"/>
      <w:lvlJc w:val="left"/>
      <w:pPr>
        <w:ind w:left="6705" w:hanging="1158"/>
      </w:pPr>
      <w:rPr>
        <w:rFonts w:hint="default"/>
        <w:lang w:val="zh-CN" w:eastAsia="zh-CN" w:bidi="zh-CN"/>
      </w:rPr>
    </w:lvl>
    <w:lvl w:ilvl="7">
      <w:start w:val="0"/>
      <w:numFmt w:val="bullet"/>
      <w:lvlText w:val="•"/>
      <w:lvlJc w:val="left"/>
      <w:pPr>
        <w:ind w:left="7690" w:hanging="1158"/>
      </w:pPr>
      <w:rPr>
        <w:rFonts w:hint="default"/>
        <w:lang w:val="zh-CN" w:eastAsia="zh-CN" w:bidi="zh-CN"/>
      </w:rPr>
    </w:lvl>
    <w:lvl w:ilvl="8">
      <w:start w:val="0"/>
      <w:numFmt w:val="bullet"/>
      <w:lvlText w:val="•"/>
      <w:lvlJc w:val="left"/>
      <w:pPr>
        <w:ind w:left="8676" w:hanging="1158"/>
      </w:pPr>
      <w:rPr>
        <w:rFonts w:hint="default"/>
        <w:lang w:val="zh-CN" w:eastAsia="zh-CN" w:bidi="zh-CN"/>
      </w:rPr>
    </w:lvl>
  </w:abstractNum>
  <w:abstractNum w:abstractNumId="225">
    <w:multiLevelType w:val="hybridMultilevel"/>
    <w:lvl w:ilvl="0">
      <w:start w:val="5"/>
      <w:numFmt w:val="decimal"/>
      <w:lvlText w:val="%1"/>
      <w:lvlJc w:val="left"/>
      <w:pPr>
        <w:ind w:left="418" w:hanging="950"/>
        <w:jc w:val="left"/>
      </w:pPr>
      <w:rPr>
        <w:rFonts w:hint="default"/>
        <w:lang w:val="zh-CN" w:eastAsia="zh-CN" w:bidi="zh-CN"/>
      </w:rPr>
    </w:lvl>
    <w:lvl w:ilvl="1">
      <w:start w:val="4"/>
      <w:numFmt w:val="decimal"/>
      <w:lvlText w:val="%1.%2"/>
      <w:lvlJc w:val="left"/>
      <w:pPr>
        <w:ind w:left="418" w:hanging="950"/>
        <w:jc w:val="left"/>
      </w:pPr>
      <w:rPr>
        <w:rFonts w:hint="default"/>
        <w:lang w:val="zh-CN" w:eastAsia="zh-CN" w:bidi="zh-CN"/>
      </w:rPr>
    </w:lvl>
    <w:lvl w:ilvl="2">
      <w:start w:val="3"/>
      <w:numFmt w:val="decimal"/>
      <w:lvlText w:val="%1.%2.%3"/>
      <w:lvlJc w:val="left"/>
      <w:pPr>
        <w:ind w:left="418" w:hanging="950"/>
        <w:jc w:val="left"/>
      </w:pPr>
      <w:rPr>
        <w:rFonts w:hint="default"/>
        <w:lang w:val="zh-CN" w:eastAsia="zh-CN" w:bidi="zh-CN"/>
      </w:rPr>
    </w:lvl>
    <w:lvl w:ilvl="3">
      <w:start w:val="1"/>
      <w:numFmt w:val="decimal"/>
      <w:lvlText w:val="%1.%2.%3.%4"/>
      <w:lvlJc w:val="left"/>
      <w:pPr>
        <w:ind w:left="418" w:hanging="950"/>
        <w:jc w:val="left"/>
      </w:pPr>
      <w:rPr>
        <w:rFonts w:hint="default"/>
        <w:lang w:val="zh-CN" w:eastAsia="zh-CN" w:bidi="zh-CN"/>
      </w:rPr>
    </w:lvl>
    <w:lvl w:ilvl="4">
      <w:start w:val="7"/>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533" w:hanging="950"/>
      </w:pPr>
      <w:rPr>
        <w:rFonts w:hint="default"/>
        <w:lang w:val="zh-CN" w:eastAsia="zh-CN" w:bidi="zh-CN"/>
      </w:rPr>
    </w:lvl>
    <w:lvl w:ilvl="6">
      <w:start w:val="0"/>
      <w:numFmt w:val="bullet"/>
      <w:lvlText w:val="•"/>
      <w:lvlJc w:val="left"/>
      <w:pPr>
        <w:ind w:left="6555" w:hanging="950"/>
      </w:pPr>
      <w:rPr>
        <w:rFonts w:hint="default"/>
        <w:lang w:val="zh-CN" w:eastAsia="zh-CN" w:bidi="zh-CN"/>
      </w:rPr>
    </w:lvl>
    <w:lvl w:ilvl="7">
      <w:start w:val="0"/>
      <w:numFmt w:val="bullet"/>
      <w:lvlText w:val="•"/>
      <w:lvlJc w:val="left"/>
      <w:pPr>
        <w:ind w:left="7578" w:hanging="950"/>
      </w:pPr>
      <w:rPr>
        <w:rFonts w:hint="default"/>
        <w:lang w:val="zh-CN" w:eastAsia="zh-CN" w:bidi="zh-CN"/>
      </w:rPr>
    </w:lvl>
    <w:lvl w:ilvl="8">
      <w:start w:val="0"/>
      <w:numFmt w:val="bullet"/>
      <w:lvlText w:val="•"/>
      <w:lvlJc w:val="left"/>
      <w:pPr>
        <w:ind w:left="8601" w:hanging="950"/>
      </w:pPr>
      <w:rPr>
        <w:rFonts w:hint="default"/>
        <w:lang w:val="zh-CN" w:eastAsia="zh-CN" w:bidi="zh-CN"/>
      </w:rPr>
    </w:lvl>
  </w:abstractNum>
  <w:abstractNum w:abstractNumId="224">
    <w:multiLevelType w:val="hybridMultilevel"/>
    <w:lvl w:ilvl="0">
      <w:start w:val="5"/>
      <w:numFmt w:val="decimal"/>
      <w:lvlText w:val="%1"/>
      <w:lvlJc w:val="left"/>
      <w:pPr>
        <w:ind w:left="1787" w:hanging="950"/>
        <w:jc w:val="left"/>
      </w:pPr>
      <w:rPr>
        <w:rFonts w:hint="default"/>
        <w:lang w:val="zh-CN" w:eastAsia="zh-CN" w:bidi="zh-CN"/>
      </w:rPr>
    </w:lvl>
    <w:lvl w:ilvl="1">
      <w:start w:val="4"/>
      <w:numFmt w:val="decimal"/>
      <w:lvlText w:val="%1.%2"/>
      <w:lvlJc w:val="left"/>
      <w:pPr>
        <w:ind w:left="1787" w:hanging="950"/>
        <w:jc w:val="left"/>
      </w:pPr>
      <w:rPr>
        <w:rFonts w:hint="default"/>
        <w:lang w:val="zh-CN" w:eastAsia="zh-CN" w:bidi="zh-CN"/>
      </w:rPr>
    </w:lvl>
    <w:lvl w:ilvl="2">
      <w:start w:val="3"/>
      <w:numFmt w:val="decimal"/>
      <w:lvlText w:val="%1.%2.%3"/>
      <w:lvlJc w:val="left"/>
      <w:pPr>
        <w:ind w:left="1787" w:hanging="950"/>
        <w:jc w:val="left"/>
      </w:pPr>
      <w:rPr>
        <w:rFonts w:hint="default"/>
        <w:lang w:val="zh-CN" w:eastAsia="zh-CN" w:bidi="zh-CN"/>
      </w:rPr>
    </w:lvl>
    <w:lvl w:ilvl="3">
      <w:start w:val="1"/>
      <w:numFmt w:val="decimal"/>
      <w:lvlText w:val="%1.%2.%3.%4"/>
      <w:lvlJc w:val="left"/>
      <w:pPr>
        <w:ind w:left="1787" w:hanging="950"/>
        <w:jc w:val="left"/>
      </w:pPr>
      <w:rPr>
        <w:rFonts w:hint="default"/>
        <w:lang w:val="zh-CN" w:eastAsia="zh-CN" w:bidi="zh-CN"/>
      </w:rPr>
    </w:lvl>
    <w:lvl w:ilvl="4">
      <w:start w:val="3"/>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6213" w:hanging="950"/>
      </w:pPr>
      <w:rPr>
        <w:rFonts w:hint="default"/>
        <w:lang w:val="zh-CN" w:eastAsia="zh-CN" w:bidi="zh-CN"/>
      </w:rPr>
    </w:lvl>
    <w:lvl w:ilvl="6">
      <w:start w:val="0"/>
      <w:numFmt w:val="bullet"/>
      <w:lvlText w:val="•"/>
      <w:lvlJc w:val="left"/>
      <w:pPr>
        <w:ind w:left="7099" w:hanging="950"/>
      </w:pPr>
      <w:rPr>
        <w:rFonts w:hint="default"/>
        <w:lang w:val="zh-CN" w:eastAsia="zh-CN" w:bidi="zh-CN"/>
      </w:rPr>
    </w:lvl>
    <w:lvl w:ilvl="7">
      <w:start w:val="0"/>
      <w:numFmt w:val="bullet"/>
      <w:lvlText w:val="•"/>
      <w:lvlJc w:val="left"/>
      <w:pPr>
        <w:ind w:left="7986" w:hanging="950"/>
      </w:pPr>
      <w:rPr>
        <w:rFonts w:hint="default"/>
        <w:lang w:val="zh-CN" w:eastAsia="zh-CN" w:bidi="zh-CN"/>
      </w:rPr>
    </w:lvl>
    <w:lvl w:ilvl="8">
      <w:start w:val="0"/>
      <w:numFmt w:val="bullet"/>
      <w:lvlText w:val="•"/>
      <w:lvlJc w:val="left"/>
      <w:pPr>
        <w:ind w:left="8873" w:hanging="950"/>
      </w:pPr>
      <w:rPr>
        <w:rFonts w:hint="default"/>
        <w:lang w:val="zh-CN" w:eastAsia="zh-CN" w:bidi="zh-CN"/>
      </w:rPr>
    </w:lvl>
  </w:abstractNum>
  <w:abstractNum w:abstractNumId="223">
    <w:multiLevelType w:val="hybridMultilevel"/>
    <w:lvl w:ilvl="0">
      <w:start w:val="5"/>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4313" w:hanging="950"/>
      </w:pPr>
      <w:rPr>
        <w:rFonts w:hint="default"/>
        <w:lang w:val="zh-CN" w:eastAsia="zh-CN" w:bidi="zh-CN"/>
      </w:rPr>
    </w:lvl>
    <w:lvl w:ilvl="6">
      <w:start w:val="0"/>
      <w:numFmt w:val="bullet"/>
      <w:lvlText w:val="•"/>
      <w:lvlJc w:val="left"/>
      <w:pPr>
        <w:ind w:left="5579" w:hanging="950"/>
      </w:pPr>
      <w:rPr>
        <w:rFonts w:hint="default"/>
        <w:lang w:val="zh-CN" w:eastAsia="zh-CN" w:bidi="zh-CN"/>
      </w:rPr>
    </w:lvl>
    <w:lvl w:ilvl="7">
      <w:start w:val="0"/>
      <w:numFmt w:val="bullet"/>
      <w:lvlText w:val="•"/>
      <w:lvlJc w:val="left"/>
      <w:pPr>
        <w:ind w:left="6846" w:hanging="950"/>
      </w:pPr>
      <w:rPr>
        <w:rFonts w:hint="default"/>
        <w:lang w:val="zh-CN" w:eastAsia="zh-CN" w:bidi="zh-CN"/>
      </w:rPr>
    </w:lvl>
    <w:lvl w:ilvl="8">
      <w:start w:val="0"/>
      <w:numFmt w:val="bullet"/>
      <w:lvlText w:val="•"/>
      <w:lvlJc w:val="left"/>
      <w:pPr>
        <w:ind w:left="8113" w:hanging="950"/>
      </w:pPr>
      <w:rPr>
        <w:rFonts w:hint="default"/>
        <w:lang w:val="zh-CN" w:eastAsia="zh-CN" w:bidi="zh-CN"/>
      </w:rPr>
    </w:lvl>
  </w:abstractNum>
  <w:abstractNum w:abstractNumId="222">
    <w:multiLevelType w:val="hybridMultilevel"/>
    <w:lvl w:ilvl="0">
      <w:start w:val="4"/>
      <w:numFmt w:val="decimal"/>
      <w:lvlText w:val="%1"/>
      <w:lvlJc w:val="left"/>
      <w:pPr>
        <w:ind w:left="1416" w:hanging="999"/>
        <w:jc w:val="left"/>
      </w:pPr>
      <w:rPr>
        <w:rFonts w:hint="default"/>
        <w:lang w:val="zh-CN" w:eastAsia="zh-CN" w:bidi="zh-CN"/>
      </w:rPr>
    </w:lvl>
    <w:lvl w:ilvl="1">
      <w:start w:val="4"/>
      <w:numFmt w:val="decimal"/>
      <w:lvlText w:val="%1.%2"/>
      <w:lvlJc w:val="left"/>
      <w:pPr>
        <w:ind w:left="1416" w:hanging="999"/>
        <w:jc w:val="left"/>
      </w:pPr>
      <w:rPr>
        <w:rFonts w:hint="default"/>
        <w:lang w:val="zh-CN" w:eastAsia="zh-CN" w:bidi="zh-CN"/>
      </w:rPr>
    </w:lvl>
    <w:lvl w:ilvl="2">
      <w:start w:val="2"/>
      <w:numFmt w:val="decimal"/>
      <w:lvlText w:val="%1.%2.%3"/>
      <w:lvlJc w:val="left"/>
      <w:pPr>
        <w:ind w:left="1416" w:hanging="999"/>
        <w:jc w:val="left"/>
      </w:pPr>
      <w:rPr>
        <w:rFonts w:hint="default"/>
        <w:lang w:val="zh-CN" w:eastAsia="zh-CN" w:bidi="zh-CN"/>
      </w:rPr>
    </w:lvl>
    <w:lvl w:ilvl="3">
      <w:start w:val="4"/>
      <w:numFmt w:val="decimal"/>
      <w:lvlText w:val="%1.%2.%3.%4"/>
      <w:lvlJc w:val="left"/>
      <w:pPr>
        <w:ind w:left="1416" w:hanging="999"/>
        <w:jc w:val="left"/>
      </w:pPr>
      <w:rPr>
        <w:rFonts w:hint="default"/>
        <w:lang w:val="zh-CN" w:eastAsia="zh-CN" w:bidi="zh-CN"/>
      </w:rPr>
    </w:lvl>
    <w:lvl w:ilvl="4">
      <w:start w:val="3"/>
      <w:numFmt w:val="decimal"/>
      <w:lvlText w:val="%1.%2.%3.%4.%5"/>
      <w:lvlJc w:val="left"/>
      <w:pPr>
        <w:ind w:left="1416" w:hanging="999"/>
        <w:jc w:val="left"/>
      </w:pPr>
      <w:rPr>
        <w:rFonts w:hint="default" w:ascii="宋体" w:hAnsi="宋体" w:eastAsia="宋体" w:cs="宋体"/>
        <w:spacing w:val="-3"/>
        <w:w w:val="100"/>
        <w:sz w:val="21"/>
        <w:szCs w:val="21"/>
        <w:lang w:val="zh-CN" w:eastAsia="zh-CN" w:bidi="zh-CN"/>
      </w:rPr>
    </w:lvl>
    <w:lvl w:ilvl="5">
      <w:start w:val="0"/>
      <w:numFmt w:val="bullet"/>
      <w:lvlText w:val="•"/>
      <w:lvlJc w:val="left"/>
      <w:pPr>
        <w:ind w:left="6033" w:hanging="999"/>
      </w:pPr>
      <w:rPr>
        <w:rFonts w:hint="default"/>
        <w:lang w:val="zh-CN" w:eastAsia="zh-CN" w:bidi="zh-CN"/>
      </w:rPr>
    </w:lvl>
    <w:lvl w:ilvl="6">
      <w:start w:val="0"/>
      <w:numFmt w:val="bullet"/>
      <w:lvlText w:val="•"/>
      <w:lvlJc w:val="left"/>
      <w:pPr>
        <w:ind w:left="6955" w:hanging="999"/>
      </w:pPr>
      <w:rPr>
        <w:rFonts w:hint="default"/>
        <w:lang w:val="zh-CN" w:eastAsia="zh-CN" w:bidi="zh-CN"/>
      </w:rPr>
    </w:lvl>
    <w:lvl w:ilvl="7">
      <w:start w:val="0"/>
      <w:numFmt w:val="bullet"/>
      <w:lvlText w:val="•"/>
      <w:lvlJc w:val="left"/>
      <w:pPr>
        <w:ind w:left="7878" w:hanging="999"/>
      </w:pPr>
      <w:rPr>
        <w:rFonts w:hint="default"/>
        <w:lang w:val="zh-CN" w:eastAsia="zh-CN" w:bidi="zh-CN"/>
      </w:rPr>
    </w:lvl>
    <w:lvl w:ilvl="8">
      <w:start w:val="0"/>
      <w:numFmt w:val="bullet"/>
      <w:lvlText w:val="•"/>
      <w:lvlJc w:val="left"/>
      <w:pPr>
        <w:ind w:left="8801" w:hanging="999"/>
      </w:pPr>
      <w:rPr>
        <w:rFonts w:hint="default"/>
        <w:lang w:val="zh-CN" w:eastAsia="zh-CN" w:bidi="zh-CN"/>
      </w:rPr>
    </w:lvl>
  </w:abstractNum>
  <w:abstractNum w:abstractNumId="221">
    <w:multiLevelType w:val="hybridMultilevel"/>
    <w:lvl w:ilvl="0">
      <w:start w:val="5"/>
      <w:numFmt w:val="decimal"/>
      <w:lvlText w:val="%1"/>
      <w:lvlJc w:val="left"/>
      <w:pPr>
        <w:ind w:left="418" w:hanging="950"/>
        <w:jc w:val="left"/>
      </w:pPr>
      <w:rPr>
        <w:rFonts w:hint="default"/>
        <w:lang w:val="zh-CN" w:eastAsia="zh-CN" w:bidi="zh-CN"/>
      </w:rPr>
    </w:lvl>
    <w:lvl w:ilvl="1">
      <w:start w:val="4"/>
      <w:numFmt w:val="decimal"/>
      <w:lvlText w:val="%1.%2"/>
      <w:lvlJc w:val="left"/>
      <w:pPr>
        <w:ind w:left="418" w:hanging="950"/>
        <w:jc w:val="left"/>
      </w:pPr>
      <w:rPr>
        <w:rFonts w:hint="default"/>
        <w:lang w:val="zh-CN" w:eastAsia="zh-CN" w:bidi="zh-CN"/>
      </w:rPr>
    </w:lvl>
    <w:lvl w:ilvl="2">
      <w:start w:val="2"/>
      <w:numFmt w:val="decimal"/>
      <w:lvlText w:val="%1.%2.%3"/>
      <w:lvlJc w:val="left"/>
      <w:pPr>
        <w:ind w:left="418" w:hanging="950"/>
        <w:jc w:val="left"/>
      </w:pPr>
      <w:rPr>
        <w:rFonts w:hint="default"/>
        <w:lang w:val="zh-CN" w:eastAsia="zh-CN" w:bidi="zh-CN"/>
      </w:rPr>
    </w:lvl>
    <w:lvl w:ilvl="3">
      <w:start w:val="3"/>
      <w:numFmt w:val="decimal"/>
      <w:lvlText w:val="%1.%2.%3.%4"/>
      <w:lvlJc w:val="left"/>
      <w:pPr>
        <w:ind w:left="418" w:hanging="950"/>
        <w:jc w:val="left"/>
      </w:pPr>
      <w:rPr>
        <w:rFonts w:hint="default"/>
        <w:lang w:val="zh-CN" w:eastAsia="zh-CN" w:bidi="zh-CN"/>
      </w:rPr>
    </w:lvl>
    <w:lvl w:ilvl="4">
      <w:start w:val="7"/>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533" w:hanging="950"/>
      </w:pPr>
      <w:rPr>
        <w:rFonts w:hint="default"/>
        <w:lang w:val="zh-CN" w:eastAsia="zh-CN" w:bidi="zh-CN"/>
      </w:rPr>
    </w:lvl>
    <w:lvl w:ilvl="6">
      <w:start w:val="0"/>
      <w:numFmt w:val="bullet"/>
      <w:lvlText w:val="•"/>
      <w:lvlJc w:val="left"/>
      <w:pPr>
        <w:ind w:left="6555" w:hanging="950"/>
      </w:pPr>
      <w:rPr>
        <w:rFonts w:hint="default"/>
        <w:lang w:val="zh-CN" w:eastAsia="zh-CN" w:bidi="zh-CN"/>
      </w:rPr>
    </w:lvl>
    <w:lvl w:ilvl="7">
      <w:start w:val="0"/>
      <w:numFmt w:val="bullet"/>
      <w:lvlText w:val="•"/>
      <w:lvlJc w:val="left"/>
      <w:pPr>
        <w:ind w:left="7578" w:hanging="950"/>
      </w:pPr>
      <w:rPr>
        <w:rFonts w:hint="default"/>
        <w:lang w:val="zh-CN" w:eastAsia="zh-CN" w:bidi="zh-CN"/>
      </w:rPr>
    </w:lvl>
    <w:lvl w:ilvl="8">
      <w:start w:val="0"/>
      <w:numFmt w:val="bullet"/>
      <w:lvlText w:val="•"/>
      <w:lvlJc w:val="left"/>
      <w:pPr>
        <w:ind w:left="8601" w:hanging="950"/>
      </w:pPr>
      <w:rPr>
        <w:rFonts w:hint="default"/>
        <w:lang w:val="zh-CN" w:eastAsia="zh-CN" w:bidi="zh-CN"/>
      </w:rPr>
    </w:lvl>
  </w:abstractNum>
  <w:abstractNum w:abstractNumId="220">
    <w:multiLevelType w:val="hybridMultilevel"/>
    <w:lvl w:ilvl="0">
      <w:start w:val="5"/>
      <w:numFmt w:val="decimal"/>
      <w:lvlText w:val="%1"/>
      <w:lvlJc w:val="left"/>
      <w:pPr>
        <w:ind w:left="418" w:hanging="950"/>
        <w:jc w:val="left"/>
      </w:pPr>
      <w:rPr>
        <w:rFonts w:hint="default"/>
        <w:lang w:val="zh-CN" w:eastAsia="zh-CN" w:bidi="zh-CN"/>
      </w:rPr>
    </w:lvl>
    <w:lvl w:ilvl="1">
      <w:start w:val="4"/>
      <w:numFmt w:val="decimal"/>
      <w:lvlText w:val="%1.%2"/>
      <w:lvlJc w:val="left"/>
      <w:pPr>
        <w:ind w:left="418" w:hanging="950"/>
        <w:jc w:val="left"/>
      </w:pPr>
      <w:rPr>
        <w:rFonts w:hint="default"/>
        <w:lang w:val="zh-CN" w:eastAsia="zh-CN" w:bidi="zh-CN"/>
      </w:rPr>
    </w:lvl>
    <w:lvl w:ilvl="2">
      <w:start w:val="2"/>
      <w:numFmt w:val="decimal"/>
      <w:lvlText w:val="%1.%2.%3"/>
      <w:lvlJc w:val="left"/>
      <w:pPr>
        <w:ind w:left="418" w:hanging="950"/>
        <w:jc w:val="left"/>
      </w:pPr>
      <w:rPr>
        <w:rFonts w:hint="default"/>
        <w:lang w:val="zh-CN" w:eastAsia="zh-CN" w:bidi="zh-CN"/>
      </w:rPr>
    </w:lvl>
    <w:lvl w:ilvl="3">
      <w:start w:val="2"/>
      <w:numFmt w:val="decimal"/>
      <w:lvlText w:val="%1.%2.%3.%4"/>
      <w:lvlJc w:val="left"/>
      <w:pPr>
        <w:ind w:left="418" w:hanging="950"/>
        <w:jc w:val="left"/>
      </w:pPr>
      <w:rPr>
        <w:rFonts w:hint="default"/>
        <w:lang w:val="zh-CN" w:eastAsia="zh-CN" w:bidi="zh-CN"/>
      </w:rPr>
    </w:lvl>
    <w:lvl w:ilvl="4">
      <w:start w:val="3"/>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533" w:hanging="950"/>
      </w:pPr>
      <w:rPr>
        <w:rFonts w:hint="default"/>
        <w:lang w:val="zh-CN" w:eastAsia="zh-CN" w:bidi="zh-CN"/>
      </w:rPr>
    </w:lvl>
    <w:lvl w:ilvl="6">
      <w:start w:val="0"/>
      <w:numFmt w:val="bullet"/>
      <w:lvlText w:val="•"/>
      <w:lvlJc w:val="left"/>
      <w:pPr>
        <w:ind w:left="6555" w:hanging="950"/>
      </w:pPr>
      <w:rPr>
        <w:rFonts w:hint="default"/>
        <w:lang w:val="zh-CN" w:eastAsia="zh-CN" w:bidi="zh-CN"/>
      </w:rPr>
    </w:lvl>
    <w:lvl w:ilvl="7">
      <w:start w:val="0"/>
      <w:numFmt w:val="bullet"/>
      <w:lvlText w:val="•"/>
      <w:lvlJc w:val="left"/>
      <w:pPr>
        <w:ind w:left="7578" w:hanging="950"/>
      </w:pPr>
      <w:rPr>
        <w:rFonts w:hint="default"/>
        <w:lang w:val="zh-CN" w:eastAsia="zh-CN" w:bidi="zh-CN"/>
      </w:rPr>
    </w:lvl>
    <w:lvl w:ilvl="8">
      <w:start w:val="0"/>
      <w:numFmt w:val="bullet"/>
      <w:lvlText w:val="•"/>
      <w:lvlJc w:val="left"/>
      <w:pPr>
        <w:ind w:left="8601" w:hanging="950"/>
      </w:pPr>
      <w:rPr>
        <w:rFonts w:hint="default"/>
        <w:lang w:val="zh-CN" w:eastAsia="zh-CN" w:bidi="zh-CN"/>
      </w:rPr>
    </w:lvl>
  </w:abstractNum>
  <w:abstractNum w:abstractNumId="219">
    <w:multiLevelType w:val="hybridMultilevel"/>
    <w:lvl w:ilvl="0">
      <w:start w:val="5"/>
      <w:numFmt w:val="decimal"/>
      <w:lvlText w:val="%1"/>
      <w:lvlJc w:val="left"/>
      <w:pPr>
        <w:ind w:left="1159" w:hanging="320"/>
        <w:jc w:val="left"/>
      </w:pPr>
      <w:rPr>
        <w:rFonts w:hint="default"/>
        <w:lang w:val="zh-CN" w:eastAsia="zh-CN" w:bidi="zh-CN"/>
      </w:rPr>
    </w:lvl>
    <w:lvl w:ilvl="1">
      <w:start w:val="3"/>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1780" w:hanging="950"/>
      </w:pPr>
      <w:rPr>
        <w:rFonts w:hint="default"/>
        <w:lang w:val="zh-CN" w:eastAsia="zh-CN" w:bidi="zh-CN"/>
      </w:rPr>
    </w:lvl>
    <w:lvl w:ilvl="6">
      <w:start w:val="0"/>
      <w:numFmt w:val="bullet"/>
      <w:lvlText w:val="•"/>
      <w:lvlJc w:val="left"/>
      <w:pPr>
        <w:ind w:left="3553" w:hanging="950"/>
      </w:pPr>
      <w:rPr>
        <w:rFonts w:hint="default"/>
        <w:lang w:val="zh-CN" w:eastAsia="zh-CN" w:bidi="zh-CN"/>
      </w:rPr>
    </w:lvl>
    <w:lvl w:ilvl="7">
      <w:start w:val="0"/>
      <w:numFmt w:val="bullet"/>
      <w:lvlText w:val="•"/>
      <w:lvlJc w:val="left"/>
      <w:pPr>
        <w:ind w:left="5326" w:hanging="950"/>
      </w:pPr>
      <w:rPr>
        <w:rFonts w:hint="default"/>
        <w:lang w:val="zh-CN" w:eastAsia="zh-CN" w:bidi="zh-CN"/>
      </w:rPr>
    </w:lvl>
    <w:lvl w:ilvl="8">
      <w:start w:val="0"/>
      <w:numFmt w:val="bullet"/>
      <w:lvlText w:val="•"/>
      <w:lvlJc w:val="left"/>
      <w:pPr>
        <w:ind w:left="7099" w:hanging="950"/>
      </w:pPr>
      <w:rPr>
        <w:rFonts w:hint="default"/>
        <w:lang w:val="zh-CN" w:eastAsia="zh-CN" w:bidi="zh-CN"/>
      </w:rPr>
    </w:lvl>
  </w:abstractNum>
  <w:abstractNum w:abstractNumId="218">
    <w:multiLevelType w:val="hybridMultilevel"/>
    <w:lvl w:ilvl="0">
      <w:start w:val="5"/>
      <w:numFmt w:val="decimal"/>
      <w:lvlText w:val="%1"/>
      <w:lvlJc w:val="left"/>
      <w:pPr>
        <w:ind w:left="1575" w:hanging="738"/>
        <w:jc w:val="left"/>
      </w:pPr>
      <w:rPr>
        <w:rFonts w:hint="default"/>
        <w:lang w:val="zh-CN" w:eastAsia="zh-CN" w:bidi="zh-CN"/>
      </w:rPr>
    </w:lvl>
    <w:lvl w:ilvl="1">
      <w:start w:val="2"/>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4"/>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217">
    <w:multiLevelType w:val="hybridMultilevel"/>
    <w:lvl w:ilvl="0">
      <w:start w:val="5"/>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b/>
        <w:bCs/>
        <w:w w:val="9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216">
    <w:multiLevelType w:val="hybridMultilevel"/>
    <w:lvl w:ilvl="0">
      <w:start w:val="4"/>
      <w:numFmt w:val="decimal"/>
      <w:lvlText w:val="%1"/>
      <w:lvlJc w:val="left"/>
      <w:pPr>
        <w:ind w:left="418" w:hanging="529"/>
        <w:jc w:val="left"/>
      </w:pPr>
      <w:rPr>
        <w:rFonts w:hint="default"/>
        <w:lang w:val="zh-CN" w:eastAsia="zh-CN" w:bidi="zh-CN"/>
      </w:rPr>
    </w:lvl>
    <w:lvl w:ilvl="1">
      <w:start w:val="8"/>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215">
    <w:multiLevelType w:val="hybridMultilevel"/>
    <w:lvl w:ilvl="0">
      <w:start w:val="4"/>
      <w:numFmt w:val="decimal"/>
      <w:lvlText w:val="%1"/>
      <w:lvlJc w:val="left"/>
      <w:pPr>
        <w:ind w:left="1158" w:hanging="318"/>
        <w:jc w:val="left"/>
      </w:pPr>
      <w:rPr>
        <w:rFonts w:hint="default"/>
        <w:lang w:val="zh-CN" w:eastAsia="zh-CN" w:bidi="zh-CN"/>
      </w:rPr>
    </w:lvl>
    <w:lvl w:ilvl="1">
      <w:start w:val="6"/>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214">
    <w:multiLevelType w:val="hybridMultilevel"/>
    <w:lvl w:ilvl="0">
      <w:start w:val="4"/>
      <w:numFmt w:val="decimal"/>
      <w:lvlText w:val="%1"/>
      <w:lvlJc w:val="left"/>
      <w:pPr>
        <w:ind w:left="1370" w:hanging="531"/>
        <w:jc w:val="left"/>
      </w:pPr>
      <w:rPr>
        <w:rFonts w:hint="default"/>
        <w:lang w:val="zh-CN" w:eastAsia="zh-CN" w:bidi="zh-CN"/>
      </w:rPr>
    </w:lvl>
    <w:lvl w:ilvl="1">
      <w:start w:val="5"/>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213">
    <w:multiLevelType w:val="hybridMultilevel"/>
    <w:lvl w:ilvl="0">
      <w:start w:val="4"/>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5"/>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455" w:hanging="738"/>
      </w:pPr>
      <w:rPr>
        <w:rFonts w:hint="default"/>
        <w:lang w:val="zh-CN" w:eastAsia="zh-CN" w:bidi="zh-CN"/>
      </w:rPr>
    </w:lvl>
    <w:lvl w:ilvl="5">
      <w:start w:val="0"/>
      <w:numFmt w:val="bullet"/>
      <w:lvlText w:val="•"/>
      <w:lvlJc w:val="left"/>
      <w:pPr>
        <w:ind w:left="5487" w:hanging="738"/>
      </w:pPr>
      <w:rPr>
        <w:rFonts w:hint="default"/>
        <w:lang w:val="zh-CN" w:eastAsia="zh-CN" w:bidi="zh-CN"/>
      </w:rPr>
    </w:lvl>
    <w:lvl w:ilvl="6">
      <w:start w:val="0"/>
      <w:numFmt w:val="bullet"/>
      <w:lvlText w:val="•"/>
      <w:lvlJc w:val="left"/>
      <w:pPr>
        <w:ind w:left="6519" w:hanging="738"/>
      </w:pPr>
      <w:rPr>
        <w:rFonts w:hint="default"/>
        <w:lang w:val="zh-CN" w:eastAsia="zh-CN" w:bidi="zh-CN"/>
      </w:rPr>
    </w:lvl>
    <w:lvl w:ilvl="7">
      <w:start w:val="0"/>
      <w:numFmt w:val="bullet"/>
      <w:lvlText w:val="•"/>
      <w:lvlJc w:val="left"/>
      <w:pPr>
        <w:ind w:left="7550" w:hanging="738"/>
      </w:pPr>
      <w:rPr>
        <w:rFonts w:hint="default"/>
        <w:lang w:val="zh-CN" w:eastAsia="zh-CN" w:bidi="zh-CN"/>
      </w:rPr>
    </w:lvl>
    <w:lvl w:ilvl="8">
      <w:start w:val="0"/>
      <w:numFmt w:val="bullet"/>
      <w:lvlText w:val="•"/>
      <w:lvlJc w:val="left"/>
      <w:pPr>
        <w:ind w:left="8582" w:hanging="738"/>
      </w:pPr>
      <w:rPr>
        <w:rFonts w:hint="default"/>
        <w:lang w:val="zh-CN" w:eastAsia="zh-CN" w:bidi="zh-CN"/>
      </w:rPr>
    </w:lvl>
  </w:abstractNum>
  <w:abstractNum w:abstractNumId="212">
    <w:multiLevelType w:val="hybridMultilevel"/>
    <w:lvl w:ilvl="0">
      <w:start w:val="4"/>
      <w:numFmt w:val="decimal"/>
      <w:lvlText w:val="%1"/>
      <w:lvlJc w:val="left"/>
      <w:pPr>
        <w:ind w:left="1787" w:hanging="950"/>
        <w:jc w:val="left"/>
      </w:pPr>
      <w:rPr>
        <w:rFonts w:hint="default"/>
        <w:lang w:val="zh-CN" w:eastAsia="zh-CN" w:bidi="zh-CN"/>
      </w:rPr>
    </w:lvl>
    <w:lvl w:ilvl="1">
      <w:start w:val="4"/>
      <w:numFmt w:val="decimal"/>
      <w:lvlText w:val="%1.%2"/>
      <w:lvlJc w:val="left"/>
      <w:pPr>
        <w:ind w:left="1787" w:hanging="950"/>
        <w:jc w:val="left"/>
      </w:pPr>
      <w:rPr>
        <w:rFonts w:hint="default"/>
        <w:lang w:val="zh-CN" w:eastAsia="zh-CN" w:bidi="zh-CN"/>
      </w:rPr>
    </w:lvl>
    <w:lvl w:ilvl="2">
      <w:start w:val="4"/>
      <w:numFmt w:val="decimal"/>
      <w:lvlText w:val="%1.%2.%3"/>
      <w:lvlJc w:val="left"/>
      <w:pPr>
        <w:ind w:left="1787" w:hanging="950"/>
        <w:jc w:val="left"/>
      </w:pPr>
      <w:rPr>
        <w:rFonts w:hint="default"/>
        <w:lang w:val="zh-CN" w:eastAsia="zh-CN" w:bidi="zh-CN"/>
      </w:rPr>
    </w:lvl>
    <w:lvl w:ilvl="3">
      <w:start w:val="2"/>
      <w:numFmt w:val="decimal"/>
      <w:lvlText w:val="%1.%2.%3.%4"/>
      <w:lvlJc w:val="left"/>
      <w:pPr>
        <w:ind w:left="1787" w:hanging="950"/>
        <w:jc w:val="left"/>
      </w:pPr>
      <w:rPr>
        <w:rFonts w:hint="default"/>
        <w:lang w:val="zh-CN" w:eastAsia="zh-CN" w:bidi="zh-CN"/>
      </w:rPr>
    </w:lvl>
    <w:lvl w:ilvl="4">
      <w:start w:val="6"/>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1"/>
      <w:numFmt w:val="decimal"/>
      <w:lvlText w:val="%1.%2.%3.%4.%5.%6"/>
      <w:lvlJc w:val="left"/>
      <w:pPr>
        <w:ind w:left="1995" w:hanging="1158"/>
        <w:jc w:val="left"/>
      </w:pPr>
      <w:rPr>
        <w:rFonts w:hint="default" w:ascii="宋体" w:hAnsi="宋体" w:eastAsia="宋体" w:cs="宋体"/>
        <w:spacing w:val="-3"/>
        <w:w w:val="100"/>
        <w:sz w:val="19"/>
        <w:szCs w:val="19"/>
        <w:lang w:val="zh-CN" w:eastAsia="zh-CN" w:bidi="zh-CN"/>
      </w:rPr>
    </w:lvl>
    <w:lvl w:ilvl="6">
      <w:start w:val="0"/>
      <w:numFmt w:val="bullet"/>
      <w:lvlText w:val="•"/>
      <w:lvlJc w:val="left"/>
      <w:pPr>
        <w:ind w:left="6803" w:hanging="1158"/>
      </w:pPr>
      <w:rPr>
        <w:rFonts w:hint="default"/>
        <w:lang w:val="zh-CN" w:eastAsia="zh-CN" w:bidi="zh-CN"/>
      </w:rPr>
    </w:lvl>
    <w:lvl w:ilvl="7">
      <w:start w:val="0"/>
      <w:numFmt w:val="bullet"/>
      <w:lvlText w:val="•"/>
      <w:lvlJc w:val="left"/>
      <w:pPr>
        <w:ind w:left="7764" w:hanging="1158"/>
      </w:pPr>
      <w:rPr>
        <w:rFonts w:hint="default"/>
        <w:lang w:val="zh-CN" w:eastAsia="zh-CN" w:bidi="zh-CN"/>
      </w:rPr>
    </w:lvl>
    <w:lvl w:ilvl="8">
      <w:start w:val="0"/>
      <w:numFmt w:val="bullet"/>
      <w:lvlText w:val="•"/>
      <w:lvlJc w:val="left"/>
      <w:pPr>
        <w:ind w:left="8724" w:hanging="1158"/>
      </w:pPr>
      <w:rPr>
        <w:rFonts w:hint="default"/>
        <w:lang w:val="zh-CN" w:eastAsia="zh-CN" w:bidi="zh-CN"/>
      </w:rPr>
    </w:lvl>
  </w:abstractNum>
  <w:abstractNum w:abstractNumId="211">
    <w:multiLevelType w:val="hybridMultilevel"/>
    <w:lvl w:ilvl="0">
      <w:start w:val="4"/>
      <w:numFmt w:val="decimal"/>
      <w:lvlText w:val="%1"/>
      <w:lvlJc w:val="left"/>
      <w:pPr>
        <w:ind w:left="1995" w:hanging="1158"/>
        <w:jc w:val="left"/>
      </w:pPr>
      <w:rPr>
        <w:rFonts w:hint="default"/>
        <w:lang w:val="zh-CN" w:eastAsia="zh-CN" w:bidi="zh-CN"/>
      </w:rPr>
    </w:lvl>
    <w:lvl w:ilvl="1">
      <w:start w:val="4"/>
      <w:numFmt w:val="decimal"/>
      <w:lvlText w:val="%1.%2"/>
      <w:lvlJc w:val="left"/>
      <w:pPr>
        <w:ind w:left="1995" w:hanging="1158"/>
        <w:jc w:val="left"/>
      </w:pPr>
      <w:rPr>
        <w:rFonts w:hint="default"/>
        <w:lang w:val="zh-CN" w:eastAsia="zh-CN" w:bidi="zh-CN"/>
      </w:rPr>
    </w:lvl>
    <w:lvl w:ilvl="2">
      <w:start w:val="4"/>
      <w:numFmt w:val="decimal"/>
      <w:lvlText w:val="%1.%2.%3"/>
      <w:lvlJc w:val="left"/>
      <w:pPr>
        <w:ind w:left="1995" w:hanging="1158"/>
        <w:jc w:val="left"/>
      </w:pPr>
      <w:rPr>
        <w:rFonts w:hint="default"/>
        <w:lang w:val="zh-CN" w:eastAsia="zh-CN" w:bidi="zh-CN"/>
      </w:rPr>
    </w:lvl>
    <w:lvl w:ilvl="3">
      <w:start w:val="2"/>
      <w:numFmt w:val="decimal"/>
      <w:lvlText w:val="%1.%2.%3.%4"/>
      <w:lvlJc w:val="left"/>
      <w:pPr>
        <w:ind w:left="1995" w:hanging="1158"/>
        <w:jc w:val="left"/>
      </w:pPr>
      <w:rPr>
        <w:rFonts w:hint="default"/>
        <w:lang w:val="zh-CN" w:eastAsia="zh-CN" w:bidi="zh-CN"/>
      </w:rPr>
    </w:lvl>
    <w:lvl w:ilvl="4">
      <w:start w:val="5"/>
      <w:numFmt w:val="decimal"/>
      <w:lvlText w:val="%1.%2.%3.%4.%5"/>
      <w:lvlJc w:val="left"/>
      <w:pPr>
        <w:ind w:left="1995" w:hanging="1158"/>
        <w:jc w:val="left"/>
      </w:pPr>
      <w:rPr>
        <w:rFonts w:hint="default"/>
        <w:lang w:val="zh-CN" w:eastAsia="zh-CN" w:bidi="zh-CN"/>
      </w:rPr>
    </w:lvl>
    <w:lvl w:ilvl="5">
      <w:start w:val="1"/>
      <w:numFmt w:val="decimal"/>
      <w:lvlText w:val="%1.%2.%3.%4.%5.%6"/>
      <w:lvlJc w:val="left"/>
      <w:pPr>
        <w:ind w:left="1995" w:hanging="1158"/>
        <w:jc w:val="left"/>
      </w:pPr>
      <w:rPr>
        <w:rFonts w:hint="default" w:ascii="宋体" w:hAnsi="宋体" w:eastAsia="宋体" w:cs="宋体"/>
        <w:spacing w:val="-3"/>
        <w:w w:val="100"/>
        <w:sz w:val="19"/>
        <w:szCs w:val="19"/>
        <w:lang w:val="zh-CN" w:eastAsia="zh-CN" w:bidi="zh-CN"/>
      </w:rPr>
    </w:lvl>
    <w:lvl w:ilvl="6">
      <w:start w:val="0"/>
      <w:numFmt w:val="bullet"/>
      <w:lvlText w:val="•"/>
      <w:lvlJc w:val="left"/>
      <w:pPr>
        <w:ind w:left="7187" w:hanging="1158"/>
      </w:pPr>
      <w:rPr>
        <w:rFonts w:hint="default"/>
        <w:lang w:val="zh-CN" w:eastAsia="zh-CN" w:bidi="zh-CN"/>
      </w:rPr>
    </w:lvl>
    <w:lvl w:ilvl="7">
      <w:start w:val="0"/>
      <w:numFmt w:val="bullet"/>
      <w:lvlText w:val="•"/>
      <w:lvlJc w:val="left"/>
      <w:pPr>
        <w:ind w:left="8052" w:hanging="1158"/>
      </w:pPr>
      <w:rPr>
        <w:rFonts w:hint="default"/>
        <w:lang w:val="zh-CN" w:eastAsia="zh-CN" w:bidi="zh-CN"/>
      </w:rPr>
    </w:lvl>
    <w:lvl w:ilvl="8">
      <w:start w:val="0"/>
      <w:numFmt w:val="bullet"/>
      <w:lvlText w:val="•"/>
      <w:lvlJc w:val="left"/>
      <w:pPr>
        <w:ind w:left="8917" w:hanging="1158"/>
      </w:pPr>
      <w:rPr>
        <w:rFonts w:hint="default"/>
        <w:lang w:val="zh-CN" w:eastAsia="zh-CN" w:bidi="zh-CN"/>
      </w:rPr>
    </w:lvl>
  </w:abstractNum>
  <w:abstractNum w:abstractNumId="210">
    <w:multiLevelType w:val="hybridMultilevel"/>
    <w:lvl w:ilvl="0">
      <w:start w:val="4"/>
      <w:numFmt w:val="decimal"/>
      <w:lvlText w:val="%1"/>
      <w:lvlJc w:val="left"/>
      <w:pPr>
        <w:ind w:left="1787" w:hanging="950"/>
        <w:jc w:val="left"/>
      </w:pPr>
      <w:rPr>
        <w:rFonts w:hint="default"/>
        <w:lang w:val="zh-CN" w:eastAsia="zh-CN" w:bidi="zh-CN"/>
      </w:rPr>
    </w:lvl>
    <w:lvl w:ilvl="1">
      <w:start w:val="4"/>
      <w:numFmt w:val="decimal"/>
      <w:lvlText w:val="%1.%2"/>
      <w:lvlJc w:val="left"/>
      <w:pPr>
        <w:ind w:left="1787" w:hanging="950"/>
        <w:jc w:val="left"/>
      </w:pPr>
      <w:rPr>
        <w:rFonts w:hint="default"/>
        <w:lang w:val="zh-CN" w:eastAsia="zh-CN" w:bidi="zh-CN"/>
      </w:rPr>
    </w:lvl>
    <w:lvl w:ilvl="2">
      <w:start w:val="4"/>
      <w:numFmt w:val="decimal"/>
      <w:lvlText w:val="%1.%2.%3"/>
      <w:lvlJc w:val="left"/>
      <w:pPr>
        <w:ind w:left="1787" w:hanging="950"/>
        <w:jc w:val="left"/>
      </w:pPr>
      <w:rPr>
        <w:rFonts w:hint="default"/>
        <w:lang w:val="zh-CN" w:eastAsia="zh-CN" w:bidi="zh-CN"/>
      </w:rPr>
    </w:lvl>
    <w:lvl w:ilvl="3">
      <w:start w:val="2"/>
      <w:numFmt w:val="decimal"/>
      <w:lvlText w:val="%1.%2.%3.%4"/>
      <w:lvlJc w:val="left"/>
      <w:pPr>
        <w:ind w:left="1787" w:hanging="950"/>
        <w:jc w:val="left"/>
      </w:pPr>
      <w:rPr>
        <w:rFonts w:hint="default"/>
        <w:lang w:val="zh-CN" w:eastAsia="zh-CN" w:bidi="zh-CN"/>
      </w:rPr>
    </w:lvl>
    <w:lvl w:ilvl="4">
      <w:start w:val="4"/>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1"/>
      <w:numFmt w:val="decimal"/>
      <w:lvlText w:val="%1.%2.%3.%4.%5.%6"/>
      <w:lvlJc w:val="left"/>
      <w:pPr>
        <w:ind w:left="1995" w:hanging="1158"/>
        <w:jc w:val="left"/>
      </w:pPr>
      <w:rPr>
        <w:rFonts w:hint="default" w:ascii="宋体" w:hAnsi="宋体" w:eastAsia="宋体" w:cs="宋体"/>
        <w:spacing w:val="-3"/>
        <w:w w:val="100"/>
        <w:sz w:val="19"/>
        <w:szCs w:val="19"/>
        <w:lang w:val="zh-CN" w:eastAsia="zh-CN" w:bidi="zh-CN"/>
      </w:rPr>
    </w:lvl>
    <w:lvl w:ilvl="6">
      <w:start w:val="0"/>
      <w:numFmt w:val="bullet"/>
      <w:lvlText w:val="•"/>
      <w:lvlJc w:val="left"/>
      <w:pPr>
        <w:ind w:left="6803" w:hanging="1158"/>
      </w:pPr>
      <w:rPr>
        <w:rFonts w:hint="default"/>
        <w:lang w:val="zh-CN" w:eastAsia="zh-CN" w:bidi="zh-CN"/>
      </w:rPr>
    </w:lvl>
    <w:lvl w:ilvl="7">
      <w:start w:val="0"/>
      <w:numFmt w:val="bullet"/>
      <w:lvlText w:val="•"/>
      <w:lvlJc w:val="left"/>
      <w:pPr>
        <w:ind w:left="7764" w:hanging="1158"/>
      </w:pPr>
      <w:rPr>
        <w:rFonts w:hint="default"/>
        <w:lang w:val="zh-CN" w:eastAsia="zh-CN" w:bidi="zh-CN"/>
      </w:rPr>
    </w:lvl>
    <w:lvl w:ilvl="8">
      <w:start w:val="0"/>
      <w:numFmt w:val="bullet"/>
      <w:lvlText w:val="•"/>
      <w:lvlJc w:val="left"/>
      <w:pPr>
        <w:ind w:left="8724" w:hanging="1158"/>
      </w:pPr>
      <w:rPr>
        <w:rFonts w:hint="default"/>
        <w:lang w:val="zh-CN" w:eastAsia="zh-CN" w:bidi="zh-CN"/>
      </w:rPr>
    </w:lvl>
  </w:abstractNum>
  <w:abstractNum w:abstractNumId="209">
    <w:multiLevelType w:val="hybridMultilevel"/>
    <w:lvl w:ilvl="0">
      <w:start w:val="4"/>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4313" w:hanging="950"/>
      </w:pPr>
      <w:rPr>
        <w:rFonts w:hint="default"/>
        <w:lang w:val="zh-CN" w:eastAsia="zh-CN" w:bidi="zh-CN"/>
      </w:rPr>
    </w:lvl>
    <w:lvl w:ilvl="6">
      <w:start w:val="0"/>
      <w:numFmt w:val="bullet"/>
      <w:lvlText w:val="•"/>
      <w:lvlJc w:val="left"/>
      <w:pPr>
        <w:ind w:left="5579" w:hanging="950"/>
      </w:pPr>
      <w:rPr>
        <w:rFonts w:hint="default"/>
        <w:lang w:val="zh-CN" w:eastAsia="zh-CN" w:bidi="zh-CN"/>
      </w:rPr>
    </w:lvl>
    <w:lvl w:ilvl="7">
      <w:start w:val="0"/>
      <w:numFmt w:val="bullet"/>
      <w:lvlText w:val="•"/>
      <w:lvlJc w:val="left"/>
      <w:pPr>
        <w:ind w:left="6846" w:hanging="950"/>
      </w:pPr>
      <w:rPr>
        <w:rFonts w:hint="default"/>
        <w:lang w:val="zh-CN" w:eastAsia="zh-CN" w:bidi="zh-CN"/>
      </w:rPr>
    </w:lvl>
    <w:lvl w:ilvl="8">
      <w:start w:val="0"/>
      <w:numFmt w:val="bullet"/>
      <w:lvlText w:val="•"/>
      <w:lvlJc w:val="left"/>
      <w:pPr>
        <w:ind w:left="8113" w:hanging="950"/>
      </w:pPr>
      <w:rPr>
        <w:rFonts w:hint="default"/>
        <w:lang w:val="zh-CN" w:eastAsia="zh-CN" w:bidi="zh-CN"/>
      </w:rPr>
    </w:lvl>
  </w:abstractNum>
  <w:abstractNum w:abstractNumId="208">
    <w:multiLevelType w:val="hybridMultilevel"/>
    <w:lvl w:ilvl="0">
      <w:start w:val="4"/>
      <w:numFmt w:val="decimal"/>
      <w:lvlText w:val="%1"/>
      <w:lvlJc w:val="left"/>
      <w:pPr>
        <w:ind w:left="1575" w:hanging="738"/>
        <w:jc w:val="left"/>
      </w:pPr>
      <w:rPr>
        <w:rFonts w:hint="default"/>
        <w:lang w:val="zh-CN" w:eastAsia="zh-CN" w:bidi="zh-CN"/>
      </w:rPr>
    </w:lvl>
    <w:lvl w:ilvl="1">
      <w:start w:val="4"/>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104" w:hanging="950"/>
      </w:pPr>
      <w:rPr>
        <w:rFonts w:hint="default"/>
        <w:lang w:val="zh-CN" w:eastAsia="zh-CN" w:bidi="zh-CN"/>
      </w:rPr>
    </w:lvl>
    <w:lvl w:ilvl="6">
      <w:start w:val="0"/>
      <w:numFmt w:val="bullet"/>
      <w:lvlText w:val="•"/>
      <w:lvlJc w:val="left"/>
      <w:pPr>
        <w:ind w:left="6213" w:hanging="950"/>
      </w:pPr>
      <w:rPr>
        <w:rFonts w:hint="default"/>
        <w:lang w:val="zh-CN" w:eastAsia="zh-CN" w:bidi="zh-CN"/>
      </w:rPr>
    </w:lvl>
    <w:lvl w:ilvl="7">
      <w:start w:val="0"/>
      <w:numFmt w:val="bullet"/>
      <w:lvlText w:val="•"/>
      <w:lvlJc w:val="left"/>
      <w:pPr>
        <w:ind w:left="7321" w:hanging="950"/>
      </w:pPr>
      <w:rPr>
        <w:rFonts w:hint="default"/>
        <w:lang w:val="zh-CN" w:eastAsia="zh-CN" w:bidi="zh-CN"/>
      </w:rPr>
    </w:lvl>
    <w:lvl w:ilvl="8">
      <w:start w:val="0"/>
      <w:numFmt w:val="bullet"/>
      <w:lvlText w:val="•"/>
      <w:lvlJc w:val="left"/>
      <w:pPr>
        <w:ind w:left="8429" w:hanging="950"/>
      </w:pPr>
      <w:rPr>
        <w:rFonts w:hint="default"/>
        <w:lang w:val="zh-CN" w:eastAsia="zh-CN" w:bidi="zh-CN"/>
      </w:rPr>
    </w:lvl>
  </w:abstractNum>
  <w:abstractNum w:abstractNumId="207">
    <w:multiLevelType w:val="hybridMultilevel"/>
    <w:lvl w:ilvl="0">
      <w:start w:val="4"/>
      <w:numFmt w:val="decimal"/>
      <w:lvlText w:val="%1"/>
      <w:lvlJc w:val="left"/>
      <w:pPr>
        <w:ind w:left="1575" w:hanging="738"/>
        <w:jc w:val="left"/>
      </w:pPr>
      <w:rPr>
        <w:rFonts w:hint="default"/>
        <w:lang w:val="zh-CN" w:eastAsia="zh-CN" w:bidi="zh-CN"/>
      </w:rPr>
    </w:lvl>
    <w:lvl w:ilvl="1">
      <w:start w:val="2"/>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206">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2875" w:hanging="738"/>
      </w:pPr>
      <w:rPr>
        <w:rFonts w:hint="default"/>
        <w:lang w:val="zh-CN" w:eastAsia="zh-CN" w:bidi="zh-CN"/>
      </w:rPr>
    </w:lvl>
    <w:lvl w:ilvl="5">
      <w:start w:val="0"/>
      <w:numFmt w:val="bullet"/>
      <w:lvlText w:val="•"/>
      <w:lvlJc w:val="left"/>
      <w:pPr>
        <w:ind w:left="4170" w:hanging="738"/>
      </w:pPr>
      <w:rPr>
        <w:rFonts w:hint="default"/>
        <w:lang w:val="zh-CN" w:eastAsia="zh-CN" w:bidi="zh-CN"/>
      </w:rPr>
    </w:lvl>
    <w:lvl w:ilvl="6">
      <w:start w:val="0"/>
      <w:numFmt w:val="bullet"/>
      <w:lvlText w:val="•"/>
      <w:lvlJc w:val="left"/>
      <w:pPr>
        <w:ind w:left="5465" w:hanging="738"/>
      </w:pPr>
      <w:rPr>
        <w:rFonts w:hint="default"/>
        <w:lang w:val="zh-CN" w:eastAsia="zh-CN" w:bidi="zh-CN"/>
      </w:rPr>
    </w:lvl>
    <w:lvl w:ilvl="7">
      <w:start w:val="0"/>
      <w:numFmt w:val="bullet"/>
      <w:lvlText w:val="•"/>
      <w:lvlJc w:val="left"/>
      <w:pPr>
        <w:ind w:left="6760" w:hanging="738"/>
      </w:pPr>
      <w:rPr>
        <w:rFonts w:hint="default"/>
        <w:lang w:val="zh-CN" w:eastAsia="zh-CN" w:bidi="zh-CN"/>
      </w:rPr>
    </w:lvl>
    <w:lvl w:ilvl="8">
      <w:start w:val="0"/>
      <w:numFmt w:val="bullet"/>
      <w:lvlText w:val="•"/>
      <w:lvlJc w:val="left"/>
      <w:pPr>
        <w:ind w:left="8056" w:hanging="738"/>
      </w:pPr>
      <w:rPr>
        <w:rFonts w:hint="default"/>
        <w:lang w:val="zh-CN" w:eastAsia="zh-CN" w:bidi="zh-CN"/>
      </w:rPr>
    </w:lvl>
  </w:abstractNum>
  <w:abstractNum w:abstractNumId="205">
    <w:multiLevelType w:val="hybridMultilevel"/>
    <w:lvl w:ilvl="0">
      <w:start w:val="3"/>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204">
    <w:multiLevelType w:val="hybridMultilevel"/>
    <w:lvl w:ilvl="0">
      <w:start w:val="7"/>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203">
    <w:multiLevelType w:val="hybridMultilevel"/>
    <w:lvl w:ilvl="0">
      <w:start w:val="7"/>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202">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82" w:hanging="743"/>
        <w:jc w:val="left"/>
      </w:pPr>
      <w:rPr>
        <w:rFonts w:hint="default" w:ascii="宋体" w:hAnsi="宋体" w:eastAsia="宋体" w:cs="宋体"/>
        <w:b/>
        <w:bCs/>
        <w:spacing w:val="-3"/>
        <w:w w:val="99"/>
        <w:sz w:val="19"/>
        <w:szCs w:val="19"/>
        <w:lang w:val="zh-CN" w:eastAsia="zh-CN" w:bidi="zh-CN"/>
      </w:rPr>
    </w:lvl>
    <w:lvl w:ilvl="4">
      <w:start w:val="0"/>
      <w:numFmt w:val="bullet"/>
      <w:lvlText w:val="•"/>
      <w:lvlJc w:val="left"/>
      <w:pPr>
        <w:ind w:left="3846" w:hanging="743"/>
      </w:pPr>
      <w:rPr>
        <w:rFonts w:hint="default"/>
        <w:lang w:val="zh-CN" w:eastAsia="zh-CN" w:bidi="zh-CN"/>
      </w:rPr>
    </w:lvl>
    <w:lvl w:ilvl="5">
      <w:start w:val="0"/>
      <w:numFmt w:val="bullet"/>
      <w:lvlText w:val="•"/>
      <w:lvlJc w:val="left"/>
      <w:pPr>
        <w:ind w:left="4979" w:hanging="743"/>
      </w:pPr>
      <w:rPr>
        <w:rFonts w:hint="default"/>
        <w:lang w:val="zh-CN" w:eastAsia="zh-CN" w:bidi="zh-CN"/>
      </w:rPr>
    </w:lvl>
    <w:lvl w:ilvl="6">
      <w:start w:val="0"/>
      <w:numFmt w:val="bullet"/>
      <w:lvlText w:val="•"/>
      <w:lvlJc w:val="left"/>
      <w:pPr>
        <w:ind w:left="6113" w:hanging="743"/>
      </w:pPr>
      <w:rPr>
        <w:rFonts w:hint="default"/>
        <w:lang w:val="zh-CN" w:eastAsia="zh-CN" w:bidi="zh-CN"/>
      </w:rPr>
    </w:lvl>
    <w:lvl w:ilvl="7">
      <w:start w:val="0"/>
      <w:numFmt w:val="bullet"/>
      <w:lvlText w:val="•"/>
      <w:lvlJc w:val="left"/>
      <w:pPr>
        <w:ind w:left="7246" w:hanging="743"/>
      </w:pPr>
      <w:rPr>
        <w:rFonts w:hint="default"/>
        <w:lang w:val="zh-CN" w:eastAsia="zh-CN" w:bidi="zh-CN"/>
      </w:rPr>
    </w:lvl>
    <w:lvl w:ilvl="8">
      <w:start w:val="0"/>
      <w:numFmt w:val="bullet"/>
      <w:lvlText w:val="•"/>
      <w:lvlJc w:val="left"/>
      <w:pPr>
        <w:ind w:left="8379" w:hanging="743"/>
      </w:pPr>
      <w:rPr>
        <w:rFonts w:hint="default"/>
        <w:lang w:val="zh-CN" w:eastAsia="zh-CN" w:bidi="zh-CN"/>
      </w:rPr>
    </w:lvl>
  </w:abstractNum>
  <w:abstractNum w:abstractNumId="201">
    <w:multiLevelType w:val="hybridMultilevel"/>
    <w:lvl w:ilvl="0">
      <w:start w:val="5"/>
      <w:numFmt w:val="decimal"/>
      <w:lvlText w:val="%1"/>
      <w:lvlJc w:val="left"/>
      <w:pPr>
        <w:ind w:left="1575" w:hanging="738"/>
        <w:jc w:val="left"/>
      </w:pPr>
      <w:rPr>
        <w:rFonts w:hint="default"/>
        <w:lang w:val="zh-CN" w:eastAsia="zh-CN" w:bidi="zh-CN"/>
      </w:rPr>
    </w:lvl>
    <w:lvl w:ilvl="1">
      <w:start w:val="4"/>
      <w:numFmt w:val="decimal"/>
      <w:lvlText w:val="%1.%2"/>
      <w:lvlJc w:val="left"/>
      <w:pPr>
        <w:ind w:left="1575" w:hanging="738"/>
        <w:jc w:val="left"/>
      </w:pPr>
      <w:rPr>
        <w:rFonts w:hint="default"/>
        <w:lang w:val="zh-CN" w:eastAsia="zh-CN" w:bidi="zh-CN"/>
      </w:rPr>
    </w:lvl>
    <w:lvl w:ilvl="2">
      <w:start w:val="7"/>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200">
    <w:multiLevelType w:val="hybridMultilevel"/>
    <w:lvl w:ilvl="0">
      <w:start w:val="5"/>
      <w:numFmt w:val="decimal"/>
      <w:lvlText w:val="%1"/>
      <w:lvlJc w:val="left"/>
      <w:pPr>
        <w:ind w:left="1787" w:hanging="950"/>
        <w:jc w:val="left"/>
      </w:pPr>
      <w:rPr>
        <w:rFonts w:hint="default"/>
        <w:lang w:val="zh-CN" w:eastAsia="zh-CN" w:bidi="zh-CN"/>
      </w:rPr>
    </w:lvl>
    <w:lvl w:ilvl="1">
      <w:start w:val="4"/>
      <w:numFmt w:val="decimal"/>
      <w:lvlText w:val="%1.%2"/>
      <w:lvlJc w:val="left"/>
      <w:pPr>
        <w:ind w:left="1787" w:hanging="950"/>
        <w:jc w:val="left"/>
      </w:pPr>
      <w:rPr>
        <w:rFonts w:hint="default"/>
        <w:lang w:val="zh-CN" w:eastAsia="zh-CN" w:bidi="zh-CN"/>
      </w:rPr>
    </w:lvl>
    <w:lvl w:ilvl="2">
      <w:start w:val="3"/>
      <w:numFmt w:val="decimal"/>
      <w:lvlText w:val="%1.%2.%3"/>
      <w:lvlJc w:val="left"/>
      <w:pPr>
        <w:ind w:left="1787" w:hanging="950"/>
        <w:jc w:val="left"/>
      </w:pPr>
      <w:rPr>
        <w:rFonts w:hint="default"/>
        <w:lang w:val="zh-CN" w:eastAsia="zh-CN" w:bidi="zh-CN"/>
      </w:rPr>
    </w:lvl>
    <w:lvl w:ilvl="3">
      <w:start w:val="1"/>
      <w:numFmt w:val="decimal"/>
      <w:lvlText w:val="%1.%2.%3.%4"/>
      <w:lvlJc w:val="left"/>
      <w:pPr>
        <w:ind w:left="1787" w:hanging="950"/>
        <w:jc w:val="left"/>
      </w:pPr>
      <w:rPr>
        <w:rFonts w:hint="default"/>
        <w:lang w:val="zh-CN" w:eastAsia="zh-CN" w:bidi="zh-CN"/>
      </w:rPr>
    </w:lvl>
    <w:lvl w:ilvl="4">
      <w:start w:val="5"/>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6213" w:hanging="950"/>
      </w:pPr>
      <w:rPr>
        <w:rFonts w:hint="default"/>
        <w:lang w:val="zh-CN" w:eastAsia="zh-CN" w:bidi="zh-CN"/>
      </w:rPr>
    </w:lvl>
    <w:lvl w:ilvl="6">
      <w:start w:val="0"/>
      <w:numFmt w:val="bullet"/>
      <w:lvlText w:val="•"/>
      <w:lvlJc w:val="left"/>
      <w:pPr>
        <w:ind w:left="7099" w:hanging="950"/>
      </w:pPr>
      <w:rPr>
        <w:rFonts w:hint="default"/>
        <w:lang w:val="zh-CN" w:eastAsia="zh-CN" w:bidi="zh-CN"/>
      </w:rPr>
    </w:lvl>
    <w:lvl w:ilvl="7">
      <w:start w:val="0"/>
      <w:numFmt w:val="bullet"/>
      <w:lvlText w:val="•"/>
      <w:lvlJc w:val="left"/>
      <w:pPr>
        <w:ind w:left="7986" w:hanging="950"/>
      </w:pPr>
      <w:rPr>
        <w:rFonts w:hint="default"/>
        <w:lang w:val="zh-CN" w:eastAsia="zh-CN" w:bidi="zh-CN"/>
      </w:rPr>
    </w:lvl>
    <w:lvl w:ilvl="8">
      <w:start w:val="0"/>
      <w:numFmt w:val="bullet"/>
      <w:lvlText w:val="•"/>
      <w:lvlJc w:val="left"/>
      <w:pPr>
        <w:ind w:left="8873" w:hanging="950"/>
      </w:pPr>
      <w:rPr>
        <w:rFonts w:hint="default"/>
        <w:lang w:val="zh-CN" w:eastAsia="zh-CN" w:bidi="zh-CN"/>
      </w:rPr>
    </w:lvl>
  </w:abstractNum>
  <w:abstractNum w:abstractNumId="199">
    <w:multiLevelType w:val="hybridMultilevel"/>
    <w:lvl w:ilvl="0">
      <w:start w:val="5"/>
      <w:numFmt w:val="decimal"/>
      <w:lvlText w:val="%1"/>
      <w:lvlJc w:val="left"/>
      <w:pPr>
        <w:ind w:left="1787" w:hanging="950"/>
        <w:jc w:val="left"/>
      </w:pPr>
      <w:rPr>
        <w:rFonts w:hint="default"/>
        <w:lang w:val="zh-CN" w:eastAsia="zh-CN" w:bidi="zh-CN"/>
      </w:rPr>
    </w:lvl>
    <w:lvl w:ilvl="1">
      <w:start w:val="4"/>
      <w:numFmt w:val="decimal"/>
      <w:lvlText w:val="%1.%2"/>
      <w:lvlJc w:val="left"/>
      <w:pPr>
        <w:ind w:left="1787" w:hanging="950"/>
        <w:jc w:val="left"/>
      </w:pPr>
      <w:rPr>
        <w:rFonts w:hint="default"/>
        <w:lang w:val="zh-CN" w:eastAsia="zh-CN" w:bidi="zh-CN"/>
      </w:rPr>
    </w:lvl>
    <w:lvl w:ilvl="2">
      <w:start w:val="3"/>
      <w:numFmt w:val="decimal"/>
      <w:lvlText w:val="%1.%2.%3"/>
      <w:lvlJc w:val="left"/>
      <w:pPr>
        <w:ind w:left="1787" w:hanging="950"/>
        <w:jc w:val="left"/>
      </w:pPr>
      <w:rPr>
        <w:rFonts w:hint="default"/>
        <w:lang w:val="zh-CN" w:eastAsia="zh-CN" w:bidi="zh-CN"/>
      </w:rPr>
    </w:lvl>
    <w:lvl w:ilvl="3">
      <w:start w:val="1"/>
      <w:numFmt w:val="decimal"/>
      <w:lvlText w:val="%1.%2.%3.%4"/>
      <w:lvlJc w:val="left"/>
      <w:pPr>
        <w:ind w:left="1787" w:hanging="950"/>
        <w:jc w:val="left"/>
      </w:pPr>
      <w:rPr>
        <w:rFonts w:hint="default"/>
        <w:lang w:val="zh-CN" w:eastAsia="zh-CN" w:bidi="zh-CN"/>
      </w:rPr>
    </w:lvl>
    <w:lvl w:ilvl="4">
      <w:start w:val="3"/>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6213" w:hanging="950"/>
      </w:pPr>
      <w:rPr>
        <w:rFonts w:hint="default"/>
        <w:lang w:val="zh-CN" w:eastAsia="zh-CN" w:bidi="zh-CN"/>
      </w:rPr>
    </w:lvl>
    <w:lvl w:ilvl="6">
      <w:start w:val="0"/>
      <w:numFmt w:val="bullet"/>
      <w:lvlText w:val="•"/>
      <w:lvlJc w:val="left"/>
      <w:pPr>
        <w:ind w:left="7099" w:hanging="950"/>
      </w:pPr>
      <w:rPr>
        <w:rFonts w:hint="default"/>
        <w:lang w:val="zh-CN" w:eastAsia="zh-CN" w:bidi="zh-CN"/>
      </w:rPr>
    </w:lvl>
    <w:lvl w:ilvl="7">
      <w:start w:val="0"/>
      <w:numFmt w:val="bullet"/>
      <w:lvlText w:val="•"/>
      <w:lvlJc w:val="left"/>
      <w:pPr>
        <w:ind w:left="7986" w:hanging="950"/>
      </w:pPr>
      <w:rPr>
        <w:rFonts w:hint="default"/>
        <w:lang w:val="zh-CN" w:eastAsia="zh-CN" w:bidi="zh-CN"/>
      </w:rPr>
    </w:lvl>
    <w:lvl w:ilvl="8">
      <w:start w:val="0"/>
      <w:numFmt w:val="bullet"/>
      <w:lvlText w:val="•"/>
      <w:lvlJc w:val="left"/>
      <w:pPr>
        <w:ind w:left="8873" w:hanging="950"/>
      </w:pPr>
      <w:rPr>
        <w:rFonts w:hint="default"/>
        <w:lang w:val="zh-CN" w:eastAsia="zh-CN" w:bidi="zh-CN"/>
      </w:rPr>
    </w:lvl>
  </w:abstractNum>
  <w:abstractNum w:abstractNumId="198">
    <w:multiLevelType w:val="hybridMultilevel"/>
    <w:lvl w:ilvl="0">
      <w:start w:val="5"/>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3"/>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4313" w:hanging="950"/>
      </w:pPr>
      <w:rPr>
        <w:rFonts w:hint="default"/>
        <w:lang w:val="zh-CN" w:eastAsia="zh-CN" w:bidi="zh-CN"/>
      </w:rPr>
    </w:lvl>
    <w:lvl w:ilvl="6">
      <w:start w:val="0"/>
      <w:numFmt w:val="bullet"/>
      <w:lvlText w:val="•"/>
      <w:lvlJc w:val="left"/>
      <w:pPr>
        <w:ind w:left="5579" w:hanging="950"/>
      </w:pPr>
      <w:rPr>
        <w:rFonts w:hint="default"/>
        <w:lang w:val="zh-CN" w:eastAsia="zh-CN" w:bidi="zh-CN"/>
      </w:rPr>
    </w:lvl>
    <w:lvl w:ilvl="7">
      <w:start w:val="0"/>
      <w:numFmt w:val="bullet"/>
      <w:lvlText w:val="•"/>
      <w:lvlJc w:val="left"/>
      <w:pPr>
        <w:ind w:left="6846" w:hanging="950"/>
      </w:pPr>
      <w:rPr>
        <w:rFonts w:hint="default"/>
        <w:lang w:val="zh-CN" w:eastAsia="zh-CN" w:bidi="zh-CN"/>
      </w:rPr>
    </w:lvl>
    <w:lvl w:ilvl="8">
      <w:start w:val="0"/>
      <w:numFmt w:val="bullet"/>
      <w:lvlText w:val="•"/>
      <w:lvlJc w:val="left"/>
      <w:pPr>
        <w:ind w:left="8113" w:hanging="950"/>
      </w:pPr>
      <w:rPr>
        <w:rFonts w:hint="default"/>
        <w:lang w:val="zh-CN" w:eastAsia="zh-CN" w:bidi="zh-CN"/>
      </w:rPr>
    </w:lvl>
  </w:abstractNum>
  <w:abstractNum w:abstractNumId="197">
    <w:multiLevelType w:val="hybridMultilevel"/>
    <w:lvl w:ilvl="0">
      <w:start w:val="5"/>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3091" w:hanging="950"/>
      </w:pPr>
      <w:rPr>
        <w:rFonts w:hint="default"/>
        <w:lang w:val="zh-CN" w:eastAsia="zh-CN" w:bidi="zh-CN"/>
      </w:rPr>
    </w:lvl>
    <w:lvl w:ilvl="6">
      <w:start w:val="0"/>
      <w:numFmt w:val="bullet"/>
      <w:lvlText w:val="•"/>
      <w:lvlJc w:val="left"/>
      <w:pPr>
        <w:ind w:left="4602" w:hanging="950"/>
      </w:pPr>
      <w:rPr>
        <w:rFonts w:hint="default"/>
        <w:lang w:val="zh-CN" w:eastAsia="zh-CN" w:bidi="zh-CN"/>
      </w:rPr>
    </w:lvl>
    <w:lvl w:ilvl="7">
      <w:start w:val="0"/>
      <w:numFmt w:val="bullet"/>
      <w:lvlText w:val="•"/>
      <w:lvlJc w:val="left"/>
      <w:pPr>
        <w:ind w:left="6113" w:hanging="950"/>
      </w:pPr>
      <w:rPr>
        <w:rFonts w:hint="default"/>
        <w:lang w:val="zh-CN" w:eastAsia="zh-CN" w:bidi="zh-CN"/>
      </w:rPr>
    </w:lvl>
    <w:lvl w:ilvl="8">
      <w:start w:val="0"/>
      <w:numFmt w:val="bullet"/>
      <w:lvlText w:val="•"/>
      <w:lvlJc w:val="left"/>
      <w:pPr>
        <w:ind w:left="7624" w:hanging="950"/>
      </w:pPr>
      <w:rPr>
        <w:rFonts w:hint="default"/>
        <w:lang w:val="zh-CN" w:eastAsia="zh-CN" w:bidi="zh-CN"/>
      </w:rPr>
    </w:lvl>
  </w:abstractNum>
  <w:abstractNum w:abstractNumId="196">
    <w:multiLevelType w:val="hybridMultilevel"/>
    <w:lvl w:ilvl="0">
      <w:start w:val="5"/>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455" w:hanging="738"/>
      </w:pPr>
      <w:rPr>
        <w:rFonts w:hint="default"/>
        <w:lang w:val="zh-CN" w:eastAsia="zh-CN" w:bidi="zh-CN"/>
      </w:rPr>
    </w:lvl>
    <w:lvl w:ilvl="5">
      <w:start w:val="0"/>
      <w:numFmt w:val="bullet"/>
      <w:lvlText w:val="•"/>
      <w:lvlJc w:val="left"/>
      <w:pPr>
        <w:ind w:left="5487" w:hanging="738"/>
      </w:pPr>
      <w:rPr>
        <w:rFonts w:hint="default"/>
        <w:lang w:val="zh-CN" w:eastAsia="zh-CN" w:bidi="zh-CN"/>
      </w:rPr>
    </w:lvl>
    <w:lvl w:ilvl="6">
      <w:start w:val="0"/>
      <w:numFmt w:val="bullet"/>
      <w:lvlText w:val="•"/>
      <w:lvlJc w:val="left"/>
      <w:pPr>
        <w:ind w:left="6519" w:hanging="738"/>
      </w:pPr>
      <w:rPr>
        <w:rFonts w:hint="default"/>
        <w:lang w:val="zh-CN" w:eastAsia="zh-CN" w:bidi="zh-CN"/>
      </w:rPr>
    </w:lvl>
    <w:lvl w:ilvl="7">
      <w:start w:val="0"/>
      <w:numFmt w:val="bullet"/>
      <w:lvlText w:val="•"/>
      <w:lvlJc w:val="left"/>
      <w:pPr>
        <w:ind w:left="7550" w:hanging="738"/>
      </w:pPr>
      <w:rPr>
        <w:rFonts w:hint="default"/>
        <w:lang w:val="zh-CN" w:eastAsia="zh-CN" w:bidi="zh-CN"/>
      </w:rPr>
    </w:lvl>
    <w:lvl w:ilvl="8">
      <w:start w:val="0"/>
      <w:numFmt w:val="bullet"/>
      <w:lvlText w:val="•"/>
      <w:lvlJc w:val="left"/>
      <w:pPr>
        <w:ind w:left="8582" w:hanging="738"/>
      </w:pPr>
      <w:rPr>
        <w:rFonts w:hint="default"/>
        <w:lang w:val="zh-CN" w:eastAsia="zh-CN" w:bidi="zh-CN"/>
      </w:rPr>
    </w:lvl>
  </w:abstractNum>
  <w:abstractNum w:abstractNumId="195">
    <w:multiLevelType w:val="hybridMultilevel"/>
    <w:lvl w:ilvl="0">
      <w:start w:val="4"/>
      <w:numFmt w:val="decimal"/>
      <w:lvlText w:val="%1"/>
      <w:lvlJc w:val="left"/>
      <w:pPr>
        <w:ind w:left="418" w:hanging="529"/>
        <w:jc w:val="left"/>
      </w:pPr>
      <w:rPr>
        <w:rFonts w:hint="default"/>
        <w:lang w:val="zh-CN" w:eastAsia="zh-CN" w:bidi="zh-CN"/>
      </w:rPr>
    </w:lvl>
    <w:lvl w:ilvl="1">
      <w:start w:val="8"/>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194">
    <w:multiLevelType w:val="hybridMultilevel"/>
    <w:lvl w:ilvl="0">
      <w:start w:val="4"/>
      <w:numFmt w:val="decimal"/>
      <w:lvlText w:val="%1"/>
      <w:lvlJc w:val="left"/>
      <w:pPr>
        <w:ind w:left="1158" w:hanging="318"/>
        <w:jc w:val="left"/>
      </w:pPr>
      <w:rPr>
        <w:rFonts w:hint="default"/>
        <w:lang w:val="zh-CN" w:eastAsia="zh-CN" w:bidi="zh-CN"/>
      </w:rPr>
    </w:lvl>
    <w:lvl w:ilvl="1">
      <w:start w:val="6"/>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193">
    <w:multiLevelType w:val="hybridMultilevel"/>
    <w:lvl w:ilvl="0">
      <w:start w:val="4"/>
      <w:numFmt w:val="decimal"/>
      <w:lvlText w:val="%1"/>
      <w:lvlJc w:val="left"/>
      <w:pPr>
        <w:ind w:left="1575" w:hanging="738"/>
        <w:jc w:val="left"/>
      </w:pPr>
      <w:rPr>
        <w:rFonts w:hint="default"/>
        <w:lang w:val="zh-CN" w:eastAsia="zh-CN" w:bidi="zh-CN"/>
      </w:rPr>
    </w:lvl>
    <w:lvl w:ilvl="1">
      <w:start w:val="4"/>
      <w:numFmt w:val="decimal"/>
      <w:lvlText w:val="%1.%2"/>
      <w:lvlJc w:val="left"/>
      <w:pPr>
        <w:ind w:left="1575" w:hanging="738"/>
        <w:jc w:val="left"/>
      </w:pPr>
      <w:rPr>
        <w:rFonts w:hint="default"/>
        <w:lang w:val="zh-CN" w:eastAsia="zh-CN" w:bidi="zh-CN"/>
      </w:rPr>
    </w:lvl>
    <w:lvl w:ilvl="2">
      <w:start w:val="4"/>
      <w:numFmt w:val="decimal"/>
      <w:lvlText w:val="%1.%2.%3"/>
      <w:lvlJc w:val="left"/>
      <w:pPr>
        <w:ind w:left="1575" w:hanging="738"/>
        <w:jc w:val="left"/>
      </w:pPr>
      <w:rPr>
        <w:rFonts w:hint="default"/>
        <w:lang w:val="zh-CN" w:eastAsia="zh-CN" w:bidi="zh-CN"/>
      </w:rPr>
    </w:lvl>
    <w:lvl w:ilvl="3">
      <w:start w:val="3"/>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192">
    <w:multiLevelType w:val="hybridMultilevel"/>
    <w:lvl w:ilvl="0">
      <w:start w:val="4"/>
      <w:numFmt w:val="decimal"/>
      <w:lvlText w:val="%1"/>
      <w:lvlJc w:val="left"/>
      <w:pPr>
        <w:ind w:left="1367" w:hanging="529"/>
        <w:jc w:val="left"/>
      </w:pPr>
      <w:rPr>
        <w:rFonts w:hint="default"/>
        <w:lang w:val="zh-CN" w:eastAsia="zh-CN" w:bidi="zh-CN"/>
      </w:rPr>
    </w:lvl>
    <w:lvl w:ilvl="1">
      <w:start w:val="4"/>
      <w:numFmt w:val="decimal"/>
      <w:lvlText w:val="%1.%2"/>
      <w:lvlJc w:val="left"/>
      <w:pPr>
        <w:ind w:left="1367" w:hanging="529"/>
        <w:jc w:val="left"/>
      </w:pPr>
      <w:rPr>
        <w:rFonts w:hint="default"/>
        <w:lang w:val="zh-CN" w:eastAsia="zh-CN" w:bidi="zh-CN"/>
      </w:rPr>
    </w:lvl>
    <w:lvl w:ilvl="2">
      <w:start w:val="4"/>
      <w:numFmt w:val="decimal"/>
      <w:lvlText w:val="%1.%2.%3"/>
      <w:lvlJc w:val="left"/>
      <w:pPr>
        <w:ind w:left="1367" w:hanging="529"/>
        <w:jc w:val="left"/>
      </w:pPr>
      <w:rPr>
        <w:rFonts w:hint="default"/>
        <w:w w:val="100"/>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02" w:hanging="738"/>
      </w:pPr>
      <w:rPr>
        <w:rFonts w:hint="default"/>
        <w:lang w:val="zh-CN" w:eastAsia="zh-CN" w:bidi="zh-CN"/>
      </w:rPr>
    </w:lvl>
    <w:lvl w:ilvl="5">
      <w:start w:val="0"/>
      <w:numFmt w:val="bullet"/>
      <w:lvlText w:val="•"/>
      <w:lvlJc w:val="left"/>
      <w:pPr>
        <w:ind w:left="5609" w:hanging="738"/>
      </w:pPr>
      <w:rPr>
        <w:rFonts w:hint="default"/>
        <w:lang w:val="zh-CN" w:eastAsia="zh-CN" w:bidi="zh-CN"/>
      </w:rPr>
    </w:lvl>
    <w:lvl w:ilvl="6">
      <w:start w:val="0"/>
      <w:numFmt w:val="bullet"/>
      <w:lvlText w:val="•"/>
      <w:lvlJc w:val="left"/>
      <w:pPr>
        <w:ind w:left="6616" w:hanging="738"/>
      </w:pPr>
      <w:rPr>
        <w:rFonts w:hint="default"/>
        <w:lang w:val="zh-CN" w:eastAsia="zh-CN" w:bidi="zh-CN"/>
      </w:rPr>
    </w:lvl>
    <w:lvl w:ilvl="7">
      <w:start w:val="0"/>
      <w:numFmt w:val="bullet"/>
      <w:lvlText w:val="•"/>
      <w:lvlJc w:val="left"/>
      <w:pPr>
        <w:ind w:left="7624" w:hanging="738"/>
      </w:pPr>
      <w:rPr>
        <w:rFonts w:hint="default"/>
        <w:lang w:val="zh-CN" w:eastAsia="zh-CN" w:bidi="zh-CN"/>
      </w:rPr>
    </w:lvl>
    <w:lvl w:ilvl="8">
      <w:start w:val="0"/>
      <w:numFmt w:val="bullet"/>
      <w:lvlText w:val="•"/>
      <w:lvlJc w:val="left"/>
      <w:pPr>
        <w:ind w:left="8631" w:hanging="738"/>
      </w:pPr>
      <w:rPr>
        <w:rFonts w:hint="default"/>
        <w:lang w:val="zh-CN" w:eastAsia="zh-CN" w:bidi="zh-CN"/>
      </w:rPr>
    </w:lvl>
  </w:abstractNum>
  <w:abstractNum w:abstractNumId="191">
    <w:multiLevelType w:val="hybridMultilevel"/>
    <w:lvl w:ilvl="0">
      <w:start w:val="4"/>
      <w:numFmt w:val="decimal"/>
      <w:lvlText w:val="%1"/>
      <w:lvlJc w:val="left"/>
      <w:pPr>
        <w:ind w:left="1367" w:hanging="529"/>
        <w:jc w:val="left"/>
      </w:pPr>
      <w:rPr>
        <w:rFonts w:hint="default"/>
        <w:lang w:val="zh-CN" w:eastAsia="zh-CN" w:bidi="zh-CN"/>
      </w:rPr>
    </w:lvl>
    <w:lvl w:ilvl="1">
      <w:start w:val="4"/>
      <w:numFmt w:val="decimal"/>
      <w:lvlText w:val="%1.%2"/>
      <w:lvlJc w:val="left"/>
      <w:pPr>
        <w:ind w:left="1367" w:hanging="529"/>
        <w:jc w:val="left"/>
      </w:pPr>
      <w:rPr>
        <w:rFonts w:hint="default"/>
        <w:lang w:val="zh-CN" w:eastAsia="zh-CN" w:bidi="zh-CN"/>
      </w:rPr>
    </w:lvl>
    <w:lvl w:ilvl="2">
      <w:start w:val="3"/>
      <w:numFmt w:val="decimal"/>
      <w:lvlText w:val="%1.%2.%3"/>
      <w:lvlJc w:val="left"/>
      <w:pPr>
        <w:ind w:left="1367" w:hanging="529"/>
        <w:jc w:val="left"/>
      </w:pPr>
      <w:rPr>
        <w:rFonts w:hint="default"/>
        <w:w w:val="100"/>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02" w:hanging="738"/>
      </w:pPr>
      <w:rPr>
        <w:rFonts w:hint="default"/>
        <w:lang w:val="zh-CN" w:eastAsia="zh-CN" w:bidi="zh-CN"/>
      </w:rPr>
    </w:lvl>
    <w:lvl w:ilvl="5">
      <w:start w:val="0"/>
      <w:numFmt w:val="bullet"/>
      <w:lvlText w:val="•"/>
      <w:lvlJc w:val="left"/>
      <w:pPr>
        <w:ind w:left="5609" w:hanging="738"/>
      </w:pPr>
      <w:rPr>
        <w:rFonts w:hint="default"/>
        <w:lang w:val="zh-CN" w:eastAsia="zh-CN" w:bidi="zh-CN"/>
      </w:rPr>
    </w:lvl>
    <w:lvl w:ilvl="6">
      <w:start w:val="0"/>
      <w:numFmt w:val="bullet"/>
      <w:lvlText w:val="•"/>
      <w:lvlJc w:val="left"/>
      <w:pPr>
        <w:ind w:left="6616" w:hanging="738"/>
      </w:pPr>
      <w:rPr>
        <w:rFonts w:hint="default"/>
        <w:lang w:val="zh-CN" w:eastAsia="zh-CN" w:bidi="zh-CN"/>
      </w:rPr>
    </w:lvl>
    <w:lvl w:ilvl="7">
      <w:start w:val="0"/>
      <w:numFmt w:val="bullet"/>
      <w:lvlText w:val="•"/>
      <w:lvlJc w:val="left"/>
      <w:pPr>
        <w:ind w:left="7624" w:hanging="738"/>
      </w:pPr>
      <w:rPr>
        <w:rFonts w:hint="default"/>
        <w:lang w:val="zh-CN" w:eastAsia="zh-CN" w:bidi="zh-CN"/>
      </w:rPr>
    </w:lvl>
    <w:lvl w:ilvl="8">
      <w:start w:val="0"/>
      <w:numFmt w:val="bullet"/>
      <w:lvlText w:val="•"/>
      <w:lvlJc w:val="left"/>
      <w:pPr>
        <w:ind w:left="8631" w:hanging="738"/>
      </w:pPr>
      <w:rPr>
        <w:rFonts w:hint="default"/>
        <w:lang w:val="zh-CN" w:eastAsia="zh-CN" w:bidi="zh-CN"/>
      </w:rPr>
    </w:lvl>
  </w:abstractNum>
  <w:abstractNum w:abstractNumId="190">
    <w:multiLevelType w:val="hybridMultilevel"/>
    <w:lvl w:ilvl="0">
      <w:start w:val="4"/>
      <w:numFmt w:val="decimal"/>
      <w:lvlText w:val="%1"/>
      <w:lvlJc w:val="left"/>
      <w:pPr>
        <w:ind w:left="418" w:hanging="529"/>
        <w:jc w:val="left"/>
      </w:pPr>
      <w:rPr>
        <w:rFonts w:hint="default"/>
        <w:lang w:val="zh-CN" w:eastAsia="zh-CN" w:bidi="zh-CN"/>
      </w:rPr>
    </w:lvl>
    <w:lvl w:ilvl="1">
      <w:start w:val="4"/>
      <w:numFmt w:val="decimal"/>
      <w:lvlText w:val="%1.%2"/>
      <w:lvlJc w:val="left"/>
      <w:pPr>
        <w:ind w:left="418" w:hanging="529"/>
        <w:jc w:val="left"/>
      </w:pPr>
      <w:rPr>
        <w:rFonts w:hint="default"/>
        <w:lang w:val="zh-CN" w:eastAsia="zh-CN" w:bidi="zh-CN"/>
      </w:rPr>
    </w:lvl>
    <w:lvl w:ilvl="2">
      <w:start w:val="2"/>
      <w:numFmt w:val="decimal"/>
      <w:lvlText w:val="%1.%2.%3"/>
      <w:lvlJc w:val="left"/>
      <w:pPr>
        <w:ind w:left="418" w:hanging="529"/>
        <w:jc w:val="left"/>
      </w:pPr>
      <w:rPr>
        <w:rFonts w:hint="default"/>
        <w:w w:val="100"/>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609" w:hanging="950"/>
      </w:pPr>
      <w:rPr>
        <w:rFonts w:hint="default"/>
        <w:lang w:val="zh-CN" w:eastAsia="zh-CN" w:bidi="zh-CN"/>
      </w:rPr>
    </w:lvl>
    <w:lvl w:ilvl="6">
      <w:start w:val="0"/>
      <w:numFmt w:val="bullet"/>
      <w:lvlText w:val="•"/>
      <w:lvlJc w:val="left"/>
      <w:pPr>
        <w:ind w:left="6616" w:hanging="950"/>
      </w:pPr>
      <w:rPr>
        <w:rFonts w:hint="default"/>
        <w:lang w:val="zh-CN" w:eastAsia="zh-CN" w:bidi="zh-CN"/>
      </w:rPr>
    </w:lvl>
    <w:lvl w:ilvl="7">
      <w:start w:val="0"/>
      <w:numFmt w:val="bullet"/>
      <w:lvlText w:val="•"/>
      <w:lvlJc w:val="left"/>
      <w:pPr>
        <w:ind w:left="7624" w:hanging="950"/>
      </w:pPr>
      <w:rPr>
        <w:rFonts w:hint="default"/>
        <w:lang w:val="zh-CN" w:eastAsia="zh-CN" w:bidi="zh-CN"/>
      </w:rPr>
    </w:lvl>
    <w:lvl w:ilvl="8">
      <w:start w:val="0"/>
      <w:numFmt w:val="bullet"/>
      <w:lvlText w:val="•"/>
      <w:lvlJc w:val="left"/>
      <w:pPr>
        <w:ind w:left="8631" w:hanging="950"/>
      </w:pPr>
      <w:rPr>
        <w:rFonts w:hint="default"/>
        <w:lang w:val="zh-CN" w:eastAsia="zh-CN" w:bidi="zh-CN"/>
      </w:rPr>
    </w:lvl>
  </w:abstractNum>
  <w:abstractNum w:abstractNumId="189">
    <w:multiLevelType w:val="hybridMultilevel"/>
    <w:lvl w:ilvl="0">
      <w:start w:val="4"/>
      <w:numFmt w:val="decimal"/>
      <w:lvlText w:val="%1"/>
      <w:lvlJc w:val="left"/>
      <w:pPr>
        <w:ind w:left="1787" w:hanging="950"/>
        <w:jc w:val="left"/>
      </w:pPr>
      <w:rPr>
        <w:rFonts w:hint="default"/>
        <w:lang w:val="zh-CN" w:eastAsia="zh-CN" w:bidi="zh-CN"/>
      </w:rPr>
    </w:lvl>
    <w:lvl w:ilvl="1">
      <w:start w:val="4"/>
      <w:numFmt w:val="decimal"/>
      <w:lvlText w:val="%1.%2"/>
      <w:lvlJc w:val="left"/>
      <w:pPr>
        <w:ind w:left="1787" w:hanging="950"/>
        <w:jc w:val="left"/>
      </w:pPr>
      <w:rPr>
        <w:rFonts w:hint="default"/>
        <w:lang w:val="zh-CN" w:eastAsia="zh-CN" w:bidi="zh-CN"/>
      </w:rPr>
    </w:lvl>
    <w:lvl w:ilvl="2">
      <w:start w:val="2"/>
      <w:numFmt w:val="decimal"/>
      <w:lvlText w:val="%1.%2.%3"/>
      <w:lvlJc w:val="left"/>
      <w:pPr>
        <w:ind w:left="1787" w:hanging="950"/>
        <w:jc w:val="left"/>
      </w:pPr>
      <w:rPr>
        <w:rFonts w:hint="default"/>
        <w:lang w:val="zh-CN" w:eastAsia="zh-CN" w:bidi="zh-CN"/>
      </w:rPr>
    </w:lvl>
    <w:lvl w:ilvl="3">
      <w:start w:val="3"/>
      <w:numFmt w:val="decimal"/>
      <w:lvlText w:val="%1.%2.%3.%4"/>
      <w:lvlJc w:val="left"/>
      <w:pPr>
        <w:ind w:left="1787" w:hanging="950"/>
        <w:jc w:val="left"/>
      </w:pPr>
      <w:rPr>
        <w:rFonts w:hint="default"/>
        <w:lang w:val="zh-CN" w:eastAsia="zh-CN" w:bidi="zh-CN"/>
      </w:rPr>
    </w:lvl>
    <w:lvl w:ilvl="4">
      <w:start w:val="4"/>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6213" w:hanging="950"/>
      </w:pPr>
      <w:rPr>
        <w:rFonts w:hint="default"/>
        <w:lang w:val="zh-CN" w:eastAsia="zh-CN" w:bidi="zh-CN"/>
      </w:rPr>
    </w:lvl>
    <w:lvl w:ilvl="6">
      <w:start w:val="0"/>
      <w:numFmt w:val="bullet"/>
      <w:lvlText w:val="•"/>
      <w:lvlJc w:val="left"/>
      <w:pPr>
        <w:ind w:left="7099" w:hanging="950"/>
      </w:pPr>
      <w:rPr>
        <w:rFonts w:hint="default"/>
        <w:lang w:val="zh-CN" w:eastAsia="zh-CN" w:bidi="zh-CN"/>
      </w:rPr>
    </w:lvl>
    <w:lvl w:ilvl="7">
      <w:start w:val="0"/>
      <w:numFmt w:val="bullet"/>
      <w:lvlText w:val="•"/>
      <w:lvlJc w:val="left"/>
      <w:pPr>
        <w:ind w:left="7986" w:hanging="950"/>
      </w:pPr>
      <w:rPr>
        <w:rFonts w:hint="default"/>
        <w:lang w:val="zh-CN" w:eastAsia="zh-CN" w:bidi="zh-CN"/>
      </w:rPr>
    </w:lvl>
    <w:lvl w:ilvl="8">
      <w:start w:val="0"/>
      <w:numFmt w:val="bullet"/>
      <w:lvlText w:val="•"/>
      <w:lvlJc w:val="left"/>
      <w:pPr>
        <w:ind w:left="8873" w:hanging="950"/>
      </w:pPr>
      <w:rPr>
        <w:rFonts w:hint="default"/>
        <w:lang w:val="zh-CN" w:eastAsia="zh-CN" w:bidi="zh-CN"/>
      </w:rPr>
    </w:lvl>
  </w:abstractNum>
  <w:abstractNum w:abstractNumId="188">
    <w:multiLevelType w:val="hybridMultilevel"/>
    <w:lvl w:ilvl="0">
      <w:start w:val="4"/>
      <w:numFmt w:val="decimal"/>
      <w:lvlText w:val="%1"/>
      <w:lvlJc w:val="left"/>
      <w:pPr>
        <w:ind w:left="1575" w:hanging="738"/>
        <w:jc w:val="left"/>
      </w:pPr>
      <w:rPr>
        <w:rFonts w:hint="default"/>
        <w:lang w:val="zh-CN" w:eastAsia="zh-CN" w:bidi="zh-CN"/>
      </w:rPr>
    </w:lvl>
    <w:lvl w:ilvl="1">
      <w:start w:val="4"/>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2"/>
      <w:numFmt w:val="decimal"/>
      <w:lvlText w:val="%1.%2.%3.%4"/>
      <w:lvlJc w:val="left"/>
      <w:pPr>
        <w:ind w:left="1575" w:hanging="738"/>
        <w:jc w:val="left"/>
      </w:pPr>
      <w:rPr>
        <w:rFonts w:hint="default" w:ascii="宋体" w:hAnsi="宋体" w:eastAsia="宋体" w:cs="宋体"/>
        <w:spacing w:val="-55"/>
        <w:w w:val="100"/>
        <w:sz w:val="19"/>
        <w:szCs w:val="19"/>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609" w:hanging="950"/>
      </w:pPr>
      <w:rPr>
        <w:rFonts w:hint="default"/>
        <w:lang w:val="zh-CN" w:eastAsia="zh-CN" w:bidi="zh-CN"/>
      </w:rPr>
    </w:lvl>
    <w:lvl w:ilvl="6">
      <w:start w:val="0"/>
      <w:numFmt w:val="bullet"/>
      <w:lvlText w:val="•"/>
      <w:lvlJc w:val="left"/>
      <w:pPr>
        <w:ind w:left="6616" w:hanging="950"/>
      </w:pPr>
      <w:rPr>
        <w:rFonts w:hint="default"/>
        <w:lang w:val="zh-CN" w:eastAsia="zh-CN" w:bidi="zh-CN"/>
      </w:rPr>
    </w:lvl>
    <w:lvl w:ilvl="7">
      <w:start w:val="0"/>
      <w:numFmt w:val="bullet"/>
      <w:lvlText w:val="•"/>
      <w:lvlJc w:val="left"/>
      <w:pPr>
        <w:ind w:left="7624" w:hanging="950"/>
      </w:pPr>
      <w:rPr>
        <w:rFonts w:hint="default"/>
        <w:lang w:val="zh-CN" w:eastAsia="zh-CN" w:bidi="zh-CN"/>
      </w:rPr>
    </w:lvl>
    <w:lvl w:ilvl="8">
      <w:start w:val="0"/>
      <w:numFmt w:val="bullet"/>
      <w:lvlText w:val="•"/>
      <w:lvlJc w:val="left"/>
      <w:pPr>
        <w:ind w:left="8631" w:hanging="950"/>
      </w:pPr>
      <w:rPr>
        <w:rFonts w:hint="default"/>
        <w:lang w:val="zh-CN" w:eastAsia="zh-CN" w:bidi="zh-CN"/>
      </w:rPr>
    </w:lvl>
  </w:abstractNum>
  <w:abstractNum w:abstractNumId="187">
    <w:multiLevelType w:val="hybridMultilevel"/>
    <w:lvl w:ilvl="0">
      <w:start w:val="4"/>
      <w:numFmt w:val="decimal"/>
      <w:lvlText w:val="%1"/>
      <w:lvlJc w:val="left"/>
      <w:pPr>
        <w:ind w:left="1575" w:hanging="738"/>
        <w:jc w:val="left"/>
      </w:pPr>
      <w:rPr>
        <w:rFonts w:hint="default"/>
        <w:lang w:val="zh-CN" w:eastAsia="zh-CN" w:bidi="zh-CN"/>
      </w:rPr>
    </w:lvl>
    <w:lvl w:ilvl="1">
      <w:start w:val="4"/>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5104" w:hanging="950"/>
      </w:pPr>
      <w:rPr>
        <w:rFonts w:hint="default"/>
        <w:lang w:val="zh-CN" w:eastAsia="zh-CN" w:bidi="zh-CN"/>
      </w:rPr>
    </w:lvl>
    <w:lvl w:ilvl="6">
      <w:start w:val="0"/>
      <w:numFmt w:val="bullet"/>
      <w:lvlText w:val="•"/>
      <w:lvlJc w:val="left"/>
      <w:pPr>
        <w:ind w:left="6213" w:hanging="950"/>
      </w:pPr>
      <w:rPr>
        <w:rFonts w:hint="default"/>
        <w:lang w:val="zh-CN" w:eastAsia="zh-CN" w:bidi="zh-CN"/>
      </w:rPr>
    </w:lvl>
    <w:lvl w:ilvl="7">
      <w:start w:val="0"/>
      <w:numFmt w:val="bullet"/>
      <w:lvlText w:val="•"/>
      <w:lvlJc w:val="left"/>
      <w:pPr>
        <w:ind w:left="7321" w:hanging="950"/>
      </w:pPr>
      <w:rPr>
        <w:rFonts w:hint="default"/>
        <w:lang w:val="zh-CN" w:eastAsia="zh-CN" w:bidi="zh-CN"/>
      </w:rPr>
    </w:lvl>
    <w:lvl w:ilvl="8">
      <w:start w:val="0"/>
      <w:numFmt w:val="bullet"/>
      <w:lvlText w:val="•"/>
      <w:lvlJc w:val="left"/>
      <w:pPr>
        <w:ind w:left="8429" w:hanging="950"/>
      </w:pPr>
      <w:rPr>
        <w:rFonts w:hint="default"/>
        <w:lang w:val="zh-CN" w:eastAsia="zh-CN" w:bidi="zh-CN"/>
      </w:rPr>
    </w:lvl>
  </w:abstractNum>
  <w:abstractNum w:abstractNumId="186">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185">
    <w:multiLevelType w:val="hybridMultilevel"/>
    <w:lvl w:ilvl="0">
      <w:start w:val="3"/>
      <w:numFmt w:val="decimal"/>
      <w:lvlText w:val="%1"/>
      <w:lvlJc w:val="left"/>
      <w:pPr>
        <w:ind w:left="1212" w:hanging="372"/>
        <w:jc w:val="left"/>
      </w:pPr>
      <w:rPr>
        <w:rFonts w:hint="default"/>
        <w:lang w:val="zh-CN" w:eastAsia="zh-CN" w:bidi="zh-CN"/>
      </w:rPr>
    </w:lvl>
    <w:lvl w:ilvl="1">
      <w:start w:val="1"/>
      <w:numFmt w:val="decimal"/>
      <w:lvlText w:val="%1.%2"/>
      <w:lvlJc w:val="left"/>
      <w:pPr>
        <w:ind w:left="1212"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3105" w:hanging="372"/>
      </w:pPr>
      <w:rPr>
        <w:rFonts w:hint="default"/>
        <w:lang w:val="zh-CN" w:eastAsia="zh-CN" w:bidi="zh-CN"/>
      </w:rPr>
    </w:lvl>
    <w:lvl w:ilvl="3">
      <w:start w:val="0"/>
      <w:numFmt w:val="bullet"/>
      <w:lvlText w:val="•"/>
      <w:lvlJc w:val="left"/>
      <w:pPr>
        <w:ind w:left="4047" w:hanging="372"/>
      </w:pPr>
      <w:rPr>
        <w:rFonts w:hint="default"/>
        <w:lang w:val="zh-CN" w:eastAsia="zh-CN" w:bidi="zh-CN"/>
      </w:rPr>
    </w:lvl>
    <w:lvl w:ilvl="4">
      <w:start w:val="0"/>
      <w:numFmt w:val="bullet"/>
      <w:lvlText w:val="•"/>
      <w:lvlJc w:val="left"/>
      <w:pPr>
        <w:ind w:left="4990" w:hanging="372"/>
      </w:pPr>
      <w:rPr>
        <w:rFonts w:hint="default"/>
        <w:lang w:val="zh-CN" w:eastAsia="zh-CN" w:bidi="zh-CN"/>
      </w:rPr>
    </w:lvl>
    <w:lvl w:ilvl="5">
      <w:start w:val="0"/>
      <w:numFmt w:val="bullet"/>
      <w:lvlText w:val="•"/>
      <w:lvlJc w:val="left"/>
      <w:pPr>
        <w:ind w:left="5933" w:hanging="372"/>
      </w:pPr>
      <w:rPr>
        <w:rFonts w:hint="default"/>
        <w:lang w:val="zh-CN" w:eastAsia="zh-CN" w:bidi="zh-CN"/>
      </w:rPr>
    </w:lvl>
    <w:lvl w:ilvl="6">
      <w:start w:val="0"/>
      <w:numFmt w:val="bullet"/>
      <w:lvlText w:val="•"/>
      <w:lvlJc w:val="left"/>
      <w:pPr>
        <w:ind w:left="6875" w:hanging="372"/>
      </w:pPr>
      <w:rPr>
        <w:rFonts w:hint="default"/>
        <w:lang w:val="zh-CN" w:eastAsia="zh-CN" w:bidi="zh-CN"/>
      </w:rPr>
    </w:lvl>
    <w:lvl w:ilvl="7">
      <w:start w:val="0"/>
      <w:numFmt w:val="bullet"/>
      <w:lvlText w:val="•"/>
      <w:lvlJc w:val="left"/>
      <w:pPr>
        <w:ind w:left="7818" w:hanging="372"/>
      </w:pPr>
      <w:rPr>
        <w:rFonts w:hint="default"/>
        <w:lang w:val="zh-CN" w:eastAsia="zh-CN" w:bidi="zh-CN"/>
      </w:rPr>
    </w:lvl>
    <w:lvl w:ilvl="8">
      <w:start w:val="0"/>
      <w:numFmt w:val="bullet"/>
      <w:lvlText w:val="•"/>
      <w:lvlJc w:val="left"/>
      <w:pPr>
        <w:ind w:left="8761" w:hanging="372"/>
      </w:pPr>
      <w:rPr>
        <w:rFonts w:hint="default"/>
        <w:lang w:val="zh-CN" w:eastAsia="zh-CN" w:bidi="zh-CN"/>
      </w:rPr>
    </w:lvl>
  </w:abstractNum>
  <w:abstractNum w:abstractNumId="184">
    <w:multiLevelType w:val="hybridMultilevel"/>
    <w:lvl w:ilvl="0">
      <w:start w:val="6"/>
      <w:numFmt w:val="decimal"/>
      <w:lvlText w:val="%1"/>
      <w:lvlJc w:val="left"/>
      <w:pPr>
        <w:ind w:left="418" w:hanging="637"/>
        <w:jc w:val="left"/>
      </w:pPr>
      <w:rPr>
        <w:rFonts w:hint="default"/>
        <w:lang w:val="zh-CN" w:eastAsia="zh-CN" w:bidi="zh-CN"/>
      </w:rPr>
    </w:lvl>
    <w:lvl w:ilvl="1">
      <w:start w:val="16"/>
      <w:numFmt w:val="decimal"/>
      <w:lvlText w:val="%1.%2"/>
      <w:lvlJc w:val="left"/>
      <w:pPr>
        <w:ind w:left="418" w:hanging="637"/>
        <w:jc w:val="left"/>
      </w:pPr>
      <w:rPr>
        <w:rFonts w:hint="default"/>
        <w:lang w:val="zh-CN" w:eastAsia="zh-CN" w:bidi="zh-CN"/>
      </w:rPr>
    </w:lvl>
    <w:lvl w:ilvl="2">
      <w:start w:val="1"/>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183">
    <w:multiLevelType w:val="hybridMultilevel"/>
    <w:lvl w:ilvl="0">
      <w:start w:val="6"/>
      <w:numFmt w:val="decimal"/>
      <w:lvlText w:val="%1"/>
      <w:lvlJc w:val="left"/>
      <w:pPr>
        <w:ind w:left="1263" w:hanging="424"/>
        <w:jc w:val="left"/>
      </w:pPr>
      <w:rPr>
        <w:rFonts w:hint="default"/>
        <w:lang w:val="zh-CN" w:eastAsia="zh-CN" w:bidi="zh-CN"/>
      </w:rPr>
    </w:lvl>
    <w:lvl w:ilvl="1">
      <w:start w:val="13"/>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3137" w:hanging="424"/>
      </w:pPr>
      <w:rPr>
        <w:rFonts w:hint="default"/>
        <w:lang w:val="zh-CN" w:eastAsia="zh-CN" w:bidi="zh-CN"/>
      </w:rPr>
    </w:lvl>
    <w:lvl w:ilvl="3">
      <w:start w:val="0"/>
      <w:numFmt w:val="bullet"/>
      <w:lvlText w:val="•"/>
      <w:lvlJc w:val="left"/>
      <w:pPr>
        <w:ind w:left="4075" w:hanging="424"/>
      </w:pPr>
      <w:rPr>
        <w:rFonts w:hint="default"/>
        <w:lang w:val="zh-CN" w:eastAsia="zh-CN" w:bidi="zh-CN"/>
      </w:rPr>
    </w:lvl>
    <w:lvl w:ilvl="4">
      <w:start w:val="0"/>
      <w:numFmt w:val="bullet"/>
      <w:lvlText w:val="•"/>
      <w:lvlJc w:val="left"/>
      <w:pPr>
        <w:ind w:left="5014" w:hanging="424"/>
      </w:pPr>
      <w:rPr>
        <w:rFonts w:hint="default"/>
        <w:lang w:val="zh-CN" w:eastAsia="zh-CN" w:bidi="zh-CN"/>
      </w:rPr>
    </w:lvl>
    <w:lvl w:ilvl="5">
      <w:start w:val="0"/>
      <w:numFmt w:val="bullet"/>
      <w:lvlText w:val="•"/>
      <w:lvlJc w:val="left"/>
      <w:pPr>
        <w:ind w:left="5953" w:hanging="424"/>
      </w:pPr>
      <w:rPr>
        <w:rFonts w:hint="default"/>
        <w:lang w:val="zh-CN" w:eastAsia="zh-CN" w:bidi="zh-CN"/>
      </w:rPr>
    </w:lvl>
    <w:lvl w:ilvl="6">
      <w:start w:val="0"/>
      <w:numFmt w:val="bullet"/>
      <w:lvlText w:val="•"/>
      <w:lvlJc w:val="left"/>
      <w:pPr>
        <w:ind w:left="6891" w:hanging="424"/>
      </w:pPr>
      <w:rPr>
        <w:rFonts w:hint="default"/>
        <w:lang w:val="zh-CN" w:eastAsia="zh-CN" w:bidi="zh-CN"/>
      </w:rPr>
    </w:lvl>
    <w:lvl w:ilvl="7">
      <w:start w:val="0"/>
      <w:numFmt w:val="bullet"/>
      <w:lvlText w:val="•"/>
      <w:lvlJc w:val="left"/>
      <w:pPr>
        <w:ind w:left="7830" w:hanging="424"/>
      </w:pPr>
      <w:rPr>
        <w:rFonts w:hint="default"/>
        <w:lang w:val="zh-CN" w:eastAsia="zh-CN" w:bidi="zh-CN"/>
      </w:rPr>
    </w:lvl>
    <w:lvl w:ilvl="8">
      <w:start w:val="0"/>
      <w:numFmt w:val="bullet"/>
      <w:lvlText w:val="•"/>
      <w:lvlJc w:val="left"/>
      <w:pPr>
        <w:ind w:left="8769" w:hanging="424"/>
      </w:pPr>
      <w:rPr>
        <w:rFonts w:hint="default"/>
        <w:lang w:val="zh-CN" w:eastAsia="zh-CN" w:bidi="zh-CN"/>
      </w:rPr>
    </w:lvl>
  </w:abstractNum>
  <w:abstractNum w:abstractNumId="182">
    <w:multiLevelType w:val="hybridMultilevel"/>
    <w:lvl w:ilvl="0">
      <w:start w:val="6"/>
      <w:numFmt w:val="decimal"/>
      <w:lvlText w:val="%1"/>
      <w:lvlJc w:val="left"/>
      <w:pPr>
        <w:ind w:left="418" w:hanging="637"/>
        <w:jc w:val="left"/>
      </w:pPr>
      <w:rPr>
        <w:rFonts w:hint="default"/>
        <w:lang w:val="zh-CN" w:eastAsia="zh-CN" w:bidi="zh-CN"/>
      </w:rPr>
    </w:lvl>
    <w:lvl w:ilvl="1">
      <w:start w:val="12"/>
      <w:numFmt w:val="decimal"/>
      <w:lvlText w:val="%1.%2"/>
      <w:lvlJc w:val="left"/>
      <w:pPr>
        <w:ind w:left="418" w:hanging="637"/>
        <w:jc w:val="left"/>
      </w:pPr>
      <w:rPr>
        <w:rFonts w:hint="default"/>
        <w:lang w:val="zh-CN" w:eastAsia="zh-CN" w:bidi="zh-CN"/>
      </w:rPr>
    </w:lvl>
    <w:lvl w:ilvl="2">
      <w:start w:val="1"/>
      <w:numFmt w:val="decimal"/>
      <w:lvlText w:val="%1.%2.%3"/>
      <w:lvlJc w:val="left"/>
      <w:pPr>
        <w:ind w:left="418" w:hanging="637"/>
        <w:jc w:val="left"/>
      </w:pPr>
      <w:rPr>
        <w:rFonts w:hint="default" w:ascii="宋体" w:hAnsi="宋体" w:eastAsia="宋体" w:cs="宋体"/>
        <w:b/>
        <w:bCs/>
        <w:spacing w:val="-53"/>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181">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80">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79">
    <w:multiLevelType w:val="hybridMultilevel"/>
    <w:lvl w:ilvl="0">
      <w:start w:val="6"/>
      <w:numFmt w:val="decimal"/>
      <w:lvlText w:val="%1"/>
      <w:lvlJc w:val="left"/>
      <w:pPr>
        <w:ind w:left="418" w:hanging="637"/>
        <w:jc w:val="left"/>
      </w:pPr>
      <w:rPr>
        <w:rFonts w:hint="default"/>
        <w:lang w:val="zh-CN" w:eastAsia="zh-CN" w:bidi="zh-CN"/>
      </w:rPr>
    </w:lvl>
    <w:lvl w:ilvl="1">
      <w:start w:val="11"/>
      <w:numFmt w:val="decimal"/>
      <w:lvlText w:val="%1.%2"/>
      <w:lvlJc w:val="left"/>
      <w:pPr>
        <w:ind w:left="418" w:hanging="637"/>
        <w:jc w:val="left"/>
      </w:pPr>
      <w:rPr>
        <w:rFonts w:hint="default"/>
        <w:lang w:val="zh-CN" w:eastAsia="zh-CN" w:bidi="zh-CN"/>
      </w:rPr>
    </w:lvl>
    <w:lvl w:ilvl="2">
      <w:start w:val="2"/>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178">
    <w:multiLevelType w:val="hybridMultilevel"/>
    <w:lvl w:ilvl="0">
      <w:start w:val="6"/>
      <w:numFmt w:val="decimal"/>
      <w:lvlText w:val="%1"/>
      <w:lvlJc w:val="left"/>
      <w:pPr>
        <w:ind w:left="1369" w:hanging="529"/>
        <w:jc w:val="left"/>
      </w:pPr>
      <w:rPr>
        <w:rFonts w:hint="default"/>
        <w:lang w:val="zh-CN" w:eastAsia="zh-CN" w:bidi="zh-CN"/>
      </w:rPr>
    </w:lvl>
    <w:lvl w:ilvl="1">
      <w:start w:val="9"/>
      <w:numFmt w:val="decimal"/>
      <w:lvlText w:val="%1.%2"/>
      <w:lvlJc w:val="left"/>
      <w:pPr>
        <w:ind w:left="1369" w:hanging="529"/>
        <w:jc w:val="left"/>
      </w:pPr>
      <w:rPr>
        <w:rFonts w:hint="default"/>
        <w:lang w:val="zh-CN" w:eastAsia="zh-CN" w:bidi="zh-CN"/>
      </w:rPr>
    </w:lvl>
    <w:lvl w:ilvl="2">
      <w:start w:val="5"/>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846" w:hanging="738"/>
      </w:pPr>
      <w:rPr>
        <w:rFonts w:hint="default"/>
        <w:lang w:val="zh-CN" w:eastAsia="zh-CN" w:bidi="zh-CN"/>
      </w:rPr>
    </w:lvl>
    <w:lvl w:ilvl="5">
      <w:start w:val="0"/>
      <w:numFmt w:val="bullet"/>
      <w:lvlText w:val="•"/>
      <w:lvlJc w:val="left"/>
      <w:pPr>
        <w:ind w:left="4979" w:hanging="738"/>
      </w:pPr>
      <w:rPr>
        <w:rFonts w:hint="default"/>
        <w:lang w:val="zh-CN" w:eastAsia="zh-CN" w:bidi="zh-CN"/>
      </w:rPr>
    </w:lvl>
    <w:lvl w:ilvl="6">
      <w:start w:val="0"/>
      <w:numFmt w:val="bullet"/>
      <w:lvlText w:val="•"/>
      <w:lvlJc w:val="left"/>
      <w:pPr>
        <w:ind w:left="6113" w:hanging="738"/>
      </w:pPr>
      <w:rPr>
        <w:rFonts w:hint="default"/>
        <w:lang w:val="zh-CN" w:eastAsia="zh-CN" w:bidi="zh-CN"/>
      </w:rPr>
    </w:lvl>
    <w:lvl w:ilvl="7">
      <w:start w:val="0"/>
      <w:numFmt w:val="bullet"/>
      <w:lvlText w:val="•"/>
      <w:lvlJc w:val="left"/>
      <w:pPr>
        <w:ind w:left="7246" w:hanging="738"/>
      </w:pPr>
      <w:rPr>
        <w:rFonts w:hint="default"/>
        <w:lang w:val="zh-CN" w:eastAsia="zh-CN" w:bidi="zh-CN"/>
      </w:rPr>
    </w:lvl>
    <w:lvl w:ilvl="8">
      <w:start w:val="0"/>
      <w:numFmt w:val="bullet"/>
      <w:lvlText w:val="•"/>
      <w:lvlJc w:val="left"/>
      <w:pPr>
        <w:ind w:left="8379" w:hanging="738"/>
      </w:pPr>
      <w:rPr>
        <w:rFonts w:hint="default"/>
        <w:lang w:val="zh-CN" w:eastAsia="zh-CN" w:bidi="zh-CN"/>
      </w:rPr>
    </w:lvl>
  </w:abstractNum>
  <w:abstractNum w:abstractNumId="177">
    <w:multiLevelType w:val="hybridMultilevel"/>
    <w:lvl w:ilvl="0">
      <w:start w:val="6"/>
      <w:numFmt w:val="decimal"/>
      <w:lvlText w:val="%1"/>
      <w:lvlJc w:val="left"/>
      <w:pPr>
        <w:ind w:left="418" w:hanging="637"/>
        <w:jc w:val="left"/>
      </w:pPr>
      <w:rPr>
        <w:rFonts w:hint="default"/>
        <w:lang w:val="zh-CN" w:eastAsia="zh-CN" w:bidi="zh-CN"/>
      </w:rPr>
    </w:lvl>
    <w:lvl w:ilvl="1">
      <w:start w:val="8"/>
      <w:numFmt w:val="decimal"/>
      <w:lvlText w:val="%1.%2"/>
      <w:lvlJc w:val="left"/>
      <w:pPr>
        <w:ind w:left="418" w:hanging="637"/>
        <w:jc w:val="left"/>
      </w:pPr>
      <w:rPr>
        <w:rFonts w:hint="default"/>
        <w:lang w:val="zh-CN" w:eastAsia="zh-CN" w:bidi="zh-CN"/>
      </w:rPr>
    </w:lvl>
    <w:lvl w:ilvl="2">
      <w:start w:val="10"/>
      <w:numFmt w:val="decimal"/>
      <w:lvlText w:val="%1.%2.%3"/>
      <w:lvlJc w:val="left"/>
      <w:pPr>
        <w:ind w:left="418" w:hanging="637"/>
        <w:jc w:val="left"/>
      </w:pPr>
      <w:rPr>
        <w:rFonts w:hint="default" w:ascii="宋体" w:hAnsi="宋体" w:eastAsia="宋体" w:cs="宋体"/>
        <w:b/>
        <w:bCs/>
        <w:spacing w:val="-53"/>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176">
    <w:multiLevelType w:val="hybridMultilevel"/>
    <w:lvl w:ilvl="0">
      <w:start w:val="5"/>
      <w:numFmt w:val="decimal"/>
      <w:lvlText w:val="%1"/>
      <w:lvlJc w:val="left"/>
      <w:pPr>
        <w:ind w:left="996" w:hanging="579"/>
        <w:jc w:val="left"/>
      </w:pPr>
      <w:rPr>
        <w:rFonts w:hint="default"/>
        <w:lang w:val="zh-CN" w:eastAsia="zh-CN" w:bidi="zh-CN"/>
      </w:rPr>
    </w:lvl>
    <w:lvl w:ilvl="1">
      <w:start w:val="8"/>
      <w:numFmt w:val="decimal"/>
      <w:lvlText w:val="%1.%2"/>
      <w:lvlJc w:val="left"/>
      <w:pPr>
        <w:ind w:left="996" w:hanging="579"/>
        <w:jc w:val="left"/>
      </w:pPr>
      <w:rPr>
        <w:rFonts w:hint="default"/>
        <w:lang w:val="zh-CN" w:eastAsia="zh-CN" w:bidi="zh-CN"/>
      </w:rPr>
    </w:lvl>
    <w:lvl w:ilvl="2">
      <w:start w:val="8"/>
      <w:numFmt w:val="decimal"/>
      <w:lvlText w:val="%1.%2.%3"/>
      <w:lvlJc w:val="left"/>
      <w:pPr>
        <w:ind w:left="996" w:hanging="579"/>
        <w:jc w:val="left"/>
      </w:pPr>
      <w:rPr>
        <w:rFonts w:hint="default" w:ascii="宋体" w:hAnsi="宋体" w:eastAsia="宋体" w:cs="宋体"/>
        <w:w w:val="100"/>
        <w:sz w:val="21"/>
        <w:szCs w:val="21"/>
        <w:lang w:val="zh-CN" w:eastAsia="zh-CN" w:bidi="zh-CN"/>
      </w:rPr>
    </w:lvl>
    <w:lvl w:ilvl="3">
      <w:start w:val="0"/>
      <w:numFmt w:val="bullet"/>
      <w:lvlText w:val="•"/>
      <w:lvlJc w:val="left"/>
      <w:pPr>
        <w:ind w:left="3893" w:hanging="579"/>
      </w:pPr>
      <w:rPr>
        <w:rFonts w:hint="default"/>
        <w:lang w:val="zh-CN" w:eastAsia="zh-CN" w:bidi="zh-CN"/>
      </w:rPr>
    </w:lvl>
    <w:lvl w:ilvl="4">
      <w:start w:val="0"/>
      <w:numFmt w:val="bullet"/>
      <w:lvlText w:val="•"/>
      <w:lvlJc w:val="left"/>
      <w:pPr>
        <w:ind w:left="4858" w:hanging="579"/>
      </w:pPr>
      <w:rPr>
        <w:rFonts w:hint="default"/>
        <w:lang w:val="zh-CN" w:eastAsia="zh-CN" w:bidi="zh-CN"/>
      </w:rPr>
    </w:lvl>
    <w:lvl w:ilvl="5">
      <w:start w:val="0"/>
      <w:numFmt w:val="bullet"/>
      <w:lvlText w:val="•"/>
      <w:lvlJc w:val="left"/>
      <w:pPr>
        <w:ind w:left="5823" w:hanging="579"/>
      </w:pPr>
      <w:rPr>
        <w:rFonts w:hint="default"/>
        <w:lang w:val="zh-CN" w:eastAsia="zh-CN" w:bidi="zh-CN"/>
      </w:rPr>
    </w:lvl>
    <w:lvl w:ilvl="6">
      <w:start w:val="0"/>
      <w:numFmt w:val="bullet"/>
      <w:lvlText w:val="•"/>
      <w:lvlJc w:val="left"/>
      <w:pPr>
        <w:ind w:left="6787" w:hanging="579"/>
      </w:pPr>
      <w:rPr>
        <w:rFonts w:hint="default"/>
        <w:lang w:val="zh-CN" w:eastAsia="zh-CN" w:bidi="zh-CN"/>
      </w:rPr>
    </w:lvl>
    <w:lvl w:ilvl="7">
      <w:start w:val="0"/>
      <w:numFmt w:val="bullet"/>
      <w:lvlText w:val="•"/>
      <w:lvlJc w:val="left"/>
      <w:pPr>
        <w:ind w:left="7752" w:hanging="579"/>
      </w:pPr>
      <w:rPr>
        <w:rFonts w:hint="default"/>
        <w:lang w:val="zh-CN" w:eastAsia="zh-CN" w:bidi="zh-CN"/>
      </w:rPr>
    </w:lvl>
    <w:lvl w:ilvl="8">
      <w:start w:val="0"/>
      <w:numFmt w:val="bullet"/>
      <w:lvlText w:val="•"/>
      <w:lvlJc w:val="left"/>
      <w:pPr>
        <w:ind w:left="8717" w:hanging="579"/>
      </w:pPr>
      <w:rPr>
        <w:rFonts w:hint="default"/>
        <w:lang w:val="zh-CN" w:eastAsia="zh-CN" w:bidi="zh-CN"/>
      </w:rPr>
    </w:lvl>
  </w:abstractNum>
  <w:abstractNum w:abstractNumId="175">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74">
    <w:multiLevelType w:val="hybridMultilevel"/>
    <w:lvl w:ilvl="0">
      <w:start w:val="6"/>
      <w:numFmt w:val="decimal"/>
      <w:lvlText w:val="%1"/>
      <w:lvlJc w:val="left"/>
      <w:pPr>
        <w:ind w:left="418" w:hanging="637"/>
        <w:jc w:val="left"/>
      </w:pPr>
      <w:rPr>
        <w:rFonts w:hint="default"/>
        <w:lang w:val="zh-CN" w:eastAsia="zh-CN" w:bidi="zh-CN"/>
      </w:rPr>
    </w:lvl>
    <w:lvl w:ilvl="1">
      <w:start w:val="7"/>
      <w:numFmt w:val="decimal"/>
      <w:lvlText w:val="%1.%2"/>
      <w:lvlJc w:val="left"/>
      <w:pPr>
        <w:ind w:left="418" w:hanging="637"/>
        <w:jc w:val="left"/>
      </w:pPr>
      <w:rPr>
        <w:rFonts w:hint="default"/>
        <w:lang w:val="zh-CN" w:eastAsia="zh-CN" w:bidi="zh-CN"/>
      </w:rPr>
    </w:lvl>
    <w:lvl w:ilvl="2">
      <w:start w:val="30"/>
      <w:numFmt w:val="decimal"/>
      <w:lvlText w:val="%1.%2.%3"/>
      <w:lvlJc w:val="left"/>
      <w:pPr>
        <w:ind w:left="418" w:hanging="637"/>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173">
    <w:multiLevelType w:val="hybridMultilevel"/>
    <w:lvl w:ilvl="0">
      <w:start w:val="6"/>
      <w:numFmt w:val="decimal"/>
      <w:lvlText w:val="%1"/>
      <w:lvlJc w:val="left"/>
      <w:pPr>
        <w:ind w:left="418" w:hanging="637"/>
        <w:jc w:val="left"/>
      </w:pPr>
      <w:rPr>
        <w:rFonts w:hint="default"/>
        <w:lang w:val="zh-CN" w:eastAsia="zh-CN" w:bidi="zh-CN"/>
      </w:rPr>
    </w:lvl>
    <w:lvl w:ilvl="1">
      <w:start w:val="7"/>
      <w:numFmt w:val="decimal"/>
      <w:lvlText w:val="%1.%2"/>
      <w:lvlJc w:val="left"/>
      <w:pPr>
        <w:ind w:left="418" w:hanging="637"/>
        <w:jc w:val="left"/>
      </w:pPr>
      <w:rPr>
        <w:rFonts w:hint="default"/>
        <w:lang w:val="zh-CN" w:eastAsia="zh-CN" w:bidi="zh-CN"/>
      </w:rPr>
    </w:lvl>
    <w:lvl w:ilvl="2">
      <w:start w:val="15"/>
      <w:numFmt w:val="decimal"/>
      <w:lvlText w:val="%1.%2.%3"/>
      <w:lvlJc w:val="left"/>
      <w:pPr>
        <w:ind w:left="418" w:hanging="637"/>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172">
    <w:multiLevelType w:val="hybridMultilevel"/>
    <w:lvl w:ilvl="0">
      <w:start w:val="6"/>
      <w:numFmt w:val="decimal"/>
      <w:lvlText w:val="%1"/>
      <w:lvlJc w:val="left"/>
      <w:pPr>
        <w:ind w:left="418" w:hanging="738"/>
        <w:jc w:val="left"/>
      </w:pPr>
      <w:rPr>
        <w:rFonts w:hint="default"/>
        <w:lang w:val="zh-CN" w:eastAsia="zh-CN" w:bidi="zh-CN"/>
      </w:rPr>
    </w:lvl>
    <w:lvl w:ilvl="1">
      <w:start w:val="5"/>
      <w:numFmt w:val="decimal"/>
      <w:lvlText w:val="%1.%2"/>
      <w:lvlJc w:val="left"/>
      <w:pPr>
        <w:ind w:left="418" w:hanging="738"/>
        <w:jc w:val="left"/>
      </w:pPr>
      <w:rPr>
        <w:rFonts w:hint="default"/>
        <w:lang w:val="zh-CN" w:eastAsia="zh-CN" w:bidi="zh-CN"/>
      </w:rPr>
    </w:lvl>
    <w:lvl w:ilvl="2">
      <w:start w:val="8"/>
      <w:numFmt w:val="decimal"/>
      <w:lvlText w:val="%1.%2.%3"/>
      <w:lvlJc w:val="left"/>
      <w:pPr>
        <w:ind w:left="418" w:hanging="738"/>
        <w:jc w:val="left"/>
      </w:pPr>
      <w:rPr>
        <w:rFonts w:hint="default"/>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171">
    <w:multiLevelType w:val="hybridMultilevel"/>
    <w:lvl w:ilvl="0">
      <w:start w:val="6"/>
      <w:numFmt w:val="decimal"/>
      <w:lvlText w:val="%1"/>
      <w:lvlJc w:val="left"/>
      <w:pPr>
        <w:ind w:left="418" w:hanging="738"/>
        <w:jc w:val="left"/>
      </w:pPr>
      <w:rPr>
        <w:rFonts w:hint="default"/>
        <w:lang w:val="zh-CN" w:eastAsia="zh-CN" w:bidi="zh-CN"/>
      </w:rPr>
    </w:lvl>
    <w:lvl w:ilvl="1">
      <w:start w:val="5"/>
      <w:numFmt w:val="decimal"/>
      <w:lvlText w:val="%1.%2"/>
      <w:lvlJc w:val="left"/>
      <w:pPr>
        <w:ind w:left="418" w:hanging="738"/>
        <w:jc w:val="left"/>
      </w:pPr>
      <w:rPr>
        <w:rFonts w:hint="default"/>
        <w:lang w:val="zh-CN" w:eastAsia="zh-CN" w:bidi="zh-CN"/>
      </w:rPr>
    </w:lvl>
    <w:lvl w:ilvl="2">
      <w:start w:val="7"/>
      <w:numFmt w:val="decimal"/>
      <w:lvlText w:val="%1.%2.%3"/>
      <w:lvlJc w:val="left"/>
      <w:pPr>
        <w:ind w:left="418" w:hanging="738"/>
        <w:jc w:val="left"/>
      </w:pPr>
      <w:rPr>
        <w:rFonts w:hint="default"/>
        <w:lang w:val="zh-CN" w:eastAsia="zh-CN" w:bidi="zh-CN"/>
      </w:rPr>
    </w:lvl>
    <w:lvl w:ilvl="3">
      <w:start w:val="5"/>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170">
    <w:multiLevelType w:val="hybridMultilevel"/>
    <w:lvl w:ilvl="0">
      <w:start w:val="6"/>
      <w:numFmt w:val="decimal"/>
      <w:lvlText w:val="%1"/>
      <w:lvlJc w:val="left"/>
      <w:pPr>
        <w:ind w:left="418" w:hanging="738"/>
        <w:jc w:val="left"/>
      </w:pPr>
      <w:rPr>
        <w:rFonts w:hint="default"/>
        <w:lang w:val="zh-CN" w:eastAsia="zh-CN" w:bidi="zh-CN"/>
      </w:rPr>
    </w:lvl>
    <w:lvl w:ilvl="1">
      <w:start w:val="5"/>
      <w:numFmt w:val="decimal"/>
      <w:lvlText w:val="%1.%2"/>
      <w:lvlJc w:val="left"/>
      <w:pPr>
        <w:ind w:left="418" w:hanging="738"/>
        <w:jc w:val="left"/>
      </w:pPr>
      <w:rPr>
        <w:rFonts w:hint="default"/>
        <w:lang w:val="zh-CN" w:eastAsia="zh-CN" w:bidi="zh-CN"/>
      </w:rPr>
    </w:lvl>
    <w:lvl w:ilvl="2">
      <w:start w:val="4"/>
      <w:numFmt w:val="decimal"/>
      <w:lvlText w:val="%1.%2.%3"/>
      <w:lvlJc w:val="left"/>
      <w:pPr>
        <w:ind w:left="418" w:hanging="738"/>
        <w:jc w:val="left"/>
      </w:pPr>
      <w:rPr>
        <w:rFonts w:hint="default"/>
        <w:lang w:val="zh-CN" w:eastAsia="zh-CN" w:bidi="zh-CN"/>
      </w:rPr>
    </w:lvl>
    <w:lvl w:ilvl="3">
      <w:start w:val="2"/>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169">
    <w:multiLevelType w:val="hybridMultilevel"/>
    <w:lvl w:ilvl="0">
      <w:start w:val="6"/>
      <w:numFmt w:val="decimal"/>
      <w:lvlText w:val="%1"/>
      <w:lvlJc w:val="left"/>
      <w:pPr>
        <w:ind w:left="418" w:hanging="738"/>
        <w:jc w:val="left"/>
      </w:pPr>
      <w:rPr>
        <w:rFonts w:hint="default"/>
        <w:lang w:val="zh-CN" w:eastAsia="zh-CN" w:bidi="zh-CN"/>
      </w:rPr>
    </w:lvl>
    <w:lvl w:ilvl="1">
      <w:start w:val="5"/>
      <w:numFmt w:val="decimal"/>
      <w:lvlText w:val="%1.%2"/>
      <w:lvlJc w:val="left"/>
      <w:pPr>
        <w:ind w:left="418" w:hanging="738"/>
        <w:jc w:val="left"/>
      </w:pPr>
      <w:rPr>
        <w:rFonts w:hint="default"/>
        <w:lang w:val="zh-CN" w:eastAsia="zh-CN" w:bidi="zh-CN"/>
      </w:rPr>
    </w:lvl>
    <w:lvl w:ilvl="2">
      <w:start w:val="1"/>
      <w:numFmt w:val="decimal"/>
      <w:lvlText w:val="%1.%2.%3"/>
      <w:lvlJc w:val="left"/>
      <w:pPr>
        <w:ind w:left="418" w:hanging="738"/>
        <w:jc w:val="left"/>
      </w:pPr>
      <w:rPr>
        <w:rFonts w:hint="default"/>
        <w:lang w:val="zh-CN" w:eastAsia="zh-CN" w:bidi="zh-CN"/>
      </w:rPr>
    </w:lvl>
    <w:lvl w:ilvl="3">
      <w:start w:val="5"/>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168">
    <w:multiLevelType w:val="hybridMultilevel"/>
    <w:lvl w:ilvl="0">
      <w:start w:val="6"/>
      <w:numFmt w:val="decimal"/>
      <w:lvlText w:val="%1"/>
      <w:lvlJc w:val="left"/>
      <w:pPr>
        <w:ind w:left="1158" w:hanging="318"/>
        <w:jc w:val="left"/>
      </w:pPr>
      <w:rPr>
        <w:rFonts w:hint="default"/>
        <w:lang w:val="zh-CN" w:eastAsia="zh-CN" w:bidi="zh-CN"/>
      </w:rPr>
    </w:lvl>
    <w:lvl w:ilvl="1">
      <w:start w:val="5"/>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1480" w:hanging="738"/>
      </w:pPr>
      <w:rPr>
        <w:rFonts w:hint="default"/>
        <w:lang w:val="zh-CN" w:eastAsia="zh-CN" w:bidi="zh-CN"/>
      </w:rPr>
    </w:lvl>
    <w:lvl w:ilvl="5">
      <w:start w:val="0"/>
      <w:numFmt w:val="bullet"/>
      <w:lvlText w:val="•"/>
      <w:lvlJc w:val="left"/>
      <w:pPr>
        <w:ind w:left="1580" w:hanging="738"/>
      </w:pPr>
      <w:rPr>
        <w:rFonts w:hint="default"/>
        <w:lang w:val="zh-CN" w:eastAsia="zh-CN" w:bidi="zh-CN"/>
      </w:rPr>
    </w:lvl>
    <w:lvl w:ilvl="6">
      <w:start w:val="0"/>
      <w:numFmt w:val="bullet"/>
      <w:lvlText w:val="•"/>
      <w:lvlJc w:val="left"/>
      <w:pPr>
        <w:ind w:left="1680" w:hanging="738"/>
      </w:pPr>
      <w:rPr>
        <w:rFonts w:hint="default"/>
        <w:lang w:val="zh-CN" w:eastAsia="zh-CN" w:bidi="zh-CN"/>
      </w:rPr>
    </w:lvl>
    <w:lvl w:ilvl="7">
      <w:start w:val="0"/>
      <w:numFmt w:val="bullet"/>
      <w:lvlText w:val="•"/>
      <w:lvlJc w:val="left"/>
      <w:pPr>
        <w:ind w:left="3921" w:hanging="738"/>
      </w:pPr>
      <w:rPr>
        <w:rFonts w:hint="default"/>
        <w:lang w:val="zh-CN" w:eastAsia="zh-CN" w:bidi="zh-CN"/>
      </w:rPr>
    </w:lvl>
    <w:lvl w:ilvl="8">
      <w:start w:val="0"/>
      <w:numFmt w:val="bullet"/>
      <w:lvlText w:val="•"/>
      <w:lvlJc w:val="left"/>
      <w:pPr>
        <w:ind w:left="6163" w:hanging="738"/>
      </w:pPr>
      <w:rPr>
        <w:rFonts w:hint="default"/>
        <w:lang w:val="zh-CN" w:eastAsia="zh-CN" w:bidi="zh-CN"/>
      </w:rPr>
    </w:lvl>
  </w:abstractNum>
  <w:abstractNum w:abstractNumId="167">
    <w:multiLevelType w:val="hybridMultilevel"/>
    <w:lvl w:ilvl="0">
      <w:start w:val="6"/>
      <w:numFmt w:val="decimal"/>
      <w:lvlText w:val="%1"/>
      <w:lvlJc w:val="left"/>
      <w:pPr>
        <w:ind w:left="1369" w:hanging="529"/>
        <w:jc w:val="left"/>
      </w:pPr>
      <w:rPr>
        <w:rFonts w:hint="default"/>
        <w:lang w:val="zh-CN" w:eastAsia="zh-CN" w:bidi="zh-CN"/>
      </w:rPr>
    </w:lvl>
    <w:lvl w:ilvl="1">
      <w:start w:val="4"/>
      <w:numFmt w:val="decimal"/>
      <w:lvlText w:val="%1.%2"/>
      <w:lvlJc w:val="left"/>
      <w:pPr>
        <w:ind w:left="1369" w:hanging="529"/>
        <w:jc w:val="left"/>
      </w:pPr>
      <w:rPr>
        <w:rFonts w:hint="default"/>
        <w:lang w:val="zh-CN" w:eastAsia="zh-CN" w:bidi="zh-CN"/>
      </w:rPr>
    </w:lvl>
    <w:lvl w:ilvl="2">
      <w:start w:val="2"/>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455" w:hanging="738"/>
      </w:pPr>
      <w:rPr>
        <w:rFonts w:hint="default"/>
        <w:lang w:val="zh-CN" w:eastAsia="zh-CN" w:bidi="zh-CN"/>
      </w:rPr>
    </w:lvl>
    <w:lvl w:ilvl="5">
      <w:start w:val="0"/>
      <w:numFmt w:val="bullet"/>
      <w:lvlText w:val="•"/>
      <w:lvlJc w:val="left"/>
      <w:pPr>
        <w:ind w:left="5487" w:hanging="738"/>
      </w:pPr>
      <w:rPr>
        <w:rFonts w:hint="default"/>
        <w:lang w:val="zh-CN" w:eastAsia="zh-CN" w:bidi="zh-CN"/>
      </w:rPr>
    </w:lvl>
    <w:lvl w:ilvl="6">
      <w:start w:val="0"/>
      <w:numFmt w:val="bullet"/>
      <w:lvlText w:val="•"/>
      <w:lvlJc w:val="left"/>
      <w:pPr>
        <w:ind w:left="6519" w:hanging="738"/>
      </w:pPr>
      <w:rPr>
        <w:rFonts w:hint="default"/>
        <w:lang w:val="zh-CN" w:eastAsia="zh-CN" w:bidi="zh-CN"/>
      </w:rPr>
    </w:lvl>
    <w:lvl w:ilvl="7">
      <w:start w:val="0"/>
      <w:numFmt w:val="bullet"/>
      <w:lvlText w:val="•"/>
      <w:lvlJc w:val="left"/>
      <w:pPr>
        <w:ind w:left="7550" w:hanging="738"/>
      </w:pPr>
      <w:rPr>
        <w:rFonts w:hint="default"/>
        <w:lang w:val="zh-CN" w:eastAsia="zh-CN" w:bidi="zh-CN"/>
      </w:rPr>
    </w:lvl>
    <w:lvl w:ilvl="8">
      <w:start w:val="0"/>
      <w:numFmt w:val="bullet"/>
      <w:lvlText w:val="•"/>
      <w:lvlJc w:val="left"/>
      <w:pPr>
        <w:ind w:left="8582" w:hanging="738"/>
      </w:pPr>
      <w:rPr>
        <w:rFonts w:hint="default"/>
        <w:lang w:val="zh-CN" w:eastAsia="zh-CN" w:bidi="zh-CN"/>
      </w:rPr>
    </w:lvl>
  </w:abstractNum>
  <w:abstractNum w:abstractNumId="166">
    <w:multiLevelType w:val="hybridMultilevel"/>
    <w:lvl w:ilvl="0">
      <w:start w:val="6"/>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1780" w:hanging="950"/>
      </w:pPr>
      <w:rPr>
        <w:rFonts w:hint="default"/>
        <w:lang w:val="zh-CN" w:eastAsia="zh-CN" w:bidi="zh-CN"/>
      </w:rPr>
    </w:lvl>
    <w:lvl w:ilvl="6">
      <w:start w:val="0"/>
      <w:numFmt w:val="bullet"/>
      <w:lvlText w:val="•"/>
      <w:lvlJc w:val="left"/>
      <w:pPr>
        <w:ind w:left="3553" w:hanging="950"/>
      </w:pPr>
      <w:rPr>
        <w:rFonts w:hint="default"/>
        <w:lang w:val="zh-CN" w:eastAsia="zh-CN" w:bidi="zh-CN"/>
      </w:rPr>
    </w:lvl>
    <w:lvl w:ilvl="7">
      <w:start w:val="0"/>
      <w:numFmt w:val="bullet"/>
      <w:lvlText w:val="•"/>
      <w:lvlJc w:val="left"/>
      <w:pPr>
        <w:ind w:left="5326" w:hanging="950"/>
      </w:pPr>
      <w:rPr>
        <w:rFonts w:hint="default"/>
        <w:lang w:val="zh-CN" w:eastAsia="zh-CN" w:bidi="zh-CN"/>
      </w:rPr>
    </w:lvl>
    <w:lvl w:ilvl="8">
      <w:start w:val="0"/>
      <w:numFmt w:val="bullet"/>
      <w:lvlText w:val="•"/>
      <w:lvlJc w:val="left"/>
      <w:pPr>
        <w:ind w:left="7099" w:hanging="950"/>
      </w:pPr>
      <w:rPr>
        <w:rFonts w:hint="default"/>
        <w:lang w:val="zh-CN" w:eastAsia="zh-CN" w:bidi="zh-CN"/>
      </w:rPr>
    </w:lvl>
  </w:abstractNum>
  <w:abstractNum w:abstractNumId="165">
    <w:multiLevelType w:val="hybridMultilevel"/>
    <w:lvl w:ilvl="0">
      <w:start w:val="6"/>
      <w:numFmt w:val="decimal"/>
      <w:lvlText w:val="%1"/>
      <w:lvlJc w:val="left"/>
      <w:pPr>
        <w:ind w:left="1787" w:hanging="950"/>
        <w:jc w:val="left"/>
      </w:pPr>
      <w:rPr>
        <w:rFonts w:hint="default"/>
        <w:lang w:val="zh-CN" w:eastAsia="zh-CN" w:bidi="zh-CN"/>
      </w:rPr>
    </w:lvl>
    <w:lvl w:ilvl="1">
      <w:start w:val="1"/>
      <w:numFmt w:val="decimal"/>
      <w:lvlText w:val="%1.%2"/>
      <w:lvlJc w:val="left"/>
      <w:pPr>
        <w:ind w:left="1787" w:hanging="950"/>
        <w:jc w:val="left"/>
      </w:pPr>
      <w:rPr>
        <w:rFonts w:hint="default"/>
        <w:lang w:val="zh-CN" w:eastAsia="zh-CN" w:bidi="zh-CN"/>
      </w:rPr>
    </w:lvl>
    <w:lvl w:ilvl="2">
      <w:start w:val="6"/>
      <w:numFmt w:val="decimal"/>
      <w:lvlText w:val="%1.%2.%3"/>
      <w:lvlJc w:val="left"/>
      <w:pPr>
        <w:ind w:left="1787" w:hanging="950"/>
        <w:jc w:val="left"/>
      </w:pPr>
      <w:rPr>
        <w:rFonts w:hint="default"/>
        <w:lang w:val="zh-CN" w:eastAsia="zh-CN" w:bidi="zh-CN"/>
      </w:rPr>
    </w:lvl>
    <w:lvl w:ilvl="3">
      <w:start w:val="1"/>
      <w:numFmt w:val="decimal"/>
      <w:lvlText w:val="%1.%2.%3.%4"/>
      <w:lvlJc w:val="left"/>
      <w:pPr>
        <w:ind w:left="1787" w:hanging="950"/>
        <w:jc w:val="left"/>
      </w:pPr>
      <w:rPr>
        <w:rFonts w:hint="default"/>
        <w:lang w:val="zh-CN" w:eastAsia="zh-CN" w:bidi="zh-CN"/>
      </w:rPr>
    </w:lvl>
    <w:lvl w:ilvl="4">
      <w:start w:val="4"/>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6213" w:hanging="950"/>
      </w:pPr>
      <w:rPr>
        <w:rFonts w:hint="default"/>
        <w:lang w:val="zh-CN" w:eastAsia="zh-CN" w:bidi="zh-CN"/>
      </w:rPr>
    </w:lvl>
    <w:lvl w:ilvl="6">
      <w:start w:val="0"/>
      <w:numFmt w:val="bullet"/>
      <w:lvlText w:val="•"/>
      <w:lvlJc w:val="left"/>
      <w:pPr>
        <w:ind w:left="7099" w:hanging="950"/>
      </w:pPr>
      <w:rPr>
        <w:rFonts w:hint="default"/>
        <w:lang w:val="zh-CN" w:eastAsia="zh-CN" w:bidi="zh-CN"/>
      </w:rPr>
    </w:lvl>
    <w:lvl w:ilvl="7">
      <w:start w:val="0"/>
      <w:numFmt w:val="bullet"/>
      <w:lvlText w:val="•"/>
      <w:lvlJc w:val="left"/>
      <w:pPr>
        <w:ind w:left="7986" w:hanging="950"/>
      </w:pPr>
      <w:rPr>
        <w:rFonts w:hint="default"/>
        <w:lang w:val="zh-CN" w:eastAsia="zh-CN" w:bidi="zh-CN"/>
      </w:rPr>
    </w:lvl>
    <w:lvl w:ilvl="8">
      <w:start w:val="0"/>
      <w:numFmt w:val="bullet"/>
      <w:lvlText w:val="•"/>
      <w:lvlJc w:val="left"/>
      <w:pPr>
        <w:ind w:left="8873" w:hanging="950"/>
      </w:pPr>
      <w:rPr>
        <w:rFonts w:hint="default"/>
        <w:lang w:val="zh-CN" w:eastAsia="zh-CN" w:bidi="zh-CN"/>
      </w:rPr>
    </w:lvl>
  </w:abstractNum>
  <w:abstractNum w:abstractNumId="164">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1787"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3257" w:hanging="950"/>
      </w:pPr>
      <w:rPr>
        <w:rFonts w:hint="default"/>
        <w:lang w:val="zh-CN" w:eastAsia="zh-CN" w:bidi="zh-CN"/>
      </w:rPr>
    </w:lvl>
    <w:lvl w:ilvl="6">
      <w:start w:val="0"/>
      <w:numFmt w:val="bullet"/>
      <w:lvlText w:val="•"/>
      <w:lvlJc w:val="left"/>
      <w:pPr>
        <w:ind w:left="4735" w:hanging="950"/>
      </w:pPr>
      <w:rPr>
        <w:rFonts w:hint="default"/>
        <w:lang w:val="zh-CN" w:eastAsia="zh-CN" w:bidi="zh-CN"/>
      </w:rPr>
    </w:lvl>
    <w:lvl w:ilvl="7">
      <w:start w:val="0"/>
      <w:numFmt w:val="bullet"/>
      <w:lvlText w:val="•"/>
      <w:lvlJc w:val="left"/>
      <w:pPr>
        <w:ind w:left="6213" w:hanging="950"/>
      </w:pPr>
      <w:rPr>
        <w:rFonts w:hint="default"/>
        <w:lang w:val="zh-CN" w:eastAsia="zh-CN" w:bidi="zh-CN"/>
      </w:rPr>
    </w:lvl>
    <w:lvl w:ilvl="8">
      <w:start w:val="0"/>
      <w:numFmt w:val="bullet"/>
      <w:lvlText w:val="•"/>
      <w:lvlJc w:val="left"/>
      <w:pPr>
        <w:ind w:left="7690" w:hanging="950"/>
      </w:pPr>
      <w:rPr>
        <w:rFonts w:hint="default"/>
        <w:lang w:val="zh-CN" w:eastAsia="zh-CN" w:bidi="zh-CN"/>
      </w:rPr>
    </w:lvl>
  </w:abstractNum>
  <w:abstractNum w:abstractNumId="163">
    <w:multiLevelType w:val="hybridMultilevel"/>
    <w:lvl w:ilvl="0">
      <w:start w:val="5"/>
      <w:numFmt w:val="decimal"/>
      <w:lvlText w:val="%1"/>
      <w:lvlJc w:val="left"/>
      <w:pPr>
        <w:ind w:left="1263" w:hanging="424"/>
        <w:jc w:val="left"/>
      </w:pPr>
      <w:rPr>
        <w:rFonts w:hint="default"/>
        <w:lang w:val="zh-CN" w:eastAsia="zh-CN" w:bidi="zh-CN"/>
      </w:rPr>
    </w:lvl>
    <w:lvl w:ilvl="1">
      <w:start w:val="12"/>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637"/>
        <w:jc w:val="left"/>
      </w:pPr>
      <w:rPr>
        <w:rFonts w:hint="default" w:ascii="宋体" w:hAnsi="宋体" w:eastAsia="宋体" w:cs="宋体"/>
        <w:b/>
        <w:bCs/>
        <w:spacing w:val="-53"/>
        <w:w w:val="99"/>
        <w:sz w:val="19"/>
        <w:szCs w:val="19"/>
        <w:lang w:val="zh-CN" w:eastAsia="zh-CN" w:bidi="zh-CN"/>
      </w:rPr>
    </w:lvl>
    <w:lvl w:ilvl="3">
      <w:start w:val="0"/>
      <w:numFmt w:val="bullet"/>
      <w:lvlText w:val="•"/>
      <w:lvlJc w:val="left"/>
      <w:pPr>
        <w:ind w:left="3345" w:hanging="637"/>
      </w:pPr>
      <w:rPr>
        <w:rFonts w:hint="default"/>
        <w:lang w:val="zh-CN" w:eastAsia="zh-CN" w:bidi="zh-CN"/>
      </w:rPr>
    </w:lvl>
    <w:lvl w:ilvl="4">
      <w:start w:val="0"/>
      <w:numFmt w:val="bullet"/>
      <w:lvlText w:val="•"/>
      <w:lvlJc w:val="left"/>
      <w:pPr>
        <w:ind w:left="4388" w:hanging="637"/>
      </w:pPr>
      <w:rPr>
        <w:rFonts w:hint="default"/>
        <w:lang w:val="zh-CN" w:eastAsia="zh-CN" w:bidi="zh-CN"/>
      </w:rPr>
    </w:lvl>
    <w:lvl w:ilvl="5">
      <w:start w:val="0"/>
      <w:numFmt w:val="bullet"/>
      <w:lvlText w:val="•"/>
      <w:lvlJc w:val="left"/>
      <w:pPr>
        <w:ind w:left="5431" w:hanging="637"/>
      </w:pPr>
      <w:rPr>
        <w:rFonts w:hint="default"/>
        <w:lang w:val="zh-CN" w:eastAsia="zh-CN" w:bidi="zh-CN"/>
      </w:rPr>
    </w:lvl>
    <w:lvl w:ilvl="6">
      <w:start w:val="0"/>
      <w:numFmt w:val="bullet"/>
      <w:lvlText w:val="•"/>
      <w:lvlJc w:val="left"/>
      <w:pPr>
        <w:ind w:left="6474" w:hanging="637"/>
      </w:pPr>
      <w:rPr>
        <w:rFonts w:hint="default"/>
        <w:lang w:val="zh-CN" w:eastAsia="zh-CN" w:bidi="zh-CN"/>
      </w:rPr>
    </w:lvl>
    <w:lvl w:ilvl="7">
      <w:start w:val="0"/>
      <w:numFmt w:val="bullet"/>
      <w:lvlText w:val="•"/>
      <w:lvlJc w:val="left"/>
      <w:pPr>
        <w:ind w:left="7517" w:hanging="637"/>
      </w:pPr>
      <w:rPr>
        <w:rFonts w:hint="default"/>
        <w:lang w:val="zh-CN" w:eastAsia="zh-CN" w:bidi="zh-CN"/>
      </w:rPr>
    </w:lvl>
    <w:lvl w:ilvl="8">
      <w:start w:val="0"/>
      <w:numFmt w:val="bullet"/>
      <w:lvlText w:val="•"/>
      <w:lvlJc w:val="left"/>
      <w:pPr>
        <w:ind w:left="8560" w:hanging="637"/>
      </w:pPr>
      <w:rPr>
        <w:rFonts w:hint="default"/>
        <w:lang w:val="zh-CN" w:eastAsia="zh-CN" w:bidi="zh-CN"/>
      </w:rPr>
    </w:lvl>
  </w:abstractNum>
  <w:abstractNum w:abstractNumId="162">
    <w:multiLevelType w:val="hybridMultilevel"/>
    <w:lvl w:ilvl="0">
      <w:start w:val="6"/>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61">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60">
    <w:multiLevelType w:val="hybridMultilevel"/>
    <w:lvl w:ilvl="0">
      <w:start w:val="5"/>
      <w:numFmt w:val="decimal"/>
      <w:lvlText w:val="%1"/>
      <w:lvlJc w:val="left"/>
      <w:pPr>
        <w:ind w:left="1477" w:hanging="637"/>
        <w:jc w:val="left"/>
      </w:pPr>
      <w:rPr>
        <w:rFonts w:hint="default"/>
        <w:lang w:val="zh-CN" w:eastAsia="zh-CN" w:bidi="zh-CN"/>
      </w:rPr>
    </w:lvl>
    <w:lvl w:ilvl="1">
      <w:start w:val="11"/>
      <w:numFmt w:val="decimal"/>
      <w:lvlText w:val="%1.%2"/>
      <w:lvlJc w:val="left"/>
      <w:pPr>
        <w:ind w:left="1477" w:hanging="637"/>
        <w:jc w:val="left"/>
      </w:pPr>
      <w:rPr>
        <w:rFonts w:hint="default"/>
        <w:lang w:val="zh-CN" w:eastAsia="zh-CN" w:bidi="zh-CN"/>
      </w:rPr>
    </w:lvl>
    <w:lvl w:ilvl="2">
      <w:start w:val="1"/>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159">
    <w:multiLevelType w:val="hybridMultilevel"/>
    <w:lvl w:ilvl="0">
      <w:start w:val="5"/>
      <w:numFmt w:val="decimal"/>
      <w:lvlText w:val="%1"/>
      <w:lvlJc w:val="left"/>
      <w:pPr>
        <w:ind w:left="1370" w:hanging="531"/>
        <w:jc w:val="left"/>
      </w:pPr>
      <w:rPr>
        <w:rFonts w:hint="default"/>
        <w:lang w:val="zh-CN" w:eastAsia="zh-CN" w:bidi="zh-CN"/>
      </w:rPr>
    </w:lvl>
    <w:lvl w:ilvl="1">
      <w:start w:val="9"/>
      <w:numFmt w:val="decimal"/>
      <w:lvlText w:val="%1.%2"/>
      <w:lvlJc w:val="left"/>
      <w:pPr>
        <w:ind w:left="1370" w:hanging="531"/>
        <w:jc w:val="left"/>
      </w:pPr>
      <w:rPr>
        <w:rFonts w:hint="default"/>
        <w:lang w:val="zh-CN" w:eastAsia="zh-CN" w:bidi="zh-CN"/>
      </w:rPr>
    </w:lvl>
    <w:lvl w:ilvl="2">
      <w:start w:val="7"/>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02" w:hanging="738"/>
      </w:pPr>
      <w:rPr>
        <w:rFonts w:hint="default"/>
        <w:lang w:val="zh-CN" w:eastAsia="zh-CN" w:bidi="zh-CN"/>
      </w:rPr>
    </w:lvl>
    <w:lvl w:ilvl="5">
      <w:start w:val="0"/>
      <w:numFmt w:val="bullet"/>
      <w:lvlText w:val="•"/>
      <w:lvlJc w:val="left"/>
      <w:pPr>
        <w:ind w:left="5609" w:hanging="738"/>
      </w:pPr>
      <w:rPr>
        <w:rFonts w:hint="default"/>
        <w:lang w:val="zh-CN" w:eastAsia="zh-CN" w:bidi="zh-CN"/>
      </w:rPr>
    </w:lvl>
    <w:lvl w:ilvl="6">
      <w:start w:val="0"/>
      <w:numFmt w:val="bullet"/>
      <w:lvlText w:val="•"/>
      <w:lvlJc w:val="left"/>
      <w:pPr>
        <w:ind w:left="6616" w:hanging="738"/>
      </w:pPr>
      <w:rPr>
        <w:rFonts w:hint="default"/>
        <w:lang w:val="zh-CN" w:eastAsia="zh-CN" w:bidi="zh-CN"/>
      </w:rPr>
    </w:lvl>
    <w:lvl w:ilvl="7">
      <w:start w:val="0"/>
      <w:numFmt w:val="bullet"/>
      <w:lvlText w:val="•"/>
      <w:lvlJc w:val="left"/>
      <w:pPr>
        <w:ind w:left="7624" w:hanging="738"/>
      </w:pPr>
      <w:rPr>
        <w:rFonts w:hint="default"/>
        <w:lang w:val="zh-CN" w:eastAsia="zh-CN" w:bidi="zh-CN"/>
      </w:rPr>
    </w:lvl>
    <w:lvl w:ilvl="8">
      <w:start w:val="0"/>
      <w:numFmt w:val="bullet"/>
      <w:lvlText w:val="•"/>
      <w:lvlJc w:val="left"/>
      <w:pPr>
        <w:ind w:left="8631" w:hanging="738"/>
      </w:pPr>
      <w:rPr>
        <w:rFonts w:hint="default"/>
        <w:lang w:val="zh-CN" w:eastAsia="zh-CN" w:bidi="zh-CN"/>
      </w:rPr>
    </w:lvl>
  </w:abstractNum>
  <w:abstractNum w:abstractNumId="158">
    <w:multiLevelType w:val="hybridMultilevel"/>
    <w:lvl w:ilvl="0">
      <w:start w:val="5"/>
      <w:numFmt w:val="decimal"/>
      <w:lvlText w:val="%1"/>
      <w:lvlJc w:val="left"/>
      <w:pPr>
        <w:ind w:left="1575" w:hanging="738"/>
        <w:jc w:val="left"/>
      </w:pPr>
      <w:rPr>
        <w:rFonts w:hint="default"/>
        <w:lang w:val="zh-CN" w:eastAsia="zh-CN" w:bidi="zh-CN"/>
      </w:rPr>
    </w:lvl>
    <w:lvl w:ilvl="1">
      <w:start w:val="9"/>
      <w:numFmt w:val="decimal"/>
      <w:lvlText w:val="%1.%2"/>
      <w:lvlJc w:val="left"/>
      <w:pPr>
        <w:ind w:left="1575" w:hanging="738"/>
        <w:jc w:val="left"/>
      </w:pPr>
      <w:rPr>
        <w:rFonts w:hint="default"/>
        <w:lang w:val="zh-CN" w:eastAsia="zh-CN" w:bidi="zh-CN"/>
      </w:rPr>
    </w:lvl>
    <w:lvl w:ilvl="2">
      <w:start w:val="6"/>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157">
    <w:multiLevelType w:val="hybridMultilevel"/>
    <w:lvl w:ilvl="0">
      <w:start w:val="5"/>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1580" w:hanging="738"/>
      </w:pPr>
      <w:rPr>
        <w:rFonts w:hint="default"/>
        <w:lang w:val="zh-CN" w:eastAsia="zh-CN" w:bidi="zh-CN"/>
      </w:rPr>
    </w:lvl>
    <w:lvl w:ilvl="5">
      <w:start w:val="0"/>
      <w:numFmt w:val="bullet"/>
      <w:lvlText w:val="•"/>
      <w:lvlJc w:val="left"/>
      <w:pPr>
        <w:ind w:left="1680" w:hanging="738"/>
      </w:pPr>
      <w:rPr>
        <w:rFonts w:hint="default"/>
        <w:lang w:val="zh-CN" w:eastAsia="zh-CN" w:bidi="zh-CN"/>
      </w:rPr>
    </w:lvl>
    <w:lvl w:ilvl="6">
      <w:start w:val="0"/>
      <w:numFmt w:val="bullet"/>
      <w:lvlText w:val="•"/>
      <w:lvlJc w:val="left"/>
      <w:pPr>
        <w:ind w:left="3473" w:hanging="738"/>
      </w:pPr>
      <w:rPr>
        <w:rFonts w:hint="default"/>
        <w:lang w:val="zh-CN" w:eastAsia="zh-CN" w:bidi="zh-CN"/>
      </w:rPr>
    </w:lvl>
    <w:lvl w:ilvl="7">
      <w:start w:val="0"/>
      <w:numFmt w:val="bullet"/>
      <w:lvlText w:val="•"/>
      <w:lvlJc w:val="left"/>
      <w:pPr>
        <w:ind w:left="5266" w:hanging="738"/>
      </w:pPr>
      <w:rPr>
        <w:rFonts w:hint="default"/>
        <w:lang w:val="zh-CN" w:eastAsia="zh-CN" w:bidi="zh-CN"/>
      </w:rPr>
    </w:lvl>
    <w:lvl w:ilvl="8">
      <w:start w:val="0"/>
      <w:numFmt w:val="bullet"/>
      <w:lvlText w:val="•"/>
      <w:lvlJc w:val="left"/>
      <w:pPr>
        <w:ind w:left="7059" w:hanging="738"/>
      </w:pPr>
      <w:rPr>
        <w:rFonts w:hint="default"/>
        <w:lang w:val="zh-CN" w:eastAsia="zh-CN" w:bidi="zh-CN"/>
      </w:rPr>
    </w:lvl>
  </w:abstractNum>
  <w:abstractNum w:abstractNumId="156">
    <w:multiLevelType w:val="hybridMultilevel"/>
    <w:lvl w:ilvl="0">
      <w:start w:val="5"/>
      <w:numFmt w:val="decimal"/>
      <w:lvlText w:val="%1"/>
      <w:lvlJc w:val="left"/>
      <w:pPr>
        <w:ind w:left="418" w:hanging="531"/>
        <w:jc w:val="left"/>
      </w:pPr>
      <w:rPr>
        <w:rFonts w:hint="default"/>
        <w:lang w:val="zh-CN" w:eastAsia="zh-CN" w:bidi="zh-CN"/>
      </w:rPr>
    </w:lvl>
    <w:lvl w:ilvl="1">
      <w:start w:val="6"/>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155">
    <w:multiLevelType w:val="hybridMultilevel"/>
    <w:lvl w:ilvl="0">
      <w:start w:val="5"/>
      <w:numFmt w:val="decimal"/>
      <w:lvlText w:val="%1"/>
      <w:lvlJc w:val="left"/>
      <w:pPr>
        <w:ind w:left="1158" w:hanging="318"/>
        <w:jc w:val="left"/>
      </w:pPr>
      <w:rPr>
        <w:rFonts w:hint="default"/>
        <w:lang w:val="zh-CN" w:eastAsia="zh-CN" w:bidi="zh-CN"/>
      </w:rPr>
    </w:lvl>
    <w:lvl w:ilvl="1">
      <w:start w:val="5"/>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696" w:hanging="738"/>
      </w:pPr>
      <w:rPr>
        <w:rFonts w:hint="default"/>
        <w:lang w:val="zh-CN" w:eastAsia="zh-CN" w:bidi="zh-CN"/>
      </w:rPr>
    </w:lvl>
    <w:lvl w:ilvl="5">
      <w:start w:val="0"/>
      <w:numFmt w:val="bullet"/>
      <w:lvlText w:val="•"/>
      <w:lvlJc w:val="left"/>
      <w:pPr>
        <w:ind w:left="4854" w:hanging="738"/>
      </w:pPr>
      <w:rPr>
        <w:rFonts w:hint="default"/>
        <w:lang w:val="zh-CN" w:eastAsia="zh-CN" w:bidi="zh-CN"/>
      </w:rPr>
    </w:lvl>
    <w:lvl w:ilvl="6">
      <w:start w:val="0"/>
      <w:numFmt w:val="bullet"/>
      <w:lvlText w:val="•"/>
      <w:lvlJc w:val="left"/>
      <w:pPr>
        <w:ind w:left="6013" w:hanging="738"/>
      </w:pPr>
      <w:rPr>
        <w:rFonts w:hint="default"/>
        <w:lang w:val="zh-CN" w:eastAsia="zh-CN" w:bidi="zh-CN"/>
      </w:rPr>
    </w:lvl>
    <w:lvl w:ilvl="7">
      <w:start w:val="0"/>
      <w:numFmt w:val="bullet"/>
      <w:lvlText w:val="•"/>
      <w:lvlJc w:val="left"/>
      <w:pPr>
        <w:ind w:left="7171" w:hanging="738"/>
      </w:pPr>
      <w:rPr>
        <w:rFonts w:hint="default"/>
        <w:lang w:val="zh-CN" w:eastAsia="zh-CN" w:bidi="zh-CN"/>
      </w:rPr>
    </w:lvl>
    <w:lvl w:ilvl="8">
      <w:start w:val="0"/>
      <w:numFmt w:val="bullet"/>
      <w:lvlText w:val="•"/>
      <w:lvlJc w:val="left"/>
      <w:pPr>
        <w:ind w:left="8329" w:hanging="738"/>
      </w:pPr>
      <w:rPr>
        <w:rFonts w:hint="default"/>
        <w:lang w:val="zh-CN" w:eastAsia="zh-CN" w:bidi="zh-CN"/>
      </w:rPr>
    </w:lvl>
  </w:abstractNum>
  <w:abstractNum w:abstractNumId="154">
    <w:multiLevelType w:val="hybridMultilevel"/>
    <w:lvl w:ilvl="0">
      <w:start w:val="5"/>
      <w:numFmt w:val="decimal"/>
      <w:lvlText w:val="%1"/>
      <w:lvlJc w:val="left"/>
      <w:pPr>
        <w:ind w:left="418" w:hanging="738"/>
        <w:jc w:val="left"/>
      </w:pPr>
      <w:rPr>
        <w:rFonts w:hint="default"/>
        <w:lang w:val="zh-CN" w:eastAsia="zh-CN" w:bidi="zh-CN"/>
      </w:rPr>
    </w:lvl>
    <w:lvl w:ilvl="1">
      <w:start w:val="4"/>
      <w:numFmt w:val="decimal"/>
      <w:lvlText w:val="%1.%2"/>
      <w:lvlJc w:val="left"/>
      <w:pPr>
        <w:ind w:left="418" w:hanging="738"/>
        <w:jc w:val="left"/>
      </w:pPr>
      <w:rPr>
        <w:rFonts w:hint="default"/>
        <w:lang w:val="zh-CN" w:eastAsia="zh-CN" w:bidi="zh-CN"/>
      </w:rPr>
    </w:lvl>
    <w:lvl w:ilvl="2">
      <w:start w:val="2"/>
      <w:numFmt w:val="decimal"/>
      <w:lvlText w:val="%1.%2.%3"/>
      <w:lvlJc w:val="left"/>
      <w:pPr>
        <w:ind w:left="418" w:hanging="738"/>
        <w:jc w:val="left"/>
      </w:pPr>
      <w:rPr>
        <w:rFonts w:hint="default"/>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153">
    <w:multiLevelType w:val="hybridMultilevel"/>
    <w:lvl w:ilvl="0">
      <w:start w:val="5"/>
      <w:numFmt w:val="decimal"/>
      <w:lvlText w:val="%1"/>
      <w:lvlJc w:val="left"/>
      <w:pPr>
        <w:ind w:left="1159" w:hanging="320"/>
        <w:jc w:val="left"/>
      </w:pPr>
      <w:rPr>
        <w:rFonts w:hint="default"/>
        <w:lang w:val="zh-CN" w:eastAsia="zh-CN" w:bidi="zh-CN"/>
      </w:rPr>
    </w:lvl>
    <w:lvl w:ilvl="1">
      <w:start w:val="3"/>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1"/>
      <w:numFmt w:val="decimal"/>
      <w:lvlText w:val="%1.%2.%3.%4.%5"/>
      <w:lvlJc w:val="left"/>
      <w:pPr>
        <w:ind w:left="418" w:hanging="950"/>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1780" w:hanging="950"/>
      </w:pPr>
      <w:rPr>
        <w:rFonts w:hint="default"/>
        <w:lang w:val="zh-CN" w:eastAsia="zh-CN" w:bidi="zh-CN"/>
      </w:rPr>
    </w:lvl>
    <w:lvl w:ilvl="6">
      <w:start w:val="0"/>
      <w:numFmt w:val="bullet"/>
      <w:lvlText w:val="•"/>
      <w:lvlJc w:val="left"/>
      <w:pPr>
        <w:ind w:left="3553" w:hanging="950"/>
      </w:pPr>
      <w:rPr>
        <w:rFonts w:hint="default"/>
        <w:lang w:val="zh-CN" w:eastAsia="zh-CN" w:bidi="zh-CN"/>
      </w:rPr>
    </w:lvl>
    <w:lvl w:ilvl="7">
      <w:start w:val="0"/>
      <w:numFmt w:val="bullet"/>
      <w:lvlText w:val="•"/>
      <w:lvlJc w:val="left"/>
      <w:pPr>
        <w:ind w:left="5326" w:hanging="950"/>
      </w:pPr>
      <w:rPr>
        <w:rFonts w:hint="default"/>
        <w:lang w:val="zh-CN" w:eastAsia="zh-CN" w:bidi="zh-CN"/>
      </w:rPr>
    </w:lvl>
    <w:lvl w:ilvl="8">
      <w:start w:val="0"/>
      <w:numFmt w:val="bullet"/>
      <w:lvlText w:val="•"/>
      <w:lvlJc w:val="left"/>
      <w:pPr>
        <w:ind w:left="7099" w:hanging="950"/>
      </w:pPr>
      <w:rPr>
        <w:rFonts w:hint="default"/>
        <w:lang w:val="zh-CN" w:eastAsia="zh-CN" w:bidi="zh-CN"/>
      </w:rPr>
    </w:lvl>
  </w:abstractNum>
  <w:abstractNum w:abstractNumId="152">
    <w:multiLevelType w:val="hybridMultilevel"/>
    <w:lvl w:ilvl="0">
      <w:start w:val="5"/>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4"/>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151">
    <w:multiLevelType w:val="hybridMultilevel"/>
    <w:lvl w:ilvl="0">
      <w:start w:val="5"/>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150">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spacing w:val="-3"/>
        <w:w w:val="100"/>
        <w:lang w:val="zh-CN" w:eastAsia="zh-CN" w:bidi="zh-CN"/>
      </w:rPr>
    </w:lvl>
    <w:lvl w:ilvl="4">
      <w:start w:val="1"/>
      <w:numFmt w:val="decimal"/>
      <w:lvlText w:val="%1.%2.%3.%4.%5"/>
      <w:lvlJc w:val="left"/>
      <w:pPr>
        <w:ind w:left="418" w:hanging="738"/>
        <w:jc w:val="left"/>
      </w:pPr>
      <w:rPr>
        <w:rFonts w:hint="default" w:ascii="宋体" w:hAnsi="宋体" w:eastAsia="宋体" w:cs="宋体"/>
        <w:spacing w:val="-3"/>
        <w:w w:val="100"/>
        <w:sz w:val="19"/>
        <w:szCs w:val="19"/>
        <w:lang w:val="zh-CN" w:eastAsia="zh-CN" w:bidi="zh-CN"/>
      </w:rPr>
    </w:lvl>
    <w:lvl w:ilvl="5">
      <w:start w:val="0"/>
      <w:numFmt w:val="bullet"/>
      <w:lvlText w:val="•"/>
      <w:lvlJc w:val="left"/>
      <w:pPr>
        <w:ind w:left="4170" w:hanging="738"/>
      </w:pPr>
      <w:rPr>
        <w:rFonts w:hint="default"/>
        <w:lang w:val="zh-CN" w:eastAsia="zh-CN" w:bidi="zh-CN"/>
      </w:rPr>
    </w:lvl>
    <w:lvl w:ilvl="6">
      <w:start w:val="0"/>
      <w:numFmt w:val="bullet"/>
      <w:lvlText w:val="•"/>
      <w:lvlJc w:val="left"/>
      <w:pPr>
        <w:ind w:left="5465" w:hanging="738"/>
      </w:pPr>
      <w:rPr>
        <w:rFonts w:hint="default"/>
        <w:lang w:val="zh-CN" w:eastAsia="zh-CN" w:bidi="zh-CN"/>
      </w:rPr>
    </w:lvl>
    <w:lvl w:ilvl="7">
      <w:start w:val="0"/>
      <w:numFmt w:val="bullet"/>
      <w:lvlText w:val="•"/>
      <w:lvlJc w:val="left"/>
      <w:pPr>
        <w:ind w:left="6760" w:hanging="738"/>
      </w:pPr>
      <w:rPr>
        <w:rFonts w:hint="default"/>
        <w:lang w:val="zh-CN" w:eastAsia="zh-CN" w:bidi="zh-CN"/>
      </w:rPr>
    </w:lvl>
    <w:lvl w:ilvl="8">
      <w:start w:val="0"/>
      <w:numFmt w:val="bullet"/>
      <w:lvlText w:val="•"/>
      <w:lvlJc w:val="left"/>
      <w:pPr>
        <w:ind w:left="8056" w:hanging="738"/>
      </w:pPr>
      <w:rPr>
        <w:rFonts w:hint="default"/>
        <w:lang w:val="zh-CN" w:eastAsia="zh-CN" w:bidi="zh-CN"/>
      </w:rPr>
    </w:lvl>
  </w:abstractNum>
  <w:abstractNum w:abstractNumId="149">
    <w:multiLevelType w:val="hybridMultilevel"/>
    <w:lvl w:ilvl="0">
      <w:start w:val="4"/>
      <w:numFmt w:val="decimal"/>
      <w:lvlText w:val="%1"/>
      <w:lvlJc w:val="left"/>
      <w:pPr>
        <w:ind w:left="418" w:hanging="531"/>
        <w:jc w:val="left"/>
      </w:pPr>
      <w:rPr>
        <w:rFonts w:hint="default"/>
        <w:lang w:val="zh-CN" w:eastAsia="zh-CN" w:bidi="zh-CN"/>
      </w:rPr>
    </w:lvl>
    <w:lvl w:ilvl="1">
      <w:start w:val="3"/>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148">
    <w:multiLevelType w:val="hybridMultilevel"/>
    <w:lvl w:ilvl="0">
      <w:start w:val="4"/>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147">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146">
    <w:multiLevelType w:val="hybridMultilevel"/>
    <w:lvl w:ilvl="0">
      <w:start w:val="3"/>
      <w:numFmt w:val="decimal"/>
      <w:lvlText w:val="%1"/>
      <w:lvlJc w:val="left"/>
      <w:pPr>
        <w:ind w:left="1423" w:hanging="584"/>
        <w:jc w:val="left"/>
      </w:pPr>
      <w:rPr>
        <w:rFonts w:hint="default"/>
        <w:lang w:val="zh-CN" w:eastAsia="zh-CN" w:bidi="zh-CN"/>
      </w:rPr>
    </w:lvl>
    <w:lvl w:ilvl="1">
      <w:start w:val="4"/>
      <w:numFmt w:val="decimal"/>
      <w:lvlText w:val="%1.%2"/>
      <w:lvlJc w:val="left"/>
      <w:pPr>
        <w:ind w:left="1423" w:hanging="584"/>
        <w:jc w:val="left"/>
      </w:pPr>
      <w:rPr>
        <w:rFonts w:hint="default"/>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4187" w:hanging="584"/>
      </w:pPr>
      <w:rPr>
        <w:rFonts w:hint="default"/>
        <w:lang w:val="zh-CN" w:eastAsia="zh-CN" w:bidi="zh-CN"/>
      </w:rPr>
    </w:lvl>
    <w:lvl w:ilvl="4">
      <w:start w:val="0"/>
      <w:numFmt w:val="bullet"/>
      <w:lvlText w:val="•"/>
      <w:lvlJc w:val="left"/>
      <w:pPr>
        <w:ind w:left="5110" w:hanging="584"/>
      </w:pPr>
      <w:rPr>
        <w:rFonts w:hint="default"/>
        <w:lang w:val="zh-CN" w:eastAsia="zh-CN" w:bidi="zh-CN"/>
      </w:rPr>
    </w:lvl>
    <w:lvl w:ilvl="5">
      <w:start w:val="0"/>
      <w:numFmt w:val="bullet"/>
      <w:lvlText w:val="•"/>
      <w:lvlJc w:val="left"/>
      <w:pPr>
        <w:ind w:left="6033" w:hanging="584"/>
      </w:pPr>
      <w:rPr>
        <w:rFonts w:hint="default"/>
        <w:lang w:val="zh-CN" w:eastAsia="zh-CN" w:bidi="zh-CN"/>
      </w:rPr>
    </w:lvl>
    <w:lvl w:ilvl="6">
      <w:start w:val="0"/>
      <w:numFmt w:val="bullet"/>
      <w:lvlText w:val="•"/>
      <w:lvlJc w:val="left"/>
      <w:pPr>
        <w:ind w:left="6955" w:hanging="584"/>
      </w:pPr>
      <w:rPr>
        <w:rFonts w:hint="default"/>
        <w:lang w:val="zh-CN" w:eastAsia="zh-CN" w:bidi="zh-CN"/>
      </w:rPr>
    </w:lvl>
    <w:lvl w:ilvl="7">
      <w:start w:val="0"/>
      <w:numFmt w:val="bullet"/>
      <w:lvlText w:val="•"/>
      <w:lvlJc w:val="left"/>
      <w:pPr>
        <w:ind w:left="7878" w:hanging="584"/>
      </w:pPr>
      <w:rPr>
        <w:rFonts w:hint="default"/>
        <w:lang w:val="zh-CN" w:eastAsia="zh-CN" w:bidi="zh-CN"/>
      </w:rPr>
    </w:lvl>
    <w:lvl w:ilvl="8">
      <w:start w:val="0"/>
      <w:numFmt w:val="bullet"/>
      <w:lvlText w:val="•"/>
      <w:lvlJc w:val="left"/>
      <w:pPr>
        <w:ind w:left="8801" w:hanging="584"/>
      </w:pPr>
      <w:rPr>
        <w:rFonts w:hint="default"/>
        <w:lang w:val="zh-CN" w:eastAsia="zh-CN" w:bidi="zh-CN"/>
      </w:rPr>
    </w:lvl>
  </w:abstractNum>
  <w:abstractNum w:abstractNumId="145">
    <w:multiLevelType w:val="hybridMultilevel"/>
    <w:lvl w:ilvl="0">
      <w:start w:val="3"/>
      <w:numFmt w:val="decimal"/>
      <w:lvlText w:val="%1"/>
      <w:lvlJc w:val="left"/>
      <w:pPr>
        <w:ind w:left="1529" w:hanging="689"/>
        <w:jc w:val="left"/>
      </w:pPr>
      <w:rPr>
        <w:rFonts w:hint="default"/>
        <w:lang w:val="zh-CN" w:eastAsia="zh-CN" w:bidi="zh-CN"/>
      </w:rPr>
    </w:lvl>
    <w:lvl w:ilvl="1">
      <w:start w:val="3"/>
      <w:numFmt w:val="decimal"/>
      <w:lvlText w:val="%1.%2"/>
      <w:lvlJc w:val="left"/>
      <w:pPr>
        <w:ind w:left="1529" w:hanging="689"/>
        <w:jc w:val="left"/>
      </w:pPr>
      <w:rPr>
        <w:rFonts w:hint="default"/>
        <w:lang w:val="zh-CN" w:eastAsia="zh-CN" w:bidi="zh-CN"/>
      </w:rPr>
    </w:lvl>
    <w:lvl w:ilvl="2">
      <w:start w:val="10"/>
      <w:numFmt w:val="decimal"/>
      <w:lvlText w:val="%1.%2.%3"/>
      <w:lvlJc w:val="left"/>
      <w:pPr>
        <w:ind w:left="1529" w:hanging="689"/>
        <w:jc w:val="left"/>
      </w:pPr>
      <w:rPr>
        <w:rFonts w:hint="default" w:ascii="宋体" w:hAnsi="宋体" w:eastAsia="宋体" w:cs="宋体"/>
        <w:b/>
        <w:bCs/>
        <w:w w:val="99"/>
        <w:sz w:val="21"/>
        <w:szCs w:val="21"/>
        <w:lang w:val="zh-CN" w:eastAsia="zh-CN" w:bidi="zh-CN"/>
      </w:rPr>
    </w:lvl>
    <w:lvl w:ilvl="3">
      <w:start w:val="0"/>
      <w:numFmt w:val="bullet"/>
      <w:lvlText w:val="•"/>
      <w:lvlJc w:val="left"/>
      <w:pPr>
        <w:ind w:left="4257" w:hanging="689"/>
      </w:pPr>
      <w:rPr>
        <w:rFonts w:hint="default"/>
        <w:lang w:val="zh-CN" w:eastAsia="zh-CN" w:bidi="zh-CN"/>
      </w:rPr>
    </w:lvl>
    <w:lvl w:ilvl="4">
      <w:start w:val="0"/>
      <w:numFmt w:val="bullet"/>
      <w:lvlText w:val="•"/>
      <w:lvlJc w:val="left"/>
      <w:pPr>
        <w:ind w:left="5170" w:hanging="689"/>
      </w:pPr>
      <w:rPr>
        <w:rFonts w:hint="default"/>
        <w:lang w:val="zh-CN" w:eastAsia="zh-CN" w:bidi="zh-CN"/>
      </w:rPr>
    </w:lvl>
    <w:lvl w:ilvl="5">
      <w:start w:val="0"/>
      <w:numFmt w:val="bullet"/>
      <w:lvlText w:val="•"/>
      <w:lvlJc w:val="left"/>
      <w:pPr>
        <w:ind w:left="6083" w:hanging="689"/>
      </w:pPr>
      <w:rPr>
        <w:rFonts w:hint="default"/>
        <w:lang w:val="zh-CN" w:eastAsia="zh-CN" w:bidi="zh-CN"/>
      </w:rPr>
    </w:lvl>
    <w:lvl w:ilvl="6">
      <w:start w:val="0"/>
      <w:numFmt w:val="bullet"/>
      <w:lvlText w:val="•"/>
      <w:lvlJc w:val="left"/>
      <w:pPr>
        <w:ind w:left="6995" w:hanging="689"/>
      </w:pPr>
      <w:rPr>
        <w:rFonts w:hint="default"/>
        <w:lang w:val="zh-CN" w:eastAsia="zh-CN" w:bidi="zh-CN"/>
      </w:rPr>
    </w:lvl>
    <w:lvl w:ilvl="7">
      <w:start w:val="0"/>
      <w:numFmt w:val="bullet"/>
      <w:lvlText w:val="•"/>
      <w:lvlJc w:val="left"/>
      <w:pPr>
        <w:ind w:left="7908" w:hanging="689"/>
      </w:pPr>
      <w:rPr>
        <w:rFonts w:hint="default"/>
        <w:lang w:val="zh-CN" w:eastAsia="zh-CN" w:bidi="zh-CN"/>
      </w:rPr>
    </w:lvl>
    <w:lvl w:ilvl="8">
      <w:start w:val="0"/>
      <w:numFmt w:val="bullet"/>
      <w:lvlText w:val="•"/>
      <w:lvlJc w:val="left"/>
      <w:pPr>
        <w:ind w:left="8821" w:hanging="689"/>
      </w:pPr>
      <w:rPr>
        <w:rFonts w:hint="default"/>
        <w:lang w:val="zh-CN" w:eastAsia="zh-CN" w:bidi="zh-CN"/>
      </w:rPr>
    </w:lvl>
  </w:abstractNum>
  <w:abstractNum w:abstractNumId="144">
    <w:multiLevelType w:val="hybridMultilevel"/>
    <w:lvl w:ilvl="0">
      <w:start w:val="3"/>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143">
    <w:multiLevelType w:val="hybridMultilevel"/>
    <w:lvl w:ilvl="0">
      <w:start w:val="3"/>
      <w:numFmt w:val="decimal"/>
      <w:lvlText w:val="%1"/>
      <w:lvlJc w:val="left"/>
      <w:pPr>
        <w:ind w:left="1423" w:hanging="584"/>
        <w:jc w:val="left"/>
      </w:pPr>
      <w:rPr>
        <w:rFonts w:hint="default"/>
        <w:lang w:val="zh-CN" w:eastAsia="zh-CN" w:bidi="zh-CN"/>
      </w:rPr>
    </w:lvl>
    <w:lvl w:ilvl="1">
      <w:start w:val="2"/>
      <w:numFmt w:val="decimal"/>
      <w:lvlText w:val="%1.%2"/>
      <w:lvlJc w:val="left"/>
      <w:pPr>
        <w:ind w:left="1423" w:hanging="584"/>
        <w:jc w:val="left"/>
      </w:pPr>
      <w:rPr>
        <w:rFonts w:hint="default"/>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4187" w:hanging="584"/>
      </w:pPr>
      <w:rPr>
        <w:rFonts w:hint="default"/>
        <w:lang w:val="zh-CN" w:eastAsia="zh-CN" w:bidi="zh-CN"/>
      </w:rPr>
    </w:lvl>
    <w:lvl w:ilvl="4">
      <w:start w:val="0"/>
      <w:numFmt w:val="bullet"/>
      <w:lvlText w:val="•"/>
      <w:lvlJc w:val="left"/>
      <w:pPr>
        <w:ind w:left="5110" w:hanging="584"/>
      </w:pPr>
      <w:rPr>
        <w:rFonts w:hint="default"/>
        <w:lang w:val="zh-CN" w:eastAsia="zh-CN" w:bidi="zh-CN"/>
      </w:rPr>
    </w:lvl>
    <w:lvl w:ilvl="5">
      <w:start w:val="0"/>
      <w:numFmt w:val="bullet"/>
      <w:lvlText w:val="•"/>
      <w:lvlJc w:val="left"/>
      <w:pPr>
        <w:ind w:left="6033" w:hanging="584"/>
      </w:pPr>
      <w:rPr>
        <w:rFonts w:hint="default"/>
        <w:lang w:val="zh-CN" w:eastAsia="zh-CN" w:bidi="zh-CN"/>
      </w:rPr>
    </w:lvl>
    <w:lvl w:ilvl="6">
      <w:start w:val="0"/>
      <w:numFmt w:val="bullet"/>
      <w:lvlText w:val="•"/>
      <w:lvlJc w:val="left"/>
      <w:pPr>
        <w:ind w:left="6955" w:hanging="584"/>
      </w:pPr>
      <w:rPr>
        <w:rFonts w:hint="default"/>
        <w:lang w:val="zh-CN" w:eastAsia="zh-CN" w:bidi="zh-CN"/>
      </w:rPr>
    </w:lvl>
    <w:lvl w:ilvl="7">
      <w:start w:val="0"/>
      <w:numFmt w:val="bullet"/>
      <w:lvlText w:val="•"/>
      <w:lvlJc w:val="left"/>
      <w:pPr>
        <w:ind w:left="7878" w:hanging="584"/>
      </w:pPr>
      <w:rPr>
        <w:rFonts w:hint="default"/>
        <w:lang w:val="zh-CN" w:eastAsia="zh-CN" w:bidi="zh-CN"/>
      </w:rPr>
    </w:lvl>
    <w:lvl w:ilvl="8">
      <w:start w:val="0"/>
      <w:numFmt w:val="bullet"/>
      <w:lvlText w:val="•"/>
      <w:lvlJc w:val="left"/>
      <w:pPr>
        <w:ind w:left="8801" w:hanging="584"/>
      </w:pPr>
      <w:rPr>
        <w:rFonts w:hint="default"/>
        <w:lang w:val="zh-CN" w:eastAsia="zh-CN" w:bidi="zh-CN"/>
      </w:rPr>
    </w:lvl>
  </w:abstractNum>
  <w:abstractNum w:abstractNumId="142">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23" w:hanging="584"/>
        <w:jc w:val="left"/>
      </w:pPr>
      <w:rPr>
        <w:rFonts w:hint="default" w:ascii="宋体" w:hAnsi="宋体" w:eastAsia="宋体" w:cs="宋体"/>
        <w:b/>
        <w:bCs/>
        <w:w w:val="99"/>
        <w:sz w:val="21"/>
        <w:szCs w:val="21"/>
        <w:lang w:val="zh-CN" w:eastAsia="zh-CN" w:bidi="zh-CN"/>
      </w:rPr>
    </w:lvl>
    <w:lvl w:ilvl="3">
      <w:start w:val="0"/>
      <w:numFmt w:val="bullet"/>
      <w:lvlText w:val="•"/>
      <w:lvlJc w:val="left"/>
      <w:pPr>
        <w:ind w:left="3470" w:hanging="584"/>
      </w:pPr>
      <w:rPr>
        <w:rFonts w:hint="default"/>
        <w:lang w:val="zh-CN" w:eastAsia="zh-CN" w:bidi="zh-CN"/>
      </w:rPr>
    </w:lvl>
    <w:lvl w:ilvl="4">
      <w:start w:val="0"/>
      <w:numFmt w:val="bullet"/>
      <w:lvlText w:val="•"/>
      <w:lvlJc w:val="left"/>
      <w:pPr>
        <w:ind w:left="4495" w:hanging="584"/>
      </w:pPr>
      <w:rPr>
        <w:rFonts w:hint="default"/>
        <w:lang w:val="zh-CN" w:eastAsia="zh-CN" w:bidi="zh-CN"/>
      </w:rPr>
    </w:lvl>
    <w:lvl w:ilvl="5">
      <w:start w:val="0"/>
      <w:numFmt w:val="bullet"/>
      <w:lvlText w:val="•"/>
      <w:lvlJc w:val="left"/>
      <w:pPr>
        <w:ind w:left="5520" w:hanging="584"/>
      </w:pPr>
      <w:rPr>
        <w:rFonts w:hint="default"/>
        <w:lang w:val="zh-CN" w:eastAsia="zh-CN" w:bidi="zh-CN"/>
      </w:rPr>
    </w:lvl>
    <w:lvl w:ilvl="6">
      <w:start w:val="0"/>
      <w:numFmt w:val="bullet"/>
      <w:lvlText w:val="•"/>
      <w:lvlJc w:val="left"/>
      <w:pPr>
        <w:ind w:left="6545" w:hanging="584"/>
      </w:pPr>
      <w:rPr>
        <w:rFonts w:hint="default"/>
        <w:lang w:val="zh-CN" w:eastAsia="zh-CN" w:bidi="zh-CN"/>
      </w:rPr>
    </w:lvl>
    <w:lvl w:ilvl="7">
      <w:start w:val="0"/>
      <w:numFmt w:val="bullet"/>
      <w:lvlText w:val="•"/>
      <w:lvlJc w:val="left"/>
      <w:pPr>
        <w:ind w:left="7570" w:hanging="584"/>
      </w:pPr>
      <w:rPr>
        <w:rFonts w:hint="default"/>
        <w:lang w:val="zh-CN" w:eastAsia="zh-CN" w:bidi="zh-CN"/>
      </w:rPr>
    </w:lvl>
    <w:lvl w:ilvl="8">
      <w:start w:val="0"/>
      <w:numFmt w:val="bullet"/>
      <w:lvlText w:val="•"/>
      <w:lvlJc w:val="left"/>
      <w:pPr>
        <w:ind w:left="8596" w:hanging="584"/>
      </w:pPr>
      <w:rPr>
        <w:rFonts w:hint="default"/>
        <w:lang w:val="zh-CN" w:eastAsia="zh-CN" w:bidi="zh-CN"/>
      </w:rPr>
    </w:lvl>
  </w:abstractNum>
  <w:abstractNum w:abstractNumId="141">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140">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139">
    <w:multiLevelType w:val="hybridMultilevel"/>
    <w:lvl w:ilvl="0">
      <w:start w:val="8"/>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138">
    <w:multiLevelType w:val="hybridMultilevel"/>
    <w:lvl w:ilvl="0">
      <w:start w:val="7"/>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137">
    <w:multiLevelType w:val="hybridMultilevel"/>
    <w:lvl w:ilvl="0">
      <w:start w:val="6"/>
      <w:numFmt w:val="decimal"/>
      <w:lvlText w:val="%1"/>
      <w:lvlJc w:val="left"/>
      <w:pPr>
        <w:ind w:left="1158" w:hanging="318"/>
        <w:jc w:val="left"/>
      </w:pPr>
      <w:rPr>
        <w:rFonts w:hint="default"/>
        <w:lang w:val="zh-CN" w:eastAsia="zh-CN" w:bidi="zh-CN"/>
      </w:rPr>
    </w:lvl>
    <w:lvl w:ilvl="1">
      <w:start w:val="6"/>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136">
    <w:multiLevelType w:val="hybridMultilevel"/>
    <w:lvl w:ilvl="0">
      <w:start w:val="6"/>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135">
    <w:multiLevelType w:val="hybridMultilevel"/>
    <w:lvl w:ilvl="0">
      <w:start w:val="5"/>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6"/>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134">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82" w:hanging="743"/>
        <w:jc w:val="left"/>
      </w:pPr>
      <w:rPr>
        <w:rFonts w:hint="default" w:ascii="宋体" w:hAnsi="宋体" w:eastAsia="宋体" w:cs="宋体"/>
        <w:b/>
        <w:bCs/>
        <w:spacing w:val="-3"/>
        <w:w w:val="99"/>
        <w:sz w:val="19"/>
        <w:szCs w:val="19"/>
        <w:lang w:val="zh-CN" w:eastAsia="zh-CN" w:bidi="zh-CN"/>
      </w:rPr>
    </w:lvl>
    <w:lvl w:ilvl="4">
      <w:start w:val="0"/>
      <w:numFmt w:val="bullet"/>
      <w:lvlText w:val="•"/>
      <w:lvlJc w:val="left"/>
      <w:pPr>
        <w:ind w:left="3846" w:hanging="743"/>
      </w:pPr>
      <w:rPr>
        <w:rFonts w:hint="default"/>
        <w:lang w:val="zh-CN" w:eastAsia="zh-CN" w:bidi="zh-CN"/>
      </w:rPr>
    </w:lvl>
    <w:lvl w:ilvl="5">
      <w:start w:val="0"/>
      <w:numFmt w:val="bullet"/>
      <w:lvlText w:val="•"/>
      <w:lvlJc w:val="left"/>
      <w:pPr>
        <w:ind w:left="4979" w:hanging="743"/>
      </w:pPr>
      <w:rPr>
        <w:rFonts w:hint="default"/>
        <w:lang w:val="zh-CN" w:eastAsia="zh-CN" w:bidi="zh-CN"/>
      </w:rPr>
    </w:lvl>
    <w:lvl w:ilvl="6">
      <w:start w:val="0"/>
      <w:numFmt w:val="bullet"/>
      <w:lvlText w:val="•"/>
      <w:lvlJc w:val="left"/>
      <w:pPr>
        <w:ind w:left="6113" w:hanging="743"/>
      </w:pPr>
      <w:rPr>
        <w:rFonts w:hint="default"/>
        <w:lang w:val="zh-CN" w:eastAsia="zh-CN" w:bidi="zh-CN"/>
      </w:rPr>
    </w:lvl>
    <w:lvl w:ilvl="7">
      <w:start w:val="0"/>
      <w:numFmt w:val="bullet"/>
      <w:lvlText w:val="•"/>
      <w:lvlJc w:val="left"/>
      <w:pPr>
        <w:ind w:left="7246" w:hanging="743"/>
      </w:pPr>
      <w:rPr>
        <w:rFonts w:hint="default"/>
        <w:lang w:val="zh-CN" w:eastAsia="zh-CN" w:bidi="zh-CN"/>
      </w:rPr>
    </w:lvl>
    <w:lvl w:ilvl="8">
      <w:start w:val="0"/>
      <w:numFmt w:val="bullet"/>
      <w:lvlText w:val="•"/>
      <w:lvlJc w:val="left"/>
      <w:pPr>
        <w:ind w:left="8379" w:hanging="743"/>
      </w:pPr>
      <w:rPr>
        <w:rFonts w:hint="default"/>
        <w:lang w:val="zh-CN" w:eastAsia="zh-CN" w:bidi="zh-CN"/>
      </w:rPr>
    </w:lvl>
  </w:abstractNum>
  <w:abstractNum w:abstractNumId="133">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132">
    <w:multiLevelType w:val="hybridMultilevel"/>
    <w:lvl w:ilvl="0">
      <w:start w:val="3"/>
      <w:numFmt w:val="decimal"/>
      <w:lvlText w:val="%1"/>
      <w:lvlJc w:val="left"/>
      <w:pPr>
        <w:ind w:left="838" w:hanging="372"/>
        <w:jc w:val="left"/>
      </w:pPr>
      <w:rPr>
        <w:rFonts w:hint="default"/>
        <w:lang w:val="zh-CN" w:eastAsia="zh-CN" w:bidi="zh-CN"/>
      </w:rPr>
    </w:lvl>
    <w:lvl w:ilvl="1">
      <w:start w:val="1"/>
      <w:numFmt w:val="decimal"/>
      <w:lvlText w:val="%1.%2"/>
      <w:lvlJc w:val="left"/>
      <w:pPr>
        <w:ind w:left="838" w:hanging="372"/>
        <w:jc w:val="left"/>
      </w:pPr>
      <w:rPr>
        <w:rFonts w:hint="default" w:ascii="宋体" w:hAnsi="宋体" w:eastAsia="宋体" w:cs="宋体"/>
        <w:b/>
        <w:bCs/>
        <w:w w:val="99"/>
        <w:sz w:val="21"/>
        <w:szCs w:val="21"/>
        <w:lang w:val="zh-CN" w:eastAsia="zh-CN" w:bidi="zh-CN"/>
      </w:rPr>
    </w:lvl>
    <w:lvl w:ilvl="2">
      <w:start w:val="0"/>
      <w:numFmt w:val="bullet"/>
      <w:lvlText w:val="•"/>
      <w:lvlJc w:val="left"/>
      <w:pPr>
        <w:ind w:left="2801" w:hanging="372"/>
      </w:pPr>
      <w:rPr>
        <w:rFonts w:hint="default"/>
        <w:lang w:val="zh-CN" w:eastAsia="zh-CN" w:bidi="zh-CN"/>
      </w:rPr>
    </w:lvl>
    <w:lvl w:ilvl="3">
      <w:start w:val="0"/>
      <w:numFmt w:val="bullet"/>
      <w:lvlText w:val="•"/>
      <w:lvlJc w:val="left"/>
      <w:pPr>
        <w:ind w:left="3781" w:hanging="372"/>
      </w:pPr>
      <w:rPr>
        <w:rFonts w:hint="default"/>
        <w:lang w:val="zh-CN" w:eastAsia="zh-CN" w:bidi="zh-CN"/>
      </w:rPr>
    </w:lvl>
    <w:lvl w:ilvl="4">
      <w:start w:val="0"/>
      <w:numFmt w:val="bullet"/>
      <w:lvlText w:val="•"/>
      <w:lvlJc w:val="left"/>
      <w:pPr>
        <w:ind w:left="4762" w:hanging="372"/>
      </w:pPr>
      <w:rPr>
        <w:rFonts w:hint="default"/>
        <w:lang w:val="zh-CN" w:eastAsia="zh-CN" w:bidi="zh-CN"/>
      </w:rPr>
    </w:lvl>
    <w:lvl w:ilvl="5">
      <w:start w:val="0"/>
      <w:numFmt w:val="bullet"/>
      <w:lvlText w:val="•"/>
      <w:lvlJc w:val="left"/>
      <w:pPr>
        <w:ind w:left="5743" w:hanging="372"/>
      </w:pPr>
      <w:rPr>
        <w:rFonts w:hint="default"/>
        <w:lang w:val="zh-CN" w:eastAsia="zh-CN" w:bidi="zh-CN"/>
      </w:rPr>
    </w:lvl>
    <w:lvl w:ilvl="6">
      <w:start w:val="0"/>
      <w:numFmt w:val="bullet"/>
      <w:lvlText w:val="•"/>
      <w:lvlJc w:val="left"/>
      <w:pPr>
        <w:ind w:left="6723" w:hanging="372"/>
      </w:pPr>
      <w:rPr>
        <w:rFonts w:hint="default"/>
        <w:lang w:val="zh-CN" w:eastAsia="zh-CN" w:bidi="zh-CN"/>
      </w:rPr>
    </w:lvl>
    <w:lvl w:ilvl="7">
      <w:start w:val="0"/>
      <w:numFmt w:val="bullet"/>
      <w:lvlText w:val="•"/>
      <w:lvlJc w:val="left"/>
      <w:pPr>
        <w:ind w:left="7704" w:hanging="372"/>
      </w:pPr>
      <w:rPr>
        <w:rFonts w:hint="default"/>
        <w:lang w:val="zh-CN" w:eastAsia="zh-CN" w:bidi="zh-CN"/>
      </w:rPr>
    </w:lvl>
    <w:lvl w:ilvl="8">
      <w:start w:val="0"/>
      <w:numFmt w:val="bullet"/>
      <w:lvlText w:val="•"/>
      <w:lvlJc w:val="left"/>
      <w:pPr>
        <w:ind w:left="8685" w:hanging="372"/>
      </w:pPr>
      <w:rPr>
        <w:rFonts w:hint="default"/>
        <w:lang w:val="zh-CN" w:eastAsia="zh-CN" w:bidi="zh-CN"/>
      </w:rPr>
    </w:lvl>
  </w:abstractNum>
  <w:abstractNum w:abstractNumId="131">
    <w:multiLevelType w:val="hybridMultilevel"/>
    <w:lvl w:ilvl="0">
      <w:start w:val="2"/>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130">
    <w:multiLevelType w:val="hybridMultilevel"/>
    <w:lvl w:ilvl="0">
      <w:start w:val="9"/>
      <w:numFmt w:val="decimal"/>
      <w:lvlText w:val="%1"/>
      <w:lvlJc w:val="left"/>
      <w:pPr>
        <w:ind w:left="418" w:hanging="320"/>
        <w:jc w:val="left"/>
      </w:pPr>
      <w:rPr>
        <w:rFonts w:hint="default"/>
        <w:lang w:val="zh-CN" w:eastAsia="zh-CN" w:bidi="zh-CN"/>
      </w:rPr>
    </w:lvl>
    <w:lvl w:ilvl="1">
      <w:start w:val="1"/>
      <w:numFmt w:val="decimal"/>
      <w:lvlText w:val="%1.%2"/>
      <w:lvlJc w:val="left"/>
      <w:pPr>
        <w:ind w:left="418"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2465" w:hanging="320"/>
      </w:pPr>
      <w:rPr>
        <w:rFonts w:hint="default"/>
        <w:lang w:val="zh-CN" w:eastAsia="zh-CN" w:bidi="zh-CN"/>
      </w:rPr>
    </w:lvl>
    <w:lvl w:ilvl="3">
      <w:start w:val="0"/>
      <w:numFmt w:val="bullet"/>
      <w:lvlText w:val="•"/>
      <w:lvlJc w:val="left"/>
      <w:pPr>
        <w:ind w:left="3487" w:hanging="320"/>
      </w:pPr>
      <w:rPr>
        <w:rFonts w:hint="default"/>
        <w:lang w:val="zh-CN" w:eastAsia="zh-CN" w:bidi="zh-CN"/>
      </w:rPr>
    </w:lvl>
    <w:lvl w:ilvl="4">
      <w:start w:val="0"/>
      <w:numFmt w:val="bullet"/>
      <w:lvlText w:val="•"/>
      <w:lvlJc w:val="left"/>
      <w:pPr>
        <w:ind w:left="4510" w:hanging="320"/>
      </w:pPr>
      <w:rPr>
        <w:rFonts w:hint="default"/>
        <w:lang w:val="zh-CN" w:eastAsia="zh-CN" w:bidi="zh-CN"/>
      </w:rPr>
    </w:lvl>
    <w:lvl w:ilvl="5">
      <w:start w:val="0"/>
      <w:numFmt w:val="bullet"/>
      <w:lvlText w:val="•"/>
      <w:lvlJc w:val="left"/>
      <w:pPr>
        <w:ind w:left="5533" w:hanging="320"/>
      </w:pPr>
      <w:rPr>
        <w:rFonts w:hint="default"/>
        <w:lang w:val="zh-CN" w:eastAsia="zh-CN" w:bidi="zh-CN"/>
      </w:rPr>
    </w:lvl>
    <w:lvl w:ilvl="6">
      <w:start w:val="0"/>
      <w:numFmt w:val="bullet"/>
      <w:lvlText w:val="•"/>
      <w:lvlJc w:val="left"/>
      <w:pPr>
        <w:ind w:left="6555" w:hanging="320"/>
      </w:pPr>
      <w:rPr>
        <w:rFonts w:hint="default"/>
        <w:lang w:val="zh-CN" w:eastAsia="zh-CN" w:bidi="zh-CN"/>
      </w:rPr>
    </w:lvl>
    <w:lvl w:ilvl="7">
      <w:start w:val="0"/>
      <w:numFmt w:val="bullet"/>
      <w:lvlText w:val="•"/>
      <w:lvlJc w:val="left"/>
      <w:pPr>
        <w:ind w:left="7578" w:hanging="320"/>
      </w:pPr>
      <w:rPr>
        <w:rFonts w:hint="default"/>
        <w:lang w:val="zh-CN" w:eastAsia="zh-CN" w:bidi="zh-CN"/>
      </w:rPr>
    </w:lvl>
    <w:lvl w:ilvl="8">
      <w:start w:val="0"/>
      <w:numFmt w:val="bullet"/>
      <w:lvlText w:val="•"/>
      <w:lvlJc w:val="left"/>
      <w:pPr>
        <w:ind w:left="8601" w:hanging="320"/>
      </w:pPr>
      <w:rPr>
        <w:rFonts w:hint="default"/>
        <w:lang w:val="zh-CN" w:eastAsia="zh-CN" w:bidi="zh-CN"/>
      </w:rPr>
    </w:lvl>
  </w:abstractNum>
  <w:abstractNum w:abstractNumId="129">
    <w:multiLevelType w:val="hybridMultilevel"/>
    <w:lvl w:ilvl="0">
      <w:start w:val="4"/>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128">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31"/>
      </w:pPr>
      <w:rPr>
        <w:rFonts w:hint="default"/>
        <w:lang w:val="zh-CN" w:eastAsia="zh-CN" w:bidi="zh-CN"/>
      </w:rPr>
    </w:lvl>
    <w:lvl w:ilvl="4">
      <w:start w:val="0"/>
      <w:numFmt w:val="bullet"/>
      <w:lvlText w:val="•"/>
      <w:lvlJc w:val="left"/>
      <w:pPr>
        <w:ind w:left="3681" w:hanging="531"/>
      </w:pPr>
      <w:rPr>
        <w:rFonts w:hint="default"/>
        <w:lang w:val="zh-CN" w:eastAsia="zh-CN" w:bidi="zh-CN"/>
      </w:rPr>
    </w:lvl>
    <w:lvl w:ilvl="5">
      <w:start w:val="0"/>
      <w:numFmt w:val="bullet"/>
      <w:lvlText w:val="•"/>
      <w:lvlJc w:val="left"/>
      <w:pPr>
        <w:ind w:left="4842" w:hanging="531"/>
      </w:pPr>
      <w:rPr>
        <w:rFonts w:hint="default"/>
        <w:lang w:val="zh-CN" w:eastAsia="zh-CN" w:bidi="zh-CN"/>
      </w:rPr>
    </w:lvl>
    <w:lvl w:ilvl="6">
      <w:start w:val="0"/>
      <w:numFmt w:val="bullet"/>
      <w:lvlText w:val="•"/>
      <w:lvlJc w:val="left"/>
      <w:pPr>
        <w:ind w:left="6003" w:hanging="531"/>
      </w:pPr>
      <w:rPr>
        <w:rFonts w:hint="default"/>
        <w:lang w:val="zh-CN" w:eastAsia="zh-CN" w:bidi="zh-CN"/>
      </w:rPr>
    </w:lvl>
    <w:lvl w:ilvl="7">
      <w:start w:val="0"/>
      <w:numFmt w:val="bullet"/>
      <w:lvlText w:val="•"/>
      <w:lvlJc w:val="left"/>
      <w:pPr>
        <w:ind w:left="7164" w:hanging="531"/>
      </w:pPr>
      <w:rPr>
        <w:rFonts w:hint="default"/>
        <w:lang w:val="zh-CN" w:eastAsia="zh-CN" w:bidi="zh-CN"/>
      </w:rPr>
    </w:lvl>
    <w:lvl w:ilvl="8">
      <w:start w:val="0"/>
      <w:numFmt w:val="bullet"/>
      <w:lvlText w:val="•"/>
      <w:lvlJc w:val="left"/>
      <w:pPr>
        <w:ind w:left="8324" w:hanging="531"/>
      </w:pPr>
      <w:rPr>
        <w:rFonts w:hint="default"/>
        <w:lang w:val="zh-CN" w:eastAsia="zh-CN" w:bidi="zh-CN"/>
      </w:rPr>
    </w:lvl>
  </w:abstractNum>
  <w:abstractNum w:abstractNumId="127">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26">
    <w:multiLevelType w:val="hybridMultilevel"/>
    <w:lvl w:ilvl="0">
      <w:start w:val="6"/>
      <w:numFmt w:val="decimal"/>
      <w:lvlText w:val="%1"/>
      <w:lvlJc w:val="left"/>
      <w:pPr>
        <w:ind w:left="1158" w:hanging="318"/>
        <w:jc w:val="left"/>
      </w:pPr>
      <w:rPr>
        <w:rFonts w:hint="default"/>
        <w:lang w:val="zh-CN" w:eastAsia="zh-CN" w:bidi="zh-CN"/>
      </w:rPr>
    </w:lvl>
    <w:lvl w:ilvl="1">
      <w:start w:val="5"/>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29"/>
      </w:pPr>
      <w:rPr>
        <w:rFonts w:hint="default"/>
        <w:lang w:val="zh-CN" w:eastAsia="zh-CN" w:bidi="zh-CN"/>
      </w:rPr>
    </w:lvl>
    <w:lvl w:ilvl="4">
      <w:start w:val="0"/>
      <w:numFmt w:val="bullet"/>
      <w:lvlText w:val="•"/>
      <w:lvlJc w:val="left"/>
      <w:pPr>
        <w:ind w:left="3696" w:hanging="529"/>
      </w:pPr>
      <w:rPr>
        <w:rFonts w:hint="default"/>
        <w:lang w:val="zh-CN" w:eastAsia="zh-CN" w:bidi="zh-CN"/>
      </w:rPr>
    </w:lvl>
    <w:lvl w:ilvl="5">
      <w:start w:val="0"/>
      <w:numFmt w:val="bullet"/>
      <w:lvlText w:val="•"/>
      <w:lvlJc w:val="left"/>
      <w:pPr>
        <w:ind w:left="4854" w:hanging="529"/>
      </w:pPr>
      <w:rPr>
        <w:rFonts w:hint="default"/>
        <w:lang w:val="zh-CN" w:eastAsia="zh-CN" w:bidi="zh-CN"/>
      </w:rPr>
    </w:lvl>
    <w:lvl w:ilvl="6">
      <w:start w:val="0"/>
      <w:numFmt w:val="bullet"/>
      <w:lvlText w:val="•"/>
      <w:lvlJc w:val="left"/>
      <w:pPr>
        <w:ind w:left="6013" w:hanging="529"/>
      </w:pPr>
      <w:rPr>
        <w:rFonts w:hint="default"/>
        <w:lang w:val="zh-CN" w:eastAsia="zh-CN" w:bidi="zh-CN"/>
      </w:rPr>
    </w:lvl>
    <w:lvl w:ilvl="7">
      <w:start w:val="0"/>
      <w:numFmt w:val="bullet"/>
      <w:lvlText w:val="•"/>
      <w:lvlJc w:val="left"/>
      <w:pPr>
        <w:ind w:left="7171" w:hanging="529"/>
      </w:pPr>
      <w:rPr>
        <w:rFonts w:hint="default"/>
        <w:lang w:val="zh-CN" w:eastAsia="zh-CN" w:bidi="zh-CN"/>
      </w:rPr>
    </w:lvl>
    <w:lvl w:ilvl="8">
      <w:start w:val="0"/>
      <w:numFmt w:val="bullet"/>
      <w:lvlText w:val="•"/>
      <w:lvlJc w:val="left"/>
      <w:pPr>
        <w:ind w:left="8329" w:hanging="529"/>
      </w:pPr>
      <w:rPr>
        <w:rFonts w:hint="default"/>
        <w:lang w:val="zh-CN" w:eastAsia="zh-CN" w:bidi="zh-CN"/>
      </w:rPr>
    </w:lvl>
  </w:abstractNum>
  <w:abstractNum w:abstractNumId="125">
    <w:multiLevelType w:val="hybridMultilevel"/>
    <w:lvl w:ilvl="0">
      <w:start w:val="6"/>
      <w:numFmt w:val="decimal"/>
      <w:lvlText w:val="%1"/>
      <w:lvlJc w:val="left"/>
      <w:pPr>
        <w:ind w:left="418" w:hanging="529"/>
        <w:jc w:val="left"/>
      </w:pPr>
      <w:rPr>
        <w:rFonts w:hint="default"/>
        <w:lang w:val="zh-CN" w:eastAsia="zh-CN" w:bidi="zh-CN"/>
      </w:rPr>
    </w:lvl>
    <w:lvl w:ilvl="1">
      <w:start w:val="4"/>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124">
    <w:multiLevelType w:val="hybridMultilevel"/>
    <w:lvl w:ilvl="0">
      <w:start w:val="6"/>
      <w:numFmt w:val="decimal"/>
      <w:lvlText w:val="%1"/>
      <w:lvlJc w:val="left"/>
      <w:pPr>
        <w:ind w:left="418" w:hanging="529"/>
        <w:jc w:val="left"/>
      </w:pPr>
      <w:rPr>
        <w:rFonts w:hint="default"/>
        <w:lang w:val="zh-CN" w:eastAsia="zh-CN" w:bidi="zh-CN"/>
      </w:rPr>
    </w:lvl>
    <w:lvl w:ilvl="1">
      <w:start w:val="2"/>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123">
    <w:multiLevelType w:val="hybridMultilevel"/>
    <w:lvl w:ilvl="0">
      <w:start w:val="5"/>
      <w:numFmt w:val="decimal"/>
      <w:lvlText w:val="%1"/>
      <w:lvlJc w:val="left"/>
      <w:pPr>
        <w:ind w:left="1158" w:hanging="318"/>
        <w:jc w:val="left"/>
      </w:pPr>
      <w:rPr>
        <w:rFonts w:hint="default"/>
        <w:lang w:val="zh-CN" w:eastAsia="zh-CN" w:bidi="zh-CN"/>
      </w:rPr>
    </w:lvl>
    <w:lvl w:ilvl="1">
      <w:start w:val="8"/>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122">
    <w:multiLevelType w:val="hybridMultilevel"/>
    <w:lvl w:ilvl="0">
      <w:start w:val="5"/>
      <w:numFmt w:val="decimal"/>
      <w:lvlText w:val="%1"/>
      <w:lvlJc w:val="left"/>
      <w:pPr>
        <w:ind w:left="1370" w:hanging="531"/>
        <w:jc w:val="left"/>
      </w:pPr>
      <w:rPr>
        <w:rFonts w:hint="default"/>
        <w:lang w:val="zh-CN" w:eastAsia="zh-CN" w:bidi="zh-CN"/>
      </w:rPr>
    </w:lvl>
    <w:lvl w:ilvl="1">
      <w:start w:val="7"/>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121">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2520" w:hanging="529"/>
      </w:pPr>
      <w:rPr>
        <w:rFonts w:hint="default"/>
        <w:lang w:val="zh-CN" w:eastAsia="zh-CN" w:bidi="zh-CN"/>
      </w:rPr>
    </w:lvl>
    <w:lvl w:ilvl="4">
      <w:start w:val="0"/>
      <w:numFmt w:val="bullet"/>
      <w:lvlText w:val="•"/>
      <w:lvlJc w:val="left"/>
      <w:pPr>
        <w:ind w:left="3681" w:hanging="529"/>
      </w:pPr>
      <w:rPr>
        <w:rFonts w:hint="default"/>
        <w:lang w:val="zh-CN" w:eastAsia="zh-CN" w:bidi="zh-CN"/>
      </w:rPr>
    </w:lvl>
    <w:lvl w:ilvl="5">
      <w:start w:val="0"/>
      <w:numFmt w:val="bullet"/>
      <w:lvlText w:val="•"/>
      <w:lvlJc w:val="left"/>
      <w:pPr>
        <w:ind w:left="4842" w:hanging="529"/>
      </w:pPr>
      <w:rPr>
        <w:rFonts w:hint="default"/>
        <w:lang w:val="zh-CN" w:eastAsia="zh-CN" w:bidi="zh-CN"/>
      </w:rPr>
    </w:lvl>
    <w:lvl w:ilvl="6">
      <w:start w:val="0"/>
      <w:numFmt w:val="bullet"/>
      <w:lvlText w:val="•"/>
      <w:lvlJc w:val="left"/>
      <w:pPr>
        <w:ind w:left="6003" w:hanging="529"/>
      </w:pPr>
      <w:rPr>
        <w:rFonts w:hint="default"/>
        <w:lang w:val="zh-CN" w:eastAsia="zh-CN" w:bidi="zh-CN"/>
      </w:rPr>
    </w:lvl>
    <w:lvl w:ilvl="7">
      <w:start w:val="0"/>
      <w:numFmt w:val="bullet"/>
      <w:lvlText w:val="•"/>
      <w:lvlJc w:val="left"/>
      <w:pPr>
        <w:ind w:left="7164" w:hanging="529"/>
      </w:pPr>
      <w:rPr>
        <w:rFonts w:hint="default"/>
        <w:lang w:val="zh-CN" w:eastAsia="zh-CN" w:bidi="zh-CN"/>
      </w:rPr>
    </w:lvl>
    <w:lvl w:ilvl="8">
      <w:start w:val="0"/>
      <w:numFmt w:val="bullet"/>
      <w:lvlText w:val="•"/>
      <w:lvlJc w:val="left"/>
      <w:pPr>
        <w:ind w:left="8324" w:hanging="529"/>
      </w:pPr>
      <w:rPr>
        <w:rFonts w:hint="default"/>
        <w:lang w:val="zh-CN" w:eastAsia="zh-CN" w:bidi="zh-CN"/>
      </w:rPr>
    </w:lvl>
  </w:abstractNum>
  <w:abstractNum w:abstractNumId="120">
    <w:multiLevelType w:val="hybridMultilevel"/>
    <w:lvl w:ilvl="0">
      <w:start w:val="4"/>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119">
    <w:multiLevelType w:val="hybridMultilevel"/>
    <w:lvl w:ilvl="0">
      <w:start w:val="8"/>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118">
    <w:multiLevelType w:val="hybridMultilevel"/>
    <w:lvl w:ilvl="0">
      <w:start w:val="8"/>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117">
    <w:multiLevelType w:val="hybridMultilevel"/>
    <w:lvl w:ilvl="0">
      <w:start w:val="7"/>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116">
    <w:multiLevelType w:val="hybridMultilevel"/>
    <w:lvl w:ilvl="0">
      <w:start w:val="6"/>
      <w:numFmt w:val="decimal"/>
      <w:lvlText w:val="%1"/>
      <w:lvlJc w:val="left"/>
      <w:pPr>
        <w:ind w:left="1263" w:hanging="424"/>
        <w:jc w:val="left"/>
      </w:pPr>
      <w:rPr>
        <w:rFonts w:hint="default"/>
        <w:lang w:val="zh-CN" w:eastAsia="zh-CN" w:bidi="zh-CN"/>
      </w:rPr>
    </w:lvl>
    <w:lvl w:ilvl="1">
      <w:start w:val="27"/>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3137" w:hanging="424"/>
      </w:pPr>
      <w:rPr>
        <w:rFonts w:hint="default"/>
        <w:lang w:val="zh-CN" w:eastAsia="zh-CN" w:bidi="zh-CN"/>
      </w:rPr>
    </w:lvl>
    <w:lvl w:ilvl="3">
      <w:start w:val="0"/>
      <w:numFmt w:val="bullet"/>
      <w:lvlText w:val="•"/>
      <w:lvlJc w:val="left"/>
      <w:pPr>
        <w:ind w:left="4075" w:hanging="424"/>
      </w:pPr>
      <w:rPr>
        <w:rFonts w:hint="default"/>
        <w:lang w:val="zh-CN" w:eastAsia="zh-CN" w:bidi="zh-CN"/>
      </w:rPr>
    </w:lvl>
    <w:lvl w:ilvl="4">
      <w:start w:val="0"/>
      <w:numFmt w:val="bullet"/>
      <w:lvlText w:val="•"/>
      <w:lvlJc w:val="left"/>
      <w:pPr>
        <w:ind w:left="5014" w:hanging="424"/>
      </w:pPr>
      <w:rPr>
        <w:rFonts w:hint="default"/>
        <w:lang w:val="zh-CN" w:eastAsia="zh-CN" w:bidi="zh-CN"/>
      </w:rPr>
    </w:lvl>
    <w:lvl w:ilvl="5">
      <w:start w:val="0"/>
      <w:numFmt w:val="bullet"/>
      <w:lvlText w:val="•"/>
      <w:lvlJc w:val="left"/>
      <w:pPr>
        <w:ind w:left="5953" w:hanging="424"/>
      </w:pPr>
      <w:rPr>
        <w:rFonts w:hint="default"/>
        <w:lang w:val="zh-CN" w:eastAsia="zh-CN" w:bidi="zh-CN"/>
      </w:rPr>
    </w:lvl>
    <w:lvl w:ilvl="6">
      <w:start w:val="0"/>
      <w:numFmt w:val="bullet"/>
      <w:lvlText w:val="•"/>
      <w:lvlJc w:val="left"/>
      <w:pPr>
        <w:ind w:left="6891" w:hanging="424"/>
      </w:pPr>
      <w:rPr>
        <w:rFonts w:hint="default"/>
        <w:lang w:val="zh-CN" w:eastAsia="zh-CN" w:bidi="zh-CN"/>
      </w:rPr>
    </w:lvl>
    <w:lvl w:ilvl="7">
      <w:start w:val="0"/>
      <w:numFmt w:val="bullet"/>
      <w:lvlText w:val="•"/>
      <w:lvlJc w:val="left"/>
      <w:pPr>
        <w:ind w:left="7830" w:hanging="424"/>
      </w:pPr>
      <w:rPr>
        <w:rFonts w:hint="default"/>
        <w:lang w:val="zh-CN" w:eastAsia="zh-CN" w:bidi="zh-CN"/>
      </w:rPr>
    </w:lvl>
    <w:lvl w:ilvl="8">
      <w:start w:val="0"/>
      <w:numFmt w:val="bullet"/>
      <w:lvlText w:val="•"/>
      <w:lvlJc w:val="left"/>
      <w:pPr>
        <w:ind w:left="8769" w:hanging="424"/>
      </w:pPr>
      <w:rPr>
        <w:rFonts w:hint="default"/>
        <w:lang w:val="zh-CN" w:eastAsia="zh-CN" w:bidi="zh-CN"/>
      </w:rPr>
    </w:lvl>
  </w:abstractNum>
  <w:abstractNum w:abstractNumId="115">
    <w:multiLevelType w:val="hybridMultilevel"/>
    <w:lvl w:ilvl="0">
      <w:start w:val="6"/>
      <w:numFmt w:val="decimal"/>
      <w:lvlText w:val="%1"/>
      <w:lvlJc w:val="left"/>
      <w:pPr>
        <w:ind w:left="1263" w:hanging="424"/>
        <w:jc w:val="left"/>
      </w:pPr>
      <w:rPr>
        <w:rFonts w:hint="default"/>
        <w:lang w:val="zh-CN" w:eastAsia="zh-CN" w:bidi="zh-CN"/>
      </w:rPr>
    </w:lvl>
    <w:lvl w:ilvl="1">
      <w:start w:val="13"/>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3137" w:hanging="424"/>
      </w:pPr>
      <w:rPr>
        <w:rFonts w:hint="default"/>
        <w:lang w:val="zh-CN" w:eastAsia="zh-CN" w:bidi="zh-CN"/>
      </w:rPr>
    </w:lvl>
    <w:lvl w:ilvl="3">
      <w:start w:val="0"/>
      <w:numFmt w:val="bullet"/>
      <w:lvlText w:val="•"/>
      <w:lvlJc w:val="left"/>
      <w:pPr>
        <w:ind w:left="4075" w:hanging="424"/>
      </w:pPr>
      <w:rPr>
        <w:rFonts w:hint="default"/>
        <w:lang w:val="zh-CN" w:eastAsia="zh-CN" w:bidi="zh-CN"/>
      </w:rPr>
    </w:lvl>
    <w:lvl w:ilvl="4">
      <w:start w:val="0"/>
      <w:numFmt w:val="bullet"/>
      <w:lvlText w:val="•"/>
      <w:lvlJc w:val="left"/>
      <w:pPr>
        <w:ind w:left="5014" w:hanging="424"/>
      </w:pPr>
      <w:rPr>
        <w:rFonts w:hint="default"/>
        <w:lang w:val="zh-CN" w:eastAsia="zh-CN" w:bidi="zh-CN"/>
      </w:rPr>
    </w:lvl>
    <w:lvl w:ilvl="5">
      <w:start w:val="0"/>
      <w:numFmt w:val="bullet"/>
      <w:lvlText w:val="•"/>
      <w:lvlJc w:val="left"/>
      <w:pPr>
        <w:ind w:left="5953" w:hanging="424"/>
      </w:pPr>
      <w:rPr>
        <w:rFonts w:hint="default"/>
        <w:lang w:val="zh-CN" w:eastAsia="zh-CN" w:bidi="zh-CN"/>
      </w:rPr>
    </w:lvl>
    <w:lvl w:ilvl="6">
      <w:start w:val="0"/>
      <w:numFmt w:val="bullet"/>
      <w:lvlText w:val="•"/>
      <w:lvlJc w:val="left"/>
      <w:pPr>
        <w:ind w:left="6891" w:hanging="424"/>
      </w:pPr>
      <w:rPr>
        <w:rFonts w:hint="default"/>
        <w:lang w:val="zh-CN" w:eastAsia="zh-CN" w:bidi="zh-CN"/>
      </w:rPr>
    </w:lvl>
    <w:lvl w:ilvl="7">
      <w:start w:val="0"/>
      <w:numFmt w:val="bullet"/>
      <w:lvlText w:val="•"/>
      <w:lvlJc w:val="left"/>
      <w:pPr>
        <w:ind w:left="7830" w:hanging="424"/>
      </w:pPr>
      <w:rPr>
        <w:rFonts w:hint="default"/>
        <w:lang w:val="zh-CN" w:eastAsia="zh-CN" w:bidi="zh-CN"/>
      </w:rPr>
    </w:lvl>
    <w:lvl w:ilvl="8">
      <w:start w:val="0"/>
      <w:numFmt w:val="bullet"/>
      <w:lvlText w:val="•"/>
      <w:lvlJc w:val="left"/>
      <w:pPr>
        <w:ind w:left="8769" w:hanging="424"/>
      </w:pPr>
      <w:rPr>
        <w:rFonts w:hint="default"/>
        <w:lang w:val="zh-CN" w:eastAsia="zh-CN" w:bidi="zh-CN"/>
      </w:rPr>
    </w:lvl>
  </w:abstractNum>
  <w:abstractNum w:abstractNumId="114">
    <w:multiLevelType w:val="hybridMultilevel"/>
    <w:lvl w:ilvl="0">
      <w:start w:val="6"/>
      <w:numFmt w:val="decimal"/>
      <w:lvlText w:val="%1"/>
      <w:lvlJc w:val="left"/>
      <w:pPr>
        <w:ind w:left="1159" w:hanging="320"/>
        <w:jc w:val="left"/>
      </w:pPr>
      <w:rPr>
        <w:rFonts w:hint="default"/>
        <w:lang w:val="zh-CN" w:eastAsia="zh-CN" w:bidi="zh-CN"/>
      </w:rPr>
    </w:lvl>
    <w:lvl w:ilvl="1">
      <w:start w:val="8"/>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113">
    <w:multiLevelType w:val="hybridMultilevel"/>
    <w:lvl w:ilvl="0">
      <w:start w:val="6"/>
      <w:numFmt w:val="decimal"/>
      <w:lvlText w:val="%1"/>
      <w:lvlJc w:val="left"/>
      <w:pPr>
        <w:ind w:left="1158" w:hanging="318"/>
        <w:jc w:val="left"/>
      </w:pPr>
      <w:rPr>
        <w:rFonts w:hint="default"/>
        <w:lang w:val="zh-CN" w:eastAsia="zh-CN" w:bidi="zh-CN"/>
      </w:rPr>
    </w:lvl>
    <w:lvl w:ilvl="1">
      <w:start w:val="5"/>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112">
    <w:multiLevelType w:val="hybridMultilevel"/>
    <w:lvl w:ilvl="0">
      <w:start w:val="1"/>
      <w:numFmt w:val="lowerLetter"/>
      <w:lvlText w:val="%1)"/>
      <w:lvlJc w:val="left"/>
      <w:pPr>
        <w:ind w:left="1050" w:hanging="213"/>
        <w:jc w:val="left"/>
      </w:pPr>
      <w:rPr>
        <w:rFonts w:hint="default" w:ascii="宋体" w:hAnsi="宋体" w:eastAsia="宋体" w:cs="宋体"/>
        <w:spacing w:val="-52"/>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111">
    <w:multiLevelType w:val="hybridMultilevel"/>
    <w:lvl w:ilvl="0">
      <w:start w:val="5"/>
      <w:numFmt w:val="decimal"/>
      <w:lvlText w:val="%1"/>
      <w:lvlJc w:val="left"/>
      <w:pPr>
        <w:ind w:left="1477" w:hanging="637"/>
        <w:jc w:val="left"/>
      </w:pPr>
      <w:rPr>
        <w:rFonts w:hint="default"/>
        <w:lang w:val="zh-CN" w:eastAsia="zh-CN" w:bidi="zh-CN"/>
      </w:rPr>
    </w:lvl>
    <w:lvl w:ilvl="1">
      <w:start w:val="3"/>
      <w:numFmt w:val="decimal"/>
      <w:lvlText w:val="%1.%2"/>
      <w:lvlJc w:val="left"/>
      <w:pPr>
        <w:ind w:left="1477" w:hanging="637"/>
        <w:jc w:val="left"/>
      </w:pPr>
      <w:rPr>
        <w:rFonts w:hint="default"/>
        <w:lang w:val="zh-CN" w:eastAsia="zh-CN" w:bidi="zh-CN"/>
      </w:rPr>
    </w:lvl>
    <w:lvl w:ilvl="2">
      <w:start w:val="13"/>
      <w:numFmt w:val="decimal"/>
      <w:lvlText w:val="%1.%2.%3"/>
      <w:lvlJc w:val="left"/>
      <w:pPr>
        <w:ind w:left="1477" w:hanging="637"/>
        <w:jc w:val="left"/>
      </w:pPr>
      <w:rPr>
        <w:rFonts w:hint="default" w:ascii="宋体" w:hAnsi="宋体" w:eastAsia="宋体" w:cs="宋体"/>
        <w:b/>
        <w:bCs/>
        <w:spacing w:val="-3"/>
        <w:w w:val="99"/>
        <w:sz w:val="19"/>
        <w:szCs w:val="19"/>
        <w:lang w:val="zh-CN" w:eastAsia="zh-CN" w:bidi="zh-CN"/>
      </w:rPr>
    </w:lvl>
    <w:lvl w:ilvl="3">
      <w:start w:val="0"/>
      <w:numFmt w:val="bullet"/>
      <w:lvlText w:val="•"/>
      <w:lvlJc w:val="left"/>
      <w:pPr>
        <w:ind w:left="4229" w:hanging="637"/>
      </w:pPr>
      <w:rPr>
        <w:rFonts w:hint="default"/>
        <w:lang w:val="zh-CN" w:eastAsia="zh-CN" w:bidi="zh-CN"/>
      </w:rPr>
    </w:lvl>
    <w:lvl w:ilvl="4">
      <w:start w:val="0"/>
      <w:numFmt w:val="bullet"/>
      <w:lvlText w:val="•"/>
      <w:lvlJc w:val="left"/>
      <w:pPr>
        <w:ind w:left="5146" w:hanging="637"/>
      </w:pPr>
      <w:rPr>
        <w:rFonts w:hint="default"/>
        <w:lang w:val="zh-CN" w:eastAsia="zh-CN" w:bidi="zh-CN"/>
      </w:rPr>
    </w:lvl>
    <w:lvl w:ilvl="5">
      <w:start w:val="0"/>
      <w:numFmt w:val="bullet"/>
      <w:lvlText w:val="•"/>
      <w:lvlJc w:val="left"/>
      <w:pPr>
        <w:ind w:left="6063" w:hanging="637"/>
      </w:pPr>
      <w:rPr>
        <w:rFonts w:hint="default"/>
        <w:lang w:val="zh-CN" w:eastAsia="zh-CN" w:bidi="zh-CN"/>
      </w:rPr>
    </w:lvl>
    <w:lvl w:ilvl="6">
      <w:start w:val="0"/>
      <w:numFmt w:val="bullet"/>
      <w:lvlText w:val="•"/>
      <w:lvlJc w:val="left"/>
      <w:pPr>
        <w:ind w:left="6979" w:hanging="637"/>
      </w:pPr>
      <w:rPr>
        <w:rFonts w:hint="default"/>
        <w:lang w:val="zh-CN" w:eastAsia="zh-CN" w:bidi="zh-CN"/>
      </w:rPr>
    </w:lvl>
    <w:lvl w:ilvl="7">
      <w:start w:val="0"/>
      <w:numFmt w:val="bullet"/>
      <w:lvlText w:val="•"/>
      <w:lvlJc w:val="left"/>
      <w:pPr>
        <w:ind w:left="7896" w:hanging="637"/>
      </w:pPr>
      <w:rPr>
        <w:rFonts w:hint="default"/>
        <w:lang w:val="zh-CN" w:eastAsia="zh-CN" w:bidi="zh-CN"/>
      </w:rPr>
    </w:lvl>
    <w:lvl w:ilvl="8">
      <w:start w:val="0"/>
      <w:numFmt w:val="bullet"/>
      <w:lvlText w:val="•"/>
      <w:lvlJc w:val="left"/>
      <w:pPr>
        <w:ind w:left="8813" w:hanging="637"/>
      </w:pPr>
      <w:rPr>
        <w:rFonts w:hint="default"/>
        <w:lang w:val="zh-CN" w:eastAsia="zh-CN" w:bidi="zh-CN"/>
      </w:rPr>
    </w:lvl>
  </w:abstractNum>
  <w:abstractNum w:abstractNumId="110">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83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31"/>
      </w:pPr>
      <w:rPr>
        <w:rFonts w:hint="default"/>
        <w:lang w:val="zh-CN" w:eastAsia="zh-CN" w:bidi="zh-CN"/>
      </w:rPr>
    </w:lvl>
    <w:lvl w:ilvl="4">
      <w:start w:val="0"/>
      <w:numFmt w:val="bullet"/>
      <w:lvlText w:val="•"/>
      <w:lvlJc w:val="left"/>
      <w:pPr>
        <w:ind w:left="2703" w:hanging="531"/>
      </w:pPr>
      <w:rPr>
        <w:rFonts w:hint="default"/>
        <w:lang w:val="zh-CN" w:eastAsia="zh-CN" w:bidi="zh-CN"/>
      </w:rPr>
    </w:lvl>
    <w:lvl w:ilvl="5">
      <w:start w:val="0"/>
      <w:numFmt w:val="bullet"/>
      <w:lvlText w:val="•"/>
      <w:lvlJc w:val="left"/>
      <w:pPr>
        <w:ind w:left="4027" w:hanging="531"/>
      </w:pPr>
      <w:rPr>
        <w:rFonts w:hint="default"/>
        <w:lang w:val="zh-CN" w:eastAsia="zh-CN" w:bidi="zh-CN"/>
      </w:rPr>
    </w:lvl>
    <w:lvl w:ilvl="6">
      <w:start w:val="0"/>
      <w:numFmt w:val="bullet"/>
      <w:lvlText w:val="•"/>
      <w:lvlJc w:val="left"/>
      <w:pPr>
        <w:ind w:left="5351" w:hanging="531"/>
      </w:pPr>
      <w:rPr>
        <w:rFonts w:hint="default"/>
        <w:lang w:val="zh-CN" w:eastAsia="zh-CN" w:bidi="zh-CN"/>
      </w:rPr>
    </w:lvl>
    <w:lvl w:ilvl="7">
      <w:start w:val="0"/>
      <w:numFmt w:val="bullet"/>
      <w:lvlText w:val="•"/>
      <w:lvlJc w:val="left"/>
      <w:pPr>
        <w:ind w:left="6675" w:hanging="531"/>
      </w:pPr>
      <w:rPr>
        <w:rFonts w:hint="default"/>
        <w:lang w:val="zh-CN" w:eastAsia="zh-CN" w:bidi="zh-CN"/>
      </w:rPr>
    </w:lvl>
    <w:lvl w:ilvl="8">
      <w:start w:val="0"/>
      <w:numFmt w:val="bullet"/>
      <w:lvlText w:val="•"/>
      <w:lvlJc w:val="left"/>
      <w:pPr>
        <w:ind w:left="7998" w:hanging="531"/>
      </w:pPr>
      <w:rPr>
        <w:rFonts w:hint="default"/>
        <w:lang w:val="zh-CN" w:eastAsia="zh-CN" w:bidi="zh-CN"/>
      </w:rPr>
    </w:lvl>
  </w:abstractNum>
  <w:abstractNum w:abstractNumId="109">
    <w:multiLevelType w:val="hybridMultilevel"/>
    <w:lvl w:ilvl="0">
      <w:start w:val="7"/>
      <w:numFmt w:val="decimal"/>
      <w:lvlText w:val="%1"/>
      <w:lvlJc w:val="left"/>
      <w:pPr>
        <w:ind w:left="418" w:hanging="529"/>
        <w:jc w:val="left"/>
      </w:pPr>
      <w:rPr>
        <w:rFonts w:hint="default"/>
        <w:lang w:val="zh-CN" w:eastAsia="zh-CN" w:bidi="zh-CN"/>
      </w:rPr>
    </w:lvl>
    <w:lvl w:ilvl="1">
      <w:start w:val="4"/>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108">
    <w:multiLevelType w:val="hybridMultilevel"/>
    <w:lvl w:ilvl="0">
      <w:start w:val="7"/>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107">
    <w:multiLevelType w:val="hybridMultilevel"/>
    <w:lvl w:ilvl="0">
      <w:start w:val="1"/>
      <w:numFmt w:val="lowerLetter"/>
      <w:lvlText w:val="%1）"/>
      <w:lvlJc w:val="left"/>
      <w:pPr>
        <w:ind w:left="83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820" w:hanging="318"/>
      </w:pPr>
      <w:rPr>
        <w:rFonts w:hint="default"/>
        <w:lang w:val="zh-CN" w:eastAsia="zh-CN" w:bidi="zh-CN"/>
      </w:rPr>
    </w:lvl>
    <w:lvl w:ilvl="2">
      <w:start w:val="0"/>
      <w:numFmt w:val="bullet"/>
      <w:lvlText w:val="•"/>
      <w:lvlJc w:val="left"/>
      <w:pPr>
        <w:ind w:left="2801" w:hanging="318"/>
      </w:pPr>
      <w:rPr>
        <w:rFonts w:hint="default"/>
        <w:lang w:val="zh-CN" w:eastAsia="zh-CN" w:bidi="zh-CN"/>
      </w:rPr>
    </w:lvl>
    <w:lvl w:ilvl="3">
      <w:start w:val="0"/>
      <w:numFmt w:val="bullet"/>
      <w:lvlText w:val="•"/>
      <w:lvlJc w:val="left"/>
      <w:pPr>
        <w:ind w:left="3781" w:hanging="318"/>
      </w:pPr>
      <w:rPr>
        <w:rFonts w:hint="default"/>
        <w:lang w:val="zh-CN" w:eastAsia="zh-CN" w:bidi="zh-CN"/>
      </w:rPr>
    </w:lvl>
    <w:lvl w:ilvl="4">
      <w:start w:val="0"/>
      <w:numFmt w:val="bullet"/>
      <w:lvlText w:val="•"/>
      <w:lvlJc w:val="left"/>
      <w:pPr>
        <w:ind w:left="4762" w:hanging="318"/>
      </w:pPr>
      <w:rPr>
        <w:rFonts w:hint="default"/>
        <w:lang w:val="zh-CN" w:eastAsia="zh-CN" w:bidi="zh-CN"/>
      </w:rPr>
    </w:lvl>
    <w:lvl w:ilvl="5">
      <w:start w:val="0"/>
      <w:numFmt w:val="bullet"/>
      <w:lvlText w:val="•"/>
      <w:lvlJc w:val="left"/>
      <w:pPr>
        <w:ind w:left="5743" w:hanging="318"/>
      </w:pPr>
      <w:rPr>
        <w:rFonts w:hint="default"/>
        <w:lang w:val="zh-CN" w:eastAsia="zh-CN" w:bidi="zh-CN"/>
      </w:rPr>
    </w:lvl>
    <w:lvl w:ilvl="6">
      <w:start w:val="0"/>
      <w:numFmt w:val="bullet"/>
      <w:lvlText w:val="•"/>
      <w:lvlJc w:val="left"/>
      <w:pPr>
        <w:ind w:left="6723" w:hanging="318"/>
      </w:pPr>
      <w:rPr>
        <w:rFonts w:hint="default"/>
        <w:lang w:val="zh-CN" w:eastAsia="zh-CN" w:bidi="zh-CN"/>
      </w:rPr>
    </w:lvl>
    <w:lvl w:ilvl="7">
      <w:start w:val="0"/>
      <w:numFmt w:val="bullet"/>
      <w:lvlText w:val="•"/>
      <w:lvlJc w:val="left"/>
      <w:pPr>
        <w:ind w:left="7704" w:hanging="318"/>
      </w:pPr>
      <w:rPr>
        <w:rFonts w:hint="default"/>
        <w:lang w:val="zh-CN" w:eastAsia="zh-CN" w:bidi="zh-CN"/>
      </w:rPr>
    </w:lvl>
    <w:lvl w:ilvl="8">
      <w:start w:val="0"/>
      <w:numFmt w:val="bullet"/>
      <w:lvlText w:val="•"/>
      <w:lvlJc w:val="left"/>
      <w:pPr>
        <w:ind w:left="8685" w:hanging="318"/>
      </w:pPr>
      <w:rPr>
        <w:rFonts w:hint="default"/>
        <w:lang w:val="zh-CN" w:eastAsia="zh-CN" w:bidi="zh-CN"/>
      </w:rPr>
    </w:lvl>
  </w:abstractNum>
  <w:abstractNum w:abstractNumId="106">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105">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104">
    <w:multiLevelType w:val="hybridMultilevel"/>
    <w:lvl w:ilvl="0">
      <w:start w:val="5"/>
      <w:numFmt w:val="decimal"/>
      <w:lvlText w:val="%1"/>
      <w:lvlJc w:val="left"/>
      <w:pPr>
        <w:ind w:left="418" w:hanging="637"/>
        <w:jc w:val="left"/>
      </w:pPr>
      <w:rPr>
        <w:rFonts w:hint="default"/>
        <w:lang w:val="zh-CN" w:eastAsia="zh-CN" w:bidi="zh-CN"/>
      </w:rPr>
    </w:lvl>
    <w:lvl w:ilvl="1">
      <w:start w:val="13"/>
      <w:numFmt w:val="decimal"/>
      <w:lvlText w:val="%1.%2"/>
      <w:lvlJc w:val="left"/>
      <w:pPr>
        <w:ind w:left="418" w:hanging="637"/>
        <w:jc w:val="left"/>
      </w:pPr>
      <w:rPr>
        <w:rFonts w:hint="default"/>
        <w:lang w:val="zh-CN" w:eastAsia="zh-CN" w:bidi="zh-CN"/>
      </w:rPr>
    </w:lvl>
    <w:lvl w:ilvl="2">
      <w:start w:val="1"/>
      <w:numFmt w:val="decimal"/>
      <w:lvlText w:val="%1.%2.%3"/>
      <w:lvlJc w:val="left"/>
      <w:pPr>
        <w:ind w:left="418"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103">
    <w:multiLevelType w:val="hybridMultilevel"/>
    <w:lvl w:ilvl="0">
      <w:start w:val="5"/>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102">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01">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100">
    <w:multiLevelType w:val="hybridMultilevel"/>
    <w:lvl w:ilvl="0">
      <w:start w:val="5"/>
      <w:numFmt w:val="decimal"/>
      <w:lvlText w:val="%1"/>
      <w:lvlJc w:val="left"/>
      <w:pPr>
        <w:ind w:left="1158" w:hanging="318"/>
        <w:jc w:val="left"/>
      </w:pPr>
      <w:rPr>
        <w:rFonts w:hint="default"/>
        <w:lang w:val="zh-CN" w:eastAsia="zh-CN" w:bidi="zh-CN"/>
      </w:rPr>
    </w:lvl>
    <w:lvl w:ilvl="1">
      <w:start w:val="9"/>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844"/>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771" w:hanging="844"/>
      </w:pPr>
      <w:rPr>
        <w:rFonts w:hint="default"/>
        <w:lang w:val="zh-CN" w:eastAsia="zh-CN" w:bidi="zh-CN"/>
      </w:rPr>
    </w:lvl>
    <w:lvl w:ilvl="5">
      <w:start w:val="0"/>
      <w:numFmt w:val="bullet"/>
      <w:lvlText w:val="•"/>
      <w:lvlJc w:val="left"/>
      <w:pPr>
        <w:ind w:left="4917" w:hanging="844"/>
      </w:pPr>
      <w:rPr>
        <w:rFonts w:hint="default"/>
        <w:lang w:val="zh-CN" w:eastAsia="zh-CN" w:bidi="zh-CN"/>
      </w:rPr>
    </w:lvl>
    <w:lvl w:ilvl="6">
      <w:start w:val="0"/>
      <w:numFmt w:val="bullet"/>
      <w:lvlText w:val="•"/>
      <w:lvlJc w:val="left"/>
      <w:pPr>
        <w:ind w:left="6063" w:hanging="844"/>
      </w:pPr>
      <w:rPr>
        <w:rFonts w:hint="default"/>
        <w:lang w:val="zh-CN" w:eastAsia="zh-CN" w:bidi="zh-CN"/>
      </w:rPr>
    </w:lvl>
    <w:lvl w:ilvl="7">
      <w:start w:val="0"/>
      <w:numFmt w:val="bullet"/>
      <w:lvlText w:val="•"/>
      <w:lvlJc w:val="left"/>
      <w:pPr>
        <w:ind w:left="7209" w:hanging="844"/>
      </w:pPr>
      <w:rPr>
        <w:rFonts w:hint="default"/>
        <w:lang w:val="zh-CN" w:eastAsia="zh-CN" w:bidi="zh-CN"/>
      </w:rPr>
    </w:lvl>
    <w:lvl w:ilvl="8">
      <w:start w:val="0"/>
      <w:numFmt w:val="bullet"/>
      <w:lvlText w:val="•"/>
      <w:lvlJc w:val="left"/>
      <w:pPr>
        <w:ind w:left="8354" w:hanging="844"/>
      </w:pPr>
      <w:rPr>
        <w:rFonts w:hint="default"/>
        <w:lang w:val="zh-CN" w:eastAsia="zh-CN" w:bidi="zh-CN"/>
      </w:rPr>
    </w:lvl>
  </w:abstractNum>
  <w:abstractNum w:abstractNumId="99">
    <w:multiLevelType w:val="hybridMultilevel"/>
    <w:lvl w:ilvl="0">
      <w:start w:val="5"/>
      <w:numFmt w:val="decimal"/>
      <w:lvlText w:val="%1"/>
      <w:lvlJc w:val="left"/>
      <w:pPr>
        <w:ind w:left="418" w:hanging="529"/>
        <w:jc w:val="left"/>
      </w:pPr>
      <w:rPr>
        <w:rFonts w:hint="default"/>
        <w:lang w:val="zh-CN" w:eastAsia="zh-CN" w:bidi="zh-CN"/>
      </w:rPr>
    </w:lvl>
    <w:lvl w:ilvl="1">
      <w:start w:val="8"/>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98">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97">
    <w:multiLevelType w:val="hybridMultilevel"/>
    <w:lvl w:ilvl="0">
      <w:start w:val="5"/>
      <w:numFmt w:val="decimal"/>
      <w:lvlText w:val="%1"/>
      <w:lvlJc w:val="left"/>
      <w:pPr>
        <w:ind w:left="1159" w:hanging="320"/>
        <w:jc w:val="left"/>
      </w:pPr>
      <w:rPr>
        <w:rFonts w:hint="default"/>
        <w:lang w:val="zh-CN" w:eastAsia="zh-CN" w:bidi="zh-CN"/>
      </w:rPr>
    </w:lvl>
    <w:lvl w:ilvl="1">
      <w:start w:val="7"/>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96">
    <w:multiLevelType w:val="hybridMultilevel"/>
    <w:lvl w:ilvl="0">
      <w:start w:val="4"/>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5">
    <w:multiLevelType w:val="hybridMultilevel"/>
    <w:lvl w:ilvl="0">
      <w:start w:val="1"/>
      <w:numFmt w:val="lowerLetter"/>
      <w:lvlText w:val="%1）"/>
      <w:lvlJc w:val="left"/>
      <w:pPr>
        <w:ind w:left="1155"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2108" w:hanging="318"/>
      </w:pPr>
      <w:rPr>
        <w:rFonts w:hint="default"/>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94">
    <w:multiLevelType w:val="hybridMultilevel"/>
    <w:lvl w:ilvl="0">
      <w:start w:val="1"/>
      <w:numFmt w:val="lowerLetter"/>
      <w:lvlText w:val="%1）"/>
      <w:lvlJc w:val="left"/>
      <w:pPr>
        <w:ind w:left="418" w:hanging="318"/>
        <w:jc w:val="left"/>
      </w:pPr>
      <w:rPr>
        <w:rFonts w:hint="default" w:ascii="宋体" w:hAnsi="宋体" w:eastAsia="宋体" w:cs="宋体"/>
        <w:w w:val="100"/>
        <w:sz w:val="19"/>
        <w:szCs w:val="19"/>
        <w:lang w:val="zh-CN" w:eastAsia="zh-CN" w:bidi="zh-CN"/>
      </w:rPr>
    </w:lvl>
    <w:lvl w:ilvl="1">
      <w:start w:val="0"/>
      <w:numFmt w:val="bullet"/>
      <w:lvlText w:val="•"/>
      <w:lvlJc w:val="left"/>
      <w:pPr>
        <w:ind w:left="1442" w:hanging="318"/>
      </w:pPr>
      <w:rPr>
        <w:rFonts w:hint="default"/>
        <w:lang w:val="zh-CN" w:eastAsia="zh-CN" w:bidi="zh-CN"/>
      </w:rPr>
    </w:lvl>
    <w:lvl w:ilvl="2">
      <w:start w:val="0"/>
      <w:numFmt w:val="bullet"/>
      <w:lvlText w:val="•"/>
      <w:lvlJc w:val="left"/>
      <w:pPr>
        <w:ind w:left="2465" w:hanging="318"/>
      </w:pPr>
      <w:rPr>
        <w:rFonts w:hint="default"/>
        <w:lang w:val="zh-CN" w:eastAsia="zh-CN" w:bidi="zh-CN"/>
      </w:rPr>
    </w:lvl>
    <w:lvl w:ilvl="3">
      <w:start w:val="0"/>
      <w:numFmt w:val="bullet"/>
      <w:lvlText w:val="•"/>
      <w:lvlJc w:val="left"/>
      <w:pPr>
        <w:ind w:left="3487" w:hanging="318"/>
      </w:pPr>
      <w:rPr>
        <w:rFonts w:hint="default"/>
        <w:lang w:val="zh-CN" w:eastAsia="zh-CN" w:bidi="zh-CN"/>
      </w:rPr>
    </w:lvl>
    <w:lvl w:ilvl="4">
      <w:start w:val="0"/>
      <w:numFmt w:val="bullet"/>
      <w:lvlText w:val="•"/>
      <w:lvlJc w:val="left"/>
      <w:pPr>
        <w:ind w:left="4510" w:hanging="318"/>
      </w:pPr>
      <w:rPr>
        <w:rFonts w:hint="default"/>
        <w:lang w:val="zh-CN" w:eastAsia="zh-CN" w:bidi="zh-CN"/>
      </w:rPr>
    </w:lvl>
    <w:lvl w:ilvl="5">
      <w:start w:val="0"/>
      <w:numFmt w:val="bullet"/>
      <w:lvlText w:val="•"/>
      <w:lvlJc w:val="left"/>
      <w:pPr>
        <w:ind w:left="5533" w:hanging="318"/>
      </w:pPr>
      <w:rPr>
        <w:rFonts w:hint="default"/>
        <w:lang w:val="zh-CN" w:eastAsia="zh-CN" w:bidi="zh-CN"/>
      </w:rPr>
    </w:lvl>
    <w:lvl w:ilvl="6">
      <w:start w:val="0"/>
      <w:numFmt w:val="bullet"/>
      <w:lvlText w:val="•"/>
      <w:lvlJc w:val="left"/>
      <w:pPr>
        <w:ind w:left="6555" w:hanging="318"/>
      </w:pPr>
      <w:rPr>
        <w:rFonts w:hint="default"/>
        <w:lang w:val="zh-CN" w:eastAsia="zh-CN" w:bidi="zh-CN"/>
      </w:rPr>
    </w:lvl>
    <w:lvl w:ilvl="7">
      <w:start w:val="0"/>
      <w:numFmt w:val="bullet"/>
      <w:lvlText w:val="•"/>
      <w:lvlJc w:val="left"/>
      <w:pPr>
        <w:ind w:left="7578" w:hanging="318"/>
      </w:pPr>
      <w:rPr>
        <w:rFonts w:hint="default"/>
        <w:lang w:val="zh-CN" w:eastAsia="zh-CN" w:bidi="zh-CN"/>
      </w:rPr>
    </w:lvl>
    <w:lvl w:ilvl="8">
      <w:start w:val="0"/>
      <w:numFmt w:val="bullet"/>
      <w:lvlText w:val="•"/>
      <w:lvlJc w:val="left"/>
      <w:pPr>
        <w:ind w:left="8601" w:hanging="318"/>
      </w:pPr>
      <w:rPr>
        <w:rFonts w:hint="default"/>
        <w:lang w:val="zh-CN" w:eastAsia="zh-CN" w:bidi="zh-CN"/>
      </w:rPr>
    </w:lvl>
  </w:abstractNum>
  <w:abstractNum w:abstractNumId="93">
    <w:multiLevelType w:val="hybridMultilevel"/>
    <w:lvl w:ilvl="0">
      <w:start w:val="5"/>
      <w:numFmt w:val="decimal"/>
      <w:lvlText w:val="%1"/>
      <w:lvlJc w:val="left"/>
      <w:pPr>
        <w:ind w:left="1158" w:hanging="318"/>
        <w:jc w:val="left"/>
      </w:pPr>
      <w:rPr>
        <w:rFonts w:hint="default"/>
        <w:lang w:val="zh-CN" w:eastAsia="zh-CN" w:bidi="zh-CN"/>
      </w:rPr>
    </w:lvl>
    <w:lvl w:ilvl="1">
      <w:start w:val="3"/>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29"/>
        <w:jc w:val="right"/>
      </w:pPr>
      <w:rPr>
        <w:rFonts w:hint="default"/>
        <w:b/>
        <w:bCs/>
        <w:w w:val="99"/>
        <w:lang w:val="zh-CN" w:eastAsia="zh-CN" w:bidi="zh-CN"/>
      </w:rPr>
    </w:lvl>
    <w:lvl w:ilvl="3">
      <w:start w:val="0"/>
      <w:numFmt w:val="bullet"/>
      <w:lvlText w:val="•"/>
      <w:lvlJc w:val="left"/>
      <w:pPr>
        <w:ind w:left="3268" w:hanging="529"/>
      </w:pPr>
      <w:rPr>
        <w:rFonts w:hint="default"/>
        <w:lang w:val="zh-CN" w:eastAsia="zh-CN" w:bidi="zh-CN"/>
      </w:rPr>
    </w:lvl>
    <w:lvl w:ilvl="4">
      <w:start w:val="0"/>
      <w:numFmt w:val="bullet"/>
      <w:lvlText w:val="•"/>
      <w:lvlJc w:val="left"/>
      <w:pPr>
        <w:ind w:left="4322" w:hanging="529"/>
      </w:pPr>
      <w:rPr>
        <w:rFonts w:hint="default"/>
        <w:lang w:val="zh-CN" w:eastAsia="zh-CN" w:bidi="zh-CN"/>
      </w:rPr>
    </w:lvl>
    <w:lvl w:ilvl="5">
      <w:start w:val="0"/>
      <w:numFmt w:val="bullet"/>
      <w:lvlText w:val="•"/>
      <w:lvlJc w:val="left"/>
      <w:pPr>
        <w:ind w:left="5376" w:hanging="529"/>
      </w:pPr>
      <w:rPr>
        <w:rFonts w:hint="default"/>
        <w:lang w:val="zh-CN" w:eastAsia="zh-CN" w:bidi="zh-CN"/>
      </w:rPr>
    </w:lvl>
    <w:lvl w:ilvl="6">
      <w:start w:val="0"/>
      <w:numFmt w:val="bullet"/>
      <w:lvlText w:val="•"/>
      <w:lvlJc w:val="left"/>
      <w:pPr>
        <w:ind w:left="6430" w:hanging="529"/>
      </w:pPr>
      <w:rPr>
        <w:rFonts w:hint="default"/>
        <w:lang w:val="zh-CN" w:eastAsia="zh-CN" w:bidi="zh-CN"/>
      </w:rPr>
    </w:lvl>
    <w:lvl w:ilvl="7">
      <w:start w:val="0"/>
      <w:numFmt w:val="bullet"/>
      <w:lvlText w:val="•"/>
      <w:lvlJc w:val="left"/>
      <w:pPr>
        <w:ind w:left="7484" w:hanging="529"/>
      </w:pPr>
      <w:rPr>
        <w:rFonts w:hint="default"/>
        <w:lang w:val="zh-CN" w:eastAsia="zh-CN" w:bidi="zh-CN"/>
      </w:rPr>
    </w:lvl>
    <w:lvl w:ilvl="8">
      <w:start w:val="0"/>
      <w:numFmt w:val="bullet"/>
      <w:lvlText w:val="•"/>
      <w:lvlJc w:val="left"/>
      <w:pPr>
        <w:ind w:left="8538" w:hanging="529"/>
      </w:pPr>
      <w:rPr>
        <w:rFonts w:hint="default"/>
        <w:lang w:val="zh-CN" w:eastAsia="zh-CN" w:bidi="zh-CN"/>
      </w:rPr>
    </w:lvl>
  </w:abstractNum>
  <w:abstractNum w:abstractNumId="92">
    <w:multiLevelType w:val="hybridMultilevel"/>
    <w:lvl w:ilvl="0">
      <w:start w:val="5"/>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91">
    <w:multiLevelType w:val="hybridMultilevel"/>
    <w:lvl w:ilvl="0">
      <w:start w:val="5"/>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90">
    <w:multiLevelType w:val="hybridMultilevel"/>
    <w:lvl w:ilvl="0">
      <w:start w:val="4"/>
      <w:numFmt w:val="decimal"/>
      <w:lvlText w:val="%1"/>
      <w:lvlJc w:val="left"/>
      <w:pPr>
        <w:ind w:left="1263" w:hanging="424"/>
        <w:jc w:val="left"/>
      </w:pPr>
      <w:rPr>
        <w:rFonts w:hint="default"/>
        <w:lang w:val="zh-CN" w:eastAsia="zh-CN" w:bidi="zh-CN"/>
      </w:rPr>
    </w:lvl>
    <w:lvl w:ilvl="1">
      <w:start w:val="11"/>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477" w:hanging="637"/>
        <w:jc w:val="left"/>
      </w:pPr>
      <w:rPr>
        <w:rFonts w:hint="default" w:ascii="宋体" w:hAnsi="宋体" w:eastAsia="宋体" w:cs="宋体"/>
        <w:b/>
        <w:bCs/>
        <w:w w:val="99"/>
        <w:sz w:val="19"/>
        <w:szCs w:val="19"/>
        <w:lang w:val="zh-CN" w:eastAsia="zh-CN" w:bidi="zh-CN"/>
      </w:rPr>
    </w:lvl>
    <w:lvl w:ilvl="3">
      <w:start w:val="0"/>
      <w:numFmt w:val="bullet"/>
      <w:lvlText w:val="•"/>
      <w:lvlJc w:val="left"/>
      <w:pPr>
        <w:ind w:left="3516" w:hanging="637"/>
      </w:pPr>
      <w:rPr>
        <w:rFonts w:hint="default"/>
        <w:lang w:val="zh-CN" w:eastAsia="zh-CN" w:bidi="zh-CN"/>
      </w:rPr>
    </w:lvl>
    <w:lvl w:ilvl="4">
      <w:start w:val="0"/>
      <w:numFmt w:val="bullet"/>
      <w:lvlText w:val="•"/>
      <w:lvlJc w:val="left"/>
      <w:pPr>
        <w:ind w:left="4535" w:hanging="637"/>
      </w:pPr>
      <w:rPr>
        <w:rFonts w:hint="default"/>
        <w:lang w:val="zh-CN" w:eastAsia="zh-CN" w:bidi="zh-CN"/>
      </w:rPr>
    </w:lvl>
    <w:lvl w:ilvl="5">
      <w:start w:val="0"/>
      <w:numFmt w:val="bullet"/>
      <w:lvlText w:val="•"/>
      <w:lvlJc w:val="left"/>
      <w:pPr>
        <w:ind w:left="5553" w:hanging="637"/>
      </w:pPr>
      <w:rPr>
        <w:rFonts w:hint="default"/>
        <w:lang w:val="zh-CN" w:eastAsia="zh-CN" w:bidi="zh-CN"/>
      </w:rPr>
    </w:lvl>
    <w:lvl w:ilvl="6">
      <w:start w:val="0"/>
      <w:numFmt w:val="bullet"/>
      <w:lvlText w:val="•"/>
      <w:lvlJc w:val="left"/>
      <w:pPr>
        <w:ind w:left="6572" w:hanging="637"/>
      </w:pPr>
      <w:rPr>
        <w:rFonts w:hint="default"/>
        <w:lang w:val="zh-CN" w:eastAsia="zh-CN" w:bidi="zh-CN"/>
      </w:rPr>
    </w:lvl>
    <w:lvl w:ilvl="7">
      <w:start w:val="0"/>
      <w:numFmt w:val="bullet"/>
      <w:lvlText w:val="•"/>
      <w:lvlJc w:val="left"/>
      <w:pPr>
        <w:ind w:left="7590" w:hanging="637"/>
      </w:pPr>
      <w:rPr>
        <w:rFonts w:hint="default"/>
        <w:lang w:val="zh-CN" w:eastAsia="zh-CN" w:bidi="zh-CN"/>
      </w:rPr>
    </w:lvl>
    <w:lvl w:ilvl="8">
      <w:start w:val="0"/>
      <w:numFmt w:val="bullet"/>
      <w:lvlText w:val="•"/>
      <w:lvlJc w:val="left"/>
      <w:pPr>
        <w:ind w:left="8609" w:hanging="637"/>
      </w:pPr>
      <w:rPr>
        <w:rFonts w:hint="default"/>
        <w:lang w:val="zh-CN" w:eastAsia="zh-CN" w:bidi="zh-CN"/>
      </w:rPr>
    </w:lvl>
  </w:abstractNum>
  <w:abstractNum w:abstractNumId="89">
    <w:multiLevelType w:val="hybridMultilevel"/>
    <w:lvl w:ilvl="0">
      <w:start w:val="4"/>
      <w:numFmt w:val="decimal"/>
      <w:lvlText w:val="%1"/>
      <w:lvlJc w:val="left"/>
      <w:pPr>
        <w:ind w:left="418" w:hanging="637"/>
        <w:jc w:val="left"/>
      </w:pPr>
      <w:rPr>
        <w:rFonts w:hint="default"/>
        <w:lang w:val="zh-CN" w:eastAsia="zh-CN" w:bidi="zh-CN"/>
      </w:rPr>
    </w:lvl>
    <w:lvl w:ilvl="1">
      <w:start w:val="10"/>
      <w:numFmt w:val="decimal"/>
      <w:lvlText w:val="%1.%2"/>
      <w:lvlJc w:val="left"/>
      <w:pPr>
        <w:ind w:left="418" w:hanging="637"/>
        <w:jc w:val="left"/>
      </w:pPr>
      <w:rPr>
        <w:rFonts w:hint="default"/>
        <w:lang w:val="zh-CN" w:eastAsia="zh-CN" w:bidi="zh-CN"/>
      </w:rPr>
    </w:lvl>
    <w:lvl w:ilvl="2">
      <w:start w:val="1"/>
      <w:numFmt w:val="decimal"/>
      <w:lvlText w:val="%1.%2.%3"/>
      <w:lvlJc w:val="left"/>
      <w:pPr>
        <w:ind w:left="418" w:hanging="637"/>
        <w:jc w:val="left"/>
      </w:pPr>
      <w:rPr>
        <w:rFonts w:hint="default" w:ascii="宋体" w:hAnsi="宋体" w:eastAsia="宋体" w:cs="宋体"/>
        <w:b/>
        <w:bCs/>
        <w:spacing w:val="-55"/>
        <w:w w:val="99"/>
        <w:sz w:val="19"/>
        <w:szCs w:val="19"/>
        <w:lang w:val="zh-CN" w:eastAsia="zh-CN" w:bidi="zh-CN"/>
      </w:rPr>
    </w:lvl>
    <w:lvl w:ilvl="3">
      <w:start w:val="0"/>
      <w:numFmt w:val="bullet"/>
      <w:lvlText w:val="•"/>
      <w:lvlJc w:val="left"/>
      <w:pPr>
        <w:ind w:left="3487" w:hanging="637"/>
      </w:pPr>
      <w:rPr>
        <w:rFonts w:hint="default"/>
        <w:lang w:val="zh-CN" w:eastAsia="zh-CN" w:bidi="zh-CN"/>
      </w:rPr>
    </w:lvl>
    <w:lvl w:ilvl="4">
      <w:start w:val="0"/>
      <w:numFmt w:val="bullet"/>
      <w:lvlText w:val="•"/>
      <w:lvlJc w:val="left"/>
      <w:pPr>
        <w:ind w:left="4510" w:hanging="637"/>
      </w:pPr>
      <w:rPr>
        <w:rFonts w:hint="default"/>
        <w:lang w:val="zh-CN" w:eastAsia="zh-CN" w:bidi="zh-CN"/>
      </w:rPr>
    </w:lvl>
    <w:lvl w:ilvl="5">
      <w:start w:val="0"/>
      <w:numFmt w:val="bullet"/>
      <w:lvlText w:val="•"/>
      <w:lvlJc w:val="left"/>
      <w:pPr>
        <w:ind w:left="5533" w:hanging="637"/>
      </w:pPr>
      <w:rPr>
        <w:rFonts w:hint="default"/>
        <w:lang w:val="zh-CN" w:eastAsia="zh-CN" w:bidi="zh-CN"/>
      </w:rPr>
    </w:lvl>
    <w:lvl w:ilvl="6">
      <w:start w:val="0"/>
      <w:numFmt w:val="bullet"/>
      <w:lvlText w:val="•"/>
      <w:lvlJc w:val="left"/>
      <w:pPr>
        <w:ind w:left="6555" w:hanging="637"/>
      </w:pPr>
      <w:rPr>
        <w:rFonts w:hint="default"/>
        <w:lang w:val="zh-CN" w:eastAsia="zh-CN" w:bidi="zh-CN"/>
      </w:rPr>
    </w:lvl>
    <w:lvl w:ilvl="7">
      <w:start w:val="0"/>
      <w:numFmt w:val="bullet"/>
      <w:lvlText w:val="•"/>
      <w:lvlJc w:val="left"/>
      <w:pPr>
        <w:ind w:left="7578" w:hanging="637"/>
      </w:pPr>
      <w:rPr>
        <w:rFonts w:hint="default"/>
        <w:lang w:val="zh-CN" w:eastAsia="zh-CN" w:bidi="zh-CN"/>
      </w:rPr>
    </w:lvl>
    <w:lvl w:ilvl="8">
      <w:start w:val="0"/>
      <w:numFmt w:val="bullet"/>
      <w:lvlText w:val="•"/>
      <w:lvlJc w:val="left"/>
      <w:pPr>
        <w:ind w:left="8601" w:hanging="637"/>
      </w:pPr>
      <w:rPr>
        <w:rFonts w:hint="default"/>
        <w:lang w:val="zh-CN" w:eastAsia="zh-CN" w:bidi="zh-CN"/>
      </w:rPr>
    </w:lvl>
  </w:abstractNum>
  <w:abstractNum w:abstractNumId="88">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1380" w:hanging="529"/>
      </w:pPr>
      <w:rPr>
        <w:rFonts w:hint="default"/>
        <w:lang w:val="zh-CN" w:eastAsia="zh-CN" w:bidi="zh-CN"/>
      </w:rPr>
    </w:lvl>
    <w:lvl w:ilvl="4">
      <w:start w:val="0"/>
      <w:numFmt w:val="bullet"/>
      <w:lvlText w:val="•"/>
      <w:lvlJc w:val="left"/>
      <w:pPr>
        <w:ind w:left="2703" w:hanging="529"/>
      </w:pPr>
      <w:rPr>
        <w:rFonts w:hint="default"/>
        <w:lang w:val="zh-CN" w:eastAsia="zh-CN" w:bidi="zh-CN"/>
      </w:rPr>
    </w:lvl>
    <w:lvl w:ilvl="5">
      <w:start w:val="0"/>
      <w:numFmt w:val="bullet"/>
      <w:lvlText w:val="•"/>
      <w:lvlJc w:val="left"/>
      <w:pPr>
        <w:ind w:left="4027" w:hanging="529"/>
      </w:pPr>
      <w:rPr>
        <w:rFonts w:hint="default"/>
        <w:lang w:val="zh-CN" w:eastAsia="zh-CN" w:bidi="zh-CN"/>
      </w:rPr>
    </w:lvl>
    <w:lvl w:ilvl="6">
      <w:start w:val="0"/>
      <w:numFmt w:val="bullet"/>
      <w:lvlText w:val="•"/>
      <w:lvlJc w:val="left"/>
      <w:pPr>
        <w:ind w:left="5351" w:hanging="529"/>
      </w:pPr>
      <w:rPr>
        <w:rFonts w:hint="default"/>
        <w:lang w:val="zh-CN" w:eastAsia="zh-CN" w:bidi="zh-CN"/>
      </w:rPr>
    </w:lvl>
    <w:lvl w:ilvl="7">
      <w:start w:val="0"/>
      <w:numFmt w:val="bullet"/>
      <w:lvlText w:val="•"/>
      <w:lvlJc w:val="left"/>
      <w:pPr>
        <w:ind w:left="6675" w:hanging="529"/>
      </w:pPr>
      <w:rPr>
        <w:rFonts w:hint="default"/>
        <w:lang w:val="zh-CN" w:eastAsia="zh-CN" w:bidi="zh-CN"/>
      </w:rPr>
    </w:lvl>
    <w:lvl w:ilvl="8">
      <w:start w:val="0"/>
      <w:numFmt w:val="bullet"/>
      <w:lvlText w:val="•"/>
      <w:lvlJc w:val="left"/>
      <w:pPr>
        <w:ind w:left="7998" w:hanging="529"/>
      </w:pPr>
      <w:rPr>
        <w:rFonts w:hint="default"/>
        <w:lang w:val="zh-CN" w:eastAsia="zh-CN" w:bidi="zh-CN"/>
      </w:rPr>
    </w:lvl>
  </w:abstractNum>
  <w:abstractNum w:abstractNumId="87">
    <w:multiLevelType w:val="hybridMultilevel"/>
    <w:lvl w:ilvl="0">
      <w:start w:val="2"/>
      <w:numFmt w:val="lowerLetter"/>
      <w:lvlText w:val="%1)"/>
      <w:lvlJc w:val="left"/>
      <w:pPr>
        <w:ind w:left="840" w:hanging="213"/>
        <w:jc w:val="left"/>
      </w:pPr>
      <w:rPr>
        <w:rFonts w:hint="default" w:ascii="宋体" w:hAnsi="宋体" w:eastAsia="宋体" w:cs="宋体"/>
        <w:spacing w:val="-3"/>
        <w:w w:val="99"/>
        <w:sz w:val="19"/>
        <w:szCs w:val="19"/>
        <w:lang w:val="zh-CN" w:eastAsia="zh-CN" w:bidi="zh-CN"/>
      </w:rPr>
    </w:lvl>
    <w:lvl w:ilvl="1">
      <w:start w:val="0"/>
      <w:numFmt w:val="bullet"/>
      <w:lvlText w:val="•"/>
      <w:lvlJc w:val="left"/>
      <w:pPr>
        <w:ind w:left="1820" w:hanging="213"/>
      </w:pPr>
      <w:rPr>
        <w:rFonts w:hint="default"/>
        <w:lang w:val="zh-CN" w:eastAsia="zh-CN" w:bidi="zh-CN"/>
      </w:rPr>
    </w:lvl>
    <w:lvl w:ilvl="2">
      <w:start w:val="0"/>
      <w:numFmt w:val="bullet"/>
      <w:lvlText w:val="•"/>
      <w:lvlJc w:val="left"/>
      <w:pPr>
        <w:ind w:left="2801" w:hanging="213"/>
      </w:pPr>
      <w:rPr>
        <w:rFonts w:hint="default"/>
        <w:lang w:val="zh-CN" w:eastAsia="zh-CN" w:bidi="zh-CN"/>
      </w:rPr>
    </w:lvl>
    <w:lvl w:ilvl="3">
      <w:start w:val="0"/>
      <w:numFmt w:val="bullet"/>
      <w:lvlText w:val="•"/>
      <w:lvlJc w:val="left"/>
      <w:pPr>
        <w:ind w:left="3781" w:hanging="213"/>
      </w:pPr>
      <w:rPr>
        <w:rFonts w:hint="default"/>
        <w:lang w:val="zh-CN" w:eastAsia="zh-CN" w:bidi="zh-CN"/>
      </w:rPr>
    </w:lvl>
    <w:lvl w:ilvl="4">
      <w:start w:val="0"/>
      <w:numFmt w:val="bullet"/>
      <w:lvlText w:val="•"/>
      <w:lvlJc w:val="left"/>
      <w:pPr>
        <w:ind w:left="4762" w:hanging="213"/>
      </w:pPr>
      <w:rPr>
        <w:rFonts w:hint="default"/>
        <w:lang w:val="zh-CN" w:eastAsia="zh-CN" w:bidi="zh-CN"/>
      </w:rPr>
    </w:lvl>
    <w:lvl w:ilvl="5">
      <w:start w:val="0"/>
      <w:numFmt w:val="bullet"/>
      <w:lvlText w:val="•"/>
      <w:lvlJc w:val="left"/>
      <w:pPr>
        <w:ind w:left="5743" w:hanging="213"/>
      </w:pPr>
      <w:rPr>
        <w:rFonts w:hint="default"/>
        <w:lang w:val="zh-CN" w:eastAsia="zh-CN" w:bidi="zh-CN"/>
      </w:rPr>
    </w:lvl>
    <w:lvl w:ilvl="6">
      <w:start w:val="0"/>
      <w:numFmt w:val="bullet"/>
      <w:lvlText w:val="•"/>
      <w:lvlJc w:val="left"/>
      <w:pPr>
        <w:ind w:left="6723" w:hanging="213"/>
      </w:pPr>
      <w:rPr>
        <w:rFonts w:hint="default"/>
        <w:lang w:val="zh-CN" w:eastAsia="zh-CN" w:bidi="zh-CN"/>
      </w:rPr>
    </w:lvl>
    <w:lvl w:ilvl="7">
      <w:start w:val="0"/>
      <w:numFmt w:val="bullet"/>
      <w:lvlText w:val="•"/>
      <w:lvlJc w:val="left"/>
      <w:pPr>
        <w:ind w:left="7704" w:hanging="213"/>
      </w:pPr>
      <w:rPr>
        <w:rFonts w:hint="default"/>
        <w:lang w:val="zh-CN" w:eastAsia="zh-CN" w:bidi="zh-CN"/>
      </w:rPr>
    </w:lvl>
    <w:lvl w:ilvl="8">
      <w:start w:val="0"/>
      <w:numFmt w:val="bullet"/>
      <w:lvlText w:val="•"/>
      <w:lvlJc w:val="left"/>
      <w:pPr>
        <w:ind w:left="8685" w:hanging="213"/>
      </w:pPr>
      <w:rPr>
        <w:rFonts w:hint="default"/>
        <w:lang w:val="zh-CN" w:eastAsia="zh-CN" w:bidi="zh-CN"/>
      </w:rPr>
    </w:lvl>
  </w:abstractNum>
  <w:abstractNum w:abstractNumId="86">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85">
    <w:multiLevelType w:val="hybridMultilevel"/>
    <w:lvl w:ilvl="0">
      <w:start w:val="8"/>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84">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83">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82">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81">
    <w:multiLevelType w:val="hybridMultilevel"/>
    <w:lvl w:ilvl="0">
      <w:start w:val="6"/>
      <w:numFmt w:val="decimal"/>
      <w:lvlText w:val="%1"/>
      <w:lvlJc w:val="left"/>
      <w:pPr>
        <w:ind w:left="1369" w:hanging="529"/>
        <w:jc w:val="left"/>
      </w:pPr>
      <w:rPr>
        <w:rFonts w:hint="default"/>
        <w:lang w:val="zh-CN" w:eastAsia="zh-CN" w:bidi="zh-CN"/>
      </w:rPr>
    </w:lvl>
    <w:lvl w:ilvl="1">
      <w:start w:val="9"/>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80">
    <w:multiLevelType w:val="hybridMultilevel"/>
    <w:lvl w:ilvl="0">
      <w:start w:val="6"/>
      <w:numFmt w:val="decimal"/>
      <w:lvlText w:val="%1"/>
      <w:lvlJc w:val="left"/>
      <w:pPr>
        <w:ind w:left="1159" w:hanging="320"/>
        <w:jc w:val="left"/>
      </w:pPr>
      <w:rPr>
        <w:rFonts w:hint="default"/>
        <w:lang w:val="zh-CN" w:eastAsia="zh-CN" w:bidi="zh-CN"/>
      </w:rPr>
    </w:lvl>
    <w:lvl w:ilvl="1">
      <w:start w:val="7"/>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79">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8">
    <w:multiLevelType w:val="hybridMultilevel"/>
    <w:lvl w:ilvl="0">
      <w:start w:val="5"/>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77">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39" w:hanging="531"/>
      </w:pPr>
      <w:rPr>
        <w:rFonts w:hint="default"/>
        <w:lang w:val="zh-CN" w:eastAsia="zh-CN" w:bidi="zh-CN"/>
      </w:rPr>
    </w:lvl>
    <w:lvl w:ilvl="4">
      <w:start w:val="0"/>
      <w:numFmt w:val="bullet"/>
      <w:lvlText w:val="•"/>
      <w:lvlJc w:val="left"/>
      <w:pPr>
        <w:ind w:left="4468" w:hanging="531"/>
      </w:pPr>
      <w:rPr>
        <w:rFonts w:hint="default"/>
        <w:lang w:val="zh-CN" w:eastAsia="zh-CN" w:bidi="zh-CN"/>
      </w:rPr>
    </w:lvl>
    <w:lvl w:ilvl="5">
      <w:start w:val="0"/>
      <w:numFmt w:val="bullet"/>
      <w:lvlText w:val="•"/>
      <w:lvlJc w:val="left"/>
      <w:pPr>
        <w:ind w:left="5498" w:hanging="531"/>
      </w:pPr>
      <w:rPr>
        <w:rFonts w:hint="default"/>
        <w:lang w:val="zh-CN" w:eastAsia="zh-CN" w:bidi="zh-CN"/>
      </w:rPr>
    </w:lvl>
    <w:lvl w:ilvl="6">
      <w:start w:val="0"/>
      <w:numFmt w:val="bullet"/>
      <w:lvlText w:val="•"/>
      <w:lvlJc w:val="left"/>
      <w:pPr>
        <w:ind w:left="6528" w:hanging="531"/>
      </w:pPr>
      <w:rPr>
        <w:rFonts w:hint="default"/>
        <w:lang w:val="zh-CN" w:eastAsia="zh-CN" w:bidi="zh-CN"/>
      </w:rPr>
    </w:lvl>
    <w:lvl w:ilvl="7">
      <w:start w:val="0"/>
      <w:numFmt w:val="bullet"/>
      <w:lvlText w:val="•"/>
      <w:lvlJc w:val="left"/>
      <w:pPr>
        <w:ind w:left="7557" w:hanging="531"/>
      </w:pPr>
      <w:rPr>
        <w:rFonts w:hint="default"/>
        <w:lang w:val="zh-CN" w:eastAsia="zh-CN" w:bidi="zh-CN"/>
      </w:rPr>
    </w:lvl>
    <w:lvl w:ilvl="8">
      <w:start w:val="0"/>
      <w:numFmt w:val="bullet"/>
      <w:lvlText w:val="•"/>
      <w:lvlJc w:val="left"/>
      <w:pPr>
        <w:ind w:left="8587" w:hanging="531"/>
      </w:pPr>
      <w:rPr>
        <w:rFonts w:hint="default"/>
        <w:lang w:val="zh-CN" w:eastAsia="zh-CN" w:bidi="zh-CN"/>
      </w:rPr>
    </w:lvl>
  </w:abstractNum>
  <w:abstractNum w:abstractNumId="76">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75">
    <w:multiLevelType w:val="hybridMultilevel"/>
    <w:lvl w:ilvl="0">
      <w:start w:val="4"/>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74">
    <w:multiLevelType w:val="hybridMultilevel"/>
    <w:lvl w:ilvl="0">
      <w:start w:val="7"/>
      <w:numFmt w:val="upperLetter"/>
      <w:lvlText w:val="%1"/>
      <w:lvlJc w:val="left"/>
      <w:pPr>
        <w:ind w:left="1369" w:hanging="529"/>
        <w:jc w:val="left"/>
      </w:pPr>
      <w:rPr>
        <w:rFonts w:hint="default"/>
        <w:lang w:val="zh-CN" w:eastAsia="zh-CN" w:bidi="zh-CN"/>
      </w:rPr>
    </w:lvl>
    <w:lvl w:ilvl="1">
      <w:start w:val="3"/>
      <w:numFmt w:val="decimal"/>
      <w:lvlText w:val="%1.%2"/>
      <w:lvlJc w:val="left"/>
      <w:pPr>
        <w:ind w:left="1369" w:hanging="529"/>
        <w:jc w:val="left"/>
      </w:pPr>
      <w:rPr>
        <w:rFonts w:hint="default"/>
        <w:lang w:val="zh-CN" w:eastAsia="zh-CN" w:bidi="zh-CN"/>
      </w:rPr>
    </w:lvl>
    <w:lvl w:ilvl="2">
      <w:start w:val="2"/>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82" w:hanging="743"/>
        <w:jc w:val="left"/>
      </w:pPr>
      <w:rPr>
        <w:rFonts w:hint="default" w:ascii="宋体" w:hAnsi="宋体" w:eastAsia="宋体" w:cs="宋体"/>
        <w:b/>
        <w:bCs/>
        <w:spacing w:val="-3"/>
        <w:w w:val="99"/>
        <w:sz w:val="19"/>
        <w:szCs w:val="19"/>
        <w:lang w:val="zh-CN" w:eastAsia="zh-CN" w:bidi="zh-CN"/>
      </w:rPr>
    </w:lvl>
    <w:lvl w:ilvl="4">
      <w:start w:val="0"/>
      <w:numFmt w:val="bullet"/>
      <w:lvlText w:val="•"/>
      <w:lvlJc w:val="left"/>
      <w:pPr>
        <w:ind w:left="4602" w:hanging="743"/>
      </w:pPr>
      <w:rPr>
        <w:rFonts w:hint="default"/>
        <w:lang w:val="zh-CN" w:eastAsia="zh-CN" w:bidi="zh-CN"/>
      </w:rPr>
    </w:lvl>
    <w:lvl w:ilvl="5">
      <w:start w:val="0"/>
      <w:numFmt w:val="bullet"/>
      <w:lvlText w:val="•"/>
      <w:lvlJc w:val="left"/>
      <w:pPr>
        <w:ind w:left="5609" w:hanging="743"/>
      </w:pPr>
      <w:rPr>
        <w:rFonts w:hint="default"/>
        <w:lang w:val="zh-CN" w:eastAsia="zh-CN" w:bidi="zh-CN"/>
      </w:rPr>
    </w:lvl>
    <w:lvl w:ilvl="6">
      <w:start w:val="0"/>
      <w:numFmt w:val="bullet"/>
      <w:lvlText w:val="•"/>
      <w:lvlJc w:val="left"/>
      <w:pPr>
        <w:ind w:left="6616" w:hanging="743"/>
      </w:pPr>
      <w:rPr>
        <w:rFonts w:hint="default"/>
        <w:lang w:val="zh-CN" w:eastAsia="zh-CN" w:bidi="zh-CN"/>
      </w:rPr>
    </w:lvl>
    <w:lvl w:ilvl="7">
      <w:start w:val="0"/>
      <w:numFmt w:val="bullet"/>
      <w:lvlText w:val="•"/>
      <w:lvlJc w:val="left"/>
      <w:pPr>
        <w:ind w:left="7624" w:hanging="743"/>
      </w:pPr>
      <w:rPr>
        <w:rFonts w:hint="default"/>
        <w:lang w:val="zh-CN" w:eastAsia="zh-CN" w:bidi="zh-CN"/>
      </w:rPr>
    </w:lvl>
    <w:lvl w:ilvl="8">
      <w:start w:val="0"/>
      <w:numFmt w:val="bullet"/>
      <w:lvlText w:val="•"/>
      <w:lvlJc w:val="left"/>
      <w:pPr>
        <w:ind w:left="8631" w:hanging="743"/>
      </w:pPr>
      <w:rPr>
        <w:rFonts w:hint="default"/>
        <w:lang w:val="zh-CN" w:eastAsia="zh-CN" w:bidi="zh-CN"/>
      </w:rPr>
    </w:lvl>
  </w:abstractNum>
  <w:abstractNum w:abstractNumId="73">
    <w:multiLevelType w:val="hybridMultilevel"/>
    <w:lvl w:ilvl="0">
      <w:start w:val="7"/>
      <w:numFmt w:val="upperLetter"/>
      <w:lvlText w:val="%1"/>
      <w:lvlJc w:val="left"/>
      <w:pPr>
        <w:ind w:left="1369" w:hanging="529"/>
        <w:jc w:val="left"/>
      </w:pPr>
      <w:rPr>
        <w:rFonts w:hint="default"/>
        <w:lang w:val="zh-CN" w:eastAsia="zh-CN" w:bidi="zh-CN"/>
      </w:rPr>
    </w:lvl>
    <w:lvl w:ilvl="1">
      <w:start w:val="1"/>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72">
    <w:multiLevelType w:val="hybridMultilevel"/>
    <w:lvl w:ilvl="0">
      <w:start w:val="6"/>
      <w:numFmt w:val="upperLetter"/>
      <w:lvlText w:val="%1."/>
      <w:lvlJc w:val="left"/>
      <w:pPr>
        <w:ind w:left="1052" w:hanging="213"/>
        <w:jc w:val="left"/>
      </w:pPr>
      <w:rPr>
        <w:rFonts w:hint="default" w:ascii="宋体" w:hAnsi="宋体" w:eastAsia="宋体" w:cs="宋体"/>
        <w:b/>
        <w:bCs/>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71">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70">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69">
    <w:multiLevelType w:val="hybridMultilevel"/>
    <w:lvl w:ilvl="0">
      <w:start w:val="4"/>
      <w:numFmt w:val="upperLetter"/>
      <w:lvlText w:val="%1"/>
      <w:lvlJc w:val="left"/>
      <w:pPr>
        <w:ind w:left="418" w:hanging="531"/>
        <w:jc w:val="left"/>
      </w:pPr>
      <w:rPr>
        <w:rFonts w:hint="default"/>
        <w:lang w:val="zh-CN" w:eastAsia="zh-CN" w:bidi="zh-CN"/>
      </w:rPr>
    </w:lvl>
    <w:lvl w:ilvl="1">
      <w:start w:val="2"/>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68">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67">
    <w:multiLevelType w:val="hybridMultilevel"/>
    <w:lvl w:ilvl="0">
      <w:start w:val="4"/>
      <w:numFmt w:val="upperLetter"/>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4"/>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66">
    <w:multiLevelType w:val="hybridMultilevel"/>
    <w:lvl w:ilvl="0">
      <w:start w:val="4"/>
      <w:numFmt w:val="upperLetter"/>
      <w:lvlText w:val="%1"/>
      <w:lvlJc w:val="left"/>
      <w:pPr>
        <w:ind w:left="418" w:hanging="531"/>
        <w:jc w:val="left"/>
      </w:pPr>
      <w:rPr>
        <w:rFonts w:hint="default"/>
        <w:lang w:val="zh-CN" w:eastAsia="zh-CN" w:bidi="zh-CN"/>
      </w:rPr>
    </w:lvl>
    <w:lvl w:ilvl="1">
      <w:start w:val="1"/>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65">
    <w:multiLevelType w:val="hybridMultilevel"/>
    <w:lvl w:ilvl="0">
      <w:start w:val="1"/>
      <w:numFmt w:val="lowerLetter"/>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64">
    <w:multiLevelType w:val="hybridMultilevel"/>
    <w:lvl w:ilvl="0">
      <w:start w:val="2"/>
      <w:numFmt w:val="decimal"/>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63">
    <w:multiLevelType w:val="hybridMultilevel"/>
    <w:lvl w:ilvl="0">
      <w:start w:val="2"/>
      <w:numFmt w:val="decimal"/>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62">
    <w:multiLevelType w:val="hybridMultilevel"/>
    <w:lvl w:ilvl="0">
      <w:start w:val="2"/>
      <w:numFmt w:val="decimal"/>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61">
    <w:multiLevelType w:val="hybridMultilevel"/>
    <w:lvl w:ilvl="0">
      <w:start w:val="1"/>
      <w:numFmt w:val="lowerLetter"/>
      <w:lvlText w:val="%1)"/>
      <w:lvlJc w:val="left"/>
      <w:pPr>
        <w:ind w:left="83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820" w:hanging="213"/>
      </w:pPr>
      <w:rPr>
        <w:rFonts w:hint="default"/>
        <w:lang w:val="zh-CN" w:eastAsia="zh-CN" w:bidi="zh-CN"/>
      </w:rPr>
    </w:lvl>
    <w:lvl w:ilvl="2">
      <w:start w:val="0"/>
      <w:numFmt w:val="bullet"/>
      <w:lvlText w:val="•"/>
      <w:lvlJc w:val="left"/>
      <w:pPr>
        <w:ind w:left="2801" w:hanging="213"/>
      </w:pPr>
      <w:rPr>
        <w:rFonts w:hint="default"/>
        <w:lang w:val="zh-CN" w:eastAsia="zh-CN" w:bidi="zh-CN"/>
      </w:rPr>
    </w:lvl>
    <w:lvl w:ilvl="3">
      <w:start w:val="0"/>
      <w:numFmt w:val="bullet"/>
      <w:lvlText w:val="•"/>
      <w:lvlJc w:val="left"/>
      <w:pPr>
        <w:ind w:left="3781" w:hanging="213"/>
      </w:pPr>
      <w:rPr>
        <w:rFonts w:hint="default"/>
        <w:lang w:val="zh-CN" w:eastAsia="zh-CN" w:bidi="zh-CN"/>
      </w:rPr>
    </w:lvl>
    <w:lvl w:ilvl="4">
      <w:start w:val="0"/>
      <w:numFmt w:val="bullet"/>
      <w:lvlText w:val="•"/>
      <w:lvlJc w:val="left"/>
      <w:pPr>
        <w:ind w:left="4762" w:hanging="213"/>
      </w:pPr>
      <w:rPr>
        <w:rFonts w:hint="default"/>
        <w:lang w:val="zh-CN" w:eastAsia="zh-CN" w:bidi="zh-CN"/>
      </w:rPr>
    </w:lvl>
    <w:lvl w:ilvl="5">
      <w:start w:val="0"/>
      <w:numFmt w:val="bullet"/>
      <w:lvlText w:val="•"/>
      <w:lvlJc w:val="left"/>
      <w:pPr>
        <w:ind w:left="5743" w:hanging="213"/>
      </w:pPr>
      <w:rPr>
        <w:rFonts w:hint="default"/>
        <w:lang w:val="zh-CN" w:eastAsia="zh-CN" w:bidi="zh-CN"/>
      </w:rPr>
    </w:lvl>
    <w:lvl w:ilvl="6">
      <w:start w:val="0"/>
      <w:numFmt w:val="bullet"/>
      <w:lvlText w:val="•"/>
      <w:lvlJc w:val="left"/>
      <w:pPr>
        <w:ind w:left="6723" w:hanging="213"/>
      </w:pPr>
      <w:rPr>
        <w:rFonts w:hint="default"/>
        <w:lang w:val="zh-CN" w:eastAsia="zh-CN" w:bidi="zh-CN"/>
      </w:rPr>
    </w:lvl>
    <w:lvl w:ilvl="7">
      <w:start w:val="0"/>
      <w:numFmt w:val="bullet"/>
      <w:lvlText w:val="•"/>
      <w:lvlJc w:val="left"/>
      <w:pPr>
        <w:ind w:left="7704" w:hanging="213"/>
      </w:pPr>
      <w:rPr>
        <w:rFonts w:hint="default"/>
        <w:lang w:val="zh-CN" w:eastAsia="zh-CN" w:bidi="zh-CN"/>
      </w:rPr>
    </w:lvl>
    <w:lvl w:ilvl="8">
      <w:start w:val="0"/>
      <w:numFmt w:val="bullet"/>
      <w:lvlText w:val="•"/>
      <w:lvlJc w:val="left"/>
      <w:pPr>
        <w:ind w:left="8685" w:hanging="213"/>
      </w:pPr>
      <w:rPr>
        <w:rFonts w:hint="default"/>
        <w:lang w:val="zh-CN" w:eastAsia="zh-CN" w:bidi="zh-CN"/>
      </w:rPr>
    </w:lvl>
  </w:abstractNum>
  <w:abstractNum w:abstractNumId="60">
    <w:multiLevelType w:val="hybridMultilevel"/>
    <w:lvl w:ilvl="0">
      <w:start w:val="2"/>
      <w:numFmt w:val="upperLetter"/>
      <w:lvlText w:val="%1"/>
      <w:lvlJc w:val="left"/>
      <w:pPr>
        <w:ind w:left="418" w:hanging="531"/>
        <w:jc w:val="left"/>
      </w:pPr>
      <w:rPr>
        <w:rFonts w:hint="default"/>
        <w:lang w:val="zh-CN" w:eastAsia="zh-CN" w:bidi="zh-CN"/>
      </w:rPr>
    </w:lvl>
    <w:lvl w:ilvl="1">
      <w:start w:val="2"/>
      <w:numFmt w:val="decimal"/>
      <w:lvlText w:val="%1.%2"/>
      <w:lvlJc w:val="left"/>
      <w:pPr>
        <w:ind w:left="418" w:hanging="531"/>
        <w:jc w:val="left"/>
      </w:pPr>
      <w:rPr>
        <w:rFonts w:hint="default"/>
        <w:lang w:val="zh-CN" w:eastAsia="zh-CN" w:bidi="zh-CN"/>
      </w:rPr>
    </w:lvl>
    <w:lvl w:ilvl="2">
      <w:start w:val="3"/>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59">
    <w:multiLevelType w:val="hybridMultilevel"/>
    <w:lvl w:ilvl="0">
      <w:start w:val="3"/>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8">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7">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6">
    <w:multiLevelType w:val="hybridMultilevel"/>
    <w:lvl w:ilvl="0">
      <w:start w:val="10"/>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5">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4">
    <w:multiLevelType w:val="hybridMultilevel"/>
    <w:lvl w:ilvl="0">
      <w:start w:val="1"/>
      <w:numFmt w:val="upperLetter"/>
      <w:lvlText w:val="%1."/>
      <w:lvlJc w:val="left"/>
      <w:pPr>
        <w:ind w:left="1052" w:hanging="213"/>
        <w:jc w:val="left"/>
      </w:pPr>
      <w:rPr>
        <w:rFonts w:hint="default" w:ascii="宋体" w:hAnsi="宋体" w:eastAsia="宋体" w:cs="宋体"/>
        <w:b/>
        <w:bCs/>
        <w:spacing w:val="-3"/>
        <w:w w:val="99"/>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53">
    <w:multiLevelType w:val="hybridMultilevel"/>
    <w:lvl w:ilvl="0">
      <w:start w:val="1"/>
      <w:numFmt w:val="upperLetter"/>
      <w:lvlText w:val="%1"/>
      <w:lvlJc w:val="left"/>
      <w:pPr>
        <w:ind w:left="1575" w:hanging="738"/>
        <w:jc w:val="left"/>
      </w:pPr>
      <w:rPr>
        <w:rFonts w:hint="default"/>
        <w:lang w:val="zh-CN" w:eastAsia="zh-CN" w:bidi="zh-CN"/>
      </w:rPr>
    </w:lvl>
    <w:lvl w:ilvl="1">
      <w:start w:val="1"/>
      <w:numFmt w:val="decimal"/>
      <w:lvlText w:val="%1.%2"/>
      <w:lvlJc w:val="left"/>
      <w:pPr>
        <w:ind w:left="1575" w:hanging="738"/>
        <w:jc w:val="left"/>
      </w:pPr>
      <w:rPr>
        <w:rFonts w:hint="default"/>
        <w:lang w:val="zh-CN" w:eastAsia="zh-CN" w:bidi="zh-CN"/>
      </w:rPr>
    </w:lvl>
    <w:lvl w:ilvl="2">
      <w:start w:val="6"/>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52">
    <w:multiLevelType w:val="hybridMultilevel"/>
    <w:lvl w:ilvl="0">
      <w:start w:val="1"/>
      <w:numFmt w:val="upperLetter"/>
      <w:lvlText w:val="%1"/>
      <w:lvlJc w:val="left"/>
      <w:pPr>
        <w:ind w:left="838" w:hanging="529"/>
        <w:jc w:val="left"/>
      </w:pPr>
      <w:rPr>
        <w:rFonts w:hint="default"/>
        <w:lang w:val="zh-CN" w:eastAsia="zh-CN" w:bidi="zh-CN"/>
      </w:rPr>
    </w:lvl>
    <w:lvl w:ilvl="1">
      <w:start w:val="1"/>
      <w:numFmt w:val="decimal"/>
      <w:lvlText w:val="%1.%2"/>
      <w:lvlJc w:val="left"/>
      <w:pPr>
        <w:ind w:left="838" w:hanging="529"/>
        <w:jc w:val="left"/>
      </w:pPr>
      <w:rPr>
        <w:rFonts w:hint="default"/>
        <w:lang w:val="zh-CN" w:eastAsia="zh-CN" w:bidi="zh-CN"/>
      </w:rPr>
    </w:lvl>
    <w:lvl w:ilvl="2">
      <w:start w:val="2"/>
      <w:numFmt w:val="decimal"/>
      <w:lvlText w:val="%1.%2.%3"/>
      <w:lvlJc w:val="left"/>
      <w:pPr>
        <w:ind w:left="83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781" w:hanging="529"/>
      </w:pPr>
      <w:rPr>
        <w:rFonts w:hint="default"/>
        <w:lang w:val="zh-CN" w:eastAsia="zh-CN" w:bidi="zh-CN"/>
      </w:rPr>
    </w:lvl>
    <w:lvl w:ilvl="4">
      <w:start w:val="0"/>
      <w:numFmt w:val="bullet"/>
      <w:lvlText w:val="•"/>
      <w:lvlJc w:val="left"/>
      <w:pPr>
        <w:ind w:left="4762" w:hanging="529"/>
      </w:pPr>
      <w:rPr>
        <w:rFonts w:hint="default"/>
        <w:lang w:val="zh-CN" w:eastAsia="zh-CN" w:bidi="zh-CN"/>
      </w:rPr>
    </w:lvl>
    <w:lvl w:ilvl="5">
      <w:start w:val="0"/>
      <w:numFmt w:val="bullet"/>
      <w:lvlText w:val="•"/>
      <w:lvlJc w:val="left"/>
      <w:pPr>
        <w:ind w:left="5743" w:hanging="529"/>
      </w:pPr>
      <w:rPr>
        <w:rFonts w:hint="default"/>
        <w:lang w:val="zh-CN" w:eastAsia="zh-CN" w:bidi="zh-CN"/>
      </w:rPr>
    </w:lvl>
    <w:lvl w:ilvl="6">
      <w:start w:val="0"/>
      <w:numFmt w:val="bullet"/>
      <w:lvlText w:val="•"/>
      <w:lvlJc w:val="left"/>
      <w:pPr>
        <w:ind w:left="6723" w:hanging="529"/>
      </w:pPr>
      <w:rPr>
        <w:rFonts w:hint="default"/>
        <w:lang w:val="zh-CN" w:eastAsia="zh-CN" w:bidi="zh-CN"/>
      </w:rPr>
    </w:lvl>
    <w:lvl w:ilvl="7">
      <w:start w:val="0"/>
      <w:numFmt w:val="bullet"/>
      <w:lvlText w:val="•"/>
      <w:lvlJc w:val="left"/>
      <w:pPr>
        <w:ind w:left="7704" w:hanging="529"/>
      </w:pPr>
      <w:rPr>
        <w:rFonts w:hint="default"/>
        <w:lang w:val="zh-CN" w:eastAsia="zh-CN" w:bidi="zh-CN"/>
      </w:rPr>
    </w:lvl>
    <w:lvl w:ilvl="8">
      <w:start w:val="0"/>
      <w:numFmt w:val="bullet"/>
      <w:lvlText w:val="•"/>
      <w:lvlJc w:val="left"/>
      <w:pPr>
        <w:ind w:left="8685" w:hanging="529"/>
      </w:pPr>
      <w:rPr>
        <w:rFonts w:hint="default"/>
        <w:lang w:val="zh-CN" w:eastAsia="zh-CN" w:bidi="zh-CN"/>
      </w:rPr>
    </w:lvl>
  </w:abstractNum>
  <w:abstractNum w:abstractNumId="51">
    <w:multiLevelType w:val="hybridMultilevel"/>
    <w:lvl w:ilvl="0">
      <w:start w:val="1"/>
      <w:numFmt w:val="upperLetter"/>
      <w:lvlText w:val="%1"/>
      <w:lvlJc w:val="left"/>
      <w:pPr>
        <w:ind w:left="1575" w:hanging="738"/>
        <w:jc w:val="left"/>
      </w:pPr>
      <w:rPr>
        <w:rFonts w:hint="default"/>
        <w:lang w:val="zh-CN" w:eastAsia="zh-CN" w:bidi="zh-CN"/>
      </w:rPr>
    </w:lvl>
    <w:lvl w:ilvl="1">
      <w:start w:val="1"/>
      <w:numFmt w:val="decimal"/>
      <w:lvlText w:val="%1.%2"/>
      <w:lvlJc w:val="left"/>
      <w:pPr>
        <w:ind w:left="1575" w:hanging="738"/>
        <w:jc w:val="left"/>
      </w:pPr>
      <w:rPr>
        <w:rFonts w:hint="default"/>
        <w:lang w:val="zh-CN" w:eastAsia="zh-CN" w:bidi="zh-CN"/>
      </w:rPr>
    </w:lvl>
    <w:lvl w:ilvl="2">
      <w:start w:val="1"/>
      <w:numFmt w:val="decimal"/>
      <w:lvlText w:val="%1.%2.%3"/>
      <w:lvlJc w:val="left"/>
      <w:pPr>
        <w:ind w:left="1575" w:hanging="738"/>
        <w:jc w:val="left"/>
      </w:pPr>
      <w:rPr>
        <w:rFonts w:hint="default"/>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50">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9">
    <w:multiLevelType w:val="hybridMultilevel"/>
    <w:lvl w:ilvl="0">
      <w:start w:val="7"/>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696" w:hanging="738"/>
      </w:pPr>
      <w:rPr>
        <w:rFonts w:hint="default"/>
        <w:lang w:val="zh-CN" w:eastAsia="zh-CN" w:bidi="zh-CN"/>
      </w:rPr>
    </w:lvl>
    <w:lvl w:ilvl="5">
      <w:start w:val="0"/>
      <w:numFmt w:val="bullet"/>
      <w:lvlText w:val="•"/>
      <w:lvlJc w:val="left"/>
      <w:pPr>
        <w:ind w:left="4854" w:hanging="738"/>
      </w:pPr>
      <w:rPr>
        <w:rFonts w:hint="default"/>
        <w:lang w:val="zh-CN" w:eastAsia="zh-CN" w:bidi="zh-CN"/>
      </w:rPr>
    </w:lvl>
    <w:lvl w:ilvl="6">
      <w:start w:val="0"/>
      <w:numFmt w:val="bullet"/>
      <w:lvlText w:val="•"/>
      <w:lvlJc w:val="left"/>
      <w:pPr>
        <w:ind w:left="6013" w:hanging="738"/>
      </w:pPr>
      <w:rPr>
        <w:rFonts w:hint="default"/>
        <w:lang w:val="zh-CN" w:eastAsia="zh-CN" w:bidi="zh-CN"/>
      </w:rPr>
    </w:lvl>
    <w:lvl w:ilvl="7">
      <w:start w:val="0"/>
      <w:numFmt w:val="bullet"/>
      <w:lvlText w:val="•"/>
      <w:lvlJc w:val="left"/>
      <w:pPr>
        <w:ind w:left="7171" w:hanging="738"/>
      </w:pPr>
      <w:rPr>
        <w:rFonts w:hint="default"/>
        <w:lang w:val="zh-CN" w:eastAsia="zh-CN" w:bidi="zh-CN"/>
      </w:rPr>
    </w:lvl>
    <w:lvl w:ilvl="8">
      <w:start w:val="0"/>
      <w:numFmt w:val="bullet"/>
      <w:lvlText w:val="•"/>
      <w:lvlJc w:val="left"/>
      <w:pPr>
        <w:ind w:left="8329" w:hanging="738"/>
      </w:pPr>
      <w:rPr>
        <w:rFonts w:hint="default"/>
        <w:lang w:val="zh-CN" w:eastAsia="zh-CN" w:bidi="zh-CN"/>
      </w:rPr>
    </w:lvl>
  </w:abstractNum>
  <w:abstractNum w:abstractNumId="48">
    <w:multiLevelType w:val="hybridMultilevel"/>
    <w:lvl w:ilvl="0">
      <w:start w:val="7"/>
      <w:numFmt w:val="decimal"/>
      <w:lvlText w:val="%1"/>
      <w:lvlJc w:val="left"/>
      <w:pPr>
        <w:ind w:left="418" w:hanging="529"/>
        <w:jc w:val="left"/>
      </w:pPr>
      <w:rPr>
        <w:rFonts w:hint="default"/>
        <w:lang w:val="zh-CN" w:eastAsia="zh-CN" w:bidi="zh-CN"/>
      </w:rPr>
    </w:lvl>
    <w:lvl w:ilvl="1">
      <w:start w:val="1"/>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510" w:hanging="738"/>
      </w:pPr>
      <w:rPr>
        <w:rFonts w:hint="default"/>
        <w:lang w:val="zh-CN" w:eastAsia="zh-CN" w:bidi="zh-CN"/>
      </w:rPr>
    </w:lvl>
    <w:lvl w:ilvl="5">
      <w:start w:val="0"/>
      <w:numFmt w:val="bullet"/>
      <w:lvlText w:val="•"/>
      <w:lvlJc w:val="left"/>
      <w:pPr>
        <w:ind w:left="5533" w:hanging="738"/>
      </w:pPr>
      <w:rPr>
        <w:rFonts w:hint="default"/>
        <w:lang w:val="zh-CN" w:eastAsia="zh-CN" w:bidi="zh-CN"/>
      </w:rPr>
    </w:lvl>
    <w:lvl w:ilvl="6">
      <w:start w:val="0"/>
      <w:numFmt w:val="bullet"/>
      <w:lvlText w:val="•"/>
      <w:lvlJc w:val="left"/>
      <w:pPr>
        <w:ind w:left="6555" w:hanging="738"/>
      </w:pPr>
      <w:rPr>
        <w:rFonts w:hint="default"/>
        <w:lang w:val="zh-CN" w:eastAsia="zh-CN" w:bidi="zh-CN"/>
      </w:rPr>
    </w:lvl>
    <w:lvl w:ilvl="7">
      <w:start w:val="0"/>
      <w:numFmt w:val="bullet"/>
      <w:lvlText w:val="•"/>
      <w:lvlJc w:val="left"/>
      <w:pPr>
        <w:ind w:left="7578" w:hanging="738"/>
      </w:pPr>
      <w:rPr>
        <w:rFonts w:hint="default"/>
        <w:lang w:val="zh-CN" w:eastAsia="zh-CN" w:bidi="zh-CN"/>
      </w:rPr>
    </w:lvl>
    <w:lvl w:ilvl="8">
      <w:start w:val="0"/>
      <w:numFmt w:val="bullet"/>
      <w:lvlText w:val="•"/>
      <w:lvlJc w:val="left"/>
      <w:pPr>
        <w:ind w:left="8601" w:hanging="738"/>
      </w:pPr>
      <w:rPr>
        <w:rFonts w:hint="default"/>
        <w:lang w:val="zh-CN" w:eastAsia="zh-CN" w:bidi="zh-CN"/>
      </w:rPr>
    </w:lvl>
  </w:abstractNum>
  <w:abstractNum w:abstractNumId="47">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6">
    <w:multiLevelType w:val="hybridMultilevel"/>
    <w:lvl w:ilvl="0">
      <w:start w:val="6"/>
      <w:numFmt w:val="decimal"/>
      <w:lvlText w:val="%1"/>
      <w:lvlJc w:val="left"/>
      <w:pPr>
        <w:ind w:left="418" w:hanging="529"/>
        <w:jc w:val="left"/>
      </w:pPr>
      <w:rPr>
        <w:rFonts w:hint="default"/>
        <w:lang w:val="zh-CN" w:eastAsia="zh-CN" w:bidi="zh-CN"/>
      </w:rPr>
    </w:lvl>
    <w:lvl w:ilvl="1">
      <w:start w:val="3"/>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45">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4">
    <w:multiLevelType w:val="hybridMultilevel"/>
    <w:lvl w:ilvl="0">
      <w:start w:val="1"/>
      <w:numFmt w:val="lowerLetter"/>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43">
    <w:multiLevelType w:val="hybridMultilevel"/>
    <w:lvl w:ilvl="0">
      <w:start w:val="6"/>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42">
    <w:multiLevelType w:val="hybridMultilevel"/>
    <w:lvl w:ilvl="0">
      <w:start w:val="1"/>
      <w:numFmt w:val="lowerLetter"/>
      <w:lvlText w:val="%1)"/>
      <w:lvlJc w:val="left"/>
      <w:pPr>
        <w:ind w:left="1050"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1">
    <w:multiLevelType w:val="hybridMultilevel"/>
    <w:lvl w:ilvl="0">
      <w:start w:val="5"/>
      <w:numFmt w:val="decimal"/>
      <w:lvlText w:val="%1"/>
      <w:lvlJc w:val="left"/>
      <w:pPr>
        <w:ind w:left="1158" w:hanging="318"/>
        <w:jc w:val="left"/>
      </w:pPr>
      <w:rPr>
        <w:rFonts w:hint="default"/>
        <w:lang w:val="zh-CN" w:eastAsia="zh-CN" w:bidi="zh-CN"/>
      </w:rPr>
    </w:lvl>
    <w:lvl w:ilvl="1">
      <w:start w:val="2"/>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2875" w:hanging="738"/>
      </w:pPr>
      <w:rPr>
        <w:rFonts w:hint="default"/>
        <w:lang w:val="zh-CN" w:eastAsia="zh-CN" w:bidi="zh-CN"/>
      </w:rPr>
    </w:lvl>
    <w:lvl w:ilvl="5">
      <w:start w:val="0"/>
      <w:numFmt w:val="bullet"/>
      <w:lvlText w:val="•"/>
      <w:lvlJc w:val="left"/>
      <w:pPr>
        <w:ind w:left="4170" w:hanging="738"/>
      </w:pPr>
      <w:rPr>
        <w:rFonts w:hint="default"/>
        <w:lang w:val="zh-CN" w:eastAsia="zh-CN" w:bidi="zh-CN"/>
      </w:rPr>
    </w:lvl>
    <w:lvl w:ilvl="6">
      <w:start w:val="0"/>
      <w:numFmt w:val="bullet"/>
      <w:lvlText w:val="•"/>
      <w:lvlJc w:val="left"/>
      <w:pPr>
        <w:ind w:left="5465" w:hanging="738"/>
      </w:pPr>
      <w:rPr>
        <w:rFonts w:hint="default"/>
        <w:lang w:val="zh-CN" w:eastAsia="zh-CN" w:bidi="zh-CN"/>
      </w:rPr>
    </w:lvl>
    <w:lvl w:ilvl="7">
      <w:start w:val="0"/>
      <w:numFmt w:val="bullet"/>
      <w:lvlText w:val="•"/>
      <w:lvlJc w:val="left"/>
      <w:pPr>
        <w:ind w:left="6760" w:hanging="738"/>
      </w:pPr>
      <w:rPr>
        <w:rFonts w:hint="default"/>
        <w:lang w:val="zh-CN" w:eastAsia="zh-CN" w:bidi="zh-CN"/>
      </w:rPr>
    </w:lvl>
    <w:lvl w:ilvl="8">
      <w:start w:val="0"/>
      <w:numFmt w:val="bullet"/>
      <w:lvlText w:val="•"/>
      <w:lvlJc w:val="left"/>
      <w:pPr>
        <w:ind w:left="8056" w:hanging="738"/>
      </w:pPr>
      <w:rPr>
        <w:rFonts w:hint="default"/>
        <w:lang w:val="zh-CN" w:eastAsia="zh-CN" w:bidi="zh-CN"/>
      </w:rPr>
    </w:lvl>
  </w:abstractNum>
  <w:abstractNum w:abstractNumId="40">
    <w:multiLevelType w:val="hybridMultilevel"/>
    <w:lvl w:ilvl="0">
      <w:start w:val="1"/>
      <w:numFmt w:val="lowerLetter"/>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39">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418"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3681" w:hanging="738"/>
      </w:pPr>
      <w:rPr>
        <w:rFonts w:hint="default"/>
        <w:lang w:val="zh-CN" w:eastAsia="zh-CN" w:bidi="zh-CN"/>
      </w:rPr>
    </w:lvl>
    <w:lvl w:ilvl="5">
      <w:start w:val="0"/>
      <w:numFmt w:val="bullet"/>
      <w:lvlText w:val="•"/>
      <w:lvlJc w:val="left"/>
      <w:pPr>
        <w:ind w:left="4842" w:hanging="738"/>
      </w:pPr>
      <w:rPr>
        <w:rFonts w:hint="default"/>
        <w:lang w:val="zh-CN" w:eastAsia="zh-CN" w:bidi="zh-CN"/>
      </w:rPr>
    </w:lvl>
    <w:lvl w:ilvl="6">
      <w:start w:val="0"/>
      <w:numFmt w:val="bullet"/>
      <w:lvlText w:val="•"/>
      <w:lvlJc w:val="left"/>
      <w:pPr>
        <w:ind w:left="6003" w:hanging="738"/>
      </w:pPr>
      <w:rPr>
        <w:rFonts w:hint="default"/>
        <w:lang w:val="zh-CN" w:eastAsia="zh-CN" w:bidi="zh-CN"/>
      </w:rPr>
    </w:lvl>
    <w:lvl w:ilvl="7">
      <w:start w:val="0"/>
      <w:numFmt w:val="bullet"/>
      <w:lvlText w:val="•"/>
      <w:lvlJc w:val="left"/>
      <w:pPr>
        <w:ind w:left="7164" w:hanging="738"/>
      </w:pPr>
      <w:rPr>
        <w:rFonts w:hint="default"/>
        <w:lang w:val="zh-CN" w:eastAsia="zh-CN" w:bidi="zh-CN"/>
      </w:rPr>
    </w:lvl>
    <w:lvl w:ilvl="8">
      <w:start w:val="0"/>
      <w:numFmt w:val="bullet"/>
      <w:lvlText w:val="•"/>
      <w:lvlJc w:val="left"/>
      <w:pPr>
        <w:ind w:left="8324" w:hanging="738"/>
      </w:pPr>
      <w:rPr>
        <w:rFonts w:hint="default"/>
        <w:lang w:val="zh-CN" w:eastAsia="zh-CN" w:bidi="zh-CN"/>
      </w:rPr>
    </w:lvl>
  </w:abstractNum>
  <w:abstractNum w:abstractNumId="38">
    <w:multiLevelType w:val="hybridMultilevel"/>
    <w:lvl w:ilvl="0">
      <w:start w:val="10"/>
      <w:numFmt w:val="lowerLetter"/>
      <w:lvlText w:val="%1)"/>
      <w:lvlJc w:val="left"/>
      <w:pPr>
        <w:ind w:left="1050" w:hanging="213"/>
        <w:jc w:val="left"/>
      </w:pPr>
      <w:rPr>
        <w:rFonts w:hint="default" w:ascii="宋体" w:hAnsi="宋体" w:eastAsia="宋体" w:cs="宋体"/>
        <w:spacing w:val="-52"/>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7">
    <w:multiLevelType w:val="hybridMultilevel"/>
    <w:lvl w:ilvl="0">
      <w:start w:val="4"/>
      <w:numFmt w:val="lowerLetter"/>
      <w:lvlText w:val="%1)"/>
      <w:lvlJc w:val="left"/>
      <w:pPr>
        <w:ind w:left="1050"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6">
    <w:multiLevelType w:val="hybridMultilevel"/>
    <w:lvl w:ilvl="0">
      <w:start w:val="1"/>
      <w:numFmt w:val="lowerLetter"/>
      <w:lvlText w:val="%1)"/>
      <w:lvlJc w:val="left"/>
      <w:pPr>
        <w:ind w:left="1050" w:hanging="213"/>
        <w:jc w:val="left"/>
      </w:pPr>
      <w:rPr>
        <w:rFonts w:hint="default" w:ascii="宋体" w:hAnsi="宋体" w:eastAsia="宋体" w:cs="宋体"/>
        <w:spacing w:val="-52"/>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5">
    <w:multiLevelType w:val="hybridMultilevel"/>
    <w:lvl w:ilvl="0">
      <w:start w:val="4"/>
      <w:numFmt w:val="decimal"/>
      <w:lvlText w:val="%1"/>
      <w:lvlJc w:val="left"/>
      <w:pPr>
        <w:ind w:left="1370" w:hanging="531"/>
        <w:jc w:val="left"/>
      </w:pPr>
      <w:rPr>
        <w:rFonts w:hint="default"/>
        <w:lang w:val="zh-CN" w:eastAsia="zh-CN" w:bidi="zh-CN"/>
      </w:rPr>
    </w:lvl>
    <w:lvl w:ilvl="1">
      <w:start w:val="2"/>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34">
    <w:multiLevelType w:val="hybridMultilevel"/>
    <w:lvl w:ilvl="0">
      <w:start w:val="1"/>
      <w:numFmt w:val="lowerLetter"/>
      <w:lvlText w:val="%1)"/>
      <w:lvlJc w:val="left"/>
      <w:pPr>
        <w:ind w:left="418"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33">
    <w:multiLevelType w:val="hybridMultilevel"/>
    <w:lvl w:ilvl="0">
      <w:start w:val="1"/>
      <w:numFmt w:val="lowerLetter"/>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32">
    <w:multiLevelType w:val="hybridMultilevel"/>
    <w:lvl w:ilvl="0">
      <w:start w:val="4"/>
      <w:numFmt w:val="decimal"/>
      <w:lvlText w:val="%1"/>
      <w:lvlJc w:val="left"/>
      <w:pPr>
        <w:ind w:left="1575" w:hanging="738"/>
        <w:jc w:val="left"/>
      </w:pPr>
      <w:rPr>
        <w:rFonts w:hint="default"/>
        <w:lang w:val="zh-CN" w:eastAsia="zh-CN" w:bidi="zh-CN"/>
      </w:rPr>
    </w:lvl>
    <w:lvl w:ilvl="1">
      <w:start w:val="1"/>
      <w:numFmt w:val="decimal"/>
      <w:lvlText w:val="%1.%2"/>
      <w:lvlJc w:val="left"/>
      <w:pPr>
        <w:ind w:left="1575" w:hanging="738"/>
        <w:jc w:val="left"/>
      </w:pPr>
      <w:rPr>
        <w:rFonts w:hint="default"/>
        <w:lang w:val="zh-CN" w:eastAsia="zh-CN" w:bidi="zh-CN"/>
      </w:rPr>
    </w:lvl>
    <w:lvl w:ilvl="2">
      <w:start w:val="2"/>
      <w:numFmt w:val="decimal"/>
      <w:lvlText w:val="%1.%2.%3"/>
      <w:lvlJc w:val="left"/>
      <w:pPr>
        <w:ind w:left="1575" w:hanging="738"/>
        <w:jc w:val="left"/>
      </w:pPr>
      <w:rPr>
        <w:rFonts w:hint="default"/>
        <w:lang w:val="zh-CN" w:eastAsia="zh-CN" w:bidi="zh-CN"/>
      </w:rPr>
    </w:lvl>
    <w:lvl w:ilvl="3">
      <w:start w:val="5"/>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5206" w:hanging="738"/>
      </w:pPr>
      <w:rPr>
        <w:rFonts w:hint="default"/>
        <w:lang w:val="zh-CN" w:eastAsia="zh-CN" w:bidi="zh-CN"/>
      </w:rPr>
    </w:lvl>
    <w:lvl w:ilvl="5">
      <w:start w:val="0"/>
      <w:numFmt w:val="bullet"/>
      <w:lvlText w:val="•"/>
      <w:lvlJc w:val="left"/>
      <w:pPr>
        <w:ind w:left="6113" w:hanging="738"/>
      </w:pPr>
      <w:rPr>
        <w:rFonts w:hint="default"/>
        <w:lang w:val="zh-CN" w:eastAsia="zh-CN" w:bidi="zh-CN"/>
      </w:rPr>
    </w:lvl>
    <w:lvl w:ilvl="6">
      <w:start w:val="0"/>
      <w:numFmt w:val="bullet"/>
      <w:lvlText w:val="•"/>
      <w:lvlJc w:val="left"/>
      <w:pPr>
        <w:ind w:left="7019" w:hanging="738"/>
      </w:pPr>
      <w:rPr>
        <w:rFonts w:hint="default"/>
        <w:lang w:val="zh-CN" w:eastAsia="zh-CN" w:bidi="zh-CN"/>
      </w:rPr>
    </w:lvl>
    <w:lvl w:ilvl="7">
      <w:start w:val="0"/>
      <w:numFmt w:val="bullet"/>
      <w:lvlText w:val="•"/>
      <w:lvlJc w:val="left"/>
      <w:pPr>
        <w:ind w:left="7926" w:hanging="738"/>
      </w:pPr>
      <w:rPr>
        <w:rFonts w:hint="default"/>
        <w:lang w:val="zh-CN" w:eastAsia="zh-CN" w:bidi="zh-CN"/>
      </w:rPr>
    </w:lvl>
    <w:lvl w:ilvl="8">
      <w:start w:val="0"/>
      <w:numFmt w:val="bullet"/>
      <w:lvlText w:val="•"/>
      <w:lvlJc w:val="left"/>
      <w:pPr>
        <w:ind w:left="8833" w:hanging="738"/>
      </w:pPr>
      <w:rPr>
        <w:rFonts w:hint="default"/>
        <w:lang w:val="zh-CN" w:eastAsia="zh-CN" w:bidi="zh-CN"/>
      </w:rPr>
    </w:lvl>
  </w:abstractNum>
  <w:abstractNum w:abstractNumId="31">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0">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9">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8">
    <w:multiLevelType w:val="hybridMultilevel"/>
    <w:lvl w:ilvl="0">
      <w:start w:val="1"/>
      <w:numFmt w:val="lowerLetter"/>
      <w:lvlText w:val="%1)"/>
      <w:lvlJc w:val="left"/>
      <w:pPr>
        <w:ind w:left="418"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7">
    <w:multiLevelType w:val="hybridMultilevel"/>
    <w:lvl w:ilvl="0">
      <w:start w:val="4"/>
      <w:numFmt w:val="decimal"/>
      <w:lvlText w:val="%1"/>
      <w:lvlJc w:val="left"/>
      <w:pPr>
        <w:ind w:left="1369" w:hanging="529"/>
        <w:jc w:val="left"/>
      </w:pPr>
      <w:rPr>
        <w:rFonts w:hint="default"/>
        <w:lang w:val="zh-CN" w:eastAsia="zh-CN" w:bidi="zh-CN"/>
      </w:rPr>
    </w:lvl>
    <w:lvl w:ilvl="1">
      <w:start w:val="1"/>
      <w:numFmt w:val="decimal"/>
      <w:lvlText w:val="%1.%2"/>
      <w:lvlJc w:val="left"/>
      <w:pPr>
        <w:ind w:left="1369" w:hanging="529"/>
        <w:jc w:val="left"/>
      </w:pPr>
      <w:rPr>
        <w:rFonts w:hint="default"/>
        <w:lang w:val="zh-CN" w:eastAsia="zh-CN" w:bidi="zh-CN"/>
      </w:rPr>
    </w:lvl>
    <w:lvl w:ilvl="2">
      <w:start w:val="2"/>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ascii="宋体" w:hAnsi="宋体" w:eastAsia="宋体" w:cs="宋体"/>
        <w:spacing w:val="-3"/>
        <w:w w:val="100"/>
        <w:sz w:val="19"/>
        <w:szCs w:val="19"/>
        <w:lang w:val="zh-CN" w:eastAsia="zh-CN" w:bidi="zh-CN"/>
      </w:rPr>
    </w:lvl>
    <w:lvl w:ilvl="4">
      <w:start w:val="0"/>
      <w:numFmt w:val="bullet"/>
      <w:lvlText w:val="•"/>
      <w:lvlJc w:val="left"/>
      <w:pPr>
        <w:ind w:left="4602" w:hanging="738"/>
      </w:pPr>
      <w:rPr>
        <w:rFonts w:hint="default"/>
        <w:lang w:val="zh-CN" w:eastAsia="zh-CN" w:bidi="zh-CN"/>
      </w:rPr>
    </w:lvl>
    <w:lvl w:ilvl="5">
      <w:start w:val="0"/>
      <w:numFmt w:val="bullet"/>
      <w:lvlText w:val="•"/>
      <w:lvlJc w:val="left"/>
      <w:pPr>
        <w:ind w:left="5609" w:hanging="738"/>
      </w:pPr>
      <w:rPr>
        <w:rFonts w:hint="default"/>
        <w:lang w:val="zh-CN" w:eastAsia="zh-CN" w:bidi="zh-CN"/>
      </w:rPr>
    </w:lvl>
    <w:lvl w:ilvl="6">
      <w:start w:val="0"/>
      <w:numFmt w:val="bullet"/>
      <w:lvlText w:val="•"/>
      <w:lvlJc w:val="left"/>
      <w:pPr>
        <w:ind w:left="6616" w:hanging="738"/>
      </w:pPr>
      <w:rPr>
        <w:rFonts w:hint="default"/>
        <w:lang w:val="zh-CN" w:eastAsia="zh-CN" w:bidi="zh-CN"/>
      </w:rPr>
    </w:lvl>
    <w:lvl w:ilvl="7">
      <w:start w:val="0"/>
      <w:numFmt w:val="bullet"/>
      <w:lvlText w:val="•"/>
      <w:lvlJc w:val="left"/>
      <w:pPr>
        <w:ind w:left="7624" w:hanging="738"/>
      </w:pPr>
      <w:rPr>
        <w:rFonts w:hint="default"/>
        <w:lang w:val="zh-CN" w:eastAsia="zh-CN" w:bidi="zh-CN"/>
      </w:rPr>
    </w:lvl>
    <w:lvl w:ilvl="8">
      <w:start w:val="0"/>
      <w:numFmt w:val="bullet"/>
      <w:lvlText w:val="•"/>
      <w:lvlJc w:val="left"/>
      <w:pPr>
        <w:ind w:left="8631" w:hanging="738"/>
      </w:pPr>
      <w:rPr>
        <w:rFonts w:hint="default"/>
        <w:lang w:val="zh-CN" w:eastAsia="zh-CN" w:bidi="zh-CN"/>
      </w:rPr>
    </w:lvl>
  </w:abstractNum>
  <w:abstractNum w:abstractNumId="26">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5">
    <w:multiLevelType w:val="hybridMultilevel"/>
    <w:lvl w:ilvl="0">
      <w:start w:val="1"/>
      <w:numFmt w:val="lowerLetter"/>
      <w:lvlText w:val="%1)"/>
      <w:lvlJc w:val="left"/>
      <w:pPr>
        <w:ind w:left="418" w:hanging="213"/>
        <w:jc w:val="left"/>
      </w:pPr>
      <w:rPr>
        <w:rFonts w:hint="default" w:ascii="宋体" w:hAnsi="宋体" w:eastAsia="宋体" w:cs="宋体"/>
        <w:spacing w:val="-5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4">
    <w:multiLevelType w:val="hybridMultilevel"/>
    <w:lvl w:ilvl="0">
      <w:start w:val="1"/>
      <w:numFmt w:val="lowerLetter"/>
      <w:lvlText w:val="%1)"/>
      <w:lvlJc w:val="left"/>
      <w:pPr>
        <w:ind w:left="418" w:hanging="213"/>
        <w:jc w:val="left"/>
      </w:pPr>
      <w:rPr>
        <w:rFonts w:hint="default" w:ascii="宋体" w:hAnsi="宋体" w:eastAsia="宋体" w:cs="宋体"/>
        <w:spacing w:val="-5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23">
    <w:multiLevelType w:val="hybridMultilevel"/>
    <w:lvl w:ilvl="0">
      <w:start w:val="1"/>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2">
    <w:multiLevelType w:val="hybridMultilevel"/>
    <w:lvl w:ilvl="0">
      <w:start w:val="1"/>
      <w:numFmt w:val="lowerLetter"/>
      <w:lvlText w:val="%1)"/>
      <w:lvlJc w:val="left"/>
      <w:pPr>
        <w:ind w:left="1050"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21">
    <w:multiLevelType w:val="hybridMultilevel"/>
    <w:lvl w:ilvl="0">
      <w:start w:val="3"/>
      <w:numFmt w:val="decimal"/>
      <w:lvlText w:val="%1"/>
      <w:lvlJc w:val="left"/>
      <w:pPr>
        <w:ind w:left="1263" w:hanging="424"/>
        <w:jc w:val="left"/>
      </w:pPr>
      <w:rPr>
        <w:rFonts w:hint="default"/>
        <w:lang w:val="zh-CN" w:eastAsia="zh-CN" w:bidi="zh-CN"/>
      </w:rPr>
    </w:lvl>
    <w:lvl w:ilvl="1">
      <w:start w:val="14"/>
      <w:numFmt w:val="decimal"/>
      <w:lvlText w:val="%1.%2"/>
      <w:lvlJc w:val="left"/>
      <w:pPr>
        <w:ind w:left="1263" w:hanging="424"/>
        <w:jc w:val="left"/>
      </w:pPr>
      <w:rPr>
        <w:rFonts w:hint="default" w:ascii="宋体" w:hAnsi="宋体" w:eastAsia="宋体" w:cs="宋体"/>
        <w:b/>
        <w:bCs/>
        <w:w w:val="99"/>
        <w:sz w:val="19"/>
        <w:szCs w:val="19"/>
        <w:lang w:val="zh-CN" w:eastAsia="zh-CN" w:bidi="zh-CN"/>
      </w:rPr>
    </w:lvl>
    <w:lvl w:ilvl="2">
      <w:start w:val="0"/>
      <w:numFmt w:val="bullet"/>
      <w:lvlText w:val="•"/>
      <w:lvlJc w:val="left"/>
      <w:pPr>
        <w:ind w:left="3137" w:hanging="424"/>
      </w:pPr>
      <w:rPr>
        <w:rFonts w:hint="default"/>
        <w:lang w:val="zh-CN" w:eastAsia="zh-CN" w:bidi="zh-CN"/>
      </w:rPr>
    </w:lvl>
    <w:lvl w:ilvl="3">
      <w:start w:val="0"/>
      <w:numFmt w:val="bullet"/>
      <w:lvlText w:val="•"/>
      <w:lvlJc w:val="left"/>
      <w:pPr>
        <w:ind w:left="4075" w:hanging="424"/>
      </w:pPr>
      <w:rPr>
        <w:rFonts w:hint="default"/>
        <w:lang w:val="zh-CN" w:eastAsia="zh-CN" w:bidi="zh-CN"/>
      </w:rPr>
    </w:lvl>
    <w:lvl w:ilvl="4">
      <w:start w:val="0"/>
      <w:numFmt w:val="bullet"/>
      <w:lvlText w:val="•"/>
      <w:lvlJc w:val="left"/>
      <w:pPr>
        <w:ind w:left="5014" w:hanging="424"/>
      </w:pPr>
      <w:rPr>
        <w:rFonts w:hint="default"/>
        <w:lang w:val="zh-CN" w:eastAsia="zh-CN" w:bidi="zh-CN"/>
      </w:rPr>
    </w:lvl>
    <w:lvl w:ilvl="5">
      <w:start w:val="0"/>
      <w:numFmt w:val="bullet"/>
      <w:lvlText w:val="•"/>
      <w:lvlJc w:val="left"/>
      <w:pPr>
        <w:ind w:left="5953" w:hanging="424"/>
      </w:pPr>
      <w:rPr>
        <w:rFonts w:hint="default"/>
        <w:lang w:val="zh-CN" w:eastAsia="zh-CN" w:bidi="zh-CN"/>
      </w:rPr>
    </w:lvl>
    <w:lvl w:ilvl="6">
      <w:start w:val="0"/>
      <w:numFmt w:val="bullet"/>
      <w:lvlText w:val="•"/>
      <w:lvlJc w:val="left"/>
      <w:pPr>
        <w:ind w:left="6891" w:hanging="424"/>
      </w:pPr>
      <w:rPr>
        <w:rFonts w:hint="default"/>
        <w:lang w:val="zh-CN" w:eastAsia="zh-CN" w:bidi="zh-CN"/>
      </w:rPr>
    </w:lvl>
    <w:lvl w:ilvl="7">
      <w:start w:val="0"/>
      <w:numFmt w:val="bullet"/>
      <w:lvlText w:val="•"/>
      <w:lvlJc w:val="left"/>
      <w:pPr>
        <w:ind w:left="7830" w:hanging="424"/>
      </w:pPr>
      <w:rPr>
        <w:rFonts w:hint="default"/>
        <w:lang w:val="zh-CN" w:eastAsia="zh-CN" w:bidi="zh-CN"/>
      </w:rPr>
    </w:lvl>
    <w:lvl w:ilvl="8">
      <w:start w:val="0"/>
      <w:numFmt w:val="bullet"/>
      <w:lvlText w:val="•"/>
      <w:lvlJc w:val="left"/>
      <w:pPr>
        <w:ind w:left="8769" w:hanging="424"/>
      </w:pPr>
      <w:rPr>
        <w:rFonts w:hint="default"/>
        <w:lang w:val="zh-CN" w:eastAsia="zh-CN" w:bidi="zh-CN"/>
      </w:rPr>
    </w:lvl>
  </w:abstractNum>
  <w:abstractNum w:abstractNumId="20">
    <w:multiLevelType w:val="hybridMultilevel"/>
    <w:lvl w:ilvl="0">
      <w:start w:val="3"/>
      <w:numFmt w:val="decimal"/>
      <w:lvlText w:val="%1"/>
      <w:lvlJc w:val="left"/>
      <w:pPr>
        <w:ind w:left="1159" w:hanging="320"/>
        <w:jc w:val="left"/>
      </w:pPr>
      <w:rPr>
        <w:rFonts w:hint="default"/>
        <w:lang w:val="zh-CN" w:eastAsia="zh-CN" w:bidi="zh-CN"/>
      </w:rPr>
    </w:lvl>
    <w:lvl w:ilvl="1">
      <w:start w:val="8"/>
      <w:numFmt w:val="decimal"/>
      <w:lvlText w:val="%1.%2"/>
      <w:lvlJc w:val="left"/>
      <w:pPr>
        <w:ind w:left="1159" w:hanging="320"/>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20"/>
      </w:pPr>
      <w:rPr>
        <w:rFonts w:hint="default"/>
        <w:lang w:val="zh-CN" w:eastAsia="zh-CN" w:bidi="zh-CN"/>
      </w:rPr>
    </w:lvl>
    <w:lvl w:ilvl="3">
      <w:start w:val="0"/>
      <w:numFmt w:val="bullet"/>
      <w:lvlText w:val="•"/>
      <w:lvlJc w:val="left"/>
      <w:pPr>
        <w:ind w:left="4005" w:hanging="320"/>
      </w:pPr>
      <w:rPr>
        <w:rFonts w:hint="default"/>
        <w:lang w:val="zh-CN" w:eastAsia="zh-CN" w:bidi="zh-CN"/>
      </w:rPr>
    </w:lvl>
    <w:lvl w:ilvl="4">
      <w:start w:val="0"/>
      <w:numFmt w:val="bullet"/>
      <w:lvlText w:val="•"/>
      <w:lvlJc w:val="left"/>
      <w:pPr>
        <w:ind w:left="4954" w:hanging="320"/>
      </w:pPr>
      <w:rPr>
        <w:rFonts w:hint="default"/>
        <w:lang w:val="zh-CN" w:eastAsia="zh-CN" w:bidi="zh-CN"/>
      </w:rPr>
    </w:lvl>
    <w:lvl w:ilvl="5">
      <w:start w:val="0"/>
      <w:numFmt w:val="bullet"/>
      <w:lvlText w:val="•"/>
      <w:lvlJc w:val="left"/>
      <w:pPr>
        <w:ind w:left="5903" w:hanging="320"/>
      </w:pPr>
      <w:rPr>
        <w:rFonts w:hint="default"/>
        <w:lang w:val="zh-CN" w:eastAsia="zh-CN" w:bidi="zh-CN"/>
      </w:rPr>
    </w:lvl>
    <w:lvl w:ilvl="6">
      <w:start w:val="0"/>
      <w:numFmt w:val="bullet"/>
      <w:lvlText w:val="•"/>
      <w:lvlJc w:val="left"/>
      <w:pPr>
        <w:ind w:left="6851" w:hanging="320"/>
      </w:pPr>
      <w:rPr>
        <w:rFonts w:hint="default"/>
        <w:lang w:val="zh-CN" w:eastAsia="zh-CN" w:bidi="zh-CN"/>
      </w:rPr>
    </w:lvl>
    <w:lvl w:ilvl="7">
      <w:start w:val="0"/>
      <w:numFmt w:val="bullet"/>
      <w:lvlText w:val="•"/>
      <w:lvlJc w:val="left"/>
      <w:pPr>
        <w:ind w:left="7800" w:hanging="320"/>
      </w:pPr>
      <w:rPr>
        <w:rFonts w:hint="default"/>
        <w:lang w:val="zh-CN" w:eastAsia="zh-CN" w:bidi="zh-CN"/>
      </w:rPr>
    </w:lvl>
    <w:lvl w:ilvl="8">
      <w:start w:val="0"/>
      <w:numFmt w:val="bullet"/>
      <w:lvlText w:val="•"/>
      <w:lvlJc w:val="left"/>
      <w:pPr>
        <w:ind w:left="8749" w:hanging="320"/>
      </w:pPr>
      <w:rPr>
        <w:rFonts w:hint="default"/>
        <w:lang w:val="zh-CN" w:eastAsia="zh-CN" w:bidi="zh-CN"/>
      </w:rPr>
    </w:lvl>
  </w:abstractNum>
  <w:abstractNum w:abstractNumId="19">
    <w:multiLevelType w:val="hybridMultilevel"/>
    <w:lvl w:ilvl="0">
      <w:start w:val="8"/>
      <w:numFmt w:val="decimal"/>
      <w:lvlText w:val="%1"/>
      <w:lvlJc w:val="left"/>
      <w:pPr>
        <w:ind w:left="1370" w:hanging="531"/>
        <w:jc w:val="left"/>
      </w:pPr>
      <w:rPr>
        <w:rFonts w:hint="default"/>
        <w:lang w:val="zh-CN" w:eastAsia="zh-CN" w:bidi="zh-CN"/>
      </w:rPr>
    </w:lvl>
    <w:lvl w:ilvl="1">
      <w:start w:val="3"/>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18">
    <w:multiLevelType w:val="hybridMultilevel"/>
    <w:lvl w:ilvl="0">
      <w:start w:val="8"/>
      <w:numFmt w:val="decimal"/>
      <w:lvlText w:val="%1"/>
      <w:lvlJc w:val="left"/>
      <w:pPr>
        <w:ind w:left="1370" w:hanging="531"/>
        <w:jc w:val="left"/>
      </w:pPr>
      <w:rPr>
        <w:rFonts w:hint="default"/>
        <w:lang w:val="zh-CN" w:eastAsia="zh-CN" w:bidi="zh-CN"/>
      </w:rPr>
    </w:lvl>
    <w:lvl w:ilvl="1">
      <w:start w:val="1"/>
      <w:numFmt w:val="decimal"/>
      <w:lvlText w:val="%1.%2"/>
      <w:lvlJc w:val="left"/>
      <w:pPr>
        <w:ind w:left="1370" w:hanging="531"/>
        <w:jc w:val="left"/>
      </w:pPr>
      <w:rPr>
        <w:rFonts w:hint="default"/>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4159" w:hanging="531"/>
      </w:pPr>
      <w:rPr>
        <w:rFonts w:hint="default"/>
        <w:lang w:val="zh-CN" w:eastAsia="zh-CN" w:bidi="zh-CN"/>
      </w:rPr>
    </w:lvl>
    <w:lvl w:ilvl="4">
      <w:start w:val="0"/>
      <w:numFmt w:val="bullet"/>
      <w:lvlText w:val="•"/>
      <w:lvlJc w:val="left"/>
      <w:pPr>
        <w:ind w:left="5086" w:hanging="531"/>
      </w:pPr>
      <w:rPr>
        <w:rFonts w:hint="default"/>
        <w:lang w:val="zh-CN" w:eastAsia="zh-CN" w:bidi="zh-CN"/>
      </w:rPr>
    </w:lvl>
    <w:lvl w:ilvl="5">
      <w:start w:val="0"/>
      <w:numFmt w:val="bullet"/>
      <w:lvlText w:val="•"/>
      <w:lvlJc w:val="left"/>
      <w:pPr>
        <w:ind w:left="6013" w:hanging="531"/>
      </w:pPr>
      <w:rPr>
        <w:rFonts w:hint="default"/>
        <w:lang w:val="zh-CN" w:eastAsia="zh-CN" w:bidi="zh-CN"/>
      </w:rPr>
    </w:lvl>
    <w:lvl w:ilvl="6">
      <w:start w:val="0"/>
      <w:numFmt w:val="bullet"/>
      <w:lvlText w:val="•"/>
      <w:lvlJc w:val="left"/>
      <w:pPr>
        <w:ind w:left="6939" w:hanging="531"/>
      </w:pPr>
      <w:rPr>
        <w:rFonts w:hint="default"/>
        <w:lang w:val="zh-CN" w:eastAsia="zh-CN" w:bidi="zh-CN"/>
      </w:rPr>
    </w:lvl>
    <w:lvl w:ilvl="7">
      <w:start w:val="0"/>
      <w:numFmt w:val="bullet"/>
      <w:lvlText w:val="•"/>
      <w:lvlJc w:val="left"/>
      <w:pPr>
        <w:ind w:left="7866" w:hanging="531"/>
      </w:pPr>
      <w:rPr>
        <w:rFonts w:hint="default"/>
        <w:lang w:val="zh-CN" w:eastAsia="zh-CN" w:bidi="zh-CN"/>
      </w:rPr>
    </w:lvl>
    <w:lvl w:ilvl="8">
      <w:start w:val="0"/>
      <w:numFmt w:val="bullet"/>
      <w:lvlText w:val="•"/>
      <w:lvlJc w:val="left"/>
      <w:pPr>
        <w:ind w:left="8793" w:hanging="531"/>
      </w:pPr>
      <w:rPr>
        <w:rFonts w:hint="default"/>
        <w:lang w:val="zh-CN" w:eastAsia="zh-CN" w:bidi="zh-CN"/>
      </w:rPr>
    </w:lvl>
  </w:abstractNum>
  <w:abstractNum w:abstractNumId="17">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16">
    <w:multiLevelType w:val="hybridMultilevel"/>
    <w:lvl w:ilvl="0">
      <w:start w:val="7"/>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2538" w:hanging="531"/>
      </w:pPr>
      <w:rPr>
        <w:rFonts w:hint="default"/>
        <w:lang w:val="zh-CN" w:eastAsia="zh-CN" w:bidi="zh-CN"/>
      </w:rPr>
    </w:lvl>
    <w:lvl w:ilvl="4">
      <w:start w:val="0"/>
      <w:numFmt w:val="bullet"/>
      <w:lvlText w:val="•"/>
      <w:lvlJc w:val="left"/>
      <w:pPr>
        <w:ind w:left="3696" w:hanging="531"/>
      </w:pPr>
      <w:rPr>
        <w:rFonts w:hint="default"/>
        <w:lang w:val="zh-CN" w:eastAsia="zh-CN" w:bidi="zh-CN"/>
      </w:rPr>
    </w:lvl>
    <w:lvl w:ilvl="5">
      <w:start w:val="0"/>
      <w:numFmt w:val="bullet"/>
      <w:lvlText w:val="•"/>
      <w:lvlJc w:val="left"/>
      <w:pPr>
        <w:ind w:left="4854" w:hanging="531"/>
      </w:pPr>
      <w:rPr>
        <w:rFonts w:hint="default"/>
        <w:lang w:val="zh-CN" w:eastAsia="zh-CN" w:bidi="zh-CN"/>
      </w:rPr>
    </w:lvl>
    <w:lvl w:ilvl="6">
      <w:start w:val="0"/>
      <w:numFmt w:val="bullet"/>
      <w:lvlText w:val="•"/>
      <w:lvlJc w:val="left"/>
      <w:pPr>
        <w:ind w:left="6013" w:hanging="531"/>
      </w:pPr>
      <w:rPr>
        <w:rFonts w:hint="default"/>
        <w:lang w:val="zh-CN" w:eastAsia="zh-CN" w:bidi="zh-CN"/>
      </w:rPr>
    </w:lvl>
    <w:lvl w:ilvl="7">
      <w:start w:val="0"/>
      <w:numFmt w:val="bullet"/>
      <w:lvlText w:val="•"/>
      <w:lvlJc w:val="left"/>
      <w:pPr>
        <w:ind w:left="7171" w:hanging="531"/>
      </w:pPr>
      <w:rPr>
        <w:rFonts w:hint="default"/>
        <w:lang w:val="zh-CN" w:eastAsia="zh-CN" w:bidi="zh-CN"/>
      </w:rPr>
    </w:lvl>
    <w:lvl w:ilvl="8">
      <w:start w:val="0"/>
      <w:numFmt w:val="bullet"/>
      <w:lvlText w:val="•"/>
      <w:lvlJc w:val="left"/>
      <w:pPr>
        <w:ind w:left="8329" w:hanging="531"/>
      </w:pPr>
      <w:rPr>
        <w:rFonts w:hint="default"/>
        <w:lang w:val="zh-CN" w:eastAsia="zh-CN" w:bidi="zh-CN"/>
      </w:rPr>
    </w:lvl>
  </w:abstractNum>
  <w:abstractNum w:abstractNumId="15">
    <w:multiLevelType w:val="hybridMultilevel"/>
    <w:lvl w:ilvl="0">
      <w:start w:val="3"/>
      <w:numFmt w:val="lowerLetter"/>
      <w:lvlText w:val="%1)"/>
      <w:lvlJc w:val="left"/>
      <w:pPr>
        <w:ind w:left="418" w:hanging="213"/>
        <w:jc w:val="left"/>
      </w:pPr>
      <w:rPr>
        <w:rFonts w:hint="default" w:ascii="宋体" w:hAnsi="宋体" w:eastAsia="宋体" w:cs="宋体"/>
        <w:spacing w:val="-55"/>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14">
    <w:multiLevelType w:val="hybridMultilevel"/>
    <w:lvl w:ilvl="0">
      <w:start w:val="6"/>
      <w:numFmt w:val="decimal"/>
      <w:lvlText w:val="%1"/>
      <w:lvlJc w:val="left"/>
      <w:pPr>
        <w:ind w:left="1158" w:hanging="318"/>
        <w:jc w:val="left"/>
      </w:pPr>
      <w:rPr>
        <w:rFonts w:hint="default"/>
        <w:lang w:val="zh-CN" w:eastAsia="zh-CN" w:bidi="zh-CN"/>
      </w:rPr>
    </w:lvl>
    <w:lvl w:ilvl="1">
      <w:start w:val="7"/>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268" w:hanging="531"/>
      </w:pPr>
      <w:rPr>
        <w:rFonts w:hint="default"/>
        <w:lang w:val="zh-CN" w:eastAsia="zh-CN" w:bidi="zh-CN"/>
      </w:rPr>
    </w:lvl>
    <w:lvl w:ilvl="4">
      <w:start w:val="0"/>
      <w:numFmt w:val="bullet"/>
      <w:lvlText w:val="•"/>
      <w:lvlJc w:val="left"/>
      <w:pPr>
        <w:ind w:left="4322" w:hanging="531"/>
      </w:pPr>
      <w:rPr>
        <w:rFonts w:hint="default"/>
        <w:lang w:val="zh-CN" w:eastAsia="zh-CN" w:bidi="zh-CN"/>
      </w:rPr>
    </w:lvl>
    <w:lvl w:ilvl="5">
      <w:start w:val="0"/>
      <w:numFmt w:val="bullet"/>
      <w:lvlText w:val="•"/>
      <w:lvlJc w:val="left"/>
      <w:pPr>
        <w:ind w:left="5376" w:hanging="531"/>
      </w:pPr>
      <w:rPr>
        <w:rFonts w:hint="default"/>
        <w:lang w:val="zh-CN" w:eastAsia="zh-CN" w:bidi="zh-CN"/>
      </w:rPr>
    </w:lvl>
    <w:lvl w:ilvl="6">
      <w:start w:val="0"/>
      <w:numFmt w:val="bullet"/>
      <w:lvlText w:val="•"/>
      <w:lvlJc w:val="left"/>
      <w:pPr>
        <w:ind w:left="6430" w:hanging="531"/>
      </w:pPr>
      <w:rPr>
        <w:rFonts w:hint="default"/>
        <w:lang w:val="zh-CN" w:eastAsia="zh-CN" w:bidi="zh-CN"/>
      </w:rPr>
    </w:lvl>
    <w:lvl w:ilvl="7">
      <w:start w:val="0"/>
      <w:numFmt w:val="bullet"/>
      <w:lvlText w:val="•"/>
      <w:lvlJc w:val="left"/>
      <w:pPr>
        <w:ind w:left="7484" w:hanging="531"/>
      </w:pPr>
      <w:rPr>
        <w:rFonts w:hint="default"/>
        <w:lang w:val="zh-CN" w:eastAsia="zh-CN" w:bidi="zh-CN"/>
      </w:rPr>
    </w:lvl>
    <w:lvl w:ilvl="8">
      <w:start w:val="0"/>
      <w:numFmt w:val="bullet"/>
      <w:lvlText w:val="•"/>
      <w:lvlJc w:val="left"/>
      <w:pPr>
        <w:ind w:left="8538" w:hanging="531"/>
      </w:pPr>
      <w:rPr>
        <w:rFonts w:hint="default"/>
        <w:lang w:val="zh-CN" w:eastAsia="zh-CN" w:bidi="zh-CN"/>
      </w:rPr>
    </w:lvl>
  </w:abstractNum>
  <w:abstractNum w:abstractNumId="13">
    <w:multiLevelType w:val="hybridMultilevel"/>
    <w:lvl w:ilvl="0">
      <w:start w:val="6"/>
      <w:numFmt w:val="decimal"/>
      <w:lvlText w:val="%1"/>
      <w:lvlJc w:val="left"/>
      <w:pPr>
        <w:ind w:left="418" w:hanging="531"/>
        <w:jc w:val="left"/>
      </w:pPr>
      <w:rPr>
        <w:rFonts w:hint="default"/>
        <w:lang w:val="zh-CN" w:eastAsia="zh-CN" w:bidi="zh-CN"/>
      </w:rPr>
    </w:lvl>
    <w:lvl w:ilvl="1">
      <w:start w:val="5"/>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12">
    <w:multiLevelType w:val="hybridMultilevel"/>
    <w:lvl w:ilvl="0">
      <w:start w:val="6"/>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23" w:hanging="529"/>
      </w:pPr>
      <w:rPr>
        <w:rFonts w:hint="default"/>
        <w:lang w:val="zh-CN" w:eastAsia="zh-CN" w:bidi="zh-CN"/>
      </w:rPr>
    </w:lvl>
    <w:lvl w:ilvl="4">
      <w:start w:val="0"/>
      <w:numFmt w:val="bullet"/>
      <w:lvlText w:val="•"/>
      <w:lvlJc w:val="left"/>
      <w:pPr>
        <w:ind w:left="4455" w:hanging="529"/>
      </w:pPr>
      <w:rPr>
        <w:rFonts w:hint="default"/>
        <w:lang w:val="zh-CN" w:eastAsia="zh-CN" w:bidi="zh-CN"/>
      </w:rPr>
    </w:lvl>
    <w:lvl w:ilvl="5">
      <w:start w:val="0"/>
      <w:numFmt w:val="bullet"/>
      <w:lvlText w:val="•"/>
      <w:lvlJc w:val="left"/>
      <w:pPr>
        <w:ind w:left="5487" w:hanging="529"/>
      </w:pPr>
      <w:rPr>
        <w:rFonts w:hint="default"/>
        <w:lang w:val="zh-CN" w:eastAsia="zh-CN" w:bidi="zh-CN"/>
      </w:rPr>
    </w:lvl>
    <w:lvl w:ilvl="6">
      <w:start w:val="0"/>
      <w:numFmt w:val="bullet"/>
      <w:lvlText w:val="•"/>
      <w:lvlJc w:val="left"/>
      <w:pPr>
        <w:ind w:left="6519" w:hanging="529"/>
      </w:pPr>
      <w:rPr>
        <w:rFonts w:hint="default"/>
        <w:lang w:val="zh-CN" w:eastAsia="zh-CN" w:bidi="zh-CN"/>
      </w:rPr>
    </w:lvl>
    <w:lvl w:ilvl="7">
      <w:start w:val="0"/>
      <w:numFmt w:val="bullet"/>
      <w:lvlText w:val="•"/>
      <w:lvlJc w:val="left"/>
      <w:pPr>
        <w:ind w:left="7550" w:hanging="529"/>
      </w:pPr>
      <w:rPr>
        <w:rFonts w:hint="default"/>
        <w:lang w:val="zh-CN" w:eastAsia="zh-CN" w:bidi="zh-CN"/>
      </w:rPr>
    </w:lvl>
    <w:lvl w:ilvl="8">
      <w:start w:val="0"/>
      <w:numFmt w:val="bullet"/>
      <w:lvlText w:val="•"/>
      <w:lvlJc w:val="left"/>
      <w:pPr>
        <w:ind w:left="8582" w:hanging="529"/>
      </w:pPr>
      <w:rPr>
        <w:rFonts w:hint="default"/>
        <w:lang w:val="zh-CN" w:eastAsia="zh-CN" w:bidi="zh-CN"/>
      </w:rPr>
    </w:lvl>
  </w:abstractNum>
  <w:abstractNum w:abstractNumId="11">
    <w:multiLevelType w:val="hybridMultilevel"/>
    <w:lvl w:ilvl="0">
      <w:start w:val="5"/>
      <w:numFmt w:val="decimal"/>
      <w:lvlText w:val="%1"/>
      <w:lvlJc w:val="left"/>
      <w:pPr>
        <w:ind w:left="1263" w:hanging="424"/>
        <w:jc w:val="left"/>
      </w:pPr>
      <w:rPr>
        <w:rFonts w:hint="default"/>
        <w:lang w:val="zh-CN" w:eastAsia="zh-CN" w:bidi="zh-CN"/>
      </w:rPr>
    </w:lvl>
    <w:lvl w:ilvl="1">
      <w:start w:val="10"/>
      <w:numFmt w:val="decimal"/>
      <w:lvlText w:val="%1.%2"/>
      <w:lvlJc w:val="left"/>
      <w:pPr>
        <w:ind w:left="1263" w:hanging="424"/>
        <w:jc w:val="left"/>
      </w:pPr>
      <w:rPr>
        <w:rFonts w:hint="default" w:ascii="宋体" w:hAnsi="宋体" w:eastAsia="宋体" w:cs="宋体"/>
        <w:b/>
        <w:bCs/>
        <w:spacing w:val="-3"/>
        <w:w w:val="99"/>
        <w:sz w:val="19"/>
        <w:szCs w:val="19"/>
        <w:lang w:val="zh-CN" w:eastAsia="zh-CN" w:bidi="zh-CN"/>
      </w:rPr>
    </w:lvl>
    <w:lvl w:ilvl="2">
      <w:start w:val="0"/>
      <w:numFmt w:val="bullet"/>
      <w:lvlText w:val="•"/>
      <w:lvlJc w:val="left"/>
      <w:pPr>
        <w:ind w:left="3137" w:hanging="424"/>
      </w:pPr>
      <w:rPr>
        <w:rFonts w:hint="default"/>
        <w:lang w:val="zh-CN" w:eastAsia="zh-CN" w:bidi="zh-CN"/>
      </w:rPr>
    </w:lvl>
    <w:lvl w:ilvl="3">
      <w:start w:val="0"/>
      <w:numFmt w:val="bullet"/>
      <w:lvlText w:val="•"/>
      <w:lvlJc w:val="left"/>
      <w:pPr>
        <w:ind w:left="4075" w:hanging="424"/>
      </w:pPr>
      <w:rPr>
        <w:rFonts w:hint="default"/>
        <w:lang w:val="zh-CN" w:eastAsia="zh-CN" w:bidi="zh-CN"/>
      </w:rPr>
    </w:lvl>
    <w:lvl w:ilvl="4">
      <w:start w:val="0"/>
      <w:numFmt w:val="bullet"/>
      <w:lvlText w:val="•"/>
      <w:lvlJc w:val="left"/>
      <w:pPr>
        <w:ind w:left="5014" w:hanging="424"/>
      </w:pPr>
      <w:rPr>
        <w:rFonts w:hint="default"/>
        <w:lang w:val="zh-CN" w:eastAsia="zh-CN" w:bidi="zh-CN"/>
      </w:rPr>
    </w:lvl>
    <w:lvl w:ilvl="5">
      <w:start w:val="0"/>
      <w:numFmt w:val="bullet"/>
      <w:lvlText w:val="•"/>
      <w:lvlJc w:val="left"/>
      <w:pPr>
        <w:ind w:left="5953" w:hanging="424"/>
      </w:pPr>
      <w:rPr>
        <w:rFonts w:hint="default"/>
        <w:lang w:val="zh-CN" w:eastAsia="zh-CN" w:bidi="zh-CN"/>
      </w:rPr>
    </w:lvl>
    <w:lvl w:ilvl="6">
      <w:start w:val="0"/>
      <w:numFmt w:val="bullet"/>
      <w:lvlText w:val="•"/>
      <w:lvlJc w:val="left"/>
      <w:pPr>
        <w:ind w:left="6891" w:hanging="424"/>
      </w:pPr>
      <w:rPr>
        <w:rFonts w:hint="default"/>
        <w:lang w:val="zh-CN" w:eastAsia="zh-CN" w:bidi="zh-CN"/>
      </w:rPr>
    </w:lvl>
    <w:lvl w:ilvl="7">
      <w:start w:val="0"/>
      <w:numFmt w:val="bullet"/>
      <w:lvlText w:val="•"/>
      <w:lvlJc w:val="left"/>
      <w:pPr>
        <w:ind w:left="7830" w:hanging="424"/>
      </w:pPr>
      <w:rPr>
        <w:rFonts w:hint="default"/>
        <w:lang w:val="zh-CN" w:eastAsia="zh-CN" w:bidi="zh-CN"/>
      </w:rPr>
    </w:lvl>
    <w:lvl w:ilvl="8">
      <w:start w:val="0"/>
      <w:numFmt w:val="bullet"/>
      <w:lvlText w:val="•"/>
      <w:lvlJc w:val="left"/>
      <w:pPr>
        <w:ind w:left="8769" w:hanging="424"/>
      </w:pPr>
      <w:rPr>
        <w:rFonts w:hint="default"/>
        <w:lang w:val="zh-CN" w:eastAsia="zh-CN" w:bidi="zh-CN"/>
      </w:rPr>
    </w:lvl>
  </w:abstractNum>
  <w:abstractNum w:abstractNumId="10">
    <w:multiLevelType w:val="hybridMultilevel"/>
    <w:lvl w:ilvl="0">
      <w:start w:val="5"/>
      <w:numFmt w:val="decimal"/>
      <w:lvlText w:val="%1"/>
      <w:lvlJc w:val="left"/>
      <w:pPr>
        <w:ind w:left="418" w:hanging="529"/>
        <w:jc w:val="left"/>
      </w:pPr>
      <w:rPr>
        <w:rFonts w:hint="default"/>
        <w:lang w:val="zh-CN" w:eastAsia="zh-CN" w:bidi="zh-CN"/>
      </w:rPr>
    </w:lvl>
    <w:lvl w:ilvl="1">
      <w:start w:val="4"/>
      <w:numFmt w:val="decimal"/>
      <w:lvlText w:val="%1.%2"/>
      <w:lvlJc w:val="left"/>
      <w:pPr>
        <w:ind w:left="418" w:hanging="529"/>
        <w:jc w:val="left"/>
      </w:pPr>
      <w:rPr>
        <w:rFonts w:hint="default"/>
        <w:lang w:val="zh-CN" w:eastAsia="zh-CN" w:bidi="zh-CN"/>
      </w:rPr>
    </w:lvl>
    <w:lvl w:ilvl="2">
      <w:start w:val="1"/>
      <w:numFmt w:val="decimal"/>
      <w:lvlText w:val="%1.%2.%3"/>
      <w:lvlJc w:val="left"/>
      <w:pPr>
        <w:ind w:left="41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29"/>
      </w:pPr>
      <w:rPr>
        <w:rFonts w:hint="default"/>
        <w:lang w:val="zh-CN" w:eastAsia="zh-CN" w:bidi="zh-CN"/>
      </w:rPr>
    </w:lvl>
    <w:lvl w:ilvl="4">
      <w:start w:val="0"/>
      <w:numFmt w:val="bullet"/>
      <w:lvlText w:val="•"/>
      <w:lvlJc w:val="left"/>
      <w:pPr>
        <w:ind w:left="4510" w:hanging="529"/>
      </w:pPr>
      <w:rPr>
        <w:rFonts w:hint="default"/>
        <w:lang w:val="zh-CN" w:eastAsia="zh-CN" w:bidi="zh-CN"/>
      </w:rPr>
    </w:lvl>
    <w:lvl w:ilvl="5">
      <w:start w:val="0"/>
      <w:numFmt w:val="bullet"/>
      <w:lvlText w:val="•"/>
      <w:lvlJc w:val="left"/>
      <w:pPr>
        <w:ind w:left="5533" w:hanging="529"/>
      </w:pPr>
      <w:rPr>
        <w:rFonts w:hint="default"/>
        <w:lang w:val="zh-CN" w:eastAsia="zh-CN" w:bidi="zh-CN"/>
      </w:rPr>
    </w:lvl>
    <w:lvl w:ilvl="6">
      <w:start w:val="0"/>
      <w:numFmt w:val="bullet"/>
      <w:lvlText w:val="•"/>
      <w:lvlJc w:val="left"/>
      <w:pPr>
        <w:ind w:left="6555" w:hanging="529"/>
      </w:pPr>
      <w:rPr>
        <w:rFonts w:hint="default"/>
        <w:lang w:val="zh-CN" w:eastAsia="zh-CN" w:bidi="zh-CN"/>
      </w:rPr>
    </w:lvl>
    <w:lvl w:ilvl="7">
      <w:start w:val="0"/>
      <w:numFmt w:val="bullet"/>
      <w:lvlText w:val="•"/>
      <w:lvlJc w:val="left"/>
      <w:pPr>
        <w:ind w:left="7578" w:hanging="529"/>
      </w:pPr>
      <w:rPr>
        <w:rFonts w:hint="default"/>
        <w:lang w:val="zh-CN" w:eastAsia="zh-CN" w:bidi="zh-CN"/>
      </w:rPr>
    </w:lvl>
    <w:lvl w:ilvl="8">
      <w:start w:val="0"/>
      <w:numFmt w:val="bullet"/>
      <w:lvlText w:val="•"/>
      <w:lvlJc w:val="left"/>
      <w:pPr>
        <w:ind w:left="8601" w:hanging="529"/>
      </w:pPr>
      <w:rPr>
        <w:rFonts w:hint="default"/>
        <w:lang w:val="zh-CN" w:eastAsia="zh-CN" w:bidi="zh-CN"/>
      </w:rPr>
    </w:lvl>
  </w:abstractNum>
  <w:abstractNum w:abstractNumId="9">
    <w:multiLevelType w:val="hybridMultilevel"/>
    <w:lvl w:ilvl="0">
      <w:start w:val="5"/>
      <w:numFmt w:val="decimal"/>
      <w:lvlText w:val="%1"/>
      <w:lvlJc w:val="left"/>
      <w:pPr>
        <w:ind w:left="418" w:hanging="531"/>
        <w:jc w:val="left"/>
      </w:pPr>
      <w:rPr>
        <w:rFonts w:hint="default"/>
        <w:lang w:val="zh-CN" w:eastAsia="zh-CN" w:bidi="zh-CN"/>
      </w:rPr>
    </w:lvl>
    <w:lvl w:ilvl="1">
      <w:start w:val="2"/>
      <w:numFmt w:val="decimal"/>
      <w:lvlText w:val="%1.%2"/>
      <w:lvlJc w:val="left"/>
      <w:pPr>
        <w:ind w:left="418" w:hanging="531"/>
        <w:jc w:val="left"/>
      </w:pPr>
      <w:rPr>
        <w:rFonts w:hint="default"/>
        <w:lang w:val="zh-CN" w:eastAsia="zh-CN" w:bidi="zh-CN"/>
      </w:rPr>
    </w:lvl>
    <w:lvl w:ilvl="2">
      <w:start w:val="1"/>
      <w:numFmt w:val="decimal"/>
      <w:lvlText w:val="%1.%2.%3"/>
      <w:lvlJc w:val="left"/>
      <w:pPr>
        <w:ind w:left="418" w:hanging="531"/>
        <w:jc w:val="left"/>
      </w:pPr>
      <w:rPr>
        <w:rFonts w:hint="default" w:ascii="宋体" w:hAnsi="宋体" w:eastAsia="宋体" w:cs="宋体"/>
        <w:b/>
        <w:bCs/>
        <w:w w:val="99"/>
        <w:sz w:val="19"/>
        <w:szCs w:val="19"/>
        <w:lang w:val="zh-CN" w:eastAsia="zh-CN" w:bidi="zh-CN"/>
      </w:rPr>
    </w:lvl>
    <w:lvl w:ilvl="3">
      <w:start w:val="0"/>
      <w:numFmt w:val="bullet"/>
      <w:lvlText w:val="•"/>
      <w:lvlJc w:val="left"/>
      <w:pPr>
        <w:ind w:left="3487" w:hanging="531"/>
      </w:pPr>
      <w:rPr>
        <w:rFonts w:hint="default"/>
        <w:lang w:val="zh-CN" w:eastAsia="zh-CN" w:bidi="zh-CN"/>
      </w:rPr>
    </w:lvl>
    <w:lvl w:ilvl="4">
      <w:start w:val="0"/>
      <w:numFmt w:val="bullet"/>
      <w:lvlText w:val="•"/>
      <w:lvlJc w:val="left"/>
      <w:pPr>
        <w:ind w:left="4510" w:hanging="531"/>
      </w:pPr>
      <w:rPr>
        <w:rFonts w:hint="default"/>
        <w:lang w:val="zh-CN" w:eastAsia="zh-CN" w:bidi="zh-CN"/>
      </w:rPr>
    </w:lvl>
    <w:lvl w:ilvl="5">
      <w:start w:val="0"/>
      <w:numFmt w:val="bullet"/>
      <w:lvlText w:val="•"/>
      <w:lvlJc w:val="left"/>
      <w:pPr>
        <w:ind w:left="5533" w:hanging="531"/>
      </w:pPr>
      <w:rPr>
        <w:rFonts w:hint="default"/>
        <w:lang w:val="zh-CN" w:eastAsia="zh-CN" w:bidi="zh-CN"/>
      </w:rPr>
    </w:lvl>
    <w:lvl w:ilvl="6">
      <w:start w:val="0"/>
      <w:numFmt w:val="bullet"/>
      <w:lvlText w:val="•"/>
      <w:lvlJc w:val="left"/>
      <w:pPr>
        <w:ind w:left="6555" w:hanging="531"/>
      </w:pPr>
      <w:rPr>
        <w:rFonts w:hint="default"/>
        <w:lang w:val="zh-CN" w:eastAsia="zh-CN" w:bidi="zh-CN"/>
      </w:rPr>
    </w:lvl>
    <w:lvl w:ilvl="7">
      <w:start w:val="0"/>
      <w:numFmt w:val="bullet"/>
      <w:lvlText w:val="•"/>
      <w:lvlJc w:val="left"/>
      <w:pPr>
        <w:ind w:left="7578" w:hanging="531"/>
      </w:pPr>
      <w:rPr>
        <w:rFonts w:hint="default"/>
        <w:lang w:val="zh-CN" w:eastAsia="zh-CN" w:bidi="zh-CN"/>
      </w:rPr>
    </w:lvl>
    <w:lvl w:ilvl="8">
      <w:start w:val="0"/>
      <w:numFmt w:val="bullet"/>
      <w:lvlText w:val="•"/>
      <w:lvlJc w:val="left"/>
      <w:pPr>
        <w:ind w:left="8601" w:hanging="531"/>
      </w:pPr>
      <w:rPr>
        <w:rFonts w:hint="default"/>
        <w:lang w:val="zh-CN" w:eastAsia="zh-CN" w:bidi="zh-CN"/>
      </w:rPr>
    </w:lvl>
  </w:abstractNum>
  <w:abstractNum w:abstractNumId="8">
    <w:multiLevelType w:val="hybridMultilevel"/>
    <w:lvl w:ilvl="0">
      <w:start w:val="1"/>
      <w:numFmt w:val="lowerLetter"/>
      <w:lvlText w:val="%1)"/>
      <w:lvlJc w:val="left"/>
      <w:pPr>
        <w:ind w:left="418" w:hanging="213"/>
        <w:jc w:val="left"/>
      </w:pPr>
      <w:rPr>
        <w:rFonts w:hint="default" w:ascii="宋体" w:hAnsi="宋体" w:eastAsia="宋体" w:cs="宋体"/>
        <w:spacing w:val="-53"/>
        <w:w w:val="100"/>
        <w:sz w:val="19"/>
        <w:szCs w:val="19"/>
        <w:lang w:val="zh-CN" w:eastAsia="zh-CN" w:bidi="zh-CN"/>
      </w:rPr>
    </w:lvl>
    <w:lvl w:ilvl="1">
      <w:start w:val="0"/>
      <w:numFmt w:val="bullet"/>
      <w:lvlText w:val="•"/>
      <w:lvlJc w:val="left"/>
      <w:pPr>
        <w:ind w:left="1442" w:hanging="213"/>
      </w:pPr>
      <w:rPr>
        <w:rFonts w:hint="default"/>
        <w:lang w:val="zh-CN" w:eastAsia="zh-CN" w:bidi="zh-CN"/>
      </w:rPr>
    </w:lvl>
    <w:lvl w:ilvl="2">
      <w:start w:val="0"/>
      <w:numFmt w:val="bullet"/>
      <w:lvlText w:val="•"/>
      <w:lvlJc w:val="left"/>
      <w:pPr>
        <w:ind w:left="2465" w:hanging="213"/>
      </w:pPr>
      <w:rPr>
        <w:rFonts w:hint="default"/>
        <w:lang w:val="zh-CN" w:eastAsia="zh-CN" w:bidi="zh-CN"/>
      </w:rPr>
    </w:lvl>
    <w:lvl w:ilvl="3">
      <w:start w:val="0"/>
      <w:numFmt w:val="bullet"/>
      <w:lvlText w:val="•"/>
      <w:lvlJc w:val="left"/>
      <w:pPr>
        <w:ind w:left="3487" w:hanging="213"/>
      </w:pPr>
      <w:rPr>
        <w:rFonts w:hint="default"/>
        <w:lang w:val="zh-CN" w:eastAsia="zh-CN" w:bidi="zh-CN"/>
      </w:rPr>
    </w:lvl>
    <w:lvl w:ilvl="4">
      <w:start w:val="0"/>
      <w:numFmt w:val="bullet"/>
      <w:lvlText w:val="•"/>
      <w:lvlJc w:val="left"/>
      <w:pPr>
        <w:ind w:left="4510" w:hanging="213"/>
      </w:pPr>
      <w:rPr>
        <w:rFonts w:hint="default"/>
        <w:lang w:val="zh-CN" w:eastAsia="zh-CN" w:bidi="zh-CN"/>
      </w:rPr>
    </w:lvl>
    <w:lvl w:ilvl="5">
      <w:start w:val="0"/>
      <w:numFmt w:val="bullet"/>
      <w:lvlText w:val="•"/>
      <w:lvlJc w:val="left"/>
      <w:pPr>
        <w:ind w:left="5533" w:hanging="213"/>
      </w:pPr>
      <w:rPr>
        <w:rFonts w:hint="default"/>
        <w:lang w:val="zh-CN" w:eastAsia="zh-CN" w:bidi="zh-CN"/>
      </w:rPr>
    </w:lvl>
    <w:lvl w:ilvl="6">
      <w:start w:val="0"/>
      <w:numFmt w:val="bullet"/>
      <w:lvlText w:val="•"/>
      <w:lvlJc w:val="left"/>
      <w:pPr>
        <w:ind w:left="6555" w:hanging="213"/>
      </w:pPr>
      <w:rPr>
        <w:rFonts w:hint="default"/>
        <w:lang w:val="zh-CN" w:eastAsia="zh-CN" w:bidi="zh-CN"/>
      </w:rPr>
    </w:lvl>
    <w:lvl w:ilvl="7">
      <w:start w:val="0"/>
      <w:numFmt w:val="bullet"/>
      <w:lvlText w:val="•"/>
      <w:lvlJc w:val="left"/>
      <w:pPr>
        <w:ind w:left="7578" w:hanging="213"/>
      </w:pPr>
      <w:rPr>
        <w:rFonts w:hint="default"/>
        <w:lang w:val="zh-CN" w:eastAsia="zh-CN" w:bidi="zh-CN"/>
      </w:rPr>
    </w:lvl>
    <w:lvl w:ilvl="8">
      <w:start w:val="0"/>
      <w:numFmt w:val="bullet"/>
      <w:lvlText w:val="•"/>
      <w:lvlJc w:val="left"/>
      <w:pPr>
        <w:ind w:left="8601" w:hanging="213"/>
      </w:pPr>
      <w:rPr>
        <w:rFonts w:hint="default"/>
        <w:lang w:val="zh-CN" w:eastAsia="zh-CN" w:bidi="zh-CN"/>
      </w:rPr>
    </w:lvl>
  </w:abstractNum>
  <w:abstractNum w:abstractNumId="7">
    <w:multiLevelType w:val="hybridMultilevel"/>
    <w:lvl w:ilvl="0">
      <w:start w:val="5"/>
      <w:numFmt w:val="decimal"/>
      <w:lvlText w:val="%1"/>
      <w:lvlJc w:val="left"/>
      <w:pPr>
        <w:ind w:left="1159" w:hanging="320"/>
        <w:jc w:val="left"/>
      </w:pPr>
      <w:rPr>
        <w:rFonts w:hint="default"/>
        <w:lang w:val="zh-CN" w:eastAsia="zh-CN" w:bidi="zh-CN"/>
      </w:rPr>
    </w:lvl>
    <w:lvl w:ilvl="1">
      <w:start w:val="1"/>
      <w:numFmt w:val="decimal"/>
      <w:lvlText w:val="%1.%2"/>
      <w:lvlJc w:val="left"/>
      <w:pPr>
        <w:ind w:left="1159" w:hanging="320"/>
        <w:jc w:val="right"/>
      </w:pPr>
      <w:rPr>
        <w:rFonts w:hint="default" w:ascii="宋体" w:hAnsi="宋体" w:eastAsia="宋体" w:cs="宋体"/>
        <w:b/>
        <w:bCs/>
        <w:w w:val="99"/>
        <w:sz w:val="19"/>
        <w:szCs w:val="19"/>
        <w:lang w:val="zh-CN" w:eastAsia="zh-CN" w:bidi="zh-CN"/>
      </w:rPr>
    </w:lvl>
    <w:lvl w:ilvl="2">
      <w:start w:val="1"/>
      <w:numFmt w:val="decimal"/>
      <w:lvlText w:val="%1.%2.%3"/>
      <w:lvlJc w:val="left"/>
      <w:pPr>
        <w:ind w:left="1370" w:hanging="531"/>
        <w:jc w:val="left"/>
      </w:pPr>
      <w:rPr>
        <w:rFonts w:hint="default" w:ascii="宋体" w:hAnsi="宋体" w:eastAsia="宋体" w:cs="宋体"/>
        <w:b/>
        <w:bCs/>
        <w:w w:val="99"/>
        <w:sz w:val="19"/>
        <w:szCs w:val="19"/>
        <w:lang w:val="zh-CN" w:eastAsia="zh-CN" w:bidi="zh-CN"/>
      </w:rPr>
    </w:lvl>
    <w:lvl w:ilvl="3">
      <w:start w:val="1"/>
      <w:numFmt w:val="decimal"/>
      <w:lvlText w:val="%1.%2.%3.%4"/>
      <w:lvlJc w:val="left"/>
      <w:pPr>
        <w:ind w:left="1575" w:hanging="738"/>
        <w:jc w:val="left"/>
      </w:pPr>
      <w:rPr>
        <w:rFonts w:hint="default"/>
        <w:spacing w:val="-3"/>
        <w:w w:val="100"/>
        <w:lang w:val="zh-CN" w:eastAsia="zh-CN" w:bidi="zh-CN"/>
      </w:rPr>
    </w:lvl>
    <w:lvl w:ilvl="4">
      <w:start w:val="0"/>
      <w:numFmt w:val="bullet"/>
      <w:lvlText w:val="•"/>
      <w:lvlJc w:val="left"/>
      <w:pPr>
        <w:ind w:left="2875" w:hanging="738"/>
      </w:pPr>
      <w:rPr>
        <w:rFonts w:hint="default"/>
        <w:lang w:val="zh-CN" w:eastAsia="zh-CN" w:bidi="zh-CN"/>
      </w:rPr>
    </w:lvl>
    <w:lvl w:ilvl="5">
      <w:start w:val="0"/>
      <w:numFmt w:val="bullet"/>
      <w:lvlText w:val="•"/>
      <w:lvlJc w:val="left"/>
      <w:pPr>
        <w:ind w:left="4170" w:hanging="738"/>
      </w:pPr>
      <w:rPr>
        <w:rFonts w:hint="default"/>
        <w:lang w:val="zh-CN" w:eastAsia="zh-CN" w:bidi="zh-CN"/>
      </w:rPr>
    </w:lvl>
    <w:lvl w:ilvl="6">
      <w:start w:val="0"/>
      <w:numFmt w:val="bullet"/>
      <w:lvlText w:val="•"/>
      <w:lvlJc w:val="left"/>
      <w:pPr>
        <w:ind w:left="5465" w:hanging="738"/>
      </w:pPr>
      <w:rPr>
        <w:rFonts w:hint="default"/>
        <w:lang w:val="zh-CN" w:eastAsia="zh-CN" w:bidi="zh-CN"/>
      </w:rPr>
    </w:lvl>
    <w:lvl w:ilvl="7">
      <w:start w:val="0"/>
      <w:numFmt w:val="bullet"/>
      <w:lvlText w:val="•"/>
      <w:lvlJc w:val="left"/>
      <w:pPr>
        <w:ind w:left="6760" w:hanging="738"/>
      </w:pPr>
      <w:rPr>
        <w:rFonts w:hint="default"/>
        <w:lang w:val="zh-CN" w:eastAsia="zh-CN" w:bidi="zh-CN"/>
      </w:rPr>
    </w:lvl>
    <w:lvl w:ilvl="8">
      <w:start w:val="0"/>
      <w:numFmt w:val="bullet"/>
      <w:lvlText w:val="•"/>
      <w:lvlJc w:val="left"/>
      <w:pPr>
        <w:ind w:left="8056" w:hanging="738"/>
      </w:pPr>
      <w:rPr>
        <w:rFonts w:hint="default"/>
        <w:lang w:val="zh-CN" w:eastAsia="zh-CN" w:bidi="zh-CN"/>
      </w:rPr>
    </w:lvl>
  </w:abstractNum>
  <w:abstractNum w:abstractNumId="6">
    <w:multiLevelType w:val="hybridMultilevel"/>
    <w:lvl w:ilvl="0">
      <w:start w:val="4"/>
      <w:numFmt w:val="decimal"/>
      <w:lvlText w:val="%1"/>
      <w:lvlJc w:val="left"/>
      <w:pPr>
        <w:ind w:left="1369" w:hanging="529"/>
        <w:jc w:val="left"/>
      </w:pPr>
      <w:rPr>
        <w:rFonts w:hint="default"/>
        <w:lang w:val="zh-CN" w:eastAsia="zh-CN" w:bidi="zh-CN"/>
      </w:rPr>
    </w:lvl>
    <w:lvl w:ilvl="1">
      <w:start w:val="2"/>
      <w:numFmt w:val="decimal"/>
      <w:lvlText w:val="%1.%2"/>
      <w:lvlJc w:val="left"/>
      <w:pPr>
        <w:ind w:left="1369" w:hanging="529"/>
        <w:jc w:val="left"/>
      </w:pPr>
      <w:rPr>
        <w:rFonts w:hint="default"/>
        <w:lang w:val="zh-CN" w:eastAsia="zh-CN" w:bidi="zh-CN"/>
      </w:rPr>
    </w:lvl>
    <w:lvl w:ilvl="2">
      <w:start w:val="1"/>
      <w:numFmt w:val="decimal"/>
      <w:lvlText w:val="%1.%2.%3"/>
      <w:lvlJc w:val="left"/>
      <w:pPr>
        <w:ind w:left="1369"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4145" w:hanging="529"/>
      </w:pPr>
      <w:rPr>
        <w:rFonts w:hint="default"/>
        <w:lang w:val="zh-CN" w:eastAsia="zh-CN" w:bidi="zh-CN"/>
      </w:rPr>
    </w:lvl>
    <w:lvl w:ilvl="4">
      <w:start w:val="0"/>
      <w:numFmt w:val="bullet"/>
      <w:lvlText w:val="•"/>
      <w:lvlJc w:val="left"/>
      <w:pPr>
        <w:ind w:left="5074" w:hanging="529"/>
      </w:pPr>
      <w:rPr>
        <w:rFonts w:hint="default"/>
        <w:lang w:val="zh-CN" w:eastAsia="zh-CN" w:bidi="zh-CN"/>
      </w:rPr>
    </w:lvl>
    <w:lvl w:ilvl="5">
      <w:start w:val="0"/>
      <w:numFmt w:val="bullet"/>
      <w:lvlText w:val="•"/>
      <w:lvlJc w:val="left"/>
      <w:pPr>
        <w:ind w:left="6003" w:hanging="529"/>
      </w:pPr>
      <w:rPr>
        <w:rFonts w:hint="default"/>
        <w:lang w:val="zh-CN" w:eastAsia="zh-CN" w:bidi="zh-CN"/>
      </w:rPr>
    </w:lvl>
    <w:lvl w:ilvl="6">
      <w:start w:val="0"/>
      <w:numFmt w:val="bullet"/>
      <w:lvlText w:val="•"/>
      <w:lvlJc w:val="left"/>
      <w:pPr>
        <w:ind w:left="6931" w:hanging="529"/>
      </w:pPr>
      <w:rPr>
        <w:rFonts w:hint="default"/>
        <w:lang w:val="zh-CN" w:eastAsia="zh-CN" w:bidi="zh-CN"/>
      </w:rPr>
    </w:lvl>
    <w:lvl w:ilvl="7">
      <w:start w:val="0"/>
      <w:numFmt w:val="bullet"/>
      <w:lvlText w:val="•"/>
      <w:lvlJc w:val="left"/>
      <w:pPr>
        <w:ind w:left="7860" w:hanging="529"/>
      </w:pPr>
      <w:rPr>
        <w:rFonts w:hint="default"/>
        <w:lang w:val="zh-CN" w:eastAsia="zh-CN" w:bidi="zh-CN"/>
      </w:rPr>
    </w:lvl>
    <w:lvl w:ilvl="8">
      <w:start w:val="0"/>
      <w:numFmt w:val="bullet"/>
      <w:lvlText w:val="•"/>
      <w:lvlJc w:val="left"/>
      <w:pPr>
        <w:ind w:left="8789" w:hanging="529"/>
      </w:pPr>
      <w:rPr>
        <w:rFonts w:hint="default"/>
        <w:lang w:val="zh-CN" w:eastAsia="zh-CN" w:bidi="zh-CN"/>
      </w:rPr>
    </w:lvl>
  </w:abstractNum>
  <w:abstractNum w:abstractNumId="5">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4">
    <w:multiLevelType w:val="hybridMultilevel"/>
    <w:lvl w:ilvl="0">
      <w:start w:val="2"/>
      <w:numFmt w:val="lowerLetter"/>
      <w:lvlText w:val="%1)"/>
      <w:lvlJc w:val="left"/>
      <w:pPr>
        <w:ind w:left="1050" w:hanging="213"/>
        <w:jc w:val="left"/>
      </w:pPr>
      <w:rPr>
        <w:rFonts w:hint="default" w:ascii="宋体" w:hAnsi="宋体" w:eastAsia="宋体" w:cs="宋体"/>
        <w:spacing w:val="-3"/>
        <w:w w:val="100"/>
        <w:sz w:val="19"/>
        <w:szCs w:val="19"/>
        <w:lang w:val="zh-CN" w:eastAsia="zh-CN" w:bidi="zh-CN"/>
      </w:rPr>
    </w:lvl>
    <w:lvl w:ilvl="1">
      <w:start w:val="0"/>
      <w:numFmt w:val="bullet"/>
      <w:lvlText w:val="•"/>
      <w:lvlJc w:val="left"/>
      <w:pPr>
        <w:ind w:left="2018" w:hanging="213"/>
      </w:pPr>
      <w:rPr>
        <w:rFonts w:hint="default"/>
        <w:lang w:val="zh-CN" w:eastAsia="zh-CN" w:bidi="zh-CN"/>
      </w:rPr>
    </w:lvl>
    <w:lvl w:ilvl="2">
      <w:start w:val="0"/>
      <w:numFmt w:val="bullet"/>
      <w:lvlText w:val="•"/>
      <w:lvlJc w:val="left"/>
      <w:pPr>
        <w:ind w:left="2977" w:hanging="213"/>
      </w:pPr>
      <w:rPr>
        <w:rFonts w:hint="default"/>
        <w:lang w:val="zh-CN" w:eastAsia="zh-CN" w:bidi="zh-CN"/>
      </w:rPr>
    </w:lvl>
    <w:lvl w:ilvl="3">
      <w:start w:val="0"/>
      <w:numFmt w:val="bullet"/>
      <w:lvlText w:val="•"/>
      <w:lvlJc w:val="left"/>
      <w:pPr>
        <w:ind w:left="3935" w:hanging="213"/>
      </w:pPr>
      <w:rPr>
        <w:rFonts w:hint="default"/>
        <w:lang w:val="zh-CN" w:eastAsia="zh-CN" w:bidi="zh-CN"/>
      </w:rPr>
    </w:lvl>
    <w:lvl w:ilvl="4">
      <w:start w:val="0"/>
      <w:numFmt w:val="bullet"/>
      <w:lvlText w:val="•"/>
      <w:lvlJc w:val="left"/>
      <w:pPr>
        <w:ind w:left="4894" w:hanging="213"/>
      </w:pPr>
      <w:rPr>
        <w:rFonts w:hint="default"/>
        <w:lang w:val="zh-CN" w:eastAsia="zh-CN" w:bidi="zh-CN"/>
      </w:rPr>
    </w:lvl>
    <w:lvl w:ilvl="5">
      <w:start w:val="0"/>
      <w:numFmt w:val="bullet"/>
      <w:lvlText w:val="•"/>
      <w:lvlJc w:val="left"/>
      <w:pPr>
        <w:ind w:left="5853" w:hanging="213"/>
      </w:pPr>
      <w:rPr>
        <w:rFonts w:hint="default"/>
        <w:lang w:val="zh-CN" w:eastAsia="zh-CN" w:bidi="zh-CN"/>
      </w:rPr>
    </w:lvl>
    <w:lvl w:ilvl="6">
      <w:start w:val="0"/>
      <w:numFmt w:val="bullet"/>
      <w:lvlText w:val="•"/>
      <w:lvlJc w:val="left"/>
      <w:pPr>
        <w:ind w:left="6811" w:hanging="213"/>
      </w:pPr>
      <w:rPr>
        <w:rFonts w:hint="default"/>
        <w:lang w:val="zh-CN" w:eastAsia="zh-CN" w:bidi="zh-CN"/>
      </w:rPr>
    </w:lvl>
    <w:lvl w:ilvl="7">
      <w:start w:val="0"/>
      <w:numFmt w:val="bullet"/>
      <w:lvlText w:val="•"/>
      <w:lvlJc w:val="left"/>
      <w:pPr>
        <w:ind w:left="7770" w:hanging="213"/>
      </w:pPr>
      <w:rPr>
        <w:rFonts w:hint="default"/>
        <w:lang w:val="zh-CN" w:eastAsia="zh-CN" w:bidi="zh-CN"/>
      </w:rPr>
    </w:lvl>
    <w:lvl w:ilvl="8">
      <w:start w:val="0"/>
      <w:numFmt w:val="bullet"/>
      <w:lvlText w:val="•"/>
      <w:lvlJc w:val="left"/>
      <w:pPr>
        <w:ind w:left="8729" w:hanging="213"/>
      </w:pPr>
      <w:rPr>
        <w:rFonts w:hint="default"/>
        <w:lang w:val="zh-CN" w:eastAsia="zh-CN" w:bidi="zh-CN"/>
      </w:rPr>
    </w:lvl>
  </w:abstractNum>
  <w:abstractNum w:abstractNumId="3">
    <w:multiLevelType w:val="hybridMultilevel"/>
    <w:lvl w:ilvl="0">
      <w:start w:val="4"/>
      <w:numFmt w:val="decimal"/>
      <w:lvlText w:val="%1"/>
      <w:lvlJc w:val="left"/>
      <w:pPr>
        <w:ind w:left="838" w:hanging="529"/>
        <w:jc w:val="left"/>
      </w:pPr>
      <w:rPr>
        <w:rFonts w:hint="default"/>
        <w:lang w:val="zh-CN" w:eastAsia="zh-CN" w:bidi="zh-CN"/>
      </w:rPr>
    </w:lvl>
    <w:lvl w:ilvl="1">
      <w:start w:val="1"/>
      <w:numFmt w:val="decimal"/>
      <w:lvlText w:val="%1.%2"/>
      <w:lvlJc w:val="left"/>
      <w:pPr>
        <w:ind w:left="838" w:hanging="529"/>
        <w:jc w:val="left"/>
      </w:pPr>
      <w:rPr>
        <w:rFonts w:hint="default"/>
        <w:lang w:val="zh-CN" w:eastAsia="zh-CN" w:bidi="zh-CN"/>
      </w:rPr>
    </w:lvl>
    <w:lvl w:ilvl="2">
      <w:start w:val="1"/>
      <w:numFmt w:val="decimal"/>
      <w:lvlText w:val="%1.%2.%3"/>
      <w:lvlJc w:val="left"/>
      <w:pPr>
        <w:ind w:left="838" w:hanging="529"/>
        <w:jc w:val="left"/>
      </w:pPr>
      <w:rPr>
        <w:rFonts w:hint="default" w:ascii="宋体" w:hAnsi="宋体" w:eastAsia="宋体" w:cs="宋体"/>
        <w:b/>
        <w:bCs/>
        <w:w w:val="99"/>
        <w:sz w:val="19"/>
        <w:szCs w:val="19"/>
        <w:lang w:val="zh-CN" w:eastAsia="zh-CN" w:bidi="zh-CN"/>
      </w:rPr>
    </w:lvl>
    <w:lvl w:ilvl="3">
      <w:start w:val="0"/>
      <w:numFmt w:val="bullet"/>
      <w:lvlText w:val="•"/>
      <w:lvlJc w:val="left"/>
      <w:pPr>
        <w:ind w:left="3781" w:hanging="529"/>
      </w:pPr>
      <w:rPr>
        <w:rFonts w:hint="default"/>
        <w:lang w:val="zh-CN" w:eastAsia="zh-CN" w:bidi="zh-CN"/>
      </w:rPr>
    </w:lvl>
    <w:lvl w:ilvl="4">
      <w:start w:val="0"/>
      <w:numFmt w:val="bullet"/>
      <w:lvlText w:val="•"/>
      <w:lvlJc w:val="left"/>
      <w:pPr>
        <w:ind w:left="4762" w:hanging="529"/>
      </w:pPr>
      <w:rPr>
        <w:rFonts w:hint="default"/>
        <w:lang w:val="zh-CN" w:eastAsia="zh-CN" w:bidi="zh-CN"/>
      </w:rPr>
    </w:lvl>
    <w:lvl w:ilvl="5">
      <w:start w:val="0"/>
      <w:numFmt w:val="bullet"/>
      <w:lvlText w:val="•"/>
      <w:lvlJc w:val="left"/>
      <w:pPr>
        <w:ind w:left="5743" w:hanging="529"/>
      </w:pPr>
      <w:rPr>
        <w:rFonts w:hint="default"/>
        <w:lang w:val="zh-CN" w:eastAsia="zh-CN" w:bidi="zh-CN"/>
      </w:rPr>
    </w:lvl>
    <w:lvl w:ilvl="6">
      <w:start w:val="0"/>
      <w:numFmt w:val="bullet"/>
      <w:lvlText w:val="•"/>
      <w:lvlJc w:val="left"/>
      <w:pPr>
        <w:ind w:left="6723" w:hanging="529"/>
      </w:pPr>
      <w:rPr>
        <w:rFonts w:hint="default"/>
        <w:lang w:val="zh-CN" w:eastAsia="zh-CN" w:bidi="zh-CN"/>
      </w:rPr>
    </w:lvl>
    <w:lvl w:ilvl="7">
      <w:start w:val="0"/>
      <w:numFmt w:val="bullet"/>
      <w:lvlText w:val="•"/>
      <w:lvlJc w:val="left"/>
      <w:pPr>
        <w:ind w:left="7704" w:hanging="529"/>
      </w:pPr>
      <w:rPr>
        <w:rFonts w:hint="default"/>
        <w:lang w:val="zh-CN" w:eastAsia="zh-CN" w:bidi="zh-CN"/>
      </w:rPr>
    </w:lvl>
    <w:lvl w:ilvl="8">
      <w:start w:val="0"/>
      <w:numFmt w:val="bullet"/>
      <w:lvlText w:val="•"/>
      <w:lvlJc w:val="left"/>
      <w:pPr>
        <w:ind w:left="8685" w:hanging="529"/>
      </w:pPr>
      <w:rPr>
        <w:rFonts w:hint="default"/>
        <w:lang w:val="zh-CN" w:eastAsia="zh-CN" w:bidi="zh-CN"/>
      </w:rPr>
    </w:lvl>
  </w:abstractNum>
  <w:abstractNum w:abstractNumId="2">
    <w:multiLevelType w:val="hybridMultilevel"/>
    <w:lvl w:ilvl="0">
      <w:start w:val="3"/>
      <w:numFmt w:val="decimal"/>
      <w:lvlText w:val="%1"/>
      <w:lvlJc w:val="left"/>
      <w:pPr>
        <w:ind w:left="1158" w:hanging="318"/>
        <w:jc w:val="left"/>
      </w:pPr>
      <w:rPr>
        <w:rFonts w:hint="default"/>
        <w:lang w:val="zh-CN" w:eastAsia="zh-CN" w:bidi="zh-CN"/>
      </w:rPr>
    </w:lvl>
    <w:lvl w:ilvl="1">
      <w:start w:val="8"/>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1">
    <w:multiLevelType w:val="hybridMultilevel"/>
    <w:lvl w:ilvl="0">
      <w:start w:val="3"/>
      <w:numFmt w:val="decimal"/>
      <w:lvlText w:val="%1"/>
      <w:lvlJc w:val="left"/>
      <w:pPr>
        <w:ind w:left="1158" w:hanging="318"/>
        <w:jc w:val="left"/>
      </w:pPr>
      <w:rPr>
        <w:rFonts w:hint="default"/>
        <w:lang w:val="zh-CN" w:eastAsia="zh-CN" w:bidi="zh-CN"/>
      </w:rPr>
    </w:lvl>
    <w:lvl w:ilvl="1">
      <w:start w:val="5"/>
      <w:numFmt w:val="decimal"/>
      <w:lvlText w:val="%1.%2"/>
      <w:lvlJc w:val="left"/>
      <w:pPr>
        <w:ind w:left="1158" w:hanging="318"/>
        <w:jc w:val="left"/>
      </w:pPr>
      <w:rPr>
        <w:rFonts w:hint="default" w:ascii="宋体" w:hAnsi="宋体" w:eastAsia="宋体" w:cs="宋体"/>
        <w:b/>
        <w:bCs/>
        <w:spacing w:val="-3"/>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abstractNum w:abstractNumId="0">
    <w:multiLevelType w:val="hybridMultilevel"/>
    <w:lvl w:ilvl="0">
      <w:start w:val="3"/>
      <w:numFmt w:val="decimal"/>
      <w:lvlText w:val="%1"/>
      <w:lvlJc w:val="left"/>
      <w:pPr>
        <w:ind w:left="1158" w:hanging="318"/>
        <w:jc w:val="left"/>
      </w:pPr>
      <w:rPr>
        <w:rFonts w:hint="default"/>
        <w:lang w:val="zh-CN" w:eastAsia="zh-CN" w:bidi="zh-CN"/>
      </w:rPr>
    </w:lvl>
    <w:lvl w:ilvl="1">
      <w:start w:val="1"/>
      <w:numFmt w:val="decimal"/>
      <w:lvlText w:val="%1.%2"/>
      <w:lvlJc w:val="left"/>
      <w:pPr>
        <w:ind w:left="1158" w:hanging="318"/>
        <w:jc w:val="left"/>
      </w:pPr>
      <w:rPr>
        <w:rFonts w:hint="default" w:ascii="宋体" w:hAnsi="宋体" w:eastAsia="宋体" w:cs="宋体"/>
        <w:b/>
        <w:bCs/>
        <w:w w:val="99"/>
        <w:sz w:val="19"/>
        <w:szCs w:val="19"/>
        <w:lang w:val="zh-CN" w:eastAsia="zh-CN" w:bidi="zh-CN"/>
      </w:rPr>
    </w:lvl>
    <w:lvl w:ilvl="2">
      <w:start w:val="0"/>
      <w:numFmt w:val="bullet"/>
      <w:lvlText w:val="•"/>
      <w:lvlJc w:val="left"/>
      <w:pPr>
        <w:ind w:left="3057" w:hanging="318"/>
      </w:pPr>
      <w:rPr>
        <w:rFonts w:hint="default"/>
        <w:lang w:val="zh-CN" w:eastAsia="zh-CN" w:bidi="zh-CN"/>
      </w:rPr>
    </w:lvl>
    <w:lvl w:ilvl="3">
      <w:start w:val="0"/>
      <w:numFmt w:val="bullet"/>
      <w:lvlText w:val="•"/>
      <w:lvlJc w:val="left"/>
      <w:pPr>
        <w:ind w:left="4005" w:hanging="318"/>
      </w:pPr>
      <w:rPr>
        <w:rFonts w:hint="default"/>
        <w:lang w:val="zh-CN" w:eastAsia="zh-CN" w:bidi="zh-CN"/>
      </w:rPr>
    </w:lvl>
    <w:lvl w:ilvl="4">
      <w:start w:val="0"/>
      <w:numFmt w:val="bullet"/>
      <w:lvlText w:val="•"/>
      <w:lvlJc w:val="left"/>
      <w:pPr>
        <w:ind w:left="4954" w:hanging="318"/>
      </w:pPr>
      <w:rPr>
        <w:rFonts w:hint="default"/>
        <w:lang w:val="zh-CN" w:eastAsia="zh-CN" w:bidi="zh-CN"/>
      </w:rPr>
    </w:lvl>
    <w:lvl w:ilvl="5">
      <w:start w:val="0"/>
      <w:numFmt w:val="bullet"/>
      <w:lvlText w:val="•"/>
      <w:lvlJc w:val="left"/>
      <w:pPr>
        <w:ind w:left="5903" w:hanging="318"/>
      </w:pPr>
      <w:rPr>
        <w:rFonts w:hint="default"/>
        <w:lang w:val="zh-CN" w:eastAsia="zh-CN" w:bidi="zh-CN"/>
      </w:rPr>
    </w:lvl>
    <w:lvl w:ilvl="6">
      <w:start w:val="0"/>
      <w:numFmt w:val="bullet"/>
      <w:lvlText w:val="•"/>
      <w:lvlJc w:val="left"/>
      <w:pPr>
        <w:ind w:left="6851" w:hanging="318"/>
      </w:pPr>
      <w:rPr>
        <w:rFonts w:hint="default"/>
        <w:lang w:val="zh-CN" w:eastAsia="zh-CN" w:bidi="zh-CN"/>
      </w:rPr>
    </w:lvl>
    <w:lvl w:ilvl="7">
      <w:start w:val="0"/>
      <w:numFmt w:val="bullet"/>
      <w:lvlText w:val="•"/>
      <w:lvlJc w:val="left"/>
      <w:pPr>
        <w:ind w:left="7800" w:hanging="318"/>
      </w:pPr>
      <w:rPr>
        <w:rFonts w:hint="default"/>
        <w:lang w:val="zh-CN" w:eastAsia="zh-CN" w:bidi="zh-CN"/>
      </w:rPr>
    </w:lvl>
    <w:lvl w:ilvl="8">
      <w:start w:val="0"/>
      <w:numFmt w:val="bullet"/>
      <w:lvlText w:val="•"/>
      <w:lvlJc w:val="left"/>
      <w:pPr>
        <w:ind w:left="8749" w:hanging="318"/>
      </w:pPr>
      <w:rPr>
        <w:rFonts w:hint="default"/>
        <w:lang w:val="zh-CN" w:eastAsia="zh-CN" w:bidi="zh-CN"/>
      </w:rPr>
    </w:lvl>
  </w:abstractNum>
  <w:num w:numId="985">
    <w:abstractNumId w:val="984"/>
  </w:num>
  <w:num w:numId="984">
    <w:abstractNumId w:val="983"/>
  </w:num>
  <w:num w:numId="983">
    <w:abstractNumId w:val="982"/>
  </w:num>
  <w:num w:numId="982">
    <w:abstractNumId w:val="981"/>
  </w:num>
  <w:num w:numId="981">
    <w:abstractNumId w:val="980"/>
  </w:num>
  <w:num w:numId="980">
    <w:abstractNumId w:val="979"/>
  </w:num>
  <w:num w:numId="979">
    <w:abstractNumId w:val="978"/>
  </w:num>
  <w:num w:numId="978">
    <w:abstractNumId w:val="977"/>
  </w:num>
  <w:num w:numId="977">
    <w:abstractNumId w:val="976"/>
  </w:num>
  <w:num w:numId="976">
    <w:abstractNumId w:val="975"/>
  </w:num>
  <w:num w:numId="975">
    <w:abstractNumId w:val="974"/>
  </w:num>
  <w:num w:numId="974">
    <w:abstractNumId w:val="973"/>
  </w:num>
  <w:num w:numId="973">
    <w:abstractNumId w:val="972"/>
  </w:num>
  <w:num w:numId="972">
    <w:abstractNumId w:val="971"/>
  </w:num>
  <w:num w:numId="971">
    <w:abstractNumId w:val="970"/>
  </w:num>
  <w:num w:numId="970">
    <w:abstractNumId w:val="969"/>
  </w:num>
  <w:num w:numId="969">
    <w:abstractNumId w:val="968"/>
  </w:num>
  <w:num w:numId="968">
    <w:abstractNumId w:val="967"/>
  </w:num>
  <w:num w:numId="967">
    <w:abstractNumId w:val="966"/>
  </w:num>
  <w:num w:numId="966">
    <w:abstractNumId w:val="965"/>
  </w:num>
  <w:num w:numId="965">
    <w:abstractNumId w:val="964"/>
  </w:num>
  <w:num w:numId="964">
    <w:abstractNumId w:val="963"/>
  </w:num>
  <w:num w:numId="963">
    <w:abstractNumId w:val="962"/>
  </w:num>
  <w:num w:numId="962">
    <w:abstractNumId w:val="961"/>
  </w:num>
  <w:num w:numId="961">
    <w:abstractNumId w:val="960"/>
  </w:num>
  <w:num w:numId="960">
    <w:abstractNumId w:val="959"/>
  </w:num>
  <w:num w:numId="959">
    <w:abstractNumId w:val="958"/>
  </w:num>
  <w:num w:numId="958">
    <w:abstractNumId w:val="957"/>
  </w:num>
  <w:num w:numId="957">
    <w:abstractNumId w:val="956"/>
  </w:num>
  <w:num w:numId="956">
    <w:abstractNumId w:val="955"/>
  </w:num>
  <w:num w:numId="955">
    <w:abstractNumId w:val="954"/>
  </w:num>
  <w:num w:numId="954">
    <w:abstractNumId w:val="953"/>
  </w:num>
  <w:num w:numId="953">
    <w:abstractNumId w:val="952"/>
  </w:num>
  <w:num w:numId="952">
    <w:abstractNumId w:val="951"/>
  </w:num>
  <w:num w:numId="951">
    <w:abstractNumId w:val="950"/>
  </w:num>
  <w:num w:numId="950">
    <w:abstractNumId w:val="949"/>
  </w:num>
  <w:num w:numId="949">
    <w:abstractNumId w:val="948"/>
  </w:num>
  <w:num w:numId="948">
    <w:abstractNumId w:val="947"/>
  </w:num>
  <w:num w:numId="947">
    <w:abstractNumId w:val="946"/>
  </w:num>
  <w:num w:numId="946">
    <w:abstractNumId w:val="945"/>
  </w:num>
  <w:num w:numId="945">
    <w:abstractNumId w:val="944"/>
  </w:num>
  <w:num w:numId="944">
    <w:abstractNumId w:val="943"/>
  </w:num>
  <w:num w:numId="943">
    <w:abstractNumId w:val="942"/>
  </w:num>
  <w:num w:numId="942">
    <w:abstractNumId w:val="941"/>
  </w:num>
  <w:num w:numId="941">
    <w:abstractNumId w:val="940"/>
  </w:num>
  <w:num w:numId="940">
    <w:abstractNumId w:val="939"/>
  </w:num>
  <w:num w:numId="939">
    <w:abstractNumId w:val="938"/>
  </w:num>
  <w:num w:numId="938">
    <w:abstractNumId w:val="937"/>
  </w:num>
  <w:num w:numId="937">
    <w:abstractNumId w:val="936"/>
  </w:num>
  <w:num w:numId="936">
    <w:abstractNumId w:val="935"/>
  </w:num>
  <w:num w:numId="935">
    <w:abstractNumId w:val="934"/>
  </w:num>
  <w:num w:numId="934">
    <w:abstractNumId w:val="933"/>
  </w:num>
  <w:num w:numId="933">
    <w:abstractNumId w:val="932"/>
  </w:num>
  <w:num w:numId="932">
    <w:abstractNumId w:val="931"/>
  </w:num>
  <w:num w:numId="931">
    <w:abstractNumId w:val="930"/>
  </w:num>
  <w:num w:numId="930">
    <w:abstractNumId w:val="929"/>
  </w:num>
  <w:num w:numId="929">
    <w:abstractNumId w:val="928"/>
  </w:num>
  <w:num w:numId="928">
    <w:abstractNumId w:val="927"/>
  </w:num>
  <w:num w:numId="927">
    <w:abstractNumId w:val="926"/>
  </w:num>
  <w:num w:numId="926">
    <w:abstractNumId w:val="925"/>
  </w:num>
  <w:num w:numId="925">
    <w:abstractNumId w:val="924"/>
  </w:num>
  <w:num w:numId="924">
    <w:abstractNumId w:val="923"/>
  </w:num>
  <w:num w:numId="923">
    <w:abstractNumId w:val="922"/>
  </w:num>
  <w:num w:numId="922">
    <w:abstractNumId w:val="921"/>
  </w:num>
  <w:num w:numId="921">
    <w:abstractNumId w:val="920"/>
  </w:num>
  <w:num w:numId="920">
    <w:abstractNumId w:val="919"/>
  </w:num>
  <w:num w:numId="919">
    <w:abstractNumId w:val="918"/>
  </w:num>
  <w:num w:numId="918">
    <w:abstractNumId w:val="917"/>
  </w:num>
  <w:num w:numId="917">
    <w:abstractNumId w:val="916"/>
  </w:num>
  <w:num w:numId="916">
    <w:abstractNumId w:val="915"/>
  </w:num>
  <w:num w:numId="915">
    <w:abstractNumId w:val="914"/>
  </w:num>
  <w:num w:numId="914">
    <w:abstractNumId w:val="913"/>
  </w:num>
  <w:num w:numId="913">
    <w:abstractNumId w:val="912"/>
  </w:num>
  <w:num w:numId="912">
    <w:abstractNumId w:val="911"/>
  </w:num>
  <w:num w:numId="911">
    <w:abstractNumId w:val="910"/>
  </w:num>
  <w:num w:numId="910">
    <w:abstractNumId w:val="909"/>
  </w:num>
  <w:num w:numId="909">
    <w:abstractNumId w:val="908"/>
  </w:num>
  <w:num w:numId="908">
    <w:abstractNumId w:val="907"/>
  </w:num>
  <w:num w:numId="907">
    <w:abstractNumId w:val="906"/>
  </w:num>
  <w:num w:numId="906">
    <w:abstractNumId w:val="905"/>
  </w:num>
  <w:num w:numId="905">
    <w:abstractNumId w:val="904"/>
  </w:num>
  <w:num w:numId="904">
    <w:abstractNumId w:val="903"/>
  </w:num>
  <w:num w:numId="903">
    <w:abstractNumId w:val="902"/>
  </w:num>
  <w:num w:numId="902">
    <w:abstractNumId w:val="901"/>
  </w:num>
  <w:num w:numId="901">
    <w:abstractNumId w:val="900"/>
  </w:num>
  <w:num w:numId="900">
    <w:abstractNumId w:val="899"/>
  </w:num>
  <w:num w:numId="899">
    <w:abstractNumId w:val="898"/>
  </w:num>
  <w:num w:numId="898">
    <w:abstractNumId w:val="897"/>
  </w:num>
  <w:num w:numId="897">
    <w:abstractNumId w:val="896"/>
  </w:num>
  <w:num w:numId="896">
    <w:abstractNumId w:val="895"/>
  </w:num>
  <w:num w:numId="895">
    <w:abstractNumId w:val="894"/>
  </w:num>
  <w:num w:numId="894">
    <w:abstractNumId w:val="893"/>
  </w:num>
  <w:num w:numId="893">
    <w:abstractNumId w:val="892"/>
  </w:num>
  <w:num w:numId="892">
    <w:abstractNumId w:val="891"/>
  </w:num>
  <w:num w:numId="891">
    <w:abstractNumId w:val="890"/>
  </w:num>
  <w:num w:numId="890">
    <w:abstractNumId w:val="889"/>
  </w:num>
  <w:num w:numId="889">
    <w:abstractNumId w:val="888"/>
  </w:num>
  <w:num w:numId="888">
    <w:abstractNumId w:val="887"/>
  </w:num>
  <w:num w:numId="887">
    <w:abstractNumId w:val="886"/>
  </w:num>
  <w:num w:numId="886">
    <w:abstractNumId w:val="885"/>
  </w:num>
  <w:num w:numId="885">
    <w:abstractNumId w:val="884"/>
  </w:num>
  <w:num w:numId="884">
    <w:abstractNumId w:val="883"/>
  </w:num>
  <w:num w:numId="883">
    <w:abstractNumId w:val="882"/>
  </w:num>
  <w:num w:numId="882">
    <w:abstractNumId w:val="881"/>
  </w:num>
  <w:num w:numId="881">
    <w:abstractNumId w:val="880"/>
  </w:num>
  <w:num w:numId="880">
    <w:abstractNumId w:val="879"/>
  </w:num>
  <w:num w:numId="879">
    <w:abstractNumId w:val="878"/>
  </w:num>
  <w:num w:numId="878">
    <w:abstractNumId w:val="877"/>
  </w:num>
  <w:num w:numId="877">
    <w:abstractNumId w:val="876"/>
  </w:num>
  <w:num w:numId="876">
    <w:abstractNumId w:val="875"/>
  </w:num>
  <w:num w:numId="875">
    <w:abstractNumId w:val="874"/>
  </w:num>
  <w:num w:numId="874">
    <w:abstractNumId w:val="873"/>
  </w:num>
  <w:num w:numId="873">
    <w:abstractNumId w:val="872"/>
  </w:num>
  <w:num w:numId="872">
    <w:abstractNumId w:val="871"/>
  </w:num>
  <w:num w:numId="871">
    <w:abstractNumId w:val="870"/>
  </w:num>
  <w:num w:numId="870">
    <w:abstractNumId w:val="869"/>
  </w:num>
  <w:num w:numId="869">
    <w:abstractNumId w:val="868"/>
  </w:num>
  <w:num w:numId="868">
    <w:abstractNumId w:val="867"/>
  </w:num>
  <w:num w:numId="867">
    <w:abstractNumId w:val="866"/>
  </w:num>
  <w:num w:numId="866">
    <w:abstractNumId w:val="865"/>
  </w:num>
  <w:num w:numId="865">
    <w:abstractNumId w:val="864"/>
  </w:num>
  <w:num w:numId="864">
    <w:abstractNumId w:val="863"/>
  </w:num>
  <w:num w:numId="863">
    <w:abstractNumId w:val="862"/>
  </w:num>
  <w:num w:numId="862">
    <w:abstractNumId w:val="861"/>
  </w:num>
  <w:num w:numId="861">
    <w:abstractNumId w:val="860"/>
  </w:num>
  <w:num w:numId="860">
    <w:abstractNumId w:val="859"/>
  </w:num>
  <w:num w:numId="859">
    <w:abstractNumId w:val="858"/>
  </w:num>
  <w:num w:numId="858">
    <w:abstractNumId w:val="857"/>
  </w:num>
  <w:num w:numId="857">
    <w:abstractNumId w:val="856"/>
  </w:num>
  <w:num w:numId="856">
    <w:abstractNumId w:val="855"/>
  </w:num>
  <w:num w:numId="855">
    <w:abstractNumId w:val="854"/>
  </w:num>
  <w:num w:numId="854">
    <w:abstractNumId w:val="853"/>
  </w:num>
  <w:num w:numId="853">
    <w:abstractNumId w:val="852"/>
  </w:num>
  <w:num w:numId="852">
    <w:abstractNumId w:val="851"/>
  </w:num>
  <w:num w:numId="851">
    <w:abstractNumId w:val="850"/>
  </w:num>
  <w:num w:numId="850">
    <w:abstractNumId w:val="849"/>
  </w:num>
  <w:num w:numId="849">
    <w:abstractNumId w:val="848"/>
  </w:num>
  <w:num w:numId="848">
    <w:abstractNumId w:val="847"/>
  </w:num>
  <w:num w:numId="847">
    <w:abstractNumId w:val="846"/>
  </w:num>
  <w:num w:numId="846">
    <w:abstractNumId w:val="845"/>
  </w:num>
  <w:num w:numId="845">
    <w:abstractNumId w:val="844"/>
  </w:num>
  <w:num w:numId="844">
    <w:abstractNumId w:val="843"/>
  </w:num>
  <w:num w:numId="843">
    <w:abstractNumId w:val="842"/>
  </w:num>
  <w:num w:numId="842">
    <w:abstractNumId w:val="841"/>
  </w:num>
  <w:num w:numId="841">
    <w:abstractNumId w:val="840"/>
  </w:num>
  <w:num w:numId="840">
    <w:abstractNumId w:val="839"/>
  </w:num>
  <w:num w:numId="839">
    <w:abstractNumId w:val="838"/>
  </w:num>
  <w:num w:numId="838">
    <w:abstractNumId w:val="837"/>
  </w:num>
  <w:num w:numId="837">
    <w:abstractNumId w:val="836"/>
  </w:num>
  <w:num w:numId="836">
    <w:abstractNumId w:val="835"/>
  </w:num>
  <w:num w:numId="835">
    <w:abstractNumId w:val="834"/>
  </w:num>
  <w:num w:numId="834">
    <w:abstractNumId w:val="833"/>
  </w:num>
  <w:num w:numId="833">
    <w:abstractNumId w:val="832"/>
  </w:num>
  <w:num w:numId="832">
    <w:abstractNumId w:val="831"/>
  </w:num>
  <w:num w:numId="831">
    <w:abstractNumId w:val="830"/>
  </w:num>
  <w:num w:numId="830">
    <w:abstractNumId w:val="829"/>
  </w:num>
  <w:num w:numId="829">
    <w:abstractNumId w:val="828"/>
  </w:num>
  <w:num w:numId="828">
    <w:abstractNumId w:val="827"/>
  </w:num>
  <w:num w:numId="827">
    <w:abstractNumId w:val="826"/>
  </w:num>
  <w:num w:numId="826">
    <w:abstractNumId w:val="825"/>
  </w:num>
  <w:num w:numId="825">
    <w:abstractNumId w:val="824"/>
  </w:num>
  <w:num w:numId="824">
    <w:abstractNumId w:val="823"/>
  </w:num>
  <w:num w:numId="823">
    <w:abstractNumId w:val="822"/>
  </w:num>
  <w:num w:numId="822">
    <w:abstractNumId w:val="821"/>
  </w:num>
  <w:num w:numId="821">
    <w:abstractNumId w:val="820"/>
  </w:num>
  <w:num w:numId="820">
    <w:abstractNumId w:val="819"/>
  </w:num>
  <w:num w:numId="819">
    <w:abstractNumId w:val="818"/>
  </w:num>
  <w:num w:numId="818">
    <w:abstractNumId w:val="817"/>
  </w:num>
  <w:num w:numId="817">
    <w:abstractNumId w:val="816"/>
  </w:num>
  <w:num w:numId="816">
    <w:abstractNumId w:val="815"/>
  </w:num>
  <w:num w:numId="815">
    <w:abstractNumId w:val="814"/>
  </w:num>
  <w:num w:numId="814">
    <w:abstractNumId w:val="813"/>
  </w:num>
  <w:num w:numId="813">
    <w:abstractNumId w:val="812"/>
  </w:num>
  <w:num w:numId="812">
    <w:abstractNumId w:val="811"/>
  </w:num>
  <w:num w:numId="811">
    <w:abstractNumId w:val="810"/>
  </w:num>
  <w:num w:numId="810">
    <w:abstractNumId w:val="809"/>
  </w:num>
  <w:num w:numId="809">
    <w:abstractNumId w:val="808"/>
  </w:num>
  <w:num w:numId="808">
    <w:abstractNumId w:val="807"/>
  </w:num>
  <w:num w:numId="807">
    <w:abstractNumId w:val="806"/>
  </w:num>
  <w:num w:numId="806">
    <w:abstractNumId w:val="805"/>
  </w:num>
  <w:num w:numId="805">
    <w:abstractNumId w:val="804"/>
  </w:num>
  <w:num w:numId="804">
    <w:abstractNumId w:val="803"/>
  </w:num>
  <w:num w:numId="803">
    <w:abstractNumId w:val="802"/>
  </w:num>
  <w:num w:numId="802">
    <w:abstractNumId w:val="801"/>
  </w:num>
  <w:num w:numId="801">
    <w:abstractNumId w:val="800"/>
  </w:num>
  <w:num w:numId="800">
    <w:abstractNumId w:val="799"/>
  </w:num>
  <w:num w:numId="799">
    <w:abstractNumId w:val="798"/>
  </w:num>
  <w:num w:numId="798">
    <w:abstractNumId w:val="797"/>
  </w:num>
  <w:num w:numId="797">
    <w:abstractNumId w:val="796"/>
  </w:num>
  <w:num w:numId="796">
    <w:abstractNumId w:val="795"/>
  </w:num>
  <w:num w:numId="795">
    <w:abstractNumId w:val="794"/>
  </w:num>
  <w:num w:numId="794">
    <w:abstractNumId w:val="793"/>
  </w:num>
  <w:num w:numId="793">
    <w:abstractNumId w:val="792"/>
  </w:num>
  <w:num w:numId="792">
    <w:abstractNumId w:val="791"/>
  </w:num>
  <w:num w:numId="791">
    <w:abstractNumId w:val="790"/>
  </w:num>
  <w:num w:numId="790">
    <w:abstractNumId w:val="789"/>
  </w:num>
  <w:num w:numId="789">
    <w:abstractNumId w:val="788"/>
  </w:num>
  <w:num w:numId="788">
    <w:abstractNumId w:val="787"/>
  </w:num>
  <w:num w:numId="787">
    <w:abstractNumId w:val="786"/>
  </w:num>
  <w:num w:numId="786">
    <w:abstractNumId w:val="785"/>
  </w:num>
  <w:num w:numId="785">
    <w:abstractNumId w:val="784"/>
  </w:num>
  <w:num w:numId="784">
    <w:abstractNumId w:val="783"/>
  </w:num>
  <w:num w:numId="783">
    <w:abstractNumId w:val="782"/>
  </w:num>
  <w:num w:numId="782">
    <w:abstractNumId w:val="781"/>
  </w:num>
  <w:num w:numId="781">
    <w:abstractNumId w:val="780"/>
  </w:num>
  <w:num w:numId="780">
    <w:abstractNumId w:val="779"/>
  </w:num>
  <w:num w:numId="779">
    <w:abstractNumId w:val="778"/>
  </w:num>
  <w:num w:numId="778">
    <w:abstractNumId w:val="777"/>
  </w:num>
  <w:num w:numId="777">
    <w:abstractNumId w:val="776"/>
  </w:num>
  <w:num w:numId="776">
    <w:abstractNumId w:val="775"/>
  </w:num>
  <w:num w:numId="775">
    <w:abstractNumId w:val="774"/>
  </w:num>
  <w:num w:numId="774">
    <w:abstractNumId w:val="773"/>
  </w:num>
  <w:num w:numId="773">
    <w:abstractNumId w:val="772"/>
  </w:num>
  <w:num w:numId="772">
    <w:abstractNumId w:val="771"/>
  </w:num>
  <w:num w:numId="771">
    <w:abstractNumId w:val="770"/>
  </w:num>
  <w:num w:numId="770">
    <w:abstractNumId w:val="769"/>
  </w:num>
  <w:num w:numId="769">
    <w:abstractNumId w:val="768"/>
  </w:num>
  <w:num w:numId="768">
    <w:abstractNumId w:val="767"/>
  </w:num>
  <w:num w:numId="767">
    <w:abstractNumId w:val="766"/>
  </w:num>
  <w:num w:numId="766">
    <w:abstractNumId w:val="765"/>
  </w:num>
  <w:num w:numId="765">
    <w:abstractNumId w:val="764"/>
  </w:num>
  <w:num w:numId="764">
    <w:abstractNumId w:val="763"/>
  </w:num>
  <w:num w:numId="763">
    <w:abstractNumId w:val="762"/>
  </w:num>
  <w:num w:numId="762">
    <w:abstractNumId w:val="761"/>
  </w:num>
  <w:num w:numId="761">
    <w:abstractNumId w:val="760"/>
  </w:num>
  <w:num w:numId="760">
    <w:abstractNumId w:val="759"/>
  </w:num>
  <w:num w:numId="759">
    <w:abstractNumId w:val="758"/>
  </w:num>
  <w:num w:numId="758">
    <w:abstractNumId w:val="757"/>
  </w:num>
  <w:num w:numId="757">
    <w:abstractNumId w:val="756"/>
  </w:num>
  <w:num w:numId="756">
    <w:abstractNumId w:val="755"/>
  </w:num>
  <w:num w:numId="755">
    <w:abstractNumId w:val="754"/>
  </w:num>
  <w:num w:numId="754">
    <w:abstractNumId w:val="753"/>
  </w:num>
  <w:num w:numId="753">
    <w:abstractNumId w:val="752"/>
  </w:num>
  <w:num w:numId="752">
    <w:abstractNumId w:val="751"/>
  </w:num>
  <w:num w:numId="751">
    <w:abstractNumId w:val="750"/>
  </w:num>
  <w:num w:numId="750">
    <w:abstractNumId w:val="749"/>
  </w:num>
  <w:num w:numId="749">
    <w:abstractNumId w:val="748"/>
  </w:num>
  <w:num w:numId="748">
    <w:abstractNumId w:val="747"/>
  </w:num>
  <w:num w:numId="747">
    <w:abstractNumId w:val="746"/>
  </w:num>
  <w:num w:numId="746">
    <w:abstractNumId w:val="745"/>
  </w:num>
  <w:num w:numId="745">
    <w:abstractNumId w:val="744"/>
  </w:num>
  <w:num w:numId="744">
    <w:abstractNumId w:val="743"/>
  </w:num>
  <w:num w:numId="743">
    <w:abstractNumId w:val="742"/>
  </w:num>
  <w:num w:numId="742">
    <w:abstractNumId w:val="741"/>
  </w:num>
  <w:num w:numId="741">
    <w:abstractNumId w:val="740"/>
  </w:num>
  <w:num w:numId="740">
    <w:abstractNumId w:val="739"/>
  </w:num>
  <w:num w:numId="739">
    <w:abstractNumId w:val="738"/>
  </w:num>
  <w:num w:numId="738">
    <w:abstractNumId w:val="737"/>
  </w:num>
  <w:num w:numId="737">
    <w:abstractNumId w:val="736"/>
  </w:num>
  <w:num w:numId="736">
    <w:abstractNumId w:val="735"/>
  </w:num>
  <w:num w:numId="735">
    <w:abstractNumId w:val="734"/>
  </w:num>
  <w:num w:numId="734">
    <w:abstractNumId w:val="733"/>
  </w:num>
  <w:num w:numId="733">
    <w:abstractNumId w:val="732"/>
  </w:num>
  <w:num w:numId="732">
    <w:abstractNumId w:val="731"/>
  </w:num>
  <w:num w:numId="731">
    <w:abstractNumId w:val="730"/>
  </w:num>
  <w:num w:numId="730">
    <w:abstractNumId w:val="729"/>
  </w:num>
  <w:num w:numId="729">
    <w:abstractNumId w:val="728"/>
  </w:num>
  <w:num w:numId="728">
    <w:abstractNumId w:val="727"/>
  </w:num>
  <w:num w:numId="727">
    <w:abstractNumId w:val="726"/>
  </w:num>
  <w:num w:numId="726">
    <w:abstractNumId w:val="725"/>
  </w:num>
  <w:num w:numId="725">
    <w:abstractNumId w:val="724"/>
  </w:num>
  <w:num w:numId="724">
    <w:abstractNumId w:val="723"/>
  </w:num>
  <w:num w:numId="723">
    <w:abstractNumId w:val="722"/>
  </w:num>
  <w:num w:numId="722">
    <w:abstractNumId w:val="721"/>
  </w:num>
  <w:num w:numId="721">
    <w:abstractNumId w:val="720"/>
  </w:num>
  <w:num w:numId="720">
    <w:abstractNumId w:val="719"/>
  </w:num>
  <w:num w:numId="719">
    <w:abstractNumId w:val="718"/>
  </w:num>
  <w:num w:numId="718">
    <w:abstractNumId w:val="717"/>
  </w:num>
  <w:num w:numId="717">
    <w:abstractNumId w:val="716"/>
  </w:num>
  <w:num w:numId="716">
    <w:abstractNumId w:val="715"/>
  </w:num>
  <w:num w:numId="715">
    <w:abstractNumId w:val="714"/>
  </w:num>
  <w:num w:numId="714">
    <w:abstractNumId w:val="713"/>
  </w:num>
  <w:num w:numId="713">
    <w:abstractNumId w:val="712"/>
  </w:num>
  <w:num w:numId="712">
    <w:abstractNumId w:val="711"/>
  </w:num>
  <w:num w:numId="711">
    <w:abstractNumId w:val="710"/>
  </w:num>
  <w:num w:numId="710">
    <w:abstractNumId w:val="709"/>
  </w:num>
  <w:num w:numId="709">
    <w:abstractNumId w:val="708"/>
  </w:num>
  <w:num w:numId="708">
    <w:abstractNumId w:val="707"/>
  </w:num>
  <w:num w:numId="707">
    <w:abstractNumId w:val="706"/>
  </w:num>
  <w:num w:numId="706">
    <w:abstractNumId w:val="705"/>
  </w:num>
  <w:num w:numId="705">
    <w:abstractNumId w:val="704"/>
  </w:num>
  <w:num w:numId="704">
    <w:abstractNumId w:val="703"/>
  </w:num>
  <w:num w:numId="703">
    <w:abstractNumId w:val="702"/>
  </w:num>
  <w:num w:numId="702">
    <w:abstractNumId w:val="701"/>
  </w:num>
  <w:num w:numId="701">
    <w:abstractNumId w:val="700"/>
  </w:num>
  <w:num w:numId="700">
    <w:abstractNumId w:val="699"/>
  </w:num>
  <w:num w:numId="699">
    <w:abstractNumId w:val="698"/>
  </w:num>
  <w:num w:numId="698">
    <w:abstractNumId w:val="697"/>
  </w:num>
  <w:num w:numId="697">
    <w:abstractNumId w:val="696"/>
  </w:num>
  <w:num w:numId="696">
    <w:abstractNumId w:val="695"/>
  </w:num>
  <w:num w:numId="695">
    <w:abstractNumId w:val="694"/>
  </w:num>
  <w:num w:numId="694">
    <w:abstractNumId w:val="693"/>
  </w:num>
  <w:num w:numId="693">
    <w:abstractNumId w:val="692"/>
  </w:num>
  <w:num w:numId="692">
    <w:abstractNumId w:val="691"/>
  </w:num>
  <w:num w:numId="691">
    <w:abstractNumId w:val="690"/>
  </w:num>
  <w:num w:numId="690">
    <w:abstractNumId w:val="689"/>
  </w:num>
  <w:num w:numId="689">
    <w:abstractNumId w:val="688"/>
  </w:num>
  <w:num w:numId="688">
    <w:abstractNumId w:val="687"/>
  </w:num>
  <w:num w:numId="687">
    <w:abstractNumId w:val="686"/>
  </w:num>
  <w:num w:numId="686">
    <w:abstractNumId w:val="685"/>
  </w:num>
  <w:num w:numId="685">
    <w:abstractNumId w:val="684"/>
  </w:num>
  <w:num w:numId="684">
    <w:abstractNumId w:val="683"/>
  </w:num>
  <w:num w:numId="683">
    <w:abstractNumId w:val="682"/>
  </w:num>
  <w:num w:numId="682">
    <w:abstractNumId w:val="681"/>
  </w:num>
  <w:num w:numId="681">
    <w:abstractNumId w:val="680"/>
  </w:num>
  <w:num w:numId="680">
    <w:abstractNumId w:val="679"/>
  </w:num>
  <w:num w:numId="679">
    <w:abstractNumId w:val="678"/>
  </w:num>
  <w:num w:numId="678">
    <w:abstractNumId w:val="677"/>
  </w:num>
  <w:num w:numId="677">
    <w:abstractNumId w:val="676"/>
  </w:num>
  <w:num w:numId="676">
    <w:abstractNumId w:val="675"/>
  </w:num>
  <w:num w:numId="675">
    <w:abstractNumId w:val="674"/>
  </w:num>
  <w:num w:numId="674">
    <w:abstractNumId w:val="673"/>
  </w:num>
  <w:num w:numId="673">
    <w:abstractNumId w:val="672"/>
  </w:num>
  <w:num w:numId="672">
    <w:abstractNumId w:val="671"/>
  </w:num>
  <w:num w:numId="671">
    <w:abstractNumId w:val="670"/>
  </w:num>
  <w:num w:numId="670">
    <w:abstractNumId w:val="669"/>
  </w:num>
  <w:num w:numId="669">
    <w:abstractNumId w:val="668"/>
  </w:num>
  <w:num w:numId="668">
    <w:abstractNumId w:val="667"/>
  </w:num>
  <w:num w:numId="667">
    <w:abstractNumId w:val="666"/>
  </w:num>
  <w:num w:numId="666">
    <w:abstractNumId w:val="665"/>
  </w:num>
  <w:num w:numId="665">
    <w:abstractNumId w:val="664"/>
  </w:num>
  <w:num w:numId="664">
    <w:abstractNumId w:val="663"/>
  </w:num>
  <w:num w:numId="663">
    <w:abstractNumId w:val="662"/>
  </w:num>
  <w:num w:numId="662">
    <w:abstractNumId w:val="661"/>
  </w:num>
  <w:num w:numId="661">
    <w:abstractNumId w:val="660"/>
  </w:num>
  <w:num w:numId="660">
    <w:abstractNumId w:val="659"/>
  </w:num>
  <w:num w:numId="659">
    <w:abstractNumId w:val="658"/>
  </w:num>
  <w:num w:numId="658">
    <w:abstractNumId w:val="657"/>
  </w:num>
  <w:num w:numId="657">
    <w:abstractNumId w:val="656"/>
  </w:num>
  <w:num w:numId="656">
    <w:abstractNumId w:val="655"/>
  </w:num>
  <w:num w:numId="655">
    <w:abstractNumId w:val="654"/>
  </w:num>
  <w:num w:numId="654">
    <w:abstractNumId w:val="653"/>
  </w:num>
  <w:num w:numId="653">
    <w:abstractNumId w:val="652"/>
  </w:num>
  <w:num w:numId="652">
    <w:abstractNumId w:val="651"/>
  </w:num>
  <w:num w:numId="651">
    <w:abstractNumId w:val="650"/>
  </w:num>
  <w:num w:numId="650">
    <w:abstractNumId w:val="649"/>
  </w:num>
  <w:num w:numId="649">
    <w:abstractNumId w:val="648"/>
  </w:num>
  <w:num w:numId="648">
    <w:abstractNumId w:val="647"/>
  </w:num>
  <w:num w:numId="647">
    <w:abstractNumId w:val="646"/>
  </w:num>
  <w:num w:numId="646">
    <w:abstractNumId w:val="645"/>
  </w:num>
  <w:num w:numId="645">
    <w:abstractNumId w:val="644"/>
  </w:num>
  <w:num w:numId="644">
    <w:abstractNumId w:val="643"/>
  </w:num>
  <w:num w:numId="643">
    <w:abstractNumId w:val="642"/>
  </w:num>
  <w:num w:numId="642">
    <w:abstractNumId w:val="641"/>
  </w:num>
  <w:num w:numId="641">
    <w:abstractNumId w:val="640"/>
  </w:num>
  <w:num w:numId="640">
    <w:abstractNumId w:val="639"/>
  </w:num>
  <w:num w:numId="639">
    <w:abstractNumId w:val="638"/>
  </w:num>
  <w:num w:numId="638">
    <w:abstractNumId w:val="637"/>
  </w:num>
  <w:num w:numId="637">
    <w:abstractNumId w:val="636"/>
  </w:num>
  <w:num w:numId="636">
    <w:abstractNumId w:val="635"/>
  </w:num>
  <w:num w:numId="635">
    <w:abstractNumId w:val="634"/>
  </w:num>
  <w:num w:numId="634">
    <w:abstractNumId w:val="633"/>
  </w:num>
  <w:num w:numId="633">
    <w:abstractNumId w:val="632"/>
  </w:num>
  <w:num w:numId="632">
    <w:abstractNumId w:val="631"/>
  </w:num>
  <w:num w:numId="631">
    <w:abstractNumId w:val="630"/>
  </w:num>
  <w:num w:numId="630">
    <w:abstractNumId w:val="629"/>
  </w:num>
  <w:num w:numId="629">
    <w:abstractNumId w:val="628"/>
  </w:num>
  <w:num w:numId="628">
    <w:abstractNumId w:val="627"/>
  </w:num>
  <w:num w:numId="627">
    <w:abstractNumId w:val="626"/>
  </w:num>
  <w:num w:numId="626">
    <w:abstractNumId w:val="625"/>
  </w:num>
  <w:num w:numId="625">
    <w:abstractNumId w:val="624"/>
  </w:num>
  <w:num w:numId="624">
    <w:abstractNumId w:val="623"/>
  </w:num>
  <w:num w:numId="623">
    <w:abstractNumId w:val="622"/>
  </w:num>
  <w:num w:numId="622">
    <w:abstractNumId w:val="621"/>
  </w:num>
  <w:num w:numId="621">
    <w:abstractNumId w:val="620"/>
  </w:num>
  <w:num w:numId="620">
    <w:abstractNumId w:val="619"/>
  </w:num>
  <w:num w:numId="619">
    <w:abstractNumId w:val="618"/>
  </w:num>
  <w:num w:numId="618">
    <w:abstractNumId w:val="617"/>
  </w:num>
  <w:num w:numId="617">
    <w:abstractNumId w:val="616"/>
  </w:num>
  <w:num w:numId="616">
    <w:abstractNumId w:val="615"/>
  </w:num>
  <w:num w:numId="615">
    <w:abstractNumId w:val="614"/>
  </w:num>
  <w:num w:numId="614">
    <w:abstractNumId w:val="613"/>
  </w:num>
  <w:num w:numId="613">
    <w:abstractNumId w:val="612"/>
  </w:num>
  <w:num w:numId="612">
    <w:abstractNumId w:val="611"/>
  </w:num>
  <w:num w:numId="611">
    <w:abstractNumId w:val="610"/>
  </w:num>
  <w:num w:numId="610">
    <w:abstractNumId w:val="609"/>
  </w:num>
  <w:num w:numId="609">
    <w:abstractNumId w:val="608"/>
  </w:num>
  <w:num w:numId="608">
    <w:abstractNumId w:val="607"/>
  </w:num>
  <w:num w:numId="607">
    <w:abstractNumId w:val="606"/>
  </w:num>
  <w:num w:numId="606">
    <w:abstractNumId w:val="605"/>
  </w:num>
  <w:num w:numId="605">
    <w:abstractNumId w:val="604"/>
  </w:num>
  <w:num w:numId="604">
    <w:abstractNumId w:val="603"/>
  </w:num>
  <w:num w:numId="603">
    <w:abstractNumId w:val="602"/>
  </w:num>
  <w:num w:numId="602">
    <w:abstractNumId w:val="601"/>
  </w:num>
  <w:num w:numId="601">
    <w:abstractNumId w:val="600"/>
  </w:num>
  <w:num w:numId="600">
    <w:abstractNumId w:val="599"/>
  </w:num>
  <w:num w:numId="599">
    <w:abstractNumId w:val="598"/>
  </w:num>
  <w:num w:numId="598">
    <w:abstractNumId w:val="597"/>
  </w:num>
  <w:num w:numId="597">
    <w:abstractNumId w:val="596"/>
  </w:num>
  <w:num w:numId="596">
    <w:abstractNumId w:val="595"/>
  </w:num>
  <w:num w:numId="595">
    <w:abstractNumId w:val="594"/>
  </w:num>
  <w:num w:numId="594">
    <w:abstractNumId w:val="593"/>
  </w:num>
  <w:num w:numId="593">
    <w:abstractNumId w:val="592"/>
  </w:num>
  <w:num w:numId="592">
    <w:abstractNumId w:val="591"/>
  </w:num>
  <w:num w:numId="591">
    <w:abstractNumId w:val="590"/>
  </w:num>
  <w:num w:numId="590">
    <w:abstractNumId w:val="589"/>
  </w:num>
  <w:num w:numId="589">
    <w:abstractNumId w:val="588"/>
  </w:num>
  <w:num w:numId="588">
    <w:abstractNumId w:val="587"/>
  </w:num>
  <w:num w:numId="587">
    <w:abstractNumId w:val="586"/>
  </w:num>
  <w:num w:numId="586">
    <w:abstractNumId w:val="585"/>
  </w:num>
  <w:num w:numId="585">
    <w:abstractNumId w:val="584"/>
  </w:num>
  <w:num w:numId="584">
    <w:abstractNumId w:val="583"/>
  </w:num>
  <w:num w:numId="583">
    <w:abstractNumId w:val="582"/>
  </w:num>
  <w:num w:numId="582">
    <w:abstractNumId w:val="581"/>
  </w:num>
  <w:num w:numId="581">
    <w:abstractNumId w:val="580"/>
  </w:num>
  <w:num w:numId="580">
    <w:abstractNumId w:val="579"/>
  </w:num>
  <w:num w:numId="579">
    <w:abstractNumId w:val="578"/>
  </w:num>
  <w:num w:numId="578">
    <w:abstractNumId w:val="577"/>
  </w:num>
  <w:num w:numId="577">
    <w:abstractNumId w:val="576"/>
  </w:num>
  <w:num w:numId="576">
    <w:abstractNumId w:val="575"/>
  </w:num>
  <w:num w:numId="575">
    <w:abstractNumId w:val="574"/>
  </w:num>
  <w:num w:numId="574">
    <w:abstractNumId w:val="573"/>
  </w:num>
  <w:num w:numId="573">
    <w:abstractNumId w:val="572"/>
  </w:num>
  <w:num w:numId="572">
    <w:abstractNumId w:val="571"/>
  </w:num>
  <w:num w:numId="571">
    <w:abstractNumId w:val="570"/>
  </w:num>
  <w:num w:numId="570">
    <w:abstractNumId w:val="569"/>
  </w:num>
  <w:num w:numId="569">
    <w:abstractNumId w:val="568"/>
  </w:num>
  <w:num w:numId="568">
    <w:abstractNumId w:val="567"/>
  </w:num>
  <w:num w:numId="567">
    <w:abstractNumId w:val="566"/>
  </w:num>
  <w:num w:numId="566">
    <w:abstractNumId w:val="565"/>
  </w:num>
  <w:num w:numId="565">
    <w:abstractNumId w:val="564"/>
  </w:num>
  <w:num w:numId="564">
    <w:abstractNumId w:val="563"/>
  </w:num>
  <w:num w:numId="563">
    <w:abstractNumId w:val="562"/>
  </w:num>
  <w:num w:numId="562">
    <w:abstractNumId w:val="561"/>
  </w:num>
  <w:num w:numId="561">
    <w:abstractNumId w:val="560"/>
  </w:num>
  <w:num w:numId="560">
    <w:abstractNumId w:val="559"/>
  </w:num>
  <w:num w:numId="559">
    <w:abstractNumId w:val="558"/>
  </w:num>
  <w:num w:numId="558">
    <w:abstractNumId w:val="557"/>
  </w:num>
  <w:num w:numId="557">
    <w:abstractNumId w:val="556"/>
  </w:num>
  <w:num w:numId="556">
    <w:abstractNumId w:val="555"/>
  </w:num>
  <w:num w:numId="555">
    <w:abstractNumId w:val="554"/>
  </w:num>
  <w:num w:numId="554">
    <w:abstractNumId w:val="553"/>
  </w:num>
  <w:num w:numId="553">
    <w:abstractNumId w:val="552"/>
  </w:num>
  <w:num w:numId="552">
    <w:abstractNumId w:val="551"/>
  </w:num>
  <w:num w:numId="551">
    <w:abstractNumId w:val="550"/>
  </w:num>
  <w:num w:numId="550">
    <w:abstractNumId w:val="549"/>
  </w:num>
  <w:num w:numId="549">
    <w:abstractNumId w:val="548"/>
  </w:num>
  <w:num w:numId="548">
    <w:abstractNumId w:val="547"/>
  </w:num>
  <w:num w:numId="547">
    <w:abstractNumId w:val="546"/>
  </w:num>
  <w:num w:numId="546">
    <w:abstractNumId w:val="545"/>
  </w:num>
  <w:num w:numId="545">
    <w:abstractNumId w:val="544"/>
  </w:num>
  <w:num w:numId="544">
    <w:abstractNumId w:val="543"/>
  </w:num>
  <w:num w:numId="543">
    <w:abstractNumId w:val="542"/>
  </w:num>
  <w:num w:numId="542">
    <w:abstractNumId w:val="541"/>
  </w:num>
  <w:num w:numId="541">
    <w:abstractNumId w:val="540"/>
  </w:num>
  <w:num w:numId="540">
    <w:abstractNumId w:val="539"/>
  </w:num>
  <w:num w:numId="539">
    <w:abstractNumId w:val="538"/>
  </w:num>
  <w:num w:numId="538">
    <w:abstractNumId w:val="537"/>
  </w:num>
  <w:num w:numId="537">
    <w:abstractNumId w:val="536"/>
  </w:num>
  <w:num w:numId="536">
    <w:abstractNumId w:val="535"/>
  </w:num>
  <w:num w:numId="535">
    <w:abstractNumId w:val="534"/>
  </w:num>
  <w:num w:numId="534">
    <w:abstractNumId w:val="533"/>
  </w:num>
  <w:num w:numId="533">
    <w:abstractNumId w:val="532"/>
  </w:num>
  <w:num w:numId="532">
    <w:abstractNumId w:val="531"/>
  </w:num>
  <w:num w:numId="531">
    <w:abstractNumId w:val="530"/>
  </w:num>
  <w:num w:numId="530">
    <w:abstractNumId w:val="529"/>
  </w:num>
  <w:num w:numId="529">
    <w:abstractNumId w:val="528"/>
  </w:num>
  <w:num w:numId="528">
    <w:abstractNumId w:val="527"/>
  </w:num>
  <w:num w:numId="527">
    <w:abstractNumId w:val="526"/>
  </w:num>
  <w:num w:numId="526">
    <w:abstractNumId w:val="525"/>
  </w:num>
  <w:num w:numId="525">
    <w:abstractNumId w:val="524"/>
  </w:num>
  <w:num w:numId="524">
    <w:abstractNumId w:val="523"/>
  </w:num>
  <w:num w:numId="523">
    <w:abstractNumId w:val="522"/>
  </w:num>
  <w:num w:numId="522">
    <w:abstractNumId w:val="521"/>
  </w:num>
  <w:num w:numId="521">
    <w:abstractNumId w:val="520"/>
  </w:num>
  <w:num w:numId="520">
    <w:abstractNumId w:val="519"/>
  </w:num>
  <w:num w:numId="519">
    <w:abstractNumId w:val="518"/>
  </w:num>
  <w:num w:numId="518">
    <w:abstractNumId w:val="517"/>
  </w:num>
  <w:num w:numId="517">
    <w:abstractNumId w:val="516"/>
  </w:num>
  <w:num w:numId="516">
    <w:abstractNumId w:val="515"/>
  </w:num>
  <w:num w:numId="515">
    <w:abstractNumId w:val="514"/>
  </w:num>
  <w:num w:numId="514">
    <w:abstractNumId w:val="513"/>
  </w:num>
  <w:num w:numId="513">
    <w:abstractNumId w:val="512"/>
  </w:num>
  <w:num w:numId="512">
    <w:abstractNumId w:val="511"/>
  </w:num>
  <w:num w:numId="511">
    <w:abstractNumId w:val="510"/>
  </w:num>
  <w:num w:numId="510">
    <w:abstractNumId w:val="509"/>
  </w:num>
  <w:num w:numId="509">
    <w:abstractNumId w:val="508"/>
  </w:num>
  <w:num w:numId="508">
    <w:abstractNumId w:val="507"/>
  </w:num>
  <w:num w:numId="507">
    <w:abstractNumId w:val="506"/>
  </w:num>
  <w:num w:numId="506">
    <w:abstractNumId w:val="505"/>
  </w:num>
  <w:num w:numId="505">
    <w:abstractNumId w:val="504"/>
  </w:num>
  <w:num w:numId="504">
    <w:abstractNumId w:val="503"/>
  </w:num>
  <w:num w:numId="503">
    <w:abstractNumId w:val="502"/>
  </w:num>
  <w:num w:numId="502">
    <w:abstractNumId w:val="501"/>
  </w:num>
  <w:num w:numId="501">
    <w:abstractNumId w:val="500"/>
  </w:num>
  <w:num w:numId="500">
    <w:abstractNumId w:val="499"/>
  </w:num>
  <w:num w:numId="499">
    <w:abstractNumId w:val="498"/>
  </w:num>
  <w:num w:numId="498">
    <w:abstractNumId w:val="497"/>
  </w:num>
  <w:num w:numId="497">
    <w:abstractNumId w:val="496"/>
  </w:num>
  <w:num w:numId="496">
    <w:abstractNumId w:val="495"/>
  </w:num>
  <w:num w:numId="495">
    <w:abstractNumId w:val="494"/>
  </w:num>
  <w:num w:numId="494">
    <w:abstractNumId w:val="493"/>
  </w:num>
  <w:num w:numId="493">
    <w:abstractNumId w:val="492"/>
  </w:num>
  <w:num w:numId="492">
    <w:abstractNumId w:val="491"/>
  </w:num>
  <w:num w:numId="491">
    <w:abstractNumId w:val="490"/>
  </w:num>
  <w:num w:numId="490">
    <w:abstractNumId w:val="489"/>
  </w:num>
  <w:num w:numId="489">
    <w:abstractNumId w:val="488"/>
  </w:num>
  <w:num w:numId="488">
    <w:abstractNumId w:val="487"/>
  </w:num>
  <w:num w:numId="487">
    <w:abstractNumId w:val="486"/>
  </w:num>
  <w:num w:numId="486">
    <w:abstractNumId w:val="485"/>
  </w:num>
  <w:num w:numId="485">
    <w:abstractNumId w:val="484"/>
  </w:num>
  <w:num w:numId="484">
    <w:abstractNumId w:val="483"/>
  </w:num>
  <w:num w:numId="483">
    <w:abstractNumId w:val="482"/>
  </w:num>
  <w:num w:numId="482">
    <w:abstractNumId w:val="481"/>
  </w:num>
  <w:num w:numId="481">
    <w:abstractNumId w:val="480"/>
  </w:num>
  <w:num w:numId="480">
    <w:abstractNumId w:val="479"/>
  </w:num>
  <w:num w:numId="479">
    <w:abstractNumId w:val="478"/>
  </w:num>
  <w:num w:numId="478">
    <w:abstractNumId w:val="477"/>
  </w:num>
  <w:num w:numId="477">
    <w:abstractNumId w:val="476"/>
  </w:num>
  <w:num w:numId="476">
    <w:abstractNumId w:val="475"/>
  </w:num>
  <w:num w:numId="475">
    <w:abstractNumId w:val="474"/>
  </w:num>
  <w:num w:numId="474">
    <w:abstractNumId w:val="473"/>
  </w:num>
  <w:num w:numId="473">
    <w:abstractNumId w:val="472"/>
  </w:num>
  <w:num w:numId="472">
    <w:abstractNumId w:val="471"/>
  </w:num>
  <w:num w:numId="471">
    <w:abstractNumId w:val="470"/>
  </w:num>
  <w:num w:numId="470">
    <w:abstractNumId w:val="469"/>
  </w:num>
  <w:num w:numId="469">
    <w:abstractNumId w:val="468"/>
  </w:num>
  <w:num w:numId="468">
    <w:abstractNumId w:val="467"/>
  </w:num>
  <w:num w:numId="467">
    <w:abstractNumId w:val="466"/>
  </w:num>
  <w:num w:numId="466">
    <w:abstractNumId w:val="465"/>
  </w:num>
  <w:num w:numId="465">
    <w:abstractNumId w:val="464"/>
  </w:num>
  <w:num w:numId="464">
    <w:abstractNumId w:val="463"/>
  </w:num>
  <w:num w:numId="463">
    <w:abstractNumId w:val="462"/>
  </w:num>
  <w:num w:numId="462">
    <w:abstractNumId w:val="461"/>
  </w:num>
  <w:num w:numId="461">
    <w:abstractNumId w:val="460"/>
  </w:num>
  <w:num w:numId="460">
    <w:abstractNumId w:val="459"/>
  </w:num>
  <w:num w:numId="459">
    <w:abstractNumId w:val="458"/>
  </w:num>
  <w:num w:numId="458">
    <w:abstractNumId w:val="457"/>
  </w:num>
  <w:num w:numId="457">
    <w:abstractNumId w:val="456"/>
  </w:num>
  <w:num w:numId="456">
    <w:abstractNumId w:val="455"/>
  </w:num>
  <w:num w:numId="455">
    <w:abstractNumId w:val="454"/>
  </w:num>
  <w:num w:numId="454">
    <w:abstractNumId w:val="453"/>
  </w:num>
  <w:num w:numId="453">
    <w:abstractNumId w:val="452"/>
  </w:num>
  <w:num w:numId="452">
    <w:abstractNumId w:val="451"/>
  </w:num>
  <w:num w:numId="451">
    <w:abstractNumId w:val="450"/>
  </w:num>
  <w:num w:numId="450">
    <w:abstractNumId w:val="449"/>
  </w:num>
  <w:num w:numId="449">
    <w:abstractNumId w:val="448"/>
  </w:num>
  <w:num w:numId="448">
    <w:abstractNumId w:val="447"/>
  </w:num>
  <w:num w:numId="447">
    <w:abstractNumId w:val="446"/>
  </w:num>
  <w:num w:numId="446">
    <w:abstractNumId w:val="445"/>
  </w:num>
  <w:num w:numId="445">
    <w:abstractNumId w:val="444"/>
  </w:num>
  <w:num w:numId="444">
    <w:abstractNumId w:val="443"/>
  </w:num>
  <w:num w:numId="443">
    <w:abstractNumId w:val="442"/>
  </w:num>
  <w:num w:numId="442">
    <w:abstractNumId w:val="441"/>
  </w:num>
  <w:num w:numId="441">
    <w:abstractNumId w:val="440"/>
  </w:num>
  <w:num w:numId="440">
    <w:abstractNumId w:val="439"/>
  </w:num>
  <w:num w:numId="439">
    <w:abstractNumId w:val="438"/>
  </w:num>
  <w:num w:numId="438">
    <w:abstractNumId w:val="437"/>
  </w:num>
  <w:num w:numId="437">
    <w:abstractNumId w:val="436"/>
  </w:num>
  <w:num w:numId="436">
    <w:abstractNumId w:val="435"/>
  </w:num>
  <w:num w:numId="435">
    <w:abstractNumId w:val="434"/>
  </w:num>
  <w:num w:numId="434">
    <w:abstractNumId w:val="433"/>
  </w:num>
  <w:num w:numId="433">
    <w:abstractNumId w:val="432"/>
  </w:num>
  <w:num w:numId="432">
    <w:abstractNumId w:val="431"/>
  </w:num>
  <w:num w:numId="431">
    <w:abstractNumId w:val="430"/>
  </w:num>
  <w:num w:numId="430">
    <w:abstractNumId w:val="429"/>
  </w:num>
  <w:num w:numId="429">
    <w:abstractNumId w:val="428"/>
  </w:num>
  <w:num w:numId="428">
    <w:abstractNumId w:val="427"/>
  </w:num>
  <w:num w:numId="427">
    <w:abstractNumId w:val="426"/>
  </w:num>
  <w:num w:numId="426">
    <w:abstractNumId w:val="425"/>
  </w:num>
  <w:num w:numId="425">
    <w:abstractNumId w:val="424"/>
  </w:num>
  <w:num w:numId="424">
    <w:abstractNumId w:val="423"/>
  </w:num>
  <w:num w:numId="423">
    <w:abstractNumId w:val="422"/>
  </w:num>
  <w:num w:numId="422">
    <w:abstractNumId w:val="421"/>
  </w:num>
  <w:num w:numId="421">
    <w:abstractNumId w:val="420"/>
  </w:num>
  <w:num w:numId="420">
    <w:abstractNumId w:val="419"/>
  </w:num>
  <w:num w:numId="419">
    <w:abstractNumId w:val="418"/>
  </w:num>
  <w:num w:numId="418">
    <w:abstractNumId w:val="417"/>
  </w:num>
  <w:num w:numId="417">
    <w:abstractNumId w:val="416"/>
  </w:num>
  <w:num w:numId="416">
    <w:abstractNumId w:val="415"/>
  </w:num>
  <w:num w:numId="415">
    <w:abstractNumId w:val="414"/>
  </w:num>
  <w:num w:numId="414">
    <w:abstractNumId w:val="413"/>
  </w:num>
  <w:num w:numId="413">
    <w:abstractNumId w:val="412"/>
  </w:num>
  <w:num w:numId="412">
    <w:abstractNumId w:val="411"/>
  </w:num>
  <w:num w:numId="411">
    <w:abstractNumId w:val="410"/>
  </w:num>
  <w:num w:numId="410">
    <w:abstractNumId w:val="409"/>
  </w:num>
  <w:num w:numId="409">
    <w:abstractNumId w:val="408"/>
  </w:num>
  <w:num w:numId="408">
    <w:abstractNumId w:val="407"/>
  </w:num>
  <w:num w:numId="407">
    <w:abstractNumId w:val="406"/>
  </w:num>
  <w:num w:numId="406">
    <w:abstractNumId w:val="405"/>
  </w:num>
  <w:num w:numId="405">
    <w:abstractNumId w:val="404"/>
  </w:num>
  <w:num w:numId="404">
    <w:abstractNumId w:val="403"/>
  </w:num>
  <w:num w:numId="403">
    <w:abstractNumId w:val="402"/>
  </w:num>
  <w:num w:numId="402">
    <w:abstractNumId w:val="401"/>
  </w:num>
  <w:num w:numId="401">
    <w:abstractNumId w:val="400"/>
  </w:num>
  <w:num w:numId="400">
    <w:abstractNumId w:val="399"/>
  </w:num>
  <w:num w:numId="399">
    <w:abstractNumId w:val="398"/>
  </w:num>
  <w:num w:numId="398">
    <w:abstractNumId w:val="397"/>
  </w:num>
  <w:num w:numId="397">
    <w:abstractNumId w:val="396"/>
  </w:num>
  <w:num w:numId="396">
    <w:abstractNumId w:val="395"/>
  </w:num>
  <w:num w:numId="395">
    <w:abstractNumId w:val="394"/>
  </w:num>
  <w:num w:numId="394">
    <w:abstractNumId w:val="393"/>
  </w:num>
  <w:num w:numId="393">
    <w:abstractNumId w:val="392"/>
  </w:num>
  <w:num w:numId="392">
    <w:abstractNumId w:val="391"/>
  </w:num>
  <w:num w:numId="391">
    <w:abstractNumId w:val="390"/>
  </w:num>
  <w:num w:numId="390">
    <w:abstractNumId w:val="389"/>
  </w:num>
  <w:num w:numId="389">
    <w:abstractNumId w:val="388"/>
  </w:num>
  <w:num w:numId="388">
    <w:abstractNumId w:val="387"/>
  </w:num>
  <w:num w:numId="387">
    <w:abstractNumId w:val="386"/>
  </w:num>
  <w:num w:numId="386">
    <w:abstractNumId w:val="385"/>
  </w:num>
  <w:num w:numId="385">
    <w:abstractNumId w:val="384"/>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BodyText" w:type="paragraph">
    <w:name w:val="Body Text"/>
    <w:basedOn w:val="Normal"/>
    <w:uiPriority w:val="1"/>
    <w:qFormat/>
    <w:pPr/>
    <w:rPr>
      <w:rFonts w:ascii="宋体" w:hAnsi="宋体" w:eastAsia="宋体" w:cs="宋体"/>
      <w:sz w:val="21"/>
      <w:szCs w:val="21"/>
      <w:lang w:val="zh-CN" w:eastAsia="zh-CN" w:bidi="zh-CN"/>
    </w:rPr>
  </w:style>
  <w:style w:styleId="Heading1" w:type="paragraph">
    <w:name w:val="Heading 1"/>
    <w:basedOn w:val="Normal"/>
    <w:uiPriority w:val="1"/>
    <w:qFormat/>
    <w:pPr>
      <w:ind w:left="418"/>
      <w:outlineLvl w:val="1"/>
    </w:pPr>
    <w:rPr>
      <w:rFonts w:ascii="宋体" w:hAnsi="宋体" w:eastAsia="宋体" w:cs="宋体"/>
      <w:b/>
      <w:bCs/>
      <w:sz w:val="36"/>
      <w:szCs w:val="36"/>
      <w:lang w:val="zh-CN" w:eastAsia="zh-CN" w:bidi="zh-CN"/>
    </w:rPr>
  </w:style>
  <w:style w:styleId="Heading2" w:type="paragraph">
    <w:name w:val="Heading 2"/>
    <w:basedOn w:val="Normal"/>
    <w:uiPriority w:val="1"/>
    <w:qFormat/>
    <w:pPr>
      <w:spacing w:before="37"/>
      <w:jc w:val="center"/>
      <w:outlineLvl w:val="2"/>
    </w:pPr>
    <w:rPr>
      <w:rFonts w:ascii="宋体" w:hAnsi="宋体" w:eastAsia="宋体" w:cs="宋体"/>
      <w:b/>
      <w:bCs/>
      <w:sz w:val="30"/>
      <w:szCs w:val="30"/>
      <w:lang w:val="zh-CN" w:eastAsia="zh-CN" w:bidi="zh-CN"/>
    </w:rPr>
  </w:style>
  <w:style w:styleId="Heading3" w:type="paragraph">
    <w:name w:val="Heading 3"/>
    <w:basedOn w:val="Normal"/>
    <w:uiPriority w:val="1"/>
    <w:qFormat/>
    <w:pPr>
      <w:spacing w:before="37"/>
      <w:ind w:left="418"/>
      <w:outlineLvl w:val="3"/>
    </w:pPr>
    <w:rPr>
      <w:rFonts w:ascii="宋体" w:hAnsi="宋体" w:eastAsia="宋体" w:cs="宋体"/>
      <w:b/>
      <w:bCs/>
      <w:sz w:val="28"/>
      <w:szCs w:val="28"/>
      <w:lang w:val="zh-CN" w:eastAsia="zh-CN" w:bidi="zh-CN"/>
    </w:rPr>
  </w:style>
  <w:style w:styleId="Heading4" w:type="paragraph">
    <w:name w:val="Heading 4"/>
    <w:basedOn w:val="Normal"/>
    <w:uiPriority w:val="1"/>
    <w:qFormat/>
    <w:pPr>
      <w:ind w:left="418"/>
      <w:outlineLvl w:val="4"/>
    </w:pPr>
    <w:rPr>
      <w:rFonts w:ascii="宋体" w:hAnsi="宋体" w:eastAsia="宋体" w:cs="宋体"/>
      <w:b/>
      <w:bCs/>
      <w:sz w:val="24"/>
      <w:szCs w:val="24"/>
      <w:lang w:val="zh-CN" w:eastAsia="zh-CN" w:bidi="zh-CN"/>
    </w:rPr>
  </w:style>
  <w:style w:styleId="Heading5" w:type="paragraph">
    <w:name w:val="Heading 5"/>
    <w:basedOn w:val="Normal"/>
    <w:uiPriority w:val="1"/>
    <w:qFormat/>
    <w:pPr>
      <w:spacing w:before="180"/>
      <w:ind w:left="418"/>
      <w:outlineLvl w:val="5"/>
    </w:pPr>
    <w:rPr>
      <w:rFonts w:ascii="宋体" w:hAnsi="宋体" w:eastAsia="宋体" w:cs="宋体"/>
      <w:sz w:val="24"/>
      <w:szCs w:val="24"/>
      <w:lang w:val="zh-CN" w:eastAsia="zh-CN" w:bidi="zh-CN"/>
    </w:rPr>
  </w:style>
  <w:style w:styleId="Heading6" w:type="paragraph">
    <w:name w:val="Heading 6"/>
    <w:basedOn w:val="Normal"/>
    <w:uiPriority w:val="1"/>
    <w:qFormat/>
    <w:pPr>
      <w:outlineLvl w:val="6"/>
    </w:pPr>
    <w:rPr>
      <w:rFonts w:ascii="宋体" w:hAnsi="宋体" w:eastAsia="宋体" w:cs="宋体"/>
      <w:b/>
      <w:bCs/>
      <w:sz w:val="21"/>
      <w:szCs w:val="21"/>
      <w:lang w:val="zh-CN" w:eastAsia="zh-CN" w:bidi="zh-CN"/>
    </w:rPr>
  </w:style>
  <w:style w:styleId="ListParagraph" w:type="paragraph">
    <w:name w:val="List Paragraph"/>
    <w:basedOn w:val="Normal"/>
    <w:uiPriority w:val="1"/>
    <w:qFormat/>
    <w:pPr>
      <w:ind w:left="418" w:firstLine="422"/>
    </w:pPr>
    <w:rPr>
      <w:rFonts w:ascii="宋体" w:hAnsi="宋体" w:eastAsia="宋体" w:cs="宋体"/>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footer" Target="footer2.xml"/><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jpeg"/><Relationship Id="rId36" Type="http://schemas.openxmlformats.org/officeDocument/2006/relationships/image" Target="media/image30.jpe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image" Target="media/image33.jpeg"/><Relationship Id="rId40" Type="http://schemas.openxmlformats.org/officeDocument/2006/relationships/image" Target="media/image34.jpeg"/><Relationship Id="rId41" Type="http://schemas.openxmlformats.org/officeDocument/2006/relationships/image" Target="media/image35.jpeg"/><Relationship Id="rId42" Type="http://schemas.openxmlformats.org/officeDocument/2006/relationships/image" Target="media/image36.jpeg"/><Relationship Id="rId43" Type="http://schemas.openxmlformats.org/officeDocument/2006/relationships/image" Target="media/image37.jpeg"/><Relationship Id="rId44" Type="http://schemas.openxmlformats.org/officeDocument/2006/relationships/image" Target="media/image38.jpeg"/><Relationship Id="rId45" Type="http://schemas.openxmlformats.org/officeDocument/2006/relationships/image" Target="media/image39.png"/><Relationship Id="rId46" Type="http://schemas.openxmlformats.org/officeDocument/2006/relationships/image" Target="media/image40.jpe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jpeg"/><Relationship Id="rId54" Type="http://schemas.openxmlformats.org/officeDocument/2006/relationships/image" Target="media/image48.jpeg"/><Relationship Id="rId55" Type="http://schemas.openxmlformats.org/officeDocument/2006/relationships/image" Target="media/image49.jpeg"/><Relationship Id="rId56" Type="http://schemas.openxmlformats.org/officeDocument/2006/relationships/image" Target="media/image50.png"/><Relationship Id="rId57" Type="http://schemas.openxmlformats.org/officeDocument/2006/relationships/image" Target="media/image51.jpeg"/><Relationship Id="rId58" Type="http://schemas.openxmlformats.org/officeDocument/2006/relationships/image" Target="media/image52.jpeg"/><Relationship Id="rId59" Type="http://schemas.openxmlformats.org/officeDocument/2006/relationships/image" Target="media/image53.jpeg"/><Relationship Id="rId60" Type="http://schemas.openxmlformats.org/officeDocument/2006/relationships/image" Target="media/image54.jpeg"/><Relationship Id="rId61" Type="http://schemas.openxmlformats.org/officeDocument/2006/relationships/image" Target="media/image55.jpeg"/><Relationship Id="rId62" Type="http://schemas.openxmlformats.org/officeDocument/2006/relationships/image" Target="media/image56.jpeg"/><Relationship Id="rId63" Type="http://schemas.openxmlformats.org/officeDocument/2006/relationships/image" Target="media/image57.jpeg"/><Relationship Id="rId64" Type="http://schemas.openxmlformats.org/officeDocument/2006/relationships/image" Target="media/image58.jpeg"/><Relationship Id="rId65" Type="http://schemas.openxmlformats.org/officeDocument/2006/relationships/image" Target="media/image59.jpeg"/><Relationship Id="rId66" Type="http://schemas.openxmlformats.org/officeDocument/2006/relationships/image" Target="media/image60.jpeg"/><Relationship Id="rId67" Type="http://schemas.openxmlformats.org/officeDocument/2006/relationships/image" Target="media/image61.jpeg"/><Relationship Id="rId68" Type="http://schemas.openxmlformats.org/officeDocument/2006/relationships/image" Target="media/image62.jpeg"/><Relationship Id="rId69" Type="http://schemas.openxmlformats.org/officeDocument/2006/relationships/image" Target="media/image63.jpeg"/><Relationship Id="rId70" Type="http://schemas.openxmlformats.org/officeDocument/2006/relationships/image" Target="media/image64.jpeg"/><Relationship Id="rId71" Type="http://schemas.openxmlformats.org/officeDocument/2006/relationships/image" Target="media/image65.jpeg"/><Relationship Id="rId72" Type="http://schemas.openxmlformats.org/officeDocument/2006/relationships/image" Target="media/image66.jpeg"/><Relationship Id="rId73" Type="http://schemas.openxmlformats.org/officeDocument/2006/relationships/image" Target="media/image67.jpeg"/><Relationship Id="rId74" Type="http://schemas.openxmlformats.org/officeDocument/2006/relationships/footer" Target="footer3.xml"/><Relationship Id="rId75" Type="http://schemas.openxmlformats.org/officeDocument/2006/relationships/image" Target="media/image68.jpeg"/><Relationship Id="rId76" Type="http://schemas.openxmlformats.org/officeDocument/2006/relationships/image" Target="media/image69.jpeg"/><Relationship Id="rId77" Type="http://schemas.openxmlformats.org/officeDocument/2006/relationships/footer" Target="footer4.xml"/><Relationship Id="rId78" Type="http://schemas.openxmlformats.org/officeDocument/2006/relationships/image" Target="media/image70.jpeg"/><Relationship Id="rId79" Type="http://schemas.openxmlformats.org/officeDocument/2006/relationships/image" Target="media/image71.jpeg"/><Relationship Id="rId80" Type="http://schemas.openxmlformats.org/officeDocument/2006/relationships/image" Target="media/image72.jpeg"/><Relationship Id="rId81" Type="http://schemas.openxmlformats.org/officeDocument/2006/relationships/image" Target="media/image73.jpeg"/><Relationship Id="rId82" Type="http://schemas.openxmlformats.org/officeDocument/2006/relationships/image" Target="media/image74.jpeg"/><Relationship Id="rId83" Type="http://schemas.openxmlformats.org/officeDocument/2006/relationships/image" Target="media/image75.jpeg"/><Relationship Id="rId84" Type="http://schemas.openxmlformats.org/officeDocument/2006/relationships/image" Target="media/image76.jpeg"/><Relationship Id="rId85" Type="http://schemas.openxmlformats.org/officeDocument/2006/relationships/image" Target="media/image77.jpeg"/><Relationship Id="rId86" Type="http://schemas.openxmlformats.org/officeDocument/2006/relationships/image" Target="media/image78.jpeg"/><Relationship Id="rId87" Type="http://schemas.openxmlformats.org/officeDocument/2006/relationships/image" Target="media/image79.jpeg"/><Relationship Id="rId88" Type="http://schemas.openxmlformats.org/officeDocument/2006/relationships/image" Target="media/image80.jpeg"/><Relationship Id="rId89" Type="http://schemas.openxmlformats.org/officeDocument/2006/relationships/image" Target="media/image81.jpeg"/><Relationship Id="rId90" Type="http://schemas.openxmlformats.org/officeDocument/2006/relationships/image" Target="media/image82.jpeg"/><Relationship Id="rId91" Type="http://schemas.openxmlformats.org/officeDocument/2006/relationships/image" Target="media/image83.jpeg"/><Relationship Id="rId92" Type="http://schemas.openxmlformats.org/officeDocument/2006/relationships/image" Target="media/image84.jpeg"/><Relationship Id="rId93" Type="http://schemas.openxmlformats.org/officeDocument/2006/relationships/image" Target="media/image85.jpeg"/><Relationship Id="rId94" Type="http://schemas.openxmlformats.org/officeDocument/2006/relationships/image" Target="media/image86.jpeg"/><Relationship Id="rId95" Type="http://schemas.openxmlformats.org/officeDocument/2006/relationships/image" Target="media/image87.jpeg"/><Relationship Id="rId96" Type="http://schemas.openxmlformats.org/officeDocument/2006/relationships/image" Target="media/image88.jpeg"/><Relationship Id="rId97" Type="http://schemas.openxmlformats.org/officeDocument/2006/relationships/image" Target="media/image89.jpeg"/><Relationship Id="rId98" Type="http://schemas.openxmlformats.org/officeDocument/2006/relationships/image" Target="media/image90.jpeg"/><Relationship Id="rId99" Type="http://schemas.openxmlformats.org/officeDocument/2006/relationships/image" Target="media/image91.jpeg"/><Relationship Id="rId100" Type="http://schemas.openxmlformats.org/officeDocument/2006/relationships/image" Target="media/image92.jpeg"/><Relationship Id="rId101" Type="http://schemas.openxmlformats.org/officeDocument/2006/relationships/image" Target="media/image93.jpeg"/><Relationship Id="rId102" Type="http://schemas.openxmlformats.org/officeDocument/2006/relationships/image" Target="media/image94.jpeg"/><Relationship Id="rId103" Type="http://schemas.openxmlformats.org/officeDocument/2006/relationships/image" Target="media/image95.jpeg"/><Relationship Id="rId104" Type="http://schemas.openxmlformats.org/officeDocument/2006/relationships/image" Target="media/image96.jpeg"/><Relationship Id="rId105" Type="http://schemas.openxmlformats.org/officeDocument/2006/relationships/image" Target="media/image97.jpeg"/><Relationship Id="rId106" Type="http://schemas.openxmlformats.org/officeDocument/2006/relationships/image" Target="media/image98.jpeg"/><Relationship Id="rId107" Type="http://schemas.openxmlformats.org/officeDocument/2006/relationships/image" Target="media/image99.jpeg"/><Relationship Id="rId108" Type="http://schemas.openxmlformats.org/officeDocument/2006/relationships/image" Target="media/image100.jpeg"/><Relationship Id="rId109" Type="http://schemas.openxmlformats.org/officeDocument/2006/relationships/image" Target="media/image101.png"/><Relationship Id="rId110" Type="http://schemas.openxmlformats.org/officeDocument/2006/relationships/image" Target="media/image102.jpeg"/><Relationship Id="rId111" Type="http://schemas.openxmlformats.org/officeDocument/2006/relationships/image" Target="media/image103.jpeg"/><Relationship Id="rId112" Type="http://schemas.openxmlformats.org/officeDocument/2006/relationships/image" Target="media/image104.jpeg"/><Relationship Id="rId113" Type="http://schemas.openxmlformats.org/officeDocument/2006/relationships/image" Target="media/image105.jpeg"/><Relationship Id="rId114" Type="http://schemas.openxmlformats.org/officeDocument/2006/relationships/image" Target="media/image106.jpeg"/><Relationship Id="rId115" Type="http://schemas.openxmlformats.org/officeDocument/2006/relationships/image" Target="media/image107.jpeg"/><Relationship Id="rId116" Type="http://schemas.openxmlformats.org/officeDocument/2006/relationships/image" Target="media/image108.jpeg"/><Relationship Id="rId117" Type="http://schemas.openxmlformats.org/officeDocument/2006/relationships/image" Target="media/image109.jpeg"/><Relationship Id="rId118" Type="http://schemas.openxmlformats.org/officeDocument/2006/relationships/image" Target="media/image110.jpeg"/><Relationship Id="rId119" Type="http://schemas.openxmlformats.org/officeDocument/2006/relationships/image" Target="media/image111.jpeg"/><Relationship Id="rId120" Type="http://schemas.openxmlformats.org/officeDocument/2006/relationships/image" Target="media/image112.jpeg"/><Relationship Id="rId121" Type="http://schemas.openxmlformats.org/officeDocument/2006/relationships/image" Target="media/image113.jpeg"/><Relationship Id="rId122" Type="http://schemas.openxmlformats.org/officeDocument/2006/relationships/image" Target="media/image114.jpeg"/><Relationship Id="rId123" Type="http://schemas.openxmlformats.org/officeDocument/2006/relationships/image" Target="media/image115.jpeg"/><Relationship Id="rId124" Type="http://schemas.openxmlformats.org/officeDocument/2006/relationships/image" Target="media/image116.jpeg"/><Relationship Id="rId125" Type="http://schemas.openxmlformats.org/officeDocument/2006/relationships/image" Target="media/image117.jpeg"/><Relationship Id="rId126" Type="http://schemas.openxmlformats.org/officeDocument/2006/relationships/image" Target="media/image118.jpeg"/><Relationship Id="rId127" Type="http://schemas.openxmlformats.org/officeDocument/2006/relationships/image" Target="media/image119.jpeg"/><Relationship Id="rId128" Type="http://schemas.openxmlformats.org/officeDocument/2006/relationships/image" Target="media/image120.jpeg"/><Relationship Id="rId129" Type="http://schemas.openxmlformats.org/officeDocument/2006/relationships/image" Target="media/image121.jpeg"/><Relationship Id="rId130" Type="http://schemas.openxmlformats.org/officeDocument/2006/relationships/image" Target="media/image122.jpeg"/><Relationship Id="rId131" Type="http://schemas.openxmlformats.org/officeDocument/2006/relationships/image" Target="media/image123.jpeg"/><Relationship Id="rId132" Type="http://schemas.openxmlformats.org/officeDocument/2006/relationships/image" Target="media/image124.jpeg"/><Relationship Id="rId133" Type="http://schemas.openxmlformats.org/officeDocument/2006/relationships/image" Target="media/image125.jpeg"/><Relationship Id="rId134" Type="http://schemas.openxmlformats.org/officeDocument/2006/relationships/image" Target="media/image126.jpeg"/><Relationship Id="rId135" Type="http://schemas.openxmlformats.org/officeDocument/2006/relationships/image" Target="media/image127.jpeg"/><Relationship Id="rId136" Type="http://schemas.openxmlformats.org/officeDocument/2006/relationships/image" Target="media/image128.jpeg"/><Relationship Id="rId137" Type="http://schemas.openxmlformats.org/officeDocument/2006/relationships/image" Target="media/image129.jpeg"/><Relationship Id="rId138" Type="http://schemas.openxmlformats.org/officeDocument/2006/relationships/footer" Target="footer5.xml"/><Relationship Id="rId139" Type="http://schemas.openxmlformats.org/officeDocument/2006/relationships/image" Target="media/image130.jpeg"/><Relationship Id="rId140" Type="http://schemas.openxmlformats.org/officeDocument/2006/relationships/image" Target="media/image131.jpeg"/><Relationship Id="rId141" Type="http://schemas.openxmlformats.org/officeDocument/2006/relationships/image" Target="media/image132.jpeg"/><Relationship Id="rId142" Type="http://schemas.openxmlformats.org/officeDocument/2006/relationships/image" Target="media/image133.jpeg"/><Relationship Id="rId143" Type="http://schemas.openxmlformats.org/officeDocument/2006/relationships/footer" Target="footer6.xml"/><Relationship Id="rId144" Type="http://schemas.openxmlformats.org/officeDocument/2006/relationships/image" Target="media/image134.jpeg"/><Relationship Id="rId145" Type="http://schemas.openxmlformats.org/officeDocument/2006/relationships/image" Target="media/image135.jpeg"/><Relationship Id="rId146" Type="http://schemas.openxmlformats.org/officeDocument/2006/relationships/image" Target="media/image136.jpeg"/><Relationship Id="rId147" Type="http://schemas.openxmlformats.org/officeDocument/2006/relationships/image" Target="media/image137.jpeg"/><Relationship Id="rId148" Type="http://schemas.openxmlformats.org/officeDocument/2006/relationships/image" Target="media/image138.jpeg"/><Relationship Id="rId149" Type="http://schemas.openxmlformats.org/officeDocument/2006/relationships/image" Target="media/image139.jpeg"/><Relationship Id="rId150" Type="http://schemas.openxmlformats.org/officeDocument/2006/relationships/image" Target="media/image140.jpeg"/><Relationship Id="rId151" Type="http://schemas.openxmlformats.org/officeDocument/2006/relationships/image" Target="media/image141.jpeg"/><Relationship Id="rId152" Type="http://schemas.openxmlformats.org/officeDocument/2006/relationships/footer" Target="footer7.xml"/><Relationship Id="rId153" Type="http://schemas.openxmlformats.org/officeDocument/2006/relationships/image" Target="media/image142.jpeg"/><Relationship Id="rId154" Type="http://schemas.openxmlformats.org/officeDocument/2006/relationships/footer" Target="footer8.xml"/><Relationship Id="rId155" Type="http://schemas.openxmlformats.org/officeDocument/2006/relationships/image" Target="media/image143.jpeg"/><Relationship Id="rId156" Type="http://schemas.openxmlformats.org/officeDocument/2006/relationships/footer" Target="footer9.xml"/><Relationship Id="rId157" Type="http://schemas.openxmlformats.org/officeDocument/2006/relationships/footer" Target="footer10.xml"/><Relationship Id="rId158" Type="http://schemas.openxmlformats.org/officeDocument/2006/relationships/image" Target="media/image144.jpeg"/><Relationship Id="rId159" Type="http://schemas.openxmlformats.org/officeDocument/2006/relationships/image" Target="media/image145.jpeg"/><Relationship Id="rId160" Type="http://schemas.openxmlformats.org/officeDocument/2006/relationships/image" Target="media/image146.jpeg"/><Relationship Id="rId161" Type="http://schemas.openxmlformats.org/officeDocument/2006/relationships/image" Target="media/image147.jpeg"/><Relationship Id="rId162" Type="http://schemas.openxmlformats.org/officeDocument/2006/relationships/image" Target="media/image148.jpeg"/><Relationship Id="rId163" Type="http://schemas.openxmlformats.org/officeDocument/2006/relationships/image" Target="media/image149.jpeg"/><Relationship Id="rId164" Type="http://schemas.openxmlformats.org/officeDocument/2006/relationships/image" Target="media/image150.jpeg"/><Relationship Id="rId165" Type="http://schemas.openxmlformats.org/officeDocument/2006/relationships/image" Target="media/image151.jpeg"/><Relationship Id="rId166" Type="http://schemas.openxmlformats.org/officeDocument/2006/relationships/image" Target="media/image152.jpeg"/><Relationship Id="rId167" Type="http://schemas.openxmlformats.org/officeDocument/2006/relationships/footer" Target="footer11.xml"/><Relationship Id="rId168" Type="http://schemas.openxmlformats.org/officeDocument/2006/relationships/image" Target="media/image153.jpeg"/><Relationship Id="rId169" Type="http://schemas.openxmlformats.org/officeDocument/2006/relationships/image" Target="media/image154.jpeg"/><Relationship Id="rId170" Type="http://schemas.openxmlformats.org/officeDocument/2006/relationships/image" Target="media/image155.jpeg"/><Relationship Id="rId171" Type="http://schemas.openxmlformats.org/officeDocument/2006/relationships/image" Target="media/image156.jpeg"/><Relationship Id="rId172" Type="http://schemas.openxmlformats.org/officeDocument/2006/relationships/footer" Target="footer12.xml"/><Relationship Id="rId173" Type="http://schemas.openxmlformats.org/officeDocument/2006/relationships/image" Target="media/image157.jpeg"/><Relationship Id="rId174" Type="http://schemas.openxmlformats.org/officeDocument/2006/relationships/image" Target="media/image158.jpeg"/><Relationship Id="rId175" Type="http://schemas.openxmlformats.org/officeDocument/2006/relationships/image" Target="media/image159.jpeg"/><Relationship Id="rId176" Type="http://schemas.openxmlformats.org/officeDocument/2006/relationships/image" Target="media/image160.jpeg"/><Relationship Id="rId177" Type="http://schemas.openxmlformats.org/officeDocument/2006/relationships/image" Target="media/image161.jpeg"/><Relationship Id="rId178" Type="http://schemas.openxmlformats.org/officeDocument/2006/relationships/footer" Target="footer13.xml"/><Relationship Id="rId179" Type="http://schemas.openxmlformats.org/officeDocument/2006/relationships/image" Target="media/image162.jpeg"/><Relationship Id="rId180" Type="http://schemas.openxmlformats.org/officeDocument/2006/relationships/image" Target="media/image163.jpeg"/><Relationship Id="rId181" Type="http://schemas.openxmlformats.org/officeDocument/2006/relationships/image" Target="media/image164.jpeg"/><Relationship Id="rId182" Type="http://schemas.openxmlformats.org/officeDocument/2006/relationships/image" Target="media/image165.jpeg"/><Relationship Id="rId183" Type="http://schemas.openxmlformats.org/officeDocument/2006/relationships/image" Target="media/image166.jpeg"/><Relationship Id="rId184" Type="http://schemas.openxmlformats.org/officeDocument/2006/relationships/image" Target="media/image167.jpeg"/><Relationship Id="rId185" Type="http://schemas.openxmlformats.org/officeDocument/2006/relationships/image" Target="media/image168.jpeg"/><Relationship Id="rId186" Type="http://schemas.openxmlformats.org/officeDocument/2006/relationships/image" Target="media/image169.jpeg"/><Relationship Id="rId187" Type="http://schemas.openxmlformats.org/officeDocument/2006/relationships/image" Target="media/image170.jpeg"/><Relationship Id="rId188" Type="http://schemas.openxmlformats.org/officeDocument/2006/relationships/image" Target="media/image171.jpeg"/><Relationship Id="rId189" Type="http://schemas.openxmlformats.org/officeDocument/2006/relationships/image" Target="media/image172.jpeg"/><Relationship Id="rId190" Type="http://schemas.openxmlformats.org/officeDocument/2006/relationships/footer" Target="footer14.xml"/><Relationship Id="rId191" Type="http://schemas.openxmlformats.org/officeDocument/2006/relationships/hyperlink" Target="http://gf.1190119.com/article-792.htm#312" TargetMode="External"/><Relationship Id="rId192" Type="http://schemas.openxmlformats.org/officeDocument/2006/relationships/hyperlink" Target="http://gf.1190119.com/article-793.htm#321" TargetMode="External"/><Relationship Id="rId193" Type="http://schemas.openxmlformats.org/officeDocument/2006/relationships/hyperlink" Target="http://gf.1190119.com/article-793.htm#322" TargetMode="External"/><Relationship Id="rId194" Type="http://schemas.openxmlformats.org/officeDocument/2006/relationships/hyperlink" Target="http://gf.1190119.com/article-795.htm#411" TargetMode="External"/><Relationship Id="rId195" Type="http://schemas.openxmlformats.org/officeDocument/2006/relationships/hyperlink" Target="http://gf.1190119.com/article-795.htm#412" TargetMode="External"/><Relationship Id="rId196" Type="http://schemas.openxmlformats.org/officeDocument/2006/relationships/hyperlink" Target="http://gf.1190119.com/article-796.htm#421" TargetMode="External"/><Relationship Id="rId197" Type="http://schemas.openxmlformats.org/officeDocument/2006/relationships/hyperlink" Target="http://gf.1190119.com/article-796.htm#426" TargetMode="External"/><Relationship Id="rId198" Type="http://schemas.openxmlformats.org/officeDocument/2006/relationships/hyperlink" Target="http://gf.1190119.com/article-802.htm#511" TargetMode="External"/><Relationship Id="rId199" Type="http://schemas.openxmlformats.org/officeDocument/2006/relationships/hyperlink" Target="http://gf.1190119.com/article-802.htm#512" TargetMode="External"/><Relationship Id="rId200" Type="http://schemas.openxmlformats.org/officeDocument/2006/relationships/hyperlink" Target="http://gf.1190119.com/article-802.htm#513" TargetMode="External"/><Relationship Id="rId201" Type="http://schemas.openxmlformats.org/officeDocument/2006/relationships/hyperlink" Target="http://gf.1190119.com/article-802.htm#514" TargetMode="External"/><Relationship Id="rId202" Type="http://schemas.openxmlformats.org/officeDocument/2006/relationships/hyperlink" Target="http://gf.1190119.com/article-802.htm#515" TargetMode="External"/><Relationship Id="rId203" Type="http://schemas.openxmlformats.org/officeDocument/2006/relationships/hyperlink" Target="http://gf.1190119.com/article-803.htm#521" TargetMode="External"/><Relationship Id="rId204" Type="http://schemas.openxmlformats.org/officeDocument/2006/relationships/hyperlink" Target="http://gf.1190119.com/article-803.htm#523" TargetMode="External"/><Relationship Id="rId205" Type="http://schemas.openxmlformats.org/officeDocument/2006/relationships/hyperlink" Target="http://gf.1190119.com/article-805.htm#611" TargetMode="External"/><Relationship Id="rId206" Type="http://schemas.openxmlformats.org/officeDocument/2006/relationships/hyperlink" Target="http://gf.1190119.com/article-805.htm#612" TargetMode="External"/><Relationship Id="rId207" Type="http://schemas.openxmlformats.org/officeDocument/2006/relationships/hyperlink" Target="http://gf.1190119.com/article-805.htm#613" TargetMode="External"/><Relationship Id="rId208" Type="http://schemas.openxmlformats.org/officeDocument/2006/relationships/hyperlink" Target="http://gf.1190119.com/article-808.htm#711" TargetMode="External"/><Relationship Id="rId209" Type="http://schemas.openxmlformats.org/officeDocument/2006/relationships/hyperlink" Target="http://gf.1190119.com/article-808.htm#712" TargetMode="External"/><Relationship Id="rId210" Type="http://schemas.openxmlformats.org/officeDocument/2006/relationships/hyperlink" Target="http://gf.1190119.com/article-809.htm#721" TargetMode="External"/><Relationship Id="rId211" Type="http://schemas.openxmlformats.org/officeDocument/2006/relationships/hyperlink" Target="http://gf.1190119.com/article-810.htm#731" TargetMode="External"/><Relationship Id="rId212" Type="http://schemas.openxmlformats.org/officeDocument/2006/relationships/hyperlink" Target="http://gf.1190119.com/article-810.htm#734" TargetMode="External"/><Relationship Id="rId213" Type="http://schemas.openxmlformats.org/officeDocument/2006/relationships/hyperlink" Target="http://gf.1190119.com/article-810.htm#735" TargetMode="External"/><Relationship Id="rId214" Type="http://schemas.openxmlformats.org/officeDocument/2006/relationships/footer" Target="footer15.xml"/><Relationship Id="rId215" Type="http://schemas.openxmlformats.org/officeDocument/2006/relationships/image" Target="media/image173.jpeg"/><Relationship Id="rId216" Type="http://schemas.openxmlformats.org/officeDocument/2006/relationships/image" Target="media/image174.jpeg"/><Relationship Id="rId217" Type="http://schemas.openxmlformats.org/officeDocument/2006/relationships/image" Target="media/image175.jpeg"/><Relationship Id="rId218" Type="http://schemas.openxmlformats.org/officeDocument/2006/relationships/footer" Target="footer16.xml"/><Relationship Id="rId219" Type="http://schemas.openxmlformats.org/officeDocument/2006/relationships/image" Target="media/image176.jpeg"/><Relationship Id="rId220" Type="http://schemas.openxmlformats.org/officeDocument/2006/relationships/image" Target="media/image177.jpeg"/><Relationship Id="rId221" Type="http://schemas.openxmlformats.org/officeDocument/2006/relationships/image" Target="media/image178.jpeg"/><Relationship Id="rId222" Type="http://schemas.openxmlformats.org/officeDocument/2006/relationships/image" Target="media/image179.jpeg"/><Relationship Id="rId223" Type="http://schemas.openxmlformats.org/officeDocument/2006/relationships/image" Target="media/image180.jpeg"/><Relationship Id="rId224" Type="http://schemas.openxmlformats.org/officeDocument/2006/relationships/image" Target="media/image181.jpeg"/><Relationship Id="rId225" Type="http://schemas.openxmlformats.org/officeDocument/2006/relationships/image" Target="media/image182.jpeg"/><Relationship Id="rId226" Type="http://schemas.openxmlformats.org/officeDocument/2006/relationships/image" Target="media/image183.jpeg"/><Relationship Id="rId227" Type="http://schemas.openxmlformats.org/officeDocument/2006/relationships/footer" Target="footer17.xml"/><Relationship Id="rId228" Type="http://schemas.openxmlformats.org/officeDocument/2006/relationships/image" Target="media/image184.jpeg"/><Relationship Id="rId229" Type="http://schemas.openxmlformats.org/officeDocument/2006/relationships/image" Target="media/image185.jpeg"/><Relationship Id="rId230" Type="http://schemas.openxmlformats.org/officeDocument/2006/relationships/image" Target="media/image186.jpeg"/><Relationship Id="rId231" Type="http://schemas.openxmlformats.org/officeDocument/2006/relationships/image" Target="media/image187.jpeg"/><Relationship Id="rId232" Type="http://schemas.openxmlformats.org/officeDocument/2006/relationships/image" Target="media/image188.jpeg"/><Relationship Id="rId233" Type="http://schemas.openxmlformats.org/officeDocument/2006/relationships/image" Target="media/image189.jpeg"/><Relationship Id="rId234" Type="http://schemas.openxmlformats.org/officeDocument/2006/relationships/image" Target="media/image190.jpeg"/><Relationship Id="rId235" Type="http://schemas.openxmlformats.org/officeDocument/2006/relationships/image" Target="media/image191.jpeg"/><Relationship Id="rId236" Type="http://schemas.openxmlformats.org/officeDocument/2006/relationships/image" Target="media/image192.jpeg"/><Relationship Id="rId237" Type="http://schemas.openxmlformats.org/officeDocument/2006/relationships/image" Target="media/image193.jpeg"/><Relationship Id="rId238" Type="http://schemas.openxmlformats.org/officeDocument/2006/relationships/image" Target="media/image194.jpeg"/><Relationship Id="rId239" Type="http://schemas.openxmlformats.org/officeDocument/2006/relationships/image" Target="media/image195.jpeg"/><Relationship Id="rId240" Type="http://schemas.openxmlformats.org/officeDocument/2006/relationships/image" Target="media/image196.jpeg"/><Relationship Id="rId241" Type="http://schemas.openxmlformats.org/officeDocument/2006/relationships/image" Target="media/image197.jpeg"/><Relationship Id="rId242" Type="http://schemas.openxmlformats.org/officeDocument/2006/relationships/image" Target="media/image198.jpeg"/><Relationship Id="rId243" Type="http://schemas.openxmlformats.org/officeDocument/2006/relationships/image" Target="media/image199.jpeg"/><Relationship Id="rId244" Type="http://schemas.openxmlformats.org/officeDocument/2006/relationships/image" Target="media/image200.jpeg"/><Relationship Id="rId245" Type="http://schemas.openxmlformats.org/officeDocument/2006/relationships/image" Target="media/image201.jpeg"/><Relationship Id="rId246" Type="http://schemas.openxmlformats.org/officeDocument/2006/relationships/image" Target="media/image202.jpeg"/><Relationship Id="rId247" Type="http://schemas.openxmlformats.org/officeDocument/2006/relationships/footer" Target="footer18.xml"/><Relationship Id="rId248" Type="http://schemas.openxmlformats.org/officeDocument/2006/relationships/image" Target="media/image203.jpeg"/><Relationship Id="rId249" Type="http://schemas.openxmlformats.org/officeDocument/2006/relationships/image" Target="media/image204.jpeg"/><Relationship Id="rId250" Type="http://schemas.openxmlformats.org/officeDocument/2006/relationships/footer" Target="footer19.xml"/><Relationship Id="rId251" Type="http://schemas.openxmlformats.org/officeDocument/2006/relationships/image" Target="media/image205.jpeg"/><Relationship Id="rId252" Type="http://schemas.openxmlformats.org/officeDocument/2006/relationships/image" Target="media/image206.jpeg"/><Relationship Id="rId253" Type="http://schemas.openxmlformats.org/officeDocument/2006/relationships/image" Target="media/image207.jpeg"/><Relationship Id="rId254" Type="http://schemas.openxmlformats.org/officeDocument/2006/relationships/footer" Target="footer20.xml"/><Relationship Id="rId255" Type="http://schemas.openxmlformats.org/officeDocument/2006/relationships/image" Target="media/image208.jpeg"/><Relationship Id="rId256" Type="http://schemas.openxmlformats.org/officeDocument/2006/relationships/image" Target="media/image209.jpeg"/><Relationship Id="rId257" Type="http://schemas.openxmlformats.org/officeDocument/2006/relationships/image" Target="media/image210.jpeg"/><Relationship Id="rId258" Type="http://schemas.openxmlformats.org/officeDocument/2006/relationships/image" Target="media/image211.jpeg"/><Relationship Id="rId259" Type="http://schemas.openxmlformats.org/officeDocument/2006/relationships/image" Target="media/image212.jpeg"/><Relationship Id="rId260" Type="http://schemas.openxmlformats.org/officeDocument/2006/relationships/image" Target="media/image213.jpeg"/><Relationship Id="rId261" Type="http://schemas.openxmlformats.org/officeDocument/2006/relationships/image" Target="media/image214.jpeg"/><Relationship Id="rId262" Type="http://schemas.openxmlformats.org/officeDocument/2006/relationships/image" Target="media/image215.jpeg"/><Relationship Id="rId263" Type="http://schemas.openxmlformats.org/officeDocument/2006/relationships/footer" Target="footer21.xml"/><Relationship Id="rId264" Type="http://schemas.openxmlformats.org/officeDocument/2006/relationships/image" Target="media/image216.jpeg"/><Relationship Id="rId265" Type="http://schemas.openxmlformats.org/officeDocument/2006/relationships/image" Target="media/image217.jpeg"/><Relationship Id="rId266" Type="http://schemas.openxmlformats.org/officeDocument/2006/relationships/image" Target="media/image218.jpeg"/><Relationship Id="rId267" Type="http://schemas.openxmlformats.org/officeDocument/2006/relationships/image" Target="media/image219.jpeg"/><Relationship Id="rId268" Type="http://schemas.openxmlformats.org/officeDocument/2006/relationships/image" Target="media/image220.jpeg"/><Relationship Id="rId269" Type="http://schemas.openxmlformats.org/officeDocument/2006/relationships/image" Target="media/image221.jpeg"/><Relationship Id="rId270" Type="http://schemas.openxmlformats.org/officeDocument/2006/relationships/image" Target="media/image222.jpeg"/><Relationship Id="rId271" Type="http://schemas.openxmlformats.org/officeDocument/2006/relationships/image" Target="media/image223.jpeg"/><Relationship Id="rId272" Type="http://schemas.openxmlformats.org/officeDocument/2006/relationships/image" Target="media/image224.jpeg"/><Relationship Id="rId273" Type="http://schemas.openxmlformats.org/officeDocument/2006/relationships/image" Target="media/image225.jpeg"/><Relationship Id="rId274" Type="http://schemas.openxmlformats.org/officeDocument/2006/relationships/image" Target="media/image226.jpeg"/><Relationship Id="rId275" Type="http://schemas.openxmlformats.org/officeDocument/2006/relationships/footer" Target="footer22.xml"/><Relationship Id="rId276" Type="http://schemas.openxmlformats.org/officeDocument/2006/relationships/image" Target="media/image227.jpeg"/><Relationship Id="rId277" Type="http://schemas.openxmlformats.org/officeDocument/2006/relationships/image" Target="media/image228.jpeg"/><Relationship Id="rId278" Type="http://schemas.openxmlformats.org/officeDocument/2006/relationships/image" Target="media/image229.jpeg"/><Relationship Id="rId279" Type="http://schemas.openxmlformats.org/officeDocument/2006/relationships/image" Target="media/image230.jpeg"/><Relationship Id="rId280" Type="http://schemas.openxmlformats.org/officeDocument/2006/relationships/image" Target="media/image231.jpeg"/><Relationship Id="rId281" Type="http://schemas.openxmlformats.org/officeDocument/2006/relationships/image" Target="media/image232.jpeg"/><Relationship Id="rId282" Type="http://schemas.openxmlformats.org/officeDocument/2006/relationships/image" Target="media/image233.jpeg"/><Relationship Id="rId283" Type="http://schemas.openxmlformats.org/officeDocument/2006/relationships/image" Target="media/image234.jpeg"/><Relationship Id="rId284" Type="http://schemas.openxmlformats.org/officeDocument/2006/relationships/footer" Target="footer23.xml"/><Relationship Id="rId285" Type="http://schemas.openxmlformats.org/officeDocument/2006/relationships/image" Target="media/image235.jpeg"/><Relationship Id="rId286" Type="http://schemas.openxmlformats.org/officeDocument/2006/relationships/image" Target="media/image236.jpeg"/><Relationship Id="rId287" Type="http://schemas.openxmlformats.org/officeDocument/2006/relationships/image" Target="media/image237.jpeg"/><Relationship Id="rId288" Type="http://schemas.openxmlformats.org/officeDocument/2006/relationships/footer" Target="footer24.xml"/><Relationship Id="rId289" Type="http://schemas.openxmlformats.org/officeDocument/2006/relationships/image" Target="media/image238.jpeg"/><Relationship Id="rId290" Type="http://schemas.openxmlformats.org/officeDocument/2006/relationships/footer" Target="footer25.xml"/><Relationship Id="rId291" Type="http://schemas.openxmlformats.org/officeDocument/2006/relationships/image" Target="media/image239.jpeg"/><Relationship Id="rId292" Type="http://schemas.openxmlformats.org/officeDocument/2006/relationships/footer" Target="footer26.xml"/><Relationship Id="rId293" Type="http://schemas.openxmlformats.org/officeDocument/2006/relationships/image" Target="media/image240.jpeg"/><Relationship Id="rId294" Type="http://schemas.openxmlformats.org/officeDocument/2006/relationships/image" Target="media/image241.jpeg"/><Relationship Id="rId295" Type="http://schemas.openxmlformats.org/officeDocument/2006/relationships/image" Target="media/image242.jpeg"/><Relationship Id="rId296" Type="http://schemas.openxmlformats.org/officeDocument/2006/relationships/image" Target="media/image243.png"/><Relationship Id="rId297" Type="http://schemas.openxmlformats.org/officeDocument/2006/relationships/image" Target="media/image244.jpeg"/><Relationship Id="rId298" Type="http://schemas.openxmlformats.org/officeDocument/2006/relationships/image" Target="media/image245.jpeg"/><Relationship Id="rId299" Type="http://schemas.openxmlformats.org/officeDocument/2006/relationships/image" Target="media/image246.jpeg"/><Relationship Id="rId300" Type="http://schemas.openxmlformats.org/officeDocument/2006/relationships/image" Target="media/image247.jpeg"/><Relationship Id="rId301" Type="http://schemas.openxmlformats.org/officeDocument/2006/relationships/image" Target="media/image248.jpeg"/><Relationship Id="rId302" Type="http://schemas.openxmlformats.org/officeDocument/2006/relationships/image" Target="media/image249.jpeg"/><Relationship Id="rId303" Type="http://schemas.openxmlformats.org/officeDocument/2006/relationships/footer" Target="footer27.xml"/><Relationship Id="rId304" Type="http://schemas.openxmlformats.org/officeDocument/2006/relationships/image" Target="media/image250.png"/><Relationship Id="rId305" Type="http://schemas.openxmlformats.org/officeDocument/2006/relationships/footer" Target="footer28.xml"/><Relationship Id="rId306" Type="http://schemas.openxmlformats.org/officeDocument/2006/relationships/footer" Target="footer29.xml"/><Relationship Id="rId307" Type="http://schemas.openxmlformats.org/officeDocument/2006/relationships/image" Target="media/image251.jpeg"/><Relationship Id="rId308" Type="http://schemas.openxmlformats.org/officeDocument/2006/relationships/image" Target="media/image252.jpeg"/><Relationship Id="rId309" Type="http://schemas.openxmlformats.org/officeDocument/2006/relationships/image" Target="media/image253.jpeg"/><Relationship Id="rId310" Type="http://schemas.openxmlformats.org/officeDocument/2006/relationships/image" Target="media/image254.jpeg"/><Relationship Id="rId311" Type="http://schemas.openxmlformats.org/officeDocument/2006/relationships/image" Target="media/image255.jpeg"/><Relationship Id="rId312" Type="http://schemas.openxmlformats.org/officeDocument/2006/relationships/image" Target="media/image256.jpeg"/><Relationship Id="rId313" Type="http://schemas.openxmlformats.org/officeDocument/2006/relationships/image" Target="media/image257.jpeg"/><Relationship Id="rId314" Type="http://schemas.openxmlformats.org/officeDocument/2006/relationships/image" Target="media/image258.jpeg"/><Relationship Id="rId315" Type="http://schemas.openxmlformats.org/officeDocument/2006/relationships/image" Target="media/image259.jpeg"/><Relationship Id="rId316" Type="http://schemas.openxmlformats.org/officeDocument/2006/relationships/image" Target="media/image260.jpeg"/><Relationship Id="rId317" Type="http://schemas.openxmlformats.org/officeDocument/2006/relationships/image" Target="media/image261.jpeg"/><Relationship Id="rId318" Type="http://schemas.openxmlformats.org/officeDocument/2006/relationships/image" Target="media/image262.jpeg"/><Relationship Id="rId319" Type="http://schemas.openxmlformats.org/officeDocument/2006/relationships/image" Target="media/image263.jpeg"/><Relationship Id="rId320" Type="http://schemas.openxmlformats.org/officeDocument/2006/relationships/image" Target="media/image264.jpeg"/><Relationship Id="rId321" Type="http://schemas.openxmlformats.org/officeDocument/2006/relationships/footer" Target="footer30.xml"/><Relationship Id="rId322" Type="http://schemas.openxmlformats.org/officeDocument/2006/relationships/image" Target="media/image265.jpeg"/><Relationship Id="rId323" Type="http://schemas.openxmlformats.org/officeDocument/2006/relationships/image" Target="media/image266.jpeg"/><Relationship Id="rId324" Type="http://schemas.openxmlformats.org/officeDocument/2006/relationships/image" Target="media/image267.jpeg"/><Relationship Id="rId325" Type="http://schemas.openxmlformats.org/officeDocument/2006/relationships/image" Target="media/image268.jpeg"/><Relationship Id="rId326" Type="http://schemas.openxmlformats.org/officeDocument/2006/relationships/image" Target="media/image269.jpeg"/><Relationship Id="rId327" Type="http://schemas.openxmlformats.org/officeDocument/2006/relationships/image" Target="media/image270.jpeg"/><Relationship Id="rId328" Type="http://schemas.openxmlformats.org/officeDocument/2006/relationships/image" Target="media/image271.jpeg"/><Relationship Id="rId329" Type="http://schemas.openxmlformats.org/officeDocument/2006/relationships/image" Target="media/image272.jpeg"/><Relationship Id="rId330" Type="http://schemas.openxmlformats.org/officeDocument/2006/relationships/image" Target="media/image273.jpeg"/><Relationship Id="rId331" Type="http://schemas.openxmlformats.org/officeDocument/2006/relationships/image" Target="media/image274.jpeg"/><Relationship Id="rId332" Type="http://schemas.openxmlformats.org/officeDocument/2006/relationships/footer" Target="footer31.xml"/><Relationship Id="rId333" Type="http://schemas.openxmlformats.org/officeDocument/2006/relationships/image" Target="media/image275.jpeg"/><Relationship Id="rId334" Type="http://schemas.openxmlformats.org/officeDocument/2006/relationships/image" Target="media/image276.jpeg"/><Relationship Id="rId335" Type="http://schemas.openxmlformats.org/officeDocument/2006/relationships/image" Target="media/image277.jpeg"/><Relationship Id="rId336" Type="http://schemas.openxmlformats.org/officeDocument/2006/relationships/image" Target="media/image278.jpeg"/><Relationship Id="rId337" Type="http://schemas.openxmlformats.org/officeDocument/2006/relationships/image" Target="media/image279.jpeg"/><Relationship Id="rId338" Type="http://schemas.openxmlformats.org/officeDocument/2006/relationships/image" Target="media/image280.jpeg"/><Relationship Id="rId339" Type="http://schemas.openxmlformats.org/officeDocument/2006/relationships/footer" Target="footer32.xml"/><Relationship Id="rId340" Type="http://schemas.openxmlformats.org/officeDocument/2006/relationships/image" Target="media/image281.jpeg"/><Relationship Id="rId341" Type="http://schemas.openxmlformats.org/officeDocument/2006/relationships/footer" Target="footer33.xml"/><Relationship Id="rId342" Type="http://schemas.openxmlformats.org/officeDocument/2006/relationships/image" Target="media/image282.jpeg"/><Relationship Id="rId343" Type="http://schemas.openxmlformats.org/officeDocument/2006/relationships/image" Target="media/image283.jpeg"/><Relationship Id="rId344" Type="http://schemas.openxmlformats.org/officeDocument/2006/relationships/image" Target="media/image284.jpeg"/><Relationship Id="rId345" Type="http://schemas.openxmlformats.org/officeDocument/2006/relationships/image" Target="media/image285.jpeg"/><Relationship Id="rId346" Type="http://schemas.openxmlformats.org/officeDocument/2006/relationships/footer" Target="footer34.xml"/><Relationship Id="rId347" Type="http://schemas.openxmlformats.org/officeDocument/2006/relationships/footer" Target="footer35.xml"/><Relationship Id="rId348" Type="http://schemas.openxmlformats.org/officeDocument/2006/relationships/image" Target="media/image286.jpeg"/><Relationship Id="rId349" Type="http://schemas.openxmlformats.org/officeDocument/2006/relationships/image" Target="media/image287.jpeg"/><Relationship Id="rId350" Type="http://schemas.openxmlformats.org/officeDocument/2006/relationships/image" Target="media/image288.jpeg"/><Relationship Id="rId351" Type="http://schemas.openxmlformats.org/officeDocument/2006/relationships/image" Target="media/image289.jpeg"/><Relationship Id="rId352" Type="http://schemas.openxmlformats.org/officeDocument/2006/relationships/footer" Target="footer36.xml"/><Relationship Id="rId353" Type="http://schemas.openxmlformats.org/officeDocument/2006/relationships/image" Target="media/image290.jpeg"/><Relationship Id="rId354" Type="http://schemas.openxmlformats.org/officeDocument/2006/relationships/footer" Target="footer37.xml"/><Relationship Id="rId355" Type="http://schemas.openxmlformats.org/officeDocument/2006/relationships/image" Target="media/image291.jpeg"/><Relationship Id="rId356" Type="http://schemas.openxmlformats.org/officeDocument/2006/relationships/image" Target="media/image292.jpeg"/><Relationship Id="rId357" Type="http://schemas.openxmlformats.org/officeDocument/2006/relationships/footer" Target="footer38.xml"/><Relationship Id="rId358" Type="http://schemas.openxmlformats.org/officeDocument/2006/relationships/image" Target="media/image293.jpeg"/><Relationship Id="rId359" Type="http://schemas.openxmlformats.org/officeDocument/2006/relationships/image" Target="media/image294.jpeg"/><Relationship Id="rId360" Type="http://schemas.openxmlformats.org/officeDocument/2006/relationships/image" Target="media/image295.jpeg"/><Relationship Id="rId361" Type="http://schemas.openxmlformats.org/officeDocument/2006/relationships/image" Target="media/image296.jpeg"/><Relationship Id="rId362" Type="http://schemas.openxmlformats.org/officeDocument/2006/relationships/image" Target="media/image297.jpeg"/><Relationship Id="rId363" Type="http://schemas.openxmlformats.org/officeDocument/2006/relationships/image" Target="media/image298.jpeg"/><Relationship Id="rId364" Type="http://schemas.openxmlformats.org/officeDocument/2006/relationships/image" Target="media/image299.jpeg"/><Relationship Id="rId365" Type="http://schemas.openxmlformats.org/officeDocument/2006/relationships/image" Target="media/image300.jpeg"/><Relationship Id="rId366" Type="http://schemas.openxmlformats.org/officeDocument/2006/relationships/image" Target="media/image301.jpeg"/><Relationship Id="rId367" Type="http://schemas.openxmlformats.org/officeDocument/2006/relationships/image" Target="media/image302.jpeg"/><Relationship Id="rId368" Type="http://schemas.openxmlformats.org/officeDocument/2006/relationships/image" Target="media/image303.jpeg"/><Relationship Id="rId369" Type="http://schemas.openxmlformats.org/officeDocument/2006/relationships/image" Target="media/image304.jpeg"/><Relationship Id="rId370" Type="http://schemas.openxmlformats.org/officeDocument/2006/relationships/image" Target="media/image305.jpeg"/><Relationship Id="rId371" Type="http://schemas.openxmlformats.org/officeDocument/2006/relationships/image" Target="media/image306.jpeg"/><Relationship Id="rId372" Type="http://schemas.openxmlformats.org/officeDocument/2006/relationships/image" Target="media/image307.jpeg"/><Relationship Id="rId373" Type="http://schemas.openxmlformats.org/officeDocument/2006/relationships/image" Target="media/image308.jpeg"/><Relationship Id="rId374" Type="http://schemas.openxmlformats.org/officeDocument/2006/relationships/image" Target="media/image309.jpeg"/><Relationship Id="rId375" Type="http://schemas.openxmlformats.org/officeDocument/2006/relationships/footer" Target="footer39.xml"/><Relationship Id="rId376" Type="http://schemas.openxmlformats.org/officeDocument/2006/relationships/image" Target="media/image310.jpeg"/><Relationship Id="rId377" Type="http://schemas.openxmlformats.org/officeDocument/2006/relationships/image" Target="media/image311.jpeg"/><Relationship Id="rId378" Type="http://schemas.openxmlformats.org/officeDocument/2006/relationships/image" Target="media/image312.jpeg"/><Relationship Id="rId379" Type="http://schemas.openxmlformats.org/officeDocument/2006/relationships/image" Target="media/image313.jpeg"/><Relationship Id="rId380" Type="http://schemas.openxmlformats.org/officeDocument/2006/relationships/image" Target="media/image314.jpeg"/><Relationship Id="rId381" Type="http://schemas.openxmlformats.org/officeDocument/2006/relationships/image" Target="media/image315.jpeg"/><Relationship Id="rId382" Type="http://schemas.openxmlformats.org/officeDocument/2006/relationships/image" Target="media/image316.jpeg"/><Relationship Id="rId383" Type="http://schemas.openxmlformats.org/officeDocument/2006/relationships/image" Target="media/image317.jpeg"/><Relationship Id="rId384" Type="http://schemas.openxmlformats.org/officeDocument/2006/relationships/image" Target="media/image318.jpeg"/><Relationship Id="rId385" Type="http://schemas.openxmlformats.org/officeDocument/2006/relationships/footer" Target="footer40.xml"/><Relationship Id="rId386" Type="http://schemas.openxmlformats.org/officeDocument/2006/relationships/image" Target="media/image319.jpeg"/><Relationship Id="rId387" Type="http://schemas.openxmlformats.org/officeDocument/2006/relationships/image" Target="media/image320.jpeg"/><Relationship Id="rId388" Type="http://schemas.openxmlformats.org/officeDocument/2006/relationships/image" Target="media/image321.jpeg"/><Relationship Id="rId389" Type="http://schemas.openxmlformats.org/officeDocument/2006/relationships/image" Target="media/image322.jpeg"/><Relationship Id="rId390" Type="http://schemas.openxmlformats.org/officeDocument/2006/relationships/footer" Target="footer41.xml"/><Relationship Id="rId391" Type="http://schemas.openxmlformats.org/officeDocument/2006/relationships/footer" Target="footer42.xml"/><Relationship Id="rId392" Type="http://schemas.openxmlformats.org/officeDocument/2006/relationships/image" Target="media/image323.png"/><Relationship Id="rId393" Type="http://schemas.openxmlformats.org/officeDocument/2006/relationships/image" Target="media/image324.jpeg"/><Relationship Id="rId394" Type="http://schemas.openxmlformats.org/officeDocument/2006/relationships/image" Target="media/image325.jpeg"/><Relationship Id="rId395" Type="http://schemas.openxmlformats.org/officeDocument/2006/relationships/image" Target="media/image326.jpeg"/><Relationship Id="rId396" Type="http://schemas.openxmlformats.org/officeDocument/2006/relationships/image" Target="media/image327.jpeg"/><Relationship Id="rId397" Type="http://schemas.openxmlformats.org/officeDocument/2006/relationships/image" Target="media/image328.jpeg"/><Relationship Id="rId398" Type="http://schemas.openxmlformats.org/officeDocument/2006/relationships/image" Target="media/image329.jpeg"/><Relationship Id="rId399" Type="http://schemas.openxmlformats.org/officeDocument/2006/relationships/image" Target="media/image330.jpeg"/><Relationship Id="rId400" Type="http://schemas.openxmlformats.org/officeDocument/2006/relationships/image" Target="media/image331.jpeg"/><Relationship Id="rId401" Type="http://schemas.openxmlformats.org/officeDocument/2006/relationships/image" Target="media/image332.jpeg"/><Relationship Id="rId402" Type="http://schemas.openxmlformats.org/officeDocument/2006/relationships/image" Target="media/image333.jpeg"/><Relationship Id="rId403" Type="http://schemas.openxmlformats.org/officeDocument/2006/relationships/image" Target="media/image334.jpeg"/><Relationship Id="rId404" Type="http://schemas.openxmlformats.org/officeDocument/2006/relationships/image" Target="media/image335.jpeg"/><Relationship Id="rId405" Type="http://schemas.openxmlformats.org/officeDocument/2006/relationships/image" Target="media/image336.png"/><Relationship Id="rId406" Type="http://schemas.openxmlformats.org/officeDocument/2006/relationships/image" Target="media/image337.jpeg"/><Relationship Id="rId407" Type="http://schemas.openxmlformats.org/officeDocument/2006/relationships/image" Target="media/image338.jpeg"/><Relationship Id="rId408" Type="http://schemas.openxmlformats.org/officeDocument/2006/relationships/image" Target="media/image339.jpeg"/><Relationship Id="rId409" Type="http://schemas.openxmlformats.org/officeDocument/2006/relationships/footer" Target="footer43.xml"/><Relationship Id="rId410" Type="http://schemas.openxmlformats.org/officeDocument/2006/relationships/image" Target="media/image340.jpeg"/><Relationship Id="rId411" Type="http://schemas.openxmlformats.org/officeDocument/2006/relationships/image" Target="media/image341.jpeg"/><Relationship Id="rId412" Type="http://schemas.openxmlformats.org/officeDocument/2006/relationships/footer" Target="footer44.xml"/><Relationship Id="rId413" Type="http://schemas.openxmlformats.org/officeDocument/2006/relationships/image" Target="media/image342.jpeg"/><Relationship Id="rId414" Type="http://schemas.openxmlformats.org/officeDocument/2006/relationships/image" Target="media/image343.jpeg"/><Relationship Id="rId415" Type="http://schemas.openxmlformats.org/officeDocument/2006/relationships/image" Target="media/image344.jpeg"/><Relationship Id="rId416" Type="http://schemas.openxmlformats.org/officeDocument/2006/relationships/image" Target="media/image345.jpeg"/><Relationship Id="rId417" Type="http://schemas.openxmlformats.org/officeDocument/2006/relationships/footer" Target="footer45.xml"/><Relationship Id="rId418" Type="http://schemas.openxmlformats.org/officeDocument/2006/relationships/image" Target="media/image346.jpeg"/><Relationship Id="rId419" Type="http://schemas.openxmlformats.org/officeDocument/2006/relationships/footer" Target="footer46.xml"/><Relationship Id="rId420" Type="http://schemas.openxmlformats.org/officeDocument/2006/relationships/image" Target="media/image347.jpeg"/><Relationship Id="rId421" Type="http://schemas.openxmlformats.org/officeDocument/2006/relationships/footer" Target="footer47.xml"/><Relationship Id="rId422" Type="http://schemas.openxmlformats.org/officeDocument/2006/relationships/image" Target="media/image348.jpeg"/><Relationship Id="rId423" Type="http://schemas.openxmlformats.org/officeDocument/2006/relationships/image" Target="media/image349.jpeg"/><Relationship Id="rId424" Type="http://schemas.openxmlformats.org/officeDocument/2006/relationships/image" Target="media/image350.jpeg"/><Relationship Id="rId425" Type="http://schemas.openxmlformats.org/officeDocument/2006/relationships/image" Target="media/image351.jpeg"/><Relationship Id="rId426" Type="http://schemas.openxmlformats.org/officeDocument/2006/relationships/image" Target="media/image352.jpeg"/><Relationship Id="rId427" Type="http://schemas.openxmlformats.org/officeDocument/2006/relationships/image" Target="media/image353.jpeg"/><Relationship Id="rId428" Type="http://schemas.openxmlformats.org/officeDocument/2006/relationships/footer" Target="footer48.xml"/><Relationship Id="rId429" Type="http://schemas.openxmlformats.org/officeDocument/2006/relationships/image" Target="media/image354.jpeg"/><Relationship Id="rId430" Type="http://schemas.openxmlformats.org/officeDocument/2006/relationships/image" Target="media/image355.jpeg"/><Relationship Id="rId431" Type="http://schemas.openxmlformats.org/officeDocument/2006/relationships/image" Target="media/image356.jpeg"/><Relationship Id="rId432" Type="http://schemas.openxmlformats.org/officeDocument/2006/relationships/image" Target="media/image357.jpeg"/><Relationship Id="rId433" Type="http://schemas.openxmlformats.org/officeDocument/2006/relationships/image" Target="media/image358.jpeg"/><Relationship Id="rId434" Type="http://schemas.openxmlformats.org/officeDocument/2006/relationships/image" Target="media/image359.jpeg"/><Relationship Id="rId435" Type="http://schemas.openxmlformats.org/officeDocument/2006/relationships/footer" Target="footer49.xml"/><Relationship Id="rId436" Type="http://schemas.openxmlformats.org/officeDocument/2006/relationships/footer" Target="footer50.xml"/><Relationship Id="rId437" Type="http://schemas.openxmlformats.org/officeDocument/2006/relationships/image" Target="media/image360.jpeg"/><Relationship Id="rId438" Type="http://schemas.openxmlformats.org/officeDocument/2006/relationships/image" Target="media/image361.jpeg"/><Relationship Id="rId439" Type="http://schemas.openxmlformats.org/officeDocument/2006/relationships/image" Target="media/image362.jpeg"/><Relationship Id="rId440" Type="http://schemas.openxmlformats.org/officeDocument/2006/relationships/image" Target="media/image363.jpeg"/><Relationship Id="rId441" Type="http://schemas.openxmlformats.org/officeDocument/2006/relationships/image" Target="media/image364.jpeg"/><Relationship Id="rId442" Type="http://schemas.openxmlformats.org/officeDocument/2006/relationships/footer" Target="footer51.xml"/><Relationship Id="rId443" Type="http://schemas.openxmlformats.org/officeDocument/2006/relationships/image" Target="media/image365.jpeg"/><Relationship Id="rId444" Type="http://schemas.openxmlformats.org/officeDocument/2006/relationships/footer" Target="footer52.xml"/><Relationship Id="rId445" Type="http://schemas.openxmlformats.org/officeDocument/2006/relationships/image" Target="media/image366.png"/><Relationship Id="rId446" Type="http://schemas.openxmlformats.org/officeDocument/2006/relationships/image" Target="media/image367.jpeg"/><Relationship Id="rId447" Type="http://schemas.openxmlformats.org/officeDocument/2006/relationships/footer" Target="footer53.xml"/><Relationship Id="rId448" Type="http://schemas.openxmlformats.org/officeDocument/2006/relationships/image" Target="media/image368.jpeg"/><Relationship Id="rId449" Type="http://schemas.openxmlformats.org/officeDocument/2006/relationships/image" Target="media/image369.jpeg"/><Relationship Id="rId450" Type="http://schemas.openxmlformats.org/officeDocument/2006/relationships/image" Target="media/image370.jpeg"/><Relationship Id="rId451" Type="http://schemas.openxmlformats.org/officeDocument/2006/relationships/image" Target="media/image371.jpeg"/><Relationship Id="rId452" Type="http://schemas.openxmlformats.org/officeDocument/2006/relationships/footer" Target="footer54.xml"/><Relationship Id="rId453" Type="http://schemas.openxmlformats.org/officeDocument/2006/relationships/image" Target="media/image372.png"/><Relationship Id="rId454" Type="http://schemas.openxmlformats.org/officeDocument/2006/relationships/footer" Target="footer55.xml"/><Relationship Id="rId455" Type="http://schemas.openxmlformats.org/officeDocument/2006/relationships/image" Target="media/image373.jpeg"/><Relationship Id="rId456" Type="http://schemas.openxmlformats.org/officeDocument/2006/relationships/image" Target="media/image374.jpeg"/><Relationship Id="rId457" Type="http://schemas.openxmlformats.org/officeDocument/2006/relationships/footer" Target="footer56.xml"/><Relationship Id="rId458" Type="http://schemas.openxmlformats.org/officeDocument/2006/relationships/image" Target="media/image375.jpeg"/><Relationship Id="rId459" Type="http://schemas.openxmlformats.org/officeDocument/2006/relationships/footer" Target="footer57.xml"/><Relationship Id="rId460" Type="http://schemas.openxmlformats.org/officeDocument/2006/relationships/image" Target="media/image376.jpeg"/><Relationship Id="rId461" Type="http://schemas.openxmlformats.org/officeDocument/2006/relationships/image" Target="media/image377.jpeg"/><Relationship Id="rId462" Type="http://schemas.openxmlformats.org/officeDocument/2006/relationships/image" Target="media/image378.jpeg"/><Relationship Id="rId463" Type="http://schemas.openxmlformats.org/officeDocument/2006/relationships/hyperlink" Target="http://www.zzguifan.com/webarbs/book/68325/1318208.shtml" TargetMode="External"/><Relationship Id="rId464" Type="http://schemas.openxmlformats.org/officeDocument/2006/relationships/hyperlink" Target="http://gf.1190119.com/article-5454.htm#102" TargetMode="External"/><Relationship Id="rId465" Type="http://schemas.openxmlformats.org/officeDocument/2006/relationships/hyperlink" Target="http://gf.1190119.com/article-5456.htm#301" TargetMode="External"/><Relationship Id="rId466" Type="http://schemas.openxmlformats.org/officeDocument/2006/relationships/hyperlink" Target="http://gf.1190119.com/article-5456.htm#306" TargetMode="External"/><Relationship Id="rId467" Type="http://schemas.openxmlformats.org/officeDocument/2006/relationships/hyperlink" Target="http://gf.1190119.com/article-5464.htm#521" TargetMode="External"/><Relationship Id="rId468" Type="http://schemas.openxmlformats.org/officeDocument/2006/relationships/image" Target="media/image379.jpeg"/><Relationship Id="rId469" Type="http://schemas.openxmlformats.org/officeDocument/2006/relationships/footer" Target="footer58.xml"/><Relationship Id="rId470" Type="http://schemas.openxmlformats.org/officeDocument/2006/relationships/hyperlink" Target="http://gf.1190119.com/article-5464.htm#5211" TargetMode="External"/><Relationship Id="rId471" Type="http://schemas.openxmlformats.org/officeDocument/2006/relationships/hyperlink" Target="http://gf.1190119.com/article-5473.htm#611" TargetMode="External"/><Relationship Id="rId472" Type="http://schemas.openxmlformats.org/officeDocument/2006/relationships/hyperlink" Target="http://gf.1190119.com/article-5478.htm#631" TargetMode="External"/><Relationship Id="rId473" Type="http://schemas.openxmlformats.org/officeDocument/2006/relationships/hyperlink" Target="http://gf.1190119.com/article-5480.htm#642" TargetMode="External"/><Relationship Id="rId474" Type="http://schemas.openxmlformats.org/officeDocument/2006/relationships/footer" Target="footer59.xml"/><Relationship Id="rId475" Type="http://schemas.openxmlformats.org/officeDocument/2006/relationships/hyperlink" Target="http://gf.1190119.com/article-5485.htm#731" TargetMode="External"/><Relationship Id="rId476" Type="http://schemas.openxmlformats.org/officeDocument/2006/relationships/hyperlink" Target="http://gf.1190119.com/article-5485.htm#732" TargetMode="External"/><Relationship Id="rId477" Type="http://schemas.openxmlformats.org/officeDocument/2006/relationships/hyperlink" Target="http://gf.1190119.com/article-5485.htm#733" TargetMode="External"/><Relationship Id="rId478" Type="http://schemas.openxmlformats.org/officeDocument/2006/relationships/hyperlink" Target="http://gf.1190119.com/article-5486.htm#741" TargetMode="External"/><Relationship Id="rId479" Type="http://schemas.openxmlformats.org/officeDocument/2006/relationships/hyperlink" Target="http://gf.1190119.com/article-5486.htm#742" TargetMode="External"/><Relationship Id="rId480" Type="http://schemas.openxmlformats.org/officeDocument/2006/relationships/hyperlink" Target="http://gf.1190119.com/article-5486.htm#743" TargetMode="External"/><Relationship Id="rId481" Type="http://schemas.openxmlformats.org/officeDocument/2006/relationships/hyperlink" Target="http://gf.1190119.com/article-5487.htm#801" TargetMode="External"/><Relationship Id="rId482" Type="http://schemas.openxmlformats.org/officeDocument/2006/relationships/hyperlink" Target="http://gf.1190119.com/article-5487.htm#802" TargetMode="External"/><Relationship Id="rId483" Type="http://schemas.openxmlformats.org/officeDocument/2006/relationships/hyperlink" Target="http://gf.1190119.com/article-5487.htm#803" TargetMode="External"/><Relationship Id="rId484" Type="http://schemas.openxmlformats.org/officeDocument/2006/relationships/hyperlink" Target="http://gf.1190119.com/article-5487.htm#804" TargetMode="External"/><Relationship Id="rId485" Type="http://schemas.openxmlformats.org/officeDocument/2006/relationships/image" Target="media/image380.jpeg"/><Relationship Id="rId486" Type="http://schemas.openxmlformats.org/officeDocument/2006/relationships/image" Target="media/image381.jpeg"/><Relationship Id="rId487" Type="http://schemas.openxmlformats.org/officeDocument/2006/relationships/image" Target="media/image382.jpeg"/><Relationship Id="rId488" Type="http://schemas.openxmlformats.org/officeDocument/2006/relationships/image" Target="media/image383.png"/><Relationship Id="rId489" Type="http://schemas.openxmlformats.org/officeDocument/2006/relationships/image" Target="media/image384.jpeg"/><Relationship Id="rId490" Type="http://schemas.openxmlformats.org/officeDocument/2006/relationships/footer" Target="footer60.xml"/><Relationship Id="rId491" Type="http://schemas.openxmlformats.org/officeDocument/2006/relationships/image" Target="media/image385.png"/><Relationship Id="rId492" Type="http://schemas.openxmlformats.org/officeDocument/2006/relationships/image" Target="media/image386.jpeg"/><Relationship Id="rId493" Type="http://schemas.openxmlformats.org/officeDocument/2006/relationships/footer" Target="footer61.xml"/><Relationship Id="rId494" Type="http://schemas.openxmlformats.org/officeDocument/2006/relationships/image" Target="media/image387.jpeg"/><Relationship Id="rId495" Type="http://schemas.openxmlformats.org/officeDocument/2006/relationships/footer" Target="footer62.xml"/><Relationship Id="rId496" Type="http://schemas.openxmlformats.org/officeDocument/2006/relationships/image" Target="media/image388.jpeg"/><Relationship Id="rId497" Type="http://schemas.openxmlformats.org/officeDocument/2006/relationships/image" Target="media/image389.jpeg"/><Relationship Id="rId498" Type="http://schemas.openxmlformats.org/officeDocument/2006/relationships/footer" Target="footer63.xml"/><Relationship Id="rId499" Type="http://schemas.openxmlformats.org/officeDocument/2006/relationships/image" Target="media/image390.jpeg"/><Relationship Id="rId500" Type="http://schemas.openxmlformats.org/officeDocument/2006/relationships/image" Target="media/image391.jpeg"/><Relationship Id="rId501" Type="http://schemas.openxmlformats.org/officeDocument/2006/relationships/footer" Target="footer64.xml"/><Relationship Id="rId502" Type="http://schemas.openxmlformats.org/officeDocument/2006/relationships/image" Target="media/image392.jpeg"/><Relationship Id="rId503" Type="http://schemas.openxmlformats.org/officeDocument/2006/relationships/image" Target="media/image393.jpeg"/><Relationship Id="rId504" Type="http://schemas.openxmlformats.org/officeDocument/2006/relationships/image" Target="media/image394.jpeg"/><Relationship Id="rId505" Type="http://schemas.openxmlformats.org/officeDocument/2006/relationships/footer" Target="footer65.xml"/><Relationship Id="rId506" Type="http://schemas.openxmlformats.org/officeDocument/2006/relationships/image" Target="media/image395.jpeg"/><Relationship Id="rId507" Type="http://schemas.openxmlformats.org/officeDocument/2006/relationships/image" Target="media/image396.jpeg"/><Relationship Id="rId508" Type="http://schemas.openxmlformats.org/officeDocument/2006/relationships/image" Target="media/image397.jpeg"/><Relationship Id="rId509" Type="http://schemas.openxmlformats.org/officeDocument/2006/relationships/image" Target="media/image398.jpeg"/><Relationship Id="rId510" Type="http://schemas.openxmlformats.org/officeDocument/2006/relationships/footer" Target="footer66.xml"/><Relationship Id="rId511" Type="http://schemas.openxmlformats.org/officeDocument/2006/relationships/image" Target="media/image399.jpeg"/><Relationship Id="rId512" Type="http://schemas.openxmlformats.org/officeDocument/2006/relationships/image" Target="media/image400.jpeg"/><Relationship Id="rId513" Type="http://schemas.openxmlformats.org/officeDocument/2006/relationships/image" Target="media/image401.jpeg"/><Relationship Id="rId514" Type="http://schemas.openxmlformats.org/officeDocument/2006/relationships/image" Target="media/image402.jpeg"/><Relationship Id="rId515" Type="http://schemas.openxmlformats.org/officeDocument/2006/relationships/image" Target="media/image403.jpeg"/><Relationship Id="rId516" Type="http://schemas.openxmlformats.org/officeDocument/2006/relationships/image" Target="media/image404.jpeg"/><Relationship Id="rId517" Type="http://schemas.openxmlformats.org/officeDocument/2006/relationships/image" Target="media/image405.jpeg"/><Relationship Id="rId518" Type="http://schemas.openxmlformats.org/officeDocument/2006/relationships/image" Target="media/image406.jpeg"/><Relationship Id="rId519" Type="http://schemas.openxmlformats.org/officeDocument/2006/relationships/image" Target="media/image407.jpeg"/><Relationship Id="rId520" Type="http://schemas.openxmlformats.org/officeDocument/2006/relationships/image" Target="media/image408.jpeg"/><Relationship Id="rId521" Type="http://schemas.openxmlformats.org/officeDocument/2006/relationships/footer" Target="footer67.xml"/><Relationship Id="rId522" Type="http://schemas.openxmlformats.org/officeDocument/2006/relationships/image" Target="media/image409.jpeg"/><Relationship Id="rId523" Type="http://schemas.openxmlformats.org/officeDocument/2006/relationships/image" Target="media/image410.jpeg"/><Relationship Id="rId524" Type="http://schemas.openxmlformats.org/officeDocument/2006/relationships/image" Target="media/image411.jpeg"/><Relationship Id="rId525" Type="http://schemas.openxmlformats.org/officeDocument/2006/relationships/footer" Target="footer68.xml"/><Relationship Id="rId526" Type="http://schemas.openxmlformats.org/officeDocument/2006/relationships/image" Target="media/image412.jpeg"/><Relationship Id="rId527" Type="http://schemas.openxmlformats.org/officeDocument/2006/relationships/image" Target="media/image413.png"/><Relationship Id="rId528" Type="http://schemas.openxmlformats.org/officeDocument/2006/relationships/image" Target="media/image414.png"/><Relationship Id="rId529" Type="http://schemas.openxmlformats.org/officeDocument/2006/relationships/image" Target="media/image415.png"/><Relationship Id="rId530" Type="http://schemas.openxmlformats.org/officeDocument/2006/relationships/image" Target="media/image416.jpeg"/><Relationship Id="rId531" Type="http://schemas.openxmlformats.org/officeDocument/2006/relationships/image" Target="media/image417.png"/><Relationship Id="rId532" Type="http://schemas.openxmlformats.org/officeDocument/2006/relationships/image" Target="media/image418.jpeg"/><Relationship Id="rId533" Type="http://schemas.openxmlformats.org/officeDocument/2006/relationships/footer" Target="footer69.xml"/><Relationship Id="rId534" Type="http://schemas.openxmlformats.org/officeDocument/2006/relationships/image" Target="media/image419.png"/><Relationship Id="rId535" Type="http://schemas.openxmlformats.org/officeDocument/2006/relationships/image" Target="media/image420.png"/><Relationship Id="rId536" Type="http://schemas.openxmlformats.org/officeDocument/2006/relationships/image" Target="media/image421.jpeg"/><Relationship Id="rId537" Type="http://schemas.openxmlformats.org/officeDocument/2006/relationships/image" Target="media/image422.jpeg"/><Relationship Id="rId538" Type="http://schemas.openxmlformats.org/officeDocument/2006/relationships/footer" Target="footer70.xml"/><Relationship Id="rId539" Type="http://schemas.openxmlformats.org/officeDocument/2006/relationships/image" Target="media/image423.jpeg"/><Relationship Id="rId540" Type="http://schemas.openxmlformats.org/officeDocument/2006/relationships/image" Target="media/image424.jpeg"/><Relationship Id="rId541" Type="http://schemas.openxmlformats.org/officeDocument/2006/relationships/footer" Target="footer71.xml"/><Relationship Id="rId542" Type="http://schemas.openxmlformats.org/officeDocument/2006/relationships/image" Target="media/image425.jpeg"/><Relationship Id="rId543" Type="http://schemas.openxmlformats.org/officeDocument/2006/relationships/image" Target="media/image426.jpeg"/><Relationship Id="rId544" Type="http://schemas.openxmlformats.org/officeDocument/2006/relationships/footer" Target="footer72.xml"/><Relationship Id="rId545" Type="http://schemas.openxmlformats.org/officeDocument/2006/relationships/image" Target="media/image427.png"/><Relationship Id="rId546" Type="http://schemas.openxmlformats.org/officeDocument/2006/relationships/image" Target="media/image428.png"/><Relationship Id="rId547" Type="http://schemas.openxmlformats.org/officeDocument/2006/relationships/image" Target="media/image429.jpeg"/><Relationship Id="rId548" Type="http://schemas.openxmlformats.org/officeDocument/2006/relationships/image" Target="media/image430.jpeg"/><Relationship Id="rId549" Type="http://schemas.openxmlformats.org/officeDocument/2006/relationships/image" Target="media/image431.jpeg"/><Relationship Id="rId550" Type="http://schemas.openxmlformats.org/officeDocument/2006/relationships/image" Target="media/image432.jpeg"/><Relationship Id="rId551" Type="http://schemas.openxmlformats.org/officeDocument/2006/relationships/footer" Target="footer73.xml"/><Relationship Id="rId552" Type="http://schemas.openxmlformats.org/officeDocument/2006/relationships/image" Target="media/image433.jpeg"/><Relationship Id="rId553" Type="http://schemas.openxmlformats.org/officeDocument/2006/relationships/image" Target="media/image434.jpeg"/><Relationship Id="rId554" Type="http://schemas.openxmlformats.org/officeDocument/2006/relationships/image" Target="media/image435.jpeg"/><Relationship Id="rId555" Type="http://schemas.openxmlformats.org/officeDocument/2006/relationships/image" Target="media/image436.jpeg"/><Relationship Id="rId556" Type="http://schemas.openxmlformats.org/officeDocument/2006/relationships/image" Target="media/image437.jpeg"/><Relationship Id="rId557" Type="http://schemas.openxmlformats.org/officeDocument/2006/relationships/image" Target="media/image438.jpeg"/><Relationship Id="rId558" Type="http://schemas.openxmlformats.org/officeDocument/2006/relationships/image" Target="media/image439.jpeg"/><Relationship Id="rId559" Type="http://schemas.openxmlformats.org/officeDocument/2006/relationships/image" Target="media/image440.jpeg"/><Relationship Id="rId560" Type="http://schemas.openxmlformats.org/officeDocument/2006/relationships/image" Target="media/image441.jpeg"/><Relationship Id="rId561" Type="http://schemas.openxmlformats.org/officeDocument/2006/relationships/image" Target="media/image442.jpeg"/><Relationship Id="rId562" Type="http://schemas.openxmlformats.org/officeDocument/2006/relationships/footer" Target="footer74.xml"/><Relationship Id="rId563" Type="http://schemas.openxmlformats.org/officeDocument/2006/relationships/image" Target="media/image443.jpeg"/><Relationship Id="rId564" Type="http://schemas.openxmlformats.org/officeDocument/2006/relationships/image" Target="media/image444.jpeg"/><Relationship Id="rId565" Type="http://schemas.openxmlformats.org/officeDocument/2006/relationships/image" Target="media/image445.jpeg"/><Relationship Id="rId566" Type="http://schemas.openxmlformats.org/officeDocument/2006/relationships/image" Target="media/image446.jpeg"/><Relationship Id="rId567" Type="http://schemas.openxmlformats.org/officeDocument/2006/relationships/image" Target="media/image447.jpeg"/><Relationship Id="rId568" Type="http://schemas.openxmlformats.org/officeDocument/2006/relationships/footer" Target="footer75.xml"/><Relationship Id="rId569" Type="http://schemas.openxmlformats.org/officeDocument/2006/relationships/image" Target="media/image448.jpeg"/><Relationship Id="rId570" Type="http://schemas.openxmlformats.org/officeDocument/2006/relationships/image" Target="media/image449.jpeg"/><Relationship Id="rId571" Type="http://schemas.openxmlformats.org/officeDocument/2006/relationships/image" Target="media/image450.jpeg"/><Relationship Id="rId572" Type="http://schemas.openxmlformats.org/officeDocument/2006/relationships/image" Target="media/image451.jpeg"/><Relationship Id="rId573" Type="http://schemas.openxmlformats.org/officeDocument/2006/relationships/image" Target="media/image452.jpeg"/><Relationship Id="rId574" Type="http://schemas.openxmlformats.org/officeDocument/2006/relationships/image" Target="media/image453.jpeg"/><Relationship Id="rId575" Type="http://schemas.openxmlformats.org/officeDocument/2006/relationships/image" Target="media/image454.jpeg"/><Relationship Id="rId576" Type="http://schemas.openxmlformats.org/officeDocument/2006/relationships/image" Target="media/image455.jpeg"/><Relationship Id="rId577" Type="http://schemas.openxmlformats.org/officeDocument/2006/relationships/footer" Target="footer76.xml"/><Relationship Id="rId578" Type="http://schemas.openxmlformats.org/officeDocument/2006/relationships/image" Target="media/image456.jpeg"/><Relationship Id="rId579" Type="http://schemas.openxmlformats.org/officeDocument/2006/relationships/image" Target="media/image457.jpeg"/><Relationship Id="rId580" Type="http://schemas.openxmlformats.org/officeDocument/2006/relationships/image" Target="media/image458.jpeg"/><Relationship Id="rId581" Type="http://schemas.openxmlformats.org/officeDocument/2006/relationships/image" Target="media/image459.jpeg"/><Relationship Id="rId582" Type="http://schemas.openxmlformats.org/officeDocument/2006/relationships/image" Target="media/image460.jpeg"/><Relationship Id="rId583" Type="http://schemas.openxmlformats.org/officeDocument/2006/relationships/image" Target="media/image461.jpeg"/><Relationship Id="rId584" Type="http://schemas.openxmlformats.org/officeDocument/2006/relationships/image" Target="media/image462.jpeg"/><Relationship Id="rId585" Type="http://schemas.openxmlformats.org/officeDocument/2006/relationships/image" Target="media/image463.jpeg"/><Relationship Id="rId586" Type="http://schemas.openxmlformats.org/officeDocument/2006/relationships/footer" Target="footer77.xml"/><Relationship Id="rId587" Type="http://schemas.openxmlformats.org/officeDocument/2006/relationships/image" Target="media/image464.jpeg"/><Relationship Id="rId588" Type="http://schemas.openxmlformats.org/officeDocument/2006/relationships/image" Target="media/image465.jpeg"/><Relationship Id="rId589" Type="http://schemas.openxmlformats.org/officeDocument/2006/relationships/footer" Target="footer78.xml"/><Relationship Id="rId590" Type="http://schemas.openxmlformats.org/officeDocument/2006/relationships/image" Target="media/image466.jpeg"/><Relationship Id="rId591" Type="http://schemas.openxmlformats.org/officeDocument/2006/relationships/image" Target="media/image467.jpeg"/><Relationship Id="rId592" Type="http://schemas.openxmlformats.org/officeDocument/2006/relationships/footer" Target="footer79.xml"/><Relationship Id="rId593" Type="http://schemas.openxmlformats.org/officeDocument/2006/relationships/image" Target="media/image468.jpeg"/><Relationship Id="rId594" Type="http://schemas.openxmlformats.org/officeDocument/2006/relationships/footer" Target="footer80.xml"/><Relationship Id="rId595" Type="http://schemas.openxmlformats.org/officeDocument/2006/relationships/image" Target="media/image469.jpeg"/><Relationship Id="rId596" Type="http://schemas.openxmlformats.org/officeDocument/2006/relationships/image" Target="media/image470.jpeg"/><Relationship Id="rId597" Type="http://schemas.openxmlformats.org/officeDocument/2006/relationships/image" Target="media/image471.jpeg"/><Relationship Id="rId598" Type="http://schemas.openxmlformats.org/officeDocument/2006/relationships/footer" Target="footer81.xml"/><Relationship Id="rId599" Type="http://schemas.openxmlformats.org/officeDocument/2006/relationships/image" Target="media/image472.jpeg"/><Relationship Id="rId600" Type="http://schemas.openxmlformats.org/officeDocument/2006/relationships/footer" Target="footer82.xml"/><Relationship Id="rId601" Type="http://schemas.openxmlformats.org/officeDocument/2006/relationships/image" Target="media/image473.jpeg"/><Relationship Id="rId602" Type="http://schemas.openxmlformats.org/officeDocument/2006/relationships/image" Target="media/image474.jpeg"/><Relationship Id="rId603" Type="http://schemas.openxmlformats.org/officeDocument/2006/relationships/image" Target="media/image475.jpeg"/><Relationship Id="rId604" Type="http://schemas.openxmlformats.org/officeDocument/2006/relationships/image" Target="media/image476.jpeg"/><Relationship Id="rId605" Type="http://schemas.openxmlformats.org/officeDocument/2006/relationships/image" Target="media/image477.jpeg"/><Relationship Id="rId606" Type="http://schemas.openxmlformats.org/officeDocument/2006/relationships/image" Target="media/image478.jpeg"/><Relationship Id="rId607" Type="http://schemas.openxmlformats.org/officeDocument/2006/relationships/image" Target="media/image479.jpeg"/><Relationship Id="rId608" Type="http://schemas.openxmlformats.org/officeDocument/2006/relationships/image" Target="media/image480.jpeg"/><Relationship Id="rId609" Type="http://schemas.openxmlformats.org/officeDocument/2006/relationships/image" Target="media/image481.jpeg"/><Relationship Id="rId610" Type="http://schemas.openxmlformats.org/officeDocument/2006/relationships/image" Target="media/image482.jpeg"/><Relationship Id="rId611" Type="http://schemas.openxmlformats.org/officeDocument/2006/relationships/footer" Target="footer83.xml"/><Relationship Id="rId612" Type="http://schemas.openxmlformats.org/officeDocument/2006/relationships/image" Target="media/image483.jpeg"/><Relationship Id="rId613" Type="http://schemas.openxmlformats.org/officeDocument/2006/relationships/image" Target="media/image484.jpeg"/><Relationship Id="rId614" Type="http://schemas.openxmlformats.org/officeDocument/2006/relationships/image" Target="media/image485.jpeg"/><Relationship Id="rId615" Type="http://schemas.openxmlformats.org/officeDocument/2006/relationships/image" Target="media/image486.jpeg"/><Relationship Id="rId616" Type="http://schemas.openxmlformats.org/officeDocument/2006/relationships/image" Target="media/image487.jpeg"/><Relationship Id="rId617" Type="http://schemas.openxmlformats.org/officeDocument/2006/relationships/image" Target="media/image488.jpeg"/><Relationship Id="rId618" Type="http://schemas.openxmlformats.org/officeDocument/2006/relationships/image" Target="media/image489.jpeg"/><Relationship Id="rId619" Type="http://schemas.openxmlformats.org/officeDocument/2006/relationships/image" Target="media/image490.jpeg"/><Relationship Id="rId620" Type="http://schemas.openxmlformats.org/officeDocument/2006/relationships/footer" Target="footer84.xml"/><Relationship Id="rId621" Type="http://schemas.openxmlformats.org/officeDocument/2006/relationships/image" Target="media/image491.jpeg"/><Relationship Id="rId622" Type="http://schemas.openxmlformats.org/officeDocument/2006/relationships/image" Target="media/image492.jpeg"/><Relationship Id="rId623" Type="http://schemas.openxmlformats.org/officeDocument/2006/relationships/image" Target="media/image493.jpeg"/><Relationship Id="rId624" Type="http://schemas.openxmlformats.org/officeDocument/2006/relationships/image" Target="media/image494.jpeg"/><Relationship Id="rId625" Type="http://schemas.openxmlformats.org/officeDocument/2006/relationships/image" Target="media/image495.jpeg"/><Relationship Id="rId626" Type="http://schemas.openxmlformats.org/officeDocument/2006/relationships/footer" Target="footer85.xml"/><Relationship Id="rId627" Type="http://schemas.openxmlformats.org/officeDocument/2006/relationships/image" Target="media/image496.png"/><Relationship Id="rId628" Type="http://schemas.openxmlformats.org/officeDocument/2006/relationships/image" Target="media/image497.jpeg"/><Relationship Id="rId629" Type="http://schemas.openxmlformats.org/officeDocument/2006/relationships/image" Target="media/image498.jpeg"/><Relationship Id="rId630" Type="http://schemas.openxmlformats.org/officeDocument/2006/relationships/image" Target="media/image499.jpeg"/><Relationship Id="rId631" Type="http://schemas.openxmlformats.org/officeDocument/2006/relationships/image" Target="media/image500.jpeg"/><Relationship Id="rId632" Type="http://schemas.openxmlformats.org/officeDocument/2006/relationships/footer" Target="footer86.xml"/><Relationship Id="rId633" Type="http://schemas.openxmlformats.org/officeDocument/2006/relationships/image" Target="media/image501.jpeg"/><Relationship Id="rId6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dcterms:created xsi:type="dcterms:W3CDTF">2020-09-08T13:56:26Z</dcterms:created>
  <dcterms:modified xsi:type="dcterms:W3CDTF">2020-09-08T13:56:26Z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2019-08-27T00:00:00Z</vt:filetime>
  </property>
  <property fmtid="{D5CDD505-2E9C-101B-9397-08002B2CF9AE}" pid="3" name="Creator">
    <vt:lpwstr>Microsoft® Word 适用于 Office 365</vt:lpwstr>
  </property>
  <property fmtid="{D5CDD505-2E9C-101B-9397-08002B2CF9AE}" pid="4" name="LastSaved">
    <vt:filetime>2020-09-08T00:00:00Z</vt:filetime>
  </property>
</Properties>
</file>